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07" w:type="dxa"/>
          <w:right w:w="107" w:type="dxa"/>
        </w:tblCellMar>
        <w:tblLook w:val="0000" w:firstRow="0" w:lastRow="0" w:firstColumn="0" w:lastColumn="0" w:noHBand="0" w:noVBand="0"/>
      </w:tblPr>
      <w:tblGrid>
        <w:gridCol w:w="1809"/>
        <w:gridCol w:w="3401"/>
        <w:gridCol w:w="7372"/>
        <w:gridCol w:w="566"/>
        <w:gridCol w:w="2127"/>
      </w:tblGrid>
      <w:tr w:rsidR="00F77E8D" w:rsidRPr="00286216" w14:paraId="5555F58E" w14:textId="77777777">
        <w:tc>
          <w:tcPr>
            <w:tcW w:w="1809" w:type="dxa"/>
          </w:tcPr>
          <w:p w14:paraId="7A8E63E7" w14:textId="77777777" w:rsidR="00091AA5" w:rsidRPr="00286216" w:rsidRDefault="00091AA5">
            <w:pPr>
              <w:rPr>
                <w:color w:val="000000" w:themeColor="text1"/>
                <w:sz w:val="24"/>
              </w:rPr>
            </w:pPr>
            <w:r w:rsidRPr="00286216">
              <w:rPr>
                <w:color w:val="000000" w:themeColor="text1"/>
                <w:sz w:val="18"/>
              </w:rPr>
              <w:object w:dxaOrig="2269" w:dyaOrig="1710" w14:anchorId="182AD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0pt" o:ole="">
                  <v:imagedata r:id="rId8" o:title=""/>
                </v:shape>
                <o:OLEObject Type="Embed" ProgID="Word.Picture.8" ShapeID="_x0000_i1025" DrawAspect="Content" ObjectID="_1653521599" r:id="rId9"/>
              </w:object>
            </w:r>
          </w:p>
        </w:tc>
        <w:tc>
          <w:tcPr>
            <w:tcW w:w="10773" w:type="dxa"/>
            <w:gridSpan w:val="2"/>
          </w:tcPr>
          <w:p w14:paraId="439B8AA1" w14:textId="77777777" w:rsidR="00091AA5" w:rsidRPr="00286216" w:rsidRDefault="00091AA5">
            <w:pPr>
              <w:rPr>
                <w:b/>
                <w:color w:val="000000" w:themeColor="text1"/>
                <w:sz w:val="24"/>
              </w:rPr>
            </w:pPr>
            <w:r w:rsidRPr="00286216">
              <w:rPr>
                <w:b/>
                <w:color w:val="000000" w:themeColor="text1"/>
                <w:sz w:val="24"/>
              </w:rPr>
              <w:t xml:space="preserve">Порівняльна таблиця до проекту Закону України </w:t>
            </w:r>
          </w:p>
          <w:p w14:paraId="41222A1D" w14:textId="77777777" w:rsidR="00091AA5" w:rsidRPr="00286216" w:rsidRDefault="00091AA5">
            <w:pPr>
              <w:rPr>
                <w:color w:val="000000" w:themeColor="text1"/>
                <w:sz w:val="24"/>
              </w:rPr>
            </w:pPr>
            <w:r w:rsidRPr="00286216">
              <w:rPr>
                <w:b/>
                <w:color w:val="000000" w:themeColor="text1"/>
                <w:sz w:val="24"/>
              </w:rPr>
              <w:t>Про внесення змін до деяких законодавчих актів України щодо спрощення залучення інвестицій та запровадження нових фінансових інструментів</w:t>
            </w:r>
          </w:p>
        </w:tc>
        <w:tc>
          <w:tcPr>
            <w:tcW w:w="566" w:type="dxa"/>
          </w:tcPr>
          <w:p w14:paraId="56B67C64" w14:textId="77777777" w:rsidR="00091AA5" w:rsidRPr="00286216" w:rsidRDefault="00091AA5">
            <w:pPr>
              <w:rPr>
                <w:color w:val="000000" w:themeColor="text1"/>
                <w:sz w:val="24"/>
              </w:rPr>
            </w:pPr>
          </w:p>
        </w:tc>
        <w:tc>
          <w:tcPr>
            <w:tcW w:w="2127" w:type="dxa"/>
          </w:tcPr>
          <w:p w14:paraId="31CEEAB6" w14:textId="77777777" w:rsidR="00091AA5" w:rsidRPr="00286216" w:rsidRDefault="00091AA5">
            <w:pPr>
              <w:jc w:val="center"/>
              <w:rPr>
                <w:b/>
                <w:color w:val="000000" w:themeColor="text1"/>
                <w:sz w:val="24"/>
                <w:u w:val="single"/>
              </w:rPr>
            </w:pPr>
            <w:r w:rsidRPr="00286216">
              <w:rPr>
                <w:b/>
                <w:color w:val="000000" w:themeColor="text1"/>
                <w:sz w:val="24"/>
                <w:u w:val="single"/>
              </w:rPr>
              <w:t>Реєстраційний</w:t>
            </w:r>
          </w:p>
          <w:p w14:paraId="6A0F0E8C" w14:textId="77777777" w:rsidR="00091AA5" w:rsidRPr="00286216" w:rsidRDefault="00091AA5">
            <w:pPr>
              <w:jc w:val="center"/>
              <w:rPr>
                <w:b/>
                <w:color w:val="000000" w:themeColor="text1"/>
                <w:sz w:val="24"/>
                <w:u w:val="single"/>
              </w:rPr>
            </w:pPr>
            <w:r w:rsidRPr="00286216">
              <w:rPr>
                <w:b/>
                <w:color w:val="000000" w:themeColor="text1"/>
                <w:sz w:val="24"/>
                <w:u w:val="single"/>
              </w:rPr>
              <w:t>№ 2284</w:t>
            </w:r>
          </w:p>
          <w:p w14:paraId="5EAE072B" w14:textId="77777777" w:rsidR="00091AA5" w:rsidRPr="00286216" w:rsidRDefault="00091AA5">
            <w:pPr>
              <w:rPr>
                <w:color w:val="000000" w:themeColor="text1"/>
                <w:sz w:val="24"/>
              </w:rPr>
            </w:pPr>
          </w:p>
        </w:tc>
      </w:tr>
      <w:tr w:rsidR="00F77E8D" w:rsidRPr="00286216" w14:paraId="396659DF" w14:textId="77777777">
        <w:tc>
          <w:tcPr>
            <w:tcW w:w="1809" w:type="dxa"/>
          </w:tcPr>
          <w:p w14:paraId="5DBA28DE" w14:textId="77777777" w:rsidR="00091AA5" w:rsidRPr="00286216" w:rsidRDefault="00091AA5">
            <w:pPr>
              <w:rPr>
                <w:color w:val="000000" w:themeColor="text1"/>
                <w:sz w:val="24"/>
              </w:rPr>
            </w:pPr>
          </w:p>
        </w:tc>
        <w:tc>
          <w:tcPr>
            <w:tcW w:w="3401" w:type="dxa"/>
          </w:tcPr>
          <w:p w14:paraId="49BEB626" w14:textId="77777777" w:rsidR="00091AA5" w:rsidRPr="00286216" w:rsidRDefault="00091AA5" w:rsidP="00C5527B">
            <w:pPr>
              <w:rPr>
                <w:color w:val="000000" w:themeColor="text1"/>
                <w:sz w:val="24"/>
              </w:rPr>
            </w:pPr>
            <w:r w:rsidRPr="00286216">
              <w:rPr>
                <w:b/>
                <w:color w:val="000000" w:themeColor="text1"/>
                <w:sz w:val="24"/>
              </w:rPr>
              <w:t>Автори:</w:t>
            </w:r>
          </w:p>
        </w:tc>
        <w:tc>
          <w:tcPr>
            <w:tcW w:w="7938" w:type="dxa"/>
            <w:gridSpan w:val="2"/>
          </w:tcPr>
          <w:p w14:paraId="345EA00E" w14:textId="77777777" w:rsidR="00040DF8" w:rsidRPr="00286216" w:rsidRDefault="00091AA5">
            <w:pPr>
              <w:rPr>
                <w:color w:val="000000" w:themeColor="text1"/>
                <w:sz w:val="24"/>
              </w:rPr>
            </w:pPr>
            <w:r w:rsidRPr="00286216">
              <w:rPr>
                <w:color w:val="000000" w:themeColor="text1"/>
                <w:sz w:val="24"/>
              </w:rPr>
              <w:t>Народні депутати України Гетманцев Д.О</w:t>
            </w:r>
            <w:r w:rsidRPr="00286216">
              <w:rPr>
                <w:color w:val="000000" w:themeColor="text1"/>
                <w:spacing w:val="-14"/>
                <w:sz w:val="24"/>
              </w:rPr>
              <w:t xml:space="preserve">., </w:t>
            </w:r>
            <w:r w:rsidRPr="00286216">
              <w:rPr>
                <w:color w:val="000000" w:themeColor="text1"/>
                <w:sz w:val="24"/>
              </w:rPr>
              <w:t>Кінзбурська В.О</w:t>
            </w:r>
            <w:r w:rsidRPr="00286216">
              <w:rPr>
                <w:color w:val="000000" w:themeColor="text1"/>
                <w:spacing w:val="-14"/>
                <w:sz w:val="24"/>
              </w:rPr>
              <w:t>.,</w:t>
            </w:r>
          </w:p>
          <w:p w14:paraId="2D2F012B" w14:textId="77777777" w:rsidR="00091AA5" w:rsidRPr="00286216" w:rsidRDefault="00091AA5" w:rsidP="00AF25A4">
            <w:pPr>
              <w:rPr>
                <w:color w:val="000000" w:themeColor="text1"/>
                <w:spacing w:val="-2"/>
                <w:sz w:val="24"/>
              </w:rPr>
            </w:pPr>
            <w:r w:rsidRPr="00286216">
              <w:rPr>
                <w:color w:val="000000" w:themeColor="text1"/>
                <w:spacing w:val="-2"/>
                <w:sz w:val="24"/>
              </w:rPr>
              <w:t>Заблоцький М.Б</w:t>
            </w:r>
            <w:r w:rsidRPr="00286216">
              <w:rPr>
                <w:color w:val="000000" w:themeColor="text1"/>
                <w:spacing w:val="-20"/>
                <w:sz w:val="24"/>
              </w:rPr>
              <w:t xml:space="preserve">., </w:t>
            </w:r>
            <w:r w:rsidRPr="00286216">
              <w:rPr>
                <w:color w:val="000000" w:themeColor="text1"/>
                <w:spacing w:val="-2"/>
                <w:sz w:val="24"/>
              </w:rPr>
              <w:t>Устенко О.О</w:t>
            </w:r>
            <w:r w:rsidRPr="00286216">
              <w:rPr>
                <w:color w:val="000000" w:themeColor="text1"/>
                <w:spacing w:val="-20"/>
                <w:sz w:val="24"/>
              </w:rPr>
              <w:t xml:space="preserve">., </w:t>
            </w:r>
            <w:r w:rsidRPr="00286216">
              <w:rPr>
                <w:color w:val="000000" w:themeColor="text1"/>
                <w:spacing w:val="-2"/>
                <w:sz w:val="24"/>
              </w:rPr>
              <w:t>Дубінський О.А</w:t>
            </w:r>
            <w:r w:rsidRPr="00286216">
              <w:rPr>
                <w:color w:val="000000" w:themeColor="text1"/>
                <w:spacing w:val="-20"/>
                <w:sz w:val="24"/>
              </w:rPr>
              <w:t>.</w:t>
            </w:r>
            <w:r w:rsidR="00AF25A4" w:rsidRPr="00286216">
              <w:rPr>
                <w:color w:val="000000" w:themeColor="text1"/>
                <w:spacing w:val="-20"/>
                <w:sz w:val="24"/>
              </w:rPr>
              <w:t xml:space="preserve">, </w:t>
            </w:r>
            <w:r w:rsidR="00AF25A4" w:rsidRPr="00286216">
              <w:rPr>
                <w:color w:val="000000" w:themeColor="text1"/>
                <w:spacing w:val="-2"/>
                <w:sz w:val="24"/>
              </w:rPr>
              <w:t>Василевська-Смаглюк О.М</w:t>
            </w:r>
            <w:r w:rsidR="00AF25A4" w:rsidRPr="00286216">
              <w:rPr>
                <w:color w:val="000000" w:themeColor="text1"/>
                <w:spacing w:val="-20"/>
                <w:sz w:val="24"/>
              </w:rPr>
              <w:t>.</w:t>
            </w:r>
          </w:p>
        </w:tc>
        <w:tc>
          <w:tcPr>
            <w:tcW w:w="2127" w:type="dxa"/>
          </w:tcPr>
          <w:p w14:paraId="7F4C9E6B" w14:textId="77777777" w:rsidR="00091AA5" w:rsidRPr="00286216" w:rsidRDefault="00091AA5">
            <w:pPr>
              <w:jc w:val="center"/>
              <w:rPr>
                <w:color w:val="000000" w:themeColor="text1"/>
                <w:sz w:val="24"/>
              </w:rPr>
            </w:pPr>
            <w:r w:rsidRPr="00286216">
              <w:rPr>
                <w:b/>
                <w:color w:val="000000" w:themeColor="text1"/>
                <w:sz w:val="24"/>
              </w:rPr>
              <w:t>(Друге читання)</w:t>
            </w:r>
          </w:p>
        </w:tc>
      </w:tr>
      <w:tr w:rsidR="00F77E8D" w:rsidRPr="00286216" w14:paraId="03A0C713" w14:textId="77777777">
        <w:tc>
          <w:tcPr>
            <w:tcW w:w="1809" w:type="dxa"/>
          </w:tcPr>
          <w:p w14:paraId="2692822D" w14:textId="77777777" w:rsidR="00091AA5" w:rsidRPr="00286216" w:rsidRDefault="00091AA5">
            <w:pPr>
              <w:rPr>
                <w:color w:val="000000" w:themeColor="text1"/>
                <w:sz w:val="24"/>
              </w:rPr>
            </w:pPr>
          </w:p>
        </w:tc>
        <w:tc>
          <w:tcPr>
            <w:tcW w:w="3401" w:type="dxa"/>
          </w:tcPr>
          <w:p w14:paraId="5D98BABC" w14:textId="77777777" w:rsidR="00091AA5" w:rsidRPr="00286216" w:rsidRDefault="00091AA5">
            <w:pPr>
              <w:rPr>
                <w:color w:val="000000" w:themeColor="text1"/>
                <w:sz w:val="24"/>
              </w:rPr>
            </w:pPr>
            <w:r w:rsidRPr="00286216">
              <w:rPr>
                <w:b/>
                <w:color w:val="000000" w:themeColor="text1"/>
                <w:sz w:val="24"/>
              </w:rPr>
              <w:t>Автори остаточної редакції:</w:t>
            </w:r>
          </w:p>
        </w:tc>
        <w:tc>
          <w:tcPr>
            <w:tcW w:w="7938" w:type="dxa"/>
            <w:gridSpan w:val="2"/>
          </w:tcPr>
          <w:p w14:paraId="47409597" w14:textId="77777777" w:rsidR="00091AA5" w:rsidRPr="00286216" w:rsidRDefault="00091AA5">
            <w:pPr>
              <w:rPr>
                <w:color w:val="000000" w:themeColor="text1"/>
                <w:sz w:val="24"/>
              </w:rPr>
            </w:pPr>
            <w:r w:rsidRPr="00286216">
              <w:rPr>
                <w:color w:val="000000" w:themeColor="text1"/>
                <w:sz w:val="24"/>
              </w:rPr>
              <w:t xml:space="preserve">Народні депутати України </w:t>
            </w:r>
            <w:r w:rsidR="00232BED" w:rsidRPr="00286216">
              <w:rPr>
                <w:color w:val="000000" w:themeColor="text1"/>
                <w:sz w:val="24"/>
              </w:rPr>
              <w:t>–</w:t>
            </w:r>
            <w:r w:rsidRPr="00286216">
              <w:rPr>
                <w:color w:val="000000" w:themeColor="text1"/>
                <w:sz w:val="24"/>
              </w:rPr>
              <w:t xml:space="preserve"> члени Комітету з питань фінансів, податкової та митної політики</w:t>
            </w:r>
          </w:p>
        </w:tc>
        <w:tc>
          <w:tcPr>
            <w:tcW w:w="2127" w:type="dxa"/>
          </w:tcPr>
          <w:p w14:paraId="13B78CC9" w14:textId="77777777" w:rsidR="00091AA5" w:rsidRPr="00286216" w:rsidRDefault="00091AA5">
            <w:pPr>
              <w:rPr>
                <w:color w:val="000000" w:themeColor="text1"/>
                <w:sz w:val="24"/>
              </w:rPr>
            </w:pPr>
          </w:p>
        </w:tc>
      </w:tr>
      <w:tr w:rsidR="00091AA5" w:rsidRPr="00286216" w14:paraId="559A7DF7" w14:textId="77777777">
        <w:tc>
          <w:tcPr>
            <w:tcW w:w="1809" w:type="dxa"/>
          </w:tcPr>
          <w:p w14:paraId="4A01E564" w14:textId="77777777" w:rsidR="00091AA5" w:rsidRPr="00286216" w:rsidRDefault="00091AA5">
            <w:pPr>
              <w:rPr>
                <w:color w:val="000000" w:themeColor="text1"/>
                <w:sz w:val="24"/>
              </w:rPr>
            </w:pPr>
          </w:p>
        </w:tc>
        <w:tc>
          <w:tcPr>
            <w:tcW w:w="3401" w:type="dxa"/>
          </w:tcPr>
          <w:p w14:paraId="45C9FDBA" w14:textId="38D78478" w:rsidR="00091AA5" w:rsidRPr="00286216" w:rsidRDefault="00091AA5" w:rsidP="006F4F32">
            <w:pPr>
              <w:rPr>
                <w:b/>
                <w:color w:val="000000" w:themeColor="text1"/>
                <w:sz w:val="24"/>
              </w:rPr>
            </w:pPr>
            <w:r w:rsidRPr="00286216">
              <w:rPr>
                <w:b/>
                <w:color w:val="000000" w:themeColor="text1"/>
                <w:sz w:val="24"/>
              </w:rPr>
              <w:t>Дата розгляду в комітеті:</w:t>
            </w:r>
          </w:p>
        </w:tc>
        <w:tc>
          <w:tcPr>
            <w:tcW w:w="7938" w:type="dxa"/>
            <w:gridSpan w:val="2"/>
          </w:tcPr>
          <w:p w14:paraId="71179E96" w14:textId="11DE3582" w:rsidR="00091AA5" w:rsidRPr="00286216" w:rsidRDefault="006F4F32" w:rsidP="006F4F32">
            <w:pPr>
              <w:rPr>
                <w:color w:val="000000" w:themeColor="text1"/>
                <w:sz w:val="24"/>
              </w:rPr>
            </w:pPr>
            <w:r w:rsidRPr="00286216">
              <w:rPr>
                <w:color w:val="000000" w:themeColor="text1"/>
                <w:sz w:val="24"/>
                <w:lang w:val="ru-RU"/>
              </w:rPr>
              <w:t>03</w:t>
            </w:r>
            <w:r w:rsidR="00091AA5" w:rsidRPr="00286216">
              <w:rPr>
                <w:color w:val="000000" w:themeColor="text1"/>
                <w:sz w:val="24"/>
              </w:rPr>
              <w:t>.</w:t>
            </w:r>
            <w:r w:rsidRPr="00286216">
              <w:rPr>
                <w:color w:val="000000" w:themeColor="text1"/>
                <w:sz w:val="24"/>
                <w:lang w:val="ru-RU"/>
              </w:rPr>
              <w:t>06</w:t>
            </w:r>
            <w:r w:rsidR="00091AA5" w:rsidRPr="00286216">
              <w:rPr>
                <w:color w:val="000000" w:themeColor="text1"/>
                <w:sz w:val="24"/>
              </w:rPr>
              <w:t>.20</w:t>
            </w:r>
            <w:r w:rsidR="00B76B31" w:rsidRPr="00286216">
              <w:rPr>
                <w:color w:val="000000" w:themeColor="text1"/>
                <w:sz w:val="24"/>
              </w:rPr>
              <w:t>20</w:t>
            </w:r>
          </w:p>
        </w:tc>
        <w:tc>
          <w:tcPr>
            <w:tcW w:w="2127" w:type="dxa"/>
          </w:tcPr>
          <w:p w14:paraId="322BCE6A" w14:textId="77777777" w:rsidR="00091AA5" w:rsidRPr="00286216" w:rsidRDefault="00091AA5">
            <w:pPr>
              <w:rPr>
                <w:b/>
                <w:color w:val="000000" w:themeColor="text1"/>
                <w:sz w:val="24"/>
              </w:rPr>
            </w:pPr>
          </w:p>
        </w:tc>
      </w:tr>
    </w:tbl>
    <w:p w14:paraId="22DF552F" w14:textId="77777777" w:rsidR="00091AA5" w:rsidRPr="00286216" w:rsidRDefault="00091AA5">
      <w:pPr>
        <w:rPr>
          <w:vanish/>
          <w:color w:val="000000" w:themeColor="text1"/>
        </w:rPr>
      </w:pPr>
    </w:p>
    <w:p w14:paraId="6CD3A77D" w14:textId="77777777" w:rsidR="00091AA5" w:rsidRPr="00286216" w:rsidRDefault="00091AA5">
      <w:pPr>
        <w:rPr>
          <w:color w:val="000000" w:themeColor="text1"/>
        </w:rPr>
      </w:pPr>
    </w:p>
    <w:tbl>
      <w:tblPr>
        <w:tblW w:w="15885" w:type="dxa"/>
        <w:tblLayout w:type="fixed"/>
        <w:tblCellMar>
          <w:left w:w="72" w:type="dxa"/>
          <w:right w:w="72" w:type="dxa"/>
        </w:tblCellMar>
        <w:tblLook w:val="0000" w:firstRow="0" w:lastRow="0" w:firstColumn="0" w:lastColumn="0" w:noHBand="0" w:noVBand="0"/>
      </w:tblPr>
      <w:tblGrid>
        <w:gridCol w:w="576"/>
        <w:gridCol w:w="4818"/>
        <w:gridCol w:w="3686"/>
        <w:gridCol w:w="1987"/>
        <w:gridCol w:w="4818"/>
      </w:tblGrid>
      <w:tr w:rsidR="00F77E8D" w:rsidRPr="00286216" w14:paraId="5185912B" w14:textId="77777777" w:rsidTr="00091AA5">
        <w:trPr>
          <w:tblHeader/>
        </w:trPr>
        <w:tc>
          <w:tcPr>
            <w:tcW w:w="576" w:type="dxa"/>
            <w:tcBorders>
              <w:top w:val="single" w:sz="6" w:space="0" w:color="auto"/>
              <w:left w:val="single" w:sz="6" w:space="0" w:color="auto"/>
              <w:bottom w:val="single" w:sz="6" w:space="0" w:color="auto"/>
              <w:right w:val="single" w:sz="6" w:space="0" w:color="auto"/>
            </w:tcBorders>
            <w:shd w:val="clear" w:color="auto" w:fill="auto"/>
          </w:tcPr>
          <w:p w14:paraId="0ECD6830" w14:textId="77777777" w:rsidR="00091AA5" w:rsidRPr="00286216" w:rsidRDefault="00091AA5" w:rsidP="001479B6">
            <w:pPr>
              <w:pStyle w:val="StyleWisnow"/>
              <w:rPr>
                <w:color w:val="000000" w:themeColor="text1"/>
              </w:rPr>
            </w:pPr>
          </w:p>
        </w:tc>
        <w:tc>
          <w:tcPr>
            <w:tcW w:w="4818" w:type="dxa"/>
            <w:tcBorders>
              <w:top w:val="single" w:sz="6" w:space="0" w:color="auto"/>
              <w:left w:val="single" w:sz="6" w:space="0" w:color="auto"/>
              <w:bottom w:val="single" w:sz="6" w:space="0" w:color="auto"/>
              <w:right w:val="single" w:sz="6" w:space="0" w:color="auto"/>
            </w:tcBorders>
            <w:shd w:val="clear" w:color="auto" w:fill="auto"/>
          </w:tcPr>
          <w:p w14:paraId="7922C3FD" w14:textId="77777777" w:rsidR="00091AA5" w:rsidRPr="00286216" w:rsidRDefault="00091AA5" w:rsidP="00091AA5">
            <w:pPr>
              <w:pStyle w:val="StyleShap"/>
              <w:rPr>
                <w:color w:val="000000" w:themeColor="text1"/>
              </w:rPr>
            </w:pPr>
            <w:r w:rsidRPr="00286216">
              <w:rPr>
                <w:color w:val="000000" w:themeColor="text1"/>
              </w:rPr>
              <w:t>Редакція, прийнята в першому читанні</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45C5B6D9" w14:textId="77777777" w:rsidR="00091AA5" w:rsidRPr="00286216" w:rsidRDefault="00091AA5" w:rsidP="00091AA5">
            <w:pPr>
              <w:pStyle w:val="StyleShap"/>
              <w:rPr>
                <w:color w:val="000000" w:themeColor="text1"/>
              </w:rPr>
            </w:pPr>
            <w:r w:rsidRPr="00286216">
              <w:rPr>
                <w:color w:val="000000" w:themeColor="text1"/>
              </w:rPr>
              <w:t>Пропозиції та поправки до проекту</w:t>
            </w:r>
          </w:p>
        </w:tc>
        <w:tc>
          <w:tcPr>
            <w:tcW w:w="1987" w:type="dxa"/>
            <w:tcBorders>
              <w:top w:val="single" w:sz="6" w:space="0" w:color="auto"/>
              <w:left w:val="single" w:sz="6" w:space="0" w:color="auto"/>
              <w:bottom w:val="single" w:sz="6" w:space="0" w:color="auto"/>
              <w:right w:val="single" w:sz="6" w:space="0" w:color="auto"/>
            </w:tcBorders>
            <w:shd w:val="clear" w:color="auto" w:fill="auto"/>
          </w:tcPr>
          <w:p w14:paraId="4D047913" w14:textId="77777777" w:rsidR="00091AA5" w:rsidRPr="00286216" w:rsidRDefault="00091AA5" w:rsidP="00091AA5">
            <w:pPr>
              <w:pStyle w:val="StyleShap"/>
              <w:rPr>
                <w:color w:val="000000" w:themeColor="text1"/>
              </w:rPr>
            </w:pPr>
            <w:r w:rsidRPr="00286216">
              <w:rPr>
                <w:color w:val="000000" w:themeColor="text1"/>
              </w:rPr>
              <w:t>Висновки, обґрунтування</w:t>
            </w:r>
          </w:p>
        </w:tc>
        <w:tc>
          <w:tcPr>
            <w:tcW w:w="4818" w:type="dxa"/>
            <w:tcBorders>
              <w:top w:val="single" w:sz="6" w:space="0" w:color="auto"/>
              <w:left w:val="single" w:sz="6" w:space="0" w:color="auto"/>
              <w:bottom w:val="single" w:sz="6" w:space="0" w:color="auto"/>
              <w:right w:val="single" w:sz="6" w:space="0" w:color="auto"/>
            </w:tcBorders>
            <w:shd w:val="clear" w:color="auto" w:fill="auto"/>
          </w:tcPr>
          <w:p w14:paraId="3FA5AA5D" w14:textId="77777777" w:rsidR="00091AA5" w:rsidRPr="00286216" w:rsidRDefault="00091AA5" w:rsidP="00091AA5">
            <w:pPr>
              <w:pStyle w:val="StyleShap"/>
              <w:rPr>
                <w:color w:val="000000" w:themeColor="text1"/>
              </w:rPr>
            </w:pPr>
            <w:r w:rsidRPr="00286216">
              <w:rPr>
                <w:color w:val="000000" w:themeColor="text1"/>
              </w:rPr>
              <w:t>Законопроект, запропонований головним комітетом в остаточній редакції</w:t>
            </w:r>
          </w:p>
        </w:tc>
      </w:tr>
      <w:tr w:rsidR="00F77E8D" w:rsidRPr="00286216" w14:paraId="56510116" w14:textId="77777777" w:rsidTr="00091AA5">
        <w:tc>
          <w:tcPr>
            <w:tcW w:w="576" w:type="dxa"/>
            <w:tcBorders>
              <w:top w:val="single" w:sz="6" w:space="0" w:color="auto"/>
            </w:tcBorders>
          </w:tcPr>
          <w:p w14:paraId="0C1F013B" w14:textId="77777777" w:rsidR="00085C0A" w:rsidRPr="00286216" w:rsidRDefault="00085C0A" w:rsidP="00085C0A">
            <w:pPr>
              <w:pStyle w:val="StyleWisnow"/>
              <w:rPr>
                <w:color w:val="000000" w:themeColor="text1"/>
              </w:rPr>
            </w:pPr>
            <w:r w:rsidRPr="00286216">
              <w:rPr>
                <w:color w:val="000000" w:themeColor="text1"/>
              </w:rPr>
              <w:t>0.</w:t>
            </w:r>
          </w:p>
        </w:tc>
        <w:tc>
          <w:tcPr>
            <w:tcW w:w="4818" w:type="dxa"/>
            <w:tcBorders>
              <w:top w:val="single" w:sz="6" w:space="0" w:color="auto"/>
            </w:tcBorders>
          </w:tcPr>
          <w:p w14:paraId="1C7EE969" w14:textId="77777777" w:rsidR="00085C0A" w:rsidRPr="00286216" w:rsidRDefault="00085C0A" w:rsidP="00085C0A">
            <w:pPr>
              <w:pStyle w:val="StyleZakonu"/>
              <w:spacing w:after="0" w:line="200" w:lineRule="exact"/>
              <w:jc w:val="right"/>
              <w:rPr>
                <w:i/>
                <w:color w:val="000000" w:themeColor="text1"/>
              </w:rPr>
            </w:pPr>
            <w:r w:rsidRPr="00286216">
              <w:rPr>
                <w:i/>
                <w:color w:val="000000" w:themeColor="text1"/>
              </w:rPr>
              <w:t>ПРОЕКТ</w:t>
            </w:r>
          </w:p>
          <w:p w14:paraId="4BCD24BB" w14:textId="77777777" w:rsidR="00085C0A" w:rsidRPr="00286216" w:rsidRDefault="00085C0A" w:rsidP="00085C0A">
            <w:pPr>
              <w:pStyle w:val="StyleZakonu"/>
              <w:spacing w:line="180" w:lineRule="exact"/>
              <w:jc w:val="center"/>
              <w:rPr>
                <w:color w:val="000000" w:themeColor="text1"/>
              </w:rPr>
            </w:pPr>
            <w:r w:rsidRPr="00286216">
              <w:rPr>
                <w:color w:val="000000" w:themeColor="text1"/>
              </w:rPr>
              <w:t>ЗАКОН УКРАЇНИ</w:t>
            </w:r>
          </w:p>
        </w:tc>
        <w:tc>
          <w:tcPr>
            <w:tcW w:w="3686" w:type="dxa"/>
            <w:tcBorders>
              <w:top w:val="single" w:sz="6" w:space="0" w:color="auto"/>
            </w:tcBorders>
          </w:tcPr>
          <w:p w14:paraId="1806EDA2" w14:textId="08B4ACC3" w:rsidR="00A85A24" w:rsidRPr="00286216" w:rsidRDefault="00085C0A" w:rsidP="005B5E49">
            <w:pPr>
              <w:pStyle w:val="StyleAwt"/>
              <w:rPr>
                <w:b w:val="0"/>
                <w:i w:val="0"/>
                <w:color w:val="000000" w:themeColor="text1"/>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w:t>
            </w:r>
            <w:r w:rsidRPr="00286216">
              <w:rPr>
                <w:color w:val="000000" w:themeColor="text1"/>
                <w:szCs w:val="18"/>
              </w:rPr>
              <w:fldChar w:fldCharType="end"/>
            </w:r>
            <w:r w:rsidRPr="00286216">
              <w:rPr>
                <w:color w:val="000000" w:themeColor="text1"/>
                <w:szCs w:val="18"/>
              </w:rPr>
              <w:t>-</w:t>
            </w:r>
            <w:r w:rsidR="00C71869" w:rsidRPr="00286216">
              <w:rPr>
                <w:color w:val="000000" w:themeColor="text1"/>
                <w:szCs w:val="18"/>
              </w:rPr>
              <w:t xml:space="preserve">Народні депутати України – члени </w:t>
            </w:r>
            <w:r w:rsidR="00C71869" w:rsidRPr="00286216">
              <w:rPr>
                <w:color w:val="000000" w:themeColor="text1"/>
                <w:spacing w:val="-2"/>
                <w:szCs w:val="18"/>
              </w:rPr>
              <w:t>Комітету з питань фінансів, податкової та митної політики</w:t>
            </w:r>
            <w:r w:rsidR="00124981" w:rsidRPr="00286216">
              <w:rPr>
                <w:color w:val="000000" w:themeColor="text1"/>
                <w:spacing w:val="-2"/>
                <w:szCs w:val="18"/>
              </w:rPr>
              <w:t xml:space="preserve"> </w:t>
            </w:r>
            <w:r w:rsidR="00124981" w:rsidRPr="00286216">
              <w:rPr>
                <w:color w:val="000000" w:themeColor="text1"/>
                <w:spacing w:val="-2"/>
              </w:rPr>
              <w:t>Гетманцев Д.О. та інші</w:t>
            </w:r>
          </w:p>
        </w:tc>
        <w:tc>
          <w:tcPr>
            <w:tcW w:w="1987" w:type="dxa"/>
            <w:tcBorders>
              <w:top w:val="single" w:sz="6" w:space="0" w:color="auto"/>
            </w:tcBorders>
          </w:tcPr>
          <w:p w14:paraId="656D9439" w14:textId="77777777" w:rsidR="006C4866" w:rsidRPr="00286216" w:rsidRDefault="006C4866" w:rsidP="00F05AE1">
            <w:pPr>
              <w:pStyle w:val="StyleWisnow"/>
              <w:spacing w:line="210" w:lineRule="exact"/>
              <w:rPr>
                <w:color w:val="000000" w:themeColor="text1"/>
              </w:rPr>
            </w:pPr>
            <w:r w:rsidRPr="00286216">
              <w:rPr>
                <w:color w:val="000000" w:themeColor="text1"/>
              </w:rPr>
              <w:t>Враховано</w:t>
            </w:r>
          </w:p>
          <w:p w14:paraId="5CD70F34" w14:textId="4A38077F" w:rsidR="00085C0A" w:rsidRPr="00286216" w:rsidRDefault="006C4866" w:rsidP="00F05AE1">
            <w:pPr>
              <w:pStyle w:val="StyleWisnow"/>
              <w:spacing w:line="210" w:lineRule="exact"/>
              <w:rPr>
                <w:color w:val="000000" w:themeColor="text1"/>
              </w:rPr>
            </w:pPr>
            <w:r w:rsidRPr="00286216">
              <w:rPr>
                <w:color w:val="000000" w:themeColor="text1"/>
              </w:rPr>
              <w:t xml:space="preserve">з дотриманням правил </w:t>
            </w:r>
            <w:r w:rsidRPr="00286216">
              <w:rPr>
                <w:color w:val="000000" w:themeColor="text1"/>
                <w:spacing w:val="-6"/>
              </w:rPr>
              <w:t>нормопроектувальної</w:t>
            </w:r>
            <w:r w:rsidRPr="00286216">
              <w:rPr>
                <w:color w:val="000000" w:themeColor="text1"/>
              </w:rPr>
              <w:t xml:space="preserve"> </w:t>
            </w:r>
          </w:p>
        </w:tc>
        <w:tc>
          <w:tcPr>
            <w:tcW w:w="4818" w:type="dxa"/>
            <w:tcBorders>
              <w:top w:val="single" w:sz="6" w:space="0" w:color="auto"/>
            </w:tcBorders>
          </w:tcPr>
          <w:p w14:paraId="416F364D" w14:textId="77777777" w:rsidR="00085C0A" w:rsidRPr="00286216" w:rsidRDefault="00085C0A" w:rsidP="00085C0A">
            <w:pPr>
              <w:pStyle w:val="StyleZakonu"/>
              <w:spacing w:after="0" w:line="200" w:lineRule="exact"/>
              <w:jc w:val="right"/>
              <w:rPr>
                <w:color w:val="000000" w:themeColor="text1"/>
              </w:rPr>
            </w:pPr>
            <w:r w:rsidRPr="00286216">
              <w:rPr>
                <w:color w:val="000000" w:themeColor="text1"/>
              </w:rPr>
              <w:t>ПРОЕКТ</w:t>
            </w:r>
          </w:p>
          <w:p w14:paraId="6282FDD7" w14:textId="77777777" w:rsidR="00085C0A" w:rsidRPr="00286216" w:rsidRDefault="00085C0A" w:rsidP="00085C0A">
            <w:pPr>
              <w:pStyle w:val="StyleZakonu"/>
              <w:spacing w:line="180" w:lineRule="exact"/>
              <w:jc w:val="center"/>
              <w:rPr>
                <w:color w:val="000000" w:themeColor="text1"/>
              </w:rPr>
            </w:pPr>
          </w:p>
        </w:tc>
      </w:tr>
      <w:tr w:rsidR="00F77E8D" w:rsidRPr="00286216" w14:paraId="38ABAC52" w14:textId="77777777" w:rsidTr="00091AA5">
        <w:tc>
          <w:tcPr>
            <w:tcW w:w="576" w:type="dxa"/>
          </w:tcPr>
          <w:p w14:paraId="7CA39CFA" w14:textId="77777777" w:rsidR="008E7C27" w:rsidRPr="00286216" w:rsidRDefault="008E7C27" w:rsidP="008E7C27">
            <w:pPr>
              <w:pStyle w:val="StyleWisnow"/>
              <w:rPr>
                <w:color w:val="000000" w:themeColor="text1"/>
              </w:rPr>
            </w:pPr>
            <w:bookmarkStart w:id="0" w:name="n1" w:colFirst="0" w:colLast="0"/>
            <w:r w:rsidRPr="00286216">
              <w:rPr>
                <w:color w:val="000000" w:themeColor="text1"/>
              </w:rPr>
              <w:t>1.</w:t>
            </w:r>
          </w:p>
        </w:tc>
        <w:tc>
          <w:tcPr>
            <w:tcW w:w="4818" w:type="dxa"/>
          </w:tcPr>
          <w:p w14:paraId="2BCA29EB" w14:textId="77777777" w:rsidR="008E7C27" w:rsidRPr="00286216" w:rsidRDefault="008E7C27" w:rsidP="008E7C27">
            <w:pPr>
              <w:pStyle w:val="StyleZakonu"/>
              <w:jc w:val="center"/>
              <w:rPr>
                <w:color w:val="000000" w:themeColor="text1"/>
              </w:rPr>
            </w:pPr>
            <w:r w:rsidRPr="00286216">
              <w:rPr>
                <w:color w:val="000000" w:themeColor="text1"/>
              </w:rPr>
              <w:t>Про внесення змін до деяких законодавчих актів України щодо спрощення залучення інвестицій та запровадження нових фінансових інструментів</w:t>
            </w:r>
          </w:p>
        </w:tc>
        <w:tc>
          <w:tcPr>
            <w:tcW w:w="3686" w:type="dxa"/>
          </w:tcPr>
          <w:p w14:paraId="05B6E308" w14:textId="28D25192" w:rsidR="008E7C27" w:rsidRPr="00286216" w:rsidRDefault="00176D69" w:rsidP="00F06835">
            <w:pPr>
              <w:pStyle w:val="StyleProp"/>
              <w:spacing w:line="190" w:lineRule="exact"/>
              <w:rPr>
                <w:color w:val="000000" w:themeColor="text1"/>
                <w:spacing w:val="-2"/>
              </w:rPr>
            </w:pPr>
            <w:r w:rsidRPr="00286216">
              <w:rPr>
                <w:color w:val="000000" w:themeColor="text1"/>
                <w:spacing w:val="-2"/>
              </w:rPr>
              <w:t xml:space="preserve">У звʼязку із </w:t>
            </w:r>
            <w:r w:rsidR="00EF5FC5" w:rsidRPr="00286216">
              <w:rPr>
                <w:color w:val="000000" w:themeColor="text1"/>
                <w:spacing w:val="-2"/>
              </w:rPr>
              <w:t xml:space="preserve">великим обсягом </w:t>
            </w:r>
            <w:r w:rsidR="003E5885" w:rsidRPr="00286216">
              <w:rPr>
                <w:color w:val="000000" w:themeColor="text1"/>
                <w:spacing w:val="-2"/>
              </w:rPr>
              <w:t>законо</w:t>
            </w:r>
            <w:r w:rsidR="00F05AE1" w:rsidRPr="00286216">
              <w:rPr>
                <w:color w:val="000000" w:themeColor="text1"/>
                <w:spacing w:val="-2"/>
              </w:rPr>
              <w:t>проекту</w:t>
            </w:r>
            <w:r w:rsidR="003E5885" w:rsidRPr="00286216">
              <w:rPr>
                <w:color w:val="000000" w:themeColor="text1"/>
                <w:spacing w:val="-2"/>
              </w:rPr>
              <w:t>,</w:t>
            </w:r>
            <w:r w:rsidR="00EF5FC5" w:rsidRPr="00286216">
              <w:rPr>
                <w:color w:val="000000" w:themeColor="text1"/>
                <w:spacing w:val="-2"/>
              </w:rPr>
              <w:t xml:space="preserve"> </w:t>
            </w:r>
            <w:r w:rsidR="003E5885" w:rsidRPr="00286216">
              <w:rPr>
                <w:color w:val="000000" w:themeColor="text1"/>
                <w:spacing w:val="-2"/>
              </w:rPr>
              <w:t>для оптимізації підготовки до розгляду в другому читанні, а також з метою</w:t>
            </w:r>
            <w:r w:rsidR="00EF5FC5" w:rsidRPr="00286216">
              <w:rPr>
                <w:color w:val="000000" w:themeColor="text1"/>
                <w:spacing w:val="-2"/>
              </w:rPr>
              <w:t xml:space="preserve"> спрощення правозастосування </w:t>
            </w:r>
            <w:r w:rsidR="00F05AE1" w:rsidRPr="00286216">
              <w:rPr>
                <w:color w:val="000000" w:themeColor="text1"/>
                <w:spacing w:val="-2"/>
              </w:rPr>
              <w:t>у разі</w:t>
            </w:r>
            <w:r w:rsidR="003E5885" w:rsidRPr="00286216">
              <w:rPr>
                <w:color w:val="000000" w:themeColor="text1"/>
                <w:spacing w:val="-2"/>
              </w:rPr>
              <w:t xml:space="preserve">, якщо він буде </w:t>
            </w:r>
            <w:r w:rsidR="00F05AE1" w:rsidRPr="00286216">
              <w:rPr>
                <w:color w:val="000000" w:themeColor="text1"/>
                <w:spacing w:val="-2"/>
              </w:rPr>
              <w:t>прийнят</w:t>
            </w:r>
            <w:r w:rsidR="003E5885" w:rsidRPr="00286216">
              <w:rPr>
                <w:color w:val="000000" w:themeColor="text1"/>
                <w:spacing w:val="-2"/>
              </w:rPr>
              <w:t>ий</w:t>
            </w:r>
            <w:r w:rsidR="00F05AE1" w:rsidRPr="00286216">
              <w:rPr>
                <w:color w:val="000000" w:themeColor="text1"/>
                <w:spacing w:val="-2"/>
              </w:rPr>
              <w:t xml:space="preserve"> в цілому</w:t>
            </w:r>
            <w:r w:rsidR="003E5885" w:rsidRPr="00286216">
              <w:rPr>
                <w:color w:val="000000" w:themeColor="text1"/>
                <w:spacing w:val="-2"/>
              </w:rPr>
              <w:t>,</w:t>
            </w:r>
            <w:r w:rsidR="00F05AE1" w:rsidRPr="00286216">
              <w:rPr>
                <w:color w:val="000000" w:themeColor="text1"/>
                <w:spacing w:val="-2"/>
              </w:rPr>
              <w:t xml:space="preserve"> </w:t>
            </w:r>
            <w:r w:rsidR="00EF5FC5" w:rsidRPr="00286216">
              <w:rPr>
                <w:color w:val="000000" w:themeColor="text1"/>
                <w:spacing w:val="-2"/>
              </w:rPr>
              <w:t>п</w:t>
            </w:r>
            <w:r w:rsidR="008E7C27" w:rsidRPr="00286216">
              <w:rPr>
                <w:color w:val="000000" w:themeColor="text1"/>
                <w:spacing w:val="-2"/>
              </w:rPr>
              <w:t xml:space="preserve">ропонується </w:t>
            </w:r>
            <w:r w:rsidR="00EF5FC5" w:rsidRPr="00286216">
              <w:rPr>
                <w:color w:val="000000" w:themeColor="text1"/>
                <w:spacing w:val="-2"/>
              </w:rPr>
              <w:t>викласти текст законо</w:t>
            </w:r>
            <w:r w:rsidR="0061508D" w:rsidRPr="00286216">
              <w:rPr>
                <w:color w:val="000000" w:themeColor="text1"/>
                <w:spacing w:val="-2"/>
              </w:rPr>
              <w:t>проект</w:t>
            </w:r>
            <w:r w:rsidR="00EF5FC5" w:rsidRPr="00286216">
              <w:rPr>
                <w:color w:val="000000" w:themeColor="text1"/>
                <w:spacing w:val="-2"/>
              </w:rPr>
              <w:t>у в редакції</w:t>
            </w:r>
            <w:r w:rsidR="008E7C27" w:rsidRPr="00286216">
              <w:rPr>
                <w:color w:val="000000" w:themeColor="text1"/>
                <w:spacing w:val="-2"/>
              </w:rPr>
              <w:t xml:space="preserve"> проект</w:t>
            </w:r>
            <w:r w:rsidR="00EF5FC5" w:rsidRPr="00286216">
              <w:rPr>
                <w:color w:val="000000" w:themeColor="text1"/>
                <w:spacing w:val="-2"/>
              </w:rPr>
              <w:t xml:space="preserve">ів </w:t>
            </w:r>
            <w:r w:rsidR="008E7C27" w:rsidRPr="00286216">
              <w:rPr>
                <w:color w:val="000000" w:themeColor="text1"/>
                <w:spacing w:val="-2"/>
              </w:rPr>
              <w:t xml:space="preserve">трьох законів </w:t>
            </w:r>
            <w:r w:rsidR="0061508D" w:rsidRPr="00286216">
              <w:rPr>
                <w:color w:val="000000" w:themeColor="text1"/>
                <w:spacing w:val="-2"/>
              </w:rPr>
              <w:t>з такими назвами</w:t>
            </w:r>
            <w:r w:rsidR="008E7C27" w:rsidRPr="00286216">
              <w:rPr>
                <w:color w:val="000000" w:themeColor="text1"/>
                <w:spacing w:val="-2"/>
              </w:rPr>
              <w:t>:</w:t>
            </w:r>
          </w:p>
          <w:p w14:paraId="54306865" w14:textId="77777777" w:rsidR="008E7C27" w:rsidRPr="00286216" w:rsidRDefault="008E7C27" w:rsidP="00F06835">
            <w:pPr>
              <w:pStyle w:val="StyleProp"/>
              <w:spacing w:line="190" w:lineRule="exact"/>
              <w:rPr>
                <w:color w:val="000000" w:themeColor="text1"/>
              </w:rPr>
            </w:pPr>
            <w:r w:rsidRPr="00286216">
              <w:rPr>
                <w:color w:val="000000" w:themeColor="text1"/>
              </w:rPr>
              <w:t>1. "Про ринки капіталу та організовані товарні ринки";</w:t>
            </w:r>
          </w:p>
        </w:tc>
        <w:tc>
          <w:tcPr>
            <w:tcW w:w="1987" w:type="dxa"/>
          </w:tcPr>
          <w:p w14:paraId="6021D743" w14:textId="62848088" w:rsidR="009847BD" w:rsidRPr="00286216" w:rsidRDefault="006C4866" w:rsidP="00EF5FC5">
            <w:pPr>
              <w:pStyle w:val="StyleWisnow"/>
              <w:spacing w:line="180" w:lineRule="exact"/>
              <w:rPr>
                <w:color w:val="000000" w:themeColor="text1"/>
              </w:rPr>
            </w:pPr>
            <w:r w:rsidRPr="00286216">
              <w:rPr>
                <w:color w:val="000000" w:themeColor="text1"/>
              </w:rPr>
              <w:t>техніки</w:t>
            </w:r>
          </w:p>
        </w:tc>
        <w:tc>
          <w:tcPr>
            <w:tcW w:w="4818" w:type="dxa"/>
          </w:tcPr>
          <w:p w14:paraId="0D4C06C0" w14:textId="77777777" w:rsidR="008E7C27" w:rsidRPr="00286216" w:rsidRDefault="008E7C27" w:rsidP="008E7C27">
            <w:pPr>
              <w:pStyle w:val="StyleZakonu"/>
              <w:jc w:val="center"/>
              <w:rPr>
                <w:color w:val="000000" w:themeColor="text1"/>
              </w:rPr>
            </w:pPr>
          </w:p>
        </w:tc>
      </w:tr>
      <w:tr w:rsidR="00F77E8D" w:rsidRPr="00286216" w14:paraId="0C3B45F9" w14:textId="77777777" w:rsidTr="00091AA5">
        <w:tc>
          <w:tcPr>
            <w:tcW w:w="576" w:type="dxa"/>
          </w:tcPr>
          <w:p w14:paraId="2CFEA4F3" w14:textId="77777777" w:rsidR="008E7C27" w:rsidRPr="00286216" w:rsidRDefault="008E7C27" w:rsidP="008E7C27">
            <w:pPr>
              <w:pStyle w:val="StyleWisnow"/>
              <w:rPr>
                <w:color w:val="000000" w:themeColor="text1"/>
              </w:rPr>
            </w:pPr>
            <w:bookmarkStart w:id="1" w:name="n2" w:colFirst="0" w:colLast="0"/>
            <w:bookmarkEnd w:id="0"/>
            <w:r w:rsidRPr="00286216">
              <w:rPr>
                <w:color w:val="000000" w:themeColor="text1"/>
              </w:rPr>
              <w:t>2.</w:t>
            </w:r>
          </w:p>
        </w:tc>
        <w:tc>
          <w:tcPr>
            <w:tcW w:w="4818" w:type="dxa"/>
          </w:tcPr>
          <w:p w14:paraId="400ACBFA" w14:textId="77777777" w:rsidR="008E7C27" w:rsidRPr="00286216" w:rsidRDefault="008E7C27" w:rsidP="00FC6DF5">
            <w:pPr>
              <w:pStyle w:val="StyleZakonu"/>
              <w:spacing w:after="20"/>
              <w:rPr>
                <w:color w:val="000000" w:themeColor="text1"/>
              </w:rPr>
            </w:pPr>
            <w:r w:rsidRPr="00286216">
              <w:rPr>
                <w:color w:val="000000" w:themeColor="text1"/>
              </w:rPr>
              <w:t>Верховна Рада України  п о с т а н о в л я є:</w:t>
            </w:r>
          </w:p>
          <w:p w14:paraId="79401D85" w14:textId="77777777" w:rsidR="008E7C27" w:rsidRPr="00286216" w:rsidRDefault="008E7C27" w:rsidP="008E7C27">
            <w:pPr>
              <w:pStyle w:val="StyleZakonu"/>
              <w:rPr>
                <w:color w:val="000000" w:themeColor="text1"/>
              </w:rPr>
            </w:pPr>
            <w:r w:rsidRPr="00286216">
              <w:rPr>
                <w:color w:val="000000" w:themeColor="text1"/>
              </w:rPr>
              <w:t>Розділ 1.</w:t>
            </w:r>
            <w:r w:rsidRPr="00286216">
              <w:rPr>
                <w:b/>
                <w:color w:val="000000" w:themeColor="text1"/>
              </w:rPr>
              <w:t xml:space="preserve"> </w:t>
            </w:r>
            <w:r w:rsidRPr="00286216">
              <w:rPr>
                <w:color w:val="000000" w:themeColor="text1"/>
              </w:rPr>
              <w:t>Внести зміни до Закону України "Про цінні папери та фондовий ринок" (Відомості Верховної Ради України, 2006 р., № 31, ст. 268 із наступними змінами), виклавши його в такій редакції:</w:t>
            </w:r>
          </w:p>
        </w:tc>
        <w:tc>
          <w:tcPr>
            <w:tcW w:w="3686" w:type="dxa"/>
          </w:tcPr>
          <w:p w14:paraId="2BB96025" w14:textId="77777777" w:rsidR="008E7C27" w:rsidRPr="00286216" w:rsidRDefault="008E7C27" w:rsidP="00022D7E">
            <w:pPr>
              <w:pStyle w:val="StyleProp"/>
              <w:spacing w:line="190" w:lineRule="exact"/>
              <w:rPr>
                <w:color w:val="000000" w:themeColor="text1"/>
              </w:rPr>
            </w:pPr>
            <w:r w:rsidRPr="00286216">
              <w:rPr>
                <w:color w:val="000000" w:themeColor="text1"/>
              </w:rPr>
              <w:t>2. "Про товарн</w:t>
            </w:r>
            <w:r w:rsidR="00087407" w:rsidRPr="00286216">
              <w:rPr>
                <w:color w:val="000000" w:themeColor="text1"/>
              </w:rPr>
              <w:t>і</w:t>
            </w:r>
            <w:r w:rsidRPr="00286216">
              <w:rPr>
                <w:color w:val="000000" w:themeColor="text1"/>
              </w:rPr>
              <w:t xml:space="preserve"> бірж</w:t>
            </w:r>
            <w:r w:rsidR="00087407" w:rsidRPr="00286216">
              <w:rPr>
                <w:color w:val="000000" w:themeColor="text1"/>
              </w:rPr>
              <w:t>і</w:t>
            </w:r>
            <w:r w:rsidRPr="00286216">
              <w:rPr>
                <w:color w:val="000000" w:themeColor="text1"/>
              </w:rPr>
              <w:t>";</w:t>
            </w:r>
          </w:p>
          <w:p w14:paraId="01AA236B" w14:textId="77777777" w:rsidR="008E7C27" w:rsidRPr="00286216" w:rsidRDefault="008E7C27" w:rsidP="00022D7E">
            <w:pPr>
              <w:pStyle w:val="StyleProp"/>
              <w:spacing w:line="190" w:lineRule="exact"/>
              <w:rPr>
                <w:color w:val="000000" w:themeColor="text1"/>
              </w:rPr>
            </w:pPr>
            <w:r w:rsidRPr="00286216">
              <w:rPr>
                <w:color w:val="000000" w:themeColor="text1"/>
              </w:rPr>
              <w:t>3.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w:t>
            </w:r>
            <w:r w:rsidR="00790665" w:rsidRPr="00286216">
              <w:rPr>
                <w:color w:val="000000" w:themeColor="text1"/>
              </w:rPr>
              <w:t>і</w:t>
            </w:r>
            <w:r w:rsidRPr="00286216">
              <w:rPr>
                <w:color w:val="000000" w:themeColor="text1"/>
              </w:rPr>
              <w:t xml:space="preserve"> бірж</w:t>
            </w:r>
            <w:r w:rsidR="00790665" w:rsidRPr="00286216">
              <w:rPr>
                <w:color w:val="000000" w:themeColor="text1"/>
              </w:rPr>
              <w:t>і</w:t>
            </w:r>
            <w:r w:rsidRPr="00286216">
              <w:rPr>
                <w:color w:val="000000" w:themeColor="text1"/>
              </w:rPr>
              <w:t>".</w:t>
            </w:r>
          </w:p>
        </w:tc>
        <w:tc>
          <w:tcPr>
            <w:tcW w:w="1987" w:type="dxa"/>
          </w:tcPr>
          <w:p w14:paraId="771D6748" w14:textId="38FBC58D" w:rsidR="008E7C27" w:rsidRPr="00286216" w:rsidRDefault="008E7C27" w:rsidP="009847BD">
            <w:pPr>
              <w:pStyle w:val="StyleWisnow"/>
              <w:spacing w:line="180" w:lineRule="exact"/>
              <w:rPr>
                <w:color w:val="000000" w:themeColor="text1"/>
              </w:rPr>
            </w:pPr>
          </w:p>
        </w:tc>
        <w:tc>
          <w:tcPr>
            <w:tcW w:w="4818" w:type="dxa"/>
          </w:tcPr>
          <w:p w14:paraId="3E1023D4" w14:textId="77777777" w:rsidR="008E7C27" w:rsidRPr="00286216" w:rsidRDefault="008E7C27" w:rsidP="008E7C27">
            <w:pPr>
              <w:pStyle w:val="StyleZakonu"/>
              <w:rPr>
                <w:color w:val="000000" w:themeColor="text1"/>
              </w:rPr>
            </w:pPr>
          </w:p>
        </w:tc>
      </w:tr>
      <w:tr w:rsidR="00F77E8D" w:rsidRPr="00286216" w14:paraId="61013E03" w14:textId="77777777" w:rsidTr="00091AA5">
        <w:tc>
          <w:tcPr>
            <w:tcW w:w="576" w:type="dxa"/>
          </w:tcPr>
          <w:p w14:paraId="58F81FA5" w14:textId="77777777" w:rsidR="008E7C27" w:rsidRPr="00286216" w:rsidRDefault="008E7C27" w:rsidP="008E7C27">
            <w:pPr>
              <w:pStyle w:val="StyleWisnow"/>
              <w:rPr>
                <w:color w:val="000000" w:themeColor="text1"/>
              </w:rPr>
            </w:pPr>
            <w:bookmarkStart w:id="2" w:name="n3" w:colFirst="0" w:colLast="0"/>
            <w:bookmarkEnd w:id="1"/>
            <w:r w:rsidRPr="00286216">
              <w:rPr>
                <w:color w:val="000000" w:themeColor="text1"/>
              </w:rPr>
              <w:t>3.</w:t>
            </w:r>
          </w:p>
        </w:tc>
        <w:tc>
          <w:tcPr>
            <w:tcW w:w="4818" w:type="dxa"/>
          </w:tcPr>
          <w:p w14:paraId="41E2F401" w14:textId="77777777" w:rsidR="008E7C27" w:rsidRPr="00286216" w:rsidRDefault="008E7C27" w:rsidP="008E7C27">
            <w:pPr>
              <w:pStyle w:val="StyleZakonu"/>
              <w:spacing w:after="0"/>
              <w:ind w:firstLine="0"/>
              <w:jc w:val="center"/>
              <w:rPr>
                <w:color w:val="000000" w:themeColor="text1"/>
              </w:rPr>
            </w:pPr>
            <w:r w:rsidRPr="00286216">
              <w:rPr>
                <w:color w:val="000000" w:themeColor="text1"/>
              </w:rPr>
              <w:t>"ЗАКОН УКРАЇНИ</w:t>
            </w:r>
          </w:p>
          <w:p w14:paraId="3AB795E4" w14:textId="77777777" w:rsidR="008E7C27" w:rsidRPr="00286216" w:rsidRDefault="008E7C27" w:rsidP="008E7C27">
            <w:pPr>
              <w:pStyle w:val="StyleZakonu"/>
              <w:ind w:firstLine="0"/>
              <w:jc w:val="center"/>
              <w:rPr>
                <w:color w:val="000000" w:themeColor="text1"/>
              </w:rPr>
            </w:pPr>
            <w:r w:rsidRPr="00286216">
              <w:rPr>
                <w:color w:val="000000" w:themeColor="text1"/>
              </w:rPr>
              <w:t>Про ринки капіталу та організовані товарні ринки</w:t>
            </w:r>
          </w:p>
        </w:tc>
        <w:tc>
          <w:tcPr>
            <w:tcW w:w="3686" w:type="dxa"/>
          </w:tcPr>
          <w:p w14:paraId="2FFE2944" w14:textId="77777777" w:rsidR="008E7C27" w:rsidRPr="00286216" w:rsidRDefault="008E7C27" w:rsidP="008E7C27">
            <w:pPr>
              <w:pStyle w:val="StyleProp"/>
              <w:rPr>
                <w:color w:val="000000" w:themeColor="text1"/>
                <w:szCs w:val="18"/>
              </w:rPr>
            </w:pPr>
          </w:p>
        </w:tc>
        <w:tc>
          <w:tcPr>
            <w:tcW w:w="1987" w:type="dxa"/>
          </w:tcPr>
          <w:p w14:paraId="4481DC96" w14:textId="77777777" w:rsidR="008E7C27" w:rsidRPr="00286216" w:rsidRDefault="008E7C27" w:rsidP="008E7C27">
            <w:pPr>
              <w:pStyle w:val="StyleWisnow"/>
              <w:rPr>
                <w:color w:val="000000" w:themeColor="text1"/>
              </w:rPr>
            </w:pPr>
          </w:p>
        </w:tc>
        <w:tc>
          <w:tcPr>
            <w:tcW w:w="4818" w:type="dxa"/>
          </w:tcPr>
          <w:p w14:paraId="44F839E3" w14:textId="77777777" w:rsidR="008E7C27" w:rsidRPr="00286216" w:rsidRDefault="008E7C27" w:rsidP="008E7C27">
            <w:pPr>
              <w:pStyle w:val="StyleZakonu"/>
              <w:spacing w:after="0"/>
              <w:ind w:firstLine="0"/>
              <w:jc w:val="center"/>
              <w:rPr>
                <w:color w:val="000000" w:themeColor="text1"/>
              </w:rPr>
            </w:pPr>
            <w:r w:rsidRPr="00286216">
              <w:rPr>
                <w:color w:val="000000" w:themeColor="text1"/>
              </w:rPr>
              <w:t>ЗАКОН УКРАЇНИ</w:t>
            </w:r>
          </w:p>
          <w:p w14:paraId="01D199AD" w14:textId="77777777" w:rsidR="008E7C27" w:rsidRPr="00286216" w:rsidRDefault="008E7C27" w:rsidP="008E7C27">
            <w:pPr>
              <w:pStyle w:val="StyleZakonu"/>
              <w:ind w:firstLine="0"/>
              <w:jc w:val="center"/>
              <w:rPr>
                <w:color w:val="000000" w:themeColor="text1"/>
              </w:rPr>
            </w:pPr>
            <w:r w:rsidRPr="00286216">
              <w:rPr>
                <w:color w:val="000000" w:themeColor="text1"/>
              </w:rPr>
              <w:t>Про ринки капіталу та організовані товарні ринки</w:t>
            </w:r>
          </w:p>
        </w:tc>
      </w:tr>
      <w:tr w:rsidR="00F77E8D" w:rsidRPr="00286216" w14:paraId="2FA0E597" w14:textId="77777777" w:rsidTr="00091AA5">
        <w:tc>
          <w:tcPr>
            <w:tcW w:w="576" w:type="dxa"/>
          </w:tcPr>
          <w:p w14:paraId="07B4F3D4" w14:textId="77777777" w:rsidR="008E7C27" w:rsidRPr="00286216" w:rsidRDefault="008E7C27" w:rsidP="008E7C27">
            <w:pPr>
              <w:pStyle w:val="StyleWisnow"/>
              <w:rPr>
                <w:color w:val="000000" w:themeColor="text1"/>
              </w:rPr>
            </w:pPr>
            <w:bookmarkStart w:id="3" w:name="n4" w:colFirst="0" w:colLast="0"/>
            <w:bookmarkEnd w:id="2"/>
            <w:r w:rsidRPr="00286216">
              <w:rPr>
                <w:color w:val="000000" w:themeColor="text1"/>
              </w:rPr>
              <w:t>4.</w:t>
            </w:r>
          </w:p>
        </w:tc>
        <w:tc>
          <w:tcPr>
            <w:tcW w:w="4818" w:type="dxa"/>
          </w:tcPr>
          <w:p w14:paraId="43FAC45D" w14:textId="77777777" w:rsidR="008E7C27" w:rsidRPr="00286216" w:rsidRDefault="008E7C27" w:rsidP="008E7C27">
            <w:pPr>
              <w:pStyle w:val="StyleZakonu"/>
              <w:spacing w:after="0"/>
              <w:ind w:firstLine="0"/>
              <w:jc w:val="center"/>
              <w:rPr>
                <w:color w:val="000000" w:themeColor="text1"/>
              </w:rPr>
            </w:pPr>
            <w:r w:rsidRPr="00286216">
              <w:rPr>
                <w:color w:val="000000" w:themeColor="text1"/>
              </w:rPr>
              <w:t>Розділ I</w:t>
            </w:r>
          </w:p>
          <w:p w14:paraId="064BEE0B" w14:textId="77777777" w:rsidR="008E7C27" w:rsidRPr="00286216" w:rsidRDefault="008E7C27" w:rsidP="008E7C27">
            <w:pPr>
              <w:pStyle w:val="StyleZakonu"/>
              <w:ind w:firstLine="0"/>
              <w:jc w:val="center"/>
              <w:rPr>
                <w:color w:val="000000" w:themeColor="text1"/>
              </w:rPr>
            </w:pPr>
            <w:r w:rsidRPr="00286216">
              <w:rPr>
                <w:color w:val="000000" w:themeColor="text1"/>
              </w:rPr>
              <w:t>ЗАГАЛЬНІ ПОЛОЖЕННЯ</w:t>
            </w:r>
          </w:p>
        </w:tc>
        <w:tc>
          <w:tcPr>
            <w:tcW w:w="3686" w:type="dxa"/>
          </w:tcPr>
          <w:p w14:paraId="29F7CFB3" w14:textId="77777777" w:rsidR="008E7C27" w:rsidRPr="00286216" w:rsidRDefault="008E7C27" w:rsidP="008E7C27">
            <w:pPr>
              <w:pStyle w:val="StyleProp"/>
              <w:spacing w:after="120"/>
              <w:rPr>
                <w:rFonts w:eastAsia="Calibri"/>
                <w:color w:val="000000" w:themeColor="text1"/>
                <w:szCs w:val="18"/>
                <w:lang w:eastAsia="en-US"/>
              </w:rPr>
            </w:pPr>
          </w:p>
        </w:tc>
        <w:tc>
          <w:tcPr>
            <w:tcW w:w="1987" w:type="dxa"/>
          </w:tcPr>
          <w:p w14:paraId="22E7C63E" w14:textId="77777777" w:rsidR="008E7C27" w:rsidRPr="00286216" w:rsidRDefault="008E7C27" w:rsidP="008E7C27">
            <w:pPr>
              <w:pStyle w:val="StyleWisnow"/>
              <w:spacing w:line="180" w:lineRule="exact"/>
              <w:rPr>
                <w:color w:val="000000" w:themeColor="text1"/>
              </w:rPr>
            </w:pPr>
          </w:p>
        </w:tc>
        <w:tc>
          <w:tcPr>
            <w:tcW w:w="4818" w:type="dxa"/>
          </w:tcPr>
          <w:p w14:paraId="30AD058D" w14:textId="77777777" w:rsidR="008E7C27" w:rsidRPr="00286216" w:rsidRDefault="008E7C27" w:rsidP="008E7C27">
            <w:pPr>
              <w:pStyle w:val="StyleZakonu"/>
              <w:spacing w:after="0"/>
              <w:ind w:firstLine="0"/>
              <w:jc w:val="center"/>
              <w:rPr>
                <w:color w:val="000000" w:themeColor="text1"/>
              </w:rPr>
            </w:pPr>
            <w:r w:rsidRPr="00286216">
              <w:rPr>
                <w:color w:val="000000" w:themeColor="text1"/>
              </w:rPr>
              <w:t>Розділ I</w:t>
            </w:r>
          </w:p>
          <w:p w14:paraId="78BAC192" w14:textId="77777777" w:rsidR="008E7C27" w:rsidRPr="00286216" w:rsidRDefault="008E7C27" w:rsidP="008E7C27">
            <w:pPr>
              <w:pStyle w:val="StyleZakonu"/>
              <w:ind w:firstLine="0"/>
              <w:jc w:val="center"/>
              <w:rPr>
                <w:color w:val="000000" w:themeColor="text1"/>
              </w:rPr>
            </w:pPr>
            <w:r w:rsidRPr="00286216">
              <w:rPr>
                <w:color w:val="000000" w:themeColor="text1"/>
              </w:rPr>
              <w:t>ЗАГАЛЬНІ ПОЛОЖЕННЯ</w:t>
            </w:r>
          </w:p>
        </w:tc>
      </w:tr>
      <w:tr w:rsidR="00F77E8D" w:rsidRPr="00286216" w14:paraId="0275CF4E" w14:textId="77777777" w:rsidTr="00091AA5">
        <w:tc>
          <w:tcPr>
            <w:tcW w:w="576" w:type="dxa"/>
          </w:tcPr>
          <w:p w14:paraId="4A94ACE5" w14:textId="77777777" w:rsidR="008E7C27" w:rsidRPr="00286216" w:rsidRDefault="008E7C27" w:rsidP="008E7C27">
            <w:pPr>
              <w:pStyle w:val="StyleWisnow"/>
              <w:rPr>
                <w:color w:val="000000" w:themeColor="text1"/>
              </w:rPr>
            </w:pPr>
            <w:bookmarkStart w:id="4" w:name="n5" w:colFirst="0" w:colLast="0"/>
            <w:bookmarkEnd w:id="3"/>
            <w:r w:rsidRPr="00286216">
              <w:rPr>
                <w:color w:val="000000" w:themeColor="text1"/>
              </w:rPr>
              <w:t>5.</w:t>
            </w:r>
          </w:p>
        </w:tc>
        <w:tc>
          <w:tcPr>
            <w:tcW w:w="4818" w:type="dxa"/>
          </w:tcPr>
          <w:p w14:paraId="44B99B44" w14:textId="77777777" w:rsidR="008E7C27" w:rsidRPr="00286216" w:rsidRDefault="008E7C27" w:rsidP="008E7C27">
            <w:pPr>
              <w:pStyle w:val="StyleZakonu"/>
              <w:rPr>
                <w:color w:val="000000" w:themeColor="text1"/>
              </w:rPr>
            </w:pPr>
            <w:r w:rsidRPr="00286216">
              <w:rPr>
                <w:color w:val="000000" w:themeColor="text1"/>
              </w:rPr>
              <w:t>Стаття 1. Сфера застосування Закону</w:t>
            </w:r>
          </w:p>
        </w:tc>
        <w:tc>
          <w:tcPr>
            <w:tcW w:w="3686" w:type="dxa"/>
          </w:tcPr>
          <w:p w14:paraId="1F8663E2" w14:textId="77777777" w:rsidR="008E7C27" w:rsidRPr="00286216" w:rsidRDefault="008E7C27" w:rsidP="008E7C27">
            <w:pPr>
              <w:pStyle w:val="StyleProp"/>
              <w:rPr>
                <w:color w:val="000000" w:themeColor="text1"/>
                <w:szCs w:val="18"/>
              </w:rPr>
            </w:pPr>
          </w:p>
        </w:tc>
        <w:tc>
          <w:tcPr>
            <w:tcW w:w="1987" w:type="dxa"/>
          </w:tcPr>
          <w:p w14:paraId="01B2A953" w14:textId="77777777" w:rsidR="008E7C27" w:rsidRPr="00286216" w:rsidRDefault="008E7C27" w:rsidP="008E7C27">
            <w:pPr>
              <w:pStyle w:val="StyleWisnow"/>
              <w:rPr>
                <w:color w:val="000000" w:themeColor="text1"/>
              </w:rPr>
            </w:pPr>
          </w:p>
        </w:tc>
        <w:tc>
          <w:tcPr>
            <w:tcW w:w="4818" w:type="dxa"/>
          </w:tcPr>
          <w:p w14:paraId="3E168EEC" w14:textId="77777777" w:rsidR="008E7C27" w:rsidRPr="00286216" w:rsidRDefault="008E7C27" w:rsidP="008E7C27">
            <w:pPr>
              <w:pStyle w:val="StyleZakonu"/>
              <w:rPr>
                <w:color w:val="000000" w:themeColor="text1"/>
              </w:rPr>
            </w:pPr>
            <w:r w:rsidRPr="00286216">
              <w:rPr>
                <w:color w:val="000000" w:themeColor="text1"/>
              </w:rPr>
              <w:t>Стаття 1. Сфера застосування Закону</w:t>
            </w:r>
          </w:p>
        </w:tc>
      </w:tr>
      <w:tr w:rsidR="00F77E8D" w:rsidRPr="00286216" w14:paraId="1C4D5FBE" w14:textId="77777777" w:rsidTr="00091AA5">
        <w:tc>
          <w:tcPr>
            <w:tcW w:w="576" w:type="dxa"/>
          </w:tcPr>
          <w:p w14:paraId="7C9E8619" w14:textId="77777777" w:rsidR="00DA2302" w:rsidRPr="00286216" w:rsidRDefault="00DA2302" w:rsidP="00DA2302">
            <w:pPr>
              <w:pStyle w:val="StyleWisnow"/>
              <w:rPr>
                <w:color w:val="000000" w:themeColor="text1"/>
              </w:rPr>
            </w:pPr>
            <w:bookmarkStart w:id="5" w:name="n6" w:colFirst="0" w:colLast="0"/>
            <w:bookmarkEnd w:id="4"/>
            <w:r w:rsidRPr="00286216">
              <w:rPr>
                <w:color w:val="000000" w:themeColor="text1"/>
              </w:rPr>
              <w:t>6.</w:t>
            </w:r>
          </w:p>
        </w:tc>
        <w:tc>
          <w:tcPr>
            <w:tcW w:w="4818" w:type="dxa"/>
          </w:tcPr>
          <w:p w14:paraId="688B7813" w14:textId="77777777" w:rsidR="00DA2302" w:rsidRPr="00286216" w:rsidRDefault="00DA2302" w:rsidP="00DA2302">
            <w:pPr>
              <w:pStyle w:val="StyleZakonu"/>
              <w:rPr>
                <w:color w:val="000000" w:themeColor="text1"/>
              </w:rPr>
            </w:pPr>
            <w:r w:rsidRPr="00286216">
              <w:rPr>
                <w:color w:val="000000" w:themeColor="text1"/>
              </w:rPr>
              <w:t>1. Цей Закон регулює відносини, що виникають під час емісії, обігу цінних паперів та виконання зобов’язань за ними, укладення і виконання деривативних контрактів та правочинів на ринках капіталу, а також під час провадження професійної діяльності на ринках капіталу та провадження професійної діяльності операторами регульованих товарних ринків.</w:t>
            </w:r>
          </w:p>
        </w:tc>
        <w:tc>
          <w:tcPr>
            <w:tcW w:w="3686" w:type="dxa"/>
          </w:tcPr>
          <w:p w14:paraId="498A5F92" w14:textId="3CFC7693" w:rsidR="00DA2302" w:rsidRPr="00286216" w:rsidRDefault="00DA2302" w:rsidP="00820932">
            <w:pPr>
              <w:spacing w:line="21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C8148BE" w14:textId="77777777" w:rsidR="00DA2302" w:rsidRPr="00286216" w:rsidRDefault="00DA2302" w:rsidP="00DA2302">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6D07FA8" w14:textId="7271579C" w:rsidR="00DA2302" w:rsidRPr="00286216" w:rsidRDefault="00DA2302" w:rsidP="003E5885">
            <w:pPr>
              <w:pStyle w:val="StyleProp"/>
              <w:spacing w:line="190" w:lineRule="exact"/>
              <w:rPr>
                <w:color w:val="000000" w:themeColor="text1"/>
                <w:spacing w:val="-4"/>
              </w:rPr>
            </w:pPr>
            <w:r w:rsidRPr="00286216">
              <w:rPr>
                <w:color w:val="000000" w:themeColor="text1"/>
                <w:spacing w:val="-4"/>
              </w:rPr>
              <w:t xml:space="preserve">Частину </w:t>
            </w:r>
            <w:r w:rsidR="00265AAA" w:rsidRPr="00286216">
              <w:rPr>
                <w:color w:val="000000" w:themeColor="text1"/>
                <w:spacing w:val="-4"/>
              </w:rPr>
              <w:t xml:space="preserve">1 </w:t>
            </w:r>
            <w:r w:rsidRPr="00286216">
              <w:rPr>
                <w:color w:val="000000" w:themeColor="text1"/>
                <w:spacing w:val="-4"/>
              </w:rPr>
              <w:t>статті 1 викласти в такій редакції:</w:t>
            </w:r>
          </w:p>
          <w:p w14:paraId="67BE39AE" w14:textId="4FCBC729" w:rsidR="00DA2302" w:rsidRPr="00286216" w:rsidRDefault="0061508D" w:rsidP="00265AAA">
            <w:pPr>
              <w:pStyle w:val="StyleProp"/>
              <w:spacing w:line="180" w:lineRule="exact"/>
              <w:rPr>
                <w:color w:val="000000" w:themeColor="text1"/>
                <w:spacing w:val="-2"/>
                <w:szCs w:val="18"/>
              </w:rPr>
            </w:pPr>
            <w:r w:rsidRPr="00286216">
              <w:rPr>
                <w:color w:val="000000" w:themeColor="text1"/>
                <w:spacing w:val="-2"/>
              </w:rPr>
              <w:t>"</w:t>
            </w:r>
            <w:r w:rsidR="006F1FDD" w:rsidRPr="00286216">
              <w:rPr>
                <w:color w:val="000000" w:themeColor="text1"/>
                <w:spacing w:val="-2"/>
              </w:rPr>
              <w:t>1</w:t>
            </w:r>
            <w:r w:rsidR="006F1FDD" w:rsidRPr="00286216">
              <w:rPr>
                <w:color w:val="000000" w:themeColor="text1"/>
              </w:rPr>
              <w:t xml:space="preserve">. Цей Закон регулює відносини, що виникають під час емісії, обігу, викупу цінних паперів та виконання зобов’язань за ними, укладення і виконання деривативних контрактів, заміни сторони деривативних контрактів та вчинення правочинів щодо фінансових інструментів на ринках капіталу, а також відносини, що виникають під час </w:t>
            </w:r>
            <w:r w:rsidR="006F1FDD" w:rsidRPr="00286216">
              <w:rPr>
                <w:color w:val="000000" w:themeColor="text1"/>
                <w:spacing w:val="-3"/>
              </w:rPr>
              <w:t>провадження професійної діяльності на ринках капіталу та організованих товарних ринках</w:t>
            </w:r>
            <w:r w:rsidRPr="00286216">
              <w:rPr>
                <w:color w:val="000000" w:themeColor="text1"/>
                <w:spacing w:val="-3"/>
              </w:rPr>
              <w:t>"</w:t>
            </w:r>
            <w:r w:rsidR="00DA2302" w:rsidRPr="00286216">
              <w:rPr>
                <w:color w:val="000000" w:themeColor="text1"/>
                <w:spacing w:val="-3"/>
              </w:rPr>
              <w:t>.</w:t>
            </w:r>
            <w:r w:rsidR="00DA2302" w:rsidRPr="00286216" w:rsidDel="00BD050D">
              <w:rPr>
                <w:color w:val="000000" w:themeColor="text1"/>
                <w:spacing w:val="-2"/>
              </w:rPr>
              <w:t xml:space="preserve"> </w:t>
            </w:r>
          </w:p>
        </w:tc>
        <w:tc>
          <w:tcPr>
            <w:tcW w:w="1987" w:type="dxa"/>
          </w:tcPr>
          <w:p w14:paraId="07B7A666"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2B7756E5" w14:textId="392AB576" w:rsidR="00DA2302" w:rsidRPr="00286216" w:rsidRDefault="006F1FDD" w:rsidP="00A92C75">
            <w:pPr>
              <w:pStyle w:val="StyleZakonu"/>
              <w:rPr>
                <w:color w:val="000000" w:themeColor="text1"/>
              </w:rPr>
            </w:pPr>
            <w:r w:rsidRPr="00286216">
              <w:rPr>
                <w:color w:val="000000" w:themeColor="text1"/>
              </w:rPr>
              <w:t>1. Цей Закон регулює відносини, що виникають під час емісії, обігу, викупу цінних паперів та виконання зобов’язань за ними, уклад</w:t>
            </w:r>
            <w:r w:rsidR="00A92C75" w:rsidRPr="00286216">
              <w:rPr>
                <w:color w:val="000000" w:themeColor="text1"/>
              </w:rPr>
              <w:t>а</w:t>
            </w:r>
            <w:r w:rsidRPr="00286216">
              <w:rPr>
                <w:color w:val="000000" w:themeColor="text1"/>
              </w:rPr>
              <w:t>ння і виконання деривативних контрактів, заміни сторони деривативних контрактів та вчинення правочинів щодо фінансових інструментів на ринках капіталу, а також відносини, що виникають під час провадження професійної діяльності на ринках капіталу та організованих товарних ринках</w:t>
            </w:r>
            <w:r w:rsidR="00DA2302" w:rsidRPr="00286216">
              <w:rPr>
                <w:color w:val="000000" w:themeColor="text1"/>
              </w:rPr>
              <w:t>.</w:t>
            </w:r>
          </w:p>
        </w:tc>
      </w:tr>
      <w:bookmarkEnd w:id="5"/>
      <w:tr w:rsidR="00F77E8D" w:rsidRPr="00286216" w14:paraId="04867D01" w14:textId="77777777" w:rsidTr="00091AA5">
        <w:tc>
          <w:tcPr>
            <w:tcW w:w="576" w:type="dxa"/>
          </w:tcPr>
          <w:p w14:paraId="5F5EB99D" w14:textId="77777777" w:rsidR="00DA2302" w:rsidRPr="00286216" w:rsidRDefault="00DA2302" w:rsidP="00DA2302">
            <w:pPr>
              <w:pStyle w:val="StyleWisnow"/>
              <w:rPr>
                <w:color w:val="000000" w:themeColor="text1"/>
              </w:rPr>
            </w:pPr>
          </w:p>
        </w:tc>
        <w:tc>
          <w:tcPr>
            <w:tcW w:w="4818" w:type="dxa"/>
          </w:tcPr>
          <w:p w14:paraId="5003A1B6" w14:textId="77777777" w:rsidR="00DA2302" w:rsidRPr="00286216" w:rsidRDefault="00DA2302" w:rsidP="00DA2302">
            <w:pPr>
              <w:pStyle w:val="StyleZakonu"/>
              <w:rPr>
                <w:color w:val="000000" w:themeColor="text1"/>
              </w:rPr>
            </w:pPr>
          </w:p>
        </w:tc>
        <w:tc>
          <w:tcPr>
            <w:tcW w:w="3686" w:type="dxa"/>
          </w:tcPr>
          <w:p w14:paraId="365FAF9D" w14:textId="75F5E978" w:rsidR="00DA2302" w:rsidRPr="00286216" w:rsidRDefault="00DA2302" w:rsidP="00FC6DF5">
            <w:pPr>
              <w:pStyle w:val="StyleAwt"/>
              <w:spacing w:line="210" w:lineRule="exact"/>
              <w:rPr>
                <w:color w:val="000000" w:themeColor="text1"/>
                <w:spacing w:val="-10"/>
                <w:szCs w:val="18"/>
              </w:rPr>
            </w:pPr>
            <w:r w:rsidRPr="00286216">
              <w:rPr>
                <w:color w:val="000000" w:themeColor="text1"/>
                <w:spacing w:val="-10"/>
                <w:szCs w:val="18"/>
              </w:rPr>
              <w:t>-</w:t>
            </w:r>
            <w:r w:rsidRPr="00286216">
              <w:rPr>
                <w:color w:val="000000" w:themeColor="text1"/>
                <w:spacing w:val="-10"/>
                <w:szCs w:val="18"/>
              </w:rPr>
              <w:fldChar w:fldCharType="begin"/>
            </w:r>
            <w:r w:rsidRPr="00286216">
              <w:rPr>
                <w:color w:val="000000" w:themeColor="text1"/>
                <w:spacing w:val="-10"/>
                <w:szCs w:val="18"/>
              </w:rPr>
              <w:instrText xml:space="preserve"> SEQ aa </w:instrText>
            </w:r>
            <w:r w:rsidRPr="00286216">
              <w:rPr>
                <w:color w:val="000000" w:themeColor="text1"/>
                <w:spacing w:val="-10"/>
                <w:szCs w:val="18"/>
              </w:rPr>
              <w:fldChar w:fldCharType="separate"/>
            </w:r>
            <w:r w:rsidR="00C46B29">
              <w:rPr>
                <w:noProof/>
                <w:color w:val="000000" w:themeColor="text1"/>
                <w:spacing w:val="-10"/>
                <w:szCs w:val="18"/>
              </w:rPr>
              <w:t>3</w:t>
            </w:r>
            <w:r w:rsidRPr="00286216">
              <w:rPr>
                <w:color w:val="000000" w:themeColor="text1"/>
                <w:spacing w:val="-10"/>
                <w:szCs w:val="18"/>
              </w:rPr>
              <w:fldChar w:fldCharType="end"/>
            </w:r>
            <w:r w:rsidRPr="00286216">
              <w:rPr>
                <w:color w:val="000000" w:themeColor="text1"/>
                <w:spacing w:val="-6"/>
                <w:szCs w:val="18"/>
              </w:rPr>
              <w:t>-Н.д. Устенко О.О.(Реєстр.картка№308)</w:t>
            </w:r>
          </w:p>
          <w:p w14:paraId="0FE0F47A" w14:textId="77777777" w:rsidR="00DA2302" w:rsidRPr="00286216" w:rsidRDefault="00DA2302" w:rsidP="00FC6DF5">
            <w:pPr>
              <w:pStyle w:val="StyleProp"/>
              <w:spacing w:line="190" w:lineRule="exact"/>
              <w:rPr>
                <w:color w:val="000000" w:themeColor="text1"/>
                <w:spacing w:val="-2"/>
              </w:rPr>
            </w:pPr>
            <w:r w:rsidRPr="00286216">
              <w:rPr>
                <w:color w:val="000000" w:themeColor="text1"/>
                <w:spacing w:val="-2"/>
              </w:rPr>
              <w:t>Частину першу статті 1 після слів «під час емісії, обігу» доповнити словом «викупу», а після слів «та правочинів» доповнити словами «щодо інших фінансових інструментів».</w:t>
            </w:r>
          </w:p>
          <w:p w14:paraId="440FA903" w14:textId="0EDBF9E6" w:rsidR="00DA2302" w:rsidRPr="00286216" w:rsidRDefault="00DA2302" w:rsidP="00DA2302">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27D3B6E0" w14:textId="7B83ACCE" w:rsidR="00DA2302" w:rsidRPr="00286216" w:rsidRDefault="00DA2302" w:rsidP="00DA2302">
            <w:pPr>
              <w:pStyle w:val="StyleProp"/>
              <w:spacing w:line="180" w:lineRule="exact"/>
              <w:rPr>
                <w:rFonts w:eastAsia="Calibri"/>
                <w:color w:val="000000" w:themeColor="text1"/>
                <w:szCs w:val="18"/>
                <w:lang w:eastAsia="en-US"/>
              </w:rPr>
            </w:pPr>
            <w:r w:rsidRPr="00286216">
              <w:rPr>
                <w:color w:val="000000" w:themeColor="text1"/>
                <w:szCs w:val="18"/>
              </w:rPr>
              <w:t>У частині першій статті 1 після слів «деривативних контрактів та правочинів» доповнити словами «щодо валютних цінностей»</w:t>
            </w:r>
            <w:r w:rsidR="006C6A35" w:rsidRPr="00286216">
              <w:rPr>
                <w:color w:val="000000" w:themeColor="text1"/>
                <w:szCs w:val="18"/>
              </w:rPr>
              <w:t>.</w:t>
            </w:r>
          </w:p>
        </w:tc>
        <w:tc>
          <w:tcPr>
            <w:tcW w:w="1987" w:type="dxa"/>
          </w:tcPr>
          <w:p w14:paraId="001B809A" w14:textId="77777777" w:rsidR="00DA2302" w:rsidRPr="00286216" w:rsidRDefault="00DA2302" w:rsidP="00DA2302">
            <w:pPr>
              <w:pStyle w:val="StyleWisnow"/>
              <w:spacing w:line="180" w:lineRule="exact"/>
              <w:rPr>
                <w:color w:val="000000" w:themeColor="text1"/>
              </w:rPr>
            </w:pPr>
            <w:r w:rsidRPr="00286216">
              <w:rPr>
                <w:color w:val="000000" w:themeColor="text1"/>
              </w:rPr>
              <w:t>Враховано редакційно</w:t>
            </w:r>
          </w:p>
          <w:p w14:paraId="3A214387" w14:textId="77777777" w:rsidR="00DA2302" w:rsidRPr="00286216" w:rsidRDefault="00DA2302" w:rsidP="00DA2302">
            <w:pPr>
              <w:pStyle w:val="StyleWisnow"/>
              <w:spacing w:line="180" w:lineRule="exact"/>
              <w:rPr>
                <w:color w:val="000000" w:themeColor="text1"/>
              </w:rPr>
            </w:pPr>
          </w:p>
          <w:p w14:paraId="292852A2" w14:textId="77777777" w:rsidR="00DA2302" w:rsidRPr="00286216" w:rsidRDefault="00DA2302" w:rsidP="00DA2302">
            <w:pPr>
              <w:pStyle w:val="StyleWisnow"/>
              <w:spacing w:line="180" w:lineRule="exact"/>
              <w:rPr>
                <w:color w:val="000000" w:themeColor="text1"/>
              </w:rPr>
            </w:pPr>
          </w:p>
          <w:p w14:paraId="0AF6E8BF" w14:textId="77777777" w:rsidR="00DA2302" w:rsidRPr="00286216" w:rsidRDefault="00DA2302" w:rsidP="00DA2302">
            <w:pPr>
              <w:pStyle w:val="StyleWisnow"/>
              <w:spacing w:line="180" w:lineRule="exact"/>
              <w:rPr>
                <w:color w:val="000000" w:themeColor="text1"/>
              </w:rPr>
            </w:pPr>
          </w:p>
          <w:p w14:paraId="3D4B9D56" w14:textId="77777777" w:rsidR="00DA2302" w:rsidRPr="00286216" w:rsidRDefault="00DA2302" w:rsidP="00DA2302">
            <w:pPr>
              <w:pStyle w:val="StyleWisnow"/>
              <w:spacing w:line="180" w:lineRule="exact"/>
              <w:rPr>
                <w:color w:val="000000" w:themeColor="text1"/>
              </w:rPr>
            </w:pPr>
          </w:p>
          <w:p w14:paraId="054D82F7" w14:textId="77777777" w:rsidR="00286216" w:rsidRDefault="00286216" w:rsidP="00DA2302">
            <w:pPr>
              <w:pStyle w:val="StyleWisnow"/>
              <w:spacing w:line="180" w:lineRule="exact"/>
              <w:rPr>
                <w:color w:val="000000" w:themeColor="text1"/>
              </w:rPr>
            </w:pPr>
          </w:p>
          <w:p w14:paraId="440E2D7E" w14:textId="13D8F577" w:rsidR="00F06835" w:rsidRPr="00286216" w:rsidRDefault="00DA2302" w:rsidP="00286216">
            <w:pPr>
              <w:pStyle w:val="StyleWisnow"/>
              <w:spacing w:line="160" w:lineRule="exact"/>
              <w:rPr>
                <w:color w:val="000000" w:themeColor="text1"/>
              </w:rPr>
            </w:pPr>
            <w:r w:rsidRPr="00286216">
              <w:rPr>
                <w:color w:val="000000" w:themeColor="text1"/>
              </w:rPr>
              <w:t>В</w:t>
            </w:r>
            <w:r w:rsidR="00F06835" w:rsidRPr="00286216">
              <w:rPr>
                <w:color w:val="000000" w:themeColor="text1"/>
              </w:rPr>
              <w:t>раховано по суті</w:t>
            </w:r>
          </w:p>
          <w:p w14:paraId="73386B4C" w14:textId="04D923FA" w:rsidR="00DA2302" w:rsidRPr="00286216" w:rsidRDefault="00AD057D" w:rsidP="00286216">
            <w:pPr>
              <w:pStyle w:val="StyleWisnow"/>
              <w:spacing w:line="160" w:lineRule="exact"/>
              <w:rPr>
                <w:color w:val="000000" w:themeColor="text1"/>
                <w:spacing w:val="-4"/>
              </w:rPr>
            </w:pPr>
            <w:r w:rsidRPr="00286216">
              <w:rPr>
                <w:color w:val="000000" w:themeColor="text1"/>
              </w:rPr>
              <w:t>З</w:t>
            </w:r>
            <w:r w:rsidR="00F06835" w:rsidRPr="00286216">
              <w:rPr>
                <w:color w:val="000000" w:themeColor="text1"/>
              </w:rPr>
              <w:t>акон стосуватиметься валютних цінностей, зокрема, у частині клірингу, торгівлі, деривативів тощо</w:t>
            </w:r>
          </w:p>
        </w:tc>
        <w:tc>
          <w:tcPr>
            <w:tcW w:w="4818" w:type="dxa"/>
          </w:tcPr>
          <w:p w14:paraId="56793F84" w14:textId="77777777" w:rsidR="00DA2302" w:rsidRPr="00286216" w:rsidRDefault="00DA2302" w:rsidP="00DA2302">
            <w:pPr>
              <w:pStyle w:val="StyleZakonu"/>
              <w:rPr>
                <w:color w:val="000000" w:themeColor="text1"/>
              </w:rPr>
            </w:pPr>
          </w:p>
        </w:tc>
      </w:tr>
      <w:tr w:rsidR="00F77E8D" w:rsidRPr="00286216" w14:paraId="379D5CB2" w14:textId="77777777" w:rsidTr="00091AA5">
        <w:tc>
          <w:tcPr>
            <w:tcW w:w="576" w:type="dxa"/>
          </w:tcPr>
          <w:p w14:paraId="36763EDE" w14:textId="77777777" w:rsidR="00DA2302" w:rsidRPr="00286216" w:rsidRDefault="00DA2302" w:rsidP="00DA2302">
            <w:pPr>
              <w:pStyle w:val="StyleWisnow"/>
              <w:rPr>
                <w:color w:val="000000" w:themeColor="text1"/>
              </w:rPr>
            </w:pPr>
          </w:p>
        </w:tc>
        <w:tc>
          <w:tcPr>
            <w:tcW w:w="4818" w:type="dxa"/>
          </w:tcPr>
          <w:p w14:paraId="7156AAA1" w14:textId="77777777" w:rsidR="00DA2302" w:rsidRPr="00286216" w:rsidRDefault="00DA2302" w:rsidP="00DA2302">
            <w:pPr>
              <w:pStyle w:val="StyleZakonu"/>
              <w:rPr>
                <w:color w:val="000000" w:themeColor="text1"/>
              </w:rPr>
            </w:pPr>
          </w:p>
        </w:tc>
        <w:tc>
          <w:tcPr>
            <w:tcW w:w="3686" w:type="dxa"/>
          </w:tcPr>
          <w:p w14:paraId="24DCD67B" w14:textId="562F0CC8"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71CE70D" w14:textId="77777777" w:rsidR="00DA2302" w:rsidRPr="00286216" w:rsidRDefault="00DA2302" w:rsidP="00DA2302">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3AD8CAAB" w14:textId="77777777" w:rsidR="00DA2302" w:rsidRPr="00286216" w:rsidRDefault="00DA2302" w:rsidP="00817365">
            <w:pPr>
              <w:pStyle w:val="StyleProp"/>
              <w:spacing w:line="180" w:lineRule="exact"/>
              <w:rPr>
                <w:color w:val="000000" w:themeColor="text1"/>
              </w:rPr>
            </w:pPr>
            <w:r w:rsidRPr="00286216">
              <w:rPr>
                <w:color w:val="000000" w:themeColor="text1"/>
              </w:rPr>
              <w:t>Статтю 1 розділу 1 після частини 1 доповнити новою частиною такого змісту:</w:t>
            </w:r>
          </w:p>
          <w:p w14:paraId="2615770F" w14:textId="77777777" w:rsidR="00DA2302" w:rsidRPr="00286216" w:rsidRDefault="00DA2302" w:rsidP="00817365">
            <w:pPr>
              <w:pStyle w:val="StyleProp"/>
              <w:spacing w:line="180" w:lineRule="exact"/>
              <w:rPr>
                <w:color w:val="000000" w:themeColor="text1"/>
                <w:spacing w:val="-4"/>
              </w:rPr>
            </w:pPr>
            <w:r w:rsidRPr="00286216">
              <w:rPr>
                <w:color w:val="000000" w:themeColor="text1"/>
              </w:rPr>
              <w:t>"2. Дія цього Закону не поширюється на діяльність оператора ринку електричної енергії, оператора системи передачі, оператора газотранспортної системи та на відносини, пов’язані з  функціонуванням ринку електричної енергії відповідно до Закону України "Про ринок електричної енергії", функціонуванням ринку природного газу відповідно до Закону України "Про ринок природного газу" та функціонуванням сфери теплопостачання відповідно до Закону України "Про державне регулювання у сфері комунальних послуг". Відносини, пов’язані з діяльністю у сферах енергетики та комунальних послуг регулюються Національною комісією,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tc>
        <w:tc>
          <w:tcPr>
            <w:tcW w:w="1987" w:type="dxa"/>
          </w:tcPr>
          <w:p w14:paraId="2085351F" w14:textId="77777777" w:rsidR="00DA2302" w:rsidRPr="00286216" w:rsidRDefault="00DA2302" w:rsidP="00F562FA">
            <w:pPr>
              <w:pStyle w:val="StyleWisnow"/>
              <w:spacing w:before="120" w:line="180" w:lineRule="exact"/>
              <w:rPr>
                <w:color w:val="000000" w:themeColor="text1"/>
              </w:rPr>
            </w:pPr>
            <w:r w:rsidRPr="00286216">
              <w:rPr>
                <w:color w:val="000000" w:themeColor="text1"/>
              </w:rPr>
              <w:t>Враховано</w:t>
            </w:r>
          </w:p>
        </w:tc>
        <w:tc>
          <w:tcPr>
            <w:tcW w:w="4818" w:type="dxa"/>
          </w:tcPr>
          <w:p w14:paraId="70884A75" w14:textId="090F575B" w:rsidR="00DA2302" w:rsidRPr="00286216" w:rsidRDefault="00DA2302" w:rsidP="00DA2302">
            <w:pPr>
              <w:pStyle w:val="StyleZakonu"/>
              <w:rPr>
                <w:color w:val="000000" w:themeColor="text1"/>
              </w:rPr>
            </w:pPr>
            <w:r w:rsidRPr="00286216">
              <w:rPr>
                <w:color w:val="000000" w:themeColor="text1"/>
              </w:rPr>
              <w:t>2. Дія цього Закону не поширюється на діяльність оператора ринку електричної енергії, оператора системи передачі, оператора газотранспортної системи та на відносини, пов’язані з  функціонуванням ринку електричної енергії відповідно до Закону України "Про ринок електричної енергії", функціонуванням ринку природного газу відповідно до Закону України "Про ринок природного газу" та функціонуванням сфери теплопостачання відповідно до Закону України "Про державне регулювання у сфері комунальних послуг". Відносини, пов’язані з діяльністю у сферах енергетики та комунальних послуг</w:t>
            </w:r>
            <w:r w:rsidR="005F0A24" w:rsidRPr="00286216">
              <w:rPr>
                <w:color w:val="000000" w:themeColor="text1"/>
              </w:rPr>
              <w:t>,</w:t>
            </w:r>
            <w:r w:rsidRPr="00286216">
              <w:rPr>
                <w:color w:val="000000" w:themeColor="text1"/>
              </w:rPr>
              <w:t xml:space="preserve"> регулюються Національною комісією,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tc>
      </w:tr>
      <w:tr w:rsidR="00F77E8D" w:rsidRPr="00286216" w14:paraId="7224BC0F" w14:textId="77777777" w:rsidTr="00091AA5">
        <w:tc>
          <w:tcPr>
            <w:tcW w:w="576" w:type="dxa"/>
          </w:tcPr>
          <w:p w14:paraId="2AF9EB9C" w14:textId="77777777" w:rsidR="00DA2302" w:rsidRPr="00286216" w:rsidRDefault="00DA2302" w:rsidP="00DA2302">
            <w:pPr>
              <w:pStyle w:val="StyleWisnow"/>
              <w:rPr>
                <w:color w:val="000000" w:themeColor="text1"/>
              </w:rPr>
            </w:pPr>
            <w:bookmarkStart w:id="6" w:name="n7" w:colFirst="0" w:colLast="0"/>
            <w:r w:rsidRPr="00286216">
              <w:rPr>
                <w:color w:val="000000" w:themeColor="text1"/>
              </w:rPr>
              <w:t>7.</w:t>
            </w:r>
          </w:p>
        </w:tc>
        <w:tc>
          <w:tcPr>
            <w:tcW w:w="4818" w:type="dxa"/>
          </w:tcPr>
          <w:p w14:paraId="50D09C6F" w14:textId="77777777" w:rsidR="00DA2302" w:rsidRPr="00286216" w:rsidRDefault="00DA2302" w:rsidP="00DA2302">
            <w:pPr>
              <w:pStyle w:val="StyleZakonu"/>
              <w:rPr>
                <w:color w:val="000000" w:themeColor="text1"/>
              </w:rPr>
            </w:pPr>
            <w:r w:rsidRPr="00286216">
              <w:rPr>
                <w:color w:val="000000" w:themeColor="text1"/>
              </w:rPr>
              <w:t>2. Дія цього Закону не поширюється на відносини, пов’язані з вчиненням і виконанням правочинів поза організованими ринками щодо інструментів грошового ринку, а також продукції та іншого майна, визначеного родовими ознаками.</w:t>
            </w:r>
          </w:p>
        </w:tc>
        <w:tc>
          <w:tcPr>
            <w:tcW w:w="3686" w:type="dxa"/>
          </w:tcPr>
          <w:p w14:paraId="6E0E2337" w14:textId="30EE4111" w:rsidR="00DA2302" w:rsidRPr="00286216" w:rsidRDefault="00DA2302" w:rsidP="00DA2302">
            <w:pPr>
              <w:pStyle w:val="StyleAwt"/>
              <w:rPr>
                <w:color w:val="000000" w:themeColor="text1"/>
                <w:spacing w:val="-10"/>
                <w:szCs w:val="18"/>
              </w:rPr>
            </w:pPr>
            <w:r w:rsidRPr="00286216">
              <w:rPr>
                <w:color w:val="000000" w:themeColor="text1"/>
                <w:spacing w:val="-10"/>
                <w:szCs w:val="18"/>
              </w:rPr>
              <w:t>-</w:t>
            </w:r>
            <w:r w:rsidRPr="00286216">
              <w:rPr>
                <w:color w:val="000000" w:themeColor="text1"/>
                <w:spacing w:val="-10"/>
                <w:szCs w:val="18"/>
              </w:rPr>
              <w:fldChar w:fldCharType="begin"/>
            </w:r>
            <w:r w:rsidRPr="00286216">
              <w:rPr>
                <w:color w:val="000000" w:themeColor="text1"/>
                <w:spacing w:val="-10"/>
                <w:szCs w:val="18"/>
              </w:rPr>
              <w:instrText xml:space="preserve"> SEQ aa </w:instrText>
            </w:r>
            <w:r w:rsidRPr="00286216">
              <w:rPr>
                <w:color w:val="000000" w:themeColor="text1"/>
                <w:spacing w:val="-10"/>
                <w:szCs w:val="18"/>
              </w:rPr>
              <w:fldChar w:fldCharType="separate"/>
            </w:r>
            <w:r w:rsidR="00C46B29">
              <w:rPr>
                <w:noProof/>
                <w:color w:val="000000" w:themeColor="text1"/>
                <w:spacing w:val="-10"/>
                <w:szCs w:val="18"/>
              </w:rPr>
              <w:t>6</w:t>
            </w:r>
            <w:r w:rsidRPr="00286216">
              <w:rPr>
                <w:color w:val="000000" w:themeColor="text1"/>
                <w:spacing w:val="-10"/>
                <w:szCs w:val="18"/>
              </w:rPr>
              <w:fldChar w:fldCharType="end"/>
            </w:r>
            <w:r w:rsidRPr="00286216">
              <w:rPr>
                <w:color w:val="000000" w:themeColor="text1"/>
                <w:spacing w:val="-6"/>
                <w:szCs w:val="18"/>
              </w:rPr>
              <w:t>-Н.д. Устенко О.О.(Реєстр.картка№308)</w:t>
            </w:r>
          </w:p>
          <w:p w14:paraId="2F69ED77" w14:textId="77777777" w:rsidR="00DA2302" w:rsidRPr="00286216" w:rsidRDefault="00DA2302" w:rsidP="001E1C99">
            <w:pPr>
              <w:pStyle w:val="StyleProp"/>
              <w:spacing w:line="180" w:lineRule="exact"/>
              <w:rPr>
                <w:color w:val="000000" w:themeColor="text1"/>
                <w:spacing w:val="-3"/>
                <w:szCs w:val="18"/>
              </w:rPr>
            </w:pPr>
            <w:r w:rsidRPr="00286216">
              <w:rPr>
                <w:color w:val="000000" w:themeColor="text1"/>
                <w:spacing w:val="-3"/>
                <w:szCs w:val="18"/>
              </w:rPr>
              <w:t>Частину другу статті 1 після слів «вчиненням і виконанням» доповнити словами «(крім провадження клірингової діяльності)», після слова «правочинів» доповнити словами «(крім деривативних контрактів)».</w:t>
            </w:r>
          </w:p>
        </w:tc>
        <w:tc>
          <w:tcPr>
            <w:tcW w:w="1987" w:type="dxa"/>
          </w:tcPr>
          <w:p w14:paraId="0DC7CB12" w14:textId="77777777" w:rsidR="00DA2302" w:rsidRPr="00286216" w:rsidRDefault="00DA2302" w:rsidP="00DA2302">
            <w:pPr>
              <w:pStyle w:val="StyleWisnow"/>
              <w:rPr>
                <w:color w:val="000000" w:themeColor="text1"/>
              </w:rPr>
            </w:pPr>
            <w:r w:rsidRPr="00286216">
              <w:rPr>
                <w:color w:val="000000" w:themeColor="text1"/>
              </w:rPr>
              <w:t>Враховано редакційно</w:t>
            </w:r>
          </w:p>
        </w:tc>
        <w:tc>
          <w:tcPr>
            <w:tcW w:w="4818" w:type="dxa"/>
          </w:tcPr>
          <w:p w14:paraId="44C6270A" w14:textId="2F58E611" w:rsidR="00DA2302" w:rsidRPr="00286216" w:rsidRDefault="00DA2302" w:rsidP="00817365">
            <w:pPr>
              <w:pStyle w:val="StyleZakonu"/>
              <w:spacing w:after="20" w:line="200" w:lineRule="exact"/>
              <w:rPr>
                <w:color w:val="000000" w:themeColor="text1"/>
              </w:rPr>
            </w:pPr>
            <w:r w:rsidRPr="00286216">
              <w:rPr>
                <w:color w:val="000000" w:themeColor="text1"/>
              </w:rPr>
              <w:t>3.</w:t>
            </w:r>
            <w:r w:rsidR="00705474" w:rsidRPr="00286216">
              <w:rPr>
                <w:color w:val="000000" w:themeColor="text1"/>
              </w:rPr>
              <w:t xml:space="preserve"> </w:t>
            </w:r>
            <w:r w:rsidRPr="00286216">
              <w:rPr>
                <w:color w:val="000000" w:themeColor="text1"/>
              </w:rPr>
              <w:t>Дія цього Закону не поширюється на:</w:t>
            </w:r>
          </w:p>
          <w:p w14:paraId="00D478A3" w14:textId="77777777" w:rsidR="00DA2302" w:rsidRPr="00286216" w:rsidRDefault="00DA2302" w:rsidP="00DA2302">
            <w:pPr>
              <w:pStyle w:val="StyleZakonu"/>
              <w:rPr>
                <w:color w:val="000000" w:themeColor="text1"/>
              </w:rPr>
            </w:pPr>
            <w:r w:rsidRPr="00286216">
              <w:rPr>
                <w:color w:val="000000" w:themeColor="text1"/>
              </w:rPr>
              <w:t>1) відносини, пов’язані з вчиненням і виконанням правочинів (крім деривативних контрактів та правочинів щодо них) поза організованими ринками (крім провадження клірингової діяльності, здійснення ліквідаційного неттінгу) щодо:</w:t>
            </w:r>
          </w:p>
        </w:tc>
      </w:tr>
      <w:tr w:rsidR="00F77E8D" w:rsidRPr="00286216" w14:paraId="25660096" w14:textId="77777777" w:rsidTr="00091AA5">
        <w:tc>
          <w:tcPr>
            <w:tcW w:w="576" w:type="dxa"/>
          </w:tcPr>
          <w:p w14:paraId="064F8A28" w14:textId="77777777" w:rsidR="00DA2302" w:rsidRPr="00286216" w:rsidRDefault="00DA2302" w:rsidP="00DA2302">
            <w:pPr>
              <w:pStyle w:val="StyleWisnow"/>
              <w:rPr>
                <w:color w:val="000000" w:themeColor="text1"/>
              </w:rPr>
            </w:pPr>
          </w:p>
        </w:tc>
        <w:tc>
          <w:tcPr>
            <w:tcW w:w="4818" w:type="dxa"/>
          </w:tcPr>
          <w:p w14:paraId="3473E58B" w14:textId="77777777" w:rsidR="00DA2302" w:rsidRPr="00286216" w:rsidRDefault="00DA2302" w:rsidP="00DA2302">
            <w:pPr>
              <w:pStyle w:val="StyleZakonu"/>
              <w:rPr>
                <w:color w:val="000000" w:themeColor="text1"/>
              </w:rPr>
            </w:pPr>
          </w:p>
        </w:tc>
        <w:tc>
          <w:tcPr>
            <w:tcW w:w="3686" w:type="dxa"/>
          </w:tcPr>
          <w:p w14:paraId="5D39C422" w14:textId="075C1333" w:rsidR="00DA2302" w:rsidRPr="00286216" w:rsidRDefault="00DA2302" w:rsidP="00DA2302">
            <w:pPr>
              <w:pStyle w:val="StyleAwt"/>
              <w:rPr>
                <w:color w:val="000000" w:themeColor="text1"/>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w:t>
            </w:r>
            <w:r w:rsidRPr="00286216">
              <w:rPr>
                <w:color w:val="000000" w:themeColor="text1"/>
                <w:spacing w:val="-6"/>
                <w:szCs w:val="18"/>
              </w:rPr>
              <w:fldChar w:fldCharType="end"/>
            </w:r>
            <w:r w:rsidRPr="00286216">
              <w:rPr>
                <w:color w:val="000000" w:themeColor="text1"/>
                <w:spacing w:val="-6"/>
                <w:szCs w:val="18"/>
              </w:rPr>
              <w:t>-</w:t>
            </w:r>
            <w:r w:rsidRPr="00286216">
              <w:rPr>
                <w:color w:val="000000" w:themeColor="text1"/>
              </w:rPr>
              <w:t>Н.д.Бєлькова О.В. (Реєстр.картка №403)</w:t>
            </w:r>
          </w:p>
          <w:p w14:paraId="0C2646DD" w14:textId="7345EAC2" w:rsidR="00DA2302" w:rsidRPr="00286216" w:rsidRDefault="00DA2302" w:rsidP="00286216">
            <w:pPr>
              <w:pStyle w:val="StyleProp"/>
              <w:spacing w:line="180" w:lineRule="exact"/>
              <w:rPr>
                <w:color w:val="000000" w:themeColor="text1"/>
              </w:rPr>
            </w:pPr>
            <w:r w:rsidRPr="00286216">
              <w:rPr>
                <w:color w:val="000000" w:themeColor="text1"/>
              </w:rPr>
              <w:t xml:space="preserve">Абзац </w:t>
            </w:r>
            <w:r w:rsidR="001E1C99" w:rsidRPr="00286216">
              <w:rPr>
                <w:color w:val="000000" w:themeColor="text1"/>
              </w:rPr>
              <w:t xml:space="preserve">1 </w:t>
            </w:r>
            <w:r w:rsidRPr="00286216">
              <w:rPr>
                <w:color w:val="000000" w:themeColor="text1"/>
              </w:rPr>
              <w:t xml:space="preserve">частини </w:t>
            </w:r>
            <w:r w:rsidR="001E1C99" w:rsidRPr="00286216">
              <w:rPr>
                <w:color w:val="000000" w:themeColor="text1"/>
              </w:rPr>
              <w:t xml:space="preserve">2 </w:t>
            </w:r>
            <w:r w:rsidRPr="00286216">
              <w:rPr>
                <w:color w:val="000000" w:themeColor="text1"/>
              </w:rPr>
              <w:t xml:space="preserve">статті 1 статті 1 розділу 1 після слів </w:t>
            </w:r>
            <w:r w:rsidR="001E1C99" w:rsidRPr="00286216">
              <w:rPr>
                <w:color w:val="000000" w:themeColor="text1"/>
              </w:rPr>
              <w:t>"</w:t>
            </w:r>
            <w:r w:rsidRPr="00286216">
              <w:rPr>
                <w:color w:val="000000" w:themeColor="text1"/>
              </w:rPr>
              <w:t>інструментів грошового ринку</w:t>
            </w:r>
            <w:r w:rsidR="001E1C99" w:rsidRPr="00286216">
              <w:rPr>
                <w:color w:val="000000" w:themeColor="text1"/>
              </w:rPr>
              <w:t>"</w:t>
            </w:r>
            <w:r w:rsidRPr="00286216">
              <w:rPr>
                <w:color w:val="000000" w:themeColor="text1"/>
              </w:rPr>
              <w:t xml:space="preserve"> доповнити словами </w:t>
            </w:r>
            <w:r w:rsidR="001E1C99" w:rsidRPr="00286216">
              <w:rPr>
                <w:color w:val="000000" w:themeColor="text1"/>
              </w:rPr>
              <w:t>"</w:t>
            </w:r>
            <w:r w:rsidRPr="00286216">
              <w:rPr>
                <w:color w:val="000000" w:themeColor="text1"/>
              </w:rPr>
              <w:t>валютних цінностей</w:t>
            </w:r>
            <w:r w:rsidR="001E1C99" w:rsidRPr="00286216">
              <w:rPr>
                <w:color w:val="000000" w:themeColor="text1"/>
              </w:rPr>
              <w:t>"</w:t>
            </w:r>
            <w:r w:rsidRPr="00286216">
              <w:rPr>
                <w:color w:val="000000" w:themeColor="text1"/>
              </w:rPr>
              <w:t>.</w:t>
            </w:r>
          </w:p>
        </w:tc>
        <w:tc>
          <w:tcPr>
            <w:tcW w:w="1987" w:type="dxa"/>
          </w:tcPr>
          <w:p w14:paraId="33793F16" w14:textId="77777777" w:rsidR="00DA2302" w:rsidRPr="00286216" w:rsidRDefault="00DA2302" w:rsidP="00DA2302">
            <w:pPr>
              <w:pStyle w:val="StyleWisnow"/>
              <w:rPr>
                <w:color w:val="000000" w:themeColor="text1"/>
              </w:rPr>
            </w:pPr>
            <w:r w:rsidRPr="00286216">
              <w:rPr>
                <w:color w:val="000000" w:themeColor="text1"/>
              </w:rPr>
              <w:t>Враховано редакційно</w:t>
            </w:r>
          </w:p>
        </w:tc>
        <w:tc>
          <w:tcPr>
            <w:tcW w:w="4818" w:type="dxa"/>
          </w:tcPr>
          <w:p w14:paraId="4D760EAD" w14:textId="77777777" w:rsidR="00DA2302" w:rsidRPr="00286216" w:rsidRDefault="00DA2302" w:rsidP="00DA2302">
            <w:pPr>
              <w:pStyle w:val="StyleZakonu"/>
              <w:rPr>
                <w:color w:val="000000" w:themeColor="text1"/>
              </w:rPr>
            </w:pPr>
            <w:r w:rsidRPr="00286216">
              <w:rPr>
                <w:color w:val="000000" w:themeColor="text1"/>
              </w:rPr>
              <w:t>а) валютних цінностей;</w:t>
            </w:r>
          </w:p>
          <w:p w14:paraId="451DDAF7" w14:textId="730298C7" w:rsidR="00DA2302" w:rsidRPr="00286216" w:rsidRDefault="00DA2302" w:rsidP="00DA2302">
            <w:pPr>
              <w:pStyle w:val="StyleZakonu"/>
              <w:rPr>
                <w:color w:val="000000" w:themeColor="text1"/>
              </w:rPr>
            </w:pPr>
            <w:r w:rsidRPr="00286216">
              <w:rPr>
                <w:color w:val="000000" w:themeColor="text1"/>
              </w:rPr>
              <w:t>б) продукції;</w:t>
            </w:r>
          </w:p>
        </w:tc>
      </w:tr>
      <w:tr w:rsidR="00F77E8D" w:rsidRPr="00286216" w14:paraId="70E42980" w14:textId="77777777" w:rsidTr="00091AA5">
        <w:tc>
          <w:tcPr>
            <w:tcW w:w="576" w:type="dxa"/>
          </w:tcPr>
          <w:p w14:paraId="55313F93" w14:textId="77777777" w:rsidR="00DA2302" w:rsidRPr="00286216" w:rsidRDefault="00DA2302" w:rsidP="00DA2302">
            <w:pPr>
              <w:pStyle w:val="StyleWisnow"/>
              <w:rPr>
                <w:color w:val="000000" w:themeColor="text1"/>
              </w:rPr>
            </w:pPr>
            <w:bookmarkStart w:id="7" w:name="n8" w:colFirst="0" w:colLast="0"/>
            <w:bookmarkEnd w:id="6"/>
            <w:r w:rsidRPr="00286216">
              <w:rPr>
                <w:color w:val="000000" w:themeColor="text1"/>
              </w:rPr>
              <w:t>8.</w:t>
            </w:r>
          </w:p>
        </w:tc>
        <w:tc>
          <w:tcPr>
            <w:tcW w:w="4818" w:type="dxa"/>
          </w:tcPr>
          <w:p w14:paraId="5D60D65F" w14:textId="77777777" w:rsidR="00DA2302" w:rsidRPr="00286216" w:rsidRDefault="00DA2302" w:rsidP="00DA2302">
            <w:pPr>
              <w:pStyle w:val="StyleZakonu"/>
              <w:rPr>
                <w:color w:val="000000" w:themeColor="text1"/>
              </w:rPr>
            </w:pPr>
            <w:r w:rsidRPr="00286216">
              <w:rPr>
                <w:color w:val="000000" w:themeColor="text1"/>
              </w:rPr>
              <w:t>Дія цього Закону не поширюється на відносини, пов’язані з вчиненням і виконанням правочинів щодо речей, визначених індивідуальними ознаками (крім цінних паперів).</w:t>
            </w:r>
          </w:p>
        </w:tc>
        <w:tc>
          <w:tcPr>
            <w:tcW w:w="3686" w:type="dxa"/>
          </w:tcPr>
          <w:p w14:paraId="670CF0E5" w14:textId="65CA0FE9"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6828117" w14:textId="6AD13DD8" w:rsidR="00DA2302" w:rsidRPr="00286216" w:rsidRDefault="00DA2302" w:rsidP="00286216">
            <w:pPr>
              <w:pStyle w:val="StyleProp"/>
              <w:spacing w:line="180" w:lineRule="exact"/>
              <w:rPr>
                <w:color w:val="000000" w:themeColor="text1"/>
                <w:spacing w:val="-3"/>
                <w:szCs w:val="18"/>
              </w:rPr>
            </w:pPr>
            <w:r w:rsidRPr="00286216">
              <w:rPr>
                <w:color w:val="000000" w:themeColor="text1"/>
                <w:spacing w:val="-3"/>
                <w:szCs w:val="18"/>
              </w:rPr>
              <w:t>У частині другій статті 1 слова «виконанням правочинів» замінити словами «виконанням (крім провадження клірингової діяльності) правочинів (крім деривативних контрактів)».</w:t>
            </w:r>
          </w:p>
        </w:tc>
        <w:tc>
          <w:tcPr>
            <w:tcW w:w="1987" w:type="dxa"/>
          </w:tcPr>
          <w:p w14:paraId="079F51E2" w14:textId="77777777" w:rsidR="00DA2302" w:rsidRPr="00286216" w:rsidRDefault="00DA2302" w:rsidP="00DA2302">
            <w:pPr>
              <w:pStyle w:val="StyleWisnow"/>
              <w:rPr>
                <w:color w:val="000000" w:themeColor="text1"/>
              </w:rPr>
            </w:pPr>
            <w:r w:rsidRPr="00286216">
              <w:rPr>
                <w:color w:val="000000" w:themeColor="text1"/>
              </w:rPr>
              <w:t>Враховано редакційно</w:t>
            </w:r>
          </w:p>
        </w:tc>
        <w:tc>
          <w:tcPr>
            <w:tcW w:w="4818" w:type="dxa"/>
          </w:tcPr>
          <w:p w14:paraId="06150EC4" w14:textId="77777777" w:rsidR="00DA2302" w:rsidRPr="00286216" w:rsidRDefault="00DA2302" w:rsidP="00DA2302">
            <w:pPr>
              <w:pStyle w:val="StyleZakonu"/>
              <w:rPr>
                <w:color w:val="000000" w:themeColor="text1"/>
              </w:rPr>
            </w:pPr>
            <w:r w:rsidRPr="00286216">
              <w:rPr>
                <w:color w:val="000000" w:themeColor="text1"/>
              </w:rPr>
              <w:t>2) відносини, пов’язані з вчиненням і виконанням правочинів щодо речей, визначених індивідуальними ознаками (крім цінних паперів).</w:t>
            </w:r>
          </w:p>
        </w:tc>
      </w:tr>
      <w:bookmarkEnd w:id="7"/>
      <w:tr w:rsidR="00F77E8D" w:rsidRPr="00286216" w14:paraId="42E8BE1C" w14:textId="77777777" w:rsidTr="00091AA5">
        <w:tc>
          <w:tcPr>
            <w:tcW w:w="576" w:type="dxa"/>
          </w:tcPr>
          <w:p w14:paraId="7C190B75" w14:textId="77777777" w:rsidR="00DA2302" w:rsidRPr="00286216" w:rsidRDefault="00DA2302" w:rsidP="00DA2302">
            <w:pPr>
              <w:pStyle w:val="StyleWisnow"/>
              <w:rPr>
                <w:color w:val="000000" w:themeColor="text1"/>
              </w:rPr>
            </w:pPr>
          </w:p>
        </w:tc>
        <w:tc>
          <w:tcPr>
            <w:tcW w:w="4818" w:type="dxa"/>
          </w:tcPr>
          <w:p w14:paraId="67D9805C" w14:textId="77777777" w:rsidR="00DA2302" w:rsidRPr="00286216" w:rsidRDefault="00DA2302" w:rsidP="00DA2302">
            <w:pPr>
              <w:pStyle w:val="StyleZakonu"/>
              <w:rPr>
                <w:color w:val="000000" w:themeColor="text1"/>
              </w:rPr>
            </w:pPr>
          </w:p>
        </w:tc>
        <w:tc>
          <w:tcPr>
            <w:tcW w:w="3686" w:type="dxa"/>
          </w:tcPr>
          <w:p w14:paraId="1E1E492D" w14:textId="3A388CA1" w:rsidR="00DA2302" w:rsidRPr="00286216" w:rsidRDefault="00DA2302" w:rsidP="00DA2302">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w:t>
            </w:r>
            <w:r w:rsidRPr="00286216">
              <w:rPr>
                <w:color w:val="000000" w:themeColor="text1"/>
                <w:spacing w:val="-6"/>
                <w:szCs w:val="18"/>
              </w:rPr>
              <w:fldChar w:fldCharType="end"/>
            </w:r>
            <w:r w:rsidRPr="00286216">
              <w:rPr>
                <w:color w:val="000000" w:themeColor="text1"/>
                <w:spacing w:val="-6"/>
                <w:szCs w:val="18"/>
              </w:rPr>
              <w:t>-Н.д.</w:t>
            </w:r>
            <w:r w:rsidRPr="00286216">
              <w:rPr>
                <w:color w:val="000000" w:themeColor="text1"/>
                <w:szCs w:val="18"/>
              </w:rPr>
              <w:t>Шахов С.В. (Реєстр.картка №114)</w:t>
            </w:r>
          </w:p>
          <w:p w14:paraId="0AEA1194" w14:textId="77777777" w:rsidR="00DA2302" w:rsidRPr="00286216" w:rsidRDefault="00DA2302" w:rsidP="00286216">
            <w:pPr>
              <w:pStyle w:val="StyleProp"/>
              <w:spacing w:line="180" w:lineRule="exact"/>
              <w:rPr>
                <w:rFonts w:eastAsia="Calibri"/>
                <w:color w:val="000000" w:themeColor="text1"/>
                <w:lang w:eastAsia="en-US"/>
              </w:rPr>
            </w:pPr>
            <w:r w:rsidRPr="00286216">
              <w:rPr>
                <w:color w:val="000000" w:themeColor="text1"/>
              </w:rPr>
              <w:t xml:space="preserve">У частині другій після слів «інструментів </w:t>
            </w:r>
            <w:r w:rsidRPr="00286216">
              <w:rPr>
                <w:color w:val="000000" w:themeColor="text1"/>
              </w:rPr>
              <w:lastRenderedPageBreak/>
              <w:t>грошового ринку» доповнити словами «та валютних цінностей».</w:t>
            </w:r>
          </w:p>
        </w:tc>
        <w:tc>
          <w:tcPr>
            <w:tcW w:w="1987" w:type="dxa"/>
          </w:tcPr>
          <w:p w14:paraId="50B10027" w14:textId="77777777" w:rsidR="00DA2302" w:rsidRPr="00286216" w:rsidRDefault="00DA2302" w:rsidP="00DA2302">
            <w:pPr>
              <w:pStyle w:val="StyleWisnow"/>
              <w:spacing w:line="180" w:lineRule="exact"/>
              <w:rPr>
                <w:color w:val="000000" w:themeColor="text1"/>
              </w:rPr>
            </w:pPr>
            <w:r w:rsidRPr="00286216">
              <w:rPr>
                <w:color w:val="000000" w:themeColor="text1"/>
              </w:rPr>
              <w:lastRenderedPageBreak/>
              <w:t>Враховано редакційно</w:t>
            </w:r>
          </w:p>
        </w:tc>
        <w:tc>
          <w:tcPr>
            <w:tcW w:w="4818" w:type="dxa"/>
          </w:tcPr>
          <w:p w14:paraId="315FCA82" w14:textId="77777777" w:rsidR="00DA2302" w:rsidRPr="00286216" w:rsidRDefault="00DA2302" w:rsidP="00DA2302">
            <w:pPr>
              <w:pStyle w:val="StyleZakonu"/>
              <w:rPr>
                <w:color w:val="000000" w:themeColor="text1"/>
              </w:rPr>
            </w:pPr>
          </w:p>
        </w:tc>
      </w:tr>
      <w:tr w:rsidR="00F77E8D" w:rsidRPr="00286216" w14:paraId="4B47E205" w14:textId="77777777" w:rsidTr="00091AA5">
        <w:tc>
          <w:tcPr>
            <w:tcW w:w="576" w:type="dxa"/>
          </w:tcPr>
          <w:p w14:paraId="75D20CB0" w14:textId="77777777" w:rsidR="00DA2302" w:rsidRPr="00286216" w:rsidRDefault="00DA2302" w:rsidP="00DA2302">
            <w:pPr>
              <w:pStyle w:val="StyleWisnow"/>
              <w:rPr>
                <w:color w:val="000000" w:themeColor="text1"/>
              </w:rPr>
            </w:pPr>
          </w:p>
        </w:tc>
        <w:tc>
          <w:tcPr>
            <w:tcW w:w="4818" w:type="dxa"/>
          </w:tcPr>
          <w:p w14:paraId="163DB7F2" w14:textId="77777777" w:rsidR="00DA2302" w:rsidRPr="00286216" w:rsidRDefault="00DA2302" w:rsidP="00DA2302">
            <w:pPr>
              <w:pStyle w:val="StyleZakonu"/>
              <w:rPr>
                <w:color w:val="000000" w:themeColor="text1"/>
              </w:rPr>
            </w:pPr>
          </w:p>
        </w:tc>
        <w:tc>
          <w:tcPr>
            <w:tcW w:w="3686" w:type="dxa"/>
          </w:tcPr>
          <w:p w14:paraId="58C68A11" w14:textId="5AE26EAA"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10</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53AB8F22" w14:textId="77777777" w:rsidR="00DA2302" w:rsidRPr="00286216" w:rsidRDefault="00DA2302" w:rsidP="00DA2302">
            <w:pPr>
              <w:pStyle w:val="StyleProp"/>
              <w:spacing w:line="190" w:lineRule="exact"/>
              <w:rPr>
                <w:color w:val="000000" w:themeColor="text1"/>
                <w:szCs w:val="18"/>
              </w:rPr>
            </w:pPr>
            <w:r w:rsidRPr="00286216">
              <w:rPr>
                <w:color w:val="000000" w:themeColor="text1"/>
                <w:szCs w:val="18"/>
              </w:rPr>
              <w:t>Доповнити частину другу статті 1 новим абзацом такого змісту:</w:t>
            </w:r>
          </w:p>
          <w:p w14:paraId="779EE6D6" w14:textId="77777777" w:rsidR="00DA2302" w:rsidRPr="00286216" w:rsidRDefault="00DA2302" w:rsidP="00DA2302">
            <w:pPr>
              <w:pStyle w:val="StyleProp"/>
              <w:spacing w:line="190" w:lineRule="exact"/>
              <w:rPr>
                <w:color w:val="000000" w:themeColor="text1"/>
                <w:szCs w:val="18"/>
              </w:rPr>
            </w:pPr>
            <w:r w:rsidRPr="00286216">
              <w:rPr>
                <w:color w:val="000000" w:themeColor="text1"/>
                <w:szCs w:val="18"/>
              </w:rPr>
              <w:t>«Дія цього Закону не поширюється на відносини, пов’язані з вчиненням і виконанням (крім провадження клірингової діяльності) поза організованими ринками правочинів щодо валютних цінностей».</w:t>
            </w:r>
          </w:p>
        </w:tc>
        <w:tc>
          <w:tcPr>
            <w:tcW w:w="1987" w:type="dxa"/>
          </w:tcPr>
          <w:p w14:paraId="260A97A1" w14:textId="77777777" w:rsidR="00DA2302" w:rsidRPr="00286216" w:rsidRDefault="00DA2302" w:rsidP="00DA2302">
            <w:pPr>
              <w:pStyle w:val="StyleWisnow"/>
              <w:rPr>
                <w:color w:val="000000" w:themeColor="text1"/>
              </w:rPr>
            </w:pPr>
            <w:r w:rsidRPr="00286216">
              <w:rPr>
                <w:color w:val="000000" w:themeColor="text1"/>
              </w:rPr>
              <w:t>Враховано редакційно</w:t>
            </w:r>
          </w:p>
        </w:tc>
        <w:tc>
          <w:tcPr>
            <w:tcW w:w="4818" w:type="dxa"/>
          </w:tcPr>
          <w:p w14:paraId="7F67C6F0" w14:textId="77777777" w:rsidR="00DA2302" w:rsidRPr="00286216" w:rsidRDefault="00DA2302" w:rsidP="00DA2302">
            <w:pPr>
              <w:pStyle w:val="StyleZakonu"/>
              <w:rPr>
                <w:color w:val="000000" w:themeColor="text1"/>
              </w:rPr>
            </w:pPr>
          </w:p>
        </w:tc>
      </w:tr>
      <w:tr w:rsidR="00F77E8D" w:rsidRPr="00286216" w14:paraId="1587E0EF" w14:textId="77777777" w:rsidTr="00091AA5">
        <w:tc>
          <w:tcPr>
            <w:tcW w:w="576" w:type="dxa"/>
          </w:tcPr>
          <w:p w14:paraId="1FB6A4F9" w14:textId="77777777" w:rsidR="00DA2302" w:rsidRPr="00286216" w:rsidRDefault="00DA2302" w:rsidP="00DA2302">
            <w:pPr>
              <w:pStyle w:val="StyleWisnow"/>
              <w:rPr>
                <w:color w:val="000000" w:themeColor="text1"/>
              </w:rPr>
            </w:pPr>
          </w:p>
        </w:tc>
        <w:tc>
          <w:tcPr>
            <w:tcW w:w="4818" w:type="dxa"/>
          </w:tcPr>
          <w:p w14:paraId="3CE39F0D" w14:textId="77777777" w:rsidR="00DA2302" w:rsidRPr="00286216" w:rsidRDefault="00DA2302" w:rsidP="00DA2302">
            <w:pPr>
              <w:pStyle w:val="StyleZakonu"/>
              <w:rPr>
                <w:color w:val="000000" w:themeColor="text1"/>
              </w:rPr>
            </w:pPr>
          </w:p>
        </w:tc>
        <w:tc>
          <w:tcPr>
            <w:tcW w:w="3686" w:type="dxa"/>
          </w:tcPr>
          <w:p w14:paraId="03599137" w14:textId="44E3FBC6" w:rsidR="00DA2302" w:rsidRPr="00286216" w:rsidRDefault="00DA2302" w:rsidP="00DA2302">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11</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1E249624" w14:textId="77777777" w:rsidR="00DA2302" w:rsidRPr="00286216" w:rsidRDefault="00DA2302" w:rsidP="00DA2302">
            <w:pPr>
              <w:pStyle w:val="StyleProp"/>
              <w:spacing w:line="180" w:lineRule="exact"/>
              <w:rPr>
                <w:color w:val="000000" w:themeColor="text1"/>
              </w:rPr>
            </w:pPr>
            <w:r w:rsidRPr="00286216">
              <w:rPr>
                <w:color w:val="000000" w:themeColor="text1"/>
              </w:rPr>
              <w:t>Доповнити:</w:t>
            </w:r>
          </w:p>
          <w:p w14:paraId="7CA0AE87" w14:textId="77777777" w:rsidR="00DA2302" w:rsidRPr="00286216" w:rsidRDefault="00DA2302" w:rsidP="00DA2302">
            <w:pPr>
              <w:pStyle w:val="StyleProp"/>
              <w:spacing w:line="180" w:lineRule="exact"/>
              <w:rPr>
                <w:color w:val="000000" w:themeColor="text1"/>
                <w:spacing w:val="-4"/>
              </w:rPr>
            </w:pPr>
            <w:r w:rsidRPr="00286216">
              <w:rPr>
                <w:color w:val="000000" w:themeColor="text1"/>
                <w:spacing w:val="-4"/>
              </w:rPr>
              <w:t>"3. Дія цього Закону не поширюється на відносини, пов’язані з укладенням і виконанням правочинів на товарному ринку щодо електроенергії, природного газу та іншої продукції (товару, майна), визначеної родовими ознаками, у разу якщо правові засади та особливості регулювання такого виду товарного ринку продукції (товару, майна) визначені іншим спеціальним законом України.</w:t>
            </w:r>
          </w:p>
          <w:p w14:paraId="3B546DE0" w14:textId="77777777" w:rsidR="00DA2302" w:rsidRPr="00286216" w:rsidRDefault="00DA2302" w:rsidP="00DA2302">
            <w:pPr>
              <w:pStyle w:val="StyleProp"/>
              <w:spacing w:line="180" w:lineRule="exact"/>
              <w:rPr>
                <w:color w:val="000000" w:themeColor="text1"/>
              </w:rPr>
            </w:pPr>
            <w:r w:rsidRPr="00286216">
              <w:rPr>
                <w:color w:val="000000" w:themeColor="text1"/>
                <w:spacing w:val="-2"/>
              </w:rPr>
              <w:t>Організаційні, правові та економічні засади функціонування таких видів ринків та діяльність учасників (у тому числі операторів) цих товарних ринків регулюється виключно спеціальним законом".</w:t>
            </w:r>
          </w:p>
        </w:tc>
        <w:tc>
          <w:tcPr>
            <w:tcW w:w="1987" w:type="dxa"/>
          </w:tcPr>
          <w:p w14:paraId="3107F588" w14:textId="77777777" w:rsidR="00DA2302" w:rsidRPr="00286216" w:rsidRDefault="00DA2302" w:rsidP="00F562FA">
            <w:pPr>
              <w:pStyle w:val="StyleWisnow"/>
              <w:spacing w:line="180" w:lineRule="exact"/>
              <w:rPr>
                <w:color w:val="000000" w:themeColor="text1"/>
              </w:rPr>
            </w:pPr>
            <w:r w:rsidRPr="00286216">
              <w:rPr>
                <w:color w:val="000000" w:themeColor="text1"/>
              </w:rPr>
              <w:t>Враховано частково</w:t>
            </w:r>
          </w:p>
          <w:p w14:paraId="19631D01" w14:textId="42829109" w:rsidR="00DA2302" w:rsidRPr="00286216" w:rsidRDefault="00DA2302" w:rsidP="00F562FA">
            <w:pPr>
              <w:pStyle w:val="StyleWisnow"/>
              <w:spacing w:line="180" w:lineRule="exact"/>
              <w:rPr>
                <w:color w:val="000000" w:themeColor="text1"/>
              </w:rPr>
            </w:pPr>
            <w:r w:rsidRPr="00286216">
              <w:rPr>
                <w:color w:val="000000" w:themeColor="text1"/>
              </w:rPr>
              <w:t>у редакції ч</w:t>
            </w:r>
            <w:r w:rsidR="009A0754" w:rsidRPr="00286216">
              <w:rPr>
                <w:color w:val="000000" w:themeColor="text1"/>
              </w:rPr>
              <w:t xml:space="preserve">астині другій </w:t>
            </w:r>
            <w:r w:rsidRPr="00286216">
              <w:rPr>
                <w:color w:val="000000" w:themeColor="text1"/>
              </w:rPr>
              <w:t>ст</w:t>
            </w:r>
            <w:r w:rsidR="009A0754" w:rsidRPr="00286216">
              <w:rPr>
                <w:color w:val="000000" w:themeColor="text1"/>
              </w:rPr>
              <w:t xml:space="preserve">атті </w:t>
            </w:r>
            <w:r w:rsidRPr="00286216">
              <w:rPr>
                <w:color w:val="000000" w:themeColor="text1"/>
              </w:rPr>
              <w:t xml:space="preserve">1 </w:t>
            </w:r>
          </w:p>
        </w:tc>
        <w:tc>
          <w:tcPr>
            <w:tcW w:w="4818" w:type="dxa"/>
          </w:tcPr>
          <w:p w14:paraId="0A5C647E" w14:textId="77777777" w:rsidR="00DA2302" w:rsidRPr="00286216" w:rsidRDefault="00DA2302" w:rsidP="00DA2302">
            <w:pPr>
              <w:pStyle w:val="StyleZakonu"/>
              <w:rPr>
                <w:color w:val="000000" w:themeColor="text1"/>
              </w:rPr>
            </w:pPr>
          </w:p>
        </w:tc>
      </w:tr>
      <w:tr w:rsidR="00F77E8D" w:rsidRPr="00286216" w14:paraId="1E6A5129" w14:textId="77777777" w:rsidTr="00091AA5">
        <w:tc>
          <w:tcPr>
            <w:tcW w:w="576" w:type="dxa"/>
          </w:tcPr>
          <w:p w14:paraId="18CCFC48" w14:textId="77777777" w:rsidR="00DA2302" w:rsidRPr="00286216" w:rsidRDefault="00DA2302" w:rsidP="00DA2302">
            <w:pPr>
              <w:pStyle w:val="StyleWisnow"/>
              <w:rPr>
                <w:color w:val="000000" w:themeColor="text1"/>
              </w:rPr>
            </w:pPr>
            <w:bookmarkStart w:id="8" w:name="n9" w:colFirst="0" w:colLast="0"/>
            <w:r w:rsidRPr="00286216">
              <w:rPr>
                <w:color w:val="000000" w:themeColor="text1"/>
              </w:rPr>
              <w:t>9.</w:t>
            </w:r>
          </w:p>
        </w:tc>
        <w:tc>
          <w:tcPr>
            <w:tcW w:w="4818" w:type="dxa"/>
          </w:tcPr>
          <w:p w14:paraId="0AF70644" w14:textId="77777777" w:rsidR="00DA2302" w:rsidRPr="00286216" w:rsidRDefault="00DA2302" w:rsidP="00DA2302">
            <w:pPr>
              <w:pStyle w:val="StyleZakonu"/>
              <w:rPr>
                <w:color w:val="000000" w:themeColor="text1"/>
              </w:rPr>
            </w:pPr>
            <w:r w:rsidRPr="00286216">
              <w:rPr>
                <w:color w:val="000000" w:themeColor="text1"/>
              </w:rPr>
              <w:t>3. Діяльність учасників товарних ринків (крім операторів регульованих товарних ринків) регулюється законодавством про такі товарні ринки. Діяльність товарних бірж регулюється Законом України "Про товарну біржу". Дія цього Закону не поширюється на товарні біржі, крім випадків прямо передбачених цим Законом.</w:t>
            </w:r>
          </w:p>
        </w:tc>
        <w:tc>
          <w:tcPr>
            <w:tcW w:w="3686" w:type="dxa"/>
          </w:tcPr>
          <w:p w14:paraId="41B80358" w14:textId="77C3430D" w:rsidR="00DA2302" w:rsidRPr="00286216" w:rsidRDefault="00DA2302" w:rsidP="00DA2302">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12</w:t>
            </w:r>
            <w:r w:rsidRPr="00286216">
              <w:rPr>
                <w:color w:val="000000" w:themeColor="text1"/>
                <w:spacing w:val="-6"/>
                <w:szCs w:val="18"/>
              </w:rPr>
              <w:fldChar w:fldCharType="end"/>
            </w:r>
            <w:r w:rsidRPr="00286216">
              <w:rPr>
                <w:color w:val="000000" w:themeColor="text1"/>
                <w:spacing w:val="-6"/>
                <w:szCs w:val="18"/>
              </w:rPr>
              <w:t>-Н.д.</w:t>
            </w:r>
            <w:r w:rsidRPr="00286216">
              <w:rPr>
                <w:color w:val="000000" w:themeColor="text1"/>
                <w:szCs w:val="18"/>
              </w:rPr>
              <w:t>Шахов С.В. (Реєстр.картка №114)</w:t>
            </w:r>
          </w:p>
          <w:p w14:paraId="4B6519FD" w14:textId="77777777" w:rsidR="00DA2302" w:rsidRPr="00286216" w:rsidRDefault="00DA2302" w:rsidP="00DA2302">
            <w:pPr>
              <w:pStyle w:val="StyleProp"/>
              <w:spacing w:line="180" w:lineRule="exact"/>
              <w:rPr>
                <w:color w:val="000000" w:themeColor="text1"/>
                <w:szCs w:val="18"/>
              </w:rPr>
            </w:pPr>
            <w:r w:rsidRPr="00286216">
              <w:rPr>
                <w:color w:val="000000" w:themeColor="text1"/>
                <w:szCs w:val="18"/>
              </w:rPr>
              <w:t>У частині третій статті 1 слова «(крім операторів регульованих товарних ринків)» замінити словами «(у тому числі, щодо вчинення правочинів з поставними товарними деривативними контрактами), операторів організованих товарних ринків (товарних бірж та операторів регульованих товарних ринків)».</w:t>
            </w:r>
          </w:p>
          <w:p w14:paraId="00A2E2A5" w14:textId="54C1214F" w:rsidR="00350673" w:rsidRPr="00286216" w:rsidRDefault="00350673" w:rsidP="00350673">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3DD7E5B" w14:textId="77777777" w:rsidR="00350673" w:rsidRPr="00286216" w:rsidRDefault="00350673" w:rsidP="00350673">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3451531" w14:textId="72483BE9" w:rsidR="00DA2302" w:rsidRPr="00286216" w:rsidRDefault="00350673" w:rsidP="007A4B3F">
            <w:pPr>
              <w:pStyle w:val="StyleProp"/>
              <w:spacing w:line="180" w:lineRule="exact"/>
              <w:rPr>
                <w:color w:val="000000" w:themeColor="text1"/>
                <w:spacing w:val="-4"/>
                <w:szCs w:val="18"/>
              </w:rPr>
            </w:pPr>
            <w:r w:rsidRPr="00286216">
              <w:rPr>
                <w:color w:val="000000" w:themeColor="text1"/>
                <w:spacing w:val="-4"/>
                <w:szCs w:val="18"/>
              </w:rPr>
              <w:t xml:space="preserve">У частині </w:t>
            </w:r>
            <w:r w:rsidR="007A4B3F" w:rsidRPr="00286216">
              <w:rPr>
                <w:color w:val="000000" w:themeColor="text1"/>
                <w:spacing w:val="-4"/>
                <w:szCs w:val="18"/>
              </w:rPr>
              <w:t xml:space="preserve">3 </w:t>
            </w:r>
            <w:r w:rsidRPr="00286216">
              <w:rPr>
                <w:color w:val="000000" w:themeColor="text1"/>
                <w:spacing w:val="-4"/>
                <w:szCs w:val="18"/>
              </w:rPr>
              <w:t xml:space="preserve">статті 1 слова </w:t>
            </w:r>
            <w:r w:rsidR="007A4B3F" w:rsidRPr="00286216">
              <w:rPr>
                <w:color w:val="000000" w:themeColor="text1"/>
                <w:spacing w:val="-4"/>
                <w:szCs w:val="18"/>
              </w:rPr>
              <w:t>"</w:t>
            </w:r>
            <w:r w:rsidRPr="00286216">
              <w:rPr>
                <w:color w:val="000000" w:themeColor="text1"/>
                <w:spacing w:val="-4"/>
                <w:szCs w:val="18"/>
              </w:rPr>
              <w:t>(крім операторів регульованих товарних ринків)</w:t>
            </w:r>
            <w:r w:rsidR="007A4B3F" w:rsidRPr="00286216">
              <w:rPr>
                <w:color w:val="000000" w:themeColor="text1"/>
                <w:spacing w:val="-4"/>
                <w:szCs w:val="18"/>
              </w:rPr>
              <w:t>"</w:t>
            </w:r>
            <w:r w:rsidRPr="00286216">
              <w:rPr>
                <w:color w:val="000000" w:themeColor="text1"/>
                <w:spacing w:val="-4"/>
                <w:szCs w:val="18"/>
              </w:rPr>
              <w:t xml:space="preserve"> виключити.</w:t>
            </w:r>
          </w:p>
        </w:tc>
        <w:tc>
          <w:tcPr>
            <w:tcW w:w="1987" w:type="dxa"/>
          </w:tcPr>
          <w:p w14:paraId="6C4ADD9C" w14:textId="77777777" w:rsidR="00DA2302" w:rsidRPr="00286216" w:rsidRDefault="00DA2302" w:rsidP="00DA2302">
            <w:pPr>
              <w:pStyle w:val="StyleWisnow"/>
              <w:rPr>
                <w:color w:val="000000" w:themeColor="text1"/>
              </w:rPr>
            </w:pPr>
            <w:r w:rsidRPr="00286216">
              <w:rPr>
                <w:color w:val="000000" w:themeColor="text1"/>
              </w:rPr>
              <w:t>Відхилено</w:t>
            </w:r>
          </w:p>
          <w:p w14:paraId="0F249E57" w14:textId="77777777" w:rsidR="00DA2302" w:rsidRPr="00286216" w:rsidRDefault="00DA2302" w:rsidP="00022D7E">
            <w:pPr>
              <w:pStyle w:val="StyleWisnow"/>
              <w:spacing w:line="180" w:lineRule="exact"/>
              <w:rPr>
                <w:color w:val="000000" w:themeColor="text1"/>
              </w:rPr>
            </w:pPr>
            <w:r w:rsidRPr="00286216">
              <w:rPr>
                <w:color w:val="000000" w:themeColor="text1"/>
              </w:rPr>
              <w:t>деривативні контракти як складова фінансової системи не можуть регулюватись законодавством про товарні ринки</w:t>
            </w:r>
          </w:p>
          <w:p w14:paraId="0ADB1C0B" w14:textId="77777777" w:rsidR="0061508D" w:rsidRPr="00286216" w:rsidRDefault="0061508D" w:rsidP="00022D7E">
            <w:pPr>
              <w:pStyle w:val="StyleWisnow"/>
              <w:spacing w:line="180" w:lineRule="exact"/>
              <w:rPr>
                <w:color w:val="000000" w:themeColor="text1"/>
              </w:rPr>
            </w:pPr>
          </w:p>
          <w:p w14:paraId="12CF7A76" w14:textId="77777777" w:rsidR="00350673" w:rsidRPr="00286216" w:rsidRDefault="00350673" w:rsidP="00DA2302">
            <w:pPr>
              <w:pStyle w:val="StyleWisnow"/>
              <w:rPr>
                <w:color w:val="000000" w:themeColor="text1"/>
              </w:rPr>
            </w:pPr>
          </w:p>
          <w:p w14:paraId="3C99B7A4" w14:textId="77777777" w:rsidR="00350673" w:rsidRPr="00286216" w:rsidRDefault="00350673" w:rsidP="00DA2302">
            <w:pPr>
              <w:pStyle w:val="StyleWisnow"/>
              <w:rPr>
                <w:color w:val="000000" w:themeColor="text1"/>
              </w:rPr>
            </w:pPr>
            <w:r w:rsidRPr="00286216">
              <w:rPr>
                <w:color w:val="000000" w:themeColor="text1"/>
              </w:rPr>
              <w:t>Враховано</w:t>
            </w:r>
          </w:p>
        </w:tc>
        <w:tc>
          <w:tcPr>
            <w:tcW w:w="4818" w:type="dxa"/>
          </w:tcPr>
          <w:p w14:paraId="7026DFF3" w14:textId="2F386672" w:rsidR="00DA2302" w:rsidRPr="00286216" w:rsidRDefault="00DA2302" w:rsidP="00350673">
            <w:pPr>
              <w:pStyle w:val="StyleZakonu"/>
              <w:rPr>
                <w:color w:val="000000" w:themeColor="text1"/>
              </w:rPr>
            </w:pPr>
            <w:r w:rsidRPr="00286216">
              <w:rPr>
                <w:color w:val="000000" w:themeColor="text1"/>
              </w:rPr>
              <w:t>4. Діяльність учасників товарних ринків регулюється законодавством про такі товарні ринки. Діяльність товарних бірж регулюється Законом України "Про товарні біржі". Дія цього Закону не поширюється на товарні біржі, крім випадків</w:t>
            </w:r>
            <w:r w:rsidR="00E42722" w:rsidRPr="00286216">
              <w:rPr>
                <w:color w:val="000000" w:themeColor="text1"/>
              </w:rPr>
              <w:t>,</w:t>
            </w:r>
            <w:r w:rsidRPr="00286216">
              <w:rPr>
                <w:color w:val="000000" w:themeColor="text1"/>
              </w:rPr>
              <w:t xml:space="preserve"> прямо передбачених цим Законом.</w:t>
            </w:r>
          </w:p>
        </w:tc>
      </w:tr>
      <w:bookmarkEnd w:id="8"/>
      <w:tr w:rsidR="00F77E8D" w:rsidRPr="00286216" w14:paraId="68B7F2A4" w14:textId="77777777" w:rsidTr="00091AA5">
        <w:tc>
          <w:tcPr>
            <w:tcW w:w="576" w:type="dxa"/>
          </w:tcPr>
          <w:p w14:paraId="46E668AA" w14:textId="77777777" w:rsidR="00DA2302" w:rsidRPr="00286216" w:rsidRDefault="00DA2302" w:rsidP="00DA2302">
            <w:pPr>
              <w:pStyle w:val="StyleWisnow"/>
              <w:rPr>
                <w:color w:val="000000" w:themeColor="text1"/>
              </w:rPr>
            </w:pPr>
          </w:p>
        </w:tc>
        <w:tc>
          <w:tcPr>
            <w:tcW w:w="4818" w:type="dxa"/>
          </w:tcPr>
          <w:p w14:paraId="104A0DE3" w14:textId="77777777" w:rsidR="00DA2302" w:rsidRPr="00286216" w:rsidRDefault="00DA2302" w:rsidP="00DA2302">
            <w:pPr>
              <w:pStyle w:val="StyleZakonu"/>
              <w:rPr>
                <w:color w:val="000000" w:themeColor="text1"/>
              </w:rPr>
            </w:pPr>
          </w:p>
        </w:tc>
        <w:tc>
          <w:tcPr>
            <w:tcW w:w="3686" w:type="dxa"/>
          </w:tcPr>
          <w:p w14:paraId="040385ED" w14:textId="59D48B93" w:rsidR="00DA2302" w:rsidRPr="00286216" w:rsidRDefault="00DA2302" w:rsidP="00DA2302">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w:t>
            </w:r>
            <w:r w:rsidRPr="00286216">
              <w:rPr>
                <w:color w:val="000000" w:themeColor="text1"/>
                <w:spacing w:val="-6"/>
                <w:szCs w:val="18"/>
              </w:rPr>
              <w:fldChar w:fldCharType="end"/>
            </w:r>
            <w:r w:rsidRPr="00286216">
              <w:rPr>
                <w:color w:val="000000" w:themeColor="text1"/>
                <w:spacing w:val="-6"/>
                <w:szCs w:val="18"/>
              </w:rPr>
              <w:t>-Н.д.</w:t>
            </w:r>
            <w:r w:rsidRPr="00286216">
              <w:rPr>
                <w:color w:val="000000" w:themeColor="text1"/>
                <w:szCs w:val="18"/>
              </w:rPr>
              <w:t>Шахов С.В. (Реєстр.картка №114)</w:t>
            </w:r>
          </w:p>
          <w:p w14:paraId="16357B04" w14:textId="77777777" w:rsidR="00DA2302" w:rsidRPr="00286216" w:rsidRDefault="00DA2302" w:rsidP="00DA2302">
            <w:pPr>
              <w:pStyle w:val="StyleProp"/>
              <w:spacing w:line="186" w:lineRule="exact"/>
              <w:rPr>
                <w:color w:val="000000" w:themeColor="text1"/>
              </w:rPr>
            </w:pPr>
            <w:r w:rsidRPr="00286216">
              <w:rPr>
                <w:color w:val="000000" w:themeColor="text1"/>
              </w:rPr>
              <w:t>частину третю доповнити новими абзацами такого змісту:</w:t>
            </w:r>
          </w:p>
          <w:p w14:paraId="1CBCF87C" w14:textId="77777777" w:rsidR="00DA2302" w:rsidRPr="00286216" w:rsidRDefault="00DA2302" w:rsidP="00DA2302">
            <w:pPr>
              <w:pStyle w:val="StyleProp"/>
              <w:spacing w:line="186" w:lineRule="exact"/>
              <w:rPr>
                <w:color w:val="000000" w:themeColor="text1"/>
              </w:rPr>
            </w:pPr>
            <w:r w:rsidRPr="00286216">
              <w:rPr>
                <w:color w:val="000000" w:themeColor="text1"/>
              </w:rPr>
              <w:t xml:space="preserve">«Діяльність операторів організованих ринків поставних деривативних контрактів, осіб, що провадять клірингову діяльність  на організованих товарних ринках та/або на  ринках поставних товарних деривативнх контрактів, інвестиційних фірм, які здійснюють торгівлю поставними товарними деривативами на товарному ринку за рахунок та від імені клієнтів або свого імені, осіб, а також інших професійних учасників ринку капіталу, які провадять професійну діяльність  на організованих товарних ринках </w:t>
            </w:r>
            <w:r w:rsidRPr="00286216">
              <w:rPr>
                <w:color w:val="000000" w:themeColor="text1"/>
              </w:rPr>
              <w:lastRenderedPageBreak/>
              <w:t>та/або на  ринках поставних товарних деривативнх контрактів, регулюється цим Законом в частині, що не суперечить законодавству про відповідні товарні ринки.</w:t>
            </w:r>
          </w:p>
          <w:p w14:paraId="18957116" w14:textId="77777777" w:rsidR="00DA2302" w:rsidRPr="00286216" w:rsidRDefault="00DA2302" w:rsidP="00DA2302">
            <w:pPr>
              <w:pStyle w:val="StyleProp"/>
              <w:spacing w:line="186" w:lineRule="exact"/>
              <w:rPr>
                <w:color w:val="000000" w:themeColor="text1"/>
                <w:spacing w:val="-6"/>
                <w:szCs w:val="18"/>
              </w:rPr>
            </w:pPr>
            <w:r w:rsidRPr="00286216">
              <w:rPr>
                <w:color w:val="000000" w:themeColor="text1"/>
              </w:rPr>
              <w:t>У випадку, якщо цим Законом встановлені інші вимоги до організації, функціонування, регулювання товарних спот-ринків та ринків поставних товарних деривативних контрактів і провадження діяльності на таких ринках (у тому числі, клірингової діяльності), ніж ті, що передбачені законодавством про товарні ринки, то застосовуються положення законодавства про товарні ринки.»</w:t>
            </w:r>
          </w:p>
        </w:tc>
        <w:tc>
          <w:tcPr>
            <w:tcW w:w="1987" w:type="dxa"/>
          </w:tcPr>
          <w:p w14:paraId="382009C5" w14:textId="77777777" w:rsidR="00DA2302" w:rsidRPr="00286216" w:rsidRDefault="00DA2302" w:rsidP="00D429B4">
            <w:pPr>
              <w:pStyle w:val="StyleWisnow"/>
              <w:spacing w:line="180" w:lineRule="exact"/>
              <w:rPr>
                <w:color w:val="000000" w:themeColor="text1"/>
              </w:rPr>
            </w:pPr>
            <w:r w:rsidRPr="00286216">
              <w:rPr>
                <w:color w:val="000000" w:themeColor="text1"/>
              </w:rPr>
              <w:lastRenderedPageBreak/>
              <w:t>Відхилено</w:t>
            </w:r>
          </w:p>
          <w:p w14:paraId="4023ADEC" w14:textId="77777777" w:rsidR="00DA2302" w:rsidRPr="00286216" w:rsidRDefault="00DA2302" w:rsidP="00D429B4">
            <w:pPr>
              <w:pStyle w:val="StyleWisnow"/>
              <w:spacing w:line="180" w:lineRule="exact"/>
              <w:rPr>
                <w:color w:val="000000" w:themeColor="text1"/>
              </w:rPr>
            </w:pPr>
            <w:r w:rsidRPr="00286216">
              <w:rPr>
                <w:color w:val="000000" w:themeColor="text1"/>
              </w:rPr>
              <w:t>законодавство про товарні ринки не може регулювати клірингову діяльнсть, деривативні контракти, інвестиційні фірми, які належать до фінансової системи</w:t>
            </w:r>
          </w:p>
        </w:tc>
        <w:tc>
          <w:tcPr>
            <w:tcW w:w="4818" w:type="dxa"/>
          </w:tcPr>
          <w:p w14:paraId="33D40B08" w14:textId="77777777" w:rsidR="00DA2302" w:rsidRPr="00286216" w:rsidRDefault="00DA2302" w:rsidP="00DA2302">
            <w:pPr>
              <w:pStyle w:val="StyleZakonu"/>
              <w:rPr>
                <w:color w:val="000000" w:themeColor="text1"/>
              </w:rPr>
            </w:pPr>
          </w:p>
        </w:tc>
      </w:tr>
      <w:tr w:rsidR="00F77E8D" w:rsidRPr="00286216" w14:paraId="0FA0F013" w14:textId="77777777" w:rsidTr="00091AA5">
        <w:tc>
          <w:tcPr>
            <w:tcW w:w="576" w:type="dxa"/>
          </w:tcPr>
          <w:p w14:paraId="73E47B61" w14:textId="77777777" w:rsidR="00DA2302" w:rsidRPr="00286216" w:rsidRDefault="00DA2302" w:rsidP="00DA2302">
            <w:pPr>
              <w:pStyle w:val="StyleWisnow"/>
              <w:rPr>
                <w:color w:val="000000" w:themeColor="text1"/>
              </w:rPr>
            </w:pPr>
            <w:bookmarkStart w:id="9" w:name="n10" w:colFirst="0" w:colLast="0"/>
            <w:r w:rsidRPr="00286216">
              <w:rPr>
                <w:color w:val="000000" w:themeColor="text1"/>
              </w:rPr>
              <w:t>10.</w:t>
            </w:r>
          </w:p>
        </w:tc>
        <w:tc>
          <w:tcPr>
            <w:tcW w:w="4818" w:type="dxa"/>
          </w:tcPr>
          <w:p w14:paraId="1F5E3778" w14:textId="77777777" w:rsidR="00DA2302" w:rsidRPr="00286216" w:rsidRDefault="00DA2302" w:rsidP="00DA2302">
            <w:pPr>
              <w:pStyle w:val="StyleZakonu"/>
              <w:rPr>
                <w:color w:val="000000" w:themeColor="text1"/>
              </w:rPr>
            </w:pPr>
            <w:r w:rsidRPr="00286216">
              <w:rPr>
                <w:color w:val="000000" w:themeColor="text1"/>
              </w:rPr>
              <w:t>4. Дія цього Закону не поширюється на відносини, пов’язані з функціонуванням багатосторонніх систем та їх операторів, якщо правила функціонування таких ринків не передбачають централізованого вчинення правочинів, або не передбачають централізованого виконання правочинів, або не передбачають централізованого вчинення та централізованого виконання правочинів.</w:t>
            </w:r>
          </w:p>
        </w:tc>
        <w:tc>
          <w:tcPr>
            <w:tcW w:w="3686" w:type="dxa"/>
          </w:tcPr>
          <w:p w14:paraId="7C82BA8D" w14:textId="4AD90582"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15</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3E3BA9C2" w14:textId="77777777" w:rsidR="00DA2302" w:rsidRPr="00286216" w:rsidRDefault="00DA2302" w:rsidP="00F562FA">
            <w:pPr>
              <w:pStyle w:val="StyleProp"/>
              <w:spacing w:line="180" w:lineRule="exact"/>
              <w:rPr>
                <w:color w:val="000000" w:themeColor="text1"/>
                <w:szCs w:val="18"/>
              </w:rPr>
            </w:pPr>
            <w:r w:rsidRPr="00286216">
              <w:rPr>
                <w:color w:val="000000" w:themeColor="text1"/>
                <w:szCs w:val="18"/>
              </w:rPr>
              <w:t>У частині четвертій  статті 1 після слів «правила функціонування таких» доповнити словом «організованих».</w:t>
            </w:r>
          </w:p>
          <w:p w14:paraId="11EC5F1B" w14:textId="78E9FE35" w:rsidR="00DA2302" w:rsidRPr="00286216" w:rsidRDefault="00DA2302" w:rsidP="00DA2302">
            <w:pPr>
              <w:pStyle w:val="StyleAwt"/>
              <w:rPr>
                <w:color w:val="000000" w:themeColor="text1"/>
                <w:spacing w:val="-6"/>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16</w:t>
            </w:r>
            <w:r w:rsidRPr="00286216">
              <w:rPr>
                <w:color w:val="000000" w:themeColor="text1"/>
                <w:spacing w:val="-6"/>
                <w:szCs w:val="18"/>
              </w:rPr>
              <w:fldChar w:fldCharType="end"/>
            </w:r>
            <w:r w:rsidRPr="00286216">
              <w:rPr>
                <w:color w:val="000000" w:themeColor="text1"/>
                <w:spacing w:val="-6"/>
                <w:szCs w:val="18"/>
              </w:rPr>
              <w:t>-</w:t>
            </w:r>
            <w:r w:rsidRPr="00286216">
              <w:rPr>
                <w:color w:val="000000" w:themeColor="text1"/>
                <w:spacing w:val="-6"/>
              </w:rPr>
              <w:t>Н.д.Бєлькова О.В. (Реєстр.картка №403)</w:t>
            </w:r>
          </w:p>
          <w:p w14:paraId="34094A4D" w14:textId="77777777" w:rsidR="00DA2302" w:rsidRPr="00286216" w:rsidRDefault="00DA2302" w:rsidP="00F562FA">
            <w:pPr>
              <w:pStyle w:val="StyleProp"/>
              <w:spacing w:line="180" w:lineRule="exact"/>
              <w:rPr>
                <w:color w:val="000000" w:themeColor="text1"/>
              </w:rPr>
            </w:pPr>
            <w:r w:rsidRPr="00286216">
              <w:rPr>
                <w:color w:val="000000" w:themeColor="text1"/>
              </w:rPr>
              <w:t>У частині 4 статті 1 -після слів «якщо правила функціонування таких ринків» доповнити словами «у будь-якій формі», а слово «централізованого» замінити словами  «обов’язковості централізованого».</w:t>
            </w:r>
          </w:p>
        </w:tc>
        <w:tc>
          <w:tcPr>
            <w:tcW w:w="1987" w:type="dxa"/>
          </w:tcPr>
          <w:p w14:paraId="63744E5A" w14:textId="77777777" w:rsidR="00DA2302" w:rsidRPr="00286216" w:rsidRDefault="00DA2302" w:rsidP="00DA2302">
            <w:pPr>
              <w:pStyle w:val="StyleWisnow"/>
              <w:rPr>
                <w:color w:val="000000" w:themeColor="text1"/>
              </w:rPr>
            </w:pPr>
            <w:r w:rsidRPr="00286216">
              <w:rPr>
                <w:color w:val="000000" w:themeColor="text1"/>
              </w:rPr>
              <w:t>Враховано</w:t>
            </w:r>
          </w:p>
          <w:p w14:paraId="7FEEBF7D" w14:textId="77777777" w:rsidR="00DA2302" w:rsidRPr="00286216" w:rsidRDefault="00DA2302" w:rsidP="00DA2302">
            <w:pPr>
              <w:pStyle w:val="StyleWisnow"/>
              <w:rPr>
                <w:color w:val="000000" w:themeColor="text1"/>
              </w:rPr>
            </w:pPr>
          </w:p>
          <w:p w14:paraId="053514BA" w14:textId="77777777" w:rsidR="00DA2302" w:rsidRPr="00286216" w:rsidRDefault="00DA2302" w:rsidP="00DA2302">
            <w:pPr>
              <w:pStyle w:val="StyleWisnow"/>
              <w:rPr>
                <w:color w:val="000000" w:themeColor="text1"/>
              </w:rPr>
            </w:pPr>
          </w:p>
          <w:p w14:paraId="6068CFDA" w14:textId="77777777" w:rsidR="00DA2302" w:rsidRPr="00286216" w:rsidRDefault="00DA2302" w:rsidP="00DA2302">
            <w:pPr>
              <w:pStyle w:val="StyleWisnow"/>
              <w:rPr>
                <w:color w:val="000000" w:themeColor="text1"/>
              </w:rPr>
            </w:pPr>
          </w:p>
          <w:p w14:paraId="42758BCB" w14:textId="77777777" w:rsidR="00DA2302" w:rsidRPr="00286216" w:rsidRDefault="00DA2302" w:rsidP="00DA2302">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3280BB5F" w14:textId="0948AF50" w:rsidR="00DA2302" w:rsidRPr="00286216" w:rsidRDefault="00DA2302" w:rsidP="00B36B16">
            <w:pPr>
              <w:pStyle w:val="StyleZakonu"/>
              <w:rPr>
                <w:color w:val="000000" w:themeColor="text1"/>
              </w:rPr>
            </w:pPr>
            <w:r w:rsidRPr="00286216">
              <w:rPr>
                <w:color w:val="000000" w:themeColor="text1"/>
              </w:rPr>
              <w:t xml:space="preserve">5. Дія цього Закону не поширюється на відносини, пов’язані з функціонуванням багатосторонніх систем та їх операторів, якщо правила функціонування таких </w:t>
            </w:r>
            <w:r w:rsidRPr="00286216">
              <w:rPr>
                <w:color w:val="000000" w:themeColor="text1"/>
                <w:szCs w:val="18"/>
              </w:rPr>
              <w:t>організованих</w:t>
            </w:r>
            <w:r w:rsidRPr="00286216">
              <w:rPr>
                <w:color w:val="000000" w:themeColor="text1"/>
              </w:rPr>
              <w:t xml:space="preserve"> ринків не передбачають у будь-якій формі обов’язковості централізованого вчинення правочинів або не передбачають обов’язковості централізованого виконання правочинів, або не передбачають обов’язковості централізованого вчинення та централізованого виконання правочинів.</w:t>
            </w:r>
          </w:p>
        </w:tc>
      </w:tr>
      <w:tr w:rsidR="00F77E8D" w:rsidRPr="00286216" w14:paraId="7BA2822A" w14:textId="77777777" w:rsidTr="00091AA5">
        <w:tc>
          <w:tcPr>
            <w:tcW w:w="576" w:type="dxa"/>
          </w:tcPr>
          <w:p w14:paraId="2C26C419" w14:textId="77777777" w:rsidR="00DA2302" w:rsidRPr="00286216" w:rsidRDefault="00DA2302" w:rsidP="00DA2302">
            <w:pPr>
              <w:pStyle w:val="StyleWisnow"/>
              <w:rPr>
                <w:color w:val="000000" w:themeColor="text1"/>
              </w:rPr>
            </w:pPr>
            <w:bookmarkStart w:id="10" w:name="n11" w:colFirst="0" w:colLast="0"/>
            <w:bookmarkEnd w:id="9"/>
            <w:r w:rsidRPr="00286216">
              <w:rPr>
                <w:color w:val="000000" w:themeColor="text1"/>
              </w:rPr>
              <w:t>11.</w:t>
            </w:r>
          </w:p>
        </w:tc>
        <w:tc>
          <w:tcPr>
            <w:tcW w:w="4818" w:type="dxa"/>
          </w:tcPr>
          <w:p w14:paraId="663DB996" w14:textId="77777777" w:rsidR="00DA2302" w:rsidRPr="00286216" w:rsidRDefault="00DA2302" w:rsidP="00DA2302">
            <w:pPr>
              <w:pStyle w:val="StyleZakonu"/>
              <w:rPr>
                <w:color w:val="000000" w:themeColor="text1"/>
              </w:rPr>
            </w:pPr>
            <w:r w:rsidRPr="00286216">
              <w:rPr>
                <w:color w:val="000000" w:themeColor="text1"/>
              </w:rPr>
              <w:t>5. Дія цього Закону не поширюється на відносини, пов’язані з функціонуванням електронної системи закупівель відповідно до Закону України "Про публічні закупівлі".</w:t>
            </w:r>
          </w:p>
        </w:tc>
        <w:tc>
          <w:tcPr>
            <w:tcW w:w="3686" w:type="dxa"/>
          </w:tcPr>
          <w:p w14:paraId="6905ACC5" w14:textId="77777777" w:rsidR="00DA2302" w:rsidRPr="00286216" w:rsidRDefault="00DA2302" w:rsidP="00DA2302">
            <w:pPr>
              <w:pStyle w:val="StyleProp"/>
              <w:rPr>
                <w:color w:val="000000" w:themeColor="text1"/>
              </w:rPr>
            </w:pPr>
          </w:p>
        </w:tc>
        <w:tc>
          <w:tcPr>
            <w:tcW w:w="1987" w:type="dxa"/>
          </w:tcPr>
          <w:p w14:paraId="19C1F662" w14:textId="77777777" w:rsidR="00DA2302" w:rsidRPr="00286216" w:rsidRDefault="00DA2302" w:rsidP="00DA2302">
            <w:pPr>
              <w:pStyle w:val="StyleWisnow"/>
              <w:rPr>
                <w:color w:val="000000" w:themeColor="text1"/>
              </w:rPr>
            </w:pPr>
          </w:p>
        </w:tc>
        <w:tc>
          <w:tcPr>
            <w:tcW w:w="4818" w:type="dxa"/>
          </w:tcPr>
          <w:p w14:paraId="4115C7E5" w14:textId="3892F302" w:rsidR="00DA2302" w:rsidRPr="00286216" w:rsidRDefault="00652F5E" w:rsidP="00652F5E">
            <w:pPr>
              <w:pStyle w:val="StyleZakonu"/>
              <w:rPr>
                <w:color w:val="000000" w:themeColor="text1"/>
              </w:rPr>
            </w:pPr>
            <w:r w:rsidRPr="00286216">
              <w:rPr>
                <w:color w:val="000000" w:themeColor="text1"/>
              </w:rPr>
              <w:t>6</w:t>
            </w:r>
            <w:r w:rsidR="00DA2302" w:rsidRPr="00286216">
              <w:rPr>
                <w:color w:val="000000" w:themeColor="text1"/>
              </w:rPr>
              <w:t>. Дія цього Закону не поширюється на відносини, пов’язані з функціонуванням електронної системи закупівель відповідно до Закону України "Про публічні закупівлі".</w:t>
            </w:r>
          </w:p>
        </w:tc>
      </w:tr>
      <w:tr w:rsidR="00F77E8D" w:rsidRPr="00286216" w14:paraId="53E387EB" w14:textId="77777777" w:rsidTr="00091AA5">
        <w:tc>
          <w:tcPr>
            <w:tcW w:w="576" w:type="dxa"/>
          </w:tcPr>
          <w:p w14:paraId="24688DA1" w14:textId="77777777" w:rsidR="00DA2302" w:rsidRPr="00286216" w:rsidRDefault="00DA2302" w:rsidP="00DA2302">
            <w:pPr>
              <w:pStyle w:val="StyleWisnow"/>
              <w:rPr>
                <w:color w:val="000000" w:themeColor="text1"/>
              </w:rPr>
            </w:pPr>
            <w:bookmarkStart w:id="11" w:name="n12" w:colFirst="0" w:colLast="0"/>
            <w:bookmarkEnd w:id="10"/>
            <w:r w:rsidRPr="00286216">
              <w:rPr>
                <w:color w:val="000000" w:themeColor="text1"/>
              </w:rPr>
              <w:t>12.</w:t>
            </w:r>
          </w:p>
        </w:tc>
        <w:tc>
          <w:tcPr>
            <w:tcW w:w="4818" w:type="dxa"/>
          </w:tcPr>
          <w:p w14:paraId="5A0E2371" w14:textId="77777777" w:rsidR="00DA2302" w:rsidRPr="00286216" w:rsidRDefault="00DA2302" w:rsidP="00DA2302">
            <w:pPr>
              <w:pStyle w:val="StyleZakonu"/>
              <w:rPr>
                <w:color w:val="000000" w:themeColor="text1"/>
              </w:rPr>
            </w:pPr>
            <w:bookmarkStart w:id="12" w:name="_Ref17654617"/>
            <w:r w:rsidRPr="00286216">
              <w:rPr>
                <w:color w:val="000000" w:themeColor="text1"/>
              </w:rPr>
              <w:t>Стаття 2. Визначення термінів</w:t>
            </w:r>
            <w:bookmarkEnd w:id="12"/>
          </w:p>
        </w:tc>
        <w:tc>
          <w:tcPr>
            <w:tcW w:w="3686" w:type="dxa"/>
          </w:tcPr>
          <w:p w14:paraId="6B728A9A" w14:textId="77777777" w:rsidR="00DA2302" w:rsidRPr="00286216" w:rsidRDefault="00DA2302" w:rsidP="00DA2302">
            <w:pPr>
              <w:pStyle w:val="StyleProp"/>
              <w:rPr>
                <w:color w:val="000000" w:themeColor="text1"/>
                <w:szCs w:val="18"/>
              </w:rPr>
            </w:pPr>
          </w:p>
        </w:tc>
        <w:tc>
          <w:tcPr>
            <w:tcW w:w="1987" w:type="dxa"/>
          </w:tcPr>
          <w:p w14:paraId="243C2D02" w14:textId="77777777" w:rsidR="00DA2302" w:rsidRPr="00286216" w:rsidRDefault="00DA2302" w:rsidP="00DA2302">
            <w:pPr>
              <w:pStyle w:val="StyleWisnow"/>
              <w:rPr>
                <w:color w:val="000000" w:themeColor="text1"/>
              </w:rPr>
            </w:pPr>
          </w:p>
        </w:tc>
        <w:tc>
          <w:tcPr>
            <w:tcW w:w="4818" w:type="dxa"/>
          </w:tcPr>
          <w:p w14:paraId="33977155" w14:textId="77777777" w:rsidR="00DA2302" w:rsidRPr="00286216" w:rsidRDefault="00DA2302" w:rsidP="00DA2302">
            <w:pPr>
              <w:pStyle w:val="StyleZakonu"/>
              <w:rPr>
                <w:color w:val="000000" w:themeColor="text1"/>
              </w:rPr>
            </w:pPr>
            <w:r w:rsidRPr="00286216">
              <w:rPr>
                <w:color w:val="000000" w:themeColor="text1"/>
              </w:rPr>
              <w:t>Стаття 2. Визначення термінів</w:t>
            </w:r>
          </w:p>
        </w:tc>
      </w:tr>
      <w:tr w:rsidR="00F77E8D" w:rsidRPr="00286216" w14:paraId="21990BEA" w14:textId="77777777" w:rsidTr="00091AA5">
        <w:tc>
          <w:tcPr>
            <w:tcW w:w="576" w:type="dxa"/>
          </w:tcPr>
          <w:p w14:paraId="5AE22B7F" w14:textId="77777777" w:rsidR="00DA2302" w:rsidRPr="00286216" w:rsidRDefault="00DA2302" w:rsidP="00DA2302">
            <w:pPr>
              <w:pStyle w:val="StyleWisnow"/>
              <w:rPr>
                <w:color w:val="000000" w:themeColor="text1"/>
              </w:rPr>
            </w:pPr>
            <w:bookmarkStart w:id="13" w:name="n13" w:colFirst="0" w:colLast="0"/>
            <w:bookmarkEnd w:id="11"/>
            <w:r w:rsidRPr="00286216">
              <w:rPr>
                <w:color w:val="000000" w:themeColor="text1"/>
              </w:rPr>
              <w:t>13.</w:t>
            </w:r>
          </w:p>
        </w:tc>
        <w:tc>
          <w:tcPr>
            <w:tcW w:w="4818" w:type="dxa"/>
          </w:tcPr>
          <w:p w14:paraId="31AB7AE8" w14:textId="77777777" w:rsidR="00DA2302" w:rsidRPr="00286216" w:rsidRDefault="00DA2302" w:rsidP="00DA2302">
            <w:pPr>
              <w:pStyle w:val="StyleZakonu"/>
              <w:rPr>
                <w:color w:val="000000" w:themeColor="text1"/>
              </w:rPr>
            </w:pPr>
            <w:r w:rsidRPr="00286216">
              <w:rPr>
                <w:color w:val="000000" w:themeColor="text1"/>
              </w:rPr>
              <w:t>1. У цьому Законі терміни вживаються в такому значенні:</w:t>
            </w:r>
          </w:p>
        </w:tc>
        <w:tc>
          <w:tcPr>
            <w:tcW w:w="3686" w:type="dxa"/>
          </w:tcPr>
          <w:p w14:paraId="5FFC0AD9" w14:textId="4122DC24" w:rsidR="00F7485D" w:rsidRPr="00286216" w:rsidRDefault="00F7485D" w:rsidP="00F7485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A96F2F8" w14:textId="55F60350" w:rsidR="00F7485D" w:rsidRPr="00286216" w:rsidRDefault="00F7485D" w:rsidP="00F7485D">
            <w:pPr>
              <w:pStyle w:val="StyleProp"/>
              <w:rPr>
                <w:color w:val="000000" w:themeColor="text1"/>
              </w:rPr>
            </w:pPr>
            <w:r w:rsidRPr="00286216">
              <w:rPr>
                <w:color w:val="000000" w:themeColor="text1"/>
              </w:rPr>
              <w:t>Абзац перший статті 2 після слова "Законі" доповнити словом "нижченаведені".</w:t>
            </w:r>
          </w:p>
        </w:tc>
        <w:tc>
          <w:tcPr>
            <w:tcW w:w="1987" w:type="dxa"/>
          </w:tcPr>
          <w:p w14:paraId="2BF3E205" w14:textId="7755BB7A" w:rsidR="00DA2302" w:rsidRPr="00286216" w:rsidRDefault="00F7485D" w:rsidP="00DA2302">
            <w:pPr>
              <w:pStyle w:val="StyleWisnow"/>
              <w:rPr>
                <w:color w:val="000000" w:themeColor="text1"/>
              </w:rPr>
            </w:pPr>
            <w:r w:rsidRPr="00286216">
              <w:rPr>
                <w:color w:val="000000" w:themeColor="text1"/>
              </w:rPr>
              <w:t>Враховано</w:t>
            </w:r>
          </w:p>
        </w:tc>
        <w:tc>
          <w:tcPr>
            <w:tcW w:w="4818" w:type="dxa"/>
          </w:tcPr>
          <w:p w14:paraId="4632B00F" w14:textId="01982CC3" w:rsidR="00DA2302" w:rsidRPr="00286216" w:rsidRDefault="00DA2302" w:rsidP="00DA2302">
            <w:pPr>
              <w:pStyle w:val="StyleZakonu"/>
              <w:rPr>
                <w:color w:val="000000" w:themeColor="text1"/>
              </w:rPr>
            </w:pPr>
            <w:r w:rsidRPr="00286216">
              <w:rPr>
                <w:color w:val="000000" w:themeColor="text1"/>
              </w:rPr>
              <w:t xml:space="preserve">1. У цьому Законі </w:t>
            </w:r>
            <w:r w:rsidR="007A72D8" w:rsidRPr="00286216">
              <w:rPr>
                <w:color w:val="000000" w:themeColor="text1"/>
              </w:rPr>
              <w:t xml:space="preserve">нижченаведені </w:t>
            </w:r>
            <w:r w:rsidRPr="00286216">
              <w:rPr>
                <w:color w:val="000000" w:themeColor="text1"/>
              </w:rPr>
              <w:t>терміни вживаються в такому значенні:</w:t>
            </w:r>
          </w:p>
        </w:tc>
      </w:tr>
      <w:tr w:rsidR="00F77E8D" w:rsidRPr="00286216" w14:paraId="17806ACA" w14:textId="77777777" w:rsidTr="00091AA5">
        <w:tc>
          <w:tcPr>
            <w:tcW w:w="576" w:type="dxa"/>
          </w:tcPr>
          <w:p w14:paraId="076AC908" w14:textId="77777777" w:rsidR="00DA2302" w:rsidRPr="00286216" w:rsidRDefault="00DA2302" w:rsidP="00DA2302">
            <w:pPr>
              <w:pStyle w:val="StyleWisnow"/>
              <w:rPr>
                <w:color w:val="000000" w:themeColor="text1"/>
              </w:rPr>
            </w:pPr>
            <w:bookmarkStart w:id="14" w:name="n14" w:colFirst="0" w:colLast="0"/>
            <w:bookmarkEnd w:id="13"/>
            <w:r w:rsidRPr="00286216">
              <w:rPr>
                <w:color w:val="000000" w:themeColor="text1"/>
              </w:rPr>
              <w:t>14.</w:t>
            </w:r>
          </w:p>
        </w:tc>
        <w:tc>
          <w:tcPr>
            <w:tcW w:w="4818" w:type="dxa"/>
          </w:tcPr>
          <w:p w14:paraId="26AEF427" w14:textId="77777777" w:rsidR="00DA2302" w:rsidRPr="00286216" w:rsidRDefault="00DA2302" w:rsidP="00DA2302">
            <w:pPr>
              <w:pStyle w:val="StyleZakonu"/>
              <w:rPr>
                <w:color w:val="000000" w:themeColor="text1"/>
              </w:rPr>
            </w:pPr>
            <w:r w:rsidRPr="00286216">
              <w:rPr>
                <w:color w:val="000000" w:themeColor="text1"/>
              </w:rPr>
              <w:t>1) адміністратор за випуском облігацій - юридична особа, яка діє від свого імені та в інтересах власників випуску відсоткових чи дисконтних корпоративних облігацій, облігацій внутрішніх місцевих позик, облігацій міжнародних фінансових організацій або іпотечних облігацій відповідно до законодавства, договору про призначення адміністратора, проспекту цінних паперів (рішення про емісію цінних паперів) та рішень зборів власників облігацій (далі - адміністратор);</w:t>
            </w:r>
          </w:p>
        </w:tc>
        <w:tc>
          <w:tcPr>
            <w:tcW w:w="3686" w:type="dxa"/>
          </w:tcPr>
          <w:p w14:paraId="20D93125" w14:textId="2D4A8E77" w:rsidR="00DA2302" w:rsidRPr="00286216" w:rsidRDefault="00DA2302" w:rsidP="00DA2302">
            <w:pPr>
              <w:pStyle w:val="StyleAwt"/>
              <w:rPr>
                <w:color w:val="000000" w:themeColor="text1"/>
                <w:spacing w:val="-6"/>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18</w:t>
            </w:r>
            <w:r w:rsidRPr="00286216">
              <w:rPr>
                <w:color w:val="000000" w:themeColor="text1"/>
                <w:spacing w:val="-6"/>
                <w:szCs w:val="18"/>
              </w:rPr>
              <w:fldChar w:fldCharType="end"/>
            </w:r>
            <w:r w:rsidRPr="00286216">
              <w:rPr>
                <w:color w:val="000000" w:themeColor="text1"/>
                <w:spacing w:val="-6"/>
                <w:szCs w:val="18"/>
              </w:rPr>
              <w:t>-</w:t>
            </w:r>
            <w:r w:rsidRPr="00286216">
              <w:rPr>
                <w:color w:val="000000" w:themeColor="text1"/>
                <w:spacing w:val="-6"/>
              </w:rPr>
              <w:t>Н.д.Бєлькова О.В. (Реєстр.картка №403)</w:t>
            </w:r>
          </w:p>
          <w:p w14:paraId="473F1C07" w14:textId="77777777" w:rsidR="00DA2302" w:rsidRPr="00286216" w:rsidRDefault="00DA2302" w:rsidP="00DA2302">
            <w:pPr>
              <w:pStyle w:val="StyleProp"/>
              <w:rPr>
                <w:color w:val="000000" w:themeColor="text1"/>
              </w:rPr>
            </w:pPr>
            <w:r w:rsidRPr="00286216">
              <w:rPr>
                <w:color w:val="000000" w:themeColor="text1"/>
              </w:rPr>
              <w:t>У пункті 1 частині 1 статті 2 слова "(далі – адміністратор)" перенести на початок терміну.</w:t>
            </w:r>
          </w:p>
        </w:tc>
        <w:tc>
          <w:tcPr>
            <w:tcW w:w="1987" w:type="dxa"/>
          </w:tcPr>
          <w:p w14:paraId="5B230C3D"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6A9955E0" w14:textId="77777777" w:rsidR="00DA2302" w:rsidRPr="00286216" w:rsidRDefault="00DA2302" w:rsidP="00DA2302">
            <w:pPr>
              <w:pStyle w:val="StyleZakonu"/>
              <w:rPr>
                <w:color w:val="000000" w:themeColor="text1"/>
              </w:rPr>
            </w:pPr>
            <w:r w:rsidRPr="00286216">
              <w:rPr>
                <w:color w:val="000000" w:themeColor="text1"/>
              </w:rPr>
              <w:t>1) адміністратор за випуском облігацій (далі - адміністратор) - юридична особа, яка діє від свого імені та в інтересах власників випуску відсоткових чи дисконтних корпоративних облігацій, облігацій внутрішніх місцевих позик, облігацій міжнародних фінансових організацій або іпотечних облігацій відповідно до законодавства, договору про призначення адміністратора, проспекту цінних паперів (рішення про емісію цінних паперів) та рішень зборів власників облігацій;</w:t>
            </w:r>
          </w:p>
        </w:tc>
      </w:tr>
      <w:tr w:rsidR="00F77E8D" w:rsidRPr="00286216" w14:paraId="6A76FF9E" w14:textId="77777777" w:rsidTr="00091AA5">
        <w:tc>
          <w:tcPr>
            <w:tcW w:w="576" w:type="dxa"/>
          </w:tcPr>
          <w:p w14:paraId="348D76E3" w14:textId="77777777" w:rsidR="00DA2302" w:rsidRPr="00286216" w:rsidRDefault="00DA2302" w:rsidP="00DA2302">
            <w:pPr>
              <w:pStyle w:val="StyleWisnow"/>
              <w:rPr>
                <w:color w:val="000000" w:themeColor="text1"/>
              </w:rPr>
            </w:pPr>
            <w:bookmarkStart w:id="15" w:name="n15" w:colFirst="0" w:colLast="0"/>
            <w:bookmarkEnd w:id="14"/>
            <w:r w:rsidRPr="00286216">
              <w:rPr>
                <w:color w:val="000000" w:themeColor="text1"/>
              </w:rPr>
              <w:t>15.</w:t>
            </w:r>
          </w:p>
        </w:tc>
        <w:tc>
          <w:tcPr>
            <w:tcW w:w="4818" w:type="dxa"/>
          </w:tcPr>
          <w:p w14:paraId="3216C273" w14:textId="77777777" w:rsidR="00DA2302" w:rsidRPr="00286216" w:rsidRDefault="00DA2302" w:rsidP="00DA2302">
            <w:pPr>
              <w:pStyle w:val="StyleZakonu"/>
              <w:rPr>
                <w:color w:val="000000" w:themeColor="text1"/>
              </w:rPr>
            </w:pPr>
            <w:r w:rsidRPr="00286216">
              <w:rPr>
                <w:color w:val="000000" w:themeColor="text1"/>
              </w:rPr>
              <w:t>2) актив, допущений до торгів на організованому ринку - актив, допущений до торгівлі на регульованому ринку, або актив, допущений до торгів на багатосторонньому торгівельному майданчику, або актив, допущений до торгів на організованому торгівельному майданчику;</w:t>
            </w:r>
          </w:p>
        </w:tc>
        <w:tc>
          <w:tcPr>
            <w:tcW w:w="3686" w:type="dxa"/>
          </w:tcPr>
          <w:p w14:paraId="2E2E8368" w14:textId="0B3EC6E0"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19</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4973E726" w14:textId="77777777" w:rsidR="00DA2302" w:rsidRPr="00286216" w:rsidRDefault="00DA2302" w:rsidP="00DA2302">
            <w:pPr>
              <w:pStyle w:val="StyleProp"/>
              <w:rPr>
                <w:color w:val="000000" w:themeColor="text1"/>
                <w:szCs w:val="18"/>
              </w:rPr>
            </w:pPr>
            <w:r w:rsidRPr="00286216">
              <w:rPr>
                <w:color w:val="000000" w:themeColor="text1"/>
                <w:szCs w:val="18"/>
              </w:rPr>
              <w:t>У пункті 2 частини першої статті 2 слово «торгівлі» замінити словом «торгів», доповнити пункт словами «або актив, допущений до торгів на товарній біржі».</w:t>
            </w:r>
          </w:p>
        </w:tc>
        <w:tc>
          <w:tcPr>
            <w:tcW w:w="1987" w:type="dxa"/>
          </w:tcPr>
          <w:p w14:paraId="7E7789BF"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4AEC68A3" w14:textId="774CCCA9" w:rsidR="00DA2302" w:rsidRPr="00286216" w:rsidRDefault="00187B57" w:rsidP="00022D7E">
            <w:pPr>
              <w:pStyle w:val="StyleZakonu"/>
              <w:spacing w:after="0"/>
              <w:rPr>
                <w:color w:val="000000" w:themeColor="text1"/>
              </w:rPr>
            </w:pPr>
            <w:r w:rsidRPr="00286216">
              <w:rPr>
                <w:color w:val="000000" w:themeColor="text1"/>
              </w:rPr>
              <w:t>3</w:t>
            </w:r>
            <w:r w:rsidR="00DA2302" w:rsidRPr="00286216">
              <w:rPr>
                <w:color w:val="000000" w:themeColor="text1"/>
              </w:rPr>
              <w:t>) актив, допущений до торгів на організованому ринку</w:t>
            </w:r>
            <w:r w:rsidR="00426467" w:rsidRPr="00286216">
              <w:rPr>
                <w:color w:val="000000" w:themeColor="text1"/>
              </w:rPr>
              <w:t>,</w:t>
            </w:r>
            <w:r w:rsidR="00DA2302" w:rsidRPr="00286216">
              <w:rPr>
                <w:color w:val="000000" w:themeColor="text1"/>
              </w:rPr>
              <w:t xml:space="preserve"> </w:t>
            </w:r>
            <w:r w:rsidR="00AD0430" w:rsidRPr="00286216">
              <w:rPr>
                <w:color w:val="000000" w:themeColor="text1"/>
              </w:rPr>
              <w:t>–</w:t>
            </w:r>
            <w:r w:rsidR="00DA2302" w:rsidRPr="00286216">
              <w:rPr>
                <w:color w:val="000000" w:themeColor="text1"/>
              </w:rPr>
              <w:t xml:space="preserve"> актив, допущений до </w:t>
            </w:r>
            <w:r w:rsidR="00DA2302" w:rsidRPr="00286216">
              <w:rPr>
                <w:color w:val="000000" w:themeColor="text1"/>
                <w:szCs w:val="18"/>
              </w:rPr>
              <w:t>торгів</w:t>
            </w:r>
            <w:r w:rsidR="00DA2302" w:rsidRPr="00286216">
              <w:rPr>
                <w:color w:val="000000" w:themeColor="text1"/>
              </w:rPr>
              <w:t xml:space="preserve"> на регульованому ринку, або актив, допущений до торгів на багатосторонньому торг</w:t>
            </w:r>
            <w:r w:rsidR="00426467" w:rsidRPr="00286216">
              <w:rPr>
                <w:color w:val="000000" w:themeColor="text1"/>
              </w:rPr>
              <w:t>о</w:t>
            </w:r>
            <w:r w:rsidR="00DA2302" w:rsidRPr="00286216">
              <w:rPr>
                <w:color w:val="000000" w:themeColor="text1"/>
              </w:rPr>
              <w:t>вельному майданчику, або актив, допущений до торгів на організованому торг</w:t>
            </w:r>
            <w:r w:rsidR="00705474" w:rsidRPr="00286216">
              <w:rPr>
                <w:color w:val="000000" w:themeColor="text1"/>
              </w:rPr>
              <w:t>о</w:t>
            </w:r>
            <w:r w:rsidR="00DA2302" w:rsidRPr="00286216">
              <w:rPr>
                <w:color w:val="000000" w:themeColor="text1"/>
              </w:rPr>
              <w:t xml:space="preserve">вельному майданчику, </w:t>
            </w:r>
            <w:r w:rsidR="00DA2302" w:rsidRPr="00286216">
              <w:rPr>
                <w:color w:val="000000" w:themeColor="text1"/>
                <w:szCs w:val="18"/>
              </w:rPr>
              <w:t>або актив, допущений до торгів на товарній біржі</w:t>
            </w:r>
            <w:r w:rsidR="00DA2302" w:rsidRPr="00286216">
              <w:rPr>
                <w:color w:val="000000" w:themeColor="text1"/>
              </w:rPr>
              <w:t>;</w:t>
            </w:r>
          </w:p>
        </w:tc>
      </w:tr>
      <w:bookmarkEnd w:id="15"/>
      <w:tr w:rsidR="00F77E8D" w:rsidRPr="00286216" w14:paraId="385D6CC4" w14:textId="77777777" w:rsidTr="00091AA5">
        <w:tc>
          <w:tcPr>
            <w:tcW w:w="576" w:type="dxa"/>
          </w:tcPr>
          <w:p w14:paraId="72393865" w14:textId="77777777" w:rsidR="00DA2302" w:rsidRPr="00286216" w:rsidRDefault="00DA2302" w:rsidP="00DA2302">
            <w:pPr>
              <w:pStyle w:val="StyleWisnow"/>
              <w:rPr>
                <w:color w:val="000000" w:themeColor="text1"/>
              </w:rPr>
            </w:pPr>
          </w:p>
        </w:tc>
        <w:tc>
          <w:tcPr>
            <w:tcW w:w="4818" w:type="dxa"/>
          </w:tcPr>
          <w:p w14:paraId="18357F64" w14:textId="77777777" w:rsidR="00DA2302" w:rsidRPr="00286216" w:rsidRDefault="00DA2302" w:rsidP="00DA2302">
            <w:pPr>
              <w:pStyle w:val="StyleZakonu"/>
              <w:rPr>
                <w:color w:val="000000" w:themeColor="text1"/>
              </w:rPr>
            </w:pPr>
          </w:p>
        </w:tc>
        <w:tc>
          <w:tcPr>
            <w:tcW w:w="3686" w:type="dxa"/>
          </w:tcPr>
          <w:p w14:paraId="5764ED2D" w14:textId="29ACA411" w:rsidR="00DA2302" w:rsidRPr="00286216" w:rsidRDefault="00DA2302" w:rsidP="00DA2302">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20</w:t>
            </w:r>
            <w:r w:rsidRPr="00286216">
              <w:rPr>
                <w:color w:val="000000" w:themeColor="text1"/>
                <w:spacing w:val="-10"/>
              </w:rPr>
              <w:fldChar w:fldCharType="end"/>
            </w:r>
            <w:r w:rsidRPr="00286216">
              <w:rPr>
                <w:color w:val="000000" w:themeColor="text1"/>
                <w:spacing w:val="-10"/>
              </w:rPr>
              <w:t>-Н.д.Гетманцев Д.О.(Реєстр.картка №245)</w:t>
            </w:r>
          </w:p>
          <w:p w14:paraId="55EBCCFC" w14:textId="3682F193" w:rsidR="00DA2302" w:rsidRPr="00286216" w:rsidRDefault="00DA2302" w:rsidP="00817365">
            <w:pPr>
              <w:pStyle w:val="StyleProp"/>
              <w:rPr>
                <w:color w:val="000000" w:themeColor="text1"/>
              </w:rPr>
            </w:pPr>
            <w:r w:rsidRPr="00286216">
              <w:rPr>
                <w:color w:val="000000" w:themeColor="text1"/>
              </w:rPr>
              <w:t>У частині першій статті 2 у пункті 2 слово «торгівлі» замінити словом «торгів».</w:t>
            </w:r>
          </w:p>
        </w:tc>
        <w:tc>
          <w:tcPr>
            <w:tcW w:w="1987" w:type="dxa"/>
          </w:tcPr>
          <w:p w14:paraId="5223C021"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408E90FF" w14:textId="77777777" w:rsidR="00DA2302" w:rsidRPr="00286216" w:rsidRDefault="00DA2302" w:rsidP="00DA2302">
            <w:pPr>
              <w:pStyle w:val="StyleZakonu"/>
              <w:rPr>
                <w:color w:val="000000" w:themeColor="text1"/>
              </w:rPr>
            </w:pPr>
          </w:p>
        </w:tc>
      </w:tr>
      <w:tr w:rsidR="00F77E8D" w:rsidRPr="00286216" w14:paraId="70EE6303" w14:textId="77777777" w:rsidTr="00091AA5">
        <w:tc>
          <w:tcPr>
            <w:tcW w:w="576" w:type="dxa"/>
          </w:tcPr>
          <w:p w14:paraId="732264C8" w14:textId="77777777" w:rsidR="00DA2302" w:rsidRPr="00286216" w:rsidRDefault="00DA2302" w:rsidP="00DA2302">
            <w:pPr>
              <w:pStyle w:val="StyleWisnow"/>
              <w:rPr>
                <w:color w:val="000000" w:themeColor="text1"/>
              </w:rPr>
            </w:pPr>
            <w:bookmarkStart w:id="16" w:name="n16" w:colFirst="0" w:colLast="0"/>
            <w:r w:rsidRPr="00286216">
              <w:rPr>
                <w:color w:val="000000" w:themeColor="text1"/>
              </w:rPr>
              <w:t>16.</w:t>
            </w:r>
          </w:p>
        </w:tc>
        <w:tc>
          <w:tcPr>
            <w:tcW w:w="4818" w:type="dxa"/>
          </w:tcPr>
          <w:p w14:paraId="098134BC" w14:textId="77777777" w:rsidR="00DA2302" w:rsidRPr="00286216" w:rsidRDefault="00DA2302" w:rsidP="00DA2302">
            <w:pPr>
              <w:pStyle w:val="StyleZakonu"/>
              <w:rPr>
                <w:color w:val="000000" w:themeColor="text1"/>
              </w:rPr>
            </w:pPr>
            <w:r w:rsidRPr="00286216">
              <w:rPr>
                <w:color w:val="000000" w:themeColor="text1"/>
              </w:rPr>
              <w:t>3) актив, допущений до торгів на регульованому ринку - допущені до торгів на регульованому ринку продукція та інше майно, визначене родовими ознаками, цінні папери, включаючи деривативні (похідні) цінні папери, деривативні контракти, інструменти грошового ринку та валютні цінності;</w:t>
            </w:r>
          </w:p>
        </w:tc>
        <w:tc>
          <w:tcPr>
            <w:tcW w:w="3686" w:type="dxa"/>
          </w:tcPr>
          <w:p w14:paraId="3CD0CF50" w14:textId="3E794A85" w:rsidR="00BD1E20" w:rsidRPr="00286216" w:rsidRDefault="00BD1E20" w:rsidP="00BD1E2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1AE00B0" w14:textId="77777777" w:rsidR="00BD1E20" w:rsidRPr="00286216" w:rsidRDefault="00BD1E20" w:rsidP="00BD1E20">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7B5D247E" w14:textId="77777777" w:rsidR="00BD1E20" w:rsidRPr="00286216" w:rsidRDefault="00BD1E20" w:rsidP="00BD1E20">
            <w:pPr>
              <w:pStyle w:val="StyleProp"/>
              <w:rPr>
                <w:color w:val="000000" w:themeColor="text1"/>
              </w:rPr>
            </w:pPr>
            <w:r w:rsidRPr="00286216">
              <w:rPr>
                <w:color w:val="000000" w:themeColor="text1"/>
              </w:rPr>
              <w:t>У пункті 3 частини першої статті 2 слова «продукція та інше майно, визначене родовими ознаками,» виключити.</w:t>
            </w:r>
          </w:p>
          <w:p w14:paraId="3F4DFDB2" w14:textId="20C54682"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22</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2E0A5C53" w14:textId="77777777" w:rsidR="00DA2302" w:rsidRPr="00286216" w:rsidRDefault="00DA2302" w:rsidP="00DA2302">
            <w:pPr>
              <w:pStyle w:val="StyleProp"/>
              <w:spacing w:line="190" w:lineRule="exact"/>
              <w:rPr>
                <w:color w:val="000000" w:themeColor="text1"/>
                <w:spacing w:val="-3"/>
                <w:szCs w:val="18"/>
              </w:rPr>
            </w:pPr>
            <w:r w:rsidRPr="00286216">
              <w:rPr>
                <w:color w:val="000000" w:themeColor="text1"/>
                <w:spacing w:val="-3"/>
                <w:szCs w:val="18"/>
              </w:rPr>
              <w:t>У пункті 3 частини першої статті 2 слова «продукція та інше майно, визначене родовими ознаками» замінити словами «речі, визначені родовими ознаками, зокрема продукція».</w:t>
            </w:r>
          </w:p>
          <w:p w14:paraId="5E849AA4" w14:textId="5B269E8C"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02D7227" w14:textId="77777777" w:rsidR="00DA2302" w:rsidRPr="00286216" w:rsidRDefault="00DA2302" w:rsidP="00DA2302">
            <w:pPr>
              <w:spacing w:line="180" w:lineRule="exact"/>
              <w:ind w:firstLine="227"/>
              <w:jc w:val="both"/>
              <w:rPr>
                <w:color w:val="000000" w:themeColor="text1"/>
              </w:rPr>
            </w:pPr>
            <w:r w:rsidRPr="00286216">
              <w:rPr>
                <w:color w:val="000000" w:themeColor="text1"/>
                <w:sz w:val="18"/>
              </w:rPr>
              <w:t>У частині 1 статті 2 розділу 1, у пунктах  3 та 4 слово та символи «(похідні)» виключити.</w:t>
            </w:r>
          </w:p>
          <w:p w14:paraId="0A80FD37" w14:textId="7223D3B9"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24</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117EDF8E" w14:textId="77777777" w:rsidR="00DA2302" w:rsidRPr="00286216" w:rsidRDefault="00DA2302" w:rsidP="00F6479F">
            <w:pPr>
              <w:pStyle w:val="StyleProp"/>
              <w:rPr>
                <w:color w:val="000000" w:themeColor="text1"/>
              </w:rPr>
            </w:pPr>
            <w:r w:rsidRPr="00286216">
              <w:rPr>
                <w:color w:val="000000" w:themeColor="text1"/>
              </w:rPr>
              <w:t>В тексті закону слово «(похідний)» в усіх числах та відмінках виключити</w:t>
            </w:r>
            <w:r w:rsidR="00BD1E20" w:rsidRPr="00286216">
              <w:rPr>
                <w:color w:val="000000" w:themeColor="text1"/>
              </w:rPr>
              <w:t>.</w:t>
            </w:r>
            <w:r w:rsidRPr="00286216">
              <w:rPr>
                <w:color w:val="000000" w:themeColor="text1"/>
              </w:rPr>
              <w:t xml:space="preserve"> </w:t>
            </w:r>
          </w:p>
        </w:tc>
        <w:tc>
          <w:tcPr>
            <w:tcW w:w="1987" w:type="dxa"/>
          </w:tcPr>
          <w:p w14:paraId="4B530362" w14:textId="77777777" w:rsidR="00DA2302" w:rsidRPr="00286216" w:rsidRDefault="00DA2302" w:rsidP="00DA2302">
            <w:pPr>
              <w:pStyle w:val="StyleWisnow"/>
              <w:rPr>
                <w:color w:val="000000" w:themeColor="text1"/>
              </w:rPr>
            </w:pPr>
            <w:r w:rsidRPr="00286216">
              <w:rPr>
                <w:color w:val="000000" w:themeColor="text1"/>
              </w:rPr>
              <w:t>Враховано</w:t>
            </w:r>
          </w:p>
          <w:p w14:paraId="4AB5944D" w14:textId="77777777" w:rsidR="00DA2302" w:rsidRPr="00286216" w:rsidRDefault="00DA2302" w:rsidP="00DA2302">
            <w:pPr>
              <w:pStyle w:val="StyleWisnow"/>
              <w:spacing w:line="200" w:lineRule="exact"/>
              <w:rPr>
                <w:color w:val="000000" w:themeColor="text1"/>
              </w:rPr>
            </w:pPr>
          </w:p>
          <w:p w14:paraId="330735AD" w14:textId="77777777" w:rsidR="00DA2302" w:rsidRPr="00286216" w:rsidRDefault="00DA2302" w:rsidP="00DA2302">
            <w:pPr>
              <w:pStyle w:val="StyleWisnow"/>
              <w:spacing w:line="200" w:lineRule="exact"/>
              <w:rPr>
                <w:color w:val="000000" w:themeColor="text1"/>
              </w:rPr>
            </w:pPr>
          </w:p>
          <w:p w14:paraId="36A2F04F" w14:textId="77777777" w:rsidR="00DA2302" w:rsidRPr="00286216" w:rsidRDefault="00DA2302" w:rsidP="00DA2302">
            <w:pPr>
              <w:pStyle w:val="StyleWisnow"/>
              <w:spacing w:line="200" w:lineRule="exact"/>
              <w:rPr>
                <w:color w:val="000000" w:themeColor="text1"/>
              </w:rPr>
            </w:pPr>
          </w:p>
          <w:p w14:paraId="23E9E4F6" w14:textId="77777777" w:rsidR="00DA2302" w:rsidRPr="00286216" w:rsidRDefault="00DA2302" w:rsidP="00DA2302">
            <w:pPr>
              <w:pStyle w:val="StyleWisnow"/>
              <w:spacing w:line="200" w:lineRule="exact"/>
              <w:rPr>
                <w:color w:val="000000" w:themeColor="text1"/>
              </w:rPr>
            </w:pPr>
          </w:p>
          <w:p w14:paraId="5F01782C" w14:textId="77777777" w:rsidR="0061508D" w:rsidRPr="00286216" w:rsidRDefault="0061508D" w:rsidP="00022D7E">
            <w:pPr>
              <w:pStyle w:val="StyleWisnow"/>
              <w:spacing w:line="180" w:lineRule="exact"/>
              <w:rPr>
                <w:color w:val="000000" w:themeColor="text1"/>
              </w:rPr>
            </w:pPr>
          </w:p>
          <w:p w14:paraId="566C22C6" w14:textId="77777777" w:rsidR="00BD1E20" w:rsidRPr="00286216" w:rsidRDefault="00BD1E20" w:rsidP="00022D7E">
            <w:pPr>
              <w:pStyle w:val="StyleWisnow"/>
              <w:spacing w:line="180" w:lineRule="exact"/>
              <w:rPr>
                <w:color w:val="000000" w:themeColor="text1"/>
              </w:rPr>
            </w:pPr>
            <w:r w:rsidRPr="00286216">
              <w:rPr>
                <w:color w:val="000000" w:themeColor="text1"/>
              </w:rPr>
              <w:t>Відхилено</w:t>
            </w:r>
          </w:p>
          <w:p w14:paraId="0D7EEA43" w14:textId="77777777" w:rsidR="00DA2302" w:rsidRPr="00286216" w:rsidRDefault="00BD1E20" w:rsidP="00022D7E">
            <w:pPr>
              <w:pStyle w:val="StyleWisnow"/>
              <w:spacing w:line="180" w:lineRule="exact"/>
              <w:rPr>
                <w:color w:val="000000" w:themeColor="text1"/>
              </w:rPr>
            </w:pPr>
            <w:r w:rsidRPr="00286216">
              <w:rPr>
                <w:color w:val="000000" w:themeColor="text1"/>
              </w:rPr>
              <w:t>у звʼязку із зміною редакції та виключенням слів</w:t>
            </w:r>
          </w:p>
          <w:p w14:paraId="58EDC822" w14:textId="77777777" w:rsidR="00DA2302" w:rsidRPr="00286216" w:rsidRDefault="00DA2302" w:rsidP="00DA2302">
            <w:pPr>
              <w:pStyle w:val="StyleWisnow"/>
              <w:spacing w:line="180" w:lineRule="exact"/>
              <w:rPr>
                <w:color w:val="000000" w:themeColor="text1"/>
              </w:rPr>
            </w:pPr>
          </w:p>
          <w:p w14:paraId="3523983E" w14:textId="77777777" w:rsidR="00DA2302" w:rsidRPr="00286216" w:rsidRDefault="00DA2302" w:rsidP="00DA2302">
            <w:pPr>
              <w:pStyle w:val="StyleWisnow"/>
              <w:rPr>
                <w:color w:val="000000" w:themeColor="text1"/>
              </w:rPr>
            </w:pPr>
            <w:r w:rsidRPr="00286216">
              <w:rPr>
                <w:color w:val="000000" w:themeColor="text1"/>
              </w:rPr>
              <w:t>Враховано</w:t>
            </w:r>
          </w:p>
          <w:p w14:paraId="31945ED6" w14:textId="77777777" w:rsidR="00BD1E20" w:rsidRPr="00286216" w:rsidRDefault="00BD1E20" w:rsidP="00DA2302">
            <w:pPr>
              <w:pStyle w:val="StyleWisnow"/>
              <w:rPr>
                <w:color w:val="000000" w:themeColor="text1"/>
              </w:rPr>
            </w:pPr>
          </w:p>
          <w:p w14:paraId="24070931" w14:textId="77777777" w:rsidR="00BD1E20" w:rsidRPr="00286216" w:rsidRDefault="00BD1E20" w:rsidP="00DA2302">
            <w:pPr>
              <w:pStyle w:val="StyleWisnow"/>
              <w:rPr>
                <w:color w:val="000000" w:themeColor="text1"/>
              </w:rPr>
            </w:pPr>
          </w:p>
          <w:p w14:paraId="3CF86149" w14:textId="77777777" w:rsidR="00BD1E20" w:rsidRPr="00286216" w:rsidRDefault="00BD1E20" w:rsidP="00DA2302">
            <w:pPr>
              <w:pStyle w:val="StyleWisnow"/>
              <w:rPr>
                <w:color w:val="000000" w:themeColor="text1"/>
              </w:rPr>
            </w:pPr>
            <w:r w:rsidRPr="00286216">
              <w:rPr>
                <w:color w:val="000000" w:themeColor="text1"/>
              </w:rPr>
              <w:t>Враховано</w:t>
            </w:r>
          </w:p>
          <w:p w14:paraId="1FB9081C" w14:textId="77777777" w:rsidR="00BD1E20" w:rsidRPr="00286216" w:rsidRDefault="00BD1E20" w:rsidP="00DA2302">
            <w:pPr>
              <w:pStyle w:val="StyleWisnow"/>
              <w:rPr>
                <w:color w:val="000000" w:themeColor="text1"/>
              </w:rPr>
            </w:pPr>
          </w:p>
        </w:tc>
        <w:tc>
          <w:tcPr>
            <w:tcW w:w="4818" w:type="dxa"/>
          </w:tcPr>
          <w:p w14:paraId="1878E4CE" w14:textId="61C6E2F0" w:rsidR="00DA2302" w:rsidRPr="00286216" w:rsidRDefault="00187B57" w:rsidP="00187B57">
            <w:pPr>
              <w:pStyle w:val="StyleZakonu"/>
              <w:rPr>
                <w:color w:val="000000" w:themeColor="text1"/>
              </w:rPr>
            </w:pPr>
            <w:r w:rsidRPr="00286216">
              <w:rPr>
                <w:color w:val="000000" w:themeColor="text1"/>
              </w:rPr>
              <w:t>4</w:t>
            </w:r>
            <w:r w:rsidR="00DA2302" w:rsidRPr="00286216">
              <w:rPr>
                <w:color w:val="000000" w:themeColor="text1"/>
              </w:rPr>
              <w:t>) актив, допущений до торгів на регульованому ринку</w:t>
            </w:r>
            <w:r w:rsidR="00705474" w:rsidRPr="00286216">
              <w:rPr>
                <w:color w:val="000000" w:themeColor="text1"/>
              </w:rPr>
              <w:t>,</w:t>
            </w:r>
            <w:r w:rsidR="00DA2302" w:rsidRPr="00286216">
              <w:rPr>
                <w:color w:val="000000" w:themeColor="text1"/>
              </w:rPr>
              <w:t xml:space="preserve"> – допущені до торгів на регульованому ринку цінні папери, включаючи деривативні цінні папери, деривативні контракти, інструменти грошового ринку та валютні цінності;</w:t>
            </w:r>
          </w:p>
        </w:tc>
      </w:tr>
      <w:tr w:rsidR="00F77E8D" w:rsidRPr="00286216" w14:paraId="59B664CF" w14:textId="77777777" w:rsidTr="00091AA5">
        <w:tc>
          <w:tcPr>
            <w:tcW w:w="576" w:type="dxa"/>
          </w:tcPr>
          <w:p w14:paraId="0459626E" w14:textId="77777777" w:rsidR="00DA2302" w:rsidRPr="00286216" w:rsidRDefault="00DA2302" w:rsidP="00DA2302">
            <w:pPr>
              <w:pStyle w:val="StyleWisnow"/>
              <w:rPr>
                <w:color w:val="000000" w:themeColor="text1"/>
              </w:rPr>
            </w:pPr>
            <w:bookmarkStart w:id="17" w:name="n17" w:colFirst="0" w:colLast="0"/>
            <w:bookmarkEnd w:id="16"/>
            <w:r w:rsidRPr="00286216">
              <w:rPr>
                <w:color w:val="000000" w:themeColor="text1"/>
              </w:rPr>
              <w:t>17.</w:t>
            </w:r>
          </w:p>
        </w:tc>
        <w:tc>
          <w:tcPr>
            <w:tcW w:w="4818" w:type="dxa"/>
          </w:tcPr>
          <w:p w14:paraId="7421BEA5" w14:textId="77777777" w:rsidR="00DA2302" w:rsidRPr="00286216" w:rsidRDefault="00DA2302" w:rsidP="00DA2302">
            <w:pPr>
              <w:pStyle w:val="StyleZakonu"/>
              <w:rPr>
                <w:color w:val="000000" w:themeColor="text1"/>
              </w:rPr>
            </w:pPr>
            <w:r w:rsidRPr="00286216">
              <w:rPr>
                <w:color w:val="000000" w:themeColor="text1"/>
              </w:rPr>
              <w:t>4) актив, допущений до торгів на багатосторонньому торгівельному майданчику - допущені до торгів на багатосторонньому торгівельному майданчику цінні папери, включаючи деривативні (похідні) цінні папери, та деривативні контракти;</w:t>
            </w:r>
          </w:p>
        </w:tc>
        <w:tc>
          <w:tcPr>
            <w:tcW w:w="3686" w:type="dxa"/>
          </w:tcPr>
          <w:p w14:paraId="4D9BB1FB" w14:textId="7F824DB4"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25</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6907D5B4" w14:textId="77777777" w:rsidR="00DA2302" w:rsidRPr="00286216" w:rsidRDefault="00DA2302" w:rsidP="00DA2302">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p w14:paraId="6C9E4D54" w14:textId="28737DAA"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00981C9" w14:textId="77777777" w:rsidR="00DA2302" w:rsidRPr="00286216" w:rsidRDefault="00DA2302" w:rsidP="00DA2302">
            <w:pPr>
              <w:spacing w:line="190" w:lineRule="exact"/>
              <w:ind w:firstLine="227"/>
              <w:jc w:val="both"/>
              <w:rPr>
                <w:color w:val="000000" w:themeColor="text1"/>
                <w:sz w:val="18"/>
              </w:rPr>
            </w:pPr>
            <w:r w:rsidRPr="00286216">
              <w:rPr>
                <w:color w:val="000000" w:themeColor="text1"/>
                <w:sz w:val="18"/>
              </w:rPr>
              <w:t>У частині 1 статті 2 розділу 1 в пунктах 3 та 4 та 66 слово та символи «(похідні)» та в підпункті б) пункту 22) слово та символи «(похідними)» виключити.</w:t>
            </w:r>
          </w:p>
        </w:tc>
        <w:tc>
          <w:tcPr>
            <w:tcW w:w="1987" w:type="dxa"/>
          </w:tcPr>
          <w:p w14:paraId="57C4AFA5" w14:textId="77777777" w:rsidR="00DA2302" w:rsidRPr="00286216" w:rsidRDefault="00DA2302" w:rsidP="00DA2302">
            <w:pPr>
              <w:pStyle w:val="StyleWisnow"/>
              <w:rPr>
                <w:color w:val="000000" w:themeColor="text1"/>
              </w:rPr>
            </w:pPr>
            <w:r w:rsidRPr="00286216">
              <w:rPr>
                <w:color w:val="000000" w:themeColor="text1"/>
              </w:rPr>
              <w:t>Враховано</w:t>
            </w:r>
          </w:p>
          <w:p w14:paraId="2F932C8D" w14:textId="77777777" w:rsidR="00DA2302" w:rsidRPr="00286216" w:rsidRDefault="00DA2302" w:rsidP="00DA2302">
            <w:pPr>
              <w:pStyle w:val="StyleWisnow"/>
              <w:rPr>
                <w:color w:val="000000" w:themeColor="text1"/>
              </w:rPr>
            </w:pPr>
          </w:p>
          <w:p w14:paraId="3C20EE5F" w14:textId="77777777" w:rsidR="00DA2302" w:rsidRPr="00286216" w:rsidRDefault="00DA2302" w:rsidP="00DA2302">
            <w:pPr>
              <w:pStyle w:val="StyleWisnow"/>
              <w:rPr>
                <w:color w:val="000000" w:themeColor="text1"/>
              </w:rPr>
            </w:pPr>
          </w:p>
          <w:p w14:paraId="5665817C" w14:textId="77777777" w:rsidR="00DA2302" w:rsidRPr="00286216" w:rsidRDefault="00DA2302" w:rsidP="00DA2302">
            <w:pPr>
              <w:pStyle w:val="StyleWisnow"/>
              <w:rPr>
                <w:color w:val="000000" w:themeColor="text1"/>
              </w:rPr>
            </w:pPr>
          </w:p>
          <w:p w14:paraId="0F255D1F" w14:textId="77777777" w:rsidR="00DA2302" w:rsidRPr="00286216" w:rsidRDefault="00DA2302" w:rsidP="00DA2302">
            <w:pPr>
              <w:pStyle w:val="StyleWisnow"/>
              <w:rPr>
                <w:color w:val="000000" w:themeColor="text1"/>
              </w:rPr>
            </w:pPr>
          </w:p>
          <w:p w14:paraId="27723765" w14:textId="77777777" w:rsidR="00DA2302" w:rsidRPr="00286216" w:rsidRDefault="00DA2302" w:rsidP="00DA2302">
            <w:pPr>
              <w:pStyle w:val="StyleWisnow"/>
              <w:rPr>
                <w:color w:val="000000" w:themeColor="text1"/>
              </w:rPr>
            </w:pPr>
          </w:p>
          <w:p w14:paraId="6BDA1DAB" w14:textId="77777777" w:rsidR="00DA2302" w:rsidRPr="00286216" w:rsidRDefault="00DA2302" w:rsidP="00DA2302">
            <w:pPr>
              <w:pStyle w:val="StyleWisnow"/>
              <w:rPr>
                <w:color w:val="000000" w:themeColor="text1"/>
              </w:rPr>
            </w:pPr>
            <w:r w:rsidRPr="00286216">
              <w:rPr>
                <w:color w:val="000000" w:themeColor="text1"/>
              </w:rPr>
              <w:t>Враховано</w:t>
            </w:r>
          </w:p>
          <w:p w14:paraId="29B116E5" w14:textId="77777777" w:rsidR="00DA2302" w:rsidRPr="00286216" w:rsidRDefault="00DA2302" w:rsidP="00DA2302">
            <w:pPr>
              <w:pStyle w:val="StyleWisnow"/>
              <w:rPr>
                <w:color w:val="000000" w:themeColor="text1"/>
              </w:rPr>
            </w:pPr>
          </w:p>
        </w:tc>
        <w:tc>
          <w:tcPr>
            <w:tcW w:w="4818" w:type="dxa"/>
          </w:tcPr>
          <w:p w14:paraId="09C806B8" w14:textId="3E738D9E" w:rsidR="00DA2302" w:rsidRPr="00286216" w:rsidRDefault="00187B57" w:rsidP="005F0A24">
            <w:pPr>
              <w:pStyle w:val="StyleZakonu"/>
              <w:rPr>
                <w:color w:val="000000" w:themeColor="text1"/>
              </w:rPr>
            </w:pPr>
            <w:r w:rsidRPr="00286216">
              <w:rPr>
                <w:color w:val="000000" w:themeColor="text1"/>
              </w:rPr>
              <w:t>2</w:t>
            </w:r>
            <w:r w:rsidR="00DA2302" w:rsidRPr="00286216">
              <w:rPr>
                <w:color w:val="000000" w:themeColor="text1"/>
              </w:rPr>
              <w:t>) актив, допущений до торгів на багатосторонньому торг</w:t>
            </w:r>
            <w:r w:rsidR="00705474" w:rsidRPr="00286216">
              <w:rPr>
                <w:color w:val="000000" w:themeColor="text1"/>
              </w:rPr>
              <w:t>о</w:t>
            </w:r>
            <w:r w:rsidR="00DA2302" w:rsidRPr="00286216">
              <w:rPr>
                <w:color w:val="000000" w:themeColor="text1"/>
              </w:rPr>
              <w:t>вельному майданчику</w:t>
            </w:r>
            <w:r w:rsidR="00705474" w:rsidRPr="00286216">
              <w:rPr>
                <w:color w:val="000000" w:themeColor="text1"/>
              </w:rPr>
              <w:t>,</w:t>
            </w:r>
            <w:r w:rsidR="00DA2302" w:rsidRPr="00286216">
              <w:rPr>
                <w:color w:val="000000" w:themeColor="text1"/>
              </w:rPr>
              <w:t xml:space="preserve"> – допущені до торгів на багатосторонньому торг</w:t>
            </w:r>
            <w:r w:rsidR="00705474" w:rsidRPr="00286216">
              <w:rPr>
                <w:color w:val="000000" w:themeColor="text1"/>
              </w:rPr>
              <w:t>о</w:t>
            </w:r>
            <w:r w:rsidR="00DA2302" w:rsidRPr="00286216">
              <w:rPr>
                <w:color w:val="000000" w:themeColor="text1"/>
              </w:rPr>
              <w:t>вельному майданчику цінні папери, включаючи деривативні цінні папери та деривативні контракти;</w:t>
            </w:r>
          </w:p>
        </w:tc>
      </w:tr>
      <w:tr w:rsidR="00F77E8D" w:rsidRPr="00286216" w14:paraId="2666A18E" w14:textId="77777777" w:rsidTr="00091AA5">
        <w:tc>
          <w:tcPr>
            <w:tcW w:w="576" w:type="dxa"/>
          </w:tcPr>
          <w:p w14:paraId="45463A3B" w14:textId="77777777" w:rsidR="00DA2302" w:rsidRPr="00286216" w:rsidRDefault="00DA2302" w:rsidP="00DA2302">
            <w:pPr>
              <w:pStyle w:val="StyleWisnow"/>
              <w:rPr>
                <w:color w:val="000000" w:themeColor="text1"/>
              </w:rPr>
            </w:pPr>
            <w:bookmarkStart w:id="18" w:name="n18" w:colFirst="0" w:colLast="0"/>
            <w:bookmarkEnd w:id="17"/>
            <w:r w:rsidRPr="00286216">
              <w:rPr>
                <w:color w:val="000000" w:themeColor="text1"/>
              </w:rPr>
              <w:t>18.</w:t>
            </w:r>
          </w:p>
        </w:tc>
        <w:tc>
          <w:tcPr>
            <w:tcW w:w="4818" w:type="dxa"/>
          </w:tcPr>
          <w:p w14:paraId="3234CBE4" w14:textId="77777777" w:rsidR="00DA2302" w:rsidRPr="00286216" w:rsidRDefault="00DA2302" w:rsidP="00DA2302">
            <w:pPr>
              <w:pStyle w:val="StyleZakonu"/>
              <w:rPr>
                <w:color w:val="000000" w:themeColor="text1"/>
              </w:rPr>
            </w:pPr>
            <w:r w:rsidRPr="00286216">
              <w:rPr>
                <w:color w:val="000000" w:themeColor="text1"/>
              </w:rPr>
              <w:t>5) актив, допущений до торгів на організованому торгівельному майданчику - допущені до торгів на організованому торгівельному майданчику облігації та деривативні (похідні) фінансові інструменти;</w:t>
            </w:r>
          </w:p>
        </w:tc>
        <w:tc>
          <w:tcPr>
            <w:tcW w:w="3686" w:type="dxa"/>
          </w:tcPr>
          <w:p w14:paraId="2E7EB73B" w14:textId="6CE2DE98"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27</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4E481E43" w14:textId="77777777" w:rsidR="00DA2302" w:rsidRPr="00286216" w:rsidRDefault="00DA2302" w:rsidP="00DA2302">
            <w:pPr>
              <w:pStyle w:val="StyleProp"/>
              <w:spacing w:line="190" w:lineRule="exact"/>
              <w:rPr>
                <w:color w:val="000000" w:themeColor="text1"/>
                <w:szCs w:val="18"/>
              </w:rPr>
            </w:pPr>
            <w:r w:rsidRPr="00286216">
              <w:rPr>
                <w:color w:val="000000" w:themeColor="text1"/>
                <w:szCs w:val="18"/>
              </w:rPr>
              <w:t>У пункті 5 частини першої статті 2 слова «деривативні (похідні) фінансові інструменти замінити словами «деривативні контракти»</w:t>
            </w:r>
          </w:p>
          <w:p w14:paraId="3FBDC349" w14:textId="6295F209"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28</w:t>
            </w:r>
            <w:r w:rsidRPr="00286216">
              <w:rPr>
                <w:color w:val="000000" w:themeColor="text1"/>
                <w:spacing w:val="-6"/>
                <w:szCs w:val="18"/>
              </w:rPr>
              <w:fldChar w:fldCharType="end"/>
            </w:r>
            <w:r w:rsidRPr="00286216">
              <w:rPr>
                <w:color w:val="000000" w:themeColor="text1"/>
                <w:spacing w:val="-6"/>
                <w:szCs w:val="18"/>
              </w:rPr>
              <w:t>-Н.д.Цабаль В.В.(Реєстр.картка №444)</w:t>
            </w:r>
          </w:p>
          <w:p w14:paraId="6DF9A447" w14:textId="77777777" w:rsidR="00DA2302" w:rsidRPr="00286216" w:rsidRDefault="00DA2302" w:rsidP="00DA2302">
            <w:pPr>
              <w:pStyle w:val="StyleProp"/>
              <w:spacing w:line="190" w:lineRule="exact"/>
              <w:rPr>
                <w:color w:val="000000" w:themeColor="text1"/>
                <w:szCs w:val="18"/>
              </w:rPr>
            </w:pPr>
            <w:r w:rsidRPr="00286216">
              <w:rPr>
                <w:color w:val="000000" w:themeColor="text1"/>
                <w:szCs w:val="18"/>
              </w:rPr>
              <w:t>У статті 2 нової редакції Закону в частині першій у пункті 5 слова «деривативні (похідні) фінансові інструменти» замінити словами «деривативні контракти».</w:t>
            </w:r>
          </w:p>
        </w:tc>
        <w:tc>
          <w:tcPr>
            <w:tcW w:w="1987" w:type="dxa"/>
          </w:tcPr>
          <w:p w14:paraId="1D20330D" w14:textId="77777777" w:rsidR="00DA2302" w:rsidRPr="00286216" w:rsidRDefault="00DA2302" w:rsidP="00DA2302">
            <w:pPr>
              <w:pStyle w:val="StyleWisnow"/>
              <w:rPr>
                <w:color w:val="000000" w:themeColor="text1"/>
              </w:rPr>
            </w:pPr>
            <w:r w:rsidRPr="00286216">
              <w:rPr>
                <w:color w:val="000000" w:themeColor="text1"/>
              </w:rPr>
              <w:t>Враховано</w:t>
            </w:r>
          </w:p>
          <w:p w14:paraId="77534BEA" w14:textId="77777777" w:rsidR="00DA2302" w:rsidRPr="00286216" w:rsidRDefault="00DA2302" w:rsidP="00DA2302">
            <w:pPr>
              <w:pStyle w:val="StyleWisnow"/>
              <w:rPr>
                <w:color w:val="000000" w:themeColor="text1"/>
              </w:rPr>
            </w:pPr>
          </w:p>
          <w:p w14:paraId="51945A2D" w14:textId="77777777" w:rsidR="00DA2302" w:rsidRPr="00286216" w:rsidRDefault="00DA2302" w:rsidP="00DA2302">
            <w:pPr>
              <w:pStyle w:val="StyleWisnow"/>
              <w:rPr>
                <w:color w:val="000000" w:themeColor="text1"/>
              </w:rPr>
            </w:pPr>
          </w:p>
          <w:p w14:paraId="43544817" w14:textId="77777777" w:rsidR="00DA2302" w:rsidRPr="00286216" w:rsidRDefault="00DA2302" w:rsidP="00DA2302">
            <w:pPr>
              <w:pStyle w:val="StyleWisnow"/>
              <w:rPr>
                <w:color w:val="000000" w:themeColor="text1"/>
              </w:rPr>
            </w:pPr>
          </w:p>
          <w:p w14:paraId="27E4A7A0"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09FF68DD" w14:textId="56841A0B" w:rsidR="00DA2302" w:rsidRPr="00286216" w:rsidRDefault="00DA2302" w:rsidP="00705474">
            <w:pPr>
              <w:pStyle w:val="StyleZakonu"/>
              <w:rPr>
                <w:color w:val="000000" w:themeColor="text1"/>
              </w:rPr>
            </w:pPr>
            <w:r w:rsidRPr="00286216">
              <w:rPr>
                <w:color w:val="000000" w:themeColor="text1"/>
              </w:rPr>
              <w:t>5) актив, допущений до торгів на організованому торг</w:t>
            </w:r>
            <w:r w:rsidR="00705474" w:rsidRPr="00286216">
              <w:rPr>
                <w:color w:val="000000" w:themeColor="text1"/>
              </w:rPr>
              <w:t>о</w:t>
            </w:r>
            <w:r w:rsidRPr="00286216">
              <w:rPr>
                <w:color w:val="000000" w:themeColor="text1"/>
              </w:rPr>
              <w:t>вельному майданчику</w:t>
            </w:r>
            <w:r w:rsidR="005F0A24" w:rsidRPr="00286216">
              <w:rPr>
                <w:color w:val="000000" w:themeColor="text1"/>
              </w:rPr>
              <w:t>,</w:t>
            </w:r>
            <w:r w:rsidRPr="00286216">
              <w:rPr>
                <w:color w:val="000000" w:themeColor="text1"/>
              </w:rPr>
              <w:t xml:space="preserve"> – допущені до торгів на організованому торг</w:t>
            </w:r>
            <w:r w:rsidR="00705474" w:rsidRPr="00286216">
              <w:rPr>
                <w:color w:val="000000" w:themeColor="text1"/>
              </w:rPr>
              <w:t>о</w:t>
            </w:r>
            <w:r w:rsidRPr="00286216">
              <w:rPr>
                <w:color w:val="000000" w:themeColor="text1"/>
              </w:rPr>
              <w:t xml:space="preserve">вельному майданчику облігації та деривативні </w:t>
            </w:r>
            <w:r w:rsidR="00652F5E" w:rsidRPr="00286216">
              <w:rPr>
                <w:color w:val="000000" w:themeColor="text1"/>
                <w:szCs w:val="18"/>
              </w:rPr>
              <w:t>контракти</w:t>
            </w:r>
            <w:r w:rsidRPr="00286216">
              <w:rPr>
                <w:color w:val="000000" w:themeColor="text1"/>
              </w:rPr>
              <w:t>;</w:t>
            </w:r>
          </w:p>
        </w:tc>
      </w:tr>
      <w:tr w:rsidR="00F77E8D" w:rsidRPr="00286216" w14:paraId="2122AB3D" w14:textId="77777777" w:rsidTr="00091AA5">
        <w:tc>
          <w:tcPr>
            <w:tcW w:w="576" w:type="dxa"/>
          </w:tcPr>
          <w:p w14:paraId="4A509210" w14:textId="77777777" w:rsidR="00DA2302" w:rsidRPr="00286216" w:rsidRDefault="00DA2302" w:rsidP="00DA2302">
            <w:pPr>
              <w:pStyle w:val="StyleWisnow"/>
              <w:rPr>
                <w:color w:val="000000" w:themeColor="text1"/>
              </w:rPr>
            </w:pPr>
            <w:bookmarkStart w:id="19" w:name="n19" w:colFirst="0" w:colLast="0"/>
            <w:bookmarkEnd w:id="18"/>
            <w:r w:rsidRPr="00286216">
              <w:rPr>
                <w:color w:val="000000" w:themeColor="text1"/>
              </w:rPr>
              <w:t>19.</w:t>
            </w:r>
          </w:p>
        </w:tc>
        <w:tc>
          <w:tcPr>
            <w:tcW w:w="4818" w:type="dxa"/>
          </w:tcPr>
          <w:p w14:paraId="1000429D" w14:textId="77777777" w:rsidR="00DA2302" w:rsidRPr="00286216" w:rsidRDefault="00DA2302" w:rsidP="00D2303B">
            <w:pPr>
              <w:pStyle w:val="StyleZakonu"/>
              <w:spacing w:after="0"/>
              <w:rPr>
                <w:color w:val="000000" w:themeColor="text1"/>
              </w:rPr>
            </w:pPr>
            <w:r w:rsidRPr="00286216">
              <w:rPr>
                <w:color w:val="000000" w:themeColor="text1"/>
              </w:rPr>
              <w:t xml:space="preserve">6) алгоритмічна торгівля - торгівля фінансовими інструментами, за якої комп’ютерний алгоритм автоматично (з обмеженим втручанням людини або без такого втручання) приймає рішення на будь-якому з наступних етапів: ініціювання, створення, направлення та/або виконання наказів та/або розпоряджень, а так само визначає індивідуальні параметри наказів та/або розпоряджень, зокрема необхідність надання наказу та/або розпорядження, строки, ціну або кількість фінансових інструментів, </w:t>
            </w:r>
            <w:r w:rsidRPr="00286216">
              <w:rPr>
                <w:color w:val="000000" w:themeColor="text1"/>
              </w:rPr>
              <w:lastRenderedPageBreak/>
              <w:t>що є предметом такого наказу та/або розпорядження чи визначає порядок виконання наказу та/або розпорядження після його надання, і не включає систему, яка використовується тільки з метою направлення наказів та/або розпоряджень на однин чи декілька організованих ринків, оброблення наказів та/або розпоряджень без визначення параметрів торгівлі або підтвердження наказів та/або розпоряджень чи оброблення результатів виконаних операцій;</w:t>
            </w:r>
          </w:p>
        </w:tc>
        <w:tc>
          <w:tcPr>
            <w:tcW w:w="3686" w:type="dxa"/>
          </w:tcPr>
          <w:p w14:paraId="7508297E" w14:textId="350DE2E3" w:rsidR="00DA2302" w:rsidRPr="00286216" w:rsidRDefault="00DA2302" w:rsidP="00DA2302">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52CCA46" w14:textId="77777777" w:rsidR="00DA2302" w:rsidRPr="00286216" w:rsidRDefault="00DA2302" w:rsidP="00F562FA">
            <w:pPr>
              <w:pStyle w:val="StyleProp"/>
              <w:spacing w:line="180" w:lineRule="exact"/>
              <w:rPr>
                <w:color w:val="000000" w:themeColor="text1"/>
              </w:rPr>
            </w:pPr>
            <w:r w:rsidRPr="00286216">
              <w:rPr>
                <w:color w:val="000000" w:themeColor="text1"/>
              </w:rPr>
              <w:t>Термін "алгоритмічна торгівля" замінити терміном "аутсорсинг" такого змісту:</w:t>
            </w:r>
          </w:p>
          <w:p w14:paraId="3258B0E1" w14:textId="6401DC7C" w:rsidR="00DA2302" w:rsidRPr="00286216" w:rsidRDefault="00DA2302" w:rsidP="00F562FA">
            <w:pPr>
              <w:pStyle w:val="StyleProp"/>
              <w:spacing w:line="180" w:lineRule="exact"/>
              <w:rPr>
                <w:b/>
                <w:color w:val="000000" w:themeColor="text1"/>
                <w:szCs w:val="18"/>
              </w:rPr>
            </w:pPr>
            <w:r w:rsidRPr="00286216">
              <w:rPr>
                <w:color w:val="000000" w:themeColor="text1"/>
              </w:rPr>
              <w:t>"аутсорсинг – залучення професійним учасником на підставі відповідного договору іншої особи (надавача послуг) до здійснення процесів, надання послуг,  виконання робіт, що становлять частину провадження таким професійним учасником  професійної діяльності на ринках капіталу</w:t>
            </w:r>
            <w:r w:rsidR="001E706E" w:rsidRPr="00286216">
              <w:rPr>
                <w:color w:val="000000" w:themeColor="text1"/>
              </w:rPr>
              <w:t xml:space="preserve"> та організованих товарних ринках</w:t>
            </w:r>
            <w:r w:rsidRPr="00286216">
              <w:rPr>
                <w:color w:val="000000" w:themeColor="text1"/>
              </w:rPr>
              <w:t>".</w:t>
            </w:r>
          </w:p>
        </w:tc>
        <w:tc>
          <w:tcPr>
            <w:tcW w:w="1987" w:type="dxa"/>
          </w:tcPr>
          <w:p w14:paraId="0F866C3A"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32F2A14C" w14:textId="15F94F11" w:rsidR="00DA2302" w:rsidRPr="00286216" w:rsidRDefault="00DA2302" w:rsidP="00652F5E">
            <w:pPr>
              <w:pStyle w:val="StyleZakonu"/>
              <w:rPr>
                <w:color w:val="000000" w:themeColor="text1"/>
              </w:rPr>
            </w:pPr>
            <w:r w:rsidRPr="00286216">
              <w:rPr>
                <w:color w:val="000000" w:themeColor="text1"/>
              </w:rPr>
              <w:t>6) аутсорсинг – залучення професійним учасником на підставі відповідного договору іншої особи (надавача послуг) до здійснення процесів, надання послуг, виконання робіт, що становлять частину провадження таким професійним учасником  професійної діяльності на ринках капіталу</w:t>
            </w:r>
            <w:r w:rsidR="001E706E" w:rsidRPr="00286216">
              <w:rPr>
                <w:color w:val="000000" w:themeColor="text1"/>
              </w:rPr>
              <w:t xml:space="preserve"> та організованих товарних ринках</w:t>
            </w:r>
            <w:r w:rsidRPr="00286216">
              <w:rPr>
                <w:color w:val="000000" w:themeColor="text1"/>
              </w:rPr>
              <w:t>;</w:t>
            </w:r>
          </w:p>
        </w:tc>
      </w:tr>
      <w:bookmarkEnd w:id="19"/>
      <w:tr w:rsidR="00F77E8D" w:rsidRPr="00286216" w14:paraId="0FFFFEBB" w14:textId="77777777" w:rsidTr="00091AA5">
        <w:tc>
          <w:tcPr>
            <w:tcW w:w="576" w:type="dxa"/>
          </w:tcPr>
          <w:p w14:paraId="6864D673" w14:textId="77777777" w:rsidR="00DA2302" w:rsidRPr="00286216" w:rsidRDefault="00DA2302" w:rsidP="00DA2302">
            <w:pPr>
              <w:pStyle w:val="StyleWisnow"/>
              <w:rPr>
                <w:color w:val="000000" w:themeColor="text1"/>
              </w:rPr>
            </w:pPr>
          </w:p>
        </w:tc>
        <w:tc>
          <w:tcPr>
            <w:tcW w:w="4818" w:type="dxa"/>
          </w:tcPr>
          <w:p w14:paraId="7F83D5C9" w14:textId="77777777" w:rsidR="00DA2302" w:rsidRPr="00286216" w:rsidRDefault="00DA2302" w:rsidP="00DA2302">
            <w:pPr>
              <w:pStyle w:val="StyleZakonu"/>
              <w:rPr>
                <w:color w:val="000000" w:themeColor="text1"/>
              </w:rPr>
            </w:pPr>
          </w:p>
        </w:tc>
        <w:tc>
          <w:tcPr>
            <w:tcW w:w="3686" w:type="dxa"/>
          </w:tcPr>
          <w:p w14:paraId="7FAD8251" w14:textId="06CAB5A3" w:rsidR="00DA2302" w:rsidRPr="00286216" w:rsidRDefault="00DA2302" w:rsidP="00DA2302">
            <w:pPr>
              <w:pStyle w:val="StyleAwt"/>
              <w:rPr>
                <w:color w:val="000000" w:themeColor="text1"/>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30</w:t>
            </w:r>
            <w:r w:rsidRPr="00286216">
              <w:rPr>
                <w:color w:val="000000" w:themeColor="text1"/>
                <w:spacing w:val="-6"/>
                <w:szCs w:val="18"/>
              </w:rPr>
              <w:fldChar w:fldCharType="end"/>
            </w:r>
            <w:r w:rsidRPr="00286216">
              <w:rPr>
                <w:color w:val="000000" w:themeColor="text1"/>
                <w:spacing w:val="-6"/>
                <w:szCs w:val="18"/>
              </w:rPr>
              <w:t>-Н.д. Устенко О.О.(Реєстр.картка№308)</w:t>
            </w:r>
          </w:p>
          <w:p w14:paraId="3E6D58D5" w14:textId="77777777" w:rsidR="00DA2302" w:rsidRPr="00286216" w:rsidRDefault="00DA2302" w:rsidP="00D2303B">
            <w:pPr>
              <w:pStyle w:val="StyleProp"/>
              <w:spacing w:line="180" w:lineRule="exact"/>
              <w:rPr>
                <w:color w:val="000000" w:themeColor="text1"/>
              </w:rPr>
            </w:pPr>
            <w:r w:rsidRPr="00286216">
              <w:rPr>
                <w:color w:val="000000" w:themeColor="text1"/>
              </w:rPr>
              <w:t>Пункт 6 частини першої статті 2 викласти в такій редакції:</w:t>
            </w:r>
          </w:p>
          <w:p w14:paraId="03F5C384" w14:textId="77777777" w:rsidR="00DA2302" w:rsidRPr="00286216" w:rsidRDefault="00DA2302" w:rsidP="00D2303B">
            <w:pPr>
              <w:pStyle w:val="StyleProp"/>
              <w:spacing w:line="180" w:lineRule="exact"/>
              <w:rPr>
                <w:color w:val="000000" w:themeColor="text1"/>
                <w:spacing w:val="-6"/>
              </w:rPr>
            </w:pPr>
            <w:r w:rsidRPr="00286216">
              <w:rPr>
                <w:color w:val="000000" w:themeColor="text1"/>
              </w:rPr>
              <w:t>«6) алгоритмічна торгівля – спосіб торгівлі фінансовими інструментами за якого комп’ютерний алгоритм автоматично (з обмеженим втручанням людини або без такого втручання) визначає індивідуальні параметри наказів та/або розпоряджень, зокрема: момент ініціювання наказів та/або розпоряджень, ціну або кількість фінансових інструментів, що є предметом наказів та/або розпоряджень, або визначає дії, що потрібно вчинити з наказом та/або розпорядженням після його надсилання. Не є алгоритмічною торгівлею діяльність інформаційно-телекомунікаційних систем, що використовуються для таких цілей: виключно для визначення маршруту прямування наказів та/або розпоряджень при його надсиланні до багатосторонньої системи одного чи більше організованих ринків; обробки наказів та/або розпоряджень, що не передбачає визначення будь-яких параметрів таких наказів та/або розпоряджень; проведення обробки даних щодо виконаних операцій за результатами торгів».</w:t>
            </w:r>
          </w:p>
        </w:tc>
        <w:tc>
          <w:tcPr>
            <w:tcW w:w="1987" w:type="dxa"/>
          </w:tcPr>
          <w:p w14:paraId="3A3DD120" w14:textId="77777777" w:rsidR="006108DF" w:rsidRPr="00286216" w:rsidRDefault="00DA2302" w:rsidP="005F0A24">
            <w:pPr>
              <w:pStyle w:val="StyleWisnow"/>
              <w:spacing w:line="180" w:lineRule="exact"/>
              <w:rPr>
                <w:color w:val="000000" w:themeColor="text1"/>
              </w:rPr>
            </w:pPr>
            <w:r w:rsidRPr="00286216">
              <w:rPr>
                <w:color w:val="000000" w:themeColor="text1"/>
              </w:rPr>
              <w:t>Враховано по суті</w:t>
            </w:r>
          </w:p>
          <w:p w14:paraId="065A5428" w14:textId="499C4C3E" w:rsidR="00DA2302" w:rsidRPr="00286216" w:rsidRDefault="00DA2302" w:rsidP="005F0A24">
            <w:pPr>
              <w:pStyle w:val="StyleWisnow"/>
              <w:spacing w:line="180" w:lineRule="exact"/>
              <w:rPr>
                <w:color w:val="000000" w:themeColor="text1"/>
              </w:rPr>
            </w:pPr>
            <w:r w:rsidRPr="00286216">
              <w:rPr>
                <w:color w:val="000000" w:themeColor="text1"/>
              </w:rPr>
              <w:t>в статті</w:t>
            </w:r>
            <w:r w:rsidR="008538C6" w:rsidRPr="00286216">
              <w:rPr>
                <w:color w:val="000000" w:themeColor="text1"/>
              </w:rPr>
              <w:t xml:space="preserve"> 55</w:t>
            </w:r>
          </w:p>
        </w:tc>
        <w:tc>
          <w:tcPr>
            <w:tcW w:w="4818" w:type="dxa"/>
          </w:tcPr>
          <w:p w14:paraId="525B34A8" w14:textId="77777777" w:rsidR="00DA2302" w:rsidRPr="00286216" w:rsidRDefault="00DA2302" w:rsidP="00DA2302">
            <w:pPr>
              <w:pStyle w:val="StyleZakonu"/>
              <w:rPr>
                <w:color w:val="000000" w:themeColor="text1"/>
              </w:rPr>
            </w:pPr>
          </w:p>
        </w:tc>
      </w:tr>
      <w:tr w:rsidR="00F77E8D" w:rsidRPr="00286216" w14:paraId="0A64F210" w14:textId="77777777" w:rsidTr="00091AA5">
        <w:tc>
          <w:tcPr>
            <w:tcW w:w="576" w:type="dxa"/>
          </w:tcPr>
          <w:p w14:paraId="6ADBFC69" w14:textId="77777777" w:rsidR="00DA2302" w:rsidRPr="00286216" w:rsidRDefault="00DA2302" w:rsidP="00DA2302">
            <w:pPr>
              <w:pStyle w:val="StyleWisnow"/>
              <w:rPr>
                <w:color w:val="000000" w:themeColor="text1"/>
              </w:rPr>
            </w:pPr>
            <w:bookmarkStart w:id="20" w:name="n20" w:colFirst="0" w:colLast="0"/>
            <w:r w:rsidRPr="00286216">
              <w:rPr>
                <w:color w:val="000000" w:themeColor="text1"/>
              </w:rPr>
              <w:t>20.</w:t>
            </w:r>
          </w:p>
        </w:tc>
        <w:tc>
          <w:tcPr>
            <w:tcW w:w="4818" w:type="dxa"/>
          </w:tcPr>
          <w:p w14:paraId="146F35FE" w14:textId="77777777" w:rsidR="00DA2302" w:rsidRPr="00286216" w:rsidRDefault="00DA2302" w:rsidP="00DA2302">
            <w:pPr>
              <w:pStyle w:val="StyleZakonu"/>
              <w:rPr>
                <w:color w:val="000000" w:themeColor="text1"/>
              </w:rPr>
            </w:pPr>
            <w:r w:rsidRPr="00286216">
              <w:rPr>
                <w:color w:val="000000" w:themeColor="text1"/>
              </w:rPr>
              <w:t>7) багатостороння система - інформаційно-телекомунікаційна система, яка відповідає вимогам, встановленим Національною комісією з цінних паперів та фондового ринку, та забезпечує обмін інформацією про намір осіб, що створили таку інформацію, вчинити правочин щодо конкретно визначених активів, що допущені до торгів на організованому ринку, а також створює організаційно-технічні умови для вчинення таких правочинів;</w:t>
            </w:r>
          </w:p>
        </w:tc>
        <w:tc>
          <w:tcPr>
            <w:tcW w:w="3686" w:type="dxa"/>
          </w:tcPr>
          <w:p w14:paraId="09770FD8" w14:textId="0499F90B" w:rsidR="00DA2302" w:rsidRPr="00286216" w:rsidRDefault="00DA2302" w:rsidP="00DA2302">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7A77848" w14:textId="77777777" w:rsidR="00DA2302" w:rsidRPr="00286216" w:rsidRDefault="00DA2302" w:rsidP="00DA2302">
            <w:pPr>
              <w:pStyle w:val="StyleProp"/>
              <w:rPr>
                <w:color w:val="000000" w:themeColor="text1"/>
              </w:rPr>
            </w:pPr>
            <w:r w:rsidRPr="00286216">
              <w:rPr>
                <w:color w:val="000000" w:themeColor="text1"/>
              </w:rPr>
              <w:t>Пункт 7 частини першої статті 2 виключити.</w:t>
            </w:r>
          </w:p>
        </w:tc>
        <w:tc>
          <w:tcPr>
            <w:tcW w:w="1987" w:type="dxa"/>
          </w:tcPr>
          <w:p w14:paraId="2EBE3F71"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5394B15C" w14:textId="77777777" w:rsidR="00DA2302" w:rsidRPr="00286216" w:rsidRDefault="00DA2302" w:rsidP="00DA2302">
            <w:pPr>
              <w:pStyle w:val="StyleZakonu"/>
              <w:rPr>
                <w:color w:val="000000" w:themeColor="text1"/>
              </w:rPr>
            </w:pPr>
          </w:p>
        </w:tc>
      </w:tr>
      <w:tr w:rsidR="00F77E8D" w:rsidRPr="00286216" w14:paraId="5B3C18F9" w14:textId="77777777" w:rsidTr="00091AA5">
        <w:tc>
          <w:tcPr>
            <w:tcW w:w="576" w:type="dxa"/>
          </w:tcPr>
          <w:p w14:paraId="5DA708E8" w14:textId="77777777" w:rsidR="00DA2302" w:rsidRPr="00286216" w:rsidRDefault="00DA2302" w:rsidP="00DA2302">
            <w:pPr>
              <w:pStyle w:val="StyleWisnow"/>
              <w:rPr>
                <w:color w:val="000000" w:themeColor="text1"/>
              </w:rPr>
            </w:pPr>
            <w:bookmarkStart w:id="21" w:name="n21" w:colFirst="0" w:colLast="0"/>
            <w:bookmarkEnd w:id="20"/>
            <w:r w:rsidRPr="00286216">
              <w:rPr>
                <w:color w:val="000000" w:themeColor="text1"/>
              </w:rPr>
              <w:t>21.</w:t>
            </w:r>
          </w:p>
        </w:tc>
        <w:tc>
          <w:tcPr>
            <w:tcW w:w="4818" w:type="dxa"/>
          </w:tcPr>
          <w:p w14:paraId="6C0D95DA" w14:textId="77777777" w:rsidR="00DA2302" w:rsidRPr="00286216" w:rsidRDefault="00DA2302" w:rsidP="00DA2302">
            <w:pPr>
              <w:pStyle w:val="StyleZakonu"/>
              <w:rPr>
                <w:color w:val="000000" w:themeColor="text1"/>
              </w:rPr>
            </w:pPr>
            <w:r w:rsidRPr="00286216">
              <w:rPr>
                <w:color w:val="000000" w:themeColor="text1"/>
              </w:rPr>
              <w:t xml:space="preserve">8) багатосторонній торгівельний майданчик (далі - БТМ) – багатостороння система, яка управляється оператором багатостороннього торгівельного </w:t>
            </w:r>
            <w:r w:rsidRPr="00286216">
              <w:rPr>
                <w:color w:val="000000" w:themeColor="text1"/>
              </w:rPr>
              <w:lastRenderedPageBreak/>
              <w:t>майданчика та в установленому Національною комісією з цінних паперів та фондового ринку порядку забезпечує централізоване вчинення та централізоване виконання правочинів щодо активів, допущених до торгів на такому БТМ, згідно з недискреційними правилами, встановленими оператором БТМ та зареєстрованими у встановленому цим Законом порядку;</w:t>
            </w:r>
          </w:p>
        </w:tc>
        <w:tc>
          <w:tcPr>
            <w:tcW w:w="3686" w:type="dxa"/>
          </w:tcPr>
          <w:p w14:paraId="603AC9C6" w14:textId="200897DB"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A5B9B41" w14:textId="77777777" w:rsidR="00DA2302" w:rsidRPr="00286216" w:rsidRDefault="00DA2302" w:rsidP="00DA2302">
            <w:pPr>
              <w:pStyle w:val="StyleAwt"/>
              <w:rPr>
                <w:color w:val="000000" w:themeColor="text1"/>
                <w:spacing w:val="-4"/>
              </w:rPr>
            </w:pPr>
            <w:r w:rsidRPr="00286216">
              <w:rPr>
                <w:color w:val="000000" w:themeColor="text1"/>
                <w:spacing w:val="-4"/>
              </w:rPr>
              <w:t xml:space="preserve">    Н.д.Гетманцев Д.О.(Реєстр.картка №245)</w:t>
            </w:r>
          </w:p>
          <w:p w14:paraId="375FDCCA" w14:textId="77777777" w:rsidR="00DA2302" w:rsidRPr="00286216" w:rsidRDefault="00DA2302" w:rsidP="00DA2302">
            <w:pPr>
              <w:pStyle w:val="StyleProp"/>
              <w:rPr>
                <w:color w:val="000000" w:themeColor="text1"/>
              </w:rPr>
            </w:pPr>
            <w:r w:rsidRPr="00286216">
              <w:rPr>
                <w:color w:val="000000" w:themeColor="text1"/>
              </w:rPr>
              <w:t>Пункт 8 статті 2 викласти у такій редакції:</w:t>
            </w:r>
          </w:p>
          <w:p w14:paraId="73A5F27E" w14:textId="77777777" w:rsidR="00DA2302" w:rsidRPr="00286216" w:rsidRDefault="00DA2302" w:rsidP="00E71C29">
            <w:pPr>
              <w:pStyle w:val="StyleProp"/>
              <w:spacing w:line="180" w:lineRule="exact"/>
              <w:rPr>
                <w:color w:val="000000" w:themeColor="text1"/>
              </w:rPr>
            </w:pPr>
            <w:r w:rsidRPr="00286216">
              <w:rPr>
                <w:color w:val="000000" w:themeColor="text1"/>
              </w:rPr>
              <w:lastRenderedPageBreak/>
              <w:t>"8) багатосторонній торгівельний майданчик (далі - БТМ) – багатостороння система, яка управляється оператором багатостороннього торгівельного майданчика і в установленому Національною комісією з цінних паперів та фондового ринку порядку та згідно з визначеними таким оператором БТМ недискреційними правилами забезпечує взаємодію третіх сторін щодо купівлі-продажу фінансових інструментів (укладання деривативних контрактів), результатом чого є договори (контракти), які укладаютьсяу встановленому цим Законом порядку".</w:t>
            </w:r>
          </w:p>
          <w:p w14:paraId="4054C60F" w14:textId="682F55A8" w:rsidR="00DA2302" w:rsidRPr="00286216" w:rsidRDefault="00DA2302" w:rsidP="00DA2302">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33</w:t>
            </w:r>
            <w:r w:rsidRPr="00286216">
              <w:rPr>
                <w:color w:val="000000" w:themeColor="text1"/>
              </w:rPr>
              <w:fldChar w:fldCharType="end"/>
            </w:r>
            <w:r w:rsidRPr="00286216">
              <w:rPr>
                <w:color w:val="000000" w:themeColor="text1"/>
              </w:rPr>
              <w:t>-Н.д.Шахов С.В. (Реєстр.картка №114)</w:t>
            </w:r>
          </w:p>
          <w:p w14:paraId="0F3EF1B6" w14:textId="77777777" w:rsidR="00DA2302" w:rsidRPr="00286216" w:rsidRDefault="00DA2302" w:rsidP="00DA2302">
            <w:pPr>
              <w:pStyle w:val="StyleProp"/>
              <w:rPr>
                <w:color w:val="000000" w:themeColor="text1"/>
                <w:spacing w:val="-2"/>
                <w:szCs w:val="18"/>
              </w:rPr>
            </w:pPr>
            <w:r w:rsidRPr="00286216">
              <w:rPr>
                <w:color w:val="000000" w:themeColor="text1"/>
                <w:spacing w:val="-2"/>
              </w:rPr>
              <w:t>У пункті 8 слова «Національною комісією з цінних паперів та фондового ринку» замінити словами «регулятором відповідного ринку».</w:t>
            </w:r>
          </w:p>
        </w:tc>
        <w:tc>
          <w:tcPr>
            <w:tcW w:w="1987" w:type="dxa"/>
          </w:tcPr>
          <w:p w14:paraId="7CCB98CC" w14:textId="77777777" w:rsidR="00DA2302" w:rsidRPr="00286216" w:rsidRDefault="00DA2302" w:rsidP="00DA2302">
            <w:pPr>
              <w:pStyle w:val="StyleWisnow"/>
              <w:rPr>
                <w:color w:val="000000" w:themeColor="text1"/>
              </w:rPr>
            </w:pPr>
            <w:r w:rsidRPr="00286216">
              <w:rPr>
                <w:color w:val="000000" w:themeColor="text1"/>
              </w:rPr>
              <w:lastRenderedPageBreak/>
              <w:t>Враховано</w:t>
            </w:r>
          </w:p>
          <w:p w14:paraId="29B1C777" w14:textId="77777777" w:rsidR="00DA2302" w:rsidRPr="00286216" w:rsidRDefault="00DA2302" w:rsidP="00DA2302">
            <w:pPr>
              <w:pStyle w:val="StyleWisnow"/>
              <w:rPr>
                <w:color w:val="000000" w:themeColor="text1"/>
              </w:rPr>
            </w:pPr>
          </w:p>
          <w:p w14:paraId="243DF5BA" w14:textId="77777777" w:rsidR="00DA2302" w:rsidRPr="00286216" w:rsidRDefault="00DA2302" w:rsidP="00DA2302">
            <w:pPr>
              <w:pStyle w:val="StyleWisnow"/>
              <w:rPr>
                <w:color w:val="000000" w:themeColor="text1"/>
              </w:rPr>
            </w:pPr>
          </w:p>
          <w:p w14:paraId="78089DB5" w14:textId="77777777" w:rsidR="00DA2302" w:rsidRPr="00286216" w:rsidRDefault="00DA2302" w:rsidP="00DA2302">
            <w:pPr>
              <w:pStyle w:val="StyleWisnow"/>
              <w:rPr>
                <w:color w:val="000000" w:themeColor="text1"/>
              </w:rPr>
            </w:pPr>
          </w:p>
          <w:p w14:paraId="7D973158" w14:textId="77777777" w:rsidR="00DA2302" w:rsidRPr="00286216" w:rsidRDefault="00DA2302" w:rsidP="00DA2302">
            <w:pPr>
              <w:pStyle w:val="StyleWisnow"/>
              <w:rPr>
                <w:color w:val="000000" w:themeColor="text1"/>
              </w:rPr>
            </w:pPr>
          </w:p>
          <w:p w14:paraId="2C4D0245" w14:textId="77777777" w:rsidR="00DA2302" w:rsidRPr="00286216" w:rsidRDefault="00DA2302" w:rsidP="00DA2302">
            <w:pPr>
              <w:pStyle w:val="StyleWisnow"/>
              <w:rPr>
                <w:color w:val="000000" w:themeColor="text1"/>
              </w:rPr>
            </w:pPr>
          </w:p>
          <w:p w14:paraId="215CC9F0" w14:textId="77777777" w:rsidR="00DA2302" w:rsidRPr="00286216" w:rsidRDefault="00DA2302" w:rsidP="00DA2302">
            <w:pPr>
              <w:pStyle w:val="StyleWisnow"/>
              <w:rPr>
                <w:color w:val="000000" w:themeColor="text1"/>
              </w:rPr>
            </w:pPr>
          </w:p>
          <w:p w14:paraId="7FBBD0DA" w14:textId="77777777" w:rsidR="00DA2302" w:rsidRPr="00286216" w:rsidRDefault="00DA2302" w:rsidP="00DA2302">
            <w:pPr>
              <w:pStyle w:val="StyleWisnow"/>
              <w:rPr>
                <w:color w:val="000000" w:themeColor="text1"/>
              </w:rPr>
            </w:pPr>
          </w:p>
          <w:p w14:paraId="63484523" w14:textId="77777777" w:rsidR="00DA2302" w:rsidRPr="00286216" w:rsidRDefault="00DA2302" w:rsidP="00DA2302">
            <w:pPr>
              <w:pStyle w:val="StyleWisnow"/>
              <w:rPr>
                <w:color w:val="000000" w:themeColor="text1"/>
              </w:rPr>
            </w:pPr>
          </w:p>
          <w:p w14:paraId="669138FD" w14:textId="77777777" w:rsidR="00DA2302" w:rsidRPr="00286216" w:rsidRDefault="00DA2302" w:rsidP="00DA2302">
            <w:pPr>
              <w:pStyle w:val="StyleWisnow"/>
              <w:rPr>
                <w:color w:val="000000" w:themeColor="text1"/>
              </w:rPr>
            </w:pPr>
          </w:p>
          <w:p w14:paraId="6C44239D" w14:textId="77777777" w:rsidR="00DA2302" w:rsidRPr="00286216" w:rsidRDefault="00DA2302" w:rsidP="00DA2302">
            <w:pPr>
              <w:pStyle w:val="StyleWisnow"/>
              <w:rPr>
                <w:color w:val="000000" w:themeColor="text1"/>
              </w:rPr>
            </w:pPr>
          </w:p>
          <w:p w14:paraId="0D1738D9" w14:textId="77777777" w:rsidR="00DA2302" w:rsidRPr="00286216" w:rsidRDefault="00DA2302" w:rsidP="00DA2302">
            <w:pPr>
              <w:pStyle w:val="StyleWisnow"/>
              <w:rPr>
                <w:color w:val="000000" w:themeColor="text1"/>
              </w:rPr>
            </w:pPr>
          </w:p>
          <w:p w14:paraId="4EEC8538" w14:textId="77777777" w:rsidR="00DA2302" w:rsidRPr="00286216" w:rsidRDefault="00DA2302" w:rsidP="00DA2302">
            <w:pPr>
              <w:pStyle w:val="StyleWisnow"/>
              <w:rPr>
                <w:color w:val="000000" w:themeColor="text1"/>
              </w:rPr>
            </w:pPr>
          </w:p>
          <w:p w14:paraId="6957F615" w14:textId="77777777" w:rsidR="00DA2302" w:rsidRPr="00286216" w:rsidRDefault="00DA2302" w:rsidP="00DA2302">
            <w:pPr>
              <w:pStyle w:val="StyleWisnow"/>
              <w:rPr>
                <w:color w:val="000000" w:themeColor="text1"/>
              </w:rPr>
            </w:pPr>
          </w:p>
          <w:p w14:paraId="6E886722" w14:textId="77777777" w:rsidR="00DA2302" w:rsidRPr="00286216" w:rsidRDefault="00DA2302" w:rsidP="00DA2302">
            <w:pPr>
              <w:pStyle w:val="StyleWisnow"/>
              <w:rPr>
                <w:color w:val="000000" w:themeColor="text1"/>
              </w:rPr>
            </w:pPr>
            <w:r w:rsidRPr="00286216">
              <w:rPr>
                <w:color w:val="000000" w:themeColor="text1"/>
              </w:rPr>
              <w:t>Відхилено</w:t>
            </w:r>
          </w:p>
          <w:p w14:paraId="01E96596" w14:textId="77777777" w:rsidR="00DA2302" w:rsidRPr="00286216" w:rsidRDefault="00DA2302" w:rsidP="004C5530">
            <w:pPr>
              <w:pStyle w:val="StyleWisnow"/>
              <w:spacing w:line="180" w:lineRule="exact"/>
              <w:rPr>
                <w:color w:val="000000" w:themeColor="text1"/>
              </w:rPr>
            </w:pPr>
            <w:r w:rsidRPr="00286216">
              <w:rPr>
                <w:color w:val="000000" w:themeColor="text1"/>
              </w:rPr>
              <w:t>Ринки капіталу регулюються виключно НКЦПФР</w:t>
            </w:r>
          </w:p>
        </w:tc>
        <w:tc>
          <w:tcPr>
            <w:tcW w:w="4818" w:type="dxa"/>
          </w:tcPr>
          <w:p w14:paraId="71EAE40F" w14:textId="3A55EA95" w:rsidR="00DA2302" w:rsidRPr="00286216" w:rsidRDefault="00EB7CA8" w:rsidP="005F0A24">
            <w:pPr>
              <w:pStyle w:val="StyleZakonu"/>
              <w:rPr>
                <w:color w:val="000000" w:themeColor="text1"/>
              </w:rPr>
            </w:pPr>
            <w:r w:rsidRPr="00286216">
              <w:rPr>
                <w:color w:val="000000" w:themeColor="text1"/>
              </w:rPr>
              <w:lastRenderedPageBreak/>
              <w:t>7</w:t>
            </w:r>
            <w:r w:rsidR="00DA2302" w:rsidRPr="00286216">
              <w:rPr>
                <w:color w:val="000000" w:themeColor="text1"/>
              </w:rPr>
              <w:t>) багатосторонній торг</w:t>
            </w:r>
            <w:r w:rsidR="00705474" w:rsidRPr="00286216">
              <w:rPr>
                <w:color w:val="000000" w:themeColor="text1"/>
              </w:rPr>
              <w:t>о</w:t>
            </w:r>
            <w:r w:rsidR="00DA2302" w:rsidRPr="00286216">
              <w:rPr>
                <w:color w:val="000000" w:themeColor="text1"/>
              </w:rPr>
              <w:t xml:space="preserve">вельний майданчик (далі - БТМ) – багатостороння система, </w:t>
            </w:r>
            <w:r w:rsidR="00705474" w:rsidRPr="00286216">
              <w:rPr>
                <w:color w:val="000000" w:themeColor="text1"/>
              </w:rPr>
              <w:t xml:space="preserve">що </w:t>
            </w:r>
            <w:r w:rsidR="00DA2302" w:rsidRPr="00286216">
              <w:rPr>
                <w:color w:val="000000" w:themeColor="text1"/>
              </w:rPr>
              <w:t>управляється оператором багатостороннього торг</w:t>
            </w:r>
            <w:r w:rsidR="00705474" w:rsidRPr="00286216">
              <w:rPr>
                <w:color w:val="000000" w:themeColor="text1"/>
              </w:rPr>
              <w:t>о</w:t>
            </w:r>
            <w:r w:rsidR="00DA2302" w:rsidRPr="00286216">
              <w:rPr>
                <w:color w:val="000000" w:themeColor="text1"/>
              </w:rPr>
              <w:t xml:space="preserve">вельного </w:t>
            </w:r>
            <w:r w:rsidR="00DA2302" w:rsidRPr="00286216">
              <w:rPr>
                <w:color w:val="000000" w:themeColor="text1"/>
              </w:rPr>
              <w:lastRenderedPageBreak/>
              <w:t xml:space="preserve">майданчика і </w:t>
            </w:r>
            <w:r w:rsidR="005F0A24" w:rsidRPr="00286216">
              <w:rPr>
                <w:color w:val="000000" w:themeColor="text1"/>
              </w:rPr>
              <w:t>у</w:t>
            </w:r>
            <w:r w:rsidR="00DA2302" w:rsidRPr="00286216">
              <w:rPr>
                <w:color w:val="000000" w:themeColor="text1"/>
              </w:rPr>
              <w:t xml:space="preserve"> </w:t>
            </w:r>
            <w:r w:rsidR="005F0A24" w:rsidRPr="00286216">
              <w:rPr>
                <w:color w:val="000000" w:themeColor="text1"/>
              </w:rPr>
              <w:t>в</w:t>
            </w:r>
            <w:r w:rsidR="00DA2302" w:rsidRPr="00286216">
              <w:rPr>
                <w:color w:val="000000" w:themeColor="text1"/>
              </w:rPr>
              <w:t>становленому Національною комісією з цінних паперів та фондового ринку порядку та згідно з визначеними таким оператором БТМ недискреційними правилами забезпечує взаємодію третіх сторін щодо купівлі-продажу фінансових інструментів (укладання деривативних контрактів), результатом чого є договори (контракти), які укладаються</w:t>
            </w:r>
            <w:r w:rsidR="00DE3EDD" w:rsidRPr="00286216">
              <w:rPr>
                <w:color w:val="000000" w:themeColor="text1"/>
              </w:rPr>
              <w:t xml:space="preserve"> </w:t>
            </w:r>
            <w:r w:rsidR="00DA2302" w:rsidRPr="00286216">
              <w:rPr>
                <w:color w:val="000000" w:themeColor="text1"/>
              </w:rPr>
              <w:t>у встановленому цим Законом порядку;</w:t>
            </w:r>
          </w:p>
        </w:tc>
      </w:tr>
      <w:tr w:rsidR="00F77E8D" w:rsidRPr="00286216" w14:paraId="1E16D07E" w14:textId="77777777" w:rsidTr="00091AA5">
        <w:tc>
          <w:tcPr>
            <w:tcW w:w="576" w:type="dxa"/>
          </w:tcPr>
          <w:p w14:paraId="2B96ED3D" w14:textId="77777777" w:rsidR="00DA2302" w:rsidRPr="00286216" w:rsidRDefault="00DA2302" w:rsidP="00DA2302">
            <w:pPr>
              <w:pStyle w:val="StyleWisnow"/>
              <w:rPr>
                <w:color w:val="000000" w:themeColor="text1"/>
              </w:rPr>
            </w:pPr>
            <w:bookmarkStart w:id="22" w:name="n22" w:colFirst="0" w:colLast="0"/>
            <w:bookmarkEnd w:id="21"/>
            <w:r w:rsidRPr="00286216">
              <w:rPr>
                <w:color w:val="000000" w:themeColor="text1"/>
              </w:rPr>
              <w:lastRenderedPageBreak/>
              <w:t>22.</w:t>
            </w:r>
          </w:p>
        </w:tc>
        <w:tc>
          <w:tcPr>
            <w:tcW w:w="4818" w:type="dxa"/>
          </w:tcPr>
          <w:p w14:paraId="5817FC66" w14:textId="77777777" w:rsidR="00DA2302" w:rsidRPr="00286216" w:rsidRDefault="00DA2302" w:rsidP="00DA2302">
            <w:pPr>
              <w:pStyle w:val="StyleZakonu"/>
              <w:rPr>
                <w:color w:val="000000" w:themeColor="text1"/>
              </w:rPr>
            </w:pPr>
            <w:r w:rsidRPr="00286216">
              <w:rPr>
                <w:color w:val="000000" w:themeColor="text1"/>
              </w:rPr>
              <w:t>9) близькі відносини - сімейні відносини між особами, які спільно проживають, пов’язані спільним побутом і мають взаємні права та обов’язки, у тому числі між особами, які спільно проживають, але не перебувають у шлюбі, а також - незалежно від зазначених умов - між: чоловіком та дружиною, батьком (вітчимом), матір’ю (мачухою) та сином (пасинком) та/або дочкою (падчеркою), усиновлювачем та усиновленим, зятем та тестем, тещою, невісткою та свекром, свекрухою, а також відносини опіки між опікуном та особою, яка перебуває під опікою та відносини піклування між піклувальником та особою, яка перебуває під піклуванням;</w:t>
            </w:r>
          </w:p>
        </w:tc>
        <w:tc>
          <w:tcPr>
            <w:tcW w:w="3686" w:type="dxa"/>
          </w:tcPr>
          <w:p w14:paraId="2B3ABA96" w14:textId="4B003751" w:rsidR="00DA2302" w:rsidRPr="00286216" w:rsidRDefault="00DA2302" w:rsidP="00DA2302">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34</w:t>
            </w:r>
            <w:r w:rsidRPr="00286216">
              <w:rPr>
                <w:color w:val="000000" w:themeColor="text1"/>
              </w:rPr>
              <w:fldChar w:fldCharType="end"/>
            </w:r>
            <w:r w:rsidRPr="00286216">
              <w:rPr>
                <w:color w:val="000000" w:themeColor="text1"/>
              </w:rPr>
              <w:t>-Н.д.Шахов С.В. (Реєстр.картка №114)</w:t>
            </w:r>
          </w:p>
          <w:p w14:paraId="0714C4B1" w14:textId="77777777" w:rsidR="00DA2302" w:rsidRPr="00286216" w:rsidRDefault="00DA2302" w:rsidP="00DA2302">
            <w:pPr>
              <w:pStyle w:val="StyleProp"/>
              <w:rPr>
                <w:color w:val="000000" w:themeColor="text1"/>
                <w:szCs w:val="18"/>
              </w:rPr>
            </w:pPr>
            <w:r w:rsidRPr="00286216">
              <w:rPr>
                <w:color w:val="000000" w:themeColor="text1"/>
              </w:rPr>
              <w:t>У пункті 7 слова «Національною комісією з цінних паперів та фондового ринку» замінити словами «регулятором відповідного ринку».</w:t>
            </w:r>
          </w:p>
        </w:tc>
        <w:tc>
          <w:tcPr>
            <w:tcW w:w="1987" w:type="dxa"/>
          </w:tcPr>
          <w:p w14:paraId="42CA769E" w14:textId="77777777" w:rsidR="00DA2302" w:rsidRPr="00286216" w:rsidRDefault="00DA2302" w:rsidP="00DA2302">
            <w:pPr>
              <w:pStyle w:val="StyleWisnow"/>
              <w:rPr>
                <w:color w:val="000000" w:themeColor="text1"/>
              </w:rPr>
            </w:pPr>
            <w:r w:rsidRPr="00286216">
              <w:rPr>
                <w:color w:val="000000" w:themeColor="text1"/>
              </w:rPr>
              <w:t>Відхилено</w:t>
            </w:r>
          </w:p>
          <w:p w14:paraId="6C356DB4" w14:textId="77777777" w:rsidR="00DA2302" w:rsidRPr="00286216" w:rsidRDefault="00DA2302" w:rsidP="00DA2302">
            <w:pPr>
              <w:pStyle w:val="StyleWisnow"/>
              <w:rPr>
                <w:color w:val="000000" w:themeColor="text1"/>
              </w:rPr>
            </w:pPr>
            <w:r w:rsidRPr="00286216">
              <w:rPr>
                <w:color w:val="000000" w:themeColor="text1"/>
              </w:rPr>
              <w:t>Ринки капіталу регулюються виключно НКЦПФР</w:t>
            </w:r>
          </w:p>
        </w:tc>
        <w:tc>
          <w:tcPr>
            <w:tcW w:w="4818" w:type="dxa"/>
          </w:tcPr>
          <w:p w14:paraId="58BE7838" w14:textId="3193143E" w:rsidR="00DA2302" w:rsidRPr="00286216" w:rsidRDefault="00EB7CA8" w:rsidP="00705474">
            <w:pPr>
              <w:pStyle w:val="StyleZakonu"/>
              <w:rPr>
                <w:color w:val="000000" w:themeColor="text1"/>
              </w:rPr>
            </w:pPr>
            <w:r w:rsidRPr="00286216">
              <w:rPr>
                <w:color w:val="000000" w:themeColor="text1"/>
              </w:rPr>
              <w:t>8</w:t>
            </w:r>
            <w:r w:rsidR="00DA2302" w:rsidRPr="00286216">
              <w:rPr>
                <w:color w:val="000000" w:themeColor="text1"/>
              </w:rPr>
              <w:t xml:space="preserve">) близькі відносини </w:t>
            </w:r>
            <w:r w:rsidR="00B6568A" w:rsidRPr="00286216">
              <w:rPr>
                <w:color w:val="000000" w:themeColor="text1"/>
              </w:rPr>
              <w:t>–</w:t>
            </w:r>
            <w:r w:rsidR="00DA2302" w:rsidRPr="00286216">
              <w:rPr>
                <w:color w:val="000000" w:themeColor="text1"/>
              </w:rPr>
              <w:t xml:space="preserve"> сімейні відносини між особами, які спільно проживають, пов’язані спільним побутом і мають взаємні права та обов’язки, у тому числі між особами, які спільно проживають, але не перебувають у шлюбі, а також незалежно від зазначених умов </w:t>
            </w:r>
            <w:r w:rsidR="00705474" w:rsidRPr="00286216">
              <w:rPr>
                <w:color w:val="000000" w:themeColor="text1"/>
              </w:rPr>
              <w:t xml:space="preserve">відносини </w:t>
            </w:r>
            <w:r w:rsidR="00DA2302" w:rsidRPr="00286216">
              <w:rPr>
                <w:color w:val="000000" w:themeColor="text1"/>
              </w:rPr>
              <w:t>між чоловіком та дружиною, батьком (вітчимом), матір’ю (мачухою) та сином (пасинком) та/або дочкою (падчеркою), усиновлювачем та усиновленим, зятем та тестем, тещою, невісткою та свекром, свекрухою, а також відносини опіки між опікуном та особою, яка перебуває під опікою</w:t>
            </w:r>
            <w:r w:rsidR="00705474" w:rsidRPr="00286216">
              <w:rPr>
                <w:color w:val="000000" w:themeColor="text1"/>
              </w:rPr>
              <w:t>,</w:t>
            </w:r>
            <w:r w:rsidR="00DA2302" w:rsidRPr="00286216">
              <w:rPr>
                <w:color w:val="000000" w:themeColor="text1"/>
              </w:rPr>
              <w:t xml:space="preserve"> відносини піклування між піклувальником та особою, яка перебуває під піклуванням;</w:t>
            </w:r>
          </w:p>
        </w:tc>
      </w:tr>
      <w:tr w:rsidR="00F77E8D" w:rsidRPr="00286216" w14:paraId="6F16B16D" w14:textId="77777777" w:rsidTr="00091AA5">
        <w:tc>
          <w:tcPr>
            <w:tcW w:w="576" w:type="dxa"/>
          </w:tcPr>
          <w:p w14:paraId="6C492493" w14:textId="77777777" w:rsidR="00DA2302" w:rsidRPr="00286216" w:rsidRDefault="00DA2302" w:rsidP="00DA2302">
            <w:pPr>
              <w:pStyle w:val="StyleWisnow"/>
              <w:rPr>
                <w:color w:val="000000" w:themeColor="text1"/>
              </w:rPr>
            </w:pPr>
            <w:bookmarkStart w:id="23" w:name="n23" w:colFirst="0" w:colLast="0"/>
            <w:bookmarkEnd w:id="22"/>
            <w:r w:rsidRPr="00286216">
              <w:rPr>
                <w:color w:val="000000" w:themeColor="text1"/>
              </w:rPr>
              <w:t>23.</w:t>
            </w:r>
          </w:p>
        </w:tc>
        <w:tc>
          <w:tcPr>
            <w:tcW w:w="4818" w:type="dxa"/>
          </w:tcPr>
          <w:p w14:paraId="4D0CFB16" w14:textId="77777777" w:rsidR="00DA2302" w:rsidRPr="00286216" w:rsidRDefault="00DA2302" w:rsidP="00DA2302">
            <w:pPr>
              <w:pStyle w:val="StyleZakonu"/>
              <w:rPr>
                <w:color w:val="000000" w:themeColor="text1"/>
              </w:rPr>
            </w:pPr>
            <w:r w:rsidRPr="00286216">
              <w:rPr>
                <w:color w:val="000000" w:themeColor="text1"/>
              </w:rPr>
              <w:t>10) викуп цінних паперів - придбання емітентом або особою, що видала цінний папір, розміщених ним або виданих нею цінних паперів;</w:t>
            </w:r>
          </w:p>
        </w:tc>
        <w:tc>
          <w:tcPr>
            <w:tcW w:w="3686" w:type="dxa"/>
          </w:tcPr>
          <w:p w14:paraId="06095330" w14:textId="3C6B26CA"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EC903E6" w14:textId="77777777" w:rsidR="00DA2302" w:rsidRPr="00286216" w:rsidRDefault="00DA2302" w:rsidP="00E71C29">
            <w:pPr>
              <w:pStyle w:val="StyleProp"/>
              <w:spacing w:line="180" w:lineRule="exact"/>
              <w:rPr>
                <w:color w:val="000000" w:themeColor="text1"/>
                <w:szCs w:val="18"/>
              </w:rPr>
            </w:pPr>
            <w:r w:rsidRPr="00286216">
              <w:rPr>
                <w:color w:val="000000" w:themeColor="text1"/>
                <w:szCs w:val="18"/>
              </w:rPr>
              <w:t xml:space="preserve">Пункт 10 частини першої статті 2 викласти в такій редакції: </w:t>
            </w:r>
          </w:p>
          <w:p w14:paraId="70A74F84" w14:textId="77777777" w:rsidR="00DA2302" w:rsidRPr="00286216" w:rsidRDefault="00DA2302" w:rsidP="00E71C29">
            <w:pPr>
              <w:pStyle w:val="StyleProp"/>
              <w:spacing w:line="180" w:lineRule="exact"/>
              <w:rPr>
                <w:color w:val="000000" w:themeColor="text1"/>
                <w:szCs w:val="18"/>
              </w:rPr>
            </w:pPr>
            <w:r w:rsidRPr="00286216">
              <w:rPr>
                <w:color w:val="000000" w:themeColor="text1"/>
                <w:szCs w:val="18"/>
              </w:rPr>
              <w:t>«10) викуп цінних паперів – набуття емітентом або особою, що видала цінний папір, права власності на розміщені ним або видані нею цінні папери».</w:t>
            </w:r>
          </w:p>
        </w:tc>
        <w:tc>
          <w:tcPr>
            <w:tcW w:w="1987" w:type="dxa"/>
          </w:tcPr>
          <w:p w14:paraId="5DA2674C" w14:textId="77777777" w:rsidR="00DA2302" w:rsidRPr="00286216" w:rsidRDefault="00DA2302" w:rsidP="00DA2302">
            <w:pPr>
              <w:pStyle w:val="StyleWisnow"/>
              <w:rPr>
                <w:color w:val="000000" w:themeColor="text1"/>
              </w:rPr>
            </w:pPr>
            <w:r w:rsidRPr="00286216">
              <w:rPr>
                <w:color w:val="000000" w:themeColor="text1"/>
              </w:rPr>
              <w:t>Відхилено</w:t>
            </w:r>
          </w:p>
          <w:p w14:paraId="3A61C1A0" w14:textId="77777777" w:rsidR="00DA2302" w:rsidRPr="00286216" w:rsidRDefault="00DA2302" w:rsidP="00DA2302">
            <w:pPr>
              <w:pStyle w:val="StyleWisnow"/>
              <w:spacing w:line="160" w:lineRule="exact"/>
              <w:rPr>
                <w:color w:val="000000" w:themeColor="text1"/>
              </w:rPr>
            </w:pPr>
            <w:r w:rsidRPr="00286216">
              <w:rPr>
                <w:color w:val="000000" w:themeColor="text1"/>
              </w:rPr>
              <w:t>набуття емітентом права власності на розміщені ним цінні папери спричинить диспропорції та ускладнення у депозитарній системі</w:t>
            </w:r>
          </w:p>
        </w:tc>
        <w:tc>
          <w:tcPr>
            <w:tcW w:w="4818" w:type="dxa"/>
          </w:tcPr>
          <w:p w14:paraId="534DE9FF" w14:textId="1E052A9C" w:rsidR="00DA2302" w:rsidRPr="00286216" w:rsidRDefault="00EB7CA8" w:rsidP="00EB7CA8">
            <w:pPr>
              <w:pStyle w:val="StyleZakonu"/>
              <w:rPr>
                <w:color w:val="000000" w:themeColor="text1"/>
              </w:rPr>
            </w:pPr>
            <w:r w:rsidRPr="00286216">
              <w:rPr>
                <w:color w:val="000000" w:themeColor="text1"/>
              </w:rPr>
              <w:t>9</w:t>
            </w:r>
            <w:r w:rsidR="00DA2302" w:rsidRPr="00286216">
              <w:rPr>
                <w:color w:val="000000" w:themeColor="text1"/>
              </w:rPr>
              <w:t>) викуп цінних паперів - придбання емітентом або особою, що видала цінний папір, розміщених ним або виданих нею цінних паперів;</w:t>
            </w:r>
          </w:p>
        </w:tc>
      </w:tr>
      <w:tr w:rsidR="00F77E8D" w:rsidRPr="00286216" w14:paraId="6A7F3CA4" w14:textId="77777777" w:rsidTr="00091AA5">
        <w:tc>
          <w:tcPr>
            <w:tcW w:w="576" w:type="dxa"/>
          </w:tcPr>
          <w:p w14:paraId="54A1A1FA" w14:textId="77777777" w:rsidR="00DA2302" w:rsidRPr="00286216" w:rsidRDefault="00DA2302" w:rsidP="00DA2302">
            <w:pPr>
              <w:pStyle w:val="StyleWisnow"/>
              <w:rPr>
                <w:color w:val="000000" w:themeColor="text1"/>
              </w:rPr>
            </w:pPr>
            <w:bookmarkStart w:id="24" w:name="n24" w:colFirst="0" w:colLast="0"/>
            <w:bookmarkEnd w:id="23"/>
            <w:r w:rsidRPr="00286216">
              <w:rPr>
                <w:color w:val="000000" w:themeColor="text1"/>
              </w:rPr>
              <w:t>24.</w:t>
            </w:r>
          </w:p>
        </w:tc>
        <w:tc>
          <w:tcPr>
            <w:tcW w:w="4818" w:type="dxa"/>
          </w:tcPr>
          <w:p w14:paraId="57CFC591" w14:textId="77777777" w:rsidR="00DA2302" w:rsidRPr="00286216" w:rsidRDefault="00DA2302" w:rsidP="00DA2302">
            <w:pPr>
              <w:pStyle w:val="StyleZakonu"/>
              <w:rPr>
                <w:color w:val="000000" w:themeColor="text1"/>
              </w:rPr>
            </w:pPr>
            <w:r w:rsidRPr="00286216">
              <w:rPr>
                <w:color w:val="000000" w:themeColor="text1"/>
              </w:rPr>
              <w:t>11) випуск цінних паперів - сукупність певного виду емісійних цінних паперів одного емітента, однієї номінальної вартості, які мають однакову форму випуску і міжнародний ідентифікаційний номер, та забезпечують їх власникам однакові права незалежно від часу придбання і способу їх емісії;</w:t>
            </w:r>
          </w:p>
        </w:tc>
        <w:tc>
          <w:tcPr>
            <w:tcW w:w="3686" w:type="dxa"/>
          </w:tcPr>
          <w:p w14:paraId="58DB2C08" w14:textId="47432176"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B351F5F" w14:textId="77777777" w:rsidR="00DA2302" w:rsidRPr="00286216" w:rsidRDefault="00DA2302" w:rsidP="00E71C29">
            <w:pPr>
              <w:pStyle w:val="StyleProp"/>
              <w:spacing w:line="180" w:lineRule="exact"/>
              <w:rPr>
                <w:color w:val="000000" w:themeColor="text1"/>
                <w:szCs w:val="18"/>
              </w:rPr>
            </w:pPr>
            <w:r w:rsidRPr="00286216">
              <w:rPr>
                <w:color w:val="000000" w:themeColor="text1"/>
                <w:szCs w:val="18"/>
              </w:rPr>
              <w:t>У пункті 11 частини першої статті 2 слова «незалежно від часу придбання і способу їх емісії» замінити словами «незалежно від часу їх придбання».</w:t>
            </w:r>
          </w:p>
        </w:tc>
        <w:tc>
          <w:tcPr>
            <w:tcW w:w="1987" w:type="dxa"/>
          </w:tcPr>
          <w:p w14:paraId="70017200"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027F58D3" w14:textId="332FCBCE" w:rsidR="00DA2302" w:rsidRPr="00286216" w:rsidRDefault="00EB7CA8" w:rsidP="003D2CCD">
            <w:pPr>
              <w:pStyle w:val="StyleZakonu"/>
              <w:rPr>
                <w:color w:val="000000" w:themeColor="text1"/>
              </w:rPr>
            </w:pPr>
            <w:r w:rsidRPr="00286216">
              <w:rPr>
                <w:color w:val="000000" w:themeColor="text1"/>
              </w:rPr>
              <w:t>10</w:t>
            </w:r>
            <w:r w:rsidR="00DA2302" w:rsidRPr="00286216">
              <w:rPr>
                <w:color w:val="000000" w:themeColor="text1"/>
              </w:rPr>
              <w:t>) випуск цінних паперів – сукупність певного виду емісійних цінних паперів одного емітента</w:t>
            </w:r>
            <w:r w:rsidR="00705474" w:rsidRPr="00286216">
              <w:rPr>
                <w:color w:val="000000" w:themeColor="text1"/>
              </w:rPr>
              <w:t xml:space="preserve"> </w:t>
            </w:r>
            <w:r w:rsidR="00DA2302" w:rsidRPr="00286216">
              <w:rPr>
                <w:color w:val="000000" w:themeColor="text1"/>
              </w:rPr>
              <w:t xml:space="preserve">однієї номінальної вартості, які мають однакову форму випуску і міжнародний ідентифікаційний номер та забезпечують їх власникам однакові права </w:t>
            </w:r>
            <w:r w:rsidR="00DA2302" w:rsidRPr="00286216">
              <w:rPr>
                <w:color w:val="000000" w:themeColor="text1"/>
                <w:szCs w:val="18"/>
              </w:rPr>
              <w:t>незалежно від часу їх придбання</w:t>
            </w:r>
            <w:r w:rsidR="00DA2302" w:rsidRPr="00286216">
              <w:rPr>
                <w:color w:val="000000" w:themeColor="text1"/>
              </w:rPr>
              <w:t>;</w:t>
            </w:r>
          </w:p>
        </w:tc>
      </w:tr>
      <w:tr w:rsidR="00F77E8D" w:rsidRPr="00286216" w14:paraId="1FF4CB9D" w14:textId="77777777" w:rsidTr="00091AA5">
        <w:tc>
          <w:tcPr>
            <w:tcW w:w="576" w:type="dxa"/>
          </w:tcPr>
          <w:p w14:paraId="2E463CF1" w14:textId="77777777" w:rsidR="00DA2302" w:rsidRPr="00286216" w:rsidRDefault="00DA2302" w:rsidP="00DA2302">
            <w:pPr>
              <w:pStyle w:val="StyleWisnow"/>
              <w:rPr>
                <w:color w:val="000000" w:themeColor="text1"/>
              </w:rPr>
            </w:pPr>
            <w:bookmarkStart w:id="25" w:name="n25" w:colFirst="0" w:colLast="0"/>
            <w:bookmarkEnd w:id="24"/>
            <w:r w:rsidRPr="00286216">
              <w:rPr>
                <w:color w:val="000000" w:themeColor="text1"/>
              </w:rPr>
              <w:t>25.</w:t>
            </w:r>
          </w:p>
        </w:tc>
        <w:tc>
          <w:tcPr>
            <w:tcW w:w="4818" w:type="dxa"/>
          </w:tcPr>
          <w:p w14:paraId="579CC077" w14:textId="77777777" w:rsidR="00DA2302" w:rsidRPr="00286216" w:rsidRDefault="00DA2302" w:rsidP="00DA2302">
            <w:pPr>
              <w:pStyle w:val="StyleZakonu"/>
              <w:rPr>
                <w:color w:val="000000" w:themeColor="text1"/>
              </w:rPr>
            </w:pPr>
            <w:r w:rsidRPr="00286216">
              <w:rPr>
                <w:color w:val="000000" w:themeColor="text1"/>
              </w:rPr>
              <w:t xml:space="preserve">12) високочастотна торгівля - спосіб алгоритмічної торгівлі, що відповідає вимогам, встановленим Національною комісією з цінних паперів та фондового ринку, та характеризується наступними </w:t>
            </w:r>
            <w:r w:rsidRPr="00286216">
              <w:rPr>
                <w:color w:val="000000" w:themeColor="text1"/>
              </w:rPr>
              <w:lastRenderedPageBreak/>
              <w:t>ознаками:</w:t>
            </w:r>
          </w:p>
        </w:tc>
        <w:tc>
          <w:tcPr>
            <w:tcW w:w="3686" w:type="dxa"/>
          </w:tcPr>
          <w:p w14:paraId="33908A0B" w14:textId="2210A4F1" w:rsidR="00DA2302" w:rsidRPr="00286216" w:rsidRDefault="00DA2302" w:rsidP="00DA2302">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B0CA8A7" w14:textId="77777777" w:rsidR="00DA2302" w:rsidRPr="00286216" w:rsidRDefault="00DA2302" w:rsidP="00DA2302">
            <w:pPr>
              <w:pStyle w:val="StyleProp"/>
              <w:rPr>
                <w:color w:val="000000" w:themeColor="text1"/>
              </w:rPr>
            </w:pPr>
            <w:r w:rsidRPr="00286216">
              <w:rPr>
                <w:color w:val="000000" w:themeColor="text1"/>
              </w:rPr>
              <w:t>Пункт 12 частини 1 статті 2 виключити.</w:t>
            </w:r>
          </w:p>
          <w:p w14:paraId="3FAEF4A5" w14:textId="21D46E1C"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5EC3FF3" w14:textId="77777777" w:rsidR="00DA2302" w:rsidRPr="00286216" w:rsidRDefault="00DA2302" w:rsidP="00DA2302">
            <w:pPr>
              <w:pStyle w:val="StyleProp"/>
              <w:spacing w:line="180" w:lineRule="exact"/>
              <w:rPr>
                <w:color w:val="000000" w:themeColor="text1"/>
                <w:szCs w:val="18"/>
              </w:rPr>
            </w:pPr>
            <w:r w:rsidRPr="00286216">
              <w:rPr>
                <w:color w:val="000000" w:themeColor="text1"/>
                <w:szCs w:val="18"/>
              </w:rPr>
              <w:t>Пункт 12 частини першої статті 2 викласти в такій редакції:</w:t>
            </w:r>
          </w:p>
          <w:p w14:paraId="435E173B" w14:textId="77777777" w:rsidR="00DA2302" w:rsidRPr="00F562FA" w:rsidRDefault="00DA2302" w:rsidP="00DA2302">
            <w:pPr>
              <w:pStyle w:val="StyleProp"/>
              <w:spacing w:line="180" w:lineRule="exact"/>
              <w:rPr>
                <w:color w:val="000000" w:themeColor="text1"/>
                <w:spacing w:val="-2"/>
                <w:szCs w:val="18"/>
              </w:rPr>
            </w:pPr>
            <w:r w:rsidRPr="00F562FA">
              <w:rPr>
                <w:color w:val="000000" w:themeColor="text1"/>
                <w:spacing w:val="-2"/>
                <w:szCs w:val="18"/>
              </w:rPr>
              <w:lastRenderedPageBreak/>
              <w:t>«12) високочастотна торгівля – вид алгоритмічної торгівлі, що відповідає вимогам, встановленим Національною комісією з цінних паперів та фондового ринку, та характеризується наступними ознаками:</w:t>
            </w:r>
          </w:p>
        </w:tc>
        <w:tc>
          <w:tcPr>
            <w:tcW w:w="1987" w:type="dxa"/>
          </w:tcPr>
          <w:p w14:paraId="0BAE16FE" w14:textId="77777777" w:rsidR="00DA2302" w:rsidRPr="00286216" w:rsidRDefault="00DA2302" w:rsidP="00DA2302">
            <w:pPr>
              <w:pStyle w:val="StyleWisnow"/>
              <w:rPr>
                <w:color w:val="000000" w:themeColor="text1"/>
              </w:rPr>
            </w:pPr>
            <w:r w:rsidRPr="00286216">
              <w:rPr>
                <w:color w:val="000000" w:themeColor="text1"/>
              </w:rPr>
              <w:lastRenderedPageBreak/>
              <w:t>Враховано</w:t>
            </w:r>
          </w:p>
          <w:p w14:paraId="30B4B89C" w14:textId="77777777" w:rsidR="00DA2302" w:rsidRPr="00286216" w:rsidRDefault="00DA2302" w:rsidP="00DA2302">
            <w:pPr>
              <w:pStyle w:val="StyleWisnow"/>
              <w:rPr>
                <w:color w:val="000000" w:themeColor="text1"/>
              </w:rPr>
            </w:pPr>
          </w:p>
          <w:p w14:paraId="201B0434" w14:textId="4FBE37B4" w:rsidR="00DA2302" w:rsidRPr="00286216" w:rsidRDefault="00DA2302" w:rsidP="00AF3C2A">
            <w:pPr>
              <w:pStyle w:val="StyleWisnow"/>
              <w:rPr>
                <w:color w:val="000000" w:themeColor="text1"/>
              </w:rPr>
            </w:pPr>
            <w:r w:rsidRPr="00286216">
              <w:rPr>
                <w:color w:val="000000" w:themeColor="text1"/>
              </w:rPr>
              <w:t xml:space="preserve">Враховано по суті в статті </w:t>
            </w:r>
            <w:r w:rsidR="00AF3C2A" w:rsidRPr="00286216">
              <w:rPr>
                <w:color w:val="000000" w:themeColor="text1"/>
              </w:rPr>
              <w:t>55</w:t>
            </w:r>
          </w:p>
        </w:tc>
        <w:tc>
          <w:tcPr>
            <w:tcW w:w="4818" w:type="dxa"/>
          </w:tcPr>
          <w:p w14:paraId="477CF5F6" w14:textId="77777777" w:rsidR="00DA2302" w:rsidRPr="00286216" w:rsidRDefault="00DA2302" w:rsidP="00DA2302">
            <w:pPr>
              <w:pStyle w:val="StyleZakonu"/>
              <w:rPr>
                <w:color w:val="000000" w:themeColor="text1"/>
              </w:rPr>
            </w:pPr>
          </w:p>
        </w:tc>
      </w:tr>
      <w:tr w:rsidR="00F77E8D" w:rsidRPr="00286216" w14:paraId="15EB7D81" w14:textId="77777777" w:rsidTr="00091AA5">
        <w:tc>
          <w:tcPr>
            <w:tcW w:w="576" w:type="dxa"/>
          </w:tcPr>
          <w:p w14:paraId="0D34196F" w14:textId="77777777" w:rsidR="00DA2302" w:rsidRPr="00286216" w:rsidRDefault="00DA2302" w:rsidP="00DA2302">
            <w:pPr>
              <w:pStyle w:val="StyleWisnow"/>
              <w:rPr>
                <w:color w:val="000000" w:themeColor="text1"/>
              </w:rPr>
            </w:pPr>
            <w:bookmarkStart w:id="26" w:name="n26" w:colFirst="0" w:colLast="0"/>
            <w:bookmarkEnd w:id="25"/>
            <w:r w:rsidRPr="00286216">
              <w:rPr>
                <w:color w:val="000000" w:themeColor="text1"/>
              </w:rPr>
              <w:t>26.</w:t>
            </w:r>
          </w:p>
        </w:tc>
        <w:tc>
          <w:tcPr>
            <w:tcW w:w="4818" w:type="dxa"/>
          </w:tcPr>
          <w:p w14:paraId="22C0712C" w14:textId="77777777" w:rsidR="00DA2302" w:rsidRPr="00286216" w:rsidRDefault="00DA2302" w:rsidP="00DA2302">
            <w:pPr>
              <w:pStyle w:val="StyleZakonu"/>
              <w:rPr>
                <w:color w:val="000000" w:themeColor="text1"/>
              </w:rPr>
            </w:pPr>
            <w:r w:rsidRPr="00286216">
              <w:rPr>
                <w:color w:val="000000" w:themeColor="text1"/>
              </w:rPr>
              <w:t>а) інфраструктура інформаційно-телекомунікаційної системи, призначена для зведення до мінімуму мережевих та інших типів затримок, що включає щонайменше один із наступних засобів алгоритмічного введення наказів та/або розпоряджень: колокація, швидкісний прямий електронний доступ тощо;</w:t>
            </w:r>
          </w:p>
        </w:tc>
        <w:tc>
          <w:tcPr>
            <w:tcW w:w="3686" w:type="dxa"/>
          </w:tcPr>
          <w:p w14:paraId="4BC26127" w14:textId="77777777" w:rsidR="00DA2302" w:rsidRPr="00286216" w:rsidRDefault="00DA2302" w:rsidP="00F562FA">
            <w:pPr>
              <w:pStyle w:val="StyleProp"/>
              <w:spacing w:line="180" w:lineRule="exact"/>
              <w:rPr>
                <w:color w:val="000000" w:themeColor="text1"/>
              </w:rPr>
            </w:pPr>
            <w:r w:rsidRPr="00286216">
              <w:rPr>
                <w:color w:val="000000" w:themeColor="text1"/>
              </w:rPr>
              <w:t>а) інфраструктура інформаційно-телекомунікаційної системи алгоритм якої ініціює наказ та/або розпорядження призначена для зведення до мінімуму мережевих та інших типів затримок надсилання наказів та/або розпоряджень, що включає існування щонайменше однієї із наступних умов для алгоритмічного надсилання  наказів та/або розпоряджень: колокація, швидкісний прямий електронний доступ або розміщення апаратної складової інформаційно-телекомунікаційної системи в безпосередній близькості від багатосторонньої системи організованого ринку з наданням з’єднання з такою багатосторонньою системою через пряму та приватну мережу;</w:t>
            </w:r>
          </w:p>
        </w:tc>
        <w:tc>
          <w:tcPr>
            <w:tcW w:w="1987" w:type="dxa"/>
          </w:tcPr>
          <w:p w14:paraId="7B15E989" w14:textId="77777777" w:rsidR="00DA2302" w:rsidRPr="00286216" w:rsidRDefault="00DA2302" w:rsidP="00DA2302">
            <w:pPr>
              <w:pStyle w:val="StyleWisnow"/>
              <w:rPr>
                <w:color w:val="000000" w:themeColor="text1"/>
              </w:rPr>
            </w:pPr>
          </w:p>
        </w:tc>
        <w:tc>
          <w:tcPr>
            <w:tcW w:w="4818" w:type="dxa"/>
          </w:tcPr>
          <w:p w14:paraId="12AD1AD8" w14:textId="77777777" w:rsidR="00DA2302" w:rsidRPr="00286216" w:rsidRDefault="00DA2302" w:rsidP="00DA2302">
            <w:pPr>
              <w:pStyle w:val="StyleZakonu"/>
              <w:rPr>
                <w:color w:val="000000" w:themeColor="text1"/>
              </w:rPr>
            </w:pPr>
          </w:p>
        </w:tc>
      </w:tr>
      <w:tr w:rsidR="00F77E8D" w:rsidRPr="00286216" w14:paraId="57B596F2" w14:textId="77777777" w:rsidTr="00091AA5">
        <w:tc>
          <w:tcPr>
            <w:tcW w:w="576" w:type="dxa"/>
          </w:tcPr>
          <w:p w14:paraId="063A77B6" w14:textId="77777777" w:rsidR="00DA2302" w:rsidRPr="00286216" w:rsidRDefault="00DA2302" w:rsidP="00DA2302">
            <w:pPr>
              <w:pStyle w:val="StyleWisnow"/>
              <w:rPr>
                <w:color w:val="000000" w:themeColor="text1"/>
              </w:rPr>
            </w:pPr>
            <w:bookmarkStart w:id="27" w:name="n27" w:colFirst="0" w:colLast="0"/>
            <w:bookmarkEnd w:id="26"/>
            <w:r w:rsidRPr="00286216">
              <w:rPr>
                <w:color w:val="000000" w:themeColor="text1"/>
              </w:rPr>
              <w:t>27.</w:t>
            </w:r>
          </w:p>
        </w:tc>
        <w:tc>
          <w:tcPr>
            <w:tcW w:w="4818" w:type="dxa"/>
          </w:tcPr>
          <w:p w14:paraId="0C0F3D4A" w14:textId="77777777" w:rsidR="00DA2302" w:rsidRPr="00286216" w:rsidRDefault="00DA2302" w:rsidP="00DA2302">
            <w:pPr>
              <w:pStyle w:val="StyleZakonu"/>
              <w:rPr>
                <w:color w:val="000000" w:themeColor="text1"/>
              </w:rPr>
            </w:pPr>
            <w:r w:rsidRPr="00286216">
              <w:rPr>
                <w:color w:val="000000" w:themeColor="text1"/>
              </w:rPr>
              <w:t>б) здійснення інформаційно-телекомунікаційною системою ініціювання, генерації, маршрутизації чи виконання наказів та/або розпоряджень без втручання людини щодо кожного окремого наказу та/або розпорядження;</w:t>
            </w:r>
          </w:p>
        </w:tc>
        <w:tc>
          <w:tcPr>
            <w:tcW w:w="3686" w:type="dxa"/>
          </w:tcPr>
          <w:p w14:paraId="3FAEEDE4" w14:textId="77777777" w:rsidR="00DA2302" w:rsidRPr="00286216" w:rsidRDefault="00DA2302" w:rsidP="00F562FA">
            <w:pPr>
              <w:pStyle w:val="StyleProp"/>
              <w:spacing w:line="180" w:lineRule="exact"/>
              <w:rPr>
                <w:color w:val="000000" w:themeColor="text1"/>
                <w:spacing w:val="-2"/>
              </w:rPr>
            </w:pPr>
            <w:r w:rsidRPr="00286216">
              <w:rPr>
                <w:color w:val="000000" w:themeColor="text1"/>
                <w:spacing w:val="-2"/>
              </w:rPr>
              <w:t>б) здійснення інформаційно-телекомунікаційною системою ініціювання, формування, надсилання, визначення маршруту прямування до багатосторонньої системи одного чи більше організованих ринків, чи виконання наказів та/або розпоряджень без втручання людини щодо кожного окремого наказу та/або розпорядження;</w:t>
            </w:r>
          </w:p>
          <w:p w14:paraId="34E90B89" w14:textId="77777777" w:rsidR="00DA2302" w:rsidRPr="00286216" w:rsidRDefault="00DA2302" w:rsidP="00F562FA">
            <w:pPr>
              <w:pStyle w:val="StyleProp"/>
              <w:spacing w:line="180" w:lineRule="exact"/>
              <w:rPr>
                <w:color w:val="000000" w:themeColor="text1"/>
              </w:rPr>
            </w:pPr>
            <w:r w:rsidRPr="00286216">
              <w:rPr>
                <w:color w:val="000000" w:themeColor="text1"/>
              </w:rPr>
              <w:t>в) великі середньодобові обсяги повідомлень, а саме: будь-яких котирувань маркет-мейкера, наказів та/або розпоряджень інших учасників торгів, або їх скасувань. Великими є обсяги за яких в середньому подається будь-що з наступного: щонайменше 2 повідомлення у секунду щодо будь-якого окремого фінансового інструменту, що допущений до торгів на організованому ринку; щонайменше 4 повідомлення в секунду щодо усіх фінансових інструментів, що допущені до торгів на організованому ринку».</w:t>
            </w:r>
          </w:p>
        </w:tc>
        <w:tc>
          <w:tcPr>
            <w:tcW w:w="1987" w:type="dxa"/>
          </w:tcPr>
          <w:p w14:paraId="6B6C5A16" w14:textId="77777777" w:rsidR="00DA2302" w:rsidRPr="00286216" w:rsidRDefault="00DA2302" w:rsidP="00DA2302">
            <w:pPr>
              <w:pStyle w:val="StyleWisnow"/>
              <w:rPr>
                <w:color w:val="000000" w:themeColor="text1"/>
              </w:rPr>
            </w:pPr>
          </w:p>
        </w:tc>
        <w:tc>
          <w:tcPr>
            <w:tcW w:w="4818" w:type="dxa"/>
          </w:tcPr>
          <w:p w14:paraId="36C8FD99" w14:textId="77777777" w:rsidR="00DA2302" w:rsidRPr="00286216" w:rsidRDefault="00DA2302" w:rsidP="00DA2302">
            <w:pPr>
              <w:pStyle w:val="StyleZakonu"/>
              <w:rPr>
                <w:color w:val="000000" w:themeColor="text1"/>
              </w:rPr>
            </w:pPr>
          </w:p>
        </w:tc>
      </w:tr>
      <w:tr w:rsidR="00F77E8D" w:rsidRPr="00286216" w14:paraId="290151E2" w14:textId="77777777" w:rsidTr="00091AA5">
        <w:tc>
          <w:tcPr>
            <w:tcW w:w="576" w:type="dxa"/>
          </w:tcPr>
          <w:p w14:paraId="6C6C9CE0" w14:textId="77777777" w:rsidR="00DA2302" w:rsidRPr="00286216" w:rsidRDefault="00DA2302" w:rsidP="00DA2302">
            <w:pPr>
              <w:pStyle w:val="StyleWisnow"/>
              <w:rPr>
                <w:color w:val="000000" w:themeColor="text1"/>
              </w:rPr>
            </w:pPr>
            <w:bookmarkStart w:id="28" w:name="n28" w:colFirst="0" w:colLast="0"/>
            <w:bookmarkEnd w:id="27"/>
            <w:r w:rsidRPr="00286216">
              <w:rPr>
                <w:color w:val="000000" w:themeColor="text1"/>
              </w:rPr>
              <w:t>28.</w:t>
            </w:r>
          </w:p>
        </w:tc>
        <w:tc>
          <w:tcPr>
            <w:tcW w:w="4818" w:type="dxa"/>
          </w:tcPr>
          <w:p w14:paraId="1DCB2AD9" w14:textId="77777777" w:rsidR="00DA2302" w:rsidRPr="00286216" w:rsidRDefault="00DA2302" w:rsidP="00DA2302">
            <w:pPr>
              <w:pStyle w:val="StyleZakonu"/>
              <w:rPr>
                <w:color w:val="000000" w:themeColor="text1"/>
              </w:rPr>
            </w:pPr>
            <w:r w:rsidRPr="00286216">
              <w:rPr>
                <w:color w:val="000000" w:themeColor="text1"/>
              </w:rPr>
              <w:t>в) великі середньодобові обсяги повідомлень, що становлять будь-які котирування, накази та/або розпорядження, або їх скасування;</w:t>
            </w:r>
          </w:p>
        </w:tc>
        <w:tc>
          <w:tcPr>
            <w:tcW w:w="3686" w:type="dxa"/>
          </w:tcPr>
          <w:p w14:paraId="163788D9" w14:textId="6C1BA062" w:rsidR="00DA2302" w:rsidRPr="00286216" w:rsidRDefault="00DA2302" w:rsidP="00DA2302">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39</w:t>
            </w:r>
            <w:r w:rsidRPr="00286216">
              <w:rPr>
                <w:color w:val="000000" w:themeColor="text1"/>
                <w:spacing w:val="-10"/>
              </w:rPr>
              <w:fldChar w:fldCharType="end"/>
            </w:r>
            <w:r w:rsidRPr="00286216">
              <w:rPr>
                <w:color w:val="000000" w:themeColor="text1"/>
                <w:spacing w:val="-10"/>
              </w:rPr>
              <w:t>-Н.д.Гетманцев Д.О.(Реєстр.картка №245)</w:t>
            </w:r>
          </w:p>
          <w:p w14:paraId="6B89A148" w14:textId="77777777" w:rsidR="00DA2302" w:rsidRPr="00286216" w:rsidRDefault="00DA2302" w:rsidP="00DA2302">
            <w:pPr>
              <w:pStyle w:val="StyleProp"/>
              <w:spacing w:line="180" w:lineRule="exact"/>
              <w:rPr>
                <w:color w:val="000000" w:themeColor="text1"/>
                <w:sz w:val="20"/>
              </w:rPr>
            </w:pPr>
            <w:r w:rsidRPr="00286216">
              <w:rPr>
                <w:color w:val="000000" w:themeColor="text1"/>
              </w:rPr>
              <w:t>У частині першій статті 2 підпункт «в» пункту 12 доповнити новим реченням такого змісту: «Кількість повідомлень, при досягненні якої середньодобові обсяги вважаються великими, встановлюється Національною комісією з цінних паперів та фондового ринку.».</w:t>
            </w:r>
          </w:p>
        </w:tc>
        <w:tc>
          <w:tcPr>
            <w:tcW w:w="1987" w:type="dxa"/>
          </w:tcPr>
          <w:p w14:paraId="19FD26B1" w14:textId="77777777" w:rsidR="00DA2302" w:rsidRPr="00286216" w:rsidRDefault="00DA2302" w:rsidP="00F562FA">
            <w:pPr>
              <w:pStyle w:val="StyleWisnow"/>
              <w:spacing w:line="180" w:lineRule="exact"/>
              <w:rPr>
                <w:color w:val="000000" w:themeColor="text1"/>
              </w:rPr>
            </w:pPr>
            <w:r w:rsidRPr="00286216">
              <w:rPr>
                <w:color w:val="000000" w:themeColor="text1"/>
              </w:rPr>
              <w:t>Відхилено</w:t>
            </w:r>
          </w:p>
          <w:p w14:paraId="1FC21E8F" w14:textId="6B44B5A5" w:rsidR="00DA2302" w:rsidRPr="00286216" w:rsidRDefault="00DA2302" w:rsidP="00F562FA">
            <w:pPr>
              <w:pStyle w:val="StyleWisnow"/>
              <w:spacing w:line="180" w:lineRule="exact"/>
              <w:rPr>
                <w:color w:val="000000" w:themeColor="text1"/>
                <w:spacing w:val="-2"/>
              </w:rPr>
            </w:pPr>
            <w:r w:rsidRPr="00286216">
              <w:rPr>
                <w:color w:val="000000" w:themeColor="text1"/>
                <w:spacing w:val="-2"/>
              </w:rPr>
              <w:t xml:space="preserve">Регламент ЄС 565/2017 щодо Директиви MiFID II не містить таких повноважень регулятора, натомість у статті 19 зазначає про великі добові обсяги повідомлень, які складаються відповідно </w:t>
            </w:r>
            <w:r w:rsidRPr="00286216">
              <w:rPr>
                <w:color w:val="000000" w:themeColor="text1"/>
                <w:spacing w:val="-6"/>
              </w:rPr>
              <w:t>до кількості торгівельних</w:t>
            </w:r>
            <w:r w:rsidRPr="00286216">
              <w:rPr>
                <w:color w:val="000000" w:themeColor="text1"/>
                <w:spacing w:val="-4"/>
              </w:rPr>
              <w:t xml:space="preserve"> операцій щосекунди.</w:t>
            </w:r>
          </w:p>
        </w:tc>
        <w:tc>
          <w:tcPr>
            <w:tcW w:w="4818" w:type="dxa"/>
          </w:tcPr>
          <w:p w14:paraId="751B07A6" w14:textId="77777777" w:rsidR="00DA2302" w:rsidRPr="00286216" w:rsidRDefault="00DA2302" w:rsidP="00DA2302">
            <w:pPr>
              <w:pStyle w:val="StyleZakonu"/>
              <w:rPr>
                <w:color w:val="000000" w:themeColor="text1"/>
              </w:rPr>
            </w:pPr>
          </w:p>
        </w:tc>
      </w:tr>
      <w:tr w:rsidR="00F77E8D" w:rsidRPr="00286216" w14:paraId="3F9C3DB3" w14:textId="77777777" w:rsidTr="00091AA5">
        <w:tc>
          <w:tcPr>
            <w:tcW w:w="576" w:type="dxa"/>
          </w:tcPr>
          <w:p w14:paraId="32AF1834" w14:textId="77777777" w:rsidR="00DA2302" w:rsidRPr="00286216" w:rsidRDefault="00DA2302" w:rsidP="00DA2302">
            <w:pPr>
              <w:pStyle w:val="StyleWisnow"/>
              <w:rPr>
                <w:color w:val="000000" w:themeColor="text1"/>
              </w:rPr>
            </w:pPr>
          </w:p>
        </w:tc>
        <w:tc>
          <w:tcPr>
            <w:tcW w:w="4818" w:type="dxa"/>
          </w:tcPr>
          <w:p w14:paraId="02405936" w14:textId="77777777" w:rsidR="00DA2302" w:rsidRPr="00286216" w:rsidRDefault="00DA2302" w:rsidP="00DA2302">
            <w:pPr>
              <w:pStyle w:val="StyleZakonu"/>
              <w:rPr>
                <w:color w:val="000000" w:themeColor="text1"/>
              </w:rPr>
            </w:pPr>
          </w:p>
        </w:tc>
        <w:tc>
          <w:tcPr>
            <w:tcW w:w="3686" w:type="dxa"/>
          </w:tcPr>
          <w:p w14:paraId="79AB29AE" w14:textId="3691E8C2" w:rsidR="00DA2302" w:rsidRPr="00286216" w:rsidRDefault="00DA2302" w:rsidP="00DA2302">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40</w:t>
            </w:r>
            <w:r w:rsidRPr="00286216">
              <w:rPr>
                <w:color w:val="000000" w:themeColor="text1"/>
              </w:rPr>
              <w:fldChar w:fldCharType="end"/>
            </w:r>
            <w:r w:rsidRPr="00286216">
              <w:rPr>
                <w:color w:val="000000" w:themeColor="text1"/>
              </w:rPr>
              <w:t>-Н.д.Шахов С.В. (Реєстр.картка №114)</w:t>
            </w:r>
          </w:p>
          <w:p w14:paraId="366AF9D7" w14:textId="77777777" w:rsidR="00DA2302" w:rsidRPr="00286216" w:rsidRDefault="00DA2302" w:rsidP="00DA2302">
            <w:pPr>
              <w:pStyle w:val="StyleProp"/>
              <w:spacing w:line="180" w:lineRule="exact"/>
              <w:rPr>
                <w:color w:val="000000" w:themeColor="text1"/>
                <w:szCs w:val="18"/>
              </w:rPr>
            </w:pPr>
            <w:r w:rsidRPr="00286216">
              <w:rPr>
                <w:color w:val="000000" w:themeColor="text1"/>
              </w:rPr>
              <w:t>у пункті 12 підпункт «в» викласти у такій редакції: «середньодобові</w:t>
            </w:r>
            <w:r w:rsidRPr="00286216" w:rsidDel="00237B65">
              <w:rPr>
                <w:color w:val="000000" w:themeColor="text1"/>
              </w:rPr>
              <w:t xml:space="preserve"> </w:t>
            </w:r>
            <w:r w:rsidRPr="00286216">
              <w:rPr>
                <w:color w:val="000000" w:themeColor="text1"/>
              </w:rPr>
              <w:t>обсяги повідомлень в розмірі, що перевищують «__» байт, що становлять будь-які котирування, накази та/або розпорядження, або їх скасування;».</w:t>
            </w:r>
          </w:p>
        </w:tc>
        <w:tc>
          <w:tcPr>
            <w:tcW w:w="1987" w:type="dxa"/>
          </w:tcPr>
          <w:p w14:paraId="40FF80CD" w14:textId="77777777" w:rsidR="00DA2302" w:rsidRPr="00286216" w:rsidRDefault="00DA2302" w:rsidP="00F562FA">
            <w:pPr>
              <w:pStyle w:val="StyleWisnow"/>
              <w:spacing w:line="180" w:lineRule="exact"/>
              <w:rPr>
                <w:color w:val="000000" w:themeColor="text1"/>
              </w:rPr>
            </w:pPr>
            <w:r w:rsidRPr="00286216">
              <w:rPr>
                <w:color w:val="000000" w:themeColor="text1"/>
              </w:rPr>
              <w:t>Враховано частково</w:t>
            </w:r>
          </w:p>
          <w:p w14:paraId="24FD0E31" w14:textId="1AD0E0EB" w:rsidR="00DA2302" w:rsidRPr="00286216" w:rsidRDefault="00DA2302" w:rsidP="00F562FA">
            <w:pPr>
              <w:pStyle w:val="StyleWisnow"/>
              <w:spacing w:line="180" w:lineRule="exact"/>
              <w:rPr>
                <w:color w:val="000000" w:themeColor="text1"/>
              </w:rPr>
            </w:pPr>
            <w:r w:rsidRPr="00286216">
              <w:rPr>
                <w:color w:val="000000" w:themeColor="text1"/>
              </w:rPr>
              <w:t xml:space="preserve">у редакції статті </w:t>
            </w:r>
            <w:r w:rsidR="00AF3C2A" w:rsidRPr="00286216">
              <w:rPr>
                <w:color w:val="000000" w:themeColor="text1"/>
              </w:rPr>
              <w:t>55</w:t>
            </w:r>
          </w:p>
        </w:tc>
        <w:tc>
          <w:tcPr>
            <w:tcW w:w="4818" w:type="dxa"/>
          </w:tcPr>
          <w:p w14:paraId="1B163FDA" w14:textId="77777777" w:rsidR="00DA2302" w:rsidRPr="00286216" w:rsidRDefault="00DA2302" w:rsidP="00DA2302">
            <w:pPr>
              <w:pStyle w:val="StyleZakonu"/>
              <w:rPr>
                <w:color w:val="000000" w:themeColor="text1"/>
              </w:rPr>
            </w:pPr>
          </w:p>
        </w:tc>
      </w:tr>
      <w:tr w:rsidR="00F77E8D" w:rsidRPr="00286216" w14:paraId="21C6D798" w14:textId="77777777" w:rsidTr="00091AA5">
        <w:tc>
          <w:tcPr>
            <w:tcW w:w="576" w:type="dxa"/>
          </w:tcPr>
          <w:p w14:paraId="67F7DC02" w14:textId="77777777" w:rsidR="00DA2302" w:rsidRPr="00286216" w:rsidRDefault="00DA2302" w:rsidP="00DA2302">
            <w:pPr>
              <w:pStyle w:val="StyleWisnow"/>
              <w:rPr>
                <w:color w:val="000000" w:themeColor="text1"/>
              </w:rPr>
            </w:pPr>
            <w:bookmarkStart w:id="29" w:name="n29" w:colFirst="0" w:colLast="0"/>
            <w:bookmarkEnd w:id="28"/>
            <w:r w:rsidRPr="00286216">
              <w:rPr>
                <w:color w:val="000000" w:themeColor="text1"/>
              </w:rPr>
              <w:t>29.</w:t>
            </w:r>
          </w:p>
        </w:tc>
        <w:tc>
          <w:tcPr>
            <w:tcW w:w="4818" w:type="dxa"/>
          </w:tcPr>
          <w:p w14:paraId="2AC02CB8" w14:textId="77777777" w:rsidR="00DA2302" w:rsidRPr="00286216" w:rsidRDefault="00DA2302" w:rsidP="00DA2302">
            <w:pPr>
              <w:pStyle w:val="StyleZakonu"/>
              <w:rPr>
                <w:color w:val="000000" w:themeColor="text1"/>
              </w:rPr>
            </w:pPr>
            <w:r w:rsidRPr="00286216">
              <w:rPr>
                <w:color w:val="000000" w:themeColor="text1"/>
              </w:rPr>
              <w:t>13) внутрішня система обліку особи, що здійснює клірингову діяльність (далі - система клірингового обліку) -система, за допомогою якої особа, що здійснює клірингову діяльність:</w:t>
            </w:r>
          </w:p>
        </w:tc>
        <w:tc>
          <w:tcPr>
            <w:tcW w:w="3686" w:type="dxa"/>
          </w:tcPr>
          <w:p w14:paraId="29804937" w14:textId="5824FC46"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9858990" w14:textId="0E51A016" w:rsidR="00DA2302" w:rsidRPr="00286216" w:rsidRDefault="00DA2302" w:rsidP="00D62F08">
            <w:pPr>
              <w:pStyle w:val="StyleProp"/>
              <w:spacing w:line="180" w:lineRule="exact"/>
              <w:rPr>
                <w:color w:val="000000" w:themeColor="text1"/>
              </w:rPr>
            </w:pPr>
            <w:r w:rsidRPr="00286216">
              <w:rPr>
                <w:color w:val="000000" w:themeColor="text1"/>
              </w:rPr>
              <w:t>Текст пункту 13 частини 1 статті 1 викласти в такій редакції:</w:t>
            </w:r>
            <w:r w:rsidRPr="00286216" w:rsidDel="0049294F">
              <w:rPr>
                <w:color w:val="000000" w:themeColor="text1"/>
                <w:szCs w:val="18"/>
              </w:rPr>
              <w:t xml:space="preserve"> </w:t>
            </w:r>
            <w:r w:rsidRPr="00286216">
              <w:rPr>
                <w:color w:val="000000" w:themeColor="text1"/>
              </w:rPr>
              <w:t xml:space="preserve">«внутрішня система обліку особи, яка здійснює клірингову діяльність (далі – система клірингового обліку) – система, за допомогою якої особа, яка </w:t>
            </w:r>
            <w:r w:rsidR="00B6568A" w:rsidRPr="00286216">
              <w:rPr>
                <w:color w:val="000000" w:themeColor="text1"/>
              </w:rPr>
              <w:t>провадить</w:t>
            </w:r>
            <w:r w:rsidRPr="00286216">
              <w:rPr>
                <w:color w:val="000000" w:themeColor="text1"/>
              </w:rPr>
              <w:t xml:space="preserve"> клірингову діяльність:</w:t>
            </w:r>
          </w:p>
        </w:tc>
        <w:tc>
          <w:tcPr>
            <w:tcW w:w="1987" w:type="dxa"/>
          </w:tcPr>
          <w:p w14:paraId="52FB3732"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0A8169DC" w14:textId="4C89D00A" w:rsidR="00DA2302" w:rsidRPr="00286216" w:rsidRDefault="00EB7CA8" w:rsidP="00AB5623">
            <w:pPr>
              <w:pStyle w:val="StyleZakonu"/>
              <w:rPr>
                <w:color w:val="000000" w:themeColor="text1"/>
              </w:rPr>
            </w:pPr>
            <w:r w:rsidRPr="00286216">
              <w:rPr>
                <w:color w:val="000000" w:themeColor="text1"/>
              </w:rPr>
              <w:t>11</w:t>
            </w:r>
            <w:r w:rsidR="00DA2302" w:rsidRPr="00286216">
              <w:rPr>
                <w:color w:val="000000" w:themeColor="text1"/>
              </w:rPr>
              <w:t xml:space="preserve">) внутрішня система обліку особи, яка </w:t>
            </w:r>
            <w:r w:rsidR="00AB5623" w:rsidRPr="00286216">
              <w:rPr>
                <w:color w:val="000000" w:themeColor="text1"/>
              </w:rPr>
              <w:t>провадить</w:t>
            </w:r>
            <w:r w:rsidR="00DA2302" w:rsidRPr="00286216">
              <w:rPr>
                <w:color w:val="000000" w:themeColor="text1"/>
              </w:rPr>
              <w:t xml:space="preserve"> клірингову діяльність (далі – система клірингового обліку)</w:t>
            </w:r>
            <w:r w:rsidR="00275AAE" w:rsidRPr="00286216">
              <w:rPr>
                <w:color w:val="000000" w:themeColor="text1"/>
              </w:rPr>
              <w:t>,</w:t>
            </w:r>
            <w:r w:rsidR="00DA2302" w:rsidRPr="00286216">
              <w:rPr>
                <w:color w:val="000000" w:themeColor="text1"/>
              </w:rPr>
              <w:t xml:space="preserve"> – система, за допомогою якої особа, яка </w:t>
            </w:r>
            <w:r w:rsidR="00AB5623" w:rsidRPr="00286216">
              <w:rPr>
                <w:color w:val="000000" w:themeColor="text1"/>
              </w:rPr>
              <w:t xml:space="preserve">провадить </w:t>
            </w:r>
            <w:r w:rsidR="00DA2302" w:rsidRPr="00286216">
              <w:rPr>
                <w:color w:val="000000" w:themeColor="text1"/>
              </w:rPr>
              <w:t>клірингову діяльність:</w:t>
            </w:r>
          </w:p>
        </w:tc>
      </w:tr>
      <w:tr w:rsidR="00F77E8D" w:rsidRPr="00286216" w14:paraId="0A5453E0" w14:textId="77777777" w:rsidTr="00091AA5">
        <w:tc>
          <w:tcPr>
            <w:tcW w:w="576" w:type="dxa"/>
          </w:tcPr>
          <w:p w14:paraId="64499E4F" w14:textId="77777777" w:rsidR="00DA2302" w:rsidRPr="00286216" w:rsidRDefault="00DA2302" w:rsidP="00DA2302">
            <w:pPr>
              <w:pStyle w:val="StyleWisnow"/>
              <w:rPr>
                <w:color w:val="000000" w:themeColor="text1"/>
              </w:rPr>
            </w:pPr>
            <w:bookmarkStart w:id="30" w:name="n30" w:colFirst="0" w:colLast="0"/>
            <w:bookmarkEnd w:id="29"/>
            <w:r w:rsidRPr="00286216">
              <w:rPr>
                <w:color w:val="000000" w:themeColor="text1"/>
              </w:rPr>
              <w:t>30.</w:t>
            </w:r>
          </w:p>
        </w:tc>
        <w:tc>
          <w:tcPr>
            <w:tcW w:w="4818" w:type="dxa"/>
          </w:tcPr>
          <w:p w14:paraId="774B3076" w14:textId="77777777" w:rsidR="00DA2302" w:rsidRPr="00286216" w:rsidRDefault="00DA2302" w:rsidP="00DA2302">
            <w:pPr>
              <w:pStyle w:val="StyleZakonu"/>
              <w:rPr>
                <w:color w:val="000000" w:themeColor="text1"/>
              </w:rPr>
            </w:pPr>
            <w:r w:rsidRPr="00286216">
              <w:rPr>
                <w:color w:val="000000" w:themeColor="text1"/>
              </w:rPr>
              <w:t>а) веде облік прав та зобов’язань учасників клірингу, їх клієнтів та контрагентів, центрального контрагента (якщо кліринг здійснюється за участю центрального контрагента)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та товарними операціями;</w:t>
            </w:r>
          </w:p>
        </w:tc>
        <w:tc>
          <w:tcPr>
            <w:tcW w:w="3686" w:type="dxa"/>
          </w:tcPr>
          <w:p w14:paraId="7D8E3F64" w14:textId="257E6914" w:rsidR="00DA2302" w:rsidRPr="00286216" w:rsidRDefault="00DA2302" w:rsidP="009A0754">
            <w:pPr>
              <w:pStyle w:val="StyleProp"/>
              <w:spacing w:line="180" w:lineRule="exact"/>
              <w:rPr>
                <w:color w:val="000000" w:themeColor="text1"/>
              </w:rPr>
            </w:pPr>
            <w:r w:rsidRPr="00286216">
              <w:rPr>
                <w:color w:val="000000" w:themeColor="text1"/>
              </w:rPr>
              <w:t xml:space="preserve">а) веде облік прав та зобов’язань учасників клірингу, їх клієнтів та контрагентів, власних прав та зобов’язань (у разі якщо особа провадить клірингову діяльність центрального контрагента) за </w:t>
            </w:r>
            <w:r w:rsidR="00B6568A" w:rsidRPr="00286216">
              <w:rPr>
                <w:color w:val="000000" w:themeColor="text1"/>
              </w:rPr>
              <w:t xml:space="preserve">укладеними на організованому ринку та поза ним </w:t>
            </w:r>
            <w:r w:rsidRPr="00286216">
              <w:rPr>
                <w:color w:val="000000" w:themeColor="text1"/>
              </w:rPr>
              <w:t>деривативними контрактами, правочинами щодо фінансових інструментів, щодо валютних цінностей та товарними операціями;</w:t>
            </w:r>
          </w:p>
          <w:p w14:paraId="5522E274" w14:textId="77777777" w:rsidR="00DA2302" w:rsidRPr="00286216" w:rsidRDefault="00DA2302" w:rsidP="009A0754">
            <w:pPr>
              <w:pStyle w:val="StyleProp"/>
              <w:spacing w:line="180" w:lineRule="exact"/>
              <w:rPr>
                <w:color w:val="000000" w:themeColor="text1"/>
              </w:rPr>
            </w:pPr>
            <w:r w:rsidRPr="00286216">
              <w:rPr>
                <w:color w:val="000000" w:themeColor="text1"/>
              </w:rPr>
              <w:t>б) веде облік інформації про кошти, цінні папери, інші фінансові інструменти та інші активи, що внесені для здійснення розрахунків або організації проведення розрахунків за контрактами та правочинами, зазначеними в підпункті «а» цього пункту;</w:t>
            </w:r>
          </w:p>
          <w:p w14:paraId="3656512F" w14:textId="77777777" w:rsidR="00DA2302" w:rsidRPr="00286216" w:rsidRDefault="00DA2302" w:rsidP="009A0754">
            <w:pPr>
              <w:pStyle w:val="StyleProp"/>
              <w:spacing w:line="180" w:lineRule="exact"/>
              <w:rPr>
                <w:color w:val="000000" w:themeColor="text1"/>
              </w:rPr>
            </w:pPr>
            <w:r w:rsidRPr="00286216">
              <w:rPr>
                <w:color w:val="000000" w:themeColor="text1"/>
              </w:rPr>
              <w:t>в) веде облік внесків учасників клірингу до гарантійного та інших фондів, пов’язаних із здійсненням клірингу;</w:t>
            </w:r>
          </w:p>
          <w:p w14:paraId="28755822" w14:textId="77777777" w:rsidR="00DA2302" w:rsidRPr="00286216" w:rsidRDefault="00DA2302" w:rsidP="009A0754">
            <w:pPr>
              <w:pStyle w:val="StyleProp"/>
              <w:spacing w:line="180" w:lineRule="exact"/>
              <w:rPr>
                <w:color w:val="000000" w:themeColor="text1"/>
              </w:rPr>
            </w:pPr>
            <w:r w:rsidRPr="00286216">
              <w:rPr>
                <w:color w:val="000000" w:themeColor="text1"/>
              </w:rPr>
              <w:t>г) здійснює розрахунки або організовує проведення розрахунків за контрактами та правочинами, зазначеними в підпункті «а» цього пункту;</w:t>
            </w:r>
          </w:p>
          <w:p w14:paraId="38C2E4F2" w14:textId="77777777" w:rsidR="00DA2302" w:rsidRPr="00286216" w:rsidRDefault="00DA2302" w:rsidP="009A0754">
            <w:pPr>
              <w:pStyle w:val="StyleProp"/>
              <w:spacing w:line="180" w:lineRule="exact"/>
              <w:rPr>
                <w:color w:val="000000" w:themeColor="text1"/>
                <w:szCs w:val="18"/>
              </w:rPr>
            </w:pPr>
            <w:r w:rsidRPr="00286216">
              <w:rPr>
                <w:color w:val="000000" w:themeColor="text1"/>
              </w:rPr>
              <w:t>ґ) веде облік іншої інформації, визначеної Національною комісією з цінних паперів та фондового ринку».</w:t>
            </w:r>
          </w:p>
        </w:tc>
        <w:tc>
          <w:tcPr>
            <w:tcW w:w="1987" w:type="dxa"/>
          </w:tcPr>
          <w:p w14:paraId="27D5F487" w14:textId="77777777" w:rsidR="00DA2302" w:rsidRPr="00286216" w:rsidRDefault="00DA2302" w:rsidP="00DA2302">
            <w:pPr>
              <w:pStyle w:val="StyleWisnow"/>
              <w:rPr>
                <w:color w:val="000000" w:themeColor="text1"/>
              </w:rPr>
            </w:pPr>
          </w:p>
        </w:tc>
        <w:tc>
          <w:tcPr>
            <w:tcW w:w="4818" w:type="dxa"/>
          </w:tcPr>
          <w:p w14:paraId="2477285E" w14:textId="5583EAA2" w:rsidR="00DA2302" w:rsidRPr="00286216" w:rsidRDefault="00DA2302" w:rsidP="00B6568A">
            <w:pPr>
              <w:pStyle w:val="StyleZakonu"/>
              <w:rPr>
                <w:color w:val="000000" w:themeColor="text1"/>
              </w:rPr>
            </w:pPr>
            <w:r w:rsidRPr="00286216">
              <w:rPr>
                <w:color w:val="000000" w:themeColor="text1"/>
              </w:rPr>
              <w:t>а) веде облік прав та зобов’язань учасників клірингу, їх</w:t>
            </w:r>
            <w:r w:rsidR="00275AAE" w:rsidRPr="00286216">
              <w:rPr>
                <w:color w:val="000000" w:themeColor="text1"/>
              </w:rPr>
              <w:t>ніх</w:t>
            </w:r>
            <w:r w:rsidRPr="00286216">
              <w:rPr>
                <w:color w:val="000000" w:themeColor="text1"/>
              </w:rPr>
              <w:t xml:space="preserve"> клієнтів та контрагентів, власних прав та зобов’язань (у разі якщо особа провадить клірингову діяльність центрального контрагента) за </w:t>
            </w:r>
            <w:r w:rsidR="00B6568A" w:rsidRPr="00286216">
              <w:rPr>
                <w:color w:val="000000" w:themeColor="text1"/>
              </w:rPr>
              <w:t xml:space="preserve">укладеними на організованому ринку та поза ним </w:t>
            </w:r>
            <w:r w:rsidRPr="00286216">
              <w:rPr>
                <w:color w:val="000000" w:themeColor="text1"/>
              </w:rPr>
              <w:t>деривативними контрактами, правочинами щодо фінансових інструментів, валютних цінностей та товарними операціями;</w:t>
            </w:r>
          </w:p>
        </w:tc>
      </w:tr>
      <w:bookmarkEnd w:id="30"/>
      <w:tr w:rsidR="00F77E8D" w:rsidRPr="00286216" w14:paraId="4BFED32F" w14:textId="77777777" w:rsidTr="00091AA5">
        <w:tc>
          <w:tcPr>
            <w:tcW w:w="576" w:type="dxa"/>
          </w:tcPr>
          <w:p w14:paraId="602274EA" w14:textId="77777777" w:rsidR="00DA2302" w:rsidRPr="00286216" w:rsidRDefault="00DA2302" w:rsidP="00DA2302">
            <w:pPr>
              <w:pStyle w:val="StyleWisnow"/>
              <w:rPr>
                <w:color w:val="000000" w:themeColor="text1"/>
              </w:rPr>
            </w:pPr>
          </w:p>
        </w:tc>
        <w:tc>
          <w:tcPr>
            <w:tcW w:w="4818" w:type="dxa"/>
          </w:tcPr>
          <w:p w14:paraId="24EC2C38" w14:textId="77777777" w:rsidR="00DA2302" w:rsidRPr="00286216" w:rsidRDefault="00DA2302" w:rsidP="00DA2302">
            <w:pPr>
              <w:pStyle w:val="StyleZakonu"/>
              <w:rPr>
                <w:color w:val="000000" w:themeColor="text1"/>
              </w:rPr>
            </w:pPr>
          </w:p>
        </w:tc>
        <w:tc>
          <w:tcPr>
            <w:tcW w:w="3686" w:type="dxa"/>
          </w:tcPr>
          <w:p w14:paraId="136939D0" w14:textId="6F88AA03"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6DB8F65" w14:textId="77777777" w:rsidR="00DA2302" w:rsidRPr="00286216" w:rsidRDefault="00DA2302" w:rsidP="00DA2302">
            <w:pPr>
              <w:pStyle w:val="StyleProp"/>
              <w:spacing w:line="180" w:lineRule="exact"/>
              <w:rPr>
                <w:color w:val="000000" w:themeColor="text1"/>
                <w:spacing w:val="-6"/>
                <w:szCs w:val="18"/>
              </w:rPr>
            </w:pPr>
            <w:r w:rsidRPr="00286216">
              <w:rPr>
                <w:color w:val="000000" w:themeColor="text1"/>
                <w:spacing w:val="-6"/>
                <w:szCs w:val="18"/>
              </w:rPr>
              <w:t>П.п."а" п.13 ч.1 ст.2 викласти в такій редакції:</w:t>
            </w:r>
          </w:p>
          <w:p w14:paraId="7018DD52" w14:textId="77777777" w:rsidR="00DA2302" w:rsidRPr="00286216" w:rsidRDefault="00DA2302" w:rsidP="00DA2302">
            <w:pPr>
              <w:pStyle w:val="StyleProp"/>
              <w:spacing w:line="180" w:lineRule="exact"/>
              <w:rPr>
                <w:color w:val="000000" w:themeColor="text1"/>
                <w:szCs w:val="18"/>
              </w:rPr>
            </w:pPr>
            <w:r w:rsidRPr="00286216">
              <w:rPr>
                <w:color w:val="000000" w:themeColor="text1"/>
                <w:szCs w:val="18"/>
              </w:rPr>
              <w:t>«а) веде облік прав та зобов’язань учасників клірингу, їх клієнтів та контрагентів, власних прав та зобов’язань (у разі якщо особа провадить клірингову діяльність центрального контрагента) за правочинами щодо активів, допущених до торгів на організованому ринку, та товарними операціями;».</w:t>
            </w:r>
          </w:p>
          <w:p w14:paraId="04EF8582" w14:textId="3991EA60" w:rsidR="00DA2302" w:rsidRPr="00286216" w:rsidRDefault="00DA2302" w:rsidP="00DA2302">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43</w:t>
            </w:r>
            <w:r w:rsidRPr="00286216">
              <w:rPr>
                <w:color w:val="000000" w:themeColor="text1"/>
              </w:rPr>
              <w:fldChar w:fldCharType="end"/>
            </w:r>
            <w:r w:rsidRPr="00286216">
              <w:rPr>
                <w:color w:val="000000" w:themeColor="text1"/>
              </w:rPr>
              <w:t>-Н.д.Шахов С.В. (Реєстр.картка №114)</w:t>
            </w:r>
          </w:p>
          <w:p w14:paraId="73E1834C" w14:textId="77777777" w:rsidR="00DA2302" w:rsidRPr="00286216" w:rsidRDefault="00DA2302" w:rsidP="00DA2302">
            <w:pPr>
              <w:pStyle w:val="StyleProp"/>
              <w:rPr>
                <w:color w:val="000000" w:themeColor="text1"/>
                <w:spacing w:val="-4"/>
              </w:rPr>
            </w:pPr>
            <w:r w:rsidRPr="00286216">
              <w:rPr>
                <w:color w:val="000000" w:themeColor="text1"/>
                <w:spacing w:val="-4"/>
              </w:rPr>
              <w:t>у пункті 13 п.п. "а" викласти у такій редакції:</w:t>
            </w:r>
          </w:p>
          <w:p w14:paraId="2D76E7DB" w14:textId="77777777" w:rsidR="00DA2302" w:rsidRPr="00286216" w:rsidRDefault="00DA2302" w:rsidP="00DA2302">
            <w:pPr>
              <w:pStyle w:val="StyleProp"/>
              <w:spacing w:line="180" w:lineRule="exact"/>
              <w:rPr>
                <w:color w:val="000000" w:themeColor="text1"/>
                <w:szCs w:val="18"/>
              </w:rPr>
            </w:pPr>
            <w:r w:rsidRPr="00286216">
              <w:rPr>
                <w:color w:val="000000" w:themeColor="text1"/>
              </w:rPr>
              <w:t xml:space="preserve"> «</w:t>
            </w:r>
            <w:r w:rsidRPr="00286216">
              <w:rPr>
                <w:color w:val="000000" w:themeColor="text1"/>
                <w:spacing w:val="-2"/>
              </w:rPr>
              <w:t xml:space="preserve">а) веде облік прав та зобов’язань </w:t>
            </w:r>
            <w:r w:rsidRPr="00286216">
              <w:rPr>
                <w:color w:val="000000" w:themeColor="text1"/>
                <w:spacing w:val="-4"/>
              </w:rPr>
              <w:t>учасників клірингу, їх клієнтів та контрагентів,</w:t>
            </w:r>
            <w:r w:rsidRPr="00286216">
              <w:rPr>
                <w:color w:val="000000" w:themeColor="text1"/>
              </w:rPr>
              <w:t xml:space="preserve"> </w:t>
            </w:r>
            <w:r w:rsidRPr="00286216">
              <w:rPr>
                <w:color w:val="000000" w:themeColor="text1"/>
              </w:rPr>
              <w:lastRenderedPageBreak/>
              <w:t>центрального контрагента (якщо кліринг здійснюється за участю центрального контрагента) за деривативними контрактами та правочинами щодо інших фінансових інструментів, а також за правочинами щодо інших активів, що допущені до торгів на організованому ринку;».</w:t>
            </w:r>
          </w:p>
        </w:tc>
        <w:tc>
          <w:tcPr>
            <w:tcW w:w="1987" w:type="dxa"/>
          </w:tcPr>
          <w:p w14:paraId="150A2398" w14:textId="271B1492" w:rsidR="00DA2302" w:rsidRPr="00286216" w:rsidRDefault="00DA2302" w:rsidP="00DA2302">
            <w:pPr>
              <w:pStyle w:val="StyleWisnow"/>
              <w:spacing w:line="180" w:lineRule="exact"/>
              <w:rPr>
                <w:color w:val="000000" w:themeColor="text1"/>
              </w:rPr>
            </w:pPr>
            <w:r w:rsidRPr="00286216">
              <w:rPr>
                <w:color w:val="000000" w:themeColor="text1"/>
              </w:rPr>
              <w:lastRenderedPageBreak/>
              <w:t xml:space="preserve">Враховано частково </w:t>
            </w:r>
            <w:r w:rsidRPr="00286216">
              <w:rPr>
                <w:color w:val="000000" w:themeColor="text1"/>
              </w:rPr>
              <w:br/>
              <w:t xml:space="preserve">у </w:t>
            </w:r>
            <w:r w:rsidR="00817365" w:rsidRPr="00286216">
              <w:rPr>
                <w:color w:val="000000" w:themeColor="text1"/>
              </w:rPr>
              <w:t xml:space="preserve">запропонованій </w:t>
            </w:r>
            <w:r w:rsidRPr="00286216">
              <w:rPr>
                <w:color w:val="000000" w:themeColor="text1"/>
              </w:rPr>
              <w:t xml:space="preserve">редакції </w:t>
            </w:r>
          </w:p>
          <w:p w14:paraId="41043225" w14:textId="77777777" w:rsidR="00DA2302" w:rsidRPr="00286216" w:rsidRDefault="00DA2302" w:rsidP="00DA2302">
            <w:pPr>
              <w:pStyle w:val="StyleWisnow"/>
              <w:spacing w:line="180" w:lineRule="exact"/>
              <w:rPr>
                <w:color w:val="000000" w:themeColor="text1"/>
              </w:rPr>
            </w:pPr>
          </w:p>
          <w:p w14:paraId="59048A8F" w14:textId="77777777" w:rsidR="00DA2302" w:rsidRPr="00286216" w:rsidRDefault="00DA2302" w:rsidP="00DA2302">
            <w:pPr>
              <w:pStyle w:val="StyleWisnow"/>
              <w:spacing w:line="180" w:lineRule="exact"/>
              <w:rPr>
                <w:color w:val="000000" w:themeColor="text1"/>
              </w:rPr>
            </w:pPr>
          </w:p>
          <w:p w14:paraId="1E4476FA" w14:textId="3137CE25" w:rsidR="00DA2302" w:rsidRPr="00286216" w:rsidRDefault="00DA2302" w:rsidP="00DA2302">
            <w:pPr>
              <w:pStyle w:val="StyleWisnow"/>
              <w:spacing w:line="180" w:lineRule="exact"/>
              <w:rPr>
                <w:color w:val="000000" w:themeColor="text1"/>
              </w:rPr>
            </w:pPr>
          </w:p>
          <w:p w14:paraId="44EC245A" w14:textId="509DE562" w:rsidR="00817365" w:rsidRPr="00286216" w:rsidRDefault="00817365" w:rsidP="00DA2302">
            <w:pPr>
              <w:pStyle w:val="StyleWisnow"/>
              <w:spacing w:line="180" w:lineRule="exact"/>
              <w:rPr>
                <w:color w:val="000000" w:themeColor="text1"/>
              </w:rPr>
            </w:pPr>
          </w:p>
          <w:p w14:paraId="5475D0D8" w14:textId="77777777" w:rsidR="00817365" w:rsidRPr="00286216" w:rsidRDefault="00817365" w:rsidP="00DA2302">
            <w:pPr>
              <w:pStyle w:val="StyleWisnow"/>
              <w:spacing w:line="180" w:lineRule="exact"/>
              <w:rPr>
                <w:color w:val="000000" w:themeColor="text1"/>
              </w:rPr>
            </w:pPr>
          </w:p>
          <w:p w14:paraId="4395254B" w14:textId="77777777" w:rsidR="00DA2302" w:rsidRPr="00286216" w:rsidRDefault="00DA2302" w:rsidP="00DA2302">
            <w:pPr>
              <w:pStyle w:val="StyleWisnow"/>
              <w:spacing w:line="180" w:lineRule="exact"/>
              <w:rPr>
                <w:color w:val="000000" w:themeColor="text1"/>
              </w:rPr>
            </w:pPr>
          </w:p>
          <w:p w14:paraId="4BC48B3B" w14:textId="543E7F93" w:rsidR="00DA2302" w:rsidRPr="00286216" w:rsidRDefault="00DA2302" w:rsidP="00DA2302">
            <w:pPr>
              <w:pStyle w:val="StyleWisnow"/>
              <w:spacing w:line="180" w:lineRule="exact"/>
              <w:rPr>
                <w:color w:val="000000" w:themeColor="text1"/>
              </w:rPr>
            </w:pPr>
          </w:p>
          <w:p w14:paraId="4E1E403B" w14:textId="77777777" w:rsidR="00DA2302" w:rsidRPr="00286216" w:rsidRDefault="00DA2302" w:rsidP="00DA2302">
            <w:pPr>
              <w:pStyle w:val="StyleWisnow"/>
              <w:spacing w:line="180" w:lineRule="exact"/>
              <w:rPr>
                <w:color w:val="000000" w:themeColor="text1"/>
              </w:rPr>
            </w:pPr>
          </w:p>
          <w:p w14:paraId="17FC3C8C" w14:textId="28350F19" w:rsidR="00DA2302" w:rsidRPr="00286216" w:rsidRDefault="00DA2302" w:rsidP="00DA2302">
            <w:pPr>
              <w:pStyle w:val="StyleWisnow"/>
              <w:spacing w:line="180" w:lineRule="exact"/>
              <w:rPr>
                <w:color w:val="000000" w:themeColor="text1"/>
              </w:rPr>
            </w:pPr>
            <w:r w:rsidRPr="00286216">
              <w:rPr>
                <w:color w:val="000000" w:themeColor="text1"/>
              </w:rPr>
              <w:t xml:space="preserve">Враховано частково </w:t>
            </w:r>
            <w:r w:rsidRPr="00286216">
              <w:rPr>
                <w:color w:val="000000" w:themeColor="text1"/>
              </w:rPr>
              <w:br/>
              <w:t xml:space="preserve">у </w:t>
            </w:r>
            <w:r w:rsidR="00817365" w:rsidRPr="00286216">
              <w:rPr>
                <w:color w:val="000000" w:themeColor="text1"/>
              </w:rPr>
              <w:t xml:space="preserve">запропонованій </w:t>
            </w:r>
            <w:r w:rsidRPr="00286216">
              <w:rPr>
                <w:color w:val="000000" w:themeColor="text1"/>
              </w:rPr>
              <w:t xml:space="preserve">редакції </w:t>
            </w:r>
          </w:p>
        </w:tc>
        <w:tc>
          <w:tcPr>
            <w:tcW w:w="4818" w:type="dxa"/>
          </w:tcPr>
          <w:p w14:paraId="42AB984E" w14:textId="77777777" w:rsidR="00DA2302" w:rsidRPr="00286216" w:rsidRDefault="00DA2302" w:rsidP="00DA2302">
            <w:pPr>
              <w:pStyle w:val="StyleProp"/>
              <w:rPr>
                <w:color w:val="000000" w:themeColor="text1"/>
              </w:rPr>
            </w:pPr>
          </w:p>
        </w:tc>
      </w:tr>
      <w:tr w:rsidR="00F77E8D" w:rsidRPr="00286216" w14:paraId="42B63F50" w14:textId="77777777" w:rsidTr="00091AA5">
        <w:tc>
          <w:tcPr>
            <w:tcW w:w="576" w:type="dxa"/>
          </w:tcPr>
          <w:p w14:paraId="09F88CAB" w14:textId="77777777" w:rsidR="00DA2302" w:rsidRPr="00286216" w:rsidRDefault="00DA2302" w:rsidP="00DA2302">
            <w:pPr>
              <w:pStyle w:val="StyleWisnow"/>
              <w:rPr>
                <w:color w:val="000000" w:themeColor="text1"/>
              </w:rPr>
            </w:pPr>
            <w:bookmarkStart w:id="31" w:name="n31" w:colFirst="0" w:colLast="0"/>
            <w:r w:rsidRPr="00286216">
              <w:rPr>
                <w:color w:val="000000" w:themeColor="text1"/>
              </w:rPr>
              <w:t>31.</w:t>
            </w:r>
          </w:p>
        </w:tc>
        <w:tc>
          <w:tcPr>
            <w:tcW w:w="4818" w:type="dxa"/>
          </w:tcPr>
          <w:p w14:paraId="1F392064" w14:textId="77777777" w:rsidR="00DA2302" w:rsidRPr="00286216" w:rsidRDefault="00DA2302" w:rsidP="00DA2302">
            <w:pPr>
              <w:pStyle w:val="StyleZakonu"/>
              <w:rPr>
                <w:color w:val="000000" w:themeColor="text1"/>
              </w:rPr>
            </w:pPr>
            <w:r w:rsidRPr="00286216">
              <w:rPr>
                <w:color w:val="000000" w:themeColor="text1"/>
              </w:rPr>
              <w:t>б) веде облік інформації про кошти, цінні папери та інші фінансові інструменти, що внесені для виконання цих правочинів;</w:t>
            </w:r>
          </w:p>
        </w:tc>
        <w:tc>
          <w:tcPr>
            <w:tcW w:w="3686" w:type="dxa"/>
          </w:tcPr>
          <w:p w14:paraId="6D9C4C81" w14:textId="02C35E98"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02FE933" w14:textId="77777777" w:rsidR="00DA2302" w:rsidRPr="00286216" w:rsidRDefault="00DA2302" w:rsidP="00E71C29">
            <w:pPr>
              <w:pStyle w:val="StyleProp"/>
              <w:spacing w:line="180" w:lineRule="exact"/>
              <w:rPr>
                <w:color w:val="000000" w:themeColor="text1"/>
                <w:szCs w:val="18"/>
              </w:rPr>
            </w:pPr>
            <w:r w:rsidRPr="00286216">
              <w:rPr>
                <w:color w:val="000000" w:themeColor="text1"/>
                <w:szCs w:val="18"/>
              </w:rPr>
              <w:t>Підпункт «б» пункту 13 частини 1 статті 2 після слів «інструменти, що внесені» доповнити словами «на її рахунки»</w:t>
            </w:r>
          </w:p>
        </w:tc>
        <w:tc>
          <w:tcPr>
            <w:tcW w:w="1987" w:type="dxa"/>
          </w:tcPr>
          <w:p w14:paraId="69121893" w14:textId="77777777" w:rsidR="00DA2302" w:rsidRPr="00286216" w:rsidRDefault="00DA2302" w:rsidP="00DA2302">
            <w:pPr>
              <w:pStyle w:val="StyleWisnow"/>
              <w:rPr>
                <w:color w:val="000000" w:themeColor="text1"/>
              </w:rPr>
            </w:pPr>
            <w:r w:rsidRPr="00286216">
              <w:rPr>
                <w:color w:val="000000" w:themeColor="text1"/>
              </w:rPr>
              <w:t>Враховано редакційно</w:t>
            </w:r>
          </w:p>
        </w:tc>
        <w:tc>
          <w:tcPr>
            <w:tcW w:w="4818" w:type="dxa"/>
          </w:tcPr>
          <w:p w14:paraId="6AB5276C" w14:textId="750825E2" w:rsidR="00DA2302" w:rsidRPr="00286216" w:rsidRDefault="00DA2302" w:rsidP="00DA2302">
            <w:pPr>
              <w:pStyle w:val="StyleZakonu"/>
              <w:rPr>
                <w:color w:val="000000" w:themeColor="text1"/>
              </w:rPr>
            </w:pPr>
            <w:r w:rsidRPr="00286216">
              <w:rPr>
                <w:color w:val="000000" w:themeColor="text1"/>
              </w:rPr>
              <w:t>б) веде облік інформації про кошти, цінні папери, інші фінансові інструменти та інші активи, що внесені для здійснення розрахунків або організації проведення розрахунків за контрактами та правочинами, зазначеними в підпункті «а» цього пункту;</w:t>
            </w:r>
          </w:p>
        </w:tc>
      </w:tr>
      <w:tr w:rsidR="00F77E8D" w:rsidRPr="00286216" w14:paraId="1CA3A26F" w14:textId="77777777" w:rsidTr="00091AA5">
        <w:tc>
          <w:tcPr>
            <w:tcW w:w="576" w:type="dxa"/>
          </w:tcPr>
          <w:p w14:paraId="64A7BB2C" w14:textId="77777777" w:rsidR="00DA2302" w:rsidRPr="00286216" w:rsidRDefault="00DA2302" w:rsidP="00DA2302">
            <w:pPr>
              <w:pStyle w:val="StyleWisnow"/>
              <w:rPr>
                <w:color w:val="000000" w:themeColor="text1"/>
              </w:rPr>
            </w:pPr>
            <w:bookmarkStart w:id="32" w:name="n32" w:colFirst="0" w:colLast="0"/>
            <w:bookmarkEnd w:id="31"/>
            <w:r w:rsidRPr="00286216">
              <w:rPr>
                <w:color w:val="000000" w:themeColor="text1"/>
              </w:rPr>
              <w:t>32.</w:t>
            </w:r>
          </w:p>
        </w:tc>
        <w:tc>
          <w:tcPr>
            <w:tcW w:w="4818" w:type="dxa"/>
          </w:tcPr>
          <w:p w14:paraId="11C48265" w14:textId="77777777" w:rsidR="00DA2302" w:rsidRPr="00286216" w:rsidRDefault="00DA2302" w:rsidP="00DA2302">
            <w:pPr>
              <w:pStyle w:val="StyleZakonu"/>
              <w:rPr>
                <w:color w:val="000000" w:themeColor="text1"/>
              </w:rPr>
            </w:pPr>
            <w:r w:rsidRPr="00286216">
              <w:rPr>
                <w:color w:val="000000" w:themeColor="text1"/>
              </w:rPr>
              <w:t>в) веде облік внесків учасників клірингу до гарантійного та інших фондів;</w:t>
            </w:r>
          </w:p>
        </w:tc>
        <w:tc>
          <w:tcPr>
            <w:tcW w:w="3686" w:type="dxa"/>
          </w:tcPr>
          <w:p w14:paraId="3ACB1663" w14:textId="4710E5E5"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C26A890" w14:textId="77777777" w:rsidR="00DA2302" w:rsidRPr="00286216" w:rsidRDefault="00DA2302" w:rsidP="00DA2302">
            <w:pPr>
              <w:pStyle w:val="StyleProp"/>
              <w:rPr>
                <w:color w:val="000000" w:themeColor="text1"/>
                <w:szCs w:val="18"/>
              </w:rPr>
            </w:pPr>
            <w:r w:rsidRPr="00286216">
              <w:rPr>
                <w:color w:val="000000" w:themeColor="text1"/>
                <w:szCs w:val="18"/>
              </w:rPr>
              <w:t>Підпункт «в» пункту 13 частини 1 статті 2 доповнити словами «пов’язаних із здійсненням клірингу»</w:t>
            </w:r>
          </w:p>
        </w:tc>
        <w:tc>
          <w:tcPr>
            <w:tcW w:w="1987" w:type="dxa"/>
          </w:tcPr>
          <w:p w14:paraId="121D5290"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09F52546" w14:textId="77777777" w:rsidR="00DA2302" w:rsidRPr="00286216" w:rsidRDefault="00DA2302" w:rsidP="00DA2302">
            <w:pPr>
              <w:pStyle w:val="StyleZakonu"/>
              <w:rPr>
                <w:color w:val="000000" w:themeColor="text1"/>
              </w:rPr>
            </w:pPr>
            <w:r w:rsidRPr="00286216">
              <w:rPr>
                <w:color w:val="000000" w:themeColor="text1"/>
              </w:rPr>
              <w:t xml:space="preserve">в) веде облік внесків учасників клірингу до гарантійного та інших фондів, </w:t>
            </w:r>
            <w:r w:rsidRPr="00286216">
              <w:rPr>
                <w:color w:val="000000" w:themeColor="text1"/>
                <w:szCs w:val="18"/>
              </w:rPr>
              <w:t>пов’язаних із здійсненням клірингу</w:t>
            </w:r>
            <w:r w:rsidRPr="00286216">
              <w:rPr>
                <w:color w:val="000000" w:themeColor="text1"/>
              </w:rPr>
              <w:t>;</w:t>
            </w:r>
          </w:p>
        </w:tc>
      </w:tr>
      <w:tr w:rsidR="00F77E8D" w:rsidRPr="00286216" w14:paraId="1566077E" w14:textId="77777777" w:rsidTr="00091AA5">
        <w:tc>
          <w:tcPr>
            <w:tcW w:w="576" w:type="dxa"/>
          </w:tcPr>
          <w:p w14:paraId="4C9B320C" w14:textId="77777777" w:rsidR="00DA2302" w:rsidRPr="00286216" w:rsidRDefault="00DA2302" w:rsidP="00DA2302">
            <w:pPr>
              <w:pStyle w:val="StyleWisnow"/>
              <w:rPr>
                <w:color w:val="000000" w:themeColor="text1"/>
              </w:rPr>
            </w:pPr>
            <w:bookmarkStart w:id="33" w:name="n33" w:colFirst="0" w:colLast="0"/>
            <w:bookmarkEnd w:id="32"/>
            <w:r w:rsidRPr="00286216">
              <w:rPr>
                <w:color w:val="000000" w:themeColor="text1"/>
              </w:rPr>
              <w:t>33.</w:t>
            </w:r>
          </w:p>
        </w:tc>
        <w:tc>
          <w:tcPr>
            <w:tcW w:w="4818" w:type="dxa"/>
          </w:tcPr>
          <w:p w14:paraId="78DBD943" w14:textId="77777777" w:rsidR="00DA2302" w:rsidRPr="00286216" w:rsidRDefault="00DA2302" w:rsidP="00DA2302">
            <w:pPr>
              <w:pStyle w:val="StyleZakonu"/>
              <w:rPr>
                <w:color w:val="000000" w:themeColor="text1"/>
              </w:rPr>
            </w:pPr>
            <w:r w:rsidRPr="00286216">
              <w:rPr>
                <w:color w:val="000000" w:themeColor="text1"/>
              </w:rPr>
              <w:t>г) організовує проведення розрахунків за деривативними контрактами та правочинами щодо інших фінансових інструментів, валютних цінностей, а також за товарними операціями;</w:t>
            </w:r>
          </w:p>
        </w:tc>
        <w:tc>
          <w:tcPr>
            <w:tcW w:w="3686" w:type="dxa"/>
          </w:tcPr>
          <w:p w14:paraId="252AD68D" w14:textId="1D8B1DB3"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775B8C2" w14:textId="77777777" w:rsidR="00DA2302" w:rsidRPr="00286216" w:rsidRDefault="00DA2302" w:rsidP="00DA2302">
            <w:pPr>
              <w:pStyle w:val="StyleProp"/>
              <w:rPr>
                <w:color w:val="000000" w:themeColor="text1"/>
                <w:spacing w:val="-3"/>
                <w:szCs w:val="18"/>
              </w:rPr>
            </w:pPr>
            <w:r w:rsidRPr="00286216">
              <w:rPr>
                <w:color w:val="000000" w:themeColor="text1"/>
                <w:spacing w:val="-3"/>
                <w:szCs w:val="18"/>
              </w:rPr>
              <w:t>У підпункті «г» пункту 13 частини 1 статті 2 слова "деривативними контрактами та правочинами щодо інших фінансових інструментів, валютних цінностей" замінити словами "правочинами щодо активів, допущених до торгів на організованому ринку"</w:t>
            </w:r>
          </w:p>
        </w:tc>
        <w:tc>
          <w:tcPr>
            <w:tcW w:w="1987" w:type="dxa"/>
          </w:tcPr>
          <w:p w14:paraId="7A3DED00" w14:textId="77777777" w:rsidR="00DA2302" w:rsidRPr="00286216" w:rsidRDefault="00DA2302" w:rsidP="009A0754">
            <w:pPr>
              <w:pStyle w:val="StyleWisnow"/>
              <w:spacing w:line="180" w:lineRule="exact"/>
              <w:rPr>
                <w:color w:val="000000" w:themeColor="text1"/>
              </w:rPr>
            </w:pPr>
            <w:r w:rsidRPr="00286216">
              <w:rPr>
                <w:color w:val="000000" w:themeColor="text1"/>
              </w:rPr>
              <w:t>Враховано частково</w:t>
            </w:r>
          </w:p>
          <w:p w14:paraId="34BA0306" w14:textId="77777777" w:rsidR="00DA2302" w:rsidRPr="00286216" w:rsidRDefault="00DA2302" w:rsidP="009A0754">
            <w:pPr>
              <w:pStyle w:val="StyleWisnow"/>
              <w:spacing w:line="180" w:lineRule="exact"/>
              <w:rPr>
                <w:color w:val="000000" w:themeColor="text1"/>
              </w:rPr>
            </w:pPr>
            <w:r w:rsidRPr="00286216">
              <w:rPr>
                <w:color w:val="000000" w:themeColor="text1"/>
              </w:rPr>
              <w:t>у редакції, запропонованій Комітетом</w:t>
            </w:r>
          </w:p>
        </w:tc>
        <w:tc>
          <w:tcPr>
            <w:tcW w:w="4818" w:type="dxa"/>
          </w:tcPr>
          <w:p w14:paraId="5F12D7EB" w14:textId="02170409" w:rsidR="00DA2302" w:rsidRPr="00286216" w:rsidRDefault="00DA2302" w:rsidP="004C5530">
            <w:pPr>
              <w:pStyle w:val="StyleZakonu"/>
              <w:spacing w:after="0"/>
              <w:rPr>
                <w:color w:val="000000" w:themeColor="text1"/>
              </w:rPr>
            </w:pPr>
            <w:r w:rsidRPr="00286216">
              <w:rPr>
                <w:color w:val="000000" w:themeColor="text1"/>
              </w:rPr>
              <w:t xml:space="preserve">г) здійснює розрахунки </w:t>
            </w:r>
            <w:r w:rsidR="002619D4" w:rsidRPr="00286216">
              <w:rPr>
                <w:color w:val="000000" w:themeColor="text1"/>
              </w:rPr>
              <w:t>та/</w:t>
            </w:r>
            <w:r w:rsidRPr="00286216">
              <w:rPr>
                <w:color w:val="000000" w:themeColor="text1"/>
              </w:rPr>
              <w:t>або організовує проведення розрахунків за контрактами та правочинами, зазначеними в підпункті «а» цього пункту;</w:t>
            </w:r>
          </w:p>
          <w:p w14:paraId="70F22AEF" w14:textId="785E2B6D" w:rsidR="00DA2302" w:rsidRPr="00286216" w:rsidRDefault="00DA2302" w:rsidP="00B6568A">
            <w:pPr>
              <w:pStyle w:val="StyleZakonu"/>
              <w:rPr>
                <w:color w:val="000000" w:themeColor="text1"/>
              </w:rPr>
            </w:pPr>
            <w:r w:rsidRPr="00286216">
              <w:rPr>
                <w:color w:val="000000" w:themeColor="text1"/>
              </w:rPr>
              <w:t>ґ) веде облік іншої інформації, визначеної Національною комісією з цінних паперів та фондового ринку</w:t>
            </w:r>
            <w:r w:rsidR="00EB7CA8" w:rsidRPr="00286216">
              <w:rPr>
                <w:color w:val="000000" w:themeColor="text1"/>
              </w:rPr>
              <w:t>;</w:t>
            </w:r>
          </w:p>
        </w:tc>
      </w:tr>
      <w:tr w:rsidR="00F77E8D" w:rsidRPr="00286216" w14:paraId="61D37BE2" w14:textId="77777777" w:rsidTr="00091AA5">
        <w:tc>
          <w:tcPr>
            <w:tcW w:w="576" w:type="dxa"/>
          </w:tcPr>
          <w:p w14:paraId="063A1936" w14:textId="77777777" w:rsidR="00DA2302" w:rsidRPr="00286216" w:rsidRDefault="00DA2302" w:rsidP="00DA2302">
            <w:pPr>
              <w:pStyle w:val="StyleWisnow"/>
              <w:rPr>
                <w:color w:val="000000" w:themeColor="text1"/>
              </w:rPr>
            </w:pPr>
            <w:bookmarkStart w:id="34" w:name="n34" w:colFirst="0" w:colLast="0"/>
            <w:bookmarkEnd w:id="33"/>
            <w:r w:rsidRPr="00286216">
              <w:rPr>
                <w:color w:val="000000" w:themeColor="text1"/>
              </w:rPr>
              <w:t>34.</w:t>
            </w:r>
          </w:p>
        </w:tc>
        <w:tc>
          <w:tcPr>
            <w:tcW w:w="4818" w:type="dxa"/>
          </w:tcPr>
          <w:p w14:paraId="7DE5D513" w14:textId="77777777" w:rsidR="00DA2302" w:rsidRPr="00286216" w:rsidRDefault="00DA2302" w:rsidP="00DA2302">
            <w:pPr>
              <w:pStyle w:val="StyleZakonu"/>
              <w:rPr>
                <w:color w:val="000000" w:themeColor="text1"/>
              </w:rPr>
            </w:pPr>
            <w:r w:rsidRPr="00286216">
              <w:rPr>
                <w:color w:val="000000" w:themeColor="text1"/>
              </w:rPr>
              <w:t>14) генеральна угода - договір, який визначає загальні умови та порядок укладення та виконання деривативних контрактів чи правочинів щодо інших фінансових інструментів чи валютних цінностей, або договорів репо, або товарних операцій між їх сторонами;</w:t>
            </w:r>
          </w:p>
        </w:tc>
        <w:tc>
          <w:tcPr>
            <w:tcW w:w="3686" w:type="dxa"/>
          </w:tcPr>
          <w:p w14:paraId="752C3D66" w14:textId="61C3055C" w:rsidR="00B753C0" w:rsidRPr="00286216" w:rsidRDefault="00B753C0" w:rsidP="00B753C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D3C69DE" w14:textId="77777777" w:rsidR="00B753C0" w:rsidRPr="00286216" w:rsidRDefault="00B753C0" w:rsidP="00E71C29">
            <w:pPr>
              <w:pStyle w:val="StyleProp"/>
              <w:spacing w:line="180" w:lineRule="exact"/>
              <w:rPr>
                <w:color w:val="000000" w:themeColor="text1"/>
              </w:rPr>
            </w:pPr>
            <w:r w:rsidRPr="00286216">
              <w:rPr>
                <w:color w:val="000000" w:themeColor="text1"/>
              </w:rPr>
              <w:t>Пункт 14 статті 2 викласти у такій редакції:</w:t>
            </w:r>
          </w:p>
          <w:p w14:paraId="51B62E35" w14:textId="6002E545" w:rsidR="00B753C0" w:rsidRPr="00286216" w:rsidRDefault="00B753C0" w:rsidP="00E71C29">
            <w:pPr>
              <w:pStyle w:val="StyleProp"/>
              <w:spacing w:line="180" w:lineRule="exact"/>
              <w:rPr>
                <w:color w:val="000000" w:themeColor="text1"/>
              </w:rPr>
            </w:pPr>
            <w:r w:rsidRPr="00286216">
              <w:rPr>
                <w:color w:val="000000" w:themeColor="text1"/>
              </w:rPr>
              <w:t>«14) генеральна угода – договір, який визначає загальні умови та порядок укладення та виконання деривативних контрактів або правочинів щодо фінансових інструментів, або правочинів щодо валютних цінностей, або договорів репо, або товарних операцій</w:t>
            </w:r>
            <w:r w:rsidR="00324050" w:rsidRPr="00286216">
              <w:rPr>
                <w:color w:val="000000" w:themeColor="text1"/>
              </w:rPr>
              <w:t>,</w:t>
            </w:r>
            <w:r w:rsidRPr="00286216">
              <w:rPr>
                <w:color w:val="000000" w:themeColor="text1"/>
              </w:rPr>
              <w:t xml:space="preserve"> </w:t>
            </w:r>
            <w:r w:rsidR="00324050" w:rsidRPr="00286216">
              <w:rPr>
                <w:color w:val="000000" w:themeColor="text1"/>
              </w:rPr>
              <w:t>укладених на підставі таких договорів.</w:t>
            </w:r>
            <w:r w:rsidRPr="00286216">
              <w:rPr>
                <w:color w:val="000000" w:themeColor="text1"/>
              </w:rPr>
              <w:t>».</w:t>
            </w:r>
          </w:p>
          <w:p w14:paraId="551788CF" w14:textId="611EF07E"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2E85A13" w14:textId="77777777" w:rsidR="00DA2302" w:rsidRPr="00286216" w:rsidRDefault="00DA2302" w:rsidP="00E71C29">
            <w:pPr>
              <w:pStyle w:val="StyleProp"/>
              <w:spacing w:line="180" w:lineRule="exact"/>
              <w:rPr>
                <w:color w:val="000000" w:themeColor="text1"/>
                <w:szCs w:val="18"/>
              </w:rPr>
            </w:pPr>
            <w:r w:rsidRPr="00286216">
              <w:rPr>
                <w:color w:val="000000" w:themeColor="text1"/>
                <w:szCs w:val="18"/>
              </w:rPr>
              <w:t>У статті 2 в частині 1 пункт 14 доповнити новим реченням такого змісту: «Вимоги до генеральної угоди встановлюються Національною комісією з цінних паперів та фондового ринку, а для генеральної угоди, що укладається банками – за погодженням з Національним банком України;»</w:t>
            </w:r>
          </w:p>
        </w:tc>
        <w:tc>
          <w:tcPr>
            <w:tcW w:w="1987" w:type="dxa"/>
          </w:tcPr>
          <w:p w14:paraId="26D43B75" w14:textId="0C25C802" w:rsidR="00DA2302" w:rsidRPr="00286216" w:rsidRDefault="00DA2302" w:rsidP="00DA2302">
            <w:pPr>
              <w:pStyle w:val="StyleWisnow"/>
              <w:rPr>
                <w:color w:val="000000" w:themeColor="text1"/>
              </w:rPr>
            </w:pPr>
            <w:r w:rsidRPr="00286216">
              <w:rPr>
                <w:color w:val="000000" w:themeColor="text1"/>
              </w:rPr>
              <w:t>Враховано по суті</w:t>
            </w:r>
          </w:p>
          <w:p w14:paraId="36F9C5F5" w14:textId="59E1FBCB" w:rsidR="00DA2302" w:rsidRPr="00286216" w:rsidRDefault="00DA2302" w:rsidP="00AF3C2A">
            <w:pPr>
              <w:pStyle w:val="StyleWisnow"/>
              <w:rPr>
                <w:color w:val="000000" w:themeColor="text1"/>
              </w:rPr>
            </w:pPr>
            <w:r w:rsidRPr="00286216">
              <w:rPr>
                <w:color w:val="000000" w:themeColor="text1"/>
              </w:rPr>
              <w:t xml:space="preserve">у редакції частини пʼятої статті </w:t>
            </w:r>
            <w:r w:rsidR="00AF3C2A" w:rsidRPr="00286216">
              <w:rPr>
                <w:color w:val="000000" w:themeColor="text1"/>
              </w:rPr>
              <w:t>34</w:t>
            </w:r>
          </w:p>
        </w:tc>
        <w:tc>
          <w:tcPr>
            <w:tcW w:w="4818" w:type="dxa"/>
          </w:tcPr>
          <w:p w14:paraId="272C194E" w14:textId="17544B23" w:rsidR="00DA2302" w:rsidRPr="00286216" w:rsidRDefault="00EB7CA8" w:rsidP="005F0A24">
            <w:pPr>
              <w:pStyle w:val="StyleZakonu"/>
              <w:rPr>
                <w:color w:val="000000" w:themeColor="text1"/>
              </w:rPr>
            </w:pPr>
            <w:r w:rsidRPr="00286216">
              <w:rPr>
                <w:color w:val="000000" w:themeColor="text1"/>
              </w:rPr>
              <w:t>12</w:t>
            </w:r>
            <w:r w:rsidR="00B753C0" w:rsidRPr="00286216">
              <w:rPr>
                <w:color w:val="000000" w:themeColor="text1"/>
              </w:rPr>
              <w:t xml:space="preserve">) генеральна угода – договір, </w:t>
            </w:r>
            <w:r w:rsidR="00275AAE" w:rsidRPr="00286216">
              <w:rPr>
                <w:color w:val="000000" w:themeColor="text1"/>
              </w:rPr>
              <w:t xml:space="preserve">що </w:t>
            </w:r>
            <w:r w:rsidR="00B753C0" w:rsidRPr="00286216">
              <w:rPr>
                <w:color w:val="000000" w:themeColor="text1"/>
              </w:rPr>
              <w:t xml:space="preserve"> визначає загальні умови та порядок уклад</w:t>
            </w:r>
            <w:r w:rsidR="00275AAE" w:rsidRPr="00286216">
              <w:rPr>
                <w:color w:val="000000" w:themeColor="text1"/>
              </w:rPr>
              <w:t>а</w:t>
            </w:r>
            <w:r w:rsidR="00B753C0" w:rsidRPr="00286216">
              <w:rPr>
                <w:color w:val="000000" w:themeColor="text1"/>
              </w:rPr>
              <w:t>ння та виконання деривативних контрактів або правочинів щодо фінансових інструментів, або правочинів щодо валютних цінностей, або договорів репо, або товарних операцій</w:t>
            </w:r>
            <w:r w:rsidR="005F0A24" w:rsidRPr="00286216">
              <w:rPr>
                <w:color w:val="000000" w:themeColor="text1"/>
              </w:rPr>
              <w:t>,</w:t>
            </w:r>
            <w:r w:rsidR="00324050" w:rsidRPr="00286216">
              <w:rPr>
                <w:color w:val="000000" w:themeColor="text1"/>
              </w:rPr>
              <w:t xml:space="preserve"> укладених на підставі такого договору</w:t>
            </w:r>
            <w:r w:rsidRPr="00286216">
              <w:rPr>
                <w:color w:val="000000" w:themeColor="text1"/>
              </w:rPr>
              <w:t>;</w:t>
            </w:r>
          </w:p>
        </w:tc>
      </w:tr>
      <w:bookmarkEnd w:id="34"/>
      <w:tr w:rsidR="00F77E8D" w:rsidRPr="00286216" w14:paraId="792A0CF2" w14:textId="77777777" w:rsidTr="00091AA5">
        <w:tc>
          <w:tcPr>
            <w:tcW w:w="576" w:type="dxa"/>
          </w:tcPr>
          <w:p w14:paraId="09446FF0" w14:textId="77777777" w:rsidR="00DA2302" w:rsidRPr="00286216" w:rsidRDefault="00DA2302" w:rsidP="00DA2302">
            <w:pPr>
              <w:pStyle w:val="StyleWisnow"/>
              <w:rPr>
                <w:color w:val="000000" w:themeColor="text1"/>
              </w:rPr>
            </w:pPr>
          </w:p>
        </w:tc>
        <w:tc>
          <w:tcPr>
            <w:tcW w:w="4818" w:type="dxa"/>
          </w:tcPr>
          <w:p w14:paraId="2186EDB5" w14:textId="77777777" w:rsidR="00DA2302" w:rsidRPr="00286216" w:rsidRDefault="00DA2302" w:rsidP="00DA2302">
            <w:pPr>
              <w:pStyle w:val="StyleZakonu"/>
              <w:rPr>
                <w:color w:val="000000" w:themeColor="text1"/>
              </w:rPr>
            </w:pPr>
          </w:p>
        </w:tc>
        <w:tc>
          <w:tcPr>
            <w:tcW w:w="3686" w:type="dxa"/>
          </w:tcPr>
          <w:p w14:paraId="5059EFFA" w14:textId="1126E554" w:rsidR="00DA2302" w:rsidRPr="00286216" w:rsidRDefault="00DA2302" w:rsidP="00DA2302">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5581EA4" w14:textId="77777777" w:rsidR="00DA2302" w:rsidRPr="00286216" w:rsidRDefault="00DA2302" w:rsidP="00F13F22">
            <w:pPr>
              <w:pStyle w:val="StyleProp"/>
              <w:spacing w:line="180" w:lineRule="exact"/>
              <w:rPr>
                <w:color w:val="000000" w:themeColor="text1"/>
              </w:rPr>
            </w:pPr>
            <w:r w:rsidRPr="00286216">
              <w:rPr>
                <w:color w:val="000000" w:themeColor="text1"/>
              </w:rPr>
              <w:t>Доповнити частину 1 статті 2 новим пунктом такого змісту:</w:t>
            </w:r>
          </w:p>
          <w:p w14:paraId="409C44BB" w14:textId="77777777" w:rsidR="00DA2302" w:rsidRPr="00286216" w:rsidRDefault="00DA2302" w:rsidP="00F13F22">
            <w:pPr>
              <w:pStyle w:val="StyleProp"/>
              <w:spacing w:line="180" w:lineRule="exact"/>
              <w:rPr>
                <w:color w:val="000000" w:themeColor="text1"/>
              </w:rPr>
            </w:pPr>
            <w:r w:rsidRPr="00286216">
              <w:rPr>
                <w:color w:val="000000" w:themeColor="text1"/>
              </w:rPr>
              <w:t>«14-1) деривативні фінансові інструменти – деривативні цінні папери та деривативні контракти.»</w:t>
            </w:r>
          </w:p>
        </w:tc>
        <w:tc>
          <w:tcPr>
            <w:tcW w:w="1987" w:type="dxa"/>
          </w:tcPr>
          <w:p w14:paraId="46059AE4"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6013F850" w14:textId="68D7DE63" w:rsidR="00DA2302" w:rsidRPr="00286216" w:rsidRDefault="00EB7CA8" w:rsidP="00EB7CA8">
            <w:pPr>
              <w:pStyle w:val="StyleZakonu"/>
              <w:rPr>
                <w:color w:val="000000" w:themeColor="text1"/>
              </w:rPr>
            </w:pPr>
            <w:r w:rsidRPr="00286216">
              <w:rPr>
                <w:color w:val="000000" w:themeColor="text1"/>
              </w:rPr>
              <w:t>13</w:t>
            </w:r>
            <w:r w:rsidR="00DA2302" w:rsidRPr="00286216">
              <w:rPr>
                <w:color w:val="000000" w:themeColor="text1"/>
              </w:rPr>
              <w:t>) деривативні фінансові інструменти – деривативні цінні папери та деривативні контракти;</w:t>
            </w:r>
          </w:p>
        </w:tc>
      </w:tr>
      <w:tr w:rsidR="00F77E8D" w:rsidRPr="00286216" w14:paraId="1026D0D6" w14:textId="77777777" w:rsidTr="00091AA5">
        <w:tc>
          <w:tcPr>
            <w:tcW w:w="576" w:type="dxa"/>
          </w:tcPr>
          <w:p w14:paraId="5D3F91BB" w14:textId="77777777" w:rsidR="00DA2302" w:rsidRPr="00286216" w:rsidRDefault="00DA2302" w:rsidP="00DA2302">
            <w:pPr>
              <w:pStyle w:val="StyleWisnow"/>
              <w:rPr>
                <w:color w:val="000000" w:themeColor="text1"/>
              </w:rPr>
            </w:pPr>
            <w:bookmarkStart w:id="35" w:name="n35" w:colFirst="0" w:colLast="0"/>
            <w:r w:rsidRPr="00286216">
              <w:rPr>
                <w:color w:val="000000" w:themeColor="text1"/>
              </w:rPr>
              <w:t>35.</w:t>
            </w:r>
          </w:p>
        </w:tc>
        <w:tc>
          <w:tcPr>
            <w:tcW w:w="4818" w:type="dxa"/>
          </w:tcPr>
          <w:p w14:paraId="6AC68979" w14:textId="77777777" w:rsidR="00DA2302" w:rsidRPr="00286216" w:rsidRDefault="00DA2302" w:rsidP="00DA2302">
            <w:pPr>
              <w:pStyle w:val="StyleZakonu"/>
              <w:rPr>
                <w:color w:val="000000" w:themeColor="text1"/>
              </w:rPr>
            </w:pPr>
            <w:r w:rsidRPr="00286216">
              <w:rPr>
                <w:color w:val="000000" w:themeColor="text1"/>
              </w:rPr>
              <w:t xml:space="preserve">15) державні цінні папери - державні облігації </w:t>
            </w:r>
            <w:r w:rsidRPr="00286216">
              <w:rPr>
                <w:color w:val="000000" w:themeColor="text1"/>
              </w:rPr>
              <w:lastRenderedPageBreak/>
              <w:t>України, казначейські зобов’язання України, державні деривативи;</w:t>
            </w:r>
          </w:p>
        </w:tc>
        <w:tc>
          <w:tcPr>
            <w:tcW w:w="3686" w:type="dxa"/>
          </w:tcPr>
          <w:p w14:paraId="5D94DF4A" w14:textId="3C94224D" w:rsidR="00DA2302" w:rsidRPr="00286216" w:rsidRDefault="00DA2302" w:rsidP="00DA2302">
            <w:pPr>
              <w:pStyle w:val="StyleAwt"/>
              <w:rPr>
                <w:color w:val="000000" w:themeColor="text1"/>
                <w:spacing w:val="-10"/>
              </w:rPr>
            </w:pPr>
            <w:r w:rsidRPr="00286216">
              <w:rPr>
                <w:color w:val="000000" w:themeColor="text1"/>
                <w:spacing w:val="-10"/>
              </w:rPr>
              <w:lastRenderedPageBreak/>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50</w:t>
            </w:r>
            <w:r w:rsidRPr="00286216">
              <w:rPr>
                <w:color w:val="000000" w:themeColor="text1"/>
                <w:spacing w:val="-10"/>
              </w:rPr>
              <w:fldChar w:fldCharType="end"/>
            </w:r>
            <w:r w:rsidRPr="00286216">
              <w:rPr>
                <w:color w:val="000000" w:themeColor="text1"/>
                <w:spacing w:val="-10"/>
              </w:rPr>
              <w:t>-Н.д.Гетманцев Д.О.(Реєстр.картка №245)</w:t>
            </w:r>
          </w:p>
          <w:p w14:paraId="33470F4C" w14:textId="77777777" w:rsidR="00DA2302" w:rsidRPr="00286216" w:rsidRDefault="00DA2302" w:rsidP="00DA2302">
            <w:pPr>
              <w:pStyle w:val="StyleProp"/>
              <w:spacing w:line="180" w:lineRule="exact"/>
              <w:rPr>
                <w:color w:val="000000" w:themeColor="text1"/>
                <w:spacing w:val="-3"/>
                <w:sz w:val="20"/>
              </w:rPr>
            </w:pPr>
            <w:r w:rsidRPr="00286216">
              <w:rPr>
                <w:color w:val="000000" w:themeColor="text1"/>
                <w:spacing w:val="-3"/>
              </w:rPr>
              <w:t xml:space="preserve">пункт 15 частини 1 статті 2 після слів </w:t>
            </w:r>
            <w:r w:rsidRPr="00286216">
              <w:rPr>
                <w:color w:val="000000" w:themeColor="text1"/>
                <w:spacing w:val="-4"/>
              </w:rPr>
              <w:lastRenderedPageBreak/>
              <w:t>"казначейські зобов’язання України" доповнити</w:t>
            </w:r>
            <w:r w:rsidRPr="00286216">
              <w:rPr>
                <w:color w:val="000000" w:themeColor="text1"/>
                <w:spacing w:val="-3"/>
              </w:rPr>
              <w:t xml:space="preserve"> словами "фінансові казначейські векселі".</w:t>
            </w:r>
          </w:p>
        </w:tc>
        <w:tc>
          <w:tcPr>
            <w:tcW w:w="1987" w:type="dxa"/>
          </w:tcPr>
          <w:p w14:paraId="4822A249" w14:textId="77777777" w:rsidR="00DA2302" w:rsidRPr="00286216" w:rsidRDefault="00DA2302" w:rsidP="00DA2302">
            <w:pPr>
              <w:pStyle w:val="StyleWisnow"/>
              <w:rPr>
                <w:color w:val="000000" w:themeColor="text1"/>
              </w:rPr>
            </w:pPr>
            <w:r w:rsidRPr="00286216">
              <w:rPr>
                <w:color w:val="000000" w:themeColor="text1"/>
              </w:rPr>
              <w:lastRenderedPageBreak/>
              <w:t>Враховано</w:t>
            </w:r>
          </w:p>
        </w:tc>
        <w:tc>
          <w:tcPr>
            <w:tcW w:w="4818" w:type="dxa"/>
          </w:tcPr>
          <w:p w14:paraId="73B8B5E4" w14:textId="330024AE" w:rsidR="00DA2302" w:rsidRPr="00286216" w:rsidRDefault="00EB7CA8" w:rsidP="00EB7CA8">
            <w:pPr>
              <w:pStyle w:val="StyleZakonu"/>
              <w:rPr>
                <w:color w:val="000000" w:themeColor="text1"/>
              </w:rPr>
            </w:pPr>
            <w:r w:rsidRPr="00286216">
              <w:rPr>
                <w:color w:val="000000" w:themeColor="text1"/>
              </w:rPr>
              <w:t>14</w:t>
            </w:r>
            <w:r w:rsidR="00DA2302" w:rsidRPr="00286216">
              <w:rPr>
                <w:color w:val="000000" w:themeColor="text1"/>
              </w:rPr>
              <w:t xml:space="preserve">) державні цінні папери - державні облігації </w:t>
            </w:r>
            <w:r w:rsidR="00DA2302" w:rsidRPr="00286216">
              <w:rPr>
                <w:color w:val="000000" w:themeColor="text1"/>
              </w:rPr>
              <w:lastRenderedPageBreak/>
              <w:t>України, казначейські зобов’язання України, фінансові казначейські векселі, державні деривативи;</w:t>
            </w:r>
          </w:p>
        </w:tc>
      </w:tr>
      <w:tr w:rsidR="00F77E8D" w:rsidRPr="00286216" w14:paraId="0CBDCEFB" w14:textId="77777777" w:rsidTr="00091AA5">
        <w:tc>
          <w:tcPr>
            <w:tcW w:w="576" w:type="dxa"/>
          </w:tcPr>
          <w:p w14:paraId="3C264F86" w14:textId="77777777" w:rsidR="00DA2302" w:rsidRPr="00286216" w:rsidRDefault="00DA2302" w:rsidP="00DA2302">
            <w:pPr>
              <w:pStyle w:val="StyleWisnow"/>
              <w:rPr>
                <w:color w:val="000000" w:themeColor="text1"/>
              </w:rPr>
            </w:pPr>
            <w:bookmarkStart w:id="36" w:name="n36" w:colFirst="0" w:colLast="0"/>
            <w:bookmarkEnd w:id="35"/>
            <w:r w:rsidRPr="00286216">
              <w:rPr>
                <w:color w:val="000000" w:themeColor="text1"/>
              </w:rPr>
              <w:lastRenderedPageBreak/>
              <w:t>36.</w:t>
            </w:r>
          </w:p>
        </w:tc>
        <w:tc>
          <w:tcPr>
            <w:tcW w:w="4818" w:type="dxa"/>
          </w:tcPr>
          <w:p w14:paraId="24C5A0D9" w14:textId="77777777" w:rsidR="00DA2302" w:rsidRPr="00286216" w:rsidRDefault="00DA2302" w:rsidP="00DA2302">
            <w:pPr>
              <w:pStyle w:val="StyleZakonu"/>
              <w:spacing w:line="210" w:lineRule="exact"/>
              <w:rPr>
                <w:color w:val="000000" w:themeColor="text1"/>
              </w:rPr>
            </w:pPr>
            <w:r w:rsidRPr="00286216">
              <w:rPr>
                <w:color w:val="000000" w:themeColor="text1"/>
              </w:rPr>
              <w:t>16) дефолт - одна або декілька обставин, визначених проспектом цінних паперів (рішення про емісію цінних паперів) відсоткових чи дисконтних корпоративних облігацій, облігацій внутрішніх місцевих позик, облігацій міжнародних фінансових організацій або іпотечних облігацій, які становлять порушення обов’язків емітента або особи, яка надає забезпечення за облігаціями, або завдають шкоди правам та/або інтересам власників облігацій, та за настання яких власники облігацій набувають права, визначені цим Законом, іншими актами законодавства та/або проспектом (рішенням про емісію) таких облігацій. У разі відсутності у проспекті цінних паперів (рішенні про емісію цінних паперів) зазначених обставин ними визнаються обставини, визначені цим Законом;</w:t>
            </w:r>
          </w:p>
        </w:tc>
        <w:tc>
          <w:tcPr>
            <w:tcW w:w="3686" w:type="dxa"/>
          </w:tcPr>
          <w:p w14:paraId="4CB85E27" w14:textId="5CA14C0D" w:rsidR="00DA2302" w:rsidRPr="00286216" w:rsidRDefault="00DA2302" w:rsidP="00DA23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800D648" w14:textId="77777777" w:rsidR="00DA2302" w:rsidRPr="00286216" w:rsidRDefault="00DA2302" w:rsidP="00DA2302">
            <w:pPr>
              <w:pStyle w:val="StyleProp"/>
              <w:spacing w:line="190" w:lineRule="exact"/>
              <w:rPr>
                <w:color w:val="000000" w:themeColor="text1"/>
                <w:szCs w:val="18"/>
              </w:rPr>
            </w:pPr>
            <w:r w:rsidRPr="00286216">
              <w:rPr>
                <w:color w:val="000000" w:themeColor="text1"/>
                <w:szCs w:val="18"/>
              </w:rPr>
              <w:t>У пункті 16 частини першої статті 2 слова «(рішення про емісію цінних паперів) відсоткових чи дисконтних корпоративних облігацій, облігацій внутрішніх місцевих позик, облігацій міжнародних фінансових організацій» замінити словами «(рішенням про емісію цінних паперів) звичайних облігацій (крім облігацій зовнішніх державних позик)».</w:t>
            </w:r>
          </w:p>
        </w:tc>
        <w:tc>
          <w:tcPr>
            <w:tcW w:w="1987" w:type="dxa"/>
          </w:tcPr>
          <w:p w14:paraId="33297960" w14:textId="77777777" w:rsidR="00DA2302" w:rsidRPr="00286216" w:rsidRDefault="00DA2302" w:rsidP="00DA2302">
            <w:pPr>
              <w:pStyle w:val="StyleWisnow"/>
              <w:rPr>
                <w:color w:val="000000" w:themeColor="text1"/>
              </w:rPr>
            </w:pPr>
            <w:r w:rsidRPr="00286216">
              <w:rPr>
                <w:color w:val="000000" w:themeColor="text1"/>
              </w:rPr>
              <w:t>Враховано</w:t>
            </w:r>
          </w:p>
        </w:tc>
        <w:tc>
          <w:tcPr>
            <w:tcW w:w="4818" w:type="dxa"/>
          </w:tcPr>
          <w:p w14:paraId="59221CF5" w14:textId="1BAB5DDE" w:rsidR="00DA2302" w:rsidRPr="00286216" w:rsidRDefault="00EB7CA8" w:rsidP="0028155C">
            <w:pPr>
              <w:pStyle w:val="StyleZakonu"/>
              <w:rPr>
                <w:color w:val="000000" w:themeColor="text1"/>
              </w:rPr>
            </w:pPr>
            <w:r w:rsidRPr="00286216">
              <w:rPr>
                <w:color w:val="000000" w:themeColor="text1"/>
              </w:rPr>
              <w:t>15</w:t>
            </w:r>
            <w:r w:rsidR="00DA2302" w:rsidRPr="00286216">
              <w:rPr>
                <w:color w:val="000000" w:themeColor="text1"/>
              </w:rPr>
              <w:t xml:space="preserve">) дефолт </w:t>
            </w:r>
            <w:r w:rsidR="00B60A7B" w:rsidRPr="00286216">
              <w:rPr>
                <w:color w:val="000000" w:themeColor="text1"/>
              </w:rPr>
              <w:t>–</w:t>
            </w:r>
            <w:r w:rsidR="00DA2302" w:rsidRPr="00286216">
              <w:rPr>
                <w:color w:val="000000" w:themeColor="text1"/>
              </w:rPr>
              <w:t xml:space="preserve"> одна або декілька обставин, визначених проспектом цінних паперів </w:t>
            </w:r>
            <w:r w:rsidR="00DA2302" w:rsidRPr="00286216">
              <w:rPr>
                <w:color w:val="000000" w:themeColor="text1"/>
                <w:szCs w:val="18"/>
              </w:rPr>
              <w:t>(рішенням про емісію цінних паперів) звичайних облігацій (крім облігацій зовнішніх державних позик)</w:t>
            </w:r>
            <w:r w:rsidR="00DA2302" w:rsidRPr="00286216">
              <w:rPr>
                <w:color w:val="000000" w:themeColor="text1"/>
              </w:rPr>
              <w:t xml:space="preserve"> або іпотечних облігацій, </w:t>
            </w:r>
            <w:r w:rsidR="00B60A7B" w:rsidRPr="00286216">
              <w:rPr>
                <w:color w:val="000000" w:themeColor="text1"/>
              </w:rPr>
              <w:t>що</w:t>
            </w:r>
            <w:r w:rsidR="00DA2302" w:rsidRPr="00286216">
              <w:rPr>
                <w:color w:val="000000" w:themeColor="text1"/>
              </w:rPr>
              <w:t xml:space="preserve"> становлять порушення обов’язків емітента або особи, яка надає забезпечення за облігаціями, або завдають шкоди правам та/або інтересам власників облігацій, та за настання яких власники облігацій набувають прав, визначен</w:t>
            </w:r>
            <w:r w:rsidR="0028155C" w:rsidRPr="00286216">
              <w:rPr>
                <w:color w:val="000000" w:themeColor="text1"/>
              </w:rPr>
              <w:t>их</w:t>
            </w:r>
            <w:r w:rsidR="00DA2302" w:rsidRPr="00286216">
              <w:rPr>
                <w:color w:val="000000" w:themeColor="text1"/>
              </w:rPr>
              <w:t xml:space="preserve"> цим Законом, іншими актами законодавства та/або проспектом (рішенням про емісію) таких облігацій. У разі відсутності у проспекті цінних паперів (рішенні про емісію цінних паперів) зазначених обставин </w:t>
            </w:r>
            <w:r w:rsidR="0028155C" w:rsidRPr="00286216">
              <w:rPr>
                <w:color w:val="000000" w:themeColor="text1"/>
              </w:rPr>
              <w:t>такими</w:t>
            </w:r>
            <w:r w:rsidR="00DA2302" w:rsidRPr="00286216">
              <w:rPr>
                <w:color w:val="000000" w:themeColor="text1"/>
              </w:rPr>
              <w:t xml:space="preserve"> визнаються обставини, визначені цим Законом;</w:t>
            </w:r>
          </w:p>
        </w:tc>
      </w:tr>
      <w:bookmarkEnd w:id="36"/>
      <w:tr w:rsidR="00F77E8D" w:rsidRPr="00286216" w14:paraId="0BD49FA7" w14:textId="77777777" w:rsidTr="00091AA5">
        <w:tc>
          <w:tcPr>
            <w:tcW w:w="576" w:type="dxa"/>
          </w:tcPr>
          <w:p w14:paraId="04850639" w14:textId="77777777" w:rsidR="006126F0" w:rsidRPr="00286216" w:rsidRDefault="006126F0" w:rsidP="006126F0">
            <w:pPr>
              <w:pStyle w:val="StyleWisnow"/>
              <w:rPr>
                <w:color w:val="000000" w:themeColor="text1"/>
              </w:rPr>
            </w:pPr>
          </w:p>
        </w:tc>
        <w:tc>
          <w:tcPr>
            <w:tcW w:w="4818" w:type="dxa"/>
          </w:tcPr>
          <w:p w14:paraId="7E4C7B2A" w14:textId="77777777" w:rsidR="006126F0" w:rsidRPr="00286216" w:rsidRDefault="006126F0" w:rsidP="006126F0">
            <w:pPr>
              <w:pStyle w:val="StyleZakonu"/>
              <w:rPr>
                <w:color w:val="000000" w:themeColor="text1"/>
              </w:rPr>
            </w:pPr>
          </w:p>
        </w:tc>
        <w:tc>
          <w:tcPr>
            <w:tcW w:w="3686" w:type="dxa"/>
          </w:tcPr>
          <w:p w14:paraId="32DECBFA" w14:textId="495CCA9B" w:rsidR="006126F0" w:rsidRPr="00286216" w:rsidRDefault="006126F0" w:rsidP="006126F0">
            <w:pPr>
              <w:pStyle w:val="StyleAwt"/>
              <w:rPr>
                <w:color w:val="000000" w:themeColor="text1"/>
                <w:spacing w:val="-6"/>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52</w:t>
            </w:r>
            <w:r w:rsidRPr="00286216">
              <w:rPr>
                <w:color w:val="000000" w:themeColor="text1"/>
                <w:spacing w:val="-6"/>
                <w:szCs w:val="18"/>
              </w:rPr>
              <w:fldChar w:fldCharType="end"/>
            </w:r>
            <w:r w:rsidRPr="00286216">
              <w:rPr>
                <w:color w:val="000000" w:themeColor="text1"/>
                <w:spacing w:val="-6"/>
                <w:szCs w:val="18"/>
              </w:rPr>
              <w:t>-</w:t>
            </w:r>
            <w:r w:rsidRPr="00286216">
              <w:rPr>
                <w:color w:val="000000" w:themeColor="text1"/>
                <w:spacing w:val="-6"/>
              </w:rPr>
              <w:t>Н.д.Бєлькова О.В. (Реєстр.картка №403)</w:t>
            </w:r>
          </w:p>
          <w:p w14:paraId="2843FCC7" w14:textId="77777777" w:rsidR="006126F0" w:rsidRPr="00286216" w:rsidRDefault="006126F0" w:rsidP="00BA7613">
            <w:pPr>
              <w:pStyle w:val="StyleProp"/>
              <w:spacing w:line="180" w:lineRule="exact"/>
              <w:rPr>
                <w:color w:val="000000" w:themeColor="text1"/>
              </w:rPr>
            </w:pPr>
            <w:r w:rsidRPr="00286216">
              <w:rPr>
                <w:color w:val="000000" w:themeColor="text1"/>
              </w:rPr>
              <w:t>Доповнити статтю 2 новим терміном такого змісту:</w:t>
            </w:r>
          </w:p>
          <w:p w14:paraId="571DFEE1" w14:textId="534538A8" w:rsidR="006126F0" w:rsidRPr="00286216" w:rsidRDefault="006126F0" w:rsidP="00BA7613">
            <w:pPr>
              <w:pStyle w:val="StyleProp"/>
              <w:spacing w:line="180" w:lineRule="exact"/>
              <w:rPr>
                <w:color w:val="000000" w:themeColor="text1"/>
              </w:rPr>
            </w:pPr>
            <w:r w:rsidRPr="00286216">
              <w:rPr>
                <w:color w:val="000000" w:themeColor="text1"/>
              </w:rPr>
              <w:t>"</w:t>
            </w:r>
            <w:r w:rsidRPr="00286216">
              <w:rPr>
                <w:color w:val="000000" w:themeColor="text1"/>
                <w:spacing w:val="-2"/>
              </w:rPr>
              <w:t>договір про заміну сторони деривативного контракту (далі – договір про заміну сторони) – договір про купівлю-продаж права вимоги за деривативним контрактом або інший договір, наслідком якого є заміна сторони деривативного контракту".</w:t>
            </w:r>
          </w:p>
        </w:tc>
        <w:tc>
          <w:tcPr>
            <w:tcW w:w="1987" w:type="dxa"/>
          </w:tcPr>
          <w:p w14:paraId="34C7EB0F" w14:textId="219B611F"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749178CF" w14:textId="2B6F503F" w:rsidR="006126F0" w:rsidRPr="00286216" w:rsidRDefault="006126F0" w:rsidP="008538C6">
            <w:pPr>
              <w:pStyle w:val="StyleZakonu"/>
              <w:rPr>
                <w:color w:val="000000" w:themeColor="text1"/>
              </w:rPr>
            </w:pPr>
            <w:r w:rsidRPr="00286216">
              <w:rPr>
                <w:color w:val="000000" w:themeColor="text1"/>
              </w:rPr>
              <w:t xml:space="preserve">16) </w:t>
            </w:r>
            <w:r w:rsidRPr="00286216">
              <w:rPr>
                <w:color w:val="000000" w:themeColor="text1"/>
                <w:spacing w:val="-2"/>
              </w:rPr>
              <w:t>договір про заміну сторони деривативного контракту (далі – договір про заміну сторони) – договір про купівлю-продаж права вимоги за деривативним контрактом або інший договір, наслідком якого є заміна сторони деривативного контракту</w:t>
            </w:r>
            <w:r w:rsidR="008538C6" w:rsidRPr="00286216">
              <w:rPr>
                <w:color w:val="000000" w:themeColor="text1"/>
                <w:spacing w:val="-2"/>
              </w:rPr>
              <w:t>;</w:t>
            </w:r>
          </w:p>
        </w:tc>
      </w:tr>
      <w:tr w:rsidR="00F77E8D" w:rsidRPr="00286216" w14:paraId="5F9E0357" w14:textId="77777777" w:rsidTr="00091AA5">
        <w:tc>
          <w:tcPr>
            <w:tcW w:w="576" w:type="dxa"/>
          </w:tcPr>
          <w:p w14:paraId="68BA1CD7" w14:textId="77777777" w:rsidR="006126F0" w:rsidRPr="00286216" w:rsidRDefault="006126F0" w:rsidP="006126F0">
            <w:pPr>
              <w:pStyle w:val="StyleWisnow"/>
              <w:rPr>
                <w:color w:val="000000" w:themeColor="text1"/>
              </w:rPr>
            </w:pPr>
            <w:bookmarkStart w:id="37" w:name="n37" w:colFirst="0" w:colLast="0"/>
            <w:r w:rsidRPr="00286216">
              <w:rPr>
                <w:color w:val="000000" w:themeColor="text1"/>
              </w:rPr>
              <w:t>37.</w:t>
            </w:r>
          </w:p>
        </w:tc>
        <w:tc>
          <w:tcPr>
            <w:tcW w:w="4818" w:type="dxa"/>
          </w:tcPr>
          <w:p w14:paraId="46F16402" w14:textId="77777777" w:rsidR="006126F0" w:rsidRPr="00286216" w:rsidRDefault="006126F0" w:rsidP="006126F0">
            <w:pPr>
              <w:pStyle w:val="StyleZakonu"/>
              <w:rPr>
                <w:color w:val="000000" w:themeColor="text1"/>
              </w:rPr>
            </w:pPr>
            <w:r w:rsidRPr="00286216">
              <w:rPr>
                <w:color w:val="000000" w:themeColor="text1"/>
              </w:rPr>
              <w:t>17) договір репо - договір купівлі-продажу та зворотного продажу-купівлі базового активу, у тому числі визначеного родовими ознаками;</w:t>
            </w:r>
          </w:p>
        </w:tc>
        <w:tc>
          <w:tcPr>
            <w:tcW w:w="3686" w:type="dxa"/>
          </w:tcPr>
          <w:p w14:paraId="35967CE4" w14:textId="26193F56"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941FA56" w14:textId="77777777" w:rsidR="006126F0" w:rsidRPr="00286216" w:rsidRDefault="006126F0" w:rsidP="006126F0">
            <w:pPr>
              <w:pStyle w:val="StyleProp"/>
              <w:spacing w:line="180" w:lineRule="exact"/>
              <w:rPr>
                <w:color w:val="000000" w:themeColor="text1"/>
              </w:rPr>
            </w:pPr>
            <w:r w:rsidRPr="00286216">
              <w:rPr>
                <w:color w:val="000000" w:themeColor="text1"/>
              </w:rPr>
              <w:t>Текст пункту 17 частини 1 статті 2 викласти в такій редакції:</w:t>
            </w:r>
          </w:p>
          <w:p w14:paraId="232DA856" w14:textId="77777777" w:rsidR="006126F0" w:rsidRPr="00286216" w:rsidRDefault="006126F0" w:rsidP="006126F0">
            <w:pPr>
              <w:pStyle w:val="StyleProp"/>
              <w:spacing w:line="180" w:lineRule="exact"/>
              <w:rPr>
                <w:color w:val="000000" w:themeColor="text1"/>
              </w:rPr>
            </w:pPr>
            <w:r w:rsidRPr="00286216">
              <w:rPr>
                <w:color w:val="000000" w:themeColor="text1"/>
              </w:rPr>
              <w:t>"договір репо – договір купівлі-продажу та зворотного продажу-купівлі, предметом якого є річ, визначена родовими ознаками".</w:t>
            </w:r>
          </w:p>
        </w:tc>
        <w:tc>
          <w:tcPr>
            <w:tcW w:w="1987" w:type="dxa"/>
          </w:tcPr>
          <w:p w14:paraId="299F9EB8"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6B98CA83" w14:textId="09DDD1C8" w:rsidR="006126F0" w:rsidRPr="00286216" w:rsidRDefault="006126F0" w:rsidP="006126F0">
            <w:pPr>
              <w:pStyle w:val="StyleZakonu"/>
              <w:rPr>
                <w:color w:val="000000" w:themeColor="text1"/>
              </w:rPr>
            </w:pPr>
            <w:r w:rsidRPr="00286216">
              <w:rPr>
                <w:color w:val="000000" w:themeColor="text1"/>
              </w:rPr>
              <w:t>17) договір репо – договір купівлі-продажу та зворотного продажу-купівлі, предметом якого є річ, визначена родовими ознаками;</w:t>
            </w:r>
          </w:p>
        </w:tc>
      </w:tr>
      <w:bookmarkEnd w:id="37"/>
      <w:tr w:rsidR="00F77E8D" w:rsidRPr="00286216" w14:paraId="1648D4AD" w14:textId="77777777" w:rsidTr="00091AA5">
        <w:tc>
          <w:tcPr>
            <w:tcW w:w="576" w:type="dxa"/>
          </w:tcPr>
          <w:p w14:paraId="4BF31545" w14:textId="77777777" w:rsidR="006126F0" w:rsidRPr="00286216" w:rsidRDefault="006126F0" w:rsidP="006126F0">
            <w:pPr>
              <w:pStyle w:val="StyleWisnow"/>
              <w:rPr>
                <w:color w:val="000000" w:themeColor="text1"/>
              </w:rPr>
            </w:pPr>
          </w:p>
        </w:tc>
        <w:tc>
          <w:tcPr>
            <w:tcW w:w="4818" w:type="dxa"/>
          </w:tcPr>
          <w:p w14:paraId="4783CAC9" w14:textId="77777777" w:rsidR="006126F0" w:rsidRPr="00286216" w:rsidRDefault="006126F0" w:rsidP="006126F0">
            <w:pPr>
              <w:pStyle w:val="StyleZakonu"/>
              <w:rPr>
                <w:color w:val="000000" w:themeColor="text1"/>
              </w:rPr>
            </w:pPr>
          </w:p>
        </w:tc>
        <w:tc>
          <w:tcPr>
            <w:tcW w:w="3686" w:type="dxa"/>
          </w:tcPr>
          <w:p w14:paraId="26076F3E" w14:textId="76CE9ABB" w:rsidR="006126F0" w:rsidRPr="00286216" w:rsidRDefault="006126F0" w:rsidP="006126F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w:t>
            </w:r>
            <w:r w:rsidRPr="00286216">
              <w:rPr>
                <w:color w:val="000000" w:themeColor="text1"/>
              </w:rPr>
              <w:fldChar w:fldCharType="end"/>
            </w:r>
            <w:r w:rsidRPr="00286216">
              <w:rPr>
                <w:color w:val="000000" w:themeColor="text1"/>
              </w:rPr>
              <w:t>-Н.д.Шахов С.В. (Реєстр.картка №114)</w:t>
            </w:r>
          </w:p>
          <w:p w14:paraId="0643586C" w14:textId="77777777" w:rsidR="006126F0" w:rsidRPr="00286216" w:rsidRDefault="006126F0" w:rsidP="006126F0">
            <w:pPr>
              <w:pStyle w:val="StyleProp"/>
              <w:spacing w:line="180" w:lineRule="exact"/>
              <w:rPr>
                <w:color w:val="000000" w:themeColor="text1"/>
              </w:rPr>
            </w:pPr>
            <w:r w:rsidRPr="00286216">
              <w:rPr>
                <w:color w:val="000000" w:themeColor="text1"/>
              </w:rPr>
              <w:t>у пункті 17 слова «базового активу, у тому числі визначеного родовими ознаками» замінити словами «цінних паперів».</w:t>
            </w:r>
          </w:p>
        </w:tc>
        <w:tc>
          <w:tcPr>
            <w:tcW w:w="1987" w:type="dxa"/>
          </w:tcPr>
          <w:p w14:paraId="60A3D1DE" w14:textId="77777777" w:rsidR="006126F0" w:rsidRPr="00286216" w:rsidRDefault="006126F0" w:rsidP="006126F0">
            <w:pPr>
              <w:pStyle w:val="StyleWisnow"/>
              <w:rPr>
                <w:color w:val="000000" w:themeColor="text1"/>
              </w:rPr>
            </w:pPr>
            <w:r w:rsidRPr="00286216">
              <w:rPr>
                <w:color w:val="000000" w:themeColor="text1"/>
              </w:rPr>
              <w:t>Враховано частково</w:t>
            </w:r>
          </w:p>
        </w:tc>
        <w:tc>
          <w:tcPr>
            <w:tcW w:w="4818" w:type="dxa"/>
          </w:tcPr>
          <w:p w14:paraId="07B7190E" w14:textId="77777777" w:rsidR="006126F0" w:rsidRPr="00286216" w:rsidRDefault="006126F0" w:rsidP="006126F0">
            <w:pPr>
              <w:pStyle w:val="StyleZakonu"/>
              <w:rPr>
                <w:color w:val="000000" w:themeColor="text1"/>
              </w:rPr>
            </w:pPr>
          </w:p>
        </w:tc>
      </w:tr>
      <w:tr w:rsidR="00F77E8D" w:rsidRPr="00286216" w14:paraId="5FBA010A" w14:textId="77777777" w:rsidTr="00091AA5">
        <w:tc>
          <w:tcPr>
            <w:tcW w:w="576" w:type="dxa"/>
          </w:tcPr>
          <w:p w14:paraId="0313B93C" w14:textId="77777777" w:rsidR="006126F0" w:rsidRPr="00286216" w:rsidRDefault="006126F0" w:rsidP="006126F0">
            <w:pPr>
              <w:pStyle w:val="StyleWisnow"/>
              <w:rPr>
                <w:color w:val="000000" w:themeColor="text1"/>
              </w:rPr>
            </w:pPr>
          </w:p>
        </w:tc>
        <w:tc>
          <w:tcPr>
            <w:tcW w:w="4818" w:type="dxa"/>
          </w:tcPr>
          <w:p w14:paraId="26B5D1BE" w14:textId="77777777" w:rsidR="006126F0" w:rsidRPr="00286216" w:rsidRDefault="006126F0" w:rsidP="006126F0">
            <w:pPr>
              <w:pStyle w:val="StyleZakonu"/>
              <w:rPr>
                <w:color w:val="000000" w:themeColor="text1"/>
              </w:rPr>
            </w:pPr>
          </w:p>
        </w:tc>
        <w:tc>
          <w:tcPr>
            <w:tcW w:w="3686" w:type="dxa"/>
          </w:tcPr>
          <w:p w14:paraId="283C408A" w14:textId="43FFFCE5" w:rsidR="006126F0" w:rsidRPr="00286216" w:rsidRDefault="006126F0" w:rsidP="006126F0">
            <w:pPr>
              <w:pStyle w:val="StyleAwt"/>
              <w:rPr>
                <w:color w:val="000000" w:themeColor="text1"/>
                <w:spacing w:val="-6"/>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55</w:t>
            </w:r>
            <w:r w:rsidRPr="00286216">
              <w:rPr>
                <w:color w:val="000000" w:themeColor="text1"/>
                <w:spacing w:val="-6"/>
                <w:szCs w:val="18"/>
              </w:rPr>
              <w:fldChar w:fldCharType="end"/>
            </w:r>
            <w:r w:rsidRPr="00286216">
              <w:rPr>
                <w:color w:val="000000" w:themeColor="text1"/>
                <w:spacing w:val="-6"/>
                <w:szCs w:val="18"/>
              </w:rPr>
              <w:t>-</w:t>
            </w:r>
            <w:r w:rsidRPr="00286216">
              <w:rPr>
                <w:color w:val="000000" w:themeColor="text1"/>
                <w:spacing w:val="-6"/>
              </w:rPr>
              <w:t>Н.д.Бєлькова О.В. (Реєстр.картка №403)</w:t>
            </w:r>
          </w:p>
          <w:p w14:paraId="2A84C8CC" w14:textId="77777777" w:rsidR="006126F0" w:rsidRPr="00286216" w:rsidRDefault="006126F0" w:rsidP="00BA7613">
            <w:pPr>
              <w:pStyle w:val="StyleProp"/>
              <w:spacing w:line="180" w:lineRule="exact"/>
              <w:rPr>
                <w:color w:val="000000" w:themeColor="text1"/>
              </w:rPr>
            </w:pPr>
            <w:r w:rsidRPr="00286216">
              <w:rPr>
                <w:color w:val="000000" w:themeColor="text1"/>
              </w:rPr>
              <w:t>Доповнити статтю 2 новим пунктом такого змісту:</w:t>
            </w:r>
          </w:p>
          <w:p w14:paraId="43180BB5" w14:textId="77777777" w:rsidR="006126F0" w:rsidRPr="00286216" w:rsidRDefault="006126F0" w:rsidP="00BA7613">
            <w:pPr>
              <w:pStyle w:val="StyleProp"/>
              <w:spacing w:line="180" w:lineRule="exact"/>
              <w:rPr>
                <w:color w:val="000000" w:themeColor="text1"/>
              </w:rPr>
            </w:pPr>
            <w:r w:rsidRPr="00286216">
              <w:rPr>
                <w:color w:val="000000" w:themeColor="text1"/>
              </w:rPr>
              <w:t>"ділова репутація - сукупність документально підтвердженої інформації про фізичну або юридичну особу, що дає можливість зробити висновок про відповідність її діяльності вимогам законодавства, діловій практиці та професійній етиці, а також відомості про порядність, професійні та управлінські здібності фізичної особи".</w:t>
            </w:r>
          </w:p>
        </w:tc>
        <w:tc>
          <w:tcPr>
            <w:tcW w:w="1987" w:type="dxa"/>
          </w:tcPr>
          <w:p w14:paraId="0C85F12E"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09821DB3" w14:textId="39610B81" w:rsidR="006126F0" w:rsidRPr="00286216" w:rsidRDefault="006126F0" w:rsidP="006126F0">
            <w:pPr>
              <w:pStyle w:val="StyleZakonu"/>
              <w:rPr>
                <w:color w:val="000000" w:themeColor="text1"/>
              </w:rPr>
            </w:pPr>
            <w:r w:rsidRPr="00286216">
              <w:rPr>
                <w:color w:val="000000" w:themeColor="text1"/>
              </w:rPr>
              <w:t>18) ділова репутація – сукупність документально підтвердженої інформації про фізичну або юридичну особу, що дає можливість зробити висновок про відповідність її діяльності вимогам законодавства, діловій практиці та професійній етиці, а також відомості про порядність, професійні та управлінські здібності фізичної особи;</w:t>
            </w:r>
          </w:p>
        </w:tc>
      </w:tr>
      <w:tr w:rsidR="00F77E8D" w:rsidRPr="00286216" w14:paraId="71ADC3B2" w14:textId="77777777" w:rsidTr="00091AA5">
        <w:tc>
          <w:tcPr>
            <w:tcW w:w="576" w:type="dxa"/>
          </w:tcPr>
          <w:p w14:paraId="7DC6D27E" w14:textId="77777777" w:rsidR="006126F0" w:rsidRPr="00286216" w:rsidRDefault="006126F0" w:rsidP="006126F0">
            <w:pPr>
              <w:pStyle w:val="StyleWisnow"/>
              <w:rPr>
                <w:color w:val="000000" w:themeColor="text1"/>
              </w:rPr>
            </w:pPr>
            <w:bookmarkStart w:id="38" w:name="n38" w:colFirst="0" w:colLast="0"/>
            <w:r w:rsidRPr="00286216">
              <w:rPr>
                <w:color w:val="000000" w:themeColor="text1"/>
              </w:rPr>
              <w:t>38.</w:t>
            </w:r>
          </w:p>
        </w:tc>
        <w:tc>
          <w:tcPr>
            <w:tcW w:w="4818" w:type="dxa"/>
          </w:tcPr>
          <w:p w14:paraId="4F862143" w14:textId="77777777" w:rsidR="006126F0" w:rsidRPr="00286216" w:rsidRDefault="006126F0" w:rsidP="006126F0">
            <w:pPr>
              <w:pStyle w:val="StyleZakonu"/>
              <w:rPr>
                <w:color w:val="000000" w:themeColor="text1"/>
              </w:rPr>
            </w:pPr>
            <w:r w:rsidRPr="00286216">
              <w:rPr>
                <w:color w:val="000000" w:themeColor="text1"/>
              </w:rPr>
              <w:t xml:space="preserve">18) збори власників облігацій - передбачена цим Законом форма організації власників облігацій з </w:t>
            </w:r>
            <w:r w:rsidRPr="00286216">
              <w:rPr>
                <w:color w:val="000000" w:themeColor="text1"/>
              </w:rPr>
              <w:lastRenderedPageBreak/>
              <w:t>метою захисту їх інтересів та ними рішень;</w:t>
            </w:r>
          </w:p>
        </w:tc>
        <w:tc>
          <w:tcPr>
            <w:tcW w:w="3686" w:type="dxa"/>
          </w:tcPr>
          <w:p w14:paraId="67B6D9FC" w14:textId="61703602" w:rsidR="006126F0" w:rsidRPr="00286216" w:rsidRDefault="006126F0" w:rsidP="006126F0">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CD57FCC" w14:textId="77777777" w:rsidR="006126F0" w:rsidRPr="00286216" w:rsidRDefault="006126F0" w:rsidP="006126F0">
            <w:pPr>
              <w:pStyle w:val="StyleProp"/>
              <w:spacing w:line="180" w:lineRule="exact"/>
              <w:rPr>
                <w:color w:val="000000" w:themeColor="text1"/>
                <w:spacing w:val="-3"/>
                <w:szCs w:val="18"/>
              </w:rPr>
            </w:pPr>
            <w:r w:rsidRPr="00286216">
              <w:rPr>
                <w:color w:val="000000" w:themeColor="text1"/>
                <w:spacing w:val="-3"/>
                <w:szCs w:val="18"/>
              </w:rPr>
              <w:t xml:space="preserve">У пункті 18 статті 2 слово "організації" </w:t>
            </w:r>
            <w:r w:rsidRPr="00286216">
              <w:rPr>
                <w:color w:val="000000" w:themeColor="text1"/>
                <w:spacing w:val="-3"/>
                <w:szCs w:val="18"/>
              </w:rPr>
              <w:lastRenderedPageBreak/>
              <w:t>замінити словом "об’єднання", після слів "їх інтересів та" доповнити словом "прийняття".</w:t>
            </w:r>
          </w:p>
        </w:tc>
        <w:tc>
          <w:tcPr>
            <w:tcW w:w="1987" w:type="dxa"/>
          </w:tcPr>
          <w:p w14:paraId="55949A7D" w14:textId="77777777" w:rsidR="006126F0" w:rsidRPr="00286216" w:rsidRDefault="006126F0" w:rsidP="006126F0">
            <w:pPr>
              <w:pStyle w:val="StyleWisnow"/>
              <w:rPr>
                <w:color w:val="000000" w:themeColor="text1"/>
              </w:rPr>
            </w:pPr>
            <w:r w:rsidRPr="00286216">
              <w:rPr>
                <w:color w:val="000000" w:themeColor="text1"/>
              </w:rPr>
              <w:lastRenderedPageBreak/>
              <w:t>Враховано</w:t>
            </w:r>
          </w:p>
        </w:tc>
        <w:tc>
          <w:tcPr>
            <w:tcW w:w="4818" w:type="dxa"/>
          </w:tcPr>
          <w:p w14:paraId="40F77E1C" w14:textId="7AD7503D" w:rsidR="006126F0" w:rsidRPr="00286216" w:rsidRDefault="006126F0" w:rsidP="006126F0">
            <w:pPr>
              <w:pStyle w:val="StyleZakonu"/>
              <w:rPr>
                <w:color w:val="000000" w:themeColor="text1"/>
              </w:rPr>
            </w:pPr>
            <w:r w:rsidRPr="00286216">
              <w:rPr>
                <w:color w:val="000000" w:themeColor="text1"/>
              </w:rPr>
              <w:t xml:space="preserve">19) збори власників облігацій - передбачена цим Законом форма </w:t>
            </w:r>
            <w:r w:rsidRPr="00286216">
              <w:rPr>
                <w:color w:val="000000" w:themeColor="text1"/>
                <w:szCs w:val="18"/>
              </w:rPr>
              <w:t>об’єднання</w:t>
            </w:r>
            <w:r w:rsidRPr="00286216">
              <w:rPr>
                <w:color w:val="000000" w:themeColor="text1"/>
              </w:rPr>
              <w:t xml:space="preserve"> власників облігацій з </w:t>
            </w:r>
            <w:r w:rsidRPr="00286216">
              <w:rPr>
                <w:color w:val="000000" w:themeColor="text1"/>
              </w:rPr>
              <w:lastRenderedPageBreak/>
              <w:t xml:space="preserve">метою захисту їхніх інтересів та </w:t>
            </w:r>
            <w:r w:rsidRPr="00286216">
              <w:rPr>
                <w:color w:val="000000" w:themeColor="text1"/>
                <w:spacing w:val="-3"/>
                <w:szCs w:val="18"/>
              </w:rPr>
              <w:t>прийняття</w:t>
            </w:r>
            <w:r w:rsidRPr="00286216">
              <w:rPr>
                <w:color w:val="000000" w:themeColor="text1"/>
              </w:rPr>
              <w:t xml:space="preserve"> ними рішень;</w:t>
            </w:r>
          </w:p>
        </w:tc>
      </w:tr>
      <w:bookmarkEnd w:id="38"/>
      <w:tr w:rsidR="00F77E8D" w:rsidRPr="00286216" w14:paraId="435EAD15" w14:textId="77777777" w:rsidTr="00091AA5">
        <w:tc>
          <w:tcPr>
            <w:tcW w:w="576" w:type="dxa"/>
          </w:tcPr>
          <w:p w14:paraId="32398777" w14:textId="77777777" w:rsidR="006126F0" w:rsidRPr="00286216" w:rsidRDefault="006126F0" w:rsidP="006126F0">
            <w:pPr>
              <w:pStyle w:val="StyleWisnow"/>
              <w:rPr>
                <w:color w:val="000000" w:themeColor="text1"/>
              </w:rPr>
            </w:pPr>
          </w:p>
        </w:tc>
        <w:tc>
          <w:tcPr>
            <w:tcW w:w="4818" w:type="dxa"/>
          </w:tcPr>
          <w:p w14:paraId="640EA730" w14:textId="77777777" w:rsidR="006126F0" w:rsidRPr="00286216" w:rsidRDefault="006126F0" w:rsidP="006126F0">
            <w:pPr>
              <w:pStyle w:val="StyleZakonu"/>
              <w:rPr>
                <w:color w:val="000000" w:themeColor="text1"/>
              </w:rPr>
            </w:pPr>
          </w:p>
        </w:tc>
        <w:tc>
          <w:tcPr>
            <w:tcW w:w="3686" w:type="dxa"/>
          </w:tcPr>
          <w:p w14:paraId="2130B6CE" w14:textId="084FF376"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57</w:t>
            </w:r>
            <w:r w:rsidRPr="00286216">
              <w:rPr>
                <w:color w:val="000000" w:themeColor="text1"/>
                <w:spacing w:val="-10"/>
              </w:rPr>
              <w:fldChar w:fldCharType="end"/>
            </w:r>
            <w:r w:rsidRPr="00286216">
              <w:rPr>
                <w:color w:val="000000" w:themeColor="text1"/>
                <w:spacing w:val="-10"/>
              </w:rPr>
              <w:t>-Н.д.Гетманцев Д.О.(Реєстр.картка №245)</w:t>
            </w:r>
          </w:p>
          <w:p w14:paraId="64E1B28F" w14:textId="77777777" w:rsidR="006126F0" w:rsidRPr="00286216" w:rsidRDefault="006126F0" w:rsidP="006126F0">
            <w:pPr>
              <w:pStyle w:val="StyleProp"/>
              <w:rPr>
                <w:color w:val="000000" w:themeColor="text1"/>
              </w:rPr>
            </w:pPr>
            <w:r w:rsidRPr="00286216">
              <w:rPr>
                <w:color w:val="000000" w:themeColor="text1"/>
              </w:rPr>
              <w:t>У частині першій статті 2 пункт 18 виключити.</w:t>
            </w:r>
          </w:p>
        </w:tc>
        <w:tc>
          <w:tcPr>
            <w:tcW w:w="1987" w:type="dxa"/>
          </w:tcPr>
          <w:p w14:paraId="418BFADB" w14:textId="77777777" w:rsidR="006126F0" w:rsidRPr="00286216" w:rsidRDefault="006126F0" w:rsidP="006126F0">
            <w:pPr>
              <w:pStyle w:val="StyleWisnow"/>
              <w:rPr>
                <w:color w:val="000000" w:themeColor="text1"/>
              </w:rPr>
            </w:pPr>
            <w:r w:rsidRPr="00286216">
              <w:rPr>
                <w:color w:val="000000" w:themeColor="text1"/>
              </w:rPr>
              <w:t>Відхилено</w:t>
            </w:r>
          </w:p>
          <w:p w14:paraId="32237468" w14:textId="77777777" w:rsidR="006126F0" w:rsidRPr="00286216" w:rsidRDefault="006126F0" w:rsidP="006126F0">
            <w:pPr>
              <w:pStyle w:val="StyleWisnow"/>
              <w:spacing w:line="180" w:lineRule="exact"/>
              <w:rPr>
                <w:color w:val="000000" w:themeColor="text1"/>
                <w:spacing w:val="-3"/>
              </w:rPr>
            </w:pPr>
            <w:r w:rsidRPr="00286216">
              <w:rPr>
                <w:color w:val="000000" w:themeColor="text1"/>
                <w:spacing w:val="-3"/>
              </w:rPr>
              <w:t>термін "збори власників облігацій" активно застосовується у проекті цього Закону та у змінах до інших законів.</w:t>
            </w:r>
          </w:p>
        </w:tc>
        <w:tc>
          <w:tcPr>
            <w:tcW w:w="4818" w:type="dxa"/>
          </w:tcPr>
          <w:p w14:paraId="15359340" w14:textId="77777777" w:rsidR="006126F0" w:rsidRPr="00286216" w:rsidRDefault="006126F0" w:rsidP="006126F0">
            <w:pPr>
              <w:pStyle w:val="StyleZakonu"/>
              <w:rPr>
                <w:color w:val="000000" w:themeColor="text1"/>
              </w:rPr>
            </w:pPr>
          </w:p>
        </w:tc>
      </w:tr>
      <w:tr w:rsidR="00F77E8D" w:rsidRPr="00286216" w14:paraId="6F14F9D5" w14:textId="77777777" w:rsidTr="00091AA5">
        <w:tc>
          <w:tcPr>
            <w:tcW w:w="576" w:type="dxa"/>
          </w:tcPr>
          <w:p w14:paraId="2222C643" w14:textId="77777777" w:rsidR="006126F0" w:rsidRPr="00286216" w:rsidRDefault="006126F0" w:rsidP="006126F0">
            <w:pPr>
              <w:pStyle w:val="StyleWisnow"/>
              <w:rPr>
                <w:color w:val="000000" w:themeColor="text1"/>
              </w:rPr>
            </w:pPr>
            <w:bookmarkStart w:id="39" w:name="n39" w:colFirst="0" w:colLast="0"/>
            <w:r w:rsidRPr="00286216">
              <w:rPr>
                <w:color w:val="000000" w:themeColor="text1"/>
              </w:rPr>
              <w:t>39.</w:t>
            </w:r>
          </w:p>
        </w:tc>
        <w:tc>
          <w:tcPr>
            <w:tcW w:w="4818" w:type="dxa"/>
          </w:tcPr>
          <w:p w14:paraId="2B1CC4B2" w14:textId="77777777" w:rsidR="006126F0" w:rsidRPr="00286216" w:rsidRDefault="006126F0" w:rsidP="006126F0">
            <w:pPr>
              <w:pStyle w:val="StyleZakonu"/>
              <w:rPr>
                <w:color w:val="000000" w:themeColor="text1"/>
              </w:rPr>
            </w:pPr>
            <w:r w:rsidRPr="00286216">
              <w:rPr>
                <w:color w:val="000000" w:themeColor="text1"/>
              </w:rPr>
              <w:t>19) значний вплив на управління або діяльність юридичної особи - можливість змінювати керівника або осіб, що призначаються до органу управління юридичної особи, незалежно від формального прямого та/або опосередкованого володіння однією особою самостійно чи спільно з іншими особами часткою статутного капіталу та/або правом голосу акцій (часток) юридичної особи, а так само можливість доступу до інсайдерської інформації, що прямо або опосередковано стосується юридичної особи, яка дає можливість ухвалювати та/або безпосередньо впливати на ухвалення управлінських рішень, що впливають на подальший розвиток і комерційні перспективи такої юридичної особи;</w:t>
            </w:r>
          </w:p>
        </w:tc>
        <w:tc>
          <w:tcPr>
            <w:tcW w:w="3686" w:type="dxa"/>
          </w:tcPr>
          <w:p w14:paraId="09B297AA" w14:textId="77777777" w:rsidR="006126F0" w:rsidRPr="00286216" w:rsidRDefault="006126F0" w:rsidP="006126F0">
            <w:pPr>
              <w:pStyle w:val="StyleProp"/>
              <w:rPr>
                <w:color w:val="000000" w:themeColor="text1"/>
                <w:szCs w:val="18"/>
              </w:rPr>
            </w:pPr>
          </w:p>
        </w:tc>
        <w:tc>
          <w:tcPr>
            <w:tcW w:w="1987" w:type="dxa"/>
          </w:tcPr>
          <w:p w14:paraId="237114AC" w14:textId="77777777" w:rsidR="006126F0" w:rsidRPr="00286216" w:rsidRDefault="006126F0" w:rsidP="006126F0">
            <w:pPr>
              <w:pStyle w:val="StyleWisnow"/>
              <w:rPr>
                <w:color w:val="000000" w:themeColor="text1"/>
              </w:rPr>
            </w:pPr>
          </w:p>
        </w:tc>
        <w:tc>
          <w:tcPr>
            <w:tcW w:w="4818" w:type="dxa"/>
          </w:tcPr>
          <w:p w14:paraId="4432E200" w14:textId="0310D82D" w:rsidR="006126F0" w:rsidRPr="00286216" w:rsidRDefault="006126F0" w:rsidP="006126F0">
            <w:pPr>
              <w:pStyle w:val="StyleZakonu"/>
              <w:rPr>
                <w:color w:val="000000" w:themeColor="text1"/>
              </w:rPr>
            </w:pPr>
            <w:r w:rsidRPr="00286216">
              <w:rPr>
                <w:color w:val="000000" w:themeColor="text1"/>
              </w:rPr>
              <w:t>20) значний вплив на управління або діяльність юридичної особи - можливість змінювати керівника або осіб, які призначаються до органу управління юридичної особи, незалежно від формального прямого та/або опосередкованого володіння однією особою самостійно чи спільно з іншими особами часткою статутного капіталу та/або правом голосу акцій (часток) юридичної особи, а так само можливість доступу до інсайдерської інформації, що прямо або опосередковано стосується юридичної особи, яка дає можливість ухвалювати та/або безпосередньо впливати на ухвалення управлінських рішень, що впливають на подальший розвиток і комерційні перспективи такої юридичної особи;</w:t>
            </w:r>
          </w:p>
        </w:tc>
      </w:tr>
      <w:tr w:rsidR="00F77E8D" w:rsidRPr="00286216" w14:paraId="11712336" w14:textId="77777777" w:rsidTr="00091AA5">
        <w:tc>
          <w:tcPr>
            <w:tcW w:w="576" w:type="dxa"/>
          </w:tcPr>
          <w:p w14:paraId="12C1466F" w14:textId="77777777" w:rsidR="006126F0" w:rsidRPr="00286216" w:rsidRDefault="006126F0" w:rsidP="006126F0">
            <w:pPr>
              <w:pStyle w:val="StyleWisnow"/>
              <w:rPr>
                <w:color w:val="000000" w:themeColor="text1"/>
              </w:rPr>
            </w:pPr>
            <w:bookmarkStart w:id="40" w:name="n40" w:colFirst="0" w:colLast="0"/>
            <w:bookmarkEnd w:id="39"/>
            <w:r w:rsidRPr="00286216">
              <w:rPr>
                <w:color w:val="000000" w:themeColor="text1"/>
              </w:rPr>
              <w:t>40.</w:t>
            </w:r>
          </w:p>
        </w:tc>
        <w:tc>
          <w:tcPr>
            <w:tcW w:w="4818" w:type="dxa"/>
          </w:tcPr>
          <w:p w14:paraId="1BB7D316" w14:textId="77777777" w:rsidR="006126F0" w:rsidRPr="00286216" w:rsidRDefault="006126F0" w:rsidP="006126F0">
            <w:pPr>
              <w:pStyle w:val="StyleZakonu"/>
              <w:rPr>
                <w:color w:val="000000" w:themeColor="text1"/>
              </w:rPr>
            </w:pPr>
            <w:r w:rsidRPr="00286216">
              <w:rPr>
                <w:color w:val="000000" w:themeColor="text1"/>
              </w:rPr>
              <w:t>20) індосамент - передавальний напис на ордерному цінному папері, що посвідчує перехід прав на цінний папір та прав за цінним папером до іншої особи в установленому законодавством порядку;</w:t>
            </w:r>
          </w:p>
        </w:tc>
        <w:tc>
          <w:tcPr>
            <w:tcW w:w="3686" w:type="dxa"/>
          </w:tcPr>
          <w:p w14:paraId="7629C6C2" w14:textId="77777777" w:rsidR="006126F0" w:rsidRPr="00286216" w:rsidRDefault="006126F0" w:rsidP="006126F0">
            <w:pPr>
              <w:pStyle w:val="StyleProp"/>
              <w:rPr>
                <w:color w:val="000000" w:themeColor="text1"/>
                <w:szCs w:val="18"/>
              </w:rPr>
            </w:pPr>
          </w:p>
        </w:tc>
        <w:tc>
          <w:tcPr>
            <w:tcW w:w="1987" w:type="dxa"/>
          </w:tcPr>
          <w:p w14:paraId="3BBB0387" w14:textId="77777777" w:rsidR="006126F0" w:rsidRPr="00286216" w:rsidRDefault="006126F0" w:rsidP="006126F0">
            <w:pPr>
              <w:pStyle w:val="StyleWisnow"/>
              <w:rPr>
                <w:color w:val="000000" w:themeColor="text1"/>
              </w:rPr>
            </w:pPr>
          </w:p>
        </w:tc>
        <w:tc>
          <w:tcPr>
            <w:tcW w:w="4818" w:type="dxa"/>
          </w:tcPr>
          <w:p w14:paraId="1083200C" w14:textId="2B55CDFA" w:rsidR="006126F0" w:rsidRPr="00286216" w:rsidRDefault="006126F0" w:rsidP="005F0A24">
            <w:pPr>
              <w:pStyle w:val="StyleZakonu"/>
              <w:rPr>
                <w:color w:val="000000" w:themeColor="text1"/>
              </w:rPr>
            </w:pPr>
            <w:r w:rsidRPr="00286216">
              <w:rPr>
                <w:color w:val="000000" w:themeColor="text1"/>
              </w:rPr>
              <w:t xml:space="preserve">21) індосамент </w:t>
            </w:r>
            <w:r w:rsidR="005F0A24" w:rsidRPr="00286216">
              <w:rPr>
                <w:color w:val="000000" w:themeColor="text1"/>
              </w:rPr>
              <w:t>–</w:t>
            </w:r>
            <w:r w:rsidRPr="00286216">
              <w:rPr>
                <w:color w:val="000000" w:themeColor="text1"/>
              </w:rPr>
              <w:t xml:space="preserve"> передавальний напис на ордерному цінному папері, що посвідчує перехід прав на цінний папір та прав за цінним папером до іншої особи </w:t>
            </w:r>
            <w:r w:rsidR="005F0A24" w:rsidRPr="00286216">
              <w:rPr>
                <w:color w:val="000000" w:themeColor="text1"/>
              </w:rPr>
              <w:t>у</w:t>
            </w:r>
            <w:r w:rsidRPr="00286216">
              <w:rPr>
                <w:color w:val="000000" w:themeColor="text1"/>
              </w:rPr>
              <w:t xml:space="preserve"> </w:t>
            </w:r>
            <w:r w:rsidR="005F0A24" w:rsidRPr="00286216">
              <w:rPr>
                <w:color w:val="000000" w:themeColor="text1"/>
              </w:rPr>
              <w:t>в</w:t>
            </w:r>
            <w:r w:rsidRPr="00286216">
              <w:rPr>
                <w:color w:val="000000" w:themeColor="text1"/>
              </w:rPr>
              <w:t>становленому законодавством порядку;</w:t>
            </w:r>
          </w:p>
        </w:tc>
      </w:tr>
      <w:tr w:rsidR="00F77E8D" w:rsidRPr="00286216" w14:paraId="7E90CB18" w14:textId="77777777" w:rsidTr="00091AA5">
        <w:tc>
          <w:tcPr>
            <w:tcW w:w="576" w:type="dxa"/>
          </w:tcPr>
          <w:p w14:paraId="3C608098" w14:textId="77777777" w:rsidR="006126F0" w:rsidRPr="00286216" w:rsidRDefault="006126F0" w:rsidP="006126F0">
            <w:pPr>
              <w:pStyle w:val="StyleWisnow"/>
              <w:rPr>
                <w:color w:val="000000" w:themeColor="text1"/>
              </w:rPr>
            </w:pPr>
            <w:bookmarkStart w:id="41" w:name="n41" w:colFirst="0" w:colLast="0"/>
            <w:bookmarkEnd w:id="40"/>
            <w:r w:rsidRPr="00286216">
              <w:rPr>
                <w:color w:val="000000" w:themeColor="text1"/>
              </w:rPr>
              <w:t>41.</w:t>
            </w:r>
          </w:p>
        </w:tc>
        <w:tc>
          <w:tcPr>
            <w:tcW w:w="4818" w:type="dxa"/>
          </w:tcPr>
          <w:p w14:paraId="5D3226FA" w14:textId="77777777" w:rsidR="006126F0" w:rsidRPr="00286216" w:rsidRDefault="006126F0" w:rsidP="006126F0">
            <w:pPr>
              <w:pStyle w:val="StyleZakonu"/>
              <w:rPr>
                <w:color w:val="000000" w:themeColor="text1"/>
              </w:rPr>
            </w:pPr>
            <w:r w:rsidRPr="00286216">
              <w:rPr>
                <w:color w:val="000000" w:themeColor="text1"/>
              </w:rPr>
              <w:t>21) індосант - власник ордерного цінного паперу (його уповноважена особа), який вчиняє індосамент. Індосамент може бути повним (іменним) -виписаним на ім’я (найменування) конкретної особи або бланковим (на пред’явника) -виписаним без зазначення імені (найменування) особи;</w:t>
            </w:r>
          </w:p>
        </w:tc>
        <w:tc>
          <w:tcPr>
            <w:tcW w:w="3686" w:type="dxa"/>
          </w:tcPr>
          <w:p w14:paraId="680E23E7" w14:textId="77777777" w:rsidR="006126F0" w:rsidRPr="00286216" w:rsidRDefault="006126F0" w:rsidP="006126F0">
            <w:pPr>
              <w:pStyle w:val="StyleProp"/>
              <w:rPr>
                <w:color w:val="000000" w:themeColor="text1"/>
                <w:szCs w:val="18"/>
              </w:rPr>
            </w:pPr>
          </w:p>
        </w:tc>
        <w:tc>
          <w:tcPr>
            <w:tcW w:w="1987" w:type="dxa"/>
          </w:tcPr>
          <w:p w14:paraId="01844205" w14:textId="77777777" w:rsidR="006126F0" w:rsidRPr="00286216" w:rsidRDefault="006126F0" w:rsidP="006126F0">
            <w:pPr>
              <w:pStyle w:val="StyleWisnow"/>
              <w:rPr>
                <w:color w:val="000000" w:themeColor="text1"/>
              </w:rPr>
            </w:pPr>
          </w:p>
        </w:tc>
        <w:tc>
          <w:tcPr>
            <w:tcW w:w="4818" w:type="dxa"/>
          </w:tcPr>
          <w:p w14:paraId="49E558E9" w14:textId="15CBCC49" w:rsidR="006126F0" w:rsidRPr="00286216" w:rsidRDefault="006126F0" w:rsidP="00BA7613">
            <w:pPr>
              <w:pStyle w:val="StyleZakonu"/>
              <w:rPr>
                <w:color w:val="000000" w:themeColor="text1"/>
              </w:rPr>
            </w:pPr>
            <w:r w:rsidRPr="00286216">
              <w:rPr>
                <w:color w:val="000000" w:themeColor="text1"/>
              </w:rPr>
              <w:t xml:space="preserve">22) індосант </w:t>
            </w:r>
            <w:r w:rsidR="005F0A24" w:rsidRPr="00286216">
              <w:rPr>
                <w:color w:val="000000" w:themeColor="text1"/>
              </w:rPr>
              <w:t>–</w:t>
            </w:r>
            <w:r w:rsidRPr="00286216">
              <w:rPr>
                <w:color w:val="000000" w:themeColor="text1"/>
              </w:rPr>
              <w:t xml:space="preserve"> власник ордерного цінного паперу (його уповноважена особа), який вчиняє індосамент. Індосамент може бути повним (іменним) – виписаним на ім’я </w:t>
            </w:r>
            <w:r w:rsidR="00BA7613" w:rsidRPr="00286216">
              <w:rPr>
                <w:color w:val="000000" w:themeColor="text1"/>
              </w:rPr>
              <w:t xml:space="preserve">або </w:t>
            </w:r>
            <w:r w:rsidRPr="00286216">
              <w:rPr>
                <w:color w:val="000000" w:themeColor="text1"/>
              </w:rPr>
              <w:t>найменування</w:t>
            </w:r>
            <w:r w:rsidR="00BA7613" w:rsidRPr="00286216">
              <w:rPr>
                <w:color w:val="000000" w:themeColor="text1"/>
              </w:rPr>
              <w:t xml:space="preserve"> (в розумінні Цивільного кодексу України) </w:t>
            </w:r>
            <w:r w:rsidRPr="00286216">
              <w:rPr>
                <w:color w:val="000000" w:themeColor="text1"/>
              </w:rPr>
              <w:t xml:space="preserve"> конкретної особи або бланковим (на пред’явника) – виписаним без зазначення імені </w:t>
            </w:r>
            <w:r w:rsidR="00BA7613" w:rsidRPr="00286216">
              <w:rPr>
                <w:color w:val="000000" w:themeColor="text1"/>
              </w:rPr>
              <w:t xml:space="preserve">або </w:t>
            </w:r>
            <w:r w:rsidRPr="00286216">
              <w:rPr>
                <w:color w:val="000000" w:themeColor="text1"/>
              </w:rPr>
              <w:t>найменування</w:t>
            </w:r>
            <w:r w:rsidR="00BA7613" w:rsidRPr="00286216">
              <w:rPr>
                <w:color w:val="000000" w:themeColor="text1"/>
              </w:rPr>
              <w:t xml:space="preserve"> (в розумінні Цивільного кодексу України</w:t>
            </w:r>
            <w:r w:rsidRPr="00286216">
              <w:rPr>
                <w:color w:val="000000" w:themeColor="text1"/>
              </w:rPr>
              <w:t>) особи;</w:t>
            </w:r>
          </w:p>
        </w:tc>
      </w:tr>
      <w:tr w:rsidR="00F77E8D" w:rsidRPr="00286216" w14:paraId="38B8AE27" w14:textId="77777777" w:rsidTr="00091AA5">
        <w:tc>
          <w:tcPr>
            <w:tcW w:w="576" w:type="dxa"/>
          </w:tcPr>
          <w:p w14:paraId="13CC44F8" w14:textId="77777777" w:rsidR="006126F0" w:rsidRPr="00286216" w:rsidRDefault="006126F0" w:rsidP="006126F0">
            <w:pPr>
              <w:pStyle w:val="StyleWisnow"/>
              <w:rPr>
                <w:color w:val="000000" w:themeColor="text1"/>
              </w:rPr>
            </w:pPr>
            <w:bookmarkStart w:id="42" w:name="n42" w:colFirst="0" w:colLast="0"/>
            <w:bookmarkEnd w:id="41"/>
            <w:r w:rsidRPr="00286216">
              <w:rPr>
                <w:color w:val="000000" w:themeColor="text1"/>
              </w:rPr>
              <w:t>42.</w:t>
            </w:r>
          </w:p>
        </w:tc>
        <w:tc>
          <w:tcPr>
            <w:tcW w:w="4818" w:type="dxa"/>
          </w:tcPr>
          <w:p w14:paraId="1E7E8B47" w14:textId="77777777" w:rsidR="006126F0" w:rsidRPr="00286216" w:rsidRDefault="006126F0" w:rsidP="006126F0">
            <w:pPr>
              <w:pStyle w:val="StyleZakonu"/>
              <w:rPr>
                <w:color w:val="000000" w:themeColor="text1"/>
              </w:rPr>
            </w:pPr>
            <w:r w:rsidRPr="00286216">
              <w:rPr>
                <w:color w:val="000000" w:themeColor="text1"/>
              </w:rPr>
              <w:t>22) інструменти грошового ринку - казначейські зобов’язання України, ощадні сертифікати банку, депозитні сертифікати банку, векселі, а також інші інструменти, що мають всі наступні характеристики:</w:t>
            </w:r>
          </w:p>
        </w:tc>
        <w:tc>
          <w:tcPr>
            <w:tcW w:w="3686" w:type="dxa"/>
          </w:tcPr>
          <w:p w14:paraId="77B1EA92" w14:textId="5146ED5D"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F80E3B0" w14:textId="77777777" w:rsidR="006126F0" w:rsidRPr="00286216" w:rsidRDefault="006126F0" w:rsidP="006126F0">
            <w:pPr>
              <w:pStyle w:val="StyleProp"/>
              <w:spacing w:line="180" w:lineRule="exact"/>
              <w:rPr>
                <w:color w:val="000000" w:themeColor="text1"/>
                <w:spacing w:val="-3"/>
                <w:szCs w:val="18"/>
              </w:rPr>
            </w:pPr>
            <w:r w:rsidRPr="00286216">
              <w:rPr>
                <w:color w:val="000000" w:themeColor="text1"/>
                <w:spacing w:val="-3"/>
                <w:szCs w:val="18"/>
              </w:rPr>
              <w:t>Пункт 22 частини 1 статті 2 після слів «векселі» доповнити словами «договори репо».</w:t>
            </w:r>
          </w:p>
          <w:p w14:paraId="0EABD27F" w14:textId="71B1BF84"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0B719D7" w14:textId="77777777" w:rsidR="006126F0" w:rsidRPr="00286216" w:rsidRDefault="006126F0" w:rsidP="006126F0">
            <w:pPr>
              <w:spacing w:line="180" w:lineRule="exact"/>
              <w:ind w:firstLine="227"/>
              <w:jc w:val="both"/>
              <w:rPr>
                <w:color w:val="000000" w:themeColor="text1"/>
                <w:sz w:val="18"/>
              </w:rPr>
            </w:pPr>
            <w:r w:rsidRPr="00286216">
              <w:rPr>
                <w:color w:val="000000" w:themeColor="text1"/>
                <w:sz w:val="18"/>
              </w:rPr>
              <w:t>У статті 2 розділу І законопроекту пункт 22 частини першої виключити.</w:t>
            </w:r>
          </w:p>
        </w:tc>
        <w:tc>
          <w:tcPr>
            <w:tcW w:w="1987" w:type="dxa"/>
          </w:tcPr>
          <w:p w14:paraId="3B6746CA" w14:textId="77777777" w:rsidR="006126F0" w:rsidRPr="00286216" w:rsidRDefault="006126F0" w:rsidP="006126F0">
            <w:pPr>
              <w:pStyle w:val="StyleWisnow"/>
              <w:rPr>
                <w:color w:val="000000" w:themeColor="text1"/>
              </w:rPr>
            </w:pPr>
            <w:r w:rsidRPr="00286216">
              <w:rPr>
                <w:color w:val="000000" w:themeColor="text1"/>
              </w:rPr>
              <w:t>Відхилено</w:t>
            </w:r>
          </w:p>
          <w:p w14:paraId="04138CA0" w14:textId="6E2FC9B2" w:rsidR="006126F0" w:rsidRPr="00286216" w:rsidRDefault="006126F0" w:rsidP="006126F0">
            <w:pPr>
              <w:pStyle w:val="StyleWisnow"/>
              <w:spacing w:line="180" w:lineRule="exact"/>
              <w:rPr>
                <w:color w:val="000000" w:themeColor="text1"/>
                <w:spacing w:val="-6"/>
              </w:rPr>
            </w:pPr>
            <w:r w:rsidRPr="00286216">
              <w:rPr>
                <w:color w:val="000000" w:themeColor="text1"/>
                <w:spacing w:val="-6"/>
              </w:rPr>
              <w:t>деякі договори репо діють більш</w:t>
            </w:r>
            <w:r w:rsidR="00F562FA">
              <w:rPr>
                <w:color w:val="000000" w:themeColor="text1"/>
                <w:spacing w:val="-6"/>
              </w:rPr>
              <w:t>,</w:t>
            </w:r>
            <w:r w:rsidRPr="00286216">
              <w:rPr>
                <w:color w:val="000000" w:themeColor="text1"/>
                <w:spacing w:val="-6"/>
              </w:rPr>
              <w:t xml:space="preserve"> ніж 397 днів</w:t>
            </w:r>
          </w:p>
          <w:p w14:paraId="7D069669" w14:textId="77777777" w:rsidR="006126F0" w:rsidRPr="00286216" w:rsidRDefault="006126F0" w:rsidP="006126F0">
            <w:pPr>
              <w:pStyle w:val="StyleWisnow"/>
              <w:spacing w:line="180" w:lineRule="exact"/>
              <w:rPr>
                <w:color w:val="000000" w:themeColor="text1"/>
                <w:spacing w:val="-6"/>
              </w:rPr>
            </w:pPr>
          </w:p>
          <w:p w14:paraId="00C53482" w14:textId="77777777" w:rsidR="006126F0" w:rsidRPr="00286216" w:rsidRDefault="006126F0" w:rsidP="006126F0">
            <w:pPr>
              <w:pStyle w:val="StyleWisnow"/>
              <w:spacing w:line="180" w:lineRule="exact"/>
              <w:rPr>
                <w:color w:val="000000" w:themeColor="text1"/>
                <w:spacing w:val="-6"/>
              </w:rPr>
            </w:pPr>
            <w:r w:rsidRPr="00286216">
              <w:rPr>
                <w:color w:val="000000" w:themeColor="text1"/>
                <w:spacing w:val="-6"/>
              </w:rPr>
              <w:t>Враховано</w:t>
            </w:r>
          </w:p>
        </w:tc>
        <w:tc>
          <w:tcPr>
            <w:tcW w:w="4818" w:type="dxa"/>
          </w:tcPr>
          <w:p w14:paraId="287C042B" w14:textId="77777777" w:rsidR="006126F0" w:rsidRPr="00286216" w:rsidRDefault="006126F0" w:rsidP="006126F0">
            <w:pPr>
              <w:pStyle w:val="StyleZakonu"/>
              <w:rPr>
                <w:color w:val="000000" w:themeColor="text1"/>
              </w:rPr>
            </w:pPr>
          </w:p>
        </w:tc>
      </w:tr>
      <w:tr w:rsidR="00F77E8D" w:rsidRPr="00286216" w14:paraId="1CEA2ACE" w14:textId="77777777" w:rsidTr="00091AA5">
        <w:tc>
          <w:tcPr>
            <w:tcW w:w="576" w:type="dxa"/>
          </w:tcPr>
          <w:p w14:paraId="1FFDECEB" w14:textId="77777777" w:rsidR="006126F0" w:rsidRPr="00286216" w:rsidRDefault="006126F0" w:rsidP="006126F0">
            <w:pPr>
              <w:pStyle w:val="StyleWisnow"/>
              <w:rPr>
                <w:color w:val="000000" w:themeColor="text1"/>
              </w:rPr>
            </w:pPr>
            <w:bookmarkStart w:id="43" w:name="n43" w:colFirst="0" w:colLast="0"/>
            <w:bookmarkEnd w:id="42"/>
            <w:r w:rsidRPr="00286216">
              <w:rPr>
                <w:color w:val="000000" w:themeColor="text1"/>
              </w:rPr>
              <w:t>43.</w:t>
            </w:r>
          </w:p>
        </w:tc>
        <w:tc>
          <w:tcPr>
            <w:tcW w:w="4818" w:type="dxa"/>
          </w:tcPr>
          <w:p w14:paraId="6B76ADF6" w14:textId="77777777" w:rsidR="006126F0" w:rsidRPr="00286216" w:rsidRDefault="006126F0" w:rsidP="006126F0">
            <w:pPr>
              <w:pStyle w:val="StyleZakonu"/>
              <w:rPr>
                <w:color w:val="000000" w:themeColor="text1"/>
              </w:rPr>
            </w:pPr>
            <w:r w:rsidRPr="00286216">
              <w:rPr>
                <w:color w:val="000000" w:themeColor="text1"/>
              </w:rPr>
              <w:t>а) мають вартість, що може бути визначена у будь-який момент часу;</w:t>
            </w:r>
          </w:p>
        </w:tc>
        <w:tc>
          <w:tcPr>
            <w:tcW w:w="3686" w:type="dxa"/>
          </w:tcPr>
          <w:p w14:paraId="42FCB838" w14:textId="77777777" w:rsidR="006126F0" w:rsidRPr="00286216" w:rsidRDefault="006126F0" w:rsidP="006126F0">
            <w:pPr>
              <w:pStyle w:val="StyleProp"/>
              <w:rPr>
                <w:color w:val="000000" w:themeColor="text1"/>
                <w:szCs w:val="18"/>
              </w:rPr>
            </w:pPr>
          </w:p>
        </w:tc>
        <w:tc>
          <w:tcPr>
            <w:tcW w:w="1987" w:type="dxa"/>
          </w:tcPr>
          <w:p w14:paraId="74340DF0" w14:textId="77777777" w:rsidR="006126F0" w:rsidRPr="00286216" w:rsidRDefault="006126F0" w:rsidP="006126F0">
            <w:pPr>
              <w:pStyle w:val="StyleWisnow"/>
              <w:rPr>
                <w:color w:val="000000" w:themeColor="text1"/>
              </w:rPr>
            </w:pPr>
          </w:p>
        </w:tc>
        <w:tc>
          <w:tcPr>
            <w:tcW w:w="4818" w:type="dxa"/>
          </w:tcPr>
          <w:p w14:paraId="0C07A8FA" w14:textId="77777777" w:rsidR="006126F0" w:rsidRPr="00286216" w:rsidRDefault="006126F0" w:rsidP="006126F0">
            <w:pPr>
              <w:pStyle w:val="StyleZakonu"/>
              <w:rPr>
                <w:color w:val="000000" w:themeColor="text1"/>
              </w:rPr>
            </w:pPr>
          </w:p>
        </w:tc>
      </w:tr>
      <w:tr w:rsidR="00F77E8D" w:rsidRPr="00286216" w14:paraId="683C0DDB" w14:textId="77777777" w:rsidTr="00091AA5">
        <w:tc>
          <w:tcPr>
            <w:tcW w:w="576" w:type="dxa"/>
          </w:tcPr>
          <w:p w14:paraId="5E78EC36" w14:textId="77777777" w:rsidR="006126F0" w:rsidRPr="00286216" w:rsidRDefault="006126F0" w:rsidP="006126F0">
            <w:pPr>
              <w:pStyle w:val="StyleWisnow"/>
              <w:rPr>
                <w:color w:val="000000" w:themeColor="text1"/>
              </w:rPr>
            </w:pPr>
            <w:bookmarkStart w:id="44" w:name="n44" w:colFirst="0" w:colLast="0"/>
            <w:bookmarkEnd w:id="43"/>
            <w:r w:rsidRPr="00286216">
              <w:rPr>
                <w:color w:val="000000" w:themeColor="text1"/>
              </w:rPr>
              <w:t>44.</w:t>
            </w:r>
          </w:p>
        </w:tc>
        <w:tc>
          <w:tcPr>
            <w:tcW w:w="4818" w:type="dxa"/>
          </w:tcPr>
          <w:p w14:paraId="600AC97A" w14:textId="77777777" w:rsidR="006126F0" w:rsidRPr="00286216" w:rsidRDefault="006126F0" w:rsidP="006126F0">
            <w:pPr>
              <w:pStyle w:val="StyleZakonu"/>
              <w:rPr>
                <w:color w:val="000000" w:themeColor="text1"/>
              </w:rPr>
            </w:pPr>
            <w:r w:rsidRPr="00286216">
              <w:rPr>
                <w:color w:val="000000" w:themeColor="text1"/>
              </w:rPr>
              <w:t>б) не є деривативними (похідними) фінансовими інструментами;</w:t>
            </w:r>
          </w:p>
        </w:tc>
        <w:tc>
          <w:tcPr>
            <w:tcW w:w="3686" w:type="dxa"/>
          </w:tcPr>
          <w:p w14:paraId="18E042D0" w14:textId="4E9764D2"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E6FD1D8" w14:textId="6C2EDD0F" w:rsidR="006126F0" w:rsidRPr="00286216" w:rsidRDefault="006126F0" w:rsidP="006126F0">
            <w:pPr>
              <w:pStyle w:val="StyleProp"/>
              <w:spacing w:line="180" w:lineRule="exact"/>
              <w:rPr>
                <w:color w:val="000000" w:themeColor="text1"/>
                <w:szCs w:val="18"/>
              </w:rPr>
            </w:pPr>
            <w:r w:rsidRPr="00286216">
              <w:rPr>
                <w:color w:val="000000" w:themeColor="text1"/>
                <w:szCs w:val="18"/>
              </w:rPr>
              <w:t>В тексті закону слово «(похідний)» в усіх</w:t>
            </w:r>
            <w:r w:rsidR="00E71C29">
              <w:rPr>
                <w:color w:val="000000" w:themeColor="text1"/>
                <w:szCs w:val="18"/>
              </w:rPr>
              <w:t xml:space="preserve"> числах та відмінках виключити</w:t>
            </w:r>
            <w:r w:rsidRPr="00286216">
              <w:rPr>
                <w:color w:val="000000" w:themeColor="text1"/>
                <w:szCs w:val="18"/>
              </w:rPr>
              <w:t>.</w:t>
            </w:r>
          </w:p>
          <w:p w14:paraId="52D232B8" w14:textId="21FB0954" w:rsidR="006126F0" w:rsidRPr="00286216" w:rsidRDefault="006126F0" w:rsidP="006126F0">
            <w:pPr>
              <w:pStyle w:val="StyleAwt"/>
              <w:rPr>
                <w:bCs/>
                <w:iCs/>
                <w:color w:val="000000" w:themeColor="text1"/>
                <w:spacing w:val="-4"/>
              </w:rPr>
            </w:pPr>
            <w:r w:rsidRPr="00286216">
              <w:rPr>
                <w:bCs/>
                <w:iCs/>
                <w:color w:val="000000" w:themeColor="text1"/>
                <w:spacing w:val="-4"/>
              </w:rPr>
              <w:t>-</w:t>
            </w:r>
            <w:r w:rsidRPr="00286216">
              <w:rPr>
                <w:bCs/>
                <w:iCs/>
                <w:color w:val="000000" w:themeColor="text1"/>
                <w:spacing w:val="-4"/>
              </w:rPr>
              <w:fldChar w:fldCharType="begin"/>
            </w:r>
            <w:r w:rsidRPr="00286216">
              <w:rPr>
                <w:bCs/>
                <w:iCs/>
                <w:color w:val="000000" w:themeColor="text1"/>
                <w:spacing w:val="-4"/>
              </w:rPr>
              <w:instrText xml:space="preserve"> SEQ aa </w:instrText>
            </w:r>
            <w:r w:rsidRPr="00286216">
              <w:rPr>
                <w:bCs/>
                <w:iCs/>
                <w:color w:val="000000" w:themeColor="text1"/>
                <w:spacing w:val="-4"/>
              </w:rPr>
              <w:fldChar w:fldCharType="separate"/>
            </w:r>
            <w:r w:rsidR="00C46B29">
              <w:rPr>
                <w:bCs/>
                <w:iCs/>
                <w:noProof/>
                <w:color w:val="000000" w:themeColor="text1"/>
                <w:spacing w:val="-4"/>
              </w:rPr>
              <w:t>61</w:t>
            </w:r>
            <w:r w:rsidRPr="00286216">
              <w:rPr>
                <w:bCs/>
                <w:iCs/>
                <w:color w:val="000000" w:themeColor="text1"/>
                <w:spacing w:val="-4"/>
              </w:rPr>
              <w:fldChar w:fldCharType="end"/>
            </w:r>
            <w:r w:rsidRPr="00286216">
              <w:rPr>
                <w:bCs/>
                <w:iCs/>
                <w:color w:val="000000" w:themeColor="text1"/>
                <w:spacing w:val="-4"/>
              </w:rPr>
              <w:t>-Н.д.Бєлькова О.В. (Реєстр.картка №403)</w:t>
            </w:r>
          </w:p>
          <w:p w14:paraId="64F0A25F" w14:textId="77777777" w:rsidR="006126F0" w:rsidRPr="00286216" w:rsidRDefault="006126F0" w:rsidP="006126F0">
            <w:pPr>
              <w:spacing w:line="180" w:lineRule="exact"/>
              <w:ind w:firstLine="227"/>
              <w:jc w:val="both"/>
              <w:rPr>
                <w:color w:val="000000" w:themeColor="text1"/>
                <w:sz w:val="18"/>
              </w:rPr>
            </w:pPr>
            <w:r w:rsidRPr="00286216">
              <w:rPr>
                <w:color w:val="000000" w:themeColor="text1"/>
                <w:sz w:val="18"/>
              </w:rPr>
              <w:lastRenderedPageBreak/>
              <w:t>У частині 1 статті в підпункті б) пункту 22) слово «(похідними)» виключити.</w:t>
            </w:r>
          </w:p>
        </w:tc>
        <w:tc>
          <w:tcPr>
            <w:tcW w:w="1987" w:type="dxa"/>
          </w:tcPr>
          <w:p w14:paraId="7E91F511" w14:textId="77777777" w:rsidR="006126F0" w:rsidRPr="00286216" w:rsidRDefault="006126F0" w:rsidP="006126F0">
            <w:pPr>
              <w:pStyle w:val="StyleWisnow"/>
              <w:rPr>
                <w:color w:val="000000" w:themeColor="text1"/>
              </w:rPr>
            </w:pPr>
            <w:r w:rsidRPr="00286216">
              <w:rPr>
                <w:color w:val="000000" w:themeColor="text1"/>
              </w:rPr>
              <w:lastRenderedPageBreak/>
              <w:t>Враховано редакційно</w:t>
            </w:r>
          </w:p>
          <w:p w14:paraId="40739638" w14:textId="77777777" w:rsidR="006126F0" w:rsidRPr="00286216" w:rsidRDefault="006126F0" w:rsidP="006126F0">
            <w:pPr>
              <w:pStyle w:val="StyleWisnow"/>
              <w:rPr>
                <w:color w:val="000000" w:themeColor="text1"/>
              </w:rPr>
            </w:pPr>
          </w:p>
          <w:p w14:paraId="290356D9" w14:textId="77777777" w:rsidR="00E71C29" w:rsidRDefault="00E71C29" w:rsidP="006126F0">
            <w:pPr>
              <w:pStyle w:val="StyleWisnow"/>
              <w:rPr>
                <w:color w:val="000000" w:themeColor="text1"/>
              </w:rPr>
            </w:pPr>
          </w:p>
          <w:p w14:paraId="0B9CE5BF" w14:textId="436F89B9"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1D267AA7" w14:textId="77777777" w:rsidR="006126F0" w:rsidRPr="00286216" w:rsidRDefault="006126F0" w:rsidP="006126F0">
            <w:pPr>
              <w:pStyle w:val="StyleZakonu"/>
              <w:rPr>
                <w:color w:val="000000" w:themeColor="text1"/>
              </w:rPr>
            </w:pPr>
          </w:p>
        </w:tc>
      </w:tr>
      <w:tr w:rsidR="00F77E8D" w:rsidRPr="00286216" w14:paraId="53FE5012" w14:textId="77777777" w:rsidTr="00091AA5">
        <w:tc>
          <w:tcPr>
            <w:tcW w:w="576" w:type="dxa"/>
          </w:tcPr>
          <w:p w14:paraId="62EC7A2A" w14:textId="77777777" w:rsidR="006126F0" w:rsidRPr="00286216" w:rsidRDefault="006126F0" w:rsidP="006126F0">
            <w:pPr>
              <w:pStyle w:val="StyleWisnow"/>
              <w:rPr>
                <w:color w:val="000000" w:themeColor="text1"/>
              </w:rPr>
            </w:pPr>
            <w:bookmarkStart w:id="45" w:name="n45" w:colFirst="0" w:colLast="0"/>
            <w:bookmarkEnd w:id="44"/>
            <w:r w:rsidRPr="00286216">
              <w:rPr>
                <w:color w:val="000000" w:themeColor="text1"/>
              </w:rPr>
              <w:t>45.</w:t>
            </w:r>
          </w:p>
        </w:tc>
        <w:tc>
          <w:tcPr>
            <w:tcW w:w="4818" w:type="dxa"/>
          </w:tcPr>
          <w:p w14:paraId="2517791F" w14:textId="77777777" w:rsidR="006126F0" w:rsidRPr="00286216" w:rsidRDefault="006126F0" w:rsidP="006126F0">
            <w:pPr>
              <w:pStyle w:val="StyleZakonu"/>
              <w:rPr>
                <w:color w:val="000000" w:themeColor="text1"/>
              </w:rPr>
            </w:pPr>
            <w:r w:rsidRPr="00286216">
              <w:rPr>
                <w:color w:val="000000" w:themeColor="text1"/>
              </w:rPr>
              <w:t>в) мають період до погашення в момент емісії (видачі) 397 днів або менше;</w:t>
            </w:r>
          </w:p>
        </w:tc>
        <w:tc>
          <w:tcPr>
            <w:tcW w:w="3686" w:type="dxa"/>
          </w:tcPr>
          <w:p w14:paraId="108E6844" w14:textId="77777777" w:rsidR="006126F0" w:rsidRPr="00286216" w:rsidRDefault="006126F0" w:rsidP="006126F0">
            <w:pPr>
              <w:pStyle w:val="StyleProp"/>
              <w:rPr>
                <w:color w:val="000000" w:themeColor="text1"/>
                <w:szCs w:val="18"/>
              </w:rPr>
            </w:pPr>
          </w:p>
        </w:tc>
        <w:tc>
          <w:tcPr>
            <w:tcW w:w="1987" w:type="dxa"/>
          </w:tcPr>
          <w:p w14:paraId="4242AF8D" w14:textId="77777777" w:rsidR="006126F0" w:rsidRPr="00286216" w:rsidRDefault="006126F0" w:rsidP="006126F0">
            <w:pPr>
              <w:pStyle w:val="StyleWisnow"/>
              <w:rPr>
                <w:color w:val="000000" w:themeColor="text1"/>
              </w:rPr>
            </w:pPr>
          </w:p>
        </w:tc>
        <w:tc>
          <w:tcPr>
            <w:tcW w:w="4818" w:type="dxa"/>
          </w:tcPr>
          <w:p w14:paraId="13558C91" w14:textId="77777777" w:rsidR="006126F0" w:rsidRPr="00286216" w:rsidRDefault="006126F0" w:rsidP="006126F0">
            <w:pPr>
              <w:pStyle w:val="StyleZakonu"/>
              <w:rPr>
                <w:color w:val="000000" w:themeColor="text1"/>
              </w:rPr>
            </w:pPr>
          </w:p>
        </w:tc>
      </w:tr>
      <w:tr w:rsidR="00F77E8D" w:rsidRPr="00286216" w14:paraId="54C24FFB" w14:textId="77777777" w:rsidTr="00091AA5">
        <w:tc>
          <w:tcPr>
            <w:tcW w:w="576" w:type="dxa"/>
          </w:tcPr>
          <w:p w14:paraId="5E52A19F" w14:textId="77777777" w:rsidR="006126F0" w:rsidRPr="00286216" w:rsidRDefault="006126F0" w:rsidP="006126F0">
            <w:pPr>
              <w:pStyle w:val="StyleWisnow"/>
              <w:rPr>
                <w:color w:val="000000" w:themeColor="text1"/>
              </w:rPr>
            </w:pPr>
            <w:bookmarkStart w:id="46" w:name="n46" w:colFirst="0" w:colLast="0"/>
            <w:bookmarkEnd w:id="45"/>
            <w:r w:rsidRPr="00286216">
              <w:rPr>
                <w:color w:val="000000" w:themeColor="text1"/>
              </w:rPr>
              <w:t>46.</w:t>
            </w:r>
          </w:p>
        </w:tc>
        <w:tc>
          <w:tcPr>
            <w:tcW w:w="4818" w:type="dxa"/>
          </w:tcPr>
          <w:p w14:paraId="230F3DDC" w14:textId="77777777" w:rsidR="006126F0" w:rsidRPr="00286216" w:rsidRDefault="006126F0" w:rsidP="006126F0">
            <w:pPr>
              <w:pStyle w:val="StyleZakonu"/>
              <w:rPr>
                <w:color w:val="000000" w:themeColor="text1"/>
              </w:rPr>
            </w:pPr>
            <w:bookmarkStart w:id="47" w:name="OLE_LINK1"/>
            <w:bookmarkStart w:id="48" w:name="OLE_LINK2"/>
            <w:bookmarkStart w:id="49" w:name="OLE_LINK4"/>
            <w:r w:rsidRPr="00286216">
              <w:rPr>
                <w:color w:val="000000" w:themeColor="text1"/>
              </w:rPr>
              <w:t>23) кліринг - це процес визначення зобов’язань, у тому числі шляхом неттінгу, за деривативними контрактами та правочинами щодо інших фінансових інструментів, валютних цінностей, за товарними операціями, а також забезпечення функціонування системи управління ризиками та гарантій з виконання таких зобов’язань;</w:t>
            </w:r>
          </w:p>
        </w:tc>
        <w:tc>
          <w:tcPr>
            <w:tcW w:w="3686" w:type="dxa"/>
          </w:tcPr>
          <w:p w14:paraId="1AC4E662" w14:textId="72AEED23" w:rsidR="006126F0" w:rsidRPr="00286216" w:rsidRDefault="006126F0" w:rsidP="006126F0">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62</w:t>
            </w:r>
            <w:r w:rsidRPr="00286216">
              <w:rPr>
                <w:color w:val="000000" w:themeColor="text1"/>
                <w:spacing w:val="-4"/>
              </w:rPr>
              <w:fldChar w:fldCharType="end"/>
            </w:r>
            <w:r w:rsidRPr="00286216">
              <w:rPr>
                <w:color w:val="000000" w:themeColor="text1"/>
                <w:spacing w:val="-4"/>
              </w:rPr>
              <w:t>-Н.д.Бєлькова О.В. (Реєстр.картка №403)</w:t>
            </w:r>
          </w:p>
          <w:p w14:paraId="034BE4B9" w14:textId="54B686FC" w:rsidR="006126F0" w:rsidRPr="00286216" w:rsidRDefault="006126F0" w:rsidP="006126F0">
            <w:pPr>
              <w:pStyle w:val="StyleProp"/>
              <w:spacing w:line="180" w:lineRule="exact"/>
              <w:rPr>
                <w:color w:val="000000" w:themeColor="text1"/>
                <w:szCs w:val="18"/>
              </w:rPr>
            </w:pPr>
            <w:r w:rsidRPr="00286216">
              <w:rPr>
                <w:color w:val="000000" w:themeColor="text1"/>
              </w:rPr>
              <w:t>У пункті 23 частини першої статті 2 розділу 1 слова «, а також забезпечення» замінити словами «що супроводжується забезпеченням”.</w:t>
            </w:r>
          </w:p>
        </w:tc>
        <w:tc>
          <w:tcPr>
            <w:tcW w:w="1987" w:type="dxa"/>
          </w:tcPr>
          <w:p w14:paraId="11924242"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3304A889" w14:textId="7E0417C8" w:rsidR="006126F0" w:rsidRPr="00286216" w:rsidRDefault="006126F0" w:rsidP="006126F0">
            <w:pPr>
              <w:pStyle w:val="StyleZakonu"/>
              <w:rPr>
                <w:color w:val="000000" w:themeColor="text1"/>
              </w:rPr>
            </w:pPr>
            <w:r w:rsidRPr="00286216">
              <w:rPr>
                <w:color w:val="000000" w:themeColor="text1"/>
              </w:rPr>
              <w:t>23) кліринг –  процес визначення зобов’язань, у тому числі шляхом неттінгу, за деривативними контрактами та правочинами щодо інших фінансових інструментів, валютних цінностей, за товарними операціями, що супроводжується забезпеченням функціонування системи управління ризиками та гарантій з виконання таких зобов’язань;</w:t>
            </w:r>
          </w:p>
        </w:tc>
      </w:tr>
      <w:tr w:rsidR="00F77E8D" w:rsidRPr="00286216" w14:paraId="61CD7F6A" w14:textId="77777777" w:rsidTr="00091AA5">
        <w:tc>
          <w:tcPr>
            <w:tcW w:w="576" w:type="dxa"/>
          </w:tcPr>
          <w:p w14:paraId="3D834393" w14:textId="77777777" w:rsidR="006126F0" w:rsidRPr="00286216" w:rsidRDefault="006126F0" w:rsidP="006126F0">
            <w:pPr>
              <w:pStyle w:val="StyleWisnow"/>
              <w:rPr>
                <w:color w:val="000000" w:themeColor="text1"/>
              </w:rPr>
            </w:pPr>
            <w:bookmarkStart w:id="50" w:name="n47" w:colFirst="0" w:colLast="0"/>
            <w:bookmarkEnd w:id="46"/>
            <w:r w:rsidRPr="00286216">
              <w:rPr>
                <w:color w:val="000000" w:themeColor="text1"/>
              </w:rPr>
              <w:t>47.</w:t>
            </w:r>
          </w:p>
        </w:tc>
        <w:bookmarkEnd w:id="47"/>
        <w:bookmarkEnd w:id="48"/>
        <w:bookmarkEnd w:id="49"/>
        <w:tc>
          <w:tcPr>
            <w:tcW w:w="4818" w:type="dxa"/>
          </w:tcPr>
          <w:p w14:paraId="6FC42DC0" w14:textId="77777777" w:rsidR="006126F0" w:rsidRPr="00286216" w:rsidRDefault="006126F0" w:rsidP="006126F0">
            <w:pPr>
              <w:pStyle w:val="StyleZakonu"/>
              <w:rPr>
                <w:color w:val="000000" w:themeColor="text1"/>
              </w:rPr>
            </w:pPr>
            <w:r w:rsidRPr="00286216">
              <w:rPr>
                <w:color w:val="000000" w:themeColor="text1"/>
              </w:rPr>
              <w:t>24) комплаєнс - регламентований внутрішніми документами професійного учасника ринків капіталу та організованих товарних ринків динамічний, систематичний внутрішній процес, направлений на забезпечення:</w:t>
            </w:r>
          </w:p>
        </w:tc>
        <w:tc>
          <w:tcPr>
            <w:tcW w:w="3686" w:type="dxa"/>
          </w:tcPr>
          <w:p w14:paraId="541C064D" w14:textId="261129AE" w:rsidR="006126F0" w:rsidRPr="00286216" w:rsidRDefault="006126F0" w:rsidP="00E71C29">
            <w:pPr>
              <w:pStyle w:val="StyleAwt"/>
              <w:spacing w:line="21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22A9302" w14:textId="390428BE" w:rsidR="006126F0" w:rsidRPr="00286216" w:rsidRDefault="006126F0" w:rsidP="00F13F22">
            <w:pPr>
              <w:pStyle w:val="StyleProp"/>
              <w:spacing w:line="180" w:lineRule="exact"/>
              <w:rPr>
                <w:color w:val="000000" w:themeColor="text1"/>
              </w:rPr>
            </w:pPr>
            <w:r w:rsidRPr="00286216">
              <w:rPr>
                <w:color w:val="000000" w:themeColor="text1"/>
              </w:rPr>
              <w:t>Абзац першийпункту 24 статті 2 викласти в такій редакції:</w:t>
            </w:r>
          </w:p>
          <w:p w14:paraId="4656A82A" w14:textId="62FD91BD" w:rsidR="006126F0" w:rsidRPr="00286216" w:rsidRDefault="006126F0" w:rsidP="00F13F22">
            <w:pPr>
              <w:pStyle w:val="StyleProp"/>
              <w:spacing w:line="180" w:lineRule="exact"/>
              <w:rPr>
                <w:color w:val="000000" w:themeColor="text1"/>
              </w:rPr>
            </w:pPr>
            <w:r w:rsidRPr="00286216">
              <w:rPr>
                <w:color w:val="000000" w:themeColor="text1"/>
              </w:rPr>
              <w:t>"24) комплаєнс - регламентований внутрішніми документами професійного учасника ринків капіталу та організованих товарних ринків або осіб, які здійснюють діяльність, повʼязану з ринками капіталу та організованими товарними ринками, безперервний процес, спрямований на забезпечення та покращення".</w:t>
            </w:r>
          </w:p>
        </w:tc>
        <w:tc>
          <w:tcPr>
            <w:tcW w:w="1987" w:type="dxa"/>
          </w:tcPr>
          <w:p w14:paraId="057E3771"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562197E8" w14:textId="699F8C44" w:rsidR="006126F0" w:rsidRPr="00286216" w:rsidRDefault="006126F0" w:rsidP="006126F0">
            <w:pPr>
              <w:pStyle w:val="StyleZakonu"/>
              <w:rPr>
                <w:color w:val="000000" w:themeColor="text1"/>
              </w:rPr>
            </w:pPr>
            <w:r w:rsidRPr="00286216">
              <w:rPr>
                <w:color w:val="000000" w:themeColor="text1"/>
              </w:rPr>
              <w:t>24) комплаєнс - регламентований внутрішніми документами професійного учасника ринків капіталу та організованих товарних ринків або особи, яка здійснює діяльність, повʼязану з ринками капіталу та організованими товарними ринками, безперервний процес, спрямований на забезпечення та покращення:</w:t>
            </w:r>
          </w:p>
        </w:tc>
      </w:tr>
      <w:tr w:rsidR="00F77E8D" w:rsidRPr="00286216" w14:paraId="2F371966" w14:textId="77777777" w:rsidTr="00091AA5">
        <w:tc>
          <w:tcPr>
            <w:tcW w:w="576" w:type="dxa"/>
          </w:tcPr>
          <w:p w14:paraId="239DE112" w14:textId="77777777" w:rsidR="006126F0" w:rsidRPr="00286216" w:rsidRDefault="006126F0" w:rsidP="006126F0">
            <w:pPr>
              <w:pStyle w:val="StyleWisnow"/>
              <w:rPr>
                <w:color w:val="000000" w:themeColor="text1"/>
              </w:rPr>
            </w:pPr>
            <w:bookmarkStart w:id="51" w:name="n48" w:colFirst="0" w:colLast="0"/>
            <w:bookmarkEnd w:id="50"/>
            <w:r w:rsidRPr="00286216">
              <w:rPr>
                <w:color w:val="000000" w:themeColor="text1"/>
              </w:rPr>
              <w:t>48.</w:t>
            </w:r>
          </w:p>
        </w:tc>
        <w:tc>
          <w:tcPr>
            <w:tcW w:w="4818" w:type="dxa"/>
          </w:tcPr>
          <w:p w14:paraId="7AD04807" w14:textId="77777777" w:rsidR="006126F0" w:rsidRPr="00286216" w:rsidRDefault="006126F0" w:rsidP="006126F0">
            <w:pPr>
              <w:pStyle w:val="StyleZakonu"/>
              <w:rPr>
                <w:color w:val="000000" w:themeColor="text1"/>
              </w:rPr>
            </w:pPr>
            <w:r w:rsidRPr="00286216">
              <w:rPr>
                <w:color w:val="000000" w:themeColor="text1"/>
              </w:rPr>
              <w:t>а) опису усіх внутрішніх процесів, пов’язаних з провадженням професійної діяльності на ринках капіталу та організованих товарних ринках;</w:t>
            </w:r>
          </w:p>
        </w:tc>
        <w:tc>
          <w:tcPr>
            <w:tcW w:w="3686" w:type="dxa"/>
          </w:tcPr>
          <w:p w14:paraId="52F1D89F" w14:textId="60CC602F"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368223D" w14:textId="7359535A" w:rsidR="006126F0" w:rsidRPr="00286216" w:rsidRDefault="006126F0" w:rsidP="00F13F22">
            <w:pPr>
              <w:pStyle w:val="StyleProp"/>
              <w:spacing w:line="180" w:lineRule="exact"/>
              <w:rPr>
                <w:color w:val="000000" w:themeColor="text1"/>
              </w:rPr>
            </w:pPr>
            <w:r w:rsidRPr="00286216">
              <w:rPr>
                <w:color w:val="000000" w:themeColor="text1"/>
              </w:rPr>
              <w:t>Абзац другий пункту 24 статті 2 доповнити словами "або діяльності, повʼязаної з ринками капіталу та організованими товарними ринками.</w:t>
            </w:r>
          </w:p>
        </w:tc>
        <w:tc>
          <w:tcPr>
            <w:tcW w:w="1987" w:type="dxa"/>
          </w:tcPr>
          <w:p w14:paraId="6CF65500" w14:textId="4326F220"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4127CED8" w14:textId="67777143" w:rsidR="006126F0" w:rsidRPr="00286216" w:rsidRDefault="006126F0" w:rsidP="006126F0">
            <w:pPr>
              <w:pStyle w:val="StyleZakonu"/>
              <w:rPr>
                <w:color w:val="000000" w:themeColor="text1"/>
              </w:rPr>
            </w:pPr>
            <w:r w:rsidRPr="00286216">
              <w:rPr>
                <w:color w:val="000000" w:themeColor="text1"/>
              </w:rPr>
              <w:t>а) опису всіх внутрішніх процесів, пов’язаних з провадженням професійної діяльності на ринках капіталу та організованих товарних ринках або діяльності, повʼязаної з ринками капіталу та організованими товарними ринками;</w:t>
            </w:r>
          </w:p>
        </w:tc>
      </w:tr>
      <w:tr w:rsidR="00F77E8D" w:rsidRPr="00286216" w14:paraId="122A0507" w14:textId="77777777" w:rsidTr="00091AA5">
        <w:tc>
          <w:tcPr>
            <w:tcW w:w="576" w:type="dxa"/>
          </w:tcPr>
          <w:p w14:paraId="6FD62B3A" w14:textId="77777777" w:rsidR="006126F0" w:rsidRPr="00286216" w:rsidRDefault="006126F0" w:rsidP="006126F0">
            <w:pPr>
              <w:pStyle w:val="StyleWisnow"/>
              <w:rPr>
                <w:color w:val="000000" w:themeColor="text1"/>
              </w:rPr>
            </w:pPr>
            <w:bookmarkStart w:id="52" w:name="n49" w:colFirst="0" w:colLast="0"/>
            <w:bookmarkEnd w:id="51"/>
            <w:r w:rsidRPr="00286216">
              <w:rPr>
                <w:color w:val="000000" w:themeColor="text1"/>
              </w:rPr>
              <w:t>49.</w:t>
            </w:r>
          </w:p>
        </w:tc>
        <w:tc>
          <w:tcPr>
            <w:tcW w:w="4818" w:type="dxa"/>
          </w:tcPr>
          <w:p w14:paraId="064553B9" w14:textId="77777777" w:rsidR="006126F0" w:rsidRPr="00286216" w:rsidRDefault="006126F0" w:rsidP="006126F0">
            <w:pPr>
              <w:pStyle w:val="StyleZakonu"/>
              <w:rPr>
                <w:color w:val="000000" w:themeColor="text1"/>
              </w:rPr>
            </w:pPr>
            <w:r w:rsidRPr="00286216">
              <w:rPr>
                <w:color w:val="000000" w:themeColor="text1"/>
              </w:rPr>
              <w:t>б) відповідності внутрішніх документів, що описують передбачені пунктом "а" процеси, вимогам: законодавства на ринках капіталу та організованих товарних ринках, стандартів, правил, інших внутрішніх документів саморегулівної організації, членом якої є професійний учасник, правил організованого ринку, учасником якого такий професійний учасник є, або на якому його цінні папери допущені до торгів та бізнес-стратегії (бізнес-плану), ухваленої наглядовою радою професійного учасника;</w:t>
            </w:r>
          </w:p>
        </w:tc>
        <w:tc>
          <w:tcPr>
            <w:tcW w:w="3686" w:type="dxa"/>
          </w:tcPr>
          <w:p w14:paraId="3984AFC9" w14:textId="6A98BFA8" w:rsidR="006126F0" w:rsidRPr="00286216" w:rsidRDefault="006126F0" w:rsidP="006126F0">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65</w:t>
            </w:r>
            <w:r w:rsidRPr="00286216">
              <w:rPr>
                <w:color w:val="000000" w:themeColor="text1"/>
                <w:spacing w:val="-4"/>
              </w:rPr>
              <w:fldChar w:fldCharType="end"/>
            </w:r>
            <w:r w:rsidRPr="00286216">
              <w:rPr>
                <w:color w:val="000000" w:themeColor="text1"/>
                <w:spacing w:val="-4"/>
              </w:rPr>
              <w:t>-Н.д.Бєлькова О.В. (Реєстр.картка №403)</w:t>
            </w:r>
          </w:p>
          <w:p w14:paraId="32587349" w14:textId="666BF669" w:rsidR="006126F0" w:rsidRPr="00286216" w:rsidRDefault="006126F0" w:rsidP="00F13F22">
            <w:pPr>
              <w:pStyle w:val="StyleProp"/>
              <w:spacing w:line="180" w:lineRule="exact"/>
              <w:rPr>
                <w:color w:val="000000" w:themeColor="text1"/>
              </w:rPr>
            </w:pPr>
            <w:r w:rsidRPr="00286216">
              <w:rPr>
                <w:color w:val="000000" w:themeColor="text1"/>
              </w:rPr>
              <w:t>Абзац третій пункту 24 частини першої статті 2 доповнити словами «, а також забезпечення» замінити словами " або іншим органом</w:t>
            </w:r>
            <w:r w:rsidRPr="00286216">
              <w:rPr>
                <w:color w:val="000000" w:themeColor="text1"/>
                <w:szCs w:val="18"/>
              </w:rPr>
              <w:t>, відповідальним за здійснення нагляду</w:t>
            </w:r>
            <w:r w:rsidRPr="00286216">
              <w:rPr>
                <w:color w:val="000000" w:themeColor="text1"/>
              </w:rPr>
              <w:t xml:space="preserve"> професійного учасника".</w:t>
            </w:r>
          </w:p>
          <w:p w14:paraId="2CA9993B" w14:textId="77777777" w:rsidR="006126F0" w:rsidRPr="00286216" w:rsidRDefault="006126F0" w:rsidP="006126F0">
            <w:pPr>
              <w:pStyle w:val="StyleProp"/>
              <w:rPr>
                <w:color w:val="000000" w:themeColor="text1"/>
                <w:szCs w:val="18"/>
              </w:rPr>
            </w:pPr>
          </w:p>
        </w:tc>
        <w:tc>
          <w:tcPr>
            <w:tcW w:w="1987" w:type="dxa"/>
          </w:tcPr>
          <w:p w14:paraId="016828AE" w14:textId="064B7304" w:rsidR="006126F0" w:rsidRPr="00286216" w:rsidRDefault="006126F0" w:rsidP="006126F0">
            <w:pPr>
              <w:pStyle w:val="StyleWisnow"/>
              <w:spacing w:line="180" w:lineRule="exact"/>
              <w:rPr>
                <w:color w:val="000000" w:themeColor="text1"/>
              </w:rPr>
            </w:pPr>
            <w:r w:rsidRPr="00286216">
              <w:rPr>
                <w:color w:val="000000" w:themeColor="text1"/>
              </w:rPr>
              <w:t>Враховано</w:t>
            </w:r>
          </w:p>
        </w:tc>
        <w:tc>
          <w:tcPr>
            <w:tcW w:w="4818" w:type="dxa"/>
          </w:tcPr>
          <w:p w14:paraId="13ED5030" w14:textId="4668C58A" w:rsidR="006126F0" w:rsidRPr="00286216" w:rsidRDefault="006126F0" w:rsidP="005F0A24">
            <w:pPr>
              <w:pStyle w:val="StyleZakonu"/>
              <w:rPr>
                <w:color w:val="000000" w:themeColor="text1"/>
              </w:rPr>
            </w:pPr>
            <w:r w:rsidRPr="00286216">
              <w:rPr>
                <w:color w:val="000000" w:themeColor="text1"/>
              </w:rPr>
              <w:t xml:space="preserve">б) відповідності внутрішніх документів, що описують передбачені підпунктом "а" цього пункту процеси, вимогам законодавства про ринки капіталу та організовані товарні ринки, стандартів, правил, інших внутрішніх документів саморегулівної організації, членом якої є професійний учасник, правил організованого ринку, учасником якого є такий професійний учасник або на якому його цінні папери допущені до торгів, а також відповідність </w:t>
            </w:r>
            <w:r w:rsidR="00DA0481" w:rsidRPr="00286216">
              <w:rPr>
                <w:color w:val="000000" w:themeColor="text1"/>
              </w:rPr>
              <w:t>бізнес-плану (</w:t>
            </w:r>
            <w:r w:rsidRPr="00286216">
              <w:rPr>
                <w:color w:val="000000" w:themeColor="text1"/>
              </w:rPr>
              <w:t>бізнес-стратегії</w:t>
            </w:r>
            <w:r w:rsidR="00DA0481" w:rsidRPr="00286216">
              <w:rPr>
                <w:color w:val="000000" w:themeColor="text1"/>
              </w:rPr>
              <w:t>)</w:t>
            </w:r>
            <w:r w:rsidRPr="00286216">
              <w:rPr>
                <w:color w:val="000000" w:themeColor="text1"/>
              </w:rPr>
              <w:t>, ухвалено</w:t>
            </w:r>
            <w:r w:rsidR="00DA0481" w:rsidRPr="00286216">
              <w:rPr>
                <w:color w:val="000000" w:themeColor="text1"/>
              </w:rPr>
              <w:t>го</w:t>
            </w:r>
            <w:r w:rsidRPr="00286216">
              <w:rPr>
                <w:color w:val="000000" w:themeColor="text1"/>
              </w:rPr>
              <w:t xml:space="preserve"> наглядовою радою або іншим органом</w:t>
            </w:r>
            <w:r w:rsidRPr="00286216">
              <w:rPr>
                <w:color w:val="000000" w:themeColor="text1"/>
                <w:szCs w:val="18"/>
              </w:rPr>
              <w:t>, відповідальним за здійснення нагляду</w:t>
            </w:r>
            <w:r w:rsidRPr="00286216">
              <w:rPr>
                <w:color w:val="000000" w:themeColor="text1"/>
              </w:rPr>
              <w:t xml:space="preserve"> професійного учасника;</w:t>
            </w:r>
          </w:p>
        </w:tc>
      </w:tr>
      <w:tr w:rsidR="00F77E8D" w:rsidRPr="00286216" w14:paraId="36272470" w14:textId="77777777" w:rsidTr="00091AA5">
        <w:tc>
          <w:tcPr>
            <w:tcW w:w="576" w:type="dxa"/>
          </w:tcPr>
          <w:p w14:paraId="710F9660" w14:textId="77777777" w:rsidR="006126F0" w:rsidRPr="00286216" w:rsidRDefault="006126F0" w:rsidP="006126F0">
            <w:pPr>
              <w:pStyle w:val="StyleWisnow"/>
              <w:rPr>
                <w:color w:val="000000" w:themeColor="text1"/>
              </w:rPr>
            </w:pPr>
            <w:bookmarkStart w:id="53" w:name="n50" w:colFirst="0" w:colLast="0"/>
            <w:bookmarkEnd w:id="52"/>
            <w:r w:rsidRPr="00286216">
              <w:rPr>
                <w:color w:val="000000" w:themeColor="text1"/>
              </w:rPr>
              <w:t>50.</w:t>
            </w:r>
          </w:p>
        </w:tc>
        <w:tc>
          <w:tcPr>
            <w:tcW w:w="4818" w:type="dxa"/>
          </w:tcPr>
          <w:p w14:paraId="7E08C53D" w14:textId="77777777" w:rsidR="006126F0" w:rsidRPr="00286216" w:rsidRDefault="006126F0" w:rsidP="006126F0">
            <w:pPr>
              <w:pStyle w:val="StyleZakonu"/>
              <w:rPr>
                <w:color w:val="000000" w:themeColor="text1"/>
              </w:rPr>
            </w:pPr>
            <w:r w:rsidRPr="00286216">
              <w:rPr>
                <w:color w:val="000000" w:themeColor="text1"/>
              </w:rPr>
              <w:t>в) виконання працівниками професійного учасника вимог внутрішніх правил та процедур, що описують передбачені пунктом "а" процеси;</w:t>
            </w:r>
          </w:p>
        </w:tc>
        <w:tc>
          <w:tcPr>
            <w:tcW w:w="3686" w:type="dxa"/>
          </w:tcPr>
          <w:p w14:paraId="3915C006" w14:textId="19CFA844" w:rsidR="006126F0" w:rsidRPr="00286216" w:rsidRDefault="006126F0" w:rsidP="00E71C29">
            <w:pPr>
              <w:pStyle w:val="StyleAwt"/>
              <w:spacing w:line="21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EEAD0E9" w14:textId="26ACD06C" w:rsidR="006126F0" w:rsidRPr="00286216" w:rsidRDefault="006126F0" w:rsidP="006126F0">
            <w:pPr>
              <w:pStyle w:val="StyleProp"/>
              <w:spacing w:line="180" w:lineRule="exact"/>
              <w:rPr>
                <w:color w:val="000000" w:themeColor="text1"/>
              </w:rPr>
            </w:pPr>
            <w:r w:rsidRPr="00286216">
              <w:rPr>
                <w:color w:val="000000" w:themeColor="text1"/>
              </w:rPr>
              <w:t>Абзац четвертий пункту 24 статті 2 викласти у такій редакції:</w:t>
            </w:r>
          </w:p>
          <w:p w14:paraId="3183AE05" w14:textId="687E5310" w:rsidR="006126F0" w:rsidRPr="00286216" w:rsidRDefault="006126F0" w:rsidP="006126F0">
            <w:pPr>
              <w:pStyle w:val="StyleProp"/>
              <w:spacing w:line="180" w:lineRule="exact"/>
              <w:rPr>
                <w:color w:val="000000" w:themeColor="text1"/>
                <w:szCs w:val="18"/>
              </w:rPr>
            </w:pPr>
            <w:r w:rsidRPr="00286216">
              <w:rPr>
                <w:color w:val="000000" w:themeColor="text1"/>
              </w:rPr>
              <w:t xml:space="preserve">"в) виконання працівниками професійного учасника ринків капіталу та організованих товарних ринків або особи, яка здійснює діяльність, повʼязану з ринками капіталу та організованими товарними ринками, правил </w:t>
            </w:r>
            <w:r w:rsidRPr="00286216">
              <w:rPr>
                <w:color w:val="000000" w:themeColor="text1"/>
              </w:rPr>
              <w:lastRenderedPageBreak/>
              <w:t>та процедур, що описують передбачені підпунктом "а" цього пункту процеси".</w:t>
            </w:r>
          </w:p>
        </w:tc>
        <w:tc>
          <w:tcPr>
            <w:tcW w:w="1987" w:type="dxa"/>
          </w:tcPr>
          <w:p w14:paraId="23B7CF35" w14:textId="0B00BCD3" w:rsidR="006126F0" w:rsidRPr="00286216" w:rsidRDefault="006126F0" w:rsidP="006126F0">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5D94F27A" w14:textId="1C43132A" w:rsidR="006126F0" w:rsidRPr="00286216" w:rsidRDefault="006126F0" w:rsidP="006126F0">
            <w:pPr>
              <w:pStyle w:val="StyleZakonu"/>
              <w:rPr>
                <w:color w:val="000000" w:themeColor="text1"/>
              </w:rPr>
            </w:pPr>
            <w:r w:rsidRPr="00286216">
              <w:rPr>
                <w:color w:val="000000" w:themeColor="text1"/>
              </w:rPr>
              <w:t>в) виконання працівниками професійного учасника ринків капіталу та організованих товарних ринків або особи, яка здійснює діяльність, повʼязану з ринками капіталу та організованими товарними ринками, правил та процедур, що описують передбачені підпунктом "а" цього пункту процеси;</w:t>
            </w:r>
          </w:p>
        </w:tc>
      </w:tr>
      <w:tr w:rsidR="00F77E8D" w:rsidRPr="00286216" w14:paraId="74B95F79" w14:textId="77777777" w:rsidTr="00091AA5">
        <w:tc>
          <w:tcPr>
            <w:tcW w:w="576" w:type="dxa"/>
          </w:tcPr>
          <w:p w14:paraId="16ADA8AB" w14:textId="77777777" w:rsidR="006126F0" w:rsidRPr="00286216" w:rsidRDefault="006126F0" w:rsidP="006126F0">
            <w:pPr>
              <w:pStyle w:val="StyleWisnow"/>
              <w:rPr>
                <w:color w:val="000000" w:themeColor="text1"/>
              </w:rPr>
            </w:pPr>
            <w:bookmarkStart w:id="54" w:name="n51" w:colFirst="0" w:colLast="0"/>
            <w:bookmarkEnd w:id="53"/>
            <w:r w:rsidRPr="00286216">
              <w:rPr>
                <w:color w:val="000000" w:themeColor="text1"/>
              </w:rPr>
              <w:lastRenderedPageBreak/>
              <w:t>51.</w:t>
            </w:r>
          </w:p>
        </w:tc>
        <w:tc>
          <w:tcPr>
            <w:tcW w:w="4818" w:type="dxa"/>
          </w:tcPr>
          <w:p w14:paraId="1F2C62A4" w14:textId="77777777" w:rsidR="006126F0" w:rsidRPr="00286216" w:rsidRDefault="006126F0" w:rsidP="006126F0">
            <w:pPr>
              <w:pStyle w:val="StyleZakonu"/>
              <w:rPr>
                <w:color w:val="000000" w:themeColor="text1"/>
              </w:rPr>
            </w:pPr>
            <w:r w:rsidRPr="00286216">
              <w:rPr>
                <w:color w:val="000000" w:themeColor="text1"/>
              </w:rPr>
              <w:t>25) малі та середні підприємства (МСП) -підприємства, середнє значення ринкової капіталізації яких станом на кінець фінансового року протягом останніх трьох років було меншим 200 мільйонів євро. Національна комісія з цінних паперів та фондового ринку може встановлювати інші підстави віднесення підприємств до МСП. При цьому розрахунок середнього значення ринкової капіталізації здійснюється в порядку встановленому Національна комісія з цінних паперів та фондового ринку;</w:t>
            </w:r>
          </w:p>
        </w:tc>
        <w:tc>
          <w:tcPr>
            <w:tcW w:w="3686" w:type="dxa"/>
          </w:tcPr>
          <w:p w14:paraId="04D1021A" w14:textId="44FEAA7C" w:rsidR="006126F0" w:rsidRPr="00286216" w:rsidRDefault="006126F0" w:rsidP="00E71C29">
            <w:pPr>
              <w:pStyle w:val="StyleAwt"/>
              <w:spacing w:line="21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14A4EB9" w14:textId="77777777" w:rsidR="006126F0" w:rsidRPr="00286216" w:rsidRDefault="006126F0" w:rsidP="006126F0">
            <w:pPr>
              <w:pStyle w:val="StyleProp"/>
              <w:spacing w:line="180" w:lineRule="exact"/>
              <w:rPr>
                <w:rFonts w:eastAsia="Calibri"/>
                <w:color w:val="000000" w:themeColor="text1"/>
              </w:rPr>
            </w:pPr>
            <w:r w:rsidRPr="00286216">
              <w:rPr>
                <w:rFonts w:eastAsia="Calibri"/>
                <w:color w:val="000000" w:themeColor="text1"/>
                <w:lang w:eastAsia="en-US"/>
              </w:rPr>
              <w:t xml:space="preserve">Пункт 25 статті 2 Закону викласти у такій </w:t>
            </w:r>
            <w:r w:rsidRPr="00286216">
              <w:rPr>
                <w:rFonts w:eastAsia="Calibri"/>
                <w:color w:val="000000" w:themeColor="text1"/>
              </w:rPr>
              <w:t>редакції:</w:t>
            </w:r>
          </w:p>
          <w:p w14:paraId="7ABB00A5" w14:textId="77777777" w:rsidR="006126F0" w:rsidRPr="00286216" w:rsidRDefault="006126F0" w:rsidP="006126F0">
            <w:pPr>
              <w:pStyle w:val="StyleProp"/>
              <w:spacing w:line="180" w:lineRule="exact"/>
              <w:rPr>
                <w:color w:val="000000" w:themeColor="text1"/>
              </w:rPr>
            </w:pPr>
            <w:r w:rsidRPr="00286216">
              <w:rPr>
                <w:rFonts w:eastAsia="Calibri"/>
                <w:color w:val="000000" w:themeColor="text1"/>
              </w:rPr>
              <w:t>"2</w:t>
            </w:r>
            <w:r w:rsidRPr="00286216">
              <w:rPr>
                <w:color w:val="000000" w:themeColor="text1"/>
              </w:rPr>
              <w:t>5) малі та середні підприємства (далі – МСП) – підприємства, до яких належать:</w:t>
            </w:r>
          </w:p>
          <w:p w14:paraId="7314BA4A" w14:textId="4ECD2F50" w:rsidR="006126F0" w:rsidRPr="00286216" w:rsidRDefault="006126F0" w:rsidP="006126F0">
            <w:pPr>
              <w:pStyle w:val="StyleProp"/>
              <w:spacing w:line="180" w:lineRule="exact"/>
              <w:rPr>
                <w:color w:val="000000" w:themeColor="text1"/>
              </w:rPr>
            </w:pPr>
            <w:r w:rsidRPr="00286216">
              <w:rPr>
                <w:color w:val="000000" w:themeColor="text1"/>
              </w:rPr>
              <w:t>а) емітенти пайових цінних паперів, середнє значення ринкової капіталізації яких протягом трьох останніх років, а для підприємств, цінні папери яких допущені до торгів на організованому ринку протягом періоду меншого, ніж три роки, – протягом всього періоду допуску до торгів на організованому ринку, не перевищувало 6 мільярдів гривень;</w:t>
            </w:r>
          </w:p>
          <w:p w14:paraId="7D3BAEED" w14:textId="74073221" w:rsidR="006126F0" w:rsidRPr="00286216" w:rsidRDefault="006126F0" w:rsidP="006126F0">
            <w:pPr>
              <w:pStyle w:val="StyleProp"/>
              <w:spacing w:line="180" w:lineRule="exact"/>
              <w:rPr>
                <w:color w:val="000000" w:themeColor="text1"/>
                <w:spacing w:val="-2"/>
              </w:rPr>
            </w:pPr>
            <w:r w:rsidRPr="00286216">
              <w:rPr>
                <w:color w:val="000000" w:themeColor="text1"/>
                <w:spacing w:val="-2"/>
              </w:rPr>
              <w:t>б) емітенти пайових цінних паперів, які не були допущені до торгів на організованому ринку, або не є емітентами пайових цінних паперів, та сукупна номінальна вартість усіх боргових цінних паперів яких за умови, що такі цінні папери були допущені до торгів на організованому ринку протягом останнього календарного року, не перевищувала 1,5 мільярди гривень за останній календарний рік.</w:t>
            </w:r>
          </w:p>
          <w:p w14:paraId="75B2B8A6" w14:textId="018801B6" w:rsidR="006126F0" w:rsidRPr="00286216" w:rsidRDefault="006126F0" w:rsidP="006126F0">
            <w:pPr>
              <w:pStyle w:val="StyleProp"/>
              <w:spacing w:line="180" w:lineRule="exact"/>
              <w:rPr>
                <w:color w:val="000000" w:themeColor="text1"/>
              </w:rPr>
            </w:pPr>
            <w:r w:rsidRPr="00286216">
              <w:rPr>
                <w:color w:val="000000" w:themeColor="text1"/>
                <w:spacing w:val="-2"/>
              </w:rPr>
              <w:t>Національна комісія з цінних паперів та фондового ринку встановлює порядок розрахунку середнього значення ринкової капіталізації та сукупної номінальної вартості боргових цінних паперів, що допущені до торгів на організованому ринку".</w:t>
            </w:r>
          </w:p>
        </w:tc>
        <w:tc>
          <w:tcPr>
            <w:tcW w:w="1987" w:type="dxa"/>
          </w:tcPr>
          <w:p w14:paraId="391C72AF" w14:textId="6AD0E0ED" w:rsidR="006126F0" w:rsidRPr="00286216" w:rsidRDefault="006126F0" w:rsidP="006126F0">
            <w:pPr>
              <w:pStyle w:val="StyleWisnow"/>
              <w:spacing w:line="180" w:lineRule="exact"/>
              <w:rPr>
                <w:color w:val="000000" w:themeColor="text1"/>
                <w:sz w:val="28"/>
                <w:szCs w:val="28"/>
              </w:rPr>
            </w:pPr>
            <w:r w:rsidRPr="00286216">
              <w:rPr>
                <w:color w:val="000000" w:themeColor="text1"/>
              </w:rPr>
              <w:t>Враховано редакційно</w:t>
            </w:r>
          </w:p>
        </w:tc>
        <w:tc>
          <w:tcPr>
            <w:tcW w:w="4818" w:type="dxa"/>
          </w:tcPr>
          <w:p w14:paraId="13686C68" w14:textId="26B877C0" w:rsidR="006126F0" w:rsidRPr="00286216" w:rsidRDefault="006126F0" w:rsidP="006126F0">
            <w:pPr>
              <w:pStyle w:val="StyleZakonu"/>
              <w:rPr>
                <w:color w:val="000000" w:themeColor="text1"/>
              </w:rPr>
            </w:pPr>
            <w:r w:rsidRPr="00286216">
              <w:rPr>
                <w:color w:val="000000" w:themeColor="text1"/>
              </w:rPr>
              <w:t>25) малі та середні підприємства (далі – МСП) –підприємства, що є:</w:t>
            </w:r>
          </w:p>
          <w:p w14:paraId="28139A8A" w14:textId="4792C48A" w:rsidR="006126F0" w:rsidRPr="00286216" w:rsidRDefault="006126F0" w:rsidP="006126F0">
            <w:pPr>
              <w:pStyle w:val="StyleZakonu"/>
              <w:rPr>
                <w:color w:val="000000" w:themeColor="text1"/>
              </w:rPr>
            </w:pPr>
            <w:r w:rsidRPr="00286216">
              <w:rPr>
                <w:color w:val="000000" w:themeColor="text1"/>
              </w:rPr>
              <w:t>а) емітентами пайових цінних паперів та середнє значення ринкової капіталізації яких протягом трьох останніх років, а для підприємств, цінні папери яких допущені до торгів на організованому ринку протягом періоду меншого, ніж три роки, – протягом всього періоду допуску до торгів на організованому ринку, не перевищувало 6 мільярдів гривень;</w:t>
            </w:r>
          </w:p>
          <w:p w14:paraId="131C61EC" w14:textId="33746296" w:rsidR="006126F0" w:rsidRPr="00286216" w:rsidRDefault="006126F0" w:rsidP="006126F0">
            <w:pPr>
              <w:pStyle w:val="StyleZakonu"/>
              <w:rPr>
                <w:color w:val="000000" w:themeColor="text1"/>
              </w:rPr>
            </w:pPr>
            <w:r w:rsidRPr="00286216">
              <w:rPr>
                <w:color w:val="000000" w:themeColor="text1"/>
              </w:rPr>
              <w:t>б) емітентами пайових цінних паперів, які не були допущені до торгів на організованому ринку або не є емітентами пайових цінних паперів та сукупна номінальна вартість усіх боргових цінних паперів яких</w:t>
            </w:r>
            <w:r w:rsidR="005F0A24" w:rsidRPr="00286216">
              <w:rPr>
                <w:color w:val="000000" w:themeColor="text1"/>
              </w:rPr>
              <w:t>,</w:t>
            </w:r>
            <w:r w:rsidRPr="00286216">
              <w:rPr>
                <w:color w:val="000000" w:themeColor="text1"/>
              </w:rPr>
              <w:t xml:space="preserve"> за умови що такі цінні папери були допущені до торгів на організованому ринку протягом останнього календарного року, не перевищувала 1,5 мільярда гривень за останній календарний рік. </w:t>
            </w:r>
          </w:p>
          <w:p w14:paraId="42E560A5" w14:textId="25364F28" w:rsidR="006126F0" w:rsidRPr="00286216" w:rsidRDefault="006126F0" w:rsidP="005F0A24">
            <w:pPr>
              <w:pStyle w:val="StyleZakonu"/>
              <w:rPr>
                <w:color w:val="000000" w:themeColor="text1"/>
              </w:rPr>
            </w:pPr>
            <w:r w:rsidRPr="00286216">
              <w:rPr>
                <w:color w:val="000000" w:themeColor="text1"/>
              </w:rPr>
              <w:t>Національна комісія з цінних паперів та фондового ринку встановлює порядок розрахунку середнього значення ринкової капіталізації та сукупної номінальної вартості боргових цінних паперів, допущен</w:t>
            </w:r>
            <w:r w:rsidR="005F0A24" w:rsidRPr="00286216">
              <w:rPr>
                <w:color w:val="000000" w:themeColor="text1"/>
              </w:rPr>
              <w:t>их</w:t>
            </w:r>
            <w:r w:rsidRPr="00286216">
              <w:rPr>
                <w:color w:val="000000" w:themeColor="text1"/>
              </w:rPr>
              <w:t xml:space="preserve"> до торгів на організованому ринку;</w:t>
            </w:r>
          </w:p>
        </w:tc>
      </w:tr>
      <w:bookmarkEnd w:id="54"/>
      <w:tr w:rsidR="00F77E8D" w:rsidRPr="00286216" w14:paraId="7577C51F" w14:textId="77777777" w:rsidTr="00091AA5">
        <w:tc>
          <w:tcPr>
            <w:tcW w:w="576" w:type="dxa"/>
          </w:tcPr>
          <w:p w14:paraId="06909461" w14:textId="77777777" w:rsidR="006126F0" w:rsidRPr="00286216" w:rsidRDefault="006126F0" w:rsidP="006126F0">
            <w:pPr>
              <w:pStyle w:val="StyleWisnow"/>
              <w:rPr>
                <w:color w:val="000000" w:themeColor="text1"/>
              </w:rPr>
            </w:pPr>
          </w:p>
        </w:tc>
        <w:tc>
          <w:tcPr>
            <w:tcW w:w="4818" w:type="dxa"/>
          </w:tcPr>
          <w:p w14:paraId="7399049C" w14:textId="77777777" w:rsidR="006126F0" w:rsidRPr="00286216" w:rsidRDefault="006126F0" w:rsidP="006126F0">
            <w:pPr>
              <w:pStyle w:val="StyleZakonu"/>
              <w:rPr>
                <w:color w:val="000000" w:themeColor="text1"/>
              </w:rPr>
            </w:pPr>
          </w:p>
        </w:tc>
        <w:tc>
          <w:tcPr>
            <w:tcW w:w="3686" w:type="dxa"/>
          </w:tcPr>
          <w:p w14:paraId="5052B76D" w14:textId="43AB2C40" w:rsidR="006126F0" w:rsidRPr="00286216" w:rsidRDefault="006126F0" w:rsidP="00E71C29">
            <w:pPr>
              <w:pStyle w:val="StyleAwt"/>
              <w:spacing w:line="210" w:lineRule="exac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053BA06" w14:textId="0F630903" w:rsidR="006126F0" w:rsidRPr="00286216" w:rsidRDefault="006126F0" w:rsidP="006276D5">
            <w:pPr>
              <w:pStyle w:val="StyleProp"/>
              <w:spacing w:line="180" w:lineRule="exact"/>
              <w:rPr>
                <w:color w:val="000000" w:themeColor="text1"/>
                <w:szCs w:val="18"/>
              </w:rPr>
            </w:pPr>
            <w:r w:rsidRPr="00286216">
              <w:rPr>
                <w:color w:val="000000" w:themeColor="text1"/>
                <w:szCs w:val="18"/>
              </w:rPr>
              <w:t>У статті 2 в частині першій перше речення пункту 25 викласти у такій редакції:</w:t>
            </w:r>
          </w:p>
          <w:p w14:paraId="77144175" w14:textId="77777777" w:rsidR="006126F0" w:rsidRPr="00286216" w:rsidRDefault="006126F0" w:rsidP="006276D5">
            <w:pPr>
              <w:pStyle w:val="StyleProp"/>
              <w:spacing w:line="180" w:lineRule="exact"/>
              <w:rPr>
                <w:color w:val="000000" w:themeColor="text1"/>
                <w:szCs w:val="18"/>
              </w:rPr>
            </w:pPr>
            <w:r w:rsidRPr="00286216">
              <w:rPr>
                <w:color w:val="000000" w:themeColor="text1"/>
                <w:szCs w:val="18"/>
              </w:rPr>
              <w:t>«25) малі та середні підприємства (МСП) – підприємства, середнє значення ринкової капіталізації яких протягом періоду часу не більшого трьох останніх років було меншим 200 мільйонів євро. Національна комісія з цінних паперів та фондового ринку може встановлювати інші підстави віднесення підприємств до МСП.».</w:t>
            </w:r>
          </w:p>
        </w:tc>
        <w:tc>
          <w:tcPr>
            <w:tcW w:w="1987" w:type="dxa"/>
          </w:tcPr>
          <w:p w14:paraId="5F201811" w14:textId="77777777" w:rsidR="006126F0" w:rsidRPr="00286216" w:rsidRDefault="006126F0" w:rsidP="006126F0">
            <w:pPr>
              <w:pStyle w:val="StyleWisnow"/>
              <w:rPr>
                <w:color w:val="000000" w:themeColor="text1"/>
              </w:rPr>
            </w:pPr>
            <w:r w:rsidRPr="00286216">
              <w:rPr>
                <w:color w:val="000000" w:themeColor="text1"/>
              </w:rPr>
              <w:t>Відхилено</w:t>
            </w:r>
          </w:p>
          <w:p w14:paraId="6D483A09" w14:textId="77777777" w:rsidR="006126F0" w:rsidRPr="00286216" w:rsidRDefault="006126F0" w:rsidP="006126F0">
            <w:pPr>
              <w:pStyle w:val="StyleWisnow"/>
              <w:spacing w:line="180" w:lineRule="exact"/>
              <w:rPr>
                <w:color w:val="000000" w:themeColor="text1"/>
              </w:rPr>
            </w:pPr>
            <w:r w:rsidRPr="00286216">
              <w:rPr>
                <w:color w:val="000000" w:themeColor="text1"/>
              </w:rPr>
              <w:t>НКЦПФР не повинна визначати інші підстави віднесення, які не передбачені Законом</w:t>
            </w:r>
          </w:p>
        </w:tc>
        <w:tc>
          <w:tcPr>
            <w:tcW w:w="4818" w:type="dxa"/>
          </w:tcPr>
          <w:p w14:paraId="06E760C3" w14:textId="77777777" w:rsidR="006126F0" w:rsidRPr="00286216" w:rsidRDefault="006126F0" w:rsidP="006126F0">
            <w:pPr>
              <w:pStyle w:val="StyleZakonu"/>
              <w:rPr>
                <w:color w:val="000000" w:themeColor="text1"/>
              </w:rPr>
            </w:pPr>
          </w:p>
        </w:tc>
      </w:tr>
      <w:tr w:rsidR="00F77E8D" w:rsidRPr="00286216" w14:paraId="5BDADC6F" w14:textId="77777777" w:rsidTr="00091AA5">
        <w:tc>
          <w:tcPr>
            <w:tcW w:w="576" w:type="dxa"/>
          </w:tcPr>
          <w:p w14:paraId="0ED21D84" w14:textId="77777777" w:rsidR="006126F0" w:rsidRPr="00286216" w:rsidRDefault="006126F0" w:rsidP="006126F0">
            <w:pPr>
              <w:pStyle w:val="StyleWisnow"/>
              <w:rPr>
                <w:color w:val="000000" w:themeColor="text1"/>
              </w:rPr>
            </w:pPr>
          </w:p>
        </w:tc>
        <w:tc>
          <w:tcPr>
            <w:tcW w:w="4818" w:type="dxa"/>
          </w:tcPr>
          <w:p w14:paraId="2DC3101E" w14:textId="77777777" w:rsidR="006126F0" w:rsidRPr="00286216" w:rsidRDefault="006126F0" w:rsidP="006126F0">
            <w:pPr>
              <w:pStyle w:val="StyleZakonu"/>
              <w:rPr>
                <w:color w:val="000000" w:themeColor="text1"/>
              </w:rPr>
            </w:pPr>
          </w:p>
        </w:tc>
        <w:tc>
          <w:tcPr>
            <w:tcW w:w="3686" w:type="dxa"/>
          </w:tcPr>
          <w:p w14:paraId="2F4E2D76" w14:textId="1D856A05" w:rsidR="006126F0" w:rsidRPr="00286216" w:rsidRDefault="006126F0" w:rsidP="00E71C29">
            <w:pPr>
              <w:spacing w:line="21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69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532C42F" w14:textId="77777777" w:rsidR="006126F0" w:rsidRPr="00286216" w:rsidRDefault="006126F0" w:rsidP="00E71C29">
            <w:pPr>
              <w:spacing w:line="180" w:lineRule="exact"/>
              <w:ind w:firstLine="227"/>
              <w:jc w:val="both"/>
              <w:rPr>
                <w:color w:val="000000" w:themeColor="text1"/>
                <w:sz w:val="18"/>
              </w:rPr>
            </w:pPr>
            <w:r w:rsidRPr="00286216">
              <w:rPr>
                <w:color w:val="000000" w:themeColor="text1"/>
                <w:sz w:val="18"/>
              </w:rPr>
              <w:t>Пункт 25 частини 2 статті 2 розділу 1 викласти в такій редакції:</w:t>
            </w:r>
          </w:p>
          <w:p w14:paraId="679D2161" w14:textId="77777777" w:rsidR="006126F0" w:rsidRPr="00286216" w:rsidRDefault="006126F0" w:rsidP="00E71C29">
            <w:pPr>
              <w:spacing w:line="180" w:lineRule="exact"/>
              <w:ind w:firstLine="227"/>
              <w:jc w:val="both"/>
              <w:rPr>
                <w:color w:val="000000" w:themeColor="text1"/>
                <w:sz w:val="18"/>
              </w:rPr>
            </w:pPr>
            <w:r w:rsidRPr="00286216">
              <w:rPr>
                <w:color w:val="000000" w:themeColor="text1"/>
                <w:sz w:val="18"/>
              </w:rPr>
              <w:t>«25) малі та середні підприємства (МСП) – підприємства, які відповідають критеріям малих та середніх підприємств, встановленим Законом України «Про бухгалтерський облік та фінансову звітність в Україні»;».</w:t>
            </w:r>
          </w:p>
        </w:tc>
        <w:tc>
          <w:tcPr>
            <w:tcW w:w="1987" w:type="dxa"/>
          </w:tcPr>
          <w:p w14:paraId="12166C12" w14:textId="77777777" w:rsidR="006126F0" w:rsidRPr="00286216" w:rsidRDefault="006126F0" w:rsidP="005F0A24">
            <w:pPr>
              <w:pStyle w:val="StyleWisnow"/>
              <w:spacing w:line="180" w:lineRule="exact"/>
              <w:rPr>
                <w:color w:val="000000" w:themeColor="text1"/>
              </w:rPr>
            </w:pPr>
            <w:r w:rsidRPr="00286216">
              <w:rPr>
                <w:color w:val="000000" w:themeColor="text1"/>
              </w:rPr>
              <w:t>Відхилено</w:t>
            </w:r>
          </w:p>
          <w:p w14:paraId="013C9C40" w14:textId="77777777" w:rsidR="006126F0" w:rsidRPr="00286216" w:rsidRDefault="006126F0" w:rsidP="005F0A24">
            <w:pPr>
              <w:pStyle w:val="StyleWisnow"/>
              <w:spacing w:line="180" w:lineRule="exact"/>
              <w:rPr>
                <w:color w:val="000000" w:themeColor="text1"/>
              </w:rPr>
            </w:pPr>
            <w:r w:rsidRPr="00286216">
              <w:rPr>
                <w:color w:val="000000" w:themeColor="text1"/>
              </w:rPr>
              <w:t xml:space="preserve">критерії Закону Про бухгалтерський облік не завжди та не у повній мірі відповідають цілям даного Закону </w:t>
            </w:r>
          </w:p>
        </w:tc>
        <w:tc>
          <w:tcPr>
            <w:tcW w:w="4818" w:type="dxa"/>
          </w:tcPr>
          <w:p w14:paraId="0D42EF16" w14:textId="77777777" w:rsidR="006126F0" w:rsidRPr="00286216" w:rsidRDefault="006126F0" w:rsidP="006126F0">
            <w:pPr>
              <w:pStyle w:val="StyleZakonu"/>
              <w:rPr>
                <w:color w:val="000000" w:themeColor="text1"/>
              </w:rPr>
            </w:pPr>
          </w:p>
        </w:tc>
      </w:tr>
      <w:tr w:rsidR="00F77E8D" w:rsidRPr="00286216" w14:paraId="4076DA97" w14:textId="77777777" w:rsidTr="00091AA5">
        <w:tc>
          <w:tcPr>
            <w:tcW w:w="576" w:type="dxa"/>
          </w:tcPr>
          <w:p w14:paraId="76477190" w14:textId="77777777" w:rsidR="006126F0" w:rsidRPr="00286216" w:rsidRDefault="006126F0" w:rsidP="006126F0">
            <w:pPr>
              <w:pStyle w:val="StyleWisnow"/>
              <w:rPr>
                <w:color w:val="000000" w:themeColor="text1"/>
              </w:rPr>
            </w:pPr>
          </w:p>
        </w:tc>
        <w:tc>
          <w:tcPr>
            <w:tcW w:w="4818" w:type="dxa"/>
          </w:tcPr>
          <w:p w14:paraId="2DDCA4BD" w14:textId="77777777" w:rsidR="006126F0" w:rsidRPr="00286216" w:rsidRDefault="006126F0" w:rsidP="006126F0">
            <w:pPr>
              <w:pStyle w:val="StyleZakonu"/>
              <w:rPr>
                <w:color w:val="000000" w:themeColor="text1"/>
              </w:rPr>
            </w:pPr>
          </w:p>
        </w:tc>
        <w:tc>
          <w:tcPr>
            <w:tcW w:w="3686" w:type="dxa"/>
          </w:tcPr>
          <w:p w14:paraId="04A8B138" w14:textId="323162DB" w:rsidR="006126F0" w:rsidRPr="00286216" w:rsidRDefault="006126F0" w:rsidP="00E71C29">
            <w:pPr>
              <w:pStyle w:val="StyleAwt"/>
              <w:spacing w:line="210" w:lineRule="exac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6A35A8E"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Доповнити частину першу статті 2 новим пунктом 25-1 такого змісту:</w:t>
            </w:r>
          </w:p>
          <w:p w14:paraId="53D5CFAD"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 xml:space="preserve">«25-1) котирування – надісланий від власного імені наказ та/або розпорядження </w:t>
            </w:r>
            <w:r w:rsidRPr="00286216">
              <w:rPr>
                <w:color w:val="000000" w:themeColor="text1"/>
                <w:szCs w:val="18"/>
              </w:rPr>
              <w:lastRenderedPageBreak/>
              <w:t xml:space="preserve">маркет-мейкера </w:t>
            </w:r>
            <w:r w:rsidRPr="00286216">
              <w:rPr>
                <w:color w:val="000000" w:themeColor="text1"/>
              </w:rPr>
              <w:t>щодо укладення</w:t>
            </w:r>
            <w:r w:rsidRPr="00286216">
              <w:rPr>
                <w:color w:val="000000" w:themeColor="text1"/>
                <w:szCs w:val="18"/>
              </w:rPr>
              <w:t xml:space="preserve"> або купівлі та продажу за власний рахунок та за визначеними маркет-мейкером цінами передбачених договором про виконання функцій маркет-мейкера активів, допущених до торгів на організованому ринку, </w:t>
            </w:r>
            <w:r w:rsidRPr="00286216">
              <w:rPr>
                <w:color w:val="000000" w:themeColor="text1"/>
              </w:rPr>
              <w:t>що створює безумовне зобов’язання для маркет-мейкера укладати деривативні контракти або вчиняти правочини щодо фінансових інструментів або здійснювати товарні операції з кожним учасником торгів, який направив зустрічний наказ та/або розпорядження, що відповідає умовам, визначеним в наказі та/або розпорядженні маркет-мейкера».</w:t>
            </w:r>
            <w:r w:rsidRPr="00286216">
              <w:rPr>
                <w:color w:val="000000" w:themeColor="text1"/>
                <w:szCs w:val="18"/>
              </w:rPr>
              <w:t>».</w:t>
            </w:r>
          </w:p>
        </w:tc>
        <w:tc>
          <w:tcPr>
            <w:tcW w:w="1987" w:type="dxa"/>
          </w:tcPr>
          <w:p w14:paraId="3B57A2A0" w14:textId="55DFF420" w:rsidR="006126F0" w:rsidRPr="00286216" w:rsidRDefault="006126F0" w:rsidP="006126F0">
            <w:pPr>
              <w:pStyle w:val="StyleWisnow"/>
              <w:rPr>
                <w:color w:val="000000" w:themeColor="text1"/>
              </w:rPr>
            </w:pPr>
            <w:r w:rsidRPr="00286216">
              <w:rPr>
                <w:color w:val="000000" w:themeColor="text1"/>
              </w:rPr>
              <w:lastRenderedPageBreak/>
              <w:t>Відхилено</w:t>
            </w:r>
          </w:p>
          <w:p w14:paraId="4C8D14BC" w14:textId="3D7F4526" w:rsidR="006126F0" w:rsidRPr="00286216" w:rsidRDefault="006126F0" w:rsidP="00FD19D7">
            <w:pPr>
              <w:pStyle w:val="StyleWisnow"/>
              <w:spacing w:line="180" w:lineRule="exact"/>
              <w:rPr>
                <w:color w:val="000000" w:themeColor="text1"/>
              </w:rPr>
            </w:pPr>
            <w:r w:rsidRPr="00286216">
              <w:rPr>
                <w:color w:val="000000" w:themeColor="text1"/>
              </w:rPr>
              <w:t>не відповідає статті 4 Директиви MiFID II</w:t>
            </w:r>
          </w:p>
        </w:tc>
        <w:tc>
          <w:tcPr>
            <w:tcW w:w="4818" w:type="dxa"/>
          </w:tcPr>
          <w:p w14:paraId="5B6157EC" w14:textId="748CB0E9" w:rsidR="006126F0" w:rsidRPr="00286216" w:rsidRDefault="006126F0" w:rsidP="006126F0">
            <w:pPr>
              <w:pStyle w:val="StyleZakonu"/>
              <w:rPr>
                <w:color w:val="000000" w:themeColor="text1"/>
              </w:rPr>
            </w:pPr>
          </w:p>
        </w:tc>
      </w:tr>
      <w:tr w:rsidR="00F77E8D" w:rsidRPr="00286216" w14:paraId="6E4F04B0" w14:textId="77777777" w:rsidTr="00091AA5">
        <w:tc>
          <w:tcPr>
            <w:tcW w:w="576" w:type="dxa"/>
          </w:tcPr>
          <w:p w14:paraId="2AACB53D" w14:textId="77777777" w:rsidR="006126F0" w:rsidRPr="00286216" w:rsidRDefault="006126F0" w:rsidP="006126F0">
            <w:pPr>
              <w:pStyle w:val="StyleWisnow"/>
              <w:rPr>
                <w:color w:val="000000" w:themeColor="text1"/>
              </w:rPr>
            </w:pPr>
            <w:bookmarkStart w:id="55" w:name="n52" w:colFirst="0" w:colLast="0"/>
            <w:r w:rsidRPr="00286216">
              <w:rPr>
                <w:color w:val="000000" w:themeColor="text1"/>
              </w:rPr>
              <w:t>52.</w:t>
            </w:r>
          </w:p>
        </w:tc>
        <w:tc>
          <w:tcPr>
            <w:tcW w:w="4818" w:type="dxa"/>
          </w:tcPr>
          <w:p w14:paraId="3EB1AB98" w14:textId="77777777" w:rsidR="006126F0" w:rsidRPr="00286216" w:rsidRDefault="006126F0" w:rsidP="006126F0">
            <w:pPr>
              <w:pStyle w:val="StyleZakonu"/>
              <w:rPr>
                <w:color w:val="000000" w:themeColor="text1"/>
              </w:rPr>
            </w:pPr>
            <w:r w:rsidRPr="00286216">
              <w:rPr>
                <w:color w:val="000000" w:themeColor="text1"/>
              </w:rPr>
              <w:t>26) маркет-мейкер - юридична особа, яка на підставі договору про виконання функцій маркет-мейкера, що укладається з емітентом цінного паперу та/або з оператором організованого ринку капіталу та/або регульованого товарного ринку, здійснює у встановленому Національною комісією з цінних паперів та фондового ринку порядку на постійній основі від власного імені за власний рахунок та за самостійно визначеними цінами операції, передбачені договором, шляхом подання в багатосторонній системі наказів та/або розпоряджень щодо вчинення правочину щодо активу, допущеного до торгів на таких організованих ринках;</w:t>
            </w:r>
          </w:p>
        </w:tc>
        <w:tc>
          <w:tcPr>
            <w:tcW w:w="3686" w:type="dxa"/>
          </w:tcPr>
          <w:p w14:paraId="0A8F2625" w14:textId="3F01428B" w:rsidR="006126F0" w:rsidRPr="00286216" w:rsidRDefault="006126F0" w:rsidP="00E71C29">
            <w:pPr>
              <w:pStyle w:val="StyleAwt"/>
              <w:spacing w:line="21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57EA36B" w14:textId="06C79237" w:rsidR="006126F0" w:rsidRPr="00286216" w:rsidRDefault="006126F0" w:rsidP="00E71C29">
            <w:pPr>
              <w:pStyle w:val="StyleProp"/>
              <w:spacing w:line="180" w:lineRule="exact"/>
              <w:rPr>
                <w:color w:val="000000" w:themeColor="text1"/>
              </w:rPr>
            </w:pPr>
            <w:r w:rsidRPr="00286216">
              <w:rPr>
                <w:color w:val="000000" w:themeColor="text1"/>
              </w:rPr>
              <w:t>Перенести визначення "маркет-мейкер" до окремої статті.</w:t>
            </w:r>
          </w:p>
          <w:p w14:paraId="4110B62B" w14:textId="1BF484FE" w:rsidR="006126F0" w:rsidRPr="00286216" w:rsidRDefault="006126F0" w:rsidP="00E71C29">
            <w:pPr>
              <w:pStyle w:val="StyleAwt"/>
              <w:spacing w:line="210" w:lineRule="exac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9296231" w14:textId="77777777" w:rsidR="006126F0" w:rsidRPr="00286216" w:rsidRDefault="006126F0" w:rsidP="00E71C29">
            <w:pPr>
              <w:pStyle w:val="StyleProp"/>
              <w:spacing w:line="180" w:lineRule="exact"/>
              <w:rPr>
                <w:color w:val="000000" w:themeColor="text1"/>
                <w:szCs w:val="18"/>
              </w:rPr>
            </w:pPr>
            <w:r w:rsidRPr="00286216">
              <w:rPr>
                <w:color w:val="000000" w:themeColor="text1"/>
                <w:szCs w:val="18"/>
              </w:rPr>
              <w:t>Пункт 26 частини першої статті 2 викласти в такій редакції:</w:t>
            </w:r>
          </w:p>
          <w:p w14:paraId="03A8D216" w14:textId="77777777" w:rsidR="006126F0" w:rsidRPr="00286216" w:rsidRDefault="006126F0" w:rsidP="00E71C29">
            <w:pPr>
              <w:pStyle w:val="StyleProp"/>
              <w:spacing w:line="180" w:lineRule="exact"/>
              <w:rPr>
                <w:color w:val="000000" w:themeColor="text1"/>
                <w:szCs w:val="18"/>
              </w:rPr>
            </w:pPr>
            <w:r w:rsidRPr="00286216">
              <w:rPr>
                <w:color w:val="000000" w:themeColor="text1"/>
                <w:szCs w:val="18"/>
              </w:rPr>
              <w:t>«26) маркет-мейкер – юридична особа, яка на підставі договору про виконання функцій маркет-мейкера, укладеного з оператором організованого ринку капіталу та/або організованого товарного ринку, на постійній основі здійснює у встановленому Національною комісією з цінних паперів та фондового ринку порядку надсилання котирувань щодо активів, допущених до торгів на таких організованих ринках, в багатосторонній системі».</w:t>
            </w:r>
          </w:p>
          <w:p w14:paraId="7E905920" w14:textId="7AA5AACA"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2B8173E" w14:textId="04863BAD" w:rsidR="006126F0" w:rsidRPr="00286216" w:rsidRDefault="006126F0" w:rsidP="00E71C29">
            <w:pPr>
              <w:pStyle w:val="StyleProp"/>
              <w:spacing w:line="180" w:lineRule="exact"/>
              <w:rPr>
                <w:color w:val="000000" w:themeColor="text1"/>
                <w:szCs w:val="18"/>
              </w:rPr>
            </w:pPr>
            <w:r w:rsidRPr="00286216">
              <w:rPr>
                <w:color w:val="000000" w:themeColor="text1"/>
                <w:szCs w:val="18"/>
              </w:rPr>
              <w:t>У статті 2 у пункті 26 слова «з емітентом цінного паперу та/або» виключити</w:t>
            </w:r>
            <w:r w:rsidR="00DC2986" w:rsidRPr="00286216">
              <w:rPr>
                <w:color w:val="000000" w:themeColor="text1"/>
                <w:szCs w:val="18"/>
                <w:lang w:val="ru-RU"/>
              </w:rPr>
              <w:t>.</w:t>
            </w:r>
          </w:p>
        </w:tc>
        <w:tc>
          <w:tcPr>
            <w:tcW w:w="1987" w:type="dxa"/>
          </w:tcPr>
          <w:p w14:paraId="6B604750" w14:textId="4FDE7615" w:rsidR="006126F0" w:rsidRPr="00286216" w:rsidRDefault="006126F0" w:rsidP="005F0A24">
            <w:pPr>
              <w:pStyle w:val="StyleWisnow"/>
              <w:spacing w:line="180" w:lineRule="exact"/>
              <w:rPr>
                <w:color w:val="000000" w:themeColor="text1"/>
              </w:rPr>
            </w:pPr>
            <w:r w:rsidRPr="00286216">
              <w:rPr>
                <w:color w:val="000000" w:themeColor="text1"/>
              </w:rPr>
              <w:t>Враховано</w:t>
            </w:r>
          </w:p>
          <w:p w14:paraId="2464D800" w14:textId="11DEBC81" w:rsidR="008538C6" w:rsidRPr="00286216" w:rsidRDefault="008538C6" w:rsidP="005F0A24">
            <w:pPr>
              <w:pStyle w:val="StyleWisnow"/>
              <w:spacing w:line="180" w:lineRule="exact"/>
              <w:rPr>
                <w:color w:val="000000" w:themeColor="text1"/>
              </w:rPr>
            </w:pPr>
            <w:r w:rsidRPr="00286216">
              <w:rPr>
                <w:color w:val="000000" w:themeColor="text1"/>
              </w:rPr>
              <w:t>у статті 56</w:t>
            </w:r>
          </w:p>
          <w:p w14:paraId="679CC531" w14:textId="40E8138B" w:rsidR="006126F0" w:rsidRPr="00286216" w:rsidRDefault="006126F0" w:rsidP="005F0A24">
            <w:pPr>
              <w:pStyle w:val="StyleWisnow"/>
              <w:spacing w:line="180" w:lineRule="exact"/>
              <w:rPr>
                <w:color w:val="000000" w:themeColor="text1"/>
              </w:rPr>
            </w:pPr>
          </w:p>
          <w:p w14:paraId="22429D6E" w14:textId="77777777" w:rsidR="005F0A24" w:rsidRPr="00286216" w:rsidRDefault="005F0A24" w:rsidP="005F0A24">
            <w:pPr>
              <w:pStyle w:val="StyleWisnow"/>
              <w:spacing w:line="180" w:lineRule="exact"/>
              <w:rPr>
                <w:color w:val="000000" w:themeColor="text1"/>
              </w:rPr>
            </w:pPr>
          </w:p>
          <w:p w14:paraId="7365AD2C" w14:textId="77777777" w:rsidR="006126F0" w:rsidRPr="00286216" w:rsidRDefault="006126F0" w:rsidP="005F0A24">
            <w:pPr>
              <w:pStyle w:val="StyleWisnow"/>
              <w:spacing w:line="180" w:lineRule="exact"/>
              <w:rPr>
                <w:color w:val="000000" w:themeColor="text1"/>
              </w:rPr>
            </w:pPr>
            <w:r w:rsidRPr="00286216">
              <w:rPr>
                <w:color w:val="000000" w:themeColor="text1"/>
              </w:rPr>
              <w:t>Враховано редакційно</w:t>
            </w:r>
          </w:p>
          <w:p w14:paraId="2DA4512B" w14:textId="110B79F5" w:rsidR="006126F0" w:rsidRPr="00286216" w:rsidRDefault="006126F0" w:rsidP="005F0A24">
            <w:pPr>
              <w:pStyle w:val="StyleWisnow"/>
              <w:spacing w:line="180" w:lineRule="exact"/>
              <w:rPr>
                <w:color w:val="000000" w:themeColor="text1"/>
              </w:rPr>
            </w:pPr>
            <w:r w:rsidRPr="00286216">
              <w:rPr>
                <w:color w:val="000000" w:themeColor="text1"/>
              </w:rPr>
              <w:t>у статті 5</w:t>
            </w:r>
            <w:r w:rsidR="008538C6" w:rsidRPr="00286216">
              <w:rPr>
                <w:color w:val="000000" w:themeColor="text1"/>
              </w:rPr>
              <w:t>6</w:t>
            </w:r>
          </w:p>
          <w:p w14:paraId="0AD5E4C6" w14:textId="77777777" w:rsidR="006126F0" w:rsidRPr="00286216" w:rsidRDefault="006126F0" w:rsidP="005F0A24">
            <w:pPr>
              <w:pStyle w:val="StyleWisnow"/>
              <w:spacing w:line="180" w:lineRule="exact"/>
              <w:rPr>
                <w:color w:val="000000" w:themeColor="text1"/>
              </w:rPr>
            </w:pPr>
          </w:p>
          <w:p w14:paraId="0B174874" w14:textId="77777777" w:rsidR="006126F0" w:rsidRPr="00286216" w:rsidRDefault="006126F0" w:rsidP="005F0A24">
            <w:pPr>
              <w:pStyle w:val="StyleWisnow"/>
              <w:spacing w:line="180" w:lineRule="exact"/>
              <w:rPr>
                <w:color w:val="000000" w:themeColor="text1"/>
              </w:rPr>
            </w:pPr>
          </w:p>
          <w:p w14:paraId="538D2737" w14:textId="77777777" w:rsidR="006126F0" w:rsidRPr="00286216" w:rsidRDefault="006126F0" w:rsidP="005F0A24">
            <w:pPr>
              <w:pStyle w:val="StyleWisnow"/>
              <w:spacing w:line="180" w:lineRule="exact"/>
              <w:rPr>
                <w:color w:val="000000" w:themeColor="text1"/>
              </w:rPr>
            </w:pPr>
          </w:p>
          <w:p w14:paraId="2E1D6A85" w14:textId="77777777" w:rsidR="006126F0" w:rsidRPr="00286216" w:rsidRDefault="006126F0" w:rsidP="005F0A24">
            <w:pPr>
              <w:pStyle w:val="StyleWisnow"/>
              <w:spacing w:line="180" w:lineRule="exact"/>
              <w:rPr>
                <w:color w:val="000000" w:themeColor="text1"/>
              </w:rPr>
            </w:pPr>
          </w:p>
          <w:p w14:paraId="4CD69BE9" w14:textId="77777777" w:rsidR="006126F0" w:rsidRPr="00286216" w:rsidRDefault="006126F0" w:rsidP="005F0A24">
            <w:pPr>
              <w:pStyle w:val="StyleWisnow"/>
              <w:spacing w:line="180" w:lineRule="exact"/>
              <w:rPr>
                <w:color w:val="000000" w:themeColor="text1"/>
              </w:rPr>
            </w:pPr>
          </w:p>
          <w:p w14:paraId="2DA990B7" w14:textId="77777777" w:rsidR="006126F0" w:rsidRPr="00286216" w:rsidRDefault="006126F0" w:rsidP="005F0A24">
            <w:pPr>
              <w:pStyle w:val="StyleWisnow"/>
              <w:spacing w:line="180" w:lineRule="exact"/>
              <w:rPr>
                <w:color w:val="000000" w:themeColor="text1"/>
              </w:rPr>
            </w:pPr>
          </w:p>
          <w:p w14:paraId="2F60FA91" w14:textId="77777777" w:rsidR="006126F0" w:rsidRPr="00286216" w:rsidRDefault="006126F0" w:rsidP="005F0A24">
            <w:pPr>
              <w:pStyle w:val="StyleWisnow"/>
              <w:spacing w:line="180" w:lineRule="exact"/>
              <w:rPr>
                <w:color w:val="000000" w:themeColor="text1"/>
              </w:rPr>
            </w:pPr>
          </w:p>
          <w:p w14:paraId="33090F50" w14:textId="358DD31F" w:rsidR="006126F0" w:rsidRPr="00286216" w:rsidRDefault="006126F0" w:rsidP="005F0A24">
            <w:pPr>
              <w:pStyle w:val="StyleWisnow"/>
              <w:spacing w:line="180" w:lineRule="exact"/>
              <w:rPr>
                <w:color w:val="000000" w:themeColor="text1"/>
              </w:rPr>
            </w:pPr>
          </w:p>
          <w:p w14:paraId="660C3CB2" w14:textId="03DD112F" w:rsidR="006126F0" w:rsidRPr="00286216" w:rsidRDefault="006126F0" w:rsidP="005F0A24">
            <w:pPr>
              <w:pStyle w:val="StyleWisnow"/>
              <w:spacing w:line="180" w:lineRule="exact"/>
              <w:rPr>
                <w:color w:val="000000" w:themeColor="text1"/>
              </w:rPr>
            </w:pPr>
          </w:p>
          <w:p w14:paraId="52E8F524" w14:textId="6B127921" w:rsidR="005F0A24" w:rsidRPr="00286216" w:rsidRDefault="005F0A24" w:rsidP="005F0A24">
            <w:pPr>
              <w:pStyle w:val="StyleWisnow"/>
              <w:spacing w:line="180" w:lineRule="exact"/>
              <w:rPr>
                <w:color w:val="000000" w:themeColor="text1"/>
              </w:rPr>
            </w:pPr>
          </w:p>
          <w:p w14:paraId="3EBDC639" w14:textId="0382AD4A" w:rsidR="005F0A24" w:rsidRPr="00286216" w:rsidRDefault="005F0A24" w:rsidP="005F0A24">
            <w:pPr>
              <w:pStyle w:val="StyleWisnow"/>
              <w:spacing w:line="180" w:lineRule="exact"/>
              <w:rPr>
                <w:color w:val="000000" w:themeColor="text1"/>
              </w:rPr>
            </w:pPr>
          </w:p>
          <w:p w14:paraId="473EA229" w14:textId="77777777" w:rsidR="005F0A24" w:rsidRPr="00286216" w:rsidRDefault="005F0A24" w:rsidP="005F0A24">
            <w:pPr>
              <w:pStyle w:val="StyleWisnow"/>
              <w:spacing w:line="180" w:lineRule="exact"/>
              <w:rPr>
                <w:color w:val="000000" w:themeColor="text1"/>
              </w:rPr>
            </w:pPr>
          </w:p>
          <w:p w14:paraId="7374BAF2" w14:textId="02ADF13C" w:rsidR="006126F0" w:rsidRPr="00286216" w:rsidRDefault="006126F0" w:rsidP="005F0A24">
            <w:pPr>
              <w:pStyle w:val="StyleWisnow"/>
              <w:spacing w:line="180" w:lineRule="exact"/>
              <w:rPr>
                <w:color w:val="000000" w:themeColor="text1"/>
              </w:rPr>
            </w:pPr>
            <w:r w:rsidRPr="00286216">
              <w:rPr>
                <w:color w:val="000000" w:themeColor="text1"/>
              </w:rPr>
              <w:t>Враховано редакційно</w:t>
            </w:r>
          </w:p>
          <w:p w14:paraId="31A005A8" w14:textId="00526900" w:rsidR="006126F0" w:rsidRPr="00286216" w:rsidRDefault="006126F0" w:rsidP="005F0A24">
            <w:pPr>
              <w:pStyle w:val="StyleWisnow"/>
              <w:spacing w:line="180" w:lineRule="exact"/>
              <w:rPr>
                <w:color w:val="000000" w:themeColor="text1"/>
              </w:rPr>
            </w:pPr>
            <w:r w:rsidRPr="00286216">
              <w:rPr>
                <w:color w:val="000000" w:themeColor="text1"/>
              </w:rPr>
              <w:t xml:space="preserve">у статті </w:t>
            </w:r>
            <w:r w:rsidR="00817365" w:rsidRPr="00286216">
              <w:rPr>
                <w:color w:val="000000" w:themeColor="text1"/>
              </w:rPr>
              <w:t>56</w:t>
            </w:r>
          </w:p>
        </w:tc>
        <w:tc>
          <w:tcPr>
            <w:tcW w:w="4818" w:type="dxa"/>
          </w:tcPr>
          <w:p w14:paraId="6305BDCB" w14:textId="7711460B" w:rsidR="006126F0" w:rsidRPr="00286216" w:rsidRDefault="006126F0" w:rsidP="006126F0">
            <w:pPr>
              <w:pStyle w:val="StyleZakonu"/>
              <w:rPr>
                <w:color w:val="000000" w:themeColor="text1"/>
              </w:rPr>
            </w:pPr>
          </w:p>
        </w:tc>
      </w:tr>
      <w:bookmarkEnd w:id="55"/>
      <w:tr w:rsidR="00F77E8D" w:rsidRPr="00286216" w14:paraId="1C9C3117" w14:textId="77777777" w:rsidTr="00091AA5">
        <w:tc>
          <w:tcPr>
            <w:tcW w:w="576" w:type="dxa"/>
          </w:tcPr>
          <w:p w14:paraId="6873BC03" w14:textId="77777777" w:rsidR="006126F0" w:rsidRPr="00286216" w:rsidRDefault="006126F0" w:rsidP="006126F0">
            <w:pPr>
              <w:pStyle w:val="StyleWisnow"/>
              <w:rPr>
                <w:color w:val="000000" w:themeColor="text1"/>
              </w:rPr>
            </w:pPr>
          </w:p>
        </w:tc>
        <w:tc>
          <w:tcPr>
            <w:tcW w:w="4818" w:type="dxa"/>
          </w:tcPr>
          <w:p w14:paraId="3B00A478" w14:textId="77777777" w:rsidR="006126F0" w:rsidRPr="00286216" w:rsidRDefault="006126F0" w:rsidP="006126F0">
            <w:pPr>
              <w:pStyle w:val="StyleZakonu"/>
              <w:rPr>
                <w:color w:val="000000" w:themeColor="text1"/>
              </w:rPr>
            </w:pPr>
          </w:p>
        </w:tc>
        <w:tc>
          <w:tcPr>
            <w:tcW w:w="3686" w:type="dxa"/>
          </w:tcPr>
          <w:p w14:paraId="22B26038" w14:textId="6327431B" w:rsidR="006126F0" w:rsidRPr="00286216" w:rsidRDefault="006126F0" w:rsidP="00E71C29">
            <w:pPr>
              <w:pStyle w:val="StyleAwt"/>
              <w:spacing w:line="210" w:lineRule="exac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74</w:t>
            </w:r>
            <w:r w:rsidRPr="00286216">
              <w:rPr>
                <w:color w:val="000000" w:themeColor="text1"/>
                <w:spacing w:val="-10"/>
              </w:rPr>
              <w:fldChar w:fldCharType="end"/>
            </w:r>
            <w:r w:rsidRPr="00286216">
              <w:rPr>
                <w:color w:val="000000" w:themeColor="text1"/>
                <w:spacing w:val="-10"/>
              </w:rPr>
              <w:t>-Н.д.Гетманцев Д.О.(Реєстр.картка №245)</w:t>
            </w:r>
          </w:p>
          <w:p w14:paraId="302208E8" w14:textId="77777777" w:rsidR="006126F0" w:rsidRPr="00286216" w:rsidRDefault="006126F0" w:rsidP="00E71C29">
            <w:pPr>
              <w:pStyle w:val="StyleProp"/>
              <w:spacing w:line="180" w:lineRule="exact"/>
              <w:rPr>
                <w:color w:val="000000" w:themeColor="text1"/>
              </w:rPr>
            </w:pPr>
            <w:r w:rsidRPr="00286216">
              <w:rPr>
                <w:color w:val="000000" w:themeColor="text1"/>
              </w:rPr>
              <w:t>У частині першій статті 2 пункт 26 викласти у редакції:</w:t>
            </w:r>
          </w:p>
          <w:p w14:paraId="24BC677A" w14:textId="77777777" w:rsidR="006126F0" w:rsidRPr="00286216" w:rsidRDefault="006126F0" w:rsidP="00E71C29">
            <w:pPr>
              <w:pStyle w:val="StyleProp"/>
              <w:spacing w:line="180" w:lineRule="exact"/>
              <w:rPr>
                <w:color w:val="000000" w:themeColor="text1"/>
              </w:rPr>
            </w:pPr>
            <w:r w:rsidRPr="00286216">
              <w:rPr>
                <w:color w:val="000000" w:themeColor="text1"/>
              </w:rPr>
              <w:t>«26) маркет-мейкер – юридична особа, яка на постійній основі здійснює від власного імені за власний рахунок та за самостійно визначеними цінами операції на ринках капіталу та організованих товарних ринках;».</w:t>
            </w:r>
          </w:p>
        </w:tc>
        <w:tc>
          <w:tcPr>
            <w:tcW w:w="1987" w:type="dxa"/>
          </w:tcPr>
          <w:p w14:paraId="529AEF2A" w14:textId="0E74C03D" w:rsidR="006126F0" w:rsidRPr="00286216" w:rsidRDefault="006126F0" w:rsidP="005F0A24">
            <w:pPr>
              <w:pStyle w:val="StyleWisnow"/>
              <w:spacing w:line="180" w:lineRule="exact"/>
              <w:rPr>
                <w:color w:val="000000" w:themeColor="text1"/>
              </w:rPr>
            </w:pPr>
            <w:r w:rsidRPr="00286216">
              <w:rPr>
                <w:color w:val="000000" w:themeColor="text1"/>
              </w:rPr>
              <w:t>Враховано редакційно</w:t>
            </w:r>
          </w:p>
          <w:p w14:paraId="5A8090EE" w14:textId="74D7F5C4" w:rsidR="006126F0" w:rsidRPr="00286216" w:rsidRDefault="006126F0" w:rsidP="005F0A24">
            <w:pPr>
              <w:pStyle w:val="StyleWisnow"/>
              <w:spacing w:line="180" w:lineRule="exact"/>
              <w:rPr>
                <w:color w:val="000000" w:themeColor="text1"/>
              </w:rPr>
            </w:pPr>
            <w:r w:rsidRPr="00286216">
              <w:rPr>
                <w:color w:val="000000" w:themeColor="text1"/>
              </w:rPr>
              <w:t xml:space="preserve">у новій статті </w:t>
            </w:r>
            <w:r w:rsidR="00817365" w:rsidRPr="00286216">
              <w:rPr>
                <w:color w:val="000000" w:themeColor="text1"/>
              </w:rPr>
              <w:t>56</w:t>
            </w:r>
          </w:p>
        </w:tc>
        <w:tc>
          <w:tcPr>
            <w:tcW w:w="4818" w:type="dxa"/>
          </w:tcPr>
          <w:p w14:paraId="1144EF47" w14:textId="77777777" w:rsidR="006126F0" w:rsidRPr="00286216" w:rsidRDefault="006126F0" w:rsidP="006126F0">
            <w:pPr>
              <w:pStyle w:val="StyleZakonu"/>
              <w:rPr>
                <w:color w:val="000000" w:themeColor="text1"/>
              </w:rPr>
            </w:pPr>
          </w:p>
        </w:tc>
      </w:tr>
      <w:tr w:rsidR="00F77E8D" w:rsidRPr="00286216" w14:paraId="65EE416B" w14:textId="77777777" w:rsidTr="00091AA5">
        <w:tc>
          <w:tcPr>
            <w:tcW w:w="576" w:type="dxa"/>
          </w:tcPr>
          <w:p w14:paraId="2F13FEF9" w14:textId="77777777" w:rsidR="006126F0" w:rsidRPr="00286216" w:rsidRDefault="006126F0" w:rsidP="006126F0">
            <w:pPr>
              <w:pStyle w:val="StyleWisnow"/>
              <w:rPr>
                <w:color w:val="000000" w:themeColor="text1"/>
              </w:rPr>
            </w:pPr>
          </w:p>
        </w:tc>
        <w:tc>
          <w:tcPr>
            <w:tcW w:w="4818" w:type="dxa"/>
          </w:tcPr>
          <w:p w14:paraId="2D29521A" w14:textId="77777777" w:rsidR="006126F0" w:rsidRPr="00286216" w:rsidRDefault="006126F0" w:rsidP="006126F0">
            <w:pPr>
              <w:pStyle w:val="StyleZakonu"/>
              <w:rPr>
                <w:color w:val="000000" w:themeColor="text1"/>
              </w:rPr>
            </w:pPr>
          </w:p>
        </w:tc>
        <w:tc>
          <w:tcPr>
            <w:tcW w:w="3686" w:type="dxa"/>
          </w:tcPr>
          <w:p w14:paraId="253F7967" w14:textId="4A0F4A3F" w:rsidR="006126F0" w:rsidRPr="00286216" w:rsidRDefault="006126F0" w:rsidP="006126F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w:t>
            </w:r>
            <w:r w:rsidRPr="00286216">
              <w:rPr>
                <w:color w:val="000000" w:themeColor="text1"/>
              </w:rPr>
              <w:fldChar w:fldCharType="end"/>
            </w:r>
            <w:r w:rsidRPr="00286216">
              <w:rPr>
                <w:color w:val="000000" w:themeColor="text1"/>
              </w:rPr>
              <w:t>-Н.д.Шахов С.В. (Реєстр.картка №114)</w:t>
            </w:r>
          </w:p>
          <w:p w14:paraId="0F21229D" w14:textId="77777777" w:rsidR="006126F0" w:rsidRPr="00286216" w:rsidRDefault="006126F0" w:rsidP="006126F0">
            <w:pPr>
              <w:pStyle w:val="StyleProp"/>
              <w:spacing w:line="180" w:lineRule="exact"/>
              <w:rPr>
                <w:color w:val="000000" w:themeColor="text1"/>
                <w:spacing w:val="-2"/>
              </w:rPr>
            </w:pPr>
            <w:r w:rsidRPr="00286216">
              <w:rPr>
                <w:color w:val="000000" w:themeColor="text1"/>
                <w:spacing w:val="-2"/>
              </w:rPr>
              <w:t>у пункті 26 слова «оператором організованого ринку капіталу та/або регульованого товарного ринку» замінити словами «(у тому числі, з товарною біржою)»; слова «Національною комісією з цінних паперів та фондового ринку» замінити словами «регулятором відповідного ринку»</w:t>
            </w:r>
          </w:p>
        </w:tc>
        <w:tc>
          <w:tcPr>
            <w:tcW w:w="1987" w:type="dxa"/>
          </w:tcPr>
          <w:p w14:paraId="05398B60" w14:textId="77777777" w:rsidR="006126F0" w:rsidRPr="00286216" w:rsidRDefault="006126F0" w:rsidP="005F0A24">
            <w:pPr>
              <w:pStyle w:val="StyleWisnow"/>
              <w:spacing w:line="180" w:lineRule="exact"/>
              <w:rPr>
                <w:color w:val="000000" w:themeColor="text1"/>
              </w:rPr>
            </w:pPr>
            <w:r w:rsidRPr="00286216">
              <w:rPr>
                <w:color w:val="000000" w:themeColor="text1"/>
              </w:rPr>
              <w:t>Відхилено</w:t>
            </w:r>
          </w:p>
          <w:p w14:paraId="0BA4870B" w14:textId="77777777" w:rsidR="006126F0" w:rsidRPr="00286216" w:rsidRDefault="006126F0" w:rsidP="005F0A24">
            <w:pPr>
              <w:pStyle w:val="StyleWisnow"/>
              <w:spacing w:line="180" w:lineRule="exact"/>
              <w:rPr>
                <w:color w:val="000000" w:themeColor="text1"/>
              </w:rPr>
            </w:pPr>
            <w:r w:rsidRPr="00286216">
              <w:rPr>
                <w:color w:val="000000" w:themeColor="text1"/>
              </w:rPr>
              <w:t xml:space="preserve">діяльність маркет-мейкера є фінансовою діяльністю щодо утворення ліквідності на ринках, тож підлягає регулюванню </w:t>
            </w:r>
            <w:r w:rsidRPr="00286216">
              <w:rPr>
                <w:color w:val="000000" w:themeColor="text1"/>
                <w:spacing w:val="-6"/>
              </w:rPr>
              <w:t>НКЦПФР</w:t>
            </w:r>
          </w:p>
        </w:tc>
        <w:tc>
          <w:tcPr>
            <w:tcW w:w="4818" w:type="dxa"/>
          </w:tcPr>
          <w:p w14:paraId="41DD6812" w14:textId="77777777" w:rsidR="006126F0" w:rsidRPr="00286216" w:rsidRDefault="006126F0" w:rsidP="006126F0">
            <w:pPr>
              <w:pStyle w:val="StyleZakonu"/>
              <w:rPr>
                <w:color w:val="000000" w:themeColor="text1"/>
              </w:rPr>
            </w:pPr>
          </w:p>
        </w:tc>
      </w:tr>
      <w:tr w:rsidR="00F77E8D" w:rsidRPr="00286216" w14:paraId="785A99A5" w14:textId="77777777" w:rsidTr="00091AA5">
        <w:tc>
          <w:tcPr>
            <w:tcW w:w="576" w:type="dxa"/>
          </w:tcPr>
          <w:p w14:paraId="00509FA2" w14:textId="77777777" w:rsidR="006126F0" w:rsidRPr="00286216" w:rsidRDefault="006126F0" w:rsidP="006126F0">
            <w:pPr>
              <w:pStyle w:val="StyleWisnow"/>
              <w:rPr>
                <w:color w:val="000000" w:themeColor="text1"/>
              </w:rPr>
            </w:pPr>
            <w:bookmarkStart w:id="56" w:name="n53" w:colFirst="0" w:colLast="0"/>
            <w:r w:rsidRPr="00286216">
              <w:rPr>
                <w:color w:val="000000" w:themeColor="text1"/>
              </w:rPr>
              <w:t>53.</w:t>
            </w:r>
          </w:p>
        </w:tc>
        <w:tc>
          <w:tcPr>
            <w:tcW w:w="4818" w:type="dxa"/>
          </w:tcPr>
          <w:p w14:paraId="3008C3B3" w14:textId="77777777" w:rsidR="006126F0" w:rsidRPr="00286216" w:rsidRDefault="006126F0" w:rsidP="006126F0">
            <w:pPr>
              <w:pStyle w:val="StyleZakonu"/>
              <w:rPr>
                <w:color w:val="000000" w:themeColor="text1"/>
              </w:rPr>
            </w:pPr>
            <w:r w:rsidRPr="00286216">
              <w:rPr>
                <w:color w:val="000000" w:themeColor="text1"/>
              </w:rPr>
              <w:t xml:space="preserve">27) міжнародний ідентифікаційний номер цінних паперів (код ISIN) -номер (код), що дозволяє однозначно ідентифікувати цінні папери або інший </w:t>
            </w:r>
            <w:r w:rsidRPr="00286216">
              <w:rPr>
                <w:color w:val="000000" w:themeColor="text1"/>
              </w:rPr>
              <w:lastRenderedPageBreak/>
              <w:t>фінансовий інструмент та присвоєння якого передбачено законодавством;</w:t>
            </w:r>
          </w:p>
        </w:tc>
        <w:tc>
          <w:tcPr>
            <w:tcW w:w="3686" w:type="dxa"/>
          </w:tcPr>
          <w:p w14:paraId="5B486632" w14:textId="77777777" w:rsidR="006126F0" w:rsidRPr="00286216" w:rsidRDefault="006126F0" w:rsidP="006126F0">
            <w:pPr>
              <w:pStyle w:val="StyleProp"/>
              <w:rPr>
                <w:color w:val="000000" w:themeColor="text1"/>
                <w:szCs w:val="18"/>
              </w:rPr>
            </w:pPr>
          </w:p>
        </w:tc>
        <w:tc>
          <w:tcPr>
            <w:tcW w:w="1987" w:type="dxa"/>
          </w:tcPr>
          <w:p w14:paraId="03856EEC" w14:textId="77777777" w:rsidR="006126F0" w:rsidRPr="00286216" w:rsidRDefault="006126F0" w:rsidP="006126F0">
            <w:pPr>
              <w:pStyle w:val="StyleWisnow"/>
              <w:rPr>
                <w:color w:val="000000" w:themeColor="text1"/>
              </w:rPr>
            </w:pPr>
          </w:p>
        </w:tc>
        <w:tc>
          <w:tcPr>
            <w:tcW w:w="4818" w:type="dxa"/>
          </w:tcPr>
          <w:p w14:paraId="30FD16A6" w14:textId="277210F8" w:rsidR="006126F0" w:rsidRPr="00286216" w:rsidRDefault="006126F0" w:rsidP="006126F0">
            <w:pPr>
              <w:pStyle w:val="StyleZakonu"/>
              <w:rPr>
                <w:color w:val="000000" w:themeColor="text1"/>
              </w:rPr>
            </w:pPr>
            <w:r w:rsidRPr="00286216">
              <w:rPr>
                <w:color w:val="000000" w:themeColor="text1"/>
              </w:rPr>
              <w:t xml:space="preserve">26) міжнародний ідентифікаційний номер цінних паперів (код ISIN) – номер (код), що дає змогу однозначно ідентифікувати цінні папери або інший </w:t>
            </w:r>
            <w:r w:rsidRPr="00286216">
              <w:rPr>
                <w:color w:val="000000" w:themeColor="text1"/>
              </w:rPr>
              <w:lastRenderedPageBreak/>
              <w:t>фінансовий інструмент, присвоєння якого передбачено законодавством;</w:t>
            </w:r>
          </w:p>
        </w:tc>
      </w:tr>
      <w:tr w:rsidR="00F77E8D" w:rsidRPr="00286216" w14:paraId="2A2F0AA5" w14:textId="77777777" w:rsidTr="00091AA5">
        <w:tc>
          <w:tcPr>
            <w:tcW w:w="576" w:type="dxa"/>
          </w:tcPr>
          <w:p w14:paraId="46C549C0" w14:textId="77777777" w:rsidR="006126F0" w:rsidRPr="00286216" w:rsidRDefault="006126F0" w:rsidP="006126F0">
            <w:pPr>
              <w:pStyle w:val="StyleWisnow"/>
              <w:rPr>
                <w:color w:val="000000" w:themeColor="text1"/>
              </w:rPr>
            </w:pPr>
            <w:bookmarkStart w:id="57" w:name="n54" w:colFirst="0" w:colLast="0"/>
            <w:bookmarkEnd w:id="56"/>
            <w:r w:rsidRPr="00286216">
              <w:rPr>
                <w:color w:val="000000" w:themeColor="text1"/>
              </w:rPr>
              <w:lastRenderedPageBreak/>
              <w:t>54.</w:t>
            </w:r>
          </w:p>
        </w:tc>
        <w:tc>
          <w:tcPr>
            <w:tcW w:w="4818" w:type="dxa"/>
          </w:tcPr>
          <w:p w14:paraId="19AB1981" w14:textId="77777777" w:rsidR="006126F0" w:rsidRPr="00286216" w:rsidRDefault="006126F0" w:rsidP="006126F0">
            <w:pPr>
              <w:pStyle w:val="StyleZakonu"/>
              <w:rPr>
                <w:color w:val="000000" w:themeColor="text1"/>
              </w:rPr>
            </w:pPr>
            <w:r w:rsidRPr="00286216">
              <w:rPr>
                <w:color w:val="000000" w:themeColor="text1"/>
              </w:rPr>
              <w:t>28) міжнародний ідентифікаційний код юридичної особи (код LEI) -номер (код), що дозволяє однозначно ідентифікувати юридичну особу, яка є учасником ринку капіталу, та присвоєння якого передбачено законодавством;</w:t>
            </w:r>
          </w:p>
        </w:tc>
        <w:tc>
          <w:tcPr>
            <w:tcW w:w="3686" w:type="dxa"/>
          </w:tcPr>
          <w:p w14:paraId="53FE19AB" w14:textId="67032BB0"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62B8A9D" w14:textId="77777777" w:rsidR="006126F0" w:rsidRPr="00286216" w:rsidRDefault="006126F0" w:rsidP="00F562FA">
            <w:pPr>
              <w:pStyle w:val="StyleProp"/>
              <w:spacing w:line="180" w:lineRule="exact"/>
              <w:rPr>
                <w:color w:val="000000" w:themeColor="text1"/>
                <w:szCs w:val="18"/>
              </w:rPr>
            </w:pPr>
            <w:r w:rsidRPr="00286216">
              <w:rPr>
                <w:color w:val="000000" w:themeColor="text1"/>
                <w:szCs w:val="18"/>
              </w:rPr>
              <w:t>Пункт 28 частини першої статті 2 після слів є «учасником ринку капіталу» доповнити словами «або організованого товарного ринку».</w:t>
            </w:r>
          </w:p>
        </w:tc>
        <w:tc>
          <w:tcPr>
            <w:tcW w:w="1987" w:type="dxa"/>
          </w:tcPr>
          <w:p w14:paraId="5F718C8A"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22296C5E" w14:textId="467EFB93" w:rsidR="006126F0" w:rsidRPr="00286216" w:rsidRDefault="006126F0" w:rsidP="005061B3">
            <w:pPr>
              <w:pStyle w:val="StyleZakonu"/>
              <w:rPr>
                <w:color w:val="000000" w:themeColor="text1"/>
              </w:rPr>
            </w:pPr>
            <w:r w:rsidRPr="00286216">
              <w:rPr>
                <w:color w:val="000000" w:themeColor="text1"/>
              </w:rPr>
              <w:t>27) міжнародний ідентифікаційний код юридичної особи (код LEI) – номер (код), що дає змогу однозначно ідентифікувати юридичну особу, яка є учасником ринк</w:t>
            </w:r>
            <w:r w:rsidR="005061B3" w:rsidRPr="00286216">
              <w:rPr>
                <w:color w:val="000000" w:themeColor="text1"/>
              </w:rPr>
              <w:t>ів</w:t>
            </w:r>
            <w:r w:rsidRPr="00286216">
              <w:rPr>
                <w:color w:val="000000" w:themeColor="text1"/>
              </w:rPr>
              <w:t xml:space="preserve"> капіталу </w:t>
            </w:r>
            <w:r w:rsidRPr="00286216">
              <w:rPr>
                <w:color w:val="000000" w:themeColor="text1"/>
                <w:szCs w:val="18"/>
              </w:rPr>
              <w:t>або організован</w:t>
            </w:r>
            <w:r w:rsidR="005061B3" w:rsidRPr="00286216">
              <w:rPr>
                <w:color w:val="000000" w:themeColor="text1"/>
                <w:szCs w:val="18"/>
              </w:rPr>
              <w:t>их</w:t>
            </w:r>
            <w:r w:rsidRPr="00286216">
              <w:rPr>
                <w:color w:val="000000" w:themeColor="text1"/>
                <w:szCs w:val="18"/>
              </w:rPr>
              <w:t xml:space="preserve"> товарн</w:t>
            </w:r>
            <w:r w:rsidR="005061B3" w:rsidRPr="00286216">
              <w:rPr>
                <w:color w:val="000000" w:themeColor="text1"/>
                <w:szCs w:val="18"/>
              </w:rPr>
              <w:t>их</w:t>
            </w:r>
            <w:r w:rsidRPr="00286216">
              <w:rPr>
                <w:color w:val="000000" w:themeColor="text1"/>
                <w:szCs w:val="18"/>
              </w:rPr>
              <w:t xml:space="preserve"> ринк</w:t>
            </w:r>
            <w:r w:rsidR="005061B3" w:rsidRPr="00286216">
              <w:rPr>
                <w:color w:val="000000" w:themeColor="text1"/>
                <w:szCs w:val="18"/>
              </w:rPr>
              <w:t>ів</w:t>
            </w:r>
            <w:r w:rsidRPr="00286216">
              <w:rPr>
                <w:color w:val="000000" w:themeColor="text1"/>
              </w:rPr>
              <w:t>, присвоєння якого передбачено законодавством;</w:t>
            </w:r>
          </w:p>
        </w:tc>
      </w:tr>
      <w:tr w:rsidR="00F77E8D" w:rsidRPr="00286216" w14:paraId="2AD197A8" w14:textId="77777777" w:rsidTr="00091AA5">
        <w:tc>
          <w:tcPr>
            <w:tcW w:w="576" w:type="dxa"/>
          </w:tcPr>
          <w:p w14:paraId="69B83421" w14:textId="77777777" w:rsidR="006126F0" w:rsidRPr="00286216" w:rsidRDefault="006126F0" w:rsidP="006126F0">
            <w:pPr>
              <w:pStyle w:val="StyleWisnow"/>
              <w:rPr>
                <w:color w:val="000000" w:themeColor="text1"/>
              </w:rPr>
            </w:pPr>
            <w:bookmarkStart w:id="58" w:name="n55" w:colFirst="0" w:colLast="0"/>
            <w:bookmarkEnd w:id="57"/>
            <w:r w:rsidRPr="00286216">
              <w:rPr>
                <w:color w:val="000000" w:themeColor="text1"/>
              </w:rPr>
              <w:t>55.</w:t>
            </w:r>
          </w:p>
        </w:tc>
        <w:tc>
          <w:tcPr>
            <w:tcW w:w="4818" w:type="dxa"/>
          </w:tcPr>
          <w:p w14:paraId="5AB4CE2C" w14:textId="77777777" w:rsidR="006126F0" w:rsidRPr="00286216" w:rsidRDefault="006126F0" w:rsidP="006126F0">
            <w:pPr>
              <w:pStyle w:val="StyleZakonu"/>
              <w:rPr>
                <w:color w:val="000000" w:themeColor="text1"/>
              </w:rPr>
            </w:pPr>
            <w:r w:rsidRPr="00286216">
              <w:rPr>
                <w:color w:val="000000" w:themeColor="text1"/>
              </w:rPr>
              <w:t>29) неттінг - конвертація двох або більше вимог та зобов’язань за деривативними контрактами та правочинами щодо інших фінансових інструментів, валютних цінностей або за товарними операціями, в одне нетто зобов’язання або нетто вимогу, шляхом припинення первісних вимог та зобов’язань або припинення таких вимог та зобов’язань в результаті їх повного зустрічного зарахування;</w:t>
            </w:r>
          </w:p>
        </w:tc>
        <w:tc>
          <w:tcPr>
            <w:tcW w:w="3686" w:type="dxa"/>
          </w:tcPr>
          <w:p w14:paraId="6556554F" w14:textId="1C212DAB" w:rsidR="006126F0" w:rsidRPr="00286216" w:rsidRDefault="006126F0" w:rsidP="006126F0">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77</w:t>
            </w:r>
            <w:r w:rsidRPr="00286216">
              <w:rPr>
                <w:color w:val="000000" w:themeColor="text1"/>
                <w:spacing w:val="-2"/>
              </w:rPr>
              <w:fldChar w:fldCharType="end"/>
            </w:r>
            <w:r w:rsidRPr="00286216">
              <w:rPr>
                <w:color w:val="000000" w:themeColor="text1"/>
                <w:spacing w:val="-2"/>
              </w:rPr>
              <w:t>-Н.д.Бєлькова О.В. (Реєстр.картка №403)</w:t>
            </w:r>
          </w:p>
          <w:p w14:paraId="3C13A40C" w14:textId="77777777" w:rsidR="006126F0" w:rsidRPr="00286216" w:rsidRDefault="006126F0" w:rsidP="00F562FA">
            <w:pPr>
              <w:pStyle w:val="StyleProp"/>
              <w:spacing w:line="180" w:lineRule="exact"/>
              <w:rPr>
                <w:color w:val="000000" w:themeColor="text1"/>
              </w:rPr>
            </w:pPr>
            <w:r w:rsidRPr="00286216">
              <w:rPr>
                <w:color w:val="000000" w:themeColor="text1"/>
              </w:rPr>
              <w:t>Пункт 29 частини першої статті 2 викласти в такій редакції:</w:t>
            </w:r>
          </w:p>
          <w:p w14:paraId="58892CDC" w14:textId="1D8074B8" w:rsidR="006126F0" w:rsidRPr="00286216" w:rsidRDefault="006126F0" w:rsidP="00F562FA">
            <w:pPr>
              <w:pStyle w:val="StyleProp"/>
              <w:spacing w:line="180" w:lineRule="exact"/>
              <w:rPr>
                <w:color w:val="000000" w:themeColor="text1"/>
                <w:szCs w:val="18"/>
              </w:rPr>
            </w:pPr>
            <w:r w:rsidRPr="00286216">
              <w:rPr>
                <w:color w:val="000000" w:themeColor="text1"/>
              </w:rPr>
              <w:t>«</w:t>
            </w:r>
            <w:r w:rsidR="002D299C" w:rsidRPr="00286216">
              <w:rPr>
                <w:color w:val="000000" w:themeColor="text1"/>
              </w:rPr>
              <w:t>неттінг – повне або часткове припинення зобов’язань за деривативними контрактами, договорами про заміну сторони, правочинами щодо фінансових інструментів, валютних цінностей або за товарними операціями, яке здійснюється шляхом зарахування зустрічних однорідних вимог та/або заміни первісного зобов’язання новим зобов’язанням між тими самими сторонами та/або припинення зобов’язань в інший спосіб, передбачений правилами клірингу</w:t>
            </w:r>
            <w:r w:rsidRPr="00286216">
              <w:rPr>
                <w:color w:val="000000" w:themeColor="text1"/>
              </w:rPr>
              <w:t>».</w:t>
            </w:r>
            <w:r w:rsidRPr="00286216" w:rsidDel="00F144E4">
              <w:rPr>
                <w:color w:val="000000" w:themeColor="text1"/>
              </w:rPr>
              <w:t xml:space="preserve"> </w:t>
            </w:r>
          </w:p>
        </w:tc>
        <w:tc>
          <w:tcPr>
            <w:tcW w:w="1987" w:type="dxa"/>
          </w:tcPr>
          <w:p w14:paraId="218ADF39" w14:textId="77777777" w:rsidR="006126F0" w:rsidRPr="00286216" w:rsidRDefault="006126F0" w:rsidP="006126F0">
            <w:pPr>
              <w:pStyle w:val="StyleWisnow"/>
              <w:rPr>
                <w:color w:val="000000" w:themeColor="text1"/>
              </w:rPr>
            </w:pPr>
            <w:r w:rsidRPr="00286216">
              <w:rPr>
                <w:color w:val="000000" w:themeColor="text1"/>
              </w:rPr>
              <w:t>Враховано</w:t>
            </w:r>
          </w:p>
          <w:p w14:paraId="67A24560" w14:textId="77777777" w:rsidR="006126F0" w:rsidRPr="00286216" w:rsidRDefault="006126F0" w:rsidP="006126F0">
            <w:pPr>
              <w:pStyle w:val="StyleWisnow"/>
              <w:rPr>
                <w:color w:val="000000" w:themeColor="text1"/>
              </w:rPr>
            </w:pPr>
          </w:p>
        </w:tc>
        <w:tc>
          <w:tcPr>
            <w:tcW w:w="4818" w:type="dxa"/>
          </w:tcPr>
          <w:p w14:paraId="574C7281" w14:textId="2BA33A6D" w:rsidR="006126F0" w:rsidRPr="00286216" w:rsidRDefault="006126F0" w:rsidP="002D299C">
            <w:pPr>
              <w:pStyle w:val="StyleZakonu"/>
              <w:rPr>
                <w:color w:val="000000" w:themeColor="text1"/>
              </w:rPr>
            </w:pPr>
            <w:r w:rsidRPr="00286216">
              <w:rPr>
                <w:color w:val="000000" w:themeColor="text1"/>
              </w:rPr>
              <w:t>28) неттінг – повне або часткове припинення зобов’язань за</w:t>
            </w:r>
            <w:r w:rsidR="008538C6" w:rsidRPr="00286216">
              <w:rPr>
                <w:color w:val="000000" w:themeColor="text1"/>
              </w:rPr>
              <w:t xml:space="preserve"> </w:t>
            </w:r>
            <w:r w:rsidRPr="00286216">
              <w:rPr>
                <w:color w:val="000000" w:themeColor="text1"/>
              </w:rPr>
              <w:t>деривативними контрактами, договорами про заміну сторони, правочинами щодо фінансових інструментів, валютних цінностей або за товарними операціями</w:t>
            </w:r>
            <w:r w:rsidR="008538C6" w:rsidRPr="00286216">
              <w:rPr>
                <w:color w:val="000000" w:themeColor="text1"/>
              </w:rPr>
              <w:t xml:space="preserve">, яке здійснюється шляхом </w:t>
            </w:r>
            <w:r w:rsidRPr="00286216">
              <w:rPr>
                <w:color w:val="000000" w:themeColor="text1"/>
              </w:rPr>
              <w:t>зарахування зустрічних однорідних вимог</w:t>
            </w:r>
            <w:r w:rsidR="002D299C" w:rsidRPr="00286216">
              <w:rPr>
                <w:color w:val="000000" w:themeColor="text1"/>
              </w:rPr>
              <w:t xml:space="preserve"> та/або</w:t>
            </w:r>
            <w:r w:rsidRPr="00286216">
              <w:rPr>
                <w:color w:val="000000" w:themeColor="text1"/>
              </w:rPr>
              <w:t xml:space="preserve"> замін</w:t>
            </w:r>
            <w:r w:rsidR="008538C6" w:rsidRPr="00286216">
              <w:rPr>
                <w:color w:val="000000" w:themeColor="text1"/>
              </w:rPr>
              <w:t>и</w:t>
            </w:r>
            <w:r w:rsidRPr="00286216">
              <w:rPr>
                <w:color w:val="000000" w:themeColor="text1"/>
              </w:rPr>
              <w:t xml:space="preserve"> первісного зобов’язання новим зобов’язанням між тими самими сторонами </w:t>
            </w:r>
            <w:r w:rsidR="002D299C" w:rsidRPr="00286216">
              <w:rPr>
                <w:color w:val="000000" w:themeColor="text1"/>
              </w:rPr>
              <w:t>та/</w:t>
            </w:r>
            <w:r w:rsidRPr="00286216">
              <w:rPr>
                <w:color w:val="000000" w:themeColor="text1"/>
              </w:rPr>
              <w:t>або припинення зобов’язань в інший спосіб, передбачений правилами клірингу;</w:t>
            </w:r>
          </w:p>
        </w:tc>
      </w:tr>
      <w:bookmarkEnd w:id="58"/>
      <w:tr w:rsidR="00F77E8D" w:rsidRPr="00286216" w14:paraId="2C1DFFCE" w14:textId="77777777" w:rsidTr="00091AA5">
        <w:tc>
          <w:tcPr>
            <w:tcW w:w="576" w:type="dxa"/>
          </w:tcPr>
          <w:p w14:paraId="45B3C4DF" w14:textId="77777777" w:rsidR="006126F0" w:rsidRPr="00286216" w:rsidRDefault="006126F0" w:rsidP="006126F0">
            <w:pPr>
              <w:pStyle w:val="StyleWisnow"/>
              <w:rPr>
                <w:color w:val="000000" w:themeColor="text1"/>
              </w:rPr>
            </w:pPr>
          </w:p>
        </w:tc>
        <w:tc>
          <w:tcPr>
            <w:tcW w:w="4818" w:type="dxa"/>
          </w:tcPr>
          <w:p w14:paraId="1C948BBC" w14:textId="77777777" w:rsidR="006126F0" w:rsidRPr="00286216" w:rsidRDefault="006126F0" w:rsidP="006126F0">
            <w:pPr>
              <w:pStyle w:val="StyleZakonu"/>
              <w:rPr>
                <w:color w:val="000000" w:themeColor="text1"/>
              </w:rPr>
            </w:pPr>
          </w:p>
        </w:tc>
        <w:tc>
          <w:tcPr>
            <w:tcW w:w="3686" w:type="dxa"/>
          </w:tcPr>
          <w:p w14:paraId="09C17448" w14:textId="56889AF9"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969E7C" w14:textId="77777777" w:rsidR="006126F0" w:rsidRPr="00286216" w:rsidRDefault="006126F0" w:rsidP="006126F0">
            <w:pPr>
              <w:pStyle w:val="StyleProp"/>
              <w:spacing w:line="180" w:lineRule="exact"/>
              <w:rPr>
                <w:color w:val="000000" w:themeColor="text1"/>
              </w:rPr>
            </w:pPr>
            <w:r w:rsidRPr="00286216">
              <w:rPr>
                <w:color w:val="000000" w:themeColor="text1"/>
              </w:rPr>
              <w:t>Пункт 29 частини першої статті 2 викласти в такій редакції:</w:t>
            </w:r>
          </w:p>
          <w:p w14:paraId="764ADAF4" w14:textId="77777777" w:rsidR="006126F0" w:rsidRPr="00286216" w:rsidRDefault="006126F0" w:rsidP="006126F0">
            <w:pPr>
              <w:pStyle w:val="StyleProp"/>
              <w:spacing w:line="180" w:lineRule="exact"/>
              <w:rPr>
                <w:color w:val="000000" w:themeColor="text1"/>
              </w:rPr>
            </w:pPr>
            <w:r w:rsidRPr="00286216">
              <w:rPr>
                <w:color w:val="000000" w:themeColor="text1"/>
              </w:rPr>
              <w:t>«29) неттінг – повне або часткове припинення зобов’язань, допущених до клірингу, зарахуванням зустрічних однорідних вимог, заміною первісного зобов’язання новим зобов’язанням між тими ж сторонами, або в інший спосіб, передбачений правилами клірингу».</w:t>
            </w:r>
          </w:p>
        </w:tc>
        <w:tc>
          <w:tcPr>
            <w:tcW w:w="1987" w:type="dxa"/>
          </w:tcPr>
          <w:p w14:paraId="30BEAFAA" w14:textId="77777777" w:rsidR="006126F0" w:rsidRPr="00286216" w:rsidRDefault="006126F0" w:rsidP="006126F0">
            <w:pPr>
              <w:pStyle w:val="StyleWisnow"/>
              <w:rPr>
                <w:color w:val="000000" w:themeColor="text1"/>
              </w:rPr>
            </w:pPr>
            <w:r w:rsidRPr="00286216">
              <w:rPr>
                <w:color w:val="000000" w:themeColor="text1"/>
              </w:rPr>
              <w:t>Враховано частково</w:t>
            </w:r>
          </w:p>
          <w:p w14:paraId="1E65CB53" w14:textId="77777777" w:rsidR="006126F0" w:rsidRPr="00286216" w:rsidRDefault="006126F0" w:rsidP="006126F0">
            <w:pPr>
              <w:pStyle w:val="StyleWisnow"/>
              <w:rPr>
                <w:color w:val="000000" w:themeColor="text1"/>
              </w:rPr>
            </w:pPr>
          </w:p>
        </w:tc>
        <w:tc>
          <w:tcPr>
            <w:tcW w:w="4818" w:type="dxa"/>
          </w:tcPr>
          <w:p w14:paraId="4235FC54" w14:textId="77777777" w:rsidR="006126F0" w:rsidRPr="00286216" w:rsidRDefault="006126F0" w:rsidP="006126F0">
            <w:pPr>
              <w:pStyle w:val="StyleZakonu"/>
              <w:rPr>
                <w:color w:val="000000" w:themeColor="text1"/>
              </w:rPr>
            </w:pPr>
          </w:p>
        </w:tc>
      </w:tr>
      <w:tr w:rsidR="00F77E8D" w:rsidRPr="00286216" w14:paraId="6B7612A1" w14:textId="77777777" w:rsidTr="00091AA5">
        <w:tc>
          <w:tcPr>
            <w:tcW w:w="576" w:type="dxa"/>
          </w:tcPr>
          <w:p w14:paraId="15EB3AC9" w14:textId="77777777" w:rsidR="006126F0" w:rsidRPr="00286216" w:rsidRDefault="006126F0" w:rsidP="006126F0">
            <w:pPr>
              <w:pStyle w:val="StyleWisnow"/>
              <w:rPr>
                <w:color w:val="000000" w:themeColor="text1"/>
              </w:rPr>
            </w:pPr>
          </w:p>
        </w:tc>
        <w:tc>
          <w:tcPr>
            <w:tcW w:w="4818" w:type="dxa"/>
          </w:tcPr>
          <w:p w14:paraId="7C3AE64A" w14:textId="77777777" w:rsidR="006126F0" w:rsidRPr="00286216" w:rsidRDefault="006126F0" w:rsidP="006126F0">
            <w:pPr>
              <w:pStyle w:val="StyleZakonu"/>
              <w:rPr>
                <w:color w:val="000000" w:themeColor="text1"/>
              </w:rPr>
            </w:pPr>
          </w:p>
        </w:tc>
        <w:tc>
          <w:tcPr>
            <w:tcW w:w="3686" w:type="dxa"/>
          </w:tcPr>
          <w:p w14:paraId="7AA1AAB4" w14:textId="22A25D34"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79</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271EA51E" w14:textId="77777777" w:rsidR="006126F0" w:rsidRPr="00286216" w:rsidRDefault="006126F0" w:rsidP="006126F0">
            <w:pPr>
              <w:pStyle w:val="StyleProp"/>
              <w:rPr>
                <w:color w:val="000000" w:themeColor="text1"/>
              </w:rPr>
            </w:pPr>
            <w:r w:rsidRPr="00286216">
              <w:rPr>
                <w:color w:val="000000" w:themeColor="text1"/>
              </w:rPr>
              <w:t>у пункті 29 слово «конвертація» замінити словами «повне або часткове припинення».</w:t>
            </w:r>
          </w:p>
        </w:tc>
        <w:tc>
          <w:tcPr>
            <w:tcW w:w="1987" w:type="dxa"/>
          </w:tcPr>
          <w:p w14:paraId="5DB12EC3"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715BD7E3" w14:textId="77777777" w:rsidR="006126F0" w:rsidRPr="00286216" w:rsidRDefault="006126F0" w:rsidP="006126F0">
            <w:pPr>
              <w:pStyle w:val="StyleZakonu"/>
              <w:rPr>
                <w:color w:val="000000" w:themeColor="text1"/>
              </w:rPr>
            </w:pPr>
          </w:p>
        </w:tc>
      </w:tr>
      <w:tr w:rsidR="00F77E8D" w:rsidRPr="00286216" w14:paraId="3572447A" w14:textId="77777777" w:rsidTr="00091AA5">
        <w:tc>
          <w:tcPr>
            <w:tcW w:w="576" w:type="dxa"/>
          </w:tcPr>
          <w:p w14:paraId="2BB58B5F" w14:textId="77777777" w:rsidR="006126F0" w:rsidRPr="00286216" w:rsidRDefault="006126F0" w:rsidP="006126F0">
            <w:pPr>
              <w:pStyle w:val="StyleWisnow"/>
              <w:rPr>
                <w:color w:val="000000" w:themeColor="text1"/>
              </w:rPr>
            </w:pPr>
            <w:bookmarkStart w:id="59" w:name="n56" w:colFirst="0" w:colLast="0"/>
            <w:r w:rsidRPr="00286216">
              <w:rPr>
                <w:color w:val="000000" w:themeColor="text1"/>
              </w:rPr>
              <w:t>56.</w:t>
            </w:r>
          </w:p>
        </w:tc>
        <w:tc>
          <w:tcPr>
            <w:tcW w:w="4818" w:type="dxa"/>
          </w:tcPr>
          <w:p w14:paraId="6EB0901A" w14:textId="77777777" w:rsidR="006126F0" w:rsidRPr="00286216" w:rsidRDefault="006126F0" w:rsidP="006126F0">
            <w:pPr>
              <w:pStyle w:val="StyleZakonu"/>
              <w:rPr>
                <w:color w:val="000000" w:themeColor="text1"/>
              </w:rPr>
            </w:pPr>
            <w:r w:rsidRPr="00286216">
              <w:rPr>
                <w:color w:val="000000" w:themeColor="text1"/>
              </w:rPr>
              <w:t>30) обіг цінних паперів - вчинення правочинів, пов’язаних з переходом прав на цінні папери і прав за цінними паперами, крім договорів, що укладаються у процесі емісії, при викупі цінних паперів їх емітентом та купівлі-продажу емітентом викуплених цінних паперів;</w:t>
            </w:r>
          </w:p>
        </w:tc>
        <w:tc>
          <w:tcPr>
            <w:tcW w:w="3686" w:type="dxa"/>
          </w:tcPr>
          <w:p w14:paraId="0695386C" w14:textId="6F7E91A7"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5A24E32" w14:textId="77777777" w:rsidR="006126F0" w:rsidRPr="00286216" w:rsidRDefault="006126F0" w:rsidP="00F562FA">
            <w:pPr>
              <w:pStyle w:val="StyleProp"/>
              <w:spacing w:line="180" w:lineRule="exact"/>
              <w:rPr>
                <w:color w:val="000000" w:themeColor="text1"/>
                <w:szCs w:val="18"/>
              </w:rPr>
            </w:pPr>
            <w:r w:rsidRPr="00286216">
              <w:rPr>
                <w:color w:val="000000" w:themeColor="text1"/>
                <w:szCs w:val="18"/>
              </w:rPr>
              <w:t>Пункт 30 частини першої статті 2 викласти в такій редакції:</w:t>
            </w:r>
          </w:p>
          <w:p w14:paraId="5E9E882A" w14:textId="77777777" w:rsidR="006126F0" w:rsidRPr="00286216" w:rsidRDefault="006126F0" w:rsidP="00F562FA">
            <w:pPr>
              <w:pStyle w:val="StyleProp"/>
              <w:spacing w:line="180" w:lineRule="exact"/>
              <w:rPr>
                <w:color w:val="000000" w:themeColor="text1"/>
                <w:szCs w:val="18"/>
              </w:rPr>
            </w:pPr>
            <w:r w:rsidRPr="00286216">
              <w:rPr>
                <w:color w:val="000000" w:themeColor="text1"/>
                <w:szCs w:val="18"/>
              </w:rPr>
              <w:t>«30) обіг цінних паперів – вчинення правочинів, пов’язаних з переходом прав на цінні папери і прав за цінними паперами, крім договорів, що укладаються у процесі емісії, у процесі відчуження неемісійних паперів їх першим власникам, при викупі цінних паперів їх емітентом або особою, що їх видала, та відчуженні емітентом або особою, що видала цінні папери, викуплених цінних паперів».</w:t>
            </w:r>
          </w:p>
        </w:tc>
        <w:tc>
          <w:tcPr>
            <w:tcW w:w="1987" w:type="dxa"/>
          </w:tcPr>
          <w:p w14:paraId="02DA8F59" w14:textId="77777777" w:rsidR="006126F0" w:rsidRPr="00286216" w:rsidRDefault="006126F0" w:rsidP="006126F0">
            <w:pPr>
              <w:pStyle w:val="StyleWisnow"/>
              <w:rPr>
                <w:color w:val="000000" w:themeColor="text1"/>
              </w:rPr>
            </w:pPr>
            <w:r w:rsidRPr="00286216">
              <w:rPr>
                <w:color w:val="000000" w:themeColor="text1"/>
              </w:rPr>
              <w:t>Враховано частково</w:t>
            </w:r>
          </w:p>
          <w:p w14:paraId="15BA05E1" w14:textId="77777777" w:rsidR="006126F0" w:rsidRPr="00286216" w:rsidRDefault="006126F0" w:rsidP="006126F0">
            <w:pPr>
              <w:pStyle w:val="StyleWisnow"/>
              <w:spacing w:line="180" w:lineRule="exact"/>
              <w:rPr>
                <w:color w:val="000000" w:themeColor="text1"/>
              </w:rPr>
            </w:pPr>
            <w:r w:rsidRPr="00286216">
              <w:rPr>
                <w:color w:val="000000" w:themeColor="text1"/>
              </w:rPr>
              <w:t>в запропонованій Комітетом редакції</w:t>
            </w:r>
          </w:p>
          <w:p w14:paraId="1C80333A" w14:textId="77777777" w:rsidR="006126F0" w:rsidRPr="00286216" w:rsidRDefault="006126F0" w:rsidP="006126F0">
            <w:pPr>
              <w:pStyle w:val="StyleWisnow"/>
              <w:rPr>
                <w:color w:val="000000" w:themeColor="text1"/>
              </w:rPr>
            </w:pPr>
          </w:p>
        </w:tc>
        <w:tc>
          <w:tcPr>
            <w:tcW w:w="4818" w:type="dxa"/>
          </w:tcPr>
          <w:p w14:paraId="7D3A022C" w14:textId="551ED123" w:rsidR="006126F0" w:rsidRPr="00286216" w:rsidRDefault="006126F0" w:rsidP="006126F0">
            <w:pPr>
              <w:pStyle w:val="StyleZakonu"/>
              <w:rPr>
                <w:color w:val="000000" w:themeColor="text1"/>
              </w:rPr>
            </w:pPr>
            <w:r w:rsidRPr="00286216">
              <w:rPr>
                <w:color w:val="000000" w:themeColor="text1"/>
              </w:rPr>
              <w:t>29) обіг цінних паперів (далі – обіг) – вчинення правочинів, пов’язаних з переходом прав на цінні папери і прав за цінними паперами, крім тих правочинів, однією із сторін яких є емітент або особа, яка видала неемісійний цінний папір;</w:t>
            </w:r>
          </w:p>
        </w:tc>
      </w:tr>
      <w:bookmarkEnd w:id="59"/>
      <w:tr w:rsidR="00F77E8D" w:rsidRPr="00286216" w14:paraId="30BACD28" w14:textId="77777777" w:rsidTr="00091AA5">
        <w:tc>
          <w:tcPr>
            <w:tcW w:w="576" w:type="dxa"/>
          </w:tcPr>
          <w:p w14:paraId="7BB9C4C6" w14:textId="77777777" w:rsidR="006126F0" w:rsidRPr="00286216" w:rsidRDefault="006126F0" w:rsidP="006126F0">
            <w:pPr>
              <w:pStyle w:val="StyleWisnow"/>
              <w:rPr>
                <w:color w:val="000000" w:themeColor="text1"/>
              </w:rPr>
            </w:pPr>
          </w:p>
        </w:tc>
        <w:tc>
          <w:tcPr>
            <w:tcW w:w="4818" w:type="dxa"/>
          </w:tcPr>
          <w:p w14:paraId="20BED292" w14:textId="77777777" w:rsidR="006126F0" w:rsidRPr="00286216" w:rsidRDefault="006126F0" w:rsidP="006126F0">
            <w:pPr>
              <w:pStyle w:val="StyleZakonu"/>
              <w:rPr>
                <w:color w:val="000000" w:themeColor="text1"/>
              </w:rPr>
            </w:pPr>
          </w:p>
        </w:tc>
        <w:tc>
          <w:tcPr>
            <w:tcW w:w="3686" w:type="dxa"/>
          </w:tcPr>
          <w:p w14:paraId="53A10195" w14:textId="52ADC238"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81</w:t>
            </w:r>
            <w:r w:rsidRPr="00286216">
              <w:rPr>
                <w:color w:val="000000" w:themeColor="text1"/>
                <w:spacing w:val="-10"/>
              </w:rPr>
              <w:fldChar w:fldCharType="end"/>
            </w:r>
            <w:r w:rsidRPr="00286216">
              <w:rPr>
                <w:color w:val="000000" w:themeColor="text1"/>
                <w:spacing w:val="-10"/>
              </w:rPr>
              <w:t>-Н.д.Гетманцев Д.О.(Реєстр.картка №245)</w:t>
            </w:r>
          </w:p>
          <w:p w14:paraId="62C68319" w14:textId="77777777" w:rsidR="006126F0" w:rsidRPr="00286216" w:rsidRDefault="006126F0" w:rsidP="006126F0">
            <w:pPr>
              <w:pStyle w:val="StyleProp"/>
              <w:rPr>
                <w:color w:val="000000" w:themeColor="text1"/>
              </w:rPr>
            </w:pPr>
            <w:r w:rsidRPr="00286216">
              <w:rPr>
                <w:color w:val="000000" w:themeColor="text1"/>
              </w:rPr>
              <w:t>У частині першій статті 2 у пункті 30 слова «обіг цінних паперів» замінити словом «обіг».</w:t>
            </w:r>
          </w:p>
        </w:tc>
        <w:tc>
          <w:tcPr>
            <w:tcW w:w="1987" w:type="dxa"/>
          </w:tcPr>
          <w:p w14:paraId="74A04B58"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44775313" w14:textId="77777777" w:rsidR="006126F0" w:rsidRPr="00286216" w:rsidRDefault="006126F0" w:rsidP="006126F0">
            <w:pPr>
              <w:pStyle w:val="StyleZakonu"/>
              <w:rPr>
                <w:color w:val="000000" w:themeColor="text1"/>
              </w:rPr>
            </w:pPr>
          </w:p>
        </w:tc>
      </w:tr>
      <w:tr w:rsidR="00F77E8D" w:rsidRPr="00286216" w14:paraId="3D3CFD45" w14:textId="77777777" w:rsidTr="00091AA5">
        <w:tc>
          <w:tcPr>
            <w:tcW w:w="576" w:type="dxa"/>
          </w:tcPr>
          <w:p w14:paraId="095D356D" w14:textId="77777777" w:rsidR="006126F0" w:rsidRPr="00286216" w:rsidRDefault="006126F0" w:rsidP="006126F0">
            <w:pPr>
              <w:pStyle w:val="StyleWisnow"/>
              <w:rPr>
                <w:color w:val="000000" w:themeColor="text1"/>
              </w:rPr>
            </w:pPr>
          </w:p>
        </w:tc>
        <w:tc>
          <w:tcPr>
            <w:tcW w:w="4818" w:type="dxa"/>
          </w:tcPr>
          <w:p w14:paraId="57D74B6C" w14:textId="77777777" w:rsidR="006126F0" w:rsidRPr="00286216" w:rsidRDefault="006126F0" w:rsidP="006126F0">
            <w:pPr>
              <w:pStyle w:val="StyleZakonu"/>
              <w:rPr>
                <w:color w:val="000000" w:themeColor="text1"/>
              </w:rPr>
            </w:pPr>
          </w:p>
        </w:tc>
        <w:tc>
          <w:tcPr>
            <w:tcW w:w="3686" w:type="dxa"/>
          </w:tcPr>
          <w:p w14:paraId="79754A3E" w14:textId="0CCB908A"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3AE2ED3"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 xml:space="preserve">після пункту 30 доповнити новим пунктом такого змісту: </w:t>
            </w:r>
          </w:p>
          <w:p w14:paraId="6C4729B2"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«31) обіг фінансових інструментів -  вчинення правочинів, пов’язаних зі зміною сторони деривативного контракту, а також правочинів, пов’язаних з обігом цінних паперів та інструментів грошового ринку;»</w:t>
            </w:r>
          </w:p>
        </w:tc>
        <w:tc>
          <w:tcPr>
            <w:tcW w:w="1987" w:type="dxa"/>
          </w:tcPr>
          <w:p w14:paraId="011771BA" w14:textId="77777777" w:rsidR="006126F0" w:rsidRPr="00286216" w:rsidRDefault="006126F0" w:rsidP="006126F0">
            <w:pPr>
              <w:pStyle w:val="StyleWisnow"/>
              <w:rPr>
                <w:color w:val="000000" w:themeColor="text1"/>
              </w:rPr>
            </w:pPr>
            <w:r w:rsidRPr="00286216">
              <w:rPr>
                <w:color w:val="000000" w:themeColor="text1"/>
              </w:rPr>
              <w:t>Відхилено</w:t>
            </w:r>
          </w:p>
          <w:p w14:paraId="7B729AF3" w14:textId="77777777" w:rsidR="006126F0" w:rsidRPr="00286216" w:rsidRDefault="006126F0" w:rsidP="006126F0">
            <w:pPr>
              <w:pStyle w:val="StyleWisnow"/>
              <w:spacing w:line="180" w:lineRule="exact"/>
              <w:rPr>
                <w:color w:val="000000" w:themeColor="text1"/>
              </w:rPr>
            </w:pPr>
            <w:r w:rsidRPr="00286216">
              <w:rPr>
                <w:color w:val="000000" w:themeColor="text1"/>
              </w:rPr>
              <w:t>не відповідає концепції деривативного контракту, що пропонується редакцією другого читання</w:t>
            </w:r>
          </w:p>
        </w:tc>
        <w:tc>
          <w:tcPr>
            <w:tcW w:w="4818" w:type="dxa"/>
          </w:tcPr>
          <w:p w14:paraId="76AF46D3" w14:textId="77777777" w:rsidR="006126F0" w:rsidRPr="00286216" w:rsidRDefault="006126F0" w:rsidP="006126F0">
            <w:pPr>
              <w:pStyle w:val="StyleZakonu"/>
              <w:rPr>
                <w:color w:val="000000" w:themeColor="text1"/>
              </w:rPr>
            </w:pPr>
          </w:p>
        </w:tc>
      </w:tr>
      <w:tr w:rsidR="00F77E8D" w:rsidRPr="00286216" w14:paraId="164F4F7D" w14:textId="77777777" w:rsidTr="00091AA5">
        <w:tc>
          <w:tcPr>
            <w:tcW w:w="576" w:type="dxa"/>
          </w:tcPr>
          <w:p w14:paraId="67CD1A34" w14:textId="77777777" w:rsidR="006126F0" w:rsidRPr="00286216" w:rsidRDefault="006126F0" w:rsidP="006126F0">
            <w:pPr>
              <w:pStyle w:val="StyleWisnow"/>
              <w:rPr>
                <w:color w:val="000000" w:themeColor="text1"/>
              </w:rPr>
            </w:pPr>
            <w:bookmarkStart w:id="60" w:name="n57" w:colFirst="0" w:colLast="0"/>
            <w:r w:rsidRPr="00286216">
              <w:rPr>
                <w:color w:val="000000" w:themeColor="text1"/>
              </w:rPr>
              <w:t>57.</w:t>
            </w:r>
          </w:p>
        </w:tc>
        <w:tc>
          <w:tcPr>
            <w:tcW w:w="4818" w:type="dxa"/>
          </w:tcPr>
          <w:p w14:paraId="42732A70" w14:textId="77777777" w:rsidR="006126F0" w:rsidRPr="00286216" w:rsidRDefault="006126F0" w:rsidP="006126F0">
            <w:pPr>
              <w:pStyle w:val="StyleZakonu"/>
              <w:rPr>
                <w:color w:val="000000" w:themeColor="text1"/>
              </w:rPr>
            </w:pPr>
            <w:r w:rsidRPr="00286216">
              <w:rPr>
                <w:color w:val="000000" w:themeColor="text1"/>
              </w:rPr>
              <w:t>31) оператор багатостороннього торгівельного майданчика (оператор БТМ) -акціонерне товариство, товариство з обмеженою відповідальністю, товариство з додатковою відповідальністю, яке здійснює управління та забезпечує функціонування багатостороннього торгівельного майданчика на підставі окремої ліцензії, що видається Національною комісією з цінних паперів та фондового ринку;</w:t>
            </w:r>
          </w:p>
        </w:tc>
        <w:tc>
          <w:tcPr>
            <w:tcW w:w="3686" w:type="dxa"/>
          </w:tcPr>
          <w:p w14:paraId="572FD397" w14:textId="2F500509"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83</w:t>
            </w:r>
            <w:r w:rsidRPr="00286216">
              <w:rPr>
                <w:color w:val="000000" w:themeColor="text1"/>
                <w:spacing w:val="-10"/>
              </w:rPr>
              <w:fldChar w:fldCharType="end"/>
            </w:r>
            <w:r w:rsidRPr="00286216">
              <w:rPr>
                <w:color w:val="000000" w:themeColor="text1"/>
                <w:spacing w:val="-10"/>
              </w:rPr>
              <w:t>-Н.д.Гетманцев Д.О.(Реєстр.картка №245)</w:t>
            </w:r>
          </w:p>
          <w:p w14:paraId="60D53DF1" w14:textId="77777777" w:rsidR="006126F0" w:rsidRPr="00286216" w:rsidRDefault="006126F0" w:rsidP="006126F0">
            <w:pPr>
              <w:pStyle w:val="StyleProp"/>
              <w:rPr>
                <w:color w:val="000000" w:themeColor="text1"/>
              </w:rPr>
            </w:pPr>
            <w:r w:rsidRPr="00286216">
              <w:rPr>
                <w:color w:val="000000" w:themeColor="text1"/>
              </w:rPr>
              <w:t xml:space="preserve">У статті 2 у пункті 31 </w:t>
            </w:r>
            <w:r w:rsidRPr="00286216">
              <w:rPr>
                <w:color w:val="000000" w:themeColor="text1"/>
                <w:spacing w:val="-2"/>
              </w:rPr>
              <w:t>слова "обмеженою відповідальністю" замінити словами "обмеженою відповідальністю або", слово "окремої" виключити.</w:t>
            </w:r>
          </w:p>
          <w:p w14:paraId="6FB62A94" w14:textId="7DB28A77"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84</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3A8C5C6A" w14:textId="77777777" w:rsidR="006126F0" w:rsidRPr="00286216" w:rsidRDefault="006126F0" w:rsidP="00F562FA">
            <w:pPr>
              <w:pStyle w:val="StyleProp"/>
              <w:spacing w:line="180" w:lineRule="exact"/>
              <w:rPr>
                <w:color w:val="000000" w:themeColor="text1"/>
                <w:spacing w:val="-2"/>
              </w:rPr>
            </w:pPr>
            <w:r w:rsidRPr="00286216">
              <w:rPr>
                <w:color w:val="000000" w:themeColor="text1"/>
                <w:spacing w:val="-2"/>
              </w:rPr>
              <w:t>у пункті 30 слова «Національною комісією з цінних паперів та фондового ринку» замінити словами «регулятором відповідного ринку, чи інших підстав, визначених таким регулятором».</w:t>
            </w:r>
          </w:p>
        </w:tc>
        <w:tc>
          <w:tcPr>
            <w:tcW w:w="1987" w:type="dxa"/>
          </w:tcPr>
          <w:p w14:paraId="35C210AC" w14:textId="77777777" w:rsidR="006126F0" w:rsidRPr="00286216" w:rsidRDefault="006126F0" w:rsidP="006126F0">
            <w:pPr>
              <w:pStyle w:val="StyleWisnow"/>
              <w:rPr>
                <w:color w:val="000000" w:themeColor="text1"/>
              </w:rPr>
            </w:pPr>
            <w:r w:rsidRPr="00286216">
              <w:rPr>
                <w:color w:val="000000" w:themeColor="text1"/>
              </w:rPr>
              <w:t>Враховано</w:t>
            </w:r>
          </w:p>
          <w:p w14:paraId="710658DE" w14:textId="77777777" w:rsidR="006126F0" w:rsidRPr="00286216" w:rsidRDefault="006126F0" w:rsidP="006126F0">
            <w:pPr>
              <w:pStyle w:val="StyleWisnow"/>
              <w:rPr>
                <w:color w:val="000000" w:themeColor="text1"/>
              </w:rPr>
            </w:pPr>
          </w:p>
          <w:p w14:paraId="1B8C3A4E" w14:textId="77777777" w:rsidR="006126F0" w:rsidRPr="00286216" w:rsidRDefault="006126F0" w:rsidP="006126F0">
            <w:pPr>
              <w:pStyle w:val="StyleWisnow"/>
              <w:rPr>
                <w:color w:val="000000" w:themeColor="text1"/>
              </w:rPr>
            </w:pPr>
          </w:p>
          <w:p w14:paraId="6DA58D56" w14:textId="77777777" w:rsidR="006126F0" w:rsidRPr="00286216" w:rsidRDefault="006126F0" w:rsidP="006126F0">
            <w:pPr>
              <w:pStyle w:val="StyleWisnow"/>
              <w:rPr>
                <w:color w:val="000000" w:themeColor="text1"/>
              </w:rPr>
            </w:pPr>
          </w:p>
          <w:p w14:paraId="032C15A1" w14:textId="77777777" w:rsidR="006126F0" w:rsidRPr="00286216" w:rsidRDefault="006126F0" w:rsidP="006126F0">
            <w:pPr>
              <w:pStyle w:val="StyleWisnow"/>
              <w:rPr>
                <w:color w:val="000000" w:themeColor="text1"/>
              </w:rPr>
            </w:pPr>
          </w:p>
          <w:p w14:paraId="4D467EDB" w14:textId="77777777" w:rsidR="006126F0" w:rsidRPr="00286216" w:rsidRDefault="006126F0" w:rsidP="006126F0">
            <w:pPr>
              <w:pStyle w:val="StyleWisnow"/>
              <w:rPr>
                <w:color w:val="000000" w:themeColor="text1"/>
              </w:rPr>
            </w:pPr>
            <w:r w:rsidRPr="00286216">
              <w:rPr>
                <w:color w:val="000000" w:themeColor="text1"/>
              </w:rPr>
              <w:t>Відхилено</w:t>
            </w:r>
          </w:p>
          <w:p w14:paraId="247D6856" w14:textId="77777777" w:rsidR="006126F0" w:rsidRPr="00286216" w:rsidRDefault="006126F0" w:rsidP="006126F0">
            <w:pPr>
              <w:pStyle w:val="StyleWisnow"/>
              <w:spacing w:line="180" w:lineRule="exact"/>
              <w:rPr>
                <w:color w:val="000000" w:themeColor="text1"/>
              </w:rPr>
            </w:pPr>
            <w:r w:rsidRPr="00286216">
              <w:rPr>
                <w:color w:val="000000" w:themeColor="text1"/>
              </w:rPr>
              <w:t>виключно НКЦПФР є регулятором системи обігу фінансових інструментів</w:t>
            </w:r>
          </w:p>
        </w:tc>
        <w:tc>
          <w:tcPr>
            <w:tcW w:w="4818" w:type="dxa"/>
          </w:tcPr>
          <w:p w14:paraId="7A186E60" w14:textId="41C6CCE2" w:rsidR="006126F0" w:rsidRPr="00286216" w:rsidRDefault="006126F0" w:rsidP="006126F0">
            <w:pPr>
              <w:pStyle w:val="StyleZakonu"/>
              <w:rPr>
                <w:color w:val="000000" w:themeColor="text1"/>
              </w:rPr>
            </w:pPr>
            <w:r w:rsidRPr="00286216">
              <w:rPr>
                <w:color w:val="000000" w:themeColor="text1"/>
              </w:rPr>
              <w:t>30) оператор багатостороннього торговельного майданчика (далі – оператор БТМ) – акціонерне товариство, товариство з обмеженою відповідальністю або товариство з додатковою відповідальністю, що здійснює управління та забезпечує функціонування багатостороннього торговельного майданчика на підставі ліцензії, виданої Національною комісією з цінних паперів та фондового ринку;</w:t>
            </w:r>
          </w:p>
        </w:tc>
      </w:tr>
      <w:tr w:rsidR="00F77E8D" w:rsidRPr="00286216" w14:paraId="7A77F69D" w14:textId="77777777" w:rsidTr="00091AA5">
        <w:tc>
          <w:tcPr>
            <w:tcW w:w="576" w:type="dxa"/>
          </w:tcPr>
          <w:p w14:paraId="7BA93690" w14:textId="77777777" w:rsidR="006126F0" w:rsidRPr="00286216" w:rsidRDefault="006126F0" w:rsidP="006126F0">
            <w:pPr>
              <w:pStyle w:val="StyleWisnow"/>
              <w:rPr>
                <w:color w:val="000000" w:themeColor="text1"/>
              </w:rPr>
            </w:pPr>
            <w:bookmarkStart w:id="61" w:name="n58" w:colFirst="0" w:colLast="0"/>
            <w:bookmarkEnd w:id="60"/>
            <w:r w:rsidRPr="00286216">
              <w:rPr>
                <w:color w:val="000000" w:themeColor="text1"/>
              </w:rPr>
              <w:t>58.</w:t>
            </w:r>
          </w:p>
        </w:tc>
        <w:tc>
          <w:tcPr>
            <w:tcW w:w="4818" w:type="dxa"/>
          </w:tcPr>
          <w:p w14:paraId="259F2F72" w14:textId="77777777" w:rsidR="006126F0" w:rsidRPr="00286216" w:rsidRDefault="006126F0" w:rsidP="006126F0">
            <w:pPr>
              <w:pStyle w:val="StyleZakonu"/>
              <w:rPr>
                <w:color w:val="000000" w:themeColor="text1"/>
              </w:rPr>
            </w:pPr>
            <w:r w:rsidRPr="00286216">
              <w:rPr>
                <w:color w:val="000000" w:themeColor="text1"/>
              </w:rPr>
              <w:t>32) оператор організованого ринку - оператор організованого ринку капіталу (оператор регульованого ринку, БТМ та ОТМ) та оператор організованого товарного ринку (оператор регульованого товарного ринку та товарна біржа);</w:t>
            </w:r>
          </w:p>
        </w:tc>
        <w:tc>
          <w:tcPr>
            <w:tcW w:w="3686" w:type="dxa"/>
          </w:tcPr>
          <w:p w14:paraId="66EBE913" w14:textId="7CE01305"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85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35974BE" w14:textId="77777777" w:rsidR="006126F0" w:rsidRPr="00286216" w:rsidRDefault="006126F0" w:rsidP="006126F0">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19E053A6" w14:textId="77777777" w:rsidR="006126F0" w:rsidRPr="00286216" w:rsidRDefault="006126F0" w:rsidP="006126F0">
            <w:pPr>
              <w:pStyle w:val="StyleProp"/>
              <w:spacing w:line="190" w:lineRule="exact"/>
              <w:rPr>
                <w:color w:val="000000" w:themeColor="text1"/>
              </w:rPr>
            </w:pPr>
            <w:r w:rsidRPr="00286216">
              <w:rPr>
                <w:color w:val="000000" w:themeColor="text1"/>
                <w:spacing w:val="-3"/>
                <w:szCs w:val="18"/>
              </w:rPr>
              <w:t>У пункті 32 частини першої статті 2 слова «</w:t>
            </w:r>
            <w:r w:rsidRPr="00286216">
              <w:rPr>
                <w:color w:val="000000" w:themeColor="text1"/>
              </w:rPr>
              <w:t>оператор регульованого товарного ринку та</w:t>
            </w:r>
            <w:r w:rsidRPr="00286216">
              <w:rPr>
                <w:color w:val="000000" w:themeColor="text1"/>
                <w:spacing w:val="-3"/>
                <w:szCs w:val="18"/>
              </w:rPr>
              <w:t>» виключити.</w:t>
            </w:r>
          </w:p>
        </w:tc>
        <w:tc>
          <w:tcPr>
            <w:tcW w:w="1987" w:type="dxa"/>
          </w:tcPr>
          <w:p w14:paraId="4DF5CABD"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696FA0C8" w14:textId="07917B1B" w:rsidR="006126F0" w:rsidRPr="00286216" w:rsidRDefault="006126F0" w:rsidP="006126F0">
            <w:pPr>
              <w:pStyle w:val="StyleZakonu"/>
              <w:rPr>
                <w:color w:val="000000" w:themeColor="text1"/>
              </w:rPr>
            </w:pPr>
            <w:r w:rsidRPr="00286216">
              <w:rPr>
                <w:color w:val="000000" w:themeColor="text1"/>
              </w:rPr>
              <w:t xml:space="preserve">31) оператор організованого ринку </w:t>
            </w:r>
            <w:r w:rsidR="00E118F9" w:rsidRPr="00286216">
              <w:rPr>
                <w:color w:val="000000" w:themeColor="text1"/>
              </w:rPr>
              <w:t>–</w:t>
            </w:r>
            <w:r w:rsidRPr="00286216">
              <w:rPr>
                <w:color w:val="000000" w:themeColor="text1"/>
              </w:rPr>
              <w:t xml:space="preserve"> оператор організованого ринку капіталу (оператор регульованого ринку, оператор БТМ, оператор ОТМ) та оператор організованого товарного ринку (товарна біржа);</w:t>
            </w:r>
          </w:p>
        </w:tc>
      </w:tr>
      <w:tr w:rsidR="00F77E8D" w:rsidRPr="00286216" w14:paraId="46E5C892" w14:textId="77777777" w:rsidTr="00091AA5">
        <w:tc>
          <w:tcPr>
            <w:tcW w:w="576" w:type="dxa"/>
          </w:tcPr>
          <w:p w14:paraId="673CDCB2" w14:textId="77777777" w:rsidR="006126F0" w:rsidRPr="00286216" w:rsidRDefault="006126F0" w:rsidP="006126F0">
            <w:pPr>
              <w:pStyle w:val="StyleWisnow"/>
              <w:rPr>
                <w:color w:val="000000" w:themeColor="text1"/>
              </w:rPr>
            </w:pPr>
            <w:bookmarkStart w:id="62" w:name="n59" w:colFirst="0" w:colLast="0"/>
            <w:bookmarkEnd w:id="61"/>
            <w:r w:rsidRPr="00286216">
              <w:rPr>
                <w:color w:val="000000" w:themeColor="text1"/>
              </w:rPr>
              <w:t>59.</w:t>
            </w:r>
          </w:p>
        </w:tc>
        <w:tc>
          <w:tcPr>
            <w:tcW w:w="4818" w:type="dxa"/>
          </w:tcPr>
          <w:p w14:paraId="24EB75A7" w14:textId="77777777" w:rsidR="006126F0" w:rsidRPr="00286216" w:rsidRDefault="006126F0" w:rsidP="006126F0">
            <w:pPr>
              <w:pStyle w:val="StyleZakonu"/>
              <w:rPr>
                <w:color w:val="000000" w:themeColor="text1"/>
              </w:rPr>
            </w:pPr>
            <w:r w:rsidRPr="00286216">
              <w:rPr>
                <w:color w:val="000000" w:themeColor="text1"/>
              </w:rPr>
              <w:t>33) оператор організованого торгівельного майданчика (оператор ОТМ) -акціонерне товариство, товариство з обмеженою відповідальністю, товариство з додатковою відповідальністю, яке здійснює управління та забезпечує функціонування організованого торгівельного майданчика на підставі окремої ліцензії, що видається Національною комісією з цінних паперів та фондового ринку;</w:t>
            </w:r>
          </w:p>
        </w:tc>
        <w:tc>
          <w:tcPr>
            <w:tcW w:w="3686" w:type="dxa"/>
          </w:tcPr>
          <w:p w14:paraId="780D4B1A" w14:textId="20B31A4B"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86</w:t>
            </w:r>
            <w:r w:rsidRPr="00286216">
              <w:rPr>
                <w:color w:val="000000" w:themeColor="text1"/>
                <w:spacing w:val="-10"/>
              </w:rPr>
              <w:fldChar w:fldCharType="end"/>
            </w:r>
            <w:r w:rsidRPr="00286216">
              <w:rPr>
                <w:color w:val="000000" w:themeColor="text1"/>
                <w:spacing w:val="-10"/>
              </w:rPr>
              <w:t>-Н.д.Гетманцев Д.О.(Реєстр.картка №245)</w:t>
            </w:r>
          </w:p>
          <w:p w14:paraId="31071091" w14:textId="77777777" w:rsidR="006126F0" w:rsidRPr="00286216" w:rsidRDefault="006126F0" w:rsidP="00817365">
            <w:pPr>
              <w:pStyle w:val="StyleProp"/>
              <w:spacing w:line="180" w:lineRule="exact"/>
              <w:rPr>
                <w:color w:val="000000" w:themeColor="text1"/>
                <w:spacing w:val="-2"/>
              </w:rPr>
            </w:pPr>
            <w:r w:rsidRPr="00286216">
              <w:rPr>
                <w:color w:val="000000" w:themeColor="text1"/>
                <w:spacing w:val="-2"/>
              </w:rPr>
              <w:t>У статті 2 у пункті 33 слова «обмеженою відповідальністю,» замінити словами «обмеженою відповідальністю або» слово «окремої» виключити.</w:t>
            </w:r>
          </w:p>
          <w:p w14:paraId="771368B5" w14:textId="4E3ABA25"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87</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3EA4E662" w14:textId="77777777" w:rsidR="006126F0" w:rsidRPr="00286216" w:rsidRDefault="006126F0" w:rsidP="004B55AD">
            <w:pPr>
              <w:pStyle w:val="StyleProp"/>
              <w:spacing w:line="180" w:lineRule="exact"/>
              <w:rPr>
                <w:color w:val="000000" w:themeColor="text1"/>
              </w:rPr>
            </w:pPr>
            <w:r w:rsidRPr="00286216">
              <w:rPr>
                <w:color w:val="000000" w:themeColor="text1"/>
              </w:rPr>
              <w:t>у пункті 33 слова «Національною комісією з цінних паперів та фондового ринку» замінити словами «регулятором відповідного ринку, чи інших підстав, визначених таким регулятором».</w:t>
            </w:r>
          </w:p>
        </w:tc>
        <w:tc>
          <w:tcPr>
            <w:tcW w:w="1987" w:type="dxa"/>
          </w:tcPr>
          <w:p w14:paraId="5727168A" w14:textId="77777777" w:rsidR="006126F0" w:rsidRPr="00286216" w:rsidRDefault="006126F0" w:rsidP="006126F0">
            <w:pPr>
              <w:pStyle w:val="StyleWisnow"/>
              <w:rPr>
                <w:color w:val="000000" w:themeColor="text1"/>
              </w:rPr>
            </w:pPr>
            <w:r w:rsidRPr="00286216">
              <w:rPr>
                <w:color w:val="000000" w:themeColor="text1"/>
              </w:rPr>
              <w:t>Враховано</w:t>
            </w:r>
          </w:p>
          <w:p w14:paraId="11989D47" w14:textId="77777777" w:rsidR="006126F0" w:rsidRPr="00286216" w:rsidRDefault="006126F0" w:rsidP="006126F0">
            <w:pPr>
              <w:pStyle w:val="StyleWisnow"/>
              <w:rPr>
                <w:color w:val="000000" w:themeColor="text1"/>
              </w:rPr>
            </w:pPr>
          </w:p>
          <w:p w14:paraId="26D66AE9" w14:textId="77777777" w:rsidR="006126F0" w:rsidRPr="00286216" w:rsidRDefault="006126F0" w:rsidP="006126F0">
            <w:pPr>
              <w:pStyle w:val="StyleWisnow"/>
              <w:rPr>
                <w:color w:val="000000" w:themeColor="text1"/>
              </w:rPr>
            </w:pPr>
          </w:p>
          <w:p w14:paraId="0AD03661" w14:textId="77777777" w:rsidR="006126F0" w:rsidRPr="00286216" w:rsidRDefault="006126F0" w:rsidP="006126F0">
            <w:pPr>
              <w:pStyle w:val="StyleWisnow"/>
              <w:rPr>
                <w:color w:val="000000" w:themeColor="text1"/>
              </w:rPr>
            </w:pPr>
          </w:p>
          <w:p w14:paraId="70C2D085" w14:textId="77777777" w:rsidR="006126F0" w:rsidRPr="00286216" w:rsidRDefault="006126F0" w:rsidP="006126F0">
            <w:pPr>
              <w:pStyle w:val="StyleWisnow"/>
              <w:rPr>
                <w:color w:val="000000" w:themeColor="text1"/>
              </w:rPr>
            </w:pPr>
          </w:p>
          <w:p w14:paraId="7CC681BD" w14:textId="77777777" w:rsidR="006126F0" w:rsidRPr="00286216" w:rsidRDefault="006126F0" w:rsidP="006126F0">
            <w:pPr>
              <w:pStyle w:val="StyleWisnow"/>
              <w:rPr>
                <w:color w:val="000000" w:themeColor="text1"/>
              </w:rPr>
            </w:pPr>
            <w:r w:rsidRPr="00286216">
              <w:rPr>
                <w:color w:val="000000" w:themeColor="text1"/>
              </w:rPr>
              <w:t>Відхилено</w:t>
            </w:r>
          </w:p>
          <w:p w14:paraId="666C2093" w14:textId="57FC160D" w:rsidR="006126F0" w:rsidRPr="00286216" w:rsidRDefault="006126F0" w:rsidP="004B55AD">
            <w:pPr>
              <w:pStyle w:val="StyleWisnow"/>
              <w:spacing w:line="180" w:lineRule="exact"/>
              <w:rPr>
                <w:color w:val="000000" w:themeColor="text1"/>
                <w:spacing w:val="-4"/>
              </w:rPr>
            </w:pPr>
            <w:r w:rsidRPr="00286216">
              <w:rPr>
                <w:color w:val="000000" w:themeColor="text1"/>
                <w:spacing w:val="-4"/>
              </w:rPr>
              <w:t>НКЦПФР є регулятором обігу фінансових інструментів, зокрема, й на ОТМ</w:t>
            </w:r>
          </w:p>
        </w:tc>
        <w:tc>
          <w:tcPr>
            <w:tcW w:w="4818" w:type="dxa"/>
          </w:tcPr>
          <w:p w14:paraId="5D2A9D6A" w14:textId="0C223D15" w:rsidR="006126F0" w:rsidRPr="00286216" w:rsidRDefault="006126F0" w:rsidP="00E118F9">
            <w:pPr>
              <w:pStyle w:val="StyleZakonu"/>
              <w:rPr>
                <w:color w:val="000000" w:themeColor="text1"/>
              </w:rPr>
            </w:pPr>
            <w:r w:rsidRPr="00286216">
              <w:rPr>
                <w:color w:val="000000" w:themeColor="text1"/>
              </w:rPr>
              <w:t xml:space="preserve">32) оператор організованого торговельного майданчика (далі – оператор ОТМ) – акціонерне товариство, товариство з обмеженою відповідальністю або товариство з додатковою відповідальністю, </w:t>
            </w:r>
            <w:r w:rsidR="00E118F9" w:rsidRPr="00286216">
              <w:rPr>
                <w:color w:val="000000" w:themeColor="text1"/>
              </w:rPr>
              <w:t>що</w:t>
            </w:r>
            <w:r w:rsidRPr="00286216">
              <w:rPr>
                <w:color w:val="000000" w:themeColor="text1"/>
              </w:rPr>
              <w:t xml:space="preserve"> здійснює управління та забезпечує функціонування організованого торг</w:t>
            </w:r>
            <w:r w:rsidR="00E118F9" w:rsidRPr="00286216">
              <w:rPr>
                <w:color w:val="000000" w:themeColor="text1"/>
              </w:rPr>
              <w:t>о</w:t>
            </w:r>
            <w:r w:rsidRPr="00286216">
              <w:rPr>
                <w:color w:val="000000" w:themeColor="text1"/>
              </w:rPr>
              <w:t>вельного майданчика на підставі ліцензії, виданої Національною комісією з цінних паперів та фондового ринку;</w:t>
            </w:r>
          </w:p>
        </w:tc>
      </w:tr>
      <w:tr w:rsidR="00F77E8D" w:rsidRPr="00286216" w14:paraId="1BD1E067" w14:textId="77777777" w:rsidTr="00091AA5">
        <w:tc>
          <w:tcPr>
            <w:tcW w:w="576" w:type="dxa"/>
          </w:tcPr>
          <w:p w14:paraId="784C5371" w14:textId="77777777" w:rsidR="006126F0" w:rsidRPr="00286216" w:rsidRDefault="006126F0" w:rsidP="006126F0">
            <w:pPr>
              <w:pStyle w:val="StyleWisnow"/>
              <w:rPr>
                <w:color w:val="000000" w:themeColor="text1"/>
              </w:rPr>
            </w:pPr>
            <w:bookmarkStart w:id="63" w:name="n60" w:colFirst="0" w:colLast="0"/>
            <w:bookmarkEnd w:id="62"/>
            <w:r w:rsidRPr="00286216">
              <w:rPr>
                <w:color w:val="000000" w:themeColor="text1"/>
              </w:rPr>
              <w:t>60.</w:t>
            </w:r>
          </w:p>
        </w:tc>
        <w:tc>
          <w:tcPr>
            <w:tcW w:w="4818" w:type="dxa"/>
          </w:tcPr>
          <w:p w14:paraId="2329FE0E" w14:textId="77777777" w:rsidR="006126F0" w:rsidRPr="00286216" w:rsidRDefault="006126F0" w:rsidP="006126F0">
            <w:pPr>
              <w:pStyle w:val="StyleZakonu"/>
              <w:rPr>
                <w:color w:val="000000" w:themeColor="text1"/>
              </w:rPr>
            </w:pPr>
            <w:r w:rsidRPr="00286216">
              <w:rPr>
                <w:color w:val="000000" w:themeColor="text1"/>
              </w:rPr>
              <w:t>34) оператор регульованого ринку - акціонерне товариство, товариство з обмеженою відповідальністю, товариство з додатковою відповідальністю, яке здійснює управління та забезпечує функціонування регульованого ринку на підставі окремої ліцензії, що видається Національною комісією з цінних паперів та фондового ринку;</w:t>
            </w:r>
          </w:p>
        </w:tc>
        <w:tc>
          <w:tcPr>
            <w:tcW w:w="3686" w:type="dxa"/>
          </w:tcPr>
          <w:p w14:paraId="1D04170F" w14:textId="399CB20B"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88</w:t>
            </w:r>
            <w:r w:rsidRPr="00286216">
              <w:rPr>
                <w:color w:val="000000" w:themeColor="text1"/>
                <w:spacing w:val="-10"/>
              </w:rPr>
              <w:fldChar w:fldCharType="end"/>
            </w:r>
            <w:r w:rsidRPr="00286216">
              <w:rPr>
                <w:color w:val="000000" w:themeColor="text1"/>
                <w:spacing w:val="-10"/>
              </w:rPr>
              <w:t>-Н.д.Гетманцев Д.О.(Реєстр.картка №245)</w:t>
            </w:r>
          </w:p>
          <w:p w14:paraId="40F5683A" w14:textId="77777777" w:rsidR="006126F0" w:rsidRPr="00286216" w:rsidRDefault="006126F0" w:rsidP="00F562FA">
            <w:pPr>
              <w:pStyle w:val="StyleProp"/>
              <w:spacing w:line="180" w:lineRule="exact"/>
              <w:rPr>
                <w:color w:val="000000" w:themeColor="text1"/>
              </w:rPr>
            </w:pPr>
            <w:r w:rsidRPr="00286216">
              <w:rPr>
                <w:color w:val="000000" w:themeColor="text1"/>
              </w:rPr>
              <w:t>У частині першій статті 2 у пункті 34 слова «обмеженою відповідальністю,» замінити словами «обмеженою відповідальністю або» слово «окремої» виключити.</w:t>
            </w:r>
          </w:p>
        </w:tc>
        <w:tc>
          <w:tcPr>
            <w:tcW w:w="1987" w:type="dxa"/>
          </w:tcPr>
          <w:p w14:paraId="21AC4161"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6854E494" w14:textId="5696255C" w:rsidR="006126F0" w:rsidRPr="00286216" w:rsidRDefault="006126F0" w:rsidP="00E118F9">
            <w:pPr>
              <w:pStyle w:val="StyleZakonu"/>
              <w:rPr>
                <w:color w:val="000000" w:themeColor="text1"/>
              </w:rPr>
            </w:pPr>
            <w:r w:rsidRPr="00286216">
              <w:rPr>
                <w:color w:val="000000" w:themeColor="text1"/>
              </w:rPr>
              <w:t xml:space="preserve">33) оператор регульованого ринку – акціонерне товариство, товариство з обмеженою відповідальністю або товариство з додатковою відповідальністю, </w:t>
            </w:r>
            <w:r w:rsidR="00E118F9" w:rsidRPr="00286216">
              <w:rPr>
                <w:color w:val="000000" w:themeColor="text1"/>
              </w:rPr>
              <w:t>що</w:t>
            </w:r>
            <w:r w:rsidRPr="00286216">
              <w:rPr>
                <w:color w:val="000000" w:themeColor="text1"/>
              </w:rPr>
              <w:t xml:space="preserve"> здійснює управління та забезпечує функціонування регульованого ринку на підставі ліцензії, вида</w:t>
            </w:r>
            <w:r w:rsidR="00E118F9" w:rsidRPr="00286216">
              <w:rPr>
                <w:color w:val="000000" w:themeColor="text1"/>
              </w:rPr>
              <w:t xml:space="preserve">ної </w:t>
            </w:r>
            <w:r w:rsidRPr="00286216">
              <w:rPr>
                <w:color w:val="000000" w:themeColor="text1"/>
              </w:rPr>
              <w:t>Національною комісією з цінних паперів та фондового ринку;</w:t>
            </w:r>
          </w:p>
        </w:tc>
      </w:tr>
      <w:tr w:rsidR="00F77E8D" w:rsidRPr="00286216" w14:paraId="36BF2BE9" w14:textId="77777777" w:rsidTr="00091AA5">
        <w:tc>
          <w:tcPr>
            <w:tcW w:w="576" w:type="dxa"/>
          </w:tcPr>
          <w:p w14:paraId="5D9A92B4" w14:textId="77777777" w:rsidR="006126F0" w:rsidRPr="00286216" w:rsidRDefault="006126F0" w:rsidP="006126F0">
            <w:pPr>
              <w:pStyle w:val="StyleWisnow"/>
              <w:rPr>
                <w:color w:val="000000" w:themeColor="text1"/>
              </w:rPr>
            </w:pPr>
            <w:bookmarkStart w:id="64" w:name="n61" w:colFirst="0" w:colLast="0"/>
            <w:bookmarkEnd w:id="63"/>
            <w:r w:rsidRPr="00286216">
              <w:rPr>
                <w:color w:val="000000" w:themeColor="text1"/>
              </w:rPr>
              <w:t>61.</w:t>
            </w:r>
          </w:p>
        </w:tc>
        <w:tc>
          <w:tcPr>
            <w:tcW w:w="4818" w:type="dxa"/>
          </w:tcPr>
          <w:p w14:paraId="0DFAE194" w14:textId="77777777" w:rsidR="006126F0" w:rsidRPr="00286216" w:rsidRDefault="006126F0" w:rsidP="006126F0">
            <w:pPr>
              <w:pStyle w:val="StyleZakonu"/>
              <w:rPr>
                <w:color w:val="000000" w:themeColor="text1"/>
              </w:rPr>
            </w:pPr>
            <w:r w:rsidRPr="00286216">
              <w:rPr>
                <w:color w:val="000000" w:themeColor="text1"/>
              </w:rPr>
              <w:t>35) опис деривативного контракту - документ, у якому визначаються умови деривативного контракту, що укладається на організованих ринках капіталу, інших, ніж регульований ринок, або поза організованим ринком;</w:t>
            </w:r>
          </w:p>
        </w:tc>
        <w:tc>
          <w:tcPr>
            <w:tcW w:w="3686" w:type="dxa"/>
          </w:tcPr>
          <w:p w14:paraId="6CACAA9A" w14:textId="4FD0E782"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719CCDB" w14:textId="77777777" w:rsidR="006126F0" w:rsidRPr="00286216" w:rsidRDefault="006126F0" w:rsidP="00F562FA">
            <w:pPr>
              <w:pStyle w:val="StyleProp"/>
              <w:spacing w:line="180" w:lineRule="exact"/>
              <w:rPr>
                <w:color w:val="000000" w:themeColor="text1"/>
                <w:szCs w:val="18"/>
              </w:rPr>
            </w:pPr>
            <w:r w:rsidRPr="00286216">
              <w:rPr>
                <w:color w:val="000000" w:themeColor="text1"/>
                <w:szCs w:val="18"/>
              </w:rPr>
              <w:t>У пункті 35 частини першої статті 2 слова «на організованих ринках капіталу, інших, ніж регульований ринок, або» виключити.</w:t>
            </w:r>
          </w:p>
        </w:tc>
        <w:tc>
          <w:tcPr>
            <w:tcW w:w="1987" w:type="dxa"/>
          </w:tcPr>
          <w:p w14:paraId="73D4D196" w14:textId="77777777" w:rsidR="006126F0" w:rsidRPr="00286216" w:rsidRDefault="006126F0" w:rsidP="006126F0">
            <w:pPr>
              <w:pStyle w:val="StyleWisnow"/>
              <w:rPr>
                <w:color w:val="000000" w:themeColor="text1"/>
              </w:rPr>
            </w:pPr>
            <w:r w:rsidRPr="00286216">
              <w:rPr>
                <w:color w:val="000000" w:themeColor="text1"/>
              </w:rPr>
              <w:t>Відхилено</w:t>
            </w:r>
          </w:p>
          <w:p w14:paraId="46795423" w14:textId="77777777" w:rsidR="006126F0" w:rsidRPr="00286216" w:rsidRDefault="006126F0" w:rsidP="006126F0">
            <w:pPr>
              <w:pStyle w:val="StyleWisnow"/>
              <w:spacing w:line="180" w:lineRule="exact"/>
              <w:rPr>
                <w:color w:val="000000" w:themeColor="text1"/>
              </w:rPr>
            </w:pPr>
            <w:r w:rsidRPr="00286216">
              <w:rPr>
                <w:color w:val="000000" w:themeColor="text1"/>
              </w:rPr>
              <w:t xml:space="preserve">форвардні контракти можуть бути укладені </w:t>
            </w:r>
            <w:r w:rsidRPr="00286216">
              <w:rPr>
                <w:color w:val="000000" w:themeColor="text1"/>
                <w:spacing w:val="-2"/>
              </w:rPr>
              <w:t>на регульованому ринку</w:t>
            </w:r>
          </w:p>
        </w:tc>
        <w:tc>
          <w:tcPr>
            <w:tcW w:w="4818" w:type="dxa"/>
          </w:tcPr>
          <w:p w14:paraId="379DAB3E" w14:textId="54DE13E9" w:rsidR="006126F0" w:rsidRPr="00286216" w:rsidRDefault="006126F0" w:rsidP="006126F0">
            <w:pPr>
              <w:pStyle w:val="StyleZakonu"/>
              <w:rPr>
                <w:color w:val="000000" w:themeColor="text1"/>
              </w:rPr>
            </w:pPr>
            <w:r w:rsidRPr="00286216">
              <w:rPr>
                <w:color w:val="000000" w:themeColor="text1"/>
              </w:rPr>
              <w:t>34) опис деривативного контракту – документ, у якому визначаються умови деривативного контракту, що укладається на організованих ринках капіталу, інших, ніж регульований ринок, або поза організованим ринком;</w:t>
            </w:r>
          </w:p>
        </w:tc>
      </w:tr>
      <w:bookmarkEnd w:id="64"/>
      <w:tr w:rsidR="00F77E8D" w:rsidRPr="00286216" w14:paraId="10310D16" w14:textId="77777777" w:rsidTr="00091AA5">
        <w:tc>
          <w:tcPr>
            <w:tcW w:w="576" w:type="dxa"/>
          </w:tcPr>
          <w:p w14:paraId="5F0460EF" w14:textId="77777777" w:rsidR="006126F0" w:rsidRPr="00286216" w:rsidRDefault="006126F0" w:rsidP="006126F0">
            <w:pPr>
              <w:pStyle w:val="StyleWisnow"/>
              <w:rPr>
                <w:color w:val="000000" w:themeColor="text1"/>
              </w:rPr>
            </w:pPr>
          </w:p>
        </w:tc>
        <w:tc>
          <w:tcPr>
            <w:tcW w:w="4818" w:type="dxa"/>
          </w:tcPr>
          <w:p w14:paraId="4607A21E" w14:textId="77777777" w:rsidR="006126F0" w:rsidRPr="00286216" w:rsidRDefault="006126F0" w:rsidP="006126F0">
            <w:pPr>
              <w:pStyle w:val="StyleZakonu"/>
              <w:rPr>
                <w:color w:val="000000" w:themeColor="text1"/>
              </w:rPr>
            </w:pPr>
          </w:p>
        </w:tc>
        <w:tc>
          <w:tcPr>
            <w:tcW w:w="3686" w:type="dxa"/>
          </w:tcPr>
          <w:p w14:paraId="2DE324F4" w14:textId="7CA3563A"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90</w:t>
            </w:r>
            <w:r w:rsidRPr="00286216">
              <w:rPr>
                <w:color w:val="000000" w:themeColor="text1"/>
                <w:spacing w:val="-10"/>
              </w:rPr>
              <w:fldChar w:fldCharType="end"/>
            </w:r>
            <w:r w:rsidRPr="00286216">
              <w:rPr>
                <w:color w:val="000000" w:themeColor="text1"/>
                <w:spacing w:val="-10"/>
              </w:rPr>
              <w:t>-Н.д.Гетманцев Д.О.(Реєстр.картка №245)</w:t>
            </w:r>
          </w:p>
          <w:p w14:paraId="7E0D6620" w14:textId="77777777" w:rsidR="006126F0" w:rsidRPr="00286216" w:rsidRDefault="006126F0" w:rsidP="006126F0">
            <w:pPr>
              <w:pStyle w:val="StyleProp"/>
              <w:rPr>
                <w:color w:val="000000" w:themeColor="text1"/>
              </w:rPr>
            </w:pPr>
            <w:r w:rsidRPr="00286216">
              <w:rPr>
                <w:color w:val="000000" w:themeColor="text1"/>
              </w:rPr>
              <w:t xml:space="preserve">У частині першій статті 2 пункт 35 </w:t>
            </w:r>
            <w:r w:rsidRPr="00286216">
              <w:rPr>
                <w:color w:val="000000" w:themeColor="text1"/>
              </w:rPr>
              <w:lastRenderedPageBreak/>
              <w:t>виключити.</w:t>
            </w:r>
          </w:p>
        </w:tc>
        <w:tc>
          <w:tcPr>
            <w:tcW w:w="1987" w:type="dxa"/>
          </w:tcPr>
          <w:p w14:paraId="6313D062" w14:textId="77777777" w:rsidR="006126F0" w:rsidRPr="00286216" w:rsidRDefault="006126F0" w:rsidP="006126F0">
            <w:pPr>
              <w:pStyle w:val="StyleWisnow"/>
              <w:spacing w:line="180" w:lineRule="exact"/>
              <w:rPr>
                <w:color w:val="000000" w:themeColor="text1"/>
              </w:rPr>
            </w:pPr>
            <w:r w:rsidRPr="00286216">
              <w:rPr>
                <w:color w:val="000000" w:themeColor="text1"/>
              </w:rPr>
              <w:lastRenderedPageBreak/>
              <w:t>Відхилено</w:t>
            </w:r>
          </w:p>
          <w:p w14:paraId="0A2E3C10" w14:textId="77777777" w:rsidR="006126F0" w:rsidRPr="00286216" w:rsidRDefault="006126F0" w:rsidP="006126F0">
            <w:pPr>
              <w:pStyle w:val="StyleWisnow"/>
              <w:spacing w:line="180" w:lineRule="exact"/>
              <w:rPr>
                <w:color w:val="000000" w:themeColor="text1"/>
                <w:spacing w:val="-2"/>
              </w:rPr>
            </w:pPr>
            <w:r w:rsidRPr="00286216">
              <w:rPr>
                <w:color w:val="000000" w:themeColor="text1"/>
                <w:spacing w:val="-2"/>
              </w:rPr>
              <w:t xml:space="preserve">далі за текстом термін </w:t>
            </w:r>
            <w:r w:rsidRPr="00286216">
              <w:rPr>
                <w:color w:val="000000" w:themeColor="text1"/>
                <w:spacing w:val="-2"/>
              </w:rPr>
              <w:lastRenderedPageBreak/>
              <w:t xml:space="preserve">активно застосовується </w:t>
            </w:r>
            <w:r w:rsidRPr="00286216">
              <w:rPr>
                <w:color w:val="000000" w:themeColor="text1"/>
                <w:spacing w:val="-4"/>
              </w:rPr>
              <w:t>та має важливе значення</w:t>
            </w:r>
          </w:p>
        </w:tc>
        <w:tc>
          <w:tcPr>
            <w:tcW w:w="4818" w:type="dxa"/>
          </w:tcPr>
          <w:p w14:paraId="2AC2D9FA" w14:textId="77777777" w:rsidR="006126F0" w:rsidRPr="00286216" w:rsidRDefault="006126F0" w:rsidP="006126F0">
            <w:pPr>
              <w:pStyle w:val="StyleZakonu"/>
              <w:rPr>
                <w:color w:val="000000" w:themeColor="text1"/>
              </w:rPr>
            </w:pPr>
          </w:p>
        </w:tc>
      </w:tr>
      <w:tr w:rsidR="00F77E8D" w:rsidRPr="00286216" w14:paraId="0F5010B3" w14:textId="77777777" w:rsidTr="00091AA5">
        <w:tc>
          <w:tcPr>
            <w:tcW w:w="576" w:type="dxa"/>
          </w:tcPr>
          <w:p w14:paraId="44CFC07C" w14:textId="77777777" w:rsidR="006126F0" w:rsidRPr="00286216" w:rsidRDefault="006126F0" w:rsidP="006126F0">
            <w:pPr>
              <w:pStyle w:val="StyleWisnow"/>
              <w:rPr>
                <w:color w:val="000000" w:themeColor="text1"/>
              </w:rPr>
            </w:pPr>
            <w:bookmarkStart w:id="65" w:name="n62" w:colFirst="0" w:colLast="0"/>
            <w:r w:rsidRPr="00286216">
              <w:rPr>
                <w:color w:val="000000" w:themeColor="text1"/>
              </w:rPr>
              <w:t>62.</w:t>
            </w:r>
          </w:p>
        </w:tc>
        <w:tc>
          <w:tcPr>
            <w:tcW w:w="4818" w:type="dxa"/>
          </w:tcPr>
          <w:p w14:paraId="7118376D" w14:textId="77777777" w:rsidR="006126F0" w:rsidRPr="00286216" w:rsidRDefault="006126F0" w:rsidP="006126F0">
            <w:pPr>
              <w:pStyle w:val="StyleZakonu"/>
              <w:rPr>
                <w:color w:val="000000" w:themeColor="text1"/>
              </w:rPr>
            </w:pPr>
            <w:r w:rsidRPr="00286216">
              <w:rPr>
                <w:color w:val="000000" w:themeColor="text1"/>
              </w:rPr>
              <w:t>36) організований ринок - організований ринок капіталу та організований товарний ринок;</w:t>
            </w:r>
          </w:p>
        </w:tc>
        <w:tc>
          <w:tcPr>
            <w:tcW w:w="3686" w:type="dxa"/>
          </w:tcPr>
          <w:p w14:paraId="49133D65" w14:textId="4399E92E"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2271BA5" w14:textId="77777777" w:rsidR="006126F0" w:rsidRPr="00286216" w:rsidRDefault="006126F0" w:rsidP="006126F0">
            <w:pPr>
              <w:pStyle w:val="StyleAwt"/>
              <w:rPr>
                <w:color w:val="000000" w:themeColor="text1"/>
                <w:spacing w:val="-4"/>
              </w:rPr>
            </w:pPr>
            <w:r w:rsidRPr="00286216">
              <w:rPr>
                <w:color w:val="000000" w:themeColor="text1"/>
                <w:spacing w:val="-4"/>
              </w:rPr>
              <w:t xml:space="preserve">    Н.д.Гетманцев Д.О.(Реєстр.картка №245)</w:t>
            </w:r>
          </w:p>
          <w:p w14:paraId="315C3526" w14:textId="77777777" w:rsidR="006126F0" w:rsidRPr="00286216" w:rsidRDefault="006126F0" w:rsidP="006126F0">
            <w:pPr>
              <w:pStyle w:val="StyleProp"/>
              <w:rPr>
                <w:color w:val="000000" w:themeColor="text1"/>
                <w:spacing w:val="-2"/>
              </w:rPr>
            </w:pPr>
            <w:r w:rsidRPr="00286216">
              <w:rPr>
                <w:color w:val="000000" w:themeColor="text1"/>
                <w:spacing w:val="-2"/>
              </w:rPr>
              <w:t>Пункт 36 статті 2 викласти у такій редакції:</w:t>
            </w:r>
          </w:p>
          <w:p w14:paraId="396FD317" w14:textId="77777777" w:rsidR="006126F0" w:rsidRPr="00286216" w:rsidRDefault="006126F0" w:rsidP="006126F0">
            <w:pPr>
              <w:pStyle w:val="StyleProp"/>
              <w:spacing w:line="190" w:lineRule="exact"/>
              <w:rPr>
                <w:color w:val="000000" w:themeColor="text1"/>
                <w:szCs w:val="18"/>
              </w:rPr>
            </w:pPr>
            <w:r w:rsidRPr="00286216">
              <w:rPr>
                <w:color w:val="000000" w:themeColor="text1"/>
              </w:rPr>
              <w:t>"36) торгівельний майданчик – регульований ринок, БТМ чи ОТМ"</w:t>
            </w:r>
          </w:p>
        </w:tc>
        <w:tc>
          <w:tcPr>
            <w:tcW w:w="1987" w:type="dxa"/>
          </w:tcPr>
          <w:p w14:paraId="7492D2EE" w14:textId="77777777" w:rsidR="006276D5" w:rsidRPr="00286216" w:rsidRDefault="006276D5" w:rsidP="006126F0">
            <w:pPr>
              <w:pStyle w:val="StyleWisnow"/>
              <w:spacing w:line="180" w:lineRule="exact"/>
              <w:rPr>
                <w:color w:val="000000" w:themeColor="text1"/>
              </w:rPr>
            </w:pPr>
          </w:p>
          <w:p w14:paraId="1201F37F" w14:textId="77777777" w:rsidR="006126F0" w:rsidRPr="00286216" w:rsidRDefault="006126F0" w:rsidP="006126F0">
            <w:pPr>
              <w:pStyle w:val="StyleWisnow"/>
              <w:spacing w:line="180" w:lineRule="exact"/>
              <w:rPr>
                <w:color w:val="000000" w:themeColor="text1"/>
              </w:rPr>
            </w:pPr>
            <w:r w:rsidRPr="00286216">
              <w:rPr>
                <w:color w:val="000000" w:themeColor="text1"/>
              </w:rPr>
              <w:t>Враховано</w:t>
            </w:r>
          </w:p>
        </w:tc>
        <w:tc>
          <w:tcPr>
            <w:tcW w:w="4818" w:type="dxa"/>
          </w:tcPr>
          <w:p w14:paraId="6FE71651" w14:textId="2B66733A" w:rsidR="006126F0" w:rsidRPr="00286216" w:rsidRDefault="009A0754" w:rsidP="006126F0">
            <w:pPr>
              <w:pStyle w:val="StyleZakonu"/>
              <w:rPr>
                <w:color w:val="000000" w:themeColor="text1"/>
              </w:rPr>
            </w:pPr>
            <w:r w:rsidRPr="00286216">
              <w:rPr>
                <w:color w:val="000000" w:themeColor="text1"/>
              </w:rPr>
              <w:t>63</w:t>
            </w:r>
            <w:r w:rsidR="006126F0" w:rsidRPr="00286216">
              <w:rPr>
                <w:color w:val="000000" w:themeColor="text1"/>
              </w:rPr>
              <w:t>) торговельний майданчик – регульований ринок, БТМ чи ОТМ;</w:t>
            </w:r>
          </w:p>
        </w:tc>
      </w:tr>
      <w:tr w:rsidR="00F77E8D" w:rsidRPr="00286216" w14:paraId="327DB981" w14:textId="77777777" w:rsidTr="00091AA5">
        <w:tc>
          <w:tcPr>
            <w:tcW w:w="576" w:type="dxa"/>
          </w:tcPr>
          <w:p w14:paraId="0D9D4C77" w14:textId="77777777" w:rsidR="006126F0" w:rsidRPr="00286216" w:rsidRDefault="006126F0" w:rsidP="006126F0">
            <w:pPr>
              <w:pStyle w:val="StyleWisnow"/>
              <w:rPr>
                <w:color w:val="000000" w:themeColor="text1"/>
              </w:rPr>
            </w:pPr>
            <w:bookmarkStart w:id="66" w:name="n63" w:colFirst="0" w:colLast="0"/>
            <w:bookmarkEnd w:id="65"/>
            <w:r w:rsidRPr="00286216">
              <w:rPr>
                <w:color w:val="000000" w:themeColor="text1"/>
              </w:rPr>
              <w:t>63.</w:t>
            </w:r>
          </w:p>
        </w:tc>
        <w:tc>
          <w:tcPr>
            <w:tcW w:w="4818" w:type="dxa"/>
          </w:tcPr>
          <w:p w14:paraId="668B35DD" w14:textId="77777777" w:rsidR="006126F0" w:rsidRPr="00286216" w:rsidRDefault="006126F0" w:rsidP="006126F0">
            <w:pPr>
              <w:pStyle w:val="StyleZakonu"/>
              <w:rPr>
                <w:color w:val="000000" w:themeColor="text1"/>
              </w:rPr>
            </w:pPr>
            <w:r w:rsidRPr="00286216">
              <w:rPr>
                <w:color w:val="000000" w:themeColor="text1"/>
              </w:rPr>
              <w:t>37) організований торгівельний майданчик (далі - ОТМ) – це багатостороння система, яка не є регульованим ринком та БТМ, управляється оператором організованого торгівельного майданчика та в установленому Національною комісією з цінних паперів та фондового ринку порядку забезпечує централізоване вчинення та централізоване виконання правочинів щодо активів, допущених до торгів на такому ОТМ, у спосіб, що відповідно до дискреційних правил оператора ОТМ та зареєстрованими у встановленому цим Законом порядку;</w:t>
            </w:r>
          </w:p>
        </w:tc>
        <w:tc>
          <w:tcPr>
            <w:tcW w:w="3686" w:type="dxa"/>
          </w:tcPr>
          <w:p w14:paraId="059E47D0" w14:textId="69901EB7"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435B8F3" w14:textId="77777777" w:rsidR="006126F0" w:rsidRPr="00286216" w:rsidRDefault="006126F0" w:rsidP="006126F0">
            <w:pPr>
              <w:pStyle w:val="StyleAwt"/>
              <w:rPr>
                <w:color w:val="000000" w:themeColor="text1"/>
                <w:spacing w:val="-4"/>
              </w:rPr>
            </w:pPr>
            <w:r w:rsidRPr="00286216">
              <w:rPr>
                <w:color w:val="000000" w:themeColor="text1"/>
                <w:spacing w:val="-4"/>
              </w:rPr>
              <w:t xml:space="preserve">    Н.д.Гетманцев Д.О.(Реєстр.картка №245)</w:t>
            </w:r>
          </w:p>
          <w:p w14:paraId="3C051992" w14:textId="77777777" w:rsidR="006126F0" w:rsidRPr="00286216" w:rsidRDefault="006126F0" w:rsidP="006126F0">
            <w:pPr>
              <w:pStyle w:val="StyleProp"/>
              <w:spacing w:line="180" w:lineRule="exact"/>
              <w:rPr>
                <w:color w:val="000000" w:themeColor="text1"/>
                <w:spacing w:val="-2"/>
              </w:rPr>
            </w:pPr>
            <w:r w:rsidRPr="00286216">
              <w:rPr>
                <w:color w:val="000000" w:themeColor="text1"/>
                <w:spacing w:val="-2"/>
              </w:rPr>
              <w:t>Пункт 37 статті 2 викласти у такій редакції:</w:t>
            </w:r>
          </w:p>
          <w:p w14:paraId="2AB2C0F8" w14:textId="77777777" w:rsidR="006126F0" w:rsidRPr="00286216" w:rsidRDefault="006126F0" w:rsidP="006126F0">
            <w:pPr>
              <w:pStyle w:val="StyleProp"/>
              <w:spacing w:line="180" w:lineRule="exact"/>
              <w:rPr>
                <w:color w:val="000000" w:themeColor="text1"/>
              </w:rPr>
            </w:pPr>
            <w:r w:rsidRPr="00286216">
              <w:rPr>
                <w:color w:val="000000" w:themeColor="text1"/>
              </w:rPr>
              <w:t>"37) організований торгівельний майданчик (далі - ОТМ) – це багатостороння система, яка не є регульованим ринком та БТМ, управляється оператором організованого торгівельного майданчика та відповідно до дискреційних правил такого оператора ОТМ забезпечує взаємодію третіх сторін щодо купівлі-продажу фінансових інструментів (укладання деривативних контрактів), результатом чого є відповідні договори (контракти)".</w:t>
            </w:r>
          </w:p>
          <w:p w14:paraId="26A1B626" w14:textId="1F0CFBB7"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4D5914B"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У пункті 37 частини першої статті 2 слова «у спосіб, що відповідно до дискреційних правил оператора ОТМ та зареєстрованими» замінити словами «відповідно до дискреційних правил ОТМ, зареєстрованих».</w:t>
            </w:r>
          </w:p>
          <w:p w14:paraId="3033BAA5" w14:textId="29E1930A" w:rsidR="006126F0" w:rsidRPr="00286216" w:rsidRDefault="006126F0" w:rsidP="006126F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94</w:t>
            </w:r>
            <w:r w:rsidRPr="00286216">
              <w:rPr>
                <w:color w:val="000000" w:themeColor="text1"/>
              </w:rPr>
              <w:fldChar w:fldCharType="end"/>
            </w:r>
            <w:r w:rsidRPr="00286216">
              <w:rPr>
                <w:color w:val="000000" w:themeColor="text1"/>
              </w:rPr>
              <w:t>-Н.д.Шахов С.В. (Реєстр.картка №114)</w:t>
            </w:r>
          </w:p>
          <w:p w14:paraId="4B8C21F5" w14:textId="77777777" w:rsidR="006126F0" w:rsidRPr="00286216" w:rsidRDefault="006126F0" w:rsidP="00F562FA">
            <w:pPr>
              <w:pStyle w:val="StyleProp"/>
              <w:spacing w:line="180" w:lineRule="exact"/>
              <w:rPr>
                <w:color w:val="000000" w:themeColor="text1"/>
                <w:szCs w:val="18"/>
              </w:rPr>
            </w:pPr>
            <w:r w:rsidRPr="00286216">
              <w:rPr>
                <w:color w:val="000000" w:themeColor="text1"/>
              </w:rPr>
              <w:t>У пункті 37 слова «Національною комісією з цінних паперів та фондового ринку» замінити словами «регулятором відповідного ринку».</w:t>
            </w:r>
          </w:p>
        </w:tc>
        <w:tc>
          <w:tcPr>
            <w:tcW w:w="1987" w:type="dxa"/>
          </w:tcPr>
          <w:p w14:paraId="59FFA1EC" w14:textId="77777777" w:rsidR="006126F0" w:rsidRPr="00286216" w:rsidRDefault="006126F0" w:rsidP="006126F0">
            <w:pPr>
              <w:pStyle w:val="StyleWisnow"/>
              <w:rPr>
                <w:color w:val="000000" w:themeColor="text1"/>
              </w:rPr>
            </w:pPr>
            <w:r w:rsidRPr="00286216">
              <w:rPr>
                <w:color w:val="000000" w:themeColor="text1"/>
              </w:rPr>
              <w:t>Враховано</w:t>
            </w:r>
          </w:p>
          <w:p w14:paraId="3EF3C67B" w14:textId="77777777" w:rsidR="006126F0" w:rsidRPr="00286216" w:rsidRDefault="006126F0" w:rsidP="006126F0">
            <w:pPr>
              <w:pStyle w:val="StyleWisnow"/>
              <w:rPr>
                <w:color w:val="000000" w:themeColor="text1"/>
              </w:rPr>
            </w:pPr>
          </w:p>
          <w:p w14:paraId="29123E2B" w14:textId="77777777" w:rsidR="006126F0" w:rsidRPr="00286216" w:rsidRDefault="006126F0" w:rsidP="006126F0">
            <w:pPr>
              <w:pStyle w:val="StyleWisnow"/>
              <w:rPr>
                <w:color w:val="000000" w:themeColor="text1"/>
              </w:rPr>
            </w:pPr>
          </w:p>
          <w:p w14:paraId="3BE7B729" w14:textId="77777777" w:rsidR="006126F0" w:rsidRPr="00286216" w:rsidRDefault="006126F0" w:rsidP="006126F0">
            <w:pPr>
              <w:pStyle w:val="StyleWisnow"/>
              <w:rPr>
                <w:color w:val="000000" w:themeColor="text1"/>
              </w:rPr>
            </w:pPr>
          </w:p>
          <w:p w14:paraId="436A7AEF" w14:textId="77777777" w:rsidR="006126F0" w:rsidRPr="00286216" w:rsidRDefault="006126F0" w:rsidP="006126F0">
            <w:pPr>
              <w:pStyle w:val="StyleWisnow"/>
              <w:rPr>
                <w:color w:val="000000" w:themeColor="text1"/>
              </w:rPr>
            </w:pPr>
          </w:p>
          <w:p w14:paraId="66FAF0E6" w14:textId="77777777" w:rsidR="006126F0" w:rsidRPr="00286216" w:rsidRDefault="006126F0" w:rsidP="006126F0">
            <w:pPr>
              <w:pStyle w:val="StyleWisnow"/>
              <w:rPr>
                <w:color w:val="000000" w:themeColor="text1"/>
              </w:rPr>
            </w:pPr>
          </w:p>
          <w:p w14:paraId="43F88BBC" w14:textId="77777777" w:rsidR="006126F0" w:rsidRPr="00286216" w:rsidRDefault="006126F0" w:rsidP="006126F0">
            <w:pPr>
              <w:pStyle w:val="StyleWisnow"/>
              <w:rPr>
                <w:color w:val="000000" w:themeColor="text1"/>
              </w:rPr>
            </w:pPr>
          </w:p>
          <w:p w14:paraId="31157F84" w14:textId="77777777" w:rsidR="006126F0" w:rsidRPr="00286216" w:rsidRDefault="006126F0" w:rsidP="006126F0">
            <w:pPr>
              <w:pStyle w:val="StyleWisnow"/>
              <w:rPr>
                <w:color w:val="000000" w:themeColor="text1"/>
              </w:rPr>
            </w:pPr>
          </w:p>
          <w:p w14:paraId="20C9CB17" w14:textId="77777777" w:rsidR="006126F0" w:rsidRPr="00286216" w:rsidRDefault="006126F0" w:rsidP="006126F0">
            <w:pPr>
              <w:pStyle w:val="StyleWisnow"/>
              <w:rPr>
                <w:color w:val="000000" w:themeColor="text1"/>
              </w:rPr>
            </w:pPr>
          </w:p>
          <w:p w14:paraId="7880E68D" w14:textId="77777777" w:rsidR="006126F0" w:rsidRPr="00286216" w:rsidRDefault="006126F0" w:rsidP="006126F0">
            <w:pPr>
              <w:pStyle w:val="StyleWisnow"/>
              <w:rPr>
                <w:color w:val="000000" w:themeColor="text1"/>
              </w:rPr>
            </w:pPr>
          </w:p>
          <w:p w14:paraId="0419AE15" w14:textId="77777777" w:rsidR="006126F0" w:rsidRPr="00286216" w:rsidRDefault="006126F0" w:rsidP="006126F0">
            <w:pPr>
              <w:pStyle w:val="StyleWisnow"/>
              <w:rPr>
                <w:color w:val="000000" w:themeColor="text1"/>
              </w:rPr>
            </w:pPr>
          </w:p>
          <w:p w14:paraId="6837FCAC" w14:textId="77777777" w:rsidR="006126F0" w:rsidRPr="00286216" w:rsidRDefault="006126F0" w:rsidP="006126F0">
            <w:pPr>
              <w:pStyle w:val="StyleWisnow"/>
              <w:rPr>
                <w:color w:val="000000" w:themeColor="text1"/>
              </w:rPr>
            </w:pPr>
          </w:p>
          <w:p w14:paraId="617A96F8" w14:textId="77777777" w:rsidR="006126F0" w:rsidRPr="00286216" w:rsidRDefault="006126F0" w:rsidP="006126F0">
            <w:pPr>
              <w:pStyle w:val="StyleWisnow"/>
              <w:rPr>
                <w:color w:val="000000" w:themeColor="text1"/>
              </w:rPr>
            </w:pPr>
            <w:r w:rsidRPr="00286216">
              <w:rPr>
                <w:color w:val="000000" w:themeColor="text1"/>
              </w:rPr>
              <w:t>Враховано</w:t>
            </w:r>
          </w:p>
          <w:p w14:paraId="5E7D8BF7" w14:textId="4F0CDC57" w:rsidR="006126F0" w:rsidRPr="00286216" w:rsidRDefault="006126F0" w:rsidP="006126F0">
            <w:pPr>
              <w:pStyle w:val="StyleWisnow"/>
              <w:rPr>
                <w:color w:val="000000" w:themeColor="text1"/>
              </w:rPr>
            </w:pPr>
          </w:p>
          <w:p w14:paraId="3B6DCF4C" w14:textId="77777777" w:rsidR="004B55AD" w:rsidRPr="00286216" w:rsidRDefault="004B55AD" w:rsidP="006126F0">
            <w:pPr>
              <w:pStyle w:val="StyleWisnow"/>
              <w:rPr>
                <w:color w:val="000000" w:themeColor="text1"/>
              </w:rPr>
            </w:pPr>
          </w:p>
          <w:p w14:paraId="116F7A05" w14:textId="77777777" w:rsidR="006126F0" w:rsidRPr="00286216" w:rsidRDefault="006126F0" w:rsidP="006126F0">
            <w:pPr>
              <w:pStyle w:val="StyleWisnow"/>
              <w:rPr>
                <w:color w:val="000000" w:themeColor="text1"/>
              </w:rPr>
            </w:pPr>
          </w:p>
          <w:p w14:paraId="7CA8CBE2" w14:textId="77777777" w:rsidR="006126F0" w:rsidRPr="00286216" w:rsidRDefault="006126F0" w:rsidP="006126F0">
            <w:pPr>
              <w:pStyle w:val="StyleWisnow"/>
              <w:spacing w:line="180" w:lineRule="exact"/>
              <w:rPr>
                <w:color w:val="000000" w:themeColor="text1"/>
              </w:rPr>
            </w:pPr>
          </w:p>
          <w:p w14:paraId="62293A49" w14:textId="77777777" w:rsidR="006126F0" w:rsidRPr="00286216" w:rsidRDefault="006126F0" w:rsidP="006126F0">
            <w:pPr>
              <w:pStyle w:val="StyleWisnow"/>
              <w:rPr>
                <w:color w:val="000000" w:themeColor="text1"/>
              </w:rPr>
            </w:pPr>
            <w:r w:rsidRPr="00286216">
              <w:rPr>
                <w:color w:val="000000" w:themeColor="text1"/>
              </w:rPr>
              <w:t>Відхилено</w:t>
            </w:r>
          </w:p>
          <w:p w14:paraId="62ADFFB9" w14:textId="05191CE1" w:rsidR="006126F0" w:rsidRPr="00286216" w:rsidRDefault="006126F0" w:rsidP="00F562FA">
            <w:pPr>
              <w:pStyle w:val="StyleWisnow"/>
              <w:spacing w:line="180" w:lineRule="exact"/>
              <w:rPr>
                <w:color w:val="000000" w:themeColor="text1"/>
                <w:spacing w:val="-2"/>
              </w:rPr>
            </w:pPr>
            <w:r w:rsidRPr="00286216">
              <w:rPr>
                <w:color w:val="000000" w:themeColor="text1"/>
                <w:spacing w:val="-2"/>
              </w:rPr>
              <w:t xml:space="preserve">НКЦПФР є регулятором обігу </w:t>
            </w:r>
            <w:r w:rsidRPr="00F562FA">
              <w:rPr>
                <w:color w:val="000000" w:themeColor="text1"/>
                <w:spacing w:val="-6"/>
              </w:rPr>
              <w:t>фінансових інструментів,</w:t>
            </w:r>
            <w:r w:rsidRPr="00286216">
              <w:rPr>
                <w:color w:val="000000" w:themeColor="text1"/>
                <w:spacing w:val="-2"/>
              </w:rPr>
              <w:t xml:space="preserve"> торгівля якими провадиться на ОТМ</w:t>
            </w:r>
          </w:p>
        </w:tc>
        <w:tc>
          <w:tcPr>
            <w:tcW w:w="4818" w:type="dxa"/>
          </w:tcPr>
          <w:p w14:paraId="48384A0D" w14:textId="39310CA1" w:rsidR="006126F0" w:rsidRPr="00286216" w:rsidRDefault="006126F0" w:rsidP="006126F0">
            <w:pPr>
              <w:widowControl w:val="0"/>
              <w:ind w:left="51" w:firstLine="283"/>
              <w:jc w:val="both"/>
              <w:rPr>
                <w:color w:val="000000" w:themeColor="text1"/>
              </w:rPr>
            </w:pPr>
            <w:r w:rsidRPr="00286216">
              <w:rPr>
                <w:color w:val="000000" w:themeColor="text1"/>
              </w:rPr>
              <w:t>35) організований торговельний майданчик (далі – ОТМ) – багатостороння система, яка не є регульованим ринком або БТМ, управляється оператором ОТМ та відповідно до дискреційних правил такого оператора ОТМ забезпечує взаємодію третіх сторін щодо купівлі-продажу фінансових інструментів (укладання деривативних контрактів), результатом чого є відповідні договори (контракти);</w:t>
            </w:r>
          </w:p>
        </w:tc>
      </w:tr>
      <w:tr w:rsidR="00F77E8D" w:rsidRPr="00286216" w14:paraId="31EAB93B" w14:textId="77777777" w:rsidTr="00091AA5">
        <w:tc>
          <w:tcPr>
            <w:tcW w:w="576" w:type="dxa"/>
          </w:tcPr>
          <w:p w14:paraId="1C42491B" w14:textId="77777777" w:rsidR="006126F0" w:rsidRPr="00286216" w:rsidRDefault="006126F0" w:rsidP="006126F0">
            <w:pPr>
              <w:pStyle w:val="StyleWisnow"/>
              <w:rPr>
                <w:color w:val="000000" w:themeColor="text1"/>
              </w:rPr>
            </w:pPr>
            <w:bookmarkStart w:id="67" w:name="n64" w:colFirst="0" w:colLast="0"/>
            <w:bookmarkEnd w:id="66"/>
            <w:r w:rsidRPr="00286216">
              <w:rPr>
                <w:color w:val="000000" w:themeColor="text1"/>
              </w:rPr>
              <w:t>64.</w:t>
            </w:r>
          </w:p>
        </w:tc>
        <w:tc>
          <w:tcPr>
            <w:tcW w:w="4818" w:type="dxa"/>
          </w:tcPr>
          <w:p w14:paraId="35FB4FF9" w14:textId="77777777" w:rsidR="006126F0" w:rsidRPr="00286216" w:rsidRDefault="006126F0" w:rsidP="006126F0">
            <w:pPr>
              <w:pStyle w:val="StyleZakonu"/>
              <w:rPr>
                <w:color w:val="000000" w:themeColor="text1"/>
              </w:rPr>
            </w:pPr>
            <w:r w:rsidRPr="00286216">
              <w:rPr>
                <w:color w:val="000000" w:themeColor="text1"/>
              </w:rPr>
              <w:t>38) особа, відповідальна за проведення зборів власників облігацій (далі - особа, відповідальна за проведення зборів) -особа, яка виконує функції з проведення зборів власників облігацій, підбиття підсумків голосування на них, оформлення рішень таких зборів та зберігання документації у зв’язку з ними та інші функції, що передбачені законодавством;</w:t>
            </w:r>
          </w:p>
        </w:tc>
        <w:tc>
          <w:tcPr>
            <w:tcW w:w="3686" w:type="dxa"/>
          </w:tcPr>
          <w:p w14:paraId="0537E205" w14:textId="254660A3"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BE69622" w14:textId="77777777" w:rsidR="006126F0" w:rsidRPr="00286216" w:rsidRDefault="006126F0" w:rsidP="006126F0">
            <w:pPr>
              <w:pStyle w:val="StyleProp"/>
              <w:rPr>
                <w:color w:val="000000" w:themeColor="text1"/>
                <w:szCs w:val="18"/>
              </w:rPr>
            </w:pPr>
            <w:r w:rsidRPr="00286216">
              <w:rPr>
                <w:color w:val="000000" w:themeColor="text1"/>
                <w:szCs w:val="18"/>
              </w:rPr>
              <w:t>Пункт 38 частини першої статті 2 виключити.</w:t>
            </w:r>
          </w:p>
          <w:p w14:paraId="681A78A8" w14:textId="77777777" w:rsidR="006126F0" w:rsidRPr="00286216" w:rsidRDefault="006126F0" w:rsidP="006126F0">
            <w:pPr>
              <w:pStyle w:val="StyleProp"/>
              <w:rPr>
                <w:color w:val="000000" w:themeColor="text1"/>
                <w:szCs w:val="18"/>
              </w:rPr>
            </w:pPr>
          </w:p>
          <w:p w14:paraId="5A93AADC" w14:textId="55A77F66"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96</w:t>
            </w:r>
            <w:r w:rsidRPr="00286216">
              <w:rPr>
                <w:color w:val="000000" w:themeColor="text1"/>
                <w:spacing w:val="-10"/>
              </w:rPr>
              <w:fldChar w:fldCharType="end"/>
            </w:r>
            <w:r w:rsidRPr="00286216">
              <w:rPr>
                <w:color w:val="000000" w:themeColor="text1"/>
                <w:spacing w:val="-10"/>
              </w:rPr>
              <w:t>-Н.д.Гетманцев Д.О.(Реєстр.картка №245)</w:t>
            </w:r>
          </w:p>
          <w:p w14:paraId="6E0E8DFD" w14:textId="77777777" w:rsidR="006126F0" w:rsidRPr="00286216" w:rsidRDefault="006126F0" w:rsidP="006126F0">
            <w:pPr>
              <w:pStyle w:val="StyleProp"/>
              <w:rPr>
                <w:color w:val="000000" w:themeColor="text1"/>
                <w:szCs w:val="18"/>
              </w:rPr>
            </w:pPr>
            <w:r w:rsidRPr="00286216">
              <w:rPr>
                <w:color w:val="000000" w:themeColor="text1"/>
              </w:rPr>
              <w:t>У частині першій статті 2 пункт 38 виключити.</w:t>
            </w:r>
          </w:p>
        </w:tc>
        <w:tc>
          <w:tcPr>
            <w:tcW w:w="1987" w:type="dxa"/>
          </w:tcPr>
          <w:p w14:paraId="3F6A1B78" w14:textId="77777777" w:rsidR="006126F0" w:rsidRPr="00286216" w:rsidRDefault="006126F0" w:rsidP="006126F0">
            <w:pPr>
              <w:pStyle w:val="StyleWisnow"/>
              <w:rPr>
                <w:color w:val="000000" w:themeColor="text1"/>
              </w:rPr>
            </w:pPr>
            <w:r w:rsidRPr="00286216">
              <w:rPr>
                <w:color w:val="000000" w:themeColor="text1"/>
              </w:rPr>
              <w:t>Враховано</w:t>
            </w:r>
          </w:p>
          <w:p w14:paraId="64ACAE79" w14:textId="77777777" w:rsidR="006126F0" w:rsidRPr="00286216" w:rsidRDefault="006126F0" w:rsidP="006126F0">
            <w:pPr>
              <w:pStyle w:val="StyleWisnow"/>
              <w:rPr>
                <w:color w:val="000000" w:themeColor="text1"/>
              </w:rPr>
            </w:pPr>
          </w:p>
          <w:p w14:paraId="4FAE36AA" w14:textId="77777777" w:rsidR="006126F0" w:rsidRPr="00286216" w:rsidRDefault="006126F0" w:rsidP="006126F0">
            <w:pPr>
              <w:pStyle w:val="StyleWisnow"/>
              <w:rPr>
                <w:color w:val="000000" w:themeColor="text1"/>
              </w:rPr>
            </w:pPr>
          </w:p>
          <w:p w14:paraId="6974085F" w14:textId="77777777" w:rsidR="006126F0" w:rsidRPr="00286216" w:rsidRDefault="006126F0" w:rsidP="006126F0">
            <w:pPr>
              <w:pStyle w:val="StyleWisnow"/>
              <w:rPr>
                <w:color w:val="000000" w:themeColor="text1"/>
              </w:rPr>
            </w:pPr>
          </w:p>
          <w:p w14:paraId="237224F1"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6CFFF1C3" w14:textId="77777777" w:rsidR="006126F0" w:rsidRPr="00286216" w:rsidRDefault="006126F0" w:rsidP="006126F0">
            <w:pPr>
              <w:pStyle w:val="StyleZakonu"/>
              <w:rPr>
                <w:color w:val="000000" w:themeColor="text1"/>
              </w:rPr>
            </w:pPr>
          </w:p>
        </w:tc>
      </w:tr>
      <w:tr w:rsidR="00F77E8D" w:rsidRPr="00286216" w14:paraId="529019EA" w14:textId="77777777" w:rsidTr="00091AA5">
        <w:tc>
          <w:tcPr>
            <w:tcW w:w="576" w:type="dxa"/>
          </w:tcPr>
          <w:p w14:paraId="14D0DBC9" w14:textId="77777777" w:rsidR="006126F0" w:rsidRPr="00286216" w:rsidRDefault="006126F0" w:rsidP="006126F0">
            <w:pPr>
              <w:pStyle w:val="StyleWisnow"/>
              <w:rPr>
                <w:color w:val="000000" w:themeColor="text1"/>
              </w:rPr>
            </w:pPr>
            <w:bookmarkStart w:id="68" w:name="n65" w:colFirst="0" w:colLast="0"/>
            <w:bookmarkEnd w:id="67"/>
            <w:r w:rsidRPr="00286216">
              <w:rPr>
                <w:color w:val="000000" w:themeColor="text1"/>
              </w:rPr>
              <w:t>65.</w:t>
            </w:r>
          </w:p>
        </w:tc>
        <w:tc>
          <w:tcPr>
            <w:tcW w:w="4818" w:type="dxa"/>
          </w:tcPr>
          <w:p w14:paraId="2B8C6F35" w14:textId="77777777" w:rsidR="006126F0" w:rsidRPr="00286216" w:rsidRDefault="006126F0" w:rsidP="006126F0">
            <w:pPr>
              <w:pStyle w:val="StyleZakonu"/>
              <w:rPr>
                <w:color w:val="000000" w:themeColor="text1"/>
              </w:rPr>
            </w:pPr>
            <w:r w:rsidRPr="00286216">
              <w:rPr>
                <w:color w:val="000000" w:themeColor="text1"/>
              </w:rPr>
              <w:t xml:space="preserve">39) особа, пов’язана відносинами контролю - особа, яка контролює відповідну особу, знаходиться під її контролем або знаходиться з нею під спільним контролем. Органи місцевого самоврядування однієї територіальної громади, їх виконавчі органи, їх підрозділи (департаменти, управління, відділи тощо), місцеві органи виконавчої влади, які діють в межах відповідної адміністративно-територіальної одиниці, а також їх керівники (заступники керівників), </w:t>
            </w:r>
            <w:r w:rsidRPr="00286216">
              <w:rPr>
                <w:color w:val="000000" w:themeColor="text1"/>
              </w:rPr>
              <w:lastRenderedPageBreak/>
              <w:t>вважаються особами, пов’язаними відносинами контролю. Для державних і казенних підприємств, юридичних осіб, більше 50 відсотків акцій (часток, паїв) яких прямо або опосередковано перебуває у державній власності, особами, пов’язаними відносинами контролю, вважаються державні органи та їх керівники (заступники керівників), які уповноважені здійснювати управління такими об’єктами державної власності;</w:t>
            </w:r>
          </w:p>
        </w:tc>
        <w:tc>
          <w:tcPr>
            <w:tcW w:w="3686" w:type="dxa"/>
          </w:tcPr>
          <w:p w14:paraId="45931F24" w14:textId="4F0C0D95" w:rsidR="006126F0" w:rsidRPr="00286216" w:rsidRDefault="006126F0" w:rsidP="006126F0">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81E8E95" w14:textId="77777777" w:rsidR="006126F0" w:rsidRPr="00286216" w:rsidRDefault="006126F0" w:rsidP="006126F0">
            <w:pPr>
              <w:pStyle w:val="StyleProp"/>
              <w:rPr>
                <w:color w:val="000000" w:themeColor="text1"/>
                <w:spacing w:val="-4"/>
                <w:szCs w:val="18"/>
              </w:rPr>
            </w:pPr>
            <w:r w:rsidRPr="00286216">
              <w:rPr>
                <w:color w:val="000000" w:themeColor="text1"/>
                <w:spacing w:val="-4"/>
                <w:szCs w:val="18"/>
              </w:rPr>
              <w:t>Пункт 39 статті 2 викласти в такій редакції:</w:t>
            </w:r>
          </w:p>
          <w:p w14:paraId="0750B031"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 xml:space="preserve">«39) особа, пов’язана відносинами контролю – особа, яка контролює відповідну особу, знаходиться під її контролем або знаходиться з нею під спільним контролем. Органи місцевого самоврядування однієї територіальної громади, їх виконавчі органи, їх підрозділи (департаменти, управління, відділи тощо), а також їх керівники (заступники керівників), вважаються </w:t>
            </w:r>
            <w:r w:rsidRPr="00286216">
              <w:rPr>
                <w:color w:val="000000" w:themeColor="text1"/>
                <w:szCs w:val="18"/>
              </w:rPr>
              <w:lastRenderedPageBreak/>
              <w:t>особами, пов’язаними відносинами контролю. Для державних і казенних підприємств, юридичних осіб, більше 50 відсотків акцій (часток, паїв) яких прямо або опосередковано перебуває у державній власності, особами, пов’язаними відносинами контролю, вважаються державні органи та їх керівники (заступники керівників), до сфери управління яких належать (входять) такі підприємства, або які є учасниками (акціонерами) таких юридичних осіб».</w:t>
            </w:r>
          </w:p>
        </w:tc>
        <w:tc>
          <w:tcPr>
            <w:tcW w:w="1987" w:type="dxa"/>
          </w:tcPr>
          <w:p w14:paraId="3D83F4E8" w14:textId="77777777" w:rsidR="006126F0" w:rsidRPr="00286216" w:rsidRDefault="006126F0" w:rsidP="006126F0">
            <w:pPr>
              <w:pStyle w:val="StyleWisnow"/>
              <w:rPr>
                <w:color w:val="000000" w:themeColor="text1"/>
              </w:rPr>
            </w:pPr>
            <w:r w:rsidRPr="00286216">
              <w:rPr>
                <w:color w:val="000000" w:themeColor="text1"/>
              </w:rPr>
              <w:lastRenderedPageBreak/>
              <w:t>Враховано</w:t>
            </w:r>
          </w:p>
        </w:tc>
        <w:tc>
          <w:tcPr>
            <w:tcW w:w="4818" w:type="dxa"/>
          </w:tcPr>
          <w:p w14:paraId="0A574F76" w14:textId="7C7012D7" w:rsidR="006126F0" w:rsidRPr="00286216" w:rsidRDefault="006126F0" w:rsidP="00E118F9">
            <w:pPr>
              <w:pStyle w:val="StyleZakonu"/>
              <w:rPr>
                <w:color w:val="000000" w:themeColor="text1"/>
              </w:rPr>
            </w:pPr>
            <w:r w:rsidRPr="00286216">
              <w:rPr>
                <w:color w:val="000000" w:themeColor="text1"/>
                <w:szCs w:val="18"/>
              </w:rPr>
              <w:t>36) особа, пов’язана відносинами контролю</w:t>
            </w:r>
            <w:r w:rsidR="00E118F9" w:rsidRPr="00286216">
              <w:rPr>
                <w:color w:val="000000" w:themeColor="text1"/>
                <w:szCs w:val="18"/>
              </w:rPr>
              <w:t>,</w:t>
            </w:r>
            <w:r w:rsidRPr="00286216">
              <w:rPr>
                <w:color w:val="000000" w:themeColor="text1"/>
                <w:szCs w:val="18"/>
              </w:rPr>
              <w:t xml:space="preserve"> – особа, яка контролює відповідну особу, перебуває під її контролем або разом з нею перебуває під спільним контролем. Органи місцевого самоврядування однієї територіальної громади, їх виконавчі органи, їх підрозділи (департаменти, управління, відділи тощо), а також їх керівники (заступники керівників) вважаються особами, пов’язаними відносинами контролю. Для державних і казенних підприємств, </w:t>
            </w:r>
            <w:r w:rsidRPr="00286216">
              <w:rPr>
                <w:color w:val="000000" w:themeColor="text1"/>
                <w:szCs w:val="18"/>
              </w:rPr>
              <w:lastRenderedPageBreak/>
              <w:t>юридичних осіб, більше 50 відсотків акцій (часток, паїв) яких прямо або опосередковано перебуває у державній власності, особами, пов’язаними відносинами контролю, вважаються державні органи та їх керівники (заступники керівників), до сфери управління яких належать (входять) такі підприємства або які є учасниками (акціонерами) таких юридичних осіб;</w:t>
            </w:r>
          </w:p>
        </w:tc>
      </w:tr>
      <w:tr w:rsidR="00F77E8D" w:rsidRPr="00286216" w14:paraId="65D28F9E" w14:textId="77777777" w:rsidTr="00091AA5">
        <w:tc>
          <w:tcPr>
            <w:tcW w:w="576" w:type="dxa"/>
          </w:tcPr>
          <w:p w14:paraId="7D3EFAC0" w14:textId="77777777" w:rsidR="006126F0" w:rsidRPr="00286216" w:rsidRDefault="006126F0" w:rsidP="006126F0">
            <w:pPr>
              <w:pStyle w:val="StyleWisnow"/>
              <w:rPr>
                <w:color w:val="000000" w:themeColor="text1"/>
              </w:rPr>
            </w:pPr>
            <w:bookmarkStart w:id="69" w:name="n66" w:colFirst="0" w:colLast="0"/>
            <w:bookmarkEnd w:id="68"/>
            <w:r w:rsidRPr="00286216">
              <w:rPr>
                <w:color w:val="000000" w:themeColor="text1"/>
              </w:rPr>
              <w:lastRenderedPageBreak/>
              <w:t>66.</w:t>
            </w:r>
          </w:p>
        </w:tc>
        <w:tc>
          <w:tcPr>
            <w:tcW w:w="4818" w:type="dxa"/>
          </w:tcPr>
          <w:p w14:paraId="7426824C" w14:textId="77777777" w:rsidR="006126F0" w:rsidRPr="00286216" w:rsidRDefault="006126F0" w:rsidP="006126F0">
            <w:pPr>
              <w:pStyle w:val="StyleZakonu"/>
              <w:rPr>
                <w:color w:val="000000" w:themeColor="text1"/>
              </w:rPr>
            </w:pPr>
            <w:r w:rsidRPr="00286216">
              <w:rPr>
                <w:color w:val="000000" w:themeColor="text1"/>
              </w:rPr>
              <w:t>40) особа, яка здійснює виконавчі функції - голова та члени колегіального виконавчого органу, особа, яка здійснює повноваження одноосібного виконавчого органу, або інша фізична особа, відповідальна за управління поточною діяльністю професійного учасника ринків капіталу або організованих товарних ринків, особи, яка провадить діяльність з надання інформаційних послуг на ринках капіталу та організованих товарних ринках та підзвітна з цього питання наглядовій раді, в тому числі щодо виконання професійним учасником ринків капіталу або організованих товарних ринків та його працівниками внутрішніх правил щодо надання послуг;</w:t>
            </w:r>
          </w:p>
        </w:tc>
        <w:tc>
          <w:tcPr>
            <w:tcW w:w="3686" w:type="dxa"/>
          </w:tcPr>
          <w:p w14:paraId="046182D7" w14:textId="59D03D17"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52CC35C" w14:textId="77777777" w:rsidR="006126F0" w:rsidRPr="00286216" w:rsidRDefault="006126F0" w:rsidP="006126F0">
            <w:pPr>
              <w:pStyle w:val="StyleProp"/>
              <w:rPr>
                <w:color w:val="000000" w:themeColor="text1"/>
                <w:szCs w:val="18"/>
              </w:rPr>
            </w:pPr>
            <w:r w:rsidRPr="00286216">
              <w:rPr>
                <w:color w:val="000000" w:themeColor="text1"/>
                <w:szCs w:val="18"/>
              </w:rPr>
              <w:t>У пункті 40 частини першої статті 2 слова «та його працівниками» замінити словами «особою, яка провадить діяльність з надання інформаційних послуг на ринках капіталу та організованих товарних ринках, та їх працівниками».</w:t>
            </w:r>
          </w:p>
          <w:p w14:paraId="045F1E2E" w14:textId="7AAC0EE6" w:rsidR="006126F0" w:rsidRPr="00286216" w:rsidRDefault="006126F0" w:rsidP="006126F0">
            <w:pPr>
              <w:pStyle w:val="StyleProp"/>
              <w:rPr>
                <w:color w:val="000000" w:themeColor="text1"/>
                <w:szCs w:val="18"/>
              </w:rPr>
            </w:pPr>
          </w:p>
          <w:p w14:paraId="35C48ECF" w14:textId="6AA16201" w:rsidR="006126F0" w:rsidRPr="00286216" w:rsidRDefault="006126F0" w:rsidP="006126F0">
            <w:pPr>
              <w:pStyle w:val="StyleProp"/>
              <w:rPr>
                <w:color w:val="000000" w:themeColor="text1"/>
                <w:szCs w:val="18"/>
              </w:rPr>
            </w:pPr>
          </w:p>
          <w:p w14:paraId="4C39A07F" w14:textId="77777777" w:rsidR="006126F0" w:rsidRPr="00286216" w:rsidRDefault="006126F0" w:rsidP="006126F0">
            <w:pPr>
              <w:pStyle w:val="StyleProp"/>
              <w:rPr>
                <w:color w:val="000000" w:themeColor="text1"/>
                <w:szCs w:val="18"/>
              </w:rPr>
            </w:pPr>
          </w:p>
          <w:p w14:paraId="5C9AEB37" w14:textId="22773251"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BE534DE" w14:textId="60DAFBBE" w:rsidR="006126F0" w:rsidRPr="00286216" w:rsidRDefault="006126F0" w:rsidP="006126F0">
            <w:pPr>
              <w:pStyle w:val="StyleProp"/>
              <w:rPr>
                <w:color w:val="000000" w:themeColor="text1"/>
                <w:szCs w:val="18"/>
              </w:rPr>
            </w:pPr>
            <w:r w:rsidRPr="00286216">
              <w:rPr>
                <w:color w:val="000000" w:themeColor="text1"/>
                <w:szCs w:val="18"/>
              </w:rPr>
              <w:t>Доповнити пункт 40 статті 2 після слів "наглядовій раді" словами "</w:t>
            </w:r>
            <w:r w:rsidRPr="00286216">
              <w:rPr>
                <w:color w:val="000000" w:themeColor="text1"/>
              </w:rPr>
              <w:t>або іншому органу</w:t>
            </w:r>
            <w:r w:rsidRPr="00286216">
              <w:rPr>
                <w:color w:val="000000" w:themeColor="text1"/>
                <w:szCs w:val="18"/>
              </w:rPr>
              <w:t>, відповідальному за здійснення нагляду".</w:t>
            </w:r>
          </w:p>
        </w:tc>
        <w:tc>
          <w:tcPr>
            <w:tcW w:w="1987" w:type="dxa"/>
          </w:tcPr>
          <w:p w14:paraId="1329FC6C" w14:textId="6C741993" w:rsidR="006126F0" w:rsidRPr="00286216" w:rsidRDefault="006126F0" w:rsidP="006126F0">
            <w:pPr>
              <w:pStyle w:val="StyleWisnow"/>
              <w:rPr>
                <w:color w:val="000000" w:themeColor="text1"/>
              </w:rPr>
            </w:pPr>
            <w:r w:rsidRPr="00286216">
              <w:rPr>
                <w:color w:val="000000" w:themeColor="text1"/>
              </w:rPr>
              <w:t>Враховано редакційно</w:t>
            </w:r>
          </w:p>
          <w:p w14:paraId="3D060A9F" w14:textId="7B26FDBA" w:rsidR="006126F0" w:rsidRPr="00286216" w:rsidRDefault="006126F0" w:rsidP="006126F0">
            <w:pPr>
              <w:pStyle w:val="StyleWisnow"/>
              <w:rPr>
                <w:color w:val="000000" w:themeColor="text1"/>
              </w:rPr>
            </w:pPr>
          </w:p>
          <w:p w14:paraId="21E0C75A" w14:textId="062BEA1D" w:rsidR="006126F0" w:rsidRPr="00286216" w:rsidRDefault="006126F0" w:rsidP="006126F0">
            <w:pPr>
              <w:pStyle w:val="StyleWisnow"/>
              <w:rPr>
                <w:color w:val="000000" w:themeColor="text1"/>
              </w:rPr>
            </w:pPr>
          </w:p>
          <w:p w14:paraId="5DC10ACA" w14:textId="0243852A" w:rsidR="006126F0" w:rsidRPr="00286216" w:rsidRDefault="006126F0" w:rsidP="006126F0">
            <w:pPr>
              <w:pStyle w:val="StyleWisnow"/>
              <w:rPr>
                <w:color w:val="000000" w:themeColor="text1"/>
              </w:rPr>
            </w:pPr>
          </w:p>
          <w:p w14:paraId="73585A5F" w14:textId="3D633064" w:rsidR="006126F0" w:rsidRPr="00286216" w:rsidRDefault="006126F0" w:rsidP="006126F0">
            <w:pPr>
              <w:pStyle w:val="StyleWisnow"/>
              <w:rPr>
                <w:color w:val="000000" w:themeColor="text1"/>
              </w:rPr>
            </w:pPr>
          </w:p>
          <w:p w14:paraId="21442F77" w14:textId="4723883C" w:rsidR="006126F0" w:rsidRPr="00286216" w:rsidRDefault="006126F0" w:rsidP="006126F0">
            <w:pPr>
              <w:pStyle w:val="StyleWisnow"/>
              <w:rPr>
                <w:color w:val="000000" w:themeColor="text1"/>
              </w:rPr>
            </w:pPr>
          </w:p>
          <w:p w14:paraId="392E30CD" w14:textId="2EBEF401" w:rsidR="006126F0" w:rsidRPr="00286216" w:rsidRDefault="006126F0" w:rsidP="006126F0">
            <w:pPr>
              <w:pStyle w:val="StyleWisnow"/>
              <w:rPr>
                <w:color w:val="000000" w:themeColor="text1"/>
              </w:rPr>
            </w:pPr>
          </w:p>
          <w:p w14:paraId="6EA395F7" w14:textId="25665A49" w:rsidR="006126F0" w:rsidRPr="00286216" w:rsidRDefault="006126F0" w:rsidP="006126F0">
            <w:pPr>
              <w:pStyle w:val="StyleWisnow"/>
              <w:rPr>
                <w:color w:val="000000" w:themeColor="text1"/>
              </w:rPr>
            </w:pPr>
          </w:p>
          <w:p w14:paraId="62A25B8A" w14:textId="2F32568D" w:rsidR="006126F0" w:rsidRPr="00286216" w:rsidRDefault="006126F0" w:rsidP="006126F0">
            <w:pPr>
              <w:pStyle w:val="StyleWisnow"/>
              <w:rPr>
                <w:color w:val="000000" w:themeColor="text1"/>
              </w:rPr>
            </w:pPr>
          </w:p>
          <w:p w14:paraId="392F32D8" w14:textId="77777777" w:rsidR="006126F0" w:rsidRPr="00286216" w:rsidRDefault="006126F0" w:rsidP="006126F0">
            <w:pPr>
              <w:pStyle w:val="StyleWisnow"/>
              <w:rPr>
                <w:color w:val="000000" w:themeColor="text1"/>
              </w:rPr>
            </w:pPr>
          </w:p>
          <w:p w14:paraId="40336ED6" w14:textId="0DF2E0D4" w:rsidR="006126F0" w:rsidRPr="00286216" w:rsidRDefault="006126F0" w:rsidP="006126F0">
            <w:pPr>
              <w:pStyle w:val="StyleWisnow"/>
              <w:rPr>
                <w:color w:val="000000" w:themeColor="text1"/>
              </w:rPr>
            </w:pPr>
            <w:r w:rsidRPr="00286216">
              <w:rPr>
                <w:color w:val="000000" w:themeColor="text1"/>
              </w:rPr>
              <w:t>Враховано</w:t>
            </w:r>
          </w:p>
          <w:p w14:paraId="4CC5718F" w14:textId="77777777" w:rsidR="006126F0" w:rsidRPr="00286216" w:rsidRDefault="006126F0" w:rsidP="006126F0">
            <w:pPr>
              <w:pStyle w:val="StyleWisnow"/>
              <w:rPr>
                <w:color w:val="000000" w:themeColor="text1"/>
              </w:rPr>
            </w:pPr>
          </w:p>
        </w:tc>
        <w:tc>
          <w:tcPr>
            <w:tcW w:w="4818" w:type="dxa"/>
          </w:tcPr>
          <w:p w14:paraId="4DA248E0" w14:textId="4A7F12A3" w:rsidR="006126F0" w:rsidRPr="00286216" w:rsidRDefault="006126F0" w:rsidP="002A7BC1">
            <w:pPr>
              <w:pStyle w:val="StyleZakonu"/>
              <w:rPr>
                <w:color w:val="000000" w:themeColor="text1"/>
              </w:rPr>
            </w:pPr>
            <w:r w:rsidRPr="00286216">
              <w:rPr>
                <w:color w:val="000000" w:themeColor="text1"/>
              </w:rPr>
              <w:t>37) особа, яка здійснює виконавчі функції</w:t>
            </w:r>
            <w:r w:rsidR="00E118F9" w:rsidRPr="00286216">
              <w:rPr>
                <w:color w:val="000000" w:themeColor="text1"/>
              </w:rPr>
              <w:t>,</w:t>
            </w:r>
            <w:r w:rsidRPr="00286216">
              <w:rPr>
                <w:color w:val="000000" w:themeColor="text1"/>
              </w:rPr>
              <w:t xml:space="preserve"> - голова та члени колегіального виконавчого органу, особа, яка здійснює повноваження одноосібного виконавчого органу, або інша фізична особа, відповідальна за управління поточною діяльністю професійного учасника ринків капіталу </w:t>
            </w:r>
            <w:r w:rsidR="00752569" w:rsidRPr="00286216">
              <w:rPr>
                <w:color w:val="000000" w:themeColor="text1"/>
              </w:rPr>
              <w:t>та</w:t>
            </w:r>
            <w:r w:rsidR="002A7BC1" w:rsidRPr="00286216">
              <w:rPr>
                <w:color w:val="000000" w:themeColor="text1"/>
              </w:rPr>
              <w:t xml:space="preserve"> </w:t>
            </w:r>
            <w:r w:rsidRPr="00286216">
              <w:rPr>
                <w:color w:val="000000" w:themeColor="text1"/>
              </w:rPr>
              <w:t>організованих товарних ринків</w:t>
            </w:r>
            <w:r w:rsidR="00E118F9" w:rsidRPr="00286216">
              <w:rPr>
                <w:color w:val="000000" w:themeColor="text1"/>
              </w:rPr>
              <w:t>,</w:t>
            </w:r>
            <w:r w:rsidRPr="00286216">
              <w:rPr>
                <w:color w:val="000000" w:themeColor="text1"/>
              </w:rPr>
              <w:t xml:space="preserve"> або особ</w:t>
            </w:r>
            <w:r w:rsidR="00E118F9" w:rsidRPr="00286216">
              <w:rPr>
                <w:color w:val="000000" w:themeColor="text1"/>
              </w:rPr>
              <w:t>а</w:t>
            </w:r>
            <w:r w:rsidRPr="00286216">
              <w:rPr>
                <w:color w:val="000000" w:themeColor="text1"/>
              </w:rPr>
              <w:t>, яка провадить діяльність з надання інформаційних послуг на ринках капіталу та організованих товарних ринках, та підзвітна з питання зазначеного управління наглядовій раді або іншому органу</w:t>
            </w:r>
            <w:r w:rsidRPr="00286216">
              <w:rPr>
                <w:color w:val="000000" w:themeColor="text1"/>
                <w:szCs w:val="18"/>
              </w:rPr>
              <w:t>, відповідальному за здійснення нагляду</w:t>
            </w:r>
            <w:r w:rsidRPr="00286216">
              <w:rPr>
                <w:color w:val="000000" w:themeColor="text1"/>
              </w:rPr>
              <w:t xml:space="preserve">, у тому числі </w:t>
            </w:r>
            <w:r w:rsidR="00E118F9" w:rsidRPr="00286216">
              <w:rPr>
                <w:color w:val="000000" w:themeColor="text1"/>
              </w:rPr>
              <w:t xml:space="preserve">стосовно </w:t>
            </w:r>
            <w:r w:rsidRPr="00286216">
              <w:rPr>
                <w:color w:val="000000" w:themeColor="text1"/>
              </w:rPr>
              <w:t>виконання внутрішніх документів щодо надання відповідних послуг зазначеними професійними учасниками або особами, які провадять діяльність з надання інформаційних послуг на ринках капіталу та організованих товарних ринках, та працівниками таких учасників або осіб;</w:t>
            </w:r>
          </w:p>
        </w:tc>
      </w:tr>
      <w:tr w:rsidR="00F77E8D" w:rsidRPr="00286216" w14:paraId="70AF1133" w14:textId="77777777" w:rsidTr="00091AA5">
        <w:tc>
          <w:tcPr>
            <w:tcW w:w="576" w:type="dxa"/>
          </w:tcPr>
          <w:p w14:paraId="59DC7CDC" w14:textId="77777777" w:rsidR="006126F0" w:rsidRPr="00286216" w:rsidRDefault="006126F0" w:rsidP="006126F0">
            <w:pPr>
              <w:pStyle w:val="StyleWisnow"/>
              <w:rPr>
                <w:color w:val="000000" w:themeColor="text1"/>
              </w:rPr>
            </w:pPr>
            <w:bookmarkStart w:id="70" w:name="n67" w:colFirst="0" w:colLast="0"/>
            <w:bookmarkEnd w:id="69"/>
            <w:r w:rsidRPr="00286216">
              <w:rPr>
                <w:color w:val="000000" w:themeColor="text1"/>
              </w:rPr>
              <w:t>67.</w:t>
            </w:r>
          </w:p>
        </w:tc>
        <w:tc>
          <w:tcPr>
            <w:tcW w:w="4818" w:type="dxa"/>
          </w:tcPr>
          <w:p w14:paraId="7AAEE34D" w14:textId="77777777" w:rsidR="006126F0" w:rsidRPr="00286216" w:rsidRDefault="006126F0" w:rsidP="006126F0">
            <w:pPr>
              <w:pStyle w:val="StyleZakonu"/>
              <w:rPr>
                <w:color w:val="000000" w:themeColor="text1"/>
              </w:rPr>
            </w:pPr>
            <w:r w:rsidRPr="00286216">
              <w:rPr>
                <w:color w:val="000000" w:themeColor="text1"/>
              </w:rPr>
              <w:t>41) особа, яка здійснює управлінські функції - фізична особа, яка:</w:t>
            </w:r>
          </w:p>
        </w:tc>
        <w:tc>
          <w:tcPr>
            <w:tcW w:w="3686" w:type="dxa"/>
          </w:tcPr>
          <w:p w14:paraId="225309F2" w14:textId="77777777" w:rsidR="006126F0" w:rsidRPr="00286216" w:rsidRDefault="006126F0" w:rsidP="006126F0">
            <w:pPr>
              <w:pStyle w:val="StyleProp"/>
              <w:rPr>
                <w:color w:val="000000" w:themeColor="text1"/>
                <w:szCs w:val="18"/>
              </w:rPr>
            </w:pPr>
          </w:p>
        </w:tc>
        <w:tc>
          <w:tcPr>
            <w:tcW w:w="1987" w:type="dxa"/>
          </w:tcPr>
          <w:p w14:paraId="66B13DE3" w14:textId="77777777" w:rsidR="006126F0" w:rsidRPr="00286216" w:rsidRDefault="006126F0" w:rsidP="006126F0">
            <w:pPr>
              <w:pStyle w:val="StyleWisnow"/>
              <w:rPr>
                <w:color w:val="000000" w:themeColor="text1"/>
              </w:rPr>
            </w:pPr>
          </w:p>
        </w:tc>
        <w:tc>
          <w:tcPr>
            <w:tcW w:w="4818" w:type="dxa"/>
          </w:tcPr>
          <w:p w14:paraId="38A0176A" w14:textId="226EC6F0" w:rsidR="006126F0" w:rsidRPr="00286216" w:rsidRDefault="006126F0" w:rsidP="006126F0">
            <w:pPr>
              <w:pStyle w:val="StyleZakonu"/>
              <w:rPr>
                <w:color w:val="000000" w:themeColor="text1"/>
              </w:rPr>
            </w:pPr>
            <w:r w:rsidRPr="00286216">
              <w:rPr>
                <w:color w:val="000000" w:themeColor="text1"/>
              </w:rPr>
              <w:t>38) особа, яка здійснює управлінські функції</w:t>
            </w:r>
            <w:r w:rsidR="00E118F9" w:rsidRPr="00286216">
              <w:rPr>
                <w:color w:val="000000" w:themeColor="text1"/>
              </w:rPr>
              <w:t>,</w:t>
            </w:r>
            <w:r w:rsidRPr="00286216">
              <w:rPr>
                <w:color w:val="000000" w:themeColor="text1"/>
              </w:rPr>
              <w:t xml:space="preserve"> - фізична особа, яка:</w:t>
            </w:r>
          </w:p>
        </w:tc>
      </w:tr>
      <w:tr w:rsidR="00F77E8D" w:rsidRPr="00286216" w14:paraId="107C1346" w14:textId="77777777" w:rsidTr="00091AA5">
        <w:tc>
          <w:tcPr>
            <w:tcW w:w="576" w:type="dxa"/>
          </w:tcPr>
          <w:p w14:paraId="0733CD9D" w14:textId="77777777" w:rsidR="006126F0" w:rsidRPr="00286216" w:rsidRDefault="006126F0" w:rsidP="006126F0">
            <w:pPr>
              <w:pStyle w:val="StyleWisnow"/>
              <w:rPr>
                <w:color w:val="000000" w:themeColor="text1"/>
              </w:rPr>
            </w:pPr>
            <w:bookmarkStart w:id="71" w:name="n68" w:colFirst="0" w:colLast="0"/>
            <w:bookmarkEnd w:id="70"/>
            <w:r w:rsidRPr="00286216">
              <w:rPr>
                <w:color w:val="000000" w:themeColor="text1"/>
              </w:rPr>
              <w:t>68.</w:t>
            </w:r>
          </w:p>
        </w:tc>
        <w:tc>
          <w:tcPr>
            <w:tcW w:w="4818" w:type="dxa"/>
          </w:tcPr>
          <w:p w14:paraId="6963ABB7" w14:textId="77777777" w:rsidR="006126F0" w:rsidRPr="00286216" w:rsidRDefault="006126F0" w:rsidP="006126F0">
            <w:pPr>
              <w:pStyle w:val="StyleZakonu"/>
              <w:rPr>
                <w:color w:val="000000" w:themeColor="text1"/>
              </w:rPr>
            </w:pPr>
            <w:r w:rsidRPr="00286216">
              <w:rPr>
                <w:color w:val="000000" w:themeColor="text1"/>
              </w:rPr>
              <w:t>а) входить до складу наглядової ради юридичної особи або</w:t>
            </w:r>
          </w:p>
        </w:tc>
        <w:tc>
          <w:tcPr>
            <w:tcW w:w="3686" w:type="dxa"/>
          </w:tcPr>
          <w:p w14:paraId="36ECE080" w14:textId="0422856F"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100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FBF87B7" w14:textId="605E6398" w:rsidR="006126F0" w:rsidRPr="00286216" w:rsidRDefault="006126F0" w:rsidP="006126F0">
            <w:pPr>
              <w:pStyle w:val="StyleProp"/>
              <w:rPr>
                <w:color w:val="000000" w:themeColor="text1"/>
                <w:szCs w:val="18"/>
              </w:rPr>
            </w:pPr>
            <w:r w:rsidRPr="00286216">
              <w:rPr>
                <w:color w:val="000000" w:themeColor="text1"/>
                <w:szCs w:val="18"/>
              </w:rPr>
              <w:t xml:space="preserve">Доповнити пункт 39 статті 2 після слів "наглядової ради </w:t>
            </w:r>
            <w:r w:rsidRPr="00286216">
              <w:rPr>
                <w:color w:val="000000" w:themeColor="text1"/>
              </w:rPr>
              <w:t>юридичної особи</w:t>
            </w:r>
            <w:r w:rsidRPr="00286216">
              <w:rPr>
                <w:color w:val="000000" w:themeColor="text1"/>
                <w:szCs w:val="18"/>
              </w:rPr>
              <w:t>" словами "</w:t>
            </w:r>
            <w:r w:rsidRPr="00286216">
              <w:rPr>
                <w:color w:val="000000" w:themeColor="text1"/>
              </w:rPr>
              <w:t>або іншого органу</w:t>
            </w:r>
            <w:r w:rsidRPr="00286216">
              <w:rPr>
                <w:color w:val="000000" w:themeColor="text1"/>
                <w:szCs w:val="18"/>
              </w:rPr>
              <w:t>, відповідального за здійснення нагляду".</w:t>
            </w:r>
          </w:p>
        </w:tc>
        <w:tc>
          <w:tcPr>
            <w:tcW w:w="1987" w:type="dxa"/>
          </w:tcPr>
          <w:p w14:paraId="61C63119" w14:textId="21E4B82C"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0B568013" w14:textId="72050C10" w:rsidR="006126F0" w:rsidRPr="00286216" w:rsidRDefault="006126F0" w:rsidP="006126F0">
            <w:pPr>
              <w:pStyle w:val="StyleZakonu"/>
              <w:rPr>
                <w:color w:val="000000" w:themeColor="text1"/>
              </w:rPr>
            </w:pPr>
            <w:r w:rsidRPr="00286216">
              <w:rPr>
                <w:color w:val="000000" w:themeColor="text1"/>
              </w:rPr>
              <w:t>а) входить до складу наглядової ради юридичної особи або іншого органу</w:t>
            </w:r>
            <w:r w:rsidRPr="00286216">
              <w:rPr>
                <w:color w:val="000000" w:themeColor="text1"/>
                <w:szCs w:val="18"/>
              </w:rPr>
              <w:t>, відповідального за здійснення нагляду,</w:t>
            </w:r>
            <w:r w:rsidRPr="00286216">
              <w:rPr>
                <w:color w:val="000000" w:themeColor="text1"/>
              </w:rPr>
              <w:t xml:space="preserve"> або</w:t>
            </w:r>
          </w:p>
        </w:tc>
      </w:tr>
      <w:tr w:rsidR="00F77E8D" w:rsidRPr="00286216" w14:paraId="464A23DD" w14:textId="77777777" w:rsidTr="00091AA5">
        <w:tc>
          <w:tcPr>
            <w:tcW w:w="576" w:type="dxa"/>
          </w:tcPr>
          <w:p w14:paraId="02FC2B04" w14:textId="77777777" w:rsidR="006126F0" w:rsidRPr="00286216" w:rsidRDefault="006126F0" w:rsidP="006126F0">
            <w:pPr>
              <w:pStyle w:val="StyleWisnow"/>
              <w:rPr>
                <w:color w:val="000000" w:themeColor="text1"/>
              </w:rPr>
            </w:pPr>
            <w:bookmarkStart w:id="72" w:name="n69" w:colFirst="0" w:colLast="0"/>
            <w:bookmarkEnd w:id="71"/>
            <w:r w:rsidRPr="00286216">
              <w:rPr>
                <w:color w:val="000000" w:themeColor="text1"/>
              </w:rPr>
              <w:t>69.</w:t>
            </w:r>
          </w:p>
        </w:tc>
        <w:tc>
          <w:tcPr>
            <w:tcW w:w="4818" w:type="dxa"/>
          </w:tcPr>
          <w:p w14:paraId="1F0AEFFA" w14:textId="77777777" w:rsidR="006126F0" w:rsidRPr="00286216" w:rsidRDefault="006126F0" w:rsidP="006126F0">
            <w:pPr>
              <w:pStyle w:val="StyleZakonu"/>
              <w:rPr>
                <w:color w:val="000000" w:themeColor="text1"/>
              </w:rPr>
            </w:pPr>
            <w:r w:rsidRPr="00286216">
              <w:rPr>
                <w:color w:val="000000" w:themeColor="text1"/>
              </w:rPr>
              <w:t>б) є особою, яка здійснює виконавчі функції у такій юридичній особі або</w:t>
            </w:r>
          </w:p>
        </w:tc>
        <w:tc>
          <w:tcPr>
            <w:tcW w:w="3686" w:type="dxa"/>
          </w:tcPr>
          <w:p w14:paraId="01A51428" w14:textId="77777777" w:rsidR="006126F0" w:rsidRPr="00286216" w:rsidRDefault="006126F0" w:rsidP="006126F0">
            <w:pPr>
              <w:pStyle w:val="StyleProp"/>
              <w:rPr>
                <w:color w:val="000000" w:themeColor="text1"/>
                <w:szCs w:val="18"/>
              </w:rPr>
            </w:pPr>
          </w:p>
        </w:tc>
        <w:tc>
          <w:tcPr>
            <w:tcW w:w="1987" w:type="dxa"/>
          </w:tcPr>
          <w:p w14:paraId="3502EDD7" w14:textId="77777777" w:rsidR="006126F0" w:rsidRPr="00286216" w:rsidRDefault="006126F0" w:rsidP="006126F0">
            <w:pPr>
              <w:pStyle w:val="StyleWisnow"/>
              <w:rPr>
                <w:color w:val="000000" w:themeColor="text1"/>
              </w:rPr>
            </w:pPr>
          </w:p>
        </w:tc>
        <w:tc>
          <w:tcPr>
            <w:tcW w:w="4818" w:type="dxa"/>
          </w:tcPr>
          <w:p w14:paraId="4C6B2A7F" w14:textId="78E92291" w:rsidR="006126F0" w:rsidRPr="00286216" w:rsidRDefault="006126F0" w:rsidP="006126F0">
            <w:pPr>
              <w:pStyle w:val="StyleZakonu"/>
              <w:rPr>
                <w:color w:val="000000" w:themeColor="text1"/>
              </w:rPr>
            </w:pPr>
            <w:r w:rsidRPr="00286216">
              <w:rPr>
                <w:color w:val="000000" w:themeColor="text1"/>
              </w:rPr>
              <w:t>б) є особою, яка здійснює виконавчі функції у такій юридичній особі, або</w:t>
            </w:r>
          </w:p>
        </w:tc>
      </w:tr>
      <w:tr w:rsidR="00F77E8D" w:rsidRPr="00286216" w14:paraId="525B6A20" w14:textId="77777777" w:rsidTr="00091AA5">
        <w:tc>
          <w:tcPr>
            <w:tcW w:w="576" w:type="dxa"/>
          </w:tcPr>
          <w:p w14:paraId="254EAFA7" w14:textId="77777777" w:rsidR="006126F0" w:rsidRPr="00286216" w:rsidRDefault="006126F0" w:rsidP="006126F0">
            <w:pPr>
              <w:pStyle w:val="StyleWisnow"/>
              <w:rPr>
                <w:color w:val="000000" w:themeColor="text1"/>
              </w:rPr>
            </w:pPr>
            <w:bookmarkStart w:id="73" w:name="n70" w:colFirst="0" w:colLast="0"/>
            <w:bookmarkEnd w:id="72"/>
            <w:r w:rsidRPr="00286216">
              <w:rPr>
                <w:color w:val="000000" w:themeColor="text1"/>
              </w:rPr>
              <w:t>70.</w:t>
            </w:r>
          </w:p>
        </w:tc>
        <w:tc>
          <w:tcPr>
            <w:tcW w:w="4818" w:type="dxa"/>
          </w:tcPr>
          <w:p w14:paraId="56B54F64" w14:textId="77777777" w:rsidR="006126F0" w:rsidRPr="00286216" w:rsidRDefault="006126F0" w:rsidP="006126F0">
            <w:pPr>
              <w:pStyle w:val="StyleZakonu"/>
              <w:rPr>
                <w:color w:val="000000" w:themeColor="text1"/>
              </w:rPr>
            </w:pPr>
            <w:r w:rsidRPr="00286216">
              <w:rPr>
                <w:color w:val="000000" w:themeColor="text1"/>
              </w:rPr>
              <w:t>в) не входить до складу наглядової ради такої юридичної особи та не є особою, яка здійснює виконавчі функції, але має постійний доступ до інсайдерської інформації, що прямо або опосередковано стосується юридичної особи, та має повноваження ухвалювати управлінські рішення, що впливають на подальший розвиток і комерційні перспективи такої юридичної особи;</w:t>
            </w:r>
          </w:p>
        </w:tc>
        <w:tc>
          <w:tcPr>
            <w:tcW w:w="3686" w:type="dxa"/>
          </w:tcPr>
          <w:p w14:paraId="4A035F42" w14:textId="458EDA37"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101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4B3923D" w14:textId="39433C99" w:rsidR="006126F0" w:rsidRPr="00286216" w:rsidRDefault="006126F0" w:rsidP="006126F0">
            <w:pPr>
              <w:pStyle w:val="StyleProp"/>
              <w:rPr>
                <w:color w:val="000000" w:themeColor="text1"/>
                <w:szCs w:val="18"/>
              </w:rPr>
            </w:pPr>
            <w:r w:rsidRPr="00286216">
              <w:rPr>
                <w:color w:val="000000" w:themeColor="text1"/>
                <w:szCs w:val="18"/>
              </w:rPr>
              <w:t xml:space="preserve">Доповнити пункт 39 статті 2 після слів "наглядової ради такої </w:t>
            </w:r>
            <w:r w:rsidRPr="00286216">
              <w:rPr>
                <w:color w:val="000000" w:themeColor="text1"/>
              </w:rPr>
              <w:t>юридичної особи</w:t>
            </w:r>
            <w:r w:rsidRPr="00286216">
              <w:rPr>
                <w:color w:val="000000" w:themeColor="text1"/>
                <w:szCs w:val="18"/>
              </w:rPr>
              <w:t>" словами "</w:t>
            </w:r>
            <w:r w:rsidRPr="00286216">
              <w:rPr>
                <w:color w:val="000000" w:themeColor="text1"/>
              </w:rPr>
              <w:t>або іншого органу</w:t>
            </w:r>
            <w:r w:rsidRPr="00286216">
              <w:rPr>
                <w:color w:val="000000" w:themeColor="text1"/>
                <w:szCs w:val="18"/>
              </w:rPr>
              <w:t>, відповідального за здійснення нагляду".</w:t>
            </w:r>
          </w:p>
        </w:tc>
        <w:tc>
          <w:tcPr>
            <w:tcW w:w="1987" w:type="dxa"/>
          </w:tcPr>
          <w:p w14:paraId="77FDD8A4" w14:textId="4BC434ED"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606D0B67" w14:textId="11DC79FB" w:rsidR="006126F0" w:rsidRPr="00286216" w:rsidRDefault="006126F0" w:rsidP="006126F0">
            <w:pPr>
              <w:pStyle w:val="StyleZakonu"/>
              <w:rPr>
                <w:color w:val="000000" w:themeColor="text1"/>
              </w:rPr>
            </w:pPr>
            <w:r w:rsidRPr="00286216">
              <w:rPr>
                <w:color w:val="000000" w:themeColor="text1"/>
              </w:rPr>
              <w:t>в) не входить до складу наглядової ради такої юридичної особи або іншого органу</w:t>
            </w:r>
            <w:r w:rsidRPr="00286216">
              <w:rPr>
                <w:color w:val="000000" w:themeColor="text1"/>
                <w:szCs w:val="18"/>
              </w:rPr>
              <w:t>, відповідального за здійснення нагляду,</w:t>
            </w:r>
            <w:r w:rsidRPr="00286216">
              <w:rPr>
                <w:color w:val="000000" w:themeColor="text1"/>
              </w:rPr>
              <w:t xml:space="preserve"> та не є особою, яка здійснює виконавчі функції, але має постійний доступ до інсайдерської інформації, що прямо або опосередковано стосується юридичної особи, та має повноваження ухвалювати управлінські рішення, що впливають на подальший розвиток і комерційні </w:t>
            </w:r>
            <w:r w:rsidRPr="00286216">
              <w:rPr>
                <w:color w:val="000000" w:themeColor="text1"/>
              </w:rPr>
              <w:lastRenderedPageBreak/>
              <w:t>перспективи такої юридичної особи;</w:t>
            </w:r>
          </w:p>
        </w:tc>
      </w:tr>
      <w:tr w:rsidR="00F77E8D" w:rsidRPr="00286216" w14:paraId="1583C626" w14:textId="77777777" w:rsidTr="00091AA5">
        <w:tc>
          <w:tcPr>
            <w:tcW w:w="576" w:type="dxa"/>
          </w:tcPr>
          <w:p w14:paraId="18032332" w14:textId="77777777" w:rsidR="006126F0" w:rsidRPr="00286216" w:rsidRDefault="006126F0" w:rsidP="006126F0">
            <w:pPr>
              <w:pStyle w:val="StyleWisnow"/>
              <w:rPr>
                <w:color w:val="000000" w:themeColor="text1"/>
              </w:rPr>
            </w:pPr>
            <w:bookmarkStart w:id="74" w:name="n71" w:colFirst="0" w:colLast="0"/>
            <w:bookmarkEnd w:id="73"/>
            <w:r w:rsidRPr="00286216">
              <w:rPr>
                <w:color w:val="000000" w:themeColor="text1"/>
              </w:rPr>
              <w:lastRenderedPageBreak/>
              <w:t>71.</w:t>
            </w:r>
          </w:p>
        </w:tc>
        <w:tc>
          <w:tcPr>
            <w:tcW w:w="4818" w:type="dxa"/>
          </w:tcPr>
          <w:p w14:paraId="4B69F946" w14:textId="77777777" w:rsidR="006126F0" w:rsidRPr="00286216" w:rsidRDefault="006126F0" w:rsidP="006126F0">
            <w:pPr>
              <w:pStyle w:val="StyleZakonu"/>
              <w:rPr>
                <w:color w:val="000000" w:themeColor="text1"/>
              </w:rPr>
            </w:pPr>
            <w:r w:rsidRPr="00286216">
              <w:rPr>
                <w:color w:val="000000" w:themeColor="text1"/>
              </w:rPr>
              <w:t>42) особа, яка надає забезпечення - особа, яка виступає поручителем, гарантом, заставодавцем, солідарним боржником з метою забезпечення виконання зобов’язань за цінними паперами. Укладення між емітентом та страховиком договору страхування ризиків невиконання зобов’язань за цінними паперами вважається наданням забезпечення за відповідним випуском цінних паперів, а такий страховик - особою, яка надає забезпечення. На період надання забезпечення виконання зобов’язань за цінними паперами особа, яка надає забезпечення, прирівнюється до емітента цінних паперів в частині розкриття інформації;</w:t>
            </w:r>
          </w:p>
        </w:tc>
        <w:tc>
          <w:tcPr>
            <w:tcW w:w="3686" w:type="dxa"/>
          </w:tcPr>
          <w:p w14:paraId="3B8CD08A" w14:textId="4BABA25C"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4291D5E"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 xml:space="preserve">Пункт 42 частини першої статті 2 викласти в такій редакції: </w:t>
            </w:r>
          </w:p>
          <w:p w14:paraId="585873D1" w14:textId="77777777" w:rsidR="006126F0" w:rsidRPr="00286216" w:rsidRDefault="006126F0" w:rsidP="006126F0">
            <w:pPr>
              <w:pStyle w:val="StyleProp"/>
              <w:spacing w:line="180" w:lineRule="exact"/>
              <w:rPr>
                <w:color w:val="000000" w:themeColor="text1"/>
                <w:spacing w:val="-2"/>
                <w:szCs w:val="18"/>
              </w:rPr>
            </w:pPr>
            <w:r w:rsidRPr="00286216">
              <w:rPr>
                <w:color w:val="000000" w:themeColor="text1"/>
                <w:spacing w:val="-2"/>
                <w:szCs w:val="18"/>
              </w:rPr>
              <w:t xml:space="preserve">«42) особа, яка надає забезпечення – особа, яка виступає поручителем, гарантом, заставодавцем з метою забезпечення </w:t>
            </w:r>
            <w:r w:rsidRPr="00286216">
              <w:rPr>
                <w:color w:val="000000" w:themeColor="text1"/>
                <w:spacing w:val="-4"/>
                <w:szCs w:val="18"/>
              </w:rPr>
              <w:t>виконання зобов’язань за цінними паперами. Укладення між емітентом та страховиком договору страхування фінансових ризиків, предметом якого є страхування ризиків невиконання зобов’язань за цінними паперами вважається наданням забезпечення за відповідним випуском цінних паперів, а такий страховик – особою, яка надає забезпечення</w:t>
            </w:r>
            <w:r w:rsidRPr="00286216">
              <w:rPr>
                <w:color w:val="000000" w:themeColor="text1"/>
                <w:spacing w:val="-2"/>
                <w:szCs w:val="18"/>
              </w:rPr>
              <w:t xml:space="preserve">. На </w:t>
            </w:r>
            <w:r w:rsidRPr="00286216">
              <w:rPr>
                <w:color w:val="000000" w:themeColor="text1"/>
                <w:spacing w:val="-4"/>
                <w:szCs w:val="18"/>
              </w:rPr>
              <w:t>період надання забезпечення виконання зобов’язань за цінними паперами особа, яка надає забезпечення, прирівнюється до емітента цінних паперів в частині розкриття інформації».</w:t>
            </w:r>
          </w:p>
        </w:tc>
        <w:tc>
          <w:tcPr>
            <w:tcW w:w="1987" w:type="dxa"/>
          </w:tcPr>
          <w:p w14:paraId="545FFC81" w14:textId="77777777" w:rsidR="006126F0" w:rsidRPr="00286216" w:rsidRDefault="006126F0" w:rsidP="006126F0">
            <w:pPr>
              <w:pStyle w:val="StyleWisnow"/>
              <w:rPr>
                <w:color w:val="000000" w:themeColor="text1"/>
              </w:rPr>
            </w:pPr>
            <w:r w:rsidRPr="00286216">
              <w:rPr>
                <w:color w:val="000000" w:themeColor="text1"/>
              </w:rPr>
              <w:t>Враховано по суті</w:t>
            </w:r>
          </w:p>
          <w:p w14:paraId="0166CA11" w14:textId="77777777" w:rsidR="006126F0" w:rsidRPr="00286216" w:rsidRDefault="006126F0" w:rsidP="006126F0">
            <w:pPr>
              <w:pStyle w:val="StyleWisnow"/>
              <w:rPr>
                <w:color w:val="000000" w:themeColor="text1"/>
              </w:rPr>
            </w:pPr>
          </w:p>
        </w:tc>
        <w:tc>
          <w:tcPr>
            <w:tcW w:w="4818" w:type="dxa"/>
          </w:tcPr>
          <w:p w14:paraId="6602D3C9" w14:textId="07FAD601" w:rsidR="006126F0" w:rsidRPr="00286216" w:rsidRDefault="006126F0" w:rsidP="00E118F9">
            <w:pPr>
              <w:pStyle w:val="StyleZakonu"/>
              <w:rPr>
                <w:color w:val="000000" w:themeColor="text1"/>
              </w:rPr>
            </w:pPr>
            <w:r w:rsidRPr="00286216">
              <w:rPr>
                <w:color w:val="000000" w:themeColor="text1"/>
              </w:rPr>
              <w:t>39) особа, яка надає забезпечення</w:t>
            </w:r>
            <w:r w:rsidR="00E118F9" w:rsidRPr="00286216">
              <w:rPr>
                <w:color w:val="000000" w:themeColor="text1"/>
              </w:rPr>
              <w:t>,</w:t>
            </w:r>
            <w:r w:rsidRPr="00286216">
              <w:rPr>
                <w:color w:val="000000" w:themeColor="text1"/>
              </w:rPr>
              <w:t xml:space="preserve"> – особа, яка виступає поручителем, гарантом або заставодавцем з метою забезпечення виконання зобов’язань за цінними паперами. Для цілей цього Закону особою, яка надає забезпечення, також вважається страховик, з яким емітентом укладено договір страхування фінансових ризиків, предметом якого є страхування ризиків невиконання зобов’язань за цінними паперами</w:t>
            </w:r>
            <w:r w:rsidR="00E118F9" w:rsidRPr="00286216">
              <w:rPr>
                <w:color w:val="000000" w:themeColor="text1"/>
              </w:rPr>
              <w:t>;</w:t>
            </w:r>
          </w:p>
        </w:tc>
      </w:tr>
      <w:tr w:rsidR="00F77E8D" w:rsidRPr="00286216" w14:paraId="4347F3A8" w14:textId="77777777" w:rsidTr="00091AA5">
        <w:tc>
          <w:tcPr>
            <w:tcW w:w="576" w:type="dxa"/>
          </w:tcPr>
          <w:p w14:paraId="7B556A81" w14:textId="77777777" w:rsidR="006126F0" w:rsidRPr="00286216" w:rsidRDefault="006126F0" w:rsidP="006126F0">
            <w:pPr>
              <w:pStyle w:val="StyleWisnow"/>
              <w:rPr>
                <w:color w:val="000000" w:themeColor="text1"/>
              </w:rPr>
            </w:pPr>
            <w:bookmarkStart w:id="75" w:name="n72" w:colFirst="0" w:colLast="0"/>
            <w:bookmarkEnd w:id="74"/>
            <w:r w:rsidRPr="00286216">
              <w:rPr>
                <w:color w:val="000000" w:themeColor="text1"/>
              </w:rPr>
              <w:t>72.</w:t>
            </w:r>
          </w:p>
        </w:tc>
        <w:tc>
          <w:tcPr>
            <w:tcW w:w="4818" w:type="dxa"/>
          </w:tcPr>
          <w:p w14:paraId="16E3DABD" w14:textId="77777777" w:rsidR="006126F0" w:rsidRPr="00286216" w:rsidRDefault="006126F0" w:rsidP="006126F0">
            <w:pPr>
              <w:pStyle w:val="StyleZakonu"/>
              <w:rPr>
                <w:color w:val="000000" w:themeColor="text1"/>
              </w:rPr>
            </w:pPr>
            <w:bookmarkStart w:id="76" w:name="_Ref17654632"/>
            <w:r w:rsidRPr="00286216">
              <w:rPr>
                <w:color w:val="000000" w:themeColor="text1"/>
              </w:rPr>
              <w:t>43) особиста угода - вчинення правочинів щодо фінансових інструментів, що проводиться особою, яка здійснює виконавчі функції в професійному учаснику ринків капіталу або організованих товарних ринків або його пов’язаному агенті, працівником професійного учасника ринків капіталу або організованих товарних ринків або його пов’язаного агента, пов’язаним агентом професійного учасника ринків капіталу або організованих товарних ринків, або в інтересах цих осіб, у будь-якому з наступних випадків:</w:t>
            </w:r>
            <w:bookmarkEnd w:id="76"/>
          </w:p>
        </w:tc>
        <w:tc>
          <w:tcPr>
            <w:tcW w:w="3686" w:type="dxa"/>
          </w:tcPr>
          <w:p w14:paraId="3E4B5283" w14:textId="77777777" w:rsidR="006126F0" w:rsidRPr="00286216" w:rsidRDefault="006126F0" w:rsidP="006126F0">
            <w:pPr>
              <w:pStyle w:val="StyleProp"/>
              <w:rPr>
                <w:color w:val="000000" w:themeColor="text1"/>
                <w:szCs w:val="18"/>
              </w:rPr>
            </w:pPr>
          </w:p>
        </w:tc>
        <w:tc>
          <w:tcPr>
            <w:tcW w:w="1987" w:type="dxa"/>
          </w:tcPr>
          <w:p w14:paraId="6AA93ADD" w14:textId="77777777" w:rsidR="006126F0" w:rsidRPr="00286216" w:rsidRDefault="006126F0" w:rsidP="006126F0">
            <w:pPr>
              <w:pStyle w:val="StyleWisnow"/>
              <w:rPr>
                <w:color w:val="000000" w:themeColor="text1"/>
              </w:rPr>
            </w:pPr>
          </w:p>
        </w:tc>
        <w:tc>
          <w:tcPr>
            <w:tcW w:w="4818" w:type="dxa"/>
          </w:tcPr>
          <w:p w14:paraId="794410DD" w14:textId="41FCC688" w:rsidR="006126F0" w:rsidRPr="00286216" w:rsidRDefault="006126F0" w:rsidP="00752569">
            <w:pPr>
              <w:pStyle w:val="StyleZakonu"/>
              <w:rPr>
                <w:color w:val="000000" w:themeColor="text1"/>
              </w:rPr>
            </w:pPr>
            <w:r w:rsidRPr="00286216">
              <w:rPr>
                <w:color w:val="000000" w:themeColor="text1"/>
              </w:rPr>
              <w:t xml:space="preserve">40) особиста угода – вчинення правочинів щодо фінансових інструментів особою, яка здійснює виконавчі функції </w:t>
            </w:r>
            <w:r w:rsidR="00E118F9" w:rsidRPr="00286216">
              <w:rPr>
                <w:color w:val="000000" w:themeColor="text1"/>
              </w:rPr>
              <w:t xml:space="preserve">у </w:t>
            </w:r>
            <w:r w:rsidRPr="00286216">
              <w:rPr>
                <w:color w:val="000000" w:themeColor="text1"/>
              </w:rPr>
              <w:t xml:space="preserve">професійному учаснику ринків капіталу </w:t>
            </w:r>
            <w:r w:rsidR="00752569" w:rsidRPr="00286216">
              <w:rPr>
                <w:color w:val="000000" w:themeColor="text1"/>
              </w:rPr>
              <w:t xml:space="preserve">та </w:t>
            </w:r>
            <w:r w:rsidRPr="00286216">
              <w:rPr>
                <w:color w:val="000000" w:themeColor="text1"/>
              </w:rPr>
              <w:t xml:space="preserve">організованих товарних ринків або його пов’язаному агенті, працівником професійного учасника ринків капіталу </w:t>
            </w:r>
            <w:r w:rsidR="00752569" w:rsidRPr="00286216">
              <w:rPr>
                <w:color w:val="000000" w:themeColor="text1"/>
              </w:rPr>
              <w:t xml:space="preserve">та </w:t>
            </w:r>
            <w:r w:rsidRPr="00286216">
              <w:rPr>
                <w:color w:val="000000" w:themeColor="text1"/>
              </w:rPr>
              <w:t xml:space="preserve">організованих товарних ринків або його пов’язаного агента, пов’язаним агентом професійного учасника ринків капіталу </w:t>
            </w:r>
            <w:r w:rsidR="00752569" w:rsidRPr="00286216">
              <w:rPr>
                <w:color w:val="000000" w:themeColor="text1"/>
              </w:rPr>
              <w:t>та</w:t>
            </w:r>
            <w:r w:rsidRPr="00286216">
              <w:rPr>
                <w:color w:val="000000" w:themeColor="text1"/>
              </w:rPr>
              <w:t xml:space="preserve"> організованих товарних ринків або в інтересах зазначених осіб у будь-якому з таких випадків:</w:t>
            </w:r>
          </w:p>
        </w:tc>
      </w:tr>
      <w:tr w:rsidR="00F77E8D" w:rsidRPr="00286216" w14:paraId="5F27AD1C" w14:textId="77777777" w:rsidTr="00091AA5">
        <w:tc>
          <w:tcPr>
            <w:tcW w:w="576" w:type="dxa"/>
          </w:tcPr>
          <w:p w14:paraId="3A5B5A29" w14:textId="77777777" w:rsidR="006126F0" w:rsidRPr="00286216" w:rsidRDefault="006126F0" w:rsidP="006126F0">
            <w:pPr>
              <w:pStyle w:val="StyleWisnow"/>
              <w:rPr>
                <w:color w:val="000000" w:themeColor="text1"/>
              </w:rPr>
            </w:pPr>
            <w:bookmarkStart w:id="77" w:name="n73" w:colFirst="0" w:colLast="0"/>
            <w:bookmarkEnd w:id="75"/>
            <w:r w:rsidRPr="00286216">
              <w:rPr>
                <w:color w:val="000000" w:themeColor="text1"/>
              </w:rPr>
              <w:t>73.</w:t>
            </w:r>
          </w:p>
        </w:tc>
        <w:tc>
          <w:tcPr>
            <w:tcW w:w="4818" w:type="dxa"/>
          </w:tcPr>
          <w:p w14:paraId="5D9EA079" w14:textId="77777777" w:rsidR="006126F0" w:rsidRPr="00286216" w:rsidRDefault="006126F0" w:rsidP="006126F0">
            <w:pPr>
              <w:pStyle w:val="StyleZakonu"/>
              <w:rPr>
                <w:color w:val="000000" w:themeColor="text1"/>
              </w:rPr>
            </w:pPr>
            <w:r w:rsidRPr="00286216">
              <w:rPr>
                <w:color w:val="000000" w:themeColor="text1"/>
              </w:rPr>
              <w:t>а) укладання правочинів щодо фінансових інструментів провадиться не в рамках виконання такими особами своїх професійних обов’язків;</w:t>
            </w:r>
          </w:p>
        </w:tc>
        <w:tc>
          <w:tcPr>
            <w:tcW w:w="3686" w:type="dxa"/>
          </w:tcPr>
          <w:p w14:paraId="297F2A09" w14:textId="77777777" w:rsidR="006126F0" w:rsidRPr="00286216" w:rsidRDefault="006126F0" w:rsidP="006126F0">
            <w:pPr>
              <w:pStyle w:val="StyleProp"/>
              <w:rPr>
                <w:color w:val="000000" w:themeColor="text1"/>
                <w:szCs w:val="18"/>
              </w:rPr>
            </w:pPr>
          </w:p>
        </w:tc>
        <w:tc>
          <w:tcPr>
            <w:tcW w:w="1987" w:type="dxa"/>
          </w:tcPr>
          <w:p w14:paraId="0E7C5A36" w14:textId="77777777" w:rsidR="006126F0" w:rsidRPr="00286216" w:rsidRDefault="006126F0" w:rsidP="006126F0">
            <w:pPr>
              <w:pStyle w:val="StyleWisnow"/>
              <w:rPr>
                <w:color w:val="000000" w:themeColor="text1"/>
              </w:rPr>
            </w:pPr>
          </w:p>
        </w:tc>
        <w:tc>
          <w:tcPr>
            <w:tcW w:w="4818" w:type="dxa"/>
          </w:tcPr>
          <w:p w14:paraId="539D9345" w14:textId="17ED0491" w:rsidR="006126F0" w:rsidRPr="00286216" w:rsidRDefault="006126F0" w:rsidP="006126F0">
            <w:pPr>
              <w:pStyle w:val="StyleZakonu"/>
              <w:rPr>
                <w:color w:val="000000" w:themeColor="text1"/>
              </w:rPr>
            </w:pPr>
            <w:r w:rsidRPr="00286216">
              <w:rPr>
                <w:color w:val="000000" w:themeColor="text1"/>
              </w:rPr>
              <w:t>а) вчинення правочинів щодо фінансових інструментів здійснюється не в рамках виконання такими особами своїх професійних обов’язків;</w:t>
            </w:r>
          </w:p>
        </w:tc>
      </w:tr>
      <w:tr w:rsidR="00F77E8D" w:rsidRPr="00286216" w14:paraId="7D95C99C" w14:textId="77777777" w:rsidTr="00091AA5">
        <w:tc>
          <w:tcPr>
            <w:tcW w:w="576" w:type="dxa"/>
          </w:tcPr>
          <w:p w14:paraId="1028EC5B" w14:textId="77777777" w:rsidR="006126F0" w:rsidRPr="00286216" w:rsidRDefault="006126F0" w:rsidP="006126F0">
            <w:pPr>
              <w:pStyle w:val="StyleWisnow"/>
              <w:rPr>
                <w:color w:val="000000" w:themeColor="text1"/>
              </w:rPr>
            </w:pPr>
            <w:bookmarkStart w:id="78" w:name="n74" w:colFirst="0" w:colLast="0"/>
            <w:bookmarkEnd w:id="77"/>
            <w:r w:rsidRPr="00286216">
              <w:rPr>
                <w:color w:val="000000" w:themeColor="text1"/>
              </w:rPr>
              <w:t>74.</w:t>
            </w:r>
          </w:p>
        </w:tc>
        <w:tc>
          <w:tcPr>
            <w:tcW w:w="4818" w:type="dxa"/>
          </w:tcPr>
          <w:p w14:paraId="0D002917" w14:textId="77777777" w:rsidR="006126F0" w:rsidRPr="00286216" w:rsidRDefault="006126F0" w:rsidP="006126F0">
            <w:pPr>
              <w:pStyle w:val="StyleZakonu"/>
              <w:rPr>
                <w:color w:val="000000" w:themeColor="text1"/>
              </w:rPr>
            </w:pPr>
            <w:r w:rsidRPr="00286216">
              <w:rPr>
                <w:color w:val="000000" w:themeColor="text1"/>
              </w:rPr>
              <w:t>б) укладання правочинів щодо фінансових інструментів провадиться такими особами за рахунок власних коштів або коштів осіб, які пов’язані з ними близькими відносинами, або осіб, пов’язаних з ними тісними зв’язками, або клієнтів, що прямо чи опосередковано надають таким особам матеріальну вигоду додатково до комісійної винагороди;</w:t>
            </w:r>
          </w:p>
        </w:tc>
        <w:tc>
          <w:tcPr>
            <w:tcW w:w="3686" w:type="dxa"/>
          </w:tcPr>
          <w:p w14:paraId="5A351C83" w14:textId="77777777" w:rsidR="006126F0" w:rsidRPr="00286216" w:rsidRDefault="006126F0" w:rsidP="006126F0">
            <w:pPr>
              <w:pStyle w:val="StyleProp"/>
              <w:rPr>
                <w:color w:val="000000" w:themeColor="text1"/>
                <w:szCs w:val="18"/>
              </w:rPr>
            </w:pPr>
          </w:p>
        </w:tc>
        <w:tc>
          <w:tcPr>
            <w:tcW w:w="1987" w:type="dxa"/>
          </w:tcPr>
          <w:p w14:paraId="4293C088" w14:textId="77777777" w:rsidR="006126F0" w:rsidRPr="00286216" w:rsidRDefault="006126F0" w:rsidP="006126F0">
            <w:pPr>
              <w:pStyle w:val="StyleWisnow"/>
              <w:rPr>
                <w:color w:val="000000" w:themeColor="text1"/>
              </w:rPr>
            </w:pPr>
          </w:p>
        </w:tc>
        <w:tc>
          <w:tcPr>
            <w:tcW w:w="4818" w:type="dxa"/>
          </w:tcPr>
          <w:p w14:paraId="394DED4F" w14:textId="0DA9DAE3" w:rsidR="006126F0" w:rsidRPr="00286216" w:rsidRDefault="006126F0" w:rsidP="002A7BC1">
            <w:pPr>
              <w:pStyle w:val="StyleZakonu"/>
              <w:rPr>
                <w:color w:val="000000" w:themeColor="text1"/>
              </w:rPr>
            </w:pPr>
            <w:r w:rsidRPr="00286216">
              <w:rPr>
                <w:color w:val="000000" w:themeColor="text1"/>
              </w:rPr>
              <w:t>б) вчинення правочинів щодо фінансових інструментів здійснюється такими особами за рахунок власних коштів або коштів осіб, пов’язан</w:t>
            </w:r>
            <w:r w:rsidR="002A7BC1" w:rsidRPr="00286216">
              <w:rPr>
                <w:color w:val="000000" w:themeColor="text1"/>
              </w:rPr>
              <w:t>их</w:t>
            </w:r>
            <w:r w:rsidRPr="00286216">
              <w:rPr>
                <w:color w:val="000000" w:themeColor="text1"/>
              </w:rPr>
              <w:t xml:space="preserve"> з ними близькими відносинами, або осіб, пов’язаних з ними тісними зв’язками, або клієнтів, що прямо чи опосередковано надають таким особам матеріальну вигоду додатково до комісійної винагороди;</w:t>
            </w:r>
          </w:p>
        </w:tc>
      </w:tr>
      <w:tr w:rsidR="00F77E8D" w:rsidRPr="00286216" w14:paraId="54E7BE73" w14:textId="77777777" w:rsidTr="00091AA5">
        <w:tc>
          <w:tcPr>
            <w:tcW w:w="576" w:type="dxa"/>
          </w:tcPr>
          <w:p w14:paraId="766464AC" w14:textId="77777777" w:rsidR="006126F0" w:rsidRPr="00286216" w:rsidRDefault="006126F0" w:rsidP="006126F0">
            <w:pPr>
              <w:pStyle w:val="StyleWisnow"/>
              <w:rPr>
                <w:color w:val="000000" w:themeColor="text1"/>
              </w:rPr>
            </w:pPr>
            <w:bookmarkStart w:id="79" w:name="n75" w:colFirst="0" w:colLast="0"/>
            <w:bookmarkEnd w:id="78"/>
            <w:r w:rsidRPr="00286216">
              <w:rPr>
                <w:color w:val="000000" w:themeColor="text1"/>
              </w:rPr>
              <w:t>75.</w:t>
            </w:r>
          </w:p>
        </w:tc>
        <w:tc>
          <w:tcPr>
            <w:tcW w:w="4818" w:type="dxa"/>
          </w:tcPr>
          <w:p w14:paraId="04771632" w14:textId="77777777" w:rsidR="006126F0" w:rsidRPr="00286216" w:rsidRDefault="006126F0" w:rsidP="006126F0">
            <w:pPr>
              <w:pStyle w:val="StyleZakonu"/>
              <w:rPr>
                <w:color w:val="000000" w:themeColor="text1"/>
              </w:rPr>
            </w:pPr>
            <w:r w:rsidRPr="00286216">
              <w:rPr>
                <w:color w:val="000000" w:themeColor="text1"/>
              </w:rPr>
              <w:t>44) оферент цінних паперів (далі - оферент) -фізична або юридична особа, яка є власником цінних паперів та здійснює публічну пропозицію на умовах публічного договору продажу таких цінних паперів;</w:t>
            </w:r>
          </w:p>
        </w:tc>
        <w:tc>
          <w:tcPr>
            <w:tcW w:w="3686" w:type="dxa"/>
          </w:tcPr>
          <w:p w14:paraId="679B2B71" w14:textId="77777777" w:rsidR="006126F0" w:rsidRPr="00286216" w:rsidRDefault="006126F0" w:rsidP="006126F0">
            <w:pPr>
              <w:pStyle w:val="StyleProp"/>
              <w:rPr>
                <w:color w:val="000000" w:themeColor="text1"/>
                <w:szCs w:val="18"/>
              </w:rPr>
            </w:pPr>
          </w:p>
        </w:tc>
        <w:tc>
          <w:tcPr>
            <w:tcW w:w="1987" w:type="dxa"/>
          </w:tcPr>
          <w:p w14:paraId="46DE7F7E" w14:textId="77777777" w:rsidR="006126F0" w:rsidRPr="00286216" w:rsidRDefault="006126F0" w:rsidP="006126F0">
            <w:pPr>
              <w:pStyle w:val="StyleWisnow"/>
              <w:rPr>
                <w:color w:val="000000" w:themeColor="text1"/>
              </w:rPr>
            </w:pPr>
          </w:p>
        </w:tc>
        <w:tc>
          <w:tcPr>
            <w:tcW w:w="4818" w:type="dxa"/>
          </w:tcPr>
          <w:p w14:paraId="60CDDEC3" w14:textId="3347F5B4" w:rsidR="006126F0" w:rsidRPr="00286216" w:rsidRDefault="006126F0" w:rsidP="006126F0">
            <w:pPr>
              <w:pStyle w:val="StyleZakonu"/>
              <w:rPr>
                <w:color w:val="000000" w:themeColor="text1"/>
              </w:rPr>
            </w:pPr>
            <w:r w:rsidRPr="00286216">
              <w:rPr>
                <w:color w:val="000000" w:themeColor="text1"/>
              </w:rPr>
              <w:t xml:space="preserve">41) оферент цінних паперів (далі </w:t>
            </w:r>
            <w:r w:rsidR="002A7BC1" w:rsidRPr="00286216">
              <w:rPr>
                <w:color w:val="000000" w:themeColor="text1"/>
              </w:rPr>
              <w:t>–</w:t>
            </w:r>
            <w:r w:rsidRPr="00286216">
              <w:rPr>
                <w:color w:val="000000" w:themeColor="text1"/>
              </w:rPr>
              <w:t xml:space="preserve"> оферент) </w:t>
            </w:r>
            <w:r w:rsidR="002A7BC1" w:rsidRPr="00286216">
              <w:rPr>
                <w:color w:val="000000" w:themeColor="text1"/>
              </w:rPr>
              <w:t>–</w:t>
            </w:r>
            <w:r w:rsidRPr="00286216">
              <w:rPr>
                <w:color w:val="000000" w:themeColor="text1"/>
              </w:rPr>
              <w:t>фізична або юридична особа, яка є власником цінних паперів та здійснює публічну пропозицію на умовах публічного договору продажу таких цінних паперів;</w:t>
            </w:r>
          </w:p>
        </w:tc>
      </w:tr>
      <w:tr w:rsidR="00F77E8D" w:rsidRPr="00286216" w14:paraId="78A8AFA7" w14:textId="77777777" w:rsidTr="00091AA5">
        <w:tc>
          <w:tcPr>
            <w:tcW w:w="576" w:type="dxa"/>
          </w:tcPr>
          <w:p w14:paraId="598212EC" w14:textId="77777777" w:rsidR="006126F0" w:rsidRPr="00286216" w:rsidRDefault="006126F0" w:rsidP="006126F0">
            <w:pPr>
              <w:pStyle w:val="StyleWisnow"/>
              <w:rPr>
                <w:color w:val="000000" w:themeColor="text1"/>
              </w:rPr>
            </w:pPr>
            <w:bookmarkStart w:id="80" w:name="n76" w:colFirst="0" w:colLast="0"/>
            <w:bookmarkEnd w:id="79"/>
            <w:r w:rsidRPr="00286216">
              <w:rPr>
                <w:color w:val="000000" w:themeColor="text1"/>
              </w:rPr>
              <w:t>76.</w:t>
            </w:r>
          </w:p>
        </w:tc>
        <w:tc>
          <w:tcPr>
            <w:tcW w:w="4818" w:type="dxa"/>
          </w:tcPr>
          <w:p w14:paraId="6E1CDD12" w14:textId="77777777" w:rsidR="006126F0" w:rsidRPr="00286216" w:rsidRDefault="006126F0" w:rsidP="006126F0">
            <w:pPr>
              <w:pStyle w:val="StyleZakonu"/>
              <w:rPr>
                <w:color w:val="000000" w:themeColor="text1"/>
              </w:rPr>
            </w:pPr>
            <w:r w:rsidRPr="00286216">
              <w:rPr>
                <w:color w:val="000000" w:themeColor="text1"/>
              </w:rPr>
              <w:t>45) офіційний друкований орган - офіційне друковане видання Президента України, Верховної Ради України та Кабінету Міністрів України;</w:t>
            </w:r>
          </w:p>
        </w:tc>
        <w:tc>
          <w:tcPr>
            <w:tcW w:w="3686" w:type="dxa"/>
          </w:tcPr>
          <w:p w14:paraId="6459E69C" w14:textId="66E7BE49"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7F0DE3D" w14:textId="77777777" w:rsidR="006126F0" w:rsidRPr="00286216" w:rsidRDefault="006126F0" w:rsidP="006126F0">
            <w:pPr>
              <w:pStyle w:val="StyleProp"/>
              <w:spacing w:line="190" w:lineRule="exact"/>
              <w:rPr>
                <w:color w:val="000000" w:themeColor="text1"/>
                <w:szCs w:val="18"/>
              </w:rPr>
            </w:pPr>
            <w:r w:rsidRPr="00286216">
              <w:rPr>
                <w:color w:val="000000" w:themeColor="text1"/>
                <w:szCs w:val="18"/>
              </w:rPr>
              <w:t>Пункт 45 частини першої статті 2 викласти в такій редакції:</w:t>
            </w:r>
          </w:p>
          <w:p w14:paraId="1E8AB5C2" w14:textId="77777777" w:rsidR="006126F0" w:rsidRPr="00286216" w:rsidRDefault="006126F0" w:rsidP="006126F0">
            <w:pPr>
              <w:pStyle w:val="StyleProp"/>
              <w:spacing w:line="190" w:lineRule="exact"/>
              <w:rPr>
                <w:color w:val="000000" w:themeColor="text1"/>
                <w:szCs w:val="18"/>
              </w:rPr>
            </w:pPr>
            <w:r w:rsidRPr="00286216">
              <w:rPr>
                <w:color w:val="000000" w:themeColor="text1"/>
                <w:szCs w:val="18"/>
              </w:rPr>
              <w:t xml:space="preserve">«45) офіційний канал зв’язку – засоби </w:t>
            </w:r>
            <w:r w:rsidRPr="00286216">
              <w:rPr>
                <w:color w:val="000000" w:themeColor="text1"/>
                <w:szCs w:val="18"/>
              </w:rPr>
              <w:lastRenderedPageBreak/>
              <w:t>електронної пошти, адресу якої зазначено учасником ринків капіталу та професійним учасником  організованих товарних ринків у документах, поданих до Національної комісії з цінних паперів та фондового ринку, або комплексна інформаційної системи, яку створює Національна комісія з цінних паперів та фондового ринку, за допомогою яких Національна комісія з цінних паперів та фондового ринку Національна комісія з цінних паперів та фондового ринку здійснює обмін документами та повідомленнями з такими учасниками».</w:t>
            </w:r>
          </w:p>
        </w:tc>
        <w:tc>
          <w:tcPr>
            <w:tcW w:w="1987" w:type="dxa"/>
          </w:tcPr>
          <w:p w14:paraId="4A6BA705" w14:textId="18EB0D5A" w:rsidR="006126F0" w:rsidRPr="00286216" w:rsidRDefault="006126F0" w:rsidP="006126F0">
            <w:pPr>
              <w:pStyle w:val="StyleWisnow"/>
              <w:rPr>
                <w:color w:val="000000" w:themeColor="text1"/>
              </w:rPr>
            </w:pPr>
            <w:r w:rsidRPr="00286216">
              <w:rPr>
                <w:color w:val="000000" w:themeColor="text1"/>
              </w:rPr>
              <w:lastRenderedPageBreak/>
              <w:t>Враховано редакційно</w:t>
            </w:r>
          </w:p>
        </w:tc>
        <w:tc>
          <w:tcPr>
            <w:tcW w:w="4818" w:type="dxa"/>
          </w:tcPr>
          <w:p w14:paraId="1EF358F7" w14:textId="0A17B591" w:rsidR="006126F0" w:rsidRPr="00286216" w:rsidRDefault="006126F0" w:rsidP="006126F0">
            <w:pPr>
              <w:pStyle w:val="StyleZakonu"/>
              <w:rPr>
                <w:color w:val="000000" w:themeColor="text1"/>
              </w:rPr>
            </w:pPr>
            <w:r w:rsidRPr="00286216">
              <w:rPr>
                <w:color w:val="000000" w:themeColor="text1"/>
                <w:szCs w:val="18"/>
              </w:rPr>
              <w:t xml:space="preserve">42) офіційний канал зв’язку – засоби електронної пошти, адресу якої зазначено учасником ринків капіталу та професійним учасником організованих </w:t>
            </w:r>
            <w:r w:rsidRPr="00286216">
              <w:rPr>
                <w:color w:val="000000" w:themeColor="text1"/>
                <w:szCs w:val="18"/>
              </w:rPr>
              <w:lastRenderedPageBreak/>
              <w:t>товарних ринків у документах, поданих до Національної комісії з цінних паперів та фондового ринку, або засоби комплексної інформаційної системи Національної комісії з цінних паперів та фондового ринку, за допомогою яких Національна комісія з цінних паперів та фондового ринку здійснює обмін документами та повідомленнями з такими учасниками;</w:t>
            </w:r>
          </w:p>
        </w:tc>
      </w:tr>
      <w:bookmarkEnd w:id="80"/>
      <w:tr w:rsidR="00F77E8D" w:rsidRPr="00286216" w14:paraId="1FE986C2" w14:textId="77777777" w:rsidTr="00091AA5">
        <w:tc>
          <w:tcPr>
            <w:tcW w:w="576" w:type="dxa"/>
          </w:tcPr>
          <w:p w14:paraId="7A679526" w14:textId="77777777" w:rsidR="006126F0" w:rsidRPr="00286216" w:rsidRDefault="006126F0" w:rsidP="006126F0">
            <w:pPr>
              <w:pStyle w:val="StyleWisnow"/>
              <w:rPr>
                <w:color w:val="000000" w:themeColor="text1"/>
              </w:rPr>
            </w:pPr>
          </w:p>
        </w:tc>
        <w:tc>
          <w:tcPr>
            <w:tcW w:w="4818" w:type="dxa"/>
          </w:tcPr>
          <w:p w14:paraId="72D1B9D4" w14:textId="77777777" w:rsidR="006126F0" w:rsidRPr="00286216" w:rsidRDefault="006126F0" w:rsidP="006126F0">
            <w:pPr>
              <w:pStyle w:val="StyleZakonu"/>
              <w:rPr>
                <w:color w:val="000000" w:themeColor="text1"/>
              </w:rPr>
            </w:pPr>
          </w:p>
        </w:tc>
        <w:tc>
          <w:tcPr>
            <w:tcW w:w="3686" w:type="dxa"/>
          </w:tcPr>
          <w:p w14:paraId="72D2F0ED" w14:textId="582BBBD2"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104</w:t>
            </w:r>
            <w:r w:rsidRPr="00286216">
              <w:rPr>
                <w:color w:val="000000" w:themeColor="text1"/>
                <w:spacing w:val="-10"/>
              </w:rPr>
              <w:fldChar w:fldCharType="end"/>
            </w:r>
            <w:r w:rsidRPr="00286216">
              <w:rPr>
                <w:color w:val="000000" w:themeColor="text1"/>
                <w:spacing w:val="-10"/>
              </w:rPr>
              <w:t>-Н.д.Гетманцев Д.О.(Реєстр.картка №245)</w:t>
            </w:r>
          </w:p>
          <w:p w14:paraId="21719821" w14:textId="77777777" w:rsidR="006126F0" w:rsidRPr="00286216" w:rsidRDefault="006126F0" w:rsidP="006126F0">
            <w:pPr>
              <w:pStyle w:val="StyleProp"/>
              <w:spacing w:line="180" w:lineRule="exact"/>
              <w:rPr>
                <w:color w:val="000000" w:themeColor="text1"/>
              </w:rPr>
            </w:pPr>
            <w:r w:rsidRPr="00286216">
              <w:rPr>
                <w:color w:val="000000" w:themeColor="text1"/>
              </w:rPr>
              <w:t>У частині першій статті 2 пункт 45 виключити.</w:t>
            </w:r>
          </w:p>
        </w:tc>
        <w:tc>
          <w:tcPr>
            <w:tcW w:w="1987" w:type="dxa"/>
          </w:tcPr>
          <w:p w14:paraId="1DE5F059" w14:textId="77777777" w:rsidR="006126F0" w:rsidRPr="00286216" w:rsidRDefault="006126F0" w:rsidP="006126F0">
            <w:pPr>
              <w:pStyle w:val="StyleWisnow"/>
              <w:rPr>
                <w:color w:val="000000" w:themeColor="text1"/>
              </w:rPr>
            </w:pPr>
            <w:r w:rsidRPr="00286216">
              <w:rPr>
                <w:color w:val="000000" w:themeColor="text1"/>
              </w:rPr>
              <w:t>Враховано по суті</w:t>
            </w:r>
          </w:p>
        </w:tc>
        <w:tc>
          <w:tcPr>
            <w:tcW w:w="4818" w:type="dxa"/>
          </w:tcPr>
          <w:p w14:paraId="19424F51" w14:textId="77777777" w:rsidR="006126F0" w:rsidRPr="00286216" w:rsidRDefault="006126F0" w:rsidP="006126F0">
            <w:pPr>
              <w:pStyle w:val="StyleZakonu"/>
              <w:rPr>
                <w:color w:val="000000" w:themeColor="text1"/>
              </w:rPr>
            </w:pPr>
          </w:p>
        </w:tc>
      </w:tr>
      <w:tr w:rsidR="00F77E8D" w:rsidRPr="00286216" w14:paraId="7759930F" w14:textId="77777777" w:rsidTr="00091AA5">
        <w:tc>
          <w:tcPr>
            <w:tcW w:w="576" w:type="dxa"/>
          </w:tcPr>
          <w:p w14:paraId="5CE37A05" w14:textId="77777777" w:rsidR="006126F0" w:rsidRPr="00286216" w:rsidRDefault="006126F0" w:rsidP="006126F0">
            <w:pPr>
              <w:pStyle w:val="StyleWisnow"/>
              <w:rPr>
                <w:color w:val="000000" w:themeColor="text1"/>
              </w:rPr>
            </w:pPr>
          </w:p>
        </w:tc>
        <w:tc>
          <w:tcPr>
            <w:tcW w:w="4818" w:type="dxa"/>
          </w:tcPr>
          <w:p w14:paraId="1DCCFED7" w14:textId="77777777" w:rsidR="006126F0" w:rsidRPr="00286216" w:rsidRDefault="006126F0" w:rsidP="006126F0">
            <w:pPr>
              <w:pStyle w:val="StyleZakonu"/>
              <w:rPr>
                <w:color w:val="000000" w:themeColor="text1"/>
              </w:rPr>
            </w:pPr>
          </w:p>
        </w:tc>
        <w:tc>
          <w:tcPr>
            <w:tcW w:w="3686" w:type="dxa"/>
          </w:tcPr>
          <w:p w14:paraId="5C593C98" w14:textId="16B3C10D" w:rsidR="006126F0" w:rsidRPr="00286216" w:rsidRDefault="006126F0" w:rsidP="006126F0">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105</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66767FCA" w14:textId="77777777" w:rsidR="006126F0" w:rsidRPr="00286216" w:rsidRDefault="006126F0" w:rsidP="006126F0">
            <w:pPr>
              <w:pStyle w:val="StyleProp"/>
              <w:spacing w:line="180" w:lineRule="exact"/>
              <w:rPr>
                <w:color w:val="000000" w:themeColor="text1"/>
                <w:szCs w:val="18"/>
              </w:rPr>
            </w:pPr>
            <w:r w:rsidRPr="00286216">
              <w:rPr>
                <w:color w:val="000000" w:themeColor="text1"/>
              </w:rPr>
              <w:t>У статті 2 у пункті 45 слова «офіційний друкований орган» замінити словами «офіційне друковане видання».</w:t>
            </w:r>
          </w:p>
        </w:tc>
        <w:tc>
          <w:tcPr>
            <w:tcW w:w="1987" w:type="dxa"/>
          </w:tcPr>
          <w:p w14:paraId="6B1149CA" w14:textId="77777777" w:rsidR="006126F0" w:rsidRPr="00286216" w:rsidRDefault="006126F0" w:rsidP="006126F0">
            <w:pPr>
              <w:pStyle w:val="StyleWisnow"/>
              <w:rPr>
                <w:color w:val="000000" w:themeColor="text1"/>
              </w:rPr>
            </w:pPr>
            <w:r w:rsidRPr="00286216">
              <w:rPr>
                <w:color w:val="000000" w:themeColor="text1"/>
              </w:rPr>
              <w:t>Відхилено</w:t>
            </w:r>
          </w:p>
          <w:p w14:paraId="1148A952" w14:textId="77777777" w:rsidR="006126F0" w:rsidRPr="00286216" w:rsidRDefault="006126F0" w:rsidP="006126F0">
            <w:pPr>
              <w:pStyle w:val="StyleWisnow"/>
              <w:spacing w:line="180" w:lineRule="exact"/>
              <w:rPr>
                <w:color w:val="000000" w:themeColor="text1"/>
                <w:spacing w:val="-2"/>
              </w:rPr>
            </w:pPr>
            <w:r w:rsidRPr="00286216">
              <w:rPr>
                <w:color w:val="000000" w:themeColor="text1"/>
                <w:spacing w:val="-4"/>
              </w:rPr>
              <w:t>через зміну редакції та виключення терміну</w:t>
            </w:r>
            <w:r w:rsidRPr="00286216">
              <w:rPr>
                <w:color w:val="000000" w:themeColor="text1"/>
                <w:spacing w:val="-2"/>
              </w:rPr>
              <w:t xml:space="preserve"> </w:t>
            </w:r>
          </w:p>
        </w:tc>
        <w:tc>
          <w:tcPr>
            <w:tcW w:w="4818" w:type="dxa"/>
          </w:tcPr>
          <w:p w14:paraId="2B9467A9" w14:textId="77777777" w:rsidR="006126F0" w:rsidRPr="00286216" w:rsidRDefault="006126F0" w:rsidP="006126F0">
            <w:pPr>
              <w:pStyle w:val="StyleZakonu"/>
              <w:rPr>
                <w:color w:val="000000" w:themeColor="text1"/>
              </w:rPr>
            </w:pPr>
          </w:p>
        </w:tc>
      </w:tr>
      <w:tr w:rsidR="00F77E8D" w:rsidRPr="00286216" w14:paraId="2B0997D2" w14:textId="77777777" w:rsidTr="00091AA5">
        <w:tc>
          <w:tcPr>
            <w:tcW w:w="576" w:type="dxa"/>
          </w:tcPr>
          <w:p w14:paraId="426BB064" w14:textId="77777777" w:rsidR="006126F0" w:rsidRPr="00286216" w:rsidRDefault="006126F0" w:rsidP="006126F0">
            <w:pPr>
              <w:pStyle w:val="StyleWisnow"/>
              <w:rPr>
                <w:color w:val="000000" w:themeColor="text1"/>
              </w:rPr>
            </w:pPr>
            <w:bookmarkStart w:id="81" w:name="n77" w:colFirst="0" w:colLast="0"/>
            <w:r w:rsidRPr="00286216">
              <w:rPr>
                <w:color w:val="000000" w:themeColor="text1"/>
              </w:rPr>
              <w:t>77.</w:t>
            </w:r>
          </w:p>
        </w:tc>
        <w:tc>
          <w:tcPr>
            <w:tcW w:w="4818" w:type="dxa"/>
          </w:tcPr>
          <w:p w14:paraId="385AD59A" w14:textId="77777777" w:rsidR="006126F0" w:rsidRPr="00286216" w:rsidRDefault="006126F0" w:rsidP="006126F0">
            <w:pPr>
              <w:pStyle w:val="StyleZakonu"/>
              <w:rPr>
                <w:color w:val="000000" w:themeColor="text1"/>
              </w:rPr>
            </w:pPr>
            <w:r w:rsidRPr="00286216">
              <w:rPr>
                <w:color w:val="000000" w:themeColor="text1"/>
              </w:rPr>
              <w:t>46) перший власник - особа, яка набула права власності на цінні папери безпосередньо від емітента або особи, яка видала неемісійний цінний папір, чи від особи, уповноваженої діяти від їх імені;</w:t>
            </w:r>
          </w:p>
        </w:tc>
        <w:tc>
          <w:tcPr>
            <w:tcW w:w="3686" w:type="dxa"/>
          </w:tcPr>
          <w:p w14:paraId="0FC156A8" w14:textId="257358A3" w:rsidR="006126F0" w:rsidRPr="00286216" w:rsidRDefault="006126F0" w:rsidP="006126F0">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106</w:t>
            </w:r>
            <w:r w:rsidRPr="00286216">
              <w:rPr>
                <w:color w:val="000000" w:themeColor="text1"/>
                <w:spacing w:val="-10"/>
              </w:rPr>
              <w:fldChar w:fldCharType="end"/>
            </w:r>
            <w:r w:rsidRPr="00286216">
              <w:rPr>
                <w:color w:val="000000" w:themeColor="text1"/>
                <w:spacing w:val="-10"/>
              </w:rPr>
              <w:t>-Н.д.Гетманцев Д.О.(Реєстр.картка №245)</w:t>
            </w:r>
          </w:p>
          <w:p w14:paraId="0726191E" w14:textId="77777777" w:rsidR="006126F0" w:rsidRPr="00286216" w:rsidRDefault="006126F0" w:rsidP="006126F0">
            <w:pPr>
              <w:pStyle w:val="StyleProp"/>
              <w:spacing w:line="190" w:lineRule="exact"/>
              <w:rPr>
                <w:color w:val="000000" w:themeColor="text1"/>
              </w:rPr>
            </w:pPr>
            <w:r w:rsidRPr="00286216">
              <w:rPr>
                <w:color w:val="000000" w:themeColor="text1"/>
              </w:rPr>
              <w:t>У частині першій статті 2 пункт 46 викласти в такій редакції:</w:t>
            </w:r>
          </w:p>
          <w:p w14:paraId="5B9E3C35" w14:textId="77777777" w:rsidR="006126F0" w:rsidRPr="00286216" w:rsidRDefault="006126F0" w:rsidP="006126F0">
            <w:pPr>
              <w:pStyle w:val="StyleProp"/>
              <w:spacing w:line="190" w:lineRule="exact"/>
              <w:rPr>
                <w:color w:val="000000" w:themeColor="text1"/>
              </w:rPr>
            </w:pPr>
            <w:r w:rsidRPr="00286216">
              <w:rPr>
                <w:color w:val="000000" w:themeColor="text1"/>
              </w:rPr>
              <w:t>«46) перший власник – особа, яка набула права власності на цінні папери безпосередньо від емітента або особи, яка видала неемісійний цінний папір, чи від особи, яка передала право власності на цінні папери від імені їх емітента (для емісійних ціннх паперів) чи особи, що їх видала (для неемісійних цінних паперів) відповідно до наявних у неї повноважень;».</w:t>
            </w:r>
          </w:p>
        </w:tc>
        <w:tc>
          <w:tcPr>
            <w:tcW w:w="1987" w:type="dxa"/>
          </w:tcPr>
          <w:p w14:paraId="6078B2D1" w14:textId="77777777" w:rsidR="006126F0" w:rsidRPr="00286216" w:rsidRDefault="006126F0" w:rsidP="006126F0">
            <w:pPr>
              <w:pStyle w:val="StyleWisnow"/>
              <w:rPr>
                <w:color w:val="000000" w:themeColor="text1"/>
              </w:rPr>
            </w:pPr>
            <w:r w:rsidRPr="00286216">
              <w:rPr>
                <w:color w:val="000000" w:themeColor="text1"/>
              </w:rPr>
              <w:t>Враховано частково</w:t>
            </w:r>
          </w:p>
          <w:p w14:paraId="1170D58B" w14:textId="77777777" w:rsidR="006126F0" w:rsidRPr="00286216" w:rsidRDefault="006126F0" w:rsidP="006126F0">
            <w:pPr>
              <w:pStyle w:val="StyleWisnow"/>
              <w:spacing w:line="180" w:lineRule="exact"/>
              <w:rPr>
                <w:color w:val="000000" w:themeColor="text1"/>
              </w:rPr>
            </w:pPr>
            <w:r w:rsidRPr="00286216">
              <w:rPr>
                <w:color w:val="000000" w:themeColor="text1"/>
              </w:rPr>
              <w:t>поняття "перший власник" щодо неемісійних цінних паперів не вживається</w:t>
            </w:r>
          </w:p>
          <w:p w14:paraId="30BCF244" w14:textId="77777777" w:rsidR="006126F0" w:rsidRPr="00286216" w:rsidRDefault="006126F0" w:rsidP="006126F0">
            <w:pPr>
              <w:pStyle w:val="StyleWisnow"/>
              <w:spacing w:line="180" w:lineRule="exact"/>
              <w:rPr>
                <w:color w:val="000000" w:themeColor="text1"/>
              </w:rPr>
            </w:pPr>
          </w:p>
        </w:tc>
        <w:tc>
          <w:tcPr>
            <w:tcW w:w="4818" w:type="dxa"/>
          </w:tcPr>
          <w:p w14:paraId="5BA6DA17" w14:textId="61CF677F" w:rsidR="006126F0" w:rsidRPr="00286216" w:rsidRDefault="006126F0" w:rsidP="006126F0">
            <w:pPr>
              <w:pStyle w:val="StyleZakonu"/>
              <w:rPr>
                <w:color w:val="000000" w:themeColor="text1"/>
              </w:rPr>
            </w:pPr>
            <w:r w:rsidRPr="00286216">
              <w:rPr>
                <w:color w:val="000000" w:themeColor="text1"/>
              </w:rPr>
              <w:t>43) перший власник - особа, право власності на цінні папери у якої виникло в результаті укладення та виконання договору щодо таких цінних паперів з емітентом чи особою, яка діє від імені цього емітента;</w:t>
            </w:r>
          </w:p>
        </w:tc>
      </w:tr>
      <w:bookmarkEnd w:id="81"/>
      <w:tr w:rsidR="00F77E8D" w:rsidRPr="00286216" w14:paraId="7AFA50E0" w14:textId="77777777" w:rsidTr="00091AA5">
        <w:tc>
          <w:tcPr>
            <w:tcW w:w="576" w:type="dxa"/>
          </w:tcPr>
          <w:p w14:paraId="2A12299C" w14:textId="77777777" w:rsidR="006126F0" w:rsidRPr="00286216" w:rsidRDefault="006126F0" w:rsidP="006126F0">
            <w:pPr>
              <w:pStyle w:val="StyleWisnow"/>
              <w:rPr>
                <w:color w:val="000000" w:themeColor="text1"/>
              </w:rPr>
            </w:pPr>
          </w:p>
        </w:tc>
        <w:tc>
          <w:tcPr>
            <w:tcW w:w="4818" w:type="dxa"/>
          </w:tcPr>
          <w:p w14:paraId="15D302BE" w14:textId="77777777" w:rsidR="006126F0" w:rsidRPr="00286216" w:rsidRDefault="006126F0" w:rsidP="006126F0">
            <w:pPr>
              <w:pStyle w:val="StyleZakonu"/>
              <w:rPr>
                <w:color w:val="000000" w:themeColor="text1"/>
              </w:rPr>
            </w:pPr>
          </w:p>
        </w:tc>
        <w:tc>
          <w:tcPr>
            <w:tcW w:w="3686" w:type="dxa"/>
          </w:tcPr>
          <w:p w14:paraId="5B1CE7EC" w14:textId="7AFAE0C8"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EFA2BB6"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Пункт 46 частини першої статті 2 викласти в такій редакції:</w:t>
            </w:r>
          </w:p>
          <w:p w14:paraId="5E6BE34B"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«46) перший власник – особа, яка набула права власності на цінні папери безпосередньо від емітента чи особи, уповноваженої діяти від його імені, у процесі емісії цінних паперів».</w:t>
            </w:r>
          </w:p>
        </w:tc>
        <w:tc>
          <w:tcPr>
            <w:tcW w:w="1987" w:type="dxa"/>
          </w:tcPr>
          <w:p w14:paraId="6BFBAFF3"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3199F936" w14:textId="77777777" w:rsidR="006126F0" w:rsidRPr="00286216" w:rsidRDefault="006126F0" w:rsidP="006126F0">
            <w:pPr>
              <w:pStyle w:val="StyleZakonu"/>
              <w:rPr>
                <w:color w:val="000000" w:themeColor="text1"/>
              </w:rPr>
            </w:pPr>
          </w:p>
        </w:tc>
      </w:tr>
      <w:tr w:rsidR="00F77E8D" w:rsidRPr="00286216" w14:paraId="239991B0" w14:textId="77777777" w:rsidTr="00091AA5">
        <w:tc>
          <w:tcPr>
            <w:tcW w:w="576" w:type="dxa"/>
          </w:tcPr>
          <w:p w14:paraId="6FFD8D6B" w14:textId="77777777" w:rsidR="006126F0" w:rsidRPr="00286216" w:rsidRDefault="006126F0" w:rsidP="006126F0">
            <w:pPr>
              <w:pStyle w:val="StyleWisnow"/>
              <w:rPr>
                <w:color w:val="000000" w:themeColor="text1"/>
              </w:rPr>
            </w:pPr>
            <w:bookmarkStart w:id="82" w:name="n78" w:colFirst="0" w:colLast="0"/>
            <w:r w:rsidRPr="00286216">
              <w:rPr>
                <w:color w:val="000000" w:themeColor="text1"/>
              </w:rPr>
              <w:t>78.</w:t>
            </w:r>
          </w:p>
        </w:tc>
        <w:tc>
          <w:tcPr>
            <w:tcW w:w="4818" w:type="dxa"/>
          </w:tcPr>
          <w:p w14:paraId="6D273F60" w14:textId="77777777" w:rsidR="006126F0" w:rsidRPr="00286216" w:rsidRDefault="006126F0" w:rsidP="006126F0">
            <w:pPr>
              <w:pStyle w:val="StyleZakonu"/>
              <w:rPr>
                <w:color w:val="000000" w:themeColor="text1"/>
              </w:rPr>
            </w:pPr>
            <w:r w:rsidRPr="00286216">
              <w:rPr>
                <w:color w:val="000000" w:themeColor="text1"/>
              </w:rPr>
              <w:t xml:space="preserve">47) погашення емісійних цінних паперів - сукупність дій емітента та власників цінних паперів, що здійснюються у встановленому Національною комісією з цінних паперів та фондового ринку порядку та пов’язані з виконанням емітентом зобов’язань за борговими емісійними цінними паперами та іншими емісійними цінними паперами в установлених законом випадках шляхом виплати власникам таких цінних паперів номінальної вартості цінних паперів та доходу за такими цінними паперами (якщо це передбачено проспектом цінних паперів або </w:t>
            </w:r>
            <w:r w:rsidRPr="00286216">
              <w:rPr>
                <w:color w:val="000000" w:themeColor="text1"/>
              </w:rPr>
              <w:lastRenderedPageBreak/>
              <w:t>рішенням про емісію цінних паперів або постачання (надання) товарів (послуг), або конвертації цінних паперів у строки, передбачені проспектом цінних паперів або рішенням про емісію цінних паперів, та скасування реєстрації випуску цінних паперів;</w:t>
            </w:r>
          </w:p>
        </w:tc>
        <w:tc>
          <w:tcPr>
            <w:tcW w:w="3686" w:type="dxa"/>
          </w:tcPr>
          <w:p w14:paraId="15B7294F" w14:textId="4047496E" w:rsidR="006126F0" w:rsidRPr="00286216" w:rsidRDefault="006126F0" w:rsidP="006126F0">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EB870AD" w14:textId="77777777" w:rsidR="006126F0" w:rsidRPr="00286216" w:rsidRDefault="006126F0" w:rsidP="006126F0">
            <w:pPr>
              <w:pStyle w:val="StyleProp"/>
              <w:rPr>
                <w:color w:val="000000" w:themeColor="text1"/>
                <w:szCs w:val="18"/>
              </w:rPr>
            </w:pPr>
            <w:r w:rsidRPr="00286216">
              <w:rPr>
                <w:color w:val="000000" w:themeColor="text1"/>
                <w:szCs w:val="18"/>
              </w:rPr>
              <w:t>Пункт 47 частини першої статті 2 викласти в такій редакції:</w:t>
            </w:r>
          </w:p>
          <w:p w14:paraId="74C7606E" w14:textId="77777777" w:rsidR="006126F0" w:rsidRPr="00286216" w:rsidRDefault="006126F0" w:rsidP="006126F0">
            <w:pPr>
              <w:pStyle w:val="StyleProp"/>
              <w:spacing w:line="190" w:lineRule="exact"/>
              <w:rPr>
                <w:color w:val="000000" w:themeColor="text1"/>
                <w:spacing w:val="-2"/>
                <w:szCs w:val="18"/>
              </w:rPr>
            </w:pPr>
            <w:r w:rsidRPr="00286216">
              <w:rPr>
                <w:color w:val="000000" w:themeColor="text1"/>
                <w:spacing w:val="-2"/>
                <w:szCs w:val="18"/>
              </w:rPr>
              <w:t xml:space="preserve">«47) погашення емісійних цінних паперів – сукупність дій емітента та власників цінних паперів, що здійснюються у встановленому Національною комісією з цінних паперів та фондового ринку порядку та пов’язані з виконанням емітентом зобов’язань за емісійними цінними паперами в установлених законом випадках шляхом виплати власникам таких цінних паперів їх номінальної вартості </w:t>
            </w:r>
            <w:r w:rsidRPr="00286216">
              <w:rPr>
                <w:color w:val="000000" w:themeColor="text1"/>
                <w:spacing w:val="-2"/>
                <w:szCs w:val="18"/>
              </w:rPr>
              <w:lastRenderedPageBreak/>
              <w:t>та доходу за такими цінними паперами (якщо це передбачено проспектом цінних паперів або рішенням про емісію цінних паперів), або шляхом передачі передбачених проспектом цінних паперів або рішенням про емісію цінних паперів об’єктів, або шляхом конвертації цінних паперів та скасування реєстрації випуску цінних паперів. Погашення має наслідком скасування реєстрації випуску цінних паперів».</w:t>
            </w:r>
          </w:p>
        </w:tc>
        <w:tc>
          <w:tcPr>
            <w:tcW w:w="1987" w:type="dxa"/>
          </w:tcPr>
          <w:p w14:paraId="1FCB5605" w14:textId="77777777" w:rsidR="006126F0" w:rsidRPr="00286216" w:rsidRDefault="006126F0" w:rsidP="006126F0">
            <w:pPr>
              <w:pStyle w:val="StyleWisnow"/>
              <w:rPr>
                <w:color w:val="000000" w:themeColor="text1"/>
              </w:rPr>
            </w:pPr>
            <w:r w:rsidRPr="00286216">
              <w:rPr>
                <w:color w:val="000000" w:themeColor="text1"/>
              </w:rPr>
              <w:lastRenderedPageBreak/>
              <w:t>Враховано частково</w:t>
            </w:r>
          </w:p>
          <w:p w14:paraId="56AFD39C" w14:textId="77777777" w:rsidR="006126F0" w:rsidRPr="00286216" w:rsidRDefault="006126F0" w:rsidP="006126F0">
            <w:pPr>
              <w:pStyle w:val="StyleWisnow"/>
              <w:spacing w:line="180" w:lineRule="exact"/>
              <w:rPr>
                <w:color w:val="000000" w:themeColor="text1"/>
              </w:rPr>
            </w:pPr>
            <w:r w:rsidRPr="00286216">
              <w:rPr>
                <w:color w:val="000000" w:themeColor="text1"/>
              </w:rPr>
              <w:t>детальніші механізми виконання зобов'язань за емісійними цінними паперами, зокрема, й погашення, передбачені у статті 8</w:t>
            </w:r>
          </w:p>
        </w:tc>
        <w:tc>
          <w:tcPr>
            <w:tcW w:w="4818" w:type="dxa"/>
          </w:tcPr>
          <w:p w14:paraId="3255E0B0" w14:textId="647B3309" w:rsidR="006126F0" w:rsidRPr="00286216" w:rsidRDefault="006126F0" w:rsidP="00BE6CC8">
            <w:pPr>
              <w:pStyle w:val="StyleZakonu"/>
              <w:rPr>
                <w:color w:val="000000" w:themeColor="text1"/>
              </w:rPr>
            </w:pPr>
            <w:r w:rsidRPr="00286216">
              <w:rPr>
                <w:color w:val="000000" w:themeColor="text1"/>
              </w:rPr>
              <w:t xml:space="preserve">44) погашення емісійних цінних паперів – сукупність дій емітента та власників цінних паперів, що здійснюються у встановленому Національною комісією з цінних паперів та фондового ринку порядку та пов’язані з виконанням емітентом зобов’язань за емісійними цінними паперами </w:t>
            </w:r>
            <w:r w:rsidR="00BE6CC8" w:rsidRPr="00286216">
              <w:rPr>
                <w:color w:val="000000" w:themeColor="text1"/>
              </w:rPr>
              <w:t>у в</w:t>
            </w:r>
            <w:r w:rsidRPr="00286216">
              <w:rPr>
                <w:color w:val="000000" w:themeColor="text1"/>
              </w:rPr>
              <w:t>становлених законом випадках;</w:t>
            </w:r>
          </w:p>
        </w:tc>
      </w:tr>
      <w:tr w:rsidR="00F77E8D" w:rsidRPr="00286216" w14:paraId="0FEF4458" w14:textId="77777777" w:rsidTr="00091AA5">
        <w:tc>
          <w:tcPr>
            <w:tcW w:w="576" w:type="dxa"/>
          </w:tcPr>
          <w:p w14:paraId="5576C6EE" w14:textId="77777777" w:rsidR="006126F0" w:rsidRPr="00286216" w:rsidRDefault="006126F0" w:rsidP="006126F0">
            <w:pPr>
              <w:pStyle w:val="StyleWisnow"/>
              <w:rPr>
                <w:color w:val="000000" w:themeColor="text1"/>
              </w:rPr>
            </w:pPr>
            <w:bookmarkStart w:id="83" w:name="n79" w:colFirst="0" w:colLast="0"/>
            <w:bookmarkEnd w:id="82"/>
            <w:r w:rsidRPr="00286216">
              <w:rPr>
                <w:color w:val="000000" w:themeColor="text1"/>
              </w:rPr>
              <w:lastRenderedPageBreak/>
              <w:t>79.</w:t>
            </w:r>
          </w:p>
        </w:tc>
        <w:tc>
          <w:tcPr>
            <w:tcW w:w="4818" w:type="dxa"/>
          </w:tcPr>
          <w:p w14:paraId="48BA88EE" w14:textId="77777777" w:rsidR="006126F0" w:rsidRPr="00286216" w:rsidRDefault="006126F0" w:rsidP="006126F0">
            <w:pPr>
              <w:pStyle w:val="StyleZakonu"/>
              <w:rPr>
                <w:color w:val="000000" w:themeColor="text1"/>
              </w:rPr>
            </w:pPr>
            <w:r w:rsidRPr="00286216">
              <w:rPr>
                <w:color w:val="000000" w:themeColor="text1"/>
              </w:rPr>
              <w:t>48) посадові особи професійного учасника ринків капіталу та організованих товарних ринків - фізичні особи - голова та члени наглядової ради, голова та члени колегіального виконавчого органу (голова одноосібного виконавчого органу і його заступники), корпоративний секретар, головний бухгалтер, голова та члени інших органів професійного учасника ринків капіталу та організованих товарних ринків, утворення та компетенція яких передбачено його статутом;</w:t>
            </w:r>
          </w:p>
        </w:tc>
        <w:tc>
          <w:tcPr>
            <w:tcW w:w="3686" w:type="dxa"/>
          </w:tcPr>
          <w:p w14:paraId="3723DE97" w14:textId="5D18759F"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61F0F4F" w14:textId="77777777" w:rsidR="006126F0" w:rsidRPr="00286216" w:rsidRDefault="006126F0" w:rsidP="006126F0">
            <w:pPr>
              <w:pStyle w:val="StyleProp"/>
              <w:rPr>
                <w:color w:val="000000" w:themeColor="text1"/>
                <w:szCs w:val="18"/>
              </w:rPr>
            </w:pPr>
            <w:r w:rsidRPr="00286216">
              <w:rPr>
                <w:color w:val="000000" w:themeColor="text1"/>
                <w:szCs w:val="18"/>
              </w:rPr>
              <w:t>У пункті 48 частини першої статті 2 слова «голова одноосібного виконавчого органу і його заступники» замінити словами «особа, яка здійснює повноваження одноосібного виконавчого органу і її заступники».</w:t>
            </w:r>
          </w:p>
        </w:tc>
        <w:tc>
          <w:tcPr>
            <w:tcW w:w="1987" w:type="dxa"/>
          </w:tcPr>
          <w:p w14:paraId="209B3C57"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p w14:paraId="7E66AC25" w14:textId="77777777" w:rsidR="006126F0" w:rsidRPr="00286216" w:rsidRDefault="006126F0" w:rsidP="006126F0">
            <w:pPr>
              <w:pStyle w:val="StyleWisnow"/>
              <w:rPr>
                <w:color w:val="000000" w:themeColor="text1"/>
              </w:rPr>
            </w:pPr>
          </w:p>
        </w:tc>
        <w:tc>
          <w:tcPr>
            <w:tcW w:w="4818" w:type="dxa"/>
          </w:tcPr>
          <w:p w14:paraId="43E6FFC7" w14:textId="6561D53B" w:rsidR="006126F0" w:rsidRPr="00286216" w:rsidRDefault="006126F0" w:rsidP="00BE6CC8">
            <w:pPr>
              <w:pStyle w:val="StyleZakonu"/>
              <w:rPr>
                <w:color w:val="000000" w:themeColor="text1"/>
              </w:rPr>
            </w:pPr>
            <w:r w:rsidRPr="00286216">
              <w:rPr>
                <w:color w:val="000000" w:themeColor="text1"/>
              </w:rPr>
              <w:t>45) посадові особи професійного учасника ринків капіталу та організованих товарних ринків – фізичні особи - голова та члени наглядової ради або іншого органу, відповідального за здійснення нагляду, голова та члени колегіального виконавчого органу (особа, яка здійснює повноваження одноосібного виконавчого органу, та її заступники), корпоративний секретар, головний бухгалтер, голова та члени інших органів професійного учасника ринків капіталу та організованих товарних ринків, утворення та компетенція яких передбачен</w:t>
            </w:r>
            <w:r w:rsidR="00BE6CC8" w:rsidRPr="00286216">
              <w:rPr>
                <w:color w:val="000000" w:themeColor="text1"/>
              </w:rPr>
              <w:t>і</w:t>
            </w:r>
            <w:r w:rsidRPr="00286216">
              <w:rPr>
                <w:color w:val="000000" w:themeColor="text1"/>
              </w:rPr>
              <w:t xml:space="preserve"> його статутом;</w:t>
            </w:r>
          </w:p>
        </w:tc>
      </w:tr>
      <w:tr w:rsidR="00F77E8D" w:rsidRPr="00286216" w14:paraId="4AE0F5EB" w14:textId="77777777" w:rsidTr="00091AA5">
        <w:tc>
          <w:tcPr>
            <w:tcW w:w="576" w:type="dxa"/>
          </w:tcPr>
          <w:p w14:paraId="691DAFA5" w14:textId="77777777" w:rsidR="006126F0" w:rsidRPr="00286216" w:rsidRDefault="006126F0" w:rsidP="006126F0">
            <w:pPr>
              <w:pStyle w:val="StyleWisnow"/>
              <w:rPr>
                <w:color w:val="000000" w:themeColor="text1"/>
              </w:rPr>
            </w:pPr>
            <w:bookmarkStart w:id="84" w:name="n80" w:colFirst="0" w:colLast="0"/>
            <w:bookmarkEnd w:id="83"/>
            <w:r w:rsidRPr="00286216">
              <w:rPr>
                <w:color w:val="000000" w:themeColor="text1"/>
              </w:rPr>
              <w:t>80.</w:t>
            </w:r>
          </w:p>
        </w:tc>
        <w:tc>
          <w:tcPr>
            <w:tcW w:w="4818" w:type="dxa"/>
          </w:tcPr>
          <w:p w14:paraId="32E83851" w14:textId="77777777" w:rsidR="006126F0" w:rsidRPr="00286216" w:rsidRDefault="006126F0" w:rsidP="006126F0">
            <w:pPr>
              <w:pStyle w:val="StyleZakonu"/>
              <w:rPr>
                <w:color w:val="000000" w:themeColor="text1"/>
              </w:rPr>
            </w:pPr>
            <w:r w:rsidRPr="00286216">
              <w:rPr>
                <w:color w:val="000000" w:themeColor="text1"/>
              </w:rPr>
              <w:t>49) посадові особи емітента - фізичні особи - голова та члени наглядової ради, виконавчого органу, ревізійної комісії, ревізор емітента, а також голова та члени іншого органу емітента, якщо утворення такого органу передбачено статутом товариства, а для емітента - юридичної особи публічного права - керівник та заступники керівника такої юридичної особи;</w:t>
            </w:r>
          </w:p>
        </w:tc>
        <w:tc>
          <w:tcPr>
            <w:tcW w:w="3686" w:type="dxa"/>
          </w:tcPr>
          <w:p w14:paraId="11C53A12" w14:textId="5B96F1A8"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6517252" w14:textId="77777777" w:rsidR="006126F0" w:rsidRPr="00286216" w:rsidRDefault="006126F0" w:rsidP="006126F0">
            <w:pPr>
              <w:pStyle w:val="StyleProp"/>
              <w:rPr>
                <w:color w:val="000000" w:themeColor="text1"/>
                <w:szCs w:val="18"/>
              </w:rPr>
            </w:pPr>
            <w:r w:rsidRPr="00286216">
              <w:rPr>
                <w:color w:val="000000" w:themeColor="text1"/>
                <w:szCs w:val="18"/>
              </w:rPr>
              <w:t>У пункті 49 частини першої статті 2 слова «, ревізійної комісії, ревізор» виключити.</w:t>
            </w:r>
          </w:p>
        </w:tc>
        <w:tc>
          <w:tcPr>
            <w:tcW w:w="1987" w:type="dxa"/>
          </w:tcPr>
          <w:p w14:paraId="0D9B8CF5"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p w14:paraId="237B4C53" w14:textId="77777777" w:rsidR="006126F0" w:rsidRPr="00286216" w:rsidRDefault="006126F0" w:rsidP="006126F0">
            <w:pPr>
              <w:pStyle w:val="StyleWisnow"/>
              <w:rPr>
                <w:color w:val="000000" w:themeColor="text1"/>
              </w:rPr>
            </w:pPr>
          </w:p>
        </w:tc>
        <w:tc>
          <w:tcPr>
            <w:tcW w:w="4818" w:type="dxa"/>
          </w:tcPr>
          <w:p w14:paraId="4C2BE445" w14:textId="66D6FBCE" w:rsidR="006126F0" w:rsidRPr="00286216" w:rsidRDefault="006126F0" w:rsidP="006126F0">
            <w:pPr>
              <w:pStyle w:val="StyleZakonu"/>
              <w:rPr>
                <w:color w:val="000000" w:themeColor="text1"/>
              </w:rPr>
            </w:pPr>
            <w:r w:rsidRPr="00286216">
              <w:rPr>
                <w:color w:val="000000" w:themeColor="text1"/>
              </w:rPr>
              <w:t>46) посадові особи емітента – фізичні особи – голова та члени наглядової ради або іншого органу, відповідального за здійснення нагляду, голова та члени колегіального виконавчого органу (особа, яка здійснює повноваження одноосібного виконавчого органу, та її заступники), голова та члени іншого органу емітента, якщо утворення такого органу передбачено статутом товариства, а для емітента - юридичної особи публічного права – керівник та заступники керівника такої юридичної особи;</w:t>
            </w:r>
          </w:p>
        </w:tc>
      </w:tr>
      <w:bookmarkEnd w:id="84"/>
      <w:tr w:rsidR="00F77E8D" w:rsidRPr="00286216" w14:paraId="1759CCDC" w14:textId="77777777" w:rsidTr="00091AA5">
        <w:tc>
          <w:tcPr>
            <w:tcW w:w="576" w:type="dxa"/>
          </w:tcPr>
          <w:p w14:paraId="334723D2" w14:textId="77777777" w:rsidR="006126F0" w:rsidRPr="00286216" w:rsidRDefault="006126F0" w:rsidP="006126F0">
            <w:pPr>
              <w:pStyle w:val="StyleWisnow"/>
              <w:rPr>
                <w:color w:val="000000" w:themeColor="text1"/>
              </w:rPr>
            </w:pPr>
          </w:p>
        </w:tc>
        <w:tc>
          <w:tcPr>
            <w:tcW w:w="4818" w:type="dxa"/>
          </w:tcPr>
          <w:p w14:paraId="4B35F4E6" w14:textId="77777777" w:rsidR="006126F0" w:rsidRPr="00286216" w:rsidRDefault="006126F0" w:rsidP="006126F0">
            <w:pPr>
              <w:pStyle w:val="StyleZakonu"/>
              <w:rPr>
                <w:color w:val="000000" w:themeColor="text1"/>
              </w:rPr>
            </w:pPr>
          </w:p>
        </w:tc>
        <w:tc>
          <w:tcPr>
            <w:tcW w:w="3686" w:type="dxa"/>
          </w:tcPr>
          <w:p w14:paraId="7000EB93" w14:textId="3CD1812E" w:rsidR="006126F0" w:rsidRPr="00286216" w:rsidRDefault="006126F0" w:rsidP="006126F0">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111</w:t>
            </w:r>
            <w:r w:rsidRPr="00286216">
              <w:rPr>
                <w:color w:val="000000" w:themeColor="text1"/>
                <w:spacing w:val="-4"/>
              </w:rPr>
              <w:fldChar w:fldCharType="end"/>
            </w:r>
            <w:r w:rsidRPr="00286216">
              <w:rPr>
                <w:color w:val="000000" w:themeColor="text1"/>
                <w:spacing w:val="-4"/>
              </w:rPr>
              <w:t>-Н.д.Бєлькова О.В. (Реєстр.картка №403)</w:t>
            </w:r>
          </w:p>
          <w:p w14:paraId="6E5A664D" w14:textId="77777777" w:rsidR="006126F0" w:rsidRPr="00286216" w:rsidRDefault="006126F0" w:rsidP="00F562FA">
            <w:pPr>
              <w:pStyle w:val="StyleProp"/>
              <w:spacing w:line="180" w:lineRule="exact"/>
              <w:rPr>
                <w:color w:val="000000" w:themeColor="text1"/>
              </w:rPr>
            </w:pPr>
            <w:r w:rsidRPr="00286216">
              <w:rPr>
                <w:color w:val="000000" w:themeColor="text1"/>
              </w:rPr>
              <w:t>Доповнити частину першу статті 2 новим пунктом такого змісту:</w:t>
            </w:r>
          </w:p>
          <w:p w14:paraId="1D139A93" w14:textId="72EA9D58" w:rsidR="006126F0" w:rsidRPr="00286216" w:rsidRDefault="006126F0" w:rsidP="00F562FA">
            <w:pPr>
              <w:pStyle w:val="StyleProp"/>
              <w:spacing w:line="180" w:lineRule="exact"/>
              <w:rPr>
                <w:color w:val="000000" w:themeColor="text1"/>
              </w:rPr>
            </w:pPr>
            <w:r w:rsidRPr="00286216">
              <w:rPr>
                <w:color w:val="000000" w:themeColor="text1"/>
              </w:rPr>
              <w:t>«правочин щодо фінансових інструментів – платний або безоплатний договір, предметом якого є набуття та/або припинення права власності на інструменти грошового ринку, прав на цінні папери та прав за цінними паперами».</w:t>
            </w:r>
          </w:p>
        </w:tc>
        <w:tc>
          <w:tcPr>
            <w:tcW w:w="1987" w:type="dxa"/>
          </w:tcPr>
          <w:p w14:paraId="141DC3F6" w14:textId="7777777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54F35D94" w14:textId="5F2F203A" w:rsidR="006126F0" w:rsidRPr="00286216" w:rsidRDefault="006126F0" w:rsidP="006126F0">
            <w:pPr>
              <w:pStyle w:val="StyleZakonu"/>
              <w:rPr>
                <w:color w:val="000000" w:themeColor="text1"/>
              </w:rPr>
            </w:pPr>
            <w:r w:rsidRPr="00286216">
              <w:rPr>
                <w:color w:val="000000" w:themeColor="text1"/>
              </w:rPr>
              <w:t>47) правочин щодо фінансових інструментів – платний або безоплатний договір, предметом якого є набуття та/або припинення права власності на інструменти грошового ринку, прав на цінні папери та прав за цінними паперами;</w:t>
            </w:r>
          </w:p>
        </w:tc>
      </w:tr>
      <w:tr w:rsidR="00F77E8D" w:rsidRPr="00286216" w14:paraId="4ADC1FF0" w14:textId="77777777" w:rsidTr="00091AA5">
        <w:tc>
          <w:tcPr>
            <w:tcW w:w="576" w:type="dxa"/>
          </w:tcPr>
          <w:p w14:paraId="6B14E272" w14:textId="77777777" w:rsidR="006126F0" w:rsidRPr="00286216" w:rsidRDefault="006126F0" w:rsidP="006126F0">
            <w:pPr>
              <w:pStyle w:val="StyleWisnow"/>
              <w:rPr>
                <w:color w:val="000000" w:themeColor="text1"/>
              </w:rPr>
            </w:pPr>
            <w:bookmarkStart w:id="85" w:name="n81" w:colFirst="0" w:colLast="0"/>
            <w:r w:rsidRPr="00286216">
              <w:rPr>
                <w:color w:val="000000" w:themeColor="text1"/>
              </w:rPr>
              <w:t>81.</w:t>
            </w:r>
          </w:p>
        </w:tc>
        <w:tc>
          <w:tcPr>
            <w:tcW w:w="4818" w:type="dxa"/>
          </w:tcPr>
          <w:p w14:paraId="1B40170B" w14:textId="77777777" w:rsidR="006126F0" w:rsidRPr="00286216" w:rsidRDefault="006126F0" w:rsidP="006126F0">
            <w:pPr>
              <w:pStyle w:val="StyleZakonu"/>
              <w:rPr>
                <w:color w:val="000000" w:themeColor="text1"/>
              </w:rPr>
            </w:pPr>
            <w:r w:rsidRPr="00286216">
              <w:rPr>
                <w:color w:val="000000" w:themeColor="text1"/>
              </w:rPr>
              <w:t>50) проспект цінних паперів (далі - проспект) -документ, який оформлюється при здійсненні публічної пропозиції цінних паперів та містить інформацію відповідно до вимог, визначених законом;</w:t>
            </w:r>
          </w:p>
        </w:tc>
        <w:tc>
          <w:tcPr>
            <w:tcW w:w="3686" w:type="dxa"/>
          </w:tcPr>
          <w:p w14:paraId="04C0BC91" w14:textId="77777777" w:rsidR="006126F0" w:rsidRPr="00286216" w:rsidRDefault="006126F0" w:rsidP="006126F0">
            <w:pPr>
              <w:pStyle w:val="StyleProp"/>
              <w:rPr>
                <w:color w:val="000000" w:themeColor="text1"/>
                <w:szCs w:val="18"/>
              </w:rPr>
            </w:pPr>
          </w:p>
        </w:tc>
        <w:tc>
          <w:tcPr>
            <w:tcW w:w="1987" w:type="dxa"/>
          </w:tcPr>
          <w:p w14:paraId="710EC9A9" w14:textId="77777777" w:rsidR="006126F0" w:rsidRPr="00286216" w:rsidRDefault="006126F0" w:rsidP="006126F0">
            <w:pPr>
              <w:pStyle w:val="StyleWisnow"/>
              <w:rPr>
                <w:color w:val="000000" w:themeColor="text1"/>
              </w:rPr>
            </w:pPr>
          </w:p>
        </w:tc>
        <w:tc>
          <w:tcPr>
            <w:tcW w:w="4818" w:type="dxa"/>
          </w:tcPr>
          <w:p w14:paraId="5F5B4111" w14:textId="4E686669" w:rsidR="006126F0" w:rsidRPr="00286216" w:rsidRDefault="006126F0" w:rsidP="006126F0">
            <w:pPr>
              <w:pStyle w:val="StyleZakonu"/>
              <w:rPr>
                <w:color w:val="000000" w:themeColor="text1"/>
              </w:rPr>
            </w:pPr>
            <w:r w:rsidRPr="00286216">
              <w:rPr>
                <w:color w:val="000000" w:themeColor="text1"/>
              </w:rPr>
              <w:t>48) проспект цінних паперів (далі - проспект) –документ, який оформлюється при здійсненні публічної пропозиції цінних паперів та містить інформацію відповідно до вимог, визначених законом;</w:t>
            </w:r>
          </w:p>
        </w:tc>
      </w:tr>
      <w:tr w:rsidR="00F77E8D" w:rsidRPr="00286216" w14:paraId="31D0CACF" w14:textId="77777777" w:rsidTr="00091AA5">
        <w:tc>
          <w:tcPr>
            <w:tcW w:w="576" w:type="dxa"/>
          </w:tcPr>
          <w:p w14:paraId="79C21034" w14:textId="77777777" w:rsidR="006126F0" w:rsidRPr="00286216" w:rsidRDefault="006126F0" w:rsidP="006126F0">
            <w:pPr>
              <w:pStyle w:val="StyleWisnow"/>
              <w:rPr>
                <w:color w:val="000000" w:themeColor="text1"/>
              </w:rPr>
            </w:pPr>
            <w:bookmarkStart w:id="86" w:name="n82" w:colFirst="0" w:colLast="0"/>
            <w:bookmarkEnd w:id="85"/>
            <w:r w:rsidRPr="00286216">
              <w:rPr>
                <w:color w:val="000000" w:themeColor="text1"/>
              </w:rPr>
              <w:t>82.</w:t>
            </w:r>
          </w:p>
        </w:tc>
        <w:tc>
          <w:tcPr>
            <w:tcW w:w="4818" w:type="dxa"/>
          </w:tcPr>
          <w:p w14:paraId="24F488D0" w14:textId="77777777" w:rsidR="006126F0" w:rsidRPr="00286216" w:rsidRDefault="006126F0" w:rsidP="006126F0">
            <w:pPr>
              <w:pStyle w:val="StyleZakonu"/>
              <w:rPr>
                <w:color w:val="000000" w:themeColor="text1"/>
              </w:rPr>
            </w:pPr>
            <w:r w:rsidRPr="00286216">
              <w:rPr>
                <w:color w:val="000000" w:themeColor="text1"/>
              </w:rPr>
              <w:t xml:space="preserve">51) пруденційні нормативи - кількісні та якісні показники, встановлені Національною комісією з </w:t>
            </w:r>
            <w:r w:rsidRPr="00286216">
              <w:rPr>
                <w:color w:val="000000" w:themeColor="text1"/>
              </w:rPr>
              <w:lastRenderedPageBreak/>
              <w:t>цінних паперів та фондового ринку з метою виявлення потенційних ризиків у діяльності професійних учасників ринків капіталу та фінансових інструментів в та своєчасного реагування на можливі негативні наслідки в діяльності таких осіб та які є обов’язковими для дотримання професійними учасниками ринків капіталу та організованих товарних ринків;</w:t>
            </w:r>
          </w:p>
        </w:tc>
        <w:tc>
          <w:tcPr>
            <w:tcW w:w="3686" w:type="dxa"/>
          </w:tcPr>
          <w:p w14:paraId="54315905" w14:textId="087A21B6" w:rsidR="006126F0" w:rsidRPr="00286216" w:rsidRDefault="006126F0" w:rsidP="006126F0">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430FD45" w14:textId="77777777" w:rsidR="006126F0" w:rsidRPr="00286216" w:rsidRDefault="006126F0" w:rsidP="006126F0">
            <w:pPr>
              <w:pStyle w:val="StyleProp"/>
              <w:spacing w:line="190" w:lineRule="exact"/>
              <w:rPr>
                <w:rFonts w:eastAsia="Calibri"/>
                <w:color w:val="000000" w:themeColor="text1"/>
                <w:szCs w:val="18"/>
              </w:rPr>
            </w:pPr>
            <w:r w:rsidRPr="00286216">
              <w:rPr>
                <w:rFonts w:eastAsia="Calibri"/>
                <w:color w:val="000000" w:themeColor="text1"/>
                <w:szCs w:val="18"/>
              </w:rPr>
              <w:t>Пункт 51 частини першої статті 2 викласти в такій редакції:</w:t>
            </w:r>
          </w:p>
          <w:p w14:paraId="6670FB7C" w14:textId="77777777" w:rsidR="006126F0" w:rsidRPr="00286216" w:rsidRDefault="006126F0" w:rsidP="006126F0">
            <w:pPr>
              <w:pStyle w:val="StyleProp"/>
              <w:spacing w:line="190" w:lineRule="exact"/>
              <w:rPr>
                <w:rFonts w:eastAsia="Calibri"/>
                <w:color w:val="000000" w:themeColor="text1"/>
                <w:szCs w:val="18"/>
              </w:rPr>
            </w:pPr>
            <w:r w:rsidRPr="00286216">
              <w:rPr>
                <w:rFonts w:eastAsia="Calibri"/>
                <w:color w:val="000000" w:themeColor="text1"/>
                <w:szCs w:val="18"/>
              </w:rPr>
              <w:lastRenderedPageBreak/>
              <w:t>«51) пруденційні нормативи – кількісні та якісні показники, встановлені Національною комісією з цінних паперів та фондового ринку, з метою вимірювання та оцінки ризиків у діяльності професійних учасників ринків капіталу та організованих товарних ринків, запобігання або мінімізації негативного впливу зазначених ризиків на діяльність таких професійних учасників та які є обов’язковими для дотримання професійними учасниками ринків капіталу та організованих товарних ринків».</w:t>
            </w:r>
          </w:p>
        </w:tc>
        <w:tc>
          <w:tcPr>
            <w:tcW w:w="1987" w:type="dxa"/>
          </w:tcPr>
          <w:p w14:paraId="176C9F76" w14:textId="77777777" w:rsidR="006126F0" w:rsidRPr="00286216" w:rsidRDefault="006126F0" w:rsidP="006126F0">
            <w:pPr>
              <w:pStyle w:val="StyleWisnow"/>
              <w:rPr>
                <w:color w:val="000000" w:themeColor="text1"/>
              </w:rPr>
            </w:pPr>
            <w:r w:rsidRPr="00286216">
              <w:rPr>
                <w:color w:val="000000" w:themeColor="text1"/>
              </w:rPr>
              <w:lastRenderedPageBreak/>
              <w:t>Враховано</w:t>
            </w:r>
          </w:p>
        </w:tc>
        <w:tc>
          <w:tcPr>
            <w:tcW w:w="4818" w:type="dxa"/>
          </w:tcPr>
          <w:p w14:paraId="3D2E3C6C" w14:textId="12F3F3BC" w:rsidR="006126F0" w:rsidRPr="00286216" w:rsidRDefault="006126F0" w:rsidP="006126F0">
            <w:pPr>
              <w:pStyle w:val="StyleZakonu"/>
              <w:rPr>
                <w:color w:val="000000" w:themeColor="text1"/>
              </w:rPr>
            </w:pPr>
            <w:r w:rsidRPr="00286216">
              <w:rPr>
                <w:rFonts w:eastAsia="Calibri"/>
                <w:color w:val="000000" w:themeColor="text1"/>
                <w:szCs w:val="18"/>
              </w:rPr>
              <w:t xml:space="preserve">49) пруденційні нормативи – кількісні та якісні показники, встановлені Національною комісією з </w:t>
            </w:r>
            <w:r w:rsidRPr="00286216">
              <w:rPr>
                <w:rFonts w:eastAsia="Calibri"/>
                <w:color w:val="000000" w:themeColor="text1"/>
                <w:szCs w:val="18"/>
              </w:rPr>
              <w:lastRenderedPageBreak/>
              <w:t>цінних паперів та фондового ринку з метою вимірювання та оцінювання ризиків у діяльності професійних учасників ринків капіталу та організованих товарних ринків, запобігання або мінімізації негативного впливу зазначених ризиків на діяльність таких професійних учасників, що є обов’язковими для дотримання професійними учасниками ринків капіталу та організованих товарних ринків;</w:t>
            </w:r>
          </w:p>
        </w:tc>
      </w:tr>
      <w:bookmarkEnd w:id="86"/>
      <w:tr w:rsidR="00F77E8D" w:rsidRPr="00286216" w14:paraId="4E3B4AB4" w14:textId="77777777" w:rsidTr="00091AA5">
        <w:tc>
          <w:tcPr>
            <w:tcW w:w="576" w:type="dxa"/>
          </w:tcPr>
          <w:p w14:paraId="32013D4B" w14:textId="77777777" w:rsidR="006126F0" w:rsidRPr="00286216" w:rsidRDefault="006126F0" w:rsidP="006126F0">
            <w:pPr>
              <w:pStyle w:val="StyleWisnow"/>
              <w:rPr>
                <w:color w:val="000000" w:themeColor="text1"/>
              </w:rPr>
            </w:pPr>
          </w:p>
        </w:tc>
        <w:tc>
          <w:tcPr>
            <w:tcW w:w="4818" w:type="dxa"/>
          </w:tcPr>
          <w:p w14:paraId="749934C5" w14:textId="77777777" w:rsidR="006126F0" w:rsidRPr="00286216" w:rsidRDefault="006126F0" w:rsidP="006126F0">
            <w:pPr>
              <w:pStyle w:val="StyleZakonu"/>
              <w:rPr>
                <w:color w:val="000000" w:themeColor="text1"/>
              </w:rPr>
            </w:pPr>
          </w:p>
        </w:tc>
        <w:tc>
          <w:tcPr>
            <w:tcW w:w="3686" w:type="dxa"/>
          </w:tcPr>
          <w:p w14:paraId="348A5131" w14:textId="14E22306"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113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959A6BC" w14:textId="77777777" w:rsidR="006126F0" w:rsidRPr="00286216" w:rsidRDefault="006126F0" w:rsidP="006126F0">
            <w:pPr>
              <w:pStyle w:val="StyleProp"/>
              <w:spacing w:line="180" w:lineRule="exact"/>
              <w:rPr>
                <w:rFonts w:eastAsia="Calibri"/>
                <w:i/>
                <w:color w:val="000000" w:themeColor="text1"/>
                <w:szCs w:val="18"/>
              </w:rPr>
            </w:pPr>
            <w:r w:rsidRPr="00286216">
              <w:rPr>
                <w:rFonts w:eastAsia="Calibri"/>
                <w:color w:val="000000" w:themeColor="text1"/>
                <w:szCs w:val="18"/>
              </w:rPr>
              <w:t>У пункті 51 частини 1 статті 2 після слів «з метою» додати слова «раннього попередження проблем, заохочення до проведення регулярної оцінки достатності власного капіталу та», виключити слова «в та своєчасного реагування на можливі негативні наслідки в діяльності таких осіб», після слів «та фінансових інструментів» додати слова «(крім банків)».</w:t>
            </w:r>
          </w:p>
        </w:tc>
        <w:tc>
          <w:tcPr>
            <w:tcW w:w="1987" w:type="dxa"/>
          </w:tcPr>
          <w:p w14:paraId="3F5E3D48" w14:textId="77777777" w:rsidR="006126F0" w:rsidRPr="00286216" w:rsidRDefault="006126F0" w:rsidP="006126F0">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1D61DBD5" w14:textId="77777777" w:rsidR="006126F0" w:rsidRPr="00286216" w:rsidRDefault="006126F0" w:rsidP="006126F0">
            <w:pPr>
              <w:pStyle w:val="StyleZakonu"/>
              <w:rPr>
                <w:color w:val="000000" w:themeColor="text1"/>
              </w:rPr>
            </w:pPr>
          </w:p>
        </w:tc>
      </w:tr>
      <w:tr w:rsidR="00F77E8D" w:rsidRPr="00286216" w14:paraId="08DCE2FD" w14:textId="77777777" w:rsidTr="00091AA5">
        <w:tc>
          <w:tcPr>
            <w:tcW w:w="576" w:type="dxa"/>
          </w:tcPr>
          <w:p w14:paraId="53ADAA70" w14:textId="77777777" w:rsidR="006126F0" w:rsidRPr="00286216" w:rsidRDefault="006126F0" w:rsidP="006126F0">
            <w:pPr>
              <w:pStyle w:val="StyleWisnow"/>
              <w:rPr>
                <w:color w:val="000000" w:themeColor="text1"/>
              </w:rPr>
            </w:pPr>
            <w:bookmarkStart w:id="87" w:name="n83" w:colFirst="0" w:colLast="0"/>
            <w:r w:rsidRPr="00286216">
              <w:rPr>
                <w:color w:val="000000" w:themeColor="text1"/>
              </w:rPr>
              <w:t>83.</w:t>
            </w:r>
          </w:p>
        </w:tc>
        <w:tc>
          <w:tcPr>
            <w:tcW w:w="4818" w:type="dxa"/>
          </w:tcPr>
          <w:p w14:paraId="48707CBA" w14:textId="77777777" w:rsidR="006126F0" w:rsidRPr="00286216" w:rsidRDefault="006126F0" w:rsidP="006126F0">
            <w:pPr>
              <w:pStyle w:val="StyleZakonu"/>
              <w:rPr>
                <w:color w:val="000000" w:themeColor="text1"/>
              </w:rPr>
            </w:pPr>
            <w:r w:rsidRPr="00286216">
              <w:rPr>
                <w:color w:val="000000" w:themeColor="text1"/>
              </w:rPr>
              <w:t>52) регульована інформація на фондовому ринку (далі - регульована інформація) - це регулярна та особлива інформація про емітента, інсайдерська інформація, інформація про власників голосуючих акцій понад порогові значення пакетів акцій, інша інформація, яка підлягає розміщенню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1E6DD6F2" w14:textId="68E0BDD5"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114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18F0083" w14:textId="6057A4DC" w:rsidR="009043E0" w:rsidRPr="00286216" w:rsidRDefault="009043E0" w:rsidP="006126F0">
            <w:pPr>
              <w:pStyle w:val="StyleProp"/>
              <w:spacing w:line="180" w:lineRule="exact"/>
              <w:rPr>
                <w:color w:val="000000" w:themeColor="text1"/>
                <w:szCs w:val="18"/>
              </w:rPr>
            </w:pPr>
            <w:r w:rsidRPr="00286216">
              <w:rPr>
                <w:color w:val="000000" w:themeColor="text1"/>
                <w:szCs w:val="18"/>
              </w:rPr>
              <w:t xml:space="preserve">Текст п. 52 </w:t>
            </w:r>
            <w:r w:rsidR="006126F0" w:rsidRPr="00286216">
              <w:rPr>
                <w:color w:val="000000" w:themeColor="text1"/>
                <w:szCs w:val="18"/>
              </w:rPr>
              <w:t xml:space="preserve">статті 2 </w:t>
            </w:r>
            <w:r w:rsidRPr="00286216">
              <w:rPr>
                <w:color w:val="000000" w:themeColor="text1"/>
                <w:szCs w:val="18"/>
              </w:rPr>
              <w:t>викласти у редакції:</w:t>
            </w:r>
          </w:p>
          <w:p w14:paraId="76DBC08D" w14:textId="4A039682" w:rsidR="006126F0" w:rsidRPr="00286216" w:rsidRDefault="009043E0" w:rsidP="006126F0">
            <w:pPr>
              <w:pStyle w:val="StyleProp"/>
              <w:spacing w:line="180" w:lineRule="exact"/>
              <w:rPr>
                <w:color w:val="000000" w:themeColor="text1"/>
                <w:spacing w:val="-3"/>
              </w:rPr>
            </w:pPr>
            <w:r w:rsidRPr="00286216">
              <w:rPr>
                <w:color w:val="000000" w:themeColor="text1"/>
                <w:spacing w:val="-3"/>
                <w:szCs w:val="18"/>
              </w:rPr>
              <w:t xml:space="preserve">"регульована інформація на ринках капіталу та організованих товарних ринках (далі – регульована інформація) – регулярна та </w:t>
            </w:r>
            <w:r w:rsidRPr="00286216">
              <w:rPr>
                <w:color w:val="000000" w:themeColor="text1"/>
                <w:spacing w:val="-5"/>
                <w:szCs w:val="18"/>
              </w:rPr>
              <w:t>особлива інформація про емітента, інсайдерська інформація, інформація про власників голосуючих акцій понад порогові значення пакетів акцій, інша інформація, що підлягає розміщенню в базі даних особи, яка провадить діяльність з оприлюднення</w:t>
            </w:r>
            <w:r w:rsidRPr="00286216">
              <w:rPr>
                <w:color w:val="000000" w:themeColor="text1"/>
                <w:spacing w:val="-3"/>
                <w:szCs w:val="18"/>
              </w:rPr>
              <w:t xml:space="preserve"> регульованої інформації від імені учасників ринків капіталу та професійних учасників організованих товарних ринків, а також розкривається відповідно до вимог цього Закону"</w:t>
            </w:r>
            <w:r w:rsidR="006126F0" w:rsidRPr="00286216">
              <w:rPr>
                <w:color w:val="000000" w:themeColor="text1"/>
                <w:spacing w:val="-3"/>
                <w:szCs w:val="18"/>
              </w:rPr>
              <w:t>.</w:t>
            </w:r>
          </w:p>
          <w:p w14:paraId="6776DBBA" w14:textId="69C76728"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5D86E2C"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У пункті 52 частини першої статті 2 слова «інсайдерська інформація» виключити, а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6B0774A2" w14:textId="77777777" w:rsidR="006126F0" w:rsidRPr="00286216" w:rsidRDefault="006126F0" w:rsidP="006126F0">
            <w:pPr>
              <w:pStyle w:val="StyleWisnow"/>
              <w:rPr>
                <w:color w:val="000000" w:themeColor="text1"/>
              </w:rPr>
            </w:pPr>
            <w:r w:rsidRPr="00286216">
              <w:rPr>
                <w:color w:val="000000" w:themeColor="text1"/>
              </w:rPr>
              <w:t>Враховано</w:t>
            </w:r>
          </w:p>
          <w:p w14:paraId="18126536" w14:textId="77777777" w:rsidR="006126F0" w:rsidRPr="00286216" w:rsidRDefault="006126F0" w:rsidP="006126F0">
            <w:pPr>
              <w:pStyle w:val="StyleWisnow"/>
              <w:rPr>
                <w:color w:val="000000" w:themeColor="text1"/>
              </w:rPr>
            </w:pPr>
          </w:p>
          <w:p w14:paraId="14C193EC" w14:textId="77777777" w:rsidR="006126F0" w:rsidRPr="00286216" w:rsidRDefault="006126F0" w:rsidP="006126F0">
            <w:pPr>
              <w:pStyle w:val="StyleWisnow"/>
              <w:rPr>
                <w:color w:val="000000" w:themeColor="text1"/>
              </w:rPr>
            </w:pPr>
          </w:p>
          <w:p w14:paraId="61548D43" w14:textId="77777777" w:rsidR="006126F0" w:rsidRPr="00286216" w:rsidRDefault="006126F0" w:rsidP="006126F0">
            <w:pPr>
              <w:pStyle w:val="StyleWisnow"/>
              <w:rPr>
                <w:color w:val="000000" w:themeColor="text1"/>
              </w:rPr>
            </w:pPr>
          </w:p>
          <w:p w14:paraId="03BC3CF4" w14:textId="77777777" w:rsidR="006126F0" w:rsidRPr="00286216" w:rsidRDefault="006126F0" w:rsidP="006126F0">
            <w:pPr>
              <w:pStyle w:val="StyleWisnow"/>
              <w:rPr>
                <w:color w:val="000000" w:themeColor="text1"/>
              </w:rPr>
            </w:pPr>
          </w:p>
          <w:p w14:paraId="677B088C" w14:textId="77777777" w:rsidR="006126F0" w:rsidRPr="00286216" w:rsidRDefault="006126F0" w:rsidP="006126F0">
            <w:pPr>
              <w:pStyle w:val="StyleWisnow"/>
              <w:rPr>
                <w:color w:val="000000" w:themeColor="text1"/>
              </w:rPr>
            </w:pPr>
          </w:p>
          <w:p w14:paraId="7603CDA1" w14:textId="77777777" w:rsidR="006126F0" w:rsidRPr="00286216" w:rsidRDefault="006126F0" w:rsidP="006126F0">
            <w:pPr>
              <w:pStyle w:val="StyleWisnow"/>
              <w:rPr>
                <w:color w:val="000000" w:themeColor="text1"/>
              </w:rPr>
            </w:pPr>
          </w:p>
          <w:p w14:paraId="0AF4937A" w14:textId="77777777" w:rsidR="006126F0" w:rsidRPr="00286216" w:rsidRDefault="006126F0" w:rsidP="006126F0">
            <w:pPr>
              <w:pStyle w:val="StyleWisnow"/>
              <w:rPr>
                <w:color w:val="000000" w:themeColor="text1"/>
              </w:rPr>
            </w:pPr>
          </w:p>
          <w:p w14:paraId="63CA57B4" w14:textId="77777777" w:rsidR="006126F0" w:rsidRPr="00286216" w:rsidRDefault="006126F0" w:rsidP="006126F0">
            <w:pPr>
              <w:pStyle w:val="StyleWisnow"/>
              <w:rPr>
                <w:color w:val="000000" w:themeColor="text1"/>
              </w:rPr>
            </w:pPr>
          </w:p>
          <w:p w14:paraId="649390EB" w14:textId="77777777" w:rsidR="006126F0" w:rsidRPr="00286216" w:rsidRDefault="006126F0" w:rsidP="006126F0">
            <w:pPr>
              <w:pStyle w:val="StyleWisnow"/>
              <w:rPr>
                <w:color w:val="000000" w:themeColor="text1"/>
              </w:rPr>
            </w:pPr>
          </w:p>
          <w:p w14:paraId="0C2B833B" w14:textId="77777777" w:rsidR="006126F0" w:rsidRPr="00286216" w:rsidRDefault="006126F0" w:rsidP="006126F0">
            <w:pPr>
              <w:pStyle w:val="StyleWisnow"/>
              <w:rPr>
                <w:color w:val="000000" w:themeColor="text1"/>
              </w:rPr>
            </w:pPr>
          </w:p>
          <w:p w14:paraId="7C562B92" w14:textId="77777777" w:rsidR="006126F0" w:rsidRPr="00286216" w:rsidRDefault="006126F0" w:rsidP="006126F0">
            <w:pPr>
              <w:pStyle w:val="StyleWisnow"/>
              <w:rPr>
                <w:color w:val="000000" w:themeColor="text1"/>
              </w:rPr>
            </w:pPr>
          </w:p>
          <w:p w14:paraId="3FB2DB90" w14:textId="77777777" w:rsidR="006276D5" w:rsidRPr="00286216" w:rsidRDefault="006276D5" w:rsidP="006126F0">
            <w:pPr>
              <w:pStyle w:val="StyleWisnow"/>
              <w:rPr>
                <w:color w:val="000000" w:themeColor="text1"/>
              </w:rPr>
            </w:pPr>
          </w:p>
          <w:p w14:paraId="16DC372E" w14:textId="77777777" w:rsidR="006126F0" w:rsidRPr="00286216" w:rsidRDefault="006126F0" w:rsidP="006126F0">
            <w:pPr>
              <w:pStyle w:val="StyleWisnow"/>
              <w:rPr>
                <w:color w:val="000000" w:themeColor="text1"/>
              </w:rPr>
            </w:pPr>
            <w:r w:rsidRPr="00286216">
              <w:rPr>
                <w:color w:val="000000" w:themeColor="text1"/>
              </w:rPr>
              <w:t>Враховано частково</w:t>
            </w:r>
          </w:p>
          <w:p w14:paraId="193DAD90" w14:textId="77777777" w:rsidR="006126F0" w:rsidRPr="00286216" w:rsidRDefault="006126F0" w:rsidP="006126F0">
            <w:pPr>
              <w:pStyle w:val="StyleWisnow"/>
              <w:spacing w:line="180" w:lineRule="exact"/>
              <w:rPr>
                <w:color w:val="000000" w:themeColor="text1"/>
              </w:rPr>
            </w:pPr>
            <w:r w:rsidRPr="00286216">
              <w:rPr>
                <w:color w:val="000000" w:themeColor="text1"/>
              </w:rPr>
              <w:t xml:space="preserve">багато інсайдерської </w:t>
            </w:r>
            <w:r w:rsidRPr="00286216">
              <w:rPr>
                <w:color w:val="000000" w:themeColor="text1"/>
                <w:spacing w:val="-4"/>
              </w:rPr>
              <w:t xml:space="preserve">інформації має такий </w:t>
            </w:r>
            <w:r w:rsidRPr="00286216">
              <w:rPr>
                <w:color w:val="000000" w:themeColor="text1"/>
                <w:spacing w:val="-5"/>
              </w:rPr>
              <w:t>статус до оприлюднення,</w:t>
            </w:r>
            <w:r w:rsidRPr="00286216">
              <w:rPr>
                <w:color w:val="000000" w:themeColor="text1"/>
                <w:spacing w:val="-4"/>
              </w:rPr>
              <w:t xml:space="preserve"> тож потребує належного регулювання</w:t>
            </w:r>
          </w:p>
        </w:tc>
        <w:tc>
          <w:tcPr>
            <w:tcW w:w="4818" w:type="dxa"/>
          </w:tcPr>
          <w:p w14:paraId="7E792712" w14:textId="71FBBA61" w:rsidR="006126F0" w:rsidRPr="00286216" w:rsidRDefault="006126F0" w:rsidP="009043E0">
            <w:pPr>
              <w:pStyle w:val="StyleZakonu"/>
              <w:rPr>
                <w:color w:val="000000" w:themeColor="text1"/>
              </w:rPr>
            </w:pPr>
            <w:r w:rsidRPr="00286216">
              <w:rPr>
                <w:color w:val="000000" w:themeColor="text1"/>
              </w:rPr>
              <w:t xml:space="preserve">50) регульована інформація на </w:t>
            </w:r>
            <w:r w:rsidR="009043E0" w:rsidRPr="00286216">
              <w:rPr>
                <w:color w:val="000000" w:themeColor="text1"/>
              </w:rPr>
              <w:t xml:space="preserve">ринках капіталу та організованих товарних ринках </w:t>
            </w:r>
            <w:r w:rsidRPr="00286216">
              <w:rPr>
                <w:color w:val="000000" w:themeColor="text1"/>
              </w:rPr>
              <w:t>(далі – регульована інформація) – регулярна та особлива інформація про емітента, інсайдерська інформація, інформація про власників голосуючих акцій понад порогові значення пакетів акцій, інша інформація, що підлягає розміщенню в 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009043E0" w:rsidRPr="00286216">
              <w:rPr>
                <w:color w:val="000000" w:themeColor="text1"/>
              </w:rPr>
              <w:t>, а також розкривається відповідно до вимог цього Закону</w:t>
            </w:r>
            <w:r w:rsidRPr="00286216">
              <w:rPr>
                <w:color w:val="000000" w:themeColor="text1"/>
              </w:rPr>
              <w:t>;</w:t>
            </w:r>
          </w:p>
        </w:tc>
      </w:tr>
      <w:tr w:rsidR="00F77E8D" w:rsidRPr="00286216" w14:paraId="11812658" w14:textId="77777777" w:rsidTr="00091AA5">
        <w:tc>
          <w:tcPr>
            <w:tcW w:w="576" w:type="dxa"/>
          </w:tcPr>
          <w:p w14:paraId="1CFCCAB8" w14:textId="77777777" w:rsidR="006126F0" w:rsidRPr="00286216" w:rsidRDefault="006126F0" w:rsidP="006126F0">
            <w:pPr>
              <w:pStyle w:val="StyleWisnow"/>
              <w:rPr>
                <w:color w:val="000000" w:themeColor="text1"/>
              </w:rPr>
            </w:pPr>
            <w:bookmarkStart w:id="88" w:name="n84" w:colFirst="0" w:colLast="0"/>
            <w:bookmarkEnd w:id="87"/>
            <w:r w:rsidRPr="00286216">
              <w:rPr>
                <w:color w:val="000000" w:themeColor="text1"/>
              </w:rPr>
              <w:t>84.</w:t>
            </w:r>
          </w:p>
        </w:tc>
        <w:tc>
          <w:tcPr>
            <w:tcW w:w="4818" w:type="dxa"/>
          </w:tcPr>
          <w:p w14:paraId="28F9C146" w14:textId="77777777" w:rsidR="006126F0" w:rsidRPr="00286216" w:rsidRDefault="006126F0" w:rsidP="006126F0">
            <w:pPr>
              <w:pStyle w:val="StyleZakonu"/>
              <w:rPr>
                <w:color w:val="000000" w:themeColor="text1"/>
              </w:rPr>
            </w:pPr>
            <w:r w:rsidRPr="00286216">
              <w:rPr>
                <w:color w:val="000000" w:themeColor="text1"/>
              </w:rPr>
              <w:t xml:space="preserve">53) регульований ринок - багатостороння система, яка управляється оператором регульованого ринку та в установленому Національною комісією з цінних паперів та фондового ринку порядку забезпечує створення організаційних, технологічних, інформаційних, правових та інших умов для збирання та поширення інформації стосовно пропозиції щодо активів, допущених до торгів на такому </w:t>
            </w:r>
            <w:r w:rsidRPr="00286216">
              <w:rPr>
                <w:color w:val="000000" w:themeColor="text1"/>
              </w:rPr>
              <w:lastRenderedPageBreak/>
              <w:t>регульованому ринку, і попиту на них та для проведення регулярних торгів такими активами, а також забезпечує централізоване вчинення та централізоване виконання правочинів щодо таких активів, згідно з недискреційними правилами, встановленими оператором регульованого ринку та зареєстрованими у встановленому цим Законом порядку.</w:t>
            </w:r>
          </w:p>
        </w:tc>
        <w:tc>
          <w:tcPr>
            <w:tcW w:w="3686" w:type="dxa"/>
          </w:tcPr>
          <w:p w14:paraId="10785866" w14:textId="5CC36C7B"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116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3E3FCD8" w14:textId="77777777" w:rsidR="006126F0" w:rsidRPr="00286216" w:rsidRDefault="006126F0" w:rsidP="006126F0">
            <w:pPr>
              <w:pStyle w:val="StyleAwt"/>
              <w:rPr>
                <w:color w:val="000000" w:themeColor="text1"/>
                <w:spacing w:val="-4"/>
              </w:rPr>
            </w:pPr>
            <w:r w:rsidRPr="00286216">
              <w:rPr>
                <w:color w:val="000000" w:themeColor="text1"/>
                <w:spacing w:val="-4"/>
              </w:rPr>
              <w:t xml:space="preserve">    Н.д.Гетманцев Д.О.(Реєстр.картка №245)</w:t>
            </w:r>
          </w:p>
          <w:p w14:paraId="0C67E8BA" w14:textId="77777777" w:rsidR="006126F0" w:rsidRPr="00286216" w:rsidRDefault="006126F0" w:rsidP="006126F0">
            <w:pPr>
              <w:pStyle w:val="StyleProp"/>
              <w:rPr>
                <w:color w:val="000000" w:themeColor="text1"/>
                <w:spacing w:val="-2"/>
              </w:rPr>
            </w:pPr>
            <w:r w:rsidRPr="00286216">
              <w:rPr>
                <w:color w:val="000000" w:themeColor="text1"/>
                <w:spacing w:val="-2"/>
              </w:rPr>
              <w:t>Пункт 53 статті 2 викласти у такій редакції:</w:t>
            </w:r>
          </w:p>
          <w:p w14:paraId="0957DD99" w14:textId="77777777" w:rsidR="006126F0" w:rsidRPr="00286216" w:rsidRDefault="006126F0" w:rsidP="006126F0">
            <w:pPr>
              <w:pStyle w:val="StyleProp"/>
              <w:rPr>
                <w:color w:val="000000" w:themeColor="text1"/>
              </w:rPr>
            </w:pPr>
            <w:r w:rsidRPr="00286216">
              <w:rPr>
                <w:color w:val="000000" w:themeColor="text1"/>
              </w:rPr>
              <w:t xml:space="preserve">"53) регульований ринок – багатостороння система, яка управляється оператором регульованого ринку та в установленому Національною комісією з цінних паперів та фондового ринку порядку забезпечує взаємодію третіх сторін щодо здійснення </w:t>
            </w:r>
            <w:r w:rsidRPr="00286216">
              <w:rPr>
                <w:color w:val="000000" w:themeColor="text1"/>
              </w:rPr>
              <w:lastRenderedPageBreak/>
              <w:t>купівлі-продажу третіми сторонами фінансових інструментів (укладання деривативних контрактів) та створення організаційних, технологічних, інформаційних, правових та інших умов для збирання та поширення інформації стосовно пропозиції щодо фінансових інструментів, допущених до торгів на такому регульованому ринку, і попиту на них та для проведення регулярних торгів такими інструментами, а також забезпечує централізоване вчинення та централізоване виконання правочинів та в тому числі кліринг щодо таких інструментів, згідно з недискреційними правилами, встановленими оператором регульованого ринку та зареєстрованими у встановленому цим Законом порядку".</w:t>
            </w:r>
          </w:p>
          <w:p w14:paraId="0ADCE8A3" w14:textId="4D0E9B2F" w:rsidR="006126F0" w:rsidRPr="00286216" w:rsidRDefault="006126F0" w:rsidP="006126F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117</w:t>
            </w:r>
            <w:r w:rsidRPr="00286216">
              <w:rPr>
                <w:color w:val="000000" w:themeColor="text1"/>
              </w:rPr>
              <w:fldChar w:fldCharType="end"/>
            </w:r>
            <w:r w:rsidRPr="00286216">
              <w:rPr>
                <w:color w:val="000000" w:themeColor="text1"/>
              </w:rPr>
              <w:t>-Н.д.Шахов С.В. (Реєстр.картка №114)</w:t>
            </w:r>
          </w:p>
          <w:p w14:paraId="57D57594" w14:textId="77777777" w:rsidR="006126F0" w:rsidRPr="00286216" w:rsidRDefault="006126F0" w:rsidP="006126F0">
            <w:pPr>
              <w:pStyle w:val="StyleProp"/>
              <w:rPr>
                <w:color w:val="000000" w:themeColor="text1"/>
                <w:szCs w:val="18"/>
              </w:rPr>
            </w:pPr>
            <w:r w:rsidRPr="00286216">
              <w:rPr>
                <w:color w:val="000000" w:themeColor="text1"/>
              </w:rPr>
              <w:t>У пункті 53 слова «Національною комісією з цінних паперів та фондового ринку» замінити словами «регулятором відповідного ринку».</w:t>
            </w:r>
          </w:p>
        </w:tc>
        <w:tc>
          <w:tcPr>
            <w:tcW w:w="1987" w:type="dxa"/>
          </w:tcPr>
          <w:p w14:paraId="330C89BB" w14:textId="77777777" w:rsidR="006126F0" w:rsidRPr="00286216" w:rsidRDefault="006126F0" w:rsidP="006126F0">
            <w:pPr>
              <w:pStyle w:val="StyleWisnow"/>
              <w:rPr>
                <w:color w:val="000000" w:themeColor="text1"/>
              </w:rPr>
            </w:pPr>
            <w:r w:rsidRPr="00286216">
              <w:rPr>
                <w:color w:val="000000" w:themeColor="text1"/>
              </w:rPr>
              <w:lastRenderedPageBreak/>
              <w:t>Враховано</w:t>
            </w:r>
          </w:p>
          <w:p w14:paraId="030C920B" w14:textId="77777777" w:rsidR="006126F0" w:rsidRPr="00286216" w:rsidRDefault="006126F0" w:rsidP="006126F0">
            <w:pPr>
              <w:pStyle w:val="StyleWisnow"/>
              <w:rPr>
                <w:color w:val="000000" w:themeColor="text1"/>
              </w:rPr>
            </w:pPr>
          </w:p>
          <w:p w14:paraId="144B71F0" w14:textId="77777777" w:rsidR="006126F0" w:rsidRPr="00286216" w:rsidRDefault="006126F0" w:rsidP="006126F0">
            <w:pPr>
              <w:pStyle w:val="StyleWisnow"/>
              <w:rPr>
                <w:color w:val="000000" w:themeColor="text1"/>
              </w:rPr>
            </w:pPr>
          </w:p>
          <w:p w14:paraId="2D5EB1AC" w14:textId="77777777" w:rsidR="006126F0" w:rsidRPr="00286216" w:rsidRDefault="006126F0" w:rsidP="006126F0">
            <w:pPr>
              <w:pStyle w:val="StyleWisnow"/>
              <w:rPr>
                <w:color w:val="000000" w:themeColor="text1"/>
              </w:rPr>
            </w:pPr>
          </w:p>
          <w:p w14:paraId="24D2E7C8" w14:textId="77777777" w:rsidR="006126F0" w:rsidRPr="00286216" w:rsidRDefault="006126F0" w:rsidP="006126F0">
            <w:pPr>
              <w:pStyle w:val="StyleWisnow"/>
              <w:rPr>
                <w:color w:val="000000" w:themeColor="text1"/>
              </w:rPr>
            </w:pPr>
          </w:p>
          <w:p w14:paraId="4A12A465" w14:textId="77777777" w:rsidR="006126F0" w:rsidRPr="00286216" w:rsidRDefault="006126F0" w:rsidP="006126F0">
            <w:pPr>
              <w:pStyle w:val="StyleWisnow"/>
              <w:rPr>
                <w:color w:val="000000" w:themeColor="text1"/>
              </w:rPr>
            </w:pPr>
          </w:p>
          <w:p w14:paraId="48398E22" w14:textId="77777777" w:rsidR="006126F0" w:rsidRPr="00286216" w:rsidRDefault="006126F0" w:rsidP="006126F0">
            <w:pPr>
              <w:pStyle w:val="StyleWisnow"/>
              <w:rPr>
                <w:color w:val="000000" w:themeColor="text1"/>
              </w:rPr>
            </w:pPr>
          </w:p>
          <w:p w14:paraId="630E8737" w14:textId="77777777" w:rsidR="006126F0" w:rsidRPr="00286216" w:rsidRDefault="006126F0" w:rsidP="006126F0">
            <w:pPr>
              <w:pStyle w:val="StyleWisnow"/>
              <w:rPr>
                <w:color w:val="000000" w:themeColor="text1"/>
              </w:rPr>
            </w:pPr>
          </w:p>
          <w:p w14:paraId="3F663327" w14:textId="77777777" w:rsidR="006126F0" w:rsidRPr="00286216" w:rsidRDefault="006126F0" w:rsidP="006126F0">
            <w:pPr>
              <w:pStyle w:val="StyleWisnow"/>
              <w:rPr>
                <w:color w:val="000000" w:themeColor="text1"/>
              </w:rPr>
            </w:pPr>
          </w:p>
          <w:p w14:paraId="4EC547C4" w14:textId="77777777" w:rsidR="006126F0" w:rsidRPr="00286216" w:rsidRDefault="006126F0" w:rsidP="006126F0">
            <w:pPr>
              <w:pStyle w:val="StyleWisnow"/>
              <w:rPr>
                <w:color w:val="000000" w:themeColor="text1"/>
              </w:rPr>
            </w:pPr>
          </w:p>
          <w:p w14:paraId="015F19ED" w14:textId="77777777" w:rsidR="006126F0" w:rsidRPr="00286216" w:rsidRDefault="006126F0" w:rsidP="006126F0">
            <w:pPr>
              <w:pStyle w:val="StyleWisnow"/>
              <w:rPr>
                <w:color w:val="000000" w:themeColor="text1"/>
              </w:rPr>
            </w:pPr>
          </w:p>
          <w:p w14:paraId="387245E8" w14:textId="77777777" w:rsidR="006126F0" w:rsidRPr="00286216" w:rsidRDefault="006126F0" w:rsidP="006126F0">
            <w:pPr>
              <w:pStyle w:val="StyleWisnow"/>
              <w:rPr>
                <w:color w:val="000000" w:themeColor="text1"/>
              </w:rPr>
            </w:pPr>
          </w:p>
          <w:p w14:paraId="12F0A097" w14:textId="77777777" w:rsidR="006126F0" w:rsidRPr="00286216" w:rsidRDefault="006126F0" w:rsidP="006126F0">
            <w:pPr>
              <w:pStyle w:val="StyleWisnow"/>
              <w:rPr>
                <w:color w:val="000000" w:themeColor="text1"/>
              </w:rPr>
            </w:pPr>
          </w:p>
          <w:p w14:paraId="344D6E7D" w14:textId="77777777" w:rsidR="006126F0" w:rsidRPr="00286216" w:rsidRDefault="006126F0" w:rsidP="006126F0">
            <w:pPr>
              <w:pStyle w:val="StyleWisnow"/>
              <w:rPr>
                <w:color w:val="000000" w:themeColor="text1"/>
              </w:rPr>
            </w:pPr>
          </w:p>
          <w:p w14:paraId="19947CA4" w14:textId="77777777" w:rsidR="006126F0" w:rsidRPr="00286216" w:rsidRDefault="006126F0" w:rsidP="006126F0">
            <w:pPr>
              <w:pStyle w:val="StyleWisnow"/>
              <w:rPr>
                <w:color w:val="000000" w:themeColor="text1"/>
              </w:rPr>
            </w:pPr>
          </w:p>
          <w:p w14:paraId="707E6123" w14:textId="77777777" w:rsidR="006126F0" w:rsidRPr="00286216" w:rsidRDefault="006126F0" w:rsidP="006126F0">
            <w:pPr>
              <w:pStyle w:val="StyleWisnow"/>
              <w:rPr>
                <w:color w:val="000000" w:themeColor="text1"/>
              </w:rPr>
            </w:pPr>
          </w:p>
          <w:p w14:paraId="3B617972" w14:textId="77777777" w:rsidR="006126F0" w:rsidRPr="00286216" w:rsidRDefault="006126F0" w:rsidP="006126F0">
            <w:pPr>
              <w:pStyle w:val="StyleWisnow"/>
              <w:rPr>
                <w:color w:val="000000" w:themeColor="text1"/>
              </w:rPr>
            </w:pPr>
          </w:p>
          <w:p w14:paraId="257CDC76" w14:textId="77777777" w:rsidR="006126F0" w:rsidRPr="00286216" w:rsidRDefault="006126F0" w:rsidP="006126F0">
            <w:pPr>
              <w:pStyle w:val="StyleWisnow"/>
              <w:rPr>
                <w:color w:val="000000" w:themeColor="text1"/>
              </w:rPr>
            </w:pPr>
          </w:p>
          <w:p w14:paraId="422270BC" w14:textId="77777777" w:rsidR="006126F0" w:rsidRPr="00286216" w:rsidRDefault="006126F0" w:rsidP="006126F0">
            <w:pPr>
              <w:pStyle w:val="StyleWisnow"/>
              <w:rPr>
                <w:color w:val="000000" w:themeColor="text1"/>
              </w:rPr>
            </w:pPr>
          </w:p>
          <w:p w14:paraId="3E4BBC48" w14:textId="77777777" w:rsidR="006126F0" w:rsidRPr="00286216" w:rsidRDefault="006126F0" w:rsidP="006126F0">
            <w:pPr>
              <w:pStyle w:val="StyleWisnow"/>
              <w:rPr>
                <w:color w:val="000000" w:themeColor="text1"/>
              </w:rPr>
            </w:pPr>
          </w:p>
          <w:p w14:paraId="7A82E3C7" w14:textId="5229848A" w:rsidR="006126F0" w:rsidRPr="00286216" w:rsidRDefault="006126F0" w:rsidP="006126F0">
            <w:pPr>
              <w:pStyle w:val="StyleWisnow"/>
              <w:rPr>
                <w:color w:val="000000" w:themeColor="text1"/>
              </w:rPr>
            </w:pPr>
          </w:p>
          <w:p w14:paraId="1DCE8664" w14:textId="2327F404" w:rsidR="006126F0" w:rsidRPr="00286216" w:rsidRDefault="006126F0" w:rsidP="006126F0">
            <w:pPr>
              <w:pStyle w:val="StyleWisnow"/>
              <w:rPr>
                <w:color w:val="000000" w:themeColor="text1"/>
              </w:rPr>
            </w:pPr>
          </w:p>
          <w:p w14:paraId="4EC903D0" w14:textId="65160AF8" w:rsidR="006126F0" w:rsidRPr="00286216" w:rsidRDefault="006126F0" w:rsidP="006126F0">
            <w:pPr>
              <w:pStyle w:val="StyleWisnow"/>
              <w:rPr>
                <w:color w:val="000000" w:themeColor="text1"/>
              </w:rPr>
            </w:pPr>
          </w:p>
          <w:p w14:paraId="19AFAEA1" w14:textId="77777777" w:rsidR="006126F0" w:rsidRPr="00286216" w:rsidRDefault="006126F0" w:rsidP="006126F0">
            <w:pPr>
              <w:pStyle w:val="StyleWisnow"/>
              <w:rPr>
                <w:color w:val="000000" w:themeColor="text1"/>
              </w:rPr>
            </w:pPr>
          </w:p>
          <w:p w14:paraId="0A695064" w14:textId="77777777" w:rsidR="006126F0" w:rsidRPr="00286216" w:rsidRDefault="006126F0" w:rsidP="006126F0">
            <w:pPr>
              <w:pStyle w:val="StyleWisnow"/>
              <w:rPr>
                <w:color w:val="000000" w:themeColor="text1"/>
              </w:rPr>
            </w:pPr>
          </w:p>
          <w:p w14:paraId="053DD2FD" w14:textId="77777777" w:rsidR="006126F0" w:rsidRPr="00286216" w:rsidRDefault="006126F0" w:rsidP="006126F0">
            <w:pPr>
              <w:pStyle w:val="StyleWisnow"/>
              <w:rPr>
                <w:color w:val="000000" w:themeColor="text1"/>
              </w:rPr>
            </w:pPr>
            <w:r w:rsidRPr="00286216">
              <w:rPr>
                <w:color w:val="000000" w:themeColor="text1"/>
              </w:rPr>
              <w:t>Відхилено</w:t>
            </w:r>
          </w:p>
          <w:p w14:paraId="2FD3F267" w14:textId="77777777" w:rsidR="006126F0" w:rsidRPr="00286216" w:rsidRDefault="006126F0" w:rsidP="006126F0">
            <w:pPr>
              <w:pStyle w:val="StyleWisnow"/>
              <w:spacing w:line="180" w:lineRule="exact"/>
              <w:rPr>
                <w:color w:val="000000" w:themeColor="text1"/>
                <w:spacing w:val="-2"/>
              </w:rPr>
            </w:pPr>
            <w:r w:rsidRPr="00286216">
              <w:rPr>
                <w:color w:val="000000" w:themeColor="text1"/>
                <w:spacing w:val="-2"/>
              </w:rPr>
              <w:t>ринки капіталу є виключною компетенцією НКЦПФР</w:t>
            </w:r>
          </w:p>
        </w:tc>
        <w:tc>
          <w:tcPr>
            <w:tcW w:w="4818" w:type="dxa"/>
          </w:tcPr>
          <w:p w14:paraId="39551E88" w14:textId="07F1EF15" w:rsidR="006126F0" w:rsidRPr="00286216" w:rsidRDefault="006126F0" w:rsidP="00BE6CC8">
            <w:pPr>
              <w:pStyle w:val="StyleZakonu"/>
              <w:rPr>
                <w:color w:val="000000" w:themeColor="text1"/>
              </w:rPr>
            </w:pPr>
            <w:r w:rsidRPr="00286216">
              <w:rPr>
                <w:color w:val="000000" w:themeColor="text1"/>
              </w:rPr>
              <w:lastRenderedPageBreak/>
              <w:t xml:space="preserve">51) регульований ринок – багатостороння система, що управляється оператором регульованого ринку та </w:t>
            </w:r>
            <w:r w:rsidR="00BE6CC8" w:rsidRPr="00286216">
              <w:rPr>
                <w:color w:val="000000" w:themeColor="text1"/>
              </w:rPr>
              <w:t>у в</w:t>
            </w:r>
            <w:r w:rsidRPr="00286216">
              <w:rPr>
                <w:color w:val="000000" w:themeColor="text1"/>
              </w:rPr>
              <w:t>становленому Національною комісією з цінних паперів та фондового ринку порядку забезпечує згідно з недискреційними правилами, встановленими таким оператором регульованого ринку та зареєстрованими у встановленому цим Законом порядку, взаємодію третіх сторін щодо купівлі-</w:t>
            </w:r>
            <w:r w:rsidRPr="00286216">
              <w:rPr>
                <w:color w:val="000000" w:themeColor="text1"/>
              </w:rPr>
              <w:lastRenderedPageBreak/>
              <w:t>продажу фінансових інструментів (укладання деривативних контрактів) та створення організаційних, технологічних, інформаційних, правових та інших умов для збирання і поширення інформації стосовно пропозиції щодо фінансових інструментів, допущених до торгів на такому регульованому ринку, і попиту на них та для проведення регулярних торгів такими інструментами, а також забезпечує централізоване вчинення та централізоване виконання правочинів</w:t>
            </w:r>
            <w:r w:rsidR="00BE6CC8" w:rsidRPr="00286216">
              <w:rPr>
                <w:color w:val="000000" w:themeColor="text1"/>
              </w:rPr>
              <w:t>,</w:t>
            </w:r>
            <w:r w:rsidRPr="00286216">
              <w:rPr>
                <w:color w:val="000000" w:themeColor="text1"/>
              </w:rPr>
              <w:t xml:space="preserve"> </w:t>
            </w:r>
            <w:r w:rsidR="00BE6CC8" w:rsidRPr="00286216">
              <w:rPr>
                <w:color w:val="000000" w:themeColor="text1"/>
              </w:rPr>
              <w:t xml:space="preserve">у </w:t>
            </w:r>
            <w:r w:rsidRPr="00286216">
              <w:rPr>
                <w:color w:val="000000" w:themeColor="text1"/>
              </w:rPr>
              <w:t>тому числі кліринг щодо таких інструментів;</w:t>
            </w:r>
          </w:p>
        </w:tc>
      </w:tr>
      <w:tr w:rsidR="00F77E8D" w:rsidRPr="00286216" w14:paraId="76B6FE3F" w14:textId="77777777" w:rsidTr="00091AA5">
        <w:tc>
          <w:tcPr>
            <w:tcW w:w="576" w:type="dxa"/>
          </w:tcPr>
          <w:p w14:paraId="22A8B6C4" w14:textId="77777777" w:rsidR="006126F0" w:rsidRPr="00286216" w:rsidRDefault="006126F0" w:rsidP="006126F0">
            <w:pPr>
              <w:pStyle w:val="StyleWisnow"/>
              <w:rPr>
                <w:color w:val="000000" w:themeColor="text1"/>
              </w:rPr>
            </w:pPr>
            <w:bookmarkStart w:id="89" w:name="n85" w:colFirst="0" w:colLast="0"/>
            <w:bookmarkEnd w:id="88"/>
            <w:r w:rsidRPr="00286216">
              <w:rPr>
                <w:color w:val="000000" w:themeColor="text1"/>
              </w:rPr>
              <w:lastRenderedPageBreak/>
              <w:t>85.</w:t>
            </w:r>
          </w:p>
        </w:tc>
        <w:tc>
          <w:tcPr>
            <w:tcW w:w="4818" w:type="dxa"/>
          </w:tcPr>
          <w:p w14:paraId="3D784AE7" w14:textId="77777777" w:rsidR="006126F0" w:rsidRPr="00286216" w:rsidRDefault="006126F0" w:rsidP="006126F0">
            <w:pPr>
              <w:pStyle w:val="StyleZakonu"/>
              <w:rPr>
                <w:color w:val="000000" w:themeColor="text1"/>
              </w:rPr>
            </w:pPr>
            <w:r w:rsidRPr="00286216">
              <w:rPr>
                <w:color w:val="000000" w:themeColor="text1"/>
              </w:rPr>
              <w:t>54) регулятор - визначений законом державний орган, метою діяльності якого є державне регулювання визначеного товарного ринку;</w:t>
            </w:r>
          </w:p>
        </w:tc>
        <w:tc>
          <w:tcPr>
            <w:tcW w:w="3686" w:type="dxa"/>
          </w:tcPr>
          <w:p w14:paraId="4ADE679E" w14:textId="53BB0315"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118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13A0139" w14:textId="77777777" w:rsidR="006126F0" w:rsidRPr="00286216" w:rsidRDefault="006126F0" w:rsidP="006126F0">
            <w:pPr>
              <w:pStyle w:val="StyleProp"/>
              <w:spacing w:line="180" w:lineRule="exact"/>
              <w:rPr>
                <w:color w:val="000000" w:themeColor="text1"/>
              </w:rPr>
            </w:pPr>
            <w:r w:rsidRPr="00286216">
              <w:rPr>
                <w:color w:val="000000" w:themeColor="text1"/>
                <w:szCs w:val="18"/>
              </w:rPr>
              <w:t>Пункт 54 статті 2 виключити.</w:t>
            </w:r>
          </w:p>
          <w:p w14:paraId="394DC5F8" w14:textId="5EC30983"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119</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77B081E6" w14:textId="77777777" w:rsidR="006126F0" w:rsidRPr="00286216" w:rsidRDefault="006126F0" w:rsidP="006126F0">
            <w:pPr>
              <w:spacing w:line="180" w:lineRule="exact"/>
              <w:ind w:firstLine="227"/>
              <w:jc w:val="both"/>
              <w:rPr>
                <w:color w:val="000000" w:themeColor="text1"/>
                <w:sz w:val="18"/>
              </w:rPr>
            </w:pPr>
            <w:r w:rsidRPr="00286216">
              <w:rPr>
                <w:color w:val="000000" w:themeColor="text1"/>
                <w:sz w:val="18"/>
              </w:rPr>
              <w:t>пункт 54 викласти у такій редакції:</w:t>
            </w:r>
          </w:p>
          <w:p w14:paraId="49744758" w14:textId="77777777" w:rsidR="006126F0" w:rsidRPr="00286216" w:rsidRDefault="006126F0" w:rsidP="006126F0">
            <w:pPr>
              <w:spacing w:line="180" w:lineRule="exact"/>
              <w:ind w:firstLine="227"/>
              <w:jc w:val="both"/>
              <w:rPr>
                <w:color w:val="000000" w:themeColor="text1"/>
                <w:spacing w:val="-5"/>
                <w:sz w:val="18"/>
              </w:rPr>
            </w:pPr>
            <w:r w:rsidRPr="00286216">
              <w:rPr>
                <w:color w:val="000000" w:themeColor="text1"/>
                <w:spacing w:val="-5"/>
                <w:sz w:val="18"/>
              </w:rPr>
              <w:t>"55) регулятор (регулятор ринку)- визначений законом державний орган, який здійснює державне регулювання певного ринку:</w:t>
            </w:r>
          </w:p>
          <w:p w14:paraId="0CE1DF4D" w14:textId="77777777" w:rsidR="006126F0" w:rsidRPr="00286216" w:rsidRDefault="006126F0" w:rsidP="006126F0">
            <w:pPr>
              <w:spacing w:line="180" w:lineRule="exact"/>
              <w:ind w:firstLine="227"/>
              <w:jc w:val="both"/>
              <w:rPr>
                <w:color w:val="000000" w:themeColor="text1"/>
                <w:spacing w:val="-4"/>
                <w:sz w:val="18"/>
              </w:rPr>
            </w:pPr>
            <w:r w:rsidRPr="00286216">
              <w:rPr>
                <w:color w:val="000000" w:themeColor="text1"/>
                <w:spacing w:val="-4"/>
                <w:sz w:val="18"/>
              </w:rPr>
              <w:t>1) Національна комісія з цінних паперів та фондового ринку - щодо ринків капіталу та провадження професійної діяльності на таких ринках; в частині поставних товарних деривативних контрактів, - виключно  щодо регулювання діяльності інвестиційних фірм, які вчиняють правочини з такими контрактами;</w:t>
            </w:r>
          </w:p>
          <w:p w14:paraId="504048C4" w14:textId="77777777" w:rsidR="006126F0" w:rsidRPr="00286216" w:rsidRDefault="006126F0" w:rsidP="006126F0">
            <w:pPr>
              <w:spacing w:line="180" w:lineRule="exact"/>
              <w:ind w:firstLine="227"/>
              <w:jc w:val="both"/>
              <w:rPr>
                <w:color w:val="000000" w:themeColor="text1"/>
                <w:szCs w:val="18"/>
              </w:rPr>
            </w:pPr>
            <w:r w:rsidRPr="00286216">
              <w:rPr>
                <w:color w:val="000000" w:themeColor="text1"/>
                <w:spacing w:val="-2"/>
                <w:sz w:val="18"/>
              </w:rPr>
              <w:t>2) регулятори товарних ринків - щодо товарних спот-ринків та ринків поставних товарних деривативних контрактів і провадження господарської, у тому числі, професійної, діяльності на таких ринках (зокрема, провадження клірингової діяльності (у тому числі, клірингової діяльності центрального контрагента) і здійснення розрахунків та поставки)".</w:t>
            </w:r>
          </w:p>
        </w:tc>
        <w:tc>
          <w:tcPr>
            <w:tcW w:w="1987" w:type="dxa"/>
          </w:tcPr>
          <w:p w14:paraId="4D345F18" w14:textId="77777777" w:rsidR="006126F0" w:rsidRPr="00286216" w:rsidRDefault="006126F0" w:rsidP="006126F0">
            <w:pPr>
              <w:pStyle w:val="StyleWisnow"/>
              <w:rPr>
                <w:color w:val="000000" w:themeColor="text1"/>
              </w:rPr>
            </w:pPr>
            <w:r w:rsidRPr="00286216">
              <w:rPr>
                <w:color w:val="000000" w:themeColor="text1"/>
              </w:rPr>
              <w:t>Враховано</w:t>
            </w:r>
          </w:p>
          <w:p w14:paraId="6D30F807" w14:textId="77777777" w:rsidR="006126F0" w:rsidRPr="00286216" w:rsidRDefault="006126F0" w:rsidP="006126F0">
            <w:pPr>
              <w:pStyle w:val="StyleWisnow"/>
              <w:rPr>
                <w:color w:val="000000" w:themeColor="text1"/>
              </w:rPr>
            </w:pPr>
          </w:p>
          <w:p w14:paraId="6E54939E" w14:textId="77777777" w:rsidR="006126F0" w:rsidRPr="00286216" w:rsidRDefault="006126F0" w:rsidP="006126F0">
            <w:pPr>
              <w:pStyle w:val="StyleWisnow"/>
              <w:rPr>
                <w:color w:val="000000" w:themeColor="text1"/>
              </w:rPr>
            </w:pPr>
            <w:r w:rsidRPr="00286216">
              <w:rPr>
                <w:color w:val="000000" w:themeColor="text1"/>
              </w:rPr>
              <w:t>Відхилено</w:t>
            </w:r>
          </w:p>
          <w:p w14:paraId="3DAFF5F5" w14:textId="77777777" w:rsidR="006126F0" w:rsidRPr="00286216" w:rsidRDefault="006126F0" w:rsidP="006126F0">
            <w:pPr>
              <w:pStyle w:val="StyleWisnow"/>
              <w:spacing w:line="180" w:lineRule="exact"/>
              <w:rPr>
                <w:color w:val="000000" w:themeColor="text1"/>
                <w:spacing w:val="-4"/>
              </w:rPr>
            </w:pPr>
            <w:r w:rsidRPr="00286216">
              <w:rPr>
                <w:color w:val="000000" w:themeColor="text1"/>
                <w:spacing w:val="-4"/>
              </w:rPr>
              <w:t>у зв'язку із зміною редакції та виключенням даного пункту та взагалі терміну "регулятор".</w:t>
            </w:r>
          </w:p>
        </w:tc>
        <w:tc>
          <w:tcPr>
            <w:tcW w:w="4818" w:type="dxa"/>
          </w:tcPr>
          <w:p w14:paraId="227B7EAA" w14:textId="77777777" w:rsidR="006126F0" w:rsidRPr="00286216" w:rsidRDefault="006126F0" w:rsidP="006126F0">
            <w:pPr>
              <w:pStyle w:val="StyleZakonu"/>
              <w:rPr>
                <w:color w:val="000000" w:themeColor="text1"/>
              </w:rPr>
            </w:pPr>
          </w:p>
        </w:tc>
      </w:tr>
      <w:tr w:rsidR="00F77E8D" w:rsidRPr="00286216" w14:paraId="409D1198" w14:textId="77777777" w:rsidTr="00091AA5">
        <w:tc>
          <w:tcPr>
            <w:tcW w:w="576" w:type="dxa"/>
          </w:tcPr>
          <w:p w14:paraId="6544A375" w14:textId="77777777" w:rsidR="006126F0" w:rsidRPr="00286216" w:rsidRDefault="006126F0" w:rsidP="006126F0">
            <w:pPr>
              <w:pStyle w:val="StyleWisnow"/>
              <w:rPr>
                <w:color w:val="000000" w:themeColor="text1"/>
              </w:rPr>
            </w:pPr>
            <w:bookmarkStart w:id="90" w:name="n86" w:colFirst="0" w:colLast="0"/>
            <w:bookmarkEnd w:id="89"/>
            <w:r w:rsidRPr="00286216">
              <w:rPr>
                <w:color w:val="000000" w:themeColor="text1"/>
              </w:rPr>
              <w:t>86.</w:t>
            </w:r>
          </w:p>
        </w:tc>
        <w:tc>
          <w:tcPr>
            <w:tcW w:w="4818" w:type="dxa"/>
          </w:tcPr>
          <w:p w14:paraId="153FA0FD" w14:textId="77777777" w:rsidR="006126F0" w:rsidRPr="00286216" w:rsidRDefault="006126F0" w:rsidP="006126F0">
            <w:pPr>
              <w:pStyle w:val="StyleZakonu"/>
              <w:rPr>
                <w:color w:val="000000" w:themeColor="text1"/>
              </w:rPr>
            </w:pPr>
            <w:r w:rsidRPr="00286216">
              <w:rPr>
                <w:color w:val="000000" w:themeColor="text1"/>
              </w:rPr>
              <w:t>55) регулярні торги - функціонування оператора регульованого ринку на постійно діючій основі кожного торговельного дня протягом календарного року;</w:t>
            </w:r>
          </w:p>
        </w:tc>
        <w:tc>
          <w:tcPr>
            <w:tcW w:w="3686" w:type="dxa"/>
          </w:tcPr>
          <w:p w14:paraId="450FC973" w14:textId="63AB30DD"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9B01BD2" w14:textId="77777777" w:rsidR="006126F0" w:rsidRPr="00286216" w:rsidRDefault="006126F0" w:rsidP="006126F0">
            <w:pPr>
              <w:pStyle w:val="StyleProp"/>
              <w:spacing w:line="190" w:lineRule="exact"/>
              <w:rPr>
                <w:color w:val="000000" w:themeColor="text1"/>
                <w:szCs w:val="18"/>
              </w:rPr>
            </w:pPr>
            <w:r w:rsidRPr="00286216">
              <w:rPr>
                <w:color w:val="000000" w:themeColor="text1"/>
                <w:szCs w:val="18"/>
              </w:rPr>
              <w:t>Пункт 55 частини першої статті 2 викласти в такій редакції:</w:t>
            </w:r>
          </w:p>
          <w:p w14:paraId="4427EF00" w14:textId="77777777" w:rsidR="006126F0" w:rsidRPr="00286216" w:rsidRDefault="006126F0" w:rsidP="006126F0">
            <w:pPr>
              <w:pStyle w:val="StyleProp"/>
              <w:spacing w:line="190" w:lineRule="exact"/>
              <w:rPr>
                <w:color w:val="000000" w:themeColor="text1"/>
                <w:szCs w:val="18"/>
              </w:rPr>
            </w:pPr>
            <w:r w:rsidRPr="00286216">
              <w:rPr>
                <w:color w:val="000000" w:themeColor="text1"/>
                <w:szCs w:val="18"/>
              </w:rPr>
              <w:t xml:space="preserve">«55) регулярні торги – функціонування багатосторонньої системи регульованого ринку на постійно діючій основі кожного </w:t>
            </w:r>
            <w:r w:rsidRPr="00286216">
              <w:rPr>
                <w:color w:val="000000" w:themeColor="text1"/>
                <w:szCs w:val="18"/>
              </w:rPr>
              <w:lastRenderedPageBreak/>
              <w:t>торговельного дня протягом календарного року, в результаті якого забезпечуються організаційно-технічні умови для укладення правочинів, щодо активів, допущених до торгів на такому регульованому ринку».</w:t>
            </w:r>
          </w:p>
        </w:tc>
        <w:tc>
          <w:tcPr>
            <w:tcW w:w="1987" w:type="dxa"/>
          </w:tcPr>
          <w:p w14:paraId="4B08B72E" w14:textId="152D082F" w:rsidR="006126F0" w:rsidRPr="00286216" w:rsidRDefault="006126F0" w:rsidP="006126F0">
            <w:pPr>
              <w:pStyle w:val="StyleWisnow"/>
              <w:rPr>
                <w:color w:val="000000" w:themeColor="text1"/>
              </w:rPr>
            </w:pPr>
            <w:r w:rsidRPr="00286216">
              <w:rPr>
                <w:color w:val="000000" w:themeColor="text1"/>
              </w:rPr>
              <w:lastRenderedPageBreak/>
              <w:t>Враховано редакційно</w:t>
            </w:r>
          </w:p>
        </w:tc>
        <w:tc>
          <w:tcPr>
            <w:tcW w:w="4818" w:type="dxa"/>
          </w:tcPr>
          <w:p w14:paraId="286833EF" w14:textId="474F186D" w:rsidR="006126F0" w:rsidRPr="00286216" w:rsidRDefault="006126F0" w:rsidP="006126F0">
            <w:pPr>
              <w:pStyle w:val="StyleZakonu"/>
              <w:rPr>
                <w:color w:val="000000" w:themeColor="text1"/>
              </w:rPr>
            </w:pPr>
            <w:r w:rsidRPr="00286216">
              <w:rPr>
                <w:color w:val="000000" w:themeColor="text1"/>
              </w:rPr>
              <w:t xml:space="preserve">52) регулярні торги – функціонування регульованого ринку на постійно діючій основі кожного торговельного дня протягом календарного року, в результаті чого забезпечуються організаційно-технічні умови для укладення правочинів щодо </w:t>
            </w:r>
            <w:r w:rsidRPr="00286216">
              <w:rPr>
                <w:color w:val="000000" w:themeColor="text1"/>
              </w:rPr>
              <w:lastRenderedPageBreak/>
              <w:t>активів, допущених до торгів на такому регульованому ринку;</w:t>
            </w:r>
          </w:p>
        </w:tc>
      </w:tr>
      <w:tr w:rsidR="00F77E8D" w:rsidRPr="00286216" w14:paraId="0FA48924" w14:textId="77777777" w:rsidTr="00091AA5">
        <w:tc>
          <w:tcPr>
            <w:tcW w:w="576" w:type="dxa"/>
          </w:tcPr>
          <w:p w14:paraId="64B8CFC7" w14:textId="77777777" w:rsidR="006126F0" w:rsidRPr="00286216" w:rsidRDefault="006126F0" w:rsidP="006126F0">
            <w:pPr>
              <w:pStyle w:val="StyleWisnow"/>
              <w:rPr>
                <w:color w:val="000000" w:themeColor="text1"/>
              </w:rPr>
            </w:pPr>
          </w:p>
        </w:tc>
        <w:tc>
          <w:tcPr>
            <w:tcW w:w="4818" w:type="dxa"/>
          </w:tcPr>
          <w:p w14:paraId="21080426" w14:textId="77777777" w:rsidR="006126F0" w:rsidRPr="00286216" w:rsidRDefault="006126F0" w:rsidP="006126F0">
            <w:pPr>
              <w:pStyle w:val="StyleZakonu"/>
              <w:rPr>
                <w:color w:val="000000" w:themeColor="text1"/>
              </w:rPr>
            </w:pPr>
          </w:p>
        </w:tc>
        <w:tc>
          <w:tcPr>
            <w:tcW w:w="3686" w:type="dxa"/>
          </w:tcPr>
          <w:p w14:paraId="4B93ED23" w14:textId="454FF88D"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121</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04FD2E90" w14:textId="77777777" w:rsidR="006126F0" w:rsidRPr="00286216" w:rsidRDefault="006126F0" w:rsidP="006126F0">
            <w:pPr>
              <w:pStyle w:val="StyleProp"/>
              <w:spacing w:line="180" w:lineRule="exact"/>
              <w:rPr>
                <w:color w:val="000000" w:themeColor="text1"/>
              </w:rPr>
            </w:pPr>
            <w:r w:rsidRPr="00286216">
              <w:rPr>
                <w:color w:val="000000" w:themeColor="text1"/>
              </w:rPr>
              <w:t>доповнити новим пункт 55-1:</w:t>
            </w:r>
          </w:p>
          <w:p w14:paraId="7FEFEB6D" w14:textId="77777777" w:rsidR="006126F0" w:rsidRPr="00286216" w:rsidRDefault="006126F0" w:rsidP="006126F0">
            <w:pPr>
              <w:pStyle w:val="StyleProp"/>
              <w:spacing w:line="180" w:lineRule="exact"/>
              <w:rPr>
                <w:color w:val="000000" w:themeColor="text1"/>
              </w:rPr>
            </w:pPr>
            <w:r w:rsidRPr="00286216">
              <w:rPr>
                <w:color w:val="000000" w:themeColor="text1"/>
              </w:rPr>
              <w:t>«55-1) регулятор товарного ринку – визначений законодавством державний орган, який здійснює державне регулювання певного товарного ринку. Для товарів, щодо яких законодавством прямо не визначеного такого державного органу, державне регулювання організованого товарного ринку та ринку поставних товарних деривативних контрактів, базовим активом яких є такі товари, та регулювання провадження професійної діяльності на таких ринках здійснюється Національною комісією з цінних паперів та фондового ринку;»</w:t>
            </w:r>
          </w:p>
        </w:tc>
        <w:tc>
          <w:tcPr>
            <w:tcW w:w="1987" w:type="dxa"/>
          </w:tcPr>
          <w:p w14:paraId="3227BFBE" w14:textId="77777777" w:rsidR="006126F0" w:rsidRPr="00286216" w:rsidRDefault="006126F0" w:rsidP="006126F0">
            <w:pPr>
              <w:pStyle w:val="StyleWisnow"/>
              <w:rPr>
                <w:color w:val="000000" w:themeColor="text1"/>
              </w:rPr>
            </w:pPr>
            <w:r w:rsidRPr="00286216">
              <w:rPr>
                <w:color w:val="000000" w:themeColor="text1"/>
              </w:rPr>
              <w:t>Відхилено</w:t>
            </w:r>
          </w:p>
          <w:p w14:paraId="39F39B57" w14:textId="77777777" w:rsidR="006126F0" w:rsidRPr="00286216" w:rsidRDefault="006126F0" w:rsidP="006126F0">
            <w:pPr>
              <w:pStyle w:val="StyleWisnow"/>
              <w:spacing w:line="180" w:lineRule="exact"/>
              <w:rPr>
                <w:color w:val="000000" w:themeColor="text1"/>
                <w:spacing w:val="-2"/>
              </w:rPr>
            </w:pPr>
            <w:r w:rsidRPr="00286216">
              <w:rPr>
                <w:color w:val="000000" w:themeColor="text1"/>
                <w:spacing w:val="-2"/>
              </w:rPr>
              <w:t xml:space="preserve">пропонована редакція переобтяжує термінологічний </w:t>
            </w:r>
          </w:p>
          <w:p w14:paraId="519B1EBD" w14:textId="0B56CE0C" w:rsidR="006126F0" w:rsidRPr="00286216" w:rsidRDefault="006126F0" w:rsidP="006276D5">
            <w:pPr>
              <w:pStyle w:val="StyleWisnow"/>
              <w:spacing w:line="180" w:lineRule="exact"/>
              <w:rPr>
                <w:color w:val="000000" w:themeColor="text1"/>
              </w:rPr>
            </w:pPr>
            <w:r w:rsidRPr="00286216">
              <w:rPr>
                <w:color w:val="000000" w:themeColor="text1"/>
                <w:spacing w:val="-2"/>
              </w:rPr>
              <w:t xml:space="preserve">апарат Закону, окрім того, визначення меж компетенції різних регуляторів передбачено у статті </w:t>
            </w:r>
            <w:r w:rsidR="006276D5" w:rsidRPr="00286216">
              <w:rPr>
                <w:color w:val="000000" w:themeColor="text1"/>
                <w:spacing w:val="-2"/>
                <w:lang w:val="ru-RU"/>
              </w:rPr>
              <w:t>7</w:t>
            </w:r>
          </w:p>
        </w:tc>
        <w:tc>
          <w:tcPr>
            <w:tcW w:w="4818" w:type="dxa"/>
          </w:tcPr>
          <w:p w14:paraId="46F71319" w14:textId="77777777" w:rsidR="006126F0" w:rsidRPr="00286216" w:rsidRDefault="006126F0" w:rsidP="006126F0">
            <w:pPr>
              <w:pStyle w:val="StyleZakonu"/>
              <w:rPr>
                <w:color w:val="000000" w:themeColor="text1"/>
              </w:rPr>
            </w:pPr>
          </w:p>
        </w:tc>
      </w:tr>
      <w:tr w:rsidR="00F77E8D" w:rsidRPr="00286216" w14:paraId="521CC0FA" w14:textId="77777777" w:rsidTr="00091AA5">
        <w:tc>
          <w:tcPr>
            <w:tcW w:w="576" w:type="dxa"/>
          </w:tcPr>
          <w:p w14:paraId="362DE280" w14:textId="77777777" w:rsidR="006126F0" w:rsidRPr="00286216" w:rsidRDefault="006126F0" w:rsidP="006126F0">
            <w:pPr>
              <w:pStyle w:val="StyleWisnow"/>
              <w:rPr>
                <w:color w:val="000000" w:themeColor="text1"/>
              </w:rPr>
            </w:pPr>
            <w:bookmarkStart w:id="91" w:name="n87" w:colFirst="0" w:colLast="0"/>
            <w:bookmarkEnd w:id="90"/>
            <w:r w:rsidRPr="00286216">
              <w:rPr>
                <w:color w:val="000000" w:themeColor="text1"/>
              </w:rPr>
              <w:t>87.</w:t>
            </w:r>
          </w:p>
        </w:tc>
        <w:tc>
          <w:tcPr>
            <w:tcW w:w="4818" w:type="dxa"/>
          </w:tcPr>
          <w:p w14:paraId="195719BA" w14:textId="77777777" w:rsidR="006126F0" w:rsidRPr="00286216" w:rsidRDefault="006126F0" w:rsidP="006126F0">
            <w:pPr>
              <w:pStyle w:val="StyleZakonu"/>
              <w:rPr>
                <w:color w:val="000000" w:themeColor="text1"/>
              </w:rPr>
            </w:pPr>
            <w:r w:rsidRPr="00286216">
              <w:rPr>
                <w:color w:val="000000" w:themeColor="text1"/>
              </w:rPr>
              <w:t>56) реструктуризація заборгованості за випуском облігацій (далі - реструктуризація заборгованості) -зміна обов’язків емітента та/або особи, яка надає забезпечення, шляхом, зокрема, внесення змін до умов або припинення зобов’язань, надання додаткового забезпечення, прощення частини боргу, задоволення вимог кредитора (кредиторів), відчуження майна, переведення прав вимоги в капітал, обміну облігацій на інші цінні папери або корпоративні права, емісії нових цінних паперів, новації боргових зобов’язань, вжиття інших заходів;</w:t>
            </w:r>
          </w:p>
        </w:tc>
        <w:tc>
          <w:tcPr>
            <w:tcW w:w="3686" w:type="dxa"/>
          </w:tcPr>
          <w:p w14:paraId="3D82A426" w14:textId="7E82AA61"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7E02CC1" w14:textId="77777777" w:rsidR="006126F0" w:rsidRPr="00286216" w:rsidRDefault="006126F0" w:rsidP="006126F0">
            <w:pPr>
              <w:pStyle w:val="StyleProp"/>
              <w:rPr>
                <w:color w:val="000000" w:themeColor="text1"/>
                <w:szCs w:val="18"/>
              </w:rPr>
            </w:pPr>
            <w:r w:rsidRPr="00286216">
              <w:rPr>
                <w:color w:val="000000" w:themeColor="text1"/>
                <w:szCs w:val="18"/>
              </w:rPr>
              <w:t>Пункт 56 частини першої статті 2 викласти в такій редакції:</w:t>
            </w:r>
          </w:p>
          <w:p w14:paraId="4E21D7FB" w14:textId="77777777" w:rsidR="006126F0" w:rsidRPr="00286216" w:rsidRDefault="006126F0" w:rsidP="006126F0">
            <w:pPr>
              <w:pStyle w:val="StyleProp"/>
              <w:rPr>
                <w:color w:val="000000" w:themeColor="text1"/>
                <w:szCs w:val="18"/>
              </w:rPr>
            </w:pPr>
            <w:r w:rsidRPr="00286216">
              <w:rPr>
                <w:color w:val="000000" w:themeColor="text1"/>
                <w:szCs w:val="18"/>
              </w:rPr>
              <w:t>«56) реструктуризація заборгованості за випуском облігацій (далі – реструктуризація заборгованості) – зміна способу та порядку виконання зобов’язань емітента та/або особи, яка надає забезпечення, погоджена зборами власників облігацій відповідного випуску».</w:t>
            </w:r>
          </w:p>
        </w:tc>
        <w:tc>
          <w:tcPr>
            <w:tcW w:w="1987" w:type="dxa"/>
          </w:tcPr>
          <w:p w14:paraId="0367994B"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3870954F" w14:textId="59D1DA13" w:rsidR="006126F0" w:rsidRPr="00286216" w:rsidRDefault="006126F0" w:rsidP="006126F0">
            <w:pPr>
              <w:pStyle w:val="StyleZakonu"/>
              <w:rPr>
                <w:color w:val="000000" w:themeColor="text1"/>
              </w:rPr>
            </w:pPr>
            <w:r w:rsidRPr="00286216">
              <w:rPr>
                <w:color w:val="000000" w:themeColor="text1"/>
              </w:rPr>
              <w:t>53) реструктуризація заборгованості за випуском облігацій (далі – реструктуризація заборгованості) – зміна способу та порядку виконання зобов’язань (у тому числі шляхом прощення частини боргу та переведенням права вимоги в капітал) емітента та/або особи, яка надає забезпечення, погоджена зборами власників облігацій відповідного випуску;</w:t>
            </w:r>
          </w:p>
        </w:tc>
      </w:tr>
      <w:tr w:rsidR="00F77E8D" w:rsidRPr="00286216" w14:paraId="6650914F" w14:textId="77777777" w:rsidTr="00091AA5">
        <w:tc>
          <w:tcPr>
            <w:tcW w:w="576" w:type="dxa"/>
          </w:tcPr>
          <w:p w14:paraId="57AA436C" w14:textId="77777777" w:rsidR="006126F0" w:rsidRPr="00286216" w:rsidRDefault="006126F0" w:rsidP="006126F0">
            <w:pPr>
              <w:pStyle w:val="StyleWisnow"/>
              <w:rPr>
                <w:color w:val="000000" w:themeColor="text1"/>
              </w:rPr>
            </w:pPr>
          </w:p>
        </w:tc>
        <w:tc>
          <w:tcPr>
            <w:tcW w:w="4818" w:type="dxa"/>
          </w:tcPr>
          <w:p w14:paraId="39E97AE6" w14:textId="77777777" w:rsidR="006126F0" w:rsidRPr="00286216" w:rsidRDefault="006126F0" w:rsidP="006126F0">
            <w:pPr>
              <w:pStyle w:val="StyleZakonu"/>
              <w:rPr>
                <w:color w:val="000000" w:themeColor="text1"/>
              </w:rPr>
            </w:pPr>
          </w:p>
        </w:tc>
        <w:tc>
          <w:tcPr>
            <w:tcW w:w="3686" w:type="dxa"/>
          </w:tcPr>
          <w:p w14:paraId="27632AFA" w14:textId="2BD04856"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123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5A59A5C" w14:textId="77777777" w:rsidR="006126F0" w:rsidRPr="00286216" w:rsidRDefault="006126F0" w:rsidP="006276D5">
            <w:pPr>
              <w:pStyle w:val="StyleProp"/>
              <w:spacing w:line="180" w:lineRule="exact"/>
              <w:rPr>
                <w:color w:val="000000" w:themeColor="text1"/>
              </w:rPr>
            </w:pPr>
            <w:r w:rsidRPr="00286216">
              <w:rPr>
                <w:color w:val="000000" w:themeColor="text1"/>
              </w:rPr>
              <w:t>Доповнити статтю 2 таким визначенням:</w:t>
            </w:r>
          </w:p>
          <w:p w14:paraId="4D1C9C46" w14:textId="3E3F7212" w:rsidR="006126F0" w:rsidRPr="00286216" w:rsidRDefault="006126F0" w:rsidP="006276D5">
            <w:pPr>
              <w:pStyle w:val="StyleProp"/>
              <w:spacing w:line="180" w:lineRule="exact"/>
              <w:rPr>
                <w:color w:val="000000" w:themeColor="text1"/>
              </w:rPr>
            </w:pPr>
            <w:r w:rsidRPr="00286216">
              <w:rPr>
                <w:color w:val="000000" w:themeColor="text1"/>
              </w:rPr>
              <w:t>"рішення про емісію цінних паперів (далі – рішення про емісію) - документ, що приймається уповноваженим органом (особою) емітента, містить передбачену законодавством інформацію, подається до Національної комісії з цінних паперів та фондового ринку для реєстрації випуску цінних паперів".</w:t>
            </w:r>
          </w:p>
        </w:tc>
        <w:tc>
          <w:tcPr>
            <w:tcW w:w="1987" w:type="dxa"/>
          </w:tcPr>
          <w:p w14:paraId="5DA417A6" w14:textId="7023A457"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7B2C1C8F" w14:textId="770B66FC" w:rsidR="006126F0" w:rsidRPr="00286216" w:rsidRDefault="006126F0" w:rsidP="00CD7EE6">
            <w:pPr>
              <w:pStyle w:val="StyleZakonu"/>
              <w:rPr>
                <w:color w:val="000000" w:themeColor="text1"/>
              </w:rPr>
            </w:pPr>
            <w:r w:rsidRPr="00286216">
              <w:rPr>
                <w:color w:val="000000" w:themeColor="text1"/>
              </w:rPr>
              <w:t xml:space="preserve">54) рішення про емісію цінних паперів (далі – рішення про емісію) </w:t>
            </w:r>
            <w:r w:rsidR="00CD7EE6" w:rsidRPr="00286216">
              <w:rPr>
                <w:color w:val="000000" w:themeColor="text1"/>
              </w:rPr>
              <w:t>–</w:t>
            </w:r>
            <w:r w:rsidRPr="00286216">
              <w:rPr>
                <w:color w:val="000000" w:themeColor="text1"/>
              </w:rPr>
              <w:t xml:space="preserve"> документ, що приймається уповноваженим органом (особою) емітента, містить передбачену законодавством інформацію</w:t>
            </w:r>
            <w:r w:rsidR="00CD7EE6" w:rsidRPr="00286216">
              <w:rPr>
                <w:color w:val="000000" w:themeColor="text1"/>
              </w:rPr>
              <w:t xml:space="preserve"> та</w:t>
            </w:r>
            <w:r w:rsidRPr="00286216">
              <w:rPr>
                <w:color w:val="000000" w:themeColor="text1"/>
              </w:rPr>
              <w:t xml:space="preserve"> подається до Національної комісії з цінних паперів та фондового ринку для реєстрації випуску цінних паперів</w:t>
            </w:r>
            <w:r w:rsidR="00CD7EE6" w:rsidRPr="00286216">
              <w:rPr>
                <w:color w:val="000000" w:themeColor="text1"/>
              </w:rPr>
              <w:t>;</w:t>
            </w:r>
          </w:p>
        </w:tc>
      </w:tr>
      <w:tr w:rsidR="00F77E8D" w:rsidRPr="00286216" w14:paraId="58051049" w14:textId="77777777" w:rsidTr="00091AA5">
        <w:tc>
          <w:tcPr>
            <w:tcW w:w="576" w:type="dxa"/>
          </w:tcPr>
          <w:p w14:paraId="34242963" w14:textId="77777777" w:rsidR="006126F0" w:rsidRPr="00286216" w:rsidRDefault="006126F0" w:rsidP="006126F0">
            <w:pPr>
              <w:pStyle w:val="StyleWisnow"/>
              <w:rPr>
                <w:color w:val="000000" w:themeColor="text1"/>
              </w:rPr>
            </w:pPr>
            <w:bookmarkStart w:id="92" w:name="n88" w:colFirst="0" w:colLast="0"/>
            <w:bookmarkEnd w:id="91"/>
            <w:r w:rsidRPr="00286216">
              <w:rPr>
                <w:color w:val="000000" w:themeColor="text1"/>
              </w:rPr>
              <w:t>88.</w:t>
            </w:r>
          </w:p>
        </w:tc>
        <w:tc>
          <w:tcPr>
            <w:tcW w:w="4818" w:type="dxa"/>
          </w:tcPr>
          <w:p w14:paraId="6A548A63" w14:textId="77777777" w:rsidR="006126F0" w:rsidRPr="00286216" w:rsidRDefault="006126F0" w:rsidP="006126F0">
            <w:pPr>
              <w:pStyle w:val="StyleZakonu"/>
              <w:rPr>
                <w:color w:val="000000" w:themeColor="text1"/>
              </w:rPr>
            </w:pPr>
            <w:r w:rsidRPr="00286216">
              <w:rPr>
                <w:color w:val="000000" w:themeColor="text1"/>
              </w:rPr>
              <w:t>57) розміщення цінних паперів - відчуження цінних паперів у процесі їх емісії у порядку, встановленому законодавством, та з урахуванням положень проспекту у разі здійснення публічної пропозиції;</w:t>
            </w:r>
          </w:p>
        </w:tc>
        <w:tc>
          <w:tcPr>
            <w:tcW w:w="3686" w:type="dxa"/>
          </w:tcPr>
          <w:p w14:paraId="484DE67C" w14:textId="24E99930"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F8FF9D0"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Пункт 57 частини першої статті 2 викласти в такій редакції:</w:t>
            </w:r>
          </w:p>
          <w:p w14:paraId="016F8771"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«57) розміщення цінних паперів – відчуження емітентом або особами, які діють від його імені, цінних паперів першим власникам у процесі їх емісії у порядку, встановленому законодавством, та з урахуванням положень проспекту (у разі здійснення публічної пропозиції)»</w:t>
            </w:r>
          </w:p>
        </w:tc>
        <w:tc>
          <w:tcPr>
            <w:tcW w:w="1987" w:type="dxa"/>
          </w:tcPr>
          <w:p w14:paraId="2EABBCAA"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0D718B98" w14:textId="2798D773" w:rsidR="006126F0" w:rsidRPr="00286216" w:rsidRDefault="006126F0" w:rsidP="006126F0">
            <w:pPr>
              <w:pStyle w:val="StyleZakonu"/>
              <w:rPr>
                <w:color w:val="000000" w:themeColor="text1"/>
              </w:rPr>
            </w:pPr>
            <w:r w:rsidRPr="00286216">
              <w:rPr>
                <w:color w:val="000000" w:themeColor="text1"/>
                <w:szCs w:val="18"/>
              </w:rPr>
              <w:t xml:space="preserve">55) </w:t>
            </w:r>
            <w:r w:rsidRPr="00286216">
              <w:rPr>
                <w:color w:val="000000" w:themeColor="text1"/>
              </w:rPr>
              <w:t xml:space="preserve">розміщення цінних паперів – вчинення емітентом цінних паперів, у тому числі через особу, уповноважену діяти від його імені, правочину, результатом якого є набуття першим власником права власності на такі цінні папери у процесі їх емісії у порядку, встановленому законодавством, та з урахуванням положень проспекту (у разі здійснення публічної пропозиції) </w:t>
            </w:r>
            <w:r w:rsidRPr="00286216">
              <w:rPr>
                <w:color w:val="000000" w:themeColor="text1"/>
                <w:szCs w:val="18"/>
              </w:rPr>
              <w:t>або рішення про емісію</w:t>
            </w:r>
            <w:r w:rsidRPr="00286216">
              <w:rPr>
                <w:color w:val="000000" w:themeColor="text1"/>
              </w:rPr>
              <w:t>;</w:t>
            </w:r>
          </w:p>
        </w:tc>
      </w:tr>
      <w:tr w:rsidR="00F77E8D" w:rsidRPr="00286216" w14:paraId="31563F66" w14:textId="77777777" w:rsidTr="00091AA5">
        <w:tc>
          <w:tcPr>
            <w:tcW w:w="576" w:type="dxa"/>
          </w:tcPr>
          <w:p w14:paraId="554E9C58" w14:textId="77777777" w:rsidR="006126F0" w:rsidRPr="00286216" w:rsidRDefault="006126F0" w:rsidP="006126F0">
            <w:pPr>
              <w:pStyle w:val="StyleWisnow"/>
              <w:rPr>
                <w:color w:val="000000" w:themeColor="text1"/>
              </w:rPr>
            </w:pPr>
            <w:bookmarkStart w:id="93" w:name="n89" w:colFirst="0" w:colLast="0"/>
            <w:bookmarkEnd w:id="92"/>
            <w:r w:rsidRPr="00286216">
              <w:rPr>
                <w:color w:val="000000" w:themeColor="text1"/>
              </w:rPr>
              <w:t>89.</w:t>
            </w:r>
          </w:p>
        </w:tc>
        <w:tc>
          <w:tcPr>
            <w:tcW w:w="4818" w:type="dxa"/>
          </w:tcPr>
          <w:p w14:paraId="43D0B9A1" w14:textId="77777777" w:rsidR="006126F0" w:rsidRPr="00286216" w:rsidRDefault="006126F0" w:rsidP="00CD7EE6">
            <w:pPr>
              <w:pStyle w:val="StyleZakonu"/>
              <w:spacing w:after="0"/>
              <w:rPr>
                <w:color w:val="000000" w:themeColor="text1"/>
              </w:rPr>
            </w:pPr>
            <w:r w:rsidRPr="00286216">
              <w:rPr>
                <w:color w:val="000000" w:themeColor="text1"/>
              </w:rPr>
              <w:t xml:space="preserve">58) система управління ризиками та гарантій </w:t>
            </w:r>
            <w:r w:rsidRPr="00286216">
              <w:rPr>
                <w:color w:val="000000" w:themeColor="text1"/>
              </w:rPr>
              <w:lastRenderedPageBreak/>
              <w:t>особи, яка провадить клірингову діяльність, - комплекс заходів, спрямованих на зниження ризиків невиконання або несвоєчасного виконання зобов’язань, що виникають за правочинами з фінансовими інструментами, валютними цінностями та за деривативними контрактами чи товарними операціями;</w:t>
            </w:r>
          </w:p>
        </w:tc>
        <w:tc>
          <w:tcPr>
            <w:tcW w:w="3686" w:type="dxa"/>
          </w:tcPr>
          <w:p w14:paraId="396E3147" w14:textId="0109B05E" w:rsidR="006126F0" w:rsidRPr="00286216" w:rsidRDefault="006126F0" w:rsidP="006126F0">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125</w:t>
            </w:r>
            <w:r w:rsidRPr="00286216">
              <w:rPr>
                <w:color w:val="000000" w:themeColor="text1"/>
                <w:spacing w:val="-4"/>
              </w:rPr>
              <w:fldChar w:fldCharType="end"/>
            </w:r>
            <w:r w:rsidRPr="00286216">
              <w:rPr>
                <w:color w:val="000000" w:themeColor="text1"/>
                <w:spacing w:val="-4"/>
              </w:rPr>
              <w:t>-Н.д.Бєлькова О.В. (Реєстр.картка №403)</w:t>
            </w:r>
          </w:p>
          <w:p w14:paraId="536537D3" w14:textId="77777777" w:rsidR="006126F0" w:rsidRPr="00286216" w:rsidRDefault="006126F0" w:rsidP="006276D5">
            <w:pPr>
              <w:pStyle w:val="StyleProp"/>
              <w:spacing w:line="180" w:lineRule="exact"/>
              <w:rPr>
                <w:color w:val="000000" w:themeColor="text1"/>
              </w:rPr>
            </w:pPr>
            <w:r w:rsidRPr="00286216">
              <w:rPr>
                <w:color w:val="000000" w:themeColor="text1"/>
              </w:rPr>
              <w:lastRenderedPageBreak/>
              <w:t>Пункт 58 ст. 2 викласти у такій редакції:</w:t>
            </w:r>
          </w:p>
          <w:p w14:paraId="5249ED83" w14:textId="1D957628" w:rsidR="006126F0" w:rsidRPr="00286216" w:rsidRDefault="006126F0" w:rsidP="006276D5">
            <w:pPr>
              <w:pStyle w:val="StyleProp"/>
              <w:spacing w:line="180" w:lineRule="exact"/>
              <w:rPr>
                <w:color w:val="000000" w:themeColor="text1"/>
                <w:szCs w:val="18"/>
              </w:rPr>
            </w:pPr>
            <w:r w:rsidRPr="00286216">
              <w:rPr>
                <w:color w:val="000000" w:themeColor="text1"/>
                <w:szCs w:val="18"/>
              </w:rPr>
              <w:t>"58) система управління ризиками та гарантій особи, яка провадить клірингову діяльність - комплекс заходів особи, яка провадить клірингову діяльність, спрямованих на зниження ризиків невиконання або несвоєчасного виконання зобов’язань, допущених до клірингу".</w:t>
            </w:r>
          </w:p>
        </w:tc>
        <w:tc>
          <w:tcPr>
            <w:tcW w:w="1987" w:type="dxa"/>
          </w:tcPr>
          <w:p w14:paraId="79299E04" w14:textId="77777777" w:rsidR="006126F0" w:rsidRPr="00286216" w:rsidRDefault="006126F0" w:rsidP="006126F0">
            <w:pPr>
              <w:pStyle w:val="StyleWisnow"/>
              <w:rPr>
                <w:color w:val="000000" w:themeColor="text1"/>
              </w:rPr>
            </w:pPr>
            <w:r w:rsidRPr="00286216">
              <w:rPr>
                <w:color w:val="000000" w:themeColor="text1"/>
              </w:rPr>
              <w:lastRenderedPageBreak/>
              <w:t>Враховано</w:t>
            </w:r>
          </w:p>
        </w:tc>
        <w:tc>
          <w:tcPr>
            <w:tcW w:w="4818" w:type="dxa"/>
          </w:tcPr>
          <w:p w14:paraId="4CA00114" w14:textId="6B972A56" w:rsidR="006126F0" w:rsidRPr="00286216" w:rsidRDefault="006126F0" w:rsidP="006126F0">
            <w:pPr>
              <w:pStyle w:val="StyleZakonu"/>
              <w:rPr>
                <w:color w:val="000000" w:themeColor="text1"/>
                <w:szCs w:val="18"/>
              </w:rPr>
            </w:pPr>
            <w:r w:rsidRPr="00286216">
              <w:rPr>
                <w:color w:val="000000" w:themeColor="text1"/>
                <w:szCs w:val="18"/>
              </w:rPr>
              <w:t xml:space="preserve">57) система управління ризиками та гарантій </w:t>
            </w:r>
            <w:r w:rsidRPr="00286216">
              <w:rPr>
                <w:color w:val="000000" w:themeColor="text1"/>
                <w:szCs w:val="18"/>
              </w:rPr>
              <w:lastRenderedPageBreak/>
              <w:t>особи, яка провадить клірингову діяльність, - комплекс заходів особи, яка провадить клірингову діяльність, спрямованих на зниження ризиків невиконання або несвоєчасного виконання допущених до клірингу зобов’язань;</w:t>
            </w:r>
          </w:p>
        </w:tc>
      </w:tr>
      <w:bookmarkEnd w:id="93"/>
      <w:tr w:rsidR="00F77E8D" w:rsidRPr="00286216" w14:paraId="144BE257" w14:textId="77777777" w:rsidTr="00091AA5">
        <w:tc>
          <w:tcPr>
            <w:tcW w:w="576" w:type="dxa"/>
          </w:tcPr>
          <w:p w14:paraId="54CAEB71" w14:textId="77777777" w:rsidR="006126F0" w:rsidRPr="00286216" w:rsidRDefault="006126F0" w:rsidP="006126F0">
            <w:pPr>
              <w:pStyle w:val="StyleWisnow"/>
              <w:rPr>
                <w:color w:val="000000" w:themeColor="text1"/>
              </w:rPr>
            </w:pPr>
          </w:p>
        </w:tc>
        <w:tc>
          <w:tcPr>
            <w:tcW w:w="4818" w:type="dxa"/>
          </w:tcPr>
          <w:p w14:paraId="07B74185" w14:textId="77777777" w:rsidR="006126F0" w:rsidRPr="00286216" w:rsidRDefault="006126F0" w:rsidP="006126F0">
            <w:pPr>
              <w:pStyle w:val="StyleZakonu"/>
              <w:rPr>
                <w:color w:val="000000" w:themeColor="text1"/>
              </w:rPr>
            </w:pPr>
          </w:p>
        </w:tc>
        <w:tc>
          <w:tcPr>
            <w:tcW w:w="3686" w:type="dxa"/>
          </w:tcPr>
          <w:p w14:paraId="1C593B46" w14:textId="7CB4F236"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643A980"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Пункт 58 частини першої статті 2 викласти в такій редакції:</w:t>
            </w:r>
          </w:p>
          <w:p w14:paraId="0CCA4867" w14:textId="77777777" w:rsidR="006126F0" w:rsidRPr="00286216" w:rsidRDefault="006126F0" w:rsidP="006126F0">
            <w:pPr>
              <w:pStyle w:val="StyleProp"/>
              <w:spacing w:line="180" w:lineRule="exact"/>
              <w:rPr>
                <w:color w:val="000000" w:themeColor="text1"/>
                <w:spacing w:val="-3"/>
              </w:rPr>
            </w:pPr>
            <w:r w:rsidRPr="00286216">
              <w:rPr>
                <w:color w:val="000000" w:themeColor="text1"/>
                <w:spacing w:val="-3"/>
                <w:szCs w:val="18"/>
              </w:rPr>
              <w:t>«58) система управління ризиками та гарантій особи, яка провадить клірингову діяльність - комплекс заходів особи, яка провадить клірингову діяльність, спрямованих на зниження ризиків невиконання або несвоєчасного виконання допущених до клірингу зобов’язань, що виникають за правочинами з фінансовими інструментами, валютними цінностями та за деривативними контрактами чи товарними операціями».</w:t>
            </w:r>
          </w:p>
        </w:tc>
        <w:tc>
          <w:tcPr>
            <w:tcW w:w="1987" w:type="dxa"/>
          </w:tcPr>
          <w:p w14:paraId="47485409" w14:textId="77777777" w:rsidR="006126F0" w:rsidRPr="00286216" w:rsidRDefault="006126F0" w:rsidP="006126F0">
            <w:pPr>
              <w:pStyle w:val="StyleWisnow"/>
              <w:rPr>
                <w:color w:val="000000" w:themeColor="text1"/>
              </w:rPr>
            </w:pPr>
            <w:r w:rsidRPr="00286216">
              <w:rPr>
                <w:color w:val="000000" w:themeColor="text1"/>
              </w:rPr>
              <w:t>Враховано редакційно</w:t>
            </w:r>
          </w:p>
        </w:tc>
        <w:tc>
          <w:tcPr>
            <w:tcW w:w="4818" w:type="dxa"/>
          </w:tcPr>
          <w:p w14:paraId="3CCCB516" w14:textId="1335C149" w:rsidR="006126F0" w:rsidRPr="00286216" w:rsidRDefault="006126F0" w:rsidP="006126F0">
            <w:pPr>
              <w:pStyle w:val="StyleZakonu"/>
              <w:rPr>
                <w:color w:val="000000" w:themeColor="text1"/>
              </w:rPr>
            </w:pPr>
          </w:p>
        </w:tc>
      </w:tr>
      <w:tr w:rsidR="00F77E8D" w:rsidRPr="00286216" w14:paraId="47DB1A08" w14:textId="77777777" w:rsidTr="00091AA5">
        <w:tc>
          <w:tcPr>
            <w:tcW w:w="576" w:type="dxa"/>
          </w:tcPr>
          <w:p w14:paraId="3E36D2D0" w14:textId="77777777" w:rsidR="006126F0" w:rsidRPr="00286216" w:rsidRDefault="006126F0" w:rsidP="006126F0">
            <w:pPr>
              <w:pStyle w:val="StyleWisnow"/>
              <w:rPr>
                <w:color w:val="000000" w:themeColor="text1"/>
              </w:rPr>
            </w:pPr>
            <w:bookmarkStart w:id="94" w:name="n90" w:colFirst="0" w:colLast="0"/>
            <w:r w:rsidRPr="00286216">
              <w:rPr>
                <w:color w:val="000000" w:themeColor="text1"/>
              </w:rPr>
              <w:t>90.</w:t>
            </w:r>
          </w:p>
        </w:tc>
        <w:tc>
          <w:tcPr>
            <w:tcW w:w="4818" w:type="dxa"/>
          </w:tcPr>
          <w:p w14:paraId="584239AC" w14:textId="77777777" w:rsidR="006126F0" w:rsidRPr="00286216" w:rsidRDefault="006126F0" w:rsidP="006126F0">
            <w:pPr>
              <w:pStyle w:val="StyleZakonu"/>
              <w:rPr>
                <w:color w:val="000000" w:themeColor="text1"/>
              </w:rPr>
            </w:pPr>
            <w:r w:rsidRPr="00286216">
              <w:rPr>
                <w:color w:val="000000" w:themeColor="text1"/>
              </w:rPr>
              <w:t>59) системно важливий професійний учасник ринків капіталу та організованих товарних ринків - професійний учасник ринків капіталу та організованих товарних ринків, що відповідає принаймні одному з критеріїв, встановленим Національною комісією з цінних паперів та фондового ринку, діяльність якого впливає на стабільність ринків капіталу та/або організованих товарних ринків. Такими критеріями, зокрема, є:</w:t>
            </w:r>
          </w:p>
        </w:tc>
        <w:tc>
          <w:tcPr>
            <w:tcW w:w="3686" w:type="dxa"/>
          </w:tcPr>
          <w:p w14:paraId="7FAB5997" w14:textId="210A31E7"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127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B98FB73" w14:textId="236B7158" w:rsidR="006126F0" w:rsidRPr="00286216" w:rsidRDefault="006126F0" w:rsidP="00CD7EE6">
            <w:pPr>
              <w:pStyle w:val="StyleProp"/>
              <w:spacing w:line="180" w:lineRule="exact"/>
              <w:rPr>
                <w:rFonts w:eastAsia="Calibri"/>
                <w:color w:val="000000" w:themeColor="text1"/>
                <w:szCs w:val="18"/>
              </w:rPr>
            </w:pPr>
            <w:r w:rsidRPr="00286216">
              <w:rPr>
                <w:rFonts w:eastAsia="Calibri"/>
                <w:color w:val="000000" w:themeColor="text1"/>
                <w:szCs w:val="18"/>
              </w:rPr>
              <w:t>Пункт 59 статті 2 виключити</w:t>
            </w:r>
            <w:r w:rsidRPr="00286216" w:rsidDel="00FD3599">
              <w:rPr>
                <w:rFonts w:eastAsia="Calibri"/>
                <w:color w:val="000000" w:themeColor="text1"/>
                <w:szCs w:val="18"/>
              </w:rPr>
              <w:t xml:space="preserve"> </w:t>
            </w:r>
            <w:r w:rsidRPr="00286216">
              <w:rPr>
                <w:rFonts w:eastAsia="Calibri"/>
                <w:color w:val="000000" w:themeColor="text1"/>
                <w:szCs w:val="18"/>
              </w:rPr>
              <w:t xml:space="preserve">та передбачити норми щодо системно важливих професійних учасників </w:t>
            </w:r>
            <w:r w:rsidR="002D299C" w:rsidRPr="00286216">
              <w:rPr>
                <w:rFonts w:eastAsia="Calibri"/>
                <w:color w:val="000000" w:themeColor="text1"/>
                <w:szCs w:val="18"/>
              </w:rPr>
              <w:t xml:space="preserve">в окремій </w:t>
            </w:r>
            <w:r w:rsidRPr="00286216">
              <w:rPr>
                <w:rFonts w:eastAsia="Calibri"/>
                <w:color w:val="000000" w:themeColor="text1"/>
                <w:szCs w:val="18"/>
              </w:rPr>
              <w:t>статті.</w:t>
            </w:r>
          </w:p>
          <w:p w14:paraId="66F365E2" w14:textId="089C6D90"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128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29879BA" w14:textId="77777777" w:rsidR="006126F0" w:rsidRPr="00286216" w:rsidRDefault="006126F0" w:rsidP="006126F0">
            <w:pPr>
              <w:spacing w:line="180" w:lineRule="exact"/>
              <w:ind w:firstLine="227"/>
              <w:jc w:val="both"/>
              <w:rPr>
                <w:color w:val="000000" w:themeColor="text1"/>
                <w:spacing w:val="-2"/>
                <w:sz w:val="18"/>
              </w:rPr>
            </w:pPr>
            <w:r w:rsidRPr="00286216">
              <w:rPr>
                <w:color w:val="000000" w:themeColor="text1"/>
                <w:sz w:val="18"/>
              </w:rPr>
              <w:t xml:space="preserve">Пункт 59 частини 2 статті 2 розділу 1 </w:t>
            </w:r>
            <w:r w:rsidRPr="00286216">
              <w:rPr>
                <w:color w:val="000000" w:themeColor="text1"/>
                <w:spacing w:val="-2"/>
                <w:sz w:val="18"/>
              </w:rPr>
              <w:t>викласти в такій редакції:</w:t>
            </w:r>
          </w:p>
          <w:p w14:paraId="4E829A41" w14:textId="77777777" w:rsidR="006126F0" w:rsidRPr="00286216" w:rsidRDefault="006126F0" w:rsidP="006126F0">
            <w:pPr>
              <w:spacing w:line="180" w:lineRule="exact"/>
              <w:ind w:firstLine="227"/>
              <w:jc w:val="both"/>
              <w:rPr>
                <w:color w:val="000000" w:themeColor="text1"/>
                <w:spacing w:val="-2"/>
                <w:sz w:val="18"/>
              </w:rPr>
            </w:pPr>
            <w:r w:rsidRPr="00286216">
              <w:rPr>
                <w:color w:val="000000" w:themeColor="text1"/>
                <w:spacing w:val="-2"/>
                <w:sz w:val="18"/>
              </w:rPr>
              <w:t xml:space="preserve">«59) системно важливий професійний учасник ринків капіталу – професійний учасник ринків капіталу, що відповідає щонайменше двом з наступних критеріїв: </w:t>
            </w:r>
          </w:p>
          <w:p w14:paraId="0364869C" w14:textId="77777777" w:rsidR="006126F0" w:rsidRPr="00286216" w:rsidRDefault="006126F0" w:rsidP="006126F0">
            <w:pPr>
              <w:spacing w:line="180" w:lineRule="exact"/>
              <w:ind w:firstLine="227"/>
              <w:jc w:val="both"/>
              <w:rPr>
                <w:color w:val="000000" w:themeColor="text1"/>
                <w:spacing w:val="-2"/>
                <w:sz w:val="18"/>
              </w:rPr>
            </w:pPr>
            <w:r w:rsidRPr="00286216">
              <w:rPr>
                <w:color w:val="000000" w:themeColor="text1"/>
                <w:spacing w:val="-2"/>
                <w:sz w:val="18"/>
              </w:rPr>
              <w:t>а) кількість клієнтів – фізичних осіб;</w:t>
            </w:r>
          </w:p>
          <w:p w14:paraId="428CBDBA" w14:textId="77777777" w:rsidR="006126F0" w:rsidRPr="00286216" w:rsidRDefault="006126F0" w:rsidP="006126F0">
            <w:pPr>
              <w:spacing w:line="180" w:lineRule="exact"/>
              <w:ind w:firstLine="227"/>
              <w:jc w:val="both"/>
              <w:rPr>
                <w:color w:val="000000" w:themeColor="text1"/>
                <w:spacing w:val="-2"/>
                <w:sz w:val="18"/>
              </w:rPr>
            </w:pPr>
            <w:r w:rsidRPr="00286216">
              <w:rPr>
                <w:color w:val="000000" w:themeColor="text1"/>
                <w:spacing w:val="-2"/>
                <w:sz w:val="18"/>
              </w:rPr>
              <w:t>б) визначення професійного учасника ринків капіталу як контролера небанківської фінансової групи;</w:t>
            </w:r>
          </w:p>
          <w:p w14:paraId="2C57651C" w14:textId="77777777" w:rsidR="006126F0" w:rsidRPr="00286216" w:rsidRDefault="006126F0" w:rsidP="006126F0">
            <w:pPr>
              <w:spacing w:line="180" w:lineRule="exact"/>
              <w:ind w:firstLine="227"/>
              <w:jc w:val="both"/>
              <w:rPr>
                <w:color w:val="000000" w:themeColor="text1"/>
                <w:spacing w:val="-2"/>
                <w:sz w:val="18"/>
              </w:rPr>
            </w:pPr>
            <w:r w:rsidRPr="00286216">
              <w:rPr>
                <w:color w:val="000000" w:themeColor="text1"/>
                <w:spacing w:val="-2"/>
                <w:sz w:val="18"/>
              </w:rPr>
              <w:t>в) доля загального обсягу торгів на організованому ринку (за кожним видом емісійних цінних паперів та деривативів).</w:t>
            </w:r>
          </w:p>
          <w:p w14:paraId="2FCEA329" w14:textId="77777777" w:rsidR="006126F0" w:rsidRPr="00286216" w:rsidRDefault="006126F0" w:rsidP="006126F0">
            <w:pPr>
              <w:spacing w:line="180" w:lineRule="exact"/>
              <w:ind w:firstLine="227"/>
              <w:jc w:val="both"/>
              <w:rPr>
                <w:color w:val="000000" w:themeColor="text1"/>
                <w:spacing w:val="-4"/>
                <w:szCs w:val="18"/>
              </w:rPr>
            </w:pPr>
            <w:r w:rsidRPr="00286216">
              <w:rPr>
                <w:color w:val="000000" w:themeColor="text1"/>
                <w:spacing w:val="-4"/>
                <w:sz w:val="18"/>
              </w:rPr>
              <w:t>Кількісна величина критерію встановлюється Національною комісією з цінних паперів та фондового ринку в залежності від стану розвитку ринків капіталу.»</w:t>
            </w:r>
          </w:p>
        </w:tc>
        <w:tc>
          <w:tcPr>
            <w:tcW w:w="1987" w:type="dxa"/>
          </w:tcPr>
          <w:p w14:paraId="25563A62" w14:textId="77777777" w:rsidR="006126F0" w:rsidRPr="00286216" w:rsidRDefault="006126F0" w:rsidP="006126F0">
            <w:pPr>
              <w:pStyle w:val="StyleWisnow"/>
              <w:spacing w:line="180" w:lineRule="exact"/>
              <w:rPr>
                <w:color w:val="000000" w:themeColor="text1"/>
              </w:rPr>
            </w:pPr>
            <w:r w:rsidRPr="00286216">
              <w:rPr>
                <w:color w:val="000000" w:themeColor="text1"/>
              </w:rPr>
              <w:t>Враховано</w:t>
            </w:r>
          </w:p>
          <w:p w14:paraId="780A76F3" w14:textId="5821F3A2" w:rsidR="006126F0" w:rsidRPr="00286216" w:rsidRDefault="002D299C" w:rsidP="006126F0">
            <w:pPr>
              <w:pStyle w:val="StyleWisnow"/>
              <w:spacing w:line="180" w:lineRule="exact"/>
              <w:rPr>
                <w:color w:val="000000" w:themeColor="text1"/>
              </w:rPr>
            </w:pPr>
            <w:r w:rsidRPr="00286216">
              <w:rPr>
                <w:color w:val="000000" w:themeColor="text1"/>
              </w:rPr>
              <w:t>у статті 4</w:t>
            </w:r>
            <w:r w:rsidR="006276D5" w:rsidRPr="00286216">
              <w:rPr>
                <w:color w:val="000000" w:themeColor="text1"/>
                <w:lang w:val="ru-RU"/>
              </w:rPr>
              <w:t>3</w:t>
            </w:r>
          </w:p>
          <w:p w14:paraId="44822EB4" w14:textId="77777777" w:rsidR="006126F0" w:rsidRPr="00286216" w:rsidRDefault="006126F0" w:rsidP="006126F0">
            <w:pPr>
              <w:pStyle w:val="StyleWisnow"/>
              <w:spacing w:line="180" w:lineRule="exact"/>
              <w:rPr>
                <w:color w:val="000000" w:themeColor="text1"/>
              </w:rPr>
            </w:pPr>
          </w:p>
          <w:p w14:paraId="514694EB" w14:textId="77777777" w:rsidR="006126F0" w:rsidRPr="00286216" w:rsidRDefault="006126F0" w:rsidP="006126F0">
            <w:pPr>
              <w:pStyle w:val="StyleWisnow"/>
              <w:spacing w:line="180" w:lineRule="exact"/>
              <w:rPr>
                <w:color w:val="000000" w:themeColor="text1"/>
              </w:rPr>
            </w:pPr>
          </w:p>
          <w:p w14:paraId="1BCBD9EF" w14:textId="77777777" w:rsidR="006126F0" w:rsidRPr="00286216" w:rsidRDefault="006126F0" w:rsidP="006126F0">
            <w:pPr>
              <w:pStyle w:val="StyleWisnow"/>
              <w:spacing w:line="180" w:lineRule="exact"/>
              <w:rPr>
                <w:color w:val="000000" w:themeColor="text1"/>
              </w:rPr>
            </w:pPr>
          </w:p>
          <w:p w14:paraId="76746223" w14:textId="77777777" w:rsidR="006126F0" w:rsidRPr="00286216" w:rsidRDefault="006126F0" w:rsidP="006126F0">
            <w:pPr>
              <w:pStyle w:val="StyleWisnow"/>
              <w:spacing w:line="180" w:lineRule="exact"/>
              <w:rPr>
                <w:color w:val="000000" w:themeColor="text1"/>
              </w:rPr>
            </w:pPr>
            <w:r w:rsidRPr="00286216">
              <w:rPr>
                <w:color w:val="000000" w:themeColor="text1"/>
              </w:rPr>
              <w:t>Враховано редакційно</w:t>
            </w:r>
          </w:p>
          <w:p w14:paraId="69E5E162" w14:textId="298C807E" w:rsidR="006126F0" w:rsidRPr="00286216" w:rsidRDefault="006126F0" w:rsidP="00FD19D7">
            <w:pPr>
              <w:pStyle w:val="StyleWisnow"/>
              <w:spacing w:line="180" w:lineRule="exact"/>
              <w:rPr>
                <w:color w:val="000000" w:themeColor="text1"/>
              </w:rPr>
            </w:pPr>
            <w:r w:rsidRPr="00286216">
              <w:rPr>
                <w:color w:val="000000" w:themeColor="text1"/>
              </w:rPr>
              <w:t xml:space="preserve">у </w:t>
            </w:r>
            <w:r w:rsidR="002D299C" w:rsidRPr="00286216">
              <w:rPr>
                <w:color w:val="000000" w:themeColor="text1"/>
              </w:rPr>
              <w:t>статті</w:t>
            </w:r>
            <w:r w:rsidR="00FD19D7" w:rsidRPr="00286216">
              <w:rPr>
                <w:color w:val="000000" w:themeColor="text1"/>
              </w:rPr>
              <w:t xml:space="preserve"> </w:t>
            </w:r>
            <w:r w:rsidR="002D299C" w:rsidRPr="00286216">
              <w:rPr>
                <w:color w:val="000000" w:themeColor="text1"/>
              </w:rPr>
              <w:t>4</w:t>
            </w:r>
            <w:r w:rsidR="00FD19D7" w:rsidRPr="00286216">
              <w:rPr>
                <w:color w:val="000000" w:themeColor="text1"/>
              </w:rPr>
              <w:t>3</w:t>
            </w:r>
          </w:p>
        </w:tc>
        <w:tc>
          <w:tcPr>
            <w:tcW w:w="4818" w:type="dxa"/>
          </w:tcPr>
          <w:p w14:paraId="3304526E" w14:textId="77777777" w:rsidR="006126F0" w:rsidRPr="00286216" w:rsidRDefault="006126F0" w:rsidP="006126F0">
            <w:pPr>
              <w:pStyle w:val="StyleZakonu"/>
              <w:rPr>
                <w:color w:val="000000" w:themeColor="text1"/>
              </w:rPr>
            </w:pPr>
          </w:p>
        </w:tc>
      </w:tr>
      <w:tr w:rsidR="00F77E8D" w:rsidRPr="00286216" w14:paraId="12EA39F9" w14:textId="77777777" w:rsidTr="00091AA5">
        <w:tc>
          <w:tcPr>
            <w:tcW w:w="576" w:type="dxa"/>
          </w:tcPr>
          <w:p w14:paraId="3B82771A" w14:textId="77777777" w:rsidR="006126F0" w:rsidRPr="00286216" w:rsidRDefault="006126F0" w:rsidP="006126F0">
            <w:pPr>
              <w:pStyle w:val="StyleWisnow"/>
              <w:rPr>
                <w:color w:val="000000" w:themeColor="text1"/>
              </w:rPr>
            </w:pPr>
            <w:bookmarkStart w:id="95" w:name="n91" w:colFirst="0" w:colLast="0"/>
            <w:bookmarkEnd w:id="94"/>
            <w:r w:rsidRPr="00286216">
              <w:rPr>
                <w:color w:val="000000" w:themeColor="text1"/>
              </w:rPr>
              <w:t>91.</w:t>
            </w:r>
          </w:p>
        </w:tc>
        <w:tc>
          <w:tcPr>
            <w:tcW w:w="4818" w:type="dxa"/>
          </w:tcPr>
          <w:p w14:paraId="17200441" w14:textId="77777777" w:rsidR="006126F0" w:rsidRPr="00286216" w:rsidRDefault="006126F0" w:rsidP="006126F0">
            <w:pPr>
              <w:pStyle w:val="StyleZakonu"/>
              <w:rPr>
                <w:color w:val="000000" w:themeColor="text1"/>
              </w:rPr>
            </w:pPr>
            <w:r w:rsidRPr="00286216">
              <w:rPr>
                <w:color w:val="000000" w:themeColor="text1"/>
              </w:rPr>
              <w:t>а) розмір капіталу професійного учасника ринків капіталу та організованих товарних ринків;</w:t>
            </w:r>
          </w:p>
        </w:tc>
        <w:tc>
          <w:tcPr>
            <w:tcW w:w="3686" w:type="dxa"/>
          </w:tcPr>
          <w:p w14:paraId="424FE2FE" w14:textId="217BBFA6"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129</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0DC3F8A7" w14:textId="77777777" w:rsidR="006126F0" w:rsidRPr="00286216" w:rsidRDefault="006126F0" w:rsidP="004B55AD">
            <w:pPr>
              <w:spacing w:line="180" w:lineRule="exact"/>
              <w:ind w:firstLine="227"/>
              <w:jc w:val="both"/>
              <w:rPr>
                <w:color w:val="000000" w:themeColor="text1"/>
                <w:sz w:val="18"/>
              </w:rPr>
            </w:pPr>
            <w:r w:rsidRPr="00286216">
              <w:rPr>
                <w:color w:val="000000" w:themeColor="text1"/>
                <w:sz w:val="18"/>
              </w:rPr>
              <w:t>пункт 59 викласти у такій редакції:</w:t>
            </w:r>
          </w:p>
          <w:p w14:paraId="3226D1FF" w14:textId="77777777" w:rsidR="006126F0" w:rsidRPr="00286216" w:rsidRDefault="006126F0" w:rsidP="004B55AD">
            <w:pPr>
              <w:spacing w:line="180" w:lineRule="exact"/>
              <w:ind w:firstLine="227"/>
              <w:jc w:val="both"/>
              <w:rPr>
                <w:color w:val="000000" w:themeColor="text1"/>
                <w:sz w:val="18"/>
              </w:rPr>
            </w:pPr>
            <w:r w:rsidRPr="00286216">
              <w:rPr>
                <w:color w:val="000000" w:themeColor="text1"/>
                <w:sz w:val="18"/>
              </w:rPr>
              <w:t xml:space="preserve">«59) системно важливий професійний учасник ринків капіталу – професійний учасник ринків капіталу, що відповідає принаймні одному з критеріїв, встановленим Національною комісією з цінних паперів та фондового ринку, діяльність якого впливає на стабільність ринків капіталу та/або організованих товарних ринків. Такими критеріями є: </w:t>
            </w:r>
          </w:p>
          <w:p w14:paraId="1652E760" w14:textId="77777777" w:rsidR="006126F0" w:rsidRPr="00286216" w:rsidRDefault="006126F0" w:rsidP="004B55AD">
            <w:pPr>
              <w:spacing w:line="180" w:lineRule="exact"/>
              <w:ind w:firstLine="227"/>
              <w:jc w:val="both"/>
              <w:rPr>
                <w:color w:val="000000" w:themeColor="text1"/>
                <w:sz w:val="18"/>
              </w:rPr>
            </w:pPr>
            <w:r w:rsidRPr="00286216">
              <w:rPr>
                <w:color w:val="000000" w:themeColor="text1"/>
                <w:sz w:val="18"/>
              </w:rPr>
              <w:lastRenderedPageBreak/>
              <w:t xml:space="preserve">розмір капіталу професійного учасника ринків капіталу; </w:t>
            </w:r>
          </w:p>
          <w:p w14:paraId="05830926" w14:textId="77777777" w:rsidR="006126F0" w:rsidRPr="00286216" w:rsidRDefault="006126F0" w:rsidP="004B55AD">
            <w:pPr>
              <w:spacing w:line="180" w:lineRule="exact"/>
              <w:ind w:firstLine="227"/>
              <w:jc w:val="both"/>
              <w:rPr>
                <w:color w:val="000000" w:themeColor="text1"/>
                <w:sz w:val="18"/>
              </w:rPr>
            </w:pPr>
            <w:r w:rsidRPr="00286216">
              <w:rPr>
                <w:color w:val="000000" w:themeColor="text1"/>
                <w:sz w:val="18"/>
              </w:rPr>
              <w:t xml:space="preserve">ступінь фінансових взаємозв’язків професійного учасника ринків капіталу; </w:t>
            </w:r>
          </w:p>
          <w:p w14:paraId="0F029DEC" w14:textId="77777777" w:rsidR="006126F0" w:rsidRPr="00286216" w:rsidRDefault="006126F0" w:rsidP="004B55AD">
            <w:pPr>
              <w:spacing w:line="180" w:lineRule="exact"/>
              <w:ind w:firstLine="227"/>
              <w:jc w:val="both"/>
              <w:rPr>
                <w:color w:val="000000" w:themeColor="text1"/>
                <w:sz w:val="18"/>
              </w:rPr>
            </w:pPr>
            <w:r w:rsidRPr="00286216">
              <w:rPr>
                <w:color w:val="000000" w:themeColor="text1"/>
                <w:sz w:val="18"/>
              </w:rPr>
              <w:t>напрям діяльності професійного учасника ринків капіталу;</w:t>
            </w:r>
          </w:p>
          <w:p w14:paraId="7271132A" w14:textId="77777777" w:rsidR="006126F0" w:rsidRPr="00286216" w:rsidRDefault="006126F0" w:rsidP="004B55AD">
            <w:pPr>
              <w:spacing w:line="180" w:lineRule="exact"/>
              <w:ind w:firstLine="227"/>
              <w:jc w:val="both"/>
              <w:rPr>
                <w:color w:val="000000" w:themeColor="text1"/>
                <w:szCs w:val="18"/>
              </w:rPr>
            </w:pPr>
            <w:r w:rsidRPr="00286216">
              <w:rPr>
                <w:color w:val="000000" w:themeColor="text1"/>
                <w:sz w:val="18"/>
              </w:rPr>
              <w:t>кількість клієнтів – фізичних осіб.»;</w:t>
            </w:r>
          </w:p>
        </w:tc>
        <w:tc>
          <w:tcPr>
            <w:tcW w:w="1987" w:type="dxa"/>
          </w:tcPr>
          <w:p w14:paraId="76F92771" w14:textId="77777777" w:rsidR="006126F0" w:rsidRPr="00286216" w:rsidRDefault="006126F0" w:rsidP="006126F0">
            <w:pPr>
              <w:pStyle w:val="StyleWisnow"/>
              <w:spacing w:line="180" w:lineRule="exact"/>
              <w:rPr>
                <w:color w:val="000000" w:themeColor="text1"/>
              </w:rPr>
            </w:pPr>
            <w:r w:rsidRPr="00286216">
              <w:rPr>
                <w:color w:val="000000" w:themeColor="text1"/>
              </w:rPr>
              <w:lastRenderedPageBreak/>
              <w:t>Враховано редакційно</w:t>
            </w:r>
          </w:p>
          <w:p w14:paraId="4F6B1D8D" w14:textId="0E2A382B" w:rsidR="006126F0" w:rsidRPr="00286216" w:rsidRDefault="006126F0" w:rsidP="00FD19D7">
            <w:pPr>
              <w:pStyle w:val="StyleWisnow"/>
              <w:rPr>
                <w:color w:val="000000" w:themeColor="text1"/>
              </w:rPr>
            </w:pPr>
            <w:r w:rsidRPr="00286216">
              <w:rPr>
                <w:color w:val="000000" w:themeColor="text1"/>
              </w:rPr>
              <w:t xml:space="preserve">у статті </w:t>
            </w:r>
            <w:r w:rsidR="002D299C" w:rsidRPr="00286216">
              <w:rPr>
                <w:color w:val="000000" w:themeColor="text1"/>
              </w:rPr>
              <w:t>4</w:t>
            </w:r>
            <w:r w:rsidR="00FD19D7" w:rsidRPr="00286216">
              <w:rPr>
                <w:color w:val="000000" w:themeColor="text1"/>
              </w:rPr>
              <w:t>3</w:t>
            </w:r>
          </w:p>
        </w:tc>
        <w:tc>
          <w:tcPr>
            <w:tcW w:w="4818" w:type="dxa"/>
          </w:tcPr>
          <w:p w14:paraId="5B597BAB" w14:textId="77777777" w:rsidR="006126F0" w:rsidRPr="00286216" w:rsidRDefault="006126F0" w:rsidP="006126F0">
            <w:pPr>
              <w:pStyle w:val="StyleZakonu"/>
              <w:rPr>
                <w:color w:val="000000" w:themeColor="text1"/>
              </w:rPr>
            </w:pPr>
          </w:p>
        </w:tc>
      </w:tr>
      <w:tr w:rsidR="00F77E8D" w:rsidRPr="00286216" w14:paraId="392D4B55" w14:textId="77777777" w:rsidTr="00091AA5">
        <w:tc>
          <w:tcPr>
            <w:tcW w:w="576" w:type="dxa"/>
          </w:tcPr>
          <w:p w14:paraId="3EBEB9AF" w14:textId="77777777" w:rsidR="006126F0" w:rsidRPr="00286216" w:rsidRDefault="006126F0" w:rsidP="006126F0">
            <w:pPr>
              <w:pStyle w:val="StyleWisnow"/>
              <w:rPr>
                <w:color w:val="000000" w:themeColor="text1"/>
              </w:rPr>
            </w:pPr>
            <w:bookmarkStart w:id="96" w:name="n92" w:colFirst="0" w:colLast="0"/>
            <w:bookmarkEnd w:id="95"/>
            <w:r w:rsidRPr="00286216">
              <w:rPr>
                <w:color w:val="000000" w:themeColor="text1"/>
              </w:rPr>
              <w:t>92.</w:t>
            </w:r>
          </w:p>
        </w:tc>
        <w:tc>
          <w:tcPr>
            <w:tcW w:w="4818" w:type="dxa"/>
          </w:tcPr>
          <w:p w14:paraId="35E63934" w14:textId="77777777" w:rsidR="006126F0" w:rsidRPr="00286216" w:rsidRDefault="006126F0" w:rsidP="006126F0">
            <w:pPr>
              <w:pStyle w:val="StyleZakonu"/>
              <w:rPr>
                <w:color w:val="000000" w:themeColor="text1"/>
              </w:rPr>
            </w:pPr>
            <w:r w:rsidRPr="00286216">
              <w:rPr>
                <w:color w:val="000000" w:themeColor="text1"/>
              </w:rPr>
              <w:t>б) ступінь фінансових взаємозв’язків професійного учасника ринків капіталу та організованих товарних ринків;</w:t>
            </w:r>
          </w:p>
        </w:tc>
        <w:tc>
          <w:tcPr>
            <w:tcW w:w="3686" w:type="dxa"/>
          </w:tcPr>
          <w:p w14:paraId="5C2D566E" w14:textId="77777777" w:rsidR="006126F0" w:rsidRPr="00286216" w:rsidRDefault="006126F0" w:rsidP="006126F0">
            <w:pPr>
              <w:pStyle w:val="StyleProp"/>
              <w:rPr>
                <w:color w:val="000000" w:themeColor="text1"/>
                <w:szCs w:val="18"/>
              </w:rPr>
            </w:pPr>
          </w:p>
        </w:tc>
        <w:tc>
          <w:tcPr>
            <w:tcW w:w="1987" w:type="dxa"/>
          </w:tcPr>
          <w:p w14:paraId="5259B24C" w14:textId="77777777" w:rsidR="006126F0" w:rsidRPr="00286216" w:rsidRDefault="006126F0" w:rsidP="006126F0">
            <w:pPr>
              <w:pStyle w:val="StyleWisnow"/>
              <w:rPr>
                <w:color w:val="000000" w:themeColor="text1"/>
              </w:rPr>
            </w:pPr>
          </w:p>
        </w:tc>
        <w:tc>
          <w:tcPr>
            <w:tcW w:w="4818" w:type="dxa"/>
          </w:tcPr>
          <w:p w14:paraId="5619DC82" w14:textId="77777777" w:rsidR="006126F0" w:rsidRPr="00286216" w:rsidRDefault="006126F0" w:rsidP="006126F0">
            <w:pPr>
              <w:pStyle w:val="StyleZakonu"/>
              <w:rPr>
                <w:color w:val="000000" w:themeColor="text1"/>
              </w:rPr>
            </w:pPr>
          </w:p>
        </w:tc>
      </w:tr>
      <w:tr w:rsidR="00F77E8D" w:rsidRPr="00286216" w14:paraId="3E0C0811" w14:textId="77777777" w:rsidTr="00091AA5">
        <w:tc>
          <w:tcPr>
            <w:tcW w:w="576" w:type="dxa"/>
          </w:tcPr>
          <w:p w14:paraId="19AFC922" w14:textId="77777777" w:rsidR="006126F0" w:rsidRPr="00286216" w:rsidRDefault="006126F0" w:rsidP="006126F0">
            <w:pPr>
              <w:pStyle w:val="StyleWisnow"/>
              <w:rPr>
                <w:color w:val="000000" w:themeColor="text1"/>
              </w:rPr>
            </w:pPr>
            <w:bookmarkStart w:id="97" w:name="n93" w:colFirst="0" w:colLast="0"/>
            <w:bookmarkEnd w:id="96"/>
            <w:r w:rsidRPr="00286216">
              <w:rPr>
                <w:color w:val="000000" w:themeColor="text1"/>
              </w:rPr>
              <w:t>93.</w:t>
            </w:r>
          </w:p>
        </w:tc>
        <w:tc>
          <w:tcPr>
            <w:tcW w:w="4818" w:type="dxa"/>
          </w:tcPr>
          <w:p w14:paraId="07C3DB3F" w14:textId="77777777" w:rsidR="006126F0" w:rsidRPr="00286216" w:rsidRDefault="006126F0" w:rsidP="006126F0">
            <w:pPr>
              <w:pStyle w:val="StyleZakonu"/>
              <w:rPr>
                <w:color w:val="000000" w:themeColor="text1"/>
              </w:rPr>
            </w:pPr>
            <w:r w:rsidRPr="00286216">
              <w:rPr>
                <w:color w:val="000000" w:themeColor="text1"/>
              </w:rPr>
              <w:t>в) напрям діяльності професійного учасника ринків капіталу та організованих товарних ринків;</w:t>
            </w:r>
          </w:p>
        </w:tc>
        <w:tc>
          <w:tcPr>
            <w:tcW w:w="3686" w:type="dxa"/>
          </w:tcPr>
          <w:p w14:paraId="7FBEB4B5" w14:textId="77777777" w:rsidR="006126F0" w:rsidRPr="00286216" w:rsidRDefault="006126F0" w:rsidP="006126F0">
            <w:pPr>
              <w:pStyle w:val="StyleProp"/>
              <w:rPr>
                <w:color w:val="000000" w:themeColor="text1"/>
                <w:szCs w:val="18"/>
              </w:rPr>
            </w:pPr>
          </w:p>
        </w:tc>
        <w:tc>
          <w:tcPr>
            <w:tcW w:w="1987" w:type="dxa"/>
          </w:tcPr>
          <w:p w14:paraId="52278621" w14:textId="77777777" w:rsidR="006126F0" w:rsidRPr="00286216" w:rsidRDefault="006126F0" w:rsidP="006126F0">
            <w:pPr>
              <w:pStyle w:val="StyleWisnow"/>
              <w:rPr>
                <w:color w:val="000000" w:themeColor="text1"/>
              </w:rPr>
            </w:pPr>
          </w:p>
        </w:tc>
        <w:tc>
          <w:tcPr>
            <w:tcW w:w="4818" w:type="dxa"/>
          </w:tcPr>
          <w:p w14:paraId="51517BED" w14:textId="77777777" w:rsidR="006126F0" w:rsidRPr="00286216" w:rsidRDefault="006126F0" w:rsidP="006126F0">
            <w:pPr>
              <w:pStyle w:val="StyleZakonu"/>
              <w:rPr>
                <w:color w:val="000000" w:themeColor="text1"/>
              </w:rPr>
            </w:pPr>
          </w:p>
        </w:tc>
      </w:tr>
      <w:tr w:rsidR="00F77E8D" w:rsidRPr="00286216" w14:paraId="3DEE81A5" w14:textId="77777777" w:rsidTr="00091AA5">
        <w:tc>
          <w:tcPr>
            <w:tcW w:w="576" w:type="dxa"/>
          </w:tcPr>
          <w:p w14:paraId="6E9E4D43" w14:textId="77777777" w:rsidR="006126F0" w:rsidRPr="00286216" w:rsidRDefault="006126F0" w:rsidP="006126F0">
            <w:pPr>
              <w:pStyle w:val="StyleWisnow"/>
              <w:rPr>
                <w:color w:val="000000" w:themeColor="text1"/>
              </w:rPr>
            </w:pPr>
            <w:bookmarkStart w:id="98" w:name="n94" w:colFirst="0" w:colLast="0"/>
            <w:bookmarkEnd w:id="97"/>
            <w:r w:rsidRPr="00286216">
              <w:rPr>
                <w:color w:val="000000" w:themeColor="text1"/>
              </w:rPr>
              <w:t>94.</w:t>
            </w:r>
          </w:p>
        </w:tc>
        <w:tc>
          <w:tcPr>
            <w:tcW w:w="4818" w:type="dxa"/>
          </w:tcPr>
          <w:p w14:paraId="4A07026B" w14:textId="77777777" w:rsidR="006126F0" w:rsidRPr="00286216" w:rsidRDefault="006126F0" w:rsidP="006126F0">
            <w:pPr>
              <w:pStyle w:val="StyleZakonu"/>
              <w:rPr>
                <w:color w:val="000000" w:themeColor="text1"/>
              </w:rPr>
            </w:pPr>
            <w:r w:rsidRPr="00286216">
              <w:rPr>
                <w:color w:val="000000" w:themeColor="text1"/>
              </w:rPr>
              <w:t>г) кількість клієнтів - фізичних осіб;</w:t>
            </w:r>
          </w:p>
        </w:tc>
        <w:tc>
          <w:tcPr>
            <w:tcW w:w="3686" w:type="dxa"/>
          </w:tcPr>
          <w:p w14:paraId="09F49F1D" w14:textId="77777777" w:rsidR="006126F0" w:rsidRPr="00286216" w:rsidRDefault="006126F0" w:rsidP="006126F0">
            <w:pPr>
              <w:pStyle w:val="StyleProp"/>
              <w:rPr>
                <w:color w:val="000000" w:themeColor="text1"/>
                <w:szCs w:val="18"/>
              </w:rPr>
            </w:pPr>
          </w:p>
        </w:tc>
        <w:tc>
          <w:tcPr>
            <w:tcW w:w="1987" w:type="dxa"/>
          </w:tcPr>
          <w:p w14:paraId="0888BFA8" w14:textId="77777777" w:rsidR="006126F0" w:rsidRPr="00286216" w:rsidRDefault="006126F0" w:rsidP="006126F0">
            <w:pPr>
              <w:pStyle w:val="StyleWisnow"/>
              <w:rPr>
                <w:color w:val="000000" w:themeColor="text1"/>
              </w:rPr>
            </w:pPr>
          </w:p>
        </w:tc>
        <w:tc>
          <w:tcPr>
            <w:tcW w:w="4818" w:type="dxa"/>
          </w:tcPr>
          <w:p w14:paraId="012D3247" w14:textId="77777777" w:rsidR="006126F0" w:rsidRPr="00286216" w:rsidRDefault="006126F0" w:rsidP="006126F0">
            <w:pPr>
              <w:pStyle w:val="StyleZakonu"/>
              <w:rPr>
                <w:color w:val="000000" w:themeColor="text1"/>
              </w:rPr>
            </w:pPr>
          </w:p>
        </w:tc>
      </w:tr>
      <w:tr w:rsidR="00F77E8D" w:rsidRPr="00286216" w14:paraId="6CD3BB17" w14:textId="77777777" w:rsidTr="00091AA5">
        <w:tc>
          <w:tcPr>
            <w:tcW w:w="576" w:type="dxa"/>
          </w:tcPr>
          <w:p w14:paraId="01F06519" w14:textId="77777777" w:rsidR="006126F0" w:rsidRPr="00286216" w:rsidRDefault="006126F0" w:rsidP="006126F0">
            <w:pPr>
              <w:pStyle w:val="StyleWisnow"/>
              <w:rPr>
                <w:color w:val="000000" w:themeColor="text1"/>
              </w:rPr>
            </w:pPr>
            <w:bookmarkStart w:id="99" w:name="n95" w:colFirst="0" w:colLast="0"/>
            <w:bookmarkEnd w:id="98"/>
            <w:r w:rsidRPr="00286216">
              <w:rPr>
                <w:color w:val="000000" w:themeColor="text1"/>
              </w:rPr>
              <w:t>95.</w:t>
            </w:r>
          </w:p>
        </w:tc>
        <w:tc>
          <w:tcPr>
            <w:tcW w:w="4818" w:type="dxa"/>
          </w:tcPr>
          <w:p w14:paraId="7E6319F7" w14:textId="77777777" w:rsidR="006126F0" w:rsidRPr="00286216" w:rsidRDefault="006126F0" w:rsidP="006126F0">
            <w:pPr>
              <w:pStyle w:val="StyleZakonu"/>
              <w:rPr>
                <w:color w:val="000000" w:themeColor="text1"/>
              </w:rPr>
            </w:pPr>
            <w:r w:rsidRPr="00286216">
              <w:rPr>
                <w:color w:val="000000" w:themeColor="text1"/>
              </w:rPr>
              <w:t>60) розрахунки за принципом "поставка проти оплати" - механізм розрахунків за правочинами щодо активів, що допущені до торгів на організованому ринку, під час якого в порядку, встановленому Національною комісією з цінних паперів та фондового ринку, відбувається поставка активів, що допущені до торгів на організованому ринку, відразу після відповідного переказу коштів;</w:t>
            </w:r>
          </w:p>
        </w:tc>
        <w:tc>
          <w:tcPr>
            <w:tcW w:w="3686" w:type="dxa"/>
          </w:tcPr>
          <w:p w14:paraId="3AE8072E" w14:textId="35F4041E"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2683039" w14:textId="77777777" w:rsidR="006126F0" w:rsidRPr="00286216" w:rsidRDefault="006126F0" w:rsidP="00CD7EE6">
            <w:pPr>
              <w:pStyle w:val="StyleProp"/>
              <w:spacing w:line="180" w:lineRule="exact"/>
              <w:rPr>
                <w:color w:val="000000" w:themeColor="text1"/>
                <w:szCs w:val="18"/>
              </w:rPr>
            </w:pPr>
            <w:r w:rsidRPr="00286216">
              <w:rPr>
                <w:color w:val="000000" w:themeColor="text1"/>
                <w:szCs w:val="18"/>
              </w:rPr>
              <w:t>Пункт 60 частини першої статті 2 викласти в такій редакції:</w:t>
            </w:r>
          </w:p>
          <w:p w14:paraId="220EE39C" w14:textId="77777777" w:rsidR="006126F0" w:rsidRPr="00286216" w:rsidRDefault="006126F0" w:rsidP="00CD7EE6">
            <w:pPr>
              <w:pStyle w:val="StyleProp"/>
              <w:spacing w:line="180" w:lineRule="exact"/>
              <w:rPr>
                <w:color w:val="000000" w:themeColor="text1"/>
                <w:szCs w:val="18"/>
              </w:rPr>
            </w:pPr>
            <w:r w:rsidRPr="00286216">
              <w:rPr>
                <w:color w:val="000000" w:themeColor="text1"/>
                <w:szCs w:val="18"/>
              </w:rPr>
              <w:t>«60) розрахунки за принципом "поставка проти оплати" – механізм розрахунків за правочинами щодо активів, що допущені до торгів на організованому ринку, а також правочинів, укладених поза організованим ринком, під час якого в порядку, встановленому Національною комісією з цінних паперів та фондового ринку, відбувається поставка активів після відповідного переказу коштів».</w:t>
            </w:r>
          </w:p>
        </w:tc>
        <w:tc>
          <w:tcPr>
            <w:tcW w:w="1987" w:type="dxa"/>
          </w:tcPr>
          <w:p w14:paraId="303E968A" w14:textId="77777777" w:rsidR="006126F0" w:rsidRPr="00286216" w:rsidRDefault="006126F0" w:rsidP="006126F0">
            <w:pPr>
              <w:pStyle w:val="StyleWisnow"/>
              <w:rPr>
                <w:color w:val="000000" w:themeColor="text1"/>
              </w:rPr>
            </w:pPr>
            <w:r w:rsidRPr="00286216">
              <w:rPr>
                <w:color w:val="000000" w:themeColor="text1"/>
              </w:rPr>
              <w:t>Враховано частково</w:t>
            </w:r>
          </w:p>
        </w:tc>
        <w:tc>
          <w:tcPr>
            <w:tcW w:w="4818" w:type="dxa"/>
          </w:tcPr>
          <w:p w14:paraId="6C21EED1" w14:textId="3F565D39" w:rsidR="006126F0" w:rsidRPr="00286216" w:rsidRDefault="006126F0" w:rsidP="006126F0">
            <w:pPr>
              <w:pStyle w:val="StyleZakonu"/>
              <w:rPr>
                <w:color w:val="000000" w:themeColor="text1"/>
                <w:szCs w:val="18"/>
              </w:rPr>
            </w:pPr>
            <w:r w:rsidRPr="00286216">
              <w:rPr>
                <w:color w:val="000000" w:themeColor="text1"/>
                <w:szCs w:val="18"/>
              </w:rPr>
              <w:t>56) розрахунки за принципом "поставка проти оплати" – механізм розрахунків за правочинами щодо активів, допущених до торгів на організованому ринку, а також за правочинами, вчиненими поза організованим ринком, під час якого в порядку, встановленому Національною комісією з цінних паперів та фондового ринку, відбувається поставка відповідних активів відразу після відповідного переказу коштів та/або припинення зобов’язань за результатами неттінгу;</w:t>
            </w:r>
          </w:p>
        </w:tc>
      </w:tr>
      <w:tr w:rsidR="00F77E8D" w:rsidRPr="00286216" w14:paraId="5990B56F" w14:textId="77777777" w:rsidTr="00091AA5">
        <w:tc>
          <w:tcPr>
            <w:tcW w:w="576" w:type="dxa"/>
          </w:tcPr>
          <w:p w14:paraId="11BD423E" w14:textId="77777777" w:rsidR="006126F0" w:rsidRPr="00286216" w:rsidRDefault="006126F0" w:rsidP="006126F0">
            <w:pPr>
              <w:pStyle w:val="StyleWisnow"/>
              <w:rPr>
                <w:color w:val="000000" w:themeColor="text1"/>
              </w:rPr>
            </w:pPr>
          </w:p>
        </w:tc>
        <w:tc>
          <w:tcPr>
            <w:tcW w:w="4818" w:type="dxa"/>
          </w:tcPr>
          <w:p w14:paraId="24A2F2C2" w14:textId="77777777" w:rsidR="006126F0" w:rsidRPr="00286216" w:rsidRDefault="006126F0" w:rsidP="006126F0">
            <w:pPr>
              <w:pStyle w:val="StyleZakonu"/>
              <w:rPr>
                <w:color w:val="000000" w:themeColor="text1"/>
              </w:rPr>
            </w:pPr>
          </w:p>
        </w:tc>
        <w:tc>
          <w:tcPr>
            <w:tcW w:w="3686" w:type="dxa"/>
          </w:tcPr>
          <w:p w14:paraId="1A47B2BA" w14:textId="028D0649" w:rsidR="006126F0" w:rsidRPr="00286216" w:rsidRDefault="006126F0" w:rsidP="006126F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w:t>
            </w:r>
            <w:r w:rsidRPr="00286216">
              <w:rPr>
                <w:color w:val="000000" w:themeColor="text1"/>
              </w:rPr>
              <w:fldChar w:fldCharType="end"/>
            </w:r>
            <w:r w:rsidRPr="00286216">
              <w:rPr>
                <w:color w:val="000000" w:themeColor="text1"/>
              </w:rPr>
              <w:t>-Н.д.Шахов С.В. (Реєстр.картка №114)</w:t>
            </w:r>
          </w:p>
          <w:p w14:paraId="4BA05087" w14:textId="77777777" w:rsidR="006126F0" w:rsidRPr="00286216" w:rsidRDefault="006126F0" w:rsidP="009B7EE8">
            <w:pPr>
              <w:pStyle w:val="StyleProp"/>
              <w:spacing w:line="180" w:lineRule="exact"/>
              <w:rPr>
                <w:color w:val="000000" w:themeColor="text1"/>
                <w:szCs w:val="18"/>
              </w:rPr>
            </w:pPr>
            <w:r w:rsidRPr="00286216">
              <w:rPr>
                <w:color w:val="000000" w:themeColor="text1"/>
              </w:rPr>
              <w:t>У пункті 60 слова «Національною комісією з цінних паперів та фондового ринку» замінити словами «регулятором відповідного ринку».</w:t>
            </w:r>
          </w:p>
        </w:tc>
        <w:tc>
          <w:tcPr>
            <w:tcW w:w="1987" w:type="dxa"/>
          </w:tcPr>
          <w:p w14:paraId="603E2568" w14:textId="77777777" w:rsidR="006126F0" w:rsidRPr="00286216" w:rsidRDefault="006126F0" w:rsidP="006126F0">
            <w:pPr>
              <w:pStyle w:val="StyleWisnow"/>
              <w:spacing w:line="180" w:lineRule="exact"/>
              <w:rPr>
                <w:color w:val="000000" w:themeColor="text1"/>
              </w:rPr>
            </w:pPr>
            <w:r w:rsidRPr="00286216">
              <w:rPr>
                <w:color w:val="000000" w:themeColor="text1"/>
              </w:rPr>
              <w:t>Відхилено</w:t>
            </w:r>
          </w:p>
          <w:p w14:paraId="4B2DE2DE" w14:textId="77777777" w:rsidR="006126F0" w:rsidRPr="00286216" w:rsidRDefault="006126F0" w:rsidP="009B7EE8">
            <w:pPr>
              <w:pStyle w:val="StyleWisnow"/>
              <w:spacing w:line="160" w:lineRule="exact"/>
              <w:rPr>
                <w:color w:val="000000" w:themeColor="text1"/>
              </w:rPr>
            </w:pPr>
            <w:r w:rsidRPr="00286216">
              <w:rPr>
                <w:color w:val="000000" w:themeColor="text1"/>
                <w:spacing w:val="-2"/>
              </w:rPr>
              <w:t>регулювання таких розрахунків (DVP) як частини клірингової діяльності є виключною компетенцією НКЦПФР</w:t>
            </w:r>
          </w:p>
        </w:tc>
        <w:tc>
          <w:tcPr>
            <w:tcW w:w="4818" w:type="dxa"/>
          </w:tcPr>
          <w:p w14:paraId="3A65418E" w14:textId="77777777" w:rsidR="006126F0" w:rsidRPr="00286216" w:rsidRDefault="006126F0" w:rsidP="006126F0">
            <w:pPr>
              <w:pStyle w:val="StyleZakonu"/>
              <w:rPr>
                <w:color w:val="000000" w:themeColor="text1"/>
                <w:szCs w:val="18"/>
              </w:rPr>
            </w:pPr>
          </w:p>
        </w:tc>
      </w:tr>
      <w:tr w:rsidR="00F77E8D" w:rsidRPr="00286216" w14:paraId="1E951E5C" w14:textId="77777777" w:rsidTr="00091AA5">
        <w:tc>
          <w:tcPr>
            <w:tcW w:w="576" w:type="dxa"/>
          </w:tcPr>
          <w:p w14:paraId="1F8D3CCA" w14:textId="77777777" w:rsidR="006126F0" w:rsidRPr="00286216" w:rsidRDefault="006126F0" w:rsidP="006126F0">
            <w:pPr>
              <w:pStyle w:val="StyleWisnow"/>
              <w:rPr>
                <w:color w:val="000000" w:themeColor="text1"/>
              </w:rPr>
            </w:pPr>
            <w:bookmarkStart w:id="100" w:name="n96" w:colFirst="0" w:colLast="0"/>
            <w:bookmarkEnd w:id="99"/>
            <w:r w:rsidRPr="00286216">
              <w:rPr>
                <w:color w:val="000000" w:themeColor="text1"/>
              </w:rPr>
              <w:t>96.</w:t>
            </w:r>
          </w:p>
        </w:tc>
        <w:tc>
          <w:tcPr>
            <w:tcW w:w="4818" w:type="dxa"/>
          </w:tcPr>
          <w:p w14:paraId="0861E694" w14:textId="77777777" w:rsidR="006126F0" w:rsidRPr="00286216" w:rsidRDefault="006126F0" w:rsidP="006126F0">
            <w:pPr>
              <w:pStyle w:val="StyleZakonu"/>
              <w:rPr>
                <w:color w:val="000000" w:themeColor="text1"/>
              </w:rPr>
            </w:pPr>
            <w:r w:rsidRPr="00286216">
              <w:rPr>
                <w:color w:val="000000" w:themeColor="text1"/>
              </w:rPr>
              <w:t>61) специфікація деривативного контракту - документ, у якому визначаються стандартні (типові) умови деривативного контракту, що укладається на організованому ринку капіталу;</w:t>
            </w:r>
          </w:p>
        </w:tc>
        <w:tc>
          <w:tcPr>
            <w:tcW w:w="3686" w:type="dxa"/>
          </w:tcPr>
          <w:p w14:paraId="2ED78366" w14:textId="77777777" w:rsidR="006126F0" w:rsidRPr="00286216" w:rsidRDefault="006126F0" w:rsidP="006126F0">
            <w:pPr>
              <w:pStyle w:val="StyleProp"/>
              <w:rPr>
                <w:color w:val="000000" w:themeColor="text1"/>
                <w:szCs w:val="18"/>
              </w:rPr>
            </w:pPr>
          </w:p>
        </w:tc>
        <w:tc>
          <w:tcPr>
            <w:tcW w:w="1987" w:type="dxa"/>
          </w:tcPr>
          <w:p w14:paraId="1CD8AC69" w14:textId="77777777" w:rsidR="006126F0" w:rsidRPr="00286216" w:rsidRDefault="006126F0" w:rsidP="006126F0">
            <w:pPr>
              <w:pStyle w:val="StyleWisnow"/>
              <w:spacing w:line="180" w:lineRule="exact"/>
              <w:rPr>
                <w:color w:val="000000" w:themeColor="text1"/>
              </w:rPr>
            </w:pPr>
          </w:p>
        </w:tc>
        <w:tc>
          <w:tcPr>
            <w:tcW w:w="4818" w:type="dxa"/>
          </w:tcPr>
          <w:p w14:paraId="3F5AEF24" w14:textId="7DD4FB81" w:rsidR="006126F0" w:rsidRPr="00286216" w:rsidRDefault="006126F0" w:rsidP="006126F0">
            <w:pPr>
              <w:pStyle w:val="StyleZakonu"/>
              <w:rPr>
                <w:color w:val="000000" w:themeColor="text1"/>
              </w:rPr>
            </w:pPr>
            <w:r w:rsidRPr="00286216">
              <w:rPr>
                <w:color w:val="000000" w:themeColor="text1"/>
              </w:rPr>
              <w:t xml:space="preserve">58) специфікація деривативного контракту </w:t>
            </w:r>
            <w:r w:rsidR="00CD7EE6" w:rsidRPr="00286216">
              <w:rPr>
                <w:color w:val="000000" w:themeColor="text1"/>
              </w:rPr>
              <w:t>–</w:t>
            </w:r>
            <w:r w:rsidRPr="00286216">
              <w:rPr>
                <w:color w:val="000000" w:themeColor="text1"/>
              </w:rPr>
              <w:t xml:space="preserve"> документ, у якому визначаються стандартні (типові) умови деривативного контракту, що укладається на організованому ринку капіталу;</w:t>
            </w:r>
          </w:p>
        </w:tc>
      </w:tr>
      <w:tr w:rsidR="00F77E8D" w:rsidRPr="00286216" w14:paraId="4F444288" w14:textId="77777777" w:rsidTr="00091AA5">
        <w:tc>
          <w:tcPr>
            <w:tcW w:w="576" w:type="dxa"/>
          </w:tcPr>
          <w:p w14:paraId="59BA6093" w14:textId="77777777" w:rsidR="006126F0" w:rsidRPr="00286216" w:rsidRDefault="006126F0" w:rsidP="006126F0">
            <w:pPr>
              <w:pStyle w:val="StyleWisnow"/>
              <w:rPr>
                <w:color w:val="000000" w:themeColor="text1"/>
              </w:rPr>
            </w:pPr>
            <w:bookmarkStart w:id="101" w:name="n97" w:colFirst="0" w:colLast="0"/>
            <w:bookmarkEnd w:id="100"/>
            <w:r w:rsidRPr="00286216">
              <w:rPr>
                <w:color w:val="000000" w:themeColor="text1"/>
              </w:rPr>
              <w:t>97.</w:t>
            </w:r>
          </w:p>
        </w:tc>
        <w:tc>
          <w:tcPr>
            <w:tcW w:w="4818" w:type="dxa"/>
          </w:tcPr>
          <w:p w14:paraId="5E17C73C" w14:textId="77777777" w:rsidR="006126F0" w:rsidRPr="00286216" w:rsidRDefault="006126F0" w:rsidP="006126F0">
            <w:pPr>
              <w:pStyle w:val="StyleZakonu"/>
              <w:rPr>
                <w:color w:val="000000" w:themeColor="text1"/>
              </w:rPr>
            </w:pPr>
            <w:r w:rsidRPr="00286216">
              <w:rPr>
                <w:color w:val="000000" w:themeColor="text1"/>
              </w:rPr>
              <w:t>62) строк обігу облігацій - строк, який починається з дня, що настає за днем реєстрації Національною комісією з цінних паперів та фондового ринку звіту про результати емісії облігацій і видачі свідоцтва про реєстрацію випуску облігацій, та закінчується днем, що передує дню початку погашення таких облігацій відповідно до проспекту або рішення про емісію цінних паперів;</w:t>
            </w:r>
          </w:p>
        </w:tc>
        <w:tc>
          <w:tcPr>
            <w:tcW w:w="3686" w:type="dxa"/>
          </w:tcPr>
          <w:p w14:paraId="51432ED9" w14:textId="0CBB79F8" w:rsidR="006126F0" w:rsidRPr="00286216" w:rsidRDefault="006126F0" w:rsidP="006126F0">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132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96923CF" w14:textId="77777777" w:rsidR="006126F0" w:rsidRPr="00286216" w:rsidRDefault="006126F0" w:rsidP="006126F0">
            <w:pPr>
              <w:pStyle w:val="StyleProp"/>
              <w:rPr>
                <w:rFonts w:eastAsia="Calibri"/>
                <w:color w:val="000000" w:themeColor="text1"/>
                <w:spacing w:val="-4"/>
                <w:szCs w:val="18"/>
              </w:rPr>
            </w:pPr>
            <w:r w:rsidRPr="00286216">
              <w:rPr>
                <w:rFonts w:eastAsia="Calibri"/>
                <w:color w:val="000000" w:themeColor="text1"/>
                <w:spacing w:val="-4"/>
                <w:szCs w:val="18"/>
              </w:rPr>
              <w:t>П. 62 ст. 2 викласти у такій редакції:</w:t>
            </w:r>
          </w:p>
          <w:p w14:paraId="718F8208" w14:textId="4B31278E" w:rsidR="006126F0" w:rsidRPr="00286216" w:rsidRDefault="006126F0" w:rsidP="006276D5">
            <w:pPr>
              <w:pStyle w:val="StyleProp"/>
              <w:spacing w:line="180" w:lineRule="exact"/>
              <w:rPr>
                <w:color w:val="000000" w:themeColor="text1"/>
                <w:spacing w:val="-4"/>
                <w:szCs w:val="18"/>
              </w:rPr>
            </w:pPr>
            <w:r w:rsidRPr="00286216">
              <w:rPr>
                <w:rFonts w:eastAsia="Calibri"/>
                <w:color w:val="000000" w:themeColor="text1"/>
                <w:spacing w:val="-4"/>
                <w:szCs w:val="18"/>
              </w:rPr>
              <w:t xml:space="preserve">"62) строк обігу емісійних цінних паперів </w:t>
            </w:r>
            <w:r w:rsidRPr="00286216">
              <w:rPr>
                <w:rFonts w:eastAsia="Calibri"/>
                <w:color w:val="000000" w:themeColor="text1"/>
                <w:spacing w:val="-6"/>
                <w:szCs w:val="18"/>
              </w:rPr>
              <w:t xml:space="preserve">(далі </w:t>
            </w:r>
            <w:r w:rsidR="009B7EE8" w:rsidRPr="00286216">
              <w:rPr>
                <w:rFonts w:eastAsia="Calibri"/>
                <w:color w:val="000000" w:themeColor="text1"/>
                <w:spacing w:val="-6"/>
                <w:szCs w:val="18"/>
              </w:rPr>
              <w:t>-</w:t>
            </w:r>
            <w:r w:rsidRPr="00286216">
              <w:rPr>
                <w:rFonts w:eastAsia="Calibri"/>
                <w:color w:val="000000" w:themeColor="text1"/>
                <w:spacing w:val="-6"/>
                <w:szCs w:val="18"/>
              </w:rPr>
              <w:t xml:space="preserve"> строк обігу) </w:t>
            </w:r>
            <w:r w:rsidR="009B7EE8" w:rsidRPr="00286216">
              <w:rPr>
                <w:rFonts w:eastAsia="Calibri"/>
                <w:color w:val="000000" w:themeColor="text1"/>
                <w:spacing w:val="-6"/>
                <w:szCs w:val="18"/>
              </w:rPr>
              <w:t>-</w:t>
            </w:r>
            <w:r w:rsidRPr="00286216">
              <w:rPr>
                <w:rFonts w:eastAsia="Calibri"/>
                <w:color w:val="000000" w:themeColor="text1"/>
                <w:spacing w:val="-6"/>
                <w:szCs w:val="18"/>
              </w:rPr>
              <w:t xml:space="preserve"> строк, </w:t>
            </w:r>
            <w:r w:rsidR="009B7EE8" w:rsidRPr="00286216">
              <w:rPr>
                <w:rFonts w:eastAsia="Calibri"/>
                <w:color w:val="000000" w:themeColor="text1"/>
                <w:spacing w:val="-6"/>
                <w:szCs w:val="18"/>
              </w:rPr>
              <w:t xml:space="preserve">що </w:t>
            </w:r>
            <w:r w:rsidRPr="00286216">
              <w:rPr>
                <w:rFonts w:eastAsia="Calibri"/>
                <w:color w:val="000000" w:themeColor="text1"/>
                <w:spacing w:val="-6"/>
                <w:szCs w:val="18"/>
              </w:rPr>
              <w:t>починається з дня, що</w:t>
            </w:r>
            <w:r w:rsidRPr="00286216">
              <w:rPr>
                <w:rFonts w:eastAsia="Calibri"/>
                <w:color w:val="000000" w:themeColor="text1"/>
                <w:spacing w:val="-4"/>
                <w:szCs w:val="18"/>
              </w:rPr>
              <w:t xml:space="preserve"> настає за днем реєстрації Національною комісією з цінних паперів та фондового ринку звіту про результати емісії цінних паперів і видачі свідоцтва про реєстрацію відповідного випуску цінних паперів, та закінчується днем, що передує дню початку погашення таких цінних паперів відповідно до проспекту або рішення про емісію".</w:t>
            </w:r>
          </w:p>
          <w:p w14:paraId="297C51D6" w14:textId="14359E74"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15C4BFF" w14:textId="7D917E4B" w:rsidR="006126F0" w:rsidRPr="00286216" w:rsidRDefault="006126F0" w:rsidP="009B7EE8">
            <w:pPr>
              <w:pStyle w:val="StyleProp"/>
              <w:spacing w:line="180" w:lineRule="exact"/>
              <w:rPr>
                <w:color w:val="000000" w:themeColor="text1"/>
                <w:szCs w:val="18"/>
              </w:rPr>
            </w:pPr>
            <w:r w:rsidRPr="00286216">
              <w:rPr>
                <w:color w:val="000000" w:themeColor="text1"/>
                <w:szCs w:val="18"/>
              </w:rPr>
              <w:t xml:space="preserve">Пункт 62 частини </w:t>
            </w:r>
            <w:r w:rsidR="009B7EE8" w:rsidRPr="00286216">
              <w:rPr>
                <w:color w:val="000000" w:themeColor="text1"/>
                <w:szCs w:val="18"/>
              </w:rPr>
              <w:t xml:space="preserve">1 </w:t>
            </w:r>
            <w:r w:rsidRPr="00286216">
              <w:rPr>
                <w:color w:val="000000" w:themeColor="text1"/>
                <w:szCs w:val="18"/>
              </w:rPr>
              <w:t>статті 2 виключити.</w:t>
            </w:r>
          </w:p>
        </w:tc>
        <w:tc>
          <w:tcPr>
            <w:tcW w:w="1987" w:type="dxa"/>
          </w:tcPr>
          <w:p w14:paraId="6CDC3386" w14:textId="77777777" w:rsidR="006126F0" w:rsidRPr="00286216" w:rsidRDefault="006126F0" w:rsidP="006126F0">
            <w:pPr>
              <w:pStyle w:val="StyleWisnow"/>
              <w:rPr>
                <w:color w:val="000000" w:themeColor="text1"/>
              </w:rPr>
            </w:pPr>
            <w:r w:rsidRPr="00286216">
              <w:rPr>
                <w:color w:val="000000" w:themeColor="text1"/>
              </w:rPr>
              <w:t>Враховано</w:t>
            </w:r>
          </w:p>
          <w:p w14:paraId="56B19D3B" w14:textId="77777777" w:rsidR="006126F0" w:rsidRPr="00286216" w:rsidRDefault="006126F0" w:rsidP="006126F0">
            <w:pPr>
              <w:pStyle w:val="StyleWisnow"/>
              <w:rPr>
                <w:color w:val="000000" w:themeColor="text1"/>
              </w:rPr>
            </w:pPr>
          </w:p>
          <w:p w14:paraId="76E9BC84" w14:textId="77777777" w:rsidR="006126F0" w:rsidRPr="00286216" w:rsidRDefault="006126F0" w:rsidP="006126F0">
            <w:pPr>
              <w:pStyle w:val="StyleWisnow"/>
              <w:rPr>
                <w:color w:val="000000" w:themeColor="text1"/>
              </w:rPr>
            </w:pPr>
          </w:p>
          <w:p w14:paraId="7FF21D38" w14:textId="77777777" w:rsidR="006126F0" w:rsidRPr="00286216" w:rsidRDefault="006126F0" w:rsidP="006126F0">
            <w:pPr>
              <w:pStyle w:val="StyleWisnow"/>
              <w:rPr>
                <w:color w:val="000000" w:themeColor="text1"/>
              </w:rPr>
            </w:pPr>
          </w:p>
          <w:p w14:paraId="0657E48F" w14:textId="77777777" w:rsidR="006126F0" w:rsidRPr="00286216" w:rsidRDefault="006126F0" w:rsidP="006126F0">
            <w:pPr>
              <w:pStyle w:val="StyleWisnow"/>
              <w:rPr>
                <w:color w:val="000000" w:themeColor="text1"/>
              </w:rPr>
            </w:pPr>
          </w:p>
          <w:p w14:paraId="74E7F51F" w14:textId="77777777" w:rsidR="006126F0" w:rsidRPr="00286216" w:rsidRDefault="006126F0" w:rsidP="006126F0">
            <w:pPr>
              <w:pStyle w:val="StyleWisnow"/>
              <w:rPr>
                <w:color w:val="000000" w:themeColor="text1"/>
              </w:rPr>
            </w:pPr>
          </w:p>
          <w:p w14:paraId="01B3A8CA" w14:textId="77777777" w:rsidR="006126F0" w:rsidRPr="00286216" w:rsidRDefault="006126F0" w:rsidP="006126F0">
            <w:pPr>
              <w:pStyle w:val="StyleWisnow"/>
              <w:rPr>
                <w:color w:val="000000" w:themeColor="text1"/>
              </w:rPr>
            </w:pPr>
          </w:p>
          <w:p w14:paraId="439C14FF" w14:textId="77777777" w:rsidR="006126F0" w:rsidRPr="00286216" w:rsidRDefault="006126F0" w:rsidP="006126F0">
            <w:pPr>
              <w:pStyle w:val="StyleWisnow"/>
              <w:rPr>
                <w:color w:val="000000" w:themeColor="text1"/>
              </w:rPr>
            </w:pPr>
          </w:p>
          <w:p w14:paraId="55DE43FE" w14:textId="77777777" w:rsidR="006126F0" w:rsidRPr="00286216" w:rsidRDefault="006126F0" w:rsidP="006126F0">
            <w:pPr>
              <w:pStyle w:val="StyleWisnow"/>
              <w:spacing w:line="140" w:lineRule="exact"/>
              <w:rPr>
                <w:color w:val="000000" w:themeColor="text1"/>
              </w:rPr>
            </w:pPr>
          </w:p>
          <w:p w14:paraId="4AE33A72" w14:textId="52B68BC0" w:rsidR="006126F0" w:rsidRPr="00286216" w:rsidRDefault="006126F0" w:rsidP="006126F0">
            <w:pPr>
              <w:pStyle w:val="StyleWisnow"/>
              <w:spacing w:line="140" w:lineRule="exact"/>
              <w:rPr>
                <w:color w:val="000000" w:themeColor="text1"/>
              </w:rPr>
            </w:pPr>
          </w:p>
          <w:p w14:paraId="401C3837" w14:textId="77777777" w:rsidR="009B7EE8" w:rsidRPr="00286216" w:rsidRDefault="009B7EE8" w:rsidP="006126F0">
            <w:pPr>
              <w:pStyle w:val="StyleWisnow"/>
              <w:spacing w:line="140" w:lineRule="exact"/>
              <w:rPr>
                <w:color w:val="000000" w:themeColor="text1"/>
              </w:rPr>
            </w:pPr>
          </w:p>
          <w:p w14:paraId="0A45F2B8" w14:textId="77777777" w:rsidR="006126F0" w:rsidRPr="00286216" w:rsidRDefault="006126F0" w:rsidP="006126F0">
            <w:pPr>
              <w:pStyle w:val="StyleWisnow"/>
              <w:spacing w:line="180" w:lineRule="exact"/>
              <w:rPr>
                <w:color w:val="000000" w:themeColor="text1"/>
              </w:rPr>
            </w:pPr>
            <w:r w:rsidRPr="00286216">
              <w:rPr>
                <w:color w:val="000000" w:themeColor="text1"/>
              </w:rPr>
              <w:t>Відхилено</w:t>
            </w:r>
          </w:p>
          <w:p w14:paraId="387D4560" w14:textId="77777777" w:rsidR="006126F0" w:rsidRPr="00286216" w:rsidRDefault="006126F0" w:rsidP="009B7EE8">
            <w:pPr>
              <w:pStyle w:val="StyleWisnow"/>
              <w:spacing w:line="160" w:lineRule="exact"/>
              <w:rPr>
                <w:color w:val="000000" w:themeColor="text1"/>
              </w:rPr>
            </w:pPr>
            <w:r w:rsidRPr="00286216">
              <w:rPr>
                <w:color w:val="000000" w:themeColor="text1"/>
              </w:rPr>
              <w:t>термін є важливим для застосування Закону</w:t>
            </w:r>
          </w:p>
        </w:tc>
        <w:tc>
          <w:tcPr>
            <w:tcW w:w="4818" w:type="dxa"/>
          </w:tcPr>
          <w:p w14:paraId="38DB471F" w14:textId="663FD415" w:rsidR="006126F0" w:rsidRPr="00286216" w:rsidRDefault="006126F0" w:rsidP="006126F0">
            <w:pPr>
              <w:pStyle w:val="StyleZakonu"/>
              <w:rPr>
                <w:color w:val="000000" w:themeColor="text1"/>
              </w:rPr>
            </w:pPr>
            <w:r w:rsidRPr="00286216">
              <w:rPr>
                <w:color w:val="000000" w:themeColor="text1"/>
              </w:rPr>
              <w:t>59) строк обігу емісійних цінних паперів (далі – строк обігу) – строк, який починається з дня, що настає за днем реєстрації Національною комісією з цінних паперів та фондового ринку звіту про результати емісії цінних паперів і видачі свідоцтва про реєстрацію відповідного випуску цінних паперів, та закінчується днем, що передує дню початку погашення таких цінних паперів відповідно до проспекту або рішення про емісію;</w:t>
            </w:r>
          </w:p>
        </w:tc>
      </w:tr>
      <w:tr w:rsidR="00F77E8D" w:rsidRPr="00286216" w14:paraId="0E059543" w14:textId="77777777" w:rsidTr="00091AA5">
        <w:tc>
          <w:tcPr>
            <w:tcW w:w="576" w:type="dxa"/>
          </w:tcPr>
          <w:p w14:paraId="08B9462F" w14:textId="77777777" w:rsidR="006126F0" w:rsidRPr="00286216" w:rsidRDefault="006126F0" w:rsidP="006126F0">
            <w:pPr>
              <w:pStyle w:val="StyleWisnow"/>
              <w:rPr>
                <w:color w:val="000000" w:themeColor="text1"/>
              </w:rPr>
            </w:pPr>
            <w:bookmarkStart w:id="102" w:name="n98" w:colFirst="0" w:colLast="0"/>
            <w:bookmarkEnd w:id="101"/>
            <w:r w:rsidRPr="00286216">
              <w:rPr>
                <w:color w:val="000000" w:themeColor="text1"/>
              </w:rPr>
              <w:t>98.</w:t>
            </w:r>
          </w:p>
        </w:tc>
        <w:tc>
          <w:tcPr>
            <w:tcW w:w="4818" w:type="dxa"/>
          </w:tcPr>
          <w:p w14:paraId="46C62655" w14:textId="77777777" w:rsidR="006126F0" w:rsidRPr="00286216" w:rsidRDefault="006126F0" w:rsidP="006126F0">
            <w:pPr>
              <w:pStyle w:val="StyleZakonu"/>
              <w:rPr>
                <w:color w:val="000000" w:themeColor="text1"/>
              </w:rPr>
            </w:pPr>
            <w:r w:rsidRPr="00286216">
              <w:rPr>
                <w:color w:val="000000" w:themeColor="text1"/>
              </w:rPr>
              <w:t>63) тісні зв’язки - відносини між:</w:t>
            </w:r>
          </w:p>
        </w:tc>
        <w:tc>
          <w:tcPr>
            <w:tcW w:w="3686" w:type="dxa"/>
          </w:tcPr>
          <w:p w14:paraId="3AB959A1" w14:textId="77777777" w:rsidR="006126F0" w:rsidRPr="00286216" w:rsidRDefault="006126F0" w:rsidP="006126F0">
            <w:pPr>
              <w:pStyle w:val="StyleProp"/>
              <w:rPr>
                <w:color w:val="000000" w:themeColor="text1"/>
                <w:szCs w:val="18"/>
              </w:rPr>
            </w:pPr>
          </w:p>
        </w:tc>
        <w:tc>
          <w:tcPr>
            <w:tcW w:w="1987" w:type="dxa"/>
          </w:tcPr>
          <w:p w14:paraId="73B04BA7" w14:textId="77777777" w:rsidR="006126F0" w:rsidRPr="00286216" w:rsidRDefault="006126F0" w:rsidP="006126F0">
            <w:pPr>
              <w:pStyle w:val="StyleWisnow"/>
              <w:rPr>
                <w:color w:val="000000" w:themeColor="text1"/>
              </w:rPr>
            </w:pPr>
          </w:p>
        </w:tc>
        <w:tc>
          <w:tcPr>
            <w:tcW w:w="4818" w:type="dxa"/>
          </w:tcPr>
          <w:p w14:paraId="4D534186" w14:textId="6EC17DC5" w:rsidR="006126F0" w:rsidRPr="00286216" w:rsidRDefault="006126F0" w:rsidP="006126F0">
            <w:pPr>
              <w:pStyle w:val="StyleZakonu"/>
              <w:rPr>
                <w:color w:val="000000" w:themeColor="text1"/>
              </w:rPr>
            </w:pPr>
            <w:r w:rsidRPr="00286216">
              <w:rPr>
                <w:color w:val="000000" w:themeColor="text1"/>
              </w:rPr>
              <w:t xml:space="preserve">60) тісні зв’язки </w:t>
            </w:r>
            <w:r w:rsidR="00CD7EE6" w:rsidRPr="00286216">
              <w:rPr>
                <w:color w:val="000000" w:themeColor="text1"/>
              </w:rPr>
              <w:t>–</w:t>
            </w:r>
            <w:r w:rsidRPr="00286216">
              <w:rPr>
                <w:color w:val="000000" w:themeColor="text1"/>
              </w:rPr>
              <w:t xml:space="preserve"> відносини між:</w:t>
            </w:r>
          </w:p>
        </w:tc>
      </w:tr>
      <w:tr w:rsidR="00F77E8D" w:rsidRPr="00286216" w14:paraId="045C4C51" w14:textId="77777777" w:rsidTr="00091AA5">
        <w:tc>
          <w:tcPr>
            <w:tcW w:w="576" w:type="dxa"/>
          </w:tcPr>
          <w:p w14:paraId="073BEE2E" w14:textId="77777777" w:rsidR="006126F0" w:rsidRPr="00286216" w:rsidRDefault="006126F0" w:rsidP="006126F0">
            <w:pPr>
              <w:pStyle w:val="StyleWisnow"/>
              <w:rPr>
                <w:color w:val="000000" w:themeColor="text1"/>
              </w:rPr>
            </w:pPr>
            <w:bookmarkStart w:id="103" w:name="n99" w:colFirst="0" w:colLast="0"/>
            <w:bookmarkEnd w:id="102"/>
            <w:r w:rsidRPr="00286216">
              <w:rPr>
                <w:color w:val="000000" w:themeColor="text1"/>
              </w:rPr>
              <w:lastRenderedPageBreak/>
              <w:t>99.</w:t>
            </w:r>
          </w:p>
        </w:tc>
        <w:tc>
          <w:tcPr>
            <w:tcW w:w="4818" w:type="dxa"/>
          </w:tcPr>
          <w:p w14:paraId="212D0F17" w14:textId="77777777" w:rsidR="006126F0" w:rsidRPr="00286216" w:rsidRDefault="006126F0" w:rsidP="006126F0">
            <w:pPr>
              <w:pStyle w:val="StyleZakonu"/>
              <w:rPr>
                <w:color w:val="000000" w:themeColor="text1"/>
              </w:rPr>
            </w:pPr>
            <w:r w:rsidRPr="00286216">
              <w:rPr>
                <w:color w:val="000000" w:themeColor="text1"/>
              </w:rPr>
              <w:t>а) асоційованою компанією та юридичною особою, щодо якої вона є асоційованою;</w:t>
            </w:r>
          </w:p>
        </w:tc>
        <w:tc>
          <w:tcPr>
            <w:tcW w:w="3686" w:type="dxa"/>
          </w:tcPr>
          <w:p w14:paraId="58A8978E" w14:textId="77777777" w:rsidR="006126F0" w:rsidRPr="00286216" w:rsidRDefault="006126F0" w:rsidP="006126F0">
            <w:pPr>
              <w:pStyle w:val="StyleProp"/>
              <w:rPr>
                <w:color w:val="000000" w:themeColor="text1"/>
                <w:szCs w:val="18"/>
              </w:rPr>
            </w:pPr>
          </w:p>
        </w:tc>
        <w:tc>
          <w:tcPr>
            <w:tcW w:w="1987" w:type="dxa"/>
          </w:tcPr>
          <w:p w14:paraId="56CB1740" w14:textId="77777777" w:rsidR="006126F0" w:rsidRPr="00286216" w:rsidRDefault="006126F0" w:rsidP="006126F0">
            <w:pPr>
              <w:pStyle w:val="StyleWisnow"/>
              <w:rPr>
                <w:color w:val="000000" w:themeColor="text1"/>
              </w:rPr>
            </w:pPr>
          </w:p>
        </w:tc>
        <w:tc>
          <w:tcPr>
            <w:tcW w:w="4818" w:type="dxa"/>
          </w:tcPr>
          <w:p w14:paraId="4847C4F8" w14:textId="77777777" w:rsidR="006126F0" w:rsidRPr="00286216" w:rsidRDefault="006126F0" w:rsidP="006126F0">
            <w:pPr>
              <w:pStyle w:val="StyleZakonu"/>
              <w:rPr>
                <w:color w:val="000000" w:themeColor="text1"/>
              </w:rPr>
            </w:pPr>
            <w:r w:rsidRPr="00286216">
              <w:rPr>
                <w:color w:val="000000" w:themeColor="text1"/>
              </w:rPr>
              <w:t>а) асоційованою компанією та юридичною особою, щодо якої вона є асоційованою;</w:t>
            </w:r>
          </w:p>
        </w:tc>
      </w:tr>
      <w:tr w:rsidR="00F77E8D" w:rsidRPr="00286216" w14:paraId="4F7DD899" w14:textId="77777777" w:rsidTr="00091AA5">
        <w:tc>
          <w:tcPr>
            <w:tcW w:w="576" w:type="dxa"/>
          </w:tcPr>
          <w:p w14:paraId="63E87A51" w14:textId="77777777" w:rsidR="006126F0" w:rsidRPr="00286216" w:rsidRDefault="006126F0" w:rsidP="006126F0">
            <w:pPr>
              <w:pStyle w:val="StyleWisnow"/>
              <w:rPr>
                <w:color w:val="000000" w:themeColor="text1"/>
              </w:rPr>
            </w:pPr>
            <w:bookmarkStart w:id="104" w:name="n100" w:colFirst="0" w:colLast="0"/>
            <w:bookmarkEnd w:id="103"/>
          </w:p>
        </w:tc>
        <w:tc>
          <w:tcPr>
            <w:tcW w:w="4818" w:type="dxa"/>
          </w:tcPr>
          <w:p w14:paraId="68A96CC9" w14:textId="77777777" w:rsidR="006126F0" w:rsidRPr="00286216" w:rsidRDefault="006126F0" w:rsidP="006126F0">
            <w:pPr>
              <w:pStyle w:val="StyleZakonu"/>
              <w:rPr>
                <w:color w:val="000000" w:themeColor="text1"/>
              </w:rPr>
            </w:pPr>
            <w:r w:rsidRPr="00286216">
              <w:rPr>
                <w:color w:val="000000" w:themeColor="text1"/>
              </w:rPr>
              <w:t>б) двома або більше юридичними особами, пов’язаними контролем;</w:t>
            </w:r>
          </w:p>
        </w:tc>
        <w:tc>
          <w:tcPr>
            <w:tcW w:w="3686" w:type="dxa"/>
          </w:tcPr>
          <w:p w14:paraId="46BF426C" w14:textId="77777777" w:rsidR="006126F0" w:rsidRPr="00286216" w:rsidRDefault="006126F0" w:rsidP="006126F0">
            <w:pPr>
              <w:pStyle w:val="StyleProp"/>
              <w:rPr>
                <w:color w:val="000000" w:themeColor="text1"/>
                <w:szCs w:val="18"/>
              </w:rPr>
            </w:pPr>
          </w:p>
        </w:tc>
        <w:tc>
          <w:tcPr>
            <w:tcW w:w="1987" w:type="dxa"/>
          </w:tcPr>
          <w:p w14:paraId="3263F630" w14:textId="77777777" w:rsidR="006126F0" w:rsidRPr="00286216" w:rsidRDefault="006126F0" w:rsidP="006126F0">
            <w:pPr>
              <w:pStyle w:val="StyleWisnow"/>
              <w:rPr>
                <w:color w:val="000000" w:themeColor="text1"/>
              </w:rPr>
            </w:pPr>
          </w:p>
        </w:tc>
        <w:tc>
          <w:tcPr>
            <w:tcW w:w="4818" w:type="dxa"/>
          </w:tcPr>
          <w:p w14:paraId="3FE857D2" w14:textId="77777777" w:rsidR="006126F0" w:rsidRPr="00286216" w:rsidRDefault="006126F0" w:rsidP="006126F0">
            <w:pPr>
              <w:pStyle w:val="StyleZakonu"/>
              <w:rPr>
                <w:color w:val="000000" w:themeColor="text1"/>
              </w:rPr>
            </w:pPr>
            <w:r w:rsidRPr="00286216">
              <w:rPr>
                <w:color w:val="000000" w:themeColor="text1"/>
              </w:rPr>
              <w:t>б) двома або більше юридичними особами, пов’язаними контролем;</w:t>
            </w:r>
          </w:p>
        </w:tc>
      </w:tr>
      <w:tr w:rsidR="00F77E8D" w:rsidRPr="00286216" w14:paraId="01B95627" w14:textId="77777777" w:rsidTr="00091AA5">
        <w:tc>
          <w:tcPr>
            <w:tcW w:w="576" w:type="dxa"/>
          </w:tcPr>
          <w:p w14:paraId="29EB4019" w14:textId="77777777" w:rsidR="006126F0" w:rsidRPr="00286216" w:rsidRDefault="006126F0" w:rsidP="006126F0">
            <w:pPr>
              <w:pStyle w:val="StyleWisnow"/>
              <w:rPr>
                <w:color w:val="000000" w:themeColor="text1"/>
              </w:rPr>
            </w:pPr>
            <w:bookmarkStart w:id="105" w:name="n101" w:colFirst="0" w:colLast="0"/>
            <w:bookmarkEnd w:id="104"/>
            <w:r w:rsidRPr="00286216">
              <w:rPr>
                <w:color w:val="000000" w:themeColor="text1"/>
              </w:rPr>
              <w:t>101.</w:t>
            </w:r>
          </w:p>
        </w:tc>
        <w:tc>
          <w:tcPr>
            <w:tcW w:w="4818" w:type="dxa"/>
          </w:tcPr>
          <w:p w14:paraId="4106C2BE" w14:textId="77777777" w:rsidR="006126F0" w:rsidRPr="00286216" w:rsidRDefault="006126F0" w:rsidP="006126F0">
            <w:pPr>
              <w:pStyle w:val="StyleZakonu"/>
              <w:rPr>
                <w:color w:val="000000" w:themeColor="text1"/>
              </w:rPr>
            </w:pPr>
            <w:r w:rsidRPr="00286216">
              <w:rPr>
                <w:color w:val="000000" w:themeColor="text1"/>
              </w:rPr>
              <w:t>в) двома або більше юридичними особами, пов’язаними істотною участю;</w:t>
            </w:r>
          </w:p>
        </w:tc>
        <w:tc>
          <w:tcPr>
            <w:tcW w:w="3686" w:type="dxa"/>
          </w:tcPr>
          <w:p w14:paraId="3B69CDB0" w14:textId="77777777" w:rsidR="006126F0" w:rsidRPr="00286216" w:rsidRDefault="006126F0" w:rsidP="006126F0">
            <w:pPr>
              <w:pStyle w:val="StyleProp"/>
              <w:rPr>
                <w:color w:val="000000" w:themeColor="text1"/>
                <w:szCs w:val="18"/>
              </w:rPr>
            </w:pPr>
          </w:p>
        </w:tc>
        <w:tc>
          <w:tcPr>
            <w:tcW w:w="1987" w:type="dxa"/>
          </w:tcPr>
          <w:p w14:paraId="6504AA88" w14:textId="77777777" w:rsidR="006126F0" w:rsidRPr="00286216" w:rsidRDefault="006126F0" w:rsidP="006126F0">
            <w:pPr>
              <w:pStyle w:val="StyleWisnow"/>
              <w:rPr>
                <w:color w:val="000000" w:themeColor="text1"/>
              </w:rPr>
            </w:pPr>
          </w:p>
        </w:tc>
        <w:tc>
          <w:tcPr>
            <w:tcW w:w="4818" w:type="dxa"/>
          </w:tcPr>
          <w:p w14:paraId="7F0F1C30" w14:textId="77777777" w:rsidR="006126F0" w:rsidRPr="00286216" w:rsidRDefault="006126F0" w:rsidP="006126F0">
            <w:pPr>
              <w:pStyle w:val="StyleZakonu"/>
              <w:rPr>
                <w:color w:val="000000" w:themeColor="text1"/>
              </w:rPr>
            </w:pPr>
            <w:r w:rsidRPr="00286216">
              <w:rPr>
                <w:color w:val="000000" w:themeColor="text1"/>
              </w:rPr>
              <w:t>в) двома або більше юридичними особами, пов’язаними істотною участю;</w:t>
            </w:r>
          </w:p>
        </w:tc>
      </w:tr>
      <w:tr w:rsidR="00F77E8D" w:rsidRPr="00286216" w14:paraId="7205CF1E" w14:textId="77777777" w:rsidTr="00091AA5">
        <w:tc>
          <w:tcPr>
            <w:tcW w:w="576" w:type="dxa"/>
          </w:tcPr>
          <w:p w14:paraId="3E2ABB42" w14:textId="77777777" w:rsidR="006126F0" w:rsidRPr="00286216" w:rsidRDefault="006126F0" w:rsidP="006126F0">
            <w:pPr>
              <w:pStyle w:val="StyleWisnow"/>
              <w:rPr>
                <w:color w:val="000000" w:themeColor="text1"/>
              </w:rPr>
            </w:pPr>
            <w:bookmarkStart w:id="106" w:name="n102" w:colFirst="0" w:colLast="0"/>
            <w:bookmarkEnd w:id="105"/>
            <w:r w:rsidRPr="00286216">
              <w:rPr>
                <w:color w:val="000000" w:themeColor="text1"/>
              </w:rPr>
              <w:t>102.</w:t>
            </w:r>
          </w:p>
        </w:tc>
        <w:tc>
          <w:tcPr>
            <w:tcW w:w="4818" w:type="dxa"/>
          </w:tcPr>
          <w:p w14:paraId="085EA973" w14:textId="77777777" w:rsidR="006126F0" w:rsidRPr="00286216" w:rsidRDefault="006126F0" w:rsidP="006126F0">
            <w:pPr>
              <w:pStyle w:val="StyleZakonu"/>
              <w:rPr>
                <w:color w:val="000000" w:themeColor="text1"/>
              </w:rPr>
            </w:pPr>
            <w:r w:rsidRPr="00286216">
              <w:rPr>
                <w:color w:val="000000" w:themeColor="text1"/>
              </w:rPr>
              <w:t>г) спорідненими особами;</w:t>
            </w:r>
          </w:p>
        </w:tc>
        <w:tc>
          <w:tcPr>
            <w:tcW w:w="3686" w:type="dxa"/>
          </w:tcPr>
          <w:p w14:paraId="32975C6C" w14:textId="77777777" w:rsidR="006126F0" w:rsidRPr="00286216" w:rsidRDefault="006126F0" w:rsidP="006126F0">
            <w:pPr>
              <w:pStyle w:val="StyleProp"/>
              <w:rPr>
                <w:color w:val="000000" w:themeColor="text1"/>
                <w:szCs w:val="18"/>
              </w:rPr>
            </w:pPr>
          </w:p>
        </w:tc>
        <w:tc>
          <w:tcPr>
            <w:tcW w:w="1987" w:type="dxa"/>
          </w:tcPr>
          <w:p w14:paraId="73C16530" w14:textId="77777777" w:rsidR="006126F0" w:rsidRPr="00286216" w:rsidRDefault="006126F0" w:rsidP="006126F0">
            <w:pPr>
              <w:pStyle w:val="StyleWisnow"/>
              <w:rPr>
                <w:color w:val="000000" w:themeColor="text1"/>
              </w:rPr>
            </w:pPr>
          </w:p>
        </w:tc>
        <w:tc>
          <w:tcPr>
            <w:tcW w:w="4818" w:type="dxa"/>
          </w:tcPr>
          <w:p w14:paraId="5D53C6FD" w14:textId="77777777" w:rsidR="006126F0" w:rsidRPr="00286216" w:rsidRDefault="006126F0" w:rsidP="006126F0">
            <w:pPr>
              <w:pStyle w:val="StyleZakonu"/>
              <w:rPr>
                <w:color w:val="000000" w:themeColor="text1"/>
              </w:rPr>
            </w:pPr>
            <w:r w:rsidRPr="00286216">
              <w:rPr>
                <w:color w:val="000000" w:themeColor="text1"/>
              </w:rPr>
              <w:t>г) спорідненими особами;</w:t>
            </w:r>
          </w:p>
        </w:tc>
      </w:tr>
      <w:tr w:rsidR="00F77E8D" w:rsidRPr="00286216" w14:paraId="24E85F1F" w14:textId="77777777" w:rsidTr="00091AA5">
        <w:tc>
          <w:tcPr>
            <w:tcW w:w="576" w:type="dxa"/>
          </w:tcPr>
          <w:p w14:paraId="61CAB493" w14:textId="77777777" w:rsidR="006126F0" w:rsidRPr="00286216" w:rsidRDefault="006126F0" w:rsidP="006126F0">
            <w:pPr>
              <w:pStyle w:val="StyleWisnow"/>
              <w:rPr>
                <w:color w:val="000000" w:themeColor="text1"/>
              </w:rPr>
            </w:pPr>
          </w:p>
        </w:tc>
        <w:tc>
          <w:tcPr>
            <w:tcW w:w="4818" w:type="dxa"/>
          </w:tcPr>
          <w:p w14:paraId="387E4DEF" w14:textId="77777777" w:rsidR="006126F0" w:rsidRPr="00286216" w:rsidRDefault="006126F0" w:rsidP="006126F0">
            <w:pPr>
              <w:pStyle w:val="StyleZakonu"/>
              <w:rPr>
                <w:color w:val="000000" w:themeColor="text1"/>
              </w:rPr>
            </w:pPr>
          </w:p>
        </w:tc>
        <w:tc>
          <w:tcPr>
            <w:tcW w:w="3686" w:type="dxa"/>
          </w:tcPr>
          <w:p w14:paraId="11655CED" w14:textId="4114B7E6"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A72298C" w14:textId="036B0FE0" w:rsidR="006126F0" w:rsidRPr="00286216" w:rsidRDefault="006126F0" w:rsidP="006126F0">
            <w:pPr>
              <w:pStyle w:val="StyleProp"/>
              <w:spacing w:line="180" w:lineRule="exact"/>
              <w:rPr>
                <w:color w:val="000000" w:themeColor="text1"/>
              </w:rPr>
            </w:pPr>
            <w:r w:rsidRPr="00286216">
              <w:rPr>
                <w:color w:val="000000" w:themeColor="text1"/>
              </w:rPr>
              <w:t>Статтю 2 доповнити таким терміном:</w:t>
            </w:r>
          </w:p>
          <w:p w14:paraId="60809E31" w14:textId="2F1A270B" w:rsidR="006126F0" w:rsidRPr="00286216" w:rsidRDefault="006126F0" w:rsidP="006126F0">
            <w:pPr>
              <w:pStyle w:val="StyleProp"/>
              <w:spacing w:line="180" w:lineRule="exact"/>
              <w:rPr>
                <w:color w:val="000000" w:themeColor="text1"/>
                <w:szCs w:val="18"/>
              </w:rPr>
            </w:pPr>
            <w:r w:rsidRPr="00286216">
              <w:rPr>
                <w:color w:val="000000" w:themeColor="text1"/>
              </w:rPr>
              <w:t>"товарні операції – договори, що передбачають виконання виключно шляхом фактичної передачі, переміщення та/або постачання продукції, та які укладаються на організованих товарних ринках або поза організованими товарними ринками".</w:t>
            </w:r>
          </w:p>
        </w:tc>
        <w:tc>
          <w:tcPr>
            <w:tcW w:w="1987" w:type="dxa"/>
          </w:tcPr>
          <w:p w14:paraId="4141ABDF" w14:textId="0314A6AD" w:rsidR="006126F0" w:rsidRPr="00286216" w:rsidRDefault="006126F0" w:rsidP="006126F0">
            <w:pPr>
              <w:pStyle w:val="StyleWisnow"/>
              <w:rPr>
                <w:color w:val="000000" w:themeColor="text1"/>
              </w:rPr>
            </w:pPr>
            <w:r w:rsidRPr="00286216">
              <w:rPr>
                <w:color w:val="000000" w:themeColor="text1"/>
              </w:rPr>
              <w:t>Враховано</w:t>
            </w:r>
          </w:p>
        </w:tc>
        <w:tc>
          <w:tcPr>
            <w:tcW w:w="4818" w:type="dxa"/>
          </w:tcPr>
          <w:p w14:paraId="0F6B5D56" w14:textId="1002DCCA" w:rsidR="006126F0" w:rsidRPr="00286216" w:rsidRDefault="006126F0" w:rsidP="00D42AA0">
            <w:pPr>
              <w:pStyle w:val="StyleZakonu"/>
              <w:rPr>
                <w:color w:val="000000" w:themeColor="text1"/>
              </w:rPr>
            </w:pPr>
            <w:r w:rsidRPr="00286216">
              <w:rPr>
                <w:color w:val="000000" w:themeColor="text1"/>
              </w:rPr>
              <w:t>61) товарні операції – договори, що передбачають виконання виключно шляхом фактичної передачі, переміщення та/або постачання продукції та які укладаються на організованих товарних ринках або поза організованими товарними ринками;</w:t>
            </w:r>
          </w:p>
        </w:tc>
      </w:tr>
      <w:tr w:rsidR="00F77E8D" w:rsidRPr="00286216" w14:paraId="4C954F48" w14:textId="77777777" w:rsidTr="00091AA5">
        <w:tc>
          <w:tcPr>
            <w:tcW w:w="576" w:type="dxa"/>
          </w:tcPr>
          <w:p w14:paraId="63E7B1B9" w14:textId="77777777" w:rsidR="006126F0" w:rsidRPr="00286216" w:rsidRDefault="006126F0" w:rsidP="006126F0">
            <w:pPr>
              <w:pStyle w:val="StyleWisnow"/>
              <w:rPr>
                <w:color w:val="000000" w:themeColor="text1"/>
              </w:rPr>
            </w:pPr>
            <w:bookmarkStart w:id="107" w:name="n103" w:colFirst="0" w:colLast="0"/>
            <w:bookmarkEnd w:id="106"/>
            <w:r w:rsidRPr="00286216">
              <w:rPr>
                <w:color w:val="000000" w:themeColor="text1"/>
              </w:rPr>
              <w:t>103.</w:t>
            </w:r>
          </w:p>
        </w:tc>
        <w:tc>
          <w:tcPr>
            <w:tcW w:w="4818" w:type="dxa"/>
          </w:tcPr>
          <w:p w14:paraId="4A9A01EA" w14:textId="77777777" w:rsidR="006126F0" w:rsidRPr="00286216" w:rsidRDefault="006126F0" w:rsidP="006126F0">
            <w:pPr>
              <w:pStyle w:val="StyleZakonu"/>
              <w:rPr>
                <w:color w:val="000000" w:themeColor="text1"/>
              </w:rPr>
            </w:pPr>
            <w:r w:rsidRPr="00286216">
              <w:rPr>
                <w:color w:val="000000" w:themeColor="text1"/>
              </w:rPr>
              <w:t>64) торговельний день - визначений внутрішніми документами оператора організованого ринку період часу, протягом якого функціонування багатосторонньої системи, управління діяльністю якої він здійснює, забезпечує можливість вчинення третіми особами правочинів щодо активів, допущених до торгів на організованому ринку;</w:t>
            </w:r>
          </w:p>
        </w:tc>
        <w:tc>
          <w:tcPr>
            <w:tcW w:w="3686" w:type="dxa"/>
          </w:tcPr>
          <w:p w14:paraId="11484394" w14:textId="77777777" w:rsidR="006126F0" w:rsidRPr="00286216" w:rsidRDefault="006126F0" w:rsidP="006126F0">
            <w:pPr>
              <w:pStyle w:val="StyleProp"/>
              <w:rPr>
                <w:color w:val="000000" w:themeColor="text1"/>
                <w:szCs w:val="18"/>
              </w:rPr>
            </w:pPr>
          </w:p>
        </w:tc>
        <w:tc>
          <w:tcPr>
            <w:tcW w:w="1987" w:type="dxa"/>
          </w:tcPr>
          <w:p w14:paraId="1C5548E1" w14:textId="77777777" w:rsidR="006126F0" w:rsidRPr="00286216" w:rsidRDefault="006126F0" w:rsidP="006126F0">
            <w:pPr>
              <w:pStyle w:val="StyleWisnow"/>
              <w:rPr>
                <w:color w:val="000000" w:themeColor="text1"/>
              </w:rPr>
            </w:pPr>
          </w:p>
        </w:tc>
        <w:tc>
          <w:tcPr>
            <w:tcW w:w="4818" w:type="dxa"/>
          </w:tcPr>
          <w:p w14:paraId="0ED9977D" w14:textId="58F79BDB" w:rsidR="006126F0" w:rsidRPr="00286216" w:rsidRDefault="006126F0" w:rsidP="006126F0">
            <w:pPr>
              <w:pStyle w:val="StyleZakonu"/>
              <w:rPr>
                <w:color w:val="000000" w:themeColor="text1"/>
              </w:rPr>
            </w:pPr>
            <w:r w:rsidRPr="00286216">
              <w:rPr>
                <w:color w:val="000000" w:themeColor="text1"/>
              </w:rPr>
              <w:t>62) торговельний день - визначений внутрішніми документами оператора організованого ринку період часу, протягом якого функціонування багатосторонньої системи, управління діяльністю якої він здійснює, забезпечує можливість вчинення третіми особами правочинів щодо активів, допущених до торгів на організованому ринку;</w:t>
            </w:r>
          </w:p>
        </w:tc>
      </w:tr>
      <w:tr w:rsidR="00F77E8D" w:rsidRPr="00286216" w14:paraId="56960CA4" w14:textId="77777777" w:rsidTr="00091AA5">
        <w:tc>
          <w:tcPr>
            <w:tcW w:w="576" w:type="dxa"/>
          </w:tcPr>
          <w:p w14:paraId="170F51D4" w14:textId="77777777" w:rsidR="006126F0" w:rsidRPr="00286216" w:rsidRDefault="006126F0" w:rsidP="006126F0">
            <w:pPr>
              <w:pStyle w:val="StyleWisnow"/>
              <w:rPr>
                <w:color w:val="000000" w:themeColor="text1"/>
              </w:rPr>
            </w:pPr>
            <w:bookmarkStart w:id="108" w:name="n104" w:colFirst="0" w:colLast="0"/>
            <w:bookmarkEnd w:id="107"/>
            <w:r w:rsidRPr="00286216">
              <w:rPr>
                <w:color w:val="000000" w:themeColor="text1"/>
              </w:rPr>
              <w:t>104.</w:t>
            </w:r>
          </w:p>
        </w:tc>
        <w:tc>
          <w:tcPr>
            <w:tcW w:w="4818" w:type="dxa"/>
          </w:tcPr>
          <w:p w14:paraId="41C2EF3B" w14:textId="77777777" w:rsidR="006126F0" w:rsidRPr="00286216" w:rsidRDefault="006126F0" w:rsidP="006126F0">
            <w:pPr>
              <w:pStyle w:val="StyleZakonu"/>
              <w:rPr>
                <w:color w:val="000000" w:themeColor="text1"/>
              </w:rPr>
            </w:pPr>
            <w:r w:rsidRPr="00286216">
              <w:rPr>
                <w:color w:val="000000" w:themeColor="text1"/>
              </w:rPr>
              <w:t>65) торговий репозиторій - акціонерне товариство, товариство з обмеженою відповідальністю, товариство з додатковою відповідальністю, яке здійснює централізоване збирання та ведення обліку укладених деривативних контрактів за умови включення його до Реєстру торгових репозиторіїв та отримання свідоцтва про включення до такого Реєстру;</w:t>
            </w:r>
          </w:p>
        </w:tc>
        <w:tc>
          <w:tcPr>
            <w:tcW w:w="3686" w:type="dxa"/>
          </w:tcPr>
          <w:p w14:paraId="6E6093A1" w14:textId="6F914646"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A0C8898" w14:textId="77777777" w:rsidR="006126F0" w:rsidRPr="00286216" w:rsidRDefault="006126F0" w:rsidP="006126F0">
            <w:pPr>
              <w:pStyle w:val="StyleProp"/>
              <w:spacing w:line="180" w:lineRule="exact"/>
              <w:rPr>
                <w:color w:val="000000" w:themeColor="text1"/>
              </w:rPr>
            </w:pPr>
            <w:r w:rsidRPr="00286216">
              <w:rPr>
                <w:color w:val="000000" w:themeColor="text1"/>
              </w:rPr>
              <w:t>У пункті 65 частини першої статті 2 слова «орган державної влади» замінити словами «Національний банк України».</w:t>
            </w:r>
          </w:p>
          <w:p w14:paraId="1DE0E17F" w14:textId="77777777" w:rsidR="006126F0" w:rsidRPr="00286216" w:rsidRDefault="006126F0" w:rsidP="006126F0">
            <w:pPr>
              <w:pStyle w:val="StyleProp"/>
              <w:spacing w:line="180" w:lineRule="exact"/>
              <w:rPr>
                <w:color w:val="000000" w:themeColor="text1"/>
              </w:rPr>
            </w:pPr>
          </w:p>
          <w:p w14:paraId="57379A67" w14:textId="77777777" w:rsidR="006126F0" w:rsidRPr="00286216" w:rsidRDefault="006126F0" w:rsidP="006126F0">
            <w:pPr>
              <w:pStyle w:val="StyleProp"/>
              <w:spacing w:line="180" w:lineRule="exact"/>
              <w:rPr>
                <w:color w:val="000000" w:themeColor="text1"/>
              </w:rPr>
            </w:pPr>
          </w:p>
          <w:p w14:paraId="0B2B5662" w14:textId="00BA9178"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89DB5D6" w14:textId="77777777" w:rsidR="006126F0" w:rsidRPr="00286216" w:rsidRDefault="006126F0" w:rsidP="006126F0">
            <w:pPr>
              <w:pStyle w:val="StyleProp"/>
              <w:spacing w:line="180" w:lineRule="exact"/>
              <w:rPr>
                <w:color w:val="000000" w:themeColor="text1"/>
              </w:rPr>
            </w:pPr>
            <w:r w:rsidRPr="00286216">
              <w:rPr>
                <w:color w:val="000000" w:themeColor="text1"/>
              </w:rPr>
              <w:t>У пункті 65 статті 2 слова "орган державної влади або" виключити, після слів "деривативних контрактів" доповнити словами "та укладених договорів про заміну сторони деривативних контрактів".</w:t>
            </w:r>
          </w:p>
          <w:p w14:paraId="75558A1C" w14:textId="7FBB2719" w:rsidR="006126F0" w:rsidRPr="00286216" w:rsidRDefault="006126F0" w:rsidP="006126F0">
            <w:pPr>
              <w:spacing w:line="220" w:lineRule="exact"/>
              <w:rPr>
                <w:b/>
                <w:i/>
                <w:color w:val="000000" w:themeColor="text1"/>
                <w:spacing w:val="-6"/>
                <w:sz w:val="18"/>
                <w:szCs w:val="18"/>
                <w:u w:val="single"/>
              </w:rPr>
            </w:pPr>
            <w:r w:rsidRPr="00286216">
              <w:rPr>
                <w:b/>
                <w:i/>
                <w:color w:val="000000" w:themeColor="text1"/>
                <w:spacing w:val="-6"/>
                <w:sz w:val="18"/>
                <w:szCs w:val="18"/>
                <w:u w:val="single"/>
              </w:rPr>
              <w:t>-</w:t>
            </w:r>
            <w:r w:rsidRPr="00286216">
              <w:rPr>
                <w:b/>
                <w:i/>
                <w:color w:val="000000" w:themeColor="text1"/>
                <w:spacing w:val="-6"/>
                <w:sz w:val="18"/>
                <w:szCs w:val="18"/>
                <w:u w:val="single"/>
              </w:rPr>
              <w:fldChar w:fldCharType="begin"/>
            </w:r>
            <w:r w:rsidRPr="00286216">
              <w:rPr>
                <w:b/>
                <w:i/>
                <w:color w:val="000000" w:themeColor="text1"/>
                <w:spacing w:val="-6"/>
                <w:sz w:val="18"/>
                <w:szCs w:val="18"/>
                <w:u w:val="single"/>
              </w:rPr>
              <w:instrText xml:space="preserve"> SEQ aa </w:instrText>
            </w:r>
            <w:r w:rsidRPr="00286216">
              <w:rPr>
                <w:b/>
                <w:i/>
                <w:color w:val="000000" w:themeColor="text1"/>
                <w:spacing w:val="-6"/>
                <w:sz w:val="18"/>
                <w:szCs w:val="18"/>
                <w:u w:val="single"/>
              </w:rPr>
              <w:fldChar w:fldCharType="separate"/>
            </w:r>
            <w:r w:rsidR="00C46B29">
              <w:rPr>
                <w:b/>
                <w:i/>
                <w:noProof/>
                <w:color w:val="000000" w:themeColor="text1"/>
                <w:spacing w:val="-6"/>
                <w:sz w:val="18"/>
                <w:szCs w:val="18"/>
                <w:u w:val="single"/>
              </w:rPr>
              <w:t>137</w:t>
            </w:r>
            <w:r w:rsidRPr="00286216">
              <w:rPr>
                <w:b/>
                <w:i/>
                <w:color w:val="000000" w:themeColor="text1"/>
                <w:spacing w:val="-6"/>
                <w:sz w:val="18"/>
                <w:szCs w:val="18"/>
                <w:u w:val="single"/>
              </w:rPr>
              <w:fldChar w:fldCharType="end"/>
            </w:r>
            <w:r w:rsidRPr="00286216">
              <w:rPr>
                <w:b/>
                <w:i/>
                <w:color w:val="000000" w:themeColor="text1"/>
                <w:spacing w:val="-6"/>
                <w:sz w:val="18"/>
                <w:szCs w:val="18"/>
                <w:u w:val="single"/>
              </w:rPr>
              <w:t>-Н.д.Шахов С.В. (Реєстр.картка №114)</w:t>
            </w:r>
          </w:p>
          <w:p w14:paraId="6DA05D4A" w14:textId="77777777" w:rsidR="006126F0" w:rsidRPr="00286216" w:rsidRDefault="006126F0" w:rsidP="006126F0">
            <w:pPr>
              <w:pStyle w:val="StyleProp"/>
              <w:spacing w:line="180" w:lineRule="exact"/>
              <w:rPr>
                <w:color w:val="000000" w:themeColor="text1"/>
                <w:szCs w:val="18"/>
              </w:rPr>
            </w:pPr>
            <w:r w:rsidRPr="00286216">
              <w:rPr>
                <w:color w:val="000000" w:themeColor="text1"/>
                <w:szCs w:val="18"/>
              </w:rPr>
              <w:t>у пункті 65 слова «орган державної влади» замінити словами «Національний банк України або інша юридична особа».</w:t>
            </w:r>
          </w:p>
        </w:tc>
        <w:tc>
          <w:tcPr>
            <w:tcW w:w="1987" w:type="dxa"/>
          </w:tcPr>
          <w:p w14:paraId="3C27C94F" w14:textId="77777777" w:rsidR="006126F0" w:rsidRPr="00286216" w:rsidRDefault="006126F0" w:rsidP="006126F0">
            <w:pPr>
              <w:pStyle w:val="StyleWisnow"/>
              <w:rPr>
                <w:color w:val="000000" w:themeColor="text1"/>
              </w:rPr>
            </w:pPr>
            <w:r w:rsidRPr="00286216">
              <w:rPr>
                <w:color w:val="000000" w:themeColor="text1"/>
              </w:rPr>
              <w:t>Відхилено</w:t>
            </w:r>
          </w:p>
          <w:p w14:paraId="5D62A50D" w14:textId="77777777" w:rsidR="006126F0" w:rsidRPr="00286216" w:rsidRDefault="006126F0" w:rsidP="006126F0">
            <w:pPr>
              <w:pStyle w:val="StyleWisnow"/>
              <w:spacing w:line="180" w:lineRule="exact"/>
              <w:rPr>
                <w:color w:val="000000" w:themeColor="text1"/>
                <w:spacing w:val="-4"/>
              </w:rPr>
            </w:pPr>
            <w:r w:rsidRPr="00286216">
              <w:rPr>
                <w:color w:val="000000" w:themeColor="text1"/>
                <w:spacing w:val="-4"/>
              </w:rPr>
              <w:t>НБУ провадитиме діяльність торгового репозиторію тимчасово згідно з Прикінцевими положеннями</w:t>
            </w:r>
          </w:p>
          <w:p w14:paraId="2C62DD42" w14:textId="77777777" w:rsidR="006126F0" w:rsidRPr="00286216" w:rsidRDefault="006126F0" w:rsidP="006126F0">
            <w:pPr>
              <w:pStyle w:val="StyleWisnow"/>
              <w:rPr>
                <w:color w:val="000000" w:themeColor="text1"/>
              </w:rPr>
            </w:pPr>
            <w:r w:rsidRPr="00286216">
              <w:rPr>
                <w:color w:val="000000" w:themeColor="text1"/>
              </w:rPr>
              <w:t>Враховано</w:t>
            </w:r>
          </w:p>
          <w:p w14:paraId="67CEF847" w14:textId="77777777" w:rsidR="006126F0" w:rsidRPr="00286216" w:rsidRDefault="006126F0" w:rsidP="006126F0">
            <w:pPr>
              <w:pStyle w:val="StyleWisnow"/>
              <w:rPr>
                <w:color w:val="000000" w:themeColor="text1"/>
              </w:rPr>
            </w:pPr>
          </w:p>
          <w:p w14:paraId="0A17AAB1" w14:textId="60F38216" w:rsidR="006126F0" w:rsidRPr="00286216" w:rsidRDefault="006126F0" w:rsidP="006126F0">
            <w:pPr>
              <w:pStyle w:val="StyleWisnow"/>
              <w:rPr>
                <w:color w:val="000000" w:themeColor="text1"/>
              </w:rPr>
            </w:pPr>
          </w:p>
          <w:p w14:paraId="78D26ED0" w14:textId="75F371AD" w:rsidR="006126F0" w:rsidRPr="00286216" w:rsidRDefault="006126F0" w:rsidP="006126F0">
            <w:pPr>
              <w:pStyle w:val="StyleWisnow"/>
              <w:rPr>
                <w:color w:val="000000" w:themeColor="text1"/>
              </w:rPr>
            </w:pPr>
          </w:p>
          <w:p w14:paraId="175CF974" w14:textId="568D54DF" w:rsidR="006126F0" w:rsidRPr="00286216" w:rsidRDefault="006126F0" w:rsidP="006126F0">
            <w:pPr>
              <w:pStyle w:val="StyleWisnow"/>
              <w:rPr>
                <w:color w:val="000000" w:themeColor="text1"/>
              </w:rPr>
            </w:pPr>
          </w:p>
          <w:p w14:paraId="48FBF52F" w14:textId="77777777" w:rsidR="006126F0" w:rsidRPr="00286216" w:rsidRDefault="006126F0" w:rsidP="006126F0">
            <w:pPr>
              <w:pStyle w:val="StyleWisnow"/>
              <w:rPr>
                <w:color w:val="000000" w:themeColor="text1"/>
              </w:rPr>
            </w:pPr>
            <w:r w:rsidRPr="00286216">
              <w:rPr>
                <w:color w:val="000000" w:themeColor="text1"/>
              </w:rPr>
              <w:t>Відхилено</w:t>
            </w:r>
          </w:p>
          <w:p w14:paraId="04F9DE59" w14:textId="77777777" w:rsidR="006126F0" w:rsidRPr="00286216" w:rsidRDefault="006126F0" w:rsidP="006126F0">
            <w:pPr>
              <w:pStyle w:val="StyleWisnow"/>
              <w:spacing w:line="180" w:lineRule="exact"/>
              <w:rPr>
                <w:color w:val="000000" w:themeColor="text1"/>
              </w:rPr>
            </w:pPr>
            <w:r w:rsidRPr="00286216">
              <w:rPr>
                <w:color w:val="000000" w:themeColor="text1"/>
                <w:spacing w:val="-4"/>
              </w:rPr>
              <w:t>НБУ провадитиме діяльність торгового репозиторію тимчасово згідно з Прикінцевими положеннями</w:t>
            </w:r>
          </w:p>
        </w:tc>
        <w:tc>
          <w:tcPr>
            <w:tcW w:w="4818" w:type="dxa"/>
          </w:tcPr>
          <w:p w14:paraId="00D3C0BF" w14:textId="58DCEC5A" w:rsidR="006126F0" w:rsidRPr="00286216" w:rsidRDefault="006126F0" w:rsidP="007409BE">
            <w:pPr>
              <w:pStyle w:val="StyleZakonu"/>
              <w:rPr>
                <w:color w:val="000000" w:themeColor="text1"/>
              </w:rPr>
            </w:pPr>
            <w:r w:rsidRPr="00286216">
              <w:rPr>
                <w:color w:val="000000" w:themeColor="text1"/>
              </w:rPr>
              <w:t>6</w:t>
            </w:r>
            <w:r w:rsidR="009A0754" w:rsidRPr="00286216">
              <w:rPr>
                <w:color w:val="000000" w:themeColor="text1"/>
              </w:rPr>
              <w:t>4</w:t>
            </w:r>
            <w:r w:rsidRPr="00286216">
              <w:rPr>
                <w:color w:val="000000" w:themeColor="text1"/>
              </w:rPr>
              <w:t>) торговий репозиторій – акціонерне товариство, товариство з обмеженою відповідальністю або товариство з додатковою відповідальністю, яке здійснює централізоване збирання та ведення обліку укладених деривативних контрактів та укладених договорів про заміну сторони деривативних контрактів</w:t>
            </w:r>
            <w:r w:rsidR="00D42AA0" w:rsidRPr="00286216">
              <w:rPr>
                <w:color w:val="000000" w:themeColor="text1"/>
              </w:rPr>
              <w:t>,</w:t>
            </w:r>
            <w:r w:rsidRPr="00286216">
              <w:rPr>
                <w:color w:val="000000" w:themeColor="text1"/>
              </w:rPr>
              <w:t xml:space="preserve"> за умови включення його до Реєстру торгових репозиторіїв та отримання свідоцтва про включення до Реєстру;</w:t>
            </w:r>
          </w:p>
        </w:tc>
      </w:tr>
      <w:tr w:rsidR="00F77E8D" w:rsidRPr="00286216" w14:paraId="069AD89B" w14:textId="77777777" w:rsidTr="00091AA5">
        <w:tc>
          <w:tcPr>
            <w:tcW w:w="576" w:type="dxa"/>
          </w:tcPr>
          <w:p w14:paraId="556FE4B1" w14:textId="77777777" w:rsidR="006126F0" w:rsidRPr="00286216" w:rsidRDefault="006126F0" w:rsidP="006126F0">
            <w:pPr>
              <w:pStyle w:val="StyleWisnow"/>
              <w:rPr>
                <w:color w:val="000000" w:themeColor="text1"/>
              </w:rPr>
            </w:pPr>
            <w:bookmarkStart w:id="109" w:name="n105" w:colFirst="0" w:colLast="0"/>
            <w:bookmarkEnd w:id="108"/>
            <w:r w:rsidRPr="00286216">
              <w:rPr>
                <w:color w:val="000000" w:themeColor="text1"/>
              </w:rPr>
              <w:t>105.</w:t>
            </w:r>
          </w:p>
        </w:tc>
        <w:tc>
          <w:tcPr>
            <w:tcW w:w="4818" w:type="dxa"/>
          </w:tcPr>
          <w:p w14:paraId="40A53BEF" w14:textId="77777777" w:rsidR="006126F0" w:rsidRPr="00286216" w:rsidRDefault="006126F0" w:rsidP="006126F0">
            <w:pPr>
              <w:pStyle w:val="StyleZakonu"/>
              <w:rPr>
                <w:color w:val="000000" w:themeColor="text1"/>
              </w:rPr>
            </w:pPr>
            <w:r w:rsidRPr="00286216">
              <w:rPr>
                <w:color w:val="000000" w:themeColor="text1"/>
              </w:rPr>
              <w:t>66) фінансові інструменти - цінні папери, деривативні (похідні) фінансові інструменти, інструменти грошового ринку;</w:t>
            </w:r>
          </w:p>
        </w:tc>
        <w:tc>
          <w:tcPr>
            <w:tcW w:w="3686" w:type="dxa"/>
          </w:tcPr>
          <w:p w14:paraId="1DF90D4D" w14:textId="7CFFE03F" w:rsidR="006126F0" w:rsidRPr="00286216" w:rsidRDefault="006126F0" w:rsidP="006126F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68015C4" w14:textId="77777777" w:rsidR="006126F0" w:rsidRPr="00286216" w:rsidRDefault="006126F0" w:rsidP="006126F0">
            <w:pPr>
              <w:pStyle w:val="StyleProp"/>
              <w:spacing w:line="180" w:lineRule="exact"/>
              <w:rPr>
                <w:color w:val="000000" w:themeColor="text1"/>
                <w:szCs w:val="18"/>
              </w:rPr>
            </w:pPr>
            <w:r w:rsidRPr="00286216">
              <w:rPr>
                <w:rFonts w:eastAsia="Calibri"/>
                <w:color w:val="000000" w:themeColor="text1"/>
                <w:szCs w:val="18"/>
              </w:rPr>
              <w:t>Пункт 66 статті 2 виключити</w:t>
            </w:r>
            <w:r w:rsidRPr="00286216" w:rsidDel="00FD3599">
              <w:rPr>
                <w:rFonts w:eastAsia="Calibri"/>
                <w:color w:val="000000" w:themeColor="text1"/>
                <w:szCs w:val="18"/>
              </w:rPr>
              <w:t xml:space="preserve"> </w:t>
            </w:r>
            <w:r w:rsidRPr="00286216">
              <w:rPr>
                <w:rFonts w:eastAsia="Calibri"/>
                <w:color w:val="000000" w:themeColor="text1"/>
                <w:szCs w:val="18"/>
              </w:rPr>
              <w:t>та передбачити норми щодо фінансових інструментів в окремій статті.</w:t>
            </w:r>
          </w:p>
        </w:tc>
        <w:tc>
          <w:tcPr>
            <w:tcW w:w="1987" w:type="dxa"/>
          </w:tcPr>
          <w:p w14:paraId="241B6335" w14:textId="77777777" w:rsidR="006126F0" w:rsidRPr="00286216" w:rsidRDefault="006126F0" w:rsidP="006126F0">
            <w:pPr>
              <w:pStyle w:val="StyleWisnow"/>
              <w:rPr>
                <w:color w:val="000000" w:themeColor="text1"/>
              </w:rPr>
            </w:pPr>
            <w:r w:rsidRPr="00286216">
              <w:rPr>
                <w:color w:val="000000" w:themeColor="text1"/>
              </w:rPr>
              <w:t>Враховано</w:t>
            </w:r>
          </w:p>
          <w:p w14:paraId="2ACFF565" w14:textId="5AEC8654" w:rsidR="006126F0" w:rsidRPr="00286216" w:rsidRDefault="006126F0" w:rsidP="002D299C">
            <w:pPr>
              <w:pStyle w:val="StyleWisnow"/>
              <w:rPr>
                <w:color w:val="000000" w:themeColor="text1"/>
              </w:rPr>
            </w:pPr>
            <w:r w:rsidRPr="00286216">
              <w:rPr>
                <w:color w:val="000000" w:themeColor="text1"/>
              </w:rPr>
              <w:t xml:space="preserve">у новій статті </w:t>
            </w:r>
            <w:r w:rsidR="002D299C" w:rsidRPr="00286216">
              <w:rPr>
                <w:color w:val="000000" w:themeColor="text1"/>
              </w:rPr>
              <w:t>7</w:t>
            </w:r>
          </w:p>
        </w:tc>
        <w:tc>
          <w:tcPr>
            <w:tcW w:w="4818" w:type="dxa"/>
          </w:tcPr>
          <w:p w14:paraId="0705DA78" w14:textId="77777777" w:rsidR="006126F0" w:rsidRPr="00286216" w:rsidRDefault="006126F0" w:rsidP="006126F0">
            <w:pPr>
              <w:pStyle w:val="StyleZakonu"/>
              <w:rPr>
                <w:color w:val="000000" w:themeColor="text1"/>
              </w:rPr>
            </w:pPr>
          </w:p>
        </w:tc>
      </w:tr>
      <w:bookmarkEnd w:id="109"/>
      <w:tr w:rsidR="00F77E8D" w:rsidRPr="00286216" w14:paraId="7C7A2DC5" w14:textId="77777777" w:rsidTr="00091AA5">
        <w:tc>
          <w:tcPr>
            <w:tcW w:w="576" w:type="dxa"/>
          </w:tcPr>
          <w:p w14:paraId="7D746FD2" w14:textId="77777777" w:rsidR="006126F0" w:rsidRPr="00286216" w:rsidRDefault="006126F0" w:rsidP="006126F0">
            <w:pPr>
              <w:pStyle w:val="StyleWisnow"/>
              <w:rPr>
                <w:color w:val="000000" w:themeColor="text1"/>
              </w:rPr>
            </w:pPr>
          </w:p>
        </w:tc>
        <w:tc>
          <w:tcPr>
            <w:tcW w:w="4818" w:type="dxa"/>
          </w:tcPr>
          <w:p w14:paraId="76F2D05C" w14:textId="77777777" w:rsidR="006126F0" w:rsidRPr="00286216" w:rsidRDefault="006126F0" w:rsidP="006126F0">
            <w:pPr>
              <w:pStyle w:val="StyleZakonu"/>
              <w:rPr>
                <w:color w:val="000000" w:themeColor="text1"/>
              </w:rPr>
            </w:pPr>
          </w:p>
        </w:tc>
        <w:tc>
          <w:tcPr>
            <w:tcW w:w="3686" w:type="dxa"/>
          </w:tcPr>
          <w:p w14:paraId="5C304A0A" w14:textId="154C3CDC" w:rsidR="006126F0" w:rsidRPr="00286216" w:rsidRDefault="006126F0" w:rsidP="006126F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3953BC6" w14:textId="2CABC21C" w:rsidR="006126F0" w:rsidRPr="00286216" w:rsidRDefault="006126F0" w:rsidP="006126F0">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 .</w:t>
            </w:r>
          </w:p>
        </w:tc>
        <w:tc>
          <w:tcPr>
            <w:tcW w:w="1987" w:type="dxa"/>
          </w:tcPr>
          <w:p w14:paraId="4F22E21C" w14:textId="59E9C405" w:rsidR="006126F0" w:rsidRPr="00286216" w:rsidRDefault="006126F0" w:rsidP="006126F0">
            <w:pPr>
              <w:pStyle w:val="StyleWisnow"/>
              <w:rPr>
                <w:color w:val="000000" w:themeColor="text1"/>
                <w:lang w:val="ru-RU"/>
              </w:rPr>
            </w:pPr>
            <w:r w:rsidRPr="00286216">
              <w:rPr>
                <w:color w:val="000000" w:themeColor="text1"/>
              </w:rPr>
              <w:t>Враховано</w:t>
            </w:r>
            <w:r w:rsidR="00174AB4" w:rsidRPr="00286216">
              <w:rPr>
                <w:color w:val="000000" w:themeColor="text1"/>
                <w:lang w:val="ru-RU"/>
              </w:rPr>
              <w:t xml:space="preserve"> редакційно</w:t>
            </w:r>
          </w:p>
        </w:tc>
        <w:tc>
          <w:tcPr>
            <w:tcW w:w="4818" w:type="dxa"/>
          </w:tcPr>
          <w:p w14:paraId="08493B72" w14:textId="77777777" w:rsidR="006126F0" w:rsidRPr="00286216" w:rsidRDefault="006126F0" w:rsidP="006126F0">
            <w:pPr>
              <w:pStyle w:val="StyleZakonu"/>
              <w:rPr>
                <w:color w:val="000000" w:themeColor="text1"/>
              </w:rPr>
            </w:pPr>
          </w:p>
        </w:tc>
      </w:tr>
      <w:tr w:rsidR="00F77E8D" w:rsidRPr="00286216" w14:paraId="47E99E52" w14:textId="77777777" w:rsidTr="00091AA5">
        <w:tc>
          <w:tcPr>
            <w:tcW w:w="576" w:type="dxa"/>
          </w:tcPr>
          <w:p w14:paraId="3948B72E" w14:textId="77777777" w:rsidR="00174AB4" w:rsidRPr="00286216" w:rsidRDefault="00174AB4" w:rsidP="00174AB4">
            <w:pPr>
              <w:pStyle w:val="StyleWisnow"/>
              <w:rPr>
                <w:color w:val="000000" w:themeColor="text1"/>
              </w:rPr>
            </w:pPr>
          </w:p>
        </w:tc>
        <w:tc>
          <w:tcPr>
            <w:tcW w:w="4818" w:type="dxa"/>
          </w:tcPr>
          <w:p w14:paraId="35A843BE" w14:textId="77777777" w:rsidR="00174AB4" w:rsidRPr="00286216" w:rsidRDefault="00174AB4" w:rsidP="00174AB4">
            <w:pPr>
              <w:pStyle w:val="StyleZakonu"/>
              <w:rPr>
                <w:color w:val="000000" w:themeColor="text1"/>
              </w:rPr>
            </w:pPr>
          </w:p>
        </w:tc>
        <w:tc>
          <w:tcPr>
            <w:tcW w:w="3686" w:type="dxa"/>
          </w:tcPr>
          <w:p w14:paraId="1EC74DDA" w14:textId="0B35E7F3" w:rsidR="00174AB4" w:rsidRPr="00286216" w:rsidRDefault="00174AB4" w:rsidP="00174AB4">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140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33BAD50" w14:textId="55DC7C6D" w:rsidR="00174AB4" w:rsidRPr="00286216" w:rsidRDefault="00174AB4" w:rsidP="00174AB4">
            <w:pPr>
              <w:pStyle w:val="StyleProp"/>
              <w:rPr>
                <w:color w:val="000000" w:themeColor="text1"/>
              </w:rPr>
            </w:pPr>
            <w:r w:rsidRPr="00286216">
              <w:rPr>
                <w:rFonts w:eastAsia="Calibri"/>
                <w:color w:val="000000" w:themeColor="text1"/>
                <w:szCs w:val="18"/>
              </w:rPr>
              <w:t xml:space="preserve">Доповнити статтю 2 </w:t>
            </w:r>
            <w:r w:rsidR="00FD19D7" w:rsidRPr="00286216">
              <w:rPr>
                <w:rFonts w:eastAsia="Calibri"/>
                <w:color w:val="000000" w:themeColor="text1"/>
                <w:szCs w:val="18"/>
              </w:rPr>
              <w:t xml:space="preserve">таким </w:t>
            </w:r>
            <w:r w:rsidRPr="00286216">
              <w:rPr>
                <w:rFonts w:eastAsia="Calibri"/>
                <w:color w:val="000000" w:themeColor="text1"/>
                <w:szCs w:val="18"/>
              </w:rPr>
              <w:t>терміном</w:t>
            </w:r>
            <w:r w:rsidR="00FD19D7" w:rsidRPr="00286216">
              <w:rPr>
                <w:rFonts w:eastAsia="Calibri"/>
                <w:color w:val="000000" w:themeColor="text1"/>
                <w:szCs w:val="18"/>
              </w:rPr>
              <w:t>:</w:t>
            </w:r>
            <w:r w:rsidRPr="00286216">
              <w:rPr>
                <w:rFonts w:eastAsia="Calibri"/>
                <w:color w:val="000000" w:themeColor="text1"/>
                <w:szCs w:val="18"/>
              </w:rPr>
              <w:t xml:space="preserve"> </w:t>
            </w:r>
            <w:r w:rsidRPr="00286216">
              <w:rPr>
                <w:rFonts w:eastAsia="Calibri"/>
                <w:color w:val="000000" w:themeColor="text1"/>
                <w:szCs w:val="18"/>
              </w:rPr>
              <w:lastRenderedPageBreak/>
              <w:t>«формат проспекту – зміст проспекту, його складових частин, включаючи їх послідовність, вимоги до якого (яких) встановлюється Національною комісією з цінних паперів та фондового ринку».</w:t>
            </w:r>
          </w:p>
        </w:tc>
        <w:tc>
          <w:tcPr>
            <w:tcW w:w="1987" w:type="dxa"/>
          </w:tcPr>
          <w:p w14:paraId="73748F01" w14:textId="2FB0CB40" w:rsidR="00174AB4" w:rsidRPr="00286216" w:rsidRDefault="00174AB4" w:rsidP="00174AB4">
            <w:pPr>
              <w:pStyle w:val="StyleWisnow"/>
              <w:rPr>
                <w:color w:val="000000" w:themeColor="text1"/>
              </w:rPr>
            </w:pPr>
            <w:r w:rsidRPr="00286216">
              <w:rPr>
                <w:color w:val="000000" w:themeColor="text1"/>
              </w:rPr>
              <w:lastRenderedPageBreak/>
              <w:t>Враховано</w:t>
            </w:r>
          </w:p>
        </w:tc>
        <w:tc>
          <w:tcPr>
            <w:tcW w:w="4818" w:type="dxa"/>
          </w:tcPr>
          <w:p w14:paraId="599F1B5D" w14:textId="0B678753" w:rsidR="00174AB4" w:rsidRPr="00286216" w:rsidRDefault="00174AB4" w:rsidP="007409BE">
            <w:pPr>
              <w:pStyle w:val="StyleZakonu"/>
              <w:rPr>
                <w:color w:val="000000" w:themeColor="text1"/>
              </w:rPr>
            </w:pPr>
            <w:r w:rsidRPr="00286216">
              <w:rPr>
                <w:color w:val="000000" w:themeColor="text1"/>
              </w:rPr>
              <w:t>6</w:t>
            </w:r>
            <w:r w:rsidR="009A0754" w:rsidRPr="00286216">
              <w:rPr>
                <w:color w:val="000000" w:themeColor="text1"/>
              </w:rPr>
              <w:t>5</w:t>
            </w:r>
            <w:r w:rsidRPr="00286216">
              <w:rPr>
                <w:color w:val="000000" w:themeColor="text1"/>
              </w:rPr>
              <w:t xml:space="preserve">) формат проспекту – зміст проспекту, його складових частин, включаючи їх послідовність, </w:t>
            </w:r>
            <w:r w:rsidRPr="00286216">
              <w:rPr>
                <w:color w:val="000000" w:themeColor="text1"/>
              </w:rPr>
              <w:lastRenderedPageBreak/>
              <w:t xml:space="preserve">вимоги </w:t>
            </w:r>
            <w:r w:rsidR="007409BE" w:rsidRPr="00286216">
              <w:rPr>
                <w:color w:val="000000" w:themeColor="text1"/>
              </w:rPr>
              <w:t xml:space="preserve">щодо </w:t>
            </w:r>
            <w:r w:rsidRPr="00286216">
              <w:rPr>
                <w:color w:val="000000" w:themeColor="text1"/>
              </w:rPr>
              <w:t>яких встановлю</w:t>
            </w:r>
            <w:r w:rsidR="007409BE" w:rsidRPr="00286216">
              <w:rPr>
                <w:color w:val="000000" w:themeColor="text1"/>
              </w:rPr>
              <w:t>ю</w:t>
            </w:r>
            <w:r w:rsidRPr="00286216">
              <w:rPr>
                <w:color w:val="000000" w:themeColor="text1"/>
              </w:rPr>
              <w:t>ться Національною комісією з цінних паперів та фондового ринку.</w:t>
            </w:r>
          </w:p>
        </w:tc>
      </w:tr>
      <w:tr w:rsidR="00F77E8D" w:rsidRPr="00286216" w14:paraId="1876831D" w14:textId="77777777" w:rsidTr="00091AA5">
        <w:tc>
          <w:tcPr>
            <w:tcW w:w="576" w:type="dxa"/>
          </w:tcPr>
          <w:p w14:paraId="763AE8F5" w14:textId="235A9473" w:rsidR="00174AB4" w:rsidRPr="00286216" w:rsidRDefault="00174AB4" w:rsidP="00174AB4">
            <w:pPr>
              <w:pStyle w:val="StyleWisnow"/>
              <w:rPr>
                <w:color w:val="000000" w:themeColor="text1"/>
              </w:rPr>
            </w:pPr>
          </w:p>
        </w:tc>
        <w:tc>
          <w:tcPr>
            <w:tcW w:w="4818" w:type="dxa"/>
          </w:tcPr>
          <w:p w14:paraId="4D07EBB9" w14:textId="77777777" w:rsidR="00174AB4" w:rsidRPr="00286216" w:rsidRDefault="00174AB4" w:rsidP="00174AB4">
            <w:pPr>
              <w:pStyle w:val="StyleZakonu"/>
              <w:rPr>
                <w:color w:val="000000" w:themeColor="text1"/>
              </w:rPr>
            </w:pPr>
          </w:p>
        </w:tc>
        <w:tc>
          <w:tcPr>
            <w:tcW w:w="3686" w:type="dxa"/>
          </w:tcPr>
          <w:p w14:paraId="43EB07A0" w14:textId="37F3285F" w:rsidR="00174AB4" w:rsidRPr="00286216" w:rsidRDefault="00174AB4" w:rsidP="00174AB4">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141</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2A9062C9" w14:textId="77777777" w:rsidR="00174AB4" w:rsidRPr="00286216" w:rsidRDefault="00174AB4" w:rsidP="00174AB4">
            <w:pPr>
              <w:pStyle w:val="StyleProp"/>
              <w:rPr>
                <w:color w:val="000000" w:themeColor="text1"/>
              </w:rPr>
            </w:pPr>
            <w:r w:rsidRPr="00286216">
              <w:rPr>
                <w:color w:val="000000" w:themeColor="text1"/>
              </w:rPr>
              <w:t>пункт 66) викласти в такій редакції:</w:t>
            </w:r>
          </w:p>
          <w:p w14:paraId="002A94D0" w14:textId="77777777" w:rsidR="00174AB4" w:rsidRPr="00286216" w:rsidRDefault="00174AB4" w:rsidP="00174AB4">
            <w:pPr>
              <w:pStyle w:val="StyleProp"/>
              <w:spacing w:line="180" w:lineRule="exact"/>
              <w:rPr>
                <w:color w:val="000000" w:themeColor="text1"/>
              </w:rPr>
            </w:pPr>
            <w:r w:rsidRPr="00286216">
              <w:rPr>
                <w:color w:val="000000" w:themeColor="text1"/>
              </w:rPr>
              <w:t>«66) фінансовий інструмент - будь-який контракт/угода, що приводить до виникнення фінансового активу у одного суб’єкта господарювання та фінансового зобов’язання або інструмента капіталу у іншого суб’єкта господарювання.</w:t>
            </w:r>
          </w:p>
          <w:p w14:paraId="7C9B903A" w14:textId="77777777" w:rsidR="00174AB4" w:rsidRPr="00286216" w:rsidRDefault="00174AB4" w:rsidP="00174AB4">
            <w:pPr>
              <w:pStyle w:val="StyleProp"/>
              <w:spacing w:line="180" w:lineRule="exact"/>
              <w:rPr>
                <w:color w:val="000000" w:themeColor="text1"/>
              </w:rPr>
            </w:pPr>
            <w:r w:rsidRPr="00286216">
              <w:rPr>
                <w:color w:val="000000" w:themeColor="text1"/>
              </w:rPr>
              <w:t>До фінансових інструментів відносяться, але не виключно - цінні папери, деривативні (похідні) фінансові інструменти, інструменти грошового ринку;»</w:t>
            </w:r>
          </w:p>
          <w:p w14:paraId="76F908C4" w14:textId="4470EB50" w:rsidR="00174AB4" w:rsidRPr="00286216" w:rsidRDefault="00174AB4" w:rsidP="00174AB4">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142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AD22DA1" w14:textId="77777777" w:rsidR="00174AB4" w:rsidRPr="00286216" w:rsidRDefault="00174AB4" w:rsidP="00174AB4">
            <w:pPr>
              <w:spacing w:line="200" w:lineRule="exact"/>
              <w:ind w:firstLine="227"/>
              <w:jc w:val="both"/>
              <w:rPr>
                <w:color w:val="000000" w:themeColor="text1"/>
                <w:sz w:val="18"/>
              </w:rPr>
            </w:pPr>
            <w:r w:rsidRPr="00286216">
              <w:rPr>
                <w:color w:val="000000" w:themeColor="text1"/>
                <w:sz w:val="18"/>
              </w:rPr>
              <w:t>У статті 2 в пункті 66 слово та символи «(похідні)» виключити.</w:t>
            </w:r>
          </w:p>
        </w:tc>
        <w:tc>
          <w:tcPr>
            <w:tcW w:w="1987" w:type="dxa"/>
          </w:tcPr>
          <w:p w14:paraId="7C2D5F03" w14:textId="77777777" w:rsidR="00174AB4" w:rsidRPr="00286216" w:rsidRDefault="00174AB4" w:rsidP="00174AB4">
            <w:pPr>
              <w:pStyle w:val="StyleWisnow"/>
              <w:rPr>
                <w:color w:val="000000" w:themeColor="text1"/>
              </w:rPr>
            </w:pPr>
            <w:r w:rsidRPr="00286216">
              <w:rPr>
                <w:color w:val="000000" w:themeColor="text1"/>
              </w:rPr>
              <w:t>Враховано редакційно</w:t>
            </w:r>
          </w:p>
          <w:p w14:paraId="73A2FB03" w14:textId="4664C675" w:rsidR="00174AB4" w:rsidRPr="00286216" w:rsidRDefault="00174AB4" w:rsidP="00174AB4">
            <w:pPr>
              <w:pStyle w:val="StyleWisnow"/>
              <w:rPr>
                <w:color w:val="000000" w:themeColor="text1"/>
              </w:rPr>
            </w:pPr>
            <w:r w:rsidRPr="00286216">
              <w:rPr>
                <w:color w:val="000000" w:themeColor="text1"/>
              </w:rPr>
              <w:t>у новій статті 7</w:t>
            </w:r>
          </w:p>
          <w:p w14:paraId="4E8484EB" w14:textId="77777777" w:rsidR="00174AB4" w:rsidRPr="00286216" w:rsidRDefault="00174AB4" w:rsidP="00174AB4">
            <w:pPr>
              <w:pStyle w:val="StyleWisnow"/>
              <w:rPr>
                <w:color w:val="000000" w:themeColor="text1"/>
              </w:rPr>
            </w:pPr>
          </w:p>
          <w:p w14:paraId="4CEC1BB0" w14:textId="77777777" w:rsidR="00174AB4" w:rsidRPr="00286216" w:rsidRDefault="00174AB4" w:rsidP="00174AB4">
            <w:pPr>
              <w:pStyle w:val="StyleWisnow"/>
              <w:rPr>
                <w:color w:val="000000" w:themeColor="text1"/>
              </w:rPr>
            </w:pPr>
          </w:p>
          <w:p w14:paraId="18EF137E" w14:textId="77777777" w:rsidR="00174AB4" w:rsidRPr="00286216" w:rsidRDefault="00174AB4" w:rsidP="00174AB4">
            <w:pPr>
              <w:pStyle w:val="StyleWisnow"/>
              <w:rPr>
                <w:color w:val="000000" w:themeColor="text1"/>
              </w:rPr>
            </w:pPr>
          </w:p>
          <w:p w14:paraId="26CB9979" w14:textId="77777777" w:rsidR="00174AB4" w:rsidRPr="00286216" w:rsidRDefault="00174AB4" w:rsidP="00174AB4">
            <w:pPr>
              <w:pStyle w:val="StyleWisnow"/>
              <w:rPr>
                <w:color w:val="000000" w:themeColor="text1"/>
              </w:rPr>
            </w:pPr>
          </w:p>
          <w:p w14:paraId="6BCB827B" w14:textId="77777777" w:rsidR="00174AB4" w:rsidRPr="00286216" w:rsidRDefault="00174AB4" w:rsidP="00174AB4">
            <w:pPr>
              <w:pStyle w:val="StyleWisnow"/>
              <w:rPr>
                <w:color w:val="000000" w:themeColor="text1"/>
              </w:rPr>
            </w:pPr>
          </w:p>
          <w:p w14:paraId="7959AC7B" w14:textId="77777777" w:rsidR="00174AB4" w:rsidRPr="00286216" w:rsidRDefault="00174AB4" w:rsidP="00174AB4">
            <w:pPr>
              <w:pStyle w:val="StyleWisnow"/>
              <w:rPr>
                <w:color w:val="000000" w:themeColor="text1"/>
              </w:rPr>
            </w:pPr>
          </w:p>
          <w:p w14:paraId="003AD802" w14:textId="77777777" w:rsidR="00174AB4" w:rsidRPr="00286216" w:rsidRDefault="00174AB4" w:rsidP="00174AB4">
            <w:pPr>
              <w:pStyle w:val="StyleWisnow"/>
              <w:rPr>
                <w:color w:val="000000" w:themeColor="text1"/>
              </w:rPr>
            </w:pPr>
          </w:p>
          <w:p w14:paraId="6C7D78CD" w14:textId="77777777" w:rsidR="00174AB4" w:rsidRPr="00286216" w:rsidRDefault="00174AB4" w:rsidP="00174AB4">
            <w:pPr>
              <w:pStyle w:val="StyleWisnow"/>
              <w:rPr>
                <w:color w:val="000000" w:themeColor="text1"/>
              </w:rPr>
            </w:pPr>
          </w:p>
          <w:p w14:paraId="4B15AF37" w14:textId="77777777" w:rsidR="00174AB4" w:rsidRPr="00286216" w:rsidRDefault="00174AB4" w:rsidP="00174AB4">
            <w:pPr>
              <w:pStyle w:val="StyleWisnow"/>
              <w:rPr>
                <w:color w:val="000000" w:themeColor="text1"/>
              </w:rPr>
            </w:pPr>
            <w:r w:rsidRPr="00286216">
              <w:rPr>
                <w:color w:val="000000" w:themeColor="text1"/>
              </w:rPr>
              <w:t>Враховано редакційно</w:t>
            </w:r>
          </w:p>
        </w:tc>
        <w:tc>
          <w:tcPr>
            <w:tcW w:w="4818" w:type="dxa"/>
          </w:tcPr>
          <w:p w14:paraId="19EF9D69" w14:textId="77777777" w:rsidR="00174AB4" w:rsidRPr="00286216" w:rsidRDefault="00174AB4" w:rsidP="00174AB4">
            <w:pPr>
              <w:pStyle w:val="StyleZakonu"/>
              <w:rPr>
                <w:color w:val="000000" w:themeColor="text1"/>
              </w:rPr>
            </w:pPr>
          </w:p>
        </w:tc>
      </w:tr>
      <w:tr w:rsidR="00F77E8D" w:rsidRPr="00286216" w14:paraId="3DF3B4C2" w14:textId="77777777" w:rsidTr="00091AA5">
        <w:tc>
          <w:tcPr>
            <w:tcW w:w="576" w:type="dxa"/>
          </w:tcPr>
          <w:p w14:paraId="1590AB55" w14:textId="77777777" w:rsidR="00174AB4" w:rsidRPr="00286216" w:rsidRDefault="00174AB4" w:rsidP="00174AB4">
            <w:pPr>
              <w:pStyle w:val="StyleWisnow"/>
              <w:rPr>
                <w:color w:val="000000" w:themeColor="text1"/>
              </w:rPr>
            </w:pPr>
            <w:bookmarkStart w:id="110" w:name="n106" w:colFirst="0" w:colLast="0"/>
            <w:r w:rsidRPr="00286216">
              <w:rPr>
                <w:color w:val="000000" w:themeColor="text1"/>
              </w:rPr>
              <w:t>106.</w:t>
            </w:r>
          </w:p>
        </w:tc>
        <w:tc>
          <w:tcPr>
            <w:tcW w:w="4818" w:type="dxa"/>
          </w:tcPr>
          <w:p w14:paraId="6A098D67" w14:textId="77777777" w:rsidR="00174AB4" w:rsidRPr="00286216" w:rsidRDefault="00174AB4" w:rsidP="00174AB4">
            <w:pPr>
              <w:pStyle w:val="StyleZakonu"/>
              <w:spacing w:line="210" w:lineRule="exact"/>
              <w:rPr>
                <w:color w:val="000000" w:themeColor="text1"/>
                <w:spacing w:val="-1"/>
              </w:rPr>
            </w:pPr>
            <w:r w:rsidRPr="00286216">
              <w:rPr>
                <w:color w:val="000000" w:themeColor="text1"/>
                <w:spacing w:val="-1"/>
              </w:rPr>
              <w:t>67) централізоване виконання вчинених правочинів у багатосторонній системі (централізоване виконання правочинів) -передбачене правилами функціонування багатосторонньої системи обов’язкове здійснення сторонами правочину, вчиненого у такій системі, погоджених дій, спрямованих на виконання зобов’язань, що виникли внаслідок вчинення правочину, та/або спрямованих на реалізацію прав, передбачених таким правочином. При цьому, такі погоджені дії здійснюються в результаті функціонування інформаційної та телекомунікаційної систем відповідно до правил особи, яка провадить клірингову діяльність, визначеної оператором такої багатосторонньої системи, відповідно до правил функціонування відповідного організованого ринку, що відповідають вимогам статті 50 цього Закону. Оператор багатосторонньої системи отримує інформацію про будь-які факти невчинення зазначених погоджених дій;</w:t>
            </w:r>
          </w:p>
        </w:tc>
        <w:tc>
          <w:tcPr>
            <w:tcW w:w="3686" w:type="dxa"/>
          </w:tcPr>
          <w:p w14:paraId="0B82AB19" w14:textId="14D2918E" w:rsidR="00174AB4" w:rsidRPr="00286216" w:rsidRDefault="00174AB4" w:rsidP="00174AB4">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EEA892B" w14:textId="77777777" w:rsidR="00174AB4" w:rsidRPr="00286216" w:rsidRDefault="00174AB4" w:rsidP="00174AB4">
            <w:pPr>
              <w:pStyle w:val="StyleProp"/>
              <w:spacing w:line="180" w:lineRule="exact"/>
              <w:rPr>
                <w:color w:val="000000" w:themeColor="text1"/>
                <w:szCs w:val="18"/>
              </w:rPr>
            </w:pPr>
            <w:r w:rsidRPr="00286216">
              <w:rPr>
                <w:rFonts w:eastAsia="Calibri"/>
                <w:color w:val="000000" w:themeColor="text1"/>
                <w:szCs w:val="18"/>
              </w:rPr>
              <w:t>Пункт 67 статті 2 виключити</w:t>
            </w:r>
            <w:r w:rsidRPr="00286216" w:rsidDel="00FD3599">
              <w:rPr>
                <w:rFonts w:eastAsia="Calibri"/>
                <w:color w:val="000000" w:themeColor="text1"/>
                <w:szCs w:val="18"/>
              </w:rPr>
              <w:t xml:space="preserve"> </w:t>
            </w:r>
            <w:r w:rsidRPr="00286216">
              <w:rPr>
                <w:rFonts w:eastAsia="Calibri"/>
                <w:color w:val="000000" w:themeColor="text1"/>
                <w:szCs w:val="18"/>
              </w:rPr>
              <w:t>та передбачити норми щодо централізованого вчинення правочинів в окремій статті 45-1.</w:t>
            </w:r>
          </w:p>
        </w:tc>
        <w:tc>
          <w:tcPr>
            <w:tcW w:w="1987" w:type="dxa"/>
          </w:tcPr>
          <w:p w14:paraId="769CFB1A" w14:textId="77777777" w:rsidR="00174AB4" w:rsidRPr="00286216" w:rsidRDefault="00174AB4" w:rsidP="00174AB4">
            <w:pPr>
              <w:pStyle w:val="StyleWisnow"/>
              <w:rPr>
                <w:color w:val="000000" w:themeColor="text1"/>
              </w:rPr>
            </w:pPr>
            <w:r w:rsidRPr="00286216">
              <w:rPr>
                <w:color w:val="000000" w:themeColor="text1"/>
              </w:rPr>
              <w:t>Враховано</w:t>
            </w:r>
          </w:p>
        </w:tc>
        <w:tc>
          <w:tcPr>
            <w:tcW w:w="4818" w:type="dxa"/>
          </w:tcPr>
          <w:p w14:paraId="7F5A1565" w14:textId="77777777" w:rsidR="00174AB4" w:rsidRPr="00286216" w:rsidRDefault="00174AB4" w:rsidP="00174AB4">
            <w:pPr>
              <w:pStyle w:val="StyleZakonu"/>
              <w:rPr>
                <w:color w:val="000000" w:themeColor="text1"/>
              </w:rPr>
            </w:pPr>
          </w:p>
        </w:tc>
      </w:tr>
      <w:tr w:rsidR="00F77E8D" w:rsidRPr="00286216" w14:paraId="0C0BB041" w14:textId="77777777" w:rsidTr="00091AA5">
        <w:tc>
          <w:tcPr>
            <w:tcW w:w="576" w:type="dxa"/>
          </w:tcPr>
          <w:p w14:paraId="496A5410" w14:textId="77777777" w:rsidR="00174AB4" w:rsidRPr="00286216" w:rsidRDefault="00174AB4" w:rsidP="00174AB4">
            <w:pPr>
              <w:pStyle w:val="StyleWisnow"/>
              <w:rPr>
                <w:color w:val="000000" w:themeColor="text1"/>
              </w:rPr>
            </w:pPr>
            <w:bookmarkStart w:id="111" w:name="n107" w:colFirst="0" w:colLast="0"/>
            <w:bookmarkEnd w:id="110"/>
            <w:r w:rsidRPr="00286216">
              <w:rPr>
                <w:color w:val="000000" w:themeColor="text1"/>
              </w:rPr>
              <w:t>107.</w:t>
            </w:r>
          </w:p>
        </w:tc>
        <w:tc>
          <w:tcPr>
            <w:tcW w:w="4818" w:type="dxa"/>
          </w:tcPr>
          <w:p w14:paraId="0F27BEA2" w14:textId="77777777" w:rsidR="00174AB4" w:rsidRPr="00286216" w:rsidRDefault="00174AB4" w:rsidP="00174AB4">
            <w:pPr>
              <w:pStyle w:val="StyleZakonu"/>
              <w:spacing w:line="210" w:lineRule="exact"/>
              <w:rPr>
                <w:color w:val="000000" w:themeColor="text1"/>
                <w:spacing w:val="-1"/>
              </w:rPr>
            </w:pPr>
            <w:r w:rsidRPr="00286216">
              <w:rPr>
                <w:color w:val="000000" w:themeColor="text1"/>
                <w:spacing w:val="-1"/>
              </w:rPr>
              <w:t>68) централізоване вчинення правочинів у багатосторонній системі (централізоване вчинення правочинів) -передбачене правилами функціонування багатосторонньої системи вчинення двома або більше сторонами погоджених дій, спрямованих на набуття, зміну або припинення цивільних прав та обов’язків, що є результатом функціонуванням створеної оператором багатосторонньої системи інформаційної та телекомунікаційної систем.</w:t>
            </w:r>
          </w:p>
        </w:tc>
        <w:tc>
          <w:tcPr>
            <w:tcW w:w="3686" w:type="dxa"/>
          </w:tcPr>
          <w:p w14:paraId="02C91802" w14:textId="003AF1C8" w:rsidR="00174AB4" w:rsidRPr="00286216" w:rsidRDefault="00174AB4" w:rsidP="00174AB4">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7AABF51" w14:textId="77777777" w:rsidR="00174AB4" w:rsidRPr="00286216" w:rsidRDefault="00174AB4" w:rsidP="00174AB4">
            <w:pPr>
              <w:pStyle w:val="StyleProp"/>
              <w:spacing w:line="180" w:lineRule="exact"/>
              <w:rPr>
                <w:color w:val="000000" w:themeColor="text1"/>
                <w:szCs w:val="18"/>
              </w:rPr>
            </w:pPr>
            <w:r w:rsidRPr="00286216">
              <w:rPr>
                <w:rFonts w:eastAsia="Calibri"/>
                <w:color w:val="000000" w:themeColor="text1"/>
                <w:szCs w:val="18"/>
              </w:rPr>
              <w:t>Пункт 66 статті 2 виключити</w:t>
            </w:r>
            <w:r w:rsidRPr="00286216" w:rsidDel="00FD3599">
              <w:rPr>
                <w:rFonts w:eastAsia="Calibri"/>
                <w:color w:val="000000" w:themeColor="text1"/>
                <w:szCs w:val="18"/>
              </w:rPr>
              <w:t xml:space="preserve"> </w:t>
            </w:r>
            <w:r w:rsidRPr="00286216">
              <w:rPr>
                <w:rFonts w:eastAsia="Calibri"/>
                <w:color w:val="000000" w:themeColor="text1"/>
                <w:szCs w:val="18"/>
              </w:rPr>
              <w:t>та передбачити норми щодо централізованого вчинення правочинів в окремій статті 45-1..</w:t>
            </w:r>
          </w:p>
        </w:tc>
        <w:tc>
          <w:tcPr>
            <w:tcW w:w="1987" w:type="dxa"/>
          </w:tcPr>
          <w:p w14:paraId="6C7A8847" w14:textId="77777777" w:rsidR="00174AB4" w:rsidRPr="00286216" w:rsidRDefault="00174AB4" w:rsidP="00174AB4">
            <w:pPr>
              <w:pStyle w:val="StyleWisnow"/>
              <w:rPr>
                <w:color w:val="000000" w:themeColor="text1"/>
              </w:rPr>
            </w:pPr>
            <w:r w:rsidRPr="00286216">
              <w:rPr>
                <w:color w:val="000000" w:themeColor="text1"/>
              </w:rPr>
              <w:t>Враховано</w:t>
            </w:r>
          </w:p>
        </w:tc>
        <w:tc>
          <w:tcPr>
            <w:tcW w:w="4818" w:type="dxa"/>
          </w:tcPr>
          <w:p w14:paraId="33CAF452" w14:textId="77777777" w:rsidR="00174AB4" w:rsidRPr="00286216" w:rsidRDefault="00174AB4" w:rsidP="00174AB4">
            <w:pPr>
              <w:pStyle w:val="StyleZakonu"/>
              <w:rPr>
                <w:color w:val="000000" w:themeColor="text1"/>
              </w:rPr>
            </w:pPr>
          </w:p>
        </w:tc>
      </w:tr>
      <w:tr w:rsidR="00F77E8D" w:rsidRPr="00286216" w14:paraId="17ED3C6C" w14:textId="77777777" w:rsidTr="00091AA5">
        <w:tc>
          <w:tcPr>
            <w:tcW w:w="576" w:type="dxa"/>
          </w:tcPr>
          <w:p w14:paraId="37756583" w14:textId="77777777" w:rsidR="00174AB4" w:rsidRPr="00286216" w:rsidRDefault="00174AB4" w:rsidP="00174AB4">
            <w:pPr>
              <w:pStyle w:val="StyleWisnow"/>
              <w:rPr>
                <w:color w:val="000000" w:themeColor="text1"/>
              </w:rPr>
            </w:pPr>
            <w:bookmarkStart w:id="112" w:name="n108" w:colFirst="0" w:colLast="0"/>
            <w:bookmarkEnd w:id="111"/>
            <w:r w:rsidRPr="00286216">
              <w:rPr>
                <w:color w:val="000000" w:themeColor="text1"/>
              </w:rPr>
              <w:t>108.</w:t>
            </w:r>
          </w:p>
        </w:tc>
        <w:tc>
          <w:tcPr>
            <w:tcW w:w="4818" w:type="dxa"/>
          </w:tcPr>
          <w:p w14:paraId="2DC41966" w14:textId="77777777" w:rsidR="00174AB4" w:rsidRPr="00286216" w:rsidRDefault="00174AB4" w:rsidP="00174AB4">
            <w:pPr>
              <w:pStyle w:val="StyleZakonu"/>
              <w:rPr>
                <w:color w:val="000000" w:themeColor="text1"/>
              </w:rPr>
            </w:pPr>
            <w:r w:rsidRPr="00286216">
              <w:rPr>
                <w:color w:val="000000" w:themeColor="text1"/>
              </w:rPr>
              <w:t xml:space="preserve">2. Термін "неприбуткова організація" вживається у </w:t>
            </w:r>
            <w:r w:rsidRPr="00286216">
              <w:rPr>
                <w:color w:val="000000" w:themeColor="text1"/>
              </w:rPr>
              <w:lastRenderedPageBreak/>
              <w:t>значенні, наведеному в Податковому кодексі України.</w:t>
            </w:r>
          </w:p>
        </w:tc>
        <w:tc>
          <w:tcPr>
            <w:tcW w:w="3686" w:type="dxa"/>
          </w:tcPr>
          <w:p w14:paraId="570F2A7B" w14:textId="4E043968" w:rsidR="00174AB4" w:rsidRPr="00286216" w:rsidRDefault="00174AB4" w:rsidP="00174AB4">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04BBCC8" w14:textId="77777777" w:rsidR="00174AB4" w:rsidRPr="00286216" w:rsidRDefault="00174AB4" w:rsidP="00174AB4">
            <w:pPr>
              <w:pStyle w:val="StyleProp"/>
              <w:spacing w:line="180" w:lineRule="exact"/>
              <w:rPr>
                <w:rFonts w:eastAsia="Calibri"/>
                <w:color w:val="000000" w:themeColor="text1"/>
                <w:szCs w:val="18"/>
              </w:rPr>
            </w:pPr>
            <w:r w:rsidRPr="00286216">
              <w:rPr>
                <w:rFonts w:eastAsia="Calibri"/>
                <w:color w:val="000000" w:themeColor="text1"/>
                <w:szCs w:val="18"/>
              </w:rPr>
              <w:lastRenderedPageBreak/>
              <w:t>Абзац перший частини другої статті 2 викласти у такій редакції:</w:t>
            </w:r>
          </w:p>
          <w:p w14:paraId="7BDD9502" w14:textId="7EAABABF" w:rsidR="00174AB4" w:rsidRPr="00286216" w:rsidRDefault="00174AB4" w:rsidP="00174AB4">
            <w:pPr>
              <w:pStyle w:val="StyleProp"/>
              <w:spacing w:line="180" w:lineRule="exact"/>
              <w:rPr>
                <w:color w:val="000000" w:themeColor="text1"/>
                <w:szCs w:val="18"/>
              </w:rPr>
            </w:pPr>
            <w:r w:rsidRPr="00286216">
              <w:rPr>
                <w:color w:val="000000" w:themeColor="text1"/>
              </w:rPr>
              <w:t>"2. Інші терміни вживаються у цьому Законі у таких значеннях"</w:t>
            </w:r>
          </w:p>
        </w:tc>
        <w:tc>
          <w:tcPr>
            <w:tcW w:w="1987" w:type="dxa"/>
          </w:tcPr>
          <w:p w14:paraId="7EAA763E" w14:textId="77777777" w:rsidR="00174AB4" w:rsidRPr="00286216" w:rsidRDefault="00174AB4" w:rsidP="00174AB4">
            <w:pPr>
              <w:pStyle w:val="StyleWisnow"/>
              <w:rPr>
                <w:color w:val="000000" w:themeColor="text1"/>
              </w:rPr>
            </w:pPr>
            <w:r w:rsidRPr="00286216">
              <w:rPr>
                <w:color w:val="000000" w:themeColor="text1"/>
              </w:rPr>
              <w:lastRenderedPageBreak/>
              <w:t>Враховано</w:t>
            </w:r>
          </w:p>
        </w:tc>
        <w:tc>
          <w:tcPr>
            <w:tcW w:w="4818" w:type="dxa"/>
          </w:tcPr>
          <w:p w14:paraId="6C8726ED" w14:textId="1DBF312E" w:rsidR="00174AB4" w:rsidRPr="00286216" w:rsidRDefault="00174AB4" w:rsidP="007409BE">
            <w:pPr>
              <w:pStyle w:val="StyleZakonu"/>
              <w:rPr>
                <w:color w:val="000000" w:themeColor="text1"/>
              </w:rPr>
            </w:pPr>
            <w:r w:rsidRPr="00286216">
              <w:rPr>
                <w:color w:val="000000" w:themeColor="text1"/>
              </w:rPr>
              <w:t xml:space="preserve">2. Інші терміни вживаються </w:t>
            </w:r>
            <w:r w:rsidR="007409BE" w:rsidRPr="00286216">
              <w:rPr>
                <w:color w:val="000000" w:themeColor="text1"/>
              </w:rPr>
              <w:t>в</w:t>
            </w:r>
            <w:r w:rsidRPr="00286216">
              <w:rPr>
                <w:color w:val="000000" w:themeColor="text1"/>
              </w:rPr>
              <w:t xml:space="preserve"> цьому Законі у таких </w:t>
            </w:r>
            <w:r w:rsidRPr="00286216">
              <w:rPr>
                <w:color w:val="000000" w:themeColor="text1"/>
              </w:rPr>
              <w:lastRenderedPageBreak/>
              <w:t>значеннях:</w:t>
            </w:r>
          </w:p>
        </w:tc>
      </w:tr>
      <w:tr w:rsidR="00F77E8D" w:rsidRPr="00286216" w14:paraId="160BB402" w14:textId="77777777" w:rsidTr="00091AA5">
        <w:tc>
          <w:tcPr>
            <w:tcW w:w="576" w:type="dxa"/>
          </w:tcPr>
          <w:p w14:paraId="0333CB7D" w14:textId="77777777" w:rsidR="00174AB4" w:rsidRPr="00286216" w:rsidRDefault="00174AB4" w:rsidP="00174AB4">
            <w:pPr>
              <w:pStyle w:val="StyleWisnow"/>
              <w:rPr>
                <w:color w:val="000000" w:themeColor="text1"/>
              </w:rPr>
            </w:pPr>
            <w:bookmarkStart w:id="113" w:name="n109" w:colFirst="0" w:colLast="0"/>
            <w:bookmarkEnd w:id="112"/>
            <w:r w:rsidRPr="00286216">
              <w:rPr>
                <w:color w:val="000000" w:themeColor="text1"/>
              </w:rPr>
              <w:lastRenderedPageBreak/>
              <w:t>109.</w:t>
            </w:r>
          </w:p>
        </w:tc>
        <w:tc>
          <w:tcPr>
            <w:tcW w:w="4818" w:type="dxa"/>
          </w:tcPr>
          <w:p w14:paraId="75121C20" w14:textId="77777777" w:rsidR="00174AB4" w:rsidRPr="00286216" w:rsidRDefault="00174AB4" w:rsidP="00174AB4">
            <w:pPr>
              <w:pStyle w:val="StyleZakonu"/>
              <w:rPr>
                <w:color w:val="000000" w:themeColor="text1"/>
              </w:rPr>
            </w:pPr>
            <w:r w:rsidRPr="00286216">
              <w:rPr>
                <w:color w:val="000000" w:themeColor="text1"/>
              </w:rPr>
              <w:t>Термін "товарні операції" вживається у значенні, наведеному в Господарському кодексі України.</w:t>
            </w:r>
          </w:p>
        </w:tc>
        <w:tc>
          <w:tcPr>
            <w:tcW w:w="3686" w:type="dxa"/>
          </w:tcPr>
          <w:p w14:paraId="5DB557D2" w14:textId="14F0E712" w:rsidR="00174AB4" w:rsidRPr="00286216" w:rsidRDefault="00174AB4" w:rsidP="00174AB4">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146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2CDEDCA" w14:textId="742E9EAF" w:rsidR="00174AB4" w:rsidRPr="00286216" w:rsidRDefault="00174AB4" w:rsidP="00174AB4">
            <w:pPr>
              <w:pStyle w:val="StyleProp"/>
              <w:rPr>
                <w:color w:val="000000" w:themeColor="text1"/>
              </w:rPr>
            </w:pPr>
            <w:r w:rsidRPr="00286216">
              <w:rPr>
                <w:color w:val="000000" w:themeColor="text1"/>
              </w:rPr>
              <w:t>Абзац 2 частини 2 статті 2 виключити.</w:t>
            </w:r>
          </w:p>
        </w:tc>
        <w:tc>
          <w:tcPr>
            <w:tcW w:w="1987" w:type="dxa"/>
          </w:tcPr>
          <w:p w14:paraId="41283A05" w14:textId="4B3169EE" w:rsidR="00174AB4" w:rsidRPr="00286216" w:rsidRDefault="00174AB4" w:rsidP="00174AB4">
            <w:pPr>
              <w:pStyle w:val="StyleWisnow"/>
              <w:rPr>
                <w:color w:val="000000" w:themeColor="text1"/>
              </w:rPr>
            </w:pPr>
            <w:r w:rsidRPr="00286216">
              <w:rPr>
                <w:color w:val="000000" w:themeColor="text1"/>
              </w:rPr>
              <w:t>Враховано</w:t>
            </w:r>
          </w:p>
        </w:tc>
        <w:tc>
          <w:tcPr>
            <w:tcW w:w="4818" w:type="dxa"/>
          </w:tcPr>
          <w:p w14:paraId="3F46B147" w14:textId="22A41C48" w:rsidR="00174AB4" w:rsidRPr="00286216" w:rsidRDefault="00174AB4" w:rsidP="00174AB4">
            <w:pPr>
              <w:pStyle w:val="StyleZakonu"/>
              <w:rPr>
                <w:color w:val="000000" w:themeColor="text1"/>
              </w:rPr>
            </w:pPr>
          </w:p>
        </w:tc>
      </w:tr>
      <w:tr w:rsidR="00F77E8D" w:rsidRPr="00286216" w14:paraId="42AC5D7B" w14:textId="77777777" w:rsidTr="00091AA5">
        <w:tc>
          <w:tcPr>
            <w:tcW w:w="576" w:type="dxa"/>
          </w:tcPr>
          <w:p w14:paraId="5A056194" w14:textId="77777777" w:rsidR="00174AB4" w:rsidRPr="00286216" w:rsidRDefault="00174AB4" w:rsidP="00174AB4">
            <w:pPr>
              <w:pStyle w:val="StyleWisnow"/>
              <w:rPr>
                <w:color w:val="000000" w:themeColor="text1"/>
              </w:rPr>
            </w:pPr>
            <w:bookmarkStart w:id="114" w:name="n110" w:colFirst="0" w:colLast="0"/>
            <w:bookmarkEnd w:id="113"/>
            <w:r w:rsidRPr="00286216">
              <w:rPr>
                <w:color w:val="000000" w:themeColor="text1"/>
              </w:rPr>
              <w:t>110.</w:t>
            </w:r>
          </w:p>
        </w:tc>
        <w:tc>
          <w:tcPr>
            <w:tcW w:w="4818" w:type="dxa"/>
          </w:tcPr>
          <w:p w14:paraId="1B7D5517" w14:textId="77777777" w:rsidR="00174AB4" w:rsidRPr="00286216" w:rsidRDefault="00174AB4" w:rsidP="00174AB4">
            <w:pPr>
              <w:pStyle w:val="StyleZakonu"/>
              <w:rPr>
                <w:color w:val="000000" w:themeColor="text1"/>
              </w:rPr>
            </w:pPr>
            <w:r w:rsidRPr="00286216">
              <w:rPr>
                <w:color w:val="000000" w:themeColor="text1"/>
              </w:rPr>
              <w:t>Терміни "асоційована компанія", "ділова репутація", "істотна участь", "контролер", "контроль", "пов’язана особа", "споріднена особа" вживаються у цьому Законі у значенні, наведеному в Законі України "Про фінансові послуги та державне регулювання ринків фінансових послуг".</w:t>
            </w:r>
          </w:p>
        </w:tc>
        <w:tc>
          <w:tcPr>
            <w:tcW w:w="3686" w:type="dxa"/>
          </w:tcPr>
          <w:p w14:paraId="32362388" w14:textId="61B2A77F" w:rsidR="00174AB4" w:rsidRPr="00286216" w:rsidRDefault="00174AB4" w:rsidP="00174AB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1FDD984" w14:textId="0E05937C" w:rsidR="00174AB4" w:rsidRPr="00286216" w:rsidRDefault="00174AB4" w:rsidP="00174AB4">
            <w:pPr>
              <w:pStyle w:val="StyleProp"/>
              <w:rPr>
                <w:color w:val="000000" w:themeColor="text1"/>
                <w:szCs w:val="18"/>
              </w:rPr>
            </w:pPr>
            <w:r w:rsidRPr="00286216">
              <w:rPr>
                <w:color w:val="000000" w:themeColor="text1"/>
                <w:szCs w:val="18"/>
              </w:rPr>
              <w:t>Абзац третій частини другої статті 2 після слів «споріднена особа» доповнити словами «структура власності».</w:t>
            </w:r>
          </w:p>
          <w:p w14:paraId="628E973C" w14:textId="68327CA8" w:rsidR="00174AB4" w:rsidRPr="00286216" w:rsidRDefault="00174AB4" w:rsidP="00174AB4">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34CC36C" w14:textId="143B843C" w:rsidR="00174AB4" w:rsidRPr="00286216" w:rsidRDefault="00174AB4" w:rsidP="007D643D">
            <w:pPr>
              <w:pStyle w:val="StyleProp"/>
              <w:spacing w:line="180" w:lineRule="exact"/>
              <w:rPr>
                <w:color w:val="000000" w:themeColor="text1"/>
                <w:szCs w:val="18"/>
              </w:rPr>
            </w:pPr>
            <w:r w:rsidRPr="00286216">
              <w:rPr>
                <w:rFonts w:eastAsia="Calibri"/>
                <w:color w:val="000000" w:themeColor="text1"/>
                <w:szCs w:val="18"/>
              </w:rPr>
              <w:t>Абзац третій частини другої статті 2 замінити абзацами такого змісту:</w:t>
            </w:r>
          </w:p>
          <w:p w14:paraId="02F1CBEC" w14:textId="3B1CD96A" w:rsidR="00174AB4" w:rsidRPr="00286216" w:rsidRDefault="00174AB4" w:rsidP="007D643D">
            <w:pPr>
              <w:pStyle w:val="StyleProp"/>
              <w:spacing w:line="180" w:lineRule="exact"/>
              <w:rPr>
                <w:color w:val="000000" w:themeColor="text1"/>
              </w:rPr>
            </w:pPr>
            <w:r w:rsidRPr="00286216">
              <w:rPr>
                <w:color w:val="000000" w:themeColor="text1"/>
              </w:rPr>
              <w:t>"терміни "структура власності юридичної особи" та "учасник юридичної особи" – у значенні, наведеному у Законі України "Про банки і банківську діяльність";</w:t>
            </w:r>
          </w:p>
          <w:p w14:paraId="4D24E43D" w14:textId="63B94F13" w:rsidR="00174AB4" w:rsidRPr="00286216" w:rsidRDefault="00174AB4" w:rsidP="007D643D">
            <w:pPr>
              <w:pStyle w:val="StyleProp"/>
              <w:spacing w:line="180" w:lineRule="exact"/>
              <w:rPr>
                <w:color w:val="000000" w:themeColor="text1"/>
              </w:rPr>
            </w:pPr>
            <w:r w:rsidRPr="00286216">
              <w:rPr>
                <w:color w:val="000000" w:themeColor="text1"/>
              </w:rPr>
              <w:t>терміни "асоційована компанія", "істотна участь", "контролер", "контроль", «кредитна установа», "пов’язана особа", "споріднена особа", «структура власності», «фінансова установа» – у значенні, наведеному в Законі України "Про фінансові послуги та державне регулювання ринків фінансових послуг";</w:t>
            </w:r>
          </w:p>
          <w:p w14:paraId="79D66496" w14:textId="1050D03C" w:rsidR="00174AB4" w:rsidRPr="00286216" w:rsidRDefault="00174AB4" w:rsidP="007D643D">
            <w:pPr>
              <w:pStyle w:val="StyleProp"/>
              <w:spacing w:line="180" w:lineRule="exact"/>
              <w:rPr>
                <w:color w:val="000000" w:themeColor="text1"/>
              </w:rPr>
            </w:pPr>
            <w:r w:rsidRPr="00286216">
              <w:rPr>
                <w:color w:val="000000" w:themeColor="text1"/>
              </w:rPr>
              <w:t>термін «платіжна організація»  вживається у значенні, наведеному в Законі України «Про платіжні системи та переказ коштів в Україні»";</w:t>
            </w:r>
          </w:p>
          <w:p w14:paraId="1B54E928" w14:textId="07E17309" w:rsidR="00174AB4" w:rsidRPr="00286216" w:rsidRDefault="00174AB4" w:rsidP="007D643D">
            <w:pPr>
              <w:pStyle w:val="StyleProp"/>
              <w:spacing w:line="180" w:lineRule="exact"/>
              <w:rPr>
                <w:color w:val="000000" w:themeColor="text1"/>
              </w:rPr>
            </w:pPr>
            <w:r w:rsidRPr="00286216">
              <w:rPr>
                <w:color w:val="000000" w:themeColor="text1"/>
              </w:rPr>
              <w:t>термін "захист інформації" – у значенні, наведеному в Законі України "Про інформацію".</w:t>
            </w:r>
          </w:p>
        </w:tc>
        <w:tc>
          <w:tcPr>
            <w:tcW w:w="1987" w:type="dxa"/>
          </w:tcPr>
          <w:p w14:paraId="33753F17" w14:textId="1C64AC5A" w:rsidR="00174AB4" w:rsidRPr="00286216" w:rsidRDefault="00174AB4" w:rsidP="00174AB4">
            <w:pPr>
              <w:pStyle w:val="StyleWisnow"/>
              <w:spacing w:line="180" w:lineRule="exact"/>
              <w:rPr>
                <w:color w:val="000000" w:themeColor="text1"/>
              </w:rPr>
            </w:pPr>
            <w:r w:rsidRPr="00286216">
              <w:rPr>
                <w:color w:val="000000" w:themeColor="text1"/>
              </w:rPr>
              <w:t>Відхилено</w:t>
            </w:r>
          </w:p>
          <w:p w14:paraId="5D34A8DF" w14:textId="2661E293" w:rsidR="00174AB4" w:rsidRPr="00286216" w:rsidRDefault="00174AB4" w:rsidP="00174AB4">
            <w:pPr>
              <w:pStyle w:val="StyleWisnow"/>
              <w:spacing w:line="180" w:lineRule="exact"/>
              <w:rPr>
                <w:color w:val="000000" w:themeColor="text1"/>
              </w:rPr>
            </w:pPr>
            <w:r w:rsidRPr="00286216">
              <w:rPr>
                <w:color w:val="000000" w:themeColor="text1"/>
              </w:rPr>
              <w:t>застосовується термін "структура власності юридичної особи"</w:t>
            </w:r>
          </w:p>
          <w:p w14:paraId="5135B5B7" w14:textId="77777777" w:rsidR="00174AB4" w:rsidRPr="00286216" w:rsidRDefault="00174AB4" w:rsidP="00174AB4">
            <w:pPr>
              <w:pStyle w:val="StyleWisnow"/>
              <w:rPr>
                <w:color w:val="000000" w:themeColor="text1"/>
              </w:rPr>
            </w:pPr>
          </w:p>
          <w:p w14:paraId="14892119" w14:textId="77777777" w:rsidR="00174AB4" w:rsidRPr="00286216" w:rsidRDefault="00174AB4" w:rsidP="00174AB4">
            <w:pPr>
              <w:pStyle w:val="StyleWisnow"/>
              <w:rPr>
                <w:color w:val="000000" w:themeColor="text1"/>
              </w:rPr>
            </w:pPr>
            <w:r w:rsidRPr="00286216">
              <w:rPr>
                <w:color w:val="000000" w:themeColor="text1"/>
              </w:rPr>
              <w:t>Враховано</w:t>
            </w:r>
          </w:p>
        </w:tc>
        <w:tc>
          <w:tcPr>
            <w:tcW w:w="4818" w:type="dxa"/>
          </w:tcPr>
          <w:p w14:paraId="6BC779F8" w14:textId="4ACE63C3" w:rsidR="00174AB4" w:rsidRPr="00286216" w:rsidRDefault="00174AB4" w:rsidP="00174AB4">
            <w:pPr>
              <w:pStyle w:val="StyleZakonu"/>
              <w:rPr>
                <w:color w:val="000000" w:themeColor="text1"/>
              </w:rPr>
            </w:pPr>
            <w:r w:rsidRPr="00286216">
              <w:rPr>
                <w:color w:val="000000" w:themeColor="text1"/>
              </w:rPr>
              <w:t xml:space="preserve">терміни "асоційована компанія", "істотна участь", "контролер", "контроль", "кредитна установа", "пов’язана особа", "споріднена особа", "фінансова установа" – у значеннях, наведених </w:t>
            </w:r>
            <w:r w:rsidR="007409BE" w:rsidRPr="00286216">
              <w:rPr>
                <w:color w:val="000000" w:themeColor="text1"/>
              </w:rPr>
              <w:t>у</w:t>
            </w:r>
            <w:r w:rsidRPr="00286216">
              <w:rPr>
                <w:color w:val="000000" w:themeColor="text1"/>
              </w:rPr>
              <w:t xml:space="preserve"> Законі України "Про фінансові послуги та державне регулювання ринків фінансових послуг";</w:t>
            </w:r>
          </w:p>
          <w:p w14:paraId="5E9F20A5" w14:textId="6AD61690" w:rsidR="00174AB4" w:rsidRPr="00286216" w:rsidRDefault="00174AB4" w:rsidP="00174AB4">
            <w:pPr>
              <w:pStyle w:val="StyleZakonu"/>
              <w:rPr>
                <w:color w:val="000000" w:themeColor="text1"/>
              </w:rPr>
            </w:pPr>
            <w:r w:rsidRPr="00286216">
              <w:rPr>
                <w:color w:val="000000" w:themeColor="text1"/>
              </w:rPr>
              <w:t>терміни "структура власності юридичної особи"</w:t>
            </w:r>
            <w:r w:rsidR="007409BE" w:rsidRPr="00286216">
              <w:rPr>
                <w:color w:val="000000" w:themeColor="text1"/>
              </w:rPr>
              <w:t>,</w:t>
            </w:r>
            <w:r w:rsidRPr="00286216">
              <w:rPr>
                <w:color w:val="000000" w:themeColor="text1"/>
              </w:rPr>
              <w:t xml:space="preserve"> "учасник юридичної особи" – у значеннях, наведених у Законі України "Про банки і банківську діяльність";</w:t>
            </w:r>
          </w:p>
          <w:p w14:paraId="39388F18" w14:textId="62360738" w:rsidR="00174AB4" w:rsidRPr="00286216" w:rsidRDefault="00174AB4" w:rsidP="00174AB4">
            <w:pPr>
              <w:pStyle w:val="StyleZakonu"/>
              <w:rPr>
                <w:color w:val="000000" w:themeColor="text1"/>
              </w:rPr>
            </w:pPr>
            <w:r w:rsidRPr="00286216">
              <w:rPr>
                <w:color w:val="000000" w:themeColor="text1"/>
              </w:rPr>
              <w:t xml:space="preserve">термін </w:t>
            </w:r>
            <w:r w:rsidR="007409BE" w:rsidRPr="00286216">
              <w:rPr>
                <w:color w:val="000000" w:themeColor="text1"/>
              </w:rPr>
              <w:t>"</w:t>
            </w:r>
            <w:r w:rsidRPr="00286216">
              <w:rPr>
                <w:color w:val="000000" w:themeColor="text1"/>
              </w:rPr>
              <w:t>валютні цінності</w:t>
            </w:r>
            <w:r w:rsidR="007409BE" w:rsidRPr="00286216">
              <w:rPr>
                <w:color w:val="000000" w:themeColor="text1"/>
              </w:rPr>
              <w:t>"</w:t>
            </w:r>
            <w:r w:rsidRPr="00286216">
              <w:rPr>
                <w:color w:val="000000" w:themeColor="text1"/>
              </w:rPr>
              <w:t xml:space="preserve"> – у значенні, наведеному </w:t>
            </w:r>
            <w:r w:rsidR="007409BE" w:rsidRPr="00286216">
              <w:rPr>
                <w:color w:val="000000" w:themeColor="text1"/>
              </w:rPr>
              <w:t>в</w:t>
            </w:r>
            <w:r w:rsidRPr="00286216">
              <w:rPr>
                <w:color w:val="000000" w:themeColor="text1"/>
              </w:rPr>
              <w:t xml:space="preserve"> Законі України </w:t>
            </w:r>
            <w:r w:rsidR="007409BE" w:rsidRPr="00286216">
              <w:rPr>
                <w:color w:val="000000" w:themeColor="text1"/>
              </w:rPr>
              <w:t>"</w:t>
            </w:r>
            <w:r w:rsidRPr="00286216">
              <w:rPr>
                <w:color w:val="000000" w:themeColor="text1"/>
              </w:rPr>
              <w:t>Про валюту і валютні операції</w:t>
            </w:r>
            <w:r w:rsidR="007409BE" w:rsidRPr="00286216">
              <w:rPr>
                <w:color w:val="000000" w:themeColor="text1"/>
              </w:rPr>
              <w:t>"</w:t>
            </w:r>
            <w:r w:rsidRPr="00286216">
              <w:rPr>
                <w:color w:val="000000" w:themeColor="text1"/>
              </w:rPr>
              <w:t>;</w:t>
            </w:r>
          </w:p>
          <w:p w14:paraId="49D670A6" w14:textId="0B718F55" w:rsidR="00174AB4" w:rsidRPr="00286216" w:rsidRDefault="00174AB4" w:rsidP="007409BE">
            <w:pPr>
              <w:pStyle w:val="StyleZakonu"/>
              <w:rPr>
                <w:color w:val="000000" w:themeColor="text1"/>
              </w:rPr>
            </w:pPr>
            <w:r w:rsidRPr="00286216">
              <w:rPr>
                <w:color w:val="000000" w:themeColor="text1"/>
              </w:rPr>
              <w:t>терміни «бездоганна ділова репутація»,  «ідентифікаційні дані» – у значенн</w:t>
            </w:r>
            <w:r w:rsidR="007409BE" w:rsidRPr="00286216">
              <w:rPr>
                <w:color w:val="000000" w:themeColor="text1"/>
              </w:rPr>
              <w:t>ях</w:t>
            </w:r>
            <w:r w:rsidRPr="00286216">
              <w:rPr>
                <w:color w:val="000000" w:themeColor="text1"/>
              </w:rPr>
              <w:t>, наведен</w:t>
            </w:r>
            <w:r w:rsidR="007409BE" w:rsidRPr="00286216">
              <w:rPr>
                <w:color w:val="000000" w:themeColor="text1"/>
              </w:rPr>
              <w:t>их</w:t>
            </w:r>
            <w:r w:rsidRPr="00286216">
              <w:rPr>
                <w:color w:val="000000" w:themeColor="text1"/>
              </w:rPr>
              <w:t xml:space="preserve"> </w:t>
            </w:r>
            <w:r w:rsidR="007409BE" w:rsidRPr="00286216">
              <w:rPr>
                <w:color w:val="000000" w:themeColor="text1"/>
              </w:rPr>
              <w:t>у</w:t>
            </w:r>
            <w:r w:rsidRPr="00286216">
              <w:rPr>
                <w:color w:val="000000" w:themeColor="text1"/>
              </w:rPr>
              <w:t xml:space="preserve">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tc>
      </w:tr>
      <w:bookmarkEnd w:id="114"/>
      <w:tr w:rsidR="00F77E8D" w:rsidRPr="00286216" w14:paraId="318BF4EC" w14:textId="77777777" w:rsidTr="00091AA5">
        <w:tc>
          <w:tcPr>
            <w:tcW w:w="576" w:type="dxa"/>
          </w:tcPr>
          <w:p w14:paraId="4D725219" w14:textId="77777777" w:rsidR="00AA4368" w:rsidRPr="00286216" w:rsidRDefault="00AA4368" w:rsidP="00AA4368">
            <w:pPr>
              <w:pStyle w:val="StyleWisnow"/>
              <w:rPr>
                <w:color w:val="000000" w:themeColor="text1"/>
              </w:rPr>
            </w:pPr>
          </w:p>
        </w:tc>
        <w:tc>
          <w:tcPr>
            <w:tcW w:w="4818" w:type="dxa"/>
          </w:tcPr>
          <w:p w14:paraId="35C45F2D" w14:textId="77777777" w:rsidR="00AA4368" w:rsidRPr="00286216" w:rsidRDefault="00AA4368" w:rsidP="00AA4368">
            <w:pPr>
              <w:pStyle w:val="StyleZakonu"/>
              <w:rPr>
                <w:color w:val="000000" w:themeColor="text1"/>
              </w:rPr>
            </w:pPr>
          </w:p>
        </w:tc>
        <w:tc>
          <w:tcPr>
            <w:tcW w:w="3686" w:type="dxa"/>
          </w:tcPr>
          <w:p w14:paraId="1C315F33" w14:textId="12951C3C" w:rsidR="00AA4368" w:rsidRPr="00286216" w:rsidRDefault="00AA4368" w:rsidP="00AA4368">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149</w:t>
            </w:r>
            <w:r w:rsidRPr="00286216">
              <w:rPr>
                <w:color w:val="000000" w:themeColor="text1"/>
                <w:spacing w:val="-4"/>
              </w:rPr>
              <w:fldChar w:fldCharType="end"/>
            </w:r>
            <w:r w:rsidRPr="00286216">
              <w:rPr>
                <w:color w:val="000000" w:themeColor="text1"/>
                <w:spacing w:val="-4"/>
              </w:rPr>
              <w:t>-Н.д.Бєлькова О.В. (Реєстр.картка №403)</w:t>
            </w:r>
          </w:p>
          <w:p w14:paraId="2D1DEB7D" w14:textId="58B37907" w:rsidR="00AA4368" w:rsidRPr="00286216" w:rsidRDefault="00AA4368" w:rsidP="007D643D">
            <w:pPr>
              <w:pStyle w:val="StyleProp"/>
              <w:spacing w:line="180" w:lineRule="exact"/>
              <w:rPr>
                <w:color w:val="000000" w:themeColor="text1"/>
              </w:rPr>
            </w:pPr>
            <w:r w:rsidRPr="00286216">
              <w:rPr>
                <w:color w:val="000000" w:themeColor="text1"/>
              </w:rPr>
              <w:t xml:space="preserve">Доповнити частину другу статті 2  новим абзацом такого змісту: </w:t>
            </w:r>
          </w:p>
          <w:p w14:paraId="7836F0F5" w14:textId="61A1EFA8" w:rsidR="00AA4368" w:rsidRPr="00286216" w:rsidRDefault="00AA4368" w:rsidP="007D643D">
            <w:pPr>
              <w:pStyle w:val="StyleProp"/>
              <w:spacing w:line="180" w:lineRule="exact"/>
              <w:rPr>
                <w:color w:val="000000" w:themeColor="text1"/>
              </w:rPr>
            </w:pPr>
            <w:r w:rsidRPr="00286216">
              <w:rPr>
                <w:color w:val="000000" w:themeColor="text1"/>
              </w:rPr>
              <w:t>“термін "структура власності юридичної особи" – у значенні, наведеному у Законі України "Про банки і банківську діяльність».</w:t>
            </w:r>
          </w:p>
          <w:p w14:paraId="49840FDF" w14:textId="1C73F632" w:rsidR="00AA4368" w:rsidRPr="00286216" w:rsidRDefault="00AA4368" w:rsidP="007D643D">
            <w:pPr>
              <w:pStyle w:val="StyleProp"/>
              <w:spacing w:line="180" w:lineRule="exact"/>
              <w:rPr>
                <w:color w:val="000000" w:themeColor="text1"/>
              </w:rPr>
            </w:pPr>
            <w:r w:rsidRPr="00286216">
              <w:rPr>
                <w:color w:val="000000" w:themeColor="text1"/>
              </w:rPr>
              <w:t>Також пропонується за текстом законопроекту застосування терміну «структура власності» замінити терміном «структура власності юридичної особи».</w:t>
            </w:r>
          </w:p>
        </w:tc>
        <w:tc>
          <w:tcPr>
            <w:tcW w:w="1987" w:type="dxa"/>
          </w:tcPr>
          <w:p w14:paraId="6A61C5A3" w14:textId="7C373D9A" w:rsidR="00AA4368" w:rsidRPr="00286216" w:rsidRDefault="00AA4368" w:rsidP="00AA4368">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43E7E012" w14:textId="77777777" w:rsidR="00AA4368" w:rsidRPr="00286216" w:rsidRDefault="00AA4368" w:rsidP="00AA4368">
            <w:pPr>
              <w:pStyle w:val="StyleZakonu"/>
              <w:rPr>
                <w:color w:val="000000" w:themeColor="text1"/>
              </w:rPr>
            </w:pPr>
          </w:p>
        </w:tc>
      </w:tr>
      <w:tr w:rsidR="00F77E8D" w:rsidRPr="00286216" w14:paraId="5791248C" w14:textId="77777777" w:rsidTr="00091AA5">
        <w:tc>
          <w:tcPr>
            <w:tcW w:w="576" w:type="dxa"/>
          </w:tcPr>
          <w:p w14:paraId="698B14F8" w14:textId="6EC6EB06" w:rsidR="00AA4368" w:rsidRPr="00286216" w:rsidRDefault="00AA4368" w:rsidP="00AA4368">
            <w:pPr>
              <w:pStyle w:val="StyleWisnow"/>
              <w:rPr>
                <w:color w:val="000000" w:themeColor="text1"/>
              </w:rPr>
            </w:pPr>
            <w:bookmarkStart w:id="115" w:name="n111" w:colFirst="0" w:colLast="0"/>
            <w:r w:rsidRPr="00286216">
              <w:rPr>
                <w:color w:val="000000" w:themeColor="text1"/>
              </w:rPr>
              <w:t>111.</w:t>
            </w:r>
          </w:p>
        </w:tc>
        <w:tc>
          <w:tcPr>
            <w:tcW w:w="4818" w:type="dxa"/>
          </w:tcPr>
          <w:p w14:paraId="17B04D68" w14:textId="77777777" w:rsidR="00AA4368" w:rsidRPr="00286216" w:rsidRDefault="00AA4368" w:rsidP="00AA4368">
            <w:pPr>
              <w:pStyle w:val="StyleZakonu"/>
              <w:rPr>
                <w:color w:val="000000" w:themeColor="text1"/>
              </w:rPr>
            </w:pPr>
            <w:r w:rsidRPr="00286216">
              <w:rPr>
                <w:color w:val="000000" w:themeColor="text1"/>
              </w:rPr>
              <w:t>Терміни "ключовий учасник юридичної особи", "ланцюг володіння корпоративними правами юридичної особи", "структура власності юридичної особи" та "учасник юридичної особи" вживаються в цьому Законі у значеннях, наведених у Законі України "Про банки і банківську діяльність".</w:t>
            </w:r>
          </w:p>
        </w:tc>
        <w:tc>
          <w:tcPr>
            <w:tcW w:w="3686" w:type="dxa"/>
          </w:tcPr>
          <w:p w14:paraId="6196440E" w14:textId="3DD4D762" w:rsidR="00AA4368" w:rsidRPr="00286216" w:rsidRDefault="00AA4368" w:rsidP="00AA436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CBDAC8B" w14:textId="77777777" w:rsidR="00AA4368" w:rsidRPr="00286216" w:rsidRDefault="00AA4368" w:rsidP="007D643D">
            <w:pPr>
              <w:pStyle w:val="StyleProp"/>
              <w:spacing w:line="180" w:lineRule="exact"/>
              <w:rPr>
                <w:color w:val="000000" w:themeColor="text1"/>
                <w:szCs w:val="18"/>
              </w:rPr>
            </w:pPr>
            <w:r w:rsidRPr="00286216">
              <w:rPr>
                <w:color w:val="000000" w:themeColor="text1"/>
                <w:szCs w:val="18"/>
              </w:rPr>
              <w:t>Абзац четвертий частини другої статті 2 викласти в такій редакції:</w:t>
            </w:r>
          </w:p>
          <w:p w14:paraId="73913A11" w14:textId="77777777" w:rsidR="00AA4368" w:rsidRPr="00286216" w:rsidRDefault="00AA4368" w:rsidP="007D643D">
            <w:pPr>
              <w:pStyle w:val="StyleProp"/>
              <w:spacing w:line="180" w:lineRule="exact"/>
              <w:rPr>
                <w:color w:val="000000" w:themeColor="text1"/>
                <w:szCs w:val="18"/>
              </w:rPr>
            </w:pPr>
            <w:r w:rsidRPr="00286216">
              <w:rPr>
                <w:color w:val="000000" w:themeColor="text1"/>
                <w:szCs w:val="18"/>
              </w:rPr>
              <w:t>«Термін «учасник юридичної особи» вживається в цьому Законі у значенні, наведеному у Законі України «Про банки і банківську діяльність»».</w:t>
            </w:r>
          </w:p>
        </w:tc>
        <w:tc>
          <w:tcPr>
            <w:tcW w:w="1987" w:type="dxa"/>
          </w:tcPr>
          <w:p w14:paraId="256D9BC2" w14:textId="64B95CD8" w:rsidR="00AA4368" w:rsidRPr="00286216" w:rsidRDefault="00AA4368" w:rsidP="00AA4368">
            <w:pPr>
              <w:pStyle w:val="StyleWisnow"/>
              <w:rPr>
                <w:color w:val="000000" w:themeColor="text1"/>
              </w:rPr>
            </w:pPr>
            <w:r w:rsidRPr="00286216">
              <w:rPr>
                <w:color w:val="000000" w:themeColor="text1"/>
              </w:rPr>
              <w:t>Враховано редакційно</w:t>
            </w:r>
          </w:p>
        </w:tc>
        <w:tc>
          <w:tcPr>
            <w:tcW w:w="4818" w:type="dxa"/>
          </w:tcPr>
          <w:p w14:paraId="229209DD" w14:textId="78973AB7" w:rsidR="00AA4368" w:rsidRPr="00286216" w:rsidRDefault="00AA4368" w:rsidP="007409BE">
            <w:pPr>
              <w:pStyle w:val="StyleZakonu"/>
              <w:rPr>
                <w:color w:val="000000" w:themeColor="text1"/>
              </w:rPr>
            </w:pPr>
            <w:r w:rsidRPr="00286216">
              <w:rPr>
                <w:color w:val="000000" w:themeColor="text1"/>
              </w:rPr>
              <w:t xml:space="preserve">термін «платіжна організація» </w:t>
            </w:r>
            <w:r w:rsidR="007409BE" w:rsidRPr="00286216">
              <w:rPr>
                <w:color w:val="000000" w:themeColor="text1"/>
              </w:rPr>
              <w:t xml:space="preserve">– </w:t>
            </w:r>
            <w:r w:rsidRPr="00286216">
              <w:rPr>
                <w:color w:val="000000" w:themeColor="text1"/>
              </w:rPr>
              <w:t>у значенні, наведеному в Законі України «Про платіжні системи та переказ коштів в Україні»</w:t>
            </w:r>
            <w:r w:rsidR="007409BE" w:rsidRPr="00286216">
              <w:rPr>
                <w:color w:val="000000" w:themeColor="text1"/>
              </w:rPr>
              <w:t>;</w:t>
            </w:r>
          </w:p>
        </w:tc>
      </w:tr>
      <w:tr w:rsidR="00F77E8D" w:rsidRPr="00286216" w14:paraId="4D021DE9" w14:textId="77777777" w:rsidTr="00091AA5">
        <w:tc>
          <w:tcPr>
            <w:tcW w:w="576" w:type="dxa"/>
          </w:tcPr>
          <w:p w14:paraId="7633F0B6" w14:textId="77777777" w:rsidR="00AA4368" w:rsidRPr="00286216" w:rsidRDefault="00AA4368" w:rsidP="00AA4368">
            <w:pPr>
              <w:pStyle w:val="StyleWisnow"/>
              <w:rPr>
                <w:color w:val="000000" w:themeColor="text1"/>
              </w:rPr>
            </w:pPr>
            <w:bookmarkStart w:id="116" w:name="n112" w:colFirst="0" w:colLast="0"/>
            <w:bookmarkEnd w:id="115"/>
            <w:r w:rsidRPr="00286216">
              <w:rPr>
                <w:color w:val="000000" w:themeColor="text1"/>
              </w:rPr>
              <w:t>112.</w:t>
            </w:r>
          </w:p>
        </w:tc>
        <w:tc>
          <w:tcPr>
            <w:tcW w:w="4818" w:type="dxa"/>
          </w:tcPr>
          <w:p w14:paraId="41A67EDD" w14:textId="77777777" w:rsidR="00AA4368" w:rsidRPr="00286216" w:rsidRDefault="00AA4368" w:rsidP="00AA4368">
            <w:pPr>
              <w:pStyle w:val="StyleZakonu"/>
              <w:rPr>
                <w:color w:val="000000" w:themeColor="text1"/>
              </w:rPr>
            </w:pPr>
            <w:r w:rsidRPr="00286216">
              <w:rPr>
                <w:color w:val="000000" w:themeColor="text1"/>
              </w:rPr>
              <w:t>Терміни "порогові значення пакету акцій" та "значний пакет акцій" вживаються у цьому Законі у значеннях, наведених у Законі України "Про акціонерні товариства".</w:t>
            </w:r>
          </w:p>
        </w:tc>
        <w:tc>
          <w:tcPr>
            <w:tcW w:w="3686" w:type="dxa"/>
          </w:tcPr>
          <w:p w14:paraId="2B5DAACB" w14:textId="77777777" w:rsidR="00AA4368" w:rsidRPr="00286216" w:rsidRDefault="00AA4368" w:rsidP="00AA4368">
            <w:pPr>
              <w:pStyle w:val="StyleProp"/>
              <w:rPr>
                <w:color w:val="000000" w:themeColor="text1"/>
                <w:szCs w:val="18"/>
              </w:rPr>
            </w:pPr>
          </w:p>
        </w:tc>
        <w:tc>
          <w:tcPr>
            <w:tcW w:w="1987" w:type="dxa"/>
          </w:tcPr>
          <w:p w14:paraId="436E04AA" w14:textId="77777777" w:rsidR="00AA4368" w:rsidRPr="00286216" w:rsidRDefault="00AA4368" w:rsidP="00AA4368">
            <w:pPr>
              <w:pStyle w:val="StyleWisnow"/>
              <w:rPr>
                <w:color w:val="000000" w:themeColor="text1"/>
              </w:rPr>
            </w:pPr>
          </w:p>
        </w:tc>
        <w:tc>
          <w:tcPr>
            <w:tcW w:w="4818" w:type="dxa"/>
          </w:tcPr>
          <w:p w14:paraId="6EB5BC35" w14:textId="139ACF41" w:rsidR="00AA4368" w:rsidRPr="00286216" w:rsidRDefault="00AA4368" w:rsidP="007409BE">
            <w:pPr>
              <w:pStyle w:val="StyleZakonu"/>
              <w:rPr>
                <w:color w:val="000000" w:themeColor="text1"/>
              </w:rPr>
            </w:pPr>
            <w:r w:rsidRPr="00286216">
              <w:rPr>
                <w:color w:val="000000" w:themeColor="text1"/>
              </w:rPr>
              <w:t>терміни "порогові значення пакету акцій", "значний пакет акцій" – у значенн</w:t>
            </w:r>
            <w:r w:rsidR="007409BE" w:rsidRPr="00286216">
              <w:rPr>
                <w:color w:val="000000" w:themeColor="text1"/>
              </w:rPr>
              <w:t>ях</w:t>
            </w:r>
            <w:r w:rsidRPr="00286216">
              <w:rPr>
                <w:color w:val="000000" w:themeColor="text1"/>
              </w:rPr>
              <w:t>, наведен</w:t>
            </w:r>
            <w:r w:rsidR="007409BE" w:rsidRPr="00286216">
              <w:rPr>
                <w:color w:val="000000" w:themeColor="text1"/>
              </w:rPr>
              <w:t xml:space="preserve">их </w:t>
            </w:r>
            <w:r w:rsidRPr="00286216">
              <w:rPr>
                <w:color w:val="000000" w:themeColor="text1"/>
              </w:rPr>
              <w:t>у Законі України "Про акціонерні товариства";</w:t>
            </w:r>
          </w:p>
        </w:tc>
      </w:tr>
      <w:tr w:rsidR="00F77E8D" w:rsidRPr="00286216" w14:paraId="546F9D75" w14:textId="77777777" w:rsidTr="00091AA5">
        <w:tc>
          <w:tcPr>
            <w:tcW w:w="576" w:type="dxa"/>
          </w:tcPr>
          <w:p w14:paraId="654259C5" w14:textId="77777777" w:rsidR="004B55AD" w:rsidRPr="00286216" w:rsidRDefault="004B55AD" w:rsidP="004B55AD">
            <w:pPr>
              <w:pStyle w:val="StyleWisnow"/>
              <w:rPr>
                <w:color w:val="000000" w:themeColor="text1"/>
              </w:rPr>
            </w:pPr>
            <w:bookmarkStart w:id="117" w:name="n113" w:colFirst="0" w:colLast="0"/>
            <w:bookmarkEnd w:id="116"/>
            <w:r w:rsidRPr="00286216">
              <w:rPr>
                <w:color w:val="000000" w:themeColor="text1"/>
              </w:rPr>
              <w:lastRenderedPageBreak/>
              <w:t>113.</w:t>
            </w:r>
          </w:p>
        </w:tc>
        <w:tc>
          <w:tcPr>
            <w:tcW w:w="4818" w:type="dxa"/>
          </w:tcPr>
          <w:p w14:paraId="3D7ACA82" w14:textId="77777777" w:rsidR="004B55AD" w:rsidRPr="00286216" w:rsidRDefault="004B55AD" w:rsidP="004B55AD">
            <w:pPr>
              <w:pStyle w:val="StyleZakonu"/>
              <w:rPr>
                <w:color w:val="000000" w:themeColor="text1"/>
              </w:rPr>
            </w:pPr>
            <w:r w:rsidRPr="00286216">
              <w:rPr>
                <w:color w:val="000000" w:themeColor="text1"/>
              </w:rPr>
              <w:t>Терміни "номінальний утримувач" вживається у значенні, наведеному в Законі України "Про депозитарну систему України".</w:t>
            </w:r>
          </w:p>
        </w:tc>
        <w:tc>
          <w:tcPr>
            <w:tcW w:w="3686" w:type="dxa"/>
          </w:tcPr>
          <w:p w14:paraId="5AA783F3" w14:textId="21386124" w:rsidR="004B55AD" w:rsidRPr="00286216" w:rsidRDefault="004B55AD" w:rsidP="004B55AD">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151</w:t>
            </w:r>
            <w:r w:rsidRPr="00286216">
              <w:rPr>
                <w:color w:val="000000" w:themeColor="text1"/>
                <w:spacing w:val="-4"/>
              </w:rPr>
              <w:fldChar w:fldCharType="end"/>
            </w:r>
            <w:r w:rsidRPr="00286216">
              <w:rPr>
                <w:color w:val="000000" w:themeColor="text1"/>
                <w:spacing w:val="-4"/>
              </w:rPr>
              <w:t>-Н.д.Бєлькова О.В. (Реєстр.картка №403)</w:t>
            </w:r>
          </w:p>
          <w:p w14:paraId="2AB7C54E" w14:textId="56435342" w:rsidR="004B55AD" w:rsidRPr="00286216" w:rsidRDefault="004B55AD" w:rsidP="004B55AD">
            <w:pPr>
              <w:pStyle w:val="StyleProp"/>
              <w:spacing w:line="180" w:lineRule="exact"/>
              <w:rPr>
                <w:color w:val="000000" w:themeColor="text1"/>
                <w:szCs w:val="18"/>
              </w:rPr>
            </w:pPr>
            <w:r w:rsidRPr="00286216">
              <w:rPr>
                <w:color w:val="000000" w:themeColor="text1"/>
              </w:rPr>
              <w:t>Доповнити абзац 6 частини 2 статті 2 словами "</w:t>
            </w:r>
            <w:r w:rsidRPr="00286216">
              <w:rPr>
                <w:color w:val="000000" w:themeColor="text1"/>
                <w:lang w:eastAsia="uk-UA"/>
              </w:rPr>
              <w:t>розрахунків за принципом "поставка цінних паперів проти оплати".</w:t>
            </w:r>
          </w:p>
        </w:tc>
        <w:tc>
          <w:tcPr>
            <w:tcW w:w="1987" w:type="dxa"/>
          </w:tcPr>
          <w:p w14:paraId="67190046" w14:textId="76037FE7" w:rsidR="004B55AD" w:rsidRPr="00286216" w:rsidRDefault="004B55AD" w:rsidP="004B55AD">
            <w:pPr>
              <w:pStyle w:val="StyleWisnow"/>
              <w:rPr>
                <w:color w:val="000000" w:themeColor="text1"/>
              </w:rPr>
            </w:pPr>
            <w:r w:rsidRPr="00286216">
              <w:rPr>
                <w:color w:val="000000" w:themeColor="text1"/>
              </w:rPr>
              <w:t xml:space="preserve">Враховано </w:t>
            </w:r>
          </w:p>
        </w:tc>
        <w:tc>
          <w:tcPr>
            <w:tcW w:w="4818" w:type="dxa"/>
          </w:tcPr>
          <w:p w14:paraId="452C6D73" w14:textId="350DB566" w:rsidR="004B55AD" w:rsidRPr="00286216" w:rsidRDefault="004B55AD" w:rsidP="00B80E72">
            <w:pPr>
              <w:pStyle w:val="StyleZakonu"/>
              <w:rPr>
                <w:color w:val="000000" w:themeColor="text1"/>
              </w:rPr>
            </w:pPr>
            <w:r w:rsidRPr="00286216">
              <w:rPr>
                <w:color w:val="000000" w:themeColor="text1"/>
              </w:rPr>
              <w:t>терміни "номінальний утримувач", "</w:t>
            </w:r>
            <w:r w:rsidRPr="00286216">
              <w:rPr>
                <w:color w:val="000000" w:themeColor="text1"/>
                <w:lang w:eastAsia="uk-UA"/>
              </w:rPr>
              <w:t>розрахунки за принципом "поставка цінних паперів проти оплати"</w:t>
            </w:r>
            <w:r w:rsidRPr="00286216">
              <w:rPr>
                <w:color w:val="000000" w:themeColor="text1"/>
              </w:rPr>
              <w:t xml:space="preserve"> – у значеннях, наведених </w:t>
            </w:r>
            <w:r w:rsidR="00B80E72" w:rsidRPr="00286216">
              <w:rPr>
                <w:color w:val="000000" w:themeColor="text1"/>
              </w:rPr>
              <w:t>у</w:t>
            </w:r>
            <w:r w:rsidRPr="00286216">
              <w:rPr>
                <w:color w:val="000000" w:themeColor="text1"/>
              </w:rPr>
              <w:t xml:space="preserve"> Законі України "Про депозитарну систему України";</w:t>
            </w:r>
          </w:p>
        </w:tc>
      </w:tr>
      <w:tr w:rsidR="00F77E8D" w:rsidRPr="00286216" w14:paraId="2F21924E" w14:textId="77777777" w:rsidTr="00091AA5">
        <w:tc>
          <w:tcPr>
            <w:tcW w:w="576" w:type="dxa"/>
          </w:tcPr>
          <w:p w14:paraId="58F872AF" w14:textId="77777777" w:rsidR="004B55AD" w:rsidRPr="00286216" w:rsidRDefault="004B55AD" w:rsidP="004B55AD">
            <w:pPr>
              <w:pStyle w:val="StyleWisnow"/>
              <w:rPr>
                <w:color w:val="000000" w:themeColor="text1"/>
              </w:rPr>
            </w:pPr>
            <w:bookmarkStart w:id="118" w:name="n114" w:colFirst="0" w:colLast="0"/>
            <w:bookmarkEnd w:id="117"/>
            <w:r w:rsidRPr="00286216">
              <w:rPr>
                <w:color w:val="000000" w:themeColor="text1"/>
              </w:rPr>
              <w:t>114.</w:t>
            </w:r>
          </w:p>
        </w:tc>
        <w:tc>
          <w:tcPr>
            <w:tcW w:w="4818" w:type="dxa"/>
          </w:tcPr>
          <w:p w14:paraId="4E5493F7" w14:textId="77777777" w:rsidR="004B55AD" w:rsidRPr="00286216" w:rsidRDefault="004B55AD" w:rsidP="004B55AD">
            <w:pPr>
              <w:pStyle w:val="StyleZakonu"/>
              <w:rPr>
                <w:color w:val="000000" w:themeColor="text1"/>
              </w:rPr>
            </w:pPr>
            <w:r w:rsidRPr="00286216">
              <w:rPr>
                <w:color w:val="000000" w:themeColor="text1"/>
              </w:rPr>
              <w:t>Термін "арбітраж" вживається у цьому Законі у значенні, наведеному в Законі України "Про міжнародний комерційний арбітраж ".</w:t>
            </w:r>
          </w:p>
        </w:tc>
        <w:tc>
          <w:tcPr>
            <w:tcW w:w="3686" w:type="dxa"/>
          </w:tcPr>
          <w:p w14:paraId="1DBD5641" w14:textId="77777777" w:rsidR="004B55AD" w:rsidRPr="00286216" w:rsidRDefault="004B55AD" w:rsidP="004B55AD">
            <w:pPr>
              <w:pStyle w:val="StyleProp"/>
              <w:rPr>
                <w:color w:val="000000" w:themeColor="text1"/>
                <w:szCs w:val="18"/>
              </w:rPr>
            </w:pPr>
          </w:p>
        </w:tc>
        <w:tc>
          <w:tcPr>
            <w:tcW w:w="1987" w:type="dxa"/>
          </w:tcPr>
          <w:p w14:paraId="03A2C832" w14:textId="77777777" w:rsidR="004B55AD" w:rsidRPr="00286216" w:rsidRDefault="004B55AD" w:rsidP="004B55AD">
            <w:pPr>
              <w:pStyle w:val="StyleWisnow"/>
              <w:rPr>
                <w:color w:val="000000" w:themeColor="text1"/>
              </w:rPr>
            </w:pPr>
          </w:p>
        </w:tc>
        <w:tc>
          <w:tcPr>
            <w:tcW w:w="4818" w:type="dxa"/>
          </w:tcPr>
          <w:p w14:paraId="16E6CBB5" w14:textId="68A60935" w:rsidR="004B55AD" w:rsidRPr="00286216" w:rsidRDefault="004B55AD" w:rsidP="004B55AD">
            <w:pPr>
              <w:pStyle w:val="StyleZakonu"/>
              <w:rPr>
                <w:color w:val="000000" w:themeColor="text1"/>
              </w:rPr>
            </w:pPr>
            <w:r w:rsidRPr="00286216">
              <w:rPr>
                <w:color w:val="000000" w:themeColor="text1"/>
              </w:rPr>
              <w:t>термін "захист інформації" – у значенні, наведеному в Законі України "Про інформацію";</w:t>
            </w:r>
          </w:p>
        </w:tc>
      </w:tr>
      <w:tr w:rsidR="00F77E8D" w:rsidRPr="00286216" w14:paraId="04A6002A" w14:textId="77777777" w:rsidTr="00091AA5">
        <w:tc>
          <w:tcPr>
            <w:tcW w:w="576" w:type="dxa"/>
          </w:tcPr>
          <w:p w14:paraId="35F692FA" w14:textId="77777777" w:rsidR="004B55AD" w:rsidRPr="00286216" w:rsidRDefault="004B55AD" w:rsidP="004B55AD">
            <w:pPr>
              <w:pStyle w:val="StyleWisnow"/>
              <w:rPr>
                <w:color w:val="000000" w:themeColor="text1"/>
              </w:rPr>
            </w:pPr>
            <w:bookmarkStart w:id="119" w:name="n115" w:colFirst="0" w:colLast="0"/>
            <w:bookmarkEnd w:id="118"/>
            <w:r w:rsidRPr="00286216">
              <w:rPr>
                <w:color w:val="000000" w:themeColor="text1"/>
              </w:rPr>
              <w:t>115.</w:t>
            </w:r>
          </w:p>
        </w:tc>
        <w:tc>
          <w:tcPr>
            <w:tcW w:w="4818" w:type="dxa"/>
          </w:tcPr>
          <w:p w14:paraId="4F715617" w14:textId="77777777" w:rsidR="004B55AD" w:rsidRPr="00286216" w:rsidRDefault="004B55AD" w:rsidP="004B55AD">
            <w:pPr>
              <w:pStyle w:val="StyleZakonu"/>
              <w:rPr>
                <w:color w:val="000000" w:themeColor="text1"/>
              </w:rPr>
            </w:pPr>
            <w:r w:rsidRPr="00286216">
              <w:rPr>
                <w:color w:val="000000" w:themeColor="text1"/>
              </w:rPr>
              <w:t>Термін "заставна" вживається у значенні, наведеному в Законі України "Про іпотеку".</w:t>
            </w:r>
          </w:p>
        </w:tc>
        <w:tc>
          <w:tcPr>
            <w:tcW w:w="3686" w:type="dxa"/>
          </w:tcPr>
          <w:p w14:paraId="4A007EF4" w14:textId="77777777" w:rsidR="004B55AD" w:rsidRPr="00286216" w:rsidRDefault="004B55AD" w:rsidP="004B55AD">
            <w:pPr>
              <w:pStyle w:val="StyleProp"/>
              <w:rPr>
                <w:color w:val="000000" w:themeColor="text1"/>
                <w:szCs w:val="18"/>
              </w:rPr>
            </w:pPr>
          </w:p>
        </w:tc>
        <w:tc>
          <w:tcPr>
            <w:tcW w:w="1987" w:type="dxa"/>
          </w:tcPr>
          <w:p w14:paraId="1013453D" w14:textId="77777777" w:rsidR="004B55AD" w:rsidRPr="00286216" w:rsidRDefault="004B55AD" w:rsidP="004B55AD">
            <w:pPr>
              <w:pStyle w:val="StyleWisnow"/>
              <w:rPr>
                <w:color w:val="000000" w:themeColor="text1"/>
              </w:rPr>
            </w:pPr>
          </w:p>
        </w:tc>
        <w:tc>
          <w:tcPr>
            <w:tcW w:w="4818" w:type="dxa"/>
          </w:tcPr>
          <w:p w14:paraId="4E53EC88" w14:textId="5474C6E3" w:rsidR="004B55AD" w:rsidRPr="00286216" w:rsidRDefault="007409BE" w:rsidP="007409BE">
            <w:pPr>
              <w:pStyle w:val="StyleZakonu"/>
              <w:rPr>
                <w:color w:val="000000" w:themeColor="text1"/>
              </w:rPr>
            </w:pPr>
            <w:r w:rsidRPr="00286216">
              <w:rPr>
                <w:color w:val="000000" w:themeColor="text1"/>
              </w:rPr>
              <w:t>т</w:t>
            </w:r>
            <w:r w:rsidR="004B55AD" w:rsidRPr="00286216">
              <w:rPr>
                <w:color w:val="000000" w:themeColor="text1"/>
              </w:rPr>
              <w:t xml:space="preserve">ермін "заставна" </w:t>
            </w:r>
            <w:r w:rsidRPr="00286216">
              <w:rPr>
                <w:color w:val="000000" w:themeColor="text1"/>
              </w:rPr>
              <w:t xml:space="preserve">– </w:t>
            </w:r>
            <w:r w:rsidR="004B55AD" w:rsidRPr="00286216">
              <w:rPr>
                <w:color w:val="000000" w:themeColor="text1"/>
              </w:rPr>
              <w:t>у значенні, наведеному в Законі України "Про іпотеку"</w:t>
            </w:r>
            <w:r w:rsidRPr="00286216">
              <w:rPr>
                <w:color w:val="000000" w:themeColor="text1"/>
              </w:rPr>
              <w:t>;</w:t>
            </w:r>
          </w:p>
        </w:tc>
      </w:tr>
      <w:tr w:rsidR="00F77E8D" w:rsidRPr="00286216" w14:paraId="459219AB" w14:textId="77777777" w:rsidTr="00091AA5">
        <w:tc>
          <w:tcPr>
            <w:tcW w:w="576" w:type="dxa"/>
          </w:tcPr>
          <w:p w14:paraId="6F610E2B" w14:textId="77777777" w:rsidR="004B55AD" w:rsidRPr="00286216" w:rsidRDefault="004B55AD" w:rsidP="004B55AD">
            <w:pPr>
              <w:pStyle w:val="StyleWisnow"/>
              <w:rPr>
                <w:color w:val="000000" w:themeColor="text1"/>
              </w:rPr>
            </w:pPr>
            <w:bookmarkStart w:id="120" w:name="n116" w:colFirst="0" w:colLast="0"/>
            <w:bookmarkEnd w:id="119"/>
            <w:r w:rsidRPr="00286216">
              <w:rPr>
                <w:color w:val="000000" w:themeColor="text1"/>
              </w:rPr>
              <w:t>116.</w:t>
            </w:r>
          </w:p>
        </w:tc>
        <w:tc>
          <w:tcPr>
            <w:tcW w:w="4818" w:type="dxa"/>
          </w:tcPr>
          <w:p w14:paraId="79696953" w14:textId="77777777" w:rsidR="004B55AD" w:rsidRPr="00286216" w:rsidRDefault="004B55AD" w:rsidP="004B55AD">
            <w:pPr>
              <w:pStyle w:val="StyleZakonu"/>
              <w:rPr>
                <w:color w:val="000000" w:themeColor="text1"/>
              </w:rPr>
            </w:pPr>
            <w:r w:rsidRPr="00286216">
              <w:rPr>
                <w:color w:val="000000" w:themeColor="text1"/>
              </w:rPr>
              <w:t>Термін "продукція" вживається у значенні, наведеному в Законі України "Про товарну біржу".</w:t>
            </w:r>
          </w:p>
        </w:tc>
        <w:tc>
          <w:tcPr>
            <w:tcW w:w="3686" w:type="dxa"/>
          </w:tcPr>
          <w:p w14:paraId="5BFA8FF5" w14:textId="77777777" w:rsidR="004B55AD" w:rsidRPr="00286216" w:rsidRDefault="004B55AD" w:rsidP="004B55AD">
            <w:pPr>
              <w:pStyle w:val="StyleProp"/>
              <w:rPr>
                <w:color w:val="000000" w:themeColor="text1"/>
                <w:szCs w:val="18"/>
              </w:rPr>
            </w:pPr>
          </w:p>
        </w:tc>
        <w:tc>
          <w:tcPr>
            <w:tcW w:w="1987" w:type="dxa"/>
          </w:tcPr>
          <w:p w14:paraId="36719F1E" w14:textId="77777777" w:rsidR="004B55AD" w:rsidRPr="00286216" w:rsidRDefault="004B55AD" w:rsidP="004B55AD">
            <w:pPr>
              <w:pStyle w:val="StyleWisnow"/>
              <w:rPr>
                <w:color w:val="000000" w:themeColor="text1"/>
              </w:rPr>
            </w:pPr>
          </w:p>
        </w:tc>
        <w:tc>
          <w:tcPr>
            <w:tcW w:w="4818" w:type="dxa"/>
          </w:tcPr>
          <w:p w14:paraId="3FF21811" w14:textId="61F499DC" w:rsidR="004B55AD" w:rsidRPr="00286216" w:rsidRDefault="004B55AD" w:rsidP="004B55AD">
            <w:pPr>
              <w:pStyle w:val="StyleZakonu"/>
              <w:rPr>
                <w:color w:val="000000" w:themeColor="text1"/>
              </w:rPr>
            </w:pPr>
            <w:r w:rsidRPr="00286216">
              <w:rPr>
                <w:color w:val="000000" w:themeColor="text1"/>
              </w:rPr>
              <w:t>термін "продукція" – у значенні, наведеному в Законі України "Про товарні біржі";</w:t>
            </w:r>
          </w:p>
        </w:tc>
      </w:tr>
      <w:tr w:rsidR="00F77E8D" w:rsidRPr="00286216" w14:paraId="14DBADAE" w14:textId="77777777" w:rsidTr="00091AA5">
        <w:tc>
          <w:tcPr>
            <w:tcW w:w="576" w:type="dxa"/>
          </w:tcPr>
          <w:p w14:paraId="10EF98A1" w14:textId="77777777" w:rsidR="004B55AD" w:rsidRPr="00286216" w:rsidRDefault="004B55AD" w:rsidP="004B55AD">
            <w:pPr>
              <w:pStyle w:val="StyleWisnow"/>
              <w:rPr>
                <w:color w:val="000000" w:themeColor="text1"/>
              </w:rPr>
            </w:pPr>
            <w:bookmarkStart w:id="121" w:name="n117" w:colFirst="0" w:colLast="0"/>
            <w:bookmarkEnd w:id="120"/>
            <w:r w:rsidRPr="00286216">
              <w:rPr>
                <w:color w:val="000000" w:themeColor="text1"/>
              </w:rPr>
              <w:t>117.</w:t>
            </w:r>
          </w:p>
        </w:tc>
        <w:tc>
          <w:tcPr>
            <w:tcW w:w="4818" w:type="dxa"/>
          </w:tcPr>
          <w:p w14:paraId="52BF145B" w14:textId="77777777" w:rsidR="004B55AD" w:rsidRPr="00286216" w:rsidRDefault="004B55AD" w:rsidP="004B55AD">
            <w:pPr>
              <w:pStyle w:val="StyleZakonu"/>
              <w:rPr>
                <w:color w:val="000000" w:themeColor="text1"/>
              </w:rPr>
            </w:pPr>
            <w:r w:rsidRPr="00286216">
              <w:rPr>
                <w:color w:val="000000" w:themeColor="text1"/>
              </w:rPr>
              <w:t>Терміни "інформаційно-телекомунікаційна система", "інформаційна система" та "телекомунікаційна система" вживаються у значенні, наведеному в Законі України "Про захист інформації в інформаційно-телекомунікаційних системах".</w:t>
            </w:r>
          </w:p>
        </w:tc>
        <w:tc>
          <w:tcPr>
            <w:tcW w:w="3686" w:type="dxa"/>
          </w:tcPr>
          <w:p w14:paraId="077CC5EC" w14:textId="77777777" w:rsidR="004B55AD" w:rsidRPr="00286216" w:rsidRDefault="004B55AD" w:rsidP="004B55AD">
            <w:pPr>
              <w:pStyle w:val="StyleProp"/>
              <w:rPr>
                <w:color w:val="000000" w:themeColor="text1"/>
                <w:szCs w:val="18"/>
              </w:rPr>
            </w:pPr>
          </w:p>
        </w:tc>
        <w:tc>
          <w:tcPr>
            <w:tcW w:w="1987" w:type="dxa"/>
          </w:tcPr>
          <w:p w14:paraId="58C1A08F" w14:textId="77777777" w:rsidR="004B55AD" w:rsidRPr="00286216" w:rsidRDefault="004B55AD" w:rsidP="004B55AD">
            <w:pPr>
              <w:pStyle w:val="StyleWisnow"/>
              <w:rPr>
                <w:color w:val="000000" w:themeColor="text1"/>
              </w:rPr>
            </w:pPr>
          </w:p>
        </w:tc>
        <w:tc>
          <w:tcPr>
            <w:tcW w:w="4818" w:type="dxa"/>
          </w:tcPr>
          <w:p w14:paraId="17398623" w14:textId="016D8C11" w:rsidR="004B55AD" w:rsidRPr="00286216" w:rsidRDefault="004B55AD" w:rsidP="00B80E72">
            <w:pPr>
              <w:pStyle w:val="StyleZakonu"/>
              <w:rPr>
                <w:color w:val="000000" w:themeColor="text1"/>
              </w:rPr>
            </w:pPr>
            <w:r w:rsidRPr="00286216">
              <w:rPr>
                <w:color w:val="000000" w:themeColor="text1"/>
              </w:rPr>
              <w:t>терміни "інформаційно-телекомунікаційна система", "інформаційна система", "телекомунікаційна система" – у значенн</w:t>
            </w:r>
            <w:r w:rsidR="00B80E72" w:rsidRPr="00286216">
              <w:rPr>
                <w:color w:val="000000" w:themeColor="text1"/>
              </w:rPr>
              <w:t>ях</w:t>
            </w:r>
            <w:r w:rsidRPr="00286216">
              <w:rPr>
                <w:color w:val="000000" w:themeColor="text1"/>
              </w:rPr>
              <w:t>, наведен</w:t>
            </w:r>
            <w:r w:rsidR="00B80E72" w:rsidRPr="00286216">
              <w:rPr>
                <w:color w:val="000000" w:themeColor="text1"/>
              </w:rPr>
              <w:t>их  у</w:t>
            </w:r>
            <w:r w:rsidRPr="00286216">
              <w:rPr>
                <w:color w:val="000000" w:themeColor="text1"/>
              </w:rPr>
              <w:t xml:space="preserve"> Законі України "Про захист інформації в інформаційно-телекомунікаційних системах";</w:t>
            </w:r>
          </w:p>
        </w:tc>
      </w:tr>
      <w:tr w:rsidR="00F77E8D" w:rsidRPr="00286216" w14:paraId="1FFABF21" w14:textId="77777777" w:rsidTr="00091AA5">
        <w:tc>
          <w:tcPr>
            <w:tcW w:w="576" w:type="dxa"/>
          </w:tcPr>
          <w:p w14:paraId="4AA2B232" w14:textId="77777777" w:rsidR="004B55AD" w:rsidRPr="00286216" w:rsidRDefault="004B55AD" w:rsidP="004B55AD">
            <w:pPr>
              <w:pStyle w:val="StyleWisnow"/>
              <w:rPr>
                <w:color w:val="000000" w:themeColor="text1"/>
              </w:rPr>
            </w:pPr>
          </w:p>
        </w:tc>
        <w:tc>
          <w:tcPr>
            <w:tcW w:w="4818" w:type="dxa"/>
          </w:tcPr>
          <w:p w14:paraId="5E9AF4AA" w14:textId="77777777" w:rsidR="004B55AD" w:rsidRPr="00286216" w:rsidRDefault="004B55AD" w:rsidP="004B55AD">
            <w:pPr>
              <w:pStyle w:val="StyleZakonu"/>
              <w:rPr>
                <w:color w:val="000000" w:themeColor="text1"/>
              </w:rPr>
            </w:pPr>
          </w:p>
        </w:tc>
        <w:tc>
          <w:tcPr>
            <w:tcW w:w="3686" w:type="dxa"/>
          </w:tcPr>
          <w:p w14:paraId="79A9090D" w14:textId="35E0A658"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4F4A93A" w14:textId="6F02207C" w:rsidR="004B55AD" w:rsidRPr="00286216" w:rsidRDefault="004B55AD" w:rsidP="004B55AD">
            <w:pPr>
              <w:spacing w:line="180" w:lineRule="exact"/>
              <w:ind w:firstLine="357"/>
              <w:jc w:val="both"/>
              <w:rPr>
                <w:color w:val="000000" w:themeColor="text1"/>
                <w:spacing w:val="-4"/>
                <w:sz w:val="18"/>
                <w:szCs w:val="18"/>
              </w:rPr>
            </w:pPr>
            <w:r w:rsidRPr="00286216">
              <w:rPr>
                <w:color w:val="000000" w:themeColor="text1"/>
                <w:spacing w:val="-4"/>
                <w:sz w:val="18"/>
                <w:szCs w:val="18"/>
              </w:rPr>
              <w:t>Статтю 2 доповнити абзацом такого змісту:</w:t>
            </w:r>
          </w:p>
          <w:p w14:paraId="3088499A" w14:textId="114A92F6" w:rsidR="004B55AD" w:rsidRPr="00286216" w:rsidRDefault="004B55AD" w:rsidP="004B55AD">
            <w:pPr>
              <w:spacing w:line="180" w:lineRule="exact"/>
              <w:ind w:firstLine="357"/>
              <w:jc w:val="both"/>
              <w:rPr>
                <w:color w:val="000000" w:themeColor="text1"/>
                <w:szCs w:val="18"/>
              </w:rPr>
            </w:pPr>
            <w:r w:rsidRPr="00286216">
              <w:rPr>
                <w:color w:val="000000" w:themeColor="text1"/>
                <w:sz w:val="18"/>
                <w:szCs w:val="18"/>
              </w:rPr>
              <w:t>«Терміни «звіт про платежі на користь держави» та «підприємства, що становлять суспільний інтерес» вживаються у значенні, наведеному в Законі України «Про бухгалтерський обліку та фінансову звітність».».</w:t>
            </w:r>
          </w:p>
        </w:tc>
        <w:tc>
          <w:tcPr>
            <w:tcW w:w="1987" w:type="dxa"/>
          </w:tcPr>
          <w:p w14:paraId="777C78B3"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D2F7079" w14:textId="102DEC1A" w:rsidR="004B55AD" w:rsidRPr="00286216" w:rsidRDefault="004B55AD" w:rsidP="00B80E72">
            <w:pPr>
              <w:pStyle w:val="StyleZakonu"/>
              <w:rPr>
                <w:color w:val="000000" w:themeColor="text1"/>
              </w:rPr>
            </w:pPr>
            <w:r w:rsidRPr="00286216">
              <w:rPr>
                <w:color w:val="000000" w:themeColor="text1"/>
              </w:rPr>
              <w:t>терміни «звіт про платежі на користь держави», «підприємства, що становлять суспільний інтерес» – у значенн</w:t>
            </w:r>
            <w:r w:rsidR="00B80E72" w:rsidRPr="00286216">
              <w:rPr>
                <w:color w:val="000000" w:themeColor="text1"/>
              </w:rPr>
              <w:t>ях</w:t>
            </w:r>
            <w:r w:rsidRPr="00286216">
              <w:rPr>
                <w:color w:val="000000" w:themeColor="text1"/>
              </w:rPr>
              <w:t>, наведен</w:t>
            </w:r>
            <w:r w:rsidR="00B80E72" w:rsidRPr="00286216">
              <w:rPr>
                <w:color w:val="000000" w:themeColor="text1"/>
              </w:rPr>
              <w:t>их</w:t>
            </w:r>
            <w:r w:rsidRPr="00286216">
              <w:rPr>
                <w:color w:val="000000" w:themeColor="text1"/>
              </w:rPr>
              <w:t xml:space="preserve"> </w:t>
            </w:r>
            <w:r w:rsidR="00B80E72" w:rsidRPr="00286216">
              <w:rPr>
                <w:color w:val="000000" w:themeColor="text1"/>
              </w:rPr>
              <w:t xml:space="preserve">у </w:t>
            </w:r>
            <w:r w:rsidRPr="00286216">
              <w:rPr>
                <w:color w:val="000000" w:themeColor="text1"/>
              </w:rPr>
              <w:t xml:space="preserve"> Законі України «Про бухгалтерський обліку та фінансову звітність»;</w:t>
            </w:r>
          </w:p>
        </w:tc>
      </w:tr>
      <w:tr w:rsidR="00F77E8D" w:rsidRPr="00286216" w14:paraId="1B2F79ED" w14:textId="77777777" w:rsidTr="00091AA5">
        <w:tc>
          <w:tcPr>
            <w:tcW w:w="576" w:type="dxa"/>
          </w:tcPr>
          <w:p w14:paraId="7183217D" w14:textId="77777777" w:rsidR="004B55AD" w:rsidRPr="00286216" w:rsidRDefault="004B55AD" w:rsidP="004B55AD">
            <w:pPr>
              <w:pStyle w:val="StyleWisnow"/>
              <w:rPr>
                <w:color w:val="000000" w:themeColor="text1"/>
              </w:rPr>
            </w:pPr>
            <w:bookmarkStart w:id="122" w:name="n118" w:colFirst="0" w:colLast="0"/>
            <w:bookmarkEnd w:id="121"/>
            <w:r w:rsidRPr="00286216">
              <w:rPr>
                <w:color w:val="000000" w:themeColor="text1"/>
              </w:rPr>
              <w:t>118.</w:t>
            </w:r>
          </w:p>
        </w:tc>
        <w:tc>
          <w:tcPr>
            <w:tcW w:w="4818" w:type="dxa"/>
          </w:tcPr>
          <w:p w14:paraId="4EA8A3B5" w14:textId="77777777" w:rsidR="004B55AD" w:rsidRPr="00286216" w:rsidRDefault="004B55AD" w:rsidP="004B55AD">
            <w:pPr>
              <w:pStyle w:val="StyleZakonu"/>
              <w:rPr>
                <w:color w:val="000000" w:themeColor="text1"/>
              </w:rPr>
            </w:pPr>
            <w:r w:rsidRPr="00286216">
              <w:rPr>
                <w:color w:val="000000" w:themeColor="text1"/>
              </w:rPr>
              <w:t>Терміни "суб’єкт аудиторської діяльності" та "аудиторський звіт" вживаються у значенні, наведеному в Законі України "Про аудит фінансової звітності та аудиторську діяльність".</w:t>
            </w:r>
          </w:p>
        </w:tc>
        <w:tc>
          <w:tcPr>
            <w:tcW w:w="3686" w:type="dxa"/>
          </w:tcPr>
          <w:p w14:paraId="369D34CA" w14:textId="77777777" w:rsidR="004B55AD" w:rsidRPr="00286216" w:rsidRDefault="004B55AD" w:rsidP="004B55AD">
            <w:pPr>
              <w:pStyle w:val="StyleProp"/>
              <w:rPr>
                <w:color w:val="000000" w:themeColor="text1"/>
                <w:szCs w:val="18"/>
              </w:rPr>
            </w:pPr>
          </w:p>
        </w:tc>
        <w:tc>
          <w:tcPr>
            <w:tcW w:w="1987" w:type="dxa"/>
          </w:tcPr>
          <w:p w14:paraId="47FF01A6" w14:textId="77777777" w:rsidR="004B55AD" w:rsidRPr="00286216" w:rsidRDefault="004B55AD" w:rsidP="004B55AD">
            <w:pPr>
              <w:pStyle w:val="StyleWisnow"/>
              <w:rPr>
                <w:color w:val="000000" w:themeColor="text1"/>
              </w:rPr>
            </w:pPr>
          </w:p>
        </w:tc>
        <w:tc>
          <w:tcPr>
            <w:tcW w:w="4818" w:type="dxa"/>
          </w:tcPr>
          <w:p w14:paraId="1CEF1619" w14:textId="4A3A7C06" w:rsidR="004B55AD" w:rsidRPr="00286216" w:rsidRDefault="004B55AD" w:rsidP="00B80E72">
            <w:pPr>
              <w:pStyle w:val="StyleZakonu"/>
              <w:rPr>
                <w:color w:val="000000" w:themeColor="text1"/>
              </w:rPr>
            </w:pPr>
            <w:r w:rsidRPr="00286216">
              <w:rPr>
                <w:color w:val="000000" w:themeColor="text1"/>
              </w:rPr>
              <w:t>терміни "суб’єкт аудиторської діяльності",  "аудиторський звіт" – у значенн</w:t>
            </w:r>
            <w:r w:rsidR="00B80E72" w:rsidRPr="00286216">
              <w:rPr>
                <w:color w:val="000000" w:themeColor="text1"/>
              </w:rPr>
              <w:t>ях</w:t>
            </w:r>
            <w:r w:rsidRPr="00286216">
              <w:rPr>
                <w:color w:val="000000" w:themeColor="text1"/>
              </w:rPr>
              <w:t>, наведен</w:t>
            </w:r>
            <w:r w:rsidR="00B80E72" w:rsidRPr="00286216">
              <w:rPr>
                <w:color w:val="000000" w:themeColor="text1"/>
              </w:rPr>
              <w:t>их</w:t>
            </w:r>
            <w:r w:rsidRPr="00286216">
              <w:rPr>
                <w:color w:val="000000" w:themeColor="text1"/>
              </w:rPr>
              <w:t xml:space="preserve"> </w:t>
            </w:r>
            <w:r w:rsidR="00B80E72" w:rsidRPr="00286216">
              <w:rPr>
                <w:color w:val="000000" w:themeColor="text1"/>
              </w:rPr>
              <w:t>у</w:t>
            </w:r>
            <w:r w:rsidRPr="00286216">
              <w:rPr>
                <w:color w:val="000000" w:themeColor="text1"/>
              </w:rPr>
              <w:t xml:space="preserve"> Законі України "Про аудит фінансової звітності та аудиторську діяльність";</w:t>
            </w:r>
          </w:p>
        </w:tc>
      </w:tr>
      <w:tr w:rsidR="00F77E8D" w:rsidRPr="00286216" w14:paraId="66560984" w14:textId="77777777" w:rsidTr="00091AA5">
        <w:tc>
          <w:tcPr>
            <w:tcW w:w="576" w:type="dxa"/>
          </w:tcPr>
          <w:p w14:paraId="07653F76" w14:textId="77777777" w:rsidR="004B55AD" w:rsidRPr="00286216" w:rsidRDefault="004B55AD" w:rsidP="004B55AD">
            <w:pPr>
              <w:pStyle w:val="StyleWisnow"/>
              <w:rPr>
                <w:color w:val="000000" w:themeColor="text1"/>
              </w:rPr>
            </w:pPr>
            <w:bookmarkStart w:id="123" w:name="n119" w:colFirst="0" w:colLast="0"/>
            <w:bookmarkEnd w:id="122"/>
            <w:r w:rsidRPr="00286216">
              <w:rPr>
                <w:color w:val="000000" w:themeColor="text1"/>
              </w:rPr>
              <w:t>119.</w:t>
            </w:r>
          </w:p>
        </w:tc>
        <w:tc>
          <w:tcPr>
            <w:tcW w:w="4818" w:type="dxa"/>
          </w:tcPr>
          <w:p w14:paraId="5240347C" w14:textId="77777777" w:rsidR="004B55AD" w:rsidRPr="00286216" w:rsidRDefault="004B55AD" w:rsidP="004B55AD">
            <w:pPr>
              <w:pStyle w:val="StyleZakonu"/>
              <w:rPr>
                <w:color w:val="000000" w:themeColor="text1"/>
              </w:rPr>
            </w:pPr>
            <w:r w:rsidRPr="00286216">
              <w:rPr>
                <w:color w:val="000000" w:themeColor="text1"/>
              </w:rPr>
              <w:t>Термін "сертифікат ФОН" вживається у значенні, наведеному в Законі України "Про фінансово-кредитні механізми і управління майном при будівництві житла та операціях з нерухомістю".</w:t>
            </w:r>
          </w:p>
        </w:tc>
        <w:tc>
          <w:tcPr>
            <w:tcW w:w="3686" w:type="dxa"/>
          </w:tcPr>
          <w:p w14:paraId="042A4FBE" w14:textId="77777777" w:rsidR="004B55AD" w:rsidRPr="00286216" w:rsidRDefault="004B55AD" w:rsidP="004B55AD">
            <w:pPr>
              <w:pStyle w:val="StyleProp"/>
              <w:rPr>
                <w:color w:val="000000" w:themeColor="text1"/>
                <w:szCs w:val="18"/>
              </w:rPr>
            </w:pPr>
          </w:p>
        </w:tc>
        <w:tc>
          <w:tcPr>
            <w:tcW w:w="1987" w:type="dxa"/>
          </w:tcPr>
          <w:p w14:paraId="6641E591" w14:textId="77777777" w:rsidR="004B55AD" w:rsidRPr="00286216" w:rsidRDefault="004B55AD" w:rsidP="004B55AD">
            <w:pPr>
              <w:pStyle w:val="StyleWisnow"/>
              <w:rPr>
                <w:color w:val="000000" w:themeColor="text1"/>
              </w:rPr>
            </w:pPr>
          </w:p>
        </w:tc>
        <w:tc>
          <w:tcPr>
            <w:tcW w:w="4818" w:type="dxa"/>
          </w:tcPr>
          <w:p w14:paraId="0910D8B3" w14:textId="40B4D6CF" w:rsidR="004B55AD" w:rsidRPr="00286216" w:rsidRDefault="004B55AD" w:rsidP="00B80E72">
            <w:pPr>
              <w:pStyle w:val="StyleZakonu"/>
              <w:rPr>
                <w:color w:val="000000" w:themeColor="text1"/>
              </w:rPr>
            </w:pPr>
            <w:r w:rsidRPr="00286216">
              <w:rPr>
                <w:color w:val="000000" w:themeColor="text1"/>
              </w:rPr>
              <w:t>термін "сертифікат ФОН" – у значенні, наведеному в Законі України "Про фінансово-кредитні механізми і управління майном при будівництві житла та операціях з нерухомістю"</w:t>
            </w:r>
            <w:r w:rsidR="00B80E72" w:rsidRPr="00286216">
              <w:rPr>
                <w:color w:val="000000" w:themeColor="text1"/>
              </w:rPr>
              <w:t>.</w:t>
            </w:r>
          </w:p>
        </w:tc>
      </w:tr>
      <w:tr w:rsidR="00F77E8D" w:rsidRPr="00286216" w14:paraId="55B99B8C" w14:textId="77777777" w:rsidTr="00091AA5">
        <w:tc>
          <w:tcPr>
            <w:tcW w:w="576" w:type="dxa"/>
          </w:tcPr>
          <w:p w14:paraId="0DB7F987" w14:textId="77777777" w:rsidR="004B55AD" w:rsidRPr="00286216" w:rsidRDefault="004B55AD" w:rsidP="004B55AD">
            <w:pPr>
              <w:pStyle w:val="StyleWisnow"/>
              <w:rPr>
                <w:color w:val="000000" w:themeColor="text1"/>
              </w:rPr>
            </w:pPr>
          </w:p>
        </w:tc>
        <w:tc>
          <w:tcPr>
            <w:tcW w:w="4818" w:type="dxa"/>
          </w:tcPr>
          <w:p w14:paraId="65EC6B16" w14:textId="77777777" w:rsidR="004B55AD" w:rsidRPr="00286216" w:rsidRDefault="004B55AD" w:rsidP="004B55AD">
            <w:pPr>
              <w:pStyle w:val="StyleZakonu"/>
              <w:rPr>
                <w:color w:val="000000" w:themeColor="text1"/>
              </w:rPr>
            </w:pPr>
          </w:p>
        </w:tc>
        <w:tc>
          <w:tcPr>
            <w:tcW w:w="3686" w:type="dxa"/>
          </w:tcPr>
          <w:p w14:paraId="39D509ED" w14:textId="4FB71699"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CEAA842" w14:textId="77777777" w:rsidR="004B55AD" w:rsidRPr="00286216" w:rsidRDefault="004B55AD" w:rsidP="004B55AD">
            <w:pPr>
              <w:pStyle w:val="StyleProp"/>
              <w:rPr>
                <w:color w:val="000000" w:themeColor="text1"/>
                <w:szCs w:val="18"/>
              </w:rPr>
            </w:pPr>
            <w:r w:rsidRPr="00286216">
              <w:rPr>
                <w:color w:val="000000" w:themeColor="text1"/>
                <w:szCs w:val="18"/>
              </w:rPr>
              <w:t>Доповнити частину другу статті 2 двома новими абзацами такого змісту:</w:t>
            </w:r>
          </w:p>
          <w:p w14:paraId="1145B9AE" w14:textId="77777777" w:rsidR="004B55AD" w:rsidRPr="00286216" w:rsidRDefault="004B55AD" w:rsidP="004B55AD">
            <w:pPr>
              <w:pStyle w:val="StyleProp"/>
              <w:rPr>
                <w:color w:val="000000" w:themeColor="text1"/>
                <w:szCs w:val="18"/>
              </w:rPr>
            </w:pPr>
            <w:r w:rsidRPr="00286216">
              <w:rPr>
                <w:color w:val="000000" w:themeColor="text1"/>
                <w:szCs w:val="18"/>
              </w:rPr>
              <w:t>«Термін «валютні цінності» вживається в цьому Законі у значенні, наведеному у Законі України «Про валюту і валютні операції».</w:t>
            </w:r>
          </w:p>
          <w:p w14:paraId="3AF1098D" w14:textId="77777777" w:rsidR="004B55AD" w:rsidRPr="00286216" w:rsidRDefault="004B55AD" w:rsidP="004B55AD">
            <w:pPr>
              <w:pStyle w:val="StyleProp"/>
              <w:rPr>
                <w:color w:val="000000" w:themeColor="text1"/>
                <w:szCs w:val="18"/>
              </w:rPr>
            </w:pPr>
            <w:r w:rsidRPr="00286216">
              <w:rPr>
                <w:color w:val="000000" w:themeColor="text1"/>
                <w:szCs w:val="18"/>
              </w:rPr>
              <w:t xml:space="preserve">Термін «бездоганна ділова репутація», «ідентифікаційні дані» вживаються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w:t>
            </w:r>
            <w:r w:rsidRPr="00286216">
              <w:rPr>
                <w:color w:val="000000" w:themeColor="text1"/>
                <w:szCs w:val="18"/>
              </w:rPr>
              <w:lastRenderedPageBreak/>
              <w:t>масового знищення»».</w:t>
            </w:r>
          </w:p>
        </w:tc>
        <w:tc>
          <w:tcPr>
            <w:tcW w:w="1987" w:type="dxa"/>
          </w:tcPr>
          <w:p w14:paraId="4C0828AF" w14:textId="77777777" w:rsidR="004B55AD" w:rsidRPr="00286216" w:rsidRDefault="004B55AD" w:rsidP="004B55AD">
            <w:pPr>
              <w:pStyle w:val="StyleWisnow"/>
              <w:rPr>
                <w:color w:val="000000" w:themeColor="text1"/>
              </w:rPr>
            </w:pPr>
            <w:r w:rsidRPr="00286216">
              <w:rPr>
                <w:color w:val="000000" w:themeColor="text1"/>
              </w:rPr>
              <w:lastRenderedPageBreak/>
              <w:t>Враховано редакційно</w:t>
            </w:r>
          </w:p>
        </w:tc>
        <w:tc>
          <w:tcPr>
            <w:tcW w:w="4818" w:type="dxa"/>
          </w:tcPr>
          <w:p w14:paraId="700D9FD5" w14:textId="339C4C12" w:rsidR="004B55AD" w:rsidRPr="00286216" w:rsidRDefault="004B55AD" w:rsidP="004B55AD">
            <w:pPr>
              <w:pStyle w:val="StyleZakonu"/>
              <w:rPr>
                <w:color w:val="000000" w:themeColor="text1"/>
              </w:rPr>
            </w:pPr>
          </w:p>
        </w:tc>
      </w:tr>
      <w:bookmarkEnd w:id="123"/>
      <w:tr w:rsidR="00F77E8D" w:rsidRPr="00286216" w14:paraId="6570CBC6" w14:textId="77777777" w:rsidTr="00091AA5">
        <w:tc>
          <w:tcPr>
            <w:tcW w:w="576" w:type="dxa"/>
          </w:tcPr>
          <w:p w14:paraId="4C913CB9" w14:textId="77777777" w:rsidR="004B55AD" w:rsidRPr="00286216" w:rsidRDefault="004B55AD" w:rsidP="004B55AD">
            <w:pPr>
              <w:pStyle w:val="StyleWisnow"/>
              <w:rPr>
                <w:color w:val="000000" w:themeColor="text1"/>
              </w:rPr>
            </w:pPr>
          </w:p>
        </w:tc>
        <w:tc>
          <w:tcPr>
            <w:tcW w:w="4818" w:type="dxa"/>
          </w:tcPr>
          <w:p w14:paraId="7AD37080" w14:textId="77777777" w:rsidR="004B55AD" w:rsidRPr="00286216" w:rsidRDefault="004B55AD" w:rsidP="004B55AD">
            <w:pPr>
              <w:pStyle w:val="StyleZakonu"/>
              <w:rPr>
                <w:color w:val="000000" w:themeColor="text1"/>
              </w:rPr>
            </w:pPr>
          </w:p>
        </w:tc>
        <w:tc>
          <w:tcPr>
            <w:tcW w:w="3686" w:type="dxa"/>
          </w:tcPr>
          <w:p w14:paraId="1C8FE2E7" w14:textId="39867F77" w:rsidR="004B55AD" w:rsidRPr="00286216" w:rsidRDefault="004B55AD" w:rsidP="004B55AD">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154</w:t>
            </w:r>
            <w:r w:rsidRPr="00286216">
              <w:rPr>
                <w:color w:val="000000" w:themeColor="text1"/>
                <w:spacing w:val="-4"/>
              </w:rPr>
              <w:fldChar w:fldCharType="end"/>
            </w:r>
            <w:r w:rsidRPr="00286216">
              <w:rPr>
                <w:color w:val="000000" w:themeColor="text1"/>
                <w:spacing w:val="-4"/>
              </w:rPr>
              <w:t>-Н.д.Бєлькова О.В. (Реєстр.картка №403)</w:t>
            </w:r>
          </w:p>
          <w:p w14:paraId="570069E5" w14:textId="77777777" w:rsidR="004B55AD" w:rsidRPr="00286216" w:rsidRDefault="004B55AD" w:rsidP="004B55AD">
            <w:pPr>
              <w:pStyle w:val="StyleProp"/>
              <w:rPr>
                <w:color w:val="000000" w:themeColor="text1"/>
              </w:rPr>
            </w:pPr>
            <w:r w:rsidRPr="00286216">
              <w:rPr>
                <w:color w:val="000000" w:themeColor="text1"/>
              </w:rPr>
              <w:t xml:space="preserve">Доповнити частину другу статті 2 розділу 1 новим абзацом такого змісту: </w:t>
            </w:r>
          </w:p>
          <w:p w14:paraId="45EB55F3" w14:textId="77777777" w:rsidR="004B55AD" w:rsidRPr="00286216" w:rsidRDefault="004B55AD" w:rsidP="004B55AD">
            <w:pPr>
              <w:pStyle w:val="StyleProp"/>
              <w:rPr>
                <w:color w:val="000000" w:themeColor="text1"/>
                <w:szCs w:val="18"/>
              </w:rPr>
            </w:pPr>
            <w:r w:rsidRPr="00286216">
              <w:rPr>
                <w:color w:val="000000" w:themeColor="text1"/>
              </w:rPr>
              <w:t>“Термін “валютні цінності» вживається у значенні, наведеному в Законі України «Про валюту і валютні операції”.</w:t>
            </w:r>
          </w:p>
        </w:tc>
        <w:tc>
          <w:tcPr>
            <w:tcW w:w="1987" w:type="dxa"/>
          </w:tcPr>
          <w:p w14:paraId="704D2A5C" w14:textId="77777777" w:rsidR="004B55AD" w:rsidRPr="00286216" w:rsidRDefault="004B55AD" w:rsidP="004B55AD">
            <w:pPr>
              <w:pStyle w:val="StyleWisnow"/>
              <w:rPr>
                <w:color w:val="000000" w:themeColor="text1"/>
              </w:rPr>
            </w:pPr>
            <w:r w:rsidRPr="00286216">
              <w:rPr>
                <w:color w:val="000000" w:themeColor="text1"/>
              </w:rPr>
              <w:t>Враховано редакційно</w:t>
            </w:r>
          </w:p>
        </w:tc>
        <w:tc>
          <w:tcPr>
            <w:tcW w:w="4818" w:type="dxa"/>
          </w:tcPr>
          <w:p w14:paraId="5B5EF884" w14:textId="77777777" w:rsidR="004B55AD" w:rsidRPr="00286216" w:rsidRDefault="004B55AD" w:rsidP="004B55AD">
            <w:pPr>
              <w:pStyle w:val="StyleZakonu"/>
              <w:rPr>
                <w:color w:val="000000" w:themeColor="text1"/>
              </w:rPr>
            </w:pPr>
          </w:p>
        </w:tc>
      </w:tr>
      <w:tr w:rsidR="00F77E8D" w:rsidRPr="00286216" w14:paraId="3FF28EBC" w14:textId="77777777" w:rsidTr="00091AA5">
        <w:tc>
          <w:tcPr>
            <w:tcW w:w="576" w:type="dxa"/>
          </w:tcPr>
          <w:p w14:paraId="3CB72D9A" w14:textId="77777777" w:rsidR="004B55AD" w:rsidRPr="00286216" w:rsidRDefault="004B55AD" w:rsidP="004B55AD">
            <w:pPr>
              <w:pStyle w:val="StyleWisnow"/>
              <w:rPr>
                <w:color w:val="000000" w:themeColor="text1"/>
              </w:rPr>
            </w:pPr>
          </w:p>
        </w:tc>
        <w:tc>
          <w:tcPr>
            <w:tcW w:w="4818" w:type="dxa"/>
          </w:tcPr>
          <w:p w14:paraId="5A5D5492" w14:textId="77777777" w:rsidR="004B55AD" w:rsidRPr="00286216" w:rsidRDefault="004B55AD" w:rsidP="004B55AD">
            <w:pPr>
              <w:pStyle w:val="StyleZakonu"/>
              <w:rPr>
                <w:color w:val="000000" w:themeColor="text1"/>
              </w:rPr>
            </w:pPr>
          </w:p>
        </w:tc>
        <w:tc>
          <w:tcPr>
            <w:tcW w:w="3686" w:type="dxa"/>
          </w:tcPr>
          <w:p w14:paraId="498246E5" w14:textId="3B27073A"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155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5E6A193" w14:textId="77777777" w:rsidR="004B55AD" w:rsidRPr="00286216" w:rsidRDefault="004B55AD" w:rsidP="004B55AD">
            <w:pPr>
              <w:pStyle w:val="StyleProp"/>
              <w:rPr>
                <w:color w:val="000000" w:themeColor="text1"/>
                <w:szCs w:val="18"/>
              </w:rPr>
            </w:pPr>
            <w:r w:rsidRPr="00286216">
              <w:rPr>
                <w:color w:val="000000" w:themeColor="text1"/>
                <w:szCs w:val="18"/>
              </w:rPr>
              <w:t>Доповнити законопроект новою статтею такого змісту:</w:t>
            </w:r>
          </w:p>
          <w:p w14:paraId="1BD14AD6" w14:textId="32A7B67F" w:rsidR="004B55AD" w:rsidRPr="00286216" w:rsidRDefault="004B55AD" w:rsidP="004B55AD">
            <w:pPr>
              <w:pStyle w:val="StyleProp"/>
              <w:rPr>
                <w:color w:val="000000" w:themeColor="text1"/>
                <w:szCs w:val="18"/>
              </w:rPr>
            </w:pPr>
            <w:r w:rsidRPr="00286216">
              <w:rPr>
                <w:color w:val="000000" w:themeColor="text1"/>
                <w:szCs w:val="18"/>
              </w:rPr>
              <w:t>«Стаття 3. Правові основи функціонування ринків капіталу та організованих товарних ринків</w:t>
            </w:r>
          </w:p>
          <w:p w14:paraId="4730C3B1" w14:textId="77777777" w:rsidR="004B55AD" w:rsidRPr="00286216" w:rsidRDefault="004B55AD" w:rsidP="004B55AD">
            <w:pPr>
              <w:pStyle w:val="StyleProp"/>
              <w:rPr>
                <w:color w:val="000000" w:themeColor="text1"/>
                <w:szCs w:val="18"/>
              </w:rPr>
            </w:pPr>
            <w:r w:rsidRPr="00286216">
              <w:rPr>
                <w:color w:val="000000" w:themeColor="text1"/>
                <w:szCs w:val="18"/>
              </w:rPr>
              <w:t>1. Правову основу функціонування ринків капіталу та організованих товарних ринків становлять Конституція України, цей Закон, закони України «Про державне регулювання ринків капіталу та організованих товарних ринків», «Про депозитарну систему України», «Про інститути спільного інвестування», інші закони, а також міжнародні договори України, згода на обов’язковість яких надана Верховною Радою України, та інші акти законодавства України.</w:t>
            </w:r>
          </w:p>
          <w:p w14:paraId="34D02FDF" w14:textId="2071A7A4" w:rsidR="004B55AD" w:rsidRPr="00286216" w:rsidRDefault="004B55AD" w:rsidP="004B55AD">
            <w:pPr>
              <w:pStyle w:val="StyleProp"/>
              <w:rPr>
                <w:color w:val="000000" w:themeColor="text1"/>
                <w:szCs w:val="18"/>
              </w:rPr>
            </w:pPr>
            <w:r w:rsidRPr="00286216">
              <w:rPr>
                <w:color w:val="000000" w:themeColor="text1"/>
                <w:szCs w:val="18"/>
              </w:rPr>
              <w:t xml:space="preserve">2. На виконання зобов’язань України за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цей Закон та нормативно-правові акти Національної комісії з цінних паперів та фондового ринку, зазначені у цьому Законі, спрямовані на імплементацію актів законодавства Європейського Союзу у сфері ринку капіталу та організованих товарних ринків, зокрема:  </w:t>
            </w:r>
          </w:p>
          <w:p w14:paraId="74A9B80D" w14:textId="77777777" w:rsidR="004B55AD" w:rsidRPr="00286216" w:rsidRDefault="004B55AD" w:rsidP="004B55AD">
            <w:pPr>
              <w:pStyle w:val="StyleProp"/>
              <w:rPr>
                <w:color w:val="000000" w:themeColor="text1"/>
              </w:rPr>
            </w:pPr>
            <w:r w:rsidRPr="00286216">
              <w:rPr>
                <w:color w:val="000000" w:themeColor="text1"/>
              </w:rPr>
              <w:t>1) Директиви № 98/26/ЄС від 19 травня 1998 року;</w:t>
            </w:r>
          </w:p>
          <w:p w14:paraId="2E06AF5A" w14:textId="77777777" w:rsidR="004B55AD" w:rsidRPr="00286216" w:rsidRDefault="004B55AD" w:rsidP="004B55AD">
            <w:pPr>
              <w:pStyle w:val="StyleProp"/>
              <w:rPr>
                <w:color w:val="000000" w:themeColor="text1"/>
              </w:rPr>
            </w:pPr>
            <w:r w:rsidRPr="00286216">
              <w:rPr>
                <w:color w:val="000000" w:themeColor="text1"/>
              </w:rPr>
              <w:t>2) Директиви 2002/47/ЄС від 6 червня 2002 року;</w:t>
            </w:r>
          </w:p>
          <w:p w14:paraId="5181E770" w14:textId="77777777" w:rsidR="004B55AD" w:rsidRPr="00286216" w:rsidRDefault="004B55AD" w:rsidP="004B55AD">
            <w:pPr>
              <w:pStyle w:val="StyleProp"/>
              <w:rPr>
                <w:color w:val="000000" w:themeColor="text1"/>
              </w:rPr>
            </w:pPr>
            <w:r w:rsidRPr="00286216">
              <w:rPr>
                <w:color w:val="000000" w:themeColor="text1"/>
              </w:rPr>
              <w:t>3) Директиви 2002/87/ЄС  від 16 грудня 2002 року</w:t>
            </w:r>
          </w:p>
          <w:p w14:paraId="7F98820F" w14:textId="77777777" w:rsidR="004B55AD" w:rsidRPr="00286216" w:rsidRDefault="004B55AD" w:rsidP="004B55AD">
            <w:pPr>
              <w:pStyle w:val="StyleProp"/>
              <w:rPr>
                <w:color w:val="000000" w:themeColor="text1"/>
              </w:rPr>
            </w:pPr>
            <w:r w:rsidRPr="00286216">
              <w:rPr>
                <w:color w:val="000000" w:themeColor="text1"/>
              </w:rPr>
              <w:t>4) Директиви № 2004/109/ЄС від 15 грудня 2004 року;</w:t>
            </w:r>
          </w:p>
          <w:p w14:paraId="18C27981" w14:textId="77777777" w:rsidR="004B55AD" w:rsidRPr="00286216" w:rsidRDefault="004B55AD" w:rsidP="004B55AD">
            <w:pPr>
              <w:pStyle w:val="StyleProp"/>
              <w:rPr>
                <w:color w:val="000000" w:themeColor="text1"/>
              </w:rPr>
            </w:pPr>
            <w:r w:rsidRPr="00286216">
              <w:rPr>
                <w:color w:val="000000" w:themeColor="text1"/>
              </w:rPr>
              <w:t xml:space="preserve">5) Регламенту (ЄС) № 648/2012 від 4 липня 2012 року; </w:t>
            </w:r>
          </w:p>
          <w:p w14:paraId="77BC0DAC" w14:textId="77777777" w:rsidR="004B55AD" w:rsidRPr="00286216" w:rsidRDefault="004B55AD" w:rsidP="004B55AD">
            <w:pPr>
              <w:pStyle w:val="StyleProp"/>
              <w:rPr>
                <w:color w:val="000000" w:themeColor="text1"/>
              </w:rPr>
            </w:pPr>
            <w:r w:rsidRPr="00286216">
              <w:rPr>
                <w:color w:val="000000" w:themeColor="text1"/>
              </w:rPr>
              <w:t>6) Директиви № 2013/36/ЄC від 26 червня 2013 року;</w:t>
            </w:r>
          </w:p>
          <w:p w14:paraId="04656817" w14:textId="77777777" w:rsidR="004B55AD" w:rsidRPr="00286216" w:rsidRDefault="004B55AD" w:rsidP="004B55AD">
            <w:pPr>
              <w:pStyle w:val="StyleProp"/>
              <w:rPr>
                <w:color w:val="000000" w:themeColor="text1"/>
              </w:rPr>
            </w:pPr>
            <w:r w:rsidRPr="00286216">
              <w:rPr>
                <w:color w:val="000000" w:themeColor="text1"/>
              </w:rPr>
              <w:t xml:space="preserve">7) Регламенту (ЄС) № 575/2013 від 26 </w:t>
            </w:r>
            <w:r w:rsidRPr="00286216">
              <w:rPr>
                <w:color w:val="000000" w:themeColor="text1"/>
              </w:rPr>
              <w:lastRenderedPageBreak/>
              <w:t>червня 2013 року;</w:t>
            </w:r>
          </w:p>
          <w:p w14:paraId="4156DD59" w14:textId="77777777" w:rsidR="004B55AD" w:rsidRPr="00286216" w:rsidRDefault="004B55AD" w:rsidP="004B55AD">
            <w:pPr>
              <w:pStyle w:val="StyleProp"/>
              <w:rPr>
                <w:color w:val="000000" w:themeColor="text1"/>
              </w:rPr>
            </w:pPr>
            <w:r w:rsidRPr="00286216">
              <w:rPr>
                <w:color w:val="000000" w:themeColor="text1"/>
              </w:rPr>
              <w:t xml:space="preserve">8) Директиви №2014/65/ЄС від 15 травня 2014 року; </w:t>
            </w:r>
          </w:p>
          <w:p w14:paraId="3C767281" w14:textId="77777777" w:rsidR="004B55AD" w:rsidRPr="00286216" w:rsidRDefault="004B55AD" w:rsidP="004B55AD">
            <w:pPr>
              <w:pStyle w:val="StyleProp"/>
              <w:rPr>
                <w:color w:val="000000" w:themeColor="text1"/>
              </w:rPr>
            </w:pPr>
            <w:r w:rsidRPr="00286216">
              <w:rPr>
                <w:color w:val="000000" w:themeColor="text1"/>
              </w:rPr>
              <w:t xml:space="preserve">9) Регламенту (ЄС) № 600/2014 від 15 травня 2014 року; </w:t>
            </w:r>
          </w:p>
          <w:p w14:paraId="27138A2B" w14:textId="77777777" w:rsidR="004B55AD" w:rsidRPr="00286216" w:rsidRDefault="004B55AD" w:rsidP="004B55AD">
            <w:pPr>
              <w:pStyle w:val="StyleProp"/>
              <w:rPr>
                <w:color w:val="000000" w:themeColor="text1"/>
              </w:rPr>
            </w:pPr>
            <w:r w:rsidRPr="00286216">
              <w:rPr>
                <w:color w:val="000000" w:themeColor="text1"/>
              </w:rPr>
              <w:t>10) Регламенту (ЄС) № 596/2014 від 16 квітня 2014 року;</w:t>
            </w:r>
          </w:p>
          <w:p w14:paraId="33A85C27" w14:textId="77777777" w:rsidR="004B55AD" w:rsidRPr="00286216" w:rsidRDefault="004B55AD" w:rsidP="004B55AD">
            <w:pPr>
              <w:pStyle w:val="StyleProp"/>
              <w:rPr>
                <w:color w:val="000000" w:themeColor="text1"/>
              </w:rPr>
            </w:pPr>
            <w:r w:rsidRPr="00286216">
              <w:rPr>
                <w:color w:val="000000" w:themeColor="text1"/>
              </w:rPr>
              <w:t>11) Регламенту (ЄС) 2017/1129 від 14 червня 2017 року;</w:t>
            </w:r>
          </w:p>
          <w:p w14:paraId="5CE41769" w14:textId="77777777" w:rsidR="004B55AD" w:rsidRPr="00286216" w:rsidRDefault="004B55AD" w:rsidP="004B55AD">
            <w:pPr>
              <w:pStyle w:val="StyleProp"/>
              <w:rPr>
                <w:color w:val="000000" w:themeColor="text1"/>
              </w:rPr>
            </w:pPr>
            <w:r w:rsidRPr="00286216">
              <w:rPr>
                <w:color w:val="000000" w:themeColor="text1"/>
              </w:rPr>
              <w:t>12) Регламенту (ЄС) 909/2014 від 23 липня 2014 рорку;</w:t>
            </w:r>
          </w:p>
          <w:p w14:paraId="0775A817" w14:textId="0ACC4BDB" w:rsidR="004B55AD" w:rsidRPr="00286216" w:rsidRDefault="004B55AD" w:rsidP="004B55AD">
            <w:pPr>
              <w:pStyle w:val="StyleProp"/>
              <w:rPr>
                <w:color w:val="000000" w:themeColor="text1"/>
                <w:szCs w:val="18"/>
              </w:rPr>
            </w:pPr>
            <w:r w:rsidRPr="00286216">
              <w:rPr>
                <w:color w:val="000000" w:themeColor="text1"/>
              </w:rPr>
              <w:t>13) інших актів ЄС, які розроблені на виконання або доповнення актів, зазначених у пунктах 1 – 12 цієї частини».</w:t>
            </w:r>
          </w:p>
        </w:tc>
        <w:tc>
          <w:tcPr>
            <w:tcW w:w="1987" w:type="dxa"/>
          </w:tcPr>
          <w:p w14:paraId="47BE3EFD"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tc>
        <w:tc>
          <w:tcPr>
            <w:tcW w:w="4818" w:type="dxa"/>
          </w:tcPr>
          <w:p w14:paraId="6883586F" w14:textId="29F673AE" w:rsidR="004B55AD" w:rsidRPr="00286216" w:rsidRDefault="004B55AD" w:rsidP="004B55AD">
            <w:pPr>
              <w:pStyle w:val="StyleZakonu"/>
              <w:rPr>
                <w:color w:val="000000" w:themeColor="text1"/>
                <w:szCs w:val="18"/>
              </w:rPr>
            </w:pPr>
            <w:r w:rsidRPr="00286216">
              <w:rPr>
                <w:color w:val="000000" w:themeColor="text1"/>
                <w:szCs w:val="18"/>
              </w:rPr>
              <w:t>Стаття 3. Правові основи функціонування ринків капіталу та організованих товарних ринків</w:t>
            </w:r>
          </w:p>
          <w:p w14:paraId="11E48314" w14:textId="1467FB5E" w:rsidR="004B55AD" w:rsidRPr="00286216" w:rsidRDefault="004B55AD" w:rsidP="004B55AD">
            <w:pPr>
              <w:pStyle w:val="StyleZakonu"/>
              <w:rPr>
                <w:color w:val="000000" w:themeColor="text1"/>
                <w:szCs w:val="18"/>
              </w:rPr>
            </w:pPr>
            <w:r w:rsidRPr="00286216">
              <w:rPr>
                <w:color w:val="000000" w:themeColor="text1"/>
                <w:szCs w:val="18"/>
              </w:rPr>
              <w:t xml:space="preserve">1. Правову основу функціонування ринків капіталу та організованих товарних ринків становлять Конституція України, цей Закон, закони України «Про державне регулювання ринків капіталу та організованих товарних ринків», «Про депозитарну систему України», «Про інститути спільного інвестування», інші закони </w:t>
            </w:r>
            <w:r w:rsidR="00B80E72" w:rsidRPr="00286216">
              <w:rPr>
                <w:color w:val="000000" w:themeColor="text1"/>
                <w:szCs w:val="18"/>
              </w:rPr>
              <w:t xml:space="preserve">України </w:t>
            </w:r>
            <w:r w:rsidRPr="00286216">
              <w:rPr>
                <w:color w:val="000000" w:themeColor="text1"/>
                <w:szCs w:val="18"/>
              </w:rPr>
              <w:t>щодо зазначеної сфери, а також міжнародні договори України, згода на обов’язковість яких надана Верховною Радою України, та інші акти законодавства України.</w:t>
            </w:r>
          </w:p>
          <w:p w14:paraId="06854733" w14:textId="334BA516" w:rsidR="004B55AD" w:rsidRPr="00286216" w:rsidRDefault="004B55AD" w:rsidP="004B55AD">
            <w:pPr>
              <w:pStyle w:val="StyleZakonu"/>
              <w:rPr>
                <w:color w:val="000000" w:themeColor="text1"/>
                <w:szCs w:val="18"/>
              </w:rPr>
            </w:pPr>
            <w:r w:rsidRPr="00286216">
              <w:rPr>
                <w:color w:val="000000" w:themeColor="text1"/>
                <w:szCs w:val="18"/>
              </w:rPr>
              <w:t>2. На виконання зобов’язань України за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цей Закон та нормативно-правові акти Національної комісії з цінних паперів та фондового ринку, зазначені в цьому Законі, спрямовані на імплементацію актів законодавства Європейського Союзу у сфері ринків капіталу та організованих товарних ринків, зокрема:</w:t>
            </w:r>
          </w:p>
          <w:p w14:paraId="42091418" w14:textId="5FADDC76" w:rsidR="004B55AD" w:rsidRPr="00286216" w:rsidRDefault="004B55AD" w:rsidP="004B55AD">
            <w:pPr>
              <w:pStyle w:val="StyleZakonu"/>
              <w:rPr>
                <w:color w:val="000000" w:themeColor="text1"/>
                <w:szCs w:val="18"/>
              </w:rPr>
            </w:pPr>
            <w:r w:rsidRPr="00286216">
              <w:rPr>
                <w:color w:val="000000" w:themeColor="text1"/>
                <w:szCs w:val="18"/>
              </w:rPr>
              <w:t>1) Директиви № 98/26/ЄС від 19 травня 1998 року;</w:t>
            </w:r>
          </w:p>
          <w:p w14:paraId="7154A8C5" w14:textId="4293CA25" w:rsidR="004B55AD" w:rsidRPr="00286216" w:rsidRDefault="004B55AD" w:rsidP="004B55AD">
            <w:pPr>
              <w:pStyle w:val="StyleZakonu"/>
              <w:rPr>
                <w:color w:val="000000" w:themeColor="text1"/>
                <w:szCs w:val="18"/>
              </w:rPr>
            </w:pPr>
            <w:r w:rsidRPr="00286216">
              <w:rPr>
                <w:color w:val="000000" w:themeColor="text1"/>
                <w:szCs w:val="18"/>
              </w:rPr>
              <w:t>2) Директиви 2002/47/ЄС від 6 червня 2002 року;</w:t>
            </w:r>
          </w:p>
          <w:p w14:paraId="2B9D2E53" w14:textId="2C6399C9" w:rsidR="004B55AD" w:rsidRPr="00286216" w:rsidRDefault="004B55AD" w:rsidP="004B55AD">
            <w:pPr>
              <w:pStyle w:val="StyleZakonu"/>
              <w:rPr>
                <w:color w:val="000000" w:themeColor="text1"/>
                <w:szCs w:val="18"/>
              </w:rPr>
            </w:pPr>
            <w:r w:rsidRPr="00286216">
              <w:rPr>
                <w:color w:val="000000" w:themeColor="text1"/>
                <w:szCs w:val="18"/>
              </w:rPr>
              <w:t>3) Директиви 2002/87/ЄС  від 16 грудня 2002 року</w:t>
            </w:r>
          </w:p>
          <w:p w14:paraId="57DB756A" w14:textId="0BD331EE" w:rsidR="004B55AD" w:rsidRPr="00286216" w:rsidRDefault="004B55AD" w:rsidP="004B55AD">
            <w:pPr>
              <w:pStyle w:val="StyleZakonu"/>
              <w:rPr>
                <w:color w:val="000000" w:themeColor="text1"/>
                <w:szCs w:val="18"/>
              </w:rPr>
            </w:pPr>
            <w:r w:rsidRPr="00286216">
              <w:rPr>
                <w:color w:val="000000" w:themeColor="text1"/>
                <w:szCs w:val="18"/>
              </w:rPr>
              <w:t>4) Директиви № 2004/109/ЄС від 15 грудня 2004 року;</w:t>
            </w:r>
          </w:p>
          <w:p w14:paraId="19345A6C" w14:textId="090DE275" w:rsidR="004B55AD" w:rsidRPr="00286216" w:rsidRDefault="004B55AD" w:rsidP="004B55AD">
            <w:pPr>
              <w:pStyle w:val="StyleZakonu"/>
              <w:rPr>
                <w:color w:val="000000" w:themeColor="text1"/>
                <w:szCs w:val="18"/>
              </w:rPr>
            </w:pPr>
            <w:r w:rsidRPr="00286216">
              <w:rPr>
                <w:color w:val="000000" w:themeColor="text1"/>
                <w:szCs w:val="18"/>
              </w:rPr>
              <w:t xml:space="preserve">5) Регламенту (ЄС) № 648/2012 від 4 липня 2012 року; </w:t>
            </w:r>
          </w:p>
          <w:p w14:paraId="087D9ED4" w14:textId="095983FD" w:rsidR="004B55AD" w:rsidRPr="00286216" w:rsidRDefault="004B55AD" w:rsidP="004B55AD">
            <w:pPr>
              <w:pStyle w:val="StyleZakonu"/>
              <w:rPr>
                <w:color w:val="000000" w:themeColor="text1"/>
                <w:szCs w:val="18"/>
              </w:rPr>
            </w:pPr>
            <w:r w:rsidRPr="00286216">
              <w:rPr>
                <w:color w:val="000000" w:themeColor="text1"/>
                <w:szCs w:val="18"/>
              </w:rPr>
              <w:t>6) Директиви № 2013/36/ЄC від 26 червня 2013 року;</w:t>
            </w:r>
          </w:p>
          <w:p w14:paraId="5642EA54" w14:textId="198C3CD9" w:rsidR="004B55AD" w:rsidRPr="00286216" w:rsidRDefault="004B55AD" w:rsidP="004B55AD">
            <w:pPr>
              <w:pStyle w:val="StyleZakonu"/>
              <w:rPr>
                <w:color w:val="000000" w:themeColor="text1"/>
                <w:szCs w:val="18"/>
              </w:rPr>
            </w:pPr>
            <w:r w:rsidRPr="00286216">
              <w:rPr>
                <w:color w:val="000000" w:themeColor="text1"/>
                <w:szCs w:val="18"/>
              </w:rPr>
              <w:t>7) Регламенту (ЄС) № 575/2013 від 26 червня 2013 року;</w:t>
            </w:r>
          </w:p>
          <w:p w14:paraId="60248503" w14:textId="466A740F" w:rsidR="004B55AD" w:rsidRPr="00286216" w:rsidRDefault="004B55AD" w:rsidP="004B55AD">
            <w:pPr>
              <w:pStyle w:val="StyleZakonu"/>
              <w:rPr>
                <w:color w:val="000000" w:themeColor="text1"/>
                <w:szCs w:val="18"/>
              </w:rPr>
            </w:pPr>
            <w:r w:rsidRPr="00286216">
              <w:rPr>
                <w:color w:val="000000" w:themeColor="text1"/>
                <w:szCs w:val="18"/>
              </w:rPr>
              <w:t xml:space="preserve">8) Директиви №2014/65/ЄС від 15 травня 2014 року; </w:t>
            </w:r>
          </w:p>
          <w:p w14:paraId="740F9E87" w14:textId="1346828E" w:rsidR="004B55AD" w:rsidRPr="00286216" w:rsidRDefault="004B55AD" w:rsidP="004B55AD">
            <w:pPr>
              <w:pStyle w:val="StyleZakonu"/>
              <w:rPr>
                <w:color w:val="000000" w:themeColor="text1"/>
                <w:szCs w:val="18"/>
              </w:rPr>
            </w:pPr>
            <w:r w:rsidRPr="00286216">
              <w:rPr>
                <w:color w:val="000000" w:themeColor="text1"/>
                <w:szCs w:val="18"/>
              </w:rPr>
              <w:t xml:space="preserve">9) Регламенту (ЄС) № 600/2014 від 15 травня 2014 </w:t>
            </w:r>
            <w:r w:rsidRPr="00286216">
              <w:rPr>
                <w:color w:val="000000" w:themeColor="text1"/>
                <w:szCs w:val="18"/>
              </w:rPr>
              <w:lastRenderedPageBreak/>
              <w:t xml:space="preserve">року; </w:t>
            </w:r>
          </w:p>
          <w:p w14:paraId="1641841A" w14:textId="379EA5FA" w:rsidR="004B55AD" w:rsidRPr="00286216" w:rsidRDefault="004B55AD" w:rsidP="004B55AD">
            <w:pPr>
              <w:pStyle w:val="StyleZakonu"/>
              <w:rPr>
                <w:color w:val="000000" w:themeColor="text1"/>
                <w:szCs w:val="18"/>
              </w:rPr>
            </w:pPr>
            <w:r w:rsidRPr="00286216">
              <w:rPr>
                <w:color w:val="000000" w:themeColor="text1"/>
                <w:szCs w:val="18"/>
              </w:rPr>
              <w:t>10) Регламенту (ЄС) № 596/2014 від 16 квітня 2014 року;</w:t>
            </w:r>
          </w:p>
          <w:p w14:paraId="6A759204" w14:textId="36275AD1" w:rsidR="004B55AD" w:rsidRPr="00286216" w:rsidRDefault="004B55AD" w:rsidP="004B55AD">
            <w:pPr>
              <w:pStyle w:val="StyleZakonu"/>
              <w:rPr>
                <w:color w:val="000000" w:themeColor="text1"/>
                <w:szCs w:val="18"/>
              </w:rPr>
            </w:pPr>
            <w:r w:rsidRPr="00286216">
              <w:rPr>
                <w:color w:val="000000" w:themeColor="text1"/>
                <w:szCs w:val="18"/>
              </w:rPr>
              <w:t>11) Регламенту (ЄС) 2017/1129 від 14 червня 2017 року;</w:t>
            </w:r>
          </w:p>
          <w:p w14:paraId="6E1CCA9E" w14:textId="67611511" w:rsidR="004B55AD" w:rsidRPr="00286216" w:rsidRDefault="004B55AD" w:rsidP="004B55AD">
            <w:pPr>
              <w:pStyle w:val="StyleZakonu"/>
              <w:rPr>
                <w:color w:val="000000" w:themeColor="text1"/>
                <w:szCs w:val="18"/>
              </w:rPr>
            </w:pPr>
            <w:r w:rsidRPr="00286216">
              <w:rPr>
                <w:color w:val="000000" w:themeColor="text1"/>
                <w:szCs w:val="18"/>
              </w:rPr>
              <w:t>12) Регламенту (ЄС) 909/2014 від 23 липня 2014 рорку;</w:t>
            </w:r>
          </w:p>
          <w:p w14:paraId="3B6F829D" w14:textId="67A0E6DC" w:rsidR="004B55AD" w:rsidRPr="00286216" w:rsidRDefault="004B55AD" w:rsidP="00B80E72">
            <w:pPr>
              <w:pStyle w:val="StyleZakonu"/>
              <w:rPr>
                <w:color w:val="000000" w:themeColor="text1"/>
              </w:rPr>
            </w:pPr>
            <w:r w:rsidRPr="00286216">
              <w:rPr>
                <w:color w:val="000000" w:themeColor="text1"/>
                <w:szCs w:val="18"/>
              </w:rPr>
              <w:t>13) інших актів ЄС, розроблен</w:t>
            </w:r>
            <w:r w:rsidR="00B80E72" w:rsidRPr="00286216">
              <w:rPr>
                <w:color w:val="000000" w:themeColor="text1"/>
                <w:szCs w:val="18"/>
              </w:rPr>
              <w:t>их</w:t>
            </w:r>
            <w:r w:rsidRPr="00286216">
              <w:rPr>
                <w:color w:val="000000" w:themeColor="text1"/>
                <w:szCs w:val="18"/>
              </w:rPr>
              <w:t xml:space="preserve"> на виконання або доповнення актів, зазначених у пунктах 1 – 12 цієї частини.</w:t>
            </w:r>
          </w:p>
        </w:tc>
      </w:tr>
      <w:tr w:rsidR="00F77E8D" w:rsidRPr="00286216" w14:paraId="1B988F1A" w14:textId="77777777" w:rsidTr="00091AA5">
        <w:tc>
          <w:tcPr>
            <w:tcW w:w="576" w:type="dxa"/>
          </w:tcPr>
          <w:p w14:paraId="575AA9FF" w14:textId="77777777" w:rsidR="004B55AD" w:rsidRPr="00286216" w:rsidRDefault="004B55AD" w:rsidP="004B55AD">
            <w:pPr>
              <w:pStyle w:val="StyleWisnow"/>
              <w:rPr>
                <w:color w:val="000000" w:themeColor="text1"/>
              </w:rPr>
            </w:pPr>
            <w:bookmarkStart w:id="124" w:name="n120" w:colFirst="0" w:colLast="0"/>
            <w:r w:rsidRPr="00286216">
              <w:rPr>
                <w:color w:val="000000" w:themeColor="text1"/>
              </w:rPr>
              <w:lastRenderedPageBreak/>
              <w:t>120.</w:t>
            </w:r>
          </w:p>
        </w:tc>
        <w:tc>
          <w:tcPr>
            <w:tcW w:w="4818" w:type="dxa"/>
          </w:tcPr>
          <w:p w14:paraId="4C388476" w14:textId="77777777" w:rsidR="004B55AD" w:rsidRPr="00286216" w:rsidRDefault="004B55AD" w:rsidP="004B55AD">
            <w:pPr>
              <w:pStyle w:val="StyleZakonu"/>
              <w:rPr>
                <w:color w:val="000000" w:themeColor="text1"/>
              </w:rPr>
            </w:pPr>
            <w:r w:rsidRPr="00286216">
              <w:rPr>
                <w:color w:val="000000" w:themeColor="text1"/>
              </w:rPr>
              <w:t>Стаття 3. Ринки капіталу</w:t>
            </w:r>
          </w:p>
        </w:tc>
        <w:tc>
          <w:tcPr>
            <w:tcW w:w="3686" w:type="dxa"/>
          </w:tcPr>
          <w:p w14:paraId="2F3E8121" w14:textId="77777777" w:rsidR="004B55AD" w:rsidRPr="00286216" w:rsidRDefault="004B55AD" w:rsidP="004B55AD">
            <w:pPr>
              <w:pStyle w:val="StyleProp"/>
              <w:rPr>
                <w:color w:val="000000" w:themeColor="text1"/>
                <w:szCs w:val="18"/>
              </w:rPr>
            </w:pPr>
          </w:p>
        </w:tc>
        <w:tc>
          <w:tcPr>
            <w:tcW w:w="1987" w:type="dxa"/>
          </w:tcPr>
          <w:p w14:paraId="0BEC95CD" w14:textId="77777777" w:rsidR="004B55AD" w:rsidRPr="00286216" w:rsidRDefault="004B55AD" w:rsidP="004B55AD">
            <w:pPr>
              <w:pStyle w:val="StyleWisnow"/>
              <w:rPr>
                <w:color w:val="000000" w:themeColor="text1"/>
              </w:rPr>
            </w:pPr>
          </w:p>
        </w:tc>
        <w:tc>
          <w:tcPr>
            <w:tcW w:w="4818" w:type="dxa"/>
          </w:tcPr>
          <w:p w14:paraId="0E3B7F8A" w14:textId="6A757849" w:rsidR="004B55AD" w:rsidRPr="00286216" w:rsidRDefault="004B55AD" w:rsidP="004B55AD">
            <w:pPr>
              <w:pStyle w:val="StyleZakonu"/>
              <w:rPr>
                <w:color w:val="000000" w:themeColor="text1"/>
              </w:rPr>
            </w:pPr>
            <w:r w:rsidRPr="00286216">
              <w:rPr>
                <w:color w:val="000000" w:themeColor="text1"/>
              </w:rPr>
              <w:t>Стаття 4. Ринки капіталу</w:t>
            </w:r>
          </w:p>
        </w:tc>
      </w:tr>
      <w:tr w:rsidR="00F77E8D" w:rsidRPr="00286216" w14:paraId="577BC5FF" w14:textId="77777777" w:rsidTr="00091AA5">
        <w:tc>
          <w:tcPr>
            <w:tcW w:w="576" w:type="dxa"/>
          </w:tcPr>
          <w:p w14:paraId="46B6943D" w14:textId="77777777" w:rsidR="004B55AD" w:rsidRPr="00286216" w:rsidRDefault="004B55AD" w:rsidP="004B55AD">
            <w:pPr>
              <w:pStyle w:val="StyleWisnow"/>
              <w:rPr>
                <w:color w:val="000000" w:themeColor="text1"/>
              </w:rPr>
            </w:pPr>
            <w:bookmarkStart w:id="125" w:name="n121" w:colFirst="0" w:colLast="0"/>
            <w:bookmarkEnd w:id="124"/>
            <w:r w:rsidRPr="00286216">
              <w:rPr>
                <w:color w:val="000000" w:themeColor="text1"/>
              </w:rPr>
              <w:t>121.</w:t>
            </w:r>
          </w:p>
        </w:tc>
        <w:tc>
          <w:tcPr>
            <w:tcW w:w="4818" w:type="dxa"/>
          </w:tcPr>
          <w:p w14:paraId="6561C00D" w14:textId="77777777" w:rsidR="004B55AD" w:rsidRPr="00286216" w:rsidRDefault="004B55AD" w:rsidP="004B55AD">
            <w:pPr>
              <w:pStyle w:val="StyleZakonu"/>
              <w:rPr>
                <w:color w:val="000000" w:themeColor="text1"/>
              </w:rPr>
            </w:pPr>
            <w:r w:rsidRPr="00286216">
              <w:rPr>
                <w:color w:val="000000" w:themeColor="text1"/>
              </w:rPr>
              <w:t>1. Ринки капіталу - фондовий ринок, ринок деривативних (похідних) фінансових інструментів та грошовий ринок.</w:t>
            </w:r>
          </w:p>
        </w:tc>
        <w:tc>
          <w:tcPr>
            <w:tcW w:w="3686" w:type="dxa"/>
          </w:tcPr>
          <w:p w14:paraId="72118F08" w14:textId="206250E7"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6A91DB8" w14:textId="77777777"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40E5E067" w14:textId="3775C49E"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DDEB0F9" w14:textId="77777777" w:rsidR="004B55AD" w:rsidRPr="00286216" w:rsidRDefault="004B55AD" w:rsidP="004B55AD">
            <w:pPr>
              <w:pStyle w:val="StyleProp"/>
              <w:rPr>
                <w:color w:val="000000" w:themeColor="text1"/>
                <w:szCs w:val="18"/>
              </w:rPr>
            </w:pPr>
            <w:r w:rsidRPr="00286216">
              <w:rPr>
                <w:color w:val="000000" w:themeColor="text1"/>
                <w:szCs w:val="18"/>
              </w:rPr>
              <w:t xml:space="preserve">У статті 3 нової редакції Закону: </w:t>
            </w:r>
          </w:p>
          <w:p w14:paraId="73382D53" w14:textId="77777777" w:rsidR="004B55AD" w:rsidRPr="00286216" w:rsidRDefault="004B55AD" w:rsidP="004B55AD">
            <w:pPr>
              <w:pStyle w:val="StyleProp"/>
              <w:rPr>
                <w:color w:val="000000" w:themeColor="text1"/>
                <w:szCs w:val="18"/>
              </w:rPr>
            </w:pPr>
            <w:r w:rsidRPr="00286216">
              <w:rPr>
                <w:color w:val="000000" w:themeColor="text1"/>
                <w:szCs w:val="18"/>
              </w:rPr>
              <w:t>у частині першій та другій слова «(похідних)» виключити.</w:t>
            </w:r>
          </w:p>
        </w:tc>
        <w:tc>
          <w:tcPr>
            <w:tcW w:w="1987" w:type="dxa"/>
          </w:tcPr>
          <w:p w14:paraId="4D2FC66F" w14:textId="77777777" w:rsidR="004B55AD" w:rsidRPr="00286216" w:rsidRDefault="004B55AD" w:rsidP="004B55AD">
            <w:pPr>
              <w:pStyle w:val="StyleWisnow"/>
              <w:rPr>
                <w:color w:val="000000" w:themeColor="text1"/>
              </w:rPr>
            </w:pPr>
            <w:r w:rsidRPr="00286216">
              <w:rPr>
                <w:color w:val="000000" w:themeColor="text1"/>
              </w:rPr>
              <w:t>Враховано</w:t>
            </w:r>
          </w:p>
          <w:p w14:paraId="3CDC5EC6" w14:textId="77777777" w:rsidR="004B55AD" w:rsidRPr="00286216" w:rsidRDefault="004B55AD" w:rsidP="004B55AD">
            <w:pPr>
              <w:pStyle w:val="StyleWisnow"/>
              <w:rPr>
                <w:color w:val="000000" w:themeColor="text1"/>
              </w:rPr>
            </w:pPr>
          </w:p>
          <w:p w14:paraId="6D2CB296" w14:textId="77777777" w:rsidR="004B55AD" w:rsidRPr="00286216" w:rsidRDefault="004B55AD" w:rsidP="004B55AD">
            <w:pPr>
              <w:pStyle w:val="StyleWisnow"/>
              <w:rPr>
                <w:color w:val="000000" w:themeColor="text1"/>
              </w:rPr>
            </w:pPr>
          </w:p>
          <w:p w14:paraId="3CBA7FAD"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59C0E0C5" w14:textId="44A1D01D" w:rsidR="004B55AD" w:rsidRPr="00286216" w:rsidRDefault="004B55AD" w:rsidP="004B55AD">
            <w:pPr>
              <w:pStyle w:val="StyleZakonu"/>
              <w:rPr>
                <w:color w:val="000000" w:themeColor="text1"/>
              </w:rPr>
            </w:pPr>
            <w:r w:rsidRPr="00286216">
              <w:rPr>
                <w:color w:val="000000" w:themeColor="text1"/>
              </w:rPr>
              <w:t>1. Ринки капіталу – це фондовий ринок, ринок деривативних фінансових інструментів та грошовий ринок.</w:t>
            </w:r>
          </w:p>
        </w:tc>
      </w:tr>
      <w:tr w:rsidR="00F77E8D" w:rsidRPr="00286216" w14:paraId="2C23FBDE" w14:textId="77777777" w:rsidTr="00091AA5">
        <w:tc>
          <w:tcPr>
            <w:tcW w:w="576" w:type="dxa"/>
          </w:tcPr>
          <w:p w14:paraId="4267BF13" w14:textId="77777777" w:rsidR="004B55AD" w:rsidRPr="00286216" w:rsidRDefault="004B55AD" w:rsidP="004B55AD">
            <w:pPr>
              <w:pStyle w:val="StyleWisnow"/>
              <w:rPr>
                <w:color w:val="000000" w:themeColor="text1"/>
              </w:rPr>
            </w:pPr>
          </w:p>
        </w:tc>
        <w:tc>
          <w:tcPr>
            <w:tcW w:w="4818" w:type="dxa"/>
          </w:tcPr>
          <w:p w14:paraId="211A03E9" w14:textId="77777777" w:rsidR="004B55AD" w:rsidRPr="00286216" w:rsidRDefault="004B55AD" w:rsidP="004B55AD">
            <w:pPr>
              <w:pStyle w:val="StyleZakonu"/>
              <w:rPr>
                <w:color w:val="000000" w:themeColor="text1"/>
              </w:rPr>
            </w:pPr>
          </w:p>
        </w:tc>
        <w:tc>
          <w:tcPr>
            <w:tcW w:w="3686" w:type="dxa"/>
          </w:tcPr>
          <w:p w14:paraId="7E14CA79" w14:textId="1B8770BC" w:rsidR="004B55AD" w:rsidRPr="00286216" w:rsidRDefault="004B55AD" w:rsidP="004B55AD">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158</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7EA87312" w14:textId="77777777" w:rsidR="004B55AD" w:rsidRPr="00286216" w:rsidRDefault="004B55AD" w:rsidP="004B55AD">
            <w:pPr>
              <w:pStyle w:val="StyleProp"/>
              <w:rPr>
                <w:color w:val="000000" w:themeColor="text1"/>
              </w:rPr>
            </w:pPr>
            <w:r w:rsidRPr="00286216">
              <w:rPr>
                <w:color w:val="000000" w:themeColor="text1"/>
              </w:rPr>
              <w:t>У статті 3 а) абзац перший пункту 1 викласти в такій редакції:</w:t>
            </w:r>
          </w:p>
          <w:p w14:paraId="1F538821" w14:textId="135C2E15" w:rsidR="004B55AD" w:rsidRPr="00286216" w:rsidRDefault="004B55AD" w:rsidP="004B55AD">
            <w:pPr>
              <w:pStyle w:val="StyleProp"/>
              <w:rPr>
                <w:color w:val="000000" w:themeColor="text1"/>
              </w:rPr>
            </w:pPr>
            <w:r w:rsidRPr="00286216">
              <w:rPr>
                <w:color w:val="000000" w:themeColor="text1"/>
              </w:rPr>
              <w:t>«1. «</w:t>
            </w:r>
            <w:hyperlink r:id="rId10" w:anchor="w12" w:history="1">
              <w:r w:rsidRPr="00286216">
                <w:rPr>
                  <w:color w:val="000000" w:themeColor="text1"/>
                </w:rPr>
                <w:t>Ринки</w:t>
              </w:r>
            </w:hyperlink>
            <w:r w:rsidRPr="00286216">
              <w:rPr>
                <w:color w:val="000000" w:themeColor="text1"/>
              </w:rPr>
              <w:t xml:space="preserve"> </w:t>
            </w:r>
            <w:bookmarkStart w:id="126" w:name="w25"/>
            <w:r w:rsidRPr="00286216">
              <w:rPr>
                <w:color w:val="000000" w:themeColor="text1"/>
              </w:rPr>
              <w:fldChar w:fldCharType="begin"/>
            </w:r>
            <w:r w:rsidRPr="00286216">
              <w:rPr>
                <w:color w:val="000000" w:themeColor="text1"/>
              </w:rPr>
              <w:instrText xml:space="preserve"> HYPERLINK "https://zakon.rada.gov.ua/laws/show/976-2007-%D1%80/ed20080404/find?text=%D0%E8%ED%EA%E8+%EA%E0%EF%B3%F2%E0%EB%F3" \l "w26" </w:instrText>
            </w:r>
            <w:r w:rsidRPr="00286216">
              <w:rPr>
                <w:color w:val="000000" w:themeColor="text1"/>
              </w:rPr>
              <w:fldChar w:fldCharType="separate"/>
            </w:r>
            <w:r w:rsidRPr="00286216">
              <w:rPr>
                <w:color w:val="000000" w:themeColor="text1"/>
              </w:rPr>
              <w:t>капіталу</w:t>
            </w:r>
            <w:r w:rsidRPr="00286216">
              <w:rPr>
                <w:color w:val="000000" w:themeColor="text1"/>
              </w:rPr>
              <w:fldChar w:fldCharType="end"/>
            </w:r>
            <w:bookmarkEnd w:id="126"/>
            <w:r w:rsidRPr="00286216">
              <w:rPr>
                <w:color w:val="000000" w:themeColor="text1"/>
              </w:rPr>
              <w:t xml:space="preserve"> – це група  взаємопов'язаних ринків, на яких </w:t>
            </w:r>
            <w:r w:rsidRPr="00286216">
              <w:rPr>
                <w:color w:val="000000" w:themeColor="text1"/>
              </w:rPr>
              <w:br/>
            </w:r>
            <w:r w:rsidRPr="00286216">
              <w:rPr>
                <w:color w:val="000000" w:themeColor="text1"/>
                <w:spacing w:val="-4"/>
              </w:rPr>
              <w:t>формується попит, здійснюється  пропонування</w:t>
            </w:r>
            <w:r w:rsidRPr="00286216">
              <w:rPr>
                <w:color w:val="000000" w:themeColor="text1"/>
              </w:rPr>
              <w:t xml:space="preserve"> та пропозиція ціни на фінансові інструменти, а також  здійснюється перерозподіл вільних коштів інвесторів на користь тих суб'єктів, що мають в них потребу.</w:t>
            </w:r>
          </w:p>
          <w:p w14:paraId="629A26F0" w14:textId="77777777" w:rsidR="004B55AD" w:rsidRPr="00286216" w:rsidRDefault="004B55AD" w:rsidP="004B55AD">
            <w:pPr>
              <w:pStyle w:val="StyleProp"/>
              <w:rPr>
                <w:color w:val="000000" w:themeColor="text1"/>
                <w:szCs w:val="18"/>
              </w:rPr>
            </w:pPr>
            <w:r w:rsidRPr="00286216">
              <w:rPr>
                <w:color w:val="000000" w:themeColor="text1"/>
              </w:rPr>
              <w:t>До ринків капіталу відносяться - фондовий ринок, ринок деривативних (похідних) фінансових інструментів та грошовий ринок.»</w:t>
            </w:r>
          </w:p>
        </w:tc>
        <w:tc>
          <w:tcPr>
            <w:tcW w:w="1987" w:type="dxa"/>
          </w:tcPr>
          <w:p w14:paraId="4ED4B3EE" w14:textId="77777777" w:rsidR="004B55AD" w:rsidRPr="00286216" w:rsidRDefault="004B55AD" w:rsidP="004B55AD">
            <w:pPr>
              <w:pStyle w:val="StyleWisnow"/>
              <w:rPr>
                <w:color w:val="000000" w:themeColor="text1"/>
              </w:rPr>
            </w:pPr>
            <w:r w:rsidRPr="00286216">
              <w:rPr>
                <w:color w:val="000000" w:themeColor="text1"/>
              </w:rPr>
              <w:t>Враховано частково</w:t>
            </w:r>
          </w:p>
        </w:tc>
        <w:tc>
          <w:tcPr>
            <w:tcW w:w="4818" w:type="dxa"/>
          </w:tcPr>
          <w:p w14:paraId="51079D22" w14:textId="77777777" w:rsidR="004B55AD" w:rsidRPr="00286216" w:rsidRDefault="004B55AD" w:rsidP="004B55AD">
            <w:pPr>
              <w:pStyle w:val="StyleZakonu"/>
              <w:rPr>
                <w:color w:val="000000" w:themeColor="text1"/>
              </w:rPr>
            </w:pPr>
          </w:p>
        </w:tc>
      </w:tr>
      <w:tr w:rsidR="00F77E8D" w:rsidRPr="00286216" w14:paraId="71C1B07B" w14:textId="77777777" w:rsidTr="00091AA5">
        <w:tc>
          <w:tcPr>
            <w:tcW w:w="576" w:type="dxa"/>
          </w:tcPr>
          <w:p w14:paraId="7B82374E" w14:textId="77777777" w:rsidR="004B55AD" w:rsidRPr="00286216" w:rsidRDefault="004B55AD" w:rsidP="004B55AD">
            <w:pPr>
              <w:pStyle w:val="StyleWisnow"/>
              <w:rPr>
                <w:color w:val="000000" w:themeColor="text1"/>
              </w:rPr>
            </w:pPr>
            <w:bookmarkStart w:id="127" w:name="n122" w:colFirst="0" w:colLast="0"/>
            <w:bookmarkEnd w:id="125"/>
            <w:r w:rsidRPr="00286216">
              <w:rPr>
                <w:color w:val="000000" w:themeColor="text1"/>
              </w:rPr>
              <w:t>122.</w:t>
            </w:r>
          </w:p>
        </w:tc>
        <w:tc>
          <w:tcPr>
            <w:tcW w:w="4818" w:type="dxa"/>
          </w:tcPr>
          <w:p w14:paraId="4D90AC5D" w14:textId="77777777" w:rsidR="004B55AD" w:rsidRPr="00286216" w:rsidRDefault="004B55AD" w:rsidP="004B55AD">
            <w:pPr>
              <w:pStyle w:val="StyleZakonu"/>
              <w:rPr>
                <w:color w:val="000000" w:themeColor="text1"/>
              </w:rPr>
            </w:pPr>
            <w:r w:rsidRPr="00286216">
              <w:rPr>
                <w:color w:val="000000" w:themeColor="text1"/>
              </w:rPr>
              <w:t>Фондовий ринок (ринок цінних паперів) -сукупність учасників фондового ринку та правовідносин між ними щодо емісії (видачі), обігу, викупу та обліку цінних паперів.</w:t>
            </w:r>
          </w:p>
        </w:tc>
        <w:tc>
          <w:tcPr>
            <w:tcW w:w="3686" w:type="dxa"/>
          </w:tcPr>
          <w:p w14:paraId="42313D88" w14:textId="3466B923" w:rsidR="004B55AD" w:rsidRPr="00286216" w:rsidRDefault="004B55AD" w:rsidP="004B55AD">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159</w:t>
            </w:r>
            <w:r w:rsidRPr="00286216">
              <w:rPr>
                <w:color w:val="000000" w:themeColor="text1"/>
                <w:spacing w:val="-4"/>
              </w:rPr>
              <w:fldChar w:fldCharType="end"/>
            </w:r>
            <w:r w:rsidRPr="00286216">
              <w:rPr>
                <w:color w:val="000000" w:themeColor="text1"/>
                <w:spacing w:val="-4"/>
              </w:rPr>
              <w:t>-Н.д.Бєлькова О.В. (Реєстр.картка №403)</w:t>
            </w:r>
          </w:p>
          <w:p w14:paraId="76126AC3" w14:textId="2D7D2BA8" w:rsidR="004B55AD" w:rsidRPr="00286216" w:rsidRDefault="004B55AD" w:rsidP="004B55AD">
            <w:pPr>
              <w:pStyle w:val="StyleProp"/>
              <w:spacing w:line="190" w:lineRule="exact"/>
              <w:rPr>
                <w:color w:val="000000" w:themeColor="text1"/>
                <w:spacing w:val="-2"/>
              </w:rPr>
            </w:pPr>
            <w:r w:rsidRPr="00286216">
              <w:rPr>
                <w:color w:val="000000" w:themeColor="text1"/>
                <w:spacing w:val="-2"/>
                <w:szCs w:val="18"/>
              </w:rPr>
              <w:t>В абзаці 2 частини 1 статті 3 слово "обігу" замінити словами "обігу, виконання зобов’язань" та доповнити словами "(у тому числі деривативних цінних паперів)".</w:t>
            </w:r>
          </w:p>
          <w:p w14:paraId="3B96AB4F" w14:textId="22F40D16"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E36C1E7" w14:textId="77777777" w:rsidR="004B55AD" w:rsidRPr="00286216" w:rsidRDefault="004B55AD" w:rsidP="004B55AD">
            <w:pPr>
              <w:pStyle w:val="StyleProp"/>
              <w:rPr>
                <w:color w:val="000000" w:themeColor="text1"/>
                <w:szCs w:val="18"/>
              </w:rPr>
            </w:pPr>
            <w:r w:rsidRPr="00286216">
              <w:rPr>
                <w:color w:val="000000" w:themeColor="text1"/>
                <w:szCs w:val="18"/>
              </w:rPr>
              <w:t>Абзац 2 частини 1 статті 3 після слова «обігу» доповнити словом «погашення».</w:t>
            </w:r>
          </w:p>
        </w:tc>
        <w:tc>
          <w:tcPr>
            <w:tcW w:w="1987" w:type="dxa"/>
          </w:tcPr>
          <w:p w14:paraId="35B98A58" w14:textId="77777777" w:rsidR="004B55AD" w:rsidRPr="00286216" w:rsidRDefault="004B55AD" w:rsidP="006276D5">
            <w:pPr>
              <w:pStyle w:val="StyleWisnow"/>
              <w:spacing w:line="200" w:lineRule="exact"/>
              <w:rPr>
                <w:color w:val="000000" w:themeColor="text1"/>
              </w:rPr>
            </w:pPr>
            <w:r w:rsidRPr="00286216">
              <w:rPr>
                <w:color w:val="000000" w:themeColor="text1"/>
              </w:rPr>
              <w:t>Враховано</w:t>
            </w:r>
          </w:p>
          <w:p w14:paraId="29FD1A20" w14:textId="77777777" w:rsidR="004B55AD" w:rsidRPr="00286216" w:rsidRDefault="004B55AD" w:rsidP="006276D5">
            <w:pPr>
              <w:pStyle w:val="StyleWisnow"/>
              <w:spacing w:line="200" w:lineRule="exact"/>
              <w:rPr>
                <w:color w:val="000000" w:themeColor="text1"/>
              </w:rPr>
            </w:pPr>
          </w:p>
          <w:p w14:paraId="780471E6" w14:textId="77777777" w:rsidR="006276D5" w:rsidRPr="00286216" w:rsidRDefault="006276D5" w:rsidP="006276D5">
            <w:pPr>
              <w:pStyle w:val="StyleWisnow"/>
              <w:spacing w:line="200" w:lineRule="exact"/>
              <w:rPr>
                <w:color w:val="000000" w:themeColor="text1"/>
              </w:rPr>
            </w:pPr>
          </w:p>
          <w:p w14:paraId="5D926BA8" w14:textId="77777777" w:rsidR="006276D5" w:rsidRPr="00286216" w:rsidRDefault="006276D5" w:rsidP="006276D5">
            <w:pPr>
              <w:pStyle w:val="StyleWisnow"/>
              <w:spacing w:line="200" w:lineRule="exact"/>
              <w:rPr>
                <w:color w:val="000000" w:themeColor="text1"/>
              </w:rPr>
            </w:pPr>
          </w:p>
          <w:p w14:paraId="6DE01464" w14:textId="77777777" w:rsidR="004B55AD" w:rsidRPr="00286216" w:rsidRDefault="004B55AD" w:rsidP="004B55AD">
            <w:pPr>
              <w:pStyle w:val="StyleWisnow"/>
              <w:rPr>
                <w:color w:val="000000" w:themeColor="text1"/>
              </w:rPr>
            </w:pPr>
          </w:p>
          <w:p w14:paraId="487B2734" w14:textId="77777777" w:rsidR="004B55AD" w:rsidRPr="00286216" w:rsidRDefault="004B55AD" w:rsidP="004B55AD">
            <w:pPr>
              <w:pStyle w:val="StyleWisnow"/>
              <w:rPr>
                <w:color w:val="000000" w:themeColor="text1"/>
              </w:rPr>
            </w:pPr>
            <w:r w:rsidRPr="00286216">
              <w:rPr>
                <w:color w:val="000000" w:themeColor="text1"/>
              </w:rPr>
              <w:t>Враховано по суті</w:t>
            </w:r>
          </w:p>
        </w:tc>
        <w:tc>
          <w:tcPr>
            <w:tcW w:w="4818" w:type="dxa"/>
          </w:tcPr>
          <w:p w14:paraId="379BDEDE" w14:textId="22C56DED" w:rsidR="004B55AD" w:rsidRPr="00286216" w:rsidRDefault="004B55AD" w:rsidP="00B80E72">
            <w:pPr>
              <w:pStyle w:val="StyleZakonu"/>
              <w:rPr>
                <w:color w:val="000000" w:themeColor="text1"/>
              </w:rPr>
            </w:pPr>
            <w:r w:rsidRPr="00286216">
              <w:rPr>
                <w:color w:val="000000" w:themeColor="text1"/>
              </w:rPr>
              <w:t xml:space="preserve">Фондовий ринок (ринок цінних паперів) – це сукупність учасників фондового ринку та правовідносин між ними щодо емісії (видачі), обігу,  </w:t>
            </w:r>
            <w:r w:rsidRPr="00286216">
              <w:rPr>
                <w:color w:val="000000" w:themeColor="text1"/>
                <w:szCs w:val="18"/>
              </w:rPr>
              <w:t xml:space="preserve">виконання зобов’язань, </w:t>
            </w:r>
            <w:r w:rsidRPr="00286216">
              <w:rPr>
                <w:color w:val="000000" w:themeColor="text1"/>
              </w:rPr>
              <w:t>викупу та обліку цінних паперів (у тому числі деривативних цінних паперів).</w:t>
            </w:r>
          </w:p>
        </w:tc>
      </w:tr>
      <w:tr w:rsidR="00F77E8D" w:rsidRPr="00286216" w14:paraId="4213D2C8" w14:textId="77777777" w:rsidTr="00091AA5">
        <w:tc>
          <w:tcPr>
            <w:tcW w:w="576" w:type="dxa"/>
          </w:tcPr>
          <w:p w14:paraId="2E9C439D" w14:textId="77777777" w:rsidR="004B55AD" w:rsidRPr="00286216" w:rsidRDefault="004B55AD" w:rsidP="004B55AD">
            <w:pPr>
              <w:pStyle w:val="StyleWisnow"/>
              <w:rPr>
                <w:color w:val="000000" w:themeColor="text1"/>
              </w:rPr>
            </w:pPr>
            <w:bookmarkStart w:id="128" w:name="n123" w:colFirst="0" w:colLast="0"/>
            <w:bookmarkEnd w:id="127"/>
            <w:r w:rsidRPr="00286216">
              <w:rPr>
                <w:color w:val="000000" w:themeColor="text1"/>
              </w:rPr>
              <w:t>123.</w:t>
            </w:r>
          </w:p>
        </w:tc>
        <w:tc>
          <w:tcPr>
            <w:tcW w:w="4818" w:type="dxa"/>
          </w:tcPr>
          <w:p w14:paraId="3BDAAB49" w14:textId="77777777" w:rsidR="004B55AD" w:rsidRPr="00286216" w:rsidRDefault="004B55AD" w:rsidP="004B55AD">
            <w:pPr>
              <w:pStyle w:val="StyleZakonu"/>
              <w:rPr>
                <w:color w:val="000000" w:themeColor="text1"/>
              </w:rPr>
            </w:pPr>
            <w:r w:rsidRPr="00286216">
              <w:rPr>
                <w:color w:val="000000" w:themeColor="text1"/>
              </w:rPr>
              <w:t xml:space="preserve">Ринок деривативних (похідних) фінансових інструментів - сукупність учасників ринку деривативних (похідних) фінансових інструментів та правовідносин між ними, що виникають під час укладання та виконання деривативних (похідних) </w:t>
            </w:r>
            <w:r w:rsidRPr="00286216">
              <w:rPr>
                <w:color w:val="000000" w:themeColor="text1"/>
              </w:rPr>
              <w:lastRenderedPageBreak/>
              <w:t>фінансових інструментів, а також правочинів щодо них.</w:t>
            </w:r>
          </w:p>
        </w:tc>
        <w:tc>
          <w:tcPr>
            <w:tcW w:w="3686" w:type="dxa"/>
          </w:tcPr>
          <w:p w14:paraId="4EE9F3C6" w14:textId="25F9377C" w:rsidR="004B55AD" w:rsidRPr="00286216" w:rsidRDefault="004B55AD" w:rsidP="004B55AD">
            <w:pPr>
              <w:pStyle w:val="StyleAwt"/>
              <w:rPr>
                <w:color w:val="000000" w:themeColor="text1"/>
                <w:spacing w:val="-4"/>
              </w:rPr>
            </w:pPr>
            <w:r w:rsidRPr="00286216">
              <w:rPr>
                <w:color w:val="000000" w:themeColor="text1"/>
                <w:spacing w:val="-4"/>
              </w:rPr>
              <w:lastRenderedPageBreak/>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161</w:t>
            </w:r>
            <w:r w:rsidRPr="00286216">
              <w:rPr>
                <w:color w:val="000000" w:themeColor="text1"/>
                <w:spacing w:val="-4"/>
              </w:rPr>
              <w:fldChar w:fldCharType="end"/>
            </w:r>
            <w:r w:rsidRPr="00286216">
              <w:rPr>
                <w:color w:val="000000" w:themeColor="text1"/>
                <w:spacing w:val="-4"/>
              </w:rPr>
              <w:t>-Н.д.Бєлькова О.В. (Реєстр.картка №403)</w:t>
            </w:r>
          </w:p>
          <w:p w14:paraId="0039CE1F" w14:textId="77777777" w:rsidR="004B55AD" w:rsidRPr="00286216" w:rsidRDefault="004B55AD" w:rsidP="004B55AD">
            <w:pPr>
              <w:pStyle w:val="StyleProp"/>
              <w:rPr>
                <w:color w:val="000000" w:themeColor="text1"/>
                <w:spacing w:val="-2"/>
              </w:rPr>
            </w:pPr>
            <w:r w:rsidRPr="00286216">
              <w:rPr>
                <w:color w:val="000000" w:themeColor="text1"/>
                <w:spacing w:val="-2"/>
                <w:szCs w:val="18"/>
              </w:rPr>
              <w:t>Абзац 3 частини 1 статті 3 викласти у такій редакції:</w:t>
            </w:r>
          </w:p>
          <w:p w14:paraId="44A530E9" w14:textId="77777777" w:rsidR="004B55AD" w:rsidRPr="00286216" w:rsidRDefault="004B55AD" w:rsidP="004B55AD">
            <w:pPr>
              <w:pStyle w:val="StyleProp"/>
              <w:rPr>
                <w:color w:val="000000" w:themeColor="text1"/>
                <w:spacing w:val="-1"/>
              </w:rPr>
            </w:pPr>
            <w:r w:rsidRPr="00286216">
              <w:rPr>
                <w:color w:val="000000" w:themeColor="text1"/>
                <w:spacing w:val="-1"/>
              </w:rPr>
              <w:t xml:space="preserve">"Ринок деривативних фінансових інструментів – сукупність учасників ринку </w:t>
            </w:r>
            <w:r w:rsidRPr="00286216">
              <w:rPr>
                <w:color w:val="000000" w:themeColor="text1"/>
                <w:spacing w:val="-1"/>
              </w:rPr>
              <w:lastRenderedPageBreak/>
              <w:t xml:space="preserve">деривативних фінансових інструментів та правовідносин між ними, що виникають під час емісії деривативних цінних паперів, </w:t>
            </w:r>
            <w:r w:rsidRPr="00286216">
              <w:rPr>
                <w:color w:val="000000" w:themeColor="text1"/>
                <w:spacing w:val="-2"/>
              </w:rPr>
              <w:t>укладення деривативних контрактів, вчинення та виконання правочинів щодо деривативних</w:t>
            </w:r>
            <w:r w:rsidRPr="00286216">
              <w:rPr>
                <w:color w:val="000000" w:themeColor="text1"/>
                <w:spacing w:val="-1"/>
              </w:rPr>
              <w:t xml:space="preserve"> цінних паперів та укладення та виконання договорів про заміну сторони деривативних контрактів, або виконання зобов’язань за деривативними фінансовими інструментами".</w:t>
            </w:r>
          </w:p>
          <w:p w14:paraId="10523696" w14:textId="76FB7DB8"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D04D57C"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Абзац третій частини першої статті 3 викласти в такій редакції:</w:t>
            </w:r>
          </w:p>
          <w:p w14:paraId="7D7ECA56"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«Ринок деривативних фінансових інструментів – сукупність учасників ринку деривативних фінансових інструментів та правовідносин між ними, що виникають під час емісії (укладання), обігу, викупу, погашення (виконання) деривативних фінансових інструментів, а також правочинів щодо них».</w:t>
            </w:r>
          </w:p>
          <w:p w14:paraId="042552B6" w14:textId="5925610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41A7407" w14:textId="1CB409F0" w:rsidR="004B55AD" w:rsidRPr="00286216" w:rsidRDefault="004B55AD" w:rsidP="004B55AD">
            <w:pPr>
              <w:pStyle w:val="StyleProp"/>
              <w:rPr>
                <w:color w:val="000000" w:themeColor="text1"/>
                <w:szCs w:val="18"/>
              </w:rPr>
            </w:pPr>
            <w:r w:rsidRPr="00286216">
              <w:rPr>
                <w:color w:val="000000" w:themeColor="text1"/>
                <w:szCs w:val="18"/>
              </w:rPr>
              <w:t>У статті 3 у частині першій та другій слова «(похідних)» виключити.</w:t>
            </w:r>
          </w:p>
        </w:tc>
        <w:tc>
          <w:tcPr>
            <w:tcW w:w="1987" w:type="dxa"/>
          </w:tcPr>
          <w:p w14:paraId="65E21AB7"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p w14:paraId="2E27C715" w14:textId="77777777" w:rsidR="004B55AD" w:rsidRPr="00286216" w:rsidRDefault="004B55AD" w:rsidP="004B55AD">
            <w:pPr>
              <w:pStyle w:val="StyleWisnow"/>
              <w:rPr>
                <w:color w:val="000000" w:themeColor="text1"/>
              </w:rPr>
            </w:pPr>
          </w:p>
          <w:p w14:paraId="470D39FC" w14:textId="77777777" w:rsidR="004B55AD" w:rsidRPr="00286216" w:rsidRDefault="004B55AD" w:rsidP="004B55AD">
            <w:pPr>
              <w:pStyle w:val="StyleWisnow"/>
              <w:rPr>
                <w:color w:val="000000" w:themeColor="text1"/>
              </w:rPr>
            </w:pPr>
          </w:p>
          <w:p w14:paraId="61764BB7" w14:textId="77777777" w:rsidR="004B55AD" w:rsidRPr="00286216" w:rsidRDefault="004B55AD" w:rsidP="004B55AD">
            <w:pPr>
              <w:pStyle w:val="StyleWisnow"/>
              <w:rPr>
                <w:color w:val="000000" w:themeColor="text1"/>
              </w:rPr>
            </w:pPr>
          </w:p>
          <w:p w14:paraId="12439D26" w14:textId="77777777" w:rsidR="004B55AD" w:rsidRPr="00286216" w:rsidRDefault="004B55AD" w:rsidP="004B55AD">
            <w:pPr>
              <w:pStyle w:val="StyleWisnow"/>
              <w:rPr>
                <w:color w:val="000000" w:themeColor="text1"/>
              </w:rPr>
            </w:pPr>
          </w:p>
          <w:p w14:paraId="46F08356" w14:textId="77777777" w:rsidR="004B55AD" w:rsidRPr="00286216" w:rsidRDefault="004B55AD" w:rsidP="004B55AD">
            <w:pPr>
              <w:pStyle w:val="StyleWisnow"/>
              <w:rPr>
                <w:color w:val="000000" w:themeColor="text1"/>
              </w:rPr>
            </w:pPr>
          </w:p>
          <w:p w14:paraId="13EB4D7E" w14:textId="77777777" w:rsidR="004B55AD" w:rsidRPr="00286216" w:rsidRDefault="004B55AD" w:rsidP="004B55AD">
            <w:pPr>
              <w:pStyle w:val="StyleWisnow"/>
              <w:rPr>
                <w:color w:val="000000" w:themeColor="text1"/>
              </w:rPr>
            </w:pPr>
          </w:p>
          <w:p w14:paraId="450886AE" w14:textId="77777777" w:rsidR="004B55AD" w:rsidRPr="00286216" w:rsidRDefault="004B55AD" w:rsidP="004B55AD">
            <w:pPr>
              <w:pStyle w:val="StyleWisnow"/>
              <w:rPr>
                <w:color w:val="000000" w:themeColor="text1"/>
              </w:rPr>
            </w:pPr>
          </w:p>
          <w:p w14:paraId="7323ABFB" w14:textId="77777777" w:rsidR="004B55AD" w:rsidRPr="00286216" w:rsidRDefault="004B55AD" w:rsidP="004B55AD">
            <w:pPr>
              <w:pStyle w:val="StyleWisnow"/>
              <w:rPr>
                <w:color w:val="000000" w:themeColor="text1"/>
              </w:rPr>
            </w:pPr>
          </w:p>
          <w:p w14:paraId="3A89B62B" w14:textId="77777777" w:rsidR="004B55AD" w:rsidRPr="00286216" w:rsidRDefault="004B55AD" w:rsidP="004B55AD">
            <w:pPr>
              <w:pStyle w:val="StyleWisnow"/>
              <w:rPr>
                <w:color w:val="000000" w:themeColor="text1"/>
              </w:rPr>
            </w:pPr>
          </w:p>
          <w:p w14:paraId="501E5E5F" w14:textId="77777777" w:rsidR="004B55AD" w:rsidRPr="00286216" w:rsidRDefault="004B55AD" w:rsidP="004B55AD">
            <w:pPr>
              <w:pStyle w:val="StyleWisnow"/>
              <w:rPr>
                <w:color w:val="000000" w:themeColor="text1"/>
              </w:rPr>
            </w:pPr>
          </w:p>
          <w:p w14:paraId="381738AE" w14:textId="77777777" w:rsidR="004B55AD" w:rsidRPr="00286216" w:rsidRDefault="004B55AD" w:rsidP="004B55AD">
            <w:pPr>
              <w:pStyle w:val="StyleWisnow"/>
              <w:rPr>
                <w:color w:val="000000" w:themeColor="text1"/>
              </w:rPr>
            </w:pPr>
          </w:p>
          <w:p w14:paraId="6DE640B4" w14:textId="77777777" w:rsidR="004B55AD" w:rsidRPr="00286216" w:rsidRDefault="004B55AD" w:rsidP="004B55AD">
            <w:pPr>
              <w:pStyle w:val="StyleWisnow"/>
              <w:rPr>
                <w:color w:val="000000" w:themeColor="text1"/>
              </w:rPr>
            </w:pPr>
          </w:p>
          <w:p w14:paraId="354D1CE5" w14:textId="77777777" w:rsidR="004B55AD" w:rsidRPr="00286216" w:rsidRDefault="004B55AD" w:rsidP="004B55AD">
            <w:pPr>
              <w:pStyle w:val="StyleWisnow"/>
              <w:rPr>
                <w:color w:val="000000" w:themeColor="text1"/>
              </w:rPr>
            </w:pPr>
            <w:r w:rsidRPr="00286216">
              <w:rPr>
                <w:color w:val="000000" w:themeColor="text1"/>
              </w:rPr>
              <w:t>Враховано редакційно</w:t>
            </w:r>
          </w:p>
          <w:p w14:paraId="6A5A5F6C" w14:textId="77777777" w:rsidR="004B55AD" w:rsidRPr="00286216" w:rsidRDefault="004B55AD" w:rsidP="004B55AD">
            <w:pPr>
              <w:pStyle w:val="StyleWisnow"/>
              <w:rPr>
                <w:color w:val="000000" w:themeColor="text1"/>
              </w:rPr>
            </w:pPr>
          </w:p>
          <w:p w14:paraId="280B9118" w14:textId="77777777" w:rsidR="004B55AD" w:rsidRPr="00286216" w:rsidRDefault="004B55AD" w:rsidP="004B55AD">
            <w:pPr>
              <w:pStyle w:val="StyleWisnow"/>
              <w:rPr>
                <w:color w:val="000000" w:themeColor="text1"/>
              </w:rPr>
            </w:pPr>
          </w:p>
          <w:p w14:paraId="5ECA1DE8" w14:textId="77777777" w:rsidR="004B55AD" w:rsidRPr="00286216" w:rsidRDefault="004B55AD" w:rsidP="004B55AD">
            <w:pPr>
              <w:pStyle w:val="StyleWisnow"/>
              <w:rPr>
                <w:color w:val="000000" w:themeColor="text1"/>
              </w:rPr>
            </w:pPr>
          </w:p>
          <w:p w14:paraId="0AEA4578" w14:textId="77777777" w:rsidR="004B55AD" w:rsidRPr="00286216" w:rsidRDefault="004B55AD" w:rsidP="004B55AD">
            <w:pPr>
              <w:pStyle w:val="StyleWisnow"/>
              <w:rPr>
                <w:color w:val="000000" w:themeColor="text1"/>
              </w:rPr>
            </w:pPr>
          </w:p>
          <w:p w14:paraId="5877CD8E" w14:textId="77777777" w:rsidR="004B55AD" w:rsidRPr="00286216" w:rsidRDefault="004B55AD" w:rsidP="004B55AD">
            <w:pPr>
              <w:pStyle w:val="StyleWisnow"/>
              <w:rPr>
                <w:color w:val="000000" w:themeColor="text1"/>
              </w:rPr>
            </w:pPr>
          </w:p>
          <w:p w14:paraId="0715ACF0" w14:textId="77777777" w:rsidR="004B55AD" w:rsidRPr="00286216" w:rsidRDefault="004B55AD" w:rsidP="004B55AD">
            <w:pPr>
              <w:pStyle w:val="StyleWisnow"/>
              <w:rPr>
                <w:color w:val="000000" w:themeColor="text1"/>
              </w:rPr>
            </w:pPr>
          </w:p>
          <w:p w14:paraId="65981953" w14:textId="77777777" w:rsidR="004B55AD" w:rsidRPr="00286216" w:rsidRDefault="004B55AD" w:rsidP="004B55AD">
            <w:pPr>
              <w:pStyle w:val="StyleWisnow"/>
              <w:rPr>
                <w:color w:val="000000" w:themeColor="text1"/>
              </w:rPr>
            </w:pPr>
          </w:p>
          <w:p w14:paraId="17107074" w14:textId="77777777" w:rsidR="004B55AD" w:rsidRPr="00286216" w:rsidRDefault="004B55AD" w:rsidP="004B55AD">
            <w:pPr>
              <w:pStyle w:val="StyleWisnow"/>
              <w:rPr>
                <w:color w:val="000000" w:themeColor="text1"/>
              </w:rPr>
            </w:pPr>
          </w:p>
          <w:p w14:paraId="6CB6C9CF" w14:textId="77777777" w:rsidR="004B55AD" w:rsidRPr="00286216" w:rsidRDefault="004B55AD" w:rsidP="004B55AD">
            <w:pPr>
              <w:pStyle w:val="StyleWisnow"/>
              <w:rPr>
                <w:color w:val="000000" w:themeColor="text1"/>
              </w:rPr>
            </w:pPr>
          </w:p>
          <w:p w14:paraId="3B6908D4" w14:textId="77777777" w:rsidR="004B55AD" w:rsidRPr="00286216" w:rsidRDefault="004B55AD" w:rsidP="004B55AD">
            <w:pPr>
              <w:pStyle w:val="StyleWisnow"/>
              <w:rPr>
                <w:color w:val="000000" w:themeColor="text1"/>
              </w:rPr>
            </w:pPr>
            <w:r w:rsidRPr="00286216">
              <w:rPr>
                <w:color w:val="000000" w:themeColor="text1"/>
              </w:rPr>
              <w:t>Враховано редакційно</w:t>
            </w:r>
          </w:p>
        </w:tc>
        <w:tc>
          <w:tcPr>
            <w:tcW w:w="4818" w:type="dxa"/>
          </w:tcPr>
          <w:p w14:paraId="478485F5" w14:textId="05F8E152" w:rsidR="004B55AD" w:rsidRPr="00286216" w:rsidRDefault="004B55AD" w:rsidP="00B80E72">
            <w:pPr>
              <w:pStyle w:val="StyleZakonu"/>
              <w:rPr>
                <w:color w:val="000000" w:themeColor="text1"/>
              </w:rPr>
            </w:pPr>
            <w:r w:rsidRPr="00286216">
              <w:rPr>
                <w:color w:val="000000" w:themeColor="text1"/>
              </w:rPr>
              <w:lastRenderedPageBreak/>
              <w:t xml:space="preserve">Ринок деривативних фінансових інструментів – це сукупність учасників ринку деривативних фінансових інструментів та правовідносин між ними, що виникають під час емісії деривативних цінних паперів, укладення деривативних контрактів, </w:t>
            </w:r>
            <w:r w:rsidRPr="00286216">
              <w:rPr>
                <w:color w:val="000000" w:themeColor="text1"/>
              </w:rPr>
              <w:lastRenderedPageBreak/>
              <w:t>вчинення та виконання правочинів щодо деривативних цінних паперів</w:t>
            </w:r>
            <w:r w:rsidR="00B80E72" w:rsidRPr="00286216">
              <w:rPr>
                <w:color w:val="000000" w:themeColor="text1"/>
              </w:rPr>
              <w:t>,</w:t>
            </w:r>
            <w:r w:rsidRPr="00286216">
              <w:rPr>
                <w:color w:val="000000" w:themeColor="text1"/>
              </w:rPr>
              <w:t xml:space="preserve"> укладення та виконання договорів про заміну сторони деривативних контрактів, виконання зобов’язань за деривативними фінансовими інструментами.</w:t>
            </w:r>
          </w:p>
        </w:tc>
      </w:tr>
      <w:tr w:rsidR="00F77E8D" w:rsidRPr="00286216" w14:paraId="1930B74C" w14:textId="77777777" w:rsidTr="00091AA5">
        <w:tc>
          <w:tcPr>
            <w:tcW w:w="576" w:type="dxa"/>
          </w:tcPr>
          <w:p w14:paraId="0D8A2723" w14:textId="77777777" w:rsidR="004B55AD" w:rsidRPr="00286216" w:rsidRDefault="004B55AD" w:rsidP="004B55AD">
            <w:pPr>
              <w:pStyle w:val="StyleWisnow"/>
              <w:rPr>
                <w:color w:val="000000" w:themeColor="text1"/>
              </w:rPr>
            </w:pPr>
            <w:bookmarkStart w:id="129" w:name="n124" w:colFirst="0" w:colLast="0"/>
            <w:bookmarkEnd w:id="128"/>
            <w:r w:rsidRPr="00286216">
              <w:rPr>
                <w:color w:val="000000" w:themeColor="text1"/>
              </w:rPr>
              <w:lastRenderedPageBreak/>
              <w:t>124.</w:t>
            </w:r>
          </w:p>
        </w:tc>
        <w:tc>
          <w:tcPr>
            <w:tcW w:w="4818" w:type="dxa"/>
          </w:tcPr>
          <w:p w14:paraId="080C3373" w14:textId="77777777" w:rsidR="004B55AD" w:rsidRPr="00286216" w:rsidRDefault="004B55AD" w:rsidP="004B55AD">
            <w:pPr>
              <w:pStyle w:val="StyleZakonu"/>
              <w:rPr>
                <w:color w:val="000000" w:themeColor="text1"/>
              </w:rPr>
            </w:pPr>
            <w:r w:rsidRPr="00286216">
              <w:rPr>
                <w:color w:val="000000" w:themeColor="text1"/>
              </w:rPr>
              <w:t>Грошовий ринок - сукупність учасників грошового ринку та правовідносин між ними, що виникають під час вчинення правочинів щодо інструментів грошового ринку, а також валютних цінностей.</w:t>
            </w:r>
          </w:p>
        </w:tc>
        <w:tc>
          <w:tcPr>
            <w:tcW w:w="3686" w:type="dxa"/>
          </w:tcPr>
          <w:p w14:paraId="571E6C10" w14:textId="77777777" w:rsidR="004B55AD" w:rsidRPr="00286216" w:rsidRDefault="004B55AD" w:rsidP="004B55AD">
            <w:pPr>
              <w:pStyle w:val="StyleProp"/>
              <w:rPr>
                <w:color w:val="000000" w:themeColor="text1"/>
                <w:szCs w:val="18"/>
              </w:rPr>
            </w:pPr>
          </w:p>
        </w:tc>
        <w:tc>
          <w:tcPr>
            <w:tcW w:w="1987" w:type="dxa"/>
          </w:tcPr>
          <w:p w14:paraId="45247EE0" w14:textId="77777777" w:rsidR="004B55AD" w:rsidRPr="00286216" w:rsidRDefault="004B55AD" w:rsidP="004B55AD">
            <w:pPr>
              <w:pStyle w:val="StyleWisnow"/>
              <w:rPr>
                <w:color w:val="000000" w:themeColor="text1"/>
              </w:rPr>
            </w:pPr>
          </w:p>
        </w:tc>
        <w:tc>
          <w:tcPr>
            <w:tcW w:w="4818" w:type="dxa"/>
          </w:tcPr>
          <w:p w14:paraId="242421C8" w14:textId="37E8A8BB" w:rsidR="004B55AD" w:rsidRPr="00286216" w:rsidRDefault="004B55AD" w:rsidP="00B80E72">
            <w:pPr>
              <w:pStyle w:val="StyleZakonu"/>
              <w:rPr>
                <w:color w:val="000000" w:themeColor="text1"/>
              </w:rPr>
            </w:pPr>
            <w:r w:rsidRPr="00286216">
              <w:rPr>
                <w:color w:val="000000" w:themeColor="text1"/>
              </w:rPr>
              <w:t>Грошовий ринок – це сукупність учасників грошового ринку та правовідносин між ними, що виникають під час вчинення правочинів щодо інструментів грошового ринку та валютних цінностей.</w:t>
            </w:r>
          </w:p>
        </w:tc>
      </w:tr>
      <w:tr w:rsidR="00F77E8D" w:rsidRPr="00286216" w14:paraId="025742C6" w14:textId="77777777" w:rsidTr="00091AA5">
        <w:tc>
          <w:tcPr>
            <w:tcW w:w="576" w:type="dxa"/>
          </w:tcPr>
          <w:p w14:paraId="7CF49694" w14:textId="77777777" w:rsidR="004B55AD" w:rsidRPr="00286216" w:rsidRDefault="004B55AD" w:rsidP="004B55AD">
            <w:pPr>
              <w:pStyle w:val="StyleWisnow"/>
              <w:rPr>
                <w:color w:val="000000" w:themeColor="text1"/>
              </w:rPr>
            </w:pPr>
            <w:bookmarkStart w:id="130" w:name="n125" w:colFirst="0" w:colLast="0"/>
            <w:bookmarkEnd w:id="129"/>
            <w:r w:rsidRPr="00286216">
              <w:rPr>
                <w:color w:val="000000" w:themeColor="text1"/>
              </w:rPr>
              <w:t>125.</w:t>
            </w:r>
          </w:p>
        </w:tc>
        <w:tc>
          <w:tcPr>
            <w:tcW w:w="4818" w:type="dxa"/>
          </w:tcPr>
          <w:p w14:paraId="4E419FE7" w14:textId="77777777" w:rsidR="004B55AD" w:rsidRPr="00286216" w:rsidRDefault="004B55AD" w:rsidP="004B55AD">
            <w:pPr>
              <w:pStyle w:val="StyleZakonu"/>
              <w:rPr>
                <w:color w:val="000000" w:themeColor="text1"/>
              </w:rPr>
            </w:pPr>
            <w:r w:rsidRPr="00286216">
              <w:rPr>
                <w:color w:val="000000" w:themeColor="text1"/>
              </w:rPr>
              <w:t>2. Учасники ринків капіталу - учасники фондового ринку, учасники ринку деривативних (похідних) фінансових інструментів та учасники грошового ринку.</w:t>
            </w:r>
          </w:p>
        </w:tc>
        <w:tc>
          <w:tcPr>
            <w:tcW w:w="3686" w:type="dxa"/>
          </w:tcPr>
          <w:p w14:paraId="46A04FBD" w14:textId="1B7DDFEC"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F1FD1F1" w14:textId="51DAB87E"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w:t>
            </w:r>
            <w:r w:rsidR="006276D5" w:rsidRPr="00286216">
              <w:rPr>
                <w:color w:val="000000" w:themeColor="text1"/>
                <w:szCs w:val="18"/>
              </w:rPr>
              <w:t xml:space="preserve"> та відмінках виключити</w:t>
            </w:r>
            <w:r w:rsidRPr="00286216">
              <w:rPr>
                <w:color w:val="000000" w:themeColor="text1"/>
                <w:szCs w:val="18"/>
              </w:rPr>
              <w:t>.</w:t>
            </w:r>
          </w:p>
          <w:p w14:paraId="52C5BA94" w14:textId="03C73EF0"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693AA2B" w14:textId="77777777" w:rsidR="004B55AD" w:rsidRPr="00286216" w:rsidRDefault="004B55AD" w:rsidP="004B55AD">
            <w:pPr>
              <w:pStyle w:val="StyleProp"/>
              <w:rPr>
                <w:color w:val="000000" w:themeColor="text1"/>
                <w:szCs w:val="18"/>
              </w:rPr>
            </w:pPr>
            <w:r w:rsidRPr="00286216">
              <w:rPr>
                <w:color w:val="000000" w:themeColor="text1"/>
                <w:szCs w:val="18"/>
              </w:rPr>
              <w:t>У статті 3 нової редакції Закону у частині другій слова «(похідних)» виключити</w:t>
            </w:r>
          </w:p>
        </w:tc>
        <w:tc>
          <w:tcPr>
            <w:tcW w:w="1987" w:type="dxa"/>
          </w:tcPr>
          <w:p w14:paraId="69F3E466" w14:textId="77777777" w:rsidR="004B55AD" w:rsidRPr="00286216" w:rsidRDefault="004B55AD" w:rsidP="004B55AD">
            <w:pPr>
              <w:pStyle w:val="StyleWisnow"/>
              <w:rPr>
                <w:color w:val="000000" w:themeColor="text1"/>
              </w:rPr>
            </w:pPr>
            <w:r w:rsidRPr="00286216">
              <w:rPr>
                <w:color w:val="000000" w:themeColor="text1"/>
              </w:rPr>
              <w:t>Враховано</w:t>
            </w:r>
          </w:p>
          <w:p w14:paraId="4F7BDA84" w14:textId="77777777" w:rsidR="004B55AD" w:rsidRPr="00286216" w:rsidRDefault="004B55AD" w:rsidP="004B55AD">
            <w:pPr>
              <w:pStyle w:val="StyleWisnow"/>
              <w:rPr>
                <w:color w:val="000000" w:themeColor="text1"/>
              </w:rPr>
            </w:pPr>
          </w:p>
          <w:p w14:paraId="5D7AE420" w14:textId="77777777" w:rsidR="004B55AD" w:rsidRPr="00286216" w:rsidRDefault="004B55AD" w:rsidP="004B55AD">
            <w:pPr>
              <w:pStyle w:val="StyleWisnow"/>
              <w:rPr>
                <w:color w:val="000000" w:themeColor="text1"/>
              </w:rPr>
            </w:pPr>
          </w:p>
          <w:p w14:paraId="4E8E883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4D0CE26D" w14:textId="1B2A2A9C" w:rsidR="004B55AD" w:rsidRPr="00286216" w:rsidRDefault="004B55AD" w:rsidP="004B55AD">
            <w:pPr>
              <w:pStyle w:val="StyleZakonu"/>
              <w:rPr>
                <w:color w:val="000000" w:themeColor="text1"/>
              </w:rPr>
            </w:pPr>
            <w:r w:rsidRPr="00286216">
              <w:rPr>
                <w:color w:val="000000" w:themeColor="text1"/>
              </w:rPr>
              <w:t>2. Учасниками ринків капіталу – це учасники фондового ринку, учасники ринку деривативних фінансових інструментів та учасники грошового ринку.</w:t>
            </w:r>
          </w:p>
        </w:tc>
      </w:tr>
      <w:tr w:rsidR="00F77E8D" w:rsidRPr="00286216" w14:paraId="7F2CCC21" w14:textId="77777777" w:rsidTr="00091AA5">
        <w:tc>
          <w:tcPr>
            <w:tcW w:w="576" w:type="dxa"/>
          </w:tcPr>
          <w:p w14:paraId="68A94ADE" w14:textId="77777777" w:rsidR="004B55AD" w:rsidRPr="00286216" w:rsidRDefault="004B55AD" w:rsidP="004B55AD">
            <w:pPr>
              <w:pStyle w:val="StyleWisnow"/>
              <w:rPr>
                <w:color w:val="000000" w:themeColor="text1"/>
              </w:rPr>
            </w:pPr>
            <w:bookmarkStart w:id="131" w:name="n126" w:colFirst="0" w:colLast="0"/>
            <w:bookmarkEnd w:id="130"/>
            <w:r w:rsidRPr="00286216">
              <w:rPr>
                <w:color w:val="000000" w:themeColor="text1"/>
              </w:rPr>
              <w:t>126.</w:t>
            </w:r>
          </w:p>
        </w:tc>
        <w:tc>
          <w:tcPr>
            <w:tcW w:w="4818" w:type="dxa"/>
          </w:tcPr>
          <w:p w14:paraId="41AA158B" w14:textId="77777777" w:rsidR="004B55AD" w:rsidRPr="00286216" w:rsidRDefault="004B55AD" w:rsidP="004B55AD">
            <w:pPr>
              <w:pStyle w:val="StyleZakonu"/>
              <w:rPr>
                <w:color w:val="000000" w:themeColor="text1"/>
              </w:rPr>
            </w:pPr>
            <w:r w:rsidRPr="00286216">
              <w:rPr>
                <w:color w:val="000000" w:themeColor="text1"/>
              </w:rPr>
              <w:t>Учасники фондового ринку - емітенти (у тому числі іноземні) або особи, які видали неемісійні цінні папери, інвестори в фінансові інструменти, які набули права власності на цінні папери, адміністратори, професійні учасники ринків капіталу, особи, які надають забезпечення, саморегулівні організації професійних учасників ринків капіталу.</w:t>
            </w:r>
          </w:p>
        </w:tc>
        <w:tc>
          <w:tcPr>
            <w:tcW w:w="3686" w:type="dxa"/>
          </w:tcPr>
          <w:p w14:paraId="35095FBF" w14:textId="07A4972A"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3AAEB97"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 xml:space="preserve">У статті 3 у частині другій абзац другий викласти в такій редакції: </w:t>
            </w:r>
          </w:p>
          <w:p w14:paraId="0F1CEB75"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«Учасники фондового ринку – емітенти (у тому числі іноземні) або особи, які видали неемісійні цінні папери, особи, які надають забезпечення, інвестори в фінансові інструменти, які набули права власності на цінні папери, адміністратори, професійні учасники ринків капіталу, особи, які провадять діяльність, пов’язану з ринками капіталу та організованими товарними ринками, об’єднання професійних учасників ринків капіталу.».</w:t>
            </w:r>
          </w:p>
        </w:tc>
        <w:tc>
          <w:tcPr>
            <w:tcW w:w="1987" w:type="dxa"/>
          </w:tcPr>
          <w:p w14:paraId="638194AF"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D31EBB7" w14:textId="0D7235DA" w:rsidR="004B55AD" w:rsidRPr="00286216" w:rsidRDefault="004B55AD" w:rsidP="00B80E72">
            <w:pPr>
              <w:pStyle w:val="StyleZakonu"/>
              <w:rPr>
                <w:color w:val="000000" w:themeColor="text1"/>
              </w:rPr>
            </w:pPr>
            <w:r w:rsidRPr="00286216">
              <w:rPr>
                <w:color w:val="000000" w:themeColor="text1"/>
                <w:szCs w:val="18"/>
              </w:rPr>
              <w:t>Учасники фондового ринку – це емітенти</w:t>
            </w:r>
            <w:r w:rsidR="00B80E72" w:rsidRPr="00286216">
              <w:rPr>
                <w:color w:val="000000" w:themeColor="text1"/>
                <w:szCs w:val="18"/>
              </w:rPr>
              <w:t>,</w:t>
            </w:r>
            <w:r w:rsidRPr="00286216">
              <w:rPr>
                <w:color w:val="000000" w:themeColor="text1"/>
                <w:szCs w:val="18"/>
              </w:rPr>
              <w:t xml:space="preserve"> у тому числі іноземні</w:t>
            </w:r>
            <w:r w:rsidR="00B80E72" w:rsidRPr="00286216">
              <w:rPr>
                <w:color w:val="000000" w:themeColor="text1"/>
                <w:szCs w:val="18"/>
              </w:rPr>
              <w:t>,</w:t>
            </w:r>
            <w:r w:rsidRPr="00286216">
              <w:rPr>
                <w:color w:val="000000" w:themeColor="text1"/>
                <w:szCs w:val="18"/>
              </w:rPr>
              <w:t xml:space="preserve"> або особи, які видали неемісійні цінні папери, особи, які надають забезпечення, інвестори в фінансові інструменти, які набули права власності на цінні папери, адміністратори, професійні учасники ринків капіталу, особи, які провадять діяльність, пов’язану з ринками капіталу та організованими товарними ринками, об’єднання професійних учасників ринків капіталу.</w:t>
            </w:r>
          </w:p>
        </w:tc>
      </w:tr>
      <w:tr w:rsidR="00F77E8D" w:rsidRPr="00286216" w14:paraId="6349AF2B" w14:textId="77777777" w:rsidTr="00091AA5">
        <w:tc>
          <w:tcPr>
            <w:tcW w:w="576" w:type="dxa"/>
          </w:tcPr>
          <w:p w14:paraId="74A0098B" w14:textId="77777777" w:rsidR="004B55AD" w:rsidRPr="00286216" w:rsidRDefault="004B55AD" w:rsidP="004B55AD">
            <w:pPr>
              <w:pStyle w:val="StyleWisnow"/>
              <w:rPr>
                <w:color w:val="000000" w:themeColor="text1"/>
              </w:rPr>
            </w:pPr>
            <w:bookmarkStart w:id="132" w:name="n127" w:colFirst="0" w:colLast="0"/>
            <w:bookmarkEnd w:id="131"/>
            <w:r w:rsidRPr="00286216">
              <w:rPr>
                <w:color w:val="000000" w:themeColor="text1"/>
              </w:rPr>
              <w:t>127.</w:t>
            </w:r>
          </w:p>
        </w:tc>
        <w:tc>
          <w:tcPr>
            <w:tcW w:w="4818" w:type="dxa"/>
          </w:tcPr>
          <w:p w14:paraId="3A9B0791" w14:textId="77777777" w:rsidR="004B55AD" w:rsidRPr="00286216" w:rsidRDefault="004B55AD" w:rsidP="004B55AD">
            <w:pPr>
              <w:pStyle w:val="StyleZakonu"/>
              <w:rPr>
                <w:color w:val="000000" w:themeColor="text1"/>
              </w:rPr>
            </w:pPr>
            <w:r w:rsidRPr="00286216">
              <w:rPr>
                <w:color w:val="000000" w:themeColor="text1"/>
              </w:rPr>
              <w:t xml:space="preserve">Учасники ринку деривативних (похідних) фінансових інструментів - емітенти похідних (деривативних) цінних паперів, інвестори у фінансові </w:t>
            </w:r>
            <w:r w:rsidRPr="00286216">
              <w:rPr>
                <w:color w:val="000000" w:themeColor="text1"/>
              </w:rPr>
              <w:lastRenderedPageBreak/>
              <w:t>інструменти, які є сторонами деривативних контрактів, інвестори в фінансові інструменти, які набули права власності на деривативні (похідні) цінні папери, професійні учасники ринків капіталу, саморегулівні організації професійних учасників ринків капіталу, а також юридичні особи, зазначені у частині 16 статті 42 цього Закону.</w:t>
            </w:r>
          </w:p>
        </w:tc>
        <w:tc>
          <w:tcPr>
            <w:tcW w:w="3686" w:type="dxa"/>
          </w:tcPr>
          <w:p w14:paraId="687E1912" w14:textId="7205559C" w:rsidR="004B55AD" w:rsidRPr="00286216" w:rsidRDefault="004B55AD" w:rsidP="004B55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76C07BD" w14:textId="692F2613" w:rsidR="004B55AD" w:rsidRPr="00286216" w:rsidRDefault="004B55AD" w:rsidP="009A0754">
            <w:pPr>
              <w:pStyle w:val="StyleProp"/>
              <w:spacing w:line="180" w:lineRule="exact"/>
              <w:rPr>
                <w:color w:val="000000" w:themeColor="text1"/>
                <w:szCs w:val="18"/>
              </w:rPr>
            </w:pPr>
            <w:r w:rsidRPr="00286216">
              <w:rPr>
                <w:color w:val="000000" w:themeColor="text1"/>
                <w:szCs w:val="18"/>
              </w:rPr>
              <w:t xml:space="preserve">У частині 2 статті 3  абзац третій викласти в такій редакції: </w:t>
            </w:r>
          </w:p>
          <w:p w14:paraId="0671CBBC"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lastRenderedPageBreak/>
              <w:t>«Учасники ринку деривативних (похідних) фінансових інструментів – емітенти деривативних (похідних) цінних паперів, інвестори у фінансові інструменти, які є сторонами деривативних контрактів, інвестори в фінансові інструменти, які набули права власності на деривативні (похідні) цінні папери, професійні учасники ринків капіталу, особи, які провадять діяльність пов’язану з ринками капіталу та організованими товарними ринками, об’єднання професійних учасників ринків капіталу, а також юридичні особи, зазначені у частині 16 статті 42 цього Закону.».</w:t>
            </w:r>
          </w:p>
          <w:p w14:paraId="56A19854" w14:textId="3C4E7A4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05DAEBA"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w:t>
            </w:r>
          </w:p>
        </w:tc>
        <w:tc>
          <w:tcPr>
            <w:tcW w:w="1987" w:type="dxa"/>
          </w:tcPr>
          <w:p w14:paraId="7504D1BC" w14:textId="77777777" w:rsidR="004B55AD" w:rsidRPr="00286216" w:rsidRDefault="004B55AD" w:rsidP="004B55AD">
            <w:pPr>
              <w:pStyle w:val="StyleWisnow"/>
              <w:rPr>
                <w:color w:val="000000" w:themeColor="text1"/>
              </w:rPr>
            </w:pPr>
            <w:r w:rsidRPr="00286216">
              <w:rPr>
                <w:color w:val="000000" w:themeColor="text1"/>
              </w:rPr>
              <w:lastRenderedPageBreak/>
              <w:t>Враховано редакційно</w:t>
            </w:r>
          </w:p>
          <w:p w14:paraId="54EF1407" w14:textId="77777777" w:rsidR="004B55AD" w:rsidRPr="00286216" w:rsidRDefault="004B55AD" w:rsidP="004B55AD">
            <w:pPr>
              <w:pStyle w:val="StyleWisnow"/>
              <w:rPr>
                <w:color w:val="000000" w:themeColor="text1"/>
              </w:rPr>
            </w:pPr>
          </w:p>
          <w:p w14:paraId="72E03EC2" w14:textId="77777777" w:rsidR="004B55AD" w:rsidRPr="00286216" w:rsidRDefault="004B55AD" w:rsidP="004B55AD">
            <w:pPr>
              <w:pStyle w:val="StyleWisnow"/>
              <w:rPr>
                <w:color w:val="000000" w:themeColor="text1"/>
              </w:rPr>
            </w:pPr>
          </w:p>
          <w:p w14:paraId="1FD4A019" w14:textId="77777777" w:rsidR="004B55AD" w:rsidRPr="00286216" w:rsidRDefault="004B55AD" w:rsidP="004B55AD">
            <w:pPr>
              <w:pStyle w:val="StyleWisnow"/>
              <w:rPr>
                <w:color w:val="000000" w:themeColor="text1"/>
              </w:rPr>
            </w:pPr>
          </w:p>
          <w:p w14:paraId="3B0EB03B" w14:textId="77777777" w:rsidR="004B55AD" w:rsidRPr="00286216" w:rsidRDefault="004B55AD" w:rsidP="004B55AD">
            <w:pPr>
              <w:pStyle w:val="StyleWisnow"/>
              <w:rPr>
                <w:color w:val="000000" w:themeColor="text1"/>
              </w:rPr>
            </w:pPr>
          </w:p>
          <w:p w14:paraId="3D8B9669" w14:textId="77777777" w:rsidR="004B55AD" w:rsidRPr="00286216" w:rsidRDefault="004B55AD" w:rsidP="004B55AD">
            <w:pPr>
              <w:pStyle w:val="StyleWisnow"/>
              <w:rPr>
                <w:color w:val="000000" w:themeColor="text1"/>
              </w:rPr>
            </w:pPr>
          </w:p>
          <w:p w14:paraId="2F15FEDB" w14:textId="77777777" w:rsidR="004B55AD" w:rsidRPr="00286216" w:rsidRDefault="004B55AD" w:rsidP="004B55AD">
            <w:pPr>
              <w:pStyle w:val="StyleWisnow"/>
              <w:rPr>
                <w:color w:val="000000" w:themeColor="text1"/>
              </w:rPr>
            </w:pPr>
          </w:p>
          <w:p w14:paraId="79DEE0AF" w14:textId="77777777" w:rsidR="004B55AD" w:rsidRPr="00286216" w:rsidRDefault="004B55AD" w:rsidP="004B55AD">
            <w:pPr>
              <w:pStyle w:val="StyleWisnow"/>
              <w:rPr>
                <w:color w:val="000000" w:themeColor="text1"/>
              </w:rPr>
            </w:pPr>
          </w:p>
          <w:p w14:paraId="765EA490" w14:textId="77777777" w:rsidR="004B55AD" w:rsidRPr="00286216" w:rsidRDefault="004B55AD" w:rsidP="004B55AD">
            <w:pPr>
              <w:pStyle w:val="StyleWisnow"/>
              <w:rPr>
                <w:color w:val="000000" w:themeColor="text1"/>
              </w:rPr>
            </w:pPr>
          </w:p>
          <w:p w14:paraId="27DC266B" w14:textId="77777777" w:rsidR="004B55AD" w:rsidRPr="00286216" w:rsidRDefault="004B55AD" w:rsidP="004B55AD">
            <w:pPr>
              <w:pStyle w:val="StyleWisnow"/>
              <w:rPr>
                <w:color w:val="000000" w:themeColor="text1"/>
              </w:rPr>
            </w:pPr>
          </w:p>
          <w:p w14:paraId="43BAA552" w14:textId="77777777" w:rsidR="004B55AD" w:rsidRPr="00286216" w:rsidRDefault="004B55AD" w:rsidP="004B55AD">
            <w:pPr>
              <w:pStyle w:val="StyleWisnow"/>
              <w:rPr>
                <w:color w:val="000000" w:themeColor="text1"/>
              </w:rPr>
            </w:pPr>
          </w:p>
          <w:p w14:paraId="6A651B72" w14:textId="77777777" w:rsidR="004B55AD" w:rsidRPr="00286216" w:rsidRDefault="004B55AD" w:rsidP="004B55AD">
            <w:pPr>
              <w:pStyle w:val="StyleWisnow"/>
              <w:rPr>
                <w:color w:val="000000" w:themeColor="text1"/>
              </w:rPr>
            </w:pPr>
          </w:p>
          <w:p w14:paraId="43DACA64" w14:textId="77777777" w:rsidR="004B55AD" w:rsidRPr="00286216" w:rsidRDefault="004B55AD" w:rsidP="004B55AD">
            <w:pPr>
              <w:pStyle w:val="StyleWisnow"/>
              <w:rPr>
                <w:color w:val="000000" w:themeColor="text1"/>
              </w:rPr>
            </w:pPr>
          </w:p>
          <w:p w14:paraId="3ADE128B" w14:textId="77777777" w:rsidR="004B55AD" w:rsidRPr="00286216" w:rsidRDefault="004B55AD" w:rsidP="004B55AD">
            <w:pPr>
              <w:pStyle w:val="StyleWisnow"/>
              <w:rPr>
                <w:color w:val="000000" w:themeColor="text1"/>
              </w:rPr>
            </w:pPr>
          </w:p>
          <w:p w14:paraId="747A2A1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DADE57D" w14:textId="7188AF8E" w:rsidR="004B55AD" w:rsidRPr="00286216" w:rsidRDefault="004B55AD" w:rsidP="00B80E72">
            <w:pPr>
              <w:pStyle w:val="StyleZakonu"/>
              <w:rPr>
                <w:color w:val="000000" w:themeColor="text1"/>
              </w:rPr>
            </w:pPr>
            <w:r w:rsidRPr="00286216">
              <w:rPr>
                <w:color w:val="000000" w:themeColor="text1"/>
                <w:szCs w:val="18"/>
              </w:rPr>
              <w:lastRenderedPageBreak/>
              <w:t xml:space="preserve">Учасники ринку деривативних фінансових інструментів – </w:t>
            </w:r>
            <w:r w:rsidR="00B80E72" w:rsidRPr="00286216">
              <w:rPr>
                <w:color w:val="000000" w:themeColor="text1"/>
                <w:szCs w:val="18"/>
              </w:rPr>
              <w:t xml:space="preserve">це </w:t>
            </w:r>
            <w:r w:rsidRPr="00286216">
              <w:rPr>
                <w:color w:val="000000" w:themeColor="text1"/>
                <w:szCs w:val="18"/>
              </w:rPr>
              <w:t xml:space="preserve">емітенти деривативних  цінних паперів, інвестори у фінансові інструменти, які є </w:t>
            </w:r>
            <w:r w:rsidRPr="00286216">
              <w:rPr>
                <w:color w:val="000000" w:themeColor="text1"/>
                <w:szCs w:val="18"/>
              </w:rPr>
              <w:lastRenderedPageBreak/>
              <w:t xml:space="preserve">сторонами деривативних контрактів, інвестори </w:t>
            </w:r>
            <w:r w:rsidR="00B80E72" w:rsidRPr="00286216">
              <w:rPr>
                <w:color w:val="000000" w:themeColor="text1"/>
                <w:szCs w:val="18"/>
              </w:rPr>
              <w:t>у</w:t>
            </w:r>
            <w:r w:rsidRPr="00286216">
              <w:rPr>
                <w:color w:val="000000" w:themeColor="text1"/>
                <w:szCs w:val="18"/>
              </w:rPr>
              <w:t xml:space="preserve"> фінансові інструменти, які набули права власності на деривативні цінні папери, професійні учасники ринків капіталу, особи, які провадять діяльність, пов’язану з ринками капіталу та організованими товарними ринками, об’єднання професійних учасників ринків капіталу, а також юридичні особи, </w:t>
            </w:r>
            <w:r w:rsidR="007A4B3F" w:rsidRPr="00286216">
              <w:rPr>
                <w:color w:val="000000" w:themeColor="text1"/>
                <w:szCs w:val="18"/>
              </w:rPr>
              <w:t xml:space="preserve">які провадять діяльність, </w:t>
            </w:r>
            <w:r w:rsidRPr="00286216">
              <w:rPr>
                <w:color w:val="000000" w:themeColor="text1"/>
                <w:szCs w:val="18"/>
              </w:rPr>
              <w:t>зазначен</w:t>
            </w:r>
            <w:r w:rsidR="007A4B3F" w:rsidRPr="00286216">
              <w:rPr>
                <w:color w:val="000000" w:themeColor="text1"/>
                <w:szCs w:val="18"/>
              </w:rPr>
              <w:t>у</w:t>
            </w:r>
            <w:r w:rsidRPr="00286216">
              <w:rPr>
                <w:color w:val="000000" w:themeColor="text1"/>
                <w:szCs w:val="18"/>
              </w:rPr>
              <w:t xml:space="preserve"> </w:t>
            </w:r>
            <w:r w:rsidR="007A4B3F" w:rsidRPr="00286216">
              <w:rPr>
                <w:color w:val="000000" w:themeColor="text1"/>
                <w:szCs w:val="18"/>
              </w:rPr>
              <w:t>в</w:t>
            </w:r>
            <w:r w:rsidRPr="00286216">
              <w:rPr>
                <w:color w:val="000000" w:themeColor="text1"/>
                <w:szCs w:val="18"/>
              </w:rPr>
              <w:t xml:space="preserve"> частині шістнадцятій статті 44 цього Закону.</w:t>
            </w:r>
          </w:p>
        </w:tc>
      </w:tr>
      <w:tr w:rsidR="00F77E8D" w:rsidRPr="00286216" w14:paraId="694D4558" w14:textId="77777777" w:rsidTr="00091AA5">
        <w:tc>
          <w:tcPr>
            <w:tcW w:w="576" w:type="dxa"/>
          </w:tcPr>
          <w:p w14:paraId="1CD1FEC2" w14:textId="77777777" w:rsidR="004B55AD" w:rsidRPr="00286216" w:rsidRDefault="004B55AD" w:rsidP="004B55AD">
            <w:pPr>
              <w:pStyle w:val="StyleWisnow"/>
              <w:rPr>
                <w:color w:val="000000" w:themeColor="text1"/>
              </w:rPr>
            </w:pPr>
            <w:bookmarkStart w:id="133" w:name="n128" w:colFirst="0" w:colLast="0"/>
            <w:bookmarkEnd w:id="132"/>
            <w:r w:rsidRPr="00286216">
              <w:rPr>
                <w:color w:val="000000" w:themeColor="text1"/>
              </w:rPr>
              <w:lastRenderedPageBreak/>
              <w:t>128.</w:t>
            </w:r>
          </w:p>
        </w:tc>
        <w:tc>
          <w:tcPr>
            <w:tcW w:w="4818" w:type="dxa"/>
          </w:tcPr>
          <w:p w14:paraId="3F270ECD" w14:textId="77777777" w:rsidR="004B55AD" w:rsidRPr="00286216" w:rsidRDefault="004B55AD" w:rsidP="004B55AD">
            <w:pPr>
              <w:pStyle w:val="StyleZakonu"/>
              <w:rPr>
                <w:color w:val="000000" w:themeColor="text1"/>
              </w:rPr>
            </w:pPr>
            <w:r w:rsidRPr="00286216">
              <w:rPr>
                <w:color w:val="000000" w:themeColor="text1"/>
              </w:rPr>
              <w:t>Учасники грошового ринку - емітенти інструментів грошового ринку, особи, які видали неемісійні інструменти грошового ринку, інвестори у фінансові інструменти, які набули права власності на інструменти грошового ринку, особи, які надають забезпечення, професійні учасники ринків капіталу.</w:t>
            </w:r>
          </w:p>
        </w:tc>
        <w:tc>
          <w:tcPr>
            <w:tcW w:w="3686" w:type="dxa"/>
          </w:tcPr>
          <w:p w14:paraId="586F9C66" w14:textId="603BEBD0"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169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96434EC" w14:textId="20EC1ED3" w:rsidR="004B55AD" w:rsidRPr="00286216" w:rsidRDefault="004B55AD" w:rsidP="009A0754">
            <w:pPr>
              <w:pStyle w:val="StyleProp"/>
              <w:spacing w:line="180" w:lineRule="exact"/>
              <w:rPr>
                <w:color w:val="000000" w:themeColor="text1"/>
                <w:szCs w:val="18"/>
              </w:rPr>
            </w:pPr>
            <w:r w:rsidRPr="00286216">
              <w:rPr>
                <w:color w:val="000000" w:themeColor="text1"/>
                <w:szCs w:val="18"/>
              </w:rPr>
              <w:t>У статті 3 у частині другій</w:t>
            </w:r>
            <w:r w:rsidR="006276D5" w:rsidRPr="00286216">
              <w:rPr>
                <w:color w:val="000000" w:themeColor="text1"/>
                <w:szCs w:val="18"/>
                <w:lang w:val="ru-RU"/>
              </w:rPr>
              <w:t xml:space="preserve"> </w:t>
            </w:r>
            <w:r w:rsidRPr="00286216">
              <w:rPr>
                <w:color w:val="000000" w:themeColor="text1"/>
                <w:szCs w:val="18"/>
              </w:rPr>
              <w:t xml:space="preserve">абзац четвертий викласти в такій редакції: </w:t>
            </w:r>
          </w:p>
          <w:p w14:paraId="544F2457"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«Учасники грошового ринку – емітенти інструментів грошового ринку, особи, які видали неемісійні інструменти грошового ринку, особи, які надають забезпечення, інвестори у фінансові інструменти, які набули права власності на інструменти грошового ринку, професійні учасники ринків капіталу та особи, які провадять діяльність пов’язану з ринками капіталу та організованими товарними ринками.»;</w:t>
            </w:r>
          </w:p>
        </w:tc>
        <w:tc>
          <w:tcPr>
            <w:tcW w:w="1987" w:type="dxa"/>
          </w:tcPr>
          <w:p w14:paraId="7B31F8F1"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47281F80" w14:textId="6BF92249" w:rsidR="004B55AD" w:rsidRPr="00286216" w:rsidRDefault="004B55AD" w:rsidP="004B55AD">
            <w:pPr>
              <w:pStyle w:val="StyleZakonu"/>
              <w:rPr>
                <w:color w:val="000000" w:themeColor="text1"/>
              </w:rPr>
            </w:pPr>
            <w:r w:rsidRPr="00286216">
              <w:rPr>
                <w:color w:val="000000" w:themeColor="text1"/>
                <w:szCs w:val="18"/>
              </w:rPr>
              <w:t>Учасники грошового ринку – це емітенти інструментів грошового ринку, особи, які видали неемісійні інструменти грошового ринку, особи, які надають забезпечення, інвестори у фінансові інструменти, які набули права власності на інструменти грошового ринку, професійні учасники ринків капіталу та особи, які провадять діяльність, пов’язану з ринками капіталу та організованими товарними ринками.</w:t>
            </w:r>
          </w:p>
        </w:tc>
      </w:tr>
      <w:tr w:rsidR="00F77E8D" w:rsidRPr="00286216" w14:paraId="434FE742" w14:textId="77777777" w:rsidTr="00091AA5">
        <w:tc>
          <w:tcPr>
            <w:tcW w:w="576" w:type="dxa"/>
          </w:tcPr>
          <w:p w14:paraId="546A249F" w14:textId="77777777" w:rsidR="004B55AD" w:rsidRPr="00286216" w:rsidRDefault="004B55AD" w:rsidP="004B55AD">
            <w:pPr>
              <w:pStyle w:val="StyleWisnow"/>
              <w:rPr>
                <w:color w:val="000000" w:themeColor="text1"/>
              </w:rPr>
            </w:pPr>
            <w:bookmarkStart w:id="134" w:name="n129" w:colFirst="0" w:colLast="0"/>
            <w:bookmarkEnd w:id="133"/>
            <w:r w:rsidRPr="00286216">
              <w:rPr>
                <w:color w:val="000000" w:themeColor="text1"/>
              </w:rPr>
              <w:t>129.</w:t>
            </w:r>
          </w:p>
        </w:tc>
        <w:tc>
          <w:tcPr>
            <w:tcW w:w="4818" w:type="dxa"/>
          </w:tcPr>
          <w:p w14:paraId="070BD7EF" w14:textId="77777777" w:rsidR="004B55AD" w:rsidRPr="00286216" w:rsidRDefault="004B55AD" w:rsidP="004B55AD">
            <w:pPr>
              <w:pStyle w:val="StyleZakonu"/>
              <w:rPr>
                <w:color w:val="000000" w:themeColor="text1"/>
              </w:rPr>
            </w:pPr>
            <w:r w:rsidRPr="00286216">
              <w:rPr>
                <w:color w:val="000000" w:themeColor="text1"/>
              </w:rPr>
              <w:t>Емітент - юридична особа, у тому числі Фонд гарантування вкладів фізичних осіб, Автономна Республіка Крим або територіальна громада в особі представницького органу місцевого самоврядування, а також держава в особі уповноважених нею органів державної влади чи міжнародна фінансова організація, які від свого імені розміщують емісійні цінні папери та беруть на себе зобов’язання за ними перед їх власниками.</w:t>
            </w:r>
          </w:p>
        </w:tc>
        <w:tc>
          <w:tcPr>
            <w:tcW w:w="3686" w:type="dxa"/>
          </w:tcPr>
          <w:p w14:paraId="239D1E1D" w14:textId="24EC6360"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B438DE5" w14:textId="0BAD7345" w:rsidR="004B55AD" w:rsidRPr="00286216" w:rsidRDefault="004B55AD" w:rsidP="004B55AD">
            <w:pPr>
              <w:pStyle w:val="StyleProp"/>
              <w:spacing w:line="180" w:lineRule="exact"/>
              <w:rPr>
                <w:color w:val="000000" w:themeColor="text1"/>
                <w:szCs w:val="18"/>
              </w:rPr>
            </w:pPr>
            <w:r w:rsidRPr="00286216">
              <w:rPr>
                <w:color w:val="000000" w:themeColor="text1"/>
                <w:szCs w:val="18"/>
              </w:rPr>
              <w:t>Абзаци 5 та 6 частини 2 статті 3 викласти у такій редакції:</w:t>
            </w:r>
          </w:p>
          <w:p w14:paraId="6C679C13" w14:textId="5FCB53EC" w:rsidR="004B55AD" w:rsidRPr="00286216" w:rsidRDefault="004B55AD" w:rsidP="004B55AD">
            <w:pPr>
              <w:pStyle w:val="StyleProp"/>
              <w:spacing w:line="180" w:lineRule="exact"/>
              <w:rPr>
                <w:color w:val="000000" w:themeColor="text1"/>
                <w:szCs w:val="18"/>
              </w:rPr>
            </w:pPr>
            <w:r w:rsidRPr="00286216">
              <w:rPr>
                <w:color w:val="000000" w:themeColor="text1"/>
              </w:rPr>
              <w:t>"Емітент – це юридична особа,  територіальна громада в особі представницького органу місцевого самоврядування, держава в особі уповноважених нею органів державної влади, міжнародна фінансова організація, які від свого імені розміщують емісійні цінні папери та беруть на себе зобов’язання за таким цінними паперами перед їх власниками".</w:t>
            </w:r>
          </w:p>
        </w:tc>
        <w:tc>
          <w:tcPr>
            <w:tcW w:w="1987" w:type="dxa"/>
          </w:tcPr>
          <w:p w14:paraId="5DDB8434" w14:textId="50F35E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496BB01B" w14:textId="0E67E8CF" w:rsidR="004B55AD" w:rsidRPr="00286216" w:rsidRDefault="004B55AD" w:rsidP="004B55AD">
            <w:pPr>
              <w:pStyle w:val="StyleZakonu"/>
              <w:rPr>
                <w:color w:val="000000" w:themeColor="text1"/>
              </w:rPr>
            </w:pPr>
            <w:r w:rsidRPr="00286216">
              <w:rPr>
                <w:color w:val="000000" w:themeColor="text1"/>
              </w:rPr>
              <w:t>Емітент – це юридична особа, територіальна громада в особі представницького органу місцевого самоврядування, держава в особі уповноважених нею органів державної влади, міжнародна фінансова організація, які від свого імені розміщують емісійні цінні папери та беруть на себе зобов’язання за таким</w:t>
            </w:r>
            <w:r w:rsidR="00B80E72" w:rsidRPr="00286216">
              <w:rPr>
                <w:color w:val="000000" w:themeColor="text1"/>
              </w:rPr>
              <w:t>и</w:t>
            </w:r>
            <w:r w:rsidRPr="00286216">
              <w:rPr>
                <w:color w:val="000000" w:themeColor="text1"/>
              </w:rPr>
              <w:t xml:space="preserve"> цінними паперами перед їх власниками.</w:t>
            </w:r>
          </w:p>
        </w:tc>
      </w:tr>
      <w:tr w:rsidR="00F77E8D" w:rsidRPr="00286216" w14:paraId="4DC97384" w14:textId="77777777" w:rsidTr="00091AA5">
        <w:tc>
          <w:tcPr>
            <w:tcW w:w="576" w:type="dxa"/>
          </w:tcPr>
          <w:p w14:paraId="6B679495" w14:textId="77777777" w:rsidR="004B55AD" w:rsidRPr="00286216" w:rsidRDefault="004B55AD" w:rsidP="004B55AD">
            <w:pPr>
              <w:pStyle w:val="StyleWisnow"/>
              <w:rPr>
                <w:color w:val="000000" w:themeColor="text1"/>
              </w:rPr>
            </w:pPr>
            <w:bookmarkStart w:id="135" w:name="n130" w:colFirst="0" w:colLast="0"/>
            <w:bookmarkEnd w:id="134"/>
            <w:r w:rsidRPr="00286216">
              <w:rPr>
                <w:color w:val="000000" w:themeColor="text1"/>
              </w:rPr>
              <w:t>130.</w:t>
            </w:r>
          </w:p>
        </w:tc>
        <w:tc>
          <w:tcPr>
            <w:tcW w:w="4818" w:type="dxa"/>
          </w:tcPr>
          <w:p w14:paraId="7FBC0E83" w14:textId="77777777" w:rsidR="004B55AD" w:rsidRPr="00286216" w:rsidRDefault="004B55AD" w:rsidP="004B55AD">
            <w:pPr>
              <w:pStyle w:val="StyleZakonu"/>
              <w:rPr>
                <w:color w:val="000000" w:themeColor="text1"/>
              </w:rPr>
            </w:pPr>
            <w:r w:rsidRPr="00286216">
              <w:rPr>
                <w:color w:val="000000" w:themeColor="text1"/>
              </w:rPr>
              <w:t>Іноземний емітент - юридична особа, яка створена відповідно до законодавства іншої держави та здійснює емісію цінних паперів на території України, або юридична особа, цінні папери якої зареєстровані відповідно до законодавства іншої країни та допуск до обігу на території України яких надано Національною комісією з цінних паперів та фондового ринку.</w:t>
            </w:r>
          </w:p>
        </w:tc>
        <w:tc>
          <w:tcPr>
            <w:tcW w:w="3686" w:type="dxa"/>
          </w:tcPr>
          <w:p w14:paraId="6C85B77D" w14:textId="258546C9" w:rsidR="004B55AD" w:rsidRPr="00286216" w:rsidRDefault="004B55AD" w:rsidP="009A0754">
            <w:pPr>
              <w:pStyle w:val="StyleProp"/>
              <w:spacing w:line="180" w:lineRule="exact"/>
              <w:rPr>
                <w:color w:val="000000" w:themeColor="text1"/>
                <w:szCs w:val="18"/>
              </w:rPr>
            </w:pPr>
            <w:r w:rsidRPr="00286216">
              <w:rPr>
                <w:color w:val="000000" w:themeColor="text1"/>
              </w:rPr>
              <w:t>Іноземний емітент – це створена відповідно до законодавства іншої держави юридична особа, що здійснює емісію цінних паперів на території України, або юридична особа, цінні папери якої зареєстровані відповідно до законодавства іншої держави та допуск до обігу на території України яких надано Національною комісією з цінних паперів та фондового ринку".</w:t>
            </w:r>
          </w:p>
        </w:tc>
        <w:tc>
          <w:tcPr>
            <w:tcW w:w="1987" w:type="dxa"/>
          </w:tcPr>
          <w:p w14:paraId="60DD3902" w14:textId="77777777" w:rsidR="004B55AD" w:rsidRPr="00286216" w:rsidRDefault="004B55AD" w:rsidP="004B55AD">
            <w:pPr>
              <w:pStyle w:val="StyleWisnow"/>
              <w:rPr>
                <w:color w:val="000000" w:themeColor="text1"/>
              </w:rPr>
            </w:pPr>
          </w:p>
        </w:tc>
        <w:tc>
          <w:tcPr>
            <w:tcW w:w="4818" w:type="dxa"/>
          </w:tcPr>
          <w:p w14:paraId="21E0F2A5" w14:textId="4D0F580C" w:rsidR="004B55AD" w:rsidRPr="00286216" w:rsidRDefault="004B55AD" w:rsidP="004B55AD">
            <w:pPr>
              <w:pStyle w:val="StyleZakonu"/>
              <w:rPr>
                <w:color w:val="000000" w:themeColor="text1"/>
              </w:rPr>
            </w:pPr>
            <w:r w:rsidRPr="00286216">
              <w:rPr>
                <w:color w:val="000000" w:themeColor="text1"/>
              </w:rPr>
              <w:t>Іноземний емітент – це створена відповідно до законодавства іншої держави юридична особа, що здійснює емісію цінних паперів на території України, або юридична особа, цінні папери якої зареєстровані відповідно до законодавства іншої держави та допуск до обігу на території України яких надано Національною комісією з цінних паперів та фондового ринку.</w:t>
            </w:r>
          </w:p>
        </w:tc>
      </w:tr>
      <w:tr w:rsidR="00F77E8D" w:rsidRPr="00286216" w14:paraId="557FFB9D" w14:textId="77777777" w:rsidTr="00091AA5">
        <w:tc>
          <w:tcPr>
            <w:tcW w:w="576" w:type="dxa"/>
          </w:tcPr>
          <w:p w14:paraId="4461650C" w14:textId="77777777" w:rsidR="004B55AD" w:rsidRPr="00286216" w:rsidRDefault="004B55AD" w:rsidP="004B55AD">
            <w:pPr>
              <w:pStyle w:val="StyleWisnow"/>
              <w:rPr>
                <w:color w:val="000000" w:themeColor="text1"/>
              </w:rPr>
            </w:pPr>
            <w:bookmarkStart w:id="136" w:name="n131" w:colFirst="0" w:colLast="0"/>
            <w:bookmarkEnd w:id="135"/>
            <w:r w:rsidRPr="00286216">
              <w:rPr>
                <w:color w:val="000000" w:themeColor="text1"/>
              </w:rPr>
              <w:t>131.</w:t>
            </w:r>
          </w:p>
        </w:tc>
        <w:tc>
          <w:tcPr>
            <w:tcW w:w="4818" w:type="dxa"/>
          </w:tcPr>
          <w:p w14:paraId="676E4BE2" w14:textId="77777777" w:rsidR="004B55AD" w:rsidRPr="00286216" w:rsidRDefault="004B55AD" w:rsidP="004B55AD">
            <w:pPr>
              <w:pStyle w:val="StyleZakonu"/>
              <w:rPr>
                <w:color w:val="000000" w:themeColor="text1"/>
              </w:rPr>
            </w:pPr>
            <w:r w:rsidRPr="00286216">
              <w:rPr>
                <w:color w:val="000000" w:themeColor="text1"/>
              </w:rPr>
              <w:t xml:space="preserve">Відповідно до Закону України "Про санкції" можуть бути заборонені або обмежені емісія та обіг </w:t>
            </w:r>
            <w:r w:rsidRPr="00286216">
              <w:rPr>
                <w:color w:val="000000" w:themeColor="text1"/>
              </w:rPr>
              <w:lastRenderedPageBreak/>
              <w:t>цінних паперів емітента, який створений відповідно до законодавства держави, що здійснює збройну агресію проти України у значенні, наведеному у статті 1 Закону України "Про оборону України", та/або який прямо чи опосередковано контролюється особами, які є резидентами зазначеної держави.</w:t>
            </w:r>
          </w:p>
        </w:tc>
        <w:tc>
          <w:tcPr>
            <w:tcW w:w="3686" w:type="dxa"/>
          </w:tcPr>
          <w:p w14:paraId="0D6204BB" w14:textId="77777777" w:rsidR="004B55AD" w:rsidRPr="00286216" w:rsidRDefault="004B55AD" w:rsidP="004B55AD">
            <w:pPr>
              <w:pStyle w:val="StyleProp"/>
              <w:rPr>
                <w:color w:val="000000" w:themeColor="text1"/>
                <w:szCs w:val="18"/>
              </w:rPr>
            </w:pPr>
          </w:p>
        </w:tc>
        <w:tc>
          <w:tcPr>
            <w:tcW w:w="1987" w:type="dxa"/>
          </w:tcPr>
          <w:p w14:paraId="045C356E" w14:textId="77777777" w:rsidR="004B55AD" w:rsidRPr="00286216" w:rsidRDefault="004B55AD" w:rsidP="004B55AD">
            <w:pPr>
              <w:pStyle w:val="StyleWisnow"/>
              <w:rPr>
                <w:color w:val="000000" w:themeColor="text1"/>
              </w:rPr>
            </w:pPr>
          </w:p>
        </w:tc>
        <w:tc>
          <w:tcPr>
            <w:tcW w:w="4818" w:type="dxa"/>
          </w:tcPr>
          <w:p w14:paraId="607A78FA" w14:textId="03EEF6D7" w:rsidR="004B55AD" w:rsidRPr="00286216" w:rsidRDefault="004B55AD" w:rsidP="004B55AD">
            <w:pPr>
              <w:pStyle w:val="StyleZakonu"/>
              <w:rPr>
                <w:color w:val="000000" w:themeColor="text1"/>
              </w:rPr>
            </w:pPr>
            <w:r w:rsidRPr="00286216">
              <w:rPr>
                <w:color w:val="000000" w:themeColor="text1"/>
              </w:rPr>
              <w:t xml:space="preserve">Відповідно до Закону України "Про санкції" можуть бути заборонені або обмежені емісія та обіг </w:t>
            </w:r>
            <w:r w:rsidRPr="00286216">
              <w:rPr>
                <w:color w:val="000000" w:themeColor="text1"/>
              </w:rPr>
              <w:lastRenderedPageBreak/>
              <w:t>цінних паперів емітента, створеного відповідно до законодавства держави, що здійснює збройну агресію проти України</w:t>
            </w:r>
            <w:r w:rsidR="00B80E72" w:rsidRPr="00286216">
              <w:rPr>
                <w:color w:val="000000" w:themeColor="text1"/>
              </w:rPr>
              <w:t>,</w:t>
            </w:r>
            <w:r w:rsidRPr="00286216">
              <w:rPr>
                <w:color w:val="000000" w:themeColor="text1"/>
              </w:rPr>
              <w:t xml:space="preserve"> у значенні, наведеному у статті 1 Закону України "Про оборону України", та/або який прямо чи опосередковано контролюється особами, які є резидентами зазначеної держави.</w:t>
            </w:r>
          </w:p>
        </w:tc>
      </w:tr>
      <w:tr w:rsidR="00F77E8D" w:rsidRPr="00286216" w14:paraId="6A384FD0" w14:textId="77777777" w:rsidTr="00091AA5">
        <w:tc>
          <w:tcPr>
            <w:tcW w:w="576" w:type="dxa"/>
          </w:tcPr>
          <w:p w14:paraId="29E4AC59" w14:textId="77777777" w:rsidR="004B55AD" w:rsidRPr="00286216" w:rsidRDefault="004B55AD" w:rsidP="004B55AD">
            <w:pPr>
              <w:pStyle w:val="StyleWisnow"/>
              <w:rPr>
                <w:color w:val="000000" w:themeColor="text1"/>
              </w:rPr>
            </w:pPr>
            <w:bookmarkStart w:id="137" w:name="n132" w:colFirst="0" w:colLast="0"/>
            <w:bookmarkEnd w:id="136"/>
            <w:r w:rsidRPr="00286216">
              <w:rPr>
                <w:color w:val="000000" w:themeColor="text1"/>
              </w:rPr>
              <w:lastRenderedPageBreak/>
              <w:t>132.</w:t>
            </w:r>
          </w:p>
        </w:tc>
        <w:tc>
          <w:tcPr>
            <w:tcW w:w="4818" w:type="dxa"/>
          </w:tcPr>
          <w:p w14:paraId="44B4A4E7" w14:textId="77777777" w:rsidR="004B55AD" w:rsidRPr="00286216" w:rsidRDefault="004B55AD" w:rsidP="004B55AD">
            <w:pPr>
              <w:pStyle w:val="StyleZakonu"/>
              <w:rPr>
                <w:color w:val="000000" w:themeColor="text1"/>
              </w:rPr>
            </w:pPr>
            <w:r w:rsidRPr="00286216">
              <w:rPr>
                <w:color w:val="000000" w:themeColor="text1"/>
              </w:rPr>
              <w:t>Особа, яка видала неемісійний цінний папір - фізична або юридична особа, яка від свого імені видає (заповнює) сертифікат неемісійного цінного паперу та бере на себе зобов’язання за таким цінним папером перед його власником.</w:t>
            </w:r>
          </w:p>
        </w:tc>
        <w:tc>
          <w:tcPr>
            <w:tcW w:w="3686" w:type="dxa"/>
          </w:tcPr>
          <w:p w14:paraId="61271233" w14:textId="5A787543"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171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2F21807" w14:textId="77777777" w:rsidR="004B55AD" w:rsidRPr="00286216" w:rsidRDefault="004B55AD" w:rsidP="009A0754">
            <w:pPr>
              <w:pStyle w:val="StyleProp"/>
              <w:spacing w:line="180" w:lineRule="exact"/>
              <w:rPr>
                <w:color w:val="000000" w:themeColor="text1"/>
                <w:szCs w:val="18"/>
              </w:rPr>
            </w:pPr>
            <w:r w:rsidRPr="00286216">
              <w:rPr>
                <w:color w:val="000000" w:themeColor="text1"/>
                <w:szCs w:val="18"/>
              </w:rPr>
              <w:t>Абзац восьмий частини другої статі 3 після слів «юридична особа» доповнити словами «у тому числі фізична особа-іноземець та іноземна юридична особа».</w:t>
            </w:r>
          </w:p>
        </w:tc>
        <w:tc>
          <w:tcPr>
            <w:tcW w:w="1987" w:type="dxa"/>
          </w:tcPr>
          <w:p w14:paraId="0C9094CB" w14:textId="77777777" w:rsidR="004B55AD" w:rsidRPr="00286216" w:rsidRDefault="004B55AD" w:rsidP="004B55AD">
            <w:pPr>
              <w:pStyle w:val="StyleWisnow"/>
              <w:rPr>
                <w:color w:val="000000" w:themeColor="text1"/>
              </w:rPr>
            </w:pPr>
            <w:r w:rsidRPr="00286216">
              <w:rPr>
                <w:color w:val="000000" w:themeColor="text1"/>
              </w:rPr>
              <w:t>Враховано редакційно</w:t>
            </w:r>
          </w:p>
        </w:tc>
        <w:tc>
          <w:tcPr>
            <w:tcW w:w="4818" w:type="dxa"/>
          </w:tcPr>
          <w:p w14:paraId="21A8F7D4" w14:textId="0E5C0C22" w:rsidR="004B55AD" w:rsidRPr="00286216" w:rsidRDefault="004B55AD" w:rsidP="00B80E72">
            <w:pPr>
              <w:pStyle w:val="StyleZakonu"/>
              <w:rPr>
                <w:color w:val="000000" w:themeColor="text1"/>
              </w:rPr>
            </w:pPr>
            <w:r w:rsidRPr="00286216">
              <w:rPr>
                <w:color w:val="000000" w:themeColor="text1"/>
              </w:rPr>
              <w:t>Особа, яка видала неемісійний цінний папір, – це фізична особа</w:t>
            </w:r>
            <w:r w:rsidR="00B80E72" w:rsidRPr="00286216">
              <w:rPr>
                <w:color w:val="000000" w:themeColor="text1"/>
              </w:rPr>
              <w:t>,</w:t>
            </w:r>
            <w:r w:rsidRPr="00286216">
              <w:rPr>
                <w:color w:val="000000" w:themeColor="text1"/>
              </w:rPr>
              <w:t xml:space="preserve"> у тому числі фізична особа-іноземець</w:t>
            </w:r>
            <w:r w:rsidR="00B80E72" w:rsidRPr="00286216">
              <w:rPr>
                <w:color w:val="000000" w:themeColor="text1"/>
              </w:rPr>
              <w:t>,</w:t>
            </w:r>
            <w:r w:rsidRPr="00286216">
              <w:rPr>
                <w:color w:val="000000" w:themeColor="text1"/>
              </w:rPr>
              <w:t xml:space="preserve"> або юридична особа</w:t>
            </w:r>
            <w:r w:rsidR="00B80E72" w:rsidRPr="00286216">
              <w:rPr>
                <w:color w:val="000000" w:themeColor="text1"/>
              </w:rPr>
              <w:t>,</w:t>
            </w:r>
            <w:r w:rsidRPr="00286216">
              <w:rPr>
                <w:color w:val="000000" w:themeColor="text1"/>
              </w:rPr>
              <w:t xml:space="preserve"> у тому числі іноземна юридична особа, яка від свого імені видає (заповнює) сертифікат (бланк) неемісійного цінного паперу та бере на себе зобов’язання за таким цінним папером перед його власником.</w:t>
            </w:r>
          </w:p>
        </w:tc>
      </w:tr>
      <w:tr w:rsidR="00F77E8D" w:rsidRPr="00286216" w14:paraId="312E3E15" w14:textId="77777777" w:rsidTr="00091AA5">
        <w:tc>
          <w:tcPr>
            <w:tcW w:w="576" w:type="dxa"/>
          </w:tcPr>
          <w:p w14:paraId="0D5AC990" w14:textId="77777777" w:rsidR="004B55AD" w:rsidRPr="00286216" w:rsidRDefault="004B55AD" w:rsidP="004B55AD">
            <w:pPr>
              <w:pStyle w:val="StyleWisnow"/>
              <w:rPr>
                <w:color w:val="000000" w:themeColor="text1"/>
              </w:rPr>
            </w:pPr>
            <w:bookmarkStart w:id="138" w:name="n133" w:colFirst="0" w:colLast="0"/>
            <w:bookmarkEnd w:id="137"/>
            <w:r w:rsidRPr="00286216">
              <w:rPr>
                <w:color w:val="000000" w:themeColor="text1"/>
              </w:rPr>
              <w:t>133.</w:t>
            </w:r>
          </w:p>
        </w:tc>
        <w:tc>
          <w:tcPr>
            <w:tcW w:w="4818" w:type="dxa"/>
          </w:tcPr>
          <w:p w14:paraId="6EF35B79" w14:textId="77777777" w:rsidR="004B55AD" w:rsidRPr="00286216" w:rsidRDefault="004B55AD" w:rsidP="004B55AD">
            <w:pPr>
              <w:pStyle w:val="StyleZakonu"/>
              <w:rPr>
                <w:color w:val="000000" w:themeColor="text1"/>
              </w:rPr>
            </w:pPr>
            <w:r w:rsidRPr="00286216">
              <w:rPr>
                <w:color w:val="000000" w:themeColor="text1"/>
              </w:rPr>
              <w:t>Інвестори у фінансові інструменти - фізичні та юридичні особи, резиденти і нерезиденти, які набули права власності на фінансові інструменти з метою отримання доходу від вкладених коштів та/або збереження вартості вкладених активів та/або набуття відповідних прав, що надаються власнику фінансових інструментів відповідно до законодавства, або в межах виконання повноважень щодо державного управління у відповідній сфері, або які є сторонами деривативних контрактів.</w:t>
            </w:r>
          </w:p>
        </w:tc>
        <w:tc>
          <w:tcPr>
            <w:tcW w:w="3686" w:type="dxa"/>
          </w:tcPr>
          <w:p w14:paraId="090919B6" w14:textId="19E6AABF"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172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D2C0C32" w14:textId="77777777" w:rsidR="004B55AD" w:rsidRPr="00286216" w:rsidRDefault="004B55AD" w:rsidP="004B55AD">
            <w:pPr>
              <w:pStyle w:val="StyleProp"/>
              <w:rPr>
                <w:color w:val="000000" w:themeColor="text1"/>
                <w:szCs w:val="18"/>
              </w:rPr>
            </w:pPr>
            <w:r w:rsidRPr="00286216">
              <w:rPr>
                <w:color w:val="000000" w:themeColor="text1"/>
                <w:szCs w:val="18"/>
              </w:rPr>
              <w:t>У абзаці дев’ятому частини другої статті 3 слова «резиденти і нерезиденти» замінити словами «у тому числі фізичні особи-іноземці та іноземні юридичні особи».</w:t>
            </w:r>
          </w:p>
        </w:tc>
        <w:tc>
          <w:tcPr>
            <w:tcW w:w="1987" w:type="dxa"/>
          </w:tcPr>
          <w:p w14:paraId="5DDCB307"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6CCFDB7" w14:textId="59209511" w:rsidR="004B55AD" w:rsidRPr="00286216" w:rsidRDefault="004B55AD" w:rsidP="004B55AD">
            <w:pPr>
              <w:pStyle w:val="StyleZakonu"/>
              <w:rPr>
                <w:color w:val="000000" w:themeColor="text1"/>
              </w:rPr>
            </w:pPr>
            <w:r w:rsidRPr="00286216">
              <w:rPr>
                <w:color w:val="000000" w:themeColor="text1"/>
              </w:rPr>
              <w:t xml:space="preserve">Інвестори у фінансові інструменти – це фізичні та юридичні особи, </w:t>
            </w:r>
            <w:r w:rsidRPr="00286216">
              <w:rPr>
                <w:color w:val="000000" w:themeColor="text1"/>
                <w:szCs w:val="18"/>
              </w:rPr>
              <w:t>у тому числі фізичні особи-іноземці та іноземні юридичні особи</w:t>
            </w:r>
            <w:r w:rsidRPr="00286216">
              <w:rPr>
                <w:color w:val="000000" w:themeColor="text1"/>
              </w:rPr>
              <w:t>, які набули права власності на фінансові інструменти з метою отримання доходу від вкладених коштів та/або збереження вартості вкладених активів</w:t>
            </w:r>
            <w:r w:rsidR="00B80E72" w:rsidRPr="00286216">
              <w:rPr>
                <w:color w:val="000000" w:themeColor="text1"/>
              </w:rPr>
              <w:t>,</w:t>
            </w:r>
            <w:r w:rsidRPr="00286216">
              <w:rPr>
                <w:color w:val="000000" w:themeColor="text1"/>
              </w:rPr>
              <w:t xml:space="preserve"> та/або набуття відповідних прав, що надаються власнику фінансових інструментів відповідно до законодавства, або в межах виконання повноважень щодо державного управління у відповідній сфері, або які є сторонами деривативних контрактів.</w:t>
            </w:r>
          </w:p>
        </w:tc>
      </w:tr>
      <w:tr w:rsidR="00F77E8D" w:rsidRPr="00286216" w14:paraId="0160F1AC" w14:textId="77777777" w:rsidTr="00091AA5">
        <w:tc>
          <w:tcPr>
            <w:tcW w:w="576" w:type="dxa"/>
          </w:tcPr>
          <w:p w14:paraId="561074FC" w14:textId="77777777" w:rsidR="004B55AD" w:rsidRPr="00286216" w:rsidRDefault="004B55AD" w:rsidP="004B55AD">
            <w:pPr>
              <w:pStyle w:val="StyleWisnow"/>
              <w:rPr>
                <w:color w:val="000000" w:themeColor="text1"/>
              </w:rPr>
            </w:pPr>
            <w:bookmarkStart w:id="139" w:name="n134" w:colFirst="0" w:colLast="0"/>
            <w:bookmarkEnd w:id="138"/>
            <w:r w:rsidRPr="00286216">
              <w:rPr>
                <w:color w:val="000000" w:themeColor="text1"/>
              </w:rPr>
              <w:t>134.</w:t>
            </w:r>
          </w:p>
        </w:tc>
        <w:tc>
          <w:tcPr>
            <w:tcW w:w="4818" w:type="dxa"/>
          </w:tcPr>
          <w:p w14:paraId="5064BAB7" w14:textId="77777777" w:rsidR="004B55AD" w:rsidRPr="00286216" w:rsidRDefault="004B55AD" w:rsidP="004B55AD">
            <w:pPr>
              <w:pStyle w:val="StyleZakonu"/>
              <w:rPr>
                <w:color w:val="000000" w:themeColor="text1"/>
              </w:rPr>
            </w:pPr>
            <w:r w:rsidRPr="00286216">
              <w:rPr>
                <w:color w:val="000000" w:themeColor="text1"/>
              </w:rPr>
              <w:t>Інституційні інвестори - інвестори у фінансові інструменти, які є інститутами спільного інвестування (пайовими та корпоративними інвестиційними фондами), інвестиційними фондами, взаємними фондами інвестиційних компаній, недержавними пенсійними фондами, фондами банківського управління, страховими компаніями, іншими фінансовими установами, що здійснюють операції з фінансовими активами в інтересах третіх осіб за власний рахунок чи за рахунок цих осіб, а у випадках, передбачених законодавством, -також за рахунок залучених від інших осіб фінансових активів з метою отримання прибутку або збереження реальної вартості фінансових активів.</w:t>
            </w:r>
          </w:p>
        </w:tc>
        <w:tc>
          <w:tcPr>
            <w:tcW w:w="3686" w:type="dxa"/>
          </w:tcPr>
          <w:p w14:paraId="435BF026" w14:textId="1778003B" w:rsidR="004B55AD" w:rsidRPr="00286216" w:rsidRDefault="004B55AD" w:rsidP="004B55AD">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173</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3918AA56" w14:textId="77777777" w:rsidR="004B55AD" w:rsidRPr="00286216" w:rsidRDefault="004B55AD" w:rsidP="004B55AD">
            <w:pPr>
              <w:pStyle w:val="StyleProp"/>
              <w:spacing w:line="180" w:lineRule="exact"/>
              <w:rPr>
                <w:color w:val="000000" w:themeColor="text1"/>
              </w:rPr>
            </w:pPr>
            <w:r w:rsidRPr="00286216">
              <w:rPr>
                <w:color w:val="000000" w:themeColor="text1"/>
              </w:rPr>
              <w:t>у абзаці десятому пункту 2:</w:t>
            </w:r>
          </w:p>
          <w:p w14:paraId="024B787E" w14:textId="77777777" w:rsidR="004B55AD" w:rsidRPr="00286216" w:rsidRDefault="004B55AD" w:rsidP="004B55AD">
            <w:pPr>
              <w:pStyle w:val="StyleProp"/>
              <w:spacing w:line="180" w:lineRule="exact"/>
              <w:rPr>
                <w:color w:val="000000" w:themeColor="text1"/>
              </w:rPr>
            </w:pPr>
            <w:r w:rsidRPr="00286216">
              <w:rPr>
                <w:color w:val="000000" w:themeColor="text1"/>
              </w:rPr>
              <w:t>слова «інвестори у фінансові інструменти, які» замінити словами «це учасники фінансового ринку, які виконують функції фінансових посередників, в частині трансформації заощаджень в інвестиції, шляхом випуску власних фінансових інструментів (для акумулювання коштів) і формування інвестиційного портфелю (використання коштів) з метою отримання інвестиційного доходу</w:t>
            </w:r>
            <w:r w:rsidRPr="00286216">
              <w:rPr>
                <w:color w:val="000000" w:themeColor="text1"/>
                <w:sz w:val="28"/>
                <w:szCs w:val="28"/>
              </w:rPr>
              <w:t xml:space="preserve"> </w:t>
            </w:r>
            <w:r w:rsidRPr="00286216">
              <w:rPr>
                <w:color w:val="000000" w:themeColor="text1"/>
              </w:rPr>
              <w:t>або збереження реальної вартості фінансових активів. Інвестиційні інвестори»;</w:t>
            </w:r>
          </w:p>
          <w:p w14:paraId="245A25AF" w14:textId="77777777" w:rsidR="004B55AD" w:rsidRPr="00286216" w:rsidRDefault="004B55AD" w:rsidP="004B55AD">
            <w:pPr>
              <w:pStyle w:val="StyleProp"/>
              <w:spacing w:line="180" w:lineRule="exact"/>
              <w:rPr>
                <w:color w:val="000000" w:themeColor="text1"/>
                <w:szCs w:val="18"/>
              </w:rPr>
            </w:pPr>
            <w:r w:rsidRPr="00286216">
              <w:rPr>
                <w:color w:val="000000" w:themeColor="text1"/>
              </w:rPr>
              <w:t>слова «з метою отримання прибутку або збереження реальної вартості фінансових активів» виключити.</w:t>
            </w:r>
          </w:p>
        </w:tc>
        <w:tc>
          <w:tcPr>
            <w:tcW w:w="1987" w:type="dxa"/>
          </w:tcPr>
          <w:p w14:paraId="31646EFD" w14:textId="77777777" w:rsidR="004B55AD" w:rsidRPr="00286216" w:rsidRDefault="004B55AD" w:rsidP="004B55AD">
            <w:pPr>
              <w:pStyle w:val="StyleWisnow"/>
              <w:rPr>
                <w:color w:val="000000" w:themeColor="text1"/>
              </w:rPr>
            </w:pPr>
            <w:r w:rsidRPr="00286216">
              <w:rPr>
                <w:color w:val="000000" w:themeColor="text1"/>
              </w:rPr>
              <w:t>Враховано частково</w:t>
            </w:r>
          </w:p>
        </w:tc>
        <w:tc>
          <w:tcPr>
            <w:tcW w:w="4818" w:type="dxa"/>
          </w:tcPr>
          <w:p w14:paraId="7502A42B" w14:textId="42B32F87" w:rsidR="004B55AD" w:rsidRPr="00286216" w:rsidRDefault="004B55AD" w:rsidP="00B80E72">
            <w:pPr>
              <w:pStyle w:val="StyleZakonu"/>
              <w:rPr>
                <w:color w:val="000000" w:themeColor="text1"/>
              </w:rPr>
            </w:pPr>
            <w:r w:rsidRPr="00286216">
              <w:rPr>
                <w:color w:val="000000" w:themeColor="text1"/>
              </w:rPr>
              <w:t xml:space="preserve">Інституційні інвестори – це інвестори у фінансові інструменти, які є інститутами спільного інвестування (пайовими та корпоративними інвестиційними фондами), інвестиційними фондами, взаємними фондами інвестиційних компаній, недержавними пенсійними фондами, фондами банківського управління, страховими компаніями, іншими фінансовими установами, що здійснюють операції з фінансовими активами в інтересах третіх осіб за власний рахунок чи за рахунок </w:t>
            </w:r>
            <w:r w:rsidR="00B80E72" w:rsidRPr="00286216">
              <w:rPr>
                <w:color w:val="000000" w:themeColor="text1"/>
              </w:rPr>
              <w:t xml:space="preserve">таких </w:t>
            </w:r>
            <w:r w:rsidRPr="00286216">
              <w:rPr>
                <w:color w:val="000000" w:themeColor="text1"/>
              </w:rPr>
              <w:t xml:space="preserve">осіб, а у випадках, передбачених законодавством, </w:t>
            </w:r>
            <w:r w:rsidR="00B80E72" w:rsidRPr="00286216">
              <w:rPr>
                <w:color w:val="000000" w:themeColor="text1"/>
              </w:rPr>
              <w:t>–</w:t>
            </w:r>
            <w:r w:rsidRPr="00286216">
              <w:rPr>
                <w:color w:val="000000" w:themeColor="text1"/>
              </w:rPr>
              <w:t xml:space="preserve"> також за рахунок залучених від інших осіб фінансових активів.</w:t>
            </w:r>
          </w:p>
        </w:tc>
      </w:tr>
      <w:tr w:rsidR="00F77E8D" w:rsidRPr="00286216" w14:paraId="058DE558" w14:textId="77777777" w:rsidTr="00091AA5">
        <w:tc>
          <w:tcPr>
            <w:tcW w:w="576" w:type="dxa"/>
          </w:tcPr>
          <w:p w14:paraId="7F240442" w14:textId="77777777" w:rsidR="004B55AD" w:rsidRPr="00286216" w:rsidRDefault="004B55AD" w:rsidP="004B55AD">
            <w:pPr>
              <w:pStyle w:val="StyleWisnow"/>
              <w:rPr>
                <w:color w:val="000000" w:themeColor="text1"/>
              </w:rPr>
            </w:pPr>
            <w:bookmarkStart w:id="140" w:name="n135" w:colFirst="0" w:colLast="0"/>
            <w:bookmarkEnd w:id="139"/>
            <w:r w:rsidRPr="00286216">
              <w:rPr>
                <w:color w:val="000000" w:themeColor="text1"/>
              </w:rPr>
              <w:t>135.</w:t>
            </w:r>
          </w:p>
        </w:tc>
        <w:tc>
          <w:tcPr>
            <w:tcW w:w="4818" w:type="dxa"/>
          </w:tcPr>
          <w:p w14:paraId="23C461B3" w14:textId="77777777" w:rsidR="004B55AD" w:rsidRPr="00286216" w:rsidRDefault="004B55AD" w:rsidP="004B55AD">
            <w:pPr>
              <w:pStyle w:val="StyleZakonu"/>
              <w:rPr>
                <w:color w:val="000000" w:themeColor="text1"/>
              </w:rPr>
            </w:pPr>
            <w:r w:rsidRPr="00286216">
              <w:rPr>
                <w:color w:val="000000" w:themeColor="text1"/>
              </w:rPr>
              <w:t>Особливості інвестування інституційними інвесторами визначаються законом.</w:t>
            </w:r>
          </w:p>
        </w:tc>
        <w:tc>
          <w:tcPr>
            <w:tcW w:w="3686" w:type="dxa"/>
          </w:tcPr>
          <w:p w14:paraId="3FE4C97F" w14:textId="77777777" w:rsidR="004B55AD" w:rsidRPr="00286216" w:rsidRDefault="004B55AD" w:rsidP="004B55AD">
            <w:pPr>
              <w:pStyle w:val="StyleProp"/>
              <w:rPr>
                <w:color w:val="000000" w:themeColor="text1"/>
                <w:szCs w:val="18"/>
              </w:rPr>
            </w:pPr>
          </w:p>
        </w:tc>
        <w:tc>
          <w:tcPr>
            <w:tcW w:w="1987" w:type="dxa"/>
          </w:tcPr>
          <w:p w14:paraId="4712F330" w14:textId="77777777" w:rsidR="004B55AD" w:rsidRPr="00286216" w:rsidRDefault="004B55AD" w:rsidP="004B55AD">
            <w:pPr>
              <w:pStyle w:val="StyleWisnow"/>
              <w:rPr>
                <w:color w:val="000000" w:themeColor="text1"/>
              </w:rPr>
            </w:pPr>
          </w:p>
        </w:tc>
        <w:tc>
          <w:tcPr>
            <w:tcW w:w="4818" w:type="dxa"/>
          </w:tcPr>
          <w:p w14:paraId="3D08616A" w14:textId="77777777" w:rsidR="004B55AD" w:rsidRPr="00286216" w:rsidRDefault="004B55AD" w:rsidP="004B55AD">
            <w:pPr>
              <w:pStyle w:val="StyleZakonu"/>
              <w:rPr>
                <w:color w:val="000000" w:themeColor="text1"/>
              </w:rPr>
            </w:pPr>
            <w:r w:rsidRPr="00286216">
              <w:rPr>
                <w:color w:val="000000" w:themeColor="text1"/>
              </w:rPr>
              <w:t>Особливості інвестування інституційними інвесторами визначаються законом.</w:t>
            </w:r>
          </w:p>
        </w:tc>
      </w:tr>
      <w:tr w:rsidR="00F77E8D" w:rsidRPr="00286216" w14:paraId="29E148B3" w14:textId="77777777" w:rsidTr="00091AA5">
        <w:tc>
          <w:tcPr>
            <w:tcW w:w="576" w:type="dxa"/>
          </w:tcPr>
          <w:p w14:paraId="2FA41F89" w14:textId="77777777" w:rsidR="004B55AD" w:rsidRPr="00286216" w:rsidRDefault="004B55AD" w:rsidP="004B55AD">
            <w:pPr>
              <w:pStyle w:val="StyleWisnow"/>
              <w:rPr>
                <w:color w:val="000000" w:themeColor="text1"/>
              </w:rPr>
            </w:pPr>
            <w:bookmarkStart w:id="141" w:name="n136" w:colFirst="0" w:colLast="0"/>
            <w:bookmarkEnd w:id="140"/>
            <w:r w:rsidRPr="00286216">
              <w:rPr>
                <w:color w:val="000000" w:themeColor="text1"/>
              </w:rPr>
              <w:t>136.</w:t>
            </w:r>
          </w:p>
        </w:tc>
        <w:tc>
          <w:tcPr>
            <w:tcW w:w="4818" w:type="dxa"/>
          </w:tcPr>
          <w:p w14:paraId="465A97F2" w14:textId="77777777" w:rsidR="004B55AD" w:rsidRPr="00286216" w:rsidRDefault="004B55AD" w:rsidP="004B55AD">
            <w:pPr>
              <w:pStyle w:val="StyleZakonu"/>
              <w:rPr>
                <w:color w:val="000000" w:themeColor="text1"/>
              </w:rPr>
            </w:pPr>
            <w:r w:rsidRPr="00286216">
              <w:rPr>
                <w:color w:val="000000" w:themeColor="text1"/>
              </w:rPr>
              <w:t xml:space="preserve">Кваліфіковані інвестори у фінансові інструменти (професійні клієнти) (далі - кваліфіковані інвестори) -інвестори у фінансові інструменти, які володіють вміннями, досвідом та знаннями в галузі ринків </w:t>
            </w:r>
            <w:r w:rsidRPr="00286216">
              <w:rPr>
                <w:color w:val="000000" w:themeColor="text1"/>
              </w:rPr>
              <w:lastRenderedPageBreak/>
              <w:t>капіталу, достатніми для прийняття ними самостійних інвестиційних рішень та оцінки ризиків щодо вчинення правочинів щодо фінансових інструментів. Кваліфікованими інвесторами є особи, визначені статтею 5 цього Закону.</w:t>
            </w:r>
          </w:p>
        </w:tc>
        <w:tc>
          <w:tcPr>
            <w:tcW w:w="3686" w:type="dxa"/>
          </w:tcPr>
          <w:p w14:paraId="1C83FC34" w14:textId="77777777" w:rsidR="004B55AD" w:rsidRPr="00286216" w:rsidRDefault="004B55AD" w:rsidP="004B55AD">
            <w:pPr>
              <w:pStyle w:val="StyleProp"/>
              <w:rPr>
                <w:color w:val="000000" w:themeColor="text1"/>
                <w:szCs w:val="18"/>
              </w:rPr>
            </w:pPr>
          </w:p>
        </w:tc>
        <w:tc>
          <w:tcPr>
            <w:tcW w:w="1987" w:type="dxa"/>
          </w:tcPr>
          <w:p w14:paraId="0E6F0FD7" w14:textId="77777777" w:rsidR="004B55AD" w:rsidRPr="00286216" w:rsidRDefault="004B55AD" w:rsidP="004B55AD">
            <w:pPr>
              <w:pStyle w:val="StyleWisnow"/>
              <w:rPr>
                <w:color w:val="000000" w:themeColor="text1"/>
              </w:rPr>
            </w:pPr>
          </w:p>
        </w:tc>
        <w:tc>
          <w:tcPr>
            <w:tcW w:w="4818" w:type="dxa"/>
          </w:tcPr>
          <w:p w14:paraId="55BF6061" w14:textId="66F65EEC" w:rsidR="004B55AD" w:rsidRPr="00286216" w:rsidRDefault="004B55AD" w:rsidP="004B55AD">
            <w:pPr>
              <w:pStyle w:val="StyleZakonu"/>
              <w:rPr>
                <w:color w:val="000000" w:themeColor="text1"/>
              </w:rPr>
            </w:pPr>
            <w:r w:rsidRPr="00286216">
              <w:rPr>
                <w:color w:val="000000" w:themeColor="text1"/>
              </w:rPr>
              <w:t xml:space="preserve">Кваліфіковані інвестори у фінансові інструменти (професійні клієнти) (далі - кваліфіковані інвестори) –це інвестори у фінансові інструменти, які володіють вміннями, досвідом та знаннями в галузі ринків </w:t>
            </w:r>
            <w:r w:rsidRPr="00286216">
              <w:rPr>
                <w:color w:val="000000" w:themeColor="text1"/>
              </w:rPr>
              <w:lastRenderedPageBreak/>
              <w:t>капіталу, достатніми для прийняття ними самостійних інвестиційних рішень та оцінки ризиків щодо вчинення правочинів щодо фінансових інструментів. Кваліфікованими інвесторами є особи, визначені статтею 6 цього Закону.</w:t>
            </w:r>
          </w:p>
        </w:tc>
      </w:tr>
      <w:tr w:rsidR="00F77E8D" w:rsidRPr="00286216" w14:paraId="08B58348" w14:textId="77777777" w:rsidTr="00091AA5">
        <w:tc>
          <w:tcPr>
            <w:tcW w:w="576" w:type="dxa"/>
          </w:tcPr>
          <w:p w14:paraId="42AEBE3D" w14:textId="77777777" w:rsidR="004B55AD" w:rsidRPr="00286216" w:rsidRDefault="004B55AD" w:rsidP="004B55AD">
            <w:pPr>
              <w:pStyle w:val="StyleWisnow"/>
              <w:rPr>
                <w:color w:val="000000" w:themeColor="text1"/>
              </w:rPr>
            </w:pPr>
            <w:bookmarkStart w:id="142" w:name="n137" w:colFirst="0" w:colLast="0"/>
            <w:bookmarkEnd w:id="141"/>
            <w:r w:rsidRPr="00286216">
              <w:rPr>
                <w:color w:val="000000" w:themeColor="text1"/>
              </w:rPr>
              <w:lastRenderedPageBreak/>
              <w:t>137.</w:t>
            </w:r>
          </w:p>
        </w:tc>
        <w:tc>
          <w:tcPr>
            <w:tcW w:w="4818" w:type="dxa"/>
          </w:tcPr>
          <w:p w14:paraId="44C50160" w14:textId="77777777" w:rsidR="004B55AD" w:rsidRPr="00286216" w:rsidRDefault="004B55AD" w:rsidP="004B55AD">
            <w:pPr>
              <w:pStyle w:val="StyleZakonu"/>
              <w:rPr>
                <w:color w:val="000000" w:themeColor="text1"/>
              </w:rPr>
            </w:pPr>
            <w:r w:rsidRPr="00286216">
              <w:rPr>
                <w:color w:val="000000" w:themeColor="text1"/>
              </w:rPr>
              <w:t>Саморегулівна організація професійних учасників ринків капіталу - неприбуткове об’єднання учасників ринків капіталу, що провадять професійну діяльність на ринках капіталу, яке відповідає вимогам, установленим Національною комісією з цінних паперів та фондового ринку.</w:t>
            </w:r>
          </w:p>
        </w:tc>
        <w:tc>
          <w:tcPr>
            <w:tcW w:w="3686" w:type="dxa"/>
          </w:tcPr>
          <w:p w14:paraId="54D2AA33" w14:textId="29D39D06"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0D836B4" w14:textId="0B5DEE5D" w:rsidR="004B55AD" w:rsidRPr="00286216" w:rsidRDefault="004B55AD" w:rsidP="004B55AD">
            <w:pPr>
              <w:pStyle w:val="StyleProp"/>
              <w:rPr>
                <w:color w:val="000000" w:themeColor="text1"/>
                <w:szCs w:val="18"/>
              </w:rPr>
            </w:pPr>
            <w:r w:rsidRPr="00286216">
              <w:rPr>
                <w:color w:val="000000" w:themeColor="text1"/>
                <w:szCs w:val="18"/>
              </w:rPr>
              <w:t>В абзаці 13 частини 2статті 3 слово "неприбуткове" виключити, слово "учасників" замінити словами "професійних учасників", слова "що провадять професійну діяльність на ринках капіталу" виключити.</w:t>
            </w:r>
          </w:p>
        </w:tc>
        <w:tc>
          <w:tcPr>
            <w:tcW w:w="1987" w:type="dxa"/>
          </w:tcPr>
          <w:p w14:paraId="71B75880"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21CB20C9" w14:textId="630281BF" w:rsidR="004B55AD" w:rsidRPr="00286216" w:rsidRDefault="004B55AD" w:rsidP="004B55AD">
            <w:pPr>
              <w:pStyle w:val="StyleZakonu"/>
              <w:rPr>
                <w:color w:val="000000" w:themeColor="text1"/>
              </w:rPr>
            </w:pPr>
            <w:r w:rsidRPr="00286216">
              <w:rPr>
                <w:color w:val="000000" w:themeColor="text1"/>
              </w:rPr>
              <w:t xml:space="preserve">Саморегулівна організація професійних учасників ринків капіталу – це об’єднання </w:t>
            </w:r>
            <w:r w:rsidRPr="00286216">
              <w:rPr>
                <w:color w:val="000000" w:themeColor="text1"/>
                <w:szCs w:val="18"/>
              </w:rPr>
              <w:t xml:space="preserve">професійних </w:t>
            </w:r>
            <w:r w:rsidRPr="00286216">
              <w:rPr>
                <w:color w:val="000000" w:themeColor="text1"/>
              </w:rPr>
              <w:t>учасників ринків капіталу, що відповідає вимогам, встановленим Національною комісією з цінних паперів та фондового ринку.</w:t>
            </w:r>
          </w:p>
        </w:tc>
      </w:tr>
      <w:tr w:rsidR="00F77E8D" w:rsidRPr="00286216" w14:paraId="06388D67" w14:textId="77777777" w:rsidTr="00091AA5">
        <w:tc>
          <w:tcPr>
            <w:tcW w:w="576" w:type="dxa"/>
          </w:tcPr>
          <w:p w14:paraId="367A26D7" w14:textId="77777777" w:rsidR="004B55AD" w:rsidRPr="00286216" w:rsidRDefault="004B55AD" w:rsidP="004B55AD">
            <w:pPr>
              <w:pStyle w:val="StyleWisnow"/>
              <w:rPr>
                <w:color w:val="000000" w:themeColor="text1"/>
              </w:rPr>
            </w:pPr>
            <w:bookmarkStart w:id="143" w:name="n138" w:colFirst="0" w:colLast="0"/>
            <w:bookmarkEnd w:id="142"/>
            <w:r w:rsidRPr="00286216">
              <w:rPr>
                <w:color w:val="000000" w:themeColor="text1"/>
              </w:rPr>
              <w:t>138.</w:t>
            </w:r>
          </w:p>
        </w:tc>
        <w:tc>
          <w:tcPr>
            <w:tcW w:w="4818" w:type="dxa"/>
          </w:tcPr>
          <w:p w14:paraId="0730DD1A" w14:textId="77777777" w:rsidR="004B55AD" w:rsidRPr="00286216" w:rsidRDefault="004B55AD" w:rsidP="004B55AD">
            <w:pPr>
              <w:pStyle w:val="StyleZakonu"/>
              <w:rPr>
                <w:color w:val="000000" w:themeColor="text1"/>
              </w:rPr>
            </w:pPr>
            <w:r w:rsidRPr="00286216">
              <w:rPr>
                <w:color w:val="000000" w:themeColor="text1"/>
              </w:rPr>
              <w:t>Професійні учасники ринків капіталу - юридичні особи, утворені в організаційно-правовій формі акціонерних товариств, товариств з обмеженою відповідальністю або товариств з додатковою відповідальністю, що провадять на ринках капіталу професійну діяльність, види якої визначені законами України.</w:t>
            </w:r>
          </w:p>
        </w:tc>
        <w:tc>
          <w:tcPr>
            <w:tcW w:w="3686" w:type="dxa"/>
          </w:tcPr>
          <w:p w14:paraId="789EDD7F" w14:textId="2E1D1C2E"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1A4540A" w14:textId="2A55907B" w:rsidR="004B55AD" w:rsidRPr="00286216" w:rsidRDefault="004B55AD" w:rsidP="004B55AD">
            <w:pPr>
              <w:pStyle w:val="StyleZakonu"/>
              <w:spacing w:after="0"/>
              <w:rPr>
                <w:color w:val="000000" w:themeColor="text1"/>
                <w:sz w:val="18"/>
              </w:rPr>
            </w:pPr>
            <w:r w:rsidRPr="00286216">
              <w:rPr>
                <w:color w:val="000000" w:themeColor="text1"/>
                <w:sz w:val="18"/>
              </w:rPr>
              <w:t>Доповнити абзац чотирнадцятий частини другої статті 3 реченнями такого змісту:</w:t>
            </w:r>
          </w:p>
          <w:p w14:paraId="7824C131" w14:textId="38498573" w:rsidR="004B55AD" w:rsidRPr="00286216" w:rsidRDefault="004B55AD" w:rsidP="004B55AD">
            <w:pPr>
              <w:pStyle w:val="StyleProp"/>
              <w:rPr>
                <w:color w:val="000000" w:themeColor="text1"/>
              </w:rPr>
            </w:pPr>
            <w:r w:rsidRPr="00286216">
              <w:rPr>
                <w:color w:val="000000" w:themeColor="text1"/>
              </w:rPr>
              <w:t>«Центральний депозитарій цінних паперів має статус професійного учасника ринків капіталу.</w:t>
            </w:r>
          </w:p>
          <w:p w14:paraId="1838C3B3" w14:textId="54F6FDB2" w:rsidR="004B55AD" w:rsidRPr="00286216" w:rsidRDefault="004B55AD" w:rsidP="004B55AD">
            <w:pPr>
              <w:pStyle w:val="StyleProp"/>
              <w:rPr>
                <w:color w:val="000000" w:themeColor="text1"/>
                <w:szCs w:val="18"/>
              </w:rPr>
            </w:pPr>
            <w:r w:rsidRPr="00286216">
              <w:rPr>
                <w:color w:val="000000" w:themeColor="text1"/>
              </w:rPr>
              <w:t>Національний банк України провадить професійну діяльність на ринках капіталу відповідно до закону. Національна комісія з цінних паперів та фондового ринку за погодженням з Національним банком України може встановлювати особливості провадження Національним банком України професійної діяльності на ринках капіталу».</w:t>
            </w:r>
          </w:p>
        </w:tc>
        <w:tc>
          <w:tcPr>
            <w:tcW w:w="1987" w:type="dxa"/>
          </w:tcPr>
          <w:p w14:paraId="54B8691E"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CA5449C" w14:textId="7A5FE6B7" w:rsidR="004B55AD" w:rsidRPr="00286216" w:rsidRDefault="004B55AD" w:rsidP="004B55AD">
            <w:pPr>
              <w:pStyle w:val="StyleZakonu"/>
              <w:rPr>
                <w:color w:val="000000" w:themeColor="text1"/>
              </w:rPr>
            </w:pPr>
            <w:r w:rsidRPr="00286216">
              <w:rPr>
                <w:color w:val="000000" w:themeColor="text1"/>
              </w:rPr>
              <w:t>Професійні учасники ринків капіталу – це юридичні особи, що функціонують в організаційно-правовій формі акціонерного товариства, товариства з обмеженою відповідальністю або товариства з додатковою відповідальністю, що провадять на ринках капіталу професійну діяльність, види якої визначені законом. Центральний депозитарій цінних паперів має статус професійного учасника ринків капіталу.</w:t>
            </w:r>
          </w:p>
          <w:p w14:paraId="41A586FE" w14:textId="61D0753F" w:rsidR="004B55AD" w:rsidRPr="00286216" w:rsidRDefault="004B55AD" w:rsidP="004B55AD">
            <w:pPr>
              <w:pStyle w:val="StyleZakonu"/>
              <w:rPr>
                <w:color w:val="000000" w:themeColor="text1"/>
              </w:rPr>
            </w:pPr>
            <w:r w:rsidRPr="00286216">
              <w:rPr>
                <w:color w:val="000000" w:themeColor="text1"/>
              </w:rPr>
              <w:t>Національний банк України провадить професійну діяльність на ринках капіталу відповідно до закону. Національна комісія з цінних паперів та фондового ринку за погодженням з Національним банком України може встановлювати особливості провадження Національним банком України професійної діяльності на ринках капіталу.</w:t>
            </w:r>
          </w:p>
        </w:tc>
      </w:tr>
      <w:tr w:rsidR="00F77E8D" w:rsidRPr="00286216" w14:paraId="3167FD6A" w14:textId="77777777" w:rsidTr="00091AA5">
        <w:tc>
          <w:tcPr>
            <w:tcW w:w="576" w:type="dxa"/>
          </w:tcPr>
          <w:p w14:paraId="429554B3" w14:textId="77777777" w:rsidR="004B55AD" w:rsidRPr="00286216" w:rsidRDefault="004B55AD" w:rsidP="004B55AD">
            <w:pPr>
              <w:pStyle w:val="StyleWisnow"/>
              <w:rPr>
                <w:color w:val="000000" w:themeColor="text1"/>
              </w:rPr>
            </w:pPr>
            <w:bookmarkStart w:id="144" w:name="n139" w:colFirst="0" w:colLast="0"/>
            <w:bookmarkEnd w:id="143"/>
            <w:r w:rsidRPr="00286216">
              <w:rPr>
                <w:color w:val="000000" w:themeColor="text1"/>
              </w:rPr>
              <w:t>139.</w:t>
            </w:r>
          </w:p>
        </w:tc>
        <w:tc>
          <w:tcPr>
            <w:tcW w:w="4818" w:type="dxa"/>
          </w:tcPr>
          <w:p w14:paraId="75DF3E47" w14:textId="77777777" w:rsidR="004B55AD" w:rsidRPr="00286216" w:rsidRDefault="004B55AD" w:rsidP="004B55AD">
            <w:pPr>
              <w:pStyle w:val="StyleZakonu"/>
              <w:rPr>
                <w:color w:val="000000" w:themeColor="text1"/>
              </w:rPr>
            </w:pPr>
            <w:r w:rsidRPr="00286216">
              <w:rPr>
                <w:color w:val="000000" w:themeColor="text1"/>
              </w:rPr>
              <w:t xml:space="preserve">Професійним учасником ринків капіталу не може бути іноземна юридична особа, яка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 </w:t>
            </w:r>
            <w:r w:rsidRPr="00286216">
              <w:rPr>
                <w:color w:val="000000" w:themeColor="text1"/>
                <w:lang w:eastAsia="uk-UA"/>
              </w:rPr>
              <w:t xml:space="preserve">Власником істотної участі в </w:t>
            </w:r>
            <w:r w:rsidRPr="00286216">
              <w:rPr>
                <w:color w:val="000000" w:themeColor="text1"/>
              </w:rPr>
              <w:t>професійному учаснику ринків капіталу</w:t>
            </w:r>
            <w:r w:rsidRPr="00286216">
              <w:rPr>
                <w:color w:val="000000" w:themeColor="text1"/>
                <w:lang w:eastAsia="uk-UA"/>
              </w:rPr>
              <w:t xml:space="preserve"> не може бути іноземна юридична або фізична особа, яка </w:t>
            </w:r>
            <w:r w:rsidRPr="00286216">
              <w:rPr>
                <w:color w:val="000000" w:themeColor="text1"/>
              </w:rPr>
              <w:t xml:space="preserve">є резидентом держави, що здійснює збройну агресію проти України у значенні, наведеному у статті 1 Закону України "Про оборону України", а також особи до яких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w:t>
            </w:r>
            <w:r w:rsidRPr="00286216">
              <w:rPr>
                <w:color w:val="000000" w:themeColor="text1"/>
              </w:rPr>
              <w:lastRenderedPageBreak/>
              <w:t>фінансових операцій.</w:t>
            </w:r>
          </w:p>
        </w:tc>
        <w:tc>
          <w:tcPr>
            <w:tcW w:w="3686" w:type="dxa"/>
          </w:tcPr>
          <w:p w14:paraId="10650F2D" w14:textId="746547C6" w:rsidR="004B55AD" w:rsidRPr="00286216" w:rsidRDefault="004B55AD" w:rsidP="004B55AD">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003DBAF" w14:textId="77777777" w:rsidR="004B55AD" w:rsidRPr="00286216" w:rsidRDefault="004B55AD" w:rsidP="004B55AD">
            <w:pPr>
              <w:pStyle w:val="StyleProp"/>
              <w:rPr>
                <w:color w:val="000000" w:themeColor="text1"/>
                <w:szCs w:val="18"/>
              </w:rPr>
            </w:pPr>
            <w:r w:rsidRPr="00286216">
              <w:rPr>
                <w:color w:val="000000" w:themeColor="text1"/>
                <w:szCs w:val="18"/>
              </w:rPr>
              <w:t>Друге речення абзацу п’ятнадцятого частини другої статті 3 виключити.</w:t>
            </w:r>
          </w:p>
          <w:p w14:paraId="7F0F9419" w14:textId="6F273AD3"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177</w:t>
            </w:r>
            <w:r w:rsidRPr="00286216">
              <w:rPr>
                <w:color w:val="000000" w:themeColor="text1"/>
                <w:spacing w:val="-10"/>
              </w:rPr>
              <w:fldChar w:fldCharType="end"/>
            </w:r>
            <w:r w:rsidRPr="00286216">
              <w:rPr>
                <w:color w:val="000000" w:themeColor="text1"/>
                <w:spacing w:val="-10"/>
              </w:rPr>
              <w:t>-Н.д.Гетманцев Д.О.(Реєстр.картка №245)</w:t>
            </w:r>
          </w:p>
          <w:p w14:paraId="13B186E2" w14:textId="77777777" w:rsidR="004B55AD" w:rsidRPr="00286216" w:rsidRDefault="004B55AD" w:rsidP="00CD1870">
            <w:pPr>
              <w:pStyle w:val="StyleProp"/>
              <w:spacing w:line="190" w:lineRule="exact"/>
              <w:rPr>
                <w:color w:val="000000" w:themeColor="text1"/>
              </w:rPr>
            </w:pPr>
            <w:r w:rsidRPr="00286216">
              <w:rPr>
                <w:color w:val="000000" w:themeColor="text1"/>
              </w:rPr>
              <w:t>Абзац п’ятнадцятий частини другої статті 3 викласти у такій редакції:</w:t>
            </w:r>
          </w:p>
          <w:p w14:paraId="1C905310" w14:textId="77777777" w:rsidR="004B55AD" w:rsidRPr="00286216" w:rsidRDefault="004B55AD" w:rsidP="00CD1870">
            <w:pPr>
              <w:pStyle w:val="StyleProp"/>
              <w:spacing w:line="190" w:lineRule="exact"/>
              <w:rPr>
                <w:color w:val="000000" w:themeColor="text1"/>
              </w:rPr>
            </w:pPr>
            <w:r w:rsidRPr="00286216">
              <w:rPr>
                <w:color w:val="000000" w:themeColor="text1"/>
              </w:rPr>
              <w:t>«Професійним учасником ринків капіталу не може бути юридична особа, яка відповідає хоча б одному із таких критеріїв:</w:t>
            </w:r>
          </w:p>
          <w:p w14:paraId="67CF40D0" w14:textId="77777777" w:rsidR="004B55AD" w:rsidRPr="00286216" w:rsidRDefault="004B55AD" w:rsidP="00CD1870">
            <w:pPr>
              <w:pStyle w:val="StyleProp"/>
              <w:spacing w:line="190" w:lineRule="exact"/>
              <w:rPr>
                <w:color w:val="000000" w:themeColor="text1"/>
              </w:rPr>
            </w:pPr>
            <w:r w:rsidRPr="00286216">
              <w:rPr>
                <w:color w:val="000000" w:themeColor="text1"/>
              </w:rPr>
              <w:t>- є нерезидентом України, у тому числі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14F647A7" w14:textId="77777777" w:rsidR="004B55AD" w:rsidRPr="00286216" w:rsidRDefault="004B55AD" w:rsidP="00CD1870">
            <w:pPr>
              <w:pStyle w:val="StyleProp"/>
              <w:spacing w:line="190" w:lineRule="exact"/>
              <w:rPr>
                <w:color w:val="000000" w:themeColor="text1"/>
              </w:rPr>
            </w:pPr>
            <w:r w:rsidRPr="00286216">
              <w:rPr>
                <w:color w:val="000000" w:themeColor="text1"/>
              </w:rPr>
              <w:t>- відносно юридичної особи застосовані санкції відповідно до Закону України "Про санкції";</w:t>
            </w:r>
          </w:p>
          <w:p w14:paraId="47278E36" w14:textId="77777777" w:rsidR="004B55AD" w:rsidRPr="00286216" w:rsidRDefault="004B55AD" w:rsidP="00CD1870">
            <w:pPr>
              <w:pStyle w:val="StyleProp"/>
              <w:spacing w:line="190" w:lineRule="exact"/>
              <w:rPr>
                <w:color w:val="000000" w:themeColor="text1"/>
              </w:rPr>
            </w:pPr>
            <w:r w:rsidRPr="00286216">
              <w:rPr>
                <w:color w:val="000000" w:themeColor="text1"/>
              </w:rPr>
              <w:t xml:space="preserve">- юридична особа включена до переліку осіб, пов'язаних з провадженням </w:t>
            </w:r>
            <w:r w:rsidRPr="00286216">
              <w:rPr>
                <w:color w:val="000000" w:themeColor="text1"/>
              </w:rPr>
              <w:lastRenderedPageBreak/>
              <w:t>терористичної діяльності, або щодо якої застосовано міжнародні санкції;</w:t>
            </w:r>
          </w:p>
          <w:p w14:paraId="53877E77" w14:textId="77777777" w:rsidR="004B55AD" w:rsidRPr="00286216" w:rsidRDefault="004B55AD" w:rsidP="00CD1870">
            <w:pPr>
              <w:pStyle w:val="StyleProp"/>
              <w:spacing w:line="190" w:lineRule="exact"/>
              <w:rPr>
                <w:color w:val="000000" w:themeColor="text1"/>
              </w:rPr>
            </w:pPr>
            <w:r w:rsidRPr="00286216">
              <w:rPr>
                <w:color w:val="000000" w:themeColor="text1"/>
              </w:rPr>
              <w:t>- юридична особа має податковий борг, який не погашений протягом двох місяців з дня його виникнення;</w:t>
            </w:r>
          </w:p>
          <w:p w14:paraId="100B74B3" w14:textId="77777777" w:rsidR="004B55AD" w:rsidRPr="00286216" w:rsidRDefault="004B55AD" w:rsidP="00CD1870">
            <w:pPr>
              <w:pStyle w:val="StyleProp"/>
              <w:spacing w:line="190" w:lineRule="exact"/>
              <w:rPr>
                <w:color w:val="000000" w:themeColor="text1"/>
              </w:rPr>
            </w:pPr>
            <w:r w:rsidRPr="00286216">
              <w:rPr>
                <w:color w:val="000000" w:themeColor="text1"/>
              </w:rPr>
              <w:t>- юридична особа не відповідає вимогам, що встановлені законодавством для професійних учасників ринків капіталів.</w:t>
            </w:r>
          </w:p>
          <w:p w14:paraId="2288A5DC" w14:textId="77777777" w:rsidR="004B55AD" w:rsidRPr="00286216" w:rsidRDefault="004B55AD" w:rsidP="00CD1870">
            <w:pPr>
              <w:pStyle w:val="StyleProp"/>
              <w:spacing w:line="190" w:lineRule="exact"/>
              <w:rPr>
                <w:color w:val="000000" w:themeColor="text1"/>
              </w:rPr>
            </w:pPr>
            <w:r w:rsidRPr="00286216">
              <w:rPr>
                <w:color w:val="000000" w:themeColor="text1"/>
              </w:rPr>
              <w:t>Власником істотної участі в професійному учаснику ринків капіталу не може бути юридична або фізична особа, яка відповідає хоча б одному із таких критеріїв:</w:t>
            </w:r>
          </w:p>
          <w:p w14:paraId="6F4FB08D" w14:textId="77777777" w:rsidR="004B55AD" w:rsidRPr="00286216" w:rsidRDefault="004B55AD" w:rsidP="00CD1870">
            <w:pPr>
              <w:pStyle w:val="StyleProp"/>
              <w:spacing w:line="190" w:lineRule="exact"/>
              <w:rPr>
                <w:color w:val="000000" w:themeColor="text1"/>
              </w:rPr>
            </w:pPr>
            <w:r w:rsidRPr="00286216">
              <w:rPr>
                <w:color w:val="000000" w:themeColor="text1"/>
              </w:rPr>
              <w:t>а) є резидентом держави, що здійснює збройну агресію проти України у значенні, наведеному у статті 1 Закону України «Про оборону України»;</w:t>
            </w:r>
          </w:p>
          <w:p w14:paraId="5F3503F0" w14:textId="77777777" w:rsidR="004B55AD" w:rsidRPr="00286216" w:rsidRDefault="004B55AD" w:rsidP="00CD1870">
            <w:pPr>
              <w:pStyle w:val="StyleProp"/>
              <w:spacing w:line="190" w:lineRule="exact"/>
              <w:rPr>
                <w:color w:val="000000" w:themeColor="text1"/>
              </w:rPr>
            </w:pPr>
            <w:r w:rsidRPr="00286216">
              <w:rPr>
                <w:color w:val="000000" w:themeColor="text1"/>
              </w:rPr>
              <w:t>б)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p w14:paraId="0FE4EBA0" w14:textId="77777777" w:rsidR="004B55AD" w:rsidRPr="00286216" w:rsidRDefault="004B55AD" w:rsidP="00CD1870">
            <w:pPr>
              <w:pStyle w:val="StyleProp"/>
              <w:spacing w:line="190" w:lineRule="exact"/>
              <w:rPr>
                <w:color w:val="000000" w:themeColor="text1"/>
              </w:rPr>
            </w:pPr>
            <w:r w:rsidRPr="00286216">
              <w:rPr>
                <w:color w:val="000000" w:themeColor="text1"/>
              </w:rPr>
              <w:t>в) до особи або до її посадових осіб застосовані санкції відповідно до Закону України "Про санкції";</w:t>
            </w:r>
          </w:p>
          <w:p w14:paraId="5C302001" w14:textId="77777777" w:rsidR="004B55AD" w:rsidRPr="00286216" w:rsidRDefault="004B55AD" w:rsidP="00CD1870">
            <w:pPr>
              <w:pStyle w:val="StyleProp"/>
              <w:spacing w:line="190" w:lineRule="exact"/>
              <w:rPr>
                <w:color w:val="000000" w:themeColor="text1"/>
              </w:rPr>
            </w:pPr>
            <w:r w:rsidRPr="00286216">
              <w:rPr>
                <w:color w:val="000000" w:themeColor="text1"/>
              </w:rPr>
              <w:t>г) особа або її посадові особи включені до переліку осіб, пов'язаних з провадженням терористичної діяльності, або щодо яких застосовано міжнародні санкції;</w:t>
            </w:r>
          </w:p>
          <w:p w14:paraId="3D48C01F" w14:textId="77777777" w:rsidR="004B55AD" w:rsidRPr="00286216" w:rsidRDefault="004B55AD" w:rsidP="00CD1870">
            <w:pPr>
              <w:pStyle w:val="StyleProp"/>
              <w:spacing w:line="190" w:lineRule="exact"/>
              <w:rPr>
                <w:color w:val="000000" w:themeColor="text1"/>
              </w:rPr>
            </w:pPr>
            <w:r w:rsidRPr="00286216">
              <w:rPr>
                <w:color w:val="000000" w:themeColor="text1"/>
              </w:rPr>
              <w:t>ґ) особа, підконтрольна особам, зазначеним в пунктах «а» - «г» цього абзацу, або має таких осіб у своїй структурі власності;</w:t>
            </w:r>
          </w:p>
          <w:p w14:paraId="2AFF4579" w14:textId="77777777" w:rsidR="004B55AD" w:rsidRPr="00286216" w:rsidRDefault="004B55AD" w:rsidP="00CD1870">
            <w:pPr>
              <w:pStyle w:val="StyleProp"/>
              <w:spacing w:line="190" w:lineRule="exact"/>
              <w:rPr>
                <w:color w:val="000000" w:themeColor="text1"/>
              </w:rPr>
            </w:pPr>
            <w:r w:rsidRPr="00286216">
              <w:rPr>
                <w:color w:val="000000" w:themeColor="text1"/>
              </w:rPr>
              <w:t>д) не відповідає вимогам, передбаченим законодавством.»</w:t>
            </w:r>
          </w:p>
        </w:tc>
        <w:tc>
          <w:tcPr>
            <w:tcW w:w="1987" w:type="dxa"/>
          </w:tcPr>
          <w:p w14:paraId="1E18EF20"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p w14:paraId="3D9A72FF" w14:textId="77777777" w:rsidR="004B55AD" w:rsidRPr="00286216" w:rsidRDefault="004B55AD" w:rsidP="004B55AD">
            <w:pPr>
              <w:pStyle w:val="StyleWisnow"/>
              <w:rPr>
                <w:color w:val="000000" w:themeColor="text1"/>
              </w:rPr>
            </w:pPr>
          </w:p>
          <w:p w14:paraId="693A6857" w14:textId="77777777" w:rsidR="004B55AD" w:rsidRPr="00286216" w:rsidRDefault="004B55AD" w:rsidP="004B55AD">
            <w:pPr>
              <w:pStyle w:val="StyleWisnow"/>
              <w:rPr>
                <w:color w:val="000000" w:themeColor="text1"/>
              </w:rPr>
            </w:pPr>
          </w:p>
          <w:p w14:paraId="00C1CB4B" w14:textId="77777777" w:rsidR="004B55AD" w:rsidRPr="00286216" w:rsidRDefault="004B55AD" w:rsidP="004B55AD">
            <w:pPr>
              <w:pStyle w:val="StyleWisnow"/>
              <w:rPr>
                <w:color w:val="000000" w:themeColor="text1"/>
              </w:rPr>
            </w:pPr>
            <w:r w:rsidRPr="00286216">
              <w:rPr>
                <w:color w:val="000000" w:themeColor="text1"/>
              </w:rPr>
              <w:t>Враховано частково</w:t>
            </w:r>
          </w:p>
          <w:p w14:paraId="25A0AF20" w14:textId="1D673C10" w:rsidR="004B55AD" w:rsidRPr="00286216" w:rsidRDefault="004B55AD" w:rsidP="004B55AD">
            <w:pPr>
              <w:pStyle w:val="StyleWisnow"/>
              <w:rPr>
                <w:color w:val="000000" w:themeColor="text1"/>
              </w:rPr>
            </w:pPr>
            <w:r w:rsidRPr="00286216">
              <w:rPr>
                <w:color w:val="000000" w:themeColor="text1"/>
              </w:rPr>
              <w:t>зокрема, в редакції статті 74</w:t>
            </w:r>
          </w:p>
        </w:tc>
        <w:tc>
          <w:tcPr>
            <w:tcW w:w="4818" w:type="dxa"/>
          </w:tcPr>
          <w:p w14:paraId="206B1EEB" w14:textId="7E90067F" w:rsidR="004B55AD" w:rsidRPr="00286216" w:rsidRDefault="004B55AD" w:rsidP="004B55AD">
            <w:pPr>
              <w:pStyle w:val="StyleZakonu"/>
              <w:rPr>
                <w:color w:val="000000" w:themeColor="text1"/>
              </w:rPr>
            </w:pPr>
            <w:r w:rsidRPr="00286216">
              <w:rPr>
                <w:color w:val="000000" w:themeColor="text1"/>
              </w:rPr>
              <w:t>Професійним учасником ринків капіталу не може бути юридична особа, яка відповідає хоча б одному з таких критеріїв:</w:t>
            </w:r>
          </w:p>
          <w:p w14:paraId="488DD681" w14:textId="77777777" w:rsidR="004B55AD" w:rsidRPr="00286216" w:rsidRDefault="004B55AD" w:rsidP="004B55AD">
            <w:pPr>
              <w:pStyle w:val="StyleZakonu"/>
              <w:rPr>
                <w:color w:val="000000" w:themeColor="text1"/>
              </w:rPr>
            </w:pPr>
            <w:r w:rsidRPr="00286216">
              <w:rPr>
                <w:color w:val="000000" w:themeColor="text1"/>
              </w:rPr>
              <w:t>1)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046AECBE" w14:textId="6F331419" w:rsidR="004B55AD" w:rsidRPr="00286216" w:rsidRDefault="004B55AD" w:rsidP="004B55AD">
            <w:pPr>
              <w:pStyle w:val="StyleZakonu"/>
              <w:rPr>
                <w:color w:val="000000" w:themeColor="text1"/>
              </w:rPr>
            </w:pPr>
            <w:r w:rsidRPr="00286216">
              <w:rPr>
                <w:color w:val="000000" w:themeColor="text1"/>
              </w:rPr>
              <w:t>2) до юридичної особи застосовані санкції відповідно до Закону України "Про санкції";</w:t>
            </w:r>
          </w:p>
          <w:p w14:paraId="1508F6F7" w14:textId="1596FCEB" w:rsidR="004B55AD" w:rsidRPr="00286216" w:rsidRDefault="004B55AD" w:rsidP="004B55AD">
            <w:pPr>
              <w:pStyle w:val="StyleZakonu"/>
              <w:rPr>
                <w:color w:val="000000" w:themeColor="text1"/>
              </w:rPr>
            </w:pPr>
            <w:r w:rsidRPr="00286216">
              <w:rPr>
                <w:color w:val="000000" w:themeColor="text1"/>
              </w:rPr>
              <w:t>3) юридична особа включена до переліку осіб, пов'язаних з провадженням терористичної діяльності або стосовно яких застосовано міжнародні санкції;</w:t>
            </w:r>
          </w:p>
          <w:p w14:paraId="13F70F37" w14:textId="47967059" w:rsidR="004B55AD" w:rsidRPr="00286216" w:rsidRDefault="004B55AD" w:rsidP="004B55AD">
            <w:pPr>
              <w:pStyle w:val="StyleZakonu"/>
              <w:rPr>
                <w:color w:val="000000" w:themeColor="text1"/>
              </w:rPr>
            </w:pPr>
            <w:r w:rsidRPr="00286216">
              <w:rPr>
                <w:color w:val="000000" w:themeColor="text1"/>
              </w:rPr>
              <w:t>4) юридична особа підконтрольна особам, зазначеним в пунктах 1 – 3 цієї частини, або має таких осіб у своїй структурі власності юридичної особи;</w:t>
            </w:r>
          </w:p>
          <w:p w14:paraId="53063D3C" w14:textId="22128693" w:rsidR="004B55AD" w:rsidRPr="00286216" w:rsidRDefault="004B55AD" w:rsidP="00E4467C">
            <w:pPr>
              <w:pStyle w:val="StyleZakonu"/>
              <w:rPr>
                <w:color w:val="000000" w:themeColor="text1"/>
              </w:rPr>
            </w:pPr>
            <w:r w:rsidRPr="00286216">
              <w:rPr>
                <w:color w:val="000000" w:themeColor="text1"/>
              </w:rPr>
              <w:t xml:space="preserve">5) юридична особа не відповідає вимогам, </w:t>
            </w:r>
            <w:r w:rsidRPr="00286216">
              <w:rPr>
                <w:color w:val="000000" w:themeColor="text1"/>
              </w:rPr>
              <w:lastRenderedPageBreak/>
              <w:t>встановлен</w:t>
            </w:r>
            <w:r w:rsidR="00E4467C" w:rsidRPr="00286216">
              <w:rPr>
                <w:color w:val="000000" w:themeColor="text1"/>
              </w:rPr>
              <w:t>им</w:t>
            </w:r>
            <w:r w:rsidRPr="00286216">
              <w:rPr>
                <w:color w:val="000000" w:themeColor="text1"/>
              </w:rPr>
              <w:t xml:space="preserve"> законодавством до професійних учасників ринків капітал</w:t>
            </w:r>
            <w:r w:rsidR="00E4467C" w:rsidRPr="00286216">
              <w:rPr>
                <w:color w:val="000000" w:themeColor="text1"/>
              </w:rPr>
              <w:t>у</w:t>
            </w:r>
            <w:r w:rsidRPr="00286216">
              <w:rPr>
                <w:color w:val="000000" w:themeColor="text1"/>
              </w:rPr>
              <w:t>.</w:t>
            </w:r>
          </w:p>
        </w:tc>
      </w:tr>
      <w:tr w:rsidR="00F77E8D" w:rsidRPr="00286216" w14:paraId="259D8E72" w14:textId="77777777" w:rsidTr="00091AA5">
        <w:tc>
          <w:tcPr>
            <w:tcW w:w="576" w:type="dxa"/>
          </w:tcPr>
          <w:p w14:paraId="7D71A472" w14:textId="77777777" w:rsidR="004B55AD" w:rsidRPr="00286216" w:rsidRDefault="004B55AD" w:rsidP="004B55AD">
            <w:pPr>
              <w:pStyle w:val="StyleWisnow"/>
              <w:rPr>
                <w:color w:val="000000" w:themeColor="text1"/>
              </w:rPr>
            </w:pPr>
            <w:bookmarkStart w:id="145" w:name="n140" w:colFirst="0" w:colLast="0"/>
            <w:bookmarkEnd w:id="144"/>
            <w:r w:rsidRPr="00286216">
              <w:rPr>
                <w:color w:val="000000" w:themeColor="text1"/>
              </w:rPr>
              <w:lastRenderedPageBreak/>
              <w:t>140.</w:t>
            </w:r>
          </w:p>
        </w:tc>
        <w:tc>
          <w:tcPr>
            <w:tcW w:w="4818" w:type="dxa"/>
          </w:tcPr>
          <w:p w14:paraId="0BBE9A8F" w14:textId="77777777" w:rsidR="004B55AD" w:rsidRPr="00286216" w:rsidRDefault="004B55AD" w:rsidP="004B55AD">
            <w:pPr>
              <w:pStyle w:val="StyleZakonu"/>
              <w:rPr>
                <w:color w:val="000000" w:themeColor="text1"/>
              </w:rPr>
            </w:pPr>
            <w:r w:rsidRPr="00286216">
              <w:rPr>
                <w:color w:val="000000" w:themeColor="text1"/>
              </w:rPr>
              <w:t>3. Ринки капіталу поділяються на організовані та поза організовані ринки.</w:t>
            </w:r>
          </w:p>
        </w:tc>
        <w:tc>
          <w:tcPr>
            <w:tcW w:w="3686" w:type="dxa"/>
          </w:tcPr>
          <w:p w14:paraId="2A3C1E37" w14:textId="16F7C70A"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178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F5FFBA5" w14:textId="77777777" w:rsidR="004B55AD" w:rsidRPr="00286216" w:rsidRDefault="004B55AD" w:rsidP="00C65731">
            <w:pPr>
              <w:pStyle w:val="StyleProp"/>
              <w:spacing w:line="180" w:lineRule="exact"/>
              <w:rPr>
                <w:color w:val="000000" w:themeColor="text1"/>
              </w:rPr>
            </w:pPr>
            <w:r w:rsidRPr="00286216">
              <w:rPr>
                <w:color w:val="000000" w:themeColor="text1"/>
                <w:szCs w:val="18"/>
              </w:rPr>
              <w:t>«Торгівля фінансовими інструментами здійснюється на організованих ринках капіталу та поза ними».</w:t>
            </w:r>
          </w:p>
          <w:p w14:paraId="0045D6B7" w14:textId="7B0DE0A9"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179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24AE1EE" w14:textId="77777777" w:rsidR="004B55AD" w:rsidRPr="00286216" w:rsidRDefault="004B55AD" w:rsidP="00CD1870">
            <w:pPr>
              <w:pStyle w:val="StyleProp"/>
              <w:spacing w:line="190" w:lineRule="exact"/>
              <w:rPr>
                <w:rFonts w:eastAsia="Calibri"/>
                <w:color w:val="000000" w:themeColor="text1"/>
                <w:spacing w:val="-3"/>
                <w:szCs w:val="18"/>
              </w:rPr>
            </w:pPr>
            <w:r w:rsidRPr="00286216">
              <w:rPr>
                <w:rFonts w:eastAsia="Calibri"/>
                <w:color w:val="000000" w:themeColor="text1"/>
                <w:spacing w:val="-3"/>
                <w:szCs w:val="18"/>
              </w:rPr>
              <w:t>Частину 3 статті 2 викласти у такій редакції:</w:t>
            </w:r>
          </w:p>
          <w:p w14:paraId="5DCA2AD2" w14:textId="77777777" w:rsidR="004B55AD" w:rsidRPr="00286216" w:rsidRDefault="004B55AD" w:rsidP="00CD1870">
            <w:pPr>
              <w:pStyle w:val="StyleProp"/>
              <w:spacing w:line="190" w:lineRule="exact"/>
              <w:rPr>
                <w:rFonts w:eastAsia="Calibri"/>
                <w:color w:val="000000" w:themeColor="text1"/>
                <w:szCs w:val="18"/>
              </w:rPr>
            </w:pPr>
            <w:r w:rsidRPr="00286216">
              <w:rPr>
                <w:rFonts w:eastAsia="Calibri"/>
                <w:color w:val="000000" w:themeColor="text1"/>
                <w:szCs w:val="18"/>
              </w:rPr>
              <w:t>«3. Ринки капіталу поділяються на організовані та неорганізовані ринки.</w:t>
            </w:r>
          </w:p>
          <w:p w14:paraId="2FD9ADD0" w14:textId="77777777" w:rsidR="004B55AD" w:rsidRPr="00286216" w:rsidRDefault="004B55AD" w:rsidP="00CD1870">
            <w:pPr>
              <w:pStyle w:val="StyleProp"/>
              <w:spacing w:line="190" w:lineRule="exact"/>
              <w:rPr>
                <w:rFonts w:eastAsia="Calibri"/>
                <w:color w:val="000000" w:themeColor="text1"/>
                <w:spacing w:val="-2"/>
                <w:szCs w:val="18"/>
              </w:rPr>
            </w:pPr>
            <w:r w:rsidRPr="00286216">
              <w:rPr>
                <w:rFonts w:eastAsia="Calibri"/>
                <w:color w:val="000000" w:themeColor="text1"/>
                <w:spacing w:val="-2"/>
                <w:szCs w:val="18"/>
              </w:rPr>
              <w:t>До організованих ринків капіталу відносяться регульовані ринки, БТМ  та ОТМ.</w:t>
            </w:r>
          </w:p>
          <w:p w14:paraId="4CEDC35A" w14:textId="77777777" w:rsidR="004B55AD" w:rsidRPr="00286216" w:rsidRDefault="004B55AD" w:rsidP="00CD1870">
            <w:pPr>
              <w:pStyle w:val="StyleProp"/>
              <w:spacing w:line="190" w:lineRule="exact"/>
              <w:rPr>
                <w:rFonts w:eastAsia="Calibri"/>
                <w:color w:val="000000" w:themeColor="text1"/>
                <w:szCs w:val="18"/>
              </w:rPr>
            </w:pPr>
            <w:r w:rsidRPr="00286216">
              <w:rPr>
                <w:rFonts w:eastAsia="Calibri"/>
                <w:color w:val="000000" w:themeColor="text1"/>
                <w:szCs w:val="18"/>
              </w:rPr>
              <w:t>До неорганізованих відносяться ринки, торгівля на яких здійснюється поза організованим ринком».</w:t>
            </w:r>
          </w:p>
        </w:tc>
        <w:tc>
          <w:tcPr>
            <w:tcW w:w="1987" w:type="dxa"/>
          </w:tcPr>
          <w:p w14:paraId="586C35C6"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4A57E437" w14:textId="77777777" w:rsidR="004B55AD" w:rsidRPr="00286216" w:rsidRDefault="004B55AD" w:rsidP="004B55AD">
            <w:pPr>
              <w:pStyle w:val="StyleWisnow"/>
              <w:spacing w:line="180" w:lineRule="exact"/>
              <w:rPr>
                <w:color w:val="000000" w:themeColor="text1"/>
              </w:rPr>
            </w:pPr>
          </w:p>
          <w:p w14:paraId="28DAF26A" w14:textId="77777777" w:rsidR="004B55AD" w:rsidRPr="00286216" w:rsidRDefault="004B55AD" w:rsidP="004B55AD">
            <w:pPr>
              <w:pStyle w:val="StyleWisnow"/>
              <w:spacing w:line="180" w:lineRule="exact"/>
              <w:rPr>
                <w:color w:val="000000" w:themeColor="text1"/>
              </w:rPr>
            </w:pPr>
          </w:p>
          <w:p w14:paraId="72929D94" w14:textId="5150CEF0" w:rsidR="004B55AD" w:rsidRPr="00286216" w:rsidRDefault="004B55AD" w:rsidP="004B55AD">
            <w:pPr>
              <w:pStyle w:val="StyleWisnow"/>
              <w:spacing w:line="180" w:lineRule="exact"/>
              <w:rPr>
                <w:color w:val="000000" w:themeColor="text1"/>
              </w:rPr>
            </w:pPr>
          </w:p>
          <w:p w14:paraId="241FB9A6" w14:textId="77777777" w:rsidR="004B55AD" w:rsidRPr="00286216" w:rsidRDefault="004B55AD" w:rsidP="004B55AD">
            <w:pPr>
              <w:pStyle w:val="StyleWisnow"/>
              <w:spacing w:line="180" w:lineRule="exact"/>
              <w:rPr>
                <w:color w:val="000000" w:themeColor="text1"/>
              </w:rPr>
            </w:pPr>
          </w:p>
          <w:p w14:paraId="030178A0" w14:textId="77777777" w:rsidR="004B55AD" w:rsidRPr="00286216" w:rsidRDefault="004B55AD" w:rsidP="004B55AD">
            <w:pPr>
              <w:pStyle w:val="StyleWisnow"/>
              <w:spacing w:line="180" w:lineRule="exact"/>
              <w:rPr>
                <w:color w:val="000000" w:themeColor="text1"/>
              </w:rPr>
            </w:pPr>
            <w:r w:rsidRPr="00286216">
              <w:rPr>
                <w:color w:val="000000" w:themeColor="text1"/>
              </w:rPr>
              <w:t>Відхилено</w:t>
            </w:r>
          </w:p>
          <w:p w14:paraId="6A7D3B8F" w14:textId="438B5014" w:rsidR="004B55AD" w:rsidRPr="00286216" w:rsidRDefault="006276D5" w:rsidP="006276D5">
            <w:pPr>
              <w:pStyle w:val="StyleWisnow"/>
              <w:spacing w:line="180" w:lineRule="exact"/>
              <w:rPr>
                <w:color w:val="000000" w:themeColor="text1"/>
              </w:rPr>
            </w:pPr>
            <w:r w:rsidRPr="00286216">
              <w:rPr>
                <w:color w:val="000000" w:themeColor="text1"/>
              </w:rPr>
              <w:t>р</w:t>
            </w:r>
            <w:r w:rsidR="004B55AD" w:rsidRPr="00286216">
              <w:rPr>
                <w:color w:val="000000" w:themeColor="text1"/>
              </w:rPr>
              <w:t>инок повинен мати організовані структури та механізми, і виключно організована торгівля є торгівлею на ринку.</w:t>
            </w:r>
          </w:p>
        </w:tc>
        <w:tc>
          <w:tcPr>
            <w:tcW w:w="4818" w:type="dxa"/>
          </w:tcPr>
          <w:p w14:paraId="6162C7F3" w14:textId="77777777" w:rsidR="004B55AD" w:rsidRPr="00286216" w:rsidRDefault="004B55AD" w:rsidP="004B55AD">
            <w:pPr>
              <w:pStyle w:val="StyleZakonu"/>
              <w:rPr>
                <w:color w:val="000000" w:themeColor="text1"/>
              </w:rPr>
            </w:pPr>
            <w:r w:rsidRPr="00286216">
              <w:rPr>
                <w:color w:val="000000" w:themeColor="text1"/>
              </w:rPr>
              <w:t>3. Торгівля фінансовими інструментами здійснюється на організованих ринках капіталу та поза ними.</w:t>
            </w:r>
          </w:p>
        </w:tc>
      </w:tr>
      <w:tr w:rsidR="00F77E8D" w:rsidRPr="00286216" w14:paraId="487A188F" w14:textId="77777777" w:rsidTr="00091AA5">
        <w:tc>
          <w:tcPr>
            <w:tcW w:w="576" w:type="dxa"/>
          </w:tcPr>
          <w:p w14:paraId="286E64BC" w14:textId="77777777" w:rsidR="004B55AD" w:rsidRPr="00286216" w:rsidRDefault="004B55AD" w:rsidP="004B55AD">
            <w:pPr>
              <w:pStyle w:val="StyleWisnow"/>
              <w:rPr>
                <w:color w:val="000000" w:themeColor="text1"/>
              </w:rPr>
            </w:pPr>
            <w:bookmarkStart w:id="146" w:name="n141" w:colFirst="0" w:colLast="0"/>
            <w:bookmarkEnd w:id="145"/>
            <w:r w:rsidRPr="00286216">
              <w:rPr>
                <w:color w:val="000000" w:themeColor="text1"/>
              </w:rPr>
              <w:t>141.</w:t>
            </w:r>
          </w:p>
        </w:tc>
        <w:tc>
          <w:tcPr>
            <w:tcW w:w="4818" w:type="dxa"/>
          </w:tcPr>
          <w:p w14:paraId="2E1B586A" w14:textId="77777777" w:rsidR="004B55AD" w:rsidRPr="00286216" w:rsidRDefault="004B55AD" w:rsidP="004B55AD">
            <w:pPr>
              <w:pStyle w:val="StyleZakonu"/>
              <w:rPr>
                <w:color w:val="000000" w:themeColor="text1"/>
              </w:rPr>
            </w:pPr>
            <w:r w:rsidRPr="00286216">
              <w:rPr>
                <w:color w:val="000000" w:themeColor="text1"/>
              </w:rPr>
              <w:t xml:space="preserve">Організований ринок капіталу - регульовані ринки </w:t>
            </w:r>
            <w:r w:rsidRPr="00286216">
              <w:rPr>
                <w:color w:val="000000" w:themeColor="text1"/>
              </w:rPr>
              <w:lastRenderedPageBreak/>
              <w:t>(фондові, деривативних (похідних) фінансових інструментів, грошові), БТМ (фондові, деривативних (похідних) фінансових інструментів) та ОТМ (облігацій та деривативних (похідних) фінансових інструментів).</w:t>
            </w:r>
          </w:p>
        </w:tc>
        <w:tc>
          <w:tcPr>
            <w:tcW w:w="3686" w:type="dxa"/>
          </w:tcPr>
          <w:p w14:paraId="6A1BA55C" w14:textId="20FAD08C" w:rsidR="004B55AD" w:rsidRPr="00286216" w:rsidRDefault="004B55AD" w:rsidP="004B55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180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1A3A5DF" w14:textId="77777777" w:rsidR="004B55AD" w:rsidRPr="00286216" w:rsidRDefault="004B55AD" w:rsidP="004B55AD">
            <w:pPr>
              <w:pStyle w:val="StyleProp"/>
              <w:spacing w:line="180" w:lineRule="exact"/>
              <w:rPr>
                <w:color w:val="000000" w:themeColor="text1"/>
                <w:szCs w:val="18"/>
              </w:rPr>
            </w:pPr>
            <w:r w:rsidRPr="00286216">
              <w:rPr>
                <w:color w:val="000000" w:themeColor="text1"/>
                <w:szCs w:val="18"/>
              </w:rPr>
              <w:lastRenderedPageBreak/>
              <w:t>В тексті закону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3E1F219F"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tc>
        <w:tc>
          <w:tcPr>
            <w:tcW w:w="4818" w:type="dxa"/>
          </w:tcPr>
          <w:p w14:paraId="4B59A0C9" w14:textId="087F1348" w:rsidR="004B55AD" w:rsidRPr="00286216" w:rsidRDefault="004B55AD" w:rsidP="00E4467C">
            <w:pPr>
              <w:pStyle w:val="StyleZakonu"/>
              <w:rPr>
                <w:color w:val="000000" w:themeColor="text1"/>
              </w:rPr>
            </w:pPr>
            <w:r w:rsidRPr="00286216">
              <w:rPr>
                <w:color w:val="000000" w:themeColor="text1"/>
              </w:rPr>
              <w:t>Організован</w:t>
            </w:r>
            <w:r w:rsidR="00E4467C" w:rsidRPr="00286216">
              <w:rPr>
                <w:color w:val="000000" w:themeColor="text1"/>
              </w:rPr>
              <w:t>ими</w:t>
            </w:r>
            <w:r w:rsidRPr="00286216">
              <w:rPr>
                <w:color w:val="000000" w:themeColor="text1"/>
              </w:rPr>
              <w:t xml:space="preserve"> ринк</w:t>
            </w:r>
            <w:r w:rsidR="00E4467C" w:rsidRPr="00286216">
              <w:rPr>
                <w:color w:val="000000" w:themeColor="text1"/>
              </w:rPr>
              <w:t>ами</w:t>
            </w:r>
            <w:r w:rsidRPr="00286216">
              <w:rPr>
                <w:color w:val="000000" w:themeColor="text1"/>
              </w:rPr>
              <w:t xml:space="preserve"> капіталу є регульовані </w:t>
            </w:r>
            <w:r w:rsidRPr="00286216">
              <w:rPr>
                <w:color w:val="000000" w:themeColor="text1"/>
              </w:rPr>
              <w:lastRenderedPageBreak/>
              <w:t>ринки (фондові, деривативних контрактів, грошові), БТМ (фондові, деривативних контрактів) та ОТМ (облігацій та деривативних контрактів).</w:t>
            </w:r>
          </w:p>
        </w:tc>
      </w:tr>
      <w:bookmarkEnd w:id="146"/>
      <w:tr w:rsidR="00F77E8D" w:rsidRPr="00286216" w14:paraId="55B8C881" w14:textId="77777777" w:rsidTr="00091AA5">
        <w:tc>
          <w:tcPr>
            <w:tcW w:w="576" w:type="dxa"/>
          </w:tcPr>
          <w:p w14:paraId="0F0D021D" w14:textId="77777777" w:rsidR="004B55AD" w:rsidRPr="00286216" w:rsidRDefault="004B55AD" w:rsidP="004B55AD">
            <w:pPr>
              <w:pStyle w:val="StyleWisnow"/>
              <w:rPr>
                <w:color w:val="000000" w:themeColor="text1"/>
              </w:rPr>
            </w:pPr>
          </w:p>
        </w:tc>
        <w:tc>
          <w:tcPr>
            <w:tcW w:w="4818" w:type="dxa"/>
          </w:tcPr>
          <w:p w14:paraId="0116D60D" w14:textId="77777777" w:rsidR="004B55AD" w:rsidRPr="00286216" w:rsidRDefault="004B55AD" w:rsidP="004B55AD">
            <w:pPr>
              <w:pStyle w:val="StyleZakonu"/>
              <w:rPr>
                <w:color w:val="000000" w:themeColor="text1"/>
              </w:rPr>
            </w:pPr>
          </w:p>
        </w:tc>
        <w:tc>
          <w:tcPr>
            <w:tcW w:w="3686" w:type="dxa"/>
          </w:tcPr>
          <w:p w14:paraId="641E5716" w14:textId="79BC6FA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181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0958884" w14:textId="07702E83" w:rsidR="004B55AD" w:rsidRPr="00286216" w:rsidRDefault="004B55AD" w:rsidP="00C65731">
            <w:pPr>
              <w:pStyle w:val="StyleProp"/>
              <w:spacing w:line="180" w:lineRule="exact"/>
              <w:rPr>
                <w:color w:val="000000" w:themeColor="text1"/>
                <w:szCs w:val="18"/>
              </w:rPr>
            </w:pPr>
            <w:r w:rsidRPr="00286216">
              <w:rPr>
                <w:color w:val="000000" w:themeColor="text1"/>
                <w:szCs w:val="18"/>
              </w:rPr>
              <w:t xml:space="preserve">У статті 3 </w:t>
            </w:r>
            <w:r w:rsidR="006276D5" w:rsidRPr="00286216">
              <w:rPr>
                <w:color w:val="000000" w:themeColor="text1"/>
                <w:szCs w:val="18"/>
              </w:rPr>
              <w:t>в</w:t>
            </w:r>
            <w:r w:rsidRPr="00286216">
              <w:rPr>
                <w:color w:val="000000" w:themeColor="text1"/>
                <w:szCs w:val="18"/>
              </w:rPr>
              <w:t xml:space="preserve"> абзаці другому частині третьої слова «деривативних (похідних) фінансових інструментів» замінити словами «деривативних контрактів».</w:t>
            </w:r>
          </w:p>
        </w:tc>
        <w:tc>
          <w:tcPr>
            <w:tcW w:w="1987" w:type="dxa"/>
          </w:tcPr>
          <w:p w14:paraId="43A30166"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5F7990E7" w14:textId="77777777" w:rsidR="004B55AD" w:rsidRPr="00286216" w:rsidRDefault="004B55AD" w:rsidP="004B55AD">
            <w:pPr>
              <w:pStyle w:val="StyleZakonu"/>
              <w:rPr>
                <w:color w:val="000000" w:themeColor="text1"/>
              </w:rPr>
            </w:pPr>
          </w:p>
        </w:tc>
      </w:tr>
      <w:tr w:rsidR="00F77E8D" w:rsidRPr="00286216" w14:paraId="3F5F0B28" w14:textId="77777777" w:rsidTr="00091AA5">
        <w:tc>
          <w:tcPr>
            <w:tcW w:w="576" w:type="dxa"/>
          </w:tcPr>
          <w:p w14:paraId="2CF0EDDB" w14:textId="77777777" w:rsidR="004B55AD" w:rsidRPr="00286216" w:rsidRDefault="004B55AD" w:rsidP="004B55AD">
            <w:pPr>
              <w:pStyle w:val="StyleWisnow"/>
              <w:rPr>
                <w:color w:val="000000" w:themeColor="text1"/>
              </w:rPr>
            </w:pPr>
            <w:bookmarkStart w:id="147" w:name="n142" w:colFirst="0" w:colLast="0"/>
            <w:r w:rsidRPr="00286216">
              <w:rPr>
                <w:color w:val="000000" w:themeColor="text1"/>
              </w:rPr>
              <w:t>142.</w:t>
            </w:r>
          </w:p>
        </w:tc>
        <w:tc>
          <w:tcPr>
            <w:tcW w:w="4818" w:type="dxa"/>
          </w:tcPr>
          <w:p w14:paraId="31E1C11A" w14:textId="77777777" w:rsidR="004B55AD" w:rsidRPr="00286216" w:rsidRDefault="004B55AD" w:rsidP="004B55AD">
            <w:pPr>
              <w:pStyle w:val="StyleZakonu"/>
              <w:rPr>
                <w:color w:val="000000" w:themeColor="text1"/>
              </w:rPr>
            </w:pPr>
            <w:r w:rsidRPr="00286216">
              <w:rPr>
                <w:color w:val="000000" w:themeColor="text1"/>
              </w:rPr>
              <w:t>4. Якщо інше не встановлено законом або одна із сторін правочину не вимагає іншого, правочини щодо фінансових інструментів, які вчиняються поза організованим ринком, не потребують нотаріального посвідчення.</w:t>
            </w:r>
          </w:p>
        </w:tc>
        <w:tc>
          <w:tcPr>
            <w:tcW w:w="3686" w:type="dxa"/>
          </w:tcPr>
          <w:p w14:paraId="3CB9D46B" w14:textId="43020793" w:rsidR="004B55AD" w:rsidRPr="00286216" w:rsidRDefault="004B55AD" w:rsidP="004B55AD">
            <w:pPr>
              <w:spacing w:line="220" w:lineRule="exact"/>
              <w:rPr>
                <w:b/>
                <w:i/>
                <w:color w:val="000000" w:themeColor="text1"/>
                <w:spacing w:val="-6"/>
                <w:sz w:val="18"/>
                <w:szCs w:val="18"/>
                <w:u w:val="single"/>
              </w:rPr>
            </w:pPr>
            <w:r w:rsidRPr="00286216">
              <w:rPr>
                <w:b/>
                <w:i/>
                <w:color w:val="000000" w:themeColor="text1"/>
                <w:spacing w:val="-6"/>
                <w:sz w:val="18"/>
                <w:szCs w:val="18"/>
                <w:u w:val="single"/>
              </w:rPr>
              <w:t>-</w:t>
            </w:r>
            <w:r w:rsidRPr="00286216">
              <w:rPr>
                <w:b/>
                <w:i/>
                <w:color w:val="000000" w:themeColor="text1"/>
                <w:spacing w:val="-6"/>
                <w:sz w:val="18"/>
                <w:szCs w:val="18"/>
                <w:u w:val="single"/>
              </w:rPr>
              <w:fldChar w:fldCharType="begin"/>
            </w:r>
            <w:r w:rsidRPr="00286216">
              <w:rPr>
                <w:b/>
                <w:i/>
                <w:color w:val="000000" w:themeColor="text1"/>
                <w:spacing w:val="-6"/>
                <w:sz w:val="18"/>
                <w:szCs w:val="18"/>
                <w:u w:val="single"/>
              </w:rPr>
              <w:instrText xml:space="preserve"> SEQ aa </w:instrText>
            </w:r>
            <w:r w:rsidRPr="00286216">
              <w:rPr>
                <w:b/>
                <w:i/>
                <w:color w:val="000000" w:themeColor="text1"/>
                <w:spacing w:val="-6"/>
                <w:sz w:val="18"/>
                <w:szCs w:val="18"/>
                <w:u w:val="single"/>
              </w:rPr>
              <w:fldChar w:fldCharType="separate"/>
            </w:r>
            <w:r w:rsidR="00C46B29">
              <w:rPr>
                <w:b/>
                <w:i/>
                <w:noProof/>
                <w:color w:val="000000" w:themeColor="text1"/>
                <w:spacing w:val="-6"/>
                <w:sz w:val="18"/>
                <w:szCs w:val="18"/>
                <w:u w:val="single"/>
              </w:rPr>
              <w:t>182</w:t>
            </w:r>
            <w:r w:rsidRPr="00286216">
              <w:rPr>
                <w:b/>
                <w:i/>
                <w:color w:val="000000" w:themeColor="text1"/>
                <w:spacing w:val="-6"/>
                <w:sz w:val="18"/>
                <w:szCs w:val="18"/>
                <w:u w:val="single"/>
              </w:rPr>
              <w:fldChar w:fldCharType="end"/>
            </w:r>
            <w:r w:rsidRPr="00286216">
              <w:rPr>
                <w:b/>
                <w:i/>
                <w:color w:val="000000" w:themeColor="text1"/>
                <w:spacing w:val="-6"/>
                <w:sz w:val="18"/>
                <w:szCs w:val="18"/>
                <w:u w:val="single"/>
              </w:rPr>
              <w:t>-Н.д.Шахов С.В. (Реєстр.картка №114)</w:t>
            </w:r>
          </w:p>
          <w:p w14:paraId="4016DBC5" w14:textId="77777777" w:rsidR="004B55AD" w:rsidRPr="00286216" w:rsidRDefault="004B55AD" w:rsidP="004B55AD">
            <w:pPr>
              <w:pStyle w:val="StyleProp"/>
              <w:rPr>
                <w:color w:val="000000" w:themeColor="text1"/>
              </w:rPr>
            </w:pPr>
            <w:r w:rsidRPr="00286216">
              <w:rPr>
                <w:color w:val="000000" w:themeColor="text1"/>
              </w:rPr>
              <w:t>статтю 3 доповнити новою частиною такого змісту:</w:t>
            </w:r>
          </w:p>
          <w:p w14:paraId="47F9F8AC" w14:textId="77777777" w:rsidR="004B55AD" w:rsidRPr="00286216" w:rsidRDefault="004B55AD" w:rsidP="004B55AD">
            <w:pPr>
              <w:pStyle w:val="StyleProp"/>
              <w:rPr>
                <w:color w:val="000000" w:themeColor="text1"/>
                <w:szCs w:val="18"/>
              </w:rPr>
            </w:pPr>
            <w:r w:rsidRPr="00286216">
              <w:rPr>
                <w:color w:val="000000" w:themeColor="text1"/>
              </w:rPr>
              <w:t>«5. Особливості провадження діяльності професійних учасників ринків капіталу на ринках поставних товарних деривативних контрактів встановлюються та регулюються законодавством про товарні ринки.»;</w:t>
            </w:r>
          </w:p>
        </w:tc>
        <w:tc>
          <w:tcPr>
            <w:tcW w:w="1987" w:type="dxa"/>
          </w:tcPr>
          <w:p w14:paraId="5BC5ABBC" w14:textId="77777777" w:rsidR="004B55AD" w:rsidRPr="00286216" w:rsidRDefault="004B55AD" w:rsidP="004B55AD">
            <w:pPr>
              <w:pStyle w:val="StyleWisnow"/>
              <w:rPr>
                <w:color w:val="000000" w:themeColor="text1"/>
              </w:rPr>
            </w:pPr>
            <w:r w:rsidRPr="00286216">
              <w:rPr>
                <w:color w:val="000000" w:themeColor="text1"/>
              </w:rPr>
              <w:t>Відхилено</w:t>
            </w:r>
          </w:p>
          <w:p w14:paraId="495A2F8D" w14:textId="20F5CAEB" w:rsidR="004B55AD" w:rsidRPr="00286216" w:rsidRDefault="006276D5" w:rsidP="004B55AD">
            <w:pPr>
              <w:pStyle w:val="StyleWisnow"/>
              <w:spacing w:line="180" w:lineRule="exact"/>
              <w:rPr>
                <w:color w:val="000000" w:themeColor="text1"/>
              </w:rPr>
            </w:pPr>
            <w:r w:rsidRPr="00286216">
              <w:rPr>
                <w:color w:val="000000" w:themeColor="text1"/>
              </w:rPr>
              <w:t>к</w:t>
            </w:r>
            <w:r w:rsidR="004B55AD" w:rsidRPr="00286216">
              <w:rPr>
                <w:color w:val="000000" w:themeColor="text1"/>
              </w:rPr>
              <w:t>онцепція законопроекту не передбачає регулювання ринків деривативних контрактів, які за своєю природою є ринками капіталу, законодавством про товарні ринки</w:t>
            </w:r>
          </w:p>
        </w:tc>
        <w:tc>
          <w:tcPr>
            <w:tcW w:w="4818" w:type="dxa"/>
          </w:tcPr>
          <w:p w14:paraId="23DF0F6A" w14:textId="77777777" w:rsidR="004B55AD" w:rsidRPr="00286216" w:rsidRDefault="004B55AD" w:rsidP="004B55AD">
            <w:pPr>
              <w:pStyle w:val="StyleZakonu"/>
              <w:rPr>
                <w:color w:val="000000" w:themeColor="text1"/>
              </w:rPr>
            </w:pPr>
            <w:r w:rsidRPr="00286216">
              <w:rPr>
                <w:color w:val="000000" w:themeColor="text1"/>
              </w:rPr>
              <w:t>4. Якщо інше не встановлено законом або одна із сторін правочину не вимагає іншого, правочини щодо фінансових інструментів, які вчиняються поза організованим ринком, не потребують нотаріального посвідчення.</w:t>
            </w:r>
          </w:p>
        </w:tc>
      </w:tr>
      <w:tr w:rsidR="00F77E8D" w:rsidRPr="00286216" w14:paraId="5E86131E" w14:textId="77777777" w:rsidTr="00091AA5">
        <w:tc>
          <w:tcPr>
            <w:tcW w:w="576" w:type="dxa"/>
          </w:tcPr>
          <w:p w14:paraId="3C3BD978" w14:textId="77777777" w:rsidR="004B55AD" w:rsidRPr="00286216" w:rsidRDefault="004B55AD" w:rsidP="004B55AD">
            <w:pPr>
              <w:pStyle w:val="StyleWisnow"/>
              <w:rPr>
                <w:color w:val="000000" w:themeColor="text1"/>
              </w:rPr>
            </w:pPr>
            <w:bookmarkStart w:id="148" w:name="n143" w:colFirst="0" w:colLast="0"/>
            <w:bookmarkEnd w:id="147"/>
            <w:r w:rsidRPr="00286216">
              <w:rPr>
                <w:color w:val="000000" w:themeColor="text1"/>
              </w:rPr>
              <w:t>143.</w:t>
            </w:r>
          </w:p>
        </w:tc>
        <w:tc>
          <w:tcPr>
            <w:tcW w:w="4818" w:type="dxa"/>
          </w:tcPr>
          <w:p w14:paraId="5F12A590" w14:textId="77777777" w:rsidR="004B55AD" w:rsidRPr="00286216" w:rsidRDefault="004B55AD" w:rsidP="004B55AD">
            <w:pPr>
              <w:pStyle w:val="StyleZakonu"/>
              <w:rPr>
                <w:color w:val="000000" w:themeColor="text1"/>
              </w:rPr>
            </w:pPr>
            <w:r w:rsidRPr="00286216">
              <w:rPr>
                <w:color w:val="000000" w:themeColor="text1"/>
              </w:rPr>
              <w:t>Стаття 4. Організовані товарні ринки</w:t>
            </w:r>
          </w:p>
        </w:tc>
        <w:tc>
          <w:tcPr>
            <w:tcW w:w="3686" w:type="dxa"/>
          </w:tcPr>
          <w:p w14:paraId="69665E66" w14:textId="777788E0"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183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7406E23" w14:textId="77777777" w:rsidR="004B55AD" w:rsidRPr="00286216" w:rsidRDefault="004B55AD" w:rsidP="004B55AD">
            <w:pPr>
              <w:pStyle w:val="StyleAwt"/>
              <w:rPr>
                <w:color w:val="000000" w:themeColor="text1"/>
                <w:spacing w:val="-4"/>
              </w:rPr>
            </w:pPr>
            <w:r w:rsidRPr="00286216">
              <w:rPr>
                <w:color w:val="000000" w:themeColor="text1"/>
                <w:spacing w:val="-4"/>
              </w:rPr>
              <w:t xml:space="preserve">    Н.д.Гетманцев Д.О.(Реєстр.картка №245)</w:t>
            </w:r>
          </w:p>
          <w:p w14:paraId="1DCDEA97" w14:textId="77777777" w:rsidR="004B55AD" w:rsidRPr="00286216" w:rsidRDefault="004B55AD" w:rsidP="004B55AD">
            <w:pPr>
              <w:pStyle w:val="StyleProp"/>
              <w:rPr>
                <w:color w:val="000000" w:themeColor="text1"/>
                <w:szCs w:val="18"/>
              </w:rPr>
            </w:pPr>
            <w:r w:rsidRPr="00286216">
              <w:rPr>
                <w:color w:val="000000" w:themeColor="text1"/>
                <w:spacing w:val="-4"/>
              </w:rPr>
              <w:t>У назві ст.4 слово "організовані" виключити</w:t>
            </w:r>
            <w:r w:rsidRPr="00286216">
              <w:rPr>
                <w:color w:val="000000" w:themeColor="text1"/>
                <w:spacing w:val="-2"/>
              </w:rPr>
              <w:t>.</w:t>
            </w:r>
          </w:p>
        </w:tc>
        <w:tc>
          <w:tcPr>
            <w:tcW w:w="1987" w:type="dxa"/>
          </w:tcPr>
          <w:p w14:paraId="7FAD6D55"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3B4844D9" w14:textId="3F353CDE" w:rsidR="004B55AD" w:rsidRPr="00286216" w:rsidRDefault="004B55AD" w:rsidP="004B55AD">
            <w:pPr>
              <w:pStyle w:val="StyleZakonu"/>
              <w:rPr>
                <w:color w:val="000000" w:themeColor="text1"/>
              </w:rPr>
            </w:pPr>
            <w:r w:rsidRPr="00286216">
              <w:rPr>
                <w:color w:val="000000" w:themeColor="text1"/>
              </w:rPr>
              <w:t>Стаття 5. Товарні ринки</w:t>
            </w:r>
          </w:p>
        </w:tc>
      </w:tr>
      <w:tr w:rsidR="00F77E8D" w:rsidRPr="00286216" w14:paraId="1DE8798C" w14:textId="77777777" w:rsidTr="00091AA5">
        <w:tc>
          <w:tcPr>
            <w:tcW w:w="576" w:type="dxa"/>
          </w:tcPr>
          <w:p w14:paraId="58986161" w14:textId="77777777" w:rsidR="004B55AD" w:rsidRPr="00286216" w:rsidRDefault="004B55AD" w:rsidP="004B55AD">
            <w:pPr>
              <w:pStyle w:val="StyleWisnow"/>
              <w:rPr>
                <w:color w:val="000000" w:themeColor="text1"/>
              </w:rPr>
            </w:pPr>
            <w:bookmarkStart w:id="149" w:name="n144" w:colFirst="0" w:colLast="0"/>
            <w:bookmarkEnd w:id="148"/>
            <w:r w:rsidRPr="00286216">
              <w:rPr>
                <w:color w:val="000000" w:themeColor="text1"/>
              </w:rPr>
              <w:t>144.</w:t>
            </w:r>
          </w:p>
        </w:tc>
        <w:tc>
          <w:tcPr>
            <w:tcW w:w="4818" w:type="dxa"/>
          </w:tcPr>
          <w:p w14:paraId="68DCAD43" w14:textId="77777777" w:rsidR="004B55AD" w:rsidRPr="00286216" w:rsidRDefault="004B55AD" w:rsidP="004B55AD">
            <w:pPr>
              <w:pStyle w:val="StyleZakonu"/>
              <w:rPr>
                <w:color w:val="000000" w:themeColor="text1"/>
              </w:rPr>
            </w:pPr>
            <w:r w:rsidRPr="00286216">
              <w:rPr>
                <w:color w:val="000000" w:themeColor="text1"/>
              </w:rPr>
              <w:t>1. Товарний спот-ринок - сукупність учасників товарних ринків та правовідносин між ними щодо купівлі-продажу, передачі, переміщення, постачання продукції шляхом укладення товарних спот-контрактів.</w:t>
            </w:r>
          </w:p>
        </w:tc>
        <w:tc>
          <w:tcPr>
            <w:tcW w:w="3686" w:type="dxa"/>
          </w:tcPr>
          <w:p w14:paraId="74EFDA2C" w14:textId="67F25EA7" w:rsidR="004B55AD" w:rsidRPr="00286216" w:rsidRDefault="004B55AD" w:rsidP="004B55AD">
            <w:pPr>
              <w:spacing w:line="220" w:lineRule="exact"/>
              <w:rPr>
                <w:b/>
                <w:i/>
                <w:color w:val="000000" w:themeColor="text1"/>
                <w:spacing w:val="-6"/>
                <w:sz w:val="18"/>
                <w:szCs w:val="18"/>
                <w:u w:val="single"/>
              </w:rPr>
            </w:pPr>
            <w:r w:rsidRPr="00286216">
              <w:rPr>
                <w:b/>
                <w:i/>
                <w:color w:val="000000" w:themeColor="text1"/>
                <w:spacing w:val="-6"/>
                <w:sz w:val="18"/>
                <w:szCs w:val="18"/>
                <w:u w:val="single"/>
              </w:rPr>
              <w:t>-</w:t>
            </w:r>
            <w:r w:rsidRPr="00286216">
              <w:rPr>
                <w:b/>
                <w:i/>
                <w:color w:val="000000" w:themeColor="text1"/>
                <w:spacing w:val="-6"/>
                <w:sz w:val="18"/>
                <w:szCs w:val="18"/>
                <w:u w:val="single"/>
              </w:rPr>
              <w:fldChar w:fldCharType="begin"/>
            </w:r>
            <w:r w:rsidRPr="00286216">
              <w:rPr>
                <w:b/>
                <w:i/>
                <w:color w:val="000000" w:themeColor="text1"/>
                <w:spacing w:val="-6"/>
                <w:sz w:val="18"/>
                <w:szCs w:val="18"/>
                <w:u w:val="single"/>
              </w:rPr>
              <w:instrText xml:space="preserve"> SEQ aa </w:instrText>
            </w:r>
            <w:r w:rsidRPr="00286216">
              <w:rPr>
                <w:b/>
                <w:i/>
                <w:color w:val="000000" w:themeColor="text1"/>
                <w:spacing w:val="-6"/>
                <w:sz w:val="18"/>
                <w:szCs w:val="18"/>
                <w:u w:val="single"/>
              </w:rPr>
              <w:fldChar w:fldCharType="separate"/>
            </w:r>
            <w:r w:rsidR="00C46B29">
              <w:rPr>
                <w:b/>
                <w:i/>
                <w:noProof/>
                <w:color w:val="000000" w:themeColor="text1"/>
                <w:spacing w:val="-6"/>
                <w:sz w:val="18"/>
                <w:szCs w:val="18"/>
                <w:u w:val="single"/>
              </w:rPr>
              <w:t>184</w:t>
            </w:r>
            <w:r w:rsidRPr="00286216">
              <w:rPr>
                <w:b/>
                <w:i/>
                <w:color w:val="000000" w:themeColor="text1"/>
                <w:spacing w:val="-6"/>
                <w:sz w:val="18"/>
                <w:szCs w:val="18"/>
                <w:u w:val="single"/>
              </w:rPr>
              <w:fldChar w:fldCharType="end"/>
            </w:r>
            <w:r w:rsidRPr="00286216">
              <w:rPr>
                <w:b/>
                <w:i/>
                <w:color w:val="000000" w:themeColor="text1"/>
                <w:spacing w:val="-6"/>
                <w:sz w:val="18"/>
                <w:szCs w:val="18"/>
                <w:u w:val="single"/>
              </w:rPr>
              <w:t>-Н.д.Шахов С.В. (Реєстр.картка №114)</w:t>
            </w:r>
          </w:p>
          <w:p w14:paraId="3091CD56" w14:textId="77777777" w:rsidR="004B55AD" w:rsidRPr="00286216" w:rsidRDefault="004B55AD" w:rsidP="00CD1870">
            <w:pPr>
              <w:pStyle w:val="StyleProp"/>
              <w:spacing w:line="190" w:lineRule="exact"/>
              <w:rPr>
                <w:color w:val="000000" w:themeColor="text1"/>
                <w:spacing w:val="-2"/>
                <w:szCs w:val="18"/>
              </w:rPr>
            </w:pPr>
            <w:r w:rsidRPr="00286216">
              <w:rPr>
                <w:color w:val="000000" w:themeColor="text1"/>
                <w:spacing w:val="-2"/>
                <w:szCs w:val="18"/>
              </w:rPr>
              <w:t>статтю 4 викласти у такій редакції:</w:t>
            </w:r>
          </w:p>
          <w:p w14:paraId="647F1FC0"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«Стаття 4. Організовані товарні ринки</w:t>
            </w:r>
          </w:p>
          <w:p w14:paraId="7BF1FBD6"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 xml:space="preserve">1. Товарний спот-ринок – сукупність учасників товарних ринків та правовідносин між ними щодо купівлі-продажу, передачі, переміщення, постачання, міни продукції шляхом укладення товарних спот-контрактів. </w:t>
            </w:r>
          </w:p>
          <w:p w14:paraId="0D5740F3"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Товарний спот-контракт – договір умови, якого передбачають, що фактична передача, переміщення, постачання, міна товару заплановано здійснюється в межах найбільшого з наступних проміжків часу:</w:t>
            </w:r>
          </w:p>
          <w:p w14:paraId="676355A9"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1) двох робочих днів;</w:t>
            </w:r>
          </w:p>
          <w:p w14:paraId="68DA14C0"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2) проміжку часу, визначеного звичаєм ділового обороту.</w:t>
            </w:r>
          </w:p>
          <w:p w14:paraId="115AFA38"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2. Учасниками товарних спот-ринків є суб’єкти господарювання, що здійснюють продаж та/або купівлю, передачу, розподіл, постачання продукції та інші особи, віднесені до учасників товарних ринків законодавством про товарні ринки. Особливості провадження діяльності професійних учасників ринків капіталу на товарних спот-ринках встановлюються та регулюються законодавством про товарні ринки.</w:t>
            </w:r>
          </w:p>
          <w:p w14:paraId="6A3E0278" w14:textId="77777777" w:rsidR="004B55AD" w:rsidRPr="00286216" w:rsidRDefault="004B55AD" w:rsidP="00E71C29">
            <w:pPr>
              <w:pStyle w:val="StyleProp"/>
              <w:spacing w:line="180" w:lineRule="exact"/>
              <w:rPr>
                <w:color w:val="000000" w:themeColor="text1"/>
                <w:szCs w:val="18"/>
              </w:rPr>
            </w:pPr>
            <w:r w:rsidRPr="00286216">
              <w:rPr>
                <w:color w:val="000000" w:themeColor="text1"/>
                <w:spacing w:val="-2"/>
                <w:szCs w:val="18"/>
              </w:rPr>
              <w:t xml:space="preserve">3. Діяльність з організації торгівлі продукцією на організованих товарних ринках здійснюється виключно товарними біржами та </w:t>
            </w:r>
            <w:r w:rsidRPr="00286216">
              <w:rPr>
                <w:color w:val="000000" w:themeColor="text1"/>
                <w:spacing w:val="-2"/>
                <w:szCs w:val="18"/>
              </w:rPr>
              <w:lastRenderedPageBreak/>
              <w:t>операторами регульованих товарних ринків на підставі відповідних ліцензій, що видаються регулятором відповідного товарного ринку, або</w:t>
            </w:r>
            <w:r w:rsidRPr="00286216">
              <w:rPr>
                <w:color w:val="000000" w:themeColor="text1"/>
                <w:szCs w:val="18"/>
              </w:rPr>
              <w:t xml:space="preserve"> на інших підставах, визначених законодавством про товарні ринки.»</w:t>
            </w:r>
          </w:p>
        </w:tc>
        <w:tc>
          <w:tcPr>
            <w:tcW w:w="1987" w:type="dxa"/>
          </w:tcPr>
          <w:p w14:paraId="67F1A469" w14:textId="77777777" w:rsidR="004B55AD" w:rsidRPr="00286216" w:rsidRDefault="004B55AD" w:rsidP="004B55AD">
            <w:pPr>
              <w:pStyle w:val="StyleWisnow"/>
              <w:rPr>
                <w:color w:val="000000" w:themeColor="text1"/>
              </w:rPr>
            </w:pPr>
            <w:r w:rsidRPr="00286216">
              <w:rPr>
                <w:color w:val="000000" w:themeColor="text1"/>
              </w:rPr>
              <w:lastRenderedPageBreak/>
              <w:t>Враховано частково</w:t>
            </w:r>
          </w:p>
          <w:p w14:paraId="3C3D42C9" w14:textId="269FA4CC" w:rsidR="004B55AD" w:rsidRPr="00286216" w:rsidRDefault="006276D5" w:rsidP="006276D5">
            <w:pPr>
              <w:pStyle w:val="StyleWisnow"/>
              <w:spacing w:line="180" w:lineRule="exact"/>
              <w:rPr>
                <w:color w:val="000000" w:themeColor="text1"/>
              </w:rPr>
            </w:pPr>
            <w:r w:rsidRPr="00286216">
              <w:rPr>
                <w:color w:val="000000" w:themeColor="text1"/>
              </w:rPr>
              <w:t>у</w:t>
            </w:r>
            <w:r w:rsidR="004B55AD" w:rsidRPr="00286216">
              <w:rPr>
                <w:color w:val="000000" w:themeColor="text1"/>
              </w:rPr>
              <w:t>часники ринку капіталів не мають відношення до товарних спот-ринків</w:t>
            </w:r>
          </w:p>
        </w:tc>
        <w:tc>
          <w:tcPr>
            <w:tcW w:w="4818" w:type="dxa"/>
          </w:tcPr>
          <w:p w14:paraId="1537EF6A" w14:textId="7705301F" w:rsidR="004B55AD" w:rsidRPr="00286216" w:rsidRDefault="004B55AD" w:rsidP="004B55AD">
            <w:pPr>
              <w:pStyle w:val="StyleZakonu"/>
              <w:rPr>
                <w:color w:val="000000" w:themeColor="text1"/>
              </w:rPr>
            </w:pPr>
            <w:r w:rsidRPr="00286216">
              <w:rPr>
                <w:color w:val="000000" w:themeColor="text1"/>
                <w:szCs w:val="18"/>
              </w:rPr>
              <w:t>1. Товарний спот-ринок – це сукупність учасників товарних ринків та правовідносин між ними щодо купівлі-продажу, передачі, переміщення, постачання, міни продукції шляхом укладення товарних спот-контрактів.</w:t>
            </w:r>
          </w:p>
        </w:tc>
      </w:tr>
      <w:tr w:rsidR="00F77E8D" w:rsidRPr="00286216" w14:paraId="3A3084D2" w14:textId="77777777" w:rsidTr="00091AA5">
        <w:tc>
          <w:tcPr>
            <w:tcW w:w="576" w:type="dxa"/>
          </w:tcPr>
          <w:p w14:paraId="7A8BA0A2" w14:textId="77777777" w:rsidR="004B55AD" w:rsidRPr="00286216" w:rsidRDefault="004B55AD" w:rsidP="004B55AD">
            <w:pPr>
              <w:pStyle w:val="StyleWisnow"/>
              <w:rPr>
                <w:color w:val="000000" w:themeColor="text1"/>
              </w:rPr>
            </w:pPr>
            <w:bookmarkStart w:id="150" w:name="n145" w:colFirst="0" w:colLast="0"/>
            <w:bookmarkEnd w:id="149"/>
            <w:r w:rsidRPr="00286216">
              <w:rPr>
                <w:color w:val="000000" w:themeColor="text1"/>
              </w:rPr>
              <w:t>145.</w:t>
            </w:r>
          </w:p>
        </w:tc>
        <w:tc>
          <w:tcPr>
            <w:tcW w:w="4818" w:type="dxa"/>
          </w:tcPr>
          <w:p w14:paraId="599E7092" w14:textId="77777777" w:rsidR="004B55AD" w:rsidRPr="00286216" w:rsidRDefault="004B55AD" w:rsidP="004B55AD">
            <w:pPr>
              <w:pStyle w:val="StyleZakonu"/>
              <w:rPr>
                <w:color w:val="000000" w:themeColor="text1"/>
              </w:rPr>
            </w:pPr>
            <w:r w:rsidRPr="00286216">
              <w:rPr>
                <w:color w:val="000000" w:themeColor="text1"/>
              </w:rPr>
              <w:t>Товарний спот-контракт - договір умови, якого передбачають, що фактична передача, переміщення, постачання товару заплановано здійснюється в межах найбільшого з наступних проміжків часу:</w:t>
            </w:r>
          </w:p>
        </w:tc>
        <w:tc>
          <w:tcPr>
            <w:tcW w:w="3686" w:type="dxa"/>
          </w:tcPr>
          <w:p w14:paraId="2E51657C" w14:textId="488EFB79"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185</w:t>
            </w:r>
            <w:r w:rsidRPr="00286216">
              <w:rPr>
                <w:color w:val="000000" w:themeColor="text1"/>
                <w:spacing w:val="-10"/>
              </w:rPr>
              <w:fldChar w:fldCharType="end"/>
            </w:r>
            <w:r w:rsidRPr="00286216">
              <w:rPr>
                <w:color w:val="000000" w:themeColor="text1"/>
                <w:spacing w:val="-10"/>
              </w:rPr>
              <w:t>-Н.д.Гетманцев Д.О.(Реєстр.картка №245)</w:t>
            </w:r>
          </w:p>
          <w:p w14:paraId="03AF14BA" w14:textId="77777777" w:rsidR="004B55AD" w:rsidRPr="00286216" w:rsidRDefault="004B55AD" w:rsidP="004B55AD">
            <w:pPr>
              <w:pStyle w:val="StyleProp"/>
              <w:rPr>
                <w:color w:val="000000" w:themeColor="text1"/>
              </w:rPr>
            </w:pPr>
            <w:r w:rsidRPr="00286216">
              <w:rPr>
                <w:color w:val="000000" w:themeColor="text1"/>
              </w:rPr>
              <w:t>У статті 4 в абзаці другому частини першої слово «товару» замінити словом «продукції».</w:t>
            </w:r>
          </w:p>
        </w:tc>
        <w:tc>
          <w:tcPr>
            <w:tcW w:w="1987" w:type="dxa"/>
          </w:tcPr>
          <w:p w14:paraId="6EBACC67"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F408B66" w14:textId="43209A2D" w:rsidR="004B55AD" w:rsidRPr="00286216" w:rsidRDefault="004B55AD" w:rsidP="004B55AD">
            <w:pPr>
              <w:pStyle w:val="StyleZakonu"/>
              <w:rPr>
                <w:color w:val="000000" w:themeColor="text1"/>
              </w:rPr>
            </w:pPr>
            <w:r w:rsidRPr="00286216">
              <w:rPr>
                <w:color w:val="000000" w:themeColor="text1"/>
                <w:szCs w:val="18"/>
              </w:rPr>
              <w:t>Товарний спот-контракт – це договір, умови якого передбачають, що фактична передача, переміщення, постачання, міна продукції заплановано здійснюється в межах найбільшого з таких проміжків часу:</w:t>
            </w:r>
          </w:p>
        </w:tc>
      </w:tr>
      <w:bookmarkEnd w:id="150"/>
      <w:tr w:rsidR="00F77E8D" w:rsidRPr="00286216" w14:paraId="0441E166" w14:textId="77777777" w:rsidTr="00091AA5">
        <w:tc>
          <w:tcPr>
            <w:tcW w:w="576" w:type="dxa"/>
          </w:tcPr>
          <w:p w14:paraId="7264520A" w14:textId="77777777" w:rsidR="004B55AD" w:rsidRPr="00286216" w:rsidRDefault="004B55AD" w:rsidP="004B55AD">
            <w:pPr>
              <w:pStyle w:val="StyleWisnow"/>
              <w:rPr>
                <w:color w:val="000000" w:themeColor="text1"/>
              </w:rPr>
            </w:pPr>
          </w:p>
        </w:tc>
        <w:tc>
          <w:tcPr>
            <w:tcW w:w="4818" w:type="dxa"/>
          </w:tcPr>
          <w:p w14:paraId="0DAC3D1A" w14:textId="77777777" w:rsidR="004B55AD" w:rsidRPr="00286216" w:rsidRDefault="004B55AD" w:rsidP="004B55AD">
            <w:pPr>
              <w:pStyle w:val="StyleZakonu"/>
              <w:rPr>
                <w:color w:val="000000" w:themeColor="text1"/>
                <w:lang w:eastAsia="uk-UA"/>
              </w:rPr>
            </w:pPr>
          </w:p>
        </w:tc>
        <w:tc>
          <w:tcPr>
            <w:tcW w:w="3686" w:type="dxa"/>
          </w:tcPr>
          <w:p w14:paraId="23B0BE7A" w14:textId="7B0FB08C"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186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E88125B" w14:textId="3C010F82" w:rsidR="004B55AD" w:rsidRPr="00286216" w:rsidRDefault="004B55AD" w:rsidP="006276D5">
            <w:pPr>
              <w:pStyle w:val="StyleProp"/>
              <w:spacing w:line="180" w:lineRule="exact"/>
              <w:rPr>
                <w:color w:val="000000" w:themeColor="text1"/>
                <w:szCs w:val="18"/>
              </w:rPr>
            </w:pPr>
            <w:r w:rsidRPr="00286216">
              <w:rPr>
                <w:color w:val="000000" w:themeColor="text1"/>
                <w:szCs w:val="18"/>
              </w:rPr>
              <w:t xml:space="preserve">В абзаці другому частини </w:t>
            </w:r>
            <w:r w:rsidR="006276D5" w:rsidRPr="00286216">
              <w:rPr>
                <w:color w:val="000000" w:themeColor="text1"/>
                <w:szCs w:val="18"/>
              </w:rPr>
              <w:t>1</w:t>
            </w:r>
            <w:r w:rsidRPr="00286216">
              <w:rPr>
                <w:color w:val="000000" w:themeColor="text1"/>
                <w:szCs w:val="18"/>
              </w:rPr>
              <w:t xml:space="preserve"> статті 4 слово </w:t>
            </w:r>
            <w:r w:rsidR="006276D5" w:rsidRPr="00286216">
              <w:rPr>
                <w:color w:val="000000" w:themeColor="text1"/>
                <w:szCs w:val="18"/>
              </w:rPr>
              <w:t>"</w:t>
            </w:r>
            <w:r w:rsidRPr="00286216">
              <w:rPr>
                <w:color w:val="000000" w:themeColor="text1"/>
                <w:szCs w:val="18"/>
              </w:rPr>
              <w:t>товару</w:t>
            </w:r>
            <w:r w:rsidR="006276D5" w:rsidRPr="00286216">
              <w:rPr>
                <w:color w:val="000000" w:themeColor="text1"/>
                <w:szCs w:val="18"/>
              </w:rPr>
              <w:t>"</w:t>
            </w:r>
            <w:r w:rsidRPr="00286216">
              <w:rPr>
                <w:color w:val="000000" w:themeColor="text1"/>
                <w:szCs w:val="18"/>
              </w:rPr>
              <w:t xml:space="preserve"> замінити слово</w:t>
            </w:r>
            <w:r w:rsidR="006276D5" w:rsidRPr="00286216">
              <w:rPr>
                <w:color w:val="000000" w:themeColor="text1"/>
                <w:szCs w:val="18"/>
              </w:rPr>
              <w:t>м</w:t>
            </w:r>
            <w:r w:rsidRPr="00286216">
              <w:rPr>
                <w:color w:val="000000" w:themeColor="text1"/>
                <w:szCs w:val="18"/>
              </w:rPr>
              <w:t xml:space="preserve"> </w:t>
            </w:r>
            <w:r w:rsidR="006276D5" w:rsidRPr="00286216">
              <w:rPr>
                <w:color w:val="000000" w:themeColor="text1"/>
                <w:szCs w:val="18"/>
              </w:rPr>
              <w:t>"</w:t>
            </w:r>
            <w:r w:rsidRPr="00286216">
              <w:rPr>
                <w:color w:val="000000" w:themeColor="text1"/>
                <w:szCs w:val="18"/>
              </w:rPr>
              <w:t>продукції</w:t>
            </w:r>
            <w:r w:rsidR="006276D5" w:rsidRPr="00286216">
              <w:rPr>
                <w:color w:val="000000" w:themeColor="text1"/>
                <w:szCs w:val="18"/>
              </w:rPr>
              <w:t>",</w:t>
            </w:r>
            <w:r w:rsidRPr="00286216">
              <w:rPr>
                <w:color w:val="000000" w:themeColor="text1"/>
                <w:szCs w:val="18"/>
              </w:rPr>
              <w:t xml:space="preserve"> а слово </w:t>
            </w:r>
            <w:r w:rsidR="006276D5" w:rsidRPr="00286216">
              <w:rPr>
                <w:color w:val="000000" w:themeColor="text1"/>
                <w:szCs w:val="18"/>
              </w:rPr>
              <w:t>"</w:t>
            </w:r>
            <w:r w:rsidRPr="00286216">
              <w:rPr>
                <w:color w:val="000000" w:themeColor="text1"/>
                <w:szCs w:val="18"/>
              </w:rPr>
              <w:t>найбільшого</w:t>
            </w:r>
            <w:r w:rsidR="006276D5" w:rsidRPr="00286216">
              <w:rPr>
                <w:color w:val="000000" w:themeColor="text1"/>
                <w:szCs w:val="18"/>
              </w:rPr>
              <w:t>"</w:t>
            </w:r>
            <w:r w:rsidRPr="00286216">
              <w:rPr>
                <w:color w:val="000000" w:themeColor="text1"/>
                <w:szCs w:val="18"/>
              </w:rPr>
              <w:t xml:space="preserve"> </w:t>
            </w:r>
            <w:r w:rsidR="006276D5" w:rsidRPr="00286216">
              <w:rPr>
                <w:color w:val="000000" w:themeColor="text1"/>
                <w:szCs w:val="18"/>
              </w:rPr>
              <w:t xml:space="preserve">- </w:t>
            </w:r>
            <w:r w:rsidRPr="00286216">
              <w:rPr>
                <w:color w:val="000000" w:themeColor="text1"/>
                <w:szCs w:val="18"/>
              </w:rPr>
              <w:t>слово</w:t>
            </w:r>
            <w:r w:rsidR="006276D5" w:rsidRPr="00286216">
              <w:rPr>
                <w:color w:val="000000" w:themeColor="text1"/>
                <w:szCs w:val="18"/>
              </w:rPr>
              <w:t>м</w:t>
            </w:r>
            <w:r w:rsidRPr="00286216">
              <w:rPr>
                <w:color w:val="000000" w:themeColor="text1"/>
                <w:szCs w:val="18"/>
              </w:rPr>
              <w:t xml:space="preserve"> </w:t>
            </w:r>
            <w:r w:rsidR="006276D5" w:rsidRPr="00286216">
              <w:rPr>
                <w:color w:val="000000" w:themeColor="text1"/>
                <w:szCs w:val="18"/>
              </w:rPr>
              <w:t>"</w:t>
            </w:r>
            <w:r w:rsidRPr="00286216">
              <w:rPr>
                <w:color w:val="000000" w:themeColor="text1"/>
                <w:szCs w:val="18"/>
              </w:rPr>
              <w:t>найменшого</w:t>
            </w:r>
            <w:r w:rsidR="006276D5" w:rsidRPr="00286216">
              <w:rPr>
                <w:color w:val="000000" w:themeColor="text1"/>
                <w:szCs w:val="18"/>
              </w:rPr>
              <w:t>"</w:t>
            </w:r>
            <w:r w:rsidRPr="00286216">
              <w:rPr>
                <w:color w:val="000000" w:themeColor="text1"/>
                <w:szCs w:val="18"/>
              </w:rPr>
              <w:t>.</w:t>
            </w:r>
          </w:p>
        </w:tc>
        <w:tc>
          <w:tcPr>
            <w:tcW w:w="1987" w:type="dxa"/>
          </w:tcPr>
          <w:p w14:paraId="55350433" w14:textId="77777777" w:rsidR="004B55AD" w:rsidRPr="00286216" w:rsidRDefault="004B55AD" w:rsidP="004B55AD">
            <w:pPr>
              <w:pStyle w:val="StyleWisnow"/>
              <w:rPr>
                <w:color w:val="000000" w:themeColor="text1"/>
              </w:rPr>
            </w:pPr>
            <w:r w:rsidRPr="00286216">
              <w:rPr>
                <w:color w:val="000000" w:themeColor="text1"/>
              </w:rPr>
              <w:t>Враховано частково</w:t>
            </w:r>
          </w:p>
        </w:tc>
        <w:tc>
          <w:tcPr>
            <w:tcW w:w="4818" w:type="dxa"/>
          </w:tcPr>
          <w:p w14:paraId="6DEEFBE1" w14:textId="77777777" w:rsidR="004B55AD" w:rsidRPr="00286216" w:rsidRDefault="004B55AD" w:rsidP="004B55AD">
            <w:pPr>
              <w:pStyle w:val="StyleZakonu"/>
              <w:rPr>
                <w:color w:val="000000" w:themeColor="text1"/>
                <w:lang w:eastAsia="uk-UA"/>
              </w:rPr>
            </w:pPr>
          </w:p>
        </w:tc>
      </w:tr>
      <w:tr w:rsidR="00F77E8D" w:rsidRPr="00286216" w14:paraId="4BC88726" w14:textId="77777777" w:rsidTr="00091AA5">
        <w:tc>
          <w:tcPr>
            <w:tcW w:w="576" w:type="dxa"/>
          </w:tcPr>
          <w:p w14:paraId="6E70C6DD" w14:textId="77777777" w:rsidR="004B55AD" w:rsidRPr="00286216" w:rsidRDefault="004B55AD" w:rsidP="004B55AD">
            <w:pPr>
              <w:pStyle w:val="StyleWisnow"/>
              <w:rPr>
                <w:color w:val="000000" w:themeColor="text1"/>
              </w:rPr>
            </w:pPr>
            <w:bookmarkStart w:id="151" w:name="n146" w:colFirst="0" w:colLast="0"/>
            <w:r w:rsidRPr="00286216">
              <w:rPr>
                <w:color w:val="000000" w:themeColor="text1"/>
              </w:rPr>
              <w:t>146.</w:t>
            </w:r>
          </w:p>
        </w:tc>
        <w:tc>
          <w:tcPr>
            <w:tcW w:w="4818" w:type="dxa"/>
          </w:tcPr>
          <w:p w14:paraId="778A110E" w14:textId="77777777" w:rsidR="004B55AD" w:rsidRPr="00286216" w:rsidRDefault="004B55AD" w:rsidP="004B55AD">
            <w:pPr>
              <w:pStyle w:val="StyleZakonu"/>
              <w:rPr>
                <w:color w:val="000000" w:themeColor="text1"/>
                <w:lang w:eastAsia="uk-UA"/>
              </w:rPr>
            </w:pPr>
            <w:r w:rsidRPr="00286216">
              <w:rPr>
                <w:color w:val="000000" w:themeColor="text1"/>
                <w:lang w:eastAsia="uk-UA"/>
              </w:rPr>
              <w:t>1) двох робочих днів;</w:t>
            </w:r>
          </w:p>
        </w:tc>
        <w:tc>
          <w:tcPr>
            <w:tcW w:w="3686" w:type="dxa"/>
          </w:tcPr>
          <w:p w14:paraId="06BD4132" w14:textId="77777777" w:rsidR="004B55AD" w:rsidRPr="00286216" w:rsidRDefault="004B55AD" w:rsidP="004B55AD">
            <w:pPr>
              <w:pStyle w:val="StyleProp"/>
              <w:rPr>
                <w:color w:val="000000" w:themeColor="text1"/>
                <w:szCs w:val="18"/>
                <w:lang w:eastAsia="uk-UA"/>
              </w:rPr>
            </w:pPr>
          </w:p>
        </w:tc>
        <w:tc>
          <w:tcPr>
            <w:tcW w:w="1987" w:type="dxa"/>
          </w:tcPr>
          <w:p w14:paraId="257ADF6D" w14:textId="77777777" w:rsidR="004B55AD" w:rsidRPr="00286216" w:rsidRDefault="004B55AD" w:rsidP="004B55AD">
            <w:pPr>
              <w:pStyle w:val="StyleWisnow"/>
              <w:rPr>
                <w:color w:val="000000" w:themeColor="text1"/>
                <w:lang w:eastAsia="uk-UA"/>
              </w:rPr>
            </w:pPr>
          </w:p>
        </w:tc>
        <w:tc>
          <w:tcPr>
            <w:tcW w:w="4818" w:type="dxa"/>
          </w:tcPr>
          <w:p w14:paraId="75DA1E47" w14:textId="77777777" w:rsidR="004B55AD" w:rsidRPr="00286216" w:rsidRDefault="004B55AD" w:rsidP="004B55AD">
            <w:pPr>
              <w:pStyle w:val="StyleZakonu"/>
              <w:rPr>
                <w:color w:val="000000" w:themeColor="text1"/>
                <w:szCs w:val="18"/>
              </w:rPr>
            </w:pPr>
            <w:r w:rsidRPr="00286216">
              <w:rPr>
                <w:color w:val="000000" w:themeColor="text1"/>
                <w:szCs w:val="18"/>
              </w:rPr>
              <w:t>1) двох робочих днів;</w:t>
            </w:r>
          </w:p>
        </w:tc>
      </w:tr>
      <w:tr w:rsidR="00F77E8D" w:rsidRPr="00286216" w14:paraId="0350ECD5" w14:textId="77777777" w:rsidTr="00091AA5">
        <w:tc>
          <w:tcPr>
            <w:tcW w:w="576" w:type="dxa"/>
          </w:tcPr>
          <w:p w14:paraId="66F5924C" w14:textId="77777777" w:rsidR="004B55AD" w:rsidRPr="00286216" w:rsidRDefault="004B55AD" w:rsidP="004B55AD">
            <w:pPr>
              <w:pStyle w:val="StyleWisnow"/>
              <w:rPr>
                <w:color w:val="000000" w:themeColor="text1"/>
              </w:rPr>
            </w:pPr>
            <w:bookmarkStart w:id="152" w:name="n147" w:colFirst="0" w:colLast="0"/>
            <w:bookmarkEnd w:id="151"/>
            <w:r w:rsidRPr="00286216">
              <w:rPr>
                <w:color w:val="000000" w:themeColor="text1"/>
              </w:rPr>
              <w:t>147.</w:t>
            </w:r>
          </w:p>
        </w:tc>
        <w:tc>
          <w:tcPr>
            <w:tcW w:w="4818" w:type="dxa"/>
          </w:tcPr>
          <w:p w14:paraId="75FA511C" w14:textId="77777777" w:rsidR="004B55AD" w:rsidRPr="00286216" w:rsidRDefault="004B55AD" w:rsidP="004B55AD">
            <w:pPr>
              <w:pStyle w:val="StyleZakonu"/>
              <w:rPr>
                <w:color w:val="000000" w:themeColor="text1"/>
                <w:lang w:eastAsia="uk-UA"/>
              </w:rPr>
            </w:pPr>
            <w:r w:rsidRPr="00286216">
              <w:rPr>
                <w:color w:val="000000" w:themeColor="text1"/>
                <w:lang w:eastAsia="uk-UA"/>
              </w:rPr>
              <w:t>2) проміжку часу, визначеного звичаєм ділового обороту.</w:t>
            </w:r>
          </w:p>
        </w:tc>
        <w:tc>
          <w:tcPr>
            <w:tcW w:w="3686" w:type="dxa"/>
          </w:tcPr>
          <w:p w14:paraId="1F06A7C5" w14:textId="031916F3"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187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5EE923" w14:textId="77777777" w:rsidR="004B55AD" w:rsidRPr="00286216" w:rsidRDefault="004B55AD" w:rsidP="004B55AD">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99AD913" w14:textId="695797F3" w:rsidR="004B55AD" w:rsidRPr="00286216" w:rsidRDefault="004B55AD" w:rsidP="004B55AD">
            <w:pPr>
              <w:pStyle w:val="StyleProp"/>
              <w:rPr>
                <w:color w:val="000000" w:themeColor="text1"/>
              </w:rPr>
            </w:pPr>
            <w:r w:rsidRPr="00286216">
              <w:rPr>
                <w:color w:val="000000" w:themeColor="text1"/>
              </w:rPr>
              <w:t>У пункті 2 частині першій статті 4 доповнити словами «що зафіксований у правилах товарної біржі.»</w:t>
            </w:r>
          </w:p>
        </w:tc>
        <w:tc>
          <w:tcPr>
            <w:tcW w:w="1987" w:type="dxa"/>
          </w:tcPr>
          <w:p w14:paraId="2486959B"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5A261DC5" w14:textId="77777777" w:rsidR="004B55AD" w:rsidRPr="00286216" w:rsidRDefault="004B55AD" w:rsidP="004B55AD">
            <w:pPr>
              <w:pStyle w:val="StyleZakonu"/>
              <w:rPr>
                <w:color w:val="000000" w:themeColor="text1"/>
                <w:szCs w:val="18"/>
              </w:rPr>
            </w:pPr>
            <w:r w:rsidRPr="00286216">
              <w:rPr>
                <w:color w:val="000000" w:themeColor="text1"/>
                <w:szCs w:val="18"/>
              </w:rPr>
              <w:t>2) проміжку часу, визначеного звичаєм ділового обороту, що зафіксований у правилах товарної біржі.</w:t>
            </w:r>
          </w:p>
        </w:tc>
      </w:tr>
      <w:bookmarkEnd w:id="152"/>
      <w:tr w:rsidR="00F77E8D" w:rsidRPr="00286216" w14:paraId="21AD82ED" w14:textId="77777777" w:rsidTr="00091AA5">
        <w:tc>
          <w:tcPr>
            <w:tcW w:w="576" w:type="dxa"/>
          </w:tcPr>
          <w:p w14:paraId="031BDA85" w14:textId="77777777" w:rsidR="004B55AD" w:rsidRPr="00286216" w:rsidRDefault="004B55AD" w:rsidP="004B55AD">
            <w:pPr>
              <w:pStyle w:val="StyleWisnow"/>
              <w:rPr>
                <w:color w:val="000000" w:themeColor="text1"/>
              </w:rPr>
            </w:pPr>
          </w:p>
        </w:tc>
        <w:tc>
          <w:tcPr>
            <w:tcW w:w="4818" w:type="dxa"/>
          </w:tcPr>
          <w:p w14:paraId="5E9AC362" w14:textId="77777777" w:rsidR="004B55AD" w:rsidRPr="00286216" w:rsidRDefault="004B55AD" w:rsidP="004B55AD">
            <w:pPr>
              <w:pStyle w:val="StyleZakonu"/>
              <w:rPr>
                <w:color w:val="000000" w:themeColor="text1"/>
              </w:rPr>
            </w:pPr>
          </w:p>
        </w:tc>
        <w:tc>
          <w:tcPr>
            <w:tcW w:w="3686" w:type="dxa"/>
          </w:tcPr>
          <w:p w14:paraId="7A7E9AA9" w14:textId="1E2392A0"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188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24660BD" w14:textId="47DAF668" w:rsidR="004B55AD" w:rsidRPr="00286216" w:rsidRDefault="004B55AD" w:rsidP="00C65731">
            <w:pPr>
              <w:pStyle w:val="StyleProp"/>
              <w:spacing w:line="180" w:lineRule="exact"/>
              <w:rPr>
                <w:color w:val="000000" w:themeColor="text1"/>
              </w:rPr>
            </w:pPr>
            <w:r w:rsidRPr="00286216">
              <w:rPr>
                <w:color w:val="000000" w:themeColor="text1"/>
              </w:rPr>
              <w:t>Доповнити пункт 2 частини першої статті 4 словами «що зафіксований у правилах функціонування регульованого товарного ринку або правилах товарної біржі».</w:t>
            </w:r>
          </w:p>
        </w:tc>
        <w:tc>
          <w:tcPr>
            <w:tcW w:w="1987" w:type="dxa"/>
          </w:tcPr>
          <w:p w14:paraId="10FA3736" w14:textId="34FBFF00" w:rsidR="004B55AD" w:rsidRPr="00286216" w:rsidRDefault="004B55AD" w:rsidP="004B55AD">
            <w:pPr>
              <w:pStyle w:val="StyleWisnow"/>
              <w:rPr>
                <w:color w:val="000000" w:themeColor="text1"/>
              </w:rPr>
            </w:pPr>
            <w:r w:rsidRPr="00286216">
              <w:rPr>
                <w:color w:val="000000" w:themeColor="text1"/>
              </w:rPr>
              <w:t>Враховано частково</w:t>
            </w:r>
          </w:p>
        </w:tc>
        <w:tc>
          <w:tcPr>
            <w:tcW w:w="4818" w:type="dxa"/>
          </w:tcPr>
          <w:p w14:paraId="6A24D287" w14:textId="77777777" w:rsidR="004B55AD" w:rsidRPr="00286216" w:rsidRDefault="004B55AD" w:rsidP="004B55AD">
            <w:pPr>
              <w:pStyle w:val="StyleZakonu"/>
              <w:rPr>
                <w:color w:val="000000" w:themeColor="text1"/>
              </w:rPr>
            </w:pPr>
          </w:p>
        </w:tc>
      </w:tr>
      <w:tr w:rsidR="00F77E8D" w:rsidRPr="00286216" w14:paraId="32CA76AF" w14:textId="77777777" w:rsidTr="00091AA5">
        <w:tc>
          <w:tcPr>
            <w:tcW w:w="576" w:type="dxa"/>
          </w:tcPr>
          <w:p w14:paraId="529A47D2" w14:textId="77777777" w:rsidR="004B55AD" w:rsidRPr="00286216" w:rsidRDefault="004B55AD" w:rsidP="004B55AD">
            <w:pPr>
              <w:pStyle w:val="StyleWisnow"/>
              <w:rPr>
                <w:color w:val="000000" w:themeColor="text1"/>
              </w:rPr>
            </w:pPr>
            <w:bookmarkStart w:id="153" w:name="n148" w:colFirst="0" w:colLast="0"/>
            <w:r w:rsidRPr="00286216">
              <w:rPr>
                <w:color w:val="000000" w:themeColor="text1"/>
              </w:rPr>
              <w:t>148.</w:t>
            </w:r>
          </w:p>
        </w:tc>
        <w:tc>
          <w:tcPr>
            <w:tcW w:w="4818" w:type="dxa"/>
          </w:tcPr>
          <w:p w14:paraId="03C23616" w14:textId="77777777" w:rsidR="004B55AD" w:rsidRPr="00286216" w:rsidRDefault="004B55AD" w:rsidP="004B55AD">
            <w:pPr>
              <w:pStyle w:val="StyleZakonu"/>
              <w:rPr>
                <w:color w:val="000000" w:themeColor="text1"/>
              </w:rPr>
            </w:pPr>
            <w:r w:rsidRPr="00286216">
              <w:rPr>
                <w:color w:val="000000" w:themeColor="text1"/>
              </w:rPr>
              <w:t>2. Учасниками товарних спот-ринків є професійні учасники організованих товарних ринків, суб’єкти господарювання, що здійснюють продаж та/або купівлю, передачу, розподіл, постачання продукції та інші особи, віднесені до учасників товарних ринків законодавством. Особливості діяльності окремих учасників товарних ринків регулюються законодавством.</w:t>
            </w:r>
          </w:p>
        </w:tc>
        <w:tc>
          <w:tcPr>
            <w:tcW w:w="3686" w:type="dxa"/>
          </w:tcPr>
          <w:p w14:paraId="7EDC3E2A" w14:textId="4651E44B"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189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A4C4508" w14:textId="15EFBDD3" w:rsidR="004B55AD" w:rsidRPr="00286216" w:rsidRDefault="004B55AD" w:rsidP="004B55AD">
            <w:pPr>
              <w:pStyle w:val="StyleProp"/>
              <w:rPr>
                <w:color w:val="000000" w:themeColor="text1"/>
                <w:szCs w:val="18"/>
              </w:rPr>
            </w:pPr>
            <w:r w:rsidRPr="00286216">
              <w:rPr>
                <w:color w:val="000000" w:themeColor="text1"/>
                <w:szCs w:val="18"/>
              </w:rPr>
              <w:t>Ч. 2 статті 4 викласти у такій редакції:</w:t>
            </w:r>
          </w:p>
          <w:p w14:paraId="6E67FEAB" w14:textId="35A85C51" w:rsidR="004B55AD" w:rsidRPr="00286216" w:rsidRDefault="004B55AD" w:rsidP="004B55AD">
            <w:pPr>
              <w:pStyle w:val="StyleProp"/>
              <w:rPr>
                <w:color w:val="000000" w:themeColor="text1"/>
                <w:szCs w:val="18"/>
              </w:rPr>
            </w:pPr>
            <w:r w:rsidRPr="00286216">
              <w:rPr>
                <w:color w:val="000000" w:themeColor="text1"/>
              </w:rPr>
              <w:t>"2. Учасниками товарних спот-ринків є професійні учасники організованих товарних ринків, а також суб’єкти господарювання, що здійснюють товарні операції, та інші особи, віднесені законодавством до учасників товарних спот-ринків".</w:t>
            </w:r>
          </w:p>
        </w:tc>
        <w:tc>
          <w:tcPr>
            <w:tcW w:w="1987" w:type="dxa"/>
          </w:tcPr>
          <w:p w14:paraId="26A1E534" w14:textId="5D8B1211"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2BE2B1C4" w14:textId="04321A94" w:rsidR="004B55AD" w:rsidRPr="00286216" w:rsidRDefault="004B55AD" w:rsidP="004B55AD">
            <w:pPr>
              <w:pStyle w:val="StyleZakonu"/>
              <w:rPr>
                <w:color w:val="000000" w:themeColor="text1"/>
              </w:rPr>
            </w:pPr>
            <w:r w:rsidRPr="00286216">
              <w:rPr>
                <w:color w:val="000000" w:themeColor="text1"/>
              </w:rPr>
              <w:t>2. Учасниками товарних спот-ринків є професійні учасники організованих товарних ринків, суб’єкти господарювання, що здійснюють продаж та/або купівлю, передачу, розподіл, постачання продукції</w:t>
            </w:r>
            <w:r w:rsidR="00CD1870" w:rsidRPr="00286216">
              <w:rPr>
                <w:color w:val="000000" w:themeColor="text1"/>
              </w:rPr>
              <w:t>,</w:t>
            </w:r>
            <w:r w:rsidRPr="00286216">
              <w:rPr>
                <w:color w:val="000000" w:themeColor="text1"/>
              </w:rPr>
              <w:t xml:space="preserve"> та інші особи, віднесені законодавством до учасників товарних спот-ринків.</w:t>
            </w:r>
          </w:p>
        </w:tc>
      </w:tr>
      <w:tr w:rsidR="00F77E8D" w:rsidRPr="00286216" w14:paraId="2CF154CA" w14:textId="77777777" w:rsidTr="00091AA5">
        <w:tc>
          <w:tcPr>
            <w:tcW w:w="576" w:type="dxa"/>
          </w:tcPr>
          <w:p w14:paraId="1C37E02F" w14:textId="77777777" w:rsidR="004B55AD" w:rsidRPr="00286216" w:rsidRDefault="004B55AD" w:rsidP="004B55AD">
            <w:pPr>
              <w:pStyle w:val="StyleWisnow"/>
              <w:rPr>
                <w:color w:val="000000" w:themeColor="text1"/>
              </w:rPr>
            </w:pPr>
            <w:bookmarkStart w:id="154" w:name="n149" w:colFirst="0" w:colLast="0"/>
            <w:bookmarkEnd w:id="153"/>
            <w:r w:rsidRPr="00286216">
              <w:rPr>
                <w:color w:val="000000" w:themeColor="text1"/>
              </w:rPr>
              <w:t>149.</w:t>
            </w:r>
          </w:p>
        </w:tc>
        <w:tc>
          <w:tcPr>
            <w:tcW w:w="4818" w:type="dxa"/>
          </w:tcPr>
          <w:p w14:paraId="26A01EED" w14:textId="77777777" w:rsidR="004B55AD" w:rsidRPr="00286216" w:rsidRDefault="004B55AD" w:rsidP="004B55AD">
            <w:pPr>
              <w:pStyle w:val="StyleZakonu"/>
              <w:rPr>
                <w:color w:val="000000" w:themeColor="text1"/>
              </w:rPr>
            </w:pPr>
            <w:r w:rsidRPr="00286216">
              <w:rPr>
                <w:color w:val="000000" w:themeColor="text1"/>
              </w:rPr>
              <w:t>3. Товарний спот-ринок може бути організованим та поза організованим.</w:t>
            </w:r>
          </w:p>
        </w:tc>
        <w:tc>
          <w:tcPr>
            <w:tcW w:w="3686" w:type="dxa"/>
          </w:tcPr>
          <w:p w14:paraId="67CF383F" w14:textId="5083BE03"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190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3ADB40A" w14:textId="77777777" w:rsidR="004B55AD" w:rsidRPr="00286216" w:rsidRDefault="004B55AD" w:rsidP="004B55AD">
            <w:pPr>
              <w:pStyle w:val="StyleAwt"/>
              <w:rPr>
                <w:color w:val="000000" w:themeColor="text1"/>
                <w:spacing w:val="-4"/>
              </w:rPr>
            </w:pPr>
            <w:r w:rsidRPr="00286216">
              <w:rPr>
                <w:color w:val="000000" w:themeColor="text1"/>
                <w:spacing w:val="-4"/>
              </w:rPr>
              <w:t xml:space="preserve">    Н.д.Гетманцев Д.О.(Реєстр.картка №245)</w:t>
            </w:r>
          </w:p>
          <w:p w14:paraId="09E08D5F" w14:textId="77777777" w:rsidR="004B55AD" w:rsidRPr="00286216" w:rsidRDefault="004B55AD" w:rsidP="004B55AD">
            <w:pPr>
              <w:pStyle w:val="StyleProp"/>
              <w:rPr>
                <w:color w:val="000000" w:themeColor="text1"/>
                <w:szCs w:val="18"/>
              </w:rPr>
            </w:pPr>
            <w:r w:rsidRPr="00286216">
              <w:rPr>
                <w:color w:val="000000" w:themeColor="text1"/>
                <w:szCs w:val="18"/>
              </w:rPr>
              <w:t>Частину третю статті 4 виключити</w:t>
            </w:r>
            <w:r w:rsidRPr="00286216" w:rsidDel="00BB3C0F">
              <w:rPr>
                <w:color w:val="000000" w:themeColor="text1"/>
                <w:szCs w:val="18"/>
              </w:rPr>
              <w:t xml:space="preserve"> </w:t>
            </w:r>
            <w:r w:rsidRPr="00286216">
              <w:rPr>
                <w:color w:val="000000" w:themeColor="text1"/>
                <w:szCs w:val="18"/>
              </w:rPr>
              <w:t>.</w:t>
            </w:r>
          </w:p>
        </w:tc>
        <w:tc>
          <w:tcPr>
            <w:tcW w:w="1987" w:type="dxa"/>
          </w:tcPr>
          <w:p w14:paraId="069C2FA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30DD1813" w14:textId="77777777" w:rsidR="004B55AD" w:rsidRPr="00286216" w:rsidRDefault="004B55AD" w:rsidP="004B55AD">
            <w:pPr>
              <w:pStyle w:val="StyleZakonu"/>
              <w:rPr>
                <w:color w:val="000000" w:themeColor="text1"/>
              </w:rPr>
            </w:pPr>
          </w:p>
        </w:tc>
      </w:tr>
      <w:tr w:rsidR="00F77E8D" w:rsidRPr="00286216" w14:paraId="2260314F" w14:textId="77777777" w:rsidTr="00091AA5">
        <w:tc>
          <w:tcPr>
            <w:tcW w:w="576" w:type="dxa"/>
          </w:tcPr>
          <w:p w14:paraId="414E9297" w14:textId="77777777" w:rsidR="004B55AD" w:rsidRPr="00286216" w:rsidRDefault="004B55AD" w:rsidP="004B55AD">
            <w:pPr>
              <w:pStyle w:val="StyleWisnow"/>
              <w:rPr>
                <w:color w:val="000000" w:themeColor="text1"/>
              </w:rPr>
            </w:pPr>
            <w:bookmarkStart w:id="155" w:name="n150" w:colFirst="0" w:colLast="0"/>
            <w:bookmarkEnd w:id="154"/>
            <w:r w:rsidRPr="00286216">
              <w:rPr>
                <w:color w:val="000000" w:themeColor="text1"/>
              </w:rPr>
              <w:t>150.</w:t>
            </w:r>
          </w:p>
        </w:tc>
        <w:tc>
          <w:tcPr>
            <w:tcW w:w="4818" w:type="dxa"/>
          </w:tcPr>
          <w:p w14:paraId="7E5A7016" w14:textId="77777777" w:rsidR="004B55AD" w:rsidRPr="00286216" w:rsidRDefault="004B55AD" w:rsidP="004B55AD">
            <w:pPr>
              <w:pStyle w:val="StyleZakonu"/>
              <w:rPr>
                <w:color w:val="000000" w:themeColor="text1"/>
              </w:rPr>
            </w:pPr>
            <w:r w:rsidRPr="00286216">
              <w:rPr>
                <w:color w:val="000000" w:themeColor="text1"/>
              </w:rPr>
              <w:t>Організований товарний спот-ринок (організований товарний ринок) -регульовані товарні ринки, які створюються та функціонують відповідно до вимог цього Закону, та товарні біржі, які створюються та функціонують відповідно до вимог Закону України "Про товарну біржу".</w:t>
            </w:r>
          </w:p>
        </w:tc>
        <w:tc>
          <w:tcPr>
            <w:tcW w:w="3686" w:type="dxa"/>
          </w:tcPr>
          <w:p w14:paraId="6E8AF5E6" w14:textId="77777777" w:rsidR="004B55AD" w:rsidRPr="00286216" w:rsidRDefault="004B55AD" w:rsidP="004B55AD">
            <w:pPr>
              <w:spacing w:line="190" w:lineRule="exact"/>
              <w:ind w:firstLine="227"/>
              <w:jc w:val="both"/>
              <w:rPr>
                <w:color w:val="000000" w:themeColor="text1"/>
                <w:szCs w:val="18"/>
              </w:rPr>
            </w:pPr>
          </w:p>
        </w:tc>
        <w:tc>
          <w:tcPr>
            <w:tcW w:w="1987" w:type="dxa"/>
          </w:tcPr>
          <w:p w14:paraId="640866C6" w14:textId="77777777" w:rsidR="004B55AD" w:rsidRPr="00286216" w:rsidRDefault="004B55AD" w:rsidP="004B55AD">
            <w:pPr>
              <w:pStyle w:val="StyleWisnow"/>
              <w:rPr>
                <w:color w:val="000000" w:themeColor="text1"/>
              </w:rPr>
            </w:pPr>
          </w:p>
        </w:tc>
        <w:tc>
          <w:tcPr>
            <w:tcW w:w="4818" w:type="dxa"/>
          </w:tcPr>
          <w:p w14:paraId="315B9B43" w14:textId="77777777" w:rsidR="004B55AD" w:rsidRPr="00286216" w:rsidRDefault="004B55AD" w:rsidP="004B55AD">
            <w:pPr>
              <w:pStyle w:val="StyleZakonu"/>
              <w:rPr>
                <w:color w:val="000000" w:themeColor="text1"/>
              </w:rPr>
            </w:pPr>
          </w:p>
        </w:tc>
      </w:tr>
      <w:tr w:rsidR="00F77E8D" w:rsidRPr="00286216" w14:paraId="33A55369" w14:textId="77777777" w:rsidTr="00091AA5">
        <w:tc>
          <w:tcPr>
            <w:tcW w:w="576" w:type="dxa"/>
          </w:tcPr>
          <w:p w14:paraId="5F50609D" w14:textId="77777777" w:rsidR="004B55AD" w:rsidRPr="00286216" w:rsidRDefault="004B55AD" w:rsidP="004B55AD">
            <w:pPr>
              <w:pStyle w:val="StyleWisnow"/>
              <w:rPr>
                <w:color w:val="000000" w:themeColor="text1"/>
              </w:rPr>
            </w:pPr>
            <w:bookmarkStart w:id="156" w:name="n151" w:colFirst="0" w:colLast="0"/>
            <w:bookmarkEnd w:id="155"/>
            <w:r w:rsidRPr="00286216">
              <w:rPr>
                <w:color w:val="000000" w:themeColor="text1"/>
              </w:rPr>
              <w:t>151.</w:t>
            </w:r>
          </w:p>
        </w:tc>
        <w:tc>
          <w:tcPr>
            <w:tcW w:w="4818" w:type="dxa"/>
          </w:tcPr>
          <w:p w14:paraId="29975ABA" w14:textId="77777777" w:rsidR="004B55AD" w:rsidRPr="00286216" w:rsidRDefault="004B55AD" w:rsidP="004B55AD">
            <w:pPr>
              <w:pStyle w:val="StyleZakonu"/>
              <w:rPr>
                <w:color w:val="000000" w:themeColor="text1"/>
              </w:rPr>
            </w:pPr>
            <w:r w:rsidRPr="00286216">
              <w:rPr>
                <w:color w:val="000000" w:themeColor="text1"/>
              </w:rPr>
              <w:t>4. Професійні учасники організованих товарних ринків - юридичні особи, які провадять діяльність з організації торгівлі продукцією, а саме - оператори регульованих товарних ринків та товарні біржі.</w:t>
            </w:r>
          </w:p>
        </w:tc>
        <w:tc>
          <w:tcPr>
            <w:tcW w:w="3686" w:type="dxa"/>
          </w:tcPr>
          <w:p w14:paraId="2E80566E" w14:textId="280E4316"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191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C809108" w14:textId="77777777" w:rsidR="004B55AD" w:rsidRPr="00286216" w:rsidRDefault="004B55AD" w:rsidP="004B55AD">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3B4895EE" w14:textId="77777777" w:rsidR="004B55AD" w:rsidRPr="00286216" w:rsidRDefault="004B55AD" w:rsidP="004B55AD">
            <w:pPr>
              <w:pStyle w:val="StyleProp"/>
              <w:spacing w:line="180" w:lineRule="exact"/>
              <w:rPr>
                <w:color w:val="000000" w:themeColor="text1"/>
              </w:rPr>
            </w:pPr>
            <w:r w:rsidRPr="00286216">
              <w:rPr>
                <w:color w:val="000000" w:themeColor="text1"/>
              </w:rPr>
              <w:t>У абзаці першому частини четвертої  статті 4 слова «оператори регульованих товарних ринків та» виключити.</w:t>
            </w:r>
          </w:p>
        </w:tc>
        <w:tc>
          <w:tcPr>
            <w:tcW w:w="1987" w:type="dxa"/>
          </w:tcPr>
          <w:p w14:paraId="4A262A0E" w14:textId="77777777" w:rsidR="006276D5" w:rsidRPr="00286216" w:rsidRDefault="006276D5" w:rsidP="006276D5">
            <w:pPr>
              <w:pStyle w:val="StyleWisnow"/>
              <w:rPr>
                <w:color w:val="000000" w:themeColor="text1"/>
              </w:rPr>
            </w:pPr>
            <w:r w:rsidRPr="00286216">
              <w:rPr>
                <w:color w:val="000000" w:themeColor="text1"/>
              </w:rPr>
              <w:t>Враховано</w:t>
            </w:r>
          </w:p>
          <w:p w14:paraId="6AACA3E0" w14:textId="77777777" w:rsidR="004B55AD" w:rsidRPr="00286216" w:rsidRDefault="004B55AD" w:rsidP="004B55AD">
            <w:pPr>
              <w:pStyle w:val="StyleWisnow"/>
              <w:rPr>
                <w:color w:val="000000" w:themeColor="text1"/>
              </w:rPr>
            </w:pPr>
          </w:p>
        </w:tc>
        <w:tc>
          <w:tcPr>
            <w:tcW w:w="4818" w:type="dxa"/>
          </w:tcPr>
          <w:p w14:paraId="7C17AF19" w14:textId="06DDC0C0" w:rsidR="004B55AD" w:rsidRPr="00286216" w:rsidRDefault="004B55AD" w:rsidP="004B55AD">
            <w:pPr>
              <w:pStyle w:val="StyleZakonu"/>
              <w:rPr>
                <w:color w:val="000000" w:themeColor="text1"/>
              </w:rPr>
            </w:pPr>
            <w:r w:rsidRPr="00286216">
              <w:rPr>
                <w:color w:val="000000" w:themeColor="text1"/>
              </w:rPr>
              <w:t>3. Професійними учасниками організованих товарних ринків є юридичні особи, які провадять діяльність з організації торгівлі продукцією, а саме  товарні біржі.</w:t>
            </w:r>
          </w:p>
        </w:tc>
      </w:tr>
      <w:tr w:rsidR="00F77E8D" w:rsidRPr="00286216" w14:paraId="6A7CB0DD" w14:textId="77777777" w:rsidTr="00091AA5">
        <w:tc>
          <w:tcPr>
            <w:tcW w:w="576" w:type="dxa"/>
          </w:tcPr>
          <w:p w14:paraId="687DAA66" w14:textId="77777777" w:rsidR="004B55AD" w:rsidRPr="00286216" w:rsidRDefault="004B55AD" w:rsidP="004B55AD">
            <w:pPr>
              <w:pStyle w:val="StyleWisnow"/>
              <w:rPr>
                <w:color w:val="000000" w:themeColor="text1"/>
              </w:rPr>
            </w:pPr>
            <w:bookmarkStart w:id="157" w:name="n152" w:colFirst="0" w:colLast="0"/>
            <w:bookmarkEnd w:id="156"/>
            <w:r w:rsidRPr="00286216">
              <w:rPr>
                <w:color w:val="000000" w:themeColor="text1"/>
              </w:rPr>
              <w:t>152.</w:t>
            </w:r>
          </w:p>
        </w:tc>
        <w:tc>
          <w:tcPr>
            <w:tcW w:w="4818" w:type="dxa"/>
          </w:tcPr>
          <w:p w14:paraId="37FF014B" w14:textId="77777777" w:rsidR="004B55AD" w:rsidRPr="00286216" w:rsidRDefault="004B55AD" w:rsidP="004B55AD">
            <w:pPr>
              <w:pStyle w:val="StyleZakonu"/>
              <w:rPr>
                <w:color w:val="000000" w:themeColor="text1"/>
              </w:rPr>
            </w:pPr>
            <w:r w:rsidRPr="00286216">
              <w:rPr>
                <w:color w:val="000000" w:themeColor="text1"/>
              </w:rPr>
              <w:t xml:space="preserve">Професійним учасником організованих товарних </w:t>
            </w:r>
            <w:r w:rsidRPr="00286216">
              <w:rPr>
                <w:color w:val="000000" w:themeColor="text1"/>
              </w:rPr>
              <w:lastRenderedPageBreak/>
              <w:t xml:space="preserve">ринків не може бути іноземна юридична особа, яка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 </w:t>
            </w:r>
            <w:r w:rsidRPr="00286216">
              <w:rPr>
                <w:color w:val="000000" w:themeColor="text1"/>
                <w:lang w:eastAsia="uk-UA"/>
              </w:rPr>
              <w:t xml:space="preserve">Власником істотної участі в </w:t>
            </w:r>
            <w:r w:rsidRPr="00286216">
              <w:rPr>
                <w:color w:val="000000" w:themeColor="text1"/>
              </w:rPr>
              <w:t xml:space="preserve">професійному учаснику організованих товарних ринків </w:t>
            </w:r>
            <w:r w:rsidRPr="00286216">
              <w:rPr>
                <w:color w:val="000000" w:themeColor="text1"/>
                <w:lang w:eastAsia="uk-UA"/>
              </w:rPr>
              <w:t xml:space="preserve">не може бути іноземна юридична або фізична особа, яка </w:t>
            </w:r>
            <w:r w:rsidRPr="00286216">
              <w:rPr>
                <w:color w:val="000000" w:themeColor="text1"/>
              </w:rPr>
              <w:t>є резидентом держави, що здійснює збройну агресію проти України у значенні, наведеному у статті 1 Закону України "Про оборону України", а також особи до яких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tc>
        <w:tc>
          <w:tcPr>
            <w:tcW w:w="3686" w:type="dxa"/>
          </w:tcPr>
          <w:p w14:paraId="4CE165D9" w14:textId="4C7CB133" w:rsidR="004B55AD" w:rsidRPr="00286216" w:rsidRDefault="004B55AD" w:rsidP="004B55AD">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192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E0D1A3C" w14:textId="77777777" w:rsidR="004B55AD" w:rsidRPr="00286216" w:rsidRDefault="004B55AD" w:rsidP="004B55AD">
            <w:pPr>
              <w:pStyle w:val="StyleProp"/>
              <w:rPr>
                <w:color w:val="000000" w:themeColor="text1"/>
              </w:rPr>
            </w:pPr>
            <w:r w:rsidRPr="00286216">
              <w:rPr>
                <w:color w:val="000000" w:themeColor="text1"/>
              </w:rPr>
              <w:t xml:space="preserve">Друге речення абзацу другого частини </w:t>
            </w:r>
            <w:r w:rsidRPr="00286216">
              <w:rPr>
                <w:color w:val="000000" w:themeColor="text1"/>
              </w:rPr>
              <w:lastRenderedPageBreak/>
              <w:t>четвертої статті 4 виключити.</w:t>
            </w:r>
          </w:p>
          <w:p w14:paraId="57B458EC" w14:textId="266D56FD"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193</w:t>
            </w:r>
            <w:r w:rsidRPr="00286216">
              <w:rPr>
                <w:color w:val="000000" w:themeColor="text1"/>
                <w:spacing w:val="-10"/>
              </w:rPr>
              <w:fldChar w:fldCharType="end"/>
            </w:r>
            <w:r w:rsidRPr="00286216">
              <w:rPr>
                <w:color w:val="000000" w:themeColor="text1"/>
                <w:spacing w:val="-10"/>
              </w:rPr>
              <w:t>-Н.д.Гетманцев Д.О.(Реєстр.картка №245)</w:t>
            </w:r>
          </w:p>
          <w:p w14:paraId="3CC42994"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У статті 4 абзац другий частини четвертої викласти в такій редакції:</w:t>
            </w:r>
          </w:p>
          <w:p w14:paraId="4C7BF66B" w14:textId="77777777" w:rsidR="004B55AD" w:rsidRPr="00286216" w:rsidRDefault="004B55AD" w:rsidP="00E71C29">
            <w:pPr>
              <w:pStyle w:val="StyleProp"/>
              <w:spacing w:line="184" w:lineRule="exact"/>
              <w:rPr>
                <w:color w:val="000000" w:themeColor="text1"/>
                <w:spacing w:val="-4"/>
              </w:rPr>
            </w:pPr>
            <w:r w:rsidRPr="00286216">
              <w:rPr>
                <w:color w:val="000000" w:themeColor="text1"/>
                <w:spacing w:val="-3"/>
              </w:rPr>
              <w:t xml:space="preserve">«Професійним учасником організованих </w:t>
            </w:r>
            <w:r w:rsidRPr="00286216">
              <w:rPr>
                <w:color w:val="000000" w:themeColor="text1"/>
                <w:spacing w:val="-4"/>
              </w:rPr>
              <w:t>товарних ринків не може бути юридична особа, яка відповідає хоча б одному із таких критеріїв:</w:t>
            </w:r>
          </w:p>
          <w:p w14:paraId="4AA9570A" w14:textId="77777777" w:rsidR="004B55AD" w:rsidRPr="00286216" w:rsidRDefault="004B55AD" w:rsidP="00E71C29">
            <w:pPr>
              <w:pStyle w:val="StyleProp"/>
              <w:spacing w:line="184" w:lineRule="exact"/>
              <w:rPr>
                <w:color w:val="000000" w:themeColor="text1"/>
                <w:spacing w:val="-6"/>
              </w:rPr>
            </w:pPr>
            <w:r w:rsidRPr="00286216">
              <w:rPr>
                <w:color w:val="000000" w:themeColor="text1"/>
                <w:spacing w:val="-6"/>
              </w:rPr>
              <w:t>- є нерезидентом України, у тому числі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5D7CF140" w14:textId="77777777" w:rsidR="004B55AD" w:rsidRPr="00286216" w:rsidRDefault="004B55AD" w:rsidP="00E71C29">
            <w:pPr>
              <w:pStyle w:val="StyleProp"/>
              <w:spacing w:line="184" w:lineRule="exact"/>
              <w:rPr>
                <w:color w:val="000000" w:themeColor="text1"/>
                <w:spacing w:val="-6"/>
              </w:rPr>
            </w:pPr>
            <w:r w:rsidRPr="00286216">
              <w:rPr>
                <w:color w:val="000000" w:themeColor="text1"/>
                <w:spacing w:val="-6"/>
              </w:rPr>
              <w:t>- відносно юридичної особи застосовані санкції відповідно до Закону України "Про санкції";</w:t>
            </w:r>
          </w:p>
          <w:p w14:paraId="1D3FFD31" w14:textId="77777777" w:rsidR="004B55AD" w:rsidRPr="00286216" w:rsidRDefault="004B55AD" w:rsidP="00E71C29">
            <w:pPr>
              <w:pStyle w:val="StyleProp"/>
              <w:spacing w:line="184" w:lineRule="exact"/>
              <w:rPr>
                <w:color w:val="000000" w:themeColor="text1"/>
                <w:spacing w:val="-3"/>
              </w:rPr>
            </w:pPr>
            <w:r w:rsidRPr="00286216">
              <w:rPr>
                <w:color w:val="000000" w:themeColor="text1"/>
                <w:spacing w:val="-3"/>
              </w:rPr>
              <w:t>- юридична особа включена до переліку осіб, пов'язаних з провадженням терористичної діяльності, або щодо якої застосовано міжнародні санкції;</w:t>
            </w:r>
          </w:p>
          <w:p w14:paraId="3AE10B94"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 юридична особа має податковий борг, який не погашений протягом двох місяців з дня його виникнення;</w:t>
            </w:r>
          </w:p>
          <w:p w14:paraId="6686113E"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 юридична особа не відповідає вимогам, що встановлені законодавством для професійних учасників організованих товарних ринків.</w:t>
            </w:r>
          </w:p>
          <w:p w14:paraId="4050679E"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Власником істотної участі в професійному учаснику організованих товарних ринків не може бути юридична або фізична особа, яка відповідає хоча б одному із таких критеріїв:</w:t>
            </w:r>
          </w:p>
          <w:p w14:paraId="67A3E80C"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а) є резидентом держави, що здійснює збройну агресію проти України у значенні, наведеному у статті 1 Закону України «Про оборону України»;</w:t>
            </w:r>
          </w:p>
          <w:p w14:paraId="1609F16C"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б)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p w14:paraId="167F86A4"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в) до особи або до її посадових осіб застосовані санкції відповідно до Закону України "Про санкції";</w:t>
            </w:r>
          </w:p>
          <w:p w14:paraId="355D0337"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г) особа або її посадові особи включені до переліку осіб, пов'язаних з провадженням терористичної діяльності, або щодо яких застосовано міжнародні санкції;</w:t>
            </w:r>
          </w:p>
          <w:p w14:paraId="4C513351" w14:textId="77777777" w:rsidR="004B55AD" w:rsidRPr="00286216" w:rsidRDefault="004B55AD" w:rsidP="00E71C29">
            <w:pPr>
              <w:pStyle w:val="StyleProp"/>
              <w:spacing w:line="184" w:lineRule="exact"/>
              <w:rPr>
                <w:color w:val="000000" w:themeColor="text1"/>
                <w:spacing w:val="-2"/>
              </w:rPr>
            </w:pPr>
            <w:r w:rsidRPr="00286216">
              <w:rPr>
                <w:color w:val="000000" w:themeColor="text1"/>
                <w:spacing w:val="-2"/>
              </w:rPr>
              <w:t>ґ) особа, підконтрольна особам, зазначеним в пунктах «а» - «г» цього абзацу, або має таких осіб у своїй структурі власності;</w:t>
            </w:r>
          </w:p>
          <w:p w14:paraId="622A7833" w14:textId="77777777" w:rsidR="004B55AD" w:rsidRPr="00286216" w:rsidRDefault="004B55AD" w:rsidP="00E71C29">
            <w:pPr>
              <w:pStyle w:val="StyleProp"/>
              <w:spacing w:line="184" w:lineRule="exact"/>
              <w:rPr>
                <w:color w:val="000000" w:themeColor="text1"/>
              </w:rPr>
            </w:pPr>
            <w:r w:rsidRPr="00286216">
              <w:rPr>
                <w:color w:val="000000" w:themeColor="text1"/>
                <w:spacing w:val="-2"/>
              </w:rPr>
              <w:t xml:space="preserve">д) не відповідає вимогам, передбаченим </w:t>
            </w:r>
            <w:r w:rsidRPr="00286216">
              <w:rPr>
                <w:color w:val="000000" w:themeColor="text1"/>
                <w:spacing w:val="-2"/>
              </w:rPr>
              <w:lastRenderedPageBreak/>
              <w:t>законодавством.»</w:t>
            </w:r>
          </w:p>
        </w:tc>
        <w:tc>
          <w:tcPr>
            <w:tcW w:w="1987" w:type="dxa"/>
          </w:tcPr>
          <w:p w14:paraId="12522B33"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p w14:paraId="755001DD" w14:textId="77777777" w:rsidR="004B55AD" w:rsidRPr="00286216" w:rsidRDefault="004B55AD" w:rsidP="004B55AD">
            <w:pPr>
              <w:pStyle w:val="StyleWisnow"/>
              <w:rPr>
                <w:color w:val="000000" w:themeColor="text1"/>
              </w:rPr>
            </w:pPr>
          </w:p>
          <w:p w14:paraId="19648049" w14:textId="77777777" w:rsidR="004B55AD" w:rsidRPr="00286216" w:rsidRDefault="004B55AD" w:rsidP="004B55AD">
            <w:pPr>
              <w:pStyle w:val="StyleWisnow"/>
              <w:rPr>
                <w:color w:val="000000" w:themeColor="text1"/>
              </w:rPr>
            </w:pPr>
          </w:p>
          <w:p w14:paraId="3F9A33E1" w14:textId="77777777" w:rsidR="004B55AD" w:rsidRPr="00286216" w:rsidRDefault="004B55AD" w:rsidP="004B55AD">
            <w:pPr>
              <w:pStyle w:val="StyleWisnow"/>
              <w:rPr>
                <w:color w:val="000000" w:themeColor="text1"/>
              </w:rPr>
            </w:pPr>
            <w:r w:rsidRPr="00286216">
              <w:rPr>
                <w:color w:val="000000" w:themeColor="text1"/>
              </w:rPr>
              <w:t>Враховано частково</w:t>
            </w:r>
          </w:p>
          <w:p w14:paraId="19C523E5" w14:textId="5B0001E4" w:rsidR="004B55AD" w:rsidRPr="00286216" w:rsidRDefault="004B55AD" w:rsidP="004B55AD">
            <w:pPr>
              <w:pStyle w:val="StyleWisnow"/>
              <w:spacing w:line="180" w:lineRule="exact"/>
              <w:rPr>
                <w:color w:val="000000" w:themeColor="text1"/>
              </w:rPr>
            </w:pPr>
            <w:r w:rsidRPr="00286216">
              <w:rPr>
                <w:color w:val="000000" w:themeColor="text1"/>
              </w:rPr>
              <w:t>зокрема, в редакції статті 74</w:t>
            </w:r>
          </w:p>
        </w:tc>
        <w:tc>
          <w:tcPr>
            <w:tcW w:w="4818" w:type="dxa"/>
          </w:tcPr>
          <w:p w14:paraId="3AFEC3E9" w14:textId="77777777" w:rsidR="004B55AD" w:rsidRPr="00286216" w:rsidRDefault="004B55AD" w:rsidP="004B55AD">
            <w:pPr>
              <w:pStyle w:val="StyleZakonu"/>
              <w:rPr>
                <w:color w:val="000000" w:themeColor="text1"/>
                <w:szCs w:val="18"/>
              </w:rPr>
            </w:pPr>
            <w:r w:rsidRPr="00286216">
              <w:rPr>
                <w:color w:val="000000" w:themeColor="text1"/>
                <w:szCs w:val="18"/>
              </w:rPr>
              <w:lastRenderedPageBreak/>
              <w:t xml:space="preserve">Професійним учасником організованих товарних </w:t>
            </w:r>
            <w:r w:rsidRPr="00286216">
              <w:rPr>
                <w:color w:val="000000" w:themeColor="text1"/>
                <w:szCs w:val="18"/>
              </w:rPr>
              <w:lastRenderedPageBreak/>
              <w:t>ринків не може бути юридична особа, яка відповідає хоча б одному із таких критеріїв:</w:t>
            </w:r>
          </w:p>
          <w:p w14:paraId="5AAE9291" w14:textId="1DF47B3A" w:rsidR="004B55AD" w:rsidRPr="00286216" w:rsidRDefault="004B55AD" w:rsidP="004B55AD">
            <w:pPr>
              <w:pStyle w:val="StyleZakonu"/>
              <w:rPr>
                <w:color w:val="000000" w:themeColor="text1"/>
                <w:szCs w:val="18"/>
              </w:rPr>
            </w:pPr>
            <w:r w:rsidRPr="00286216">
              <w:rPr>
                <w:color w:val="000000" w:themeColor="text1"/>
                <w:szCs w:val="18"/>
              </w:rPr>
              <w:t>1)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7639A51B" w14:textId="75B4FA34" w:rsidR="004B55AD" w:rsidRPr="00286216" w:rsidRDefault="004B55AD" w:rsidP="004B55AD">
            <w:pPr>
              <w:pStyle w:val="StyleZakonu"/>
              <w:rPr>
                <w:color w:val="000000" w:themeColor="text1"/>
                <w:szCs w:val="18"/>
              </w:rPr>
            </w:pPr>
            <w:r w:rsidRPr="00286216">
              <w:rPr>
                <w:color w:val="000000" w:themeColor="text1"/>
                <w:szCs w:val="18"/>
              </w:rPr>
              <w:t>2) до юридичної особи застосовані санкції відповідно до Закону України "Про санкції";</w:t>
            </w:r>
          </w:p>
          <w:p w14:paraId="1C7FF43F" w14:textId="3AEF99F2" w:rsidR="004B55AD" w:rsidRPr="00286216" w:rsidRDefault="004B55AD" w:rsidP="004B55AD">
            <w:pPr>
              <w:pStyle w:val="StyleZakonu"/>
              <w:rPr>
                <w:color w:val="000000" w:themeColor="text1"/>
                <w:szCs w:val="18"/>
              </w:rPr>
            </w:pPr>
            <w:r w:rsidRPr="00286216">
              <w:rPr>
                <w:color w:val="000000" w:themeColor="text1"/>
                <w:szCs w:val="18"/>
              </w:rPr>
              <w:t>3) юридична особа включена до переліку осіб, пов'язаних з провадженням терористичної діяльності або стосовно яких застосовано міжнародні санкції;</w:t>
            </w:r>
          </w:p>
          <w:p w14:paraId="068E5446" w14:textId="755C7313" w:rsidR="004B55AD" w:rsidRPr="00286216" w:rsidRDefault="004B55AD" w:rsidP="004B55AD">
            <w:pPr>
              <w:pStyle w:val="StyleZakonu"/>
              <w:rPr>
                <w:color w:val="000000" w:themeColor="text1"/>
                <w:szCs w:val="18"/>
              </w:rPr>
            </w:pPr>
            <w:r w:rsidRPr="00286216">
              <w:rPr>
                <w:color w:val="000000" w:themeColor="text1"/>
                <w:szCs w:val="18"/>
              </w:rPr>
              <w:t>4) юридична особа підконтрольна особам, зазначеним у пунктах 1 – 3 цієї частини, або має таких осіб у своїй структурі власності юридичної особи;</w:t>
            </w:r>
          </w:p>
          <w:p w14:paraId="2231C5C4" w14:textId="14F1B8E6" w:rsidR="004B55AD" w:rsidRPr="00286216" w:rsidRDefault="004B55AD" w:rsidP="00CD1870">
            <w:pPr>
              <w:pStyle w:val="StyleZakonu"/>
              <w:rPr>
                <w:color w:val="000000" w:themeColor="text1"/>
              </w:rPr>
            </w:pPr>
            <w:r w:rsidRPr="00286216">
              <w:rPr>
                <w:color w:val="000000" w:themeColor="text1"/>
                <w:szCs w:val="18"/>
              </w:rPr>
              <w:t>5) юридична особа не відповідає вимогам, встановленим законодавством д</w:t>
            </w:r>
            <w:r w:rsidR="00CD1870" w:rsidRPr="00286216">
              <w:rPr>
                <w:color w:val="000000" w:themeColor="text1"/>
                <w:szCs w:val="18"/>
              </w:rPr>
              <w:t>о</w:t>
            </w:r>
            <w:r w:rsidRPr="00286216">
              <w:rPr>
                <w:color w:val="000000" w:themeColor="text1"/>
                <w:szCs w:val="18"/>
              </w:rPr>
              <w:t xml:space="preserve"> професійних учасників організованих товарних ринків.</w:t>
            </w:r>
          </w:p>
        </w:tc>
      </w:tr>
      <w:tr w:rsidR="00F77E8D" w:rsidRPr="00286216" w14:paraId="13FF59D1" w14:textId="77777777" w:rsidTr="00091AA5">
        <w:tc>
          <w:tcPr>
            <w:tcW w:w="576" w:type="dxa"/>
          </w:tcPr>
          <w:p w14:paraId="5C732F25" w14:textId="77777777" w:rsidR="004B55AD" w:rsidRPr="00286216" w:rsidRDefault="004B55AD" w:rsidP="004B55AD">
            <w:pPr>
              <w:pStyle w:val="StyleWisnow"/>
              <w:rPr>
                <w:color w:val="000000" w:themeColor="text1"/>
              </w:rPr>
            </w:pPr>
            <w:bookmarkStart w:id="158" w:name="n153" w:colFirst="0" w:colLast="0"/>
            <w:bookmarkEnd w:id="157"/>
            <w:r w:rsidRPr="00286216">
              <w:rPr>
                <w:color w:val="000000" w:themeColor="text1"/>
              </w:rPr>
              <w:lastRenderedPageBreak/>
              <w:t>153.</w:t>
            </w:r>
          </w:p>
        </w:tc>
        <w:tc>
          <w:tcPr>
            <w:tcW w:w="4818" w:type="dxa"/>
          </w:tcPr>
          <w:p w14:paraId="49E48146" w14:textId="77777777" w:rsidR="004B55AD" w:rsidRPr="00286216" w:rsidRDefault="004B55AD" w:rsidP="004B55AD">
            <w:pPr>
              <w:pStyle w:val="StyleZakonu"/>
              <w:rPr>
                <w:color w:val="000000" w:themeColor="text1"/>
              </w:rPr>
            </w:pPr>
            <w:r w:rsidRPr="00286216">
              <w:rPr>
                <w:color w:val="000000" w:themeColor="text1"/>
              </w:rPr>
              <w:t>5. Діяльність з організації торгівлі продукцією здійснюється виключно товарними біржами та операторами регульованих товарних ринків на підставі відповідних ліцензій, що видаються Національною комісією з цінних паперів та фондового ринку.</w:t>
            </w:r>
          </w:p>
        </w:tc>
        <w:tc>
          <w:tcPr>
            <w:tcW w:w="3686" w:type="dxa"/>
          </w:tcPr>
          <w:p w14:paraId="5E40244F" w14:textId="10877B18"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194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BDC848" w14:textId="77777777" w:rsidR="004B55AD" w:rsidRPr="00286216" w:rsidRDefault="004B55AD" w:rsidP="004B55AD">
            <w:pPr>
              <w:pStyle w:val="StyleAwt"/>
              <w:rPr>
                <w:color w:val="000000" w:themeColor="text1"/>
                <w:spacing w:val="-4"/>
              </w:rPr>
            </w:pPr>
            <w:r w:rsidRPr="00286216">
              <w:rPr>
                <w:color w:val="000000" w:themeColor="text1"/>
                <w:spacing w:val="-4"/>
              </w:rPr>
              <w:t xml:space="preserve">    Н.д.Гетманцев Д.О.(Реєстр.картка №245)</w:t>
            </w:r>
          </w:p>
          <w:p w14:paraId="54B96D56" w14:textId="77777777" w:rsidR="004B55AD" w:rsidRPr="00286216" w:rsidRDefault="004B55AD" w:rsidP="004B55AD">
            <w:pPr>
              <w:pStyle w:val="StyleProp"/>
              <w:rPr>
                <w:color w:val="000000" w:themeColor="text1"/>
              </w:rPr>
            </w:pPr>
            <w:r w:rsidRPr="00286216">
              <w:rPr>
                <w:color w:val="000000" w:themeColor="text1"/>
              </w:rPr>
              <w:t>У частині п’ятій статті 4 слова «та операторами регульованих товарних ринків» виключити, та доповнити словами "крім випадків передбачених законодавством".</w:t>
            </w:r>
          </w:p>
        </w:tc>
        <w:tc>
          <w:tcPr>
            <w:tcW w:w="1987" w:type="dxa"/>
          </w:tcPr>
          <w:p w14:paraId="68A46DC2"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7138C70" w14:textId="78EF76FB" w:rsidR="004B55AD" w:rsidRPr="00286216" w:rsidRDefault="004B55AD" w:rsidP="004B55AD">
            <w:pPr>
              <w:pStyle w:val="StyleZakonu"/>
              <w:rPr>
                <w:color w:val="000000" w:themeColor="text1"/>
              </w:rPr>
            </w:pPr>
            <w:r w:rsidRPr="00286216">
              <w:rPr>
                <w:color w:val="000000" w:themeColor="text1"/>
              </w:rPr>
              <w:t>4. Діяльність з організації торгівлі продукцією здійснюється виключно товарними біржами на підставі відповідних ліцензій, виданих Національною комісією з цінних паперів та фондового ринку, крім випадків</w:t>
            </w:r>
            <w:r w:rsidR="00CD1870" w:rsidRPr="00286216">
              <w:rPr>
                <w:color w:val="000000" w:themeColor="text1"/>
              </w:rPr>
              <w:t>,</w:t>
            </w:r>
            <w:r w:rsidRPr="00286216">
              <w:rPr>
                <w:color w:val="000000" w:themeColor="text1"/>
              </w:rPr>
              <w:t xml:space="preserve"> передбачених законодавством.</w:t>
            </w:r>
          </w:p>
        </w:tc>
      </w:tr>
      <w:tr w:rsidR="00F77E8D" w:rsidRPr="00286216" w14:paraId="70FF47BE" w14:textId="77777777" w:rsidTr="00091AA5">
        <w:tc>
          <w:tcPr>
            <w:tcW w:w="576" w:type="dxa"/>
          </w:tcPr>
          <w:p w14:paraId="46255216" w14:textId="77777777" w:rsidR="004B55AD" w:rsidRPr="00286216" w:rsidRDefault="004B55AD" w:rsidP="004B55AD">
            <w:pPr>
              <w:pStyle w:val="StyleWisnow"/>
              <w:rPr>
                <w:color w:val="000000" w:themeColor="text1"/>
              </w:rPr>
            </w:pPr>
            <w:bookmarkStart w:id="159" w:name="n154" w:colFirst="0" w:colLast="0"/>
            <w:bookmarkEnd w:id="158"/>
            <w:r w:rsidRPr="00286216">
              <w:rPr>
                <w:color w:val="000000" w:themeColor="text1"/>
              </w:rPr>
              <w:t>154.</w:t>
            </w:r>
          </w:p>
        </w:tc>
        <w:tc>
          <w:tcPr>
            <w:tcW w:w="4818" w:type="dxa"/>
          </w:tcPr>
          <w:p w14:paraId="20CAE172" w14:textId="77777777" w:rsidR="004B55AD" w:rsidRPr="00286216" w:rsidRDefault="004B55AD" w:rsidP="004B55AD">
            <w:pPr>
              <w:pStyle w:val="StyleZakonu"/>
              <w:rPr>
                <w:color w:val="000000" w:themeColor="text1"/>
              </w:rPr>
            </w:pPr>
            <w:bookmarkStart w:id="160" w:name="_Ref16410988"/>
            <w:r w:rsidRPr="00286216">
              <w:rPr>
                <w:color w:val="000000" w:themeColor="text1"/>
              </w:rPr>
              <w:t>Стаття 5. Кваліфіковані та некваліфіковані інвестори</w:t>
            </w:r>
            <w:bookmarkEnd w:id="160"/>
          </w:p>
        </w:tc>
        <w:tc>
          <w:tcPr>
            <w:tcW w:w="3686" w:type="dxa"/>
          </w:tcPr>
          <w:p w14:paraId="2237A8E2" w14:textId="77777777" w:rsidR="004B55AD" w:rsidRPr="00286216" w:rsidRDefault="004B55AD" w:rsidP="004B55AD">
            <w:pPr>
              <w:pStyle w:val="StyleProp"/>
              <w:rPr>
                <w:color w:val="000000" w:themeColor="text1"/>
                <w:szCs w:val="18"/>
              </w:rPr>
            </w:pPr>
          </w:p>
        </w:tc>
        <w:tc>
          <w:tcPr>
            <w:tcW w:w="1987" w:type="dxa"/>
          </w:tcPr>
          <w:p w14:paraId="4C56B11B" w14:textId="77777777" w:rsidR="004B55AD" w:rsidRPr="00286216" w:rsidRDefault="004B55AD" w:rsidP="004B55AD">
            <w:pPr>
              <w:pStyle w:val="StyleWisnow"/>
              <w:rPr>
                <w:color w:val="000000" w:themeColor="text1"/>
              </w:rPr>
            </w:pPr>
          </w:p>
        </w:tc>
        <w:tc>
          <w:tcPr>
            <w:tcW w:w="4818" w:type="dxa"/>
          </w:tcPr>
          <w:p w14:paraId="34D52BD5" w14:textId="69AC8D05" w:rsidR="004B55AD" w:rsidRPr="00286216" w:rsidRDefault="004B55AD" w:rsidP="004B55AD">
            <w:pPr>
              <w:pStyle w:val="StyleZakonu"/>
              <w:rPr>
                <w:color w:val="000000" w:themeColor="text1"/>
              </w:rPr>
            </w:pPr>
            <w:r w:rsidRPr="00286216">
              <w:rPr>
                <w:color w:val="000000" w:themeColor="text1"/>
              </w:rPr>
              <w:t>Стаття 6. Кваліфіковані та некваліфіковані інвестори</w:t>
            </w:r>
          </w:p>
        </w:tc>
      </w:tr>
      <w:tr w:rsidR="00F77E8D" w:rsidRPr="00286216" w14:paraId="41BDC5C2" w14:textId="77777777" w:rsidTr="00091AA5">
        <w:tc>
          <w:tcPr>
            <w:tcW w:w="576" w:type="dxa"/>
          </w:tcPr>
          <w:p w14:paraId="0C703B2A" w14:textId="77777777" w:rsidR="004B55AD" w:rsidRPr="00286216" w:rsidRDefault="004B55AD" w:rsidP="004B55AD">
            <w:pPr>
              <w:pStyle w:val="StyleWisnow"/>
              <w:rPr>
                <w:color w:val="000000" w:themeColor="text1"/>
              </w:rPr>
            </w:pPr>
            <w:bookmarkStart w:id="161" w:name="n155" w:colFirst="0" w:colLast="0"/>
            <w:bookmarkEnd w:id="159"/>
            <w:r w:rsidRPr="00286216">
              <w:rPr>
                <w:color w:val="000000" w:themeColor="text1"/>
              </w:rPr>
              <w:t>155.</w:t>
            </w:r>
          </w:p>
        </w:tc>
        <w:tc>
          <w:tcPr>
            <w:tcW w:w="4818" w:type="dxa"/>
          </w:tcPr>
          <w:p w14:paraId="489A668A" w14:textId="77777777" w:rsidR="004B55AD" w:rsidRPr="00286216" w:rsidRDefault="004B55AD" w:rsidP="004B55AD">
            <w:pPr>
              <w:pStyle w:val="StyleZakonu"/>
              <w:rPr>
                <w:color w:val="000000" w:themeColor="text1"/>
              </w:rPr>
            </w:pPr>
            <w:bookmarkStart w:id="162" w:name="_Ref20342520"/>
            <w:r w:rsidRPr="00286216">
              <w:rPr>
                <w:color w:val="000000" w:themeColor="text1"/>
              </w:rPr>
              <w:t>1. Кваліфікованими інвесторами є:</w:t>
            </w:r>
            <w:bookmarkEnd w:id="162"/>
          </w:p>
        </w:tc>
        <w:tc>
          <w:tcPr>
            <w:tcW w:w="3686" w:type="dxa"/>
          </w:tcPr>
          <w:p w14:paraId="665CA362" w14:textId="77777777" w:rsidR="004B55AD" w:rsidRPr="00286216" w:rsidRDefault="004B55AD" w:rsidP="004B55AD">
            <w:pPr>
              <w:pStyle w:val="StyleProp"/>
              <w:rPr>
                <w:color w:val="000000" w:themeColor="text1"/>
                <w:szCs w:val="18"/>
              </w:rPr>
            </w:pPr>
          </w:p>
        </w:tc>
        <w:tc>
          <w:tcPr>
            <w:tcW w:w="1987" w:type="dxa"/>
          </w:tcPr>
          <w:p w14:paraId="0AF4CBFC" w14:textId="77777777" w:rsidR="004B55AD" w:rsidRPr="00286216" w:rsidRDefault="004B55AD" w:rsidP="004B55AD">
            <w:pPr>
              <w:pStyle w:val="StyleWisnow"/>
              <w:rPr>
                <w:color w:val="000000" w:themeColor="text1"/>
              </w:rPr>
            </w:pPr>
          </w:p>
        </w:tc>
        <w:tc>
          <w:tcPr>
            <w:tcW w:w="4818" w:type="dxa"/>
          </w:tcPr>
          <w:p w14:paraId="6C422CCE" w14:textId="77777777" w:rsidR="004B55AD" w:rsidRPr="00286216" w:rsidRDefault="004B55AD" w:rsidP="004B55AD">
            <w:pPr>
              <w:pStyle w:val="StyleZakonu"/>
              <w:rPr>
                <w:color w:val="000000" w:themeColor="text1"/>
              </w:rPr>
            </w:pPr>
            <w:r w:rsidRPr="00286216">
              <w:rPr>
                <w:color w:val="000000" w:themeColor="text1"/>
              </w:rPr>
              <w:t>1. Кваліфікованими інвесторами є:</w:t>
            </w:r>
          </w:p>
        </w:tc>
      </w:tr>
      <w:tr w:rsidR="00F77E8D" w:rsidRPr="00286216" w14:paraId="5AE8A343" w14:textId="77777777" w:rsidTr="00091AA5">
        <w:tc>
          <w:tcPr>
            <w:tcW w:w="576" w:type="dxa"/>
          </w:tcPr>
          <w:p w14:paraId="2858851C" w14:textId="77777777" w:rsidR="004B55AD" w:rsidRPr="00286216" w:rsidRDefault="004B55AD" w:rsidP="004B55AD">
            <w:pPr>
              <w:pStyle w:val="StyleWisnow"/>
              <w:rPr>
                <w:color w:val="000000" w:themeColor="text1"/>
              </w:rPr>
            </w:pPr>
            <w:bookmarkStart w:id="163" w:name="n156" w:colFirst="0" w:colLast="0"/>
            <w:bookmarkEnd w:id="161"/>
            <w:r w:rsidRPr="00286216">
              <w:rPr>
                <w:color w:val="000000" w:themeColor="text1"/>
              </w:rPr>
              <w:t>156.</w:t>
            </w:r>
          </w:p>
        </w:tc>
        <w:tc>
          <w:tcPr>
            <w:tcW w:w="4818" w:type="dxa"/>
          </w:tcPr>
          <w:p w14:paraId="66F750A5" w14:textId="77777777" w:rsidR="004B55AD" w:rsidRPr="00286216" w:rsidRDefault="004B55AD" w:rsidP="004B55AD">
            <w:pPr>
              <w:pStyle w:val="StyleZakonu"/>
              <w:rPr>
                <w:color w:val="000000" w:themeColor="text1"/>
              </w:rPr>
            </w:pPr>
            <w:r w:rsidRPr="00286216">
              <w:rPr>
                <w:color w:val="000000" w:themeColor="text1"/>
              </w:rPr>
              <w:t>1) міжнародні фінансові організації;</w:t>
            </w:r>
          </w:p>
        </w:tc>
        <w:tc>
          <w:tcPr>
            <w:tcW w:w="3686" w:type="dxa"/>
          </w:tcPr>
          <w:p w14:paraId="38DDC31A" w14:textId="77777777" w:rsidR="004B55AD" w:rsidRPr="00286216" w:rsidRDefault="004B55AD" w:rsidP="004B55AD">
            <w:pPr>
              <w:pStyle w:val="StyleProp"/>
              <w:rPr>
                <w:color w:val="000000" w:themeColor="text1"/>
                <w:szCs w:val="18"/>
              </w:rPr>
            </w:pPr>
          </w:p>
        </w:tc>
        <w:tc>
          <w:tcPr>
            <w:tcW w:w="1987" w:type="dxa"/>
          </w:tcPr>
          <w:p w14:paraId="2E928B45" w14:textId="77777777" w:rsidR="004B55AD" w:rsidRPr="00286216" w:rsidRDefault="004B55AD" w:rsidP="004B55AD">
            <w:pPr>
              <w:pStyle w:val="StyleWisnow"/>
              <w:rPr>
                <w:color w:val="000000" w:themeColor="text1"/>
              </w:rPr>
            </w:pPr>
          </w:p>
        </w:tc>
        <w:tc>
          <w:tcPr>
            <w:tcW w:w="4818" w:type="dxa"/>
          </w:tcPr>
          <w:p w14:paraId="46F5B334" w14:textId="77777777" w:rsidR="004B55AD" w:rsidRPr="00286216" w:rsidRDefault="004B55AD" w:rsidP="004B55AD">
            <w:pPr>
              <w:pStyle w:val="StyleZakonu"/>
              <w:rPr>
                <w:color w:val="000000" w:themeColor="text1"/>
              </w:rPr>
            </w:pPr>
            <w:r w:rsidRPr="00286216">
              <w:rPr>
                <w:color w:val="000000" w:themeColor="text1"/>
              </w:rPr>
              <w:t>1) міжнародні фінансові організації;</w:t>
            </w:r>
          </w:p>
        </w:tc>
      </w:tr>
      <w:tr w:rsidR="00F77E8D" w:rsidRPr="00286216" w14:paraId="0011EC0F" w14:textId="77777777" w:rsidTr="00091AA5">
        <w:tc>
          <w:tcPr>
            <w:tcW w:w="576" w:type="dxa"/>
          </w:tcPr>
          <w:p w14:paraId="29CC2539" w14:textId="77777777" w:rsidR="004B55AD" w:rsidRPr="00286216" w:rsidRDefault="004B55AD" w:rsidP="004B55AD">
            <w:pPr>
              <w:pStyle w:val="StyleWisnow"/>
              <w:rPr>
                <w:color w:val="000000" w:themeColor="text1"/>
              </w:rPr>
            </w:pPr>
            <w:bookmarkStart w:id="164" w:name="n157" w:colFirst="0" w:colLast="0"/>
            <w:bookmarkEnd w:id="163"/>
            <w:r w:rsidRPr="00286216">
              <w:rPr>
                <w:color w:val="000000" w:themeColor="text1"/>
              </w:rPr>
              <w:t>157.</w:t>
            </w:r>
          </w:p>
        </w:tc>
        <w:tc>
          <w:tcPr>
            <w:tcW w:w="4818" w:type="dxa"/>
          </w:tcPr>
          <w:p w14:paraId="17BCB40E" w14:textId="77777777" w:rsidR="004B55AD" w:rsidRPr="00286216" w:rsidRDefault="004B55AD" w:rsidP="004B55AD">
            <w:pPr>
              <w:pStyle w:val="StyleZakonu"/>
              <w:rPr>
                <w:color w:val="000000" w:themeColor="text1"/>
              </w:rPr>
            </w:pPr>
            <w:r w:rsidRPr="00286216">
              <w:rPr>
                <w:color w:val="000000" w:themeColor="text1"/>
              </w:rPr>
              <w:t>2) іноземні держави та їх центральні банки;</w:t>
            </w:r>
          </w:p>
        </w:tc>
        <w:tc>
          <w:tcPr>
            <w:tcW w:w="3686" w:type="dxa"/>
          </w:tcPr>
          <w:p w14:paraId="3D544757" w14:textId="77777777" w:rsidR="004B55AD" w:rsidRPr="00286216" w:rsidRDefault="004B55AD" w:rsidP="004B55AD">
            <w:pPr>
              <w:pStyle w:val="StyleProp"/>
              <w:rPr>
                <w:color w:val="000000" w:themeColor="text1"/>
                <w:szCs w:val="18"/>
              </w:rPr>
            </w:pPr>
          </w:p>
        </w:tc>
        <w:tc>
          <w:tcPr>
            <w:tcW w:w="1987" w:type="dxa"/>
          </w:tcPr>
          <w:p w14:paraId="6541AEAB" w14:textId="77777777" w:rsidR="004B55AD" w:rsidRPr="00286216" w:rsidRDefault="004B55AD" w:rsidP="004B55AD">
            <w:pPr>
              <w:pStyle w:val="StyleWisnow"/>
              <w:rPr>
                <w:color w:val="000000" w:themeColor="text1"/>
              </w:rPr>
            </w:pPr>
          </w:p>
        </w:tc>
        <w:tc>
          <w:tcPr>
            <w:tcW w:w="4818" w:type="dxa"/>
          </w:tcPr>
          <w:p w14:paraId="23D6BCB3" w14:textId="3D694F14" w:rsidR="004B55AD" w:rsidRPr="00286216" w:rsidRDefault="004B55AD" w:rsidP="004B55AD">
            <w:pPr>
              <w:pStyle w:val="StyleZakonu"/>
              <w:rPr>
                <w:color w:val="000000" w:themeColor="text1"/>
              </w:rPr>
            </w:pPr>
            <w:r w:rsidRPr="00286216">
              <w:rPr>
                <w:color w:val="000000" w:themeColor="text1"/>
              </w:rPr>
              <w:t>2) іноземні держави та їхні центральні банки;</w:t>
            </w:r>
          </w:p>
        </w:tc>
      </w:tr>
      <w:tr w:rsidR="00F77E8D" w:rsidRPr="00286216" w14:paraId="6987D01F" w14:textId="77777777" w:rsidTr="00091AA5">
        <w:tc>
          <w:tcPr>
            <w:tcW w:w="576" w:type="dxa"/>
          </w:tcPr>
          <w:p w14:paraId="4A99A46F" w14:textId="77777777" w:rsidR="004B55AD" w:rsidRPr="00286216" w:rsidRDefault="004B55AD" w:rsidP="004B55AD">
            <w:pPr>
              <w:pStyle w:val="StyleWisnow"/>
              <w:rPr>
                <w:color w:val="000000" w:themeColor="text1"/>
              </w:rPr>
            </w:pPr>
            <w:bookmarkStart w:id="165" w:name="n158" w:colFirst="0" w:colLast="0"/>
            <w:bookmarkEnd w:id="164"/>
            <w:r w:rsidRPr="00286216">
              <w:rPr>
                <w:color w:val="000000" w:themeColor="text1"/>
              </w:rPr>
              <w:t>158.</w:t>
            </w:r>
          </w:p>
        </w:tc>
        <w:tc>
          <w:tcPr>
            <w:tcW w:w="4818" w:type="dxa"/>
          </w:tcPr>
          <w:p w14:paraId="03461DE1" w14:textId="77777777" w:rsidR="004B55AD" w:rsidRPr="00286216" w:rsidRDefault="004B55AD" w:rsidP="004B55AD">
            <w:pPr>
              <w:pStyle w:val="StyleZakonu"/>
              <w:rPr>
                <w:color w:val="000000" w:themeColor="text1"/>
              </w:rPr>
            </w:pPr>
            <w:r w:rsidRPr="00286216">
              <w:rPr>
                <w:color w:val="000000" w:themeColor="text1"/>
              </w:rPr>
              <w:t>3) держава Україна в особі Міністерства фінансів України та Національний банк України;</w:t>
            </w:r>
          </w:p>
        </w:tc>
        <w:tc>
          <w:tcPr>
            <w:tcW w:w="3686" w:type="dxa"/>
          </w:tcPr>
          <w:p w14:paraId="33F502E7" w14:textId="211497BA"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195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97D1A4E" w14:textId="77777777" w:rsidR="004B55AD" w:rsidRPr="00286216" w:rsidRDefault="004B55AD" w:rsidP="004B55AD">
            <w:pPr>
              <w:pStyle w:val="StyleProp"/>
              <w:rPr>
                <w:color w:val="000000" w:themeColor="text1"/>
                <w:szCs w:val="18"/>
              </w:rPr>
            </w:pPr>
            <w:r w:rsidRPr="00286216">
              <w:rPr>
                <w:color w:val="000000" w:themeColor="text1"/>
                <w:szCs w:val="18"/>
              </w:rPr>
              <w:t>Пункт 3 частини 1 статті 5 замінити двома пунктами такого змісту:</w:t>
            </w:r>
          </w:p>
          <w:p w14:paraId="2F6710A2" w14:textId="77777777" w:rsidR="004B55AD" w:rsidRPr="00286216" w:rsidRDefault="004B55AD" w:rsidP="004B55AD">
            <w:pPr>
              <w:pStyle w:val="StyleProp"/>
              <w:rPr>
                <w:color w:val="000000" w:themeColor="text1"/>
                <w:szCs w:val="18"/>
              </w:rPr>
            </w:pPr>
            <w:r w:rsidRPr="00286216">
              <w:rPr>
                <w:color w:val="000000" w:themeColor="text1"/>
                <w:szCs w:val="18"/>
              </w:rPr>
              <w:t>"3) держава Україна в особі центрального органу виконавчої влади, уповноваженого на реалізацію державної бюджетної політики у сфері управління державним боргом та гарантованим державою боргом;</w:t>
            </w:r>
          </w:p>
          <w:p w14:paraId="1FF5D8B7" w14:textId="77777777" w:rsidR="004B55AD" w:rsidRPr="00286216" w:rsidRDefault="004B55AD" w:rsidP="004B55AD">
            <w:pPr>
              <w:pStyle w:val="StyleProp"/>
              <w:rPr>
                <w:color w:val="000000" w:themeColor="text1"/>
                <w:szCs w:val="18"/>
              </w:rPr>
            </w:pPr>
            <w:r w:rsidRPr="00286216">
              <w:rPr>
                <w:color w:val="000000" w:themeColor="text1"/>
                <w:szCs w:val="18"/>
              </w:rPr>
              <w:t>4) Національний банк України".</w:t>
            </w:r>
          </w:p>
        </w:tc>
        <w:tc>
          <w:tcPr>
            <w:tcW w:w="1987" w:type="dxa"/>
          </w:tcPr>
          <w:p w14:paraId="3587B15C"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31ABD7D6" w14:textId="0AEB0A9B" w:rsidR="004B55AD" w:rsidRPr="00286216" w:rsidRDefault="004B55AD" w:rsidP="004B55AD">
            <w:pPr>
              <w:pStyle w:val="StyleZakonu"/>
              <w:rPr>
                <w:color w:val="000000" w:themeColor="text1"/>
              </w:rPr>
            </w:pPr>
            <w:r w:rsidRPr="00286216">
              <w:rPr>
                <w:color w:val="000000" w:themeColor="text1"/>
              </w:rPr>
              <w:t>3) держава Україна в особі центрального органу виконавчої влади, уповноваженого на реалізацію державної бюджетної політики у сфері управління державним боргом та гарантованим державою боргом;</w:t>
            </w:r>
          </w:p>
          <w:p w14:paraId="2883F62C" w14:textId="77777777" w:rsidR="004B55AD" w:rsidRPr="00286216" w:rsidRDefault="004B55AD" w:rsidP="004B55AD">
            <w:pPr>
              <w:pStyle w:val="StyleZakonu"/>
              <w:rPr>
                <w:color w:val="000000" w:themeColor="text1"/>
              </w:rPr>
            </w:pPr>
            <w:r w:rsidRPr="00286216">
              <w:rPr>
                <w:color w:val="000000" w:themeColor="text1"/>
              </w:rPr>
              <w:t>4) Національний банк України;</w:t>
            </w:r>
          </w:p>
        </w:tc>
      </w:tr>
      <w:tr w:rsidR="00F77E8D" w:rsidRPr="00286216" w14:paraId="2F94489B" w14:textId="77777777" w:rsidTr="00091AA5">
        <w:tc>
          <w:tcPr>
            <w:tcW w:w="576" w:type="dxa"/>
          </w:tcPr>
          <w:p w14:paraId="1A4822CF" w14:textId="77777777" w:rsidR="004B55AD" w:rsidRPr="00286216" w:rsidRDefault="004B55AD" w:rsidP="004B55AD">
            <w:pPr>
              <w:pStyle w:val="StyleWisnow"/>
              <w:rPr>
                <w:color w:val="000000" w:themeColor="text1"/>
              </w:rPr>
            </w:pPr>
            <w:bookmarkStart w:id="166" w:name="n159" w:colFirst="0" w:colLast="0"/>
            <w:bookmarkEnd w:id="165"/>
            <w:r w:rsidRPr="00286216">
              <w:rPr>
                <w:color w:val="000000" w:themeColor="text1"/>
              </w:rPr>
              <w:t>159.</w:t>
            </w:r>
          </w:p>
        </w:tc>
        <w:tc>
          <w:tcPr>
            <w:tcW w:w="4818" w:type="dxa"/>
          </w:tcPr>
          <w:p w14:paraId="5C6C281A" w14:textId="77777777" w:rsidR="004B55AD" w:rsidRPr="00286216" w:rsidRDefault="004B55AD" w:rsidP="004B55AD">
            <w:pPr>
              <w:pStyle w:val="StyleZakonu"/>
              <w:rPr>
                <w:color w:val="000000" w:themeColor="text1"/>
              </w:rPr>
            </w:pPr>
            <w:r w:rsidRPr="00286216">
              <w:rPr>
                <w:color w:val="000000" w:themeColor="text1"/>
              </w:rPr>
              <w:t>4) професійні учасники ринків капіталу та організованих товарних ринків, банки та страхові компанії;</w:t>
            </w:r>
          </w:p>
        </w:tc>
        <w:tc>
          <w:tcPr>
            <w:tcW w:w="3686" w:type="dxa"/>
          </w:tcPr>
          <w:p w14:paraId="3C4B6388" w14:textId="54B96EBA"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196</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33363C70" w14:textId="77777777" w:rsidR="004B55AD" w:rsidRPr="00286216" w:rsidRDefault="004B55AD" w:rsidP="004B55AD">
            <w:pPr>
              <w:pStyle w:val="StyleProp"/>
              <w:rPr>
                <w:b/>
                <w:color w:val="000000" w:themeColor="text1"/>
              </w:rPr>
            </w:pPr>
            <w:r w:rsidRPr="00286216">
              <w:rPr>
                <w:color w:val="000000" w:themeColor="text1"/>
              </w:rPr>
              <w:t>пункт 4 частини першої статті 5 викласти у такій редакції:</w:t>
            </w:r>
          </w:p>
          <w:p w14:paraId="42B95AF8" w14:textId="77777777" w:rsidR="004B55AD" w:rsidRPr="00286216" w:rsidRDefault="004B55AD" w:rsidP="004B55AD">
            <w:pPr>
              <w:pStyle w:val="StyleProp"/>
              <w:rPr>
                <w:color w:val="000000" w:themeColor="text1"/>
                <w:szCs w:val="18"/>
              </w:rPr>
            </w:pPr>
            <w:r w:rsidRPr="00286216">
              <w:rPr>
                <w:color w:val="000000" w:themeColor="text1"/>
              </w:rPr>
              <w:t xml:space="preserve">«4) </w:t>
            </w:r>
            <w:r w:rsidRPr="00286216">
              <w:rPr>
                <w:color w:val="000000" w:themeColor="text1"/>
                <w:lang w:eastAsia="en-US"/>
              </w:rPr>
              <w:t>професійні учасники ринків капіталу та учасники організованих товарних ринків (крім операторів регульованих товарних ринків та товарних бірж), банки та страхові компанії;</w:t>
            </w:r>
            <w:r w:rsidRPr="00286216">
              <w:rPr>
                <w:color w:val="000000" w:themeColor="text1"/>
              </w:rPr>
              <w:t>».</w:t>
            </w:r>
          </w:p>
        </w:tc>
        <w:tc>
          <w:tcPr>
            <w:tcW w:w="1987" w:type="dxa"/>
          </w:tcPr>
          <w:p w14:paraId="5BE3C478" w14:textId="77777777" w:rsidR="004B55AD" w:rsidRPr="00286216" w:rsidRDefault="004B55AD" w:rsidP="004B55AD">
            <w:pPr>
              <w:pStyle w:val="StyleWisnow"/>
              <w:rPr>
                <w:color w:val="000000" w:themeColor="text1"/>
              </w:rPr>
            </w:pPr>
            <w:r w:rsidRPr="00286216">
              <w:rPr>
                <w:color w:val="000000" w:themeColor="text1"/>
              </w:rPr>
              <w:t>Враховано частково</w:t>
            </w:r>
          </w:p>
          <w:p w14:paraId="4BF50A68" w14:textId="76477F3E" w:rsidR="004B55AD" w:rsidRPr="00286216" w:rsidRDefault="004B55AD" w:rsidP="009A0754">
            <w:pPr>
              <w:pStyle w:val="StyleWisnow"/>
              <w:spacing w:line="180" w:lineRule="exact"/>
              <w:rPr>
                <w:color w:val="000000" w:themeColor="text1"/>
              </w:rPr>
            </w:pPr>
            <w:r w:rsidRPr="00286216">
              <w:rPr>
                <w:color w:val="000000" w:themeColor="text1"/>
              </w:rPr>
              <w:t>у ч</w:t>
            </w:r>
            <w:r w:rsidR="009A0754" w:rsidRPr="00286216">
              <w:rPr>
                <w:color w:val="000000" w:themeColor="text1"/>
              </w:rPr>
              <w:t xml:space="preserve">астині третій статті </w:t>
            </w:r>
            <w:r w:rsidRPr="00286216">
              <w:rPr>
                <w:color w:val="000000" w:themeColor="text1"/>
              </w:rPr>
              <w:t>5 проекту до професійних учасників товарних ринків належать лише товарні біржі</w:t>
            </w:r>
          </w:p>
        </w:tc>
        <w:tc>
          <w:tcPr>
            <w:tcW w:w="4818" w:type="dxa"/>
          </w:tcPr>
          <w:p w14:paraId="129D1751" w14:textId="77777777" w:rsidR="004B55AD" w:rsidRPr="00286216" w:rsidRDefault="004B55AD" w:rsidP="004B55AD">
            <w:pPr>
              <w:pStyle w:val="StyleZakonu"/>
              <w:rPr>
                <w:color w:val="000000" w:themeColor="text1"/>
              </w:rPr>
            </w:pPr>
            <w:r w:rsidRPr="00286216">
              <w:rPr>
                <w:color w:val="000000" w:themeColor="text1"/>
              </w:rPr>
              <w:t>5) професійні учасники ринків капіталу, банки та страхові компанії;</w:t>
            </w:r>
          </w:p>
        </w:tc>
      </w:tr>
      <w:tr w:rsidR="00F77E8D" w:rsidRPr="00286216" w14:paraId="686A069A" w14:textId="77777777" w:rsidTr="00091AA5">
        <w:tc>
          <w:tcPr>
            <w:tcW w:w="576" w:type="dxa"/>
          </w:tcPr>
          <w:p w14:paraId="66B23567" w14:textId="77777777" w:rsidR="004B55AD" w:rsidRPr="00286216" w:rsidRDefault="004B55AD" w:rsidP="004B55AD">
            <w:pPr>
              <w:pStyle w:val="StyleWisnow"/>
              <w:rPr>
                <w:color w:val="000000" w:themeColor="text1"/>
              </w:rPr>
            </w:pPr>
            <w:bookmarkStart w:id="167" w:name="n160" w:colFirst="0" w:colLast="0"/>
            <w:bookmarkEnd w:id="166"/>
            <w:r w:rsidRPr="00286216">
              <w:rPr>
                <w:color w:val="000000" w:themeColor="text1"/>
              </w:rPr>
              <w:t>160.</w:t>
            </w:r>
          </w:p>
        </w:tc>
        <w:tc>
          <w:tcPr>
            <w:tcW w:w="4818" w:type="dxa"/>
          </w:tcPr>
          <w:p w14:paraId="5DB79B1D" w14:textId="77777777" w:rsidR="004B55AD" w:rsidRPr="00286216" w:rsidRDefault="004B55AD" w:rsidP="004B55AD">
            <w:pPr>
              <w:pStyle w:val="StyleZakonu"/>
              <w:rPr>
                <w:color w:val="000000" w:themeColor="text1"/>
              </w:rPr>
            </w:pPr>
            <w:r w:rsidRPr="00286216">
              <w:rPr>
                <w:color w:val="000000" w:themeColor="text1"/>
              </w:rPr>
              <w:t>5) іноземні фінансові установи, що відповідають критеріям, встановленим Національною комісією з цінних паперів та фондового ринку;</w:t>
            </w:r>
          </w:p>
        </w:tc>
        <w:tc>
          <w:tcPr>
            <w:tcW w:w="3686" w:type="dxa"/>
          </w:tcPr>
          <w:p w14:paraId="67C69A8C" w14:textId="77777777" w:rsidR="004B55AD" w:rsidRPr="00286216" w:rsidRDefault="004B55AD" w:rsidP="004B55AD">
            <w:pPr>
              <w:pStyle w:val="StyleProp"/>
              <w:rPr>
                <w:color w:val="000000" w:themeColor="text1"/>
                <w:szCs w:val="18"/>
              </w:rPr>
            </w:pPr>
          </w:p>
        </w:tc>
        <w:tc>
          <w:tcPr>
            <w:tcW w:w="1987" w:type="dxa"/>
          </w:tcPr>
          <w:p w14:paraId="4923E618" w14:textId="77777777" w:rsidR="004B55AD" w:rsidRPr="00286216" w:rsidRDefault="004B55AD" w:rsidP="004B55AD">
            <w:pPr>
              <w:pStyle w:val="StyleWisnow"/>
              <w:rPr>
                <w:color w:val="000000" w:themeColor="text1"/>
              </w:rPr>
            </w:pPr>
          </w:p>
        </w:tc>
        <w:tc>
          <w:tcPr>
            <w:tcW w:w="4818" w:type="dxa"/>
          </w:tcPr>
          <w:p w14:paraId="013EFC84" w14:textId="77777777" w:rsidR="004B55AD" w:rsidRPr="00286216" w:rsidRDefault="004B55AD" w:rsidP="004B55AD">
            <w:pPr>
              <w:pStyle w:val="StyleZakonu"/>
              <w:rPr>
                <w:color w:val="000000" w:themeColor="text1"/>
              </w:rPr>
            </w:pPr>
            <w:r w:rsidRPr="00286216">
              <w:rPr>
                <w:color w:val="000000" w:themeColor="text1"/>
              </w:rPr>
              <w:t>6) іноземні фінансові установи, що відповідають критеріям, встановленим Національною комісією з цінних паперів та фондового ринку;</w:t>
            </w:r>
          </w:p>
        </w:tc>
      </w:tr>
      <w:tr w:rsidR="00F77E8D" w:rsidRPr="00286216" w14:paraId="4438267F" w14:textId="77777777" w:rsidTr="00091AA5">
        <w:tc>
          <w:tcPr>
            <w:tcW w:w="576" w:type="dxa"/>
          </w:tcPr>
          <w:p w14:paraId="468C3A0E" w14:textId="77777777" w:rsidR="004B55AD" w:rsidRPr="00286216" w:rsidRDefault="004B55AD" w:rsidP="004B55AD">
            <w:pPr>
              <w:pStyle w:val="StyleWisnow"/>
              <w:rPr>
                <w:color w:val="000000" w:themeColor="text1"/>
              </w:rPr>
            </w:pPr>
            <w:bookmarkStart w:id="168" w:name="n161" w:colFirst="0" w:colLast="0"/>
            <w:bookmarkEnd w:id="167"/>
            <w:r w:rsidRPr="00286216">
              <w:rPr>
                <w:color w:val="000000" w:themeColor="text1"/>
              </w:rPr>
              <w:t>161.</w:t>
            </w:r>
          </w:p>
        </w:tc>
        <w:tc>
          <w:tcPr>
            <w:tcW w:w="4818" w:type="dxa"/>
          </w:tcPr>
          <w:p w14:paraId="0C9C16E9" w14:textId="77777777" w:rsidR="004B55AD" w:rsidRPr="00286216" w:rsidRDefault="004B55AD" w:rsidP="004B55AD">
            <w:pPr>
              <w:pStyle w:val="StyleZakonu"/>
              <w:rPr>
                <w:color w:val="000000" w:themeColor="text1"/>
              </w:rPr>
            </w:pPr>
            <w:bookmarkStart w:id="169" w:name="_Ref17109198"/>
            <w:r w:rsidRPr="00286216">
              <w:rPr>
                <w:color w:val="000000" w:themeColor="text1"/>
              </w:rPr>
              <w:t>6) юридичні особи, у тому числі створені за законодавством іншої держави, якщо вони відповідають принаймні двом з таких критеріїв:</w:t>
            </w:r>
            <w:bookmarkEnd w:id="169"/>
          </w:p>
        </w:tc>
        <w:tc>
          <w:tcPr>
            <w:tcW w:w="3686" w:type="dxa"/>
          </w:tcPr>
          <w:p w14:paraId="5B27AABB" w14:textId="05869A27"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197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BCDA9B8" w14:textId="77777777" w:rsidR="004B55AD" w:rsidRPr="00286216" w:rsidRDefault="004B55AD" w:rsidP="00E71C29">
            <w:pPr>
              <w:pStyle w:val="StyleProp"/>
              <w:spacing w:line="180" w:lineRule="exact"/>
              <w:rPr>
                <w:color w:val="000000" w:themeColor="text1"/>
                <w:szCs w:val="18"/>
              </w:rPr>
            </w:pPr>
            <w:r w:rsidRPr="00286216">
              <w:rPr>
                <w:color w:val="000000" w:themeColor="text1"/>
                <w:szCs w:val="18"/>
              </w:rPr>
              <w:t>Підпункт 6 частини першої статті 5 викласти в такій редакції:</w:t>
            </w:r>
          </w:p>
          <w:p w14:paraId="3BF4ACE5" w14:textId="77777777" w:rsidR="004B55AD" w:rsidRPr="00286216" w:rsidRDefault="004B55AD" w:rsidP="00E71C29">
            <w:pPr>
              <w:pStyle w:val="StyleProp"/>
              <w:spacing w:line="180" w:lineRule="exact"/>
              <w:rPr>
                <w:color w:val="000000" w:themeColor="text1"/>
                <w:szCs w:val="18"/>
              </w:rPr>
            </w:pPr>
            <w:r w:rsidRPr="00286216">
              <w:rPr>
                <w:color w:val="000000" w:themeColor="text1"/>
                <w:szCs w:val="18"/>
              </w:rPr>
              <w:t>«6) юридичні особи, у тому числі створені за законодавством іншої держави, якщо вони відповідають принаймні двом з таких критеріїв:</w:t>
            </w:r>
          </w:p>
          <w:p w14:paraId="349997BF"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а) підсумок балансу становить не менше 20 мільйонів євро за офіційним курсом Національного банку України, що діяв станом на останній день звітного періоду, за який складено баланс;</w:t>
            </w:r>
          </w:p>
          <w:p w14:paraId="035F49F7" w14:textId="77777777" w:rsidR="004B55AD" w:rsidRPr="00286216" w:rsidRDefault="004B55AD" w:rsidP="00E71C29">
            <w:pPr>
              <w:pStyle w:val="StyleProp"/>
              <w:spacing w:line="180" w:lineRule="exact"/>
              <w:rPr>
                <w:color w:val="000000" w:themeColor="text1"/>
                <w:spacing w:val="-2"/>
                <w:szCs w:val="18"/>
              </w:rPr>
            </w:pPr>
            <w:r w:rsidRPr="00286216">
              <w:rPr>
                <w:color w:val="000000" w:themeColor="text1"/>
                <w:spacing w:val="-2"/>
                <w:szCs w:val="18"/>
              </w:rPr>
              <w:t xml:space="preserve">б) річний чистий дохід від реалізації товарів, робіт і послуг за останній фінансовий рік становить не менше 40 мільйонів євро за офіційним курсом Національного банку </w:t>
            </w:r>
            <w:r w:rsidRPr="00286216">
              <w:rPr>
                <w:color w:val="000000" w:themeColor="text1"/>
                <w:spacing w:val="-2"/>
                <w:szCs w:val="18"/>
              </w:rPr>
              <w:lastRenderedPageBreak/>
              <w:t>України, що діяв станом на останній день такого фінансового року;</w:t>
            </w:r>
          </w:p>
          <w:p w14:paraId="79A53875" w14:textId="77777777" w:rsidR="004B55AD" w:rsidRPr="00286216" w:rsidRDefault="004B55AD" w:rsidP="00E71C29">
            <w:pPr>
              <w:pStyle w:val="StyleProp"/>
              <w:spacing w:line="180" w:lineRule="exact"/>
              <w:rPr>
                <w:color w:val="000000" w:themeColor="text1"/>
                <w:szCs w:val="18"/>
              </w:rPr>
            </w:pPr>
            <w:r w:rsidRPr="00286216">
              <w:rPr>
                <w:color w:val="000000" w:themeColor="text1"/>
                <w:spacing w:val="-2"/>
                <w:szCs w:val="18"/>
              </w:rPr>
              <w:t>в) власні кошти становлять не менше 2 мільйонів євро за офіційним курсом Національного банку України, що діяв станом на останній день останнього звітного періоду. Методика розрахунку власних коштів для цілей цього Закону затверджується Національною комісією з цінних паперів та фондового ринку».</w:t>
            </w:r>
          </w:p>
        </w:tc>
        <w:tc>
          <w:tcPr>
            <w:tcW w:w="1987" w:type="dxa"/>
          </w:tcPr>
          <w:p w14:paraId="5273D564" w14:textId="77777777" w:rsidR="004B55AD" w:rsidRPr="00286216" w:rsidRDefault="004B55AD" w:rsidP="004B55AD">
            <w:pPr>
              <w:pStyle w:val="StyleWisnow"/>
              <w:rPr>
                <w:color w:val="000000" w:themeColor="text1"/>
              </w:rPr>
            </w:pPr>
            <w:r w:rsidRPr="00286216">
              <w:rPr>
                <w:color w:val="000000" w:themeColor="text1"/>
              </w:rPr>
              <w:lastRenderedPageBreak/>
              <w:t>Враховано частково</w:t>
            </w:r>
          </w:p>
        </w:tc>
        <w:tc>
          <w:tcPr>
            <w:tcW w:w="4818" w:type="dxa"/>
          </w:tcPr>
          <w:p w14:paraId="40CE44F4" w14:textId="4239BE59" w:rsidR="004B55AD" w:rsidRPr="00286216" w:rsidRDefault="004B55AD" w:rsidP="004B55AD">
            <w:pPr>
              <w:pStyle w:val="StyleZakonu"/>
              <w:rPr>
                <w:color w:val="000000" w:themeColor="text1"/>
              </w:rPr>
            </w:pPr>
            <w:r w:rsidRPr="00286216">
              <w:rPr>
                <w:color w:val="000000" w:themeColor="text1"/>
              </w:rPr>
              <w:t>7) юридичні особи, у тому числі створені за законодавством іншої держави, якщо вони відповідають принаймні двом із таких критеріїв:</w:t>
            </w:r>
          </w:p>
        </w:tc>
      </w:tr>
      <w:tr w:rsidR="00F77E8D" w:rsidRPr="00286216" w14:paraId="0CD84D40" w14:textId="77777777" w:rsidTr="00091AA5">
        <w:tc>
          <w:tcPr>
            <w:tcW w:w="576" w:type="dxa"/>
          </w:tcPr>
          <w:p w14:paraId="3929B885" w14:textId="77777777" w:rsidR="004B55AD" w:rsidRPr="00286216" w:rsidRDefault="004B55AD" w:rsidP="004B55AD">
            <w:pPr>
              <w:pStyle w:val="StyleWisnow"/>
              <w:rPr>
                <w:color w:val="000000" w:themeColor="text1"/>
              </w:rPr>
            </w:pPr>
            <w:bookmarkStart w:id="170" w:name="n162" w:colFirst="0" w:colLast="0"/>
            <w:bookmarkEnd w:id="168"/>
            <w:r w:rsidRPr="00286216">
              <w:rPr>
                <w:color w:val="000000" w:themeColor="text1"/>
              </w:rPr>
              <w:t>162.</w:t>
            </w:r>
          </w:p>
        </w:tc>
        <w:tc>
          <w:tcPr>
            <w:tcW w:w="4818" w:type="dxa"/>
          </w:tcPr>
          <w:p w14:paraId="10988CC1" w14:textId="77777777" w:rsidR="004B55AD" w:rsidRPr="00286216" w:rsidRDefault="004B55AD" w:rsidP="004B55AD">
            <w:pPr>
              <w:pStyle w:val="StyleZakonu"/>
              <w:rPr>
                <w:color w:val="000000" w:themeColor="text1"/>
              </w:rPr>
            </w:pPr>
            <w:r w:rsidRPr="00286216">
              <w:rPr>
                <w:color w:val="000000" w:themeColor="text1"/>
              </w:rPr>
              <w:t>а) підсумок балансу становить не менше 20 мільйонів євро за офіційним курсом Національного банку України, що діяв на момент набуття/підтвердження статусу кваліфікованого інвестора;</w:t>
            </w:r>
          </w:p>
        </w:tc>
        <w:tc>
          <w:tcPr>
            <w:tcW w:w="3686" w:type="dxa"/>
          </w:tcPr>
          <w:p w14:paraId="475C71B3" w14:textId="4D245D47"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198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082B299" w14:textId="77777777" w:rsidR="004B55AD" w:rsidRPr="00286216" w:rsidRDefault="004B55AD" w:rsidP="004B55AD">
            <w:pPr>
              <w:pStyle w:val="StyleProp"/>
              <w:rPr>
                <w:rFonts w:eastAsia="Calibri"/>
                <w:color w:val="000000" w:themeColor="text1"/>
                <w:szCs w:val="18"/>
              </w:rPr>
            </w:pPr>
            <w:r w:rsidRPr="00286216">
              <w:rPr>
                <w:rFonts w:eastAsia="Calibri"/>
                <w:color w:val="000000" w:themeColor="text1"/>
                <w:szCs w:val="18"/>
              </w:rPr>
              <w:t>Підпункт "а" пункту 6 частини першої статті 5 викласти у такій редакції:</w:t>
            </w:r>
          </w:p>
          <w:p w14:paraId="710A77DD" w14:textId="77777777" w:rsidR="004B55AD" w:rsidRPr="00286216" w:rsidRDefault="004B55AD" w:rsidP="00CD1870">
            <w:pPr>
              <w:pStyle w:val="StyleProp"/>
              <w:spacing w:line="190" w:lineRule="exact"/>
              <w:rPr>
                <w:rFonts w:eastAsia="Calibri"/>
                <w:color w:val="000000" w:themeColor="text1"/>
                <w:szCs w:val="18"/>
              </w:rPr>
            </w:pPr>
            <w:r w:rsidRPr="00286216">
              <w:rPr>
                <w:rFonts w:eastAsia="Calibri"/>
                <w:color w:val="000000" w:themeColor="text1"/>
                <w:szCs w:val="18"/>
              </w:rPr>
              <w:t>"а) підсумок балансу становить не менше 20 мільйонів гривень".</w:t>
            </w:r>
          </w:p>
          <w:p w14:paraId="39A542C9" w14:textId="3D829A3D"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199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3FFE945" w14:textId="77777777" w:rsidR="004B55AD" w:rsidRPr="00286216" w:rsidRDefault="004B55AD" w:rsidP="00CD1870">
            <w:pPr>
              <w:spacing w:line="190" w:lineRule="exact"/>
              <w:ind w:firstLine="227"/>
              <w:jc w:val="both"/>
              <w:rPr>
                <w:rFonts w:eastAsia="Calibri"/>
                <w:color w:val="000000" w:themeColor="text1"/>
                <w:szCs w:val="18"/>
              </w:rPr>
            </w:pPr>
            <w:r w:rsidRPr="00286216">
              <w:rPr>
                <w:color w:val="000000" w:themeColor="text1"/>
                <w:sz w:val="18"/>
              </w:rPr>
              <w:t>У підпункті а) пункту 6 частини 1 статті 5 розділу 1 слова «мільйонів євро за офіційним курсом Національного банку України, що діяв на момент набуття/підтвердження статусу кваліфікованого інвестора» замінити на слова «мільйонів гривень».</w:t>
            </w:r>
          </w:p>
        </w:tc>
        <w:tc>
          <w:tcPr>
            <w:tcW w:w="1987" w:type="dxa"/>
          </w:tcPr>
          <w:p w14:paraId="5BA4C425"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5B05B59A" w14:textId="77777777" w:rsidR="004B55AD" w:rsidRPr="00286216" w:rsidRDefault="004B55AD" w:rsidP="004B55AD">
            <w:pPr>
              <w:pStyle w:val="StyleWisnow"/>
              <w:spacing w:line="180" w:lineRule="exact"/>
              <w:rPr>
                <w:color w:val="000000" w:themeColor="text1"/>
              </w:rPr>
            </w:pPr>
          </w:p>
          <w:p w14:paraId="0514BFF2" w14:textId="77777777" w:rsidR="004B55AD" w:rsidRPr="00286216" w:rsidRDefault="004B55AD" w:rsidP="004B55AD">
            <w:pPr>
              <w:pStyle w:val="StyleWisnow"/>
              <w:spacing w:line="180" w:lineRule="exact"/>
              <w:rPr>
                <w:color w:val="000000" w:themeColor="text1"/>
              </w:rPr>
            </w:pPr>
          </w:p>
          <w:p w14:paraId="08146914" w14:textId="77777777" w:rsidR="004B55AD" w:rsidRPr="00286216" w:rsidRDefault="004B55AD" w:rsidP="004B55AD">
            <w:pPr>
              <w:pStyle w:val="StyleWisnow"/>
              <w:spacing w:line="180" w:lineRule="exact"/>
              <w:rPr>
                <w:color w:val="000000" w:themeColor="text1"/>
              </w:rPr>
            </w:pPr>
          </w:p>
          <w:p w14:paraId="120FE6A8" w14:textId="77777777" w:rsidR="004B55AD" w:rsidRPr="00286216" w:rsidRDefault="004B55AD" w:rsidP="004B55AD">
            <w:pPr>
              <w:pStyle w:val="StyleWisnow"/>
              <w:spacing w:line="180" w:lineRule="exact"/>
              <w:rPr>
                <w:color w:val="000000" w:themeColor="text1"/>
              </w:rPr>
            </w:pPr>
          </w:p>
          <w:p w14:paraId="07106BF7" w14:textId="77777777" w:rsidR="004B55AD" w:rsidRPr="00286216" w:rsidRDefault="004B55AD" w:rsidP="004B55AD">
            <w:pPr>
              <w:pStyle w:val="StyleWisnow"/>
              <w:spacing w:line="180" w:lineRule="exact"/>
              <w:rPr>
                <w:color w:val="000000" w:themeColor="text1"/>
              </w:rPr>
            </w:pPr>
          </w:p>
          <w:p w14:paraId="1C0A874C"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tc>
        <w:tc>
          <w:tcPr>
            <w:tcW w:w="4818" w:type="dxa"/>
          </w:tcPr>
          <w:p w14:paraId="5AF53AA9" w14:textId="77777777" w:rsidR="004B55AD" w:rsidRPr="00286216" w:rsidRDefault="004B55AD" w:rsidP="004B55AD">
            <w:pPr>
              <w:pStyle w:val="StyleZakonu"/>
              <w:rPr>
                <w:color w:val="000000" w:themeColor="text1"/>
              </w:rPr>
            </w:pPr>
            <w:r w:rsidRPr="00286216">
              <w:rPr>
                <w:rFonts w:eastAsia="Calibri"/>
                <w:color w:val="000000" w:themeColor="text1"/>
              </w:rPr>
              <w:t>а) підсумок балансу становить не менше 20 мільйонів гривень;</w:t>
            </w:r>
          </w:p>
        </w:tc>
      </w:tr>
      <w:tr w:rsidR="00F77E8D" w:rsidRPr="00286216" w14:paraId="068628EC" w14:textId="77777777" w:rsidTr="00091AA5">
        <w:tc>
          <w:tcPr>
            <w:tcW w:w="576" w:type="dxa"/>
          </w:tcPr>
          <w:p w14:paraId="61183A48" w14:textId="77777777" w:rsidR="004B55AD" w:rsidRPr="00286216" w:rsidRDefault="004B55AD" w:rsidP="004B55AD">
            <w:pPr>
              <w:pStyle w:val="StyleWisnow"/>
              <w:rPr>
                <w:color w:val="000000" w:themeColor="text1"/>
              </w:rPr>
            </w:pPr>
            <w:bookmarkStart w:id="171" w:name="n163" w:colFirst="0" w:colLast="0"/>
            <w:bookmarkEnd w:id="170"/>
            <w:r w:rsidRPr="00286216">
              <w:rPr>
                <w:color w:val="000000" w:themeColor="text1"/>
              </w:rPr>
              <w:t>163.</w:t>
            </w:r>
          </w:p>
        </w:tc>
        <w:tc>
          <w:tcPr>
            <w:tcW w:w="4818" w:type="dxa"/>
          </w:tcPr>
          <w:p w14:paraId="7980D889" w14:textId="77777777" w:rsidR="004B55AD" w:rsidRPr="00286216" w:rsidRDefault="004B55AD" w:rsidP="004B55AD">
            <w:pPr>
              <w:pStyle w:val="StyleZakonu"/>
              <w:rPr>
                <w:color w:val="000000" w:themeColor="text1"/>
              </w:rPr>
            </w:pPr>
            <w:r w:rsidRPr="00286216">
              <w:rPr>
                <w:color w:val="000000" w:themeColor="text1"/>
              </w:rPr>
              <w:t>б) річний чистий дохід від реалізації товарів, робіт і послуг за останній фінансовий рік становить не менше 40 мільйонів євро за офіційним курсом Національного банку України, що діяв на момент набуття/підтвердження статусу кваліфікованого інвестора;</w:t>
            </w:r>
          </w:p>
        </w:tc>
        <w:tc>
          <w:tcPr>
            <w:tcW w:w="3686" w:type="dxa"/>
          </w:tcPr>
          <w:p w14:paraId="5EFFEDB0" w14:textId="51BBF007"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200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B4E64C3" w14:textId="77777777" w:rsidR="004B55AD" w:rsidRPr="00286216" w:rsidRDefault="004B55AD" w:rsidP="00CD1870">
            <w:pPr>
              <w:pStyle w:val="StyleProp"/>
              <w:spacing w:line="190" w:lineRule="exact"/>
              <w:rPr>
                <w:rFonts w:eastAsia="Calibri"/>
                <w:color w:val="000000" w:themeColor="text1"/>
                <w:szCs w:val="18"/>
              </w:rPr>
            </w:pPr>
            <w:r w:rsidRPr="00286216">
              <w:rPr>
                <w:rFonts w:eastAsia="Calibri"/>
                <w:color w:val="000000" w:themeColor="text1"/>
                <w:szCs w:val="18"/>
              </w:rPr>
              <w:t>Підпункт "б" пункту 6 частини першої статті 5 викласти у такій редакції:</w:t>
            </w:r>
          </w:p>
          <w:p w14:paraId="297C4EEE" w14:textId="77777777" w:rsidR="004B55AD" w:rsidRPr="00286216" w:rsidRDefault="004B55AD" w:rsidP="00CD1870">
            <w:pPr>
              <w:pStyle w:val="StyleProp"/>
              <w:spacing w:line="190" w:lineRule="exact"/>
              <w:rPr>
                <w:color w:val="000000" w:themeColor="text1"/>
                <w:szCs w:val="18"/>
              </w:rPr>
            </w:pPr>
            <w:r w:rsidRPr="00286216">
              <w:rPr>
                <w:rFonts w:eastAsia="Calibri"/>
                <w:color w:val="000000" w:themeColor="text1"/>
                <w:szCs w:val="18"/>
              </w:rPr>
              <w:t>"</w:t>
            </w:r>
            <w:r w:rsidRPr="00286216">
              <w:rPr>
                <w:color w:val="000000" w:themeColor="text1"/>
                <w:szCs w:val="18"/>
              </w:rPr>
              <w:t>б) річний чистий дохід від реалізації товарів, робіт і послуг за останній фінансовий рік становить не менше 40 мільйонів гривень";</w:t>
            </w:r>
          </w:p>
          <w:p w14:paraId="20ECBBE2" w14:textId="7B8A2517"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201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4F08227" w14:textId="77777777" w:rsidR="004B55AD" w:rsidRPr="00286216" w:rsidRDefault="004B55AD" w:rsidP="00CD1870">
            <w:pPr>
              <w:spacing w:line="180" w:lineRule="exact"/>
              <w:ind w:firstLine="227"/>
              <w:jc w:val="both"/>
              <w:rPr>
                <w:rFonts w:eastAsia="Calibri"/>
                <w:color w:val="000000" w:themeColor="text1"/>
                <w:szCs w:val="18"/>
              </w:rPr>
            </w:pPr>
            <w:r w:rsidRPr="00286216">
              <w:rPr>
                <w:color w:val="000000" w:themeColor="text1"/>
                <w:sz w:val="18"/>
              </w:rPr>
              <w:t>У підпункті б) пункту 6 частини 1 статті 5 розділу 1 слова «мільйонів євро за офіційним курсом Національного банку України, що діяв на момент набуття/підтвердження статусу кваліфікованого інвестора» замінити на слова «мільйонів гривень».</w:t>
            </w:r>
          </w:p>
        </w:tc>
        <w:tc>
          <w:tcPr>
            <w:tcW w:w="1987" w:type="dxa"/>
          </w:tcPr>
          <w:p w14:paraId="09BDDCBA"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53C974C8" w14:textId="77777777" w:rsidR="004B55AD" w:rsidRPr="00286216" w:rsidRDefault="004B55AD" w:rsidP="004B55AD">
            <w:pPr>
              <w:pStyle w:val="StyleWisnow"/>
              <w:spacing w:line="180" w:lineRule="exact"/>
              <w:rPr>
                <w:color w:val="000000" w:themeColor="text1"/>
              </w:rPr>
            </w:pPr>
          </w:p>
          <w:p w14:paraId="7291F2BF" w14:textId="77777777" w:rsidR="004B55AD" w:rsidRPr="00286216" w:rsidRDefault="004B55AD" w:rsidP="004B55AD">
            <w:pPr>
              <w:pStyle w:val="StyleWisnow"/>
              <w:spacing w:line="180" w:lineRule="exact"/>
              <w:rPr>
                <w:color w:val="000000" w:themeColor="text1"/>
              </w:rPr>
            </w:pPr>
          </w:p>
          <w:p w14:paraId="641A7E46" w14:textId="77777777" w:rsidR="004B55AD" w:rsidRPr="00286216" w:rsidRDefault="004B55AD" w:rsidP="004B55AD">
            <w:pPr>
              <w:pStyle w:val="StyleWisnow"/>
              <w:spacing w:line="180" w:lineRule="exact"/>
              <w:rPr>
                <w:color w:val="000000" w:themeColor="text1"/>
              </w:rPr>
            </w:pPr>
          </w:p>
          <w:p w14:paraId="676B2B0E" w14:textId="77777777" w:rsidR="004B55AD" w:rsidRPr="00286216" w:rsidRDefault="004B55AD" w:rsidP="004B55AD">
            <w:pPr>
              <w:pStyle w:val="StyleWisnow"/>
              <w:spacing w:line="180" w:lineRule="exact"/>
              <w:rPr>
                <w:color w:val="000000" w:themeColor="text1"/>
              </w:rPr>
            </w:pPr>
          </w:p>
          <w:p w14:paraId="155F99F2" w14:textId="40BE24D6" w:rsidR="004B55AD" w:rsidRPr="00286216" w:rsidRDefault="004B55AD" w:rsidP="004B55AD">
            <w:pPr>
              <w:pStyle w:val="StyleWisnow"/>
              <w:spacing w:line="180" w:lineRule="exact"/>
              <w:rPr>
                <w:color w:val="000000" w:themeColor="text1"/>
              </w:rPr>
            </w:pPr>
          </w:p>
          <w:p w14:paraId="59980CFE" w14:textId="77777777" w:rsidR="004B55AD" w:rsidRPr="00286216" w:rsidRDefault="004B55AD" w:rsidP="004B55AD">
            <w:pPr>
              <w:pStyle w:val="StyleWisnow"/>
              <w:spacing w:line="180" w:lineRule="exact"/>
              <w:rPr>
                <w:color w:val="000000" w:themeColor="text1"/>
              </w:rPr>
            </w:pPr>
          </w:p>
          <w:p w14:paraId="0FA194EF" w14:textId="77777777" w:rsidR="004B55AD" w:rsidRPr="00286216" w:rsidRDefault="004B55AD" w:rsidP="004B55AD">
            <w:pPr>
              <w:pStyle w:val="StyleWisnow"/>
              <w:spacing w:line="180" w:lineRule="exact"/>
              <w:rPr>
                <w:color w:val="000000" w:themeColor="text1"/>
              </w:rPr>
            </w:pPr>
          </w:p>
          <w:p w14:paraId="2E48C2ED"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386AD0AB" w14:textId="77777777" w:rsidR="004B55AD" w:rsidRPr="00286216" w:rsidRDefault="004B55AD" w:rsidP="004B55AD">
            <w:pPr>
              <w:pStyle w:val="StyleWisnow"/>
              <w:spacing w:line="180" w:lineRule="exact"/>
              <w:rPr>
                <w:color w:val="000000" w:themeColor="text1"/>
              </w:rPr>
            </w:pPr>
          </w:p>
        </w:tc>
        <w:tc>
          <w:tcPr>
            <w:tcW w:w="4818" w:type="dxa"/>
          </w:tcPr>
          <w:p w14:paraId="74D41067" w14:textId="77777777" w:rsidR="004B55AD" w:rsidRPr="00286216" w:rsidRDefault="004B55AD" w:rsidP="004B55AD">
            <w:pPr>
              <w:pStyle w:val="StyleZakonu"/>
              <w:rPr>
                <w:color w:val="000000" w:themeColor="text1"/>
              </w:rPr>
            </w:pPr>
            <w:r w:rsidRPr="00286216">
              <w:rPr>
                <w:color w:val="000000" w:themeColor="text1"/>
              </w:rPr>
              <w:t>б) річний чистий дохід від реалізації товарів, робіт і послуг за останній фінансовий рік становить не менше 40 мільйонів гривень;</w:t>
            </w:r>
          </w:p>
        </w:tc>
      </w:tr>
      <w:tr w:rsidR="00F77E8D" w:rsidRPr="00286216" w14:paraId="3F87CAC0" w14:textId="77777777" w:rsidTr="00091AA5">
        <w:tc>
          <w:tcPr>
            <w:tcW w:w="576" w:type="dxa"/>
          </w:tcPr>
          <w:p w14:paraId="63DC8F9E" w14:textId="77777777" w:rsidR="004B55AD" w:rsidRPr="00286216" w:rsidRDefault="004B55AD" w:rsidP="004B55AD">
            <w:pPr>
              <w:pStyle w:val="StyleWisnow"/>
              <w:rPr>
                <w:color w:val="000000" w:themeColor="text1"/>
              </w:rPr>
            </w:pPr>
            <w:bookmarkStart w:id="172" w:name="n164" w:colFirst="0" w:colLast="0"/>
            <w:bookmarkEnd w:id="171"/>
            <w:r w:rsidRPr="00286216">
              <w:rPr>
                <w:color w:val="000000" w:themeColor="text1"/>
              </w:rPr>
              <w:t>164.</w:t>
            </w:r>
          </w:p>
        </w:tc>
        <w:tc>
          <w:tcPr>
            <w:tcW w:w="4818" w:type="dxa"/>
          </w:tcPr>
          <w:p w14:paraId="1F7E8ED8" w14:textId="77777777" w:rsidR="004B55AD" w:rsidRPr="00286216" w:rsidRDefault="004B55AD" w:rsidP="004B55AD">
            <w:pPr>
              <w:pStyle w:val="StyleZakonu"/>
              <w:rPr>
                <w:color w:val="000000" w:themeColor="text1"/>
              </w:rPr>
            </w:pPr>
            <w:r w:rsidRPr="00286216">
              <w:rPr>
                <w:color w:val="000000" w:themeColor="text1"/>
              </w:rPr>
              <w:t>в) власні кошти становлять не менше 2 мільйонів євро за офіційним курсом Національного банку України, що діяв на момент набуття/підтвердження статусу кваліфікованого інвестора. Методика розрахунку власних коштів для цілей цього Закону затверджується Національною комісією з цінних паперів та фондового ринку.</w:t>
            </w:r>
          </w:p>
        </w:tc>
        <w:tc>
          <w:tcPr>
            <w:tcW w:w="3686" w:type="dxa"/>
          </w:tcPr>
          <w:p w14:paraId="553AC444" w14:textId="77CA2263"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202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A884FB3" w14:textId="77777777" w:rsidR="004B55AD" w:rsidRPr="00286216" w:rsidRDefault="004B55AD" w:rsidP="004B55AD">
            <w:pPr>
              <w:pStyle w:val="StyleProp"/>
              <w:rPr>
                <w:color w:val="000000" w:themeColor="text1"/>
                <w:szCs w:val="18"/>
              </w:rPr>
            </w:pPr>
            <w:r w:rsidRPr="00286216">
              <w:rPr>
                <w:rFonts w:eastAsia="Calibri"/>
                <w:color w:val="000000" w:themeColor="text1"/>
                <w:szCs w:val="18"/>
              </w:rPr>
              <w:t>У підпункті "б" пункту 6 частини першої статті 5 слова "</w:t>
            </w:r>
            <w:r w:rsidRPr="00286216">
              <w:rPr>
                <w:color w:val="000000" w:themeColor="text1"/>
              </w:rPr>
              <w:t>мільйонів євро за офіційним курсом Національного банку України, що діяв на момент набуття/підтвердження статусу кваліфікованого інвестора" замінити словами "мільйонів гривень".</w:t>
            </w:r>
          </w:p>
        </w:tc>
        <w:tc>
          <w:tcPr>
            <w:tcW w:w="1987" w:type="dxa"/>
          </w:tcPr>
          <w:p w14:paraId="6A666E8D"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6ABFFF8" w14:textId="77777777" w:rsidR="004B55AD" w:rsidRPr="00286216" w:rsidRDefault="004B55AD" w:rsidP="004B55AD">
            <w:pPr>
              <w:pStyle w:val="StyleZakonu"/>
              <w:rPr>
                <w:color w:val="000000" w:themeColor="text1"/>
              </w:rPr>
            </w:pPr>
            <w:r w:rsidRPr="00286216">
              <w:rPr>
                <w:color w:val="000000" w:themeColor="text1"/>
              </w:rPr>
              <w:t>в) власні кошти становлять не менше 2 мільйонів гривень. Методика розрахунку власних коштів для цілей цього Закону затверджується Національною комісією з цінних паперів та фондового ринку.</w:t>
            </w:r>
          </w:p>
        </w:tc>
      </w:tr>
      <w:tr w:rsidR="00F77E8D" w:rsidRPr="00286216" w14:paraId="3F00FB81" w14:textId="77777777" w:rsidTr="00091AA5">
        <w:tc>
          <w:tcPr>
            <w:tcW w:w="576" w:type="dxa"/>
          </w:tcPr>
          <w:p w14:paraId="5779F2C1" w14:textId="77777777" w:rsidR="004B55AD" w:rsidRPr="00286216" w:rsidRDefault="004B55AD" w:rsidP="004B55AD">
            <w:pPr>
              <w:pStyle w:val="StyleWisnow"/>
              <w:rPr>
                <w:color w:val="000000" w:themeColor="text1"/>
              </w:rPr>
            </w:pPr>
            <w:bookmarkStart w:id="173" w:name="n165" w:colFirst="0" w:colLast="0"/>
            <w:bookmarkEnd w:id="172"/>
            <w:r w:rsidRPr="00286216">
              <w:rPr>
                <w:color w:val="000000" w:themeColor="text1"/>
              </w:rPr>
              <w:t>165.</w:t>
            </w:r>
          </w:p>
        </w:tc>
        <w:tc>
          <w:tcPr>
            <w:tcW w:w="4818" w:type="dxa"/>
          </w:tcPr>
          <w:p w14:paraId="7C62A921" w14:textId="77777777" w:rsidR="004B55AD" w:rsidRPr="00286216" w:rsidRDefault="004B55AD" w:rsidP="004B55AD">
            <w:pPr>
              <w:pStyle w:val="StyleZakonu"/>
              <w:rPr>
                <w:color w:val="000000" w:themeColor="text1"/>
              </w:rPr>
            </w:pPr>
            <w:bookmarkStart w:id="174" w:name="_Ref20342551"/>
            <w:r w:rsidRPr="00286216">
              <w:rPr>
                <w:color w:val="000000" w:themeColor="text1"/>
              </w:rPr>
              <w:t>2. Інші особи, які є клієнтами інвестиційної фірми крім зазначених у частині першій цієї статті, можуть бути визнані кваліфікованими інвесторами у разі відповідності принаймні двом з таких критеріїв:</w:t>
            </w:r>
            <w:bookmarkEnd w:id="174"/>
          </w:p>
        </w:tc>
        <w:tc>
          <w:tcPr>
            <w:tcW w:w="3686" w:type="dxa"/>
          </w:tcPr>
          <w:p w14:paraId="6FFF6114" w14:textId="3B69C2E3"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203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33C337A" w14:textId="77777777" w:rsidR="004B55AD" w:rsidRPr="00286216" w:rsidRDefault="004B55AD" w:rsidP="00E71C29">
            <w:pPr>
              <w:pStyle w:val="StyleProp"/>
              <w:spacing w:line="180" w:lineRule="exact"/>
              <w:rPr>
                <w:color w:val="000000" w:themeColor="text1"/>
                <w:szCs w:val="18"/>
              </w:rPr>
            </w:pPr>
            <w:r w:rsidRPr="00286216">
              <w:rPr>
                <w:color w:val="000000" w:themeColor="text1"/>
                <w:szCs w:val="18"/>
              </w:rPr>
              <w:t>Абзац перший частини другої статті 5 після слів «кваліфікованими інвесторами» доповнити словами «в цілому, або щодо конкретної фінансової послуги та/або щодо окремого правочину чи типів правочинів щодо фінансових інструментів».</w:t>
            </w:r>
          </w:p>
        </w:tc>
        <w:tc>
          <w:tcPr>
            <w:tcW w:w="1987" w:type="dxa"/>
          </w:tcPr>
          <w:p w14:paraId="278FA8DD"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4D4DDC15" w14:textId="3F3ADEA7" w:rsidR="004B55AD" w:rsidRPr="00286216" w:rsidRDefault="004B55AD" w:rsidP="004B55AD">
            <w:pPr>
              <w:pStyle w:val="StyleZakonu"/>
              <w:rPr>
                <w:color w:val="000000" w:themeColor="text1"/>
              </w:rPr>
            </w:pPr>
            <w:r w:rsidRPr="00286216">
              <w:rPr>
                <w:color w:val="000000" w:themeColor="text1"/>
              </w:rPr>
              <w:t>2. Інші особи, які є клієнтами інвестиційної фірми, крім зазначених у частині першій цієї статті, можуть бути визнані кваліфікованими інвесторами в цілому або щодо конкретної фінансової послуги та/або щодо окремого правочину чи типів правочинів щодо фінансових інструментів у разі відповідності принаймні двом з таких критеріїв:</w:t>
            </w:r>
          </w:p>
        </w:tc>
      </w:tr>
      <w:tr w:rsidR="00F77E8D" w:rsidRPr="00286216" w14:paraId="00C813CC" w14:textId="77777777" w:rsidTr="00091AA5">
        <w:tc>
          <w:tcPr>
            <w:tcW w:w="576" w:type="dxa"/>
          </w:tcPr>
          <w:p w14:paraId="23BD5098" w14:textId="77777777" w:rsidR="004B55AD" w:rsidRPr="00286216" w:rsidRDefault="004B55AD" w:rsidP="004B55AD">
            <w:pPr>
              <w:pStyle w:val="StyleWisnow"/>
              <w:rPr>
                <w:color w:val="000000" w:themeColor="text1"/>
              </w:rPr>
            </w:pPr>
            <w:bookmarkStart w:id="175" w:name="n166" w:colFirst="0" w:colLast="0"/>
            <w:bookmarkEnd w:id="173"/>
            <w:r w:rsidRPr="00286216">
              <w:rPr>
                <w:color w:val="000000" w:themeColor="text1"/>
              </w:rPr>
              <w:lastRenderedPageBreak/>
              <w:t>166.</w:t>
            </w:r>
          </w:p>
        </w:tc>
        <w:tc>
          <w:tcPr>
            <w:tcW w:w="4818" w:type="dxa"/>
          </w:tcPr>
          <w:p w14:paraId="30C98AB2" w14:textId="77777777" w:rsidR="004B55AD" w:rsidRPr="00286216" w:rsidRDefault="004B55AD" w:rsidP="004B55AD">
            <w:pPr>
              <w:pStyle w:val="StyleZakonu"/>
              <w:rPr>
                <w:color w:val="000000" w:themeColor="text1"/>
              </w:rPr>
            </w:pPr>
            <w:r w:rsidRPr="00286216">
              <w:rPr>
                <w:color w:val="000000" w:themeColor="text1"/>
              </w:rPr>
              <w:t>1) протягом останніх чотирьох кварталів укладали та виконували щокварталу не менше 10 правочинів щодо фінансових інструментів;</w:t>
            </w:r>
          </w:p>
        </w:tc>
        <w:tc>
          <w:tcPr>
            <w:tcW w:w="3686" w:type="dxa"/>
          </w:tcPr>
          <w:p w14:paraId="3EDAA056" w14:textId="68AF95FF"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204</w:t>
            </w:r>
            <w:r w:rsidRPr="00286216">
              <w:rPr>
                <w:color w:val="000000" w:themeColor="text1"/>
                <w:spacing w:val="-10"/>
              </w:rPr>
              <w:fldChar w:fldCharType="end"/>
            </w:r>
            <w:r w:rsidRPr="00286216">
              <w:rPr>
                <w:color w:val="000000" w:themeColor="text1"/>
                <w:spacing w:val="-10"/>
              </w:rPr>
              <w:t>-Н.д.Гетманцев Д.О.(Реєстр.картка №245)</w:t>
            </w:r>
          </w:p>
          <w:p w14:paraId="6445DCA1" w14:textId="7D1AA586" w:rsidR="004B55AD" w:rsidRPr="00286216" w:rsidRDefault="004B55AD" w:rsidP="006276D5">
            <w:pPr>
              <w:pStyle w:val="StyleProp"/>
              <w:spacing w:line="180" w:lineRule="exact"/>
              <w:rPr>
                <w:color w:val="000000" w:themeColor="text1"/>
                <w:spacing w:val="-2"/>
              </w:rPr>
            </w:pPr>
            <w:r w:rsidRPr="00286216">
              <w:rPr>
                <w:color w:val="000000" w:themeColor="text1"/>
                <w:spacing w:val="-2"/>
              </w:rPr>
              <w:t xml:space="preserve">Пункт </w:t>
            </w:r>
            <w:r w:rsidR="006276D5" w:rsidRPr="00286216">
              <w:rPr>
                <w:color w:val="000000" w:themeColor="text1"/>
                <w:spacing w:val="-2"/>
              </w:rPr>
              <w:t>1</w:t>
            </w:r>
            <w:r w:rsidRPr="00286216">
              <w:rPr>
                <w:color w:val="000000" w:themeColor="text1"/>
                <w:spacing w:val="-2"/>
              </w:rPr>
              <w:t xml:space="preserve"> частини </w:t>
            </w:r>
            <w:r w:rsidR="006276D5" w:rsidRPr="00286216">
              <w:rPr>
                <w:color w:val="000000" w:themeColor="text1"/>
                <w:spacing w:val="-2"/>
              </w:rPr>
              <w:t>2</w:t>
            </w:r>
            <w:r w:rsidRPr="00286216">
              <w:rPr>
                <w:color w:val="000000" w:themeColor="text1"/>
                <w:spacing w:val="-2"/>
              </w:rPr>
              <w:t xml:space="preserve"> статті 5 після слів «фінансових інс</w:t>
            </w:r>
            <w:r w:rsidR="006276D5" w:rsidRPr="00286216">
              <w:rPr>
                <w:color w:val="000000" w:themeColor="text1"/>
                <w:spacing w:val="-2"/>
              </w:rPr>
              <w:t>трументів» доповнити словами «</w:t>
            </w:r>
            <w:r w:rsidRPr="00286216">
              <w:rPr>
                <w:color w:val="000000" w:themeColor="text1"/>
                <w:spacing w:val="-2"/>
              </w:rPr>
              <w:t>розмір яких є значним відповідно до критеріїв, визначених Національною комісією з цінних паперів та фондового ринку».</w:t>
            </w:r>
          </w:p>
        </w:tc>
        <w:tc>
          <w:tcPr>
            <w:tcW w:w="1987" w:type="dxa"/>
          </w:tcPr>
          <w:p w14:paraId="672E0113"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6AEC2804" w14:textId="77777777" w:rsidR="004B55AD" w:rsidRPr="00286216" w:rsidRDefault="004B55AD" w:rsidP="004B55AD">
            <w:pPr>
              <w:pStyle w:val="StyleZakonu"/>
              <w:rPr>
                <w:color w:val="000000" w:themeColor="text1"/>
              </w:rPr>
            </w:pPr>
            <w:r w:rsidRPr="00286216">
              <w:rPr>
                <w:color w:val="000000" w:themeColor="text1"/>
              </w:rPr>
              <w:t>1) протягом останніх чотирьох кварталів укладали та виконували щокварталу не менше 10 правочинів щодо фінансових інструментів, розмір яких є значним відповідно до критеріїв, визначених Національною комісією з цінних паперів та фондового ринку;</w:t>
            </w:r>
          </w:p>
        </w:tc>
      </w:tr>
      <w:tr w:rsidR="00F77E8D" w:rsidRPr="00286216" w14:paraId="3F8B992D" w14:textId="77777777" w:rsidTr="00091AA5">
        <w:tc>
          <w:tcPr>
            <w:tcW w:w="576" w:type="dxa"/>
          </w:tcPr>
          <w:p w14:paraId="16AC33C8" w14:textId="77777777" w:rsidR="004B55AD" w:rsidRPr="00286216" w:rsidRDefault="004B55AD" w:rsidP="004B55AD">
            <w:pPr>
              <w:pStyle w:val="StyleWisnow"/>
              <w:rPr>
                <w:color w:val="000000" w:themeColor="text1"/>
              </w:rPr>
            </w:pPr>
            <w:bookmarkStart w:id="176" w:name="n167" w:colFirst="0" w:colLast="0"/>
            <w:bookmarkEnd w:id="175"/>
            <w:r w:rsidRPr="00286216">
              <w:rPr>
                <w:color w:val="000000" w:themeColor="text1"/>
              </w:rPr>
              <w:t>167.</w:t>
            </w:r>
          </w:p>
        </w:tc>
        <w:tc>
          <w:tcPr>
            <w:tcW w:w="4818" w:type="dxa"/>
          </w:tcPr>
          <w:p w14:paraId="674B3BBF" w14:textId="77777777" w:rsidR="004B55AD" w:rsidRPr="00286216" w:rsidRDefault="004B55AD" w:rsidP="004B55AD">
            <w:pPr>
              <w:pStyle w:val="StyleZakonu"/>
              <w:rPr>
                <w:color w:val="000000" w:themeColor="text1"/>
              </w:rPr>
            </w:pPr>
            <w:r w:rsidRPr="00286216">
              <w:rPr>
                <w:color w:val="000000" w:themeColor="text1"/>
              </w:rPr>
              <w:t>2) володіють коштами, розміщеними на банківських рахунках, та цінними паперами на суму, що є більшою 0, 5 мільйона євро за офіційним курсом Національного банку України, що діяв на момент набуття/підтвердження статусу кваліфікованого інвестора;</w:t>
            </w:r>
          </w:p>
        </w:tc>
        <w:tc>
          <w:tcPr>
            <w:tcW w:w="3686" w:type="dxa"/>
          </w:tcPr>
          <w:p w14:paraId="4C400DA7" w14:textId="12B19B6A"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205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0589A2E" w14:textId="77777777" w:rsidR="004B55AD" w:rsidRPr="00286216" w:rsidRDefault="004B55AD" w:rsidP="00E71C29">
            <w:pPr>
              <w:pStyle w:val="StyleProp"/>
              <w:spacing w:line="180" w:lineRule="exact"/>
              <w:rPr>
                <w:rFonts w:eastAsia="Calibri"/>
                <w:color w:val="000000" w:themeColor="text1"/>
                <w:szCs w:val="18"/>
              </w:rPr>
            </w:pPr>
            <w:r w:rsidRPr="00286216">
              <w:rPr>
                <w:rFonts w:eastAsia="Calibri"/>
                <w:color w:val="000000" w:themeColor="text1"/>
                <w:szCs w:val="18"/>
              </w:rPr>
              <w:t>Підпункт 2 частини другої статті 5 викласти у такій редакції:</w:t>
            </w:r>
          </w:p>
          <w:p w14:paraId="721FC0BB" w14:textId="5CF662BB" w:rsidR="004B55AD" w:rsidRPr="00286216" w:rsidRDefault="004B55AD" w:rsidP="00E71C29">
            <w:pPr>
              <w:pStyle w:val="StyleProp"/>
              <w:spacing w:line="180" w:lineRule="exact"/>
              <w:rPr>
                <w:color w:val="000000" w:themeColor="text1"/>
                <w:spacing w:val="-2"/>
                <w:szCs w:val="18"/>
              </w:rPr>
            </w:pPr>
            <w:r w:rsidRPr="00286216">
              <w:rPr>
                <w:rFonts w:eastAsia="Calibri"/>
                <w:color w:val="000000" w:themeColor="text1"/>
                <w:spacing w:val="-2"/>
                <w:szCs w:val="18"/>
              </w:rPr>
              <w:t>"</w:t>
            </w:r>
            <w:r w:rsidRPr="00286216">
              <w:rPr>
                <w:color w:val="000000" w:themeColor="text1"/>
                <w:spacing w:val="-2"/>
                <w:szCs w:val="18"/>
              </w:rPr>
              <w:t xml:space="preserve">2) володіють коштами, розміщеними на банківських рахунках, та цінними паперами на загальну суму, що </w:t>
            </w:r>
            <w:r w:rsidR="006276D5" w:rsidRPr="00286216">
              <w:rPr>
                <w:color w:val="000000" w:themeColor="text1"/>
                <w:spacing w:val="-2"/>
                <w:szCs w:val="18"/>
              </w:rPr>
              <w:t>є більшою 0,5 мільйона гривень".</w:t>
            </w:r>
          </w:p>
          <w:p w14:paraId="4731C6F6" w14:textId="235B1751"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206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BAA9D1D" w14:textId="77777777" w:rsidR="004B55AD" w:rsidRPr="00286216" w:rsidRDefault="004B55AD" w:rsidP="00CD1870">
            <w:pPr>
              <w:spacing w:line="180" w:lineRule="exact"/>
              <w:ind w:firstLine="227"/>
              <w:jc w:val="both"/>
              <w:rPr>
                <w:color w:val="000000" w:themeColor="text1"/>
                <w:sz w:val="18"/>
              </w:rPr>
            </w:pPr>
            <w:r w:rsidRPr="00286216">
              <w:rPr>
                <w:color w:val="000000" w:themeColor="text1"/>
                <w:sz w:val="18"/>
              </w:rPr>
              <w:t>У пункті 2 частини 2 статті 5 розділу 1 слова «мільйонів євро за офіційним курсом Національного банку України, що діяв на момент набуття/підтвердження статусу кваліфікованого інвестора» замінити на слова «мільйонів гривень».</w:t>
            </w:r>
          </w:p>
        </w:tc>
        <w:tc>
          <w:tcPr>
            <w:tcW w:w="1987" w:type="dxa"/>
          </w:tcPr>
          <w:p w14:paraId="3B5A41E5" w14:textId="7FA7C13B"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61ACE978" w14:textId="7B81BA30" w:rsidR="004B55AD" w:rsidRPr="00286216" w:rsidRDefault="004B55AD" w:rsidP="004B55AD">
            <w:pPr>
              <w:pStyle w:val="StyleWisnow"/>
              <w:spacing w:line="180" w:lineRule="exact"/>
              <w:rPr>
                <w:color w:val="000000" w:themeColor="text1"/>
              </w:rPr>
            </w:pPr>
          </w:p>
          <w:p w14:paraId="3AD0CD4E" w14:textId="5C2F6BB2" w:rsidR="004B55AD" w:rsidRPr="00286216" w:rsidRDefault="004B55AD" w:rsidP="004B55AD">
            <w:pPr>
              <w:pStyle w:val="StyleWisnow"/>
              <w:spacing w:line="180" w:lineRule="exact"/>
              <w:rPr>
                <w:color w:val="000000" w:themeColor="text1"/>
              </w:rPr>
            </w:pPr>
          </w:p>
          <w:p w14:paraId="224380A1" w14:textId="71500224" w:rsidR="004B55AD" w:rsidRPr="00286216" w:rsidRDefault="004B55AD" w:rsidP="004B55AD">
            <w:pPr>
              <w:pStyle w:val="StyleWisnow"/>
              <w:spacing w:line="180" w:lineRule="exact"/>
              <w:rPr>
                <w:color w:val="000000" w:themeColor="text1"/>
              </w:rPr>
            </w:pPr>
          </w:p>
          <w:p w14:paraId="256F0283" w14:textId="3ED94F34" w:rsidR="004B55AD" w:rsidRPr="00286216" w:rsidRDefault="004B55AD" w:rsidP="004B55AD">
            <w:pPr>
              <w:pStyle w:val="StyleWisnow"/>
              <w:spacing w:line="180" w:lineRule="exact"/>
              <w:rPr>
                <w:color w:val="000000" w:themeColor="text1"/>
              </w:rPr>
            </w:pPr>
          </w:p>
          <w:p w14:paraId="31C0457C" w14:textId="203B78C6" w:rsidR="004B55AD" w:rsidRPr="00286216" w:rsidRDefault="004B55AD" w:rsidP="004B55AD">
            <w:pPr>
              <w:pStyle w:val="StyleWisnow"/>
              <w:spacing w:line="180" w:lineRule="exact"/>
              <w:rPr>
                <w:color w:val="000000" w:themeColor="text1"/>
              </w:rPr>
            </w:pPr>
          </w:p>
          <w:p w14:paraId="249504F8" w14:textId="487916CC" w:rsidR="004B55AD" w:rsidRPr="00286216" w:rsidRDefault="004B55AD" w:rsidP="004B55AD">
            <w:pPr>
              <w:pStyle w:val="StyleWisnow"/>
              <w:spacing w:line="180" w:lineRule="exact"/>
              <w:rPr>
                <w:color w:val="000000" w:themeColor="text1"/>
              </w:rPr>
            </w:pPr>
          </w:p>
          <w:p w14:paraId="2B299C79" w14:textId="77777777" w:rsidR="004B55AD" w:rsidRPr="00286216" w:rsidRDefault="004B55AD" w:rsidP="004B55AD">
            <w:pPr>
              <w:pStyle w:val="StyleWisnow"/>
              <w:spacing w:line="180" w:lineRule="exact"/>
              <w:rPr>
                <w:color w:val="000000" w:themeColor="text1"/>
              </w:rPr>
            </w:pPr>
          </w:p>
          <w:p w14:paraId="109EB84C"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341107BD" w14:textId="77777777" w:rsidR="004B55AD" w:rsidRPr="00286216" w:rsidRDefault="004B55AD" w:rsidP="004B55AD">
            <w:pPr>
              <w:pStyle w:val="StyleWisnow"/>
              <w:spacing w:line="180" w:lineRule="exact"/>
              <w:rPr>
                <w:color w:val="000000" w:themeColor="text1"/>
              </w:rPr>
            </w:pPr>
          </w:p>
        </w:tc>
        <w:tc>
          <w:tcPr>
            <w:tcW w:w="4818" w:type="dxa"/>
          </w:tcPr>
          <w:p w14:paraId="0C62A61F" w14:textId="02113200" w:rsidR="004B55AD" w:rsidRPr="00286216" w:rsidRDefault="004B55AD" w:rsidP="00CD1870">
            <w:pPr>
              <w:pStyle w:val="StyleZakonu"/>
              <w:rPr>
                <w:color w:val="000000" w:themeColor="text1"/>
              </w:rPr>
            </w:pPr>
            <w:r w:rsidRPr="00286216">
              <w:rPr>
                <w:color w:val="000000" w:themeColor="text1"/>
              </w:rPr>
              <w:t>2) володіють коштами, розміщеними на банківських рахунках, та цінними паперами на загальну суму, більш</w:t>
            </w:r>
            <w:r w:rsidR="00CD1870" w:rsidRPr="00286216">
              <w:rPr>
                <w:color w:val="000000" w:themeColor="text1"/>
              </w:rPr>
              <w:t xml:space="preserve">е </w:t>
            </w:r>
            <w:r w:rsidRPr="00286216">
              <w:rPr>
                <w:color w:val="000000" w:themeColor="text1"/>
              </w:rPr>
              <w:t>0,5 мільйона гривень;</w:t>
            </w:r>
          </w:p>
        </w:tc>
      </w:tr>
      <w:bookmarkEnd w:id="176"/>
      <w:tr w:rsidR="00F77E8D" w:rsidRPr="00286216" w14:paraId="3DC24B2E" w14:textId="77777777" w:rsidTr="00091AA5">
        <w:tc>
          <w:tcPr>
            <w:tcW w:w="576" w:type="dxa"/>
          </w:tcPr>
          <w:p w14:paraId="698029BD" w14:textId="77777777" w:rsidR="004B55AD" w:rsidRPr="00286216" w:rsidRDefault="004B55AD" w:rsidP="004B55AD">
            <w:pPr>
              <w:pStyle w:val="StyleWisnow"/>
              <w:rPr>
                <w:color w:val="000000" w:themeColor="text1"/>
              </w:rPr>
            </w:pPr>
          </w:p>
        </w:tc>
        <w:tc>
          <w:tcPr>
            <w:tcW w:w="4818" w:type="dxa"/>
          </w:tcPr>
          <w:p w14:paraId="74CE220E" w14:textId="77777777" w:rsidR="004B55AD" w:rsidRPr="00286216" w:rsidRDefault="004B55AD" w:rsidP="004B55AD">
            <w:pPr>
              <w:pStyle w:val="StyleZakonu"/>
              <w:rPr>
                <w:color w:val="000000" w:themeColor="text1"/>
              </w:rPr>
            </w:pPr>
          </w:p>
        </w:tc>
        <w:tc>
          <w:tcPr>
            <w:tcW w:w="3686" w:type="dxa"/>
          </w:tcPr>
          <w:p w14:paraId="22FD7098" w14:textId="253DBDE9"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207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FD53448" w14:textId="7066E08D" w:rsidR="004B55AD" w:rsidRPr="00286216" w:rsidRDefault="004B55AD" w:rsidP="00CD1870">
            <w:pPr>
              <w:pStyle w:val="StyleProp"/>
              <w:spacing w:line="190" w:lineRule="exact"/>
              <w:rPr>
                <w:color w:val="000000" w:themeColor="text1"/>
                <w:spacing w:val="-4"/>
                <w:szCs w:val="18"/>
              </w:rPr>
            </w:pPr>
            <w:r w:rsidRPr="00286216">
              <w:rPr>
                <w:color w:val="000000" w:themeColor="text1"/>
                <w:spacing w:val="-4"/>
                <w:szCs w:val="18"/>
              </w:rPr>
              <w:t xml:space="preserve">У пункті 2 частини </w:t>
            </w:r>
            <w:r w:rsidR="00CD1870" w:rsidRPr="00286216">
              <w:rPr>
                <w:color w:val="000000" w:themeColor="text1"/>
                <w:spacing w:val="-4"/>
                <w:szCs w:val="18"/>
              </w:rPr>
              <w:t xml:space="preserve">2 </w:t>
            </w:r>
            <w:r w:rsidRPr="00286216">
              <w:rPr>
                <w:color w:val="000000" w:themeColor="text1"/>
                <w:spacing w:val="-4"/>
                <w:szCs w:val="18"/>
              </w:rPr>
              <w:t>статті 5 слова «на момент набуття/підтвердження статусу кваліфікованого інвестора» замінити словами «станом на останній день попереднього кварталу».</w:t>
            </w:r>
          </w:p>
        </w:tc>
        <w:tc>
          <w:tcPr>
            <w:tcW w:w="1987" w:type="dxa"/>
          </w:tcPr>
          <w:p w14:paraId="6143AFC8" w14:textId="77777777" w:rsidR="004B55AD" w:rsidRPr="00286216" w:rsidRDefault="004B55AD" w:rsidP="004B55AD">
            <w:pPr>
              <w:pStyle w:val="StyleWisnow"/>
              <w:spacing w:line="180" w:lineRule="exact"/>
              <w:rPr>
                <w:color w:val="000000" w:themeColor="text1"/>
              </w:rPr>
            </w:pPr>
            <w:r w:rsidRPr="00286216">
              <w:rPr>
                <w:color w:val="000000" w:themeColor="text1"/>
              </w:rPr>
              <w:t>Відхилено</w:t>
            </w:r>
          </w:p>
          <w:p w14:paraId="7CBB6EC8" w14:textId="77777777" w:rsidR="004B55AD" w:rsidRPr="00286216" w:rsidRDefault="004B55AD" w:rsidP="004B55AD">
            <w:pPr>
              <w:pStyle w:val="StyleWisnow"/>
              <w:spacing w:line="180" w:lineRule="exact"/>
              <w:rPr>
                <w:color w:val="000000" w:themeColor="text1"/>
              </w:rPr>
            </w:pPr>
            <w:r w:rsidRPr="00286216">
              <w:rPr>
                <w:color w:val="000000" w:themeColor="text1"/>
              </w:rPr>
              <w:t>у звʼязку із зміною редакції та виключенням слів</w:t>
            </w:r>
          </w:p>
        </w:tc>
        <w:tc>
          <w:tcPr>
            <w:tcW w:w="4818" w:type="dxa"/>
          </w:tcPr>
          <w:p w14:paraId="3D95FAC6" w14:textId="77777777" w:rsidR="004B55AD" w:rsidRPr="00286216" w:rsidRDefault="004B55AD" w:rsidP="004B55AD">
            <w:pPr>
              <w:pStyle w:val="StyleZakonu"/>
              <w:rPr>
                <w:color w:val="000000" w:themeColor="text1"/>
              </w:rPr>
            </w:pPr>
          </w:p>
        </w:tc>
      </w:tr>
      <w:tr w:rsidR="00F77E8D" w:rsidRPr="00286216" w14:paraId="6AD89088" w14:textId="77777777" w:rsidTr="00091AA5">
        <w:tc>
          <w:tcPr>
            <w:tcW w:w="576" w:type="dxa"/>
          </w:tcPr>
          <w:p w14:paraId="61CB07F7" w14:textId="77777777" w:rsidR="004B55AD" w:rsidRPr="00286216" w:rsidRDefault="004B55AD" w:rsidP="004B55AD">
            <w:pPr>
              <w:pStyle w:val="StyleWisnow"/>
              <w:rPr>
                <w:color w:val="000000" w:themeColor="text1"/>
              </w:rPr>
            </w:pPr>
            <w:bookmarkStart w:id="177" w:name="n168" w:colFirst="0" w:colLast="0"/>
            <w:r w:rsidRPr="00286216">
              <w:rPr>
                <w:color w:val="000000" w:themeColor="text1"/>
              </w:rPr>
              <w:t>168.</w:t>
            </w:r>
          </w:p>
        </w:tc>
        <w:tc>
          <w:tcPr>
            <w:tcW w:w="4818" w:type="dxa"/>
          </w:tcPr>
          <w:p w14:paraId="44FD69EB" w14:textId="77777777" w:rsidR="004B55AD" w:rsidRPr="00286216" w:rsidRDefault="004B55AD" w:rsidP="004B55AD">
            <w:pPr>
              <w:pStyle w:val="StyleZakonu"/>
              <w:rPr>
                <w:color w:val="000000" w:themeColor="text1"/>
              </w:rPr>
            </w:pPr>
            <w:r w:rsidRPr="00286216">
              <w:rPr>
                <w:color w:val="000000" w:themeColor="text1"/>
              </w:rPr>
              <w:t>3) мають досвід проведення операцій на ринках капіталу не менше одного року або мають стаж роботи у фінансовій установі (або іноземній юридичній особі, яка має аналогічний статус відповідно до законодавства іншої держави) за відповідним фахом не менше одного року.</w:t>
            </w:r>
          </w:p>
        </w:tc>
        <w:tc>
          <w:tcPr>
            <w:tcW w:w="3686" w:type="dxa"/>
          </w:tcPr>
          <w:p w14:paraId="48D53862" w14:textId="77777777" w:rsidR="004B55AD" w:rsidRPr="00286216" w:rsidRDefault="004B55AD" w:rsidP="004B55AD">
            <w:pPr>
              <w:pStyle w:val="StyleProp"/>
              <w:rPr>
                <w:color w:val="000000" w:themeColor="text1"/>
                <w:szCs w:val="18"/>
              </w:rPr>
            </w:pPr>
          </w:p>
        </w:tc>
        <w:tc>
          <w:tcPr>
            <w:tcW w:w="1987" w:type="dxa"/>
          </w:tcPr>
          <w:p w14:paraId="36E0E38A" w14:textId="77777777" w:rsidR="004B55AD" w:rsidRPr="00286216" w:rsidRDefault="004B55AD" w:rsidP="004B55AD">
            <w:pPr>
              <w:pStyle w:val="StyleWisnow"/>
              <w:rPr>
                <w:color w:val="000000" w:themeColor="text1"/>
              </w:rPr>
            </w:pPr>
          </w:p>
        </w:tc>
        <w:tc>
          <w:tcPr>
            <w:tcW w:w="4818" w:type="dxa"/>
          </w:tcPr>
          <w:p w14:paraId="6C85FA19" w14:textId="77777777" w:rsidR="004B55AD" w:rsidRPr="00286216" w:rsidRDefault="004B55AD" w:rsidP="004B55AD">
            <w:pPr>
              <w:pStyle w:val="StyleZakonu"/>
              <w:rPr>
                <w:color w:val="000000" w:themeColor="text1"/>
              </w:rPr>
            </w:pPr>
            <w:r w:rsidRPr="00286216">
              <w:rPr>
                <w:color w:val="000000" w:themeColor="text1"/>
              </w:rPr>
              <w:t>3) мають досвід проведення операцій на ринках капіталу не менше одного року або мають стаж роботи у фінансовій установі (або іноземній юридичній особі, яка має аналогічний статус відповідно до законодавства іншої держави) за відповідним фахом не менше одного року.</w:t>
            </w:r>
          </w:p>
        </w:tc>
      </w:tr>
      <w:tr w:rsidR="00F77E8D" w:rsidRPr="00286216" w14:paraId="27A337CF" w14:textId="77777777" w:rsidTr="00091AA5">
        <w:tc>
          <w:tcPr>
            <w:tcW w:w="576" w:type="dxa"/>
          </w:tcPr>
          <w:p w14:paraId="112DB090" w14:textId="77777777" w:rsidR="004B55AD" w:rsidRPr="00286216" w:rsidRDefault="004B55AD" w:rsidP="004B55AD">
            <w:pPr>
              <w:pStyle w:val="StyleWisnow"/>
              <w:rPr>
                <w:color w:val="000000" w:themeColor="text1"/>
              </w:rPr>
            </w:pPr>
            <w:bookmarkStart w:id="178" w:name="n169" w:colFirst="0" w:colLast="0"/>
            <w:bookmarkEnd w:id="177"/>
            <w:r w:rsidRPr="00286216">
              <w:rPr>
                <w:color w:val="000000" w:themeColor="text1"/>
              </w:rPr>
              <w:t>169.</w:t>
            </w:r>
          </w:p>
        </w:tc>
        <w:tc>
          <w:tcPr>
            <w:tcW w:w="4818" w:type="dxa"/>
          </w:tcPr>
          <w:p w14:paraId="20DB413B" w14:textId="77777777" w:rsidR="004B55AD" w:rsidRPr="00286216" w:rsidRDefault="004B55AD" w:rsidP="004B55AD">
            <w:pPr>
              <w:pStyle w:val="StyleZakonu"/>
              <w:rPr>
                <w:color w:val="000000" w:themeColor="text1"/>
              </w:rPr>
            </w:pPr>
            <w:r w:rsidRPr="00286216">
              <w:rPr>
                <w:color w:val="000000" w:themeColor="text1"/>
              </w:rPr>
              <w:t>3. Особа, зазначена у частині другій цієї статті, може у порядку, встановленому Національною комісією з цінних паперів та фондового ринку, визнаватися кваліфікованим інвестором інвестиційною фірмою для цілей надання цією інвестиційною фірмою конкретної фінансової послуги та/або стосовно окремого правочину (окремих правочинів) щодо фінансових інструментів.</w:t>
            </w:r>
          </w:p>
        </w:tc>
        <w:tc>
          <w:tcPr>
            <w:tcW w:w="3686" w:type="dxa"/>
          </w:tcPr>
          <w:p w14:paraId="166241C3" w14:textId="67016650"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208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2819AB3" w14:textId="77777777" w:rsidR="004B55AD" w:rsidRPr="00286216" w:rsidRDefault="004B55AD" w:rsidP="004B55AD">
            <w:pPr>
              <w:pStyle w:val="StyleProp"/>
              <w:spacing w:line="190" w:lineRule="exact"/>
              <w:rPr>
                <w:color w:val="000000" w:themeColor="text1"/>
                <w:szCs w:val="18"/>
              </w:rPr>
            </w:pPr>
            <w:r w:rsidRPr="00286216">
              <w:rPr>
                <w:rFonts w:eastAsia="Calibri"/>
                <w:color w:val="000000" w:themeColor="text1"/>
                <w:szCs w:val="18"/>
              </w:rPr>
              <w:t>В абзаці 1 частини 3 статті 5 слова "</w:t>
            </w:r>
            <w:r w:rsidRPr="00286216">
              <w:rPr>
                <w:color w:val="000000" w:themeColor="text1"/>
                <w:szCs w:val="18"/>
              </w:rPr>
              <w:t>у порядку, встановленому Національною комісією з цінних паперів та фондового ринку" замінити словами "у порядку, встановленому цим Законом та внутрішніми документами інвестиційної фірми  звернутись до такої інвестиційної фірми".</w:t>
            </w:r>
          </w:p>
          <w:p w14:paraId="51189C18" w14:textId="280F44AF"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209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CBBC444" w14:textId="5975B94F" w:rsidR="004B55AD" w:rsidRPr="00286216" w:rsidRDefault="004B55AD" w:rsidP="00CD1870">
            <w:pPr>
              <w:pStyle w:val="StyleProp"/>
              <w:spacing w:line="180" w:lineRule="exact"/>
              <w:rPr>
                <w:color w:val="000000" w:themeColor="text1"/>
              </w:rPr>
            </w:pPr>
            <w:r w:rsidRPr="00286216">
              <w:rPr>
                <w:color w:val="000000" w:themeColor="text1"/>
              </w:rPr>
              <w:t>Абзац  1 частини 3 статті 5 викласти у такій редакції:</w:t>
            </w:r>
          </w:p>
          <w:p w14:paraId="3829211B" w14:textId="72CE0EFE" w:rsidR="004B55AD" w:rsidRPr="00286216" w:rsidRDefault="004B55AD" w:rsidP="00CD1870">
            <w:pPr>
              <w:pStyle w:val="StyleProp"/>
              <w:spacing w:line="180" w:lineRule="exact"/>
              <w:rPr>
                <w:color w:val="000000" w:themeColor="text1"/>
                <w:szCs w:val="18"/>
              </w:rPr>
            </w:pPr>
            <w:r w:rsidRPr="00286216">
              <w:rPr>
                <w:color w:val="000000" w:themeColor="text1"/>
              </w:rPr>
              <w:t xml:space="preserve">"3. Особи, зазначені у частині другій цієї статті, можуть у порядку, </w:t>
            </w:r>
            <w:r w:rsidRPr="00286216">
              <w:rPr>
                <w:color w:val="000000" w:themeColor="text1"/>
                <w:szCs w:val="18"/>
              </w:rPr>
              <w:t>встановленому цим Законом та внутрішніми документами інвестиційної фірми, вимоги до яких визначені Національною комісією з цінних паперів та фондового ринку, звернутися до такої інвестиційної фірми та</w:t>
            </w:r>
            <w:r w:rsidRPr="00286216">
              <w:rPr>
                <w:color w:val="000000" w:themeColor="text1"/>
              </w:rPr>
              <w:t xml:space="preserve"> бути нею визнаними кваліфікованими інвесторами для цілей надання цією інвестиційною фірмою </w:t>
            </w:r>
            <w:r w:rsidRPr="00286216">
              <w:rPr>
                <w:color w:val="000000" w:themeColor="text1"/>
              </w:rPr>
              <w:lastRenderedPageBreak/>
              <w:t>конкретної фінансової послуги (конкретних фінансових послуг) та/або стосовно окремого правочину (окремих правочинів) щодо фінансових інструментів".</w:t>
            </w:r>
          </w:p>
        </w:tc>
        <w:tc>
          <w:tcPr>
            <w:tcW w:w="1987" w:type="dxa"/>
          </w:tcPr>
          <w:p w14:paraId="1CE7E13A" w14:textId="2D644F49" w:rsidR="004B55AD" w:rsidRPr="00286216" w:rsidRDefault="004B55AD" w:rsidP="004B55AD">
            <w:pPr>
              <w:pStyle w:val="StyleWisnow"/>
              <w:spacing w:line="180" w:lineRule="exact"/>
              <w:rPr>
                <w:color w:val="000000" w:themeColor="text1"/>
              </w:rPr>
            </w:pPr>
            <w:r w:rsidRPr="00286216">
              <w:rPr>
                <w:color w:val="000000" w:themeColor="text1"/>
              </w:rPr>
              <w:lastRenderedPageBreak/>
              <w:t>Враховано редакційно</w:t>
            </w:r>
          </w:p>
          <w:p w14:paraId="06B82E70" w14:textId="77777777" w:rsidR="004B55AD" w:rsidRPr="00286216" w:rsidRDefault="004B55AD" w:rsidP="004B55AD">
            <w:pPr>
              <w:pStyle w:val="StyleWisnow"/>
              <w:spacing w:line="180" w:lineRule="exact"/>
              <w:rPr>
                <w:color w:val="000000" w:themeColor="text1"/>
              </w:rPr>
            </w:pPr>
          </w:p>
          <w:p w14:paraId="62DA3349" w14:textId="77777777" w:rsidR="004B55AD" w:rsidRPr="00286216" w:rsidRDefault="004B55AD" w:rsidP="004B55AD">
            <w:pPr>
              <w:pStyle w:val="StyleWisnow"/>
              <w:spacing w:line="180" w:lineRule="exact"/>
              <w:rPr>
                <w:color w:val="000000" w:themeColor="text1"/>
              </w:rPr>
            </w:pPr>
          </w:p>
          <w:p w14:paraId="67EE64FD" w14:textId="77777777" w:rsidR="004B55AD" w:rsidRPr="00286216" w:rsidRDefault="004B55AD" w:rsidP="004B55AD">
            <w:pPr>
              <w:pStyle w:val="StyleWisnow"/>
              <w:spacing w:line="180" w:lineRule="exact"/>
              <w:rPr>
                <w:color w:val="000000" w:themeColor="text1"/>
              </w:rPr>
            </w:pPr>
          </w:p>
          <w:p w14:paraId="3FA52636" w14:textId="77777777" w:rsidR="004B55AD" w:rsidRPr="00286216" w:rsidRDefault="004B55AD" w:rsidP="004B55AD">
            <w:pPr>
              <w:pStyle w:val="StyleWisnow"/>
              <w:spacing w:line="180" w:lineRule="exact"/>
              <w:rPr>
                <w:color w:val="000000" w:themeColor="text1"/>
              </w:rPr>
            </w:pPr>
          </w:p>
          <w:p w14:paraId="3DB7B976" w14:textId="77777777" w:rsidR="004B55AD" w:rsidRPr="00286216" w:rsidRDefault="004B55AD" w:rsidP="004B55AD">
            <w:pPr>
              <w:pStyle w:val="StyleWisnow"/>
              <w:spacing w:line="180" w:lineRule="exact"/>
              <w:rPr>
                <w:color w:val="000000" w:themeColor="text1"/>
              </w:rPr>
            </w:pPr>
          </w:p>
          <w:p w14:paraId="4C52C785" w14:textId="766FA595" w:rsidR="004B55AD" w:rsidRPr="00286216" w:rsidRDefault="004B55AD" w:rsidP="004B55AD">
            <w:pPr>
              <w:pStyle w:val="StyleWisnow"/>
              <w:spacing w:line="180" w:lineRule="exact"/>
              <w:rPr>
                <w:color w:val="000000" w:themeColor="text1"/>
              </w:rPr>
            </w:pPr>
          </w:p>
          <w:p w14:paraId="34303F90" w14:textId="77777777" w:rsidR="004B55AD" w:rsidRPr="00286216" w:rsidRDefault="004B55AD" w:rsidP="004B55AD">
            <w:pPr>
              <w:pStyle w:val="StyleWisnow"/>
              <w:spacing w:line="180" w:lineRule="exact"/>
              <w:rPr>
                <w:color w:val="000000" w:themeColor="text1"/>
              </w:rPr>
            </w:pPr>
          </w:p>
          <w:p w14:paraId="1EBD297D" w14:textId="77777777" w:rsidR="004B55AD" w:rsidRPr="00286216" w:rsidRDefault="004B55AD" w:rsidP="004B55AD">
            <w:pPr>
              <w:pStyle w:val="StyleWisnow"/>
              <w:spacing w:line="180" w:lineRule="exact"/>
              <w:rPr>
                <w:color w:val="000000" w:themeColor="text1"/>
              </w:rPr>
            </w:pPr>
          </w:p>
          <w:p w14:paraId="59ED50AA"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tc>
        <w:tc>
          <w:tcPr>
            <w:tcW w:w="4818" w:type="dxa"/>
          </w:tcPr>
          <w:p w14:paraId="003C62B4" w14:textId="2F94F0C3" w:rsidR="004B55AD" w:rsidRPr="00286216" w:rsidRDefault="004B55AD" w:rsidP="00CD1870">
            <w:pPr>
              <w:pStyle w:val="StyleZakonu"/>
              <w:rPr>
                <w:color w:val="000000" w:themeColor="text1"/>
              </w:rPr>
            </w:pPr>
            <w:r w:rsidRPr="00286216">
              <w:rPr>
                <w:color w:val="000000" w:themeColor="text1"/>
              </w:rPr>
              <w:t xml:space="preserve">3. Особи, зазначені у частині другій цієї статті, можуть у порядку, </w:t>
            </w:r>
            <w:r w:rsidRPr="00286216">
              <w:rPr>
                <w:color w:val="000000" w:themeColor="text1"/>
                <w:szCs w:val="18"/>
              </w:rPr>
              <w:t>встановленому цим Законом та внутрішніми документами інвестиційної фірми, вимоги до яких визначені Національною комісією з цінних паперів та фондового ринку, звернутися до такої інвестиційної фірми та</w:t>
            </w:r>
            <w:r w:rsidRPr="00286216">
              <w:rPr>
                <w:color w:val="000000" w:themeColor="text1"/>
              </w:rPr>
              <w:t xml:space="preserve"> бути нею визнан</w:t>
            </w:r>
            <w:r w:rsidR="00CD1870" w:rsidRPr="00286216">
              <w:rPr>
                <w:color w:val="000000" w:themeColor="text1"/>
              </w:rPr>
              <w:t xml:space="preserve">і </w:t>
            </w:r>
            <w:r w:rsidRPr="00286216">
              <w:rPr>
                <w:color w:val="000000" w:themeColor="text1"/>
              </w:rPr>
              <w:t>кваліфікованими інвесторами для цілей надання цією інвестиційною фірмою конкретної фінансової послуги (конкретних фінансових послуг) та/або стосовно окремого правочину (окремих правочинів) щодо фінансових інструментів.</w:t>
            </w:r>
          </w:p>
        </w:tc>
      </w:tr>
      <w:tr w:rsidR="00F77E8D" w:rsidRPr="00286216" w14:paraId="45832E96" w14:textId="77777777" w:rsidTr="00091AA5">
        <w:tc>
          <w:tcPr>
            <w:tcW w:w="576" w:type="dxa"/>
          </w:tcPr>
          <w:p w14:paraId="5796E81C" w14:textId="77777777" w:rsidR="004B55AD" w:rsidRPr="00286216" w:rsidRDefault="004B55AD" w:rsidP="004B55AD">
            <w:pPr>
              <w:pStyle w:val="StyleWisnow"/>
              <w:rPr>
                <w:color w:val="000000" w:themeColor="text1"/>
              </w:rPr>
            </w:pPr>
            <w:bookmarkStart w:id="179" w:name="n170" w:colFirst="0" w:colLast="0"/>
            <w:bookmarkEnd w:id="178"/>
            <w:r w:rsidRPr="00286216">
              <w:rPr>
                <w:color w:val="000000" w:themeColor="text1"/>
              </w:rPr>
              <w:t>170.</w:t>
            </w:r>
          </w:p>
        </w:tc>
        <w:tc>
          <w:tcPr>
            <w:tcW w:w="4818" w:type="dxa"/>
          </w:tcPr>
          <w:p w14:paraId="53535655" w14:textId="77777777" w:rsidR="004B55AD" w:rsidRPr="00286216" w:rsidRDefault="004B55AD" w:rsidP="004B55AD">
            <w:pPr>
              <w:pStyle w:val="StyleZakonu"/>
              <w:rPr>
                <w:color w:val="000000" w:themeColor="text1"/>
              </w:rPr>
            </w:pPr>
            <w:r w:rsidRPr="00286216">
              <w:rPr>
                <w:color w:val="000000" w:themeColor="text1"/>
              </w:rPr>
              <w:t>Для визнання особи кваліфікованим інвестором інвестиційна фірма, крім перевірки відповідності особи критеріям, зазначеними у частині другій цієї статті, повинна виконати відповідні письмові процедури з метою оцінювання вмінь, досвіду та знань фізичної особи або представників юридичної особи (клієнта), що надають достатні підстави вважати, що у зв’язку із передбачуваними правочинами та/або фінансовими послугами клієнт може самостійно прийняти рішення щодо інвестування та взяти на себе пов’язані з цим ризики.</w:t>
            </w:r>
          </w:p>
        </w:tc>
        <w:tc>
          <w:tcPr>
            <w:tcW w:w="3686" w:type="dxa"/>
          </w:tcPr>
          <w:p w14:paraId="3F23E4C1" w14:textId="77777777" w:rsidR="004B55AD" w:rsidRPr="00286216" w:rsidRDefault="004B55AD" w:rsidP="004B55AD">
            <w:pPr>
              <w:spacing w:line="200" w:lineRule="exact"/>
              <w:ind w:firstLine="227"/>
              <w:jc w:val="both"/>
              <w:rPr>
                <w:rFonts w:eastAsia="Calibri"/>
                <w:color w:val="000000" w:themeColor="text1"/>
                <w:szCs w:val="18"/>
              </w:rPr>
            </w:pPr>
          </w:p>
        </w:tc>
        <w:tc>
          <w:tcPr>
            <w:tcW w:w="1987" w:type="dxa"/>
          </w:tcPr>
          <w:p w14:paraId="5F0B8CD7" w14:textId="77777777" w:rsidR="004B55AD" w:rsidRPr="00286216" w:rsidRDefault="004B55AD" w:rsidP="004B55AD">
            <w:pPr>
              <w:pStyle w:val="StyleWisnow"/>
              <w:rPr>
                <w:color w:val="000000" w:themeColor="text1"/>
              </w:rPr>
            </w:pPr>
          </w:p>
        </w:tc>
        <w:tc>
          <w:tcPr>
            <w:tcW w:w="4818" w:type="dxa"/>
          </w:tcPr>
          <w:p w14:paraId="5926EDF1" w14:textId="7FE54260" w:rsidR="004B55AD" w:rsidRPr="00286216" w:rsidRDefault="004B55AD" w:rsidP="00CD1870">
            <w:pPr>
              <w:pStyle w:val="StyleZakonu"/>
              <w:rPr>
                <w:color w:val="000000" w:themeColor="text1"/>
              </w:rPr>
            </w:pPr>
            <w:r w:rsidRPr="00286216">
              <w:rPr>
                <w:color w:val="000000" w:themeColor="text1"/>
              </w:rPr>
              <w:t>Для визнання особи кваліфікованим інвестором інвестиційна фірма, крім перевірки відповідності особи критеріям, зазначеним у частині другій цієї статті, повинна виконати відповідні письмові процедури з метою оцінювання вмінь, досвіду та знань фізичної особи або представників юридичної особи (клієнта), що надають достатні підстави вважати, що у зв’язку з передбачуваними правочинами та/або фінансовими послугами клієнт може самостійно прийняти рішення щодо інвестування та взяти на себе пов’язані з цим ризики.</w:t>
            </w:r>
          </w:p>
        </w:tc>
      </w:tr>
      <w:tr w:rsidR="00F77E8D" w:rsidRPr="00286216" w14:paraId="56D8AA05" w14:textId="77777777" w:rsidTr="00091AA5">
        <w:tc>
          <w:tcPr>
            <w:tcW w:w="576" w:type="dxa"/>
          </w:tcPr>
          <w:p w14:paraId="549F09E1" w14:textId="77777777" w:rsidR="004B55AD" w:rsidRPr="00286216" w:rsidRDefault="004B55AD" w:rsidP="004B55AD">
            <w:pPr>
              <w:pStyle w:val="StyleWisnow"/>
              <w:rPr>
                <w:color w:val="000000" w:themeColor="text1"/>
              </w:rPr>
            </w:pPr>
            <w:bookmarkStart w:id="180" w:name="n171" w:colFirst="0" w:colLast="0"/>
            <w:bookmarkEnd w:id="179"/>
            <w:r w:rsidRPr="00286216">
              <w:rPr>
                <w:color w:val="000000" w:themeColor="text1"/>
              </w:rPr>
              <w:t>171.</w:t>
            </w:r>
          </w:p>
        </w:tc>
        <w:tc>
          <w:tcPr>
            <w:tcW w:w="4818" w:type="dxa"/>
          </w:tcPr>
          <w:p w14:paraId="744AF153" w14:textId="77777777" w:rsidR="004B55AD" w:rsidRPr="00286216" w:rsidRDefault="004B55AD" w:rsidP="004B55AD">
            <w:pPr>
              <w:pStyle w:val="StyleZakonu"/>
              <w:rPr>
                <w:color w:val="000000" w:themeColor="text1"/>
              </w:rPr>
            </w:pPr>
            <w:r w:rsidRPr="00286216">
              <w:rPr>
                <w:color w:val="000000" w:themeColor="text1"/>
              </w:rPr>
              <w:t>Особа (клієнт) може бути визнана кваліфікованим інвестором лише у разі дотримання такого порядку:</w:t>
            </w:r>
          </w:p>
        </w:tc>
        <w:tc>
          <w:tcPr>
            <w:tcW w:w="3686" w:type="dxa"/>
          </w:tcPr>
          <w:p w14:paraId="7A18EF44" w14:textId="77777777" w:rsidR="004B55AD" w:rsidRPr="00286216" w:rsidRDefault="004B55AD" w:rsidP="004B55AD">
            <w:pPr>
              <w:pStyle w:val="StyleProp"/>
              <w:rPr>
                <w:color w:val="000000" w:themeColor="text1"/>
                <w:szCs w:val="18"/>
              </w:rPr>
            </w:pPr>
          </w:p>
        </w:tc>
        <w:tc>
          <w:tcPr>
            <w:tcW w:w="1987" w:type="dxa"/>
          </w:tcPr>
          <w:p w14:paraId="299FF61F" w14:textId="77777777" w:rsidR="004B55AD" w:rsidRPr="00286216" w:rsidRDefault="004B55AD" w:rsidP="004B55AD">
            <w:pPr>
              <w:pStyle w:val="StyleWisnow"/>
              <w:rPr>
                <w:color w:val="000000" w:themeColor="text1"/>
              </w:rPr>
            </w:pPr>
          </w:p>
        </w:tc>
        <w:tc>
          <w:tcPr>
            <w:tcW w:w="4818" w:type="dxa"/>
          </w:tcPr>
          <w:p w14:paraId="78B1C4D2" w14:textId="77777777" w:rsidR="004B55AD" w:rsidRPr="00286216" w:rsidRDefault="004B55AD" w:rsidP="004B55AD">
            <w:pPr>
              <w:pStyle w:val="StyleZakonu"/>
              <w:rPr>
                <w:color w:val="000000" w:themeColor="text1"/>
              </w:rPr>
            </w:pPr>
            <w:r w:rsidRPr="00286216">
              <w:rPr>
                <w:color w:val="000000" w:themeColor="text1"/>
              </w:rPr>
              <w:t>Особа (клієнт) може бути визнана кваліфікованим інвестором лише у разі дотримання такого порядку:</w:t>
            </w:r>
          </w:p>
        </w:tc>
      </w:tr>
      <w:tr w:rsidR="00F77E8D" w:rsidRPr="00286216" w14:paraId="1061BBCB" w14:textId="77777777" w:rsidTr="00091AA5">
        <w:tc>
          <w:tcPr>
            <w:tcW w:w="576" w:type="dxa"/>
          </w:tcPr>
          <w:p w14:paraId="50FF53DD" w14:textId="77777777" w:rsidR="004B55AD" w:rsidRPr="00286216" w:rsidRDefault="004B55AD" w:rsidP="004B55AD">
            <w:pPr>
              <w:pStyle w:val="StyleWisnow"/>
              <w:rPr>
                <w:color w:val="000000" w:themeColor="text1"/>
              </w:rPr>
            </w:pPr>
            <w:bookmarkStart w:id="181" w:name="n172" w:colFirst="0" w:colLast="0"/>
            <w:bookmarkEnd w:id="180"/>
            <w:r w:rsidRPr="00286216">
              <w:rPr>
                <w:color w:val="000000" w:themeColor="text1"/>
              </w:rPr>
              <w:t>172.</w:t>
            </w:r>
          </w:p>
        </w:tc>
        <w:tc>
          <w:tcPr>
            <w:tcW w:w="4818" w:type="dxa"/>
          </w:tcPr>
          <w:p w14:paraId="6E411B27" w14:textId="77777777" w:rsidR="004B55AD" w:rsidRPr="00286216" w:rsidRDefault="004B55AD" w:rsidP="004B55AD">
            <w:pPr>
              <w:pStyle w:val="StyleZakonu"/>
              <w:rPr>
                <w:color w:val="000000" w:themeColor="text1"/>
              </w:rPr>
            </w:pPr>
            <w:r w:rsidRPr="00286216">
              <w:rPr>
                <w:color w:val="000000" w:themeColor="text1"/>
              </w:rPr>
              <w:t>1) така особа (клієнт) повинна письмово зазначити інвестиційній фірмі, що вона бажає, щоб її визнали кваліфікованим інвестором щодо конкретної фінансової послуги та/або стосовно окремого правочину (окремих правочинів) щодо фінансових інструментів;</w:t>
            </w:r>
          </w:p>
        </w:tc>
        <w:tc>
          <w:tcPr>
            <w:tcW w:w="3686" w:type="dxa"/>
          </w:tcPr>
          <w:p w14:paraId="52BB8726" w14:textId="36600C93"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210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F3CB0DD" w14:textId="77777777" w:rsidR="004B55AD" w:rsidRPr="00286216" w:rsidRDefault="004B55AD" w:rsidP="00CD1870">
            <w:pPr>
              <w:pStyle w:val="StyleProp"/>
              <w:spacing w:line="190" w:lineRule="exact"/>
              <w:rPr>
                <w:color w:val="000000" w:themeColor="text1"/>
                <w:szCs w:val="18"/>
              </w:rPr>
            </w:pPr>
            <w:r w:rsidRPr="00286216">
              <w:rPr>
                <w:color w:val="000000" w:themeColor="text1"/>
                <w:szCs w:val="18"/>
              </w:rPr>
              <w:t>Абзац четвертий частини третьої статті 5 після слів «визнали кваліфікованим інвестором» доповнити словами слова «в цілому, або», а після слова «окремих» доповнити словом «типів».</w:t>
            </w:r>
          </w:p>
        </w:tc>
        <w:tc>
          <w:tcPr>
            <w:tcW w:w="1987" w:type="dxa"/>
          </w:tcPr>
          <w:p w14:paraId="565A1C5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59FE6B28" w14:textId="6FC8B613" w:rsidR="004B55AD" w:rsidRPr="00286216" w:rsidRDefault="004B55AD" w:rsidP="00CD1870">
            <w:pPr>
              <w:pStyle w:val="StyleZakonu"/>
              <w:rPr>
                <w:color w:val="000000" w:themeColor="text1"/>
                <w:spacing w:val="-1"/>
              </w:rPr>
            </w:pPr>
            <w:r w:rsidRPr="00286216">
              <w:rPr>
                <w:color w:val="000000" w:themeColor="text1"/>
                <w:spacing w:val="-1"/>
              </w:rPr>
              <w:t>1) така особа (клієнт) повинна письмово повідомити інвестиційну фірму про те, що  вона (він) бажає, щоб її (його) визнали кваліфікованим інвестором у</w:t>
            </w:r>
            <w:r w:rsidRPr="00286216">
              <w:rPr>
                <w:color w:val="000000" w:themeColor="text1"/>
                <w:spacing w:val="-1"/>
                <w:szCs w:val="18"/>
              </w:rPr>
              <w:t xml:space="preserve"> цілому або</w:t>
            </w:r>
            <w:r w:rsidRPr="00286216">
              <w:rPr>
                <w:color w:val="000000" w:themeColor="text1"/>
                <w:spacing w:val="-1"/>
              </w:rPr>
              <w:t xml:space="preserve"> щодо конкретної фінансової послуги та/або стосовно окремого правочину (окремих </w:t>
            </w:r>
            <w:r w:rsidRPr="00286216">
              <w:rPr>
                <w:color w:val="000000" w:themeColor="text1"/>
                <w:spacing w:val="-1"/>
                <w:szCs w:val="18"/>
              </w:rPr>
              <w:t>типів</w:t>
            </w:r>
            <w:r w:rsidRPr="00286216">
              <w:rPr>
                <w:color w:val="000000" w:themeColor="text1"/>
                <w:spacing w:val="-1"/>
              </w:rPr>
              <w:t xml:space="preserve"> правочинів) щодо фінансових інструментів;</w:t>
            </w:r>
          </w:p>
        </w:tc>
      </w:tr>
      <w:tr w:rsidR="00F77E8D" w:rsidRPr="00286216" w14:paraId="13480C9D" w14:textId="77777777" w:rsidTr="00091AA5">
        <w:tc>
          <w:tcPr>
            <w:tcW w:w="576" w:type="dxa"/>
          </w:tcPr>
          <w:p w14:paraId="106E218E" w14:textId="77777777" w:rsidR="004B55AD" w:rsidRPr="00286216" w:rsidRDefault="004B55AD" w:rsidP="004B55AD">
            <w:pPr>
              <w:pStyle w:val="StyleWisnow"/>
              <w:rPr>
                <w:color w:val="000000" w:themeColor="text1"/>
              </w:rPr>
            </w:pPr>
            <w:bookmarkStart w:id="182" w:name="n173" w:colFirst="0" w:colLast="0"/>
            <w:bookmarkEnd w:id="181"/>
            <w:r w:rsidRPr="00286216">
              <w:rPr>
                <w:color w:val="000000" w:themeColor="text1"/>
              </w:rPr>
              <w:t>173.</w:t>
            </w:r>
          </w:p>
        </w:tc>
        <w:tc>
          <w:tcPr>
            <w:tcW w:w="4818" w:type="dxa"/>
          </w:tcPr>
          <w:p w14:paraId="6C0A1103" w14:textId="77777777" w:rsidR="004B55AD" w:rsidRPr="00286216" w:rsidRDefault="004B55AD" w:rsidP="004B55AD">
            <w:pPr>
              <w:pStyle w:val="StyleZakonu"/>
              <w:rPr>
                <w:color w:val="000000" w:themeColor="text1"/>
              </w:rPr>
            </w:pPr>
            <w:r w:rsidRPr="00286216">
              <w:rPr>
                <w:color w:val="000000" w:themeColor="text1"/>
              </w:rPr>
              <w:t>2) інвестиційна фірма повинна повідомити таку особу (клієнта) у письмовій формі про положення законодавства щодо кваліфікованих інвесторів;</w:t>
            </w:r>
          </w:p>
        </w:tc>
        <w:tc>
          <w:tcPr>
            <w:tcW w:w="3686" w:type="dxa"/>
          </w:tcPr>
          <w:p w14:paraId="593B846B" w14:textId="30ACD95F"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211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B53DF1A" w14:textId="77777777" w:rsidR="004B55AD" w:rsidRPr="00286216" w:rsidRDefault="004B55AD" w:rsidP="004B55AD">
            <w:pPr>
              <w:pStyle w:val="StyleProp"/>
              <w:spacing w:line="190" w:lineRule="exact"/>
              <w:rPr>
                <w:color w:val="000000" w:themeColor="text1"/>
                <w:spacing w:val="-4"/>
                <w:szCs w:val="18"/>
              </w:rPr>
            </w:pPr>
            <w:r w:rsidRPr="00286216">
              <w:rPr>
                <w:color w:val="000000" w:themeColor="text1"/>
              </w:rPr>
              <w:t>В абз. 5 ч. 3 ст. 5 слова "положення законодавства щодо кваліфікованих інвесторів" замінити словами "права кваліфікованих інвесторів в порівнянні з правами некваліфікованих інвесторів".</w:t>
            </w:r>
          </w:p>
        </w:tc>
        <w:tc>
          <w:tcPr>
            <w:tcW w:w="1987" w:type="dxa"/>
          </w:tcPr>
          <w:p w14:paraId="6EC4D386" w14:textId="0368BDF1"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FF3B3DE" w14:textId="071D3736" w:rsidR="004B55AD" w:rsidRPr="00286216" w:rsidRDefault="004B55AD" w:rsidP="00CC7035">
            <w:pPr>
              <w:pStyle w:val="StyleZakonu"/>
              <w:rPr>
                <w:color w:val="000000" w:themeColor="text1"/>
              </w:rPr>
            </w:pPr>
            <w:r w:rsidRPr="00286216">
              <w:rPr>
                <w:color w:val="000000" w:themeColor="text1"/>
                <w:szCs w:val="18"/>
              </w:rPr>
              <w:t>2) інвестиційна фірма повинна повідомити таку особу (клієнта) у письмовій формі про права кваліфікованих інвесторів порівнян</w:t>
            </w:r>
            <w:r w:rsidR="00CC7035" w:rsidRPr="00286216">
              <w:rPr>
                <w:color w:val="000000" w:themeColor="text1"/>
                <w:szCs w:val="18"/>
              </w:rPr>
              <w:t>о</w:t>
            </w:r>
            <w:r w:rsidRPr="00286216">
              <w:rPr>
                <w:color w:val="000000" w:themeColor="text1"/>
                <w:szCs w:val="18"/>
              </w:rPr>
              <w:t xml:space="preserve"> з правами некваліфікованих інвесторів;</w:t>
            </w:r>
          </w:p>
        </w:tc>
      </w:tr>
      <w:bookmarkEnd w:id="182"/>
      <w:tr w:rsidR="00F77E8D" w:rsidRPr="00286216" w14:paraId="1D9E50EF" w14:textId="77777777" w:rsidTr="00091AA5">
        <w:tc>
          <w:tcPr>
            <w:tcW w:w="576" w:type="dxa"/>
          </w:tcPr>
          <w:p w14:paraId="4E18A905" w14:textId="77777777" w:rsidR="004B55AD" w:rsidRPr="00286216" w:rsidRDefault="004B55AD" w:rsidP="004B55AD">
            <w:pPr>
              <w:pStyle w:val="StyleWisnow"/>
              <w:rPr>
                <w:color w:val="000000" w:themeColor="text1"/>
              </w:rPr>
            </w:pPr>
          </w:p>
        </w:tc>
        <w:tc>
          <w:tcPr>
            <w:tcW w:w="4818" w:type="dxa"/>
          </w:tcPr>
          <w:p w14:paraId="2318F152" w14:textId="77777777" w:rsidR="004B55AD" w:rsidRPr="00286216" w:rsidRDefault="004B55AD" w:rsidP="004B55AD">
            <w:pPr>
              <w:pStyle w:val="StyleZakonu"/>
              <w:rPr>
                <w:color w:val="000000" w:themeColor="text1"/>
              </w:rPr>
            </w:pPr>
          </w:p>
        </w:tc>
        <w:tc>
          <w:tcPr>
            <w:tcW w:w="3686" w:type="dxa"/>
          </w:tcPr>
          <w:p w14:paraId="0EEE9BBA" w14:textId="2F634B35"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212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2D8E63D" w14:textId="77777777" w:rsidR="004B55AD" w:rsidRPr="00286216" w:rsidRDefault="004B55AD" w:rsidP="00CD1870">
            <w:pPr>
              <w:pStyle w:val="StyleProp"/>
              <w:spacing w:line="190" w:lineRule="exact"/>
              <w:rPr>
                <w:color w:val="000000" w:themeColor="text1"/>
                <w:spacing w:val="-2"/>
                <w:szCs w:val="18"/>
              </w:rPr>
            </w:pPr>
            <w:r w:rsidRPr="00286216">
              <w:rPr>
                <w:color w:val="000000" w:themeColor="text1"/>
                <w:spacing w:val="-6"/>
                <w:szCs w:val="18"/>
              </w:rPr>
              <w:t>Абзац 5 частини 3 статті 5 доповнити словами «зокрема, застосування яких матиме наслідком зменшення обсягу заходів захисту інвестицій,</w:t>
            </w:r>
            <w:r w:rsidRPr="00286216">
              <w:rPr>
                <w:color w:val="000000" w:themeColor="text1"/>
                <w:spacing w:val="-2"/>
                <w:szCs w:val="18"/>
              </w:rPr>
              <w:t xml:space="preserve"> </w:t>
            </w:r>
            <w:r w:rsidRPr="00286216">
              <w:rPr>
                <w:color w:val="000000" w:themeColor="text1"/>
                <w:spacing w:val="-4"/>
                <w:szCs w:val="18"/>
              </w:rPr>
              <w:t>що забезпечуються щодо такої особи у порівнянні із обсягом заходів, які забезпечуються щодо неї як некваліфікованого інвестора».</w:t>
            </w:r>
          </w:p>
        </w:tc>
        <w:tc>
          <w:tcPr>
            <w:tcW w:w="1987" w:type="dxa"/>
          </w:tcPr>
          <w:p w14:paraId="0605B0CB" w14:textId="77777777" w:rsidR="004B55AD" w:rsidRPr="00286216" w:rsidRDefault="004B55AD" w:rsidP="004B55AD">
            <w:pPr>
              <w:pStyle w:val="StyleWisnow"/>
              <w:rPr>
                <w:color w:val="000000" w:themeColor="text1"/>
              </w:rPr>
            </w:pPr>
            <w:r w:rsidRPr="00286216">
              <w:rPr>
                <w:color w:val="000000" w:themeColor="text1"/>
              </w:rPr>
              <w:t xml:space="preserve">Враховано по суті </w:t>
            </w:r>
          </w:p>
        </w:tc>
        <w:tc>
          <w:tcPr>
            <w:tcW w:w="4818" w:type="dxa"/>
          </w:tcPr>
          <w:p w14:paraId="235C0E53" w14:textId="77777777" w:rsidR="004B55AD" w:rsidRPr="00286216" w:rsidRDefault="004B55AD" w:rsidP="004B55AD">
            <w:pPr>
              <w:pStyle w:val="StyleZakonu"/>
              <w:rPr>
                <w:color w:val="000000" w:themeColor="text1"/>
              </w:rPr>
            </w:pPr>
          </w:p>
        </w:tc>
      </w:tr>
      <w:tr w:rsidR="00F77E8D" w:rsidRPr="00286216" w14:paraId="6566614D" w14:textId="77777777" w:rsidTr="00091AA5">
        <w:tc>
          <w:tcPr>
            <w:tcW w:w="576" w:type="dxa"/>
          </w:tcPr>
          <w:p w14:paraId="5D939EF0" w14:textId="77777777" w:rsidR="004B55AD" w:rsidRPr="00286216" w:rsidRDefault="004B55AD" w:rsidP="004B55AD">
            <w:pPr>
              <w:pStyle w:val="StyleWisnow"/>
              <w:rPr>
                <w:color w:val="000000" w:themeColor="text1"/>
              </w:rPr>
            </w:pPr>
            <w:bookmarkStart w:id="183" w:name="n174" w:colFirst="0" w:colLast="0"/>
            <w:r w:rsidRPr="00286216">
              <w:rPr>
                <w:color w:val="000000" w:themeColor="text1"/>
              </w:rPr>
              <w:t>174.</w:t>
            </w:r>
          </w:p>
        </w:tc>
        <w:tc>
          <w:tcPr>
            <w:tcW w:w="4818" w:type="dxa"/>
          </w:tcPr>
          <w:p w14:paraId="03454D49" w14:textId="77777777" w:rsidR="004B55AD" w:rsidRPr="00286216" w:rsidRDefault="004B55AD" w:rsidP="004B55AD">
            <w:pPr>
              <w:pStyle w:val="StyleZakonu"/>
              <w:rPr>
                <w:color w:val="000000" w:themeColor="text1"/>
              </w:rPr>
            </w:pPr>
            <w:r w:rsidRPr="00286216">
              <w:rPr>
                <w:color w:val="000000" w:themeColor="text1"/>
              </w:rPr>
              <w:t>3) така особа (клієнт) повинна письмово в окремому документі, іншому ніж договір про надання фінансових послуг, зазначити, що вона усвідомлює наслідки застосування до неї положень законодавства щодо кваліфікованих інвесторів.</w:t>
            </w:r>
          </w:p>
        </w:tc>
        <w:tc>
          <w:tcPr>
            <w:tcW w:w="3686" w:type="dxa"/>
          </w:tcPr>
          <w:p w14:paraId="5E26D6BF" w14:textId="7CFE8FF4"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213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4B292CF" w14:textId="5E30D68C" w:rsidR="004B55AD" w:rsidRPr="00286216" w:rsidRDefault="004B55AD" w:rsidP="004B55AD">
            <w:pPr>
              <w:pStyle w:val="StyleProp"/>
              <w:rPr>
                <w:color w:val="000000" w:themeColor="text1"/>
                <w:szCs w:val="18"/>
              </w:rPr>
            </w:pPr>
            <w:r w:rsidRPr="00286216">
              <w:rPr>
                <w:color w:val="000000" w:themeColor="text1"/>
              </w:rPr>
              <w:t>У пункті 3 частини 3 статті 5 слово "зазначити" замінити словом "підтвердити".</w:t>
            </w:r>
          </w:p>
        </w:tc>
        <w:tc>
          <w:tcPr>
            <w:tcW w:w="1987" w:type="dxa"/>
          </w:tcPr>
          <w:p w14:paraId="21B6C5E7" w14:textId="34AC77E3" w:rsidR="004B55AD" w:rsidRPr="00286216" w:rsidRDefault="004B55AD" w:rsidP="004B55AD">
            <w:pPr>
              <w:pStyle w:val="StyleWisnow"/>
              <w:spacing w:line="180" w:lineRule="exact"/>
              <w:rPr>
                <w:color w:val="000000" w:themeColor="text1"/>
              </w:rPr>
            </w:pPr>
            <w:r w:rsidRPr="00286216">
              <w:rPr>
                <w:color w:val="000000" w:themeColor="text1"/>
              </w:rPr>
              <w:t>Враховано</w:t>
            </w:r>
          </w:p>
        </w:tc>
        <w:tc>
          <w:tcPr>
            <w:tcW w:w="4818" w:type="dxa"/>
          </w:tcPr>
          <w:p w14:paraId="7BD2E9F5" w14:textId="147535C2" w:rsidR="004B55AD" w:rsidRPr="00286216" w:rsidRDefault="004B55AD" w:rsidP="004B55AD">
            <w:pPr>
              <w:pStyle w:val="StyleZakonu"/>
              <w:rPr>
                <w:color w:val="000000" w:themeColor="text1"/>
              </w:rPr>
            </w:pPr>
            <w:r w:rsidRPr="00286216">
              <w:rPr>
                <w:color w:val="000000" w:themeColor="text1"/>
              </w:rPr>
              <w:t>3) така особа (клієнт) повинна письмово в окремому документі, іншому</w:t>
            </w:r>
            <w:r w:rsidR="00CC7035" w:rsidRPr="00286216">
              <w:rPr>
                <w:color w:val="000000" w:themeColor="text1"/>
              </w:rPr>
              <w:t>,</w:t>
            </w:r>
            <w:r w:rsidRPr="00286216">
              <w:rPr>
                <w:color w:val="000000" w:themeColor="text1"/>
              </w:rPr>
              <w:t xml:space="preserve"> ніж договір про надання фінансових послуг, підтвердити, що вона усвідомлює наслідки застосування до неї положень законодавства щодо кваліфікованих інвесторів.</w:t>
            </w:r>
          </w:p>
        </w:tc>
      </w:tr>
      <w:tr w:rsidR="00F77E8D" w:rsidRPr="00286216" w14:paraId="5B2F66E8" w14:textId="77777777" w:rsidTr="00091AA5">
        <w:tc>
          <w:tcPr>
            <w:tcW w:w="576" w:type="dxa"/>
          </w:tcPr>
          <w:p w14:paraId="23AFA635" w14:textId="77777777" w:rsidR="004B55AD" w:rsidRPr="00286216" w:rsidRDefault="004B55AD" w:rsidP="004B55AD">
            <w:pPr>
              <w:pStyle w:val="StyleWisnow"/>
              <w:rPr>
                <w:color w:val="000000" w:themeColor="text1"/>
              </w:rPr>
            </w:pPr>
            <w:bookmarkStart w:id="184" w:name="n175" w:colFirst="0" w:colLast="0"/>
            <w:bookmarkEnd w:id="183"/>
            <w:r w:rsidRPr="00286216">
              <w:rPr>
                <w:color w:val="000000" w:themeColor="text1"/>
              </w:rPr>
              <w:t>175.</w:t>
            </w:r>
          </w:p>
        </w:tc>
        <w:tc>
          <w:tcPr>
            <w:tcW w:w="4818" w:type="dxa"/>
          </w:tcPr>
          <w:p w14:paraId="248813ED" w14:textId="77777777" w:rsidR="004B55AD" w:rsidRPr="00286216" w:rsidRDefault="004B55AD" w:rsidP="004B55AD">
            <w:pPr>
              <w:pStyle w:val="StyleZakonu"/>
              <w:rPr>
                <w:color w:val="000000" w:themeColor="text1"/>
              </w:rPr>
            </w:pPr>
            <w:r w:rsidRPr="00286216">
              <w:rPr>
                <w:color w:val="000000" w:themeColor="text1"/>
              </w:rPr>
              <w:t xml:space="preserve">До проведення необхідних процедур щодо визнання особи кваліфікованим інвестором інвестиційна фірма не повинна застосовувати до такої особи положення законодавства щодо кваліфікованих інвесторів при наданні визначеної фінансової послуги та/або стосовно окремого правочину (окремих </w:t>
            </w:r>
            <w:r w:rsidRPr="00286216">
              <w:rPr>
                <w:color w:val="000000" w:themeColor="text1"/>
              </w:rPr>
              <w:lastRenderedPageBreak/>
              <w:t>правочинів) щодо фінансових інструментів.</w:t>
            </w:r>
          </w:p>
        </w:tc>
        <w:tc>
          <w:tcPr>
            <w:tcW w:w="3686" w:type="dxa"/>
          </w:tcPr>
          <w:p w14:paraId="13712851" w14:textId="77777777" w:rsidR="004B55AD" w:rsidRPr="00286216" w:rsidRDefault="004B55AD" w:rsidP="004B55AD">
            <w:pPr>
              <w:spacing w:line="200" w:lineRule="exact"/>
              <w:ind w:firstLine="227"/>
              <w:jc w:val="both"/>
              <w:rPr>
                <w:color w:val="000000" w:themeColor="text1"/>
                <w:sz w:val="18"/>
              </w:rPr>
            </w:pPr>
          </w:p>
        </w:tc>
        <w:tc>
          <w:tcPr>
            <w:tcW w:w="1987" w:type="dxa"/>
          </w:tcPr>
          <w:p w14:paraId="77246E42" w14:textId="77777777" w:rsidR="004B55AD" w:rsidRPr="00286216" w:rsidRDefault="004B55AD" w:rsidP="004B55AD">
            <w:pPr>
              <w:pStyle w:val="StyleWisnow"/>
              <w:spacing w:line="180" w:lineRule="exact"/>
              <w:rPr>
                <w:color w:val="000000" w:themeColor="text1"/>
              </w:rPr>
            </w:pPr>
          </w:p>
        </w:tc>
        <w:tc>
          <w:tcPr>
            <w:tcW w:w="4818" w:type="dxa"/>
          </w:tcPr>
          <w:p w14:paraId="4BA6DB14" w14:textId="2D17D39D" w:rsidR="004B55AD" w:rsidRPr="00286216" w:rsidRDefault="004B55AD" w:rsidP="004B55AD">
            <w:pPr>
              <w:pStyle w:val="StyleZakonu"/>
              <w:rPr>
                <w:color w:val="000000" w:themeColor="text1"/>
              </w:rPr>
            </w:pPr>
            <w:r w:rsidRPr="00286216">
              <w:rPr>
                <w:color w:val="000000" w:themeColor="text1"/>
              </w:rPr>
              <w:t xml:space="preserve">До проведення необхідних процедур щодо визнання особи кваліфікованим інвестором інвестиційна фірма не повинна застосовувати до такої особи положення законодавства щодо кваліфікованих інвесторів при наданні конкретної фінансової послуги та/або стосовно окремого правочину (окремих типів </w:t>
            </w:r>
            <w:r w:rsidRPr="00286216">
              <w:rPr>
                <w:color w:val="000000" w:themeColor="text1"/>
              </w:rPr>
              <w:lastRenderedPageBreak/>
              <w:t>правочинів) щодо фінансових інструментів.</w:t>
            </w:r>
          </w:p>
        </w:tc>
      </w:tr>
      <w:tr w:rsidR="00F77E8D" w:rsidRPr="00286216" w14:paraId="0F81284C" w14:textId="77777777" w:rsidTr="00091AA5">
        <w:tc>
          <w:tcPr>
            <w:tcW w:w="576" w:type="dxa"/>
          </w:tcPr>
          <w:p w14:paraId="448BA78D" w14:textId="77777777" w:rsidR="004B55AD" w:rsidRPr="00286216" w:rsidRDefault="004B55AD" w:rsidP="004B55AD">
            <w:pPr>
              <w:pStyle w:val="StyleWisnow"/>
              <w:rPr>
                <w:color w:val="000000" w:themeColor="text1"/>
              </w:rPr>
            </w:pPr>
            <w:bookmarkStart w:id="185" w:name="n176" w:colFirst="0" w:colLast="0"/>
            <w:bookmarkEnd w:id="184"/>
            <w:r w:rsidRPr="00286216">
              <w:rPr>
                <w:color w:val="000000" w:themeColor="text1"/>
              </w:rPr>
              <w:lastRenderedPageBreak/>
              <w:t>176.</w:t>
            </w:r>
          </w:p>
        </w:tc>
        <w:tc>
          <w:tcPr>
            <w:tcW w:w="4818" w:type="dxa"/>
          </w:tcPr>
          <w:p w14:paraId="3CA79AD3" w14:textId="77777777" w:rsidR="004B55AD" w:rsidRPr="00286216" w:rsidRDefault="004B55AD" w:rsidP="004B55AD">
            <w:pPr>
              <w:pStyle w:val="StyleZakonu"/>
              <w:rPr>
                <w:color w:val="000000" w:themeColor="text1"/>
              </w:rPr>
            </w:pPr>
            <w:r w:rsidRPr="00286216">
              <w:rPr>
                <w:color w:val="000000" w:themeColor="text1"/>
              </w:rPr>
              <w:t>Особа, визнана кваліфікованим інвестором, зобов’язана інформувати інвестиційну фірму про будь-яку зміну, що може вплинути на її невідповідність критеріям, визначеним у цій статті. Однак, у разі якщо інвестиційній фірмі стане відомо, що особа (клієнт) перестала відповідати критеріям, визначеним у цій статті, інвестиційна фірма повинна провести перевірку відповідності особи (клієнта) цим критеріям. Перевірка відповідності особи (клієнта) критеріям, що дають підстави для застосування до неї законодавства щодо кваліфікованих інвесторів, проводиться інвестиційною фірмою не рідше одного разу на квартал.</w:t>
            </w:r>
          </w:p>
        </w:tc>
        <w:tc>
          <w:tcPr>
            <w:tcW w:w="3686" w:type="dxa"/>
          </w:tcPr>
          <w:p w14:paraId="04EB58E3" w14:textId="194B0676"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214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3BDB3D6" w14:textId="387171D9" w:rsidR="004B55AD" w:rsidRPr="00286216" w:rsidRDefault="004B55AD" w:rsidP="00E71C29">
            <w:pPr>
              <w:pStyle w:val="StyleProp"/>
              <w:spacing w:line="180" w:lineRule="exact"/>
              <w:rPr>
                <w:color w:val="000000" w:themeColor="text1"/>
                <w:spacing w:val="-3"/>
              </w:rPr>
            </w:pPr>
            <w:r w:rsidRPr="00286216">
              <w:rPr>
                <w:color w:val="000000" w:themeColor="text1"/>
                <w:spacing w:val="-2"/>
              </w:rPr>
              <w:t xml:space="preserve">Абзац 8 частини 3 статті 5 викласти в такій </w:t>
            </w:r>
            <w:r w:rsidRPr="00286216">
              <w:rPr>
                <w:color w:val="000000" w:themeColor="text1"/>
                <w:spacing w:val="-3"/>
              </w:rPr>
              <w:t>редакції:</w:t>
            </w:r>
          </w:p>
          <w:p w14:paraId="568DCF4D" w14:textId="32CBFA3F" w:rsidR="004B55AD" w:rsidRPr="00286216" w:rsidRDefault="004B55AD" w:rsidP="00E71C29">
            <w:pPr>
              <w:pStyle w:val="StyleProp"/>
              <w:spacing w:line="180" w:lineRule="exact"/>
              <w:rPr>
                <w:color w:val="000000" w:themeColor="text1"/>
                <w:spacing w:val="-3"/>
                <w:szCs w:val="18"/>
              </w:rPr>
            </w:pPr>
            <w:r w:rsidRPr="00286216">
              <w:rPr>
                <w:color w:val="000000" w:themeColor="text1"/>
                <w:spacing w:val="-3"/>
              </w:rPr>
              <w:t>«</w:t>
            </w:r>
            <w:r w:rsidRPr="00286216">
              <w:rPr>
                <w:color w:val="000000" w:themeColor="text1"/>
                <w:spacing w:val="-3"/>
                <w:szCs w:val="18"/>
              </w:rPr>
              <w:t>4. Клієнти, які були визнані кваліфікованими інвесторами, та кваліфіковані інвестори, зазначені у пунктах 5, 6, 7 частини першої цієї статті, зобов’язані інформувати інвестиційну фірму про будь-яку зміну, що може вплинути на їх відповідність критеріям, передбаченим цією статтею.</w:t>
            </w:r>
          </w:p>
          <w:p w14:paraId="1956904C" w14:textId="77777777" w:rsidR="004B55AD" w:rsidRPr="00286216" w:rsidRDefault="004B55AD" w:rsidP="00E71C29">
            <w:pPr>
              <w:pStyle w:val="StyleProp"/>
              <w:spacing w:line="180" w:lineRule="exact"/>
              <w:rPr>
                <w:color w:val="000000" w:themeColor="text1"/>
                <w:spacing w:val="-3"/>
                <w:szCs w:val="18"/>
              </w:rPr>
            </w:pPr>
            <w:r w:rsidRPr="00286216">
              <w:rPr>
                <w:color w:val="000000" w:themeColor="text1"/>
                <w:spacing w:val="-3"/>
                <w:szCs w:val="18"/>
              </w:rPr>
              <w:t>Перевірка відповідності клієнта –кваліфікованого інвестора критеріям, що дають підстави для застосування до нього законодавства щодо кваліфікованих інвесторів, проводиться інвестиційною фірмою:</w:t>
            </w:r>
          </w:p>
          <w:p w14:paraId="28EA667D" w14:textId="77777777" w:rsidR="004B55AD" w:rsidRPr="00286216" w:rsidRDefault="004B55AD" w:rsidP="00E71C29">
            <w:pPr>
              <w:pStyle w:val="StyleProp"/>
              <w:spacing w:line="180" w:lineRule="exact"/>
              <w:rPr>
                <w:color w:val="000000" w:themeColor="text1"/>
                <w:spacing w:val="-3"/>
                <w:szCs w:val="18"/>
              </w:rPr>
            </w:pPr>
            <w:r w:rsidRPr="00286216">
              <w:rPr>
                <w:color w:val="000000" w:themeColor="text1"/>
                <w:spacing w:val="-3"/>
                <w:szCs w:val="18"/>
              </w:rPr>
              <w:t>1) у разі отримання повідомлення клієнта – кваліфікованого інвестора про зміну, що може вплинути на його відповідність критеріям, визначеним цією статтею, – не пізніше завершення наступного робочого дня;</w:t>
            </w:r>
          </w:p>
          <w:p w14:paraId="436A89B3" w14:textId="79546621" w:rsidR="004B55AD" w:rsidRPr="00286216" w:rsidRDefault="004B55AD" w:rsidP="00E71C29">
            <w:pPr>
              <w:pStyle w:val="StyleProp"/>
              <w:spacing w:line="180" w:lineRule="exact"/>
              <w:rPr>
                <w:color w:val="000000" w:themeColor="text1"/>
                <w:spacing w:val="-3"/>
                <w:szCs w:val="18"/>
              </w:rPr>
            </w:pPr>
            <w:r w:rsidRPr="00286216">
              <w:rPr>
                <w:color w:val="000000" w:themeColor="text1"/>
                <w:spacing w:val="-3"/>
                <w:szCs w:val="18"/>
              </w:rPr>
              <w:t>2) у разі якщо клієнта було визнано кваліфікованим інвестором, зокрема, на підставі критерію, передбаченого пунктом 1 частини другої цієї статті, – не менше одного разу на квартал, протягом перших п’яти робочих днів кварталу.</w:t>
            </w:r>
          </w:p>
          <w:p w14:paraId="2CC075C1" w14:textId="741ADBA8" w:rsidR="004B55AD" w:rsidRPr="00286216" w:rsidRDefault="004B55AD" w:rsidP="00E71C29">
            <w:pPr>
              <w:pStyle w:val="StyleProp"/>
              <w:spacing w:line="180" w:lineRule="exact"/>
              <w:rPr>
                <w:rFonts w:eastAsia="Calibri"/>
                <w:color w:val="000000" w:themeColor="text1"/>
                <w:spacing w:val="-3"/>
                <w:szCs w:val="18"/>
              </w:rPr>
            </w:pPr>
            <w:r w:rsidRPr="00286216">
              <w:rPr>
                <w:color w:val="000000" w:themeColor="text1"/>
                <w:spacing w:val="-3"/>
                <w:szCs w:val="18"/>
              </w:rPr>
              <w:t>У разі якщо інвестиційній фірмі стане відомо, що клієнт – кваліфікований інвестор перестав відповідати критеріям, передбаченим у цій статті, інвестиційна фірма повинна з власної ініціативи переглянути статус такого кваліфікованого інвестора</w:t>
            </w:r>
            <w:r w:rsidRPr="00286216">
              <w:rPr>
                <w:color w:val="000000" w:themeColor="text1"/>
                <w:spacing w:val="-3"/>
              </w:rPr>
              <w:t>».</w:t>
            </w:r>
          </w:p>
          <w:p w14:paraId="6E724AEC" w14:textId="3266E1BC"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215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1B12976" w14:textId="77777777" w:rsidR="004B55AD" w:rsidRPr="00286216" w:rsidRDefault="004B55AD" w:rsidP="004B55AD">
            <w:pPr>
              <w:pStyle w:val="StyleProp"/>
              <w:rPr>
                <w:rFonts w:eastAsia="Calibri"/>
                <w:color w:val="000000" w:themeColor="text1"/>
                <w:szCs w:val="18"/>
              </w:rPr>
            </w:pPr>
            <w:r w:rsidRPr="00286216">
              <w:rPr>
                <w:rFonts w:eastAsia="Calibri"/>
                <w:color w:val="000000" w:themeColor="text1"/>
                <w:szCs w:val="18"/>
              </w:rPr>
              <w:t>В абзаці восьмому частини третьої статті 5 друге та третє речення виключити.</w:t>
            </w:r>
          </w:p>
        </w:tc>
        <w:tc>
          <w:tcPr>
            <w:tcW w:w="1987" w:type="dxa"/>
          </w:tcPr>
          <w:p w14:paraId="749052BB"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5FC2B8FB" w14:textId="77777777" w:rsidR="004B55AD" w:rsidRPr="00286216" w:rsidRDefault="004B55AD" w:rsidP="004B55AD">
            <w:pPr>
              <w:pStyle w:val="StyleWisnow"/>
              <w:spacing w:line="180" w:lineRule="exact"/>
              <w:rPr>
                <w:color w:val="000000" w:themeColor="text1"/>
              </w:rPr>
            </w:pPr>
          </w:p>
          <w:p w14:paraId="4C3F687F" w14:textId="77777777" w:rsidR="004B55AD" w:rsidRPr="00286216" w:rsidRDefault="004B55AD" w:rsidP="004B55AD">
            <w:pPr>
              <w:pStyle w:val="StyleWisnow"/>
              <w:spacing w:line="180" w:lineRule="exact"/>
              <w:rPr>
                <w:color w:val="000000" w:themeColor="text1"/>
              </w:rPr>
            </w:pPr>
          </w:p>
          <w:p w14:paraId="3798BEE2" w14:textId="77777777" w:rsidR="004B55AD" w:rsidRPr="00286216" w:rsidRDefault="004B55AD" w:rsidP="004B55AD">
            <w:pPr>
              <w:pStyle w:val="StyleWisnow"/>
              <w:spacing w:line="180" w:lineRule="exact"/>
              <w:rPr>
                <w:color w:val="000000" w:themeColor="text1"/>
              </w:rPr>
            </w:pPr>
          </w:p>
          <w:p w14:paraId="79DFA968" w14:textId="77777777" w:rsidR="004B55AD" w:rsidRPr="00286216" w:rsidRDefault="004B55AD" w:rsidP="004B55AD">
            <w:pPr>
              <w:pStyle w:val="StyleWisnow"/>
              <w:spacing w:line="180" w:lineRule="exact"/>
              <w:rPr>
                <w:color w:val="000000" w:themeColor="text1"/>
              </w:rPr>
            </w:pPr>
          </w:p>
          <w:p w14:paraId="1472FBA9" w14:textId="77777777" w:rsidR="004B55AD" w:rsidRPr="00286216" w:rsidRDefault="004B55AD" w:rsidP="004B55AD">
            <w:pPr>
              <w:pStyle w:val="StyleWisnow"/>
              <w:spacing w:line="180" w:lineRule="exact"/>
              <w:rPr>
                <w:color w:val="000000" w:themeColor="text1"/>
              </w:rPr>
            </w:pPr>
          </w:p>
          <w:p w14:paraId="1A2D460F" w14:textId="77777777" w:rsidR="004B55AD" w:rsidRPr="00286216" w:rsidRDefault="004B55AD" w:rsidP="004B55AD">
            <w:pPr>
              <w:pStyle w:val="StyleWisnow"/>
              <w:spacing w:line="180" w:lineRule="exact"/>
              <w:rPr>
                <w:color w:val="000000" w:themeColor="text1"/>
              </w:rPr>
            </w:pPr>
          </w:p>
          <w:p w14:paraId="55E561C0" w14:textId="77777777" w:rsidR="004B55AD" w:rsidRPr="00286216" w:rsidRDefault="004B55AD" w:rsidP="004B55AD">
            <w:pPr>
              <w:pStyle w:val="StyleWisnow"/>
              <w:spacing w:line="180" w:lineRule="exact"/>
              <w:rPr>
                <w:color w:val="000000" w:themeColor="text1"/>
              </w:rPr>
            </w:pPr>
          </w:p>
          <w:p w14:paraId="5BE3D458" w14:textId="77777777" w:rsidR="004B55AD" w:rsidRPr="00286216" w:rsidRDefault="004B55AD" w:rsidP="004B55AD">
            <w:pPr>
              <w:pStyle w:val="StyleWisnow"/>
              <w:spacing w:line="180" w:lineRule="exact"/>
              <w:rPr>
                <w:color w:val="000000" w:themeColor="text1"/>
              </w:rPr>
            </w:pPr>
          </w:p>
          <w:p w14:paraId="4E562CC1" w14:textId="77777777" w:rsidR="004B55AD" w:rsidRPr="00286216" w:rsidRDefault="004B55AD" w:rsidP="004B55AD">
            <w:pPr>
              <w:pStyle w:val="StyleWisnow"/>
              <w:spacing w:line="180" w:lineRule="exact"/>
              <w:rPr>
                <w:color w:val="000000" w:themeColor="text1"/>
              </w:rPr>
            </w:pPr>
          </w:p>
          <w:p w14:paraId="5AFFBA75" w14:textId="77777777" w:rsidR="004B55AD" w:rsidRPr="00286216" w:rsidRDefault="004B55AD" w:rsidP="004B55AD">
            <w:pPr>
              <w:pStyle w:val="StyleWisnow"/>
              <w:spacing w:line="180" w:lineRule="exact"/>
              <w:rPr>
                <w:color w:val="000000" w:themeColor="text1"/>
              </w:rPr>
            </w:pPr>
          </w:p>
          <w:p w14:paraId="1FA10C3F" w14:textId="77777777" w:rsidR="004B55AD" w:rsidRPr="00286216" w:rsidRDefault="004B55AD" w:rsidP="004B55AD">
            <w:pPr>
              <w:pStyle w:val="StyleWisnow"/>
              <w:spacing w:line="180" w:lineRule="exact"/>
              <w:rPr>
                <w:color w:val="000000" w:themeColor="text1"/>
              </w:rPr>
            </w:pPr>
          </w:p>
          <w:p w14:paraId="005F9C64" w14:textId="77777777" w:rsidR="004B55AD" w:rsidRPr="00286216" w:rsidRDefault="004B55AD" w:rsidP="004B55AD">
            <w:pPr>
              <w:pStyle w:val="StyleWisnow"/>
              <w:spacing w:line="180" w:lineRule="exact"/>
              <w:rPr>
                <w:color w:val="000000" w:themeColor="text1"/>
              </w:rPr>
            </w:pPr>
          </w:p>
          <w:p w14:paraId="6EFF5116" w14:textId="77777777" w:rsidR="004B55AD" w:rsidRPr="00286216" w:rsidRDefault="004B55AD" w:rsidP="004B55AD">
            <w:pPr>
              <w:pStyle w:val="StyleWisnow"/>
              <w:spacing w:line="180" w:lineRule="exact"/>
              <w:rPr>
                <w:color w:val="000000" w:themeColor="text1"/>
              </w:rPr>
            </w:pPr>
          </w:p>
          <w:p w14:paraId="53D6B201" w14:textId="77777777" w:rsidR="004B55AD" w:rsidRPr="00286216" w:rsidRDefault="004B55AD" w:rsidP="004B55AD">
            <w:pPr>
              <w:pStyle w:val="StyleWisnow"/>
              <w:spacing w:line="180" w:lineRule="exact"/>
              <w:rPr>
                <w:color w:val="000000" w:themeColor="text1"/>
              </w:rPr>
            </w:pPr>
          </w:p>
          <w:p w14:paraId="6E779FB6" w14:textId="77777777" w:rsidR="004B55AD" w:rsidRPr="00286216" w:rsidRDefault="004B55AD" w:rsidP="004B55AD">
            <w:pPr>
              <w:pStyle w:val="StyleWisnow"/>
              <w:spacing w:line="180" w:lineRule="exact"/>
              <w:rPr>
                <w:color w:val="000000" w:themeColor="text1"/>
              </w:rPr>
            </w:pPr>
          </w:p>
          <w:p w14:paraId="7E36F0AA" w14:textId="77777777" w:rsidR="004B55AD" w:rsidRPr="00286216" w:rsidRDefault="004B55AD" w:rsidP="004B55AD">
            <w:pPr>
              <w:pStyle w:val="StyleWisnow"/>
              <w:spacing w:line="180" w:lineRule="exact"/>
              <w:rPr>
                <w:color w:val="000000" w:themeColor="text1"/>
              </w:rPr>
            </w:pPr>
          </w:p>
          <w:p w14:paraId="1CBBAB29" w14:textId="77777777" w:rsidR="004B55AD" w:rsidRPr="00286216" w:rsidRDefault="004B55AD" w:rsidP="004B55AD">
            <w:pPr>
              <w:pStyle w:val="StyleWisnow"/>
              <w:spacing w:line="180" w:lineRule="exact"/>
              <w:rPr>
                <w:color w:val="000000" w:themeColor="text1"/>
              </w:rPr>
            </w:pPr>
          </w:p>
          <w:p w14:paraId="66A2120B" w14:textId="77777777" w:rsidR="004B55AD" w:rsidRPr="00286216" w:rsidRDefault="004B55AD" w:rsidP="004B55AD">
            <w:pPr>
              <w:pStyle w:val="StyleWisnow"/>
              <w:spacing w:line="180" w:lineRule="exact"/>
              <w:rPr>
                <w:color w:val="000000" w:themeColor="text1"/>
              </w:rPr>
            </w:pPr>
          </w:p>
          <w:p w14:paraId="729B1B24" w14:textId="77777777" w:rsidR="004B55AD" w:rsidRPr="00286216" w:rsidRDefault="004B55AD" w:rsidP="004B55AD">
            <w:pPr>
              <w:pStyle w:val="StyleWisnow"/>
              <w:spacing w:line="180" w:lineRule="exact"/>
              <w:rPr>
                <w:color w:val="000000" w:themeColor="text1"/>
              </w:rPr>
            </w:pPr>
          </w:p>
          <w:p w14:paraId="436D2A8A" w14:textId="77777777" w:rsidR="004B55AD" w:rsidRPr="00286216" w:rsidRDefault="004B55AD" w:rsidP="004B55AD">
            <w:pPr>
              <w:pStyle w:val="StyleWisnow"/>
              <w:spacing w:line="180" w:lineRule="exact"/>
              <w:rPr>
                <w:color w:val="000000" w:themeColor="text1"/>
              </w:rPr>
            </w:pPr>
          </w:p>
          <w:p w14:paraId="4E05D0B7" w14:textId="77777777" w:rsidR="004B55AD" w:rsidRPr="00286216" w:rsidRDefault="004B55AD" w:rsidP="004B55AD">
            <w:pPr>
              <w:pStyle w:val="StyleWisnow"/>
              <w:spacing w:line="180" w:lineRule="exact"/>
              <w:rPr>
                <w:color w:val="000000" w:themeColor="text1"/>
              </w:rPr>
            </w:pPr>
          </w:p>
          <w:p w14:paraId="5024DB7D" w14:textId="77777777" w:rsidR="004B55AD" w:rsidRPr="00286216" w:rsidRDefault="004B55AD" w:rsidP="004B55AD">
            <w:pPr>
              <w:pStyle w:val="StyleWisnow"/>
              <w:spacing w:line="180" w:lineRule="exact"/>
              <w:rPr>
                <w:color w:val="000000" w:themeColor="text1"/>
              </w:rPr>
            </w:pPr>
          </w:p>
          <w:p w14:paraId="3105308A" w14:textId="77777777" w:rsidR="004B55AD" w:rsidRPr="00286216" w:rsidRDefault="004B55AD" w:rsidP="004B55AD">
            <w:pPr>
              <w:pStyle w:val="StyleWisnow"/>
              <w:spacing w:line="180" w:lineRule="exact"/>
              <w:rPr>
                <w:color w:val="000000" w:themeColor="text1"/>
              </w:rPr>
            </w:pPr>
          </w:p>
          <w:p w14:paraId="2F23E7B7" w14:textId="77777777" w:rsidR="004B55AD" w:rsidRPr="00286216" w:rsidRDefault="004B55AD" w:rsidP="004B55AD">
            <w:pPr>
              <w:pStyle w:val="StyleWisnow"/>
              <w:spacing w:line="180" w:lineRule="exact"/>
              <w:rPr>
                <w:color w:val="000000" w:themeColor="text1"/>
              </w:rPr>
            </w:pPr>
          </w:p>
          <w:p w14:paraId="0F7D1932" w14:textId="77777777" w:rsidR="004B55AD" w:rsidRPr="00286216" w:rsidRDefault="004B55AD" w:rsidP="004B55AD">
            <w:pPr>
              <w:pStyle w:val="StyleWisnow"/>
              <w:spacing w:line="180" w:lineRule="exact"/>
              <w:rPr>
                <w:color w:val="000000" w:themeColor="text1"/>
              </w:rPr>
            </w:pPr>
          </w:p>
          <w:p w14:paraId="4D3C521A" w14:textId="77777777" w:rsidR="004B55AD" w:rsidRPr="00286216" w:rsidRDefault="004B55AD" w:rsidP="004B55AD">
            <w:pPr>
              <w:pStyle w:val="StyleWisnow"/>
              <w:spacing w:line="180" w:lineRule="exact"/>
              <w:rPr>
                <w:color w:val="000000" w:themeColor="text1"/>
              </w:rPr>
            </w:pPr>
          </w:p>
          <w:p w14:paraId="1E269F77" w14:textId="77777777" w:rsidR="004B55AD" w:rsidRPr="00286216" w:rsidRDefault="004B55AD" w:rsidP="004B55AD">
            <w:pPr>
              <w:pStyle w:val="StyleWisnow"/>
              <w:spacing w:line="180" w:lineRule="exact"/>
              <w:rPr>
                <w:color w:val="000000" w:themeColor="text1"/>
              </w:rPr>
            </w:pPr>
          </w:p>
          <w:p w14:paraId="6B96AE0B" w14:textId="77777777" w:rsidR="004B55AD" w:rsidRPr="00286216" w:rsidRDefault="004B55AD" w:rsidP="004B55AD">
            <w:pPr>
              <w:pStyle w:val="StyleWisnow"/>
              <w:spacing w:line="180" w:lineRule="exact"/>
              <w:rPr>
                <w:color w:val="000000" w:themeColor="text1"/>
              </w:rPr>
            </w:pPr>
          </w:p>
          <w:p w14:paraId="33E6908E" w14:textId="20422E8C" w:rsidR="009512C1" w:rsidRPr="00286216" w:rsidRDefault="009512C1" w:rsidP="004B55AD">
            <w:pPr>
              <w:pStyle w:val="StyleWisnow"/>
              <w:spacing w:line="180" w:lineRule="exact"/>
              <w:rPr>
                <w:color w:val="000000" w:themeColor="text1"/>
              </w:rPr>
            </w:pPr>
          </w:p>
          <w:p w14:paraId="26006DA1" w14:textId="77777777" w:rsidR="009512C1" w:rsidRPr="00286216" w:rsidRDefault="009512C1" w:rsidP="004B55AD">
            <w:pPr>
              <w:pStyle w:val="StyleWisnow"/>
              <w:spacing w:line="180" w:lineRule="exact"/>
              <w:rPr>
                <w:color w:val="000000" w:themeColor="text1"/>
              </w:rPr>
            </w:pPr>
          </w:p>
          <w:p w14:paraId="3C0FCDF7" w14:textId="77777777" w:rsidR="004B55AD" w:rsidRPr="00286216" w:rsidRDefault="004B55AD" w:rsidP="004B55AD">
            <w:pPr>
              <w:pStyle w:val="StyleWisnow"/>
              <w:spacing w:line="180" w:lineRule="exact"/>
              <w:rPr>
                <w:color w:val="000000" w:themeColor="text1"/>
              </w:rPr>
            </w:pPr>
          </w:p>
          <w:p w14:paraId="1CDF1181" w14:textId="5FFA365C" w:rsidR="004B55AD" w:rsidRPr="00286216" w:rsidRDefault="004B55AD" w:rsidP="004B55AD">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34AF4BF8" w14:textId="609A4AEA" w:rsidR="004B55AD" w:rsidRPr="00286216" w:rsidRDefault="004B55AD" w:rsidP="004B55AD">
            <w:pPr>
              <w:pStyle w:val="StyleZakonu"/>
              <w:rPr>
                <w:color w:val="000000" w:themeColor="text1"/>
                <w:szCs w:val="18"/>
              </w:rPr>
            </w:pPr>
            <w:r w:rsidRPr="00286216">
              <w:rPr>
                <w:color w:val="000000" w:themeColor="text1"/>
                <w:szCs w:val="18"/>
              </w:rPr>
              <w:t xml:space="preserve">4. Клієнти, визнані кваліфікованими інвесторами, та кваліфіковані інвестори, зазначені у пунктах 5, 6, 7 частини першої цієї статті, зобов’язані інформувати інвестиційну фірму про будь-яку зміну, що може вплинути на їх відповідність критеріям, </w:t>
            </w:r>
            <w:r w:rsidR="00CC7035" w:rsidRPr="00286216">
              <w:rPr>
                <w:color w:val="000000" w:themeColor="text1"/>
                <w:szCs w:val="18"/>
              </w:rPr>
              <w:t xml:space="preserve">визначеним </w:t>
            </w:r>
            <w:r w:rsidRPr="00286216">
              <w:rPr>
                <w:color w:val="000000" w:themeColor="text1"/>
                <w:szCs w:val="18"/>
              </w:rPr>
              <w:t>цією статтею.</w:t>
            </w:r>
          </w:p>
          <w:p w14:paraId="44023539" w14:textId="229AB073" w:rsidR="004B55AD" w:rsidRPr="00286216" w:rsidRDefault="004B55AD" w:rsidP="004B55AD">
            <w:pPr>
              <w:pStyle w:val="StyleZakonu"/>
              <w:rPr>
                <w:color w:val="000000" w:themeColor="text1"/>
                <w:szCs w:val="18"/>
              </w:rPr>
            </w:pPr>
            <w:r w:rsidRPr="00286216">
              <w:rPr>
                <w:color w:val="000000" w:themeColor="text1"/>
                <w:szCs w:val="18"/>
              </w:rPr>
              <w:t>Перевірка відповідності клієнта – кваліфікованого інвестора критеріям, що дають підстави для застосування до нього законодавства щодо кваліфікованих інвесторів, проводиться інвестиційною фірмою:</w:t>
            </w:r>
          </w:p>
          <w:p w14:paraId="23C0942A" w14:textId="165B4871" w:rsidR="004B55AD" w:rsidRPr="00286216" w:rsidRDefault="004B55AD" w:rsidP="004B55AD">
            <w:pPr>
              <w:pStyle w:val="StyleZakonu"/>
              <w:rPr>
                <w:color w:val="000000" w:themeColor="text1"/>
                <w:szCs w:val="18"/>
              </w:rPr>
            </w:pPr>
            <w:r w:rsidRPr="00286216">
              <w:rPr>
                <w:color w:val="000000" w:themeColor="text1"/>
                <w:szCs w:val="18"/>
              </w:rPr>
              <w:t>1) у разі отримання повідомлення клієнта – кваліфікованого інвестора про зміну, що може вплинути на його відповідність критеріям, визначеним цією статтею, – не пізніше завершення наступного робочого дня;</w:t>
            </w:r>
          </w:p>
          <w:p w14:paraId="2E00DB89" w14:textId="1333AEAF" w:rsidR="004B55AD" w:rsidRPr="00286216" w:rsidRDefault="004B55AD" w:rsidP="004B55AD">
            <w:pPr>
              <w:pStyle w:val="StyleZakonu"/>
              <w:rPr>
                <w:color w:val="000000" w:themeColor="text1"/>
                <w:szCs w:val="18"/>
              </w:rPr>
            </w:pPr>
            <w:r w:rsidRPr="00286216">
              <w:rPr>
                <w:color w:val="000000" w:themeColor="text1"/>
                <w:szCs w:val="18"/>
              </w:rPr>
              <w:t>2) у разі якщо клієнта визнано кваліфікованим інвестором, зокрема на підставі критерію, передбаченого пунктом 1 частини другої цієї статті, – не менше одного разу на квартал, протягом перших п’яти робочих днів кварталу.</w:t>
            </w:r>
          </w:p>
          <w:p w14:paraId="71F2ED29" w14:textId="6EC7E411" w:rsidR="004B55AD" w:rsidRPr="00286216" w:rsidRDefault="004B55AD" w:rsidP="00CC7035">
            <w:pPr>
              <w:pStyle w:val="StyleZakonu"/>
              <w:rPr>
                <w:rFonts w:eastAsia="Calibri"/>
                <w:color w:val="000000" w:themeColor="text1"/>
                <w:szCs w:val="18"/>
              </w:rPr>
            </w:pPr>
            <w:r w:rsidRPr="00286216">
              <w:rPr>
                <w:color w:val="000000" w:themeColor="text1"/>
                <w:szCs w:val="18"/>
              </w:rPr>
              <w:t>У разі якщо інвестиційній фірмі стане відомо, що клієнт – кваліфікований інвестор перестав відповідати критеріям, визначеним ці</w:t>
            </w:r>
            <w:r w:rsidR="00CC7035" w:rsidRPr="00286216">
              <w:rPr>
                <w:color w:val="000000" w:themeColor="text1"/>
                <w:szCs w:val="18"/>
              </w:rPr>
              <w:t>єю</w:t>
            </w:r>
            <w:r w:rsidRPr="00286216">
              <w:rPr>
                <w:color w:val="000000" w:themeColor="text1"/>
                <w:szCs w:val="18"/>
              </w:rPr>
              <w:t xml:space="preserve"> статт</w:t>
            </w:r>
            <w:r w:rsidR="00CC7035" w:rsidRPr="00286216">
              <w:rPr>
                <w:color w:val="000000" w:themeColor="text1"/>
                <w:szCs w:val="18"/>
              </w:rPr>
              <w:t>ею</w:t>
            </w:r>
            <w:r w:rsidRPr="00286216">
              <w:rPr>
                <w:color w:val="000000" w:themeColor="text1"/>
                <w:szCs w:val="18"/>
              </w:rPr>
              <w:t>, інвестиційна фірма повинна з власної ініціативи переглянути статус такого кваліфікованого інвестора.</w:t>
            </w:r>
          </w:p>
        </w:tc>
      </w:tr>
      <w:tr w:rsidR="00F77E8D" w:rsidRPr="00286216" w14:paraId="784CFBBD" w14:textId="77777777" w:rsidTr="00091AA5">
        <w:tc>
          <w:tcPr>
            <w:tcW w:w="576" w:type="dxa"/>
          </w:tcPr>
          <w:p w14:paraId="68F39C63" w14:textId="77777777" w:rsidR="004B55AD" w:rsidRPr="00286216" w:rsidRDefault="004B55AD" w:rsidP="004B55AD">
            <w:pPr>
              <w:pStyle w:val="StyleWisnow"/>
              <w:rPr>
                <w:color w:val="000000" w:themeColor="text1"/>
              </w:rPr>
            </w:pPr>
            <w:bookmarkStart w:id="186" w:name="n177" w:colFirst="0" w:colLast="0"/>
            <w:bookmarkEnd w:id="185"/>
            <w:r w:rsidRPr="00286216">
              <w:rPr>
                <w:color w:val="000000" w:themeColor="text1"/>
              </w:rPr>
              <w:t>177.</w:t>
            </w:r>
          </w:p>
        </w:tc>
        <w:tc>
          <w:tcPr>
            <w:tcW w:w="4818" w:type="dxa"/>
          </w:tcPr>
          <w:p w14:paraId="64C36551" w14:textId="77777777" w:rsidR="004B55AD" w:rsidRPr="00286216" w:rsidRDefault="004B55AD" w:rsidP="004B55AD">
            <w:pPr>
              <w:pStyle w:val="StyleZakonu"/>
              <w:rPr>
                <w:color w:val="000000" w:themeColor="text1"/>
              </w:rPr>
            </w:pPr>
            <w:r w:rsidRPr="00286216">
              <w:rPr>
                <w:color w:val="000000" w:themeColor="text1"/>
              </w:rPr>
              <w:t>Незалежно від визнання особи кваліфікованим інвестором, така особа має право у будь-який час подати інвестиційній фірмі письмову заяву про те, що вона бажає, щоб положення законодавства щодо кваліфікованих інвесторів не застосовувалися до неї у майбутньому стосовно окремого правочину (окремих правочинів) щодо фінансових інструментів.</w:t>
            </w:r>
          </w:p>
        </w:tc>
        <w:tc>
          <w:tcPr>
            <w:tcW w:w="3686" w:type="dxa"/>
          </w:tcPr>
          <w:p w14:paraId="3712CF16" w14:textId="77777777" w:rsidR="004B55AD" w:rsidRPr="00286216" w:rsidRDefault="004B55AD" w:rsidP="004B55AD">
            <w:pPr>
              <w:pStyle w:val="StyleProp"/>
              <w:rPr>
                <w:color w:val="000000" w:themeColor="text1"/>
                <w:szCs w:val="18"/>
              </w:rPr>
            </w:pPr>
          </w:p>
        </w:tc>
        <w:tc>
          <w:tcPr>
            <w:tcW w:w="1987" w:type="dxa"/>
          </w:tcPr>
          <w:p w14:paraId="679F3FBA" w14:textId="77777777" w:rsidR="004B55AD" w:rsidRPr="00286216" w:rsidRDefault="004B55AD" w:rsidP="004B55AD">
            <w:pPr>
              <w:pStyle w:val="StyleWisnow"/>
              <w:rPr>
                <w:color w:val="000000" w:themeColor="text1"/>
              </w:rPr>
            </w:pPr>
          </w:p>
        </w:tc>
        <w:tc>
          <w:tcPr>
            <w:tcW w:w="4818" w:type="dxa"/>
          </w:tcPr>
          <w:p w14:paraId="635CC060" w14:textId="567021F8" w:rsidR="004B55AD" w:rsidRPr="00286216" w:rsidRDefault="004B55AD" w:rsidP="004B55AD">
            <w:pPr>
              <w:pStyle w:val="StyleZakonu"/>
              <w:rPr>
                <w:color w:val="000000" w:themeColor="text1"/>
              </w:rPr>
            </w:pPr>
            <w:r w:rsidRPr="00286216">
              <w:rPr>
                <w:color w:val="000000" w:themeColor="text1"/>
              </w:rPr>
              <w:t>Незалежно від визнання особи кваліфікованим інвестором така особа має право у будь-який час подати інвестиційній фірмі письмову заяву про те, що вона бажає, щоб положення законодавства щодо кваліфікованих інвесторів не застосовувалися до неї у майбутньому стосовно окремого правочину (окремих типів правочинів) щодо фінансових інструментів.</w:t>
            </w:r>
          </w:p>
        </w:tc>
      </w:tr>
      <w:tr w:rsidR="00F77E8D" w:rsidRPr="00286216" w14:paraId="5E527B7A" w14:textId="77777777" w:rsidTr="00091AA5">
        <w:tc>
          <w:tcPr>
            <w:tcW w:w="576" w:type="dxa"/>
          </w:tcPr>
          <w:p w14:paraId="3C626BD6" w14:textId="77777777" w:rsidR="004B55AD" w:rsidRPr="00286216" w:rsidRDefault="004B55AD" w:rsidP="004B55AD">
            <w:pPr>
              <w:pStyle w:val="StyleWisnow"/>
              <w:rPr>
                <w:color w:val="000000" w:themeColor="text1"/>
              </w:rPr>
            </w:pPr>
            <w:bookmarkStart w:id="187" w:name="n178" w:colFirst="0" w:colLast="0"/>
            <w:bookmarkEnd w:id="186"/>
            <w:r w:rsidRPr="00286216">
              <w:rPr>
                <w:color w:val="000000" w:themeColor="text1"/>
              </w:rPr>
              <w:t>178.</w:t>
            </w:r>
          </w:p>
        </w:tc>
        <w:tc>
          <w:tcPr>
            <w:tcW w:w="4818" w:type="dxa"/>
          </w:tcPr>
          <w:p w14:paraId="26CFB30E" w14:textId="77777777" w:rsidR="004B55AD" w:rsidRPr="00286216" w:rsidRDefault="004B55AD" w:rsidP="004B55AD">
            <w:pPr>
              <w:pStyle w:val="StyleZakonu"/>
              <w:rPr>
                <w:color w:val="000000" w:themeColor="text1"/>
              </w:rPr>
            </w:pPr>
            <w:r w:rsidRPr="00286216">
              <w:rPr>
                <w:color w:val="000000" w:themeColor="text1"/>
              </w:rPr>
              <w:t>4. Інвестори, які не є або не були визнані кваліфікованими, є некваліфікованими інвесторами.</w:t>
            </w:r>
          </w:p>
        </w:tc>
        <w:tc>
          <w:tcPr>
            <w:tcW w:w="3686" w:type="dxa"/>
          </w:tcPr>
          <w:p w14:paraId="0914F06A" w14:textId="77777777" w:rsidR="004B55AD" w:rsidRPr="00286216" w:rsidRDefault="004B55AD" w:rsidP="004B55AD">
            <w:pPr>
              <w:pStyle w:val="StyleProp"/>
              <w:rPr>
                <w:color w:val="000000" w:themeColor="text1"/>
                <w:szCs w:val="18"/>
              </w:rPr>
            </w:pPr>
          </w:p>
        </w:tc>
        <w:tc>
          <w:tcPr>
            <w:tcW w:w="1987" w:type="dxa"/>
          </w:tcPr>
          <w:p w14:paraId="0357BB33" w14:textId="77777777" w:rsidR="004B55AD" w:rsidRPr="00286216" w:rsidRDefault="004B55AD" w:rsidP="004B55AD">
            <w:pPr>
              <w:pStyle w:val="StyleWisnow"/>
              <w:rPr>
                <w:color w:val="000000" w:themeColor="text1"/>
              </w:rPr>
            </w:pPr>
          </w:p>
        </w:tc>
        <w:tc>
          <w:tcPr>
            <w:tcW w:w="4818" w:type="dxa"/>
          </w:tcPr>
          <w:p w14:paraId="57B538D7" w14:textId="7B012109" w:rsidR="004B55AD" w:rsidRPr="00286216" w:rsidRDefault="004B55AD" w:rsidP="004B55AD">
            <w:pPr>
              <w:pStyle w:val="StyleZakonu"/>
              <w:rPr>
                <w:color w:val="000000" w:themeColor="text1"/>
              </w:rPr>
            </w:pPr>
            <w:r w:rsidRPr="00286216">
              <w:rPr>
                <w:color w:val="000000" w:themeColor="text1"/>
              </w:rPr>
              <w:t>5. Інвестори, які не є або не були визнані кваліфікованими, є некваліфікованими інвесторами.</w:t>
            </w:r>
          </w:p>
        </w:tc>
      </w:tr>
      <w:bookmarkEnd w:id="187"/>
      <w:tr w:rsidR="00F77E8D" w:rsidRPr="00286216" w14:paraId="11CFE54E" w14:textId="77777777" w:rsidTr="00091AA5">
        <w:tc>
          <w:tcPr>
            <w:tcW w:w="576" w:type="dxa"/>
          </w:tcPr>
          <w:p w14:paraId="1D57DC53" w14:textId="77777777" w:rsidR="004B55AD" w:rsidRPr="00286216" w:rsidRDefault="004B55AD" w:rsidP="004B55AD">
            <w:pPr>
              <w:pStyle w:val="StyleWisnow"/>
              <w:rPr>
                <w:color w:val="000000" w:themeColor="text1"/>
              </w:rPr>
            </w:pPr>
          </w:p>
        </w:tc>
        <w:tc>
          <w:tcPr>
            <w:tcW w:w="4818" w:type="dxa"/>
          </w:tcPr>
          <w:p w14:paraId="4EAC304C" w14:textId="77777777" w:rsidR="004B55AD" w:rsidRPr="00286216" w:rsidRDefault="004B55AD" w:rsidP="004B55AD">
            <w:pPr>
              <w:pStyle w:val="StyleProp"/>
              <w:rPr>
                <w:color w:val="000000" w:themeColor="text1"/>
              </w:rPr>
            </w:pPr>
          </w:p>
        </w:tc>
        <w:tc>
          <w:tcPr>
            <w:tcW w:w="3686" w:type="dxa"/>
          </w:tcPr>
          <w:p w14:paraId="3EC5ACC6" w14:textId="1D07AB14"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216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082079D" w14:textId="77777777" w:rsidR="004B55AD" w:rsidRPr="00286216" w:rsidRDefault="004B55AD" w:rsidP="004B55AD">
            <w:pPr>
              <w:pStyle w:val="StyleAwt"/>
              <w:rPr>
                <w:color w:val="000000" w:themeColor="text1"/>
                <w:spacing w:val="-4"/>
              </w:rPr>
            </w:pPr>
            <w:r w:rsidRPr="00286216">
              <w:rPr>
                <w:color w:val="000000" w:themeColor="text1"/>
                <w:spacing w:val="-4"/>
              </w:rPr>
              <w:t xml:space="preserve">    Н.д.Гетманцев Д.О.(Реєстр.картка №245)</w:t>
            </w:r>
          </w:p>
          <w:p w14:paraId="576AEA26" w14:textId="77777777" w:rsidR="004B55AD" w:rsidRPr="00286216" w:rsidRDefault="004B55AD" w:rsidP="004B55AD">
            <w:pPr>
              <w:pStyle w:val="StyleProp"/>
              <w:rPr>
                <w:color w:val="000000" w:themeColor="text1"/>
              </w:rPr>
            </w:pPr>
            <w:r w:rsidRPr="00286216">
              <w:rPr>
                <w:color w:val="000000" w:themeColor="text1"/>
              </w:rPr>
              <w:t>Доповнити статею 5-1 такого змісту:</w:t>
            </w:r>
          </w:p>
          <w:p w14:paraId="3BA5A506" w14:textId="77777777" w:rsidR="004B55AD" w:rsidRPr="00286216" w:rsidRDefault="004B55AD" w:rsidP="004B55AD">
            <w:pPr>
              <w:pStyle w:val="StyleProp"/>
              <w:rPr>
                <w:color w:val="000000" w:themeColor="text1"/>
              </w:rPr>
            </w:pPr>
            <w:r w:rsidRPr="00286216">
              <w:rPr>
                <w:color w:val="000000" w:themeColor="text1"/>
              </w:rPr>
              <w:t>"Стаття 5-1. Фінансові інструменти</w:t>
            </w:r>
          </w:p>
          <w:p w14:paraId="5CB89C43" w14:textId="77777777" w:rsidR="004B55AD" w:rsidRPr="00286216" w:rsidRDefault="004B55AD" w:rsidP="004B55AD">
            <w:pPr>
              <w:pStyle w:val="StyleProp"/>
              <w:rPr>
                <w:color w:val="000000" w:themeColor="text1"/>
              </w:rPr>
            </w:pPr>
            <w:r w:rsidRPr="00286216">
              <w:rPr>
                <w:color w:val="000000" w:themeColor="text1"/>
              </w:rPr>
              <w:t>1. Фінансовими інструментами є:</w:t>
            </w:r>
          </w:p>
          <w:p w14:paraId="314FA250" w14:textId="77777777" w:rsidR="004B55AD" w:rsidRPr="00286216" w:rsidRDefault="004B55AD" w:rsidP="004B55AD">
            <w:pPr>
              <w:pStyle w:val="StyleProp"/>
              <w:rPr>
                <w:color w:val="000000" w:themeColor="text1"/>
              </w:rPr>
            </w:pPr>
            <w:r w:rsidRPr="00286216">
              <w:rPr>
                <w:color w:val="000000" w:themeColor="text1"/>
              </w:rPr>
              <w:t xml:space="preserve">1) цінні папери, в тому числі цінні папери </w:t>
            </w:r>
            <w:r w:rsidRPr="00286216">
              <w:rPr>
                <w:color w:val="000000" w:themeColor="text1"/>
              </w:rPr>
              <w:lastRenderedPageBreak/>
              <w:t>інститутів спільного інвестування;</w:t>
            </w:r>
          </w:p>
          <w:p w14:paraId="5712A716" w14:textId="77777777" w:rsidR="004B55AD" w:rsidRPr="00286216" w:rsidRDefault="004B55AD" w:rsidP="004B55AD">
            <w:pPr>
              <w:pStyle w:val="StyleProp"/>
              <w:rPr>
                <w:color w:val="000000" w:themeColor="text1"/>
              </w:rPr>
            </w:pPr>
            <w:r w:rsidRPr="00286216">
              <w:rPr>
                <w:color w:val="000000" w:themeColor="text1"/>
              </w:rPr>
              <w:t>2) інструменти грошового ринку;</w:t>
            </w:r>
          </w:p>
          <w:p w14:paraId="01A0D089" w14:textId="77777777" w:rsidR="004B55AD" w:rsidRPr="00286216" w:rsidRDefault="004B55AD" w:rsidP="004B55AD">
            <w:pPr>
              <w:pStyle w:val="StyleProp"/>
              <w:rPr>
                <w:color w:val="000000" w:themeColor="text1"/>
              </w:rPr>
            </w:pPr>
            <w:r w:rsidRPr="00286216">
              <w:rPr>
                <w:color w:val="000000" w:themeColor="text1"/>
              </w:rPr>
              <w:t>3) опціони, ф’ючерси, свопи, контракти на майбутню відсоткову ставку та будь-які інші деривативні контракти, базовим активом яких є цінні папери, валюта або інші деривативні контракти, базовим показником яких є процентні ставки, дохідність, індекси або курс, та які можуть бути виконані у вигляді фізичної поставки (поставні деривативні контракти) або розрахунків (розрахункові деривативні контракти);</w:t>
            </w:r>
          </w:p>
          <w:p w14:paraId="116CCD92" w14:textId="77777777" w:rsidR="004B55AD" w:rsidRPr="00286216" w:rsidRDefault="004B55AD" w:rsidP="004B55AD">
            <w:pPr>
              <w:pStyle w:val="StyleProp"/>
              <w:rPr>
                <w:color w:val="000000" w:themeColor="text1"/>
              </w:rPr>
            </w:pPr>
            <w:r w:rsidRPr="00286216">
              <w:rPr>
                <w:color w:val="000000" w:themeColor="text1"/>
              </w:rPr>
              <w:t>4) опціони, ф’ючерси, свопи, форварди та інші деривативні контракти, базовим активом яких є продукція, які мають або можуть бути виконані у вигляді розрахунків за вибором однієї зі сторін (змішані деривативні контракти), окрім випадків неплатоспроможності або інших випадків припинення зобов’язань;</w:t>
            </w:r>
          </w:p>
          <w:p w14:paraId="16171D8E" w14:textId="77777777" w:rsidR="004B55AD" w:rsidRPr="00286216" w:rsidRDefault="004B55AD" w:rsidP="004B55AD">
            <w:pPr>
              <w:pStyle w:val="StyleProp"/>
              <w:rPr>
                <w:color w:val="000000" w:themeColor="text1"/>
              </w:rPr>
            </w:pPr>
            <w:r w:rsidRPr="00286216">
              <w:rPr>
                <w:color w:val="000000" w:themeColor="text1"/>
              </w:rPr>
              <w:t>5) опціони, ф’ючерси, свопи та інші деривативні контракти базовим активом яких є продукція, що укладаються на торгівельних майданчиках та які можуть бути виконані у вигляді фізичної поставки (поставні деривативні контракти), окрім контрактів (договорів) передбачених частиною другою цієї статті;</w:t>
            </w:r>
          </w:p>
          <w:p w14:paraId="0FD58274" w14:textId="77777777" w:rsidR="004B55AD" w:rsidRPr="00286216" w:rsidRDefault="004B55AD" w:rsidP="004B55AD">
            <w:pPr>
              <w:pStyle w:val="StyleProp"/>
              <w:rPr>
                <w:color w:val="000000" w:themeColor="text1"/>
              </w:rPr>
            </w:pPr>
            <w:r w:rsidRPr="00286216">
              <w:rPr>
                <w:color w:val="000000" w:themeColor="text1"/>
              </w:rPr>
              <w:t>6) опціони, ф’ючерси, свопи, форварди та інші деривативні контракти, базовим активом яких є продукція, які можуть бути виконані у вигляді фізичної поставки (поставні деривативні контракти), та які не зазначені у підпункті 5 цієї частини, укладаються не в комерційних цілях та мають характеристики іншого деривативного фінансового інструменту;</w:t>
            </w:r>
          </w:p>
          <w:p w14:paraId="0CFA5E45" w14:textId="77777777" w:rsidR="004B55AD" w:rsidRPr="00286216" w:rsidRDefault="004B55AD" w:rsidP="004B55AD">
            <w:pPr>
              <w:pStyle w:val="StyleProp"/>
              <w:rPr>
                <w:color w:val="000000" w:themeColor="text1"/>
              </w:rPr>
            </w:pPr>
            <w:r w:rsidRPr="00286216">
              <w:rPr>
                <w:color w:val="000000" w:themeColor="text1"/>
              </w:rPr>
              <w:t>7) деривативні фінансові інструменти , що передбачають передачу кредитного ризику, зокрема кредитні ноти та кредитні дефолтні свопи;</w:t>
            </w:r>
          </w:p>
          <w:p w14:paraId="7BFF28C9" w14:textId="77777777" w:rsidR="004B55AD" w:rsidRPr="00286216" w:rsidRDefault="004B55AD" w:rsidP="004B55AD">
            <w:pPr>
              <w:pStyle w:val="StyleProp"/>
              <w:rPr>
                <w:color w:val="000000" w:themeColor="text1"/>
              </w:rPr>
            </w:pPr>
            <w:r w:rsidRPr="00286216">
              <w:rPr>
                <w:color w:val="000000" w:themeColor="text1"/>
              </w:rPr>
              <w:t>9) фінансові контракти на різницю цін;</w:t>
            </w:r>
          </w:p>
          <w:p w14:paraId="06CC938F" w14:textId="77777777" w:rsidR="004B55AD" w:rsidRPr="00286216" w:rsidRDefault="004B55AD" w:rsidP="004B55AD">
            <w:pPr>
              <w:pStyle w:val="StyleProp"/>
              <w:rPr>
                <w:color w:val="000000" w:themeColor="text1"/>
              </w:rPr>
            </w:pPr>
            <w:r w:rsidRPr="00286216">
              <w:rPr>
                <w:color w:val="000000" w:themeColor="text1"/>
              </w:rPr>
              <w:t xml:space="preserve">10) опціони, ф’ючерси, свопи, контракти на майбутню відсоткову ставку та будь-які інші деривативні контракти, що стосуються кліматичних параметрів, ставок фрахту, показників інфляції або інші показники економічної статистики, які мають бути виконані у вигляді розрахунків (розрахункові деривативні контракти) або можуть бути </w:t>
            </w:r>
            <w:r w:rsidRPr="00286216">
              <w:rPr>
                <w:color w:val="000000" w:themeColor="text1"/>
              </w:rPr>
              <w:lastRenderedPageBreak/>
              <w:t>виконані у вигляді розрахунків за вибором однієї зі сторін (змішані деривативні контракти), окрім випадків неплатоспроможності або інших випадків припинення зобов’язань;</w:t>
            </w:r>
          </w:p>
          <w:p w14:paraId="71457970" w14:textId="77777777" w:rsidR="004B55AD" w:rsidRPr="00286216" w:rsidRDefault="004B55AD" w:rsidP="004B55AD">
            <w:pPr>
              <w:pStyle w:val="StyleProp"/>
              <w:rPr>
                <w:color w:val="000000" w:themeColor="text1"/>
              </w:rPr>
            </w:pPr>
            <w:r w:rsidRPr="00286216">
              <w:rPr>
                <w:color w:val="000000" w:themeColor="text1"/>
              </w:rPr>
              <w:t>11) деривативні контракти, що стосуються активів, прав, зобов'язань, індексів, курсів, які не зазначені у цій частині та які мають характеристики іншого деривативчного фінансового інструменту, у тому числі, які укладаються на регульованому ринку, ОТМ або БТМ;</w:t>
            </w:r>
          </w:p>
          <w:p w14:paraId="1150A923" w14:textId="77777777" w:rsidR="004B55AD" w:rsidRPr="00286216" w:rsidRDefault="004B55AD" w:rsidP="004B55AD">
            <w:pPr>
              <w:pStyle w:val="StyleProp"/>
              <w:rPr>
                <w:color w:val="000000" w:themeColor="text1"/>
              </w:rPr>
            </w:pPr>
            <w:r w:rsidRPr="00286216">
              <w:rPr>
                <w:color w:val="000000" w:themeColor="text1"/>
              </w:rPr>
              <w:t>2. Не є фінансовими інструментами:</w:t>
            </w:r>
          </w:p>
          <w:p w14:paraId="5E756979" w14:textId="77777777" w:rsidR="004B55AD" w:rsidRPr="00286216" w:rsidRDefault="004B55AD" w:rsidP="004B55AD">
            <w:pPr>
              <w:pStyle w:val="StyleProp"/>
              <w:rPr>
                <w:color w:val="000000" w:themeColor="text1"/>
              </w:rPr>
            </w:pPr>
            <w:r w:rsidRPr="00286216">
              <w:rPr>
                <w:color w:val="000000" w:themeColor="text1"/>
              </w:rPr>
              <w:t>1) контракти (договори) щодо оптових енергетичних продуктів, що укладаються на ОТМ, поза організованим ринком або на будь-якому торгівельному майданчику/місці (централізованому чи децентралізованому організованому ринку), які не є БТМ чи регульованим ринком, та щодо яких поставка є обов’язковою, у тому числі контракти на різницю цін щодо енергетичних продуктів/послуг;</w:t>
            </w:r>
          </w:p>
          <w:p w14:paraId="595C24EA" w14:textId="77777777" w:rsidR="004B55AD" w:rsidRPr="00286216" w:rsidRDefault="004B55AD" w:rsidP="004B55AD">
            <w:pPr>
              <w:pStyle w:val="StyleProp"/>
              <w:rPr>
                <w:color w:val="000000" w:themeColor="text1"/>
              </w:rPr>
            </w:pPr>
            <w:r w:rsidRPr="00286216">
              <w:rPr>
                <w:color w:val="000000" w:themeColor="text1"/>
              </w:rPr>
              <w:t>2) поставні опціони, ф’ючерси, свопи, форварди та інші деривативні контракти, базовим активом яких є продукція, не зазначені у пункті 6 частини першої цієї статті, що укладаються в комерційних цілях та не мають характеристики іншого деривативного фінансового інструменту.</w:t>
            </w:r>
          </w:p>
          <w:p w14:paraId="3F011CAB" w14:textId="77777777" w:rsidR="004B55AD" w:rsidRPr="00286216" w:rsidRDefault="004B55AD" w:rsidP="004B55AD">
            <w:pPr>
              <w:pStyle w:val="StyleProp"/>
              <w:rPr>
                <w:color w:val="000000" w:themeColor="text1"/>
              </w:rPr>
            </w:pPr>
            <w:r w:rsidRPr="00286216">
              <w:rPr>
                <w:color w:val="000000" w:themeColor="text1"/>
              </w:rPr>
              <w:t>3) товарні спот-контракти незалежно від майданчика/місця торгівлі (ринку на якому вони торгуються);</w:t>
            </w:r>
          </w:p>
          <w:p w14:paraId="28B5A909" w14:textId="77777777" w:rsidR="004B55AD" w:rsidRPr="00286216" w:rsidRDefault="004B55AD" w:rsidP="004B55AD">
            <w:pPr>
              <w:pStyle w:val="StyleProp"/>
              <w:rPr>
                <w:color w:val="000000" w:themeColor="text1"/>
              </w:rPr>
            </w:pPr>
            <w:r w:rsidRPr="00286216">
              <w:rPr>
                <w:color w:val="000000" w:themeColor="text1"/>
              </w:rPr>
              <w:t>4) товарні форвардні контракти (договори) з фізичною поставкою, торгівля якими здійснюється на майданчиках/ринках інших ніж БТМ та регульований ринок.</w:t>
            </w:r>
          </w:p>
          <w:p w14:paraId="5C227ABC" w14:textId="77777777" w:rsidR="004B55AD" w:rsidRPr="00286216" w:rsidRDefault="004B55AD" w:rsidP="004B55AD">
            <w:pPr>
              <w:pStyle w:val="StyleProp"/>
              <w:rPr>
                <w:color w:val="000000" w:themeColor="text1"/>
              </w:rPr>
            </w:pPr>
            <w:r w:rsidRPr="00286216">
              <w:rPr>
                <w:color w:val="000000" w:themeColor="text1"/>
              </w:rPr>
              <w:t>3. Інструменти грошового ринку – казначейські зобов’язання України, ощадні сертифікати банку, депозитні сертифікати банку, векселі, а також інші інструменти (в тому числі цінні папери), що мають всі з таких характеристик:</w:t>
            </w:r>
          </w:p>
          <w:p w14:paraId="31CB6E8A" w14:textId="77777777" w:rsidR="004B55AD" w:rsidRPr="00286216" w:rsidRDefault="004B55AD" w:rsidP="004B55AD">
            <w:pPr>
              <w:pStyle w:val="StyleProp"/>
              <w:rPr>
                <w:color w:val="000000" w:themeColor="text1"/>
              </w:rPr>
            </w:pPr>
            <w:r w:rsidRPr="00286216">
              <w:rPr>
                <w:color w:val="000000" w:themeColor="text1"/>
              </w:rPr>
              <w:t>1) мають вартість, що може бути визначена у будь-який момент часу;</w:t>
            </w:r>
          </w:p>
          <w:p w14:paraId="645C81B7" w14:textId="76BC26C5" w:rsidR="004B55AD" w:rsidRPr="00286216" w:rsidRDefault="004B55AD" w:rsidP="004B55AD">
            <w:pPr>
              <w:pStyle w:val="StyleProp"/>
              <w:rPr>
                <w:color w:val="000000" w:themeColor="text1"/>
              </w:rPr>
            </w:pPr>
            <w:r w:rsidRPr="00286216">
              <w:rPr>
                <w:color w:val="000000" w:themeColor="text1"/>
              </w:rPr>
              <w:t>2) не є деривативними фінансовими інструментами;</w:t>
            </w:r>
          </w:p>
          <w:p w14:paraId="4BE944AA" w14:textId="77777777" w:rsidR="004B55AD" w:rsidRPr="00286216" w:rsidRDefault="004B55AD" w:rsidP="004B55AD">
            <w:pPr>
              <w:pStyle w:val="StyleProp"/>
              <w:rPr>
                <w:color w:val="000000" w:themeColor="text1"/>
              </w:rPr>
            </w:pPr>
            <w:r w:rsidRPr="00286216">
              <w:rPr>
                <w:color w:val="000000" w:themeColor="text1"/>
              </w:rPr>
              <w:t>3) мають період до погашення в момент емісії (видачі) 397 днів або менше.</w:t>
            </w:r>
          </w:p>
          <w:p w14:paraId="4EFBF8E9" w14:textId="77777777" w:rsidR="004B55AD" w:rsidRPr="00286216" w:rsidRDefault="004B55AD" w:rsidP="004B55AD">
            <w:pPr>
              <w:pStyle w:val="StyleProp"/>
              <w:rPr>
                <w:color w:val="000000" w:themeColor="text1"/>
              </w:rPr>
            </w:pPr>
            <w:r w:rsidRPr="00286216">
              <w:rPr>
                <w:color w:val="000000" w:themeColor="text1"/>
              </w:rPr>
              <w:t xml:space="preserve">4. Для цілей цієї статті оптовим </w:t>
            </w:r>
            <w:r w:rsidRPr="00286216">
              <w:rPr>
                <w:color w:val="000000" w:themeColor="text1"/>
              </w:rPr>
              <w:lastRenderedPageBreak/>
              <w:t>енергетичним продуктом є:</w:t>
            </w:r>
          </w:p>
          <w:p w14:paraId="3388E39A" w14:textId="77777777" w:rsidR="004B55AD" w:rsidRPr="00286216" w:rsidRDefault="004B55AD" w:rsidP="004B55AD">
            <w:pPr>
              <w:pStyle w:val="StyleProp"/>
              <w:rPr>
                <w:color w:val="000000" w:themeColor="text1"/>
              </w:rPr>
            </w:pPr>
            <w:r w:rsidRPr="00286216">
              <w:rPr>
                <w:color w:val="000000" w:themeColor="text1"/>
              </w:rPr>
              <w:t>1) договори купівлі-продажу електричної енергії або природного газу з фізичною поставкою в Україні;</w:t>
            </w:r>
          </w:p>
          <w:p w14:paraId="2590666F" w14:textId="77777777" w:rsidR="004B55AD" w:rsidRPr="00286216" w:rsidRDefault="004B55AD" w:rsidP="004B55AD">
            <w:pPr>
              <w:pStyle w:val="StyleProp"/>
              <w:rPr>
                <w:color w:val="000000" w:themeColor="text1"/>
              </w:rPr>
            </w:pPr>
            <w:r w:rsidRPr="00286216">
              <w:rPr>
                <w:color w:val="000000" w:themeColor="text1"/>
              </w:rPr>
              <w:t>2) деривативні контракти базовим активом яких є електрична енергія або природний газ, що виробляються (видобуваються), постачаються, або торгівля якими здійснюється в Україні або в Енергетичному Співтоваристві;</w:t>
            </w:r>
          </w:p>
          <w:p w14:paraId="2FB681D9" w14:textId="77777777" w:rsidR="004B55AD" w:rsidRPr="00286216" w:rsidRDefault="004B55AD" w:rsidP="004B55AD">
            <w:pPr>
              <w:pStyle w:val="StyleProp"/>
              <w:rPr>
                <w:color w:val="000000" w:themeColor="text1"/>
              </w:rPr>
            </w:pPr>
            <w:r w:rsidRPr="00286216">
              <w:rPr>
                <w:color w:val="000000" w:themeColor="text1"/>
              </w:rPr>
              <w:t>3) деривативні контракти щодо передачі/транспортування або розподілу електричної енергії або природного газу в Україні або в Енергетичному Співтоваристві;</w:t>
            </w:r>
          </w:p>
          <w:p w14:paraId="07A02D4A" w14:textId="77777777" w:rsidR="004B55AD" w:rsidRPr="00286216" w:rsidRDefault="004B55AD" w:rsidP="004B55AD">
            <w:pPr>
              <w:pStyle w:val="StyleProp"/>
              <w:rPr>
                <w:color w:val="000000" w:themeColor="text1"/>
              </w:rPr>
            </w:pPr>
            <w:r w:rsidRPr="00286216">
              <w:rPr>
                <w:color w:val="000000" w:themeColor="text1"/>
              </w:rPr>
              <w:t>4) контракти/договори (правочини) щодо транспортування/передачі або розподілу природного газу або електричної енергії;</w:t>
            </w:r>
          </w:p>
          <w:p w14:paraId="26F61FFD" w14:textId="13B004E7" w:rsidR="004B55AD" w:rsidRPr="00286216" w:rsidRDefault="004B55AD" w:rsidP="004B55AD">
            <w:pPr>
              <w:pStyle w:val="StyleProp"/>
              <w:rPr>
                <w:color w:val="000000" w:themeColor="text1"/>
              </w:rPr>
            </w:pPr>
            <w:r w:rsidRPr="00286216">
              <w:rPr>
                <w:color w:val="000000" w:themeColor="text1"/>
              </w:rPr>
              <w:t>5) договори постачання та розподілу електричної енергії або природного газу кінцевим споживачам, у разі якщо сумарна максимальна потужність споживання електричної енергії або газу установками кінцевого споживача перевищує порогові значення, визначені нормативно-правовими актами Національної комісії, що здійснює державне регулювання у сферах енергетики та комунальних послуг.</w:t>
            </w:r>
          </w:p>
          <w:p w14:paraId="4B35F7EA" w14:textId="77777777" w:rsidR="004B55AD" w:rsidRPr="00286216" w:rsidRDefault="004B55AD" w:rsidP="004B55AD">
            <w:pPr>
              <w:pStyle w:val="StyleProp"/>
              <w:rPr>
                <w:color w:val="000000" w:themeColor="text1"/>
              </w:rPr>
            </w:pPr>
            <w:r w:rsidRPr="00286216">
              <w:rPr>
                <w:color w:val="000000" w:themeColor="text1"/>
              </w:rPr>
              <w:t>5. Для цілей цієї статті фізичною поставкою продукції, що є предметом договору, є зокрема:</w:t>
            </w:r>
          </w:p>
          <w:p w14:paraId="70749F07" w14:textId="77777777" w:rsidR="004B55AD" w:rsidRPr="00286216" w:rsidRDefault="004B55AD" w:rsidP="004B55AD">
            <w:pPr>
              <w:pStyle w:val="StyleProp"/>
              <w:rPr>
                <w:color w:val="000000" w:themeColor="text1"/>
              </w:rPr>
            </w:pPr>
            <w:r w:rsidRPr="00286216">
              <w:rPr>
                <w:color w:val="000000" w:themeColor="text1"/>
              </w:rPr>
              <w:t>1) фактична поставка предмету договору;</w:t>
            </w:r>
          </w:p>
          <w:p w14:paraId="4505B346" w14:textId="5349FDC3" w:rsidR="004B55AD" w:rsidRPr="00286216" w:rsidRDefault="004B55AD" w:rsidP="004B55AD">
            <w:pPr>
              <w:pStyle w:val="StyleProp"/>
              <w:rPr>
                <w:color w:val="000000" w:themeColor="text1"/>
              </w:rPr>
            </w:pPr>
            <w:r w:rsidRPr="00286216">
              <w:rPr>
                <w:color w:val="000000" w:themeColor="text1"/>
              </w:rPr>
              <w:t>2) передача документа, що посвідчує право власності на відповідні товари або відповідну кількість відповідних товарів;</w:t>
            </w:r>
          </w:p>
          <w:p w14:paraId="06BB5548" w14:textId="77777777" w:rsidR="004B55AD" w:rsidRPr="00286216" w:rsidRDefault="004B55AD" w:rsidP="004B55AD">
            <w:pPr>
              <w:pStyle w:val="StyleProp"/>
              <w:rPr>
                <w:color w:val="000000" w:themeColor="text1"/>
              </w:rPr>
            </w:pPr>
            <w:r w:rsidRPr="00286216">
              <w:rPr>
                <w:color w:val="000000" w:themeColor="text1"/>
              </w:rPr>
              <w:t>3) інші передбачені законом способи передачі права власності на визначену кількість продукції без фізичної її поставки, включаючи номінацію, подання графіків, повідомлення стосовно природного газу або електричної енергії.</w:t>
            </w:r>
          </w:p>
          <w:p w14:paraId="5BC35E42" w14:textId="77777777" w:rsidR="004B55AD" w:rsidRPr="00286216" w:rsidRDefault="004B55AD" w:rsidP="004B55AD">
            <w:pPr>
              <w:pStyle w:val="StyleProp"/>
              <w:rPr>
                <w:color w:val="000000" w:themeColor="text1"/>
              </w:rPr>
            </w:pPr>
            <w:r w:rsidRPr="00286216">
              <w:rPr>
                <w:color w:val="000000" w:themeColor="text1"/>
              </w:rPr>
              <w:t>6. Оптовий енергетичний продукт вважається таким, щодо якого фізична поставка є обов’язковою, якщо виконуються всі з таких умов:</w:t>
            </w:r>
          </w:p>
          <w:p w14:paraId="7103DF2B" w14:textId="77777777" w:rsidR="004B55AD" w:rsidRPr="00286216" w:rsidRDefault="004B55AD" w:rsidP="004B55AD">
            <w:pPr>
              <w:pStyle w:val="StyleProp"/>
              <w:rPr>
                <w:color w:val="000000" w:themeColor="text1"/>
              </w:rPr>
            </w:pPr>
            <w:r w:rsidRPr="00286216">
              <w:rPr>
                <w:color w:val="000000" w:themeColor="text1"/>
              </w:rPr>
              <w:t xml:space="preserve">1) його умови забезпечують обов’язкову наявність у сторін технічної можливості здійснити фізичну поставку та прийняти продукцію, що є предметом договору. Правочини, стороною яких є оператори системи передачі або оператори </w:t>
            </w:r>
            <w:r w:rsidRPr="00286216">
              <w:rPr>
                <w:color w:val="000000" w:themeColor="text1"/>
              </w:rPr>
              <w:lastRenderedPageBreak/>
              <w:t>газотранспортної системи, є такими, що забезпечують обов’язкову наявність у сторін технічної можливості здійснити фізичну поставку та прийняти продукцію, що є предметом договору.</w:t>
            </w:r>
          </w:p>
          <w:p w14:paraId="3C95629E" w14:textId="77777777" w:rsidR="004B55AD" w:rsidRPr="00286216" w:rsidRDefault="004B55AD" w:rsidP="004B55AD">
            <w:pPr>
              <w:pStyle w:val="StyleProp"/>
              <w:rPr>
                <w:color w:val="000000" w:themeColor="text1"/>
              </w:rPr>
            </w:pPr>
            <w:r w:rsidRPr="00286216">
              <w:rPr>
                <w:color w:val="000000" w:themeColor="text1"/>
              </w:rPr>
              <w:t>2) його умовами передбачено безумовні та безвідкличні зобов’язання сторін здійснити фізичну поставку та прийняти продукцію, що є предметом договору;</w:t>
            </w:r>
          </w:p>
          <w:p w14:paraId="49F513C0" w14:textId="77777777" w:rsidR="004B55AD" w:rsidRPr="00286216" w:rsidRDefault="004B55AD" w:rsidP="004B55AD">
            <w:pPr>
              <w:pStyle w:val="StyleProp"/>
              <w:rPr>
                <w:color w:val="000000" w:themeColor="text1"/>
              </w:rPr>
            </w:pPr>
            <w:r w:rsidRPr="00286216">
              <w:rPr>
                <w:color w:val="000000" w:themeColor="text1"/>
              </w:rPr>
              <w:t>3) його умови не передбачають можливості жодної зі сторін виконати зобов’язання із здійснення поставки або прийняття продукції, що є предметом договору, шляхом заміни поставки здійсненням грошових розрахунків;</w:t>
            </w:r>
          </w:p>
          <w:p w14:paraId="5A038A1C" w14:textId="77777777" w:rsidR="004B55AD" w:rsidRPr="00286216" w:rsidRDefault="004B55AD" w:rsidP="004B55AD">
            <w:pPr>
              <w:pStyle w:val="StyleProp"/>
              <w:rPr>
                <w:color w:val="000000" w:themeColor="text1"/>
              </w:rPr>
            </w:pPr>
            <w:r w:rsidRPr="00286216">
              <w:rPr>
                <w:color w:val="000000" w:themeColor="text1"/>
              </w:rPr>
              <w:t>4) його умови не передбачають можливості припинення зобов’язань за таким правочином шляхом зарахування зустрічних однорідних вимог (крім зарахування однорідних грошових вимог та операційного неттінгу на ринку електричної енергії та природного газу).</w:t>
            </w:r>
          </w:p>
          <w:p w14:paraId="54D63A73" w14:textId="77777777" w:rsidR="004B55AD" w:rsidRPr="00286216" w:rsidRDefault="004B55AD" w:rsidP="004B55AD">
            <w:pPr>
              <w:pStyle w:val="StyleProp"/>
              <w:rPr>
                <w:color w:val="000000" w:themeColor="text1"/>
              </w:rPr>
            </w:pPr>
            <w:r w:rsidRPr="00286216">
              <w:rPr>
                <w:color w:val="000000" w:themeColor="text1"/>
              </w:rPr>
              <w:t>7. Для цілей цієї статті деривативний контракт є таким, що укладається в комерційних цілях, якщо виконуються всі з таких умов:</w:t>
            </w:r>
          </w:p>
          <w:p w14:paraId="398D254B" w14:textId="77777777" w:rsidR="004B55AD" w:rsidRPr="00286216" w:rsidRDefault="004B55AD" w:rsidP="004B55AD">
            <w:pPr>
              <w:pStyle w:val="StyleProp"/>
              <w:rPr>
                <w:color w:val="000000" w:themeColor="text1"/>
              </w:rPr>
            </w:pPr>
            <w:r w:rsidRPr="00286216">
              <w:rPr>
                <w:color w:val="000000" w:themeColor="text1"/>
              </w:rPr>
              <w:t>1) стороною є оператор системи передачі, оператор газотранспортної системи;</w:t>
            </w:r>
          </w:p>
          <w:p w14:paraId="76DC8E14" w14:textId="77777777" w:rsidR="004B55AD" w:rsidRPr="00286216" w:rsidRDefault="004B55AD" w:rsidP="004B55AD">
            <w:pPr>
              <w:pStyle w:val="StyleProp"/>
              <w:rPr>
                <w:color w:val="000000" w:themeColor="text1"/>
              </w:rPr>
            </w:pPr>
            <w:r w:rsidRPr="00286216">
              <w:rPr>
                <w:color w:val="000000" w:themeColor="text1"/>
              </w:rPr>
              <w:t>2) деривативний контракт укладається з метою забезпечення балансу між попитом та пропозицією на електричну енергію або природній газ в реальному часі, у тому числі контракти (договори) на придбання допоміжних послуг.</w:t>
            </w:r>
          </w:p>
          <w:p w14:paraId="06437B52" w14:textId="77777777" w:rsidR="004B55AD" w:rsidRPr="00286216" w:rsidRDefault="004B55AD" w:rsidP="004B55AD">
            <w:pPr>
              <w:pStyle w:val="StyleProp"/>
              <w:rPr>
                <w:color w:val="000000" w:themeColor="text1"/>
                <w:spacing w:val="-5"/>
              </w:rPr>
            </w:pPr>
            <w:r w:rsidRPr="00286216">
              <w:rPr>
                <w:color w:val="000000" w:themeColor="text1"/>
                <w:spacing w:val="-5"/>
              </w:rPr>
              <w:t>8. Для цілей цієї статті деривативний контракт є таким, що має характеристики іншого деривативного фінансового інструменту, якщо виконуються всі з таких умов:</w:t>
            </w:r>
          </w:p>
          <w:p w14:paraId="65DEBB8C" w14:textId="77777777" w:rsidR="004B55AD" w:rsidRPr="00286216" w:rsidRDefault="004B55AD" w:rsidP="004B55AD">
            <w:pPr>
              <w:pStyle w:val="StyleProp"/>
              <w:rPr>
                <w:color w:val="000000" w:themeColor="text1"/>
              </w:rPr>
            </w:pPr>
            <w:r w:rsidRPr="00286216">
              <w:rPr>
                <w:color w:val="000000" w:themeColor="text1"/>
              </w:rPr>
              <w:t>1) контракт відповідає одному з таких критеріїв:</w:t>
            </w:r>
          </w:p>
          <w:p w14:paraId="71B063F5" w14:textId="6124B176" w:rsidR="004B55AD" w:rsidRPr="00286216" w:rsidRDefault="004B55AD" w:rsidP="004B55AD">
            <w:pPr>
              <w:pStyle w:val="StyleProp"/>
              <w:rPr>
                <w:color w:val="000000" w:themeColor="text1"/>
              </w:rPr>
            </w:pPr>
            <w:r w:rsidRPr="00286216">
              <w:rPr>
                <w:color w:val="000000" w:themeColor="text1"/>
              </w:rPr>
              <w:t>а) контракт допущено до торгів на багатосторонній системі в іноземній державі, що забезпечує виконання функцій регульованого ринку, БТМ або ОТМ;</w:t>
            </w:r>
          </w:p>
          <w:p w14:paraId="16F7A24C" w14:textId="77777777" w:rsidR="004B55AD" w:rsidRPr="00286216" w:rsidRDefault="004B55AD" w:rsidP="004B55AD">
            <w:pPr>
              <w:pStyle w:val="StyleProp"/>
              <w:rPr>
                <w:color w:val="000000" w:themeColor="text1"/>
              </w:rPr>
            </w:pPr>
            <w:r w:rsidRPr="00286216">
              <w:rPr>
                <w:color w:val="000000" w:themeColor="text1"/>
              </w:rPr>
              <w:t>б) умовами контракту передбачена можливість його укладення виключно на регульованому ринку, БТМ або ОТМ, або на багатосторонній системі в іноземній державі, що забезпечує виконання функцій регульованого ринку, БТМ або ОТМ;</w:t>
            </w:r>
          </w:p>
          <w:p w14:paraId="3519ED7D" w14:textId="77777777" w:rsidR="004B55AD" w:rsidRPr="00286216" w:rsidRDefault="004B55AD" w:rsidP="004B55AD">
            <w:pPr>
              <w:pStyle w:val="StyleProp"/>
              <w:rPr>
                <w:color w:val="000000" w:themeColor="text1"/>
              </w:rPr>
            </w:pPr>
            <w:r w:rsidRPr="00286216">
              <w:rPr>
                <w:color w:val="000000" w:themeColor="text1"/>
              </w:rPr>
              <w:lastRenderedPageBreak/>
              <w:t>в) контракт ідентичний контракту, що допущений до торгів на багатосторонній системі в іноземній державі, що забезпечує виконання функцій регульованого ринку, БТМ або ОТМ, в частині ціни, лоту, дати поставки та інших умов;</w:t>
            </w:r>
          </w:p>
          <w:p w14:paraId="3EB8B0DF" w14:textId="77777777" w:rsidR="004B55AD" w:rsidRPr="00286216" w:rsidRDefault="004B55AD" w:rsidP="004B55AD">
            <w:pPr>
              <w:pStyle w:val="StyleProp"/>
              <w:rPr>
                <w:color w:val="000000" w:themeColor="text1"/>
              </w:rPr>
            </w:pPr>
            <w:r w:rsidRPr="00286216">
              <w:rPr>
                <w:color w:val="000000" w:themeColor="text1"/>
              </w:rPr>
              <w:t>2) контракт є стандартизованим, внаслідок чого ціна, дата поставки та інші умови встановлюються у ньому шляхом посилання на опубліковані ціни, стандартні лоти або стандартні строки поставки.</w:t>
            </w:r>
          </w:p>
          <w:p w14:paraId="4E663A65" w14:textId="77777777" w:rsidR="004B55AD" w:rsidRPr="00286216" w:rsidRDefault="004B55AD" w:rsidP="004B55AD">
            <w:pPr>
              <w:pStyle w:val="StyleProp"/>
              <w:rPr>
                <w:color w:val="000000" w:themeColor="text1"/>
                <w:szCs w:val="18"/>
              </w:rPr>
            </w:pPr>
            <w:r w:rsidRPr="00286216">
              <w:rPr>
                <w:color w:val="000000" w:themeColor="text1"/>
              </w:rPr>
              <w:t>3) контракт (договір) не підпадає під виключення пункту 2 цієї статті".</w:t>
            </w:r>
          </w:p>
        </w:tc>
        <w:tc>
          <w:tcPr>
            <w:tcW w:w="1987" w:type="dxa"/>
          </w:tcPr>
          <w:p w14:paraId="42DB174C" w14:textId="77777777" w:rsidR="004B55AD" w:rsidRPr="00286216" w:rsidRDefault="004B55AD" w:rsidP="004B55AD">
            <w:pPr>
              <w:pStyle w:val="StyleWisnow"/>
              <w:rPr>
                <w:color w:val="000000" w:themeColor="text1"/>
              </w:rPr>
            </w:pPr>
            <w:r w:rsidRPr="00286216">
              <w:rPr>
                <w:color w:val="000000" w:themeColor="text1"/>
              </w:rPr>
              <w:lastRenderedPageBreak/>
              <w:t>Враховано</w:t>
            </w:r>
          </w:p>
        </w:tc>
        <w:tc>
          <w:tcPr>
            <w:tcW w:w="4818" w:type="dxa"/>
          </w:tcPr>
          <w:p w14:paraId="6A1999F2" w14:textId="3D6FABFA" w:rsidR="004B55AD" w:rsidRPr="00286216" w:rsidRDefault="004B55AD" w:rsidP="004B55AD">
            <w:pPr>
              <w:pStyle w:val="StyleZakonu"/>
              <w:rPr>
                <w:color w:val="000000" w:themeColor="text1"/>
              </w:rPr>
            </w:pPr>
            <w:r w:rsidRPr="00286216">
              <w:rPr>
                <w:color w:val="000000" w:themeColor="text1"/>
              </w:rPr>
              <w:t>Стаття 7. Фінансові інструменти</w:t>
            </w:r>
          </w:p>
          <w:p w14:paraId="7333C2DC" w14:textId="77777777" w:rsidR="004B55AD" w:rsidRPr="00286216" w:rsidRDefault="004B55AD" w:rsidP="004B55AD">
            <w:pPr>
              <w:pStyle w:val="StyleZakonu"/>
              <w:rPr>
                <w:color w:val="000000" w:themeColor="text1"/>
              </w:rPr>
            </w:pPr>
            <w:r w:rsidRPr="00286216">
              <w:rPr>
                <w:color w:val="000000" w:themeColor="text1"/>
              </w:rPr>
              <w:t>1. Фінансовими інструментами є:</w:t>
            </w:r>
          </w:p>
          <w:p w14:paraId="23C76BFB" w14:textId="6D48EDC6" w:rsidR="004B55AD" w:rsidRPr="00286216" w:rsidRDefault="004B55AD" w:rsidP="004B55AD">
            <w:pPr>
              <w:pStyle w:val="StyleZakonu"/>
              <w:rPr>
                <w:color w:val="000000" w:themeColor="text1"/>
              </w:rPr>
            </w:pPr>
            <w:r w:rsidRPr="00286216">
              <w:rPr>
                <w:color w:val="000000" w:themeColor="text1"/>
              </w:rPr>
              <w:t xml:space="preserve">1) цінні папери, </w:t>
            </w:r>
            <w:r w:rsidR="00CC7035" w:rsidRPr="00286216">
              <w:rPr>
                <w:color w:val="000000" w:themeColor="text1"/>
              </w:rPr>
              <w:t>у</w:t>
            </w:r>
            <w:r w:rsidRPr="00286216">
              <w:rPr>
                <w:color w:val="000000" w:themeColor="text1"/>
              </w:rPr>
              <w:t xml:space="preserve"> тому числі цінні папери інститутів спільного інвестування;</w:t>
            </w:r>
          </w:p>
          <w:p w14:paraId="348651FA" w14:textId="77777777" w:rsidR="004B55AD" w:rsidRPr="00286216" w:rsidRDefault="004B55AD" w:rsidP="004B55AD">
            <w:pPr>
              <w:pStyle w:val="StyleZakonu"/>
              <w:rPr>
                <w:color w:val="000000" w:themeColor="text1"/>
              </w:rPr>
            </w:pPr>
            <w:r w:rsidRPr="00286216">
              <w:rPr>
                <w:color w:val="000000" w:themeColor="text1"/>
              </w:rPr>
              <w:lastRenderedPageBreak/>
              <w:t>2) інструменти грошового ринку;</w:t>
            </w:r>
          </w:p>
          <w:p w14:paraId="2003BCD6" w14:textId="77777777" w:rsidR="004B55AD" w:rsidRPr="00286216" w:rsidRDefault="004B55AD" w:rsidP="004B55AD">
            <w:pPr>
              <w:pStyle w:val="StyleZakonu"/>
              <w:rPr>
                <w:color w:val="000000" w:themeColor="text1"/>
              </w:rPr>
            </w:pPr>
            <w:r w:rsidRPr="00286216">
              <w:rPr>
                <w:color w:val="000000" w:themeColor="text1"/>
              </w:rPr>
              <w:t>3) опціони, ф’ючерси, свопи, контракти на майбутню відсоткову ставку та будь-які інші деривативні контракти, базовим активом яких є цінні папери, валюта або інші деривативні контракти, базовим показником яких є процентні ставки, дохідність, індекси або курс, та які можуть бути виконані у вигляді фізичної поставки (поставні деривативні контракти) або розрахунків (розрахункові деривативні контракти);</w:t>
            </w:r>
          </w:p>
          <w:p w14:paraId="4A702F7D" w14:textId="46AEC299" w:rsidR="004B55AD" w:rsidRPr="00286216" w:rsidRDefault="004B55AD" w:rsidP="004B55AD">
            <w:pPr>
              <w:pStyle w:val="StyleZakonu"/>
              <w:rPr>
                <w:color w:val="000000" w:themeColor="text1"/>
              </w:rPr>
            </w:pPr>
            <w:r w:rsidRPr="00286216">
              <w:rPr>
                <w:color w:val="000000" w:themeColor="text1"/>
              </w:rPr>
              <w:t xml:space="preserve">4) опціони, ф’ючерси, свопи, форварди та інші деривативні контракти, базовим активом яких є продукція, які мають або можуть бути виконані у вигляді розрахунків за вибором однієї </w:t>
            </w:r>
            <w:r w:rsidR="00CC7035" w:rsidRPr="00286216">
              <w:rPr>
                <w:color w:val="000000" w:themeColor="text1"/>
              </w:rPr>
              <w:t>і</w:t>
            </w:r>
            <w:r w:rsidRPr="00286216">
              <w:rPr>
                <w:color w:val="000000" w:themeColor="text1"/>
              </w:rPr>
              <w:t>з сторін (змішані деривативні контракти), крім випадків неплатоспроможності або інших випадків припинення зобов’язань;</w:t>
            </w:r>
          </w:p>
          <w:p w14:paraId="4CDAAEC4" w14:textId="0B63E366" w:rsidR="004B55AD" w:rsidRPr="00286216" w:rsidRDefault="004B55AD" w:rsidP="004B55AD">
            <w:pPr>
              <w:pStyle w:val="StyleZakonu"/>
              <w:rPr>
                <w:color w:val="000000" w:themeColor="text1"/>
              </w:rPr>
            </w:pPr>
            <w:r w:rsidRPr="00286216">
              <w:rPr>
                <w:color w:val="000000" w:themeColor="text1"/>
              </w:rPr>
              <w:t>5) опціони, ф’ючерси, свопи та інші деривативні контракти</w:t>
            </w:r>
            <w:r w:rsidR="00CC7035" w:rsidRPr="00286216">
              <w:rPr>
                <w:color w:val="000000" w:themeColor="text1"/>
              </w:rPr>
              <w:t>,</w:t>
            </w:r>
            <w:r w:rsidRPr="00286216">
              <w:rPr>
                <w:color w:val="000000" w:themeColor="text1"/>
              </w:rPr>
              <w:t xml:space="preserve"> базовим активом яких є продукція, що укладаються на торг</w:t>
            </w:r>
            <w:r w:rsidR="00CC7035" w:rsidRPr="00286216">
              <w:rPr>
                <w:color w:val="000000" w:themeColor="text1"/>
              </w:rPr>
              <w:t>о</w:t>
            </w:r>
            <w:r w:rsidRPr="00286216">
              <w:rPr>
                <w:color w:val="000000" w:themeColor="text1"/>
              </w:rPr>
              <w:t>вельних майданчиках та які можуть бути виконані у вигляді фізичної поставки (поставні деривативні контракти), крім контрактів (договорів)</w:t>
            </w:r>
            <w:r w:rsidR="00CC7035" w:rsidRPr="00286216">
              <w:rPr>
                <w:color w:val="000000" w:themeColor="text1"/>
              </w:rPr>
              <w:t>,</w:t>
            </w:r>
            <w:r w:rsidRPr="00286216">
              <w:rPr>
                <w:color w:val="000000" w:themeColor="text1"/>
              </w:rPr>
              <w:t xml:space="preserve"> передбачених частиною другою цієї статті;</w:t>
            </w:r>
          </w:p>
          <w:p w14:paraId="7C6F85AB" w14:textId="12177243" w:rsidR="004B55AD" w:rsidRPr="00286216" w:rsidRDefault="004B55AD" w:rsidP="004B55AD">
            <w:pPr>
              <w:pStyle w:val="StyleZakonu"/>
              <w:rPr>
                <w:color w:val="000000" w:themeColor="text1"/>
              </w:rPr>
            </w:pPr>
            <w:r w:rsidRPr="00286216">
              <w:rPr>
                <w:color w:val="000000" w:themeColor="text1"/>
              </w:rPr>
              <w:t>6) опціони, ф’ючерси, свопи, форварди та інші деривативні контракти, базовим активом яких є продукція, які можуть бути виконані у вигляді фізичної поставки (поставні деривативні контракти) та які не зазначені у пункті 5 цієї частини, укладаються не в комерційних цілях та мають характеристики іншого деривативного фінансового інструменту;</w:t>
            </w:r>
          </w:p>
          <w:p w14:paraId="5D67E39C" w14:textId="38C79ECD" w:rsidR="004B55AD" w:rsidRPr="00286216" w:rsidRDefault="004B55AD" w:rsidP="004B55AD">
            <w:pPr>
              <w:pStyle w:val="StyleZakonu"/>
              <w:rPr>
                <w:color w:val="000000" w:themeColor="text1"/>
              </w:rPr>
            </w:pPr>
            <w:r w:rsidRPr="00286216">
              <w:rPr>
                <w:color w:val="000000" w:themeColor="text1"/>
              </w:rPr>
              <w:t>7) деривативні фінансові інструменти, що передбачають передачу кредитного ризику, зокрема кредитні ноти та кредитні дефолтні свопи;</w:t>
            </w:r>
          </w:p>
          <w:p w14:paraId="7593C67D" w14:textId="77777777" w:rsidR="004B55AD" w:rsidRPr="00286216" w:rsidRDefault="004B55AD" w:rsidP="004B55AD">
            <w:pPr>
              <w:pStyle w:val="StyleZakonu"/>
              <w:rPr>
                <w:color w:val="000000" w:themeColor="text1"/>
              </w:rPr>
            </w:pPr>
            <w:r w:rsidRPr="00286216">
              <w:rPr>
                <w:color w:val="000000" w:themeColor="text1"/>
              </w:rPr>
              <w:t>8) фінансові контракти на різницю цін;</w:t>
            </w:r>
          </w:p>
          <w:p w14:paraId="41329C0D" w14:textId="59470B74" w:rsidR="004B55AD" w:rsidRPr="00286216" w:rsidRDefault="004B55AD" w:rsidP="004B55AD">
            <w:pPr>
              <w:pStyle w:val="StyleZakonu"/>
              <w:rPr>
                <w:color w:val="000000" w:themeColor="text1"/>
              </w:rPr>
            </w:pPr>
            <w:r w:rsidRPr="00286216">
              <w:rPr>
                <w:color w:val="000000" w:themeColor="text1"/>
              </w:rPr>
              <w:t>9) опціони, ф’ючерси, свопи, контракти на майбутню відсоткову ставку та будь-які інші деривативні контракти, що стосуються кліматичних параметрів, ставок фрахту, показників інфляції або інш</w:t>
            </w:r>
            <w:r w:rsidR="0047029A" w:rsidRPr="00286216">
              <w:rPr>
                <w:color w:val="000000" w:themeColor="text1"/>
              </w:rPr>
              <w:t>их</w:t>
            </w:r>
            <w:r w:rsidRPr="00286216">
              <w:rPr>
                <w:color w:val="000000" w:themeColor="text1"/>
              </w:rPr>
              <w:t xml:space="preserve"> показник</w:t>
            </w:r>
            <w:r w:rsidR="0047029A" w:rsidRPr="00286216">
              <w:rPr>
                <w:color w:val="000000" w:themeColor="text1"/>
              </w:rPr>
              <w:t>ів</w:t>
            </w:r>
            <w:r w:rsidRPr="00286216">
              <w:rPr>
                <w:color w:val="000000" w:themeColor="text1"/>
              </w:rPr>
              <w:t xml:space="preserve"> економічної статистики, які мають бути виконані у вигляді розрахунків (розрахункові деривативні контракти) або можуть бути виконані у вигляді розрахунків за вибором однієї </w:t>
            </w:r>
            <w:r w:rsidR="0047029A" w:rsidRPr="00286216">
              <w:rPr>
                <w:color w:val="000000" w:themeColor="text1"/>
              </w:rPr>
              <w:t>і</w:t>
            </w:r>
            <w:r w:rsidRPr="00286216">
              <w:rPr>
                <w:color w:val="000000" w:themeColor="text1"/>
              </w:rPr>
              <w:t>з</w:t>
            </w:r>
            <w:r w:rsidR="0047029A" w:rsidRPr="00286216">
              <w:rPr>
                <w:color w:val="000000" w:themeColor="text1"/>
              </w:rPr>
              <w:t xml:space="preserve"> </w:t>
            </w:r>
            <w:r w:rsidRPr="00286216">
              <w:rPr>
                <w:color w:val="000000" w:themeColor="text1"/>
              </w:rPr>
              <w:t xml:space="preserve">сторін </w:t>
            </w:r>
            <w:r w:rsidRPr="00286216">
              <w:rPr>
                <w:color w:val="000000" w:themeColor="text1"/>
              </w:rPr>
              <w:lastRenderedPageBreak/>
              <w:t>(змішані деривативні контракти), крім випадків неплатоспроможності або інших випадків припинення зобов’язань;</w:t>
            </w:r>
          </w:p>
          <w:p w14:paraId="4D997544" w14:textId="16ABB09E" w:rsidR="004B55AD" w:rsidRPr="00286216" w:rsidRDefault="004B55AD" w:rsidP="004B55AD">
            <w:pPr>
              <w:pStyle w:val="StyleZakonu"/>
              <w:rPr>
                <w:color w:val="000000" w:themeColor="text1"/>
              </w:rPr>
            </w:pPr>
            <w:r w:rsidRPr="00286216">
              <w:rPr>
                <w:color w:val="000000" w:themeColor="text1"/>
              </w:rPr>
              <w:t>10) деривативні контракти, що стосуються активів, прав, зобов'язань, індексів, курсів, які не зазначені у цій частині та які мають характеристики іншого деривативного фінансового інструменту, у тому числі, які укладаються на регульованому ринку, ОТМ або БТМ;</w:t>
            </w:r>
          </w:p>
          <w:p w14:paraId="133483AE" w14:textId="77777777" w:rsidR="004B55AD" w:rsidRPr="00286216" w:rsidRDefault="004B55AD" w:rsidP="004B55AD">
            <w:pPr>
              <w:pStyle w:val="StyleZakonu"/>
              <w:rPr>
                <w:color w:val="000000" w:themeColor="text1"/>
              </w:rPr>
            </w:pPr>
            <w:r w:rsidRPr="00286216">
              <w:rPr>
                <w:color w:val="000000" w:themeColor="text1"/>
              </w:rPr>
              <w:t>2. Не є фінансовими інструментами:</w:t>
            </w:r>
          </w:p>
          <w:p w14:paraId="60AC52BF" w14:textId="158F5881" w:rsidR="004B55AD" w:rsidRPr="00286216" w:rsidRDefault="004B55AD" w:rsidP="004B55AD">
            <w:pPr>
              <w:pStyle w:val="StyleZakonu"/>
              <w:rPr>
                <w:color w:val="000000" w:themeColor="text1"/>
              </w:rPr>
            </w:pPr>
            <w:r w:rsidRPr="00286216">
              <w:rPr>
                <w:color w:val="000000" w:themeColor="text1"/>
              </w:rPr>
              <w:t>1) контракти (договори) щодо оптових енергетичних продуктів, що укладаються на ОТМ, поза організованим ринком або на будь-якому торг</w:t>
            </w:r>
            <w:r w:rsidR="0047029A" w:rsidRPr="00286216">
              <w:rPr>
                <w:color w:val="000000" w:themeColor="text1"/>
              </w:rPr>
              <w:t>о</w:t>
            </w:r>
            <w:r w:rsidRPr="00286216">
              <w:rPr>
                <w:color w:val="000000" w:themeColor="text1"/>
              </w:rPr>
              <w:t>вельному майданчику/місці (централізованому чи децентралізованому організованому ринку), які не є БТМ чи регульованим ринком, та щодо яких поставка є обов’язковою, у тому числі контракти на різницю цін щодо енергетичних продуктів/послуг;</w:t>
            </w:r>
          </w:p>
          <w:p w14:paraId="4DEF4D7E" w14:textId="35145243" w:rsidR="004B55AD" w:rsidRPr="00286216" w:rsidRDefault="004B55AD" w:rsidP="004B55AD">
            <w:pPr>
              <w:pStyle w:val="StyleZakonu"/>
              <w:rPr>
                <w:color w:val="000000" w:themeColor="text1"/>
              </w:rPr>
            </w:pPr>
            <w:r w:rsidRPr="00286216">
              <w:rPr>
                <w:color w:val="000000" w:themeColor="text1"/>
              </w:rPr>
              <w:t>2) поставні опціони, ф’ючерси, свопи, форварди та інші деривативні контракти, базовим активом яких є продукція, не зазначені у пункті 6 частини першої цієї статті, що укладаються в комерційних цілях та не мають характеристики іншого деривативного фінансового інструменту;</w:t>
            </w:r>
          </w:p>
          <w:p w14:paraId="707CA806" w14:textId="59E34737" w:rsidR="004B55AD" w:rsidRPr="00286216" w:rsidRDefault="004B55AD" w:rsidP="004B55AD">
            <w:pPr>
              <w:pStyle w:val="StyleZakonu"/>
              <w:rPr>
                <w:color w:val="000000" w:themeColor="text1"/>
              </w:rPr>
            </w:pPr>
            <w:r w:rsidRPr="00286216">
              <w:rPr>
                <w:color w:val="000000" w:themeColor="text1"/>
              </w:rPr>
              <w:t>3) товарні спот-контракти незалежно від майданчика/місця торгівлі (ринку, на якому вони торгуються);</w:t>
            </w:r>
          </w:p>
          <w:p w14:paraId="7946D26E" w14:textId="264E464A" w:rsidR="004B55AD" w:rsidRPr="00286216" w:rsidRDefault="004B55AD" w:rsidP="004B55AD">
            <w:pPr>
              <w:pStyle w:val="StyleZakonu"/>
              <w:rPr>
                <w:color w:val="000000" w:themeColor="text1"/>
              </w:rPr>
            </w:pPr>
            <w:r w:rsidRPr="00286216">
              <w:rPr>
                <w:color w:val="000000" w:themeColor="text1"/>
              </w:rPr>
              <w:t>4) товарні форвардні контракти (договори) з фізичною поставкою, торгівля якими здійснюється на майданчиках/ринках, інших</w:t>
            </w:r>
            <w:r w:rsidR="0047029A" w:rsidRPr="00286216">
              <w:rPr>
                <w:color w:val="000000" w:themeColor="text1"/>
              </w:rPr>
              <w:t>,</w:t>
            </w:r>
            <w:r w:rsidRPr="00286216">
              <w:rPr>
                <w:color w:val="000000" w:themeColor="text1"/>
              </w:rPr>
              <w:t xml:space="preserve"> ніж БТМ та регульований ринок.</w:t>
            </w:r>
          </w:p>
          <w:p w14:paraId="2D03C7AA" w14:textId="227923DF" w:rsidR="004B55AD" w:rsidRPr="00286216" w:rsidRDefault="004B55AD" w:rsidP="004B55AD">
            <w:pPr>
              <w:pStyle w:val="StyleZakonu"/>
              <w:rPr>
                <w:color w:val="000000" w:themeColor="text1"/>
              </w:rPr>
            </w:pPr>
            <w:r w:rsidRPr="00286216">
              <w:rPr>
                <w:color w:val="000000" w:themeColor="text1"/>
              </w:rPr>
              <w:t xml:space="preserve">3. Інструменти грошового ринку – </w:t>
            </w:r>
            <w:r w:rsidR="0047029A" w:rsidRPr="00286216">
              <w:rPr>
                <w:color w:val="000000" w:themeColor="text1"/>
              </w:rPr>
              <w:t xml:space="preserve">це </w:t>
            </w:r>
            <w:r w:rsidRPr="00286216">
              <w:rPr>
                <w:color w:val="000000" w:themeColor="text1"/>
              </w:rPr>
              <w:t>казначейські зобов’язання України, ощадні сертифікати банк</w:t>
            </w:r>
            <w:r w:rsidR="0047029A" w:rsidRPr="00286216">
              <w:rPr>
                <w:color w:val="000000" w:themeColor="text1"/>
              </w:rPr>
              <w:t>ів</w:t>
            </w:r>
            <w:r w:rsidRPr="00286216">
              <w:rPr>
                <w:color w:val="000000" w:themeColor="text1"/>
              </w:rPr>
              <w:t>, депозитні сертифікати банк</w:t>
            </w:r>
            <w:r w:rsidR="0047029A" w:rsidRPr="00286216">
              <w:rPr>
                <w:color w:val="000000" w:themeColor="text1"/>
              </w:rPr>
              <w:t>ів</w:t>
            </w:r>
            <w:r w:rsidRPr="00286216">
              <w:rPr>
                <w:color w:val="000000" w:themeColor="text1"/>
              </w:rPr>
              <w:t>, векселі, а також інші інструменти (в тому числі цінні папери), що мають всі з таких характеристик:</w:t>
            </w:r>
          </w:p>
          <w:p w14:paraId="050F886C" w14:textId="77777777" w:rsidR="004B55AD" w:rsidRPr="00286216" w:rsidRDefault="004B55AD" w:rsidP="004B55AD">
            <w:pPr>
              <w:pStyle w:val="StyleZakonu"/>
              <w:rPr>
                <w:color w:val="000000" w:themeColor="text1"/>
              </w:rPr>
            </w:pPr>
            <w:r w:rsidRPr="00286216">
              <w:rPr>
                <w:color w:val="000000" w:themeColor="text1"/>
              </w:rPr>
              <w:t>1) мають вартість, що може бути визначена у будь-який момент часу;</w:t>
            </w:r>
          </w:p>
          <w:p w14:paraId="3FF14B89" w14:textId="587AF552" w:rsidR="004B55AD" w:rsidRPr="00286216" w:rsidRDefault="004B55AD" w:rsidP="004B55AD">
            <w:pPr>
              <w:pStyle w:val="StyleZakonu"/>
              <w:rPr>
                <w:color w:val="000000" w:themeColor="text1"/>
              </w:rPr>
            </w:pPr>
            <w:r w:rsidRPr="00286216">
              <w:rPr>
                <w:color w:val="000000" w:themeColor="text1"/>
              </w:rPr>
              <w:t>2) не є деривативними фінансовими інструментами;</w:t>
            </w:r>
          </w:p>
          <w:p w14:paraId="26EB985E" w14:textId="77777777" w:rsidR="004B55AD" w:rsidRPr="00286216" w:rsidRDefault="004B55AD" w:rsidP="004B55AD">
            <w:pPr>
              <w:pStyle w:val="StyleZakonu"/>
              <w:rPr>
                <w:color w:val="000000" w:themeColor="text1"/>
              </w:rPr>
            </w:pPr>
            <w:r w:rsidRPr="00286216">
              <w:rPr>
                <w:color w:val="000000" w:themeColor="text1"/>
              </w:rPr>
              <w:t>3) мають період до погашення в момент емісії (видачі) 397 днів або менше.</w:t>
            </w:r>
          </w:p>
          <w:p w14:paraId="37412092" w14:textId="77777777" w:rsidR="004B55AD" w:rsidRPr="00286216" w:rsidRDefault="004B55AD" w:rsidP="004B55AD">
            <w:pPr>
              <w:pStyle w:val="StyleZakonu"/>
              <w:rPr>
                <w:color w:val="000000" w:themeColor="text1"/>
              </w:rPr>
            </w:pPr>
            <w:r w:rsidRPr="00286216">
              <w:rPr>
                <w:color w:val="000000" w:themeColor="text1"/>
              </w:rPr>
              <w:lastRenderedPageBreak/>
              <w:t>4. Для цілей цієї статті оптовим енергетичним продуктом є:</w:t>
            </w:r>
          </w:p>
          <w:p w14:paraId="588B5362" w14:textId="77777777" w:rsidR="004B55AD" w:rsidRPr="00286216" w:rsidRDefault="004B55AD" w:rsidP="004B55AD">
            <w:pPr>
              <w:pStyle w:val="StyleZakonu"/>
              <w:rPr>
                <w:color w:val="000000" w:themeColor="text1"/>
              </w:rPr>
            </w:pPr>
            <w:r w:rsidRPr="00286216">
              <w:rPr>
                <w:color w:val="000000" w:themeColor="text1"/>
              </w:rPr>
              <w:t>1) договори купівлі-продажу електричної енергії або природного газу з фізичною поставкою в Україні;</w:t>
            </w:r>
          </w:p>
          <w:p w14:paraId="740AC857" w14:textId="7369E9FF" w:rsidR="004B55AD" w:rsidRPr="00286216" w:rsidRDefault="004B55AD" w:rsidP="004B55AD">
            <w:pPr>
              <w:pStyle w:val="StyleZakonu"/>
              <w:rPr>
                <w:color w:val="000000" w:themeColor="text1"/>
              </w:rPr>
            </w:pPr>
            <w:r w:rsidRPr="00286216">
              <w:rPr>
                <w:color w:val="000000" w:themeColor="text1"/>
              </w:rPr>
              <w:t xml:space="preserve">2) деривативні контракти, базовим активом яких є електрична енергія або природний газ, що виробляються (видобуваються), постачаються або торгівля якими здійснюється в Україні </w:t>
            </w:r>
            <w:r w:rsidR="00F45BF1" w:rsidRPr="00286216">
              <w:rPr>
                <w:color w:val="000000" w:themeColor="text1"/>
              </w:rPr>
              <w:t>чи</w:t>
            </w:r>
            <w:r w:rsidRPr="00286216">
              <w:rPr>
                <w:color w:val="000000" w:themeColor="text1"/>
              </w:rPr>
              <w:t xml:space="preserve"> в державах – сторонах Енергетичного Співтовариства;</w:t>
            </w:r>
          </w:p>
          <w:p w14:paraId="5CB4A777" w14:textId="3D12779D" w:rsidR="004B55AD" w:rsidRPr="00286216" w:rsidRDefault="004B55AD" w:rsidP="004B55AD">
            <w:pPr>
              <w:pStyle w:val="StyleZakonu"/>
              <w:rPr>
                <w:color w:val="000000" w:themeColor="text1"/>
              </w:rPr>
            </w:pPr>
            <w:r w:rsidRPr="00286216">
              <w:rPr>
                <w:color w:val="000000" w:themeColor="text1"/>
              </w:rPr>
              <w:t xml:space="preserve">3) деривативні контракти щодо передачі/транспортування або розподілу електричної енергії або природного газу в Україні </w:t>
            </w:r>
            <w:r w:rsidR="00F45BF1" w:rsidRPr="00286216">
              <w:rPr>
                <w:color w:val="000000" w:themeColor="text1"/>
              </w:rPr>
              <w:t>чи</w:t>
            </w:r>
            <w:r w:rsidRPr="00286216">
              <w:rPr>
                <w:color w:val="000000" w:themeColor="text1"/>
              </w:rPr>
              <w:t xml:space="preserve"> в державах </w:t>
            </w:r>
            <w:r w:rsidR="00F45BF1" w:rsidRPr="00286216">
              <w:rPr>
                <w:color w:val="000000" w:themeColor="text1"/>
              </w:rPr>
              <w:t>–</w:t>
            </w:r>
            <w:r w:rsidRPr="00286216">
              <w:rPr>
                <w:color w:val="000000" w:themeColor="text1"/>
              </w:rPr>
              <w:t xml:space="preserve"> сторонах Енергетичного Співтовариства;</w:t>
            </w:r>
          </w:p>
          <w:p w14:paraId="198975CC" w14:textId="77777777" w:rsidR="004B55AD" w:rsidRPr="00286216" w:rsidRDefault="004B55AD" w:rsidP="004B55AD">
            <w:pPr>
              <w:pStyle w:val="StyleZakonu"/>
              <w:rPr>
                <w:color w:val="000000" w:themeColor="text1"/>
              </w:rPr>
            </w:pPr>
            <w:r w:rsidRPr="00286216">
              <w:rPr>
                <w:color w:val="000000" w:themeColor="text1"/>
              </w:rPr>
              <w:t>4) контракти/договори (правочини) щодо транспортування/передачі або розподілу природного газу або електричної енергії;</w:t>
            </w:r>
          </w:p>
          <w:p w14:paraId="4978C65C" w14:textId="34AFA661" w:rsidR="004B55AD" w:rsidRPr="00286216" w:rsidRDefault="004B55AD" w:rsidP="004B55AD">
            <w:pPr>
              <w:pStyle w:val="StyleZakonu"/>
              <w:rPr>
                <w:color w:val="000000" w:themeColor="text1"/>
              </w:rPr>
            </w:pPr>
            <w:r w:rsidRPr="00286216">
              <w:rPr>
                <w:color w:val="000000" w:themeColor="text1"/>
              </w:rPr>
              <w:t>5) договори постачання та розподілу електричної енергії або природного газу кінцевим споживачам, у разі якщо сумарна максимальна потужність споживання електричної енергії або газу установками кінцевого споживача перевищує порогові значення, визначені нормативно-правовими актами Національної комісії, що здійснює державне регулювання у сферах енергетики та комунальних послуг.</w:t>
            </w:r>
          </w:p>
          <w:p w14:paraId="395E9A8E" w14:textId="77777777" w:rsidR="004B55AD" w:rsidRPr="00286216" w:rsidRDefault="004B55AD" w:rsidP="004B55AD">
            <w:pPr>
              <w:pStyle w:val="StyleZakonu"/>
              <w:rPr>
                <w:color w:val="000000" w:themeColor="text1"/>
              </w:rPr>
            </w:pPr>
            <w:r w:rsidRPr="00286216">
              <w:rPr>
                <w:color w:val="000000" w:themeColor="text1"/>
              </w:rPr>
              <w:t>5. Для цілей цієї статті фізичною поставкою продукції, що є предметом договору, є зокрема:</w:t>
            </w:r>
          </w:p>
          <w:p w14:paraId="7D5BF8F9" w14:textId="08839CB4" w:rsidR="004B55AD" w:rsidRPr="00286216" w:rsidRDefault="004B55AD" w:rsidP="004B55AD">
            <w:pPr>
              <w:pStyle w:val="StyleZakonu"/>
              <w:rPr>
                <w:color w:val="000000" w:themeColor="text1"/>
              </w:rPr>
            </w:pPr>
            <w:r w:rsidRPr="00286216">
              <w:rPr>
                <w:color w:val="000000" w:themeColor="text1"/>
              </w:rPr>
              <w:t>1) фактична поставка предмет</w:t>
            </w:r>
            <w:r w:rsidR="00F45BF1" w:rsidRPr="00286216">
              <w:rPr>
                <w:color w:val="000000" w:themeColor="text1"/>
              </w:rPr>
              <w:t>а</w:t>
            </w:r>
            <w:r w:rsidRPr="00286216">
              <w:rPr>
                <w:color w:val="000000" w:themeColor="text1"/>
              </w:rPr>
              <w:t xml:space="preserve"> договору;</w:t>
            </w:r>
          </w:p>
          <w:p w14:paraId="4C6B5BEC" w14:textId="3C1F50A0" w:rsidR="004B55AD" w:rsidRPr="00286216" w:rsidRDefault="004B55AD" w:rsidP="004B55AD">
            <w:pPr>
              <w:pStyle w:val="StyleZakonu"/>
              <w:rPr>
                <w:color w:val="000000" w:themeColor="text1"/>
              </w:rPr>
            </w:pPr>
            <w:r w:rsidRPr="00286216">
              <w:rPr>
                <w:color w:val="000000" w:themeColor="text1"/>
              </w:rPr>
              <w:t>2) передача документ</w:t>
            </w:r>
            <w:r w:rsidR="00F45BF1" w:rsidRPr="00286216">
              <w:rPr>
                <w:color w:val="000000" w:themeColor="text1"/>
              </w:rPr>
              <w:t>а</w:t>
            </w:r>
            <w:r w:rsidRPr="00286216">
              <w:rPr>
                <w:color w:val="000000" w:themeColor="text1"/>
              </w:rPr>
              <w:t>, що посвідчує право власності на відповідні товари або відповідну кількість відповідних товарів;</w:t>
            </w:r>
          </w:p>
          <w:p w14:paraId="4DB24320" w14:textId="706DB934" w:rsidR="004B55AD" w:rsidRPr="00286216" w:rsidRDefault="004B55AD" w:rsidP="004B55AD">
            <w:pPr>
              <w:pStyle w:val="StyleZakonu"/>
              <w:rPr>
                <w:color w:val="000000" w:themeColor="text1"/>
              </w:rPr>
            </w:pPr>
            <w:r w:rsidRPr="00286216">
              <w:rPr>
                <w:color w:val="000000" w:themeColor="text1"/>
              </w:rPr>
              <w:t xml:space="preserve">3) інші передбачені законом способи передачі права власності на визначену кількість продукції без фізичної її поставки, включаючи номінацію, подання графіків, повідомлення </w:t>
            </w:r>
            <w:r w:rsidR="00F45BF1" w:rsidRPr="00286216">
              <w:rPr>
                <w:color w:val="000000" w:themeColor="text1"/>
              </w:rPr>
              <w:t xml:space="preserve">щодо </w:t>
            </w:r>
            <w:r w:rsidRPr="00286216">
              <w:rPr>
                <w:color w:val="000000" w:themeColor="text1"/>
              </w:rPr>
              <w:t>природного газу або електричної енергії.</w:t>
            </w:r>
          </w:p>
          <w:p w14:paraId="4AC60D06" w14:textId="77777777" w:rsidR="004B55AD" w:rsidRPr="00286216" w:rsidRDefault="004B55AD" w:rsidP="004B55AD">
            <w:pPr>
              <w:pStyle w:val="StyleZakonu"/>
              <w:rPr>
                <w:color w:val="000000" w:themeColor="text1"/>
              </w:rPr>
            </w:pPr>
            <w:r w:rsidRPr="00286216">
              <w:rPr>
                <w:color w:val="000000" w:themeColor="text1"/>
              </w:rPr>
              <w:t>6. Оптовий енергетичний продукт вважається таким, щодо якого фізична поставка є обов’язковою, якщо виконуються всі з таких умов:</w:t>
            </w:r>
          </w:p>
          <w:p w14:paraId="2AEE7653" w14:textId="77777777" w:rsidR="004B55AD" w:rsidRPr="00286216" w:rsidRDefault="004B55AD" w:rsidP="004B55AD">
            <w:pPr>
              <w:pStyle w:val="StyleZakonu"/>
              <w:rPr>
                <w:color w:val="000000" w:themeColor="text1"/>
              </w:rPr>
            </w:pPr>
            <w:r w:rsidRPr="00286216">
              <w:rPr>
                <w:color w:val="000000" w:themeColor="text1"/>
              </w:rPr>
              <w:t xml:space="preserve">1) його умови забезпечують обов’язкову наявність у сторін технічної можливості здійснити фізичну поставку та прийняти продукцію, що є предметом </w:t>
            </w:r>
            <w:r w:rsidRPr="00286216">
              <w:rPr>
                <w:color w:val="000000" w:themeColor="text1"/>
              </w:rPr>
              <w:lastRenderedPageBreak/>
              <w:t>договору. Правочини, стороною яких є оператори системи передачі або оператори газотранспортної системи, є такими, що забезпечують обов’язкову наявність у сторін технічної можливості здійснити фізичну поставку та прийняти продукцію, що є предметом договору.</w:t>
            </w:r>
          </w:p>
          <w:p w14:paraId="193E0B26" w14:textId="77777777" w:rsidR="004B55AD" w:rsidRPr="00286216" w:rsidRDefault="004B55AD" w:rsidP="004B55AD">
            <w:pPr>
              <w:pStyle w:val="StyleZakonu"/>
              <w:rPr>
                <w:color w:val="000000" w:themeColor="text1"/>
              </w:rPr>
            </w:pPr>
            <w:r w:rsidRPr="00286216">
              <w:rPr>
                <w:color w:val="000000" w:themeColor="text1"/>
              </w:rPr>
              <w:t>2) його умовами передбачено безумовні та безвідкличні зобов’язання сторін здійснити фізичну поставку та прийняти продукцію, що є предметом договору;</w:t>
            </w:r>
          </w:p>
          <w:p w14:paraId="7C3E5EBB" w14:textId="77777777" w:rsidR="004B55AD" w:rsidRPr="00286216" w:rsidRDefault="004B55AD" w:rsidP="009A0754">
            <w:pPr>
              <w:pStyle w:val="StyleZakonu"/>
              <w:spacing w:after="40"/>
              <w:rPr>
                <w:color w:val="000000" w:themeColor="text1"/>
              </w:rPr>
            </w:pPr>
            <w:r w:rsidRPr="00286216">
              <w:rPr>
                <w:color w:val="000000" w:themeColor="text1"/>
              </w:rPr>
              <w:t>3) його умови не передбачають можливості жодної зі сторін виконати зобов’язання із здійснення поставки або прийняття продукції, що є предметом договору, шляхом заміни поставки здійсненням грошових розрахунків;</w:t>
            </w:r>
          </w:p>
          <w:p w14:paraId="7FC53965" w14:textId="3C66F1A2" w:rsidR="004B55AD" w:rsidRPr="00286216" w:rsidRDefault="004B55AD" w:rsidP="009A0754">
            <w:pPr>
              <w:pStyle w:val="StyleZakonu"/>
              <w:spacing w:after="40"/>
              <w:rPr>
                <w:color w:val="000000" w:themeColor="text1"/>
              </w:rPr>
            </w:pPr>
            <w:r w:rsidRPr="00286216">
              <w:rPr>
                <w:color w:val="000000" w:themeColor="text1"/>
              </w:rPr>
              <w:t xml:space="preserve">4) його умови не передбачають можливості припинення зобов’язань за таким правочином шляхом зарахування зустрічних однорідних вимог (крім зарахування однорідних грошових вимог та операційного неттінгу на ринку електричної енергії </w:t>
            </w:r>
            <w:r w:rsidR="00F45BF1" w:rsidRPr="00286216">
              <w:rPr>
                <w:color w:val="000000" w:themeColor="text1"/>
              </w:rPr>
              <w:t>або</w:t>
            </w:r>
            <w:r w:rsidRPr="00286216">
              <w:rPr>
                <w:color w:val="000000" w:themeColor="text1"/>
              </w:rPr>
              <w:t xml:space="preserve"> природного газу).</w:t>
            </w:r>
          </w:p>
          <w:p w14:paraId="4C37D57F" w14:textId="77777777" w:rsidR="004B55AD" w:rsidRPr="00286216" w:rsidRDefault="004B55AD" w:rsidP="009A0754">
            <w:pPr>
              <w:pStyle w:val="StyleZakonu"/>
              <w:spacing w:after="40"/>
              <w:rPr>
                <w:color w:val="000000" w:themeColor="text1"/>
              </w:rPr>
            </w:pPr>
            <w:r w:rsidRPr="00286216">
              <w:rPr>
                <w:color w:val="000000" w:themeColor="text1"/>
              </w:rPr>
              <w:t>7. Для цілей цієї статті деривативний контракт є таким, що укладається в комерційних цілях, якщо виконуються всі з таких умов:</w:t>
            </w:r>
          </w:p>
          <w:p w14:paraId="15064214" w14:textId="77777777" w:rsidR="004B55AD" w:rsidRPr="00286216" w:rsidRDefault="004B55AD" w:rsidP="009A0754">
            <w:pPr>
              <w:pStyle w:val="StyleZakonu"/>
              <w:spacing w:after="40"/>
              <w:rPr>
                <w:color w:val="000000" w:themeColor="text1"/>
              </w:rPr>
            </w:pPr>
            <w:r w:rsidRPr="00286216">
              <w:rPr>
                <w:color w:val="000000" w:themeColor="text1"/>
              </w:rPr>
              <w:t>1) стороною є оператор системи передачі, оператор газотранспортної системи;</w:t>
            </w:r>
          </w:p>
          <w:p w14:paraId="2C21C40C" w14:textId="349D4290" w:rsidR="004B55AD" w:rsidRPr="00286216" w:rsidRDefault="004B55AD" w:rsidP="009A0754">
            <w:pPr>
              <w:pStyle w:val="StyleZakonu"/>
              <w:spacing w:after="40"/>
              <w:rPr>
                <w:color w:val="000000" w:themeColor="text1"/>
              </w:rPr>
            </w:pPr>
            <w:r w:rsidRPr="00286216">
              <w:rPr>
                <w:color w:val="000000" w:themeColor="text1"/>
              </w:rPr>
              <w:t>2) деривативний контракт укладається з метою забезпечення балансу між попитом та пропозицією на електричну енергію або природн</w:t>
            </w:r>
            <w:r w:rsidR="00F45BF1" w:rsidRPr="00286216">
              <w:rPr>
                <w:color w:val="000000" w:themeColor="text1"/>
              </w:rPr>
              <w:t>и</w:t>
            </w:r>
            <w:r w:rsidRPr="00286216">
              <w:rPr>
                <w:color w:val="000000" w:themeColor="text1"/>
              </w:rPr>
              <w:t xml:space="preserve">й газ </w:t>
            </w:r>
            <w:r w:rsidR="00F45BF1" w:rsidRPr="00286216">
              <w:rPr>
                <w:color w:val="000000" w:themeColor="text1"/>
              </w:rPr>
              <w:t>у</w:t>
            </w:r>
            <w:r w:rsidRPr="00286216">
              <w:rPr>
                <w:color w:val="000000" w:themeColor="text1"/>
              </w:rPr>
              <w:t xml:space="preserve"> реальному часі, у тому числі контракти (договори) на придбання допоміжних послуг.</w:t>
            </w:r>
          </w:p>
          <w:p w14:paraId="266ABE7A" w14:textId="77777777" w:rsidR="004B55AD" w:rsidRPr="00286216" w:rsidRDefault="004B55AD" w:rsidP="009A0754">
            <w:pPr>
              <w:pStyle w:val="StyleZakonu"/>
              <w:spacing w:after="40"/>
              <w:rPr>
                <w:color w:val="000000" w:themeColor="text1"/>
              </w:rPr>
            </w:pPr>
            <w:r w:rsidRPr="00286216">
              <w:rPr>
                <w:color w:val="000000" w:themeColor="text1"/>
              </w:rPr>
              <w:t>8. Для цілей цієї статті деривативний контракт є таким, що має характеристики іншого деривативного фінансового інструменту, якщо виконуються всі з таких умов:</w:t>
            </w:r>
          </w:p>
          <w:p w14:paraId="681A180C" w14:textId="77777777" w:rsidR="004B55AD" w:rsidRPr="00286216" w:rsidRDefault="004B55AD" w:rsidP="009A0754">
            <w:pPr>
              <w:pStyle w:val="StyleZakonu"/>
              <w:spacing w:after="40"/>
              <w:rPr>
                <w:color w:val="000000" w:themeColor="text1"/>
              </w:rPr>
            </w:pPr>
            <w:r w:rsidRPr="00286216">
              <w:rPr>
                <w:color w:val="000000" w:themeColor="text1"/>
              </w:rPr>
              <w:t>1) контракт відповідає одному з таких критеріїв:</w:t>
            </w:r>
          </w:p>
          <w:p w14:paraId="68597887" w14:textId="66863D1C" w:rsidR="004B55AD" w:rsidRPr="00286216" w:rsidRDefault="004B55AD" w:rsidP="009A0754">
            <w:pPr>
              <w:pStyle w:val="StyleZakonu"/>
              <w:spacing w:after="40"/>
              <w:rPr>
                <w:color w:val="000000" w:themeColor="text1"/>
              </w:rPr>
            </w:pPr>
            <w:r w:rsidRPr="00286216">
              <w:rPr>
                <w:color w:val="000000" w:themeColor="text1"/>
              </w:rPr>
              <w:t>а) контракт допущено до торгів на багатосторонній системі в іноземній державі, що забезпечує виконання функцій регульованого ринку, БТМ або ОТМ;</w:t>
            </w:r>
          </w:p>
          <w:p w14:paraId="0EC3B0CF" w14:textId="77777777" w:rsidR="004B55AD" w:rsidRPr="00286216" w:rsidRDefault="004B55AD" w:rsidP="009A0754">
            <w:pPr>
              <w:pStyle w:val="StyleZakonu"/>
              <w:spacing w:after="40"/>
              <w:rPr>
                <w:color w:val="000000" w:themeColor="text1"/>
              </w:rPr>
            </w:pPr>
            <w:r w:rsidRPr="00286216">
              <w:rPr>
                <w:color w:val="000000" w:themeColor="text1"/>
              </w:rPr>
              <w:t xml:space="preserve">б) умовами контракту передбачена можливість його укладення виключно на регульованому ринку, БТМ або ОТМ, або на багатосторонній системі в </w:t>
            </w:r>
            <w:r w:rsidRPr="00286216">
              <w:rPr>
                <w:color w:val="000000" w:themeColor="text1"/>
              </w:rPr>
              <w:lastRenderedPageBreak/>
              <w:t>іноземній державі, що забезпечує виконання функцій регульованого ринку, БТМ або ОТМ;</w:t>
            </w:r>
          </w:p>
          <w:p w14:paraId="0462B6D7" w14:textId="77777777" w:rsidR="004B55AD" w:rsidRPr="00286216" w:rsidRDefault="004B55AD" w:rsidP="009A0754">
            <w:pPr>
              <w:pStyle w:val="StyleZakonu"/>
              <w:spacing w:after="40"/>
              <w:rPr>
                <w:color w:val="000000" w:themeColor="text1"/>
              </w:rPr>
            </w:pPr>
            <w:r w:rsidRPr="00286216">
              <w:rPr>
                <w:color w:val="000000" w:themeColor="text1"/>
              </w:rPr>
              <w:t>в) контракт ідентичний контракту, що допущений до торгів на багатосторонній системі в іноземній державі, що забезпечує виконання функцій регульованого ринку, БТМ або ОТМ, в частині ціни, лоту, дати поставки та інших умов;</w:t>
            </w:r>
          </w:p>
          <w:p w14:paraId="5A0D0E13" w14:textId="100F58B8" w:rsidR="004B55AD" w:rsidRPr="00286216" w:rsidRDefault="004B55AD" w:rsidP="009A0754">
            <w:pPr>
              <w:pStyle w:val="StyleZakonu"/>
              <w:spacing w:after="40"/>
              <w:rPr>
                <w:color w:val="000000" w:themeColor="text1"/>
              </w:rPr>
            </w:pPr>
            <w:r w:rsidRPr="00286216">
              <w:rPr>
                <w:color w:val="000000" w:themeColor="text1"/>
              </w:rPr>
              <w:t>2) контракт є стандартизованим, внаслідок чого ціна, дата поставки та інші умови встановлюються у ньому шляхом посилання на опубліковані ціни, стандартні лоти або стандартні строки поставки</w:t>
            </w:r>
            <w:r w:rsidR="00F45BF1" w:rsidRPr="00286216">
              <w:rPr>
                <w:color w:val="000000" w:themeColor="text1"/>
              </w:rPr>
              <w:t>;</w:t>
            </w:r>
          </w:p>
          <w:p w14:paraId="41E1E30B" w14:textId="05CE4671" w:rsidR="004B55AD" w:rsidRPr="00286216" w:rsidRDefault="004B55AD" w:rsidP="009A0754">
            <w:pPr>
              <w:pStyle w:val="StyleZakonu"/>
              <w:spacing w:after="40"/>
              <w:rPr>
                <w:color w:val="000000" w:themeColor="text1"/>
              </w:rPr>
            </w:pPr>
            <w:r w:rsidRPr="00286216">
              <w:rPr>
                <w:color w:val="000000" w:themeColor="text1"/>
              </w:rPr>
              <w:t>3) контракт (договір) не підпадає під винятки, передбачені частиною другою цієї статті.</w:t>
            </w:r>
          </w:p>
        </w:tc>
      </w:tr>
      <w:tr w:rsidR="00F77E8D" w:rsidRPr="00286216" w14:paraId="0FD0FB3C" w14:textId="77777777" w:rsidTr="00091AA5">
        <w:tc>
          <w:tcPr>
            <w:tcW w:w="576" w:type="dxa"/>
          </w:tcPr>
          <w:p w14:paraId="3C1A9CB8" w14:textId="77777777" w:rsidR="004B55AD" w:rsidRPr="00286216" w:rsidRDefault="004B55AD" w:rsidP="004B55AD">
            <w:pPr>
              <w:pStyle w:val="StyleWisnow"/>
              <w:rPr>
                <w:color w:val="000000" w:themeColor="text1"/>
              </w:rPr>
            </w:pPr>
          </w:p>
        </w:tc>
        <w:tc>
          <w:tcPr>
            <w:tcW w:w="4818" w:type="dxa"/>
          </w:tcPr>
          <w:p w14:paraId="63FB1CE0" w14:textId="77777777" w:rsidR="004B55AD" w:rsidRPr="00286216" w:rsidRDefault="004B55AD" w:rsidP="004B55AD">
            <w:pPr>
              <w:pStyle w:val="StyleProp"/>
              <w:rPr>
                <w:color w:val="000000" w:themeColor="text1"/>
              </w:rPr>
            </w:pPr>
          </w:p>
        </w:tc>
        <w:tc>
          <w:tcPr>
            <w:tcW w:w="3686" w:type="dxa"/>
          </w:tcPr>
          <w:p w14:paraId="32E6F198" w14:textId="51EE4542"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217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0CF158E" w14:textId="039A94D2" w:rsidR="004B55AD" w:rsidRPr="00286216" w:rsidRDefault="004B55AD" w:rsidP="004B55AD">
            <w:pPr>
              <w:pStyle w:val="StyleProp"/>
              <w:rPr>
                <w:color w:val="000000" w:themeColor="text1"/>
                <w:szCs w:val="18"/>
              </w:rPr>
            </w:pPr>
            <w:r w:rsidRPr="00286216">
              <w:rPr>
                <w:color w:val="000000" w:themeColor="text1"/>
                <w:szCs w:val="18"/>
              </w:rPr>
              <w:t>Після статті 5 доповнити законопроект назвою розділу такого змісту:</w:t>
            </w:r>
          </w:p>
          <w:p w14:paraId="338FBC01" w14:textId="3D5456C2" w:rsidR="004B55AD" w:rsidRPr="00286216" w:rsidRDefault="004B55AD" w:rsidP="004B55AD">
            <w:pPr>
              <w:pStyle w:val="StyleProp"/>
              <w:rPr>
                <w:b/>
                <w:i/>
                <w:color w:val="000000" w:themeColor="text1"/>
                <w:spacing w:val="-4"/>
                <w:u w:val="single"/>
              </w:rPr>
            </w:pPr>
            <w:r w:rsidRPr="00286216">
              <w:rPr>
                <w:color w:val="000000" w:themeColor="text1"/>
                <w:szCs w:val="18"/>
              </w:rPr>
              <w:t xml:space="preserve">"Розділ ІІ </w:t>
            </w:r>
            <w:r w:rsidRPr="00286216">
              <w:rPr>
                <w:color w:val="000000" w:themeColor="text1"/>
              </w:rPr>
              <w:t>ЦІННІ ПАПЕРИ"</w:t>
            </w:r>
          </w:p>
        </w:tc>
        <w:tc>
          <w:tcPr>
            <w:tcW w:w="1987" w:type="dxa"/>
          </w:tcPr>
          <w:p w14:paraId="19C08768" w14:textId="77777777" w:rsidR="004B55AD" w:rsidRPr="00286216" w:rsidRDefault="004B55AD" w:rsidP="004B55AD">
            <w:pPr>
              <w:pStyle w:val="StyleWisnow"/>
              <w:rPr>
                <w:color w:val="000000" w:themeColor="text1"/>
              </w:rPr>
            </w:pPr>
            <w:r w:rsidRPr="00286216">
              <w:rPr>
                <w:color w:val="000000" w:themeColor="text1"/>
              </w:rPr>
              <w:t>Враховано</w:t>
            </w:r>
          </w:p>
          <w:p w14:paraId="2C2C4B28" w14:textId="77777777" w:rsidR="004B55AD" w:rsidRPr="00286216" w:rsidRDefault="004B55AD" w:rsidP="004B55AD">
            <w:pPr>
              <w:pStyle w:val="StyleWisnow"/>
              <w:rPr>
                <w:color w:val="000000" w:themeColor="text1"/>
              </w:rPr>
            </w:pPr>
          </w:p>
        </w:tc>
        <w:tc>
          <w:tcPr>
            <w:tcW w:w="4818" w:type="dxa"/>
          </w:tcPr>
          <w:p w14:paraId="0A176798" w14:textId="77777777" w:rsidR="004B55AD" w:rsidRPr="00286216" w:rsidRDefault="004B55AD" w:rsidP="004B55AD">
            <w:pPr>
              <w:pStyle w:val="StyleZakonu"/>
              <w:spacing w:after="0"/>
              <w:ind w:firstLine="0"/>
              <w:jc w:val="center"/>
              <w:rPr>
                <w:color w:val="000000" w:themeColor="text1"/>
              </w:rPr>
            </w:pPr>
            <w:r w:rsidRPr="00286216">
              <w:rPr>
                <w:color w:val="000000" w:themeColor="text1"/>
              </w:rPr>
              <w:t>Розділ II</w:t>
            </w:r>
          </w:p>
          <w:p w14:paraId="3A4BFA60" w14:textId="4CE6FC4D" w:rsidR="004B55AD" w:rsidRPr="00286216" w:rsidRDefault="004B55AD" w:rsidP="004B55AD">
            <w:pPr>
              <w:pStyle w:val="StyleZakonu"/>
              <w:ind w:firstLine="0"/>
              <w:jc w:val="center"/>
              <w:rPr>
                <w:color w:val="000000" w:themeColor="text1"/>
              </w:rPr>
            </w:pPr>
            <w:r w:rsidRPr="00286216">
              <w:rPr>
                <w:color w:val="000000" w:themeColor="text1"/>
              </w:rPr>
              <w:t>ЦІННІ ПАПЕРИ</w:t>
            </w:r>
          </w:p>
        </w:tc>
      </w:tr>
      <w:tr w:rsidR="00F77E8D" w:rsidRPr="00286216" w14:paraId="2932AF35" w14:textId="77777777" w:rsidTr="00091AA5">
        <w:tc>
          <w:tcPr>
            <w:tcW w:w="576" w:type="dxa"/>
          </w:tcPr>
          <w:p w14:paraId="6F9C9FAC" w14:textId="77777777" w:rsidR="004B55AD" w:rsidRPr="00286216" w:rsidRDefault="004B55AD" w:rsidP="004B55AD">
            <w:pPr>
              <w:pStyle w:val="StyleWisnow"/>
              <w:rPr>
                <w:color w:val="000000" w:themeColor="text1"/>
              </w:rPr>
            </w:pPr>
            <w:r w:rsidRPr="00286216">
              <w:rPr>
                <w:color w:val="000000" w:themeColor="text1"/>
              </w:rPr>
              <w:t>179.</w:t>
            </w:r>
          </w:p>
        </w:tc>
        <w:tc>
          <w:tcPr>
            <w:tcW w:w="4818" w:type="dxa"/>
          </w:tcPr>
          <w:p w14:paraId="66A68E7B" w14:textId="77777777" w:rsidR="004B55AD" w:rsidRPr="00286216" w:rsidRDefault="004B55AD" w:rsidP="004B55AD">
            <w:pPr>
              <w:pStyle w:val="StyleZakonu"/>
              <w:rPr>
                <w:color w:val="000000" w:themeColor="text1"/>
              </w:rPr>
            </w:pPr>
            <w:r w:rsidRPr="00286216">
              <w:rPr>
                <w:color w:val="000000" w:themeColor="text1"/>
              </w:rPr>
              <w:t>Стаття 6. Цінні папери та їх класифікація</w:t>
            </w:r>
          </w:p>
        </w:tc>
        <w:tc>
          <w:tcPr>
            <w:tcW w:w="3686" w:type="dxa"/>
          </w:tcPr>
          <w:p w14:paraId="2044D07F" w14:textId="0B0BF365"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218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EB4EE69" w14:textId="5C615644" w:rsidR="004B55AD" w:rsidRPr="00286216" w:rsidRDefault="004B55AD" w:rsidP="004B55AD">
            <w:pPr>
              <w:pStyle w:val="StyleProp"/>
              <w:rPr>
                <w:color w:val="000000" w:themeColor="text1"/>
                <w:szCs w:val="18"/>
              </w:rPr>
            </w:pPr>
            <w:r w:rsidRPr="00286216">
              <w:rPr>
                <w:color w:val="000000" w:themeColor="text1"/>
                <w:szCs w:val="18"/>
              </w:rPr>
              <w:t>Текст статті 6 викласти у такій редакції:</w:t>
            </w:r>
          </w:p>
        </w:tc>
        <w:tc>
          <w:tcPr>
            <w:tcW w:w="1987" w:type="dxa"/>
          </w:tcPr>
          <w:p w14:paraId="7FD66E43" w14:textId="77777777" w:rsidR="004B55AD" w:rsidRPr="00286216" w:rsidRDefault="004B55AD" w:rsidP="004B55AD">
            <w:pPr>
              <w:pStyle w:val="StyleWisnow"/>
              <w:rPr>
                <w:color w:val="000000" w:themeColor="text1"/>
              </w:rPr>
            </w:pPr>
            <w:r w:rsidRPr="00286216">
              <w:rPr>
                <w:color w:val="000000" w:themeColor="text1"/>
              </w:rPr>
              <w:t>Враховано</w:t>
            </w:r>
          </w:p>
          <w:p w14:paraId="1E2AF0F0" w14:textId="4D6B2136" w:rsidR="004B55AD" w:rsidRPr="00286216" w:rsidRDefault="004B55AD" w:rsidP="004B55AD">
            <w:pPr>
              <w:pStyle w:val="StyleWisnow"/>
              <w:rPr>
                <w:color w:val="000000" w:themeColor="text1"/>
              </w:rPr>
            </w:pPr>
          </w:p>
        </w:tc>
        <w:tc>
          <w:tcPr>
            <w:tcW w:w="4818" w:type="dxa"/>
          </w:tcPr>
          <w:p w14:paraId="7069E2E7" w14:textId="5DF12C21" w:rsidR="004B55AD" w:rsidRPr="00286216" w:rsidRDefault="004B55AD" w:rsidP="004B55AD">
            <w:pPr>
              <w:pStyle w:val="StyleZakonu"/>
              <w:rPr>
                <w:color w:val="000000" w:themeColor="text1"/>
              </w:rPr>
            </w:pPr>
            <w:r w:rsidRPr="00286216">
              <w:rPr>
                <w:color w:val="000000" w:themeColor="text1"/>
              </w:rPr>
              <w:t>Стаття 8. Цінні папери та їх класифікація</w:t>
            </w:r>
          </w:p>
        </w:tc>
      </w:tr>
      <w:tr w:rsidR="00F77E8D" w:rsidRPr="00286216" w14:paraId="12E2E5FB" w14:textId="77777777" w:rsidTr="00091AA5">
        <w:tc>
          <w:tcPr>
            <w:tcW w:w="576" w:type="dxa"/>
          </w:tcPr>
          <w:p w14:paraId="18783E53" w14:textId="77777777" w:rsidR="004B55AD" w:rsidRPr="00286216" w:rsidRDefault="004B55AD" w:rsidP="004B55AD">
            <w:pPr>
              <w:pStyle w:val="StyleWisnow"/>
              <w:rPr>
                <w:color w:val="000000" w:themeColor="text1"/>
              </w:rPr>
            </w:pPr>
            <w:bookmarkStart w:id="188" w:name="n180" w:colFirst="0" w:colLast="0"/>
            <w:r w:rsidRPr="00286216">
              <w:rPr>
                <w:color w:val="000000" w:themeColor="text1"/>
              </w:rPr>
              <w:t>180.</w:t>
            </w:r>
          </w:p>
        </w:tc>
        <w:tc>
          <w:tcPr>
            <w:tcW w:w="4818" w:type="dxa"/>
          </w:tcPr>
          <w:p w14:paraId="57FBC739" w14:textId="77777777" w:rsidR="004B55AD" w:rsidRPr="00286216" w:rsidRDefault="004B55AD" w:rsidP="004B55AD">
            <w:pPr>
              <w:pStyle w:val="StyleZakonu"/>
              <w:rPr>
                <w:color w:val="000000" w:themeColor="text1"/>
              </w:rPr>
            </w:pPr>
            <w:r w:rsidRPr="00286216">
              <w:rPr>
                <w:color w:val="000000" w:themeColor="text1"/>
              </w:rPr>
              <w:t>1. Цінним папером є документ установленої форми з відповідними реквізитами, що посвідчує грошове або інше майнове право, визначає взаємовідносини емітента цінного папера (особи, яка видала цінний папір) і особи, що має права на цінний папір, та передбачає виконання зобов’язань за таким цінним папером, а також можливість передачі прав на цінний папір та прав за цінним папером іншим особам.</w:t>
            </w:r>
          </w:p>
        </w:tc>
        <w:tc>
          <w:tcPr>
            <w:tcW w:w="3686" w:type="dxa"/>
          </w:tcPr>
          <w:p w14:paraId="116CFC19" w14:textId="79AD921C" w:rsidR="004B55AD" w:rsidRPr="00286216" w:rsidRDefault="004B55AD" w:rsidP="004B55AD">
            <w:pPr>
              <w:pStyle w:val="StyleProp"/>
              <w:spacing w:line="190" w:lineRule="exact"/>
              <w:rPr>
                <w:color w:val="000000" w:themeColor="text1"/>
                <w:spacing w:val="-1"/>
                <w:szCs w:val="18"/>
              </w:rPr>
            </w:pPr>
            <w:r w:rsidRPr="00286216">
              <w:rPr>
                <w:color w:val="000000" w:themeColor="text1"/>
                <w:spacing w:val="-1"/>
              </w:rPr>
              <w:t>"1. Цінним папером є документ установленої форми з відповідними реквізитами, що посвідчує грошове або інше майнове право, визначає взаємовідносини емітента цінного папера (особи, яка видала цінний папір) і особи, яка має права на цінний папір, та передбачає виконання зобов’язань за таким цінним папером, а також можливість передачі прав на цінний папір та прав за цінним папером іншим особам.</w:t>
            </w:r>
          </w:p>
        </w:tc>
        <w:tc>
          <w:tcPr>
            <w:tcW w:w="1987" w:type="dxa"/>
          </w:tcPr>
          <w:p w14:paraId="0CD5E0E5" w14:textId="2D7AB8D1" w:rsidR="004B55AD" w:rsidRPr="00286216" w:rsidRDefault="004B55AD" w:rsidP="004B55AD">
            <w:pPr>
              <w:pStyle w:val="StyleWisnow"/>
              <w:rPr>
                <w:color w:val="000000" w:themeColor="text1"/>
              </w:rPr>
            </w:pPr>
          </w:p>
        </w:tc>
        <w:tc>
          <w:tcPr>
            <w:tcW w:w="4818" w:type="dxa"/>
          </w:tcPr>
          <w:p w14:paraId="0421771A" w14:textId="6706A71E" w:rsidR="004B55AD" w:rsidRPr="00286216" w:rsidRDefault="004B55AD" w:rsidP="004B55AD">
            <w:pPr>
              <w:pStyle w:val="StyleZakonu"/>
              <w:rPr>
                <w:color w:val="000000" w:themeColor="text1"/>
              </w:rPr>
            </w:pPr>
            <w:r w:rsidRPr="00286216">
              <w:rPr>
                <w:color w:val="000000" w:themeColor="text1"/>
              </w:rPr>
              <w:t>1. Цінним папером є документ установленої форми з відповідними реквізитами, що посвідчує грошове або інше майнове право, визначає взаємовідносини емітента цінного папера (особи, яка видала цінний папір) і особи, яка має права на цінний папір, та передбачає виконання зобов’язань за таким цінним папером, а також можливість передачі прав на цінний папір та прав за цінним папером іншим особам.</w:t>
            </w:r>
          </w:p>
        </w:tc>
      </w:tr>
      <w:tr w:rsidR="00F77E8D" w:rsidRPr="00286216" w14:paraId="584E5F84" w14:textId="77777777" w:rsidTr="00091AA5">
        <w:tc>
          <w:tcPr>
            <w:tcW w:w="576" w:type="dxa"/>
          </w:tcPr>
          <w:p w14:paraId="259D973E" w14:textId="77777777" w:rsidR="004B55AD" w:rsidRPr="00286216" w:rsidRDefault="004B55AD" w:rsidP="004B55AD">
            <w:pPr>
              <w:pStyle w:val="StyleWisnow"/>
              <w:rPr>
                <w:color w:val="000000" w:themeColor="text1"/>
              </w:rPr>
            </w:pPr>
            <w:bookmarkStart w:id="189" w:name="n181" w:colFirst="0" w:colLast="0"/>
            <w:bookmarkEnd w:id="188"/>
            <w:r w:rsidRPr="00286216">
              <w:rPr>
                <w:color w:val="000000" w:themeColor="text1"/>
              </w:rPr>
              <w:t>181.</w:t>
            </w:r>
          </w:p>
        </w:tc>
        <w:tc>
          <w:tcPr>
            <w:tcW w:w="4818" w:type="dxa"/>
          </w:tcPr>
          <w:p w14:paraId="29BFDCD2" w14:textId="77777777" w:rsidR="004B55AD" w:rsidRPr="00286216" w:rsidRDefault="004B55AD" w:rsidP="004B55AD">
            <w:pPr>
              <w:pStyle w:val="StyleZakonu"/>
              <w:rPr>
                <w:color w:val="000000" w:themeColor="text1"/>
              </w:rPr>
            </w:pPr>
            <w:r w:rsidRPr="00286216">
              <w:rPr>
                <w:color w:val="000000" w:themeColor="text1"/>
              </w:rPr>
              <w:t>2. Цінні папери за порядком їх розміщення або видачі поділяються на емісійні або неемісійні.</w:t>
            </w:r>
          </w:p>
        </w:tc>
        <w:tc>
          <w:tcPr>
            <w:tcW w:w="3686" w:type="dxa"/>
          </w:tcPr>
          <w:p w14:paraId="40874014" w14:textId="1CB81B93" w:rsidR="004B55AD" w:rsidRPr="00286216" w:rsidRDefault="004B55AD" w:rsidP="004B55AD">
            <w:pPr>
              <w:pStyle w:val="StyleProp"/>
              <w:spacing w:line="190" w:lineRule="exact"/>
              <w:rPr>
                <w:color w:val="000000" w:themeColor="text1"/>
                <w:szCs w:val="18"/>
              </w:rPr>
            </w:pPr>
            <w:r w:rsidRPr="00286216">
              <w:rPr>
                <w:color w:val="000000" w:themeColor="text1"/>
              </w:rPr>
              <w:t>2. Цінні папери за порядком їх розміщення або видачі поділяються на емісійні або неемісійні.</w:t>
            </w:r>
          </w:p>
        </w:tc>
        <w:tc>
          <w:tcPr>
            <w:tcW w:w="1987" w:type="dxa"/>
          </w:tcPr>
          <w:p w14:paraId="1FB2064D" w14:textId="77777777" w:rsidR="004B55AD" w:rsidRPr="00286216" w:rsidRDefault="004B55AD" w:rsidP="004B55AD">
            <w:pPr>
              <w:pStyle w:val="StyleWisnow"/>
              <w:rPr>
                <w:color w:val="000000" w:themeColor="text1"/>
              </w:rPr>
            </w:pPr>
          </w:p>
        </w:tc>
        <w:tc>
          <w:tcPr>
            <w:tcW w:w="4818" w:type="dxa"/>
          </w:tcPr>
          <w:p w14:paraId="0BA872F2" w14:textId="149E8D42" w:rsidR="004B55AD" w:rsidRPr="00286216" w:rsidRDefault="004B55AD" w:rsidP="004B55AD">
            <w:pPr>
              <w:pStyle w:val="StyleZakonu"/>
              <w:rPr>
                <w:color w:val="000000" w:themeColor="text1"/>
              </w:rPr>
            </w:pPr>
            <w:r w:rsidRPr="00286216">
              <w:rPr>
                <w:color w:val="000000" w:themeColor="text1"/>
              </w:rPr>
              <w:t>2. Цінні папери за порядком їх розміщення або видачі поділяються на емісійні або неемісійні.</w:t>
            </w:r>
          </w:p>
        </w:tc>
      </w:tr>
      <w:tr w:rsidR="00F77E8D" w:rsidRPr="00286216" w14:paraId="3E8EC6E4" w14:textId="77777777" w:rsidTr="00091AA5">
        <w:tc>
          <w:tcPr>
            <w:tcW w:w="576" w:type="dxa"/>
          </w:tcPr>
          <w:p w14:paraId="51B32E3B" w14:textId="77777777" w:rsidR="004B55AD" w:rsidRPr="00286216" w:rsidRDefault="004B55AD" w:rsidP="004B55AD">
            <w:pPr>
              <w:pStyle w:val="StyleWisnow"/>
              <w:rPr>
                <w:color w:val="000000" w:themeColor="text1"/>
              </w:rPr>
            </w:pPr>
            <w:bookmarkStart w:id="190" w:name="n182" w:colFirst="0" w:colLast="0"/>
            <w:bookmarkEnd w:id="189"/>
            <w:r w:rsidRPr="00286216">
              <w:rPr>
                <w:color w:val="000000" w:themeColor="text1"/>
              </w:rPr>
              <w:t>182.</w:t>
            </w:r>
          </w:p>
        </w:tc>
        <w:tc>
          <w:tcPr>
            <w:tcW w:w="4818" w:type="dxa"/>
          </w:tcPr>
          <w:p w14:paraId="6201811F" w14:textId="77777777" w:rsidR="004B55AD" w:rsidRPr="00286216" w:rsidRDefault="004B55AD" w:rsidP="004B55AD">
            <w:pPr>
              <w:pStyle w:val="StyleZakonu"/>
              <w:rPr>
                <w:color w:val="000000" w:themeColor="text1"/>
              </w:rPr>
            </w:pPr>
            <w:r w:rsidRPr="00286216">
              <w:rPr>
                <w:color w:val="000000" w:themeColor="text1"/>
              </w:rPr>
              <w:t>Емісійні цінні папери - цінні папери, що посвідчують однакові права їх власників у межах одного випуску стосовно особи, яка бере на себе відповідні зобов’язання (емітента).</w:t>
            </w:r>
          </w:p>
        </w:tc>
        <w:tc>
          <w:tcPr>
            <w:tcW w:w="3686" w:type="dxa"/>
          </w:tcPr>
          <w:p w14:paraId="6EC36D7B" w14:textId="5E069364" w:rsidR="004B55AD" w:rsidRPr="00286216" w:rsidRDefault="004B55AD" w:rsidP="004B55AD">
            <w:pPr>
              <w:pStyle w:val="StyleProp"/>
              <w:spacing w:line="190" w:lineRule="exact"/>
              <w:rPr>
                <w:color w:val="000000" w:themeColor="text1"/>
                <w:szCs w:val="18"/>
              </w:rPr>
            </w:pPr>
            <w:r w:rsidRPr="00286216">
              <w:rPr>
                <w:color w:val="000000" w:themeColor="text1"/>
              </w:rPr>
              <w:t>Емісійні цінні папери – це цінні папери, що посвідчують однакові права їх власників у межах одного випуску цінних паперів стосовно особи, яка бере на себе відповідні зобов’язання (емітента).</w:t>
            </w:r>
          </w:p>
        </w:tc>
        <w:tc>
          <w:tcPr>
            <w:tcW w:w="1987" w:type="dxa"/>
          </w:tcPr>
          <w:p w14:paraId="5A4C051D" w14:textId="77777777" w:rsidR="004B55AD" w:rsidRPr="00286216" w:rsidRDefault="004B55AD" w:rsidP="004B55AD">
            <w:pPr>
              <w:pStyle w:val="StyleWisnow"/>
              <w:rPr>
                <w:color w:val="000000" w:themeColor="text1"/>
              </w:rPr>
            </w:pPr>
          </w:p>
        </w:tc>
        <w:tc>
          <w:tcPr>
            <w:tcW w:w="4818" w:type="dxa"/>
          </w:tcPr>
          <w:p w14:paraId="316D0613" w14:textId="653C9008" w:rsidR="004B55AD" w:rsidRPr="00286216" w:rsidRDefault="004B55AD" w:rsidP="004B55AD">
            <w:pPr>
              <w:pStyle w:val="StyleZakonu"/>
              <w:rPr>
                <w:color w:val="000000" w:themeColor="text1"/>
              </w:rPr>
            </w:pPr>
            <w:r w:rsidRPr="00286216">
              <w:rPr>
                <w:color w:val="000000" w:themeColor="text1"/>
              </w:rPr>
              <w:t>Емісійні цінні папери – це цінні папери, що посвідчують однакові права їх власників у межах одного випуску цінних паперів стосовно особи, яка бере на себе відповідні зобов’язання (емітента).</w:t>
            </w:r>
          </w:p>
        </w:tc>
      </w:tr>
      <w:bookmarkEnd w:id="190"/>
      <w:tr w:rsidR="00F77E8D" w:rsidRPr="00286216" w14:paraId="3FF3426F" w14:textId="77777777" w:rsidTr="00091AA5">
        <w:tc>
          <w:tcPr>
            <w:tcW w:w="576" w:type="dxa"/>
          </w:tcPr>
          <w:p w14:paraId="386B3598" w14:textId="4D091129" w:rsidR="004B55AD" w:rsidRPr="00286216" w:rsidRDefault="004B55AD" w:rsidP="004B55AD">
            <w:pPr>
              <w:pStyle w:val="StyleWisnow"/>
              <w:rPr>
                <w:color w:val="000000" w:themeColor="text1"/>
              </w:rPr>
            </w:pPr>
            <w:r w:rsidRPr="00286216">
              <w:rPr>
                <w:color w:val="000000" w:themeColor="text1"/>
              </w:rPr>
              <w:t>183.</w:t>
            </w:r>
          </w:p>
        </w:tc>
        <w:tc>
          <w:tcPr>
            <w:tcW w:w="4818" w:type="dxa"/>
          </w:tcPr>
          <w:p w14:paraId="03F3CF7B" w14:textId="6FE43060" w:rsidR="004B55AD" w:rsidRPr="00286216" w:rsidRDefault="004B55AD" w:rsidP="004B55AD">
            <w:pPr>
              <w:pStyle w:val="StyleZakonu"/>
              <w:rPr>
                <w:color w:val="000000" w:themeColor="text1"/>
              </w:rPr>
            </w:pPr>
            <w:r w:rsidRPr="00286216">
              <w:rPr>
                <w:color w:val="000000" w:themeColor="text1"/>
              </w:rPr>
              <w:t>До емісійних цінних паперів належать:</w:t>
            </w:r>
          </w:p>
        </w:tc>
        <w:tc>
          <w:tcPr>
            <w:tcW w:w="3686" w:type="dxa"/>
          </w:tcPr>
          <w:p w14:paraId="3B6B4B32" w14:textId="3D515DFC" w:rsidR="004B55AD" w:rsidRPr="00286216" w:rsidRDefault="004B55AD" w:rsidP="004B55AD">
            <w:pPr>
              <w:pStyle w:val="StyleProp"/>
              <w:spacing w:line="190" w:lineRule="exact"/>
              <w:rPr>
                <w:color w:val="000000" w:themeColor="text1"/>
                <w:szCs w:val="18"/>
              </w:rPr>
            </w:pPr>
            <w:r w:rsidRPr="00286216">
              <w:rPr>
                <w:color w:val="000000" w:themeColor="text1"/>
              </w:rPr>
              <w:t>До емісійних цінних паперів належать:</w:t>
            </w:r>
          </w:p>
        </w:tc>
        <w:tc>
          <w:tcPr>
            <w:tcW w:w="1987" w:type="dxa"/>
          </w:tcPr>
          <w:p w14:paraId="1E3088C5" w14:textId="77777777" w:rsidR="004B55AD" w:rsidRPr="00286216" w:rsidRDefault="004B55AD" w:rsidP="004B55AD">
            <w:pPr>
              <w:pStyle w:val="StyleWisnow"/>
              <w:rPr>
                <w:color w:val="000000" w:themeColor="text1"/>
              </w:rPr>
            </w:pPr>
          </w:p>
        </w:tc>
        <w:tc>
          <w:tcPr>
            <w:tcW w:w="4818" w:type="dxa"/>
          </w:tcPr>
          <w:p w14:paraId="46FBAB9B" w14:textId="7D8FC6D1" w:rsidR="004B55AD" w:rsidRPr="00286216" w:rsidRDefault="004B55AD" w:rsidP="004B55AD">
            <w:pPr>
              <w:pStyle w:val="StyleZakonu"/>
              <w:rPr>
                <w:color w:val="000000" w:themeColor="text1"/>
              </w:rPr>
            </w:pPr>
            <w:r w:rsidRPr="00286216">
              <w:rPr>
                <w:color w:val="000000" w:themeColor="text1"/>
              </w:rPr>
              <w:t>До емісійних цінних паперів належать:</w:t>
            </w:r>
          </w:p>
        </w:tc>
      </w:tr>
      <w:tr w:rsidR="00F77E8D" w:rsidRPr="00286216" w14:paraId="6D269D8D" w14:textId="77777777" w:rsidTr="00091AA5">
        <w:tc>
          <w:tcPr>
            <w:tcW w:w="576" w:type="dxa"/>
          </w:tcPr>
          <w:p w14:paraId="24C62611" w14:textId="40321A2F" w:rsidR="004B55AD" w:rsidRPr="00286216" w:rsidRDefault="004B55AD" w:rsidP="004B55AD">
            <w:pPr>
              <w:pStyle w:val="StyleWisnow"/>
              <w:rPr>
                <w:color w:val="000000" w:themeColor="text1"/>
              </w:rPr>
            </w:pPr>
            <w:r w:rsidRPr="00286216">
              <w:rPr>
                <w:color w:val="000000" w:themeColor="text1"/>
              </w:rPr>
              <w:t>184.</w:t>
            </w:r>
          </w:p>
        </w:tc>
        <w:tc>
          <w:tcPr>
            <w:tcW w:w="4818" w:type="dxa"/>
          </w:tcPr>
          <w:p w14:paraId="60AF19F0" w14:textId="5D23436E" w:rsidR="004B55AD" w:rsidRPr="00286216" w:rsidRDefault="004B55AD" w:rsidP="004B55AD">
            <w:pPr>
              <w:pStyle w:val="StyleZakonu"/>
              <w:rPr>
                <w:color w:val="000000" w:themeColor="text1"/>
              </w:rPr>
            </w:pPr>
            <w:r w:rsidRPr="00286216">
              <w:rPr>
                <w:color w:val="000000" w:themeColor="text1"/>
              </w:rPr>
              <w:t>1) акції;</w:t>
            </w:r>
          </w:p>
        </w:tc>
        <w:tc>
          <w:tcPr>
            <w:tcW w:w="3686" w:type="dxa"/>
          </w:tcPr>
          <w:p w14:paraId="0AD51412" w14:textId="77777777" w:rsidR="004B55AD" w:rsidRPr="00286216" w:rsidRDefault="004B55AD" w:rsidP="004B55AD">
            <w:pPr>
              <w:pStyle w:val="StyleProp"/>
              <w:spacing w:line="190" w:lineRule="exact"/>
              <w:rPr>
                <w:color w:val="000000" w:themeColor="text1"/>
                <w:spacing w:val="-2"/>
              </w:rPr>
            </w:pPr>
            <w:r w:rsidRPr="00286216">
              <w:rPr>
                <w:color w:val="000000" w:themeColor="text1"/>
                <w:spacing w:val="-2"/>
              </w:rPr>
              <w:t>1) акції;</w:t>
            </w:r>
          </w:p>
          <w:p w14:paraId="3882FC22" w14:textId="28B95A60" w:rsidR="004B55AD" w:rsidRPr="00286216" w:rsidRDefault="004B55AD" w:rsidP="004B55AD">
            <w:pPr>
              <w:pStyle w:val="StyleProp"/>
              <w:spacing w:line="190" w:lineRule="exact"/>
              <w:rPr>
                <w:color w:val="000000" w:themeColor="text1"/>
                <w:spacing w:val="-5"/>
                <w:szCs w:val="18"/>
              </w:rPr>
            </w:pPr>
            <w:r w:rsidRPr="00286216">
              <w:rPr>
                <w:color w:val="000000" w:themeColor="text1"/>
                <w:spacing w:val="-5"/>
              </w:rPr>
              <w:t>2) акції корпоративних інвестиційних фондів;</w:t>
            </w:r>
          </w:p>
        </w:tc>
        <w:tc>
          <w:tcPr>
            <w:tcW w:w="1987" w:type="dxa"/>
          </w:tcPr>
          <w:p w14:paraId="140F6611" w14:textId="77777777" w:rsidR="004B55AD" w:rsidRPr="00286216" w:rsidRDefault="004B55AD" w:rsidP="004B55AD">
            <w:pPr>
              <w:pStyle w:val="StyleWisnow"/>
              <w:rPr>
                <w:color w:val="000000" w:themeColor="text1"/>
              </w:rPr>
            </w:pPr>
          </w:p>
        </w:tc>
        <w:tc>
          <w:tcPr>
            <w:tcW w:w="4818" w:type="dxa"/>
          </w:tcPr>
          <w:p w14:paraId="2DCB591E" w14:textId="0142698D" w:rsidR="004B55AD" w:rsidRPr="00286216" w:rsidRDefault="004B55AD" w:rsidP="004B55AD">
            <w:pPr>
              <w:pStyle w:val="StyleZakonu"/>
              <w:rPr>
                <w:color w:val="000000" w:themeColor="text1"/>
              </w:rPr>
            </w:pPr>
            <w:r w:rsidRPr="00286216">
              <w:rPr>
                <w:color w:val="000000" w:themeColor="text1"/>
              </w:rPr>
              <w:t>1) акції;</w:t>
            </w:r>
          </w:p>
        </w:tc>
      </w:tr>
      <w:tr w:rsidR="00F77E8D" w:rsidRPr="00286216" w14:paraId="22CAD784" w14:textId="77777777" w:rsidTr="00091AA5">
        <w:tc>
          <w:tcPr>
            <w:tcW w:w="576" w:type="dxa"/>
          </w:tcPr>
          <w:p w14:paraId="5F02CFAB" w14:textId="77777777" w:rsidR="004B55AD" w:rsidRPr="00286216" w:rsidRDefault="004B55AD" w:rsidP="004B55AD">
            <w:pPr>
              <w:pStyle w:val="StyleWisnow"/>
              <w:rPr>
                <w:color w:val="000000" w:themeColor="text1"/>
              </w:rPr>
            </w:pPr>
            <w:bookmarkStart w:id="191" w:name="n185" w:colFirst="0" w:colLast="0"/>
            <w:r w:rsidRPr="00286216">
              <w:rPr>
                <w:color w:val="000000" w:themeColor="text1"/>
              </w:rPr>
              <w:t>185.</w:t>
            </w:r>
          </w:p>
        </w:tc>
        <w:tc>
          <w:tcPr>
            <w:tcW w:w="4818" w:type="dxa"/>
          </w:tcPr>
          <w:p w14:paraId="09E5B821" w14:textId="77777777" w:rsidR="004B55AD" w:rsidRPr="00286216" w:rsidRDefault="004B55AD" w:rsidP="004B55AD">
            <w:pPr>
              <w:pStyle w:val="StyleZakonu"/>
              <w:rPr>
                <w:color w:val="000000" w:themeColor="text1"/>
              </w:rPr>
            </w:pPr>
            <w:r w:rsidRPr="00286216">
              <w:rPr>
                <w:color w:val="000000" w:themeColor="text1"/>
              </w:rPr>
              <w:t>2) акції корпоративного інвестиційного фонду;</w:t>
            </w:r>
          </w:p>
        </w:tc>
        <w:tc>
          <w:tcPr>
            <w:tcW w:w="3686" w:type="dxa"/>
          </w:tcPr>
          <w:p w14:paraId="4A4DA9DA" w14:textId="77777777" w:rsidR="004B55AD" w:rsidRPr="00286216" w:rsidRDefault="004B55AD" w:rsidP="004B55AD">
            <w:pPr>
              <w:pStyle w:val="StyleProp"/>
              <w:spacing w:line="190" w:lineRule="exact"/>
              <w:rPr>
                <w:color w:val="000000" w:themeColor="text1"/>
              </w:rPr>
            </w:pPr>
            <w:r w:rsidRPr="00286216">
              <w:rPr>
                <w:color w:val="000000" w:themeColor="text1"/>
              </w:rPr>
              <w:t>3) корпоративні облігації;</w:t>
            </w:r>
          </w:p>
          <w:p w14:paraId="4CD577C5" w14:textId="40BF18B2" w:rsidR="004B55AD" w:rsidRPr="00286216" w:rsidRDefault="004B55AD" w:rsidP="004B55AD">
            <w:pPr>
              <w:pStyle w:val="StyleProp"/>
              <w:spacing w:line="190" w:lineRule="exact"/>
              <w:rPr>
                <w:color w:val="000000" w:themeColor="text1"/>
                <w:szCs w:val="18"/>
              </w:rPr>
            </w:pPr>
            <w:r w:rsidRPr="00286216">
              <w:rPr>
                <w:color w:val="000000" w:themeColor="text1"/>
              </w:rPr>
              <w:t>4) облігації місцевих позик;</w:t>
            </w:r>
          </w:p>
        </w:tc>
        <w:tc>
          <w:tcPr>
            <w:tcW w:w="1987" w:type="dxa"/>
          </w:tcPr>
          <w:p w14:paraId="346099BB" w14:textId="77777777" w:rsidR="004B55AD" w:rsidRPr="00286216" w:rsidRDefault="004B55AD" w:rsidP="004B55AD">
            <w:pPr>
              <w:pStyle w:val="StyleWisnow"/>
              <w:rPr>
                <w:color w:val="000000" w:themeColor="text1"/>
              </w:rPr>
            </w:pPr>
          </w:p>
        </w:tc>
        <w:tc>
          <w:tcPr>
            <w:tcW w:w="4818" w:type="dxa"/>
          </w:tcPr>
          <w:p w14:paraId="78F67A9D" w14:textId="6BD7EE02" w:rsidR="004B55AD" w:rsidRPr="00286216" w:rsidRDefault="004B55AD" w:rsidP="004B55AD">
            <w:pPr>
              <w:pStyle w:val="StyleZakonu"/>
              <w:rPr>
                <w:color w:val="000000" w:themeColor="text1"/>
              </w:rPr>
            </w:pPr>
            <w:r w:rsidRPr="00286216">
              <w:rPr>
                <w:color w:val="000000" w:themeColor="text1"/>
              </w:rPr>
              <w:t>2) акції корпоративних інвестиційних фондів;</w:t>
            </w:r>
          </w:p>
        </w:tc>
      </w:tr>
      <w:tr w:rsidR="00F77E8D" w:rsidRPr="00286216" w14:paraId="4BF78BA6" w14:textId="77777777" w:rsidTr="00091AA5">
        <w:tc>
          <w:tcPr>
            <w:tcW w:w="576" w:type="dxa"/>
          </w:tcPr>
          <w:p w14:paraId="5ABAADCE" w14:textId="77777777" w:rsidR="004B55AD" w:rsidRPr="00286216" w:rsidRDefault="004B55AD" w:rsidP="004B55AD">
            <w:pPr>
              <w:pStyle w:val="StyleWisnow"/>
              <w:rPr>
                <w:color w:val="000000" w:themeColor="text1"/>
              </w:rPr>
            </w:pPr>
            <w:bookmarkStart w:id="192" w:name="n186" w:colFirst="0" w:colLast="0"/>
            <w:bookmarkEnd w:id="191"/>
            <w:r w:rsidRPr="00286216">
              <w:rPr>
                <w:color w:val="000000" w:themeColor="text1"/>
              </w:rPr>
              <w:t>186.</w:t>
            </w:r>
          </w:p>
        </w:tc>
        <w:tc>
          <w:tcPr>
            <w:tcW w:w="4818" w:type="dxa"/>
          </w:tcPr>
          <w:p w14:paraId="46AAA348" w14:textId="77777777" w:rsidR="004B55AD" w:rsidRPr="00286216" w:rsidRDefault="004B55AD" w:rsidP="004B55AD">
            <w:pPr>
              <w:pStyle w:val="StyleZakonu"/>
              <w:rPr>
                <w:color w:val="000000" w:themeColor="text1"/>
              </w:rPr>
            </w:pPr>
            <w:r w:rsidRPr="00286216">
              <w:rPr>
                <w:color w:val="000000" w:themeColor="text1"/>
              </w:rPr>
              <w:t>3) корпоративні облігації;</w:t>
            </w:r>
          </w:p>
        </w:tc>
        <w:tc>
          <w:tcPr>
            <w:tcW w:w="3686" w:type="dxa"/>
          </w:tcPr>
          <w:p w14:paraId="7475BA12" w14:textId="77777777" w:rsidR="004B55AD" w:rsidRPr="00286216" w:rsidRDefault="004B55AD" w:rsidP="004B55AD">
            <w:pPr>
              <w:pStyle w:val="StyleProp"/>
              <w:spacing w:line="190" w:lineRule="exact"/>
              <w:rPr>
                <w:color w:val="000000" w:themeColor="text1"/>
              </w:rPr>
            </w:pPr>
            <w:r w:rsidRPr="00286216">
              <w:rPr>
                <w:color w:val="000000" w:themeColor="text1"/>
              </w:rPr>
              <w:t>5) державні облігації України;</w:t>
            </w:r>
          </w:p>
          <w:p w14:paraId="1B46ED21" w14:textId="0C2F07D3" w:rsidR="004B55AD" w:rsidRPr="00286216" w:rsidRDefault="004B55AD" w:rsidP="004B55AD">
            <w:pPr>
              <w:pStyle w:val="StyleProp"/>
              <w:spacing w:line="190" w:lineRule="exact"/>
              <w:rPr>
                <w:color w:val="000000" w:themeColor="text1"/>
                <w:szCs w:val="18"/>
              </w:rPr>
            </w:pPr>
            <w:r w:rsidRPr="00286216">
              <w:rPr>
                <w:color w:val="000000" w:themeColor="text1"/>
              </w:rPr>
              <w:t>6) облігації міжнародних фінансових організацій;</w:t>
            </w:r>
          </w:p>
        </w:tc>
        <w:tc>
          <w:tcPr>
            <w:tcW w:w="1987" w:type="dxa"/>
          </w:tcPr>
          <w:p w14:paraId="0B03DB04" w14:textId="77777777" w:rsidR="004B55AD" w:rsidRPr="00286216" w:rsidRDefault="004B55AD" w:rsidP="004B55AD">
            <w:pPr>
              <w:pStyle w:val="StyleWisnow"/>
              <w:rPr>
                <w:color w:val="000000" w:themeColor="text1"/>
              </w:rPr>
            </w:pPr>
          </w:p>
        </w:tc>
        <w:tc>
          <w:tcPr>
            <w:tcW w:w="4818" w:type="dxa"/>
          </w:tcPr>
          <w:p w14:paraId="2DF5DBA1" w14:textId="55D2ADE0" w:rsidR="004B55AD" w:rsidRPr="00286216" w:rsidRDefault="004B55AD" w:rsidP="004B55AD">
            <w:pPr>
              <w:pStyle w:val="StyleZakonu"/>
              <w:rPr>
                <w:color w:val="000000" w:themeColor="text1"/>
              </w:rPr>
            </w:pPr>
            <w:r w:rsidRPr="00286216">
              <w:rPr>
                <w:color w:val="000000" w:themeColor="text1"/>
              </w:rPr>
              <w:t>3) корпоративні облігації;</w:t>
            </w:r>
          </w:p>
        </w:tc>
      </w:tr>
      <w:tr w:rsidR="00F77E8D" w:rsidRPr="00286216" w14:paraId="66BAF63C" w14:textId="77777777" w:rsidTr="00091AA5">
        <w:tc>
          <w:tcPr>
            <w:tcW w:w="576" w:type="dxa"/>
          </w:tcPr>
          <w:p w14:paraId="72B5492D" w14:textId="77777777" w:rsidR="004B55AD" w:rsidRPr="00286216" w:rsidRDefault="004B55AD" w:rsidP="004B55AD">
            <w:pPr>
              <w:pStyle w:val="StyleWisnow"/>
              <w:rPr>
                <w:color w:val="000000" w:themeColor="text1"/>
              </w:rPr>
            </w:pPr>
            <w:bookmarkStart w:id="193" w:name="n187" w:colFirst="0" w:colLast="0"/>
            <w:bookmarkEnd w:id="192"/>
            <w:r w:rsidRPr="00286216">
              <w:rPr>
                <w:color w:val="000000" w:themeColor="text1"/>
              </w:rPr>
              <w:t>187.</w:t>
            </w:r>
          </w:p>
        </w:tc>
        <w:tc>
          <w:tcPr>
            <w:tcW w:w="4818" w:type="dxa"/>
          </w:tcPr>
          <w:p w14:paraId="2FC53670" w14:textId="77777777" w:rsidR="004B55AD" w:rsidRPr="00286216" w:rsidRDefault="004B55AD" w:rsidP="004B55AD">
            <w:pPr>
              <w:pStyle w:val="StyleZakonu"/>
              <w:rPr>
                <w:color w:val="000000" w:themeColor="text1"/>
              </w:rPr>
            </w:pPr>
            <w:r w:rsidRPr="00286216">
              <w:rPr>
                <w:color w:val="000000" w:themeColor="text1"/>
              </w:rPr>
              <w:t>4) облігації місцевих позик;</w:t>
            </w:r>
          </w:p>
        </w:tc>
        <w:tc>
          <w:tcPr>
            <w:tcW w:w="3686" w:type="dxa"/>
          </w:tcPr>
          <w:p w14:paraId="3D64C9DD" w14:textId="77777777" w:rsidR="004B55AD" w:rsidRPr="00286216" w:rsidRDefault="004B55AD" w:rsidP="004B55AD">
            <w:pPr>
              <w:pStyle w:val="StyleProp"/>
              <w:spacing w:line="190" w:lineRule="exact"/>
              <w:rPr>
                <w:color w:val="000000" w:themeColor="text1"/>
              </w:rPr>
            </w:pPr>
            <w:r w:rsidRPr="00286216">
              <w:rPr>
                <w:color w:val="000000" w:themeColor="text1"/>
              </w:rPr>
              <w:t>7) депозитні сертифікати банків;</w:t>
            </w:r>
          </w:p>
          <w:p w14:paraId="3BC64087" w14:textId="27745E1B" w:rsidR="004B55AD" w:rsidRPr="00286216" w:rsidRDefault="004B55AD" w:rsidP="004B55AD">
            <w:pPr>
              <w:pStyle w:val="StyleProp"/>
              <w:spacing w:line="190" w:lineRule="exact"/>
              <w:rPr>
                <w:color w:val="000000" w:themeColor="text1"/>
                <w:szCs w:val="18"/>
              </w:rPr>
            </w:pPr>
            <w:r w:rsidRPr="00286216">
              <w:rPr>
                <w:color w:val="000000" w:themeColor="text1"/>
              </w:rPr>
              <w:t>6) облігації міжнародних фінансових організацій;</w:t>
            </w:r>
          </w:p>
        </w:tc>
        <w:tc>
          <w:tcPr>
            <w:tcW w:w="1987" w:type="dxa"/>
          </w:tcPr>
          <w:p w14:paraId="3FA64CB7" w14:textId="77777777" w:rsidR="004B55AD" w:rsidRPr="00286216" w:rsidRDefault="004B55AD" w:rsidP="004B55AD">
            <w:pPr>
              <w:pStyle w:val="StyleWisnow"/>
              <w:rPr>
                <w:color w:val="000000" w:themeColor="text1"/>
              </w:rPr>
            </w:pPr>
          </w:p>
        </w:tc>
        <w:tc>
          <w:tcPr>
            <w:tcW w:w="4818" w:type="dxa"/>
          </w:tcPr>
          <w:p w14:paraId="69D9E1DE" w14:textId="0E654604" w:rsidR="004B55AD" w:rsidRPr="00286216" w:rsidRDefault="004B55AD" w:rsidP="004B55AD">
            <w:pPr>
              <w:pStyle w:val="StyleZakonu"/>
              <w:rPr>
                <w:color w:val="000000" w:themeColor="text1"/>
              </w:rPr>
            </w:pPr>
            <w:r w:rsidRPr="00286216">
              <w:rPr>
                <w:color w:val="000000" w:themeColor="text1"/>
              </w:rPr>
              <w:t>4) облігації місцевих позик;</w:t>
            </w:r>
          </w:p>
        </w:tc>
      </w:tr>
      <w:tr w:rsidR="00F77E8D" w:rsidRPr="00286216" w14:paraId="3C8F687C" w14:textId="77777777" w:rsidTr="00091AA5">
        <w:tc>
          <w:tcPr>
            <w:tcW w:w="576" w:type="dxa"/>
          </w:tcPr>
          <w:p w14:paraId="2D854DEA" w14:textId="77777777" w:rsidR="004B55AD" w:rsidRPr="00286216" w:rsidRDefault="004B55AD" w:rsidP="004B55AD">
            <w:pPr>
              <w:pStyle w:val="StyleWisnow"/>
              <w:rPr>
                <w:color w:val="000000" w:themeColor="text1"/>
              </w:rPr>
            </w:pPr>
            <w:bookmarkStart w:id="194" w:name="n188" w:colFirst="0" w:colLast="0"/>
            <w:bookmarkEnd w:id="193"/>
            <w:r w:rsidRPr="00286216">
              <w:rPr>
                <w:color w:val="000000" w:themeColor="text1"/>
              </w:rPr>
              <w:lastRenderedPageBreak/>
              <w:t>188.</w:t>
            </w:r>
          </w:p>
        </w:tc>
        <w:tc>
          <w:tcPr>
            <w:tcW w:w="4818" w:type="dxa"/>
          </w:tcPr>
          <w:p w14:paraId="6E0AD5FC" w14:textId="77777777" w:rsidR="004B55AD" w:rsidRPr="00286216" w:rsidRDefault="004B55AD" w:rsidP="004B55AD">
            <w:pPr>
              <w:pStyle w:val="StyleZakonu"/>
              <w:rPr>
                <w:color w:val="000000" w:themeColor="text1"/>
              </w:rPr>
            </w:pPr>
            <w:r w:rsidRPr="00286216">
              <w:rPr>
                <w:color w:val="000000" w:themeColor="text1"/>
              </w:rPr>
              <w:t>5) державні облігації України;</w:t>
            </w:r>
          </w:p>
        </w:tc>
        <w:tc>
          <w:tcPr>
            <w:tcW w:w="3686" w:type="dxa"/>
          </w:tcPr>
          <w:p w14:paraId="76D329BB" w14:textId="77777777" w:rsidR="004B55AD" w:rsidRPr="00286216" w:rsidRDefault="004B55AD" w:rsidP="004B55AD">
            <w:pPr>
              <w:pStyle w:val="StyleProp"/>
              <w:spacing w:line="190" w:lineRule="exact"/>
              <w:rPr>
                <w:color w:val="000000" w:themeColor="text1"/>
              </w:rPr>
            </w:pPr>
            <w:r w:rsidRPr="00286216">
              <w:rPr>
                <w:color w:val="000000" w:themeColor="text1"/>
              </w:rPr>
              <w:t>7) депозитні сертифікати банків;</w:t>
            </w:r>
          </w:p>
          <w:p w14:paraId="30C0056E" w14:textId="1900EDFC" w:rsidR="004B55AD" w:rsidRPr="00286216" w:rsidRDefault="004B55AD" w:rsidP="004B55AD">
            <w:pPr>
              <w:pStyle w:val="StyleProp"/>
              <w:spacing w:line="190" w:lineRule="exact"/>
              <w:rPr>
                <w:color w:val="000000" w:themeColor="text1"/>
                <w:szCs w:val="18"/>
              </w:rPr>
            </w:pPr>
            <w:r w:rsidRPr="00286216">
              <w:rPr>
                <w:color w:val="000000" w:themeColor="text1"/>
              </w:rPr>
              <w:t>8) іпотечні облігації;</w:t>
            </w:r>
          </w:p>
        </w:tc>
        <w:tc>
          <w:tcPr>
            <w:tcW w:w="1987" w:type="dxa"/>
          </w:tcPr>
          <w:p w14:paraId="519D218E" w14:textId="77777777" w:rsidR="004B55AD" w:rsidRPr="00286216" w:rsidRDefault="004B55AD" w:rsidP="004B55AD">
            <w:pPr>
              <w:pStyle w:val="StyleWisnow"/>
              <w:rPr>
                <w:color w:val="000000" w:themeColor="text1"/>
              </w:rPr>
            </w:pPr>
          </w:p>
        </w:tc>
        <w:tc>
          <w:tcPr>
            <w:tcW w:w="4818" w:type="dxa"/>
          </w:tcPr>
          <w:p w14:paraId="141D2133" w14:textId="5E3BC08C" w:rsidR="004B55AD" w:rsidRPr="00286216" w:rsidRDefault="004B55AD" w:rsidP="004B55AD">
            <w:pPr>
              <w:pStyle w:val="StyleZakonu"/>
              <w:rPr>
                <w:color w:val="000000" w:themeColor="text1"/>
              </w:rPr>
            </w:pPr>
            <w:r w:rsidRPr="00286216">
              <w:rPr>
                <w:color w:val="000000" w:themeColor="text1"/>
              </w:rPr>
              <w:t>5) державні облігації України;</w:t>
            </w:r>
          </w:p>
        </w:tc>
      </w:tr>
      <w:tr w:rsidR="00F77E8D" w:rsidRPr="00286216" w14:paraId="017E2D60" w14:textId="77777777" w:rsidTr="00091AA5">
        <w:tc>
          <w:tcPr>
            <w:tcW w:w="576" w:type="dxa"/>
          </w:tcPr>
          <w:p w14:paraId="64A83769" w14:textId="77777777" w:rsidR="004B55AD" w:rsidRPr="00286216" w:rsidRDefault="004B55AD" w:rsidP="004B55AD">
            <w:pPr>
              <w:pStyle w:val="StyleWisnow"/>
              <w:rPr>
                <w:color w:val="000000" w:themeColor="text1"/>
              </w:rPr>
            </w:pPr>
            <w:bookmarkStart w:id="195" w:name="n189" w:colFirst="0" w:colLast="0"/>
            <w:bookmarkEnd w:id="194"/>
            <w:r w:rsidRPr="00286216">
              <w:rPr>
                <w:color w:val="000000" w:themeColor="text1"/>
              </w:rPr>
              <w:t>189.</w:t>
            </w:r>
          </w:p>
        </w:tc>
        <w:tc>
          <w:tcPr>
            <w:tcW w:w="4818" w:type="dxa"/>
          </w:tcPr>
          <w:p w14:paraId="2462933C" w14:textId="77777777" w:rsidR="004B55AD" w:rsidRPr="00286216" w:rsidRDefault="004B55AD" w:rsidP="004B55AD">
            <w:pPr>
              <w:pStyle w:val="StyleZakonu"/>
              <w:rPr>
                <w:color w:val="000000" w:themeColor="text1"/>
              </w:rPr>
            </w:pPr>
            <w:r w:rsidRPr="00286216">
              <w:rPr>
                <w:color w:val="000000" w:themeColor="text1"/>
              </w:rPr>
              <w:t>6) облігації міжнародних фінансових організацій</w:t>
            </w:r>
          </w:p>
        </w:tc>
        <w:tc>
          <w:tcPr>
            <w:tcW w:w="3686" w:type="dxa"/>
          </w:tcPr>
          <w:p w14:paraId="74B72156" w14:textId="43CC2FD6" w:rsidR="004B55AD" w:rsidRPr="00286216" w:rsidRDefault="004B55AD" w:rsidP="004B55AD">
            <w:pPr>
              <w:pStyle w:val="StyleProp"/>
              <w:spacing w:line="190" w:lineRule="exact"/>
              <w:rPr>
                <w:color w:val="000000" w:themeColor="text1"/>
                <w:szCs w:val="18"/>
              </w:rPr>
            </w:pPr>
            <w:r w:rsidRPr="00286216">
              <w:rPr>
                <w:color w:val="000000" w:themeColor="text1"/>
              </w:rPr>
              <w:t>9) сертифікати фондів операцій з нерухомістю (далі - сертифікати ФОН);</w:t>
            </w:r>
          </w:p>
        </w:tc>
        <w:tc>
          <w:tcPr>
            <w:tcW w:w="1987" w:type="dxa"/>
          </w:tcPr>
          <w:p w14:paraId="3086D774" w14:textId="77777777" w:rsidR="004B55AD" w:rsidRPr="00286216" w:rsidRDefault="004B55AD" w:rsidP="004B55AD">
            <w:pPr>
              <w:pStyle w:val="StyleWisnow"/>
              <w:rPr>
                <w:color w:val="000000" w:themeColor="text1"/>
              </w:rPr>
            </w:pPr>
          </w:p>
        </w:tc>
        <w:tc>
          <w:tcPr>
            <w:tcW w:w="4818" w:type="dxa"/>
          </w:tcPr>
          <w:p w14:paraId="400456AE" w14:textId="3556A46F" w:rsidR="004B55AD" w:rsidRPr="00286216" w:rsidRDefault="004B55AD" w:rsidP="004B55AD">
            <w:pPr>
              <w:pStyle w:val="StyleZakonu"/>
              <w:rPr>
                <w:color w:val="000000" w:themeColor="text1"/>
              </w:rPr>
            </w:pPr>
            <w:r w:rsidRPr="00286216">
              <w:rPr>
                <w:color w:val="000000" w:themeColor="text1"/>
              </w:rPr>
              <w:t>6) облігації міжнародних фінансових організацій;</w:t>
            </w:r>
          </w:p>
        </w:tc>
      </w:tr>
      <w:tr w:rsidR="00F77E8D" w:rsidRPr="00286216" w14:paraId="6E02E032" w14:textId="77777777" w:rsidTr="00091AA5">
        <w:tc>
          <w:tcPr>
            <w:tcW w:w="576" w:type="dxa"/>
          </w:tcPr>
          <w:p w14:paraId="609F7F62" w14:textId="77777777" w:rsidR="004B55AD" w:rsidRPr="00286216" w:rsidRDefault="004B55AD" w:rsidP="004B55AD">
            <w:pPr>
              <w:pStyle w:val="StyleWisnow"/>
              <w:rPr>
                <w:color w:val="000000" w:themeColor="text1"/>
              </w:rPr>
            </w:pPr>
            <w:bookmarkStart w:id="196" w:name="n190" w:colFirst="0" w:colLast="0"/>
            <w:bookmarkEnd w:id="195"/>
            <w:r w:rsidRPr="00286216">
              <w:rPr>
                <w:color w:val="000000" w:themeColor="text1"/>
              </w:rPr>
              <w:t>190.</w:t>
            </w:r>
          </w:p>
        </w:tc>
        <w:tc>
          <w:tcPr>
            <w:tcW w:w="4818" w:type="dxa"/>
          </w:tcPr>
          <w:p w14:paraId="61E6C5B1" w14:textId="77777777" w:rsidR="004B55AD" w:rsidRPr="00286216" w:rsidRDefault="004B55AD" w:rsidP="004B55AD">
            <w:pPr>
              <w:pStyle w:val="StyleZakonu"/>
              <w:rPr>
                <w:color w:val="000000" w:themeColor="text1"/>
              </w:rPr>
            </w:pPr>
            <w:r w:rsidRPr="00286216">
              <w:rPr>
                <w:color w:val="000000" w:themeColor="text1"/>
              </w:rPr>
              <w:t>7) депозитні сертифікати банку;</w:t>
            </w:r>
          </w:p>
        </w:tc>
        <w:tc>
          <w:tcPr>
            <w:tcW w:w="3686" w:type="dxa"/>
          </w:tcPr>
          <w:p w14:paraId="1201CC21" w14:textId="77777777" w:rsidR="004B55AD" w:rsidRPr="00286216" w:rsidRDefault="004B55AD" w:rsidP="004B55AD">
            <w:pPr>
              <w:pStyle w:val="StyleProp"/>
              <w:spacing w:line="190" w:lineRule="exact"/>
              <w:rPr>
                <w:color w:val="000000" w:themeColor="text1"/>
              </w:rPr>
            </w:pPr>
            <w:r w:rsidRPr="00286216">
              <w:rPr>
                <w:color w:val="000000" w:themeColor="text1"/>
              </w:rPr>
              <w:t>10) інвестиційні сертифікати;</w:t>
            </w:r>
          </w:p>
          <w:p w14:paraId="6D3AFC9A" w14:textId="253EC242" w:rsidR="004B55AD" w:rsidRPr="00286216" w:rsidRDefault="004B55AD" w:rsidP="004B55AD">
            <w:pPr>
              <w:pStyle w:val="StyleProp"/>
              <w:spacing w:line="190" w:lineRule="exact"/>
              <w:rPr>
                <w:color w:val="000000" w:themeColor="text1"/>
                <w:szCs w:val="18"/>
              </w:rPr>
            </w:pPr>
            <w:r w:rsidRPr="00286216">
              <w:rPr>
                <w:color w:val="000000" w:themeColor="text1"/>
              </w:rPr>
              <w:t>11) казначейські зобов’язання України;</w:t>
            </w:r>
          </w:p>
        </w:tc>
        <w:tc>
          <w:tcPr>
            <w:tcW w:w="1987" w:type="dxa"/>
          </w:tcPr>
          <w:p w14:paraId="0AF98FF7" w14:textId="77777777" w:rsidR="004B55AD" w:rsidRPr="00286216" w:rsidRDefault="004B55AD" w:rsidP="004B55AD">
            <w:pPr>
              <w:pStyle w:val="StyleWisnow"/>
              <w:rPr>
                <w:color w:val="000000" w:themeColor="text1"/>
              </w:rPr>
            </w:pPr>
          </w:p>
        </w:tc>
        <w:tc>
          <w:tcPr>
            <w:tcW w:w="4818" w:type="dxa"/>
          </w:tcPr>
          <w:p w14:paraId="2314BF7D" w14:textId="57EF0D8A" w:rsidR="004B55AD" w:rsidRPr="00286216" w:rsidRDefault="004B55AD" w:rsidP="004B55AD">
            <w:pPr>
              <w:pStyle w:val="StyleZakonu"/>
              <w:rPr>
                <w:color w:val="000000" w:themeColor="text1"/>
              </w:rPr>
            </w:pPr>
            <w:r w:rsidRPr="00286216">
              <w:rPr>
                <w:color w:val="000000" w:themeColor="text1"/>
              </w:rPr>
              <w:t>7) депозитні сертифікати банків;</w:t>
            </w:r>
          </w:p>
        </w:tc>
      </w:tr>
      <w:tr w:rsidR="00F77E8D" w:rsidRPr="00286216" w14:paraId="01F97C7E" w14:textId="77777777" w:rsidTr="00091AA5">
        <w:tc>
          <w:tcPr>
            <w:tcW w:w="576" w:type="dxa"/>
          </w:tcPr>
          <w:p w14:paraId="7F5FCA6F" w14:textId="77777777" w:rsidR="004B55AD" w:rsidRPr="00286216" w:rsidRDefault="004B55AD" w:rsidP="004B55AD">
            <w:pPr>
              <w:pStyle w:val="StyleWisnow"/>
              <w:rPr>
                <w:color w:val="000000" w:themeColor="text1"/>
              </w:rPr>
            </w:pPr>
            <w:bookmarkStart w:id="197" w:name="n191" w:colFirst="0" w:colLast="0"/>
            <w:bookmarkEnd w:id="196"/>
            <w:r w:rsidRPr="00286216">
              <w:rPr>
                <w:color w:val="000000" w:themeColor="text1"/>
              </w:rPr>
              <w:t>191.</w:t>
            </w:r>
          </w:p>
        </w:tc>
        <w:tc>
          <w:tcPr>
            <w:tcW w:w="4818" w:type="dxa"/>
          </w:tcPr>
          <w:p w14:paraId="18E5F04C" w14:textId="77777777" w:rsidR="004B55AD" w:rsidRPr="00286216" w:rsidRDefault="004B55AD" w:rsidP="004B55AD">
            <w:pPr>
              <w:pStyle w:val="StyleZakonu"/>
              <w:rPr>
                <w:color w:val="000000" w:themeColor="text1"/>
              </w:rPr>
            </w:pPr>
            <w:r w:rsidRPr="00286216">
              <w:rPr>
                <w:color w:val="000000" w:themeColor="text1"/>
              </w:rPr>
              <w:t>8) іпотечні облігації;</w:t>
            </w:r>
          </w:p>
        </w:tc>
        <w:tc>
          <w:tcPr>
            <w:tcW w:w="3686" w:type="dxa"/>
          </w:tcPr>
          <w:p w14:paraId="0EEC67BA" w14:textId="77777777" w:rsidR="004B55AD" w:rsidRPr="00286216" w:rsidRDefault="004B55AD" w:rsidP="004B55AD">
            <w:pPr>
              <w:pStyle w:val="StyleProp"/>
              <w:spacing w:line="190" w:lineRule="exact"/>
              <w:rPr>
                <w:color w:val="000000" w:themeColor="text1"/>
              </w:rPr>
            </w:pPr>
            <w:r w:rsidRPr="00286216">
              <w:rPr>
                <w:color w:val="000000" w:themeColor="text1"/>
              </w:rPr>
              <w:t>12) державні деривативи;</w:t>
            </w:r>
          </w:p>
          <w:p w14:paraId="484063B5" w14:textId="3CB76DDF" w:rsidR="004B55AD" w:rsidRPr="00286216" w:rsidRDefault="004B55AD" w:rsidP="004B55AD">
            <w:pPr>
              <w:pStyle w:val="StyleProp"/>
              <w:spacing w:line="190" w:lineRule="exact"/>
              <w:rPr>
                <w:color w:val="000000" w:themeColor="text1"/>
                <w:szCs w:val="18"/>
              </w:rPr>
            </w:pPr>
            <w:r w:rsidRPr="00286216">
              <w:rPr>
                <w:color w:val="000000" w:themeColor="text1"/>
              </w:rPr>
              <w:t>13) опціонні сертифікати;</w:t>
            </w:r>
          </w:p>
        </w:tc>
        <w:tc>
          <w:tcPr>
            <w:tcW w:w="1987" w:type="dxa"/>
          </w:tcPr>
          <w:p w14:paraId="693DF742" w14:textId="77777777" w:rsidR="004B55AD" w:rsidRPr="00286216" w:rsidRDefault="004B55AD" w:rsidP="004B55AD">
            <w:pPr>
              <w:pStyle w:val="StyleWisnow"/>
              <w:rPr>
                <w:color w:val="000000" w:themeColor="text1"/>
              </w:rPr>
            </w:pPr>
          </w:p>
        </w:tc>
        <w:tc>
          <w:tcPr>
            <w:tcW w:w="4818" w:type="dxa"/>
          </w:tcPr>
          <w:p w14:paraId="09439D62" w14:textId="08E75176" w:rsidR="004B55AD" w:rsidRPr="00286216" w:rsidRDefault="004B55AD" w:rsidP="004B55AD">
            <w:pPr>
              <w:pStyle w:val="StyleZakonu"/>
              <w:rPr>
                <w:color w:val="000000" w:themeColor="text1"/>
              </w:rPr>
            </w:pPr>
            <w:r w:rsidRPr="00286216">
              <w:rPr>
                <w:color w:val="000000" w:themeColor="text1"/>
              </w:rPr>
              <w:t>8) іпотечні облігації;</w:t>
            </w:r>
          </w:p>
        </w:tc>
      </w:tr>
      <w:tr w:rsidR="00F77E8D" w:rsidRPr="00286216" w14:paraId="5AA76646" w14:textId="77777777" w:rsidTr="00091AA5">
        <w:tc>
          <w:tcPr>
            <w:tcW w:w="576" w:type="dxa"/>
          </w:tcPr>
          <w:p w14:paraId="5B29909D" w14:textId="77777777" w:rsidR="004B55AD" w:rsidRPr="00286216" w:rsidRDefault="004B55AD" w:rsidP="004B55AD">
            <w:pPr>
              <w:pStyle w:val="StyleWisnow"/>
              <w:rPr>
                <w:color w:val="000000" w:themeColor="text1"/>
              </w:rPr>
            </w:pPr>
            <w:bookmarkStart w:id="198" w:name="n192" w:colFirst="0" w:colLast="0"/>
            <w:bookmarkEnd w:id="197"/>
            <w:r w:rsidRPr="00286216">
              <w:rPr>
                <w:color w:val="000000" w:themeColor="text1"/>
              </w:rPr>
              <w:t>192.</w:t>
            </w:r>
          </w:p>
        </w:tc>
        <w:tc>
          <w:tcPr>
            <w:tcW w:w="4818" w:type="dxa"/>
          </w:tcPr>
          <w:p w14:paraId="649DC2A2" w14:textId="77777777" w:rsidR="004B55AD" w:rsidRPr="00286216" w:rsidRDefault="004B55AD" w:rsidP="004B55AD">
            <w:pPr>
              <w:pStyle w:val="StyleZakonu"/>
              <w:rPr>
                <w:color w:val="000000" w:themeColor="text1"/>
              </w:rPr>
            </w:pPr>
            <w:r w:rsidRPr="00286216">
              <w:rPr>
                <w:color w:val="000000" w:themeColor="text1"/>
              </w:rPr>
              <w:t>9) сертифікати фондів операцій з нерухомістю (далі - сертифікати ФОН);</w:t>
            </w:r>
          </w:p>
        </w:tc>
        <w:tc>
          <w:tcPr>
            <w:tcW w:w="3686" w:type="dxa"/>
          </w:tcPr>
          <w:p w14:paraId="41B4ED81" w14:textId="77777777" w:rsidR="004B55AD" w:rsidRPr="00286216" w:rsidRDefault="004B55AD" w:rsidP="004B55AD">
            <w:pPr>
              <w:pStyle w:val="StyleProp"/>
              <w:spacing w:line="190" w:lineRule="exact"/>
              <w:rPr>
                <w:color w:val="000000" w:themeColor="text1"/>
              </w:rPr>
            </w:pPr>
            <w:r w:rsidRPr="00286216">
              <w:rPr>
                <w:color w:val="000000" w:themeColor="text1"/>
              </w:rPr>
              <w:t>14) фондові варанти;</w:t>
            </w:r>
          </w:p>
          <w:p w14:paraId="2E24FF10" w14:textId="77777777" w:rsidR="004B55AD" w:rsidRPr="00286216" w:rsidRDefault="004B55AD" w:rsidP="004B55AD">
            <w:pPr>
              <w:pStyle w:val="StyleProp"/>
              <w:spacing w:line="190" w:lineRule="exact"/>
              <w:rPr>
                <w:color w:val="000000" w:themeColor="text1"/>
              </w:rPr>
            </w:pPr>
            <w:r w:rsidRPr="00286216">
              <w:rPr>
                <w:color w:val="000000" w:themeColor="text1"/>
              </w:rPr>
              <w:t>15) кредитні ноти;</w:t>
            </w:r>
          </w:p>
          <w:p w14:paraId="1340AB67" w14:textId="11F1F6A5" w:rsidR="004B55AD" w:rsidRPr="00286216" w:rsidRDefault="004B55AD" w:rsidP="004B55AD">
            <w:pPr>
              <w:pStyle w:val="StyleProp"/>
              <w:spacing w:line="190" w:lineRule="exact"/>
              <w:rPr>
                <w:color w:val="000000" w:themeColor="text1"/>
                <w:szCs w:val="18"/>
              </w:rPr>
            </w:pPr>
            <w:r w:rsidRPr="00286216">
              <w:rPr>
                <w:color w:val="000000" w:themeColor="text1"/>
              </w:rPr>
              <w:t>16) депозитарні розписки.</w:t>
            </w:r>
          </w:p>
        </w:tc>
        <w:tc>
          <w:tcPr>
            <w:tcW w:w="1987" w:type="dxa"/>
          </w:tcPr>
          <w:p w14:paraId="32FC4D22" w14:textId="77777777" w:rsidR="004B55AD" w:rsidRPr="00286216" w:rsidRDefault="004B55AD" w:rsidP="004B55AD">
            <w:pPr>
              <w:pStyle w:val="StyleWisnow"/>
              <w:rPr>
                <w:color w:val="000000" w:themeColor="text1"/>
              </w:rPr>
            </w:pPr>
          </w:p>
        </w:tc>
        <w:tc>
          <w:tcPr>
            <w:tcW w:w="4818" w:type="dxa"/>
          </w:tcPr>
          <w:p w14:paraId="1427EC78" w14:textId="2D2CC5AE" w:rsidR="004B55AD" w:rsidRPr="00286216" w:rsidRDefault="004B55AD" w:rsidP="004B55AD">
            <w:pPr>
              <w:pStyle w:val="StyleZakonu"/>
              <w:rPr>
                <w:color w:val="000000" w:themeColor="text1"/>
              </w:rPr>
            </w:pPr>
            <w:r w:rsidRPr="00286216">
              <w:rPr>
                <w:color w:val="000000" w:themeColor="text1"/>
              </w:rPr>
              <w:t>9) сертифікати фондів операцій з нерухомістю (далі - сертифікати ФОН);</w:t>
            </w:r>
          </w:p>
        </w:tc>
      </w:tr>
      <w:tr w:rsidR="00F77E8D" w:rsidRPr="00286216" w14:paraId="40551345" w14:textId="77777777" w:rsidTr="00091AA5">
        <w:tc>
          <w:tcPr>
            <w:tcW w:w="576" w:type="dxa"/>
          </w:tcPr>
          <w:p w14:paraId="630B6B7C" w14:textId="77777777" w:rsidR="004B55AD" w:rsidRPr="00286216" w:rsidRDefault="004B55AD" w:rsidP="004B55AD">
            <w:pPr>
              <w:pStyle w:val="StyleWisnow"/>
              <w:rPr>
                <w:color w:val="000000" w:themeColor="text1"/>
              </w:rPr>
            </w:pPr>
            <w:bookmarkStart w:id="199" w:name="n193" w:colFirst="0" w:colLast="0"/>
            <w:bookmarkEnd w:id="198"/>
            <w:r w:rsidRPr="00286216">
              <w:rPr>
                <w:color w:val="000000" w:themeColor="text1"/>
              </w:rPr>
              <w:t>193.</w:t>
            </w:r>
          </w:p>
        </w:tc>
        <w:tc>
          <w:tcPr>
            <w:tcW w:w="4818" w:type="dxa"/>
          </w:tcPr>
          <w:p w14:paraId="48276F01" w14:textId="77777777" w:rsidR="004B55AD" w:rsidRPr="00286216" w:rsidRDefault="004B55AD" w:rsidP="004B55AD">
            <w:pPr>
              <w:pStyle w:val="StyleZakonu"/>
              <w:rPr>
                <w:color w:val="000000" w:themeColor="text1"/>
              </w:rPr>
            </w:pPr>
            <w:r w:rsidRPr="00286216">
              <w:rPr>
                <w:color w:val="000000" w:themeColor="text1"/>
              </w:rPr>
              <w:t>10) інвестиційні сертифікати;</w:t>
            </w:r>
          </w:p>
        </w:tc>
        <w:tc>
          <w:tcPr>
            <w:tcW w:w="3686" w:type="dxa"/>
          </w:tcPr>
          <w:p w14:paraId="2BDA55FA" w14:textId="491132C4" w:rsidR="004B55AD" w:rsidRPr="00286216" w:rsidRDefault="004B55AD" w:rsidP="004B55AD">
            <w:pPr>
              <w:pStyle w:val="StyleProp"/>
              <w:spacing w:line="190" w:lineRule="exact"/>
              <w:rPr>
                <w:color w:val="000000" w:themeColor="text1"/>
                <w:szCs w:val="18"/>
              </w:rPr>
            </w:pPr>
            <w:r w:rsidRPr="00286216">
              <w:rPr>
                <w:color w:val="000000" w:themeColor="text1"/>
              </w:rPr>
              <w:t>3. Цінні папери існують в електронній (електронні цінні папери) та паперовій (паперові цінні папери) формах.</w:t>
            </w:r>
          </w:p>
        </w:tc>
        <w:tc>
          <w:tcPr>
            <w:tcW w:w="1987" w:type="dxa"/>
          </w:tcPr>
          <w:p w14:paraId="72211EC6" w14:textId="77777777" w:rsidR="004B55AD" w:rsidRPr="00286216" w:rsidRDefault="004B55AD" w:rsidP="004B55AD">
            <w:pPr>
              <w:pStyle w:val="StyleWisnow"/>
              <w:rPr>
                <w:color w:val="000000" w:themeColor="text1"/>
              </w:rPr>
            </w:pPr>
          </w:p>
        </w:tc>
        <w:tc>
          <w:tcPr>
            <w:tcW w:w="4818" w:type="dxa"/>
          </w:tcPr>
          <w:p w14:paraId="7BA692A7" w14:textId="29A86553" w:rsidR="004B55AD" w:rsidRPr="00286216" w:rsidRDefault="004B55AD" w:rsidP="004B55AD">
            <w:pPr>
              <w:pStyle w:val="StyleZakonu"/>
              <w:rPr>
                <w:color w:val="000000" w:themeColor="text1"/>
              </w:rPr>
            </w:pPr>
            <w:r w:rsidRPr="00286216">
              <w:rPr>
                <w:color w:val="000000" w:themeColor="text1"/>
              </w:rPr>
              <w:t>10) інвестиційні сертифікати;</w:t>
            </w:r>
          </w:p>
        </w:tc>
      </w:tr>
      <w:tr w:rsidR="00F77E8D" w:rsidRPr="00286216" w14:paraId="34B025DF" w14:textId="77777777" w:rsidTr="00091AA5">
        <w:tc>
          <w:tcPr>
            <w:tcW w:w="576" w:type="dxa"/>
          </w:tcPr>
          <w:p w14:paraId="1AD1089F" w14:textId="77777777" w:rsidR="004B55AD" w:rsidRPr="00286216" w:rsidRDefault="004B55AD" w:rsidP="004B55AD">
            <w:pPr>
              <w:pStyle w:val="StyleWisnow"/>
              <w:rPr>
                <w:color w:val="000000" w:themeColor="text1"/>
              </w:rPr>
            </w:pPr>
            <w:bookmarkStart w:id="200" w:name="n194" w:colFirst="0" w:colLast="0"/>
            <w:bookmarkEnd w:id="199"/>
            <w:r w:rsidRPr="00286216">
              <w:rPr>
                <w:color w:val="000000" w:themeColor="text1"/>
              </w:rPr>
              <w:t>194.</w:t>
            </w:r>
          </w:p>
        </w:tc>
        <w:tc>
          <w:tcPr>
            <w:tcW w:w="4818" w:type="dxa"/>
          </w:tcPr>
          <w:p w14:paraId="60448B55" w14:textId="77777777" w:rsidR="004B55AD" w:rsidRPr="00286216" w:rsidRDefault="004B55AD" w:rsidP="004B55AD">
            <w:pPr>
              <w:pStyle w:val="StyleZakonu"/>
              <w:rPr>
                <w:color w:val="000000" w:themeColor="text1"/>
              </w:rPr>
            </w:pPr>
            <w:r w:rsidRPr="00286216">
              <w:rPr>
                <w:color w:val="000000" w:themeColor="text1"/>
              </w:rPr>
              <w:t>11) казначейські зобов’язання України;</w:t>
            </w:r>
          </w:p>
        </w:tc>
        <w:tc>
          <w:tcPr>
            <w:tcW w:w="3686" w:type="dxa"/>
          </w:tcPr>
          <w:p w14:paraId="40A23856" w14:textId="373A2A6F" w:rsidR="004B55AD" w:rsidRPr="00286216" w:rsidRDefault="004B55AD" w:rsidP="004B55AD">
            <w:pPr>
              <w:pStyle w:val="StyleProp"/>
              <w:spacing w:line="190" w:lineRule="exact"/>
              <w:rPr>
                <w:color w:val="000000" w:themeColor="text1"/>
                <w:szCs w:val="18"/>
              </w:rPr>
            </w:pPr>
            <w:r w:rsidRPr="00286216">
              <w:rPr>
                <w:color w:val="000000" w:themeColor="text1"/>
              </w:rPr>
              <w:t>Електронний цінний папір відображається у вигляді облікового запису на рахунку в цінних паперах у системі депозитарного обліку цінних паперів.</w:t>
            </w:r>
          </w:p>
        </w:tc>
        <w:tc>
          <w:tcPr>
            <w:tcW w:w="1987" w:type="dxa"/>
          </w:tcPr>
          <w:p w14:paraId="2A5809C5" w14:textId="77777777" w:rsidR="004B55AD" w:rsidRPr="00286216" w:rsidRDefault="004B55AD" w:rsidP="004B55AD">
            <w:pPr>
              <w:pStyle w:val="StyleWisnow"/>
              <w:rPr>
                <w:color w:val="000000" w:themeColor="text1"/>
              </w:rPr>
            </w:pPr>
          </w:p>
        </w:tc>
        <w:tc>
          <w:tcPr>
            <w:tcW w:w="4818" w:type="dxa"/>
          </w:tcPr>
          <w:p w14:paraId="0E7B8BD5" w14:textId="3C43F513" w:rsidR="004B55AD" w:rsidRPr="00286216" w:rsidRDefault="004B55AD" w:rsidP="004B55AD">
            <w:pPr>
              <w:pStyle w:val="StyleZakonu"/>
              <w:rPr>
                <w:color w:val="000000" w:themeColor="text1"/>
              </w:rPr>
            </w:pPr>
            <w:r w:rsidRPr="00286216">
              <w:rPr>
                <w:color w:val="000000" w:themeColor="text1"/>
              </w:rPr>
              <w:t>11) казначейські зобов’язання України;</w:t>
            </w:r>
          </w:p>
        </w:tc>
      </w:tr>
      <w:tr w:rsidR="00F77E8D" w:rsidRPr="00286216" w14:paraId="61BB333B" w14:textId="77777777" w:rsidTr="00091AA5">
        <w:tc>
          <w:tcPr>
            <w:tcW w:w="576" w:type="dxa"/>
          </w:tcPr>
          <w:p w14:paraId="64A9BE64" w14:textId="77777777" w:rsidR="004B55AD" w:rsidRPr="00286216" w:rsidRDefault="004B55AD" w:rsidP="004B55AD">
            <w:pPr>
              <w:pStyle w:val="StyleWisnow"/>
              <w:rPr>
                <w:color w:val="000000" w:themeColor="text1"/>
              </w:rPr>
            </w:pPr>
            <w:bookmarkStart w:id="201" w:name="n195" w:colFirst="0" w:colLast="0"/>
            <w:bookmarkEnd w:id="200"/>
            <w:r w:rsidRPr="00286216">
              <w:rPr>
                <w:color w:val="000000" w:themeColor="text1"/>
              </w:rPr>
              <w:t>195.</w:t>
            </w:r>
          </w:p>
        </w:tc>
        <w:tc>
          <w:tcPr>
            <w:tcW w:w="4818" w:type="dxa"/>
          </w:tcPr>
          <w:p w14:paraId="5EF9EF1F" w14:textId="77777777" w:rsidR="004B55AD" w:rsidRPr="00286216" w:rsidRDefault="004B55AD" w:rsidP="004B55AD">
            <w:pPr>
              <w:pStyle w:val="StyleZakonu"/>
              <w:rPr>
                <w:color w:val="000000" w:themeColor="text1"/>
              </w:rPr>
            </w:pPr>
            <w:r w:rsidRPr="00286216">
              <w:rPr>
                <w:color w:val="000000" w:themeColor="text1"/>
              </w:rPr>
              <w:t>12) державні деривативи;</w:t>
            </w:r>
          </w:p>
        </w:tc>
        <w:tc>
          <w:tcPr>
            <w:tcW w:w="3686" w:type="dxa"/>
          </w:tcPr>
          <w:p w14:paraId="35576E93" w14:textId="4C43F3A1" w:rsidR="004B55AD" w:rsidRPr="00286216" w:rsidRDefault="004B55AD" w:rsidP="004B55AD">
            <w:pPr>
              <w:pStyle w:val="StyleProp"/>
              <w:spacing w:line="190" w:lineRule="exact"/>
              <w:rPr>
                <w:color w:val="000000" w:themeColor="text1"/>
                <w:szCs w:val="18"/>
              </w:rPr>
            </w:pPr>
            <w:r w:rsidRPr="00286216">
              <w:rPr>
                <w:color w:val="000000" w:themeColor="text1"/>
              </w:rPr>
              <w:t>Паперовий цінний папір оформлюється на матеріальному носії як документ, що містить найменування виду цінного паперу, а також визначені законодавством реквізити.</w:t>
            </w:r>
          </w:p>
        </w:tc>
        <w:tc>
          <w:tcPr>
            <w:tcW w:w="1987" w:type="dxa"/>
          </w:tcPr>
          <w:p w14:paraId="7639CFF8" w14:textId="77777777" w:rsidR="004B55AD" w:rsidRPr="00286216" w:rsidRDefault="004B55AD" w:rsidP="004B55AD">
            <w:pPr>
              <w:pStyle w:val="StyleWisnow"/>
              <w:rPr>
                <w:color w:val="000000" w:themeColor="text1"/>
              </w:rPr>
            </w:pPr>
          </w:p>
        </w:tc>
        <w:tc>
          <w:tcPr>
            <w:tcW w:w="4818" w:type="dxa"/>
          </w:tcPr>
          <w:p w14:paraId="22EC63BE" w14:textId="161D9E2A" w:rsidR="004B55AD" w:rsidRPr="00286216" w:rsidRDefault="004B55AD" w:rsidP="004B55AD">
            <w:pPr>
              <w:pStyle w:val="StyleZakonu"/>
              <w:rPr>
                <w:color w:val="000000" w:themeColor="text1"/>
              </w:rPr>
            </w:pPr>
            <w:r w:rsidRPr="00286216">
              <w:rPr>
                <w:color w:val="000000" w:themeColor="text1"/>
              </w:rPr>
              <w:t>12) державні деривативи;</w:t>
            </w:r>
          </w:p>
        </w:tc>
      </w:tr>
      <w:tr w:rsidR="00F77E8D" w:rsidRPr="00286216" w14:paraId="2C77202F" w14:textId="77777777" w:rsidTr="00091AA5">
        <w:tc>
          <w:tcPr>
            <w:tcW w:w="576" w:type="dxa"/>
          </w:tcPr>
          <w:p w14:paraId="65A95C03" w14:textId="77777777" w:rsidR="004B55AD" w:rsidRPr="00286216" w:rsidRDefault="004B55AD" w:rsidP="004B55AD">
            <w:pPr>
              <w:pStyle w:val="StyleWisnow"/>
              <w:rPr>
                <w:color w:val="000000" w:themeColor="text1"/>
              </w:rPr>
            </w:pPr>
            <w:bookmarkStart w:id="202" w:name="n196" w:colFirst="0" w:colLast="0"/>
            <w:bookmarkEnd w:id="201"/>
            <w:r w:rsidRPr="00286216">
              <w:rPr>
                <w:color w:val="000000" w:themeColor="text1"/>
              </w:rPr>
              <w:t>196.</w:t>
            </w:r>
          </w:p>
        </w:tc>
        <w:tc>
          <w:tcPr>
            <w:tcW w:w="4818" w:type="dxa"/>
          </w:tcPr>
          <w:p w14:paraId="2D3BC96A" w14:textId="77777777" w:rsidR="004B55AD" w:rsidRPr="00286216" w:rsidRDefault="004B55AD" w:rsidP="004B55AD">
            <w:pPr>
              <w:pStyle w:val="StyleZakonu"/>
              <w:rPr>
                <w:color w:val="000000" w:themeColor="text1"/>
              </w:rPr>
            </w:pPr>
            <w:r w:rsidRPr="00286216">
              <w:rPr>
                <w:color w:val="000000" w:themeColor="text1"/>
              </w:rPr>
              <w:t>13) опціонні сертифікати;</w:t>
            </w:r>
          </w:p>
        </w:tc>
        <w:tc>
          <w:tcPr>
            <w:tcW w:w="3686" w:type="dxa"/>
          </w:tcPr>
          <w:p w14:paraId="69AAB7AE" w14:textId="5A9538FE" w:rsidR="004B55AD" w:rsidRPr="00286216" w:rsidRDefault="004B55AD" w:rsidP="004B55AD">
            <w:pPr>
              <w:pStyle w:val="StyleProp"/>
              <w:spacing w:line="190" w:lineRule="exact"/>
              <w:rPr>
                <w:color w:val="000000" w:themeColor="text1"/>
                <w:szCs w:val="18"/>
              </w:rPr>
            </w:pPr>
            <w:r w:rsidRPr="00286216">
              <w:rPr>
                <w:color w:val="000000" w:themeColor="text1"/>
              </w:rPr>
              <w:t>4. Цінні папери за формою випуску (видачі) можуть бути на пред’явника, іменні або ордерні.</w:t>
            </w:r>
          </w:p>
        </w:tc>
        <w:tc>
          <w:tcPr>
            <w:tcW w:w="1987" w:type="dxa"/>
          </w:tcPr>
          <w:p w14:paraId="555575B0" w14:textId="77777777" w:rsidR="004B55AD" w:rsidRPr="00286216" w:rsidRDefault="004B55AD" w:rsidP="004B55AD">
            <w:pPr>
              <w:pStyle w:val="StyleWisnow"/>
              <w:rPr>
                <w:color w:val="000000" w:themeColor="text1"/>
              </w:rPr>
            </w:pPr>
          </w:p>
        </w:tc>
        <w:tc>
          <w:tcPr>
            <w:tcW w:w="4818" w:type="dxa"/>
          </w:tcPr>
          <w:p w14:paraId="4A90B4DB" w14:textId="094976F2" w:rsidR="004B55AD" w:rsidRPr="00286216" w:rsidRDefault="004B55AD" w:rsidP="004B55AD">
            <w:pPr>
              <w:pStyle w:val="StyleZakonu"/>
              <w:rPr>
                <w:color w:val="000000" w:themeColor="text1"/>
              </w:rPr>
            </w:pPr>
            <w:r w:rsidRPr="00286216">
              <w:rPr>
                <w:color w:val="000000" w:themeColor="text1"/>
              </w:rPr>
              <w:t>13) опціонні сертифікати;</w:t>
            </w:r>
          </w:p>
        </w:tc>
      </w:tr>
      <w:tr w:rsidR="00F77E8D" w:rsidRPr="00286216" w14:paraId="3D68DC02" w14:textId="77777777" w:rsidTr="00091AA5">
        <w:tc>
          <w:tcPr>
            <w:tcW w:w="576" w:type="dxa"/>
          </w:tcPr>
          <w:p w14:paraId="711A70C1" w14:textId="77777777" w:rsidR="004B55AD" w:rsidRPr="00286216" w:rsidRDefault="004B55AD" w:rsidP="004B55AD">
            <w:pPr>
              <w:pStyle w:val="StyleWisnow"/>
              <w:rPr>
                <w:color w:val="000000" w:themeColor="text1"/>
              </w:rPr>
            </w:pPr>
            <w:bookmarkStart w:id="203" w:name="n197" w:colFirst="0" w:colLast="0"/>
            <w:bookmarkEnd w:id="202"/>
            <w:r w:rsidRPr="00286216">
              <w:rPr>
                <w:color w:val="000000" w:themeColor="text1"/>
              </w:rPr>
              <w:t>197.</w:t>
            </w:r>
          </w:p>
        </w:tc>
        <w:tc>
          <w:tcPr>
            <w:tcW w:w="4818" w:type="dxa"/>
          </w:tcPr>
          <w:p w14:paraId="1E649978" w14:textId="77777777" w:rsidR="004B55AD" w:rsidRPr="00286216" w:rsidRDefault="004B55AD" w:rsidP="004B55AD">
            <w:pPr>
              <w:pStyle w:val="StyleZakonu"/>
              <w:rPr>
                <w:color w:val="000000" w:themeColor="text1"/>
              </w:rPr>
            </w:pPr>
            <w:r w:rsidRPr="00286216">
              <w:rPr>
                <w:color w:val="000000" w:themeColor="text1"/>
              </w:rPr>
              <w:t>14) фондові варанти;</w:t>
            </w:r>
          </w:p>
        </w:tc>
        <w:tc>
          <w:tcPr>
            <w:tcW w:w="3686" w:type="dxa"/>
          </w:tcPr>
          <w:p w14:paraId="14606617" w14:textId="1ACFD209" w:rsidR="004B55AD" w:rsidRPr="00286216" w:rsidRDefault="004B55AD" w:rsidP="004B55AD">
            <w:pPr>
              <w:pStyle w:val="StyleProp"/>
              <w:spacing w:line="190" w:lineRule="exact"/>
              <w:rPr>
                <w:color w:val="000000" w:themeColor="text1"/>
                <w:spacing w:val="-4"/>
                <w:szCs w:val="18"/>
              </w:rPr>
            </w:pPr>
            <w:r w:rsidRPr="00286216">
              <w:rPr>
                <w:color w:val="000000" w:themeColor="text1"/>
                <w:spacing w:val="-4"/>
              </w:rPr>
              <w:t>Права на цінний папір та права за цінним папером, що існує в паперовій формі, належать:</w:t>
            </w:r>
          </w:p>
        </w:tc>
        <w:tc>
          <w:tcPr>
            <w:tcW w:w="1987" w:type="dxa"/>
          </w:tcPr>
          <w:p w14:paraId="51393D7F" w14:textId="77777777" w:rsidR="004B55AD" w:rsidRPr="00286216" w:rsidRDefault="004B55AD" w:rsidP="004B55AD">
            <w:pPr>
              <w:pStyle w:val="StyleWisnow"/>
              <w:rPr>
                <w:color w:val="000000" w:themeColor="text1"/>
              </w:rPr>
            </w:pPr>
          </w:p>
        </w:tc>
        <w:tc>
          <w:tcPr>
            <w:tcW w:w="4818" w:type="dxa"/>
          </w:tcPr>
          <w:p w14:paraId="1BF9135F" w14:textId="6264D28A" w:rsidR="004B55AD" w:rsidRPr="00286216" w:rsidRDefault="004B55AD" w:rsidP="004B55AD">
            <w:pPr>
              <w:pStyle w:val="StyleZakonu"/>
              <w:rPr>
                <w:color w:val="000000" w:themeColor="text1"/>
              </w:rPr>
            </w:pPr>
            <w:r w:rsidRPr="00286216">
              <w:rPr>
                <w:color w:val="000000" w:themeColor="text1"/>
              </w:rPr>
              <w:t>14) фондові варанти;</w:t>
            </w:r>
          </w:p>
        </w:tc>
      </w:tr>
      <w:tr w:rsidR="00F77E8D" w:rsidRPr="00286216" w14:paraId="5D9CE14D" w14:textId="77777777" w:rsidTr="00091AA5">
        <w:tc>
          <w:tcPr>
            <w:tcW w:w="576" w:type="dxa"/>
          </w:tcPr>
          <w:p w14:paraId="7ACD10EA" w14:textId="77777777" w:rsidR="004B55AD" w:rsidRPr="00286216" w:rsidRDefault="004B55AD" w:rsidP="004B55AD">
            <w:pPr>
              <w:pStyle w:val="StyleWisnow"/>
              <w:rPr>
                <w:color w:val="000000" w:themeColor="text1"/>
              </w:rPr>
            </w:pPr>
            <w:bookmarkStart w:id="204" w:name="n198" w:colFirst="0" w:colLast="0"/>
            <w:bookmarkEnd w:id="203"/>
            <w:r w:rsidRPr="00286216">
              <w:rPr>
                <w:color w:val="000000" w:themeColor="text1"/>
              </w:rPr>
              <w:t>198.</w:t>
            </w:r>
          </w:p>
        </w:tc>
        <w:tc>
          <w:tcPr>
            <w:tcW w:w="4818" w:type="dxa"/>
          </w:tcPr>
          <w:p w14:paraId="280ED932" w14:textId="77777777" w:rsidR="004B55AD" w:rsidRPr="00286216" w:rsidRDefault="004B55AD" w:rsidP="004B55AD">
            <w:pPr>
              <w:pStyle w:val="StyleZakonu"/>
              <w:rPr>
                <w:color w:val="000000" w:themeColor="text1"/>
              </w:rPr>
            </w:pPr>
            <w:r w:rsidRPr="00286216">
              <w:rPr>
                <w:color w:val="000000" w:themeColor="text1"/>
              </w:rPr>
              <w:t>15) кредитні ноти;</w:t>
            </w:r>
          </w:p>
        </w:tc>
        <w:tc>
          <w:tcPr>
            <w:tcW w:w="3686" w:type="dxa"/>
          </w:tcPr>
          <w:p w14:paraId="029C0D8E"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1) пред’явникові цінного паперу (цінний папір на пред’явника);</w:t>
            </w:r>
          </w:p>
          <w:p w14:paraId="37C0BB68"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2) особі, зазначеній у цінному папері (іменний цінний папір);</w:t>
            </w:r>
          </w:p>
          <w:p w14:paraId="77E24ECF"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3) особі, зазначеній у цінному папері, яка може сама реалізувати такі права або призначити своїм наказом іншу уповноважену особу (ордерний цінний папір). При цьому такий наказ (індосамент) може бути повним (із зазначенням імені особи, якій передаються права за таким ордерним цінним папером) або бланковим (без зазначення імені особи, якій передаються права за таким ордерним цінним папером).</w:t>
            </w:r>
          </w:p>
          <w:p w14:paraId="3FF65DBA"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Права на цінний папір та права за цінним папером, що існує в електронній формі, належать власникові рахунка в цінних паперах, відкритого в депозитарній установі, або іншій особі у встановлених законодавством випадках.</w:t>
            </w:r>
          </w:p>
          <w:p w14:paraId="69766C3A"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Емітент цінних паперів на пред’явника не має права на отримання із системи депозитарного обліку цінних паперів інформації про власників таких цінних паперів у будь-якій формі, крім випадків, передбачених Національною комісією з цінних паперів та фондового ринку.</w:t>
            </w:r>
          </w:p>
          <w:p w14:paraId="7F22EE18"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lastRenderedPageBreak/>
              <w:t>Емітент іменних цінних паперів має право на отримання із системи депозитарного обліку цінних паперів інформації про власників таких цінних паперів у формі реєстру власників іменних цінних паперів.</w:t>
            </w:r>
          </w:p>
          <w:p w14:paraId="7A1506AD"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5. Ордерні цінні папери можуть існувати виключно в паперовій формі.</w:t>
            </w:r>
          </w:p>
          <w:p w14:paraId="13AE13B6"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6. Емісійні цінні папери можуть бути за формою випуску виключно іменними або на пред’явника.</w:t>
            </w:r>
          </w:p>
          <w:p w14:paraId="1836E025"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Іменні емісійні цінні папери існують виключно в електронній формі.</w:t>
            </w:r>
          </w:p>
          <w:p w14:paraId="0C41B9AC"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Емісійні цінні папери на пред’явника можуть існувати в паперовій та електронній формах. Емісійні цінні папери на пред’явника, що існують в паперовій формі, можуть бути знерухомлені – переведені в електронну форму існування шляхом депонування таких цінних паперів на рахунках у цінних паперах у Центральному депозитарії цінних паперів або Національному банку України відповідно до компетенції, встановленої Законом України "Про депозитарну систему України" в установленому Національною комісією з цінних паперів та фондового ринку порядку. Емісійні цінні папери на пред’явника, що існують в електронній формі, не можуть бути переведені в паперову форму.</w:t>
            </w:r>
          </w:p>
          <w:p w14:paraId="507CA0DF"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Неемісійні цінні папери можуть існувати в паперовій або електронній формі.</w:t>
            </w:r>
          </w:p>
          <w:p w14:paraId="58347D5A"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7. В Україні у цивільному обороті можуть бути такі групи цінних паперів:</w:t>
            </w:r>
          </w:p>
          <w:p w14:paraId="70B9C693"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1) пайові цінні папери, що посвідчують участь власника таких цінних паперів (інвестора) у статутному капіталі та/або активах емітента (у тому числі активах, що знаходяться в управлінні емітента) та надають їх власнику (інвестору) право на отримання частини прибутку (доходу), зокрема у вигляді дивідендів, та інші права, встановлені законодавством, а також проспектом або рішенням про емісію, а для цінних паперів інститутів спільного інвестування - проспектом (рішенням про емісію) інституту спільного інвестування. До пайових цінних паперів належать:</w:t>
            </w:r>
          </w:p>
          <w:p w14:paraId="2203F049"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а) акції;</w:t>
            </w:r>
          </w:p>
          <w:p w14:paraId="0C25F62B"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б) інвестиційні сертифікати;</w:t>
            </w:r>
          </w:p>
          <w:p w14:paraId="27617456"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в) сертифікати ФОН;</w:t>
            </w:r>
          </w:p>
          <w:p w14:paraId="60B8E13B"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г) акції корпоративних інвестиційних фондів;</w:t>
            </w:r>
          </w:p>
          <w:p w14:paraId="2FA5740B"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 xml:space="preserve">2) боргові цінні папери - цінні папери, що посвідчують відносини позики і передбачають обов’язок емітента або особи, яка видала неемісійний цінний папір, сплатити у визначений строк кошти, передати товари або </w:t>
            </w:r>
            <w:r w:rsidRPr="00286216">
              <w:rPr>
                <w:color w:val="000000" w:themeColor="text1"/>
                <w:spacing w:val="-2"/>
              </w:rPr>
              <w:lastRenderedPageBreak/>
              <w:t>надати послуги, а також інші права власника та обов’язки емітента і осіб, які надають забезпечення за облігаціями. До боргових цінних паперів належать:</w:t>
            </w:r>
          </w:p>
          <w:p w14:paraId="79619B24"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а) корпоративні облігації;</w:t>
            </w:r>
          </w:p>
          <w:p w14:paraId="3089A96B"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б) державні облігації України;</w:t>
            </w:r>
          </w:p>
          <w:p w14:paraId="2C3532BB"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в) облігації місцевих позик;</w:t>
            </w:r>
          </w:p>
          <w:p w14:paraId="0FE80701"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г) казначейські зобов’язання України;</w:t>
            </w:r>
          </w:p>
          <w:p w14:paraId="53616763"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ґ) ощадні сертифікати банків;</w:t>
            </w:r>
          </w:p>
          <w:p w14:paraId="5AC81961"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д) депозитні сертифікати банків;</w:t>
            </w:r>
          </w:p>
          <w:p w14:paraId="498284F7"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е) векселі;</w:t>
            </w:r>
          </w:p>
          <w:p w14:paraId="2F33D2B2"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є) облігації міжнародних фінансових організацій;</w:t>
            </w:r>
          </w:p>
          <w:p w14:paraId="7226BDC5"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3) іпотечні цінні папери - цінні папери, випуск яких забезпечено іпотечним покриттям та які посвідчують право власників на отримання від емітента належних їм коштів. До іпотечних цінних паперів належать:</w:t>
            </w:r>
          </w:p>
          <w:p w14:paraId="534B16DE"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а) іпотечні облігації;</w:t>
            </w:r>
          </w:p>
          <w:p w14:paraId="02B9167F"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б) заставні;</w:t>
            </w:r>
          </w:p>
          <w:p w14:paraId="11A0C36E"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4) деривативні цінні папери - цінні папери, що посвідчують право власника у визначених проспектом (рішенням про емісію цінних паперів) випадках та порядку вимагати від емітента придбання або продажу базового активу та/або реалізації встановлених проспектом (рішенням про емісію цінних паперів) прав щодо базового активу та/або здійснення платежу (платежів) залежно від значення базового показника. До деривативних цінних паперів належать:</w:t>
            </w:r>
          </w:p>
          <w:p w14:paraId="5F761CC4"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а) опціонні сертифікати;</w:t>
            </w:r>
          </w:p>
          <w:p w14:paraId="513A78D3"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б) фондові варанти;</w:t>
            </w:r>
          </w:p>
          <w:p w14:paraId="4B3A0687"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в) кредитні ноти;</w:t>
            </w:r>
          </w:p>
          <w:p w14:paraId="0C1934A6"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г) депозитарні розписки;</w:t>
            </w:r>
          </w:p>
          <w:p w14:paraId="3E058259"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ґ) державні деривативи.</w:t>
            </w:r>
          </w:p>
          <w:p w14:paraId="74665317"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Вимоги до деривативних цінних паперів (крім державних деривативів), а також порядок їх емісії, обліку, обігу, викупу та погашення визначаються нормативно-правовими актами Національної комісії з цінних паперів та фондового ринку;</w:t>
            </w:r>
          </w:p>
          <w:p w14:paraId="148E937E" w14:textId="77777777" w:rsidR="004B55AD" w:rsidRPr="00286216" w:rsidRDefault="004B55AD" w:rsidP="004B55AD">
            <w:pPr>
              <w:pStyle w:val="StyleProp"/>
              <w:spacing w:line="180" w:lineRule="exact"/>
              <w:rPr>
                <w:color w:val="000000" w:themeColor="text1"/>
                <w:spacing w:val="-2"/>
              </w:rPr>
            </w:pPr>
            <w:r w:rsidRPr="00286216">
              <w:rPr>
                <w:color w:val="000000" w:themeColor="text1"/>
                <w:spacing w:val="-2"/>
              </w:rPr>
              <w:t>5) товаророзпорядчі цінні папери - цінні папери, що надають їх держателю право розпоряджатися майном, зазначеним у цих документах.</w:t>
            </w:r>
          </w:p>
          <w:p w14:paraId="5CAF1420" w14:textId="55513CA7" w:rsidR="004B55AD" w:rsidRPr="00286216" w:rsidRDefault="004B55AD" w:rsidP="004B55AD">
            <w:pPr>
              <w:pStyle w:val="StyleProp"/>
              <w:spacing w:line="180" w:lineRule="exact"/>
              <w:rPr>
                <w:color w:val="000000" w:themeColor="text1"/>
                <w:szCs w:val="18"/>
              </w:rPr>
            </w:pPr>
            <w:r w:rsidRPr="00286216">
              <w:rPr>
                <w:color w:val="000000" w:themeColor="text1"/>
                <w:spacing w:val="-2"/>
              </w:rPr>
              <w:t>8. Держава може розміщувати на міжнародних ринках капіталу облігації зовнішньої державної позики України та державні деривативи.</w:t>
            </w:r>
          </w:p>
        </w:tc>
        <w:tc>
          <w:tcPr>
            <w:tcW w:w="1987" w:type="dxa"/>
          </w:tcPr>
          <w:p w14:paraId="43A3FBF9" w14:textId="77777777" w:rsidR="004B55AD" w:rsidRPr="00286216" w:rsidRDefault="004B55AD" w:rsidP="004B55AD">
            <w:pPr>
              <w:pStyle w:val="StyleWisnow"/>
              <w:rPr>
                <w:color w:val="000000" w:themeColor="text1"/>
              </w:rPr>
            </w:pPr>
          </w:p>
        </w:tc>
        <w:tc>
          <w:tcPr>
            <w:tcW w:w="4818" w:type="dxa"/>
          </w:tcPr>
          <w:p w14:paraId="05064BF6" w14:textId="50EDF3EA" w:rsidR="004B55AD" w:rsidRPr="00286216" w:rsidRDefault="004B55AD" w:rsidP="004B55AD">
            <w:pPr>
              <w:pStyle w:val="StyleZakonu"/>
              <w:rPr>
                <w:color w:val="000000" w:themeColor="text1"/>
              </w:rPr>
            </w:pPr>
            <w:r w:rsidRPr="00286216">
              <w:rPr>
                <w:color w:val="000000" w:themeColor="text1"/>
              </w:rPr>
              <w:t>15) кредитні ноти;</w:t>
            </w:r>
          </w:p>
        </w:tc>
      </w:tr>
      <w:tr w:rsidR="00F77E8D" w:rsidRPr="00286216" w14:paraId="5A1DB854" w14:textId="77777777" w:rsidTr="00091AA5">
        <w:tc>
          <w:tcPr>
            <w:tcW w:w="576" w:type="dxa"/>
          </w:tcPr>
          <w:p w14:paraId="667C2501" w14:textId="77777777" w:rsidR="004B55AD" w:rsidRPr="00286216" w:rsidRDefault="004B55AD" w:rsidP="004B55AD">
            <w:pPr>
              <w:pStyle w:val="StyleWisnow"/>
              <w:rPr>
                <w:color w:val="000000" w:themeColor="text1"/>
              </w:rPr>
            </w:pPr>
            <w:bookmarkStart w:id="205" w:name="n199" w:colFirst="0" w:colLast="0"/>
            <w:bookmarkEnd w:id="204"/>
            <w:r w:rsidRPr="00286216">
              <w:rPr>
                <w:color w:val="000000" w:themeColor="text1"/>
              </w:rPr>
              <w:lastRenderedPageBreak/>
              <w:t>199.</w:t>
            </w:r>
          </w:p>
        </w:tc>
        <w:tc>
          <w:tcPr>
            <w:tcW w:w="4818" w:type="dxa"/>
          </w:tcPr>
          <w:p w14:paraId="43A495FE" w14:textId="77777777" w:rsidR="004B55AD" w:rsidRPr="00286216" w:rsidRDefault="004B55AD" w:rsidP="004B55AD">
            <w:pPr>
              <w:pStyle w:val="StyleZakonu"/>
              <w:rPr>
                <w:color w:val="000000" w:themeColor="text1"/>
              </w:rPr>
            </w:pPr>
            <w:r w:rsidRPr="00286216">
              <w:rPr>
                <w:color w:val="000000" w:themeColor="text1"/>
              </w:rPr>
              <w:t>16) депозитарні розписки.</w:t>
            </w:r>
          </w:p>
        </w:tc>
        <w:tc>
          <w:tcPr>
            <w:tcW w:w="3686" w:type="dxa"/>
          </w:tcPr>
          <w:p w14:paraId="1C1B0A11" w14:textId="77777777" w:rsidR="004B55AD" w:rsidRPr="00286216" w:rsidRDefault="004B55AD" w:rsidP="004B55AD">
            <w:pPr>
              <w:pStyle w:val="StyleProp"/>
              <w:rPr>
                <w:color w:val="000000" w:themeColor="text1"/>
                <w:szCs w:val="18"/>
              </w:rPr>
            </w:pPr>
          </w:p>
        </w:tc>
        <w:tc>
          <w:tcPr>
            <w:tcW w:w="1987" w:type="dxa"/>
          </w:tcPr>
          <w:p w14:paraId="545DEB04" w14:textId="77777777" w:rsidR="004B55AD" w:rsidRPr="00286216" w:rsidRDefault="004B55AD" w:rsidP="004B55AD">
            <w:pPr>
              <w:pStyle w:val="StyleWisnow"/>
              <w:rPr>
                <w:color w:val="000000" w:themeColor="text1"/>
              </w:rPr>
            </w:pPr>
          </w:p>
        </w:tc>
        <w:tc>
          <w:tcPr>
            <w:tcW w:w="4818" w:type="dxa"/>
          </w:tcPr>
          <w:p w14:paraId="320DE52D" w14:textId="53B3348B" w:rsidR="004B55AD" w:rsidRPr="00286216" w:rsidRDefault="004B55AD" w:rsidP="004B55AD">
            <w:pPr>
              <w:pStyle w:val="StyleZakonu"/>
              <w:rPr>
                <w:color w:val="000000" w:themeColor="text1"/>
              </w:rPr>
            </w:pPr>
            <w:r w:rsidRPr="00286216">
              <w:rPr>
                <w:color w:val="000000" w:themeColor="text1"/>
              </w:rPr>
              <w:t>16) депозитарні розписки.</w:t>
            </w:r>
          </w:p>
        </w:tc>
      </w:tr>
      <w:tr w:rsidR="00F77E8D" w:rsidRPr="00286216" w14:paraId="12FF5A26" w14:textId="77777777" w:rsidTr="00091AA5">
        <w:tc>
          <w:tcPr>
            <w:tcW w:w="576" w:type="dxa"/>
          </w:tcPr>
          <w:p w14:paraId="41354535" w14:textId="77777777" w:rsidR="004B55AD" w:rsidRPr="00286216" w:rsidRDefault="004B55AD" w:rsidP="004B55AD">
            <w:pPr>
              <w:pStyle w:val="StyleWisnow"/>
              <w:rPr>
                <w:color w:val="000000" w:themeColor="text1"/>
              </w:rPr>
            </w:pPr>
            <w:bookmarkStart w:id="206" w:name="n200" w:colFirst="0" w:colLast="0"/>
            <w:bookmarkEnd w:id="205"/>
            <w:r w:rsidRPr="00286216">
              <w:rPr>
                <w:color w:val="000000" w:themeColor="text1"/>
              </w:rPr>
              <w:t>200.</w:t>
            </w:r>
          </w:p>
        </w:tc>
        <w:tc>
          <w:tcPr>
            <w:tcW w:w="4818" w:type="dxa"/>
          </w:tcPr>
          <w:p w14:paraId="33ACE22A" w14:textId="77777777" w:rsidR="004B55AD" w:rsidRPr="00286216" w:rsidRDefault="004B55AD" w:rsidP="004B55AD">
            <w:pPr>
              <w:pStyle w:val="StyleZakonu"/>
              <w:rPr>
                <w:color w:val="000000" w:themeColor="text1"/>
              </w:rPr>
            </w:pPr>
            <w:r w:rsidRPr="00286216">
              <w:rPr>
                <w:color w:val="000000" w:themeColor="text1"/>
              </w:rPr>
              <w:t xml:space="preserve">Цінні папери, що не належать згідно з цим Законом до емісійних цінних паперів, можуть бути визнані такими Національною комісією з цінних </w:t>
            </w:r>
            <w:r w:rsidRPr="00286216">
              <w:rPr>
                <w:color w:val="000000" w:themeColor="text1"/>
              </w:rPr>
              <w:lastRenderedPageBreak/>
              <w:t>паперів та фондового ринку.</w:t>
            </w:r>
          </w:p>
        </w:tc>
        <w:tc>
          <w:tcPr>
            <w:tcW w:w="3686" w:type="dxa"/>
          </w:tcPr>
          <w:p w14:paraId="0A6D2BEB" w14:textId="60C5976A"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219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93A94DD" w14:textId="77777777" w:rsidR="004B55AD" w:rsidRPr="00286216" w:rsidRDefault="004B55AD" w:rsidP="004B55AD">
            <w:pPr>
              <w:pStyle w:val="StyleProp"/>
              <w:rPr>
                <w:color w:val="000000" w:themeColor="text1"/>
                <w:szCs w:val="18"/>
              </w:rPr>
            </w:pPr>
            <w:r w:rsidRPr="00286216">
              <w:rPr>
                <w:color w:val="000000" w:themeColor="text1"/>
              </w:rPr>
              <w:t>Виключити останній абзац частини першої статті 6.</w:t>
            </w:r>
          </w:p>
        </w:tc>
        <w:tc>
          <w:tcPr>
            <w:tcW w:w="1987" w:type="dxa"/>
          </w:tcPr>
          <w:p w14:paraId="3EB082A5" w14:textId="5C1EAFD3" w:rsidR="004B55AD" w:rsidRPr="00286216" w:rsidRDefault="004B55AD" w:rsidP="004B55AD">
            <w:pPr>
              <w:pStyle w:val="StyleWisnow"/>
              <w:rPr>
                <w:color w:val="000000" w:themeColor="text1"/>
              </w:rPr>
            </w:pPr>
            <w:r w:rsidRPr="00286216">
              <w:rPr>
                <w:color w:val="000000" w:themeColor="text1"/>
              </w:rPr>
              <w:t xml:space="preserve">Враховано </w:t>
            </w:r>
          </w:p>
        </w:tc>
        <w:tc>
          <w:tcPr>
            <w:tcW w:w="4818" w:type="dxa"/>
          </w:tcPr>
          <w:p w14:paraId="1490D31A" w14:textId="30BC44CB" w:rsidR="004B55AD" w:rsidRPr="00286216" w:rsidRDefault="004B55AD" w:rsidP="004B55AD">
            <w:pPr>
              <w:pStyle w:val="StyleZakonu"/>
              <w:rPr>
                <w:color w:val="000000" w:themeColor="text1"/>
              </w:rPr>
            </w:pPr>
          </w:p>
        </w:tc>
      </w:tr>
      <w:tr w:rsidR="00F77E8D" w:rsidRPr="00286216" w14:paraId="0DE20A91" w14:textId="77777777" w:rsidTr="00091AA5">
        <w:tc>
          <w:tcPr>
            <w:tcW w:w="576" w:type="dxa"/>
          </w:tcPr>
          <w:p w14:paraId="69322524" w14:textId="77777777" w:rsidR="004B55AD" w:rsidRPr="00286216" w:rsidRDefault="004B55AD" w:rsidP="004B55AD">
            <w:pPr>
              <w:pStyle w:val="StyleWisnow"/>
              <w:rPr>
                <w:color w:val="000000" w:themeColor="text1"/>
              </w:rPr>
            </w:pPr>
            <w:bookmarkStart w:id="207" w:name="n201" w:colFirst="0" w:colLast="0"/>
            <w:bookmarkEnd w:id="206"/>
            <w:r w:rsidRPr="00286216">
              <w:rPr>
                <w:color w:val="000000" w:themeColor="text1"/>
              </w:rPr>
              <w:t>201.</w:t>
            </w:r>
          </w:p>
        </w:tc>
        <w:tc>
          <w:tcPr>
            <w:tcW w:w="4818" w:type="dxa"/>
          </w:tcPr>
          <w:p w14:paraId="43C7BEE7" w14:textId="77777777" w:rsidR="004B55AD" w:rsidRPr="00286216" w:rsidRDefault="004B55AD" w:rsidP="004B55AD">
            <w:pPr>
              <w:pStyle w:val="StyleZakonu"/>
              <w:rPr>
                <w:color w:val="000000" w:themeColor="text1"/>
              </w:rPr>
            </w:pPr>
            <w:r w:rsidRPr="00286216">
              <w:rPr>
                <w:color w:val="000000" w:themeColor="text1"/>
              </w:rPr>
              <w:t>3. Цінні папери за формою існування поділяються на бездокументарні цінні папери та документарні цінні папери.</w:t>
            </w:r>
          </w:p>
        </w:tc>
        <w:tc>
          <w:tcPr>
            <w:tcW w:w="3686" w:type="dxa"/>
          </w:tcPr>
          <w:p w14:paraId="60F3822D" w14:textId="3E5E7401"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8D5E584" w14:textId="77777777" w:rsidR="004B55AD" w:rsidRPr="00286216" w:rsidRDefault="004B55AD" w:rsidP="004B55AD">
            <w:pPr>
              <w:pStyle w:val="StyleProp"/>
              <w:rPr>
                <w:color w:val="000000" w:themeColor="text1"/>
                <w:szCs w:val="18"/>
              </w:rPr>
            </w:pPr>
            <w:r w:rsidRPr="00286216">
              <w:rPr>
                <w:color w:val="000000" w:themeColor="text1"/>
                <w:szCs w:val="18"/>
              </w:rPr>
              <w:t>Частину 3 ст. 6 викласти в такій редакції:</w:t>
            </w:r>
          </w:p>
          <w:p w14:paraId="40D2EBBE" w14:textId="77777777" w:rsidR="004B55AD" w:rsidRPr="00286216" w:rsidRDefault="004B55AD" w:rsidP="004B55AD">
            <w:pPr>
              <w:pStyle w:val="StyleProp"/>
              <w:rPr>
                <w:color w:val="000000" w:themeColor="text1"/>
                <w:szCs w:val="18"/>
              </w:rPr>
            </w:pPr>
            <w:r w:rsidRPr="00286216">
              <w:rPr>
                <w:color w:val="000000" w:themeColor="text1"/>
                <w:szCs w:val="18"/>
              </w:rPr>
              <w:t>«3. Цінні папери існують в електронній та паперовій формі.</w:t>
            </w:r>
          </w:p>
        </w:tc>
        <w:tc>
          <w:tcPr>
            <w:tcW w:w="1987" w:type="dxa"/>
          </w:tcPr>
          <w:p w14:paraId="5A8F453C" w14:textId="723BE92B" w:rsidR="004B55AD" w:rsidRPr="00286216" w:rsidRDefault="004B55AD" w:rsidP="004B55AD">
            <w:pPr>
              <w:pStyle w:val="StyleWisnow"/>
              <w:rPr>
                <w:color w:val="000000" w:themeColor="text1"/>
              </w:rPr>
            </w:pPr>
            <w:r w:rsidRPr="00286216">
              <w:rPr>
                <w:color w:val="000000" w:themeColor="text1"/>
              </w:rPr>
              <w:t>Враховано редакційно</w:t>
            </w:r>
          </w:p>
        </w:tc>
        <w:tc>
          <w:tcPr>
            <w:tcW w:w="4818" w:type="dxa"/>
          </w:tcPr>
          <w:p w14:paraId="455FF90C" w14:textId="08E07A6E" w:rsidR="004B55AD" w:rsidRPr="00286216" w:rsidRDefault="004B55AD" w:rsidP="004B55AD">
            <w:pPr>
              <w:pStyle w:val="StyleZakonu"/>
              <w:rPr>
                <w:color w:val="000000" w:themeColor="text1"/>
              </w:rPr>
            </w:pPr>
            <w:r w:rsidRPr="00286216">
              <w:rPr>
                <w:color w:val="000000" w:themeColor="text1"/>
              </w:rPr>
              <w:t>3. Цінні папери існують в електронній (електронні цінні папери) та паперовій (паперові цінні папери) формах.</w:t>
            </w:r>
          </w:p>
        </w:tc>
      </w:tr>
      <w:tr w:rsidR="00F77E8D" w:rsidRPr="00286216" w14:paraId="46817DF0" w14:textId="77777777" w:rsidTr="00091AA5">
        <w:tc>
          <w:tcPr>
            <w:tcW w:w="576" w:type="dxa"/>
          </w:tcPr>
          <w:p w14:paraId="33BC21E9" w14:textId="77777777" w:rsidR="004B55AD" w:rsidRPr="00286216" w:rsidRDefault="004B55AD" w:rsidP="004B55AD">
            <w:pPr>
              <w:pStyle w:val="StyleWisnow"/>
              <w:rPr>
                <w:color w:val="000000" w:themeColor="text1"/>
              </w:rPr>
            </w:pPr>
            <w:bookmarkStart w:id="208" w:name="n202" w:colFirst="0" w:colLast="0"/>
            <w:bookmarkEnd w:id="207"/>
            <w:r w:rsidRPr="00286216">
              <w:rPr>
                <w:color w:val="000000" w:themeColor="text1"/>
              </w:rPr>
              <w:t>202.</w:t>
            </w:r>
          </w:p>
        </w:tc>
        <w:tc>
          <w:tcPr>
            <w:tcW w:w="4818" w:type="dxa"/>
          </w:tcPr>
          <w:p w14:paraId="536DBB30" w14:textId="77777777" w:rsidR="004B55AD" w:rsidRPr="00286216" w:rsidRDefault="004B55AD" w:rsidP="004B55AD">
            <w:pPr>
              <w:pStyle w:val="StyleZakonu"/>
              <w:rPr>
                <w:color w:val="000000" w:themeColor="text1"/>
              </w:rPr>
            </w:pPr>
            <w:r w:rsidRPr="00286216">
              <w:rPr>
                <w:color w:val="000000" w:themeColor="text1"/>
              </w:rPr>
              <w:t>Бездокументарним цінним папером є обліковий запис на рахунку в цінних паперах у системі депозитарного обліку цінних паперів.</w:t>
            </w:r>
          </w:p>
        </w:tc>
        <w:tc>
          <w:tcPr>
            <w:tcW w:w="3686" w:type="dxa"/>
          </w:tcPr>
          <w:p w14:paraId="33B30E95" w14:textId="77777777" w:rsidR="004B55AD" w:rsidRPr="00286216" w:rsidRDefault="004B55AD" w:rsidP="004B55AD">
            <w:pPr>
              <w:pStyle w:val="StyleProp"/>
              <w:rPr>
                <w:color w:val="000000" w:themeColor="text1"/>
                <w:szCs w:val="18"/>
              </w:rPr>
            </w:pPr>
            <w:r w:rsidRPr="00286216">
              <w:rPr>
                <w:color w:val="000000" w:themeColor="text1"/>
                <w:szCs w:val="18"/>
              </w:rPr>
              <w:t>Електронним цінним папером є обліковий запис на рахунку в цінних паперах у системі депозитарного обліку цінних паперів.</w:t>
            </w:r>
          </w:p>
        </w:tc>
        <w:tc>
          <w:tcPr>
            <w:tcW w:w="1987" w:type="dxa"/>
          </w:tcPr>
          <w:p w14:paraId="7743446A" w14:textId="77777777" w:rsidR="004B55AD" w:rsidRPr="00286216" w:rsidRDefault="004B55AD" w:rsidP="004B55AD">
            <w:pPr>
              <w:pStyle w:val="StyleWisnow"/>
              <w:rPr>
                <w:color w:val="000000" w:themeColor="text1"/>
              </w:rPr>
            </w:pPr>
          </w:p>
        </w:tc>
        <w:tc>
          <w:tcPr>
            <w:tcW w:w="4818" w:type="dxa"/>
          </w:tcPr>
          <w:p w14:paraId="6AA491FD" w14:textId="26C58CE7" w:rsidR="004B55AD" w:rsidRPr="00286216" w:rsidRDefault="004B55AD" w:rsidP="004B55AD">
            <w:pPr>
              <w:pStyle w:val="StyleZakonu"/>
              <w:rPr>
                <w:color w:val="000000" w:themeColor="text1"/>
              </w:rPr>
            </w:pPr>
            <w:r w:rsidRPr="00286216">
              <w:rPr>
                <w:color w:val="000000" w:themeColor="text1"/>
              </w:rPr>
              <w:t>Електронний цінний папір відображається у вигляді облікового запису на рахунку в цінних паперах у системі депозитарного обліку цінних паперів.</w:t>
            </w:r>
          </w:p>
        </w:tc>
      </w:tr>
      <w:tr w:rsidR="00F77E8D" w:rsidRPr="00286216" w14:paraId="5DA9E046" w14:textId="77777777" w:rsidTr="00091AA5">
        <w:tc>
          <w:tcPr>
            <w:tcW w:w="576" w:type="dxa"/>
          </w:tcPr>
          <w:p w14:paraId="70C930A8" w14:textId="77777777" w:rsidR="004B55AD" w:rsidRPr="00286216" w:rsidRDefault="004B55AD" w:rsidP="004B55AD">
            <w:pPr>
              <w:pStyle w:val="StyleWisnow"/>
              <w:rPr>
                <w:color w:val="000000" w:themeColor="text1"/>
              </w:rPr>
            </w:pPr>
            <w:bookmarkStart w:id="209" w:name="n203" w:colFirst="0" w:colLast="0"/>
            <w:bookmarkEnd w:id="208"/>
            <w:r w:rsidRPr="00286216">
              <w:rPr>
                <w:color w:val="000000" w:themeColor="text1"/>
              </w:rPr>
              <w:t>203.</w:t>
            </w:r>
          </w:p>
        </w:tc>
        <w:tc>
          <w:tcPr>
            <w:tcW w:w="4818" w:type="dxa"/>
          </w:tcPr>
          <w:p w14:paraId="715CA061" w14:textId="77777777" w:rsidR="004B55AD" w:rsidRPr="00286216" w:rsidRDefault="004B55AD" w:rsidP="004B55AD">
            <w:pPr>
              <w:pStyle w:val="StyleZakonu"/>
              <w:rPr>
                <w:color w:val="000000" w:themeColor="text1"/>
              </w:rPr>
            </w:pPr>
            <w:r w:rsidRPr="00286216">
              <w:rPr>
                <w:color w:val="000000" w:themeColor="text1"/>
              </w:rPr>
              <w:t>Документарним цінним папером є паперовий або електронний документ, оформлений у визначеній законодавством формі, що містить найменування виду цінного папера, а також визначені законодавством реквізити.</w:t>
            </w:r>
          </w:p>
        </w:tc>
        <w:tc>
          <w:tcPr>
            <w:tcW w:w="3686" w:type="dxa"/>
          </w:tcPr>
          <w:p w14:paraId="0981931E" w14:textId="77777777" w:rsidR="004B55AD" w:rsidRPr="00286216" w:rsidRDefault="004B55AD" w:rsidP="004B55AD">
            <w:pPr>
              <w:pStyle w:val="StyleProp"/>
              <w:rPr>
                <w:color w:val="000000" w:themeColor="text1"/>
                <w:szCs w:val="18"/>
              </w:rPr>
            </w:pPr>
            <w:r w:rsidRPr="00286216">
              <w:rPr>
                <w:color w:val="000000" w:themeColor="text1"/>
                <w:szCs w:val="18"/>
              </w:rPr>
              <w:t>Паперовим цінним папером є оформлений на матеріальному носії документ, що містить найменування виду цінного папера, а також визначені законодавством реквізити».</w:t>
            </w:r>
          </w:p>
        </w:tc>
        <w:tc>
          <w:tcPr>
            <w:tcW w:w="1987" w:type="dxa"/>
          </w:tcPr>
          <w:p w14:paraId="4AF58C56" w14:textId="77777777" w:rsidR="004B55AD" w:rsidRPr="00286216" w:rsidRDefault="004B55AD" w:rsidP="004B55AD">
            <w:pPr>
              <w:pStyle w:val="StyleWisnow"/>
              <w:rPr>
                <w:color w:val="000000" w:themeColor="text1"/>
              </w:rPr>
            </w:pPr>
          </w:p>
        </w:tc>
        <w:tc>
          <w:tcPr>
            <w:tcW w:w="4818" w:type="dxa"/>
          </w:tcPr>
          <w:p w14:paraId="4915A00D" w14:textId="03BB4394" w:rsidR="004B55AD" w:rsidRPr="00286216" w:rsidRDefault="004B55AD" w:rsidP="004B55AD">
            <w:pPr>
              <w:pStyle w:val="StyleZakonu"/>
              <w:rPr>
                <w:color w:val="000000" w:themeColor="text1"/>
              </w:rPr>
            </w:pPr>
            <w:r w:rsidRPr="00286216">
              <w:rPr>
                <w:color w:val="000000" w:themeColor="text1"/>
              </w:rPr>
              <w:t>Паперовий цінний папір оформлюється на матеріальному носії як документ, що містить найменування виду цінного паперу, а також визначені законодавством реквізити.</w:t>
            </w:r>
          </w:p>
        </w:tc>
      </w:tr>
      <w:tr w:rsidR="00F77E8D" w:rsidRPr="00286216" w14:paraId="2F2508FA" w14:textId="77777777" w:rsidTr="00091AA5">
        <w:tc>
          <w:tcPr>
            <w:tcW w:w="576" w:type="dxa"/>
          </w:tcPr>
          <w:p w14:paraId="590DB731" w14:textId="77777777" w:rsidR="004B55AD" w:rsidRPr="00286216" w:rsidRDefault="004B55AD" w:rsidP="004B55AD">
            <w:pPr>
              <w:pStyle w:val="StyleWisnow"/>
              <w:rPr>
                <w:color w:val="000000" w:themeColor="text1"/>
              </w:rPr>
            </w:pPr>
            <w:bookmarkStart w:id="210" w:name="n204" w:colFirst="0" w:colLast="0"/>
            <w:bookmarkEnd w:id="209"/>
            <w:r w:rsidRPr="00286216">
              <w:rPr>
                <w:color w:val="000000" w:themeColor="text1"/>
              </w:rPr>
              <w:t>204.</w:t>
            </w:r>
          </w:p>
        </w:tc>
        <w:tc>
          <w:tcPr>
            <w:tcW w:w="4818" w:type="dxa"/>
          </w:tcPr>
          <w:p w14:paraId="7E39C3DD" w14:textId="77777777" w:rsidR="004B55AD" w:rsidRPr="00286216" w:rsidRDefault="004B55AD" w:rsidP="004B55AD">
            <w:pPr>
              <w:pStyle w:val="StyleZakonu"/>
              <w:rPr>
                <w:color w:val="000000" w:themeColor="text1"/>
              </w:rPr>
            </w:pPr>
            <w:r w:rsidRPr="00286216">
              <w:rPr>
                <w:color w:val="000000" w:themeColor="text1"/>
              </w:rPr>
              <w:t>4. Цінні папери за формою випуску (видачі) можуть бути на пред’явника, іменні або ордерні.</w:t>
            </w:r>
          </w:p>
        </w:tc>
        <w:tc>
          <w:tcPr>
            <w:tcW w:w="3686" w:type="dxa"/>
          </w:tcPr>
          <w:p w14:paraId="091BF92A" w14:textId="77777777" w:rsidR="004B55AD" w:rsidRPr="00286216" w:rsidRDefault="004B55AD" w:rsidP="004B55AD">
            <w:pPr>
              <w:pStyle w:val="StyleProp"/>
              <w:rPr>
                <w:color w:val="000000" w:themeColor="text1"/>
                <w:szCs w:val="18"/>
              </w:rPr>
            </w:pPr>
          </w:p>
        </w:tc>
        <w:tc>
          <w:tcPr>
            <w:tcW w:w="1987" w:type="dxa"/>
          </w:tcPr>
          <w:p w14:paraId="113267C0" w14:textId="77777777" w:rsidR="004B55AD" w:rsidRPr="00286216" w:rsidRDefault="004B55AD" w:rsidP="004B55AD">
            <w:pPr>
              <w:pStyle w:val="StyleWisnow"/>
              <w:rPr>
                <w:color w:val="000000" w:themeColor="text1"/>
              </w:rPr>
            </w:pPr>
          </w:p>
        </w:tc>
        <w:tc>
          <w:tcPr>
            <w:tcW w:w="4818" w:type="dxa"/>
          </w:tcPr>
          <w:p w14:paraId="55C2D9A9" w14:textId="421C2715" w:rsidR="004B55AD" w:rsidRPr="00286216" w:rsidRDefault="004B55AD" w:rsidP="004B55AD">
            <w:pPr>
              <w:pStyle w:val="StyleZakonu"/>
              <w:rPr>
                <w:color w:val="000000" w:themeColor="text1"/>
              </w:rPr>
            </w:pPr>
            <w:r w:rsidRPr="00286216">
              <w:rPr>
                <w:color w:val="000000" w:themeColor="text1"/>
              </w:rPr>
              <w:t>4. Цінні папери за формою випуску (видачі) можуть бути на пред’явника, іменні або ордерні.</w:t>
            </w:r>
          </w:p>
        </w:tc>
      </w:tr>
      <w:tr w:rsidR="00F77E8D" w:rsidRPr="00286216" w14:paraId="6D04E62A" w14:textId="77777777" w:rsidTr="00091AA5">
        <w:tc>
          <w:tcPr>
            <w:tcW w:w="576" w:type="dxa"/>
          </w:tcPr>
          <w:p w14:paraId="3AD63DD4" w14:textId="77777777" w:rsidR="004B55AD" w:rsidRPr="00286216" w:rsidRDefault="004B55AD" w:rsidP="004B55AD">
            <w:pPr>
              <w:pStyle w:val="StyleWisnow"/>
              <w:rPr>
                <w:color w:val="000000" w:themeColor="text1"/>
              </w:rPr>
            </w:pPr>
            <w:bookmarkStart w:id="211" w:name="n205" w:colFirst="0" w:colLast="0"/>
            <w:bookmarkEnd w:id="210"/>
            <w:r w:rsidRPr="00286216">
              <w:rPr>
                <w:color w:val="000000" w:themeColor="text1"/>
              </w:rPr>
              <w:t>205.</w:t>
            </w:r>
          </w:p>
        </w:tc>
        <w:tc>
          <w:tcPr>
            <w:tcW w:w="4818" w:type="dxa"/>
          </w:tcPr>
          <w:p w14:paraId="480ED425" w14:textId="77777777" w:rsidR="004B55AD" w:rsidRPr="00286216" w:rsidRDefault="004B55AD" w:rsidP="004B55AD">
            <w:pPr>
              <w:pStyle w:val="StyleZakonu"/>
              <w:rPr>
                <w:color w:val="000000" w:themeColor="text1"/>
              </w:rPr>
            </w:pPr>
            <w:r w:rsidRPr="00286216">
              <w:rPr>
                <w:color w:val="000000" w:themeColor="text1"/>
              </w:rPr>
              <w:t>Права на цінний папір та права за цінним папером, що існує в документарній формі, належать:</w:t>
            </w:r>
          </w:p>
        </w:tc>
        <w:tc>
          <w:tcPr>
            <w:tcW w:w="3686" w:type="dxa"/>
          </w:tcPr>
          <w:p w14:paraId="7BED5905" w14:textId="19E30FD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B7CFCE4" w14:textId="0AD071E8" w:rsidR="004B55AD" w:rsidRPr="00286216" w:rsidRDefault="004B55AD" w:rsidP="004B55AD">
            <w:pPr>
              <w:pStyle w:val="StyleProp"/>
              <w:spacing w:line="180" w:lineRule="exact"/>
              <w:rPr>
                <w:color w:val="000000" w:themeColor="text1"/>
                <w:szCs w:val="18"/>
              </w:rPr>
            </w:pPr>
            <w:r w:rsidRPr="00286216">
              <w:rPr>
                <w:color w:val="000000" w:themeColor="text1"/>
                <w:szCs w:val="18"/>
              </w:rPr>
              <w:t>В тексті закону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64FE9C34" w14:textId="4084E09D" w:rsidR="004B55AD" w:rsidRPr="00286216" w:rsidRDefault="004B55AD" w:rsidP="004B55AD">
            <w:pPr>
              <w:pStyle w:val="StyleWisnow"/>
              <w:rPr>
                <w:color w:val="000000" w:themeColor="text1"/>
              </w:rPr>
            </w:pPr>
            <w:r w:rsidRPr="00286216">
              <w:rPr>
                <w:color w:val="000000" w:themeColor="text1"/>
              </w:rPr>
              <w:t>Враховано</w:t>
            </w:r>
          </w:p>
          <w:p w14:paraId="16BB6DE1" w14:textId="2D0B5B91" w:rsidR="004B55AD" w:rsidRPr="00286216" w:rsidRDefault="004B55AD" w:rsidP="004B55AD">
            <w:pPr>
              <w:pStyle w:val="StyleWisnow"/>
              <w:rPr>
                <w:color w:val="000000" w:themeColor="text1"/>
              </w:rPr>
            </w:pPr>
          </w:p>
        </w:tc>
        <w:tc>
          <w:tcPr>
            <w:tcW w:w="4818" w:type="dxa"/>
          </w:tcPr>
          <w:p w14:paraId="2F73154D" w14:textId="4D1431CF" w:rsidR="004B55AD" w:rsidRPr="00286216" w:rsidRDefault="004B55AD" w:rsidP="004B55AD">
            <w:pPr>
              <w:pStyle w:val="StyleZakonu"/>
              <w:rPr>
                <w:color w:val="000000" w:themeColor="text1"/>
              </w:rPr>
            </w:pPr>
            <w:r w:rsidRPr="00286216">
              <w:rPr>
                <w:color w:val="000000" w:themeColor="text1"/>
              </w:rPr>
              <w:t>Права на цінний папір та права за цінним папером, що існує в паперовій формі, належать:</w:t>
            </w:r>
          </w:p>
        </w:tc>
      </w:tr>
      <w:tr w:rsidR="00F77E8D" w:rsidRPr="00286216" w14:paraId="0B0FA909" w14:textId="77777777" w:rsidTr="00091AA5">
        <w:tc>
          <w:tcPr>
            <w:tcW w:w="576" w:type="dxa"/>
          </w:tcPr>
          <w:p w14:paraId="6FFEC620" w14:textId="77777777" w:rsidR="004B55AD" w:rsidRPr="00286216" w:rsidRDefault="004B55AD" w:rsidP="004B55AD">
            <w:pPr>
              <w:pStyle w:val="StyleWisnow"/>
              <w:rPr>
                <w:color w:val="000000" w:themeColor="text1"/>
              </w:rPr>
            </w:pPr>
            <w:bookmarkStart w:id="212" w:name="n206" w:colFirst="0" w:colLast="0"/>
            <w:bookmarkEnd w:id="211"/>
            <w:r w:rsidRPr="00286216">
              <w:rPr>
                <w:color w:val="000000" w:themeColor="text1"/>
              </w:rPr>
              <w:t>206.</w:t>
            </w:r>
          </w:p>
        </w:tc>
        <w:tc>
          <w:tcPr>
            <w:tcW w:w="4818" w:type="dxa"/>
          </w:tcPr>
          <w:p w14:paraId="1C03B6FC" w14:textId="77777777" w:rsidR="004B55AD" w:rsidRPr="00286216" w:rsidRDefault="004B55AD" w:rsidP="004B55AD">
            <w:pPr>
              <w:pStyle w:val="StyleZakonu"/>
              <w:rPr>
                <w:color w:val="000000" w:themeColor="text1"/>
              </w:rPr>
            </w:pPr>
            <w:r w:rsidRPr="00286216">
              <w:rPr>
                <w:color w:val="000000" w:themeColor="text1"/>
              </w:rPr>
              <w:t>1) пред’явникові цінного папера (цінний папір на пред’явника);</w:t>
            </w:r>
          </w:p>
        </w:tc>
        <w:tc>
          <w:tcPr>
            <w:tcW w:w="3686" w:type="dxa"/>
          </w:tcPr>
          <w:p w14:paraId="558F90AD" w14:textId="77777777" w:rsidR="004B55AD" w:rsidRPr="00286216" w:rsidRDefault="004B55AD" w:rsidP="004B55AD">
            <w:pPr>
              <w:pStyle w:val="StyleProp"/>
              <w:rPr>
                <w:color w:val="000000" w:themeColor="text1"/>
                <w:szCs w:val="18"/>
              </w:rPr>
            </w:pPr>
          </w:p>
        </w:tc>
        <w:tc>
          <w:tcPr>
            <w:tcW w:w="1987" w:type="dxa"/>
          </w:tcPr>
          <w:p w14:paraId="7FAE2059" w14:textId="77777777" w:rsidR="004B55AD" w:rsidRPr="00286216" w:rsidRDefault="004B55AD" w:rsidP="004B55AD">
            <w:pPr>
              <w:pStyle w:val="StyleWisnow"/>
              <w:rPr>
                <w:color w:val="000000" w:themeColor="text1"/>
              </w:rPr>
            </w:pPr>
          </w:p>
        </w:tc>
        <w:tc>
          <w:tcPr>
            <w:tcW w:w="4818" w:type="dxa"/>
          </w:tcPr>
          <w:p w14:paraId="561BFEED" w14:textId="1AC7C298" w:rsidR="004B55AD" w:rsidRPr="00286216" w:rsidRDefault="004B55AD" w:rsidP="004B55AD">
            <w:pPr>
              <w:pStyle w:val="StyleZakonu"/>
              <w:rPr>
                <w:color w:val="000000" w:themeColor="text1"/>
              </w:rPr>
            </w:pPr>
            <w:r w:rsidRPr="00286216">
              <w:rPr>
                <w:color w:val="000000" w:themeColor="text1"/>
              </w:rPr>
              <w:t>1) пред’явникові цінного паперу (цінний папір на пред’явника);</w:t>
            </w:r>
          </w:p>
        </w:tc>
      </w:tr>
      <w:tr w:rsidR="00F77E8D" w:rsidRPr="00286216" w14:paraId="160C6564" w14:textId="77777777" w:rsidTr="00091AA5">
        <w:tc>
          <w:tcPr>
            <w:tcW w:w="576" w:type="dxa"/>
          </w:tcPr>
          <w:p w14:paraId="72D47710" w14:textId="77777777" w:rsidR="004B55AD" w:rsidRPr="00286216" w:rsidRDefault="004B55AD" w:rsidP="004B55AD">
            <w:pPr>
              <w:pStyle w:val="StyleWisnow"/>
              <w:rPr>
                <w:color w:val="000000" w:themeColor="text1"/>
              </w:rPr>
            </w:pPr>
            <w:bookmarkStart w:id="213" w:name="n207" w:colFirst="0" w:colLast="0"/>
            <w:bookmarkEnd w:id="212"/>
            <w:r w:rsidRPr="00286216">
              <w:rPr>
                <w:color w:val="000000" w:themeColor="text1"/>
              </w:rPr>
              <w:t>207.</w:t>
            </w:r>
          </w:p>
        </w:tc>
        <w:tc>
          <w:tcPr>
            <w:tcW w:w="4818" w:type="dxa"/>
          </w:tcPr>
          <w:p w14:paraId="5BE894E0" w14:textId="77777777" w:rsidR="004B55AD" w:rsidRPr="00286216" w:rsidRDefault="004B55AD" w:rsidP="004B55AD">
            <w:pPr>
              <w:pStyle w:val="StyleZakonu"/>
              <w:rPr>
                <w:color w:val="000000" w:themeColor="text1"/>
              </w:rPr>
            </w:pPr>
            <w:r w:rsidRPr="00286216">
              <w:rPr>
                <w:color w:val="000000" w:themeColor="text1"/>
              </w:rPr>
              <w:t>2) особі, зазначеній в цінному папері (іменний цінний папір);</w:t>
            </w:r>
          </w:p>
        </w:tc>
        <w:tc>
          <w:tcPr>
            <w:tcW w:w="3686" w:type="dxa"/>
          </w:tcPr>
          <w:p w14:paraId="04A43D28" w14:textId="77777777" w:rsidR="004B55AD" w:rsidRPr="00286216" w:rsidRDefault="004B55AD" w:rsidP="004B55AD">
            <w:pPr>
              <w:pStyle w:val="StyleProp"/>
              <w:rPr>
                <w:color w:val="000000" w:themeColor="text1"/>
                <w:szCs w:val="18"/>
              </w:rPr>
            </w:pPr>
          </w:p>
        </w:tc>
        <w:tc>
          <w:tcPr>
            <w:tcW w:w="1987" w:type="dxa"/>
          </w:tcPr>
          <w:p w14:paraId="2BCACA99" w14:textId="77777777" w:rsidR="004B55AD" w:rsidRPr="00286216" w:rsidRDefault="004B55AD" w:rsidP="004B55AD">
            <w:pPr>
              <w:pStyle w:val="StyleWisnow"/>
              <w:rPr>
                <w:color w:val="000000" w:themeColor="text1"/>
              </w:rPr>
            </w:pPr>
          </w:p>
        </w:tc>
        <w:tc>
          <w:tcPr>
            <w:tcW w:w="4818" w:type="dxa"/>
          </w:tcPr>
          <w:p w14:paraId="1DCB29B9" w14:textId="7C810660" w:rsidR="004B55AD" w:rsidRPr="00286216" w:rsidRDefault="004B55AD" w:rsidP="004B55AD">
            <w:pPr>
              <w:pStyle w:val="StyleZakonu"/>
              <w:rPr>
                <w:color w:val="000000" w:themeColor="text1"/>
              </w:rPr>
            </w:pPr>
            <w:r w:rsidRPr="00286216">
              <w:rPr>
                <w:color w:val="000000" w:themeColor="text1"/>
              </w:rPr>
              <w:t>2) особі, зазначеній у цінному папері (іменний цінний папір);</w:t>
            </w:r>
          </w:p>
        </w:tc>
      </w:tr>
      <w:tr w:rsidR="00F77E8D" w:rsidRPr="00286216" w14:paraId="2BA19AF6" w14:textId="77777777" w:rsidTr="00091AA5">
        <w:tc>
          <w:tcPr>
            <w:tcW w:w="576" w:type="dxa"/>
          </w:tcPr>
          <w:p w14:paraId="749A763B" w14:textId="77777777" w:rsidR="004B55AD" w:rsidRPr="00286216" w:rsidRDefault="004B55AD" w:rsidP="004B55AD">
            <w:pPr>
              <w:pStyle w:val="StyleWisnow"/>
              <w:rPr>
                <w:color w:val="000000" w:themeColor="text1"/>
              </w:rPr>
            </w:pPr>
            <w:bookmarkStart w:id="214" w:name="n208" w:colFirst="0" w:colLast="0"/>
            <w:bookmarkEnd w:id="213"/>
            <w:r w:rsidRPr="00286216">
              <w:rPr>
                <w:color w:val="000000" w:themeColor="text1"/>
              </w:rPr>
              <w:t>208.</w:t>
            </w:r>
          </w:p>
        </w:tc>
        <w:tc>
          <w:tcPr>
            <w:tcW w:w="4818" w:type="dxa"/>
          </w:tcPr>
          <w:p w14:paraId="64B6AB85" w14:textId="77777777" w:rsidR="004B55AD" w:rsidRPr="00286216" w:rsidRDefault="004B55AD" w:rsidP="004B55AD">
            <w:pPr>
              <w:pStyle w:val="StyleZakonu"/>
              <w:rPr>
                <w:color w:val="000000" w:themeColor="text1"/>
              </w:rPr>
            </w:pPr>
            <w:r w:rsidRPr="00286216">
              <w:rPr>
                <w:color w:val="000000" w:themeColor="text1"/>
              </w:rPr>
              <w:t>3) особі, зазначеній в цінному папері, яка може сама реалізувати такі права або призначити своїм наказом іншу уповноважену особу (ордерний цінний папір). При цьому такий наказ (індосамент) може бути повним - із зазначенням імені особи, якій передаються права за таким ордерним цінним папером, або бланковим - без зазначення імені особи, якій передаються права за таким ордерним цінним папером.</w:t>
            </w:r>
          </w:p>
        </w:tc>
        <w:tc>
          <w:tcPr>
            <w:tcW w:w="3686" w:type="dxa"/>
          </w:tcPr>
          <w:p w14:paraId="4EDEF158" w14:textId="77777777" w:rsidR="004B55AD" w:rsidRPr="00286216" w:rsidRDefault="004B55AD" w:rsidP="004B55AD">
            <w:pPr>
              <w:pStyle w:val="StyleProp"/>
              <w:rPr>
                <w:color w:val="000000" w:themeColor="text1"/>
                <w:szCs w:val="18"/>
              </w:rPr>
            </w:pPr>
          </w:p>
        </w:tc>
        <w:tc>
          <w:tcPr>
            <w:tcW w:w="1987" w:type="dxa"/>
          </w:tcPr>
          <w:p w14:paraId="59DDA99D" w14:textId="77777777" w:rsidR="004B55AD" w:rsidRPr="00286216" w:rsidRDefault="004B55AD" w:rsidP="004B55AD">
            <w:pPr>
              <w:pStyle w:val="StyleWisnow"/>
              <w:rPr>
                <w:color w:val="000000" w:themeColor="text1"/>
              </w:rPr>
            </w:pPr>
          </w:p>
        </w:tc>
        <w:tc>
          <w:tcPr>
            <w:tcW w:w="4818" w:type="dxa"/>
          </w:tcPr>
          <w:p w14:paraId="27C0D469" w14:textId="7CDE83D0" w:rsidR="004B55AD" w:rsidRPr="00286216" w:rsidRDefault="004B55AD" w:rsidP="004B55AD">
            <w:pPr>
              <w:pStyle w:val="StyleZakonu"/>
              <w:rPr>
                <w:color w:val="000000" w:themeColor="text1"/>
              </w:rPr>
            </w:pPr>
            <w:r w:rsidRPr="00286216">
              <w:rPr>
                <w:color w:val="000000" w:themeColor="text1"/>
              </w:rPr>
              <w:t>3) особі, зазначеній у цінному папері, яка може сама реалізувати такі права або призначити своїм наказом іншу уповноважену особу (ордерний цінний папір). При цьому такий наказ (індосамент) може бути повним (із зазначенням імені особи, якій передаються права за таким ордерним цінним папером) або бланковим (без зазначення імені особи, якій передаються права за таким ордерним цінним папером).</w:t>
            </w:r>
          </w:p>
        </w:tc>
      </w:tr>
      <w:tr w:rsidR="00F77E8D" w:rsidRPr="00286216" w14:paraId="03C6E9B1" w14:textId="77777777" w:rsidTr="00091AA5">
        <w:tc>
          <w:tcPr>
            <w:tcW w:w="576" w:type="dxa"/>
          </w:tcPr>
          <w:p w14:paraId="71C28889" w14:textId="77777777" w:rsidR="004B55AD" w:rsidRPr="00286216" w:rsidRDefault="004B55AD" w:rsidP="004B55AD">
            <w:pPr>
              <w:pStyle w:val="StyleWisnow"/>
              <w:rPr>
                <w:color w:val="000000" w:themeColor="text1"/>
              </w:rPr>
            </w:pPr>
            <w:bookmarkStart w:id="215" w:name="n209" w:colFirst="0" w:colLast="0"/>
            <w:bookmarkEnd w:id="214"/>
            <w:r w:rsidRPr="00286216">
              <w:rPr>
                <w:color w:val="000000" w:themeColor="text1"/>
              </w:rPr>
              <w:t>209.</w:t>
            </w:r>
          </w:p>
        </w:tc>
        <w:tc>
          <w:tcPr>
            <w:tcW w:w="4818" w:type="dxa"/>
          </w:tcPr>
          <w:p w14:paraId="4EFCE050" w14:textId="77777777" w:rsidR="004B55AD" w:rsidRPr="00286216" w:rsidRDefault="004B55AD" w:rsidP="004B55AD">
            <w:pPr>
              <w:pStyle w:val="StyleZakonu"/>
              <w:rPr>
                <w:color w:val="000000" w:themeColor="text1"/>
              </w:rPr>
            </w:pPr>
            <w:r w:rsidRPr="00286216">
              <w:rPr>
                <w:color w:val="000000" w:themeColor="text1"/>
              </w:rPr>
              <w:t>Ордерні цінні папери можуть існувати виключно в документарній формі. Права на цінний папір та права за цінним папером, що існують в бездокументарній формі, належать власникові рахунка в цінних паперах, відкритого в депозитарній установі, або іншій особі у встановлених законодавством випадках.</w:t>
            </w:r>
          </w:p>
        </w:tc>
        <w:tc>
          <w:tcPr>
            <w:tcW w:w="3686" w:type="dxa"/>
          </w:tcPr>
          <w:p w14:paraId="5636304F" w14:textId="6E17BF8B"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7E818F8" w14:textId="2DAA01D5" w:rsidR="004B55AD" w:rsidRPr="00286216" w:rsidRDefault="004B55AD" w:rsidP="004B55AD">
            <w:pPr>
              <w:pStyle w:val="StyleProp"/>
              <w:rPr>
                <w:color w:val="000000" w:themeColor="text1"/>
                <w:szCs w:val="18"/>
              </w:rPr>
            </w:pPr>
            <w:r w:rsidRPr="00286216">
              <w:rPr>
                <w:color w:val="000000" w:themeColor="text1"/>
                <w:szCs w:val="18"/>
              </w:rPr>
              <w:t>В тексті закону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11006D05" w14:textId="53FFEB3F" w:rsidR="004B55AD" w:rsidRPr="00286216" w:rsidRDefault="004B55AD" w:rsidP="004B55AD">
            <w:pPr>
              <w:pStyle w:val="StyleWisnow"/>
              <w:rPr>
                <w:color w:val="000000" w:themeColor="text1"/>
              </w:rPr>
            </w:pPr>
            <w:r w:rsidRPr="00286216">
              <w:rPr>
                <w:color w:val="000000" w:themeColor="text1"/>
              </w:rPr>
              <w:t>Враховано</w:t>
            </w:r>
          </w:p>
          <w:p w14:paraId="1E12CCDE" w14:textId="0DC76806" w:rsidR="004B55AD" w:rsidRPr="00286216" w:rsidRDefault="004B55AD" w:rsidP="004B55AD">
            <w:pPr>
              <w:pStyle w:val="StyleWisnow"/>
              <w:rPr>
                <w:color w:val="000000" w:themeColor="text1"/>
              </w:rPr>
            </w:pPr>
          </w:p>
        </w:tc>
        <w:tc>
          <w:tcPr>
            <w:tcW w:w="4818" w:type="dxa"/>
          </w:tcPr>
          <w:p w14:paraId="524A3458" w14:textId="7F73B4F9" w:rsidR="004B55AD" w:rsidRPr="00286216" w:rsidRDefault="004B55AD" w:rsidP="004B55AD">
            <w:pPr>
              <w:pStyle w:val="StyleZakonu"/>
              <w:rPr>
                <w:color w:val="000000" w:themeColor="text1"/>
              </w:rPr>
            </w:pPr>
            <w:r w:rsidRPr="00286216">
              <w:rPr>
                <w:color w:val="000000" w:themeColor="text1"/>
              </w:rPr>
              <w:t>Права на цінний папір та права за цінним папером, що існує в електронній формі, належать власникові рахунка в цінних паперах, відкритого в депозитарній установі, або іншій особі у встановлених законодавством випадках.</w:t>
            </w:r>
          </w:p>
        </w:tc>
      </w:tr>
      <w:tr w:rsidR="00F77E8D" w:rsidRPr="00286216" w14:paraId="7F304604" w14:textId="77777777" w:rsidTr="00091AA5">
        <w:tc>
          <w:tcPr>
            <w:tcW w:w="576" w:type="dxa"/>
          </w:tcPr>
          <w:p w14:paraId="00FFD6FD" w14:textId="77777777" w:rsidR="004B55AD" w:rsidRPr="00286216" w:rsidRDefault="004B55AD" w:rsidP="004B55AD">
            <w:pPr>
              <w:pStyle w:val="StyleWisnow"/>
              <w:rPr>
                <w:color w:val="000000" w:themeColor="text1"/>
              </w:rPr>
            </w:pPr>
            <w:bookmarkStart w:id="216" w:name="n210" w:colFirst="0" w:colLast="0"/>
            <w:bookmarkEnd w:id="215"/>
            <w:r w:rsidRPr="00286216">
              <w:rPr>
                <w:color w:val="000000" w:themeColor="text1"/>
              </w:rPr>
              <w:t>210.</w:t>
            </w:r>
          </w:p>
        </w:tc>
        <w:tc>
          <w:tcPr>
            <w:tcW w:w="4818" w:type="dxa"/>
          </w:tcPr>
          <w:p w14:paraId="71E75769" w14:textId="77777777" w:rsidR="004B55AD" w:rsidRPr="00286216" w:rsidRDefault="004B55AD" w:rsidP="004B55AD">
            <w:pPr>
              <w:pStyle w:val="StyleZakonu"/>
              <w:rPr>
                <w:color w:val="000000" w:themeColor="text1"/>
              </w:rPr>
            </w:pPr>
            <w:r w:rsidRPr="00286216">
              <w:rPr>
                <w:color w:val="000000" w:themeColor="text1"/>
              </w:rPr>
              <w:t xml:space="preserve">Емітент цінних паперів на пред’явника не має права на отримання із системи депозитарного обліку цінних паперів інформації про власників таких цінних паперів у будь-якій формі, крім випадків, </w:t>
            </w:r>
            <w:r w:rsidRPr="00286216">
              <w:rPr>
                <w:color w:val="000000" w:themeColor="text1"/>
              </w:rPr>
              <w:lastRenderedPageBreak/>
              <w:t>передбачених Національною комісією з цінних паперів та фондового ринку.</w:t>
            </w:r>
          </w:p>
        </w:tc>
        <w:tc>
          <w:tcPr>
            <w:tcW w:w="3686" w:type="dxa"/>
          </w:tcPr>
          <w:p w14:paraId="53115D7E" w14:textId="77777777" w:rsidR="004B55AD" w:rsidRPr="00286216" w:rsidRDefault="004B55AD" w:rsidP="004B55AD">
            <w:pPr>
              <w:pStyle w:val="StyleProp"/>
              <w:rPr>
                <w:color w:val="000000" w:themeColor="text1"/>
                <w:szCs w:val="18"/>
              </w:rPr>
            </w:pPr>
          </w:p>
        </w:tc>
        <w:tc>
          <w:tcPr>
            <w:tcW w:w="1987" w:type="dxa"/>
          </w:tcPr>
          <w:p w14:paraId="5C3C8403" w14:textId="77777777" w:rsidR="004B55AD" w:rsidRPr="00286216" w:rsidRDefault="004B55AD" w:rsidP="004B55AD">
            <w:pPr>
              <w:pStyle w:val="StyleWisnow"/>
              <w:rPr>
                <w:color w:val="000000" w:themeColor="text1"/>
              </w:rPr>
            </w:pPr>
          </w:p>
        </w:tc>
        <w:tc>
          <w:tcPr>
            <w:tcW w:w="4818" w:type="dxa"/>
          </w:tcPr>
          <w:p w14:paraId="18A14DBF" w14:textId="14F2C2C0" w:rsidR="004B55AD" w:rsidRPr="00286216" w:rsidRDefault="004B55AD" w:rsidP="004B55AD">
            <w:pPr>
              <w:pStyle w:val="StyleZakonu"/>
              <w:rPr>
                <w:color w:val="000000" w:themeColor="text1"/>
              </w:rPr>
            </w:pPr>
            <w:r w:rsidRPr="00286216">
              <w:rPr>
                <w:color w:val="000000" w:themeColor="text1"/>
              </w:rPr>
              <w:t xml:space="preserve">Емітент цінних паперів на пред’явника не має права на отримання із системи депозитарного обліку цінних паперів інформації про власників таких цінних паперів у будь-якій формі, крім випадків, </w:t>
            </w:r>
            <w:r w:rsidRPr="00286216">
              <w:rPr>
                <w:color w:val="000000" w:themeColor="text1"/>
              </w:rPr>
              <w:lastRenderedPageBreak/>
              <w:t>передбачених Національною комісією з цінних паперів та фондового ринку.</w:t>
            </w:r>
          </w:p>
        </w:tc>
      </w:tr>
      <w:tr w:rsidR="00F77E8D" w:rsidRPr="00286216" w14:paraId="5DFE84BA" w14:textId="77777777" w:rsidTr="00091AA5">
        <w:tc>
          <w:tcPr>
            <w:tcW w:w="576" w:type="dxa"/>
          </w:tcPr>
          <w:p w14:paraId="79FAF90B" w14:textId="77777777" w:rsidR="004B55AD" w:rsidRPr="00286216" w:rsidRDefault="004B55AD" w:rsidP="004B55AD">
            <w:pPr>
              <w:pStyle w:val="StyleWisnow"/>
              <w:rPr>
                <w:color w:val="000000" w:themeColor="text1"/>
              </w:rPr>
            </w:pPr>
            <w:bookmarkStart w:id="217" w:name="n211" w:colFirst="0" w:colLast="0"/>
            <w:bookmarkEnd w:id="216"/>
            <w:r w:rsidRPr="00286216">
              <w:rPr>
                <w:color w:val="000000" w:themeColor="text1"/>
              </w:rPr>
              <w:lastRenderedPageBreak/>
              <w:t>211.</w:t>
            </w:r>
          </w:p>
        </w:tc>
        <w:tc>
          <w:tcPr>
            <w:tcW w:w="4818" w:type="dxa"/>
          </w:tcPr>
          <w:p w14:paraId="2C3102EC" w14:textId="77777777" w:rsidR="004B55AD" w:rsidRPr="00286216" w:rsidRDefault="004B55AD" w:rsidP="004B55AD">
            <w:pPr>
              <w:pStyle w:val="StyleZakonu"/>
              <w:rPr>
                <w:color w:val="000000" w:themeColor="text1"/>
              </w:rPr>
            </w:pPr>
            <w:r w:rsidRPr="00286216">
              <w:rPr>
                <w:color w:val="000000" w:themeColor="text1"/>
              </w:rPr>
              <w:t>Емітент іменних цінних паперів має право на отримання із системи депозитарного обліку цінних паперів інформації про власників таких цінних паперів у формі реєстру власників іменних цінних паперів.</w:t>
            </w:r>
          </w:p>
        </w:tc>
        <w:tc>
          <w:tcPr>
            <w:tcW w:w="3686" w:type="dxa"/>
          </w:tcPr>
          <w:p w14:paraId="6F49EF2C" w14:textId="77777777" w:rsidR="004B55AD" w:rsidRPr="00286216" w:rsidRDefault="004B55AD" w:rsidP="004B55AD">
            <w:pPr>
              <w:pStyle w:val="StyleProp"/>
              <w:rPr>
                <w:color w:val="000000" w:themeColor="text1"/>
                <w:szCs w:val="18"/>
              </w:rPr>
            </w:pPr>
          </w:p>
        </w:tc>
        <w:tc>
          <w:tcPr>
            <w:tcW w:w="1987" w:type="dxa"/>
          </w:tcPr>
          <w:p w14:paraId="02696A37" w14:textId="77777777" w:rsidR="004B55AD" w:rsidRPr="00286216" w:rsidRDefault="004B55AD" w:rsidP="004B55AD">
            <w:pPr>
              <w:pStyle w:val="StyleWisnow"/>
              <w:rPr>
                <w:color w:val="000000" w:themeColor="text1"/>
              </w:rPr>
            </w:pPr>
          </w:p>
        </w:tc>
        <w:tc>
          <w:tcPr>
            <w:tcW w:w="4818" w:type="dxa"/>
          </w:tcPr>
          <w:p w14:paraId="211C83F1" w14:textId="4025F0D4" w:rsidR="004B55AD" w:rsidRPr="00286216" w:rsidRDefault="004B55AD" w:rsidP="004B55AD">
            <w:pPr>
              <w:pStyle w:val="StyleZakonu"/>
              <w:rPr>
                <w:color w:val="000000" w:themeColor="text1"/>
              </w:rPr>
            </w:pPr>
            <w:r w:rsidRPr="00286216">
              <w:rPr>
                <w:color w:val="000000" w:themeColor="text1"/>
              </w:rPr>
              <w:t>Емітент іменних цінних паперів має право на отримання із системи депозитарного обліку цінних паперів інформації про власників таких цінних паперів у формі реєстру власників іменних цінних паперів.</w:t>
            </w:r>
          </w:p>
        </w:tc>
      </w:tr>
      <w:tr w:rsidR="00F77E8D" w:rsidRPr="00286216" w14:paraId="697AF2D0" w14:textId="77777777" w:rsidTr="00091AA5">
        <w:tc>
          <w:tcPr>
            <w:tcW w:w="576" w:type="dxa"/>
          </w:tcPr>
          <w:p w14:paraId="2F366BB6" w14:textId="77777777" w:rsidR="004B55AD" w:rsidRPr="00286216" w:rsidRDefault="004B55AD" w:rsidP="004B55AD">
            <w:pPr>
              <w:pStyle w:val="StyleWisnow"/>
              <w:rPr>
                <w:color w:val="000000" w:themeColor="text1"/>
              </w:rPr>
            </w:pPr>
          </w:p>
        </w:tc>
        <w:tc>
          <w:tcPr>
            <w:tcW w:w="4818" w:type="dxa"/>
          </w:tcPr>
          <w:p w14:paraId="55CEEC86" w14:textId="77777777" w:rsidR="004B55AD" w:rsidRPr="00286216" w:rsidRDefault="004B55AD" w:rsidP="004B55AD">
            <w:pPr>
              <w:pStyle w:val="StyleZakonu"/>
              <w:rPr>
                <w:color w:val="000000" w:themeColor="text1"/>
              </w:rPr>
            </w:pPr>
          </w:p>
        </w:tc>
        <w:tc>
          <w:tcPr>
            <w:tcW w:w="3686" w:type="dxa"/>
          </w:tcPr>
          <w:p w14:paraId="7E54AE7D" w14:textId="77777777" w:rsidR="004B55AD" w:rsidRPr="00286216" w:rsidRDefault="004B55AD" w:rsidP="004B55AD">
            <w:pPr>
              <w:pStyle w:val="StyleProp"/>
              <w:rPr>
                <w:color w:val="000000" w:themeColor="text1"/>
                <w:szCs w:val="18"/>
              </w:rPr>
            </w:pPr>
          </w:p>
        </w:tc>
        <w:tc>
          <w:tcPr>
            <w:tcW w:w="1987" w:type="dxa"/>
          </w:tcPr>
          <w:p w14:paraId="11B6DB23" w14:textId="77777777" w:rsidR="004B55AD" w:rsidRPr="00286216" w:rsidRDefault="004B55AD" w:rsidP="004B55AD">
            <w:pPr>
              <w:pStyle w:val="StyleWisnow"/>
              <w:rPr>
                <w:color w:val="000000" w:themeColor="text1"/>
              </w:rPr>
            </w:pPr>
          </w:p>
        </w:tc>
        <w:tc>
          <w:tcPr>
            <w:tcW w:w="4818" w:type="dxa"/>
          </w:tcPr>
          <w:p w14:paraId="2F018C95" w14:textId="50A55980" w:rsidR="004B55AD" w:rsidRPr="00286216" w:rsidRDefault="004B55AD" w:rsidP="004B55AD">
            <w:pPr>
              <w:pStyle w:val="StyleZakonu"/>
              <w:rPr>
                <w:color w:val="000000" w:themeColor="text1"/>
              </w:rPr>
            </w:pPr>
            <w:r w:rsidRPr="00286216">
              <w:rPr>
                <w:color w:val="000000" w:themeColor="text1"/>
              </w:rPr>
              <w:t>5. Ордерні цінні папери можуть існувати виключно в паперовій формі.</w:t>
            </w:r>
          </w:p>
        </w:tc>
      </w:tr>
      <w:tr w:rsidR="00F77E8D" w:rsidRPr="00286216" w14:paraId="2481985E" w14:textId="77777777" w:rsidTr="00091AA5">
        <w:tc>
          <w:tcPr>
            <w:tcW w:w="576" w:type="dxa"/>
          </w:tcPr>
          <w:p w14:paraId="0836ABB1" w14:textId="77777777" w:rsidR="004B55AD" w:rsidRPr="00286216" w:rsidRDefault="004B55AD" w:rsidP="004B55AD">
            <w:pPr>
              <w:pStyle w:val="StyleWisnow"/>
              <w:rPr>
                <w:color w:val="000000" w:themeColor="text1"/>
              </w:rPr>
            </w:pPr>
            <w:bookmarkStart w:id="218" w:name="n212" w:colFirst="0" w:colLast="0"/>
            <w:bookmarkEnd w:id="217"/>
            <w:r w:rsidRPr="00286216">
              <w:rPr>
                <w:color w:val="000000" w:themeColor="text1"/>
              </w:rPr>
              <w:t>212.</w:t>
            </w:r>
          </w:p>
        </w:tc>
        <w:tc>
          <w:tcPr>
            <w:tcW w:w="4818" w:type="dxa"/>
          </w:tcPr>
          <w:p w14:paraId="346549CB" w14:textId="77777777" w:rsidR="004B55AD" w:rsidRPr="00286216" w:rsidRDefault="004B55AD" w:rsidP="004B55AD">
            <w:pPr>
              <w:pStyle w:val="StyleZakonu"/>
              <w:rPr>
                <w:color w:val="000000" w:themeColor="text1"/>
              </w:rPr>
            </w:pPr>
            <w:r w:rsidRPr="00286216">
              <w:rPr>
                <w:color w:val="000000" w:themeColor="text1"/>
              </w:rPr>
              <w:t>5. Емісійні цінні папери можуть за формою випуску бути виключно іменними або на пред’явника.</w:t>
            </w:r>
          </w:p>
        </w:tc>
        <w:tc>
          <w:tcPr>
            <w:tcW w:w="3686" w:type="dxa"/>
          </w:tcPr>
          <w:p w14:paraId="2CCCB5D5" w14:textId="77777777" w:rsidR="004B55AD" w:rsidRPr="00286216" w:rsidRDefault="004B55AD" w:rsidP="004B55AD">
            <w:pPr>
              <w:pStyle w:val="StyleProp"/>
              <w:rPr>
                <w:color w:val="000000" w:themeColor="text1"/>
                <w:szCs w:val="18"/>
              </w:rPr>
            </w:pPr>
          </w:p>
        </w:tc>
        <w:tc>
          <w:tcPr>
            <w:tcW w:w="1987" w:type="dxa"/>
          </w:tcPr>
          <w:p w14:paraId="446871FD" w14:textId="77777777" w:rsidR="004B55AD" w:rsidRPr="00286216" w:rsidRDefault="004B55AD" w:rsidP="004B55AD">
            <w:pPr>
              <w:pStyle w:val="StyleWisnow"/>
              <w:rPr>
                <w:color w:val="000000" w:themeColor="text1"/>
              </w:rPr>
            </w:pPr>
          </w:p>
        </w:tc>
        <w:tc>
          <w:tcPr>
            <w:tcW w:w="4818" w:type="dxa"/>
          </w:tcPr>
          <w:p w14:paraId="75E9C6EE" w14:textId="53CE4D5C" w:rsidR="004B55AD" w:rsidRPr="00286216" w:rsidRDefault="004B55AD" w:rsidP="004B55AD">
            <w:pPr>
              <w:pStyle w:val="StyleZakonu"/>
              <w:rPr>
                <w:color w:val="000000" w:themeColor="text1"/>
              </w:rPr>
            </w:pPr>
            <w:r w:rsidRPr="00286216">
              <w:rPr>
                <w:color w:val="000000" w:themeColor="text1"/>
              </w:rPr>
              <w:t>6. Емісійні цінні папери можуть бути за формою випуску виключно іменними або на пред’явника.</w:t>
            </w:r>
          </w:p>
        </w:tc>
      </w:tr>
      <w:tr w:rsidR="00F77E8D" w:rsidRPr="00286216" w14:paraId="348435D0" w14:textId="77777777" w:rsidTr="00091AA5">
        <w:tc>
          <w:tcPr>
            <w:tcW w:w="576" w:type="dxa"/>
          </w:tcPr>
          <w:p w14:paraId="1ABF0406" w14:textId="77777777" w:rsidR="004B55AD" w:rsidRPr="00286216" w:rsidRDefault="004B55AD" w:rsidP="004B55AD">
            <w:pPr>
              <w:pStyle w:val="StyleWisnow"/>
              <w:rPr>
                <w:color w:val="000000" w:themeColor="text1"/>
              </w:rPr>
            </w:pPr>
            <w:bookmarkStart w:id="219" w:name="n213" w:colFirst="0" w:colLast="0"/>
            <w:bookmarkEnd w:id="218"/>
            <w:r w:rsidRPr="00286216">
              <w:rPr>
                <w:color w:val="000000" w:themeColor="text1"/>
              </w:rPr>
              <w:t>213.</w:t>
            </w:r>
          </w:p>
        </w:tc>
        <w:tc>
          <w:tcPr>
            <w:tcW w:w="4818" w:type="dxa"/>
          </w:tcPr>
          <w:p w14:paraId="2D0A24A9" w14:textId="77777777" w:rsidR="004B55AD" w:rsidRPr="00286216" w:rsidRDefault="004B55AD" w:rsidP="004B55AD">
            <w:pPr>
              <w:pStyle w:val="StyleZakonu"/>
              <w:rPr>
                <w:color w:val="000000" w:themeColor="text1"/>
              </w:rPr>
            </w:pPr>
            <w:r w:rsidRPr="00286216">
              <w:rPr>
                <w:color w:val="000000" w:themeColor="text1"/>
              </w:rPr>
              <w:t>Іменні емісійні цінні папери існують виключно в бездокументарній формі.</w:t>
            </w:r>
          </w:p>
        </w:tc>
        <w:tc>
          <w:tcPr>
            <w:tcW w:w="3686" w:type="dxa"/>
          </w:tcPr>
          <w:p w14:paraId="792D2FFF" w14:textId="74B169DC"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5974A36" w14:textId="07B35CC8" w:rsidR="004B55AD" w:rsidRPr="00286216" w:rsidRDefault="004B55AD" w:rsidP="004B55AD">
            <w:pPr>
              <w:pStyle w:val="StyleProp"/>
              <w:rPr>
                <w:color w:val="000000" w:themeColor="text1"/>
                <w:spacing w:val="-2"/>
                <w:szCs w:val="18"/>
              </w:rPr>
            </w:pPr>
            <w:r w:rsidRPr="00286216">
              <w:rPr>
                <w:color w:val="000000" w:themeColor="text1"/>
                <w:spacing w:val="-2"/>
                <w:szCs w:val="18"/>
              </w:rPr>
              <w:t>В тексті слово «бездокументарній» в усіх відмінках і числах замінити словом «електронній» у відповідному відмінку і числі.</w:t>
            </w:r>
          </w:p>
        </w:tc>
        <w:tc>
          <w:tcPr>
            <w:tcW w:w="1987" w:type="dxa"/>
          </w:tcPr>
          <w:p w14:paraId="2806EE22"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2CEA5323" w14:textId="5670B0C5" w:rsidR="004B55AD" w:rsidRPr="00286216" w:rsidRDefault="004B55AD" w:rsidP="004B55AD">
            <w:pPr>
              <w:pStyle w:val="StyleZakonu"/>
              <w:rPr>
                <w:color w:val="000000" w:themeColor="text1"/>
              </w:rPr>
            </w:pPr>
            <w:r w:rsidRPr="00286216">
              <w:rPr>
                <w:color w:val="000000" w:themeColor="text1"/>
              </w:rPr>
              <w:t>Іменні емісійні цінні папери існують виключно в електронній формі.</w:t>
            </w:r>
          </w:p>
        </w:tc>
      </w:tr>
      <w:tr w:rsidR="00F77E8D" w:rsidRPr="00286216" w14:paraId="7607DB28" w14:textId="77777777" w:rsidTr="00091AA5">
        <w:tc>
          <w:tcPr>
            <w:tcW w:w="576" w:type="dxa"/>
          </w:tcPr>
          <w:p w14:paraId="4F114D12" w14:textId="77777777" w:rsidR="004B55AD" w:rsidRPr="00286216" w:rsidRDefault="004B55AD" w:rsidP="004B55AD">
            <w:pPr>
              <w:pStyle w:val="StyleWisnow"/>
              <w:rPr>
                <w:color w:val="000000" w:themeColor="text1"/>
              </w:rPr>
            </w:pPr>
            <w:bookmarkStart w:id="220" w:name="n214" w:colFirst="0" w:colLast="0"/>
            <w:bookmarkEnd w:id="219"/>
            <w:r w:rsidRPr="00286216">
              <w:rPr>
                <w:color w:val="000000" w:themeColor="text1"/>
              </w:rPr>
              <w:t>214.</w:t>
            </w:r>
          </w:p>
        </w:tc>
        <w:tc>
          <w:tcPr>
            <w:tcW w:w="4818" w:type="dxa"/>
          </w:tcPr>
          <w:p w14:paraId="65C68394" w14:textId="77777777" w:rsidR="004B55AD" w:rsidRPr="00286216" w:rsidRDefault="004B55AD" w:rsidP="004B55AD">
            <w:pPr>
              <w:pStyle w:val="StyleZakonu"/>
              <w:rPr>
                <w:color w:val="000000" w:themeColor="text1"/>
              </w:rPr>
            </w:pPr>
            <w:r w:rsidRPr="00286216">
              <w:rPr>
                <w:color w:val="000000" w:themeColor="text1"/>
              </w:rPr>
              <w:t>Емісійні цінні папери на пред’явника можуть бути переведені в бездокументарну форму існування шляхом депонування таких цінних паперів на рахунках у цінних паперах у Центральному депозитарії цінних паперів або Національному банку України відповідно до компетенції, встановленої Законом України "Про депозитарну систему України" (знерухомлені) в установленому Національною комісією з цінних паперів та фондового ринку порядку. Емісійні цінні папери на пред’явника, що існують в бездокументарній формі, не можуть бути переведені в документарну форму.</w:t>
            </w:r>
          </w:p>
        </w:tc>
        <w:tc>
          <w:tcPr>
            <w:tcW w:w="3686" w:type="dxa"/>
          </w:tcPr>
          <w:p w14:paraId="0BB2AF04" w14:textId="3BCD242C"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8A138A3" w14:textId="77777777"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p w14:paraId="6D46C497" w14:textId="16856E64"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225</w:t>
            </w:r>
            <w:r w:rsidRPr="00286216">
              <w:rPr>
                <w:color w:val="000000" w:themeColor="text1"/>
                <w:spacing w:val="-10"/>
              </w:rPr>
              <w:fldChar w:fldCharType="end"/>
            </w:r>
            <w:r w:rsidRPr="00286216">
              <w:rPr>
                <w:color w:val="000000" w:themeColor="text1"/>
                <w:spacing w:val="-10"/>
              </w:rPr>
              <w:t>-Н.д.Гетманцев Д.О.(Реєстр.картка №245)</w:t>
            </w:r>
          </w:p>
          <w:p w14:paraId="0478BCD3" w14:textId="605F809D" w:rsidR="004B55AD" w:rsidRPr="00286216" w:rsidRDefault="004B55AD" w:rsidP="00120E3D">
            <w:pPr>
              <w:pStyle w:val="StyleProp"/>
              <w:spacing w:line="190" w:lineRule="exact"/>
              <w:rPr>
                <w:color w:val="000000" w:themeColor="text1"/>
              </w:rPr>
            </w:pPr>
            <w:r w:rsidRPr="00286216">
              <w:rPr>
                <w:color w:val="000000" w:themeColor="text1"/>
              </w:rPr>
              <w:t>В абзаці 3 частини 5 статті 6</w:t>
            </w:r>
            <w:r w:rsidR="009A0754" w:rsidRPr="00286216">
              <w:rPr>
                <w:color w:val="000000" w:themeColor="text1"/>
              </w:rPr>
              <w:t xml:space="preserve"> </w:t>
            </w:r>
            <w:r w:rsidRPr="00286216">
              <w:rPr>
                <w:color w:val="000000" w:themeColor="text1"/>
              </w:rPr>
              <w:t>доповнити реченням такого змісту:</w:t>
            </w:r>
          </w:p>
          <w:p w14:paraId="60F0F5A8" w14:textId="569A5C3D" w:rsidR="004B55AD" w:rsidRPr="00286216" w:rsidRDefault="004B55AD" w:rsidP="00120E3D">
            <w:pPr>
              <w:pStyle w:val="StyleProp"/>
              <w:spacing w:line="190" w:lineRule="exact"/>
              <w:rPr>
                <w:color w:val="000000" w:themeColor="text1"/>
                <w:szCs w:val="18"/>
              </w:rPr>
            </w:pPr>
            <w:r w:rsidRPr="00286216">
              <w:rPr>
                <w:color w:val="000000" w:themeColor="text1"/>
              </w:rPr>
              <w:t>«Емісійні цінні папери на пред’явника можуть існувати в документарній та бездокументарній формі.»</w:t>
            </w:r>
            <w:r w:rsidR="009A0754" w:rsidRPr="00286216">
              <w:rPr>
                <w:color w:val="000000" w:themeColor="text1"/>
              </w:rPr>
              <w:t xml:space="preserve">, </w:t>
            </w:r>
            <w:r w:rsidRPr="00286216">
              <w:rPr>
                <w:color w:val="000000" w:themeColor="text1"/>
              </w:rPr>
              <w:t>слова «Емісійні цінні папери на пред’явника можуть бути» замінити словами «Емісійні цінні папери на пред’явника у документарній формі можуть бути»</w:t>
            </w:r>
            <w:r w:rsidR="009A0754" w:rsidRPr="00286216">
              <w:rPr>
                <w:color w:val="000000" w:themeColor="text1"/>
              </w:rPr>
              <w:t xml:space="preserve">, а </w:t>
            </w:r>
            <w:r w:rsidRPr="00286216">
              <w:rPr>
                <w:color w:val="000000" w:themeColor="text1"/>
              </w:rPr>
              <w:t>слово «знерухомлені» замінити словами «знерухомлені цінні папери».</w:t>
            </w:r>
          </w:p>
        </w:tc>
        <w:tc>
          <w:tcPr>
            <w:tcW w:w="1987" w:type="dxa"/>
          </w:tcPr>
          <w:p w14:paraId="170D19A2" w14:textId="43ED1078" w:rsidR="004B55AD" w:rsidRPr="00286216" w:rsidRDefault="004B55AD" w:rsidP="004B55AD">
            <w:pPr>
              <w:pStyle w:val="StyleWisnow"/>
              <w:rPr>
                <w:color w:val="000000" w:themeColor="text1"/>
              </w:rPr>
            </w:pPr>
            <w:r w:rsidRPr="00286216">
              <w:rPr>
                <w:color w:val="000000" w:themeColor="text1"/>
              </w:rPr>
              <w:t>Враховано</w:t>
            </w:r>
          </w:p>
          <w:p w14:paraId="789D9C10" w14:textId="052AD409" w:rsidR="004B55AD" w:rsidRPr="00286216" w:rsidRDefault="004B55AD" w:rsidP="004B55AD">
            <w:pPr>
              <w:pStyle w:val="StyleWisnow"/>
              <w:rPr>
                <w:color w:val="000000" w:themeColor="text1"/>
              </w:rPr>
            </w:pPr>
          </w:p>
          <w:p w14:paraId="571502A8" w14:textId="3DE7C9CD" w:rsidR="004B55AD" w:rsidRPr="00286216" w:rsidRDefault="004B55AD" w:rsidP="004B55AD">
            <w:pPr>
              <w:pStyle w:val="StyleWisnow"/>
              <w:rPr>
                <w:color w:val="000000" w:themeColor="text1"/>
              </w:rPr>
            </w:pPr>
          </w:p>
          <w:p w14:paraId="0035A195" w14:textId="040F3828" w:rsidR="004B55AD" w:rsidRPr="00286216" w:rsidRDefault="004B55AD" w:rsidP="004B55AD">
            <w:pPr>
              <w:pStyle w:val="StyleWisnow"/>
              <w:rPr>
                <w:color w:val="000000" w:themeColor="text1"/>
              </w:rPr>
            </w:pPr>
          </w:p>
          <w:p w14:paraId="56EA001E" w14:textId="03CB8EF8" w:rsidR="004B55AD" w:rsidRPr="00286216" w:rsidRDefault="004B55AD" w:rsidP="004B55AD">
            <w:pPr>
              <w:pStyle w:val="StyleWisnow"/>
              <w:rPr>
                <w:color w:val="000000" w:themeColor="text1"/>
              </w:rPr>
            </w:pPr>
          </w:p>
          <w:p w14:paraId="33387EE3" w14:textId="470A696C" w:rsidR="004B55AD" w:rsidRPr="00286216" w:rsidRDefault="004B55AD" w:rsidP="004B55AD">
            <w:pPr>
              <w:pStyle w:val="StyleWisnow"/>
              <w:rPr>
                <w:color w:val="000000" w:themeColor="text1"/>
              </w:rPr>
            </w:pPr>
          </w:p>
          <w:p w14:paraId="757B3903" w14:textId="63B370BC" w:rsidR="004B55AD" w:rsidRPr="00286216" w:rsidRDefault="004B55AD" w:rsidP="004B55AD">
            <w:pPr>
              <w:pStyle w:val="StyleWisnow"/>
              <w:rPr>
                <w:color w:val="000000" w:themeColor="text1"/>
              </w:rPr>
            </w:pPr>
          </w:p>
          <w:p w14:paraId="75F8D501" w14:textId="535B7110" w:rsidR="004B55AD" w:rsidRPr="00286216" w:rsidRDefault="004B55AD" w:rsidP="004B55AD">
            <w:pPr>
              <w:pStyle w:val="StyleWisnow"/>
              <w:rPr>
                <w:color w:val="000000" w:themeColor="text1"/>
              </w:rPr>
            </w:pPr>
            <w:r w:rsidRPr="00286216">
              <w:rPr>
                <w:color w:val="000000" w:themeColor="text1"/>
              </w:rPr>
              <w:t>Враховано редакційно</w:t>
            </w:r>
          </w:p>
          <w:p w14:paraId="6C9D0908" w14:textId="77777777" w:rsidR="004B55AD" w:rsidRPr="00286216" w:rsidRDefault="004B55AD" w:rsidP="004B55AD">
            <w:pPr>
              <w:pStyle w:val="StyleWisnow"/>
              <w:rPr>
                <w:color w:val="000000" w:themeColor="text1"/>
              </w:rPr>
            </w:pPr>
          </w:p>
        </w:tc>
        <w:tc>
          <w:tcPr>
            <w:tcW w:w="4818" w:type="dxa"/>
          </w:tcPr>
          <w:p w14:paraId="5F70660D" w14:textId="37CB4C7B" w:rsidR="004B55AD" w:rsidRPr="00286216" w:rsidRDefault="004B55AD" w:rsidP="00120E3D">
            <w:pPr>
              <w:pStyle w:val="StyleZakonu"/>
              <w:rPr>
                <w:color w:val="000000" w:themeColor="text1"/>
              </w:rPr>
            </w:pPr>
            <w:r w:rsidRPr="00286216">
              <w:rPr>
                <w:color w:val="000000" w:themeColor="text1"/>
              </w:rPr>
              <w:t xml:space="preserve">Емісійні цінні папери на пред’явника можуть існувати в паперовій та електронній формах. Емісійні цінні папери на пред’явника, що існують </w:t>
            </w:r>
            <w:r w:rsidR="00120E3D" w:rsidRPr="00286216">
              <w:rPr>
                <w:color w:val="000000" w:themeColor="text1"/>
              </w:rPr>
              <w:t>у</w:t>
            </w:r>
            <w:r w:rsidRPr="00286216">
              <w:rPr>
                <w:color w:val="000000" w:themeColor="text1"/>
              </w:rPr>
              <w:t xml:space="preserve"> паперовій формі, можуть бути знерухомлені – переведені в електронну форму існування шляхом депонування таких цінних паперів на рахунках у цінних паперах у Центральному депозитарії цінних паперів або Національному банку України відповідно до компетенції, встановленої Законом України "Про депозитарну систему України" в установленому Національною комісією з цінних паперів та фондового ринку порядку. Емісійні цінні папери на пред’явника, що існують в електронній формі, не можуть бути переведені в паперову форму.</w:t>
            </w:r>
          </w:p>
        </w:tc>
      </w:tr>
      <w:tr w:rsidR="00F77E8D" w:rsidRPr="00286216" w14:paraId="292BA3D0" w14:textId="77777777" w:rsidTr="00091AA5">
        <w:tc>
          <w:tcPr>
            <w:tcW w:w="576" w:type="dxa"/>
          </w:tcPr>
          <w:p w14:paraId="14873CCA" w14:textId="77777777" w:rsidR="004B55AD" w:rsidRPr="00286216" w:rsidRDefault="004B55AD" w:rsidP="004B55AD">
            <w:pPr>
              <w:pStyle w:val="StyleWisnow"/>
              <w:rPr>
                <w:color w:val="000000" w:themeColor="text1"/>
              </w:rPr>
            </w:pPr>
            <w:bookmarkStart w:id="221" w:name="n215" w:colFirst="0" w:colLast="0"/>
            <w:bookmarkEnd w:id="220"/>
            <w:r w:rsidRPr="00286216">
              <w:rPr>
                <w:color w:val="000000" w:themeColor="text1"/>
              </w:rPr>
              <w:t>215.</w:t>
            </w:r>
          </w:p>
        </w:tc>
        <w:tc>
          <w:tcPr>
            <w:tcW w:w="4818" w:type="dxa"/>
          </w:tcPr>
          <w:p w14:paraId="2333D5F2" w14:textId="77777777" w:rsidR="004B55AD" w:rsidRPr="00286216" w:rsidRDefault="004B55AD" w:rsidP="004B55AD">
            <w:pPr>
              <w:pStyle w:val="StyleZakonu"/>
              <w:rPr>
                <w:color w:val="000000" w:themeColor="text1"/>
              </w:rPr>
            </w:pPr>
            <w:r w:rsidRPr="00286216">
              <w:rPr>
                <w:color w:val="000000" w:themeColor="text1"/>
              </w:rPr>
              <w:t>Неемісійні цінні папери можуть видаватися та існувати виключно в документарній формі як паперові або електронні документи і за формою видачі можуть бути лише ордерними. Перелік цінних паперів, що можуть видаватися як електронні документи, визначається Національною комісією з цінних паперів та фондового ринку за погодженням з Національним банком України.</w:t>
            </w:r>
          </w:p>
        </w:tc>
        <w:tc>
          <w:tcPr>
            <w:tcW w:w="3686" w:type="dxa"/>
          </w:tcPr>
          <w:p w14:paraId="16A3601C" w14:textId="523F0C3E"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4AAD8AF" w14:textId="77777777"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1D765B6C" w14:textId="5C56A985" w:rsidR="004B55AD" w:rsidRPr="00286216" w:rsidRDefault="004B55AD" w:rsidP="004B55AD">
            <w:pPr>
              <w:pStyle w:val="StyleWisnow"/>
              <w:rPr>
                <w:color w:val="000000" w:themeColor="text1"/>
              </w:rPr>
            </w:pPr>
            <w:r w:rsidRPr="00286216">
              <w:rPr>
                <w:color w:val="000000" w:themeColor="text1"/>
              </w:rPr>
              <w:t>Враховано редакційно</w:t>
            </w:r>
          </w:p>
        </w:tc>
        <w:tc>
          <w:tcPr>
            <w:tcW w:w="4818" w:type="dxa"/>
          </w:tcPr>
          <w:p w14:paraId="609E04D1" w14:textId="1DC05CB2" w:rsidR="004B55AD" w:rsidRPr="00286216" w:rsidRDefault="004B55AD" w:rsidP="004B55AD">
            <w:pPr>
              <w:pStyle w:val="StyleZakonu"/>
              <w:rPr>
                <w:color w:val="000000" w:themeColor="text1"/>
              </w:rPr>
            </w:pPr>
            <w:r w:rsidRPr="00286216">
              <w:rPr>
                <w:color w:val="000000" w:themeColor="text1"/>
              </w:rPr>
              <w:t>Неемісійні цінні папери можуть існувати в паперовій або електронній формі.</w:t>
            </w:r>
          </w:p>
        </w:tc>
      </w:tr>
      <w:tr w:rsidR="00F77E8D" w:rsidRPr="00286216" w14:paraId="4A196ABA" w14:textId="77777777" w:rsidTr="004B66D5">
        <w:trPr>
          <w:trHeight w:val="68"/>
        </w:trPr>
        <w:tc>
          <w:tcPr>
            <w:tcW w:w="576" w:type="dxa"/>
          </w:tcPr>
          <w:p w14:paraId="0A382CE5" w14:textId="77777777" w:rsidR="004B55AD" w:rsidRPr="00286216" w:rsidRDefault="004B55AD" w:rsidP="004B55AD">
            <w:pPr>
              <w:pStyle w:val="StyleWisnow"/>
              <w:rPr>
                <w:color w:val="000000" w:themeColor="text1"/>
              </w:rPr>
            </w:pPr>
            <w:bookmarkStart w:id="222" w:name="n216" w:colFirst="0" w:colLast="0"/>
            <w:bookmarkEnd w:id="221"/>
            <w:r w:rsidRPr="00286216">
              <w:rPr>
                <w:color w:val="000000" w:themeColor="text1"/>
              </w:rPr>
              <w:t>216.</w:t>
            </w:r>
          </w:p>
        </w:tc>
        <w:tc>
          <w:tcPr>
            <w:tcW w:w="4818" w:type="dxa"/>
          </w:tcPr>
          <w:p w14:paraId="281F07DD" w14:textId="77777777" w:rsidR="004B55AD" w:rsidRPr="00286216" w:rsidRDefault="004B55AD" w:rsidP="004B55AD">
            <w:pPr>
              <w:pStyle w:val="StyleZakonu"/>
              <w:rPr>
                <w:color w:val="000000" w:themeColor="text1"/>
              </w:rPr>
            </w:pPr>
            <w:r w:rsidRPr="00286216">
              <w:rPr>
                <w:color w:val="000000" w:themeColor="text1"/>
              </w:rPr>
              <w:t>6. В Україні у цивільному обороті можуть бути такі групи цінних паперів:</w:t>
            </w:r>
          </w:p>
        </w:tc>
        <w:tc>
          <w:tcPr>
            <w:tcW w:w="3686" w:type="dxa"/>
          </w:tcPr>
          <w:p w14:paraId="497D6561" w14:textId="77777777" w:rsidR="004B55AD" w:rsidRPr="00286216" w:rsidRDefault="004B55AD" w:rsidP="004B55AD">
            <w:pPr>
              <w:pStyle w:val="StyleProp"/>
              <w:rPr>
                <w:color w:val="000000" w:themeColor="text1"/>
                <w:szCs w:val="18"/>
              </w:rPr>
            </w:pPr>
          </w:p>
        </w:tc>
        <w:tc>
          <w:tcPr>
            <w:tcW w:w="1987" w:type="dxa"/>
          </w:tcPr>
          <w:p w14:paraId="6AA707A3" w14:textId="77777777" w:rsidR="004B55AD" w:rsidRPr="00286216" w:rsidRDefault="004B55AD" w:rsidP="004B55AD">
            <w:pPr>
              <w:pStyle w:val="StyleWisnow"/>
              <w:rPr>
                <w:color w:val="000000" w:themeColor="text1"/>
              </w:rPr>
            </w:pPr>
          </w:p>
        </w:tc>
        <w:tc>
          <w:tcPr>
            <w:tcW w:w="4818" w:type="dxa"/>
          </w:tcPr>
          <w:p w14:paraId="24DCEA68" w14:textId="77B0E3F7" w:rsidR="004B55AD" w:rsidRPr="00286216" w:rsidRDefault="004B55AD" w:rsidP="004B55AD">
            <w:pPr>
              <w:pStyle w:val="StyleZakonu"/>
              <w:rPr>
                <w:color w:val="000000" w:themeColor="text1"/>
              </w:rPr>
            </w:pPr>
            <w:r w:rsidRPr="00286216">
              <w:rPr>
                <w:color w:val="000000" w:themeColor="text1"/>
              </w:rPr>
              <w:t>7. В Україні у цивільному обороті можуть бути такі групи цінних паперів:</w:t>
            </w:r>
          </w:p>
        </w:tc>
      </w:tr>
      <w:tr w:rsidR="00F77E8D" w:rsidRPr="00286216" w14:paraId="14C64291" w14:textId="77777777" w:rsidTr="00091AA5">
        <w:tc>
          <w:tcPr>
            <w:tcW w:w="576" w:type="dxa"/>
          </w:tcPr>
          <w:p w14:paraId="4C203E55" w14:textId="77777777" w:rsidR="004B55AD" w:rsidRPr="00286216" w:rsidRDefault="004B55AD" w:rsidP="004B55AD">
            <w:pPr>
              <w:pStyle w:val="StyleWisnow"/>
              <w:rPr>
                <w:color w:val="000000" w:themeColor="text1"/>
              </w:rPr>
            </w:pPr>
            <w:bookmarkStart w:id="223" w:name="n217" w:colFirst="0" w:colLast="0"/>
            <w:bookmarkEnd w:id="222"/>
            <w:r w:rsidRPr="00286216">
              <w:rPr>
                <w:color w:val="000000" w:themeColor="text1"/>
              </w:rPr>
              <w:t>217.</w:t>
            </w:r>
          </w:p>
        </w:tc>
        <w:tc>
          <w:tcPr>
            <w:tcW w:w="4818" w:type="dxa"/>
          </w:tcPr>
          <w:p w14:paraId="0C0417C7" w14:textId="77777777" w:rsidR="004B55AD" w:rsidRPr="00286216" w:rsidRDefault="004B55AD" w:rsidP="004B55AD">
            <w:pPr>
              <w:pStyle w:val="StyleZakonu"/>
              <w:rPr>
                <w:color w:val="000000" w:themeColor="text1"/>
              </w:rPr>
            </w:pPr>
            <w:r w:rsidRPr="00286216">
              <w:rPr>
                <w:color w:val="000000" w:themeColor="text1"/>
              </w:rPr>
              <w:t xml:space="preserve">1) пайові цінні папери, які засвідчують участь власника таких цінних паперів (інвестора) у статутному капіталі та/або активах емітента (у тому </w:t>
            </w:r>
            <w:r w:rsidRPr="00286216">
              <w:rPr>
                <w:color w:val="000000" w:themeColor="text1"/>
              </w:rPr>
              <w:lastRenderedPageBreak/>
              <w:t>числі активах, які знаходяться в управлінні емітента) та надають їх власнику (інвестору) право на отримання частини прибутку (доходу), зокрема у вигляді дивідендів, та інші права, встановлені законодавством, а також проспектом цінних паперів або рішенням про емісію цінних паперів, а для цінних паперів інститутів спільного інвестування - проспектом (рішенням про емісію) інституту спільного інвестування. До пайових цінних паперів відносяться:</w:t>
            </w:r>
          </w:p>
        </w:tc>
        <w:tc>
          <w:tcPr>
            <w:tcW w:w="3686" w:type="dxa"/>
          </w:tcPr>
          <w:p w14:paraId="1410D90E" w14:textId="77777777" w:rsidR="004B55AD" w:rsidRPr="00286216" w:rsidRDefault="004B55AD" w:rsidP="004B55AD">
            <w:pPr>
              <w:pStyle w:val="StyleProp"/>
              <w:rPr>
                <w:color w:val="000000" w:themeColor="text1"/>
                <w:szCs w:val="18"/>
              </w:rPr>
            </w:pPr>
          </w:p>
        </w:tc>
        <w:tc>
          <w:tcPr>
            <w:tcW w:w="1987" w:type="dxa"/>
          </w:tcPr>
          <w:p w14:paraId="6563A48F" w14:textId="77777777" w:rsidR="004B55AD" w:rsidRPr="00286216" w:rsidRDefault="004B55AD" w:rsidP="004B55AD">
            <w:pPr>
              <w:pStyle w:val="StyleWisnow"/>
              <w:rPr>
                <w:color w:val="000000" w:themeColor="text1"/>
              </w:rPr>
            </w:pPr>
          </w:p>
        </w:tc>
        <w:tc>
          <w:tcPr>
            <w:tcW w:w="4818" w:type="dxa"/>
          </w:tcPr>
          <w:p w14:paraId="3AACDDD0" w14:textId="29F9B1D4" w:rsidR="004B55AD" w:rsidRPr="00286216" w:rsidRDefault="004B55AD" w:rsidP="004B55AD">
            <w:pPr>
              <w:pStyle w:val="StyleZakonu"/>
              <w:rPr>
                <w:color w:val="000000" w:themeColor="text1"/>
              </w:rPr>
            </w:pPr>
            <w:r w:rsidRPr="00286216">
              <w:rPr>
                <w:color w:val="000000" w:themeColor="text1"/>
              </w:rPr>
              <w:t>1) пайові цінні папери</w:t>
            </w:r>
            <w:r w:rsidR="00120E3D" w:rsidRPr="00286216">
              <w:rPr>
                <w:color w:val="000000" w:themeColor="text1"/>
              </w:rPr>
              <w:t xml:space="preserve"> – цінні папери</w:t>
            </w:r>
            <w:r w:rsidRPr="00286216">
              <w:rPr>
                <w:color w:val="000000" w:themeColor="text1"/>
              </w:rPr>
              <w:t xml:space="preserve">, що посвідчують участь власника таких цінних паперів (інвестора) у статутному капіталі та/або активах </w:t>
            </w:r>
            <w:r w:rsidRPr="00286216">
              <w:rPr>
                <w:color w:val="000000" w:themeColor="text1"/>
              </w:rPr>
              <w:lastRenderedPageBreak/>
              <w:t>емітента (у тому числі активах, що знаходяться в управлінні емітента) та надають їх власнику (інвестору) право на отримання частини прибутку (доходу), зокрема у вигляді дивідендів, та інші права, встановлені законодавством, а також проспектом або рішенням про емісію, а для цінних паперів інститутів спільного інвестування - проспектом (рішенням про емісію) інституту спільного інвестування. До пайових цінних паперів належать:</w:t>
            </w:r>
          </w:p>
        </w:tc>
      </w:tr>
      <w:tr w:rsidR="00F77E8D" w:rsidRPr="00286216" w14:paraId="08259BD6" w14:textId="77777777" w:rsidTr="00091AA5">
        <w:tc>
          <w:tcPr>
            <w:tcW w:w="576" w:type="dxa"/>
          </w:tcPr>
          <w:p w14:paraId="14F46B87" w14:textId="77777777" w:rsidR="004B55AD" w:rsidRPr="00286216" w:rsidRDefault="004B55AD" w:rsidP="004B55AD">
            <w:pPr>
              <w:pStyle w:val="StyleWisnow"/>
              <w:rPr>
                <w:color w:val="000000" w:themeColor="text1"/>
              </w:rPr>
            </w:pPr>
            <w:bookmarkStart w:id="224" w:name="n218" w:colFirst="0" w:colLast="0"/>
            <w:bookmarkEnd w:id="223"/>
            <w:r w:rsidRPr="00286216">
              <w:rPr>
                <w:color w:val="000000" w:themeColor="text1"/>
              </w:rPr>
              <w:lastRenderedPageBreak/>
              <w:t>218.</w:t>
            </w:r>
          </w:p>
        </w:tc>
        <w:tc>
          <w:tcPr>
            <w:tcW w:w="4818" w:type="dxa"/>
          </w:tcPr>
          <w:p w14:paraId="7FCDCC04" w14:textId="77777777" w:rsidR="004B55AD" w:rsidRPr="00286216" w:rsidRDefault="004B55AD" w:rsidP="004B55AD">
            <w:pPr>
              <w:pStyle w:val="StyleZakonu"/>
              <w:rPr>
                <w:color w:val="000000" w:themeColor="text1"/>
              </w:rPr>
            </w:pPr>
            <w:r w:rsidRPr="00286216">
              <w:rPr>
                <w:color w:val="000000" w:themeColor="text1"/>
              </w:rPr>
              <w:t>а) акції;</w:t>
            </w:r>
          </w:p>
        </w:tc>
        <w:tc>
          <w:tcPr>
            <w:tcW w:w="3686" w:type="dxa"/>
          </w:tcPr>
          <w:p w14:paraId="1518BB94" w14:textId="77777777" w:rsidR="004B55AD" w:rsidRPr="00286216" w:rsidRDefault="004B55AD" w:rsidP="004B55AD">
            <w:pPr>
              <w:pStyle w:val="StyleProp"/>
              <w:rPr>
                <w:color w:val="000000" w:themeColor="text1"/>
                <w:szCs w:val="18"/>
              </w:rPr>
            </w:pPr>
          </w:p>
        </w:tc>
        <w:tc>
          <w:tcPr>
            <w:tcW w:w="1987" w:type="dxa"/>
          </w:tcPr>
          <w:p w14:paraId="70E0D5A2" w14:textId="77777777" w:rsidR="004B55AD" w:rsidRPr="00286216" w:rsidRDefault="004B55AD" w:rsidP="004B55AD">
            <w:pPr>
              <w:pStyle w:val="StyleWisnow"/>
              <w:rPr>
                <w:color w:val="000000" w:themeColor="text1"/>
              </w:rPr>
            </w:pPr>
          </w:p>
        </w:tc>
        <w:tc>
          <w:tcPr>
            <w:tcW w:w="4818" w:type="dxa"/>
          </w:tcPr>
          <w:p w14:paraId="7C70A2E1" w14:textId="54AEF25F" w:rsidR="004B55AD" w:rsidRPr="00286216" w:rsidRDefault="004B55AD" w:rsidP="004B55AD">
            <w:pPr>
              <w:pStyle w:val="StyleZakonu"/>
              <w:rPr>
                <w:color w:val="000000" w:themeColor="text1"/>
              </w:rPr>
            </w:pPr>
            <w:r w:rsidRPr="00286216">
              <w:rPr>
                <w:color w:val="000000" w:themeColor="text1"/>
              </w:rPr>
              <w:t>а) акції;</w:t>
            </w:r>
          </w:p>
        </w:tc>
      </w:tr>
      <w:tr w:rsidR="00F77E8D" w:rsidRPr="00286216" w14:paraId="09A6D9F8" w14:textId="77777777" w:rsidTr="00091AA5">
        <w:tc>
          <w:tcPr>
            <w:tcW w:w="576" w:type="dxa"/>
          </w:tcPr>
          <w:p w14:paraId="25D80B3A" w14:textId="77777777" w:rsidR="004B55AD" w:rsidRPr="00286216" w:rsidRDefault="004B55AD" w:rsidP="004B55AD">
            <w:pPr>
              <w:pStyle w:val="StyleWisnow"/>
              <w:rPr>
                <w:color w:val="000000" w:themeColor="text1"/>
              </w:rPr>
            </w:pPr>
            <w:bookmarkStart w:id="225" w:name="n219" w:colFirst="0" w:colLast="0"/>
            <w:bookmarkEnd w:id="224"/>
            <w:r w:rsidRPr="00286216">
              <w:rPr>
                <w:color w:val="000000" w:themeColor="text1"/>
              </w:rPr>
              <w:t>219.</w:t>
            </w:r>
          </w:p>
        </w:tc>
        <w:tc>
          <w:tcPr>
            <w:tcW w:w="4818" w:type="dxa"/>
          </w:tcPr>
          <w:p w14:paraId="6C338988" w14:textId="77777777" w:rsidR="004B55AD" w:rsidRPr="00286216" w:rsidRDefault="004B55AD" w:rsidP="004B55AD">
            <w:pPr>
              <w:pStyle w:val="StyleZakonu"/>
              <w:rPr>
                <w:color w:val="000000" w:themeColor="text1"/>
              </w:rPr>
            </w:pPr>
            <w:r w:rsidRPr="00286216">
              <w:rPr>
                <w:color w:val="000000" w:themeColor="text1"/>
              </w:rPr>
              <w:t>б) інвестиційні сертифікати;</w:t>
            </w:r>
          </w:p>
        </w:tc>
        <w:tc>
          <w:tcPr>
            <w:tcW w:w="3686" w:type="dxa"/>
          </w:tcPr>
          <w:p w14:paraId="103021F7" w14:textId="77777777" w:rsidR="004B55AD" w:rsidRPr="00286216" w:rsidRDefault="004B55AD" w:rsidP="004B55AD">
            <w:pPr>
              <w:pStyle w:val="StyleProp"/>
              <w:rPr>
                <w:color w:val="000000" w:themeColor="text1"/>
                <w:szCs w:val="18"/>
              </w:rPr>
            </w:pPr>
          </w:p>
        </w:tc>
        <w:tc>
          <w:tcPr>
            <w:tcW w:w="1987" w:type="dxa"/>
          </w:tcPr>
          <w:p w14:paraId="2193C870" w14:textId="77777777" w:rsidR="004B55AD" w:rsidRPr="00286216" w:rsidRDefault="004B55AD" w:rsidP="004B55AD">
            <w:pPr>
              <w:pStyle w:val="StyleWisnow"/>
              <w:rPr>
                <w:color w:val="000000" w:themeColor="text1"/>
              </w:rPr>
            </w:pPr>
          </w:p>
        </w:tc>
        <w:tc>
          <w:tcPr>
            <w:tcW w:w="4818" w:type="dxa"/>
          </w:tcPr>
          <w:p w14:paraId="3D7D4402" w14:textId="5694F8C8" w:rsidR="004B55AD" w:rsidRPr="00286216" w:rsidRDefault="004B55AD" w:rsidP="004B55AD">
            <w:pPr>
              <w:pStyle w:val="StyleZakonu"/>
              <w:rPr>
                <w:color w:val="000000" w:themeColor="text1"/>
              </w:rPr>
            </w:pPr>
            <w:r w:rsidRPr="00286216">
              <w:rPr>
                <w:color w:val="000000" w:themeColor="text1"/>
              </w:rPr>
              <w:t>б) інвестиційні сертифікати;</w:t>
            </w:r>
          </w:p>
        </w:tc>
      </w:tr>
      <w:tr w:rsidR="00F77E8D" w:rsidRPr="00286216" w14:paraId="6F632F2B" w14:textId="77777777" w:rsidTr="00091AA5">
        <w:tc>
          <w:tcPr>
            <w:tcW w:w="576" w:type="dxa"/>
          </w:tcPr>
          <w:p w14:paraId="6104BF61" w14:textId="77777777" w:rsidR="004B55AD" w:rsidRPr="00286216" w:rsidRDefault="004B55AD" w:rsidP="004B55AD">
            <w:pPr>
              <w:pStyle w:val="StyleWisnow"/>
              <w:rPr>
                <w:color w:val="000000" w:themeColor="text1"/>
              </w:rPr>
            </w:pPr>
            <w:bookmarkStart w:id="226" w:name="n220" w:colFirst="0" w:colLast="0"/>
            <w:bookmarkEnd w:id="225"/>
            <w:r w:rsidRPr="00286216">
              <w:rPr>
                <w:color w:val="000000" w:themeColor="text1"/>
              </w:rPr>
              <w:t>220.</w:t>
            </w:r>
          </w:p>
        </w:tc>
        <w:tc>
          <w:tcPr>
            <w:tcW w:w="4818" w:type="dxa"/>
          </w:tcPr>
          <w:p w14:paraId="0E2EE699" w14:textId="77777777" w:rsidR="004B55AD" w:rsidRPr="00286216" w:rsidRDefault="004B55AD" w:rsidP="004B55AD">
            <w:pPr>
              <w:pStyle w:val="StyleZakonu"/>
              <w:rPr>
                <w:color w:val="000000" w:themeColor="text1"/>
              </w:rPr>
            </w:pPr>
            <w:r w:rsidRPr="00286216">
              <w:rPr>
                <w:color w:val="000000" w:themeColor="text1"/>
              </w:rPr>
              <w:t>в) сертифікати ФОН;</w:t>
            </w:r>
          </w:p>
        </w:tc>
        <w:tc>
          <w:tcPr>
            <w:tcW w:w="3686" w:type="dxa"/>
          </w:tcPr>
          <w:p w14:paraId="385146D0" w14:textId="77777777" w:rsidR="004B55AD" w:rsidRPr="00286216" w:rsidRDefault="004B55AD" w:rsidP="004B55AD">
            <w:pPr>
              <w:pStyle w:val="StyleProp"/>
              <w:rPr>
                <w:color w:val="000000" w:themeColor="text1"/>
                <w:szCs w:val="18"/>
              </w:rPr>
            </w:pPr>
          </w:p>
        </w:tc>
        <w:tc>
          <w:tcPr>
            <w:tcW w:w="1987" w:type="dxa"/>
          </w:tcPr>
          <w:p w14:paraId="21165B21" w14:textId="77777777" w:rsidR="004B55AD" w:rsidRPr="00286216" w:rsidRDefault="004B55AD" w:rsidP="004B55AD">
            <w:pPr>
              <w:pStyle w:val="StyleWisnow"/>
              <w:rPr>
                <w:color w:val="000000" w:themeColor="text1"/>
              </w:rPr>
            </w:pPr>
          </w:p>
        </w:tc>
        <w:tc>
          <w:tcPr>
            <w:tcW w:w="4818" w:type="dxa"/>
          </w:tcPr>
          <w:p w14:paraId="71B2B1FD" w14:textId="2C18FB6E" w:rsidR="004B55AD" w:rsidRPr="00286216" w:rsidRDefault="004B55AD" w:rsidP="004B55AD">
            <w:pPr>
              <w:pStyle w:val="StyleZakonu"/>
              <w:rPr>
                <w:color w:val="000000" w:themeColor="text1"/>
              </w:rPr>
            </w:pPr>
            <w:r w:rsidRPr="00286216">
              <w:rPr>
                <w:color w:val="000000" w:themeColor="text1"/>
              </w:rPr>
              <w:t>в) сертифікати ФОН;</w:t>
            </w:r>
          </w:p>
        </w:tc>
      </w:tr>
      <w:tr w:rsidR="00F77E8D" w:rsidRPr="00286216" w14:paraId="3FCB83FB" w14:textId="77777777" w:rsidTr="00091AA5">
        <w:tc>
          <w:tcPr>
            <w:tcW w:w="576" w:type="dxa"/>
          </w:tcPr>
          <w:p w14:paraId="4B1572FD" w14:textId="77777777" w:rsidR="004B55AD" w:rsidRPr="00286216" w:rsidRDefault="004B55AD" w:rsidP="004B55AD">
            <w:pPr>
              <w:pStyle w:val="StyleWisnow"/>
              <w:rPr>
                <w:color w:val="000000" w:themeColor="text1"/>
              </w:rPr>
            </w:pPr>
            <w:bookmarkStart w:id="227" w:name="n221" w:colFirst="0" w:colLast="0"/>
            <w:bookmarkEnd w:id="226"/>
            <w:r w:rsidRPr="00286216">
              <w:rPr>
                <w:color w:val="000000" w:themeColor="text1"/>
              </w:rPr>
              <w:t>221.</w:t>
            </w:r>
          </w:p>
        </w:tc>
        <w:tc>
          <w:tcPr>
            <w:tcW w:w="4818" w:type="dxa"/>
          </w:tcPr>
          <w:p w14:paraId="10E9432F" w14:textId="77777777" w:rsidR="004B55AD" w:rsidRPr="00286216" w:rsidRDefault="004B55AD" w:rsidP="004B55AD">
            <w:pPr>
              <w:pStyle w:val="StyleZakonu"/>
              <w:rPr>
                <w:color w:val="000000" w:themeColor="text1"/>
              </w:rPr>
            </w:pPr>
            <w:r w:rsidRPr="00286216">
              <w:rPr>
                <w:color w:val="000000" w:themeColor="text1"/>
              </w:rPr>
              <w:t>г) акції корпоративного інвестиційного фонду;</w:t>
            </w:r>
          </w:p>
        </w:tc>
        <w:tc>
          <w:tcPr>
            <w:tcW w:w="3686" w:type="dxa"/>
          </w:tcPr>
          <w:p w14:paraId="5FC30B6F" w14:textId="77777777" w:rsidR="004B55AD" w:rsidRPr="00286216" w:rsidRDefault="004B55AD" w:rsidP="004B55AD">
            <w:pPr>
              <w:pStyle w:val="StyleProp"/>
              <w:rPr>
                <w:color w:val="000000" w:themeColor="text1"/>
                <w:szCs w:val="18"/>
              </w:rPr>
            </w:pPr>
          </w:p>
        </w:tc>
        <w:tc>
          <w:tcPr>
            <w:tcW w:w="1987" w:type="dxa"/>
          </w:tcPr>
          <w:p w14:paraId="589A855A" w14:textId="77777777" w:rsidR="004B55AD" w:rsidRPr="00286216" w:rsidRDefault="004B55AD" w:rsidP="004B55AD">
            <w:pPr>
              <w:pStyle w:val="StyleWisnow"/>
              <w:rPr>
                <w:color w:val="000000" w:themeColor="text1"/>
              </w:rPr>
            </w:pPr>
          </w:p>
        </w:tc>
        <w:tc>
          <w:tcPr>
            <w:tcW w:w="4818" w:type="dxa"/>
          </w:tcPr>
          <w:p w14:paraId="3AFABA58" w14:textId="55727E94" w:rsidR="004B55AD" w:rsidRPr="00286216" w:rsidRDefault="004B55AD" w:rsidP="004B55AD">
            <w:pPr>
              <w:pStyle w:val="StyleZakonu"/>
              <w:rPr>
                <w:color w:val="000000" w:themeColor="text1"/>
              </w:rPr>
            </w:pPr>
            <w:r w:rsidRPr="00286216">
              <w:rPr>
                <w:color w:val="000000" w:themeColor="text1"/>
              </w:rPr>
              <w:t>г) акції корпоративних інвестиційних фондів;</w:t>
            </w:r>
          </w:p>
        </w:tc>
      </w:tr>
      <w:tr w:rsidR="00F77E8D" w:rsidRPr="00286216" w14:paraId="5B5E0E8B" w14:textId="77777777" w:rsidTr="00091AA5">
        <w:tc>
          <w:tcPr>
            <w:tcW w:w="576" w:type="dxa"/>
          </w:tcPr>
          <w:p w14:paraId="7D930EFE" w14:textId="77777777" w:rsidR="004B55AD" w:rsidRPr="00286216" w:rsidRDefault="004B55AD" w:rsidP="004B55AD">
            <w:pPr>
              <w:pStyle w:val="StyleWisnow"/>
              <w:rPr>
                <w:color w:val="000000" w:themeColor="text1"/>
              </w:rPr>
            </w:pPr>
            <w:bookmarkStart w:id="228" w:name="n222" w:colFirst="0" w:colLast="0"/>
            <w:bookmarkEnd w:id="227"/>
            <w:r w:rsidRPr="00286216">
              <w:rPr>
                <w:color w:val="000000" w:themeColor="text1"/>
              </w:rPr>
              <w:t>222.</w:t>
            </w:r>
          </w:p>
        </w:tc>
        <w:tc>
          <w:tcPr>
            <w:tcW w:w="4818" w:type="dxa"/>
          </w:tcPr>
          <w:p w14:paraId="0DB32C2C" w14:textId="77777777" w:rsidR="004B55AD" w:rsidRPr="00286216" w:rsidRDefault="004B55AD" w:rsidP="004B55AD">
            <w:pPr>
              <w:pStyle w:val="StyleZakonu"/>
              <w:rPr>
                <w:color w:val="000000" w:themeColor="text1"/>
              </w:rPr>
            </w:pPr>
            <w:r w:rsidRPr="00286216">
              <w:rPr>
                <w:color w:val="000000" w:themeColor="text1"/>
              </w:rPr>
              <w:t>2) боргові цінні папери - цінні папери, що посвідчують відносини позики і передбачають обов’язок емітента або особи, яка видала неемісійний цінний папір, сплатити у визначений строк кошти, передати товари або надати послуги, а також інші права власника та обов’язки емітента і осіб, які надають забезпечення за облігаціями. До боргових цінних паперів відносяться:</w:t>
            </w:r>
          </w:p>
        </w:tc>
        <w:tc>
          <w:tcPr>
            <w:tcW w:w="3686" w:type="dxa"/>
          </w:tcPr>
          <w:p w14:paraId="2DB25E3D" w14:textId="77777777" w:rsidR="004B55AD" w:rsidRPr="00286216" w:rsidRDefault="004B55AD" w:rsidP="004B55AD">
            <w:pPr>
              <w:pStyle w:val="StyleProp"/>
              <w:rPr>
                <w:color w:val="000000" w:themeColor="text1"/>
                <w:szCs w:val="18"/>
              </w:rPr>
            </w:pPr>
          </w:p>
        </w:tc>
        <w:tc>
          <w:tcPr>
            <w:tcW w:w="1987" w:type="dxa"/>
          </w:tcPr>
          <w:p w14:paraId="2ED6243A" w14:textId="77777777" w:rsidR="004B55AD" w:rsidRPr="00286216" w:rsidRDefault="004B55AD" w:rsidP="004B55AD">
            <w:pPr>
              <w:pStyle w:val="StyleWisnow"/>
              <w:rPr>
                <w:color w:val="000000" w:themeColor="text1"/>
              </w:rPr>
            </w:pPr>
          </w:p>
        </w:tc>
        <w:tc>
          <w:tcPr>
            <w:tcW w:w="4818" w:type="dxa"/>
          </w:tcPr>
          <w:p w14:paraId="68388548" w14:textId="0D41E906" w:rsidR="004B55AD" w:rsidRPr="00286216" w:rsidRDefault="004B55AD" w:rsidP="004B55AD">
            <w:pPr>
              <w:pStyle w:val="StyleZakonu"/>
              <w:rPr>
                <w:color w:val="000000" w:themeColor="text1"/>
              </w:rPr>
            </w:pPr>
            <w:r w:rsidRPr="00286216">
              <w:rPr>
                <w:color w:val="000000" w:themeColor="text1"/>
              </w:rPr>
              <w:t xml:space="preserve">2) боргові цінні папери </w:t>
            </w:r>
            <w:r w:rsidR="00120E3D" w:rsidRPr="00286216">
              <w:rPr>
                <w:color w:val="000000" w:themeColor="text1"/>
              </w:rPr>
              <w:t>–</w:t>
            </w:r>
            <w:r w:rsidRPr="00286216">
              <w:rPr>
                <w:color w:val="000000" w:themeColor="text1"/>
              </w:rPr>
              <w:t xml:space="preserve"> цінні папери, що посвідчують відносини позики і передбачають обов’язок емітента або особи, яка видала неемісійний цінний папір, сплатити у визначений строк кошти, передати товари або надати послуги, а також інші права власника та обов’язки емітента і осіб, які надають забезпечення за облігаціями. До боргових цінних паперів належать:</w:t>
            </w:r>
          </w:p>
        </w:tc>
      </w:tr>
      <w:tr w:rsidR="00F77E8D" w:rsidRPr="00286216" w14:paraId="5E2E19D1" w14:textId="77777777" w:rsidTr="00091AA5">
        <w:tc>
          <w:tcPr>
            <w:tcW w:w="576" w:type="dxa"/>
          </w:tcPr>
          <w:p w14:paraId="4260E035" w14:textId="77777777" w:rsidR="004B55AD" w:rsidRPr="00286216" w:rsidRDefault="004B55AD" w:rsidP="004B55AD">
            <w:pPr>
              <w:pStyle w:val="StyleWisnow"/>
              <w:rPr>
                <w:color w:val="000000" w:themeColor="text1"/>
              </w:rPr>
            </w:pPr>
            <w:bookmarkStart w:id="229" w:name="n223" w:colFirst="0" w:colLast="0"/>
            <w:bookmarkEnd w:id="228"/>
            <w:r w:rsidRPr="00286216">
              <w:rPr>
                <w:color w:val="000000" w:themeColor="text1"/>
              </w:rPr>
              <w:t>223.</w:t>
            </w:r>
          </w:p>
        </w:tc>
        <w:tc>
          <w:tcPr>
            <w:tcW w:w="4818" w:type="dxa"/>
          </w:tcPr>
          <w:p w14:paraId="198638CF" w14:textId="77777777" w:rsidR="004B55AD" w:rsidRPr="00286216" w:rsidRDefault="004B55AD" w:rsidP="004B55AD">
            <w:pPr>
              <w:pStyle w:val="StyleZakonu"/>
              <w:rPr>
                <w:color w:val="000000" w:themeColor="text1"/>
              </w:rPr>
            </w:pPr>
            <w:r w:rsidRPr="00286216">
              <w:rPr>
                <w:color w:val="000000" w:themeColor="text1"/>
              </w:rPr>
              <w:t>а) корпоративні облігації;</w:t>
            </w:r>
          </w:p>
        </w:tc>
        <w:tc>
          <w:tcPr>
            <w:tcW w:w="3686" w:type="dxa"/>
          </w:tcPr>
          <w:p w14:paraId="4D3E11B9" w14:textId="77777777" w:rsidR="004B55AD" w:rsidRPr="00286216" w:rsidRDefault="004B55AD" w:rsidP="004B55AD">
            <w:pPr>
              <w:pStyle w:val="StyleProp"/>
              <w:rPr>
                <w:color w:val="000000" w:themeColor="text1"/>
                <w:szCs w:val="18"/>
              </w:rPr>
            </w:pPr>
          </w:p>
        </w:tc>
        <w:tc>
          <w:tcPr>
            <w:tcW w:w="1987" w:type="dxa"/>
          </w:tcPr>
          <w:p w14:paraId="613ACCB5" w14:textId="77777777" w:rsidR="004B55AD" w:rsidRPr="00286216" w:rsidRDefault="004B55AD" w:rsidP="004B55AD">
            <w:pPr>
              <w:pStyle w:val="StyleWisnow"/>
              <w:rPr>
                <w:color w:val="000000" w:themeColor="text1"/>
              </w:rPr>
            </w:pPr>
          </w:p>
        </w:tc>
        <w:tc>
          <w:tcPr>
            <w:tcW w:w="4818" w:type="dxa"/>
          </w:tcPr>
          <w:p w14:paraId="27CC282D" w14:textId="4DE8D5E8" w:rsidR="004B55AD" w:rsidRPr="00286216" w:rsidRDefault="004B55AD" w:rsidP="004B55AD">
            <w:pPr>
              <w:pStyle w:val="StyleZakonu"/>
              <w:rPr>
                <w:color w:val="000000" w:themeColor="text1"/>
              </w:rPr>
            </w:pPr>
            <w:r w:rsidRPr="00286216">
              <w:rPr>
                <w:color w:val="000000" w:themeColor="text1"/>
              </w:rPr>
              <w:t>а) корпоративні облігації;</w:t>
            </w:r>
          </w:p>
        </w:tc>
      </w:tr>
      <w:tr w:rsidR="00F77E8D" w:rsidRPr="00286216" w14:paraId="73875FE0" w14:textId="77777777" w:rsidTr="00091AA5">
        <w:tc>
          <w:tcPr>
            <w:tcW w:w="576" w:type="dxa"/>
          </w:tcPr>
          <w:p w14:paraId="29A14E1B" w14:textId="77777777" w:rsidR="004B55AD" w:rsidRPr="00286216" w:rsidRDefault="004B55AD" w:rsidP="004B55AD">
            <w:pPr>
              <w:pStyle w:val="StyleWisnow"/>
              <w:rPr>
                <w:color w:val="000000" w:themeColor="text1"/>
              </w:rPr>
            </w:pPr>
            <w:bookmarkStart w:id="230" w:name="n224" w:colFirst="0" w:colLast="0"/>
            <w:bookmarkEnd w:id="229"/>
            <w:r w:rsidRPr="00286216">
              <w:rPr>
                <w:color w:val="000000" w:themeColor="text1"/>
              </w:rPr>
              <w:t>224.</w:t>
            </w:r>
          </w:p>
        </w:tc>
        <w:tc>
          <w:tcPr>
            <w:tcW w:w="4818" w:type="dxa"/>
          </w:tcPr>
          <w:p w14:paraId="2C3E19DB" w14:textId="77777777" w:rsidR="004B55AD" w:rsidRPr="00286216" w:rsidRDefault="004B55AD" w:rsidP="004B55AD">
            <w:pPr>
              <w:pStyle w:val="StyleZakonu"/>
              <w:rPr>
                <w:color w:val="000000" w:themeColor="text1"/>
              </w:rPr>
            </w:pPr>
            <w:r w:rsidRPr="00286216">
              <w:rPr>
                <w:color w:val="000000" w:themeColor="text1"/>
              </w:rPr>
              <w:t>б) державні облігації України;</w:t>
            </w:r>
          </w:p>
        </w:tc>
        <w:tc>
          <w:tcPr>
            <w:tcW w:w="3686" w:type="dxa"/>
          </w:tcPr>
          <w:p w14:paraId="6572BB4D" w14:textId="77777777" w:rsidR="004B55AD" w:rsidRPr="00286216" w:rsidRDefault="004B55AD" w:rsidP="004B55AD">
            <w:pPr>
              <w:pStyle w:val="StyleProp"/>
              <w:rPr>
                <w:color w:val="000000" w:themeColor="text1"/>
                <w:szCs w:val="18"/>
              </w:rPr>
            </w:pPr>
          </w:p>
        </w:tc>
        <w:tc>
          <w:tcPr>
            <w:tcW w:w="1987" w:type="dxa"/>
          </w:tcPr>
          <w:p w14:paraId="7D886384" w14:textId="77777777" w:rsidR="004B55AD" w:rsidRPr="00286216" w:rsidRDefault="004B55AD" w:rsidP="004B55AD">
            <w:pPr>
              <w:pStyle w:val="StyleWisnow"/>
              <w:rPr>
                <w:color w:val="000000" w:themeColor="text1"/>
              </w:rPr>
            </w:pPr>
          </w:p>
        </w:tc>
        <w:tc>
          <w:tcPr>
            <w:tcW w:w="4818" w:type="dxa"/>
          </w:tcPr>
          <w:p w14:paraId="745ECA64" w14:textId="7862FAC5" w:rsidR="004B55AD" w:rsidRPr="00286216" w:rsidRDefault="004B55AD" w:rsidP="004B55AD">
            <w:pPr>
              <w:pStyle w:val="StyleZakonu"/>
              <w:rPr>
                <w:color w:val="000000" w:themeColor="text1"/>
              </w:rPr>
            </w:pPr>
            <w:r w:rsidRPr="00286216">
              <w:rPr>
                <w:color w:val="000000" w:themeColor="text1"/>
              </w:rPr>
              <w:t>б) державні облігації України;</w:t>
            </w:r>
          </w:p>
        </w:tc>
      </w:tr>
      <w:tr w:rsidR="00F77E8D" w:rsidRPr="00286216" w14:paraId="63FE6095" w14:textId="77777777" w:rsidTr="00091AA5">
        <w:tc>
          <w:tcPr>
            <w:tcW w:w="576" w:type="dxa"/>
          </w:tcPr>
          <w:p w14:paraId="2B7616D4" w14:textId="77777777" w:rsidR="004B55AD" w:rsidRPr="00286216" w:rsidRDefault="004B55AD" w:rsidP="004B55AD">
            <w:pPr>
              <w:pStyle w:val="StyleWisnow"/>
              <w:rPr>
                <w:color w:val="000000" w:themeColor="text1"/>
              </w:rPr>
            </w:pPr>
            <w:bookmarkStart w:id="231" w:name="n225" w:colFirst="0" w:colLast="0"/>
            <w:bookmarkEnd w:id="230"/>
            <w:r w:rsidRPr="00286216">
              <w:rPr>
                <w:color w:val="000000" w:themeColor="text1"/>
              </w:rPr>
              <w:t>225.</w:t>
            </w:r>
          </w:p>
        </w:tc>
        <w:tc>
          <w:tcPr>
            <w:tcW w:w="4818" w:type="dxa"/>
          </w:tcPr>
          <w:p w14:paraId="6C567FA1" w14:textId="77777777" w:rsidR="004B55AD" w:rsidRPr="00286216" w:rsidRDefault="004B55AD" w:rsidP="004B55AD">
            <w:pPr>
              <w:pStyle w:val="StyleZakonu"/>
              <w:rPr>
                <w:color w:val="000000" w:themeColor="text1"/>
              </w:rPr>
            </w:pPr>
            <w:r w:rsidRPr="00286216">
              <w:rPr>
                <w:color w:val="000000" w:themeColor="text1"/>
              </w:rPr>
              <w:t>в) облігації місцевих позик;</w:t>
            </w:r>
          </w:p>
        </w:tc>
        <w:tc>
          <w:tcPr>
            <w:tcW w:w="3686" w:type="dxa"/>
          </w:tcPr>
          <w:p w14:paraId="4D6B41AB" w14:textId="77777777" w:rsidR="004B55AD" w:rsidRPr="00286216" w:rsidRDefault="004B55AD" w:rsidP="004B55AD">
            <w:pPr>
              <w:pStyle w:val="StyleProp"/>
              <w:rPr>
                <w:color w:val="000000" w:themeColor="text1"/>
                <w:szCs w:val="18"/>
              </w:rPr>
            </w:pPr>
          </w:p>
        </w:tc>
        <w:tc>
          <w:tcPr>
            <w:tcW w:w="1987" w:type="dxa"/>
          </w:tcPr>
          <w:p w14:paraId="26C31277" w14:textId="77777777" w:rsidR="004B55AD" w:rsidRPr="00286216" w:rsidRDefault="004B55AD" w:rsidP="004B55AD">
            <w:pPr>
              <w:pStyle w:val="StyleWisnow"/>
              <w:rPr>
                <w:color w:val="000000" w:themeColor="text1"/>
              </w:rPr>
            </w:pPr>
          </w:p>
        </w:tc>
        <w:tc>
          <w:tcPr>
            <w:tcW w:w="4818" w:type="dxa"/>
          </w:tcPr>
          <w:p w14:paraId="24A834CD" w14:textId="083B6170" w:rsidR="004B55AD" w:rsidRPr="00286216" w:rsidRDefault="004B55AD" w:rsidP="004B55AD">
            <w:pPr>
              <w:pStyle w:val="StyleZakonu"/>
              <w:rPr>
                <w:color w:val="000000" w:themeColor="text1"/>
              </w:rPr>
            </w:pPr>
            <w:r w:rsidRPr="00286216">
              <w:rPr>
                <w:color w:val="000000" w:themeColor="text1"/>
              </w:rPr>
              <w:t>в) облігації місцевих позик;</w:t>
            </w:r>
          </w:p>
        </w:tc>
      </w:tr>
      <w:tr w:rsidR="00F77E8D" w:rsidRPr="00286216" w14:paraId="79DBE943" w14:textId="77777777" w:rsidTr="00091AA5">
        <w:tc>
          <w:tcPr>
            <w:tcW w:w="576" w:type="dxa"/>
          </w:tcPr>
          <w:p w14:paraId="30CC123D" w14:textId="77777777" w:rsidR="004B55AD" w:rsidRPr="00286216" w:rsidRDefault="004B55AD" w:rsidP="004B55AD">
            <w:pPr>
              <w:pStyle w:val="StyleWisnow"/>
              <w:rPr>
                <w:color w:val="000000" w:themeColor="text1"/>
              </w:rPr>
            </w:pPr>
            <w:bookmarkStart w:id="232" w:name="n226" w:colFirst="0" w:colLast="0"/>
            <w:bookmarkEnd w:id="231"/>
            <w:r w:rsidRPr="00286216">
              <w:rPr>
                <w:color w:val="000000" w:themeColor="text1"/>
              </w:rPr>
              <w:t>226.</w:t>
            </w:r>
          </w:p>
        </w:tc>
        <w:tc>
          <w:tcPr>
            <w:tcW w:w="4818" w:type="dxa"/>
          </w:tcPr>
          <w:p w14:paraId="1FE48D65" w14:textId="77777777" w:rsidR="004B55AD" w:rsidRPr="00286216" w:rsidRDefault="004B55AD" w:rsidP="004B55AD">
            <w:pPr>
              <w:pStyle w:val="StyleZakonu"/>
              <w:rPr>
                <w:color w:val="000000" w:themeColor="text1"/>
              </w:rPr>
            </w:pPr>
            <w:r w:rsidRPr="00286216">
              <w:rPr>
                <w:color w:val="000000" w:themeColor="text1"/>
              </w:rPr>
              <w:t>г) казначейські зобов’язання України;</w:t>
            </w:r>
          </w:p>
        </w:tc>
        <w:tc>
          <w:tcPr>
            <w:tcW w:w="3686" w:type="dxa"/>
          </w:tcPr>
          <w:p w14:paraId="1E11305D" w14:textId="77777777" w:rsidR="004B55AD" w:rsidRPr="00286216" w:rsidRDefault="004B55AD" w:rsidP="004B55AD">
            <w:pPr>
              <w:pStyle w:val="StyleProp"/>
              <w:rPr>
                <w:color w:val="000000" w:themeColor="text1"/>
                <w:szCs w:val="18"/>
              </w:rPr>
            </w:pPr>
          </w:p>
        </w:tc>
        <w:tc>
          <w:tcPr>
            <w:tcW w:w="1987" w:type="dxa"/>
          </w:tcPr>
          <w:p w14:paraId="14791D01" w14:textId="77777777" w:rsidR="004B55AD" w:rsidRPr="00286216" w:rsidRDefault="004B55AD" w:rsidP="004B55AD">
            <w:pPr>
              <w:pStyle w:val="StyleWisnow"/>
              <w:rPr>
                <w:color w:val="000000" w:themeColor="text1"/>
              </w:rPr>
            </w:pPr>
          </w:p>
        </w:tc>
        <w:tc>
          <w:tcPr>
            <w:tcW w:w="4818" w:type="dxa"/>
          </w:tcPr>
          <w:p w14:paraId="055A7234" w14:textId="6915C18E" w:rsidR="004B55AD" w:rsidRPr="00286216" w:rsidRDefault="004B55AD" w:rsidP="004B55AD">
            <w:pPr>
              <w:pStyle w:val="StyleZakonu"/>
              <w:rPr>
                <w:color w:val="000000" w:themeColor="text1"/>
              </w:rPr>
            </w:pPr>
            <w:r w:rsidRPr="00286216">
              <w:rPr>
                <w:color w:val="000000" w:themeColor="text1"/>
              </w:rPr>
              <w:t>г) казначейські зобов’язання України;</w:t>
            </w:r>
          </w:p>
        </w:tc>
      </w:tr>
      <w:tr w:rsidR="00F77E8D" w:rsidRPr="00286216" w14:paraId="3229CA05" w14:textId="77777777" w:rsidTr="00091AA5">
        <w:tc>
          <w:tcPr>
            <w:tcW w:w="576" w:type="dxa"/>
          </w:tcPr>
          <w:p w14:paraId="0490AE46" w14:textId="77777777" w:rsidR="004B55AD" w:rsidRPr="00286216" w:rsidRDefault="004B55AD" w:rsidP="004B55AD">
            <w:pPr>
              <w:pStyle w:val="StyleWisnow"/>
              <w:rPr>
                <w:color w:val="000000" w:themeColor="text1"/>
              </w:rPr>
            </w:pPr>
            <w:bookmarkStart w:id="233" w:name="n227" w:colFirst="0" w:colLast="0"/>
            <w:bookmarkEnd w:id="232"/>
            <w:r w:rsidRPr="00286216">
              <w:rPr>
                <w:color w:val="000000" w:themeColor="text1"/>
              </w:rPr>
              <w:t>227.</w:t>
            </w:r>
          </w:p>
        </w:tc>
        <w:tc>
          <w:tcPr>
            <w:tcW w:w="4818" w:type="dxa"/>
          </w:tcPr>
          <w:p w14:paraId="3D7A5B84" w14:textId="77777777" w:rsidR="004B55AD" w:rsidRPr="00286216" w:rsidRDefault="004B55AD" w:rsidP="004B55AD">
            <w:pPr>
              <w:pStyle w:val="StyleZakonu"/>
              <w:rPr>
                <w:color w:val="000000" w:themeColor="text1"/>
              </w:rPr>
            </w:pPr>
            <w:r w:rsidRPr="00286216">
              <w:rPr>
                <w:color w:val="000000" w:themeColor="text1"/>
              </w:rPr>
              <w:t>ґ) ощадні сертифікати банку;</w:t>
            </w:r>
          </w:p>
        </w:tc>
        <w:tc>
          <w:tcPr>
            <w:tcW w:w="3686" w:type="dxa"/>
          </w:tcPr>
          <w:p w14:paraId="1A15B79D" w14:textId="77777777" w:rsidR="004B55AD" w:rsidRPr="00286216" w:rsidRDefault="004B55AD" w:rsidP="004B55AD">
            <w:pPr>
              <w:pStyle w:val="StyleProp"/>
              <w:rPr>
                <w:color w:val="000000" w:themeColor="text1"/>
                <w:szCs w:val="18"/>
              </w:rPr>
            </w:pPr>
          </w:p>
        </w:tc>
        <w:tc>
          <w:tcPr>
            <w:tcW w:w="1987" w:type="dxa"/>
          </w:tcPr>
          <w:p w14:paraId="4E31C1A6" w14:textId="77777777" w:rsidR="004B55AD" w:rsidRPr="00286216" w:rsidRDefault="004B55AD" w:rsidP="004B55AD">
            <w:pPr>
              <w:pStyle w:val="StyleWisnow"/>
              <w:rPr>
                <w:color w:val="000000" w:themeColor="text1"/>
              </w:rPr>
            </w:pPr>
          </w:p>
        </w:tc>
        <w:tc>
          <w:tcPr>
            <w:tcW w:w="4818" w:type="dxa"/>
          </w:tcPr>
          <w:p w14:paraId="65DEDF4F" w14:textId="02AF4373" w:rsidR="004B55AD" w:rsidRPr="00286216" w:rsidRDefault="004B55AD" w:rsidP="004B55AD">
            <w:pPr>
              <w:pStyle w:val="StyleZakonu"/>
              <w:rPr>
                <w:color w:val="000000" w:themeColor="text1"/>
              </w:rPr>
            </w:pPr>
            <w:r w:rsidRPr="00286216">
              <w:rPr>
                <w:color w:val="000000" w:themeColor="text1"/>
              </w:rPr>
              <w:t>ґ) ощадні сертифікати банків;</w:t>
            </w:r>
          </w:p>
        </w:tc>
      </w:tr>
      <w:tr w:rsidR="00F77E8D" w:rsidRPr="00286216" w14:paraId="6EC8DF0F" w14:textId="77777777" w:rsidTr="00091AA5">
        <w:tc>
          <w:tcPr>
            <w:tcW w:w="576" w:type="dxa"/>
          </w:tcPr>
          <w:p w14:paraId="0837E003" w14:textId="77777777" w:rsidR="004B55AD" w:rsidRPr="00286216" w:rsidRDefault="004B55AD" w:rsidP="004B55AD">
            <w:pPr>
              <w:pStyle w:val="StyleWisnow"/>
              <w:rPr>
                <w:color w:val="000000" w:themeColor="text1"/>
              </w:rPr>
            </w:pPr>
            <w:bookmarkStart w:id="234" w:name="n228" w:colFirst="0" w:colLast="0"/>
            <w:bookmarkEnd w:id="233"/>
            <w:r w:rsidRPr="00286216">
              <w:rPr>
                <w:color w:val="000000" w:themeColor="text1"/>
              </w:rPr>
              <w:t>228.</w:t>
            </w:r>
          </w:p>
        </w:tc>
        <w:tc>
          <w:tcPr>
            <w:tcW w:w="4818" w:type="dxa"/>
          </w:tcPr>
          <w:p w14:paraId="62997D6C" w14:textId="77777777" w:rsidR="004B55AD" w:rsidRPr="00286216" w:rsidRDefault="004B55AD" w:rsidP="004B55AD">
            <w:pPr>
              <w:pStyle w:val="StyleZakonu"/>
              <w:rPr>
                <w:color w:val="000000" w:themeColor="text1"/>
              </w:rPr>
            </w:pPr>
            <w:r w:rsidRPr="00286216">
              <w:rPr>
                <w:color w:val="000000" w:themeColor="text1"/>
              </w:rPr>
              <w:t>д) депозитні сертифікати банку</w:t>
            </w:r>
          </w:p>
        </w:tc>
        <w:tc>
          <w:tcPr>
            <w:tcW w:w="3686" w:type="dxa"/>
          </w:tcPr>
          <w:p w14:paraId="356D8A20" w14:textId="77777777" w:rsidR="004B55AD" w:rsidRPr="00286216" w:rsidRDefault="004B55AD" w:rsidP="004B55AD">
            <w:pPr>
              <w:pStyle w:val="StyleProp"/>
              <w:rPr>
                <w:color w:val="000000" w:themeColor="text1"/>
                <w:szCs w:val="18"/>
              </w:rPr>
            </w:pPr>
          </w:p>
        </w:tc>
        <w:tc>
          <w:tcPr>
            <w:tcW w:w="1987" w:type="dxa"/>
          </w:tcPr>
          <w:p w14:paraId="4658CB0F" w14:textId="77777777" w:rsidR="004B55AD" w:rsidRPr="00286216" w:rsidRDefault="004B55AD" w:rsidP="004B55AD">
            <w:pPr>
              <w:pStyle w:val="StyleWisnow"/>
              <w:rPr>
                <w:color w:val="000000" w:themeColor="text1"/>
              </w:rPr>
            </w:pPr>
          </w:p>
        </w:tc>
        <w:tc>
          <w:tcPr>
            <w:tcW w:w="4818" w:type="dxa"/>
          </w:tcPr>
          <w:p w14:paraId="5772EBB2" w14:textId="18BB449B" w:rsidR="004B55AD" w:rsidRPr="00286216" w:rsidRDefault="004B55AD" w:rsidP="004B55AD">
            <w:pPr>
              <w:pStyle w:val="StyleZakonu"/>
              <w:rPr>
                <w:color w:val="000000" w:themeColor="text1"/>
              </w:rPr>
            </w:pPr>
            <w:r w:rsidRPr="00286216">
              <w:rPr>
                <w:color w:val="000000" w:themeColor="text1"/>
              </w:rPr>
              <w:t>д) депозитні сертифікати банків;</w:t>
            </w:r>
          </w:p>
        </w:tc>
      </w:tr>
      <w:tr w:rsidR="00F77E8D" w:rsidRPr="00286216" w14:paraId="66F6B48F" w14:textId="77777777" w:rsidTr="00091AA5">
        <w:tc>
          <w:tcPr>
            <w:tcW w:w="576" w:type="dxa"/>
          </w:tcPr>
          <w:p w14:paraId="2B2222A9" w14:textId="77777777" w:rsidR="004B55AD" w:rsidRPr="00286216" w:rsidRDefault="004B55AD" w:rsidP="004B55AD">
            <w:pPr>
              <w:pStyle w:val="StyleWisnow"/>
              <w:rPr>
                <w:color w:val="000000" w:themeColor="text1"/>
              </w:rPr>
            </w:pPr>
            <w:bookmarkStart w:id="235" w:name="n229" w:colFirst="0" w:colLast="0"/>
            <w:bookmarkEnd w:id="234"/>
            <w:r w:rsidRPr="00286216">
              <w:rPr>
                <w:color w:val="000000" w:themeColor="text1"/>
              </w:rPr>
              <w:t>229.</w:t>
            </w:r>
          </w:p>
        </w:tc>
        <w:tc>
          <w:tcPr>
            <w:tcW w:w="4818" w:type="dxa"/>
          </w:tcPr>
          <w:p w14:paraId="57986990" w14:textId="77777777" w:rsidR="004B55AD" w:rsidRPr="00286216" w:rsidRDefault="004B55AD" w:rsidP="004B55AD">
            <w:pPr>
              <w:pStyle w:val="StyleZakonu"/>
              <w:rPr>
                <w:color w:val="000000" w:themeColor="text1"/>
              </w:rPr>
            </w:pPr>
            <w:r w:rsidRPr="00286216">
              <w:rPr>
                <w:color w:val="000000" w:themeColor="text1"/>
              </w:rPr>
              <w:t>е) векселі;</w:t>
            </w:r>
          </w:p>
        </w:tc>
        <w:tc>
          <w:tcPr>
            <w:tcW w:w="3686" w:type="dxa"/>
          </w:tcPr>
          <w:p w14:paraId="0D168DAF" w14:textId="77777777" w:rsidR="004B55AD" w:rsidRPr="00286216" w:rsidRDefault="004B55AD" w:rsidP="004B55AD">
            <w:pPr>
              <w:pStyle w:val="StyleProp"/>
              <w:rPr>
                <w:color w:val="000000" w:themeColor="text1"/>
                <w:szCs w:val="18"/>
              </w:rPr>
            </w:pPr>
          </w:p>
        </w:tc>
        <w:tc>
          <w:tcPr>
            <w:tcW w:w="1987" w:type="dxa"/>
          </w:tcPr>
          <w:p w14:paraId="35463A48" w14:textId="77777777" w:rsidR="004B55AD" w:rsidRPr="00286216" w:rsidRDefault="004B55AD" w:rsidP="004B55AD">
            <w:pPr>
              <w:pStyle w:val="StyleWisnow"/>
              <w:rPr>
                <w:color w:val="000000" w:themeColor="text1"/>
              </w:rPr>
            </w:pPr>
          </w:p>
        </w:tc>
        <w:tc>
          <w:tcPr>
            <w:tcW w:w="4818" w:type="dxa"/>
          </w:tcPr>
          <w:p w14:paraId="6236AF7A" w14:textId="6343C021" w:rsidR="004B55AD" w:rsidRPr="00286216" w:rsidRDefault="004B55AD" w:rsidP="004B55AD">
            <w:pPr>
              <w:pStyle w:val="StyleZakonu"/>
              <w:rPr>
                <w:color w:val="000000" w:themeColor="text1"/>
              </w:rPr>
            </w:pPr>
            <w:r w:rsidRPr="00286216">
              <w:rPr>
                <w:color w:val="000000" w:themeColor="text1"/>
              </w:rPr>
              <w:t>е) векселі;</w:t>
            </w:r>
          </w:p>
        </w:tc>
      </w:tr>
      <w:tr w:rsidR="00F77E8D" w:rsidRPr="00286216" w14:paraId="1EC30804" w14:textId="77777777" w:rsidTr="00091AA5">
        <w:tc>
          <w:tcPr>
            <w:tcW w:w="576" w:type="dxa"/>
          </w:tcPr>
          <w:p w14:paraId="2179B89A" w14:textId="77777777" w:rsidR="004B55AD" w:rsidRPr="00286216" w:rsidRDefault="004B55AD" w:rsidP="004B55AD">
            <w:pPr>
              <w:pStyle w:val="StyleWisnow"/>
              <w:rPr>
                <w:color w:val="000000" w:themeColor="text1"/>
              </w:rPr>
            </w:pPr>
            <w:bookmarkStart w:id="236" w:name="n230" w:colFirst="0" w:colLast="0"/>
            <w:bookmarkEnd w:id="235"/>
            <w:r w:rsidRPr="00286216">
              <w:rPr>
                <w:color w:val="000000" w:themeColor="text1"/>
              </w:rPr>
              <w:t>230.</w:t>
            </w:r>
          </w:p>
        </w:tc>
        <w:tc>
          <w:tcPr>
            <w:tcW w:w="4818" w:type="dxa"/>
          </w:tcPr>
          <w:p w14:paraId="55ABBFF0" w14:textId="77777777" w:rsidR="004B55AD" w:rsidRPr="00286216" w:rsidRDefault="004B55AD" w:rsidP="004B55AD">
            <w:pPr>
              <w:pStyle w:val="StyleZakonu"/>
              <w:rPr>
                <w:color w:val="000000" w:themeColor="text1"/>
              </w:rPr>
            </w:pPr>
            <w:r w:rsidRPr="00286216">
              <w:rPr>
                <w:color w:val="000000" w:themeColor="text1"/>
              </w:rPr>
              <w:t>є) облігації міжнародних фінансових організацій;</w:t>
            </w:r>
          </w:p>
        </w:tc>
        <w:tc>
          <w:tcPr>
            <w:tcW w:w="3686" w:type="dxa"/>
          </w:tcPr>
          <w:p w14:paraId="38EF4BC8" w14:textId="77777777" w:rsidR="004B55AD" w:rsidRPr="00286216" w:rsidRDefault="004B55AD" w:rsidP="004B55AD">
            <w:pPr>
              <w:pStyle w:val="StyleProp"/>
              <w:rPr>
                <w:color w:val="000000" w:themeColor="text1"/>
                <w:szCs w:val="18"/>
              </w:rPr>
            </w:pPr>
          </w:p>
        </w:tc>
        <w:tc>
          <w:tcPr>
            <w:tcW w:w="1987" w:type="dxa"/>
          </w:tcPr>
          <w:p w14:paraId="4F3AF938" w14:textId="77777777" w:rsidR="004B55AD" w:rsidRPr="00286216" w:rsidRDefault="004B55AD" w:rsidP="004B55AD">
            <w:pPr>
              <w:pStyle w:val="StyleWisnow"/>
              <w:rPr>
                <w:color w:val="000000" w:themeColor="text1"/>
              </w:rPr>
            </w:pPr>
          </w:p>
        </w:tc>
        <w:tc>
          <w:tcPr>
            <w:tcW w:w="4818" w:type="dxa"/>
          </w:tcPr>
          <w:p w14:paraId="2477B0B6" w14:textId="392EB051" w:rsidR="004B55AD" w:rsidRPr="00286216" w:rsidRDefault="004B55AD" w:rsidP="004B55AD">
            <w:pPr>
              <w:pStyle w:val="StyleZakonu"/>
              <w:rPr>
                <w:color w:val="000000" w:themeColor="text1"/>
              </w:rPr>
            </w:pPr>
            <w:r w:rsidRPr="00286216">
              <w:rPr>
                <w:color w:val="000000" w:themeColor="text1"/>
              </w:rPr>
              <w:t>є) облігації міжнародних фінансових організацій;</w:t>
            </w:r>
          </w:p>
        </w:tc>
      </w:tr>
      <w:tr w:rsidR="00F77E8D" w:rsidRPr="00286216" w14:paraId="398816CD" w14:textId="77777777" w:rsidTr="00091AA5">
        <w:tc>
          <w:tcPr>
            <w:tcW w:w="576" w:type="dxa"/>
          </w:tcPr>
          <w:p w14:paraId="3B174963" w14:textId="77777777" w:rsidR="004B55AD" w:rsidRPr="00286216" w:rsidRDefault="004B55AD" w:rsidP="004B55AD">
            <w:pPr>
              <w:pStyle w:val="StyleWisnow"/>
              <w:rPr>
                <w:color w:val="000000" w:themeColor="text1"/>
              </w:rPr>
            </w:pPr>
            <w:bookmarkStart w:id="237" w:name="n231" w:colFirst="0" w:colLast="0"/>
            <w:bookmarkEnd w:id="236"/>
            <w:r w:rsidRPr="00286216">
              <w:rPr>
                <w:color w:val="000000" w:themeColor="text1"/>
              </w:rPr>
              <w:t>231.</w:t>
            </w:r>
          </w:p>
        </w:tc>
        <w:tc>
          <w:tcPr>
            <w:tcW w:w="4818" w:type="dxa"/>
          </w:tcPr>
          <w:p w14:paraId="07671CD5" w14:textId="77777777" w:rsidR="004B55AD" w:rsidRPr="00286216" w:rsidRDefault="004B55AD" w:rsidP="004B55AD">
            <w:pPr>
              <w:pStyle w:val="StyleZakonu"/>
              <w:rPr>
                <w:color w:val="000000" w:themeColor="text1"/>
              </w:rPr>
            </w:pPr>
            <w:r w:rsidRPr="00286216">
              <w:rPr>
                <w:color w:val="000000" w:themeColor="text1"/>
              </w:rPr>
              <w:t>3) іпотечні цінні папери - цінні папери, випуск яких забезпечено іпотечним покриттям та які посвідчують право власників на отримання від емітента належних їм коштів. До іпотечних цінних паперів відносяться:</w:t>
            </w:r>
          </w:p>
        </w:tc>
        <w:tc>
          <w:tcPr>
            <w:tcW w:w="3686" w:type="dxa"/>
          </w:tcPr>
          <w:p w14:paraId="19C9BDE5" w14:textId="77777777" w:rsidR="004B55AD" w:rsidRPr="00286216" w:rsidRDefault="004B55AD" w:rsidP="004B55AD">
            <w:pPr>
              <w:pStyle w:val="StyleProp"/>
              <w:rPr>
                <w:color w:val="000000" w:themeColor="text1"/>
                <w:szCs w:val="18"/>
              </w:rPr>
            </w:pPr>
          </w:p>
        </w:tc>
        <w:tc>
          <w:tcPr>
            <w:tcW w:w="1987" w:type="dxa"/>
          </w:tcPr>
          <w:p w14:paraId="6B86BB9A" w14:textId="77777777" w:rsidR="004B55AD" w:rsidRPr="00286216" w:rsidRDefault="004B55AD" w:rsidP="004B55AD">
            <w:pPr>
              <w:pStyle w:val="StyleWisnow"/>
              <w:rPr>
                <w:color w:val="000000" w:themeColor="text1"/>
              </w:rPr>
            </w:pPr>
          </w:p>
        </w:tc>
        <w:tc>
          <w:tcPr>
            <w:tcW w:w="4818" w:type="dxa"/>
          </w:tcPr>
          <w:p w14:paraId="2AD7F2BD" w14:textId="4F2EF6B5" w:rsidR="004B55AD" w:rsidRPr="00286216" w:rsidRDefault="004B55AD" w:rsidP="004B55AD">
            <w:pPr>
              <w:pStyle w:val="StyleZakonu"/>
              <w:rPr>
                <w:color w:val="000000" w:themeColor="text1"/>
              </w:rPr>
            </w:pPr>
            <w:r w:rsidRPr="00286216">
              <w:rPr>
                <w:color w:val="000000" w:themeColor="text1"/>
              </w:rPr>
              <w:t>3) іпотечні цінні папери - цінні папери, випуск яких забезпечено іпотечним покриттям та які посвідчують право власників на отримання від емітента належних їм коштів. До іпотечних цінних паперів належать:</w:t>
            </w:r>
          </w:p>
        </w:tc>
      </w:tr>
      <w:tr w:rsidR="00F77E8D" w:rsidRPr="00286216" w14:paraId="79383B5C" w14:textId="77777777" w:rsidTr="00091AA5">
        <w:tc>
          <w:tcPr>
            <w:tcW w:w="576" w:type="dxa"/>
          </w:tcPr>
          <w:p w14:paraId="34DF7DA8" w14:textId="77777777" w:rsidR="004B55AD" w:rsidRPr="00286216" w:rsidRDefault="004B55AD" w:rsidP="004B55AD">
            <w:pPr>
              <w:pStyle w:val="StyleWisnow"/>
              <w:rPr>
                <w:color w:val="000000" w:themeColor="text1"/>
              </w:rPr>
            </w:pPr>
            <w:bookmarkStart w:id="238" w:name="n232" w:colFirst="0" w:colLast="0"/>
            <w:bookmarkEnd w:id="237"/>
            <w:r w:rsidRPr="00286216">
              <w:rPr>
                <w:color w:val="000000" w:themeColor="text1"/>
              </w:rPr>
              <w:t>232.</w:t>
            </w:r>
          </w:p>
        </w:tc>
        <w:tc>
          <w:tcPr>
            <w:tcW w:w="4818" w:type="dxa"/>
          </w:tcPr>
          <w:p w14:paraId="7CE45EEF" w14:textId="77777777" w:rsidR="004B55AD" w:rsidRPr="00286216" w:rsidRDefault="004B55AD" w:rsidP="004B55AD">
            <w:pPr>
              <w:pStyle w:val="StyleZakonu"/>
              <w:rPr>
                <w:color w:val="000000" w:themeColor="text1"/>
              </w:rPr>
            </w:pPr>
            <w:r w:rsidRPr="00286216">
              <w:rPr>
                <w:color w:val="000000" w:themeColor="text1"/>
              </w:rPr>
              <w:t>а) іпотечні облігації;</w:t>
            </w:r>
          </w:p>
        </w:tc>
        <w:tc>
          <w:tcPr>
            <w:tcW w:w="3686" w:type="dxa"/>
          </w:tcPr>
          <w:p w14:paraId="601AECE9" w14:textId="77777777" w:rsidR="004B55AD" w:rsidRPr="00286216" w:rsidRDefault="004B55AD" w:rsidP="004B55AD">
            <w:pPr>
              <w:pStyle w:val="StyleProp"/>
              <w:rPr>
                <w:color w:val="000000" w:themeColor="text1"/>
                <w:szCs w:val="18"/>
              </w:rPr>
            </w:pPr>
          </w:p>
        </w:tc>
        <w:tc>
          <w:tcPr>
            <w:tcW w:w="1987" w:type="dxa"/>
          </w:tcPr>
          <w:p w14:paraId="03FF8AAE" w14:textId="77777777" w:rsidR="004B55AD" w:rsidRPr="00286216" w:rsidRDefault="004B55AD" w:rsidP="004B55AD">
            <w:pPr>
              <w:pStyle w:val="StyleWisnow"/>
              <w:rPr>
                <w:color w:val="000000" w:themeColor="text1"/>
              </w:rPr>
            </w:pPr>
          </w:p>
        </w:tc>
        <w:tc>
          <w:tcPr>
            <w:tcW w:w="4818" w:type="dxa"/>
          </w:tcPr>
          <w:p w14:paraId="7D77D521" w14:textId="57BB4B14" w:rsidR="004B55AD" w:rsidRPr="00286216" w:rsidRDefault="004B55AD" w:rsidP="004B55AD">
            <w:pPr>
              <w:pStyle w:val="StyleZakonu"/>
              <w:rPr>
                <w:color w:val="000000" w:themeColor="text1"/>
              </w:rPr>
            </w:pPr>
            <w:r w:rsidRPr="00286216">
              <w:rPr>
                <w:color w:val="000000" w:themeColor="text1"/>
              </w:rPr>
              <w:t>а) іпотечні облігації;</w:t>
            </w:r>
          </w:p>
        </w:tc>
      </w:tr>
      <w:tr w:rsidR="00F77E8D" w:rsidRPr="00286216" w14:paraId="78ECB163" w14:textId="77777777" w:rsidTr="00091AA5">
        <w:tc>
          <w:tcPr>
            <w:tcW w:w="576" w:type="dxa"/>
          </w:tcPr>
          <w:p w14:paraId="7D4A39AB" w14:textId="77777777" w:rsidR="004B55AD" w:rsidRPr="00286216" w:rsidRDefault="004B55AD" w:rsidP="004B55AD">
            <w:pPr>
              <w:pStyle w:val="StyleWisnow"/>
              <w:rPr>
                <w:color w:val="000000" w:themeColor="text1"/>
              </w:rPr>
            </w:pPr>
            <w:bookmarkStart w:id="239" w:name="n233" w:colFirst="0" w:colLast="0"/>
            <w:bookmarkEnd w:id="238"/>
            <w:r w:rsidRPr="00286216">
              <w:rPr>
                <w:color w:val="000000" w:themeColor="text1"/>
              </w:rPr>
              <w:t>233.</w:t>
            </w:r>
          </w:p>
        </w:tc>
        <w:tc>
          <w:tcPr>
            <w:tcW w:w="4818" w:type="dxa"/>
          </w:tcPr>
          <w:p w14:paraId="23936210" w14:textId="77777777" w:rsidR="004B55AD" w:rsidRPr="00286216" w:rsidRDefault="004B55AD" w:rsidP="004B55AD">
            <w:pPr>
              <w:pStyle w:val="StyleZakonu"/>
              <w:rPr>
                <w:color w:val="000000" w:themeColor="text1"/>
              </w:rPr>
            </w:pPr>
            <w:r w:rsidRPr="00286216">
              <w:rPr>
                <w:color w:val="000000" w:themeColor="text1"/>
              </w:rPr>
              <w:t>б) заставні;</w:t>
            </w:r>
          </w:p>
        </w:tc>
        <w:tc>
          <w:tcPr>
            <w:tcW w:w="3686" w:type="dxa"/>
          </w:tcPr>
          <w:p w14:paraId="6825CCE9" w14:textId="77777777" w:rsidR="004B55AD" w:rsidRPr="00286216" w:rsidRDefault="004B55AD" w:rsidP="004B55AD">
            <w:pPr>
              <w:pStyle w:val="StyleProp"/>
              <w:rPr>
                <w:color w:val="000000" w:themeColor="text1"/>
                <w:szCs w:val="18"/>
              </w:rPr>
            </w:pPr>
          </w:p>
        </w:tc>
        <w:tc>
          <w:tcPr>
            <w:tcW w:w="1987" w:type="dxa"/>
          </w:tcPr>
          <w:p w14:paraId="0D330354" w14:textId="77777777" w:rsidR="004B55AD" w:rsidRPr="00286216" w:rsidRDefault="004B55AD" w:rsidP="004B55AD">
            <w:pPr>
              <w:pStyle w:val="StyleWisnow"/>
              <w:rPr>
                <w:color w:val="000000" w:themeColor="text1"/>
              </w:rPr>
            </w:pPr>
          </w:p>
        </w:tc>
        <w:tc>
          <w:tcPr>
            <w:tcW w:w="4818" w:type="dxa"/>
          </w:tcPr>
          <w:p w14:paraId="79136A94" w14:textId="473C297D" w:rsidR="004B55AD" w:rsidRPr="00286216" w:rsidRDefault="004B55AD" w:rsidP="004B55AD">
            <w:pPr>
              <w:pStyle w:val="StyleZakonu"/>
              <w:rPr>
                <w:color w:val="000000" w:themeColor="text1"/>
              </w:rPr>
            </w:pPr>
            <w:r w:rsidRPr="00286216">
              <w:rPr>
                <w:color w:val="000000" w:themeColor="text1"/>
              </w:rPr>
              <w:t>б) заставні;</w:t>
            </w:r>
          </w:p>
        </w:tc>
      </w:tr>
      <w:tr w:rsidR="00F77E8D" w:rsidRPr="00286216" w14:paraId="46BEF9FF" w14:textId="77777777" w:rsidTr="00091AA5">
        <w:tc>
          <w:tcPr>
            <w:tcW w:w="576" w:type="dxa"/>
          </w:tcPr>
          <w:p w14:paraId="2B5E2C76" w14:textId="77777777" w:rsidR="004B55AD" w:rsidRPr="00286216" w:rsidRDefault="004B55AD" w:rsidP="004B55AD">
            <w:pPr>
              <w:pStyle w:val="StyleWisnow"/>
              <w:rPr>
                <w:color w:val="000000" w:themeColor="text1"/>
              </w:rPr>
            </w:pPr>
            <w:bookmarkStart w:id="240" w:name="n234" w:colFirst="0" w:colLast="0"/>
            <w:bookmarkEnd w:id="239"/>
            <w:r w:rsidRPr="00286216">
              <w:rPr>
                <w:color w:val="000000" w:themeColor="text1"/>
              </w:rPr>
              <w:t>234.</w:t>
            </w:r>
          </w:p>
        </w:tc>
        <w:tc>
          <w:tcPr>
            <w:tcW w:w="4818" w:type="dxa"/>
          </w:tcPr>
          <w:p w14:paraId="56DC6A55" w14:textId="77777777" w:rsidR="004B55AD" w:rsidRPr="00286216" w:rsidRDefault="004B55AD" w:rsidP="004B55AD">
            <w:pPr>
              <w:pStyle w:val="StyleZakonu"/>
              <w:rPr>
                <w:color w:val="000000" w:themeColor="text1"/>
              </w:rPr>
            </w:pPr>
            <w:r w:rsidRPr="00286216">
              <w:rPr>
                <w:color w:val="000000" w:themeColor="text1"/>
              </w:rPr>
              <w:t xml:space="preserve">4) деривативні (похідні) цінні папери - цінні папери, що посвідчують право власника у визначених проспектом (рішенням про емісію цінних паперів) випадках та порядку вимагати від емітента придбання </w:t>
            </w:r>
            <w:r w:rsidRPr="00286216">
              <w:rPr>
                <w:color w:val="000000" w:themeColor="text1"/>
              </w:rPr>
              <w:lastRenderedPageBreak/>
              <w:t>або продажу базового активу та/або реалізації встановлених проспектом (рішенням про емісію цінних паперів) прав щодо базового активу та/або здійснення платежу (платежів) залежно від значення базового показника, та/або передбачають виникнення між власником та емітентом у визначених проспектом (рішенням про емісію цінних паперів) випадках нових правовідносин за деривативним контрактом, умови якого визначені проспектом (рішенням про емісію цінних паперів) (крім цінних паперів, що надають право їх власнику обміняти такі цінні папери на інші цінні папери). До деривативних (похідних) цінних паперів належать:</w:t>
            </w:r>
          </w:p>
        </w:tc>
        <w:tc>
          <w:tcPr>
            <w:tcW w:w="3686" w:type="dxa"/>
          </w:tcPr>
          <w:p w14:paraId="60E812F2" w14:textId="4E4D67CB" w:rsidR="004B55AD" w:rsidRPr="00286216" w:rsidRDefault="004B55AD" w:rsidP="004B55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22BC679" w14:textId="658A7A70"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2469F3C3" w14:textId="605D0B7B"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228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FB95796" w14:textId="77777777" w:rsidR="004B55AD" w:rsidRPr="00286216" w:rsidRDefault="004B55AD" w:rsidP="00DC60F6">
            <w:pPr>
              <w:pStyle w:val="StyleProp"/>
              <w:spacing w:line="180" w:lineRule="exact"/>
              <w:rPr>
                <w:color w:val="000000" w:themeColor="text1"/>
                <w:spacing w:val="-2"/>
                <w:szCs w:val="18"/>
              </w:rPr>
            </w:pPr>
            <w:r w:rsidRPr="00286216">
              <w:rPr>
                <w:color w:val="000000" w:themeColor="text1"/>
                <w:spacing w:val="-2"/>
              </w:rPr>
              <w:lastRenderedPageBreak/>
              <w:t>У пункті 4 частини шостої статті 6 слова «та/або передбачають виникнення між власником та емітентом у визначених проспектом (рішенням про емісію цінних паперів) випадках нових правовідносин за деривативним контрактом, умови якого визначені проспектом (рішенням про емісію цінних паперів) (крім цінних паперів, що надають право їх власнику обміняти такі цінні папери на інші цінні папери)» виключити.</w:t>
            </w:r>
          </w:p>
          <w:p w14:paraId="5461BD81" w14:textId="2A1B48B0"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229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4AFD78D" w14:textId="06BA6830" w:rsidR="004B55AD" w:rsidRPr="00286216" w:rsidRDefault="004B55AD" w:rsidP="004B55AD">
            <w:pPr>
              <w:pStyle w:val="StyleProp"/>
              <w:rPr>
                <w:color w:val="000000" w:themeColor="text1"/>
                <w:szCs w:val="18"/>
              </w:rPr>
            </w:pPr>
            <w:r w:rsidRPr="00286216">
              <w:rPr>
                <w:color w:val="000000" w:themeColor="text1"/>
                <w:szCs w:val="18"/>
              </w:rPr>
              <w:t>У пункті 4 частини шостої статті 6 слова «(похідні)», «(похідних)» виключити.</w:t>
            </w:r>
          </w:p>
        </w:tc>
        <w:tc>
          <w:tcPr>
            <w:tcW w:w="1987" w:type="dxa"/>
          </w:tcPr>
          <w:p w14:paraId="40E471B6" w14:textId="0F180EAB" w:rsidR="004B55AD" w:rsidRPr="00286216" w:rsidRDefault="004B55AD" w:rsidP="004B55AD">
            <w:pPr>
              <w:pStyle w:val="StyleWisnow"/>
              <w:rPr>
                <w:color w:val="000000" w:themeColor="text1"/>
              </w:rPr>
            </w:pPr>
            <w:r w:rsidRPr="00286216">
              <w:rPr>
                <w:color w:val="000000" w:themeColor="text1"/>
              </w:rPr>
              <w:lastRenderedPageBreak/>
              <w:t>Враховано</w:t>
            </w:r>
          </w:p>
          <w:p w14:paraId="16EB25EA" w14:textId="77777777" w:rsidR="004B55AD" w:rsidRPr="00286216" w:rsidRDefault="004B55AD" w:rsidP="004B55AD">
            <w:pPr>
              <w:pStyle w:val="StyleWisnow"/>
              <w:rPr>
                <w:color w:val="000000" w:themeColor="text1"/>
              </w:rPr>
            </w:pPr>
          </w:p>
          <w:p w14:paraId="561A50D5" w14:textId="77777777" w:rsidR="004B55AD" w:rsidRPr="00286216" w:rsidRDefault="004B55AD" w:rsidP="004B55AD">
            <w:pPr>
              <w:pStyle w:val="StyleWisnow"/>
              <w:rPr>
                <w:color w:val="000000" w:themeColor="text1"/>
              </w:rPr>
            </w:pPr>
          </w:p>
          <w:p w14:paraId="177B8109" w14:textId="7A901087" w:rsidR="004B55AD" w:rsidRPr="00286216" w:rsidRDefault="004B55AD" w:rsidP="004B55AD">
            <w:pPr>
              <w:pStyle w:val="StyleWisnow"/>
              <w:rPr>
                <w:color w:val="000000" w:themeColor="text1"/>
              </w:rPr>
            </w:pPr>
            <w:r w:rsidRPr="00286216">
              <w:rPr>
                <w:color w:val="000000" w:themeColor="text1"/>
              </w:rPr>
              <w:t>Враховано редакційно</w:t>
            </w:r>
          </w:p>
          <w:p w14:paraId="7811EE9D" w14:textId="7298BF4A" w:rsidR="004B55AD" w:rsidRPr="00286216" w:rsidRDefault="004B55AD" w:rsidP="004B55AD">
            <w:pPr>
              <w:pStyle w:val="StyleWisnow"/>
              <w:rPr>
                <w:color w:val="000000" w:themeColor="text1"/>
              </w:rPr>
            </w:pPr>
          </w:p>
          <w:p w14:paraId="62FBEDA7" w14:textId="77777777" w:rsidR="004B55AD" w:rsidRPr="00286216" w:rsidRDefault="004B55AD" w:rsidP="004B55AD">
            <w:pPr>
              <w:pStyle w:val="StyleWisnow"/>
              <w:rPr>
                <w:color w:val="000000" w:themeColor="text1"/>
              </w:rPr>
            </w:pPr>
          </w:p>
          <w:p w14:paraId="75D8F9CE" w14:textId="77777777" w:rsidR="004B55AD" w:rsidRPr="00286216" w:rsidRDefault="004B55AD" w:rsidP="004B55AD">
            <w:pPr>
              <w:pStyle w:val="StyleWisnow"/>
              <w:rPr>
                <w:color w:val="000000" w:themeColor="text1"/>
              </w:rPr>
            </w:pPr>
          </w:p>
          <w:p w14:paraId="1FF44162" w14:textId="77777777" w:rsidR="004B55AD" w:rsidRPr="00286216" w:rsidRDefault="004B55AD" w:rsidP="004B55AD">
            <w:pPr>
              <w:pStyle w:val="StyleWisnow"/>
              <w:rPr>
                <w:color w:val="000000" w:themeColor="text1"/>
              </w:rPr>
            </w:pPr>
          </w:p>
          <w:p w14:paraId="787D15A7" w14:textId="77777777" w:rsidR="004B55AD" w:rsidRPr="00286216" w:rsidRDefault="004B55AD" w:rsidP="004B55AD">
            <w:pPr>
              <w:pStyle w:val="StyleWisnow"/>
              <w:rPr>
                <w:color w:val="000000" w:themeColor="text1"/>
              </w:rPr>
            </w:pPr>
          </w:p>
          <w:p w14:paraId="71B4ABB0" w14:textId="77777777" w:rsidR="004B55AD" w:rsidRPr="00286216" w:rsidRDefault="004B55AD" w:rsidP="004B55AD">
            <w:pPr>
              <w:pStyle w:val="StyleWisnow"/>
              <w:rPr>
                <w:color w:val="000000" w:themeColor="text1"/>
              </w:rPr>
            </w:pPr>
          </w:p>
          <w:p w14:paraId="1C91E5B9" w14:textId="77777777" w:rsidR="004B55AD" w:rsidRPr="00286216" w:rsidRDefault="004B55AD" w:rsidP="004B55AD">
            <w:pPr>
              <w:pStyle w:val="StyleWisnow"/>
              <w:rPr>
                <w:color w:val="000000" w:themeColor="text1"/>
              </w:rPr>
            </w:pPr>
          </w:p>
          <w:p w14:paraId="0F09D635" w14:textId="722C1AB1" w:rsidR="004B55AD" w:rsidRPr="00286216" w:rsidRDefault="004B55AD" w:rsidP="004B55AD">
            <w:pPr>
              <w:pStyle w:val="StyleWisnow"/>
              <w:rPr>
                <w:color w:val="000000" w:themeColor="text1"/>
              </w:rPr>
            </w:pPr>
          </w:p>
          <w:p w14:paraId="2108E805" w14:textId="77777777" w:rsidR="00DC60F6" w:rsidRPr="00286216" w:rsidRDefault="00DC60F6" w:rsidP="004B55AD">
            <w:pPr>
              <w:pStyle w:val="StyleWisnow"/>
              <w:rPr>
                <w:color w:val="000000" w:themeColor="text1"/>
              </w:rPr>
            </w:pPr>
          </w:p>
          <w:p w14:paraId="026275A1" w14:textId="05BBADAE"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16474216" w14:textId="675E6B2E" w:rsidR="004B55AD" w:rsidRPr="00286216" w:rsidRDefault="004B55AD" w:rsidP="004B55AD">
            <w:pPr>
              <w:pStyle w:val="StyleZakonu"/>
              <w:rPr>
                <w:color w:val="000000" w:themeColor="text1"/>
              </w:rPr>
            </w:pPr>
            <w:r w:rsidRPr="00286216">
              <w:rPr>
                <w:color w:val="000000" w:themeColor="text1"/>
              </w:rPr>
              <w:lastRenderedPageBreak/>
              <w:t xml:space="preserve">4) деривативні цінні папери - цінні папери, що посвідчують право власника у визначених проспектом (рішенням про емісію цінних паперів) випадках та порядку вимагати від емітента придбання або </w:t>
            </w:r>
            <w:r w:rsidRPr="00286216">
              <w:rPr>
                <w:color w:val="000000" w:themeColor="text1"/>
              </w:rPr>
              <w:lastRenderedPageBreak/>
              <w:t>продажу базового активу та/або реалізації встановлених проспектом (рішенням про емісію цінних паперів) прав щодо базового активу</w:t>
            </w:r>
            <w:r w:rsidR="00120E3D" w:rsidRPr="00286216">
              <w:rPr>
                <w:color w:val="000000" w:themeColor="text1"/>
              </w:rPr>
              <w:t>,</w:t>
            </w:r>
            <w:r w:rsidRPr="00286216">
              <w:rPr>
                <w:color w:val="000000" w:themeColor="text1"/>
              </w:rPr>
              <w:t xml:space="preserve"> та/або здійснення платежу (платежів) залежно від значення базового показника. До деривативних цінних паперів належать:</w:t>
            </w:r>
          </w:p>
        </w:tc>
      </w:tr>
      <w:tr w:rsidR="00F77E8D" w:rsidRPr="00286216" w14:paraId="2AB94232" w14:textId="77777777" w:rsidTr="00091AA5">
        <w:tc>
          <w:tcPr>
            <w:tcW w:w="576" w:type="dxa"/>
          </w:tcPr>
          <w:p w14:paraId="2789785D" w14:textId="77777777" w:rsidR="004B55AD" w:rsidRPr="00286216" w:rsidRDefault="004B55AD" w:rsidP="004B55AD">
            <w:pPr>
              <w:pStyle w:val="StyleWisnow"/>
              <w:rPr>
                <w:color w:val="000000" w:themeColor="text1"/>
              </w:rPr>
            </w:pPr>
            <w:bookmarkStart w:id="241" w:name="n235" w:colFirst="0" w:colLast="0"/>
            <w:bookmarkEnd w:id="240"/>
            <w:r w:rsidRPr="00286216">
              <w:rPr>
                <w:color w:val="000000" w:themeColor="text1"/>
              </w:rPr>
              <w:lastRenderedPageBreak/>
              <w:t>235.</w:t>
            </w:r>
          </w:p>
        </w:tc>
        <w:tc>
          <w:tcPr>
            <w:tcW w:w="4818" w:type="dxa"/>
          </w:tcPr>
          <w:p w14:paraId="5FDB619F" w14:textId="77777777" w:rsidR="004B55AD" w:rsidRPr="00286216" w:rsidRDefault="004B55AD" w:rsidP="004B55AD">
            <w:pPr>
              <w:pStyle w:val="StyleZakonu"/>
              <w:rPr>
                <w:color w:val="000000" w:themeColor="text1"/>
              </w:rPr>
            </w:pPr>
            <w:r w:rsidRPr="00286216">
              <w:rPr>
                <w:color w:val="000000" w:themeColor="text1"/>
              </w:rPr>
              <w:t>а) опціонний сертифікат;</w:t>
            </w:r>
          </w:p>
        </w:tc>
        <w:tc>
          <w:tcPr>
            <w:tcW w:w="3686" w:type="dxa"/>
          </w:tcPr>
          <w:p w14:paraId="7E3D08CB" w14:textId="77777777" w:rsidR="004B55AD" w:rsidRPr="00286216" w:rsidRDefault="004B55AD" w:rsidP="004B55AD">
            <w:pPr>
              <w:pStyle w:val="StyleProp"/>
              <w:rPr>
                <w:color w:val="000000" w:themeColor="text1"/>
                <w:szCs w:val="18"/>
              </w:rPr>
            </w:pPr>
          </w:p>
        </w:tc>
        <w:tc>
          <w:tcPr>
            <w:tcW w:w="1987" w:type="dxa"/>
          </w:tcPr>
          <w:p w14:paraId="06875381" w14:textId="77777777" w:rsidR="004B55AD" w:rsidRPr="00286216" w:rsidRDefault="004B55AD" w:rsidP="004B55AD">
            <w:pPr>
              <w:pStyle w:val="StyleWisnow"/>
              <w:rPr>
                <w:color w:val="000000" w:themeColor="text1"/>
              </w:rPr>
            </w:pPr>
          </w:p>
        </w:tc>
        <w:tc>
          <w:tcPr>
            <w:tcW w:w="4818" w:type="dxa"/>
          </w:tcPr>
          <w:p w14:paraId="109B23CE" w14:textId="14C45FB6" w:rsidR="004B55AD" w:rsidRPr="00286216" w:rsidRDefault="004B55AD" w:rsidP="004B55AD">
            <w:pPr>
              <w:pStyle w:val="StyleZakonu"/>
              <w:rPr>
                <w:color w:val="000000" w:themeColor="text1"/>
              </w:rPr>
            </w:pPr>
            <w:r w:rsidRPr="00286216">
              <w:rPr>
                <w:color w:val="000000" w:themeColor="text1"/>
              </w:rPr>
              <w:t>а) опціонні сертифікати;</w:t>
            </w:r>
          </w:p>
        </w:tc>
      </w:tr>
      <w:tr w:rsidR="00F77E8D" w:rsidRPr="00286216" w14:paraId="10CB5AAF" w14:textId="77777777" w:rsidTr="00091AA5">
        <w:tc>
          <w:tcPr>
            <w:tcW w:w="576" w:type="dxa"/>
          </w:tcPr>
          <w:p w14:paraId="202D4006" w14:textId="77777777" w:rsidR="004B55AD" w:rsidRPr="00286216" w:rsidRDefault="004B55AD" w:rsidP="004B55AD">
            <w:pPr>
              <w:pStyle w:val="StyleWisnow"/>
              <w:rPr>
                <w:color w:val="000000" w:themeColor="text1"/>
              </w:rPr>
            </w:pPr>
            <w:bookmarkStart w:id="242" w:name="n236" w:colFirst="0" w:colLast="0"/>
            <w:bookmarkEnd w:id="241"/>
            <w:r w:rsidRPr="00286216">
              <w:rPr>
                <w:color w:val="000000" w:themeColor="text1"/>
              </w:rPr>
              <w:t>236.</w:t>
            </w:r>
          </w:p>
        </w:tc>
        <w:tc>
          <w:tcPr>
            <w:tcW w:w="4818" w:type="dxa"/>
          </w:tcPr>
          <w:p w14:paraId="02FDE114" w14:textId="77777777" w:rsidR="004B55AD" w:rsidRPr="00286216" w:rsidRDefault="004B55AD" w:rsidP="004B55AD">
            <w:pPr>
              <w:pStyle w:val="StyleZakonu"/>
              <w:rPr>
                <w:color w:val="000000" w:themeColor="text1"/>
              </w:rPr>
            </w:pPr>
            <w:r w:rsidRPr="00286216">
              <w:rPr>
                <w:color w:val="000000" w:themeColor="text1"/>
              </w:rPr>
              <w:t>б) фондовий варант;</w:t>
            </w:r>
          </w:p>
        </w:tc>
        <w:tc>
          <w:tcPr>
            <w:tcW w:w="3686" w:type="dxa"/>
          </w:tcPr>
          <w:p w14:paraId="60B066E6" w14:textId="77777777" w:rsidR="004B55AD" w:rsidRPr="00286216" w:rsidRDefault="004B55AD" w:rsidP="004B55AD">
            <w:pPr>
              <w:pStyle w:val="StyleProp"/>
              <w:rPr>
                <w:color w:val="000000" w:themeColor="text1"/>
                <w:szCs w:val="18"/>
              </w:rPr>
            </w:pPr>
          </w:p>
        </w:tc>
        <w:tc>
          <w:tcPr>
            <w:tcW w:w="1987" w:type="dxa"/>
          </w:tcPr>
          <w:p w14:paraId="6A686CF5" w14:textId="77777777" w:rsidR="004B55AD" w:rsidRPr="00286216" w:rsidRDefault="004B55AD" w:rsidP="004B55AD">
            <w:pPr>
              <w:pStyle w:val="StyleWisnow"/>
              <w:rPr>
                <w:color w:val="000000" w:themeColor="text1"/>
              </w:rPr>
            </w:pPr>
          </w:p>
        </w:tc>
        <w:tc>
          <w:tcPr>
            <w:tcW w:w="4818" w:type="dxa"/>
          </w:tcPr>
          <w:p w14:paraId="4328D6F5" w14:textId="4C987B2B" w:rsidR="004B55AD" w:rsidRPr="00286216" w:rsidRDefault="004B55AD" w:rsidP="004B55AD">
            <w:pPr>
              <w:pStyle w:val="StyleZakonu"/>
              <w:rPr>
                <w:color w:val="000000" w:themeColor="text1"/>
              </w:rPr>
            </w:pPr>
            <w:r w:rsidRPr="00286216">
              <w:rPr>
                <w:color w:val="000000" w:themeColor="text1"/>
              </w:rPr>
              <w:t>б) фондові варанти;</w:t>
            </w:r>
          </w:p>
        </w:tc>
      </w:tr>
      <w:tr w:rsidR="00F77E8D" w:rsidRPr="00286216" w14:paraId="0CC3D3BF" w14:textId="77777777" w:rsidTr="00091AA5">
        <w:tc>
          <w:tcPr>
            <w:tcW w:w="576" w:type="dxa"/>
          </w:tcPr>
          <w:p w14:paraId="6462B1B5" w14:textId="77777777" w:rsidR="004B55AD" w:rsidRPr="00286216" w:rsidRDefault="004B55AD" w:rsidP="004B55AD">
            <w:pPr>
              <w:pStyle w:val="StyleWisnow"/>
              <w:rPr>
                <w:color w:val="000000" w:themeColor="text1"/>
              </w:rPr>
            </w:pPr>
            <w:bookmarkStart w:id="243" w:name="n237" w:colFirst="0" w:colLast="0"/>
            <w:bookmarkEnd w:id="242"/>
            <w:r w:rsidRPr="00286216">
              <w:rPr>
                <w:color w:val="000000" w:themeColor="text1"/>
              </w:rPr>
              <w:t>237.</w:t>
            </w:r>
          </w:p>
        </w:tc>
        <w:tc>
          <w:tcPr>
            <w:tcW w:w="4818" w:type="dxa"/>
          </w:tcPr>
          <w:p w14:paraId="39484731" w14:textId="77777777" w:rsidR="004B55AD" w:rsidRPr="00286216" w:rsidRDefault="004B55AD" w:rsidP="004B55AD">
            <w:pPr>
              <w:pStyle w:val="StyleZakonu"/>
              <w:rPr>
                <w:color w:val="000000" w:themeColor="text1"/>
              </w:rPr>
            </w:pPr>
            <w:r w:rsidRPr="00286216">
              <w:rPr>
                <w:color w:val="000000" w:themeColor="text1"/>
              </w:rPr>
              <w:t>в) кредитна нота;</w:t>
            </w:r>
          </w:p>
        </w:tc>
        <w:tc>
          <w:tcPr>
            <w:tcW w:w="3686" w:type="dxa"/>
          </w:tcPr>
          <w:p w14:paraId="24E005DC" w14:textId="77777777" w:rsidR="004B55AD" w:rsidRPr="00286216" w:rsidRDefault="004B55AD" w:rsidP="004B55AD">
            <w:pPr>
              <w:pStyle w:val="StyleProp"/>
              <w:rPr>
                <w:color w:val="000000" w:themeColor="text1"/>
                <w:szCs w:val="18"/>
              </w:rPr>
            </w:pPr>
          </w:p>
        </w:tc>
        <w:tc>
          <w:tcPr>
            <w:tcW w:w="1987" w:type="dxa"/>
          </w:tcPr>
          <w:p w14:paraId="414D8158" w14:textId="77777777" w:rsidR="004B55AD" w:rsidRPr="00286216" w:rsidRDefault="004B55AD" w:rsidP="004B55AD">
            <w:pPr>
              <w:pStyle w:val="StyleWisnow"/>
              <w:rPr>
                <w:color w:val="000000" w:themeColor="text1"/>
              </w:rPr>
            </w:pPr>
          </w:p>
        </w:tc>
        <w:tc>
          <w:tcPr>
            <w:tcW w:w="4818" w:type="dxa"/>
          </w:tcPr>
          <w:p w14:paraId="5567DE31" w14:textId="10BA075A" w:rsidR="004B55AD" w:rsidRPr="00286216" w:rsidRDefault="004B55AD" w:rsidP="004B55AD">
            <w:pPr>
              <w:pStyle w:val="StyleZakonu"/>
              <w:rPr>
                <w:color w:val="000000" w:themeColor="text1"/>
              </w:rPr>
            </w:pPr>
            <w:r w:rsidRPr="00286216">
              <w:rPr>
                <w:color w:val="000000" w:themeColor="text1"/>
              </w:rPr>
              <w:t>в) кредитні ноти;</w:t>
            </w:r>
          </w:p>
        </w:tc>
      </w:tr>
      <w:tr w:rsidR="00F77E8D" w:rsidRPr="00286216" w14:paraId="42254F3B" w14:textId="77777777" w:rsidTr="00091AA5">
        <w:tc>
          <w:tcPr>
            <w:tcW w:w="576" w:type="dxa"/>
          </w:tcPr>
          <w:p w14:paraId="4F9F06F9" w14:textId="77777777" w:rsidR="004B55AD" w:rsidRPr="00286216" w:rsidRDefault="004B55AD" w:rsidP="004B55AD">
            <w:pPr>
              <w:pStyle w:val="StyleWisnow"/>
              <w:rPr>
                <w:color w:val="000000" w:themeColor="text1"/>
              </w:rPr>
            </w:pPr>
            <w:bookmarkStart w:id="244" w:name="n238" w:colFirst="0" w:colLast="0"/>
            <w:bookmarkEnd w:id="243"/>
            <w:r w:rsidRPr="00286216">
              <w:rPr>
                <w:color w:val="000000" w:themeColor="text1"/>
              </w:rPr>
              <w:t>238.</w:t>
            </w:r>
          </w:p>
        </w:tc>
        <w:tc>
          <w:tcPr>
            <w:tcW w:w="4818" w:type="dxa"/>
          </w:tcPr>
          <w:p w14:paraId="22DB6E54" w14:textId="77777777" w:rsidR="004B55AD" w:rsidRPr="00286216" w:rsidRDefault="004B55AD" w:rsidP="004B55AD">
            <w:pPr>
              <w:pStyle w:val="StyleZakonu"/>
              <w:rPr>
                <w:color w:val="000000" w:themeColor="text1"/>
              </w:rPr>
            </w:pPr>
            <w:r w:rsidRPr="00286216">
              <w:rPr>
                <w:color w:val="000000" w:themeColor="text1"/>
              </w:rPr>
              <w:t>г) депозитарна розписка;</w:t>
            </w:r>
          </w:p>
        </w:tc>
        <w:tc>
          <w:tcPr>
            <w:tcW w:w="3686" w:type="dxa"/>
          </w:tcPr>
          <w:p w14:paraId="57244742" w14:textId="77777777" w:rsidR="004B55AD" w:rsidRPr="00286216" w:rsidRDefault="004B55AD" w:rsidP="004B55AD">
            <w:pPr>
              <w:pStyle w:val="StyleProp"/>
              <w:rPr>
                <w:color w:val="000000" w:themeColor="text1"/>
                <w:szCs w:val="18"/>
              </w:rPr>
            </w:pPr>
          </w:p>
        </w:tc>
        <w:tc>
          <w:tcPr>
            <w:tcW w:w="1987" w:type="dxa"/>
          </w:tcPr>
          <w:p w14:paraId="25CE9867" w14:textId="77777777" w:rsidR="004B55AD" w:rsidRPr="00286216" w:rsidRDefault="004B55AD" w:rsidP="004B55AD">
            <w:pPr>
              <w:pStyle w:val="StyleWisnow"/>
              <w:rPr>
                <w:color w:val="000000" w:themeColor="text1"/>
              </w:rPr>
            </w:pPr>
          </w:p>
        </w:tc>
        <w:tc>
          <w:tcPr>
            <w:tcW w:w="4818" w:type="dxa"/>
          </w:tcPr>
          <w:p w14:paraId="01B970B4" w14:textId="4BB8BC4B" w:rsidR="004B55AD" w:rsidRPr="00286216" w:rsidRDefault="004B55AD" w:rsidP="004B55AD">
            <w:pPr>
              <w:pStyle w:val="StyleZakonu"/>
              <w:rPr>
                <w:color w:val="000000" w:themeColor="text1"/>
              </w:rPr>
            </w:pPr>
            <w:r w:rsidRPr="00286216">
              <w:rPr>
                <w:color w:val="000000" w:themeColor="text1"/>
              </w:rPr>
              <w:t>г) депозитарні розписки;</w:t>
            </w:r>
          </w:p>
        </w:tc>
      </w:tr>
      <w:tr w:rsidR="00F77E8D" w:rsidRPr="00286216" w14:paraId="16652419" w14:textId="77777777" w:rsidTr="00091AA5">
        <w:tc>
          <w:tcPr>
            <w:tcW w:w="576" w:type="dxa"/>
          </w:tcPr>
          <w:p w14:paraId="2C5D59DD" w14:textId="77777777" w:rsidR="004B55AD" w:rsidRPr="00286216" w:rsidRDefault="004B55AD" w:rsidP="004B55AD">
            <w:pPr>
              <w:pStyle w:val="StyleWisnow"/>
              <w:rPr>
                <w:color w:val="000000" w:themeColor="text1"/>
              </w:rPr>
            </w:pPr>
            <w:bookmarkStart w:id="245" w:name="n239" w:colFirst="0" w:colLast="0"/>
            <w:bookmarkEnd w:id="244"/>
            <w:r w:rsidRPr="00286216">
              <w:rPr>
                <w:color w:val="000000" w:themeColor="text1"/>
              </w:rPr>
              <w:t>239.</w:t>
            </w:r>
          </w:p>
        </w:tc>
        <w:tc>
          <w:tcPr>
            <w:tcW w:w="4818" w:type="dxa"/>
          </w:tcPr>
          <w:p w14:paraId="144D2C15" w14:textId="77777777" w:rsidR="004B55AD" w:rsidRPr="00286216" w:rsidRDefault="004B55AD" w:rsidP="004B55AD">
            <w:pPr>
              <w:pStyle w:val="StyleZakonu"/>
              <w:rPr>
                <w:color w:val="000000" w:themeColor="text1"/>
              </w:rPr>
            </w:pPr>
            <w:r w:rsidRPr="00286216">
              <w:rPr>
                <w:color w:val="000000" w:themeColor="text1"/>
              </w:rPr>
              <w:t>ґ) державний дериватив.</w:t>
            </w:r>
          </w:p>
        </w:tc>
        <w:tc>
          <w:tcPr>
            <w:tcW w:w="3686" w:type="dxa"/>
          </w:tcPr>
          <w:p w14:paraId="6FA0EF54" w14:textId="77777777" w:rsidR="004B55AD" w:rsidRPr="00286216" w:rsidRDefault="004B55AD" w:rsidP="004B55AD">
            <w:pPr>
              <w:pStyle w:val="StyleProp"/>
              <w:rPr>
                <w:color w:val="000000" w:themeColor="text1"/>
                <w:szCs w:val="18"/>
              </w:rPr>
            </w:pPr>
          </w:p>
        </w:tc>
        <w:tc>
          <w:tcPr>
            <w:tcW w:w="1987" w:type="dxa"/>
          </w:tcPr>
          <w:p w14:paraId="0C0A5138" w14:textId="77777777" w:rsidR="004B55AD" w:rsidRPr="00286216" w:rsidRDefault="004B55AD" w:rsidP="004B55AD">
            <w:pPr>
              <w:pStyle w:val="StyleWisnow"/>
              <w:rPr>
                <w:color w:val="000000" w:themeColor="text1"/>
              </w:rPr>
            </w:pPr>
          </w:p>
        </w:tc>
        <w:tc>
          <w:tcPr>
            <w:tcW w:w="4818" w:type="dxa"/>
          </w:tcPr>
          <w:p w14:paraId="02DA93CF" w14:textId="091C76B8" w:rsidR="004B55AD" w:rsidRPr="00286216" w:rsidRDefault="004B55AD" w:rsidP="004B55AD">
            <w:pPr>
              <w:pStyle w:val="StyleZakonu"/>
              <w:rPr>
                <w:color w:val="000000" w:themeColor="text1"/>
              </w:rPr>
            </w:pPr>
            <w:r w:rsidRPr="00286216">
              <w:rPr>
                <w:color w:val="000000" w:themeColor="text1"/>
              </w:rPr>
              <w:t>ґ) державні деривативи.</w:t>
            </w:r>
          </w:p>
        </w:tc>
      </w:tr>
      <w:tr w:rsidR="00F77E8D" w:rsidRPr="00286216" w14:paraId="7C69FCBC" w14:textId="77777777" w:rsidTr="00091AA5">
        <w:tc>
          <w:tcPr>
            <w:tcW w:w="576" w:type="dxa"/>
          </w:tcPr>
          <w:p w14:paraId="412699E4" w14:textId="77777777" w:rsidR="004B55AD" w:rsidRPr="00286216" w:rsidRDefault="004B55AD" w:rsidP="004B55AD">
            <w:pPr>
              <w:pStyle w:val="StyleWisnow"/>
              <w:rPr>
                <w:color w:val="000000" w:themeColor="text1"/>
              </w:rPr>
            </w:pPr>
            <w:bookmarkStart w:id="246" w:name="n240" w:colFirst="0" w:colLast="0"/>
            <w:bookmarkEnd w:id="245"/>
            <w:r w:rsidRPr="00286216">
              <w:rPr>
                <w:color w:val="000000" w:themeColor="text1"/>
              </w:rPr>
              <w:t>240.</w:t>
            </w:r>
          </w:p>
        </w:tc>
        <w:tc>
          <w:tcPr>
            <w:tcW w:w="4818" w:type="dxa"/>
          </w:tcPr>
          <w:p w14:paraId="00EAA343" w14:textId="77777777" w:rsidR="004B55AD" w:rsidRPr="00286216" w:rsidRDefault="004B55AD" w:rsidP="004B55AD">
            <w:pPr>
              <w:pStyle w:val="StyleZakonu"/>
              <w:rPr>
                <w:color w:val="000000" w:themeColor="text1"/>
              </w:rPr>
            </w:pPr>
            <w:r w:rsidRPr="00286216">
              <w:rPr>
                <w:color w:val="000000" w:themeColor="text1"/>
              </w:rPr>
              <w:t>Вимоги до деривативних (похідних) цінних паперів (крім державних деривативів), а також порядок їх емісії, обліку, обігу, викупу та погашення визначаються нормативно-правовими актами Національної комісії з цінних паперів та фондового ринку;</w:t>
            </w:r>
          </w:p>
        </w:tc>
        <w:tc>
          <w:tcPr>
            <w:tcW w:w="3686" w:type="dxa"/>
          </w:tcPr>
          <w:p w14:paraId="4485F63D" w14:textId="35432EA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230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2446524" w14:textId="6E4FB842" w:rsidR="004B55AD" w:rsidRPr="00286216" w:rsidRDefault="004B55AD" w:rsidP="004B55AD">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tc>
        <w:tc>
          <w:tcPr>
            <w:tcW w:w="1987" w:type="dxa"/>
          </w:tcPr>
          <w:p w14:paraId="28B30BC0" w14:textId="7E839E2B"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7D6899B" w14:textId="240332C8" w:rsidR="004B55AD" w:rsidRPr="00286216" w:rsidRDefault="004B55AD" w:rsidP="004B55AD">
            <w:pPr>
              <w:pStyle w:val="StyleZakonu"/>
              <w:rPr>
                <w:color w:val="000000" w:themeColor="text1"/>
              </w:rPr>
            </w:pPr>
            <w:r w:rsidRPr="00286216">
              <w:rPr>
                <w:color w:val="000000" w:themeColor="text1"/>
              </w:rPr>
              <w:t>Вимоги до деривативних цінних паперів (крім державних деривативів), а також порядок їх емісії, обліку, обігу, викупу та погашення визначаються нормативно-правовими актами Національної комісії з цінних паперів та фондового ринку;</w:t>
            </w:r>
          </w:p>
        </w:tc>
      </w:tr>
      <w:tr w:rsidR="00F77E8D" w:rsidRPr="00286216" w14:paraId="62440381" w14:textId="77777777" w:rsidTr="00091AA5">
        <w:tc>
          <w:tcPr>
            <w:tcW w:w="576" w:type="dxa"/>
          </w:tcPr>
          <w:p w14:paraId="0911BB33" w14:textId="77777777" w:rsidR="004B55AD" w:rsidRPr="00286216" w:rsidRDefault="004B55AD" w:rsidP="004B55AD">
            <w:pPr>
              <w:pStyle w:val="StyleWisnow"/>
              <w:rPr>
                <w:color w:val="000000" w:themeColor="text1"/>
              </w:rPr>
            </w:pPr>
            <w:bookmarkStart w:id="247" w:name="n241" w:colFirst="0" w:colLast="0"/>
            <w:bookmarkEnd w:id="246"/>
            <w:r w:rsidRPr="00286216">
              <w:rPr>
                <w:color w:val="000000" w:themeColor="text1"/>
              </w:rPr>
              <w:t>241.</w:t>
            </w:r>
          </w:p>
        </w:tc>
        <w:tc>
          <w:tcPr>
            <w:tcW w:w="4818" w:type="dxa"/>
          </w:tcPr>
          <w:p w14:paraId="08475398" w14:textId="77777777" w:rsidR="004B55AD" w:rsidRPr="00286216" w:rsidRDefault="004B55AD" w:rsidP="004B55AD">
            <w:pPr>
              <w:pStyle w:val="StyleZakonu"/>
              <w:rPr>
                <w:color w:val="000000" w:themeColor="text1"/>
              </w:rPr>
            </w:pPr>
            <w:r w:rsidRPr="00286216">
              <w:rPr>
                <w:color w:val="000000" w:themeColor="text1"/>
              </w:rPr>
              <w:t>5) товаророзпорядчі цінні папери - цінні папери, які надають їхньому держателю право розпоряджатися майном, вказаним у цих документах.</w:t>
            </w:r>
          </w:p>
        </w:tc>
        <w:tc>
          <w:tcPr>
            <w:tcW w:w="3686" w:type="dxa"/>
          </w:tcPr>
          <w:p w14:paraId="335EAD4F" w14:textId="77777777" w:rsidR="004B55AD" w:rsidRPr="00286216" w:rsidRDefault="004B55AD" w:rsidP="004B55AD">
            <w:pPr>
              <w:pStyle w:val="StyleProp"/>
              <w:rPr>
                <w:color w:val="000000" w:themeColor="text1"/>
                <w:szCs w:val="18"/>
              </w:rPr>
            </w:pPr>
          </w:p>
        </w:tc>
        <w:tc>
          <w:tcPr>
            <w:tcW w:w="1987" w:type="dxa"/>
          </w:tcPr>
          <w:p w14:paraId="522B874A" w14:textId="77777777" w:rsidR="004B55AD" w:rsidRPr="00286216" w:rsidRDefault="004B55AD" w:rsidP="004B55AD">
            <w:pPr>
              <w:pStyle w:val="StyleWisnow"/>
              <w:rPr>
                <w:color w:val="000000" w:themeColor="text1"/>
              </w:rPr>
            </w:pPr>
          </w:p>
        </w:tc>
        <w:tc>
          <w:tcPr>
            <w:tcW w:w="4818" w:type="dxa"/>
          </w:tcPr>
          <w:p w14:paraId="6AF208AF" w14:textId="29BFF681" w:rsidR="004B55AD" w:rsidRPr="00286216" w:rsidRDefault="004B55AD" w:rsidP="004B55AD">
            <w:pPr>
              <w:pStyle w:val="StyleZakonu"/>
              <w:rPr>
                <w:color w:val="000000" w:themeColor="text1"/>
              </w:rPr>
            </w:pPr>
            <w:r w:rsidRPr="00286216">
              <w:rPr>
                <w:color w:val="000000" w:themeColor="text1"/>
              </w:rPr>
              <w:t>5) товаророзпорядчі цінні папери - цінні папери, що надають їх держателю право розпоряджатися майном, зазначеним у цих документах.</w:t>
            </w:r>
          </w:p>
        </w:tc>
      </w:tr>
      <w:tr w:rsidR="00F77E8D" w:rsidRPr="00286216" w14:paraId="4BF6092F" w14:textId="77777777" w:rsidTr="00091AA5">
        <w:tc>
          <w:tcPr>
            <w:tcW w:w="576" w:type="dxa"/>
          </w:tcPr>
          <w:p w14:paraId="66475549" w14:textId="77777777" w:rsidR="004B55AD" w:rsidRPr="00286216" w:rsidRDefault="004B55AD" w:rsidP="004B55AD">
            <w:pPr>
              <w:pStyle w:val="StyleWisnow"/>
              <w:rPr>
                <w:color w:val="000000" w:themeColor="text1"/>
              </w:rPr>
            </w:pPr>
            <w:bookmarkStart w:id="248" w:name="n242" w:colFirst="0" w:colLast="0"/>
            <w:bookmarkEnd w:id="247"/>
            <w:r w:rsidRPr="00286216">
              <w:rPr>
                <w:color w:val="000000" w:themeColor="text1"/>
              </w:rPr>
              <w:t>242.</w:t>
            </w:r>
          </w:p>
        </w:tc>
        <w:tc>
          <w:tcPr>
            <w:tcW w:w="4818" w:type="dxa"/>
          </w:tcPr>
          <w:p w14:paraId="599FC129" w14:textId="77777777" w:rsidR="004B55AD" w:rsidRPr="00286216" w:rsidRDefault="004B55AD" w:rsidP="004B55AD">
            <w:pPr>
              <w:pStyle w:val="StyleZakonu"/>
              <w:rPr>
                <w:color w:val="000000" w:themeColor="text1"/>
              </w:rPr>
            </w:pPr>
            <w:r w:rsidRPr="00286216">
              <w:rPr>
                <w:color w:val="000000" w:themeColor="text1"/>
              </w:rPr>
              <w:t>7. Держава може розміщувати на міжнародних фондових ринках облігації зовнішньої державної позики України та державні деривативи.</w:t>
            </w:r>
          </w:p>
        </w:tc>
        <w:tc>
          <w:tcPr>
            <w:tcW w:w="3686" w:type="dxa"/>
          </w:tcPr>
          <w:p w14:paraId="60C23475" w14:textId="77777777" w:rsidR="004B55AD" w:rsidRPr="00286216" w:rsidRDefault="004B55AD" w:rsidP="004B55AD">
            <w:pPr>
              <w:pStyle w:val="StyleProp"/>
              <w:rPr>
                <w:color w:val="000000" w:themeColor="text1"/>
                <w:szCs w:val="18"/>
              </w:rPr>
            </w:pPr>
          </w:p>
        </w:tc>
        <w:tc>
          <w:tcPr>
            <w:tcW w:w="1987" w:type="dxa"/>
          </w:tcPr>
          <w:p w14:paraId="1563624B" w14:textId="77777777" w:rsidR="004B55AD" w:rsidRPr="00286216" w:rsidRDefault="004B55AD" w:rsidP="004B55AD">
            <w:pPr>
              <w:pStyle w:val="StyleWisnow"/>
              <w:rPr>
                <w:color w:val="000000" w:themeColor="text1"/>
              </w:rPr>
            </w:pPr>
          </w:p>
        </w:tc>
        <w:tc>
          <w:tcPr>
            <w:tcW w:w="4818" w:type="dxa"/>
          </w:tcPr>
          <w:p w14:paraId="20BE9F67" w14:textId="44607028" w:rsidR="004B55AD" w:rsidRPr="00286216" w:rsidRDefault="004B55AD" w:rsidP="004B55AD">
            <w:pPr>
              <w:pStyle w:val="StyleZakonu"/>
              <w:rPr>
                <w:color w:val="000000" w:themeColor="text1"/>
              </w:rPr>
            </w:pPr>
            <w:r w:rsidRPr="00286216">
              <w:rPr>
                <w:color w:val="000000" w:themeColor="text1"/>
              </w:rPr>
              <w:t>8. Держава може розміщувати на міжнародних ринках капіталу облігації зовнішньої державної позики України та державні деривативи.</w:t>
            </w:r>
          </w:p>
        </w:tc>
      </w:tr>
      <w:tr w:rsidR="00F77E8D" w:rsidRPr="00286216" w14:paraId="3067BAD8" w14:textId="77777777" w:rsidTr="00091AA5">
        <w:tc>
          <w:tcPr>
            <w:tcW w:w="576" w:type="dxa"/>
          </w:tcPr>
          <w:p w14:paraId="38CB36F4" w14:textId="77777777" w:rsidR="004B55AD" w:rsidRPr="00286216" w:rsidRDefault="004B55AD" w:rsidP="004B55AD">
            <w:pPr>
              <w:pStyle w:val="StyleWisnow"/>
              <w:rPr>
                <w:color w:val="000000" w:themeColor="text1"/>
              </w:rPr>
            </w:pPr>
            <w:bookmarkStart w:id="249" w:name="n243" w:colFirst="0" w:colLast="0"/>
            <w:bookmarkEnd w:id="248"/>
            <w:r w:rsidRPr="00286216">
              <w:rPr>
                <w:color w:val="000000" w:themeColor="text1"/>
              </w:rPr>
              <w:t>243.</w:t>
            </w:r>
          </w:p>
        </w:tc>
        <w:tc>
          <w:tcPr>
            <w:tcW w:w="4818" w:type="dxa"/>
          </w:tcPr>
          <w:p w14:paraId="6707F12D" w14:textId="77777777" w:rsidR="004B55AD" w:rsidRPr="00286216" w:rsidRDefault="004B55AD" w:rsidP="004B55AD">
            <w:pPr>
              <w:pStyle w:val="StyleZakonu"/>
              <w:rPr>
                <w:color w:val="000000" w:themeColor="text1"/>
              </w:rPr>
            </w:pPr>
            <w:r w:rsidRPr="00286216">
              <w:rPr>
                <w:color w:val="000000" w:themeColor="text1"/>
              </w:rPr>
              <w:t>Стаття 7. Перехід прав на цінні папери та прав за цінними паперами</w:t>
            </w:r>
          </w:p>
        </w:tc>
        <w:tc>
          <w:tcPr>
            <w:tcW w:w="3686" w:type="dxa"/>
          </w:tcPr>
          <w:p w14:paraId="36BC3094" w14:textId="72BE66FE"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231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CA06073" w14:textId="2BE68469" w:rsidR="004B55AD" w:rsidRPr="00286216" w:rsidRDefault="004B55AD" w:rsidP="00D2303B">
            <w:pPr>
              <w:pStyle w:val="StyleProp"/>
              <w:spacing w:line="180" w:lineRule="exact"/>
              <w:rPr>
                <w:color w:val="000000" w:themeColor="text1"/>
                <w:szCs w:val="18"/>
              </w:rPr>
            </w:pPr>
            <w:r w:rsidRPr="00286216">
              <w:rPr>
                <w:color w:val="000000" w:themeColor="text1"/>
                <w:szCs w:val="18"/>
              </w:rPr>
              <w:t>Статті 7-13 редакції першого читання виділити в окремий розділ «Укладання та виконання фінансових інструментів та правочинів щодо них» після розділу «Деривативні контракти та їх види»</w:t>
            </w:r>
          </w:p>
        </w:tc>
        <w:tc>
          <w:tcPr>
            <w:tcW w:w="1987" w:type="dxa"/>
          </w:tcPr>
          <w:p w14:paraId="6546D582" w14:textId="77777777" w:rsidR="004B55AD" w:rsidRPr="00286216" w:rsidRDefault="004B55AD" w:rsidP="004B55AD">
            <w:pPr>
              <w:pStyle w:val="StyleWisnow"/>
              <w:rPr>
                <w:color w:val="000000" w:themeColor="text1"/>
              </w:rPr>
            </w:pPr>
            <w:r w:rsidRPr="00286216">
              <w:rPr>
                <w:color w:val="000000" w:themeColor="text1"/>
              </w:rPr>
              <w:t>Враховано</w:t>
            </w:r>
          </w:p>
          <w:p w14:paraId="5FA10EF1" w14:textId="5AC2B986" w:rsidR="004B55AD" w:rsidRPr="00286216" w:rsidRDefault="00120E3D" w:rsidP="00120E3D">
            <w:pPr>
              <w:pStyle w:val="StyleWisnow"/>
              <w:rPr>
                <w:color w:val="000000" w:themeColor="text1"/>
              </w:rPr>
            </w:pPr>
            <w:r w:rsidRPr="00286216">
              <w:rPr>
                <w:color w:val="000000" w:themeColor="text1"/>
              </w:rPr>
              <w:t>с</w:t>
            </w:r>
            <w:r w:rsidR="004B55AD" w:rsidRPr="00286216">
              <w:rPr>
                <w:color w:val="000000" w:themeColor="text1"/>
              </w:rPr>
              <w:t xml:space="preserve">татті 7 – 13 за нової нумерації будуть відповідно 35 </w:t>
            </w:r>
            <w:r w:rsidRPr="00286216">
              <w:rPr>
                <w:color w:val="000000" w:themeColor="text1"/>
              </w:rPr>
              <w:t>–</w:t>
            </w:r>
            <w:r w:rsidR="004B55AD" w:rsidRPr="00286216">
              <w:rPr>
                <w:color w:val="000000" w:themeColor="text1"/>
              </w:rPr>
              <w:t xml:space="preserve"> 40</w:t>
            </w:r>
          </w:p>
        </w:tc>
        <w:tc>
          <w:tcPr>
            <w:tcW w:w="4818" w:type="dxa"/>
          </w:tcPr>
          <w:p w14:paraId="5580E4D7" w14:textId="77777777" w:rsidR="00120E3D" w:rsidRPr="00286216" w:rsidRDefault="004B55AD" w:rsidP="005110FB">
            <w:pPr>
              <w:pStyle w:val="StyleZakonu"/>
              <w:spacing w:after="0" w:line="200" w:lineRule="exact"/>
              <w:jc w:val="center"/>
              <w:rPr>
                <w:color w:val="000000" w:themeColor="text1"/>
              </w:rPr>
            </w:pPr>
            <w:r w:rsidRPr="00286216">
              <w:rPr>
                <w:color w:val="000000" w:themeColor="text1"/>
              </w:rPr>
              <w:t>Розділ ІV.</w:t>
            </w:r>
          </w:p>
          <w:p w14:paraId="19B150FD" w14:textId="7B542E61" w:rsidR="004B55AD" w:rsidRPr="00286216" w:rsidRDefault="004B55AD" w:rsidP="004B55AD">
            <w:pPr>
              <w:pStyle w:val="StyleZakonu"/>
              <w:jc w:val="center"/>
              <w:rPr>
                <w:color w:val="000000" w:themeColor="text1"/>
              </w:rPr>
            </w:pPr>
            <w:r w:rsidRPr="00286216">
              <w:rPr>
                <w:color w:val="000000" w:themeColor="text1"/>
              </w:rPr>
              <w:t>Укладання та виконання фінансових інструментів та правочинів щодо них</w:t>
            </w:r>
          </w:p>
          <w:p w14:paraId="40C7146F" w14:textId="3C8C28E5" w:rsidR="004B55AD" w:rsidRPr="00286216" w:rsidRDefault="004B55AD" w:rsidP="004B55AD">
            <w:pPr>
              <w:pStyle w:val="StyleZakonu"/>
              <w:rPr>
                <w:color w:val="000000" w:themeColor="text1"/>
              </w:rPr>
            </w:pPr>
            <w:r w:rsidRPr="00286216">
              <w:rPr>
                <w:color w:val="000000" w:themeColor="text1"/>
              </w:rPr>
              <w:t>Стаття 35. Перехід прав на цінні папери та прав за цінними паперами</w:t>
            </w:r>
          </w:p>
        </w:tc>
      </w:tr>
      <w:tr w:rsidR="00F77E8D" w:rsidRPr="00286216" w14:paraId="5D27A161" w14:textId="77777777" w:rsidTr="00091AA5">
        <w:tc>
          <w:tcPr>
            <w:tcW w:w="576" w:type="dxa"/>
          </w:tcPr>
          <w:p w14:paraId="1677C61D" w14:textId="77777777" w:rsidR="004B55AD" w:rsidRPr="00286216" w:rsidRDefault="004B55AD" w:rsidP="004B55AD">
            <w:pPr>
              <w:pStyle w:val="StyleWisnow"/>
              <w:rPr>
                <w:color w:val="000000" w:themeColor="text1"/>
              </w:rPr>
            </w:pPr>
            <w:bookmarkStart w:id="250" w:name="n244" w:colFirst="0" w:colLast="0"/>
            <w:bookmarkEnd w:id="249"/>
            <w:r w:rsidRPr="00286216">
              <w:rPr>
                <w:color w:val="000000" w:themeColor="text1"/>
              </w:rPr>
              <w:t>244.</w:t>
            </w:r>
          </w:p>
        </w:tc>
        <w:tc>
          <w:tcPr>
            <w:tcW w:w="4818" w:type="dxa"/>
          </w:tcPr>
          <w:p w14:paraId="0BF8119E" w14:textId="77777777" w:rsidR="004B55AD" w:rsidRPr="00286216" w:rsidRDefault="004B55AD" w:rsidP="004B55AD">
            <w:pPr>
              <w:pStyle w:val="StyleZakonu"/>
              <w:rPr>
                <w:color w:val="000000" w:themeColor="text1"/>
              </w:rPr>
            </w:pPr>
            <w:r w:rsidRPr="00286216">
              <w:rPr>
                <w:color w:val="000000" w:themeColor="text1"/>
              </w:rPr>
              <w:t>1. До особи, яка набула право на цінний папір, одночасно переходять у сукупності всі права, які ним посвідчуються (права за цінним папером), крім випадків, установлених законом або правочином.</w:t>
            </w:r>
          </w:p>
        </w:tc>
        <w:tc>
          <w:tcPr>
            <w:tcW w:w="3686" w:type="dxa"/>
          </w:tcPr>
          <w:p w14:paraId="46C88E06" w14:textId="77777777" w:rsidR="004B55AD" w:rsidRPr="00286216" w:rsidRDefault="004B55AD" w:rsidP="004B55AD">
            <w:pPr>
              <w:pStyle w:val="StyleProp"/>
              <w:rPr>
                <w:color w:val="000000" w:themeColor="text1"/>
                <w:szCs w:val="18"/>
              </w:rPr>
            </w:pPr>
          </w:p>
        </w:tc>
        <w:tc>
          <w:tcPr>
            <w:tcW w:w="1987" w:type="dxa"/>
          </w:tcPr>
          <w:p w14:paraId="16FD5BCB" w14:textId="77777777" w:rsidR="004B55AD" w:rsidRPr="00286216" w:rsidRDefault="004B55AD" w:rsidP="004B55AD">
            <w:pPr>
              <w:pStyle w:val="StyleWisnow"/>
              <w:rPr>
                <w:color w:val="000000" w:themeColor="text1"/>
              </w:rPr>
            </w:pPr>
          </w:p>
        </w:tc>
        <w:tc>
          <w:tcPr>
            <w:tcW w:w="4818" w:type="dxa"/>
          </w:tcPr>
          <w:p w14:paraId="10B72589" w14:textId="77777777" w:rsidR="004B55AD" w:rsidRPr="00286216" w:rsidRDefault="004B55AD" w:rsidP="004B55AD">
            <w:pPr>
              <w:pStyle w:val="StyleZakonu"/>
              <w:rPr>
                <w:color w:val="000000" w:themeColor="text1"/>
              </w:rPr>
            </w:pPr>
            <w:r w:rsidRPr="00286216">
              <w:rPr>
                <w:color w:val="000000" w:themeColor="text1"/>
              </w:rPr>
              <w:t>1. До особи, яка набула право на цінний папір, одночасно переходять у сукупності всі права, які ним посвідчуються (права за цінним папером), крім випадків, установлених законом або правочином.</w:t>
            </w:r>
          </w:p>
        </w:tc>
      </w:tr>
      <w:tr w:rsidR="00F77E8D" w:rsidRPr="00286216" w14:paraId="7AA03413" w14:textId="77777777" w:rsidTr="00091AA5">
        <w:tc>
          <w:tcPr>
            <w:tcW w:w="576" w:type="dxa"/>
          </w:tcPr>
          <w:p w14:paraId="5466F14F" w14:textId="77777777" w:rsidR="004B55AD" w:rsidRPr="00286216" w:rsidRDefault="004B55AD" w:rsidP="004B55AD">
            <w:pPr>
              <w:pStyle w:val="StyleWisnow"/>
              <w:rPr>
                <w:color w:val="000000" w:themeColor="text1"/>
              </w:rPr>
            </w:pPr>
            <w:bookmarkStart w:id="251" w:name="n245" w:colFirst="0" w:colLast="0"/>
            <w:bookmarkEnd w:id="250"/>
            <w:r w:rsidRPr="00286216">
              <w:rPr>
                <w:color w:val="000000" w:themeColor="text1"/>
              </w:rPr>
              <w:t>245.</w:t>
            </w:r>
          </w:p>
        </w:tc>
        <w:tc>
          <w:tcPr>
            <w:tcW w:w="4818" w:type="dxa"/>
          </w:tcPr>
          <w:p w14:paraId="0C445332" w14:textId="77777777" w:rsidR="004B55AD" w:rsidRPr="00286216" w:rsidRDefault="004B55AD" w:rsidP="004B55AD">
            <w:pPr>
              <w:pStyle w:val="StyleZakonu"/>
              <w:rPr>
                <w:color w:val="000000" w:themeColor="text1"/>
              </w:rPr>
            </w:pPr>
            <w:r w:rsidRPr="00286216">
              <w:rPr>
                <w:color w:val="000000" w:themeColor="text1"/>
              </w:rPr>
              <w:t>Обмеження прав на цінні папери або прав за цінними паперами може бути встановлено тільки у випадках і в порядку, що передбачені законом.</w:t>
            </w:r>
          </w:p>
        </w:tc>
        <w:tc>
          <w:tcPr>
            <w:tcW w:w="3686" w:type="dxa"/>
          </w:tcPr>
          <w:p w14:paraId="3438636E" w14:textId="77777777" w:rsidR="004B55AD" w:rsidRPr="00286216" w:rsidRDefault="004B55AD" w:rsidP="004B55AD">
            <w:pPr>
              <w:pStyle w:val="StyleProp"/>
              <w:rPr>
                <w:color w:val="000000" w:themeColor="text1"/>
                <w:szCs w:val="18"/>
              </w:rPr>
            </w:pPr>
          </w:p>
        </w:tc>
        <w:tc>
          <w:tcPr>
            <w:tcW w:w="1987" w:type="dxa"/>
          </w:tcPr>
          <w:p w14:paraId="724B4AA0" w14:textId="77777777" w:rsidR="004B55AD" w:rsidRPr="00286216" w:rsidRDefault="004B55AD" w:rsidP="004B55AD">
            <w:pPr>
              <w:pStyle w:val="StyleWisnow"/>
              <w:rPr>
                <w:color w:val="000000" w:themeColor="text1"/>
              </w:rPr>
            </w:pPr>
          </w:p>
        </w:tc>
        <w:tc>
          <w:tcPr>
            <w:tcW w:w="4818" w:type="dxa"/>
          </w:tcPr>
          <w:p w14:paraId="4D7AC9E5" w14:textId="583A9B85" w:rsidR="004B55AD" w:rsidRPr="00286216" w:rsidRDefault="004B55AD" w:rsidP="00120E3D">
            <w:pPr>
              <w:pStyle w:val="StyleZakonu"/>
              <w:rPr>
                <w:color w:val="000000" w:themeColor="text1"/>
              </w:rPr>
            </w:pPr>
            <w:r w:rsidRPr="00286216">
              <w:rPr>
                <w:color w:val="000000" w:themeColor="text1"/>
              </w:rPr>
              <w:t xml:space="preserve">Обмеження прав на цінні папери або прав за цінними паперами може бути встановлено виключно у випадках </w:t>
            </w:r>
            <w:r w:rsidR="00120E3D" w:rsidRPr="00286216">
              <w:rPr>
                <w:color w:val="000000" w:themeColor="text1"/>
              </w:rPr>
              <w:t xml:space="preserve">та </w:t>
            </w:r>
            <w:r w:rsidRPr="00286216">
              <w:rPr>
                <w:color w:val="000000" w:themeColor="text1"/>
              </w:rPr>
              <w:t>порядку, передбачених законом.</w:t>
            </w:r>
          </w:p>
        </w:tc>
      </w:tr>
      <w:tr w:rsidR="00F77E8D" w:rsidRPr="00286216" w14:paraId="4C167572" w14:textId="77777777" w:rsidTr="00091AA5">
        <w:tc>
          <w:tcPr>
            <w:tcW w:w="576" w:type="dxa"/>
          </w:tcPr>
          <w:p w14:paraId="6EFAAD98" w14:textId="77777777" w:rsidR="004B55AD" w:rsidRPr="00286216" w:rsidRDefault="004B55AD" w:rsidP="004B55AD">
            <w:pPr>
              <w:pStyle w:val="StyleWisnow"/>
              <w:rPr>
                <w:color w:val="000000" w:themeColor="text1"/>
              </w:rPr>
            </w:pPr>
            <w:bookmarkStart w:id="252" w:name="n246" w:colFirst="0" w:colLast="0"/>
            <w:bookmarkEnd w:id="251"/>
            <w:r w:rsidRPr="00286216">
              <w:rPr>
                <w:color w:val="000000" w:themeColor="text1"/>
              </w:rPr>
              <w:lastRenderedPageBreak/>
              <w:t>246.</w:t>
            </w:r>
          </w:p>
        </w:tc>
        <w:tc>
          <w:tcPr>
            <w:tcW w:w="4818" w:type="dxa"/>
          </w:tcPr>
          <w:p w14:paraId="21E28141" w14:textId="77777777" w:rsidR="004B55AD" w:rsidRPr="00286216" w:rsidRDefault="004B55AD" w:rsidP="004B55AD">
            <w:pPr>
              <w:pStyle w:val="StyleZakonu"/>
              <w:rPr>
                <w:color w:val="000000" w:themeColor="text1"/>
              </w:rPr>
            </w:pPr>
            <w:r w:rsidRPr="00286216">
              <w:rPr>
                <w:color w:val="000000" w:themeColor="text1"/>
              </w:rPr>
              <w:t>2. Права на цінний папір та права за цінним папером на пред’явника, що існує в документарній формі у паперовому вигляді, переходять шляхом вручення такого цінного папера іншій особі, а порядок переходу права на цінний папір та права за цінним папером на пред’явника, що існує в документарній формі як електронний документ, визначається Національним банком України - для фінансових банківських векселів та Кабінетом Міністрів України - для фінансових казначейських векселів.</w:t>
            </w:r>
          </w:p>
        </w:tc>
        <w:tc>
          <w:tcPr>
            <w:tcW w:w="3686" w:type="dxa"/>
          </w:tcPr>
          <w:p w14:paraId="098556C9" w14:textId="5034A9F8"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232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B5F0B06" w14:textId="77777777" w:rsidR="004B55AD" w:rsidRPr="00286216" w:rsidRDefault="004B55AD" w:rsidP="00D2303B">
            <w:pPr>
              <w:pStyle w:val="StyleProp"/>
              <w:spacing w:line="180" w:lineRule="exact"/>
              <w:rPr>
                <w:color w:val="000000" w:themeColor="text1"/>
                <w:szCs w:val="18"/>
              </w:rPr>
            </w:pPr>
            <w:r w:rsidRPr="00286216">
              <w:rPr>
                <w:color w:val="000000" w:themeColor="text1"/>
                <w:szCs w:val="18"/>
              </w:rPr>
              <w:t>Абзац перший частини другої статті 7 викласти в такій редакції:</w:t>
            </w:r>
          </w:p>
          <w:p w14:paraId="6836D33F" w14:textId="77777777" w:rsidR="004B55AD" w:rsidRPr="00286216" w:rsidRDefault="004B55AD" w:rsidP="00D2303B">
            <w:pPr>
              <w:pStyle w:val="StyleProp"/>
              <w:spacing w:line="180" w:lineRule="exact"/>
              <w:rPr>
                <w:color w:val="000000" w:themeColor="text1"/>
                <w:szCs w:val="18"/>
              </w:rPr>
            </w:pPr>
            <w:r w:rsidRPr="00286216">
              <w:rPr>
                <w:color w:val="000000" w:themeColor="text1"/>
                <w:szCs w:val="18"/>
              </w:rPr>
              <w:t>«2. Права на цінний папір та права за цінним папером на пред’явника, що існує в паперовій формі, переходять шляхом вручення такого цінного папера іншій особі, порядок переходу права на та права за фінансовими банківськими векселями визначається Національним банком України, порядок переходу права на та права за фінансовими казначейськими векселями – Кабінетом Міністрів України».</w:t>
            </w:r>
          </w:p>
        </w:tc>
        <w:tc>
          <w:tcPr>
            <w:tcW w:w="1987" w:type="dxa"/>
          </w:tcPr>
          <w:p w14:paraId="1A531193"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7FD5E746" w14:textId="4F6C81CE" w:rsidR="004B55AD" w:rsidRPr="00286216" w:rsidRDefault="004B55AD" w:rsidP="004B55AD">
            <w:pPr>
              <w:pStyle w:val="StyleZakonu"/>
              <w:rPr>
                <w:color w:val="000000" w:themeColor="text1"/>
              </w:rPr>
            </w:pPr>
            <w:r w:rsidRPr="00286216">
              <w:rPr>
                <w:color w:val="000000" w:themeColor="text1"/>
              </w:rPr>
              <w:t>2. Права на цінний папір та права за цінним папером на пред’явника, що існує в паперовій формі, переходять шляхом вручення такого цінного папера іншій особі. Порядок переходу права на та права за фінансовими банківськими векселями визначається Національним банком України, порядок переходу права на та права за фінансовими казначейськими векселями – Кабінетом Міністрів України.</w:t>
            </w:r>
          </w:p>
        </w:tc>
      </w:tr>
      <w:tr w:rsidR="00F77E8D" w:rsidRPr="00286216" w14:paraId="1D23BF5E" w14:textId="77777777" w:rsidTr="00091AA5">
        <w:tc>
          <w:tcPr>
            <w:tcW w:w="576" w:type="dxa"/>
          </w:tcPr>
          <w:p w14:paraId="14A46A90" w14:textId="77777777" w:rsidR="004B55AD" w:rsidRPr="00286216" w:rsidRDefault="004B55AD" w:rsidP="004B55AD">
            <w:pPr>
              <w:pStyle w:val="StyleWisnow"/>
              <w:rPr>
                <w:color w:val="000000" w:themeColor="text1"/>
              </w:rPr>
            </w:pPr>
            <w:bookmarkStart w:id="253" w:name="n247" w:colFirst="0" w:colLast="0"/>
            <w:bookmarkEnd w:id="252"/>
            <w:r w:rsidRPr="00286216">
              <w:rPr>
                <w:color w:val="000000" w:themeColor="text1"/>
              </w:rPr>
              <w:t>247.</w:t>
            </w:r>
          </w:p>
        </w:tc>
        <w:tc>
          <w:tcPr>
            <w:tcW w:w="4818" w:type="dxa"/>
          </w:tcPr>
          <w:p w14:paraId="0298C91E" w14:textId="77777777" w:rsidR="004B55AD" w:rsidRPr="00286216" w:rsidRDefault="004B55AD" w:rsidP="004B55AD">
            <w:pPr>
              <w:pStyle w:val="StyleZakonu"/>
              <w:rPr>
                <w:color w:val="000000" w:themeColor="text1"/>
              </w:rPr>
            </w:pPr>
            <w:r w:rsidRPr="00286216">
              <w:rPr>
                <w:color w:val="000000" w:themeColor="text1"/>
              </w:rPr>
              <w:t>Права на цінний папір та права за цінним папером на пред’явника, що існує в бездокументарній формі, переходять у порядку, визначеному для переходу прав на іменні цінні папери.</w:t>
            </w:r>
          </w:p>
        </w:tc>
        <w:tc>
          <w:tcPr>
            <w:tcW w:w="3686" w:type="dxa"/>
          </w:tcPr>
          <w:p w14:paraId="3A683D38" w14:textId="59C60C2D"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233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C016576" w14:textId="77777777" w:rsidR="004B55AD" w:rsidRPr="00286216" w:rsidRDefault="004B55AD" w:rsidP="00D2303B">
            <w:pPr>
              <w:pStyle w:val="StyleProp"/>
              <w:spacing w:line="180" w:lineRule="exact"/>
              <w:rPr>
                <w:color w:val="000000" w:themeColor="text1"/>
                <w:spacing w:val="-1"/>
                <w:szCs w:val="18"/>
              </w:rPr>
            </w:pPr>
            <w:r w:rsidRPr="00286216">
              <w:rPr>
                <w:color w:val="000000" w:themeColor="text1"/>
                <w:spacing w:val="-1"/>
                <w:szCs w:val="18"/>
              </w:rPr>
              <w:t xml:space="preserve">В тексті проекту слово "бездокументарній" </w:t>
            </w:r>
            <w:r w:rsidRPr="00286216">
              <w:rPr>
                <w:color w:val="000000" w:themeColor="text1"/>
                <w:szCs w:val="18"/>
              </w:rPr>
              <w:t>в усіх відмінках замінити словом "електронній" у відповідному відмінку.</w:t>
            </w:r>
          </w:p>
        </w:tc>
        <w:tc>
          <w:tcPr>
            <w:tcW w:w="1987" w:type="dxa"/>
          </w:tcPr>
          <w:p w14:paraId="6C9E41B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E4C3897" w14:textId="77777777" w:rsidR="004B55AD" w:rsidRPr="00286216" w:rsidRDefault="004B55AD" w:rsidP="004B55AD">
            <w:pPr>
              <w:pStyle w:val="StyleZakonu"/>
              <w:rPr>
                <w:color w:val="000000" w:themeColor="text1"/>
              </w:rPr>
            </w:pPr>
            <w:r w:rsidRPr="00286216">
              <w:rPr>
                <w:color w:val="000000" w:themeColor="text1"/>
              </w:rPr>
              <w:t xml:space="preserve">Права на цінний папір та права за цінним папером на пред’явника, що існує в </w:t>
            </w:r>
            <w:r w:rsidRPr="00286216">
              <w:rPr>
                <w:color w:val="000000" w:themeColor="text1"/>
                <w:szCs w:val="18"/>
              </w:rPr>
              <w:t>електронній</w:t>
            </w:r>
            <w:r w:rsidRPr="00286216">
              <w:rPr>
                <w:color w:val="000000" w:themeColor="text1"/>
              </w:rPr>
              <w:t xml:space="preserve"> формі, переходять у порядку, визначеному для переходу прав на іменні цінні папери.</w:t>
            </w:r>
          </w:p>
        </w:tc>
      </w:tr>
      <w:tr w:rsidR="00F77E8D" w:rsidRPr="00286216" w14:paraId="665FE3FB" w14:textId="77777777" w:rsidTr="00091AA5">
        <w:tc>
          <w:tcPr>
            <w:tcW w:w="576" w:type="dxa"/>
          </w:tcPr>
          <w:p w14:paraId="7F7129B3" w14:textId="77777777" w:rsidR="004B55AD" w:rsidRPr="00286216" w:rsidRDefault="004B55AD" w:rsidP="004B55AD">
            <w:pPr>
              <w:pStyle w:val="StyleWisnow"/>
              <w:rPr>
                <w:color w:val="000000" w:themeColor="text1"/>
              </w:rPr>
            </w:pPr>
            <w:bookmarkStart w:id="254" w:name="n248" w:colFirst="0" w:colLast="0"/>
            <w:bookmarkEnd w:id="253"/>
            <w:r w:rsidRPr="00286216">
              <w:rPr>
                <w:color w:val="000000" w:themeColor="text1"/>
              </w:rPr>
              <w:t>248.</w:t>
            </w:r>
          </w:p>
        </w:tc>
        <w:tc>
          <w:tcPr>
            <w:tcW w:w="4818" w:type="dxa"/>
          </w:tcPr>
          <w:p w14:paraId="3359ACD7" w14:textId="77777777" w:rsidR="004B55AD" w:rsidRPr="00286216" w:rsidRDefault="004B55AD" w:rsidP="004B55AD">
            <w:pPr>
              <w:pStyle w:val="StyleZakonu"/>
              <w:rPr>
                <w:color w:val="000000" w:themeColor="text1"/>
              </w:rPr>
            </w:pPr>
            <w:r w:rsidRPr="00286216">
              <w:rPr>
                <w:color w:val="000000" w:themeColor="text1"/>
              </w:rPr>
              <w:t>Перехід прав на знерухомлені цінні папери на пред’явника і реалізація прав за ними потребує обов’язкової ідентифікації власника депозитарною установою, що веде рахунок у цінних паперах такого власника.</w:t>
            </w:r>
          </w:p>
        </w:tc>
        <w:tc>
          <w:tcPr>
            <w:tcW w:w="3686" w:type="dxa"/>
          </w:tcPr>
          <w:p w14:paraId="124894D7" w14:textId="77777777" w:rsidR="004B55AD" w:rsidRPr="00286216" w:rsidRDefault="004B55AD" w:rsidP="004B55AD">
            <w:pPr>
              <w:pStyle w:val="StyleProp"/>
              <w:rPr>
                <w:color w:val="000000" w:themeColor="text1"/>
                <w:szCs w:val="18"/>
              </w:rPr>
            </w:pPr>
          </w:p>
        </w:tc>
        <w:tc>
          <w:tcPr>
            <w:tcW w:w="1987" w:type="dxa"/>
          </w:tcPr>
          <w:p w14:paraId="0582C2B1" w14:textId="77777777" w:rsidR="004B55AD" w:rsidRPr="00286216" w:rsidRDefault="004B55AD" w:rsidP="004B55AD">
            <w:pPr>
              <w:pStyle w:val="StyleWisnow"/>
              <w:rPr>
                <w:color w:val="000000" w:themeColor="text1"/>
              </w:rPr>
            </w:pPr>
          </w:p>
        </w:tc>
        <w:tc>
          <w:tcPr>
            <w:tcW w:w="4818" w:type="dxa"/>
          </w:tcPr>
          <w:p w14:paraId="0473B7D4" w14:textId="77777777" w:rsidR="004B55AD" w:rsidRPr="00286216" w:rsidRDefault="004B55AD" w:rsidP="004B55AD">
            <w:pPr>
              <w:pStyle w:val="StyleZakonu"/>
              <w:rPr>
                <w:color w:val="000000" w:themeColor="text1"/>
              </w:rPr>
            </w:pPr>
            <w:r w:rsidRPr="00286216">
              <w:rPr>
                <w:color w:val="000000" w:themeColor="text1"/>
              </w:rPr>
              <w:t>Перехід прав на знерухомлені цінні папери на пред’явника і реалізація прав за ними потребує обов’язкової ідентифікації власника депозитарною установою, що веде рахунок у цінних паперах такого власника.</w:t>
            </w:r>
          </w:p>
        </w:tc>
      </w:tr>
      <w:tr w:rsidR="00F77E8D" w:rsidRPr="00286216" w14:paraId="03B6CFA8" w14:textId="77777777" w:rsidTr="00091AA5">
        <w:tc>
          <w:tcPr>
            <w:tcW w:w="576" w:type="dxa"/>
          </w:tcPr>
          <w:p w14:paraId="07B9F538" w14:textId="77777777" w:rsidR="004B55AD" w:rsidRPr="00286216" w:rsidRDefault="004B55AD" w:rsidP="004B55AD">
            <w:pPr>
              <w:pStyle w:val="StyleWisnow"/>
              <w:rPr>
                <w:color w:val="000000" w:themeColor="text1"/>
              </w:rPr>
            </w:pPr>
            <w:bookmarkStart w:id="255" w:name="n249" w:colFirst="0" w:colLast="0"/>
            <w:bookmarkEnd w:id="254"/>
            <w:r w:rsidRPr="00286216">
              <w:rPr>
                <w:color w:val="000000" w:themeColor="text1"/>
              </w:rPr>
              <w:t>249.</w:t>
            </w:r>
          </w:p>
        </w:tc>
        <w:tc>
          <w:tcPr>
            <w:tcW w:w="4818" w:type="dxa"/>
          </w:tcPr>
          <w:p w14:paraId="04012171" w14:textId="77777777" w:rsidR="004B55AD" w:rsidRPr="00286216" w:rsidRDefault="004B55AD" w:rsidP="004B55AD">
            <w:pPr>
              <w:pStyle w:val="StyleZakonu"/>
              <w:rPr>
                <w:color w:val="000000" w:themeColor="text1"/>
              </w:rPr>
            </w:pPr>
            <w:r w:rsidRPr="00286216">
              <w:rPr>
                <w:color w:val="000000" w:themeColor="text1"/>
              </w:rPr>
              <w:t>Реєстр власників цінних паперів на пред’явника не складається.</w:t>
            </w:r>
          </w:p>
        </w:tc>
        <w:tc>
          <w:tcPr>
            <w:tcW w:w="3686" w:type="dxa"/>
          </w:tcPr>
          <w:p w14:paraId="3A6C9317" w14:textId="77777777" w:rsidR="004B55AD" w:rsidRPr="00286216" w:rsidRDefault="004B55AD" w:rsidP="004B55AD">
            <w:pPr>
              <w:pStyle w:val="StyleProp"/>
              <w:rPr>
                <w:color w:val="000000" w:themeColor="text1"/>
                <w:szCs w:val="18"/>
              </w:rPr>
            </w:pPr>
          </w:p>
        </w:tc>
        <w:tc>
          <w:tcPr>
            <w:tcW w:w="1987" w:type="dxa"/>
          </w:tcPr>
          <w:p w14:paraId="7253A52E" w14:textId="77777777" w:rsidR="004B55AD" w:rsidRPr="00286216" w:rsidRDefault="004B55AD" w:rsidP="004B55AD">
            <w:pPr>
              <w:pStyle w:val="StyleWisnow"/>
              <w:rPr>
                <w:color w:val="000000" w:themeColor="text1"/>
              </w:rPr>
            </w:pPr>
          </w:p>
        </w:tc>
        <w:tc>
          <w:tcPr>
            <w:tcW w:w="4818" w:type="dxa"/>
          </w:tcPr>
          <w:p w14:paraId="0DF4CF06" w14:textId="77777777" w:rsidR="004B55AD" w:rsidRPr="00286216" w:rsidRDefault="004B55AD" w:rsidP="004B55AD">
            <w:pPr>
              <w:pStyle w:val="StyleZakonu"/>
              <w:rPr>
                <w:color w:val="000000" w:themeColor="text1"/>
              </w:rPr>
            </w:pPr>
            <w:r w:rsidRPr="00286216">
              <w:rPr>
                <w:color w:val="000000" w:themeColor="text1"/>
              </w:rPr>
              <w:t>Реєстр власників цінних паперів на пред’явника не складається.</w:t>
            </w:r>
          </w:p>
        </w:tc>
      </w:tr>
      <w:tr w:rsidR="00F77E8D" w:rsidRPr="00286216" w14:paraId="7D7B8AD4" w14:textId="77777777" w:rsidTr="00091AA5">
        <w:tc>
          <w:tcPr>
            <w:tcW w:w="576" w:type="dxa"/>
          </w:tcPr>
          <w:p w14:paraId="17491588" w14:textId="77777777" w:rsidR="004B55AD" w:rsidRPr="00286216" w:rsidRDefault="004B55AD" w:rsidP="004B55AD">
            <w:pPr>
              <w:pStyle w:val="StyleWisnow"/>
              <w:rPr>
                <w:color w:val="000000" w:themeColor="text1"/>
              </w:rPr>
            </w:pPr>
            <w:bookmarkStart w:id="256" w:name="n250" w:colFirst="0" w:colLast="0"/>
            <w:bookmarkEnd w:id="255"/>
            <w:r w:rsidRPr="00286216">
              <w:rPr>
                <w:color w:val="000000" w:themeColor="text1"/>
              </w:rPr>
              <w:t>250.</w:t>
            </w:r>
          </w:p>
        </w:tc>
        <w:tc>
          <w:tcPr>
            <w:tcW w:w="4818" w:type="dxa"/>
          </w:tcPr>
          <w:p w14:paraId="69CBD068" w14:textId="77777777" w:rsidR="004B55AD" w:rsidRPr="00286216" w:rsidRDefault="004B55AD" w:rsidP="004B55AD">
            <w:pPr>
              <w:pStyle w:val="StyleZakonu"/>
              <w:rPr>
                <w:color w:val="000000" w:themeColor="text1"/>
              </w:rPr>
            </w:pPr>
            <w:r w:rsidRPr="00286216">
              <w:rPr>
                <w:color w:val="000000" w:themeColor="text1"/>
              </w:rPr>
              <w:t>3. Права на іменний цінний папір та права за іменним цінним папером переходять до іншої особи у порядку, встановленому законодавством про депозитарну систему України.</w:t>
            </w:r>
          </w:p>
        </w:tc>
        <w:tc>
          <w:tcPr>
            <w:tcW w:w="3686" w:type="dxa"/>
          </w:tcPr>
          <w:p w14:paraId="4B0702FE" w14:textId="77777777" w:rsidR="004B55AD" w:rsidRPr="00286216" w:rsidRDefault="004B55AD" w:rsidP="004B55AD">
            <w:pPr>
              <w:pStyle w:val="StyleProp"/>
              <w:rPr>
                <w:color w:val="000000" w:themeColor="text1"/>
                <w:szCs w:val="18"/>
              </w:rPr>
            </w:pPr>
          </w:p>
        </w:tc>
        <w:tc>
          <w:tcPr>
            <w:tcW w:w="1987" w:type="dxa"/>
          </w:tcPr>
          <w:p w14:paraId="670AA29D" w14:textId="77777777" w:rsidR="004B55AD" w:rsidRPr="00286216" w:rsidRDefault="004B55AD" w:rsidP="004B55AD">
            <w:pPr>
              <w:pStyle w:val="StyleWisnow"/>
              <w:rPr>
                <w:color w:val="000000" w:themeColor="text1"/>
              </w:rPr>
            </w:pPr>
          </w:p>
        </w:tc>
        <w:tc>
          <w:tcPr>
            <w:tcW w:w="4818" w:type="dxa"/>
          </w:tcPr>
          <w:p w14:paraId="1E0D40CC" w14:textId="77777777" w:rsidR="004B55AD" w:rsidRPr="00286216" w:rsidRDefault="004B55AD" w:rsidP="004B55AD">
            <w:pPr>
              <w:pStyle w:val="StyleZakonu"/>
              <w:rPr>
                <w:color w:val="000000" w:themeColor="text1"/>
              </w:rPr>
            </w:pPr>
            <w:r w:rsidRPr="00286216">
              <w:rPr>
                <w:color w:val="000000" w:themeColor="text1"/>
              </w:rPr>
              <w:t>3. Права на іменний цінний папір та права за іменним цінним папером переходять до іншої особи у порядку, встановленому законодавством про депозитарну систему України.</w:t>
            </w:r>
          </w:p>
        </w:tc>
      </w:tr>
      <w:tr w:rsidR="00F77E8D" w:rsidRPr="00286216" w14:paraId="60077EB4" w14:textId="77777777" w:rsidTr="00091AA5">
        <w:tc>
          <w:tcPr>
            <w:tcW w:w="576" w:type="dxa"/>
          </w:tcPr>
          <w:p w14:paraId="0789D41D" w14:textId="77777777" w:rsidR="004B55AD" w:rsidRPr="00286216" w:rsidRDefault="004B55AD" w:rsidP="004B55AD">
            <w:pPr>
              <w:pStyle w:val="StyleWisnow"/>
              <w:rPr>
                <w:color w:val="000000" w:themeColor="text1"/>
              </w:rPr>
            </w:pPr>
            <w:bookmarkStart w:id="257" w:name="n251" w:colFirst="0" w:colLast="0"/>
            <w:bookmarkEnd w:id="256"/>
            <w:r w:rsidRPr="00286216">
              <w:rPr>
                <w:color w:val="000000" w:themeColor="text1"/>
              </w:rPr>
              <w:t>251.</w:t>
            </w:r>
          </w:p>
        </w:tc>
        <w:tc>
          <w:tcPr>
            <w:tcW w:w="4818" w:type="dxa"/>
          </w:tcPr>
          <w:p w14:paraId="4D9B21FE" w14:textId="77777777" w:rsidR="004B55AD" w:rsidRPr="00286216" w:rsidRDefault="004B55AD" w:rsidP="004B55AD">
            <w:pPr>
              <w:pStyle w:val="StyleZakonu"/>
              <w:rPr>
                <w:color w:val="000000" w:themeColor="text1"/>
              </w:rPr>
            </w:pPr>
            <w:r w:rsidRPr="00286216">
              <w:rPr>
                <w:color w:val="000000" w:themeColor="text1"/>
              </w:rPr>
              <w:t>Інформацію про власників іменних цінних паперів емітент одержує у формі реєстру власників іменних цінних паперів. Перехід прав на іменні цінні папери і реалізація прав за ними потребує обов’язкової ідентифікації власника депозитарною установою, що веде рахунок у цінних паперах (крім випадку, коли облік прав на цінні папери власника здійснюється на рахунку номінального утримувача в установленому законодавством порядку) такого власника.</w:t>
            </w:r>
          </w:p>
        </w:tc>
        <w:tc>
          <w:tcPr>
            <w:tcW w:w="3686" w:type="dxa"/>
          </w:tcPr>
          <w:p w14:paraId="5373F5B9" w14:textId="77777777" w:rsidR="004B55AD" w:rsidRPr="00286216" w:rsidRDefault="004B55AD" w:rsidP="004B55AD">
            <w:pPr>
              <w:pStyle w:val="StyleProp"/>
              <w:rPr>
                <w:color w:val="000000" w:themeColor="text1"/>
                <w:szCs w:val="18"/>
              </w:rPr>
            </w:pPr>
          </w:p>
        </w:tc>
        <w:tc>
          <w:tcPr>
            <w:tcW w:w="1987" w:type="dxa"/>
          </w:tcPr>
          <w:p w14:paraId="22A69BFE" w14:textId="77777777" w:rsidR="004B55AD" w:rsidRPr="00286216" w:rsidRDefault="004B55AD" w:rsidP="004B55AD">
            <w:pPr>
              <w:pStyle w:val="StyleWisnow"/>
              <w:rPr>
                <w:color w:val="000000" w:themeColor="text1"/>
              </w:rPr>
            </w:pPr>
          </w:p>
        </w:tc>
        <w:tc>
          <w:tcPr>
            <w:tcW w:w="4818" w:type="dxa"/>
          </w:tcPr>
          <w:p w14:paraId="6CBB1452" w14:textId="42F4B8C5" w:rsidR="004B55AD" w:rsidRPr="00286216" w:rsidRDefault="004B55AD" w:rsidP="005110FB">
            <w:pPr>
              <w:pStyle w:val="StyleZakonu"/>
              <w:rPr>
                <w:color w:val="000000" w:themeColor="text1"/>
              </w:rPr>
            </w:pPr>
            <w:r w:rsidRPr="00286216">
              <w:rPr>
                <w:color w:val="000000" w:themeColor="text1"/>
              </w:rPr>
              <w:t xml:space="preserve">Інформацію про власників іменних цінних паперів емітент одержує у формі реєстру власників іменних цінних паперів. Перехід прав на іменні цінні папери і реалізація прав за ними потребує обов’язкової ідентифікації власника депозитарною установою, що веде рахунок у цінних паперах (крім випадку, </w:t>
            </w:r>
            <w:r w:rsidR="005110FB" w:rsidRPr="00286216">
              <w:rPr>
                <w:color w:val="000000" w:themeColor="text1"/>
              </w:rPr>
              <w:t>якщо</w:t>
            </w:r>
            <w:r w:rsidRPr="00286216">
              <w:rPr>
                <w:color w:val="000000" w:themeColor="text1"/>
              </w:rPr>
              <w:t xml:space="preserve"> облік прав на цінні папери власника здійснюється на рахунку номінального утримувача </w:t>
            </w:r>
            <w:r w:rsidR="005110FB" w:rsidRPr="00286216">
              <w:rPr>
                <w:color w:val="000000" w:themeColor="text1"/>
              </w:rPr>
              <w:t>у</w:t>
            </w:r>
            <w:r w:rsidRPr="00286216">
              <w:rPr>
                <w:color w:val="000000" w:themeColor="text1"/>
              </w:rPr>
              <w:t xml:space="preserve"> </w:t>
            </w:r>
            <w:r w:rsidR="005110FB" w:rsidRPr="00286216">
              <w:rPr>
                <w:color w:val="000000" w:themeColor="text1"/>
              </w:rPr>
              <w:t>в</w:t>
            </w:r>
            <w:r w:rsidRPr="00286216">
              <w:rPr>
                <w:color w:val="000000" w:themeColor="text1"/>
              </w:rPr>
              <w:t>становленому законодавством порядку) такого власника.</w:t>
            </w:r>
          </w:p>
        </w:tc>
      </w:tr>
      <w:tr w:rsidR="00F77E8D" w:rsidRPr="00286216" w14:paraId="10C16973" w14:textId="77777777" w:rsidTr="00091AA5">
        <w:tc>
          <w:tcPr>
            <w:tcW w:w="576" w:type="dxa"/>
          </w:tcPr>
          <w:p w14:paraId="1A94B568" w14:textId="77777777" w:rsidR="004B55AD" w:rsidRPr="00286216" w:rsidRDefault="004B55AD" w:rsidP="004B55AD">
            <w:pPr>
              <w:pStyle w:val="StyleWisnow"/>
              <w:rPr>
                <w:color w:val="000000" w:themeColor="text1"/>
              </w:rPr>
            </w:pPr>
            <w:bookmarkStart w:id="258" w:name="n252" w:colFirst="0" w:colLast="0"/>
            <w:bookmarkEnd w:id="257"/>
            <w:r w:rsidRPr="00286216">
              <w:rPr>
                <w:color w:val="000000" w:themeColor="text1"/>
              </w:rPr>
              <w:t>252.</w:t>
            </w:r>
          </w:p>
        </w:tc>
        <w:tc>
          <w:tcPr>
            <w:tcW w:w="4818" w:type="dxa"/>
          </w:tcPr>
          <w:p w14:paraId="56000D7A" w14:textId="77777777" w:rsidR="004B55AD" w:rsidRPr="00286216" w:rsidRDefault="004B55AD" w:rsidP="004B55AD">
            <w:pPr>
              <w:pStyle w:val="StyleZakonu"/>
              <w:rPr>
                <w:color w:val="000000" w:themeColor="text1"/>
              </w:rPr>
            </w:pPr>
            <w:r w:rsidRPr="00286216">
              <w:rPr>
                <w:color w:val="000000" w:themeColor="text1"/>
              </w:rPr>
              <w:t>4. Право власності на ордерний цінний папір переходить іншій особі шляхом вчинення на ордерному цінному папері передавального запису (індосаменту). Індосамент може бути бланковим (на пред’явника) -без зазначення особи, стосовно якої повинні бути виконані зобов’язання, або повним (іменним) -із зазначенням такої особи.</w:t>
            </w:r>
          </w:p>
        </w:tc>
        <w:tc>
          <w:tcPr>
            <w:tcW w:w="3686" w:type="dxa"/>
          </w:tcPr>
          <w:p w14:paraId="5B11F216" w14:textId="77777777" w:rsidR="004B55AD" w:rsidRPr="00286216" w:rsidRDefault="004B55AD" w:rsidP="004B55AD">
            <w:pPr>
              <w:pStyle w:val="StyleProp"/>
              <w:rPr>
                <w:color w:val="000000" w:themeColor="text1"/>
                <w:szCs w:val="18"/>
              </w:rPr>
            </w:pPr>
          </w:p>
        </w:tc>
        <w:tc>
          <w:tcPr>
            <w:tcW w:w="1987" w:type="dxa"/>
          </w:tcPr>
          <w:p w14:paraId="5A811DFE" w14:textId="77777777" w:rsidR="004B55AD" w:rsidRPr="00286216" w:rsidRDefault="004B55AD" w:rsidP="004B55AD">
            <w:pPr>
              <w:pStyle w:val="StyleWisnow"/>
              <w:rPr>
                <w:color w:val="000000" w:themeColor="text1"/>
              </w:rPr>
            </w:pPr>
          </w:p>
        </w:tc>
        <w:tc>
          <w:tcPr>
            <w:tcW w:w="4818" w:type="dxa"/>
          </w:tcPr>
          <w:p w14:paraId="2668779C" w14:textId="41613E00" w:rsidR="004B55AD" w:rsidRPr="00286216" w:rsidRDefault="004B55AD" w:rsidP="005110FB">
            <w:pPr>
              <w:pStyle w:val="StyleZakonu"/>
              <w:rPr>
                <w:color w:val="000000" w:themeColor="text1"/>
              </w:rPr>
            </w:pPr>
            <w:r w:rsidRPr="00286216">
              <w:rPr>
                <w:color w:val="000000" w:themeColor="text1"/>
              </w:rPr>
              <w:t xml:space="preserve">4. Право власності на ордерний цінний папір переходить іншій особі шляхом вчинення на ордерному цінному папері передавального </w:t>
            </w:r>
            <w:r w:rsidR="005110FB" w:rsidRPr="00286216">
              <w:rPr>
                <w:color w:val="000000" w:themeColor="text1"/>
              </w:rPr>
              <w:t>н</w:t>
            </w:r>
            <w:r w:rsidRPr="00286216">
              <w:rPr>
                <w:color w:val="000000" w:themeColor="text1"/>
              </w:rPr>
              <w:t>апису (індосаменту). Індосамент може бути бланковим (на пред’явника) – без зазначення особи, стосовно якої повинні бути виконані зобов’язання, або повним (іменним) – із зазначенням такої особи.</w:t>
            </w:r>
          </w:p>
        </w:tc>
      </w:tr>
      <w:tr w:rsidR="00F77E8D" w:rsidRPr="00286216" w14:paraId="0734192D" w14:textId="77777777" w:rsidTr="00091AA5">
        <w:tc>
          <w:tcPr>
            <w:tcW w:w="576" w:type="dxa"/>
          </w:tcPr>
          <w:p w14:paraId="66F72915" w14:textId="77777777" w:rsidR="004B55AD" w:rsidRPr="00286216" w:rsidRDefault="004B55AD" w:rsidP="004B55AD">
            <w:pPr>
              <w:pStyle w:val="StyleWisnow"/>
              <w:rPr>
                <w:color w:val="000000" w:themeColor="text1"/>
              </w:rPr>
            </w:pPr>
            <w:bookmarkStart w:id="259" w:name="n253" w:colFirst="0" w:colLast="0"/>
            <w:bookmarkEnd w:id="258"/>
            <w:r w:rsidRPr="00286216">
              <w:rPr>
                <w:color w:val="000000" w:themeColor="text1"/>
              </w:rPr>
              <w:t>253.</w:t>
            </w:r>
          </w:p>
        </w:tc>
        <w:tc>
          <w:tcPr>
            <w:tcW w:w="4818" w:type="dxa"/>
          </w:tcPr>
          <w:p w14:paraId="32EFEF55" w14:textId="77777777" w:rsidR="004B55AD" w:rsidRPr="00286216" w:rsidRDefault="004B55AD" w:rsidP="004B55AD">
            <w:pPr>
              <w:pStyle w:val="StyleZakonu"/>
              <w:rPr>
                <w:color w:val="000000" w:themeColor="text1"/>
              </w:rPr>
            </w:pPr>
            <w:r w:rsidRPr="00286216">
              <w:rPr>
                <w:color w:val="000000" w:themeColor="text1"/>
              </w:rPr>
              <w:t xml:space="preserve">5. Особливості переходу прав на цінні папери та прав за цінними паперами встановлюються </w:t>
            </w:r>
            <w:r w:rsidRPr="00286216">
              <w:rPr>
                <w:color w:val="000000" w:themeColor="text1"/>
              </w:rPr>
              <w:lastRenderedPageBreak/>
              <w:t>Національною комісією з цінних паперів та фондового ринку та/або правочином щодо таких цінних паперів.</w:t>
            </w:r>
          </w:p>
        </w:tc>
        <w:tc>
          <w:tcPr>
            <w:tcW w:w="3686" w:type="dxa"/>
          </w:tcPr>
          <w:p w14:paraId="39BD6E84" w14:textId="77777777" w:rsidR="004B55AD" w:rsidRPr="00286216" w:rsidRDefault="004B55AD" w:rsidP="004B55AD">
            <w:pPr>
              <w:pStyle w:val="StyleProp"/>
              <w:rPr>
                <w:color w:val="000000" w:themeColor="text1"/>
                <w:szCs w:val="18"/>
              </w:rPr>
            </w:pPr>
          </w:p>
        </w:tc>
        <w:tc>
          <w:tcPr>
            <w:tcW w:w="1987" w:type="dxa"/>
          </w:tcPr>
          <w:p w14:paraId="3345813D" w14:textId="77777777" w:rsidR="004B55AD" w:rsidRPr="00286216" w:rsidRDefault="004B55AD" w:rsidP="004B55AD">
            <w:pPr>
              <w:pStyle w:val="StyleWisnow"/>
              <w:rPr>
                <w:color w:val="000000" w:themeColor="text1"/>
              </w:rPr>
            </w:pPr>
          </w:p>
        </w:tc>
        <w:tc>
          <w:tcPr>
            <w:tcW w:w="4818" w:type="dxa"/>
          </w:tcPr>
          <w:p w14:paraId="0C7BDF59" w14:textId="77777777" w:rsidR="004B55AD" w:rsidRPr="00286216" w:rsidRDefault="004B55AD" w:rsidP="004B55AD">
            <w:pPr>
              <w:pStyle w:val="StyleZakonu"/>
              <w:rPr>
                <w:color w:val="000000" w:themeColor="text1"/>
              </w:rPr>
            </w:pPr>
            <w:r w:rsidRPr="00286216">
              <w:rPr>
                <w:color w:val="000000" w:themeColor="text1"/>
              </w:rPr>
              <w:t xml:space="preserve">5. Особливості переходу прав на цінні папери та прав за цінними паперами встановлюються </w:t>
            </w:r>
            <w:r w:rsidRPr="00286216">
              <w:rPr>
                <w:color w:val="000000" w:themeColor="text1"/>
              </w:rPr>
              <w:lastRenderedPageBreak/>
              <w:t>Національною комісією з цінних паперів та фондового ринку та/або правочином щодо таких цінних паперів.</w:t>
            </w:r>
          </w:p>
        </w:tc>
      </w:tr>
      <w:tr w:rsidR="00F77E8D" w:rsidRPr="00286216" w14:paraId="6C1CC8A6" w14:textId="77777777" w:rsidTr="00091AA5">
        <w:tc>
          <w:tcPr>
            <w:tcW w:w="576" w:type="dxa"/>
          </w:tcPr>
          <w:p w14:paraId="74B67D88" w14:textId="77777777" w:rsidR="004B55AD" w:rsidRPr="00286216" w:rsidRDefault="004B55AD" w:rsidP="004B55AD">
            <w:pPr>
              <w:pStyle w:val="StyleWisnow"/>
              <w:rPr>
                <w:color w:val="000000" w:themeColor="text1"/>
              </w:rPr>
            </w:pPr>
            <w:bookmarkStart w:id="260" w:name="n254" w:colFirst="0" w:colLast="0"/>
            <w:bookmarkEnd w:id="259"/>
            <w:r w:rsidRPr="00286216">
              <w:rPr>
                <w:color w:val="000000" w:themeColor="text1"/>
              </w:rPr>
              <w:lastRenderedPageBreak/>
              <w:t>254.</w:t>
            </w:r>
          </w:p>
        </w:tc>
        <w:tc>
          <w:tcPr>
            <w:tcW w:w="4818" w:type="dxa"/>
          </w:tcPr>
          <w:p w14:paraId="17FAAE5D" w14:textId="77777777" w:rsidR="004B55AD" w:rsidRPr="00286216" w:rsidRDefault="004B55AD" w:rsidP="004B55AD">
            <w:pPr>
              <w:pStyle w:val="StyleZakonu"/>
              <w:rPr>
                <w:color w:val="000000" w:themeColor="text1"/>
              </w:rPr>
            </w:pPr>
            <w:r w:rsidRPr="00286216">
              <w:rPr>
                <w:color w:val="000000" w:themeColor="text1"/>
              </w:rPr>
              <w:t>Стаття 8. Виконання зобов’язань за цінним папером</w:t>
            </w:r>
          </w:p>
        </w:tc>
        <w:tc>
          <w:tcPr>
            <w:tcW w:w="3686" w:type="dxa"/>
          </w:tcPr>
          <w:p w14:paraId="06FFE541" w14:textId="0353EDA3"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234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20A9C52" w14:textId="77777777" w:rsidR="004B55AD" w:rsidRPr="00286216" w:rsidRDefault="004B55AD" w:rsidP="004B55AD">
            <w:pPr>
              <w:pStyle w:val="StyleProp"/>
              <w:rPr>
                <w:color w:val="000000" w:themeColor="text1"/>
                <w:spacing w:val="-3"/>
                <w:szCs w:val="18"/>
              </w:rPr>
            </w:pPr>
            <w:r w:rsidRPr="00286216">
              <w:rPr>
                <w:color w:val="000000" w:themeColor="text1"/>
                <w:spacing w:val="-3"/>
                <w:szCs w:val="18"/>
              </w:rPr>
              <w:t>Статтю 8 викласти у такій редакції:</w:t>
            </w:r>
          </w:p>
          <w:p w14:paraId="20D3F25B" w14:textId="18D4D624" w:rsidR="004B55AD" w:rsidRPr="00286216" w:rsidRDefault="004B55AD" w:rsidP="004B55AD">
            <w:pPr>
              <w:pStyle w:val="StyleProp"/>
              <w:rPr>
                <w:color w:val="000000" w:themeColor="text1"/>
                <w:spacing w:val="-3"/>
                <w:szCs w:val="18"/>
              </w:rPr>
            </w:pPr>
            <w:r w:rsidRPr="00286216">
              <w:rPr>
                <w:color w:val="000000" w:themeColor="text1"/>
              </w:rPr>
              <w:t xml:space="preserve">"Стаття </w:t>
            </w:r>
            <w:r w:rsidRPr="00286216">
              <w:rPr>
                <w:color w:val="000000" w:themeColor="text1"/>
                <w:lang w:val="ru-RU"/>
              </w:rPr>
              <w:t>36</w:t>
            </w:r>
            <w:r w:rsidRPr="00286216">
              <w:rPr>
                <w:color w:val="000000" w:themeColor="text1"/>
              </w:rPr>
              <w:t>. Особливості укладення та виконання деривативних контрактів та правочинів щодо фінансових інструментів</w:t>
            </w:r>
          </w:p>
        </w:tc>
        <w:tc>
          <w:tcPr>
            <w:tcW w:w="1987" w:type="dxa"/>
          </w:tcPr>
          <w:p w14:paraId="7E053E6F"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2A391D10" w14:textId="20832182" w:rsidR="004B55AD" w:rsidRPr="00286216" w:rsidRDefault="004B55AD" w:rsidP="004B55AD">
            <w:pPr>
              <w:pStyle w:val="StyleZakonu"/>
              <w:rPr>
                <w:color w:val="000000" w:themeColor="text1"/>
              </w:rPr>
            </w:pPr>
            <w:r w:rsidRPr="00286216">
              <w:rPr>
                <w:color w:val="000000" w:themeColor="text1"/>
              </w:rPr>
              <w:t xml:space="preserve">Стаття </w:t>
            </w:r>
            <w:r w:rsidRPr="00286216">
              <w:rPr>
                <w:color w:val="000000" w:themeColor="text1"/>
                <w:lang w:val="ru-RU"/>
              </w:rPr>
              <w:t>36</w:t>
            </w:r>
            <w:r w:rsidRPr="00286216">
              <w:rPr>
                <w:color w:val="000000" w:themeColor="text1"/>
              </w:rPr>
              <w:t>. Особливості укладення та виконання деривативних контрактів та правочинів щодо фінансових інструментів</w:t>
            </w:r>
          </w:p>
        </w:tc>
      </w:tr>
      <w:bookmarkEnd w:id="260"/>
      <w:tr w:rsidR="00F77E8D" w:rsidRPr="00286216" w14:paraId="5A3BD312" w14:textId="77777777" w:rsidTr="00091AA5">
        <w:tc>
          <w:tcPr>
            <w:tcW w:w="576" w:type="dxa"/>
          </w:tcPr>
          <w:p w14:paraId="274A8057" w14:textId="77777777" w:rsidR="004B55AD" w:rsidRPr="00286216" w:rsidRDefault="004B55AD" w:rsidP="004B55AD">
            <w:pPr>
              <w:pStyle w:val="StyleWisnow"/>
              <w:rPr>
                <w:color w:val="000000" w:themeColor="text1"/>
              </w:rPr>
            </w:pPr>
          </w:p>
        </w:tc>
        <w:tc>
          <w:tcPr>
            <w:tcW w:w="4818" w:type="dxa"/>
          </w:tcPr>
          <w:p w14:paraId="702A6324" w14:textId="77777777" w:rsidR="004B55AD" w:rsidRPr="00286216" w:rsidRDefault="004B55AD" w:rsidP="004B55AD">
            <w:pPr>
              <w:pStyle w:val="StyleZakonu"/>
              <w:rPr>
                <w:color w:val="000000" w:themeColor="text1"/>
              </w:rPr>
            </w:pPr>
          </w:p>
        </w:tc>
        <w:tc>
          <w:tcPr>
            <w:tcW w:w="3686" w:type="dxa"/>
          </w:tcPr>
          <w:p w14:paraId="252A5E9B" w14:textId="77777777" w:rsidR="004B55AD" w:rsidRPr="00286216" w:rsidRDefault="004B55AD" w:rsidP="007A4B3F">
            <w:pPr>
              <w:pStyle w:val="StyleProp"/>
              <w:spacing w:line="180" w:lineRule="exact"/>
              <w:rPr>
                <w:color w:val="000000" w:themeColor="text1"/>
              </w:rPr>
            </w:pPr>
            <w:r w:rsidRPr="00286216">
              <w:rPr>
                <w:color w:val="000000" w:themeColor="text1"/>
              </w:rPr>
              <w:t>1. Деривативні контракти та правочини щодо фінансових інструментів, що укладаються  на організованому ринку капіталу, вважаються укладеними з моменту фіксації оператором організованого ринку капіталу факту укладення контракту (вчинення правочину) відповідно до правил функціонування такого організованого ринку капіталу.</w:t>
            </w:r>
          </w:p>
        </w:tc>
        <w:tc>
          <w:tcPr>
            <w:tcW w:w="1987" w:type="dxa"/>
          </w:tcPr>
          <w:p w14:paraId="657C23F8" w14:textId="77777777" w:rsidR="004B55AD" w:rsidRPr="00286216" w:rsidRDefault="004B55AD" w:rsidP="004B55AD">
            <w:pPr>
              <w:pStyle w:val="StyleWisnow"/>
              <w:rPr>
                <w:color w:val="000000" w:themeColor="text1"/>
              </w:rPr>
            </w:pPr>
          </w:p>
        </w:tc>
        <w:tc>
          <w:tcPr>
            <w:tcW w:w="4818" w:type="dxa"/>
          </w:tcPr>
          <w:p w14:paraId="667CBBC1" w14:textId="77777777" w:rsidR="004B55AD" w:rsidRPr="00286216" w:rsidRDefault="004B55AD" w:rsidP="007A4B3F">
            <w:pPr>
              <w:pStyle w:val="StyleZakonu"/>
              <w:spacing w:after="0"/>
              <w:rPr>
                <w:color w:val="000000" w:themeColor="text1"/>
              </w:rPr>
            </w:pPr>
            <w:r w:rsidRPr="00286216">
              <w:rPr>
                <w:color w:val="000000" w:themeColor="text1"/>
              </w:rPr>
              <w:t>1. Деривативні контракти та правочини щодо фінансових інструментів, що укладаються  на організованому ринку капіталу, вважаються укладеними з моменту фіксації оператором організованого ринку капіталу факту укладення контракту (вчинення правочину) відповідно до правил функціонування такого організованого ринку капіталу.</w:t>
            </w:r>
          </w:p>
        </w:tc>
      </w:tr>
      <w:tr w:rsidR="00F77E8D" w:rsidRPr="00286216" w14:paraId="3807BDAB" w14:textId="77777777" w:rsidTr="00091AA5">
        <w:tc>
          <w:tcPr>
            <w:tcW w:w="576" w:type="dxa"/>
          </w:tcPr>
          <w:p w14:paraId="441D5253" w14:textId="77777777" w:rsidR="004B55AD" w:rsidRPr="00286216" w:rsidRDefault="004B55AD" w:rsidP="004B55AD">
            <w:pPr>
              <w:pStyle w:val="StyleWisnow"/>
              <w:rPr>
                <w:color w:val="000000" w:themeColor="text1"/>
              </w:rPr>
            </w:pPr>
          </w:p>
        </w:tc>
        <w:tc>
          <w:tcPr>
            <w:tcW w:w="4818" w:type="dxa"/>
          </w:tcPr>
          <w:p w14:paraId="33EC0C80" w14:textId="77777777" w:rsidR="004B55AD" w:rsidRPr="00286216" w:rsidRDefault="004B55AD" w:rsidP="004B55AD">
            <w:pPr>
              <w:pStyle w:val="StyleZakonu"/>
              <w:rPr>
                <w:color w:val="000000" w:themeColor="text1"/>
              </w:rPr>
            </w:pPr>
          </w:p>
        </w:tc>
        <w:tc>
          <w:tcPr>
            <w:tcW w:w="3686" w:type="dxa"/>
          </w:tcPr>
          <w:p w14:paraId="01A855E2" w14:textId="77777777" w:rsidR="004B55AD" w:rsidRPr="00286216" w:rsidRDefault="004B55AD" w:rsidP="007A4B3F">
            <w:pPr>
              <w:pStyle w:val="StyleProp"/>
              <w:spacing w:line="180" w:lineRule="exact"/>
              <w:rPr>
                <w:color w:val="000000" w:themeColor="text1"/>
              </w:rPr>
            </w:pPr>
            <w:r w:rsidRPr="00286216">
              <w:rPr>
                <w:color w:val="000000" w:themeColor="text1"/>
              </w:rPr>
              <w:t>Зазначений контракт (правочин) не може бути розірваний, крім випадків, передбачених таким контрактом (правочином) або законом.</w:t>
            </w:r>
          </w:p>
        </w:tc>
        <w:tc>
          <w:tcPr>
            <w:tcW w:w="1987" w:type="dxa"/>
          </w:tcPr>
          <w:p w14:paraId="31F3683D" w14:textId="77777777" w:rsidR="004B55AD" w:rsidRPr="00286216" w:rsidRDefault="004B55AD" w:rsidP="004B55AD">
            <w:pPr>
              <w:pStyle w:val="StyleWisnow"/>
              <w:rPr>
                <w:color w:val="000000" w:themeColor="text1"/>
              </w:rPr>
            </w:pPr>
          </w:p>
        </w:tc>
        <w:tc>
          <w:tcPr>
            <w:tcW w:w="4818" w:type="dxa"/>
          </w:tcPr>
          <w:p w14:paraId="61F2BB49" w14:textId="77777777" w:rsidR="004B55AD" w:rsidRPr="00286216" w:rsidRDefault="004B55AD" w:rsidP="004B55AD">
            <w:pPr>
              <w:pStyle w:val="StyleZakonu"/>
              <w:rPr>
                <w:color w:val="000000" w:themeColor="text1"/>
              </w:rPr>
            </w:pPr>
            <w:r w:rsidRPr="00286216">
              <w:rPr>
                <w:color w:val="000000" w:themeColor="text1"/>
              </w:rPr>
              <w:t>Зазначений контракт (правочин) не може бути розірваний, крім випадків, передбачених таким контрактом (правочином) або законом.</w:t>
            </w:r>
          </w:p>
        </w:tc>
      </w:tr>
      <w:tr w:rsidR="00F77E8D" w:rsidRPr="00286216" w14:paraId="51572C90" w14:textId="77777777" w:rsidTr="00091AA5">
        <w:tc>
          <w:tcPr>
            <w:tcW w:w="576" w:type="dxa"/>
          </w:tcPr>
          <w:p w14:paraId="1C0418B3" w14:textId="77777777" w:rsidR="004B55AD" w:rsidRPr="00286216" w:rsidRDefault="004B55AD" w:rsidP="004B55AD">
            <w:pPr>
              <w:pStyle w:val="StyleWisnow"/>
              <w:rPr>
                <w:color w:val="000000" w:themeColor="text1"/>
              </w:rPr>
            </w:pPr>
          </w:p>
        </w:tc>
        <w:tc>
          <w:tcPr>
            <w:tcW w:w="4818" w:type="dxa"/>
          </w:tcPr>
          <w:p w14:paraId="64343AC1" w14:textId="77777777" w:rsidR="004B55AD" w:rsidRPr="00286216" w:rsidRDefault="004B55AD" w:rsidP="004B55AD">
            <w:pPr>
              <w:pStyle w:val="StyleZakonu"/>
              <w:rPr>
                <w:color w:val="000000" w:themeColor="text1"/>
              </w:rPr>
            </w:pPr>
          </w:p>
        </w:tc>
        <w:tc>
          <w:tcPr>
            <w:tcW w:w="3686" w:type="dxa"/>
          </w:tcPr>
          <w:p w14:paraId="42BEF300" w14:textId="4174D853" w:rsidR="004B55AD" w:rsidRPr="00286216" w:rsidRDefault="004B55AD" w:rsidP="007A4B3F">
            <w:pPr>
              <w:pStyle w:val="StyleProp"/>
              <w:spacing w:line="180" w:lineRule="exact"/>
              <w:rPr>
                <w:color w:val="000000" w:themeColor="text1"/>
              </w:rPr>
            </w:pPr>
            <w:r w:rsidRPr="00286216">
              <w:rPr>
                <w:color w:val="000000" w:themeColor="text1"/>
              </w:rPr>
              <w:t>2. Максимальні строки виконання договорів купівлі-продажу цінних паперів, укладених на організованих ринках капіталу, встановлюються Національною комісією з цінних паперів та фондового ринку.</w:t>
            </w:r>
          </w:p>
        </w:tc>
        <w:tc>
          <w:tcPr>
            <w:tcW w:w="1987" w:type="dxa"/>
          </w:tcPr>
          <w:p w14:paraId="327D2EA1" w14:textId="77777777" w:rsidR="004B55AD" w:rsidRPr="00286216" w:rsidRDefault="004B55AD" w:rsidP="004B55AD">
            <w:pPr>
              <w:pStyle w:val="StyleWisnow"/>
              <w:rPr>
                <w:color w:val="000000" w:themeColor="text1"/>
              </w:rPr>
            </w:pPr>
          </w:p>
        </w:tc>
        <w:tc>
          <w:tcPr>
            <w:tcW w:w="4818" w:type="dxa"/>
          </w:tcPr>
          <w:p w14:paraId="077291FC" w14:textId="77777777" w:rsidR="004B55AD" w:rsidRPr="00286216" w:rsidRDefault="004B55AD" w:rsidP="007A4B3F">
            <w:pPr>
              <w:pStyle w:val="StyleZakonu"/>
              <w:spacing w:after="0"/>
              <w:rPr>
                <w:color w:val="000000" w:themeColor="text1"/>
              </w:rPr>
            </w:pPr>
            <w:r w:rsidRPr="00286216">
              <w:rPr>
                <w:color w:val="000000" w:themeColor="text1"/>
              </w:rPr>
              <w:t>2. Максимальні строки виконання договорів купівлі-продажу цінних паперів, укладених на організованих ринках капіталу, встановлюються Національною комісією з цінних паперів та фондового ринку.</w:t>
            </w:r>
          </w:p>
        </w:tc>
      </w:tr>
      <w:tr w:rsidR="00F77E8D" w:rsidRPr="00286216" w14:paraId="38F8DE50" w14:textId="77777777" w:rsidTr="00091AA5">
        <w:tc>
          <w:tcPr>
            <w:tcW w:w="576" w:type="dxa"/>
          </w:tcPr>
          <w:p w14:paraId="18557D1C" w14:textId="77777777" w:rsidR="004B55AD" w:rsidRPr="00286216" w:rsidRDefault="004B55AD" w:rsidP="004B55AD">
            <w:pPr>
              <w:pStyle w:val="StyleWisnow"/>
              <w:rPr>
                <w:color w:val="000000" w:themeColor="text1"/>
              </w:rPr>
            </w:pPr>
          </w:p>
        </w:tc>
        <w:tc>
          <w:tcPr>
            <w:tcW w:w="4818" w:type="dxa"/>
          </w:tcPr>
          <w:p w14:paraId="22AD6B1F" w14:textId="77777777" w:rsidR="004B55AD" w:rsidRPr="00286216" w:rsidRDefault="004B55AD" w:rsidP="004B55AD">
            <w:pPr>
              <w:pStyle w:val="StyleZakonu"/>
              <w:rPr>
                <w:color w:val="000000" w:themeColor="text1"/>
              </w:rPr>
            </w:pPr>
          </w:p>
        </w:tc>
        <w:tc>
          <w:tcPr>
            <w:tcW w:w="3686" w:type="dxa"/>
          </w:tcPr>
          <w:p w14:paraId="71F356D4" w14:textId="43605BCC" w:rsidR="004B55AD" w:rsidRPr="00286216" w:rsidRDefault="004B55AD" w:rsidP="007A4B3F">
            <w:pPr>
              <w:pStyle w:val="StyleProp"/>
              <w:spacing w:line="180" w:lineRule="exact"/>
              <w:rPr>
                <w:color w:val="000000" w:themeColor="text1"/>
              </w:rPr>
            </w:pPr>
            <w:r w:rsidRPr="00286216">
              <w:rPr>
                <w:color w:val="000000" w:themeColor="text1"/>
              </w:rPr>
              <w:t xml:space="preserve">3. Припинення зобов’язання за емісійними цінними паперами здійснюється, зокрема, шляхом їх погашення. Відповідно до проспекту (рішення про емісію) погашення здійснюється </w:t>
            </w:r>
          </w:p>
        </w:tc>
        <w:tc>
          <w:tcPr>
            <w:tcW w:w="1987" w:type="dxa"/>
          </w:tcPr>
          <w:p w14:paraId="1F5709AA" w14:textId="77777777" w:rsidR="004B55AD" w:rsidRPr="00286216" w:rsidRDefault="004B55AD" w:rsidP="004B55AD">
            <w:pPr>
              <w:pStyle w:val="StyleWisnow"/>
              <w:rPr>
                <w:color w:val="000000" w:themeColor="text1"/>
              </w:rPr>
            </w:pPr>
          </w:p>
        </w:tc>
        <w:tc>
          <w:tcPr>
            <w:tcW w:w="4818" w:type="dxa"/>
          </w:tcPr>
          <w:p w14:paraId="691A81F7" w14:textId="06DAADB3" w:rsidR="004B55AD" w:rsidRPr="00286216" w:rsidRDefault="004B55AD" w:rsidP="004B55AD">
            <w:pPr>
              <w:pStyle w:val="StyleZakonu"/>
              <w:rPr>
                <w:color w:val="000000" w:themeColor="text1"/>
              </w:rPr>
            </w:pPr>
            <w:r w:rsidRPr="00286216">
              <w:rPr>
                <w:color w:val="000000" w:themeColor="text1"/>
              </w:rPr>
              <w:t>3. Припинення зобов’язання за емісійними цінними паперами здійснюється, зокрема, шляхом їх погашення. Відповідно до проспекту (рішення про емісію) погашення здійснюється</w:t>
            </w:r>
            <w:r w:rsidR="00873413" w:rsidRPr="00286216">
              <w:rPr>
                <w:color w:val="000000" w:themeColor="text1"/>
              </w:rPr>
              <w:t>:</w:t>
            </w:r>
          </w:p>
        </w:tc>
      </w:tr>
      <w:tr w:rsidR="00F77E8D" w:rsidRPr="00286216" w14:paraId="6F37EA2D" w14:textId="77777777" w:rsidTr="00091AA5">
        <w:tc>
          <w:tcPr>
            <w:tcW w:w="576" w:type="dxa"/>
          </w:tcPr>
          <w:p w14:paraId="3E756706" w14:textId="77777777" w:rsidR="004B55AD" w:rsidRPr="00286216" w:rsidRDefault="004B55AD" w:rsidP="004B55AD">
            <w:pPr>
              <w:pStyle w:val="StyleWisnow"/>
              <w:rPr>
                <w:color w:val="000000" w:themeColor="text1"/>
              </w:rPr>
            </w:pPr>
          </w:p>
        </w:tc>
        <w:tc>
          <w:tcPr>
            <w:tcW w:w="4818" w:type="dxa"/>
          </w:tcPr>
          <w:p w14:paraId="38FE215B" w14:textId="77777777" w:rsidR="004B55AD" w:rsidRPr="00286216" w:rsidRDefault="004B55AD" w:rsidP="004B55AD">
            <w:pPr>
              <w:pStyle w:val="StyleZakonu"/>
              <w:rPr>
                <w:color w:val="000000" w:themeColor="text1"/>
              </w:rPr>
            </w:pPr>
          </w:p>
        </w:tc>
        <w:tc>
          <w:tcPr>
            <w:tcW w:w="3686" w:type="dxa"/>
          </w:tcPr>
          <w:p w14:paraId="0852612D" w14:textId="115B5801" w:rsidR="004B55AD" w:rsidRPr="00286216" w:rsidRDefault="004B55AD" w:rsidP="007A4B3F">
            <w:pPr>
              <w:pStyle w:val="StyleProp"/>
              <w:spacing w:line="180" w:lineRule="exact"/>
              <w:rPr>
                <w:color w:val="000000" w:themeColor="text1"/>
              </w:rPr>
            </w:pPr>
            <w:r w:rsidRPr="00286216">
              <w:rPr>
                <w:color w:val="000000" w:themeColor="text1"/>
              </w:rPr>
              <w:t>1) виплатою власникам таких цінних паперів їх номінальної вартості та доходу за такими цінними паперами;</w:t>
            </w:r>
          </w:p>
        </w:tc>
        <w:tc>
          <w:tcPr>
            <w:tcW w:w="1987" w:type="dxa"/>
          </w:tcPr>
          <w:p w14:paraId="5B66A8E7" w14:textId="77777777" w:rsidR="004B55AD" w:rsidRPr="00286216" w:rsidRDefault="004B55AD" w:rsidP="004B55AD">
            <w:pPr>
              <w:pStyle w:val="StyleWisnow"/>
              <w:rPr>
                <w:color w:val="000000" w:themeColor="text1"/>
              </w:rPr>
            </w:pPr>
          </w:p>
        </w:tc>
        <w:tc>
          <w:tcPr>
            <w:tcW w:w="4818" w:type="dxa"/>
          </w:tcPr>
          <w:p w14:paraId="0C6A908B" w14:textId="75572E4C" w:rsidR="004B55AD" w:rsidRPr="00286216" w:rsidRDefault="004B55AD" w:rsidP="007A4B3F">
            <w:pPr>
              <w:pStyle w:val="StyleZakonu"/>
              <w:spacing w:after="0"/>
              <w:rPr>
                <w:color w:val="000000" w:themeColor="text1"/>
              </w:rPr>
            </w:pPr>
            <w:r w:rsidRPr="00286216">
              <w:rPr>
                <w:color w:val="000000" w:themeColor="text1"/>
              </w:rPr>
              <w:t>1) виплатою власникам таких цінних паперів їх номінальної вартості та доходу за такими цінними паперами;</w:t>
            </w:r>
          </w:p>
        </w:tc>
      </w:tr>
      <w:tr w:rsidR="00F77E8D" w:rsidRPr="00286216" w14:paraId="63748C68" w14:textId="77777777" w:rsidTr="00091AA5">
        <w:tc>
          <w:tcPr>
            <w:tcW w:w="576" w:type="dxa"/>
          </w:tcPr>
          <w:p w14:paraId="4F1FBDB4" w14:textId="77777777" w:rsidR="004B55AD" w:rsidRPr="00286216" w:rsidRDefault="004B55AD" w:rsidP="004B55AD">
            <w:pPr>
              <w:pStyle w:val="StyleWisnow"/>
              <w:rPr>
                <w:color w:val="000000" w:themeColor="text1"/>
              </w:rPr>
            </w:pPr>
          </w:p>
        </w:tc>
        <w:tc>
          <w:tcPr>
            <w:tcW w:w="4818" w:type="dxa"/>
          </w:tcPr>
          <w:p w14:paraId="0FBD77E3" w14:textId="77777777" w:rsidR="004B55AD" w:rsidRPr="00286216" w:rsidRDefault="004B55AD" w:rsidP="004B55AD">
            <w:pPr>
              <w:pStyle w:val="StyleZakonu"/>
              <w:rPr>
                <w:color w:val="000000" w:themeColor="text1"/>
              </w:rPr>
            </w:pPr>
          </w:p>
        </w:tc>
        <w:tc>
          <w:tcPr>
            <w:tcW w:w="3686" w:type="dxa"/>
          </w:tcPr>
          <w:p w14:paraId="72ACFC9B" w14:textId="1053700E" w:rsidR="004B55AD" w:rsidRPr="00286216" w:rsidRDefault="004B55AD" w:rsidP="007A4B3F">
            <w:pPr>
              <w:pStyle w:val="StyleProp"/>
              <w:spacing w:line="180" w:lineRule="exact"/>
              <w:rPr>
                <w:color w:val="000000" w:themeColor="text1"/>
              </w:rPr>
            </w:pPr>
            <w:r w:rsidRPr="00286216">
              <w:rPr>
                <w:color w:val="000000" w:themeColor="text1"/>
              </w:rPr>
              <w:t>2) постачанням (наданням) товарів (послуг);</w:t>
            </w:r>
          </w:p>
        </w:tc>
        <w:tc>
          <w:tcPr>
            <w:tcW w:w="1987" w:type="dxa"/>
          </w:tcPr>
          <w:p w14:paraId="7163A889" w14:textId="77777777" w:rsidR="004B55AD" w:rsidRPr="00286216" w:rsidRDefault="004B55AD" w:rsidP="004B55AD">
            <w:pPr>
              <w:pStyle w:val="StyleWisnow"/>
              <w:rPr>
                <w:color w:val="000000" w:themeColor="text1"/>
              </w:rPr>
            </w:pPr>
          </w:p>
        </w:tc>
        <w:tc>
          <w:tcPr>
            <w:tcW w:w="4818" w:type="dxa"/>
          </w:tcPr>
          <w:p w14:paraId="17459512" w14:textId="402D272F" w:rsidR="004B55AD" w:rsidRPr="00286216" w:rsidRDefault="004B55AD" w:rsidP="007A4B3F">
            <w:pPr>
              <w:pStyle w:val="StyleZakonu"/>
              <w:spacing w:after="0"/>
              <w:rPr>
                <w:color w:val="000000" w:themeColor="text1"/>
              </w:rPr>
            </w:pPr>
            <w:r w:rsidRPr="00286216">
              <w:rPr>
                <w:color w:val="000000" w:themeColor="text1"/>
              </w:rPr>
              <w:t>2) постачанням (наданням) товарів (послуг);</w:t>
            </w:r>
          </w:p>
        </w:tc>
      </w:tr>
      <w:tr w:rsidR="00F77E8D" w:rsidRPr="00286216" w14:paraId="02D182C3" w14:textId="77777777" w:rsidTr="00091AA5">
        <w:tc>
          <w:tcPr>
            <w:tcW w:w="576" w:type="dxa"/>
          </w:tcPr>
          <w:p w14:paraId="093B6CD1" w14:textId="77777777" w:rsidR="004B55AD" w:rsidRPr="00286216" w:rsidRDefault="004B55AD" w:rsidP="004B55AD">
            <w:pPr>
              <w:pStyle w:val="StyleWisnow"/>
              <w:rPr>
                <w:color w:val="000000" w:themeColor="text1"/>
              </w:rPr>
            </w:pPr>
          </w:p>
        </w:tc>
        <w:tc>
          <w:tcPr>
            <w:tcW w:w="4818" w:type="dxa"/>
          </w:tcPr>
          <w:p w14:paraId="47CA4B24" w14:textId="77777777" w:rsidR="004B55AD" w:rsidRPr="00286216" w:rsidRDefault="004B55AD" w:rsidP="004B55AD">
            <w:pPr>
              <w:pStyle w:val="StyleZakonu"/>
              <w:rPr>
                <w:color w:val="000000" w:themeColor="text1"/>
              </w:rPr>
            </w:pPr>
          </w:p>
        </w:tc>
        <w:tc>
          <w:tcPr>
            <w:tcW w:w="3686" w:type="dxa"/>
          </w:tcPr>
          <w:p w14:paraId="1F535716" w14:textId="0CAD475A" w:rsidR="004B55AD" w:rsidRPr="00286216" w:rsidRDefault="004B55AD" w:rsidP="007A4B3F">
            <w:pPr>
              <w:pStyle w:val="StyleProp"/>
              <w:spacing w:line="180" w:lineRule="exact"/>
              <w:rPr>
                <w:color w:val="000000" w:themeColor="text1"/>
              </w:rPr>
            </w:pPr>
            <w:r w:rsidRPr="00286216">
              <w:rPr>
                <w:color w:val="000000" w:themeColor="text1"/>
              </w:rPr>
              <w:t>3) конвертацією таких цінних паперів у строки, передбачені проспектом (рішенням про емісію);</w:t>
            </w:r>
          </w:p>
          <w:p w14:paraId="36B18D47" w14:textId="5B40B358" w:rsidR="004B55AD" w:rsidRPr="00286216" w:rsidRDefault="004B55AD" w:rsidP="007A4B3F">
            <w:pPr>
              <w:pStyle w:val="StyleProp"/>
              <w:spacing w:line="180" w:lineRule="exact"/>
              <w:rPr>
                <w:color w:val="000000" w:themeColor="text1"/>
              </w:rPr>
            </w:pPr>
            <w:r w:rsidRPr="00286216">
              <w:rPr>
                <w:color w:val="000000" w:themeColor="text1"/>
              </w:rPr>
              <w:t>4) в інший спосіб, передбачений проспектом (рішенням про емісію).</w:t>
            </w:r>
          </w:p>
        </w:tc>
        <w:tc>
          <w:tcPr>
            <w:tcW w:w="1987" w:type="dxa"/>
          </w:tcPr>
          <w:p w14:paraId="5485B788" w14:textId="77777777" w:rsidR="004B55AD" w:rsidRPr="00286216" w:rsidRDefault="004B55AD" w:rsidP="004B55AD">
            <w:pPr>
              <w:pStyle w:val="StyleWisnow"/>
              <w:rPr>
                <w:color w:val="000000" w:themeColor="text1"/>
              </w:rPr>
            </w:pPr>
          </w:p>
        </w:tc>
        <w:tc>
          <w:tcPr>
            <w:tcW w:w="4818" w:type="dxa"/>
          </w:tcPr>
          <w:p w14:paraId="28FF4082" w14:textId="1EA800ED" w:rsidR="004B55AD" w:rsidRPr="00286216" w:rsidRDefault="004B55AD" w:rsidP="004B55AD">
            <w:pPr>
              <w:pStyle w:val="StyleZakonu"/>
              <w:rPr>
                <w:color w:val="000000" w:themeColor="text1"/>
              </w:rPr>
            </w:pPr>
            <w:r w:rsidRPr="00286216">
              <w:rPr>
                <w:color w:val="000000" w:themeColor="text1"/>
              </w:rPr>
              <w:t>3) конвертацією таких цінних паперів у строки, передбачені проспектом (рішенням про емісію);</w:t>
            </w:r>
          </w:p>
          <w:p w14:paraId="28DEB4F9" w14:textId="1E3B78BC" w:rsidR="004B55AD" w:rsidRPr="00286216" w:rsidRDefault="004B55AD" w:rsidP="004B55AD">
            <w:pPr>
              <w:pStyle w:val="StyleZakonu"/>
              <w:rPr>
                <w:color w:val="000000" w:themeColor="text1"/>
              </w:rPr>
            </w:pPr>
            <w:r w:rsidRPr="00286216">
              <w:rPr>
                <w:color w:val="000000" w:themeColor="text1"/>
              </w:rPr>
              <w:t>4) в інший спосіб, передбачений проспектом (рішенням про емісію).</w:t>
            </w:r>
          </w:p>
        </w:tc>
      </w:tr>
      <w:tr w:rsidR="00F77E8D" w:rsidRPr="00286216" w14:paraId="1D6C4422" w14:textId="77777777" w:rsidTr="00091AA5">
        <w:tc>
          <w:tcPr>
            <w:tcW w:w="576" w:type="dxa"/>
          </w:tcPr>
          <w:p w14:paraId="3A921F33" w14:textId="77777777" w:rsidR="004B55AD" w:rsidRPr="00286216" w:rsidRDefault="004B55AD" w:rsidP="004B55AD">
            <w:pPr>
              <w:pStyle w:val="StyleWisnow"/>
              <w:rPr>
                <w:color w:val="000000" w:themeColor="text1"/>
              </w:rPr>
            </w:pPr>
          </w:p>
        </w:tc>
        <w:tc>
          <w:tcPr>
            <w:tcW w:w="4818" w:type="dxa"/>
          </w:tcPr>
          <w:p w14:paraId="12C3AF64" w14:textId="77777777" w:rsidR="004B55AD" w:rsidRPr="00286216" w:rsidRDefault="004B55AD" w:rsidP="004B55AD">
            <w:pPr>
              <w:pStyle w:val="StyleZakonu"/>
              <w:rPr>
                <w:color w:val="000000" w:themeColor="text1"/>
              </w:rPr>
            </w:pPr>
          </w:p>
        </w:tc>
        <w:tc>
          <w:tcPr>
            <w:tcW w:w="3686" w:type="dxa"/>
          </w:tcPr>
          <w:p w14:paraId="782C3ADC" w14:textId="30C58ACF" w:rsidR="004B55AD" w:rsidRPr="00286216" w:rsidRDefault="004B55AD" w:rsidP="007A4B3F">
            <w:pPr>
              <w:pStyle w:val="StyleProp"/>
              <w:spacing w:line="180" w:lineRule="exact"/>
              <w:rPr>
                <w:color w:val="000000" w:themeColor="text1"/>
              </w:rPr>
            </w:pPr>
            <w:r w:rsidRPr="00286216">
              <w:rPr>
                <w:color w:val="000000" w:themeColor="text1"/>
              </w:rPr>
              <w:t>В разі повного виконання зобов’язань або припинення таких зобов’язань іншим способом, передбаченим законом, реєстрація випуску таких цінних паперів скасовується.</w:t>
            </w:r>
          </w:p>
        </w:tc>
        <w:tc>
          <w:tcPr>
            <w:tcW w:w="1987" w:type="dxa"/>
          </w:tcPr>
          <w:p w14:paraId="53DAF837" w14:textId="77777777" w:rsidR="004B55AD" w:rsidRPr="00286216" w:rsidRDefault="004B55AD" w:rsidP="004B55AD">
            <w:pPr>
              <w:pStyle w:val="StyleWisnow"/>
              <w:rPr>
                <w:color w:val="000000" w:themeColor="text1"/>
              </w:rPr>
            </w:pPr>
          </w:p>
        </w:tc>
        <w:tc>
          <w:tcPr>
            <w:tcW w:w="4818" w:type="dxa"/>
          </w:tcPr>
          <w:p w14:paraId="12713E35" w14:textId="17083C8D" w:rsidR="004B55AD" w:rsidRPr="00286216" w:rsidRDefault="004B55AD" w:rsidP="007A4B3F">
            <w:pPr>
              <w:pStyle w:val="StyleZakonu"/>
              <w:spacing w:after="0"/>
              <w:rPr>
                <w:color w:val="000000" w:themeColor="text1"/>
              </w:rPr>
            </w:pPr>
            <w:r w:rsidRPr="00286216">
              <w:rPr>
                <w:color w:val="000000" w:themeColor="text1"/>
              </w:rPr>
              <w:t>У разі повного виконання зобов’язань або припинення таких зобов’язань в інший спосіб, передбачений законом, реєстрація випуску таких цінних паперів скасовується.</w:t>
            </w:r>
          </w:p>
        </w:tc>
      </w:tr>
      <w:tr w:rsidR="00F77E8D" w:rsidRPr="00286216" w14:paraId="21BC98DF" w14:textId="77777777" w:rsidTr="00091AA5">
        <w:tc>
          <w:tcPr>
            <w:tcW w:w="576" w:type="dxa"/>
          </w:tcPr>
          <w:p w14:paraId="5D7E8DC3" w14:textId="77777777" w:rsidR="004B55AD" w:rsidRPr="00286216" w:rsidRDefault="004B55AD" w:rsidP="004B55AD">
            <w:pPr>
              <w:pStyle w:val="StyleWisnow"/>
              <w:rPr>
                <w:color w:val="000000" w:themeColor="text1"/>
              </w:rPr>
            </w:pPr>
          </w:p>
        </w:tc>
        <w:tc>
          <w:tcPr>
            <w:tcW w:w="4818" w:type="dxa"/>
          </w:tcPr>
          <w:p w14:paraId="5B1161A2" w14:textId="77777777" w:rsidR="004B55AD" w:rsidRPr="00286216" w:rsidRDefault="004B55AD" w:rsidP="004B55AD">
            <w:pPr>
              <w:pStyle w:val="StyleZakonu"/>
              <w:rPr>
                <w:color w:val="000000" w:themeColor="text1"/>
              </w:rPr>
            </w:pPr>
          </w:p>
        </w:tc>
        <w:tc>
          <w:tcPr>
            <w:tcW w:w="3686" w:type="dxa"/>
          </w:tcPr>
          <w:p w14:paraId="44DB5DFE" w14:textId="4DCF64A3" w:rsidR="004B55AD" w:rsidRPr="00286216" w:rsidRDefault="004B55AD" w:rsidP="007A4B3F">
            <w:pPr>
              <w:pStyle w:val="StyleProp"/>
              <w:spacing w:line="180" w:lineRule="exact"/>
              <w:rPr>
                <w:color w:val="000000" w:themeColor="text1"/>
              </w:rPr>
            </w:pPr>
            <w:r w:rsidRPr="00286216">
              <w:rPr>
                <w:color w:val="000000" w:themeColor="text1"/>
              </w:rPr>
              <w:t>4. Доходи за емісійними цінними паперами сплачуються у порядку, передбаченому законодавством про депозитарну систему України.</w:t>
            </w:r>
          </w:p>
        </w:tc>
        <w:tc>
          <w:tcPr>
            <w:tcW w:w="1987" w:type="dxa"/>
          </w:tcPr>
          <w:p w14:paraId="2EB1A075" w14:textId="77777777" w:rsidR="004B55AD" w:rsidRPr="00286216" w:rsidRDefault="004B55AD" w:rsidP="004B55AD">
            <w:pPr>
              <w:pStyle w:val="StyleWisnow"/>
              <w:rPr>
                <w:color w:val="000000" w:themeColor="text1"/>
              </w:rPr>
            </w:pPr>
          </w:p>
        </w:tc>
        <w:tc>
          <w:tcPr>
            <w:tcW w:w="4818" w:type="dxa"/>
          </w:tcPr>
          <w:p w14:paraId="6F657168" w14:textId="3D50227A" w:rsidR="004B55AD" w:rsidRPr="00286216" w:rsidRDefault="004B55AD" w:rsidP="00873413">
            <w:pPr>
              <w:pStyle w:val="StyleZakonu"/>
              <w:rPr>
                <w:color w:val="000000" w:themeColor="text1"/>
              </w:rPr>
            </w:pPr>
            <w:r w:rsidRPr="00286216">
              <w:rPr>
                <w:color w:val="000000" w:themeColor="text1"/>
              </w:rPr>
              <w:t xml:space="preserve">4. Доходи за емісійними цінними паперами </w:t>
            </w:r>
            <w:r w:rsidR="00873413" w:rsidRPr="00286216">
              <w:rPr>
                <w:color w:val="000000" w:themeColor="text1"/>
              </w:rPr>
              <w:t>ви</w:t>
            </w:r>
            <w:r w:rsidRPr="00286216">
              <w:rPr>
                <w:color w:val="000000" w:themeColor="text1"/>
              </w:rPr>
              <w:t>плачуються у порядку, передбаченому законодавством про депозитарну систему України.</w:t>
            </w:r>
          </w:p>
        </w:tc>
      </w:tr>
      <w:tr w:rsidR="00F77E8D" w:rsidRPr="00286216" w14:paraId="3EECC7E5" w14:textId="77777777" w:rsidTr="00091AA5">
        <w:tc>
          <w:tcPr>
            <w:tcW w:w="576" w:type="dxa"/>
          </w:tcPr>
          <w:p w14:paraId="5B4160AD" w14:textId="77777777" w:rsidR="004B55AD" w:rsidRPr="00286216" w:rsidRDefault="004B55AD" w:rsidP="004B55AD">
            <w:pPr>
              <w:pStyle w:val="StyleWisnow"/>
              <w:rPr>
                <w:color w:val="000000" w:themeColor="text1"/>
              </w:rPr>
            </w:pPr>
            <w:bookmarkStart w:id="261" w:name="n255" w:colFirst="0" w:colLast="0"/>
            <w:r w:rsidRPr="00286216">
              <w:rPr>
                <w:color w:val="000000" w:themeColor="text1"/>
              </w:rPr>
              <w:t>255.</w:t>
            </w:r>
          </w:p>
        </w:tc>
        <w:tc>
          <w:tcPr>
            <w:tcW w:w="4818" w:type="dxa"/>
          </w:tcPr>
          <w:p w14:paraId="7626B97E" w14:textId="77777777" w:rsidR="004B55AD" w:rsidRPr="00286216" w:rsidRDefault="004B55AD" w:rsidP="004B55AD">
            <w:pPr>
              <w:pStyle w:val="StyleZakonu"/>
              <w:rPr>
                <w:color w:val="000000" w:themeColor="text1"/>
              </w:rPr>
            </w:pPr>
            <w:r w:rsidRPr="00286216">
              <w:rPr>
                <w:color w:val="000000" w:themeColor="text1"/>
              </w:rPr>
              <w:t xml:space="preserve">1. Особа, яка розмістила (видала) ордерний цінний </w:t>
            </w:r>
            <w:r w:rsidRPr="00286216">
              <w:rPr>
                <w:color w:val="000000" w:themeColor="text1"/>
              </w:rPr>
              <w:lastRenderedPageBreak/>
              <w:t>папір, та індосанти за ним відповідають перед його законним володільцем солідарно, якщо інше не встановлено законом. У разі задоволення вимоги законного володільця ордерного цінного паперу про виконання посвідченого цим папером зобов’язання однією або кількома особами з числа тих, хто має такі зобов’язання, особи, що індосували цінний папір, набувають право зворотної вимоги (регресу) щодо інших осіб, які мають зобов’язання за цінним папером.</w:t>
            </w:r>
          </w:p>
        </w:tc>
        <w:tc>
          <w:tcPr>
            <w:tcW w:w="3686" w:type="dxa"/>
          </w:tcPr>
          <w:p w14:paraId="46A6FF26" w14:textId="6659776F" w:rsidR="004B55AD" w:rsidRPr="00286216" w:rsidRDefault="004B55AD" w:rsidP="007A4B3F">
            <w:pPr>
              <w:pStyle w:val="StyleProp"/>
              <w:spacing w:line="180" w:lineRule="exact"/>
              <w:rPr>
                <w:color w:val="000000" w:themeColor="text1"/>
                <w:szCs w:val="18"/>
              </w:rPr>
            </w:pPr>
            <w:r w:rsidRPr="00286216">
              <w:rPr>
                <w:color w:val="000000" w:themeColor="text1"/>
              </w:rPr>
              <w:lastRenderedPageBreak/>
              <w:t xml:space="preserve">5. Особа, яка видала ордерний цінний </w:t>
            </w:r>
            <w:r w:rsidRPr="00286216">
              <w:rPr>
                <w:color w:val="000000" w:themeColor="text1"/>
              </w:rPr>
              <w:lastRenderedPageBreak/>
              <w:t>папір, та індосанти за ним відповідають перед його законним володільцем солідарно, якщо інше не встановлено законом. У разі задоволення вимоги законного володільця ордерного цінного паперу про виконання посвідченого цим папером зобов’язання однією або кількома особами з числа тих, хто має такі зобов’язання, особи, що індосували цінний папір, набувають право зворотної вимоги (регресу) щодо інших осіб, які мають зобов’язання за цінним папером.</w:t>
            </w:r>
          </w:p>
        </w:tc>
        <w:tc>
          <w:tcPr>
            <w:tcW w:w="1987" w:type="dxa"/>
          </w:tcPr>
          <w:p w14:paraId="0F972FB2" w14:textId="77777777" w:rsidR="004B55AD" w:rsidRPr="00286216" w:rsidRDefault="004B55AD" w:rsidP="004B55AD">
            <w:pPr>
              <w:pStyle w:val="StyleWisnow"/>
              <w:rPr>
                <w:color w:val="000000" w:themeColor="text1"/>
              </w:rPr>
            </w:pPr>
          </w:p>
        </w:tc>
        <w:tc>
          <w:tcPr>
            <w:tcW w:w="4818" w:type="dxa"/>
          </w:tcPr>
          <w:p w14:paraId="360D7FCE" w14:textId="46476B13" w:rsidR="004B55AD" w:rsidRPr="00286216" w:rsidRDefault="004B55AD" w:rsidP="00873413">
            <w:pPr>
              <w:pStyle w:val="StyleZakonu"/>
              <w:spacing w:after="0"/>
              <w:rPr>
                <w:color w:val="000000" w:themeColor="text1"/>
              </w:rPr>
            </w:pPr>
            <w:r w:rsidRPr="00286216">
              <w:rPr>
                <w:color w:val="000000" w:themeColor="text1"/>
              </w:rPr>
              <w:t xml:space="preserve">5. Особа, яка видала ордерний цінний папір, та </w:t>
            </w:r>
            <w:r w:rsidRPr="00286216">
              <w:rPr>
                <w:color w:val="000000" w:themeColor="text1"/>
              </w:rPr>
              <w:lastRenderedPageBreak/>
              <w:t>індосанти за ним відповідають перед його законним володільцем солідарно, якщо інше не встановлено законом. У разі задоволення вимоги законного володільця ордерного цінного папер</w:t>
            </w:r>
            <w:r w:rsidR="00873413" w:rsidRPr="00286216">
              <w:rPr>
                <w:color w:val="000000" w:themeColor="text1"/>
              </w:rPr>
              <w:t>а</w:t>
            </w:r>
            <w:r w:rsidRPr="00286216">
              <w:rPr>
                <w:color w:val="000000" w:themeColor="text1"/>
              </w:rPr>
              <w:t xml:space="preserve"> про виконання посвідченого цим папером зобов’язання однією або кількома особами з числа тих, які мають такі зобов’язання, особи, які індосували цінний папір, набувають право зворотної вимоги (регресу) щодо інших осіб, які мають зобов’язання за цінним папером.</w:t>
            </w:r>
          </w:p>
        </w:tc>
      </w:tr>
      <w:tr w:rsidR="00F77E8D" w:rsidRPr="00286216" w14:paraId="52EBE383" w14:textId="77777777" w:rsidTr="00091AA5">
        <w:tc>
          <w:tcPr>
            <w:tcW w:w="576" w:type="dxa"/>
          </w:tcPr>
          <w:p w14:paraId="1CBD6FAA" w14:textId="77777777" w:rsidR="004B55AD" w:rsidRPr="00286216" w:rsidRDefault="004B55AD" w:rsidP="004B55AD">
            <w:pPr>
              <w:pStyle w:val="StyleWisnow"/>
              <w:rPr>
                <w:color w:val="000000" w:themeColor="text1"/>
              </w:rPr>
            </w:pPr>
            <w:bookmarkStart w:id="262" w:name="n256" w:colFirst="0" w:colLast="0"/>
            <w:bookmarkEnd w:id="261"/>
            <w:r w:rsidRPr="00286216">
              <w:rPr>
                <w:color w:val="000000" w:themeColor="text1"/>
              </w:rPr>
              <w:lastRenderedPageBreak/>
              <w:t>256.</w:t>
            </w:r>
          </w:p>
        </w:tc>
        <w:tc>
          <w:tcPr>
            <w:tcW w:w="4818" w:type="dxa"/>
          </w:tcPr>
          <w:p w14:paraId="2A718D93" w14:textId="77777777" w:rsidR="004B55AD" w:rsidRPr="00286216" w:rsidRDefault="004B55AD" w:rsidP="004B55AD">
            <w:pPr>
              <w:pStyle w:val="StyleZakonu"/>
              <w:rPr>
                <w:color w:val="000000" w:themeColor="text1"/>
              </w:rPr>
            </w:pPr>
            <w:r w:rsidRPr="00286216">
              <w:rPr>
                <w:color w:val="000000" w:themeColor="text1"/>
              </w:rPr>
              <w:t>2. Відмова від виконання зобов’язання, посвідченого цінним папером, з посиланням на відсутність підстави зобов’язання або на його недійсність не допускається.</w:t>
            </w:r>
          </w:p>
        </w:tc>
        <w:tc>
          <w:tcPr>
            <w:tcW w:w="3686" w:type="dxa"/>
          </w:tcPr>
          <w:p w14:paraId="6150F872" w14:textId="01EE07B8" w:rsidR="004B55AD" w:rsidRPr="00286216" w:rsidRDefault="004B55AD" w:rsidP="007A4B3F">
            <w:pPr>
              <w:pStyle w:val="StyleProp"/>
              <w:spacing w:line="180" w:lineRule="exact"/>
              <w:rPr>
                <w:color w:val="000000" w:themeColor="text1"/>
                <w:szCs w:val="18"/>
              </w:rPr>
            </w:pPr>
            <w:r w:rsidRPr="00286216">
              <w:rPr>
                <w:color w:val="000000" w:themeColor="text1"/>
              </w:rPr>
              <w:t>6. Умови деривативного контракту можуть передбачати можливість заміни сторони такого деривативного контракту на третю особу, визначену стороною самостійно. У такому випадку згода сторони деривативного контракту на укладення іншою стороною деривативного контракту договору про заміну сторони не вимагається.</w:t>
            </w:r>
          </w:p>
        </w:tc>
        <w:tc>
          <w:tcPr>
            <w:tcW w:w="1987" w:type="dxa"/>
          </w:tcPr>
          <w:p w14:paraId="7A582885" w14:textId="77777777" w:rsidR="004B55AD" w:rsidRPr="00286216" w:rsidRDefault="004B55AD" w:rsidP="004B55AD">
            <w:pPr>
              <w:pStyle w:val="StyleWisnow"/>
              <w:rPr>
                <w:color w:val="000000" w:themeColor="text1"/>
              </w:rPr>
            </w:pPr>
          </w:p>
        </w:tc>
        <w:tc>
          <w:tcPr>
            <w:tcW w:w="4818" w:type="dxa"/>
          </w:tcPr>
          <w:p w14:paraId="231760DE" w14:textId="3CE3A00E" w:rsidR="004B55AD" w:rsidRPr="00286216" w:rsidRDefault="004B55AD" w:rsidP="00873413">
            <w:pPr>
              <w:pStyle w:val="StyleZakonu"/>
              <w:rPr>
                <w:color w:val="000000" w:themeColor="text1"/>
              </w:rPr>
            </w:pPr>
            <w:r w:rsidRPr="00286216">
              <w:rPr>
                <w:color w:val="000000" w:themeColor="text1"/>
              </w:rPr>
              <w:t xml:space="preserve">6. Умови деривативного контракту можуть передбачати можливість заміни сторони такого деривативного контракту на третю особу, визначену стороною самостійно. У такому </w:t>
            </w:r>
            <w:r w:rsidR="00873413" w:rsidRPr="00286216">
              <w:rPr>
                <w:color w:val="000000" w:themeColor="text1"/>
              </w:rPr>
              <w:t xml:space="preserve">разі </w:t>
            </w:r>
            <w:r w:rsidRPr="00286216">
              <w:rPr>
                <w:color w:val="000000" w:themeColor="text1"/>
              </w:rPr>
              <w:t>згода сторони деривативного контракту на укладення іншою стороною деривативного контракту договору про заміну сторони не вимагається.</w:t>
            </w:r>
          </w:p>
        </w:tc>
      </w:tr>
      <w:tr w:rsidR="00F77E8D" w:rsidRPr="00286216" w14:paraId="41673AD9" w14:textId="77777777" w:rsidTr="00091AA5">
        <w:tc>
          <w:tcPr>
            <w:tcW w:w="576" w:type="dxa"/>
          </w:tcPr>
          <w:p w14:paraId="3E8401A4" w14:textId="77777777" w:rsidR="004B55AD" w:rsidRPr="00286216" w:rsidRDefault="004B55AD" w:rsidP="004B55AD">
            <w:pPr>
              <w:pStyle w:val="StyleWisnow"/>
              <w:rPr>
                <w:color w:val="000000" w:themeColor="text1"/>
              </w:rPr>
            </w:pPr>
            <w:bookmarkStart w:id="263" w:name="n257" w:colFirst="0" w:colLast="0"/>
            <w:bookmarkEnd w:id="262"/>
            <w:r w:rsidRPr="00286216">
              <w:rPr>
                <w:color w:val="000000" w:themeColor="text1"/>
              </w:rPr>
              <w:t>257.</w:t>
            </w:r>
          </w:p>
        </w:tc>
        <w:tc>
          <w:tcPr>
            <w:tcW w:w="4818" w:type="dxa"/>
          </w:tcPr>
          <w:p w14:paraId="693FBD61" w14:textId="77777777" w:rsidR="004B55AD" w:rsidRPr="00286216" w:rsidRDefault="004B55AD" w:rsidP="004B55AD">
            <w:pPr>
              <w:pStyle w:val="StyleZakonu"/>
              <w:rPr>
                <w:color w:val="000000" w:themeColor="text1"/>
              </w:rPr>
            </w:pPr>
            <w:r w:rsidRPr="00286216">
              <w:rPr>
                <w:color w:val="000000" w:themeColor="text1"/>
              </w:rPr>
              <w:t>3. Доходи за емісійними цінними паперами сплачуються у порядку, передбаченому законодавством про депозитарну систему України.</w:t>
            </w:r>
          </w:p>
        </w:tc>
        <w:tc>
          <w:tcPr>
            <w:tcW w:w="3686" w:type="dxa"/>
          </w:tcPr>
          <w:p w14:paraId="4D51130C" w14:textId="77777777" w:rsidR="004B55AD" w:rsidRPr="00286216" w:rsidRDefault="004B55AD" w:rsidP="007A4B3F">
            <w:pPr>
              <w:pStyle w:val="StyleProp"/>
              <w:spacing w:line="180" w:lineRule="exact"/>
              <w:rPr>
                <w:color w:val="000000" w:themeColor="text1"/>
                <w:szCs w:val="18"/>
              </w:rPr>
            </w:pPr>
            <w:r w:rsidRPr="00286216">
              <w:rPr>
                <w:color w:val="000000" w:themeColor="text1"/>
              </w:rPr>
              <w:t>У випадку укладення договору про заміну сторони інформація про такий договір подається до торгового репозиторію у порядку, встановленому Національною комісією з цінних паперів та фондового ринку, а щодо деривативних контрактів грошового ринку – за погодженням з Національним банком України.</w:t>
            </w:r>
          </w:p>
        </w:tc>
        <w:tc>
          <w:tcPr>
            <w:tcW w:w="1987" w:type="dxa"/>
          </w:tcPr>
          <w:p w14:paraId="3A5480E9" w14:textId="77777777" w:rsidR="004B55AD" w:rsidRPr="00286216" w:rsidRDefault="004B55AD" w:rsidP="004B55AD">
            <w:pPr>
              <w:pStyle w:val="StyleWisnow"/>
              <w:rPr>
                <w:color w:val="000000" w:themeColor="text1"/>
              </w:rPr>
            </w:pPr>
          </w:p>
        </w:tc>
        <w:tc>
          <w:tcPr>
            <w:tcW w:w="4818" w:type="dxa"/>
          </w:tcPr>
          <w:p w14:paraId="56E24468" w14:textId="037FFF00" w:rsidR="004B55AD" w:rsidRPr="00286216" w:rsidRDefault="004B55AD" w:rsidP="00873413">
            <w:pPr>
              <w:pStyle w:val="StyleZakonu"/>
              <w:rPr>
                <w:color w:val="000000" w:themeColor="text1"/>
              </w:rPr>
            </w:pPr>
            <w:r w:rsidRPr="00286216">
              <w:rPr>
                <w:color w:val="000000" w:themeColor="text1"/>
              </w:rPr>
              <w:t xml:space="preserve">У </w:t>
            </w:r>
            <w:r w:rsidR="00873413" w:rsidRPr="00286216">
              <w:rPr>
                <w:color w:val="000000" w:themeColor="text1"/>
              </w:rPr>
              <w:t xml:space="preserve">разі </w:t>
            </w:r>
            <w:r w:rsidRPr="00286216">
              <w:rPr>
                <w:color w:val="000000" w:themeColor="text1"/>
              </w:rPr>
              <w:t>укладення договору про заміну сторони інформація про такий договір подається до торгового репозиторію у порядку, встановленому Національною комісією з цінних паперів та фондового ринку, а щодо деривативних контрактів грошового ринку – за погодженням з Національним банком України.</w:t>
            </w:r>
          </w:p>
        </w:tc>
      </w:tr>
      <w:bookmarkEnd w:id="263"/>
      <w:tr w:rsidR="00F77E8D" w:rsidRPr="00286216" w14:paraId="1C954287" w14:textId="77777777" w:rsidTr="00091AA5">
        <w:tc>
          <w:tcPr>
            <w:tcW w:w="576" w:type="dxa"/>
          </w:tcPr>
          <w:p w14:paraId="30497458" w14:textId="77777777" w:rsidR="004B55AD" w:rsidRPr="00286216" w:rsidRDefault="004B55AD" w:rsidP="004B55AD">
            <w:pPr>
              <w:pStyle w:val="StyleWisnow"/>
              <w:rPr>
                <w:color w:val="000000" w:themeColor="text1"/>
              </w:rPr>
            </w:pPr>
          </w:p>
        </w:tc>
        <w:tc>
          <w:tcPr>
            <w:tcW w:w="4818" w:type="dxa"/>
          </w:tcPr>
          <w:p w14:paraId="0D0121D3" w14:textId="77777777" w:rsidR="004B55AD" w:rsidRPr="00286216" w:rsidRDefault="004B55AD" w:rsidP="004B55AD">
            <w:pPr>
              <w:pStyle w:val="StyleZakonu"/>
              <w:rPr>
                <w:color w:val="000000" w:themeColor="text1"/>
              </w:rPr>
            </w:pPr>
          </w:p>
        </w:tc>
        <w:tc>
          <w:tcPr>
            <w:tcW w:w="3686" w:type="dxa"/>
          </w:tcPr>
          <w:p w14:paraId="7F7B448F" w14:textId="34C173F6" w:rsidR="004B55AD" w:rsidRPr="00286216" w:rsidDel="00661D19" w:rsidRDefault="004B55AD" w:rsidP="007A4B3F">
            <w:pPr>
              <w:pStyle w:val="StyleProp"/>
              <w:spacing w:line="180" w:lineRule="exact"/>
              <w:rPr>
                <w:color w:val="000000" w:themeColor="text1"/>
              </w:rPr>
            </w:pPr>
            <w:r w:rsidRPr="00286216">
              <w:rPr>
                <w:color w:val="000000" w:themeColor="text1"/>
              </w:rPr>
              <w:t>7. Якщо на момент виконання обов’язку сторони деривативного контракту щодо передачі базового активу здійснити таку передачу неможливо, обов’язок щодо передачі базового активу за згодою сторони, яка приймає таке виконання, замінюється грошовими розрахунками між сторонами, виходячи зі значення базового показника, якщо інше не передбачено законодавством або договором.</w:t>
            </w:r>
          </w:p>
        </w:tc>
        <w:tc>
          <w:tcPr>
            <w:tcW w:w="1987" w:type="dxa"/>
          </w:tcPr>
          <w:p w14:paraId="370228E5" w14:textId="77777777" w:rsidR="004B55AD" w:rsidRPr="00286216" w:rsidDel="00661D19" w:rsidRDefault="004B55AD" w:rsidP="004B55AD">
            <w:pPr>
              <w:pStyle w:val="StyleWisnow"/>
              <w:rPr>
                <w:color w:val="000000" w:themeColor="text1"/>
              </w:rPr>
            </w:pPr>
          </w:p>
        </w:tc>
        <w:tc>
          <w:tcPr>
            <w:tcW w:w="4818" w:type="dxa"/>
          </w:tcPr>
          <w:p w14:paraId="68E7B846" w14:textId="3E826C4B" w:rsidR="004B55AD" w:rsidRPr="00286216" w:rsidDel="00661D19" w:rsidRDefault="004B55AD" w:rsidP="00B51654">
            <w:pPr>
              <w:pStyle w:val="StyleZakonu"/>
              <w:rPr>
                <w:color w:val="000000" w:themeColor="text1"/>
              </w:rPr>
            </w:pPr>
            <w:r w:rsidRPr="00286216">
              <w:rPr>
                <w:color w:val="000000" w:themeColor="text1"/>
              </w:rPr>
              <w:t xml:space="preserve">7. Якщо на момент виконання обов’язку сторони деривативного контракту щодо передачі базового активу здійснити таку передачу неможливо, обов’язок щодо передачі базового активу за згодою сторони, яка приймає таке виконання, замінюється грошовими розрахунками між сторонами, виходячи </w:t>
            </w:r>
            <w:r w:rsidR="00B51654" w:rsidRPr="00286216">
              <w:rPr>
                <w:color w:val="000000" w:themeColor="text1"/>
              </w:rPr>
              <w:t>і</w:t>
            </w:r>
            <w:r w:rsidRPr="00286216">
              <w:rPr>
                <w:color w:val="000000" w:themeColor="text1"/>
              </w:rPr>
              <w:t>з значення базового показника, якщо інше не передбачено законодавством або договором.</w:t>
            </w:r>
          </w:p>
        </w:tc>
      </w:tr>
      <w:tr w:rsidR="00F77E8D" w:rsidRPr="00286216" w14:paraId="477A9DAE" w14:textId="77777777" w:rsidTr="00091AA5">
        <w:tc>
          <w:tcPr>
            <w:tcW w:w="576" w:type="dxa"/>
          </w:tcPr>
          <w:p w14:paraId="2525FA81" w14:textId="77777777" w:rsidR="004B55AD" w:rsidRPr="00286216" w:rsidRDefault="004B55AD" w:rsidP="004B55AD">
            <w:pPr>
              <w:pStyle w:val="StyleWisnow"/>
              <w:rPr>
                <w:color w:val="000000" w:themeColor="text1"/>
              </w:rPr>
            </w:pPr>
          </w:p>
        </w:tc>
        <w:tc>
          <w:tcPr>
            <w:tcW w:w="4818" w:type="dxa"/>
          </w:tcPr>
          <w:p w14:paraId="3D07E8F3" w14:textId="77777777" w:rsidR="004B55AD" w:rsidRPr="00286216" w:rsidRDefault="004B55AD" w:rsidP="004B55AD">
            <w:pPr>
              <w:pStyle w:val="StyleZakonu"/>
              <w:rPr>
                <w:color w:val="000000" w:themeColor="text1"/>
              </w:rPr>
            </w:pPr>
          </w:p>
        </w:tc>
        <w:tc>
          <w:tcPr>
            <w:tcW w:w="3686" w:type="dxa"/>
          </w:tcPr>
          <w:p w14:paraId="7380940E" w14:textId="77777777" w:rsidR="004B55AD" w:rsidRPr="00286216" w:rsidDel="00661D19" w:rsidRDefault="004B55AD" w:rsidP="007A4B3F">
            <w:pPr>
              <w:pStyle w:val="StyleProp"/>
              <w:spacing w:line="180" w:lineRule="exact"/>
              <w:rPr>
                <w:color w:val="000000" w:themeColor="text1"/>
              </w:rPr>
            </w:pPr>
            <w:r w:rsidRPr="00286216">
              <w:rPr>
                <w:color w:val="000000" w:themeColor="text1"/>
              </w:rPr>
              <w:t>Якщо на момент виконання передбачених деривативним контрактом зобов’язань, значення базового показника, що враховується при визначенні загальної суми такого зобов’язання, неможливо встановити, для цілей визначення розміру зобов’язань  та проведення розрахунків використовується останнє відоме значення відповідного базового показника, якщо інше не передбачене законодавством або договором.</w:t>
            </w:r>
          </w:p>
        </w:tc>
        <w:tc>
          <w:tcPr>
            <w:tcW w:w="1987" w:type="dxa"/>
          </w:tcPr>
          <w:p w14:paraId="26BCDEDD" w14:textId="77777777" w:rsidR="004B55AD" w:rsidRPr="00286216" w:rsidDel="00661D19" w:rsidRDefault="004B55AD" w:rsidP="004B55AD">
            <w:pPr>
              <w:pStyle w:val="StyleWisnow"/>
              <w:rPr>
                <w:color w:val="000000" w:themeColor="text1"/>
              </w:rPr>
            </w:pPr>
          </w:p>
        </w:tc>
        <w:tc>
          <w:tcPr>
            <w:tcW w:w="4818" w:type="dxa"/>
          </w:tcPr>
          <w:p w14:paraId="36BE8ED7" w14:textId="78A8014C" w:rsidR="004B55AD" w:rsidRPr="00286216" w:rsidDel="00661D19" w:rsidRDefault="004B55AD" w:rsidP="00627EA5">
            <w:pPr>
              <w:pStyle w:val="StyleZakonu"/>
              <w:rPr>
                <w:color w:val="000000" w:themeColor="text1"/>
              </w:rPr>
            </w:pPr>
            <w:r w:rsidRPr="00286216">
              <w:rPr>
                <w:color w:val="000000" w:themeColor="text1"/>
              </w:rPr>
              <w:t>Якщо на момент виконання передбачених деривативним контрактом зобов’язань значення базового показника, що враховується при визначенні загальної суми такого зобов’язання, неможливо встановити, для цілей визначення розміру зобов’язань  та проведення розрахунків використовується останнє відоме значення відповідного базового показника, якщо інше не передбачен</w:t>
            </w:r>
            <w:r w:rsidR="00627EA5" w:rsidRPr="00286216">
              <w:rPr>
                <w:color w:val="000000" w:themeColor="text1"/>
              </w:rPr>
              <w:t>о</w:t>
            </w:r>
            <w:r w:rsidRPr="00286216">
              <w:rPr>
                <w:color w:val="000000" w:themeColor="text1"/>
              </w:rPr>
              <w:t xml:space="preserve"> законодавством або договором.</w:t>
            </w:r>
          </w:p>
        </w:tc>
      </w:tr>
      <w:tr w:rsidR="00F77E8D" w:rsidRPr="00286216" w14:paraId="09E139CC" w14:textId="77777777" w:rsidTr="00091AA5">
        <w:tc>
          <w:tcPr>
            <w:tcW w:w="576" w:type="dxa"/>
          </w:tcPr>
          <w:p w14:paraId="45FFF24E" w14:textId="77777777" w:rsidR="004B55AD" w:rsidRPr="00286216" w:rsidRDefault="004B55AD" w:rsidP="004B55AD">
            <w:pPr>
              <w:pStyle w:val="StyleWisnow"/>
              <w:rPr>
                <w:color w:val="000000" w:themeColor="text1"/>
              </w:rPr>
            </w:pPr>
          </w:p>
        </w:tc>
        <w:tc>
          <w:tcPr>
            <w:tcW w:w="4818" w:type="dxa"/>
          </w:tcPr>
          <w:p w14:paraId="06FF68DD" w14:textId="77777777" w:rsidR="004B55AD" w:rsidRPr="00286216" w:rsidRDefault="004B55AD" w:rsidP="004B55AD">
            <w:pPr>
              <w:pStyle w:val="StyleZakonu"/>
              <w:rPr>
                <w:color w:val="000000" w:themeColor="text1"/>
              </w:rPr>
            </w:pPr>
          </w:p>
        </w:tc>
        <w:tc>
          <w:tcPr>
            <w:tcW w:w="3686" w:type="dxa"/>
          </w:tcPr>
          <w:p w14:paraId="0F66A78D" w14:textId="701E4EAA" w:rsidR="004B55AD" w:rsidRPr="00286216" w:rsidDel="00661D19" w:rsidRDefault="004B55AD" w:rsidP="007A4B3F">
            <w:pPr>
              <w:pStyle w:val="StyleProp"/>
              <w:spacing w:line="180" w:lineRule="exact"/>
              <w:rPr>
                <w:color w:val="000000" w:themeColor="text1"/>
              </w:rPr>
            </w:pPr>
            <w:r w:rsidRPr="00286216">
              <w:rPr>
                <w:color w:val="000000" w:themeColor="text1"/>
              </w:rPr>
              <w:t xml:space="preserve">8. Зобов’язання за деривативними контрактами, за правочинами щодо фінансових інструментів, за товарними операціями можуть припинятися в результаті проведення клірингу або ліквідаційного </w:t>
            </w:r>
            <w:r w:rsidRPr="00286216">
              <w:rPr>
                <w:color w:val="000000" w:themeColor="text1"/>
              </w:rPr>
              <w:lastRenderedPageBreak/>
              <w:t>неттінгу або в інших випадках, визначених законом. Укладення договору (в тому числі генеральної угоди або іншої угоди щодо ліквідаційного неттінгу), що передбачає проведення клірингу або ліквідаційного неттінгу щодо зобов’язань за деривативними контрактами (правочинами щодо фінансового інструменту, товарними операціями), у разі якщо такі контракти (правочини, операції) будуть укладатися на підставі (з посиланням на обов’язковість) такого договору, вважається досягненням сторонами таких контрактів (правочинів, операцій) домовленості про заміну первісного зобов’язання новим зобов’язанням в результаті проведення клірингу або ліквідаційного неттінгу.</w:t>
            </w:r>
          </w:p>
        </w:tc>
        <w:tc>
          <w:tcPr>
            <w:tcW w:w="1987" w:type="dxa"/>
          </w:tcPr>
          <w:p w14:paraId="703687B7" w14:textId="77777777" w:rsidR="004B55AD" w:rsidRPr="00286216" w:rsidDel="00661D19" w:rsidRDefault="004B55AD" w:rsidP="004B55AD">
            <w:pPr>
              <w:pStyle w:val="StyleWisnow"/>
              <w:rPr>
                <w:color w:val="000000" w:themeColor="text1"/>
              </w:rPr>
            </w:pPr>
          </w:p>
        </w:tc>
        <w:tc>
          <w:tcPr>
            <w:tcW w:w="4818" w:type="dxa"/>
          </w:tcPr>
          <w:p w14:paraId="770159DC" w14:textId="167F3061" w:rsidR="004B55AD" w:rsidRPr="00286216" w:rsidDel="00661D19" w:rsidRDefault="004B55AD" w:rsidP="00627EA5">
            <w:pPr>
              <w:pStyle w:val="StyleZakonu"/>
              <w:rPr>
                <w:color w:val="000000" w:themeColor="text1"/>
              </w:rPr>
            </w:pPr>
            <w:r w:rsidRPr="00286216">
              <w:rPr>
                <w:color w:val="000000" w:themeColor="text1"/>
              </w:rPr>
              <w:t xml:space="preserve">8. Зобов’язання за деривативними контрактами, за правочинами щодо фінансових інструментів, за товарними операціями можуть припинятися в результаті проведення клірингу або ліквідаційного </w:t>
            </w:r>
            <w:r w:rsidRPr="00286216">
              <w:rPr>
                <w:color w:val="000000" w:themeColor="text1"/>
              </w:rPr>
              <w:lastRenderedPageBreak/>
              <w:t xml:space="preserve">неттінгу </w:t>
            </w:r>
            <w:r w:rsidR="00627EA5" w:rsidRPr="00286216">
              <w:rPr>
                <w:color w:val="000000" w:themeColor="text1"/>
              </w:rPr>
              <w:t xml:space="preserve">чи </w:t>
            </w:r>
            <w:r w:rsidRPr="00286216">
              <w:rPr>
                <w:color w:val="000000" w:themeColor="text1"/>
              </w:rPr>
              <w:t xml:space="preserve">в інших випадках, визначених законом. Укладення договору (в тому числі генеральної угоди або іншої угоди щодо ліквідаційного неттінгу), що передбачає проведення клірингу або ліквідаційного неттінгу щодо зобов’язань за деривативними контрактами (правочинами щодо фінансового інструменту, товарними операціями), у разі якщо такі контракти (правочини, операції) будуть укладатися на підставі (з посиланням на обов’язковість) такого договору, вважається досягненням сторонами таких контрактів (правочинів, операцій) домовленості про заміну первісного зобов’язання новим зобов’язанням </w:t>
            </w:r>
            <w:r w:rsidR="00627EA5" w:rsidRPr="00286216">
              <w:rPr>
                <w:color w:val="000000" w:themeColor="text1"/>
              </w:rPr>
              <w:t xml:space="preserve">у </w:t>
            </w:r>
            <w:r w:rsidRPr="00286216">
              <w:rPr>
                <w:color w:val="000000" w:themeColor="text1"/>
              </w:rPr>
              <w:t>результаті проведення клірингу або ліквідаційного неттінгу.</w:t>
            </w:r>
          </w:p>
        </w:tc>
      </w:tr>
      <w:tr w:rsidR="00F77E8D" w:rsidRPr="00286216" w14:paraId="6EE09551" w14:textId="77777777" w:rsidTr="00091AA5">
        <w:tc>
          <w:tcPr>
            <w:tcW w:w="576" w:type="dxa"/>
          </w:tcPr>
          <w:p w14:paraId="2072F7BD" w14:textId="77777777" w:rsidR="004B55AD" w:rsidRPr="00286216" w:rsidRDefault="004B55AD" w:rsidP="004B55AD">
            <w:pPr>
              <w:pStyle w:val="StyleWisnow"/>
              <w:rPr>
                <w:color w:val="000000" w:themeColor="text1"/>
              </w:rPr>
            </w:pPr>
          </w:p>
        </w:tc>
        <w:tc>
          <w:tcPr>
            <w:tcW w:w="4818" w:type="dxa"/>
          </w:tcPr>
          <w:p w14:paraId="7596E313" w14:textId="77777777" w:rsidR="004B55AD" w:rsidRPr="00286216" w:rsidRDefault="004B55AD" w:rsidP="004B55AD">
            <w:pPr>
              <w:pStyle w:val="StyleZakonu"/>
              <w:rPr>
                <w:color w:val="000000" w:themeColor="text1"/>
              </w:rPr>
            </w:pPr>
          </w:p>
        </w:tc>
        <w:tc>
          <w:tcPr>
            <w:tcW w:w="3686" w:type="dxa"/>
          </w:tcPr>
          <w:p w14:paraId="389252CE" w14:textId="42D717EA" w:rsidR="004B55AD" w:rsidRPr="00286216" w:rsidDel="00661D19" w:rsidRDefault="004B55AD" w:rsidP="00D2303B">
            <w:pPr>
              <w:pStyle w:val="StyleProp"/>
              <w:spacing w:line="180" w:lineRule="exact"/>
              <w:rPr>
                <w:color w:val="000000" w:themeColor="text1"/>
              </w:rPr>
            </w:pPr>
            <w:r w:rsidRPr="00286216">
              <w:rPr>
                <w:color w:val="000000" w:themeColor="text1"/>
              </w:rPr>
              <w:t>9. У разі якщо правила провадження клірингової діяльності особи, яка провадить клірингову діяльність, передбачають обов’язковість проведення ліквідаційного неттінгу, направлення сторонами деривативного контракту (правочину щодо фінансового інструменту, товарної операції) розпорядження на проведення клірингу зазначеній особі вважається наданням такими сторонами згоди на проведення ліквідаційного неттінгу щодо зобов’язань за таким контрактом (правочином, операцією). У разі якщо правила провадження клірингової діяльності зазначеної особи передбачають проведення ліквідаційного неттінгу за волевиявленням сторін деривативного контракту (правочину щодо фінансового інструменту, товарної операції), таке волевиявлення повинно бути зафіксовано в розпорядженні на проведення клірингу, що вважається згодою на проведення ліквідаційного неттінгу щодо зобов’язань за таким контрактом (правочином, операцією).</w:t>
            </w:r>
          </w:p>
        </w:tc>
        <w:tc>
          <w:tcPr>
            <w:tcW w:w="1987" w:type="dxa"/>
          </w:tcPr>
          <w:p w14:paraId="607F68E6" w14:textId="77777777" w:rsidR="004B55AD" w:rsidRPr="00286216" w:rsidDel="00661D19" w:rsidRDefault="004B55AD" w:rsidP="004B55AD">
            <w:pPr>
              <w:pStyle w:val="StyleWisnow"/>
              <w:rPr>
                <w:color w:val="000000" w:themeColor="text1"/>
              </w:rPr>
            </w:pPr>
          </w:p>
        </w:tc>
        <w:tc>
          <w:tcPr>
            <w:tcW w:w="4818" w:type="dxa"/>
          </w:tcPr>
          <w:p w14:paraId="12E82503" w14:textId="5119C5DA" w:rsidR="004B55AD" w:rsidRPr="00286216" w:rsidDel="00661D19" w:rsidRDefault="004B55AD" w:rsidP="004B55AD">
            <w:pPr>
              <w:pStyle w:val="StyleZakonu"/>
              <w:rPr>
                <w:color w:val="000000" w:themeColor="text1"/>
              </w:rPr>
            </w:pPr>
            <w:r w:rsidRPr="00286216">
              <w:rPr>
                <w:color w:val="000000" w:themeColor="text1"/>
              </w:rPr>
              <w:t>9. У разі якщо правила провадження клірингової діяльності особи, яка провадить клірингову діяльність, передбачають обов’язковість проведення ліквідаційного неттінгу, направлення сторонами деривативного контракту (правочину щодо фінансового інструменту, товарної операції) розпорядження на проведення клірингу такій особі вважається наданням такими сторонами згоди на проведення ліквідаційного неттінгу щодо зобов’язань за таким контрактом (правочином, операцією). У разі якщо правила провадження клірингової діяльності зазначеної особи передбачають проведення ліквідаційного неттінгу за волевиявленням сторін деривативного контракту (правочину щодо фінансового інструменту, товарної операції), таке волевиявлення повинно бути зафіксовано в розпорядженні на проведення клірингу, що вважається згодою на проведення ліквідаційного неттінгу щодо зобов’язань за таким контрактом (правочином, операцією).</w:t>
            </w:r>
          </w:p>
        </w:tc>
      </w:tr>
      <w:tr w:rsidR="00F77E8D" w:rsidRPr="00286216" w14:paraId="58CE20C5" w14:textId="77777777" w:rsidTr="00091AA5">
        <w:tc>
          <w:tcPr>
            <w:tcW w:w="576" w:type="dxa"/>
          </w:tcPr>
          <w:p w14:paraId="38CD2B3A" w14:textId="77777777" w:rsidR="004B55AD" w:rsidRPr="00286216" w:rsidRDefault="004B55AD" w:rsidP="004B55AD">
            <w:pPr>
              <w:pStyle w:val="StyleWisnow"/>
              <w:rPr>
                <w:color w:val="000000" w:themeColor="text1"/>
              </w:rPr>
            </w:pPr>
          </w:p>
        </w:tc>
        <w:tc>
          <w:tcPr>
            <w:tcW w:w="4818" w:type="dxa"/>
          </w:tcPr>
          <w:p w14:paraId="32003201" w14:textId="77777777" w:rsidR="004B55AD" w:rsidRPr="00286216" w:rsidRDefault="004B55AD" w:rsidP="004B55AD">
            <w:pPr>
              <w:pStyle w:val="StyleZakonu"/>
              <w:rPr>
                <w:color w:val="000000" w:themeColor="text1"/>
              </w:rPr>
            </w:pPr>
          </w:p>
        </w:tc>
        <w:tc>
          <w:tcPr>
            <w:tcW w:w="3686" w:type="dxa"/>
          </w:tcPr>
          <w:p w14:paraId="4C8B1359" w14:textId="390B155B" w:rsidR="004B55AD" w:rsidRPr="00286216" w:rsidDel="00661D19" w:rsidRDefault="004B55AD" w:rsidP="00D2303B">
            <w:pPr>
              <w:pStyle w:val="StyleProp"/>
              <w:spacing w:line="180" w:lineRule="exact"/>
              <w:rPr>
                <w:color w:val="000000" w:themeColor="text1"/>
              </w:rPr>
            </w:pPr>
            <w:r w:rsidRPr="00286216">
              <w:rPr>
                <w:color w:val="000000" w:themeColor="text1"/>
              </w:rPr>
              <w:t xml:space="preserve">10. Передбачене статтею 40 цього Закону нетто-зобов’язання може бути виконано шляхом звернення стягнення на предмет забезпечення, переданий сторонами угоди щодо ліквідаційного неттінгу для забезпечення виконання зобов’язань таких сторін за такою угодою. Зазначене нетто-зобовʼязання також може бути виконано шляхом звернення стягнення на предмет забезпечення, який бува переданий для забезпечення виконання зобовʼязань сторін угоди щодо ліквідаційного неттінгу будь-якою іншою, крім зазначених в першому </w:t>
            </w:r>
            <w:r w:rsidRPr="00286216">
              <w:rPr>
                <w:color w:val="000000" w:themeColor="text1"/>
              </w:rPr>
              <w:lastRenderedPageBreak/>
              <w:t>реченні цієї частини, особою.</w:t>
            </w:r>
          </w:p>
        </w:tc>
        <w:tc>
          <w:tcPr>
            <w:tcW w:w="1987" w:type="dxa"/>
          </w:tcPr>
          <w:p w14:paraId="0E722603" w14:textId="77777777" w:rsidR="004B55AD" w:rsidRPr="00286216" w:rsidDel="00661D19" w:rsidRDefault="004B55AD" w:rsidP="004B55AD">
            <w:pPr>
              <w:pStyle w:val="StyleWisnow"/>
              <w:rPr>
                <w:color w:val="000000" w:themeColor="text1"/>
              </w:rPr>
            </w:pPr>
          </w:p>
        </w:tc>
        <w:tc>
          <w:tcPr>
            <w:tcW w:w="4818" w:type="dxa"/>
          </w:tcPr>
          <w:p w14:paraId="4C28EB0D" w14:textId="61B73DD4" w:rsidR="004B55AD" w:rsidRPr="00286216" w:rsidDel="00661D19" w:rsidRDefault="004B55AD" w:rsidP="00627EA5">
            <w:pPr>
              <w:pStyle w:val="StyleZakonu"/>
              <w:rPr>
                <w:color w:val="000000" w:themeColor="text1"/>
              </w:rPr>
            </w:pPr>
            <w:r w:rsidRPr="00286216">
              <w:rPr>
                <w:color w:val="000000" w:themeColor="text1"/>
              </w:rPr>
              <w:t xml:space="preserve">10. Передбачене статтею 40 цього Закону нетто-зобов’язання може бути виконано шляхом звернення стягнення на предмет забезпечення, переданий сторонами угоди щодо ліквідаційного неттінгу для забезпечення виконання зобов’язань таких сторін за такою угодою. Зазначене нетто-зобовʼязання також може бути виконано шляхом звернення стягнення на предмет забезпечення, який був переданий для забезпечення виконання зобовʼязань сторін угоди щодо ліквідаційного неттінгу будь-якою іншою, крім зазначених </w:t>
            </w:r>
            <w:r w:rsidR="00627EA5" w:rsidRPr="00286216">
              <w:rPr>
                <w:color w:val="000000" w:themeColor="text1"/>
              </w:rPr>
              <w:t>у</w:t>
            </w:r>
            <w:r w:rsidRPr="00286216">
              <w:rPr>
                <w:color w:val="000000" w:themeColor="text1"/>
              </w:rPr>
              <w:t xml:space="preserve"> першому реченні цієї частини, особою.</w:t>
            </w:r>
          </w:p>
        </w:tc>
      </w:tr>
      <w:tr w:rsidR="00F77E8D" w:rsidRPr="00286216" w14:paraId="04CA8346" w14:textId="77777777" w:rsidTr="00091AA5">
        <w:tc>
          <w:tcPr>
            <w:tcW w:w="576" w:type="dxa"/>
          </w:tcPr>
          <w:p w14:paraId="76CC179B" w14:textId="77777777" w:rsidR="004B55AD" w:rsidRPr="00286216" w:rsidRDefault="004B55AD" w:rsidP="004B55AD">
            <w:pPr>
              <w:pStyle w:val="StyleWisnow"/>
              <w:rPr>
                <w:color w:val="000000" w:themeColor="text1"/>
              </w:rPr>
            </w:pPr>
          </w:p>
        </w:tc>
        <w:tc>
          <w:tcPr>
            <w:tcW w:w="4818" w:type="dxa"/>
          </w:tcPr>
          <w:p w14:paraId="0EB280AF" w14:textId="77777777" w:rsidR="004B55AD" w:rsidRPr="00286216" w:rsidRDefault="004B55AD" w:rsidP="004B55AD">
            <w:pPr>
              <w:pStyle w:val="StyleZakonu"/>
              <w:rPr>
                <w:color w:val="000000" w:themeColor="text1"/>
              </w:rPr>
            </w:pPr>
          </w:p>
        </w:tc>
        <w:tc>
          <w:tcPr>
            <w:tcW w:w="3686" w:type="dxa"/>
          </w:tcPr>
          <w:p w14:paraId="70FF7849" w14:textId="55573D45" w:rsidR="004B55AD" w:rsidRPr="00286216" w:rsidDel="00661D19" w:rsidRDefault="004B55AD" w:rsidP="00D2303B">
            <w:pPr>
              <w:pStyle w:val="StyleProp"/>
              <w:spacing w:line="180" w:lineRule="exact"/>
              <w:rPr>
                <w:color w:val="000000" w:themeColor="text1"/>
              </w:rPr>
            </w:pPr>
            <w:r w:rsidRPr="00286216">
              <w:rPr>
                <w:color w:val="000000" w:themeColor="text1"/>
              </w:rPr>
              <w:t>11. Виконання зобов’язань за деривативними контрактами та правочинами щодо інших активів, допущених до торгів на регульованому ринку, здійснюється після обов’язкового клірингу таких зобов’язань особою, яка провадить клірингову діяльність Центрального контрагента.</w:t>
            </w:r>
          </w:p>
        </w:tc>
        <w:tc>
          <w:tcPr>
            <w:tcW w:w="1987" w:type="dxa"/>
          </w:tcPr>
          <w:p w14:paraId="13B68A00" w14:textId="77777777" w:rsidR="004B55AD" w:rsidRPr="00286216" w:rsidDel="00661D19" w:rsidRDefault="004B55AD" w:rsidP="004B55AD">
            <w:pPr>
              <w:pStyle w:val="StyleWisnow"/>
              <w:rPr>
                <w:color w:val="000000" w:themeColor="text1"/>
              </w:rPr>
            </w:pPr>
          </w:p>
        </w:tc>
        <w:tc>
          <w:tcPr>
            <w:tcW w:w="4818" w:type="dxa"/>
          </w:tcPr>
          <w:p w14:paraId="5CD8D0AE" w14:textId="4C46EBB7" w:rsidR="004B55AD" w:rsidRPr="00286216" w:rsidDel="00661D19" w:rsidRDefault="004B55AD" w:rsidP="004B55AD">
            <w:pPr>
              <w:pStyle w:val="StyleZakonu"/>
              <w:rPr>
                <w:color w:val="000000" w:themeColor="text1"/>
              </w:rPr>
            </w:pPr>
            <w:r w:rsidRPr="00286216">
              <w:rPr>
                <w:color w:val="000000" w:themeColor="text1"/>
              </w:rPr>
              <w:t>11. Виконання зобов’язань за деривативними контрактами та правочинами щодо інших активів, допущених до торгів на регульованому ринку, здійснюється після обов’язкового клірингу таких зобов’язань особою, яка провадить клірингову діяльність центрального контрагента.</w:t>
            </w:r>
          </w:p>
        </w:tc>
      </w:tr>
      <w:tr w:rsidR="00F77E8D" w:rsidRPr="00286216" w14:paraId="21B3D8EC" w14:textId="77777777" w:rsidTr="00091AA5">
        <w:tc>
          <w:tcPr>
            <w:tcW w:w="576" w:type="dxa"/>
          </w:tcPr>
          <w:p w14:paraId="2AFA6980" w14:textId="77777777" w:rsidR="004B55AD" w:rsidRPr="00286216" w:rsidRDefault="004B55AD" w:rsidP="004B55AD">
            <w:pPr>
              <w:pStyle w:val="StyleWisnow"/>
              <w:rPr>
                <w:color w:val="000000" w:themeColor="text1"/>
              </w:rPr>
            </w:pPr>
          </w:p>
        </w:tc>
        <w:tc>
          <w:tcPr>
            <w:tcW w:w="4818" w:type="dxa"/>
          </w:tcPr>
          <w:p w14:paraId="63AE1AAE" w14:textId="77777777" w:rsidR="004B55AD" w:rsidRPr="00286216" w:rsidRDefault="004B55AD" w:rsidP="004B55AD">
            <w:pPr>
              <w:pStyle w:val="StyleZakonu"/>
              <w:rPr>
                <w:color w:val="000000" w:themeColor="text1"/>
              </w:rPr>
            </w:pPr>
          </w:p>
        </w:tc>
        <w:tc>
          <w:tcPr>
            <w:tcW w:w="3686" w:type="dxa"/>
          </w:tcPr>
          <w:p w14:paraId="5498AEBA" w14:textId="7DAFBBCB" w:rsidR="004B55AD" w:rsidRPr="00286216" w:rsidRDefault="004B55AD" w:rsidP="00D2303B">
            <w:pPr>
              <w:pStyle w:val="StyleAwt"/>
              <w:spacing w:line="180" w:lineRule="exac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235</w:t>
            </w:r>
            <w:r w:rsidRPr="00286216">
              <w:rPr>
                <w:color w:val="000000" w:themeColor="text1"/>
                <w:spacing w:val="-4"/>
              </w:rPr>
              <w:fldChar w:fldCharType="end"/>
            </w:r>
            <w:r w:rsidRPr="00286216">
              <w:rPr>
                <w:color w:val="000000" w:themeColor="text1"/>
                <w:spacing w:val="-4"/>
              </w:rPr>
              <w:t>-Н.д.Бєлькова О.В. (Реєстр.картка №403)</w:t>
            </w:r>
          </w:p>
          <w:p w14:paraId="7D84ED83" w14:textId="77777777" w:rsidR="004B55AD" w:rsidRPr="00286216" w:rsidRDefault="004B55AD" w:rsidP="007A4B3F">
            <w:pPr>
              <w:pStyle w:val="StyleProp"/>
              <w:spacing w:line="180" w:lineRule="exact"/>
              <w:rPr>
                <w:color w:val="000000" w:themeColor="text1"/>
              </w:rPr>
            </w:pPr>
            <w:r w:rsidRPr="00286216">
              <w:rPr>
                <w:color w:val="000000" w:themeColor="text1"/>
              </w:rPr>
              <w:t>Перенести положення статті 43 про правочини щодо фінансових інструментів, які повинні вчинятися без участі або посередництва інвестиційної фірми, до статті щодо особливостей укладення правочинів з фінансовими інструментами, а саме:</w:t>
            </w:r>
          </w:p>
          <w:p w14:paraId="2942747B" w14:textId="0C42D130" w:rsidR="004B55AD" w:rsidRPr="00286216" w:rsidRDefault="004B55AD" w:rsidP="00D2303B">
            <w:pPr>
              <w:pStyle w:val="StyleProp"/>
              <w:spacing w:line="180" w:lineRule="exact"/>
              <w:rPr>
                <w:color w:val="000000" w:themeColor="text1"/>
              </w:rPr>
            </w:pPr>
            <w:r w:rsidRPr="00286216">
              <w:rPr>
                <w:color w:val="000000" w:themeColor="text1"/>
              </w:rPr>
              <w:t>"6. Правочини щодо фінансових інструментів повинні вчинятися за участю або посередництвом інвестиційної фірми, крім випадків:</w:t>
            </w:r>
          </w:p>
        </w:tc>
        <w:tc>
          <w:tcPr>
            <w:tcW w:w="1987" w:type="dxa"/>
          </w:tcPr>
          <w:p w14:paraId="7D6641C6" w14:textId="77777777" w:rsidR="004B55AD" w:rsidRPr="00286216" w:rsidRDefault="004B55AD" w:rsidP="004B55AD">
            <w:pPr>
              <w:pStyle w:val="StyleWisnow"/>
              <w:rPr>
                <w:color w:val="000000" w:themeColor="text1"/>
              </w:rPr>
            </w:pPr>
            <w:r w:rsidRPr="00286216">
              <w:rPr>
                <w:color w:val="000000" w:themeColor="text1"/>
              </w:rPr>
              <w:t>Враховано</w:t>
            </w:r>
          </w:p>
          <w:p w14:paraId="757B6268" w14:textId="72AD2F12" w:rsidR="004B55AD" w:rsidRPr="00286216" w:rsidRDefault="004B55AD" w:rsidP="004B55AD">
            <w:pPr>
              <w:pStyle w:val="StyleWisnow"/>
              <w:rPr>
                <w:color w:val="000000" w:themeColor="text1"/>
              </w:rPr>
            </w:pPr>
          </w:p>
        </w:tc>
        <w:tc>
          <w:tcPr>
            <w:tcW w:w="4818" w:type="dxa"/>
          </w:tcPr>
          <w:p w14:paraId="197B13D0" w14:textId="03B05432" w:rsidR="004B55AD" w:rsidRPr="00286216" w:rsidRDefault="004B55AD" w:rsidP="004B55AD">
            <w:pPr>
              <w:pStyle w:val="StyleZakonu"/>
              <w:rPr>
                <w:color w:val="000000" w:themeColor="text1"/>
              </w:rPr>
            </w:pPr>
            <w:r w:rsidRPr="00286216">
              <w:rPr>
                <w:color w:val="000000" w:themeColor="text1"/>
              </w:rPr>
              <w:t>12. Правочини щодо фінансових інструментів повинні вчинятися за участю або посередництвом інвестиційної фірми, крім випадків:</w:t>
            </w:r>
          </w:p>
        </w:tc>
      </w:tr>
      <w:tr w:rsidR="00F77E8D" w:rsidRPr="00286216" w14:paraId="47659B6E" w14:textId="77777777" w:rsidTr="00091AA5">
        <w:tc>
          <w:tcPr>
            <w:tcW w:w="576" w:type="dxa"/>
          </w:tcPr>
          <w:p w14:paraId="18A00E03" w14:textId="77777777" w:rsidR="004B55AD" w:rsidRPr="00286216" w:rsidRDefault="004B55AD" w:rsidP="004B55AD">
            <w:pPr>
              <w:pStyle w:val="StyleWisnow"/>
              <w:rPr>
                <w:color w:val="000000" w:themeColor="text1"/>
              </w:rPr>
            </w:pPr>
          </w:p>
        </w:tc>
        <w:tc>
          <w:tcPr>
            <w:tcW w:w="4818" w:type="dxa"/>
          </w:tcPr>
          <w:p w14:paraId="4F4655D1" w14:textId="77777777" w:rsidR="004B55AD" w:rsidRPr="00286216" w:rsidRDefault="004B55AD" w:rsidP="004B55AD">
            <w:pPr>
              <w:pStyle w:val="StyleZakonu"/>
              <w:rPr>
                <w:color w:val="000000" w:themeColor="text1"/>
              </w:rPr>
            </w:pPr>
          </w:p>
        </w:tc>
        <w:tc>
          <w:tcPr>
            <w:tcW w:w="3686" w:type="dxa"/>
          </w:tcPr>
          <w:p w14:paraId="58570CC3" w14:textId="67ECD4A1" w:rsidR="004B55AD" w:rsidRPr="00286216" w:rsidRDefault="004B55AD" w:rsidP="00D2303B">
            <w:pPr>
              <w:pStyle w:val="StyleProp"/>
              <w:spacing w:line="180" w:lineRule="exact"/>
              <w:rPr>
                <w:color w:val="000000" w:themeColor="text1"/>
              </w:rPr>
            </w:pPr>
            <w:r w:rsidRPr="00286216">
              <w:rPr>
                <w:color w:val="000000" w:themeColor="text1"/>
              </w:rPr>
              <w:t>1) розміщення емітентом власних цінних паперів;</w:t>
            </w:r>
          </w:p>
        </w:tc>
        <w:tc>
          <w:tcPr>
            <w:tcW w:w="1987" w:type="dxa"/>
          </w:tcPr>
          <w:p w14:paraId="1E918CE1" w14:textId="77777777" w:rsidR="004B55AD" w:rsidRPr="00286216" w:rsidRDefault="004B55AD" w:rsidP="004B55AD">
            <w:pPr>
              <w:pStyle w:val="StyleWisnow"/>
              <w:rPr>
                <w:color w:val="000000" w:themeColor="text1"/>
              </w:rPr>
            </w:pPr>
          </w:p>
        </w:tc>
        <w:tc>
          <w:tcPr>
            <w:tcW w:w="4818" w:type="dxa"/>
          </w:tcPr>
          <w:p w14:paraId="50D646C4" w14:textId="1C557C2E" w:rsidR="004B55AD" w:rsidRPr="00286216" w:rsidRDefault="004B55AD" w:rsidP="004B55AD">
            <w:pPr>
              <w:pStyle w:val="StyleZakonu"/>
              <w:rPr>
                <w:color w:val="000000" w:themeColor="text1"/>
              </w:rPr>
            </w:pPr>
            <w:r w:rsidRPr="00286216">
              <w:rPr>
                <w:color w:val="000000" w:themeColor="text1"/>
              </w:rPr>
              <w:t>1) розміщення емітентом власних цінних паперів;</w:t>
            </w:r>
          </w:p>
        </w:tc>
      </w:tr>
      <w:tr w:rsidR="00F77E8D" w:rsidRPr="00286216" w14:paraId="439FF061" w14:textId="77777777" w:rsidTr="00091AA5">
        <w:tc>
          <w:tcPr>
            <w:tcW w:w="576" w:type="dxa"/>
          </w:tcPr>
          <w:p w14:paraId="200896B7" w14:textId="77777777" w:rsidR="004B55AD" w:rsidRPr="00286216" w:rsidRDefault="004B55AD" w:rsidP="004B55AD">
            <w:pPr>
              <w:pStyle w:val="StyleWisnow"/>
              <w:rPr>
                <w:color w:val="000000" w:themeColor="text1"/>
              </w:rPr>
            </w:pPr>
          </w:p>
        </w:tc>
        <w:tc>
          <w:tcPr>
            <w:tcW w:w="4818" w:type="dxa"/>
          </w:tcPr>
          <w:p w14:paraId="048AB676" w14:textId="77777777" w:rsidR="004B55AD" w:rsidRPr="00286216" w:rsidRDefault="004B55AD" w:rsidP="004B55AD">
            <w:pPr>
              <w:pStyle w:val="StyleZakonu"/>
              <w:rPr>
                <w:color w:val="000000" w:themeColor="text1"/>
              </w:rPr>
            </w:pPr>
          </w:p>
        </w:tc>
        <w:tc>
          <w:tcPr>
            <w:tcW w:w="3686" w:type="dxa"/>
          </w:tcPr>
          <w:p w14:paraId="58868763" w14:textId="03A602E7" w:rsidR="004B55AD" w:rsidRPr="00286216" w:rsidRDefault="004B55AD" w:rsidP="004B55AD">
            <w:pPr>
              <w:pStyle w:val="StyleProp"/>
              <w:rPr>
                <w:color w:val="000000" w:themeColor="text1"/>
              </w:rPr>
            </w:pPr>
            <w:r w:rsidRPr="00286216">
              <w:rPr>
                <w:color w:val="000000" w:themeColor="text1"/>
              </w:rPr>
              <w:t>2) викупу та продажу емітентом власних цінних паперів;</w:t>
            </w:r>
          </w:p>
        </w:tc>
        <w:tc>
          <w:tcPr>
            <w:tcW w:w="1987" w:type="dxa"/>
          </w:tcPr>
          <w:p w14:paraId="3C04B57C" w14:textId="77777777" w:rsidR="004B55AD" w:rsidRPr="00286216" w:rsidRDefault="004B55AD" w:rsidP="004B55AD">
            <w:pPr>
              <w:pStyle w:val="StyleWisnow"/>
              <w:rPr>
                <w:color w:val="000000" w:themeColor="text1"/>
              </w:rPr>
            </w:pPr>
          </w:p>
        </w:tc>
        <w:tc>
          <w:tcPr>
            <w:tcW w:w="4818" w:type="dxa"/>
          </w:tcPr>
          <w:p w14:paraId="1BB32BB1" w14:textId="1689BC2B" w:rsidR="004B55AD" w:rsidRPr="00286216" w:rsidRDefault="004B55AD" w:rsidP="004B55AD">
            <w:pPr>
              <w:pStyle w:val="StyleZakonu"/>
              <w:rPr>
                <w:color w:val="000000" w:themeColor="text1"/>
              </w:rPr>
            </w:pPr>
            <w:r w:rsidRPr="00286216">
              <w:rPr>
                <w:color w:val="000000" w:themeColor="text1"/>
              </w:rPr>
              <w:t>2) викупу та продажу емітентом власних цінних паперів;</w:t>
            </w:r>
          </w:p>
        </w:tc>
      </w:tr>
      <w:tr w:rsidR="00F77E8D" w:rsidRPr="00286216" w14:paraId="4C7C5468" w14:textId="77777777" w:rsidTr="00091AA5">
        <w:tc>
          <w:tcPr>
            <w:tcW w:w="576" w:type="dxa"/>
          </w:tcPr>
          <w:p w14:paraId="69D5933A" w14:textId="77777777" w:rsidR="004B55AD" w:rsidRPr="00286216" w:rsidRDefault="004B55AD" w:rsidP="004B55AD">
            <w:pPr>
              <w:pStyle w:val="StyleWisnow"/>
              <w:rPr>
                <w:color w:val="000000" w:themeColor="text1"/>
              </w:rPr>
            </w:pPr>
          </w:p>
        </w:tc>
        <w:tc>
          <w:tcPr>
            <w:tcW w:w="4818" w:type="dxa"/>
          </w:tcPr>
          <w:p w14:paraId="417DF7AE" w14:textId="77777777" w:rsidR="004B55AD" w:rsidRPr="00286216" w:rsidRDefault="004B55AD" w:rsidP="004B55AD">
            <w:pPr>
              <w:pStyle w:val="StyleZakonu"/>
              <w:rPr>
                <w:color w:val="000000" w:themeColor="text1"/>
              </w:rPr>
            </w:pPr>
          </w:p>
        </w:tc>
        <w:tc>
          <w:tcPr>
            <w:tcW w:w="3686" w:type="dxa"/>
          </w:tcPr>
          <w:p w14:paraId="18939F5C" w14:textId="12CA064D" w:rsidR="004B55AD" w:rsidRPr="00286216" w:rsidRDefault="004B55AD" w:rsidP="004B55AD">
            <w:pPr>
              <w:pStyle w:val="StyleProp"/>
              <w:rPr>
                <w:color w:val="000000" w:themeColor="text1"/>
              </w:rPr>
            </w:pPr>
            <w:r w:rsidRPr="00286216">
              <w:rPr>
                <w:color w:val="000000" w:themeColor="text1"/>
              </w:rPr>
              <w:t>3) проведення розрахунків з використанням неемісійних цінних паперів;</w:t>
            </w:r>
          </w:p>
        </w:tc>
        <w:tc>
          <w:tcPr>
            <w:tcW w:w="1987" w:type="dxa"/>
          </w:tcPr>
          <w:p w14:paraId="72555B65" w14:textId="77777777" w:rsidR="004B55AD" w:rsidRPr="00286216" w:rsidRDefault="004B55AD" w:rsidP="004B55AD">
            <w:pPr>
              <w:pStyle w:val="StyleWisnow"/>
              <w:rPr>
                <w:color w:val="000000" w:themeColor="text1"/>
              </w:rPr>
            </w:pPr>
          </w:p>
        </w:tc>
        <w:tc>
          <w:tcPr>
            <w:tcW w:w="4818" w:type="dxa"/>
          </w:tcPr>
          <w:p w14:paraId="4FA01CC3" w14:textId="3D046DBA" w:rsidR="004B55AD" w:rsidRPr="00286216" w:rsidRDefault="004B55AD" w:rsidP="004B55AD">
            <w:pPr>
              <w:pStyle w:val="StyleZakonu"/>
              <w:rPr>
                <w:color w:val="000000" w:themeColor="text1"/>
              </w:rPr>
            </w:pPr>
            <w:r w:rsidRPr="00286216">
              <w:rPr>
                <w:color w:val="000000" w:themeColor="text1"/>
              </w:rPr>
              <w:t>3) проведення розрахунків з використанням неемісійних цінних паперів;</w:t>
            </w:r>
          </w:p>
        </w:tc>
      </w:tr>
      <w:tr w:rsidR="00F77E8D" w:rsidRPr="00286216" w14:paraId="3CCD13E7" w14:textId="77777777" w:rsidTr="00091AA5">
        <w:tc>
          <w:tcPr>
            <w:tcW w:w="576" w:type="dxa"/>
          </w:tcPr>
          <w:p w14:paraId="58BF0561" w14:textId="77777777" w:rsidR="004B55AD" w:rsidRPr="00286216" w:rsidRDefault="004B55AD" w:rsidP="004B55AD">
            <w:pPr>
              <w:pStyle w:val="StyleWisnow"/>
              <w:rPr>
                <w:color w:val="000000" w:themeColor="text1"/>
              </w:rPr>
            </w:pPr>
          </w:p>
        </w:tc>
        <w:tc>
          <w:tcPr>
            <w:tcW w:w="4818" w:type="dxa"/>
          </w:tcPr>
          <w:p w14:paraId="333E2DC9" w14:textId="77777777" w:rsidR="004B55AD" w:rsidRPr="00286216" w:rsidRDefault="004B55AD" w:rsidP="004B55AD">
            <w:pPr>
              <w:pStyle w:val="StyleZakonu"/>
              <w:rPr>
                <w:color w:val="000000" w:themeColor="text1"/>
              </w:rPr>
            </w:pPr>
          </w:p>
        </w:tc>
        <w:tc>
          <w:tcPr>
            <w:tcW w:w="3686" w:type="dxa"/>
          </w:tcPr>
          <w:p w14:paraId="736F3FCC" w14:textId="6B607C28" w:rsidR="004B55AD" w:rsidRPr="00286216" w:rsidRDefault="004B55AD" w:rsidP="004B55AD">
            <w:pPr>
              <w:pStyle w:val="StyleProp"/>
              <w:rPr>
                <w:color w:val="000000" w:themeColor="text1"/>
              </w:rPr>
            </w:pPr>
            <w:r w:rsidRPr="00286216">
              <w:rPr>
                <w:color w:val="000000" w:themeColor="text1"/>
              </w:rPr>
              <w:t>4) розміщення казначейських зобов’язань України;</w:t>
            </w:r>
          </w:p>
        </w:tc>
        <w:tc>
          <w:tcPr>
            <w:tcW w:w="1987" w:type="dxa"/>
          </w:tcPr>
          <w:p w14:paraId="0DEF75C4" w14:textId="77777777" w:rsidR="004B55AD" w:rsidRPr="00286216" w:rsidRDefault="004B55AD" w:rsidP="004B55AD">
            <w:pPr>
              <w:pStyle w:val="StyleWisnow"/>
              <w:rPr>
                <w:color w:val="000000" w:themeColor="text1"/>
              </w:rPr>
            </w:pPr>
          </w:p>
        </w:tc>
        <w:tc>
          <w:tcPr>
            <w:tcW w:w="4818" w:type="dxa"/>
          </w:tcPr>
          <w:p w14:paraId="36858F09" w14:textId="6DF24392" w:rsidR="004B55AD" w:rsidRPr="00286216" w:rsidRDefault="004B55AD" w:rsidP="004B55AD">
            <w:pPr>
              <w:pStyle w:val="StyleZakonu"/>
              <w:rPr>
                <w:color w:val="000000" w:themeColor="text1"/>
              </w:rPr>
            </w:pPr>
            <w:r w:rsidRPr="00286216">
              <w:rPr>
                <w:color w:val="000000" w:themeColor="text1"/>
              </w:rPr>
              <w:t>4) розміщення казначейських зобов’язань України;</w:t>
            </w:r>
          </w:p>
        </w:tc>
      </w:tr>
      <w:tr w:rsidR="00F77E8D" w:rsidRPr="00286216" w14:paraId="12AC1B86" w14:textId="77777777" w:rsidTr="00091AA5">
        <w:tc>
          <w:tcPr>
            <w:tcW w:w="576" w:type="dxa"/>
          </w:tcPr>
          <w:p w14:paraId="22815146" w14:textId="77777777" w:rsidR="004B55AD" w:rsidRPr="00286216" w:rsidRDefault="004B55AD" w:rsidP="004B55AD">
            <w:pPr>
              <w:pStyle w:val="StyleWisnow"/>
              <w:rPr>
                <w:color w:val="000000" w:themeColor="text1"/>
              </w:rPr>
            </w:pPr>
          </w:p>
        </w:tc>
        <w:tc>
          <w:tcPr>
            <w:tcW w:w="4818" w:type="dxa"/>
          </w:tcPr>
          <w:p w14:paraId="5617A16D" w14:textId="77777777" w:rsidR="004B55AD" w:rsidRPr="00286216" w:rsidRDefault="004B55AD" w:rsidP="004B55AD">
            <w:pPr>
              <w:pStyle w:val="StyleZakonu"/>
              <w:rPr>
                <w:color w:val="000000" w:themeColor="text1"/>
              </w:rPr>
            </w:pPr>
          </w:p>
        </w:tc>
        <w:tc>
          <w:tcPr>
            <w:tcW w:w="3686" w:type="dxa"/>
          </w:tcPr>
          <w:p w14:paraId="6398B8DF" w14:textId="6F87EF9B" w:rsidR="004B55AD" w:rsidRPr="00286216" w:rsidRDefault="004B55AD" w:rsidP="007A4B3F">
            <w:pPr>
              <w:pStyle w:val="StyleProp"/>
              <w:rPr>
                <w:color w:val="000000" w:themeColor="text1"/>
              </w:rPr>
            </w:pPr>
            <w:r w:rsidRPr="00286216">
              <w:rPr>
                <w:color w:val="000000" w:themeColor="text1"/>
              </w:rPr>
              <w:t>5) внесення цінних паперів до статутного (складеного) капіталу юридичних осіб;</w:t>
            </w:r>
          </w:p>
        </w:tc>
        <w:tc>
          <w:tcPr>
            <w:tcW w:w="1987" w:type="dxa"/>
          </w:tcPr>
          <w:p w14:paraId="74F940E3" w14:textId="77777777" w:rsidR="004B55AD" w:rsidRPr="00286216" w:rsidRDefault="004B55AD" w:rsidP="004B55AD">
            <w:pPr>
              <w:pStyle w:val="StyleWisnow"/>
              <w:rPr>
                <w:color w:val="000000" w:themeColor="text1"/>
              </w:rPr>
            </w:pPr>
          </w:p>
        </w:tc>
        <w:tc>
          <w:tcPr>
            <w:tcW w:w="4818" w:type="dxa"/>
          </w:tcPr>
          <w:p w14:paraId="193B4AAA" w14:textId="20682F95" w:rsidR="004B55AD" w:rsidRPr="00286216" w:rsidRDefault="004B55AD" w:rsidP="00627EA5">
            <w:pPr>
              <w:pStyle w:val="StyleZakonu"/>
              <w:rPr>
                <w:color w:val="000000" w:themeColor="text1"/>
              </w:rPr>
            </w:pPr>
            <w:r w:rsidRPr="00286216">
              <w:rPr>
                <w:color w:val="000000" w:themeColor="text1"/>
              </w:rPr>
              <w:t>5) внесення цінних паперів до статутного (складеного) капіталу юридичн</w:t>
            </w:r>
            <w:r w:rsidR="00627EA5" w:rsidRPr="00286216">
              <w:rPr>
                <w:color w:val="000000" w:themeColor="text1"/>
              </w:rPr>
              <w:t>ої</w:t>
            </w:r>
            <w:r w:rsidRPr="00286216">
              <w:rPr>
                <w:color w:val="000000" w:themeColor="text1"/>
              </w:rPr>
              <w:t xml:space="preserve"> ос</w:t>
            </w:r>
            <w:r w:rsidR="00627EA5" w:rsidRPr="00286216">
              <w:rPr>
                <w:color w:val="000000" w:themeColor="text1"/>
              </w:rPr>
              <w:t>о</w:t>
            </w:r>
            <w:r w:rsidRPr="00286216">
              <w:rPr>
                <w:color w:val="000000" w:themeColor="text1"/>
              </w:rPr>
              <w:t>б</w:t>
            </w:r>
            <w:r w:rsidR="00627EA5" w:rsidRPr="00286216">
              <w:rPr>
                <w:color w:val="000000" w:themeColor="text1"/>
              </w:rPr>
              <w:t>и</w:t>
            </w:r>
            <w:r w:rsidRPr="00286216">
              <w:rPr>
                <w:color w:val="000000" w:themeColor="text1"/>
              </w:rPr>
              <w:t>;</w:t>
            </w:r>
          </w:p>
        </w:tc>
      </w:tr>
      <w:tr w:rsidR="00F77E8D" w:rsidRPr="00286216" w14:paraId="61C4AEB6" w14:textId="77777777" w:rsidTr="00091AA5">
        <w:tc>
          <w:tcPr>
            <w:tcW w:w="576" w:type="dxa"/>
          </w:tcPr>
          <w:p w14:paraId="6FA8AD42" w14:textId="77777777" w:rsidR="004B55AD" w:rsidRPr="00286216" w:rsidRDefault="004B55AD" w:rsidP="004B55AD">
            <w:pPr>
              <w:pStyle w:val="StyleWisnow"/>
              <w:rPr>
                <w:color w:val="000000" w:themeColor="text1"/>
              </w:rPr>
            </w:pPr>
          </w:p>
        </w:tc>
        <w:tc>
          <w:tcPr>
            <w:tcW w:w="4818" w:type="dxa"/>
          </w:tcPr>
          <w:p w14:paraId="350BA50E" w14:textId="77777777" w:rsidR="004B55AD" w:rsidRPr="00286216" w:rsidRDefault="004B55AD" w:rsidP="004B55AD">
            <w:pPr>
              <w:pStyle w:val="StyleZakonu"/>
              <w:rPr>
                <w:color w:val="000000" w:themeColor="text1"/>
              </w:rPr>
            </w:pPr>
          </w:p>
        </w:tc>
        <w:tc>
          <w:tcPr>
            <w:tcW w:w="3686" w:type="dxa"/>
          </w:tcPr>
          <w:p w14:paraId="1AC7C91A" w14:textId="4D000EDC" w:rsidR="004B55AD" w:rsidRPr="00286216" w:rsidRDefault="004B55AD" w:rsidP="007A4B3F">
            <w:pPr>
              <w:pStyle w:val="StyleProp"/>
              <w:rPr>
                <w:color w:val="000000" w:themeColor="text1"/>
              </w:rPr>
            </w:pPr>
            <w:r w:rsidRPr="00286216">
              <w:rPr>
                <w:color w:val="000000" w:themeColor="text1"/>
              </w:rPr>
              <w:t>6) дарування цінних паперів;</w:t>
            </w:r>
          </w:p>
        </w:tc>
        <w:tc>
          <w:tcPr>
            <w:tcW w:w="1987" w:type="dxa"/>
          </w:tcPr>
          <w:p w14:paraId="7D7ABB11" w14:textId="77777777" w:rsidR="004B55AD" w:rsidRPr="00286216" w:rsidRDefault="004B55AD" w:rsidP="004B55AD">
            <w:pPr>
              <w:pStyle w:val="StyleWisnow"/>
              <w:rPr>
                <w:color w:val="000000" w:themeColor="text1"/>
              </w:rPr>
            </w:pPr>
          </w:p>
        </w:tc>
        <w:tc>
          <w:tcPr>
            <w:tcW w:w="4818" w:type="dxa"/>
          </w:tcPr>
          <w:p w14:paraId="68676619" w14:textId="4ECFDFF7" w:rsidR="004B55AD" w:rsidRPr="00286216" w:rsidRDefault="004B55AD" w:rsidP="004B55AD">
            <w:pPr>
              <w:pStyle w:val="StyleZakonu"/>
              <w:rPr>
                <w:color w:val="000000" w:themeColor="text1"/>
              </w:rPr>
            </w:pPr>
            <w:r w:rsidRPr="00286216">
              <w:rPr>
                <w:color w:val="000000" w:themeColor="text1"/>
              </w:rPr>
              <w:t>6) дарування цінних паперів;</w:t>
            </w:r>
          </w:p>
        </w:tc>
      </w:tr>
      <w:tr w:rsidR="00F77E8D" w:rsidRPr="00286216" w14:paraId="48B1255B" w14:textId="77777777" w:rsidTr="00091AA5">
        <w:tc>
          <w:tcPr>
            <w:tcW w:w="576" w:type="dxa"/>
          </w:tcPr>
          <w:p w14:paraId="516F6FF5" w14:textId="77777777" w:rsidR="004B55AD" w:rsidRPr="00286216" w:rsidRDefault="004B55AD" w:rsidP="004B55AD">
            <w:pPr>
              <w:pStyle w:val="StyleWisnow"/>
              <w:rPr>
                <w:color w:val="000000" w:themeColor="text1"/>
              </w:rPr>
            </w:pPr>
          </w:p>
        </w:tc>
        <w:tc>
          <w:tcPr>
            <w:tcW w:w="4818" w:type="dxa"/>
          </w:tcPr>
          <w:p w14:paraId="3B26DCCD" w14:textId="77777777" w:rsidR="004B55AD" w:rsidRPr="00286216" w:rsidRDefault="004B55AD" w:rsidP="004B55AD">
            <w:pPr>
              <w:pStyle w:val="StyleZakonu"/>
              <w:rPr>
                <w:color w:val="000000" w:themeColor="text1"/>
              </w:rPr>
            </w:pPr>
          </w:p>
        </w:tc>
        <w:tc>
          <w:tcPr>
            <w:tcW w:w="3686" w:type="dxa"/>
          </w:tcPr>
          <w:p w14:paraId="5CF1734C" w14:textId="1646EA03" w:rsidR="004B55AD" w:rsidRPr="00286216" w:rsidRDefault="004B55AD" w:rsidP="007A4B3F">
            <w:pPr>
              <w:pStyle w:val="StyleProp"/>
              <w:rPr>
                <w:color w:val="000000" w:themeColor="text1"/>
              </w:rPr>
            </w:pPr>
            <w:r w:rsidRPr="00286216">
              <w:rPr>
                <w:color w:val="000000" w:themeColor="text1"/>
              </w:rPr>
              <w:t>7) застави цінних паперів, а також правочинів, спрямованих на виконання, зміну та припинення такої застави (зокрема блокування, заклад, переказ, користування, управління, звернення стягнення на предмет застави тощо);</w:t>
            </w:r>
          </w:p>
        </w:tc>
        <w:tc>
          <w:tcPr>
            <w:tcW w:w="1987" w:type="dxa"/>
          </w:tcPr>
          <w:p w14:paraId="35E107BF" w14:textId="77777777" w:rsidR="004B55AD" w:rsidRPr="00286216" w:rsidRDefault="004B55AD" w:rsidP="004B55AD">
            <w:pPr>
              <w:pStyle w:val="StyleWisnow"/>
              <w:rPr>
                <w:color w:val="000000" w:themeColor="text1"/>
              </w:rPr>
            </w:pPr>
          </w:p>
        </w:tc>
        <w:tc>
          <w:tcPr>
            <w:tcW w:w="4818" w:type="dxa"/>
          </w:tcPr>
          <w:p w14:paraId="14F2FBC3" w14:textId="57F62EE9" w:rsidR="004B55AD" w:rsidRPr="00286216" w:rsidRDefault="004B55AD" w:rsidP="00627EA5">
            <w:pPr>
              <w:pStyle w:val="StyleZakonu"/>
              <w:rPr>
                <w:color w:val="000000" w:themeColor="text1"/>
              </w:rPr>
            </w:pPr>
            <w:r w:rsidRPr="00286216">
              <w:rPr>
                <w:color w:val="000000" w:themeColor="text1"/>
              </w:rPr>
              <w:t xml:space="preserve">7) застави цінних паперів, а також </w:t>
            </w:r>
            <w:r w:rsidR="00627EA5" w:rsidRPr="00286216">
              <w:rPr>
                <w:color w:val="000000" w:themeColor="text1"/>
              </w:rPr>
              <w:t xml:space="preserve">вчинення </w:t>
            </w:r>
            <w:r w:rsidRPr="00286216">
              <w:rPr>
                <w:color w:val="000000" w:themeColor="text1"/>
              </w:rPr>
              <w:t>правочинів, спрямованих на виконання, зміну та припинення такої застави (блокування, заклад, переказ, користування, управління, звернення стягнення на предмет застави тощо);</w:t>
            </w:r>
          </w:p>
        </w:tc>
      </w:tr>
      <w:tr w:rsidR="00F77E8D" w:rsidRPr="00286216" w14:paraId="554217DA" w14:textId="77777777" w:rsidTr="00091AA5">
        <w:tc>
          <w:tcPr>
            <w:tcW w:w="576" w:type="dxa"/>
          </w:tcPr>
          <w:p w14:paraId="4EF2F2C4" w14:textId="77777777" w:rsidR="004B55AD" w:rsidRPr="00286216" w:rsidRDefault="004B55AD" w:rsidP="004B55AD">
            <w:pPr>
              <w:pStyle w:val="StyleWisnow"/>
              <w:rPr>
                <w:color w:val="000000" w:themeColor="text1"/>
              </w:rPr>
            </w:pPr>
          </w:p>
        </w:tc>
        <w:tc>
          <w:tcPr>
            <w:tcW w:w="4818" w:type="dxa"/>
          </w:tcPr>
          <w:p w14:paraId="595839D2" w14:textId="77777777" w:rsidR="004B55AD" w:rsidRPr="00286216" w:rsidRDefault="004B55AD" w:rsidP="004B55AD">
            <w:pPr>
              <w:pStyle w:val="StyleZakonu"/>
              <w:rPr>
                <w:color w:val="000000" w:themeColor="text1"/>
              </w:rPr>
            </w:pPr>
          </w:p>
        </w:tc>
        <w:tc>
          <w:tcPr>
            <w:tcW w:w="3686" w:type="dxa"/>
          </w:tcPr>
          <w:p w14:paraId="28AF075B" w14:textId="398C31A2" w:rsidR="004B55AD" w:rsidRPr="00286216" w:rsidRDefault="004B55AD" w:rsidP="007A4B3F">
            <w:pPr>
              <w:pStyle w:val="StyleProp"/>
              <w:rPr>
                <w:color w:val="000000" w:themeColor="text1"/>
              </w:rPr>
            </w:pPr>
            <w:r w:rsidRPr="00286216">
              <w:rPr>
                <w:color w:val="000000" w:themeColor="text1"/>
              </w:rPr>
              <w:t>8) спадкування та правонаступництва щодо цінних паперів (у тому числі поділу спадкового майна);</w:t>
            </w:r>
          </w:p>
        </w:tc>
        <w:tc>
          <w:tcPr>
            <w:tcW w:w="1987" w:type="dxa"/>
          </w:tcPr>
          <w:p w14:paraId="5DB9EE45" w14:textId="77777777" w:rsidR="004B55AD" w:rsidRPr="00286216" w:rsidRDefault="004B55AD" w:rsidP="004B55AD">
            <w:pPr>
              <w:pStyle w:val="StyleWisnow"/>
              <w:rPr>
                <w:color w:val="000000" w:themeColor="text1"/>
              </w:rPr>
            </w:pPr>
          </w:p>
        </w:tc>
        <w:tc>
          <w:tcPr>
            <w:tcW w:w="4818" w:type="dxa"/>
          </w:tcPr>
          <w:p w14:paraId="40F6C075" w14:textId="1B8B595D" w:rsidR="004B55AD" w:rsidRPr="00286216" w:rsidRDefault="004B55AD" w:rsidP="004B55AD">
            <w:pPr>
              <w:pStyle w:val="StyleZakonu"/>
              <w:rPr>
                <w:color w:val="000000" w:themeColor="text1"/>
              </w:rPr>
            </w:pPr>
            <w:r w:rsidRPr="00286216">
              <w:rPr>
                <w:color w:val="000000" w:themeColor="text1"/>
              </w:rPr>
              <w:t>8) спадкування та правонаступництва щодо цінних паперів (у тому числі поділу спадкового майна);</w:t>
            </w:r>
          </w:p>
        </w:tc>
      </w:tr>
      <w:tr w:rsidR="00F77E8D" w:rsidRPr="00286216" w14:paraId="638ECD5D" w14:textId="77777777" w:rsidTr="00091AA5">
        <w:tc>
          <w:tcPr>
            <w:tcW w:w="576" w:type="dxa"/>
          </w:tcPr>
          <w:p w14:paraId="6399EDBF" w14:textId="77777777" w:rsidR="004B55AD" w:rsidRPr="00286216" w:rsidRDefault="004B55AD" w:rsidP="004B55AD">
            <w:pPr>
              <w:pStyle w:val="StyleWisnow"/>
              <w:rPr>
                <w:color w:val="000000" w:themeColor="text1"/>
              </w:rPr>
            </w:pPr>
          </w:p>
        </w:tc>
        <w:tc>
          <w:tcPr>
            <w:tcW w:w="4818" w:type="dxa"/>
          </w:tcPr>
          <w:p w14:paraId="23429347" w14:textId="77777777" w:rsidR="004B55AD" w:rsidRPr="00286216" w:rsidRDefault="004B55AD" w:rsidP="004B55AD">
            <w:pPr>
              <w:pStyle w:val="StyleZakonu"/>
              <w:rPr>
                <w:color w:val="000000" w:themeColor="text1"/>
              </w:rPr>
            </w:pPr>
          </w:p>
        </w:tc>
        <w:tc>
          <w:tcPr>
            <w:tcW w:w="3686" w:type="dxa"/>
          </w:tcPr>
          <w:p w14:paraId="4C18CAEE" w14:textId="5258E4B3" w:rsidR="004B55AD" w:rsidRPr="00286216" w:rsidRDefault="004B55AD" w:rsidP="007A4B3F">
            <w:pPr>
              <w:pStyle w:val="StyleProp"/>
              <w:rPr>
                <w:color w:val="000000" w:themeColor="text1"/>
              </w:rPr>
            </w:pPr>
            <w:r w:rsidRPr="00286216">
              <w:rPr>
                <w:color w:val="000000" w:themeColor="text1"/>
              </w:rPr>
              <w:t>9) вчинення правочинів, пов’язаних з виконанням судових рішень;</w:t>
            </w:r>
          </w:p>
        </w:tc>
        <w:tc>
          <w:tcPr>
            <w:tcW w:w="1987" w:type="dxa"/>
          </w:tcPr>
          <w:p w14:paraId="6E2DF8E1" w14:textId="77777777" w:rsidR="004B55AD" w:rsidRPr="00286216" w:rsidRDefault="004B55AD" w:rsidP="004B55AD">
            <w:pPr>
              <w:pStyle w:val="StyleWisnow"/>
              <w:rPr>
                <w:color w:val="000000" w:themeColor="text1"/>
              </w:rPr>
            </w:pPr>
          </w:p>
        </w:tc>
        <w:tc>
          <w:tcPr>
            <w:tcW w:w="4818" w:type="dxa"/>
          </w:tcPr>
          <w:p w14:paraId="74B1C992" w14:textId="4BF01508" w:rsidR="004B55AD" w:rsidRPr="00286216" w:rsidRDefault="004B55AD" w:rsidP="004B55AD">
            <w:pPr>
              <w:pStyle w:val="StyleZakonu"/>
              <w:rPr>
                <w:color w:val="000000" w:themeColor="text1"/>
              </w:rPr>
            </w:pPr>
            <w:r w:rsidRPr="00286216">
              <w:rPr>
                <w:color w:val="000000" w:themeColor="text1"/>
              </w:rPr>
              <w:t>9) вчинення правочинів, пов’язаних з виконанням судових рішень;</w:t>
            </w:r>
          </w:p>
        </w:tc>
      </w:tr>
      <w:tr w:rsidR="00F77E8D" w:rsidRPr="00286216" w14:paraId="246BFE3A" w14:textId="77777777" w:rsidTr="00091AA5">
        <w:tc>
          <w:tcPr>
            <w:tcW w:w="576" w:type="dxa"/>
          </w:tcPr>
          <w:p w14:paraId="78695534" w14:textId="77777777" w:rsidR="004B55AD" w:rsidRPr="00286216" w:rsidRDefault="004B55AD" w:rsidP="004B55AD">
            <w:pPr>
              <w:pStyle w:val="StyleWisnow"/>
              <w:rPr>
                <w:color w:val="000000" w:themeColor="text1"/>
              </w:rPr>
            </w:pPr>
          </w:p>
        </w:tc>
        <w:tc>
          <w:tcPr>
            <w:tcW w:w="4818" w:type="dxa"/>
          </w:tcPr>
          <w:p w14:paraId="7BF6A5B9" w14:textId="77777777" w:rsidR="004B55AD" w:rsidRPr="00286216" w:rsidRDefault="004B55AD" w:rsidP="004B55AD">
            <w:pPr>
              <w:pStyle w:val="StyleZakonu"/>
              <w:rPr>
                <w:color w:val="000000" w:themeColor="text1"/>
              </w:rPr>
            </w:pPr>
          </w:p>
        </w:tc>
        <w:tc>
          <w:tcPr>
            <w:tcW w:w="3686" w:type="dxa"/>
          </w:tcPr>
          <w:p w14:paraId="40409189" w14:textId="374A807E" w:rsidR="004B55AD" w:rsidRPr="00286216" w:rsidRDefault="004B55AD" w:rsidP="007A4B3F">
            <w:pPr>
              <w:pStyle w:val="StyleProp"/>
              <w:rPr>
                <w:color w:val="000000" w:themeColor="text1"/>
              </w:rPr>
            </w:pPr>
            <w:r w:rsidRPr="00286216">
              <w:rPr>
                <w:color w:val="000000" w:themeColor="text1"/>
              </w:rPr>
              <w:t>10) вчинення правочинів у процесі приватизації;</w:t>
            </w:r>
          </w:p>
        </w:tc>
        <w:tc>
          <w:tcPr>
            <w:tcW w:w="1987" w:type="dxa"/>
          </w:tcPr>
          <w:p w14:paraId="081BFAD5" w14:textId="77777777" w:rsidR="004B55AD" w:rsidRPr="00286216" w:rsidRDefault="004B55AD" w:rsidP="004B55AD">
            <w:pPr>
              <w:pStyle w:val="StyleWisnow"/>
              <w:rPr>
                <w:color w:val="000000" w:themeColor="text1"/>
              </w:rPr>
            </w:pPr>
          </w:p>
        </w:tc>
        <w:tc>
          <w:tcPr>
            <w:tcW w:w="4818" w:type="dxa"/>
          </w:tcPr>
          <w:p w14:paraId="34726A7D" w14:textId="5463C25A" w:rsidR="004B55AD" w:rsidRPr="00286216" w:rsidRDefault="004B55AD" w:rsidP="007A4B3F">
            <w:pPr>
              <w:pStyle w:val="StyleZakonu"/>
              <w:spacing w:after="0"/>
              <w:rPr>
                <w:color w:val="000000" w:themeColor="text1"/>
              </w:rPr>
            </w:pPr>
            <w:r w:rsidRPr="00286216">
              <w:rPr>
                <w:color w:val="000000" w:themeColor="text1"/>
              </w:rPr>
              <w:t>10) вчинення правочинів у процесі приватизації;</w:t>
            </w:r>
          </w:p>
        </w:tc>
      </w:tr>
      <w:tr w:rsidR="00F77E8D" w:rsidRPr="00286216" w14:paraId="68FF6DB0" w14:textId="77777777" w:rsidTr="00091AA5">
        <w:tc>
          <w:tcPr>
            <w:tcW w:w="576" w:type="dxa"/>
          </w:tcPr>
          <w:p w14:paraId="5E04AF1D" w14:textId="77777777" w:rsidR="004B55AD" w:rsidRPr="00286216" w:rsidRDefault="004B55AD" w:rsidP="004B55AD">
            <w:pPr>
              <w:pStyle w:val="StyleWisnow"/>
              <w:rPr>
                <w:color w:val="000000" w:themeColor="text1"/>
              </w:rPr>
            </w:pPr>
          </w:p>
        </w:tc>
        <w:tc>
          <w:tcPr>
            <w:tcW w:w="4818" w:type="dxa"/>
          </w:tcPr>
          <w:p w14:paraId="74BEE6A4" w14:textId="77777777" w:rsidR="004B55AD" w:rsidRPr="00286216" w:rsidRDefault="004B55AD" w:rsidP="004B55AD">
            <w:pPr>
              <w:pStyle w:val="StyleZakonu"/>
              <w:rPr>
                <w:color w:val="000000" w:themeColor="text1"/>
              </w:rPr>
            </w:pPr>
          </w:p>
        </w:tc>
        <w:tc>
          <w:tcPr>
            <w:tcW w:w="3686" w:type="dxa"/>
          </w:tcPr>
          <w:p w14:paraId="5AA30C20" w14:textId="403036F8" w:rsidR="004B55AD" w:rsidRPr="00286216" w:rsidRDefault="004B55AD" w:rsidP="007A4B3F">
            <w:pPr>
              <w:pStyle w:val="StyleProp"/>
              <w:rPr>
                <w:color w:val="000000" w:themeColor="text1"/>
              </w:rPr>
            </w:pPr>
            <w:r w:rsidRPr="00286216">
              <w:rPr>
                <w:color w:val="000000" w:themeColor="text1"/>
              </w:rPr>
              <w:t>11) укладення банком зі своїм клієнтом деривативних контрактів грошового ринку поза організованим ринком деривативних контрактів;</w:t>
            </w:r>
          </w:p>
        </w:tc>
        <w:tc>
          <w:tcPr>
            <w:tcW w:w="1987" w:type="dxa"/>
          </w:tcPr>
          <w:p w14:paraId="3C150CDB" w14:textId="77777777" w:rsidR="004B55AD" w:rsidRPr="00286216" w:rsidRDefault="004B55AD" w:rsidP="004B55AD">
            <w:pPr>
              <w:pStyle w:val="StyleWisnow"/>
              <w:rPr>
                <w:color w:val="000000" w:themeColor="text1"/>
              </w:rPr>
            </w:pPr>
          </w:p>
        </w:tc>
        <w:tc>
          <w:tcPr>
            <w:tcW w:w="4818" w:type="dxa"/>
          </w:tcPr>
          <w:p w14:paraId="0E9AF040" w14:textId="1223C67F" w:rsidR="004B55AD" w:rsidRPr="00286216" w:rsidRDefault="004B55AD" w:rsidP="004B55AD">
            <w:pPr>
              <w:pStyle w:val="StyleZakonu"/>
              <w:rPr>
                <w:color w:val="000000" w:themeColor="text1"/>
              </w:rPr>
            </w:pPr>
            <w:r w:rsidRPr="00286216">
              <w:rPr>
                <w:color w:val="000000" w:themeColor="text1"/>
              </w:rPr>
              <w:t>11) укладення банком зі своїм клієнтом деривативних контрактів грошового ринку поза організованим ринком деривативних контрактів;</w:t>
            </w:r>
          </w:p>
        </w:tc>
      </w:tr>
      <w:tr w:rsidR="00F77E8D" w:rsidRPr="00286216" w14:paraId="538BE2D2" w14:textId="77777777" w:rsidTr="00091AA5">
        <w:tc>
          <w:tcPr>
            <w:tcW w:w="576" w:type="dxa"/>
          </w:tcPr>
          <w:p w14:paraId="1FBE445F" w14:textId="77777777" w:rsidR="004B55AD" w:rsidRPr="00286216" w:rsidRDefault="004B55AD" w:rsidP="004B55AD">
            <w:pPr>
              <w:pStyle w:val="StyleWisnow"/>
              <w:rPr>
                <w:color w:val="000000" w:themeColor="text1"/>
              </w:rPr>
            </w:pPr>
          </w:p>
        </w:tc>
        <w:tc>
          <w:tcPr>
            <w:tcW w:w="4818" w:type="dxa"/>
          </w:tcPr>
          <w:p w14:paraId="6151A316" w14:textId="77777777" w:rsidR="004B55AD" w:rsidRPr="00286216" w:rsidRDefault="004B55AD" w:rsidP="004B55AD">
            <w:pPr>
              <w:pStyle w:val="StyleZakonu"/>
              <w:rPr>
                <w:color w:val="000000" w:themeColor="text1"/>
              </w:rPr>
            </w:pPr>
          </w:p>
        </w:tc>
        <w:tc>
          <w:tcPr>
            <w:tcW w:w="3686" w:type="dxa"/>
          </w:tcPr>
          <w:p w14:paraId="13EA7423" w14:textId="14B98FBA" w:rsidR="004B55AD" w:rsidRPr="00286216" w:rsidRDefault="004B55AD" w:rsidP="007A4B3F">
            <w:pPr>
              <w:pStyle w:val="StyleProp"/>
              <w:rPr>
                <w:color w:val="000000" w:themeColor="text1"/>
              </w:rPr>
            </w:pPr>
            <w:r w:rsidRPr="00286216">
              <w:rPr>
                <w:color w:val="000000" w:themeColor="text1"/>
              </w:rPr>
              <w:t xml:space="preserve">12) укладення між кваліфікованими інвесторами, зазначеними у пунктах 1 – 5 </w:t>
            </w:r>
            <w:r w:rsidRPr="00286216">
              <w:rPr>
                <w:color w:val="000000" w:themeColor="text1"/>
              </w:rPr>
              <w:lastRenderedPageBreak/>
              <w:t>частини першої статті 6 цього Закону, правочинів щодо фінансових інструментів поза організованим ринком капіталу;</w:t>
            </w:r>
          </w:p>
        </w:tc>
        <w:tc>
          <w:tcPr>
            <w:tcW w:w="1987" w:type="dxa"/>
          </w:tcPr>
          <w:p w14:paraId="247620D5" w14:textId="77777777" w:rsidR="004B55AD" w:rsidRPr="00286216" w:rsidRDefault="004B55AD" w:rsidP="004B55AD">
            <w:pPr>
              <w:pStyle w:val="StyleWisnow"/>
              <w:rPr>
                <w:color w:val="000000" w:themeColor="text1"/>
              </w:rPr>
            </w:pPr>
          </w:p>
        </w:tc>
        <w:tc>
          <w:tcPr>
            <w:tcW w:w="4818" w:type="dxa"/>
          </w:tcPr>
          <w:p w14:paraId="62D6551B" w14:textId="7F234B2C" w:rsidR="004B55AD" w:rsidRPr="00286216" w:rsidRDefault="004B55AD" w:rsidP="007A4B3F">
            <w:pPr>
              <w:pStyle w:val="StyleZakonu"/>
              <w:rPr>
                <w:color w:val="000000" w:themeColor="text1"/>
              </w:rPr>
            </w:pPr>
            <w:r w:rsidRPr="00286216">
              <w:rPr>
                <w:color w:val="000000" w:themeColor="text1"/>
              </w:rPr>
              <w:t xml:space="preserve">12) укладення між кваліфікованими інвесторами, зазначеними у пунктах 1 – </w:t>
            </w:r>
            <w:r w:rsidR="007A4B3F" w:rsidRPr="00286216">
              <w:rPr>
                <w:color w:val="000000" w:themeColor="text1"/>
              </w:rPr>
              <w:t>6</w:t>
            </w:r>
            <w:r w:rsidRPr="00286216">
              <w:rPr>
                <w:color w:val="000000" w:themeColor="text1"/>
              </w:rPr>
              <w:t xml:space="preserve"> частини першої статті 6 </w:t>
            </w:r>
            <w:r w:rsidRPr="00286216">
              <w:rPr>
                <w:color w:val="000000" w:themeColor="text1"/>
              </w:rPr>
              <w:lastRenderedPageBreak/>
              <w:t>цього Закону, правочинів щодо фінансових інструментів поза організованим ринком капіталу;</w:t>
            </w:r>
          </w:p>
        </w:tc>
      </w:tr>
      <w:tr w:rsidR="00F77E8D" w:rsidRPr="00286216" w14:paraId="28988889" w14:textId="77777777" w:rsidTr="00091AA5">
        <w:tc>
          <w:tcPr>
            <w:tcW w:w="576" w:type="dxa"/>
          </w:tcPr>
          <w:p w14:paraId="38896F5A" w14:textId="77777777" w:rsidR="004B55AD" w:rsidRPr="00286216" w:rsidRDefault="004B55AD" w:rsidP="004B55AD">
            <w:pPr>
              <w:pStyle w:val="StyleWisnow"/>
              <w:rPr>
                <w:color w:val="000000" w:themeColor="text1"/>
              </w:rPr>
            </w:pPr>
          </w:p>
        </w:tc>
        <w:tc>
          <w:tcPr>
            <w:tcW w:w="4818" w:type="dxa"/>
          </w:tcPr>
          <w:p w14:paraId="0B819A1A" w14:textId="77777777" w:rsidR="004B55AD" w:rsidRPr="00286216" w:rsidRDefault="004B55AD" w:rsidP="004B55AD">
            <w:pPr>
              <w:pStyle w:val="StyleZakonu"/>
              <w:rPr>
                <w:color w:val="000000" w:themeColor="text1"/>
              </w:rPr>
            </w:pPr>
          </w:p>
        </w:tc>
        <w:tc>
          <w:tcPr>
            <w:tcW w:w="3686" w:type="dxa"/>
          </w:tcPr>
          <w:p w14:paraId="06019916" w14:textId="4EDCFBFF" w:rsidR="004B55AD" w:rsidRPr="00286216" w:rsidRDefault="004B55AD" w:rsidP="007A4B3F">
            <w:pPr>
              <w:pStyle w:val="StyleProp"/>
              <w:rPr>
                <w:color w:val="000000" w:themeColor="text1"/>
              </w:rPr>
            </w:pPr>
            <w:r w:rsidRPr="00286216">
              <w:rPr>
                <w:color w:val="000000" w:themeColor="text1"/>
              </w:rPr>
              <w:t>13) укладення поза організованими ринками капіталів товарних деривативних контрактів, передбачених частиною шістнадцятою статті 44 цього Закону;</w:t>
            </w:r>
          </w:p>
        </w:tc>
        <w:tc>
          <w:tcPr>
            <w:tcW w:w="1987" w:type="dxa"/>
          </w:tcPr>
          <w:p w14:paraId="065A98F8" w14:textId="77777777" w:rsidR="004B55AD" w:rsidRPr="00286216" w:rsidRDefault="004B55AD" w:rsidP="004B55AD">
            <w:pPr>
              <w:pStyle w:val="StyleWisnow"/>
              <w:rPr>
                <w:color w:val="000000" w:themeColor="text1"/>
              </w:rPr>
            </w:pPr>
          </w:p>
        </w:tc>
        <w:tc>
          <w:tcPr>
            <w:tcW w:w="4818" w:type="dxa"/>
          </w:tcPr>
          <w:p w14:paraId="5CAB0981" w14:textId="1A727AF0" w:rsidR="004B55AD" w:rsidRPr="00286216" w:rsidRDefault="004B55AD" w:rsidP="00627EA5">
            <w:pPr>
              <w:pStyle w:val="StyleZakonu"/>
              <w:spacing w:after="0"/>
              <w:rPr>
                <w:color w:val="000000" w:themeColor="text1"/>
              </w:rPr>
            </w:pPr>
            <w:r w:rsidRPr="00286216">
              <w:rPr>
                <w:color w:val="000000" w:themeColor="text1"/>
              </w:rPr>
              <w:t>13) укладення поза організованими ринками капітал</w:t>
            </w:r>
            <w:r w:rsidR="00627EA5" w:rsidRPr="00286216">
              <w:rPr>
                <w:color w:val="000000" w:themeColor="text1"/>
              </w:rPr>
              <w:t>у</w:t>
            </w:r>
            <w:r w:rsidRPr="00286216">
              <w:rPr>
                <w:color w:val="000000" w:themeColor="text1"/>
              </w:rPr>
              <w:t xml:space="preserve"> товарних деривативних контрактів, передбачених частиною шістнадцятою статті 44 цього Закону;</w:t>
            </w:r>
          </w:p>
        </w:tc>
      </w:tr>
      <w:tr w:rsidR="00F77E8D" w:rsidRPr="00286216" w14:paraId="57E8545E" w14:textId="77777777" w:rsidTr="00091AA5">
        <w:tc>
          <w:tcPr>
            <w:tcW w:w="576" w:type="dxa"/>
          </w:tcPr>
          <w:p w14:paraId="71CFB708" w14:textId="77777777" w:rsidR="004B55AD" w:rsidRPr="00286216" w:rsidRDefault="004B55AD" w:rsidP="004B55AD">
            <w:pPr>
              <w:pStyle w:val="StyleWisnow"/>
              <w:rPr>
                <w:color w:val="000000" w:themeColor="text1"/>
              </w:rPr>
            </w:pPr>
          </w:p>
        </w:tc>
        <w:tc>
          <w:tcPr>
            <w:tcW w:w="4818" w:type="dxa"/>
          </w:tcPr>
          <w:p w14:paraId="48ADA138" w14:textId="77777777" w:rsidR="004B55AD" w:rsidRPr="00286216" w:rsidRDefault="004B55AD" w:rsidP="004B55AD">
            <w:pPr>
              <w:pStyle w:val="StyleZakonu"/>
              <w:rPr>
                <w:color w:val="000000" w:themeColor="text1"/>
              </w:rPr>
            </w:pPr>
          </w:p>
        </w:tc>
        <w:tc>
          <w:tcPr>
            <w:tcW w:w="3686" w:type="dxa"/>
          </w:tcPr>
          <w:p w14:paraId="480ED02A" w14:textId="6685C0DF" w:rsidR="004B55AD" w:rsidRPr="00286216" w:rsidRDefault="004B55AD" w:rsidP="007A4B3F">
            <w:pPr>
              <w:pStyle w:val="StyleProp"/>
              <w:spacing w:line="180" w:lineRule="exact"/>
              <w:rPr>
                <w:color w:val="000000" w:themeColor="text1"/>
              </w:rPr>
            </w:pPr>
            <w:r w:rsidRPr="00286216">
              <w:rPr>
                <w:color w:val="000000" w:themeColor="text1"/>
              </w:rPr>
              <w:t>14) вчинення правочинів за межами України.</w:t>
            </w:r>
          </w:p>
        </w:tc>
        <w:tc>
          <w:tcPr>
            <w:tcW w:w="1987" w:type="dxa"/>
          </w:tcPr>
          <w:p w14:paraId="7B54A788" w14:textId="77777777" w:rsidR="004B55AD" w:rsidRPr="00286216" w:rsidRDefault="004B55AD" w:rsidP="004B55AD">
            <w:pPr>
              <w:pStyle w:val="StyleWisnow"/>
              <w:rPr>
                <w:color w:val="000000" w:themeColor="text1"/>
              </w:rPr>
            </w:pPr>
          </w:p>
        </w:tc>
        <w:tc>
          <w:tcPr>
            <w:tcW w:w="4818" w:type="dxa"/>
          </w:tcPr>
          <w:p w14:paraId="79AC0929" w14:textId="404C0F14" w:rsidR="004B55AD" w:rsidRPr="00286216" w:rsidRDefault="004B55AD" w:rsidP="007A4B3F">
            <w:pPr>
              <w:pStyle w:val="StyleZakonu"/>
              <w:spacing w:after="0"/>
              <w:rPr>
                <w:color w:val="000000" w:themeColor="text1"/>
              </w:rPr>
            </w:pPr>
            <w:r w:rsidRPr="00286216">
              <w:rPr>
                <w:color w:val="000000" w:themeColor="text1"/>
              </w:rPr>
              <w:t>14) вчинення правочинів за межами України.</w:t>
            </w:r>
          </w:p>
        </w:tc>
      </w:tr>
      <w:tr w:rsidR="00F77E8D" w:rsidRPr="00286216" w14:paraId="7DA10A8A" w14:textId="77777777" w:rsidTr="00091AA5">
        <w:tc>
          <w:tcPr>
            <w:tcW w:w="576" w:type="dxa"/>
          </w:tcPr>
          <w:p w14:paraId="06F97856" w14:textId="77777777" w:rsidR="004B55AD" w:rsidRPr="00286216" w:rsidRDefault="004B55AD" w:rsidP="004B55AD">
            <w:pPr>
              <w:pStyle w:val="StyleWisnow"/>
              <w:rPr>
                <w:color w:val="000000" w:themeColor="text1"/>
              </w:rPr>
            </w:pPr>
          </w:p>
        </w:tc>
        <w:tc>
          <w:tcPr>
            <w:tcW w:w="4818" w:type="dxa"/>
          </w:tcPr>
          <w:p w14:paraId="2B8A3B15" w14:textId="77777777" w:rsidR="004B55AD" w:rsidRPr="00286216" w:rsidRDefault="004B55AD" w:rsidP="004B55AD">
            <w:pPr>
              <w:pStyle w:val="StyleZakonu"/>
              <w:rPr>
                <w:color w:val="000000" w:themeColor="text1"/>
              </w:rPr>
            </w:pPr>
          </w:p>
        </w:tc>
        <w:tc>
          <w:tcPr>
            <w:tcW w:w="3686" w:type="dxa"/>
          </w:tcPr>
          <w:p w14:paraId="7109652D" w14:textId="28BE3695" w:rsidR="004B55AD" w:rsidRPr="00286216" w:rsidRDefault="004B55AD" w:rsidP="007A4B3F">
            <w:pPr>
              <w:pStyle w:val="StyleProp"/>
              <w:spacing w:line="190" w:lineRule="exact"/>
              <w:rPr>
                <w:color w:val="000000" w:themeColor="text1"/>
              </w:rPr>
            </w:pPr>
            <w:r w:rsidRPr="00286216">
              <w:rPr>
                <w:color w:val="000000" w:themeColor="text1"/>
              </w:rPr>
              <w:t>7. Правочини щодо фінансових інструментів, вчинені без участі (посередництва) інвестиційної фірми, крім випадків, передбачених частиною шостою цієї статті, є нікчемними.</w:t>
            </w:r>
          </w:p>
        </w:tc>
        <w:tc>
          <w:tcPr>
            <w:tcW w:w="1987" w:type="dxa"/>
          </w:tcPr>
          <w:p w14:paraId="107B534E" w14:textId="77777777" w:rsidR="004B55AD" w:rsidRPr="00286216" w:rsidRDefault="004B55AD" w:rsidP="004B55AD">
            <w:pPr>
              <w:pStyle w:val="StyleWisnow"/>
              <w:rPr>
                <w:color w:val="000000" w:themeColor="text1"/>
              </w:rPr>
            </w:pPr>
          </w:p>
        </w:tc>
        <w:tc>
          <w:tcPr>
            <w:tcW w:w="4818" w:type="dxa"/>
          </w:tcPr>
          <w:p w14:paraId="663796CC" w14:textId="60AE8767" w:rsidR="004B55AD" w:rsidRPr="00286216" w:rsidRDefault="004B55AD" w:rsidP="004B55AD">
            <w:pPr>
              <w:pStyle w:val="StyleZakonu"/>
              <w:rPr>
                <w:color w:val="000000" w:themeColor="text1"/>
              </w:rPr>
            </w:pPr>
            <w:r w:rsidRPr="00286216">
              <w:rPr>
                <w:color w:val="000000" w:themeColor="text1"/>
              </w:rPr>
              <w:t>13. Правочини щодо фінансових інструментів, вчинені без участі (посередництва) інвестиційної фірми, крім випадків, передбачених частиною шостою цієї статті, є нікчемними.</w:t>
            </w:r>
          </w:p>
        </w:tc>
      </w:tr>
      <w:tr w:rsidR="00F77E8D" w:rsidRPr="00286216" w14:paraId="08C1AB8A" w14:textId="77777777" w:rsidTr="00091AA5">
        <w:tc>
          <w:tcPr>
            <w:tcW w:w="576" w:type="dxa"/>
          </w:tcPr>
          <w:p w14:paraId="261E48B2" w14:textId="77777777" w:rsidR="004B55AD" w:rsidRPr="00286216" w:rsidRDefault="004B55AD" w:rsidP="004B55AD">
            <w:pPr>
              <w:pStyle w:val="StyleWisnow"/>
              <w:rPr>
                <w:color w:val="000000" w:themeColor="text1"/>
              </w:rPr>
            </w:pPr>
          </w:p>
        </w:tc>
        <w:tc>
          <w:tcPr>
            <w:tcW w:w="4818" w:type="dxa"/>
          </w:tcPr>
          <w:p w14:paraId="72D7922D" w14:textId="77777777" w:rsidR="004B55AD" w:rsidRPr="00286216" w:rsidRDefault="004B55AD" w:rsidP="004B55AD">
            <w:pPr>
              <w:pStyle w:val="StyleZakonu"/>
              <w:rPr>
                <w:color w:val="000000" w:themeColor="text1"/>
              </w:rPr>
            </w:pPr>
          </w:p>
        </w:tc>
        <w:tc>
          <w:tcPr>
            <w:tcW w:w="3686" w:type="dxa"/>
          </w:tcPr>
          <w:p w14:paraId="530FCD6B" w14:textId="0050BB45" w:rsidR="004B55AD" w:rsidRPr="00286216" w:rsidRDefault="004B55AD" w:rsidP="007A4B3F">
            <w:pPr>
              <w:pStyle w:val="StyleProp"/>
              <w:spacing w:line="190" w:lineRule="exact"/>
              <w:rPr>
                <w:color w:val="000000" w:themeColor="text1"/>
              </w:rPr>
            </w:pPr>
            <w:r w:rsidRPr="00286216">
              <w:rPr>
                <w:color w:val="000000" w:themeColor="text1"/>
              </w:rPr>
              <w:t>Правочини щодо фінансових інструментів, вчинені за участі, від імені та/або на користь осіб, до яких застосовано санкції відповідно до Закону України "Про санкції", а також правочини щодо цінних паперів, емітентами яких є особи, до яких застосовано зазначені санкції, є нікчемними.</w:t>
            </w:r>
          </w:p>
        </w:tc>
        <w:tc>
          <w:tcPr>
            <w:tcW w:w="1987" w:type="dxa"/>
          </w:tcPr>
          <w:p w14:paraId="2048727E" w14:textId="77777777" w:rsidR="004B55AD" w:rsidRPr="00286216" w:rsidRDefault="004B55AD" w:rsidP="004B55AD">
            <w:pPr>
              <w:pStyle w:val="StyleWisnow"/>
              <w:rPr>
                <w:color w:val="000000" w:themeColor="text1"/>
              </w:rPr>
            </w:pPr>
          </w:p>
        </w:tc>
        <w:tc>
          <w:tcPr>
            <w:tcW w:w="4818" w:type="dxa"/>
          </w:tcPr>
          <w:p w14:paraId="165CFF7A" w14:textId="024EBF95" w:rsidR="004B55AD" w:rsidRPr="00286216" w:rsidRDefault="004B55AD" w:rsidP="00627EA5">
            <w:pPr>
              <w:pStyle w:val="StyleZakonu"/>
              <w:rPr>
                <w:color w:val="000000" w:themeColor="text1"/>
              </w:rPr>
            </w:pPr>
            <w:r w:rsidRPr="00286216">
              <w:rPr>
                <w:color w:val="000000" w:themeColor="text1"/>
              </w:rPr>
              <w:t>Правочини щодо фінансових інструментів, вчинені за участ</w:t>
            </w:r>
            <w:r w:rsidR="00627EA5" w:rsidRPr="00286216">
              <w:rPr>
                <w:color w:val="000000" w:themeColor="text1"/>
              </w:rPr>
              <w:t>ю</w:t>
            </w:r>
            <w:r w:rsidRPr="00286216">
              <w:rPr>
                <w:color w:val="000000" w:themeColor="text1"/>
              </w:rPr>
              <w:t xml:space="preserve">, від імені та/або на користь осіб, до яких застосовано санкції відповідно до Закону України "Про санкції", а також правочини щодо цінних паперів, емітентами яких є </w:t>
            </w:r>
            <w:r w:rsidR="00627EA5" w:rsidRPr="00286216">
              <w:rPr>
                <w:color w:val="000000" w:themeColor="text1"/>
              </w:rPr>
              <w:t xml:space="preserve">такі </w:t>
            </w:r>
            <w:r w:rsidRPr="00286216">
              <w:rPr>
                <w:color w:val="000000" w:themeColor="text1"/>
              </w:rPr>
              <w:t>особи,  є нікчемними.</w:t>
            </w:r>
          </w:p>
        </w:tc>
      </w:tr>
      <w:tr w:rsidR="00F77E8D" w:rsidRPr="00286216" w14:paraId="6FBE8F79" w14:textId="77777777" w:rsidTr="00091AA5">
        <w:tc>
          <w:tcPr>
            <w:tcW w:w="576" w:type="dxa"/>
          </w:tcPr>
          <w:p w14:paraId="1F8BB4B8" w14:textId="77777777" w:rsidR="004B55AD" w:rsidRPr="00286216" w:rsidRDefault="004B55AD" w:rsidP="004B55AD">
            <w:pPr>
              <w:pStyle w:val="StyleWisnow"/>
              <w:rPr>
                <w:color w:val="000000" w:themeColor="text1"/>
              </w:rPr>
            </w:pPr>
          </w:p>
        </w:tc>
        <w:tc>
          <w:tcPr>
            <w:tcW w:w="4818" w:type="dxa"/>
          </w:tcPr>
          <w:p w14:paraId="4DA0BD93" w14:textId="77777777" w:rsidR="004B55AD" w:rsidRPr="00286216" w:rsidRDefault="004B55AD" w:rsidP="004B55AD">
            <w:pPr>
              <w:pStyle w:val="StyleZakonu"/>
              <w:rPr>
                <w:color w:val="000000" w:themeColor="text1"/>
              </w:rPr>
            </w:pPr>
          </w:p>
        </w:tc>
        <w:tc>
          <w:tcPr>
            <w:tcW w:w="3686" w:type="dxa"/>
          </w:tcPr>
          <w:p w14:paraId="0A4DEAAF" w14:textId="59A8F311" w:rsidR="00734F69" w:rsidRPr="00286216" w:rsidRDefault="00734F69" w:rsidP="00734F69">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236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1A0BE68" w14:textId="77777777" w:rsidR="004B55AD" w:rsidRPr="00286216" w:rsidRDefault="004B55AD" w:rsidP="00515D01">
            <w:pPr>
              <w:pStyle w:val="StyleProp"/>
              <w:spacing w:line="180" w:lineRule="exact"/>
              <w:rPr>
                <w:color w:val="000000" w:themeColor="text1"/>
              </w:rPr>
            </w:pPr>
            <w:r w:rsidRPr="00286216">
              <w:rPr>
                <w:color w:val="000000" w:themeColor="text1"/>
              </w:rPr>
              <w:t>Доповнити статтю щодо особливостей укладення та виконання правочинів щодо акцій таким положенням:</w:t>
            </w:r>
          </w:p>
          <w:p w14:paraId="2A959C3A" w14:textId="11F31143" w:rsidR="004B55AD" w:rsidRPr="00286216" w:rsidRDefault="004B55AD" w:rsidP="00515D01">
            <w:pPr>
              <w:pStyle w:val="StyleProp"/>
              <w:spacing w:line="180" w:lineRule="exact"/>
              <w:rPr>
                <w:color w:val="000000" w:themeColor="text1"/>
              </w:rPr>
            </w:pPr>
            <w:r w:rsidRPr="00286216">
              <w:rPr>
                <w:color w:val="000000" w:themeColor="text1"/>
              </w:rPr>
              <w:t>"Інвестиційна фірма зобов'язана вчиняти правочини щодо акцій, які допущені до торгів на організованому фондовому ринку, виключно на організованому ринку, крім випадків, встановлених Комісією".</w:t>
            </w:r>
          </w:p>
        </w:tc>
        <w:tc>
          <w:tcPr>
            <w:tcW w:w="1987" w:type="dxa"/>
          </w:tcPr>
          <w:p w14:paraId="48971F28" w14:textId="0E99AECB" w:rsidR="004B55AD" w:rsidRPr="00286216" w:rsidRDefault="00734F69" w:rsidP="004B55AD">
            <w:pPr>
              <w:pStyle w:val="StyleWisnow"/>
              <w:rPr>
                <w:color w:val="000000" w:themeColor="text1"/>
              </w:rPr>
            </w:pPr>
            <w:r w:rsidRPr="00286216">
              <w:rPr>
                <w:color w:val="000000" w:themeColor="text1"/>
              </w:rPr>
              <w:t>Враховано</w:t>
            </w:r>
          </w:p>
        </w:tc>
        <w:tc>
          <w:tcPr>
            <w:tcW w:w="4818" w:type="dxa"/>
          </w:tcPr>
          <w:p w14:paraId="6893234F" w14:textId="59F8123E" w:rsidR="004B55AD" w:rsidRPr="00286216" w:rsidRDefault="00734F69" w:rsidP="00627EA5">
            <w:pPr>
              <w:pStyle w:val="StyleZakonu"/>
              <w:rPr>
                <w:color w:val="000000" w:themeColor="text1"/>
              </w:rPr>
            </w:pPr>
            <w:r w:rsidRPr="00286216">
              <w:rPr>
                <w:color w:val="000000" w:themeColor="text1"/>
              </w:rPr>
              <w:t>14. Інвестиційна фірма зобов'язана вчиняти правочини щодо акцій, допущен</w:t>
            </w:r>
            <w:r w:rsidR="00627EA5" w:rsidRPr="00286216">
              <w:rPr>
                <w:color w:val="000000" w:themeColor="text1"/>
              </w:rPr>
              <w:t>их</w:t>
            </w:r>
            <w:r w:rsidRPr="00286216">
              <w:rPr>
                <w:color w:val="000000" w:themeColor="text1"/>
              </w:rPr>
              <w:t xml:space="preserve"> до торгів на організованому фондовому ринку, виключно на організованому ринку, крім випадків, встановлених </w:t>
            </w:r>
            <w:r w:rsidR="00627EA5" w:rsidRPr="00286216">
              <w:rPr>
                <w:color w:val="000000" w:themeColor="text1"/>
              </w:rPr>
              <w:t>Національною к</w:t>
            </w:r>
            <w:r w:rsidRPr="00286216">
              <w:rPr>
                <w:color w:val="000000" w:themeColor="text1"/>
              </w:rPr>
              <w:t>омісією</w:t>
            </w:r>
            <w:r w:rsidR="00627EA5" w:rsidRPr="00286216">
              <w:rPr>
                <w:color w:val="000000" w:themeColor="text1"/>
              </w:rPr>
              <w:t xml:space="preserve"> з цінних паперів та фондового ринку</w:t>
            </w:r>
            <w:r w:rsidRPr="00286216">
              <w:rPr>
                <w:color w:val="000000" w:themeColor="text1"/>
              </w:rPr>
              <w:t>.</w:t>
            </w:r>
          </w:p>
        </w:tc>
      </w:tr>
      <w:tr w:rsidR="00F77E8D" w:rsidRPr="00286216" w14:paraId="3D89E2D2" w14:textId="77777777" w:rsidTr="00091AA5">
        <w:tc>
          <w:tcPr>
            <w:tcW w:w="576" w:type="dxa"/>
          </w:tcPr>
          <w:p w14:paraId="681AC2A9" w14:textId="77777777" w:rsidR="004B55AD" w:rsidRPr="00286216" w:rsidRDefault="004B55AD" w:rsidP="004B55AD">
            <w:pPr>
              <w:pStyle w:val="StyleWisnow"/>
              <w:rPr>
                <w:color w:val="000000" w:themeColor="text1"/>
              </w:rPr>
            </w:pPr>
            <w:bookmarkStart w:id="264" w:name="n258" w:colFirst="0" w:colLast="0"/>
            <w:r w:rsidRPr="00286216">
              <w:rPr>
                <w:color w:val="000000" w:themeColor="text1"/>
              </w:rPr>
              <w:t>258.</w:t>
            </w:r>
          </w:p>
        </w:tc>
        <w:tc>
          <w:tcPr>
            <w:tcW w:w="4818" w:type="dxa"/>
          </w:tcPr>
          <w:p w14:paraId="65AAAA01" w14:textId="77777777" w:rsidR="004B55AD" w:rsidRPr="00286216" w:rsidRDefault="004B55AD" w:rsidP="00CC2BD1">
            <w:pPr>
              <w:pStyle w:val="StyleZakonu"/>
              <w:spacing w:line="200" w:lineRule="exact"/>
              <w:rPr>
                <w:color w:val="000000" w:themeColor="text1"/>
              </w:rPr>
            </w:pPr>
            <w:r w:rsidRPr="00286216">
              <w:rPr>
                <w:color w:val="000000" w:themeColor="text1"/>
              </w:rPr>
              <w:t>Стаття 9. Особливості укладання, розірвання та виконання правочинів щодо відчуження (заміни сторін) фінансових інструментів</w:t>
            </w:r>
          </w:p>
        </w:tc>
        <w:tc>
          <w:tcPr>
            <w:tcW w:w="3686" w:type="dxa"/>
          </w:tcPr>
          <w:p w14:paraId="5F48D5AF" w14:textId="25CBF027"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237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5A4F746" w14:textId="609817CA" w:rsidR="004B55AD" w:rsidRPr="00286216" w:rsidRDefault="004B55AD" w:rsidP="00515D01">
            <w:pPr>
              <w:pStyle w:val="StyleProp"/>
              <w:spacing w:line="180" w:lineRule="exact"/>
              <w:rPr>
                <w:color w:val="000000" w:themeColor="text1"/>
              </w:rPr>
            </w:pPr>
            <w:r w:rsidRPr="00286216">
              <w:rPr>
                <w:color w:val="000000" w:themeColor="text1"/>
              </w:rPr>
              <w:t>Статтю 9 виключити, її положення обʼєднати з положеннями статті 8.</w:t>
            </w:r>
          </w:p>
        </w:tc>
        <w:tc>
          <w:tcPr>
            <w:tcW w:w="1987" w:type="dxa"/>
          </w:tcPr>
          <w:p w14:paraId="3200CCB9" w14:textId="77777777" w:rsidR="004B55AD" w:rsidRPr="00286216" w:rsidRDefault="004B55AD" w:rsidP="007A4B3F">
            <w:pPr>
              <w:pStyle w:val="StyleWisnow"/>
              <w:spacing w:line="180" w:lineRule="exact"/>
              <w:rPr>
                <w:color w:val="000000" w:themeColor="text1"/>
              </w:rPr>
            </w:pPr>
            <w:r w:rsidRPr="00286216">
              <w:rPr>
                <w:color w:val="000000" w:themeColor="text1"/>
              </w:rPr>
              <w:t>Враховано редакційно</w:t>
            </w:r>
          </w:p>
          <w:p w14:paraId="64AF1B55" w14:textId="570A4167" w:rsidR="004B55AD" w:rsidRPr="00286216" w:rsidRDefault="004B55AD" w:rsidP="004B55AD">
            <w:pPr>
              <w:pStyle w:val="StyleWisnow"/>
              <w:rPr>
                <w:color w:val="000000" w:themeColor="text1"/>
              </w:rPr>
            </w:pPr>
            <w:r w:rsidRPr="00286216">
              <w:rPr>
                <w:color w:val="000000" w:themeColor="text1"/>
              </w:rPr>
              <w:t>у статті 36</w:t>
            </w:r>
          </w:p>
        </w:tc>
        <w:tc>
          <w:tcPr>
            <w:tcW w:w="4818" w:type="dxa"/>
          </w:tcPr>
          <w:p w14:paraId="2CB88317" w14:textId="77777777" w:rsidR="004B55AD" w:rsidRPr="00286216" w:rsidRDefault="004B55AD" w:rsidP="004B55AD">
            <w:pPr>
              <w:pStyle w:val="StyleZakonu"/>
              <w:rPr>
                <w:color w:val="000000" w:themeColor="text1"/>
              </w:rPr>
            </w:pPr>
          </w:p>
        </w:tc>
      </w:tr>
      <w:tr w:rsidR="00F77E8D" w:rsidRPr="00286216" w14:paraId="0A0659E2" w14:textId="77777777" w:rsidTr="00091AA5">
        <w:tc>
          <w:tcPr>
            <w:tcW w:w="576" w:type="dxa"/>
          </w:tcPr>
          <w:p w14:paraId="6DCF677B" w14:textId="77777777" w:rsidR="004B55AD" w:rsidRPr="00286216" w:rsidRDefault="004B55AD" w:rsidP="004B55AD">
            <w:pPr>
              <w:pStyle w:val="StyleWisnow"/>
              <w:rPr>
                <w:color w:val="000000" w:themeColor="text1"/>
              </w:rPr>
            </w:pPr>
            <w:bookmarkStart w:id="265" w:name="n259" w:colFirst="0" w:colLast="0"/>
            <w:bookmarkEnd w:id="264"/>
            <w:r w:rsidRPr="00286216">
              <w:rPr>
                <w:color w:val="000000" w:themeColor="text1"/>
              </w:rPr>
              <w:t>259.</w:t>
            </w:r>
          </w:p>
        </w:tc>
        <w:tc>
          <w:tcPr>
            <w:tcW w:w="4818" w:type="dxa"/>
          </w:tcPr>
          <w:p w14:paraId="48C1C7AE" w14:textId="77777777" w:rsidR="004B55AD" w:rsidRPr="00286216" w:rsidRDefault="004B55AD" w:rsidP="00CC2BD1">
            <w:pPr>
              <w:pStyle w:val="StyleZakonu"/>
              <w:spacing w:line="200" w:lineRule="exact"/>
              <w:rPr>
                <w:color w:val="000000" w:themeColor="text1"/>
              </w:rPr>
            </w:pPr>
            <w:r w:rsidRPr="00286216">
              <w:rPr>
                <w:color w:val="000000" w:themeColor="text1"/>
              </w:rPr>
              <w:t>1. Деривативні контракти та договори купівлі-продажу цінних паперів, що укладаються на організованому ринку капіталу, вважаються укладеними з моменту фіксації оператором організованого ринку капіталу факту вчинення правочину відповідно до правил такого організованого ринку капіталу.</w:t>
            </w:r>
          </w:p>
        </w:tc>
        <w:tc>
          <w:tcPr>
            <w:tcW w:w="3686" w:type="dxa"/>
          </w:tcPr>
          <w:p w14:paraId="4D162A90" w14:textId="047399D3" w:rsidR="004B55AD" w:rsidRPr="00286216" w:rsidRDefault="004B55AD" w:rsidP="004B55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238</w:t>
            </w:r>
            <w:r w:rsidRPr="00286216">
              <w:rPr>
                <w:color w:val="000000" w:themeColor="text1"/>
                <w:spacing w:val="-10"/>
              </w:rPr>
              <w:fldChar w:fldCharType="end"/>
            </w:r>
            <w:r w:rsidRPr="00286216">
              <w:rPr>
                <w:color w:val="000000" w:themeColor="text1"/>
                <w:spacing w:val="-10"/>
              </w:rPr>
              <w:t>-Н.д.Гетманцев Д.О.(Реєстр.картка №245)</w:t>
            </w:r>
          </w:p>
          <w:p w14:paraId="666BB3AC" w14:textId="77777777" w:rsidR="004B55AD" w:rsidRPr="00286216" w:rsidRDefault="004B55AD" w:rsidP="004B55AD">
            <w:pPr>
              <w:pStyle w:val="StyleProp"/>
              <w:rPr>
                <w:color w:val="000000" w:themeColor="text1"/>
                <w:szCs w:val="18"/>
              </w:rPr>
            </w:pPr>
            <w:r w:rsidRPr="00286216">
              <w:rPr>
                <w:color w:val="000000" w:themeColor="text1"/>
              </w:rPr>
              <w:t>У назві статті 9 слова та знаки «(заміни сторін)»</w:t>
            </w:r>
            <w:r w:rsidRPr="00286216">
              <w:rPr>
                <w:i/>
                <w:color w:val="000000" w:themeColor="text1"/>
              </w:rPr>
              <w:t xml:space="preserve"> </w:t>
            </w:r>
            <w:r w:rsidRPr="00286216">
              <w:rPr>
                <w:color w:val="000000" w:themeColor="text1"/>
              </w:rPr>
              <w:t>виключити</w:t>
            </w:r>
          </w:p>
        </w:tc>
        <w:tc>
          <w:tcPr>
            <w:tcW w:w="1987" w:type="dxa"/>
          </w:tcPr>
          <w:p w14:paraId="4CD8B3C3" w14:textId="77777777" w:rsidR="004B55AD" w:rsidRPr="00286216" w:rsidRDefault="004B55AD" w:rsidP="004B55AD">
            <w:pPr>
              <w:pStyle w:val="StyleWisnow"/>
              <w:rPr>
                <w:color w:val="000000" w:themeColor="text1"/>
              </w:rPr>
            </w:pPr>
            <w:r w:rsidRPr="00286216">
              <w:rPr>
                <w:color w:val="000000" w:themeColor="text1"/>
              </w:rPr>
              <w:t>Враховано по суті</w:t>
            </w:r>
          </w:p>
          <w:p w14:paraId="3075175B" w14:textId="77C4DE7F" w:rsidR="004B55AD" w:rsidRPr="00286216" w:rsidRDefault="004B55AD" w:rsidP="007A4B3F">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36</w:t>
            </w:r>
          </w:p>
        </w:tc>
        <w:tc>
          <w:tcPr>
            <w:tcW w:w="4818" w:type="dxa"/>
          </w:tcPr>
          <w:p w14:paraId="170DDDE5" w14:textId="77777777" w:rsidR="004B55AD" w:rsidRPr="00286216" w:rsidRDefault="004B55AD" w:rsidP="004B55AD">
            <w:pPr>
              <w:pStyle w:val="StyleZakonu"/>
              <w:rPr>
                <w:color w:val="000000" w:themeColor="text1"/>
              </w:rPr>
            </w:pPr>
          </w:p>
        </w:tc>
      </w:tr>
      <w:tr w:rsidR="00F77E8D" w:rsidRPr="00286216" w14:paraId="4198E71F" w14:textId="77777777" w:rsidTr="00091AA5">
        <w:tc>
          <w:tcPr>
            <w:tcW w:w="576" w:type="dxa"/>
          </w:tcPr>
          <w:p w14:paraId="30B2F5B7" w14:textId="77777777" w:rsidR="004B55AD" w:rsidRPr="00286216" w:rsidRDefault="004B55AD" w:rsidP="004B55AD">
            <w:pPr>
              <w:pStyle w:val="StyleWisnow"/>
              <w:rPr>
                <w:color w:val="000000" w:themeColor="text1"/>
              </w:rPr>
            </w:pPr>
            <w:bookmarkStart w:id="266" w:name="n260" w:colFirst="0" w:colLast="0"/>
            <w:bookmarkEnd w:id="265"/>
            <w:r w:rsidRPr="00286216">
              <w:rPr>
                <w:color w:val="000000" w:themeColor="text1"/>
              </w:rPr>
              <w:t>260.</w:t>
            </w:r>
          </w:p>
        </w:tc>
        <w:tc>
          <w:tcPr>
            <w:tcW w:w="4818" w:type="dxa"/>
          </w:tcPr>
          <w:p w14:paraId="5C893350" w14:textId="77777777" w:rsidR="004B55AD" w:rsidRPr="00286216" w:rsidRDefault="004B55AD" w:rsidP="00CC2BD1">
            <w:pPr>
              <w:pStyle w:val="StyleZakonu"/>
              <w:spacing w:line="200" w:lineRule="exact"/>
              <w:rPr>
                <w:color w:val="000000" w:themeColor="text1"/>
              </w:rPr>
            </w:pPr>
            <w:r w:rsidRPr="00286216">
              <w:rPr>
                <w:color w:val="000000" w:themeColor="text1"/>
              </w:rPr>
              <w:t>Зазначений контракт (договір) не може бути розірваний, крім випадків, передбачених договором або законом.</w:t>
            </w:r>
          </w:p>
        </w:tc>
        <w:tc>
          <w:tcPr>
            <w:tcW w:w="3686" w:type="dxa"/>
          </w:tcPr>
          <w:p w14:paraId="168268FE" w14:textId="77777777" w:rsidR="004B55AD" w:rsidRPr="00286216" w:rsidRDefault="004B55AD" w:rsidP="004B55AD">
            <w:pPr>
              <w:pStyle w:val="StyleProp"/>
              <w:rPr>
                <w:color w:val="000000" w:themeColor="text1"/>
                <w:szCs w:val="18"/>
              </w:rPr>
            </w:pPr>
          </w:p>
        </w:tc>
        <w:tc>
          <w:tcPr>
            <w:tcW w:w="1987" w:type="dxa"/>
          </w:tcPr>
          <w:p w14:paraId="2402A574" w14:textId="77777777" w:rsidR="004B55AD" w:rsidRPr="00286216" w:rsidRDefault="004B55AD" w:rsidP="004B55AD">
            <w:pPr>
              <w:pStyle w:val="StyleWisnow"/>
              <w:rPr>
                <w:color w:val="000000" w:themeColor="text1"/>
              </w:rPr>
            </w:pPr>
          </w:p>
        </w:tc>
        <w:tc>
          <w:tcPr>
            <w:tcW w:w="4818" w:type="dxa"/>
          </w:tcPr>
          <w:p w14:paraId="14920A11" w14:textId="77777777" w:rsidR="004B55AD" w:rsidRPr="00286216" w:rsidRDefault="004B55AD" w:rsidP="004B55AD">
            <w:pPr>
              <w:pStyle w:val="StyleZakonu"/>
              <w:rPr>
                <w:color w:val="000000" w:themeColor="text1"/>
              </w:rPr>
            </w:pPr>
          </w:p>
        </w:tc>
      </w:tr>
      <w:tr w:rsidR="00F77E8D" w:rsidRPr="00286216" w14:paraId="33C68CD5" w14:textId="77777777" w:rsidTr="00091AA5">
        <w:tc>
          <w:tcPr>
            <w:tcW w:w="576" w:type="dxa"/>
          </w:tcPr>
          <w:p w14:paraId="21E76BE7" w14:textId="77777777" w:rsidR="004B55AD" w:rsidRPr="00286216" w:rsidRDefault="004B55AD" w:rsidP="004B55AD">
            <w:pPr>
              <w:pStyle w:val="StyleWisnow"/>
              <w:rPr>
                <w:color w:val="000000" w:themeColor="text1"/>
              </w:rPr>
            </w:pPr>
            <w:bookmarkStart w:id="267" w:name="n261" w:colFirst="0" w:colLast="0"/>
            <w:bookmarkEnd w:id="266"/>
            <w:r w:rsidRPr="00286216">
              <w:rPr>
                <w:color w:val="000000" w:themeColor="text1"/>
              </w:rPr>
              <w:t>261.</w:t>
            </w:r>
          </w:p>
        </w:tc>
        <w:tc>
          <w:tcPr>
            <w:tcW w:w="4818" w:type="dxa"/>
          </w:tcPr>
          <w:p w14:paraId="46233603" w14:textId="77777777" w:rsidR="004B55AD" w:rsidRPr="00286216" w:rsidRDefault="004B55AD" w:rsidP="00B7270F">
            <w:pPr>
              <w:pStyle w:val="StyleZakonu"/>
              <w:spacing w:line="210" w:lineRule="exact"/>
              <w:rPr>
                <w:color w:val="000000" w:themeColor="text1"/>
              </w:rPr>
            </w:pPr>
            <w:r w:rsidRPr="00286216">
              <w:rPr>
                <w:color w:val="000000" w:themeColor="text1"/>
              </w:rPr>
              <w:t>2. Максимальні строки виконання договорів купівлі-продажу цінних паперів, укладених на організованих ринках капіталу встановлюються Національною комісією з цінних паперів та фондового ринку.</w:t>
            </w:r>
          </w:p>
        </w:tc>
        <w:tc>
          <w:tcPr>
            <w:tcW w:w="3686" w:type="dxa"/>
          </w:tcPr>
          <w:p w14:paraId="3DB7C629" w14:textId="0D09C36A"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239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E39DBF3" w14:textId="77777777" w:rsidR="004B55AD" w:rsidRPr="00286216" w:rsidRDefault="004B55AD" w:rsidP="007A4B3F">
            <w:pPr>
              <w:spacing w:line="180" w:lineRule="exact"/>
              <w:ind w:firstLine="227"/>
              <w:jc w:val="both"/>
              <w:rPr>
                <w:color w:val="000000" w:themeColor="text1"/>
                <w:sz w:val="18"/>
              </w:rPr>
            </w:pPr>
            <w:r w:rsidRPr="00286216">
              <w:rPr>
                <w:color w:val="000000" w:themeColor="text1"/>
                <w:sz w:val="18"/>
              </w:rPr>
              <w:t>Доповнити статтю 9 новою частиною 3 такого змісту:</w:t>
            </w:r>
          </w:p>
          <w:p w14:paraId="1CB7D6F1" w14:textId="77777777" w:rsidR="004B55AD" w:rsidRPr="00286216" w:rsidRDefault="004B55AD" w:rsidP="007A4B3F">
            <w:pPr>
              <w:spacing w:line="180" w:lineRule="exact"/>
              <w:ind w:firstLine="227"/>
              <w:jc w:val="both"/>
              <w:rPr>
                <w:color w:val="000000" w:themeColor="text1"/>
                <w:sz w:val="18"/>
              </w:rPr>
            </w:pPr>
            <w:r w:rsidRPr="00286216">
              <w:rPr>
                <w:color w:val="000000" w:themeColor="text1"/>
                <w:sz w:val="18"/>
              </w:rPr>
              <w:t xml:space="preserve">«Зобов’язання за  правочинами щодо відчуження (заміни сторін) фінансових інструментів можуть припинятися за наслідком проведення клірингу або ліквідаційного неттінгу. Укладення договору </w:t>
            </w:r>
            <w:r w:rsidRPr="00286216">
              <w:rPr>
                <w:color w:val="000000" w:themeColor="text1"/>
                <w:sz w:val="18"/>
              </w:rPr>
              <w:lastRenderedPageBreak/>
              <w:t>(в тому числі генеральної угоди або іншої угоди щодо ліквідаційного неттінгу), що передбачає проведення клірингу або ліквідаційного неттінгу щодо зобов’язань за правочинами, що будуть укладатись на підставі такого договору, вважається досягненням сторонами домовленості про заміну первісного зобов’язання новим зобов’язанням в результаті проведення такого клірингу або ліквідаційного неттінгу».</w:t>
            </w:r>
          </w:p>
          <w:p w14:paraId="4FDBFAAA" w14:textId="651A40A2" w:rsidR="004B55AD" w:rsidRPr="00286216" w:rsidRDefault="004B55AD" w:rsidP="007A4B3F">
            <w:pPr>
              <w:pStyle w:val="StyleProp"/>
              <w:spacing w:line="180" w:lineRule="exact"/>
              <w:rPr>
                <w:color w:val="000000" w:themeColor="text1"/>
                <w:szCs w:val="18"/>
              </w:rPr>
            </w:pPr>
          </w:p>
        </w:tc>
        <w:tc>
          <w:tcPr>
            <w:tcW w:w="1987" w:type="dxa"/>
          </w:tcPr>
          <w:p w14:paraId="2A6F8DDB" w14:textId="77777777" w:rsidR="004B55AD" w:rsidRPr="00286216" w:rsidRDefault="004B55AD" w:rsidP="004B55AD">
            <w:pPr>
              <w:pStyle w:val="StyleWisnow"/>
              <w:rPr>
                <w:color w:val="000000" w:themeColor="text1"/>
              </w:rPr>
            </w:pPr>
            <w:r w:rsidRPr="00286216">
              <w:rPr>
                <w:color w:val="000000" w:themeColor="text1"/>
              </w:rPr>
              <w:lastRenderedPageBreak/>
              <w:t>Враховано частково</w:t>
            </w:r>
          </w:p>
          <w:p w14:paraId="452C22F9" w14:textId="14A1C588" w:rsidR="004B55AD" w:rsidRPr="00286216" w:rsidRDefault="004B55AD" w:rsidP="007A4B3F">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36</w:t>
            </w:r>
          </w:p>
        </w:tc>
        <w:tc>
          <w:tcPr>
            <w:tcW w:w="4818" w:type="dxa"/>
          </w:tcPr>
          <w:p w14:paraId="494694C8" w14:textId="77777777" w:rsidR="004B55AD" w:rsidRPr="00286216" w:rsidRDefault="004B55AD" w:rsidP="004B55AD">
            <w:pPr>
              <w:pStyle w:val="StyleZakonu"/>
              <w:rPr>
                <w:color w:val="000000" w:themeColor="text1"/>
              </w:rPr>
            </w:pPr>
          </w:p>
        </w:tc>
      </w:tr>
      <w:tr w:rsidR="00F77E8D" w:rsidRPr="00286216" w14:paraId="5A3BA4A3" w14:textId="77777777" w:rsidTr="00091AA5">
        <w:tc>
          <w:tcPr>
            <w:tcW w:w="576" w:type="dxa"/>
          </w:tcPr>
          <w:p w14:paraId="0A0019C3" w14:textId="77777777" w:rsidR="004B55AD" w:rsidRPr="00286216" w:rsidRDefault="004B55AD" w:rsidP="004B55AD">
            <w:pPr>
              <w:pStyle w:val="StyleWisnow"/>
              <w:rPr>
                <w:color w:val="000000" w:themeColor="text1"/>
              </w:rPr>
            </w:pPr>
            <w:bookmarkStart w:id="268" w:name="n262" w:colFirst="0" w:colLast="0"/>
            <w:bookmarkEnd w:id="267"/>
            <w:r w:rsidRPr="00286216">
              <w:rPr>
                <w:color w:val="000000" w:themeColor="text1"/>
              </w:rPr>
              <w:t>262.</w:t>
            </w:r>
          </w:p>
        </w:tc>
        <w:tc>
          <w:tcPr>
            <w:tcW w:w="4818" w:type="dxa"/>
          </w:tcPr>
          <w:p w14:paraId="40E915C5" w14:textId="77777777" w:rsidR="004B55AD" w:rsidRPr="00286216" w:rsidRDefault="004B55AD" w:rsidP="004B55AD">
            <w:pPr>
              <w:pStyle w:val="StyleZakonu"/>
              <w:rPr>
                <w:color w:val="000000" w:themeColor="text1"/>
              </w:rPr>
            </w:pPr>
            <w:r w:rsidRPr="00286216">
              <w:rPr>
                <w:color w:val="000000" w:themeColor="text1"/>
              </w:rPr>
              <w:t>3. Виконання зобов’язань за правочинами, що вчиняються на регульованих ринках капіталу, здійснюється після їх обов’язкового клірингу особою, яка провадить клірингову діяльність Центрального контрагенту.</w:t>
            </w:r>
          </w:p>
        </w:tc>
        <w:tc>
          <w:tcPr>
            <w:tcW w:w="3686" w:type="dxa"/>
          </w:tcPr>
          <w:p w14:paraId="34B8A151" w14:textId="1F45C8E3"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240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A117279" w14:textId="446521D0" w:rsidR="004B55AD" w:rsidRPr="00286216" w:rsidRDefault="004B55AD" w:rsidP="007A4B3F">
            <w:pPr>
              <w:pStyle w:val="StyleProp"/>
              <w:spacing w:line="180" w:lineRule="exact"/>
              <w:rPr>
                <w:color w:val="000000" w:themeColor="text1"/>
                <w:spacing w:val="-4"/>
              </w:rPr>
            </w:pPr>
            <w:r w:rsidRPr="00286216">
              <w:rPr>
                <w:color w:val="000000" w:themeColor="text1"/>
                <w:spacing w:val="-4"/>
              </w:rPr>
              <w:t>Доповнити статтю 9 частиною такого змісту:</w:t>
            </w:r>
          </w:p>
          <w:p w14:paraId="48F50ECB" w14:textId="7A6161D2" w:rsidR="004B55AD" w:rsidRPr="00286216" w:rsidRDefault="004B55AD" w:rsidP="007A4B3F">
            <w:pPr>
              <w:pStyle w:val="StyleProp"/>
              <w:spacing w:line="180" w:lineRule="exact"/>
              <w:rPr>
                <w:color w:val="000000" w:themeColor="text1"/>
                <w:szCs w:val="18"/>
              </w:rPr>
            </w:pPr>
            <w:r w:rsidRPr="00286216">
              <w:rPr>
                <w:color w:val="000000" w:themeColor="text1"/>
              </w:rPr>
              <w:t>«Виконання нетто-зобов’язання, передбаченого статтю 13 цього Закону, може бути здійснено шляхом звернення стягнення на предмет забезпечення, переданий сторонами угоди щодо ліквідаційного неттінгу на виконання зобов’язань таких сторін за такою угодою».</w:t>
            </w:r>
          </w:p>
        </w:tc>
        <w:tc>
          <w:tcPr>
            <w:tcW w:w="1987" w:type="dxa"/>
          </w:tcPr>
          <w:p w14:paraId="04F2BBA4" w14:textId="77777777" w:rsidR="004B55AD" w:rsidRPr="00286216" w:rsidRDefault="004B55AD" w:rsidP="004B55AD">
            <w:pPr>
              <w:pStyle w:val="StyleWisnow"/>
              <w:rPr>
                <w:color w:val="000000" w:themeColor="text1"/>
              </w:rPr>
            </w:pPr>
            <w:r w:rsidRPr="00286216">
              <w:rPr>
                <w:color w:val="000000" w:themeColor="text1"/>
              </w:rPr>
              <w:t>Враховано частково</w:t>
            </w:r>
          </w:p>
          <w:p w14:paraId="7C454E9F" w14:textId="6F1529EA" w:rsidR="004B55AD" w:rsidRPr="00286216" w:rsidRDefault="004B55AD" w:rsidP="007A4B3F">
            <w:pPr>
              <w:pStyle w:val="StyleWisnow"/>
              <w:spacing w:line="20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36</w:t>
            </w:r>
          </w:p>
        </w:tc>
        <w:tc>
          <w:tcPr>
            <w:tcW w:w="4818" w:type="dxa"/>
          </w:tcPr>
          <w:p w14:paraId="09E6118B" w14:textId="77777777" w:rsidR="004B55AD" w:rsidRPr="00286216" w:rsidRDefault="004B55AD" w:rsidP="004B55AD">
            <w:pPr>
              <w:pStyle w:val="StyleZakonu"/>
              <w:rPr>
                <w:color w:val="000000" w:themeColor="text1"/>
              </w:rPr>
            </w:pPr>
          </w:p>
        </w:tc>
      </w:tr>
      <w:tr w:rsidR="00F77E8D" w:rsidRPr="00286216" w14:paraId="1A006A9F" w14:textId="77777777" w:rsidTr="00091AA5">
        <w:tc>
          <w:tcPr>
            <w:tcW w:w="576" w:type="dxa"/>
          </w:tcPr>
          <w:p w14:paraId="3D27E253" w14:textId="77777777" w:rsidR="004B55AD" w:rsidRPr="00286216" w:rsidRDefault="004B55AD" w:rsidP="004B55AD">
            <w:pPr>
              <w:pStyle w:val="StyleWisnow"/>
              <w:rPr>
                <w:color w:val="000000" w:themeColor="text1"/>
              </w:rPr>
            </w:pPr>
            <w:bookmarkStart w:id="269" w:name="n263" w:colFirst="0" w:colLast="0"/>
            <w:bookmarkEnd w:id="268"/>
            <w:r w:rsidRPr="00286216">
              <w:rPr>
                <w:color w:val="000000" w:themeColor="text1"/>
              </w:rPr>
              <w:t>263.</w:t>
            </w:r>
          </w:p>
        </w:tc>
        <w:tc>
          <w:tcPr>
            <w:tcW w:w="4818" w:type="dxa"/>
          </w:tcPr>
          <w:p w14:paraId="3E224D37" w14:textId="77777777" w:rsidR="004B55AD" w:rsidRPr="00286216" w:rsidRDefault="004B55AD" w:rsidP="004B55AD">
            <w:pPr>
              <w:pStyle w:val="StyleZakonu"/>
              <w:rPr>
                <w:color w:val="000000" w:themeColor="text1"/>
              </w:rPr>
            </w:pPr>
            <w:r w:rsidRPr="00286216">
              <w:rPr>
                <w:color w:val="000000" w:themeColor="text1"/>
              </w:rPr>
              <w:t>4. Інші особливості виконання деривативних контрактів встановлюються статтею 40 цього Закону.</w:t>
            </w:r>
          </w:p>
        </w:tc>
        <w:tc>
          <w:tcPr>
            <w:tcW w:w="3686" w:type="dxa"/>
          </w:tcPr>
          <w:p w14:paraId="52B261EB" w14:textId="175FD80B" w:rsidR="004B55AD" w:rsidRPr="00286216" w:rsidRDefault="004B55AD" w:rsidP="004B55AD">
            <w:pPr>
              <w:pStyle w:val="StyleProp"/>
              <w:rPr>
                <w:color w:val="000000" w:themeColor="text1"/>
                <w:szCs w:val="18"/>
              </w:rPr>
            </w:pPr>
          </w:p>
        </w:tc>
        <w:tc>
          <w:tcPr>
            <w:tcW w:w="1987" w:type="dxa"/>
          </w:tcPr>
          <w:p w14:paraId="1FD59B99" w14:textId="6DDFB04A" w:rsidR="004B55AD" w:rsidRPr="00286216" w:rsidRDefault="004B55AD" w:rsidP="004B55AD">
            <w:pPr>
              <w:pStyle w:val="StyleWisnow"/>
              <w:rPr>
                <w:color w:val="000000" w:themeColor="text1"/>
              </w:rPr>
            </w:pPr>
          </w:p>
        </w:tc>
        <w:tc>
          <w:tcPr>
            <w:tcW w:w="4818" w:type="dxa"/>
          </w:tcPr>
          <w:p w14:paraId="60BEFD18" w14:textId="77777777" w:rsidR="004B55AD" w:rsidRPr="00286216" w:rsidRDefault="004B55AD" w:rsidP="004B55AD">
            <w:pPr>
              <w:pStyle w:val="StyleZakonu"/>
              <w:rPr>
                <w:color w:val="000000" w:themeColor="text1"/>
              </w:rPr>
            </w:pPr>
          </w:p>
        </w:tc>
      </w:tr>
      <w:tr w:rsidR="00F77E8D" w:rsidRPr="00286216" w14:paraId="28D60842" w14:textId="77777777" w:rsidTr="00091AA5">
        <w:tc>
          <w:tcPr>
            <w:tcW w:w="576" w:type="dxa"/>
          </w:tcPr>
          <w:p w14:paraId="1D0714A1" w14:textId="77777777" w:rsidR="004B55AD" w:rsidRPr="00286216" w:rsidRDefault="004B55AD" w:rsidP="004B55AD">
            <w:pPr>
              <w:pStyle w:val="StyleWisnow"/>
              <w:rPr>
                <w:color w:val="000000" w:themeColor="text1"/>
              </w:rPr>
            </w:pPr>
            <w:bookmarkStart w:id="270" w:name="n264" w:colFirst="0" w:colLast="0"/>
            <w:bookmarkEnd w:id="269"/>
            <w:r w:rsidRPr="00286216">
              <w:rPr>
                <w:color w:val="000000" w:themeColor="text1"/>
              </w:rPr>
              <w:t>264.</w:t>
            </w:r>
          </w:p>
        </w:tc>
        <w:tc>
          <w:tcPr>
            <w:tcW w:w="4818" w:type="dxa"/>
          </w:tcPr>
          <w:p w14:paraId="33AF272D" w14:textId="77777777" w:rsidR="004B55AD" w:rsidRPr="00286216" w:rsidRDefault="004B55AD" w:rsidP="004B55AD">
            <w:pPr>
              <w:pStyle w:val="StyleZakonu"/>
              <w:rPr>
                <w:color w:val="000000" w:themeColor="text1"/>
              </w:rPr>
            </w:pPr>
            <w:r w:rsidRPr="00286216">
              <w:rPr>
                <w:color w:val="000000" w:themeColor="text1"/>
              </w:rPr>
              <w:t>Стаття 10. Конвертація цінних паперів</w:t>
            </w:r>
          </w:p>
        </w:tc>
        <w:tc>
          <w:tcPr>
            <w:tcW w:w="3686" w:type="dxa"/>
          </w:tcPr>
          <w:p w14:paraId="617EB626" w14:textId="77777777" w:rsidR="004B55AD" w:rsidRPr="00286216" w:rsidRDefault="004B55AD" w:rsidP="004B55AD">
            <w:pPr>
              <w:pStyle w:val="StyleProp"/>
              <w:rPr>
                <w:color w:val="000000" w:themeColor="text1"/>
                <w:szCs w:val="18"/>
              </w:rPr>
            </w:pPr>
          </w:p>
        </w:tc>
        <w:tc>
          <w:tcPr>
            <w:tcW w:w="1987" w:type="dxa"/>
          </w:tcPr>
          <w:p w14:paraId="551EB09C" w14:textId="77777777" w:rsidR="004B55AD" w:rsidRPr="00286216" w:rsidRDefault="004B55AD" w:rsidP="004B55AD">
            <w:pPr>
              <w:pStyle w:val="StyleWisnow"/>
              <w:rPr>
                <w:color w:val="000000" w:themeColor="text1"/>
              </w:rPr>
            </w:pPr>
          </w:p>
        </w:tc>
        <w:tc>
          <w:tcPr>
            <w:tcW w:w="4818" w:type="dxa"/>
          </w:tcPr>
          <w:p w14:paraId="156A4497" w14:textId="4AB65963" w:rsidR="004B55AD" w:rsidRPr="00286216" w:rsidRDefault="004B55AD" w:rsidP="004B55AD">
            <w:pPr>
              <w:pStyle w:val="StyleZakonu"/>
              <w:rPr>
                <w:color w:val="000000" w:themeColor="text1"/>
              </w:rPr>
            </w:pPr>
            <w:r w:rsidRPr="00286216">
              <w:rPr>
                <w:color w:val="000000" w:themeColor="text1"/>
              </w:rPr>
              <w:t xml:space="preserve">Стаття </w:t>
            </w:r>
            <w:r w:rsidRPr="00286216">
              <w:rPr>
                <w:color w:val="000000" w:themeColor="text1"/>
                <w:lang w:val="ru-RU"/>
              </w:rPr>
              <w:t>37</w:t>
            </w:r>
            <w:r w:rsidRPr="00286216">
              <w:rPr>
                <w:color w:val="000000" w:themeColor="text1"/>
              </w:rPr>
              <w:t>. Конвертація цінних паперів</w:t>
            </w:r>
          </w:p>
        </w:tc>
      </w:tr>
      <w:tr w:rsidR="00F77E8D" w:rsidRPr="00286216" w14:paraId="24932865" w14:textId="77777777" w:rsidTr="00091AA5">
        <w:tc>
          <w:tcPr>
            <w:tcW w:w="576" w:type="dxa"/>
          </w:tcPr>
          <w:p w14:paraId="360796AE" w14:textId="77777777" w:rsidR="004B55AD" w:rsidRPr="00286216" w:rsidRDefault="004B55AD" w:rsidP="004B55AD">
            <w:pPr>
              <w:pStyle w:val="StyleWisnow"/>
              <w:rPr>
                <w:color w:val="000000" w:themeColor="text1"/>
              </w:rPr>
            </w:pPr>
            <w:bookmarkStart w:id="271" w:name="n265" w:colFirst="0" w:colLast="0"/>
            <w:bookmarkEnd w:id="270"/>
            <w:r w:rsidRPr="00286216">
              <w:rPr>
                <w:color w:val="000000" w:themeColor="text1"/>
              </w:rPr>
              <w:t>265.</w:t>
            </w:r>
          </w:p>
        </w:tc>
        <w:tc>
          <w:tcPr>
            <w:tcW w:w="4818" w:type="dxa"/>
          </w:tcPr>
          <w:p w14:paraId="5C2C6EB8" w14:textId="77777777" w:rsidR="004B55AD" w:rsidRPr="00286216" w:rsidRDefault="004B55AD" w:rsidP="004B55AD">
            <w:pPr>
              <w:pStyle w:val="StyleZakonu"/>
              <w:rPr>
                <w:color w:val="000000" w:themeColor="text1"/>
              </w:rPr>
            </w:pPr>
            <w:r w:rsidRPr="00286216">
              <w:rPr>
                <w:color w:val="000000" w:themeColor="text1"/>
              </w:rPr>
              <w:t>1. Конвертація цінних паперів - обмін цінних паперів одного випуску на цінні папери іншого випуску цього ж емітента.</w:t>
            </w:r>
          </w:p>
        </w:tc>
        <w:tc>
          <w:tcPr>
            <w:tcW w:w="3686" w:type="dxa"/>
          </w:tcPr>
          <w:p w14:paraId="4CE4DE08" w14:textId="387CE76B"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241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FA07D0F" w14:textId="0326AF74" w:rsidR="004B55AD" w:rsidRPr="00286216" w:rsidRDefault="004B55AD" w:rsidP="004B55AD">
            <w:pPr>
              <w:pStyle w:val="StyleProp"/>
              <w:rPr>
                <w:color w:val="000000" w:themeColor="text1"/>
                <w:szCs w:val="18"/>
              </w:rPr>
            </w:pPr>
            <w:r w:rsidRPr="00286216">
              <w:rPr>
                <w:color w:val="000000" w:themeColor="text1"/>
                <w:szCs w:val="18"/>
              </w:rPr>
              <w:t>Статті 7-13 редакції першого читання виділити в окремий розділ «Укладання та виконання фінансових інструментів та правочинів щодо них» після розділу «Деривативні контракти та їх види»</w:t>
            </w:r>
          </w:p>
        </w:tc>
        <w:tc>
          <w:tcPr>
            <w:tcW w:w="1987" w:type="dxa"/>
          </w:tcPr>
          <w:p w14:paraId="7E25A0BF" w14:textId="77777777" w:rsidR="004B55AD" w:rsidRPr="00286216" w:rsidRDefault="004B55AD" w:rsidP="004B55AD">
            <w:pPr>
              <w:pStyle w:val="StyleWisnow"/>
              <w:rPr>
                <w:color w:val="000000" w:themeColor="text1"/>
              </w:rPr>
            </w:pPr>
            <w:r w:rsidRPr="00286216">
              <w:rPr>
                <w:color w:val="000000" w:themeColor="text1"/>
              </w:rPr>
              <w:t>Враховано</w:t>
            </w:r>
          </w:p>
          <w:p w14:paraId="3AEA77B9" w14:textId="6F83ECA0" w:rsidR="004B55AD" w:rsidRPr="00286216" w:rsidRDefault="004B55AD" w:rsidP="00B7270F">
            <w:pPr>
              <w:pStyle w:val="StyleWisnow"/>
              <w:spacing w:line="180" w:lineRule="exact"/>
              <w:rPr>
                <w:color w:val="000000" w:themeColor="text1"/>
              </w:rPr>
            </w:pPr>
            <w:r w:rsidRPr="00286216">
              <w:rPr>
                <w:color w:val="000000" w:themeColor="text1"/>
              </w:rPr>
              <w:t>статті 7 – 13 за нової нумерації будуть відповідно 35 - 40</w:t>
            </w:r>
          </w:p>
        </w:tc>
        <w:tc>
          <w:tcPr>
            <w:tcW w:w="4818" w:type="dxa"/>
          </w:tcPr>
          <w:p w14:paraId="4FFFD4CA" w14:textId="017FA490" w:rsidR="004B55AD" w:rsidRPr="00286216" w:rsidRDefault="004B55AD" w:rsidP="004B55AD">
            <w:pPr>
              <w:pStyle w:val="StyleZakonu"/>
              <w:rPr>
                <w:color w:val="000000" w:themeColor="text1"/>
              </w:rPr>
            </w:pPr>
            <w:r w:rsidRPr="00286216">
              <w:rPr>
                <w:color w:val="000000" w:themeColor="text1"/>
              </w:rPr>
              <w:t>1. Конвертація цінних паперів – це обмін цінних паперів одного випуску на цінні папери іншого випуску того самого емітента.</w:t>
            </w:r>
          </w:p>
        </w:tc>
      </w:tr>
      <w:tr w:rsidR="00F77E8D" w:rsidRPr="00286216" w14:paraId="30049379" w14:textId="77777777" w:rsidTr="00091AA5">
        <w:tc>
          <w:tcPr>
            <w:tcW w:w="576" w:type="dxa"/>
          </w:tcPr>
          <w:p w14:paraId="3C816A75" w14:textId="77777777" w:rsidR="004B55AD" w:rsidRPr="00286216" w:rsidRDefault="004B55AD" w:rsidP="004B55AD">
            <w:pPr>
              <w:pStyle w:val="StyleWisnow"/>
              <w:rPr>
                <w:color w:val="000000" w:themeColor="text1"/>
              </w:rPr>
            </w:pPr>
            <w:bookmarkStart w:id="272" w:name="n266" w:colFirst="0" w:colLast="0"/>
            <w:bookmarkEnd w:id="271"/>
            <w:r w:rsidRPr="00286216">
              <w:rPr>
                <w:color w:val="000000" w:themeColor="text1"/>
              </w:rPr>
              <w:t>266.</w:t>
            </w:r>
          </w:p>
        </w:tc>
        <w:tc>
          <w:tcPr>
            <w:tcW w:w="4818" w:type="dxa"/>
          </w:tcPr>
          <w:p w14:paraId="4BDDD415" w14:textId="77777777" w:rsidR="004B55AD" w:rsidRPr="00286216" w:rsidRDefault="004B55AD" w:rsidP="004B55AD">
            <w:pPr>
              <w:pStyle w:val="StyleZakonu"/>
              <w:rPr>
                <w:color w:val="000000" w:themeColor="text1"/>
              </w:rPr>
            </w:pPr>
            <w:r w:rsidRPr="00286216">
              <w:rPr>
                <w:color w:val="000000" w:themeColor="text1"/>
              </w:rPr>
              <w:t>2. Рішення про проведення конвертації приймається органом емітента, уповноваженим приймати таке рішення.</w:t>
            </w:r>
          </w:p>
        </w:tc>
        <w:tc>
          <w:tcPr>
            <w:tcW w:w="3686" w:type="dxa"/>
          </w:tcPr>
          <w:p w14:paraId="762709FE" w14:textId="248A166D"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242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81E11B5" w14:textId="4F211577" w:rsidR="004B55AD" w:rsidRPr="00286216" w:rsidRDefault="004B55AD" w:rsidP="004B55AD">
            <w:pPr>
              <w:pStyle w:val="StyleProp"/>
              <w:rPr>
                <w:color w:val="000000" w:themeColor="text1"/>
                <w:szCs w:val="18"/>
              </w:rPr>
            </w:pPr>
            <w:r w:rsidRPr="00286216">
              <w:rPr>
                <w:color w:val="000000" w:themeColor="text1"/>
              </w:rPr>
              <w:t>Частину другу статті 10 після слова " органом " доповнити словом "(особою)".</w:t>
            </w:r>
          </w:p>
        </w:tc>
        <w:tc>
          <w:tcPr>
            <w:tcW w:w="1987" w:type="dxa"/>
          </w:tcPr>
          <w:p w14:paraId="549A0BB1" w14:textId="560EDD1A"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34BF7552" w14:textId="40C621F7" w:rsidR="004B55AD" w:rsidRPr="00286216" w:rsidRDefault="004B55AD" w:rsidP="004B55AD">
            <w:pPr>
              <w:pStyle w:val="StyleZakonu"/>
              <w:rPr>
                <w:color w:val="000000" w:themeColor="text1"/>
              </w:rPr>
            </w:pPr>
            <w:r w:rsidRPr="00286216">
              <w:rPr>
                <w:color w:val="000000" w:themeColor="text1"/>
              </w:rPr>
              <w:t xml:space="preserve">2. Рішення про проведення конвертації </w:t>
            </w:r>
            <w:r w:rsidR="00B7270F" w:rsidRPr="00286216">
              <w:rPr>
                <w:color w:val="000000" w:themeColor="text1"/>
              </w:rPr>
              <w:t xml:space="preserve">цінних паперів </w:t>
            </w:r>
            <w:r w:rsidRPr="00286216">
              <w:rPr>
                <w:color w:val="000000" w:themeColor="text1"/>
              </w:rPr>
              <w:t>приймається органом (особою) емітента, уповноваженим на прийняття такого рішення.</w:t>
            </w:r>
          </w:p>
        </w:tc>
      </w:tr>
      <w:tr w:rsidR="00F77E8D" w:rsidRPr="00286216" w14:paraId="5C1F0899" w14:textId="77777777" w:rsidTr="00091AA5">
        <w:tc>
          <w:tcPr>
            <w:tcW w:w="576" w:type="dxa"/>
          </w:tcPr>
          <w:p w14:paraId="3A9A43C7" w14:textId="77777777" w:rsidR="004B55AD" w:rsidRPr="00286216" w:rsidRDefault="004B55AD" w:rsidP="004B55AD">
            <w:pPr>
              <w:pStyle w:val="StyleWisnow"/>
              <w:rPr>
                <w:color w:val="000000" w:themeColor="text1"/>
              </w:rPr>
            </w:pPr>
            <w:bookmarkStart w:id="273" w:name="n267" w:colFirst="0" w:colLast="0"/>
            <w:bookmarkEnd w:id="272"/>
            <w:r w:rsidRPr="00286216">
              <w:rPr>
                <w:color w:val="000000" w:themeColor="text1"/>
              </w:rPr>
              <w:t>267.</w:t>
            </w:r>
          </w:p>
        </w:tc>
        <w:tc>
          <w:tcPr>
            <w:tcW w:w="4818" w:type="dxa"/>
          </w:tcPr>
          <w:p w14:paraId="4B26F352" w14:textId="77777777" w:rsidR="004B55AD" w:rsidRPr="00286216" w:rsidRDefault="004B55AD" w:rsidP="004B55AD">
            <w:pPr>
              <w:pStyle w:val="StyleZakonu"/>
              <w:rPr>
                <w:color w:val="000000" w:themeColor="text1"/>
              </w:rPr>
            </w:pPr>
            <w:r w:rsidRPr="00286216">
              <w:rPr>
                <w:color w:val="000000" w:themeColor="text1"/>
              </w:rPr>
              <w:t>3. При проведенні конвертації емітент зобов’язаний здійснити викуп цінних паперів, що конвертуються, у їх власників, які не згодні з рішенням про проведення конвертації.</w:t>
            </w:r>
          </w:p>
        </w:tc>
        <w:tc>
          <w:tcPr>
            <w:tcW w:w="3686" w:type="dxa"/>
          </w:tcPr>
          <w:p w14:paraId="30517C50" w14:textId="77777777" w:rsidR="004B55AD" w:rsidRPr="00286216" w:rsidRDefault="004B55AD" w:rsidP="004B55AD">
            <w:pPr>
              <w:pStyle w:val="StyleProp"/>
              <w:rPr>
                <w:color w:val="000000" w:themeColor="text1"/>
                <w:szCs w:val="18"/>
              </w:rPr>
            </w:pPr>
          </w:p>
        </w:tc>
        <w:tc>
          <w:tcPr>
            <w:tcW w:w="1987" w:type="dxa"/>
          </w:tcPr>
          <w:p w14:paraId="411AD5A4" w14:textId="77777777" w:rsidR="004B55AD" w:rsidRPr="00286216" w:rsidRDefault="004B55AD" w:rsidP="004B55AD">
            <w:pPr>
              <w:pStyle w:val="StyleWisnow"/>
              <w:rPr>
                <w:color w:val="000000" w:themeColor="text1"/>
              </w:rPr>
            </w:pPr>
          </w:p>
        </w:tc>
        <w:tc>
          <w:tcPr>
            <w:tcW w:w="4818" w:type="dxa"/>
          </w:tcPr>
          <w:p w14:paraId="3D82C07B" w14:textId="1F478FD9" w:rsidR="004B55AD" w:rsidRPr="00286216" w:rsidRDefault="004B55AD" w:rsidP="004B55AD">
            <w:pPr>
              <w:pStyle w:val="StyleZakonu"/>
              <w:rPr>
                <w:color w:val="000000" w:themeColor="text1"/>
              </w:rPr>
            </w:pPr>
            <w:r w:rsidRPr="00286216">
              <w:rPr>
                <w:color w:val="000000" w:themeColor="text1"/>
              </w:rPr>
              <w:t>3. У разі проведення конвертації емітент зобов’язаний здійснити викуп цінних паперів, що конвертуються, у їх власників, які не згодні з рішенням про проведення конвертації.</w:t>
            </w:r>
          </w:p>
        </w:tc>
      </w:tr>
      <w:tr w:rsidR="00F77E8D" w:rsidRPr="00286216" w14:paraId="00C0E761" w14:textId="77777777" w:rsidTr="00091AA5">
        <w:tc>
          <w:tcPr>
            <w:tcW w:w="576" w:type="dxa"/>
          </w:tcPr>
          <w:p w14:paraId="2D99AE39" w14:textId="77777777" w:rsidR="004B55AD" w:rsidRPr="00286216" w:rsidRDefault="004B55AD" w:rsidP="004B55AD">
            <w:pPr>
              <w:pStyle w:val="StyleWisnow"/>
              <w:rPr>
                <w:color w:val="000000" w:themeColor="text1"/>
              </w:rPr>
            </w:pPr>
            <w:bookmarkStart w:id="274" w:name="n268" w:colFirst="0" w:colLast="0"/>
            <w:bookmarkEnd w:id="273"/>
            <w:r w:rsidRPr="00286216">
              <w:rPr>
                <w:color w:val="000000" w:themeColor="text1"/>
              </w:rPr>
              <w:t>268.</w:t>
            </w:r>
          </w:p>
        </w:tc>
        <w:tc>
          <w:tcPr>
            <w:tcW w:w="4818" w:type="dxa"/>
          </w:tcPr>
          <w:p w14:paraId="7BBD95F9" w14:textId="77777777" w:rsidR="004B55AD" w:rsidRPr="00286216" w:rsidRDefault="004B55AD" w:rsidP="004B55AD">
            <w:pPr>
              <w:pStyle w:val="StyleZakonu"/>
              <w:rPr>
                <w:color w:val="000000" w:themeColor="text1"/>
              </w:rPr>
            </w:pPr>
            <w:r w:rsidRPr="00286216">
              <w:rPr>
                <w:color w:val="000000" w:themeColor="text1"/>
              </w:rPr>
              <w:t>Порядок повідомлення власників цінних паперів про проведення конвертації цінних паперів, порядок повідомлення емітента власниками цінних паперів про згоду (або незгоду) з рішенням про проведення конвертації і строк, у який цінні папери мають бути пред’явлені їх власниками для викупу, повинні бути передбачені рішенням відповідного органу емітента про проведення конвертації.</w:t>
            </w:r>
          </w:p>
        </w:tc>
        <w:tc>
          <w:tcPr>
            <w:tcW w:w="3686" w:type="dxa"/>
          </w:tcPr>
          <w:p w14:paraId="332F666C" w14:textId="77777777" w:rsidR="004B55AD" w:rsidRPr="00286216" w:rsidRDefault="004B55AD" w:rsidP="004B55AD">
            <w:pPr>
              <w:pStyle w:val="StyleProp"/>
              <w:rPr>
                <w:color w:val="000000" w:themeColor="text1"/>
                <w:szCs w:val="18"/>
              </w:rPr>
            </w:pPr>
          </w:p>
        </w:tc>
        <w:tc>
          <w:tcPr>
            <w:tcW w:w="1987" w:type="dxa"/>
          </w:tcPr>
          <w:p w14:paraId="3C79058A" w14:textId="77777777" w:rsidR="004B55AD" w:rsidRPr="00286216" w:rsidRDefault="004B55AD" w:rsidP="004B55AD">
            <w:pPr>
              <w:pStyle w:val="StyleWisnow"/>
              <w:rPr>
                <w:color w:val="000000" w:themeColor="text1"/>
              </w:rPr>
            </w:pPr>
          </w:p>
        </w:tc>
        <w:tc>
          <w:tcPr>
            <w:tcW w:w="4818" w:type="dxa"/>
          </w:tcPr>
          <w:p w14:paraId="09D663D7" w14:textId="472FFD72" w:rsidR="004B55AD" w:rsidRPr="00286216" w:rsidRDefault="004B55AD" w:rsidP="00B7270F">
            <w:pPr>
              <w:pStyle w:val="StyleZakonu"/>
              <w:rPr>
                <w:color w:val="000000" w:themeColor="text1"/>
              </w:rPr>
            </w:pPr>
            <w:r w:rsidRPr="00286216">
              <w:rPr>
                <w:color w:val="000000" w:themeColor="text1"/>
              </w:rPr>
              <w:t xml:space="preserve">Порядок повідомлення власників цінних паперів про проведення конвертації, порядок повідомлення емітента власниками цінних паперів про згоду (незгоду) з рішенням про проведення конвертації і строк, у який цінні папери мають бути пред’явлені їх власниками для викупу, </w:t>
            </w:r>
            <w:r w:rsidR="00B7270F" w:rsidRPr="00286216">
              <w:rPr>
                <w:color w:val="000000" w:themeColor="text1"/>
              </w:rPr>
              <w:t xml:space="preserve">визначаються </w:t>
            </w:r>
            <w:r w:rsidRPr="00286216">
              <w:rPr>
                <w:color w:val="000000" w:themeColor="text1"/>
              </w:rPr>
              <w:t>рішенням відповідного органу емітента про проведення конвертації.</w:t>
            </w:r>
          </w:p>
        </w:tc>
      </w:tr>
      <w:tr w:rsidR="00F77E8D" w:rsidRPr="00286216" w14:paraId="23DE95E3" w14:textId="77777777" w:rsidTr="00091AA5">
        <w:tc>
          <w:tcPr>
            <w:tcW w:w="576" w:type="dxa"/>
          </w:tcPr>
          <w:p w14:paraId="03793787" w14:textId="77777777" w:rsidR="004B55AD" w:rsidRPr="00286216" w:rsidRDefault="004B55AD" w:rsidP="004B55AD">
            <w:pPr>
              <w:pStyle w:val="StyleWisnow"/>
              <w:rPr>
                <w:color w:val="000000" w:themeColor="text1"/>
              </w:rPr>
            </w:pPr>
            <w:bookmarkStart w:id="275" w:name="n269" w:colFirst="0" w:colLast="0"/>
            <w:bookmarkEnd w:id="274"/>
            <w:r w:rsidRPr="00286216">
              <w:rPr>
                <w:color w:val="000000" w:themeColor="text1"/>
              </w:rPr>
              <w:t>269.</w:t>
            </w:r>
          </w:p>
        </w:tc>
        <w:tc>
          <w:tcPr>
            <w:tcW w:w="4818" w:type="dxa"/>
          </w:tcPr>
          <w:p w14:paraId="5C53EDDD" w14:textId="77777777" w:rsidR="004B55AD" w:rsidRPr="00286216" w:rsidRDefault="004B55AD" w:rsidP="004B55AD">
            <w:pPr>
              <w:pStyle w:val="StyleZakonu"/>
              <w:rPr>
                <w:color w:val="000000" w:themeColor="text1"/>
              </w:rPr>
            </w:pPr>
            <w:r w:rsidRPr="00286216">
              <w:rPr>
                <w:color w:val="000000" w:themeColor="text1"/>
              </w:rPr>
              <w:t>Викуп цінних паперів у власників, які не згодні з рішенням про проведення конвертації, здійснюється за ринковою вартістю, але не нижче ніж номінальна вартість таких цінних паперів.</w:t>
            </w:r>
          </w:p>
        </w:tc>
        <w:tc>
          <w:tcPr>
            <w:tcW w:w="3686" w:type="dxa"/>
          </w:tcPr>
          <w:p w14:paraId="1AD928FD" w14:textId="77777777" w:rsidR="004B55AD" w:rsidRPr="00286216" w:rsidRDefault="004B55AD" w:rsidP="004B55AD">
            <w:pPr>
              <w:pStyle w:val="StyleProp"/>
              <w:rPr>
                <w:color w:val="000000" w:themeColor="text1"/>
                <w:szCs w:val="18"/>
              </w:rPr>
            </w:pPr>
          </w:p>
        </w:tc>
        <w:tc>
          <w:tcPr>
            <w:tcW w:w="1987" w:type="dxa"/>
          </w:tcPr>
          <w:p w14:paraId="18062324" w14:textId="77777777" w:rsidR="004B55AD" w:rsidRPr="00286216" w:rsidRDefault="004B55AD" w:rsidP="004B55AD">
            <w:pPr>
              <w:pStyle w:val="StyleWisnow"/>
              <w:rPr>
                <w:color w:val="000000" w:themeColor="text1"/>
              </w:rPr>
            </w:pPr>
          </w:p>
        </w:tc>
        <w:tc>
          <w:tcPr>
            <w:tcW w:w="4818" w:type="dxa"/>
          </w:tcPr>
          <w:p w14:paraId="3E7EDC84" w14:textId="7B518E02" w:rsidR="004B55AD" w:rsidRPr="00286216" w:rsidRDefault="004B55AD" w:rsidP="00B7270F">
            <w:pPr>
              <w:pStyle w:val="StyleZakonu"/>
              <w:rPr>
                <w:color w:val="000000" w:themeColor="text1"/>
              </w:rPr>
            </w:pPr>
            <w:r w:rsidRPr="00286216">
              <w:rPr>
                <w:color w:val="000000" w:themeColor="text1"/>
              </w:rPr>
              <w:t xml:space="preserve">Викуп цінних паперів у власників, які не згодні з рішенням про проведення конвертації, здійснюється за ринковою вартістю, але не нижче </w:t>
            </w:r>
            <w:r w:rsidR="00B7270F" w:rsidRPr="00286216">
              <w:rPr>
                <w:color w:val="000000" w:themeColor="text1"/>
              </w:rPr>
              <w:t xml:space="preserve">за </w:t>
            </w:r>
            <w:r w:rsidRPr="00286216">
              <w:rPr>
                <w:color w:val="000000" w:themeColor="text1"/>
              </w:rPr>
              <w:t xml:space="preserve"> номінальн</w:t>
            </w:r>
            <w:r w:rsidR="00B7270F" w:rsidRPr="00286216">
              <w:rPr>
                <w:color w:val="000000" w:themeColor="text1"/>
              </w:rPr>
              <w:t>у</w:t>
            </w:r>
            <w:r w:rsidRPr="00286216">
              <w:rPr>
                <w:color w:val="000000" w:themeColor="text1"/>
              </w:rPr>
              <w:t xml:space="preserve"> вартість таких цінних паперів.</w:t>
            </w:r>
          </w:p>
        </w:tc>
      </w:tr>
      <w:tr w:rsidR="00F77E8D" w:rsidRPr="00286216" w14:paraId="5AFBE1C0" w14:textId="77777777" w:rsidTr="00091AA5">
        <w:tc>
          <w:tcPr>
            <w:tcW w:w="576" w:type="dxa"/>
          </w:tcPr>
          <w:p w14:paraId="2D28E874" w14:textId="77777777" w:rsidR="004B55AD" w:rsidRPr="00286216" w:rsidRDefault="004B55AD" w:rsidP="004B55AD">
            <w:pPr>
              <w:pStyle w:val="StyleWisnow"/>
              <w:rPr>
                <w:color w:val="000000" w:themeColor="text1"/>
              </w:rPr>
            </w:pPr>
            <w:bookmarkStart w:id="276" w:name="n270" w:colFirst="0" w:colLast="0"/>
            <w:bookmarkEnd w:id="275"/>
            <w:r w:rsidRPr="00286216">
              <w:rPr>
                <w:color w:val="000000" w:themeColor="text1"/>
              </w:rPr>
              <w:lastRenderedPageBreak/>
              <w:t>270.</w:t>
            </w:r>
          </w:p>
        </w:tc>
        <w:tc>
          <w:tcPr>
            <w:tcW w:w="4818" w:type="dxa"/>
          </w:tcPr>
          <w:p w14:paraId="156A6C75" w14:textId="77777777" w:rsidR="004B55AD" w:rsidRPr="00286216" w:rsidRDefault="004B55AD" w:rsidP="004B55AD">
            <w:pPr>
              <w:pStyle w:val="StyleZakonu"/>
              <w:rPr>
                <w:color w:val="000000" w:themeColor="text1"/>
              </w:rPr>
            </w:pPr>
            <w:r w:rsidRPr="00286216">
              <w:rPr>
                <w:color w:val="000000" w:themeColor="text1"/>
              </w:rPr>
              <w:t>Ринкова вартість визначається:</w:t>
            </w:r>
          </w:p>
        </w:tc>
        <w:tc>
          <w:tcPr>
            <w:tcW w:w="3686" w:type="dxa"/>
          </w:tcPr>
          <w:p w14:paraId="2ECF6E77" w14:textId="77777777" w:rsidR="004B55AD" w:rsidRPr="00286216" w:rsidRDefault="004B55AD" w:rsidP="004B55AD">
            <w:pPr>
              <w:pStyle w:val="StyleProp"/>
              <w:rPr>
                <w:color w:val="000000" w:themeColor="text1"/>
                <w:szCs w:val="18"/>
              </w:rPr>
            </w:pPr>
          </w:p>
        </w:tc>
        <w:tc>
          <w:tcPr>
            <w:tcW w:w="1987" w:type="dxa"/>
          </w:tcPr>
          <w:p w14:paraId="66CD9A47" w14:textId="77777777" w:rsidR="004B55AD" w:rsidRPr="00286216" w:rsidRDefault="004B55AD" w:rsidP="004B55AD">
            <w:pPr>
              <w:pStyle w:val="StyleWisnow"/>
              <w:rPr>
                <w:color w:val="000000" w:themeColor="text1"/>
              </w:rPr>
            </w:pPr>
          </w:p>
        </w:tc>
        <w:tc>
          <w:tcPr>
            <w:tcW w:w="4818" w:type="dxa"/>
          </w:tcPr>
          <w:p w14:paraId="78A487D5" w14:textId="77777777" w:rsidR="004B55AD" w:rsidRPr="00286216" w:rsidRDefault="004B55AD" w:rsidP="004B55AD">
            <w:pPr>
              <w:pStyle w:val="StyleZakonu"/>
              <w:rPr>
                <w:color w:val="000000" w:themeColor="text1"/>
              </w:rPr>
            </w:pPr>
            <w:r w:rsidRPr="00286216">
              <w:rPr>
                <w:color w:val="000000" w:themeColor="text1"/>
              </w:rPr>
              <w:t>Ринкова вартість визначається:</w:t>
            </w:r>
          </w:p>
        </w:tc>
      </w:tr>
      <w:tr w:rsidR="00F77E8D" w:rsidRPr="00286216" w14:paraId="2C542EA8" w14:textId="77777777" w:rsidTr="00091AA5">
        <w:tc>
          <w:tcPr>
            <w:tcW w:w="576" w:type="dxa"/>
          </w:tcPr>
          <w:p w14:paraId="0C1067D5" w14:textId="77777777" w:rsidR="004B55AD" w:rsidRPr="00286216" w:rsidRDefault="004B55AD" w:rsidP="004B55AD">
            <w:pPr>
              <w:pStyle w:val="StyleWisnow"/>
              <w:rPr>
                <w:color w:val="000000" w:themeColor="text1"/>
              </w:rPr>
            </w:pPr>
            <w:bookmarkStart w:id="277" w:name="n271" w:colFirst="0" w:colLast="0"/>
            <w:bookmarkEnd w:id="276"/>
            <w:r w:rsidRPr="00286216">
              <w:rPr>
                <w:color w:val="000000" w:themeColor="text1"/>
              </w:rPr>
              <w:t>271.</w:t>
            </w:r>
          </w:p>
        </w:tc>
        <w:tc>
          <w:tcPr>
            <w:tcW w:w="4818" w:type="dxa"/>
          </w:tcPr>
          <w:p w14:paraId="6C6C0B20" w14:textId="77777777" w:rsidR="004B55AD" w:rsidRPr="00286216" w:rsidRDefault="004B55AD" w:rsidP="004B55AD">
            <w:pPr>
              <w:pStyle w:val="StyleZakonu"/>
              <w:rPr>
                <w:color w:val="000000" w:themeColor="text1"/>
              </w:rPr>
            </w:pPr>
            <w:r w:rsidRPr="00286216">
              <w:rPr>
                <w:color w:val="000000" w:themeColor="text1"/>
              </w:rPr>
              <w:t>1) за середнім курсом - для цінних паперів, які допущені до торгів на організованих ринках капіталу, в порядку встановленому Національною комісією з цінних паперів та фондового ринку;</w:t>
            </w:r>
          </w:p>
        </w:tc>
        <w:tc>
          <w:tcPr>
            <w:tcW w:w="3686" w:type="dxa"/>
          </w:tcPr>
          <w:p w14:paraId="07F3C609" w14:textId="77777777" w:rsidR="004B55AD" w:rsidRPr="00286216" w:rsidRDefault="004B55AD" w:rsidP="004B55AD">
            <w:pPr>
              <w:pStyle w:val="StyleProp"/>
              <w:rPr>
                <w:color w:val="000000" w:themeColor="text1"/>
                <w:szCs w:val="18"/>
              </w:rPr>
            </w:pPr>
          </w:p>
        </w:tc>
        <w:tc>
          <w:tcPr>
            <w:tcW w:w="1987" w:type="dxa"/>
          </w:tcPr>
          <w:p w14:paraId="2E01010A" w14:textId="77777777" w:rsidR="004B55AD" w:rsidRPr="00286216" w:rsidRDefault="004B55AD" w:rsidP="004B55AD">
            <w:pPr>
              <w:pStyle w:val="StyleWisnow"/>
              <w:rPr>
                <w:color w:val="000000" w:themeColor="text1"/>
              </w:rPr>
            </w:pPr>
          </w:p>
        </w:tc>
        <w:tc>
          <w:tcPr>
            <w:tcW w:w="4818" w:type="dxa"/>
          </w:tcPr>
          <w:p w14:paraId="7791B831" w14:textId="02C1D299" w:rsidR="004B55AD" w:rsidRPr="00286216" w:rsidRDefault="004B55AD" w:rsidP="00B7270F">
            <w:pPr>
              <w:pStyle w:val="StyleZakonu"/>
              <w:rPr>
                <w:color w:val="000000" w:themeColor="text1"/>
              </w:rPr>
            </w:pPr>
            <w:r w:rsidRPr="00286216">
              <w:rPr>
                <w:color w:val="000000" w:themeColor="text1"/>
              </w:rPr>
              <w:t xml:space="preserve">1) за середнім курсом, визначеним </w:t>
            </w:r>
            <w:r w:rsidR="00B7270F" w:rsidRPr="00286216">
              <w:rPr>
                <w:color w:val="000000" w:themeColor="text1"/>
              </w:rPr>
              <w:t>у</w:t>
            </w:r>
            <w:r w:rsidRPr="00286216">
              <w:rPr>
                <w:color w:val="000000" w:themeColor="text1"/>
              </w:rPr>
              <w:t xml:space="preserve"> порядку,  встановленому Національною комісією з цінних паперів та фондового ринку, - для цінних паперів</w:t>
            </w:r>
            <w:r w:rsidR="00B7270F" w:rsidRPr="00286216">
              <w:rPr>
                <w:color w:val="000000" w:themeColor="text1"/>
              </w:rPr>
              <w:t>,</w:t>
            </w:r>
            <w:r w:rsidRPr="00286216">
              <w:rPr>
                <w:color w:val="000000" w:themeColor="text1"/>
              </w:rPr>
              <w:t xml:space="preserve"> допущених до торгів на організованих ринках капіталу;</w:t>
            </w:r>
          </w:p>
        </w:tc>
      </w:tr>
      <w:tr w:rsidR="00F77E8D" w:rsidRPr="00286216" w14:paraId="44824878" w14:textId="77777777" w:rsidTr="00091AA5">
        <w:tc>
          <w:tcPr>
            <w:tcW w:w="576" w:type="dxa"/>
          </w:tcPr>
          <w:p w14:paraId="348EAA70" w14:textId="77777777" w:rsidR="004B55AD" w:rsidRPr="00286216" w:rsidRDefault="004B55AD" w:rsidP="004B55AD">
            <w:pPr>
              <w:pStyle w:val="StyleWisnow"/>
              <w:rPr>
                <w:color w:val="000000" w:themeColor="text1"/>
              </w:rPr>
            </w:pPr>
            <w:bookmarkStart w:id="278" w:name="n272" w:colFirst="0" w:colLast="0"/>
            <w:bookmarkEnd w:id="277"/>
            <w:r w:rsidRPr="00286216">
              <w:rPr>
                <w:color w:val="000000" w:themeColor="text1"/>
              </w:rPr>
              <w:t>272.</w:t>
            </w:r>
          </w:p>
        </w:tc>
        <w:tc>
          <w:tcPr>
            <w:tcW w:w="4818" w:type="dxa"/>
          </w:tcPr>
          <w:p w14:paraId="602D687F" w14:textId="77777777" w:rsidR="004B55AD" w:rsidRPr="00286216" w:rsidRDefault="004B55AD" w:rsidP="004B55AD">
            <w:pPr>
              <w:pStyle w:val="StyleZakonu"/>
              <w:rPr>
                <w:color w:val="000000" w:themeColor="text1"/>
              </w:rPr>
            </w:pPr>
            <w:r w:rsidRPr="00286216">
              <w:rPr>
                <w:color w:val="000000" w:themeColor="text1"/>
              </w:rPr>
              <w:t>2) за вартістю, визначеною суб’єктом оціночної діяльності відповідно до законодавства про оцінку майна, майнових прав та професійну оціночну діяльність, -для цінних паперів, які не допущені до торгів на регульованому фондовому ринку.</w:t>
            </w:r>
          </w:p>
        </w:tc>
        <w:tc>
          <w:tcPr>
            <w:tcW w:w="3686" w:type="dxa"/>
          </w:tcPr>
          <w:p w14:paraId="01596753" w14:textId="52084526"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243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90EB9DC" w14:textId="7C16253B" w:rsidR="004B55AD" w:rsidRPr="00286216" w:rsidRDefault="004B55AD" w:rsidP="004B55AD">
            <w:pPr>
              <w:pStyle w:val="StyleProp"/>
              <w:rPr>
                <w:color w:val="000000" w:themeColor="text1"/>
                <w:szCs w:val="18"/>
              </w:rPr>
            </w:pPr>
            <w:r w:rsidRPr="00286216">
              <w:rPr>
                <w:color w:val="000000" w:themeColor="text1"/>
              </w:rPr>
              <w:t>У пункті 2 частини 3 статті 10 слова "на регульованому фондовому ринку" замінити словами "на організованих ринках капіталу".</w:t>
            </w:r>
          </w:p>
        </w:tc>
        <w:tc>
          <w:tcPr>
            <w:tcW w:w="1987" w:type="dxa"/>
          </w:tcPr>
          <w:p w14:paraId="54FD1213" w14:textId="1970343F"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0BAB44FD" w14:textId="2A9A94BD" w:rsidR="004B55AD" w:rsidRPr="00286216" w:rsidRDefault="004B55AD" w:rsidP="004B55AD">
            <w:pPr>
              <w:pStyle w:val="StyleZakonu"/>
              <w:rPr>
                <w:color w:val="000000" w:themeColor="text1"/>
              </w:rPr>
            </w:pPr>
            <w:r w:rsidRPr="00286216">
              <w:rPr>
                <w:color w:val="000000" w:themeColor="text1"/>
              </w:rPr>
              <w:t>2) за вартістю, визначеною суб’єктом оціночної діяльності відповідно до законодавства про оцінку майна, майнових прав та професійну оціночну діяльність, - для цінних паперів, не допущених до торгів на організованих ринках капіталу.</w:t>
            </w:r>
          </w:p>
        </w:tc>
      </w:tr>
      <w:tr w:rsidR="00F77E8D" w:rsidRPr="00286216" w14:paraId="34771889" w14:textId="77777777" w:rsidTr="00091AA5">
        <w:tc>
          <w:tcPr>
            <w:tcW w:w="576" w:type="dxa"/>
          </w:tcPr>
          <w:p w14:paraId="55230407" w14:textId="77777777" w:rsidR="004B55AD" w:rsidRPr="00286216" w:rsidRDefault="004B55AD" w:rsidP="004B55AD">
            <w:pPr>
              <w:pStyle w:val="StyleWisnow"/>
              <w:rPr>
                <w:color w:val="000000" w:themeColor="text1"/>
              </w:rPr>
            </w:pPr>
            <w:bookmarkStart w:id="279" w:name="n273" w:colFirst="0" w:colLast="0"/>
            <w:bookmarkEnd w:id="278"/>
            <w:r w:rsidRPr="00286216">
              <w:rPr>
                <w:color w:val="000000" w:themeColor="text1"/>
              </w:rPr>
              <w:t>273.</w:t>
            </w:r>
          </w:p>
        </w:tc>
        <w:tc>
          <w:tcPr>
            <w:tcW w:w="4818" w:type="dxa"/>
          </w:tcPr>
          <w:p w14:paraId="3B5E519E" w14:textId="77777777" w:rsidR="004B55AD" w:rsidRPr="00286216" w:rsidRDefault="004B55AD" w:rsidP="004B55AD">
            <w:pPr>
              <w:pStyle w:val="StyleZakonu"/>
              <w:rPr>
                <w:color w:val="000000" w:themeColor="text1"/>
              </w:rPr>
            </w:pPr>
            <w:r w:rsidRPr="00286216">
              <w:rPr>
                <w:color w:val="000000" w:themeColor="text1"/>
              </w:rPr>
              <w:t>4. Після проведення розрахунків з власниками цінних паперів реєстрація випуску цінних паперів, що конвертуються, підлягає скасуванню в порядку, встановленому Національною комісією з цінних паперів та фондового ринку.</w:t>
            </w:r>
          </w:p>
        </w:tc>
        <w:tc>
          <w:tcPr>
            <w:tcW w:w="3686" w:type="dxa"/>
          </w:tcPr>
          <w:p w14:paraId="2C6DE268" w14:textId="77777777" w:rsidR="004B55AD" w:rsidRPr="00286216" w:rsidRDefault="004B55AD" w:rsidP="004B55AD">
            <w:pPr>
              <w:pStyle w:val="StyleProp"/>
              <w:rPr>
                <w:color w:val="000000" w:themeColor="text1"/>
                <w:szCs w:val="18"/>
              </w:rPr>
            </w:pPr>
          </w:p>
        </w:tc>
        <w:tc>
          <w:tcPr>
            <w:tcW w:w="1987" w:type="dxa"/>
          </w:tcPr>
          <w:p w14:paraId="0E93789D" w14:textId="77777777" w:rsidR="004B55AD" w:rsidRPr="00286216" w:rsidRDefault="004B55AD" w:rsidP="004B55AD">
            <w:pPr>
              <w:pStyle w:val="StyleWisnow"/>
              <w:rPr>
                <w:color w:val="000000" w:themeColor="text1"/>
              </w:rPr>
            </w:pPr>
          </w:p>
        </w:tc>
        <w:tc>
          <w:tcPr>
            <w:tcW w:w="4818" w:type="dxa"/>
          </w:tcPr>
          <w:p w14:paraId="4A86E7CA" w14:textId="77777777" w:rsidR="004B55AD" w:rsidRPr="00286216" w:rsidRDefault="004B55AD" w:rsidP="004B55AD">
            <w:pPr>
              <w:pStyle w:val="StyleZakonu"/>
              <w:rPr>
                <w:color w:val="000000" w:themeColor="text1"/>
              </w:rPr>
            </w:pPr>
            <w:r w:rsidRPr="00286216">
              <w:rPr>
                <w:color w:val="000000" w:themeColor="text1"/>
              </w:rPr>
              <w:t>4. Після проведення розрахунків з власниками цінних паперів реєстрація випуску цінних паперів, що конвертуються, підлягає скасуванню в порядку, встановленому Національною комісією з цінних паперів та фондового ринку.</w:t>
            </w:r>
          </w:p>
        </w:tc>
      </w:tr>
      <w:tr w:rsidR="00F77E8D" w:rsidRPr="00286216" w14:paraId="0222FF14" w14:textId="77777777" w:rsidTr="00091AA5">
        <w:tc>
          <w:tcPr>
            <w:tcW w:w="576" w:type="dxa"/>
          </w:tcPr>
          <w:p w14:paraId="57F505AD" w14:textId="77777777" w:rsidR="004B55AD" w:rsidRPr="00286216" w:rsidRDefault="004B55AD" w:rsidP="004B55AD">
            <w:pPr>
              <w:pStyle w:val="StyleWisnow"/>
              <w:rPr>
                <w:color w:val="000000" w:themeColor="text1"/>
              </w:rPr>
            </w:pPr>
            <w:bookmarkStart w:id="280" w:name="n274" w:colFirst="0" w:colLast="0"/>
            <w:bookmarkEnd w:id="279"/>
            <w:r w:rsidRPr="00286216">
              <w:rPr>
                <w:color w:val="000000" w:themeColor="text1"/>
              </w:rPr>
              <w:t>274.</w:t>
            </w:r>
          </w:p>
        </w:tc>
        <w:tc>
          <w:tcPr>
            <w:tcW w:w="4818" w:type="dxa"/>
          </w:tcPr>
          <w:p w14:paraId="6DE7A9BE" w14:textId="77777777" w:rsidR="004B55AD" w:rsidRPr="00286216" w:rsidRDefault="004B55AD" w:rsidP="004B55AD">
            <w:pPr>
              <w:pStyle w:val="StyleZakonu"/>
              <w:rPr>
                <w:color w:val="000000" w:themeColor="text1"/>
              </w:rPr>
            </w:pPr>
            <w:r w:rsidRPr="00286216">
              <w:rPr>
                <w:color w:val="000000" w:themeColor="text1"/>
              </w:rPr>
              <w:t>Порядок проведення конвертації встановлюється Національною комісією з цінних паперів та фондового ринку.</w:t>
            </w:r>
          </w:p>
        </w:tc>
        <w:tc>
          <w:tcPr>
            <w:tcW w:w="3686" w:type="dxa"/>
          </w:tcPr>
          <w:p w14:paraId="6B67CD71" w14:textId="77777777" w:rsidR="004B55AD" w:rsidRPr="00286216" w:rsidRDefault="004B55AD" w:rsidP="004B55AD">
            <w:pPr>
              <w:pStyle w:val="StyleProp"/>
              <w:rPr>
                <w:color w:val="000000" w:themeColor="text1"/>
                <w:szCs w:val="18"/>
              </w:rPr>
            </w:pPr>
          </w:p>
        </w:tc>
        <w:tc>
          <w:tcPr>
            <w:tcW w:w="1987" w:type="dxa"/>
          </w:tcPr>
          <w:p w14:paraId="084145CA" w14:textId="77777777" w:rsidR="004B55AD" w:rsidRPr="00286216" w:rsidRDefault="004B55AD" w:rsidP="004B55AD">
            <w:pPr>
              <w:pStyle w:val="StyleWisnow"/>
              <w:rPr>
                <w:color w:val="000000" w:themeColor="text1"/>
              </w:rPr>
            </w:pPr>
          </w:p>
        </w:tc>
        <w:tc>
          <w:tcPr>
            <w:tcW w:w="4818" w:type="dxa"/>
          </w:tcPr>
          <w:p w14:paraId="4B1F12D9" w14:textId="77777777" w:rsidR="004B55AD" w:rsidRPr="00286216" w:rsidRDefault="004B55AD" w:rsidP="004B55AD">
            <w:pPr>
              <w:pStyle w:val="StyleZakonu"/>
              <w:rPr>
                <w:color w:val="000000" w:themeColor="text1"/>
              </w:rPr>
            </w:pPr>
            <w:r w:rsidRPr="00286216">
              <w:rPr>
                <w:color w:val="000000" w:themeColor="text1"/>
              </w:rPr>
              <w:t>Порядок проведення конвертації встановлюється Національною комісією з цінних паперів та фондового ринку.</w:t>
            </w:r>
          </w:p>
        </w:tc>
      </w:tr>
      <w:tr w:rsidR="00F77E8D" w:rsidRPr="00286216" w14:paraId="65641D79" w14:textId="77777777" w:rsidTr="00091AA5">
        <w:tc>
          <w:tcPr>
            <w:tcW w:w="576" w:type="dxa"/>
          </w:tcPr>
          <w:p w14:paraId="13A0597E" w14:textId="77777777" w:rsidR="004B55AD" w:rsidRPr="00286216" w:rsidRDefault="004B55AD" w:rsidP="004B55AD">
            <w:pPr>
              <w:pStyle w:val="StyleWisnow"/>
              <w:rPr>
                <w:color w:val="000000" w:themeColor="text1"/>
              </w:rPr>
            </w:pPr>
            <w:bookmarkStart w:id="281" w:name="n275" w:colFirst="0" w:colLast="0"/>
            <w:bookmarkEnd w:id="280"/>
            <w:r w:rsidRPr="00286216">
              <w:rPr>
                <w:color w:val="000000" w:themeColor="text1"/>
              </w:rPr>
              <w:t>275.</w:t>
            </w:r>
          </w:p>
        </w:tc>
        <w:tc>
          <w:tcPr>
            <w:tcW w:w="4818" w:type="dxa"/>
          </w:tcPr>
          <w:p w14:paraId="0995E53C" w14:textId="77777777" w:rsidR="004B55AD" w:rsidRPr="00286216" w:rsidRDefault="004B55AD" w:rsidP="004B55AD">
            <w:pPr>
              <w:pStyle w:val="StyleZakonu"/>
              <w:rPr>
                <w:color w:val="000000" w:themeColor="text1"/>
              </w:rPr>
            </w:pPr>
            <w:r w:rsidRPr="00286216">
              <w:rPr>
                <w:color w:val="000000" w:themeColor="text1"/>
              </w:rPr>
              <w:t>5. Особливості конвертації цінних паперів інституту спільного інвестування встановлюються законодавством про інститути спільного інвестування.</w:t>
            </w:r>
          </w:p>
        </w:tc>
        <w:tc>
          <w:tcPr>
            <w:tcW w:w="3686" w:type="dxa"/>
          </w:tcPr>
          <w:p w14:paraId="5687EA97" w14:textId="77777777" w:rsidR="004B55AD" w:rsidRPr="00286216" w:rsidRDefault="004B55AD" w:rsidP="004B55AD">
            <w:pPr>
              <w:pStyle w:val="StyleProp"/>
              <w:rPr>
                <w:color w:val="000000" w:themeColor="text1"/>
                <w:szCs w:val="18"/>
              </w:rPr>
            </w:pPr>
          </w:p>
        </w:tc>
        <w:tc>
          <w:tcPr>
            <w:tcW w:w="1987" w:type="dxa"/>
          </w:tcPr>
          <w:p w14:paraId="373F7ABF" w14:textId="77777777" w:rsidR="004B55AD" w:rsidRPr="00286216" w:rsidRDefault="004B55AD" w:rsidP="004B55AD">
            <w:pPr>
              <w:pStyle w:val="StyleWisnow"/>
              <w:rPr>
                <w:color w:val="000000" w:themeColor="text1"/>
              </w:rPr>
            </w:pPr>
          </w:p>
        </w:tc>
        <w:tc>
          <w:tcPr>
            <w:tcW w:w="4818" w:type="dxa"/>
          </w:tcPr>
          <w:p w14:paraId="1954CDB3" w14:textId="77777777" w:rsidR="004B55AD" w:rsidRPr="00286216" w:rsidRDefault="004B55AD" w:rsidP="004B55AD">
            <w:pPr>
              <w:pStyle w:val="StyleZakonu"/>
              <w:rPr>
                <w:color w:val="000000" w:themeColor="text1"/>
              </w:rPr>
            </w:pPr>
            <w:r w:rsidRPr="00286216">
              <w:rPr>
                <w:color w:val="000000" w:themeColor="text1"/>
              </w:rPr>
              <w:t>5. Особливості конвертації цінних паперів інституту спільного інвестування встановлюються законодавством про інститути спільного інвестування.</w:t>
            </w:r>
          </w:p>
        </w:tc>
      </w:tr>
      <w:tr w:rsidR="00F77E8D" w:rsidRPr="00286216" w14:paraId="2CA109A1" w14:textId="77777777" w:rsidTr="00091AA5">
        <w:tc>
          <w:tcPr>
            <w:tcW w:w="576" w:type="dxa"/>
          </w:tcPr>
          <w:p w14:paraId="4CCB95CE" w14:textId="77777777" w:rsidR="004B55AD" w:rsidRPr="00286216" w:rsidRDefault="004B55AD" w:rsidP="004B55AD">
            <w:pPr>
              <w:pStyle w:val="StyleWisnow"/>
              <w:rPr>
                <w:color w:val="000000" w:themeColor="text1"/>
              </w:rPr>
            </w:pPr>
            <w:bookmarkStart w:id="282" w:name="n276" w:colFirst="0" w:colLast="0"/>
            <w:bookmarkEnd w:id="281"/>
            <w:r w:rsidRPr="00286216">
              <w:rPr>
                <w:color w:val="000000" w:themeColor="text1"/>
              </w:rPr>
              <w:t>276.</w:t>
            </w:r>
          </w:p>
        </w:tc>
        <w:tc>
          <w:tcPr>
            <w:tcW w:w="4818" w:type="dxa"/>
          </w:tcPr>
          <w:p w14:paraId="393EDA6D" w14:textId="77777777" w:rsidR="004B55AD" w:rsidRPr="00286216" w:rsidRDefault="004B55AD" w:rsidP="004B55AD">
            <w:pPr>
              <w:pStyle w:val="StyleZakonu"/>
              <w:rPr>
                <w:color w:val="000000" w:themeColor="text1"/>
              </w:rPr>
            </w:pPr>
            <w:r w:rsidRPr="00286216">
              <w:rPr>
                <w:color w:val="000000" w:themeColor="text1"/>
              </w:rPr>
              <w:t>6. Положення цієї статті не застосовуються до облігацій зовнішньої державної позики України та державних деривативів, що розміщуються на міжнародних фондових ринках.</w:t>
            </w:r>
          </w:p>
        </w:tc>
        <w:tc>
          <w:tcPr>
            <w:tcW w:w="3686" w:type="dxa"/>
          </w:tcPr>
          <w:p w14:paraId="3B4E523A" w14:textId="77777777" w:rsidR="004B55AD" w:rsidRPr="00286216" w:rsidRDefault="004B55AD" w:rsidP="004B55AD">
            <w:pPr>
              <w:pStyle w:val="StyleProp"/>
              <w:rPr>
                <w:color w:val="000000" w:themeColor="text1"/>
                <w:szCs w:val="18"/>
              </w:rPr>
            </w:pPr>
          </w:p>
        </w:tc>
        <w:tc>
          <w:tcPr>
            <w:tcW w:w="1987" w:type="dxa"/>
          </w:tcPr>
          <w:p w14:paraId="46B5519D" w14:textId="77777777" w:rsidR="004B55AD" w:rsidRPr="00286216" w:rsidRDefault="004B55AD" w:rsidP="004B55AD">
            <w:pPr>
              <w:pStyle w:val="StyleWisnow"/>
              <w:rPr>
                <w:color w:val="000000" w:themeColor="text1"/>
              </w:rPr>
            </w:pPr>
          </w:p>
        </w:tc>
        <w:tc>
          <w:tcPr>
            <w:tcW w:w="4818" w:type="dxa"/>
          </w:tcPr>
          <w:p w14:paraId="3508C602" w14:textId="5E3DEFFB" w:rsidR="004B55AD" w:rsidRPr="00286216" w:rsidRDefault="004B55AD" w:rsidP="004B55AD">
            <w:pPr>
              <w:pStyle w:val="StyleZakonu"/>
              <w:rPr>
                <w:color w:val="000000" w:themeColor="text1"/>
              </w:rPr>
            </w:pPr>
            <w:r w:rsidRPr="00286216">
              <w:rPr>
                <w:color w:val="000000" w:themeColor="text1"/>
              </w:rPr>
              <w:t>6. Положення цієї статті не застосовуються до облігацій зовнішньої державної позики України та державних деривативів, що розміщуються на міжнародних ринках капіталу.</w:t>
            </w:r>
          </w:p>
        </w:tc>
      </w:tr>
      <w:tr w:rsidR="00F77E8D" w:rsidRPr="00286216" w14:paraId="3C6D4D69" w14:textId="77777777" w:rsidTr="00091AA5">
        <w:tc>
          <w:tcPr>
            <w:tcW w:w="576" w:type="dxa"/>
          </w:tcPr>
          <w:p w14:paraId="38FB233B" w14:textId="77777777" w:rsidR="004B55AD" w:rsidRPr="00286216" w:rsidRDefault="004B55AD" w:rsidP="004B55AD">
            <w:pPr>
              <w:pStyle w:val="StyleWisnow"/>
              <w:rPr>
                <w:color w:val="000000" w:themeColor="text1"/>
              </w:rPr>
            </w:pPr>
            <w:bookmarkStart w:id="283" w:name="n277" w:colFirst="0" w:colLast="0"/>
            <w:bookmarkEnd w:id="282"/>
            <w:r w:rsidRPr="00286216">
              <w:rPr>
                <w:color w:val="000000" w:themeColor="text1"/>
              </w:rPr>
              <w:t>277.</w:t>
            </w:r>
          </w:p>
        </w:tc>
        <w:tc>
          <w:tcPr>
            <w:tcW w:w="4818" w:type="dxa"/>
          </w:tcPr>
          <w:p w14:paraId="15835BB0" w14:textId="77777777" w:rsidR="004B55AD" w:rsidRPr="00286216" w:rsidRDefault="004B55AD" w:rsidP="004B55AD">
            <w:pPr>
              <w:pStyle w:val="StyleZakonu"/>
              <w:rPr>
                <w:color w:val="000000" w:themeColor="text1"/>
              </w:rPr>
            </w:pPr>
            <w:r w:rsidRPr="00286216">
              <w:rPr>
                <w:color w:val="000000" w:themeColor="text1"/>
              </w:rPr>
              <w:t>Стаття 11. Остаточність проведення розрахунків за деривативними контрактами, правочинами щодо фінансових інструментів, валютних цінностей, а також за товарними операціями</w:t>
            </w:r>
          </w:p>
        </w:tc>
        <w:tc>
          <w:tcPr>
            <w:tcW w:w="3686" w:type="dxa"/>
          </w:tcPr>
          <w:p w14:paraId="6B612CD3" w14:textId="31F000B9" w:rsidR="004B55AD" w:rsidRPr="00286216" w:rsidRDefault="004B55AD" w:rsidP="004B55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244</w:t>
            </w:r>
            <w:r w:rsidRPr="00286216">
              <w:rPr>
                <w:color w:val="000000" w:themeColor="text1"/>
                <w:spacing w:val="-4"/>
              </w:rPr>
              <w:fldChar w:fldCharType="end"/>
            </w:r>
            <w:r w:rsidRPr="00286216">
              <w:rPr>
                <w:color w:val="000000" w:themeColor="text1"/>
                <w:spacing w:val="-4"/>
              </w:rPr>
              <w:t>-Н.д.Бєлькова О.В. (Реєстр.картка №403)</w:t>
            </w:r>
          </w:p>
          <w:p w14:paraId="0A019C35" w14:textId="53CBC3D3" w:rsidR="004B55AD" w:rsidRPr="00286216" w:rsidRDefault="004B55AD" w:rsidP="004B55AD">
            <w:pPr>
              <w:pStyle w:val="StyleProp"/>
              <w:rPr>
                <w:color w:val="000000" w:themeColor="text1"/>
                <w:szCs w:val="18"/>
              </w:rPr>
            </w:pPr>
            <w:r w:rsidRPr="00286216">
              <w:rPr>
                <w:color w:val="000000" w:themeColor="text1"/>
                <w:szCs w:val="18"/>
              </w:rPr>
              <w:t>Текст назви статті 11 викласти у такій редакції:</w:t>
            </w:r>
          </w:p>
          <w:p w14:paraId="7AD252F9" w14:textId="4C00E866" w:rsidR="004B55AD" w:rsidRPr="00286216" w:rsidRDefault="004B55AD" w:rsidP="004B55AD">
            <w:pPr>
              <w:pStyle w:val="StyleProp"/>
              <w:rPr>
                <w:color w:val="000000" w:themeColor="text1"/>
                <w:szCs w:val="18"/>
              </w:rPr>
            </w:pPr>
            <w:r w:rsidRPr="00286216">
              <w:rPr>
                <w:color w:val="000000" w:themeColor="text1"/>
              </w:rPr>
              <w:t>"Остаточність проведення розрахунків за деривативними контрактами, правочинами щодо фінансових інструментів, правочинами щодо валютних цінностей та за товарними операціями</w:t>
            </w:r>
          </w:p>
        </w:tc>
        <w:tc>
          <w:tcPr>
            <w:tcW w:w="1987" w:type="dxa"/>
          </w:tcPr>
          <w:p w14:paraId="71C623B9" w14:textId="77777777" w:rsidR="004B55AD" w:rsidRPr="00286216" w:rsidRDefault="004B55AD" w:rsidP="004B55AD">
            <w:pPr>
              <w:pStyle w:val="StyleWisnow"/>
              <w:rPr>
                <w:color w:val="000000" w:themeColor="text1"/>
              </w:rPr>
            </w:pPr>
            <w:r w:rsidRPr="00286216">
              <w:rPr>
                <w:color w:val="000000" w:themeColor="text1"/>
              </w:rPr>
              <w:t>Враховано</w:t>
            </w:r>
          </w:p>
        </w:tc>
        <w:tc>
          <w:tcPr>
            <w:tcW w:w="4818" w:type="dxa"/>
          </w:tcPr>
          <w:p w14:paraId="5955676B" w14:textId="7C041FDC" w:rsidR="004B55AD" w:rsidRPr="00286216" w:rsidRDefault="004B55AD" w:rsidP="004B55AD">
            <w:pPr>
              <w:pStyle w:val="StyleZakonu"/>
              <w:rPr>
                <w:color w:val="000000" w:themeColor="text1"/>
              </w:rPr>
            </w:pPr>
            <w:r w:rsidRPr="00286216">
              <w:rPr>
                <w:color w:val="000000" w:themeColor="text1"/>
              </w:rPr>
              <w:t>Стаття 38. Остаточність проведення розрахунків за деривативними контрактами, правочинами щодо фінансових інструментів, правочинами щодо валютних цінностей та за товарними операціями</w:t>
            </w:r>
          </w:p>
        </w:tc>
      </w:tr>
      <w:tr w:rsidR="00F77E8D" w:rsidRPr="00286216" w14:paraId="5CE15E58" w14:textId="77777777" w:rsidTr="00091AA5">
        <w:tc>
          <w:tcPr>
            <w:tcW w:w="576" w:type="dxa"/>
          </w:tcPr>
          <w:p w14:paraId="483F914E" w14:textId="77777777" w:rsidR="004B55AD" w:rsidRPr="00286216" w:rsidRDefault="004B55AD" w:rsidP="004B55AD">
            <w:pPr>
              <w:pStyle w:val="StyleWisnow"/>
              <w:rPr>
                <w:color w:val="000000" w:themeColor="text1"/>
              </w:rPr>
            </w:pPr>
            <w:bookmarkStart w:id="284" w:name="n278" w:colFirst="0" w:colLast="0"/>
            <w:bookmarkEnd w:id="283"/>
            <w:r w:rsidRPr="00286216">
              <w:rPr>
                <w:color w:val="000000" w:themeColor="text1"/>
              </w:rPr>
              <w:t>278.</w:t>
            </w:r>
          </w:p>
        </w:tc>
        <w:tc>
          <w:tcPr>
            <w:tcW w:w="4818" w:type="dxa"/>
          </w:tcPr>
          <w:p w14:paraId="49B64736" w14:textId="77777777" w:rsidR="004B55AD" w:rsidRPr="00286216" w:rsidRDefault="004B55AD" w:rsidP="004B55AD">
            <w:pPr>
              <w:pStyle w:val="StyleZakonu"/>
              <w:rPr>
                <w:color w:val="000000" w:themeColor="text1"/>
              </w:rPr>
            </w:pPr>
            <w:r w:rsidRPr="00286216">
              <w:rPr>
                <w:color w:val="000000" w:themeColor="text1"/>
              </w:rPr>
              <w:t xml:space="preserve">1. Документи на обтяження, переказ чи передачу коштів, передачу прав на деривативні контракти, інші фінансові інструменти, валютні цінності, а також на предмет товарних операцій, або розпорядження щодо переказу цінних паперів чи інші передбачені законодавством документи (далі - розпорядження) не можуть бути відкликані стороною деривативного контракту, правочину щодо фінансових інструментів чи валютних цінностей або стороною товарної </w:t>
            </w:r>
            <w:r w:rsidRPr="00286216">
              <w:rPr>
                <w:color w:val="000000" w:themeColor="text1"/>
              </w:rPr>
              <w:lastRenderedPageBreak/>
              <w:t>операції, або будь-якою третьою особою з моменту, визначеного законодавством, що регулює такий переказ (передачу чи обтяження) або внутрішніми правилами особи, що приймає та виконує відповідні розпорядження, або правилами особи, що провадить клірингову діяльність.</w:t>
            </w:r>
          </w:p>
        </w:tc>
        <w:tc>
          <w:tcPr>
            <w:tcW w:w="3686" w:type="dxa"/>
          </w:tcPr>
          <w:p w14:paraId="70D6AF57" w14:textId="77777777" w:rsidR="004B55AD" w:rsidRPr="00286216" w:rsidRDefault="004B55AD" w:rsidP="004B55AD">
            <w:pPr>
              <w:pStyle w:val="StyleProp"/>
              <w:rPr>
                <w:color w:val="000000" w:themeColor="text1"/>
                <w:szCs w:val="18"/>
              </w:rPr>
            </w:pPr>
          </w:p>
        </w:tc>
        <w:tc>
          <w:tcPr>
            <w:tcW w:w="1987" w:type="dxa"/>
          </w:tcPr>
          <w:p w14:paraId="77119CCE" w14:textId="77777777" w:rsidR="004B55AD" w:rsidRPr="00286216" w:rsidRDefault="004B55AD" w:rsidP="004B55AD">
            <w:pPr>
              <w:pStyle w:val="StyleWisnow"/>
              <w:spacing w:line="180" w:lineRule="exact"/>
              <w:rPr>
                <w:color w:val="000000" w:themeColor="text1"/>
              </w:rPr>
            </w:pPr>
          </w:p>
        </w:tc>
        <w:tc>
          <w:tcPr>
            <w:tcW w:w="4818" w:type="dxa"/>
          </w:tcPr>
          <w:p w14:paraId="79B982F1" w14:textId="77777777" w:rsidR="004B55AD" w:rsidRPr="00286216" w:rsidRDefault="004B55AD" w:rsidP="004B55AD">
            <w:pPr>
              <w:pStyle w:val="StyleZakonu"/>
              <w:rPr>
                <w:color w:val="000000" w:themeColor="text1"/>
              </w:rPr>
            </w:pPr>
          </w:p>
        </w:tc>
      </w:tr>
      <w:tr w:rsidR="00F77E8D" w:rsidRPr="00286216" w14:paraId="4FEEBA97" w14:textId="77777777" w:rsidTr="00091AA5">
        <w:tc>
          <w:tcPr>
            <w:tcW w:w="576" w:type="dxa"/>
          </w:tcPr>
          <w:p w14:paraId="4CED4D7B" w14:textId="77777777" w:rsidR="004B55AD" w:rsidRPr="00286216" w:rsidRDefault="004B55AD" w:rsidP="004B55AD">
            <w:pPr>
              <w:pStyle w:val="StyleWisnow"/>
              <w:rPr>
                <w:color w:val="000000" w:themeColor="text1"/>
              </w:rPr>
            </w:pPr>
            <w:bookmarkStart w:id="285" w:name="n279" w:colFirst="0" w:colLast="0"/>
            <w:bookmarkEnd w:id="284"/>
            <w:r w:rsidRPr="00286216">
              <w:rPr>
                <w:color w:val="000000" w:themeColor="text1"/>
              </w:rPr>
              <w:t>279.</w:t>
            </w:r>
          </w:p>
        </w:tc>
        <w:tc>
          <w:tcPr>
            <w:tcW w:w="4818" w:type="dxa"/>
          </w:tcPr>
          <w:p w14:paraId="46C236A8" w14:textId="77777777" w:rsidR="004B55AD" w:rsidRPr="00286216" w:rsidRDefault="004B55AD" w:rsidP="004B55AD">
            <w:pPr>
              <w:pStyle w:val="StyleZakonu"/>
              <w:rPr>
                <w:color w:val="000000" w:themeColor="text1"/>
              </w:rPr>
            </w:pPr>
            <w:r w:rsidRPr="00286216">
              <w:rPr>
                <w:color w:val="000000" w:themeColor="text1"/>
              </w:rPr>
              <w:t>2. За умов, зазначених у частині третій цієї статті, вважаються дійсними, законними та обов’язковими для виконання для будь-яких третіх осіб і не можуть бути відкликані або скасовані:</w:t>
            </w:r>
          </w:p>
        </w:tc>
        <w:tc>
          <w:tcPr>
            <w:tcW w:w="3686" w:type="dxa"/>
          </w:tcPr>
          <w:p w14:paraId="23B7B61B" w14:textId="77777777" w:rsidR="004B55AD" w:rsidRPr="00286216" w:rsidRDefault="004B55AD" w:rsidP="004B55AD">
            <w:pPr>
              <w:pStyle w:val="StyleProp"/>
              <w:rPr>
                <w:color w:val="000000" w:themeColor="text1"/>
                <w:szCs w:val="18"/>
              </w:rPr>
            </w:pPr>
          </w:p>
        </w:tc>
        <w:tc>
          <w:tcPr>
            <w:tcW w:w="1987" w:type="dxa"/>
          </w:tcPr>
          <w:p w14:paraId="59D1F2F0" w14:textId="77777777" w:rsidR="004B55AD" w:rsidRPr="00286216" w:rsidRDefault="004B55AD" w:rsidP="004B55AD">
            <w:pPr>
              <w:pStyle w:val="StyleWisnow"/>
              <w:rPr>
                <w:color w:val="000000" w:themeColor="text1"/>
              </w:rPr>
            </w:pPr>
          </w:p>
        </w:tc>
        <w:tc>
          <w:tcPr>
            <w:tcW w:w="4818" w:type="dxa"/>
          </w:tcPr>
          <w:p w14:paraId="6661C5D0" w14:textId="77777777" w:rsidR="004B55AD" w:rsidRPr="00286216" w:rsidRDefault="004B55AD" w:rsidP="004B55AD">
            <w:pPr>
              <w:pStyle w:val="StyleZakonu"/>
              <w:rPr>
                <w:color w:val="000000" w:themeColor="text1"/>
              </w:rPr>
            </w:pPr>
          </w:p>
        </w:tc>
      </w:tr>
      <w:tr w:rsidR="00F77E8D" w:rsidRPr="00286216" w14:paraId="43FCF2E8" w14:textId="77777777" w:rsidTr="00091AA5">
        <w:tc>
          <w:tcPr>
            <w:tcW w:w="576" w:type="dxa"/>
          </w:tcPr>
          <w:p w14:paraId="147920A1" w14:textId="77777777" w:rsidR="004B55AD" w:rsidRPr="00286216" w:rsidRDefault="004B55AD" w:rsidP="004B55AD">
            <w:pPr>
              <w:pStyle w:val="StyleWisnow"/>
              <w:rPr>
                <w:color w:val="000000" w:themeColor="text1"/>
              </w:rPr>
            </w:pPr>
            <w:bookmarkStart w:id="286" w:name="n280" w:colFirst="0" w:colLast="0"/>
            <w:bookmarkEnd w:id="285"/>
            <w:r w:rsidRPr="00286216">
              <w:rPr>
                <w:color w:val="000000" w:themeColor="text1"/>
              </w:rPr>
              <w:t>280.</w:t>
            </w:r>
          </w:p>
        </w:tc>
        <w:tc>
          <w:tcPr>
            <w:tcW w:w="4818" w:type="dxa"/>
          </w:tcPr>
          <w:p w14:paraId="05E577F0" w14:textId="77777777" w:rsidR="004B55AD" w:rsidRPr="00286216" w:rsidRDefault="004B55AD" w:rsidP="004B55AD">
            <w:pPr>
              <w:pStyle w:val="StyleZakonu"/>
              <w:rPr>
                <w:color w:val="000000" w:themeColor="text1"/>
              </w:rPr>
            </w:pPr>
            <w:r w:rsidRPr="00286216">
              <w:rPr>
                <w:color w:val="000000" w:themeColor="text1"/>
              </w:rPr>
              <w:t>1) односторонні правочини (розпорядження) щодо переказу коштів з рахунка сторони деривативного контракту, сторони правочину щодо цінних паперів чи валютних цінностей або сторони товарної операції;</w:t>
            </w:r>
          </w:p>
        </w:tc>
        <w:tc>
          <w:tcPr>
            <w:tcW w:w="3686" w:type="dxa"/>
          </w:tcPr>
          <w:p w14:paraId="4F36F58C" w14:textId="77777777" w:rsidR="004B55AD" w:rsidRPr="00286216" w:rsidRDefault="004B55AD" w:rsidP="004B55AD">
            <w:pPr>
              <w:pStyle w:val="StyleProp"/>
              <w:rPr>
                <w:color w:val="000000" w:themeColor="text1"/>
              </w:rPr>
            </w:pPr>
          </w:p>
        </w:tc>
        <w:tc>
          <w:tcPr>
            <w:tcW w:w="1987" w:type="dxa"/>
          </w:tcPr>
          <w:p w14:paraId="0A76E104" w14:textId="77777777" w:rsidR="004B55AD" w:rsidRPr="00286216" w:rsidRDefault="004B55AD" w:rsidP="004B55AD">
            <w:pPr>
              <w:pStyle w:val="StyleWisnow"/>
              <w:rPr>
                <w:color w:val="000000" w:themeColor="text1"/>
              </w:rPr>
            </w:pPr>
          </w:p>
        </w:tc>
        <w:tc>
          <w:tcPr>
            <w:tcW w:w="4818" w:type="dxa"/>
          </w:tcPr>
          <w:p w14:paraId="0DA3122D" w14:textId="77777777" w:rsidR="004B55AD" w:rsidRPr="00286216" w:rsidRDefault="004B55AD" w:rsidP="004B55AD">
            <w:pPr>
              <w:pStyle w:val="StyleZakonu"/>
              <w:rPr>
                <w:color w:val="000000" w:themeColor="text1"/>
              </w:rPr>
            </w:pPr>
          </w:p>
        </w:tc>
      </w:tr>
      <w:tr w:rsidR="00F77E8D" w:rsidRPr="00286216" w14:paraId="1E1CBD7A" w14:textId="77777777" w:rsidTr="00091AA5">
        <w:tc>
          <w:tcPr>
            <w:tcW w:w="576" w:type="dxa"/>
          </w:tcPr>
          <w:p w14:paraId="59FF8EB6" w14:textId="77777777" w:rsidR="004B55AD" w:rsidRPr="00286216" w:rsidRDefault="004B55AD" w:rsidP="004B55AD">
            <w:pPr>
              <w:pStyle w:val="StyleWisnow"/>
              <w:rPr>
                <w:color w:val="000000" w:themeColor="text1"/>
              </w:rPr>
            </w:pPr>
            <w:bookmarkStart w:id="287" w:name="n281" w:colFirst="0" w:colLast="0"/>
            <w:bookmarkEnd w:id="286"/>
            <w:r w:rsidRPr="00286216">
              <w:rPr>
                <w:color w:val="000000" w:themeColor="text1"/>
              </w:rPr>
              <w:t>281.</w:t>
            </w:r>
          </w:p>
        </w:tc>
        <w:tc>
          <w:tcPr>
            <w:tcW w:w="4818" w:type="dxa"/>
          </w:tcPr>
          <w:p w14:paraId="3C12D38E" w14:textId="77777777" w:rsidR="004B55AD" w:rsidRPr="00286216" w:rsidRDefault="004B55AD" w:rsidP="004B55AD">
            <w:pPr>
              <w:pStyle w:val="StyleZakonu"/>
              <w:rPr>
                <w:color w:val="000000" w:themeColor="text1"/>
              </w:rPr>
            </w:pPr>
            <w:r w:rsidRPr="00286216">
              <w:rPr>
                <w:color w:val="000000" w:themeColor="text1"/>
              </w:rPr>
              <w:t>2) односторонні правочини (розпорядження) щодо переказу чи передачі цінних паперів чи валютних цінностей або предмета товарної операції;</w:t>
            </w:r>
          </w:p>
        </w:tc>
        <w:tc>
          <w:tcPr>
            <w:tcW w:w="3686" w:type="dxa"/>
          </w:tcPr>
          <w:p w14:paraId="394AB698" w14:textId="77777777" w:rsidR="004B55AD" w:rsidRPr="00286216" w:rsidRDefault="004B55AD" w:rsidP="004B55AD">
            <w:pPr>
              <w:pStyle w:val="StyleProp"/>
              <w:rPr>
                <w:color w:val="000000" w:themeColor="text1"/>
                <w:szCs w:val="18"/>
              </w:rPr>
            </w:pPr>
          </w:p>
        </w:tc>
        <w:tc>
          <w:tcPr>
            <w:tcW w:w="1987" w:type="dxa"/>
          </w:tcPr>
          <w:p w14:paraId="024BAE0E" w14:textId="77777777" w:rsidR="004B55AD" w:rsidRPr="00286216" w:rsidRDefault="004B55AD" w:rsidP="004B55AD">
            <w:pPr>
              <w:pStyle w:val="StyleWisnow"/>
              <w:rPr>
                <w:color w:val="000000" w:themeColor="text1"/>
              </w:rPr>
            </w:pPr>
          </w:p>
        </w:tc>
        <w:tc>
          <w:tcPr>
            <w:tcW w:w="4818" w:type="dxa"/>
          </w:tcPr>
          <w:p w14:paraId="2C60F17B" w14:textId="77777777" w:rsidR="004B55AD" w:rsidRPr="00286216" w:rsidRDefault="004B55AD" w:rsidP="004B55AD">
            <w:pPr>
              <w:pStyle w:val="StyleZakonu"/>
              <w:rPr>
                <w:color w:val="000000" w:themeColor="text1"/>
              </w:rPr>
            </w:pPr>
          </w:p>
        </w:tc>
      </w:tr>
      <w:tr w:rsidR="00F77E8D" w:rsidRPr="00286216" w14:paraId="1AE8E0F6" w14:textId="77777777" w:rsidTr="00091AA5">
        <w:tc>
          <w:tcPr>
            <w:tcW w:w="576" w:type="dxa"/>
          </w:tcPr>
          <w:p w14:paraId="4F9DA7DE" w14:textId="77777777" w:rsidR="004B55AD" w:rsidRPr="00286216" w:rsidRDefault="004B55AD" w:rsidP="004B55AD">
            <w:pPr>
              <w:pStyle w:val="StyleWisnow"/>
              <w:rPr>
                <w:color w:val="000000" w:themeColor="text1"/>
              </w:rPr>
            </w:pPr>
            <w:bookmarkStart w:id="288" w:name="n282" w:colFirst="0" w:colLast="0"/>
            <w:bookmarkEnd w:id="287"/>
            <w:r w:rsidRPr="00286216">
              <w:rPr>
                <w:color w:val="000000" w:themeColor="text1"/>
              </w:rPr>
              <w:t>282.</w:t>
            </w:r>
          </w:p>
        </w:tc>
        <w:tc>
          <w:tcPr>
            <w:tcW w:w="4818" w:type="dxa"/>
          </w:tcPr>
          <w:p w14:paraId="6E3DD27A" w14:textId="77777777" w:rsidR="004B55AD" w:rsidRPr="00286216" w:rsidRDefault="004B55AD" w:rsidP="004B55AD">
            <w:pPr>
              <w:pStyle w:val="StyleZakonu"/>
              <w:rPr>
                <w:color w:val="000000" w:themeColor="text1"/>
              </w:rPr>
            </w:pPr>
            <w:r w:rsidRPr="00286216">
              <w:rPr>
                <w:color w:val="000000" w:themeColor="text1"/>
              </w:rPr>
              <w:t>3) правочин щодо заміни сторони деривативного контракту або товарної операції;</w:t>
            </w:r>
          </w:p>
        </w:tc>
        <w:tc>
          <w:tcPr>
            <w:tcW w:w="3686" w:type="dxa"/>
          </w:tcPr>
          <w:p w14:paraId="54C08290" w14:textId="77777777" w:rsidR="004B55AD" w:rsidRPr="00286216" w:rsidRDefault="004B55AD" w:rsidP="004B55AD">
            <w:pPr>
              <w:pStyle w:val="StyleProp"/>
              <w:rPr>
                <w:color w:val="000000" w:themeColor="text1"/>
                <w:szCs w:val="18"/>
              </w:rPr>
            </w:pPr>
          </w:p>
        </w:tc>
        <w:tc>
          <w:tcPr>
            <w:tcW w:w="1987" w:type="dxa"/>
          </w:tcPr>
          <w:p w14:paraId="785DAC0B" w14:textId="77777777" w:rsidR="004B55AD" w:rsidRPr="00286216" w:rsidRDefault="004B55AD" w:rsidP="004B55AD">
            <w:pPr>
              <w:pStyle w:val="StyleWisnow"/>
              <w:rPr>
                <w:color w:val="000000" w:themeColor="text1"/>
              </w:rPr>
            </w:pPr>
          </w:p>
        </w:tc>
        <w:tc>
          <w:tcPr>
            <w:tcW w:w="4818" w:type="dxa"/>
          </w:tcPr>
          <w:p w14:paraId="3C9E2B1E" w14:textId="77777777" w:rsidR="004B55AD" w:rsidRPr="00286216" w:rsidRDefault="004B55AD" w:rsidP="004B55AD">
            <w:pPr>
              <w:pStyle w:val="StyleZakonu"/>
              <w:rPr>
                <w:color w:val="000000" w:themeColor="text1"/>
              </w:rPr>
            </w:pPr>
          </w:p>
        </w:tc>
      </w:tr>
      <w:tr w:rsidR="00F77E8D" w:rsidRPr="00286216" w14:paraId="41B5F673" w14:textId="77777777" w:rsidTr="00091AA5">
        <w:tc>
          <w:tcPr>
            <w:tcW w:w="576" w:type="dxa"/>
          </w:tcPr>
          <w:p w14:paraId="730B06A5" w14:textId="77777777" w:rsidR="004B55AD" w:rsidRPr="00286216" w:rsidRDefault="004B55AD" w:rsidP="004B55AD">
            <w:pPr>
              <w:pStyle w:val="StyleWisnow"/>
              <w:rPr>
                <w:color w:val="000000" w:themeColor="text1"/>
              </w:rPr>
            </w:pPr>
            <w:bookmarkStart w:id="289" w:name="n283" w:colFirst="0" w:colLast="0"/>
            <w:bookmarkEnd w:id="288"/>
            <w:r w:rsidRPr="00286216">
              <w:rPr>
                <w:color w:val="000000" w:themeColor="text1"/>
              </w:rPr>
              <w:t>283.</w:t>
            </w:r>
          </w:p>
        </w:tc>
        <w:tc>
          <w:tcPr>
            <w:tcW w:w="4818" w:type="dxa"/>
          </w:tcPr>
          <w:p w14:paraId="090ADA83" w14:textId="77777777" w:rsidR="004B55AD" w:rsidRPr="00286216" w:rsidRDefault="004B55AD" w:rsidP="004B55AD">
            <w:pPr>
              <w:pStyle w:val="StyleZakonu"/>
              <w:rPr>
                <w:color w:val="000000" w:themeColor="text1"/>
              </w:rPr>
            </w:pPr>
            <w:r w:rsidRPr="00286216">
              <w:rPr>
                <w:color w:val="000000" w:themeColor="text1"/>
              </w:rPr>
              <w:t>4) правочини, що вчиняються у процесі ліквідаційного неттінгу;</w:t>
            </w:r>
          </w:p>
        </w:tc>
        <w:tc>
          <w:tcPr>
            <w:tcW w:w="3686" w:type="dxa"/>
          </w:tcPr>
          <w:p w14:paraId="006D7CBB" w14:textId="77777777" w:rsidR="004B55AD" w:rsidRPr="00286216" w:rsidRDefault="004B55AD" w:rsidP="004B55AD">
            <w:pPr>
              <w:pStyle w:val="StyleProp"/>
              <w:rPr>
                <w:color w:val="000000" w:themeColor="text1"/>
                <w:szCs w:val="18"/>
              </w:rPr>
            </w:pPr>
          </w:p>
        </w:tc>
        <w:tc>
          <w:tcPr>
            <w:tcW w:w="1987" w:type="dxa"/>
          </w:tcPr>
          <w:p w14:paraId="0356BAB3" w14:textId="77777777" w:rsidR="004B55AD" w:rsidRPr="00286216" w:rsidRDefault="004B55AD" w:rsidP="004B55AD">
            <w:pPr>
              <w:pStyle w:val="StyleWisnow"/>
              <w:rPr>
                <w:color w:val="000000" w:themeColor="text1"/>
              </w:rPr>
            </w:pPr>
          </w:p>
        </w:tc>
        <w:tc>
          <w:tcPr>
            <w:tcW w:w="4818" w:type="dxa"/>
          </w:tcPr>
          <w:p w14:paraId="31451150" w14:textId="77777777" w:rsidR="004B55AD" w:rsidRPr="00286216" w:rsidRDefault="004B55AD" w:rsidP="004B55AD">
            <w:pPr>
              <w:pStyle w:val="StyleZakonu"/>
              <w:rPr>
                <w:color w:val="000000" w:themeColor="text1"/>
              </w:rPr>
            </w:pPr>
          </w:p>
        </w:tc>
      </w:tr>
      <w:tr w:rsidR="00F77E8D" w:rsidRPr="00286216" w14:paraId="50DE20C1" w14:textId="77777777" w:rsidTr="00091AA5">
        <w:tc>
          <w:tcPr>
            <w:tcW w:w="576" w:type="dxa"/>
          </w:tcPr>
          <w:p w14:paraId="7CBC5FCB" w14:textId="77777777" w:rsidR="004B55AD" w:rsidRPr="00286216" w:rsidRDefault="004B55AD" w:rsidP="004B55AD">
            <w:pPr>
              <w:pStyle w:val="StyleWisnow"/>
              <w:rPr>
                <w:color w:val="000000" w:themeColor="text1"/>
              </w:rPr>
            </w:pPr>
            <w:bookmarkStart w:id="290" w:name="n284" w:colFirst="0" w:colLast="0"/>
            <w:bookmarkEnd w:id="289"/>
            <w:r w:rsidRPr="00286216">
              <w:rPr>
                <w:color w:val="000000" w:themeColor="text1"/>
              </w:rPr>
              <w:t>284.</w:t>
            </w:r>
          </w:p>
        </w:tc>
        <w:tc>
          <w:tcPr>
            <w:tcW w:w="4818" w:type="dxa"/>
          </w:tcPr>
          <w:p w14:paraId="61B3F850" w14:textId="77777777" w:rsidR="004B55AD" w:rsidRPr="00286216" w:rsidRDefault="004B55AD" w:rsidP="004B55AD">
            <w:pPr>
              <w:pStyle w:val="StyleZakonu"/>
              <w:rPr>
                <w:color w:val="000000" w:themeColor="text1"/>
              </w:rPr>
            </w:pPr>
            <w:r w:rsidRPr="00286216">
              <w:rPr>
                <w:color w:val="000000" w:themeColor="text1"/>
              </w:rPr>
              <w:t>5) правочини щодо створення забезпечення виконання зобов’язань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504A01C8" w14:textId="77777777" w:rsidR="004B55AD" w:rsidRPr="00286216" w:rsidRDefault="004B55AD" w:rsidP="004B55AD">
            <w:pPr>
              <w:pStyle w:val="StyleAwt"/>
              <w:rPr>
                <w:color w:val="000000" w:themeColor="text1"/>
                <w:spacing w:val="-4"/>
              </w:rPr>
            </w:pPr>
          </w:p>
          <w:p w14:paraId="42334500" w14:textId="77777777" w:rsidR="004B55AD" w:rsidRPr="00286216" w:rsidRDefault="004B55AD" w:rsidP="004B55AD">
            <w:pPr>
              <w:pStyle w:val="StyleAwt"/>
              <w:rPr>
                <w:color w:val="000000" w:themeColor="text1"/>
                <w:spacing w:val="-4"/>
              </w:rPr>
            </w:pPr>
          </w:p>
          <w:p w14:paraId="43EAE7B1" w14:textId="63E8A6B6" w:rsidR="004B55AD" w:rsidRPr="00286216" w:rsidRDefault="004B55AD" w:rsidP="004B55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245</w:t>
            </w:r>
            <w:r w:rsidRPr="00286216">
              <w:rPr>
                <w:color w:val="000000" w:themeColor="text1"/>
                <w:spacing w:val="-4"/>
              </w:rPr>
              <w:fldChar w:fldCharType="end"/>
            </w:r>
            <w:r w:rsidRPr="00286216">
              <w:rPr>
                <w:color w:val="000000" w:themeColor="text1"/>
                <w:spacing w:val="-4"/>
              </w:rPr>
              <w:t>-Н.д.Бєлькова О.В. (Реєстр.картка №403)</w:t>
            </w:r>
          </w:p>
          <w:p w14:paraId="25C75136" w14:textId="77777777" w:rsidR="004B55AD" w:rsidRPr="00286216" w:rsidRDefault="004B55AD" w:rsidP="004B55AD">
            <w:pPr>
              <w:pStyle w:val="StyleProp"/>
              <w:rPr>
                <w:color w:val="000000" w:themeColor="text1"/>
              </w:rPr>
            </w:pPr>
            <w:r w:rsidRPr="00286216">
              <w:rPr>
                <w:color w:val="000000" w:themeColor="text1"/>
              </w:rPr>
              <w:t>Текст статті 11 викласти у такій редакції:</w:t>
            </w:r>
          </w:p>
        </w:tc>
        <w:tc>
          <w:tcPr>
            <w:tcW w:w="1987" w:type="dxa"/>
          </w:tcPr>
          <w:p w14:paraId="6A834B46" w14:textId="77777777" w:rsidR="004B55AD" w:rsidRPr="00286216" w:rsidRDefault="004B55AD" w:rsidP="004B55AD">
            <w:pPr>
              <w:pStyle w:val="StyleWisnow"/>
              <w:rPr>
                <w:color w:val="000000" w:themeColor="text1"/>
              </w:rPr>
            </w:pPr>
          </w:p>
          <w:p w14:paraId="49EBA148" w14:textId="77777777" w:rsidR="004B55AD" w:rsidRPr="00286216" w:rsidRDefault="004B55AD" w:rsidP="004B55AD">
            <w:pPr>
              <w:pStyle w:val="StyleWisnow"/>
              <w:rPr>
                <w:color w:val="000000" w:themeColor="text1"/>
              </w:rPr>
            </w:pPr>
          </w:p>
          <w:p w14:paraId="6F9733BA" w14:textId="0CD2B44E" w:rsidR="00860D05" w:rsidRPr="00286216" w:rsidRDefault="004B55AD" w:rsidP="004B55AD">
            <w:pPr>
              <w:pStyle w:val="StyleWisnow"/>
              <w:rPr>
                <w:color w:val="000000" w:themeColor="text1"/>
              </w:rPr>
            </w:pPr>
            <w:r w:rsidRPr="00286216">
              <w:rPr>
                <w:color w:val="000000" w:themeColor="text1"/>
              </w:rPr>
              <w:t>Враховано</w:t>
            </w:r>
            <w:r w:rsidR="00860D05" w:rsidRPr="00286216">
              <w:rPr>
                <w:color w:val="000000" w:themeColor="text1"/>
              </w:rPr>
              <w:t xml:space="preserve"> редакційно</w:t>
            </w:r>
          </w:p>
        </w:tc>
        <w:tc>
          <w:tcPr>
            <w:tcW w:w="4818" w:type="dxa"/>
          </w:tcPr>
          <w:p w14:paraId="16A847FB" w14:textId="77777777" w:rsidR="004B55AD" w:rsidRPr="00286216" w:rsidRDefault="004B55AD" w:rsidP="004B55AD">
            <w:pPr>
              <w:pStyle w:val="StyleZakonu"/>
              <w:rPr>
                <w:color w:val="000000" w:themeColor="text1"/>
              </w:rPr>
            </w:pPr>
          </w:p>
        </w:tc>
      </w:tr>
      <w:tr w:rsidR="00F77E8D" w:rsidRPr="00286216" w14:paraId="4C095F7E" w14:textId="77777777" w:rsidTr="00091AA5">
        <w:tc>
          <w:tcPr>
            <w:tcW w:w="576" w:type="dxa"/>
          </w:tcPr>
          <w:p w14:paraId="749B6B45" w14:textId="77777777" w:rsidR="004B55AD" w:rsidRPr="00286216" w:rsidRDefault="004B55AD" w:rsidP="004B55AD">
            <w:pPr>
              <w:pStyle w:val="StyleWisnow"/>
              <w:rPr>
                <w:color w:val="000000" w:themeColor="text1"/>
              </w:rPr>
            </w:pPr>
            <w:bookmarkStart w:id="291" w:name="n285" w:colFirst="0" w:colLast="0"/>
            <w:bookmarkEnd w:id="290"/>
            <w:r w:rsidRPr="00286216">
              <w:rPr>
                <w:color w:val="000000" w:themeColor="text1"/>
              </w:rPr>
              <w:t>285.</w:t>
            </w:r>
          </w:p>
        </w:tc>
        <w:tc>
          <w:tcPr>
            <w:tcW w:w="4818" w:type="dxa"/>
          </w:tcPr>
          <w:p w14:paraId="096F2A22" w14:textId="77777777" w:rsidR="004B55AD" w:rsidRPr="00286216" w:rsidRDefault="004B55AD" w:rsidP="004B55AD">
            <w:pPr>
              <w:pStyle w:val="StyleZakonu"/>
              <w:rPr>
                <w:color w:val="000000" w:themeColor="text1"/>
              </w:rPr>
            </w:pPr>
            <w:r w:rsidRPr="00286216">
              <w:rPr>
                <w:color w:val="000000" w:themeColor="text1"/>
              </w:rPr>
              <w:t>3. Зазначені в частині другій цієї статті розпорядження/операції вважаються дійсними, законними та обов’язковими для виконання для будь-яких третіх осіб і не можуть бути відкликані, за умови що відповідні розпорядження надані, визначення зобов’язань або ініціювання проведення розрахунків здійснені та/або забезпечення виконання зобов’язань виникли до дня набрання чинності рішенням про неплатоспроможність сторони правочину щодо цінних паперів чи валютних цінностей або сторони деривативного контракту чи товарної операції відповідно до статті 12 цього Закону, незважаючи на:</w:t>
            </w:r>
          </w:p>
        </w:tc>
        <w:tc>
          <w:tcPr>
            <w:tcW w:w="3686" w:type="dxa"/>
          </w:tcPr>
          <w:p w14:paraId="08B01BC5" w14:textId="4306183B" w:rsidR="004B55AD" w:rsidRPr="00286216" w:rsidRDefault="004B55AD" w:rsidP="004B55AD">
            <w:pPr>
              <w:pStyle w:val="StyleProp"/>
              <w:rPr>
                <w:color w:val="000000" w:themeColor="text1"/>
              </w:rPr>
            </w:pPr>
            <w:r w:rsidRPr="00286216">
              <w:rPr>
                <w:color w:val="000000" w:themeColor="text1"/>
              </w:rPr>
              <w:t xml:space="preserve">"1. Вважаються дійсними, законними, безвідкличними та обов’язковими для виконання такі розпорядження та/або документи за умови, що  вони були надіслані стороною деривативного контракту, правочину щодо фінансових інструментів чи валютних цінностей, стороною товарної операції, або будь-якою третьою особою до моменту оприлюднення рішень, передбачених статтею 12 цього Закону:  </w:t>
            </w:r>
          </w:p>
          <w:p w14:paraId="3699DBFE" w14:textId="3D757209" w:rsidR="004B55AD" w:rsidRPr="00286216" w:rsidRDefault="004B55AD" w:rsidP="004B55AD">
            <w:pPr>
              <w:pStyle w:val="StyleProp"/>
              <w:rPr>
                <w:color w:val="000000" w:themeColor="text1"/>
              </w:rPr>
            </w:pPr>
            <w:r w:rsidRPr="00286216">
              <w:rPr>
                <w:color w:val="000000" w:themeColor="text1"/>
              </w:rPr>
              <w:t>1) розпорядження щодо обтяження чи переказу коштів;</w:t>
            </w:r>
          </w:p>
        </w:tc>
        <w:tc>
          <w:tcPr>
            <w:tcW w:w="1987" w:type="dxa"/>
          </w:tcPr>
          <w:p w14:paraId="47996675" w14:textId="77777777" w:rsidR="004B55AD" w:rsidRPr="00286216" w:rsidRDefault="004B55AD" w:rsidP="004B55AD">
            <w:pPr>
              <w:pStyle w:val="StyleWisnow"/>
              <w:rPr>
                <w:color w:val="000000" w:themeColor="text1"/>
              </w:rPr>
            </w:pPr>
          </w:p>
        </w:tc>
        <w:tc>
          <w:tcPr>
            <w:tcW w:w="4818" w:type="dxa"/>
          </w:tcPr>
          <w:p w14:paraId="62FC5F68" w14:textId="60B8F266" w:rsidR="004B55AD" w:rsidRPr="00286216" w:rsidRDefault="004B55AD" w:rsidP="004B55AD">
            <w:pPr>
              <w:pStyle w:val="StyleZakonu"/>
              <w:rPr>
                <w:color w:val="000000" w:themeColor="text1"/>
              </w:rPr>
            </w:pPr>
            <w:r w:rsidRPr="00286216">
              <w:rPr>
                <w:color w:val="000000" w:themeColor="text1"/>
              </w:rPr>
              <w:t xml:space="preserve">1. Вважаються дійсними, законними, безвідкличними та обов’язковими для виконання такі розпорядження та/або документи, надіслані стороною деривативного контракту, правочину щодо фінансових інструментів чи валютних цінностей, стороною товарної операції або будь-якою третьою особою до </w:t>
            </w:r>
            <w:r w:rsidR="00860D05" w:rsidRPr="00286216">
              <w:rPr>
                <w:color w:val="000000" w:themeColor="text1"/>
              </w:rPr>
              <w:t>моменту, передбаченого частиною другою статті 39 цього Закону:</w:t>
            </w:r>
          </w:p>
          <w:p w14:paraId="1C783EAE" w14:textId="67DF2A97" w:rsidR="004B55AD" w:rsidRPr="00286216" w:rsidRDefault="004B55AD" w:rsidP="004B55AD">
            <w:pPr>
              <w:pStyle w:val="StyleZakonu"/>
              <w:rPr>
                <w:color w:val="000000" w:themeColor="text1"/>
              </w:rPr>
            </w:pPr>
            <w:r w:rsidRPr="00286216">
              <w:rPr>
                <w:color w:val="000000" w:themeColor="text1"/>
              </w:rPr>
              <w:t>1) розпорядження щодо обтяження чи переказу коштів;</w:t>
            </w:r>
          </w:p>
        </w:tc>
      </w:tr>
      <w:tr w:rsidR="00F77E8D" w:rsidRPr="00286216" w14:paraId="6BD2EC33" w14:textId="77777777" w:rsidTr="00091AA5">
        <w:tc>
          <w:tcPr>
            <w:tcW w:w="576" w:type="dxa"/>
          </w:tcPr>
          <w:p w14:paraId="1EA14D27" w14:textId="77777777" w:rsidR="004B55AD" w:rsidRPr="00286216" w:rsidRDefault="004B55AD" w:rsidP="004B55AD">
            <w:pPr>
              <w:pStyle w:val="StyleWisnow"/>
              <w:rPr>
                <w:color w:val="000000" w:themeColor="text1"/>
              </w:rPr>
            </w:pPr>
            <w:bookmarkStart w:id="292" w:name="n286" w:colFirst="0" w:colLast="0"/>
            <w:bookmarkEnd w:id="291"/>
            <w:r w:rsidRPr="00286216">
              <w:rPr>
                <w:color w:val="000000" w:themeColor="text1"/>
              </w:rPr>
              <w:t>286.</w:t>
            </w:r>
          </w:p>
        </w:tc>
        <w:tc>
          <w:tcPr>
            <w:tcW w:w="4818" w:type="dxa"/>
          </w:tcPr>
          <w:p w14:paraId="2D19859F" w14:textId="77777777" w:rsidR="004B55AD" w:rsidRPr="00286216" w:rsidRDefault="004B55AD" w:rsidP="004B55AD">
            <w:pPr>
              <w:pStyle w:val="StyleZakonu"/>
              <w:rPr>
                <w:color w:val="000000" w:themeColor="text1"/>
              </w:rPr>
            </w:pPr>
            <w:r w:rsidRPr="00286216">
              <w:rPr>
                <w:color w:val="000000" w:themeColor="text1"/>
              </w:rPr>
              <w:t>1) відкриття провадження у справі про банкрутство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4727DDEF" w14:textId="77777777" w:rsidR="004B55AD" w:rsidRPr="00286216" w:rsidRDefault="004B55AD" w:rsidP="004B55AD">
            <w:pPr>
              <w:pStyle w:val="StyleProp"/>
              <w:rPr>
                <w:color w:val="000000" w:themeColor="text1"/>
              </w:rPr>
            </w:pPr>
            <w:r w:rsidRPr="00286216">
              <w:rPr>
                <w:color w:val="000000" w:themeColor="text1"/>
              </w:rPr>
              <w:t>2) розпорядження щодо переказу цінних паперів (прав на цінні папери та/або прав за цінними паперами), проведення операцій, пов’язаних із встановленням та зняттям обмежень прав на цінні папери та/або прав за цінними паперами;</w:t>
            </w:r>
          </w:p>
        </w:tc>
        <w:tc>
          <w:tcPr>
            <w:tcW w:w="1987" w:type="dxa"/>
          </w:tcPr>
          <w:p w14:paraId="5F79E400" w14:textId="77777777" w:rsidR="004B55AD" w:rsidRPr="00286216" w:rsidRDefault="004B55AD" w:rsidP="004B55AD">
            <w:pPr>
              <w:pStyle w:val="StyleWisnow"/>
              <w:rPr>
                <w:color w:val="000000" w:themeColor="text1"/>
              </w:rPr>
            </w:pPr>
          </w:p>
        </w:tc>
        <w:tc>
          <w:tcPr>
            <w:tcW w:w="4818" w:type="dxa"/>
          </w:tcPr>
          <w:p w14:paraId="622CCD75" w14:textId="77777777" w:rsidR="004B55AD" w:rsidRPr="00286216" w:rsidRDefault="004B55AD" w:rsidP="004B55AD">
            <w:pPr>
              <w:pStyle w:val="StyleZakonu"/>
              <w:rPr>
                <w:color w:val="000000" w:themeColor="text1"/>
              </w:rPr>
            </w:pPr>
            <w:r w:rsidRPr="00286216">
              <w:rPr>
                <w:color w:val="000000" w:themeColor="text1"/>
              </w:rPr>
              <w:t>2) розпорядження щодо переказу цінних паперів (прав на цінні папери та/або прав за цінними паперами), проведення операцій, пов’язаних із встановленням та зняттям обмежень прав на цінні папери та/або прав за цінними паперами;</w:t>
            </w:r>
          </w:p>
        </w:tc>
      </w:tr>
      <w:tr w:rsidR="00F77E8D" w:rsidRPr="00286216" w14:paraId="73C36FB7" w14:textId="77777777" w:rsidTr="00091AA5">
        <w:tc>
          <w:tcPr>
            <w:tcW w:w="576" w:type="dxa"/>
          </w:tcPr>
          <w:p w14:paraId="15BC538C" w14:textId="77777777" w:rsidR="004B55AD" w:rsidRPr="00286216" w:rsidRDefault="004B55AD" w:rsidP="004B55AD">
            <w:pPr>
              <w:pStyle w:val="StyleWisnow"/>
              <w:rPr>
                <w:color w:val="000000" w:themeColor="text1"/>
              </w:rPr>
            </w:pPr>
            <w:bookmarkStart w:id="293" w:name="n287" w:colFirst="0" w:colLast="0"/>
            <w:bookmarkEnd w:id="292"/>
            <w:r w:rsidRPr="00286216">
              <w:rPr>
                <w:color w:val="000000" w:themeColor="text1"/>
              </w:rPr>
              <w:t>287.</w:t>
            </w:r>
          </w:p>
        </w:tc>
        <w:tc>
          <w:tcPr>
            <w:tcW w:w="4818" w:type="dxa"/>
          </w:tcPr>
          <w:p w14:paraId="74DDCE70" w14:textId="77777777" w:rsidR="004B55AD" w:rsidRPr="00286216" w:rsidRDefault="004B55AD" w:rsidP="004B55AD">
            <w:pPr>
              <w:pStyle w:val="StyleZakonu"/>
              <w:rPr>
                <w:color w:val="000000" w:themeColor="text1"/>
              </w:rPr>
            </w:pPr>
            <w:r w:rsidRPr="00286216">
              <w:rPr>
                <w:color w:val="000000" w:themeColor="text1"/>
              </w:rPr>
              <w:t xml:space="preserve">2) визнання неплатоспроможною сторони </w:t>
            </w:r>
            <w:r w:rsidRPr="00286216">
              <w:rPr>
                <w:color w:val="000000" w:themeColor="text1"/>
              </w:rPr>
              <w:lastRenderedPageBreak/>
              <w:t>правочину щодо цінних паперів чи валютних цінностей, або сторони деривативного контракту чи товарної операції;</w:t>
            </w:r>
          </w:p>
        </w:tc>
        <w:tc>
          <w:tcPr>
            <w:tcW w:w="3686" w:type="dxa"/>
          </w:tcPr>
          <w:p w14:paraId="7C45A1CF" w14:textId="77777777" w:rsidR="004B55AD" w:rsidRPr="00286216" w:rsidRDefault="004B55AD" w:rsidP="004B55AD">
            <w:pPr>
              <w:pStyle w:val="StyleProp"/>
              <w:rPr>
                <w:color w:val="000000" w:themeColor="text1"/>
              </w:rPr>
            </w:pPr>
            <w:r w:rsidRPr="00286216">
              <w:rPr>
                <w:color w:val="000000" w:themeColor="text1"/>
              </w:rPr>
              <w:lastRenderedPageBreak/>
              <w:t xml:space="preserve">3) розпорядження щодо обтяження чи </w:t>
            </w:r>
            <w:r w:rsidRPr="00286216">
              <w:rPr>
                <w:color w:val="000000" w:themeColor="text1"/>
              </w:rPr>
              <w:lastRenderedPageBreak/>
              <w:t>переказу валютних цінностей;</w:t>
            </w:r>
          </w:p>
          <w:p w14:paraId="165D7D9C" w14:textId="77777777" w:rsidR="004B55AD" w:rsidRPr="00286216" w:rsidRDefault="004B55AD" w:rsidP="004B55AD">
            <w:pPr>
              <w:pStyle w:val="StyleProp"/>
              <w:rPr>
                <w:color w:val="000000" w:themeColor="text1"/>
              </w:rPr>
            </w:pPr>
            <w:r w:rsidRPr="00286216">
              <w:rPr>
                <w:color w:val="000000" w:themeColor="text1"/>
              </w:rPr>
              <w:t>4) розпорядження щодо обтяження чи передачі предмету товарної операції;</w:t>
            </w:r>
          </w:p>
        </w:tc>
        <w:tc>
          <w:tcPr>
            <w:tcW w:w="1987" w:type="dxa"/>
          </w:tcPr>
          <w:p w14:paraId="1BA88372" w14:textId="77777777" w:rsidR="004B55AD" w:rsidRPr="00286216" w:rsidRDefault="004B55AD" w:rsidP="004B55AD">
            <w:pPr>
              <w:pStyle w:val="StyleWisnow"/>
              <w:rPr>
                <w:color w:val="000000" w:themeColor="text1"/>
              </w:rPr>
            </w:pPr>
          </w:p>
        </w:tc>
        <w:tc>
          <w:tcPr>
            <w:tcW w:w="4818" w:type="dxa"/>
          </w:tcPr>
          <w:p w14:paraId="2AC7619D" w14:textId="77777777" w:rsidR="004B55AD" w:rsidRPr="00286216" w:rsidRDefault="004B55AD" w:rsidP="004B55AD">
            <w:pPr>
              <w:pStyle w:val="StyleZakonu"/>
              <w:rPr>
                <w:color w:val="000000" w:themeColor="text1"/>
              </w:rPr>
            </w:pPr>
            <w:r w:rsidRPr="00286216">
              <w:rPr>
                <w:color w:val="000000" w:themeColor="text1"/>
              </w:rPr>
              <w:t xml:space="preserve">3) розпорядження щодо обтяження чи переказу </w:t>
            </w:r>
            <w:r w:rsidRPr="00286216">
              <w:rPr>
                <w:color w:val="000000" w:themeColor="text1"/>
              </w:rPr>
              <w:lastRenderedPageBreak/>
              <w:t>валютних цінностей;</w:t>
            </w:r>
          </w:p>
          <w:p w14:paraId="0599AE61" w14:textId="32382373" w:rsidR="004B55AD" w:rsidRPr="00286216" w:rsidRDefault="004B55AD" w:rsidP="00B7270F">
            <w:pPr>
              <w:pStyle w:val="StyleZakonu"/>
              <w:rPr>
                <w:color w:val="000000" w:themeColor="text1"/>
              </w:rPr>
            </w:pPr>
            <w:r w:rsidRPr="00286216">
              <w:rPr>
                <w:color w:val="000000" w:themeColor="text1"/>
              </w:rPr>
              <w:t>4) розпорядження щодо обтяження чи передачі предмет</w:t>
            </w:r>
            <w:r w:rsidR="00B7270F" w:rsidRPr="00286216">
              <w:rPr>
                <w:color w:val="000000" w:themeColor="text1"/>
              </w:rPr>
              <w:t>а</w:t>
            </w:r>
            <w:r w:rsidRPr="00286216">
              <w:rPr>
                <w:color w:val="000000" w:themeColor="text1"/>
              </w:rPr>
              <w:t xml:space="preserve"> товарної операції;</w:t>
            </w:r>
          </w:p>
        </w:tc>
      </w:tr>
      <w:tr w:rsidR="00F77E8D" w:rsidRPr="00286216" w14:paraId="09F38D15" w14:textId="77777777" w:rsidTr="00091AA5">
        <w:tc>
          <w:tcPr>
            <w:tcW w:w="576" w:type="dxa"/>
          </w:tcPr>
          <w:p w14:paraId="2BA1AD54" w14:textId="77777777" w:rsidR="004B55AD" w:rsidRPr="00286216" w:rsidRDefault="004B55AD" w:rsidP="004B55AD">
            <w:pPr>
              <w:pStyle w:val="StyleWisnow"/>
              <w:rPr>
                <w:color w:val="000000" w:themeColor="text1"/>
              </w:rPr>
            </w:pPr>
            <w:bookmarkStart w:id="294" w:name="n288" w:colFirst="0" w:colLast="0"/>
            <w:bookmarkEnd w:id="293"/>
            <w:r w:rsidRPr="00286216">
              <w:rPr>
                <w:color w:val="000000" w:themeColor="text1"/>
              </w:rPr>
              <w:lastRenderedPageBreak/>
              <w:t>288.</w:t>
            </w:r>
          </w:p>
        </w:tc>
        <w:tc>
          <w:tcPr>
            <w:tcW w:w="4818" w:type="dxa"/>
          </w:tcPr>
          <w:p w14:paraId="74832E14" w14:textId="77777777" w:rsidR="004B55AD" w:rsidRPr="00286216" w:rsidRDefault="004B55AD" w:rsidP="004B55AD">
            <w:pPr>
              <w:pStyle w:val="StyleZakonu"/>
              <w:rPr>
                <w:color w:val="000000" w:themeColor="text1"/>
              </w:rPr>
            </w:pPr>
            <w:r w:rsidRPr="00286216">
              <w:rPr>
                <w:color w:val="000000" w:themeColor="text1"/>
              </w:rPr>
              <w:t>3) відсторонення керівництва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678BA8CE" w14:textId="77777777" w:rsidR="004B55AD" w:rsidRPr="00286216" w:rsidRDefault="004B55AD" w:rsidP="004B55AD">
            <w:pPr>
              <w:pStyle w:val="StyleProp"/>
              <w:rPr>
                <w:color w:val="000000" w:themeColor="text1"/>
              </w:rPr>
            </w:pPr>
            <w:r w:rsidRPr="00286216">
              <w:rPr>
                <w:color w:val="000000" w:themeColor="text1"/>
              </w:rPr>
              <w:t>5) розпорядження щодо деривативного контракту;</w:t>
            </w:r>
          </w:p>
          <w:p w14:paraId="73D7C445" w14:textId="77777777" w:rsidR="004B55AD" w:rsidRPr="00286216" w:rsidRDefault="004B55AD" w:rsidP="004B55AD">
            <w:pPr>
              <w:pStyle w:val="StyleProp"/>
              <w:rPr>
                <w:color w:val="000000" w:themeColor="text1"/>
              </w:rPr>
            </w:pPr>
            <w:r w:rsidRPr="00286216">
              <w:rPr>
                <w:color w:val="000000" w:themeColor="text1"/>
              </w:rPr>
              <w:t>6) розпорядження щодо майнових прав на активи, передбачені пунктами 1-4 цієї частини статті;</w:t>
            </w:r>
          </w:p>
        </w:tc>
        <w:tc>
          <w:tcPr>
            <w:tcW w:w="1987" w:type="dxa"/>
          </w:tcPr>
          <w:p w14:paraId="37917850" w14:textId="77777777" w:rsidR="004B55AD" w:rsidRPr="00286216" w:rsidRDefault="004B55AD" w:rsidP="004B55AD">
            <w:pPr>
              <w:pStyle w:val="StyleWisnow"/>
              <w:rPr>
                <w:color w:val="000000" w:themeColor="text1"/>
              </w:rPr>
            </w:pPr>
          </w:p>
        </w:tc>
        <w:tc>
          <w:tcPr>
            <w:tcW w:w="4818" w:type="dxa"/>
          </w:tcPr>
          <w:p w14:paraId="62C1689B" w14:textId="77777777" w:rsidR="004B55AD" w:rsidRPr="00286216" w:rsidRDefault="004B55AD" w:rsidP="004B55AD">
            <w:pPr>
              <w:pStyle w:val="StyleZakonu"/>
              <w:rPr>
                <w:color w:val="000000" w:themeColor="text1"/>
              </w:rPr>
            </w:pPr>
            <w:r w:rsidRPr="00286216">
              <w:rPr>
                <w:color w:val="000000" w:themeColor="text1"/>
              </w:rPr>
              <w:t>5) розпорядження щодо деривативного контракту;</w:t>
            </w:r>
          </w:p>
          <w:p w14:paraId="40D36C6E" w14:textId="2BD81978" w:rsidR="004B55AD" w:rsidRPr="00286216" w:rsidRDefault="004B55AD" w:rsidP="004B55AD">
            <w:pPr>
              <w:pStyle w:val="StyleZakonu"/>
              <w:rPr>
                <w:color w:val="000000" w:themeColor="text1"/>
              </w:rPr>
            </w:pPr>
            <w:r w:rsidRPr="00286216">
              <w:rPr>
                <w:color w:val="000000" w:themeColor="text1"/>
              </w:rPr>
              <w:t>6) розпорядження щодо майнових прав на активи, передбачені пунктами 1-4 цієї частини;</w:t>
            </w:r>
          </w:p>
        </w:tc>
      </w:tr>
      <w:tr w:rsidR="00F77E8D" w:rsidRPr="00286216" w14:paraId="5C788B9C" w14:textId="77777777" w:rsidTr="00091AA5">
        <w:tc>
          <w:tcPr>
            <w:tcW w:w="576" w:type="dxa"/>
          </w:tcPr>
          <w:p w14:paraId="5F781F4A" w14:textId="77777777" w:rsidR="004B55AD" w:rsidRPr="00286216" w:rsidRDefault="004B55AD" w:rsidP="004B55AD">
            <w:pPr>
              <w:pStyle w:val="StyleWisnow"/>
              <w:rPr>
                <w:color w:val="000000" w:themeColor="text1"/>
              </w:rPr>
            </w:pPr>
            <w:bookmarkStart w:id="295" w:name="n289" w:colFirst="0" w:colLast="0"/>
            <w:bookmarkEnd w:id="294"/>
            <w:r w:rsidRPr="00286216">
              <w:rPr>
                <w:color w:val="000000" w:themeColor="text1"/>
              </w:rPr>
              <w:t>289.</w:t>
            </w:r>
          </w:p>
        </w:tc>
        <w:tc>
          <w:tcPr>
            <w:tcW w:w="4818" w:type="dxa"/>
          </w:tcPr>
          <w:p w14:paraId="1E5550B9" w14:textId="77777777" w:rsidR="004B55AD" w:rsidRPr="00286216" w:rsidRDefault="004B55AD" w:rsidP="004B55AD">
            <w:pPr>
              <w:pStyle w:val="StyleZakonu"/>
              <w:rPr>
                <w:color w:val="000000" w:themeColor="text1"/>
              </w:rPr>
            </w:pPr>
            <w:r w:rsidRPr="00286216">
              <w:rPr>
                <w:color w:val="000000" w:themeColor="text1"/>
              </w:rPr>
              <w:t>4) призначення тимчасового адміністратора (тимчасової адміністрації)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091FA223" w14:textId="77777777" w:rsidR="004B55AD" w:rsidRPr="00286216" w:rsidRDefault="004B55AD" w:rsidP="004B55AD">
            <w:pPr>
              <w:pStyle w:val="StyleProp"/>
              <w:spacing w:line="190" w:lineRule="exact"/>
              <w:rPr>
                <w:color w:val="000000" w:themeColor="text1"/>
                <w:spacing w:val="-2"/>
              </w:rPr>
            </w:pPr>
            <w:r w:rsidRPr="00286216">
              <w:rPr>
                <w:color w:val="000000" w:themeColor="text1"/>
                <w:spacing w:val="-2"/>
              </w:rPr>
              <w:t>7) інші передбачені законодавством документи щодо фінансових інструментів, валютних цінностей, предметів товарних операцій, надіслані особам, яка провадить клірингову діяльність або особам, що приймають та виконують відповідні документи та/або розпорядження.</w:t>
            </w:r>
          </w:p>
          <w:p w14:paraId="4A067FD4" w14:textId="0F8F5E7D" w:rsidR="004B55AD" w:rsidRPr="00286216" w:rsidRDefault="004B55AD" w:rsidP="004B55AD">
            <w:pPr>
              <w:pStyle w:val="StyleProp"/>
              <w:spacing w:line="190" w:lineRule="exact"/>
              <w:rPr>
                <w:color w:val="000000" w:themeColor="text1"/>
                <w:spacing w:val="-2"/>
              </w:rPr>
            </w:pPr>
            <w:r w:rsidRPr="00286216">
              <w:rPr>
                <w:color w:val="000000" w:themeColor="text1"/>
                <w:spacing w:val="-2"/>
              </w:rPr>
              <w:t>Вважаються дійсними, законними, безвідкличними та обов’язковими для виконання розпорядження та/або документи, передбачені цією частиною, що були надіслані оператором організованого ринку після моменту оприлюднення рішення, передбаченого статтею 39 цього Закону, але до кінця робочого дня, коли було оприлюднено таке рішення, у разі якщо такі розпорядження та/або документи стосуються виключно тих активів, що були до моменту зазначеного оприлюднення заблоковані для проведення операцій на організованому ринку, управління яким здійснює такий оператор</w:t>
            </w:r>
            <w:r w:rsidRPr="00286216">
              <w:rPr>
                <w:rFonts w:eastAsia="Calibri"/>
                <w:color w:val="000000" w:themeColor="text1"/>
                <w:spacing w:val="-2"/>
              </w:rPr>
              <w:t>.</w:t>
            </w:r>
          </w:p>
        </w:tc>
        <w:tc>
          <w:tcPr>
            <w:tcW w:w="1987" w:type="dxa"/>
          </w:tcPr>
          <w:p w14:paraId="7662D1D0" w14:textId="77777777" w:rsidR="004B55AD" w:rsidRPr="00286216" w:rsidRDefault="004B55AD" w:rsidP="004B55AD">
            <w:pPr>
              <w:pStyle w:val="StyleWisnow"/>
              <w:rPr>
                <w:color w:val="000000" w:themeColor="text1"/>
              </w:rPr>
            </w:pPr>
          </w:p>
        </w:tc>
        <w:tc>
          <w:tcPr>
            <w:tcW w:w="4818" w:type="dxa"/>
          </w:tcPr>
          <w:p w14:paraId="4692AACA" w14:textId="56C78587" w:rsidR="004B55AD" w:rsidRPr="00286216" w:rsidRDefault="004B55AD" w:rsidP="004B55AD">
            <w:pPr>
              <w:pStyle w:val="StyleZakonu"/>
              <w:rPr>
                <w:color w:val="000000" w:themeColor="text1"/>
              </w:rPr>
            </w:pPr>
            <w:r w:rsidRPr="00286216">
              <w:rPr>
                <w:color w:val="000000" w:themeColor="text1"/>
              </w:rPr>
              <w:t>7) інші передбачені законодавством документи щодо фінансових інструментів, валютних цінностей, предметів товарних операцій, надіслані особ</w:t>
            </w:r>
            <w:r w:rsidR="00B7270F" w:rsidRPr="00286216">
              <w:rPr>
                <w:color w:val="000000" w:themeColor="text1"/>
              </w:rPr>
              <w:t>і</w:t>
            </w:r>
            <w:r w:rsidRPr="00286216">
              <w:rPr>
                <w:color w:val="000000" w:themeColor="text1"/>
              </w:rPr>
              <w:t>, яка провадить клірингову діяльність</w:t>
            </w:r>
            <w:r w:rsidR="00B7270F" w:rsidRPr="00286216">
              <w:rPr>
                <w:color w:val="000000" w:themeColor="text1"/>
              </w:rPr>
              <w:t>,</w:t>
            </w:r>
            <w:r w:rsidRPr="00286216">
              <w:rPr>
                <w:color w:val="000000" w:themeColor="text1"/>
              </w:rPr>
              <w:t xml:space="preserve"> або особ</w:t>
            </w:r>
            <w:r w:rsidR="00B7270F" w:rsidRPr="00286216">
              <w:rPr>
                <w:color w:val="000000" w:themeColor="text1"/>
              </w:rPr>
              <w:t>і</w:t>
            </w:r>
            <w:r w:rsidRPr="00286216">
              <w:rPr>
                <w:color w:val="000000" w:themeColor="text1"/>
              </w:rPr>
              <w:t xml:space="preserve">, </w:t>
            </w:r>
            <w:r w:rsidR="00B7270F" w:rsidRPr="00286216">
              <w:rPr>
                <w:color w:val="000000" w:themeColor="text1"/>
              </w:rPr>
              <w:t>яка</w:t>
            </w:r>
            <w:r w:rsidRPr="00286216">
              <w:rPr>
                <w:color w:val="000000" w:themeColor="text1"/>
              </w:rPr>
              <w:t xml:space="preserve"> прийма</w:t>
            </w:r>
            <w:r w:rsidR="00B7270F" w:rsidRPr="00286216">
              <w:rPr>
                <w:color w:val="000000" w:themeColor="text1"/>
              </w:rPr>
              <w:t>є</w:t>
            </w:r>
            <w:r w:rsidRPr="00286216">
              <w:rPr>
                <w:color w:val="000000" w:themeColor="text1"/>
              </w:rPr>
              <w:t xml:space="preserve"> та викону</w:t>
            </w:r>
            <w:r w:rsidR="00B7270F" w:rsidRPr="00286216">
              <w:rPr>
                <w:color w:val="000000" w:themeColor="text1"/>
              </w:rPr>
              <w:t>є</w:t>
            </w:r>
            <w:r w:rsidRPr="00286216">
              <w:rPr>
                <w:color w:val="000000" w:themeColor="text1"/>
              </w:rPr>
              <w:t xml:space="preserve"> відповідні </w:t>
            </w:r>
            <w:r w:rsidR="00B7270F" w:rsidRPr="00286216">
              <w:rPr>
                <w:color w:val="000000" w:themeColor="text1"/>
              </w:rPr>
              <w:t>розпорядження та/або документи</w:t>
            </w:r>
            <w:r w:rsidRPr="00286216">
              <w:rPr>
                <w:color w:val="000000" w:themeColor="text1"/>
              </w:rPr>
              <w:t>.</w:t>
            </w:r>
          </w:p>
          <w:p w14:paraId="481804AF" w14:textId="5CC433F6" w:rsidR="004B55AD" w:rsidRPr="00286216" w:rsidRDefault="004B55AD" w:rsidP="004B55AD">
            <w:pPr>
              <w:pStyle w:val="StyleZakonu"/>
              <w:rPr>
                <w:color w:val="000000" w:themeColor="text1"/>
              </w:rPr>
            </w:pPr>
            <w:r w:rsidRPr="00286216">
              <w:rPr>
                <w:color w:val="000000" w:themeColor="text1"/>
              </w:rPr>
              <w:t xml:space="preserve">Вважаються дійсними, законними, безвідкличними та обов’язковими для виконання розпорядження та/або документи, передбачені цією частиною, що були надіслані оператором організованого ринку після </w:t>
            </w:r>
            <w:r w:rsidR="001B7407" w:rsidRPr="00286216">
              <w:rPr>
                <w:color w:val="000000" w:themeColor="text1"/>
              </w:rPr>
              <w:t>моменту, передбаченого частиною другою статті 39 цього Закону</w:t>
            </w:r>
            <w:r w:rsidRPr="00286216">
              <w:rPr>
                <w:color w:val="000000" w:themeColor="text1"/>
              </w:rPr>
              <w:t>, але до кінця робочого дня, коли було оприлюднено таке рішення, у разі якщо такі розпорядження та/або документи стосуються виключно тих активів, що були до моменту зазначеного оприлюднення заблоковані для проведення операцій на організованому ринку, управління яким здійснює такий оператор.</w:t>
            </w:r>
          </w:p>
        </w:tc>
      </w:tr>
      <w:tr w:rsidR="00F77E8D" w:rsidRPr="00286216" w14:paraId="603A6A3F" w14:textId="77777777" w:rsidTr="00091AA5">
        <w:tc>
          <w:tcPr>
            <w:tcW w:w="576" w:type="dxa"/>
          </w:tcPr>
          <w:p w14:paraId="1790B7F1" w14:textId="77777777" w:rsidR="004B55AD" w:rsidRPr="00286216" w:rsidRDefault="004B55AD" w:rsidP="004B55AD">
            <w:pPr>
              <w:pStyle w:val="StyleWisnow"/>
              <w:rPr>
                <w:color w:val="000000" w:themeColor="text1"/>
              </w:rPr>
            </w:pPr>
            <w:bookmarkStart w:id="296" w:name="n290" w:colFirst="0" w:colLast="0"/>
            <w:bookmarkEnd w:id="295"/>
            <w:r w:rsidRPr="00286216">
              <w:rPr>
                <w:color w:val="000000" w:themeColor="text1"/>
              </w:rPr>
              <w:t>290.</w:t>
            </w:r>
          </w:p>
        </w:tc>
        <w:tc>
          <w:tcPr>
            <w:tcW w:w="4818" w:type="dxa"/>
          </w:tcPr>
          <w:p w14:paraId="25ED4AFB" w14:textId="77777777" w:rsidR="004B55AD" w:rsidRPr="00286216" w:rsidRDefault="004B55AD" w:rsidP="004B55AD">
            <w:pPr>
              <w:pStyle w:val="StyleZakonu"/>
              <w:rPr>
                <w:color w:val="000000" w:themeColor="text1"/>
              </w:rPr>
            </w:pPr>
            <w:r w:rsidRPr="00286216">
              <w:rPr>
                <w:color w:val="000000" w:themeColor="text1"/>
              </w:rPr>
              <w:t>5) прийняття рішення про відкликання (анулювання) ліцензії та/або ліквідацію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1B623C07" w14:textId="1E554FEB" w:rsidR="004B55AD" w:rsidRPr="00286216" w:rsidRDefault="004B55AD" w:rsidP="004B55AD">
            <w:pPr>
              <w:pStyle w:val="StyleProp"/>
              <w:spacing w:line="190" w:lineRule="exact"/>
              <w:rPr>
                <w:color w:val="000000" w:themeColor="text1"/>
                <w:spacing w:val="-2"/>
              </w:rPr>
            </w:pPr>
            <w:r w:rsidRPr="00286216">
              <w:rPr>
                <w:color w:val="000000" w:themeColor="text1"/>
                <w:spacing w:val="-2"/>
              </w:rPr>
              <w:t>2. Вважаються дійсними, законними, безвідкличними та обов’язковими для виконання для будь-яких третіх осіб розпорядження та/або документи, передбачені частиною першою цієї статті, виконання яких розпочалося після моменту оприлюднення рішення, передбаченого статтею 39 цього Закону, і тривало до закінчення робочого дня, коли було оприлюднено таке рішення, у разі якщо на момент початку виконання таких розпоряджень та/або документів особі, яка провадить клірингову діяльність або особі, яка приймає та виконує такі розпорядження та/або документи, не було відомо та не могло бути відомо про факт оприлюднення такого рішення.</w:t>
            </w:r>
          </w:p>
        </w:tc>
        <w:tc>
          <w:tcPr>
            <w:tcW w:w="1987" w:type="dxa"/>
          </w:tcPr>
          <w:p w14:paraId="22A59EE7" w14:textId="77777777" w:rsidR="004B55AD" w:rsidRPr="00286216" w:rsidRDefault="004B55AD" w:rsidP="004B55AD">
            <w:pPr>
              <w:pStyle w:val="StyleWisnow"/>
              <w:rPr>
                <w:color w:val="000000" w:themeColor="text1"/>
              </w:rPr>
            </w:pPr>
          </w:p>
        </w:tc>
        <w:tc>
          <w:tcPr>
            <w:tcW w:w="4818" w:type="dxa"/>
          </w:tcPr>
          <w:p w14:paraId="46CDCCE6" w14:textId="41911676" w:rsidR="004B55AD" w:rsidRPr="00286216" w:rsidRDefault="004B55AD" w:rsidP="004B55AD">
            <w:pPr>
              <w:pStyle w:val="StyleZakonu"/>
              <w:rPr>
                <w:color w:val="000000" w:themeColor="text1"/>
              </w:rPr>
            </w:pPr>
            <w:r w:rsidRPr="00286216">
              <w:rPr>
                <w:color w:val="000000" w:themeColor="text1"/>
              </w:rPr>
              <w:t xml:space="preserve">2. Вважаються дійсними, законними, безвідкличними та обов’язковими для виконання для будь-яких третіх осіб розпорядження та/або документи, передбачені частиною першою цієї статті, виконання яких розпочалося після </w:t>
            </w:r>
            <w:r w:rsidR="001B7407" w:rsidRPr="00286216">
              <w:rPr>
                <w:color w:val="000000" w:themeColor="text1"/>
              </w:rPr>
              <w:t>моменту, передбаченого частиною другою статті 39 цього Закону</w:t>
            </w:r>
            <w:r w:rsidRPr="00286216">
              <w:rPr>
                <w:color w:val="000000" w:themeColor="text1"/>
              </w:rPr>
              <w:t>, і тривало до закінчення робочого дня, коли було оприлюднено таке рішення, у разі якщо на момент початку виконання таких розпоряджень та/або документів особі, яка провадить клірингову діяльність</w:t>
            </w:r>
            <w:r w:rsidR="00B7270F" w:rsidRPr="00286216">
              <w:rPr>
                <w:color w:val="000000" w:themeColor="text1"/>
              </w:rPr>
              <w:t>,</w:t>
            </w:r>
            <w:r w:rsidRPr="00286216">
              <w:rPr>
                <w:color w:val="000000" w:themeColor="text1"/>
              </w:rPr>
              <w:t xml:space="preserve"> або особі, яка приймає та виконує такі розпорядження та/або документи, не було відомо та не могло бути відомо про факт оприлюднення такого рішення.</w:t>
            </w:r>
          </w:p>
        </w:tc>
      </w:tr>
      <w:tr w:rsidR="00F77E8D" w:rsidRPr="00286216" w14:paraId="556AF2FF" w14:textId="77777777" w:rsidTr="00091AA5">
        <w:tc>
          <w:tcPr>
            <w:tcW w:w="576" w:type="dxa"/>
          </w:tcPr>
          <w:p w14:paraId="3C0AD2CC" w14:textId="77777777" w:rsidR="004B55AD" w:rsidRPr="00286216" w:rsidRDefault="004B55AD" w:rsidP="004B55AD">
            <w:pPr>
              <w:pStyle w:val="StyleWisnow"/>
              <w:rPr>
                <w:color w:val="000000" w:themeColor="text1"/>
              </w:rPr>
            </w:pPr>
            <w:bookmarkStart w:id="297" w:name="n291" w:colFirst="0" w:colLast="0"/>
            <w:bookmarkEnd w:id="296"/>
            <w:r w:rsidRPr="00286216">
              <w:rPr>
                <w:color w:val="000000" w:themeColor="text1"/>
              </w:rPr>
              <w:t>291.</w:t>
            </w:r>
          </w:p>
        </w:tc>
        <w:tc>
          <w:tcPr>
            <w:tcW w:w="4818" w:type="dxa"/>
          </w:tcPr>
          <w:p w14:paraId="0645A2C5" w14:textId="77777777" w:rsidR="004B55AD" w:rsidRPr="00286216" w:rsidRDefault="004B55AD" w:rsidP="004B55AD">
            <w:pPr>
              <w:pStyle w:val="StyleZakonu"/>
              <w:rPr>
                <w:color w:val="000000" w:themeColor="text1"/>
              </w:rPr>
            </w:pPr>
            <w:r w:rsidRPr="00286216">
              <w:rPr>
                <w:color w:val="000000" w:themeColor="text1"/>
              </w:rPr>
              <w:t>6) запровадження мораторію на задоволення вимог кредиторів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38821E0F" w14:textId="6D896344" w:rsidR="004B55AD" w:rsidRPr="00286216" w:rsidRDefault="004B55AD" w:rsidP="002016A3">
            <w:pPr>
              <w:pStyle w:val="StyleProp"/>
              <w:spacing w:line="180" w:lineRule="exact"/>
              <w:rPr>
                <w:color w:val="000000" w:themeColor="text1"/>
              </w:rPr>
            </w:pPr>
            <w:r w:rsidRPr="00286216">
              <w:rPr>
                <w:color w:val="000000" w:themeColor="text1"/>
              </w:rPr>
              <w:t>3. Положення законів щодо нікчемності  або визнання недійсності правочинів не застосовуються до  розпоряджень та/або документів, передбачених частиною першою цієї статті.</w:t>
            </w:r>
          </w:p>
        </w:tc>
        <w:tc>
          <w:tcPr>
            <w:tcW w:w="1987" w:type="dxa"/>
          </w:tcPr>
          <w:p w14:paraId="72C7EBA7" w14:textId="77777777" w:rsidR="004B55AD" w:rsidRPr="00286216" w:rsidRDefault="004B55AD" w:rsidP="004B55AD">
            <w:pPr>
              <w:pStyle w:val="StyleWisnow"/>
              <w:rPr>
                <w:color w:val="000000" w:themeColor="text1"/>
              </w:rPr>
            </w:pPr>
          </w:p>
        </w:tc>
        <w:tc>
          <w:tcPr>
            <w:tcW w:w="4818" w:type="dxa"/>
          </w:tcPr>
          <w:p w14:paraId="2A7B40A0" w14:textId="365D6158" w:rsidR="004B55AD" w:rsidRPr="00286216" w:rsidRDefault="004B55AD" w:rsidP="004B55AD">
            <w:pPr>
              <w:pStyle w:val="StyleZakonu"/>
              <w:rPr>
                <w:color w:val="000000" w:themeColor="text1"/>
              </w:rPr>
            </w:pPr>
            <w:r w:rsidRPr="00286216">
              <w:rPr>
                <w:color w:val="000000" w:themeColor="text1"/>
              </w:rPr>
              <w:t>3. Положення законів щодо нікчемності або визнання недійсності правочинів не застосовуються до  розпоряджень та/або документів, передбачених частиною першою цієї статті.</w:t>
            </w:r>
          </w:p>
        </w:tc>
      </w:tr>
      <w:tr w:rsidR="00F77E8D" w:rsidRPr="00286216" w14:paraId="6C510A00" w14:textId="77777777" w:rsidTr="00091AA5">
        <w:tc>
          <w:tcPr>
            <w:tcW w:w="576" w:type="dxa"/>
          </w:tcPr>
          <w:p w14:paraId="02F8F54F" w14:textId="77777777" w:rsidR="004B55AD" w:rsidRPr="00286216" w:rsidRDefault="004B55AD" w:rsidP="004B55AD">
            <w:pPr>
              <w:pStyle w:val="StyleWisnow"/>
              <w:rPr>
                <w:color w:val="000000" w:themeColor="text1"/>
              </w:rPr>
            </w:pPr>
            <w:bookmarkStart w:id="298" w:name="n292" w:colFirst="0" w:colLast="0"/>
            <w:bookmarkEnd w:id="297"/>
            <w:r w:rsidRPr="00286216">
              <w:rPr>
                <w:color w:val="000000" w:themeColor="text1"/>
              </w:rPr>
              <w:lastRenderedPageBreak/>
              <w:t>292.</w:t>
            </w:r>
          </w:p>
        </w:tc>
        <w:tc>
          <w:tcPr>
            <w:tcW w:w="4818" w:type="dxa"/>
          </w:tcPr>
          <w:p w14:paraId="23E794EB" w14:textId="77777777" w:rsidR="004B55AD" w:rsidRPr="00286216" w:rsidRDefault="004B55AD" w:rsidP="004B55AD">
            <w:pPr>
              <w:pStyle w:val="StyleZakonu"/>
              <w:rPr>
                <w:color w:val="000000" w:themeColor="text1"/>
              </w:rPr>
            </w:pPr>
            <w:r w:rsidRPr="00286216">
              <w:rPr>
                <w:color w:val="000000" w:themeColor="text1"/>
              </w:rPr>
              <w:t>4. Положення законодавства щодо нікчемності, визнання недійсними, розірвання чи відмови від виконання правочинів (договорів), обмеження чи припинення здійснення операцій, заборони на здійснення зарахування зустрічних однорідних вимог сторони правочину щодо цінних паперів чи валютних цінностей, або сторони деривативного контракту чи товарної операції (у тому числі якщо таке зарахування впливає на черговість задоволення вимог кредиторів) або спростування майнових дій сторони такого правочину/контракту/операції, не можуть бути застосовані до правочинів, зазначених у частині другій цієї статті, лише на тій підставі, що такі правочини були здійснені в день (або протягом будь-якого визначеного періоду часу до такого дня) набрання чинності рішенням про неплатоспроможність сторони правочину щодо цінних паперів чи валютних цінностей, або сторони деривативного контракту чи товарної операції відповідно до статті 12 цього Закону.</w:t>
            </w:r>
          </w:p>
        </w:tc>
        <w:tc>
          <w:tcPr>
            <w:tcW w:w="3686" w:type="dxa"/>
          </w:tcPr>
          <w:p w14:paraId="0648BE37" w14:textId="77777777" w:rsidR="004B55AD" w:rsidRPr="00286216" w:rsidRDefault="004B55AD" w:rsidP="002016A3">
            <w:pPr>
              <w:pStyle w:val="StyleProp"/>
              <w:spacing w:line="180" w:lineRule="exact"/>
              <w:rPr>
                <w:color w:val="000000" w:themeColor="text1"/>
              </w:rPr>
            </w:pPr>
            <w:r w:rsidRPr="00286216">
              <w:rPr>
                <w:color w:val="000000" w:themeColor="text1"/>
              </w:rPr>
              <w:t>4. Внутрішні документи особи, яка провадить клірингову діяльність, або особи, що приймає та виконує відповідні розпорядження та/або документи щодо фінансових інструментів, валютних цінностей, предметів товарних операцій, надіслані стороною деривативного контракту, правочину щодо фінансових інструментів чи валютних цінностей, стороною товарної операції, або будь-якою третьою особою, повинні встановлювати порядок виконання таких розпоряджень та/або документів та передбачати механізми фіксації початку такого виконання.</w:t>
            </w:r>
          </w:p>
          <w:p w14:paraId="2FB5E8FF" w14:textId="13412DCF" w:rsidR="004B55AD" w:rsidRPr="00286216" w:rsidRDefault="004B55AD" w:rsidP="002016A3">
            <w:pPr>
              <w:pStyle w:val="StyleProp"/>
              <w:spacing w:line="180" w:lineRule="exact"/>
              <w:rPr>
                <w:color w:val="000000" w:themeColor="text1"/>
              </w:rPr>
            </w:pPr>
            <w:r w:rsidRPr="00286216">
              <w:rPr>
                <w:color w:val="000000" w:themeColor="text1"/>
              </w:rPr>
              <w:t xml:space="preserve">Зазначений в абзаці першому цієї частини порядок виконання розпоряджень та/або документів повинен з метою виконання таких розпоряджень та/або документів передбачати можливість використання належних особі, яка надіслала такі розпорядження та/або документи, коштів та/або активів, права на які, перебувають в системі клірингового обліку на момент оприлюднення рішення, передбаченого статтею </w:t>
            </w:r>
            <w:r w:rsidRPr="00286216">
              <w:rPr>
                <w:color w:val="000000" w:themeColor="text1"/>
                <w:lang w:val="ru-RU"/>
              </w:rPr>
              <w:t>39</w:t>
            </w:r>
            <w:r w:rsidRPr="00286216">
              <w:rPr>
                <w:color w:val="000000" w:themeColor="text1"/>
              </w:rPr>
              <w:t xml:space="preserve"> цього Закону".</w:t>
            </w:r>
          </w:p>
        </w:tc>
        <w:tc>
          <w:tcPr>
            <w:tcW w:w="1987" w:type="dxa"/>
          </w:tcPr>
          <w:p w14:paraId="70B84E22" w14:textId="77777777" w:rsidR="004B55AD" w:rsidRPr="00286216" w:rsidRDefault="004B55AD" w:rsidP="004B55AD">
            <w:pPr>
              <w:pStyle w:val="StyleWisnow"/>
              <w:rPr>
                <w:color w:val="000000" w:themeColor="text1"/>
              </w:rPr>
            </w:pPr>
          </w:p>
        </w:tc>
        <w:tc>
          <w:tcPr>
            <w:tcW w:w="4818" w:type="dxa"/>
          </w:tcPr>
          <w:p w14:paraId="699A63D6" w14:textId="3F5A6835" w:rsidR="004B55AD" w:rsidRPr="00286216" w:rsidRDefault="004B55AD" w:rsidP="004B55AD">
            <w:pPr>
              <w:pStyle w:val="StyleZakonu"/>
              <w:rPr>
                <w:color w:val="000000" w:themeColor="text1"/>
              </w:rPr>
            </w:pPr>
            <w:r w:rsidRPr="00286216">
              <w:rPr>
                <w:color w:val="000000" w:themeColor="text1"/>
              </w:rPr>
              <w:t>4. Внутрішні документи особи, яка провадить клірингову діяльність, або особи, яка приймає та виконує розпорядження та/або документи, передбачені частиною першою цієї статті, надіслані стороною деривативного контракту, правочину щодо фінансових інструментів чи валютних цінностей, стороною товарної операції або будь-якою третьою особою, повинні встановлювати порядок виконання таких розпоряджень та/або документів та передбачати механізм фіксації початку такого виконання.</w:t>
            </w:r>
          </w:p>
          <w:p w14:paraId="62F501C0" w14:textId="1AE30425" w:rsidR="004B55AD" w:rsidRPr="00286216" w:rsidRDefault="004B55AD" w:rsidP="00B7270F">
            <w:pPr>
              <w:pStyle w:val="StyleZakonu"/>
              <w:rPr>
                <w:color w:val="000000" w:themeColor="text1"/>
              </w:rPr>
            </w:pPr>
            <w:r w:rsidRPr="00286216">
              <w:rPr>
                <w:color w:val="000000" w:themeColor="text1"/>
              </w:rPr>
              <w:t xml:space="preserve">Зазначений в абзаці першому цієї частини порядок виконання розпоряджень та/або документів повинен з метою виконання таких розпоряджень та/або документів передбачати можливість використання належних особі, яка надіслала такі розпорядження та/або документи, коштів та/або активів, права на які перебувають </w:t>
            </w:r>
            <w:r w:rsidR="00B7270F" w:rsidRPr="00286216">
              <w:rPr>
                <w:color w:val="000000" w:themeColor="text1"/>
              </w:rPr>
              <w:t>у</w:t>
            </w:r>
            <w:r w:rsidRPr="00286216">
              <w:rPr>
                <w:color w:val="000000" w:themeColor="text1"/>
              </w:rPr>
              <w:t xml:space="preserve"> системі клірингового обліку на </w:t>
            </w:r>
            <w:r w:rsidR="001B7407" w:rsidRPr="00286216">
              <w:rPr>
                <w:color w:val="000000" w:themeColor="text1"/>
              </w:rPr>
              <w:t>момент, передбачений частиною другою статті 39 цього Закону.</w:t>
            </w:r>
          </w:p>
        </w:tc>
      </w:tr>
      <w:tr w:rsidR="00F77E8D" w:rsidRPr="00286216" w14:paraId="7610EC3D" w14:textId="77777777" w:rsidTr="00091AA5">
        <w:tc>
          <w:tcPr>
            <w:tcW w:w="576" w:type="dxa"/>
          </w:tcPr>
          <w:p w14:paraId="7BF98760" w14:textId="77777777" w:rsidR="004B55AD" w:rsidRPr="00286216" w:rsidRDefault="004B55AD" w:rsidP="004B55AD">
            <w:pPr>
              <w:pStyle w:val="StyleWisnow"/>
              <w:rPr>
                <w:color w:val="000000" w:themeColor="text1"/>
              </w:rPr>
            </w:pPr>
            <w:bookmarkStart w:id="299" w:name="n293" w:colFirst="0" w:colLast="0"/>
            <w:bookmarkEnd w:id="298"/>
            <w:r w:rsidRPr="00286216">
              <w:rPr>
                <w:color w:val="000000" w:themeColor="text1"/>
              </w:rPr>
              <w:t>293.</w:t>
            </w:r>
          </w:p>
        </w:tc>
        <w:tc>
          <w:tcPr>
            <w:tcW w:w="4818" w:type="dxa"/>
          </w:tcPr>
          <w:p w14:paraId="2ECB64F0" w14:textId="77777777" w:rsidR="004B55AD" w:rsidRPr="00286216" w:rsidRDefault="004B55AD" w:rsidP="004B55AD">
            <w:pPr>
              <w:pStyle w:val="StyleZakonu"/>
              <w:rPr>
                <w:color w:val="000000" w:themeColor="text1"/>
              </w:rPr>
            </w:pPr>
            <w:r w:rsidRPr="00286216">
              <w:rPr>
                <w:color w:val="000000" w:themeColor="text1"/>
              </w:rPr>
              <w:t>5. Забезпечення виконання зобов’язань сторони правочину щодо цінних паперів чи валютних цінностей, або сторони деривативного контракту чи товарної операції, створене за умови дотримання вимог частин другої - четвертої цієї статті, використовується іншою стороною такого правочину/контракту/операції або особою, що провадить клірингову діяльність, відповідно до законодавства або відповідно до положень правочину, що не суперечить законодавству, незважаючи на набрання чинності рішенням, передбаченим у статті 12 цього Закону.</w:t>
            </w:r>
          </w:p>
        </w:tc>
        <w:tc>
          <w:tcPr>
            <w:tcW w:w="3686" w:type="dxa"/>
          </w:tcPr>
          <w:p w14:paraId="4BEC16CA" w14:textId="7DCD6832"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246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B3327CA" w14:textId="77777777" w:rsidR="004B55AD" w:rsidRPr="00286216" w:rsidRDefault="004B55AD" w:rsidP="004B55AD">
            <w:pPr>
              <w:pStyle w:val="StyleProp"/>
              <w:rPr>
                <w:color w:val="000000" w:themeColor="text1"/>
              </w:rPr>
            </w:pPr>
            <w:r w:rsidRPr="00286216">
              <w:rPr>
                <w:color w:val="000000" w:themeColor="text1"/>
              </w:rPr>
              <w:t>Частину 5 статті 11 викласти у такій редакції:</w:t>
            </w:r>
          </w:p>
          <w:p w14:paraId="348A3325" w14:textId="77777777" w:rsidR="004B55AD" w:rsidRPr="00286216" w:rsidRDefault="004B55AD" w:rsidP="004B55AD">
            <w:pPr>
              <w:pStyle w:val="StyleProp"/>
              <w:rPr>
                <w:color w:val="000000" w:themeColor="text1"/>
              </w:rPr>
            </w:pPr>
            <w:r w:rsidRPr="00286216">
              <w:rPr>
                <w:color w:val="000000" w:themeColor="text1"/>
              </w:rPr>
              <w:t>"5. Зазначені у частині першій цієї статті розпорядження та/або документи вважаються дійсними,  законними, безвідкличними та обов’язковими для виконання для будь-яких третіх осіб з моменту, визначеного:</w:t>
            </w:r>
          </w:p>
          <w:p w14:paraId="34D8E636" w14:textId="77777777" w:rsidR="004B55AD" w:rsidRPr="00286216" w:rsidRDefault="004B55AD" w:rsidP="004B55AD">
            <w:pPr>
              <w:pStyle w:val="StyleProp"/>
              <w:rPr>
                <w:color w:val="000000" w:themeColor="text1"/>
              </w:rPr>
            </w:pPr>
            <w:r w:rsidRPr="00286216">
              <w:rPr>
                <w:color w:val="000000" w:themeColor="text1"/>
              </w:rPr>
              <w:t>1) внутрішніми правилами особи, що приймає та виконує відповідні розпорядження;</w:t>
            </w:r>
          </w:p>
          <w:p w14:paraId="0004824F" w14:textId="77777777" w:rsidR="004B55AD" w:rsidRPr="00286216" w:rsidRDefault="004B55AD" w:rsidP="004B55AD">
            <w:pPr>
              <w:pStyle w:val="StyleProp"/>
              <w:rPr>
                <w:color w:val="000000" w:themeColor="text1"/>
              </w:rPr>
            </w:pPr>
            <w:r w:rsidRPr="00286216">
              <w:rPr>
                <w:color w:val="000000" w:themeColor="text1"/>
              </w:rPr>
              <w:t>2) правилами особи, яка провадить клірингову діяльність;</w:t>
            </w:r>
          </w:p>
          <w:p w14:paraId="6B34B895" w14:textId="0ADF5EF0" w:rsidR="004B55AD" w:rsidRPr="00286216" w:rsidRDefault="004B55AD" w:rsidP="004B55AD">
            <w:pPr>
              <w:pStyle w:val="StyleProp"/>
              <w:rPr>
                <w:color w:val="000000" w:themeColor="text1"/>
                <w:szCs w:val="18"/>
              </w:rPr>
            </w:pPr>
            <w:r w:rsidRPr="00286216">
              <w:rPr>
                <w:color w:val="000000" w:themeColor="text1"/>
              </w:rPr>
              <w:t>3) угодою щодо ліквідаційного неттінгу, передбаченою статтею 13 цього Закону".</w:t>
            </w:r>
          </w:p>
        </w:tc>
        <w:tc>
          <w:tcPr>
            <w:tcW w:w="1987" w:type="dxa"/>
          </w:tcPr>
          <w:p w14:paraId="609A1673" w14:textId="77777777" w:rsidR="004B55AD" w:rsidRPr="00286216" w:rsidRDefault="004B55AD" w:rsidP="004B55AD">
            <w:pPr>
              <w:pStyle w:val="StyleWisnow"/>
              <w:spacing w:line="180" w:lineRule="exact"/>
              <w:rPr>
                <w:color w:val="000000" w:themeColor="text1"/>
              </w:rPr>
            </w:pPr>
            <w:r w:rsidRPr="00286216">
              <w:rPr>
                <w:color w:val="000000" w:themeColor="text1"/>
              </w:rPr>
              <w:t>Враховано</w:t>
            </w:r>
          </w:p>
          <w:p w14:paraId="125C3064" w14:textId="77777777" w:rsidR="004B55AD" w:rsidRPr="00286216" w:rsidRDefault="004B55AD" w:rsidP="004B55AD">
            <w:pPr>
              <w:pStyle w:val="StyleWisnow"/>
              <w:rPr>
                <w:color w:val="000000" w:themeColor="text1"/>
              </w:rPr>
            </w:pPr>
          </w:p>
        </w:tc>
        <w:tc>
          <w:tcPr>
            <w:tcW w:w="4818" w:type="dxa"/>
          </w:tcPr>
          <w:p w14:paraId="75B93468" w14:textId="70BAD383" w:rsidR="004B55AD" w:rsidRPr="00286216" w:rsidRDefault="004B55AD" w:rsidP="004B55AD">
            <w:pPr>
              <w:pStyle w:val="StyleZakonu"/>
              <w:rPr>
                <w:color w:val="000000" w:themeColor="text1"/>
              </w:rPr>
            </w:pPr>
            <w:r w:rsidRPr="00286216">
              <w:rPr>
                <w:color w:val="000000" w:themeColor="text1"/>
              </w:rPr>
              <w:t>5. Передбачені частиною першою цієї статті розпорядження та/або документи вважаються дійсними, законними, безвідкличними та обов’язковими для виконання для будь-яких третіх осіб з моменту, визначеного:</w:t>
            </w:r>
          </w:p>
          <w:p w14:paraId="5D1C6FF1" w14:textId="6CDF2338" w:rsidR="004B55AD" w:rsidRPr="00286216" w:rsidRDefault="004B55AD" w:rsidP="004B55AD">
            <w:pPr>
              <w:pStyle w:val="StyleZakonu"/>
              <w:rPr>
                <w:color w:val="000000" w:themeColor="text1"/>
              </w:rPr>
            </w:pPr>
            <w:r w:rsidRPr="00286216">
              <w:rPr>
                <w:color w:val="000000" w:themeColor="text1"/>
              </w:rPr>
              <w:t>1) внутрішніми правилами особи, яка приймає та виконує відповідні розпорядження;</w:t>
            </w:r>
          </w:p>
          <w:p w14:paraId="26FF5BA0" w14:textId="77777777" w:rsidR="004B55AD" w:rsidRPr="00286216" w:rsidRDefault="004B55AD" w:rsidP="004B55AD">
            <w:pPr>
              <w:pStyle w:val="StyleZakonu"/>
              <w:rPr>
                <w:color w:val="000000" w:themeColor="text1"/>
              </w:rPr>
            </w:pPr>
            <w:r w:rsidRPr="00286216">
              <w:rPr>
                <w:color w:val="000000" w:themeColor="text1"/>
              </w:rPr>
              <w:t>2) правилами особи, яка провадить клірингову діяльність;</w:t>
            </w:r>
          </w:p>
          <w:p w14:paraId="2D6AD242" w14:textId="12C0A88B" w:rsidR="004B55AD" w:rsidRPr="00286216" w:rsidRDefault="004B55AD" w:rsidP="004B55AD">
            <w:pPr>
              <w:pStyle w:val="StyleZakonu"/>
              <w:rPr>
                <w:color w:val="000000" w:themeColor="text1"/>
              </w:rPr>
            </w:pPr>
            <w:r w:rsidRPr="00286216">
              <w:rPr>
                <w:color w:val="000000" w:themeColor="text1"/>
              </w:rPr>
              <w:t>3) угодою щодо ліквідаційного неттінгу, передбаченою статтею 40 цього Закону.</w:t>
            </w:r>
          </w:p>
        </w:tc>
      </w:tr>
      <w:tr w:rsidR="00F77E8D" w:rsidRPr="00286216" w14:paraId="3458581F" w14:textId="77777777" w:rsidTr="00091AA5">
        <w:tc>
          <w:tcPr>
            <w:tcW w:w="576" w:type="dxa"/>
          </w:tcPr>
          <w:p w14:paraId="0243DE32" w14:textId="77777777" w:rsidR="004B55AD" w:rsidRPr="00286216" w:rsidRDefault="004B55AD" w:rsidP="004B55AD">
            <w:pPr>
              <w:pStyle w:val="StyleWisnow"/>
              <w:rPr>
                <w:color w:val="000000" w:themeColor="text1"/>
              </w:rPr>
            </w:pPr>
            <w:bookmarkStart w:id="300" w:name="n294" w:colFirst="0" w:colLast="0"/>
            <w:bookmarkEnd w:id="299"/>
            <w:r w:rsidRPr="00286216">
              <w:rPr>
                <w:color w:val="000000" w:themeColor="text1"/>
              </w:rPr>
              <w:t>294.</w:t>
            </w:r>
          </w:p>
        </w:tc>
        <w:tc>
          <w:tcPr>
            <w:tcW w:w="4818" w:type="dxa"/>
          </w:tcPr>
          <w:p w14:paraId="00AFC55D" w14:textId="77777777" w:rsidR="004B55AD" w:rsidRPr="00286216" w:rsidRDefault="004B55AD" w:rsidP="004B55AD">
            <w:pPr>
              <w:pStyle w:val="StyleZakonu"/>
              <w:rPr>
                <w:color w:val="000000" w:themeColor="text1"/>
              </w:rPr>
            </w:pPr>
            <w:bookmarkStart w:id="301" w:name="_Ref16411049"/>
            <w:bookmarkStart w:id="302" w:name="_Ref19261309"/>
            <w:r w:rsidRPr="00286216">
              <w:rPr>
                <w:color w:val="000000" w:themeColor="text1"/>
              </w:rPr>
              <w:t>Стаття 12. День настання неплатоспроможності сторони правочину щодо цінних паперів чи валютних цінностей, або сторони деривативного контракту чи товарної операції</w:t>
            </w:r>
            <w:bookmarkEnd w:id="301"/>
            <w:bookmarkEnd w:id="302"/>
          </w:p>
        </w:tc>
        <w:tc>
          <w:tcPr>
            <w:tcW w:w="3686" w:type="dxa"/>
          </w:tcPr>
          <w:p w14:paraId="72331FCE" w14:textId="7F526146" w:rsidR="004B55AD" w:rsidRPr="00286216" w:rsidRDefault="004B55AD" w:rsidP="004B55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247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E581A51" w14:textId="77777777" w:rsidR="004B55AD" w:rsidRPr="00286216" w:rsidRDefault="004B55AD" w:rsidP="004B55AD">
            <w:pPr>
              <w:pStyle w:val="StyleProp"/>
              <w:rPr>
                <w:color w:val="000000" w:themeColor="text1"/>
              </w:rPr>
            </w:pPr>
            <w:r w:rsidRPr="00286216">
              <w:rPr>
                <w:color w:val="000000" w:themeColor="text1"/>
              </w:rPr>
              <w:t>Статтю 12 викласти у такій редакції:</w:t>
            </w:r>
          </w:p>
          <w:p w14:paraId="04F65F3C" w14:textId="77777777" w:rsidR="004B55AD" w:rsidRPr="00286216" w:rsidRDefault="004B55AD" w:rsidP="004B55AD">
            <w:pPr>
              <w:pStyle w:val="StyleProp"/>
              <w:rPr>
                <w:color w:val="000000" w:themeColor="text1"/>
              </w:rPr>
            </w:pPr>
            <w:r w:rsidRPr="00286216">
              <w:rPr>
                <w:color w:val="000000" w:themeColor="text1"/>
              </w:rPr>
              <w:t>"Стаття 12. Неплатоспроможність сторони правочину щодо фінансових інструментів чи валютних цінностей, або сторони деривативного контракту чи товарної операції</w:t>
            </w:r>
          </w:p>
        </w:tc>
        <w:tc>
          <w:tcPr>
            <w:tcW w:w="1987" w:type="dxa"/>
          </w:tcPr>
          <w:p w14:paraId="545698A9" w14:textId="5698A1FA" w:rsidR="004B55AD" w:rsidRPr="00286216" w:rsidRDefault="004B55AD" w:rsidP="004B55AD">
            <w:pPr>
              <w:pStyle w:val="StyleWisnow"/>
              <w:rPr>
                <w:color w:val="000000" w:themeColor="text1"/>
              </w:rPr>
            </w:pPr>
            <w:r w:rsidRPr="00286216">
              <w:rPr>
                <w:color w:val="000000" w:themeColor="text1"/>
              </w:rPr>
              <w:t>Враховано</w:t>
            </w:r>
            <w:r w:rsidR="00F85F3C" w:rsidRPr="00286216">
              <w:rPr>
                <w:color w:val="000000" w:themeColor="text1"/>
              </w:rPr>
              <w:t xml:space="preserve"> редакційно</w:t>
            </w:r>
          </w:p>
        </w:tc>
        <w:tc>
          <w:tcPr>
            <w:tcW w:w="4818" w:type="dxa"/>
          </w:tcPr>
          <w:p w14:paraId="192B7C9D" w14:textId="26A12339" w:rsidR="004B55AD" w:rsidRPr="00286216" w:rsidRDefault="004B55AD" w:rsidP="004B55AD">
            <w:pPr>
              <w:pStyle w:val="StyleZakonu"/>
              <w:rPr>
                <w:color w:val="000000" w:themeColor="text1"/>
              </w:rPr>
            </w:pPr>
            <w:r w:rsidRPr="00286216">
              <w:rPr>
                <w:color w:val="000000" w:themeColor="text1"/>
              </w:rPr>
              <w:t>Стаття 39. Неплатоспроможність сторони правочину щодо фінансових інструментів чи валютних цінностей</w:t>
            </w:r>
            <w:r w:rsidR="00B7270F" w:rsidRPr="00286216">
              <w:rPr>
                <w:color w:val="000000" w:themeColor="text1"/>
              </w:rPr>
              <w:t>,</w:t>
            </w:r>
            <w:r w:rsidRPr="00286216">
              <w:rPr>
                <w:color w:val="000000" w:themeColor="text1"/>
              </w:rPr>
              <w:t xml:space="preserve"> сторони деривативного контракту чи товарної операції</w:t>
            </w:r>
          </w:p>
        </w:tc>
      </w:tr>
      <w:tr w:rsidR="00F77E8D" w:rsidRPr="00286216" w14:paraId="3D7BE69C" w14:textId="77777777" w:rsidTr="00091AA5">
        <w:tc>
          <w:tcPr>
            <w:tcW w:w="576" w:type="dxa"/>
          </w:tcPr>
          <w:p w14:paraId="3C3962DF" w14:textId="77777777" w:rsidR="004B55AD" w:rsidRPr="00286216" w:rsidRDefault="004B55AD" w:rsidP="004B55AD">
            <w:pPr>
              <w:pStyle w:val="StyleWisnow"/>
              <w:rPr>
                <w:color w:val="000000" w:themeColor="text1"/>
              </w:rPr>
            </w:pPr>
            <w:bookmarkStart w:id="303" w:name="n295" w:colFirst="0" w:colLast="0"/>
            <w:bookmarkEnd w:id="300"/>
            <w:r w:rsidRPr="00286216">
              <w:rPr>
                <w:color w:val="000000" w:themeColor="text1"/>
              </w:rPr>
              <w:t>295.</w:t>
            </w:r>
          </w:p>
        </w:tc>
        <w:tc>
          <w:tcPr>
            <w:tcW w:w="4818" w:type="dxa"/>
          </w:tcPr>
          <w:p w14:paraId="0092D50A" w14:textId="77777777" w:rsidR="004B55AD" w:rsidRPr="00286216" w:rsidRDefault="004B55AD" w:rsidP="004B55AD">
            <w:pPr>
              <w:pStyle w:val="StyleZakonu"/>
              <w:rPr>
                <w:color w:val="000000" w:themeColor="text1"/>
              </w:rPr>
            </w:pPr>
            <w:bookmarkStart w:id="304" w:name="_Ref20431231"/>
            <w:r w:rsidRPr="00286216">
              <w:rPr>
                <w:color w:val="000000" w:themeColor="text1"/>
              </w:rPr>
              <w:t xml:space="preserve">1. Днем настання неплатоспроможності сторони правочину щодо цінних паперів чи валютних цінностей, або сторони деривативного контракту чи товарної операції є дата набрання чинності одним з таких рішень господарського суду, Національної </w:t>
            </w:r>
            <w:r w:rsidRPr="00286216">
              <w:rPr>
                <w:color w:val="000000" w:themeColor="text1"/>
              </w:rPr>
              <w:lastRenderedPageBreak/>
              <w:t>комісії з цінних паперів та фондового ринку або Національного банку України про:</w:t>
            </w:r>
            <w:bookmarkEnd w:id="304"/>
          </w:p>
        </w:tc>
        <w:tc>
          <w:tcPr>
            <w:tcW w:w="3686" w:type="dxa"/>
          </w:tcPr>
          <w:p w14:paraId="4A6543A3" w14:textId="77777777" w:rsidR="004B55AD" w:rsidRPr="00286216" w:rsidRDefault="004B55AD" w:rsidP="004B55AD">
            <w:pPr>
              <w:pStyle w:val="StyleProp"/>
              <w:rPr>
                <w:color w:val="000000" w:themeColor="text1"/>
              </w:rPr>
            </w:pPr>
            <w:r w:rsidRPr="00286216">
              <w:rPr>
                <w:color w:val="000000" w:themeColor="text1"/>
              </w:rPr>
              <w:lastRenderedPageBreak/>
              <w:t>1. Сторона деривативного контракту, правочину щодо фінансових інструментів, правочину щодо валютних цінностей, сторона товарної операції є неплатоспроможною у разі набрання щодо такої сторони:</w:t>
            </w:r>
          </w:p>
          <w:p w14:paraId="29E0A373" w14:textId="77777777" w:rsidR="004B55AD" w:rsidRPr="00286216" w:rsidRDefault="004B55AD" w:rsidP="004B55AD">
            <w:pPr>
              <w:pStyle w:val="StyleProp"/>
              <w:rPr>
                <w:color w:val="000000" w:themeColor="text1"/>
              </w:rPr>
            </w:pPr>
            <w:r w:rsidRPr="00286216">
              <w:rPr>
                <w:color w:val="000000" w:themeColor="text1"/>
              </w:rPr>
              <w:lastRenderedPageBreak/>
              <w:t>1) законної сили рішенням господарського суду, а саме: ухвалою про відкриття провадження у справі про банкрутство або ухвалою про відкриття провадження у справі про неплатоспроможність фізичної особи або фізичної особи – підприємця;</w:t>
            </w:r>
          </w:p>
          <w:p w14:paraId="730E2673" w14:textId="77777777" w:rsidR="004B55AD" w:rsidRPr="00286216" w:rsidRDefault="004B55AD" w:rsidP="004B55AD">
            <w:pPr>
              <w:pStyle w:val="StyleProp"/>
              <w:rPr>
                <w:color w:val="000000" w:themeColor="text1"/>
              </w:rPr>
            </w:pPr>
            <w:r w:rsidRPr="00286216">
              <w:rPr>
                <w:color w:val="000000" w:themeColor="text1"/>
              </w:rPr>
              <w:t>2) чинності рішенням Національної комісії з цінних паперів та фондового ринку або Національного банку України про:</w:t>
            </w:r>
          </w:p>
          <w:p w14:paraId="183F556A" w14:textId="77777777" w:rsidR="004B55AD" w:rsidRPr="00286216" w:rsidRDefault="004B55AD" w:rsidP="004B55AD">
            <w:pPr>
              <w:pStyle w:val="StyleProp"/>
              <w:rPr>
                <w:color w:val="000000" w:themeColor="text1"/>
              </w:rPr>
            </w:pPr>
            <w:r w:rsidRPr="00286216">
              <w:rPr>
                <w:color w:val="000000" w:themeColor="text1"/>
              </w:rPr>
              <w:t>а) запровадження тимчасової адміністрації та/або призначення тимчасового адміністратора та/або відсторонення керівництва, за умови що будь-яке із таких рішень має наслідком обмеження або відтермінування можливості здійснення передачі активів або переказу коштів;</w:t>
            </w:r>
          </w:p>
          <w:p w14:paraId="3BB80E5E" w14:textId="77777777" w:rsidR="004B55AD" w:rsidRPr="00286216" w:rsidRDefault="004B55AD" w:rsidP="004B55AD">
            <w:pPr>
              <w:pStyle w:val="StyleProp"/>
              <w:rPr>
                <w:color w:val="000000" w:themeColor="text1"/>
              </w:rPr>
            </w:pPr>
            <w:r w:rsidRPr="00286216">
              <w:rPr>
                <w:color w:val="000000" w:themeColor="text1"/>
              </w:rPr>
              <w:t>б) відкликання (анулювання) ліцензії на провадження діяльності з надання фінансових послуг та/або ліквідацію, за умови, що будь-яке з таких рішень має наслідком обмеження або відтермінування можливості здійснення передачі активів або переказу коштів;</w:t>
            </w:r>
          </w:p>
          <w:p w14:paraId="0CBB69EE" w14:textId="61C06403" w:rsidR="004B55AD" w:rsidRPr="00286216" w:rsidRDefault="004B55AD" w:rsidP="004B55AD">
            <w:pPr>
              <w:pStyle w:val="StyleProp"/>
              <w:rPr>
                <w:color w:val="000000" w:themeColor="text1"/>
              </w:rPr>
            </w:pPr>
            <w:r w:rsidRPr="00286216">
              <w:rPr>
                <w:color w:val="000000" w:themeColor="text1"/>
              </w:rPr>
              <w:t>в) віднесення банку до категорії неплатоспроможних.</w:t>
            </w:r>
          </w:p>
          <w:p w14:paraId="1A03A439" w14:textId="77A6BF62" w:rsidR="004B55AD" w:rsidRPr="00286216" w:rsidRDefault="004B55AD" w:rsidP="004B55AD">
            <w:pPr>
              <w:pStyle w:val="StyleProp"/>
              <w:rPr>
                <w:color w:val="000000" w:themeColor="text1"/>
              </w:rPr>
            </w:pPr>
            <w:r w:rsidRPr="00286216">
              <w:rPr>
                <w:color w:val="000000" w:themeColor="text1"/>
              </w:rPr>
              <w:t>2. Для цілей цього Закону моментом опублікування передбачених частиною першою цієї статті рішень:</w:t>
            </w:r>
          </w:p>
        </w:tc>
        <w:tc>
          <w:tcPr>
            <w:tcW w:w="1987" w:type="dxa"/>
          </w:tcPr>
          <w:p w14:paraId="18BFDABB" w14:textId="77777777" w:rsidR="004B55AD" w:rsidRPr="00286216" w:rsidRDefault="004B55AD" w:rsidP="004B55AD">
            <w:pPr>
              <w:pStyle w:val="StyleWisnow"/>
              <w:rPr>
                <w:color w:val="000000" w:themeColor="text1"/>
              </w:rPr>
            </w:pPr>
          </w:p>
        </w:tc>
        <w:tc>
          <w:tcPr>
            <w:tcW w:w="4818" w:type="dxa"/>
          </w:tcPr>
          <w:p w14:paraId="65065A46" w14:textId="6DE52E37" w:rsidR="004B55AD" w:rsidRPr="00286216" w:rsidRDefault="004B55AD" w:rsidP="004B55AD">
            <w:pPr>
              <w:pStyle w:val="StyleZakonu"/>
              <w:rPr>
                <w:color w:val="000000" w:themeColor="text1"/>
              </w:rPr>
            </w:pPr>
            <w:r w:rsidRPr="00286216">
              <w:rPr>
                <w:color w:val="000000" w:themeColor="text1"/>
              </w:rPr>
              <w:t>1. Сторона деривативного контракту, правочину щодо фінансових інструментів, правочину щодо валютних цінностей, сторона товарної операції є неплатоспроможною у разі</w:t>
            </w:r>
            <w:r w:rsidR="0032733F" w:rsidRPr="00286216">
              <w:rPr>
                <w:color w:val="000000" w:themeColor="text1"/>
              </w:rPr>
              <w:t>:</w:t>
            </w:r>
          </w:p>
          <w:p w14:paraId="3FC20992" w14:textId="5B756DAB" w:rsidR="004B55AD" w:rsidRPr="00286216" w:rsidRDefault="004B55AD" w:rsidP="004B55AD">
            <w:pPr>
              <w:pStyle w:val="StyleZakonu"/>
              <w:rPr>
                <w:color w:val="000000" w:themeColor="text1"/>
              </w:rPr>
            </w:pPr>
            <w:r w:rsidRPr="00286216">
              <w:rPr>
                <w:color w:val="000000" w:themeColor="text1"/>
              </w:rPr>
              <w:t xml:space="preserve">1) </w:t>
            </w:r>
            <w:r w:rsidR="0032733F" w:rsidRPr="00286216">
              <w:rPr>
                <w:color w:val="000000" w:themeColor="text1"/>
              </w:rPr>
              <w:t xml:space="preserve">набрання щодо такої сторони </w:t>
            </w:r>
            <w:r w:rsidRPr="00286216">
              <w:rPr>
                <w:color w:val="000000" w:themeColor="text1"/>
              </w:rPr>
              <w:t xml:space="preserve">законної сили </w:t>
            </w:r>
            <w:r w:rsidRPr="00286216">
              <w:rPr>
                <w:color w:val="000000" w:themeColor="text1"/>
              </w:rPr>
              <w:lastRenderedPageBreak/>
              <w:t>рішенням господарського суду, а саме ухвалою про відкриття провадження у справі про банкрутство або ухвалою про відкриття провадження у справі про неплатоспроможність фізичної особи</w:t>
            </w:r>
            <w:r w:rsidR="00B7270F" w:rsidRPr="00286216">
              <w:rPr>
                <w:color w:val="000000" w:themeColor="text1"/>
              </w:rPr>
              <w:t>,</w:t>
            </w:r>
            <w:r w:rsidRPr="00286216">
              <w:rPr>
                <w:color w:val="000000" w:themeColor="text1"/>
              </w:rPr>
              <w:t xml:space="preserve"> фізичної особи – підприємця;</w:t>
            </w:r>
          </w:p>
          <w:p w14:paraId="1336EF02" w14:textId="00F366C5" w:rsidR="004B55AD" w:rsidRPr="00286216" w:rsidRDefault="004B55AD" w:rsidP="0032733F">
            <w:pPr>
              <w:pStyle w:val="StyleZakonu"/>
              <w:rPr>
                <w:color w:val="000000" w:themeColor="text1"/>
              </w:rPr>
            </w:pPr>
            <w:r w:rsidRPr="00286216">
              <w:rPr>
                <w:color w:val="000000" w:themeColor="text1"/>
              </w:rPr>
              <w:t xml:space="preserve">2) </w:t>
            </w:r>
            <w:r w:rsidR="0032733F" w:rsidRPr="00286216">
              <w:rPr>
                <w:color w:val="000000" w:themeColor="text1"/>
              </w:rPr>
              <w:t xml:space="preserve">прийняття щодо такої сторони Національною комісією з цінних паперів та фондового ринку або Національним банком України відповідно </w:t>
            </w:r>
            <w:r w:rsidRPr="00286216">
              <w:rPr>
                <w:color w:val="000000" w:themeColor="text1"/>
              </w:rPr>
              <w:t>рішення</w:t>
            </w:r>
            <w:r w:rsidR="0032733F" w:rsidRPr="00286216">
              <w:rPr>
                <w:color w:val="000000" w:themeColor="text1"/>
              </w:rPr>
              <w:t xml:space="preserve"> про</w:t>
            </w:r>
            <w:r w:rsidRPr="00286216">
              <w:rPr>
                <w:color w:val="000000" w:themeColor="text1"/>
              </w:rPr>
              <w:t>:</w:t>
            </w:r>
          </w:p>
        </w:tc>
      </w:tr>
      <w:tr w:rsidR="00F77E8D" w:rsidRPr="00286216" w14:paraId="78875053" w14:textId="77777777" w:rsidTr="00091AA5">
        <w:tc>
          <w:tcPr>
            <w:tcW w:w="576" w:type="dxa"/>
          </w:tcPr>
          <w:p w14:paraId="554AC211" w14:textId="77777777" w:rsidR="004B55AD" w:rsidRPr="00286216" w:rsidRDefault="004B55AD" w:rsidP="004B55AD">
            <w:pPr>
              <w:pStyle w:val="StyleWisnow"/>
              <w:rPr>
                <w:color w:val="000000" w:themeColor="text1"/>
              </w:rPr>
            </w:pPr>
            <w:bookmarkStart w:id="305" w:name="n296" w:colFirst="0" w:colLast="0"/>
            <w:bookmarkEnd w:id="303"/>
            <w:r w:rsidRPr="00286216">
              <w:rPr>
                <w:color w:val="000000" w:themeColor="text1"/>
              </w:rPr>
              <w:lastRenderedPageBreak/>
              <w:t>296.</w:t>
            </w:r>
          </w:p>
        </w:tc>
        <w:tc>
          <w:tcPr>
            <w:tcW w:w="4818" w:type="dxa"/>
          </w:tcPr>
          <w:p w14:paraId="3003E663" w14:textId="77777777" w:rsidR="004B55AD" w:rsidRPr="00286216" w:rsidRDefault="004B55AD" w:rsidP="004B55AD">
            <w:pPr>
              <w:pStyle w:val="StyleZakonu"/>
              <w:rPr>
                <w:color w:val="000000" w:themeColor="text1"/>
              </w:rPr>
            </w:pPr>
            <w:r w:rsidRPr="00286216">
              <w:rPr>
                <w:color w:val="000000" w:themeColor="text1"/>
              </w:rPr>
              <w:t>1) відкриття провадження у справі про банкрутство (у тому числі провадження у справі про неплатоспроможність боржника - фізичної особи або фізичної особи - підприємця) сторони правочину щодо цінних паперів чи валютних цінностей, або сторони деривативного контракту чи товарної операції;</w:t>
            </w:r>
          </w:p>
        </w:tc>
        <w:tc>
          <w:tcPr>
            <w:tcW w:w="3686" w:type="dxa"/>
          </w:tcPr>
          <w:p w14:paraId="11FEF95B" w14:textId="51727DBA" w:rsidR="004B55AD" w:rsidRPr="00286216" w:rsidRDefault="004B55AD" w:rsidP="004B55AD">
            <w:pPr>
              <w:pStyle w:val="StyleProp"/>
              <w:rPr>
                <w:color w:val="000000" w:themeColor="text1"/>
              </w:rPr>
            </w:pPr>
            <w:r w:rsidRPr="00286216">
              <w:rPr>
                <w:color w:val="000000" w:themeColor="text1"/>
              </w:rPr>
              <w:t>1) щодо рішення, передбаченого пунктом 1 частини першої цієї статті, – є момент надсилання судового рішення особі, яка провадить клірингову діяльність, на її на офіційну електронну адресу, зареєстровану в Єдиній судовій інформаційно-телекомунікаційній системі;</w:t>
            </w:r>
          </w:p>
          <w:p w14:paraId="236C0021" w14:textId="77ED2E6A" w:rsidR="004B55AD" w:rsidRPr="00286216" w:rsidRDefault="004B55AD" w:rsidP="004B55AD">
            <w:pPr>
              <w:pStyle w:val="StyleProp"/>
              <w:rPr>
                <w:color w:val="000000" w:themeColor="text1"/>
              </w:rPr>
            </w:pPr>
            <w:r w:rsidRPr="00286216">
              <w:rPr>
                <w:color w:val="000000" w:themeColor="text1"/>
              </w:rPr>
              <w:t>2) щодо рішень, передбачених пунктом 2 частини першої цієї статті, – є момент опублікування тексту відповідного рішення на офіційному веб-сайті Національної комісії з цінних паперів та фондового ринку або Національного банку України.</w:t>
            </w:r>
          </w:p>
          <w:p w14:paraId="20AA2022" w14:textId="014DC277" w:rsidR="004B55AD" w:rsidRPr="00286216" w:rsidRDefault="004B55AD" w:rsidP="004B55AD">
            <w:pPr>
              <w:pStyle w:val="StyleProp"/>
              <w:spacing w:line="180" w:lineRule="atLeast"/>
              <w:rPr>
                <w:color w:val="000000" w:themeColor="text1"/>
              </w:rPr>
            </w:pPr>
            <w:r w:rsidRPr="00286216">
              <w:rPr>
                <w:color w:val="000000" w:themeColor="text1"/>
              </w:rPr>
              <w:t>3. Національна комісія з цінних паперів та фондового ринку та Національний банк України у порядку, встановленому відповідно до статті 137-2 цього Закону, здійснюють обмін інформацією про прийняті ними рішення, передбачені частиною першою цієї статті.»</w:t>
            </w:r>
          </w:p>
        </w:tc>
        <w:tc>
          <w:tcPr>
            <w:tcW w:w="1987" w:type="dxa"/>
          </w:tcPr>
          <w:p w14:paraId="399F8CB9" w14:textId="77777777" w:rsidR="004B55AD" w:rsidRPr="00286216" w:rsidRDefault="004B55AD" w:rsidP="004B55AD">
            <w:pPr>
              <w:pStyle w:val="StyleWisnow"/>
              <w:rPr>
                <w:color w:val="000000" w:themeColor="text1"/>
              </w:rPr>
            </w:pPr>
          </w:p>
        </w:tc>
        <w:tc>
          <w:tcPr>
            <w:tcW w:w="4818" w:type="dxa"/>
          </w:tcPr>
          <w:p w14:paraId="38E65CEA" w14:textId="1D6009B5" w:rsidR="004B55AD" w:rsidRPr="00286216" w:rsidRDefault="004B55AD" w:rsidP="004B55AD">
            <w:pPr>
              <w:pStyle w:val="StyleZakonu"/>
              <w:rPr>
                <w:color w:val="000000" w:themeColor="text1"/>
              </w:rPr>
            </w:pPr>
            <w:r w:rsidRPr="00286216">
              <w:rPr>
                <w:color w:val="000000" w:themeColor="text1"/>
              </w:rPr>
              <w:t>а) запровадження тимчасової адміністрації та/або призначення тимчасового адміністратора</w:t>
            </w:r>
            <w:r w:rsidR="00B7270F" w:rsidRPr="00286216">
              <w:rPr>
                <w:color w:val="000000" w:themeColor="text1"/>
              </w:rPr>
              <w:t>,</w:t>
            </w:r>
            <w:r w:rsidRPr="00286216">
              <w:rPr>
                <w:color w:val="000000" w:themeColor="text1"/>
              </w:rPr>
              <w:t xml:space="preserve"> та/або відсторонення керівництва, за умови що будь-яке із таких рішень має наслідком обмеження або відтермінування можливості здійснення передачі активів або переказу коштів;</w:t>
            </w:r>
          </w:p>
        </w:tc>
      </w:tr>
      <w:tr w:rsidR="00F77E8D" w:rsidRPr="00286216" w14:paraId="2D2D1C79" w14:textId="77777777" w:rsidTr="00091AA5">
        <w:tc>
          <w:tcPr>
            <w:tcW w:w="576" w:type="dxa"/>
          </w:tcPr>
          <w:p w14:paraId="7A217FC1" w14:textId="77777777" w:rsidR="004B55AD" w:rsidRPr="00286216" w:rsidRDefault="004B55AD" w:rsidP="004B55AD">
            <w:pPr>
              <w:pStyle w:val="StyleWisnow"/>
              <w:rPr>
                <w:color w:val="000000" w:themeColor="text1"/>
              </w:rPr>
            </w:pPr>
            <w:bookmarkStart w:id="306" w:name="n297" w:colFirst="0" w:colLast="0"/>
            <w:bookmarkEnd w:id="305"/>
            <w:r w:rsidRPr="00286216">
              <w:rPr>
                <w:color w:val="000000" w:themeColor="text1"/>
              </w:rPr>
              <w:t>297.</w:t>
            </w:r>
          </w:p>
        </w:tc>
        <w:tc>
          <w:tcPr>
            <w:tcW w:w="4818" w:type="dxa"/>
          </w:tcPr>
          <w:p w14:paraId="722EF5D6" w14:textId="77777777" w:rsidR="004B55AD" w:rsidRPr="00286216" w:rsidRDefault="004B55AD" w:rsidP="004B55AD">
            <w:pPr>
              <w:pStyle w:val="StyleZakonu"/>
              <w:rPr>
                <w:color w:val="000000" w:themeColor="text1"/>
              </w:rPr>
            </w:pPr>
            <w:r w:rsidRPr="00286216">
              <w:rPr>
                <w:color w:val="000000" w:themeColor="text1"/>
              </w:rPr>
              <w:t xml:space="preserve">2) запровадження тимчасової адміністрації у стороні правочину щодо цінних паперів чи валютних </w:t>
            </w:r>
            <w:r w:rsidRPr="00286216">
              <w:rPr>
                <w:color w:val="000000" w:themeColor="text1"/>
              </w:rPr>
              <w:lastRenderedPageBreak/>
              <w:t>цінностей, або сторони деривативного контракту чи товарної операції, та/або призначення тимчасового адміністратора сторони правочину щодо щодо цінних паперів чи валютних цінностей, або сторони деривативного контракту чи товарної операції та/або відсторонення керівництва сторони правочину щодо цінних паперів чи валютних цінностей, або сторони деривативного контракту чи товарної операції за умови, що такі рішення передбачають обмеження або відтермінування можливості здійснення передачі активів або переказу коштів;</w:t>
            </w:r>
          </w:p>
        </w:tc>
        <w:tc>
          <w:tcPr>
            <w:tcW w:w="3686" w:type="dxa"/>
          </w:tcPr>
          <w:p w14:paraId="0E9A1426" w14:textId="155BE3A3" w:rsidR="004B55AD" w:rsidRPr="00286216" w:rsidRDefault="004B55AD" w:rsidP="004B55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248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8039D97" w14:textId="77777777" w:rsidR="004B55AD" w:rsidRPr="00286216" w:rsidRDefault="004B55AD" w:rsidP="004B55AD">
            <w:pPr>
              <w:pStyle w:val="StyleProp"/>
              <w:rPr>
                <w:color w:val="000000" w:themeColor="text1"/>
                <w:szCs w:val="18"/>
              </w:rPr>
            </w:pPr>
            <w:r w:rsidRPr="00286216">
              <w:rPr>
                <w:color w:val="000000" w:themeColor="text1"/>
                <w:szCs w:val="18"/>
              </w:rPr>
              <w:t xml:space="preserve">У частині першій статті 12 у пункті 2 </w:t>
            </w:r>
            <w:r w:rsidRPr="00286216">
              <w:rPr>
                <w:color w:val="000000" w:themeColor="text1"/>
                <w:szCs w:val="18"/>
              </w:rPr>
              <w:lastRenderedPageBreak/>
              <w:t>дублююче слово «щодо» виключити.</w:t>
            </w:r>
          </w:p>
          <w:p w14:paraId="4DC19501" w14:textId="77777777" w:rsidR="004B55AD" w:rsidRPr="00286216" w:rsidRDefault="004B55AD" w:rsidP="004B55AD">
            <w:pPr>
              <w:pStyle w:val="StyleProp"/>
              <w:rPr>
                <w:color w:val="000000" w:themeColor="text1"/>
              </w:rPr>
            </w:pPr>
          </w:p>
          <w:p w14:paraId="167E1777" w14:textId="739BCD69"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249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E56EA5F" w14:textId="77777777" w:rsidR="004B55AD" w:rsidRPr="00286216" w:rsidRDefault="004B55AD" w:rsidP="004B55AD">
            <w:pPr>
              <w:pStyle w:val="StyleProp"/>
              <w:rPr>
                <w:color w:val="000000" w:themeColor="text1"/>
              </w:rPr>
            </w:pPr>
            <w:r w:rsidRPr="00286216">
              <w:rPr>
                <w:color w:val="000000" w:themeColor="text1"/>
              </w:rPr>
              <w:t>У пункті 2 частини першої статті 12 слова «за умови, що такі рішення передбачають» замінити словами «за умови, що будь-яке з рішень зазначених у цьому пункті має наслідком».</w:t>
            </w:r>
          </w:p>
        </w:tc>
        <w:tc>
          <w:tcPr>
            <w:tcW w:w="1987" w:type="dxa"/>
          </w:tcPr>
          <w:p w14:paraId="676A3CEA" w14:textId="73A9CED2" w:rsidR="004B55AD" w:rsidRPr="00286216" w:rsidRDefault="004B55AD" w:rsidP="004B55AD">
            <w:pPr>
              <w:pStyle w:val="StyleWisnow"/>
              <w:rPr>
                <w:color w:val="000000" w:themeColor="text1"/>
              </w:rPr>
            </w:pPr>
            <w:r w:rsidRPr="00286216">
              <w:rPr>
                <w:color w:val="000000" w:themeColor="text1"/>
              </w:rPr>
              <w:lastRenderedPageBreak/>
              <w:t>Враховано редакційно</w:t>
            </w:r>
          </w:p>
          <w:p w14:paraId="0B08DBCA" w14:textId="7B7869CC" w:rsidR="004B55AD" w:rsidRPr="00286216" w:rsidRDefault="004B55AD" w:rsidP="004B55AD">
            <w:pPr>
              <w:pStyle w:val="StyleWisnow"/>
              <w:rPr>
                <w:color w:val="000000" w:themeColor="text1"/>
              </w:rPr>
            </w:pPr>
          </w:p>
          <w:p w14:paraId="02B13C95" w14:textId="77777777" w:rsidR="004B55AD" w:rsidRPr="00286216" w:rsidRDefault="004B55AD" w:rsidP="004B55AD">
            <w:pPr>
              <w:pStyle w:val="StyleWisnow"/>
              <w:rPr>
                <w:color w:val="000000" w:themeColor="text1"/>
              </w:rPr>
            </w:pPr>
          </w:p>
          <w:p w14:paraId="71AFC754" w14:textId="52386947" w:rsidR="004B55AD" w:rsidRPr="00286216" w:rsidRDefault="004B55AD" w:rsidP="004B55AD">
            <w:pPr>
              <w:pStyle w:val="StyleWisnow"/>
              <w:rPr>
                <w:color w:val="000000" w:themeColor="text1"/>
              </w:rPr>
            </w:pPr>
          </w:p>
          <w:p w14:paraId="40335259" w14:textId="5AF0E399" w:rsidR="004B55AD" w:rsidRPr="00286216" w:rsidRDefault="004B55AD" w:rsidP="004B55AD">
            <w:pPr>
              <w:pStyle w:val="StyleWisnow"/>
              <w:rPr>
                <w:color w:val="000000" w:themeColor="text1"/>
              </w:rPr>
            </w:pPr>
            <w:r w:rsidRPr="00286216">
              <w:rPr>
                <w:color w:val="000000" w:themeColor="text1"/>
              </w:rPr>
              <w:t>Враховано редакційно</w:t>
            </w:r>
          </w:p>
          <w:p w14:paraId="348E219D" w14:textId="3BA40FD0" w:rsidR="004B55AD" w:rsidRPr="00286216" w:rsidRDefault="004B55AD" w:rsidP="004B55AD">
            <w:pPr>
              <w:pStyle w:val="StyleWisnow"/>
              <w:rPr>
                <w:color w:val="000000" w:themeColor="text1"/>
              </w:rPr>
            </w:pPr>
          </w:p>
        </w:tc>
        <w:tc>
          <w:tcPr>
            <w:tcW w:w="4818" w:type="dxa"/>
          </w:tcPr>
          <w:p w14:paraId="2938C305" w14:textId="42FD10CA" w:rsidR="004B55AD" w:rsidRPr="00286216" w:rsidRDefault="004B55AD" w:rsidP="004B55AD">
            <w:pPr>
              <w:pStyle w:val="StyleZakonu"/>
              <w:rPr>
                <w:color w:val="000000" w:themeColor="text1"/>
              </w:rPr>
            </w:pPr>
            <w:r w:rsidRPr="00286216">
              <w:rPr>
                <w:color w:val="000000" w:themeColor="text1"/>
              </w:rPr>
              <w:lastRenderedPageBreak/>
              <w:t xml:space="preserve">б) відкликання (анулювання) ліцензії на провадження діяльності з надання фінансових послуг </w:t>
            </w:r>
            <w:r w:rsidRPr="00286216">
              <w:rPr>
                <w:color w:val="000000" w:themeColor="text1"/>
              </w:rPr>
              <w:lastRenderedPageBreak/>
              <w:t>та/або ліквідацію, за умови що будь-яке з таких рішень має наслідком обмеження або відтермінування можливості здійснення передачі активів або переказу коштів;</w:t>
            </w:r>
          </w:p>
          <w:p w14:paraId="519E7CD7" w14:textId="77777777" w:rsidR="004B55AD" w:rsidRPr="00286216" w:rsidRDefault="004B55AD" w:rsidP="004B55AD">
            <w:pPr>
              <w:pStyle w:val="StyleZakonu"/>
              <w:rPr>
                <w:color w:val="000000" w:themeColor="text1"/>
              </w:rPr>
            </w:pPr>
          </w:p>
          <w:p w14:paraId="4BAC545C" w14:textId="32BD7A71" w:rsidR="004B55AD" w:rsidRPr="00286216" w:rsidRDefault="004B55AD" w:rsidP="004B55AD">
            <w:pPr>
              <w:pStyle w:val="StyleZakonu"/>
              <w:rPr>
                <w:color w:val="000000" w:themeColor="text1"/>
              </w:rPr>
            </w:pPr>
            <w:r w:rsidRPr="00286216">
              <w:rPr>
                <w:color w:val="000000" w:themeColor="text1"/>
              </w:rPr>
              <w:t>в) віднесення банку до категорії неплатоспроможних.</w:t>
            </w:r>
          </w:p>
        </w:tc>
      </w:tr>
      <w:tr w:rsidR="00F77E8D" w:rsidRPr="00286216" w14:paraId="5345378C" w14:textId="77777777" w:rsidTr="00091AA5">
        <w:tc>
          <w:tcPr>
            <w:tcW w:w="576" w:type="dxa"/>
          </w:tcPr>
          <w:p w14:paraId="36AA19A3" w14:textId="77777777" w:rsidR="004B55AD" w:rsidRPr="00286216" w:rsidRDefault="004B55AD" w:rsidP="004B55AD">
            <w:pPr>
              <w:pStyle w:val="StyleWisnow"/>
              <w:rPr>
                <w:color w:val="000000" w:themeColor="text1"/>
              </w:rPr>
            </w:pPr>
            <w:bookmarkStart w:id="307" w:name="n298" w:colFirst="0" w:colLast="0"/>
            <w:bookmarkEnd w:id="306"/>
            <w:r w:rsidRPr="00286216">
              <w:rPr>
                <w:color w:val="000000" w:themeColor="text1"/>
              </w:rPr>
              <w:lastRenderedPageBreak/>
              <w:t>298.</w:t>
            </w:r>
          </w:p>
        </w:tc>
        <w:tc>
          <w:tcPr>
            <w:tcW w:w="4818" w:type="dxa"/>
          </w:tcPr>
          <w:p w14:paraId="36A6473A" w14:textId="77777777" w:rsidR="004B55AD" w:rsidRPr="00286216" w:rsidRDefault="004B55AD" w:rsidP="004B55AD">
            <w:pPr>
              <w:pStyle w:val="StyleZakonu"/>
              <w:rPr>
                <w:color w:val="000000" w:themeColor="text1"/>
              </w:rPr>
            </w:pPr>
            <w:r w:rsidRPr="00286216">
              <w:rPr>
                <w:color w:val="000000" w:themeColor="text1"/>
              </w:rPr>
              <w:t>3) віднесення до категорії неплатоспроможних банку, який є стороною правочину щодо цінних паперів щодо цінних паперів чи валютних цінностей, або сторони деривативного контракту;</w:t>
            </w:r>
          </w:p>
        </w:tc>
        <w:tc>
          <w:tcPr>
            <w:tcW w:w="3686" w:type="dxa"/>
          </w:tcPr>
          <w:p w14:paraId="24073AB6" w14:textId="77777777" w:rsidR="004B55AD" w:rsidRPr="00286216" w:rsidRDefault="004B55AD" w:rsidP="004B55AD">
            <w:pPr>
              <w:pStyle w:val="StyleAwt"/>
              <w:rPr>
                <w:color w:val="000000" w:themeColor="text1"/>
                <w:szCs w:val="18"/>
              </w:rPr>
            </w:pPr>
          </w:p>
        </w:tc>
        <w:tc>
          <w:tcPr>
            <w:tcW w:w="1987" w:type="dxa"/>
          </w:tcPr>
          <w:p w14:paraId="44642C43" w14:textId="77777777" w:rsidR="004B55AD" w:rsidRPr="00286216" w:rsidRDefault="004B55AD" w:rsidP="004B55AD">
            <w:pPr>
              <w:pStyle w:val="StyleWisnow"/>
              <w:rPr>
                <w:color w:val="000000" w:themeColor="text1"/>
              </w:rPr>
            </w:pPr>
          </w:p>
        </w:tc>
        <w:tc>
          <w:tcPr>
            <w:tcW w:w="4818" w:type="dxa"/>
          </w:tcPr>
          <w:p w14:paraId="5202DF81" w14:textId="7DD69671" w:rsidR="004B55AD" w:rsidRPr="00286216" w:rsidRDefault="004B55AD" w:rsidP="004B55AD">
            <w:pPr>
              <w:pStyle w:val="StyleZakonu"/>
              <w:rPr>
                <w:color w:val="000000" w:themeColor="text1"/>
              </w:rPr>
            </w:pPr>
          </w:p>
        </w:tc>
      </w:tr>
      <w:tr w:rsidR="00F77E8D" w:rsidRPr="00286216" w14:paraId="0401ACED" w14:textId="77777777" w:rsidTr="00091AA5">
        <w:tc>
          <w:tcPr>
            <w:tcW w:w="576" w:type="dxa"/>
          </w:tcPr>
          <w:p w14:paraId="2170CDFA" w14:textId="77777777" w:rsidR="004B55AD" w:rsidRPr="00286216" w:rsidRDefault="004B55AD" w:rsidP="004B55AD">
            <w:pPr>
              <w:pStyle w:val="StyleWisnow"/>
              <w:rPr>
                <w:color w:val="000000" w:themeColor="text1"/>
              </w:rPr>
            </w:pPr>
            <w:bookmarkStart w:id="308" w:name="n299" w:colFirst="0" w:colLast="0"/>
            <w:bookmarkEnd w:id="307"/>
            <w:r w:rsidRPr="00286216">
              <w:rPr>
                <w:color w:val="000000" w:themeColor="text1"/>
              </w:rPr>
              <w:t>299.</w:t>
            </w:r>
          </w:p>
        </w:tc>
        <w:tc>
          <w:tcPr>
            <w:tcW w:w="4818" w:type="dxa"/>
          </w:tcPr>
          <w:p w14:paraId="7F9ABAAC" w14:textId="77777777" w:rsidR="004B55AD" w:rsidRPr="00286216" w:rsidRDefault="004B55AD" w:rsidP="004B55AD">
            <w:pPr>
              <w:pStyle w:val="StyleZakonu"/>
              <w:rPr>
                <w:color w:val="000000" w:themeColor="text1"/>
              </w:rPr>
            </w:pPr>
            <w:r w:rsidRPr="00286216">
              <w:rPr>
                <w:color w:val="000000" w:themeColor="text1"/>
              </w:rPr>
              <w:t>4) відкликання (анулювання) ліцензії на провадження діяльності з надання фінансових послуг та/або ліквідацію сторони правочину щодо цінних паперів чи валютних цінностей, або сторони деривативного контракту чи товарної операції, за умови, що таке рішення передбачає обмеження або відтермінування можливості здійснення передачі активів або переказу коштів.</w:t>
            </w:r>
          </w:p>
        </w:tc>
        <w:tc>
          <w:tcPr>
            <w:tcW w:w="3686" w:type="dxa"/>
          </w:tcPr>
          <w:p w14:paraId="6DF843EE" w14:textId="737EFE50"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250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852ED95" w14:textId="77777777" w:rsidR="004B55AD" w:rsidRPr="00286216" w:rsidRDefault="004B55AD" w:rsidP="004B55AD">
            <w:pPr>
              <w:pStyle w:val="StyleProp"/>
              <w:rPr>
                <w:color w:val="000000" w:themeColor="text1"/>
                <w:spacing w:val="-4"/>
                <w:szCs w:val="18"/>
              </w:rPr>
            </w:pPr>
            <w:r w:rsidRPr="00286216">
              <w:rPr>
                <w:color w:val="000000" w:themeColor="text1"/>
                <w:spacing w:val="-3"/>
                <w:szCs w:val="18"/>
              </w:rPr>
              <w:t xml:space="preserve">У частині 1 статті 12 у пункті 4 слово </w:t>
            </w:r>
            <w:r w:rsidRPr="00286216">
              <w:rPr>
                <w:color w:val="000000" w:themeColor="text1"/>
                <w:spacing w:val="-4"/>
                <w:szCs w:val="18"/>
              </w:rPr>
              <w:t>"передбачає" замінити словами "має наслідком"</w:t>
            </w:r>
          </w:p>
          <w:p w14:paraId="50714B2A" w14:textId="18FD5002" w:rsidR="004B55AD" w:rsidRPr="00286216" w:rsidRDefault="004B55AD" w:rsidP="004B55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251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55D6286" w14:textId="77777777" w:rsidR="004B55AD" w:rsidRPr="00286216" w:rsidRDefault="004B55AD" w:rsidP="00B7270F">
            <w:pPr>
              <w:pStyle w:val="StyleProp"/>
              <w:spacing w:line="180" w:lineRule="exact"/>
              <w:rPr>
                <w:color w:val="000000" w:themeColor="text1"/>
                <w:spacing w:val="-2"/>
                <w:szCs w:val="18"/>
              </w:rPr>
            </w:pPr>
            <w:r w:rsidRPr="00286216">
              <w:rPr>
                <w:color w:val="000000" w:themeColor="text1"/>
                <w:spacing w:val="-2"/>
                <w:szCs w:val="18"/>
              </w:rPr>
              <w:t>У пункті 4 частини 1 статті 12 слова "за умови, що таке рішення передбачає" замінити словами "за умови, що будь-яке з рішень зазначених у цьому пункті має наслідком"</w:t>
            </w:r>
            <w:r w:rsidRPr="00286216">
              <w:rPr>
                <w:color w:val="000000" w:themeColor="text1"/>
                <w:spacing w:val="-2"/>
              </w:rPr>
              <w:t>.</w:t>
            </w:r>
          </w:p>
        </w:tc>
        <w:tc>
          <w:tcPr>
            <w:tcW w:w="1987" w:type="dxa"/>
          </w:tcPr>
          <w:p w14:paraId="0A998779" w14:textId="045BAD87" w:rsidR="004B55AD" w:rsidRPr="00286216" w:rsidRDefault="004B55AD" w:rsidP="004B55AD">
            <w:pPr>
              <w:pStyle w:val="StyleWisnow"/>
              <w:rPr>
                <w:color w:val="000000" w:themeColor="text1"/>
              </w:rPr>
            </w:pPr>
            <w:r w:rsidRPr="00286216">
              <w:rPr>
                <w:color w:val="000000" w:themeColor="text1"/>
              </w:rPr>
              <w:t>Враховано редакційно</w:t>
            </w:r>
          </w:p>
          <w:p w14:paraId="199C3E2A" w14:textId="4C9252D0" w:rsidR="004B55AD" w:rsidRPr="00286216" w:rsidRDefault="004B55AD" w:rsidP="004B55AD">
            <w:pPr>
              <w:pStyle w:val="StyleWisnow"/>
              <w:spacing w:line="180" w:lineRule="exact"/>
              <w:rPr>
                <w:color w:val="000000" w:themeColor="text1"/>
              </w:rPr>
            </w:pPr>
          </w:p>
          <w:p w14:paraId="3EEEE9CD" w14:textId="6D007D87" w:rsidR="004B55AD" w:rsidRPr="00286216" w:rsidRDefault="004B55AD" w:rsidP="004B55AD">
            <w:pPr>
              <w:pStyle w:val="StyleWisnow"/>
              <w:spacing w:line="180" w:lineRule="exact"/>
              <w:rPr>
                <w:color w:val="000000" w:themeColor="text1"/>
              </w:rPr>
            </w:pPr>
          </w:p>
          <w:p w14:paraId="7BEE7F43" w14:textId="554B248F" w:rsidR="004B55AD" w:rsidRPr="00286216" w:rsidRDefault="004B55AD" w:rsidP="004B55AD">
            <w:pPr>
              <w:pStyle w:val="StyleWisnow"/>
              <w:rPr>
                <w:color w:val="000000" w:themeColor="text1"/>
              </w:rPr>
            </w:pPr>
            <w:r w:rsidRPr="00286216">
              <w:rPr>
                <w:color w:val="000000" w:themeColor="text1"/>
              </w:rPr>
              <w:t>Враховано редакційно</w:t>
            </w:r>
          </w:p>
          <w:p w14:paraId="14EC568B" w14:textId="2074B1A3" w:rsidR="004B55AD" w:rsidRPr="00286216" w:rsidRDefault="004B55AD" w:rsidP="004B55AD">
            <w:pPr>
              <w:pStyle w:val="StyleWisnow"/>
              <w:rPr>
                <w:color w:val="000000" w:themeColor="text1"/>
              </w:rPr>
            </w:pPr>
          </w:p>
        </w:tc>
        <w:tc>
          <w:tcPr>
            <w:tcW w:w="4818" w:type="dxa"/>
          </w:tcPr>
          <w:p w14:paraId="49C0C991" w14:textId="53E3EFF1" w:rsidR="004B55AD" w:rsidRPr="00286216" w:rsidRDefault="004B55AD" w:rsidP="004B55AD">
            <w:pPr>
              <w:pStyle w:val="StyleZakonu"/>
              <w:rPr>
                <w:color w:val="000000" w:themeColor="text1"/>
              </w:rPr>
            </w:pPr>
          </w:p>
        </w:tc>
      </w:tr>
      <w:tr w:rsidR="00F77E8D" w:rsidRPr="00286216" w14:paraId="5448AE24" w14:textId="77777777" w:rsidTr="00091AA5">
        <w:tc>
          <w:tcPr>
            <w:tcW w:w="576" w:type="dxa"/>
          </w:tcPr>
          <w:p w14:paraId="4F53AD21" w14:textId="77777777" w:rsidR="004B55AD" w:rsidRPr="00286216" w:rsidRDefault="004B55AD" w:rsidP="004B55AD">
            <w:pPr>
              <w:pStyle w:val="StyleWisnow"/>
              <w:rPr>
                <w:color w:val="000000" w:themeColor="text1"/>
              </w:rPr>
            </w:pPr>
            <w:bookmarkStart w:id="309" w:name="n300" w:colFirst="0" w:colLast="0"/>
            <w:bookmarkEnd w:id="308"/>
            <w:r w:rsidRPr="00286216">
              <w:rPr>
                <w:color w:val="000000" w:themeColor="text1"/>
              </w:rPr>
              <w:t>300.</w:t>
            </w:r>
          </w:p>
        </w:tc>
        <w:tc>
          <w:tcPr>
            <w:tcW w:w="4818" w:type="dxa"/>
          </w:tcPr>
          <w:p w14:paraId="5825AB32" w14:textId="77777777" w:rsidR="004B55AD" w:rsidRPr="00286216" w:rsidRDefault="004B55AD" w:rsidP="004B55AD">
            <w:pPr>
              <w:pStyle w:val="StyleZakonu"/>
              <w:rPr>
                <w:color w:val="000000" w:themeColor="text1"/>
              </w:rPr>
            </w:pPr>
            <w:r w:rsidRPr="00286216">
              <w:rPr>
                <w:color w:val="000000" w:themeColor="text1"/>
              </w:rPr>
              <w:t>2. Національна комісія з цінних паперів та фондового ринку та Національний банк України зобов’язані в разі прийняття одного з рішень, вказаних в частині 1 цієї статті, зобов’язані оприлюднити таке рішення на власному веб-сайті у день прийняття такого рішення, а також повідомити особу, що провадить клірингову діяльність, про таке рішення не пізніше одного робочого дня з дня прийняття рішення передбаченого частиною 1 цієї статті.</w:t>
            </w:r>
          </w:p>
        </w:tc>
        <w:tc>
          <w:tcPr>
            <w:tcW w:w="3686" w:type="dxa"/>
          </w:tcPr>
          <w:p w14:paraId="38257FB2" w14:textId="77777777" w:rsidR="004B55AD" w:rsidRPr="00286216" w:rsidRDefault="004B55AD" w:rsidP="004B55AD">
            <w:pPr>
              <w:spacing w:line="200" w:lineRule="exact"/>
              <w:ind w:firstLine="227"/>
              <w:jc w:val="both"/>
              <w:rPr>
                <w:color w:val="000000" w:themeColor="text1"/>
                <w:sz w:val="18"/>
              </w:rPr>
            </w:pPr>
          </w:p>
        </w:tc>
        <w:tc>
          <w:tcPr>
            <w:tcW w:w="1987" w:type="dxa"/>
          </w:tcPr>
          <w:p w14:paraId="11A0A409" w14:textId="77777777" w:rsidR="004B55AD" w:rsidRPr="00286216" w:rsidRDefault="004B55AD" w:rsidP="004B55AD">
            <w:pPr>
              <w:pStyle w:val="StyleWisnow"/>
              <w:rPr>
                <w:color w:val="000000" w:themeColor="text1"/>
              </w:rPr>
            </w:pPr>
          </w:p>
        </w:tc>
        <w:tc>
          <w:tcPr>
            <w:tcW w:w="4818" w:type="dxa"/>
          </w:tcPr>
          <w:p w14:paraId="5AC1B4F9" w14:textId="0179DCCB" w:rsidR="004B55AD" w:rsidRPr="00286216" w:rsidRDefault="004B55AD" w:rsidP="00BB0957">
            <w:pPr>
              <w:pStyle w:val="StyleZakonu"/>
              <w:rPr>
                <w:color w:val="000000" w:themeColor="text1"/>
              </w:rPr>
            </w:pPr>
            <w:r w:rsidRPr="00286216">
              <w:rPr>
                <w:color w:val="000000" w:themeColor="text1"/>
              </w:rPr>
              <w:t xml:space="preserve">2. Для цілей цього Закону моментом </w:t>
            </w:r>
            <w:r w:rsidR="00F85F3C" w:rsidRPr="00286216">
              <w:rPr>
                <w:color w:val="000000" w:themeColor="text1"/>
              </w:rPr>
              <w:t xml:space="preserve">оприлюднення </w:t>
            </w:r>
            <w:r w:rsidRPr="00286216">
              <w:rPr>
                <w:color w:val="000000" w:themeColor="text1"/>
              </w:rPr>
              <w:t>передбачених частиною першою цієї статті рішень є:</w:t>
            </w:r>
          </w:p>
        </w:tc>
      </w:tr>
      <w:tr w:rsidR="00F77E8D" w:rsidRPr="00286216" w14:paraId="6BE98B9D" w14:textId="77777777" w:rsidTr="00091AA5">
        <w:tc>
          <w:tcPr>
            <w:tcW w:w="576" w:type="dxa"/>
          </w:tcPr>
          <w:p w14:paraId="034D7452" w14:textId="77777777" w:rsidR="004B55AD" w:rsidRPr="00286216" w:rsidRDefault="004B55AD" w:rsidP="004B55AD">
            <w:pPr>
              <w:pStyle w:val="StyleWisnow"/>
              <w:rPr>
                <w:color w:val="000000" w:themeColor="text1"/>
              </w:rPr>
            </w:pPr>
            <w:bookmarkStart w:id="310" w:name="n301" w:colFirst="0" w:colLast="0"/>
            <w:bookmarkEnd w:id="309"/>
            <w:r w:rsidRPr="00286216">
              <w:rPr>
                <w:color w:val="000000" w:themeColor="text1"/>
              </w:rPr>
              <w:t>301.</w:t>
            </w:r>
          </w:p>
        </w:tc>
        <w:tc>
          <w:tcPr>
            <w:tcW w:w="4818" w:type="dxa"/>
          </w:tcPr>
          <w:p w14:paraId="4D742E14" w14:textId="77777777" w:rsidR="004B55AD" w:rsidRPr="00286216" w:rsidRDefault="004B55AD" w:rsidP="004B55AD">
            <w:pPr>
              <w:pStyle w:val="StyleZakonu"/>
              <w:rPr>
                <w:color w:val="000000" w:themeColor="text1"/>
              </w:rPr>
            </w:pPr>
            <w:r w:rsidRPr="00286216">
              <w:rPr>
                <w:color w:val="000000" w:themeColor="text1"/>
              </w:rPr>
              <w:t>Рішення господарського суду, вказані в частині 1 цієї статті оприлюднюється в порядку, встановленому Господарським процесуальним кодексом України.</w:t>
            </w:r>
          </w:p>
        </w:tc>
        <w:tc>
          <w:tcPr>
            <w:tcW w:w="3686" w:type="dxa"/>
          </w:tcPr>
          <w:p w14:paraId="7D188942" w14:textId="77777777" w:rsidR="004B55AD" w:rsidRPr="00286216" w:rsidRDefault="004B55AD" w:rsidP="004B55AD">
            <w:pPr>
              <w:pStyle w:val="StyleProp"/>
              <w:rPr>
                <w:color w:val="000000" w:themeColor="text1"/>
                <w:szCs w:val="18"/>
              </w:rPr>
            </w:pPr>
          </w:p>
        </w:tc>
        <w:tc>
          <w:tcPr>
            <w:tcW w:w="1987" w:type="dxa"/>
          </w:tcPr>
          <w:p w14:paraId="3156B192" w14:textId="77777777" w:rsidR="004B55AD" w:rsidRPr="00286216" w:rsidRDefault="004B55AD" w:rsidP="004B55AD">
            <w:pPr>
              <w:pStyle w:val="StyleWisnow"/>
              <w:rPr>
                <w:color w:val="000000" w:themeColor="text1"/>
              </w:rPr>
            </w:pPr>
          </w:p>
        </w:tc>
        <w:tc>
          <w:tcPr>
            <w:tcW w:w="4818" w:type="dxa"/>
          </w:tcPr>
          <w:p w14:paraId="65E70CF9" w14:textId="66CEBC7C" w:rsidR="004B55AD" w:rsidRPr="00286216" w:rsidRDefault="004B55AD" w:rsidP="004B55AD">
            <w:pPr>
              <w:pStyle w:val="StyleZakonu"/>
              <w:rPr>
                <w:color w:val="000000" w:themeColor="text1"/>
              </w:rPr>
            </w:pPr>
            <w:r w:rsidRPr="00286216">
              <w:rPr>
                <w:color w:val="000000" w:themeColor="text1"/>
              </w:rPr>
              <w:t>1) щодо рішення, передбаченого пунктом 1 частини першої цієї статті, – момент надсилання судового рішення особі, яка провадить клірингову діяльність, на її на офіційну електронну адресу, зареєстровану в Єдиній судовій інформаційно-телекомунікаційній системі;</w:t>
            </w:r>
          </w:p>
        </w:tc>
      </w:tr>
      <w:tr w:rsidR="00F77E8D" w:rsidRPr="00286216" w14:paraId="74E95834" w14:textId="77777777" w:rsidTr="00091AA5">
        <w:tc>
          <w:tcPr>
            <w:tcW w:w="576" w:type="dxa"/>
          </w:tcPr>
          <w:p w14:paraId="799DFA19" w14:textId="77777777" w:rsidR="004B55AD" w:rsidRPr="00286216" w:rsidRDefault="004B55AD" w:rsidP="004B55AD">
            <w:pPr>
              <w:pStyle w:val="StyleWisnow"/>
              <w:rPr>
                <w:color w:val="000000" w:themeColor="text1"/>
              </w:rPr>
            </w:pPr>
            <w:bookmarkStart w:id="311" w:name="n302" w:colFirst="0" w:colLast="0"/>
            <w:bookmarkEnd w:id="310"/>
            <w:r w:rsidRPr="00286216">
              <w:rPr>
                <w:color w:val="000000" w:themeColor="text1"/>
              </w:rPr>
              <w:t>302.</w:t>
            </w:r>
          </w:p>
        </w:tc>
        <w:tc>
          <w:tcPr>
            <w:tcW w:w="4818" w:type="dxa"/>
          </w:tcPr>
          <w:p w14:paraId="3C9078DC" w14:textId="77777777" w:rsidR="004B55AD" w:rsidRPr="00286216" w:rsidRDefault="004B55AD" w:rsidP="004B55AD">
            <w:pPr>
              <w:pStyle w:val="StyleZakonu"/>
              <w:rPr>
                <w:color w:val="000000" w:themeColor="text1"/>
              </w:rPr>
            </w:pPr>
            <w:r w:rsidRPr="00286216">
              <w:rPr>
                <w:color w:val="000000" w:themeColor="text1"/>
              </w:rPr>
              <w:t xml:space="preserve">3. День настання неплатоспроможності сторони правочину щодо цінних паперів чи валютних цінностей, або сторони деривативного контракту чи товарної операції не може бути раніше, ніж день оприлюднення відповідного рішення відповідно до </w:t>
            </w:r>
            <w:r w:rsidRPr="00286216">
              <w:rPr>
                <w:color w:val="000000" w:themeColor="text1"/>
              </w:rPr>
              <w:lastRenderedPageBreak/>
              <w:t>частини 2 цієї статті або день отримання відповідного рішення особою, що провадить клірингову діяльність.</w:t>
            </w:r>
          </w:p>
        </w:tc>
        <w:tc>
          <w:tcPr>
            <w:tcW w:w="3686" w:type="dxa"/>
          </w:tcPr>
          <w:p w14:paraId="0D79596E" w14:textId="77777777" w:rsidR="004B55AD" w:rsidRPr="00286216" w:rsidRDefault="004B55AD" w:rsidP="004B55AD">
            <w:pPr>
              <w:spacing w:line="190" w:lineRule="exact"/>
              <w:ind w:firstLine="227"/>
              <w:jc w:val="both"/>
              <w:rPr>
                <w:color w:val="000000" w:themeColor="text1"/>
                <w:sz w:val="18"/>
              </w:rPr>
            </w:pPr>
          </w:p>
        </w:tc>
        <w:tc>
          <w:tcPr>
            <w:tcW w:w="1987" w:type="dxa"/>
          </w:tcPr>
          <w:p w14:paraId="03688BB5" w14:textId="77777777" w:rsidR="004B55AD" w:rsidRPr="00286216" w:rsidRDefault="004B55AD" w:rsidP="004B55AD">
            <w:pPr>
              <w:pStyle w:val="StyleWisnow"/>
              <w:rPr>
                <w:color w:val="000000" w:themeColor="text1"/>
              </w:rPr>
            </w:pPr>
          </w:p>
        </w:tc>
        <w:tc>
          <w:tcPr>
            <w:tcW w:w="4818" w:type="dxa"/>
          </w:tcPr>
          <w:p w14:paraId="5CC461D0" w14:textId="1B0BD18E" w:rsidR="004B55AD" w:rsidRPr="00286216" w:rsidRDefault="004B55AD" w:rsidP="004B55AD">
            <w:pPr>
              <w:pStyle w:val="StyleZakonu"/>
              <w:rPr>
                <w:color w:val="000000" w:themeColor="text1"/>
              </w:rPr>
            </w:pPr>
            <w:r w:rsidRPr="00286216">
              <w:rPr>
                <w:color w:val="000000" w:themeColor="text1"/>
              </w:rPr>
              <w:t>2) щодо рішень, передбачених пунктом 2 частини першої цієї статті, – момент опублікування тексту відповідного рішення на офіційному веб-сайті Національної комісії з цінних паперів та фондового ринку або Національного банку України.</w:t>
            </w:r>
          </w:p>
        </w:tc>
      </w:tr>
      <w:bookmarkEnd w:id="311"/>
      <w:tr w:rsidR="00F77E8D" w:rsidRPr="00286216" w14:paraId="564D6E20" w14:textId="77777777" w:rsidTr="00091AA5">
        <w:tc>
          <w:tcPr>
            <w:tcW w:w="576" w:type="dxa"/>
          </w:tcPr>
          <w:p w14:paraId="36E9B575" w14:textId="77777777" w:rsidR="004B55AD" w:rsidRPr="00286216" w:rsidRDefault="004B55AD" w:rsidP="004B55AD">
            <w:pPr>
              <w:pStyle w:val="StyleWisnow"/>
              <w:rPr>
                <w:color w:val="000000" w:themeColor="text1"/>
              </w:rPr>
            </w:pPr>
          </w:p>
        </w:tc>
        <w:tc>
          <w:tcPr>
            <w:tcW w:w="4818" w:type="dxa"/>
          </w:tcPr>
          <w:p w14:paraId="3EE31901" w14:textId="77777777" w:rsidR="004B55AD" w:rsidRPr="00286216" w:rsidRDefault="004B55AD" w:rsidP="004B55AD">
            <w:pPr>
              <w:pStyle w:val="StyleZakonu"/>
              <w:rPr>
                <w:color w:val="000000" w:themeColor="text1"/>
              </w:rPr>
            </w:pPr>
          </w:p>
        </w:tc>
        <w:tc>
          <w:tcPr>
            <w:tcW w:w="3686" w:type="dxa"/>
          </w:tcPr>
          <w:p w14:paraId="29430A7D" w14:textId="69FC7EDB" w:rsidR="004B55AD" w:rsidRPr="00286216" w:rsidRDefault="004B55AD" w:rsidP="004B55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252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BF6300F" w14:textId="77777777" w:rsidR="004B55AD" w:rsidRPr="00286216" w:rsidRDefault="004B55AD" w:rsidP="004B55AD">
            <w:pPr>
              <w:pStyle w:val="StyleProp"/>
              <w:spacing w:line="190" w:lineRule="exact"/>
              <w:rPr>
                <w:color w:val="000000" w:themeColor="text1"/>
              </w:rPr>
            </w:pPr>
            <w:r w:rsidRPr="00286216">
              <w:rPr>
                <w:color w:val="000000" w:themeColor="text1"/>
              </w:rPr>
              <w:t xml:space="preserve">Доповнити абзац перший частини другої статті 12 новим реченням такого змісту: </w:t>
            </w:r>
          </w:p>
          <w:p w14:paraId="7E9E7055" w14:textId="77777777" w:rsidR="004B55AD" w:rsidRPr="00286216" w:rsidRDefault="004B55AD" w:rsidP="004B55AD">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надсилає таке повідомлення офіційним каналом зв’язку».</w:t>
            </w:r>
          </w:p>
        </w:tc>
        <w:tc>
          <w:tcPr>
            <w:tcW w:w="1987" w:type="dxa"/>
          </w:tcPr>
          <w:p w14:paraId="1F48789F" w14:textId="77777777" w:rsidR="004B55AD" w:rsidRPr="00286216" w:rsidRDefault="004B55AD" w:rsidP="004B55AD">
            <w:pPr>
              <w:pStyle w:val="StyleWisnow"/>
              <w:rPr>
                <w:color w:val="000000" w:themeColor="text1"/>
              </w:rPr>
            </w:pPr>
            <w:r w:rsidRPr="00286216">
              <w:rPr>
                <w:color w:val="000000" w:themeColor="text1"/>
              </w:rPr>
              <w:t>Відхилено</w:t>
            </w:r>
          </w:p>
          <w:p w14:paraId="3A483C76" w14:textId="77777777" w:rsidR="004B55AD" w:rsidRPr="00286216" w:rsidRDefault="004B55AD" w:rsidP="004B55AD">
            <w:pPr>
              <w:pStyle w:val="StyleWisnow"/>
              <w:rPr>
                <w:color w:val="000000" w:themeColor="text1"/>
              </w:rPr>
            </w:pPr>
            <w:r w:rsidRPr="00286216">
              <w:rPr>
                <w:color w:val="000000" w:themeColor="text1"/>
              </w:rPr>
              <w:t>у звʼязку із зміною редакції</w:t>
            </w:r>
          </w:p>
        </w:tc>
        <w:tc>
          <w:tcPr>
            <w:tcW w:w="4818" w:type="dxa"/>
          </w:tcPr>
          <w:p w14:paraId="00444666" w14:textId="206D7540" w:rsidR="004B55AD" w:rsidRPr="00286216" w:rsidRDefault="004B55AD" w:rsidP="002016A3">
            <w:pPr>
              <w:pStyle w:val="StyleZakonu"/>
              <w:rPr>
                <w:color w:val="000000" w:themeColor="text1"/>
              </w:rPr>
            </w:pPr>
            <w:r w:rsidRPr="00286216">
              <w:rPr>
                <w:color w:val="000000" w:themeColor="text1"/>
              </w:rPr>
              <w:t>3. Національна комісія з цінних паперів та фондового ринку та Національний банк України у порядку, встановленому відповідно до статті 14</w:t>
            </w:r>
            <w:r w:rsidR="002016A3" w:rsidRPr="00286216">
              <w:rPr>
                <w:color w:val="000000" w:themeColor="text1"/>
              </w:rPr>
              <w:t>1</w:t>
            </w:r>
            <w:r w:rsidRPr="00286216">
              <w:rPr>
                <w:color w:val="000000" w:themeColor="text1"/>
              </w:rPr>
              <w:t xml:space="preserve"> цього Закону, здійснюють обмін інформацією про прийняті ними рішення, передбачені частиною першою цієї статті.</w:t>
            </w:r>
          </w:p>
        </w:tc>
      </w:tr>
      <w:tr w:rsidR="00F77E8D" w:rsidRPr="00286216" w14:paraId="625BB712" w14:textId="77777777" w:rsidTr="00091AA5">
        <w:tc>
          <w:tcPr>
            <w:tcW w:w="576" w:type="dxa"/>
          </w:tcPr>
          <w:p w14:paraId="7386AEDE" w14:textId="77777777" w:rsidR="00470D3F" w:rsidRPr="00286216" w:rsidRDefault="00470D3F" w:rsidP="00470D3F">
            <w:pPr>
              <w:pStyle w:val="StyleWisnow"/>
              <w:rPr>
                <w:color w:val="000000" w:themeColor="text1"/>
              </w:rPr>
            </w:pPr>
            <w:bookmarkStart w:id="312" w:name="n303" w:colFirst="0" w:colLast="0"/>
            <w:r w:rsidRPr="00286216">
              <w:rPr>
                <w:color w:val="000000" w:themeColor="text1"/>
              </w:rPr>
              <w:t>303.</w:t>
            </w:r>
          </w:p>
        </w:tc>
        <w:tc>
          <w:tcPr>
            <w:tcW w:w="4818" w:type="dxa"/>
          </w:tcPr>
          <w:p w14:paraId="10EF82CC" w14:textId="77777777" w:rsidR="00470D3F" w:rsidRPr="00286216" w:rsidRDefault="00470D3F" w:rsidP="00470D3F">
            <w:pPr>
              <w:pStyle w:val="StyleZakonu"/>
              <w:rPr>
                <w:color w:val="000000" w:themeColor="text1"/>
              </w:rPr>
            </w:pPr>
            <w:r w:rsidRPr="00286216">
              <w:rPr>
                <w:color w:val="000000" w:themeColor="text1"/>
              </w:rPr>
              <w:t>Стаття 13. Ліквідаційний неттінг</w:t>
            </w:r>
          </w:p>
        </w:tc>
        <w:tc>
          <w:tcPr>
            <w:tcW w:w="3686" w:type="dxa"/>
          </w:tcPr>
          <w:p w14:paraId="5EEE4929" w14:textId="65685B91" w:rsidR="00470D3F" w:rsidRPr="00286216" w:rsidRDefault="00470D3F" w:rsidP="00970EE9">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253</w:t>
            </w:r>
            <w:r w:rsidRPr="00286216">
              <w:rPr>
                <w:color w:val="000000" w:themeColor="text1"/>
                <w:spacing w:val="-3"/>
              </w:rPr>
              <w:fldChar w:fldCharType="end"/>
            </w:r>
            <w:r w:rsidRPr="00286216">
              <w:rPr>
                <w:color w:val="000000" w:themeColor="text1"/>
                <w:spacing w:val="-3"/>
              </w:rPr>
              <w:t>-Народні депутати України– члени Комітету з питань фінансів, податкової та митної політики Гетманцев Д.О. та інші</w:t>
            </w:r>
          </w:p>
          <w:p w14:paraId="57F60712" w14:textId="605A4393" w:rsidR="00470D3F" w:rsidRPr="00286216" w:rsidRDefault="00470D3F" w:rsidP="00470D3F">
            <w:pPr>
              <w:pStyle w:val="StyleProp"/>
              <w:rPr>
                <w:color w:val="000000" w:themeColor="text1"/>
                <w:szCs w:val="18"/>
              </w:rPr>
            </w:pPr>
            <w:r w:rsidRPr="00286216">
              <w:rPr>
                <w:color w:val="000000" w:themeColor="text1"/>
                <w:szCs w:val="18"/>
              </w:rPr>
              <w:t xml:space="preserve">Статтю 13 викласти в такій редакції: </w:t>
            </w:r>
          </w:p>
          <w:p w14:paraId="147A12CF" w14:textId="5673F363" w:rsidR="00470D3F" w:rsidRPr="00286216" w:rsidRDefault="00470D3F" w:rsidP="00470D3F">
            <w:pPr>
              <w:pStyle w:val="StyleProp"/>
              <w:spacing w:line="180" w:lineRule="exact"/>
              <w:rPr>
                <w:color w:val="000000" w:themeColor="text1"/>
              </w:rPr>
            </w:pPr>
            <w:r w:rsidRPr="00286216">
              <w:rPr>
                <w:color w:val="000000" w:themeColor="text1"/>
              </w:rPr>
              <w:t>"Стаття 40. Ліквідаційний неттінг</w:t>
            </w:r>
          </w:p>
          <w:p w14:paraId="007617B8" w14:textId="77777777" w:rsidR="00470D3F" w:rsidRPr="00286216" w:rsidRDefault="00470D3F" w:rsidP="00470D3F">
            <w:pPr>
              <w:pStyle w:val="StyleProp"/>
              <w:spacing w:line="180" w:lineRule="exact"/>
              <w:rPr>
                <w:color w:val="000000" w:themeColor="text1"/>
              </w:rPr>
            </w:pPr>
            <w:r w:rsidRPr="00286216">
              <w:rPr>
                <w:color w:val="000000" w:themeColor="text1"/>
              </w:rPr>
              <w:t>1. Для цілей цієї статті розуміється:</w:t>
            </w:r>
          </w:p>
          <w:p w14:paraId="4D78A8D0" w14:textId="77777777" w:rsidR="00470D3F" w:rsidRPr="00286216" w:rsidRDefault="00470D3F" w:rsidP="00470D3F">
            <w:pPr>
              <w:pStyle w:val="StyleProp"/>
              <w:spacing w:line="180" w:lineRule="exact"/>
              <w:rPr>
                <w:color w:val="000000" w:themeColor="text1"/>
              </w:rPr>
            </w:pPr>
            <w:r w:rsidRPr="00286216">
              <w:rPr>
                <w:color w:val="000000" w:themeColor="text1"/>
              </w:rPr>
              <w:t>1) 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деривативного контракту надали при укладенні договору про клірингове обслуговування з особою, яка провадить клірингову діяльність;</w:t>
            </w:r>
          </w:p>
          <w:p w14:paraId="28F10B88" w14:textId="77777777" w:rsidR="00470D3F" w:rsidRPr="00286216" w:rsidRDefault="00470D3F" w:rsidP="00470D3F">
            <w:pPr>
              <w:pStyle w:val="StyleProp"/>
              <w:spacing w:line="180" w:lineRule="exact"/>
              <w:rPr>
                <w:color w:val="000000" w:themeColor="text1"/>
              </w:rPr>
            </w:pPr>
            <w:r w:rsidRPr="00286216">
              <w:rPr>
                <w:color w:val="000000" w:themeColor="text1"/>
              </w:rPr>
              <w:t>2) під сторонами угоди щодо ліквідаційного неттінгу – сторони генеральної угоди, сторони іншого документа (договору), що містить умови та порядок проведення ліквідаційного неттінгу, сторони деривативного контракту, укладеного з посиланням на обов’язковість угоди щодо ліквідаційного неттінгу, які уклали договір про клірингове обслуговування з особою, якій сторони деривативного контракту направили розпорядження на проведення клірингу;</w:t>
            </w:r>
          </w:p>
          <w:p w14:paraId="425428CA" w14:textId="77777777" w:rsidR="00470D3F" w:rsidRPr="00286216" w:rsidRDefault="00470D3F" w:rsidP="00470D3F">
            <w:pPr>
              <w:pStyle w:val="StyleProp"/>
              <w:spacing w:line="180" w:lineRule="exact"/>
              <w:rPr>
                <w:color w:val="000000" w:themeColor="text1"/>
              </w:rPr>
            </w:pPr>
            <w:r w:rsidRPr="00286216">
              <w:rPr>
                <w:color w:val="000000" w:themeColor="text1"/>
              </w:rPr>
              <w:t>3) під датою ліквідаційного неттінгу – дата, зазначена в угоді щодо ліквідаційного неттінгу, або дата рішення, передбаченого частиною першою статті 39 цього Закону, залежно від того, яка з них настає раніше;</w:t>
            </w:r>
          </w:p>
          <w:p w14:paraId="31AD92B1" w14:textId="77777777" w:rsidR="00470D3F" w:rsidRPr="00286216" w:rsidRDefault="00470D3F" w:rsidP="00470D3F">
            <w:pPr>
              <w:pStyle w:val="StyleProp"/>
              <w:spacing w:line="180" w:lineRule="exact"/>
              <w:rPr>
                <w:color w:val="000000" w:themeColor="text1"/>
              </w:rPr>
            </w:pPr>
            <w:r w:rsidRPr="00286216">
              <w:rPr>
                <w:color w:val="000000" w:themeColor="text1"/>
              </w:rPr>
              <w:t>4) під розрахунком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деривативними контрактами, укладеними з посиланням на обов’язковість угоди щодо ліквідаційного неттінгу;</w:t>
            </w:r>
          </w:p>
          <w:p w14:paraId="6AE16AD0" w14:textId="77777777" w:rsidR="00470D3F" w:rsidRPr="00286216" w:rsidRDefault="00470D3F" w:rsidP="00470D3F">
            <w:pPr>
              <w:pStyle w:val="StyleProp"/>
              <w:spacing w:line="180" w:lineRule="exact"/>
              <w:rPr>
                <w:color w:val="000000" w:themeColor="text1"/>
              </w:rPr>
            </w:pPr>
            <w:r w:rsidRPr="00286216">
              <w:rPr>
                <w:color w:val="000000" w:themeColor="text1"/>
              </w:rPr>
              <w:t xml:space="preserve">5) під нетто-зобов’язанням – сума грошового зобов’язання, що підлягає сплаті </w:t>
            </w:r>
            <w:r w:rsidRPr="00286216">
              <w:rPr>
                <w:color w:val="000000" w:themeColor="text1"/>
              </w:rPr>
              <w:lastRenderedPageBreak/>
              <w:t>однією із сторін угоди щодо ліквідаційного неттінгу (розмір суми зобов’язань якої є більшою) іншій стороні такої угоди (розмір суми зобов’язань якої є меншою) та визначається як різниця між сумами зобов’язань таких сторін.</w:t>
            </w:r>
          </w:p>
          <w:p w14:paraId="64CB9796" w14:textId="77777777" w:rsidR="00470D3F" w:rsidRPr="00286216" w:rsidRDefault="00470D3F" w:rsidP="00470D3F">
            <w:pPr>
              <w:pStyle w:val="StyleProp"/>
              <w:spacing w:line="180" w:lineRule="exact"/>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7183303A" w14:textId="77777777" w:rsidR="00470D3F" w:rsidRPr="00286216" w:rsidRDefault="00470D3F" w:rsidP="00470D3F">
            <w:pPr>
              <w:pStyle w:val="StyleProp"/>
              <w:spacing w:line="180" w:lineRule="exact"/>
              <w:rPr>
                <w:color w:val="000000" w:themeColor="text1"/>
              </w:rPr>
            </w:pPr>
            <w:r w:rsidRPr="00286216">
              <w:rPr>
                <w:color w:val="000000" w:themeColor="text1"/>
              </w:rPr>
              <w:t>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сторін такої угоди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w:t>
            </w:r>
          </w:p>
          <w:p w14:paraId="50DE2000" w14:textId="77777777" w:rsidR="00470D3F" w:rsidRPr="00286216" w:rsidRDefault="00470D3F" w:rsidP="00470D3F">
            <w:pPr>
              <w:pStyle w:val="StyleProp"/>
              <w:spacing w:line="18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747E6E72" w14:textId="77777777" w:rsidR="00470D3F" w:rsidRPr="00286216" w:rsidRDefault="00470D3F" w:rsidP="00470D3F">
            <w:pPr>
              <w:pStyle w:val="StyleProp"/>
              <w:spacing w:line="18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31601270" w14:textId="77777777" w:rsidR="00470D3F" w:rsidRPr="00286216" w:rsidRDefault="00470D3F" w:rsidP="00470D3F">
            <w:pPr>
              <w:pStyle w:val="StyleProp"/>
              <w:spacing w:line="18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4DB01273" w14:textId="77777777" w:rsidR="00470D3F" w:rsidRPr="00286216" w:rsidRDefault="00470D3F" w:rsidP="00470D3F">
            <w:pPr>
              <w:pStyle w:val="StyleProp"/>
              <w:spacing w:line="180" w:lineRule="exact"/>
              <w:rPr>
                <w:color w:val="000000" w:themeColor="text1"/>
              </w:rPr>
            </w:pPr>
            <w:r w:rsidRPr="00286216">
              <w:rPr>
                <w:color w:val="000000" w:themeColor="text1"/>
              </w:rPr>
              <w:t xml:space="preserve">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w:t>
            </w:r>
            <w:r w:rsidRPr="00286216">
              <w:rPr>
                <w:color w:val="000000" w:themeColor="text1"/>
              </w:rPr>
              <w:lastRenderedPageBreak/>
              <w:t>ліквідаційного неттінгу. Угода щодо ліквідаційного неттінгу може передбачати, що ліквідаційний неттінг здійснюється лише за заявою або повідомленням сторони угоди щодо ліквідаційного неттінгу, крім випадку проведення ліквідаційного неттінгу у випадку прийняття рішення, передбаченого частиною першою статті 39 цього Закону .</w:t>
            </w:r>
          </w:p>
          <w:p w14:paraId="76C0B5B8" w14:textId="77777777" w:rsidR="00470D3F" w:rsidRPr="00286216" w:rsidRDefault="00470D3F" w:rsidP="00470D3F">
            <w:pPr>
              <w:pStyle w:val="StyleProp"/>
              <w:spacing w:line="180" w:lineRule="exact"/>
              <w:rPr>
                <w:color w:val="000000" w:themeColor="text1"/>
              </w:rPr>
            </w:pPr>
            <w:r w:rsidRPr="00286216">
              <w:rPr>
                <w:color w:val="000000" w:themeColor="text1"/>
              </w:rPr>
              <w:t>4. Ліквідаційний неттінг не здійснюється у таких випадках:</w:t>
            </w:r>
          </w:p>
          <w:p w14:paraId="5A083BEB" w14:textId="77777777" w:rsidR="00470D3F" w:rsidRPr="00286216" w:rsidRDefault="00470D3F" w:rsidP="00470D3F">
            <w:pPr>
              <w:pStyle w:val="StyleProp"/>
              <w:spacing w:line="180" w:lineRule="exact"/>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08EF8BC1" w14:textId="77777777" w:rsidR="00470D3F" w:rsidRPr="00286216" w:rsidRDefault="00470D3F" w:rsidP="00470D3F">
            <w:pPr>
              <w:pStyle w:val="StyleProp"/>
              <w:spacing w:line="180" w:lineRule="exact"/>
              <w:rPr>
                <w:color w:val="000000" w:themeColor="text1"/>
              </w:rPr>
            </w:pPr>
            <w:r w:rsidRPr="00286216">
              <w:rPr>
                <w:color w:val="000000" w:themeColor="text1"/>
              </w:rPr>
              <w:t>2) відповідна угода щодо ліквідаційного неттінгу укладена після дати прийняття рішення, передбаченого частиною першою статті 39 цього Закону;</w:t>
            </w:r>
          </w:p>
          <w:p w14:paraId="68D1155F" w14:textId="77777777" w:rsidR="00470D3F" w:rsidRPr="00286216" w:rsidRDefault="00470D3F" w:rsidP="00470D3F">
            <w:pPr>
              <w:pStyle w:val="StyleProp"/>
              <w:spacing w:line="180" w:lineRule="exact"/>
              <w:rPr>
                <w:color w:val="000000" w:themeColor="text1"/>
              </w:rPr>
            </w:pPr>
            <w:r w:rsidRPr="00286216">
              <w:rPr>
                <w:color w:val="000000" w:themeColor="text1"/>
              </w:rPr>
              <w:t>3)  деривативний контракт, що містить посилання на обов’язковість відповідної угоди щодо ліквідаційного неттінгу, був укладений після прийняття рішення, передбаченого частиною першою статті 39 цього Закону.</w:t>
            </w:r>
          </w:p>
          <w:p w14:paraId="382DC86F" w14:textId="77777777" w:rsidR="00470D3F" w:rsidRPr="00286216" w:rsidRDefault="00470D3F" w:rsidP="00470D3F">
            <w:pPr>
              <w:pStyle w:val="StyleProp"/>
              <w:spacing w:line="180" w:lineRule="exact"/>
              <w:rPr>
                <w:color w:val="000000" w:themeColor="text1"/>
              </w:rPr>
            </w:pPr>
            <w:r w:rsidRPr="00286216">
              <w:rPr>
                <w:color w:val="000000" w:themeColor="text1"/>
              </w:rPr>
              <w:t>5.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деривативними контрактами, укладеними такою стороною з посиланням на обов’язковість угоди щодо ліквідаційного неттінгу, зазначеними у пункті 1 частини другої цієї статті, здійснюються в позасудовому порядку та не потребують будь-якої згоди та/або затвердження такої сторони чи будь-якої іншої особи.</w:t>
            </w:r>
          </w:p>
          <w:p w14:paraId="4F6F2BE1" w14:textId="77777777" w:rsidR="00470D3F" w:rsidRPr="00286216" w:rsidRDefault="00470D3F" w:rsidP="00470D3F">
            <w:pPr>
              <w:pStyle w:val="StyleProp"/>
              <w:spacing w:line="180" w:lineRule="exact"/>
              <w:rPr>
                <w:color w:val="000000" w:themeColor="text1"/>
              </w:rPr>
            </w:pPr>
            <w:r w:rsidRPr="00286216">
              <w:rPr>
                <w:color w:val="000000" w:themeColor="text1"/>
              </w:rPr>
              <w:t>6.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76F3439B" w14:textId="77777777" w:rsidR="00470D3F" w:rsidRPr="00286216" w:rsidRDefault="00470D3F" w:rsidP="00470D3F">
            <w:pPr>
              <w:pStyle w:val="StyleProp"/>
              <w:spacing w:line="180" w:lineRule="exact"/>
              <w:rPr>
                <w:color w:val="000000" w:themeColor="text1"/>
              </w:rPr>
            </w:pPr>
            <w:r w:rsidRPr="00286216">
              <w:rPr>
                <w:color w:val="000000" w:themeColor="text1"/>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6D758E96" w14:textId="77777777" w:rsidR="00470D3F" w:rsidRPr="00286216" w:rsidRDefault="00470D3F" w:rsidP="00470D3F">
            <w:pPr>
              <w:pStyle w:val="StyleProp"/>
              <w:spacing w:line="180" w:lineRule="exact"/>
              <w:rPr>
                <w:color w:val="000000" w:themeColor="text1"/>
              </w:rPr>
            </w:pPr>
            <w:r w:rsidRPr="00286216">
              <w:rPr>
                <w:color w:val="000000" w:themeColor="text1"/>
              </w:rPr>
              <w:t>7. Положення цієї статті застосовуються також до:</w:t>
            </w:r>
          </w:p>
          <w:p w14:paraId="51EC054E" w14:textId="6AB3B24F" w:rsidR="00470D3F" w:rsidRPr="00286216" w:rsidRDefault="00470D3F" w:rsidP="00470D3F">
            <w:pPr>
              <w:pStyle w:val="StyleProp"/>
              <w:spacing w:line="180" w:lineRule="exact"/>
              <w:rPr>
                <w:color w:val="000000" w:themeColor="text1"/>
              </w:rPr>
            </w:pPr>
            <w:r w:rsidRPr="00286216">
              <w:rPr>
                <w:color w:val="000000" w:themeColor="text1"/>
              </w:rPr>
              <w:t xml:space="preserve">1) товарних операцій, правочинів щодо фінансових інструментів, щодо валютних цінностей, за умови вчинення таких операцій (правочинів) з посиланням на обов’язковість </w:t>
            </w:r>
            <w:r w:rsidR="00B60912" w:rsidRPr="00286216">
              <w:rPr>
                <w:color w:val="000000" w:themeColor="text1"/>
              </w:rPr>
              <w:lastRenderedPageBreak/>
              <w:t xml:space="preserve">для них </w:t>
            </w:r>
            <w:r w:rsidRPr="00286216">
              <w:rPr>
                <w:color w:val="000000" w:themeColor="text1"/>
              </w:rPr>
              <w:t>відповідної угоди щодо ліквідаційного неттінгу;</w:t>
            </w:r>
          </w:p>
          <w:p w14:paraId="42878BD6" w14:textId="6583131F" w:rsidR="00470D3F" w:rsidRPr="00286216" w:rsidRDefault="00470D3F" w:rsidP="00470D3F">
            <w:pPr>
              <w:pStyle w:val="StyleProp"/>
              <w:spacing w:line="180" w:lineRule="exact"/>
              <w:rPr>
                <w:color w:val="000000" w:themeColor="text1"/>
              </w:rPr>
            </w:pPr>
            <w:r w:rsidRPr="00286216">
              <w:rPr>
                <w:color w:val="000000" w:themeColor="text1"/>
              </w:rPr>
              <w:t>2) правочинів, вчинених з метою забезпечення виконання зобов’язань за деривативними контрактами та іншими правочинами, зазначеними у цій частині ".</w:t>
            </w:r>
          </w:p>
        </w:tc>
        <w:tc>
          <w:tcPr>
            <w:tcW w:w="1987" w:type="dxa"/>
          </w:tcPr>
          <w:p w14:paraId="581A18E1" w14:textId="77777777" w:rsidR="00470D3F" w:rsidRPr="00286216" w:rsidRDefault="00470D3F" w:rsidP="00D57F2B">
            <w:pPr>
              <w:pStyle w:val="StyleWisnow"/>
              <w:spacing w:line="180" w:lineRule="exact"/>
              <w:rPr>
                <w:color w:val="000000" w:themeColor="text1"/>
              </w:rPr>
            </w:pPr>
            <w:r w:rsidRPr="00286216">
              <w:rPr>
                <w:color w:val="000000" w:themeColor="text1"/>
              </w:rPr>
              <w:lastRenderedPageBreak/>
              <w:t>Враховано</w:t>
            </w:r>
          </w:p>
          <w:p w14:paraId="650C7631" w14:textId="5AF1B310" w:rsidR="00B60912" w:rsidRPr="00286216" w:rsidRDefault="00B60912" w:rsidP="00D57F2B">
            <w:pPr>
              <w:pStyle w:val="StyleWisnow"/>
              <w:spacing w:line="180" w:lineRule="exact"/>
              <w:rPr>
                <w:color w:val="000000" w:themeColor="text1"/>
              </w:rPr>
            </w:pPr>
            <w:r w:rsidRPr="00286216">
              <w:rPr>
                <w:color w:val="000000" w:themeColor="text1"/>
              </w:rPr>
              <w:t>за наслідками обговорення на засіданні Комітету зауважень НБУ та ФГВФО</w:t>
            </w:r>
          </w:p>
        </w:tc>
        <w:tc>
          <w:tcPr>
            <w:tcW w:w="4818" w:type="dxa"/>
          </w:tcPr>
          <w:p w14:paraId="2A1F33C2" w14:textId="662C72BF" w:rsidR="00470D3F" w:rsidRPr="00286216" w:rsidRDefault="00470D3F" w:rsidP="00470D3F">
            <w:pPr>
              <w:pStyle w:val="StyleZakonu"/>
              <w:rPr>
                <w:color w:val="000000" w:themeColor="text1"/>
              </w:rPr>
            </w:pPr>
            <w:r w:rsidRPr="00286216">
              <w:rPr>
                <w:color w:val="000000" w:themeColor="text1"/>
              </w:rPr>
              <w:t>Стаття 40. Ліквідаційний неттінг</w:t>
            </w:r>
          </w:p>
          <w:p w14:paraId="3582988E" w14:textId="77777777" w:rsidR="00470D3F" w:rsidRPr="00286216" w:rsidRDefault="00470D3F" w:rsidP="00470D3F">
            <w:pPr>
              <w:pStyle w:val="StyleZakonu"/>
              <w:spacing w:line="210" w:lineRule="exact"/>
              <w:rPr>
                <w:color w:val="000000" w:themeColor="text1"/>
              </w:rPr>
            </w:pPr>
            <w:r w:rsidRPr="00286216">
              <w:rPr>
                <w:color w:val="000000" w:themeColor="text1"/>
              </w:rPr>
              <w:t>1. Для цілей цієї статті розуміється:</w:t>
            </w:r>
          </w:p>
          <w:p w14:paraId="6E235BF8" w14:textId="77777777" w:rsidR="00470D3F" w:rsidRPr="00286216" w:rsidRDefault="00470D3F" w:rsidP="00470D3F">
            <w:pPr>
              <w:pStyle w:val="StyleZakonu"/>
              <w:spacing w:line="210" w:lineRule="exact"/>
              <w:rPr>
                <w:color w:val="000000" w:themeColor="text1"/>
              </w:rPr>
            </w:pPr>
            <w:r w:rsidRPr="00286216">
              <w:rPr>
                <w:color w:val="000000" w:themeColor="text1"/>
              </w:rPr>
              <w:t>1) 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деривативного контракту надали при укладенні договору про клірингове обслуговування з особою, яка провадить клірингову діяльність;</w:t>
            </w:r>
          </w:p>
          <w:p w14:paraId="5D8C37DF" w14:textId="523B06F7" w:rsidR="00470D3F" w:rsidRPr="00286216" w:rsidRDefault="00470D3F" w:rsidP="00470D3F">
            <w:pPr>
              <w:pStyle w:val="StyleZakonu"/>
              <w:spacing w:line="210" w:lineRule="exact"/>
              <w:rPr>
                <w:color w:val="000000" w:themeColor="text1"/>
              </w:rPr>
            </w:pPr>
            <w:r w:rsidRPr="00286216">
              <w:rPr>
                <w:color w:val="000000" w:themeColor="text1"/>
              </w:rPr>
              <w:t>2) під сторонами угоди щодо ліквідаційного неттінгу – сторони генеральної угоди, сторони іншого документа (договору), що містить умови та порядок проведення ліквідаційного неттінгу, сторони деривативного контракту, укладеного з посиланням на обов’язковість угоди щодо ліквідаційного неттінгу, які уклали договір про клірингове обслуговування з особою, якій сторони деривативного контракту направили розпорядження на проведення клірингу;</w:t>
            </w:r>
          </w:p>
          <w:p w14:paraId="67484CBD" w14:textId="77777777" w:rsidR="00470D3F" w:rsidRPr="00286216" w:rsidRDefault="00470D3F" w:rsidP="00470D3F">
            <w:pPr>
              <w:pStyle w:val="StyleZakonu"/>
              <w:spacing w:line="210" w:lineRule="exact"/>
              <w:rPr>
                <w:color w:val="000000" w:themeColor="text1"/>
              </w:rPr>
            </w:pPr>
            <w:r w:rsidRPr="00286216">
              <w:rPr>
                <w:color w:val="000000" w:themeColor="text1"/>
              </w:rPr>
              <w:t>3) під датою ліквідаційного неттінгу – дата, зазначена в угоді щодо ліквідаційного неттінгу, або дата рішення, передбаченого частиною першою статті 39 цього Закону, залежно від того, яка з них настає раніше;</w:t>
            </w:r>
          </w:p>
          <w:p w14:paraId="5BB4C99F" w14:textId="4D19694C" w:rsidR="00470D3F" w:rsidRPr="00286216" w:rsidRDefault="00470D3F" w:rsidP="00470D3F">
            <w:pPr>
              <w:pStyle w:val="StyleZakonu"/>
              <w:spacing w:line="210" w:lineRule="exact"/>
              <w:rPr>
                <w:color w:val="000000" w:themeColor="text1"/>
              </w:rPr>
            </w:pPr>
            <w:r w:rsidRPr="00286216">
              <w:rPr>
                <w:color w:val="000000" w:themeColor="text1"/>
              </w:rPr>
              <w:t>4) під розрахунком вартості зобов’язань – визначення у спосіб, передбачений угодою щодо ліквідаційного неттінгу, грошового еквівалент</w:t>
            </w:r>
            <w:r w:rsidR="00BB0957" w:rsidRPr="00286216">
              <w:rPr>
                <w:color w:val="000000" w:themeColor="text1"/>
              </w:rPr>
              <w:t>а</w:t>
            </w:r>
            <w:r w:rsidRPr="00286216">
              <w:rPr>
                <w:color w:val="000000" w:themeColor="text1"/>
              </w:rPr>
              <w:t xml:space="preserve"> (встановлення грошової вартості) всіх зобов’язань, що передбачені деривативними контрактами, укладеними з посиланням на обов’язковість угоди щодо ліквідаційного неттінгу;</w:t>
            </w:r>
          </w:p>
          <w:p w14:paraId="41A7C63B" w14:textId="2C53F075" w:rsidR="00470D3F" w:rsidRPr="00286216" w:rsidRDefault="00470D3F" w:rsidP="00470D3F">
            <w:pPr>
              <w:pStyle w:val="StyleZakonu"/>
              <w:spacing w:line="210" w:lineRule="exact"/>
              <w:rPr>
                <w:color w:val="000000" w:themeColor="text1"/>
              </w:rPr>
            </w:pPr>
            <w:r w:rsidRPr="00286216">
              <w:rPr>
                <w:color w:val="000000" w:themeColor="text1"/>
              </w:rPr>
              <w:t>5) під нетто-зобов’язанням – сума грошового зобов’язання, що підлягає сплаті однією із сторін угоди щодо ліквідаційного неттінгу (сум</w:t>
            </w:r>
            <w:r w:rsidR="00BB0957" w:rsidRPr="00286216">
              <w:rPr>
                <w:color w:val="000000" w:themeColor="text1"/>
              </w:rPr>
              <w:t>а</w:t>
            </w:r>
            <w:r w:rsidRPr="00286216">
              <w:rPr>
                <w:color w:val="000000" w:themeColor="text1"/>
              </w:rPr>
              <w:t xml:space="preserve"> зобов’язань якої є більшою) іншій стороні такої угоди (сум</w:t>
            </w:r>
            <w:r w:rsidR="00BB0957" w:rsidRPr="00286216">
              <w:rPr>
                <w:color w:val="000000" w:themeColor="text1"/>
              </w:rPr>
              <w:t>а</w:t>
            </w:r>
            <w:r w:rsidRPr="00286216">
              <w:rPr>
                <w:color w:val="000000" w:themeColor="text1"/>
              </w:rPr>
              <w:t xml:space="preserve"> </w:t>
            </w:r>
            <w:r w:rsidRPr="00286216">
              <w:rPr>
                <w:color w:val="000000" w:themeColor="text1"/>
              </w:rPr>
              <w:lastRenderedPageBreak/>
              <w:t>зобов’язань якої є меншою) та визначається як різниця між сумами зобов’язань таких сторін.</w:t>
            </w:r>
          </w:p>
          <w:p w14:paraId="5C6CADBB" w14:textId="77777777" w:rsidR="00470D3F" w:rsidRPr="00286216" w:rsidRDefault="00470D3F" w:rsidP="00470D3F">
            <w:pPr>
              <w:pStyle w:val="StyleZakonu"/>
              <w:spacing w:line="210" w:lineRule="exact"/>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5051D924" w14:textId="4A155630" w:rsidR="00470D3F" w:rsidRPr="00286216" w:rsidRDefault="00470D3F" w:rsidP="00470D3F">
            <w:pPr>
              <w:pStyle w:val="StyleZakonu"/>
              <w:spacing w:line="210" w:lineRule="exact"/>
              <w:rPr>
                <w:color w:val="000000" w:themeColor="text1"/>
              </w:rPr>
            </w:pPr>
            <w:r w:rsidRPr="00286216">
              <w:rPr>
                <w:color w:val="000000" w:themeColor="text1"/>
              </w:rPr>
              <w:t xml:space="preserve">1) здійснення особою, </w:t>
            </w:r>
            <w:r w:rsidR="00BB0957" w:rsidRPr="00286216">
              <w:rPr>
                <w:color w:val="000000" w:themeColor="text1"/>
              </w:rPr>
              <w:t xml:space="preserve">стосовно </w:t>
            </w:r>
            <w:r w:rsidRPr="00286216">
              <w:rPr>
                <w:color w:val="000000" w:themeColor="text1"/>
              </w:rPr>
              <w:t>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сторін такої угоди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w:t>
            </w:r>
          </w:p>
          <w:p w14:paraId="6F041DBB" w14:textId="77777777" w:rsidR="00470D3F" w:rsidRPr="00286216" w:rsidRDefault="00470D3F" w:rsidP="00470D3F">
            <w:pPr>
              <w:pStyle w:val="StyleZakonu"/>
              <w:spacing w:line="21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0BF57F1B" w14:textId="0225C49D" w:rsidR="00470D3F" w:rsidRPr="00286216" w:rsidRDefault="00470D3F" w:rsidP="00470D3F">
            <w:pPr>
              <w:pStyle w:val="StyleZakonu"/>
              <w:spacing w:line="21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6419DF23" w14:textId="77777777" w:rsidR="00470D3F" w:rsidRPr="00286216" w:rsidRDefault="00470D3F" w:rsidP="00470D3F">
            <w:pPr>
              <w:pStyle w:val="StyleZakonu"/>
              <w:spacing w:line="21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4F92219F" w14:textId="15B1F707" w:rsidR="00470D3F" w:rsidRPr="00286216" w:rsidRDefault="00470D3F" w:rsidP="00470D3F">
            <w:pPr>
              <w:pStyle w:val="StyleZakonu"/>
              <w:spacing w:line="210" w:lineRule="exact"/>
              <w:rPr>
                <w:color w:val="000000" w:themeColor="text1"/>
              </w:rPr>
            </w:pPr>
            <w:r w:rsidRPr="00286216">
              <w:rPr>
                <w:color w:val="000000" w:themeColor="text1"/>
              </w:rPr>
              <w:t xml:space="preserve">3. Угода щодо ліквідаційного неттінгу може передбачати </w:t>
            </w:r>
            <w:r w:rsidR="00BB0957" w:rsidRPr="00286216">
              <w:rPr>
                <w:color w:val="000000" w:themeColor="text1"/>
              </w:rPr>
              <w:t xml:space="preserve">інший, ніж передбачений частиною </w:t>
            </w:r>
            <w:r w:rsidRPr="00286216">
              <w:rPr>
                <w:color w:val="000000" w:themeColor="text1"/>
              </w:rPr>
              <w:t>друго</w:t>
            </w:r>
            <w:r w:rsidR="00BB0957" w:rsidRPr="00286216">
              <w:rPr>
                <w:color w:val="000000" w:themeColor="text1"/>
              </w:rPr>
              <w:t>ю</w:t>
            </w:r>
            <w:r w:rsidRPr="00286216">
              <w:rPr>
                <w:color w:val="000000" w:themeColor="text1"/>
              </w:rPr>
              <w:t xml:space="preserve"> цієї статті</w:t>
            </w:r>
            <w:r w:rsidR="00BB0957" w:rsidRPr="00286216">
              <w:rPr>
                <w:color w:val="000000" w:themeColor="text1"/>
              </w:rPr>
              <w:t>,</w:t>
            </w:r>
            <w:r w:rsidRPr="00286216">
              <w:rPr>
                <w:color w:val="000000" w:themeColor="text1"/>
              </w:rPr>
              <w:t xml:space="preserve">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ліквідаційного неттінгу. Угода щодо ліквідаційного неттінгу може передбачати, що ліквідаційний неттінг здійснюється лише за заявою або повідомленням </w:t>
            </w:r>
            <w:r w:rsidRPr="00286216">
              <w:rPr>
                <w:color w:val="000000" w:themeColor="text1"/>
              </w:rPr>
              <w:lastRenderedPageBreak/>
              <w:t xml:space="preserve">сторони угоди щодо ліквідаційного неттінгу, крім випадку проведення ліквідаційного неттінгу у </w:t>
            </w:r>
            <w:r w:rsidR="00BB0957" w:rsidRPr="00286216">
              <w:rPr>
                <w:color w:val="000000" w:themeColor="text1"/>
              </w:rPr>
              <w:t xml:space="preserve">разі </w:t>
            </w:r>
            <w:r w:rsidRPr="00286216">
              <w:rPr>
                <w:color w:val="000000" w:themeColor="text1"/>
              </w:rPr>
              <w:t>прийняття рішення, передбаченого частиною першою статті 39 цього Закону .</w:t>
            </w:r>
          </w:p>
          <w:p w14:paraId="3420BDC9" w14:textId="3242B6B8" w:rsidR="00470D3F" w:rsidRPr="00286216" w:rsidRDefault="00470D3F" w:rsidP="00470D3F">
            <w:pPr>
              <w:pStyle w:val="StyleZakonu"/>
              <w:spacing w:line="210" w:lineRule="exact"/>
              <w:rPr>
                <w:color w:val="000000" w:themeColor="text1"/>
              </w:rPr>
            </w:pPr>
            <w:r w:rsidRPr="00286216">
              <w:rPr>
                <w:color w:val="000000" w:themeColor="text1"/>
              </w:rPr>
              <w:t>4. Ліквідаційний неттінг не здійснюється</w:t>
            </w:r>
            <w:r w:rsidR="00BB0957" w:rsidRPr="00286216">
              <w:rPr>
                <w:color w:val="000000" w:themeColor="text1"/>
              </w:rPr>
              <w:t>, якщо</w:t>
            </w:r>
            <w:r w:rsidRPr="00286216">
              <w:rPr>
                <w:color w:val="000000" w:themeColor="text1"/>
              </w:rPr>
              <w:t>:</w:t>
            </w:r>
          </w:p>
          <w:p w14:paraId="671D8682" w14:textId="77777777" w:rsidR="00470D3F" w:rsidRPr="00286216" w:rsidRDefault="00470D3F" w:rsidP="00470D3F">
            <w:pPr>
              <w:pStyle w:val="StyleZakonu"/>
              <w:spacing w:line="210" w:lineRule="exact"/>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72BE15CB" w14:textId="2835FD0D" w:rsidR="00470D3F" w:rsidRPr="00286216" w:rsidRDefault="00470D3F" w:rsidP="00470D3F">
            <w:pPr>
              <w:pStyle w:val="StyleZakonu"/>
              <w:spacing w:line="210" w:lineRule="exact"/>
              <w:rPr>
                <w:color w:val="000000" w:themeColor="text1"/>
              </w:rPr>
            </w:pPr>
            <w:r w:rsidRPr="00286216">
              <w:rPr>
                <w:color w:val="000000" w:themeColor="text1"/>
              </w:rPr>
              <w:t>2) відповідна угода щодо ліквідаційного неттінгу укладена після дати прийняття рішення, передбаченого частиною першою статті 39 цього Закону;</w:t>
            </w:r>
          </w:p>
          <w:p w14:paraId="01571485" w14:textId="4C31804C" w:rsidR="00470D3F" w:rsidRPr="00286216" w:rsidRDefault="00470D3F" w:rsidP="00470D3F">
            <w:pPr>
              <w:pStyle w:val="StyleZakonu"/>
              <w:spacing w:line="210" w:lineRule="exact"/>
              <w:rPr>
                <w:color w:val="000000" w:themeColor="text1"/>
              </w:rPr>
            </w:pPr>
            <w:r w:rsidRPr="00286216">
              <w:rPr>
                <w:color w:val="000000" w:themeColor="text1"/>
              </w:rPr>
              <w:t xml:space="preserve">3) деривативний контракт, що містить посилання на обов’язковість </w:t>
            </w:r>
            <w:r w:rsidR="00B60912" w:rsidRPr="00286216">
              <w:rPr>
                <w:color w:val="000000" w:themeColor="text1"/>
              </w:rPr>
              <w:t xml:space="preserve">для нього </w:t>
            </w:r>
            <w:r w:rsidRPr="00286216">
              <w:rPr>
                <w:color w:val="000000" w:themeColor="text1"/>
              </w:rPr>
              <w:t>відповідної угоди щодо ліквідаційного неттінгу, був укладений після прийняття рішення, передбаченого частиною першою статті 39 цього Закону.</w:t>
            </w:r>
          </w:p>
          <w:p w14:paraId="04BAEAE4" w14:textId="77777777" w:rsidR="00470D3F" w:rsidRPr="00286216" w:rsidRDefault="00470D3F" w:rsidP="00470D3F">
            <w:pPr>
              <w:pStyle w:val="StyleZakonu"/>
              <w:spacing w:line="210" w:lineRule="exact"/>
              <w:rPr>
                <w:color w:val="000000" w:themeColor="text1"/>
              </w:rPr>
            </w:pPr>
            <w:r w:rsidRPr="00286216">
              <w:rPr>
                <w:color w:val="000000" w:themeColor="text1"/>
              </w:rPr>
              <w:t>5.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деривативними контрактами, укладеними такою стороною з посиланням на обов’язковість угоди щодо ліквідаційного неттінгу, зазначеними у пункті 1 частини другої цієї статті, здійснюються в позасудовому порядку та не потребують будь-якої згоди та/або затвердження такої сторони чи будь-якої іншої особи.</w:t>
            </w:r>
          </w:p>
          <w:p w14:paraId="11D1E5A1" w14:textId="44686F7C" w:rsidR="00470D3F" w:rsidRPr="00286216" w:rsidRDefault="00470D3F" w:rsidP="00470D3F">
            <w:pPr>
              <w:pStyle w:val="StyleZakonu"/>
              <w:spacing w:line="210" w:lineRule="exact"/>
              <w:rPr>
                <w:color w:val="000000" w:themeColor="text1"/>
              </w:rPr>
            </w:pPr>
            <w:r w:rsidRPr="00286216">
              <w:rPr>
                <w:color w:val="000000" w:themeColor="text1"/>
              </w:rPr>
              <w:t>6.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3C630453" w14:textId="5852B1BD" w:rsidR="00470D3F" w:rsidRPr="00286216" w:rsidRDefault="00470D3F" w:rsidP="00470D3F">
            <w:pPr>
              <w:pStyle w:val="StyleZakonu"/>
              <w:spacing w:line="210" w:lineRule="exact"/>
              <w:rPr>
                <w:color w:val="000000" w:themeColor="text1"/>
              </w:rPr>
            </w:pPr>
            <w:r w:rsidRPr="00286216">
              <w:rPr>
                <w:color w:val="000000" w:themeColor="text1"/>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3DA9AC84" w14:textId="77777777" w:rsidR="00470D3F" w:rsidRPr="00286216" w:rsidRDefault="00470D3F" w:rsidP="00470D3F">
            <w:pPr>
              <w:pStyle w:val="StyleZakonu"/>
              <w:spacing w:line="210" w:lineRule="exact"/>
              <w:rPr>
                <w:color w:val="000000" w:themeColor="text1"/>
              </w:rPr>
            </w:pPr>
            <w:r w:rsidRPr="00286216">
              <w:rPr>
                <w:color w:val="000000" w:themeColor="text1"/>
              </w:rPr>
              <w:t>7. Положення цієї статті застосовуються також до:</w:t>
            </w:r>
          </w:p>
          <w:p w14:paraId="314C1121" w14:textId="2213BFD9" w:rsidR="00470D3F" w:rsidRPr="00286216" w:rsidRDefault="00470D3F" w:rsidP="00470D3F">
            <w:pPr>
              <w:pStyle w:val="StyleZakonu"/>
              <w:spacing w:line="210" w:lineRule="exact"/>
              <w:rPr>
                <w:color w:val="000000" w:themeColor="text1"/>
              </w:rPr>
            </w:pPr>
            <w:r w:rsidRPr="00286216">
              <w:rPr>
                <w:color w:val="000000" w:themeColor="text1"/>
              </w:rPr>
              <w:t xml:space="preserve">1) товарних операцій, правочинів щодо фінансових інструментів, щодо валютних цінностей, за умови вчинення таких операцій (правочинів) з посиланням на обов’язковість </w:t>
            </w:r>
            <w:r w:rsidR="00B60912" w:rsidRPr="00286216">
              <w:rPr>
                <w:color w:val="000000" w:themeColor="text1"/>
              </w:rPr>
              <w:t xml:space="preserve">для них </w:t>
            </w:r>
            <w:r w:rsidRPr="00286216">
              <w:rPr>
                <w:color w:val="000000" w:themeColor="text1"/>
              </w:rPr>
              <w:t>відповідної угоди щодо ліквідаційного неттінгу;</w:t>
            </w:r>
          </w:p>
          <w:p w14:paraId="51270E48" w14:textId="21A50D77" w:rsidR="00470D3F" w:rsidRPr="00286216" w:rsidRDefault="00470D3F" w:rsidP="00460309">
            <w:pPr>
              <w:pStyle w:val="StyleZakonu"/>
              <w:spacing w:after="0" w:line="210" w:lineRule="exact"/>
              <w:rPr>
                <w:color w:val="000000" w:themeColor="text1"/>
              </w:rPr>
            </w:pPr>
            <w:r w:rsidRPr="00286216">
              <w:rPr>
                <w:color w:val="000000" w:themeColor="text1"/>
              </w:rPr>
              <w:lastRenderedPageBreak/>
              <w:t>2) правочинів, вчинених з метою забезпечення виконання зобов’язань за деривативними контрактами та іншими правочинами, зазначеними у цій частині.</w:t>
            </w:r>
          </w:p>
        </w:tc>
      </w:tr>
      <w:tr w:rsidR="00F77E8D" w:rsidRPr="00286216" w14:paraId="69D1BC9A" w14:textId="77777777" w:rsidTr="00091AA5">
        <w:tc>
          <w:tcPr>
            <w:tcW w:w="576" w:type="dxa"/>
          </w:tcPr>
          <w:p w14:paraId="738B2259" w14:textId="77777777" w:rsidR="00470D3F" w:rsidRPr="00286216" w:rsidRDefault="00470D3F" w:rsidP="00470D3F">
            <w:pPr>
              <w:pStyle w:val="StyleWisnow"/>
              <w:rPr>
                <w:color w:val="000000" w:themeColor="text1"/>
              </w:rPr>
            </w:pPr>
            <w:bookmarkStart w:id="313" w:name="n304" w:colFirst="0" w:colLast="0"/>
            <w:bookmarkEnd w:id="312"/>
            <w:r w:rsidRPr="00286216">
              <w:rPr>
                <w:color w:val="000000" w:themeColor="text1"/>
              </w:rPr>
              <w:lastRenderedPageBreak/>
              <w:t>304.</w:t>
            </w:r>
          </w:p>
        </w:tc>
        <w:tc>
          <w:tcPr>
            <w:tcW w:w="4818" w:type="dxa"/>
          </w:tcPr>
          <w:p w14:paraId="3BB1B75A" w14:textId="77777777" w:rsidR="00470D3F" w:rsidRPr="00286216" w:rsidRDefault="00470D3F" w:rsidP="00470D3F">
            <w:pPr>
              <w:pStyle w:val="StyleZakonu"/>
              <w:rPr>
                <w:color w:val="000000" w:themeColor="text1"/>
              </w:rPr>
            </w:pPr>
            <w:r w:rsidRPr="00286216">
              <w:rPr>
                <w:color w:val="000000" w:themeColor="text1"/>
              </w:rPr>
              <w:t>1. Ліквідаційний неттінг - здійснення усіх таких дій відповідно до умов генеральної угоди:</w:t>
            </w:r>
          </w:p>
        </w:tc>
        <w:tc>
          <w:tcPr>
            <w:tcW w:w="3686" w:type="dxa"/>
          </w:tcPr>
          <w:p w14:paraId="547DAA38" w14:textId="2CE595A7" w:rsidR="00813811" w:rsidRPr="00286216" w:rsidRDefault="00813811" w:rsidP="00813811">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254</w:t>
            </w:r>
            <w:r w:rsidRPr="00286216">
              <w:rPr>
                <w:color w:val="000000" w:themeColor="text1"/>
                <w:spacing w:val="-4"/>
              </w:rPr>
              <w:fldChar w:fldCharType="end"/>
            </w:r>
            <w:r w:rsidRPr="00286216">
              <w:rPr>
                <w:color w:val="000000" w:themeColor="text1"/>
                <w:spacing w:val="-4"/>
              </w:rPr>
              <w:t>-Н.д.Бєлькова О.В. (Реєстр.картка №403)</w:t>
            </w:r>
          </w:p>
          <w:p w14:paraId="73F7F684" w14:textId="77777777" w:rsidR="00813811" w:rsidRPr="00286216" w:rsidRDefault="00813811" w:rsidP="00813811">
            <w:pPr>
              <w:pStyle w:val="StyleProp"/>
              <w:rPr>
                <w:color w:val="000000" w:themeColor="text1"/>
                <w:szCs w:val="18"/>
              </w:rPr>
            </w:pPr>
            <w:r w:rsidRPr="00286216">
              <w:rPr>
                <w:color w:val="000000" w:themeColor="text1"/>
                <w:szCs w:val="18"/>
              </w:rPr>
              <w:t xml:space="preserve">Статтю 13 викласти в такій редакції: </w:t>
            </w:r>
          </w:p>
          <w:p w14:paraId="2BD3DDD3" w14:textId="784508F4" w:rsidR="00470D3F" w:rsidRPr="00286216" w:rsidRDefault="00813811" w:rsidP="00813811">
            <w:pPr>
              <w:pStyle w:val="StyleProp"/>
              <w:rPr>
                <w:color w:val="000000" w:themeColor="text1"/>
              </w:rPr>
            </w:pPr>
            <w:r w:rsidRPr="00286216">
              <w:rPr>
                <w:color w:val="000000" w:themeColor="text1"/>
                <w:szCs w:val="18"/>
              </w:rPr>
              <w:t>"Стаття 13. Ліквідаційний неттінг</w:t>
            </w:r>
          </w:p>
        </w:tc>
        <w:tc>
          <w:tcPr>
            <w:tcW w:w="1987" w:type="dxa"/>
          </w:tcPr>
          <w:p w14:paraId="79F1B13B" w14:textId="5906AAB2" w:rsidR="00470D3F" w:rsidRPr="00286216" w:rsidRDefault="00813811" w:rsidP="00470D3F">
            <w:pPr>
              <w:pStyle w:val="StyleWisnow"/>
              <w:rPr>
                <w:color w:val="000000" w:themeColor="text1"/>
              </w:rPr>
            </w:pPr>
            <w:r w:rsidRPr="00286216">
              <w:rPr>
                <w:color w:val="000000" w:themeColor="text1"/>
              </w:rPr>
              <w:t>Враховано редакційно</w:t>
            </w:r>
          </w:p>
        </w:tc>
        <w:tc>
          <w:tcPr>
            <w:tcW w:w="4818" w:type="dxa"/>
          </w:tcPr>
          <w:p w14:paraId="48290C82" w14:textId="77777777" w:rsidR="00470D3F" w:rsidRPr="00286216" w:rsidRDefault="00470D3F" w:rsidP="00470D3F">
            <w:pPr>
              <w:pStyle w:val="StyleZakonu"/>
              <w:rPr>
                <w:color w:val="000000" w:themeColor="text1"/>
              </w:rPr>
            </w:pPr>
          </w:p>
        </w:tc>
      </w:tr>
      <w:tr w:rsidR="00F77E8D" w:rsidRPr="00286216" w14:paraId="78EE32FC" w14:textId="77777777" w:rsidTr="00091AA5">
        <w:tc>
          <w:tcPr>
            <w:tcW w:w="576" w:type="dxa"/>
          </w:tcPr>
          <w:p w14:paraId="2E3D56EF" w14:textId="77777777" w:rsidR="00813811" w:rsidRPr="00286216" w:rsidRDefault="00813811" w:rsidP="00813811">
            <w:pPr>
              <w:pStyle w:val="StyleWisnow"/>
              <w:rPr>
                <w:color w:val="000000" w:themeColor="text1"/>
              </w:rPr>
            </w:pPr>
            <w:bookmarkStart w:id="314" w:name="n305" w:colFirst="0" w:colLast="0"/>
            <w:bookmarkEnd w:id="313"/>
            <w:r w:rsidRPr="00286216">
              <w:rPr>
                <w:color w:val="000000" w:themeColor="text1"/>
              </w:rPr>
              <w:t>305.</w:t>
            </w:r>
          </w:p>
        </w:tc>
        <w:tc>
          <w:tcPr>
            <w:tcW w:w="4818" w:type="dxa"/>
          </w:tcPr>
          <w:p w14:paraId="023CD363" w14:textId="77777777" w:rsidR="00813811" w:rsidRPr="00286216" w:rsidRDefault="00813811" w:rsidP="00813811">
            <w:pPr>
              <w:pStyle w:val="StyleZakonu"/>
              <w:rPr>
                <w:color w:val="000000" w:themeColor="text1"/>
              </w:rPr>
            </w:pPr>
            <w:r w:rsidRPr="00286216">
              <w:rPr>
                <w:color w:val="000000" w:themeColor="text1"/>
              </w:rPr>
              <w:t>1) здійснення особою, зазначеною в генеральній угоді, станом на дату, передбачену пунктом другим цієї частини, розрахунку суми зобов’язань сторони генеральної угоди, щодо якої прийнято рішення, передбачене статтею 12 цього Закону, та кожного її контрагента за одним або кількома деривативними контрактами, укладеними на підставі такої генеральної угоди. Порядок здійснення такого розрахунку передбачається генеральною угодою;</w:t>
            </w:r>
          </w:p>
        </w:tc>
        <w:tc>
          <w:tcPr>
            <w:tcW w:w="3686" w:type="dxa"/>
          </w:tcPr>
          <w:p w14:paraId="5C57C17B" w14:textId="77777777" w:rsidR="00813811" w:rsidRPr="00286216" w:rsidRDefault="00813811" w:rsidP="00460309">
            <w:pPr>
              <w:pStyle w:val="StyleProp"/>
              <w:spacing w:line="190" w:lineRule="exact"/>
              <w:rPr>
                <w:color w:val="000000" w:themeColor="text1"/>
                <w:szCs w:val="18"/>
              </w:rPr>
            </w:pPr>
            <w:r w:rsidRPr="00286216">
              <w:rPr>
                <w:color w:val="000000" w:themeColor="text1"/>
                <w:szCs w:val="18"/>
              </w:rPr>
              <w:t>1. Ліквідаційний неттінг – здійснення усіх таких дій відповідно до угоди щодо ліквідаційного неттінгу:</w:t>
            </w:r>
          </w:p>
          <w:p w14:paraId="72863828" w14:textId="44F3A29D" w:rsidR="00813811" w:rsidRPr="00286216" w:rsidRDefault="00813811" w:rsidP="00460309">
            <w:pPr>
              <w:pStyle w:val="StyleProp"/>
              <w:spacing w:line="190" w:lineRule="exact"/>
              <w:rPr>
                <w:color w:val="000000" w:themeColor="text1"/>
              </w:rPr>
            </w:pPr>
            <w:r w:rsidRPr="00286216">
              <w:rPr>
                <w:color w:val="000000" w:themeColor="text1"/>
                <w:szCs w:val="18"/>
              </w:rPr>
              <w:t>1) здійснення особою, зазначеною в угоді щодо ліквідаційного неттінгу, розрахунку вартості зобов’язань сторін угоди щодо ліквідаційного неттінгу за одним або кількома деривативними контрактами, що існували станом на дату ліквідаційного неттінгу, та були укладені цими сторонами з посиланням на обов’язковість для них угоди щодо ліквідаційного неттінгу. Порядок здійснення такого розрахунку передбачається угодою щодо ліквідаційного неттінгу;</w:t>
            </w:r>
          </w:p>
        </w:tc>
        <w:tc>
          <w:tcPr>
            <w:tcW w:w="1987" w:type="dxa"/>
          </w:tcPr>
          <w:p w14:paraId="22254368" w14:textId="2C59CEA0" w:rsidR="00813811" w:rsidRPr="00286216" w:rsidRDefault="00813811" w:rsidP="00813811">
            <w:pPr>
              <w:pStyle w:val="StyleWisnow"/>
              <w:rPr>
                <w:color w:val="000000" w:themeColor="text1"/>
              </w:rPr>
            </w:pPr>
          </w:p>
        </w:tc>
        <w:tc>
          <w:tcPr>
            <w:tcW w:w="4818" w:type="dxa"/>
          </w:tcPr>
          <w:p w14:paraId="0A97B457" w14:textId="77777777" w:rsidR="00813811" w:rsidRPr="00286216" w:rsidRDefault="00813811" w:rsidP="00813811">
            <w:pPr>
              <w:pStyle w:val="StyleZakonu"/>
              <w:rPr>
                <w:color w:val="000000" w:themeColor="text1"/>
              </w:rPr>
            </w:pPr>
          </w:p>
        </w:tc>
      </w:tr>
      <w:tr w:rsidR="00F77E8D" w:rsidRPr="00286216" w14:paraId="50DE8FBB" w14:textId="77777777" w:rsidTr="00091AA5">
        <w:tc>
          <w:tcPr>
            <w:tcW w:w="576" w:type="dxa"/>
          </w:tcPr>
          <w:p w14:paraId="6526F564" w14:textId="77777777" w:rsidR="00813811" w:rsidRPr="00286216" w:rsidRDefault="00813811" w:rsidP="00813811">
            <w:pPr>
              <w:pStyle w:val="StyleWisnow"/>
              <w:rPr>
                <w:color w:val="000000" w:themeColor="text1"/>
              </w:rPr>
            </w:pPr>
            <w:bookmarkStart w:id="315" w:name="n306" w:colFirst="0" w:colLast="0"/>
            <w:bookmarkEnd w:id="314"/>
            <w:r w:rsidRPr="00286216">
              <w:rPr>
                <w:color w:val="000000" w:themeColor="text1"/>
              </w:rPr>
              <w:t>306.</w:t>
            </w:r>
          </w:p>
        </w:tc>
        <w:tc>
          <w:tcPr>
            <w:tcW w:w="4818" w:type="dxa"/>
          </w:tcPr>
          <w:p w14:paraId="22A0E34F" w14:textId="77777777" w:rsidR="00813811" w:rsidRPr="00286216" w:rsidRDefault="00813811" w:rsidP="00813811">
            <w:pPr>
              <w:pStyle w:val="StyleZakonu"/>
              <w:rPr>
                <w:color w:val="000000" w:themeColor="text1"/>
              </w:rPr>
            </w:pPr>
            <w:r w:rsidRPr="00286216">
              <w:rPr>
                <w:color w:val="000000" w:themeColor="text1"/>
              </w:rPr>
              <w:t>2) припинення всіх існуючих станом на дату, передбачену генеральною угодою, або існуючих в день, що передує даті рішення, передбаченого статтею 12 цього Закону (залежно від того, яка із зазначених дат настає раніше), зобов’язань за одним або кількома деривативними контрактами, укладеними такою стороною та іншою стороною генеральної угоди (незалежно від їх змісту та/або строку (терміну) виконання), шляхом:</w:t>
            </w:r>
          </w:p>
        </w:tc>
        <w:tc>
          <w:tcPr>
            <w:tcW w:w="3686" w:type="dxa"/>
          </w:tcPr>
          <w:p w14:paraId="1E38E6CD"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укладеними такими сторонами угоди щодо ліквідаційного неттінгу з посиланням на обов’язковість для них угоди щодо ліквідаційного неттінгу, у такій послідовності:</w:t>
            </w:r>
          </w:p>
          <w:p w14:paraId="07FB159A"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статті. При цьому вважається що строк виконання вимог за такими новими грошовими зобов’язаннями настав;</w:t>
            </w:r>
          </w:p>
          <w:p w14:paraId="4678613A"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1336D553"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 xml:space="preserve">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деривативними контрактами, укладеними такими сторонами угоди щодо ліквідаційного </w:t>
            </w:r>
            <w:r w:rsidRPr="00286216">
              <w:rPr>
                <w:color w:val="000000" w:themeColor="text1"/>
                <w:szCs w:val="18"/>
              </w:rPr>
              <w:lastRenderedPageBreak/>
              <w:t xml:space="preserve">неттінгу. </w:t>
            </w:r>
            <w:r w:rsidRPr="00286216">
              <w:rPr>
                <w:color w:val="000000" w:themeColor="text1"/>
              </w:rPr>
              <w:t>Угода щодо ліквідаційного неттінгу може передбачати, що ліквідаційний неттінг здійснюється лише за заявою або повідомленням сторони угоди щодо ліквідаційного неттінгу.</w:t>
            </w:r>
          </w:p>
          <w:p w14:paraId="39A2902B"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Для цілей цієї статті:</w:t>
            </w:r>
          </w:p>
          <w:p w14:paraId="2C81923F"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1) угода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деривативного контракту надали при укладенні договору клірингового обслуговування з особою, яка провадить клірингову діяльність;</w:t>
            </w:r>
          </w:p>
          <w:p w14:paraId="01D43F73"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2) сторони угоди щодо ліквідаційного неттінгу – сторони генеральної угоди, сторони іншого документу (договору), що містить умови та порядок проведення ліквідаційного неттінгу, сторони деривативного контракту, укладеного з посиланням на обов’язковість угоди щодо ліквідаційного неттінгу, які уклали договір клірингового обслуговування з особою, якій сторони деривативного контракту направили розпорядження на проведення клірингу;</w:t>
            </w:r>
          </w:p>
          <w:p w14:paraId="4692D9F8"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3) дата ліквідаційного неттінгу – дата, зазначена в угоді щодо ліквідаційного неттінгу або дата, передбачена статтею 12 цього Закону, залежно від того, яка з них настає раніше;</w:t>
            </w:r>
          </w:p>
          <w:p w14:paraId="0AC0EBF8"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4) 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деривативними контрактами, укладеними з посиланням на обов’язковість угоди щодо ліквідаційного неттінгу;</w:t>
            </w:r>
          </w:p>
          <w:p w14:paraId="262950A7"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5) 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меншою) та визначається як різниця між сумами зобов’язань таких сторін.</w:t>
            </w:r>
          </w:p>
          <w:p w14:paraId="1A07DC0E"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 xml:space="preserve">2.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деривативними контрактами, </w:t>
            </w:r>
            <w:r w:rsidRPr="00286216">
              <w:rPr>
                <w:color w:val="000000" w:themeColor="text1"/>
                <w:szCs w:val="18"/>
              </w:rPr>
              <w:lastRenderedPageBreak/>
              <w:t>укладеними такою стороною з посиланням на обов’язковість угоди щодо ліквідаційного неттінгу, здійснюється в позасудовому порядку та не потребують будь-якої згоди та/або затвердження такої сторони або будь-якої іншої особи.</w:t>
            </w:r>
          </w:p>
          <w:p w14:paraId="3A91C034"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3. Ліквідаційний неттінг не проводиться в будь-якому з таких випадків:</w:t>
            </w:r>
          </w:p>
          <w:p w14:paraId="048770CC"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1) якщо відповідна генеральна угода не передбачає можливості або процедури його проведення;</w:t>
            </w:r>
          </w:p>
          <w:p w14:paraId="5AFEF6C8"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2) якщо відповідна угода щодо ліквідаційного неттінгу укладена після прийняття рішення, передбаченого статтею 12 цього Закону;</w:t>
            </w:r>
          </w:p>
          <w:p w14:paraId="024E4B19"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3)  якщо деривативний контракт, укладений стороною з посиланням на обов’язковість відповідної угоди щодо ліквідаційного неттінгу, був укладений після прийняття рішення, передбаченого статтею 12 цього Закону.</w:t>
            </w:r>
          </w:p>
          <w:p w14:paraId="10A3BBE7"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4.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746C3AC6"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7717B510"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 xml:space="preserve">5. Положення цієї статті не застосовується до укладених поза організованим ринком деривативних контрактів, за умови, що сторона такого контракту до кінця дня, що є датою ліквідаційного неттінгу, не подала інформацію про укладення такого контракту, або до кінця дня, що є датою ліквідаційного неттінгу, не подала інформацію про укладення договору про заміну сторони такого деривативного контракту до торгового репозиторію в порядку та строки, встановлені Національною комісією з цінних паперів та фондового ринку. </w:t>
            </w:r>
          </w:p>
          <w:p w14:paraId="113D0958" w14:textId="638A1FD2" w:rsidR="00813811" w:rsidRPr="00286216" w:rsidRDefault="00813811" w:rsidP="00460309">
            <w:pPr>
              <w:pStyle w:val="StyleProp"/>
              <w:spacing w:line="180" w:lineRule="exact"/>
              <w:rPr>
                <w:color w:val="000000" w:themeColor="text1"/>
              </w:rPr>
            </w:pPr>
            <w:r w:rsidRPr="00286216">
              <w:rPr>
                <w:color w:val="000000" w:themeColor="text1"/>
              </w:rPr>
              <w:t>6. Положення цієї статті застосовується також до правочинів щодо фінансових інструментів, товарних операцій, правочинів щодо валютних цінностей, а також правочинів, вчинених з метою забезпечення виконання зобов’язань за такими правочинами та операціями з посиланням на обов’язковість відповідної угоди щодо ліквідаційного неттінгу".</w:t>
            </w:r>
          </w:p>
        </w:tc>
        <w:tc>
          <w:tcPr>
            <w:tcW w:w="1987" w:type="dxa"/>
          </w:tcPr>
          <w:p w14:paraId="6D9C3EEC" w14:textId="608792CB" w:rsidR="00813811" w:rsidRPr="00286216" w:rsidRDefault="00813811" w:rsidP="00813811">
            <w:pPr>
              <w:pStyle w:val="StyleWisnow"/>
              <w:rPr>
                <w:color w:val="000000" w:themeColor="text1"/>
              </w:rPr>
            </w:pPr>
          </w:p>
        </w:tc>
        <w:tc>
          <w:tcPr>
            <w:tcW w:w="4818" w:type="dxa"/>
          </w:tcPr>
          <w:p w14:paraId="1E26C84A" w14:textId="77777777" w:rsidR="00813811" w:rsidRPr="00286216" w:rsidRDefault="00813811" w:rsidP="00813811">
            <w:pPr>
              <w:pStyle w:val="StyleZakonu"/>
              <w:rPr>
                <w:color w:val="000000" w:themeColor="text1"/>
              </w:rPr>
            </w:pPr>
          </w:p>
        </w:tc>
      </w:tr>
      <w:tr w:rsidR="00F77E8D" w:rsidRPr="00286216" w14:paraId="2EAA3109" w14:textId="77777777" w:rsidTr="00091AA5">
        <w:tc>
          <w:tcPr>
            <w:tcW w:w="576" w:type="dxa"/>
          </w:tcPr>
          <w:p w14:paraId="053CD267" w14:textId="77777777" w:rsidR="00813811" w:rsidRPr="00286216" w:rsidRDefault="00813811" w:rsidP="00813811">
            <w:pPr>
              <w:pStyle w:val="StyleWisnow"/>
              <w:rPr>
                <w:color w:val="000000" w:themeColor="text1"/>
              </w:rPr>
            </w:pPr>
            <w:bookmarkStart w:id="316" w:name="n307" w:colFirst="0" w:colLast="0"/>
            <w:bookmarkEnd w:id="315"/>
            <w:r w:rsidRPr="00286216">
              <w:rPr>
                <w:color w:val="000000" w:themeColor="text1"/>
              </w:rPr>
              <w:lastRenderedPageBreak/>
              <w:t>307.</w:t>
            </w:r>
          </w:p>
        </w:tc>
        <w:tc>
          <w:tcPr>
            <w:tcW w:w="4818" w:type="dxa"/>
          </w:tcPr>
          <w:p w14:paraId="09606840" w14:textId="77777777" w:rsidR="00813811" w:rsidRPr="00286216" w:rsidRDefault="00813811" w:rsidP="00813811">
            <w:pPr>
              <w:pStyle w:val="StyleZakonu"/>
              <w:rPr>
                <w:color w:val="000000" w:themeColor="text1"/>
              </w:rPr>
            </w:pPr>
            <w:r w:rsidRPr="00286216">
              <w:rPr>
                <w:color w:val="000000" w:themeColor="text1"/>
              </w:rPr>
              <w:t>а) зарахування зустрічних однорідних вимог за такими зобов’язаннями. При цьому вважається що строк виконання вимог за такими зобов’язаннями настав в день, передбачених цим пунктом;</w:t>
            </w:r>
          </w:p>
        </w:tc>
        <w:tc>
          <w:tcPr>
            <w:tcW w:w="3686" w:type="dxa"/>
          </w:tcPr>
          <w:p w14:paraId="528C26E1" w14:textId="01712963" w:rsidR="00813811" w:rsidRPr="00286216" w:rsidRDefault="00813811" w:rsidP="00813811">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255</w:t>
            </w:r>
            <w:r w:rsidRPr="00286216">
              <w:rPr>
                <w:color w:val="000000" w:themeColor="text1"/>
              </w:rPr>
              <w:fldChar w:fldCharType="end"/>
            </w:r>
            <w:r w:rsidRPr="00286216">
              <w:rPr>
                <w:color w:val="000000" w:themeColor="text1"/>
              </w:rPr>
              <w:t>-Н.д.Шахов С.В. (Реєстр.картка №114)</w:t>
            </w:r>
          </w:p>
          <w:p w14:paraId="65BC7874" w14:textId="77777777" w:rsidR="00813811" w:rsidRPr="00286216" w:rsidRDefault="00813811" w:rsidP="00813811">
            <w:pPr>
              <w:spacing w:line="200" w:lineRule="exact"/>
              <w:ind w:firstLine="227"/>
              <w:jc w:val="both"/>
              <w:rPr>
                <w:color w:val="000000" w:themeColor="text1"/>
                <w:sz w:val="18"/>
              </w:rPr>
            </w:pPr>
            <w:r w:rsidRPr="00286216">
              <w:rPr>
                <w:color w:val="000000" w:themeColor="text1"/>
                <w:sz w:val="18"/>
              </w:rPr>
              <w:t>В абзаці четвертому статті 13 слово "однорідних" виключити.</w:t>
            </w:r>
          </w:p>
        </w:tc>
        <w:tc>
          <w:tcPr>
            <w:tcW w:w="1987" w:type="dxa"/>
          </w:tcPr>
          <w:p w14:paraId="0A65D781" w14:textId="77777777" w:rsidR="00813811" w:rsidRPr="00286216" w:rsidRDefault="00813811" w:rsidP="00460309">
            <w:pPr>
              <w:pStyle w:val="StyleWisnow"/>
              <w:spacing w:line="180" w:lineRule="exact"/>
              <w:rPr>
                <w:color w:val="000000" w:themeColor="text1"/>
              </w:rPr>
            </w:pPr>
            <w:r w:rsidRPr="00286216">
              <w:rPr>
                <w:color w:val="000000" w:themeColor="text1"/>
              </w:rPr>
              <w:t>Відхилено</w:t>
            </w:r>
          </w:p>
          <w:p w14:paraId="00092FC8" w14:textId="77777777" w:rsidR="00813811" w:rsidRPr="00286216" w:rsidRDefault="00813811" w:rsidP="00460309">
            <w:pPr>
              <w:pStyle w:val="StyleWisnow"/>
              <w:spacing w:line="180" w:lineRule="exact"/>
              <w:rPr>
                <w:color w:val="000000" w:themeColor="text1"/>
              </w:rPr>
            </w:pPr>
            <w:r w:rsidRPr="00286216">
              <w:rPr>
                <w:color w:val="000000" w:themeColor="text1"/>
              </w:rPr>
              <w:t>не відповідає статті 601 Цивільного кодексу</w:t>
            </w:r>
          </w:p>
        </w:tc>
        <w:tc>
          <w:tcPr>
            <w:tcW w:w="4818" w:type="dxa"/>
          </w:tcPr>
          <w:p w14:paraId="7B7ABCCE" w14:textId="77777777" w:rsidR="00813811" w:rsidRPr="00286216" w:rsidRDefault="00813811" w:rsidP="00813811">
            <w:pPr>
              <w:pStyle w:val="StyleZakonu"/>
              <w:rPr>
                <w:color w:val="000000" w:themeColor="text1"/>
              </w:rPr>
            </w:pPr>
          </w:p>
        </w:tc>
      </w:tr>
      <w:tr w:rsidR="00F77E8D" w:rsidRPr="00286216" w14:paraId="0936FC47" w14:textId="77777777" w:rsidTr="00091AA5">
        <w:tc>
          <w:tcPr>
            <w:tcW w:w="576" w:type="dxa"/>
          </w:tcPr>
          <w:p w14:paraId="5227F3AB" w14:textId="77777777" w:rsidR="00813811" w:rsidRPr="00286216" w:rsidRDefault="00813811" w:rsidP="00813811">
            <w:pPr>
              <w:pStyle w:val="StyleWisnow"/>
              <w:rPr>
                <w:color w:val="000000" w:themeColor="text1"/>
              </w:rPr>
            </w:pPr>
            <w:bookmarkStart w:id="317" w:name="n308" w:colFirst="0" w:colLast="0"/>
            <w:bookmarkEnd w:id="316"/>
            <w:r w:rsidRPr="00286216">
              <w:rPr>
                <w:color w:val="000000" w:themeColor="text1"/>
              </w:rPr>
              <w:t>308.</w:t>
            </w:r>
          </w:p>
        </w:tc>
        <w:tc>
          <w:tcPr>
            <w:tcW w:w="4818" w:type="dxa"/>
          </w:tcPr>
          <w:p w14:paraId="61BBD94F" w14:textId="77777777" w:rsidR="00813811" w:rsidRPr="00286216" w:rsidRDefault="00813811" w:rsidP="00813811">
            <w:pPr>
              <w:pStyle w:val="StyleZakonu"/>
              <w:rPr>
                <w:color w:val="000000" w:themeColor="text1"/>
              </w:rPr>
            </w:pPr>
            <w:r w:rsidRPr="00286216">
              <w:rPr>
                <w:color w:val="000000" w:themeColor="text1"/>
              </w:rPr>
              <w:t>б) заміни зобов’язань, які не були припиненні шляхом зарахування відповідно до підпункту "а" цього пункту новим єдиним грошовим зобов’язанням, за яким одна із сторін генеральної угоди (розмір суми зобов’язань якої є більшою) повинна сплатити іншій стороні генеральної угоди (розмір суми зобов’язань якої є меншою) певну грошову суму (нетто-зобов’язання).</w:t>
            </w:r>
          </w:p>
        </w:tc>
        <w:tc>
          <w:tcPr>
            <w:tcW w:w="3686" w:type="dxa"/>
          </w:tcPr>
          <w:p w14:paraId="7E8CA501" w14:textId="77777777" w:rsidR="00813811" w:rsidRPr="00286216" w:rsidRDefault="00813811" w:rsidP="00813811">
            <w:pPr>
              <w:spacing w:line="200" w:lineRule="exact"/>
              <w:ind w:firstLine="227"/>
              <w:jc w:val="both"/>
              <w:rPr>
                <w:color w:val="000000" w:themeColor="text1"/>
                <w:sz w:val="18"/>
              </w:rPr>
            </w:pPr>
          </w:p>
        </w:tc>
        <w:tc>
          <w:tcPr>
            <w:tcW w:w="1987" w:type="dxa"/>
          </w:tcPr>
          <w:p w14:paraId="74A31A7C" w14:textId="77777777" w:rsidR="00813811" w:rsidRPr="00286216" w:rsidRDefault="00813811" w:rsidP="00813811">
            <w:pPr>
              <w:pStyle w:val="StyleWisnow"/>
              <w:rPr>
                <w:color w:val="000000" w:themeColor="text1"/>
              </w:rPr>
            </w:pPr>
          </w:p>
        </w:tc>
        <w:tc>
          <w:tcPr>
            <w:tcW w:w="4818" w:type="dxa"/>
          </w:tcPr>
          <w:p w14:paraId="303C0274" w14:textId="77777777" w:rsidR="00813811" w:rsidRPr="00286216" w:rsidRDefault="00813811" w:rsidP="00813811">
            <w:pPr>
              <w:pStyle w:val="StyleZakonu"/>
              <w:rPr>
                <w:color w:val="000000" w:themeColor="text1"/>
              </w:rPr>
            </w:pPr>
          </w:p>
        </w:tc>
      </w:tr>
      <w:tr w:rsidR="00F77E8D" w:rsidRPr="00286216" w14:paraId="6C430ABB" w14:textId="77777777" w:rsidTr="00091AA5">
        <w:tc>
          <w:tcPr>
            <w:tcW w:w="576" w:type="dxa"/>
          </w:tcPr>
          <w:p w14:paraId="1D78E4FF" w14:textId="77777777" w:rsidR="00813811" w:rsidRPr="00286216" w:rsidRDefault="00813811" w:rsidP="00813811">
            <w:pPr>
              <w:pStyle w:val="StyleWisnow"/>
              <w:rPr>
                <w:color w:val="000000" w:themeColor="text1"/>
              </w:rPr>
            </w:pPr>
            <w:bookmarkStart w:id="318" w:name="n309" w:colFirst="0" w:colLast="0"/>
            <w:bookmarkEnd w:id="317"/>
            <w:r w:rsidRPr="00286216">
              <w:rPr>
                <w:color w:val="000000" w:themeColor="text1"/>
              </w:rPr>
              <w:t>309.</w:t>
            </w:r>
          </w:p>
        </w:tc>
        <w:tc>
          <w:tcPr>
            <w:tcW w:w="4818" w:type="dxa"/>
          </w:tcPr>
          <w:p w14:paraId="41F5BCC4" w14:textId="77777777" w:rsidR="00813811" w:rsidRPr="00286216" w:rsidRDefault="00813811" w:rsidP="00813811">
            <w:pPr>
              <w:pStyle w:val="StyleZakonu"/>
              <w:rPr>
                <w:color w:val="000000" w:themeColor="text1"/>
              </w:rPr>
            </w:pPr>
            <w:r w:rsidRPr="00286216">
              <w:rPr>
                <w:color w:val="000000" w:themeColor="text1"/>
              </w:rPr>
              <w:t>2. Проведення особою, зазначеною в генеральній угоді, ліквідаційного неттінгу та звернення стягнення на предмет обтяження, який забезпечує виконання зобов’язань сторони генеральної угоди щодо якої прийнято рішення, передбачене статтею 12 цього Закону, за одним або кількома деривативними контрактами, укладеними такою стороною відповідно до умов генеральної угоди, не потребують будь-якої згоди та/або затвердження такої сторони або будь-якої іншої особи.</w:t>
            </w:r>
          </w:p>
        </w:tc>
        <w:tc>
          <w:tcPr>
            <w:tcW w:w="3686" w:type="dxa"/>
          </w:tcPr>
          <w:p w14:paraId="0B57728A" w14:textId="77777777" w:rsidR="00813811" w:rsidRPr="00286216" w:rsidRDefault="00813811" w:rsidP="00813811">
            <w:pPr>
              <w:spacing w:line="200" w:lineRule="exact"/>
              <w:ind w:firstLine="227"/>
              <w:jc w:val="both"/>
              <w:rPr>
                <w:color w:val="000000" w:themeColor="text1"/>
                <w:szCs w:val="18"/>
              </w:rPr>
            </w:pPr>
          </w:p>
        </w:tc>
        <w:tc>
          <w:tcPr>
            <w:tcW w:w="1987" w:type="dxa"/>
          </w:tcPr>
          <w:p w14:paraId="34D1C89D" w14:textId="77777777" w:rsidR="00813811" w:rsidRPr="00286216" w:rsidRDefault="00813811" w:rsidP="00813811">
            <w:pPr>
              <w:pStyle w:val="StyleWisnow"/>
              <w:rPr>
                <w:color w:val="000000" w:themeColor="text1"/>
              </w:rPr>
            </w:pPr>
          </w:p>
        </w:tc>
        <w:tc>
          <w:tcPr>
            <w:tcW w:w="4818" w:type="dxa"/>
          </w:tcPr>
          <w:p w14:paraId="6F09F684" w14:textId="77777777" w:rsidR="00813811" w:rsidRPr="00286216" w:rsidRDefault="00813811" w:rsidP="00813811">
            <w:pPr>
              <w:pStyle w:val="StyleZakonu"/>
              <w:rPr>
                <w:color w:val="000000" w:themeColor="text1"/>
              </w:rPr>
            </w:pPr>
          </w:p>
        </w:tc>
      </w:tr>
      <w:bookmarkEnd w:id="318"/>
      <w:tr w:rsidR="00F77E8D" w:rsidRPr="00286216" w14:paraId="38E7F615" w14:textId="77777777" w:rsidTr="00091AA5">
        <w:tc>
          <w:tcPr>
            <w:tcW w:w="576" w:type="dxa"/>
          </w:tcPr>
          <w:p w14:paraId="62FF8D9C" w14:textId="77777777" w:rsidR="00813811" w:rsidRPr="00286216" w:rsidRDefault="00813811" w:rsidP="00813811">
            <w:pPr>
              <w:pStyle w:val="StyleWisnow"/>
              <w:rPr>
                <w:color w:val="000000" w:themeColor="text1"/>
              </w:rPr>
            </w:pPr>
          </w:p>
        </w:tc>
        <w:tc>
          <w:tcPr>
            <w:tcW w:w="4818" w:type="dxa"/>
          </w:tcPr>
          <w:p w14:paraId="00E8863F" w14:textId="77777777" w:rsidR="00813811" w:rsidRPr="00286216" w:rsidRDefault="00813811" w:rsidP="00813811">
            <w:pPr>
              <w:pStyle w:val="StyleZakonu"/>
              <w:rPr>
                <w:color w:val="000000" w:themeColor="text1"/>
              </w:rPr>
            </w:pPr>
          </w:p>
        </w:tc>
        <w:tc>
          <w:tcPr>
            <w:tcW w:w="3686" w:type="dxa"/>
          </w:tcPr>
          <w:p w14:paraId="7372D9ED" w14:textId="2C3A309C" w:rsidR="00813811" w:rsidRPr="00286216" w:rsidRDefault="00813811" w:rsidP="00813811">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256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81F5E66" w14:textId="41D25F8A" w:rsidR="00813811" w:rsidRPr="00286216" w:rsidRDefault="00813811" w:rsidP="00460309">
            <w:pPr>
              <w:pStyle w:val="StyleProp"/>
              <w:spacing w:line="180" w:lineRule="exact"/>
              <w:rPr>
                <w:color w:val="000000" w:themeColor="text1"/>
                <w:szCs w:val="18"/>
              </w:rPr>
            </w:pPr>
            <w:r w:rsidRPr="00286216">
              <w:rPr>
                <w:color w:val="000000" w:themeColor="text1"/>
                <w:szCs w:val="18"/>
              </w:rPr>
              <w:t>Частину другу статті 13 доповнити новим абзацом такого змісту:</w:t>
            </w:r>
          </w:p>
          <w:p w14:paraId="06753378" w14:textId="77777777" w:rsidR="00813811" w:rsidRPr="00286216" w:rsidRDefault="00813811" w:rsidP="00460309">
            <w:pPr>
              <w:pStyle w:val="StyleProp"/>
              <w:spacing w:line="180" w:lineRule="exact"/>
              <w:rPr>
                <w:color w:val="000000" w:themeColor="text1"/>
                <w:szCs w:val="18"/>
              </w:rPr>
            </w:pPr>
            <w:r w:rsidRPr="00286216">
              <w:rPr>
                <w:color w:val="000000" w:themeColor="text1"/>
                <w:szCs w:val="18"/>
              </w:rPr>
              <w:t>«Ліквідаційний неттінг здійснюється протягом 7 робочих днів з дати прийняття рішення передбаченого статтею 12 цього Закону».</w:t>
            </w:r>
          </w:p>
        </w:tc>
        <w:tc>
          <w:tcPr>
            <w:tcW w:w="1987" w:type="dxa"/>
          </w:tcPr>
          <w:p w14:paraId="32FAD4DB" w14:textId="77777777" w:rsidR="00813811" w:rsidRPr="00286216" w:rsidRDefault="00813811" w:rsidP="00F6479F">
            <w:pPr>
              <w:pStyle w:val="StyleWisnow"/>
              <w:spacing w:line="180" w:lineRule="exact"/>
              <w:rPr>
                <w:color w:val="000000" w:themeColor="text1"/>
              </w:rPr>
            </w:pPr>
            <w:r w:rsidRPr="00286216">
              <w:rPr>
                <w:color w:val="000000" w:themeColor="text1"/>
              </w:rPr>
              <w:t>Враховано по суті</w:t>
            </w:r>
          </w:p>
          <w:p w14:paraId="59442FD9" w14:textId="1D70FB6A" w:rsidR="00460309" w:rsidRPr="00286216" w:rsidRDefault="00460309" w:rsidP="00F6479F">
            <w:pPr>
              <w:pStyle w:val="StyleWisnow"/>
              <w:spacing w:line="180" w:lineRule="exact"/>
              <w:rPr>
                <w:color w:val="000000" w:themeColor="text1"/>
              </w:rPr>
            </w:pPr>
            <w:r w:rsidRPr="00286216">
              <w:rPr>
                <w:color w:val="000000" w:themeColor="text1"/>
              </w:rPr>
              <w:t>у статті 40</w:t>
            </w:r>
          </w:p>
        </w:tc>
        <w:tc>
          <w:tcPr>
            <w:tcW w:w="4818" w:type="dxa"/>
          </w:tcPr>
          <w:p w14:paraId="27EC8CF2" w14:textId="77777777" w:rsidR="00813811" w:rsidRPr="00286216" w:rsidRDefault="00813811" w:rsidP="00813811">
            <w:pPr>
              <w:pStyle w:val="StyleZakonu"/>
              <w:rPr>
                <w:color w:val="000000" w:themeColor="text1"/>
              </w:rPr>
            </w:pPr>
          </w:p>
        </w:tc>
      </w:tr>
      <w:tr w:rsidR="00F77E8D" w:rsidRPr="00286216" w14:paraId="33B93444" w14:textId="77777777" w:rsidTr="00091AA5">
        <w:tc>
          <w:tcPr>
            <w:tcW w:w="576" w:type="dxa"/>
          </w:tcPr>
          <w:p w14:paraId="35D8591F" w14:textId="77777777" w:rsidR="00813811" w:rsidRPr="00286216" w:rsidRDefault="00813811" w:rsidP="00813811">
            <w:pPr>
              <w:pStyle w:val="StyleWisnow"/>
              <w:rPr>
                <w:color w:val="000000" w:themeColor="text1"/>
              </w:rPr>
            </w:pPr>
            <w:bookmarkStart w:id="319" w:name="n310" w:colFirst="0" w:colLast="0"/>
            <w:r w:rsidRPr="00286216">
              <w:rPr>
                <w:color w:val="000000" w:themeColor="text1"/>
              </w:rPr>
              <w:t>310.</w:t>
            </w:r>
          </w:p>
        </w:tc>
        <w:tc>
          <w:tcPr>
            <w:tcW w:w="4818" w:type="dxa"/>
          </w:tcPr>
          <w:p w14:paraId="47DFDDC4" w14:textId="77777777" w:rsidR="00813811" w:rsidRPr="00286216" w:rsidRDefault="00813811" w:rsidP="00813811">
            <w:pPr>
              <w:pStyle w:val="StyleZakonu"/>
              <w:rPr>
                <w:color w:val="000000" w:themeColor="text1"/>
              </w:rPr>
            </w:pPr>
            <w:r w:rsidRPr="00286216">
              <w:rPr>
                <w:color w:val="000000" w:themeColor="text1"/>
              </w:rPr>
              <w:t>3. Ліквідаційний неттінг не проводиться в будь-якому з таких випадків:</w:t>
            </w:r>
          </w:p>
        </w:tc>
        <w:tc>
          <w:tcPr>
            <w:tcW w:w="3686" w:type="dxa"/>
          </w:tcPr>
          <w:p w14:paraId="724B8A6E" w14:textId="77777777" w:rsidR="00813811" w:rsidRPr="00286216" w:rsidRDefault="00813811" w:rsidP="00813811">
            <w:pPr>
              <w:pStyle w:val="StyleProp"/>
              <w:rPr>
                <w:color w:val="000000" w:themeColor="text1"/>
                <w:szCs w:val="18"/>
              </w:rPr>
            </w:pPr>
          </w:p>
        </w:tc>
        <w:tc>
          <w:tcPr>
            <w:tcW w:w="1987" w:type="dxa"/>
          </w:tcPr>
          <w:p w14:paraId="570AA32F" w14:textId="77777777" w:rsidR="00813811" w:rsidRPr="00286216" w:rsidRDefault="00813811" w:rsidP="00813811">
            <w:pPr>
              <w:pStyle w:val="StyleWisnow"/>
              <w:rPr>
                <w:color w:val="000000" w:themeColor="text1"/>
              </w:rPr>
            </w:pPr>
          </w:p>
        </w:tc>
        <w:tc>
          <w:tcPr>
            <w:tcW w:w="4818" w:type="dxa"/>
          </w:tcPr>
          <w:p w14:paraId="4E231A6A" w14:textId="77777777" w:rsidR="00813811" w:rsidRPr="00286216" w:rsidRDefault="00813811" w:rsidP="00813811">
            <w:pPr>
              <w:pStyle w:val="StyleZakonu"/>
              <w:rPr>
                <w:color w:val="000000" w:themeColor="text1"/>
              </w:rPr>
            </w:pPr>
          </w:p>
        </w:tc>
      </w:tr>
      <w:tr w:rsidR="00F77E8D" w:rsidRPr="00286216" w14:paraId="2DA7A370" w14:textId="77777777" w:rsidTr="00091AA5">
        <w:tc>
          <w:tcPr>
            <w:tcW w:w="576" w:type="dxa"/>
          </w:tcPr>
          <w:p w14:paraId="6316F3C9" w14:textId="77777777" w:rsidR="00813811" w:rsidRPr="00286216" w:rsidRDefault="00813811" w:rsidP="00813811">
            <w:pPr>
              <w:pStyle w:val="StyleWisnow"/>
              <w:rPr>
                <w:color w:val="000000" w:themeColor="text1"/>
              </w:rPr>
            </w:pPr>
            <w:bookmarkStart w:id="320" w:name="n311" w:colFirst="0" w:colLast="0"/>
            <w:bookmarkEnd w:id="319"/>
            <w:r w:rsidRPr="00286216">
              <w:rPr>
                <w:color w:val="000000" w:themeColor="text1"/>
              </w:rPr>
              <w:t>311.</w:t>
            </w:r>
          </w:p>
        </w:tc>
        <w:tc>
          <w:tcPr>
            <w:tcW w:w="4818" w:type="dxa"/>
          </w:tcPr>
          <w:p w14:paraId="0293531F" w14:textId="77777777" w:rsidR="00813811" w:rsidRPr="00286216" w:rsidRDefault="00813811" w:rsidP="00813811">
            <w:pPr>
              <w:pStyle w:val="StyleZakonu"/>
              <w:rPr>
                <w:color w:val="000000" w:themeColor="text1"/>
              </w:rPr>
            </w:pPr>
            <w:r w:rsidRPr="00286216">
              <w:rPr>
                <w:color w:val="000000" w:themeColor="text1"/>
              </w:rPr>
              <w:t>1) якщо відповідна генеральна угода не передбачає можливості або процедури його проведення;</w:t>
            </w:r>
          </w:p>
        </w:tc>
        <w:tc>
          <w:tcPr>
            <w:tcW w:w="3686" w:type="dxa"/>
          </w:tcPr>
          <w:p w14:paraId="68E86B5B" w14:textId="77777777" w:rsidR="00813811" w:rsidRPr="00286216" w:rsidRDefault="00813811" w:rsidP="00813811">
            <w:pPr>
              <w:pStyle w:val="StyleProp"/>
              <w:rPr>
                <w:color w:val="000000" w:themeColor="text1"/>
                <w:szCs w:val="18"/>
              </w:rPr>
            </w:pPr>
          </w:p>
        </w:tc>
        <w:tc>
          <w:tcPr>
            <w:tcW w:w="1987" w:type="dxa"/>
          </w:tcPr>
          <w:p w14:paraId="376B6A83" w14:textId="77777777" w:rsidR="00813811" w:rsidRPr="00286216" w:rsidRDefault="00813811" w:rsidP="00813811">
            <w:pPr>
              <w:pStyle w:val="StyleWisnow"/>
              <w:rPr>
                <w:color w:val="000000" w:themeColor="text1"/>
              </w:rPr>
            </w:pPr>
          </w:p>
        </w:tc>
        <w:tc>
          <w:tcPr>
            <w:tcW w:w="4818" w:type="dxa"/>
          </w:tcPr>
          <w:p w14:paraId="2EE1F603" w14:textId="77777777" w:rsidR="00813811" w:rsidRPr="00286216" w:rsidRDefault="00813811" w:rsidP="00813811">
            <w:pPr>
              <w:pStyle w:val="StyleZakonu"/>
              <w:rPr>
                <w:color w:val="000000" w:themeColor="text1"/>
              </w:rPr>
            </w:pPr>
          </w:p>
        </w:tc>
      </w:tr>
      <w:tr w:rsidR="00F77E8D" w:rsidRPr="00286216" w14:paraId="3DA1E9EA" w14:textId="77777777" w:rsidTr="00091AA5">
        <w:tc>
          <w:tcPr>
            <w:tcW w:w="576" w:type="dxa"/>
          </w:tcPr>
          <w:p w14:paraId="1335CB12" w14:textId="77777777" w:rsidR="00813811" w:rsidRPr="00286216" w:rsidRDefault="00813811" w:rsidP="00813811">
            <w:pPr>
              <w:pStyle w:val="StyleWisnow"/>
              <w:rPr>
                <w:color w:val="000000" w:themeColor="text1"/>
              </w:rPr>
            </w:pPr>
            <w:bookmarkStart w:id="321" w:name="n312" w:colFirst="0" w:colLast="0"/>
            <w:bookmarkEnd w:id="320"/>
            <w:r w:rsidRPr="00286216">
              <w:rPr>
                <w:color w:val="000000" w:themeColor="text1"/>
              </w:rPr>
              <w:t>312.</w:t>
            </w:r>
          </w:p>
        </w:tc>
        <w:tc>
          <w:tcPr>
            <w:tcW w:w="4818" w:type="dxa"/>
          </w:tcPr>
          <w:p w14:paraId="11BC1AAE" w14:textId="77777777" w:rsidR="00813811" w:rsidRPr="00286216" w:rsidRDefault="00813811" w:rsidP="00813811">
            <w:pPr>
              <w:pStyle w:val="StyleZakonu"/>
              <w:rPr>
                <w:color w:val="000000" w:themeColor="text1"/>
              </w:rPr>
            </w:pPr>
            <w:r w:rsidRPr="00286216">
              <w:rPr>
                <w:color w:val="000000" w:themeColor="text1"/>
              </w:rPr>
              <w:t>2) якщо відповідна генеральна угода укладена після прийняття рішення, передбаченого статтею 12 цього Закону;</w:t>
            </w:r>
          </w:p>
        </w:tc>
        <w:tc>
          <w:tcPr>
            <w:tcW w:w="3686" w:type="dxa"/>
          </w:tcPr>
          <w:p w14:paraId="78582DF8" w14:textId="77777777" w:rsidR="00813811" w:rsidRPr="00286216" w:rsidRDefault="00813811" w:rsidP="00813811">
            <w:pPr>
              <w:pStyle w:val="StyleProp"/>
              <w:rPr>
                <w:color w:val="000000" w:themeColor="text1"/>
                <w:szCs w:val="18"/>
              </w:rPr>
            </w:pPr>
          </w:p>
        </w:tc>
        <w:tc>
          <w:tcPr>
            <w:tcW w:w="1987" w:type="dxa"/>
          </w:tcPr>
          <w:p w14:paraId="69E87C1A" w14:textId="77777777" w:rsidR="00813811" w:rsidRPr="00286216" w:rsidRDefault="00813811" w:rsidP="00813811">
            <w:pPr>
              <w:pStyle w:val="StyleWisnow"/>
              <w:rPr>
                <w:color w:val="000000" w:themeColor="text1"/>
              </w:rPr>
            </w:pPr>
          </w:p>
        </w:tc>
        <w:tc>
          <w:tcPr>
            <w:tcW w:w="4818" w:type="dxa"/>
          </w:tcPr>
          <w:p w14:paraId="16EDD8C6" w14:textId="77777777" w:rsidR="00813811" w:rsidRPr="00286216" w:rsidRDefault="00813811" w:rsidP="00813811">
            <w:pPr>
              <w:pStyle w:val="StyleZakonu"/>
              <w:rPr>
                <w:color w:val="000000" w:themeColor="text1"/>
              </w:rPr>
            </w:pPr>
          </w:p>
        </w:tc>
      </w:tr>
      <w:tr w:rsidR="00F77E8D" w:rsidRPr="00286216" w14:paraId="39B2F78E" w14:textId="77777777" w:rsidTr="00091AA5">
        <w:tc>
          <w:tcPr>
            <w:tcW w:w="576" w:type="dxa"/>
          </w:tcPr>
          <w:p w14:paraId="07978283" w14:textId="77777777" w:rsidR="00813811" w:rsidRPr="00286216" w:rsidRDefault="00813811" w:rsidP="00813811">
            <w:pPr>
              <w:pStyle w:val="StyleWisnow"/>
              <w:rPr>
                <w:color w:val="000000" w:themeColor="text1"/>
              </w:rPr>
            </w:pPr>
            <w:bookmarkStart w:id="322" w:name="n313" w:colFirst="0" w:colLast="0"/>
            <w:bookmarkEnd w:id="321"/>
            <w:r w:rsidRPr="00286216">
              <w:rPr>
                <w:color w:val="000000" w:themeColor="text1"/>
              </w:rPr>
              <w:t>313.</w:t>
            </w:r>
          </w:p>
        </w:tc>
        <w:tc>
          <w:tcPr>
            <w:tcW w:w="4818" w:type="dxa"/>
          </w:tcPr>
          <w:p w14:paraId="5A76A086" w14:textId="77777777" w:rsidR="00813811" w:rsidRPr="00286216" w:rsidRDefault="00813811" w:rsidP="00813811">
            <w:pPr>
              <w:pStyle w:val="StyleZakonu"/>
              <w:rPr>
                <w:color w:val="000000" w:themeColor="text1"/>
              </w:rPr>
            </w:pPr>
            <w:r w:rsidRPr="00286216">
              <w:rPr>
                <w:color w:val="000000" w:themeColor="text1"/>
              </w:rPr>
              <w:t>3) якщо деривативний контракт, укладений стороною на підставі відповідної генеральної угоди після прийняття рішення, передбаченого статтею 12 цього Закону.</w:t>
            </w:r>
          </w:p>
        </w:tc>
        <w:tc>
          <w:tcPr>
            <w:tcW w:w="3686" w:type="dxa"/>
          </w:tcPr>
          <w:p w14:paraId="13F912B8" w14:textId="77777777" w:rsidR="00813811" w:rsidRPr="00286216" w:rsidRDefault="00813811" w:rsidP="00813811">
            <w:pPr>
              <w:pStyle w:val="StyleProp"/>
              <w:rPr>
                <w:color w:val="000000" w:themeColor="text1"/>
                <w:szCs w:val="18"/>
              </w:rPr>
            </w:pPr>
          </w:p>
        </w:tc>
        <w:tc>
          <w:tcPr>
            <w:tcW w:w="1987" w:type="dxa"/>
          </w:tcPr>
          <w:p w14:paraId="554FCEBF" w14:textId="77777777" w:rsidR="00813811" w:rsidRPr="00286216" w:rsidRDefault="00813811" w:rsidP="00813811">
            <w:pPr>
              <w:pStyle w:val="StyleWisnow"/>
              <w:rPr>
                <w:color w:val="000000" w:themeColor="text1"/>
              </w:rPr>
            </w:pPr>
          </w:p>
        </w:tc>
        <w:tc>
          <w:tcPr>
            <w:tcW w:w="4818" w:type="dxa"/>
          </w:tcPr>
          <w:p w14:paraId="71BB4E2D" w14:textId="77777777" w:rsidR="00813811" w:rsidRPr="00286216" w:rsidRDefault="00813811" w:rsidP="00813811">
            <w:pPr>
              <w:pStyle w:val="StyleZakonu"/>
              <w:rPr>
                <w:color w:val="000000" w:themeColor="text1"/>
              </w:rPr>
            </w:pPr>
          </w:p>
        </w:tc>
      </w:tr>
      <w:tr w:rsidR="00F77E8D" w:rsidRPr="00286216" w14:paraId="47E51E3D" w14:textId="77777777" w:rsidTr="00091AA5">
        <w:tc>
          <w:tcPr>
            <w:tcW w:w="576" w:type="dxa"/>
          </w:tcPr>
          <w:p w14:paraId="21CFC8F2" w14:textId="77777777" w:rsidR="00813811" w:rsidRPr="00286216" w:rsidRDefault="00813811" w:rsidP="00813811">
            <w:pPr>
              <w:pStyle w:val="StyleWisnow"/>
              <w:rPr>
                <w:color w:val="000000" w:themeColor="text1"/>
              </w:rPr>
            </w:pPr>
            <w:bookmarkStart w:id="323" w:name="n314" w:colFirst="0" w:colLast="0"/>
            <w:bookmarkEnd w:id="322"/>
            <w:r w:rsidRPr="00286216">
              <w:rPr>
                <w:color w:val="000000" w:themeColor="text1"/>
              </w:rPr>
              <w:t>314.</w:t>
            </w:r>
          </w:p>
        </w:tc>
        <w:tc>
          <w:tcPr>
            <w:tcW w:w="4818" w:type="dxa"/>
          </w:tcPr>
          <w:p w14:paraId="3B5CB4E5" w14:textId="77777777" w:rsidR="00813811" w:rsidRPr="00286216" w:rsidRDefault="00813811" w:rsidP="00813811">
            <w:pPr>
              <w:pStyle w:val="StyleZakonu"/>
              <w:rPr>
                <w:color w:val="000000" w:themeColor="text1"/>
              </w:rPr>
            </w:pPr>
            <w:r w:rsidRPr="00286216">
              <w:rPr>
                <w:color w:val="000000" w:themeColor="text1"/>
              </w:rPr>
              <w:t>4. Ліквідаційний неттінг проводиться також у випадках, визначених у Правилах провадження клірингової діяльності особи, яка провадить клірингову діяльність.</w:t>
            </w:r>
          </w:p>
        </w:tc>
        <w:tc>
          <w:tcPr>
            <w:tcW w:w="3686" w:type="dxa"/>
          </w:tcPr>
          <w:p w14:paraId="6E948BE2" w14:textId="77777777" w:rsidR="00813811" w:rsidRPr="00286216" w:rsidRDefault="00813811" w:rsidP="00813811">
            <w:pPr>
              <w:pStyle w:val="StyleProp"/>
              <w:rPr>
                <w:color w:val="000000" w:themeColor="text1"/>
                <w:szCs w:val="18"/>
              </w:rPr>
            </w:pPr>
          </w:p>
        </w:tc>
        <w:tc>
          <w:tcPr>
            <w:tcW w:w="1987" w:type="dxa"/>
          </w:tcPr>
          <w:p w14:paraId="53C73D02" w14:textId="77777777" w:rsidR="00813811" w:rsidRPr="00286216" w:rsidRDefault="00813811" w:rsidP="00813811">
            <w:pPr>
              <w:pStyle w:val="StyleWisnow"/>
              <w:rPr>
                <w:color w:val="000000" w:themeColor="text1"/>
              </w:rPr>
            </w:pPr>
          </w:p>
        </w:tc>
        <w:tc>
          <w:tcPr>
            <w:tcW w:w="4818" w:type="dxa"/>
          </w:tcPr>
          <w:p w14:paraId="1D7C62C0" w14:textId="77777777" w:rsidR="00813811" w:rsidRPr="00286216" w:rsidRDefault="00813811" w:rsidP="00813811">
            <w:pPr>
              <w:pStyle w:val="StyleZakonu"/>
              <w:rPr>
                <w:color w:val="000000" w:themeColor="text1"/>
              </w:rPr>
            </w:pPr>
          </w:p>
        </w:tc>
      </w:tr>
      <w:tr w:rsidR="00F77E8D" w:rsidRPr="00286216" w14:paraId="32DD5F9E" w14:textId="77777777" w:rsidTr="00091AA5">
        <w:tc>
          <w:tcPr>
            <w:tcW w:w="576" w:type="dxa"/>
          </w:tcPr>
          <w:p w14:paraId="3BC5F6BB" w14:textId="77777777" w:rsidR="00813811" w:rsidRPr="00286216" w:rsidRDefault="00813811" w:rsidP="00813811">
            <w:pPr>
              <w:pStyle w:val="StyleWisnow"/>
              <w:rPr>
                <w:color w:val="000000" w:themeColor="text1"/>
              </w:rPr>
            </w:pPr>
            <w:bookmarkStart w:id="324" w:name="n315" w:colFirst="0" w:colLast="0"/>
            <w:bookmarkEnd w:id="323"/>
            <w:r w:rsidRPr="00286216">
              <w:rPr>
                <w:color w:val="000000" w:themeColor="text1"/>
              </w:rPr>
              <w:lastRenderedPageBreak/>
              <w:t>315.</w:t>
            </w:r>
          </w:p>
        </w:tc>
        <w:tc>
          <w:tcPr>
            <w:tcW w:w="4818" w:type="dxa"/>
          </w:tcPr>
          <w:p w14:paraId="34974557" w14:textId="77777777" w:rsidR="00813811" w:rsidRPr="00286216" w:rsidRDefault="00813811" w:rsidP="00813811">
            <w:pPr>
              <w:pStyle w:val="StyleZakonu"/>
              <w:rPr>
                <w:color w:val="000000" w:themeColor="text1"/>
              </w:rPr>
            </w:pPr>
            <w:r w:rsidRPr="00286216">
              <w:rPr>
                <w:color w:val="000000" w:themeColor="text1"/>
              </w:rPr>
              <w:t>5. Особливості проведення ліквідаційного неттінгу щодо зобов’язань юридичних осіб (крім банків), які є сторонами генеральної угоди, та щодо яких відкрито провадження у справі про банкрутство, встановлюються Кодексом України з процедур банкрутства.</w:t>
            </w:r>
          </w:p>
        </w:tc>
        <w:tc>
          <w:tcPr>
            <w:tcW w:w="3686" w:type="dxa"/>
          </w:tcPr>
          <w:p w14:paraId="2A4BF98B" w14:textId="77777777" w:rsidR="00813811" w:rsidRPr="00286216" w:rsidRDefault="00813811" w:rsidP="00813811">
            <w:pPr>
              <w:spacing w:line="200" w:lineRule="exact"/>
              <w:ind w:firstLine="227"/>
              <w:jc w:val="both"/>
              <w:rPr>
                <w:color w:val="000000" w:themeColor="text1"/>
                <w:sz w:val="18"/>
              </w:rPr>
            </w:pPr>
          </w:p>
        </w:tc>
        <w:tc>
          <w:tcPr>
            <w:tcW w:w="1987" w:type="dxa"/>
          </w:tcPr>
          <w:p w14:paraId="3FB1024B" w14:textId="571F4D50" w:rsidR="00813811" w:rsidRPr="00286216" w:rsidRDefault="00813811" w:rsidP="00813811">
            <w:pPr>
              <w:pStyle w:val="StyleWisnow"/>
              <w:rPr>
                <w:color w:val="000000" w:themeColor="text1"/>
              </w:rPr>
            </w:pPr>
          </w:p>
        </w:tc>
        <w:tc>
          <w:tcPr>
            <w:tcW w:w="4818" w:type="dxa"/>
          </w:tcPr>
          <w:p w14:paraId="04B1C4F3" w14:textId="77777777" w:rsidR="00813811" w:rsidRPr="00286216" w:rsidRDefault="00813811" w:rsidP="00813811">
            <w:pPr>
              <w:pStyle w:val="StyleZakonu"/>
              <w:rPr>
                <w:color w:val="000000" w:themeColor="text1"/>
              </w:rPr>
            </w:pPr>
          </w:p>
        </w:tc>
      </w:tr>
      <w:tr w:rsidR="00F77E8D" w:rsidRPr="00286216" w14:paraId="33B95113" w14:textId="77777777" w:rsidTr="00091AA5">
        <w:tc>
          <w:tcPr>
            <w:tcW w:w="576" w:type="dxa"/>
          </w:tcPr>
          <w:p w14:paraId="71A9F2DB" w14:textId="77777777" w:rsidR="00813811" w:rsidRPr="00286216" w:rsidRDefault="00813811" w:rsidP="00813811">
            <w:pPr>
              <w:pStyle w:val="StyleWisnow"/>
              <w:rPr>
                <w:color w:val="000000" w:themeColor="text1"/>
              </w:rPr>
            </w:pPr>
            <w:bookmarkStart w:id="325" w:name="n316" w:colFirst="0" w:colLast="0"/>
            <w:bookmarkEnd w:id="324"/>
            <w:r w:rsidRPr="00286216">
              <w:rPr>
                <w:color w:val="000000" w:themeColor="text1"/>
              </w:rPr>
              <w:t>316.</w:t>
            </w:r>
          </w:p>
        </w:tc>
        <w:tc>
          <w:tcPr>
            <w:tcW w:w="4818" w:type="dxa"/>
          </w:tcPr>
          <w:p w14:paraId="1FD6C02F" w14:textId="77777777" w:rsidR="00813811" w:rsidRPr="00286216" w:rsidRDefault="00813811" w:rsidP="00813811">
            <w:pPr>
              <w:pStyle w:val="StyleZakonu"/>
              <w:rPr>
                <w:color w:val="000000" w:themeColor="text1"/>
              </w:rPr>
            </w:pPr>
            <w:r w:rsidRPr="00286216">
              <w:rPr>
                <w:color w:val="000000" w:themeColor="text1"/>
              </w:rPr>
              <w:t>Особливості проведення ліквідаційного неттінгу щодо зобов’язань банків, які є сторонами генеральної угоди, встановлюються та Законом України "Про систему гарантування вкладів фізичних осіб".</w:t>
            </w:r>
          </w:p>
        </w:tc>
        <w:tc>
          <w:tcPr>
            <w:tcW w:w="3686" w:type="dxa"/>
          </w:tcPr>
          <w:p w14:paraId="0C979209" w14:textId="77777777" w:rsidR="00813811" w:rsidRPr="00286216" w:rsidRDefault="00813811" w:rsidP="00813811">
            <w:pPr>
              <w:pStyle w:val="StyleProp"/>
              <w:rPr>
                <w:color w:val="000000" w:themeColor="text1"/>
                <w:szCs w:val="18"/>
              </w:rPr>
            </w:pPr>
          </w:p>
        </w:tc>
        <w:tc>
          <w:tcPr>
            <w:tcW w:w="1987" w:type="dxa"/>
          </w:tcPr>
          <w:p w14:paraId="2DCA1745" w14:textId="76200E0E" w:rsidR="00813811" w:rsidRPr="00286216" w:rsidRDefault="00813811" w:rsidP="00813811">
            <w:pPr>
              <w:pStyle w:val="StyleWisnow"/>
              <w:rPr>
                <w:color w:val="000000" w:themeColor="text1"/>
              </w:rPr>
            </w:pPr>
          </w:p>
        </w:tc>
        <w:tc>
          <w:tcPr>
            <w:tcW w:w="4818" w:type="dxa"/>
          </w:tcPr>
          <w:p w14:paraId="3CEB8E27" w14:textId="77777777" w:rsidR="00813811" w:rsidRPr="00286216" w:rsidRDefault="00813811" w:rsidP="00813811">
            <w:pPr>
              <w:pStyle w:val="StyleZakonu"/>
              <w:rPr>
                <w:color w:val="000000" w:themeColor="text1"/>
              </w:rPr>
            </w:pPr>
          </w:p>
        </w:tc>
      </w:tr>
      <w:tr w:rsidR="00F77E8D" w:rsidRPr="00286216" w14:paraId="71458321" w14:textId="77777777" w:rsidTr="00091AA5">
        <w:tc>
          <w:tcPr>
            <w:tcW w:w="576" w:type="dxa"/>
          </w:tcPr>
          <w:p w14:paraId="676816BF" w14:textId="77777777" w:rsidR="00813811" w:rsidRPr="00286216" w:rsidRDefault="00813811" w:rsidP="00813811">
            <w:pPr>
              <w:pStyle w:val="StyleWisnow"/>
              <w:rPr>
                <w:color w:val="000000" w:themeColor="text1"/>
              </w:rPr>
            </w:pPr>
            <w:bookmarkStart w:id="326" w:name="n317" w:colFirst="0" w:colLast="0"/>
            <w:bookmarkEnd w:id="325"/>
            <w:r w:rsidRPr="00286216">
              <w:rPr>
                <w:color w:val="000000" w:themeColor="text1"/>
              </w:rPr>
              <w:t>317.</w:t>
            </w:r>
          </w:p>
        </w:tc>
        <w:tc>
          <w:tcPr>
            <w:tcW w:w="4818" w:type="dxa"/>
          </w:tcPr>
          <w:p w14:paraId="1F3D9D37" w14:textId="77777777" w:rsidR="00813811" w:rsidRPr="00286216" w:rsidRDefault="00813811" w:rsidP="00813811">
            <w:pPr>
              <w:pStyle w:val="StyleZakonu"/>
              <w:rPr>
                <w:color w:val="000000" w:themeColor="text1"/>
              </w:rPr>
            </w:pPr>
            <w:r w:rsidRPr="00286216">
              <w:rPr>
                <w:color w:val="000000" w:themeColor="text1"/>
              </w:rPr>
              <w:t>6. Положення цієї статті застосовується також до інших фінансових інструментів та правочинів щодо них, товарних операцій, а також до правочинів щодо валютних цінностей.</w:t>
            </w:r>
          </w:p>
        </w:tc>
        <w:tc>
          <w:tcPr>
            <w:tcW w:w="3686" w:type="dxa"/>
          </w:tcPr>
          <w:p w14:paraId="19C51C2D" w14:textId="77777777" w:rsidR="00813811" w:rsidRPr="00286216" w:rsidRDefault="00813811" w:rsidP="00813811">
            <w:pPr>
              <w:pStyle w:val="StyleProp"/>
              <w:rPr>
                <w:color w:val="000000" w:themeColor="text1"/>
                <w:szCs w:val="18"/>
              </w:rPr>
            </w:pPr>
          </w:p>
        </w:tc>
        <w:tc>
          <w:tcPr>
            <w:tcW w:w="1987" w:type="dxa"/>
          </w:tcPr>
          <w:p w14:paraId="39D6B1FB" w14:textId="77777777" w:rsidR="00813811" w:rsidRPr="00286216" w:rsidRDefault="00813811" w:rsidP="00813811">
            <w:pPr>
              <w:pStyle w:val="StyleWisnow"/>
              <w:rPr>
                <w:color w:val="000000" w:themeColor="text1"/>
              </w:rPr>
            </w:pPr>
          </w:p>
        </w:tc>
        <w:tc>
          <w:tcPr>
            <w:tcW w:w="4818" w:type="dxa"/>
          </w:tcPr>
          <w:p w14:paraId="7C76B688" w14:textId="77777777" w:rsidR="00813811" w:rsidRPr="00286216" w:rsidRDefault="00813811" w:rsidP="00813811">
            <w:pPr>
              <w:pStyle w:val="StyleZakonu"/>
              <w:rPr>
                <w:color w:val="000000" w:themeColor="text1"/>
              </w:rPr>
            </w:pPr>
          </w:p>
        </w:tc>
      </w:tr>
      <w:tr w:rsidR="00F77E8D" w:rsidRPr="00286216" w14:paraId="2CF39079" w14:textId="77777777" w:rsidTr="00091AA5">
        <w:tc>
          <w:tcPr>
            <w:tcW w:w="576" w:type="dxa"/>
          </w:tcPr>
          <w:p w14:paraId="12C46F6B" w14:textId="77777777" w:rsidR="00813811" w:rsidRPr="00286216" w:rsidRDefault="00813811" w:rsidP="00813811">
            <w:pPr>
              <w:pStyle w:val="StyleWisnow"/>
              <w:rPr>
                <w:color w:val="000000" w:themeColor="text1"/>
              </w:rPr>
            </w:pPr>
            <w:bookmarkStart w:id="327" w:name="n318" w:colFirst="0" w:colLast="0"/>
            <w:bookmarkEnd w:id="326"/>
            <w:r w:rsidRPr="00286216">
              <w:rPr>
                <w:color w:val="000000" w:themeColor="text1"/>
              </w:rPr>
              <w:t>318.</w:t>
            </w:r>
          </w:p>
        </w:tc>
        <w:tc>
          <w:tcPr>
            <w:tcW w:w="4818" w:type="dxa"/>
          </w:tcPr>
          <w:p w14:paraId="14F31B0A" w14:textId="77777777" w:rsidR="00813811" w:rsidRPr="00286216" w:rsidRDefault="00813811" w:rsidP="00813811">
            <w:pPr>
              <w:pStyle w:val="StyleZakonu"/>
              <w:spacing w:after="0"/>
              <w:ind w:firstLine="0"/>
              <w:jc w:val="center"/>
              <w:rPr>
                <w:color w:val="000000" w:themeColor="text1"/>
              </w:rPr>
            </w:pPr>
            <w:r w:rsidRPr="00286216">
              <w:rPr>
                <w:color w:val="000000" w:themeColor="text1"/>
              </w:rPr>
              <w:t>Розділ II</w:t>
            </w:r>
          </w:p>
          <w:p w14:paraId="4D6106D4" w14:textId="77777777" w:rsidR="00813811" w:rsidRPr="00286216" w:rsidRDefault="00813811" w:rsidP="00813811">
            <w:pPr>
              <w:pStyle w:val="StyleZakonu"/>
              <w:ind w:firstLine="0"/>
              <w:jc w:val="center"/>
              <w:rPr>
                <w:color w:val="000000" w:themeColor="text1"/>
              </w:rPr>
            </w:pPr>
            <w:r w:rsidRPr="00286216">
              <w:rPr>
                <w:color w:val="000000" w:themeColor="text1"/>
              </w:rPr>
              <w:t>ВИДИ ЦІННИХ ПАПЕРІВ</w:t>
            </w:r>
          </w:p>
        </w:tc>
        <w:tc>
          <w:tcPr>
            <w:tcW w:w="3686" w:type="dxa"/>
          </w:tcPr>
          <w:p w14:paraId="1E4FD5B3" w14:textId="55F9E14A" w:rsidR="00813811" w:rsidRPr="00286216" w:rsidRDefault="00813811" w:rsidP="00813811">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257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7C5EFF8" w14:textId="1E81AE9B" w:rsidR="00813811" w:rsidRPr="00286216" w:rsidRDefault="00813811" w:rsidP="00813811">
            <w:pPr>
              <w:pStyle w:val="StyleProp"/>
              <w:rPr>
                <w:color w:val="000000" w:themeColor="text1"/>
              </w:rPr>
            </w:pPr>
            <w:r w:rsidRPr="00286216">
              <w:rPr>
                <w:color w:val="000000" w:themeColor="text1"/>
                <w:szCs w:val="18"/>
              </w:rPr>
              <w:t>Назву розділу ІІ перенести після статті 5 викласти у такій редакції: «Цінні папери».</w:t>
            </w:r>
          </w:p>
        </w:tc>
        <w:tc>
          <w:tcPr>
            <w:tcW w:w="1987" w:type="dxa"/>
          </w:tcPr>
          <w:p w14:paraId="7F93E2EB" w14:textId="77777777" w:rsidR="00813811" w:rsidRPr="00286216" w:rsidRDefault="00813811" w:rsidP="00813811">
            <w:pPr>
              <w:pStyle w:val="StyleWisnow"/>
              <w:rPr>
                <w:color w:val="000000" w:themeColor="text1"/>
              </w:rPr>
            </w:pPr>
            <w:r w:rsidRPr="00286216">
              <w:rPr>
                <w:color w:val="000000" w:themeColor="text1"/>
              </w:rPr>
              <w:t>Враховано</w:t>
            </w:r>
          </w:p>
        </w:tc>
        <w:tc>
          <w:tcPr>
            <w:tcW w:w="4818" w:type="dxa"/>
          </w:tcPr>
          <w:p w14:paraId="19ECCFFB" w14:textId="2A84FB6B" w:rsidR="00813811" w:rsidRPr="00286216" w:rsidRDefault="00813811" w:rsidP="00813811">
            <w:pPr>
              <w:pStyle w:val="StyleZakonu"/>
              <w:ind w:firstLine="0"/>
              <w:jc w:val="center"/>
              <w:rPr>
                <w:color w:val="000000" w:themeColor="text1"/>
              </w:rPr>
            </w:pPr>
          </w:p>
        </w:tc>
      </w:tr>
      <w:tr w:rsidR="00E64972" w:rsidRPr="00286216" w14:paraId="0D31650C" w14:textId="77777777" w:rsidTr="00F6479F">
        <w:tc>
          <w:tcPr>
            <w:tcW w:w="576" w:type="dxa"/>
          </w:tcPr>
          <w:p w14:paraId="76909DD4" w14:textId="77777777" w:rsidR="00E64972" w:rsidRPr="00286216" w:rsidRDefault="00E64972" w:rsidP="00F6479F">
            <w:pPr>
              <w:pStyle w:val="StyleWisnow"/>
              <w:rPr>
                <w:color w:val="000000" w:themeColor="text1"/>
              </w:rPr>
            </w:pPr>
            <w:r w:rsidRPr="00286216">
              <w:rPr>
                <w:color w:val="000000" w:themeColor="text1"/>
              </w:rPr>
              <w:t>319.</w:t>
            </w:r>
          </w:p>
        </w:tc>
        <w:tc>
          <w:tcPr>
            <w:tcW w:w="4818" w:type="dxa"/>
          </w:tcPr>
          <w:p w14:paraId="2503B724" w14:textId="77777777" w:rsidR="00E64972" w:rsidRPr="00286216" w:rsidRDefault="00E64972" w:rsidP="00F6479F">
            <w:pPr>
              <w:pStyle w:val="StyleZakonu"/>
              <w:rPr>
                <w:color w:val="000000" w:themeColor="text1"/>
              </w:rPr>
            </w:pPr>
            <w:r w:rsidRPr="00286216">
              <w:rPr>
                <w:color w:val="000000" w:themeColor="text1"/>
              </w:rPr>
              <w:t>Стаття 14. Акції</w:t>
            </w:r>
          </w:p>
        </w:tc>
        <w:tc>
          <w:tcPr>
            <w:tcW w:w="3686" w:type="dxa"/>
          </w:tcPr>
          <w:p w14:paraId="1A95B3ED" w14:textId="77777777" w:rsidR="00E64972" w:rsidRPr="00286216" w:rsidRDefault="00E64972" w:rsidP="00F6479F">
            <w:pPr>
              <w:pStyle w:val="StyleProp"/>
              <w:rPr>
                <w:color w:val="000000" w:themeColor="text1"/>
              </w:rPr>
            </w:pPr>
          </w:p>
        </w:tc>
        <w:tc>
          <w:tcPr>
            <w:tcW w:w="1987" w:type="dxa"/>
          </w:tcPr>
          <w:p w14:paraId="7C244863" w14:textId="77777777" w:rsidR="00E64972" w:rsidRPr="00286216" w:rsidRDefault="00E64972" w:rsidP="00F6479F">
            <w:pPr>
              <w:pStyle w:val="StyleWisnow"/>
              <w:rPr>
                <w:color w:val="000000" w:themeColor="text1"/>
              </w:rPr>
            </w:pPr>
          </w:p>
        </w:tc>
        <w:tc>
          <w:tcPr>
            <w:tcW w:w="4818" w:type="dxa"/>
          </w:tcPr>
          <w:p w14:paraId="16F9EE23" w14:textId="77777777" w:rsidR="00E64972" w:rsidRPr="00286216" w:rsidRDefault="00E64972" w:rsidP="00F6479F">
            <w:pPr>
              <w:pStyle w:val="StyleZakonu"/>
              <w:rPr>
                <w:color w:val="000000" w:themeColor="text1"/>
              </w:rPr>
            </w:pPr>
            <w:r w:rsidRPr="00286216">
              <w:rPr>
                <w:color w:val="000000" w:themeColor="text1"/>
              </w:rPr>
              <w:t>Стаття 9. Акції</w:t>
            </w:r>
          </w:p>
        </w:tc>
      </w:tr>
      <w:tr w:rsidR="00E64972" w:rsidRPr="00286216" w14:paraId="165B7E8C" w14:textId="77777777" w:rsidTr="00F6479F">
        <w:tc>
          <w:tcPr>
            <w:tcW w:w="576" w:type="dxa"/>
          </w:tcPr>
          <w:p w14:paraId="3AFE36E8" w14:textId="77777777" w:rsidR="00E64972" w:rsidRPr="00286216" w:rsidRDefault="00E64972" w:rsidP="00F6479F">
            <w:pPr>
              <w:pStyle w:val="StyleWisnow"/>
              <w:rPr>
                <w:color w:val="000000" w:themeColor="text1"/>
              </w:rPr>
            </w:pPr>
            <w:r w:rsidRPr="00286216">
              <w:rPr>
                <w:color w:val="000000" w:themeColor="text1"/>
              </w:rPr>
              <w:t>320.</w:t>
            </w:r>
          </w:p>
        </w:tc>
        <w:tc>
          <w:tcPr>
            <w:tcW w:w="4818" w:type="dxa"/>
          </w:tcPr>
          <w:p w14:paraId="458D28F0" w14:textId="77777777" w:rsidR="00E64972" w:rsidRPr="00286216" w:rsidRDefault="00E64972" w:rsidP="00F6479F">
            <w:pPr>
              <w:pStyle w:val="StyleZakonu"/>
              <w:rPr>
                <w:color w:val="000000" w:themeColor="text1"/>
              </w:rPr>
            </w:pPr>
            <w:r w:rsidRPr="00286216">
              <w:rPr>
                <w:color w:val="000000" w:themeColor="text1"/>
              </w:rPr>
              <w:t>1. Акція - іменний цінний папір, який посвідчує майнові права його власника (акціонера), що стосуються акціонерного товариства, включаючи право на отримання частини прибутку акціонерного товариства у вигляді дивідендів та право на отримання частини майна акціонерного товариства у разі його ліквідації, право на управління акціонерним товариством, а також немайнові права, передбачені Цивільним кодексом України, цим Законом та законом, що регулює питання створення, діяльності та припинення акціонерних товариств.</w:t>
            </w:r>
          </w:p>
        </w:tc>
        <w:tc>
          <w:tcPr>
            <w:tcW w:w="3686" w:type="dxa"/>
          </w:tcPr>
          <w:p w14:paraId="5368640A" w14:textId="77777777" w:rsidR="00E64972" w:rsidRPr="00286216" w:rsidRDefault="00E64972" w:rsidP="00F6479F">
            <w:pPr>
              <w:pStyle w:val="StyleProp"/>
              <w:rPr>
                <w:color w:val="000000" w:themeColor="text1"/>
              </w:rPr>
            </w:pPr>
          </w:p>
        </w:tc>
        <w:tc>
          <w:tcPr>
            <w:tcW w:w="1987" w:type="dxa"/>
          </w:tcPr>
          <w:p w14:paraId="66D2C034" w14:textId="77777777" w:rsidR="00E64972" w:rsidRPr="00286216" w:rsidRDefault="00E64972" w:rsidP="00F6479F">
            <w:pPr>
              <w:pStyle w:val="StyleWisnow"/>
              <w:rPr>
                <w:color w:val="000000" w:themeColor="text1"/>
              </w:rPr>
            </w:pPr>
          </w:p>
        </w:tc>
        <w:tc>
          <w:tcPr>
            <w:tcW w:w="4818" w:type="dxa"/>
          </w:tcPr>
          <w:p w14:paraId="3E246C4C" w14:textId="77777777" w:rsidR="00E64972" w:rsidRPr="00286216" w:rsidRDefault="00E64972" w:rsidP="00F6479F">
            <w:pPr>
              <w:pStyle w:val="StyleZakonu"/>
              <w:rPr>
                <w:color w:val="000000" w:themeColor="text1"/>
              </w:rPr>
            </w:pPr>
            <w:r w:rsidRPr="00286216">
              <w:rPr>
                <w:color w:val="000000" w:themeColor="text1"/>
              </w:rPr>
              <w:t>1. Акція – це іменний цінний папір, що посвідчує майнові права його власника (акціонера), що стосуються акціонерного товариства, включаючи право на отримання частини прибутку акціонерного товариства у вигляді дивідендів та право на отримання частини майна акціонерного товариства у разі його ліквідації, право на управління акціонерним товариством, а також немайнові права, передбачені Цивільним кодексом України, цим Законом та законом, що регулює питання створення, діяльності та припинення акціонерних товариств.</w:t>
            </w:r>
          </w:p>
        </w:tc>
      </w:tr>
      <w:tr w:rsidR="00E64972" w:rsidRPr="00286216" w14:paraId="4AB33800" w14:textId="77777777" w:rsidTr="00F6479F">
        <w:tc>
          <w:tcPr>
            <w:tcW w:w="576" w:type="dxa"/>
          </w:tcPr>
          <w:p w14:paraId="4F1279A8" w14:textId="77777777" w:rsidR="00E64972" w:rsidRPr="00286216" w:rsidRDefault="00E64972" w:rsidP="00F6479F">
            <w:pPr>
              <w:pStyle w:val="StyleWisnow"/>
              <w:rPr>
                <w:color w:val="000000" w:themeColor="text1"/>
              </w:rPr>
            </w:pPr>
            <w:r w:rsidRPr="00286216">
              <w:rPr>
                <w:color w:val="000000" w:themeColor="text1"/>
              </w:rPr>
              <w:t>321.</w:t>
            </w:r>
          </w:p>
        </w:tc>
        <w:tc>
          <w:tcPr>
            <w:tcW w:w="4818" w:type="dxa"/>
          </w:tcPr>
          <w:p w14:paraId="12D1EFBC" w14:textId="77777777" w:rsidR="00E64972" w:rsidRPr="00286216" w:rsidRDefault="00E64972" w:rsidP="00F6479F">
            <w:pPr>
              <w:pStyle w:val="StyleZakonu"/>
              <w:rPr>
                <w:color w:val="000000" w:themeColor="text1"/>
              </w:rPr>
            </w:pPr>
            <w:r w:rsidRPr="00286216">
              <w:rPr>
                <w:color w:val="000000" w:themeColor="text1"/>
              </w:rPr>
              <w:t>Акція є неподільною. Порядок реалізації прав співвласників акції (акцій) визначається Цивільним кодексом України та законом, що регулює питання створення, діяльності та припинення акціонерних товариств.</w:t>
            </w:r>
          </w:p>
        </w:tc>
        <w:tc>
          <w:tcPr>
            <w:tcW w:w="3686" w:type="dxa"/>
          </w:tcPr>
          <w:p w14:paraId="1AE6C0A3" w14:textId="5BA9C54D" w:rsidR="00E64972" w:rsidRPr="00286216" w:rsidRDefault="00E64972" w:rsidP="00F6479F">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258</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2178EFAE" w14:textId="77777777" w:rsidR="00E64972" w:rsidRPr="00286216" w:rsidRDefault="00E64972" w:rsidP="00F6479F">
            <w:pPr>
              <w:pStyle w:val="StyleProp"/>
              <w:rPr>
                <w:color w:val="000000" w:themeColor="text1"/>
              </w:rPr>
            </w:pPr>
            <w:r w:rsidRPr="00286216">
              <w:rPr>
                <w:color w:val="000000" w:themeColor="text1"/>
              </w:rPr>
              <w:t>У другому реченні абзацу другого пункту 1 статті 14 слова «Цивільним кодексом України» замінити словами «Законом України «Про акціонерні товариства»</w:t>
            </w:r>
          </w:p>
        </w:tc>
        <w:tc>
          <w:tcPr>
            <w:tcW w:w="1987" w:type="dxa"/>
          </w:tcPr>
          <w:p w14:paraId="378F9E1C" w14:textId="77777777" w:rsidR="00E64972" w:rsidRPr="00286216" w:rsidRDefault="00E64972" w:rsidP="00F6479F">
            <w:pPr>
              <w:pStyle w:val="StyleWisnow"/>
              <w:rPr>
                <w:color w:val="000000" w:themeColor="text1"/>
              </w:rPr>
            </w:pPr>
            <w:r w:rsidRPr="00286216">
              <w:rPr>
                <w:color w:val="000000" w:themeColor="text1"/>
              </w:rPr>
              <w:t>Відхилено</w:t>
            </w:r>
          </w:p>
          <w:p w14:paraId="1BB15EFB" w14:textId="77777777" w:rsidR="00E64972" w:rsidRPr="00286216" w:rsidRDefault="00E64972" w:rsidP="00F6479F">
            <w:pPr>
              <w:pStyle w:val="StyleWisnow"/>
              <w:spacing w:line="180" w:lineRule="exact"/>
              <w:rPr>
                <w:color w:val="000000" w:themeColor="text1"/>
              </w:rPr>
            </w:pPr>
            <w:r w:rsidRPr="00286216">
              <w:rPr>
                <w:color w:val="000000" w:themeColor="text1"/>
              </w:rPr>
              <w:t>Закон "Про акціонерні товариства" вже названий у редакції першого читання</w:t>
            </w:r>
          </w:p>
        </w:tc>
        <w:tc>
          <w:tcPr>
            <w:tcW w:w="4818" w:type="dxa"/>
          </w:tcPr>
          <w:p w14:paraId="7E958F9B" w14:textId="77777777" w:rsidR="00E64972" w:rsidRPr="00286216" w:rsidRDefault="00E64972" w:rsidP="00F6479F">
            <w:pPr>
              <w:pStyle w:val="StyleZakonu"/>
              <w:rPr>
                <w:color w:val="000000" w:themeColor="text1"/>
              </w:rPr>
            </w:pPr>
            <w:r w:rsidRPr="00286216">
              <w:rPr>
                <w:color w:val="000000" w:themeColor="text1"/>
              </w:rPr>
              <w:t>Акція є неподільною. Порядок реалізації прав співвласників акції (акцій) визначається Цивільним кодексом України та законом, що регулює питання створення, діяльності та припинення акціонерних товариств.</w:t>
            </w:r>
          </w:p>
        </w:tc>
      </w:tr>
      <w:tr w:rsidR="00E64972" w:rsidRPr="00286216" w14:paraId="2D1B4292" w14:textId="77777777" w:rsidTr="00F6479F">
        <w:tc>
          <w:tcPr>
            <w:tcW w:w="576" w:type="dxa"/>
          </w:tcPr>
          <w:p w14:paraId="58783A3B" w14:textId="77777777" w:rsidR="00E64972" w:rsidRPr="00286216" w:rsidRDefault="00E64972" w:rsidP="00F6479F">
            <w:pPr>
              <w:pStyle w:val="StyleWisnow"/>
              <w:rPr>
                <w:color w:val="000000" w:themeColor="text1"/>
              </w:rPr>
            </w:pPr>
            <w:r w:rsidRPr="00286216">
              <w:rPr>
                <w:color w:val="000000" w:themeColor="text1"/>
              </w:rPr>
              <w:t>322.</w:t>
            </w:r>
          </w:p>
        </w:tc>
        <w:tc>
          <w:tcPr>
            <w:tcW w:w="4818" w:type="dxa"/>
          </w:tcPr>
          <w:p w14:paraId="175EC84C" w14:textId="77777777" w:rsidR="00E64972" w:rsidRPr="00286216" w:rsidRDefault="00E64972" w:rsidP="00F6479F">
            <w:pPr>
              <w:pStyle w:val="StyleZakonu"/>
              <w:rPr>
                <w:color w:val="000000" w:themeColor="text1"/>
              </w:rPr>
            </w:pPr>
            <w:r w:rsidRPr="00286216">
              <w:rPr>
                <w:color w:val="000000" w:themeColor="text1"/>
              </w:rPr>
              <w:t>2. Акціонер приватного та публічного товариства має переважне право на придбання акцій додаткової емісії.</w:t>
            </w:r>
          </w:p>
        </w:tc>
        <w:tc>
          <w:tcPr>
            <w:tcW w:w="3686" w:type="dxa"/>
          </w:tcPr>
          <w:p w14:paraId="2A36BD70" w14:textId="77777777" w:rsidR="00E64972" w:rsidRPr="00286216" w:rsidRDefault="00E64972" w:rsidP="00F6479F">
            <w:pPr>
              <w:pStyle w:val="StyleProp"/>
              <w:rPr>
                <w:color w:val="000000" w:themeColor="text1"/>
                <w:szCs w:val="18"/>
              </w:rPr>
            </w:pPr>
          </w:p>
        </w:tc>
        <w:tc>
          <w:tcPr>
            <w:tcW w:w="1987" w:type="dxa"/>
          </w:tcPr>
          <w:p w14:paraId="110E4383" w14:textId="77777777" w:rsidR="00E64972" w:rsidRPr="00286216" w:rsidRDefault="00E64972" w:rsidP="00F6479F">
            <w:pPr>
              <w:pStyle w:val="StyleWisnow"/>
              <w:rPr>
                <w:color w:val="000000" w:themeColor="text1"/>
              </w:rPr>
            </w:pPr>
          </w:p>
        </w:tc>
        <w:tc>
          <w:tcPr>
            <w:tcW w:w="4818" w:type="dxa"/>
          </w:tcPr>
          <w:p w14:paraId="6B40B98D" w14:textId="77777777" w:rsidR="00E64972" w:rsidRPr="00286216" w:rsidRDefault="00E64972" w:rsidP="00F6479F">
            <w:pPr>
              <w:pStyle w:val="StyleZakonu"/>
              <w:rPr>
                <w:color w:val="000000" w:themeColor="text1"/>
              </w:rPr>
            </w:pPr>
            <w:r w:rsidRPr="00286216">
              <w:rPr>
                <w:color w:val="000000" w:themeColor="text1"/>
              </w:rPr>
              <w:t>2. Акціонер приватного або публічного акціонерного товариства має переважне право на придбання акцій додаткової емісії.</w:t>
            </w:r>
          </w:p>
        </w:tc>
      </w:tr>
      <w:tr w:rsidR="00E64972" w:rsidRPr="00286216" w14:paraId="34A9A5C6" w14:textId="77777777" w:rsidTr="00F6479F">
        <w:tc>
          <w:tcPr>
            <w:tcW w:w="576" w:type="dxa"/>
          </w:tcPr>
          <w:p w14:paraId="09D5A7B2" w14:textId="77777777" w:rsidR="00E64972" w:rsidRPr="00286216" w:rsidRDefault="00E64972" w:rsidP="00F6479F">
            <w:pPr>
              <w:pStyle w:val="StyleWisnow"/>
              <w:rPr>
                <w:color w:val="000000" w:themeColor="text1"/>
              </w:rPr>
            </w:pPr>
            <w:r w:rsidRPr="00286216">
              <w:rPr>
                <w:color w:val="000000" w:themeColor="text1"/>
              </w:rPr>
              <w:t>323.</w:t>
            </w:r>
          </w:p>
        </w:tc>
        <w:tc>
          <w:tcPr>
            <w:tcW w:w="4818" w:type="dxa"/>
          </w:tcPr>
          <w:p w14:paraId="648F042B" w14:textId="77777777" w:rsidR="00E64972" w:rsidRPr="00286216" w:rsidRDefault="00E64972" w:rsidP="00F6479F">
            <w:pPr>
              <w:pStyle w:val="StyleZakonu"/>
              <w:rPr>
                <w:color w:val="000000" w:themeColor="text1"/>
              </w:rPr>
            </w:pPr>
            <w:r w:rsidRPr="00286216">
              <w:rPr>
                <w:color w:val="000000" w:themeColor="text1"/>
              </w:rPr>
              <w:t>Переважним правом акціонера визнається:</w:t>
            </w:r>
          </w:p>
        </w:tc>
        <w:tc>
          <w:tcPr>
            <w:tcW w:w="3686" w:type="dxa"/>
          </w:tcPr>
          <w:p w14:paraId="5D9FE1C7" w14:textId="77777777" w:rsidR="00E64972" w:rsidRPr="00286216" w:rsidRDefault="00E64972" w:rsidP="00F6479F">
            <w:pPr>
              <w:pStyle w:val="StyleProp"/>
              <w:rPr>
                <w:color w:val="000000" w:themeColor="text1"/>
                <w:szCs w:val="18"/>
              </w:rPr>
            </w:pPr>
          </w:p>
        </w:tc>
        <w:tc>
          <w:tcPr>
            <w:tcW w:w="1987" w:type="dxa"/>
          </w:tcPr>
          <w:p w14:paraId="59A5684E" w14:textId="77777777" w:rsidR="00E64972" w:rsidRPr="00286216" w:rsidRDefault="00E64972" w:rsidP="00F6479F">
            <w:pPr>
              <w:pStyle w:val="StyleWisnow"/>
              <w:rPr>
                <w:color w:val="000000" w:themeColor="text1"/>
              </w:rPr>
            </w:pPr>
          </w:p>
        </w:tc>
        <w:tc>
          <w:tcPr>
            <w:tcW w:w="4818" w:type="dxa"/>
          </w:tcPr>
          <w:p w14:paraId="399F7072" w14:textId="77777777" w:rsidR="00E64972" w:rsidRPr="00286216" w:rsidRDefault="00E64972" w:rsidP="00F6479F">
            <w:pPr>
              <w:pStyle w:val="StyleZakonu"/>
              <w:rPr>
                <w:color w:val="000000" w:themeColor="text1"/>
              </w:rPr>
            </w:pPr>
            <w:r w:rsidRPr="00286216">
              <w:rPr>
                <w:color w:val="000000" w:themeColor="text1"/>
              </w:rPr>
              <w:t>Переважним правом акціонера визнається:</w:t>
            </w:r>
          </w:p>
        </w:tc>
      </w:tr>
      <w:tr w:rsidR="00E64972" w:rsidRPr="00286216" w14:paraId="6CE11CEB" w14:textId="77777777" w:rsidTr="00F6479F">
        <w:tc>
          <w:tcPr>
            <w:tcW w:w="576" w:type="dxa"/>
          </w:tcPr>
          <w:p w14:paraId="6B496708" w14:textId="77777777" w:rsidR="00E64972" w:rsidRPr="00286216" w:rsidRDefault="00E64972" w:rsidP="00F6479F">
            <w:pPr>
              <w:pStyle w:val="StyleWisnow"/>
              <w:rPr>
                <w:color w:val="000000" w:themeColor="text1"/>
              </w:rPr>
            </w:pPr>
            <w:r w:rsidRPr="00286216">
              <w:rPr>
                <w:color w:val="000000" w:themeColor="text1"/>
              </w:rPr>
              <w:t>324.</w:t>
            </w:r>
          </w:p>
        </w:tc>
        <w:tc>
          <w:tcPr>
            <w:tcW w:w="4818" w:type="dxa"/>
          </w:tcPr>
          <w:p w14:paraId="7A029065" w14:textId="77777777" w:rsidR="00E64972" w:rsidRPr="00286216" w:rsidRDefault="00E64972" w:rsidP="00F6479F">
            <w:pPr>
              <w:pStyle w:val="StyleZakonu"/>
              <w:rPr>
                <w:color w:val="000000" w:themeColor="text1"/>
              </w:rPr>
            </w:pPr>
            <w:r w:rsidRPr="00286216">
              <w:rPr>
                <w:color w:val="000000" w:themeColor="text1"/>
              </w:rPr>
              <w:t xml:space="preserve">1) право акціонера - власника простих акцій придбавати у процесі емісії товариством прості акції пропорційно частці належних йому простих акцій у загальній кількості емітованих простих акцій, крім випадку прийняття загальними зборами акціонерів </w:t>
            </w:r>
            <w:r w:rsidRPr="00286216">
              <w:rPr>
                <w:color w:val="000000" w:themeColor="text1"/>
              </w:rPr>
              <w:lastRenderedPageBreak/>
              <w:t>рішення про невикористання такого права;</w:t>
            </w:r>
          </w:p>
        </w:tc>
        <w:tc>
          <w:tcPr>
            <w:tcW w:w="3686" w:type="dxa"/>
          </w:tcPr>
          <w:p w14:paraId="4F6A6182" w14:textId="77777777" w:rsidR="00E64972" w:rsidRPr="00286216" w:rsidRDefault="00E64972" w:rsidP="00F6479F">
            <w:pPr>
              <w:pStyle w:val="StyleProp"/>
              <w:rPr>
                <w:color w:val="000000" w:themeColor="text1"/>
                <w:szCs w:val="18"/>
              </w:rPr>
            </w:pPr>
          </w:p>
        </w:tc>
        <w:tc>
          <w:tcPr>
            <w:tcW w:w="1987" w:type="dxa"/>
          </w:tcPr>
          <w:p w14:paraId="3F2BAAF1" w14:textId="77777777" w:rsidR="00E64972" w:rsidRPr="00286216" w:rsidRDefault="00E64972" w:rsidP="00F6479F">
            <w:pPr>
              <w:pStyle w:val="StyleWisnow"/>
              <w:rPr>
                <w:color w:val="000000" w:themeColor="text1"/>
              </w:rPr>
            </w:pPr>
          </w:p>
        </w:tc>
        <w:tc>
          <w:tcPr>
            <w:tcW w:w="4818" w:type="dxa"/>
          </w:tcPr>
          <w:p w14:paraId="0949BCEA" w14:textId="2D97EF91" w:rsidR="00E64972" w:rsidRPr="00286216" w:rsidRDefault="00E64972" w:rsidP="00F6479F">
            <w:pPr>
              <w:pStyle w:val="StyleZakonu"/>
              <w:rPr>
                <w:color w:val="000000" w:themeColor="text1"/>
              </w:rPr>
            </w:pPr>
            <w:r w:rsidRPr="00286216">
              <w:rPr>
                <w:color w:val="000000" w:themeColor="text1"/>
              </w:rPr>
              <w:t xml:space="preserve">1) право акціонера - власника простих акцій придбавати у процесі емісії акціонерним товариством прості акції пропорційно до частки належних йому простих акцій у загальній кількості емітованих простих акцій (крім випадку прийняття загальними </w:t>
            </w:r>
            <w:r w:rsidRPr="00286216">
              <w:rPr>
                <w:color w:val="000000" w:themeColor="text1"/>
              </w:rPr>
              <w:lastRenderedPageBreak/>
              <w:t>зборами акціонерів рішення про невикористання такого права);</w:t>
            </w:r>
          </w:p>
        </w:tc>
      </w:tr>
      <w:tr w:rsidR="00E64972" w:rsidRPr="00286216" w14:paraId="5B12FDFE" w14:textId="77777777" w:rsidTr="00F6479F">
        <w:tc>
          <w:tcPr>
            <w:tcW w:w="576" w:type="dxa"/>
          </w:tcPr>
          <w:p w14:paraId="131F6141" w14:textId="77777777" w:rsidR="00E64972" w:rsidRPr="00286216" w:rsidRDefault="00E64972" w:rsidP="00F6479F">
            <w:pPr>
              <w:pStyle w:val="StyleWisnow"/>
              <w:rPr>
                <w:color w:val="000000" w:themeColor="text1"/>
              </w:rPr>
            </w:pPr>
            <w:r w:rsidRPr="00286216">
              <w:rPr>
                <w:color w:val="000000" w:themeColor="text1"/>
              </w:rPr>
              <w:lastRenderedPageBreak/>
              <w:t>325.</w:t>
            </w:r>
          </w:p>
        </w:tc>
        <w:tc>
          <w:tcPr>
            <w:tcW w:w="4818" w:type="dxa"/>
          </w:tcPr>
          <w:p w14:paraId="35E2B416" w14:textId="77777777" w:rsidR="00E64972" w:rsidRPr="00286216" w:rsidRDefault="00E64972" w:rsidP="00F6479F">
            <w:pPr>
              <w:pStyle w:val="StyleZakonu"/>
              <w:rPr>
                <w:color w:val="000000" w:themeColor="text1"/>
              </w:rPr>
            </w:pPr>
            <w:r w:rsidRPr="00286216">
              <w:rPr>
                <w:color w:val="000000" w:themeColor="text1"/>
              </w:rPr>
              <w:t>2) право акціонера - власника привілейованих акцій придбавати у процесі емісії товариством привілейовані акції цього або нового класу, якщо акції такого класу надають їх власникам перевагу щодо черговості отримання дивідендів чи виплат у разі ліквідації товариства, пропорційно частці належних акціонеру привілейованих акцій певного класу в загальній кількості привілейованих акцій цього класу, крім випадку прийняття загальними зборами акціонерів рішення про невикористання такого права.</w:t>
            </w:r>
          </w:p>
        </w:tc>
        <w:tc>
          <w:tcPr>
            <w:tcW w:w="3686" w:type="dxa"/>
          </w:tcPr>
          <w:p w14:paraId="55236FAE" w14:textId="77777777" w:rsidR="00E64972" w:rsidRPr="00286216" w:rsidRDefault="00E64972" w:rsidP="00F6479F">
            <w:pPr>
              <w:pStyle w:val="StyleProp"/>
              <w:rPr>
                <w:color w:val="000000" w:themeColor="text1"/>
                <w:szCs w:val="18"/>
              </w:rPr>
            </w:pPr>
          </w:p>
        </w:tc>
        <w:tc>
          <w:tcPr>
            <w:tcW w:w="1987" w:type="dxa"/>
          </w:tcPr>
          <w:p w14:paraId="4B804F2F" w14:textId="77777777" w:rsidR="00E64972" w:rsidRPr="00286216" w:rsidRDefault="00E64972" w:rsidP="00F6479F">
            <w:pPr>
              <w:pStyle w:val="StyleWisnow"/>
              <w:rPr>
                <w:color w:val="000000" w:themeColor="text1"/>
              </w:rPr>
            </w:pPr>
          </w:p>
        </w:tc>
        <w:tc>
          <w:tcPr>
            <w:tcW w:w="4818" w:type="dxa"/>
          </w:tcPr>
          <w:p w14:paraId="146AAA46" w14:textId="38CE4D5E" w:rsidR="00E64972" w:rsidRPr="00286216" w:rsidRDefault="00E64972" w:rsidP="00F6479F">
            <w:pPr>
              <w:pStyle w:val="StyleZakonu"/>
              <w:rPr>
                <w:color w:val="000000" w:themeColor="text1"/>
              </w:rPr>
            </w:pPr>
            <w:r w:rsidRPr="00286216">
              <w:rPr>
                <w:color w:val="000000" w:themeColor="text1"/>
              </w:rPr>
              <w:t>2) право акціонера - власника привілейованих акцій придбавати у процесі емісії акціонерним товариством привілейовані акції цього або нового класу, якщо акції такого класу надають їх власникам перевагу щодо черговості отримання дивідендів чи виплат у разі ліквідації товариства, пропорційно до частки належних акціонеру привілейованих акцій певного класу в загальній кількості привілейованих акцій цього класу (крім випадку прийняття загальними зборами акціонерів рішення про невикористання такого права).</w:t>
            </w:r>
          </w:p>
        </w:tc>
      </w:tr>
      <w:tr w:rsidR="00E64972" w:rsidRPr="00286216" w14:paraId="6F015432" w14:textId="77777777" w:rsidTr="00F6479F">
        <w:tc>
          <w:tcPr>
            <w:tcW w:w="576" w:type="dxa"/>
          </w:tcPr>
          <w:p w14:paraId="02A6ECD1" w14:textId="77777777" w:rsidR="00E64972" w:rsidRPr="00286216" w:rsidRDefault="00E64972" w:rsidP="00F6479F">
            <w:pPr>
              <w:pStyle w:val="StyleWisnow"/>
              <w:rPr>
                <w:color w:val="000000" w:themeColor="text1"/>
              </w:rPr>
            </w:pPr>
            <w:r w:rsidRPr="00286216">
              <w:rPr>
                <w:color w:val="000000" w:themeColor="text1"/>
              </w:rPr>
              <w:t>326.</w:t>
            </w:r>
          </w:p>
        </w:tc>
        <w:tc>
          <w:tcPr>
            <w:tcW w:w="4818" w:type="dxa"/>
          </w:tcPr>
          <w:p w14:paraId="58D7C4D9" w14:textId="77777777" w:rsidR="00E64972" w:rsidRPr="00286216" w:rsidRDefault="00E64972" w:rsidP="00F6479F">
            <w:pPr>
              <w:pStyle w:val="StyleZakonu"/>
              <w:rPr>
                <w:color w:val="000000" w:themeColor="text1"/>
              </w:rPr>
            </w:pPr>
            <w:r w:rsidRPr="00286216">
              <w:rPr>
                <w:color w:val="000000" w:themeColor="text1"/>
              </w:rPr>
              <w:t>Порядок реалізації переважного права на придбання акцій додаткової емісії встановлюється Національною комісією з цінних паперів та фондового ринку.</w:t>
            </w:r>
          </w:p>
        </w:tc>
        <w:tc>
          <w:tcPr>
            <w:tcW w:w="3686" w:type="dxa"/>
          </w:tcPr>
          <w:p w14:paraId="68A79824" w14:textId="77777777" w:rsidR="00E64972" w:rsidRPr="00286216" w:rsidRDefault="00E64972" w:rsidP="00F6479F">
            <w:pPr>
              <w:pStyle w:val="StyleProp"/>
              <w:rPr>
                <w:color w:val="000000" w:themeColor="text1"/>
                <w:szCs w:val="18"/>
              </w:rPr>
            </w:pPr>
          </w:p>
        </w:tc>
        <w:tc>
          <w:tcPr>
            <w:tcW w:w="1987" w:type="dxa"/>
          </w:tcPr>
          <w:p w14:paraId="00848FB9" w14:textId="77777777" w:rsidR="00E64972" w:rsidRPr="00286216" w:rsidRDefault="00E64972" w:rsidP="00F6479F">
            <w:pPr>
              <w:pStyle w:val="StyleWisnow"/>
              <w:rPr>
                <w:color w:val="000000" w:themeColor="text1"/>
              </w:rPr>
            </w:pPr>
          </w:p>
        </w:tc>
        <w:tc>
          <w:tcPr>
            <w:tcW w:w="4818" w:type="dxa"/>
          </w:tcPr>
          <w:p w14:paraId="788A5C3C" w14:textId="77777777" w:rsidR="00E64972" w:rsidRPr="00286216" w:rsidRDefault="00E64972" w:rsidP="00F6479F">
            <w:pPr>
              <w:pStyle w:val="StyleZakonu"/>
              <w:rPr>
                <w:color w:val="000000" w:themeColor="text1"/>
              </w:rPr>
            </w:pPr>
            <w:r w:rsidRPr="00286216">
              <w:rPr>
                <w:color w:val="000000" w:themeColor="text1"/>
              </w:rPr>
              <w:t>Порядок реалізації переважного права на придбання акцій додаткової емісії встановлюється Національною комісією з цінних паперів та фондового ринку.</w:t>
            </w:r>
          </w:p>
        </w:tc>
      </w:tr>
      <w:tr w:rsidR="00E64972" w:rsidRPr="00286216" w14:paraId="66A50C68" w14:textId="77777777" w:rsidTr="00F6479F">
        <w:tc>
          <w:tcPr>
            <w:tcW w:w="576" w:type="dxa"/>
          </w:tcPr>
          <w:p w14:paraId="2107E4D9" w14:textId="77777777" w:rsidR="00E64972" w:rsidRPr="00286216" w:rsidRDefault="00E64972" w:rsidP="00F6479F">
            <w:pPr>
              <w:pStyle w:val="StyleWisnow"/>
              <w:rPr>
                <w:color w:val="000000" w:themeColor="text1"/>
              </w:rPr>
            </w:pPr>
            <w:r w:rsidRPr="00286216">
              <w:rPr>
                <w:color w:val="000000" w:themeColor="text1"/>
              </w:rPr>
              <w:t>327.</w:t>
            </w:r>
          </w:p>
        </w:tc>
        <w:tc>
          <w:tcPr>
            <w:tcW w:w="4818" w:type="dxa"/>
          </w:tcPr>
          <w:p w14:paraId="46E314D9" w14:textId="77777777" w:rsidR="00E64972" w:rsidRPr="00286216" w:rsidRDefault="00E64972" w:rsidP="00F6479F">
            <w:pPr>
              <w:pStyle w:val="StyleZakonu"/>
              <w:rPr>
                <w:color w:val="000000" w:themeColor="text1"/>
              </w:rPr>
            </w:pPr>
            <w:r w:rsidRPr="00286216">
              <w:rPr>
                <w:color w:val="000000" w:themeColor="text1"/>
              </w:rPr>
              <w:t>3. Емітентом акцій є тільки акціонерне товариство. Порядок прийняття відповідним органом акціонерного товариства рішення про емісію акцій визначається законом, що регулює питання утворення, діяльності та припинення акціонерних товариств.</w:t>
            </w:r>
          </w:p>
        </w:tc>
        <w:tc>
          <w:tcPr>
            <w:tcW w:w="3686" w:type="dxa"/>
          </w:tcPr>
          <w:p w14:paraId="10A3B5A2" w14:textId="77777777" w:rsidR="00E64972" w:rsidRPr="00286216" w:rsidRDefault="00E64972" w:rsidP="00F6479F">
            <w:pPr>
              <w:pStyle w:val="StyleProp"/>
              <w:rPr>
                <w:color w:val="000000" w:themeColor="text1"/>
                <w:szCs w:val="18"/>
              </w:rPr>
            </w:pPr>
          </w:p>
        </w:tc>
        <w:tc>
          <w:tcPr>
            <w:tcW w:w="1987" w:type="dxa"/>
          </w:tcPr>
          <w:p w14:paraId="737BB16F" w14:textId="77777777" w:rsidR="00E64972" w:rsidRPr="00286216" w:rsidRDefault="00E64972" w:rsidP="00F6479F">
            <w:pPr>
              <w:pStyle w:val="StyleWisnow"/>
              <w:rPr>
                <w:color w:val="000000" w:themeColor="text1"/>
              </w:rPr>
            </w:pPr>
          </w:p>
        </w:tc>
        <w:tc>
          <w:tcPr>
            <w:tcW w:w="4818" w:type="dxa"/>
          </w:tcPr>
          <w:p w14:paraId="6B52E842" w14:textId="5D7AD1C2" w:rsidR="00E64972" w:rsidRPr="00286216" w:rsidRDefault="00E64972" w:rsidP="00F6479F">
            <w:pPr>
              <w:pStyle w:val="StyleZakonu"/>
              <w:rPr>
                <w:color w:val="000000" w:themeColor="text1"/>
              </w:rPr>
            </w:pPr>
            <w:r w:rsidRPr="00286216">
              <w:rPr>
                <w:color w:val="000000" w:themeColor="text1"/>
              </w:rPr>
              <w:t xml:space="preserve">3. Емітентом акцій є виключно акціонерне товариство. Порядок прийняття відповідним органом акціонерного товариства рішення про емісію акцій визначається законом, що регулює питання </w:t>
            </w:r>
            <w:r w:rsidRPr="00286216">
              <w:rPr>
                <w:color w:val="000000" w:themeColor="text1"/>
                <w:lang w:val="ru-RU"/>
              </w:rPr>
              <w:t>с</w:t>
            </w:r>
            <w:r w:rsidRPr="00286216">
              <w:rPr>
                <w:color w:val="000000" w:themeColor="text1"/>
              </w:rPr>
              <w:t>творення, діяльності та припинення акціонерних товариств.</w:t>
            </w:r>
          </w:p>
        </w:tc>
      </w:tr>
      <w:tr w:rsidR="00E64972" w:rsidRPr="00286216" w14:paraId="5C3D57F0" w14:textId="77777777" w:rsidTr="00F6479F">
        <w:tc>
          <w:tcPr>
            <w:tcW w:w="576" w:type="dxa"/>
          </w:tcPr>
          <w:p w14:paraId="64D9E94A" w14:textId="77777777" w:rsidR="00E64972" w:rsidRPr="00286216" w:rsidRDefault="00E64972" w:rsidP="00F6479F">
            <w:pPr>
              <w:pStyle w:val="StyleWisnow"/>
              <w:rPr>
                <w:color w:val="000000" w:themeColor="text1"/>
              </w:rPr>
            </w:pPr>
            <w:r w:rsidRPr="00286216">
              <w:rPr>
                <w:color w:val="000000" w:themeColor="text1"/>
              </w:rPr>
              <w:t>328.</w:t>
            </w:r>
          </w:p>
        </w:tc>
        <w:tc>
          <w:tcPr>
            <w:tcW w:w="4818" w:type="dxa"/>
          </w:tcPr>
          <w:p w14:paraId="16D7B139" w14:textId="77777777" w:rsidR="00E64972" w:rsidRPr="00286216" w:rsidRDefault="00E64972" w:rsidP="00F6479F">
            <w:pPr>
              <w:pStyle w:val="StyleZakonu"/>
              <w:rPr>
                <w:color w:val="000000" w:themeColor="text1"/>
              </w:rPr>
            </w:pPr>
            <w:r w:rsidRPr="00286216">
              <w:rPr>
                <w:color w:val="000000" w:themeColor="text1"/>
              </w:rPr>
              <w:t>Акції існують виключно в бездокументарній формі.</w:t>
            </w:r>
          </w:p>
        </w:tc>
        <w:tc>
          <w:tcPr>
            <w:tcW w:w="3686" w:type="dxa"/>
          </w:tcPr>
          <w:p w14:paraId="6BB69C6A" w14:textId="5C7395DA" w:rsidR="00E64972" w:rsidRPr="00286216" w:rsidRDefault="00E64972" w:rsidP="00F6479F">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259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79B7E00" w14:textId="77777777" w:rsidR="00E64972" w:rsidRPr="00286216" w:rsidRDefault="00E64972" w:rsidP="00F6479F">
            <w:pPr>
              <w:pStyle w:val="StyleProp"/>
              <w:rPr>
                <w:color w:val="000000" w:themeColor="text1"/>
                <w:szCs w:val="18"/>
              </w:rPr>
            </w:pPr>
            <w:r w:rsidRPr="00286216">
              <w:rPr>
                <w:color w:val="000000" w:themeColor="text1"/>
                <w:spacing w:val="-2"/>
                <w:szCs w:val="18"/>
              </w:rPr>
              <w:t>В тексті</w:t>
            </w:r>
            <w:r w:rsidRPr="00286216">
              <w:rPr>
                <w:color w:val="000000" w:themeColor="text1"/>
                <w:szCs w:val="18"/>
              </w:rPr>
              <w:t xml:space="preserve"> проекту слово "</w:t>
            </w:r>
            <w:r w:rsidRPr="00286216">
              <w:rPr>
                <w:color w:val="000000" w:themeColor="text1"/>
                <w:spacing w:val="-2"/>
                <w:szCs w:val="18"/>
              </w:rPr>
              <w:t>бездокументарній</w:t>
            </w:r>
            <w:r w:rsidRPr="00286216">
              <w:rPr>
                <w:color w:val="000000" w:themeColor="text1"/>
                <w:szCs w:val="18"/>
              </w:rPr>
              <w:t>" замінити словом "електронній".</w:t>
            </w:r>
          </w:p>
        </w:tc>
        <w:tc>
          <w:tcPr>
            <w:tcW w:w="1987" w:type="dxa"/>
          </w:tcPr>
          <w:p w14:paraId="033DAAA2"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6FC7BA27" w14:textId="77777777" w:rsidR="00E64972" w:rsidRPr="00286216" w:rsidRDefault="00E64972" w:rsidP="00F6479F">
            <w:pPr>
              <w:pStyle w:val="StyleZakonu"/>
              <w:rPr>
                <w:color w:val="000000" w:themeColor="text1"/>
              </w:rPr>
            </w:pPr>
            <w:r w:rsidRPr="00286216">
              <w:rPr>
                <w:color w:val="000000" w:themeColor="text1"/>
              </w:rPr>
              <w:t xml:space="preserve">Акції існують виключно в </w:t>
            </w:r>
            <w:r w:rsidRPr="00286216">
              <w:rPr>
                <w:color w:val="000000" w:themeColor="text1"/>
                <w:szCs w:val="18"/>
              </w:rPr>
              <w:t>електронній</w:t>
            </w:r>
            <w:r w:rsidRPr="00286216">
              <w:rPr>
                <w:color w:val="000000" w:themeColor="text1"/>
              </w:rPr>
              <w:t xml:space="preserve"> формі.</w:t>
            </w:r>
          </w:p>
        </w:tc>
      </w:tr>
      <w:tr w:rsidR="00E64972" w:rsidRPr="00286216" w14:paraId="184C31CE" w14:textId="77777777" w:rsidTr="00F6479F">
        <w:tc>
          <w:tcPr>
            <w:tcW w:w="576" w:type="dxa"/>
          </w:tcPr>
          <w:p w14:paraId="38638700" w14:textId="77777777" w:rsidR="00E64972" w:rsidRPr="00286216" w:rsidRDefault="00E64972" w:rsidP="00F6479F">
            <w:pPr>
              <w:pStyle w:val="StyleWisnow"/>
              <w:rPr>
                <w:color w:val="000000" w:themeColor="text1"/>
              </w:rPr>
            </w:pPr>
            <w:r w:rsidRPr="00286216">
              <w:rPr>
                <w:color w:val="000000" w:themeColor="text1"/>
              </w:rPr>
              <w:t>329.</w:t>
            </w:r>
          </w:p>
        </w:tc>
        <w:tc>
          <w:tcPr>
            <w:tcW w:w="4818" w:type="dxa"/>
          </w:tcPr>
          <w:p w14:paraId="5D3EEBA8" w14:textId="77777777" w:rsidR="00E64972" w:rsidRPr="00286216" w:rsidRDefault="00E64972" w:rsidP="00F6479F">
            <w:pPr>
              <w:pStyle w:val="StyleZakonu"/>
              <w:rPr>
                <w:color w:val="000000" w:themeColor="text1"/>
              </w:rPr>
            </w:pPr>
            <w:r w:rsidRPr="00286216">
              <w:rPr>
                <w:color w:val="000000" w:themeColor="text1"/>
              </w:rPr>
              <w:t>4. Акція має номінальну вартість, установлену в національній валюті. Мінімальна номінальна вартість акції не може бути меншою, ніж одна копійка.</w:t>
            </w:r>
          </w:p>
        </w:tc>
        <w:tc>
          <w:tcPr>
            <w:tcW w:w="3686" w:type="dxa"/>
          </w:tcPr>
          <w:p w14:paraId="51E37202" w14:textId="77777777" w:rsidR="00E64972" w:rsidRPr="00286216" w:rsidRDefault="00E64972" w:rsidP="00F6479F">
            <w:pPr>
              <w:pStyle w:val="StyleProp"/>
              <w:rPr>
                <w:color w:val="000000" w:themeColor="text1"/>
                <w:szCs w:val="18"/>
              </w:rPr>
            </w:pPr>
          </w:p>
        </w:tc>
        <w:tc>
          <w:tcPr>
            <w:tcW w:w="1987" w:type="dxa"/>
          </w:tcPr>
          <w:p w14:paraId="1D9998BC" w14:textId="77777777" w:rsidR="00E64972" w:rsidRPr="00286216" w:rsidRDefault="00E64972" w:rsidP="00F6479F">
            <w:pPr>
              <w:pStyle w:val="StyleWisnow"/>
              <w:rPr>
                <w:color w:val="000000" w:themeColor="text1"/>
              </w:rPr>
            </w:pPr>
          </w:p>
        </w:tc>
        <w:tc>
          <w:tcPr>
            <w:tcW w:w="4818" w:type="dxa"/>
          </w:tcPr>
          <w:p w14:paraId="28852E41" w14:textId="77777777" w:rsidR="00E64972" w:rsidRPr="00286216" w:rsidRDefault="00E64972" w:rsidP="00F6479F">
            <w:pPr>
              <w:pStyle w:val="StyleZakonu"/>
              <w:rPr>
                <w:color w:val="000000" w:themeColor="text1"/>
              </w:rPr>
            </w:pPr>
            <w:r w:rsidRPr="00286216">
              <w:rPr>
                <w:color w:val="000000" w:themeColor="text1"/>
              </w:rPr>
              <w:t>4. Акція має номінальну вартість, установлену в національній валюті. Мінімальна номінальна вартість акції не може бути меншою, ніж 1 копійка.</w:t>
            </w:r>
          </w:p>
        </w:tc>
      </w:tr>
      <w:tr w:rsidR="00E64972" w:rsidRPr="00286216" w14:paraId="4E959F52" w14:textId="77777777" w:rsidTr="00F6479F">
        <w:tc>
          <w:tcPr>
            <w:tcW w:w="576" w:type="dxa"/>
          </w:tcPr>
          <w:p w14:paraId="3E1F7C89" w14:textId="77777777" w:rsidR="00E64972" w:rsidRPr="00286216" w:rsidRDefault="00E64972" w:rsidP="00F6479F">
            <w:pPr>
              <w:pStyle w:val="StyleWisnow"/>
              <w:rPr>
                <w:color w:val="000000" w:themeColor="text1"/>
              </w:rPr>
            </w:pPr>
            <w:r w:rsidRPr="00286216">
              <w:rPr>
                <w:color w:val="000000" w:themeColor="text1"/>
              </w:rPr>
              <w:t>330.</w:t>
            </w:r>
          </w:p>
        </w:tc>
        <w:tc>
          <w:tcPr>
            <w:tcW w:w="4818" w:type="dxa"/>
          </w:tcPr>
          <w:p w14:paraId="58F95F4C" w14:textId="77777777" w:rsidR="00E64972" w:rsidRPr="00286216" w:rsidRDefault="00E64972" w:rsidP="00F6479F">
            <w:pPr>
              <w:pStyle w:val="StyleZakonu"/>
              <w:rPr>
                <w:color w:val="000000" w:themeColor="text1"/>
              </w:rPr>
            </w:pPr>
            <w:r w:rsidRPr="00286216">
              <w:rPr>
                <w:color w:val="000000" w:themeColor="text1"/>
              </w:rPr>
              <w:t>5. Акціонерне товариство розміщує тільки іменні акції.</w:t>
            </w:r>
          </w:p>
        </w:tc>
        <w:tc>
          <w:tcPr>
            <w:tcW w:w="3686" w:type="dxa"/>
          </w:tcPr>
          <w:p w14:paraId="71C9C40B" w14:textId="77777777" w:rsidR="00E64972" w:rsidRPr="00286216" w:rsidRDefault="00E64972" w:rsidP="00F6479F">
            <w:pPr>
              <w:pStyle w:val="StyleProp"/>
              <w:rPr>
                <w:color w:val="000000" w:themeColor="text1"/>
                <w:szCs w:val="18"/>
              </w:rPr>
            </w:pPr>
          </w:p>
        </w:tc>
        <w:tc>
          <w:tcPr>
            <w:tcW w:w="1987" w:type="dxa"/>
          </w:tcPr>
          <w:p w14:paraId="6472C73D" w14:textId="77777777" w:rsidR="00E64972" w:rsidRPr="00286216" w:rsidRDefault="00E64972" w:rsidP="00F6479F">
            <w:pPr>
              <w:pStyle w:val="StyleWisnow"/>
              <w:rPr>
                <w:color w:val="000000" w:themeColor="text1"/>
              </w:rPr>
            </w:pPr>
          </w:p>
        </w:tc>
        <w:tc>
          <w:tcPr>
            <w:tcW w:w="4818" w:type="dxa"/>
          </w:tcPr>
          <w:p w14:paraId="22526912" w14:textId="77777777" w:rsidR="00E64972" w:rsidRPr="00286216" w:rsidRDefault="00E64972" w:rsidP="00F6479F">
            <w:pPr>
              <w:pStyle w:val="StyleZakonu"/>
              <w:rPr>
                <w:color w:val="000000" w:themeColor="text1"/>
              </w:rPr>
            </w:pPr>
            <w:r w:rsidRPr="00286216">
              <w:rPr>
                <w:color w:val="000000" w:themeColor="text1"/>
              </w:rPr>
              <w:t>5. Акціонерне товариство розміщує лише іменні акції.</w:t>
            </w:r>
          </w:p>
        </w:tc>
      </w:tr>
      <w:tr w:rsidR="00E64972" w:rsidRPr="00286216" w14:paraId="7BB58F41" w14:textId="77777777" w:rsidTr="00F6479F">
        <w:tc>
          <w:tcPr>
            <w:tcW w:w="576" w:type="dxa"/>
          </w:tcPr>
          <w:p w14:paraId="5D0DE714" w14:textId="77777777" w:rsidR="00E64972" w:rsidRPr="00286216" w:rsidRDefault="00E64972" w:rsidP="00F6479F">
            <w:pPr>
              <w:pStyle w:val="StyleWisnow"/>
              <w:rPr>
                <w:color w:val="000000" w:themeColor="text1"/>
              </w:rPr>
            </w:pPr>
            <w:r w:rsidRPr="00286216">
              <w:rPr>
                <w:color w:val="000000" w:themeColor="text1"/>
              </w:rPr>
              <w:t>331.</w:t>
            </w:r>
          </w:p>
        </w:tc>
        <w:tc>
          <w:tcPr>
            <w:tcW w:w="4818" w:type="dxa"/>
          </w:tcPr>
          <w:p w14:paraId="7966BF62" w14:textId="77777777" w:rsidR="00E64972" w:rsidRPr="00286216" w:rsidRDefault="00E64972" w:rsidP="00F6479F">
            <w:pPr>
              <w:pStyle w:val="StyleZakonu"/>
              <w:rPr>
                <w:color w:val="000000" w:themeColor="text1"/>
              </w:rPr>
            </w:pPr>
            <w:r w:rsidRPr="00286216">
              <w:rPr>
                <w:color w:val="000000" w:themeColor="text1"/>
              </w:rPr>
              <w:t>6. Акціонерне товариство розміщує акції двох типів - прості та привілейовані.</w:t>
            </w:r>
          </w:p>
        </w:tc>
        <w:tc>
          <w:tcPr>
            <w:tcW w:w="3686" w:type="dxa"/>
          </w:tcPr>
          <w:p w14:paraId="75C8F9A0" w14:textId="77777777" w:rsidR="00E64972" w:rsidRPr="00286216" w:rsidRDefault="00E64972" w:rsidP="00F6479F">
            <w:pPr>
              <w:pStyle w:val="StyleProp"/>
              <w:rPr>
                <w:color w:val="000000" w:themeColor="text1"/>
                <w:szCs w:val="18"/>
              </w:rPr>
            </w:pPr>
          </w:p>
        </w:tc>
        <w:tc>
          <w:tcPr>
            <w:tcW w:w="1987" w:type="dxa"/>
          </w:tcPr>
          <w:p w14:paraId="3A1D6609" w14:textId="77777777" w:rsidR="00E64972" w:rsidRPr="00286216" w:rsidRDefault="00E64972" w:rsidP="00F6479F">
            <w:pPr>
              <w:pStyle w:val="StyleWisnow"/>
              <w:rPr>
                <w:color w:val="000000" w:themeColor="text1"/>
              </w:rPr>
            </w:pPr>
          </w:p>
        </w:tc>
        <w:tc>
          <w:tcPr>
            <w:tcW w:w="4818" w:type="dxa"/>
          </w:tcPr>
          <w:p w14:paraId="14E04B4D" w14:textId="77777777" w:rsidR="00E64972" w:rsidRPr="00286216" w:rsidRDefault="00E64972" w:rsidP="00F6479F">
            <w:pPr>
              <w:pStyle w:val="StyleZakonu"/>
              <w:rPr>
                <w:color w:val="000000" w:themeColor="text1"/>
              </w:rPr>
            </w:pPr>
            <w:r w:rsidRPr="00286216">
              <w:rPr>
                <w:color w:val="000000" w:themeColor="text1"/>
              </w:rPr>
              <w:t>6. Акціонерне товариство розміщує акції двох типів - прості та привілейовані.</w:t>
            </w:r>
          </w:p>
        </w:tc>
      </w:tr>
      <w:tr w:rsidR="00E64972" w:rsidRPr="00286216" w14:paraId="38AE2DD1" w14:textId="77777777" w:rsidTr="00F6479F">
        <w:tc>
          <w:tcPr>
            <w:tcW w:w="576" w:type="dxa"/>
          </w:tcPr>
          <w:p w14:paraId="7F4598FC" w14:textId="77777777" w:rsidR="00E64972" w:rsidRPr="00286216" w:rsidRDefault="00E64972" w:rsidP="00F6479F">
            <w:pPr>
              <w:pStyle w:val="StyleWisnow"/>
              <w:rPr>
                <w:color w:val="000000" w:themeColor="text1"/>
              </w:rPr>
            </w:pPr>
            <w:r w:rsidRPr="00286216">
              <w:rPr>
                <w:color w:val="000000" w:themeColor="text1"/>
              </w:rPr>
              <w:t>332.</w:t>
            </w:r>
          </w:p>
        </w:tc>
        <w:tc>
          <w:tcPr>
            <w:tcW w:w="4818" w:type="dxa"/>
          </w:tcPr>
          <w:p w14:paraId="2C0AFCCD" w14:textId="77777777" w:rsidR="00E64972" w:rsidRPr="00286216" w:rsidRDefault="00E64972" w:rsidP="00F6479F">
            <w:pPr>
              <w:pStyle w:val="StyleZakonu"/>
              <w:rPr>
                <w:color w:val="000000" w:themeColor="text1"/>
              </w:rPr>
            </w:pPr>
            <w:r w:rsidRPr="00286216">
              <w:rPr>
                <w:color w:val="000000" w:themeColor="text1"/>
              </w:rPr>
              <w:t>7. Прості акції надають їх власникам право на отримання частини прибутку акціонерного товариства у вигляді дивідендів, на участь в управлінні акціонерним товариством, на отримання частини майна акціонерного товариства у разі його ліквідації та інші права, передбачені законом, що регулює питання створення, діяльності та припинення акціонерних товариств. Прості акції надають їх власникам однакові права.</w:t>
            </w:r>
          </w:p>
        </w:tc>
        <w:tc>
          <w:tcPr>
            <w:tcW w:w="3686" w:type="dxa"/>
          </w:tcPr>
          <w:p w14:paraId="3C9104B0" w14:textId="77777777" w:rsidR="00E64972" w:rsidRPr="00286216" w:rsidRDefault="00E64972" w:rsidP="00F6479F">
            <w:pPr>
              <w:pStyle w:val="StyleProp"/>
              <w:rPr>
                <w:color w:val="000000" w:themeColor="text1"/>
                <w:szCs w:val="18"/>
              </w:rPr>
            </w:pPr>
          </w:p>
        </w:tc>
        <w:tc>
          <w:tcPr>
            <w:tcW w:w="1987" w:type="dxa"/>
          </w:tcPr>
          <w:p w14:paraId="226DA0F7" w14:textId="77777777" w:rsidR="00E64972" w:rsidRPr="00286216" w:rsidRDefault="00E64972" w:rsidP="00F6479F">
            <w:pPr>
              <w:pStyle w:val="StyleWisnow"/>
              <w:rPr>
                <w:color w:val="000000" w:themeColor="text1"/>
              </w:rPr>
            </w:pPr>
          </w:p>
        </w:tc>
        <w:tc>
          <w:tcPr>
            <w:tcW w:w="4818" w:type="dxa"/>
          </w:tcPr>
          <w:p w14:paraId="62C4F314" w14:textId="77777777" w:rsidR="00E64972" w:rsidRPr="00286216" w:rsidRDefault="00E64972" w:rsidP="00F6479F">
            <w:pPr>
              <w:pStyle w:val="StyleZakonu"/>
              <w:rPr>
                <w:color w:val="000000" w:themeColor="text1"/>
              </w:rPr>
            </w:pPr>
            <w:r w:rsidRPr="00286216">
              <w:rPr>
                <w:color w:val="000000" w:themeColor="text1"/>
              </w:rPr>
              <w:t>7. Прості акції надають їх власникам право на отримання частини прибутку акціонерного товариства у вигляді дивідендів, на участь в управлінні акціонерним товариством, на отримання частини майна акціонерного товариства у разі його ліквідації та інші права, передбачені законом, що регулює питання створення, діяльності та припинення акціонерних товариств. Прості акції надають їх власникам однакові права.</w:t>
            </w:r>
          </w:p>
        </w:tc>
      </w:tr>
      <w:tr w:rsidR="00E64972" w:rsidRPr="00286216" w14:paraId="5CC67726" w14:textId="77777777" w:rsidTr="00F6479F">
        <w:tc>
          <w:tcPr>
            <w:tcW w:w="576" w:type="dxa"/>
          </w:tcPr>
          <w:p w14:paraId="0D2085D1" w14:textId="77777777" w:rsidR="00E64972" w:rsidRPr="00286216" w:rsidRDefault="00E64972" w:rsidP="00F6479F">
            <w:pPr>
              <w:pStyle w:val="StyleWisnow"/>
              <w:rPr>
                <w:color w:val="000000" w:themeColor="text1"/>
              </w:rPr>
            </w:pPr>
            <w:r w:rsidRPr="00286216">
              <w:rPr>
                <w:color w:val="000000" w:themeColor="text1"/>
              </w:rPr>
              <w:t>333.</w:t>
            </w:r>
          </w:p>
        </w:tc>
        <w:tc>
          <w:tcPr>
            <w:tcW w:w="4818" w:type="dxa"/>
          </w:tcPr>
          <w:p w14:paraId="33BA6311" w14:textId="77777777" w:rsidR="00E64972" w:rsidRPr="00286216" w:rsidRDefault="00E64972" w:rsidP="00F6479F">
            <w:pPr>
              <w:pStyle w:val="StyleZakonu"/>
              <w:rPr>
                <w:color w:val="000000" w:themeColor="text1"/>
              </w:rPr>
            </w:pPr>
            <w:r w:rsidRPr="00286216">
              <w:rPr>
                <w:color w:val="000000" w:themeColor="text1"/>
              </w:rPr>
              <w:t xml:space="preserve">Прості акції не підлягають конвертації у </w:t>
            </w:r>
            <w:r w:rsidRPr="00286216">
              <w:rPr>
                <w:color w:val="000000" w:themeColor="text1"/>
              </w:rPr>
              <w:lastRenderedPageBreak/>
              <w:t>привілейовані акції або інші цінні папери акціонерного товариства.</w:t>
            </w:r>
          </w:p>
        </w:tc>
        <w:tc>
          <w:tcPr>
            <w:tcW w:w="3686" w:type="dxa"/>
          </w:tcPr>
          <w:p w14:paraId="1077493D" w14:textId="77777777" w:rsidR="00E64972" w:rsidRPr="00286216" w:rsidRDefault="00E64972" w:rsidP="00F6479F">
            <w:pPr>
              <w:pStyle w:val="StyleProp"/>
              <w:rPr>
                <w:color w:val="000000" w:themeColor="text1"/>
                <w:szCs w:val="18"/>
              </w:rPr>
            </w:pPr>
          </w:p>
        </w:tc>
        <w:tc>
          <w:tcPr>
            <w:tcW w:w="1987" w:type="dxa"/>
          </w:tcPr>
          <w:p w14:paraId="4B415644" w14:textId="77777777" w:rsidR="00E64972" w:rsidRPr="00286216" w:rsidRDefault="00E64972" w:rsidP="00F6479F">
            <w:pPr>
              <w:pStyle w:val="StyleWisnow"/>
              <w:rPr>
                <w:color w:val="000000" w:themeColor="text1"/>
              </w:rPr>
            </w:pPr>
          </w:p>
        </w:tc>
        <w:tc>
          <w:tcPr>
            <w:tcW w:w="4818" w:type="dxa"/>
          </w:tcPr>
          <w:p w14:paraId="249755E2" w14:textId="77777777" w:rsidR="00E64972" w:rsidRPr="00286216" w:rsidRDefault="00E64972" w:rsidP="00F6479F">
            <w:pPr>
              <w:pStyle w:val="StyleZakonu"/>
              <w:rPr>
                <w:color w:val="000000" w:themeColor="text1"/>
              </w:rPr>
            </w:pPr>
            <w:r w:rsidRPr="00286216">
              <w:rPr>
                <w:color w:val="000000" w:themeColor="text1"/>
              </w:rPr>
              <w:t xml:space="preserve">Прості акції не підлягають конвертації у </w:t>
            </w:r>
            <w:r w:rsidRPr="00286216">
              <w:rPr>
                <w:color w:val="000000" w:themeColor="text1"/>
              </w:rPr>
              <w:lastRenderedPageBreak/>
              <w:t>привілейовані акції або інші цінні папери акціонерного товариства.</w:t>
            </w:r>
          </w:p>
        </w:tc>
      </w:tr>
      <w:tr w:rsidR="00E64972" w:rsidRPr="00286216" w14:paraId="4322421F" w14:textId="77777777" w:rsidTr="00F6479F">
        <w:tc>
          <w:tcPr>
            <w:tcW w:w="576" w:type="dxa"/>
          </w:tcPr>
          <w:p w14:paraId="44D5C18C" w14:textId="77777777" w:rsidR="00E64972" w:rsidRPr="00286216" w:rsidRDefault="00E64972" w:rsidP="00F6479F">
            <w:pPr>
              <w:pStyle w:val="StyleWisnow"/>
              <w:rPr>
                <w:color w:val="000000" w:themeColor="text1"/>
              </w:rPr>
            </w:pPr>
            <w:r w:rsidRPr="00286216">
              <w:rPr>
                <w:color w:val="000000" w:themeColor="text1"/>
              </w:rPr>
              <w:lastRenderedPageBreak/>
              <w:t>334.</w:t>
            </w:r>
          </w:p>
        </w:tc>
        <w:tc>
          <w:tcPr>
            <w:tcW w:w="4818" w:type="dxa"/>
          </w:tcPr>
          <w:p w14:paraId="576F0268" w14:textId="77777777" w:rsidR="00E64972" w:rsidRPr="00286216" w:rsidRDefault="00E64972" w:rsidP="00F6479F">
            <w:pPr>
              <w:pStyle w:val="StyleZakonu"/>
              <w:rPr>
                <w:color w:val="000000" w:themeColor="text1"/>
              </w:rPr>
            </w:pPr>
            <w:r w:rsidRPr="00286216">
              <w:rPr>
                <w:color w:val="000000" w:themeColor="text1"/>
              </w:rPr>
              <w:t>Надання будь-яких гарантій щодо отримання доходу (дивідендів) за простими акціями забороняється.</w:t>
            </w:r>
          </w:p>
        </w:tc>
        <w:tc>
          <w:tcPr>
            <w:tcW w:w="3686" w:type="dxa"/>
          </w:tcPr>
          <w:p w14:paraId="58BC34DC" w14:textId="77777777" w:rsidR="00E64972" w:rsidRPr="00286216" w:rsidRDefault="00E64972" w:rsidP="00F6479F">
            <w:pPr>
              <w:pStyle w:val="StyleProp"/>
              <w:rPr>
                <w:color w:val="000000" w:themeColor="text1"/>
                <w:szCs w:val="18"/>
              </w:rPr>
            </w:pPr>
          </w:p>
        </w:tc>
        <w:tc>
          <w:tcPr>
            <w:tcW w:w="1987" w:type="dxa"/>
          </w:tcPr>
          <w:p w14:paraId="4744B709" w14:textId="77777777" w:rsidR="00E64972" w:rsidRPr="00286216" w:rsidRDefault="00E64972" w:rsidP="00F6479F">
            <w:pPr>
              <w:pStyle w:val="StyleWisnow"/>
              <w:rPr>
                <w:color w:val="000000" w:themeColor="text1"/>
              </w:rPr>
            </w:pPr>
          </w:p>
        </w:tc>
        <w:tc>
          <w:tcPr>
            <w:tcW w:w="4818" w:type="dxa"/>
          </w:tcPr>
          <w:p w14:paraId="322EA950" w14:textId="77777777" w:rsidR="00E64972" w:rsidRPr="00286216" w:rsidRDefault="00E64972" w:rsidP="00F6479F">
            <w:pPr>
              <w:pStyle w:val="StyleZakonu"/>
              <w:rPr>
                <w:color w:val="000000" w:themeColor="text1"/>
              </w:rPr>
            </w:pPr>
            <w:r w:rsidRPr="00286216">
              <w:rPr>
                <w:color w:val="000000" w:themeColor="text1"/>
              </w:rPr>
              <w:t>Надання будь-яких гарантій щодо отримання доходу (дивідендів) за простими акціями забороняється.</w:t>
            </w:r>
          </w:p>
        </w:tc>
      </w:tr>
      <w:tr w:rsidR="00E64972" w:rsidRPr="00286216" w14:paraId="2593DEB3" w14:textId="77777777" w:rsidTr="00F6479F">
        <w:tc>
          <w:tcPr>
            <w:tcW w:w="576" w:type="dxa"/>
          </w:tcPr>
          <w:p w14:paraId="144F73DC" w14:textId="77777777" w:rsidR="00E64972" w:rsidRPr="00286216" w:rsidRDefault="00E64972" w:rsidP="00F6479F">
            <w:pPr>
              <w:pStyle w:val="StyleWisnow"/>
              <w:rPr>
                <w:color w:val="000000" w:themeColor="text1"/>
              </w:rPr>
            </w:pPr>
            <w:r w:rsidRPr="00286216">
              <w:rPr>
                <w:color w:val="000000" w:themeColor="text1"/>
              </w:rPr>
              <w:t>335.</w:t>
            </w:r>
          </w:p>
        </w:tc>
        <w:tc>
          <w:tcPr>
            <w:tcW w:w="4818" w:type="dxa"/>
          </w:tcPr>
          <w:p w14:paraId="471C752B" w14:textId="77777777" w:rsidR="00E64972" w:rsidRPr="00286216" w:rsidRDefault="00E64972" w:rsidP="00F6479F">
            <w:pPr>
              <w:pStyle w:val="StyleZakonu"/>
              <w:rPr>
                <w:color w:val="000000" w:themeColor="text1"/>
              </w:rPr>
            </w:pPr>
            <w:r w:rsidRPr="00286216">
              <w:rPr>
                <w:color w:val="000000" w:themeColor="text1"/>
              </w:rPr>
              <w:t>8. Привілейовані акції надають їх власникам переважні, стосовно власників простих акцій, права на отримання частини прибутку акціонерного товариства у вигляді дивідендів та на отримання частини майна акціонерного товариства у разі його ліквідації, а також надають права на участь в управлінні акціонерним товариством у випадках, передбачених статутом і законом, який регулює питання створення, діяльності та припинення акціонерних товариств.</w:t>
            </w:r>
          </w:p>
        </w:tc>
        <w:tc>
          <w:tcPr>
            <w:tcW w:w="3686" w:type="dxa"/>
          </w:tcPr>
          <w:p w14:paraId="29C7DFF1" w14:textId="77777777" w:rsidR="00E64972" w:rsidRPr="00286216" w:rsidRDefault="00E64972" w:rsidP="00F6479F">
            <w:pPr>
              <w:pStyle w:val="StyleProp"/>
              <w:rPr>
                <w:color w:val="000000" w:themeColor="text1"/>
                <w:szCs w:val="18"/>
              </w:rPr>
            </w:pPr>
          </w:p>
        </w:tc>
        <w:tc>
          <w:tcPr>
            <w:tcW w:w="1987" w:type="dxa"/>
          </w:tcPr>
          <w:p w14:paraId="73E6FAE9" w14:textId="77777777" w:rsidR="00E64972" w:rsidRPr="00286216" w:rsidRDefault="00E64972" w:rsidP="00F6479F">
            <w:pPr>
              <w:pStyle w:val="StyleWisnow"/>
              <w:rPr>
                <w:color w:val="000000" w:themeColor="text1"/>
              </w:rPr>
            </w:pPr>
          </w:p>
        </w:tc>
        <w:tc>
          <w:tcPr>
            <w:tcW w:w="4818" w:type="dxa"/>
          </w:tcPr>
          <w:p w14:paraId="7F34BF17" w14:textId="77777777" w:rsidR="00E64972" w:rsidRPr="00286216" w:rsidRDefault="00E64972" w:rsidP="00F6479F">
            <w:pPr>
              <w:pStyle w:val="StyleZakonu"/>
              <w:rPr>
                <w:color w:val="000000" w:themeColor="text1"/>
              </w:rPr>
            </w:pPr>
            <w:r w:rsidRPr="00286216">
              <w:rPr>
                <w:color w:val="000000" w:themeColor="text1"/>
              </w:rPr>
              <w:t>8. Привілейовані акції надають їх власникам переважні, порівняно з власниками простих акцій, права на отримання частини прибутку акціонерного товариства у вигляді дивідендів та на отримання частини майна акціонерного товариства у разі його ліквідації, а також надають права на участь в управлінні акціонерним товариством у випадках, передбачених статутом такого акціонерного товариства і законом, що регулює питання створення, діяльності та припинення акціонерних товариств.</w:t>
            </w:r>
          </w:p>
        </w:tc>
      </w:tr>
      <w:tr w:rsidR="00E64972" w:rsidRPr="00286216" w14:paraId="4C5BE8F6" w14:textId="77777777" w:rsidTr="00F6479F">
        <w:tc>
          <w:tcPr>
            <w:tcW w:w="576" w:type="dxa"/>
          </w:tcPr>
          <w:p w14:paraId="34D350EB" w14:textId="77777777" w:rsidR="00E64972" w:rsidRPr="00286216" w:rsidRDefault="00E64972" w:rsidP="00F6479F">
            <w:pPr>
              <w:pStyle w:val="StyleWisnow"/>
              <w:rPr>
                <w:color w:val="000000" w:themeColor="text1"/>
              </w:rPr>
            </w:pPr>
            <w:r w:rsidRPr="00286216">
              <w:rPr>
                <w:color w:val="000000" w:themeColor="text1"/>
              </w:rPr>
              <w:t>336.</w:t>
            </w:r>
          </w:p>
        </w:tc>
        <w:tc>
          <w:tcPr>
            <w:tcW w:w="4818" w:type="dxa"/>
          </w:tcPr>
          <w:p w14:paraId="29D423AF" w14:textId="77777777" w:rsidR="00E64972" w:rsidRPr="00286216" w:rsidRDefault="00E64972" w:rsidP="00F6479F">
            <w:pPr>
              <w:pStyle w:val="StyleZakonu"/>
              <w:rPr>
                <w:color w:val="000000" w:themeColor="text1"/>
              </w:rPr>
            </w:pPr>
            <w:r w:rsidRPr="00286216">
              <w:rPr>
                <w:color w:val="000000" w:themeColor="text1"/>
              </w:rPr>
              <w:t>9. Акціонерне товариство розміщує привілейовані акції різних класів (з різним обсягом прав), якщо така можливість передбачена його статутом. У такому разі у проспекті або рішенні про емісію цінних паперів зазначається черговість отримання дивідендів і виплат з майна ліквідованого товариства для кожного класу привілейованих акцій, розміщених акціонерним товариством, яка встановлюється статутом товариства. Привілейовані акції певних класів можуть бути конвертовані у прості акції або у привілейовані акції інших класів, якщо це передбачено проспектом або рішенням про емісію цінних паперів.</w:t>
            </w:r>
          </w:p>
        </w:tc>
        <w:tc>
          <w:tcPr>
            <w:tcW w:w="3686" w:type="dxa"/>
          </w:tcPr>
          <w:p w14:paraId="4A69C205" w14:textId="77777777" w:rsidR="00E64972" w:rsidRPr="00286216" w:rsidRDefault="00E64972" w:rsidP="00F6479F">
            <w:pPr>
              <w:pStyle w:val="StyleProp"/>
              <w:rPr>
                <w:color w:val="000000" w:themeColor="text1"/>
                <w:szCs w:val="18"/>
              </w:rPr>
            </w:pPr>
          </w:p>
        </w:tc>
        <w:tc>
          <w:tcPr>
            <w:tcW w:w="1987" w:type="dxa"/>
          </w:tcPr>
          <w:p w14:paraId="564524AA" w14:textId="77777777" w:rsidR="00E64972" w:rsidRPr="00286216" w:rsidRDefault="00E64972" w:rsidP="00F6479F">
            <w:pPr>
              <w:pStyle w:val="StyleWisnow"/>
              <w:rPr>
                <w:color w:val="000000" w:themeColor="text1"/>
              </w:rPr>
            </w:pPr>
          </w:p>
        </w:tc>
        <w:tc>
          <w:tcPr>
            <w:tcW w:w="4818" w:type="dxa"/>
          </w:tcPr>
          <w:p w14:paraId="359C6859" w14:textId="77777777" w:rsidR="00E64972" w:rsidRPr="00286216" w:rsidRDefault="00E64972" w:rsidP="00F6479F">
            <w:pPr>
              <w:pStyle w:val="StyleZakonu"/>
              <w:rPr>
                <w:color w:val="000000" w:themeColor="text1"/>
              </w:rPr>
            </w:pPr>
            <w:r w:rsidRPr="00286216">
              <w:rPr>
                <w:color w:val="000000" w:themeColor="text1"/>
              </w:rPr>
              <w:t>9. Акціонерне товариство розміщує привілейовані акції різних класів (з різним обсягом прав), якщо така можливість передбачена його статутом. У такому разі у проспекті або рішенні про емісію зазначається черговість отримання дивідендів і виплат з майна ліквідованого акціонерного товариства для кожного класу привілейованих акцій, розміщених акціонерним товариством, яка встановлюється статутом такого товариства. Привілейовані акції певних класів можуть бути конвертовані у прості акції або у привілейовані акції інших класів, якщо це передбачено проспектом або рішенням про емісію.</w:t>
            </w:r>
          </w:p>
        </w:tc>
      </w:tr>
      <w:tr w:rsidR="00E64972" w:rsidRPr="00286216" w14:paraId="467245AB" w14:textId="77777777" w:rsidTr="00F6479F">
        <w:tc>
          <w:tcPr>
            <w:tcW w:w="576" w:type="dxa"/>
          </w:tcPr>
          <w:p w14:paraId="7D04FBE8" w14:textId="77777777" w:rsidR="00E64972" w:rsidRPr="00286216" w:rsidRDefault="00E64972" w:rsidP="00F6479F">
            <w:pPr>
              <w:pStyle w:val="StyleWisnow"/>
              <w:rPr>
                <w:color w:val="000000" w:themeColor="text1"/>
              </w:rPr>
            </w:pPr>
            <w:r w:rsidRPr="00286216">
              <w:rPr>
                <w:color w:val="000000" w:themeColor="text1"/>
              </w:rPr>
              <w:t>337.</w:t>
            </w:r>
          </w:p>
        </w:tc>
        <w:tc>
          <w:tcPr>
            <w:tcW w:w="4818" w:type="dxa"/>
          </w:tcPr>
          <w:p w14:paraId="4340EB9E" w14:textId="77777777" w:rsidR="00E64972" w:rsidRPr="00286216" w:rsidRDefault="00E64972" w:rsidP="00F6479F">
            <w:pPr>
              <w:pStyle w:val="StyleZakonu"/>
              <w:rPr>
                <w:color w:val="000000" w:themeColor="text1"/>
              </w:rPr>
            </w:pPr>
            <w:r w:rsidRPr="00286216">
              <w:rPr>
                <w:color w:val="000000" w:themeColor="text1"/>
              </w:rPr>
              <w:t>Частка привілейованих акцій у статутному капіталі акціонерного товариства не може перевищувати 25 відсотків.</w:t>
            </w:r>
          </w:p>
        </w:tc>
        <w:tc>
          <w:tcPr>
            <w:tcW w:w="3686" w:type="dxa"/>
          </w:tcPr>
          <w:p w14:paraId="2C9BDB73" w14:textId="77777777" w:rsidR="00E64972" w:rsidRPr="00286216" w:rsidRDefault="00E64972" w:rsidP="00F6479F">
            <w:pPr>
              <w:pStyle w:val="StyleProp"/>
              <w:rPr>
                <w:color w:val="000000" w:themeColor="text1"/>
                <w:szCs w:val="18"/>
              </w:rPr>
            </w:pPr>
          </w:p>
        </w:tc>
        <w:tc>
          <w:tcPr>
            <w:tcW w:w="1987" w:type="dxa"/>
          </w:tcPr>
          <w:p w14:paraId="723E9674" w14:textId="77777777" w:rsidR="00E64972" w:rsidRPr="00286216" w:rsidRDefault="00E64972" w:rsidP="00F6479F">
            <w:pPr>
              <w:pStyle w:val="StyleWisnow"/>
              <w:rPr>
                <w:color w:val="000000" w:themeColor="text1"/>
              </w:rPr>
            </w:pPr>
          </w:p>
        </w:tc>
        <w:tc>
          <w:tcPr>
            <w:tcW w:w="4818" w:type="dxa"/>
          </w:tcPr>
          <w:p w14:paraId="661ECB83" w14:textId="77777777" w:rsidR="00E64972" w:rsidRPr="00286216" w:rsidRDefault="00E64972" w:rsidP="00F6479F">
            <w:pPr>
              <w:pStyle w:val="StyleZakonu"/>
              <w:rPr>
                <w:color w:val="000000" w:themeColor="text1"/>
              </w:rPr>
            </w:pPr>
            <w:r w:rsidRPr="00286216">
              <w:rPr>
                <w:color w:val="000000" w:themeColor="text1"/>
              </w:rPr>
              <w:t>Частка привілейованих акцій у статутному капіталі акціонерного товариства не може перевищувати 25 відсотків.</w:t>
            </w:r>
          </w:p>
        </w:tc>
      </w:tr>
      <w:tr w:rsidR="00E64972" w:rsidRPr="00286216" w14:paraId="7DC2B427" w14:textId="77777777" w:rsidTr="00F6479F">
        <w:tc>
          <w:tcPr>
            <w:tcW w:w="576" w:type="dxa"/>
          </w:tcPr>
          <w:p w14:paraId="28E78C3C" w14:textId="77777777" w:rsidR="00E64972" w:rsidRPr="00286216" w:rsidRDefault="00E64972" w:rsidP="00F6479F">
            <w:pPr>
              <w:pStyle w:val="StyleWisnow"/>
              <w:rPr>
                <w:color w:val="000000" w:themeColor="text1"/>
              </w:rPr>
            </w:pPr>
            <w:r w:rsidRPr="00286216">
              <w:rPr>
                <w:color w:val="000000" w:themeColor="text1"/>
              </w:rPr>
              <w:t>338.</w:t>
            </w:r>
          </w:p>
        </w:tc>
        <w:tc>
          <w:tcPr>
            <w:tcW w:w="4818" w:type="dxa"/>
          </w:tcPr>
          <w:p w14:paraId="55FBAED7" w14:textId="77777777" w:rsidR="00E64972" w:rsidRPr="00286216" w:rsidRDefault="00E64972" w:rsidP="00F6479F">
            <w:pPr>
              <w:pStyle w:val="StyleZakonu"/>
              <w:rPr>
                <w:color w:val="000000" w:themeColor="text1"/>
              </w:rPr>
            </w:pPr>
            <w:r w:rsidRPr="00286216">
              <w:rPr>
                <w:color w:val="000000" w:themeColor="text1"/>
              </w:rPr>
              <w:t>10. Реєстрацію випуску акцій здійснює Національна комісія з цінних паперів та фондового ринку в установленому нею порядку. Обіг акцій дозволяється після реєстрації Національною комісією з цінних паперів та фондового ринку звіту про результати емісії акцій та видачі свідоцтва про реєстрацію випуску акцій.</w:t>
            </w:r>
          </w:p>
        </w:tc>
        <w:tc>
          <w:tcPr>
            <w:tcW w:w="3686" w:type="dxa"/>
          </w:tcPr>
          <w:p w14:paraId="336F4E2A" w14:textId="77777777" w:rsidR="00E64972" w:rsidRPr="00286216" w:rsidRDefault="00E64972" w:rsidP="00F6479F">
            <w:pPr>
              <w:pStyle w:val="StyleProp"/>
              <w:rPr>
                <w:color w:val="000000" w:themeColor="text1"/>
                <w:szCs w:val="18"/>
              </w:rPr>
            </w:pPr>
          </w:p>
        </w:tc>
        <w:tc>
          <w:tcPr>
            <w:tcW w:w="1987" w:type="dxa"/>
          </w:tcPr>
          <w:p w14:paraId="501675DA" w14:textId="77777777" w:rsidR="00E64972" w:rsidRPr="00286216" w:rsidRDefault="00E64972" w:rsidP="00F6479F">
            <w:pPr>
              <w:pStyle w:val="StyleWisnow"/>
              <w:rPr>
                <w:color w:val="000000" w:themeColor="text1"/>
              </w:rPr>
            </w:pPr>
          </w:p>
        </w:tc>
        <w:tc>
          <w:tcPr>
            <w:tcW w:w="4818" w:type="dxa"/>
          </w:tcPr>
          <w:p w14:paraId="08B408CF" w14:textId="35D70A6A" w:rsidR="00E64972" w:rsidRPr="00286216" w:rsidRDefault="00E64972" w:rsidP="00F6479F">
            <w:pPr>
              <w:pStyle w:val="StyleZakonu"/>
              <w:rPr>
                <w:color w:val="000000" w:themeColor="text1"/>
              </w:rPr>
            </w:pPr>
            <w:r w:rsidRPr="00286216">
              <w:rPr>
                <w:color w:val="000000" w:themeColor="text1"/>
              </w:rPr>
              <w:t xml:space="preserve">10. Реєстрацію випуску акцій здійснює Національна комісія з цінних паперів та фондового ринку </w:t>
            </w:r>
            <w:r w:rsidRPr="00286216">
              <w:rPr>
                <w:color w:val="000000" w:themeColor="text1"/>
                <w:lang w:val="ru-RU"/>
              </w:rPr>
              <w:t>у</w:t>
            </w:r>
            <w:r w:rsidRPr="00286216">
              <w:rPr>
                <w:color w:val="000000" w:themeColor="text1"/>
              </w:rPr>
              <w:t xml:space="preserve"> </w:t>
            </w:r>
            <w:r w:rsidRPr="00286216">
              <w:rPr>
                <w:color w:val="000000" w:themeColor="text1"/>
                <w:lang w:val="ru-RU"/>
              </w:rPr>
              <w:t>в</w:t>
            </w:r>
            <w:r w:rsidRPr="00286216">
              <w:rPr>
                <w:color w:val="000000" w:themeColor="text1"/>
              </w:rPr>
              <w:t>становленому нею порядку. Обіг акцій дозволяється після реєстрації Національною комісією з цінних паперів та фондового ринку звіту про результати емісії акцій та видачі свідоцтва про реєстрацію випуску акцій.</w:t>
            </w:r>
          </w:p>
        </w:tc>
      </w:tr>
      <w:tr w:rsidR="00E64972" w:rsidRPr="00286216" w14:paraId="7A972009" w14:textId="77777777" w:rsidTr="00F6479F">
        <w:tc>
          <w:tcPr>
            <w:tcW w:w="576" w:type="dxa"/>
          </w:tcPr>
          <w:p w14:paraId="31863CE5" w14:textId="77777777" w:rsidR="00E64972" w:rsidRPr="00286216" w:rsidRDefault="00E64972" w:rsidP="00F6479F">
            <w:pPr>
              <w:pStyle w:val="StyleWisnow"/>
              <w:rPr>
                <w:color w:val="000000" w:themeColor="text1"/>
              </w:rPr>
            </w:pPr>
            <w:r w:rsidRPr="00286216">
              <w:rPr>
                <w:color w:val="000000" w:themeColor="text1"/>
              </w:rPr>
              <w:t>339.</w:t>
            </w:r>
          </w:p>
        </w:tc>
        <w:tc>
          <w:tcPr>
            <w:tcW w:w="4818" w:type="dxa"/>
          </w:tcPr>
          <w:p w14:paraId="05DAF96F" w14:textId="77777777" w:rsidR="00E64972" w:rsidRPr="00286216" w:rsidRDefault="00E64972" w:rsidP="00F6479F">
            <w:pPr>
              <w:pStyle w:val="StyleZakonu"/>
              <w:rPr>
                <w:color w:val="000000" w:themeColor="text1"/>
              </w:rPr>
            </w:pPr>
            <w:r w:rsidRPr="00286216">
              <w:rPr>
                <w:color w:val="000000" w:themeColor="text1"/>
              </w:rPr>
              <w:t>Стаття 15. Акції корпоративного інвестиційного фонду</w:t>
            </w:r>
          </w:p>
        </w:tc>
        <w:tc>
          <w:tcPr>
            <w:tcW w:w="3686" w:type="dxa"/>
          </w:tcPr>
          <w:p w14:paraId="3C9FBB71" w14:textId="77777777" w:rsidR="00E64972" w:rsidRPr="00286216" w:rsidRDefault="00E64972" w:rsidP="00F6479F">
            <w:pPr>
              <w:pStyle w:val="StyleProp"/>
              <w:rPr>
                <w:color w:val="000000" w:themeColor="text1"/>
                <w:szCs w:val="18"/>
              </w:rPr>
            </w:pPr>
          </w:p>
        </w:tc>
        <w:tc>
          <w:tcPr>
            <w:tcW w:w="1987" w:type="dxa"/>
          </w:tcPr>
          <w:p w14:paraId="56E6A6A8" w14:textId="77777777" w:rsidR="00E64972" w:rsidRPr="00286216" w:rsidRDefault="00E64972" w:rsidP="00F6479F">
            <w:pPr>
              <w:pStyle w:val="StyleWisnow"/>
              <w:rPr>
                <w:color w:val="000000" w:themeColor="text1"/>
              </w:rPr>
            </w:pPr>
          </w:p>
        </w:tc>
        <w:tc>
          <w:tcPr>
            <w:tcW w:w="4818" w:type="dxa"/>
          </w:tcPr>
          <w:p w14:paraId="6994553E" w14:textId="77777777" w:rsidR="00E64972" w:rsidRPr="00286216" w:rsidRDefault="00E64972" w:rsidP="00F6479F">
            <w:pPr>
              <w:pStyle w:val="StyleZakonu"/>
              <w:rPr>
                <w:color w:val="000000" w:themeColor="text1"/>
              </w:rPr>
            </w:pPr>
            <w:r w:rsidRPr="00286216">
              <w:rPr>
                <w:color w:val="000000" w:themeColor="text1"/>
              </w:rPr>
              <w:t>Стаття 10. Акції корпоративного інвестиційного фонду</w:t>
            </w:r>
          </w:p>
        </w:tc>
      </w:tr>
      <w:tr w:rsidR="00E64972" w:rsidRPr="00286216" w14:paraId="745C040D" w14:textId="77777777" w:rsidTr="00F6479F">
        <w:tc>
          <w:tcPr>
            <w:tcW w:w="576" w:type="dxa"/>
          </w:tcPr>
          <w:p w14:paraId="12B4E46C" w14:textId="77777777" w:rsidR="00E64972" w:rsidRPr="00286216" w:rsidRDefault="00E64972" w:rsidP="00F6479F">
            <w:pPr>
              <w:pStyle w:val="StyleWisnow"/>
              <w:rPr>
                <w:color w:val="000000" w:themeColor="text1"/>
              </w:rPr>
            </w:pPr>
            <w:r w:rsidRPr="00286216">
              <w:rPr>
                <w:color w:val="000000" w:themeColor="text1"/>
              </w:rPr>
              <w:t>340.</w:t>
            </w:r>
          </w:p>
        </w:tc>
        <w:tc>
          <w:tcPr>
            <w:tcW w:w="4818" w:type="dxa"/>
          </w:tcPr>
          <w:p w14:paraId="40ABAD1F" w14:textId="77777777" w:rsidR="00E64972" w:rsidRPr="00286216" w:rsidRDefault="00E64972" w:rsidP="00F6479F">
            <w:pPr>
              <w:pStyle w:val="StyleZakonu"/>
              <w:rPr>
                <w:color w:val="000000" w:themeColor="text1"/>
              </w:rPr>
            </w:pPr>
            <w:r w:rsidRPr="00286216">
              <w:rPr>
                <w:color w:val="000000" w:themeColor="text1"/>
              </w:rPr>
              <w:t xml:space="preserve">1. Акція корпоративного інвестиційного фонду - цінний папір, емітентом якого є корпоративний інвестиційний фонд та який посвідчує майнові права його власника (учасника корпоративного інвестиційного фонду), включаючи право на </w:t>
            </w:r>
            <w:r w:rsidRPr="00286216">
              <w:rPr>
                <w:color w:val="000000" w:themeColor="text1"/>
              </w:rPr>
              <w:lastRenderedPageBreak/>
              <w:t>отримання дивідендів (для закритого корпоративного інвестиційного фонду), частини майна корпоративного інвестиційного фонду у разі його ліквідації, право на управління корпоративним інвестиційним фондом, а також немайнові права, передбачені законодавством про інститути спільного інвестування.</w:t>
            </w:r>
          </w:p>
        </w:tc>
        <w:tc>
          <w:tcPr>
            <w:tcW w:w="3686" w:type="dxa"/>
          </w:tcPr>
          <w:p w14:paraId="151D4658" w14:textId="77777777" w:rsidR="00E64972" w:rsidRPr="00286216" w:rsidRDefault="00E64972" w:rsidP="00F6479F">
            <w:pPr>
              <w:pStyle w:val="StyleProp"/>
              <w:rPr>
                <w:color w:val="000000" w:themeColor="text1"/>
                <w:szCs w:val="18"/>
              </w:rPr>
            </w:pPr>
          </w:p>
        </w:tc>
        <w:tc>
          <w:tcPr>
            <w:tcW w:w="1987" w:type="dxa"/>
          </w:tcPr>
          <w:p w14:paraId="1F206DC5" w14:textId="77777777" w:rsidR="00E64972" w:rsidRPr="00286216" w:rsidRDefault="00E64972" w:rsidP="00F6479F">
            <w:pPr>
              <w:pStyle w:val="StyleWisnow"/>
              <w:rPr>
                <w:color w:val="000000" w:themeColor="text1"/>
              </w:rPr>
            </w:pPr>
          </w:p>
        </w:tc>
        <w:tc>
          <w:tcPr>
            <w:tcW w:w="4818" w:type="dxa"/>
          </w:tcPr>
          <w:p w14:paraId="3A1FE334" w14:textId="77777777" w:rsidR="00E64972" w:rsidRPr="00286216" w:rsidRDefault="00E64972" w:rsidP="00F6479F">
            <w:pPr>
              <w:pStyle w:val="StyleZakonu"/>
              <w:rPr>
                <w:color w:val="000000" w:themeColor="text1"/>
              </w:rPr>
            </w:pPr>
            <w:r w:rsidRPr="00286216">
              <w:rPr>
                <w:color w:val="000000" w:themeColor="text1"/>
              </w:rPr>
              <w:t xml:space="preserve">1. Акція корпоративного інвестиційного фонду – це цінний папір, емітентом якого є корпоративний інвестиційний фонд, що посвідчує майнові права його власника (учасника корпоративного інвестиційного фонду), включаючи право на отримання дивідендів </w:t>
            </w:r>
            <w:r w:rsidRPr="00286216">
              <w:rPr>
                <w:color w:val="000000" w:themeColor="text1"/>
              </w:rPr>
              <w:lastRenderedPageBreak/>
              <w:t>(для закритого корпоративного інвестиційного фонду), частини майна корпоративного інвестиційного фонду у разі його ліквідації, право на управління корпоративним інвестиційним фондом, а також немайнові права, передбачені законодавством про інститути спільного інвестування.</w:t>
            </w:r>
          </w:p>
        </w:tc>
      </w:tr>
      <w:tr w:rsidR="00E64972" w:rsidRPr="00286216" w14:paraId="1298DB44" w14:textId="77777777" w:rsidTr="00F6479F">
        <w:tc>
          <w:tcPr>
            <w:tcW w:w="576" w:type="dxa"/>
          </w:tcPr>
          <w:p w14:paraId="09144F7A" w14:textId="77777777" w:rsidR="00E64972" w:rsidRPr="00286216" w:rsidRDefault="00E64972" w:rsidP="00F6479F">
            <w:pPr>
              <w:pStyle w:val="StyleWisnow"/>
              <w:rPr>
                <w:color w:val="000000" w:themeColor="text1"/>
              </w:rPr>
            </w:pPr>
            <w:r w:rsidRPr="00286216">
              <w:rPr>
                <w:color w:val="000000" w:themeColor="text1"/>
              </w:rPr>
              <w:lastRenderedPageBreak/>
              <w:t>341.</w:t>
            </w:r>
          </w:p>
        </w:tc>
        <w:tc>
          <w:tcPr>
            <w:tcW w:w="4818" w:type="dxa"/>
          </w:tcPr>
          <w:p w14:paraId="6B39AC65" w14:textId="77777777" w:rsidR="00E64972" w:rsidRPr="00286216" w:rsidRDefault="00E64972" w:rsidP="00F6479F">
            <w:pPr>
              <w:pStyle w:val="StyleZakonu"/>
              <w:rPr>
                <w:color w:val="000000" w:themeColor="text1"/>
              </w:rPr>
            </w:pPr>
            <w:r w:rsidRPr="00286216">
              <w:rPr>
                <w:color w:val="000000" w:themeColor="text1"/>
              </w:rPr>
              <w:t>2. Акції корпоративного інвестиційного фонду є виключно простими та існують у бездокументарній формі.</w:t>
            </w:r>
          </w:p>
        </w:tc>
        <w:tc>
          <w:tcPr>
            <w:tcW w:w="3686" w:type="dxa"/>
          </w:tcPr>
          <w:p w14:paraId="1E979DEC" w14:textId="562A1581" w:rsidR="00E64972" w:rsidRPr="00286216" w:rsidRDefault="00E64972" w:rsidP="00F6479F">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9922AB2" w14:textId="77777777" w:rsidR="00E64972" w:rsidRPr="00286216" w:rsidRDefault="00E64972" w:rsidP="00F6479F">
            <w:pPr>
              <w:pStyle w:val="StyleProp"/>
              <w:rPr>
                <w:color w:val="000000" w:themeColor="text1"/>
                <w:szCs w:val="18"/>
              </w:rPr>
            </w:pPr>
            <w:r w:rsidRPr="00286216">
              <w:rPr>
                <w:color w:val="000000" w:themeColor="text1"/>
                <w:szCs w:val="18"/>
              </w:rPr>
              <w:t>В тексті проекту слово "</w:t>
            </w:r>
            <w:r w:rsidRPr="00286216">
              <w:rPr>
                <w:color w:val="000000" w:themeColor="text1"/>
                <w:spacing w:val="-2"/>
                <w:szCs w:val="18"/>
              </w:rPr>
              <w:t>бездокументарній</w:t>
            </w:r>
            <w:r w:rsidRPr="00286216">
              <w:rPr>
                <w:color w:val="000000" w:themeColor="text1"/>
                <w:szCs w:val="18"/>
              </w:rPr>
              <w:t>" замінити словом "електронній".</w:t>
            </w:r>
          </w:p>
        </w:tc>
        <w:tc>
          <w:tcPr>
            <w:tcW w:w="1987" w:type="dxa"/>
          </w:tcPr>
          <w:p w14:paraId="377CBED7"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47B1FF38" w14:textId="77777777" w:rsidR="00E64972" w:rsidRPr="00286216" w:rsidRDefault="00E64972" w:rsidP="00F6479F">
            <w:pPr>
              <w:pStyle w:val="StyleZakonu"/>
              <w:rPr>
                <w:color w:val="000000" w:themeColor="text1"/>
              </w:rPr>
            </w:pPr>
            <w:r w:rsidRPr="00286216">
              <w:rPr>
                <w:color w:val="000000" w:themeColor="text1"/>
              </w:rPr>
              <w:t>2. Акції корпоративного інвестиційного фонду є виключно простими та існують в електронній формі.</w:t>
            </w:r>
          </w:p>
        </w:tc>
      </w:tr>
      <w:tr w:rsidR="00E64972" w:rsidRPr="00286216" w14:paraId="29BAE9B6" w14:textId="77777777" w:rsidTr="00F6479F">
        <w:tc>
          <w:tcPr>
            <w:tcW w:w="576" w:type="dxa"/>
          </w:tcPr>
          <w:p w14:paraId="0D2083F7" w14:textId="77777777" w:rsidR="00E64972" w:rsidRPr="00286216" w:rsidRDefault="00E64972" w:rsidP="00F6479F">
            <w:pPr>
              <w:pStyle w:val="StyleWisnow"/>
              <w:rPr>
                <w:color w:val="000000" w:themeColor="text1"/>
              </w:rPr>
            </w:pPr>
            <w:r w:rsidRPr="00286216">
              <w:rPr>
                <w:color w:val="000000" w:themeColor="text1"/>
              </w:rPr>
              <w:t>342.</w:t>
            </w:r>
          </w:p>
        </w:tc>
        <w:tc>
          <w:tcPr>
            <w:tcW w:w="4818" w:type="dxa"/>
          </w:tcPr>
          <w:p w14:paraId="3373606A" w14:textId="77777777" w:rsidR="00E64972" w:rsidRPr="00286216" w:rsidRDefault="00E64972" w:rsidP="00F6479F">
            <w:pPr>
              <w:pStyle w:val="StyleZakonu"/>
              <w:rPr>
                <w:color w:val="000000" w:themeColor="text1"/>
              </w:rPr>
            </w:pPr>
            <w:r w:rsidRPr="00286216">
              <w:rPr>
                <w:color w:val="000000" w:themeColor="text1"/>
              </w:rPr>
              <w:t>3. Строк розміщення акцій відкритого та інтервального корпоративних інвестиційних фондів не обмежується.</w:t>
            </w:r>
          </w:p>
        </w:tc>
        <w:tc>
          <w:tcPr>
            <w:tcW w:w="3686" w:type="dxa"/>
          </w:tcPr>
          <w:p w14:paraId="6C46997F" w14:textId="77777777" w:rsidR="00E64972" w:rsidRPr="00286216" w:rsidRDefault="00E64972" w:rsidP="00F6479F">
            <w:pPr>
              <w:pStyle w:val="StyleProp"/>
              <w:rPr>
                <w:color w:val="000000" w:themeColor="text1"/>
                <w:szCs w:val="18"/>
              </w:rPr>
            </w:pPr>
          </w:p>
        </w:tc>
        <w:tc>
          <w:tcPr>
            <w:tcW w:w="1987" w:type="dxa"/>
          </w:tcPr>
          <w:p w14:paraId="6B7B98EA" w14:textId="77777777" w:rsidR="00E64972" w:rsidRPr="00286216" w:rsidRDefault="00E64972" w:rsidP="00F6479F">
            <w:pPr>
              <w:pStyle w:val="StyleWisnow"/>
              <w:rPr>
                <w:color w:val="000000" w:themeColor="text1"/>
              </w:rPr>
            </w:pPr>
          </w:p>
        </w:tc>
        <w:tc>
          <w:tcPr>
            <w:tcW w:w="4818" w:type="dxa"/>
          </w:tcPr>
          <w:p w14:paraId="7FA64BE7" w14:textId="77777777" w:rsidR="00E64972" w:rsidRPr="00286216" w:rsidRDefault="00E64972" w:rsidP="00F6479F">
            <w:pPr>
              <w:pStyle w:val="StyleZakonu"/>
              <w:rPr>
                <w:color w:val="000000" w:themeColor="text1"/>
              </w:rPr>
            </w:pPr>
            <w:r w:rsidRPr="00286216">
              <w:rPr>
                <w:color w:val="000000" w:themeColor="text1"/>
              </w:rPr>
              <w:t>3. Строк розміщення акцій відкритого та інтервального корпоративних інвестиційних фондів не обмежується.</w:t>
            </w:r>
          </w:p>
        </w:tc>
      </w:tr>
      <w:tr w:rsidR="00E64972" w:rsidRPr="00286216" w14:paraId="6D6A18D6" w14:textId="77777777" w:rsidTr="00F6479F">
        <w:tc>
          <w:tcPr>
            <w:tcW w:w="576" w:type="dxa"/>
          </w:tcPr>
          <w:p w14:paraId="02A4AA49" w14:textId="77777777" w:rsidR="00E64972" w:rsidRPr="00286216" w:rsidRDefault="00E64972" w:rsidP="00F6479F">
            <w:pPr>
              <w:pStyle w:val="StyleWisnow"/>
              <w:rPr>
                <w:color w:val="000000" w:themeColor="text1"/>
              </w:rPr>
            </w:pPr>
            <w:r w:rsidRPr="00286216">
              <w:rPr>
                <w:color w:val="000000" w:themeColor="text1"/>
              </w:rPr>
              <w:t>343.</w:t>
            </w:r>
          </w:p>
        </w:tc>
        <w:tc>
          <w:tcPr>
            <w:tcW w:w="4818" w:type="dxa"/>
          </w:tcPr>
          <w:p w14:paraId="02256AB8" w14:textId="77777777" w:rsidR="00E64972" w:rsidRPr="00286216" w:rsidRDefault="00E64972" w:rsidP="00F6479F">
            <w:pPr>
              <w:pStyle w:val="StyleZakonu"/>
              <w:rPr>
                <w:color w:val="000000" w:themeColor="text1"/>
              </w:rPr>
            </w:pPr>
            <w:r w:rsidRPr="00286216">
              <w:rPr>
                <w:color w:val="000000" w:themeColor="text1"/>
              </w:rPr>
              <w:t>4. Акції корпоративного інвестиційного фонду можуть надавати його власнику право на отримання доходу у вигляді дивідендів, крім відкритого та інтервального корпоративних інвестиційних фондів.</w:t>
            </w:r>
          </w:p>
        </w:tc>
        <w:tc>
          <w:tcPr>
            <w:tcW w:w="3686" w:type="dxa"/>
          </w:tcPr>
          <w:p w14:paraId="707BD129" w14:textId="77777777" w:rsidR="00E64972" w:rsidRPr="00286216" w:rsidRDefault="00E64972" w:rsidP="00F6479F">
            <w:pPr>
              <w:pStyle w:val="StyleProp"/>
              <w:rPr>
                <w:color w:val="000000" w:themeColor="text1"/>
                <w:szCs w:val="18"/>
              </w:rPr>
            </w:pPr>
          </w:p>
        </w:tc>
        <w:tc>
          <w:tcPr>
            <w:tcW w:w="1987" w:type="dxa"/>
          </w:tcPr>
          <w:p w14:paraId="59140B33" w14:textId="77777777" w:rsidR="00E64972" w:rsidRPr="00286216" w:rsidRDefault="00E64972" w:rsidP="00F6479F">
            <w:pPr>
              <w:pStyle w:val="StyleWisnow"/>
              <w:rPr>
                <w:color w:val="000000" w:themeColor="text1"/>
              </w:rPr>
            </w:pPr>
          </w:p>
        </w:tc>
        <w:tc>
          <w:tcPr>
            <w:tcW w:w="4818" w:type="dxa"/>
          </w:tcPr>
          <w:p w14:paraId="70FE78B8" w14:textId="77777777" w:rsidR="00E64972" w:rsidRPr="00286216" w:rsidRDefault="00E64972" w:rsidP="00F6479F">
            <w:pPr>
              <w:pStyle w:val="StyleZakonu"/>
              <w:rPr>
                <w:color w:val="000000" w:themeColor="text1"/>
              </w:rPr>
            </w:pPr>
            <w:r w:rsidRPr="00286216">
              <w:rPr>
                <w:color w:val="000000" w:themeColor="text1"/>
              </w:rPr>
              <w:t>4. Акції корпоративного інвестиційного фонду можуть надавати його власнику право на отримання доходу у вигляді дивідендів, крім відкритого та інтервального корпоративних інвестиційних фондів.</w:t>
            </w:r>
          </w:p>
        </w:tc>
      </w:tr>
      <w:tr w:rsidR="00E64972" w:rsidRPr="00286216" w14:paraId="3D556E41" w14:textId="77777777" w:rsidTr="00F6479F">
        <w:tc>
          <w:tcPr>
            <w:tcW w:w="576" w:type="dxa"/>
          </w:tcPr>
          <w:p w14:paraId="1A47BC76" w14:textId="77777777" w:rsidR="00E64972" w:rsidRPr="00286216" w:rsidRDefault="00E64972" w:rsidP="00F6479F">
            <w:pPr>
              <w:pStyle w:val="StyleWisnow"/>
              <w:rPr>
                <w:color w:val="000000" w:themeColor="text1"/>
              </w:rPr>
            </w:pPr>
            <w:r w:rsidRPr="00286216">
              <w:rPr>
                <w:color w:val="000000" w:themeColor="text1"/>
              </w:rPr>
              <w:t>344.</w:t>
            </w:r>
          </w:p>
        </w:tc>
        <w:tc>
          <w:tcPr>
            <w:tcW w:w="4818" w:type="dxa"/>
          </w:tcPr>
          <w:p w14:paraId="4D15B1F0" w14:textId="77777777" w:rsidR="00E64972" w:rsidRPr="00286216" w:rsidRDefault="00E64972" w:rsidP="00F6479F">
            <w:pPr>
              <w:pStyle w:val="StyleZakonu"/>
              <w:rPr>
                <w:color w:val="000000" w:themeColor="text1"/>
              </w:rPr>
            </w:pPr>
            <w:r w:rsidRPr="00286216">
              <w:rPr>
                <w:color w:val="000000" w:themeColor="text1"/>
              </w:rPr>
              <w:t>5. Особливості емісії, обігу, обліку, викупу та погашення акцій корпоративного інвестиційного фонду визначаються законодавством про інститути спільного інвестування.</w:t>
            </w:r>
          </w:p>
        </w:tc>
        <w:tc>
          <w:tcPr>
            <w:tcW w:w="3686" w:type="dxa"/>
          </w:tcPr>
          <w:p w14:paraId="5458316F" w14:textId="77777777" w:rsidR="00E64972" w:rsidRPr="00286216" w:rsidRDefault="00E64972" w:rsidP="00F6479F">
            <w:pPr>
              <w:pStyle w:val="StyleProp"/>
              <w:rPr>
                <w:color w:val="000000" w:themeColor="text1"/>
                <w:szCs w:val="18"/>
              </w:rPr>
            </w:pPr>
          </w:p>
        </w:tc>
        <w:tc>
          <w:tcPr>
            <w:tcW w:w="1987" w:type="dxa"/>
          </w:tcPr>
          <w:p w14:paraId="566D42B8" w14:textId="77777777" w:rsidR="00E64972" w:rsidRPr="00286216" w:rsidRDefault="00E64972" w:rsidP="00F6479F">
            <w:pPr>
              <w:pStyle w:val="StyleWisnow"/>
              <w:rPr>
                <w:color w:val="000000" w:themeColor="text1"/>
              </w:rPr>
            </w:pPr>
          </w:p>
        </w:tc>
        <w:tc>
          <w:tcPr>
            <w:tcW w:w="4818" w:type="dxa"/>
          </w:tcPr>
          <w:p w14:paraId="38A56D0D" w14:textId="77777777" w:rsidR="00E64972" w:rsidRPr="00286216" w:rsidRDefault="00E64972" w:rsidP="00F6479F">
            <w:pPr>
              <w:pStyle w:val="StyleZakonu"/>
              <w:rPr>
                <w:color w:val="000000" w:themeColor="text1"/>
              </w:rPr>
            </w:pPr>
            <w:r w:rsidRPr="00286216">
              <w:rPr>
                <w:color w:val="000000" w:themeColor="text1"/>
              </w:rPr>
              <w:t>5. Особливості емісії, обігу, обліку, викупу та погашення акцій корпоративного інвестиційного фонду визначаються законодавством про інститути спільного інвестування.</w:t>
            </w:r>
          </w:p>
        </w:tc>
      </w:tr>
      <w:tr w:rsidR="00E64972" w:rsidRPr="00286216" w14:paraId="54E60539" w14:textId="77777777" w:rsidTr="00F6479F">
        <w:tc>
          <w:tcPr>
            <w:tcW w:w="576" w:type="dxa"/>
          </w:tcPr>
          <w:p w14:paraId="117387FC" w14:textId="77777777" w:rsidR="00E64972" w:rsidRPr="00286216" w:rsidRDefault="00E64972" w:rsidP="00F6479F">
            <w:pPr>
              <w:pStyle w:val="StyleWisnow"/>
              <w:rPr>
                <w:color w:val="000000" w:themeColor="text1"/>
              </w:rPr>
            </w:pPr>
            <w:r w:rsidRPr="00286216">
              <w:rPr>
                <w:color w:val="000000" w:themeColor="text1"/>
              </w:rPr>
              <w:t>345.</w:t>
            </w:r>
          </w:p>
        </w:tc>
        <w:tc>
          <w:tcPr>
            <w:tcW w:w="4818" w:type="dxa"/>
          </w:tcPr>
          <w:p w14:paraId="18349642" w14:textId="77777777" w:rsidR="00E64972" w:rsidRPr="00286216" w:rsidRDefault="00E64972" w:rsidP="00F6479F">
            <w:pPr>
              <w:pStyle w:val="StyleZakonu"/>
              <w:rPr>
                <w:color w:val="000000" w:themeColor="text1"/>
              </w:rPr>
            </w:pPr>
            <w:r w:rsidRPr="00286216">
              <w:rPr>
                <w:color w:val="000000" w:themeColor="text1"/>
              </w:rPr>
              <w:t>Стаття 16. Облігації</w:t>
            </w:r>
          </w:p>
        </w:tc>
        <w:tc>
          <w:tcPr>
            <w:tcW w:w="3686" w:type="dxa"/>
          </w:tcPr>
          <w:p w14:paraId="34750EEF" w14:textId="77777777" w:rsidR="00E64972" w:rsidRPr="00286216" w:rsidRDefault="00E64972" w:rsidP="00F6479F">
            <w:pPr>
              <w:pStyle w:val="StyleProp"/>
              <w:rPr>
                <w:color w:val="000000" w:themeColor="text1"/>
                <w:szCs w:val="18"/>
              </w:rPr>
            </w:pPr>
          </w:p>
        </w:tc>
        <w:tc>
          <w:tcPr>
            <w:tcW w:w="1987" w:type="dxa"/>
          </w:tcPr>
          <w:p w14:paraId="09CAC011" w14:textId="77777777" w:rsidR="00E64972" w:rsidRPr="00286216" w:rsidRDefault="00E64972" w:rsidP="00F6479F">
            <w:pPr>
              <w:pStyle w:val="StyleWisnow"/>
              <w:rPr>
                <w:color w:val="000000" w:themeColor="text1"/>
              </w:rPr>
            </w:pPr>
          </w:p>
        </w:tc>
        <w:tc>
          <w:tcPr>
            <w:tcW w:w="4818" w:type="dxa"/>
          </w:tcPr>
          <w:p w14:paraId="42370C77" w14:textId="77777777" w:rsidR="00E64972" w:rsidRPr="00286216" w:rsidRDefault="00E64972" w:rsidP="00F6479F">
            <w:pPr>
              <w:pStyle w:val="StyleZakonu"/>
              <w:rPr>
                <w:color w:val="000000" w:themeColor="text1"/>
              </w:rPr>
            </w:pPr>
            <w:r w:rsidRPr="00286216">
              <w:rPr>
                <w:color w:val="000000" w:themeColor="text1"/>
              </w:rPr>
              <w:t>Стаття 11. Облігації</w:t>
            </w:r>
          </w:p>
        </w:tc>
      </w:tr>
      <w:tr w:rsidR="00E64972" w:rsidRPr="00286216" w14:paraId="775030F4" w14:textId="77777777" w:rsidTr="00F6479F">
        <w:tc>
          <w:tcPr>
            <w:tcW w:w="576" w:type="dxa"/>
          </w:tcPr>
          <w:p w14:paraId="17634D4D" w14:textId="77777777" w:rsidR="00E64972" w:rsidRPr="00286216" w:rsidRDefault="00E64972" w:rsidP="00F6479F">
            <w:pPr>
              <w:pStyle w:val="StyleWisnow"/>
              <w:rPr>
                <w:color w:val="000000" w:themeColor="text1"/>
              </w:rPr>
            </w:pPr>
            <w:r w:rsidRPr="00286216">
              <w:rPr>
                <w:color w:val="000000" w:themeColor="text1"/>
              </w:rPr>
              <w:t>346.</w:t>
            </w:r>
          </w:p>
        </w:tc>
        <w:tc>
          <w:tcPr>
            <w:tcW w:w="4818" w:type="dxa"/>
          </w:tcPr>
          <w:p w14:paraId="57994489" w14:textId="77777777" w:rsidR="00E64972" w:rsidRPr="00286216" w:rsidRDefault="00E64972" w:rsidP="00F6479F">
            <w:pPr>
              <w:pStyle w:val="StyleZakonu"/>
              <w:rPr>
                <w:color w:val="000000" w:themeColor="text1"/>
              </w:rPr>
            </w:pPr>
            <w:r w:rsidRPr="00286216">
              <w:rPr>
                <w:color w:val="000000" w:themeColor="text1"/>
              </w:rPr>
              <w:t>1. Облігація - цінний папір, що посвідчує внесення його першим власником коштів, визначає відносини позики між власником облігації та емітентом, підтверджує обов’язок емітента повернути власникові облігації її номінальну вартість у передбачений проспектом або рішенням про емісію цінних паперів (для державних облігацій України - умовами їх розміщення) строк та виплатити доход за облігацією, якщо інше не передбачено проспектом або рішенням про емісію цінних паперів (для державних облігацій України - умовами їх розміщення).</w:t>
            </w:r>
          </w:p>
        </w:tc>
        <w:tc>
          <w:tcPr>
            <w:tcW w:w="3686" w:type="dxa"/>
          </w:tcPr>
          <w:p w14:paraId="2DE71323" w14:textId="77777777" w:rsidR="00E64972" w:rsidRPr="00286216" w:rsidRDefault="00E64972" w:rsidP="00F6479F">
            <w:pPr>
              <w:pStyle w:val="StyleProp"/>
              <w:rPr>
                <w:color w:val="000000" w:themeColor="text1"/>
                <w:szCs w:val="18"/>
              </w:rPr>
            </w:pPr>
          </w:p>
        </w:tc>
        <w:tc>
          <w:tcPr>
            <w:tcW w:w="1987" w:type="dxa"/>
          </w:tcPr>
          <w:p w14:paraId="14D5F79D" w14:textId="77777777" w:rsidR="00E64972" w:rsidRPr="00286216" w:rsidRDefault="00E64972" w:rsidP="00F6479F">
            <w:pPr>
              <w:pStyle w:val="StyleWisnow"/>
              <w:rPr>
                <w:color w:val="000000" w:themeColor="text1"/>
              </w:rPr>
            </w:pPr>
          </w:p>
        </w:tc>
        <w:tc>
          <w:tcPr>
            <w:tcW w:w="4818" w:type="dxa"/>
          </w:tcPr>
          <w:p w14:paraId="6F8909F7" w14:textId="15B751B0" w:rsidR="00E64972" w:rsidRPr="00286216" w:rsidRDefault="00E64972" w:rsidP="00F6479F">
            <w:pPr>
              <w:pStyle w:val="StyleZakonu"/>
              <w:rPr>
                <w:color w:val="000000" w:themeColor="text1"/>
              </w:rPr>
            </w:pPr>
            <w:r w:rsidRPr="00286216">
              <w:rPr>
                <w:color w:val="000000" w:themeColor="text1"/>
              </w:rPr>
              <w:t>1. Облігація – це цінний папір, що посвідчує внесення його першим власником коштів, визначає відносини позики між власником облігації та емітентом, підтверджує обов’язок емітента повернути власникові облігації її номінальну вартість у передбачений проспектом або рішенням про емісію (для державних облігацій України – умовами їх розміщення) строк та виплатити дохід за облігацією, якщо інше не передбачено проспектом або рішенням про емісію (для державних облігацій України – умовами їх розміщення).</w:t>
            </w:r>
          </w:p>
        </w:tc>
      </w:tr>
      <w:tr w:rsidR="00E64972" w:rsidRPr="00286216" w14:paraId="5B2E406F" w14:textId="77777777" w:rsidTr="00F6479F">
        <w:tc>
          <w:tcPr>
            <w:tcW w:w="576" w:type="dxa"/>
          </w:tcPr>
          <w:p w14:paraId="5A72F3F4" w14:textId="77777777" w:rsidR="00E64972" w:rsidRPr="00286216" w:rsidRDefault="00E64972" w:rsidP="00F6479F">
            <w:pPr>
              <w:pStyle w:val="StyleWisnow"/>
              <w:rPr>
                <w:color w:val="000000" w:themeColor="text1"/>
              </w:rPr>
            </w:pPr>
            <w:r w:rsidRPr="00286216">
              <w:rPr>
                <w:color w:val="000000" w:themeColor="text1"/>
              </w:rPr>
              <w:t>347.</w:t>
            </w:r>
          </w:p>
        </w:tc>
        <w:tc>
          <w:tcPr>
            <w:tcW w:w="4818" w:type="dxa"/>
          </w:tcPr>
          <w:p w14:paraId="0705C677" w14:textId="77777777" w:rsidR="00E64972" w:rsidRPr="00286216" w:rsidRDefault="00E64972" w:rsidP="00F6479F">
            <w:pPr>
              <w:pStyle w:val="StyleZakonu"/>
              <w:rPr>
                <w:color w:val="000000" w:themeColor="text1"/>
              </w:rPr>
            </w:pPr>
            <w:r w:rsidRPr="00286216">
              <w:rPr>
                <w:color w:val="000000" w:themeColor="text1"/>
              </w:rPr>
              <w:t>Проспект облігацій (рішенням про емісію облігацій, а для державних облігацій України - умови їх розміщення) може також передбачати інші права власників та обов’язки емітента та/або осіб, які надають забезпечення за облігаціями.</w:t>
            </w:r>
          </w:p>
        </w:tc>
        <w:tc>
          <w:tcPr>
            <w:tcW w:w="3686" w:type="dxa"/>
          </w:tcPr>
          <w:p w14:paraId="039B6926" w14:textId="77777777" w:rsidR="00E64972" w:rsidRPr="00286216" w:rsidRDefault="00E64972" w:rsidP="00F6479F">
            <w:pPr>
              <w:pStyle w:val="StyleProp"/>
              <w:rPr>
                <w:color w:val="000000" w:themeColor="text1"/>
                <w:szCs w:val="18"/>
              </w:rPr>
            </w:pPr>
          </w:p>
        </w:tc>
        <w:tc>
          <w:tcPr>
            <w:tcW w:w="1987" w:type="dxa"/>
          </w:tcPr>
          <w:p w14:paraId="7C1D86D5" w14:textId="77777777" w:rsidR="00E64972" w:rsidRPr="00286216" w:rsidRDefault="00E64972" w:rsidP="00F6479F">
            <w:pPr>
              <w:pStyle w:val="StyleWisnow"/>
              <w:rPr>
                <w:color w:val="000000" w:themeColor="text1"/>
              </w:rPr>
            </w:pPr>
          </w:p>
        </w:tc>
        <w:tc>
          <w:tcPr>
            <w:tcW w:w="4818" w:type="dxa"/>
          </w:tcPr>
          <w:p w14:paraId="13CA83C8" w14:textId="77777777" w:rsidR="00E64972" w:rsidRPr="00286216" w:rsidRDefault="00E64972" w:rsidP="00F6479F">
            <w:pPr>
              <w:pStyle w:val="StyleZakonu"/>
              <w:rPr>
                <w:color w:val="000000" w:themeColor="text1"/>
              </w:rPr>
            </w:pPr>
            <w:r w:rsidRPr="00286216">
              <w:rPr>
                <w:color w:val="000000" w:themeColor="text1"/>
              </w:rPr>
              <w:t>Проспект облігацій (рішення про емісію облігацій, а для державних облігацій України – умови їх розміщення) може також передбачати інші права власників та обов’язки емітента та/або осіб, які надають забезпечення за облігаціями.</w:t>
            </w:r>
          </w:p>
        </w:tc>
      </w:tr>
      <w:tr w:rsidR="00E64972" w:rsidRPr="00286216" w14:paraId="53A23101" w14:textId="77777777" w:rsidTr="00F6479F">
        <w:tc>
          <w:tcPr>
            <w:tcW w:w="576" w:type="dxa"/>
          </w:tcPr>
          <w:p w14:paraId="186AC5AF" w14:textId="77777777" w:rsidR="00E64972" w:rsidRPr="00286216" w:rsidRDefault="00E64972" w:rsidP="00F6479F">
            <w:pPr>
              <w:pStyle w:val="StyleWisnow"/>
              <w:rPr>
                <w:color w:val="000000" w:themeColor="text1"/>
              </w:rPr>
            </w:pPr>
            <w:r w:rsidRPr="00286216">
              <w:rPr>
                <w:color w:val="000000" w:themeColor="text1"/>
              </w:rPr>
              <w:t>348.</w:t>
            </w:r>
          </w:p>
        </w:tc>
        <w:tc>
          <w:tcPr>
            <w:tcW w:w="4818" w:type="dxa"/>
          </w:tcPr>
          <w:p w14:paraId="532E7881" w14:textId="77777777" w:rsidR="00E64972" w:rsidRPr="00286216" w:rsidRDefault="00E64972" w:rsidP="00F6479F">
            <w:pPr>
              <w:pStyle w:val="StyleZakonu"/>
              <w:rPr>
                <w:color w:val="000000" w:themeColor="text1"/>
              </w:rPr>
            </w:pPr>
            <w:r w:rsidRPr="00286216">
              <w:rPr>
                <w:color w:val="000000" w:themeColor="text1"/>
              </w:rPr>
              <w:t>Перехід права власності на облігації емітента до іншої особи не є підставою для звільнення емітента від виконання зобов’язань, що підтверджуються облігацією.</w:t>
            </w:r>
          </w:p>
        </w:tc>
        <w:tc>
          <w:tcPr>
            <w:tcW w:w="3686" w:type="dxa"/>
          </w:tcPr>
          <w:p w14:paraId="38D1D3F7" w14:textId="77777777" w:rsidR="00E64972" w:rsidRPr="00286216" w:rsidRDefault="00E64972" w:rsidP="00F6479F">
            <w:pPr>
              <w:pStyle w:val="StyleProp"/>
              <w:rPr>
                <w:color w:val="000000" w:themeColor="text1"/>
                <w:szCs w:val="18"/>
              </w:rPr>
            </w:pPr>
          </w:p>
        </w:tc>
        <w:tc>
          <w:tcPr>
            <w:tcW w:w="1987" w:type="dxa"/>
          </w:tcPr>
          <w:p w14:paraId="64BD822B" w14:textId="77777777" w:rsidR="00E64972" w:rsidRPr="00286216" w:rsidRDefault="00E64972" w:rsidP="00F6479F">
            <w:pPr>
              <w:pStyle w:val="StyleWisnow"/>
              <w:rPr>
                <w:color w:val="000000" w:themeColor="text1"/>
              </w:rPr>
            </w:pPr>
          </w:p>
        </w:tc>
        <w:tc>
          <w:tcPr>
            <w:tcW w:w="4818" w:type="dxa"/>
          </w:tcPr>
          <w:p w14:paraId="5537AAD9" w14:textId="77777777" w:rsidR="00E64972" w:rsidRPr="00286216" w:rsidRDefault="00E64972" w:rsidP="00F6479F">
            <w:pPr>
              <w:pStyle w:val="StyleZakonu"/>
              <w:rPr>
                <w:color w:val="000000" w:themeColor="text1"/>
              </w:rPr>
            </w:pPr>
            <w:r w:rsidRPr="00286216">
              <w:rPr>
                <w:color w:val="000000" w:themeColor="text1"/>
              </w:rPr>
              <w:t>Перехід права власності на облігації емітента до іншої особи не є підставою для звільнення емітента від виконання зобов’язань, що підтверджуються облігацією.</w:t>
            </w:r>
          </w:p>
        </w:tc>
      </w:tr>
      <w:tr w:rsidR="00E64972" w:rsidRPr="00286216" w14:paraId="79F19AA4" w14:textId="77777777" w:rsidTr="00F6479F">
        <w:tc>
          <w:tcPr>
            <w:tcW w:w="576" w:type="dxa"/>
          </w:tcPr>
          <w:p w14:paraId="103EDBF7" w14:textId="77777777" w:rsidR="00E64972" w:rsidRPr="00286216" w:rsidRDefault="00E64972" w:rsidP="00F6479F">
            <w:pPr>
              <w:pStyle w:val="StyleWisnow"/>
              <w:rPr>
                <w:color w:val="000000" w:themeColor="text1"/>
              </w:rPr>
            </w:pPr>
            <w:r w:rsidRPr="00286216">
              <w:rPr>
                <w:color w:val="000000" w:themeColor="text1"/>
              </w:rPr>
              <w:t>349.</w:t>
            </w:r>
          </w:p>
        </w:tc>
        <w:tc>
          <w:tcPr>
            <w:tcW w:w="4818" w:type="dxa"/>
          </w:tcPr>
          <w:p w14:paraId="56895C16" w14:textId="77777777" w:rsidR="00E64972" w:rsidRPr="00286216" w:rsidRDefault="00E64972" w:rsidP="00F6479F">
            <w:pPr>
              <w:pStyle w:val="StyleZakonu"/>
              <w:rPr>
                <w:color w:val="000000" w:themeColor="text1"/>
              </w:rPr>
            </w:pPr>
            <w:r w:rsidRPr="00286216">
              <w:rPr>
                <w:color w:val="000000" w:themeColor="text1"/>
              </w:rPr>
              <w:t xml:space="preserve">2. Облігації можуть існувати виключно в </w:t>
            </w:r>
            <w:r w:rsidRPr="00286216">
              <w:rPr>
                <w:color w:val="000000" w:themeColor="text1"/>
              </w:rPr>
              <w:lastRenderedPageBreak/>
              <w:t>бездокументарній формі.</w:t>
            </w:r>
          </w:p>
        </w:tc>
        <w:tc>
          <w:tcPr>
            <w:tcW w:w="3686" w:type="dxa"/>
          </w:tcPr>
          <w:p w14:paraId="6E9E8B29" w14:textId="23685956" w:rsidR="00E64972" w:rsidRPr="00286216" w:rsidRDefault="00E64972" w:rsidP="00F6479F">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34D958F" w14:textId="77777777" w:rsidR="00E64972" w:rsidRPr="00286216" w:rsidRDefault="00E64972" w:rsidP="00F6479F">
            <w:pPr>
              <w:pStyle w:val="StyleProp"/>
              <w:rPr>
                <w:color w:val="000000" w:themeColor="text1"/>
                <w:szCs w:val="18"/>
              </w:rPr>
            </w:pPr>
            <w:r w:rsidRPr="00286216">
              <w:rPr>
                <w:color w:val="000000" w:themeColor="text1"/>
                <w:szCs w:val="18"/>
              </w:rPr>
              <w:lastRenderedPageBreak/>
              <w:t>В тексті проекту слово "</w:t>
            </w:r>
            <w:r w:rsidRPr="00286216">
              <w:rPr>
                <w:color w:val="000000" w:themeColor="text1"/>
                <w:spacing w:val="-2"/>
                <w:szCs w:val="18"/>
              </w:rPr>
              <w:t>бездокументарній</w:t>
            </w:r>
            <w:r w:rsidRPr="00286216">
              <w:rPr>
                <w:color w:val="000000" w:themeColor="text1"/>
                <w:szCs w:val="18"/>
              </w:rPr>
              <w:t>" замінити словом "електронній".</w:t>
            </w:r>
          </w:p>
        </w:tc>
        <w:tc>
          <w:tcPr>
            <w:tcW w:w="1987" w:type="dxa"/>
          </w:tcPr>
          <w:p w14:paraId="626F7DEB" w14:textId="77777777" w:rsidR="00E64972" w:rsidRPr="00286216" w:rsidRDefault="00E64972" w:rsidP="00F6479F">
            <w:pPr>
              <w:pStyle w:val="StyleWisnow"/>
              <w:rPr>
                <w:color w:val="000000" w:themeColor="text1"/>
              </w:rPr>
            </w:pPr>
            <w:r w:rsidRPr="00286216">
              <w:rPr>
                <w:color w:val="000000" w:themeColor="text1"/>
              </w:rPr>
              <w:lastRenderedPageBreak/>
              <w:t>Враховано</w:t>
            </w:r>
          </w:p>
        </w:tc>
        <w:tc>
          <w:tcPr>
            <w:tcW w:w="4818" w:type="dxa"/>
          </w:tcPr>
          <w:p w14:paraId="6A3E7A95" w14:textId="77777777" w:rsidR="00E64972" w:rsidRPr="00286216" w:rsidRDefault="00E64972" w:rsidP="00F6479F">
            <w:pPr>
              <w:pStyle w:val="StyleZakonu"/>
              <w:rPr>
                <w:color w:val="000000" w:themeColor="text1"/>
              </w:rPr>
            </w:pPr>
            <w:r w:rsidRPr="00286216">
              <w:rPr>
                <w:color w:val="000000" w:themeColor="text1"/>
              </w:rPr>
              <w:t xml:space="preserve">2. Облігації можуть існувати виключно в </w:t>
            </w:r>
            <w:r w:rsidRPr="00286216">
              <w:rPr>
                <w:color w:val="000000" w:themeColor="text1"/>
              </w:rPr>
              <w:lastRenderedPageBreak/>
              <w:t>електронній формі.</w:t>
            </w:r>
          </w:p>
        </w:tc>
      </w:tr>
      <w:tr w:rsidR="00E64972" w:rsidRPr="00286216" w14:paraId="1E56ED31" w14:textId="77777777" w:rsidTr="00F6479F">
        <w:tc>
          <w:tcPr>
            <w:tcW w:w="576" w:type="dxa"/>
          </w:tcPr>
          <w:p w14:paraId="44C670BA" w14:textId="77777777" w:rsidR="00E64972" w:rsidRPr="00286216" w:rsidRDefault="00E64972" w:rsidP="00F6479F">
            <w:pPr>
              <w:pStyle w:val="StyleWisnow"/>
              <w:rPr>
                <w:color w:val="000000" w:themeColor="text1"/>
              </w:rPr>
            </w:pPr>
            <w:r w:rsidRPr="00286216">
              <w:rPr>
                <w:color w:val="000000" w:themeColor="text1"/>
              </w:rPr>
              <w:lastRenderedPageBreak/>
              <w:t>350.</w:t>
            </w:r>
          </w:p>
        </w:tc>
        <w:tc>
          <w:tcPr>
            <w:tcW w:w="4818" w:type="dxa"/>
          </w:tcPr>
          <w:p w14:paraId="0BDF5FD2" w14:textId="77777777" w:rsidR="00E64972" w:rsidRPr="00286216" w:rsidRDefault="00E64972" w:rsidP="00F6479F">
            <w:pPr>
              <w:pStyle w:val="StyleZakonu"/>
              <w:rPr>
                <w:color w:val="000000" w:themeColor="text1"/>
              </w:rPr>
            </w:pPr>
            <w:r w:rsidRPr="00286216">
              <w:rPr>
                <w:color w:val="000000" w:themeColor="text1"/>
              </w:rPr>
              <w:t>Облігації в залежності від строку їх обігу можуть бути:</w:t>
            </w:r>
          </w:p>
        </w:tc>
        <w:tc>
          <w:tcPr>
            <w:tcW w:w="3686" w:type="dxa"/>
          </w:tcPr>
          <w:p w14:paraId="136BC360" w14:textId="77777777" w:rsidR="00E64972" w:rsidRPr="00286216" w:rsidRDefault="00E64972" w:rsidP="00F6479F">
            <w:pPr>
              <w:pStyle w:val="StyleProp"/>
              <w:rPr>
                <w:color w:val="000000" w:themeColor="text1"/>
                <w:szCs w:val="18"/>
              </w:rPr>
            </w:pPr>
          </w:p>
        </w:tc>
        <w:tc>
          <w:tcPr>
            <w:tcW w:w="1987" w:type="dxa"/>
          </w:tcPr>
          <w:p w14:paraId="2832E350" w14:textId="77777777" w:rsidR="00E64972" w:rsidRPr="00286216" w:rsidRDefault="00E64972" w:rsidP="00F6479F">
            <w:pPr>
              <w:pStyle w:val="StyleWisnow"/>
              <w:rPr>
                <w:color w:val="000000" w:themeColor="text1"/>
              </w:rPr>
            </w:pPr>
          </w:p>
        </w:tc>
        <w:tc>
          <w:tcPr>
            <w:tcW w:w="4818" w:type="dxa"/>
          </w:tcPr>
          <w:p w14:paraId="434738B2" w14:textId="77777777" w:rsidR="00E64972" w:rsidRPr="00286216" w:rsidRDefault="00E64972" w:rsidP="00F6479F">
            <w:pPr>
              <w:pStyle w:val="StyleZakonu"/>
              <w:rPr>
                <w:color w:val="000000" w:themeColor="text1"/>
              </w:rPr>
            </w:pPr>
            <w:r w:rsidRPr="00286216">
              <w:rPr>
                <w:color w:val="000000" w:themeColor="text1"/>
              </w:rPr>
              <w:t>Облігації залежно від строку їх обігу можуть бути:</w:t>
            </w:r>
          </w:p>
        </w:tc>
      </w:tr>
      <w:tr w:rsidR="00E64972" w:rsidRPr="00286216" w14:paraId="57FFB11E" w14:textId="77777777" w:rsidTr="00F6479F">
        <w:tc>
          <w:tcPr>
            <w:tcW w:w="576" w:type="dxa"/>
          </w:tcPr>
          <w:p w14:paraId="07D63331" w14:textId="77777777" w:rsidR="00E64972" w:rsidRPr="00286216" w:rsidRDefault="00E64972" w:rsidP="00F6479F">
            <w:pPr>
              <w:pStyle w:val="StyleWisnow"/>
              <w:rPr>
                <w:color w:val="000000" w:themeColor="text1"/>
              </w:rPr>
            </w:pPr>
            <w:r w:rsidRPr="00286216">
              <w:rPr>
                <w:color w:val="000000" w:themeColor="text1"/>
              </w:rPr>
              <w:t>351.</w:t>
            </w:r>
          </w:p>
        </w:tc>
        <w:tc>
          <w:tcPr>
            <w:tcW w:w="4818" w:type="dxa"/>
          </w:tcPr>
          <w:p w14:paraId="3F768FBB" w14:textId="77777777" w:rsidR="00E64972" w:rsidRPr="00286216" w:rsidRDefault="00E64972" w:rsidP="00F6479F">
            <w:pPr>
              <w:pStyle w:val="StyleZakonu"/>
              <w:rPr>
                <w:color w:val="000000" w:themeColor="text1"/>
              </w:rPr>
            </w:pPr>
            <w:r w:rsidRPr="00286216">
              <w:rPr>
                <w:color w:val="000000" w:themeColor="text1"/>
              </w:rPr>
              <w:t>1) довгостроковими - зі строком обігу понад п’ять років;</w:t>
            </w:r>
          </w:p>
        </w:tc>
        <w:tc>
          <w:tcPr>
            <w:tcW w:w="3686" w:type="dxa"/>
          </w:tcPr>
          <w:p w14:paraId="4274C3DD" w14:textId="77777777" w:rsidR="00E64972" w:rsidRPr="00286216" w:rsidRDefault="00E64972" w:rsidP="00F6479F">
            <w:pPr>
              <w:pStyle w:val="StyleProp"/>
              <w:rPr>
                <w:color w:val="000000" w:themeColor="text1"/>
                <w:szCs w:val="18"/>
              </w:rPr>
            </w:pPr>
          </w:p>
        </w:tc>
        <w:tc>
          <w:tcPr>
            <w:tcW w:w="1987" w:type="dxa"/>
          </w:tcPr>
          <w:p w14:paraId="148AC157" w14:textId="77777777" w:rsidR="00E64972" w:rsidRPr="00286216" w:rsidRDefault="00E64972" w:rsidP="00F6479F">
            <w:pPr>
              <w:pStyle w:val="StyleWisnow"/>
              <w:rPr>
                <w:color w:val="000000" w:themeColor="text1"/>
              </w:rPr>
            </w:pPr>
          </w:p>
        </w:tc>
        <w:tc>
          <w:tcPr>
            <w:tcW w:w="4818" w:type="dxa"/>
          </w:tcPr>
          <w:p w14:paraId="2A27E818" w14:textId="34C583DC" w:rsidR="00E64972" w:rsidRPr="00286216" w:rsidRDefault="00E64972" w:rsidP="00F6479F">
            <w:pPr>
              <w:pStyle w:val="StyleZakonu"/>
              <w:rPr>
                <w:color w:val="000000" w:themeColor="text1"/>
              </w:rPr>
            </w:pPr>
            <w:r w:rsidRPr="00286216">
              <w:rPr>
                <w:color w:val="000000" w:themeColor="text1"/>
              </w:rPr>
              <w:t>1) довгостроковими - із строком обігу понад п’ять років;</w:t>
            </w:r>
          </w:p>
        </w:tc>
      </w:tr>
      <w:tr w:rsidR="00E64972" w:rsidRPr="00286216" w14:paraId="3401B088" w14:textId="77777777" w:rsidTr="00F6479F">
        <w:tc>
          <w:tcPr>
            <w:tcW w:w="576" w:type="dxa"/>
          </w:tcPr>
          <w:p w14:paraId="073AA1EB" w14:textId="77777777" w:rsidR="00E64972" w:rsidRPr="00286216" w:rsidRDefault="00E64972" w:rsidP="00F6479F">
            <w:pPr>
              <w:pStyle w:val="StyleWisnow"/>
              <w:rPr>
                <w:color w:val="000000" w:themeColor="text1"/>
              </w:rPr>
            </w:pPr>
            <w:r w:rsidRPr="00286216">
              <w:rPr>
                <w:color w:val="000000" w:themeColor="text1"/>
              </w:rPr>
              <w:t>352.</w:t>
            </w:r>
          </w:p>
        </w:tc>
        <w:tc>
          <w:tcPr>
            <w:tcW w:w="4818" w:type="dxa"/>
          </w:tcPr>
          <w:p w14:paraId="6F627BED" w14:textId="77777777" w:rsidR="00E64972" w:rsidRPr="00286216" w:rsidRDefault="00E64972" w:rsidP="00F6479F">
            <w:pPr>
              <w:pStyle w:val="StyleZakonu"/>
              <w:rPr>
                <w:color w:val="000000" w:themeColor="text1"/>
              </w:rPr>
            </w:pPr>
            <w:r w:rsidRPr="00286216">
              <w:rPr>
                <w:color w:val="000000" w:themeColor="text1"/>
              </w:rPr>
              <w:t>2) середньостроковими - зі строком обігу від одного до п’яти років;</w:t>
            </w:r>
          </w:p>
        </w:tc>
        <w:tc>
          <w:tcPr>
            <w:tcW w:w="3686" w:type="dxa"/>
          </w:tcPr>
          <w:p w14:paraId="30391ED9" w14:textId="77777777" w:rsidR="00E64972" w:rsidRPr="00286216" w:rsidRDefault="00E64972" w:rsidP="00F6479F">
            <w:pPr>
              <w:pStyle w:val="StyleProp"/>
              <w:rPr>
                <w:color w:val="000000" w:themeColor="text1"/>
                <w:szCs w:val="18"/>
              </w:rPr>
            </w:pPr>
          </w:p>
        </w:tc>
        <w:tc>
          <w:tcPr>
            <w:tcW w:w="1987" w:type="dxa"/>
          </w:tcPr>
          <w:p w14:paraId="1A61261A" w14:textId="77777777" w:rsidR="00E64972" w:rsidRPr="00286216" w:rsidRDefault="00E64972" w:rsidP="00F6479F">
            <w:pPr>
              <w:pStyle w:val="StyleWisnow"/>
              <w:rPr>
                <w:color w:val="000000" w:themeColor="text1"/>
              </w:rPr>
            </w:pPr>
          </w:p>
        </w:tc>
        <w:tc>
          <w:tcPr>
            <w:tcW w:w="4818" w:type="dxa"/>
          </w:tcPr>
          <w:p w14:paraId="1BFF80EC" w14:textId="18606E3C" w:rsidR="00E64972" w:rsidRPr="00286216" w:rsidRDefault="00E64972" w:rsidP="00F6479F">
            <w:pPr>
              <w:pStyle w:val="StyleZakonu"/>
              <w:rPr>
                <w:color w:val="000000" w:themeColor="text1"/>
              </w:rPr>
            </w:pPr>
            <w:r w:rsidRPr="00286216">
              <w:rPr>
                <w:color w:val="000000" w:themeColor="text1"/>
              </w:rPr>
              <w:t>2) середньостроковими - із строком обігу від одного до п’яти років;</w:t>
            </w:r>
          </w:p>
        </w:tc>
      </w:tr>
      <w:tr w:rsidR="00E64972" w:rsidRPr="00286216" w14:paraId="76E5D714" w14:textId="77777777" w:rsidTr="00F6479F">
        <w:tc>
          <w:tcPr>
            <w:tcW w:w="576" w:type="dxa"/>
          </w:tcPr>
          <w:p w14:paraId="3FDE203B" w14:textId="77777777" w:rsidR="00E64972" w:rsidRPr="00286216" w:rsidRDefault="00E64972" w:rsidP="00F6479F">
            <w:pPr>
              <w:pStyle w:val="StyleWisnow"/>
              <w:rPr>
                <w:color w:val="000000" w:themeColor="text1"/>
              </w:rPr>
            </w:pPr>
            <w:r w:rsidRPr="00286216">
              <w:rPr>
                <w:color w:val="000000" w:themeColor="text1"/>
              </w:rPr>
              <w:t>353.</w:t>
            </w:r>
          </w:p>
        </w:tc>
        <w:tc>
          <w:tcPr>
            <w:tcW w:w="4818" w:type="dxa"/>
          </w:tcPr>
          <w:p w14:paraId="47875492" w14:textId="77777777" w:rsidR="00E64972" w:rsidRPr="00286216" w:rsidRDefault="00E64972" w:rsidP="00F6479F">
            <w:pPr>
              <w:pStyle w:val="StyleZakonu"/>
              <w:rPr>
                <w:color w:val="000000" w:themeColor="text1"/>
              </w:rPr>
            </w:pPr>
            <w:r w:rsidRPr="00286216">
              <w:rPr>
                <w:color w:val="000000" w:themeColor="text1"/>
              </w:rPr>
              <w:t>3) короткостроковими - зі строком обігу до одного року.</w:t>
            </w:r>
          </w:p>
        </w:tc>
        <w:tc>
          <w:tcPr>
            <w:tcW w:w="3686" w:type="dxa"/>
          </w:tcPr>
          <w:p w14:paraId="2DC4366A" w14:textId="77777777" w:rsidR="00E64972" w:rsidRPr="00286216" w:rsidRDefault="00E64972" w:rsidP="00F6479F">
            <w:pPr>
              <w:pStyle w:val="StyleProp"/>
              <w:rPr>
                <w:color w:val="000000" w:themeColor="text1"/>
                <w:szCs w:val="18"/>
              </w:rPr>
            </w:pPr>
          </w:p>
        </w:tc>
        <w:tc>
          <w:tcPr>
            <w:tcW w:w="1987" w:type="dxa"/>
          </w:tcPr>
          <w:p w14:paraId="5B683E06" w14:textId="77777777" w:rsidR="00E64972" w:rsidRPr="00286216" w:rsidRDefault="00E64972" w:rsidP="00F6479F">
            <w:pPr>
              <w:pStyle w:val="StyleWisnow"/>
              <w:rPr>
                <w:color w:val="000000" w:themeColor="text1"/>
              </w:rPr>
            </w:pPr>
          </w:p>
        </w:tc>
        <w:tc>
          <w:tcPr>
            <w:tcW w:w="4818" w:type="dxa"/>
          </w:tcPr>
          <w:p w14:paraId="49204AE4" w14:textId="4671A912" w:rsidR="00E64972" w:rsidRPr="00286216" w:rsidRDefault="00E64972" w:rsidP="00F6479F">
            <w:pPr>
              <w:pStyle w:val="StyleZakonu"/>
              <w:rPr>
                <w:color w:val="000000" w:themeColor="text1"/>
              </w:rPr>
            </w:pPr>
            <w:r w:rsidRPr="00286216">
              <w:rPr>
                <w:color w:val="000000" w:themeColor="text1"/>
              </w:rPr>
              <w:t>3) короткостроковими - із строком обігу до одного року.</w:t>
            </w:r>
          </w:p>
        </w:tc>
      </w:tr>
      <w:tr w:rsidR="00E64972" w:rsidRPr="00286216" w14:paraId="3AEE0D8E" w14:textId="77777777" w:rsidTr="00F6479F">
        <w:tc>
          <w:tcPr>
            <w:tcW w:w="576" w:type="dxa"/>
          </w:tcPr>
          <w:p w14:paraId="6A791AB1" w14:textId="77777777" w:rsidR="00E64972" w:rsidRPr="00286216" w:rsidRDefault="00E64972" w:rsidP="00F6479F">
            <w:pPr>
              <w:pStyle w:val="StyleWisnow"/>
              <w:rPr>
                <w:color w:val="000000" w:themeColor="text1"/>
              </w:rPr>
            </w:pPr>
            <w:r w:rsidRPr="00286216">
              <w:rPr>
                <w:color w:val="000000" w:themeColor="text1"/>
              </w:rPr>
              <w:t>354.</w:t>
            </w:r>
          </w:p>
        </w:tc>
        <w:tc>
          <w:tcPr>
            <w:tcW w:w="4818" w:type="dxa"/>
          </w:tcPr>
          <w:p w14:paraId="4301DF07" w14:textId="77777777" w:rsidR="00E64972" w:rsidRPr="00286216" w:rsidRDefault="00E64972" w:rsidP="00F6479F">
            <w:pPr>
              <w:pStyle w:val="StyleZakonu"/>
              <w:rPr>
                <w:color w:val="000000" w:themeColor="text1"/>
              </w:rPr>
            </w:pPr>
            <w:r w:rsidRPr="00286216">
              <w:rPr>
                <w:color w:val="000000" w:themeColor="text1"/>
              </w:rPr>
              <w:t>3. Облігації залежно від способу сплати доходу можуть бути відсотковими або дисконтними.</w:t>
            </w:r>
          </w:p>
        </w:tc>
        <w:tc>
          <w:tcPr>
            <w:tcW w:w="3686" w:type="dxa"/>
          </w:tcPr>
          <w:p w14:paraId="39D5EA82" w14:textId="77777777" w:rsidR="00E64972" w:rsidRPr="00286216" w:rsidRDefault="00E64972" w:rsidP="00F6479F">
            <w:pPr>
              <w:pStyle w:val="StyleProp"/>
              <w:rPr>
                <w:color w:val="000000" w:themeColor="text1"/>
                <w:szCs w:val="18"/>
              </w:rPr>
            </w:pPr>
          </w:p>
        </w:tc>
        <w:tc>
          <w:tcPr>
            <w:tcW w:w="1987" w:type="dxa"/>
          </w:tcPr>
          <w:p w14:paraId="5E924455" w14:textId="77777777" w:rsidR="00E64972" w:rsidRPr="00286216" w:rsidRDefault="00E64972" w:rsidP="00F6479F">
            <w:pPr>
              <w:pStyle w:val="StyleWisnow"/>
              <w:rPr>
                <w:color w:val="000000" w:themeColor="text1"/>
              </w:rPr>
            </w:pPr>
          </w:p>
        </w:tc>
        <w:tc>
          <w:tcPr>
            <w:tcW w:w="4818" w:type="dxa"/>
          </w:tcPr>
          <w:p w14:paraId="2C54592E" w14:textId="77777777" w:rsidR="00E64972" w:rsidRPr="00286216" w:rsidRDefault="00E64972" w:rsidP="00F6479F">
            <w:pPr>
              <w:pStyle w:val="StyleZakonu"/>
              <w:rPr>
                <w:color w:val="000000" w:themeColor="text1"/>
              </w:rPr>
            </w:pPr>
            <w:r w:rsidRPr="00286216">
              <w:rPr>
                <w:color w:val="000000" w:themeColor="text1"/>
              </w:rPr>
              <w:t>3. Облігації залежно від способу виплати доходу можуть бути відсотковими або дисконтними.</w:t>
            </w:r>
          </w:p>
        </w:tc>
      </w:tr>
      <w:tr w:rsidR="00E64972" w:rsidRPr="00286216" w14:paraId="6ABA74A8" w14:textId="77777777" w:rsidTr="00F6479F">
        <w:tc>
          <w:tcPr>
            <w:tcW w:w="576" w:type="dxa"/>
          </w:tcPr>
          <w:p w14:paraId="598AE43D" w14:textId="77777777" w:rsidR="00E64972" w:rsidRPr="00286216" w:rsidRDefault="00E64972" w:rsidP="00F6479F">
            <w:pPr>
              <w:pStyle w:val="StyleWisnow"/>
              <w:rPr>
                <w:color w:val="000000" w:themeColor="text1"/>
              </w:rPr>
            </w:pPr>
            <w:r w:rsidRPr="00286216">
              <w:rPr>
                <w:color w:val="000000" w:themeColor="text1"/>
              </w:rPr>
              <w:t>355.</w:t>
            </w:r>
          </w:p>
        </w:tc>
        <w:tc>
          <w:tcPr>
            <w:tcW w:w="4818" w:type="dxa"/>
          </w:tcPr>
          <w:p w14:paraId="4062E854" w14:textId="77777777" w:rsidR="00E64972" w:rsidRPr="00286216" w:rsidRDefault="00E64972" w:rsidP="00F6479F">
            <w:pPr>
              <w:pStyle w:val="StyleZakonu"/>
              <w:rPr>
                <w:color w:val="000000" w:themeColor="text1"/>
              </w:rPr>
            </w:pPr>
            <w:r w:rsidRPr="00286216">
              <w:rPr>
                <w:color w:val="000000" w:themeColor="text1"/>
              </w:rPr>
              <w:t>Відсоткові облігації - облігації, за якими передбачається виплата відсоткових доходів або за якими відсоткова ставка дорівнює нулю.</w:t>
            </w:r>
          </w:p>
        </w:tc>
        <w:tc>
          <w:tcPr>
            <w:tcW w:w="3686" w:type="dxa"/>
          </w:tcPr>
          <w:p w14:paraId="2D77B522" w14:textId="77777777" w:rsidR="00E64972" w:rsidRPr="00286216" w:rsidRDefault="00E64972" w:rsidP="00F6479F">
            <w:pPr>
              <w:pStyle w:val="StyleProp"/>
              <w:rPr>
                <w:color w:val="000000" w:themeColor="text1"/>
                <w:szCs w:val="18"/>
              </w:rPr>
            </w:pPr>
          </w:p>
        </w:tc>
        <w:tc>
          <w:tcPr>
            <w:tcW w:w="1987" w:type="dxa"/>
          </w:tcPr>
          <w:p w14:paraId="646CB24A" w14:textId="77777777" w:rsidR="00E64972" w:rsidRPr="00286216" w:rsidRDefault="00E64972" w:rsidP="00F6479F">
            <w:pPr>
              <w:pStyle w:val="StyleWisnow"/>
              <w:rPr>
                <w:color w:val="000000" w:themeColor="text1"/>
              </w:rPr>
            </w:pPr>
          </w:p>
        </w:tc>
        <w:tc>
          <w:tcPr>
            <w:tcW w:w="4818" w:type="dxa"/>
          </w:tcPr>
          <w:p w14:paraId="3900B206" w14:textId="77777777" w:rsidR="00E64972" w:rsidRPr="00286216" w:rsidRDefault="00E64972" w:rsidP="00F6479F">
            <w:pPr>
              <w:pStyle w:val="StyleZakonu"/>
              <w:rPr>
                <w:color w:val="000000" w:themeColor="text1"/>
              </w:rPr>
            </w:pPr>
            <w:r w:rsidRPr="00286216">
              <w:rPr>
                <w:color w:val="000000" w:themeColor="text1"/>
              </w:rPr>
              <w:t>Відсоткові облігації – це облігації, за якими передбачається виплата відсоткових доходів або за якими відсоткова ставка дорівнює нулю.</w:t>
            </w:r>
          </w:p>
        </w:tc>
      </w:tr>
      <w:tr w:rsidR="00E64972" w:rsidRPr="00286216" w14:paraId="6447142B" w14:textId="77777777" w:rsidTr="00F6479F">
        <w:tc>
          <w:tcPr>
            <w:tcW w:w="576" w:type="dxa"/>
          </w:tcPr>
          <w:p w14:paraId="0E1A4121" w14:textId="77777777" w:rsidR="00E64972" w:rsidRPr="00286216" w:rsidRDefault="00E64972" w:rsidP="00F6479F">
            <w:pPr>
              <w:pStyle w:val="StyleWisnow"/>
              <w:rPr>
                <w:color w:val="000000" w:themeColor="text1"/>
              </w:rPr>
            </w:pPr>
            <w:r w:rsidRPr="00286216">
              <w:rPr>
                <w:color w:val="000000" w:themeColor="text1"/>
              </w:rPr>
              <w:t>356.</w:t>
            </w:r>
          </w:p>
        </w:tc>
        <w:tc>
          <w:tcPr>
            <w:tcW w:w="4818" w:type="dxa"/>
          </w:tcPr>
          <w:p w14:paraId="20413847" w14:textId="77777777" w:rsidR="00E64972" w:rsidRPr="00286216" w:rsidRDefault="00E64972" w:rsidP="00F6479F">
            <w:pPr>
              <w:pStyle w:val="StyleZakonu"/>
              <w:rPr>
                <w:color w:val="000000" w:themeColor="text1"/>
              </w:rPr>
            </w:pPr>
            <w:r w:rsidRPr="00286216">
              <w:rPr>
                <w:color w:val="000000" w:themeColor="text1"/>
              </w:rPr>
              <w:t>Дисконтні облігації - облігації, що розміщуються за ціною, нижчою ніж їх номінальна вартість. Різниця між ціною придбання та номінальною вартістю облігації, яка виплачується власнику облігації під час її погашення, становить доход (дисконт) за облігацією.</w:t>
            </w:r>
          </w:p>
        </w:tc>
        <w:tc>
          <w:tcPr>
            <w:tcW w:w="3686" w:type="dxa"/>
          </w:tcPr>
          <w:p w14:paraId="0118B27F" w14:textId="77777777" w:rsidR="00E64972" w:rsidRPr="00286216" w:rsidRDefault="00E64972" w:rsidP="00F6479F">
            <w:pPr>
              <w:pStyle w:val="StyleProp"/>
              <w:rPr>
                <w:color w:val="000000" w:themeColor="text1"/>
                <w:szCs w:val="18"/>
              </w:rPr>
            </w:pPr>
          </w:p>
        </w:tc>
        <w:tc>
          <w:tcPr>
            <w:tcW w:w="1987" w:type="dxa"/>
          </w:tcPr>
          <w:p w14:paraId="2B84562E" w14:textId="77777777" w:rsidR="00E64972" w:rsidRPr="00286216" w:rsidRDefault="00E64972" w:rsidP="00F6479F">
            <w:pPr>
              <w:pStyle w:val="StyleWisnow"/>
              <w:rPr>
                <w:color w:val="000000" w:themeColor="text1"/>
              </w:rPr>
            </w:pPr>
          </w:p>
        </w:tc>
        <w:tc>
          <w:tcPr>
            <w:tcW w:w="4818" w:type="dxa"/>
          </w:tcPr>
          <w:p w14:paraId="0EEAE45A" w14:textId="116FF700" w:rsidR="00E64972" w:rsidRPr="00286216" w:rsidRDefault="00E64972" w:rsidP="00F6479F">
            <w:pPr>
              <w:pStyle w:val="StyleZakonu"/>
              <w:rPr>
                <w:color w:val="000000" w:themeColor="text1"/>
              </w:rPr>
            </w:pPr>
            <w:r w:rsidRPr="00286216">
              <w:rPr>
                <w:color w:val="000000" w:themeColor="text1"/>
              </w:rPr>
              <w:t>Дисконтні облігації – це облігації, що розміщуються за ціною, нижчою за їхню номінальну вартість. Різниця між ціною придбання та номінальною вартістю облігації, яка виплачується власнику облігації під час її погашення, становить дохід (дисконт) за облігацією.</w:t>
            </w:r>
          </w:p>
        </w:tc>
      </w:tr>
      <w:tr w:rsidR="00E64972" w:rsidRPr="00286216" w14:paraId="75C66FB9" w14:textId="77777777" w:rsidTr="00F6479F">
        <w:tc>
          <w:tcPr>
            <w:tcW w:w="576" w:type="dxa"/>
          </w:tcPr>
          <w:p w14:paraId="15DD920C" w14:textId="77777777" w:rsidR="00E64972" w:rsidRPr="00286216" w:rsidRDefault="00E64972" w:rsidP="00F6479F">
            <w:pPr>
              <w:pStyle w:val="StyleWisnow"/>
              <w:rPr>
                <w:color w:val="000000" w:themeColor="text1"/>
              </w:rPr>
            </w:pPr>
            <w:r w:rsidRPr="00286216">
              <w:rPr>
                <w:color w:val="000000" w:themeColor="text1"/>
              </w:rPr>
              <w:t>357.</w:t>
            </w:r>
          </w:p>
        </w:tc>
        <w:tc>
          <w:tcPr>
            <w:tcW w:w="4818" w:type="dxa"/>
          </w:tcPr>
          <w:p w14:paraId="70389F0A" w14:textId="77777777" w:rsidR="00E64972" w:rsidRPr="00286216" w:rsidRDefault="00E64972" w:rsidP="00F6479F">
            <w:pPr>
              <w:pStyle w:val="StyleZakonu"/>
              <w:rPr>
                <w:color w:val="000000" w:themeColor="text1"/>
              </w:rPr>
            </w:pPr>
            <w:r w:rsidRPr="00286216">
              <w:rPr>
                <w:color w:val="000000" w:themeColor="text1"/>
              </w:rPr>
              <w:t>4. Облігації залежно від способу їх погашення можуть бути звичайними або цільовими.</w:t>
            </w:r>
          </w:p>
        </w:tc>
        <w:tc>
          <w:tcPr>
            <w:tcW w:w="3686" w:type="dxa"/>
          </w:tcPr>
          <w:p w14:paraId="473A23D1" w14:textId="77777777" w:rsidR="00E64972" w:rsidRPr="00286216" w:rsidRDefault="00E64972" w:rsidP="00F6479F">
            <w:pPr>
              <w:pStyle w:val="StyleProp"/>
              <w:rPr>
                <w:color w:val="000000" w:themeColor="text1"/>
                <w:szCs w:val="18"/>
              </w:rPr>
            </w:pPr>
          </w:p>
        </w:tc>
        <w:tc>
          <w:tcPr>
            <w:tcW w:w="1987" w:type="dxa"/>
          </w:tcPr>
          <w:p w14:paraId="1C7CD308" w14:textId="77777777" w:rsidR="00E64972" w:rsidRPr="00286216" w:rsidRDefault="00E64972" w:rsidP="00F6479F">
            <w:pPr>
              <w:pStyle w:val="StyleWisnow"/>
              <w:rPr>
                <w:color w:val="000000" w:themeColor="text1"/>
              </w:rPr>
            </w:pPr>
          </w:p>
        </w:tc>
        <w:tc>
          <w:tcPr>
            <w:tcW w:w="4818" w:type="dxa"/>
          </w:tcPr>
          <w:p w14:paraId="7BB8A608" w14:textId="77777777" w:rsidR="00E64972" w:rsidRPr="00286216" w:rsidRDefault="00E64972" w:rsidP="00F6479F">
            <w:pPr>
              <w:pStyle w:val="StyleZakonu"/>
              <w:rPr>
                <w:color w:val="000000" w:themeColor="text1"/>
              </w:rPr>
            </w:pPr>
            <w:r w:rsidRPr="00286216">
              <w:rPr>
                <w:color w:val="000000" w:themeColor="text1"/>
              </w:rPr>
              <w:t>4. Облігації залежно від способу їх погашення можуть бути звичайними або цільовими.</w:t>
            </w:r>
          </w:p>
        </w:tc>
      </w:tr>
      <w:tr w:rsidR="00E64972" w:rsidRPr="00286216" w14:paraId="1CE15A6C" w14:textId="77777777" w:rsidTr="00F6479F">
        <w:tc>
          <w:tcPr>
            <w:tcW w:w="576" w:type="dxa"/>
          </w:tcPr>
          <w:p w14:paraId="58B8FEEC" w14:textId="77777777" w:rsidR="00E64972" w:rsidRPr="00286216" w:rsidRDefault="00E64972" w:rsidP="00F6479F">
            <w:pPr>
              <w:pStyle w:val="StyleWisnow"/>
              <w:rPr>
                <w:color w:val="000000" w:themeColor="text1"/>
              </w:rPr>
            </w:pPr>
            <w:r w:rsidRPr="00286216">
              <w:rPr>
                <w:color w:val="000000" w:themeColor="text1"/>
              </w:rPr>
              <w:t>358.</w:t>
            </w:r>
          </w:p>
        </w:tc>
        <w:tc>
          <w:tcPr>
            <w:tcW w:w="4818" w:type="dxa"/>
          </w:tcPr>
          <w:p w14:paraId="4C18812B" w14:textId="77777777" w:rsidR="00E64972" w:rsidRPr="00286216" w:rsidRDefault="00E64972" w:rsidP="00F6479F">
            <w:pPr>
              <w:pStyle w:val="StyleZakonu"/>
              <w:rPr>
                <w:color w:val="000000" w:themeColor="text1"/>
              </w:rPr>
            </w:pPr>
            <w:r w:rsidRPr="00286216">
              <w:rPr>
                <w:color w:val="000000" w:themeColor="text1"/>
              </w:rPr>
              <w:t>Звичайні облігації - облігації, погашення за якими здійснюється шляхом сплати емітентом їх власнику номінальної вартості таких облігацій, крім конвертованих корпоративних облігацій, погашення яких здійснюється в порядку, встановленому статтею 19 цього Закону.</w:t>
            </w:r>
          </w:p>
        </w:tc>
        <w:tc>
          <w:tcPr>
            <w:tcW w:w="3686" w:type="dxa"/>
          </w:tcPr>
          <w:p w14:paraId="63203BDD" w14:textId="77777777" w:rsidR="00E64972" w:rsidRPr="00286216" w:rsidRDefault="00E64972" w:rsidP="00F6479F">
            <w:pPr>
              <w:pStyle w:val="StyleProp"/>
              <w:rPr>
                <w:color w:val="000000" w:themeColor="text1"/>
                <w:szCs w:val="18"/>
              </w:rPr>
            </w:pPr>
          </w:p>
        </w:tc>
        <w:tc>
          <w:tcPr>
            <w:tcW w:w="1987" w:type="dxa"/>
          </w:tcPr>
          <w:p w14:paraId="66A5870B" w14:textId="77777777" w:rsidR="00E64972" w:rsidRPr="00286216" w:rsidRDefault="00E64972" w:rsidP="00F6479F">
            <w:pPr>
              <w:pStyle w:val="StyleWisnow"/>
              <w:rPr>
                <w:color w:val="000000" w:themeColor="text1"/>
              </w:rPr>
            </w:pPr>
          </w:p>
        </w:tc>
        <w:tc>
          <w:tcPr>
            <w:tcW w:w="4818" w:type="dxa"/>
          </w:tcPr>
          <w:p w14:paraId="773A9133" w14:textId="76EDB4D5" w:rsidR="00E64972" w:rsidRPr="00286216" w:rsidRDefault="00E64972" w:rsidP="00F6479F">
            <w:pPr>
              <w:pStyle w:val="StyleZakonu"/>
              <w:rPr>
                <w:color w:val="000000" w:themeColor="text1"/>
              </w:rPr>
            </w:pPr>
            <w:r w:rsidRPr="00286216">
              <w:rPr>
                <w:color w:val="000000" w:themeColor="text1"/>
              </w:rPr>
              <w:t>Звичайні облігації – це облігації, погашення  яких здійснюється шляхом сплати емітентом їх власнику номінальної вартості таких облігацій, крім конвертованих корпоративних облігацій, погашення яких здійснюється в порядку, встановленому статтею 14 цього Закону.</w:t>
            </w:r>
          </w:p>
        </w:tc>
      </w:tr>
      <w:tr w:rsidR="00E64972" w:rsidRPr="00286216" w14:paraId="69630619" w14:textId="77777777" w:rsidTr="00F6479F">
        <w:tc>
          <w:tcPr>
            <w:tcW w:w="576" w:type="dxa"/>
          </w:tcPr>
          <w:p w14:paraId="0C56B5AF" w14:textId="77777777" w:rsidR="00E64972" w:rsidRPr="00286216" w:rsidRDefault="00E64972" w:rsidP="00F6479F">
            <w:pPr>
              <w:pStyle w:val="StyleWisnow"/>
              <w:rPr>
                <w:color w:val="000000" w:themeColor="text1"/>
              </w:rPr>
            </w:pPr>
            <w:r w:rsidRPr="00286216">
              <w:rPr>
                <w:color w:val="000000" w:themeColor="text1"/>
              </w:rPr>
              <w:t>359.</w:t>
            </w:r>
          </w:p>
        </w:tc>
        <w:tc>
          <w:tcPr>
            <w:tcW w:w="4818" w:type="dxa"/>
          </w:tcPr>
          <w:p w14:paraId="7584A2E2" w14:textId="77777777" w:rsidR="00E64972" w:rsidRPr="00286216" w:rsidRDefault="00E64972" w:rsidP="00F6479F">
            <w:pPr>
              <w:pStyle w:val="StyleZakonu"/>
              <w:rPr>
                <w:color w:val="000000" w:themeColor="text1"/>
              </w:rPr>
            </w:pPr>
            <w:r w:rsidRPr="00286216">
              <w:rPr>
                <w:color w:val="000000" w:themeColor="text1"/>
              </w:rPr>
              <w:t>Цільові облігації - облігації, погашення за якими здійснюється шляхом передачі товарів та/або надання послуг та/або виконання робіт відповідно до вимог, встановлених проспектом (рішенням про емісію цінних паперів, а для державних облігацій України - умовами їх розміщення), а у випадках та порядку, передбачених проспектом (рішенням про емісію цінних паперів, а для державних облігацій України - умовами їх розміщення) шляхом сплати коштів власнику таких облігацій.</w:t>
            </w:r>
          </w:p>
        </w:tc>
        <w:tc>
          <w:tcPr>
            <w:tcW w:w="3686" w:type="dxa"/>
          </w:tcPr>
          <w:p w14:paraId="7C69ADA9" w14:textId="001DE3B5" w:rsidR="00E64972" w:rsidRPr="00286216" w:rsidRDefault="00E64972" w:rsidP="00F6479F">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D382C72" w14:textId="77777777" w:rsidR="00E64972" w:rsidRPr="00286216" w:rsidRDefault="00E64972" w:rsidP="00E64972">
            <w:pPr>
              <w:pStyle w:val="StyleProp"/>
              <w:spacing w:line="180" w:lineRule="exact"/>
              <w:rPr>
                <w:color w:val="000000" w:themeColor="text1"/>
                <w:spacing w:val="-2"/>
                <w:szCs w:val="18"/>
              </w:rPr>
            </w:pPr>
            <w:r w:rsidRPr="00286216">
              <w:rPr>
                <w:color w:val="000000" w:themeColor="text1"/>
                <w:spacing w:val="-2"/>
                <w:szCs w:val="18"/>
              </w:rPr>
              <w:t>Абзац третій частини четвертої статті 16 доповнити новим реченням такого змісту «Особливості емісії цільових облігацій встановлюються статтею 18 цього Закону», а також доповнити зазначену статтю новою частиною такого змісту:</w:t>
            </w:r>
          </w:p>
          <w:p w14:paraId="6F0DFB96" w14:textId="77777777" w:rsidR="00E64972" w:rsidRPr="00286216" w:rsidRDefault="00E64972" w:rsidP="00E64972">
            <w:pPr>
              <w:pStyle w:val="StyleProp"/>
              <w:spacing w:line="180" w:lineRule="exact"/>
              <w:rPr>
                <w:color w:val="000000" w:themeColor="text1"/>
                <w:spacing w:val="-2"/>
                <w:szCs w:val="18"/>
              </w:rPr>
            </w:pPr>
            <w:r w:rsidRPr="00286216">
              <w:rPr>
                <w:color w:val="000000" w:themeColor="text1"/>
                <w:spacing w:val="-2"/>
                <w:szCs w:val="18"/>
              </w:rPr>
              <w:t xml:space="preserve">«5. Облігації залежно від мети використання залучених коштів можуть бути ординарними, зеленими або інфраструктурними. </w:t>
            </w:r>
          </w:p>
          <w:p w14:paraId="0679922C" w14:textId="77777777" w:rsidR="00E64972" w:rsidRPr="00286216" w:rsidRDefault="00E64972" w:rsidP="00E64972">
            <w:pPr>
              <w:pStyle w:val="StyleProp"/>
              <w:spacing w:line="180" w:lineRule="exact"/>
              <w:rPr>
                <w:color w:val="000000" w:themeColor="text1"/>
                <w:spacing w:val="-2"/>
                <w:szCs w:val="18"/>
              </w:rPr>
            </w:pPr>
            <w:r w:rsidRPr="00286216">
              <w:rPr>
                <w:color w:val="000000" w:themeColor="text1"/>
                <w:spacing w:val="-2"/>
                <w:szCs w:val="18"/>
              </w:rPr>
              <w:t xml:space="preserve">Ординарні облігації – облігації, що не передбачають мети використання залучених коштів для фінансування екологічного або інфраструктурного проекту. </w:t>
            </w:r>
          </w:p>
          <w:p w14:paraId="00E94C06" w14:textId="77777777" w:rsidR="00E64972" w:rsidRPr="00286216" w:rsidRDefault="00E64972" w:rsidP="00E64972">
            <w:pPr>
              <w:pStyle w:val="StyleProp"/>
              <w:spacing w:line="180" w:lineRule="exact"/>
              <w:rPr>
                <w:color w:val="000000" w:themeColor="text1"/>
                <w:spacing w:val="-2"/>
                <w:szCs w:val="18"/>
              </w:rPr>
            </w:pPr>
            <w:r w:rsidRPr="00286216">
              <w:rPr>
                <w:color w:val="000000" w:themeColor="text1"/>
                <w:spacing w:val="-2"/>
                <w:szCs w:val="18"/>
              </w:rPr>
              <w:t xml:space="preserve">Зелені облігації - облігації, що передбачають використання залучених коштів </w:t>
            </w:r>
            <w:r w:rsidRPr="00286216">
              <w:rPr>
                <w:color w:val="000000" w:themeColor="text1"/>
                <w:spacing w:val="-2"/>
                <w:szCs w:val="18"/>
              </w:rPr>
              <w:lastRenderedPageBreak/>
              <w:t xml:space="preserve">виключно на фінансування екологічного проекту або окремого його етапу. </w:t>
            </w:r>
          </w:p>
          <w:p w14:paraId="111631D6" w14:textId="77777777" w:rsidR="00E64972" w:rsidRPr="00286216" w:rsidRDefault="00E64972" w:rsidP="00E64972">
            <w:pPr>
              <w:pStyle w:val="StyleProp"/>
              <w:spacing w:line="180" w:lineRule="exact"/>
              <w:rPr>
                <w:color w:val="000000" w:themeColor="text1"/>
                <w:szCs w:val="18"/>
              </w:rPr>
            </w:pPr>
            <w:r w:rsidRPr="00286216">
              <w:rPr>
                <w:color w:val="000000" w:themeColor="text1"/>
                <w:spacing w:val="-2"/>
                <w:szCs w:val="18"/>
              </w:rPr>
              <w:t>Інфраструктурні облігації - облігації, що передбачають використання залучених коштів виключно на фінансування будівництва (реконструкції) об'єктів інфраструктури або реалізації інфраструктурного проекту чи окремого його етапу.».</w:t>
            </w:r>
          </w:p>
        </w:tc>
        <w:tc>
          <w:tcPr>
            <w:tcW w:w="1987" w:type="dxa"/>
          </w:tcPr>
          <w:p w14:paraId="1B82A64D" w14:textId="77777777" w:rsidR="00E64972" w:rsidRPr="00286216" w:rsidRDefault="00E64972" w:rsidP="00F6479F">
            <w:pPr>
              <w:pStyle w:val="StyleWisnow"/>
              <w:rPr>
                <w:color w:val="000000" w:themeColor="text1"/>
              </w:rPr>
            </w:pPr>
            <w:r w:rsidRPr="00286216">
              <w:rPr>
                <w:color w:val="000000" w:themeColor="text1"/>
              </w:rPr>
              <w:lastRenderedPageBreak/>
              <w:t>Враховано частково</w:t>
            </w:r>
          </w:p>
          <w:p w14:paraId="7E32A8DB" w14:textId="77777777" w:rsidR="00E64972" w:rsidRPr="00286216" w:rsidRDefault="00E64972" w:rsidP="00F6479F">
            <w:pPr>
              <w:pStyle w:val="StyleWisnow"/>
              <w:spacing w:line="180" w:lineRule="exact"/>
              <w:rPr>
                <w:color w:val="000000" w:themeColor="text1"/>
              </w:rPr>
            </w:pPr>
            <w:r w:rsidRPr="00286216">
              <w:rPr>
                <w:color w:val="000000" w:themeColor="text1"/>
              </w:rPr>
              <w:t>з урахуванням збереження передбаченого першим читанням згадування про рішення про емісію цінних паперів, а для державних облігацій – умовами їх розміщення</w:t>
            </w:r>
          </w:p>
        </w:tc>
        <w:tc>
          <w:tcPr>
            <w:tcW w:w="4818" w:type="dxa"/>
          </w:tcPr>
          <w:p w14:paraId="7884C9B0" w14:textId="1E2821A9" w:rsidR="00E64972" w:rsidRPr="00286216" w:rsidRDefault="00E64972" w:rsidP="00F6479F">
            <w:pPr>
              <w:pStyle w:val="StyleZakonu"/>
              <w:rPr>
                <w:color w:val="000000" w:themeColor="text1"/>
                <w:szCs w:val="18"/>
              </w:rPr>
            </w:pPr>
            <w:r w:rsidRPr="00286216">
              <w:rPr>
                <w:color w:val="000000" w:themeColor="text1"/>
              </w:rPr>
              <w:t xml:space="preserve">Цільові облігації - це облігації, погашення  яких здійснюється шляхом передачі товарів та/або надання послуг, та/або виконання робіт відповідно до вимог, встановлених проспектом (рішенням про емісію, а для державних облігацій України - умовами їх розміщення), а у випадках та порядку, передбачених проспектом (рішенням про емісію, а для державних облігацій України - умовами їх розміщення), – </w:t>
            </w:r>
            <w:r w:rsidRPr="00286216">
              <w:rPr>
                <w:color w:val="000000" w:themeColor="text1"/>
                <w:szCs w:val="18"/>
              </w:rPr>
              <w:t>шляхом сплати коштів власнику таких облігацій. Особливості емісії цільових облігацій встановлюються статтею 13 цього Закону.</w:t>
            </w:r>
          </w:p>
          <w:p w14:paraId="193A4B5E" w14:textId="77777777" w:rsidR="00E64972" w:rsidRPr="00286216" w:rsidRDefault="00E64972" w:rsidP="00F6479F">
            <w:pPr>
              <w:pStyle w:val="StyleZakonu"/>
              <w:rPr>
                <w:color w:val="000000" w:themeColor="text1"/>
                <w:szCs w:val="18"/>
              </w:rPr>
            </w:pPr>
            <w:r w:rsidRPr="00286216">
              <w:rPr>
                <w:color w:val="000000" w:themeColor="text1"/>
                <w:szCs w:val="18"/>
              </w:rPr>
              <w:t xml:space="preserve">5. Облігації залежно від мети використання залучених коштів можуть бути ординарними, зеленими або інфраструктурними. </w:t>
            </w:r>
          </w:p>
          <w:p w14:paraId="6C6A1450" w14:textId="77777777" w:rsidR="00E64972" w:rsidRPr="00286216" w:rsidRDefault="00E64972" w:rsidP="00F6479F">
            <w:pPr>
              <w:pStyle w:val="StyleZakonu"/>
              <w:rPr>
                <w:color w:val="000000" w:themeColor="text1"/>
                <w:szCs w:val="18"/>
              </w:rPr>
            </w:pPr>
            <w:r w:rsidRPr="00286216">
              <w:rPr>
                <w:color w:val="000000" w:themeColor="text1"/>
                <w:szCs w:val="18"/>
              </w:rPr>
              <w:lastRenderedPageBreak/>
              <w:t xml:space="preserve">Ординарні облігації – це облігації, проспект (рішення про емісію, а для державних облігацій України - умови розміщення) яких не передбачає (не передбачають) мети використання залучених коштів для фінансування екологічного або інфраструктурного проекту. </w:t>
            </w:r>
          </w:p>
          <w:p w14:paraId="3C9A1F9F" w14:textId="77777777" w:rsidR="00E64972" w:rsidRPr="00286216" w:rsidRDefault="00E64972" w:rsidP="00F6479F">
            <w:pPr>
              <w:pStyle w:val="StyleZakonu"/>
              <w:rPr>
                <w:color w:val="000000" w:themeColor="text1"/>
              </w:rPr>
            </w:pPr>
            <w:r w:rsidRPr="00286216">
              <w:rPr>
                <w:color w:val="000000" w:themeColor="text1"/>
              </w:rPr>
              <w:t xml:space="preserve">Інфраструктурні облігації – це облігації, проспект (рішення про емісію цінних паперів, а для державних облігацій України – умови розміщення) яких </w:t>
            </w:r>
            <w:r w:rsidRPr="00286216">
              <w:rPr>
                <w:color w:val="000000" w:themeColor="text1"/>
                <w:szCs w:val="18"/>
              </w:rPr>
              <w:t>передбачає (</w:t>
            </w:r>
            <w:r w:rsidRPr="00286216">
              <w:rPr>
                <w:color w:val="000000" w:themeColor="text1"/>
              </w:rPr>
              <w:t>передбачають) використання залучених коштів виключно на фінансування будівництва (реконструкції) об'єктів інфраструктури або реалізації інфраструктурного проекту чи окремого його етапу.</w:t>
            </w:r>
          </w:p>
          <w:p w14:paraId="7FBBF997" w14:textId="77777777" w:rsidR="00E64972" w:rsidRPr="00286216" w:rsidRDefault="00E64972" w:rsidP="00F6479F">
            <w:pPr>
              <w:pStyle w:val="StyleZakonu"/>
              <w:rPr>
                <w:color w:val="000000" w:themeColor="text1"/>
              </w:rPr>
            </w:pPr>
            <w:r w:rsidRPr="00286216">
              <w:rPr>
                <w:color w:val="000000" w:themeColor="text1"/>
                <w:szCs w:val="18"/>
              </w:rPr>
              <w:t>Зелені облігації - це облігації, проспект (рішення про емісію, а для державних облігацій України – умови розміщення) яких передбачає (передбачають) використання залучених коштів виключно на фінансування екологічного проекту або окремого його етапу.</w:t>
            </w:r>
          </w:p>
        </w:tc>
      </w:tr>
      <w:tr w:rsidR="00E64972" w:rsidRPr="00286216" w14:paraId="0AC004A1" w14:textId="77777777" w:rsidTr="00F6479F">
        <w:tc>
          <w:tcPr>
            <w:tcW w:w="576" w:type="dxa"/>
          </w:tcPr>
          <w:p w14:paraId="16EDCAD2" w14:textId="77777777" w:rsidR="00E64972" w:rsidRPr="00286216" w:rsidRDefault="00E64972" w:rsidP="00F6479F">
            <w:pPr>
              <w:pStyle w:val="StyleWisnow"/>
              <w:rPr>
                <w:color w:val="000000" w:themeColor="text1"/>
              </w:rPr>
            </w:pPr>
            <w:r w:rsidRPr="00286216">
              <w:rPr>
                <w:color w:val="000000" w:themeColor="text1"/>
              </w:rPr>
              <w:lastRenderedPageBreak/>
              <w:t>360.</w:t>
            </w:r>
          </w:p>
        </w:tc>
        <w:tc>
          <w:tcPr>
            <w:tcW w:w="4818" w:type="dxa"/>
          </w:tcPr>
          <w:p w14:paraId="3B8A96AF" w14:textId="77777777" w:rsidR="00E64972" w:rsidRPr="00286216" w:rsidRDefault="00E64972" w:rsidP="00F6479F">
            <w:pPr>
              <w:pStyle w:val="StyleZakonu"/>
              <w:rPr>
                <w:color w:val="000000" w:themeColor="text1"/>
              </w:rPr>
            </w:pPr>
            <w:r w:rsidRPr="00286216">
              <w:rPr>
                <w:color w:val="000000" w:themeColor="text1"/>
              </w:rPr>
              <w:t>5. Порядок розміщення облігацій, крім державних облігацій України, встановлюється Національною комісією з цінних паперів та фондового ринку.</w:t>
            </w:r>
          </w:p>
        </w:tc>
        <w:tc>
          <w:tcPr>
            <w:tcW w:w="3686" w:type="dxa"/>
          </w:tcPr>
          <w:p w14:paraId="4EC37A7C" w14:textId="77777777" w:rsidR="00E64972" w:rsidRPr="00286216" w:rsidRDefault="00E64972" w:rsidP="00F6479F">
            <w:pPr>
              <w:pStyle w:val="StyleProp"/>
              <w:rPr>
                <w:color w:val="000000" w:themeColor="text1"/>
                <w:szCs w:val="18"/>
              </w:rPr>
            </w:pPr>
          </w:p>
        </w:tc>
        <w:tc>
          <w:tcPr>
            <w:tcW w:w="1987" w:type="dxa"/>
          </w:tcPr>
          <w:p w14:paraId="3C3EC8C1" w14:textId="77777777" w:rsidR="00E64972" w:rsidRPr="00286216" w:rsidRDefault="00E64972" w:rsidP="00F6479F">
            <w:pPr>
              <w:pStyle w:val="StyleWisnow"/>
              <w:rPr>
                <w:color w:val="000000" w:themeColor="text1"/>
              </w:rPr>
            </w:pPr>
          </w:p>
        </w:tc>
        <w:tc>
          <w:tcPr>
            <w:tcW w:w="4818" w:type="dxa"/>
          </w:tcPr>
          <w:p w14:paraId="4FA8688F" w14:textId="77777777" w:rsidR="00E64972" w:rsidRPr="00286216" w:rsidRDefault="00E64972" w:rsidP="00F6479F">
            <w:pPr>
              <w:pStyle w:val="StyleZakonu"/>
              <w:rPr>
                <w:color w:val="000000" w:themeColor="text1"/>
              </w:rPr>
            </w:pPr>
            <w:r w:rsidRPr="00286216">
              <w:rPr>
                <w:color w:val="000000" w:themeColor="text1"/>
              </w:rPr>
              <w:t>5. Порядок розміщення облігацій, крім державних облігацій України, встановлюється Національною комісією з цінних паперів та фондового ринку.</w:t>
            </w:r>
          </w:p>
        </w:tc>
      </w:tr>
      <w:tr w:rsidR="00E64972" w:rsidRPr="00286216" w14:paraId="4E46DBF5" w14:textId="77777777" w:rsidTr="00F6479F">
        <w:tc>
          <w:tcPr>
            <w:tcW w:w="576" w:type="dxa"/>
          </w:tcPr>
          <w:p w14:paraId="037E3D54" w14:textId="77777777" w:rsidR="00E64972" w:rsidRPr="00286216" w:rsidRDefault="00E64972" w:rsidP="00F6479F">
            <w:pPr>
              <w:pStyle w:val="StyleWisnow"/>
              <w:rPr>
                <w:color w:val="000000" w:themeColor="text1"/>
              </w:rPr>
            </w:pPr>
            <w:r w:rsidRPr="00286216">
              <w:rPr>
                <w:color w:val="000000" w:themeColor="text1"/>
              </w:rPr>
              <w:t>361.</w:t>
            </w:r>
          </w:p>
        </w:tc>
        <w:tc>
          <w:tcPr>
            <w:tcW w:w="4818" w:type="dxa"/>
          </w:tcPr>
          <w:p w14:paraId="1D0372C5" w14:textId="77777777" w:rsidR="00E64972" w:rsidRPr="00286216" w:rsidRDefault="00E64972" w:rsidP="00F6479F">
            <w:pPr>
              <w:pStyle w:val="StyleZakonu"/>
              <w:rPr>
                <w:color w:val="000000" w:themeColor="text1"/>
              </w:rPr>
            </w:pPr>
            <w:r w:rsidRPr="00286216">
              <w:rPr>
                <w:color w:val="000000" w:themeColor="text1"/>
              </w:rPr>
              <w:t>6. Облігації розміщуються з фіксованим строком погашення, єдиним для випуску. У випадках та порядку, передбачених проспектом (рішенням про емісію цінних паперів, а для державних облігацій України - умовами їх розміщення) номінальна вартість облігацій може погашатись частинами, а умови виплат таких частин мають бути однаковими для всіх власників облігацій одного випуску.</w:t>
            </w:r>
          </w:p>
        </w:tc>
        <w:tc>
          <w:tcPr>
            <w:tcW w:w="3686" w:type="dxa"/>
          </w:tcPr>
          <w:p w14:paraId="2856AC56" w14:textId="77777777" w:rsidR="00E64972" w:rsidRPr="00286216" w:rsidRDefault="00E64972" w:rsidP="00F6479F">
            <w:pPr>
              <w:pStyle w:val="StyleProp"/>
              <w:rPr>
                <w:color w:val="000000" w:themeColor="text1"/>
                <w:szCs w:val="18"/>
              </w:rPr>
            </w:pPr>
          </w:p>
        </w:tc>
        <w:tc>
          <w:tcPr>
            <w:tcW w:w="1987" w:type="dxa"/>
          </w:tcPr>
          <w:p w14:paraId="201E1EA2" w14:textId="77777777" w:rsidR="00E64972" w:rsidRPr="00286216" w:rsidRDefault="00E64972" w:rsidP="00F6479F">
            <w:pPr>
              <w:pStyle w:val="StyleWisnow"/>
              <w:rPr>
                <w:color w:val="000000" w:themeColor="text1"/>
              </w:rPr>
            </w:pPr>
          </w:p>
        </w:tc>
        <w:tc>
          <w:tcPr>
            <w:tcW w:w="4818" w:type="dxa"/>
          </w:tcPr>
          <w:p w14:paraId="3E89F9F4" w14:textId="04A02032" w:rsidR="00E64972" w:rsidRPr="00286216" w:rsidRDefault="00E64972" w:rsidP="00F6479F">
            <w:pPr>
              <w:pStyle w:val="StyleZakonu"/>
              <w:rPr>
                <w:color w:val="000000" w:themeColor="text1"/>
              </w:rPr>
            </w:pPr>
            <w:r w:rsidRPr="00286216">
              <w:rPr>
                <w:color w:val="000000" w:themeColor="text1"/>
              </w:rPr>
              <w:t>6. Облігації розміщуються з фіксованим строком погашення, єдиним для одного випуску. У випадках та порядку, передбачених проспектом (рішенням про емісію, а для державних облігацій України - умовами їх розміщення) номінальна вартість облігацій може погашатися частинами, при цьому умови виплат таких частин мають бути однаковими для всіх власників облігацій одного випуску.</w:t>
            </w:r>
          </w:p>
        </w:tc>
      </w:tr>
      <w:tr w:rsidR="00E64972" w:rsidRPr="00286216" w14:paraId="6FDCFC4B" w14:textId="77777777" w:rsidTr="00F6479F">
        <w:tc>
          <w:tcPr>
            <w:tcW w:w="576" w:type="dxa"/>
          </w:tcPr>
          <w:p w14:paraId="0F712970" w14:textId="77777777" w:rsidR="00E64972" w:rsidRPr="00286216" w:rsidRDefault="00E64972" w:rsidP="00F6479F">
            <w:pPr>
              <w:pStyle w:val="StyleWisnow"/>
              <w:rPr>
                <w:color w:val="000000" w:themeColor="text1"/>
              </w:rPr>
            </w:pPr>
            <w:r w:rsidRPr="00286216">
              <w:rPr>
                <w:color w:val="000000" w:themeColor="text1"/>
              </w:rPr>
              <w:t>362.</w:t>
            </w:r>
          </w:p>
        </w:tc>
        <w:tc>
          <w:tcPr>
            <w:tcW w:w="4818" w:type="dxa"/>
          </w:tcPr>
          <w:p w14:paraId="034F6297" w14:textId="77777777" w:rsidR="00E64972" w:rsidRPr="00286216" w:rsidRDefault="00E64972" w:rsidP="00F6479F">
            <w:pPr>
              <w:pStyle w:val="StyleZakonu"/>
              <w:rPr>
                <w:color w:val="000000" w:themeColor="text1"/>
              </w:rPr>
            </w:pPr>
            <w:r w:rsidRPr="00286216">
              <w:rPr>
                <w:color w:val="000000" w:themeColor="text1"/>
              </w:rPr>
              <w:t>Дострокове погашення облігацій за вимогою їх власників або за ініціативою емітента дозволяється у разі, коли така можливість передбачена проспектом (рішенням про емісію цінних паперів, а для державних облігацій України - умовами їх розміщення), яким визначені порядок встановлення суми дострокового погашення облігацій і строк, у який облігації можуть бути пред’явлені для дострокового погашення за вимогою власників або підлягають пред’явленню для дострокового погашення за ініціативою емітента.</w:t>
            </w:r>
          </w:p>
        </w:tc>
        <w:tc>
          <w:tcPr>
            <w:tcW w:w="3686" w:type="dxa"/>
          </w:tcPr>
          <w:p w14:paraId="1785F77A" w14:textId="77777777" w:rsidR="00E64972" w:rsidRPr="00286216" w:rsidRDefault="00E64972" w:rsidP="00F6479F">
            <w:pPr>
              <w:pStyle w:val="StyleProp"/>
              <w:rPr>
                <w:color w:val="000000" w:themeColor="text1"/>
                <w:szCs w:val="18"/>
              </w:rPr>
            </w:pPr>
          </w:p>
        </w:tc>
        <w:tc>
          <w:tcPr>
            <w:tcW w:w="1987" w:type="dxa"/>
          </w:tcPr>
          <w:p w14:paraId="0973B4C7" w14:textId="77777777" w:rsidR="00E64972" w:rsidRPr="00286216" w:rsidRDefault="00E64972" w:rsidP="00F6479F">
            <w:pPr>
              <w:pStyle w:val="StyleWisnow"/>
              <w:rPr>
                <w:color w:val="000000" w:themeColor="text1"/>
              </w:rPr>
            </w:pPr>
          </w:p>
        </w:tc>
        <w:tc>
          <w:tcPr>
            <w:tcW w:w="4818" w:type="dxa"/>
          </w:tcPr>
          <w:p w14:paraId="36EAFC47" w14:textId="77777777" w:rsidR="00E64972" w:rsidRPr="00286216" w:rsidRDefault="00E64972" w:rsidP="00F6479F">
            <w:pPr>
              <w:pStyle w:val="StyleZakonu"/>
              <w:rPr>
                <w:color w:val="000000" w:themeColor="text1"/>
              </w:rPr>
            </w:pPr>
            <w:r w:rsidRPr="00286216">
              <w:rPr>
                <w:color w:val="000000" w:themeColor="text1"/>
              </w:rPr>
              <w:t>Дострокове погашення облігацій за вимогою їх власників або за ініціативою емітента дозволяється у разі, якщо така можливість передбачена проспектом (рішенням про емісію, а для державних облігацій України - умовами їх розміщення), яким (якими) визначені порядок встановлення суми дострокового погашення облігацій та строк, протягом якого облігації можуть бути пред’явлені для дострокового погашення за вимогою їх власників або підлягають пред’явленню для дострокового погашення за ініціативою емітента.</w:t>
            </w:r>
          </w:p>
        </w:tc>
      </w:tr>
      <w:tr w:rsidR="00E64972" w:rsidRPr="00286216" w14:paraId="34FBDD85" w14:textId="77777777" w:rsidTr="00F6479F">
        <w:tc>
          <w:tcPr>
            <w:tcW w:w="576" w:type="dxa"/>
          </w:tcPr>
          <w:p w14:paraId="0BC7B48C" w14:textId="77777777" w:rsidR="00E64972" w:rsidRPr="00286216" w:rsidRDefault="00E64972" w:rsidP="00F6479F">
            <w:pPr>
              <w:pStyle w:val="StyleWisnow"/>
              <w:rPr>
                <w:color w:val="000000" w:themeColor="text1"/>
              </w:rPr>
            </w:pPr>
            <w:r w:rsidRPr="00286216">
              <w:rPr>
                <w:color w:val="000000" w:themeColor="text1"/>
              </w:rPr>
              <w:t>363.</w:t>
            </w:r>
          </w:p>
        </w:tc>
        <w:tc>
          <w:tcPr>
            <w:tcW w:w="4818" w:type="dxa"/>
          </w:tcPr>
          <w:p w14:paraId="07661689" w14:textId="77777777" w:rsidR="00E64972" w:rsidRPr="00286216" w:rsidRDefault="00E64972" w:rsidP="00F6479F">
            <w:pPr>
              <w:pStyle w:val="StyleZakonu"/>
              <w:rPr>
                <w:color w:val="000000" w:themeColor="text1"/>
              </w:rPr>
            </w:pPr>
            <w:r w:rsidRPr="00286216">
              <w:rPr>
                <w:color w:val="000000" w:themeColor="text1"/>
              </w:rPr>
              <w:t xml:space="preserve">7. Емітент облігацій протягом 15 днів після закінчення погашення облігацій (крім державних облігацій України та облігацій міжнародних </w:t>
            </w:r>
            <w:r w:rsidRPr="00286216">
              <w:rPr>
                <w:color w:val="000000" w:themeColor="text1"/>
              </w:rPr>
              <w:lastRenderedPageBreak/>
              <w:t>фінансових організацій) подає Національній комісії з цінних паперів та фондового ринку звіт про результати погашення облігацій за формою та в порядку, встановленому Національною комісією з цінних паперів та фондового ринку.</w:t>
            </w:r>
          </w:p>
        </w:tc>
        <w:tc>
          <w:tcPr>
            <w:tcW w:w="3686" w:type="dxa"/>
          </w:tcPr>
          <w:p w14:paraId="727B37AB" w14:textId="77777777" w:rsidR="00E64972" w:rsidRPr="00286216" w:rsidRDefault="00E64972" w:rsidP="00F6479F">
            <w:pPr>
              <w:pStyle w:val="StyleProp"/>
              <w:rPr>
                <w:color w:val="000000" w:themeColor="text1"/>
                <w:szCs w:val="18"/>
              </w:rPr>
            </w:pPr>
          </w:p>
        </w:tc>
        <w:tc>
          <w:tcPr>
            <w:tcW w:w="1987" w:type="dxa"/>
          </w:tcPr>
          <w:p w14:paraId="7C139A45" w14:textId="77777777" w:rsidR="00E64972" w:rsidRPr="00286216" w:rsidRDefault="00E64972" w:rsidP="00F6479F">
            <w:pPr>
              <w:pStyle w:val="StyleWisnow"/>
              <w:rPr>
                <w:color w:val="000000" w:themeColor="text1"/>
              </w:rPr>
            </w:pPr>
          </w:p>
        </w:tc>
        <w:tc>
          <w:tcPr>
            <w:tcW w:w="4818" w:type="dxa"/>
          </w:tcPr>
          <w:p w14:paraId="171252B6" w14:textId="77777777" w:rsidR="00E64972" w:rsidRPr="00286216" w:rsidRDefault="00E64972" w:rsidP="00F6479F">
            <w:pPr>
              <w:pStyle w:val="StyleZakonu"/>
              <w:rPr>
                <w:color w:val="000000" w:themeColor="text1"/>
              </w:rPr>
            </w:pPr>
            <w:r w:rsidRPr="00286216">
              <w:rPr>
                <w:color w:val="000000" w:themeColor="text1"/>
              </w:rPr>
              <w:t xml:space="preserve">7. Емітент облігацій протягом 15 днів після закінчення погашення облігацій (крім державних облігацій України та облігацій міжнародних </w:t>
            </w:r>
            <w:r w:rsidRPr="00286216">
              <w:rPr>
                <w:color w:val="000000" w:themeColor="text1"/>
              </w:rPr>
              <w:lastRenderedPageBreak/>
              <w:t>фінансових організацій) подає до Національної комісії з цінних паперів та фондового ринку звіт про результати погашення облігацій за формою та в порядку, встановленими Національною комісією з цінних паперів та фондового ринку.</w:t>
            </w:r>
          </w:p>
        </w:tc>
      </w:tr>
      <w:tr w:rsidR="00E64972" w:rsidRPr="00286216" w14:paraId="474BE1FA" w14:textId="77777777" w:rsidTr="00F6479F">
        <w:tc>
          <w:tcPr>
            <w:tcW w:w="576" w:type="dxa"/>
          </w:tcPr>
          <w:p w14:paraId="3D6E0325" w14:textId="77777777" w:rsidR="00E64972" w:rsidRPr="00286216" w:rsidRDefault="00E64972" w:rsidP="00F6479F">
            <w:pPr>
              <w:pStyle w:val="StyleWisnow"/>
              <w:rPr>
                <w:color w:val="000000" w:themeColor="text1"/>
              </w:rPr>
            </w:pPr>
            <w:r w:rsidRPr="00286216">
              <w:rPr>
                <w:color w:val="000000" w:themeColor="text1"/>
              </w:rPr>
              <w:lastRenderedPageBreak/>
              <w:t>364.</w:t>
            </w:r>
          </w:p>
        </w:tc>
        <w:tc>
          <w:tcPr>
            <w:tcW w:w="4818" w:type="dxa"/>
          </w:tcPr>
          <w:p w14:paraId="407B7563" w14:textId="77777777" w:rsidR="00E64972" w:rsidRPr="00286216" w:rsidRDefault="00E64972" w:rsidP="00F6479F">
            <w:pPr>
              <w:pStyle w:val="StyleZakonu"/>
              <w:rPr>
                <w:color w:val="000000" w:themeColor="text1"/>
              </w:rPr>
            </w:pPr>
            <w:r w:rsidRPr="00286216">
              <w:rPr>
                <w:color w:val="000000" w:themeColor="text1"/>
              </w:rPr>
              <w:t>8. Облігація має номінальну вартість, визначену в національній валюті, кратну 1 гривні, а якщо це передбачено проспектом (рішенням про розміщення облігацій, а для державних облігацій України - умовами їх розміщення) -в іноземній валюті, кратну одиниці такої іноземної валюти</w:t>
            </w:r>
          </w:p>
        </w:tc>
        <w:tc>
          <w:tcPr>
            <w:tcW w:w="3686" w:type="dxa"/>
          </w:tcPr>
          <w:p w14:paraId="5B5333BA" w14:textId="6469A813" w:rsidR="00E64972" w:rsidRPr="00286216" w:rsidRDefault="00E64972" w:rsidP="00F6479F">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1F43B77"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Доповнити частину восьму статті 16 п’ятьма абзацами такого змісту:</w:t>
            </w:r>
          </w:p>
          <w:p w14:paraId="319A165A"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 xml:space="preserve">«Емітент може здійснити деномінацію випуску облігацій. </w:t>
            </w:r>
          </w:p>
          <w:p w14:paraId="7F585787"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Деномінація випуску облігацій – зміна номінальної вартості всіх облігацій випуску шляхом збільшення загальної кількості розміщених облігацій з одночасним пропорційним зменшенням їх номінальної вартості, внаслідок чого одна облігація замінюється двома або більше облігаціями з тим само строком обігу, способом сплати доходу та погашення або шляхом зменшення загальної кількості розміщених облігацій з одночасним пропорційним збільшенням їх номінальної вартості, внаслідок чого дві або більше облігацій замінюються однією облігаціє з тим само строком обігу, способом сплати доходу та погашення.</w:t>
            </w:r>
          </w:p>
          <w:p w14:paraId="7B22D844"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Емітент може здійснити зміну валюти номінальної вартості усіх облігацій випуску.</w:t>
            </w:r>
          </w:p>
          <w:p w14:paraId="02CF9D38"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До внесення змін до проспекту (рішення про емісію) щодо проведення деномінації або зміни валюти номінальної вартості облігацій емітент зобов’язаний отримати згоду зборів власників облігацій на такі дії відповідно до вимог цього Закону.</w:t>
            </w:r>
          </w:p>
          <w:p w14:paraId="71CF3233" w14:textId="77777777" w:rsidR="00E64972" w:rsidRPr="00286216" w:rsidRDefault="00E64972" w:rsidP="00F6479F">
            <w:pPr>
              <w:pStyle w:val="StyleProp"/>
              <w:spacing w:line="190" w:lineRule="exact"/>
              <w:rPr>
                <w:color w:val="000000" w:themeColor="text1"/>
                <w:szCs w:val="18"/>
              </w:rPr>
            </w:pPr>
            <w:r w:rsidRPr="00286216">
              <w:rPr>
                <w:color w:val="000000" w:themeColor="text1"/>
                <w:szCs w:val="18"/>
              </w:rPr>
              <w:t>Порядок здійснення деномінації випуску облігацій та зміни валюти номінальної вартості облігацій встановлюється Національною комісією з цінних паперів та фондового ринку».</w:t>
            </w:r>
          </w:p>
        </w:tc>
        <w:tc>
          <w:tcPr>
            <w:tcW w:w="1987" w:type="dxa"/>
          </w:tcPr>
          <w:p w14:paraId="34C5CBF6" w14:textId="77777777" w:rsidR="00E64972" w:rsidRPr="00286216" w:rsidRDefault="00E64972" w:rsidP="00F6479F">
            <w:pPr>
              <w:pStyle w:val="StyleWisnow"/>
              <w:rPr>
                <w:color w:val="000000" w:themeColor="text1"/>
              </w:rPr>
            </w:pPr>
            <w:r w:rsidRPr="00286216">
              <w:rPr>
                <w:color w:val="000000" w:themeColor="text1"/>
              </w:rPr>
              <w:t>Враховано редакційно</w:t>
            </w:r>
          </w:p>
        </w:tc>
        <w:tc>
          <w:tcPr>
            <w:tcW w:w="4818" w:type="dxa"/>
          </w:tcPr>
          <w:p w14:paraId="232E6978" w14:textId="77777777" w:rsidR="00E64972" w:rsidRPr="00286216" w:rsidRDefault="00E64972" w:rsidP="00F6479F">
            <w:pPr>
              <w:pStyle w:val="StyleZakonu"/>
              <w:rPr>
                <w:color w:val="000000" w:themeColor="text1"/>
              </w:rPr>
            </w:pPr>
            <w:r w:rsidRPr="00286216">
              <w:rPr>
                <w:color w:val="000000" w:themeColor="text1"/>
              </w:rPr>
              <w:t>9. Емітент може здійснити деномінацію випуску облігацій.</w:t>
            </w:r>
          </w:p>
          <w:p w14:paraId="4690F6E9" w14:textId="77777777" w:rsidR="00E64972" w:rsidRPr="00286216" w:rsidRDefault="00E64972" w:rsidP="00F6479F">
            <w:pPr>
              <w:pStyle w:val="StyleZakonu"/>
              <w:rPr>
                <w:color w:val="000000" w:themeColor="text1"/>
              </w:rPr>
            </w:pPr>
            <w:r w:rsidRPr="00286216">
              <w:rPr>
                <w:color w:val="000000" w:themeColor="text1"/>
              </w:rPr>
              <w:t>Деномінація випуску облігацій – це зміна номінальної вартості всіх облігацій випуску шляхом збільшення загальної кількості розміщених облігацій з одночасним пропорційним зменшенням їхньої номінальної вартості, внаслідок чого одна облігація замінюється двома або більше облігаціями з такими  самими строком обігу, способом сплати доходу та погашення, або шляхом зменшення загальної кількості розміщених облігацій з одночасним пропорційним збільшенням їхньої номінальної вартості, внаслідок чого дві або більше облігацій замінюються однією облігацією з такими самими строком обігу, способом сплати доходу та погашення.</w:t>
            </w:r>
          </w:p>
          <w:p w14:paraId="425D2C13" w14:textId="77777777" w:rsidR="00E64972" w:rsidRPr="00286216" w:rsidRDefault="00E64972" w:rsidP="00F6479F">
            <w:pPr>
              <w:pStyle w:val="StyleZakonu"/>
              <w:rPr>
                <w:color w:val="000000" w:themeColor="text1"/>
              </w:rPr>
            </w:pPr>
            <w:r w:rsidRPr="00286216">
              <w:rPr>
                <w:color w:val="000000" w:themeColor="text1"/>
              </w:rPr>
              <w:t>Емітент може здійснити зміну валюти номінальної вартості усіх облігацій випуску.</w:t>
            </w:r>
          </w:p>
          <w:p w14:paraId="0B70B02B" w14:textId="77777777" w:rsidR="00E64972" w:rsidRPr="00286216" w:rsidRDefault="00E64972" w:rsidP="00F6479F">
            <w:pPr>
              <w:pStyle w:val="StyleZakonu"/>
              <w:rPr>
                <w:color w:val="000000" w:themeColor="text1"/>
              </w:rPr>
            </w:pPr>
            <w:r w:rsidRPr="00286216">
              <w:rPr>
                <w:color w:val="000000" w:themeColor="text1"/>
              </w:rPr>
              <w:t>До внесення змін до проспекту (рішення про емісію) щодо здійснення деномінації або зміни валюти номінальної вартості облігацій емітент зобов’язаний отримати згоду зборів власників облігацій на такі дії відповідно до вимог цього Закону.</w:t>
            </w:r>
          </w:p>
          <w:p w14:paraId="7D231E3C" w14:textId="77777777" w:rsidR="00E64972" w:rsidRPr="00286216" w:rsidRDefault="00E64972" w:rsidP="00F6479F">
            <w:pPr>
              <w:pStyle w:val="StyleZakonu"/>
              <w:rPr>
                <w:color w:val="000000" w:themeColor="text1"/>
              </w:rPr>
            </w:pPr>
            <w:r w:rsidRPr="00286216">
              <w:rPr>
                <w:color w:val="000000" w:themeColor="text1"/>
              </w:rPr>
              <w:t>Порядок здійснення деномінації випуску облігацій та зміни валюти номінальної вартості облігацій, крім державних облігацій України, встановлюється Національною комісією з цінних паперів та фондового ринку.</w:t>
            </w:r>
          </w:p>
        </w:tc>
      </w:tr>
      <w:tr w:rsidR="00E64972" w:rsidRPr="00286216" w14:paraId="444C0813" w14:textId="77777777" w:rsidTr="00F6479F">
        <w:tc>
          <w:tcPr>
            <w:tcW w:w="576" w:type="dxa"/>
          </w:tcPr>
          <w:p w14:paraId="4529092A" w14:textId="77777777" w:rsidR="00E64972" w:rsidRPr="00286216" w:rsidRDefault="00E64972" w:rsidP="00F6479F">
            <w:pPr>
              <w:pStyle w:val="StyleWisnow"/>
              <w:rPr>
                <w:color w:val="000000" w:themeColor="text1"/>
              </w:rPr>
            </w:pPr>
            <w:r w:rsidRPr="00286216">
              <w:rPr>
                <w:color w:val="000000" w:themeColor="text1"/>
              </w:rPr>
              <w:t>365.</w:t>
            </w:r>
          </w:p>
        </w:tc>
        <w:tc>
          <w:tcPr>
            <w:tcW w:w="4818" w:type="dxa"/>
          </w:tcPr>
          <w:p w14:paraId="525165D3" w14:textId="77777777" w:rsidR="00E64972" w:rsidRPr="00286216" w:rsidRDefault="00E64972" w:rsidP="00F6479F">
            <w:pPr>
              <w:pStyle w:val="StyleZakonu"/>
              <w:rPr>
                <w:color w:val="000000" w:themeColor="text1"/>
              </w:rPr>
            </w:pPr>
            <w:r w:rsidRPr="00286216">
              <w:rPr>
                <w:color w:val="000000" w:themeColor="text1"/>
              </w:rPr>
              <w:t>9. Емітент може розміщувати іменні облігації та облігації на пред’явника. Реєстрацію випуску облігацій, крім державних облігацій України, здійснює Національна комісія з цінних паперів та фондового ринку в установленому нею порядку. Обіг облігацій, крім державних облігацій України, дозволяється після реєстрації Національною комісією з цінних паперів та фондового ринку звіту про результати емісії облігацій та видачі свідоцтва про реєстрацію випуску облігацій.</w:t>
            </w:r>
          </w:p>
        </w:tc>
        <w:tc>
          <w:tcPr>
            <w:tcW w:w="3686" w:type="dxa"/>
          </w:tcPr>
          <w:p w14:paraId="17BC3A21" w14:textId="77777777" w:rsidR="00E64972" w:rsidRPr="00286216" w:rsidRDefault="00E64972" w:rsidP="00F6479F">
            <w:pPr>
              <w:pStyle w:val="StyleProp"/>
              <w:rPr>
                <w:color w:val="000000" w:themeColor="text1"/>
                <w:szCs w:val="18"/>
              </w:rPr>
            </w:pPr>
          </w:p>
        </w:tc>
        <w:tc>
          <w:tcPr>
            <w:tcW w:w="1987" w:type="dxa"/>
          </w:tcPr>
          <w:p w14:paraId="2B0EBBBD" w14:textId="77777777" w:rsidR="00E64972" w:rsidRPr="00286216" w:rsidRDefault="00E64972" w:rsidP="00F6479F">
            <w:pPr>
              <w:pStyle w:val="StyleWisnow"/>
              <w:rPr>
                <w:color w:val="000000" w:themeColor="text1"/>
              </w:rPr>
            </w:pPr>
          </w:p>
        </w:tc>
        <w:tc>
          <w:tcPr>
            <w:tcW w:w="4818" w:type="dxa"/>
          </w:tcPr>
          <w:p w14:paraId="6F44FA87" w14:textId="77777777" w:rsidR="00E64972" w:rsidRPr="00286216" w:rsidRDefault="00E64972" w:rsidP="00F6479F">
            <w:pPr>
              <w:pStyle w:val="StyleZakonu"/>
              <w:rPr>
                <w:color w:val="000000" w:themeColor="text1"/>
              </w:rPr>
            </w:pPr>
            <w:r w:rsidRPr="00286216">
              <w:rPr>
                <w:color w:val="000000" w:themeColor="text1"/>
              </w:rPr>
              <w:t>10. Емітент може розміщувати іменні облігації та облігації на пред’явника. Реєстрацію випуску облігацій (крім державних облігацій України) здійснює Національна комісія з цінних паперів та фондового ринку у встановленому нею порядку. Обіг облігацій (крім державних облігацій України) дозволяється після реєстрації Національною комісією з цінних паперів та фондового ринку звіту про результати емісії облігацій та видачі свідоцтва про реєстрацію випуску облігацій.</w:t>
            </w:r>
          </w:p>
        </w:tc>
      </w:tr>
      <w:tr w:rsidR="00E64972" w:rsidRPr="00286216" w14:paraId="0C95FD82" w14:textId="77777777" w:rsidTr="00F6479F">
        <w:tc>
          <w:tcPr>
            <w:tcW w:w="576" w:type="dxa"/>
          </w:tcPr>
          <w:p w14:paraId="33DEA4A2" w14:textId="77777777" w:rsidR="00E64972" w:rsidRPr="00286216" w:rsidRDefault="00E64972" w:rsidP="00F6479F">
            <w:pPr>
              <w:pStyle w:val="StyleWisnow"/>
              <w:rPr>
                <w:color w:val="000000" w:themeColor="text1"/>
              </w:rPr>
            </w:pPr>
            <w:r w:rsidRPr="00286216">
              <w:rPr>
                <w:color w:val="000000" w:themeColor="text1"/>
              </w:rPr>
              <w:t>366.</w:t>
            </w:r>
          </w:p>
        </w:tc>
        <w:tc>
          <w:tcPr>
            <w:tcW w:w="4818" w:type="dxa"/>
          </w:tcPr>
          <w:p w14:paraId="7F5EAB9F" w14:textId="77777777" w:rsidR="00E64972" w:rsidRPr="00286216" w:rsidRDefault="00E64972" w:rsidP="00F6479F">
            <w:pPr>
              <w:pStyle w:val="StyleZakonu"/>
              <w:rPr>
                <w:color w:val="000000" w:themeColor="text1"/>
              </w:rPr>
            </w:pPr>
            <w:r w:rsidRPr="00286216">
              <w:rPr>
                <w:color w:val="000000" w:themeColor="text1"/>
              </w:rPr>
              <w:t xml:space="preserve">10. Продаж облігацій здійснюється в національній </w:t>
            </w:r>
            <w:r w:rsidRPr="00286216">
              <w:rPr>
                <w:color w:val="000000" w:themeColor="text1"/>
              </w:rPr>
              <w:lastRenderedPageBreak/>
              <w:t>валюті, а якщо це передбачено законодавством та проспектом відповідного випуску облігацій (рішенням про емісію цінних паперів, а для державних облігацій України - умовами їх розміщення), -в іноземній валюті.</w:t>
            </w:r>
          </w:p>
        </w:tc>
        <w:tc>
          <w:tcPr>
            <w:tcW w:w="3686" w:type="dxa"/>
          </w:tcPr>
          <w:p w14:paraId="6DEAEB9E" w14:textId="76B7C88D" w:rsidR="00E64972" w:rsidRPr="00286216" w:rsidRDefault="00E64972" w:rsidP="00F6479F">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264</w:t>
            </w:r>
            <w:r w:rsidRPr="00286216">
              <w:rPr>
                <w:color w:val="000000" w:themeColor="text1"/>
                <w:spacing w:val="-4"/>
              </w:rPr>
              <w:fldChar w:fldCharType="end"/>
            </w:r>
            <w:r w:rsidRPr="00286216">
              <w:rPr>
                <w:color w:val="000000" w:themeColor="text1"/>
                <w:spacing w:val="-4"/>
              </w:rPr>
              <w:t>-Н.д.Бєлькова О.В. (Реєстр.картка №403)</w:t>
            </w:r>
          </w:p>
          <w:p w14:paraId="685E0C26" w14:textId="77777777" w:rsidR="00E64972" w:rsidRPr="00286216" w:rsidRDefault="00E64972" w:rsidP="00F6479F">
            <w:pPr>
              <w:pStyle w:val="StyleProp"/>
              <w:spacing w:line="190" w:lineRule="exact"/>
              <w:rPr>
                <w:color w:val="000000" w:themeColor="text1"/>
                <w:spacing w:val="-2"/>
              </w:rPr>
            </w:pPr>
            <w:r w:rsidRPr="00286216">
              <w:rPr>
                <w:color w:val="000000" w:themeColor="text1"/>
                <w:spacing w:val="-2"/>
              </w:rPr>
              <w:lastRenderedPageBreak/>
              <w:t>Статтю 16 розділу 1 доповнити частиною одинадцятою такого змісту:</w:t>
            </w:r>
          </w:p>
          <w:p w14:paraId="7B050277" w14:textId="77777777" w:rsidR="00E64972" w:rsidRPr="00286216" w:rsidRDefault="00E64972" w:rsidP="00F6479F">
            <w:pPr>
              <w:pStyle w:val="StyleProp"/>
              <w:spacing w:line="190" w:lineRule="exact"/>
              <w:rPr>
                <w:color w:val="000000" w:themeColor="text1"/>
                <w:spacing w:val="-4"/>
                <w:szCs w:val="18"/>
              </w:rPr>
            </w:pPr>
            <w:r w:rsidRPr="00286216">
              <w:rPr>
                <w:color w:val="000000" w:themeColor="text1"/>
                <w:spacing w:val="-2"/>
                <w:szCs w:val="18"/>
              </w:rPr>
              <w:t>«11. Виплата доходу за облігаціями та/або номінальної вартості облігацій власникам облігацій одного випуску має відбуватися пропорційно до кількості належних їм облігацій, а умови виплати (зокрема щодо строків, способу та суми виплат) мають бути однакові для всіх власників облігацій одного випуску».</w:t>
            </w:r>
          </w:p>
        </w:tc>
        <w:tc>
          <w:tcPr>
            <w:tcW w:w="1987" w:type="dxa"/>
          </w:tcPr>
          <w:p w14:paraId="0A3C8851" w14:textId="77777777" w:rsidR="00E64972" w:rsidRPr="00286216" w:rsidRDefault="00E64972" w:rsidP="00F6479F">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4F465348" w14:textId="77777777" w:rsidR="00E64972" w:rsidRPr="00286216" w:rsidRDefault="00E64972" w:rsidP="00F6479F">
            <w:pPr>
              <w:pStyle w:val="StyleZakonu"/>
              <w:spacing w:line="214" w:lineRule="exact"/>
              <w:rPr>
                <w:color w:val="000000" w:themeColor="text1"/>
              </w:rPr>
            </w:pPr>
            <w:r w:rsidRPr="00286216">
              <w:rPr>
                <w:color w:val="000000" w:themeColor="text1"/>
              </w:rPr>
              <w:t xml:space="preserve">11. Продаж облігацій здійснюється в національній </w:t>
            </w:r>
            <w:r w:rsidRPr="00286216">
              <w:rPr>
                <w:color w:val="000000" w:themeColor="text1"/>
              </w:rPr>
              <w:lastRenderedPageBreak/>
              <w:t>валюті, а якщо це передбачено законодавством та проспектом відповідного випуску облігацій (рішенням про емісію цінних паперів, а для державних облігацій України – умовами їх розміщення), – в іноземній валюті.</w:t>
            </w:r>
          </w:p>
          <w:p w14:paraId="57F5D269" w14:textId="77777777" w:rsidR="00E64972" w:rsidRPr="00286216" w:rsidRDefault="00E64972" w:rsidP="00F6479F">
            <w:pPr>
              <w:pStyle w:val="StyleZakonu"/>
              <w:spacing w:line="214" w:lineRule="exact"/>
              <w:rPr>
                <w:color w:val="000000" w:themeColor="text1"/>
              </w:rPr>
            </w:pPr>
            <w:r w:rsidRPr="00286216">
              <w:rPr>
                <w:color w:val="000000" w:themeColor="text1"/>
              </w:rPr>
              <w:t>12. Виплата доходу за облігаціями та/або номінальної вартості облігацій власникам облігацій одного випуску має відбуватися пропорційно до кількості належних їм облігацій, при цьому умови виплати (зокрема щодо строків, способу та суми виплат) мають бути однакові для всіх власників облігацій одного випуску.</w:t>
            </w:r>
          </w:p>
        </w:tc>
      </w:tr>
      <w:tr w:rsidR="00E64972" w:rsidRPr="00286216" w14:paraId="4B9AB4EA" w14:textId="77777777" w:rsidTr="00F6479F">
        <w:tc>
          <w:tcPr>
            <w:tcW w:w="576" w:type="dxa"/>
          </w:tcPr>
          <w:p w14:paraId="712B2543" w14:textId="77777777" w:rsidR="00E64972" w:rsidRPr="00286216" w:rsidRDefault="00E64972" w:rsidP="00F6479F">
            <w:pPr>
              <w:pStyle w:val="StyleWisnow"/>
              <w:rPr>
                <w:color w:val="000000" w:themeColor="text1"/>
              </w:rPr>
            </w:pPr>
            <w:r w:rsidRPr="00286216">
              <w:rPr>
                <w:color w:val="000000" w:themeColor="text1"/>
              </w:rPr>
              <w:lastRenderedPageBreak/>
              <w:t>367.</w:t>
            </w:r>
          </w:p>
        </w:tc>
        <w:tc>
          <w:tcPr>
            <w:tcW w:w="4818" w:type="dxa"/>
          </w:tcPr>
          <w:p w14:paraId="1F416EA8" w14:textId="77777777" w:rsidR="00E64972" w:rsidRPr="00286216" w:rsidRDefault="00E64972" w:rsidP="00F6479F">
            <w:pPr>
              <w:pStyle w:val="StyleZakonu"/>
              <w:rPr>
                <w:color w:val="000000" w:themeColor="text1"/>
              </w:rPr>
            </w:pPr>
            <w:r w:rsidRPr="00286216">
              <w:rPr>
                <w:color w:val="000000" w:themeColor="text1"/>
              </w:rPr>
              <w:t>Стаття 17. Корпоративні облігації</w:t>
            </w:r>
          </w:p>
        </w:tc>
        <w:tc>
          <w:tcPr>
            <w:tcW w:w="3686" w:type="dxa"/>
          </w:tcPr>
          <w:p w14:paraId="2C3EEB7D" w14:textId="77777777" w:rsidR="00E64972" w:rsidRPr="00286216" w:rsidRDefault="00E64972" w:rsidP="00F6479F">
            <w:pPr>
              <w:pStyle w:val="StyleProp"/>
              <w:rPr>
                <w:color w:val="000000" w:themeColor="text1"/>
                <w:szCs w:val="18"/>
              </w:rPr>
            </w:pPr>
          </w:p>
        </w:tc>
        <w:tc>
          <w:tcPr>
            <w:tcW w:w="1987" w:type="dxa"/>
          </w:tcPr>
          <w:p w14:paraId="04DCE6B1" w14:textId="77777777" w:rsidR="00E64972" w:rsidRPr="00286216" w:rsidRDefault="00E64972" w:rsidP="00F6479F">
            <w:pPr>
              <w:pStyle w:val="StyleWisnow"/>
              <w:rPr>
                <w:color w:val="000000" w:themeColor="text1"/>
              </w:rPr>
            </w:pPr>
          </w:p>
        </w:tc>
        <w:tc>
          <w:tcPr>
            <w:tcW w:w="4818" w:type="dxa"/>
          </w:tcPr>
          <w:p w14:paraId="298AC455" w14:textId="77777777" w:rsidR="00E64972" w:rsidRPr="00286216" w:rsidRDefault="00E64972" w:rsidP="00F6479F">
            <w:pPr>
              <w:pStyle w:val="StyleZakonu"/>
              <w:rPr>
                <w:color w:val="000000" w:themeColor="text1"/>
              </w:rPr>
            </w:pPr>
            <w:r w:rsidRPr="00286216">
              <w:rPr>
                <w:color w:val="000000" w:themeColor="text1"/>
              </w:rPr>
              <w:t>Стаття 12. Корпоративні облігації</w:t>
            </w:r>
          </w:p>
        </w:tc>
      </w:tr>
      <w:tr w:rsidR="00E64972" w:rsidRPr="00286216" w14:paraId="49EE5128" w14:textId="77777777" w:rsidTr="00F6479F">
        <w:tc>
          <w:tcPr>
            <w:tcW w:w="576" w:type="dxa"/>
          </w:tcPr>
          <w:p w14:paraId="091B4C27" w14:textId="77777777" w:rsidR="00E64972" w:rsidRPr="00286216" w:rsidRDefault="00E64972" w:rsidP="00F6479F">
            <w:pPr>
              <w:pStyle w:val="StyleWisnow"/>
              <w:rPr>
                <w:color w:val="000000" w:themeColor="text1"/>
              </w:rPr>
            </w:pPr>
            <w:r w:rsidRPr="00286216">
              <w:rPr>
                <w:color w:val="000000" w:themeColor="text1"/>
              </w:rPr>
              <w:t>368.</w:t>
            </w:r>
          </w:p>
        </w:tc>
        <w:tc>
          <w:tcPr>
            <w:tcW w:w="4818" w:type="dxa"/>
          </w:tcPr>
          <w:p w14:paraId="77453128" w14:textId="77777777" w:rsidR="00E64972" w:rsidRPr="00286216" w:rsidRDefault="00E64972" w:rsidP="00F6479F">
            <w:pPr>
              <w:pStyle w:val="StyleZakonu"/>
              <w:rPr>
                <w:color w:val="000000" w:themeColor="text1"/>
              </w:rPr>
            </w:pPr>
            <w:r w:rsidRPr="00286216">
              <w:rPr>
                <w:color w:val="000000" w:themeColor="text1"/>
              </w:rPr>
              <w:t>1. Корпоративні облігації - іменні облігації, емітентом яких є юридична особа (крім міжнародної фінансової організації), яка здійснює підприємницьку діяльність з метою одержання прибутку, а також інші юридичні особи у встановлених законом випадках.</w:t>
            </w:r>
          </w:p>
        </w:tc>
        <w:tc>
          <w:tcPr>
            <w:tcW w:w="3686" w:type="dxa"/>
          </w:tcPr>
          <w:p w14:paraId="347BC631" w14:textId="77777777" w:rsidR="00E64972" w:rsidRPr="00286216" w:rsidRDefault="00E64972" w:rsidP="00F6479F">
            <w:pPr>
              <w:pStyle w:val="StyleProp"/>
              <w:rPr>
                <w:color w:val="000000" w:themeColor="text1"/>
                <w:szCs w:val="18"/>
              </w:rPr>
            </w:pPr>
          </w:p>
        </w:tc>
        <w:tc>
          <w:tcPr>
            <w:tcW w:w="1987" w:type="dxa"/>
          </w:tcPr>
          <w:p w14:paraId="0B6F069E" w14:textId="77777777" w:rsidR="00E64972" w:rsidRPr="00286216" w:rsidRDefault="00E64972" w:rsidP="00F6479F">
            <w:pPr>
              <w:pStyle w:val="StyleWisnow"/>
              <w:rPr>
                <w:color w:val="000000" w:themeColor="text1"/>
              </w:rPr>
            </w:pPr>
          </w:p>
        </w:tc>
        <w:tc>
          <w:tcPr>
            <w:tcW w:w="4818" w:type="dxa"/>
          </w:tcPr>
          <w:p w14:paraId="3D5D9372" w14:textId="77777777" w:rsidR="00E64972" w:rsidRPr="00286216" w:rsidRDefault="00E64972" w:rsidP="00F6479F">
            <w:pPr>
              <w:pStyle w:val="StyleZakonu"/>
              <w:rPr>
                <w:color w:val="000000" w:themeColor="text1"/>
              </w:rPr>
            </w:pPr>
            <w:r w:rsidRPr="00286216">
              <w:rPr>
                <w:color w:val="000000" w:themeColor="text1"/>
              </w:rPr>
              <w:t>1. Корпоративні облігації – це іменні облігації, емітентом яких є юридична особа (крім міжнародної фінансової організації), що здійснює підприємницьку діяльність з метою одержання прибутку, а також інші юридичні особи у встановлених законом випадках.</w:t>
            </w:r>
          </w:p>
        </w:tc>
      </w:tr>
      <w:tr w:rsidR="00E64972" w:rsidRPr="00286216" w14:paraId="74703A16" w14:textId="77777777" w:rsidTr="00F6479F">
        <w:tc>
          <w:tcPr>
            <w:tcW w:w="576" w:type="dxa"/>
          </w:tcPr>
          <w:p w14:paraId="56AC5614" w14:textId="77777777" w:rsidR="00E64972" w:rsidRPr="00286216" w:rsidRDefault="00E64972" w:rsidP="00F6479F">
            <w:pPr>
              <w:pStyle w:val="StyleWisnow"/>
              <w:rPr>
                <w:color w:val="000000" w:themeColor="text1"/>
              </w:rPr>
            </w:pPr>
            <w:r w:rsidRPr="00286216">
              <w:rPr>
                <w:color w:val="000000" w:themeColor="text1"/>
              </w:rPr>
              <w:t>369.</w:t>
            </w:r>
          </w:p>
        </w:tc>
        <w:tc>
          <w:tcPr>
            <w:tcW w:w="4818" w:type="dxa"/>
          </w:tcPr>
          <w:p w14:paraId="2C6F2258" w14:textId="77777777" w:rsidR="00E64972" w:rsidRPr="00286216" w:rsidRDefault="00E64972" w:rsidP="00F6479F">
            <w:pPr>
              <w:pStyle w:val="StyleZakonu"/>
              <w:rPr>
                <w:color w:val="000000" w:themeColor="text1"/>
              </w:rPr>
            </w:pPr>
            <w:r w:rsidRPr="00286216">
              <w:rPr>
                <w:color w:val="000000" w:themeColor="text1"/>
              </w:rPr>
              <w:t>Емісія корпоративних облігацій здійснюється юридичними особами тільки після повної сплати свого статутного капіталу.</w:t>
            </w:r>
          </w:p>
        </w:tc>
        <w:tc>
          <w:tcPr>
            <w:tcW w:w="3686" w:type="dxa"/>
          </w:tcPr>
          <w:p w14:paraId="3E856515" w14:textId="77777777" w:rsidR="00E64972" w:rsidRPr="00286216" w:rsidRDefault="00E64972" w:rsidP="00F6479F">
            <w:pPr>
              <w:pStyle w:val="StyleProp"/>
              <w:rPr>
                <w:color w:val="000000" w:themeColor="text1"/>
                <w:szCs w:val="18"/>
              </w:rPr>
            </w:pPr>
          </w:p>
        </w:tc>
        <w:tc>
          <w:tcPr>
            <w:tcW w:w="1987" w:type="dxa"/>
          </w:tcPr>
          <w:p w14:paraId="1E83ABAD" w14:textId="77777777" w:rsidR="00E64972" w:rsidRPr="00286216" w:rsidRDefault="00E64972" w:rsidP="00F6479F">
            <w:pPr>
              <w:pStyle w:val="StyleWisnow"/>
              <w:rPr>
                <w:color w:val="000000" w:themeColor="text1"/>
              </w:rPr>
            </w:pPr>
          </w:p>
        </w:tc>
        <w:tc>
          <w:tcPr>
            <w:tcW w:w="4818" w:type="dxa"/>
          </w:tcPr>
          <w:p w14:paraId="3C5DC58B" w14:textId="77777777" w:rsidR="00E64972" w:rsidRPr="00286216" w:rsidRDefault="00E64972" w:rsidP="00F6479F">
            <w:pPr>
              <w:pStyle w:val="StyleZakonu"/>
              <w:rPr>
                <w:color w:val="000000" w:themeColor="text1"/>
              </w:rPr>
            </w:pPr>
            <w:r w:rsidRPr="00286216">
              <w:rPr>
                <w:color w:val="000000" w:themeColor="text1"/>
              </w:rPr>
              <w:t>Емісія корпоративних облігацій здійснюється юридичними особами тільки після повної сплати внесків до свого статутного капіталу.</w:t>
            </w:r>
          </w:p>
        </w:tc>
      </w:tr>
      <w:tr w:rsidR="00E64972" w:rsidRPr="00286216" w14:paraId="06408CD6" w14:textId="77777777" w:rsidTr="00F6479F">
        <w:tc>
          <w:tcPr>
            <w:tcW w:w="576" w:type="dxa"/>
          </w:tcPr>
          <w:p w14:paraId="107160F8" w14:textId="77777777" w:rsidR="00E64972" w:rsidRPr="00286216" w:rsidRDefault="00E64972" w:rsidP="00F6479F">
            <w:pPr>
              <w:pStyle w:val="StyleWisnow"/>
              <w:rPr>
                <w:color w:val="000000" w:themeColor="text1"/>
              </w:rPr>
            </w:pPr>
            <w:r w:rsidRPr="00286216">
              <w:rPr>
                <w:color w:val="000000" w:themeColor="text1"/>
              </w:rPr>
              <w:t>370.</w:t>
            </w:r>
          </w:p>
        </w:tc>
        <w:tc>
          <w:tcPr>
            <w:tcW w:w="4818" w:type="dxa"/>
          </w:tcPr>
          <w:p w14:paraId="68A1D10C" w14:textId="77777777" w:rsidR="00E64972" w:rsidRPr="00286216" w:rsidRDefault="00E64972" w:rsidP="00F6479F">
            <w:pPr>
              <w:pStyle w:val="StyleZakonu"/>
              <w:rPr>
                <w:color w:val="000000" w:themeColor="text1"/>
              </w:rPr>
            </w:pPr>
            <w:r w:rsidRPr="00286216">
              <w:rPr>
                <w:color w:val="000000" w:themeColor="text1"/>
              </w:rPr>
              <w:t>Корпоративні облігації підтверджують обов’язки емітента за ними та не дають право на участь в управлінні емітентом.</w:t>
            </w:r>
          </w:p>
        </w:tc>
        <w:tc>
          <w:tcPr>
            <w:tcW w:w="3686" w:type="dxa"/>
          </w:tcPr>
          <w:p w14:paraId="22DDBA17" w14:textId="77777777" w:rsidR="00E64972" w:rsidRPr="00286216" w:rsidRDefault="00E64972" w:rsidP="00F6479F">
            <w:pPr>
              <w:pStyle w:val="StyleProp"/>
              <w:rPr>
                <w:color w:val="000000" w:themeColor="text1"/>
                <w:szCs w:val="18"/>
              </w:rPr>
            </w:pPr>
          </w:p>
        </w:tc>
        <w:tc>
          <w:tcPr>
            <w:tcW w:w="1987" w:type="dxa"/>
          </w:tcPr>
          <w:p w14:paraId="2F38BA15" w14:textId="77777777" w:rsidR="00E64972" w:rsidRPr="00286216" w:rsidRDefault="00E64972" w:rsidP="00F6479F">
            <w:pPr>
              <w:pStyle w:val="StyleWisnow"/>
              <w:rPr>
                <w:color w:val="000000" w:themeColor="text1"/>
              </w:rPr>
            </w:pPr>
          </w:p>
        </w:tc>
        <w:tc>
          <w:tcPr>
            <w:tcW w:w="4818" w:type="dxa"/>
          </w:tcPr>
          <w:p w14:paraId="2E47742C" w14:textId="77777777" w:rsidR="00E64972" w:rsidRPr="00286216" w:rsidRDefault="00E64972" w:rsidP="00F6479F">
            <w:pPr>
              <w:pStyle w:val="StyleZakonu"/>
              <w:rPr>
                <w:color w:val="000000" w:themeColor="text1"/>
              </w:rPr>
            </w:pPr>
            <w:r w:rsidRPr="00286216">
              <w:rPr>
                <w:color w:val="000000" w:themeColor="text1"/>
              </w:rPr>
              <w:t>Корпоративні облігації підтверджують обов’язки емітента за ними та не дають право на участь в управлінні емітентом.</w:t>
            </w:r>
          </w:p>
        </w:tc>
      </w:tr>
      <w:tr w:rsidR="00E64972" w:rsidRPr="00286216" w14:paraId="0E0E5786" w14:textId="77777777" w:rsidTr="00F6479F">
        <w:tc>
          <w:tcPr>
            <w:tcW w:w="576" w:type="dxa"/>
          </w:tcPr>
          <w:p w14:paraId="7567A0D7" w14:textId="77777777" w:rsidR="00E64972" w:rsidRPr="00286216" w:rsidRDefault="00E64972" w:rsidP="00F6479F">
            <w:pPr>
              <w:pStyle w:val="StyleWisnow"/>
              <w:rPr>
                <w:color w:val="000000" w:themeColor="text1"/>
              </w:rPr>
            </w:pPr>
            <w:r w:rsidRPr="00286216">
              <w:rPr>
                <w:color w:val="000000" w:themeColor="text1"/>
              </w:rPr>
              <w:t>371.</w:t>
            </w:r>
          </w:p>
        </w:tc>
        <w:tc>
          <w:tcPr>
            <w:tcW w:w="4818" w:type="dxa"/>
          </w:tcPr>
          <w:p w14:paraId="239253AA" w14:textId="77777777" w:rsidR="00E64972" w:rsidRPr="00286216" w:rsidRDefault="00E64972" w:rsidP="00F6479F">
            <w:pPr>
              <w:pStyle w:val="StyleZakonu"/>
              <w:rPr>
                <w:color w:val="000000" w:themeColor="text1"/>
              </w:rPr>
            </w:pPr>
            <w:r w:rsidRPr="00286216">
              <w:rPr>
                <w:color w:val="000000" w:themeColor="text1"/>
              </w:rPr>
              <w:t>2. Не допускається емісія корпоративних облігацій для формування і поповнення статутного капіталу емітента, а також покриття збитків від господарської діяльності шляхом зарахування доходу від продажу облігацій як результату поточної господарської діяльності.</w:t>
            </w:r>
          </w:p>
        </w:tc>
        <w:tc>
          <w:tcPr>
            <w:tcW w:w="3686" w:type="dxa"/>
          </w:tcPr>
          <w:p w14:paraId="3FA06877" w14:textId="77777777" w:rsidR="00E64972" w:rsidRPr="00286216" w:rsidRDefault="00E64972" w:rsidP="00F6479F">
            <w:pPr>
              <w:pStyle w:val="StyleProp"/>
              <w:rPr>
                <w:color w:val="000000" w:themeColor="text1"/>
                <w:szCs w:val="18"/>
              </w:rPr>
            </w:pPr>
          </w:p>
        </w:tc>
        <w:tc>
          <w:tcPr>
            <w:tcW w:w="1987" w:type="dxa"/>
          </w:tcPr>
          <w:p w14:paraId="07D4708E" w14:textId="77777777" w:rsidR="00E64972" w:rsidRPr="00286216" w:rsidRDefault="00E64972" w:rsidP="00F6479F">
            <w:pPr>
              <w:pStyle w:val="StyleWisnow"/>
              <w:rPr>
                <w:color w:val="000000" w:themeColor="text1"/>
              </w:rPr>
            </w:pPr>
          </w:p>
        </w:tc>
        <w:tc>
          <w:tcPr>
            <w:tcW w:w="4818" w:type="dxa"/>
          </w:tcPr>
          <w:p w14:paraId="7BEEAA75" w14:textId="77777777" w:rsidR="00E64972" w:rsidRPr="00286216" w:rsidRDefault="00E64972" w:rsidP="00F6479F">
            <w:pPr>
              <w:pStyle w:val="StyleZakonu"/>
              <w:rPr>
                <w:color w:val="000000" w:themeColor="text1"/>
              </w:rPr>
            </w:pPr>
            <w:r w:rsidRPr="00286216">
              <w:rPr>
                <w:color w:val="000000" w:themeColor="text1"/>
              </w:rPr>
              <w:t>2. Не допускається емісія корпоративних облігацій для формування і поповнення статутного капіталу емітента, а також для покриття збитків від господарської діяльності шляхом зарахування доходу від продажу облігацій як результату поточної господарської діяльності.</w:t>
            </w:r>
          </w:p>
        </w:tc>
      </w:tr>
      <w:tr w:rsidR="00E64972" w:rsidRPr="00286216" w14:paraId="7B9D4438" w14:textId="77777777" w:rsidTr="00F6479F">
        <w:tc>
          <w:tcPr>
            <w:tcW w:w="576" w:type="dxa"/>
          </w:tcPr>
          <w:p w14:paraId="57405D76" w14:textId="77777777" w:rsidR="00E64972" w:rsidRPr="00286216" w:rsidRDefault="00E64972" w:rsidP="00F6479F">
            <w:pPr>
              <w:pStyle w:val="StyleWisnow"/>
              <w:rPr>
                <w:color w:val="000000" w:themeColor="text1"/>
              </w:rPr>
            </w:pPr>
            <w:r w:rsidRPr="00286216">
              <w:rPr>
                <w:color w:val="000000" w:themeColor="text1"/>
              </w:rPr>
              <w:t>372.</w:t>
            </w:r>
          </w:p>
        </w:tc>
        <w:tc>
          <w:tcPr>
            <w:tcW w:w="4818" w:type="dxa"/>
          </w:tcPr>
          <w:p w14:paraId="5B4E5108" w14:textId="77777777" w:rsidR="00E64972" w:rsidRPr="00286216" w:rsidRDefault="00E64972" w:rsidP="00F6479F">
            <w:pPr>
              <w:pStyle w:val="StyleZakonu"/>
              <w:rPr>
                <w:color w:val="000000" w:themeColor="text1"/>
              </w:rPr>
            </w:pPr>
            <w:r w:rsidRPr="00286216">
              <w:rPr>
                <w:color w:val="000000" w:themeColor="text1"/>
              </w:rPr>
              <w:t>3. Юридична особа має право здійснювати емісію відсоткових та/або дисконтних облігацій на суму, яка не перевищує трикратного розміру власного капіталу або розміру забезпечення, що надається їй з цією метою третіми особами.</w:t>
            </w:r>
          </w:p>
        </w:tc>
        <w:tc>
          <w:tcPr>
            <w:tcW w:w="3686" w:type="dxa"/>
          </w:tcPr>
          <w:p w14:paraId="66877F96" w14:textId="77777777" w:rsidR="00E64972" w:rsidRPr="00286216" w:rsidRDefault="00E64972" w:rsidP="00F6479F">
            <w:pPr>
              <w:pStyle w:val="StyleProp"/>
              <w:rPr>
                <w:color w:val="000000" w:themeColor="text1"/>
                <w:szCs w:val="18"/>
              </w:rPr>
            </w:pPr>
          </w:p>
        </w:tc>
        <w:tc>
          <w:tcPr>
            <w:tcW w:w="1987" w:type="dxa"/>
          </w:tcPr>
          <w:p w14:paraId="77369BF8" w14:textId="77777777" w:rsidR="00E64972" w:rsidRPr="00286216" w:rsidRDefault="00E64972" w:rsidP="00F6479F">
            <w:pPr>
              <w:pStyle w:val="StyleWisnow"/>
              <w:rPr>
                <w:color w:val="000000" w:themeColor="text1"/>
              </w:rPr>
            </w:pPr>
          </w:p>
        </w:tc>
        <w:tc>
          <w:tcPr>
            <w:tcW w:w="4818" w:type="dxa"/>
          </w:tcPr>
          <w:p w14:paraId="050A6A50" w14:textId="77777777" w:rsidR="00E64972" w:rsidRPr="00286216" w:rsidRDefault="00E64972" w:rsidP="00F6479F">
            <w:pPr>
              <w:pStyle w:val="StyleZakonu"/>
              <w:rPr>
                <w:color w:val="000000" w:themeColor="text1"/>
              </w:rPr>
            </w:pPr>
            <w:r w:rsidRPr="00286216">
              <w:rPr>
                <w:color w:val="000000" w:themeColor="text1"/>
              </w:rPr>
              <w:t>3. Юридична особа має право здійснювати емісію відсоткових та/або дисконтних облігацій на суму, що не перевищує трикратний розмір власного капіталу або розмір забезпечення, що надається їй з цією метою третіми особами.</w:t>
            </w:r>
          </w:p>
        </w:tc>
      </w:tr>
      <w:tr w:rsidR="00E64972" w:rsidRPr="00286216" w14:paraId="38C46336" w14:textId="77777777" w:rsidTr="00F6479F">
        <w:tc>
          <w:tcPr>
            <w:tcW w:w="576" w:type="dxa"/>
          </w:tcPr>
          <w:p w14:paraId="5B4F0B48" w14:textId="77777777" w:rsidR="00E64972" w:rsidRPr="00286216" w:rsidRDefault="00E64972" w:rsidP="00F6479F">
            <w:pPr>
              <w:pStyle w:val="StyleWisnow"/>
              <w:rPr>
                <w:color w:val="000000" w:themeColor="text1"/>
              </w:rPr>
            </w:pPr>
            <w:r w:rsidRPr="00286216">
              <w:rPr>
                <w:color w:val="000000" w:themeColor="text1"/>
              </w:rPr>
              <w:t>373.</w:t>
            </w:r>
          </w:p>
        </w:tc>
        <w:tc>
          <w:tcPr>
            <w:tcW w:w="4818" w:type="dxa"/>
          </w:tcPr>
          <w:p w14:paraId="0270BB93" w14:textId="77777777" w:rsidR="00E64972" w:rsidRPr="00286216" w:rsidRDefault="00E64972" w:rsidP="00F6479F">
            <w:pPr>
              <w:pStyle w:val="StyleZakonu"/>
              <w:rPr>
                <w:color w:val="000000" w:themeColor="text1"/>
              </w:rPr>
            </w:pPr>
            <w:r w:rsidRPr="00286216">
              <w:rPr>
                <w:color w:val="000000" w:themeColor="text1"/>
              </w:rPr>
              <w:t xml:space="preserve">4. Порядок емісії, обігу та викупу цільових корпоративних облігацій встановлюється Національною комісією з цінних паперів та фондового ринку. Рішення про емісію корпоративних облігацій приймається відповідним органом управління емітента згідно з нормами законів, що регулюють порядок створення, діяльності та припинення юридичних осіб відповідної </w:t>
            </w:r>
            <w:r w:rsidRPr="00286216">
              <w:rPr>
                <w:color w:val="000000" w:themeColor="text1"/>
              </w:rPr>
              <w:lastRenderedPageBreak/>
              <w:t>організаційно-правової форми.</w:t>
            </w:r>
          </w:p>
        </w:tc>
        <w:tc>
          <w:tcPr>
            <w:tcW w:w="3686" w:type="dxa"/>
          </w:tcPr>
          <w:p w14:paraId="39D8B7E4" w14:textId="77777777" w:rsidR="00E64972" w:rsidRPr="00286216" w:rsidRDefault="00E64972" w:rsidP="00F6479F">
            <w:pPr>
              <w:pStyle w:val="StyleProp"/>
              <w:rPr>
                <w:color w:val="000000" w:themeColor="text1"/>
                <w:szCs w:val="18"/>
              </w:rPr>
            </w:pPr>
          </w:p>
        </w:tc>
        <w:tc>
          <w:tcPr>
            <w:tcW w:w="1987" w:type="dxa"/>
          </w:tcPr>
          <w:p w14:paraId="4A13763A" w14:textId="77777777" w:rsidR="00E64972" w:rsidRPr="00286216" w:rsidRDefault="00E64972" w:rsidP="00F6479F">
            <w:pPr>
              <w:pStyle w:val="StyleWisnow"/>
              <w:rPr>
                <w:color w:val="000000" w:themeColor="text1"/>
              </w:rPr>
            </w:pPr>
          </w:p>
        </w:tc>
        <w:tc>
          <w:tcPr>
            <w:tcW w:w="4818" w:type="dxa"/>
          </w:tcPr>
          <w:p w14:paraId="67AB7C17" w14:textId="77777777" w:rsidR="00E64972" w:rsidRPr="00286216" w:rsidRDefault="00E64972" w:rsidP="00F6479F">
            <w:pPr>
              <w:pStyle w:val="StyleZakonu"/>
              <w:rPr>
                <w:color w:val="000000" w:themeColor="text1"/>
              </w:rPr>
            </w:pPr>
            <w:r w:rsidRPr="00286216">
              <w:rPr>
                <w:color w:val="000000" w:themeColor="text1"/>
              </w:rPr>
              <w:t xml:space="preserve">4. Порядок емісії, обігу та викупу цільових корпоративних облігацій встановлюється Національною комісією з цінних паперів та фондового ринку. Рішення про емісію корпоративних облігацій приймається відповідним органом управління емітента згідно із законами, що регулюють порядок створення, діяльності та припинення юридичних осіб відповідної </w:t>
            </w:r>
            <w:r w:rsidRPr="00286216">
              <w:rPr>
                <w:color w:val="000000" w:themeColor="text1"/>
              </w:rPr>
              <w:lastRenderedPageBreak/>
              <w:t>організаційно-правової форми.</w:t>
            </w:r>
          </w:p>
        </w:tc>
      </w:tr>
      <w:tr w:rsidR="00E64972" w:rsidRPr="00286216" w14:paraId="03D305BA" w14:textId="77777777" w:rsidTr="00F6479F">
        <w:tc>
          <w:tcPr>
            <w:tcW w:w="576" w:type="dxa"/>
          </w:tcPr>
          <w:p w14:paraId="611ED4D3" w14:textId="77777777" w:rsidR="00E64972" w:rsidRPr="00286216" w:rsidRDefault="00E64972" w:rsidP="00F6479F">
            <w:pPr>
              <w:pStyle w:val="StyleWisnow"/>
              <w:rPr>
                <w:color w:val="000000" w:themeColor="text1"/>
              </w:rPr>
            </w:pPr>
            <w:r w:rsidRPr="00286216">
              <w:rPr>
                <w:color w:val="000000" w:themeColor="text1"/>
              </w:rPr>
              <w:lastRenderedPageBreak/>
              <w:t>374.</w:t>
            </w:r>
          </w:p>
        </w:tc>
        <w:tc>
          <w:tcPr>
            <w:tcW w:w="4818" w:type="dxa"/>
          </w:tcPr>
          <w:p w14:paraId="76D7840E" w14:textId="77777777" w:rsidR="00E64972" w:rsidRPr="00286216" w:rsidRDefault="00E64972" w:rsidP="00F6479F">
            <w:pPr>
              <w:pStyle w:val="StyleZakonu"/>
              <w:rPr>
                <w:color w:val="000000" w:themeColor="text1"/>
              </w:rPr>
            </w:pPr>
            <w:r w:rsidRPr="00286216">
              <w:rPr>
                <w:color w:val="000000" w:themeColor="text1"/>
              </w:rPr>
              <w:t>Кошти, залучені від емісії цільових корпоративних облігацій, використовуються на цілі, визначені проспектом або рішенням про емісію таких облігацій.</w:t>
            </w:r>
          </w:p>
        </w:tc>
        <w:tc>
          <w:tcPr>
            <w:tcW w:w="3686" w:type="dxa"/>
          </w:tcPr>
          <w:p w14:paraId="44F21262" w14:textId="77777777" w:rsidR="00E64972" w:rsidRPr="00286216" w:rsidRDefault="00E64972" w:rsidP="00F6479F">
            <w:pPr>
              <w:pStyle w:val="StyleProp"/>
              <w:rPr>
                <w:color w:val="000000" w:themeColor="text1"/>
                <w:szCs w:val="18"/>
              </w:rPr>
            </w:pPr>
          </w:p>
        </w:tc>
        <w:tc>
          <w:tcPr>
            <w:tcW w:w="1987" w:type="dxa"/>
          </w:tcPr>
          <w:p w14:paraId="15B818D7" w14:textId="77777777" w:rsidR="00E64972" w:rsidRPr="00286216" w:rsidRDefault="00E64972" w:rsidP="00F6479F">
            <w:pPr>
              <w:pStyle w:val="StyleWisnow"/>
              <w:rPr>
                <w:color w:val="000000" w:themeColor="text1"/>
              </w:rPr>
            </w:pPr>
          </w:p>
        </w:tc>
        <w:tc>
          <w:tcPr>
            <w:tcW w:w="4818" w:type="dxa"/>
          </w:tcPr>
          <w:p w14:paraId="529D9E69" w14:textId="77777777" w:rsidR="00E64972" w:rsidRPr="00286216" w:rsidRDefault="00E64972" w:rsidP="00F6479F">
            <w:pPr>
              <w:pStyle w:val="StyleZakonu"/>
              <w:rPr>
                <w:color w:val="000000" w:themeColor="text1"/>
              </w:rPr>
            </w:pPr>
            <w:r w:rsidRPr="00286216">
              <w:rPr>
                <w:color w:val="000000" w:themeColor="text1"/>
              </w:rPr>
              <w:t>Кошти, залучені від емісії цільових корпоративних облігацій, використовуються на цілі, визначені проспектом або рішенням про емісію таких облігацій.</w:t>
            </w:r>
          </w:p>
        </w:tc>
      </w:tr>
      <w:tr w:rsidR="00E64972" w:rsidRPr="00286216" w14:paraId="32A2D7CE" w14:textId="77777777" w:rsidTr="00F6479F">
        <w:tc>
          <w:tcPr>
            <w:tcW w:w="576" w:type="dxa"/>
          </w:tcPr>
          <w:p w14:paraId="518F7368" w14:textId="77777777" w:rsidR="00E64972" w:rsidRPr="00286216" w:rsidRDefault="00E64972" w:rsidP="00F6479F">
            <w:pPr>
              <w:pStyle w:val="StyleWisnow"/>
              <w:rPr>
                <w:color w:val="000000" w:themeColor="text1"/>
              </w:rPr>
            </w:pPr>
            <w:r w:rsidRPr="00286216">
              <w:rPr>
                <w:color w:val="000000" w:themeColor="text1"/>
              </w:rPr>
              <w:t>375.</w:t>
            </w:r>
          </w:p>
        </w:tc>
        <w:tc>
          <w:tcPr>
            <w:tcW w:w="4818" w:type="dxa"/>
          </w:tcPr>
          <w:p w14:paraId="074B3786" w14:textId="77777777" w:rsidR="00E64972" w:rsidRPr="00286216" w:rsidRDefault="00E64972" w:rsidP="00F6479F">
            <w:pPr>
              <w:pStyle w:val="StyleZakonu"/>
              <w:rPr>
                <w:color w:val="000000" w:themeColor="text1"/>
              </w:rPr>
            </w:pPr>
            <w:r w:rsidRPr="00286216">
              <w:rPr>
                <w:color w:val="000000" w:themeColor="text1"/>
              </w:rPr>
              <w:t>5. Реєстрацію випуску корпоративних облігацій здійснює Національна комісія з цінних паперів та фондового ринку в установленому нею порядку.</w:t>
            </w:r>
          </w:p>
        </w:tc>
        <w:tc>
          <w:tcPr>
            <w:tcW w:w="3686" w:type="dxa"/>
          </w:tcPr>
          <w:p w14:paraId="6B9DC1E1" w14:textId="77777777" w:rsidR="00E64972" w:rsidRPr="00286216" w:rsidRDefault="00E64972" w:rsidP="00F6479F">
            <w:pPr>
              <w:pStyle w:val="StyleProp"/>
              <w:rPr>
                <w:color w:val="000000" w:themeColor="text1"/>
                <w:szCs w:val="18"/>
              </w:rPr>
            </w:pPr>
          </w:p>
        </w:tc>
        <w:tc>
          <w:tcPr>
            <w:tcW w:w="1987" w:type="dxa"/>
          </w:tcPr>
          <w:p w14:paraId="1E23C967" w14:textId="77777777" w:rsidR="00E64972" w:rsidRPr="00286216" w:rsidRDefault="00E64972" w:rsidP="00F6479F">
            <w:pPr>
              <w:pStyle w:val="StyleWisnow"/>
              <w:rPr>
                <w:color w:val="000000" w:themeColor="text1"/>
              </w:rPr>
            </w:pPr>
          </w:p>
        </w:tc>
        <w:tc>
          <w:tcPr>
            <w:tcW w:w="4818" w:type="dxa"/>
          </w:tcPr>
          <w:p w14:paraId="5DF24736" w14:textId="2CAC94A3" w:rsidR="00E64972" w:rsidRPr="00286216" w:rsidRDefault="00E64972" w:rsidP="00F6479F">
            <w:pPr>
              <w:pStyle w:val="StyleZakonu"/>
              <w:rPr>
                <w:color w:val="000000" w:themeColor="text1"/>
              </w:rPr>
            </w:pPr>
            <w:r w:rsidRPr="00286216">
              <w:rPr>
                <w:color w:val="000000" w:themeColor="text1"/>
              </w:rPr>
              <w:t>5. Реєстрацію випуску корпоративних облігацій здійснює Національна комісія з цінних паперів та фондового ринку у встановленому нею порядку.</w:t>
            </w:r>
          </w:p>
        </w:tc>
      </w:tr>
      <w:tr w:rsidR="00E64972" w:rsidRPr="00286216" w14:paraId="7835780C" w14:textId="77777777" w:rsidTr="00F6479F">
        <w:tc>
          <w:tcPr>
            <w:tcW w:w="576" w:type="dxa"/>
          </w:tcPr>
          <w:p w14:paraId="2C3DD6F9" w14:textId="77777777" w:rsidR="00E64972" w:rsidRPr="00286216" w:rsidRDefault="00E64972" w:rsidP="00F6479F">
            <w:pPr>
              <w:pStyle w:val="StyleWisnow"/>
              <w:rPr>
                <w:color w:val="000000" w:themeColor="text1"/>
              </w:rPr>
            </w:pPr>
            <w:r w:rsidRPr="00286216">
              <w:rPr>
                <w:color w:val="000000" w:themeColor="text1"/>
              </w:rPr>
              <w:t>376.</w:t>
            </w:r>
          </w:p>
        </w:tc>
        <w:tc>
          <w:tcPr>
            <w:tcW w:w="4818" w:type="dxa"/>
          </w:tcPr>
          <w:p w14:paraId="5B6CDFD4" w14:textId="77777777" w:rsidR="00E64972" w:rsidRPr="00286216" w:rsidRDefault="00E64972" w:rsidP="00F6479F">
            <w:pPr>
              <w:pStyle w:val="StyleZakonu"/>
              <w:rPr>
                <w:color w:val="000000" w:themeColor="text1"/>
              </w:rPr>
            </w:pPr>
            <w:r w:rsidRPr="00286216">
              <w:rPr>
                <w:color w:val="000000" w:themeColor="text1"/>
              </w:rPr>
              <w:t>6. Після початку розміщення корпоративних облігацій зміни до проспекту або рішення про емісію цінних паперів в частині документу про цінні папери або заміни емітента вносяться емітентом за згодою усіх власників облігацій відповідного випуску або зборів власників облігацій у порядку, передбаченому розділом VII цього Закону. У випадках, передбачених частиною другою статті 96 цього Закону, зміни до документу про цінні папери вносяться емітентом за згодою адміністратора. Зміни до проспекту або рішення про емісію цінних паперів, що не стосуються документу про цінні папери або заміни емітента вносяться емітентом самостійно.</w:t>
            </w:r>
          </w:p>
        </w:tc>
        <w:tc>
          <w:tcPr>
            <w:tcW w:w="3686" w:type="dxa"/>
          </w:tcPr>
          <w:p w14:paraId="7AD3ABE4" w14:textId="77777777" w:rsidR="00E64972" w:rsidRPr="00286216" w:rsidRDefault="00E64972" w:rsidP="00F6479F">
            <w:pPr>
              <w:pStyle w:val="StyleProp"/>
              <w:rPr>
                <w:color w:val="000000" w:themeColor="text1"/>
                <w:szCs w:val="18"/>
              </w:rPr>
            </w:pPr>
          </w:p>
        </w:tc>
        <w:tc>
          <w:tcPr>
            <w:tcW w:w="1987" w:type="dxa"/>
          </w:tcPr>
          <w:p w14:paraId="25764EE7" w14:textId="77777777" w:rsidR="00E64972" w:rsidRPr="00286216" w:rsidRDefault="00E64972" w:rsidP="00F6479F">
            <w:pPr>
              <w:pStyle w:val="StyleWisnow"/>
              <w:rPr>
                <w:color w:val="000000" w:themeColor="text1"/>
              </w:rPr>
            </w:pPr>
          </w:p>
        </w:tc>
        <w:tc>
          <w:tcPr>
            <w:tcW w:w="4818" w:type="dxa"/>
          </w:tcPr>
          <w:p w14:paraId="46BDBE2C" w14:textId="73CEF399" w:rsidR="00E64972" w:rsidRPr="00286216" w:rsidRDefault="00E64972" w:rsidP="00F6479F">
            <w:pPr>
              <w:pStyle w:val="StyleZakonu"/>
              <w:rPr>
                <w:color w:val="000000" w:themeColor="text1"/>
              </w:rPr>
            </w:pPr>
            <w:r w:rsidRPr="00286216">
              <w:rPr>
                <w:color w:val="000000" w:themeColor="text1"/>
              </w:rPr>
              <w:t>6. Після початку розміщення корпоративних облігацій зміни до проспекту або рішення про емісію цінних паперів у частині документа про цінні папери або заміни емітента вносяться емітентом за згодою усіх власників облігацій відповідного випуску або зборів власників облігацій у порядку, передбаченому розділом VІII цього Закону. У випадках, передбачених частиною другою статті 100 цього Закону, зміни до документа про цінні папери вносяться емітентом за згодою адміністратора. Зміни до проспекту або рішення про емісію цінних паперів, що не стосуються документа про цінні папери або заміни емітента, вносяться емітентом самостійно.</w:t>
            </w:r>
          </w:p>
        </w:tc>
      </w:tr>
      <w:tr w:rsidR="00E64972" w:rsidRPr="00286216" w14:paraId="389E7FDF" w14:textId="77777777" w:rsidTr="00F6479F">
        <w:tc>
          <w:tcPr>
            <w:tcW w:w="576" w:type="dxa"/>
          </w:tcPr>
          <w:p w14:paraId="364B4AF0" w14:textId="77777777" w:rsidR="00E64972" w:rsidRPr="00286216" w:rsidRDefault="00E64972" w:rsidP="00F6479F">
            <w:pPr>
              <w:pStyle w:val="StyleWisnow"/>
              <w:rPr>
                <w:color w:val="000000" w:themeColor="text1"/>
              </w:rPr>
            </w:pPr>
            <w:r w:rsidRPr="00286216">
              <w:rPr>
                <w:color w:val="000000" w:themeColor="text1"/>
              </w:rPr>
              <w:t>377.</w:t>
            </w:r>
          </w:p>
        </w:tc>
        <w:tc>
          <w:tcPr>
            <w:tcW w:w="4818" w:type="dxa"/>
          </w:tcPr>
          <w:p w14:paraId="0186A64B" w14:textId="77777777" w:rsidR="00E64972" w:rsidRPr="00286216" w:rsidRDefault="00E64972" w:rsidP="00F6479F">
            <w:pPr>
              <w:pStyle w:val="StyleZakonu"/>
              <w:rPr>
                <w:color w:val="000000" w:themeColor="text1"/>
              </w:rPr>
            </w:pPr>
            <w:r w:rsidRPr="00286216">
              <w:rPr>
                <w:color w:val="000000" w:themeColor="text1"/>
              </w:rPr>
              <w:t>7. Юридична особа, яка є емітентом корпоративних облігацій, зобов’язана до моменту скасування Національною комісією з цінних паперів та фондового ринку всіх випусків корпоративних облігацій, емітентом яких вона є, вести перелік осіб, які здійснюють контроль над такою юридичною особою.</w:t>
            </w:r>
          </w:p>
        </w:tc>
        <w:tc>
          <w:tcPr>
            <w:tcW w:w="3686" w:type="dxa"/>
          </w:tcPr>
          <w:p w14:paraId="25A63B34" w14:textId="77777777" w:rsidR="00E64972" w:rsidRPr="00286216" w:rsidRDefault="00E64972" w:rsidP="00F6479F">
            <w:pPr>
              <w:pStyle w:val="StyleProp"/>
              <w:rPr>
                <w:color w:val="000000" w:themeColor="text1"/>
                <w:szCs w:val="18"/>
              </w:rPr>
            </w:pPr>
          </w:p>
        </w:tc>
        <w:tc>
          <w:tcPr>
            <w:tcW w:w="1987" w:type="dxa"/>
          </w:tcPr>
          <w:p w14:paraId="7539F6F5" w14:textId="77777777" w:rsidR="00E64972" w:rsidRPr="00286216" w:rsidRDefault="00E64972" w:rsidP="00F6479F">
            <w:pPr>
              <w:pStyle w:val="StyleWisnow"/>
              <w:rPr>
                <w:color w:val="000000" w:themeColor="text1"/>
              </w:rPr>
            </w:pPr>
          </w:p>
        </w:tc>
        <w:tc>
          <w:tcPr>
            <w:tcW w:w="4818" w:type="dxa"/>
          </w:tcPr>
          <w:p w14:paraId="4BC3FBC5" w14:textId="77777777" w:rsidR="00E64972" w:rsidRPr="00286216" w:rsidRDefault="00E64972" w:rsidP="00F6479F">
            <w:pPr>
              <w:pStyle w:val="StyleZakonu"/>
              <w:rPr>
                <w:color w:val="000000" w:themeColor="text1"/>
              </w:rPr>
            </w:pPr>
            <w:r w:rsidRPr="00286216">
              <w:rPr>
                <w:color w:val="000000" w:themeColor="text1"/>
              </w:rPr>
              <w:t>7. Юридична особа, яка є емітентом корпоративних облігацій, зобов’язана до моменту скасування Національною комісією з цінних паперів та фондового ринку всіх випусків корпоративних облігацій, емітентом яких вона є, вести перелік осіб, які здійснюють контроль над такою юридичною особою.</w:t>
            </w:r>
          </w:p>
        </w:tc>
      </w:tr>
      <w:tr w:rsidR="00E64972" w:rsidRPr="00286216" w14:paraId="1D51D271" w14:textId="77777777" w:rsidTr="00F6479F">
        <w:tc>
          <w:tcPr>
            <w:tcW w:w="576" w:type="dxa"/>
          </w:tcPr>
          <w:p w14:paraId="339C568B" w14:textId="77777777" w:rsidR="00E64972" w:rsidRPr="00286216" w:rsidRDefault="00E64972" w:rsidP="00F6479F">
            <w:pPr>
              <w:pStyle w:val="StyleWisnow"/>
              <w:rPr>
                <w:color w:val="000000" w:themeColor="text1"/>
              </w:rPr>
            </w:pPr>
            <w:r w:rsidRPr="00286216">
              <w:rPr>
                <w:color w:val="000000" w:themeColor="text1"/>
              </w:rPr>
              <w:t>378.</w:t>
            </w:r>
          </w:p>
        </w:tc>
        <w:tc>
          <w:tcPr>
            <w:tcW w:w="4818" w:type="dxa"/>
          </w:tcPr>
          <w:p w14:paraId="0FB0E5BF" w14:textId="77777777" w:rsidR="00E64972" w:rsidRPr="00286216" w:rsidRDefault="00E64972" w:rsidP="00F6479F">
            <w:pPr>
              <w:pStyle w:val="StyleZakonu"/>
              <w:rPr>
                <w:color w:val="000000" w:themeColor="text1"/>
              </w:rPr>
            </w:pPr>
            <w:r w:rsidRPr="00286216">
              <w:rPr>
                <w:color w:val="000000" w:themeColor="text1"/>
              </w:rPr>
              <w:t>8.Вимоги, встановлені частиною 3 цієї статті не поширюються на Фонд гарантування вкладів фізичних осіб як емітента корпоративних облігацій.</w:t>
            </w:r>
          </w:p>
        </w:tc>
        <w:tc>
          <w:tcPr>
            <w:tcW w:w="3686" w:type="dxa"/>
          </w:tcPr>
          <w:p w14:paraId="106A7C4C" w14:textId="77777777" w:rsidR="00E64972" w:rsidRPr="00286216" w:rsidRDefault="00E64972" w:rsidP="00F6479F">
            <w:pPr>
              <w:pStyle w:val="StyleProp"/>
              <w:rPr>
                <w:color w:val="000000" w:themeColor="text1"/>
                <w:szCs w:val="18"/>
              </w:rPr>
            </w:pPr>
          </w:p>
        </w:tc>
        <w:tc>
          <w:tcPr>
            <w:tcW w:w="1987" w:type="dxa"/>
          </w:tcPr>
          <w:p w14:paraId="602F3404" w14:textId="77777777" w:rsidR="00E64972" w:rsidRPr="00286216" w:rsidRDefault="00E64972" w:rsidP="00F6479F">
            <w:pPr>
              <w:pStyle w:val="StyleWisnow"/>
              <w:rPr>
                <w:color w:val="000000" w:themeColor="text1"/>
              </w:rPr>
            </w:pPr>
          </w:p>
        </w:tc>
        <w:tc>
          <w:tcPr>
            <w:tcW w:w="4818" w:type="dxa"/>
          </w:tcPr>
          <w:p w14:paraId="0DEB7771" w14:textId="77777777" w:rsidR="00E64972" w:rsidRPr="00286216" w:rsidRDefault="00E64972" w:rsidP="00F6479F">
            <w:pPr>
              <w:pStyle w:val="StyleZakonu"/>
              <w:rPr>
                <w:color w:val="000000" w:themeColor="text1"/>
              </w:rPr>
            </w:pPr>
            <w:r w:rsidRPr="00286216">
              <w:rPr>
                <w:color w:val="000000" w:themeColor="text1"/>
              </w:rPr>
              <w:t>8. Вимоги, встановлені частиною третьою цієї статті, не поширюються на Фонд гарантування вкладів фізичних осіб як емітента корпоративних облігацій.</w:t>
            </w:r>
          </w:p>
        </w:tc>
      </w:tr>
      <w:tr w:rsidR="00E64972" w:rsidRPr="00286216" w14:paraId="027409DD" w14:textId="77777777" w:rsidTr="00F6479F">
        <w:tc>
          <w:tcPr>
            <w:tcW w:w="576" w:type="dxa"/>
          </w:tcPr>
          <w:p w14:paraId="6702E8DA" w14:textId="77777777" w:rsidR="00E64972" w:rsidRPr="00286216" w:rsidRDefault="00E64972" w:rsidP="00F6479F">
            <w:pPr>
              <w:pStyle w:val="StyleWisnow"/>
              <w:rPr>
                <w:color w:val="000000" w:themeColor="text1"/>
              </w:rPr>
            </w:pPr>
            <w:r w:rsidRPr="00286216">
              <w:rPr>
                <w:color w:val="000000" w:themeColor="text1"/>
              </w:rPr>
              <w:t>379.</w:t>
            </w:r>
          </w:p>
        </w:tc>
        <w:tc>
          <w:tcPr>
            <w:tcW w:w="4818" w:type="dxa"/>
          </w:tcPr>
          <w:p w14:paraId="75ABEF0C" w14:textId="77777777" w:rsidR="00E64972" w:rsidRPr="00286216" w:rsidRDefault="00E64972" w:rsidP="00F6479F">
            <w:pPr>
              <w:pStyle w:val="StyleZakonu"/>
              <w:rPr>
                <w:color w:val="000000" w:themeColor="text1"/>
              </w:rPr>
            </w:pPr>
            <w:r w:rsidRPr="00286216">
              <w:rPr>
                <w:color w:val="000000" w:themeColor="text1"/>
              </w:rPr>
              <w:t>Стаття 18. Цільові корпоративні облігації, виконання зобов’язань за якими здійснюється шляхом передачі об’єкта (частини об’єкта) житлового будівництва</w:t>
            </w:r>
          </w:p>
        </w:tc>
        <w:tc>
          <w:tcPr>
            <w:tcW w:w="3686" w:type="dxa"/>
          </w:tcPr>
          <w:p w14:paraId="5FFEA93A" w14:textId="224F23F0" w:rsidR="00E64972" w:rsidRPr="00286216" w:rsidRDefault="00E64972" w:rsidP="00F6479F">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265</w:t>
            </w:r>
            <w:r w:rsidRPr="00286216">
              <w:rPr>
                <w:color w:val="000000" w:themeColor="text1"/>
                <w:spacing w:val="-4"/>
              </w:rPr>
              <w:fldChar w:fldCharType="end"/>
            </w:r>
            <w:r w:rsidRPr="00286216">
              <w:rPr>
                <w:color w:val="000000" w:themeColor="text1"/>
                <w:spacing w:val="-4"/>
              </w:rPr>
              <w:t>-Н.д.Бєлькова О.В. (Реєстр.картка №403)</w:t>
            </w:r>
          </w:p>
          <w:p w14:paraId="47AEF84D" w14:textId="77777777" w:rsidR="00E64972" w:rsidRPr="00286216" w:rsidRDefault="00E64972" w:rsidP="00F6479F">
            <w:pPr>
              <w:pStyle w:val="StyleProp"/>
              <w:spacing w:line="190" w:lineRule="exact"/>
              <w:rPr>
                <w:color w:val="000000" w:themeColor="text1"/>
                <w:spacing w:val="-2"/>
              </w:rPr>
            </w:pPr>
            <w:r w:rsidRPr="00286216">
              <w:rPr>
                <w:color w:val="000000" w:themeColor="text1"/>
                <w:spacing w:val="-2"/>
              </w:rPr>
              <w:t>У назві статті 18 слова "виконання зобовʼязань за якими" замінити словами "погашення яких".</w:t>
            </w:r>
          </w:p>
        </w:tc>
        <w:tc>
          <w:tcPr>
            <w:tcW w:w="1987" w:type="dxa"/>
          </w:tcPr>
          <w:p w14:paraId="1E7880D6"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0FF34393" w14:textId="77777777" w:rsidR="00E64972" w:rsidRPr="00286216" w:rsidRDefault="00E64972" w:rsidP="00F6479F">
            <w:pPr>
              <w:pStyle w:val="StyleZakonu"/>
              <w:rPr>
                <w:color w:val="000000" w:themeColor="text1"/>
              </w:rPr>
            </w:pPr>
            <w:r w:rsidRPr="00286216">
              <w:rPr>
                <w:color w:val="000000" w:themeColor="text1"/>
              </w:rPr>
              <w:t xml:space="preserve">Стаття 13. Цільові корпоративні облігації, </w:t>
            </w:r>
            <w:r w:rsidRPr="00286216">
              <w:rPr>
                <w:color w:val="000000" w:themeColor="text1"/>
                <w:spacing w:val="-2"/>
              </w:rPr>
              <w:t>погашення яких</w:t>
            </w:r>
            <w:r w:rsidRPr="00286216" w:rsidDel="00A86D61">
              <w:rPr>
                <w:color w:val="000000" w:themeColor="text1"/>
              </w:rPr>
              <w:t xml:space="preserve"> </w:t>
            </w:r>
            <w:r w:rsidRPr="00286216">
              <w:rPr>
                <w:color w:val="000000" w:themeColor="text1"/>
              </w:rPr>
              <w:t>здійснюється шляхом передачі об’єкта (частини об’єкта) житлового будівництва</w:t>
            </w:r>
          </w:p>
        </w:tc>
      </w:tr>
      <w:tr w:rsidR="00E64972" w:rsidRPr="00286216" w14:paraId="5A157D43" w14:textId="77777777" w:rsidTr="00F6479F">
        <w:tc>
          <w:tcPr>
            <w:tcW w:w="576" w:type="dxa"/>
          </w:tcPr>
          <w:p w14:paraId="38AB2440" w14:textId="77777777" w:rsidR="00E64972" w:rsidRPr="00286216" w:rsidRDefault="00E64972" w:rsidP="00F6479F">
            <w:pPr>
              <w:pStyle w:val="StyleWisnow"/>
              <w:rPr>
                <w:color w:val="000000" w:themeColor="text1"/>
              </w:rPr>
            </w:pPr>
            <w:r w:rsidRPr="00286216">
              <w:rPr>
                <w:color w:val="000000" w:themeColor="text1"/>
              </w:rPr>
              <w:t>380.</w:t>
            </w:r>
          </w:p>
        </w:tc>
        <w:tc>
          <w:tcPr>
            <w:tcW w:w="4818" w:type="dxa"/>
          </w:tcPr>
          <w:p w14:paraId="189A713D" w14:textId="77777777" w:rsidR="00E64972" w:rsidRPr="00286216" w:rsidRDefault="00E64972" w:rsidP="00F6479F">
            <w:pPr>
              <w:pStyle w:val="StyleZakonu"/>
              <w:rPr>
                <w:color w:val="000000" w:themeColor="text1"/>
              </w:rPr>
            </w:pPr>
            <w:r w:rsidRPr="00286216">
              <w:rPr>
                <w:color w:val="000000" w:themeColor="text1"/>
              </w:rPr>
              <w:t xml:space="preserve">1. Емісію цільових корпоративних облігацій, погашення за якими здійснюється шляхом передачі об’єкта (частини об’єкта) житлового будівництва, може здійснювати юридична особа, яка згідно із законодавством має право на виконання функцій замовника будівництва такого об’єкта, або юридична особа, що уклала договір участі у будівництві житла з органами виконавчої влади, органами місцевого самоврядування, що мають право власності, оренди </w:t>
            </w:r>
            <w:r w:rsidRPr="00286216">
              <w:rPr>
                <w:color w:val="000000" w:themeColor="text1"/>
              </w:rPr>
              <w:lastRenderedPageBreak/>
              <w:t>чи постійного користування земельною ділянкою, на якій буде розташовано об’єкт житлового будівництва, який (частина якого) передаватиметься власникам цільових корпоративних облігацій при їх погашенні.</w:t>
            </w:r>
          </w:p>
        </w:tc>
        <w:tc>
          <w:tcPr>
            <w:tcW w:w="3686" w:type="dxa"/>
          </w:tcPr>
          <w:p w14:paraId="77F6EE4C" w14:textId="32C0FDA0" w:rsidR="00E64972" w:rsidRPr="00286216" w:rsidRDefault="00E64972" w:rsidP="00F6479F">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266</w:t>
            </w:r>
            <w:r w:rsidRPr="00286216">
              <w:rPr>
                <w:color w:val="000000" w:themeColor="text1"/>
                <w:spacing w:val="-4"/>
              </w:rPr>
              <w:fldChar w:fldCharType="end"/>
            </w:r>
            <w:r w:rsidRPr="00286216">
              <w:rPr>
                <w:color w:val="000000" w:themeColor="text1"/>
                <w:spacing w:val="-4"/>
              </w:rPr>
              <w:t>-Н.д.Бєлькова О.В. (Реєстр.картка №403)</w:t>
            </w:r>
          </w:p>
          <w:p w14:paraId="5720E234" w14:textId="77777777" w:rsidR="00E64972" w:rsidRPr="00286216" w:rsidRDefault="00E64972" w:rsidP="00F6479F">
            <w:pPr>
              <w:pStyle w:val="StyleProp"/>
              <w:rPr>
                <w:color w:val="000000" w:themeColor="text1"/>
                <w:szCs w:val="18"/>
              </w:rPr>
            </w:pPr>
            <w:r w:rsidRPr="00286216">
              <w:rPr>
                <w:color w:val="000000" w:themeColor="text1"/>
                <w:spacing w:val="-2"/>
              </w:rPr>
              <w:t>В частині першій статті 18 слова "за якими" замінити словом "яких", а слова "</w:t>
            </w:r>
            <w:r w:rsidRPr="00286216">
              <w:rPr>
                <w:color w:val="000000" w:themeColor="text1"/>
              </w:rPr>
              <w:t>на якій буде розташовано об’єкт житлового будівництва" замінити словами "призначеної для спорудження".</w:t>
            </w:r>
          </w:p>
        </w:tc>
        <w:tc>
          <w:tcPr>
            <w:tcW w:w="1987" w:type="dxa"/>
          </w:tcPr>
          <w:p w14:paraId="2392C3D4"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506F54D0" w14:textId="6564323C" w:rsidR="00E64972" w:rsidRPr="00286216" w:rsidRDefault="00E64972" w:rsidP="00F6479F">
            <w:pPr>
              <w:pStyle w:val="StyleZakonu"/>
              <w:rPr>
                <w:color w:val="000000" w:themeColor="text1"/>
              </w:rPr>
            </w:pPr>
            <w:r w:rsidRPr="00286216">
              <w:rPr>
                <w:color w:val="000000" w:themeColor="text1"/>
              </w:rPr>
              <w:t xml:space="preserve">1. Емісію цільових корпоративних облігацій, погашення яких здійснюється шляхом передачі об’єкта (частини об’єкта) житлового будівництва, може здійснювати юридична особа, яка згідно із законодавством має право на виконання функцій замовника будівництва такого об’єкта, або юридична особа, що уклала договір участі у будівництві житла з органами виконавчої влади, органами місцевого самоврядування, що мають право власності, оренди </w:t>
            </w:r>
            <w:r w:rsidRPr="00286216">
              <w:rPr>
                <w:color w:val="000000" w:themeColor="text1"/>
              </w:rPr>
              <w:lastRenderedPageBreak/>
              <w:t>чи постійного користування земельною ділянкою, призначеною для спорудження</w:t>
            </w:r>
            <w:r w:rsidRPr="00286216" w:rsidDel="00A86D61">
              <w:rPr>
                <w:color w:val="000000" w:themeColor="text1"/>
              </w:rPr>
              <w:t xml:space="preserve"> </w:t>
            </w:r>
            <w:r w:rsidRPr="00286216">
              <w:rPr>
                <w:color w:val="000000" w:themeColor="text1"/>
              </w:rPr>
              <w:t>об’єкта житлового будівництва, який (частина якого) передаватиметься власникам цільових корпоративних облігацій при їх погашенні.</w:t>
            </w:r>
          </w:p>
        </w:tc>
      </w:tr>
      <w:tr w:rsidR="00E64972" w:rsidRPr="00286216" w14:paraId="15AFCE51" w14:textId="77777777" w:rsidTr="00F6479F">
        <w:tc>
          <w:tcPr>
            <w:tcW w:w="576" w:type="dxa"/>
          </w:tcPr>
          <w:p w14:paraId="05735B0B" w14:textId="77777777" w:rsidR="00E64972" w:rsidRPr="00286216" w:rsidRDefault="00E64972" w:rsidP="00F6479F">
            <w:pPr>
              <w:pStyle w:val="StyleWisnow"/>
              <w:rPr>
                <w:color w:val="000000" w:themeColor="text1"/>
              </w:rPr>
            </w:pPr>
            <w:r w:rsidRPr="00286216">
              <w:rPr>
                <w:color w:val="000000" w:themeColor="text1"/>
              </w:rPr>
              <w:lastRenderedPageBreak/>
              <w:t>381.</w:t>
            </w:r>
          </w:p>
        </w:tc>
        <w:tc>
          <w:tcPr>
            <w:tcW w:w="4818" w:type="dxa"/>
          </w:tcPr>
          <w:p w14:paraId="35787775" w14:textId="77777777" w:rsidR="00E64972" w:rsidRPr="00286216" w:rsidRDefault="00E64972" w:rsidP="00F6479F">
            <w:pPr>
              <w:pStyle w:val="StyleZakonu"/>
              <w:rPr>
                <w:color w:val="000000" w:themeColor="text1"/>
              </w:rPr>
            </w:pPr>
            <w:r w:rsidRPr="00286216">
              <w:rPr>
                <w:color w:val="000000" w:themeColor="text1"/>
              </w:rPr>
              <w:t>2. Емітент цільових корпоративних облігацій, погашення за якими здійснюється шляхом передачі об’єкта (частини об’єкта) житлового будівництва, не має права вчиняти будь-які дії, наслідком яких може бути встановлення обтяження на такий об’єкт (частину об’єкта) житлового будівництва, земельну ділянку, яка призначена для спорудження об’єкта житлового будівництва, та майнові права на них.</w:t>
            </w:r>
          </w:p>
        </w:tc>
        <w:tc>
          <w:tcPr>
            <w:tcW w:w="3686" w:type="dxa"/>
          </w:tcPr>
          <w:p w14:paraId="698BA1C3" w14:textId="02EFA70A" w:rsidR="00E64972" w:rsidRPr="00286216" w:rsidRDefault="00E64972" w:rsidP="00F6479F">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267</w:t>
            </w:r>
            <w:r w:rsidRPr="00286216">
              <w:rPr>
                <w:color w:val="000000" w:themeColor="text1"/>
                <w:spacing w:val="-4"/>
              </w:rPr>
              <w:fldChar w:fldCharType="end"/>
            </w:r>
            <w:r w:rsidRPr="00286216">
              <w:rPr>
                <w:color w:val="000000" w:themeColor="text1"/>
                <w:spacing w:val="-4"/>
              </w:rPr>
              <w:t>-Н.д.Бєлькова О.В. (Реєстр.картка №403)</w:t>
            </w:r>
          </w:p>
          <w:p w14:paraId="2CC9A303" w14:textId="77777777" w:rsidR="00E64972" w:rsidRPr="00286216" w:rsidRDefault="00E64972" w:rsidP="00F6479F">
            <w:pPr>
              <w:pStyle w:val="StyleProp"/>
              <w:rPr>
                <w:color w:val="000000" w:themeColor="text1"/>
                <w:szCs w:val="18"/>
              </w:rPr>
            </w:pPr>
            <w:r w:rsidRPr="00286216">
              <w:rPr>
                <w:color w:val="000000" w:themeColor="text1"/>
                <w:spacing w:val="-2"/>
              </w:rPr>
              <w:t>В частині другій статті 18 слова "за якими" замінити словом "яких", слова "яка призначена" у частині другій та третій</w:t>
            </w:r>
            <w:r w:rsidRPr="00286216">
              <w:rPr>
                <w:color w:val="000000" w:themeColor="text1"/>
              </w:rPr>
              <w:t xml:space="preserve"> замінити словом "призначену" у відоповідному відмінку, а також перенести останнє речення частини третьої до абзацу другого цієї частини.</w:t>
            </w:r>
          </w:p>
        </w:tc>
        <w:tc>
          <w:tcPr>
            <w:tcW w:w="1987" w:type="dxa"/>
          </w:tcPr>
          <w:p w14:paraId="4E7F7684"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0AF28A49" w14:textId="77777777" w:rsidR="00E64972" w:rsidRPr="00286216" w:rsidRDefault="00E64972" w:rsidP="00F6479F">
            <w:pPr>
              <w:pStyle w:val="StyleZakonu"/>
              <w:rPr>
                <w:color w:val="000000" w:themeColor="text1"/>
              </w:rPr>
            </w:pPr>
            <w:r w:rsidRPr="00286216">
              <w:rPr>
                <w:color w:val="000000" w:themeColor="text1"/>
              </w:rPr>
              <w:t>2. Емітент цільових корпоративних облігацій, погашення яких здійснюється шляхом передачі об’єкта (частини об’єкта) житлового будівництва, не має права вчиняти будь-які дії, наслідком яких може бути встановлення обтяження на такий об’єкт (частину об’єкта) житлового будівництва, земельну ділянку, призначену для спорудження об’єкта житлового будівництва, та майнові права на них.</w:t>
            </w:r>
          </w:p>
        </w:tc>
      </w:tr>
      <w:tr w:rsidR="00E64972" w:rsidRPr="00286216" w14:paraId="0A56DF4C" w14:textId="77777777" w:rsidTr="00F6479F">
        <w:tc>
          <w:tcPr>
            <w:tcW w:w="576" w:type="dxa"/>
          </w:tcPr>
          <w:p w14:paraId="148AAAF5" w14:textId="77777777" w:rsidR="00E64972" w:rsidRPr="00286216" w:rsidRDefault="00E64972" w:rsidP="00F6479F">
            <w:pPr>
              <w:pStyle w:val="StyleWisnow"/>
              <w:rPr>
                <w:color w:val="000000" w:themeColor="text1"/>
              </w:rPr>
            </w:pPr>
            <w:r w:rsidRPr="00286216">
              <w:rPr>
                <w:color w:val="000000" w:themeColor="text1"/>
              </w:rPr>
              <w:t>382.</w:t>
            </w:r>
          </w:p>
        </w:tc>
        <w:tc>
          <w:tcPr>
            <w:tcW w:w="4818" w:type="dxa"/>
          </w:tcPr>
          <w:p w14:paraId="26CD2EF4" w14:textId="77777777" w:rsidR="00E64972" w:rsidRPr="00286216" w:rsidRDefault="00E64972" w:rsidP="00F6479F">
            <w:pPr>
              <w:pStyle w:val="StyleZakonu"/>
              <w:rPr>
                <w:color w:val="000000" w:themeColor="text1"/>
              </w:rPr>
            </w:pPr>
            <w:r w:rsidRPr="00286216">
              <w:rPr>
                <w:color w:val="000000" w:themeColor="text1"/>
              </w:rPr>
              <w:t>3. У разі прийняття органами місцевого самоврядування або органами виконавчої влади за їх ініціативою у випадках та порядку, передбачених законом, рішення, що має наслідком зміну користувача земельної ділянки, яка призначена для спорудження об’єкта житлового будівництва, що фінансується із залученням коштів фізичних та/або юридичних осіб шляхом емісії цільових корпоративних облігацій, у відповідному місцевому бюджеті передбачаються видатки для відшкодування збитків власникам таких облігацій. Спори про відшкодування таких збитків зазначених власників вирішуються відповідно до закону.</w:t>
            </w:r>
          </w:p>
        </w:tc>
        <w:tc>
          <w:tcPr>
            <w:tcW w:w="3686" w:type="dxa"/>
          </w:tcPr>
          <w:p w14:paraId="288F1817" w14:textId="77777777" w:rsidR="00E64972" w:rsidRPr="00286216" w:rsidRDefault="00E64972" w:rsidP="00F6479F">
            <w:pPr>
              <w:pStyle w:val="StyleProp"/>
              <w:rPr>
                <w:color w:val="000000" w:themeColor="text1"/>
                <w:szCs w:val="18"/>
              </w:rPr>
            </w:pPr>
          </w:p>
        </w:tc>
        <w:tc>
          <w:tcPr>
            <w:tcW w:w="1987" w:type="dxa"/>
          </w:tcPr>
          <w:p w14:paraId="149BEED8" w14:textId="77777777" w:rsidR="00E64972" w:rsidRPr="00286216" w:rsidRDefault="00E64972" w:rsidP="00F6479F">
            <w:pPr>
              <w:pStyle w:val="StyleWisnow"/>
              <w:rPr>
                <w:color w:val="000000" w:themeColor="text1"/>
              </w:rPr>
            </w:pPr>
          </w:p>
        </w:tc>
        <w:tc>
          <w:tcPr>
            <w:tcW w:w="4818" w:type="dxa"/>
          </w:tcPr>
          <w:p w14:paraId="3D2688B2" w14:textId="77777777" w:rsidR="00E64972" w:rsidRPr="00286216" w:rsidRDefault="00E64972" w:rsidP="00F6479F">
            <w:pPr>
              <w:pStyle w:val="StyleZakonu"/>
              <w:rPr>
                <w:color w:val="000000" w:themeColor="text1"/>
              </w:rPr>
            </w:pPr>
            <w:r w:rsidRPr="00286216">
              <w:rPr>
                <w:color w:val="000000" w:themeColor="text1"/>
              </w:rPr>
              <w:t xml:space="preserve">3. У разі прийняття органами місцевого самоврядування або органами виконавчої влади за їх ініціативою у випадках та порядку, передбачених законом, рішення, що має наслідком зміну користувача земельної ділянки, призначеної для спорудження об’єкта житлового будівництва, що фінансується із залученням коштів фізичних та/або юридичних осіб шляхом емісії цільових корпоративних облігацій, у відповідному місцевому бюджеті передбачаються видатки для відшкодування збитків власникам таких облігацій. </w:t>
            </w:r>
          </w:p>
        </w:tc>
      </w:tr>
      <w:tr w:rsidR="00E64972" w:rsidRPr="00286216" w14:paraId="6BA9C390" w14:textId="77777777" w:rsidTr="00F6479F">
        <w:tc>
          <w:tcPr>
            <w:tcW w:w="576" w:type="dxa"/>
          </w:tcPr>
          <w:p w14:paraId="41C116CA" w14:textId="77777777" w:rsidR="00E64972" w:rsidRPr="00286216" w:rsidRDefault="00E64972" w:rsidP="00F6479F">
            <w:pPr>
              <w:pStyle w:val="StyleWisnow"/>
              <w:rPr>
                <w:color w:val="000000" w:themeColor="text1"/>
              </w:rPr>
            </w:pPr>
            <w:r w:rsidRPr="00286216">
              <w:rPr>
                <w:color w:val="000000" w:themeColor="text1"/>
              </w:rPr>
              <w:t>383.</w:t>
            </w:r>
          </w:p>
        </w:tc>
        <w:tc>
          <w:tcPr>
            <w:tcW w:w="4818" w:type="dxa"/>
          </w:tcPr>
          <w:p w14:paraId="2794155B" w14:textId="77777777" w:rsidR="00E64972" w:rsidRPr="00286216" w:rsidRDefault="00E64972" w:rsidP="00F6479F">
            <w:pPr>
              <w:pStyle w:val="StyleZakonu"/>
              <w:rPr>
                <w:color w:val="000000" w:themeColor="text1"/>
              </w:rPr>
            </w:pPr>
            <w:r w:rsidRPr="00286216">
              <w:rPr>
                <w:color w:val="000000" w:themeColor="text1"/>
              </w:rPr>
              <w:t>Порядок визначення розміру зазначених збитків та здійснення відшкодування встановлюються Кабінетом Міністрів України.</w:t>
            </w:r>
          </w:p>
        </w:tc>
        <w:tc>
          <w:tcPr>
            <w:tcW w:w="3686" w:type="dxa"/>
          </w:tcPr>
          <w:p w14:paraId="770412F4" w14:textId="77777777" w:rsidR="00E64972" w:rsidRPr="00286216" w:rsidRDefault="00E64972" w:rsidP="00F6479F">
            <w:pPr>
              <w:pStyle w:val="StyleProp"/>
              <w:rPr>
                <w:color w:val="000000" w:themeColor="text1"/>
                <w:szCs w:val="18"/>
              </w:rPr>
            </w:pPr>
          </w:p>
        </w:tc>
        <w:tc>
          <w:tcPr>
            <w:tcW w:w="1987" w:type="dxa"/>
          </w:tcPr>
          <w:p w14:paraId="7258251B" w14:textId="77777777" w:rsidR="00E64972" w:rsidRPr="00286216" w:rsidRDefault="00E64972" w:rsidP="00F6479F">
            <w:pPr>
              <w:pStyle w:val="StyleWisnow"/>
              <w:rPr>
                <w:color w:val="000000" w:themeColor="text1"/>
              </w:rPr>
            </w:pPr>
          </w:p>
        </w:tc>
        <w:tc>
          <w:tcPr>
            <w:tcW w:w="4818" w:type="dxa"/>
          </w:tcPr>
          <w:p w14:paraId="3A94706C" w14:textId="77777777" w:rsidR="00E64972" w:rsidRPr="00286216" w:rsidRDefault="00E64972" w:rsidP="00F6479F">
            <w:pPr>
              <w:pStyle w:val="StyleZakonu"/>
              <w:rPr>
                <w:color w:val="000000" w:themeColor="text1"/>
              </w:rPr>
            </w:pPr>
            <w:r w:rsidRPr="00286216">
              <w:rPr>
                <w:color w:val="000000" w:themeColor="text1"/>
              </w:rPr>
              <w:t>Порядок визначення розміру зазначених збитків та здійснення відшкодування встановлюється Кабінетом Міністрів України. Спори про відшкодування таких збитків зазначених власників вирішуються відповідно до закону.</w:t>
            </w:r>
          </w:p>
        </w:tc>
      </w:tr>
      <w:tr w:rsidR="00E64972" w:rsidRPr="00286216" w14:paraId="19CC233F" w14:textId="77777777" w:rsidTr="00F6479F">
        <w:tc>
          <w:tcPr>
            <w:tcW w:w="576" w:type="dxa"/>
          </w:tcPr>
          <w:p w14:paraId="6AC04D77" w14:textId="77777777" w:rsidR="00E64972" w:rsidRPr="00286216" w:rsidRDefault="00E64972" w:rsidP="00F6479F">
            <w:pPr>
              <w:pStyle w:val="StyleWisnow"/>
              <w:rPr>
                <w:color w:val="000000" w:themeColor="text1"/>
              </w:rPr>
            </w:pPr>
            <w:r w:rsidRPr="00286216">
              <w:rPr>
                <w:color w:val="000000" w:themeColor="text1"/>
              </w:rPr>
              <w:t>384.</w:t>
            </w:r>
          </w:p>
        </w:tc>
        <w:tc>
          <w:tcPr>
            <w:tcW w:w="4818" w:type="dxa"/>
          </w:tcPr>
          <w:p w14:paraId="6E68CCA2" w14:textId="77777777" w:rsidR="00E64972" w:rsidRPr="00286216" w:rsidRDefault="00E64972" w:rsidP="00F6479F">
            <w:pPr>
              <w:pStyle w:val="StyleZakonu"/>
              <w:rPr>
                <w:color w:val="000000" w:themeColor="text1"/>
              </w:rPr>
            </w:pPr>
            <w:r w:rsidRPr="00286216">
              <w:rPr>
                <w:color w:val="000000" w:themeColor="text1"/>
              </w:rPr>
              <w:t>Стаття 19. Конвертовані корпоративні облігації</w:t>
            </w:r>
          </w:p>
        </w:tc>
        <w:tc>
          <w:tcPr>
            <w:tcW w:w="3686" w:type="dxa"/>
          </w:tcPr>
          <w:p w14:paraId="457F4D1A" w14:textId="77777777" w:rsidR="00E64972" w:rsidRPr="00286216" w:rsidRDefault="00E64972" w:rsidP="00F6479F">
            <w:pPr>
              <w:pStyle w:val="StyleProp"/>
              <w:rPr>
                <w:color w:val="000000" w:themeColor="text1"/>
                <w:szCs w:val="18"/>
              </w:rPr>
            </w:pPr>
          </w:p>
        </w:tc>
        <w:tc>
          <w:tcPr>
            <w:tcW w:w="1987" w:type="dxa"/>
          </w:tcPr>
          <w:p w14:paraId="3FBDA7CD" w14:textId="77777777" w:rsidR="00E64972" w:rsidRPr="00286216" w:rsidRDefault="00E64972" w:rsidP="00F6479F">
            <w:pPr>
              <w:pStyle w:val="StyleWisnow"/>
              <w:rPr>
                <w:color w:val="000000" w:themeColor="text1"/>
              </w:rPr>
            </w:pPr>
          </w:p>
        </w:tc>
        <w:tc>
          <w:tcPr>
            <w:tcW w:w="4818" w:type="dxa"/>
          </w:tcPr>
          <w:p w14:paraId="69DB36A4" w14:textId="77777777" w:rsidR="00E64972" w:rsidRPr="00286216" w:rsidRDefault="00E64972" w:rsidP="00F6479F">
            <w:pPr>
              <w:pStyle w:val="StyleZakonu"/>
              <w:rPr>
                <w:color w:val="000000" w:themeColor="text1"/>
              </w:rPr>
            </w:pPr>
            <w:r w:rsidRPr="00286216">
              <w:rPr>
                <w:color w:val="000000" w:themeColor="text1"/>
              </w:rPr>
              <w:t>Стаття 14. Конвертовані корпоративні облігації</w:t>
            </w:r>
          </w:p>
        </w:tc>
      </w:tr>
      <w:tr w:rsidR="00E64972" w:rsidRPr="00286216" w14:paraId="1064C6D1" w14:textId="77777777" w:rsidTr="00F6479F">
        <w:tc>
          <w:tcPr>
            <w:tcW w:w="576" w:type="dxa"/>
          </w:tcPr>
          <w:p w14:paraId="4770F06B" w14:textId="77777777" w:rsidR="00E64972" w:rsidRPr="00286216" w:rsidRDefault="00E64972" w:rsidP="00F6479F">
            <w:pPr>
              <w:pStyle w:val="StyleWisnow"/>
              <w:rPr>
                <w:color w:val="000000" w:themeColor="text1"/>
              </w:rPr>
            </w:pPr>
            <w:r w:rsidRPr="00286216">
              <w:rPr>
                <w:color w:val="000000" w:themeColor="text1"/>
              </w:rPr>
              <w:t>385.</w:t>
            </w:r>
          </w:p>
        </w:tc>
        <w:tc>
          <w:tcPr>
            <w:tcW w:w="4818" w:type="dxa"/>
          </w:tcPr>
          <w:p w14:paraId="52C40C1E" w14:textId="77777777" w:rsidR="00E64972" w:rsidRPr="00286216" w:rsidRDefault="00E64972" w:rsidP="00F6479F">
            <w:pPr>
              <w:pStyle w:val="StyleZakonu"/>
              <w:rPr>
                <w:color w:val="000000" w:themeColor="text1"/>
              </w:rPr>
            </w:pPr>
            <w:r w:rsidRPr="00286216">
              <w:rPr>
                <w:color w:val="000000" w:themeColor="text1"/>
              </w:rPr>
              <w:t>1. Конвертовані корпоративні облігації - облігації, емісія яких здійснюється акціонерним товариством, та передбачає зобов’язання емітента з виплати доходів, погашення облігацій шляхом конвертації таких облігацій на відповідну кількість акцій цього ж емітента або шляхом виплати номінальної вартості такої облігації за вибором власника такої облігації, у порядку, передбаченому проспектом або рішенням про емісію цінних паперів.</w:t>
            </w:r>
          </w:p>
        </w:tc>
        <w:tc>
          <w:tcPr>
            <w:tcW w:w="3686" w:type="dxa"/>
          </w:tcPr>
          <w:p w14:paraId="4611AD2B" w14:textId="77777777" w:rsidR="00E64972" w:rsidRPr="00286216" w:rsidRDefault="00E64972" w:rsidP="00F6479F">
            <w:pPr>
              <w:pStyle w:val="StyleProp"/>
              <w:rPr>
                <w:color w:val="000000" w:themeColor="text1"/>
                <w:szCs w:val="18"/>
              </w:rPr>
            </w:pPr>
          </w:p>
        </w:tc>
        <w:tc>
          <w:tcPr>
            <w:tcW w:w="1987" w:type="dxa"/>
          </w:tcPr>
          <w:p w14:paraId="2F2D3565" w14:textId="77777777" w:rsidR="00E64972" w:rsidRPr="00286216" w:rsidRDefault="00E64972" w:rsidP="00F6479F">
            <w:pPr>
              <w:pStyle w:val="StyleWisnow"/>
              <w:rPr>
                <w:color w:val="000000" w:themeColor="text1"/>
              </w:rPr>
            </w:pPr>
          </w:p>
        </w:tc>
        <w:tc>
          <w:tcPr>
            <w:tcW w:w="4818" w:type="dxa"/>
          </w:tcPr>
          <w:p w14:paraId="7466374F" w14:textId="248E63A4" w:rsidR="00E64972" w:rsidRPr="00286216" w:rsidRDefault="00E64972" w:rsidP="00F6479F">
            <w:pPr>
              <w:pStyle w:val="StyleZakonu"/>
              <w:rPr>
                <w:color w:val="000000" w:themeColor="text1"/>
              </w:rPr>
            </w:pPr>
            <w:r w:rsidRPr="00286216">
              <w:rPr>
                <w:color w:val="000000" w:themeColor="text1"/>
              </w:rPr>
              <w:t>1. Конвертовані корпоративні облігації – це облігації, емісія яких здійснюється акціонерним товариством, які передбачають зобов’язання емітента з виплати доходів, погашення облігацій шляхом конвертації таких облігацій у відповідну кількість акцій цього емітента або шляхом виплати номінальної вартості таких облігацій за вибором їх власника  у порядку, передбаченому проспектом або рішенням про емісію.</w:t>
            </w:r>
          </w:p>
        </w:tc>
      </w:tr>
      <w:tr w:rsidR="00E64972" w:rsidRPr="00286216" w14:paraId="73593010" w14:textId="77777777" w:rsidTr="00F6479F">
        <w:tc>
          <w:tcPr>
            <w:tcW w:w="576" w:type="dxa"/>
          </w:tcPr>
          <w:p w14:paraId="052BEFCF" w14:textId="77777777" w:rsidR="00E64972" w:rsidRPr="00286216" w:rsidRDefault="00E64972" w:rsidP="00F6479F">
            <w:pPr>
              <w:pStyle w:val="StyleWisnow"/>
              <w:rPr>
                <w:color w:val="000000" w:themeColor="text1"/>
              </w:rPr>
            </w:pPr>
            <w:r w:rsidRPr="00286216">
              <w:rPr>
                <w:color w:val="000000" w:themeColor="text1"/>
              </w:rPr>
              <w:t>386.</w:t>
            </w:r>
          </w:p>
        </w:tc>
        <w:tc>
          <w:tcPr>
            <w:tcW w:w="4818" w:type="dxa"/>
          </w:tcPr>
          <w:p w14:paraId="019B8E4D" w14:textId="77777777" w:rsidR="00E64972" w:rsidRPr="00286216" w:rsidRDefault="00E64972" w:rsidP="00F6479F">
            <w:pPr>
              <w:pStyle w:val="StyleZakonu"/>
              <w:rPr>
                <w:color w:val="000000" w:themeColor="text1"/>
              </w:rPr>
            </w:pPr>
            <w:r w:rsidRPr="00286216">
              <w:rPr>
                <w:color w:val="000000" w:themeColor="text1"/>
              </w:rPr>
              <w:t xml:space="preserve">Якщо у статутному капіталі акціонерного товариства - емітента корпоративних облігацій є корпоративні права держави, то рішення про </w:t>
            </w:r>
            <w:r w:rsidRPr="00286216">
              <w:rPr>
                <w:color w:val="000000" w:themeColor="text1"/>
              </w:rPr>
              <w:lastRenderedPageBreak/>
              <w:t>конвертацію облігацій в акції такого товариства приймається з урахуванням Закону України "Про управління об’єктами державної власності".</w:t>
            </w:r>
          </w:p>
        </w:tc>
        <w:tc>
          <w:tcPr>
            <w:tcW w:w="3686" w:type="dxa"/>
          </w:tcPr>
          <w:p w14:paraId="47AED8FE" w14:textId="77777777" w:rsidR="00E64972" w:rsidRPr="00286216" w:rsidRDefault="00E64972" w:rsidP="00F6479F">
            <w:pPr>
              <w:pStyle w:val="StyleProp"/>
              <w:rPr>
                <w:color w:val="000000" w:themeColor="text1"/>
                <w:szCs w:val="18"/>
              </w:rPr>
            </w:pPr>
          </w:p>
        </w:tc>
        <w:tc>
          <w:tcPr>
            <w:tcW w:w="1987" w:type="dxa"/>
          </w:tcPr>
          <w:p w14:paraId="19C76AE2" w14:textId="77777777" w:rsidR="00E64972" w:rsidRPr="00286216" w:rsidRDefault="00E64972" w:rsidP="00F6479F">
            <w:pPr>
              <w:pStyle w:val="StyleWisnow"/>
              <w:rPr>
                <w:color w:val="000000" w:themeColor="text1"/>
              </w:rPr>
            </w:pPr>
          </w:p>
        </w:tc>
        <w:tc>
          <w:tcPr>
            <w:tcW w:w="4818" w:type="dxa"/>
          </w:tcPr>
          <w:p w14:paraId="125C208B" w14:textId="05913D89" w:rsidR="00E64972" w:rsidRPr="00286216" w:rsidRDefault="00E64972" w:rsidP="00F6479F">
            <w:pPr>
              <w:pStyle w:val="StyleZakonu"/>
              <w:rPr>
                <w:color w:val="000000" w:themeColor="text1"/>
              </w:rPr>
            </w:pPr>
            <w:r w:rsidRPr="00286216">
              <w:rPr>
                <w:color w:val="000000" w:themeColor="text1"/>
              </w:rPr>
              <w:t xml:space="preserve">Якщо у статутному капіталі акціонерного товариства – емітента корпоративних облігацій є корпоративні права держави, рішення про </w:t>
            </w:r>
            <w:r w:rsidRPr="00286216">
              <w:rPr>
                <w:color w:val="000000" w:themeColor="text1"/>
              </w:rPr>
              <w:lastRenderedPageBreak/>
              <w:t>конвертацію облігацій в акції такого товариства приймається з урахуванням вимог Закону України "Про управління об’єктами державної власності".</w:t>
            </w:r>
          </w:p>
        </w:tc>
      </w:tr>
      <w:tr w:rsidR="00E64972" w:rsidRPr="00286216" w14:paraId="66EED2C3" w14:textId="77777777" w:rsidTr="00F6479F">
        <w:tc>
          <w:tcPr>
            <w:tcW w:w="576" w:type="dxa"/>
          </w:tcPr>
          <w:p w14:paraId="3F95BF29" w14:textId="77777777" w:rsidR="00E64972" w:rsidRPr="00286216" w:rsidRDefault="00E64972" w:rsidP="00F6479F">
            <w:pPr>
              <w:pStyle w:val="StyleWisnow"/>
              <w:rPr>
                <w:color w:val="000000" w:themeColor="text1"/>
              </w:rPr>
            </w:pPr>
            <w:r w:rsidRPr="00286216">
              <w:rPr>
                <w:color w:val="000000" w:themeColor="text1"/>
              </w:rPr>
              <w:lastRenderedPageBreak/>
              <w:t>387.</w:t>
            </w:r>
          </w:p>
        </w:tc>
        <w:tc>
          <w:tcPr>
            <w:tcW w:w="4818" w:type="dxa"/>
          </w:tcPr>
          <w:p w14:paraId="6ED370B7" w14:textId="77777777" w:rsidR="00E64972" w:rsidRPr="00286216" w:rsidRDefault="00E64972" w:rsidP="00F6479F">
            <w:pPr>
              <w:pStyle w:val="StyleZakonu"/>
              <w:rPr>
                <w:color w:val="000000" w:themeColor="text1"/>
              </w:rPr>
            </w:pPr>
            <w:r w:rsidRPr="00286216">
              <w:rPr>
                <w:color w:val="000000" w:themeColor="text1"/>
              </w:rPr>
              <w:t>2. Емітент конвертованих корпоративних облігацій може здійснювати емісію виключно іменних облігацій.</w:t>
            </w:r>
          </w:p>
        </w:tc>
        <w:tc>
          <w:tcPr>
            <w:tcW w:w="3686" w:type="dxa"/>
          </w:tcPr>
          <w:p w14:paraId="4098211B" w14:textId="77777777" w:rsidR="00E64972" w:rsidRPr="00286216" w:rsidRDefault="00E64972" w:rsidP="00F6479F">
            <w:pPr>
              <w:pStyle w:val="StyleProp"/>
              <w:rPr>
                <w:color w:val="000000" w:themeColor="text1"/>
                <w:szCs w:val="18"/>
              </w:rPr>
            </w:pPr>
          </w:p>
        </w:tc>
        <w:tc>
          <w:tcPr>
            <w:tcW w:w="1987" w:type="dxa"/>
          </w:tcPr>
          <w:p w14:paraId="273ACFC4" w14:textId="77777777" w:rsidR="00E64972" w:rsidRPr="00286216" w:rsidRDefault="00E64972" w:rsidP="00F6479F">
            <w:pPr>
              <w:pStyle w:val="StyleWisnow"/>
              <w:rPr>
                <w:color w:val="000000" w:themeColor="text1"/>
              </w:rPr>
            </w:pPr>
          </w:p>
        </w:tc>
        <w:tc>
          <w:tcPr>
            <w:tcW w:w="4818" w:type="dxa"/>
          </w:tcPr>
          <w:p w14:paraId="16416C92" w14:textId="77777777" w:rsidR="00E64972" w:rsidRPr="00286216" w:rsidRDefault="00E64972" w:rsidP="00F6479F">
            <w:pPr>
              <w:pStyle w:val="StyleZakonu"/>
              <w:rPr>
                <w:color w:val="000000" w:themeColor="text1"/>
              </w:rPr>
            </w:pPr>
            <w:r w:rsidRPr="00286216">
              <w:rPr>
                <w:color w:val="000000" w:themeColor="text1"/>
              </w:rPr>
              <w:t>2. Емітент конвертованих корпоративних облігацій може здійснювати емісію виключно іменних облігацій.</w:t>
            </w:r>
          </w:p>
        </w:tc>
      </w:tr>
      <w:tr w:rsidR="00E64972" w:rsidRPr="00286216" w14:paraId="36DF79F9" w14:textId="77777777" w:rsidTr="00F6479F">
        <w:tc>
          <w:tcPr>
            <w:tcW w:w="576" w:type="dxa"/>
          </w:tcPr>
          <w:p w14:paraId="731865BE" w14:textId="77777777" w:rsidR="00E64972" w:rsidRPr="00286216" w:rsidRDefault="00E64972" w:rsidP="00F6479F">
            <w:pPr>
              <w:pStyle w:val="StyleWisnow"/>
              <w:rPr>
                <w:color w:val="000000" w:themeColor="text1"/>
              </w:rPr>
            </w:pPr>
            <w:r w:rsidRPr="00286216">
              <w:rPr>
                <w:color w:val="000000" w:themeColor="text1"/>
              </w:rPr>
              <w:t>388.</w:t>
            </w:r>
          </w:p>
        </w:tc>
        <w:tc>
          <w:tcPr>
            <w:tcW w:w="4818" w:type="dxa"/>
          </w:tcPr>
          <w:p w14:paraId="0A04213D" w14:textId="77777777" w:rsidR="00E64972" w:rsidRPr="00286216" w:rsidRDefault="00E64972" w:rsidP="00F6479F">
            <w:pPr>
              <w:pStyle w:val="StyleZakonu"/>
              <w:rPr>
                <w:color w:val="000000" w:themeColor="text1"/>
              </w:rPr>
            </w:pPr>
            <w:r w:rsidRPr="00286216">
              <w:rPr>
                <w:color w:val="000000" w:themeColor="text1"/>
              </w:rPr>
              <w:t>3. Порядок емісії, обігу, викупу, погашення та скасування реєстрації випуску конвертованих корпоративних облігацій встановлюється Національною комісією з цінних паперів та фондового ринку.</w:t>
            </w:r>
          </w:p>
        </w:tc>
        <w:tc>
          <w:tcPr>
            <w:tcW w:w="3686" w:type="dxa"/>
          </w:tcPr>
          <w:p w14:paraId="5B7BD456" w14:textId="77777777" w:rsidR="00E64972" w:rsidRPr="00286216" w:rsidRDefault="00E64972" w:rsidP="00F6479F">
            <w:pPr>
              <w:pStyle w:val="StyleProp"/>
              <w:rPr>
                <w:color w:val="000000" w:themeColor="text1"/>
                <w:szCs w:val="18"/>
              </w:rPr>
            </w:pPr>
          </w:p>
        </w:tc>
        <w:tc>
          <w:tcPr>
            <w:tcW w:w="1987" w:type="dxa"/>
          </w:tcPr>
          <w:p w14:paraId="388DC368" w14:textId="77777777" w:rsidR="00E64972" w:rsidRPr="00286216" w:rsidRDefault="00E64972" w:rsidP="00F6479F">
            <w:pPr>
              <w:pStyle w:val="StyleWisnow"/>
              <w:rPr>
                <w:color w:val="000000" w:themeColor="text1"/>
              </w:rPr>
            </w:pPr>
          </w:p>
        </w:tc>
        <w:tc>
          <w:tcPr>
            <w:tcW w:w="4818" w:type="dxa"/>
          </w:tcPr>
          <w:p w14:paraId="318E304B" w14:textId="77777777" w:rsidR="00E64972" w:rsidRPr="00286216" w:rsidRDefault="00E64972" w:rsidP="00F6479F">
            <w:pPr>
              <w:pStyle w:val="StyleZakonu"/>
              <w:rPr>
                <w:color w:val="000000" w:themeColor="text1"/>
              </w:rPr>
            </w:pPr>
            <w:r w:rsidRPr="00286216">
              <w:rPr>
                <w:color w:val="000000" w:themeColor="text1"/>
              </w:rPr>
              <w:t>3. Порядок емісії, обігу, викупу, погашення та скасування реєстрації випуску конвертованих корпоративних облігацій встановлюється Національною комісією з цінних паперів та фондового ринку.</w:t>
            </w:r>
          </w:p>
        </w:tc>
      </w:tr>
      <w:tr w:rsidR="00E64972" w:rsidRPr="00286216" w14:paraId="38A7BE5D" w14:textId="77777777" w:rsidTr="00F6479F">
        <w:tc>
          <w:tcPr>
            <w:tcW w:w="576" w:type="dxa"/>
          </w:tcPr>
          <w:p w14:paraId="36571F4C" w14:textId="77777777" w:rsidR="00E64972" w:rsidRPr="00286216" w:rsidRDefault="00E64972" w:rsidP="00F6479F">
            <w:pPr>
              <w:pStyle w:val="StyleWisnow"/>
              <w:rPr>
                <w:color w:val="000000" w:themeColor="text1"/>
              </w:rPr>
            </w:pPr>
            <w:r w:rsidRPr="00286216">
              <w:rPr>
                <w:color w:val="000000" w:themeColor="text1"/>
              </w:rPr>
              <w:t>389.</w:t>
            </w:r>
          </w:p>
        </w:tc>
        <w:tc>
          <w:tcPr>
            <w:tcW w:w="4818" w:type="dxa"/>
          </w:tcPr>
          <w:p w14:paraId="47587848" w14:textId="77777777" w:rsidR="00E64972" w:rsidRPr="00286216" w:rsidRDefault="00E64972" w:rsidP="00F6479F">
            <w:pPr>
              <w:pStyle w:val="StyleZakonu"/>
              <w:rPr>
                <w:color w:val="000000" w:themeColor="text1"/>
              </w:rPr>
            </w:pPr>
            <w:r w:rsidRPr="00286216">
              <w:rPr>
                <w:color w:val="000000" w:themeColor="text1"/>
              </w:rPr>
              <w:t>4. Реєстрацію випуску конвертованих корпоративних облігацій здійснює Національна комісія з цінних паперів та фондового ринку в установленому нею порядку. Обіг конвертованих корпоративних облігацій дозволяється після реєстрації Національною комісією з цінних паперів та фондового ринку звіту про результати емісії облігацій та видачі свідоцтва про реєстрацію випуску облігацій.</w:t>
            </w:r>
          </w:p>
        </w:tc>
        <w:tc>
          <w:tcPr>
            <w:tcW w:w="3686" w:type="dxa"/>
          </w:tcPr>
          <w:p w14:paraId="280B3B8C" w14:textId="77777777" w:rsidR="00E64972" w:rsidRPr="00286216" w:rsidRDefault="00E64972" w:rsidP="00F6479F">
            <w:pPr>
              <w:pStyle w:val="StyleProp"/>
              <w:rPr>
                <w:color w:val="000000" w:themeColor="text1"/>
                <w:szCs w:val="18"/>
              </w:rPr>
            </w:pPr>
          </w:p>
        </w:tc>
        <w:tc>
          <w:tcPr>
            <w:tcW w:w="1987" w:type="dxa"/>
          </w:tcPr>
          <w:p w14:paraId="51F83815" w14:textId="77777777" w:rsidR="00E64972" w:rsidRPr="00286216" w:rsidRDefault="00E64972" w:rsidP="00F6479F">
            <w:pPr>
              <w:pStyle w:val="StyleWisnow"/>
              <w:rPr>
                <w:color w:val="000000" w:themeColor="text1"/>
              </w:rPr>
            </w:pPr>
          </w:p>
        </w:tc>
        <w:tc>
          <w:tcPr>
            <w:tcW w:w="4818" w:type="dxa"/>
          </w:tcPr>
          <w:p w14:paraId="3A8C6FBF" w14:textId="7E33B6A1" w:rsidR="00E64972" w:rsidRPr="00286216" w:rsidRDefault="00E64972" w:rsidP="00F6479F">
            <w:pPr>
              <w:pStyle w:val="StyleZakonu"/>
              <w:rPr>
                <w:color w:val="000000" w:themeColor="text1"/>
              </w:rPr>
            </w:pPr>
            <w:r w:rsidRPr="00286216">
              <w:rPr>
                <w:color w:val="000000" w:themeColor="text1"/>
              </w:rPr>
              <w:t>4. Реєстрацію випуску конвертованих корпоративних облігацій здійснює Національна комісія з цінних паперів та фондового ринку у встановленому нею порядку. Обіг конвертованих корпоративних облігацій дозволяється після реєстрації Національною комісією з цінних паперів та фондового ринку звіту про результати емісії облігацій та видачі свідоцтва про реєстрацію випуску облігацій.</w:t>
            </w:r>
          </w:p>
        </w:tc>
      </w:tr>
      <w:tr w:rsidR="00E64972" w:rsidRPr="00286216" w14:paraId="6A483D55" w14:textId="77777777" w:rsidTr="00F6479F">
        <w:tc>
          <w:tcPr>
            <w:tcW w:w="576" w:type="dxa"/>
          </w:tcPr>
          <w:p w14:paraId="163ED6AC" w14:textId="77777777" w:rsidR="00E64972" w:rsidRPr="00286216" w:rsidRDefault="00E64972" w:rsidP="00F6479F">
            <w:pPr>
              <w:pStyle w:val="StyleWisnow"/>
              <w:rPr>
                <w:color w:val="000000" w:themeColor="text1"/>
              </w:rPr>
            </w:pPr>
            <w:r w:rsidRPr="00286216">
              <w:rPr>
                <w:color w:val="000000" w:themeColor="text1"/>
              </w:rPr>
              <w:t>390.</w:t>
            </w:r>
          </w:p>
        </w:tc>
        <w:tc>
          <w:tcPr>
            <w:tcW w:w="4818" w:type="dxa"/>
          </w:tcPr>
          <w:p w14:paraId="03BE32A5" w14:textId="77777777" w:rsidR="00E64972" w:rsidRPr="00286216" w:rsidRDefault="00E64972" w:rsidP="00F6479F">
            <w:pPr>
              <w:pStyle w:val="StyleZakonu"/>
              <w:rPr>
                <w:color w:val="000000" w:themeColor="text1"/>
              </w:rPr>
            </w:pPr>
            <w:r w:rsidRPr="00286216">
              <w:rPr>
                <w:color w:val="000000" w:themeColor="text1"/>
              </w:rPr>
              <w:t>Стаття 20. Облігації місцевих позик</w:t>
            </w:r>
          </w:p>
        </w:tc>
        <w:tc>
          <w:tcPr>
            <w:tcW w:w="3686" w:type="dxa"/>
          </w:tcPr>
          <w:p w14:paraId="32A99339" w14:textId="77777777" w:rsidR="00E64972" w:rsidRPr="00286216" w:rsidRDefault="00E64972" w:rsidP="00F6479F">
            <w:pPr>
              <w:pStyle w:val="StyleProp"/>
              <w:rPr>
                <w:color w:val="000000" w:themeColor="text1"/>
                <w:szCs w:val="18"/>
              </w:rPr>
            </w:pPr>
          </w:p>
        </w:tc>
        <w:tc>
          <w:tcPr>
            <w:tcW w:w="1987" w:type="dxa"/>
          </w:tcPr>
          <w:p w14:paraId="2E81BCC9" w14:textId="77777777" w:rsidR="00E64972" w:rsidRPr="00286216" w:rsidRDefault="00E64972" w:rsidP="00F6479F">
            <w:pPr>
              <w:pStyle w:val="StyleWisnow"/>
              <w:rPr>
                <w:color w:val="000000" w:themeColor="text1"/>
              </w:rPr>
            </w:pPr>
          </w:p>
        </w:tc>
        <w:tc>
          <w:tcPr>
            <w:tcW w:w="4818" w:type="dxa"/>
          </w:tcPr>
          <w:p w14:paraId="42344502" w14:textId="77777777" w:rsidR="00E64972" w:rsidRPr="00286216" w:rsidRDefault="00E64972" w:rsidP="00F6479F">
            <w:pPr>
              <w:pStyle w:val="StyleZakonu"/>
              <w:rPr>
                <w:color w:val="000000" w:themeColor="text1"/>
              </w:rPr>
            </w:pPr>
            <w:r w:rsidRPr="00286216">
              <w:rPr>
                <w:color w:val="000000" w:themeColor="text1"/>
              </w:rPr>
              <w:t>Стаття 15. Облігації місцевих позик</w:t>
            </w:r>
          </w:p>
        </w:tc>
      </w:tr>
      <w:tr w:rsidR="00E64972" w:rsidRPr="00286216" w14:paraId="30377172" w14:textId="77777777" w:rsidTr="00F6479F">
        <w:tc>
          <w:tcPr>
            <w:tcW w:w="576" w:type="dxa"/>
          </w:tcPr>
          <w:p w14:paraId="7065DD63" w14:textId="77777777" w:rsidR="00E64972" w:rsidRPr="00286216" w:rsidRDefault="00E64972" w:rsidP="00F6479F">
            <w:pPr>
              <w:pStyle w:val="StyleWisnow"/>
              <w:rPr>
                <w:color w:val="000000" w:themeColor="text1"/>
              </w:rPr>
            </w:pPr>
            <w:r w:rsidRPr="00286216">
              <w:rPr>
                <w:color w:val="000000" w:themeColor="text1"/>
              </w:rPr>
              <w:t>391.</w:t>
            </w:r>
          </w:p>
        </w:tc>
        <w:tc>
          <w:tcPr>
            <w:tcW w:w="4818" w:type="dxa"/>
          </w:tcPr>
          <w:p w14:paraId="0EEB144E" w14:textId="77777777" w:rsidR="00E64972" w:rsidRPr="00286216" w:rsidRDefault="00E64972" w:rsidP="00F6479F">
            <w:pPr>
              <w:pStyle w:val="StyleZakonu"/>
              <w:rPr>
                <w:color w:val="000000" w:themeColor="text1"/>
              </w:rPr>
            </w:pPr>
            <w:r w:rsidRPr="00286216">
              <w:rPr>
                <w:color w:val="000000" w:themeColor="text1"/>
              </w:rPr>
              <w:t>1. До облігацій місцевих позик належать облігації внутрішніх та зовнішніх місцевих позик.</w:t>
            </w:r>
          </w:p>
        </w:tc>
        <w:tc>
          <w:tcPr>
            <w:tcW w:w="3686" w:type="dxa"/>
          </w:tcPr>
          <w:p w14:paraId="6B76B931" w14:textId="77777777" w:rsidR="00E64972" w:rsidRPr="00286216" w:rsidRDefault="00E64972" w:rsidP="00F6479F">
            <w:pPr>
              <w:pStyle w:val="StyleProp"/>
              <w:rPr>
                <w:color w:val="000000" w:themeColor="text1"/>
                <w:szCs w:val="18"/>
              </w:rPr>
            </w:pPr>
          </w:p>
        </w:tc>
        <w:tc>
          <w:tcPr>
            <w:tcW w:w="1987" w:type="dxa"/>
          </w:tcPr>
          <w:p w14:paraId="44AB8A3B" w14:textId="77777777" w:rsidR="00E64972" w:rsidRPr="00286216" w:rsidRDefault="00E64972" w:rsidP="00F6479F">
            <w:pPr>
              <w:pStyle w:val="StyleWisnow"/>
              <w:rPr>
                <w:color w:val="000000" w:themeColor="text1"/>
              </w:rPr>
            </w:pPr>
          </w:p>
        </w:tc>
        <w:tc>
          <w:tcPr>
            <w:tcW w:w="4818" w:type="dxa"/>
          </w:tcPr>
          <w:p w14:paraId="03E2D5F9" w14:textId="77777777" w:rsidR="00E64972" w:rsidRPr="00286216" w:rsidRDefault="00E64972" w:rsidP="00F6479F">
            <w:pPr>
              <w:pStyle w:val="StyleZakonu"/>
              <w:rPr>
                <w:color w:val="000000" w:themeColor="text1"/>
              </w:rPr>
            </w:pPr>
            <w:r w:rsidRPr="00286216">
              <w:rPr>
                <w:color w:val="000000" w:themeColor="text1"/>
              </w:rPr>
              <w:t>1. До облігацій місцевих позик належать облігації внутрішніх та зовнішніх місцевих позик.</w:t>
            </w:r>
          </w:p>
        </w:tc>
      </w:tr>
      <w:tr w:rsidR="00E64972" w:rsidRPr="00286216" w14:paraId="13FE4DD0" w14:textId="77777777" w:rsidTr="00F6479F">
        <w:tc>
          <w:tcPr>
            <w:tcW w:w="576" w:type="dxa"/>
          </w:tcPr>
          <w:p w14:paraId="5A0800E6" w14:textId="77777777" w:rsidR="00E64972" w:rsidRPr="00286216" w:rsidRDefault="00E64972" w:rsidP="00F6479F">
            <w:pPr>
              <w:pStyle w:val="StyleWisnow"/>
              <w:rPr>
                <w:color w:val="000000" w:themeColor="text1"/>
              </w:rPr>
            </w:pPr>
            <w:r w:rsidRPr="00286216">
              <w:rPr>
                <w:color w:val="000000" w:themeColor="text1"/>
              </w:rPr>
              <w:t>392.</w:t>
            </w:r>
          </w:p>
        </w:tc>
        <w:tc>
          <w:tcPr>
            <w:tcW w:w="4818" w:type="dxa"/>
          </w:tcPr>
          <w:p w14:paraId="00175345" w14:textId="77777777" w:rsidR="00E64972" w:rsidRPr="00286216" w:rsidRDefault="00E64972" w:rsidP="00F6479F">
            <w:pPr>
              <w:pStyle w:val="StyleZakonu"/>
              <w:rPr>
                <w:color w:val="000000" w:themeColor="text1"/>
              </w:rPr>
            </w:pPr>
            <w:r w:rsidRPr="00286216">
              <w:rPr>
                <w:color w:val="000000" w:themeColor="text1"/>
              </w:rPr>
              <w:t>Рішення про емісію облігацій місцевих позик приймає Верховна Рада Автономної Республіки Крим або представницький орган місцевого самоврядування відповідно до вимог, установлених бюджетним законодавством.</w:t>
            </w:r>
          </w:p>
        </w:tc>
        <w:tc>
          <w:tcPr>
            <w:tcW w:w="3686" w:type="dxa"/>
          </w:tcPr>
          <w:p w14:paraId="19E23E22" w14:textId="77777777" w:rsidR="00E64972" w:rsidRPr="00286216" w:rsidRDefault="00E64972" w:rsidP="00F6479F">
            <w:pPr>
              <w:pStyle w:val="StyleProp"/>
              <w:rPr>
                <w:color w:val="000000" w:themeColor="text1"/>
                <w:szCs w:val="18"/>
              </w:rPr>
            </w:pPr>
          </w:p>
        </w:tc>
        <w:tc>
          <w:tcPr>
            <w:tcW w:w="1987" w:type="dxa"/>
          </w:tcPr>
          <w:p w14:paraId="17765D72" w14:textId="77777777" w:rsidR="00E64972" w:rsidRPr="00286216" w:rsidRDefault="00E64972" w:rsidP="00F6479F">
            <w:pPr>
              <w:pStyle w:val="StyleWisnow"/>
              <w:rPr>
                <w:color w:val="000000" w:themeColor="text1"/>
              </w:rPr>
            </w:pPr>
          </w:p>
        </w:tc>
        <w:tc>
          <w:tcPr>
            <w:tcW w:w="4818" w:type="dxa"/>
          </w:tcPr>
          <w:p w14:paraId="32EB9D4C" w14:textId="77777777" w:rsidR="00E64972" w:rsidRPr="00286216" w:rsidRDefault="00E64972" w:rsidP="00F6479F">
            <w:pPr>
              <w:pStyle w:val="StyleZakonu"/>
              <w:rPr>
                <w:color w:val="000000" w:themeColor="text1"/>
              </w:rPr>
            </w:pPr>
            <w:r w:rsidRPr="00286216">
              <w:rPr>
                <w:color w:val="000000" w:themeColor="text1"/>
              </w:rPr>
              <w:t>Рішення про емісію облігацій місцевих позик приймає Верховна Рада Автономної Республіки Крим або представницький орган місцевого самоврядування відповідно до вимог, установлених бюджетним законодавством.</w:t>
            </w:r>
          </w:p>
        </w:tc>
      </w:tr>
      <w:tr w:rsidR="00E64972" w:rsidRPr="00286216" w14:paraId="614187EC" w14:textId="77777777" w:rsidTr="00F6479F">
        <w:tc>
          <w:tcPr>
            <w:tcW w:w="576" w:type="dxa"/>
          </w:tcPr>
          <w:p w14:paraId="1DFBE6BA" w14:textId="77777777" w:rsidR="00E64972" w:rsidRPr="00286216" w:rsidRDefault="00E64972" w:rsidP="00F6479F">
            <w:pPr>
              <w:pStyle w:val="StyleWisnow"/>
              <w:rPr>
                <w:color w:val="000000" w:themeColor="text1"/>
              </w:rPr>
            </w:pPr>
            <w:r w:rsidRPr="00286216">
              <w:rPr>
                <w:color w:val="000000" w:themeColor="text1"/>
              </w:rPr>
              <w:t>393.</w:t>
            </w:r>
          </w:p>
        </w:tc>
        <w:tc>
          <w:tcPr>
            <w:tcW w:w="4818" w:type="dxa"/>
          </w:tcPr>
          <w:p w14:paraId="63CF2FF4" w14:textId="77777777" w:rsidR="00E64972" w:rsidRPr="00286216" w:rsidRDefault="00E64972" w:rsidP="00F6479F">
            <w:pPr>
              <w:pStyle w:val="StyleZakonu"/>
              <w:rPr>
                <w:color w:val="000000" w:themeColor="text1"/>
              </w:rPr>
            </w:pPr>
            <w:r w:rsidRPr="00286216">
              <w:rPr>
                <w:color w:val="000000" w:themeColor="text1"/>
              </w:rPr>
              <w:t>2. Реєстрацію випуску облігацій місцевих позик здійснює Національна комісія з цінних паперів та фондового ринку в установленому нею порядку.</w:t>
            </w:r>
          </w:p>
        </w:tc>
        <w:tc>
          <w:tcPr>
            <w:tcW w:w="3686" w:type="dxa"/>
          </w:tcPr>
          <w:p w14:paraId="1E6FA14C" w14:textId="77777777" w:rsidR="00E64972" w:rsidRPr="00286216" w:rsidRDefault="00E64972" w:rsidP="00F6479F">
            <w:pPr>
              <w:pStyle w:val="StyleAwt"/>
              <w:rPr>
                <w:b w:val="0"/>
                <w:i w:val="0"/>
                <w:color w:val="000000" w:themeColor="text1"/>
              </w:rPr>
            </w:pPr>
          </w:p>
        </w:tc>
        <w:tc>
          <w:tcPr>
            <w:tcW w:w="1987" w:type="dxa"/>
          </w:tcPr>
          <w:p w14:paraId="3B8BAB8A" w14:textId="77777777" w:rsidR="00E64972" w:rsidRPr="00286216" w:rsidRDefault="00E64972" w:rsidP="00F6479F">
            <w:pPr>
              <w:pStyle w:val="StyleWisnow"/>
              <w:rPr>
                <w:color w:val="000000" w:themeColor="text1"/>
              </w:rPr>
            </w:pPr>
          </w:p>
        </w:tc>
        <w:tc>
          <w:tcPr>
            <w:tcW w:w="4818" w:type="dxa"/>
          </w:tcPr>
          <w:p w14:paraId="7840992F" w14:textId="0639B6A0" w:rsidR="00E64972" w:rsidRPr="00286216" w:rsidRDefault="00E64972" w:rsidP="00F6479F">
            <w:pPr>
              <w:pStyle w:val="StyleZakonu"/>
              <w:rPr>
                <w:color w:val="000000" w:themeColor="text1"/>
              </w:rPr>
            </w:pPr>
            <w:r w:rsidRPr="00286216">
              <w:rPr>
                <w:color w:val="000000" w:themeColor="text1"/>
              </w:rPr>
              <w:t>2. Реєстрацію випуску облігацій місцевих позик здійснює Національна комісія з цінних паперів та фондового ринку у встановленому нею порядку.</w:t>
            </w:r>
          </w:p>
        </w:tc>
      </w:tr>
      <w:tr w:rsidR="00E64972" w:rsidRPr="00286216" w14:paraId="25CCF2CC" w14:textId="77777777" w:rsidTr="00F6479F">
        <w:tc>
          <w:tcPr>
            <w:tcW w:w="576" w:type="dxa"/>
          </w:tcPr>
          <w:p w14:paraId="2A085FA6" w14:textId="77777777" w:rsidR="00E64972" w:rsidRPr="00286216" w:rsidRDefault="00E64972" w:rsidP="00F6479F">
            <w:pPr>
              <w:pStyle w:val="StyleWisnow"/>
              <w:rPr>
                <w:color w:val="000000" w:themeColor="text1"/>
              </w:rPr>
            </w:pPr>
            <w:r w:rsidRPr="00286216">
              <w:rPr>
                <w:color w:val="000000" w:themeColor="text1"/>
              </w:rPr>
              <w:t>394.</w:t>
            </w:r>
          </w:p>
        </w:tc>
        <w:tc>
          <w:tcPr>
            <w:tcW w:w="4818" w:type="dxa"/>
          </w:tcPr>
          <w:p w14:paraId="1E4A20E6" w14:textId="77777777" w:rsidR="00E64972" w:rsidRPr="00286216" w:rsidRDefault="00E64972" w:rsidP="00F6479F">
            <w:pPr>
              <w:pStyle w:val="StyleZakonu"/>
              <w:rPr>
                <w:color w:val="000000" w:themeColor="text1"/>
              </w:rPr>
            </w:pPr>
            <w:r w:rsidRPr="00286216">
              <w:rPr>
                <w:color w:val="000000" w:themeColor="text1"/>
              </w:rPr>
              <w:t>3. Особливості погашення та реалізації прав за облігаціями місцевих позик визначаються проспектом або рішенням про емісію цінних паперів.</w:t>
            </w:r>
          </w:p>
        </w:tc>
        <w:tc>
          <w:tcPr>
            <w:tcW w:w="3686" w:type="dxa"/>
          </w:tcPr>
          <w:p w14:paraId="1CDCD6DF" w14:textId="77777777" w:rsidR="00E64972" w:rsidRPr="00286216" w:rsidRDefault="00E64972" w:rsidP="00F6479F">
            <w:pPr>
              <w:pStyle w:val="StyleProp"/>
              <w:rPr>
                <w:color w:val="000000" w:themeColor="text1"/>
                <w:szCs w:val="18"/>
              </w:rPr>
            </w:pPr>
          </w:p>
        </w:tc>
        <w:tc>
          <w:tcPr>
            <w:tcW w:w="1987" w:type="dxa"/>
          </w:tcPr>
          <w:p w14:paraId="5F2BEF25" w14:textId="77777777" w:rsidR="00E64972" w:rsidRPr="00286216" w:rsidRDefault="00E64972" w:rsidP="00F6479F">
            <w:pPr>
              <w:pStyle w:val="StyleWisnow"/>
              <w:rPr>
                <w:color w:val="000000" w:themeColor="text1"/>
              </w:rPr>
            </w:pPr>
          </w:p>
        </w:tc>
        <w:tc>
          <w:tcPr>
            <w:tcW w:w="4818" w:type="dxa"/>
          </w:tcPr>
          <w:p w14:paraId="338238E2" w14:textId="77777777" w:rsidR="00E64972" w:rsidRPr="00286216" w:rsidRDefault="00E64972" w:rsidP="00F6479F">
            <w:pPr>
              <w:pStyle w:val="StyleZakonu"/>
              <w:rPr>
                <w:color w:val="000000" w:themeColor="text1"/>
              </w:rPr>
            </w:pPr>
            <w:r w:rsidRPr="00286216">
              <w:rPr>
                <w:color w:val="000000" w:themeColor="text1"/>
              </w:rPr>
              <w:t>3. Особливості погашення та реалізації прав за облігаціями місцевих позик визначаються проспектом або рішенням про емісію.</w:t>
            </w:r>
          </w:p>
        </w:tc>
      </w:tr>
      <w:tr w:rsidR="00E64972" w:rsidRPr="00286216" w14:paraId="35C0D4BD" w14:textId="77777777" w:rsidTr="00F6479F">
        <w:tc>
          <w:tcPr>
            <w:tcW w:w="576" w:type="dxa"/>
          </w:tcPr>
          <w:p w14:paraId="428B3488" w14:textId="77777777" w:rsidR="00E64972" w:rsidRPr="00286216" w:rsidRDefault="00E64972" w:rsidP="00F6479F">
            <w:pPr>
              <w:pStyle w:val="StyleWisnow"/>
              <w:rPr>
                <w:color w:val="000000" w:themeColor="text1"/>
              </w:rPr>
            </w:pPr>
            <w:r w:rsidRPr="00286216">
              <w:rPr>
                <w:color w:val="000000" w:themeColor="text1"/>
              </w:rPr>
              <w:t>395.</w:t>
            </w:r>
          </w:p>
        </w:tc>
        <w:tc>
          <w:tcPr>
            <w:tcW w:w="4818" w:type="dxa"/>
          </w:tcPr>
          <w:p w14:paraId="716B16A0" w14:textId="77777777" w:rsidR="00E64972" w:rsidRPr="00286216" w:rsidRDefault="00E64972" w:rsidP="00F6479F">
            <w:pPr>
              <w:pStyle w:val="StyleZakonu"/>
              <w:rPr>
                <w:color w:val="000000" w:themeColor="text1"/>
              </w:rPr>
            </w:pPr>
            <w:r w:rsidRPr="00286216">
              <w:rPr>
                <w:color w:val="000000" w:themeColor="text1"/>
              </w:rPr>
              <w:t xml:space="preserve">4. Після початку розміщення облігацій внутрішніх місцевих позик зміни до проспекту (рішення про емісію цінних паперів) в частині документу про цінні папери або заміни емітента вносяться емітентом за згодою усіх власників облігацій відповідного випуску або зборів власників облігацій у порядку, передбаченому розділом VII цього Закону. У випадках, передбачених частиною другою статті 96 цього Закону, зміни до документу про цінні папери вносяться емітентом за згодою адміністратора. Зміни </w:t>
            </w:r>
            <w:r w:rsidRPr="00286216">
              <w:rPr>
                <w:color w:val="000000" w:themeColor="text1"/>
              </w:rPr>
              <w:lastRenderedPageBreak/>
              <w:t>до проспекту (рішення про емісію цінних паперів), що не стосуються документу про цінні папери або заміни емітента, вносяться емітентом самостійно.</w:t>
            </w:r>
          </w:p>
        </w:tc>
        <w:tc>
          <w:tcPr>
            <w:tcW w:w="3686" w:type="dxa"/>
          </w:tcPr>
          <w:p w14:paraId="344FF46F" w14:textId="77777777" w:rsidR="00E64972" w:rsidRPr="00286216" w:rsidRDefault="00E64972" w:rsidP="00F6479F">
            <w:pPr>
              <w:pStyle w:val="StyleProp"/>
              <w:rPr>
                <w:color w:val="000000" w:themeColor="text1"/>
                <w:szCs w:val="18"/>
              </w:rPr>
            </w:pPr>
          </w:p>
        </w:tc>
        <w:tc>
          <w:tcPr>
            <w:tcW w:w="1987" w:type="dxa"/>
          </w:tcPr>
          <w:p w14:paraId="7A6106FC" w14:textId="77777777" w:rsidR="00E64972" w:rsidRPr="00286216" w:rsidRDefault="00E64972" w:rsidP="00F6479F">
            <w:pPr>
              <w:pStyle w:val="StyleWisnow"/>
              <w:rPr>
                <w:color w:val="000000" w:themeColor="text1"/>
              </w:rPr>
            </w:pPr>
          </w:p>
        </w:tc>
        <w:tc>
          <w:tcPr>
            <w:tcW w:w="4818" w:type="dxa"/>
          </w:tcPr>
          <w:p w14:paraId="7755E861" w14:textId="77777777" w:rsidR="00E64972" w:rsidRPr="00286216" w:rsidRDefault="00E64972" w:rsidP="00F6479F">
            <w:pPr>
              <w:pStyle w:val="StyleZakonu"/>
              <w:rPr>
                <w:color w:val="000000" w:themeColor="text1"/>
              </w:rPr>
            </w:pPr>
            <w:r w:rsidRPr="00286216">
              <w:rPr>
                <w:color w:val="000000" w:themeColor="text1"/>
              </w:rPr>
              <w:t>4. Після початку розміщення облігацій внутрішніх місцевих позик зміни до проспекту (рішення про емісію) в частині документа про цінні папери або заміни емітента вносяться емітентом за згодою усіх власників облігацій відповідного випуску або зборів власників облігацій у порядку, передбаченому розділом VI</w:t>
            </w:r>
            <w:r w:rsidRPr="00286216">
              <w:rPr>
                <w:color w:val="000000" w:themeColor="text1"/>
                <w:lang w:val="en-US"/>
              </w:rPr>
              <w:t>I</w:t>
            </w:r>
            <w:r w:rsidRPr="00286216">
              <w:rPr>
                <w:color w:val="000000" w:themeColor="text1"/>
              </w:rPr>
              <w:t xml:space="preserve">I цього Закону. У випадках, передбачених частиною другою статті </w:t>
            </w:r>
            <w:r w:rsidRPr="00286216">
              <w:rPr>
                <w:color w:val="000000" w:themeColor="text1"/>
                <w:lang w:val="ru-RU"/>
              </w:rPr>
              <w:t>100</w:t>
            </w:r>
            <w:r w:rsidRPr="00286216">
              <w:rPr>
                <w:color w:val="000000" w:themeColor="text1"/>
              </w:rPr>
              <w:t xml:space="preserve"> цього Закону, зміни до документа про цінні папери вносяться емітентом за згодою адміністратора. Зміни </w:t>
            </w:r>
            <w:r w:rsidRPr="00286216">
              <w:rPr>
                <w:color w:val="000000" w:themeColor="text1"/>
              </w:rPr>
              <w:lastRenderedPageBreak/>
              <w:t>до проспекту (рішення про емісію), що не стосуються документа про цінні папери або заміни емітента, вносяться емітентом самостійно.</w:t>
            </w:r>
          </w:p>
        </w:tc>
      </w:tr>
      <w:tr w:rsidR="00E64972" w:rsidRPr="00286216" w14:paraId="67560084" w14:textId="77777777" w:rsidTr="00F6479F">
        <w:tc>
          <w:tcPr>
            <w:tcW w:w="576" w:type="dxa"/>
          </w:tcPr>
          <w:p w14:paraId="41AE281C" w14:textId="77777777" w:rsidR="00E64972" w:rsidRPr="00286216" w:rsidRDefault="00E64972" w:rsidP="00F6479F">
            <w:pPr>
              <w:pStyle w:val="StyleWisnow"/>
              <w:rPr>
                <w:color w:val="000000" w:themeColor="text1"/>
              </w:rPr>
            </w:pPr>
            <w:r w:rsidRPr="00286216">
              <w:rPr>
                <w:color w:val="000000" w:themeColor="text1"/>
              </w:rPr>
              <w:lastRenderedPageBreak/>
              <w:t>396.</w:t>
            </w:r>
          </w:p>
        </w:tc>
        <w:tc>
          <w:tcPr>
            <w:tcW w:w="4818" w:type="dxa"/>
          </w:tcPr>
          <w:p w14:paraId="51457EA8" w14:textId="77777777" w:rsidR="00E64972" w:rsidRPr="00286216" w:rsidRDefault="00E64972" w:rsidP="00F6479F">
            <w:pPr>
              <w:pStyle w:val="StyleZakonu"/>
              <w:rPr>
                <w:color w:val="000000" w:themeColor="text1"/>
              </w:rPr>
            </w:pPr>
            <w:r w:rsidRPr="00286216">
              <w:rPr>
                <w:color w:val="000000" w:themeColor="text1"/>
              </w:rPr>
              <w:t>Стаття 21. Державні облігації України</w:t>
            </w:r>
          </w:p>
        </w:tc>
        <w:tc>
          <w:tcPr>
            <w:tcW w:w="3686" w:type="dxa"/>
          </w:tcPr>
          <w:p w14:paraId="7218CD9E" w14:textId="61ADB96C" w:rsidR="00E64972" w:rsidRPr="00286216" w:rsidRDefault="00E64972" w:rsidP="00F6479F">
            <w:pPr>
              <w:pStyle w:val="StyleAwt"/>
              <w:rPr>
                <w:color w:val="000000" w:themeColor="text1"/>
                <w:spacing w:val="-2"/>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268</w:t>
            </w:r>
            <w:r w:rsidRPr="00286216">
              <w:rPr>
                <w:color w:val="000000" w:themeColor="text1"/>
                <w:szCs w:val="18"/>
              </w:rPr>
              <w:fldChar w:fldCharType="end"/>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3C951764" w14:textId="77777777" w:rsidR="00E64972" w:rsidRPr="00286216" w:rsidRDefault="00E64972" w:rsidP="00F6479F">
            <w:pPr>
              <w:pStyle w:val="StyleProp"/>
              <w:rPr>
                <w:color w:val="000000" w:themeColor="text1"/>
              </w:rPr>
            </w:pPr>
            <w:r w:rsidRPr="00286216">
              <w:rPr>
                <w:color w:val="000000" w:themeColor="text1"/>
              </w:rPr>
              <w:t>Статтю 21 викласти у такій редакції:</w:t>
            </w:r>
          </w:p>
          <w:p w14:paraId="3EAF2DDF" w14:textId="77777777" w:rsidR="00E64972" w:rsidRPr="00286216" w:rsidRDefault="00E64972" w:rsidP="00F6479F">
            <w:pPr>
              <w:pStyle w:val="StyleProp"/>
              <w:rPr>
                <w:color w:val="000000" w:themeColor="text1"/>
                <w:szCs w:val="18"/>
              </w:rPr>
            </w:pPr>
            <w:r w:rsidRPr="00286216">
              <w:rPr>
                <w:color w:val="000000" w:themeColor="text1"/>
              </w:rPr>
              <w:t>"Стаття 21. Державні облігації України</w:t>
            </w:r>
          </w:p>
        </w:tc>
        <w:tc>
          <w:tcPr>
            <w:tcW w:w="1987" w:type="dxa"/>
          </w:tcPr>
          <w:p w14:paraId="617F95FB" w14:textId="77777777" w:rsidR="00E64972" w:rsidRPr="00286216" w:rsidRDefault="00E64972" w:rsidP="00F6479F">
            <w:pPr>
              <w:pStyle w:val="StyleWisnow"/>
              <w:rPr>
                <w:color w:val="000000" w:themeColor="text1"/>
              </w:rPr>
            </w:pPr>
            <w:r w:rsidRPr="00286216">
              <w:rPr>
                <w:color w:val="000000" w:themeColor="text1"/>
              </w:rPr>
              <w:t>Враховано</w:t>
            </w:r>
          </w:p>
        </w:tc>
        <w:tc>
          <w:tcPr>
            <w:tcW w:w="4818" w:type="dxa"/>
          </w:tcPr>
          <w:p w14:paraId="76A9B371" w14:textId="77777777" w:rsidR="00E64972" w:rsidRPr="00286216" w:rsidRDefault="00E64972" w:rsidP="00F6479F">
            <w:pPr>
              <w:pStyle w:val="StyleZakonu"/>
              <w:rPr>
                <w:color w:val="000000" w:themeColor="text1"/>
              </w:rPr>
            </w:pPr>
            <w:r w:rsidRPr="00286216">
              <w:rPr>
                <w:color w:val="000000" w:themeColor="text1"/>
              </w:rPr>
              <w:t xml:space="preserve">Стаття 16. Державні облігації України </w:t>
            </w:r>
          </w:p>
        </w:tc>
      </w:tr>
      <w:tr w:rsidR="00E64972" w:rsidRPr="00286216" w14:paraId="237323A6" w14:textId="77777777" w:rsidTr="00F6479F">
        <w:tc>
          <w:tcPr>
            <w:tcW w:w="576" w:type="dxa"/>
          </w:tcPr>
          <w:p w14:paraId="695EBB91" w14:textId="77777777" w:rsidR="00E64972" w:rsidRPr="00286216" w:rsidRDefault="00E64972" w:rsidP="00F6479F">
            <w:pPr>
              <w:pStyle w:val="StyleWisnow"/>
              <w:rPr>
                <w:color w:val="000000" w:themeColor="text1"/>
              </w:rPr>
            </w:pPr>
            <w:r w:rsidRPr="00286216">
              <w:rPr>
                <w:color w:val="000000" w:themeColor="text1"/>
              </w:rPr>
              <w:t>397.</w:t>
            </w:r>
          </w:p>
        </w:tc>
        <w:tc>
          <w:tcPr>
            <w:tcW w:w="4818" w:type="dxa"/>
          </w:tcPr>
          <w:p w14:paraId="724E8DED" w14:textId="77777777" w:rsidR="00E64972" w:rsidRPr="00286216" w:rsidRDefault="00E64972" w:rsidP="00F6479F">
            <w:pPr>
              <w:pStyle w:val="StyleZakonu"/>
              <w:rPr>
                <w:color w:val="000000" w:themeColor="text1"/>
              </w:rPr>
            </w:pPr>
            <w:r w:rsidRPr="00286216">
              <w:rPr>
                <w:color w:val="000000" w:themeColor="text1"/>
              </w:rPr>
              <w:t>1. Державні облігації України можуть бути:</w:t>
            </w:r>
          </w:p>
        </w:tc>
        <w:tc>
          <w:tcPr>
            <w:tcW w:w="3686" w:type="dxa"/>
          </w:tcPr>
          <w:p w14:paraId="4AA7BEA6" w14:textId="77777777" w:rsidR="00E64972" w:rsidRPr="00286216" w:rsidRDefault="00E64972" w:rsidP="00F6479F">
            <w:pPr>
              <w:pStyle w:val="StyleProp"/>
              <w:rPr>
                <w:color w:val="000000" w:themeColor="text1"/>
                <w:spacing w:val="-4"/>
                <w:szCs w:val="18"/>
              </w:rPr>
            </w:pPr>
            <w:r w:rsidRPr="00286216">
              <w:rPr>
                <w:color w:val="000000" w:themeColor="text1"/>
                <w:spacing w:val="-4"/>
              </w:rPr>
              <w:t xml:space="preserve">1. Державні облігації України можуть бути: </w:t>
            </w:r>
          </w:p>
        </w:tc>
        <w:tc>
          <w:tcPr>
            <w:tcW w:w="1987" w:type="dxa"/>
          </w:tcPr>
          <w:p w14:paraId="2049C265" w14:textId="77777777" w:rsidR="00E64972" w:rsidRPr="00286216" w:rsidRDefault="00E64972" w:rsidP="00F6479F">
            <w:pPr>
              <w:pStyle w:val="StyleWisnow"/>
              <w:rPr>
                <w:color w:val="000000" w:themeColor="text1"/>
              </w:rPr>
            </w:pPr>
          </w:p>
        </w:tc>
        <w:tc>
          <w:tcPr>
            <w:tcW w:w="4818" w:type="dxa"/>
          </w:tcPr>
          <w:p w14:paraId="48B3593C" w14:textId="77777777" w:rsidR="00E64972" w:rsidRPr="00286216" w:rsidRDefault="00E64972" w:rsidP="00F6479F">
            <w:pPr>
              <w:pStyle w:val="StyleZakonu"/>
              <w:rPr>
                <w:color w:val="000000" w:themeColor="text1"/>
              </w:rPr>
            </w:pPr>
            <w:r w:rsidRPr="00286216">
              <w:rPr>
                <w:color w:val="000000" w:themeColor="text1"/>
              </w:rPr>
              <w:t xml:space="preserve">1. Державні облігації України можуть бути: </w:t>
            </w:r>
          </w:p>
        </w:tc>
      </w:tr>
      <w:tr w:rsidR="00E64972" w:rsidRPr="00286216" w14:paraId="194BC1C8" w14:textId="77777777" w:rsidTr="00F6479F">
        <w:tc>
          <w:tcPr>
            <w:tcW w:w="576" w:type="dxa"/>
          </w:tcPr>
          <w:p w14:paraId="132B4A69" w14:textId="77777777" w:rsidR="00E64972" w:rsidRPr="00286216" w:rsidRDefault="00E64972" w:rsidP="00F6479F">
            <w:pPr>
              <w:pStyle w:val="StyleWisnow"/>
              <w:rPr>
                <w:color w:val="000000" w:themeColor="text1"/>
              </w:rPr>
            </w:pPr>
            <w:r w:rsidRPr="00286216">
              <w:rPr>
                <w:color w:val="000000" w:themeColor="text1"/>
              </w:rPr>
              <w:t>398.</w:t>
            </w:r>
          </w:p>
        </w:tc>
        <w:tc>
          <w:tcPr>
            <w:tcW w:w="4818" w:type="dxa"/>
          </w:tcPr>
          <w:p w14:paraId="7ED24CF9" w14:textId="77777777" w:rsidR="00E64972" w:rsidRPr="00286216" w:rsidRDefault="00E64972" w:rsidP="00F6479F">
            <w:pPr>
              <w:pStyle w:val="StyleZakonu"/>
              <w:rPr>
                <w:color w:val="000000" w:themeColor="text1"/>
              </w:rPr>
            </w:pPr>
            <w:r w:rsidRPr="00286216">
              <w:rPr>
                <w:color w:val="000000" w:themeColor="text1"/>
              </w:rPr>
              <w:t>1) довгострокові - понад п’ять років;</w:t>
            </w:r>
          </w:p>
        </w:tc>
        <w:tc>
          <w:tcPr>
            <w:tcW w:w="3686" w:type="dxa"/>
          </w:tcPr>
          <w:p w14:paraId="64DFDA73" w14:textId="23C49915" w:rsidR="00E64972" w:rsidRPr="00286216" w:rsidRDefault="00E64972" w:rsidP="00FB1505">
            <w:pPr>
              <w:pStyle w:val="StyleProp"/>
              <w:rPr>
                <w:color w:val="000000" w:themeColor="text1"/>
                <w:szCs w:val="18"/>
              </w:rPr>
            </w:pPr>
            <w:r w:rsidRPr="00286216">
              <w:rPr>
                <w:color w:val="000000" w:themeColor="text1"/>
              </w:rPr>
              <w:t>1) довгострокові –</w:t>
            </w:r>
            <w:r w:rsidR="00FB1505" w:rsidRPr="00286216">
              <w:rPr>
                <w:color w:val="000000" w:themeColor="text1"/>
                <w:lang w:val="ru-RU"/>
              </w:rPr>
              <w:t xml:space="preserve"> </w:t>
            </w:r>
            <w:r w:rsidR="00FB1505" w:rsidRPr="00286216">
              <w:rPr>
                <w:color w:val="000000" w:themeColor="text1"/>
              </w:rPr>
              <w:t xml:space="preserve">із строком обігу </w:t>
            </w:r>
            <w:r w:rsidRPr="00286216">
              <w:rPr>
                <w:color w:val="000000" w:themeColor="text1"/>
              </w:rPr>
              <w:t xml:space="preserve">понад п’ять років; </w:t>
            </w:r>
          </w:p>
        </w:tc>
        <w:tc>
          <w:tcPr>
            <w:tcW w:w="1987" w:type="dxa"/>
          </w:tcPr>
          <w:p w14:paraId="7ACC607D" w14:textId="77777777" w:rsidR="00E64972" w:rsidRPr="00286216" w:rsidRDefault="00E64972" w:rsidP="00F6479F">
            <w:pPr>
              <w:pStyle w:val="StyleWisnow"/>
              <w:rPr>
                <w:color w:val="000000" w:themeColor="text1"/>
              </w:rPr>
            </w:pPr>
          </w:p>
        </w:tc>
        <w:tc>
          <w:tcPr>
            <w:tcW w:w="4818" w:type="dxa"/>
          </w:tcPr>
          <w:p w14:paraId="0D9E9F23" w14:textId="6F1FBB7D" w:rsidR="00E64972" w:rsidRPr="00286216" w:rsidRDefault="00E64972" w:rsidP="00F6479F">
            <w:pPr>
              <w:pStyle w:val="StyleZakonu"/>
              <w:rPr>
                <w:color w:val="000000" w:themeColor="text1"/>
              </w:rPr>
            </w:pPr>
            <w:r w:rsidRPr="00286216">
              <w:rPr>
                <w:color w:val="000000" w:themeColor="text1"/>
              </w:rPr>
              <w:t xml:space="preserve">1) довгостроковими – із строком обігу понад п’ять років; </w:t>
            </w:r>
          </w:p>
        </w:tc>
      </w:tr>
      <w:tr w:rsidR="00E64972" w:rsidRPr="00286216" w14:paraId="1B82A422" w14:textId="77777777" w:rsidTr="00F6479F">
        <w:tc>
          <w:tcPr>
            <w:tcW w:w="576" w:type="dxa"/>
          </w:tcPr>
          <w:p w14:paraId="0A55D4C0" w14:textId="77777777" w:rsidR="00E64972" w:rsidRPr="00286216" w:rsidRDefault="00E64972" w:rsidP="00F6479F">
            <w:pPr>
              <w:pStyle w:val="StyleWisnow"/>
              <w:rPr>
                <w:color w:val="000000" w:themeColor="text1"/>
              </w:rPr>
            </w:pPr>
            <w:r w:rsidRPr="00286216">
              <w:rPr>
                <w:color w:val="000000" w:themeColor="text1"/>
              </w:rPr>
              <w:t>399.</w:t>
            </w:r>
          </w:p>
        </w:tc>
        <w:tc>
          <w:tcPr>
            <w:tcW w:w="4818" w:type="dxa"/>
          </w:tcPr>
          <w:p w14:paraId="19CF7AFB" w14:textId="77777777" w:rsidR="00E64972" w:rsidRPr="00286216" w:rsidRDefault="00E64972" w:rsidP="00F6479F">
            <w:pPr>
              <w:pStyle w:val="StyleZakonu"/>
              <w:rPr>
                <w:color w:val="000000" w:themeColor="text1"/>
              </w:rPr>
            </w:pPr>
            <w:r w:rsidRPr="00286216">
              <w:rPr>
                <w:color w:val="000000" w:themeColor="text1"/>
              </w:rPr>
              <w:t>2) середньострокові - від одного до п’яти років;</w:t>
            </w:r>
          </w:p>
        </w:tc>
        <w:tc>
          <w:tcPr>
            <w:tcW w:w="3686" w:type="dxa"/>
          </w:tcPr>
          <w:p w14:paraId="47ADAF9F" w14:textId="771F1EA2" w:rsidR="00E64972" w:rsidRPr="00286216" w:rsidRDefault="00E64972" w:rsidP="00FB1505">
            <w:pPr>
              <w:pStyle w:val="StyleProp"/>
              <w:rPr>
                <w:color w:val="000000" w:themeColor="text1"/>
                <w:spacing w:val="-8"/>
                <w:szCs w:val="18"/>
              </w:rPr>
            </w:pPr>
            <w:r w:rsidRPr="00286216">
              <w:rPr>
                <w:color w:val="000000" w:themeColor="text1"/>
                <w:spacing w:val="-8"/>
              </w:rPr>
              <w:t>2) середньострокові –</w:t>
            </w:r>
            <w:r w:rsidR="00FB1505" w:rsidRPr="00286216">
              <w:rPr>
                <w:color w:val="000000" w:themeColor="text1"/>
                <w:spacing w:val="-8"/>
                <w:lang w:val="ru-RU"/>
              </w:rPr>
              <w:t xml:space="preserve"> </w:t>
            </w:r>
            <w:r w:rsidR="00FB1505" w:rsidRPr="00286216">
              <w:rPr>
                <w:color w:val="000000" w:themeColor="text1"/>
              </w:rPr>
              <w:t xml:space="preserve">із строком обігу </w:t>
            </w:r>
            <w:r w:rsidRPr="00286216">
              <w:rPr>
                <w:color w:val="000000" w:themeColor="text1"/>
                <w:spacing w:val="-8"/>
              </w:rPr>
              <w:t>від одного до п’яти років;</w:t>
            </w:r>
          </w:p>
        </w:tc>
        <w:tc>
          <w:tcPr>
            <w:tcW w:w="1987" w:type="dxa"/>
          </w:tcPr>
          <w:p w14:paraId="6D3748B1" w14:textId="77777777" w:rsidR="00E64972" w:rsidRPr="00286216" w:rsidRDefault="00E64972" w:rsidP="00F6479F">
            <w:pPr>
              <w:pStyle w:val="StyleWisnow"/>
              <w:rPr>
                <w:color w:val="000000" w:themeColor="text1"/>
              </w:rPr>
            </w:pPr>
          </w:p>
        </w:tc>
        <w:tc>
          <w:tcPr>
            <w:tcW w:w="4818" w:type="dxa"/>
          </w:tcPr>
          <w:p w14:paraId="7CEC97A6" w14:textId="2F68A06C" w:rsidR="00E64972" w:rsidRPr="00286216" w:rsidRDefault="00E64972" w:rsidP="00F6479F">
            <w:pPr>
              <w:pStyle w:val="StyleZakonu"/>
              <w:rPr>
                <w:color w:val="000000" w:themeColor="text1"/>
              </w:rPr>
            </w:pPr>
            <w:r w:rsidRPr="00286216">
              <w:rPr>
                <w:color w:val="000000" w:themeColor="text1"/>
              </w:rPr>
              <w:t xml:space="preserve">2) середньостроковими – із строком обігу від одного до п’яти років; </w:t>
            </w:r>
          </w:p>
        </w:tc>
      </w:tr>
      <w:tr w:rsidR="00E64972" w:rsidRPr="00286216" w14:paraId="527614F4" w14:textId="77777777" w:rsidTr="00F6479F">
        <w:tc>
          <w:tcPr>
            <w:tcW w:w="576" w:type="dxa"/>
          </w:tcPr>
          <w:p w14:paraId="7DDF6452" w14:textId="77777777" w:rsidR="00E64972" w:rsidRPr="00286216" w:rsidRDefault="00E64972" w:rsidP="00F6479F">
            <w:pPr>
              <w:pStyle w:val="StyleWisnow"/>
              <w:rPr>
                <w:color w:val="000000" w:themeColor="text1"/>
              </w:rPr>
            </w:pPr>
            <w:r w:rsidRPr="00286216">
              <w:rPr>
                <w:color w:val="000000" w:themeColor="text1"/>
              </w:rPr>
              <w:t>400.</w:t>
            </w:r>
          </w:p>
        </w:tc>
        <w:tc>
          <w:tcPr>
            <w:tcW w:w="4818" w:type="dxa"/>
          </w:tcPr>
          <w:p w14:paraId="7E1891ED" w14:textId="77777777" w:rsidR="00E64972" w:rsidRPr="00286216" w:rsidRDefault="00E64972" w:rsidP="00F6479F">
            <w:pPr>
              <w:pStyle w:val="StyleZakonu"/>
              <w:rPr>
                <w:color w:val="000000" w:themeColor="text1"/>
              </w:rPr>
            </w:pPr>
            <w:r w:rsidRPr="00286216">
              <w:rPr>
                <w:color w:val="000000" w:themeColor="text1"/>
              </w:rPr>
              <w:t>3) короткострокові - до одного року.</w:t>
            </w:r>
          </w:p>
        </w:tc>
        <w:tc>
          <w:tcPr>
            <w:tcW w:w="3686" w:type="dxa"/>
          </w:tcPr>
          <w:p w14:paraId="0FA31FEB" w14:textId="5440D006" w:rsidR="00E64972" w:rsidRPr="00286216" w:rsidRDefault="00E64972" w:rsidP="00FB1505">
            <w:pPr>
              <w:pStyle w:val="StyleProp"/>
              <w:rPr>
                <w:color w:val="000000" w:themeColor="text1"/>
                <w:szCs w:val="18"/>
              </w:rPr>
            </w:pPr>
            <w:r w:rsidRPr="00286216">
              <w:rPr>
                <w:color w:val="000000" w:themeColor="text1"/>
              </w:rPr>
              <w:t>3) короткострокові –</w:t>
            </w:r>
            <w:r w:rsidR="00FB1505" w:rsidRPr="00286216">
              <w:rPr>
                <w:color w:val="000000" w:themeColor="text1"/>
                <w:lang w:val="ru-RU"/>
              </w:rPr>
              <w:t xml:space="preserve"> </w:t>
            </w:r>
            <w:r w:rsidR="00FB1505" w:rsidRPr="00286216">
              <w:rPr>
                <w:color w:val="000000" w:themeColor="text1"/>
              </w:rPr>
              <w:t xml:space="preserve">із строком обігу </w:t>
            </w:r>
            <w:r w:rsidRPr="00286216">
              <w:rPr>
                <w:color w:val="000000" w:themeColor="text1"/>
              </w:rPr>
              <w:t xml:space="preserve">до одного року. </w:t>
            </w:r>
          </w:p>
        </w:tc>
        <w:tc>
          <w:tcPr>
            <w:tcW w:w="1987" w:type="dxa"/>
          </w:tcPr>
          <w:p w14:paraId="000C46BA" w14:textId="77777777" w:rsidR="00E64972" w:rsidRPr="00286216" w:rsidRDefault="00E64972" w:rsidP="00F6479F">
            <w:pPr>
              <w:pStyle w:val="StyleWisnow"/>
              <w:rPr>
                <w:color w:val="000000" w:themeColor="text1"/>
              </w:rPr>
            </w:pPr>
          </w:p>
        </w:tc>
        <w:tc>
          <w:tcPr>
            <w:tcW w:w="4818" w:type="dxa"/>
          </w:tcPr>
          <w:p w14:paraId="72020491" w14:textId="5BDF2C5E" w:rsidR="00E64972" w:rsidRPr="00286216" w:rsidRDefault="00E64972" w:rsidP="00F6479F">
            <w:pPr>
              <w:pStyle w:val="StyleZakonu"/>
              <w:rPr>
                <w:color w:val="000000" w:themeColor="text1"/>
              </w:rPr>
            </w:pPr>
            <w:r w:rsidRPr="00286216">
              <w:rPr>
                <w:color w:val="000000" w:themeColor="text1"/>
              </w:rPr>
              <w:t xml:space="preserve">3) короткостроковими – із строком обігу до одного року. </w:t>
            </w:r>
          </w:p>
        </w:tc>
      </w:tr>
      <w:tr w:rsidR="00E64972" w:rsidRPr="00286216" w14:paraId="4D678AA7" w14:textId="77777777" w:rsidTr="00F6479F">
        <w:tc>
          <w:tcPr>
            <w:tcW w:w="576" w:type="dxa"/>
          </w:tcPr>
          <w:p w14:paraId="170EB9DF" w14:textId="77777777" w:rsidR="00E64972" w:rsidRPr="00286216" w:rsidRDefault="00E64972" w:rsidP="00F6479F">
            <w:pPr>
              <w:pStyle w:val="StyleWisnow"/>
              <w:rPr>
                <w:color w:val="000000" w:themeColor="text1"/>
              </w:rPr>
            </w:pPr>
            <w:r w:rsidRPr="00286216">
              <w:rPr>
                <w:color w:val="000000" w:themeColor="text1"/>
              </w:rPr>
              <w:t>401.</w:t>
            </w:r>
          </w:p>
        </w:tc>
        <w:tc>
          <w:tcPr>
            <w:tcW w:w="4818" w:type="dxa"/>
          </w:tcPr>
          <w:p w14:paraId="2AFD62B3" w14:textId="77777777" w:rsidR="00E64972" w:rsidRPr="00286216" w:rsidRDefault="00E64972" w:rsidP="00F6479F">
            <w:pPr>
              <w:pStyle w:val="StyleZakonu"/>
              <w:rPr>
                <w:color w:val="000000" w:themeColor="text1"/>
              </w:rPr>
            </w:pPr>
            <w:r w:rsidRPr="00286216">
              <w:rPr>
                <w:color w:val="000000" w:themeColor="text1"/>
              </w:rPr>
              <w:t>2. Державні облігації України поділяються на облігації внутрішньої державної позики України, облігації зовнішніх державних позик України та цільові облігації внутрішньої державної позики України.</w:t>
            </w:r>
          </w:p>
        </w:tc>
        <w:tc>
          <w:tcPr>
            <w:tcW w:w="3686" w:type="dxa"/>
          </w:tcPr>
          <w:p w14:paraId="55C039D4" w14:textId="77777777" w:rsidR="00E64972" w:rsidRPr="00286216" w:rsidRDefault="00E64972" w:rsidP="00F6479F">
            <w:pPr>
              <w:pStyle w:val="StyleProp"/>
              <w:rPr>
                <w:color w:val="000000" w:themeColor="text1"/>
                <w:szCs w:val="18"/>
              </w:rPr>
            </w:pPr>
            <w:r w:rsidRPr="00286216">
              <w:rPr>
                <w:color w:val="000000" w:themeColor="text1"/>
              </w:rPr>
              <w:t xml:space="preserve">2. Державні облігації України поділяються на облігації внутрішньої державної позики України та облігації зовнішніх державних позик України. </w:t>
            </w:r>
          </w:p>
        </w:tc>
        <w:tc>
          <w:tcPr>
            <w:tcW w:w="1987" w:type="dxa"/>
          </w:tcPr>
          <w:p w14:paraId="4A775AD3" w14:textId="77777777" w:rsidR="00E64972" w:rsidRPr="00286216" w:rsidRDefault="00E64972" w:rsidP="00F6479F">
            <w:pPr>
              <w:pStyle w:val="StyleWisnow"/>
              <w:rPr>
                <w:color w:val="000000" w:themeColor="text1"/>
              </w:rPr>
            </w:pPr>
          </w:p>
        </w:tc>
        <w:tc>
          <w:tcPr>
            <w:tcW w:w="4818" w:type="dxa"/>
          </w:tcPr>
          <w:p w14:paraId="5FE41E34" w14:textId="77777777" w:rsidR="00E64972" w:rsidRPr="00286216" w:rsidRDefault="00E64972" w:rsidP="00F6479F">
            <w:pPr>
              <w:pStyle w:val="StyleZakonu"/>
              <w:rPr>
                <w:color w:val="000000" w:themeColor="text1"/>
              </w:rPr>
            </w:pPr>
            <w:r w:rsidRPr="00286216">
              <w:rPr>
                <w:color w:val="000000" w:themeColor="text1"/>
              </w:rPr>
              <w:t xml:space="preserve">2. Державні облігації України поділяються на облігації внутрішньої державної позики України та облігації зовнішніх державних позик України. </w:t>
            </w:r>
          </w:p>
        </w:tc>
      </w:tr>
      <w:tr w:rsidR="00E64972" w:rsidRPr="00286216" w14:paraId="77B9C45A" w14:textId="77777777" w:rsidTr="00F6479F">
        <w:tc>
          <w:tcPr>
            <w:tcW w:w="576" w:type="dxa"/>
          </w:tcPr>
          <w:p w14:paraId="183F19BD" w14:textId="77777777" w:rsidR="00E64972" w:rsidRPr="00286216" w:rsidRDefault="00E64972" w:rsidP="00F6479F">
            <w:pPr>
              <w:pStyle w:val="StyleWisnow"/>
              <w:rPr>
                <w:color w:val="000000" w:themeColor="text1"/>
              </w:rPr>
            </w:pPr>
            <w:r w:rsidRPr="00286216">
              <w:rPr>
                <w:color w:val="000000" w:themeColor="text1"/>
              </w:rPr>
              <w:t>402.</w:t>
            </w:r>
          </w:p>
        </w:tc>
        <w:tc>
          <w:tcPr>
            <w:tcW w:w="4818" w:type="dxa"/>
          </w:tcPr>
          <w:p w14:paraId="47CB1ECF" w14:textId="77777777" w:rsidR="00E64972" w:rsidRPr="00286216" w:rsidRDefault="00E64972" w:rsidP="00F6479F">
            <w:pPr>
              <w:pStyle w:val="StyleZakonu"/>
              <w:rPr>
                <w:color w:val="000000" w:themeColor="text1"/>
              </w:rPr>
            </w:pPr>
            <w:r w:rsidRPr="00286216">
              <w:rPr>
                <w:color w:val="000000" w:themeColor="text1"/>
              </w:rPr>
              <w:t>3. Облігації внутрішньої державної позики України - державні цінні папери, що розміщуються виключно на внутрішніх ринках капіталу і підтверджують зобов’язання України щодо відшкодування пред’явникам цих облігацій їх номінальної вартості з виплатою доходу відповідно до умов розміщення облігацій. Номінальна вартість облігацій внутрішньої державної позики України може бути визначена в іноземній валюті.</w:t>
            </w:r>
          </w:p>
        </w:tc>
        <w:tc>
          <w:tcPr>
            <w:tcW w:w="3686" w:type="dxa"/>
          </w:tcPr>
          <w:p w14:paraId="5669B90C" w14:textId="77777777" w:rsidR="00E64972" w:rsidRPr="00286216" w:rsidRDefault="00E64972" w:rsidP="00F6479F">
            <w:pPr>
              <w:pStyle w:val="StyleProp"/>
              <w:rPr>
                <w:color w:val="000000" w:themeColor="text1"/>
                <w:szCs w:val="18"/>
              </w:rPr>
            </w:pPr>
            <w:r w:rsidRPr="00286216">
              <w:rPr>
                <w:color w:val="000000" w:themeColor="text1"/>
              </w:rPr>
              <w:t>3. Облігації внутрішньої державної позики України – це цінні папери, що розміщуються виключно на внутрішніх ринках капіталу і підтверджують зобов’язання України щодо відшкодування пред’явникам цих облігацій їх номінальної вартості з виплатою доходу відповідно до умов розміщення облігацій. Номінальна вартість облігацій внутрішньої державної позики України може бути визначена в іноземній валюті.</w:t>
            </w:r>
          </w:p>
        </w:tc>
        <w:tc>
          <w:tcPr>
            <w:tcW w:w="1987" w:type="dxa"/>
          </w:tcPr>
          <w:p w14:paraId="30ECF6FF" w14:textId="77777777" w:rsidR="00E64972" w:rsidRPr="00286216" w:rsidRDefault="00E64972" w:rsidP="00F6479F">
            <w:pPr>
              <w:pStyle w:val="StyleWisnow"/>
              <w:rPr>
                <w:color w:val="000000" w:themeColor="text1"/>
              </w:rPr>
            </w:pPr>
          </w:p>
        </w:tc>
        <w:tc>
          <w:tcPr>
            <w:tcW w:w="4818" w:type="dxa"/>
          </w:tcPr>
          <w:p w14:paraId="0DCC7539" w14:textId="77777777" w:rsidR="00E64972" w:rsidRPr="00286216" w:rsidRDefault="00E64972" w:rsidP="00F6479F">
            <w:pPr>
              <w:pStyle w:val="StyleZakonu"/>
              <w:rPr>
                <w:color w:val="000000" w:themeColor="text1"/>
              </w:rPr>
            </w:pPr>
            <w:r w:rsidRPr="00286216">
              <w:rPr>
                <w:color w:val="000000" w:themeColor="text1"/>
              </w:rPr>
              <w:t>3. Облігації внутрішньої державної позики України – це цінні папери, що розміщуються виключно на внутрішніх ринках капіталу і підтверджують зобов’язання України щодо відшкодування пред’явникам цих облігацій їхньої номінальної вартості з виплатою доходу відповідно до умов розміщення облігацій. Номінальна вартість облігацій внутрішньої державної позики України може бути визначена в іноземній валюті.</w:t>
            </w:r>
          </w:p>
        </w:tc>
      </w:tr>
      <w:tr w:rsidR="00E64972" w:rsidRPr="00286216" w14:paraId="42F365BC" w14:textId="77777777" w:rsidTr="00F6479F">
        <w:tc>
          <w:tcPr>
            <w:tcW w:w="576" w:type="dxa"/>
          </w:tcPr>
          <w:p w14:paraId="2CAE96D3" w14:textId="77777777" w:rsidR="00E64972" w:rsidRPr="00286216" w:rsidRDefault="00E64972" w:rsidP="00F6479F">
            <w:pPr>
              <w:pStyle w:val="StyleWisnow"/>
              <w:rPr>
                <w:color w:val="000000" w:themeColor="text1"/>
              </w:rPr>
            </w:pPr>
            <w:r w:rsidRPr="00286216">
              <w:rPr>
                <w:color w:val="000000" w:themeColor="text1"/>
              </w:rPr>
              <w:t>403.</w:t>
            </w:r>
          </w:p>
        </w:tc>
        <w:tc>
          <w:tcPr>
            <w:tcW w:w="4818" w:type="dxa"/>
          </w:tcPr>
          <w:p w14:paraId="40DCE64F" w14:textId="77777777" w:rsidR="00E64972" w:rsidRPr="00286216" w:rsidRDefault="00E64972" w:rsidP="00F6479F">
            <w:pPr>
              <w:pStyle w:val="StyleZakonu"/>
              <w:rPr>
                <w:color w:val="000000" w:themeColor="text1"/>
              </w:rPr>
            </w:pPr>
            <w:r w:rsidRPr="00286216">
              <w:rPr>
                <w:color w:val="000000" w:themeColor="text1"/>
              </w:rPr>
              <w:t>4. Цільові облігації внутрішньої державної позики України - облігації внутрішньої державної позики, емісія яких є джерелом фінансування дефіциту державного бюджету в обсягах, передбачених на цю мету законом про Державний бюджет України на відповідний рік, та в межах граничного розміру державного боргу.</w:t>
            </w:r>
          </w:p>
        </w:tc>
        <w:tc>
          <w:tcPr>
            <w:tcW w:w="3686" w:type="dxa"/>
          </w:tcPr>
          <w:p w14:paraId="757C2D60" w14:textId="77777777" w:rsidR="00E64972" w:rsidRPr="00286216" w:rsidRDefault="00E64972" w:rsidP="00F6479F">
            <w:pPr>
              <w:pStyle w:val="StyleProp"/>
              <w:rPr>
                <w:color w:val="000000" w:themeColor="text1"/>
                <w:szCs w:val="18"/>
              </w:rPr>
            </w:pPr>
            <w:r w:rsidRPr="00286216">
              <w:rPr>
                <w:color w:val="000000" w:themeColor="text1"/>
              </w:rPr>
              <w:t>4. Облігації зовнішньої державної позики України – це цінні папери, що розміщуються на міжнародних ринках капіталу і підтверджують зобов’язання України щодо відшкодування пред’явникам цих облігацій їх номінальної вартості з виплатою доходу відповідно до умов розміщення облігацій.</w:t>
            </w:r>
          </w:p>
        </w:tc>
        <w:tc>
          <w:tcPr>
            <w:tcW w:w="1987" w:type="dxa"/>
          </w:tcPr>
          <w:p w14:paraId="37E5C36C" w14:textId="77777777" w:rsidR="00E64972" w:rsidRPr="00286216" w:rsidRDefault="00E64972" w:rsidP="00F6479F">
            <w:pPr>
              <w:pStyle w:val="StyleWisnow"/>
              <w:rPr>
                <w:color w:val="000000" w:themeColor="text1"/>
              </w:rPr>
            </w:pPr>
          </w:p>
        </w:tc>
        <w:tc>
          <w:tcPr>
            <w:tcW w:w="4818" w:type="dxa"/>
          </w:tcPr>
          <w:p w14:paraId="0486D058" w14:textId="77777777" w:rsidR="00E64972" w:rsidRPr="00286216" w:rsidRDefault="00E64972" w:rsidP="00F6479F">
            <w:pPr>
              <w:pStyle w:val="StyleZakonu"/>
              <w:rPr>
                <w:color w:val="000000" w:themeColor="text1"/>
              </w:rPr>
            </w:pPr>
            <w:r w:rsidRPr="00286216">
              <w:rPr>
                <w:color w:val="000000" w:themeColor="text1"/>
              </w:rPr>
              <w:t>4. Облігації зовнішньої державної позики України – це цінні папери, що розміщуються на міжнародних ринках капіталу і підтверджують зобов’язання України щодо відшкодування пред’явникам цих облігацій їхньої номінальної вартості з виплатою доходу відповідно до умов розміщення облігацій.</w:t>
            </w:r>
          </w:p>
        </w:tc>
      </w:tr>
      <w:tr w:rsidR="00E64972" w:rsidRPr="00286216" w14:paraId="59CA921D" w14:textId="77777777" w:rsidTr="00F6479F">
        <w:tc>
          <w:tcPr>
            <w:tcW w:w="576" w:type="dxa"/>
          </w:tcPr>
          <w:p w14:paraId="0E92A5C2" w14:textId="77777777" w:rsidR="00E64972" w:rsidRPr="00286216" w:rsidRDefault="00E64972" w:rsidP="00F6479F">
            <w:pPr>
              <w:pStyle w:val="StyleWisnow"/>
              <w:rPr>
                <w:color w:val="000000" w:themeColor="text1"/>
              </w:rPr>
            </w:pPr>
            <w:r w:rsidRPr="00286216">
              <w:rPr>
                <w:color w:val="000000" w:themeColor="text1"/>
              </w:rPr>
              <w:t>404.</w:t>
            </w:r>
          </w:p>
        </w:tc>
        <w:tc>
          <w:tcPr>
            <w:tcW w:w="4818" w:type="dxa"/>
          </w:tcPr>
          <w:p w14:paraId="2AEDA964" w14:textId="77777777" w:rsidR="00E64972" w:rsidRPr="00286216" w:rsidRDefault="00E64972" w:rsidP="00F6479F">
            <w:pPr>
              <w:pStyle w:val="StyleZakonu"/>
              <w:rPr>
                <w:color w:val="000000" w:themeColor="text1"/>
              </w:rPr>
            </w:pPr>
            <w:r w:rsidRPr="00286216">
              <w:rPr>
                <w:color w:val="000000" w:themeColor="text1"/>
              </w:rPr>
              <w:t>Основним реквізитом цільових облігацій внутрішньої державної позики України є зазначення передбаченого законом про Державний бюджет України на відповідний рік напряму використання залучених від розміщення таких облігацій коштів.</w:t>
            </w:r>
          </w:p>
        </w:tc>
        <w:tc>
          <w:tcPr>
            <w:tcW w:w="3686" w:type="dxa"/>
          </w:tcPr>
          <w:p w14:paraId="7A8837B8" w14:textId="77777777" w:rsidR="00E64972" w:rsidRPr="00286216" w:rsidRDefault="00E64972" w:rsidP="00F6479F">
            <w:pPr>
              <w:pStyle w:val="StyleProp"/>
              <w:rPr>
                <w:color w:val="000000" w:themeColor="text1"/>
                <w:szCs w:val="18"/>
              </w:rPr>
            </w:pPr>
            <w:r w:rsidRPr="00286216">
              <w:rPr>
                <w:color w:val="000000" w:themeColor="text1"/>
              </w:rPr>
              <w:t>5. Емісія державних облігацій України є частиною бюджетного процесу і не підлягає регулюванню Національною комісією з цінних паперів та фондового ринку.</w:t>
            </w:r>
          </w:p>
        </w:tc>
        <w:tc>
          <w:tcPr>
            <w:tcW w:w="1987" w:type="dxa"/>
          </w:tcPr>
          <w:p w14:paraId="56CE783E" w14:textId="77777777" w:rsidR="00E64972" w:rsidRPr="00286216" w:rsidRDefault="00E64972" w:rsidP="00F6479F">
            <w:pPr>
              <w:pStyle w:val="StyleWisnow"/>
              <w:rPr>
                <w:color w:val="000000" w:themeColor="text1"/>
              </w:rPr>
            </w:pPr>
          </w:p>
        </w:tc>
        <w:tc>
          <w:tcPr>
            <w:tcW w:w="4818" w:type="dxa"/>
          </w:tcPr>
          <w:p w14:paraId="49E7B9AA" w14:textId="77777777" w:rsidR="00E64972" w:rsidRPr="00286216" w:rsidRDefault="00E64972" w:rsidP="00F6479F">
            <w:pPr>
              <w:pStyle w:val="StyleZakonu"/>
              <w:rPr>
                <w:color w:val="000000" w:themeColor="text1"/>
              </w:rPr>
            </w:pPr>
          </w:p>
        </w:tc>
      </w:tr>
      <w:tr w:rsidR="00E64972" w:rsidRPr="00286216" w14:paraId="4720701F" w14:textId="77777777" w:rsidTr="00F6479F">
        <w:tc>
          <w:tcPr>
            <w:tcW w:w="576" w:type="dxa"/>
          </w:tcPr>
          <w:p w14:paraId="4B5436D4" w14:textId="77777777" w:rsidR="00E64972" w:rsidRPr="00286216" w:rsidRDefault="00E64972" w:rsidP="00F6479F">
            <w:pPr>
              <w:pStyle w:val="StyleWisnow"/>
              <w:rPr>
                <w:color w:val="000000" w:themeColor="text1"/>
              </w:rPr>
            </w:pPr>
            <w:r w:rsidRPr="00286216">
              <w:rPr>
                <w:color w:val="000000" w:themeColor="text1"/>
              </w:rPr>
              <w:t>405.</w:t>
            </w:r>
          </w:p>
        </w:tc>
        <w:tc>
          <w:tcPr>
            <w:tcW w:w="4818" w:type="dxa"/>
          </w:tcPr>
          <w:p w14:paraId="78C84A1D" w14:textId="77777777" w:rsidR="00E64972" w:rsidRPr="00286216" w:rsidRDefault="00E64972" w:rsidP="00F6479F">
            <w:pPr>
              <w:pStyle w:val="StyleZakonu"/>
              <w:rPr>
                <w:color w:val="000000" w:themeColor="text1"/>
              </w:rPr>
            </w:pPr>
            <w:r w:rsidRPr="00286216">
              <w:rPr>
                <w:color w:val="000000" w:themeColor="text1"/>
              </w:rPr>
              <w:t xml:space="preserve">Кошти, залучені до Державного бюджету України від розміщення цільових облігацій внутрішньої </w:t>
            </w:r>
            <w:r w:rsidRPr="00286216">
              <w:rPr>
                <w:color w:val="000000" w:themeColor="text1"/>
              </w:rPr>
              <w:lastRenderedPageBreak/>
              <w:t>державної позики України, використовуються виключно для фінансування державних цільових програм, регіональних програм і проектів, інвестиційних проектів на умовах їх повернення в обсягах, передбачених на цю мету законом про Державний бюджет України на відповідний рік. Фінансування здійснюється відповідно до кредитних договорів, що укладаються між державою в особі Міністерства фінансів України та отримувачем коштів. Умови кредитних договорів повинні відповідати умовам розміщення цільових облігацій внутрішньої державної позики України з обов’язковим установленням дати обслуговування та погашення кредиту за п’ять днів до дати обслуговування та погашення цільових облігацій внутрішньої державної позики України.</w:t>
            </w:r>
          </w:p>
        </w:tc>
        <w:tc>
          <w:tcPr>
            <w:tcW w:w="3686" w:type="dxa"/>
          </w:tcPr>
          <w:p w14:paraId="36D03857" w14:textId="77777777" w:rsidR="00E64972" w:rsidRPr="00286216" w:rsidRDefault="00E64972" w:rsidP="00F6479F">
            <w:pPr>
              <w:pStyle w:val="StyleProp"/>
              <w:rPr>
                <w:color w:val="000000" w:themeColor="text1"/>
              </w:rPr>
            </w:pPr>
            <w:r w:rsidRPr="00286216">
              <w:rPr>
                <w:color w:val="000000" w:themeColor="text1"/>
              </w:rPr>
              <w:lastRenderedPageBreak/>
              <w:t>Дія розділу V</w:t>
            </w:r>
            <w:r w:rsidRPr="00286216">
              <w:rPr>
                <w:color w:val="000000" w:themeColor="text1"/>
                <w:lang w:val="en-US"/>
              </w:rPr>
              <w:t>I</w:t>
            </w:r>
            <w:r w:rsidRPr="00286216">
              <w:rPr>
                <w:color w:val="000000" w:themeColor="text1"/>
              </w:rPr>
              <w:t xml:space="preserve">I цього Закону не поширюється на емісію державних облігацій </w:t>
            </w:r>
            <w:r w:rsidRPr="00286216">
              <w:rPr>
                <w:color w:val="000000" w:themeColor="text1"/>
              </w:rPr>
              <w:lastRenderedPageBreak/>
              <w:t>України.</w:t>
            </w:r>
          </w:p>
          <w:p w14:paraId="6D0E3A8B" w14:textId="77777777" w:rsidR="00E64972" w:rsidRPr="00286216" w:rsidRDefault="00E64972" w:rsidP="00F6479F">
            <w:pPr>
              <w:pStyle w:val="StyleProp"/>
              <w:rPr>
                <w:color w:val="000000" w:themeColor="text1"/>
              </w:rPr>
            </w:pPr>
            <w:r w:rsidRPr="00286216">
              <w:rPr>
                <w:color w:val="000000" w:themeColor="text1"/>
              </w:rPr>
              <w:t>6. Емісія державних облігацій України регулюється Бюджетним кодексом України та законом про Державний бюджет України на відповідний рік, яким встановлюються граничний розмір державного боргу.</w:t>
            </w:r>
          </w:p>
          <w:p w14:paraId="55E8D7A3" w14:textId="77777777" w:rsidR="00E64972" w:rsidRPr="00286216" w:rsidRDefault="00E64972" w:rsidP="00F6479F">
            <w:pPr>
              <w:pStyle w:val="StyleProp"/>
              <w:rPr>
                <w:color w:val="000000" w:themeColor="text1"/>
                <w:szCs w:val="18"/>
              </w:rPr>
            </w:pPr>
            <w:r w:rsidRPr="00286216">
              <w:rPr>
                <w:color w:val="000000" w:themeColor="text1"/>
              </w:rPr>
              <w:t>7. Умови розміщення державних облігацій України, включаючи їх емісію, викуп, конвертацію та погашення, не визначені умовами розміщення, встановлюються відповідно до закону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w:t>
            </w:r>
          </w:p>
        </w:tc>
        <w:tc>
          <w:tcPr>
            <w:tcW w:w="1987" w:type="dxa"/>
          </w:tcPr>
          <w:p w14:paraId="60A56CD8" w14:textId="77777777" w:rsidR="00E64972" w:rsidRPr="00286216" w:rsidRDefault="00E64972" w:rsidP="00F6479F">
            <w:pPr>
              <w:pStyle w:val="StyleWisnow"/>
              <w:rPr>
                <w:color w:val="000000" w:themeColor="text1"/>
              </w:rPr>
            </w:pPr>
          </w:p>
        </w:tc>
        <w:tc>
          <w:tcPr>
            <w:tcW w:w="4818" w:type="dxa"/>
          </w:tcPr>
          <w:p w14:paraId="454D7223" w14:textId="77777777" w:rsidR="00E64972" w:rsidRPr="00286216" w:rsidRDefault="00E64972" w:rsidP="00F6479F">
            <w:pPr>
              <w:pStyle w:val="StyleZakonu"/>
              <w:rPr>
                <w:color w:val="000000" w:themeColor="text1"/>
              </w:rPr>
            </w:pPr>
          </w:p>
        </w:tc>
      </w:tr>
      <w:tr w:rsidR="00E64972" w:rsidRPr="00286216" w14:paraId="3DE8821E" w14:textId="77777777" w:rsidTr="00F6479F">
        <w:tc>
          <w:tcPr>
            <w:tcW w:w="576" w:type="dxa"/>
          </w:tcPr>
          <w:p w14:paraId="427A3312" w14:textId="77777777" w:rsidR="00E64972" w:rsidRPr="00286216" w:rsidRDefault="00E64972" w:rsidP="00F6479F">
            <w:pPr>
              <w:pStyle w:val="StyleWisnow"/>
              <w:rPr>
                <w:color w:val="000000" w:themeColor="text1"/>
              </w:rPr>
            </w:pPr>
            <w:r w:rsidRPr="00286216">
              <w:rPr>
                <w:color w:val="000000" w:themeColor="text1"/>
              </w:rPr>
              <w:t>406.</w:t>
            </w:r>
          </w:p>
        </w:tc>
        <w:tc>
          <w:tcPr>
            <w:tcW w:w="4818" w:type="dxa"/>
          </w:tcPr>
          <w:p w14:paraId="65062343" w14:textId="77777777" w:rsidR="00E64972" w:rsidRPr="00286216" w:rsidRDefault="00E64972" w:rsidP="00F6479F">
            <w:pPr>
              <w:pStyle w:val="StyleZakonu"/>
              <w:rPr>
                <w:color w:val="000000" w:themeColor="text1"/>
              </w:rPr>
            </w:pPr>
            <w:r w:rsidRPr="00286216">
              <w:rPr>
                <w:color w:val="000000" w:themeColor="text1"/>
              </w:rPr>
              <w:t>5. Облігації зовнішніх державних позик України - державні боргові цінні папери, що розміщуються на міжнародних фондових ринках і підтверджують зобов’язання України відшкодувати пред’явникам цих облігацій їх номінальну вартість з виплатою доходу відповідно до умов розміщення облігацій.</w:t>
            </w:r>
          </w:p>
        </w:tc>
        <w:tc>
          <w:tcPr>
            <w:tcW w:w="3686" w:type="dxa"/>
          </w:tcPr>
          <w:p w14:paraId="3783A67E" w14:textId="77777777" w:rsidR="00E64972" w:rsidRPr="00286216" w:rsidRDefault="00E64972" w:rsidP="00F6479F">
            <w:pPr>
              <w:pStyle w:val="StyleProp"/>
              <w:rPr>
                <w:color w:val="000000" w:themeColor="text1"/>
                <w:szCs w:val="18"/>
              </w:rPr>
            </w:pPr>
            <w:r w:rsidRPr="00286216">
              <w:rPr>
                <w:color w:val="000000" w:themeColor="text1"/>
              </w:rPr>
              <w:t>8. Національний банк України виконує операції з обслуговування державного боргу, пов’язані з розміщенням облігацій внутрішньої державної позики України, їх погашенням і виплатою доходів за ними, а також відповідно до Закону України "Про депозитарну систему України" провадить депозитарну діяльність щодо таких цінних паперів. Порядок проведення операцій, пов’язаних з розміщенням цих облігацій, відповідно до закону встановлюється Національним банком України за погодженням з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 Особливості провадження депозитарної діяльності з державними облігаціями України визначаються відповідно до закону Національною комісією з цінних паперів та фондового ринку за погодженням  із Національним банком України.</w:t>
            </w:r>
          </w:p>
        </w:tc>
        <w:tc>
          <w:tcPr>
            <w:tcW w:w="1987" w:type="dxa"/>
          </w:tcPr>
          <w:p w14:paraId="509711DB" w14:textId="77777777" w:rsidR="00E64972" w:rsidRPr="00286216" w:rsidRDefault="00E64972" w:rsidP="00F6479F">
            <w:pPr>
              <w:pStyle w:val="StyleWisnow"/>
              <w:rPr>
                <w:color w:val="000000" w:themeColor="text1"/>
              </w:rPr>
            </w:pPr>
          </w:p>
        </w:tc>
        <w:tc>
          <w:tcPr>
            <w:tcW w:w="4818" w:type="dxa"/>
          </w:tcPr>
          <w:p w14:paraId="4E94CF7B" w14:textId="77777777" w:rsidR="00E64972" w:rsidRPr="00286216" w:rsidRDefault="00E64972" w:rsidP="00F6479F">
            <w:pPr>
              <w:pStyle w:val="StyleZakonu"/>
              <w:rPr>
                <w:color w:val="000000" w:themeColor="text1"/>
              </w:rPr>
            </w:pPr>
          </w:p>
        </w:tc>
      </w:tr>
      <w:tr w:rsidR="00E64972" w:rsidRPr="00286216" w14:paraId="5FA405EC" w14:textId="77777777" w:rsidTr="00F6479F">
        <w:tc>
          <w:tcPr>
            <w:tcW w:w="576" w:type="dxa"/>
          </w:tcPr>
          <w:p w14:paraId="1BD489F9" w14:textId="77777777" w:rsidR="00E64972" w:rsidRPr="00286216" w:rsidRDefault="00E64972" w:rsidP="00F6479F">
            <w:pPr>
              <w:pStyle w:val="StyleWisnow"/>
              <w:rPr>
                <w:color w:val="000000" w:themeColor="text1"/>
              </w:rPr>
            </w:pPr>
            <w:r w:rsidRPr="00286216">
              <w:rPr>
                <w:color w:val="000000" w:themeColor="text1"/>
              </w:rPr>
              <w:t>407.</w:t>
            </w:r>
          </w:p>
        </w:tc>
        <w:tc>
          <w:tcPr>
            <w:tcW w:w="4818" w:type="dxa"/>
          </w:tcPr>
          <w:p w14:paraId="43BDDD77" w14:textId="77777777" w:rsidR="00E64972" w:rsidRPr="00286216" w:rsidRDefault="00E64972" w:rsidP="00F6479F">
            <w:pPr>
              <w:pStyle w:val="StyleZakonu"/>
              <w:rPr>
                <w:color w:val="000000" w:themeColor="text1"/>
              </w:rPr>
            </w:pPr>
            <w:r w:rsidRPr="00286216">
              <w:rPr>
                <w:color w:val="000000" w:themeColor="text1"/>
              </w:rPr>
              <w:t>6. Емісія державних облігацій України є частиною бюджетного процесу і не підлягає регулюванню Національною комісією з цінних паперів та фондового ринку.</w:t>
            </w:r>
          </w:p>
        </w:tc>
        <w:tc>
          <w:tcPr>
            <w:tcW w:w="3686" w:type="dxa"/>
          </w:tcPr>
          <w:p w14:paraId="65E5E70F" w14:textId="77777777" w:rsidR="00E64972" w:rsidRPr="00286216" w:rsidRDefault="00E64972" w:rsidP="00F6479F">
            <w:pPr>
              <w:pStyle w:val="StyleProp"/>
              <w:rPr>
                <w:color w:val="000000" w:themeColor="text1"/>
              </w:rPr>
            </w:pPr>
            <w:r w:rsidRPr="00286216">
              <w:rPr>
                <w:color w:val="000000" w:themeColor="text1"/>
              </w:rPr>
              <w:t xml:space="preserve">9. Розміщення, обслуговування та погашення облігацій зовнішньої державної позики України здійснює центральний орган виконавчої влади, уповноважений на реалізацію державної бюджетної політики у сфері управління державним боргом та гарантованим державою боргом, який може залучати для цього банки, інвестиційні фірми тощо. Відносини між центральним органом </w:t>
            </w:r>
            <w:r w:rsidRPr="00286216">
              <w:rPr>
                <w:color w:val="000000" w:themeColor="text1"/>
              </w:rPr>
              <w:lastRenderedPageBreak/>
              <w:t>виконавчої влади, уповноваженим на реалізацію державної бюджетної політики у сфері управління державним боргом та гарантованим державою боргом, та зазначеними юридичними особами регулюються відповідними договорами.</w:t>
            </w:r>
          </w:p>
        </w:tc>
        <w:tc>
          <w:tcPr>
            <w:tcW w:w="1987" w:type="dxa"/>
          </w:tcPr>
          <w:p w14:paraId="3FDE1991" w14:textId="77777777" w:rsidR="00E64972" w:rsidRPr="00286216" w:rsidRDefault="00E64972" w:rsidP="00F6479F">
            <w:pPr>
              <w:pStyle w:val="StyleWisnow"/>
              <w:rPr>
                <w:color w:val="000000" w:themeColor="text1"/>
              </w:rPr>
            </w:pPr>
          </w:p>
        </w:tc>
        <w:tc>
          <w:tcPr>
            <w:tcW w:w="4818" w:type="dxa"/>
          </w:tcPr>
          <w:p w14:paraId="4687B7D3" w14:textId="77777777" w:rsidR="00E64972" w:rsidRPr="00286216" w:rsidRDefault="00E64972" w:rsidP="00F6479F">
            <w:pPr>
              <w:pStyle w:val="StyleZakonu"/>
              <w:rPr>
                <w:color w:val="000000" w:themeColor="text1"/>
              </w:rPr>
            </w:pPr>
            <w:r w:rsidRPr="00286216">
              <w:rPr>
                <w:color w:val="000000" w:themeColor="text1"/>
              </w:rPr>
              <w:t>5. Емісія державних облігацій України є частиною бюджетного процесу і не підлягає регулюванню Національною комісією з цінних паперів та фондового ринку.</w:t>
            </w:r>
          </w:p>
        </w:tc>
      </w:tr>
      <w:tr w:rsidR="00E64972" w:rsidRPr="00286216" w14:paraId="6712D58B" w14:textId="77777777" w:rsidTr="00F6479F">
        <w:tc>
          <w:tcPr>
            <w:tcW w:w="576" w:type="dxa"/>
          </w:tcPr>
          <w:p w14:paraId="32841AA2" w14:textId="77777777" w:rsidR="00E64972" w:rsidRPr="00286216" w:rsidRDefault="00E64972" w:rsidP="00F6479F">
            <w:pPr>
              <w:pStyle w:val="StyleWisnow"/>
              <w:rPr>
                <w:color w:val="000000" w:themeColor="text1"/>
              </w:rPr>
            </w:pPr>
            <w:r w:rsidRPr="00286216">
              <w:rPr>
                <w:color w:val="000000" w:themeColor="text1"/>
              </w:rPr>
              <w:t>408.</w:t>
            </w:r>
          </w:p>
        </w:tc>
        <w:tc>
          <w:tcPr>
            <w:tcW w:w="4818" w:type="dxa"/>
          </w:tcPr>
          <w:p w14:paraId="10FE81E9" w14:textId="77777777" w:rsidR="00E64972" w:rsidRPr="00286216" w:rsidRDefault="00E64972" w:rsidP="00F6479F">
            <w:pPr>
              <w:pStyle w:val="StyleZakonu"/>
              <w:rPr>
                <w:color w:val="000000" w:themeColor="text1"/>
              </w:rPr>
            </w:pPr>
            <w:r w:rsidRPr="00286216">
              <w:rPr>
                <w:color w:val="000000" w:themeColor="text1"/>
              </w:rPr>
              <w:t>Дія розділу VI цього Закону не поширюється на емісію державних облігацій України.</w:t>
            </w:r>
          </w:p>
        </w:tc>
        <w:tc>
          <w:tcPr>
            <w:tcW w:w="3686" w:type="dxa"/>
          </w:tcPr>
          <w:p w14:paraId="0ECA7EF2" w14:textId="77777777" w:rsidR="00E64972" w:rsidRPr="00286216" w:rsidRDefault="00E64972" w:rsidP="00F6479F">
            <w:pPr>
              <w:pStyle w:val="StyleProp"/>
              <w:rPr>
                <w:color w:val="000000" w:themeColor="text1"/>
                <w:szCs w:val="18"/>
              </w:rPr>
            </w:pPr>
            <w:r w:rsidRPr="00286216">
              <w:rPr>
                <w:color w:val="000000" w:themeColor="text1"/>
              </w:rPr>
              <w:t>10. Витрати на підготовку розміщення, а також на розміщення, погашення державних облігацій України, виплату доходів здійснюються відповідно до умов розміщення державних облігацій України за рахунок коштів державного бюджету, передбачених на такі цілі у Державному бюджеті України.</w:t>
            </w:r>
          </w:p>
        </w:tc>
        <w:tc>
          <w:tcPr>
            <w:tcW w:w="1987" w:type="dxa"/>
          </w:tcPr>
          <w:p w14:paraId="0974BF57" w14:textId="77777777" w:rsidR="00E64972" w:rsidRPr="00286216" w:rsidRDefault="00E64972" w:rsidP="00F6479F">
            <w:pPr>
              <w:pStyle w:val="StyleWisnow"/>
              <w:rPr>
                <w:color w:val="000000" w:themeColor="text1"/>
              </w:rPr>
            </w:pPr>
          </w:p>
        </w:tc>
        <w:tc>
          <w:tcPr>
            <w:tcW w:w="4818" w:type="dxa"/>
          </w:tcPr>
          <w:p w14:paraId="5EDD33A3" w14:textId="77777777" w:rsidR="00E64972" w:rsidRPr="00286216" w:rsidRDefault="00E64972" w:rsidP="00F6479F">
            <w:pPr>
              <w:pStyle w:val="StyleZakonu"/>
              <w:rPr>
                <w:color w:val="000000" w:themeColor="text1"/>
              </w:rPr>
            </w:pPr>
            <w:r w:rsidRPr="00286216">
              <w:rPr>
                <w:color w:val="000000" w:themeColor="text1"/>
              </w:rPr>
              <w:t>Дія розділу V</w:t>
            </w:r>
            <w:r w:rsidRPr="00286216">
              <w:rPr>
                <w:color w:val="000000" w:themeColor="text1"/>
                <w:lang w:val="en-US"/>
              </w:rPr>
              <w:t>I</w:t>
            </w:r>
            <w:r w:rsidRPr="00286216">
              <w:rPr>
                <w:color w:val="000000" w:themeColor="text1"/>
              </w:rPr>
              <w:t>I цього Закону не поширюється на емісію державних облігацій України.</w:t>
            </w:r>
          </w:p>
        </w:tc>
      </w:tr>
      <w:tr w:rsidR="00E64972" w:rsidRPr="00286216" w14:paraId="4D75970F" w14:textId="77777777" w:rsidTr="00F6479F">
        <w:tc>
          <w:tcPr>
            <w:tcW w:w="576" w:type="dxa"/>
          </w:tcPr>
          <w:p w14:paraId="589733D3" w14:textId="77777777" w:rsidR="00E64972" w:rsidRPr="00286216" w:rsidRDefault="00E64972" w:rsidP="00F6479F">
            <w:pPr>
              <w:pStyle w:val="StyleWisnow"/>
              <w:rPr>
                <w:color w:val="000000" w:themeColor="text1"/>
              </w:rPr>
            </w:pPr>
            <w:r w:rsidRPr="00286216">
              <w:rPr>
                <w:color w:val="000000" w:themeColor="text1"/>
              </w:rPr>
              <w:t>409.</w:t>
            </w:r>
          </w:p>
        </w:tc>
        <w:tc>
          <w:tcPr>
            <w:tcW w:w="4818" w:type="dxa"/>
          </w:tcPr>
          <w:p w14:paraId="3BAC08EF" w14:textId="77777777" w:rsidR="00E64972" w:rsidRPr="00286216" w:rsidRDefault="00E64972" w:rsidP="00F6479F">
            <w:pPr>
              <w:pStyle w:val="StyleZakonu"/>
              <w:rPr>
                <w:color w:val="000000" w:themeColor="text1"/>
              </w:rPr>
            </w:pPr>
            <w:r w:rsidRPr="00286216">
              <w:rPr>
                <w:color w:val="000000" w:themeColor="text1"/>
              </w:rPr>
              <w:t>7. Емісія державних облігацій України регулюється законом України про Державний бюджет України на відповідний рік, яким встановлюються граничні розміри державного зовнішнього та внутрішнього боргу.</w:t>
            </w:r>
          </w:p>
        </w:tc>
        <w:tc>
          <w:tcPr>
            <w:tcW w:w="3686" w:type="dxa"/>
          </w:tcPr>
          <w:p w14:paraId="51DF8626" w14:textId="77777777" w:rsidR="00E64972" w:rsidRPr="00286216" w:rsidRDefault="00E64972" w:rsidP="00F6479F">
            <w:pPr>
              <w:pStyle w:val="StyleProp"/>
              <w:rPr>
                <w:color w:val="000000" w:themeColor="text1"/>
                <w:szCs w:val="18"/>
              </w:rPr>
            </w:pPr>
            <w:r w:rsidRPr="00286216">
              <w:rPr>
                <w:color w:val="000000" w:themeColor="text1"/>
              </w:rPr>
              <w:t>11. Державні облігації України можуть бути іменними або на пред’явника.</w:t>
            </w:r>
          </w:p>
        </w:tc>
        <w:tc>
          <w:tcPr>
            <w:tcW w:w="1987" w:type="dxa"/>
          </w:tcPr>
          <w:p w14:paraId="072A4B08" w14:textId="77777777" w:rsidR="00E64972" w:rsidRPr="00286216" w:rsidRDefault="00E64972" w:rsidP="00F6479F">
            <w:pPr>
              <w:pStyle w:val="StyleWisnow"/>
              <w:rPr>
                <w:color w:val="000000" w:themeColor="text1"/>
              </w:rPr>
            </w:pPr>
          </w:p>
        </w:tc>
        <w:tc>
          <w:tcPr>
            <w:tcW w:w="4818" w:type="dxa"/>
          </w:tcPr>
          <w:p w14:paraId="7C8D229B" w14:textId="1BB609E3" w:rsidR="00E64972" w:rsidRPr="00286216" w:rsidRDefault="00E64972" w:rsidP="00F6479F">
            <w:pPr>
              <w:pStyle w:val="StyleZakonu"/>
              <w:rPr>
                <w:color w:val="000000" w:themeColor="text1"/>
              </w:rPr>
            </w:pPr>
            <w:r w:rsidRPr="00286216">
              <w:rPr>
                <w:color w:val="000000" w:themeColor="text1"/>
              </w:rPr>
              <w:t>6. Емісія державних облігацій України регулюється Бюджетним кодексом України та законом про Державний бюджет України на відповідний рік, яким встановлюється граничний розмір державного боргу.</w:t>
            </w:r>
          </w:p>
        </w:tc>
      </w:tr>
      <w:tr w:rsidR="00E64972" w:rsidRPr="00286216" w14:paraId="60762B16" w14:textId="77777777" w:rsidTr="00F6479F">
        <w:tc>
          <w:tcPr>
            <w:tcW w:w="576" w:type="dxa"/>
          </w:tcPr>
          <w:p w14:paraId="3330F2F1" w14:textId="77777777" w:rsidR="00E64972" w:rsidRPr="00286216" w:rsidRDefault="00E64972" w:rsidP="00F6479F">
            <w:pPr>
              <w:pStyle w:val="StyleWisnow"/>
              <w:rPr>
                <w:color w:val="000000" w:themeColor="text1"/>
              </w:rPr>
            </w:pPr>
            <w:r w:rsidRPr="00286216">
              <w:rPr>
                <w:color w:val="000000" w:themeColor="text1"/>
              </w:rPr>
              <w:t>410.</w:t>
            </w:r>
          </w:p>
        </w:tc>
        <w:tc>
          <w:tcPr>
            <w:tcW w:w="4818" w:type="dxa"/>
          </w:tcPr>
          <w:p w14:paraId="77E4CEE1" w14:textId="77777777" w:rsidR="00E64972" w:rsidRPr="00286216" w:rsidRDefault="00E64972" w:rsidP="00F6479F">
            <w:pPr>
              <w:pStyle w:val="StyleZakonu"/>
              <w:rPr>
                <w:color w:val="000000" w:themeColor="text1"/>
              </w:rPr>
            </w:pPr>
            <w:r w:rsidRPr="00286216">
              <w:rPr>
                <w:color w:val="000000" w:themeColor="text1"/>
              </w:rPr>
              <w:t>Рішення про розміщення облігацій зовнішньої та внутрішньої державної позики України та умови їх розміщення приймається згідно з Бюджетним кодексом України.</w:t>
            </w:r>
          </w:p>
        </w:tc>
        <w:tc>
          <w:tcPr>
            <w:tcW w:w="3686" w:type="dxa"/>
          </w:tcPr>
          <w:p w14:paraId="1FE18AF2" w14:textId="77777777" w:rsidR="00E64972" w:rsidRPr="00286216" w:rsidRDefault="00E64972" w:rsidP="00F6479F">
            <w:pPr>
              <w:pStyle w:val="StyleProp"/>
              <w:rPr>
                <w:color w:val="000000" w:themeColor="text1"/>
                <w:szCs w:val="18"/>
              </w:rPr>
            </w:pPr>
            <w:r w:rsidRPr="00286216">
              <w:rPr>
                <w:color w:val="000000" w:themeColor="text1"/>
              </w:rPr>
              <w:t>Державні облігації України можуть існувати виключно в електронній формі.</w:t>
            </w:r>
          </w:p>
        </w:tc>
        <w:tc>
          <w:tcPr>
            <w:tcW w:w="1987" w:type="dxa"/>
          </w:tcPr>
          <w:p w14:paraId="2A9C2D79" w14:textId="77777777" w:rsidR="00E64972" w:rsidRPr="00286216" w:rsidRDefault="00E64972" w:rsidP="00F6479F">
            <w:pPr>
              <w:pStyle w:val="StyleWisnow"/>
              <w:rPr>
                <w:color w:val="000000" w:themeColor="text1"/>
              </w:rPr>
            </w:pPr>
          </w:p>
        </w:tc>
        <w:tc>
          <w:tcPr>
            <w:tcW w:w="4818" w:type="dxa"/>
          </w:tcPr>
          <w:p w14:paraId="44894057" w14:textId="77777777" w:rsidR="00E64972" w:rsidRPr="00286216" w:rsidRDefault="00E64972" w:rsidP="00F6479F">
            <w:pPr>
              <w:pStyle w:val="StyleZakonu"/>
              <w:rPr>
                <w:color w:val="000000" w:themeColor="text1"/>
              </w:rPr>
            </w:pPr>
          </w:p>
        </w:tc>
      </w:tr>
      <w:tr w:rsidR="00E64972" w:rsidRPr="00286216" w14:paraId="60A7AE22" w14:textId="77777777" w:rsidTr="00F6479F">
        <w:tc>
          <w:tcPr>
            <w:tcW w:w="576" w:type="dxa"/>
          </w:tcPr>
          <w:p w14:paraId="305FD0E5" w14:textId="77777777" w:rsidR="00E64972" w:rsidRPr="00286216" w:rsidRDefault="00E64972" w:rsidP="00F6479F">
            <w:pPr>
              <w:pStyle w:val="StyleWisnow"/>
              <w:rPr>
                <w:color w:val="000000" w:themeColor="text1"/>
              </w:rPr>
            </w:pPr>
            <w:r w:rsidRPr="00286216">
              <w:rPr>
                <w:color w:val="000000" w:themeColor="text1"/>
              </w:rPr>
              <w:t>411.</w:t>
            </w:r>
          </w:p>
        </w:tc>
        <w:tc>
          <w:tcPr>
            <w:tcW w:w="4818" w:type="dxa"/>
          </w:tcPr>
          <w:p w14:paraId="66DDBC3A" w14:textId="77777777" w:rsidR="00E64972" w:rsidRPr="00286216" w:rsidRDefault="00E64972" w:rsidP="00F6479F">
            <w:pPr>
              <w:pStyle w:val="StyleZakonu"/>
              <w:rPr>
                <w:color w:val="000000" w:themeColor="text1"/>
              </w:rPr>
            </w:pPr>
            <w:r w:rsidRPr="00286216">
              <w:rPr>
                <w:color w:val="000000" w:themeColor="text1"/>
              </w:rPr>
              <w:t>Розміщення державних облігацій України здійснюється у разі дотримання на кінець року граничних розмірів державного зовнішнього та внутрішнього боргу, передбачених Верховною Радою України в законі про Державний бюджет України на відповідний рік.</w:t>
            </w:r>
          </w:p>
        </w:tc>
        <w:tc>
          <w:tcPr>
            <w:tcW w:w="3686" w:type="dxa"/>
          </w:tcPr>
          <w:p w14:paraId="638AF182" w14:textId="77777777" w:rsidR="00E64972" w:rsidRPr="00286216" w:rsidRDefault="00E64972" w:rsidP="00F6479F">
            <w:pPr>
              <w:pStyle w:val="StyleProp"/>
              <w:rPr>
                <w:color w:val="000000" w:themeColor="text1"/>
                <w:szCs w:val="18"/>
              </w:rPr>
            </w:pPr>
            <w:r w:rsidRPr="00286216">
              <w:rPr>
                <w:color w:val="000000" w:themeColor="text1"/>
              </w:rPr>
              <w:t>12. Розміщення облігацій внутрішньої державної позики України здійснюється в національній або іноземній валюті, а облігацій зовнішньої державної позики України – у валюті запозичення або в іншій валюті відповідно до умов розміщення облігацій зовнішньої державної позики України. Ціна розміщення державних облігацій України може бути більшою, меншою за їх номінальну вартість, або дорівнювати їх номінальній вартості.</w:t>
            </w:r>
          </w:p>
        </w:tc>
        <w:tc>
          <w:tcPr>
            <w:tcW w:w="1987" w:type="dxa"/>
          </w:tcPr>
          <w:p w14:paraId="645FEC67" w14:textId="77777777" w:rsidR="00E64972" w:rsidRPr="00286216" w:rsidRDefault="00E64972" w:rsidP="00F6479F">
            <w:pPr>
              <w:pStyle w:val="StyleWisnow"/>
              <w:rPr>
                <w:color w:val="000000" w:themeColor="text1"/>
              </w:rPr>
            </w:pPr>
          </w:p>
        </w:tc>
        <w:tc>
          <w:tcPr>
            <w:tcW w:w="4818" w:type="dxa"/>
          </w:tcPr>
          <w:p w14:paraId="4EFD2600" w14:textId="77777777" w:rsidR="00E64972" w:rsidRPr="00286216" w:rsidRDefault="00E64972" w:rsidP="00F6479F">
            <w:pPr>
              <w:pStyle w:val="StyleZakonu"/>
              <w:rPr>
                <w:color w:val="000000" w:themeColor="text1"/>
              </w:rPr>
            </w:pPr>
          </w:p>
        </w:tc>
      </w:tr>
      <w:tr w:rsidR="00E64972" w:rsidRPr="00286216" w14:paraId="3E132937" w14:textId="77777777" w:rsidTr="00F6479F">
        <w:tc>
          <w:tcPr>
            <w:tcW w:w="576" w:type="dxa"/>
          </w:tcPr>
          <w:p w14:paraId="1BD029EB" w14:textId="77777777" w:rsidR="00E64972" w:rsidRPr="00286216" w:rsidRDefault="00E64972" w:rsidP="00F6479F">
            <w:pPr>
              <w:pStyle w:val="StyleWisnow"/>
              <w:rPr>
                <w:color w:val="000000" w:themeColor="text1"/>
              </w:rPr>
            </w:pPr>
            <w:r w:rsidRPr="00286216">
              <w:rPr>
                <w:color w:val="000000" w:themeColor="text1"/>
              </w:rPr>
              <w:t>412.</w:t>
            </w:r>
          </w:p>
        </w:tc>
        <w:tc>
          <w:tcPr>
            <w:tcW w:w="4818" w:type="dxa"/>
          </w:tcPr>
          <w:p w14:paraId="1BE4CE80" w14:textId="77777777" w:rsidR="00E64972" w:rsidRPr="00286216" w:rsidRDefault="00E64972" w:rsidP="00F6479F">
            <w:pPr>
              <w:pStyle w:val="StyleZakonu"/>
              <w:rPr>
                <w:color w:val="000000" w:themeColor="text1"/>
              </w:rPr>
            </w:pPr>
            <w:r w:rsidRPr="00286216">
              <w:rPr>
                <w:color w:val="000000" w:themeColor="text1"/>
              </w:rPr>
              <w:t>8. Умови розміщення та погашення облігацій внутрішньої державної позики України і цільових облігацій внутрішньої державної позики України, не визначені умовами розміщення, встановлюються Міністерством фінансів України відповідно до законодавства.</w:t>
            </w:r>
          </w:p>
        </w:tc>
        <w:tc>
          <w:tcPr>
            <w:tcW w:w="3686" w:type="dxa"/>
          </w:tcPr>
          <w:p w14:paraId="33D2CBD5" w14:textId="77777777" w:rsidR="00E64972" w:rsidRPr="00286216" w:rsidRDefault="00E64972" w:rsidP="00F6479F">
            <w:pPr>
              <w:pStyle w:val="StyleProp"/>
              <w:rPr>
                <w:color w:val="000000" w:themeColor="text1"/>
                <w:szCs w:val="18"/>
              </w:rPr>
            </w:pPr>
            <w:r w:rsidRPr="00286216">
              <w:rPr>
                <w:color w:val="000000" w:themeColor="text1"/>
              </w:rPr>
              <w:t>13. Виплата доходів та погашення державних облігацій України здійснюється коштами або в іншій формі за згодою сторін.</w:t>
            </w:r>
          </w:p>
        </w:tc>
        <w:tc>
          <w:tcPr>
            <w:tcW w:w="1987" w:type="dxa"/>
          </w:tcPr>
          <w:p w14:paraId="38E28139" w14:textId="77777777" w:rsidR="00E64972" w:rsidRPr="00286216" w:rsidRDefault="00E64972" w:rsidP="00F6479F">
            <w:pPr>
              <w:pStyle w:val="StyleWisnow"/>
              <w:rPr>
                <w:color w:val="000000" w:themeColor="text1"/>
              </w:rPr>
            </w:pPr>
          </w:p>
        </w:tc>
        <w:tc>
          <w:tcPr>
            <w:tcW w:w="4818" w:type="dxa"/>
          </w:tcPr>
          <w:p w14:paraId="64842F30" w14:textId="77777777" w:rsidR="00E64972" w:rsidRPr="00286216" w:rsidRDefault="00E64972" w:rsidP="00F6479F">
            <w:pPr>
              <w:pStyle w:val="StyleZakonu"/>
              <w:rPr>
                <w:color w:val="000000" w:themeColor="text1"/>
              </w:rPr>
            </w:pPr>
            <w:r w:rsidRPr="00286216">
              <w:rPr>
                <w:color w:val="000000" w:themeColor="text1"/>
              </w:rPr>
              <w:t>7. Умови розміщення державних облігацій України, включаючи їх емісію, викуп, конвертацію та погашення, не визначені умовами розміщення, встановлюються відповідно до закону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w:t>
            </w:r>
          </w:p>
        </w:tc>
      </w:tr>
      <w:tr w:rsidR="00E64972" w:rsidRPr="00286216" w14:paraId="5E41CC3B" w14:textId="77777777" w:rsidTr="00F6479F">
        <w:tc>
          <w:tcPr>
            <w:tcW w:w="576" w:type="dxa"/>
          </w:tcPr>
          <w:p w14:paraId="00210896" w14:textId="77777777" w:rsidR="00E64972" w:rsidRPr="00286216" w:rsidRDefault="00E64972" w:rsidP="00F6479F">
            <w:pPr>
              <w:pStyle w:val="StyleWisnow"/>
              <w:rPr>
                <w:color w:val="000000" w:themeColor="text1"/>
              </w:rPr>
            </w:pPr>
            <w:r w:rsidRPr="00286216">
              <w:rPr>
                <w:color w:val="000000" w:themeColor="text1"/>
              </w:rPr>
              <w:t>413.</w:t>
            </w:r>
          </w:p>
        </w:tc>
        <w:tc>
          <w:tcPr>
            <w:tcW w:w="4818" w:type="dxa"/>
          </w:tcPr>
          <w:p w14:paraId="0E5321A9" w14:textId="77777777" w:rsidR="00E64972" w:rsidRPr="00286216" w:rsidRDefault="00E64972" w:rsidP="00F6479F">
            <w:pPr>
              <w:pStyle w:val="StyleZakonu"/>
              <w:rPr>
                <w:color w:val="000000" w:themeColor="text1"/>
              </w:rPr>
            </w:pPr>
            <w:r w:rsidRPr="00286216">
              <w:rPr>
                <w:color w:val="000000" w:themeColor="text1"/>
              </w:rPr>
              <w:t xml:space="preserve">9. Національний банк України виконує операції з обслуговування державного боргу, пов’язані з розміщенням облігацій внутрішньої державної позики та цільових облігацій внутрішньої державної позики України, їх погашенням і виплатою доходів за ними, а </w:t>
            </w:r>
            <w:r w:rsidRPr="00286216">
              <w:rPr>
                <w:color w:val="000000" w:themeColor="text1"/>
              </w:rPr>
              <w:lastRenderedPageBreak/>
              <w:t>також провадить депозитарну діяльність щодо цих цінних паперів. Порядок проведення операцій, пов’язаних з розміщенням цих облігацій, встановлюється Національним банком України за погодженням з Міністерством фінансів України. Особливості провадження депозитарної діяльності з державними облігаціями України визначаються Національною комісією з цінних паперів та фондового ринку разом з Національним банком України.</w:t>
            </w:r>
          </w:p>
        </w:tc>
        <w:tc>
          <w:tcPr>
            <w:tcW w:w="3686" w:type="dxa"/>
          </w:tcPr>
          <w:p w14:paraId="263F0898" w14:textId="77777777" w:rsidR="00E64972" w:rsidRPr="00286216" w:rsidRDefault="00E64972" w:rsidP="00F6479F">
            <w:pPr>
              <w:pStyle w:val="StyleProp"/>
              <w:rPr>
                <w:color w:val="000000" w:themeColor="text1"/>
                <w:szCs w:val="18"/>
              </w:rPr>
            </w:pPr>
          </w:p>
        </w:tc>
        <w:tc>
          <w:tcPr>
            <w:tcW w:w="1987" w:type="dxa"/>
          </w:tcPr>
          <w:p w14:paraId="5B3979E7" w14:textId="77777777" w:rsidR="00E64972" w:rsidRPr="00286216" w:rsidRDefault="00E64972" w:rsidP="00F6479F">
            <w:pPr>
              <w:pStyle w:val="StyleWisnow"/>
              <w:rPr>
                <w:color w:val="000000" w:themeColor="text1"/>
              </w:rPr>
            </w:pPr>
          </w:p>
        </w:tc>
        <w:tc>
          <w:tcPr>
            <w:tcW w:w="4818" w:type="dxa"/>
          </w:tcPr>
          <w:p w14:paraId="4706784C" w14:textId="31A606FB" w:rsidR="00E64972" w:rsidRPr="00286216" w:rsidRDefault="00E64972" w:rsidP="00F6479F">
            <w:pPr>
              <w:pStyle w:val="StyleZakonu"/>
              <w:rPr>
                <w:color w:val="000000" w:themeColor="text1"/>
              </w:rPr>
            </w:pPr>
            <w:r w:rsidRPr="00286216">
              <w:rPr>
                <w:color w:val="000000" w:themeColor="text1"/>
              </w:rPr>
              <w:t xml:space="preserve">8. Національний банк України виконує операції з обслуговування державного боргу, пов’язані з розміщенням облігацій внутрішньої державної позики України, їх погашенням і виплатою доходів за ними, а також відповідно до Закону України "Про </w:t>
            </w:r>
            <w:r w:rsidRPr="00286216">
              <w:rPr>
                <w:color w:val="000000" w:themeColor="text1"/>
              </w:rPr>
              <w:lastRenderedPageBreak/>
              <w:t>депозитарну систему України" провадить депозитарну діяльність щодо таких цінних паперів. Порядок проведення операцій, пов’язаних з розміщенням таких облігацій, відповідно до закону встановлюється Національним банком України за погодженням із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 Особливості провадження депозитарної діяльності з державними облігаціями України визначаються відповідно до закону Національною комісією з цінних паперів та фондового ринку за погодженням  із Національним банком України.</w:t>
            </w:r>
          </w:p>
        </w:tc>
      </w:tr>
      <w:tr w:rsidR="00E64972" w:rsidRPr="00286216" w14:paraId="31BB675F" w14:textId="77777777" w:rsidTr="00F6479F">
        <w:tc>
          <w:tcPr>
            <w:tcW w:w="576" w:type="dxa"/>
          </w:tcPr>
          <w:p w14:paraId="1D44DE5C" w14:textId="77777777" w:rsidR="00E64972" w:rsidRPr="00286216" w:rsidRDefault="00E64972" w:rsidP="00F6479F">
            <w:pPr>
              <w:pStyle w:val="StyleWisnow"/>
              <w:rPr>
                <w:color w:val="000000" w:themeColor="text1"/>
              </w:rPr>
            </w:pPr>
            <w:r w:rsidRPr="00286216">
              <w:rPr>
                <w:color w:val="000000" w:themeColor="text1"/>
              </w:rPr>
              <w:lastRenderedPageBreak/>
              <w:t>414.</w:t>
            </w:r>
          </w:p>
        </w:tc>
        <w:tc>
          <w:tcPr>
            <w:tcW w:w="4818" w:type="dxa"/>
          </w:tcPr>
          <w:p w14:paraId="76132A9D" w14:textId="77777777" w:rsidR="00E64972" w:rsidRPr="00286216" w:rsidRDefault="00E64972" w:rsidP="00F6479F">
            <w:pPr>
              <w:pStyle w:val="StyleZakonu"/>
              <w:rPr>
                <w:color w:val="000000" w:themeColor="text1"/>
              </w:rPr>
            </w:pPr>
            <w:r w:rsidRPr="00286216">
              <w:rPr>
                <w:color w:val="000000" w:themeColor="text1"/>
              </w:rPr>
              <w:t>10. Розміщення, обслуговування та погашення облігацій зовнішніх державних позик України здійснює Міністерство фінансів України, яке може залучати для цього банки, інвестиційні компанії тощо. Відносини між Міністерством фінансів України і цими організаціями регулюються відповідними договорами.</w:t>
            </w:r>
          </w:p>
        </w:tc>
        <w:tc>
          <w:tcPr>
            <w:tcW w:w="3686" w:type="dxa"/>
          </w:tcPr>
          <w:p w14:paraId="5856B5E8" w14:textId="77777777" w:rsidR="00E64972" w:rsidRPr="00286216" w:rsidRDefault="00E64972" w:rsidP="00F6479F">
            <w:pPr>
              <w:pStyle w:val="StyleProp"/>
              <w:rPr>
                <w:color w:val="000000" w:themeColor="text1"/>
                <w:szCs w:val="18"/>
              </w:rPr>
            </w:pPr>
          </w:p>
        </w:tc>
        <w:tc>
          <w:tcPr>
            <w:tcW w:w="1987" w:type="dxa"/>
          </w:tcPr>
          <w:p w14:paraId="118D5C47" w14:textId="77777777" w:rsidR="00E64972" w:rsidRPr="00286216" w:rsidRDefault="00E64972" w:rsidP="00F6479F">
            <w:pPr>
              <w:pStyle w:val="StyleWisnow"/>
              <w:rPr>
                <w:color w:val="000000" w:themeColor="text1"/>
              </w:rPr>
            </w:pPr>
          </w:p>
        </w:tc>
        <w:tc>
          <w:tcPr>
            <w:tcW w:w="4818" w:type="dxa"/>
          </w:tcPr>
          <w:p w14:paraId="7719BED8" w14:textId="77777777" w:rsidR="00E64972" w:rsidRPr="00286216" w:rsidRDefault="00E64972" w:rsidP="00F6479F">
            <w:pPr>
              <w:pStyle w:val="StyleZakonu"/>
              <w:rPr>
                <w:color w:val="000000" w:themeColor="text1"/>
              </w:rPr>
            </w:pPr>
            <w:r w:rsidRPr="00286216">
              <w:rPr>
                <w:color w:val="000000" w:themeColor="text1"/>
              </w:rPr>
              <w:t>9. Розміщення, обслуговування та погашення облігацій зовнішньої державної позики України здійснює центральний орган виконавчої влади, уповноважений на реалізацію державної бюджетної політики у сфері управління державним боргом та гарантованим державою боргом, який може залучати для цього банки, інвестиційні фірми тощо. Відносини між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 та зазначеними юридичними особами регулюються відповідними договорами.</w:t>
            </w:r>
          </w:p>
        </w:tc>
      </w:tr>
      <w:tr w:rsidR="00E64972" w:rsidRPr="00286216" w14:paraId="443185EA" w14:textId="77777777" w:rsidTr="00F6479F">
        <w:tc>
          <w:tcPr>
            <w:tcW w:w="576" w:type="dxa"/>
          </w:tcPr>
          <w:p w14:paraId="7D796792" w14:textId="77777777" w:rsidR="00E64972" w:rsidRPr="00286216" w:rsidRDefault="00E64972" w:rsidP="00F6479F">
            <w:pPr>
              <w:pStyle w:val="StyleWisnow"/>
              <w:rPr>
                <w:color w:val="000000" w:themeColor="text1"/>
              </w:rPr>
            </w:pPr>
            <w:r w:rsidRPr="00286216">
              <w:rPr>
                <w:color w:val="000000" w:themeColor="text1"/>
              </w:rPr>
              <w:t>415.</w:t>
            </w:r>
          </w:p>
        </w:tc>
        <w:tc>
          <w:tcPr>
            <w:tcW w:w="4818" w:type="dxa"/>
          </w:tcPr>
          <w:p w14:paraId="358757DB" w14:textId="77777777" w:rsidR="00E64972" w:rsidRPr="00286216" w:rsidRDefault="00E64972" w:rsidP="00F6479F">
            <w:pPr>
              <w:pStyle w:val="StyleZakonu"/>
              <w:rPr>
                <w:color w:val="000000" w:themeColor="text1"/>
              </w:rPr>
            </w:pPr>
            <w:r w:rsidRPr="00286216">
              <w:rPr>
                <w:color w:val="000000" w:themeColor="text1"/>
              </w:rPr>
              <w:t>11. Витрати на підготовку розміщення, а також на розміщення, погашення державних облігацій України, виплату доходів здійснюються відповідно до умов розміщення державних облігацій України за рахунок коштів, передбачених на такі цілі у Державному бюджеті України.</w:t>
            </w:r>
          </w:p>
        </w:tc>
        <w:tc>
          <w:tcPr>
            <w:tcW w:w="3686" w:type="dxa"/>
          </w:tcPr>
          <w:p w14:paraId="2442444D" w14:textId="77777777" w:rsidR="00E64972" w:rsidRPr="00286216" w:rsidRDefault="00E64972" w:rsidP="00F6479F">
            <w:pPr>
              <w:pStyle w:val="StyleProp"/>
              <w:rPr>
                <w:color w:val="000000" w:themeColor="text1"/>
                <w:szCs w:val="18"/>
              </w:rPr>
            </w:pPr>
          </w:p>
        </w:tc>
        <w:tc>
          <w:tcPr>
            <w:tcW w:w="1987" w:type="dxa"/>
          </w:tcPr>
          <w:p w14:paraId="1D430C5A" w14:textId="77777777" w:rsidR="00E64972" w:rsidRPr="00286216" w:rsidRDefault="00E64972" w:rsidP="00F6479F">
            <w:pPr>
              <w:pStyle w:val="StyleWisnow"/>
              <w:rPr>
                <w:color w:val="000000" w:themeColor="text1"/>
              </w:rPr>
            </w:pPr>
          </w:p>
        </w:tc>
        <w:tc>
          <w:tcPr>
            <w:tcW w:w="4818" w:type="dxa"/>
          </w:tcPr>
          <w:p w14:paraId="303D8C06" w14:textId="77777777" w:rsidR="00E64972" w:rsidRPr="00286216" w:rsidRDefault="00E64972" w:rsidP="00F6479F">
            <w:pPr>
              <w:pStyle w:val="StyleZakonu"/>
              <w:rPr>
                <w:color w:val="000000" w:themeColor="text1"/>
              </w:rPr>
            </w:pPr>
            <w:r w:rsidRPr="00286216">
              <w:rPr>
                <w:color w:val="000000" w:themeColor="text1"/>
              </w:rPr>
              <w:t>10. Витрати на підготовку розміщення, а також на розміщення та погашення державних облігацій України здійснюються відповідно до умов розміщення державних облігацій України за рахунок коштів державного бюджету, передбачених на такі цілі у Державному бюджеті України на відповідний рік.</w:t>
            </w:r>
          </w:p>
        </w:tc>
      </w:tr>
      <w:tr w:rsidR="00E64972" w:rsidRPr="00286216" w14:paraId="476830EE" w14:textId="77777777" w:rsidTr="00F6479F">
        <w:tc>
          <w:tcPr>
            <w:tcW w:w="576" w:type="dxa"/>
          </w:tcPr>
          <w:p w14:paraId="3AEB43A4" w14:textId="77777777" w:rsidR="00E64972" w:rsidRPr="00286216" w:rsidRDefault="00E64972" w:rsidP="00F6479F">
            <w:pPr>
              <w:pStyle w:val="StyleWisnow"/>
              <w:rPr>
                <w:color w:val="000000" w:themeColor="text1"/>
              </w:rPr>
            </w:pPr>
            <w:r w:rsidRPr="00286216">
              <w:rPr>
                <w:color w:val="000000" w:themeColor="text1"/>
              </w:rPr>
              <w:t>416.</w:t>
            </w:r>
          </w:p>
        </w:tc>
        <w:tc>
          <w:tcPr>
            <w:tcW w:w="4818" w:type="dxa"/>
          </w:tcPr>
          <w:p w14:paraId="6E8EB80D" w14:textId="77777777" w:rsidR="00E64972" w:rsidRPr="00286216" w:rsidRDefault="00E64972" w:rsidP="00F6479F">
            <w:pPr>
              <w:pStyle w:val="StyleZakonu"/>
              <w:rPr>
                <w:color w:val="000000" w:themeColor="text1"/>
              </w:rPr>
            </w:pPr>
            <w:r w:rsidRPr="00286216">
              <w:rPr>
                <w:color w:val="000000" w:themeColor="text1"/>
              </w:rPr>
              <w:t>12. Державні облігації України можуть бути іменними або на пред’явника.</w:t>
            </w:r>
          </w:p>
        </w:tc>
        <w:tc>
          <w:tcPr>
            <w:tcW w:w="3686" w:type="dxa"/>
          </w:tcPr>
          <w:p w14:paraId="7437C3E1" w14:textId="77777777" w:rsidR="00E64972" w:rsidRPr="00286216" w:rsidRDefault="00E64972" w:rsidP="00F6479F">
            <w:pPr>
              <w:pStyle w:val="StyleProp"/>
              <w:rPr>
                <w:color w:val="000000" w:themeColor="text1"/>
                <w:szCs w:val="18"/>
              </w:rPr>
            </w:pPr>
          </w:p>
        </w:tc>
        <w:tc>
          <w:tcPr>
            <w:tcW w:w="1987" w:type="dxa"/>
          </w:tcPr>
          <w:p w14:paraId="1A628401" w14:textId="77777777" w:rsidR="00E64972" w:rsidRPr="00286216" w:rsidRDefault="00E64972" w:rsidP="00F6479F">
            <w:pPr>
              <w:pStyle w:val="StyleWisnow"/>
              <w:rPr>
                <w:color w:val="000000" w:themeColor="text1"/>
              </w:rPr>
            </w:pPr>
          </w:p>
        </w:tc>
        <w:tc>
          <w:tcPr>
            <w:tcW w:w="4818" w:type="dxa"/>
          </w:tcPr>
          <w:p w14:paraId="506ED82E" w14:textId="77777777" w:rsidR="00E64972" w:rsidRPr="00286216" w:rsidRDefault="00E64972" w:rsidP="00F6479F">
            <w:pPr>
              <w:pStyle w:val="StyleZakonu"/>
              <w:rPr>
                <w:color w:val="000000" w:themeColor="text1"/>
              </w:rPr>
            </w:pPr>
            <w:r w:rsidRPr="00286216">
              <w:rPr>
                <w:color w:val="000000" w:themeColor="text1"/>
              </w:rPr>
              <w:t>11. Державні облігації України можуть бути іменними або на пред’явника.</w:t>
            </w:r>
          </w:p>
        </w:tc>
      </w:tr>
      <w:tr w:rsidR="00E64972" w:rsidRPr="00286216" w14:paraId="30BEAEFD" w14:textId="77777777" w:rsidTr="00F6479F">
        <w:tc>
          <w:tcPr>
            <w:tcW w:w="576" w:type="dxa"/>
          </w:tcPr>
          <w:p w14:paraId="0329FA99" w14:textId="77777777" w:rsidR="00E64972" w:rsidRPr="00286216" w:rsidRDefault="00E64972" w:rsidP="00F6479F">
            <w:pPr>
              <w:pStyle w:val="StyleWisnow"/>
              <w:rPr>
                <w:color w:val="000000" w:themeColor="text1"/>
              </w:rPr>
            </w:pPr>
            <w:r w:rsidRPr="00286216">
              <w:rPr>
                <w:color w:val="000000" w:themeColor="text1"/>
              </w:rPr>
              <w:t>417.</w:t>
            </w:r>
          </w:p>
        </w:tc>
        <w:tc>
          <w:tcPr>
            <w:tcW w:w="4818" w:type="dxa"/>
          </w:tcPr>
          <w:p w14:paraId="7C7F74C7" w14:textId="77777777" w:rsidR="00E64972" w:rsidRPr="00286216" w:rsidRDefault="00E64972" w:rsidP="00F6479F">
            <w:pPr>
              <w:pStyle w:val="StyleZakonu"/>
              <w:rPr>
                <w:color w:val="000000" w:themeColor="text1"/>
              </w:rPr>
            </w:pPr>
            <w:r w:rsidRPr="00286216">
              <w:rPr>
                <w:color w:val="000000" w:themeColor="text1"/>
              </w:rPr>
              <w:t>Державні облігації України можуть існувати виключно в бездокументарній формі.</w:t>
            </w:r>
          </w:p>
        </w:tc>
        <w:tc>
          <w:tcPr>
            <w:tcW w:w="3686" w:type="dxa"/>
          </w:tcPr>
          <w:p w14:paraId="40AFF526" w14:textId="3D9CB432" w:rsidR="00E64972" w:rsidRPr="00286216" w:rsidRDefault="00E64972" w:rsidP="00F6479F">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269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95C9124" w14:textId="77777777" w:rsidR="00E64972" w:rsidRPr="00286216" w:rsidRDefault="00E64972" w:rsidP="00F6479F">
            <w:pPr>
              <w:pStyle w:val="StyleProp"/>
              <w:rPr>
                <w:color w:val="000000" w:themeColor="text1"/>
                <w:spacing w:val="-1"/>
                <w:szCs w:val="18"/>
              </w:rPr>
            </w:pPr>
            <w:r w:rsidRPr="00286216">
              <w:rPr>
                <w:color w:val="000000" w:themeColor="text1"/>
                <w:spacing w:val="-1"/>
                <w:szCs w:val="18"/>
              </w:rPr>
              <w:t>В тексті проекту слово «</w:t>
            </w:r>
            <w:r w:rsidRPr="00286216">
              <w:rPr>
                <w:color w:val="000000" w:themeColor="text1"/>
                <w:spacing w:val="-2"/>
                <w:szCs w:val="18"/>
              </w:rPr>
              <w:t>бездокументарній</w:t>
            </w:r>
            <w:r w:rsidRPr="00286216">
              <w:rPr>
                <w:color w:val="000000" w:themeColor="text1"/>
                <w:spacing w:val="-1"/>
                <w:szCs w:val="18"/>
              </w:rPr>
              <w:t>» замінити словом «електронній».</w:t>
            </w:r>
          </w:p>
        </w:tc>
        <w:tc>
          <w:tcPr>
            <w:tcW w:w="1987" w:type="dxa"/>
          </w:tcPr>
          <w:p w14:paraId="2F38DFDB" w14:textId="77777777" w:rsidR="00E64972" w:rsidRPr="00286216" w:rsidRDefault="00E64972" w:rsidP="00F6479F">
            <w:pPr>
              <w:pStyle w:val="StyleWisnow"/>
              <w:rPr>
                <w:color w:val="000000" w:themeColor="text1"/>
              </w:rPr>
            </w:pPr>
            <w:r w:rsidRPr="00286216">
              <w:rPr>
                <w:color w:val="000000" w:themeColor="text1"/>
              </w:rPr>
              <w:t>Враховано редакційно</w:t>
            </w:r>
          </w:p>
        </w:tc>
        <w:tc>
          <w:tcPr>
            <w:tcW w:w="4818" w:type="dxa"/>
          </w:tcPr>
          <w:p w14:paraId="33F09CDE" w14:textId="77777777" w:rsidR="00E64972" w:rsidRPr="00286216" w:rsidRDefault="00E64972" w:rsidP="00F6479F">
            <w:pPr>
              <w:pStyle w:val="StyleZakonu"/>
              <w:rPr>
                <w:color w:val="000000" w:themeColor="text1"/>
              </w:rPr>
            </w:pPr>
            <w:r w:rsidRPr="00286216">
              <w:rPr>
                <w:color w:val="000000" w:themeColor="text1"/>
              </w:rPr>
              <w:t>Державні облігації України можуть існувати виключно в електронній формі.</w:t>
            </w:r>
          </w:p>
        </w:tc>
      </w:tr>
      <w:tr w:rsidR="00E64972" w:rsidRPr="00286216" w14:paraId="4F2BE5D7" w14:textId="77777777" w:rsidTr="00F6479F">
        <w:tc>
          <w:tcPr>
            <w:tcW w:w="576" w:type="dxa"/>
          </w:tcPr>
          <w:p w14:paraId="1E4BFE8C" w14:textId="77777777" w:rsidR="00E64972" w:rsidRPr="00286216" w:rsidRDefault="00E64972" w:rsidP="00F6479F">
            <w:pPr>
              <w:pStyle w:val="StyleWisnow"/>
              <w:rPr>
                <w:color w:val="000000" w:themeColor="text1"/>
              </w:rPr>
            </w:pPr>
            <w:r w:rsidRPr="00286216">
              <w:rPr>
                <w:color w:val="000000" w:themeColor="text1"/>
              </w:rPr>
              <w:t>418.</w:t>
            </w:r>
          </w:p>
        </w:tc>
        <w:tc>
          <w:tcPr>
            <w:tcW w:w="4818" w:type="dxa"/>
          </w:tcPr>
          <w:p w14:paraId="64710425" w14:textId="77777777" w:rsidR="00E64972" w:rsidRPr="00286216" w:rsidRDefault="00E64972" w:rsidP="00F6479F">
            <w:pPr>
              <w:pStyle w:val="StyleZakonu"/>
              <w:rPr>
                <w:color w:val="000000" w:themeColor="text1"/>
              </w:rPr>
            </w:pPr>
            <w:r w:rsidRPr="00286216">
              <w:rPr>
                <w:color w:val="000000" w:themeColor="text1"/>
              </w:rPr>
              <w:t xml:space="preserve">13. Продаж облігацій внутрішньої державної позики України здійснюється в національній або іноземній валюті, а облігацій зовнішніх державних позик України - у валюті запозичення або в іншій валюті відповідно до умов розміщення облігацій </w:t>
            </w:r>
            <w:r w:rsidRPr="00286216">
              <w:rPr>
                <w:color w:val="000000" w:themeColor="text1"/>
              </w:rPr>
              <w:lastRenderedPageBreak/>
              <w:t>зовнішніх державних позик України.</w:t>
            </w:r>
          </w:p>
        </w:tc>
        <w:tc>
          <w:tcPr>
            <w:tcW w:w="3686" w:type="dxa"/>
          </w:tcPr>
          <w:p w14:paraId="5EB8DDA0" w14:textId="77777777" w:rsidR="00E64972" w:rsidRPr="00286216" w:rsidRDefault="00E64972" w:rsidP="00F6479F">
            <w:pPr>
              <w:pStyle w:val="StyleProp"/>
              <w:rPr>
                <w:color w:val="000000" w:themeColor="text1"/>
                <w:szCs w:val="18"/>
              </w:rPr>
            </w:pPr>
          </w:p>
        </w:tc>
        <w:tc>
          <w:tcPr>
            <w:tcW w:w="1987" w:type="dxa"/>
          </w:tcPr>
          <w:p w14:paraId="751B2953" w14:textId="77777777" w:rsidR="00E64972" w:rsidRPr="00286216" w:rsidRDefault="00E64972" w:rsidP="00F6479F">
            <w:pPr>
              <w:pStyle w:val="StyleWisnow"/>
              <w:rPr>
                <w:color w:val="000000" w:themeColor="text1"/>
              </w:rPr>
            </w:pPr>
          </w:p>
        </w:tc>
        <w:tc>
          <w:tcPr>
            <w:tcW w:w="4818" w:type="dxa"/>
          </w:tcPr>
          <w:p w14:paraId="2E0D4C11" w14:textId="4966A9E5" w:rsidR="00E64972" w:rsidRPr="00286216" w:rsidRDefault="00E64972" w:rsidP="00F6479F">
            <w:pPr>
              <w:pStyle w:val="StyleZakonu"/>
              <w:rPr>
                <w:color w:val="000000" w:themeColor="text1"/>
              </w:rPr>
            </w:pPr>
            <w:r w:rsidRPr="00286216">
              <w:rPr>
                <w:color w:val="000000" w:themeColor="text1"/>
              </w:rPr>
              <w:t xml:space="preserve">12. Розміщення облігацій внутрішньої державної позики України здійснюється в національній або іноземній валюті, а облігацій зовнішньої державної позики України – у валюті запозичення або в іншій валюті відповідно до умов розміщення облігацій зовнішньої державної позики України. Ціна </w:t>
            </w:r>
            <w:r w:rsidRPr="00286216">
              <w:rPr>
                <w:color w:val="000000" w:themeColor="text1"/>
              </w:rPr>
              <w:lastRenderedPageBreak/>
              <w:t>розміщення державних облігацій України може бути більшою, меншою за їхню номінальну вартість або дорівнювати їхній номінальній вартості.</w:t>
            </w:r>
          </w:p>
        </w:tc>
      </w:tr>
      <w:tr w:rsidR="00E64972" w:rsidRPr="00286216" w14:paraId="1E5C4090" w14:textId="77777777" w:rsidTr="00F6479F">
        <w:tc>
          <w:tcPr>
            <w:tcW w:w="576" w:type="dxa"/>
          </w:tcPr>
          <w:p w14:paraId="621D55C0" w14:textId="77777777" w:rsidR="00E64972" w:rsidRPr="00286216" w:rsidRDefault="00E64972" w:rsidP="00F6479F">
            <w:pPr>
              <w:pStyle w:val="StyleWisnow"/>
              <w:rPr>
                <w:color w:val="000000" w:themeColor="text1"/>
              </w:rPr>
            </w:pPr>
            <w:r w:rsidRPr="00286216">
              <w:rPr>
                <w:color w:val="000000" w:themeColor="text1"/>
              </w:rPr>
              <w:lastRenderedPageBreak/>
              <w:t>419.</w:t>
            </w:r>
          </w:p>
        </w:tc>
        <w:tc>
          <w:tcPr>
            <w:tcW w:w="4818" w:type="dxa"/>
          </w:tcPr>
          <w:p w14:paraId="1A6F8F21" w14:textId="77777777" w:rsidR="00E64972" w:rsidRPr="00286216" w:rsidRDefault="00E64972" w:rsidP="00F6479F">
            <w:pPr>
              <w:pStyle w:val="StyleZakonu"/>
              <w:rPr>
                <w:color w:val="000000" w:themeColor="text1"/>
              </w:rPr>
            </w:pPr>
            <w:r w:rsidRPr="00286216">
              <w:rPr>
                <w:color w:val="000000" w:themeColor="text1"/>
              </w:rPr>
              <w:t>14. Виплата доходів і погашення державних облігацій України здійснюється коштами або в іншій формі за згодою сторін.</w:t>
            </w:r>
          </w:p>
        </w:tc>
        <w:tc>
          <w:tcPr>
            <w:tcW w:w="3686" w:type="dxa"/>
          </w:tcPr>
          <w:p w14:paraId="44D29970" w14:textId="77777777" w:rsidR="00E64972" w:rsidRPr="00286216" w:rsidRDefault="00E64972" w:rsidP="00F6479F">
            <w:pPr>
              <w:pStyle w:val="StyleProp"/>
              <w:spacing w:line="180" w:lineRule="exact"/>
              <w:rPr>
                <w:color w:val="000000" w:themeColor="text1"/>
                <w:szCs w:val="18"/>
              </w:rPr>
            </w:pPr>
          </w:p>
        </w:tc>
        <w:tc>
          <w:tcPr>
            <w:tcW w:w="1987" w:type="dxa"/>
          </w:tcPr>
          <w:p w14:paraId="5E553D38" w14:textId="77777777" w:rsidR="00E64972" w:rsidRPr="00286216" w:rsidRDefault="00E64972" w:rsidP="00F6479F">
            <w:pPr>
              <w:pStyle w:val="StyleWisnow"/>
              <w:rPr>
                <w:color w:val="000000" w:themeColor="text1"/>
              </w:rPr>
            </w:pPr>
          </w:p>
        </w:tc>
        <w:tc>
          <w:tcPr>
            <w:tcW w:w="4818" w:type="dxa"/>
          </w:tcPr>
          <w:p w14:paraId="071A7DE4" w14:textId="02908073" w:rsidR="00E64972" w:rsidRPr="00286216" w:rsidRDefault="00E64972" w:rsidP="00F6479F">
            <w:pPr>
              <w:pStyle w:val="StyleZakonu"/>
              <w:rPr>
                <w:color w:val="000000" w:themeColor="text1"/>
              </w:rPr>
            </w:pPr>
            <w:r w:rsidRPr="00286216">
              <w:rPr>
                <w:color w:val="000000" w:themeColor="text1"/>
              </w:rPr>
              <w:t>13. Виплата доходів та погашення державних облігацій України здійснюються коштами або в іншій формі за згодою сторін.</w:t>
            </w:r>
          </w:p>
        </w:tc>
      </w:tr>
      <w:tr w:rsidR="00C70550" w:rsidRPr="00286216" w14:paraId="0BF1E2D4" w14:textId="77777777" w:rsidTr="006A358E">
        <w:tc>
          <w:tcPr>
            <w:tcW w:w="576" w:type="dxa"/>
          </w:tcPr>
          <w:p w14:paraId="4637AD29" w14:textId="77777777" w:rsidR="00C70550" w:rsidRPr="00286216" w:rsidRDefault="00C70550" w:rsidP="006A358E">
            <w:pPr>
              <w:pStyle w:val="StyleWisnow"/>
              <w:rPr>
                <w:color w:val="000000" w:themeColor="text1"/>
              </w:rPr>
            </w:pPr>
          </w:p>
        </w:tc>
        <w:tc>
          <w:tcPr>
            <w:tcW w:w="4818" w:type="dxa"/>
          </w:tcPr>
          <w:p w14:paraId="60FAE25F" w14:textId="77777777" w:rsidR="00C70550" w:rsidRPr="00286216" w:rsidRDefault="00C70550" w:rsidP="006A358E">
            <w:pPr>
              <w:pStyle w:val="StyleZakonu"/>
              <w:rPr>
                <w:color w:val="000000" w:themeColor="text1"/>
              </w:rPr>
            </w:pPr>
          </w:p>
        </w:tc>
        <w:tc>
          <w:tcPr>
            <w:tcW w:w="3686" w:type="dxa"/>
          </w:tcPr>
          <w:p w14:paraId="13CB469C" w14:textId="5368844B" w:rsidR="00C70550" w:rsidRPr="00286216" w:rsidRDefault="00C70550" w:rsidP="006A358E">
            <w:pPr>
              <w:pStyle w:val="StyleAwt"/>
              <w:rPr>
                <w:color w:val="000000" w:themeColor="text1"/>
                <w:spacing w:val="-6"/>
                <w:szCs w:val="18"/>
              </w:rPr>
            </w:pPr>
            <w:r w:rsidRPr="00286216">
              <w:rPr>
                <w:color w:val="000000" w:themeColor="text1"/>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270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86077F4" w14:textId="77777777" w:rsidR="00C70550" w:rsidRPr="00286216" w:rsidRDefault="00C70550" w:rsidP="006A358E">
            <w:pPr>
              <w:pStyle w:val="StyleProp"/>
              <w:rPr>
                <w:color w:val="000000" w:themeColor="text1"/>
              </w:rPr>
            </w:pPr>
            <w:r w:rsidRPr="00286216">
              <w:rPr>
                <w:color w:val="000000" w:themeColor="text1"/>
              </w:rPr>
              <w:t>Доповнити новою статтею такого змісту:</w:t>
            </w:r>
          </w:p>
          <w:p w14:paraId="27E6CF11" w14:textId="7C9C6F79" w:rsidR="00C70550" w:rsidRPr="00286216" w:rsidRDefault="00C70550" w:rsidP="00834DEB">
            <w:pPr>
              <w:pStyle w:val="StyleProp"/>
              <w:spacing w:line="190" w:lineRule="exact"/>
              <w:rPr>
                <w:rFonts w:eastAsia="Calibri"/>
                <w:color w:val="000000" w:themeColor="text1"/>
              </w:rPr>
            </w:pPr>
            <w:r w:rsidRPr="00286216">
              <w:rPr>
                <w:color w:val="000000" w:themeColor="text1"/>
              </w:rPr>
              <w:t>"</w:t>
            </w:r>
            <w:r w:rsidRPr="00286216">
              <w:rPr>
                <w:rFonts w:eastAsia="Calibri"/>
                <w:color w:val="000000" w:themeColor="text1"/>
              </w:rPr>
              <w:t>Стаття. Інфраструктурні облігації.</w:t>
            </w:r>
          </w:p>
          <w:p w14:paraId="5CA289BA"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1. Емісію інфраструктурних облігацій може здійснювати особа, що реалізує або фінансує інфраструктурний проект в порядку, встановленому Національною комісією з цінних паперів та фондового ринку. Кошти від розміщення інфраструктурних облігацій спрямовуються на фінансування та/або рефінансування витрат інфраструктурного проекту.</w:t>
            </w:r>
          </w:p>
          <w:p w14:paraId="628A9A81"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2. Інфраструктурний проект – проект будівництва (реконструкції, ремонт) об’єктів у сферах транспортної інфраструктури (доріг, мостів, переправ тощо) та газопроводів, у сферах соціально-культурного призначення (об’єктів </w:t>
            </w:r>
            <w:r w:rsidRPr="00286216">
              <w:rPr>
                <w:color w:val="000000" w:themeColor="text1"/>
              </w:rPr>
              <w:t xml:space="preserve">охорони здоров'я, освіти, соціального забезпечення) </w:t>
            </w:r>
            <w:r w:rsidRPr="00286216">
              <w:rPr>
                <w:rFonts w:eastAsia="Calibri"/>
                <w:color w:val="000000" w:themeColor="text1"/>
              </w:rPr>
              <w:t>та/або житлово-комунального господарства (водопровідних та каналізаційних споруд, систем тепло- та енергопостачання тощо).</w:t>
            </w:r>
          </w:p>
          <w:p w14:paraId="7A564351"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Порядок відбору інфраструктурних проектів, які фінансуються та/або витрати яких рефінансуються за кошти державного бюджету, встановлюється Кабінетом Міністрів України.</w:t>
            </w:r>
          </w:p>
          <w:p w14:paraId="5A616F50"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Порядок відбору інфраструктурних проектів, які фінансуються та/або витрати яких рефінансуються за кошти місцевих бюджетів, встановлюється відповідним органом місцевого самоврядування.</w:t>
            </w:r>
          </w:p>
          <w:p w14:paraId="66F837B0"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3. Для цілей цього Закону особою, що реалізує або фінансує інфраструктурний проект, визнається:</w:t>
            </w:r>
          </w:p>
          <w:p w14:paraId="5B7D3CCB"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Рада Автономної Республіки Крим або територіальна громада в особі представницького органу місцевого самоврядування за умови прийняття рішення про реалізацію інфраструктурного проекту із дати набрання чинності таким рішенням;</w:t>
            </w:r>
          </w:p>
          <w:p w14:paraId="6E921A20"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держава Україна в особі уповноважених органів за умови прийняття рішення про реалізацію інфраструктурного проекту або державної цільової програми здійснення </w:t>
            </w:r>
            <w:r w:rsidRPr="00286216">
              <w:rPr>
                <w:rFonts w:eastAsia="Calibri"/>
                <w:color w:val="000000" w:themeColor="text1"/>
              </w:rPr>
              <w:lastRenderedPageBreak/>
              <w:t>інвестицій в об’єкти інфраструктури із дати набрання чинності таким рішенням;</w:t>
            </w:r>
          </w:p>
          <w:p w14:paraId="76012A6B"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юридична особа приватного права, у тому числі за проектами, що реалізуються відповідно до договору державно-приватного партнерства;</w:t>
            </w:r>
          </w:p>
          <w:p w14:paraId="25C5412F"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спеціалізована установа, створена урядом України чи іншим спеціально уповноваженим органом,– в порядку, визначеному законом;</w:t>
            </w:r>
          </w:p>
          <w:p w14:paraId="1B627AB9"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міжнародні фінансові організації.</w:t>
            </w:r>
          </w:p>
          <w:p w14:paraId="2C0ACC19"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4. Особа, що реалізує інфраструктурний проект, для фінансування якого здійснено випуск інфраструктурних облігацій, не має права вчиняти будь-які дії, наслідком яких може бути дострокове припинення, скасування, або інша втрата прав на інфраструктурний проект, а також їх обтяження. </w:t>
            </w:r>
          </w:p>
          <w:p w14:paraId="35449A19"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5. Емісія декількох випусків інфраструктурних облігацій може бути здійснена для реалізації одного інфраструктурного проекту, за умови, що загальна номінальна вартість таких емісій не перевищує проектно-кошторисну вартість інфраструктурного проекту, яка має бути визначена в рішенні про здійснення такого проекту.</w:t>
            </w:r>
          </w:p>
          <w:p w14:paraId="23D881B5"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Особа, що здійснює фінансування інфраструктурного проекту, може здійснювати емісію одного випуску інфраструктурних облігацій для фінансування декількох інфраструктурних проектів. </w:t>
            </w:r>
          </w:p>
          <w:p w14:paraId="43F4C150"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6. Особа, що реалізує або здійснює фінансування інфраструктурного проекту, зобов’язана  забезпечити відокремлення залучених коштів та придбаних матеріальних цінностей від іншого свого майна та забезпечити цільове використання надходжень, що будуть залучені від інвесторів на фінансування та/або рефінансування витрат інфраструктурного проекту. </w:t>
            </w:r>
          </w:p>
          <w:p w14:paraId="1FA8FB9F"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У разі нецільового використання надходжень, залучених від інвесторів на фінансування та/або рефінансування витрат інфраструктурного проекту, особа, що реалізує або здійснює фінансування інфраструктурного проекту, несе відповідальність згідно з законодавством. </w:t>
            </w:r>
          </w:p>
          <w:p w14:paraId="30C9C945"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7. У разі, якщо емітентом інфраструктурних облігацій є особа, яка </w:t>
            </w:r>
            <w:r w:rsidRPr="00286216">
              <w:rPr>
                <w:rFonts w:eastAsia="Calibri"/>
                <w:color w:val="000000" w:themeColor="text1"/>
              </w:rPr>
              <w:lastRenderedPageBreak/>
              <w:t>реалізує інфраструктурний проект, рішення про емісію облігацій або проспект облігацій повинні додатково до вимог цього Закону включати опис проекту, його техніко-економічних параметрів, строку реалізації.</w:t>
            </w:r>
          </w:p>
          <w:p w14:paraId="483B32FC"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 xml:space="preserve">У разі, якщо емітентом інфраструктурних облігацій є особа, яка фінансує інфраструктурні проекти, рішення про емісію облігацій або проспект облігацій повинні додатково до вимог цього Закону включати опис проектів, які отримують фінансування за рахунок надходжень від розміщення облігацій, процедури оцінки та відбору проектів для фінансування. </w:t>
            </w:r>
          </w:p>
          <w:p w14:paraId="221FBC00" w14:textId="77777777" w:rsidR="00C70550" w:rsidRPr="00286216" w:rsidRDefault="00C70550" w:rsidP="00834DEB">
            <w:pPr>
              <w:pStyle w:val="StyleProp"/>
              <w:spacing w:line="190" w:lineRule="exact"/>
              <w:rPr>
                <w:rFonts w:eastAsia="Calibri"/>
                <w:color w:val="000000" w:themeColor="text1"/>
              </w:rPr>
            </w:pPr>
            <w:r w:rsidRPr="00286216">
              <w:rPr>
                <w:rFonts w:eastAsia="Calibri"/>
                <w:color w:val="000000" w:themeColor="text1"/>
              </w:rPr>
              <w:t>8. Річна інформація про емітента інфраструктурних облігацій повинна додатково до вимог цього Закону містити підтверджені незалежним аудитором відомості про поточний стан реалізації інфраструктурного проекту, а також розмір коштів, залучених за рахунок  розміщення інфраструктурних облігацій, та розмір фактично використаних коштів для реалізації або фінансування інфраструктурного проекту.</w:t>
            </w:r>
          </w:p>
          <w:p w14:paraId="367C064C" w14:textId="77777777" w:rsidR="00C70550" w:rsidRPr="00286216" w:rsidRDefault="00C70550" w:rsidP="00834DEB">
            <w:pPr>
              <w:pStyle w:val="StyleProp"/>
              <w:spacing w:line="190" w:lineRule="exact"/>
              <w:rPr>
                <w:color w:val="000000" w:themeColor="text1"/>
                <w:szCs w:val="18"/>
              </w:rPr>
            </w:pPr>
            <w:r w:rsidRPr="00286216">
              <w:rPr>
                <w:rFonts w:eastAsia="Calibri"/>
                <w:color w:val="000000" w:themeColor="text1"/>
              </w:rPr>
              <w:t>9. Рішенням про емісію облігацій або проспектом облігацій визначаються джерела погашення інфраструктурних облігацій та виплати доходів за ними, включаючи частину  надходжень (за наявності) від зданого в експлуатацію об’єкту інфраструктури".</w:t>
            </w:r>
          </w:p>
        </w:tc>
        <w:tc>
          <w:tcPr>
            <w:tcW w:w="1987" w:type="dxa"/>
          </w:tcPr>
          <w:p w14:paraId="4F0A5139"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tc>
        <w:tc>
          <w:tcPr>
            <w:tcW w:w="4818" w:type="dxa"/>
          </w:tcPr>
          <w:p w14:paraId="59DAD9B6" w14:textId="186D81E7" w:rsidR="00C70550" w:rsidRPr="00286216" w:rsidRDefault="00C70550" w:rsidP="006A358E">
            <w:pPr>
              <w:pStyle w:val="StyleZakonu"/>
              <w:rPr>
                <w:rFonts w:eastAsia="Calibri"/>
                <w:color w:val="000000" w:themeColor="text1"/>
              </w:rPr>
            </w:pPr>
            <w:r w:rsidRPr="00286216">
              <w:rPr>
                <w:rFonts w:eastAsia="Calibri"/>
                <w:color w:val="000000" w:themeColor="text1"/>
              </w:rPr>
              <w:t>Стаття 17. Інфраструктурні облігації</w:t>
            </w:r>
          </w:p>
          <w:p w14:paraId="3BDF0B6F" w14:textId="3C1D3896" w:rsidR="00C70550" w:rsidRPr="00286216" w:rsidRDefault="00C70550" w:rsidP="006A358E">
            <w:pPr>
              <w:pStyle w:val="StyleZakonu"/>
              <w:rPr>
                <w:rFonts w:eastAsia="Calibri"/>
                <w:color w:val="000000" w:themeColor="text1"/>
              </w:rPr>
            </w:pPr>
            <w:r w:rsidRPr="00286216">
              <w:rPr>
                <w:rFonts w:eastAsia="Calibri"/>
                <w:color w:val="000000" w:themeColor="text1"/>
              </w:rPr>
              <w:t>1. Емісію інфраструктурних облігацій може здійснювати особа, що реалізує або фінансує інфраструктурний проект, у порядку, встановленому Національною комісією з цінних паперів та фондового ринку. Кошти від розміщення інфраструктурних облігацій спрямовуються на фінансування та/або рефінансування витрат інфраструктурного проекту.</w:t>
            </w:r>
          </w:p>
          <w:p w14:paraId="76C685E0" w14:textId="3FC1CC4E" w:rsidR="00C70550" w:rsidRPr="00286216" w:rsidRDefault="00C70550" w:rsidP="006A358E">
            <w:pPr>
              <w:pStyle w:val="StyleZakonu"/>
              <w:rPr>
                <w:rFonts w:eastAsia="Calibri"/>
                <w:color w:val="000000" w:themeColor="text1"/>
              </w:rPr>
            </w:pPr>
            <w:r w:rsidRPr="00286216">
              <w:rPr>
                <w:rFonts w:eastAsia="Calibri"/>
                <w:color w:val="000000" w:themeColor="text1"/>
              </w:rPr>
              <w:t>2. Інфраструктурний проект – це проект будівництва (реконструкції, ремонту) об’єктів у сферах транспортної інфраструктури (доріг, мостів, переправ тощо) та газопроводів, у сферах соціально-культурного призначення (об’єктів охорони здоров'я, освіти, соціального</w:t>
            </w:r>
            <w:r w:rsidRPr="00286216">
              <w:rPr>
                <w:rFonts w:eastAsia="Calibri"/>
                <w:color w:val="000000" w:themeColor="text1"/>
                <w:lang w:val="ru-RU"/>
              </w:rPr>
              <w:t xml:space="preserve"> призначення</w:t>
            </w:r>
            <w:r w:rsidRPr="00286216">
              <w:rPr>
                <w:rFonts w:eastAsia="Calibri"/>
                <w:color w:val="000000" w:themeColor="text1"/>
              </w:rPr>
              <w:t>) та/або житлово-комунального господарства (водопровідних та каналізаційних споруд, систем тепло- та енергопостачання тощо).</w:t>
            </w:r>
          </w:p>
          <w:p w14:paraId="390AD970" w14:textId="77777777" w:rsidR="00C70550" w:rsidRPr="00286216" w:rsidRDefault="00C70550" w:rsidP="006A358E">
            <w:pPr>
              <w:pStyle w:val="StyleZakonu"/>
              <w:rPr>
                <w:rFonts w:eastAsia="Calibri"/>
                <w:color w:val="000000" w:themeColor="text1"/>
              </w:rPr>
            </w:pPr>
            <w:r w:rsidRPr="00286216">
              <w:rPr>
                <w:rFonts w:eastAsia="Calibri"/>
                <w:color w:val="000000" w:themeColor="text1"/>
              </w:rPr>
              <w:t>Порядок відбору інфраструктурних проектів, які фінансуються та/або витрати яких рефінансуються за кошти державного бюджету, встановлюється Кабінетом Міністрів України.</w:t>
            </w:r>
          </w:p>
          <w:p w14:paraId="7044694A" w14:textId="77777777" w:rsidR="00C70550" w:rsidRPr="00286216" w:rsidRDefault="00C70550" w:rsidP="006A358E">
            <w:pPr>
              <w:pStyle w:val="StyleZakonu"/>
              <w:rPr>
                <w:rFonts w:eastAsia="Calibri"/>
                <w:color w:val="000000" w:themeColor="text1"/>
              </w:rPr>
            </w:pPr>
            <w:r w:rsidRPr="00286216">
              <w:rPr>
                <w:rFonts w:eastAsia="Calibri"/>
                <w:color w:val="000000" w:themeColor="text1"/>
              </w:rPr>
              <w:t>Порядок відбору інфраструктурних проектів, які фінансуються та/або витрати яких рефінансуються за кошти місцевих бюджетів, встановлюється відповідним органом місцевого самоврядування.</w:t>
            </w:r>
          </w:p>
          <w:p w14:paraId="0B88204A" w14:textId="6E643C56"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3. Для цілей цього Закону особою, </w:t>
            </w:r>
            <w:r w:rsidRPr="00286216">
              <w:rPr>
                <w:rFonts w:eastAsia="Calibri"/>
                <w:color w:val="000000" w:themeColor="text1"/>
                <w:lang w:val="ru-RU"/>
              </w:rPr>
              <w:t>що</w:t>
            </w:r>
            <w:r w:rsidRPr="00286216">
              <w:rPr>
                <w:rFonts w:eastAsia="Calibri"/>
                <w:color w:val="000000" w:themeColor="text1"/>
              </w:rPr>
              <w:t xml:space="preserve"> реалізує або фінансує інфраструктурний проект, визна</w:t>
            </w:r>
            <w:r w:rsidRPr="00286216">
              <w:rPr>
                <w:rFonts w:eastAsia="Calibri"/>
                <w:color w:val="000000" w:themeColor="text1"/>
                <w:lang w:val="ru-RU"/>
              </w:rPr>
              <w:t>ю</w:t>
            </w:r>
            <w:r w:rsidRPr="00286216">
              <w:rPr>
                <w:rFonts w:eastAsia="Calibri"/>
                <w:color w:val="000000" w:themeColor="text1"/>
              </w:rPr>
              <w:t>ться:</w:t>
            </w:r>
          </w:p>
          <w:p w14:paraId="004B79A6" w14:textId="166B9FCA" w:rsidR="00C70550" w:rsidRPr="00286216" w:rsidRDefault="00C70550" w:rsidP="006A358E">
            <w:pPr>
              <w:pStyle w:val="StyleZakonu"/>
              <w:rPr>
                <w:rFonts w:eastAsia="Calibri"/>
                <w:color w:val="000000" w:themeColor="text1"/>
              </w:rPr>
            </w:pPr>
            <w:r w:rsidRPr="00286216">
              <w:rPr>
                <w:rFonts w:eastAsia="Calibri"/>
                <w:color w:val="000000" w:themeColor="text1"/>
              </w:rPr>
              <w:t>Рада міністрів Автономної Республіки Крим або територіальна громада в особі представницького органу місцевого самоврядування, за умови прийняття рішення про реалізацію інфраструктурного проекту, – з дати набрання чинності таким рішенням;</w:t>
            </w:r>
          </w:p>
          <w:p w14:paraId="6A8682B5" w14:textId="39DDB544"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держава Україна в особі уповноважених органів за умови прийняття рішення про реалізацію інфраструктурного проекту або державної цільової програми здійснення інвестицій в об’єкти </w:t>
            </w:r>
            <w:r w:rsidRPr="00286216">
              <w:rPr>
                <w:rFonts w:eastAsia="Calibri"/>
                <w:color w:val="000000" w:themeColor="text1"/>
              </w:rPr>
              <w:lastRenderedPageBreak/>
              <w:t>інфраструктури, – з дати набрання чинності таким рішенням;</w:t>
            </w:r>
          </w:p>
          <w:p w14:paraId="45515CCE" w14:textId="77777777" w:rsidR="00C70550" w:rsidRPr="00286216" w:rsidRDefault="00C70550" w:rsidP="006A358E">
            <w:pPr>
              <w:pStyle w:val="StyleZakonu"/>
              <w:rPr>
                <w:rFonts w:eastAsia="Calibri"/>
                <w:color w:val="000000" w:themeColor="text1"/>
              </w:rPr>
            </w:pPr>
            <w:r w:rsidRPr="00286216">
              <w:rPr>
                <w:rFonts w:eastAsia="Calibri"/>
                <w:color w:val="000000" w:themeColor="text1"/>
              </w:rPr>
              <w:t>юридична особа приватного права, у тому числі за проектами, що реалізуються відповідно до договору державно-приватного партнерства;</w:t>
            </w:r>
          </w:p>
          <w:p w14:paraId="5D622725" w14:textId="365E350E"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спеціалізована установа, </w:t>
            </w:r>
            <w:r w:rsidRPr="00286216">
              <w:rPr>
                <w:rFonts w:eastAsia="Calibri"/>
                <w:color w:val="000000" w:themeColor="text1"/>
                <w:lang w:val="ru-RU"/>
              </w:rPr>
              <w:t>у</w:t>
            </w:r>
            <w:r w:rsidRPr="00286216">
              <w:rPr>
                <w:rFonts w:eastAsia="Calibri"/>
                <w:color w:val="000000" w:themeColor="text1"/>
              </w:rPr>
              <w:t xml:space="preserve">творена </w:t>
            </w:r>
            <w:r w:rsidRPr="00286216">
              <w:rPr>
                <w:rFonts w:eastAsia="Calibri"/>
                <w:color w:val="000000" w:themeColor="text1"/>
                <w:lang w:val="ru-RU"/>
              </w:rPr>
              <w:t>Кабінетом Міністрів</w:t>
            </w:r>
            <w:r w:rsidRPr="00286216">
              <w:rPr>
                <w:rFonts w:eastAsia="Calibri"/>
                <w:color w:val="000000" w:themeColor="text1"/>
              </w:rPr>
              <w:t xml:space="preserve"> України чи іншим спеціально уповноваженим органом,– у порядку, визначеному законом;</w:t>
            </w:r>
          </w:p>
          <w:p w14:paraId="1984AE41" w14:textId="15471324" w:rsidR="00C70550" w:rsidRPr="00286216" w:rsidRDefault="00C70550" w:rsidP="006A358E">
            <w:pPr>
              <w:pStyle w:val="StyleZakonu"/>
              <w:rPr>
                <w:rFonts w:eastAsia="Calibri"/>
                <w:color w:val="000000" w:themeColor="text1"/>
              </w:rPr>
            </w:pPr>
            <w:r w:rsidRPr="00286216">
              <w:rPr>
                <w:rFonts w:eastAsia="Calibri"/>
                <w:color w:val="000000" w:themeColor="text1"/>
              </w:rPr>
              <w:t>міжнародна фінансова організація.</w:t>
            </w:r>
          </w:p>
          <w:p w14:paraId="121DB81A" w14:textId="62B6094B"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4. Особа, що реалізує інфраструктурний проект, для фінансування якого здійснено випуск інфраструктурних облігацій, не має права вчиняти будь-які дії, наслідком яких може бути дострокове припинення, скасування або інша втрата прав на інфраструктурний проект, а також їх обтяження. </w:t>
            </w:r>
          </w:p>
          <w:p w14:paraId="192C71AC" w14:textId="7C8F6B71" w:rsidR="00C70550" w:rsidRPr="00286216" w:rsidRDefault="00C70550" w:rsidP="006A358E">
            <w:pPr>
              <w:pStyle w:val="StyleZakonu"/>
              <w:rPr>
                <w:rFonts w:eastAsia="Calibri"/>
                <w:color w:val="000000" w:themeColor="text1"/>
              </w:rPr>
            </w:pPr>
            <w:r w:rsidRPr="00286216">
              <w:rPr>
                <w:rFonts w:eastAsia="Calibri"/>
                <w:color w:val="000000" w:themeColor="text1"/>
              </w:rPr>
              <w:t>5. Емісія декількох випусків інфраструктурних облігацій може бути здійснена для реалізації одного інфраструктурного проекту, за умови що загальна номінальна вартість таких емісій не перевищує проектно-кошторисну вартість інфраструктурного проекту, яка має бути визначена в рішенні про здійснення такого проекту.</w:t>
            </w:r>
          </w:p>
          <w:p w14:paraId="59119E1D" w14:textId="5A3E3731"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Особа, що фінансує інфраструктурний проект, може здійснювати емісію одного випуску інфраструктурних облігацій для фінансування декількох інфраструктурних проектів. </w:t>
            </w:r>
          </w:p>
          <w:p w14:paraId="13EB9515" w14:textId="065DCDE5"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6. Особа, що реалізує або фінансує інфраструктурний проект, зобов’язана  відокремити залучені кошти і придбані матеріальні цінності від іншого свого майна та забезпечити цільове використання надходжень, що будуть залучені від інвесторів на фінансування та/або рефінансування витрат інфраструктурного проекту. </w:t>
            </w:r>
          </w:p>
          <w:p w14:paraId="4FC2F23D" w14:textId="2BD12ABE"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У разі нецільового використання надходжень, залучених від інвесторів на фінансування та/або рефінансування витрат інфраструктурного проекту, особа, що реалізує або фінансує інфраструктурний проект, несе відповідальність згідно із законодавством. </w:t>
            </w:r>
          </w:p>
          <w:p w14:paraId="04D3DD10" w14:textId="2F43D215"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7. У разі якщо емітентом інфраструктурних облігацій є особа, що реалізує інфраструктурний проект, рішення про емісію облігацій або проспект </w:t>
            </w:r>
            <w:r w:rsidRPr="00286216">
              <w:rPr>
                <w:rFonts w:eastAsia="Calibri"/>
                <w:color w:val="000000" w:themeColor="text1"/>
              </w:rPr>
              <w:lastRenderedPageBreak/>
              <w:t>облігацій повинні, додатково до вимог цього Закону, включати опис проекту, його техніко-економічні параметри, строк реалізації.</w:t>
            </w:r>
          </w:p>
          <w:p w14:paraId="4ED46C8E" w14:textId="072CB8AE"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У разі якщо емітентом інфраструктурних облігацій є особа, що фінансує інфраструктурні проекти, рішення про емісію облігацій або проспект облігацій повинні, додатково до вимог цього Закону, включати опис проектів, які отримають фінансування за рахунок надходжень від розміщення облігацій, процедури оцінки та відбору проектів для фінансування. </w:t>
            </w:r>
          </w:p>
          <w:p w14:paraId="465550D6" w14:textId="27A9B6B5" w:rsidR="00C70550" w:rsidRPr="00286216" w:rsidRDefault="00C70550" w:rsidP="006A358E">
            <w:pPr>
              <w:pStyle w:val="StyleZakonu"/>
              <w:rPr>
                <w:rFonts w:eastAsia="Calibri"/>
                <w:color w:val="000000" w:themeColor="text1"/>
              </w:rPr>
            </w:pPr>
            <w:r w:rsidRPr="00286216">
              <w:rPr>
                <w:rFonts w:eastAsia="Calibri"/>
                <w:color w:val="000000" w:themeColor="text1"/>
              </w:rPr>
              <w:t xml:space="preserve">8. Річна інформація про емітента інфраструктурних облігацій повинна, додатково до вимог цього Закону, містити підтверджені незалежним аудитором відомості про поточний стан реалізації інфраструктурного проекту, а також обсяг коштів, залучених за рахунок  розміщення інфраструктурних облігацій, та обсяг фактично використаних коштів для реалізації або фінансування інфраструктурного проекту. </w:t>
            </w:r>
          </w:p>
          <w:p w14:paraId="520B05FF" w14:textId="34D2FA4C" w:rsidR="00C70550" w:rsidRPr="00286216" w:rsidRDefault="00C70550" w:rsidP="006A358E">
            <w:pPr>
              <w:pStyle w:val="StyleZakonu"/>
              <w:rPr>
                <w:color w:val="000000" w:themeColor="text1"/>
              </w:rPr>
            </w:pPr>
            <w:r w:rsidRPr="00286216">
              <w:rPr>
                <w:rFonts w:eastAsia="Calibri"/>
                <w:color w:val="000000" w:themeColor="text1"/>
              </w:rPr>
              <w:t>9. Рішенням про емісію облігацій або проспектом облігацій визначаються джерела погашення інфраструктурних облігацій та виплати доходів за ними, включаючи частину  надходжень (за наявності) від зданого в експлуатацію об’єкта інфраструктури.</w:t>
            </w:r>
          </w:p>
        </w:tc>
      </w:tr>
      <w:tr w:rsidR="00C70550" w:rsidRPr="00286216" w14:paraId="617CAFF0" w14:textId="77777777" w:rsidTr="006A358E">
        <w:tc>
          <w:tcPr>
            <w:tcW w:w="576" w:type="dxa"/>
          </w:tcPr>
          <w:p w14:paraId="599794AA" w14:textId="77777777" w:rsidR="00C70550" w:rsidRPr="00286216" w:rsidRDefault="00C70550" w:rsidP="006A358E">
            <w:pPr>
              <w:pStyle w:val="StyleWisnow"/>
              <w:rPr>
                <w:color w:val="000000" w:themeColor="text1"/>
              </w:rPr>
            </w:pPr>
            <w:r w:rsidRPr="00286216">
              <w:rPr>
                <w:color w:val="000000" w:themeColor="text1"/>
              </w:rPr>
              <w:lastRenderedPageBreak/>
              <w:t>420.</w:t>
            </w:r>
          </w:p>
        </w:tc>
        <w:tc>
          <w:tcPr>
            <w:tcW w:w="4818" w:type="dxa"/>
          </w:tcPr>
          <w:p w14:paraId="272F19B2" w14:textId="77777777" w:rsidR="00C70550" w:rsidRPr="00286216" w:rsidRDefault="00C70550" w:rsidP="006A358E">
            <w:pPr>
              <w:pStyle w:val="StyleZakonu"/>
              <w:rPr>
                <w:color w:val="000000" w:themeColor="text1"/>
              </w:rPr>
            </w:pPr>
            <w:r w:rsidRPr="00286216">
              <w:rPr>
                <w:color w:val="000000" w:themeColor="text1"/>
              </w:rPr>
              <w:t>Стаття 22. Відсоткові облігації екологічних інвестицій (зелені облігації).</w:t>
            </w:r>
          </w:p>
        </w:tc>
        <w:tc>
          <w:tcPr>
            <w:tcW w:w="3686" w:type="dxa"/>
          </w:tcPr>
          <w:p w14:paraId="54F996A2" w14:textId="77777777" w:rsidR="00C70550" w:rsidRPr="00286216" w:rsidRDefault="00C70550" w:rsidP="006A358E">
            <w:pPr>
              <w:pStyle w:val="StyleProp"/>
              <w:rPr>
                <w:color w:val="000000" w:themeColor="text1"/>
                <w:szCs w:val="18"/>
              </w:rPr>
            </w:pPr>
          </w:p>
        </w:tc>
        <w:tc>
          <w:tcPr>
            <w:tcW w:w="1987" w:type="dxa"/>
          </w:tcPr>
          <w:p w14:paraId="06149DF2" w14:textId="77777777" w:rsidR="00C70550" w:rsidRPr="00286216" w:rsidRDefault="00C70550" w:rsidP="006A358E">
            <w:pPr>
              <w:pStyle w:val="StyleWisnow"/>
              <w:rPr>
                <w:color w:val="000000" w:themeColor="text1"/>
              </w:rPr>
            </w:pPr>
          </w:p>
        </w:tc>
        <w:tc>
          <w:tcPr>
            <w:tcW w:w="4818" w:type="dxa"/>
          </w:tcPr>
          <w:p w14:paraId="5FFBFF44" w14:textId="77777777" w:rsidR="00C70550" w:rsidRPr="00286216" w:rsidRDefault="00C70550" w:rsidP="006A358E">
            <w:pPr>
              <w:pStyle w:val="StyleZakonu"/>
              <w:rPr>
                <w:color w:val="000000" w:themeColor="text1"/>
              </w:rPr>
            </w:pPr>
            <w:r w:rsidRPr="00286216">
              <w:rPr>
                <w:color w:val="000000" w:themeColor="text1"/>
              </w:rPr>
              <w:t>Стаття 18.</w:t>
            </w:r>
            <w:r w:rsidRPr="00286216">
              <w:rPr>
                <w:color w:val="000000" w:themeColor="text1"/>
                <w:lang w:val="ru-RU"/>
              </w:rPr>
              <w:t xml:space="preserve"> </w:t>
            </w:r>
            <w:r w:rsidRPr="00286216">
              <w:rPr>
                <w:color w:val="000000" w:themeColor="text1"/>
              </w:rPr>
              <w:t xml:space="preserve">Зелені облігації </w:t>
            </w:r>
          </w:p>
        </w:tc>
      </w:tr>
      <w:tr w:rsidR="00C70550" w:rsidRPr="00286216" w14:paraId="3B818AF6" w14:textId="77777777" w:rsidTr="006A358E">
        <w:tc>
          <w:tcPr>
            <w:tcW w:w="576" w:type="dxa"/>
          </w:tcPr>
          <w:p w14:paraId="07767B09" w14:textId="77777777" w:rsidR="00C70550" w:rsidRPr="00286216" w:rsidRDefault="00C70550" w:rsidP="006A358E">
            <w:pPr>
              <w:pStyle w:val="StyleWisnow"/>
              <w:rPr>
                <w:color w:val="000000" w:themeColor="text1"/>
              </w:rPr>
            </w:pPr>
            <w:r w:rsidRPr="00286216">
              <w:rPr>
                <w:color w:val="000000" w:themeColor="text1"/>
              </w:rPr>
              <w:t>421.</w:t>
            </w:r>
          </w:p>
        </w:tc>
        <w:tc>
          <w:tcPr>
            <w:tcW w:w="4818" w:type="dxa"/>
          </w:tcPr>
          <w:p w14:paraId="675AAA82" w14:textId="77777777" w:rsidR="00C70550" w:rsidRPr="00286216" w:rsidRDefault="00C70550" w:rsidP="006A358E">
            <w:pPr>
              <w:pStyle w:val="StyleZakonu"/>
              <w:rPr>
                <w:color w:val="000000" w:themeColor="text1"/>
              </w:rPr>
            </w:pPr>
            <w:r w:rsidRPr="00286216">
              <w:rPr>
                <w:color w:val="000000" w:themeColor="text1"/>
              </w:rPr>
              <w:t>1. Відсоткові облігації екологічних інвестицій (зелені облігації) -це облігації, емісію яких здійснює особа, що реалізує або фінансує екологічно чистий проект. Кошти від розміщення відсоткових облігацій екологічних інвестицій (зелених облігацій) спрямовуються на фінансування та/або рефінансування витрат екологічно чистих проектів.</w:t>
            </w:r>
          </w:p>
        </w:tc>
        <w:tc>
          <w:tcPr>
            <w:tcW w:w="3686" w:type="dxa"/>
          </w:tcPr>
          <w:p w14:paraId="1C4C3DCE" w14:textId="29E90F37"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271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3EBD5FD" w14:textId="77777777" w:rsidR="00C70550" w:rsidRPr="00286216" w:rsidRDefault="00C70550" w:rsidP="006A358E">
            <w:pPr>
              <w:pStyle w:val="StyleProp"/>
              <w:spacing w:line="180" w:lineRule="exact"/>
              <w:rPr>
                <w:color w:val="000000" w:themeColor="text1"/>
              </w:rPr>
            </w:pPr>
            <w:r w:rsidRPr="00286216">
              <w:rPr>
                <w:color w:val="000000" w:themeColor="text1"/>
              </w:rPr>
              <w:t>Частину першу статті 22 викласти в такій редакції:</w:t>
            </w:r>
          </w:p>
          <w:p w14:paraId="797D0FB1"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«1. Емісію зелених облігацій може здійснювати особа, що реалізує або фінансує екологічний проект. </w:t>
            </w:r>
          </w:p>
          <w:p w14:paraId="4DCFEFC3" w14:textId="77777777" w:rsidR="00C70550" w:rsidRPr="00286216" w:rsidRDefault="00C70550" w:rsidP="006A358E">
            <w:pPr>
              <w:pStyle w:val="StyleProp"/>
              <w:spacing w:line="180" w:lineRule="exact"/>
              <w:rPr>
                <w:color w:val="000000" w:themeColor="text1"/>
              </w:rPr>
            </w:pPr>
            <w:r w:rsidRPr="00286216">
              <w:rPr>
                <w:color w:val="000000" w:themeColor="text1"/>
              </w:rPr>
              <w:t>Кошти від розміщення зелених облігацій спрямовуються на фінансування та/або рефінансування витрат екологічного проекту. У разі якщо емітентом  зелених облігацій є держава Україна, кошти від їх розміщення  використовуються відповідно до Бюджетного кодексу України.</w:t>
            </w:r>
          </w:p>
        </w:tc>
        <w:tc>
          <w:tcPr>
            <w:tcW w:w="1987" w:type="dxa"/>
          </w:tcPr>
          <w:p w14:paraId="3D2DEC6C"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частково</w:t>
            </w:r>
          </w:p>
          <w:p w14:paraId="25D3CA3F"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 xml:space="preserve">у запропонованій редакції статті </w:t>
            </w:r>
          </w:p>
        </w:tc>
        <w:tc>
          <w:tcPr>
            <w:tcW w:w="4818" w:type="dxa"/>
          </w:tcPr>
          <w:p w14:paraId="490292A7" w14:textId="77777777" w:rsidR="00C70550" w:rsidRPr="00286216" w:rsidRDefault="00C70550" w:rsidP="006A358E">
            <w:pPr>
              <w:pStyle w:val="StyleZakonu"/>
              <w:rPr>
                <w:color w:val="000000" w:themeColor="text1"/>
              </w:rPr>
            </w:pPr>
            <w:r w:rsidRPr="00286216">
              <w:rPr>
                <w:color w:val="000000" w:themeColor="text1"/>
              </w:rPr>
              <w:t xml:space="preserve">1. Емісію зелених облігацій може здійснювати особа, що реалізує або фінансує проект екологічного спрямування. </w:t>
            </w:r>
          </w:p>
          <w:p w14:paraId="02C0DA40" w14:textId="77777777" w:rsidR="00C70550" w:rsidRPr="00286216" w:rsidRDefault="00C70550" w:rsidP="006A358E">
            <w:pPr>
              <w:pStyle w:val="StyleZakonu"/>
              <w:rPr>
                <w:color w:val="000000" w:themeColor="text1"/>
              </w:rPr>
            </w:pPr>
            <w:r w:rsidRPr="00286216">
              <w:rPr>
                <w:color w:val="000000" w:themeColor="text1"/>
              </w:rPr>
              <w:t>Кошти від розміщення зелених облігацій спрямовуються на фінансування та/або рефінансування витрат проекту екологічного спрямування. У разі якщо емітентом зелених облігацій є держава Україна, кошти від їх розміщення  використовуються відповідно до Бюджетного кодексу України.</w:t>
            </w:r>
          </w:p>
        </w:tc>
      </w:tr>
      <w:tr w:rsidR="00C70550" w:rsidRPr="00286216" w14:paraId="7ACF44B2" w14:textId="77777777" w:rsidTr="006A358E">
        <w:tc>
          <w:tcPr>
            <w:tcW w:w="576" w:type="dxa"/>
          </w:tcPr>
          <w:p w14:paraId="73BCE4AB" w14:textId="77777777" w:rsidR="00C70550" w:rsidRPr="00286216" w:rsidRDefault="00C70550" w:rsidP="006A358E">
            <w:pPr>
              <w:pStyle w:val="StyleWisnow"/>
              <w:rPr>
                <w:color w:val="000000" w:themeColor="text1"/>
              </w:rPr>
            </w:pPr>
          </w:p>
        </w:tc>
        <w:tc>
          <w:tcPr>
            <w:tcW w:w="4818" w:type="dxa"/>
          </w:tcPr>
          <w:p w14:paraId="309D7B25" w14:textId="77777777" w:rsidR="00C70550" w:rsidRPr="00286216" w:rsidRDefault="00C70550" w:rsidP="006A358E">
            <w:pPr>
              <w:pStyle w:val="StyleZakonu"/>
              <w:rPr>
                <w:color w:val="000000" w:themeColor="text1"/>
              </w:rPr>
            </w:pPr>
          </w:p>
        </w:tc>
        <w:tc>
          <w:tcPr>
            <w:tcW w:w="3686" w:type="dxa"/>
          </w:tcPr>
          <w:p w14:paraId="2489FA35" w14:textId="3B46F7DC"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C508CD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Статтю 22 нової редакції Закону замінити статтями 22 та 23 такого змісту:</w:t>
            </w:r>
          </w:p>
          <w:p w14:paraId="1937AF7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«Стаття 22.Зелені облігації </w:t>
            </w:r>
          </w:p>
          <w:p w14:paraId="0852DA7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 Емісію зелених облігацій може здійснювати особа, що реалізує або фінансує екологічний проект. Кошти від розміщення </w:t>
            </w:r>
            <w:r w:rsidRPr="00286216">
              <w:rPr>
                <w:color w:val="000000" w:themeColor="text1"/>
                <w:szCs w:val="18"/>
              </w:rPr>
              <w:lastRenderedPageBreak/>
              <w:t xml:space="preserve">зелених облігацій спрямовуються на фінансування та/або рефінансування витрат екологічного проекту. </w:t>
            </w:r>
          </w:p>
          <w:p w14:paraId="6D93111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2. Екологічний проект – це проект, спрямований на впровадження енергоефективних технологій, перехід на відновлювані джерела енергії та/або альтернативні види палива, використання екологічно чистого транспорту,  переробку відходів та протидію їх утворенню, запобігання забрудненню навколишнього природного середовища, скорочення викидів забруднюючих речовин та парникових газів в атмосферне повітря, адаптацію до змін клімату, збереження флори і фауни, водних та земельних ресурсів. </w:t>
            </w:r>
          </w:p>
          <w:p w14:paraId="3E02A838"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 Порядок відбору та супроводження екологічних проектів, які фінансуються за кошти залучені до державного і місцевих бюджетів від емісії зелених облігацій, встановлюється Кабінетом Міністрів України.</w:t>
            </w:r>
          </w:p>
          <w:p w14:paraId="06FC4DA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3. Для цілей цього Закону:</w:t>
            </w:r>
          </w:p>
          <w:p w14:paraId="183CBDD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 особою, що реалізує екологічний проект, визнається:</w:t>
            </w:r>
          </w:p>
          <w:p w14:paraId="6D4AB7D7"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Рада Автономної Республіки Крим або територіальна громада в особі представницького органу місцевого самоврядування за умови прийняття рішення про реалізацію екологічного проекту із дати набрання чинності таким рішенням;</w:t>
            </w:r>
          </w:p>
          <w:p w14:paraId="667BA6C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держава Україна в особі уповноважених органів за умови прийняття рішення про реалізацію екологічного проекту або державної цільової програми щодо здійснення екологічних (зелених) інвестицій із дати набрання чинності таким рішенням;</w:t>
            </w:r>
          </w:p>
          <w:p w14:paraId="30BAA4F8"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юридична особа приватного права, у тому числі за проектами, що реалізуються відповідно до договору державно-приватного партнерства;</w:t>
            </w:r>
          </w:p>
          <w:p w14:paraId="0357952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2) особою, що фінансує екологічний проект, визнається:</w:t>
            </w:r>
          </w:p>
          <w:p w14:paraId="52022248"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спеціалізована фінансова установа, створена урядом України чи іншим спеціально уповноваженим органом – у випадках, визначених законом, яким визначається її правовий статус;</w:t>
            </w:r>
          </w:p>
          <w:p w14:paraId="36E9FC9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юридична особа приватного права, зокрема, банк, фінансова установа;</w:t>
            </w:r>
          </w:p>
          <w:p w14:paraId="498B53C4"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міжнародні фінансові організації.</w:t>
            </w:r>
          </w:p>
          <w:p w14:paraId="0119612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4. Особа, що реалізує екологічний проект, для фінансування якого здійснено емісію зелених облігацій, не має права вчиняти будь-які дії, наслідком яких може бути дострокове припинення, скасування, або </w:t>
            </w:r>
            <w:r w:rsidRPr="00286216">
              <w:rPr>
                <w:color w:val="000000" w:themeColor="text1"/>
                <w:szCs w:val="18"/>
              </w:rPr>
              <w:lastRenderedPageBreak/>
              <w:t>інша втрата прав на екологічний проект та/чи прав на екологічний проект, а також їх обтяження.</w:t>
            </w:r>
          </w:p>
          <w:p w14:paraId="45B175B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5. Емісія декількох випусків зелених облігацій може бути здійснена для реалізації одного екологічного проекту, за умови, що загальна номінальна вартість таких емісій не перевищує проектно-кошторисну вартість екологічного проекту, яка має бути визначена в рішенні про здійснення такого проекту.</w:t>
            </w:r>
          </w:p>
          <w:p w14:paraId="43FE48DF"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Особа, що здійснює фінансування екологічного проекту, може здійснювати емісію одного випуску зелених облігацій для фінансування декількох екологічних проектів.</w:t>
            </w:r>
          </w:p>
          <w:p w14:paraId="0D3E725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6. Особа, що реалізує або здійснює фінансування екологічного проекту, зобов’язана забезпечити цільове використання надходжень, що будуть залучені від інвесторів на фінансування та/або рефінансування витрат екологічних проектів.</w:t>
            </w:r>
          </w:p>
          <w:p w14:paraId="2FB48F6D"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7. У разі, якщо емітентом зелених облігацій є особа, яка реалізує екологічно чистий проект, рішення про емісію облігацій або проспект облігацій повинен додатково до вимог цього Закону включати опис проекту, його техніко-економічних параметрів, строку реалізації, розрахунок екологічного ефекту, що очікується від реалізації проекту.</w:t>
            </w:r>
          </w:p>
          <w:p w14:paraId="3CEF280F"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8. У разі, якщо емітентом зелених облігацій є особа, яка фінансує екологічні проекти, рішення про емісію облігацій або проспект облігацій повинен додатково до вимог цього Закону включати опис проектів, які отримують фінансування за рахунок надходжень від розміщення облігацій, процедури оцінки та відбору проектів для фінансування, порядок розрахунку екологічного ефекту, що очікується від реалізації проектів. </w:t>
            </w:r>
          </w:p>
          <w:p w14:paraId="3DE08AA9"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9. Річна інформація про емітента зелених облігацій повинна додатково до вимог статті 122 цього Закону містити відомості про поточний стан реалізації екологічного проекту, а також розмір коштів, залучених за рахунок  емісії зелених облігацій, та розмір фактично використаних коштів для реалізації або фінансування екологічних проектів. </w:t>
            </w:r>
          </w:p>
          <w:p w14:paraId="6A344C9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10. Рішення про емісію облігацій або проспект облігацій може передбачати, що джерелами погашення зелених облігацій та виплати доходів за ними є надходження (за наявності) від зданого в експлуатацію об’єкту, фінансування або реалізація якого здійснена за рахунок коштів, залучених від </w:t>
            </w:r>
            <w:r w:rsidRPr="00286216">
              <w:rPr>
                <w:color w:val="000000" w:themeColor="text1"/>
                <w:szCs w:val="18"/>
              </w:rPr>
              <w:lastRenderedPageBreak/>
              <w:t>розміщення зелених облігацій, а також інші надходження, передбачені рішенням про емісію облігацій або проспектом облігацій.</w:t>
            </w:r>
          </w:p>
          <w:p w14:paraId="736BE6F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Стаття 23. Інфраструктурні облігації</w:t>
            </w:r>
          </w:p>
          <w:p w14:paraId="0D8994D0"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 Емісію інфраструктурних облігацій може здійснювати особа, що реалізує або фінансує інфраструктурний проект. Кошти від розміщення інфраструктурних облігацій спрямовуються на фінансування та/або рефінансування витрат інфраструктурного проекту. </w:t>
            </w:r>
          </w:p>
          <w:p w14:paraId="721EB0D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2. Інфраструктурний проект – інвестиційний проект будівництва (реконструкції) об’єктів у сферах транспортної інфраструктури (доріг, мостів, переправ тощо) та газопроводів, у сферах соціально-культурного призначення та/або житлово-комунального господарства (водопровідних та каналізаційних споруд, систем тепло- та енергопостачання тощо), а також у інших сферах визначених Кабінетом Міністрів України.</w:t>
            </w:r>
          </w:p>
          <w:p w14:paraId="1E72708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Порядок відбору інфраструктурних проектів, які фінансуються за кошти державного і місцевих бюджетів, встановлюється Кабінетом Міністрів України.</w:t>
            </w:r>
          </w:p>
          <w:p w14:paraId="27530DC2"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3. Для цілей цього Закону особою, що реалізує або фінансує інфраструктурний проект, визнається:</w:t>
            </w:r>
          </w:p>
          <w:p w14:paraId="38439FD9"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Рада Автономної Республіки Крим або територіальна громада в особі представницького органу місцевого самоврядування за умови прийняття рішення про реалізацію інфраструктурного проекту із дати набрання чинності таким рішенням;</w:t>
            </w:r>
          </w:p>
          <w:p w14:paraId="15580F8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держава Україна в особі уповноважених органів за умови прийняття рішення про реалізацію інфраструктурного проекту або державної цільової програми здійснення інвестицій в об’єкти інфраструктури із дати набрання чинності таким рішенням;</w:t>
            </w:r>
          </w:p>
          <w:p w14:paraId="6E58F47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юридична особа приватного права, у тому числі за проектами, що реалізуються відповідно до договору державно-приватного партнерства;</w:t>
            </w:r>
          </w:p>
          <w:p w14:paraId="65A6DF6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спеціалізована установа, створена урядом України чи іншим спеціально уповноваженим органом, фонд місцевого розвитку – у випадках, визначених законом, яким визначається їх правовий статус;</w:t>
            </w:r>
          </w:p>
          <w:p w14:paraId="4DD472F7"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міжнародні фінансові організації.</w:t>
            </w:r>
          </w:p>
          <w:p w14:paraId="6A4B48B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4. Особа, що реалізує інфраструктурний проект, для фінансування якого здійснено випуск інфраструктурних облігацій, не має права вчиняти будь-які дії, наслідком яких </w:t>
            </w:r>
            <w:r w:rsidRPr="00286216">
              <w:rPr>
                <w:color w:val="000000" w:themeColor="text1"/>
                <w:szCs w:val="18"/>
              </w:rPr>
              <w:lastRenderedPageBreak/>
              <w:t>може бути дострокове припинення, скасування, або інша втрата прав на інфраструктурний проект, а також їх обтяження.</w:t>
            </w:r>
          </w:p>
          <w:p w14:paraId="65309BC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5. Емісія декількох випусків інфраструктурних облігацій може бути здійснена для реалізації одного інфраструктурного проекту, за умови, що загальна номінальна вартість таких емісій не перевищує проектно-кошторисну вартість інфраструктурного проекту, яка має бути визначена в рішенні про здійснення такого проекту.</w:t>
            </w:r>
          </w:p>
          <w:p w14:paraId="14D4BCDF"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Особа, що здійснює фінансування інфраструктурного проекту, може здійснювати емісію одного випуску інфраструктурних облігацій для фінансування декількох інфраструктурних проектів.</w:t>
            </w:r>
          </w:p>
          <w:p w14:paraId="405E647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6. Особа, що реалізує або здійснює фінансування інфраструктурного проекту, зобов’язана забезпечити цільове використання надходжень, що будуть залучені від інвесторів на фінансування та/або рефінансування витрат інфраструктурного проекту.</w:t>
            </w:r>
          </w:p>
          <w:p w14:paraId="0042196F"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У разі нецільового використання надходжень, залучених від інвесторів на фінансування та/або рефінансування витрат інфраструктурного проекту, особа, що реалізує або здійснює фінансування інфраструктурного проекту, несе відповідальність згідно законодавства.</w:t>
            </w:r>
          </w:p>
          <w:p w14:paraId="02D65AC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7. У разі, якщо емітентом інфраструктурних облігацій є особа, яка реалізує інфраструктурний проект, рішення про емісію облігацій або проспект облігацій повинні додатково до вимог цього Закону включати опис проекту, його техніко-економічних параметрів, строку реалізації, розрахунок ефекту, що очікується від реалізації проекту.</w:t>
            </w:r>
          </w:p>
          <w:p w14:paraId="7464E7D2"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У разі, якщо емітентом інфраструктурних облігацій є особа, яка фінансує інфраструктурні проекти, рішення про емісію облігацій або проспект облігацій повинні додатково до вимог цього Закону включати опис проектів, які отримують фінансування за рахунок надходжень від розміщення облігацій, процедури оцінки та відбору проектів для фінансування, порядок розрахунку ефекту, що очікується від реалізації проектів. </w:t>
            </w:r>
          </w:p>
          <w:p w14:paraId="5E1E4A9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8. Річна інформація про емітента інфраструктурних облігацій повинна додатково до вимог цього Закону містити </w:t>
            </w:r>
            <w:r w:rsidRPr="00286216">
              <w:rPr>
                <w:color w:val="000000" w:themeColor="text1"/>
                <w:szCs w:val="18"/>
              </w:rPr>
              <w:lastRenderedPageBreak/>
              <w:t>відомості про поточний стан реалізації інфраструктурного проекту, а також розмір коштів, залучених за рахунок  розміщення інфраструктурних облігацій, та розмір фактично використаних коштів для реалізації або фінансування інфраструктурного проекту.</w:t>
            </w:r>
          </w:p>
          <w:p w14:paraId="4B20E284"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9. Джерелами погашення інфраструктурних облігацій та виплати доходів за ними є надходження (за наявності) від зданого в експлуатацію об’єкту інфраструктури, а також інші надходження, передбачені рішенням про емісію облігацій або проспектом облігацій.».</w:t>
            </w:r>
          </w:p>
          <w:p w14:paraId="479EC35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У зв’язку з доповненням нової редакції Закону новою статтею 23 пропонуємо відповідно змістити нумерацію статей в новій редакції Закону та посилання по тексту.</w:t>
            </w:r>
          </w:p>
        </w:tc>
        <w:tc>
          <w:tcPr>
            <w:tcW w:w="1987" w:type="dxa"/>
          </w:tcPr>
          <w:p w14:paraId="30B97F5B" w14:textId="77777777" w:rsidR="00C70550" w:rsidRPr="00286216" w:rsidRDefault="00C70550" w:rsidP="006A358E">
            <w:pPr>
              <w:pStyle w:val="StyleWisnow"/>
              <w:rPr>
                <w:color w:val="000000" w:themeColor="text1"/>
              </w:rPr>
            </w:pPr>
            <w:r w:rsidRPr="00286216">
              <w:rPr>
                <w:color w:val="000000" w:themeColor="text1"/>
              </w:rPr>
              <w:lastRenderedPageBreak/>
              <w:t>Враховано частково</w:t>
            </w:r>
          </w:p>
          <w:p w14:paraId="5757A537" w14:textId="77777777" w:rsidR="00C70550" w:rsidRPr="00286216" w:rsidRDefault="00C70550" w:rsidP="006A358E">
            <w:pPr>
              <w:pStyle w:val="StyleWisnow"/>
              <w:rPr>
                <w:color w:val="000000" w:themeColor="text1"/>
              </w:rPr>
            </w:pPr>
            <w:r w:rsidRPr="00286216">
              <w:rPr>
                <w:color w:val="000000" w:themeColor="text1"/>
              </w:rPr>
              <w:t>у запропонованій редакції статті</w:t>
            </w:r>
          </w:p>
        </w:tc>
        <w:tc>
          <w:tcPr>
            <w:tcW w:w="4818" w:type="dxa"/>
          </w:tcPr>
          <w:p w14:paraId="586A230B" w14:textId="77777777" w:rsidR="00C70550" w:rsidRPr="00286216" w:rsidRDefault="00C70550" w:rsidP="006A358E">
            <w:pPr>
              <w:pStyle w:val="StyleZakonu"/>
              <w:rPr>
                <w:color w:val="000000" w:themeColor="text1"/>
              </w:rPr>
            </w:pPr>
          </w:p>
        </w:tc>
      </w:tr>
      <w:tr w:rsidR="00C70550" w:rsidRPr="00286216" w14:paraId="7F885C31" w14:textId="77777777" w:rsidTr="006A358E">
        <w:tc>
          <w:tcPr>
            <w:tcW w:w="576" w:type="dxa"/>
          </w:tcPr>
          <w:p w14:paraId="7C8B497C" w14:textId="77777777" w:rsidR="00C70550" w:rsidRPr="00286216" w:rsidRDefault="00C70550" w:rsidP="006A358E">
            <w:pPr>
              <w:pStyle w:val="StyleWisnow"/>
              <w:rPr>
                <w:color w:val="000000" w:themeColor="text1"/>
              </w:rPr>
            </w:pPr>
          </w:p>
        </w:tc>
        <w:tc>
          <w:tcPr>
            <w:tcW w:w="4818" w:type="dxa"/>
          </w:tcPr>
          <w:p w14:paraId="068F1EC0" w14:textId="77777777" w:rsidR="00C70550" w:rsidRPr="00286216" w:rsidRDefault="00C70550" w:rsidP="006A358E">
            <w:pPr>
              <w:pStyle w:val="StyleZakonu"/>
              <w:rPr>
                <w:color w:val="000000" w:themeColor="text1"/>
              </w:rPr>
            </w:pPr>
          </w:p>
        </w:tc>
        <w:tc>
          <w:tcPr>
            <w:tcW w:w="3686" w:type="dxa"/>
          </w:tcPr>
          <w:p w14:paraId="3B9B533D" w14:textId="7F2FEEC9"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0D51A6F" w14:textId="77777777" w:rsidR="00C70550" w:rsidRPr="00286216" w:rsidRDefault="00C70550" w:rsidP="006A358E">
            <w:pPr>
              <w:pStyle w:val="StyleProp"/>
              <w:spacing w:line="180" w:lineRule="exact"/>
              <w:rPr>
                <w:rFonts w:eastAsia="Calibri"/>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1A63F4E9"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07B7474B"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p w14:paraId="1D36C803" w14:textId="77777777" w:rsidR="00C70550" w:rsidRPr="00286216" w:rsidRDefault="00C70550" w:rsidP="006A358E">
            <w:pPr>
              <w:pStyle w:val="StyleWisnow"/>
              <w:spacing w:line="180" w:lineRule="exact"/>
              <w:rPr>
                <w:rFonts w:eastAsia="Calibri"/>
                <w:color w:val="000000" w:themeColor="text1"/>
                <w:lang w:eastAsia="en-US"/>
              </w:rPr>
            </w:pPr>
          </w:p>
        </w:tc>
        <w:tc>
          <w:tcPr>
            <w:tcW w:w="4818" w:type="dxa"/>
          </w:tcPr>
          <w:p w14:paraId="59A3E4AB" w14:textId="77777777" w:rsidR="00C70550" w:rsidRPr="00286216" w:rsidRDefault="00C70550" w:rsidP="006A358E">
            <w:pPr>
              <w:pStyle w:val="StyleZakonu"/>
              <w:rPr>
                <w:color w:val="000000" w:themeColor="text1"/>
              </w:rPr>
            </w:pPr>
          </w:p>
        </w:tc>
      </w:tr>
      <w:tr w:rsidR="00C70550" w:rsidRPr="00286216" w14:paraId="0E46543E" w14:textId="77777777" w:rsidTr="006A358E">
        <w:tc>
          <w:tcPr>
            <w:tcW w:w="576" w:type="dxa"/>
          </w:tcPr>
          <w:p w14:paraId="2D45CF78" w14:textId="77777777" w:rsidR="00C70550" w:rsidRPr="00286216" w:rsidRDefault="00C70550" w:rsidP="006A358E">
            <w:pPr>
              <w:pStyle w:val="StyleWisnow"/>
              <w:rPr>
                <w:color w:val="000000" w:themeColor="text1"/>
              </w:rPr>
            </w:pPr>
            <w:r w:rsidRPr="00286216">
              <w:rPr>
                <w:color w:val="000000" w:themeColor="text1"/>
              </w:rPr>
              <w:t>422.</w:t>
            </w:r>
          </w:p>
        </w:tc>
        <w:tc>
          <w:tcPr>
            <w:tcW w:w="4818" w:type="dxa"/>
          </w:tcPr>
          <w:p w14:paraId="6A34F83F" w14:textId="77777777" w:rsidR="00C70550" w:rsidRPr="00286216" w:rsidRDefault="00C70550" w:rsidP="006A358E">
            <w:pPr>
              <w:pStyle w:val="StyleZakonu"/>
              <w:rPr>
                <w:color w:val="000000" w:themeColor="text1"/>
              </w:rPr>
            </w:pPr>
            <w:r w:rsidRPr="00286216">
              <w:rPr>
                <w:color w:val="000000" w:themeColor="text1"/>
              </w:rPr>
              <w:t>2. Екологічно чистий проект - це проект у сфері альтернативної енергетики, енергозбереження, утилізації та переробки відходів, впровадження екологічно чистого транспорту, ефективного використання земельних ресурсів, збереження флори і фауни, водних ресурсів, адаптації до змін клімату, а також іншій проект, спрямований на захист навколишнього середовища, впровадження екологічних стандартів, скорочення викидів у навколишнє середовище.</w:t>
            </w:r>
          </w:p>
        </w:tc>
        <w:tc>
          <w:tcPr>
            <w:tcW w:w="3686" w:type="dxa"/>
          </w:tcPr>
          <w:p w14:paraId="0D2477EF" w14:textId="30E84682"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B19C6A5" w14:textId="77777777" w:rsidR="00C70550" w:rsidRPr="00286216" w:rsidRDefault="00C70550" w:rsidP="006A358E">
            <w:pPr>
              <w:pStyle w:val="StyleProp"/>
              <w:rPr>
                <w:color w:val="000000" w:themeColor="text1"/>
                <w:szCs w:val="18"/>
              </w:rPr>
            </w:pPr>
            <w:r w:rsidRPr="00286216">
              <w:rPr>
                <w:color w:val="000000" w:themeColor="text1"/>
                <w:szCs w:val="18"/>
              </w:rPr>
              <w:t>Частину другу статті 22 викласти в такій редакції:</w:t>
            </w:r>
          </w:p>
          <w:p w14:paraId="36E671F9" w14:textId="77777777" w:rsidR="00C70550" w:rsidRPr="00286216" w:rsidRDefault="00C70550" w:rsidP="006A358E">
            <w:pPr>
              <w:pStyle w:val="StyleProp"/>
              <w:rPr>
                <w:color w:val="000000" w:themeColor="text1"/>
                <w:szCs w:val="18"/>
              </w:rPr>
            </w:pPr>
            <w:r w:rsidRPr="00286216">
              <w:rPr>
                <w:color w:val="000000" w:themeColor="text1"/>
                <w:szCs w:val="18"/>
              </w:rPr>
              <w:t xml:space="preserve">«2. Проект екологічного спрямування – це проект у сфері відновлювальної енергетики, енергоефективності, мінімізації утворення, утилізації та переробки відходів, впровадження екологічно чистого транспорту, органічного землеробства, збереження флори і фауни, водних і земельних ресурсів, адаптації до змін клімату, а також інший проект, спрямований на захист навколишнього середовища, впровадження екологічних стандартів, скорочення викидів забруднюючих речовин у навколишнє середовище. </w:t>
            </w:r>
          </w:p>
          <w:p w14:paraId="41AF229E" w14:textId="77777777" w:rsidR="00C70550" w:rsidRPr="00286216" w:rsidRDefault="00C70550" w:rsidP="006A358E">
            <w:pPr>
              <w:pStyle w:val="StyleProp"/>
              <w:rPr>
                <w:color w:val="000000" w:themeColor="text1"/>
                <w:szCs w:val="18"/>
              </w:rPr>
            </w:pPr>
            <w:r w:rsidRPr="00286216">
              <w:rPr>
                <w:color w:val="000000" w:themeColor="text1"/>
                <w:szCs w:val="18"/>
              </w:rPr>
              <w:t>Порядок відбору та супроводження проектів екологічного спрямування, які фінансуються за кошти державного і місцевих бюджетів, встановлюється Кабінетом Міністрів України із урахуванням Закону України «Про державну допомогу суб’єктам господарювання»».</w:t>
            </w:r>
          </w:p>
        </w:tc>
        <w:tc>
          <w:tcPr>
            <w:tcW w:w="1987" w:type="dxa"/>
          </w:tcPr>
          <w:p w14:paraId="76CFD3F9"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1E03E9BA"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p w14:paraId="172A3833" w14:textId="77777777" w:rsidR="00C70550" w:rsidRPr="00286216" w:rsidRDefault="00C70550" w:rsidP="006A358E">
            <w:pPr>
              <w:pStyle w:val="StyleWisnow"/>
              <w:spacing w:line="180" w:lineRule="exact"/>
              <w:rPr>
                <w:rFonts w:eastAsia="Calibri"/>
                <w:color w:val="000000" w:themeColor="text1"/>
                <w:lang w:eastAsia="en-US"/>
              </w:rPr>
            </w:pPr>
          </w:p>
        </w:tc>
        <w:tc>
          <w:tcPr>
            <w:tcW w:w="4818" w:type="dxa"/>
          </w:tcPr>
          <w:p w14:paraId="49BAB5C6" w14:textId="77777777" w:rsidR="00C70550" w:rsidRPr="00286216" w:rsidRDefault="00C70550" w:rsidP="006A358E">
            <w:pPr>
              <w:pStyle w:val="StyleZakonu"/>
              <w:rPr>
                <w:color w:val="000000" w:themeColor="text1"/>
              </w:rPr>
            </w:pPr>
            <w:r w:rsidRPr="00286216">
              <w:rPr>
                <w:color w:val="000000" w:themeColor="text1"/>
              </w:rPr>
              <w:t>2. Проект екологічного спрямування – це проект у сфері альтернативної енергетики, енергоефективності, мінімізації утворення, утилізації та переробки відходів, впровадження екологічно чистого транспорту, органічного землеробства, збереження флори і фауни, водних і земельних ресурсів, адаптації до змін клімату, а також інший проект, спрямований на захист навколишнього природного середовища, впровадження екологічних стандартів, скорочення викидів у навколишнє природне середовище.</w:t>
            </w:r>
          </w:p>
          <w:p w14:paraId="1ADC3E14" w14:textId="1CD90676" w:rsidR="00C70550" w:rsidRPr="00286216" w:rsidRDefault="00C70550" w:rsidP="006A358E">
            <w:pPr>
              <w:pStyle w:val="StyleZakonu"/>
              <w:rPr>
                <w:color w:val="000000" w:themeColor="text1"/>
              </w:rPr>
            </w:pPr>
            <w:r w:rsidRPr="00286216">
              <w:rPr>
                <w:color w:val="000000" w:themeColor="text1"/>
              </w:rPr>
              <w:t>Порядок відбору та супроводження проектів екологічного спрямування, які фінансуються за кошти державного і місцевих бюджетів, встановлюється Кабінетом Міністрів України з урахуванням вимог Закону України «Про державну допомогу суб’єктам господарювання».</w:t>
            </w:r>
          </w:p>
        </w:tc>
      </w:tr>
      <w:tr w:rsidR="00C70550" w:rsidRPr="00286216" w14:paraId="515033CB" w14:textId="77777777" w:rsidTr="006A358E">
        <w:tc>
          <w:tcPr>
            <w:tcW w:w="576" w:type="dxa"/>
          </w:tcPr>
          <w:p w14:paraId="3B1A933C" w14:textId="77777777" w:rsidR="00C70550" w:rsidRPr="00286216" w:rsidRDefault="00C70550" w:rsidP="006A358E">
            <w:pPr>
              <w:pStyle w:val="StyleWisnow"/>
              <w:rPr>
                <w:color w:val="000000" w:themeColor="text1"/>
              </w:rPr>
            </w:pPr>
            <w:r w:rsidRPr="00286216">
              <w:rPr>
                <w:color w:val="000000" w:themeColor="text1"/>
              </w:rPr>
              <w:t>423.</w:t>
            </w:r>
          </w:p>
        </w:tc>
        <w:tc>
          <w:tcPr>
            <w:tcW w:w="4818" w:type="dxa"/>
          </w:tcPr>
          <w:p w14:paraId="058F2DEE" w14:textId="77777777" w:rsidR="00C70550" w:rsidRPr="00286216" w:rsidRDefault="00C70550" w:rsidP="006A358E">
            <w:pPr>
              <w:pStyle w:val="StyleZakonu"/>
              <w:rPr>
                <w:color w:val="000000" w:themeColor="text1"/>
              </w:rPr>
            </w:pPr>
            <w:r w:rsidRPr="00286216">
              <w:rPr>
                <w:color w:val="000000" w:themeColor="text1"/>
              </w:rPr>
              <w:t>Порядок відбору та супроводження екологічно чистих проектів, які фінансуються за кошти державного і місцевих бюджетів, встановлюється Кабінетом Міністрів України.</w:t>
            </w:r>
          </w:p>
        </w:tc>
        <w:tc>
          <w:tcPr>
            <w:tcW w:w="3686" w:type="dxa"/>
          </w:tcPr>
          <w:p w14:paraId="60E1C1BA" w14:textId="5CB30948"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FD1D43C" w14:textId="77777777" w:rsidR="00C70550" w:rsidRPr="00286216" w:rsidRDefault="00C70550" w:rsidP="006A358E">
            <w:pPr>
              <w:pStyle w:val="StyleProp"/>
              <w:rPr>
                <w:color w:val="000000" w:themeColor="text1"/>
                <w:szCs w:val="18"/>
              </w:rPr>
            </w:pPr>
            <w:r w:rsidRPr="00286216">
              <w:rPr>
                <w:color w:val="000000" w:themeColor="text1"/>
                <w:szCs w:val="18"/>
              </w:rPr>
              <w:t xml:space="preserve">У статті 22 слова «екологічно чистий проект» у відповідному числі та відмінку замінити словами «проект екологічного спрямування» у відповідному числі та </w:t>
            </w:r>
            <w:r w:rsidRPr="00286216">
              <w:rPr>
                <w:color w:val="000000" w:themeColor="text1"/>
                <w:szCs w:val="18"/>
              </w:rPr>
              <w:lastRenderedPageBreak/>
              <w:t>відмінку.</w:t>
            </w:r>
          </w:p>
        </w:tc>
        <w:tc>
          <w:tcPr>
            <w:tcW w:w="1987" w:type="dxa"/>
          </w:tcPr>
          <w:p w14:paraId="3FC7EF91"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lastRenderedPageBreak/>
              <w:t>Враховано редакційно</w:t>
            </w:r>
          </w:p>
          <w:p w14:paraId="743E6B7C"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19AE5DC6" w14:textId="77777777" w:rsidR="00C70550" w:rsidRPr="00286216" w:rsidRDefault="00C70550" w:rsidP="006A358E">
            <w:pPr>
              <w:pStyle w:val="StyleZakonu"/>
              <w:rPr>
                <w:color w:val="000000" w:themeColor="text1"/>
              </w:rPr>
            </w:pPr>
          </w:p>
        </w:tc>
      </w:tr>
      <w:tr w:rsidR="00C70550" w:rsidRPr="00286216" w14:paraId="43608D5A" w14:textId="77777777" w:rsidTr="006A358E">
        <w:tc>
          <w:tcPr>
            <w:tcW w:w="576" w:type="dxa"/>
          </w:tcPr>
          <w:p w14:paraId="0CDFDBCD" w14:textId="77777777" w:rsidR="00C70550" w:rsidRPr="00286216" w:rsidRDefault="00C70550" w:rsidP="006A358E">
            <w:pPr>
              <w:pStyle w:val="StyleWisnow"/>
              <w:rPr>
                <w:color w:val="000000" w:themeColor="text1"/>
              </w:rPr>
            </w:pPr>
            <w:r w:rsidRPr="00286216">
              <w:rPr>
                <w:color w:val="000000" w:themeColor="text1"/>
              </w:rPr>
              <w:t>424.</w:t>
            </w:r>
          </w:p>
        </w:tc>
        <w:tc>
          <w:tcPr>
            <w:tcW w:w="4818" w:type="dxa"/>
          </w:tcPr>
          <w:p w14:paraId="02FFEDEA" w14:textId="77777777" w:rsidR="00C70550" w:rsidRPr="00286216" w:rsidRDefault="00C70550" w:rsidP="006A358E">
            <w:pPr>
              <w:pStyle w:val="StyleZakonu"/>
              <w:rPr>
                <w:color w:val="000000" w:themeColor="text1"/>
              </w:rPr>
            </w:pPr>
            <w:r w:rsidRPr="00286216">
              <w:rPr>
                <w:color w:val="000000" w:themeColor="text1"/>
              </w:rPr>
              <w:t>3. Емісію відсоткових облігацій екологічних інвестицій (зелених облігацій) може здійснювати особа, що реалізує або фінансує екологічно чистий проект, в порядку, визначеному нормативно-правовим актом Національної комісії з цінних паперів та фондового ринку за погодженням з центральним органом виконавчої влади, що реалізує державну політику у сферах ефективного використання паливно-енергетичних ресурсів, енергозбереження, відновлюваних джерел енергії та альтернативних видів палива.</w:t>
            </w:r>
          </w:p>
        </w:tc>
        <w:tc>
          <w:tcPr>
            <w:tcW w:w="3686" w:type="dxa"/>
          </w:tcPr>
          <w:p w14:paraId="2F56E474" w14:textId="21F8D2E6"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38703B2"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5DA58E11"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33480A2D"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6DBB3EAE" w14:textId="77777777" w:rsidR="00C70550" w:rsidRPr="00286216" w:rsidRDefault="00C70550" w:rsidP="006A358E">
            <w:pPr>
              <w:pStyle w:val="StyleZakonu"/>
              <w:rPr>
                <w:color w:val="000000" w:themeColor="text1"/>
              </w:rPr>
            </w:pPr>
          </w:p>
        </w:tc>
      </w:tr>
      <w:tr w:rsidR="00C70550" w:rsidRPr="00286216" w14:paraId="2E3E7447" w14:textId="77777777" w:rsidTr="006A358E">
        <w:tc>
          <w:tcPr>
            <w:tcW w:w="576" w:type="dxa"/>
          </w:tcPr>
          <w:p w14:paraId="6A1B7E26" w14:textId="77777777" w:rsidR="00C70550" w:rsidRPr="00286216" w:rsidRDefault="00C70550" w:rsidP="006A358E">
            <w:pPr>
              <w:pStyle w:val="StyleWisnow"/>
              <w:rPr>
                <w:color w:val="000000" w:themeColor="text1"/>
              </w:rPr>
            </w:pPr>
            <w:r w:rsidRPr="00286216">
              <w:rPr>
                <w:color w:val="000000" w:themeColor="text1"/>
              </w:rPr>
              <w:t>425.</w:t>
            </w:r>
          </w:p>
        </w:tc>
        <w:tc>
          <w:tcPr>
            <w:tcW w:w="4818" w:type="dxa"/>
          </w:tcPr>
          <w:p w14:paraId="3BC36A72" w14:textId="77777777" w:rsidR="00C70550" w:rsidRPr="00286216" w:rsidRDefault="00C70550" w:rsidP="006A358E">
            <w:pPr>
              <w:pStyle w:val="StyleZakonu"/>
              <w:rPr>
                <w:color w:val="000000" w:themeColor="text1"/>
              </w:rPr>
            </w:pPr>
            <w:r w:rsidRPr="00286216">
              <w:rPr>
                <w:color w:val="000000" w:themeColor="text1"/>
              </w:rPr>
              <w:t>Для цілей цього Закону особою, що реалізує екологічно чистий проект, визнається:</w:t>
            </w:r>
          </w:p>
        </w:tc>
        <w:tc>
          <w:tcPr>
            <w:tcW w:w="3686" w:type="dxa"/>
          </w:tcPr>
          <w:p w14:paraId="52D76DCE" w14:textId="09C2BC87"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D9C623C"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63716EF0"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11B9D08C"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p w14:paraId="208238CB" w14:textId="77777777" w:rsidR="00C70550" w:rsidRPr="00286216" w:rsidRDefault="00C70550" w:rsidP="006A358E">
            <w:pPr>
              <w:pStyle w:val="StyleWisnow"/>
              <w:spacing w:line="180" w:lineRule="exact"/>
              <w:rPr>
                <w:rFonts w:eastAsia="Calibri"/>
                <w:color w:val="000000" w:themeColor="text1"/>
                <w:lang w:eastAsia="en-US"/>
              </w:rPr>
            </w:pPr>
          </w:p>
        </w:tc>
        <w:tc>
          <w:tcPr>
            <w:tcW w:w="4818" w:type="dxa"/>
          </w:tcPr>
          <w:p w14:paraId="3EC9847C" w14:textId="77777777" w:rsidR="00C70550" w:rsidRPr="00286216" w:rsidRDefault="00C70550" w:rsidP="006A358E">
            <w:pPr>
              <w:pStyle w:val="StyleZakonu"/>
              <w:rPr>
                <w:color w:val="000000" w:themeColor="text1"/>
              </w:rPr>
            </w:pPr>
            <w:r w:rsidRPr="00286216">
              <w:rPr>
                <w:color w:val="000000" w:themeColor="text1"/>
              </w:rPr>
              <w:t>3. Для цілей цього Закону:</w:t>
            </w:r>
          </w:p>
          <w:p w14:paraId="53EC607D" w14:textId="4CD98FF8" w:rsidR="00C70550" w:rsidRPr="00286216" w:rsidRDefault="00C70550" w:rsidP="006A358E">
            <w:pPr>
              <w:pStyle w:val="StyleZakonu"/>
              <w:rPr>
                <w:color w:val="000000" w:themeColor="text1"/>
              </w:rPr>
            </w:pPr>
            <w:r w:rsidRPr="00286216">
              <w:rPr>
                <w:color w:val="000000" w:themeColor="text1"/>
              </w:rPr>
              <w:t>1) особою, що реалізує проект екологічного спрямування, визнаються:</w:t>
            </w:r>
          </w:p>
        </w:tc>
      </w:tr>
      <w:tr w:rsidR="00C70550" w:rsidRPr="00286216" w14:paraId="1962D07E" w14:textId="77777777" w:rsidTr="006A358E">
        <w:tc>
          <w:tcPr>
            <w:tcW w:w="576" w:type="dxa"/>
          </w:tcPr>
          <w:p w14:paraId="2CFF8B9B" w14:textId="77777777" w:rsidR="00C70550" w:rsidRPr="00286216" w:rsidRDefault="00C70550" w:rsidP="006A358E">
            <w:pPr>
              <w:pStyle w:val="StyleWisnow"/>
              <w:rPr>
                <w:color w:val="000000" w:themeColor="text1"/>
              </w:rPr>
            </w:pPr>
            <w:r w:rsidRPr="00286216">
              <w:rPr>
                <w:color w:val="000000" w:themeColor="text1"/>
              </w:rPr>
              <w:t>426.</w:t>
            </w:r>
          </w:p>
        </w:tc>
        <w:tc>
          <w:tcPr>
            <w:tcW w:w="4818" w:type="dxa"/>
          </w:tcPr>
          <w:p w14:paraId="629B7B8B" w14:textId="77777777" w:rsidR="00C70550" w:rsidRPr="00286216" w:rsidRDefault="00C70550" w:rsidP="006A358E">
            <w:pPr>
              <w:pStyle w:val="StyleZakonu"/>
              <w:rPr>
                <w:color w:val="000000" w:themeColor="text1"/>
              </w:rPr>
            </w:pPr>
            <w:r w:rsidRPr="00286216">
              <w:rPr>
                <w:color w:val="000000" w:themeColor="text1"/>
              </w:rPr>
              <w:t>Рада Автономної Республіки Крим або територіальна громада в особі представницького органу місцевого самоврядування за умови прийняття рішення про реалізацію екологічно чистого проекту із дати набрання чинності таким рішенням;</w:t>
            </w:r>
          </w:p>
        </w:tc>
        <w:tc>
          <w:tcPr>
            <w:tcW w:w="3686" w:type="dxa"/>
          </w:tcPr>
          <w:p w14:paraId="01DF7338" w14:textId="77777777" w:rsidR="00C70550" w:rsidRPr="00286216" w:rsidRDefault="00C70550" w:rsidP="006A358E">
            <w:pPr>
              <w:pStyle w:val="StyleProp"/>
              <w:rPr>
                <w:color w:val="000000" w:themeColor="text1"/>
                <w:szCs w:val="18"/>
              </w:rPr>
            </w:pPr>
          </w:p>
        </w:tc>
        <w:tc>
          <w:tcPr>
            <w:tcW w:w="1987" w:type="dxa"/>
          </w:tcPr>
          <w:p w14:paraId="7453D826" w14:textId="77777777" w:rsidR="00C70550" w:rsidRPr="00286216" w:rsidRDefault="00C70550" w:rsidP="006A358E">
            <w:pPr>
              <w:pStyle w:val="StyleWisnow"/>
              <w:rPr>
                <w:color w:val="000000" w:themeColor="text1"/>
              </w:rPr>
            </w:pPr>
          </w:p>
        </w:tc>
        <w:tc>
          <w:tcPr>
            <w:tcW w:w="4818" w:type="dxa"/>
          </w:tcPr>
          <w:p w14:paraId="4F981B79" w14:textId="0E7FC885" w:rsidR="00C70550" w:rsidRPr="00286216" w:rsidRDefault="00C70550" w:rsidP="006A358E">
            <w:pPr>
              <w:pStyle w:val="StyleZakonu"/>
              <w:rPr>
                <w:color w:val="000000" w:themeColor="text1"/>
              </w:rPr>
            </w:pPr>
            <w:r w:rsidRPr="00286216">
              <w:rPr>
                <w:color w:val="000000" w:themeColor="text1"/>
              </w:rPr>
              <w:t>Рада міністрів Автономної Республіки Крим, територіальна громада в особі представницького органу місцевого самоврядування, за умови прийняття рішення про реалізацію проекту екологічного спрямування, – з дати набрання чинності таким рішенням;</w:t>
            </w:r>
          </w:p>
        </w:tc>
      </w:tr>
      <w:tr w:rsidR="00C70550" w:rsidRPr="00286216" w14:paraId="64AFF22F" w14:textId="77777777" w:rsidTr="006A358E">
        <w:tc>
          <w:tcPr>
            <w:tcW w:w="576" w:type="dxa"/>
          </w:tcPr>
          <w:p w14:paraId="7EE53BF3" w14:textId="77777777" w:rsidR="00C70550" w:rsidRPr="00286216" w:rsidRDefault="00C70550" w:rsidP="006A358E">
            <w:pPr>
              <w:pStyle w:val="StyleWisnow"/>
              <w:rPr>
                <w:color w:val="000000" w:themeColor="text1"/>
              </w:rPr>
            </w:pPr>
            <w:r w:rsidRPr="00286216">
              <w:rPr>
                <w:color w:val="000000" w:themeColor="text1"/>
              </w:rPr>
              <w:t>427.</w:t>
            </w:r>
          </w:p>
        </w:tc>
        <w:tc>
          <w:tcPr>
            <w:tcW w:w="4818" w:type="dxa"/>
          </w:tcPr>
          <w:p w14:paraId="3B39D2BD" w14:textId="77777777" w:rsidR="00C70550" w:rsidRPr="00286216" w:rsidRDefault="00C70550" w:rsidP="006A358E">
            <w:pPr>
              <w:pStyle w:val="StyleZakonu"/>
              <w:rPr>
                <w:color w:val="000000" w:themeColor="text1"/>
              </w:rPr>
            </w:pPr>
            <w:r w:rsidRPr="00286216">
              <w:rPr>
                <w:color w:val="000000" w:themeColor="text1"/>
              </w:rPr>
              <w:t>держава Україна в особі уповноважених органів за умови прийняття рішення про реалізацію екологічно чистого проекту або державної цільової програми щодо здійснення екологічних (зелених) інвестицій із дати набрання чинності таким рішенням;</w:t>
            </w:r>
          </w:p>
        </w:tc>
        <w:tc>
          <w:tcPr>
            <w:tcW w:w="3686" w:type="dxa"/>
          </w:tcPr>
          <w:p w14:paraId="34566112" w14:textId="77777777" w:rsidR="00C70550" w:rsidRPr="00286216" w:rsidRDefault="00C70550" w:rsidP="006A358E">
            <w:pPr>
              <w:pStyle w:val="StyleProp"/>
              <w:rPr>
                <w:color w:val="000000" w:themeColor="text1"/>
                <w:szCs w:val="18"/>
              </w:rPr>
            </w:pPr>
          </w:p>
        </w:tc>
        <w:tc>
          <w:tcPr>
            <w:tcW w:w="1987" w:type="dxa"/>
          </w:tcPr>
          <w:p w14:paraId="70D6C328" w14:textId="77777777" w:rsidR="00C70550" w:rsidRPr="00286216" w:rsidRDefault="00C70550" w:rsidP="006A358E">
            <w:pPr>
              <w:pStyle w:val="StyleWisnow"/>
              <w:rPr>
                <w:color w:val="000000" w:themeColor="text1"/>
              </w:rPr>
            </w:pPr>
          </w:p>
        </w:tc>
        <w:tc>
          <w:tcPr>
            <w:tcW w:w="4818" w:type="dxa"/>
          </w:tcPr>
          <w:p w14:paraId="7A09CAA4" w14:textId="573C3C4E" w:rsidR="00C70550" w:rsidRPr="00286216" w:rsidRDefault="00C70550" w:rsidP="006A358E">
            <w:pPr>
              <w:pStyle w:val="StyleZakonu"/>
              <w:rPr>
                <w:color w:val="000000" w:themeColor="text1"/>
              </w:rPr>
            </w:pPr>
            <w:r w:rsidRPr="00286216">
              <w:rPr>
                <w:color w:val="000000" w:themeColor="text1"/>
              </w:rPr>
              <w:t>держава Україна в особі уповноважених органів за умови прийняття рішення про реалізацію проекту екологічного спрямування або державної цільової програми щодо здійснення екологічних (зелених) інвестицій, – з дати набрання чинності таким рішенням;</w:t>
            </w:r>
          </w:p>
        </w:tc>
      </w:tr>
      <w:tr w:rsidR="00C70550" w:rsidRPr="00286216" w14:paraId="3E1EC445" w14:textId="77777777" w:rsidTr="006A358E">
        <w:tc>
          <w:tcPr>
            <w:tcW w:w="576" w:type="dxa"/>
          </w:tcPr>
          <w:p w14:paraId="4CEAD19C" w14:textId="77777777" w:rsidR="00C70550" w:rsidRPr="00286216" w:rsidRDefault="00C70550" w:rsidP="006A358E">
            <w:pPr>
              <w:pStyle w:val="StyleWisnow"/>
              <w:rPr>
                <w:color w:val="000000" w:themeColor="text1"/>
              </w:rPr>
            </w:pPr>
            <w:r w:rsidRPr="00286216">
              <w:rPr>
                <w:color w:val="000000" w:themeColor="text1"/>
              </w:rPr>
              <w:t>428.</w:t>
            </w:r>
          </w:p>
        </w:tc>
        <w:tc>
          <w:tcPr>
            <w:tcW w:w="4818" w:type="dxa"/>
          </w:tcPr>
          <w:p w14:paraId="67783406" w14:textId="77777777" w:rsidR="00C70550" w:rsidRPr="00286216" w:rsidRDefault="00C70550" w:rsidP="006A358E">
            <w:pPr>
              <w:pStyle w:val="StyleZakonu"/>
              <w:rPr>
                <w:color w:val="000000" w:themeColor="text1"/>
              </w:rPr>
            </w:pPr>
            <w:r w:rsidRPr="00286216">
              <w:rPr>
                <w:color w:val="000000" w:themeColor="text1"/>
              </w:rPr>
              <w:t>юридична особа приватного права, у тому числі за проектами, що реалізуються відповідно до договору державно-приватного партнерства.</w:t>
            </w:r>
          </w:p>
        </w:tc>
        <w:tc>
          <w:tcPr>
            <w:tcW w:w="3686" w:type="dxa"/>
          </w:tcPr>
          <w:p w14:paraId="0970A8AB" w14:textId="77777777" w:rsidR="00C70550" w:rsidRPr="00286216" w:rsidRDefault="00C70550" w:rsidP="006A358E">
            <w:pPr>
              <w:pStyle w:val="StyleProp"/>
              <w:rPr>
                <w:color w:val="000000" w:themeColor="text1"/>
                <w:szCs w:val="18"/>
              </w:rPr>
            </w:pPr>
          </w:p>
        </w:tc>
        <w:tc>
          <w:tcPr>
            <w:tcW w:w="1987" w:type="dxa"/>
          </w:tcPr>
          <w:p w14:paraId="42035D78" w14:textId="77777777" w:rsidR="00C70550" w:rsidRPr="00286216" w:rsidRDefault="00C70550" w:rsidP="006A358E">
            <w:pPr>
              <w:pStyle w:val="StyleWisnow"/>
              <w:rPr>
                <w:color w:val="000000" w:themeColor="text1"/>
              </w:rPr>
            </w:pPr>
          </w:p>
        </w:tc>
        <w:tc>
          <w:tcPr>
            <w:tcW w:w="4818" w:type="dxa"/>
          </w:tcPr>
          <w:p w14:paraId="1625AB06" w14:textId="77777777" w:rsidR="00C70550" w:rsidRPr="00286216" w:rsidRDefault="00C70550" w:rsidP="006A358E">
            <w:pPr>
              <w:pStyle w:val="StyleZakonu"/>
              <w:rPr>
                <w:color w:val="000000" w:themeColor="text1"/>
              </w:rPr>
            </w:pPr>
            <w:r w:rsidRPr="00286216">
              <w:rPr>
                <w:color w:val="000000" w:themeColor="text1"/>
              </w:rPr>
              <w:t>юридична особа приватного права, у тому числі за проектами, що реалізуються відповідно до договору державно-приватного партнерства;</w:t>
            </w:r>
          </w:p>
        </w:tc>
      </w:tr>
      <w:tr w:rsidR="00C70550" w:rsidRPr="00286216" w14:paraId="4C0F0C65" w14:textId="77777777" w:rsidTr="006A358E">
        <w:tc>
          <w:tcPr>
            <w:tcW w:w="576" w:type="dxa"/>
          </w:tcPr>
          <w:p w14:paraId="3D5C62A8" w14:textId="77777777" w:rsidR="00C70550" w:rsidRPr="00286216" w:rsidRDefault="00C70550" w:rsidP="006A358E">
            <w:pPr>
              <w:pStyle w:val="StyleWisnow"/>
              <w:rPr>
                <w:color w:val="000000" w:themeColor="text1"/>
              </w:rPr>
            </w:pPr>
            <w:r w:rsidRPr="00286216">
              <w:rPr>
                <w:color w:val="000000" w:themeColor="text1"/>
              </w:rPr>
              <w:t>429.</w:t>
            </w:r>
          </w:p>
        </w:tc>
        <w:tc>
          <w:tcPr>
            <w:tcW w:w="4818" w:type="dxa"/>
          </w:tcPr>
          <w:p w14:paraId="1C41ADD6" w14:textId="77777777" w:rsidR="00C70550" w:rsidRPr="00286216" w:rsidRDefault="00C70550" w:rsidP="006A358E">
            <w:pPr>
              <w:pStyle w:val="StyleZakonu"/>
              <w:rPr>
                <w:color w:val="000000" w:themeColor="text1"/>
              </w:rPr>
            </w:pPr>
            <w:r w:rsidRPr="00286216">
              <w:rPr>
                <w:color w:val="000000" w:themeColor="text1"/>
              </w:rPr>
              <w:t>Для цілей цього Закону особою, що фінансує екологічно чистий проект, визнається:</w:t>
            </w:r>
          </w:p>
        </w:tc>
        <w:tc>
          <w:tcPr>
            <w:tcW w:w="3686" w:type="dxa"/>
          </w:tcPr>
          <w:p w14:paraId="1EB6A650" w14:textId="0ECEB2F4"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0170E0C"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6F82CB08"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07B3E899"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p w14:paraId="1BEEDE45" w14:textId="77777777" w:rsidR="00C70550" w:rsidRPr="00286216" w:rsidRDefault="00C70550" w:rsidP="006A358E">
            <w:pPr>
              <w:pStyle w:val="StyleWisnow"/>
              <w:spacing w:line="180" w:lineRule="exact"/>
              <w:rPr>
                <w:rFonts w:eastAsia="Calibri"/>
                <w:color w:val="000000" w:themeColor="text1"/>
                <w:lang w:eastAsia="en-US"/>
              </w:rPr>
            </w:pPr>
          </w:p>
        </w:tc>
        <w:tc>
          <w:tcPr>
            <w:tcW w:w="4818" w:type="dxa"/>
          </w:tcPr>
          <w:p w14:paraId="35D1C8BF" w14:textId="3CE259B2" w:rsidR="00C70550" w:rsidRPr="00286216" w:rsidRDefault="00C70550" w:rsidP="006A358E">
            <w:pPr>
              <w:pStyle w:val="StyleZakonu"/>
              <w:rPr>
                <w:color w:val="000000" w:themeColor="text1"/>
              </w:rPr>
            </w:pPr>
            <w:r w:rsidRPr="00286216">
              <w:rPr>
                <w:color w:val="000000" w:themeColor="text1"/>
              </w:rPr>
              <w:t>2) особою, що фінансує проект екологічного спрямування, визнаються:</w:t>
            </w:r>
          </w:p>
        </w:tc>
      </w:tr>
      <w:tr w:rsidR="00C70550" w:rsidRPr="00286216" w14:paraId="3A320C2D" w14:textId="77777777" w:rsidTr="006A358E">
        <w:tc>
          <w:tcPr>
            <w:tcW w:w="576" w:type="dxa"/>
          </w:tcPr>
          <w:p w14:paraId="785B63B1" w14:textId="77777777" w:rsidR="00C70550" w:rsidRPr="00286216" w:rsidRDefault="00C70550" w:rsidP="006A358E">
            <w:pPr>
              <w:pStyle w:val="StyleWisnow"/>
              <w:rPr>
                <w:color w:val="000000" w:themeColor="text1"/>
              </w:rPr>
            </w:pPr>
            <w:r w:rsidRPr="00286216">
              <w:rPr>
                <w:color w:val="000000" w:themeColor="text1"/>
              </w:rPr>
              <w:t>430.</w:t>
            </w:r>
          </w:p>
        </w:tc>
        <w:tc>
          <w:tcPr>
            <w:tcW w:w="4818" w:type="dxa"/>
          </w:tcPr>
          <w:p w14:paraId="650C77CE" w14:textId="77777777" w:rsidR="00C70550" w:rsidRPr="00286216" w:rsidRDefault="00C70550" w:rsidP="006A358E">
            <w:pPr>
              <w:pStyle w:val="StyleZakonu"/>
              <w:rPr>
                <w:color w:val="000000" w:themeColor="text1"/>
              </w:rPr>
            </w:pPr>
            <w:r w:rsidRPr="00286216">
              <w:rPr>
                <w:color w:val="000000" w:themeColor="text1"/>
              </w:rPr>
              <w:t>спеціалізована фінансова установа, створена урядом України чи іншим спеціально уповноваженим органом - у випадках, визначених законом, яким визначається її правовий статус;</w:t>
            </w:r>
          </w:p>
        </w:tc>
        <w:tc>
          <w:tcPr>
            <w:tcW w:w="3686" w:type="dxa"/>
          </w:tcPr>
          <w:p w14:paraId="2A5D1971" w14:textId="77777777" w:rsidR="00C70550" w:rsidRPr="00286216" w:rsidRDefault="00C70550" w:rsidP="006A358E">
            <w:pPr>
              <w:pStyle w:val="StyleProp"/>
              <w:rPr>
                <w:color w:val="000000" w:themeColor="text1"/>
                <w:szCs w:val="18"/>
              </w:rPr>
            </w:pPr>
          </w:p>
        </w:tc>
        <w:tc>
          <w:tcPr>
            <w:tcW w:w="1987" w:type="dxa"/>
          </w:tcPr>
          <w:p w14:paraId="50A5C457" w14:textId="77777777" w:rsidR="00C70550" w:rsidRPr="00286216" w:rsidRDefault="00C70550" w:rsidP="006A358E">
            <w:pPr>
              <w:pStyle w:val="StyleWisnow"/>
              <w:rPr>
                <w:color w:val="000000" w:themeColor="text1"/>
              </w:rPr>
            </w:pPr>
          </w:p>
        </w:tc>
        <w:tc>
          <w:tcPr>
            <w:tcW w:w="4818" w:type="dxa"/>
          </w:tcPr>
          <w:p w14:paraId="026A119B" w14:textId="28A9E012" w:rsidR="00C70550" w:rsidRPr="00286216" w:rsidRDefault="00C70550" w:rsidP="006A358E">
            <w:pPr>
              <w:pStyle w:val="StyleZakonu"/>
              <w:rPr>
                <w:color w:val="000000" w:themeColor="text1"/>
              </w:rPr>
            </w:pPr>
            <w:r w:rsidRPr="00286216">
              <w:rPr>
                <w:color w:val="000000" w:themeColor="text1"/>
              </w:rPr>
              <w:t xml:space="preserve">спеціалізована фінансова установа, </w:t>
            </w:r>
            <w:r w:rsidRPr="00286216">
              <w:rPr>
                <w:color w:val="000000" w:themeColor="text1"/>
                <w:lang w:val="ru-RU"/>
              </w:rPr>
              <w:t>у</w:t>
            </w:r>
            <w:r w:rsidRPr="00286216">
              <w:rPr>
                <w:color w:val="000000" w:themeColor="text1"/>
              </w:rPr>
              <w:t>творена Кабінетом Міністрів України чи іншим спеціально уповноваженим органом</w:t>
            </w:r>
            <w:r w:rsidRPr="00286216">
              <w:rPr>
                <w:color w:val="000000" w:themeColor="text1"/>
                <w:lang w:val="ru-RU"/>
              </w:rPr>
              <w:t>,</w:t>
            </w:r>
            <w:r w:rsidRPr="00286216">
              <w:rPr>
                <w:color w:val="000000" w:themeColor="text1"/>
              </w:rPr>
              <w:t xml:space="preserve"> – у випадках та в порядку, визначених законом, яким визначається її правовий статус;</w:t>
            </w:r>
          </w:p>
        </w:tc>
      </w:tr>
      <w:tr w:rsidR="00C70550" w:rsidRPr="00286216" w14:paraId="58FBDE09" w14:textId="77777777" w:rsidTr="006A358E">
        <w:tc>
          <w:tcPr>
            <w:tcW w:w="576" w:type="dxa"/>
          </w:tcPr>
          <w:p w14:paraId="2D09DBEA" w14:textId="77777777" w:rsidR="00C70550" w:rsidRPr="00286216" w:rsidRDefault="00C70550" w:rsidP="006A358E">
            <w:pPr>
              <w:pStyle w:val="StyleWisnow"/>
              <w:rPr>
                <w:color w:val="000000" w:themeColor="text1"/>
              </w:rPr>
            </w:pPr>
            <w:r w:rsidRPr="00286216">
              <w:rPr>
                <w:color w:val="000000" w:themeColor="text1"/>
              </w:rPr>
              <w:t>431.</w:t>
            </w:r>
          </w:p>
        </w:tc>
        <w:tc>
          <w:tcPr>
            <w:tcW w:w="4818" w:type="dxa"/>
          </w:tcPr>
          <w:p w14:paraId="6E466803" w14:textId="77777777" w:rsidR="00C70550" w:rsidRPr="00286216" w:rsidRDefault="00C70550" w:rsidP="006A358E">
            <w:pPr>
              <w:pStyle w:val="StyleZakonu"/>
              <w:rPr>
                <w:color w:val="000000" w:themeColor="text1"/>
              </w:rPr>
            </w:pPr>
            <w:r w:rsidRPr="00286216">
              <w:rPr>
                <w:color w:val="000000" w:themeColor="text1"/>
              </w:rPr>
              <w:t xml:space="preserve">юридична особа приватного права, зокрема, банк, </w:t>
            </w:r>
            <w:r w:rsidRPr="00286216">
              <w:rPr>
                <w:color w:val="000000" w:themeColor="text1"/>
              </w:rPr>
              <w:lastRenderedPageBreak/>
              <w:t>фінансова установа;</w:t>
            </w:r>
          </w:p>
        </w:tc>
        <w:tc>
          <w:tcPr>
            <w:tcW w:w="3686" w:type="dxa"/>
          </w:tcPr>
          <w:p w14:paraId="1E112A49" w14:textId="77777777" w:rsidR="00C70550" w:rsidRPr="00286216" w:rsidRDefault="00C70550" w:rsidP="006A358E">
            <w:pPr>
              <w:pStyle w:val="StyleProp"/>
              <w:rPr>
                <w:color w:val="000000" w:themeColor="text1"/>
                <w:szCs w:val="18"/>
              </w:rPr>
            </w:pPr>
          </w:p>
        </w:tc>
        <w:tc>
          <w:tcPr>
            <w:tcW w:w="1987" w:type="dxa"/>
          </w:tcPr>
          <w:p w14:paraId="138FFB47" w14:textId="77777777" w:rsidR="00C70550" w:rsidRPr="00286216" w:rsidRDefault="00C70550" w:rsidP="006A358E">
            <w:pPr>
              <w:pStyle w:val="StyleWisnow"/>
              <w:rPr>
                <w:color w:val="000000" w:themeColor="text1"/>
              </w:rPr>
            </w:pPr>
          </w:p>
        </w:tc>
        <w:tc>
          <w:tcPr>
            <w:tcW w:w="4818" w:type="dxa"/>
          </w:tcPr>
          <w:p w14:paraId="15A79495" w14:textId="1805CC03" w:rsidR="00C70550" w:rsidRPr="00286216" w:rsidRDefault="00C70550" w:rsidP="006A358E">
            <w:pPr>
              <w:pStyle w:val="StyleZakonu"/>
              <w:rPr>
                <w:color w:val="000000" w:themeColor="text1"/>
              </w:rPr>
            </w:pPr>
            <w:r w:rsidRPr="00286216">
              <w:rPr>
                <w:color w:val="000000" w:themeColor="text1"/>
              </w:rPr>
              <w:t xml:space="preserve">юридична особа приватного права, зокрема банк, </w:t>
            </w:r>
            <w:r w:rsidRPr="00286216">
              <w:rPr>
                <w:color w:val="000000" w:themeColor="text1"/>
              </w:rPr>
              <w:lastRenderedPageBreak/>
              <w:t>інша фінансова установа;</w:t>
            </w:r>
          </w:p>
        </w:tc>
      </w:tr>
      <w:tr w:rsidR="00C70550" w:rsidRPr="00286216" w14:paraId="05770B8A" w14:textId="77777777" w:rsidTr="006A358E">
        <w:tc>
          <w:tcPr>
            <w:tcW w:w="576" w:type="dxa"/>
          </w:tcPr>
          <w:p w14:paraId="5181EB2A" w14:textId="77777777" w:rsidR="00C70550" w:rsidRPr="00286216" w:rsidRDefault="00C70550" w:rsidP="006A358E">
            <w:pPr>
              <w:pStyle w:val="StyleWisnow"/>
              <w:rPr>
                <w:color w:val="000000" w:themeColor="text1"/>
              </w:rPr>
            </w:pPr>
            <w:r w:rsidRPr="00286216">
              <w:rPr>
                <w:color w:val="000000" w:themeColor="text1"/>
              </w:rPr>
              <w:lastRenderedPageBreak/>
              <w:t>432.</w:t>
            </w:r>
          </w:p>
        </w:tc>
        <w:tc>
          <w:tcPr>
            <w:tcW w:w="4818" w:type="dxa"/>
          </w:tcPr>
          <w:p w14:paraId="002799AE" w14:textId="77777777" w:rsidR="00C70550" w:rsidRPr="00286216" w:rsidRDefault="00C70550" w:rsidP="006A358E">
            <w:pPr>
              <w:pStyle w:val="StyleZakonu"/>
              <w:rPr>
                <w:color w:val="000000" w:themeColor="text1"/>
              </w:rPr>
            </w:pPr>
            <w:r w:rsidRPr="00286216">
              <w:rPr>
                <w:color w:val="000000" w:themeColor="text1"/>
              </w:rPr>
              <w:t>міжнародні фінансові організації.</w:t>
            </w:r>
          </w:p>
        </w:tc>
        <w:tc>
          <w:tcPr>
            <w:tcW w:w="3686" w:type="dxa"/>
          </w:tcPr>
          <w:p w14:paraId="0A3F5F83" w14:textId="77777777" w:rsidR="00C70550" w:rsidRPr="00286216" w:rsidRDefault="00C70550" w:rsidP="006A358E">
            <w:pPr>
              <w:pStyle w:val="StyleProp"/>
              <w:rPr>
                <w:color w:val="000000" w:themeColor="text1"/>
                <w:szCs w:val="18"/>
              </w:rPr>
            </w:pPr>
          </w:p>
        </w:tc>
        <w:tc>
          <w:tcPr>
            <w:tcW w:w="1987" w:type="dxa"/>
          </w:tcPr>
          <w:p w14:paraId="3C3FDA04" w14:textId="77777777" w:rsidR="00C70550" w:rsidRPr="00286216" w:rsidRDefault="00C70550" w:rsidP="006A358E">
            <w:pPr>
              <w:pStyle w:val="StyleWisnow"/>
              <w:rPr>
                <w:color w:val="000000" w:themeColor="text1"/>
              </w:rPr>
            </w:pPr>
          </w:p>
        </w:tc>
        <w:tc>
          <w:tcPr>
            <w:tcW w:w="4818" w:type="dxa"/>
          </w:tcPr>
          <w:p w14:paraId="789BA0DC" w14:textId="3E2249E6" w:rsidR="00C70550" w:rsidRPr="00286216" w:rsidRDefault="00C70550" w:rsidP="006A358E">
            <w:pPr>
              <w:pStyle w:val="StyleZakonu"/>
              <w:rPr>
                <w:color w:val="000000" w:themeColor="text1"/>
              </w:rPr>
            </w:pPr>
            <w:r w:rsidRPr="00286216">
              <w:rPr>
                <w:color w:val="000000" w:themeColor="text1"/>
              </w:rPr>
              <w:t>міжнародна фінансова організація.</w:t>
            </w:r>
          </w:p>
        </w:tc>
      </w:tr>
      <w:tr w:rsidR="00C70550" w:rsidRPr="00286216" w14:paraId="03768C55" w14:textId="77777777" w:rsidTr="006A358E">
        <w:tc>
          <w:tcPr>
            <w:tcW w:w="576" w:type="dxa"/>
          </w:tcPr>
          <w:p w14:paraId="43026B19" w14:textId="77777777" w:rsidR="00C70550" w:rsidRPr="00286216" w:rsidRDefault="00C70550" w:rsidP="006A358E">
            <w:pPr>
              <w:pStyle w:val="StyleWisnow"/>
              <w:rPr>
                <w:color w:val="000000" w:themeColor="text1"/>
              </w:rPr>
            </w:pPr>
            <w:r w:rsidRPr="00286216">
              <w:rPr>
                <w:color w:val="000000" w:themeColor="text1"/>
              </w:rPr>
              <w:t>433.</w:t>
            </w:r>
          </w:p>
        </w:tc>
        <w:tc>
          <w:tcPr>
            <w:tcW w:w="4818" w:type="dxa"/>
          </w:tcPr>
          <w:p w14:paraId="4ED3803D" w14:textId="77777777" w:rsidR="00C70550" w:rsidRPr="00286216" w:rsidRDefault="00C70550" w:rsidP="006A358E">
            <w:pPr>
              <w:pStyle w:val="StyleZakonu"/>
              <w:rPr>
                <w:color w:val="000000" w:themeColor="text1"/>
              </w:rPr>
            </w:pPr>
            <w:r w:rsidRPr="00286216">
              <w:rPr>
                <w:color w:val="000000" w:themeColor="text1"/>
              </w:rPr>
              <w:t>В разі, якщо емітентом відсоткових облігацій екологічних інвестицій (зелених облігацій) є Верховна Рада Автономної Республіки Крим або територіальна громада в особі представницького органу місцевого самоврядування, то до випуску відсоткових облігацій екологічних інвестицій (зелених облігацій) застосовуються норми цього Закону, що регулюють емісію облігацій місцевих позик, з урахуванням вимог, установлених бюджетним законодавством, -окрім випадків, якщо інше встановлено нормами цієї статті.</w:t>
            </w:r>
          </w:p>
        </w:tc>
        <w:tc>
          <w:tcPr>
            <w:tcW w:w="3686" w:type="dxa"/>
          </w:tcPr>
          <w:p w14:paraId="22EB7C0E" w14:textId="77777777" w:rsidR="00C70550" w:rsidRPr="00286216" w:rsidRDefault="00C70550" w:rsidP="006A358E">
            <w:pPr>
              <w:pStyle w:val="StyleProp"/>
              <w:rPr>
                <w:color w:val="000000" w:themeColor="text1"/>
                <w:szCs w:val="18"/>
              </w:rPr>
            </w:pPr>
          </w:p>
        </w:tc>
        <w:tc>
          <w:tcPr>
            <w:tcW w:w="1987" w:type="dxa"/>
          </w:tcPr>
          <w:p w14:paraId="3F02DB09" w14:textId="77777777" w:rsidR="00C70550" w:rsidRPr="00286216" w:rsidRDefault="00C70550" w:rsidP="006A358E">
            <w:pPr>
              <w:pStyle w:val="StyleWisnow"/>
              <w:rPr>
                <w:color w:val="000000" w:themeColor="text1"/>
              </w:rPr>
            </w:pPr>
          </w:p>
        </w:tc>
        <w:tc>
          <w:tcPr>
            <w:tcW w:w="4818" w:type="dxa"/>
          </w:tcPr>
          <w:p w14:paraId="6B99B9B7" w14:textId="77777777" w:rsidR="00C70550" w:rsidRPr="00286216" w:rsidRDefault="00C70550" w:rsidP="006A358E">
            <w:pPr>
              <w:pStyle w:val="StyleZakonu"/>
              <w:rPr>
                <w:color w:val="000000" w:themeColor="text1"/>
              </w:rPr>
            </w:pPr>
          </w:p>
        </w:tc>
      </w:tr>
      <w:tr w:rsidR="00C70550" w:rsidRPr="00286216" w14:paraId="5943A66C" w14:textId="77777777" w:rsidTr="006A358E">
        <w:tc>
          <w:tcPr>
            <w:tcW w:w="576" w:type="dxa"/>
          </w:tcPr>
          <w:p w14:paraId="75F24D40" w14:textId="77777777" w:rsidR="00C70550" w:rsidRPr="00286216" w:rsidRDefault="00C70550" w:rsidP="006A358E">
            <w:pPr>
              <w:pStyle w:val="StyleWisnow"/>
              <w:rPr>
                <w:color w:val="000000" w:themeColor="text1"/>
              </w:rPr>
            </w:pPr>
            <w:r w:rsidRPr="00286216">
              <w:rPr>
                <w:color w:val="000000" w:themeColor="text1"/>
              </w:rPr>
              <w:t>434.</w:t>
            </w:r>
          </w:p>
        </w:tc>
        <w:tc>
          <w:tcPr>
            <w:tcW w:w="4818" w:type="dxa"/>
          </w:tcPr>
          <w:p w14:paraId="6B8A8F2D" w14:textId="77777777" w:rsidR="00C70550" w:rsidRPr="00286216" w:rsidRDefault="00C70550" w:rsidP="006A358E">
            <w:pPr>
              <w:pStyle w:val="StyleZakonu"/>
              <w:rPr>
                <w:color w:val="000000" w:themeColor="text1"/>
              </w:rPr>
            </w:pPr>
            <w:r w:rsidRPr="00286216">
              <w:rPr>
                <w:color w:val="000000" w:themeColor="text1"/>
              </w:rPr>
              <w:t>В разі, якщо емітентом відсоткових облігацій екологічних інвестицій (зелених облігацій), є держава Україна в особі уповноважених органів, то до випуску відсоткових облігацій екологічних інвестицій (зелених облігацій) застосовуються норми цього Закону, що регулюють емісію облігацій внутрішніх та зовнішніх державних позик, з урахуванням вимог, установлених бюджетним законодавством, -окрім випадків, якщо інше встановлено нормами цієї статті.</w:t>
            </w:r>
          </w:p>
        </w:tc>
        <w:tc>
          <w:tcPr>
            <w:tcW w:w="3686" w:type="dxa"/>
          </w:tcPr>
          <w:p w14:paraId="3DA3A629" w14:textId="77777777" w:rsidR="00C70550" w:rsidRPr="00286216" w:rsidRDefault="00C70550" w:rsidP="006A358E">
            <w:pPr>
              <w:pStyle w:val="StyleProp"/>
              <w:rPr>
                <w:color w:val="000000" w:themeColor="text1"/>
                <w:szCs w:val="18"/>
              </w:rPr>
            </w:pPr>
          </w:p>
        </w:tc>
        <w:tc>
          <w:tcPr>
            <w:tcW w:w="1987" w:type="dxa"/>
          </w:tcPr>
          <w:p w14:paraId="4A2A53A0" w14:textId="77777777" w:rsidR="00C70550" w:rsidRPr="00286216" w:rsidRDefault="00C70550" w:rsidP="006A358E">
            <w:pPr>
              <w:pStyle w:val="StyleWisnow"/>
              <w:rPr>
                <w:color w:val="000000" w:themeColor="text1"/>
              </w:rPr>
            </w:pPr>
          </w:p>
        </w:tc>
        <w:tc>
          <w:tcPr>
            <w:tcW w:w="4818" w:type="dxa"/>
          </w:tcPr>
          <w:p w14:paraId="54D70E12" w14:textId="77777777" w:rsidR="00C70550" w:rsidRPr="00286216" w:rsidRDefault="00C70550" w:rsidP="006A358E">
            <w:pPr>
              <w:pStyle w:val="StyleZakonu"/>
              <w:rPr>
                <w:color w:val="000000" w:themeColor="text1"/>
              </w:rPr>
            </w:pPr>
          </w:p>
        </w:tc>
      </w:tr>
      <w:tr w:rsidR="00C70550" w:rsidRPr="00286216" w14:paraId="76251BED" w14:textId="77777777" w:rsidTr="006A358E">
        <w:tc>
          <w:tcPr>
            <w:tcW w:w="576" w:type="dxa"/>
          </w:tcPr>
          <w:p w14:paraId="13546DEE" w14:textId="77777777" w:rsidR="00C70550" w:rsidRPr="00286216" w:rsidRDefault="00C70550" w:rsidP="006A358E">
            <w:pPr>
              <w:pStyle w:val="StyleWisnow"/>
              <w:rPr>
                <w:color w:val="000000" w:themeColor="text1"/>
              </w:rPr>
            </w:pPr>
            <w:r w:rsidRPr="00286216">
              <w:rPr>
                <w:color w:val="000000" w:themeColor="text1"/>
              </w:rPr>
              <w:t>435.</w:t>
            </w:r>
          </w:p>
        </w:tc>
        <w:tc>
          <w:tcPr>
            <w:tcW w:w="4818" w:type="dxa"/>
          </w:tcPr>
          <w:p w14:paraId="2909FE22" w14:textId="77777777" w:rsidR="00C70550" w:rsidRPr="00286216" w:rsidRDefault="00C70550" w:rsidP="006A358E">
            <w:pPr>
              <w:pStyle w:val="StyleZakonu"/>
              <w:rPr>
                <w:color w:val="000000" w:themeColor="text1"/>
              </w:rPr>
            </w:pPr>
            <w:r w:rsidRPr="00286216">
              <w:rPr>
                <w:color w:val="000000" w:themeColor="text1"/>
              </w:rPr>
              <w:t>В разі, якщо емітентом відсоткових облігацій екологічних інвестицій (зелених облігацій), є міжнародна фінансова організація, то до випуску облігацій екологічних інвестицій (зелених облігацій) застосовуються норми цього Закону, що регулюють емісію облігацій міжнародних фінансових організацій.</w:t>
            </w:r>
          </w:p>
        </w:tc>
        <w:tc>
          <w:tcPr>
            <w:tcW w:w="3686" w:type="dxa"/>
          </w:tcPr>
          <w:p w14:paraId="7F671A71" w14:textId="77777777" w:rsidR="00C70550" w:rsidRPr="00286216" w:rsidRDefault="00C70550" w:rsidP="006A358E">
            <w:pPr>
              <w:pStyle w:val="StyleProp"/>
              <w:rPr>
                <w:color w:val="000000" w:themeColor="text1"/>
                <w:szCs w:val="18"/>
              </w:rPr>
            </w:pPr>
          </w:p>
        </w:tc>
        <w:tc>
          <w:tcPr>
            <w:tcW w:w="1987" w:type="dxa"/>
          </w:tcPr>
          <w:p w14:paraId="316E54D1" w14:textId="77777777" w:rsidR="00C70550" w:rsidRPr="00286216" w:rsidRDefault="00C70550" w:rsidP="006A358E">
            <w:pPr>
              <w:pStyle w:val="StyleWisnow"/>
              <w:rPr>
                <w:color w:val="000000" w:themeColor="text1"/>
              </w:rPr>
            </w:pPr>
          </w:p>
        </w:tc>
        <w:tc>
          <w:tcPr>
            <w:tcW w:w="4818" w:type="dxa"/>
          </w:tcPr>
          <w:p w14:paraId="70B8A1D3" w14:textId="77777777" w:rsidR="00C70550" w:rsidRPr="00286216" w:rsidRDefault="00C70550" w:rsidP="006A358E">
            <w:pPr>
              <w:pStyle w:val="StyleZakonu"/>
              <w:rPr>
                <w:color w:val="000000" w:themeColor="text1"/>
              </w:rPr>
            </w:pPr>
          </w:p>
        </w:tc>
      </w:tr>
      <w:tr w:rsidR="00C70550" w:rsidRPr="00286216" w14:paraId="5FB865D8" w14:textId="77777777" w:rsidTr="006A358E">
        <w:tc>
          <w:tcPr>
            <w:tcW w:w="576" w:type="dxa"/>
          </w:tcPr>
          <w:p w14:paraId="08AD521B" w14:textId="77777777" w:rsidR="00C70550" w:rsidRPr="00286216" w:rsidRDefault="00C70550" w:rsidP="006A358E">
            <w:pPr>
              <w:pStyle w:val="StyleWisnow"/>
              <w:rPr>
                <w:color w:val="000000" w:themeColor="text1"/>
              </w:rPr>
            </w:pPr>
            <w:r w:rsidRPr="00286216">
              <w:rPr>
                <w:color w:val="000000" w:themeColor="text1"/>
              </w:rPr>
              <w:t>436.</w:t>
            </w:r>
          </w:p>
        </w:tc>
        <w:tc>
          <w:tcPr>
            <w:tcW w:w="4818" w:type="dxa"/>
          </w:tcPr>
          <w:p w14:paraId="7C3384C9" w14:textId="77777777" w:rsidR="00C70550" w:rsidRPr="00286216" w:rsidRDefault="00C70550" w:rsidP="006A358E">
            <w:pPr>
              <w:pStyle w:val="StyleZakonu"/>
              <w:rPr>
                <w:color w:val="000000" w:themeColor="text1"/>
              </w:rPr>
            </w:pPr>
            <w:r w:rsidRPr="00286216">
              <w:rPr>
                <w:color w:val="000000" w:themeColor="text1"/>
              </w:rPr>
              <w:t>4. Особа, що реалізує екологічно чистий проект, для фінансування якого здійснено випуск відсоткових облігацій екологічних інвестицій (зелених облігацій), не має права вчиняти будь-які дії, наслідком яких може бути дострокове припинення, скасування, або інша втрата прав на екологічно чистий проект та/чи прав на екологічно чистий проект, а також їх обтяження.</w:t>
            </w:r>
          </w:p>
        </w:tc>
        <w:tc>
          <w:tcPr>
            <w:tcW w:w="3686" w:type="dxa"/>
          </w:tcPr>
          <w:p w14:paraId="5F7A0EF3" w14:textId="54F378DC"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279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89C6AE6"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53BDE59A"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371E1BF0"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19229B9C" w14:textId="12CC1F3A" w:rsidR="00C70550" w:rsidRPr="00286216" w:rsidRDefault="00C70550" w:rsidP="006A358E">
            <w:pPr>
              <w:pStyle w:val="StyleZakonu"/>
              <w:rPr>
                <w:color w:val="000000" w:themeColor="text1"/>
              </w:rPr>
            </w:pPr>
            <w:r w:rsidRPr="00286216">
              <w:rPr>
                <w:color w:val="000000" w:themeColor="text1"/>
              </w:rPr>
              <w:t>4. Особа, що реалізує проект екологічного спрямування, для фінансування якого здійснено емісію зелених облігацій, не має права вчиняти будь-які дії, наслідком яких може бути дострокове припинення, скасування або інша втрата прав на проект екологічного спрямування та/або їх обтяження.</w:t>
            </w:r>
          </w:p>
        </w:tc>
      </w:tr>
      <w:tr w:rsidR="00C70550" w:rsidRPr="00286216" w14:paraId="107C53FB" w14:textId="77777777" w:rsidTr="006A358E">
        <w:tc>
          <w:tcPr>
            <w:tcW w:w="576" w:type="dxa"/>
          </w:tcPr>
          <w:p w14:paraId="4027F5D2" w14:textId="77777777" w:rsidR="00C70550" w:rsidRPr="00286216" w:rsidRDefault="00C70550" w:rsidP="006A358E">
            <w:pPr>
              <w:pStyle w:val="StyleWisnow"/>
              <w:rPr>
                <w:color w:val="000000" w:themeColor="text1"/>
              </w:rPr>
            </w:pPr>
            <w:r w:rsidRPr="00286216">
              <w:rPr>
                <w:color w:val="000000" w:themeColor="text1"/>
              </w:rPr>
              <w:t>437.</w:t>
            </w:r>
          </w:p>
        </w:tc>
        <w:tc>
          <w:tcPr>
            <w:tcW w:w="4818" w:type="dxa"/>
          </w:tcPr>
          <w:p w14:paraId="580E57C6" w14:textId="77777777" w:rsidR="00C70550" w:rsidRPr="00286216" w:rsidRDefault="00C70550" w:rsidP="006A358E">
            <w:pPr>
              <w:pStyle w:val="StyleZakonu"/>
              <w:rPr>
                <w:color w:val="000000" w:themeColor="text1"/>
              </w:rPr>
            </w:pPr>
            <w:r w:rsidRPr="00286216">
              <w:rPr>
                <w:color w:val="000000" w:themeColor="text1"/>
              </w:rPr>
              <w:t>5. Задля здійснення одного екологічно чистого проекту може бути здійснено реєстрацію декількох випусків відсоткових облігацій екологічних інвестицій (зелених облігацій), але на загальну суму, що не перевищує проектно-кошторисну вартість екологічно чистого проекту, яка має бути визначена в рішенні про здійснення екологічно чистого проекту.</w:t>
            </w:r>
          </w:p>
        </w:tc>
        <w:tc>
          <w:tcPr>
            <w:tcW w:w="3686" w:type="dxa"/>
          </w:tcPr>
          <w:p w14:paraId="394A22A5" w14:textId="460B87AE"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C1FD401"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1C150FD2"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6F0C9CAA"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51E31A7F" w14:textId="3BD6AAFE" w:rsidR="00C70550" w:rsidRPr="00286216" w:rsidRDefault="00C70550" w:rsidP="006A358E">
            <w:pPr>
              <w:pStyle w:val="StyleZakonu"/>
              <w:rPr>
                <w:color w:val="000000" w:themeColor="text1"/>
              </w:rPr>
            </w:pPr>
            <w:r w:rsidRPr="00286216">
              <w:rPr>
                <w:color w:val="000000" w:themeColor="text1"/>
              </w:rPr>
              <w:t>5. Емісія декількох випусків зелених облігацій може бути здійснена для реалізації одного проекту екологічного спрямування, за умови що загальна номінальна вартість таких емісій не перевищує проектно-кошторисну вартість проекту екологічного спрямування, яка має бути визначена в рішенні про здійснення такого проекту.</w:t>
            </w:r>
          </w:p>
        </w:tc>
      </w:tr>
      <w:tr w:rsidR="00C70550" w:rsidRPr="00286216" w14:paraId="2B036486" w14:textId="77777777" w:rsidTr="006A358E">
        <w:tc>
          <w:tcPr>
            <w:tcW w:w="576" w:type="dxa"/>
          </w:tcPr>
          <w:p w14:paraId="0CAE6F7F" w14:textId="77777777" w:rsidR="00C70550" w:rsidRPr="00286216" w:rsidRDefault="00C70550" w:rsidP="006A358E">
            <w:pPr>
              <w:pStyle w:val="StyleWisnow"/>
              <w:rPr>
                <w:color w:val="000000" w:themeColor="text1"/>
              </w:rPr>
            </w:pPr>
            <w:r w:rsidRPr="00286216">
              <w:rPr>
                <w:color w:val="000000" w:themeColor="text1"/>
              </w:rPr>
              <w:lastRenderedPageBreak/>
              <w:t>438.</w:t>
            </w:r>
          </w:p>
        </w:tc>
        <w:tc>
          <w:tcPr>
            <w:tcW w:w="4818" w:type="dxa"/>
          </w:tcPr>
          <w:p w14:paraId="1AF80E2A" w14:textId="77777777" w:rsidR="00C70550" w:rsidRPr="00286216" w:rsidRDefault="00C70550" w:rsidP="006A358E">
            <w:pPr>
              <w:pStyle w:val="StyleZakonu"/>
              <w:rPr>
                <w:color w:val="000000" w:themeColor="text1"/>
              </w:rPr>
            </w:pPr>
            <w:r w:rsidRPr="00286216">
              <w:rPr>
                <w:color w:val="000000" w:themeColor="text1"/>
              </w:rPr>
              <w:t>Особа, що здійснює фінансування екологічно чистого проекту, може здійснювати емісію одного випуску відсоткових облігацій екологічних інвестицій (зелених облігацій) задля фінансування декількох екологічно чистих проектів.</w:t>
            </w:r>
          </w:p>
        </w:tc>
        <w:tc>
          <w:tcPr>
            <w:tcW w:w="3686" w:type="dxa"/>
          </w:tcPr>
          <w:p w14:paraId="39442F7C" w14:textId="798922DC"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7DE73CE"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7C0D4B72"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25145BA9"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190D36FE" w14:textId="745E4AA9" w:rsidR="00C70550" w:rsidRPr="00286216" w:rsidRDefault="00C70550" w:rsidP="006A358E">
            <w:pPr>
              <w:pStyle w:val="StyleZakonu"/>
              <w:rPr>
                <w:color w:val="000000" w:themeColor="text1"/>
              </w:rPr>
            </w:pPr>
            <w:r w:rsidRPr="00286216">
              <w:rPr>
                <w:color w:val="000000" w:themeColor="text1"/>
              </w:rPr>
              <w:t>Особа, що фінансує проект екологічного спрямування, може здійснювати емісію одного випуску зелених облігацій для фінансування декількох проектів екологічного спрямування.</w:t>
            </w:r>
          </w:p>
        </w:tc>
      </w:tr>
      <w:tr w:rsidR="00C70550" w:rsidRPr="00286216" w14:paraId="16D274B2" w14:textId="77777777" w:rsidTr="006A358E">
        <w:tc>
          <w:tcPr>
            <w:tcW w:w="576" w:type="dxa"/>
          </w:tcPr>
          <w:p w14:paraId="3C342FA3" w14:textId="77777777" w:rsidR="00C70550" w:rsidRPr="00286216" w:rsidRDefault="00C70550" w:rsidP="006A358E">
            <w:pPr>
              <w:pStyle w:val="StyleWisnow"/>
              <w:rPr>
                <w:color w:val="000000" w:themeColor="text1"/>
              </w:rPr>
            </w:pPr>
            <w:r w:rsidRPr="00286216">
              <w:rPr>
                <w:color w:val="000000" w:themeColor="text1"/>
              </w:rPr>
              <w:t>439.</w:t>
            </w:r>
          </w:p>
        </w:tc>
        <w:tc>
          <w:tcPr>
            <w:tcW w:w="4818" w:type="dxa"/>
          </w:tcPr>
          <w:p w14:paraId="39145A94" w14:textId="77777777" w:rsidR="00C70550" w:rsidRPr="00286216" w:rsidRDefault="00C70550" w:rsidP="006A358E">
            <w:pPr>
              <w:pStyle w:val="StyleZakonu"/>
              <w:rPr>
                <w:color w:val="000000" w:themeColor="text1"/>
              </w:rPr>
            </w:pPr>
            <w:r w:rsidRPr="00286216">
              <w:rPr>
                <w:color w:val="000000" w:themeColor="text1"/>
              </w:rPr>
              <w:t>6. Особа, що реалізує або здійснює фінансування екологічно чистого проекту, зобов’язана забезпечити цільове використання надходжень, що будуть залучені від інвесторів на фінансування та/або рефінансування витрат екологічно чистих проектів.</w:t>
            </w:r>
          </w:p>
        </w:tc>
        <w:tc>
          <w:tcPr>
            <w:tcW w:w="3686" w:type="dxa"/>
          </w:tcPr>
          <w:p w14:paraId="5CE3BBDA" w14:textId="52AB91CA"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7AA7D1A"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528E1F4B"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315359B6"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65A5704F" w14:textId="4511DE60" w:rsidR="00C70550" w:rsidRPr="00286216" w:rsidRDefault="00C70550" w:rsidP="006A358E">
            <w:pPr>
              <w:pStyle w:val="StyleZakonu"/>
              <w:rPr>
                <w:color w:val="000000" w:themeColor="text1"/>
              </w:rPr>
            </w:pPr>
            <w:r w:rsidRPr="00286216">
              <w:rPr>
                <w:color w:val="000000" w:themeColor="text1"/>
              </w:rPr>
              <w:t>6. Особа, що реалізує або фінансує проект екологічного спрямування, зобов’язана забезпечити цільове використання надходжень, що будуть залучені від інвесторів на фінансування та/або рефінансування витрат проекту екологічного спрямування.</w:t>
            </w:r>
          </w:p>
        </w:tc>
      </w:tr>
      <w:tr w:rsidR="00C70550" w:rsidRPr="00286216" w14:paraId="296562D5" w14:textId="77777777" w:rsidTr="006A358E">
        <w:tc>
          <w:tcPr>
            <w:tcW w:w="576" w:type="dxa"/>
          </w:tcPr>
          <w:p w14:paraId="22D39D05" w14:textId="77777777" w:rsidR="00C70550" w:rsidRPr="00286216" w:rsidRDefault="00C70550" w:rsidP="006A358E">
            <w:pPr>
              <w:pStyle w:val="StyleWisnow"/>
              <w:rPr>
                <w:color w:val="000000" w:themeColor="text1"/>
              </w:rPr>
            </w:pPr>
            <w:r w:rsidRPr="00286216">
              <w:rPr>
                <w:color w:val="000000" w:themeColor="text1"/>
              </w:rPr>
              <w:t>440.</w:t>
            </w:r>
          </w:p>
        </w:tc>
        <w:tc>
          <w:tcPr>
            <w:tcW w:w="4818" w:type="dxa"/>
          </w:tcPr>
          <w:p w14:paraId="2B3B7FD1" w14:textId="77777777" w:rsidR="00C70550" w:rsidRPr="00286216" w:rsidRDefault="00C70550" w:rsidP="006A358E">
            <w:pPr>
              <w:pStyle w:val="StyleZakonu"/>
              <w:rPr>
                <w:color w:val="000000" w:themeColor="text1"/>
              </w:rPr>
            </w:pPr>
            <w:r w:rsidRPr="00286216">
              <w:rPr>
                <w:color w:val="000000" w:themeColor="text1"/>
              </w:rPr>
              <w:t>7. У разі, якщо емітентом відсоткових облігацій екологічних інвестицій (зелених облігацій) є особа, яка реалізує екологічно чистий проект, проспект облігацій повинен додатково до вимог статті 94 цього Закону включати опис проекту, його техніко-економічних параметрів, строку реалізації, розрахунок екологічного ефекту, що очікується від реалізації проекту.</w:t>
            </w:r>
          </w:p>
        </w:tc>
        <w:tc>
          <w:tcPr>
            <w:tcW w:w="3686" w:type="dxa"/>
          </w:tcPr>
          <w:p w14:paraId="24A334D7" w14:textId="246E7D9C"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42EF3A0"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3844FA99"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494E7F45"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6375630A" w14:textId="28554E4A" w:rsidR="00C70550" w:rsidRPr="00286216" w:rsidRDefault="00C70550" w:rsidP="006A358E">
            <w:pPr>
              <w:pStyle w:val="StyleZakonu"/>
              <w:rPr>
                <w:color w:val="000000" w:themeColor="text1"/>
              </w:rPr>
            </w:pPr>
            <w:r w:rsidRPr="00286216">
              <w:rPr>
                <w:color w:val="000000" w:themeColor="text1"/>
              </w:rPr>
              <w:t>7. У разі якщо емітентом зелених облігацій є особа, що реалізує проект екологічного спрямування, рішення про емісію облігацій або проспект облігацій повинні, додатково до вимог цього Закону, включати опис проекту, його техніко-економічні параметри, строк реалізації, розрахунок екологічного ефекту, що очікується від реалізації проекту.</w:t>
            </w:r>
          </w:p>
        </w:tc>
      </w:tr>
      <w:tr w:rsidR="00C70550" w:rsidRPr="00286216" w14:paraId="64A164FD" w14:textId="77777777" w:rsidTr="006A358E">
        <w:tc>
          <w:tcPr>
            <w:tcW w:w="576" w:type="dxa"/>
          </w:tcPr>
          <w:p w14:paraId="318D43F2" w14:textId="77777777" w:rsidR="00C70550" w:rsidRPr="00286216" w:rsidRDefault="00C70550" w:rsidP="006A358E">
            <w:pPr>
              <w:pStyle w:val="StyleWisnow"/>
              <w:rPr>
                <w:color w:val="000000" w:themeColor="text1"/>
              </w:rPr>
            </w:pPr>
            <w:r w:rsidRPr="00286216">
              <w:rPr>
                <w:color w:val="000000" w:themeColor="text1"/>
              </w:rPr>
              <w:t>441.</w:t>
            </w:r>
          </w:p>
        </w:tc>
        <w:tc>
          <w:tcPr>
            <w:tcW w:w="4818" w:type="dxa"/>
          </w:tcPr>
          <w:p w14:paraId="13746818" w14:textId="77777777" w:rsidR="00C70550" w:rsidRPr="00286216" w:rsidRDefault="00C70550" w:rsidP="006A358E">
            <w:pPr>
              <w:pStyle w:val="StyleZakonu"/>
              <w:rPr>
                <w:color w:val="000000" w:themeColor="text1"/>
              </w:rPr>
            </w:pPr>
            <w:r w:rsidRPr="00286216">
              <w:rPr>
                <w:color w:val="000000" w:themeColor="text1"/>
              </w:rPr>
              <w:t>8. У разі, якщо емітентом відсоткових облігацій екологічних інвестицій (зелених облігацій) є особа, яка фінансує екологічно чисті проекти, проспект облігацій повинен додатково до вимог статті 94 цього Закону включати опис проектів, які отримують фінансування за рахунок надходжень від розміщення облігацій, процедури оцінки та відбору проектів для фінансування, порядок розрахунку екологічного ефекту, що очікується від реалізації проектів.</w:t>
            </w:r>
          </w:p>
        </w:tc>
        <w:tc>
          <w:tcPr>
            <w:tcW w:w="3686" w:type="dxa"/>
          </w:tcPr>
          <w:p w14:paraId="73CA17A3" w14:textId="46819AB0"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AF9CDE3"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4C5C591A"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0DD319E8"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76959C7D" w14:textId="338B9FAD" w:rsidR="00C70550" w:rsidRPr="00286216" w:rsidRDefault="00C70550" w:rsidP="006A358E">
            <w:pPr>
              <w:pStyle w:val="StyleZakonu"/>
              <w:rPr>
                <w:color w:val="000000" w:themeColor="text1"/>
              </w:rPr>
            </w:pPr>
            <w:r w:rsidRPr="00286216">
              <w:rPr>
                <w:color w:val="000000" w:themeColor="text1"/>
              </w:rPr>
              <w:t>8. У разі якщо емітентом зелених облігацій є особа, що фінансує проекти екологічного спрямування, рішення про емісію облігацій або проспект облігацій повинні, додатково до вимог цього Закону, включати опис проектів, які отримають фінансування за рахунок надходжень від розміщення облігацій, процедури оцінки та відбору проектів для фінансування, порядок розрахунку екологічного ефекту, що очікується від реалізації проектів.</w:t>
            </w:r>
          </w:p>
        </w:tc>
      </w:tr>
      <w:tr w:rsidR="00C70550" w:rsidRPr="00286216" w14:paraId="3A72037B" w14:textId="77777777" w:rsidTr="006A358E">
        <w:tc>
          <w:tcPr>
            <w:tcW w:w="576" w:type="dxa"/>
          </w:tcPr>
          <w:p w14:paraId="1EAC283C" w14:textId="77777777" w:rsidR="00C70550" w:rsidRPr="00286216" w:rsidRDefault="00C70550" w:rsidP="006A358E">
            <w:pPr>
              <w:pStyle w:val="StyleWisnow"/>
              <w:rPr>
                <w:color w:val="000000" w:themeColor="text1"/>
              </w:rPr>
            </w:pPr>
            <w:r w:rsidRPr="00286216">
              <w:rPr>
                <w:color w:val="000000" w:themeColor="text1"/>
              </w:rPr>
              <w:t>442.</w:t>
            </w:r>
          </w:p>
        </w:tc>
        <w:tc>
          <w:tcPr>
            <w:tcW w:w="4818" w:type="dxa"/>
          </w:tcPr>
          <w:p w14:paraId="4D9055F8" w14:textId="77777777" w:rsidR="00C70550" w:rsidRPr="00286216" w:rsidRDefault="00C70550" w:rsidP="006A358E">
            <w:pPr>
              <w:pStyle w:val="StyleZakonu"/>
              <w:rPr>
                <w:color w:val="000000" w:themeColor="text1"/>
              </w:rPr>
            </w:pPr>
            <w:r w:rsidRPr="00286216">
              <w:rPr>
                <w:color w:val="000000" w:themeColor="text1"/>
              </w:rPr>
              <w:t>9. Річна інформація про емітента відсоткових облігацій екологічних інвестицій (зелених облігацій) повинна додатково до вимог статті 122 цього Закону містити відомості про поточний стан реалізації екологічно чистого проекту, а також розмір коштів, залучених за рахунок емісії відсоткових облігацій екологічних інвестицій (зелених облігацій), та розмір фактично використаних коштів для реалізації або фінансування екологічно чистих проектів.</w:t>
            </w:r>
          </w:p>
        </w:tc>
        <w:tc>
          <w:tcPr>
            <w:tcW w:w="3686" w:type="dxa"/>
          </w:tcPr>
          <w:p w14:paraId="353EF292" w14:textId="3934FB68"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AEC9EF5" w14:textId="77777777" w:rsidR="00C70550" w:rsidRPr="00286216" w:rsidRDefault="00C70550" w:rsidP="006A358E">
            <w:pPr>
              <w:pStyle w:val="StyleProp"/>
              <w:rPr>
                <w:color w:val="000000" w:themeColor="text1"/>
                <w:szCs w:val="18"/>
              </w:rPr>
            </w:pPr>
            <w:r w:rsidRPr="00286216">
              <w:rPr>
                <w:color w:val="000000" w:themeColor="text1"/>
                <w:szCs w:val="18"/>
              </w:rPr>
              <w:t>У статті 22 слова «екологічно чистий проект» у відповідному числі та відмінку замінити словами «проект екологічного спрямування» у відповідному числі та відмінку.</w:t>
            </w:r>
          </w:p>
        </w:tc>
        <w:tc>
          <w:tcPr>
            <w:tcW w:w="1987" w:type="dxa"/>
          </w:tcPr>
          <w:p w14:paraId="729B07A0" w14:textId="77777777" w:rsidR="00C70550" w:rsidRPr="00286216" w:rsidRDefault="00C70550" w:rsidP="006A358E">
            <w:pPr>
              <w:pStyle w:val="StyleWisnow"/>
              <w:spacing w:line="180" w:lineRule="exact"/>
              <w:rPr>
                <w:rFonts w:eastAsia="Calibri"/>
                <w:color w:val="000000" w:themeColor="text1"/>
                <w:lang w:eastAsia="en-US"/>
              </w:rPr>
            </w:pPr>
            <w:r w:rsidRPr="00286216">
              <w:rPr>
                <w:rFonts w:eastAsia="Calibri"/>
                <w:color w:val="000000" w:themeColor="text1"/>
                <w:lang w:eastAsia="en-US"/>
              </w:rPr>
              <w:t>Враховано редакційно</w:t>
            </w:r>
          </w:p>
          <w:p w14:paraId="4080712C" w14:textId="77777777" w:rsidR="00C70550" w:rsidRPr="00286216" w:rsidRDefault="00C70550" w:rsidP="006A358E">
            <w:pPr>
              <w:pStyle w:val="StyleWisnow"/>
              <w:spacing w:line="180" w:lineRule="exact"/>
              <w:rPr>
                <w:rFonts w:eastAsia="Calibri"/>
                <w:color w:val="000000" w:themeColor="text1"/>
                <w:lang w:eastAsia="en-US"/>
              </w:rPr>
            </w:pPr>
            <w:r w:rsidRPr="00286216">
              <w:rPr>
                <w:color w:val="000000" w:themeColor="text1"/>
              </w:rPr>
              <w:t>у запропонованій редакції статті</w:t>
            </w:r>
          </w:p>
        </w:tc>
        <w:tc>
          <w:tcPr>
            <w:tcW w:w="4818" w:type="dxa"/>
          </w:tcPr>
          <w:p w14:paraId="1A827C21" w14:textId="643FDDAA" w:rsidR="00C70550" w:rsidRPr="00286216" w:rsidRDefault="00C70550" w:rsidP="006A358E">
            <w:pPr>
              <w:pStyle w:val="StyleZakonu"/>
              <w:rPr>
                <w:color w:val="000000" w:themeColor="text1"/>
              </w:rPr>
            </w:pPr>
            <w:r w:rsidRPr="00286216">
              <w:rPr>
                <w:color w:val="000000" w:themeColor="text1"/>
              </w:rPr>
              <w:t>9. Річна інформація про емітента зелених облігацій повинна. додатково до вимог статті 126 цього Закону, містити відомості про поточний стан реалізації проекту екологічного спрямування, а також обсяг коштів, залучених за рахунок  емісії зелених облігацій, та обсяг фактично використаних коштів для реалізації або фінансування проекту екологічного спрямування.</w:t>
            </w:r>
          </w:p>
          <w:p w14:paraId="1AE0BAFC" w14:textId="143575F4" w:rsidR="00C70550" w:rsidRPr="00286216" w:rsidRDefault="00C70550" w:rsidP="006A358E">
            <w:pPr>
              <w:pStyle w:val="StyleZakonu"/>
              <w:rPr>
                <w:color w:val="000000" w:themeColor="text1"/>
              </w:rPr>
            </w:pPr>
            <w:r w:rsidRPr="00286216">
              <w:rPr>
                <w:color w:val="000000" w:themeColor="text1"/>
              </w:rPr>
              <w:t xml:space="preserve">10. Рішення про емісію облігацій або проспект облігацій може передбачати, що джерелами погашення зелених облігацій та виплати доходів за ними є надходження (за наявності) від зданого в експлуатацію об’єкта, фінансування або реалізацію якого здійснено за рахунок коштів, залучених від розміщення зелених облігацій, а також інші надходження, передбачені рішенням про емісію </w:t>
            </w:r>
            <w:r w:rsidRPr="00286216">
              <w:rPr>
                <w:color w:val="000000" w:themeColor="text1"/>
              </w:rPr>
              <w:lastRenderedPageBreak/>
              <w:t>облігацій або проспектом облігацій.</w:t>
            </w:r>
          </w:p>
        </w:tc>
      </w:tr>
      <w:tr w:rsidR="00C70550" w:rsidRPr="00286216" w14:paraId="6C693E67" w14:textId="77777777" w:rsidTr="006A358E">
        <w:tc>
          <w:tcPr>
            <w:tcW w:w="576" w:type="dxa"/>
          </w:tcPr>
          <w:p w14:paraId="42FC466C" w14:textId="77777777" w:rsidR="00C70550" w:rsidRPr="00286216" w:rsidRDefault="00C70550" w:rsidP="006A358E">
            <w:pPr>
              <w:pStyle w:val="StyleWisnow"/>
              <w:rPr>
                <w:color w:val="000000" w:themeColor="text1"/>
              </w:rPr>
            </w:pPr>
            <w:r w:rsidRPr="00286216">
              <w:rPr>
                <w:color w:val="000000" w:themeColor="text1"/>
              </w:rPr>
              <w:lastRenderedPageBreak/>
              <w:t>443.</w:t>
            </w:r>
          </w:p>
        </w:tc>
        <w:tc>
          <w:tcPr>
            <w:tcW w:w="4818" w:type="dxa"/>
          </w:tcPr>
          <w:p w14:paraId="632674AD" w14:textId="77777777" w:rsidR="00C70550" w:rsidRPr="00286216" w:rsidRDefault="00C70550" w:rsidP="006A358E">
            <w:pPr>
              <w:pStyle w:val="StyleZakonu"/>
              <w:rPr>
                <w:color w:val="000000" w:themeColor="text1"/>
              </w:rPr>
            </w:pPr>
            <w:r w:rsidRPr="00286216">
              <w:rPr>
                <w:color w:val="000000" w:themeColor="text1"/>
              </w:rPr>
              <w:t>Стаття 23. Облігації міжнародних фінансових організацій</w:t>
            </w:r>
          </w:p>
        </w:tc>
        <w:tc>
          <w:tcPr>
            <w:tcW w:w="3686" w:type="dxa"/>
          </w:tcPr>
          <w:p w14:paraId="5556E9B6" w14:textId="77777777" w:rsidR="00C70550" w:rsidRPr="00286216" w:rsidRDefault="00C70550" w:rsidP="006A358E">
            <w:pPr>
              <w:pStyle w:val="StyleProp"/>
              <w:rPr>
                <w:color w:val="000000" w:themeColor="text1"/>
                <w:szCs w:val="18"/>
              </w:rPr>
            </w:pPr>
          </w:p>
        </w:tc>
        <w:tc>
          <w:tcPr>
            <w:tcW w:w="1987" w:type="dxa"/>
          </w:tcPr>
          <w:p w14:paraId="0250D54B" w14:textId="77777777" w:rsidR="00C70550" w:rsidRPr="00286216" w:rsidRDefault="00C70550" w:rsidP="006A358E">
            <w:pPr>
              <w:pStyle w:val="StyleWisnow"/>
              <w:rPr>
                <w:color w:val="000000" w:themeColor="text1"/>
              </w:rPr>
            </w:pPr>
          </w:p>
        </w:tc>
        <w:tc>
          <w:tcPr>
            <w:tcW w:w="4818" w:type="dxa"/>
          </w:tcPr>
          <w:p w14:paraId="7213607B" w14:textId="77777777" w:rsidR="00C70550" w:rsidRPr="00286216" w:rsidRDefault="00C70550" w:rsidP="006A358E">
            <w:pPr>
              <w:pStyle w:val="StyleZakonu"/>
              <w:rPr>
                <w:color w:val="000000" w:themeColor="text1"/>
              </w:rPr>
            </w:pPr>
            <w:r w:rsidRPr="00286216">
              <w:rPr>
                <w:color w:val="000000" w:themeColor="text1"/>
              </w:rPr>
              <w:t>Стаття 19. Облігації міжнародних фінансових організацій</w:t>
            </w:r>
          </w:p>
        </w:tc>
      </w:tr>
      <w:tr w:rsidR="00C70550" w:rsidRPr="00286216" w14:paraId="45911E14" w14:textId="77777777" w:rsidTr="006A358E">
        <w:tc>
          <w:tcPr>
            <w:tcW w:w="576" w:type="dxa"/>
          </w:tcPr>
          <w:p w14:paraId="1C8BDF98" w14:textId="77777777" w:rsidR="00C70550" w:rsidRPr="00286216" w:rsidRDefault="00C70550" w:rsidP="006A358E">
            <w:pPr>
              <w:pStyle w:val="StyleWisnow"/>
              <w:rPr>
                <w:color w:val="000000" w:themeColor="text1"/>
              </w:rPr>
            </w:pPr>
            <w:r w:rsidRPr="00286216">
              <w:rPr>
                <w:color w:val="000000" w:themeColor="text1"/>
              </w:rPr>
              <w:t>444.</w:t>
            </w:r>
          </w:p>
        </w:tc>
        <w:tc>
          <w:tcPr>
            <w:tcW w:w="4818" w:type="dxa"/>
          </w:tcPr>
          <w:p w14:paraId="3D0D8C88" w14:textId="77777777" w:rsidR="00C70550" w:rsidRPr="00286216" w:rsidRDefault="00C70550" w:rsidP="006A358E">
            <w:pPr>
              <w:pStyle w:val="StyleZakonu"/>
              <w:rPr>
                <w:color w:val="000000" w:themeColor="text1"/>
              </w:rPr>
            </w:pPr>
            <w:r w:rsidRPr="00286216">
              <w:rPr>
                <w:color w:val="000000" w:themeColor="text1"/>
              </w:rPr>
              <w:t>1. Міжнародна фінансова організація - міжнародна організація, яка згідно зі своїми установчими документи, та/або відповідно до міжнародного договору України здійснює емісію облігацій на території України.</w:t>
            </w:r>
          </w:p>
        </w:tc>
        <w:tc>
          <w:tcPr>
            <w:tcW w:w="3686" w:type="dxa"/>
          </w:tcPr>
          <w:p w14:paraId="4BD50DBB" w14:textId="77777777" w:rsidR="00C70550" w:rsidRPr="00286216" w:rsidRDefault="00C70550" w:rsidP="006A358E">
            <w:pPr>
              <w:pStyle w:val="StyleProp"/>
              <w:rPr>
                <w:color w:val="000000" w:themeColor="text1"/>
                <w:szCs w:val="18"/>
              </w:rPr>
            </w:pPr>
          </w:p>
        </w:tc>
        <w:tc>
          <w:tcPr>
            <w:tcW w:w="1987" w:type="dxa"/>
          </w:tcPr>
          <w:p w14:paraId="477C8DFC" w14:textId="77777777" w:rsidR="00C70550" w:rsidRPr="00286216" w:rsidRDefault="00C70550" w:rsidP="006A358E">
            <w:pPr>
              <w:pStyle w:val="StyleWisnow"/>
              <w:rPr>
                <w:color w:val="000000" w:themeColor="text1"/>
              </w:rPr>
            </w:pPr>
          </w:p>
        </w:tc>
        <w:tc>
          <w:tcPr>
            <w:tcW w:w="4818" w:type="dxa"/>
          </w:tcPr>
          <w:p w14:paraId="105FC83A" w14:textId="6D3D97FF" w:rsidR="00C70550" w:rsidRPr="00286216" w:rsidRDefault="00C70550" w:rsidP="006A358E">
            <w:pPr>
              <w:pStyle w:val="StyleZakonu"/>
              <w:rPr>
                <w:color w:val="000000" w:themeColor="text1"/>
              </w:rPr>
            </w:pPr>
            <w:r w:rsidRPr="00286216">
              <w:rPr>
                <w:color w:val="000000" w:themeColor="text1"/>
              </w:rPr>
              <w:t>1. Міжнародна фінансова організація – це міжнародна організація, яка згідно із своїми установчими документами, та/або відповідно до міжнародного договору України здійснює емісію облігацій на території України.</w:t>
            </w:r>
          </w:p>
        </w:tc>
      </w:tr>
      <w:tr w:rsidR="00C70550" w:rsidRPr="00286216" w14:paraId="58784006" w14:textId="77777777" w:rsidTr="006A358E">
        <w:tc>
          <w:tcPr>
            <w:tcW w:w="576" w:type="dxa"/>
          </w:tcPr>
          <w:p w14:paraId="6B3BCA44" w14:textId="77777777" w:rsidR="00C70550" w:rsidRPr="00286216" w:rsidRDefault="00C70550" w:rsidP="006A358E">
            <w:pPr>
              <w:pStyle w:val="StyleWisnow"/>
              <w:rPr>
                <w:color w:val="000000" w:themeColor="text1"/>
              </w:rPr>
            </w:pPr>
            <w:r w:rsidRPr="00286216">
              <w:rPr>
                <w:color w:val="000000" w:themeColor="text1"/>
              </w:rPr>
              <w:t>445.</w:t>
            </w:r>
          </w:p>
        </w:tc>
        <w:tc>
          <w:tcPr>
            <w:tcW w:w="4818" w:type="dxa"/>
          </w:tcPr>
          <w:p w14:paraId="6FCB8D35" w14:textId="77777777" w:rsidR="00C70550" w:rsidRPr="00286216" w:rsidRDefault="00C70550" w:rsidP="006A358E">
            <w:pPr>
              <w:pStyle w:val="StyleZakonu"/>
              <w:rPr>
                <w:color w:val="000000" w:themeColor="text1"/>
              </w:rPr>
            </w:pPr>
            <w:r w:rsidRPr="00286216">
              <w:rPr>
                <w:color w:val="000000" w:themeColor="text1"/>
              </w:rPr>
              <w:t>Міжнародні фінансові організації вважаються іноземними емітентами.</w:t>
            </w:r>
          </w:p>
        </w:tc>
        <w:tc>
          <w:tcPr>
            <w:tcW w:w="3686" w:type="dxa"/>
          </w:tcPr>
          <w:p w14:paraId="6EF529DB" w14:textId="77777777" w:rsidR="00C70550" w:rsidRPr="00286216" w:rsidRDefault="00C70550" w:rsidP="006A358E">
            <w:pPr>
              <w:pStyle w:val="StyleProp"/>
              <w:rPr>
                <w:color w:val="000000" w:themeColor="text1"/>
                <w:szCs w:val="18"/>
              </w:rPr>
            </w:pPr>
          </w:p>
        </w:tc>
        <w:tc>
          <w:tcPr>
            <w:tcW w:w="1987" w:type="dxa"/>
          </w:tcPr>
          <w:p w14:paraId="4E539D49" w14:textId="77777777" w:rsidR="00C70550" w:rsidRPr="00286216" w:rsidRDefault="00C70550" w:rsidP="006A358E">
            <w:pPr>
              <w:pStyle w:val="StyleWisnow"/>
              <w:rPr>
                <w:color w:val="000000" w:themeColor="text1"/>
              </w:rPr>
            </w:pPr>
          </w:p>
        </w:tc>
        <w:tc>
          <w:tcPr>
            <w:tcW w:w="4818" w:type="dxa"/>
          </w:tcPr>
          <w:p w14:paraId="78C5D48E" w14:textId="77777777" w:rsidR="00C70550" w:rsidRPr="00286216" w:rsidRDefault="00C70550" w:rsidP="006A358E">
            <w:pPr>
              <w:pStyle w:val="StyleZakonu"/>
              <w:rPr>
                <w:color w:val="000000" w:themeColor="text1"/>
              </w:rPr>
            </w:pPr>
            <w:r w:rsidRPr="00286216">
              <w:rPr>
                <w:color w:val="000000" w:themeColor="text1"/>
              </w:rPr>
              <w:t>Міжнародні фінансові організації вважаються іноземними емітентами.</w:t>
            </w:r>
          </w:p>
        </w:tc>
      </w:tr>
      <w:tr w:rsidR="00C70550" w:rsidRPr="00286216" w14:paraId="6871A66C" w14:textId="77777777" w:rsidTr="006A358E">
        <w:tc>
          <w:tcPr>
            <w:tcW w:w="576" w:type="dxa"/>
          </w:tcPr>
          <w:p w14:paraId="183D0A83" w14:textId="77777777" w:rsidR="00C70550" w:rsidRPr="00286216" w:rsidRDefault="00C70550" w:rsidP="006A358E">
            <w:pPr>
              <w:pStyle w:val="StyleWisnow"/>
              <w:rPr>
                <w:color w:val="000000" w:themeColor="text1"/>
              </w:rPr>
            </w:pPr>
            <w:r w:rsidRPr="00286216">
              <w:rPr>
                <w:color w:val="000000" w:themeColor="text1"/>
              </w:rPr>
              <w:t>446.</w:t>
            </w:r>
          </w:p>
        </w:tc>
        <w:tc>
          <w:tcPr>
            <w:tcW w:w="4818" w:type="dxa"/>
          </w:tcPr>
          <w:p w14:paraId="78C8FF61" w14:textId="77777777" w:rsidR="00C70550" w:rsidRPr="00286216" w:rsidRDefault="00C70550" w:rsidP="006A358E">
            <w:pPr>
              <w:pStyle w:val="StyleZakonu"/>
              <w:rPr>
                <w:color w:val="000000" w:themeColor="text1"/>
              </w:rPr>
            </w:pPr>
            <w:r w:rsidRPr="00286216">
              <w:rPr>
                <w:color w:val="000000" w:themeColor="text1"/>
              </w:rPr>
              <w:t>Міжнародні фінансові організації можуть здійснювати в порядку, встановленому Національною комісією з цінних паперів та фондового ринку, емісію відсоткових або дисконтних облігацій, в тому числі шляхом публічної пропозиції.</w:t>
            </w:r>
          </w:p>
        </w:tc>
        <w:tc>
          <w:tcPr>
            <w:tcW w:w="3686" w:type="dxa"/>
          </w:tcPr>
          <w:p w14:paraId="51FA2A7E" w14:textId="77777777" w:rsidR="00C70550" w:rsidRPr="00286216" w:rsidRDefault="00C70550" w:rsidP="006A358E">
            <w:pPr>
              <w:pStyle w:val="StyleProp"/>
              <w:rPr>
                <w:color w:val="000000" w:themeColor="text1"/>
                <w:szCs w:val="18"/>
              </w:rPr>
            </w:pPr>
          </w:p>
        </w:tc>
        <w:tc>
          <w:tcPr>
            <w:tcW w:w="1987" w:type="dxa"/>
          </w:tcPr>
          <w:p w14:paraId="053D002A" w14:textId="77777777" w:rsidR="00C70550" w:rsidRPr="00286216" w:rsidRDefault="00C70550" w:rsidP="006A358E">
            <w:pPr>
              <w:pStyle w:val="StyleWisnow"/>
              <w:rPr>
                <w:color w:val="000000" w:themeColor="text1"/>
              </w:rPr>
            </w:pPr>
          </w:p>
        </w:tc>
        <w:tc>
          <w:tcPr>
            <w:tcW w:w="4818" w:type="dxa"/>
          </w:tcPr>
          <w:p w14:paraId="103BFD50" w14:textId="6EFD1356" w:rsidR="00C70550" w:rsidRPr="00286216" w:rsidRDefault="00C70550" w:rsidP="006A358E">
            <w:pPr>
              <w:pStyle w:val="StyleZakonu"/>
              <w:rPr>
                <w:color w:val="000000" w:themeColor="text1"/>
              </w:rPr>
            </w:pPr>
            <w:r w:rsidRPr="00286216">
              <w:rPr>
                <w:color w:val="000000" w:themeColor="text1"/>
              </w:rPr>
              <w:t>Міжнародні фінансові організації можуть здійснювати в порядку, встановленому Національною комісією з цінних паперів та фондового ринку, емісію відсоткових або дисконтних облігацій, у тому числі шляхом публічної пропозиції.</w:t>
            </w:r>
          </w:p>
        </w:tc>
      </w:tr>
      <w:tr w:rsidR="00C70550" w:rsidRPr="00286216" w14:paraId="1D9A9192" w14:textId="77777777" w:rsidTr="006A358E">
        <w:tc>
          <w:tcPr>
            <w:tcW w:w="576" w:type="dxa"/>
          </w:tcPr>
          <w:p w14:paraId="6B0A7E8F" w14:textId="77777777" w:rsidR="00C70550" w:rsidRPr="00286216" w:rsidRDefault="00C70550" w:rsidP="006A358E">
            <w:pPr>
              <w:pStyle w:val="StyleWisnow"/>
              <w:rPr>
                <w:color w:val="000000" w:themeColor="text1"/>
              </w:rPr>
            </w:pPr>
            <w:r w:rsidRPr="00286216">
              <w:rPr>
                <w:color w:val="000000" w:themeColor="text1"/>
              </w:rPr>
              <w:t>447.</w:t>
            </w:r>
          </w:p>
        </w:tc>
        <w:tc>
          <w:tcPr>
            <w:tcW w:w="4818" w:type="dxa"/>
          </w:tcPr>
          <w:p w14:paraId="0CA6216C" w14:textId="77777777" w:rsidR="00C70550" w:rsidRPr="00286216" w:rsidRDefault="00C70550" w:rsidP="006A358E">
            <w:pPr>
              <w:pStyle w:val="StyleZakonu"/>
              <w:rPr>
                <w:color w:val="000000" w:themeColor="text1"/>
              </w:rPr>
            </w:pPr>
            <w:r w:rsidRPr="00286216">
              <w:rPr>
                <w:color w:val="000000" w:themeColor="text1"/>
              </w:rPr>
              <w:t>Емісії облігацій міжнародних фінансових організацій обслуговуються у депозитарній системі України.</w:t>
            </w:r>
          </w:p>
        </w:tc>
        <w:tc>
          <w:tcPr>
            <w:tcW w:w="3686" w:type="dxa"/>
          </w:tcPr>
          <w:p w14:paraId="5C5CEE3F" w14:textId="77777777" w:rsidR="00C70550" w:rsidRPr="00286216" w:rsidRDefault="00C70550" w:rsidP="006A358E">
            <w:pPr>
              <w:pStyle w:val="StyleProp"/>
              <w:rPr>
                <w:color w:val="000000" w:themeColor="text1"/>
                <w:szCs w:val="18"/>
              </w:rPr>
            </w:pPr>
          </w:p>
        </w:tc>
        <w:tc>
          <w:tcPr>
            <w:tcW w:w="1987" w:type="dxa"/>
          </w:tcPr>
          <w:p w14:paraId="742CC1B2" w14:textId="77777777" w:rsidR="00C70550" w:rsidRPr="00286216" w:rsidRDefault="00C70550" w:rsidP="006A358E">
            <w:pPr>
              <w:pStyle w:val="StyleWisnow"/>
              <w:rPr>
                <w:color w:val="000000" w:themeColor="text1"/>
              </w:rPr>
            </w:pPr>
          </w:p>
        </w:tc>
        <w:tc>
          <w:tcPr>
            <w:tcW w:w="4818" w:type="dxa"/>
          </w:tcPr>
          <w:p w14:paraId="740FCF8F" w14:textId="77777777" w:rsidR="00C70550" w:rsidRPr="00286216" w:rsidRDefault="00C70550" w:rsidP="006A358E">
            <w:pPr>
              <w:pStyle w:val="StyleZakonu"/>
              <w:rPr>
                <w:color w:val="000000" w:themeColor="text1"/>
              </w:rPr>
            </w:pPr>
            <w:r w:rsidRPr="00286216">
              <w:rPr>
                <w:color w:val="000000" w:themeColor="text1"/>
              </w:rPr>
              <w:t>Емісії облігацій міжнародних фінансових організацій обслуговуються у депозитарній системі України.</w:t>
            </w:r>
          </w:p>
        </w:tc>
      </w:tr>
      <w:tr w:rsidR="00C70550" w:rsidRPr="00286216" w14:paraId="47A997D5" w14:textId="77777777" w:rsidTr="006A358E">
        <w:tc>
          <w:tcPr>
            <w:tcW w:w="576" w:type="dxa"/>
          </w:tcPr>
          <w:p w14:paraId="4DCF41D0" w14:textId="77777777" w:rsidR="00C70550" w:rsidRPr="00286216" w:rsidRDefault="00C70550" w:rsidP="006A358E">
            <w:pPr>
              <w:pStyle w:val="StyleWisnow"/>
              <w:rPr>
                <w:color w:val="000000" w:themeColor="text1"/>
              </w:rPr>
            </w:pPr>
            <w:r w:rsidRPr="00286216">
              <w:rPr>
                <w:color w:val="000000" w:themeColor="text1"/>
              </w:rPr>
              <w:t>448.</w:t>
            </w:r>
          </w:p>
        </w:tc>
        <w:tc>
          <w:tcPr>
            <w:tcW w:w="4818" w:type="dxa"/>
          </w:tcPr>
          <w:p w14:paraId="231CB61C" w14:textId="77777777" w:rsidR="00C70550" w:rsidRPr="00286216" w:rsidRDefault="00C70550" w:rsidP="006A358E">
            <w:pPr>
              <w:pStyle w:val="StyleZakonu"/>
              <w:rPr>
                <w:color w:val="000000" w:themeColor="text1"/>
              </w:rPr>
            </w:pPr>
            <w:r w:rsidRPr="00286216">
              <w:rPr>
                <w:color w:val="000000" w:themeColor="text1"/>
              </w:rPr>
              <w:t>2. Центральний орган виконавчої влади, що забезпечує формування державної фінансової політики, за погодженням з Національним банком України надає дозвіл на здійснення міжнародною фінансовою організацією емісії облігацій. Рішення щодо надання зазначеного погодження або щодо обґрунтованої відмови у такому наданні приймається в установленому порядку протягом п’яти робочих днів з дня отримання відповідного звернення від міжнародної фінансової організації.</w:t>
            </w:r>
          </w:p>
        </w:tc>
        <w:tc>
          <w:tcPr>
            <w:tcW w:w="3686" w:type="dxa"/>
          </w:tcPr>
          <w:p w14:paraId="1F831914" w14:textId="77777777" w:rsidR="00C70550" w:rsidRPr="00286216" w:rsidRDefault="00C70550" w:rsidP="006A358E">
            <w:pPr>
              <w:pStyle w:val="StyleProp"/>
              <w:rPr>
                <w:color w:val="000000" w:themeColor="text1"/>
                <w:szCs w:val="18"/>
              </w:rPr>
            </w:pPr>
          </w:p>
        </w:tc>
        <w:tc>
          <w:tcPr>
            <w:tcW w:w="1987" w:type="dxa"/>
          </w:tcPr>
          <w:p w14:paraId="0365E3FE" w14:textId="77777777" w:rsidR="00C70550" w:rsidRPr="00286216" w:rsidRDefault="00C70550" w:rsidP="006A358E">
            <w:pPr>
              <w:pStyle w:val="StyleWisnow"/>
              <w:rPr>
                <w:color w:val="000000" w:themeColor="text1"/>
              </w:rPr>
            </w:pPr>
          </w:p>
        </w:tc>
        <w:tc>
          <w:tcPr>
            <w:tcW w:w="4818" w:type="dxa"/>
          </w:tcPr>
          <w:p w14:paraId="76E844F0" w14:textId="1AD841F3" w:rsidR="00C70550" w:rsidRPr="00286216" w:rsidRDefault="00C70550" w:rsidP="006A358E">
            <w:pPr>
              <w:pStyle w:val="StyleZakonu"/>
              <w:rPr>
                <w:color w:val="000000" w:themeColor="text1"/>
              </w:rPr>
            </w:pPr>
            <w:r w:rsidRPr="00286216">
              <w:rPr>
                <w:color w:val="000000" w:themeColor="text1"/>
              </w:rPr>
              <w:t>2. Центральний орган виконавчої влади, що забезпечує формування державної фінансової політики, за погодженням з Національним банком України надає дозвіл на здійснення міжнародною фінансовою організацією емісії облігацій. Рішення про надання зазначеного погодження або про обґрунтовану відмову в такому наданні приймається у встановленому порядку протягом п’яти робочих днів з дня надходження відповідного звернення міжнародної фінансової організації.</w:t>
            </w:r>
          </w:p>
        </w:tc>
      </w:tr>
      <w:tr w:rsidR="00C70550" w:rsidRPr="00286216" w14:paraId="563EA282" w14:textId="77777777" w:rsidTr="006A358E">
        <w:tc>
          <w:tcPr>
            <w:tcW w:w="576" w:type="dxa"/>
          </w:tcPr>
          <w:p w14:paraId="5032AEE7" w14:textId="77777777" w:rsidR="00C70550" w:rsidRPr="00286216" w:rsidRDefault="00C70550" w:rsidP="006A358E">
            <w:pPr>
              <w:pStyle w:val="StyleWisnow"/>
              <w:rPr>
                <w:color w:val="000000" w:themeColor="text1"/>
              </w:rPr>
            </w:pPr>
            <w:r w:rsidRPr="00286216">
              <w:rPr>
                <w:color w:val="000000" w:themeColor="text1"/>
              </w:rPr>
              <w:t>449.</w:t>
            </w:r>
          </w:p>
        </w:tc>
        <w:tc>
          <w:tcPr>
            <w:tcW w:w="4818" w:type="dxa"/>
          </w:tcPr>
          <w:p w14:paraId="436CBCAB" w14:textId="77777777" w:rsidR="00C70550" w:rsidRPr="00286216" w:rsidRDefault="00C70550" w:rsidP="006A358E">
            <w:pPr>
              <w:pStyle w:val="StyleZakonu"/>
              <w:rPr>
                <w:color w:val="000000" w:themeColor="text1"/>
              </w:rPr>
            </w:pPr>
            <w:r w:rsidRPr="00286216">
              <w:rPr>
                <w:color w:val="000000" w:themeColor="text1"/>
              </w:rPr>
              <w:t>3. Кошти, отримані міжнародними фінансовими організаціями, членом яких є Україна, від розміщення облігацій, використовуються для здійснення такими організаціями операцій відповідно до установчих актів таких організацій та/або міжнародних договорів України згідно з Конституцією України та Законом України "Про міжнародні договори України".</w:t>
            </w:r>
          </w:p>
        </w:tc>
        <w:tc>
          <w:tcPr>
            <w:tcW w:w="3686" w:type="dxa"/>
          </w:tcPr>
          <w:p w14:paraId="3D8EC36A" w14:textId="77777777" w:rsidR="00C70550" w:rsidRPr="00286216" w:rsidRDefault="00C70550" w:rsidP="006A358E">
            <w:pPr>
              <w:pStyle w:val="StyleProp"/>
              <w:rPr>
                <w:color w:val="000000" w:themeColor="text1"/>
                <w:szCs w:val="18"/>
              </w:rPr>
            </w:pPr>
          </w:p>
        </w:tc>
        <w:tc>
          <w:tcPr>
            <w:tcW w:w="1987" w:type="dxa"/>
          </w:tcPr>
          <w:p w14:paraId="28EB8470" w14:textId="77777777" w:rsidR="00C70550" w:rsidRPr="00286216" w:rsidRDefault="00C70550" w:rsidP="006A358E">
            <w:pPr>
              <w:pStyle w:val="StyleWisnow"/>
              <w:rPr>
                <w:color w:val="000000" w:themeColor="text1"/>
              </w:rPr>
            </w:pPr>
          </w:p>
        </w:tc>
        <w:tc>
          <w:tcPr>
            <w:tcW w:w="4818" w:type="dxa"/>
          </w:tcPr>
          <w:p w14:paraId="6E4488BD" w14:textId="77777777" w:rsidR="00C70550" w:rsidRPr="00286216" w:rsidRDefault="00C70550" w:rsidP="006A358E">
            <w:pPr>
              <w:pStyle w:val="StyleZakonu"/>
              <w:rPr>
                <w:color w:val="000000" w:themeColor="text1"/>
              </w:rPr>
            </w:pPr>
            <w:r w:rsidRPr="00286216">
              <w:rPr>
                <w:color w:val="000000" w:themeColor="text1"/>
              </w:rPr>
              <w:t>3. Кошти, отримані міжнародними фінансовими організаціями, членом яких є Україна, від розміщення облігацій, використовуються для здійснення такими організаціями операцій відповідно до установчих актів таких організацій та/або міжнародних договорів України згідно з Конституцією України та Законом України "Про міжнародні договори України".</w:t>
            </w:r>
          </w:p>
        </w:tc>
      </w:tr>
      <w:tr w:rsidR="00C70550" w:rsidRPr="00286216" w14:paraId="100C6B72" w14:textId="77777777" w:rsidTr="006A358E">
        <w:tc>
          <w:tcPr>
            <w:tcW w:w="576" w:type="dxa"/>
          </w:tcPr>
          <w:p w14:paraId="3BED4C23" w14:textId="77777777" w:rsidR="00C70550" w:rsidRPr="00286216" w:rsidRDefault="00C70550" w:rsidP="006A358E">
            <w:pPr>
              <w:pStyle w:val="StyleWisnow"/>
              <w:rPr>
                <w:color w:val="000000" w:themeColor="text1"/>
              </w:rPr>
            </w:pPr>
            <w:r w:rsidRPr="00286216">
              <w:rPr>
                <w:color w:val="000000" w:themeColor="text1"/>
              </w:rPr>
              <w:t>450.</w:t>
            </w:r>
          </w:p>
        </w:tc>
        <w:tc>
          <w:tcPr>
            <w:tcW w:w="4818" w:type="dxa"/>
          </w:tcPr>
          <w:p w14:paraId="198EBEAC" w14:textId="77777777" w:rsidR="00C70550" w:rsidRPr="00286216" w:rsidRDefault="00C70550" w:rsidP="006A358E">
            <w:pPr>
              <w:pStyle w:val="StyleZakonu"/>
              <w:rPr>
                <w:color w:val="000000" w:themeColor="text1"/>
              </w:rPr>
            </w:pPr>
            <w:r w:rsidRPr="00286216">
              <w:rPr>
                <w:color w:val="000000" w:themeColor="text1"/>
              </w:rPr>
              <w:t>У разі якщо Україна не є членом міжнародної фінансової організації та/або з такою організацією не укладено міжнародний договір України, кошти, отримані цією організацією від розміщення облігацій, використовуються за погодженням з Кабінетом Міністрів України у визначеному ним порядку.</w:t>
            </w:r>
          </w:p>
        </w:tc>
        <w:tc>
          <w:tcPr>
            <w:tcW w:w="3686" w:type="dxa"/>
          </w:tcPr>
          <w:p w14:paraId="14358BCD" w14:textId="77777777" w:rsidR="00C70550" w:rsidRPr="00286216" w:rsidRDefault="00C70550" w:rsidP="006A358E">
            <w:pPr>
              <w:pStyle w:val="StyleProp"/>
              <w:rPr>
                <w:color w:val="000000" w:themeColor="text1"/>
                <w:szCs w:val="18"/>
              </w:rPr>
            </w:pPr>
          </w:p>
        </w:tc>
        <w:tc>
          <w:tcPr>
            <w:tcW w:w="1987" w:type="dxa"/>
          </w:tcPr>
          <w:p w14:paraId="6540FD9B" w14:textId="77777777" w:rsidR="00C70550" w:rsidRPr="00286216" w:rsidRDefault="00C70550" w:rsidP="006A358E">
            <w:pPr>
              <w:pStyle w:val="StyleWisnow"/>
              <w:rPr>
                <w:color w:val="000000" w:themeColor="text1"/>
              </w:rPr>
            </w:pPr>
          </w:p>
        </w:tc>
        <w:tc>
          <w:tcPr>
            <w:tcW w:w="4818" w:type="dxa"/>
          </w:tcPr>
          <w:p w14:paraId="094DFDC0" w14:textId="7566C4A4" w:rsidR="00C70550" w:rsidRPr="00286216" w:rsidRDefault="00C70550" w:rsidP="006A358E">
            <w:pPr>
              <w:pStyle w:val="StyleZakonu"/>
              <w:rPr>
                <w:color w:val="000000" w:themeColor="text1"/>
              </w:rPr>
            </w:pPr>
            <w:r w:rsidRPr="00286216">
              <w:rPr>
                <w:color w:val="000000" w:themeColor="text1"/>
              </w:rPr>
              <w:t>У разі якщо Україна не є членом міжнародної фінансової організації та/або з такою організацією не укладено міжнародний договір України, кошти, отримані такою міжнародною фінансовою  організацією від розміщення облігацій, використовуються за погодженням із Кабінетом Міністрів України у визначеному ним порядку.</w:t>
            </w:r>
          </w:p>
        </w:tc>
      </w:tr>
      <w:tr w:rsidR="00C70550" w:rsidRPr="00286216" w14:paraId="1E387CCD" w14:textId="77777777" w:rsidTr="006A358E">
        <w:tc>
          <w:tcPr>
            <w:tcW w:w="576" w:type="dxa"/>
          </w:tcPr>
          <w:p w14:paraId="4782ACD6" w14:textId="77777777" w:rsidR="00C70550" w:rsidRPr="00286216" w:rsidRDefault="00C70550" w:rsidP="006A358E">
            <w:pPr>
              <w:pStyle w:val="StyleWisnow"/>
              <w:rPr>
                <w:color w:val="000000" w:themeColor="text1"/>
              </w:rPr>
            </w:pPr>
            <w:r w:rsidRPr="00286216">
              <w:rPr>
                <w:color w:val="000000" w:themeColor="text1"/>
              </w:rPr>
              <w:t>451.</w:t>
            </w:r>
          </w:p>
        </w:tc>
        <w:tc>
          <w:tcPr>
            <w:tcW w:w="4818" w:type="dxa"/>
          </w:tcPr>
          <w:p w14:paraId="7B2D5EF6" w14:textId="77777777" w:rsidR="00C70550" w:rsidRPr="00286216" w:rsidRDefault="00C70550" w:rsidP="006A358E">
            <w:pPr>
              <w:pStyle w:val="StyleZakonu"/>
              <w:rPr>
                <w:color w:val="000000" w:themeColor="text1"/>
              </w:rPr>
            </w:pPr>
            <w:r w:rsidRPr="00286216">
              <w:rPr>
                <w:color w:val="000000" w:themeColor="text1"/>
              </w:rPr>
              <w:t xml:space="preserve">Особливості емісії та обігу (в тому числі допуску </w:t>
            </w:r>
            <w:r w:rsidRPr="00286216">
              <w:rPr>
                <w:color w:val="000000" w:themeColor="text1"/>
              </w:rPr>
              <w:lastRenderedPageBreak/>
              <w:t>облігацій міжнародних фінансових організацій до торгів на організованому ринку капіталу) облігацій міжнародних фінансових організацій, у тому числі перелік документів, що подаються для реєстрації випуску таких облігацій, та вимоги до їх оформлення, а також строки реєстрації Національною комісією з цінних паперів та фондового ринку випуску та звіту про результати емісії цінних паперів визначаються Національною комісією з цінних паперів та фондового ринку.</w:t>
            </w:r>
          </w:p>
        </w:tc>
        <w:tc>
          <w:tcPr>
            <w:tcW w:w="3686" w:type="dxa"/>
          </w:tcPr>
          <w:p w14:paraId="16A0FFAD" w14:textId="77777777" w:rsidR="00C70550" w:rsidRPr="00286216" w:rsidRDefault="00C70550" w:rsidP="006A358E">
            <w:pPr>
              <w:pStyle w:val="StyleProp"/>
              <w:rPr>
                <w:color w:val="000000" w:themeColor="text1"/>
                <w:szCs w:val="18"/>
              </w:rPr>
            </w:pPr>
          </w:p>
        </w:tc>
        <w:tc>
          <w:tcPr>
            <w:tcW w:w="1987" w:type="dxa"/>
          </w:tcPr>
          <w:p w14:paraId="397D5083" w14:textId="77777777" w:rsidR="00C70550" w:rsidRPr="00286216" w:rsidRDefault="00C70550" w:rsidP="006A358E">
            <w:pPr>
              <w:pStyle w:val="StyleWisnow"/>
              <w:rPr>
                <w:color w:val="000000" w:themeColor="text1"/>
              </w:rPr>
            </w:pPr>
          </w:p>
        </w:tc>
        <w:tc>
          <w:tcPr>
            <w:tcW w:w="4818" w:type="dxa"/>
          </w:tcPr>
          <w:p w14:paraId="17868211" w14:textId="77777777" w:rsidR="00C70550" w:rsidRPr="00286216" w:rsidRDefault="00C70550" w:rsidP="006A358E">
            <w:pPr>
              <w:pStyle w:val="StyleZakonu"/>
              <w:rPr>
                <w:color w:val="000000" w:themeColor="text1"/>
              </w:rPr>
            </w:pPr>
            <w:r w:rsidRPr="00286216">
              <w:rPr>
                <w:color w:val="000000" w:themeColor="text1"/>
              </w:rPr>
              <w:t xml:space="preserve">Особливості емісії та обігу (в тому числі допуску </w:t>
            </w:r>
            <w:r w:rsidRPr="00286216">
              <w:rPr>
                <w:color w:val="000000" w:themeColor="text1"/>
              </w:rPr>
              <w:lastRenderedPageBreak/>
              <w:t>облігацій міжнародних фінансових організацій до торгів на організованому ринку капіталу) облігацій міжнародних фінансових організацій, у тому числі перелік документів, що подаються для реєстрації випуску таких облігацій, та вимоги до їх оформлення, а також строки реєстрації Національною комісією з цінних паперів та фондового ринку випуску та звіту про результати емісії цінних паперів визначаються Національною комісією з цінних паперів та фондового ринку.</w:t>
            </w:r>
          </w:p>
        </w:tc>
      </w:tr>
      <w:tr w:rsidR="00C70550" w:rsidRPr="00286216" w14:paraId="7EA5703E" w14:textId="77777777" w:rsidTr="006A358E">
        <w:tc>
          <w:tcPr>
            <w:tcW w:w="576" w:type="dxa"/>
          </w:tcPr>
          <w:p w14:paraId="781887E8" w14:textId="77777777" w:rsidR="00C70550" w:rsidRPr="00286216" w:rsidRDefault="00C70550" w:rsidP="006A358E">
            <w:pPr>
              <w:pStyle w:val="StyleWisnow"/>
              <w:rPr>
                <w:color w:val="000000" w:themeColor="text1"/>
              </w:rPr>
            </w:pPr>
            <w:r w:rsidRPr="00286216">
              <w:rPr>
                <w:color w:val="000000" w:themeColor="text1"/>
              </w:rPr>
              <w:lastRenderedPageBreak/>
              <w:t>452.</w:t>
            </w:r>
          </w:p>
        </w:tc>
        <w:tc>
          <w:tcPr>
            <w:tcW w:w="4818" w:type="dxa"/>
          </w:tcPr>
          <w:p w14:paraId="6022BB67" w14:textId="77777777" w:rsidR="00C70550" w:rsidRPr="00286216" w:rsidRDefault="00C70550" w:rsidP="006A358E">
            <w:pPr>
              <w:pStyle w:val="StyleZakonu"/>
              <w:rPr>
                <w:color w:val="000000" w:themeColor="text1"/>
              </w:rPr>
            </w:pPr>
            <w:r w:rsidRPr="00286216">
              <w:rPr>
                <w:color w:val="000000" w:themeColor="text1"/>
              </w:rPr>
              <w:t>4. Облігація міжнародної фінансової організації має номінальну вартість, визначену в національній валюті.</w:t>
            </w:r>
          </w:p>
        </w:tc>
        <w:tc>
          <w:tcPr>
            <w:tcW w:w="3686" w:type="dxa"/>
          </w:tcPr>
          <w:p w14:paraId="2F7C3C74" w14:textId="77777777" w:rsidR="00C70550" w:rsidRPr="00286216" w:rsidRDefault="00C70550" w:rsidP="006A358E">
            <w:pPr>
              <w:pStyle w:val="StyleProp"/>
              <w:rPr>
                <w:color w:val="000000" w:themeColor="text1"/>
                <w:szCs w:val="18"/>
              </w:rPr>
            </w:pPr>
          </w:p>
        </w:tc>
        <w:tc>
          <w:tcPr>
            <w:tcW w:w="1987" w:type="dxa"/>
          </w:tcPr>
          <w:p w14:paraId="4C280668" w14:textId="77777777" w:rsidR="00C70550" w:rsidRPr="00286216" w:rsidRDefault="00C70550" w:rsidP="006A358E">
            <w:pPr>
              <w:pStyle w:val="StyleWisnow"/>
              <w:rPr>
                <w:color w:val="000000" w:themeColor="text1"/>
              </w:rPr>
            </w:pPr>
          </w:p>
        </w:tc>
        <w:tc>
          <w:tcPr>
            <w:tcW w:w="4818" w:type="dxa"/>
          </w:tcPr>
          <w:p w14:paraId="368A9C92" w14:textId="77777777" w:rsidR="00C70550" w:rsidRPr="00286216" w:rsidRDefault="00C70550" w:rsidP="006A358E">
            <w:pPr>
              <w:pStyle w:val="StyleZakonu"/>
              <w:rPr>
                <w:color w:val="000000" w:themeColor="text1"/>
              </w:rPr>
            </w:pPr>
            <w:r w:rsidRPr="00286216">
              <w:rPr>
                <w:color w:val="000000" w:themeColor="text1"/>
              </w:rPr>
              <w:t>4. Облігація міжнародної фінансової організації має номінальну вартість, визначену в національній валюті.</w:t>
            </w:r>
          </w:p>
        </w:tc>
      </w:tr>
      <w:tr w:rsidR="00C70550" w:rsidRPr="00286216" w14:paraId="4C3B6EC4" w14:textId="77777777" w:rsidTr="006A358E">
        <w:tc>
          <w:tcPr>
            <w:tcW w:w="576" w:type="dxa"/>
          </w:tcPr>
          <w:p w14:paraId="2BCFE73F" w14:textId="77777777" w:rsidR="00C70550" w:rsidRPr="00286216" w:rsidRDefault="00C70550" w:rsidP="006A358E">
            <w:pPr>
              <w:pStyle w:val="StyleWisnow"/>
              <w:rPr>
                <w:color w:val="000000" w:themeColor="text1"/>
              </w:rPr>
            </w:pPr>
            <w:r w:rsidRPr="00286216">
              <w:rPr>
                <w:color w:val="000000" w:themeColor="text1"/>
              </w:rPr>
              <w:t>453.</w:t>
            </w:r>
          </w:p>
        </w:tc>
        <w:tc>
          <w:tcPr>
            <w:tcW w:w="4818" w:type="dxa"/>
          </w:tcPr>
          <w:p w14:paraId="61E724F1" w14:textId="77777777" w:rsidR="00C70550" w:rsidRPr="00286216" w:rsidRDefault="00C70550" w:rsidP="006A358E">
            <w:pPr>
              <w:pStyle w:val="StyleZakonu"/>
              <w:rPr>
                <w:color w:val="000000" w:themeColor="text1"/>
              </w:rPr>
            </w:pPr>
            <w:r w:rsidRPr="00286216">
              <w:rPr>
                <w:color w:val="000000" w:themeColor="text1"/>
              </w:rPr>
              <w:t>Розміщення та погашення зазначених облігацій здійснюються в національній валюті.</w:t>
            </w:r>
          </w:p>
        </w:tc>
        <w:tc>
          <w:tcPr>
            <w:tcW w:w="3686" w:type="dxa"/>
          </w:tcPr>
          <w:p w14:paraId="7B810F35" w14:textId="77777777" w:rsidR="00C70550" w:rsidRPr="00286216" w:rsidRDefault="00C70550" w:rsidP="006A358E">
            <w:pPr>
              <w:pStyle w:val="StyleProp"/>
              <w:rPr>
                <w:color w:val="000000" w:themeColor="text1"/>
                <w:szCs w:val="18"/>
              </w:rPr>
            </w:pPr>
          </w:p>
        </w:tc>
        <w:tc>
          <w:tcPr>
            <w:tcW w:w="1987" w:type="dxa"/>
          </w:tcPr>
          <w:p w14:paraId="21316668" w14:textId="77777777" w:rsidR="00C70550" w:rsidRPr="00286216" w:rsidRDefault="00C70550" w:rsidP="006A358E">
            <w:pPr>
              <w:pStyle w:val="StyleWisnow"/>
              <w:rPr>
                <w:color w:val="000000" w:themeColor="text1"/>
              </w:rPr>
            </w:pPr>
          </w:p>
        </w:tc>
        <w:tc>
          <w:tcPr>
            <w:tcW w:w="4818" w:type="dxa"/>
          </w:tcPr>
          <w:p w14:paraId="7F326AE2" w14:textId="0292BEB8" w:rsidR="00C70550" w:rsidRPr="00286216" w:rsidRDefault="00C70550" w:rsidP="006A358E">
            <w:pPr>
              <w:pStyle w:val="StyleZakonu"/>
              <w:rPr>
                <w:color w:val="000000" w:themeColor="text1"/>
              </w:rPr>
            </w:pPr>
            <w:r w:rsidRPr="00286216">
              <w:rPr>
                <w:color w:val="000000" w:themeColor="text1"/>
              </w:rPr>
              <w:t>Розміщення та погашення облігацій міжнародних фінансових організацій здійснюються в національній валюті.</w:t>
            </w:r>
          </w:p>
        </w:tc>
      </w:tr>
      <w:tr w:rsidR="00C70550" w:rsidRPr="00286216" w14:paraId="5709ADAC" w14:textId="77777777" w:rsidTr="006A358E">
        <w:tc>
          <w:tcPr>
            <w:tcW w:w="576" w:type="dxa"/>
          </w:tcPr>
          <w:p w14:paraId="1F15290D" w14:textId="77777777" w:rsidR="00C70550" w:rsidRPr="00286216" w:rsidRDefault="00C70550" w:rsidP="006A358E">
            <w:pPr>
              <w:pStyle w:val="StyleWisnow"/>
              <w:rPr>
                <w:color w:val="000000" w:themeColor="text1"/>
              </w:rPr>
            </w:pPr>
            <w:r w:rsidRPr="00286216">
              <w:rPr>
                <w:color w:val="000000" w:themeColor="text1"/>
              </w:rPr>
              <w:t>454.</w:t>
            </w:r>
          </w:p>
        </w:tc>
        <w:tc>
          <w:tcPr>
            <w:tcW w:w="4818" w:type="dxa"/>
          </w:tcPr>
          <w:p w14:paraId="09D49505" w14:textId="77777777" w:rsidR="00C70550" w:rsidRPr="00286216" w:rsidRDefault="00C70550" w:rsidP="006A358E">
            <w:pPr>
              <w:pStyle w:val="StyleZakonu"/>
              <w:rPr>
                <w:color w:val="000000" w:themeColor="text1"/>
              </w:rPr>
            </w:pPr>
            <w:r w:rsidRPr="00286216">
              <w:rPr>
                <w:color w:val="000000" w:themeColor="text1"/>
              </w:rPr>
              <w:t>5. Вимоги до розкриття інформації міжнародними фінансовими організаціями як емітентами облігацій, зокрема порядок, зміст та строки подання ними регульованої інформації, встановлюються Національною комісією з цінних паперів та фондового ринку, якщо інше не передбачено міжнародними договорами України.</w:t>
            </w:r>
          </w:p>
        </w:tc>
        <w:tc>
          <w:tcPr>
            <w:tcW w:w="3686" w:type="dxa"/>
          </w:tcPr>
          <w:p w14:paraId="3B658442" w14:textId="77777777" w:rsidR="00C70550" w:rsidRPr="00286216" w:rsidRDefault="00C70550" w:rsidP="006A358E">
            <w:pPr>
              <w:pStyle w:val="StyleProp"/>
              <w:rPr>
                <w:color w:val="000000" w:themeColor="text1"/>
                <w:szCs w:val="18"/>
              </w:rPr>
            </w:pPr>
          </w:p>
        </w:tc>
        <w:tc>
          <w:tcPr>
            <w:tcW w:w="1987" w:type="dxa"/>
          </w:tcPr>
          <w:p w14:paraId="408FAE98" w14:textId="77777777" w:rsidR="00C70550" w:rsidRPr="00286216" w:rsidRDefault="00C70550" w:rsidP="006A358E">
            <w:pPr>
              <w:pStyle w:val="StyleWisnow"/>
              <w:rPr>
                <w:color w:val="000000" w:themeColor="text1"/>
              </w:rPr>
            </w:pPr>
          </w:p>
        </w:tc>
        <w:tc>
          <w:tcPr>
            <w:tcW w:w="4818" w:type="dxa"/>
          </w:tcPr>
          <w:p w14:paraId="6329D628" w14:textId="667264C1" w:rsidR="00C70550" w:rsidRPr="00286216" w:rsidRDefault="00C70550" w:rsidP="006A358E">
            <w:pPr>
              <w:pStyle w:val="StyleZakonu"/>
              <w:rPr>
                <w:color w:val="000000" w:themeColor="text1"/>
              </w:rPr>
            </w:pPr>
            <w:r w:rsidRPr="00286216">
              <w:rPr>
                <w:color w:val="000000" w:themeColor="text1"/>
              </w:rPr>
              <w:t>5. Вимоги до розкриття інформації міжнародними фінансовими організаціями як емітентами облігацій, зокрема порядок, зміст та строки подання ними регульованої інформації, встановлюються Національною комісією з цінних паперів та фондового ринку, якщо інше не передбачено міжнародним договором України.</w:t>
            </w:r>
          </w:p>
        </w:tc>
      </w:tr>
      <w:tr w:rsidR="00C70550" w:rsidRPr="00286216" w14:paraId="4F861760" w14:textId="77777777" w:rsidTr="006A358E">
        <w:tc>
          <w:tcPr>
            <w:tcW w:w="576" w:type="dxa"/>
          </w:tcPr>
          <w:p w14:paraId="295883F7" w14:textId="77777777" w:rsidR="00C70550" w:rsidRPr="00286216" w:rsidRDefault="00C70550" w:rsidP="006A358E">
            <w:pPr>
              <w:pStyle w:val="StyleWisnow"/>
              <w:rPr>
                <w:color w:val="000000" w:themeColor="text1"/>
              </w:rPr>
            </w:pPr>
            <w:r w:rsidRPr="00286216">
              <w:rPr>
                <w:color w:val="000000" w:themeColor="text1"/>
              </w:rPr>
              <w:t>455.</w:t>
            </w:r>
          </w:p>
        </w:tc>
        <w:tc>
          <w:tcPr>
            <w:tcW w:w="4818" w:type="dxa"/>
          </w:tcPr>
          <w:p w14:paraId="43CB6476" w14:textId="77777777" w:rsidR="00C70550" w:rsidRPr="00286216" w:rsidRDefault="00C70550" w:rsidP="006A358E">
            <w:pPr>
              <w:pStyle w:val="StyleZakonu"/>
              <w:rPr>
                <w:color w:val="000000" w:themeColor="text1"/>
              </w:rPr>
            </w:pPr>
            <w:r w:rsidRPr="00286216">
              <w:rPr>
                <w:color w:val="000000" w:themeColor="text1"/>
              </w:rPr>
              <w:t>6. Положення розділів VІ - VІІІ цього Закону не застосовуються до міжнародних фінансових організацій та облігацій міжнародних фінансових організацій, крім випадку, коли це прямо передбачено проспектом таких облігацій, з урахуванням особливостей, вказаних таким проспектом. Міжнародні фінансові організації можуть оформлювати проспект при здійсненні будь-якої емісії відсоткових або дисконтних облігацій, в тому числі шляхом здійснення публічної пропозиції.</w:t>
            </w:r>
          </w:p>
        </w:tc>
        <w:tc>
          <w:tcPr>
            <w:tcW w:w="3686" w:type="dxa"/>
          </w:tcPr>
          <w:p w14:paraId="6CD9D283" w14:textId="77777777" w:rsidR="00C70550" w:rsidRPr="00286216" w:rsidRDefault="00C70550" w:rsidP="006A358E">
            <w:pPr>
              <w:pStyle w:val="StyleProp"/>
              <w:rPr>
                <w:color w:val="000000" w:themeColor="text1"/>
                <w:szCs w:val="18"/>
              </w:rPr>
            </w:pPr>
          </w:p>
        </w:tc>
        <w:tc>
          <w:tcPr>
            <w:tcW w:w="1987" w:type="dxa"/>
          </w:tcPr>
          <w:p w14:paraId="7B6DEF03" w14:textId="77777777" w:rsidR="00C70550" w:rsidRPr="00286216" w:rsidRDefault="00C70550" w:rsidP="006A358E">
            <w:pPr>
              <w:pStyle w:val="StyleWisnow"/>
              <w:rPr>
                <w:color w:val="000000" w:themeColor="text1"/>
              </w:rPr>
            </w:pPr>
          </w:p>
        </w:tc>
        <w:tc>
          <w:tcPr>
            <w:tcW w:w="4818" w:type="dxa"/>
          </w:tcPr>
          <w:p w14:paraId="43773702" w14:textId="31E4EC27" w:rsidR="00C70550" w:rsidRPr="00286216" w:rsidRDefault="00C70550" w:rsidP="006A358E">
            <w:pPr>
              <w:pStyle w:val="StyleZakonu"/>
              <w:rPr>
                <w:color w:val="000000" w:themeColor="text1"/>
              </w:rPr>
            </w:pPr>
            <w:r w:rsidRPr="00286216">
              <w:rPr>
                <w:color w:val="000000" w:themeColor="text1"/>
              </w:rPr>
              <w:t>6. Положення розділів VІІ - ІХ цього Закону не застосовуються до міжнародних фінансових організацій та облігацій міжнародних фінансових організацій, крім випадку, якщо це прямо передбачено проспектом таких облігацій, з урахуванням особливостей, передбачених таким проспектом. Міжнародні фінансові організації можуть оформлювати проспект при здійсненні будь-якої емісії відсоткових або дисконтних облігацій, у тому числі шляхом здійснення публічної пропозиції.</w:t>
            </w:r>
          </w:p>
        </w:tc>
      </w:tr>
      <w:tr w:rsidR="00C70550" w:rsidRPr="00286216" w14:paraId="04810A67" w14:textId="77777777" w:rsidTr="006A358E">
        <w:tc>
          <w:tcPr>
            <w:tcW w:w="576" w:type="dxa"/>
          </w:tcPr>
          <w:p w14:paraId="663B9AEF" w14:textId="77777777" w:rsidR="00C70550" w:rsidRPr="00286216" w:rsidRDefault="00C70550" w:rsidP="006A358E">
            <w:pPr>
              <w:pStyle w:val="StyleWisnow"/>
              <w:rPr>
                <w:color w:val="000000" w:themeColor="text1"/>
              </w:rPr>
            </w:pPr>
            <w:r w:rsidRPr="00286216">
              <w:rPr>
                <w:color w:val="000000" w:themeColor="text1"/>
              </w:rPr>
              <w:t>456.</w:t>
            </w:r>
          </w:p>
        </w:tc>
        <w:tc>
          <w:tcPr>
            <w:tcW w:w="4818" w:type="dxa"/>
          </w:tcPr>
          <w:p w14:paraId="17B3B398" w14:textId="77777777" w:rsidR="00C70550" w:rsidRPr="00286216" w:rsidRDefault="00C70550" w:rsidP="006A358E">
            <w:pPr>
              <w:pStyle w:val="StyleZakonu"/>
              <w:rPr>
                <w:color w:val="000000" w:themeColor="text1"/>
              </w:rPr>
            </w:pPr>
            <w:r w:rsidRPr="00286216">
              <w:rPr>
                <w:color w:val="000000" w:themeColor="text1"/>
              </w:rPr>
              <w:t>7. Після початку розміщення облігацій міжнародних фінансових організацій зміни до проспекту таких облігацій у частині умов розміщення, обігу, виплати доходу, погашення та обсягу прав власників за цінними паперами вносяться емітентом за згодою усіх власників облігацій відповідного випуску. Зміни до проспекту, що не стосуються таких умов та обсягу прав власників за цінними паперами вносяться емітентом самостійно.</w:t>
            </w:r>
          </w:p>
        </w:tc>
        <w:tc>
          <w:tcPr>
            <w:tcW w:w="3686" w:type="dxa"/>
          </w:tcPr>
          <w:p w14:paraId="63FD8FDB" w14:textId="77777777" w:rsidR="00C70550" w:rsidRPr="00286216" w:rsidRDefault="00C70550" w:rsidP="006A358E">
            <w:pPr>
              <w:pStyle w:val="StyleProp"/>
              <w:rPr>
                <w:color w:val="000000" w:themeColor="text1"/>
                <w:szCs w:val="18"/>
              </w:rPr>
            </w:pPr>
          </w:p>
        </w:tc>
        <w:tc>
          <w:tcPr>
            <w:tcW w:w="1987" w:type="dxa"/>
          </w:tcPr>
          <w:p w14:paraId="1184A2E5" w14:textId="77777777" w:rsidR="00C70550" w:rsidRPr="00286216" w:rsidRDefault="00C70550" w:rsidP="006A358E">
            <w:pPr>
              <w:pStyle w:val="StyleWisnow"/>
              <w:rPr>
                <w:color w:val="000000" w:themeColor="text1"/>
              </w:rPr>
            </w:pPr>
          </w:p>
        </w:tc>
        <w:tc>
          <w:tcPr>
            <w:tcW w:w="4818" w:type="dxa"/>
          </w:tcPr>
          <w:p w14:paraId="2869F8F8" w14:textId="77777777" w:rsidR="00C70550" w:rsidRPr="00286216" w:rsidRDefault="00C70550" w:rsidP="006A358E">
            <w:pPr>
              <w:pStyle w:val="StyleZakonu"/>
              <w:rPr>
                <w:color w:val="000000" w:themeColor="text1"/>
              </w:rPr>
            </w:pPr>
            <w:r w:rsidRPr="00286216">
              <w:rPr>
                <w:color w:val="000000" w:themeColor="text1"/>
              </w:rPr>
              <w:t>7. Після початку розміщення облігацій міжнародних фінансових організацій зміни до проспекту (рішення про емісію) таких облігацій у частині умов розміщення, обігу, виплати доходу, погашення та обсягу прав власників за цінними паперами вносяться емітентом за згодою усіх власників облігацій відповідного випуску. Зміни до проспекту (рішення про емісію), що не стосуються таких умов та обсягу прав власників за цінними паперами, вносяться емітентом самостійно.</w:t>
            </w:r>
          </w:p>
        </w:tc>
      </w:tr>
      <w:tr w:rsidR="00C70550" w:rsidRPr="00286216" w14:paraId="795459F1" w14:textId="77777777" w:rsidTr="006A358E">
        <w:tc>
          <w:tcPr>
            <w:tcW w:w="576" w:type="dxa"/>
          </w:tcPr>
          <w:p w14:paraId="6578CFC2" w14:textId="77777777" w:rsidR="00C70550" w:rsidRPr="00286216" w:rsidRDefault="00C70550" w:rsidP="006A358E">
            <w:pPr>
              <w:pStyle w:val="StyleWisnow"/>
              <w:rPr>
                <w:color w:val="000000" w:themeColor="text1"/>
              </w:rPr>
            </w:pPr>
            <w:r w:rsidRPr="00286216">
              <w:rPr>
                <w:color w:val="000000" w:themeColor="text1"/>
              </w:rPr>
              <w:t>457.</w:t>
            </w:r>
          </w:p>
        </w:tc>
        <w:tc>
          <w:tcPr>
            <w:tcW w:w="4818" w:type="dxa"/>
          </w:tcPr>
          <w:p w14:paraId="66C7241C" w14:textId="77777777" w:rsidR="00C70550" w:rsidRPr="00286216" w:rsidRDefault="00C70550" w:rsidP="006A358E">
            <w:pPr>
              <w:pStyle w:val="StyleZakonu"/>
              <w:rPr>
                <w:color w:val="000000" w:themeColor="text1"/>
              </w:rPr>
            </w:pPr>
            <w:r w:rsidRPr="00286216">
              <w:rPr>
                <w:color w:val="000000" w:themeColor="text1"/>
              </w:rPr>
              <w:t>Стаття 24. Казначейські зобов’язання України</w:t>
            </w:r>
          </w:p>
        </w:tc>
        <w:tc>
          <w:tcPr>
            <w:tcW w:w="3686" w:type="dxa"/>
          </w:tcPr>
          <w:p w14:paraId="00C12FD3" w14:textId="77777777" w:rsidR="00C70550" w:rsidRPr="00286216" w:rsidRDefault="00C70550" w:rsidP="006A358E">
            <w:pPr>
              <w:pStyle w:val="StyleProp"/>
              <w:rPr>
                <w:color w:val="000000" w:themeColor="text1"/>
                <w:szCs w:val="18"/>
              </w:rPr>
            </w:pPr>
          </w:p>
        </w:tc>
        <w:tc>
          <w:tcPr>
            <w:tcW w:w="1987" w:type="dxa"/>
          </w:tcPr>
          <w:p w14:paraId="0E54697A" w14:textId="77777777" w:rsidR="00C70550" w:rsidRPr="00286216" w:rsidRDefault="00C70550" w:rsidP="006A358E">
            <w:pPr>
              <w:pStyle w:val="StyleWisnow"/>
              <w:rPr>
                <w:color w:val="000000" w:themeColor="text1"/>
              </w:rPr>
            </w:pPr>
          </w:p>
        </w:tc>
        <w:tc>
          <w:tcPr>
            <w:tcW w:w="4818" w:type="dxa"/>
          </w:tcPr>
          <w:p w14:paraId="575F2D29" w14:textId="77777777" w:rsidR="00C70550" w:rsidRPr="00286216" w:rsidRDefault="00C70550" w:rsidP="006A358E">
            <w:pPr>
              <w:pStyle w:val="StyleZakonu"/>
              <w:rPr>
                <w:color w:val="000000" w:themeColor="text1"/>
              </w:rPr>
            </w:pPr>
            <w:r w:rsidRPr="00286216">
              <w:rPr>
                <w:color w:val="000000" w:themeColor="text1"/>
              </w:rPr>
              <w:t>Стаття 20. Казначейські зобов’язання України</w:t>
            </w:r>
          </w:p>
        </w:tc>
      </w:tr>
      <w:tr w:rsidR="00C70550" w:rsidRPr="00286216" w14:paraId="515D4E5A" w14:textId="77777777" w:rsidTr="006A358E">
        <w:tc>
          <w:tcPr>
            <w:tcW w:w="576" w:type="dxa"/>
          </w:tcPr>
          <w:p w14:paraId="340B6531" w14:textId="77777777" w:rsidR="00C70550" w:rsidRPr="00286216" w:rsidRDefault="00C70550" w:rsidP="006A358E">
            <w:pPr>
              <w:pStyle w:val="StyleWisnow"/>
              <w:rPr>
                <w:color w:val="000000" w:themeColor="text1"/>
              </w:rPr>
            </w:pPr>
            <w:r w:rsidRPr="00286216">
              <w:rPr>
                <w:color w:val="000000" w:themeColor="text1"/>
              </w:rPr>
              <w:lastRenderedPageBreak/>
              <w:t>458.</w:t>
            </w:r>
          </w:p>
        </w:tc>
        <w:tc>
          <w:tcPr>
            <w:tcW w:w="4818" w:type="dxa"/>
          </w:tcPr>
          <w:p w14:paraId="3435DF58" w14:textId="77777777" w:rsidR="00C70550" w:rsidRPr="00286216" w:rsidRDefault="00C70550" w:rsidP="006A358E">
            <w:pPr>
              <w:pStyle w:val="StyleZakonu"/>
              <w:rPr>
                <w:color w:val="000000" w:themeColor="text1"/>
              </w:rPr>
            </w:pPr>
            <w:r w:rsidRPr="00286216">
              <w:rPr>
                <w:color w:val="000000" w:themeColor="text1"/>
              </w:rPr>
              <w:t>1. Казначейське зобов’язання України - державний цінний папір, що розміщується виключно на добровільних засадах серед фізичних осіб, посвідчує факт заборгованості Державного бюджету України перед власником казначейського зобов’язання України, дає власнику право на отримання грошового доходу та погашається відповідно до умов розміщення казначейських зобов’язань України. Номінальна вартість казначейських зобов’язань України може бути визначена у національній або іноземній валюті.</w:t>
            </w:r>
          </w:p>
        </w:tc>
        <w:tc>
          <w:tcPr>
            <w:tcW w:w="3686" w:type="dxa"/>
          </w:tcPr>
          <w:p w14:paraId="11C604F2" w14:textId="77777777" w:rsidR="00C70550" w:rsidRPr="00286216" w:rsidRDefault="00C70550" w:rsidP="006A358E">
            <w:pPr>
              <w:pStyle w:val="StyleProp"/>
              <w:rPr>
                <w:color w:val="000000" w:themeColor="text1"/>
                <w:szCs w:val="18"/>
              </w:rPr>
            </w:pPr>
          </w:p>
        </w:tc>
        <w:tc>
          <w:tcPr>
            <w:tcW w:w="1987" w:type="dxa"/>
          </w:tcPr>
          <w:p w14:paraId="74B86073" w14:textId="77777777" w:rsidR="00C70550" w:rsidRPr="00286216" w:rsidRDefault="00C70550" w:rsidP="006A358E">
            <w:pPr>
              <w:pStyle w:val="StyleWisnow"/>
              <w:rPr>
                <w:color w:val="000000" w:themeColor="text1"/>
              </w:rPr>
            </w:pPr>
          </w:p>
        </w:tc>
        <w:tc>
          <w:tcPr>
            <w:tcW w:w="4818" w:type="dxa"/>
          </w:tcPr>
          <w:p w14:paraId="6058FFE1" w14:textId="764C21CA" w:rsidR="00C70550" w:rsidRPr="00286216" w:rsidRDefault="00C70550" w:rsidP="006A358E">
            <w:pPr>
              <w:pStyle w:val="StyleZakonu"/>
              <w:rPr>
                <w:color w:val="000000" w:themeColor="text1"/>
              </w:rPr>
            </w:pPr>
            <w:r w:rsidRPr="00286216">
              <w:rPr>
                <w:color w:val="000000" w:themeColor="text1"/>
              </w:rPr>
              <w:t>1. Казначейське зобов’язання України – це державний цінний папір, що розміщується виключно на добровільних засадах серед фізичних осіб та посвідчує факт заборгованості Державного бюджету України перед власником казначейського зобов’язання України, надає власнику право на отримання грошового доходу та погашається відповідно до умов розміщення казначейських зобов’язань України. Номінальна вартість казначейських зобов’язань України може бути визначена у національній або іноземній валюті.</w:t>
            </w:r>
          </w:p>
        </w:tc>
      </w:tr>
      <w:tr w:rsidR="00C70550" w:rsidRPr="00286216" w14:paraId="7D6E7FB3" w14:textId="77777777" w:rsidTr="006A358E">
        <w:tc>
          <w:tcPr>
            <w:tcW w:w="576" w:type="dxa"/>
          </w:tcPr>
          <w:p w14:paraId="0393B6F4" w14:textId="77777777" w:rsidR="00C70550" w:rsidRPr="00286216" w:rsidRDefault="00C70550" w:rsidP="006A358E">
            <w:pPr>
              <w:pStyle w:val="StyleWisnow"/>
              <w:rPr>
                <w:color w:val="000000" w:themeColor="text1"/>
              </w:rPr>
            </w:pPr>
            <w:r w:rsidRPr="00286216">
              <w:rPr>
                <w:color w:val="000000" w:themeColor="text1"/>
              </w:rPr>
              <w:t>459.</w:t>
            </w:r>
          </w:p>
        </w:tc>
        <w:tc>
          <w:tcPr>
            <w:tcW w:w="4818" w:type="dxa"/>
          </w:tcPr>
          <w:p w14:paraId="54DE6377" w14:textId="77777777" w:rsidR="00C70550" w:rsidRPr="00286216" w:rsidRDefault="00C70550" w:rsidP="006A358E">
            <w:pPr>
              <w:pStyle w:val="StyleZakonu"/>
              <w:rPr>
                <w:color w:val="000000" w:themeColor="text1"/>
              </w:rPr>
            </w:pPr>
            <w:r w:rsidRPr="00286216">
              <w:rPr>
                <w:color w:val="000000" w:themeColor="text1"/>
              </w:rPr>
              <w:t>Обсяг емісії казначейських зобов’язань України у сукупності з емісією облігацій внутрішньої державної позики України не може перевищувати граничного обсягу внутрішнього державного боргу та обсягу пов’язаних з обслуговуванням державного боргу видатків, визначених законом про Державний бюджет України на відповідний рік.</w:t>
            </w:r>
          </w:p>
        </w:tc>
        <w:tc>
          <w:tcPr>
            <w:tcW w:w="3686" w:type="dxa"/>
          </w:tcPr>
          <w:p w14:paraId="729AA83D" w14:textId="77777777" w:rsidR="00C70550" w:rsidRPr="00286216" w:rsidRDefault="00C70550" w:rsidP="006A358E">
            <w:pPr>
              <w:pStyle w:val="StyleProp"/>
              <w:rPr>
                <w:color w:val="000000" w:themeColor="text1"/>
                <w:szCs w:val="18"/>
              </w:rPr>
            </w:pPr>
          </w:p>
        </w:tc>
        <w:tc>
          <w:tcPr>
            <w:tcW w:w="1987" w:type="dxa"/>
          </w:tcPr>
          <w:p w14:paraId="32352E76" w14:textId="77777777" w:rsidR="00C70550" w:rsidRPr="00286216" w:rsidRDefault="00C70550" w:rsidP="006A358E">
            <w:pPr>
              <w:pStyle w:val="StyleWisnow"/>
              <w:rPr>
                <w:color w:val="000000" w:themeColor="text1"/>
              </w:rPr>
            </w:pPr>
          </w:p>
        </w:tc>
        <w:tc>
          <w:tcPr>
            <w:tcW w:w="4818" w:type="dxa"/>
          </w:tcPr>
          <w:p w14:paraId="3D4439E9" w14:textId="77777777" w:rsidR="00C70550" w:rsidRPr="00286216" w:rsidRDefault="00C70550" w:rsidP="006A358E">
            <w:pPr>
              <w:pStyle w:val="StyleZakonu"/>
              <w:rPr>
                <w:color w:val="000000" w:themeColor="text1"/>
              </w:rPr>
            </w:pPr>
            <w:r w:rsidRPr="00286216">
              <w:rPr>
                <w:color w:val="000000" w:themeColor="text1"/>
              </w:rPr>
              <w:t>Обсяг емісії казначейських зобов’язань України у сукупності з емісією облігацій внутрішньої державної позики України не може перевищувати граничного розміру державного боргу та обсягу пов’язаних з обслуговуванням державного боргу видатків, визначених законом про Державний бюджет України на відповідний рік.</w:t>
            </w:r>
          </w:p>
        </w:tc>
      </w:tr>
      <w:tr w:rsidR="00C70550" w:rsidRPr="00286216" w14:paraId="0A18C98C" w14:textId="77777777" w:rsidTr="006A358E">
        <w:tc>
          <w:tcPr>
            <w:tcW w:w="576" w:type="dxa"/>
          </w:tcPr>
          <w:p w14:paraId="1325F0FD" w14:textId="77777777" w:rsidR="00C70550" w:rsidRPr="00286216" w:rsidRDefault="00C70550" w:rsidP="006A358E">
            <w:pPr>
              <w:pStyle w:val="StyleWisnow"/>
              <w:rPr>
                <w:color w:val="000000" w:themeColor="text1"/>
              </w:rPr>
            </w:pPr>
            <w:r w:rsidRPr="00286216">
              <w:rPr>
                <w:color w:val="000000" w:themeColor="text1"/>
              </w:rPr>
              <w:t>460.</w:t>
            </w:r>
          </w:p>
        </w:tc>
        <w:tc>
          <w:tcPr>
            <w:tcW w:w="4818" w:type="dxa"/>
          </w:tcPr>
          <w:p w14:paraId="319AD03C" w14:textId="77777777" w:rsidR="00C70550" w:rsidRPr="00286216" w:rsidRDefault="00C70550" w:rsidP="006A358E">
            <w:pPr>
              <w:pStyle w:val="StyleZakonu"/>
              <w:rPr>
                <w:color w:val="000000" w:themeColor="text1"/>
              </w:rPr>
            </w:pPr>
            <w:r w:rsidRPr="00286216">
              <w:rPr>
                <w:color w:val="000000" w:themeColor="text1"/>
              </w:rPr>
              <w:t>Емісія казначейських зобов’язань України є частиною бюджетного процесу і не підлягає регулюванню Національною комісією з цінних паперів та фондового ринку.</w:t>
            </w:r>
          </w:p>
        </w:tc>
        <w:tc>
          <w:tcPr>
            <w:tcW w:w="3686" w:type="dxa"/>
          </w:tcPr>
          <w:p w14:paraId="1B335BBA" w14:textId="77777777" w:rsidR="00C70550" w:rsidRPr="00286216" w:rsidRDefault="00C70550" w:rsidP="006A358E">
            <w:pPr>
              <w:pStyle w:val="StyleProp"/>
              <w:rPr>
                <w:color w:val="000000" w:themeColor="text1"/>
                <w:szCs w:val="18"/>
              </w:rPr>
            </w:pPr>
          </w:p>
        </w:tc>
        <w:tc>
          <w:tcPr>
            <w:tcW w:w="1987" w:type="dxa"/>
          </w:tcPr>
          <w:p w14:paraId="1C529E74" w14:textId="77777777" w:rsidR="00C70550" w:rsidRPr="00286216" w:rsidRDefault="00C70550" w:rsidP="006A358E">
            <w:pPr>
              <w:pStyle w:val="StyleWisnow"/>
              <w:rPr>
                <w:color w:val="000000" w:themeColor="text1"/>
              </w:rPr>
            </w:pPr>
          </w:p>
        </w:tc>
        <w:tc>
          <w:tcPr>
            <w:tcW w:w="4818" w:type="dxa"/>
          </w:tcPr>
          <w:p w14:paraId="28957E3E" w14:textId="77777777" w:rsidR="00C70550" w:rsidRPr="00286216" w:rsidRDefault="00C70550" w:rsidP="006A358E">
            <w:pPr>
              <w:pStyle w:val="StyleZakonu"/>
              <w:rPr>
                <w:color w:val="000000" w:themeColor="text1"/>
              </w:rPr>
            </w:pPr>
            <w:r w:rsidRPr="00286216">
              <w:rPr>
                <w:color w:val="000000" w:themeColor="text1"/>
              </w:rPr>
              <w:t>Емісія казначейських зобов’язань України є частиною бюджетного процесу і не підлягає регулюванню Національною комісією з цінних паперів та фондового ринку.</w:t>
            </w:r>
          </w:p>
        </w:tc>
      </w:tr>
      <w:tr w:rsidR="00C70550" w:rsidRPr="00286216" w14:paraId="32CA07E1" w14:textId="77777777" w:rsidTr="006A358E">
        <w:tc>
          <w:tcPr>
            <w:tcW w:w="576" w:type="dxa"/>
          </w:tcPr>
          <w:p w14:paraId="73F8BC19" w14:textId="77777777" w:rsidR="00C70550" w:rsidRPr="00286216" w:rsidRDefault="00C70550" w:rsidP="006A358E">
            <w:pPr>
              <w:pStyle w:val="StyleWisnow"/>
              <w:rPr>
                <w:color w:val="000000" w:themeColor="text1"/>
              </w:rPr>
            </w:pPr>
            <w:r w:rsidRPr="00286216">
              <w:rPr>
                <w:color w:val="000000" w:themeColor="text1"/>
              </w:rPr>
              <w:t>461.</w:t>
            </w:r>
          </w:p>
        </w:tc>
        <w:tc>
          <w:tcPr>
            <w:tcW w:w="4818" w:type="dxa"/>
          </w:tcPr>
          <w:p w14:paraId="28550CC9" w14:textId="77777777" w:rsidR="00C70550" w:rsidRPr="00286216" w:rsidRDefault="00C70550" w:rsidP="006A358E">
            <w:pPr>
              <w:pStyle w:val="StyleZakonu"/>
              <w:rPr>
                <w:color w:val="000000" w:themeColor="text1"/>
              </w:rPr>
            </w:pPr>
            <w:r w:rsidRPr="00286216">
              <w:rPr>
                <w:color w:val="000000" w:themeColor="text1"/>
              </w:rPr>
              <w:t>Погашення та сплата доходу за казначейськими зобов’язаннями України гарантується доходами Державного бюджету України.</w:t>
            </w:r>
          </w:p>
        </w:tc>
        <w:tc>
          <w:tcPr>
            <w:tcW w:w="3686" w:type="dxa"/>
          </w:tcPr>
          <w:p w14:paraId="61D83EAE" w14:textId="77777777" w:rsidR="00C70550" w:rsidRPr="00286216" w:rsidRDefault="00C70550" w:rsidP="006A358E">
            <w:pPr>
              <w:pStyle w:val="StyleProp"/>
              <w:rPr>
                <w:color w:val="000000" w:themeColor="text1"/>
              </w:rPr>
            </w:pPr>
          </w:p>
        </w:tc>
        <w:tc>
          <w:tcPr>
            <w:tcW w:w="1987" w:type="dxa"/>
          </w:tcPr>
          <w:p w14:paraId="3FE973E0" w14:textId="77777777" w:rsidR="00C70550" w:rsidRPr="00286216" w:rsidRDefault="00C70550" w:rsidP="006A358E">
            <w:pPr>
              <w:pStyle w:val="StyleWisnow"/>
              <w:rPr>
                <w:color w:val="000000" w:themeColor="text1"/>
              </w:rPr>
            </w:pPr>
          </w:p>
        </w:tc>
        <w:tc>
          <w:tcPr>
            <w:tcW w:w="4818" w:type="dxa"/>
          </w:tcPr>
          <w:p w14:paraId="7A0F29F8" w14:textId="77777777" w:rsidR="00C70550" w:rsidRPr="00286216" w:rsidRDefault="00C70550" w:rsidP="006A358E">
            <w:pPr>
              <w:pStyle w:val="StyleZakonu"/>
              <w:rPr>
                <w:color w:val="000000" w:themeColor="text1"/>
              </w:rPr>
            </w:pPr>
            <w:r w:rsidRPr="00286216">
              <w:rPr>
                <w:color w:val="000000" w:themeColor="text1"/>
              </w:rPr>
              <w:t>Погашення та сплата доходу за казначейськими зобов’язаннями України гарантується доходами Державного бюджету України.</w:t>
            </w:r>
          </w:p>
        </w:tc>
      </w:tr>
      <w:tr w:rsidR="00C70550" w:rsidRPr="00286216" w14:paraId="3771F761" w14:textId="77777777" w:rsidTr="006A358E">
        <w:tc>
          <w:tcPr>
            <w:tcW w:w="576" w:type="dxa"/>
          </w:tcPr>
          <w:p w14:paraId="0B9D1517" w14:textId="77777777" w:rsidR="00C70550" w:rsidRPr="00286216" w:rsidRDefault="00C70550" w:rsidP="006A358E">
            <w:pPr>
              <w:pStyle w:val="StyleWisnow"/>
              <w:rPr>
                <w:color w:val="000000" w:themeColor="text1"/>
              </w:rPr>
            </w:pPr>
            <w:r w:rsidRPr="00286216">
              <w:rPr>
                <w:color w:val="000000" w:themeColor="text1"/>
              </w:rPr>
              <w:t>462.</w:t>
            </w:r>
          </w:p>
        </w:tc>
        <w:tc>
          <w:tcPr>
            <w:tcW w:w="4818" w:type="dxa"/>
          </w:tcPr>
          <w:p w14:paraId="243EB85F" w14:textId="77777777" w:rsidR="00C70550" w:rsidRPr="00286216" w:rsidRDefault="00C70550" w:rsidP="006A358E">
            <w:pPr>
              <w:pStyle w:val="StyleZakonu"/>
              <w:rPr>
                <w:color w:val="000000" w:themeColor="text1"/>
              </w:rPr>
            </w:pPr>
            <w:r w:rsidRPr="00286216">
              <w:rPr>
                <w:color w:val="000000" w:themeColor="text1"/>
              </w:rPr>
              <w:t>Дія розділу VI цього Закону не поширюється на емісію казначейських зобов’язань України.</w:t>
            </w:r>
          </w:p>
        </w:tc>
        <w:tc>
          <w:tcPr>
            <w:tcW w:w="3686" w:type="dxa"/>
          </w:tcPr>
          <w:p w14:paraId="1533E403" w14:textId="77777777" w:rsidR="00C70550" w:rsidRPr="00286216" w:rsidRDefault="00C70550" w:rsidP="006A358E">
            <w:pPr>
              <w:pStyle w:val="StyleProp"/>
              <w:rPr>
                <w:color w:val="000000" w:themeColor="text1"/>
                <w:szCs w:val="18"/>
              </w:rPr>
            </w:pPr>
          </w:p>
        </w:tc>
        <w:tc>
          <w:tcPr>
            <w:tcW w:w="1987" w:type="dxa"/>
          </w:tcPr>
          <w:p w14:paraId="02BF1638" w14:textId="77777777" w:rsidR="00C70550" w:rsidRPr="00286216" w:rsidRDefault="00C70550" w:rsidP="006A358E">
            <w:pPr>
              <w:pStyle w:val="StyleWisnow"/>
              <w:rPr>
                <w:color w:val="000000" w:themeColor="text1"/>
              </w:rPr>
            </w:pPr>
          </w:p>
        </w:tc>
        <w:tc>
          <w:tcPr>
            <w:tcW w:w="4818" w:type="dxa"/>
          </w:tcPr>
          <w:p w14:paraId="77C40EA0" w14:textId="77777777" w:rsidR="00C70550" w:rsidRPr="00286216" w:rsidRDefault="00C70550" w:rsidP="006A358E">
            <w:pPr>
              <w:pStyle w:val="StyleZakonu"/>
              <w:rPr>
                <w:color w:val="000000" w:themeColor="text1"/>
              </w:rPr>
            </w:pPr>
            <w:r w:rsidRPr="00286216">
              <w:rPr>
                <w:color w:val="000000" w:themeColor="text1"/>
              </w:rPr>
              <w:t>Дія розділу VIІ цього Закону не поширюється на емісію казначейських зобов’язань України.</w:t>
            </w:r>
          </w:p>
        </w:tc>
      </w:tr>
      <w:tr w:rsidR="00C70550" w:rsidRPr="00286216" w14:paraId="1E2FD617" w14:textId="77777777" w:rsidTr="006A358E">
        <w:tc>
          <w:tcPr>
            <w:tcW w:w="576" w:type="dxa"/>
          </w:tcPr>
          <w:p w14:paraId="2A2C1A55" w14:textId="77777777" w:rsidR="00C70550" w:rsidRPr="00286216" w:rsidRDefault="00C70550" w:rsidP="006A358E">
            <w:pPr>
              <w:pStyle w:val="StyleWisnow"/>
              <w:rPr>
                <w:color w:val="000000" w:themeColor="text1"/>
              </w:rPr>
            </w:pPr>
            <w:r w:rsidRPr="00286216">
              <w:rPr>
                <w:color w:val="000000" w:themeColor="text1"/>
              </w:rPr>
              <w:t>463.</w:t>
            </w:r>
          </w:p>
        </w:tc>
        <w:tc>
          <w:tcPr>
            <w:tcW w:w="4818" w:type="dxa"/>
          </w:tcPr>
          <w:p w14:paraId="78FAFD67" w14:textId="77777777" w:rsidR="00C70550" w:rsidRPr="00286216" w:rsidRDefault="00C70550" w:rsidP="006A358E">
            <w:pPr>
              <w:pStyle w:val="StyleZakonu"/>
              <w:rPr>
                <w:color w:val="000000" w:themeColor="text1"/>
              </w:rPr>
            </w:pPr>
            <w:r w:rsidRPr="00286216">
              <w:rPr>
                <w:color w:val="000000" w:themeColor="text1"/>
              </w:rPr>
              <w:t>2. Казначейські зобов’язання України можуть бути:</w:t>
            </w:r>
          </w:p>
        </w:tc>
        <w:tc>
          <w:tcPr>
            <w:tcW w:w="3686" w:type="dxa"/>
          </w:tcPr>
          <w:p w14:paraId="4FD8400B" w14:textId="77777777" w:rsidR="00C70550" w:rsidRPr="00286216" w:rsidRDefault="00C70550" w:rsidP="006A358E">
            <w:pPr>
              <w:pStyle w:val="StyleProp"/>
              <w:rPr>
                <w:color w:val="000000" w:themeColor="text1"/>
                <w:szCs w:val="18"/>
              </w:rPr>
            </w:pPr>
          </w:p>
        </w:tc>
        <w:tc>
          <w:tcPr>
            <w:tcW w:w="1987" w:type="dxa"/>
          </w:tcPr>
          <w:p w14:paraId="361DC7EE" w14:textId="77777777" w:rsidR="00C70550" w:rsidRPr="00286216" w:rsidRDefault="00C70550" w:rsidP="006A358E">
            <w:pPr>
              <w:pStyle w:val="StyleWisnow"/>
              <w:rPr>
                <w:color w:val="000000" w:themeColor="text1"/>
              </w:rPr>
            </w:pPr>
          </w:p>
        </w:tc>
        <w:tc>
          <w:tcPr>
            <w:tcW w:w="4818" w:type="dxa"/>
          </w:tcPr>
          <w:p w14:paraId="2F8BB873" w14:textId="77777777" w:rsidR="00C70550" w:rsidRPr="00286216" w:rsidRDefault="00C70550" w:rsidP="006A358E">
            <w:pPr>
              <w:pStyle w:val="StyleZakonu"/>
              <w:rPr>
                <w:color w:val="000000" w:themeColor="text1"/>
              </w:rPr>
            </w:pPr>
            <w:r w:rsidRPr="00286216">
              <w:rPr>
                <w:color w:val="000000" w:themeColor="text1"/>
              </w:rPr>
              <w:t>2. Казначейські зобов’язання України можуть бути:</w:t>
            </w:r>
          </w:p>
        </w:tc>
      </w:tr>
      <w:tr w:rsidR="00C70550" w:rsidRPr="00286216" w14:paraId="7333EC2C" w14:textId="77777777" w:rsidTr="006A358E">
        <w:tc>
          <w:tcPr>
            <w:tcW w:w="576" w:type="dxa"/>
          </w:tcPr>
          <w:p w14:paraId="2C3500AE" w14:textId="77777777" w:rsidR="00C70550" w:rsidRPr="00286216" w:rsidRDefault="00C70550" w:rsidP="006A358E">
            <w:pPr>
              <w:pStyle w:val="StyleWisnow"/>
              <w:rPr>
                <w:color w:val="000000" w:themeColor="text1"/>
              </w:rPr>
            </w:pPr>
            <w:r w:rsidRPr="00286216">
              <w:rPr>
                <w:color w:val="000000" w:themeColor="text1"/>
              </w:rPr>
              <w:t>464.</w:t>
            </w:r>
          </w:p>
        </w:tc>
        <w:tc>
          <w:tcPr>
            <w:tcW w:w="4818" w:type="dxa"/>
          </w:tcPr>
          <w:p w14:paraId="0867E244" w14:textId="77777777" w:rsidR="00C70550" w:rsidRPr="00286216" w:rsidRDefault="00C70550" w:rsidP="006A358E">
            <w:pPr>
              <w:pStyle w:val="StyleZakonu"/>
              <w:rPr>
                <w:color w:val="000000" w:themeColor="text1"/>
              </w:rPr>
            </w:pPr>
            <w:r w:rsidRPr="00286216">
              <w:rPr>
                <w:color w:val="000000" w:themeColor="text1"/>
              </w:rPr>
              <w:t>1) довгострокові - понад п’ять років;</w:t>
            </w:r>
          </w:p>
        </w:tc>
        <w:tc>
          <w:tcPr>
            <w:tcW w:w="3686" w:type="dxa"/>
          </w:tcPr>
          <w:p w14:paraId="145FF005" w14:textId="77777777" w:rsidR="00C70550" w:rsidRPr="00286216" w:rsidRDefault="00C70550" w:rsidP="006A358E">
            <w:pPr>
              <w:pStyle w:val="StyleProp"/>
              <w:rPr>
                <w:color w:val="000000" w:themeColor="text1"/>
                <w:szCs w:val="18"/>
              </w:rPr>
            </w:pPr>
          </w:p>
        </w:tc>
        <w:tc>
          <w:tcPr>
            <w:tcW w:w="1987" w:type="dxa"/>
          </w:tcPr>
          <w:p w14:paraId="3F87B4D3" w14:textId="77777777" w:rsidR="00C70550" w:rsidRPr="00286216" w:rsidRDefault="00C70550" w:rsidP="006A358E">
            <w:pPr>
              <w:pStyle w:val="StyleWisnow"/>
              <w:rPr>
                <w:color w:val="000000" w:themeColor="text1"/>
              </w:rPr>
            </w:pPr>
          </w:p>
        </w:tc>
        <w:tc>
          <w:tcPr>
            <w:tcW w:w="4818" w:type="dxa"/>
          </w:tcPr>
          <w:p w14:paraId="5430E7A8" w14:textId="1978FA9F" w:rsidR="00C70550" w:rsidRPr="00286216" w:rsidRDefault="00C70550" w:rsidP="006A358E">
            <w:pPr>
              <w:pStyle w:val="StyleZakonu"/>
              <w:rPr>
                <w:color w:val="000000" w:themeColor="text1"/>
              </w:rPr>
            </w:pPr>
            <w:r w:rsidRPr="00286216">
              <w:rPr>
                <w:color w:val="000000" w:themeColor="text1"/>
              </w:rPr>
              <w:t>1) довгостроковими – із строком обігу понад п’ять років;</w:t>
            </w:r>
          </w:p>
        </w:tc>
      </w:tr>
      <w:tr w:rsidR="00C70550" w:rsidRPr="00286216" w14:paraId="006159E6" w14:textId="77777777" w:rsidTr="006A358E">
        <w:tc>
          <w:tcPr>
            <w:tcW w:w="576" w:type="dxa"/>
          </w:tcPr>
          <w:p w14:paraId="29F85384" w14:textId="77777777" w:rsidR="00C70550" w:rsidRPr="00286216" w:rsidRDefault="00C70550" w:rsidP="006A358E">
            <w:pPr>
              <w:pStyle w:val="StyleWisnow"/>
              <w:rPr>
                <w:color w:val="000000" w:themeColor="text1"/>
              </w:rPr>
            </w:pPr>
            <w:r w:rsidRPr="00286216">
              <w:rPr>
                <w:color w:val="000000" w:themeColor="text1"/>
              </w:rPr>
              <w:t>465.</w:t>
            </w:r>
          </w:p>
        </w:tc>
        <w:tc>
          <w:tcPr>
            <w:tcW w:w="4818" w:type="dxa"/>
          </w:tcPr>
          <w:p w14:paraId="36A8A86D" w14:textId="77777777" w:rsidR="00C70550" w:rsidRPr="00286216" w:rsidRDefault="00C70550" w:rsidP="006A358E">
            <w:pPr>
              <w:pStyle w:val="StyleZakonu"/>
              <w:rPr>
                <w:color w:val="000000" w:themeColor="text1"/>
              </w:rPr>
            </w:pPr>
            <w:r w:rsidRPr="00286216">
              <w:rPr>
                <w:color w:val="000000" w:themeColor="text1"/>
              </w:rPr>
              <w:t>2) середньострокові - від одного до п’яти років;</w:t>
            </w:r>
          </w:p>
        </w:tc>
        <w:tc>
          <w:tcPr>
            <w:tcW w:w="3686" w:type="dxa"/>
          </w:tcPr>
          <w:p w14:paraId="7F521D48" w14:textId="77777777" w:rsidR="00C70550" w:rsidRPr="00286216" w:rsidRDefault="00C70550" w:rsidP="006A358E">
            <w:pPr>
              <w:pStyle w:val="StyleProp"/>
              <w:rPr>
                <w:color w:val="000000" w:themeColor="text1"/>
                <w:szCs w:val="18"/>
              </w:rPr>
            </w:pPr>
          </w:p>
        </w:tc>
        <w:tc>
          <w:tcPr>
            <w:tcW w:w="1987" w:type="dxa"/>
          </w:tcPr>
          <w:p w14:paraId="0C3A627F" w14:textId="77777777" w:rsidR="00C70550" w:rsidRPr="00286216" w:rsidRDefault="00C70550" w:rsidP="006A358E">
            <w:pPr>
              <w:pStyle w:val="StyleWisnow"/>
              <w:rPr>
                <w:color w:val="000000" w:themeColor="text1"/>
              </w:rPr>
            </w:pPr>
          </w:p>
        </w:tc>
        <w:tc>
          <w:tcPr>
            <w:tcW w:w="4818" w:type="dxa"/>
          </w:tcPr>
          <w:p w14:paraId="36E1680C" w14:textId="5133618E" w:rsidR="00C70550" w:rsidRPr="00286216" w:rsidRDefault="00C70550" w:rsidP="006A358E">
            <w:pPr>
              <w:pStyle w:val="StyleZakonu"/>
              <w:rPr>
                <w:color w:val="000000" w:themeColor="text1"/>
              </w:rPr>
            </w:pPr>
            <w:r w:rsidRPr="00286216">
              <w:rPr>
                <w:color w:val="000000" w:themeColor="text1"/>
              </w:rPr>
              <w:t>2) середньостроковими - із строком обігу від одного до п’яти років;</w:t>
            </w:r>
          </w:p>
        </w:tc>
      </w:tr>
      <w:tr w:rsidR="00C70550" w:rsidRPr="00286216" w14:paraId="71A3F84C" w14:textId="77777777" w:rsidTr="006A358E">
        <w:tc>
          <w:tcPr>
            <w:tcW w:w="576" w:type="dxa"/>
          </w:tcPr>
          <w:p w14:paraId="31C26F3F" w14:textId="77777777" w:rsidR="00C70550" w:rsidRPr="00286216" w:rsidRDefault="00C70550" w:rsidP="006A358E">
            <w:pPr>
              <w:pStyle w:val="StyleWisnow"/>
              <w:rPr>
                <w:color w:val="000000" w:themeColor="text1"/>
              </w:rPr>
            </w:pPr>
            <w:r w:rsidRPr="00286216">
              <w:rPr>
                <w:color w:val="000000" w:themeColor="text1"/>
              </w:rPr>
              <w:t>466.</w:t>
            </w:r>
          </w:p>
        </w:tc>
        <w:tc>
          <w:tcPr>
            <w:tcW w:w="4818" w:type="dxa"/>
          </w:tcPr>
          <w:p w14:paraId="0B32A18D" w14:textId="77777777" w:rsidR="00C70550" w:rsidRPr="00286216" w:rsidRDefault="00C70550" w:rsidP="006A358E">
            <w:pPr>
              <w:pStyle w:val="StyleZakonu"/>
              <w:rPr>
                <w:color w:val="000000" w:themeColor="text1"/>
              </w:rPr>
            </w:pPr>
            <w:r w:rsidRPr="00286216">
              <w:rPr>
                <w:color w:val="000000" w:themeColor="text1"/>
              </w:rPr>
              <w:t>3) короткострокові - до одного року.</w:t>
            </w:r>
          </w:p>
        </w:tc>
        <w:tc>
          <w:tcPr>
            <w:tcW w:w="3686" w:type="dxa"/>
          </w:tcPr>
          <w:p w14:paraId="306C6209" w14:textId="77777777" w:rsidR="00C70550" w:rsidRPr="00286216" w:rsidRDefault="00C70550" w:rsidP="006A358E">
            <w:pPr>
              <w:pStyle w:val="StyleProp"/>
              <w:rPr>
                <w:color w:val="000000" w:themeColor="text1"/>
                <w:szCs w:val="18"/>
              </w:rPr>
            </w:pPr>
          </w:p>
        </w:tc>
        <w:tc>
          <w:tcPr>
            <w:tcW w:w="1987" w:type="dxa"/>
          </w:tcPr>
          <w:p w14:paraId="48F9B582" w14:textId="77777777" w:rsidR="00C70550" w:rsidRPr="00286216" w:rsidRDefault="00C70550" w:rsidP="006A358E">
            <w:pPr>
              <w:pStyle w:val="StyleWisnow"/>
              <w:rPr>
                <w:color w:val="000000" w:themeColor="text1"/>
              </w:rPr>
            </w:pPr>
          </w:p>
        </w:tc>
        <w:tc>
          <w:tcPr>
            <w:tcW w:w="4818" w:type="dxa"/>
          </w:tcPr>
          <w:p w14:paraId="2EB50595" w14:textId="3B325C7A" w:rsidR="00C70550" w:rsidRPr="00286216" w:rsidRDefault="00C70550" w:rsidP="006A358E">
            <w:pPr>
              <w:pStyle w:val="StyleZakonu"/>
              <w:rPr>
                <w:color w:val="000000" w:themeColor="text1"/>
              </w:rPr>
            </w:pPr>
            <w:r w:rsidRPr="00286216">
              <w:rPr>
                <w:color w:val="000000" w:themeColor="text1"/>
              </w:rPr>
              <w:t>3) короткостроковими - із строком обігу до одного року.</w:t>
            </w:r>
          </w:p>
        </w:tc>
      </w:tr>
      <w:tr w:rsidR="00C70550" w:rsidRPr="00286216" w14:paraId="74503A8A" w14:textId="77777777" w:rsidTr="006A358E">
        <w:tc>
          <w:tcPr>
            <w:tcW w:w="576" w:type="dxa"/>
          </w:tcPr>
          <w:p w14:paraId="3A796D47" w14:textId="77777777" w:rsidR="00C70550" w:rsidRPr="00286216" w:rsidRDefault="00C70550" w:rsidP="006A358E">
            <w:pPr>
              <w:pStyle w:val="StyleWisnow"/>
              <w:rPr>
                <w:color w:val="000000" w:themeColor="text1"/>
              </w:rPr>
            </w:pPr>
            <w:r w:rsidRPr="00286216">
              <w:rPr>
                <w:color w:val="000000" w:themeColor="text1"/>
              </w:rPr>
              <w:t>467.</w:t>
            </w:r>
          </w:p>
        </w:tc>
        <w:tc>
          <w:tcPr>
            <w:tcW w:w="4818" w:type="dxa"/>
          </w:tcPr>
          <w:p w14:paraId="5F620566" w14:textId="77777777" w:rsidR="00C70550" w:rsidRPr="00286216" w:rsidRDefault="00C70550" w:rsidP="006A358E">
            <w:pPr>
              <w:pStyle w:val="StyleZakonu"/>
              <w:rPr>
                <w:color w:val="000000" w:themeColor="text1"/>
              </w:rPr>
            </w:pPr>
            <w:r w:rsidRPr="00286216">
              <w:rPr>
                <w:color w:val="000000" w:themeColor="text1"/>
              </w:rPr>
              <w:t>3. Емітентом казначейських зобов’язань України виступає держава в особі Міністерства фінансів України за дорученням Кабінету Міністрів України.</w:t>
            </w:r>
          </w:p>
        </w:tc>
        <w:tc>
          <w:tcPr>
            <w:tcW w:w="3686" w:type="dxa"/>
          </w:tcPr>
          <w:p w14:paraId="4E75F445" w14:textId="7B8A3808" w:rsidR="00C70550" w:rsidRPr="00286216" w:rsidRDefault="00C70550" w:rsidP="006A358E">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286</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1E28C938" w14:textId="77777777" w:rsidR="00C70550" w:rsidRPr="00286216" w:rsidRDefault="00C70550" w:rsidP="006A358E">
            <w:pPr>
              <w:pStyle w:val="StyleProp"/>
              <w:spacing w:line="180" w:lineRule="exact"/>
              <w:rPr>
                <w:color w:val="000000" w:themeColor="text1"/>
                <w:szCs w:val="18"/>
              </w:rPr>
            </w:pPr>
            <w:r w:rsidRPr="00286216">
              <w:rPr>
                <w:color w:val="000000" w:themeColor="text1"/>
                <w:lang w:val="ru-RU"/>
              </w:rPr>
              <w:t>За текстом законопроекту слова «</w:t>
            </w:r>
            <w:r w:rsidRPr="00286216">
              <w:rPr>
                <w:color w:val="000000" w:themeColor="text1"/>
              </w:rPr>
              <w:t>Міністерства фінансів України</w:t>
            </w:r>
            <w:r w:rsidRPr="00286216">
              <w:rPr>
                <w:color w:val="000000" w:themeColor="text1"/>
                <w:lang w:val="ru-RU"/>
              </w:rPr>
              <w:t xml:space="preserve">» замінити словами </w:t>
            </w:r>
            <w:r w:rsidRPr="00286216">
              <w:rPr>
                <w:color w:val="000000" w:themeColor="text1"/>
              </w:rPr>
              <w:t xml:space="preserve">«центральний орган виконавчої влади, уповноважений на реалізацію державної бюджетної політики у сфері управління державним боргом та </w:t>
            </w:r>
            <w:r w:rsidRPr="00286216">
              <w:rPr>
                <w:color w:val="000000" w:themeColor="text1"/>
              </w:rPr>
              <w:lastRenderedPageBreak/>
              <w:t>гарантованим державою боргом відповідно до законодавства».</w:t>
            </w:r>
          </w:p>
        </w:tc>
        <w:tc>
          <w:tcPr>
            <w:tcW w:w="1987" w:type="dxa"/>
          </w:tcPr>
          <w:p w14:paraId="1DBC2E21"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p w14:paraId="57427816"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tc>
        <w:tc>
          <w:tcPr>
            <w:tcW w:w="4818" w:type="dxa"/>
          </w:tcPr>
          <w:p w14:paraId="2C05C480" w14:textId="6143684C" w:rsidR="00C70550" w:rsidRPr="00286216" w:rsidRDefault="00C70550" w:rsidP="006A358E">
            <w:pPr>
              <w:pStyle w:val="StyleZakonu"/>
              <w:rPr>
                <w:color w:val="000000" w:themeColor="text1"/>
              </w:rPr>
            </w:pPr>
            <w:r w:rsidRPr="00286216">
              <w:rPr>
                <w:color w:val="000000" w:themeColor="text1"/>
              </w:rPr>
              <w:t>3. Емітентом казначейських зобов’язань України виступає держава в особі центрального органу виконавчої влади, уповноваженого на реалізацію державної бюджетної політики у сфері управління державним боргом та гарантованим державою боргом, відповідно до законодавства.</w:t>
            </w:r>
          </w:p>
        </w:tc>
      </w:tr>
      <w:tr w:rsidR="00C70550" w:rsidRPr="00286216" w14:paraId="693247C5" w14:textId="77777777" w:rsidTr="006A358E">
        <w:tc>
          <w:tcPr>
            <w:tcW w:w="576" w:type="dxa"/>
          </w:tcPr>
          <w:p w14:paraId="44E2AA62" w14:textId="77777777" w:rsidR="00C70550" w:rsidRPr="00286216" w:rsidRDefault="00C70550" w:rsidP="006A358E">
            <w:pPr>
              <w:pStyle w:val="StyleWisnow"/>
              <w:rPr>
                <w:color w:val="000000" w:themeColor="text1"/>
              </w:rPr>
            </w:pPr>
            <w:r w:rsidRPr="00286216">
              <w:rPr>
                <w:color w:val="000000" w:themeColor="text1"/>
              </w:rPr>
              <w:lastRenderedPageBreak/>
              <w:t>468.</w:t>
            </w:r>
          </w:p>
        </w:tc>
        <w:tc>
          <w:tcPr>
            <w:tcW w:w="4818" w:type="dxa"/>
          </w:tcPr>
          <w:p w14:paraId="46AF3AF5" w14:textId="77777777" w:rsidR="00C70550" w:rsidRPr="00286216" w:rsidRDefault="00C70550" w:rsidP="006A358E">
            <w:pPr>
              <w:pStyle w:val="StyleZakonu"/>
              <w:rPr>
                <w:color w:val="000000" w:themeColor="text1"/>
              </w:rPr>
            </w:pPr>
            <w:r w:rsidRPr="00286216">
              <w:rPr>
                <w:color w:val="000000" w:themeColor="text1"/>
              </w:rPr>
              <w:t>4. Казначейські зобов’язання України можуть бути іменними або на пред’явника.</w:t>
            </w:r>
          </w:p>
        </w:tc>
        <w:tc>
          <w:tcPr>
            <w:tcW w:w="3686" w:type="dxa"/>
          </w:tcPr>
          <w:p w14:paraId="4B759C2D" w14:textId="77777777" w:rsidR="00C70550" w:rsidRPr="00286216" w:rsidRDefault="00C70550" w:rsidP="006A358E">
            <w:pPr>
              <w:pStyle w:val="StyleProp"/>
              <w:rPr>
                <w:color w:val="000000" w:themeColor="text1"/>
                <w:szCs w:val="18"/>
              </w:rPr>
            </w:pPr>
          </w:p>
        </w:tc>
        <w:tc>
          <w:tcPr>
            <w:tcW w:w="1987" w:type="dxa"/>
          </w:tcPr>
          <w:p w14:paraId="79F535A6" w14:textId="77777777" w:rsidR="00C70550" w:rsidRPr="00286216" w:rsidRDefault="00C70550" w:rsidP="006A358E">
            <w:pPr>
              <w:pStyle w:val="StyleWisnow"/>
              <w:rPr>
                <w:color w:val="000000" w:themeColor="text1"/>
              </w:rPr>
            </w:pPr>
          </w:p>
        </w:tc>
        <w:tc>
          <w:tcPr>
            <w:tcW w:w="4818" w:type="dxa"/>
          </w:tcPr>
          <w:p w14:paraId="4F181033" w14:textId="77777777" w:rsidR="00C70550" w:rsidRPr="00286216" w:rsidRDefault="00C70550" w:rsidP="006A358E">
            <w:pPr>
              <w:pStyle w:val="StyleZakonu"/>
              <w:rPr>
                <w:color w:val="000000" w:themeColor="text1"/>
              </w:rPr>
            </w:pPr>
            <w:r w:rsidRPr="00286216">
              <w:rPr>
                <w:color w:val="000000" w:themeColor="text1"/>
              </w:rPr>
              <w:t>4. Казначейські зобов’язання України можуть бути іменними або на пред’явника.</w:t>
            </w:r>
          </w:p>
        </w:tc>
      </w:tr>
      <w:tr w:rsidR="00C70550" w:rsidRPr="00286216" w14:paraId="70DC2BF5" w14:textId="77777777" w:rsidTr="006A358E">
        <w:tc>
          <w:tcPr>
            <w:tcW w:w="576" w:type="dxa"/>
          </w:tcPr>
          <w:p w14:paraId="48F84933" w14:textId="77777777" w:rsidR="00C70550" w:rsidRPr="00286216" w:rsidRDefault="00C70550" w:rsidP="006A358E">
            <w:pPr>
              <w:pStyle w:val="StyleWisnow"/>
              <w:rPr>
                <w:color w:val="000000" w:themeColor="text1"/>
              </w:rPr>
            </w:pPr>
            <w:r w:rsidRPr="00286216">
              <w:rPr>
                <w:color w:val="000000" w:themeColor="text1"/>
              </w:rPr>
              <w:t>469.</w:t>
            </w:r>
          </w:p>
        </w:tc>
        <w:tc>
          <w:tcPr>
            <w:tcW w:w="4818" w:type="dxa"/>
          </w:tcPr>
          <w:p w14:paraId="781D144C" w14:textId="77777777" w:rsidR="00C70550" w:rsidRPr="00286216" w:rsidRDefault="00C70550" w:rsidP="006A358E">
            <w:pPr>
              <w:pStyle w:val="StyleZakonu"/>
              <w:rPr>
                <w:color w:val="000000" w:themeColor="text1"/>
              </w:rPr>
            </w:pPr>
            <w:r w:rsidRPr="00286216">
              <w:rPr>
                <w:color w:val="000000" w:themeColor="text1"/>
              </w:rPr>
              <w:t>Казначейські зобов’язання України розміщуються у документарній або бездокументарній формі.</w:t>
            </w:r>
          </w:p>
        </w:tc>
        <w:tc>
          <w:tcPr>
            <w:tcW w:w="3686" w:type="dxa"/>
          </w:tcPr>
          <w:p w14:paraId="0EA0A199" w14:textId="5CF18B32"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36412F8"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71388A42"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211D01D6" w14:textId="77777777" w:rsidR="00C70550" w:rsidRPr="00286216" w:rsidRDefault="00C70550" w:rsidP="006A358E">
            <w:pPr>
              <w:pStyle w:val="StyleZakonu"/>
              <w:rPr>
                <w:color w:val="000000" w:themeColor="text1"/>
              </w:rPr>
            </w:pPr>
            <w:r w:rsidRPr="00286216">
              <w:rPr>
                <w:color w:val="000000" w:themeColor="text1"/>
              </w:rPr>
              <w:t>Казначейські зобов’язання України розміщуються у паперовій або електронній формі.</w:t>
            </w:r>
          </w:p>
        </w:tc>
      </w:tr>
      <w:tr w:rsidR="00C70550" w:rsidRPr="00286216" w14:paraId="3C841401" w14:textId="77777777" w:rsidTr="006A358E">
        <w:tc>
          <w:tcPr>
            <w:tcW w:w="576" w:type="dxa"/>
          </w:tcPr>
          <w:p w14:paraId="498F3F34" w14:textId="77777777" w:rsidR="00C70550" w:rsidRPr="00286216" w:rsidRDefault="00C70550" w:rsidP="006A358E">
            <w:pPr>
              <w:pStyle w:val="StyleWisnow"/>
              <w:rPr>
                <w:color w:val="000000" w:themeColor="text1"/>
              </w:rPr>
            </w:pPr>
            <w:r w:rsidRPr="00286216">
              <w:rPr>
                <w:color w:val="000000" w:themeColor="text1"/>
              </w:rPr>
              <w:t>470.</w:t>
            </w:r>
          </w:p>
        </w:tc>
        <w:tc>
          <w:tcPr>
            <w:tcW w:w="4818" w:type="dxa"/>
          </w:tcPr>
          <w:p w14:paraId="177888A2" w14:textId="77777777" w:rsidR="00C70550" w:rsidRPr="00286216" w:rsidRDefault="00C70550" w:rsidP="006A358E">
            <w:pPr>
              <w:pStyle w:val="StyleZakonu"/>
              <w:rPr>
                <w:color w:val="000000" w:themeColor="text1"/>
              </w:rPr>
            </w:pPr>
            <w:r w:rsidRPr="00286216">
              <w:rPr>
                <w:color w:val="000000" w:themeColor="text1"/>
              </w:rPr>
              <w:t>У разі розміщення казначейських зобов’язань України у документарній формі видається сертифікат.</w:t>
            </w:r>
          </w:p>
        </w:tc>
        <w:tc>
          <w:tcPr>
            <w:tcW w:w="3686" w:type="dxa"/>
          </w:tcPr>
          <w:p w14:paraId="061E610F" w14:textId="79083B86"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288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67E2463"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tc>
        <w:tc>
          <w:tcPr>
            <w:tcW w:w="1987" w:type="dxa"/>
          </w:tcPr>
          <w:p w14:paraId="4046BCB0"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74C173CA" w14:textId="77777777" w:rsidR="00C70550" w:rsidRPr="00286216" w:rsidRDefault="00C70550" w:rsidP="006A358E">
            <w:pPr>
              <w:pStyle w:val="StyleZakonu"/>
              <w:rPr>
                <w:color w:val="000000" w:themeColor="text1"/>
              </w:rPr>
            </w:pPr>
            <w:r w:rsidRPr="00286216">
              <w:rPr>
                <w:color w:val="000000" w:themeColor="text1"/>
              </w:rPr>
              <w:t>У разі розміщення казначейських зобов’язань України у паперовій формі видається сертифікат.</w:t>
            </w:r>
          </w:p>
        </w:tc>
      </w:tr>
      <w:tr w:rsidR="00C70550" w:rsidRPr="00286216" w14:paraId="1AB2F800" w14:textId="77777777" w:rsidTr="006A358E">
        <w:tc>
          <w:tcPr>
            <w:tcW w:w="576" w:type="dxa"/>
          </w:tcPr>
          <w:p w14:paraId="32003B83" w14:textId="77777777" w:rsidR="00C70550" w:rsidRPr="00286216" w:rsidRDefault="00C70550" w:rsidP="006A358E">
            <w:pPr>
              <w:pStyle w:val="StyleWisnow"/>
              <w:rPr>
                <w:color w:val="000000" w:themeColor="text1"/>
              </w:rPr>
            </w:pPr>
            <w:r w:rsidRPr="00286216">
              <w:rPr>
                <w:color w:val="000000" w:themeColor="text1"/>
              </w:rPr>
              <w:t>471.</w:t>
            </w:r>
          </w:p>
        </w:tc>
        <w:tc>
          <w:tcPr>
            <w:tcW w:w="4818" w:type="dxa"/>
          </w:tcPr>
          <w:p w14:paraId="4DF7DF90" w14:textId="77777777" w:rsidR="00C70550" w:rsidRPr="00286216" w:rsidRDefault="00C70550" w:rsidP="006A358E">
            <w:pPr>
              <w:pStyle w:val="StyleZakonu"/>
              <w:rPr>
                <w:color w:val="000000" w:themeColor="text1"/>
              </w:rPr>
            </w:pPr>
            <w:r w:rsidRPr="00286216">
              <w:rPr>
                <w:color w:val="000000" w:themeColor="text1"/>
              </w:rPr>
              <w:t>У сертифікаті казначейського зобов’язання України зазначаються вид цінного паперу, найменування і місцезнаходження емітента, сума платежу, дата виплати грошового доходу, дата погашення, зазначення місця, в якому повинно бути здійснено погашення, дата і місце видачі казначейського зобов’язання України, серія та номер сертифіката казначейського зобов’язання України, підпис керівника емітента або іншої уповноваженої особи. У сертифікаті іменного казначейського зобов’язання України також зазначається ім’я власника.</w:t>
            </w:r>
          </w:p>
        </w:tc>
        <w:tc>
          <w:tcPr>
            <w:tcW w:w="3686" w:type="dxa"/>
          </w:tcPr>
          <w:p w14:paraId="39488263" w14:textId="77777777" w:rsidR="00C70550" w:rsidRPr="00286216" w:rsidRDefault="00C70550" w:rsidP="006A358E">
            <w:pPr>
              <w:pStyle w:val="StyleProp"/>
              <w:rPr>
                <w:color w:val="000000" w:themeColor="text1"/>
                <w:szCs w:val="18"/>
              </w:rPr>
            </w:pPr>
          </w:p>
        </w:tc>
        <w:tc>
          <w:tcPr>
            <w:tcW w:w="1987" w:type="dxa"/>
          </w:tcPr>
          <w:p w14:paraId="2DBED919" w14:textId="77777777" w:rsidR="00C70550" w:rsidRPr="00286216" w:rsidRDefault="00C70550" w:rsidP="006A358E">
            <w:pPr>
              <w:pStyle w:val="StyleWisnow"/>
              <w:rPr>
                <w:color w:val="000000" w:themeColor="text1"/>
              </w:rPr>
            </w:pPr>
          </w:p>
        </w:tc>
        <w:tc>
          <w:tcPr>
            <w:tcW w:w="4818" w:type="dxa"/>
          </w:tcPr>
          <w:p w14:paraId="0D9B525A" w14:textId="72051674" w:rsidR="00C70550" w:rsidRPr="00286216" w:rsidRDefault="00C70550" w:rsidP="006A358E">
            <w:pPr>
              <w:pStyle w:val="StyleZakonu"/>
              <w:rPr>
                <w:color w:val="000000" w:themeColor="text1"/>
              </w:rPr>
            </w:pPr>
            <w:r w:rsidRPr="00286216">
              <w:rPr>
                <w:color w:val="000000" w:themeColor="text1"/>
              </w:rPr>
              <w:t>У сертифікаті казначейського зобов’язання України зазначаються вид цінного папера, найменування і місцезнаходження емітента, сума платежу, дата виплати грошового доходу, дата погашення, зазначення місця, в якому повинно бути здійснено погашення, дата і місце видачі казначейського зобов’язання України, серія та номер сертифіката казначейського зобов’язання України, підпис керівника емітента або іншої уповноваженої особи. У сертифікаті іменного казначейського зобов’язання України також зазначається ім’я (в розумінні Цивільного кодексу України) власника.</w:t>
            </w:r>
          </w:p>
        </w:tc>
      </w:tr>
      <w:tr w:rsidR="00C70550" w:rsidRPr="00286216" w14:paraId="6170B547" w14:textId="77777777" w:rsidTr="006A358E">
        <w:tc>
          <w:tcPr>
            <w:tcW w:w="576" w:type="dxa"/>
          </w:tcPr>
          <w:p w14:paraId="5EE0DF68" w14:textId="77777777" w:rsidR="00C70550" w:rsidRPr="00286216" w:rsidRDefault="00C70550" w:rsidP="006A358E">
            <w:pPr>
              <w:pStyle w:val="StyleWisnow"/>
              <w:rPr>
                <w:color w:val="000000" w:themeColor="text1"/>
              </w:rPr>
            </w:pPr>
            <w:r w:rsidRPr="00286216">
              <w:rPr>
                <w:color w:val="000000" w:themeColor="text1"/>
              </w:rPr>
              <w:t>472.</w:t>
            </w:r>
          </w:p>
        </w:tc>
        <w:tc>
          <w:tcPr>
            <w:tcW w:w="4818" w:type="dxa"/>
          </w:tcPr>
          <w:p w14:paraId="73E77697" w14:textId="77777777" w:rsidR="00C70550" w:rsidRPr="00286216" w:rsidRDefault="00C70550" w:rsidP="006A358E">
            <w:pPr>
              <w:pStyle w:val="StyleZakonu"/>
              <w:rPr>
                <w:color w:val="000000" w:themeColor="text1"/>
              </w:rPr>
            </w:pPr>
            <w:r w:rsidRPr="00286216">
              <w:rPr>
                <w:color w:val="000000" w:themeColor="text1"/>
              </w:rPr>
              <w:t>Особливості погашення та реалізації прав за казначейськими зобов’язаннями України визначаються умовами їх розміщення, які затверджуються Міністерством фінансів України відповідно до законодавства.</w:t>
            </w:r>
          </w:p>
        </w:tc>
        <w:tc>
          <w:tcPr>
            <w:tcW w:w="3686" w:type="dxa"/>
          </w:tcPr>
          <w:p w14:paraId="11BD6895" w14:textId="7B36B4A0" w:rsidR="00C70550" w:rsidRPr="00286216" w:rsidRDefault="00C70550" w:rsidP="006A358E">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289</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2A61DAFF" w14:textId="77777777" w:rsidR="00C70550" w:rsidRPr="00286216" w:rsidRDefault="00C70550" w:rsidP="006A358E">
            <w:pPr>
              <w:pStyle w:val="StyleProp"/>
              <w:rPr>
                <w:color w:val="000000" w:themeColor="text1"/>
                <w:spacing w:val="-4"/>
                <w:szCs w:val="18"/>
              </w:rPr>
            </w:pPr>
            <w:r w:rsidRPr="00286216">
              <w:rPr>
                <w:color w:val="000000" w:themeColor="text1"/>
                <w:spacing w:val="-4"/>
                <w:lang w:val="ru-RU"/>
              </w:rPr>
              <w:t>За текстом законопроекту слова «</w:t>
            </w:r>
            <w:r w:rsidRPr="00286216">
              <w:rPr>
                <w:color w:val="000000" w:themeColor="text1"/>
                <w:spacing w:val="-4"/>
              </w:rPr>
              <w:t>Міністерства фінансів України</w:t>
            </w:r>
            <w:r w:rsidRPr="00286216">
              <w:rPr>
                <w:color w:val="000000" w:themeColor="text1"/>
                <w:spacing w:val="-4"/>
                <w:lang w:val="ru-RU"/>
              </w:rPr>
              <w:t xml:space="preserve">» замінити словами </w:t>
            </w:r>
            <w:r w:rsidRPr="00286216">
              <w:rPr>
                <w:color w:val="000000" w:themeColor="text1"/>
                <w:spacing w:val="-4"/>
              </w:rPr>
              <w:t>«центральний орган виконавчої влади, уповноважений на реалізацію державної бюджетної політики у сфері управління державним боргом та гарантованим державою боргом відповідно до законодавства».</w:t>
            </w:r>
          </w:p>
        </w:tc>
        <w:tc>
          <w:tcPr>
            <w:tcW w:w="1987" w:type="dxa"/>
          </w:tcPr>
          <w:p w14:paraId="071B2B54"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3859DBF4"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p w14:paraId="6A580072" w14:textId="77777777" w:rsidR="00C70550" w:rsidRPr="00286216" w:rsidRDefault="00C70550" w:rsidP="006A358E">
            <w:pPr>
              <w:pStyle w:val="StyleWisnow"/>
              <w:rPr>
                <w:color w:val="000000" w:themeColor="text1"/>
              </w:rPr>
            </w:pPr>
          </w:p>
        </w:tc>
        <w:tc>
          <w:tcPr>
            <w:tcW w:w="4818" w:type="dxa"/>
          </w:tcPr>
          <w:p w14:paraId="4D160954" w14:textId="2908A06D" w:rsidR="00C70550" w:rsidRPr="00286216" w:rsidRDefault="00C70550" w:rsidP="006A358E">
            <w:pPr>
              <w:pStyle w:val="StyleZakonu"/>
              <w:rPr>
                <w:color w:val="000000" w:themeColor="text1"/>
              </w:rPr>
            </w:pPr>
            <w:r w:rsidRPr="00286216">
              <w:rPr>
                <w:color w:val="000000" w:themeColor="text1"/>
              </w:rPr>
              <w:t>Особливості погашення та реалізації прав за казначейськими зобов’язаннями України визначаються умовами їх розміщення, які затверджуються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 відповідно до законодавства.</w:t>
            </w:r>
          </w:p>
        </w:tc>
      </w:tr>
      <w:tr w:rsidR="00C70550" w:rsidRPr="00286216" w14:paraId="0460EDFB" w14:textId="77777777" w:rsidTr="006A358E">
        <w:tc>
          <w:tcPr>
            <w:tcW w:w="576" w:type="dxa"/>
          </w:tcPr>
          <w:p w14:paraId="3BE755DC" w14:textId="77777777" w:rsidR="00C70550" w:rsidRPr="00286216" w:rsidRDefault="00C70550" w:rsidP="006A358E">
            <w:pPr>
              <w:pStyle w:val="StyleWisnow"/>
              <w:rPr>
                <w:color w:val="000000" w:themeColor="text1"/>
              </w:rPr>
            </w:pPr>
            <w:r w:rsidRPr="00286216">
              <w:rPr>
                <w:color w:val="000000" w:themeColor="text1"/>
              </w:rPr>
              <w:t>473.</w:t>
            </w:r>
          </w:p>
        </w:tc>
        <w:tc>
          <w:tcPr>
            <w:tcW w:w="4818" w:type="dxa"/>
          </w:tcPr>
          <w:p w14:paraId="34D5B66F" w14:textId="77777777" w:rsidR="00C70550" w:rsidRPr="00286216" w:rsidRDefault="00C70550" w:rsidP="006A358E">
            <w:pPr>
              <w:pStyle w:val="StyleZakonu"/>
              <w:rPr>
                <w:color w:val="000000" w:themeColor="text1"/>
              </w:rPr>
            </w:pPr>
            <w:r w:rsidRPr="00286216">
              <w:rPr>
                <w:color w:val="000000" w:themeColor="text1"/>
              </w:rPr>
              <w:t>Продаж, виплата грошового доходу та погашення казначейських зобов’язань України здійснюються в національній або іноземній валюті відповідно до умов їх розміщення.</w:t>
            </w:r>
          </w:p>
        </w:tc>
        <w:tc>
          <w:tcPr>
            <w:tcW w:w="3686" w:type="dxa"/>
          </w:tcPr>
          <w:p w14:paraId="05C48E2E" w14:textId="77777777" w:rsidR="00C70550" w:rsidRPr="00286216" w:rsidRDefault="00C70550" w:rsidP="006A358E">
            <w:pPr>
              <w:pStyle w:val="StyleProp"/>
              <w:rPr>
                <w:color w:val="000000" w:themeColor="text1"/>
                <w:szCs w:val="18"/>
              </w:rPr>
            </w:pPr>
          </w:p>
        </w:tc>
        <w:tc>
          <w:tcPr>
            <w:tcW w:w="1987" w:type="dxa"/>
          </w:tcPr>
          <w:p w14:paraId="608F239F" w14:textId="77777777" w:rsidR="00C70550" w:rsidRPr="00286216" w:rsidRDefault="00C70550" w:rsidP="006A358E">
            <w:pPr>
              <w:pStyle w:val="StyleWisnow"/>
              <w:rPr>
                <w:color w:val="000000" w:themeColor="text1"/>
              </w:rPr>
            </w:pPr>
          </w:p>
        </w:tc>
        <w:tc>
          <w:tcPr>
            <w:tcW w:w="4818" w:type="dxa"/>
          </w:tcPr>
          <w:p w14:paraId="6E566B57" w14:textId="77777777" w:rsidR="00C70550" w:rsidRPr="00286216" w:rsidRDefault="00C70550" w:rsidP="006A358E">
            <w:pPr>
              <w:pStyle w:val="StyleZakonu"/>
              <w:rPr>
                <w:color w:val="000000" w:themeColor="text1"/>
              </w:rPr>
            </w:pPr>
            <w:r w:rsidRPr="00286216">
              <w:rPr>
                <w:color w:val="000000" w:themeColor="text1"/>
              </w:rPr>
              <w:t>Продаж, виплата грошового доходу та погашення казначейських зобов’язань України здійснюються в національній або іноземній валюті відповідно до умов їх розміщення.</w:t>
            </w:r>
          </w:p>
        </w:tc>
      </w:tr>
      <w:tr w:rsidR="00C70550" w:rsidRPr="00286216" w14:paraId="6A94BF1E" w14:textId="77777777" w:rsidTr="006A358E">
        <w:tc>
          <w:tcPr>
            <w:tcW w:w="576" w:type="dxa"/>
          </w:tcPr>
          <w:p w14:paraId="159675F3" w14:textId="77777777" w:rsidR="00C70550" w:rsidRPr="00286216" w:rsidRDefault="00C70550" w:rsidP="006A358E">
            <w:pPr>
              <w:pStyle w:val="StyleWisnow"/>
              <w:rPr>
                <w:color w:val="000000" w:themeColor="text1"/>
              </w:rPr>
            </w:pPr>
            <w:r w:rsidRPr="00286216">
              <w:rPr>
                <w:color w:val="000000" w:themeColor="text1"/>
              </w:rPr>
              <w:t>474.</w:t>
            </w:r>
          </w:p>
        </w:tc>
        <w:tc>
          <w:tcPr>
            <w:tcW w:w="4818" w:type="dxa"/>
          </w:tcPr>
          <w:p w14:paraId="4837B4DB" w14:textId="77777777" w:rsidR="00C70550" w:rsidRPr="00286216" w:rsidRDefault="00C70550" w:rsidP="006A358E">
            <w:pPr>
              <w:pStyle w:val="StyleZakonu"/>
              <w:rPr>
                <w:color w:val="000000" w:themeColor="text1"/>
              </w:rPr>
            </w:pPr>
            <w:r w:rsidRPr="00286216">
              <w:rPr>
                <w:color w:val="000000" w:themeColor="text1"/>
              </w:rPr>
              <w:t>5. Рішення про розміщення казначейських зобов’язань України приймається згідно з Бюджетним кодексом України. У рішенні передбачаються умови розміщення та погашення казначейських зобов’язань України.</w:t>
            </w:r>
          </w:p>
        </w:tc>
        <w:tc>
          <w:tcPr>
            <w:tcW w:w="3686" w:type="dxa"/>
          </w:tcPr>
          <w:p w14:paraId="1C221DA3" w14:textId="77777777" w:rsidR="00C70550" w:rsidRPr="00286216" w:rsidRDefault="00C70550" w:rsidP="006A358E">
            <w:pPr>
              <w:pStyle w:val="StyleProp"/>
              <w:rPr>
                <w:color w:val="000000" w:themeColor="text1"/>
                <w:szCs w:val="18"/>
              </w:rPr>
            </w:pPr>
          </w:p>
        </w:tc>
        <w:tc>
          <w:tcPr>
            <w:tcW w:w="1987" w:type="dxa"/>
          </w:tcPr>
          <w:p w14:paraId="63D7B527" w14:textId="77777777" w:rsidR="00C70550" w:rsidRPr="00286216" w:rsidRDefault="00C70550" w:rsidP="006A358E">
            <w:pPr>
              <w:pStyle w:val="StyleWisnow"/>
              <w:rPr>
                <w:color w:val="000000" w:themeColor="text1"/>
              </w:rPr>
            </w:pPr>
          </w:p>
        </w:tc>
        <w:tc>
          <w:tcPr>
            <w:tcW w:w="4818" w:type="dxa"/>
          </w:tcPr>
          <w:p w14:paraId="654D892F" w14:textId="77777777" w:rsidR="00C70550" w:rsidRPr="00286216" w:rsidRDefault="00C70550" w:rsidP="006A358E">
            <w:pPr>
              <w:pStyle w:val="StyleZakonu"/>
              <w:rPr>
                <w:color w:val="000000" w:themeColor="text1"/>
              </w:rPr>
            </w:pPr>
            <w:r w:rsidRPr="00286216">
              <w:rPr>
                <w:color w:val="000000" w:themeColor="text1"/>
              </w:rPr>
              <w:t>5. Рішення про розміщення казначейських зобов’язань України приймається згідно з Бюджетним кодексом України. У рішенні передбачаються умови розміщення та погашення казначейських зобов’язань України.</w:t>
            </w:r>
          </w:p>
        </w:tc>
      </w:tr>
      <w:tr w:rsidR="00C70550" w:rsidRPr="00286216" w14:paraId="2CE82BCF" w14:textId="77777777" w:rsidTr="006A358E">
        <w:tc>
          <w:tcPr>
            <w:tcW w:w="576" w:type="dxa"/>
          </w:tcPr>
          <w:p w14:paraId="6774C314" w14:textId="77777777" w:rsidR="00C70550" w:rsidRPr="00286216" w:rsidRDefault="00C70550" w:rsidP="006A358E">
            <w:pPr>
              <w:pStyle w:val="StyleWisnow"/>
              <w:rPr>
                <w:color w:val="000000" w:themeColor="text1"/>
              </w:rPr>
            </w:pPr>
            <w:r w:rsidRPr="00286216">
              <w:rPr>
                <w:color w:val="000000" w:themeColor="text1"/>
              </w:rPr>
              <w:t>475.</w:t>
            </w:r>
          </w:p>
        </w:tc>
        <w:tc>
          <w:tcPr>
            <w:tcW w:w="4818" w:type="dxa"/>
          </w:tcPr>
          <w:p w14:paraId="056CC6A9" w14:textId="77777777" w:rsidR="00C70550" w:rsidRPr="00286216" w:rsidRDefault="00C70550" w:rsidP="006A358E">
            <w:pPr>
              <w:pStyle w:val="StyleZakonu"/>
              <w:rPr>
                <w:color w:val="000000" w:themeColor="text1"/>
              </w:rPr>
            </w:pPr>
            <w:r w:rsidRPr="00286216">
              <w:rPr>
                <w:color w:val="000000" w:themeColor="text1"/>
              </w:rPr>
              <w:t xml:space="preserve">6. Умови розміщення казначейських зобов’язань </w:t>
            </w:r>
            <w:r w:rsidRPr="00286216">
              <w:rPr>
                <w:color w:val="000000" w:themeColor="text1"/>
              </w:rPr>
              <w:lastRenderedPageBreak/>
              <w:t>України можуть передбачати їх погашення шляхом зменшення зобов’язань перед Державним бюджетом України власника казначейського зобов’язання України на вартість цього зобов’язання.</w:t>
            </w:r>
          </w:p>
        </w:tc>
        <w:tc>
          <w:tcPr>
            <w:tcW w:w="3686" w:type="dxa"/>
          </w:tcPr>
          <w:p w14:paraId="390E068E" w14:textId="77777777" w:rsidR="00C70550" w:rsidRPr="00286216" w:rsidRDefault="00C70550" w:rsidP="006A358E">
            <w:pPr>
              <w:pStyle w:val="StyleProp"/>
              <w:rPr>
                <w:color w:val="000000" w:themeColor="text1"/>
                <w:szCs w:val="18"/>
              </w:rPr>
            </w:pPr>
          </w:p>
        </w:tc>
        <w:tc>
          <w:tcPr>
            <w:tcW w:w="1987" w:type="dxa"/>
          </w:tcPr>
          <w:p w14:paraId="6A1E4229" w14:textId="77777777" w:rsidR="00C70550" w:rsidRPr="00286216" w:rsidRDefault="00C70550" w:rsidP="006A358E">
            <w:pPr>
              <w:pStyle w:val="StyleWisnow"/>
              <w:rPr>
                <w:color w:val="000000" w:themeColor="text1"/>
              </w:rPr>
            </w:pPr>
          </w:p>
        </w:tc>
        <w:tc>
          <w:tcPr>
            <w:tcW w:w="4818" w:type="dxa"/>
          </w:tcPr>
          <w:p w14:paraId="25DD1129" w14:textId="4AFF2CBF" w:rsidR="00C70550" w:rsidRPr="00286216" w:rsidRDefault="00C70550" w:rsidP="006A358E">
            <w:pPr>
              <w:pStyle w:val="StyleZakonu"/>
              <w:rPr>
                <w:color w:val="000000" w:themeColor="text1"/>
              </w:rPr>
            </w:pPr>
            <w:r w:rsidRPr="00286216">
              <w:rPr>
                <w:color w:val="000000" w:themeColor="text1"/>
              </w:rPr>
              <w:t xml:space="preserve">6. Умови розміщення казначейських зобов’язань </w:t>
            </w:r>
            <w:r w:rsidRPr="00286216">
              <w:rPr>
                <w:color w:val="000000" w:themeColor="text1"/>
              </w:rPr>
              <w:lastRenderedPageBreak/>
              <w:t>України можуть передбачати їх погашення шляхом зменшення зобов’язань перед Державним бюджетом України власника казначейського зобов’язання України на вартість такого зобов’язання.</w:t>
            </w:r>
          </w:p>
        </w:tc>
      </w:tr>
      <w:tr w:rsidR="00C70550" w:rsidRPr="00286216" w14:paraId="21ADCB75" w14:textId="77777777" w:rsidTr="006A358E">
        <w:tc>
          <w:tcPr>
            <w:tcW w:w="576" w:type="dxa"/>
          </w:tcPr>
          <w:p w14:paraId="61E57CD6" w14:textId="77777777" w:rsidR="00C70550" w:rsidRPr="00286216" w:rsidRDefault="00C70550" w:rsidP="006A358E">
            <w:pPr>
              <w:pStyle w:val="StyleWisnow"/>
              <w:rPr>
                <w:color w:val="000000" w:themeColor="text1"/>
              </w:rPr>
            </w:pPr>
            <w:r w:rsidRPr="00286216">
              <w:rPr>
                <w:color w:val="000000" w:themeColor="text1"/>
              </w:rPr>
              <w:lastRenderedPageBreak/>
              <w:t>476.</w:t>
            </w:r>
          </w:p>
        </w:tc>
        <w:tc>
          <w:tcPr>
            <w:tcW w:w="4818" w:type="dxa"/>
          </w:tcPr>
          <w:p w14:paraId="3BF31960" w14:textId="77777777" w:rsidR="00C70550" w:rsidRPr="00286216" w:rsidRDefault="00C70550" w:rsidP="006A358E">
            <w:pPr>
              <w:pStyle w:val="StyleZakonu"/>
              <w:rPr>
                <w:color w:val="000000" w:themeColor="text1"/>
              </w:rPr>
            </w:pPr>
            <w:r w:rsidRPr="00286216">
              <w:rPr>
                <w:color w:val="000000" w:themeColor="text1"/>
              </w:rPr>
              <w:t>7. Порядок визначення вартості продажу казначейських зобов’язань України під час їх розміщення встановлюється Міністерством фінансів України.</w:t>
            </w:r>
          </w:p>
        </w:tc>
        <w:tc>
          <w:tcPr>
            <w:tcW w:w="3686" w:type="dxa"/>
          </w:tcPr>
          <w:p w14:paraId="78214679" w14:textId="629DE120" w:rsidR="00C70550" w:rsidRPr="00286216" w:rsidRDefault="00C70550" w:rsidP="006A358E">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290</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2F997E8D" w14:textId="77777777" w:rsidR="00C70550" w:rsidRPr="00286216" w:rsidRDefault="00C70550" w:rsidP="006A358E">
            <w:pPr>
              <w:pStyle w:val="StyleProp"/>
              <w:spacing w:line="180" w:lineRule="exact"/>
              <w:rPr>
                <w:color w:val="000000" w:themeColor="text1"/>
                <w:szCs w:val="18"/>
              </w:rPr>
            </w:pPr>
            <w:r w:rsidRPr="00286216">
              <w:rPr>
                <w:color w:val="000000" w:themeColor="text1"/>
                <w:spacing w:val="-4"/>
                <w:lang w:val="ru-RU"/>
              </w:rPr>
              <w:t>За текстом законопроекту слова «</w:t>
            </w:r>
            <w:r w:rsidRPr="00286216">
              <w:rPr>
                <w:color w:val="000000" w:themeColor="text1"/>
                <w:spacing w:val="-4"/>
              </w:rPr>
              <w:t>Міністерства фінансів України</w:t>
            </w:r>
            <w:r w:rsidRPr="00286216">
              <w:rPr>
                <w:color w:val="000000" w:themeColor="text1"/>
                <w:spacing w:val="-4"/>
                <w:lang w:val="ru-RU"/>
              </w:rPr>
              <w:t xml:space="preserve">» замінити словами </w:t>
            </w:r>
            <w:r w:rsidRPr="00286216">
              <w:rPr>
                <w:color w:val="000000" w:themeColor="text1"/>
                <w:spacing w:val="-4"/>
              </w:rPr>
              <w:t>«центральний орган виконавчої влади, уповноважений на реалізацію державної бюджетної політики у сфері управління державним боргом та гарантованим державою боргом відповідно до законодавства».</w:t>
            </w:r>
          </w:p>
        </w:tc>
        <w:tc>
          <w:tcPr>
            <w:tcW w:w="1987" w:type="dxa"/>
          </w:tcPr>
          <w:p w14:paraId="2E98C4F6"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35C8CDC3"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tc>
        <w:tc>
          <w:tcPr>
            <w:tcW w:w="4818" w:type="dxa"/>
          </w:tcPr>
          <w:p w14:paraId="738A74BF" w14:textId="77777777" w:rsidR="00C70550" w:rsidRPr="00286216" w:rsidRDefault="00C70550" w:rsidP="006A358E">
            <w:pPr>
              <w:pStyle w:val="StyleZakonu"/>
              <w:rPr>
                <w:color w:val="000000" w:themeColor="text1"/>
              </w:rPr>
            </w:pPr>
            <w:r w:rsidRPr="00286216">
              <w:rPr>
                <w:color w:val="000000" w:themeColor="text1"/>
              </w:rPr>
              <w:t>7. Порядок визначення вартості продажу казначейських зобов’язань України під час їх розміщення встановлюється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w:t>
            </w:r>
          </w:p>
        </w:tc>
      </w:tr>
      <w:tr w:rsidR="00C70550" w:rsidRPr="00286216" w14:paraId="007ABEB9" w14:textId="77777777" w:rsidTr="006A358E">
        <w:tc>
          <w:tcPr>
            <w:tcW w:w="576" w:type="dxa"/>
          </w:tcPr>
          <w:p w14:paraId="23631BF3" w14:textId="77777777" w:rsidR="00C70550" w:rsidRPr="00286216" w:rsidRDefault="00C70550" w:rsidP="006A358E">
            <w:pPr>
              <w:pStyle w:val="StyleWisnow"/>
              <w:rPr>
                <w:color w:val="000000" w:themeColor="text1"/>
              </w:rPr>
            </w:pPr>
            <w:r w:rsidRPr="00286216">
              <w:rPr>
                <w:color w:val="000000" w:themeColor="text1"/>
              </w:rPr>
              <w:t>477.</w:t>
            </w:r>
          </w:p>
        </w:tc>
        <w:tc>
          <w:tcPr>
            <w:tcW w:w="4818" w:type="dxa"/>
          </w:tcPr>
          <w:p w14:paraId="2C3407F4" w14:textId="77777777" w:rsidR="00C70550" w:rsidRPr="00286216" w:rsidRDefault="00C70550" w:rsidP="006A358E">
            <w:pPr>
              <w:pStyle w:val="StyleZakonu"/>
              <w:rPr>
                <w:color w:val="000000" w:themeColor="text1"/>
              </w:rPr>
            </w:pPr>
            <w:r w:rsidRPr="00286216">
              <w:rPr>
                <w:color w:val="000000" w:themeColor="text1"/>
              </w:rPr>
              <w:t>8. Особливості провадження депозитарної діяльності з казначейськими зобов’язаннями України визначаються Національною комісією з цінних паперів та фондового ринку за погодженням з Національним банком України.</w:t>
            </w:r>
          </w:p>
        </w:tc>
        <w:tc>
          <w:tcPr>
            <w:tcW w:w="3686" w:type="dxa"/>
          </w:tcPr>
          <w:p w14:paraId="6321EAD7" w14:textId="6BE73797"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291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73B13B9" w14:textId="77777777" w:rsidR="00C70550" w:rsidRPr="00286216" w:rsidRDefault="00C70550" w:rsidP="006A358E">
            <w:pPr>
              <w:pStyle w:val="StyleProp"/>
              <w:rPr>
                <w:color w:val="000000" w:themeColor="text1"/>
                <w:szCs w:val="18"/>
              </w:rPr>
            </w:pPr>
            <w:r w:rsidRPr="00286216">
              <w:rPr>
                <w:color w:val="000000" w:themeColor="text1"/>
              </w:rPr>
              <w:t>Частин восьму статті 25 після слова "визначаються" доповнити словами "відповідно до закону".</w:t>
            </w:r>
          </w:p>
        </w:tc>
        <w:tc>
          <w:tcPr>
            <w:tcW w:w="1987" w:type="dxa"/>
          </w:tcPr>
          <w:p w14:paraId="20705CF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1ABA236" w14:textId="77777777" w:rsidR="00C70550" w:rsidRPr="00286216" w:rsidRDefault="00C70550" w:rsidP="006A358E">
            <w:pPr>
              <w:pStyle w:val="StyleZakonu"/>
              <w:rPr>
                <w:color w:val="000000" w:themeColor="text1"/>
              </w:rPr>
            </w:pPr>
            <w:r w:rsidRPr="00286216">
              <w:rPr>
                <w:color w:val="000000" w:themeColor="text1"/>
              </w:rPr>
              <w:t>8. Особливості провадження депозитарної діяльності з казначейськими зобов’язаннями України визначаються відповідно до закону Національною комісією з цінних паперів та фондового ринку за погодженням із Національним банком України.</w:t>
            </w:r>
          </w:p>
        </w:tc>
      </w:tr>
      <w:tr w:rsidR="00C70550" w:rsidRPr="00286216" w14:paraId="3055EBD8" w14:textId="77777777" w:rsidTr="006A358E">
        <w:tc>
          <w:tcPr>
            <w:tcW w:w="576" w:type="dxa"/>
          </w:tcPr>
          <w:p w14:paraId="7FF36F28" w14:textId="77777777" w:rsidR="00C70550" w:rsidRPr="00286216" w:rsidRDefault="00C70550" w:rsidP="006A358E">
            <w:pPr>
              <w:pStyle w:val="StyleWisnow"/>
              <w:rPr>
                <w:color w:val="000000" w:themeColor="text1"/>
              </w:rPr>
            </w:pPr>
            <w:r w:rsidRPr="00286216">
              <w:rPr>
                <w:color w:val="000000" w:themeColor="text1"/>
              </w:rPr>
              <w:t>478.</w:t>
            </w:r>
          </w:p>
        </w:tc>
        <w:tc>
          <w:tcPr>
            <w:tcW w:w="4818" w:type="dxa"/>
          </w:tcPr>
          <w:p w14:paraId="38FC5B54" w14:textId="77777777" w:rsidR="00C70550" w:rsidRPr="00286216" w:rsidRDefault="00C70550" w:rsidP="006A358E">
            <w:pPr>
              <w:pStyle w:val="StyleZakonu"/>
              <w:rPr>
                <w:color w:val="000000" w:themeColor="text1"/>
              </w:rPr>
            </w:pPr>
            <w:r w:rsidRPr="00286216">
              <w:rPr>
                <w:color w:val="000000" w:themeColor="text1"/>
              </w:rPr>
              <w:t>Стаття 25. Інвестиційні сертифікати</w:t>
            </w:r>
          </w:p>
        </w:tc>
        <w:tc>
          <w:tcPr>
            <w:tcW w:w="3686" w:type="dxa"/>
          </w:tcPr>
          <w:p w14:paraId="44486607" w14:textId="77777777" w:rsidR="00C70550" w:rsidRPr="00286216" w:rsidRDefault="00C70550" w:rsidP="006A358E">
            <w:pPr>
              <w:pStyle w:val="StyleProp"/>
              <w:rPr>
                <w:color w:val="000000" w:themeColor="text1"/>
                <w:szCs w:val="18"/>
              </w:rPr>
            </w:pPr>
          </w:p>
        </w:tc>
        <w:tc>
          <w:tcPr>
            <w:tcW w:w="1987" w:type="dxa"/>
          </w:tcPr>
          <w:p w14:paraId="287F0372" w14:textId="77777777" w:rsidR="00C70550" w:rsidRPr="00286216" w:rsidRDefault="00C70550" w:rsidP="006A358E">
            <w:pPr>
              <w:pStyle w:val="StyleWisnow"/>
              <w:rPr>
                <w:color w:val="000000" w:themeColor="text1"/>
              </w:rPr>
            </w:pPr>
          </w:p>
        </w:tc>
        <w:tc>
          <w:tcPr>
            <w:tcW w:w="4818" w:type="dxa"/>
          </w:tcPr>
          <w:p w14:paraId="2BB3EB48" w14:textId="77777777" w:rsidR="00C70550" w:rsidRPr="00286216" w:rsidRDefault="00C70550" w:rsidP="006A358E">
            <w:pPr>
              <w:pStyle w:val="StyleZakonu"/>
              <w:rPr>
                <w:color w:val="000000" w:themeColor="text1"/>
              </w:rPr>
            </w:pPr>
            <w:r w:rsidRPr="00286216">
              <w:rPr>
                <w:color w:val="000000" w:themeColor="text1"/>
              </w:rPr>
              <w:t>Стаття 21. Інвестиційні сертифікати</w:t>
            </w:r>
          </w:p>
        </w:tc>
      </w:tr>
      <w:tr w:rsidR="00C70550" w:rsidRPr="00286216" w14:paraId="082D345E" w14:textId="77777777" w:rsidTr="006A358E">
        <w:tc>
          <w:tcPr>
            <w:tcW w:w="576" w:type="dxa"/>
          </w:tcPr>
          <w:p w14:paraId="6B458A45" w14:textId="77777777" w:rsidR="00C70550" w:rsidRPr="00286216" w:rsidRDefault="00C70550" w:rsidP="006A358E">
            <w:pPr>
              <w:pStyle w:val="StyleWisnow"/>
              <w:rPr>
                <w:color w:val="000000" w:themeColor="text1"/>
              </w:rPr>
            </w:pPr>
            <w:r w:rsidRPr="00286216">
              <w:rPr>
                <w:color w:val="000000" w:themeColor="text1"/>
              </w:rPr>
              <w:t>479.</w:t>
            </w:r>
          </w:p>
        </w:tc>
        <w:tc>
          <w:tcPr>
            <w:tcW w:w="4818" w:type="dxa"/>
          </w:tcPr>
          <w:p w14:paraId="65D659DF" w14:textId="77777777" w:rsidR="00C70550" w:rsidRPr="00286216" w:rsidRDefault="00C70550" w:rsidP="006A358E">
            <w:pPr>
              <w:pStyle w:val="StyleZakonu"/>
              <w:spacing w:after="20"/>
              <w:rPr>
                <w:color w:val="000000" w:themeColor="text1"/>
              </w:rPr>
            </w:pPr>
            <w:r w:rsidRPr="00286216">
              <w:rPr>
                <w:color w:val="000000" w:themeColor="text1"/>
              </w:rPr>
              <w:t>1. Інвестиційний сертифікат - цінний папір, емісія якого здійснюється інвестиційним фондом, інвестиційною компанією, компанією з управління активами пайового інвестиційного фонду та посвідчує право власності інвестора у фінансові інструменти на частку в інвестиційному фонді, взаємному фонді інвестиційної компанії та пайовому інвестиційному фонді.</w:t>
            </w:r>
          </w:p>
        </w:tc>
        <w:tc>
          <w:tcPr>
            <w:tcW w:w="3686" w:type="dxa"/>
          </w:tcPr>
          <w:p w14:paraId="6B42B3EC" w14:textId="31C1AE9A" w:rsidR="00C70550" w:rsidRPr="00286216" w:rsidRDefault="00C70550" w:rsidP="006A358E">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292</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78FD64DC" w14:textId="77777777" w:rsidR="00C70550" w:rsidRPr="00286216" w:rsidRDefault="00C70550" w:rsidP="006A358E">
            <w:pPr>
              <w:pStyle w:val="StyleProp"/>
              <w:rPr>
                <w:color w:val="000000" w:themeColor="text1"/>
              </w:rPr>
            </w:pPr>
            <w:r w:rsidRPr="00286216">
              <w:rPr>
                <w:color w:val="000000" w:themeColor="text1"/>
              </w:rPr>
              <w:t>Частину першу статті 25 викласті у такій редакції:</w:t>
            </w:r>
          </w:p>
          <w:p w14:paraId="2C133D24" w14:textId="77777777" w:rsidR="00C70550" w:rsidRPr="00286216" w:rsidRDefault="00C70550" w:rsidP="006A358E">
            <w:pPr>
              <w:pStyle w:val="StyleProp"/>
              <w:rPr>
                <w:color w:val="000000" w:themeColor="text1"/>
              </w:rPr>
            </w:pPr>
            <w:r w:rsidRPr="00286216">
              <w:rPr>
                <w:color w:val="000000" w:themeColor="text1"/>
              </w:rPr>
              <w:t>«1. Інвестиційний сертифікат -– це цінний папір, емісія якого здійснюється компанією з управління активами пайового інвестиційного фонду та який посвідчує право власності власника такого цінного паперу на частку в пайовому інвестиційному фонді, а також інші права у встановлених законом випадках".</w:t>
            </w:r>
          </w:p>
        </w:tc>
        <w:tc>
          <w:tcPr>
            <w:tcW w:w="1987" w:type="dxa"/>
          </w:tcPr>
          <w:p w14:paraId="791D533C"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750F17BC"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p w14:paraId="5F0E79B6" w14:textId="77777777" w:rsidR="00C70550" w:rsidRPr="00286216" w:rsidRDefault="00C70550" w:rsidP="006A358E">
            <w:pPr>
              <w:pStyle w:val="StyleWisnow"/>
              <w:spacing w:line="180" w:lineRule="exact"/>
              <w:rPr>
                <w:color w:val="000000" w:themeColor="text1"/>
              </w:rPr>
            </w:pPr>
            <w:r w:rsidRPr="00286216">
              <w:rPr>
                <w:color w:val="000000" w:themeColor="text1"/>
              </w:rPr>
              <w:t>з метою узгодження з чинним Законом України «Про інститути спільного інвестування»</w:t>
            </w:r>
          </w:p>
        </w:tc>
        <w:tc>
          <w:tcPr>
            <w:tcW w:w="4818" w:type="dxa"/>
          </w:tcPr>
          <w:p w14:paraId="4960230B" w14:textId="3A64693D" w:rsidR="00C70550" w:rsidRPr="00286216" w:rsidRDefault="00C70550" w:rsidP="006A358E">
            <w:pPr>
              <w:pStyle w:val="StyleZakonu"/>
              <w:rPr>
                <w:color w:val="000000" w:themeColor="text1"/>
              </w:rPr>
            </w:pPr>
            <w:r w:rsidRPr="00286216">
              <w:rPr>
                <w:color w:val="000000" w:themeColor="text1"/>
              </w:rPr>
              <w:t>1. Інвестиційний сертифікат – це цінний папір, емісія якого здійснюється компанією з управління активами пайового інвестиційного фонду та який посвідчує право власності власника такого цінного папера на частку в пайовому інвестиційному фонді, а також інші права у встановлених законом випадках.</w:t>
            </w:r>
          </w:p>
        </w:tc>
      </w:tr>
      <w:tr w:rsidR="00C70550" w:rsidRPr="00286216" w14:paraId="7D719B92" w14:textId="77777777" w:rsidTr="006A358E">
        <w:tc>
          <w:tcPr>
            <w:tcW w:w="576" w:type="dxa"/>
          </w:tcPr>
          <w:p w14:paraId="493EA5AE" w14:textId="77777777" w:rsidR="00C70550" w:rsidRPr="00286216" w:rsidRDefault="00C70550" w:rsidP="006A358E">
            <w:pPr>
              <w:pStyle w:val="StyleWisnow"/>
              <w:rPr>
                <w:color w:val="000000" w:themeColor="text1"/>
              </w:rPr>
            </w:pPr>
            <w:r w:rsidRPr="00286216">
              <w:rPr>
                <w:color w:val="000000" w:themeColor="text1"/>
              </w:rPr>
              <w:t>480.</w:t>
            </w:r>
          </w:p>
        </w:tc>
        <w:tc>
          <w:tcPr>
            <w:tcW w:w="4818" w:type="dxa"/>
          </w:tcPr>
          <w:p w14:paraId="0366F282" w14:textId="77777777" w:rsidR="00C70550" w:rsidRPr="00286216" w:rsidRDefault="00C70550" w:rsidP="006A358E">
            <w:pPr>
              <w:pStyle w:val="StyleZakonu"/>
              <w:rPr>
                <w:color w:val="000000" w:themeColor="text1"/>
              </w:rPr>
            </w:pPr>
            <w:r w:rsidRPr="00286216">
              <w:rPr>
                <w:color w:val="000000" w:themeColor="text1"/>
              </w:rPr>
              <w:t>2. Емітентом інвестиційних сертифікатів виступає інвестиційний фонд, інвестиційна компанія або компанія з управління активами пайового інвестиційного фонду.</w:t>
            </w:r>
          </w:p>
        </w:tc>
        <w:tc>
          <w:tcPr>
            <w:tcW w:w="3686" w:type="dxa"/>
          </w:tcPr>
          <w:p w14:paraId="1F722717" w14:textId="285BBC54" w:rsidR="00C70550" w:rsidRPr="00286216" w:rsidRDefault="00C70550" w:rsidP="006A358E">
            <w:pPr>
              <w:pStyle w:val="StyleAwt"/>
              <w:spacing w:line="20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293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9526A3B" w14:textId="77777777" w:rsidR="00C70550" w:rsidRPr="00286216" w:rsidRDefault="00C70550" w:rsidP="006A358E">
            <w:pPr>
              <w:pStyle w:val="StyleProp"/>
              <w:rPr>
                <w:color w:val="000000" w:themeColor="text1"/>
              </w:rPr>
            </w:pPr>
            <w:r w:rsidRPr="00286216">
              <w:rPr>
                <w:color w:val="000000" w:themeColor="text1"/>
              </w:rPr>
              <w:t>Частини першу та другу статті 25 викласти в такій редакції:</w:t>
            </w:r>
          </w:p>
          <w:p w14:paraId="69C24135" w14:textId="77777777" w:rsidR="00C70550" w:rsidRPr="00286216" w:rsidRDefault="00C70550" w:rsidP="006A358E">
            <w:pPr>
              <w:pStyle w:val="StyleProp"/>
              <w:spacing w:line="190" w:lineRule="exact"/>
              <w:rPr>
                <w:color w:val="000000" w:themeColor="text1"/>
                <w:szCs w:val="18"/>
              </w:rPr>
            </w:pPr>
            <w:r w:rsidRPr="00286216">
              <w:rPr>
                <w:color w:val="000000" w:themeColor="text1"/>
              </w:rPr>
              <w:t xml:space="preserve">«1. Інвестиційний сертифікат - цінний папір, емісія якого здійснюється компанією з управління активами пайового інвестиційного фонду та посвідчує право власності власника такого цінного паперу на частку в інвестиційному фонді. </w:t>
            </w:r>
          </w:p>
        </w:tc>
        <w:tc>
          <w:tcPr>
            <w:tcW w:w="1987" w:type="dxa"/>
          </w:tcPr>
          <w:p w14:paraId="5C4C7E1F"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7D8F4C5E" w14:textId="77777777" w:rsidR="00C70550" w:rsidRPr="00286216" w:rsidRDefault="00C70550" w:rsidP="006A358E">
            <w:pPr>
              <w:pStyle w:val="StyleZakonu"/>
              <w:rPr>
                <w:color w:val="000000" w:themeColor="text1"/>
              </w:rPr>
            </w:pPr>
            <w:r w:rsidRPr="00286216">
              <w:rPr>
                <w:color w:val="000000" w:themeColor="text1"/>
              </w:rPr>
              <w:t>2. Емітентом інвестиційних сертифікатів є компанія з управління активами пайового інвестиційного фонду.</w:t>
            </w:r>
          </w:p>
        </w:tc>
      </w:tr>
      <w:tr w:rsidR="00C70550" w:rsidRPr="00286216" w14:paraId="53FB7E5B" w14:textId="77777777" w:rsidTr="006A358E">
        <w:tc>
          <w:tcPr>
            <w:tcW w:w="576" w:type="dxa"/>
          </w:tcPr>
          <w:p w14:paraId="0A6A1FC3" w14:textId="77777777" w:rsidR="00C70550" w:rsidRPr="00286216" w:rsidRDefault="00C70550" w:rsidP="006A358E">
            <w:pPr>
              <w:pStyle w:val="StyleWisnow"/>
              <w:rPr>
                <w:color w:val="000000" w:themeColor="text1"/>
              </w:rPr>
            </w:pPr>
            <w:r w:rsidRPr="00286216">
              <w:rPr>
                <w:color w:val="000000" w:themeColor="text1"/>
              </w:rPr>
              <w:t>481.</w:t>
            </w:r>
          </w:p>
        </w:tc>
        <w:tc>
          <w:tcPr>
            <w:tcW w:w="4818" w:type="dxa"/>
          </w:tcPr>
          <w:p w14:paraId="245128B9" w14:textId="77777777" w:rsidR="00C70550" w:rsidRPr="00286216" w:rsidRDefault="00C70550" w:rsidP="006A358E">
            <w:pPr>
              <w:pStyle w:val="StyleZakonu"/>
              <w:rPr>
                <w:color w:val="000000" w:themeColor="text1"/>
              </w:rPr>
            </w:pPr>
            <w:r w:rsidRPr="00286216">
              <w:rPr>
                <w:color w:val="000000" w:themeColor="text1"/>
              </w:rPr>
              <w:t>3. Кількість інвестиційних сертифікатів пайового інвестиційного фонду щодо яких здійснюється розміщення зазначається у проспекті емісії інвестиційних сертифікатів.</w:t>
            </w:r>
          </w:p>
        </w:tc>
        <w:tc>
          <w:tcPr>
            <w:tcW w:w="3686" w:type="dxa"/>
          </w:tcPr>
          <w:p w14:paraId="5894137A" w14:textId="77777777" w:rsidR="00C70550" w:rsidRPr="00286216" w:rsidRDefault="00C70550" w:rsidP="006A358E">
            <w:pPr>
              <w:pStyle w:val="StyleProp"/>
              <w:rPr>
                <w:color w:val="000000" w:themeColor="text1"/>
                <w:szCs w:val="18"/>
              </w:rPr>
            </w:pPr>
            <w:r w:rsidRPr="00286216">
              <w:rPr>
                <w:color w:val="000000" w:themeColor="text1"/>
              </w:rPr>
              <w:t>2. Емітентом інвестиційних сертифікатів є компанія з управління активами пайового інвестиційного фонду».</w:t>
            </w:r>
          </w:p>
        </w:tc>
        <w:tc>
          <w:tcPr>
            <w:tcW w:w="1987" w:type="dxa"/>
          </w:tcPr>
          <w:p w14:paraId="43BC1A18" w14:textId="77777777" w:rsidR="00C70550" w:rsidRPr="00286216" w:rsidRDefault="00C70550" w:rsidP="006A358E">
            <w:pPr>
              <w:pStyle w:val="StyleWisnow"/>
              <w:rPr>
                <w:color w:val="000000" w:themeColor="text1"/>
              </w:rPr>
            </w:pPr>
          </w:p>
        </w:tc>
        <w:tc>
          <w:tcPr>
            <w:tcW w:w="4818" w:type="dxa"/>
          </w:tcPr>
          <w:p w14:paraId="2241DE57" w14:textId="77777777" w:rsidR="00C70550" w:rsidRPr="00286216" w:rsidRDefault="00C70550" w:rsidP="006A358E">
            <w:pPr>
              <w:pStyle w:val="StyleZakonu"/>
              <w:rPr>
                <w:color w:val="000000" w:themeColor="text1"/>
              </w:rPr>
            </w:pPr>
            <w:r w:rsidRPr="00286216">
              <w:rPr>
                <w:color w:val="000000" w:themeColor="text1"/>
              </w:rPr>
              <w:t>3. Кількість інвестиційних сертифікатів пайового інвестиційного фонду, щодо яких здійснюється емісія, зазначається у проспекті емісії інвестиційних сертифікатів.</w:t>
            </w:r>
          </w:p>
        </w:tc>
      </w:tr>
      <w:tr w:rsidR="00C70550" w:rsidRPr="00286216" w14:paraId="5CBF34E4" w14:textId="77777777" w:rsidTr="006A358E">
        <w:tc>
          <w:tcPr>
            <w:tcW w:w="576" w:type="dxa"/>
          </w:tcPr>
          <w:p w14:paraId="722B3F39" w14:textId="77777777" w:rsidR="00C70550" w:rsidRPr="00286216" w:rsidRDefault="00C70550" w:rsidP="006A358E">
            <w:pPr>
              <w:pStyle w:val="StyleWisnow"/>
              <w:rPr>
                <w:color w:val="000000" w:themeColor="text1"/>
              </w:rPr>
            </w:pPr>
            <w:r w:rsidRPr="00286216">
              <w:rPr>
                <w:color w:val="000000" w:themeColor="text1"/>
              </w:rPr>
              <w:t>482.</w:t>
            </w:r>
          </w:p>
        </w:tc>
        <w:tc>
          <w:tcPr>
            <w:tcW w:w="4818" w:type="dxa"/>
          </w:tcPr>
          <w:p w14:paraId="00256991" w14:textId="77777777" w:rsidR="00C70550" w:rsidRPr="00286216" w:rsidRDefault="00C70550" w:rsidP="006A358E">
            <w:pPr>
              <w:pStyle w:val="StyleZakonu"/>
              <w:rPr>
                <w:color w:val="000000" w:themeColor="text1"/>
              </w:rPr>
            </w:pPr>
            <w:r w:rsidRPr="00286216">
              <w:rPr>
                <w:color w:val="000000" w:themeColor="text1"/>
              </w:rPr>
              <w:t xml:space="preserve">Строк, протягом якого здійснюється укладення договорів з першими власниками щодо відчуження </w:t>
            </w:r>
            <w:r w:rsidRPr="00286216">
              <w:rPr>
                <w:color w:val="000000" w:themeColor="text1"/>
              </w:rPr>
              <w:lastRenderedPageBreak/>
              <w:t>інвестиційних сертифікатів відкритого та інтервального пайових інвестиційних фондів, не обмежується.</w:t>
            </w:r>
          </w:p>
        </w:tc>
        <w:tc>
          <w:tcPr>
            <w:tcW w:w="3686" w:type="dxa"/>
          </w:tcPr>
          <w:p w14:paraId="364F9CE5" w14:textId="77777777" w:rsidR="00C70550" w:rsidRPr="00286216" w:rsidRDefault="00C70550" w:rsidP="006A358E">
            <w:pPr>
              <w:pStyle w:val="StyleProp"/>
              <w:rPr>
                <w:color w:val="000000" w:themeColor="text1"/>
                <w:szCs w:val="18"/>
              </w:rPr>
            </w:pPr>
          </w:p>
        </w:tc>
        <w:tc>
          <w:tcPr>
            <w:tcW w:w="1987" w:type="dxa"/>
          </w:tcPr>
          <w:p w14:paraId="2742C008" w14:textId="77777777" w:rsidR="00C70550" w:rsidRPr="00286216" w:rsidRDefault="00C70550" w:rsidP="006A358E">
            <w:pPr>
              <w:pStyle w:val="StyleWisnow"/>
              <w:rPr>
                <w:color w:val="000000" w:themeColor="text1"/>
              </w:rPr>
            </w:pPr>
          </w:p>
        </w:tc>
        <w:tc>
          <w:tcPr>
            <w:tcW w:w="4818" w:type="dxa"/>
          </w:tcPr>
          <w:p w14:paraId="46CDB5AB" w14:textId="3926186F" w:rsidR="00C70550" w:rsidRPr="00286216" w:rsidRDefault="00C70550" w:rsidP="006A358E">
            <w:pPr>
              <w:pStyle w:val="StyleZakonu"/>
              <w:rPr>
                <w:color w:val="000000" w:themeColor="text1"/>
              </w:rPr>
            </w:pPr>
            <w:r w:rsidRPr="00286216">
              <w:rPr>
                <w:color w:val="000000" w:themeColor="text1"/>
              </w:rPr>
              <w:t xml:space="preserve">Строк, протягом якого здійснюється укладання договорів з першими власниками щодо відчуження </w:t>
            </w:r>
            <w:r w:rsidRPr="00286216">
              <w:rPr>
                <w:color w:val="000000" w:themeColor="text1"/>
              </w:rPr>
              <w:lastRenderedPageBreak/>
              <w:t>інвестиційних сертифікатів відкритого та інтервального пайових інвестиційних фондів, не обмежується.</w:t>
            </w:r>
          </w:p>
        </w:tc>
      </w:tr>
      <w:tr w:rsidR="00C70550" w:rsidRPr="00286216" w14:paraId="52A4DDC2" w14:textId="77777777" w:rsidTr="006A358E">
        <w:tc>
          <w:tcPr>
            <w:tcW w:w="576" w:type="dxa"/>
          </w:tcPr>
          <w:p w14:paraId="2E5CEB84" w14:textId="77777777" w:rsidR="00C70550" w:rsidRPr="00286216" w:rsidRDefault="00C70550" w:rsidP="006A358E">
            <w:pPr>
              <w:pStyle w:val="StyleWisnow"/>
              <w:rPr>
                <w:color w:val="000000" w:themeColor="text1"/>
              </w:rPr>
            </w:pPr>
            <w:r w:rsidRPr="00286216">
              <w:rPr>
                <w:color w:val="000000" w:themeColor="text1"/>
              </w:rPr>
              <w:lastRenderedPageBreak/>
              <w:t>483.</w:t>
            </w:r>
          </w:p>
        </w:tc>
        <w:tc>
          <w:tcPr>
            <w:tcW w:w="4818" w:type="dxa"/>
          </w:tcPr>
          <w:p w14:paraId="3DC3F4E1" w14:textId="77777777" w:rsidR="00C70550" w:rsidRPr="00286216" w:rsidRDefault="00C70550" w:rsidP="006A358E">
            <w:pPr>
              <w:pStyle w:val="StyleZakonu"/>
              <w:rPr>
                <w:color w:val="000000" w:themeColor="text1"/>
              </w:rPr>
            </w:pPr>
            <w:r w:rsidRPr="00286216">
              <w:rPr>
                <w:color w:val="000000" w:themeColor="text1"/>
              </w:rPr>
              <w:t>4. Інвестиційні сертифікати можуть надавати його власнику право на отримання доходу у вигляді дивідендів. Дивіденди за інвестиційними сертифікатами відкритого та інтервального пайового інвестиційних фондів не нараховуються і не сплачуються.</w:t>
            </w:r>
          </w:p>
        </w:tc>
        <w:tc>
          <w:tcPr>
            <w:tcW w:w="3686" w:type="dxa"/>
          </w:tcPr>
          <w:p w14:paraId="219631FC" w14:textId="77777777" w:rsidR="00C70550" w:rsidRPr="00286216" w:rsidRDefault="00C70550" w:rsidP="006A358E">
            <w:pPr>
              <w:pStyle w:val="StyleProp"/>
              <w:rPr>
                <w:color w:val="000000" w:themeColor="text1"/>
                <w:szCs w:val="18"/>
              </w:rPr>
            </w:pPr>
          </w:p>
        </w:tc>
        <w:tc>
          <w:tcPr>
            <w:tcW w:w="1987" w:type="dxa"/>
          </w:tcPr>
          <w:p w14:paraId="1A0846A6" w14:textId="77777777" w:rsidR="00C70550" w:rsidRPr="00286216" w:rsidRDefault="00C70550" w:rsidP="006A358E">
            <w:pPr>
              <w:pStyle w:val="StyleWisnow"/>
              <w:rPr>
                <w:color w:val="000000" w:themeColor="text1"/>
              </w:rPr>
            </w:pPr>
          </w:p>
        </w:tc>
        <w:tc>
          <w:tcPr>
            <w:tcW w:w="4818" w:type="dxa"/>
          </w:tcPr>
          <w:p w14:paraId="4A8B0753" w14:textId="473BBE03" w:rsidR="00C70550" w:rsidRPr="00286216" w:rsidRDefault="00C70550" w:rsidP="006A358E">
            <w:pPr>
              <w:pStyle w:val="StyleZakonu"/>
              <w:rPr>
                <w:color w:val="000000" w:themeColor="text1"/>
              </w:rPr>
            </w:pPr>
            <w:r w:rsidRPr="00286216">
              <w:rPr>
                <w:color w:val="000000" w:themeColor="text1"/>
              </w:rPr>
              <w:t>4. Інвестиційні сертифікати можуть надавати їх власникам право на отримання доходу у вигляді дивідендів. Дивіденди за інвестиційними сертифікатами відкритого та інтервального пайових інвестиційних фондів не нараховуються і не сплачуються.</w:t>
            </w:r>
          </w:p>
        </w:tc>
      </w:tr>
      <w:tr w:rsidR="00C70550" w:rsidRPr="00286216" w14:paraId="62C366DD" w14:textId="77777777" w:rsidTr="006A358E">
        <w:tc>
          <w:tcPr>
            <w:tcW w:w="576" w:type="dxa"/>
          </w:tcPr>
          <w:p w14:paraId="19DC36D1" w14:textId="77777777" w:rsidR="00C70550" w:rsidRPr="00286216" w:rsidRDefault="00C70550" w:rsidP="006A358E">
            <w:pPr>
              <w:pStyle w:val="StyleWisnow"/>
              <w:rPr>
                <w:color w:val="000000" w:themeColor="text1"/>
              </w:rPr>
            </w:pPr>
            <w:r w:rsidRPr="00286216">
              <w:rPr>
                <w:color w:val="000000" w:themeColor="text1"/>
              </w:rPr>
              <w:t>484.</w:t>
            </w:r>
          </w:p>
        </w:tc>
        <w:tc>
          <w:tcPr>
            <w:tcW w:w="4818" w:type="dxa"/>
          </w:tcPr>
          <w:p w14:paraId="302FB383" w14:textId="77777777" w:rsidR="00C70550" w:rsidRPr="00286216" w:rsidRDefault="00C70550" w:rsidP="006A358E">
            <w:pPr>
              <w:pStyle w:val="StyleZakonu"/>
              <w:rPr>
                <w:color w:val="000000" w:themeColor="text1"/>
              </w:rPr>
            </w:pPr>
            <w:r w:rsidRPr="00286216">
              <w:rPr>
                <w:color w:val="000000" w:themeColor="text1"/>
              </w:rPr>
              <w:t>5. Укладення деривативних контрактів та емісія деривативних (похідних) цінних паперів, базовим активом яких є інвестиційні сертифікати, не допускається.</w:t>
            </w:r>
          </w:p>
        </w:tc>
        <w:tc>
          <w:tcPr>
            <w:tcW w:w="3686" w:type="dxa"/>
          </w:tcPr>
          <w:p w14:paraId="31067C49" w14:textId="662153DE"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294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0DAD23C" w14:textId="77777777" w:rsidR="00C70550" w:rsidRPr="00286216" w:rsidRDefault="00C70550" w:rsidP="006A358E">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45C04035" w14:textId="0FDEA35F"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295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B6C071E" w14:textId="77777777" w:rsidR="00C70550" w:rsidRPr="00286216" w:rsidRDefault="00C70550" w:rsidP="006A358E">
            <w:pPr>
              <w:pStyle w:val="StyleProp"/>
              <w:rPr>
                <w:color w:val="000000" w:themeColor="text1"/>
                <w:szCs w:val="18"/>
              </w:rPr>
            </w:pPr>
            <w:r w:rsidRPr="00286216">
              <w:rPr>
                <w:color w:val="000000" w:themeColor="text1"/>
                <w:szCs w:val="18"/>
              </w:rPr>
              <w:t>У частині п’ятій статті 25 слово та символи  «(похідних)» виключити.</w:t>
            </w:r>
          </w:p>
        </w:tc>
        <w:tc>
          <w:tcPr>
            <w:tcW w:w="1987" w:type="dxa"/>
          </w:tcPr>
          <w:p w14:paraId="7A5A103E" w14:textId="77777777" w:rsidR="00C70550" w:rsidRPr="00286216" w:rsidRDefault="00C70550" w:rsidP="006A358E">
            <w:pPr>
              <w:pStyle w:val="StyleWisnow"/>
              <w:rPr>
                <w:color w:val="000000" w:themeColor="text1"/>
              </w:rPr>
            </w:pPr>
            <w:r w:rsidRPr="00286216">
              <w:rPr>
                <w:color w:val="000000" w:themeColor="text1"/>
              </w:rPr>
              <w:t>Враховано</w:t>
            </w:r>
          </w:p>
          <w:p w14:paraId="6C2E0E96" w14:textId="77777777" w:rsidR="00C70550" w:rsidRPr="00286216" w:rsidRDefault="00C70550" w:rsidP="006A358E">
            <w:pPr>
              <w:pStyle w:val="StyleWisnow"/>
              <w:rPr>
                <w:color w:val="000000" w:themeColor="text1"/>
              </w:rPr>
            </w:pPr>
          </w:p>
          <w:p w14:paraId="3DF27845" w14:textId="77777777" w:rsidR="00C70550" w:rsidRPr="00286216" w:rsidRDefault="00C70550" w:rsidP="006A358E">
            <w:pPr>
              <w:pStyle w:val="StyleWisnow"/>
              <w:rPr>
                <w:color w:val="000000" w:themeColor="text1"/>
              </w:rPr>
            </w:pPr>
          </w:p>
          <w:p w14:paraId="19FCB893"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0F419A26" w14:textId="59F542AB" w:rsidR="00C70550" w:rsidRPr="00286216" w:rsidRDefault="00C70550" w:rsidP="006A358E">
            <w:pPr>
              <w:pStyle w:val="StyleZakonu"/>
              <w:rPr>
                <w:color w:val="000000" w:themeColor="text1"/>
              </w:rPr>
            </w:pPr>
            <w:r w:rsidRPr="00286216">
              <w:rPr>
                <w:color w:val="000000" w:themeColor="text1"/>
              </w:rPr>
              <w:t>5. Укладання деривативних контрактів та емісія деривативних цінних паперів, базовим активом яких є інвестиційні сертифікати, не допускається.</w:t>
            </w:r>
          </w:p>
        </w:tc>
      </w:tr>
      <w:tr w:rsidR="00C70550" w:rsidRPr="00286216" w14:paraId="44617E9B" w14:textId="77777777" w:rsidTr="006A358E">
        <w:tc>
          <w:tcPr>
            <w:tcW w:w="576" w:type="dxa"/>
          </w:tcPr>
          <w:p w14:paraId="7D4E1BED" w14:textId="77777777" w:rsidR="00C70550" w:rsidRPr="00286216" w:rsidRDefault="00C70550" w:rsidP="006A358E">
            <w:pPr>
              <w:pStyle w:val="StyleWisnow"/>
              <w:rPr>
                <w:color w:val="000000" w:themeColor="text1"/>
              </w:rPr>
            </w:pPr>
            <w:r w:rsidRPr="00286216">
              <w:rPr>
                <w:color w:val="000000" w:themeColor="text1"/>
              </w:rPr>
              <w:t>485.</w:t>
            </w:r>
          </w:p>
        </w:tc>
        <w:tc>
          <w:tcPr>
            <w:tcW w:w="4818" w:type="dxa"/>
          </w:tcPr>
          <w:p w14:paraId="389245AA" w14:textId="77777777" w:rsidR="00C70550" w:rsidRPr="00286216" w:rsidRDefault="00C70550" w:rsidP="006A358E">
            <w:pPr>
              <w:pStyle w:val="StyleZakonu"/>
              <w:rPr>
                <w:color w:val="000000" w:themeColor="text1"/>
              </w:rPr>
            </w:pPr>
            <w:r w:rsidRPr="00286216">
              <w:rPr>
                <w:color w:val="000000" w:themeColor="text1"/>
              </w:rPr>
              <w:t>6. Особливості емісії, обігу, обліку, викупу та погашення інвестиційних сертифікатів визначаються відповідним законодавством.</w:t>
            </w:r>
          </w:p>
        </w:tc>
        <w:tc>
          <w:tcPr>
            <w:tcW w:w="3686" w:type="dxa"/>
          </w:tcPr>
          <w:p w14:paraId="5E875A41" w14:textId="77777777" w:rsidR="00C70550" w:rsidRPr="00286216" w:rsidRDefault="00C70550" w:rsidP="006A358E">
            <w:pPr>
              <w:pStyle w:val="StyleProp"/>
              <w:rPr>
                <w:color w:val="000000" w:themeColor="text1"/>
                <w:szCs w:val="18"/>
              </w:rPr>
            </w:pPr>
          </w:p>
        </w:tc>
        <w:tc>
          <w:tcPr>
            <w:tcW w:w="1987" w:type="dxa"/>
          </w:tcPr>
          <w:p w14:paraId="099E651B" w14:textId="77777777" w:rsidR="00C70550" w:rsidRPr="00286216" w:rsidRDefault="00C70550" w:rsidP="006A358E">
            <w:pPr>
              <w:pStyle w:val="StyleWisnow"/>
              <w:rPr>
                <w:color w:val="000000" w:themeColor="text1"/>
              </w:rPr>
            </w:pPr>
          </w:p>
        </w:tc>
        <w:tc>
          <w:tcPr>
            <w:tcW w:w="4818" w:type="dxa"/>
          </w:tcPr>
          <w:p w14:paraId="1C996918" w14:textId="77777777" w:rsidR="00C70550" w:rsidRPr="00286216" w:rsidRDefault="00C70550" w:rsidP="006A358E">
            <w:pPr>
              <w:pStyle w:val="StyleZakonu"/>
              <w:rPr>
                <w:color w:val="000000" w:themeColor="text1"/>
              </w:rPr>
            </w:pPr>
            <w:r w:rsidRPr="00286216">
              <w:rPr>
                <w:color w:val="000000" w:themeColor="text1"/>
              </w:rPr>
              <w:t>6. Особливості емісії, обігу, обліку, викупу та погашення інвестиційних сертифікатів визначаються відповідним законодавством.</w:t>
            </w:r>
          </w:p>
        </w:tc>
      </w:tr>
      <w:tr w:rsidR="00C70550" w:rsidRPr="00286216" w14:paraId="3D83DDFD" w14:textId="77777777" w:rsidTr="006A358E">
        <w:tc>
          <w:tcPr>
            <w:tcW w:w="576" w:type="dxa"/>
          </w:tcPr>
          <w:p w14:paraId="6B42E5AF" w14:textId="77777777" w:rsidR="00C70550" w:rsidRPr="00286216" w:rsidRDefault="00C70550" w:rsidP="006A358E">
            <w:pPr>
              <w:pStyle w:val="StyleWisnow"/>
              <w:rPr>
                <w:color w:val="000000" w:themeColor="text1"/>
              </w:rPr>
            </w:pPr>
            <w:r w:rsidRPr="00286216">
              <w:rPr>
                <w:color w:val="000000" w:themeColor="text1"/>
              </w:rPr>
              <w:t>486.</w:t>
            </w:r>
          </w:p>
        </w:tc>
        <w:tc>
          <w:tcPr>
            <w:tcW w:w="4818" w:type="dxa"/>
          </w:tcPr>
          <w:p w14:paraId="00726191" w14:textId="77777777" w:rsidR="00C70550" w:rsidRPr="00286216" w:rsidRDefault="00C70550" w:rsidP="006A358E">
            <w:pPr>
              <w:pStyle w:val="StyleZakonu"/>
              <w:rPr>
                <w:color w:val="000000" w:themeColor="text1"/>
              </w:rPr>
            </w:pPr>
            <w:r w:rsidRPr="00286216">
              <w:rPr>
                <w:color w:val="000000" w:themeColor="text1"/>
              </w:rPr>
              <w:t>Стаття 26. Опціонні сертифікати</w:t>
            </w:r>
          </w:p>
        </w:tc>
        <w:tc>
          <w:tcPr>
            <w:tcW w:w="3686" w:type="dxa"/>
          </w:tcPr>
          <w:p w14:paraId="3F1595DF" w14:textId="77777777" w:rsidR="00C70550" w:rsidRPr="00286216" w:rsidRDefault="00C70550" w:rsidP="006A358E">
            <w:pPr>
              <w:pStyle w:val="StyleProp"/>
              <w:rPr>
                <w:color w:val="000000" w:themeColor="text1"/>
                <w:szCs w:val="18"/>
              </w:rPr>
            </w:pPr>
          </w:p>
        </w:tc>
        <w:tc>
          <w:tcPr>
            <w:tcW w:w="1987" w:type="dxa"/>
          </w:tcPr>
          <w:p w14:paraId="3A236D92" w14:textId="77777777" w:rsidR="00C70550" w:rsidRPr="00286216" w:rsidRDefault="00C70550" w:rsidP="006A358E">
            <w:pPr>
              <w:pStyle w:val="StyleWisnow"/>
              <w:rPr>
                <w:color w:val="000000" w:themeColor="text1"/>
              </w:rPr>
            </w:pPr>
          </w:p>
        </w:tc>
        <w:tc>
          <w:tcPr>
            <w:tcW w:w="4818" w:type="dxa"/>
          </w:tcPr>
          <w:p w14:paraId="7C2F4C02" w14:textId="77777777" w:rsidR="00C70550" w:rsidRPr="00286216" w:rsidRDefault="00C70550" w:rsidP="006A358E">
            <w:pPr>
              <w:pStyle w:val="StyleZakonu"/>
              <w:rPr>
                <w:color w:val="000000" w:themeColor="text1"/>
              </w:rPr>
            </w:pPr>
            <w:r w:rsidRPr="00286216">
              <w:rPr>
                <w:color w:val="000000" w:themeColor="text1"/>
              </w:rPr>
              <w:t>Стаття 22. Опціонні сертифікати</w:t>
            </w:r>
          </w:p>
        </w:tc>
      </w:tr>
      <w:tr w:rsidR="00C70550" w:rsidRPr="00286216" w14:paraId="3B9A533C" w14:textId="77777777" w:rsidTr="006A358E">
        <w:tc>
          <w:tcPr>
            <w:tcW w:w="576" w:type="dxa"/>
          </w:tcPr>
          <w:p w14:paraId="06E81718" w14:textId="77777777" w:rsidR="00C70550" w:rsidRPr="00286216" w:rsidRDefault="00C70550" w:rsidP="006A358E">
            <w:pPr>
              <w:pStyle w:val="StyleWisnow"/>
              <w:rPr>
                <w:color w:val="000000" w:themeColor="text1"/>
              </w:rPr>
            </w:pPr>
            <w:r w:rsidRPr="00286216">
              <w:rPr>
                <w:color w:val="000000" w:themeColor="text1"/>
              </w:rPr>
              <w:t>487.</w:t>
            </w:r>
          </w:p>
        </w:tc>
        <w:tc>
          <w:tcPr>
            <w:tcW w:w="4818" w:type="dxa"/>
          </w:tcPr>
          <w:p w14:paraId="10CAA194" w14:textId="77777777" w:rsidR="00C70550" w:rsidRPr="00286216" w:rsidRDefault="00C70550" w:rsidP="006A358E">
            <w:pPr>
              <w:pStyle w:val="StyleZakonu"/>
              <w:rPr>
                <w:color w:val="000000" w:themeColor="text1"/>
              </w:rPr>
            </w:pPr>
            <w:r w:rsidRPr="00286216">
              <w:rPr>
                <w:color w:val="000000" w:themeColor="text1"/>
              </w:rPr>
              <w:t>1. Опціонний сертифікат - деривативний (похідний) цінний папір, що засвідчує право його власника на придбання у його емітента (опціонний сертифікат на придбання) або на продаж його емітенту (опціонний сертифікат на продаж) базового активу за ціною, у строк та на інших умовах, визначених проспектом (рішенням про емісію цінних паперів) опціонних сертифікатів. Опціонний сертифікат може передбачати розрахунки між сторонами залежно від ціни базового активу без його придбання або продажу.</w:t>
            </w:r>
          </w:p>
        </w:tc>
        <w:tc>
          <w:tcPr>
            <w:tcW w:w="3686" w:type="dxa"/>
          </w:tcPr>
          <w:p w14:paraId="48A56489" w14:textId="65DC7B18"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296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C0EB756" w14:textId="77777777" w:rsidR="00C70550" w:rsidRPr="00286216" w:rsidRDefault="00C70550" w:rsidP="00834DEB">
            <w:pPr>
              <w:pStyle w:val="StyleProp"/>
              <w:spacing w:line="180" w:lineRule="exact"/>
              <w:rPr>
                <w:color w:val="000000" w:themeColor="text1"/>
                <w:szCs w:val="18"/>
              </w:rPr>
            </w:pPr>
            <w:r w:rsidRPr="00286216">
              <w:rPr>
                <w:color w:val="000000" w:themeColor="text1"/>
                <w:szCs w:val="18"/>
              </w:rPr>
              <w:t>В тексті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p w14:paraId="2B9C105F" w14:textId="6C797CFE"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297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D2CD3D9"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 xml:space="preserve">У частині першій статті 26 розділу 1 слово та символи  «похідний» виключити. </w:t>
            </w:r>
          </w:p>
        </w:tc>
        <w:tc>
          <w:tcPr>
            <w:tcW w:w="1987" w:type="dxa"/>
          </w:tcPr>
          <w:p w14:paraId="5BC7DC4F" w14:textId="77777777" w:rsidR="00C70550" w:rsidRPr="00286216" w:rsidRDefault="00C70550" w:rsidP="006A358E">
            <w:pPr>
              <w:pStyle w:val="StyleWisnow"/>
              <w:rPr>
                <w:color w:val="000000" w:themeColor="text1"/>
              </w:rPr>
            </w:pPr>
            <w:r w:rsidRPr="00286216">
              <w:rPr>
                <w:color w:val="000000" w:themeColor="text1"/>
              </w:rPr>
              <w:t>Враховано</w:t>
            </w:r>
          </w:p>
          <w:p w14:paraId="1D5BB08C" w14:textId="77777777" w:rsidR="00C70550" w:rsidRPr="00286216" w:rsidRDefault="00C70550" w:rsidP="006A358E">
            <w:pPr>
              <w:pStyle w:val="StyleWisnow"/>
              <w:rPr>
                <w:color w:val="000000" w:themeColor="text1"/>
              </w:rPr>
            </w:pPr>
          </w:p>
          <w:p w14:paraId="6190A946" w14:textId="77777777" w:rsidR="00C70550" w:rsidRPr="00286216" w:rsidRDefault="00C70550" w:rsidP="006A358E">
            <w:pPr>
              <w:pStyle w:val="StyleWisnow"/>
              <w:rPr>
                <w:color w:val="000000" w:themeColor="text1"/>
              </w:rPr>
            </w:pPr>
          </w:p>
          <w:p w14:paraId="05BAC809" w14:textId="77777777" w:rsidR="00C70550" w:rsidRPr="00286216" w:rsidRDefault="00C70550" w:rsidP="006A358E">
            <w:pPr>
              <w:pStyle w:val="StyleWisnow"/>
              <w:rPr>
                <w:color w:val="000000" w:themeColor="text1"/>
              </w:rPr>
            </w:pPr>
          </w:p>
          <w:p w14:paraId="6998C06F" w14:textId="77777777" w:rsidR="00C70550" w:rsidRPr="00286216" w:rsidRDefault="00C70550" w:rsidP="006A358E">
            <w:pPr>
              <w:pStyle w:val="StyleWisnow"/>
              <w:rPr>
                <w:color w:val="000000" w:themeColor="text1"/>
              </w:rPr>
            </w:pPr>
          </w:p>
          <w:p w14:paraId="241B40E3" w14:textId="77777777" w:rsidR="00C70550" w:rsidRPr="00286216" w:rsidRDefault="00C70550" w:rsidP="006A358E">
            <w:pPr>
              <w:pStyle w:val="StyleWisnow"/>
              <w:rPr>
                <w:color w:val="000000" w:themeColor="text1"/>
              </w:rPr>
            </w:pPr>
          </w:p>
          <w:p w14:paraId="234BDAF7"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301BF532" w14:textId="77777777" w:rsidR="00C70550" w:rsidRPr="00286216" w:rsidRDefault="00C70550" w:rsidP="006A358E">
            <w:pPr>
              <w:pStyle w:val="StyleZakonu"/>
              <w:rPr>
                <w:color w:val="000000" w:themeColor="text1"/>
              </w:rPr>
            </w:pPr>
            <w:r w:rsidRPr="00286216">
              <w:rPr>
                <w:color w:val="000000" w:themeColor="text1"/>
              </w:rPr>
              <w:t>1. Опціонний сертифікат – це деривативний цінний папір, що посвідчує право його власника на придбання у його емітента (опціонний сертифікат на придбання) або на продаж його емітенту (опціонний сертифікат на продаж) базового активу за ціною, у строк та на інших умовах, визначених проспектом (рішенням про емісію цінних паперів) опціонних сертифікатів. Опціонний сертифікат може передбачати розрахунки між сторонами залежно від ціни базового активу без його придбання або продажу.</w:t>
            </w:r>
          </w:p>
        </w:tc>
      </w:tr>
      <w:tr w:rsidR="00C70550" w:rsidRPr="00286216" w14:paraId="51669A31" w14:textId="77777777" w:rsidTr="006A358E">
        <w:tc>
          <w:tcPr>
            <w:tcW w:w="576" w:type="dxa"/>
          </w:tcPr>
          <w:p w14:paraId="2A77F6FF" w14:textId="77777777" w:rsidR="00C70550" w:rsidRPr="00286216" w:rsidRDefault="00C70550" w:rsidP="006A358E">
            <w:pPr>
              <w:pStyle w:val="StyleWisnow"/>
              <w:rPr>
                <w:color w:val="000000" w:themeColor="text1"/>
              </w:rPr>
            </w:pPr>
            <w:r w:rsidRPr="00286216">
              <w:rPr>
                <w:color w:val="000000" w:themeColor="text1"/>
              </w:rPr>
              <w:t>488.</w:t>
            </w:r>
          </w:p>
        </w:tc>
        <w:tc>
          <w:tcPr>
            <w:tcW w:w="4818" w:type="dxa"/>
          </w:tcPr>
          <w:p w14:paraId="574B5214" w14:textId="77777777" w:rsidR="00C70550" w:rsidRPr="00286216" w:rsidRDefault="00C70550" w:rsidP="006A358E">
            <w:pPr>
              <w:pStyle w:val="StyleZakonu"/>
              <w:rPr>
                <w:color w:val="000000" w:themeColor="text1"/>
              </w:rPr>
            </w:pPr>
            <w:r w:rsidRPr="00286216">
              <w:rPr>
                <w:color w:val="000000" w:themeColor="text1"/>
              </w:rPr>
              <w:t>2. Опціонні сертифікати можуть існувати виключно в бездокументарній формі.</w:t>
            </w:r>
          </w:p>
        </w:tc>
        <w:tc>
          <w:tcPr>
            <w:tcW w:w="3686" w:type="dxa"/>
          </w:tcPr>
          <w:p w14:paraId="7F98A101" w14:textId="6C03BF3A"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298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D65981B"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слово «бездокументарній», замінити словом «електронній».</w:t>
            </w:r>
          </w:p>
        </w:tc>
        <w:tc>
          <w:tcPr>
            <w:tcW w:w="1987" w:type="dxa"/>
          </w:tcPr>
          <w:p w14:paraId="5D88F748"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6A837D30" w14:textId="77777777" w:rsidR="00C70550" w:rsidRPr="00286216" w:rsidRDefault="00C70550" w:rsidP="006A358E">
            <w:pPr>
              <w:pStyle w:val="StyleZakonu"/>
              <w:rPr>
                <w:color w:val="000000" w:themeColor="text1"/>
              </w:rPr>
            </w:pPr>
            <w:r w:rsidRPr="00286216">
              <w:rPr>
                <w:color w:val="000000" w:themeColor="text1"/>
              </w:rPr>
              <w:t xml:space="preserve">2. Опціонні сертифікати можуть існувати виключно в </w:t>
            </w:r>
            <w:r w:rsidRPr="00286216">
              <w:rPr>
                <w:color w:val="000000" w:themeColor="text1"/>
                <w:szCs w:val="18"/>
              </w:rPr>
              <w:t>електронній</w:t>
            </w:r>
            <w:r w:rsidRPr="00286216">
              <w:rPr>
                <w:color w:val="000000" w:themeColor="text1"/>
              </w:rPr>
              <w:t xml:space="preserve"> формі.</w:t>
            </w:r>
          </w:p>
        </w:tc>
      </w:tr>
      <w:tr w:rsidR="00C70550" w:rsidRPr="00286216" w14:paraId="7DC1B51D" w14:textId="77777777" w:rsidTr="006A358E">
        <w:tc>
          <w:tcPr>
            <w:tcW w:w="576" w:type="dxa"/>
          </w:tcPr>
          <w:p w14:paraId="68361806" w14:textId="77777777" w:rsidR="00C70550" w:rsidRPr="00286216" w:rsidRDefault="00C70550" w:rsidP="006A358E">
            <w:pPr>
              <w:pStyle w:val="StyleWisnow"/>
              <w:rPr>
                <w:color w:val="000000" w:themeColor="text1"/>
              </w:rPr>
            </w:pPr>
            <w:r w:rsidRPr="00286216">
              <w:rPr>
                <w:color w:val="000000" w:themeColor="text1"/>
              </w:rPr>
              <w:t>489.</w:t>
            </w:r>
          </w:p>
        </w:tc>
        <w:tc>
          <w:tcPr>
            <w:tcW w:w="4818" w:type="dxa"/>
          </w:tcPr>
          <w:p w14:paraId="7E44904B" w14:textId="77777777" w:rsidR="00C70550" w:rsidRPr="00286216" w:rsidRDefault="00C70550" w:rsidP="006A358E">
            <w:pPr>
              <w:pStyle w:val="StyleZakonu"/>
              <w:rPr>
                <w:color w:val="000000" w:themeColor="text1"/>
              </w:rPr>
            </w:pPr>
            <w:r w:rsidRPr="00286216">
              <w:rPr>
                <w:color w:val="000000" w:themeColor="text1"/>
              </w:rPr>
              <w:t>3. Порядок реєстрації випуску та затвердження проспекту опціонних сертифікатів установлюється Національною комісією з цінних паперів та фондового ринку.</w:t>
            </w:r>
          </w:p>
        </w:tc>
        <w:tc>
          <w:tcPr>
            <w:tcW w:w="3686" w:type="dxa"/>
          </w:tcPr>
          <w:p w14:paraId="27607F97" w14:textId="77777777" w:rsidR="00C70550" w:rsidRPr="00286216" w:rsidRDefault="00C70550" w:rsidP="006A358E">
            <w:pPr>
              <w:pStyle w:val="StyleProp"/>
              <w:rPr>
                <w:color w:val="000000" w:themeColor="text1"/>
                <w:szCs w:val="18"/>
              </w:rPr>
            </w:pPr>
          </w:p>
        </w:tc>
        <w:tc>
          <w:tcPr>
            <w:tcW w:w="1987" w:type="dxa"/>
          </w:tcPr>
          <w:p w14:paraId="3C0B7E86" w14:textId="77777777" w:rsidR="00C70550" w:rsidRPr="00286216" w:rsidRDefault="00C70550" w:rsidP="006A358E">
            <w:pPr>
              <w:pStyle w:val="StyleWisnow"/>
              <w:rPr>
                <w:color w:val="000000" w:themeColor="text1"/>
              </w:rPr>
            </w:pPr>
          </w:p>
        </w:tc>
        <w:tc>
          <w:tcPr>
            <w:tcW w:w="4818" w:type="dxa"/>
          </w:tcPr>
          <w:p w14:paraId="2001BD23" w14:textId="77777777" w:rsidR="00C70550" w:rsidRPr="00286216" w:rsidRDefault="00C70550" w:rsidP="006A358E">
            <w:pPr>
              <w:pStyle w:val="StyleZakonu"/>
              <w:rPr>
                <w:color w:val="000000" w:themeColor="text1"/>
              </w:rPr>
            </w:pPr>
            <w:r w:rsidRPr="00286216">
              <w:rPr>
                <w:color w:val="000000" w:themeColor="text1"/>
              </w:rPr>
              <w:t>3. Порядок реєстрації випуску та затвердження проспекту опціонних сертифікатів установлюється Національною комісією з цінних паперів та фондового ринку.</w:t>
            </w:r>
          </w:p>
        </w:tc>
      </w:tr>
      <w:tr w:rsidR="00C70550" w:rsidRPr="00286216" w14:paraId="4853B579" w14:textId="77777777" w:rsidTr="006A358E">
        <w:tc>
          <w:tcPr>
            <w:tcW w:w="576" w:type="dxa"/>
          </w:tcPr>
          <w:p w14:paraId="0B4E0BBB" w14:textId="77777777" w:rsidR="00C70550" w:rsidRPr="00286216" w:rsidRDefault="00C70550" w:rsidP="006A358E">
            <w:pPr>
              <w:pStyle w:val="StyleWisnow"/>
              <w:rPr>
                <w:color w:val="000000" w:themeColor="text1"/>
              </w:rPr>
            </w:pPr>
            <w:r w:rsidRPr="00286216">
              <w:rPr>
                <w:color w:val="000000" w:themeColor="text1"/>
              </w:rPr>
              <w:t>490.</w:t>
            </w:r>
          </w:p>
        </w:tc>
        <w:tc>
          <w:tcPr>
            <w:tcW w:w="4818" w:type="dxa"/>
          </w:tcPr>
          <w:p w14:paraId="4C24B184" w14:textId="77777777" w:rsidR="00C70550" w:rsidRPr="00286216" w:rsidRDefault="00C70550" w:rsidP="006A358E">
            <w:pPr>
              <w:pStyle w:val="StyleZakonu"/>
              <w:rPr>
                <w:color w:val="000000" w:themeColor="text1"/>
              </w:rPr>
            </w:pPr>
            <w:r w:rsidRPr="00286216">
              <w:rPr>
                <w:color w:val="000000" w:themeColor="text1"/>
              </w:rPr>
              <w:t>4. Обіг опціонних сертифікатів дозволяється після реєстрації Національною комісією з цінних паперів та фондового ринку звіту про результати емісії опціонних сертифікатів та видачі свідоцтва про реєстрацію випуску опціонних сертифікатів.</w:t>
            </w:r>
          </w:p>
        </w:tc>
        <w:tc>
          <w:tcPr>
            <w:tcW w:w="3686" w:type="dxa"/>
          </w:tcPr>
          <w:p w14:paraId="36BAF1B7" w14:textId="77777777" w:rsidR="00C70550" w:rsidRPr="00286216" w:rsidRDefault="00C70550" w:rsidP="006A358E">
            <w:pPr>
              <w:pStyle w:val="StyleProp"/>
              <w:rPr>
                <w:color w:val="000000" w:themeColor="text1"/>
                <w:szCs w:val="18"/>
              </w:rPr>
            </w:pPr>
          </w:p>
        </w:tc>
        <w:tc>
          <w:tcPr>
            <w:tcW w:w="1987" w:type="dxa"/>
          </w:tcPr>
          <w:p w14:paraId="3CD7CE60" w14:textId="77777777" w:rsidR="00C70550" w:rsidRPr="00286216" w:rsidRDefault="00C70550" w:rsidP="006A358E">
            <w:pPr>
              <w:pStyle w:val="StyleWisnow"/>
              <w:rPr>
                <w:color w:val="000000" w:themeColor="text1"/>
              </w:rPr>
            </w:pPr>
          </w:p>
        </w:tc>
        <w:tc>
          <w:tcPr>
            <w:tcW w:w="4818" w:type="dxa"/>
          </w:tcPr>
          <w:p w14:paraId="3E150AFF" w14:textId="77777777" w:rsidR="00C70550" w:rsidRPr="00286216" w:rsidRDefault="00C70550" w:rsidP="006A358E">
            <w:pPr>
              <w:pStyle w:val="StyleZakonu"/>
              <w:rPr>
                <w:color w:val="000000" w:themeColor="text1"/>
              </w:rPr>
            </w:pPr>
            <w:r w:rsidRPr="00286216">
              <w:rPr>
                <w:color w:val="000000" w:themeColor="text1"/>
              </w:rPr>
              <w:t>4. Обіг опціонних сертифікатів дозволяється після реєстрації Національною комісією з цінних паперів та фондового ринку звіту про результати емісії опціонних сертифікатів та видачі свідоцтва про реєстрацію випуску опціонних сертифікатів.</w:t>
            </w:r>
          </w:p>
        </w:tc>
      </w:tr>
      <w:tr w:rsidR="00C70550" w:rsidRPr="00286216" w14:paraId="69A57C35" w14:textId="77777777" w:rsidTr="006A358E">
        <w:tc>
          <w:tcPr>
            <w:tcW w:w="576" w:type="dxa"/>
          </w:tcPr>
          <w:p w14:paraId="4E65BED2" w14:textId="77777777" w:rsidR="00C70550" w:rsidRPr="00286216" w:rsidRDefault="00C70550" w:rsidP="006A358E">
            <w:pPr>
              <w:pStyle w:val="StyleWisnow"/>
              <w:rPr>
                <w:color w:val="000000" w:themeColor="text1"/>
              </w:rPr>
            </w:pPr>
            <w:r w:rsidRPr="00286216">
              <w:rPr>
                <w:color w:val="000000" w:themeColor="text1"/>
              </w:rPr>
              <w:t>491.</w:t>
            </w:r>
          </w:p>
        </w:tc>
        <w:tc>
          <w:tcPr>
            <w:tcW w:w="4818" w:type="dxa"/>
          </w:tcPr>
          <w:p w14:paraId="30564C4A" w14:textId="77777777" w:rsidR="00C70550" w:rsidRPr="00286216" w:rsidRDefault="00C70550" w:rsidP="006A358E">
            <w:pPr>
              <w:pStyle w:val="StyleZakonu"/>
              <w:rPr>
                <w:color w:val="000000" w:themeColor="text1"/>
              </w:rPr>
            </w:pPr>
            <w:r w:rsidRPr="00286216">
              <w:rPr>
                <w:color w:val="000000" w:themeColor="text1"/>
              </w:rPr>
              <w:t>Стаття 27. Фондові варанти</w:t>
            </w:r>
          </w:p>
        </w:tc>
        <w:tc>
          <w:tcPr>
            <w:tcW w:w="3686" w:type="dxa"/>
          </w:tcPr>
          <w:p w14:paraId="79B99017" w14:textId="77777777" w:rsidR="00C70550" w:rsidRPr="00286216" w:rsidRDefault="00C70550" w:rsidP="006A358E">
            <w:pPr>
              <w:pStyle w:val="StyleProp"/>
              <w:rPr>
                <w:color w:val="000000" w:themeColor="text1"/>
                <w:szCs w:val="18"/>
              </w:rPr>
            </w:pPr>
          </w:p>
        </w:tc>
        <w:tc>
          <w:tcPr>
            <w:tcW w:w="1987" w:type="dxa"/>
          </w:tcPr>
          <w:p w14:paraId="5ED9C10F" w14:textId="77777777" w:rsidR="00C70550" w:rsidRPr="00286216" w:rsidRDefault="00C70550" w:rsidP="006A358E">
            <w:pPr>
              <w:pStyle w:val="StyleWisnow"/>
              <w:rPr>
                <w:color w:val="000000" w:themeColor="text1"/>
              </w:rPr>
            </w:pPr>
          </w:p>
        </w:tc>
        <w:tc>
          <w:tcPr>
            <w:tcW w:w="4818" w:type="dxa"/>
          </w:tcPr>
          <w:p w14:paraId="62D03C48" w14:textId="77777777" w:rsidR="00C70550" w:rsidRPr="00286216" w:rsidRDefault="00C70550" w:rsidP="006A358E">
            <w:pPr>
              <w:pStyle w:val="StyleZakonu"/>
              <w:rPr>
                <w:color w:val="000000" w:themeColor="text1"/>
              </w:rPr>
            </w:pPr>
            <w:r w:rsidRPr="00286216">
              <w:rPr>
                <w:color w:val="000000" w:themeColor="text1"/>
              </w:rPr>
              <w:t>Стаття 23. Фондові варанти</w:t>
            </w:r>
          </w:p>
        </w:tc>
      </w:tr>
      <w:tr w:rsidR="00C70550" w:rsidRPr="00286216" w14:paraId="07D3A947" w14:textId="77777777" w:rsidTr="006A358E">
        <w:tc>
          <w:tcPr>
            <w:tcW w:w="576" w:type="dxa"/>
          </w:tcPr>
          <w:p w14:paraId="0C9AE63B" w14:textId="77777777" w:rsidR="00C70550" w:rsidRPr="00286216" w:rsidRDefault="00C70550" w:rsidP="006A358E">
            <w:pPr>
              <w:pStyle w:val="StyleWisnow"/>
              <w:rPr>
                <w:color w:val="000000" w:themeColor="text1"/>
              </w:rPr>
            </w:pPr>
            <w:r w:rsidRPr="00286216">
              <w:rPr>
                <w:color w:val="000000" w:themeColor="text1"/>
              </w:rPr>
              <w:t>492.</w:t>
            </w:r>
          </w:p>
        </w:tc>
        <w:tc>
          <w:tcPr>
            <w:tcW w:w="4818" w:type="dxa"/>
          </w:tcPr>
          <w:p w14:paraId="2D7F2B45" w14:textId="77777777" w:rsidR="00C70550" w:rsidRPr="00286216" w:rsidRDefault="00C70550" w:rsidP="006A358E">
            <w:pPr>
              <w:pStyle w:val="StyleZakonu"/>
              <w:rPr>
                <w:color w:val="000000" w:themeColor="text1"/>
              </w:rPr>
            </w:pPr>
            <w:r w:rsidRPr="00286216">
              <w:rPr>
                <w:color w:val="000000" w:themeColor="text1"/>
              </w:rPr>
              <w:t xml:space="preserve">1. Фондовий варант - деривативний (похідний) </w:t>
            </w:r>
            <w:r w:rsidRPr="00286216">
              <w:rPr>
                <w:color w:val="000000" w:themeColor="text1"/>
              </w:rPr>
              <w:lastRenderedPageBreak/>
              <w:t>цінний папір, емітентом якого є акціонерне товариство, який надає його власнику право на придбання у емітента простих акцій цього емітента, у строк та за ціною, визначеними проспектом (рішенням про емісію цінних паперів) фондових варантів.</w:t>
            </w:r>
          </w:p>
        </w:tc>
        <w:tc>
          <w:tcPr>
            <w:tcW w:w="3686" w:type="dxa"/>
          </w:tcPr>
          <w:p w14:paraId="02ABB4A3" w14:textId="3C300A40" w:rsidR="00C70550" w:rsidRPr="00286216" w:rsidRDefault="00C70550" w:rsidP="006A358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299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03D7808" w14:textId="77777777" w:rsidR="00C70550" w:rsidRPr="00286216" w:rsidRDefault="00C70550" w:rsidP="006A358E">
            <w:pPr>
              <w:pStyle w:val="StyleProp"/>
              <w:rPr>
                <w:color w:val="000000" w:themeColor="text1"/>
                <w:spacing w:val="-5"/>
                <w:szCs w:val="18"/>
              </w:rPr>
            </w:pPr>
            <w:r w:rsidRPr="00286216">
              <w:rPr>
                <w:color w:val="000000" w:themeColor="text1"/>
                <w:spacing w:val="-5"/>
                <w:szCs w:val="18"/>
              </w:rPr>
              <w:lastRenderedPageBreak/>
              <w:t>Частину 1 статті 27 викласти в такій редакції:</w:t>
            </w:r>
          </w:p>
          <w:p w14:paraId="213281D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 Фондовий варант – деривативний цінний папір, який надає його власнику право на придбання у строк та за ціною, визначеними проспектом (рішенням про емісію цінних паперів) фондових варантів, у емітента акцій або облігацій такого емітента, емісія яких буде здійснена у терміни, визначені проспектом (рішенням про емісію цінних паперів) фондових варантів. Погашення фондових варантів може відбуватися шляхом передачі власнику фондового варанту права власності на акції та/або облігації емітента, або шляхом сплати їх вартості, визначеної у встановленому сторонами порядку».</w:t>
            </w:r>
          </w:p>
        </w:tc>
        <w:tc>
          <w:tcPr>
            <w:tcW w:w="1987" w:type="dxa"/>
          </w:tcPr>
          <w:p w14:paraId="29AB9854"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tc>
        <w:tc>
          <w:tcPr>
            <w:tcW w:w="4818" w:type="dxa"/>
          </w:tcPr>
          <w:p w14:paraId="36FFA116" w14:textId="773BCE3F" w:rsidR="00C70550" w:rsidRPr="00286216" w:rsidRDefault="00C70550" w:rsidP="006A358E">
            <w:pPr>
              <w:pStyle w:val="StyleZakonu"/>
              <w:rPr>
                <w:color w:val="000000" w:themeColor="text1"/>
              </w:rPr>
            </w:pPr>
            <w:r w:rsidRPr="00286216">
              <w:rPr>
                <w:color w:val="000000" w:themeColor="text1"/>
              </w:rPr>
              <w:t xml:space="preserve">1. Фондовий варант – це деривативний цінний </w:t>
            </w:r>
            <w:r w:rsidRPr="00286216">
              <w:rPr>
                <w:color w:val="000000" w:themeColor="text1"/>
              </w:rPr>
              <w:lastRenderedPageBreak/>
              <w:t>папір, який надає його власнику право на придбання у строк та за ціною, визначеними проспектом (рішенням про емісію цінних паперів) фондових варантів, у емітента акцій або облігацій такого емітента, емісія яких буде здійснена у терміни, визначені проспектом (рішенням про емісію цінних паперів) фондових варантів. Погашення фондових варантів може відбуватися шляхом передачі власнику фондового варанта права власності на акції та/або облігації емітента або шляхом сплати їх вартості, визначеної у встановленому сторонами порядку.</w:t>
            </w:r>
          </w:p>
        </w:tc>
      </w:tr>
      <w:tr w:rsidR="00C70550" w:rsidRPr="00286216" w14:paraId="34D7473B" w14:textId="77777777" w:rsidTr="006A358E">
        <w:tc>
          <w:tcPr>
            <w:tcW w:w="576" w:type="dxa"/>
          </w:tcPr>
          <w:p w14:paraId="5E11CBED" w14:textId="77777777" w:rsidR="00C70550" w:rsidRPr="00286216" w:rsidRDefault="00C70550" w:rsidP="006A358E">
            <w:pPr>
              <w:pStyle w:val="StyleWisnow"/>
              <w:rPr>
                <w:color w:val="000000" w:themeColor="text1"/>
              </w:rPr>
            </w:pPr>
            <w:r w:rsidRPr="00286216">
              <w:rPr>
                <w:color w:val="000000" w:themeColor="text1"/>
              </w:rPr>
              <w:lastRenderedPageBreak/>
              <w:t>493.</w:t>
            </w:r>
          </w:p>
        </w:tc>
        <w:tc>
          <w:tcPr>
            <w:tcW w:w="4818" w:type="dxa"/>
          </w:tcPr>
          <w:p w14:paraId="6BC939B5" w14:textId="77777777" w:rsidR="00C70550" w:rsidRPr="00286216" w:rsidRDefault="00C70550" w:rsidP="006A358E">
            <w:pPr>
              <w:pStyle w:val="StyleZakonu"/>
              <w:rPr>
                <w:color w:val="000000" w:themeColor="text1"/>
              </w:rPr>
            </w:pPr>
            <w:r w:rsidRPr="00286216">
              <w:rPr>
                <w:color w:val="000000" w:themeColor="text1"/>
              </w:rPr>
              <w:t>2. Фондові варанти можуть існувати виключно в бездокументарній формі.</w:t>
            </w:r>
          </w:p>
        </w:tc>
        <w:tc>
          <w:tcPr>
            <w:tcW w:w="3686" w:type="dxa"/>
          </w:tcPr>
          <w:p w14:paraId="21B7C333" w14:textId="77563CAB"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1C84B7A"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слово «бездокументарній», замінити словом «електронній».</w:t>
            </w:r>
          </w:p>
          <w:p w14:paraId="1C0459E5" w14:textId="5541598E"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301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DF9601C"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 xml:space="preserve">У частині першій статті 27 розділу 1 слово та символи  «похідний» виключити. </w:t>
            </w:r>
          </w:p>
        </w:tc>
        <w:tc>
          <w:tcPr>
            <w:tcW w:w="1987" w:type="dxa"/>
          </w:tcPr>
          <w:p w14:paraId="12E8FBAD" w14:textId="77777777" w:rsidR="00C70550" w:rsidRPr="00286216" w:rsidRDefault="00C70550" w:rsidP="006A358E">
            <w:pPr>
              <w:pStyle w:val="StyleWisnow"/>
              <w:rPr>
                <w:color w:val="000000" w:themeColor="text1"/>
              </w:rPr>
            </w:pPr>
            <w:r w:rsidRPr="00286216">
              <w:rPr>
                <w:color w:val="000000" w:themeColor="text1"/>
              </w:rPr>
              <w:t>Враховано</w:t>
            </w:r>
          </w:p>
          <w:p w14:paraId="0F0BC5BC" w14:textId="77777777" w:rsidR="00C70550" w:rsidRPr="00286216" w:rsidRDefault="00C70550" w:rsidP="006A358E">
            <w:pPr>
              <w:pStyle w:val="StyleWisnow"/>
              <w:rPr>
                <w:color w:val="000000" w:themeColor="text1"/>
              </w:rPr>
            </w:pPr>
          </w:p>
          <w:p w14:paraId="51AD8561" w14:textId="77777777" w:rsidR="00C70550" w:rsidRPr="00286216" w:rsidRDefault="00C70550" w:rsidP="006A358E">
            <w:pPr>
              <w:pStyle w:val="StyleWisnow"/>
              <w:rPr>
                <w:color w:val="000000" w:themeColor="text1"/>
              </w:rPr>
            </w:pPr>
          </w:p>
          <w:p w14:paraId="08E2AA0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7AA20644" w14:textId="77777777" w:rsidR="00C70550" w:rsidRPr="00286216" w:rsidRDefault="00C70550" w:rsidP="006A358E">
            <w:pPr>
              <w:pStyle w:val="StyleZakonu"/>
              <w:rPr>
                <w:color w:val="000000" w:themeColor="text1"/>
              </w:rPr>
            </w:pPr>
            <w:r w:rsidRPr="00286216">
              <w:rPr>
                <w:color w:val="000000" w:themeColor="text1"/>
              </w:rPr>
              <w:t xml:space="preserve">2. Фондові варанти можуть існувати виключно в </w:t>
            </w:r>
            <w:r w:rsidRPr="00286216">
              <w:rPr>
                <w:color w:val="000000" w:themeColor="text1"/>
                <w:szCs w:val="18"/>
              </w:rPr>
              <w:t>електронній</w:t>
            </w:r>
            <w:r w:rsidRPr="00286216">
              <w:rPr>
                <w:color w:val="000000" w:themeColor="text1"/>
              </w:rPr>
              <w:t xml:space="preserve"> формі.</w:t>
            </w:r>
          </w:p>
        </w:tc>
      </w:tr>
      <w:tr w:rsidR="00C70550" w:rsidRPr="00286216" w14:paraId="5B48DF00" w14:textId="77777777" w:rsidTr="006A358E">
        <w:tc>
          <w:tcPr>
            <w:tcW w:w="576" w:type="dxa"/>
          </w:tcPr>
          <w:p w14:paraId="41D464E5" w14:textId="77777777" w:rsidR="00C70550" w:rsidRPr="00286216" w:rsidRDefault="00C70550" w:rsidP="006A358E">
            <w:pPr>
              <w:pStyle w:val="StyleWisnow"/>
              <w:rPr>
                <w:color w:val="000000" w:themeColor="text1"/>
              </w:rPr>
            </w:pPr>
            <w:r w:rsidRPr="00286216">
              <w:rPr>
                <w:color w:val="000000" w:themeColor="text1"/>
              </w:rPr>
              <w:t>494.</w:t>
            </w:r>
          </w:p>
        </w:tc>
        <w:tc>
          <w:tcPr>
            <w:tcW w:w="4818" w:type="dxa"/>
          </w:tcPr>
          <w:p w14:paraId="0C2F8374" w14:textId="77777777" w:rsidR="00C70550" w:rsidRPr="00286216" w:rsidRDefault="00C70550" w:rsidP="006A358E">
            <w:pPr>
              <w:pStyle w:val="StyleZakonu"/>
              <w:rPr>
                <w:color w:val="000000" w:themeColor="text1"/>
              </w:rPr>
            </w:pPr>
            <w:r w:rsidRPr="00286216">
              <w:rPr>
                <w:color w:val="000000" w:themeColor="text1"/>
              </w:rPr>
              <w:t>3. Порядок реєстрації випуску та затвердження проспекту фондових варантів установлюється Національною комісією з цінних паперів та фондового ринку.</w:t>
            </w:r>
          </w:p>
        </w:tc>
        <w:tc>
          <w:tcPr>
            <w:tcW w:w="3686" w:type="dxa"/>
          </w:tcPr>
          <w:p w14:paraId="15D2BFF3" w14:textId="77777777" w:rsidR="00C70550" w:rsidRPr="00286216" w:rsidRDefault="00C70550" w:rsidP="006A358E">
            <w:pPr>
              <w:pStyle w:val="StyleProp"/>
              <w:rPr>
                <w:color w:val="000000" w:themeColor="text1"/>
                <w:szCs w:val="18"/>
              </w:rPr>
            </w:pPr>
          </w:p>
        </w:tc>
        <w:tc>
          <w:tcPr>
            <w:tcW w:w="1987" w:type="dxa"/>
          </w:tcPr>
          <w:p w14:paraId="511A99B4" w14:textId="77777777" w:rsidR="00C70550" w:rsidRPr="00286216" w:rsidRDefault="00C70550" w:rsidP="006A358E">
            <w:pPr>
              <w:pStyle w:val="StyleWisnow"/>
              <w:rPr>
                <w:color w:val="000000" w:themeColor="text1"/>
              </w:rPr>
            </w:pPr>
          </w:p>
        </w:tc>
        <w:tc>
          <w:tcPr>
            <w:tcW w:w="4818" w:type="dxa"/>
          </w:tcPr>
          <w:p w14:paraId="048772B9" w14:textId="77777777" w:rsidR="00C70550" w:rsidRPr="00286216" w:rsidRDefault="00C70550" w:rsidP="006A358E">
            <w:pPr>
              <w:pStyle w:val="StyleZakonu"/>
              <w:rPr>
                <w:color w:val="000000" w:themeColor="text1"/>
              </w:rPr>
            </w:pPr>
            <w:r w:rsidRPr="00286216">
              <w:rPr>
                <w:color w:val="000000" w:themeColor="text1"/>
              </w:rPr>
              <w:t>3. Порядок реєстрації випуску та затвердження проспекту фондових варантів установлюється Національною комісією з цінних паперів та фондового ринку.</w:t>
            </w:r>
          </w:p>
        </w:tc>
      </w:tr>
      <w:tr w:rsidR="00C70550" w:rsidRPr="00286216" w14:paraId="1F48807C" w14:textId="77777777" w:rsidTr="006A358E">
        <w:tc>
          <w:tcPr>
            <w:tcW w:w="576" w:type="dxa"/>
          </w:tcPr>
          <w:p w14:paraId="159FDAE5" w14:textId="77777777" w:rsidR="00C70550" w:rsidRPr="00286216" w:rsidRDefault="00C70550" w:rsidP="006A358E">
            <w:pPr>
              <w:pStyle w:val="StyleWisnow"/>
              <w:rPr>
                <w:color w:val="000000" w:themeColor="text1"/>
              </w:rPr>
            </w:pPr>
            <w:r w:rsidRPr="00286216">
              <w:rPr>
                <w:color w:val="000000" w:themeColor="text1"/>
              </w:rPr>
              <w:t>495.</w:t>
            </w:r>
          </w:p>
        </w:tc>
        <w:tc>
          <w:tcPr>
            <w:tcW w:w="4818" w:type="dxa"/>
          </w:tcPr>
          <w:p w14:paraId="309D3924" w14:textId="77777777" w:rsidR="00C70550" w:rsidRPr="00286216" w:rsidRDefault="00C70550" w:rsidP="006A358E">
            <w:pPr>
              <w:pStyle w:val="StyleZakonu"/>
              <w:rPr>
                <w:color w:val="000000" w:themeColor="text1"/>
              </w:rPr>
            </w:pPr>
            <w:r w:rsidRPr="00286216">
              <w:rPr>
                <w:color w:val="000000" w:themeColor="text1"/>
              </w:rPr>
              <w:t>4. Обіг фондових варантів дозволяється після реєстрації Національною комісією з цінних паперів та фондового ринку звіту про результати емісії фондових варантів та видачі свідоцтва про реєстрацію випуску фондових варантів.</w:t>
            </w:r>
          </w:p>
        </w:tc>
        <w:tc>
          <w:tcPr>
            <w:tcW w:w="3686" w:type="dxa"/>
          </w:tcPr>
          <w:p w14:paraId="1AA5EB87" w14:textId="77777777" w:rsidR="00C70550" w:rsidRPr="00286216" w:rsidRDefault="00C70550" w:rsidP="006A358E">
            <w:pPr>
              <w:pStyle w:val="StyleProp"/>
              <w:rPr>
                <w:color w:val="000000" w:themeColor="text1"/>
                <w:szCs w:val="18"/>
              </w:rPr>
            </w:pPr>
          </w:p>
        </w:tc>
        <w:tc>
          <w:tcPr>
            <w:tcW w:w="1987" w:type="dxa"/>
          </w:tcPr>
          <w:p w14:paraId="6A495E86" w14:textId="77777777" w:rsidR="00C70550" w:rsidRPr="00286216" w:rsidRDefault="00C70550" w:rsidP="006A358E">
            <w:pPr>
              <w:pStyle w:val="StyleWisnow"/>
              <w:rPr>
                <w:color w:val="000000" w:themeColor="text1"/>
              </w:rPr>
            </w:pPr>
          </w:p>
        </w:tc>
        <w:tc>
          <w:tcPr>
            <w:tcW w:w="4818" w:type="dxa"/>
          </w:tcPr>
          <w:p w14:paraId="1BBC3BA2" w14:textId="77777777" w:rsidR="00C70550" w:rsidRPr="00286216" w:rsidRDefault="00C70550" w:rsidP="006A358E">
            <w:pPr>
              <w:pStyle w:val="StyleZakonu"/>
              <w:rPr>
                <w:color w:val="000000" w:themeColor="text1"/>
              </w:rPr>
            </w:pPr>
            <w:r w:rsidRPr="00286216">
              <w:rPr>
                <w:color w:val="000000" w:themeColor="text1"/>
              </w:rPr>
              <w:t>4. Обіг фондових варантів дозволяється після реєстрації Національною комісією з цінних паперів та фондового ринку звіту про результати емісії фондових варантів та видачі свідоцтва про реєстрацію випуску фондових варантів.</w:t>
            </w:r>
          </w:p>
        </w:tc>
      </w:tr>
      <w:tr w:rsidR="00C70550" w:rsidRPr="00286216" w14:paraId="4829812D" w14:textId="77777777" w:rsidTr="006A358E">
        <w:tc>
          <w:tcPr>
            <w:tcW w:w="576" w:type="dxa"/>
          </w:tcPr>
          <w:p w14:paraId="3B75C53A" w14:textId="77777777" w:rsidR="00C70550" w:rsidRPr="00286216" w:rsidRDefault="00C70550" w:rsidP="006A358E">
            <w:pPr>
              <w:pStyle w:val="StyleWisnow"/>
              <w:rPr>
                <w:color w:val="000000" w:themeColor="text1"/>
              </w:rPr>
            </w:pPr>
            <w:r w:rsidRPr="00286216">
              <w:rPr>
                <w:color w:val="000000" w:themeColor="text1"/>
              </w:rPr>
              <w:t>496.</w:t>
            </w:r>
          </w:p>
        </w:tc>
        <w:tc>
          <w:tcPr>
            <w:tcW w:w="4818" w:type="dxa"/>
          </w:tcPr>
          <w:p w14:paraId="301C140B" w14:textId="77777777" w:rsidR="00C70550" w:rsidRPr="00286216" w:rsidRDefault="00C70550" w:rsidP="006A358E">
            <w:pPr>
              <w:pStyle w:val="StyleZakonu"/>
              <w:rPr>
                <w:color w:val="000000" w:themeColor="text1"/>
              </w:rPr>
            </w:pPr>
            <w:r w:rsidRPr="00286216">
              <w:rPr>
                <w:color w:val="000000" w:themeColor="text1"/>
              </w:rPr>
              <w:t>Стаття 28. Кредитні ноти</w:t>
            </w:r>
          </w:p>
        </w:tc>
        <w:tc>
          <w:tcPr>
            <w:tcW w:w="3686" w:type="dxa"/>
          </w:tcPr>
          <w:p w14:paraId="4039B8E5" w14:textId="77777777" w:rsidR="00C70550" w:rsidRPr="00286216" w:rsidRDefault="00C70550" w:rsidP="006A358E">
            <w:pPr>
              <w:pStyle w:val="StyleProp"/>
              <w:rPr>
                <w:color w:val="000000" w:themeColor="text1"/>
                <w:szCs w:val="18"/>
              </w:rPr>
            </w:pPr>
          </w:p>
        </w:tc>
        <w:tc>
          <w:tcPr>
            <w:tcW w:w="1987" w:type="dxa"/>
          </w:tcPr>
          <w:p w14:paraId="01770D4D" w14:textId="77777777" w:rsidR="00C70550" w:rsidRPr="00286216" w:rsidRDefault="00C70550" w:rsidP="006A358E">
            <w:pPr>
              <w:pStyle w:val="StyleWisnow"/>
              <w:rPr>
                <w:color w:val="000000" w:themeColor="text1"/>
              </w:rPr>
            </w:pPr>
          </w:p>
        </w:tc>
        <w:tc>
          <w:tcPr>
            <w:tcW w:w="4818" w:type="dxa"/>
          </w:tcPr>
          <w:p w14:paraId="4F45E9DC" w14:textId="77777777" w:rsidR="00C70550" w:rsidRPr="00286216" w:rsidRDefault="00C70550" w:rsidP="006A358E">
            <w:pPr>
              <w:pStyle w:val="StyleZakonu"/>
              <w:rPr>
                <w:color w:val="000000" w:themeColor="text1"/>
              </w:rPr>
            </w:pPr>
            <w:r w:rsidRPr="00286216">
              <w:rPr>
                <w:color w:val="000000" w:themeColor="text1"/>
              </w:rPr>
              <w:t>Стаття 24. Кредитні ноти</w:t>
            </w:r>
          </w:p>
        </w:tc>
      </w:tr>
      <w:tr w:rsidR="00C70550" w:rsidRPr="00286216" w14:paraId="13AAC2FC" w14:textId="77777777" w:rsidTr="006A358E">
        <w:tc>
          <w:tcPr>
            <w:tcW w:w="576" w:type="dxa"/>
          </w:tcPr>
          <w:p w14:paraId="7B4D81FF" w14:textId="77777777" w:rsidR="00C70550" w:rsidRPr="00286216" w:rsidRDefault="00C70550" w:rsidP="006A358E">
            <w:pPr>
              <w:pStyle w:val="StyleWisnow"/>
              <w:rPr>
                <w:color w:val="000000" w:themeColor="text1"/>
              </w:rPr>
            </w:pPr>
            <w:r w:rsidRPr="00286216">
              <w:rPr>
                <w:color w:val="000000" w:themeColor="text1"/>
              </w:rPr>
              <w:t>497.</w:t>
            </w:r>
          </w:p>
        </w:tc>
        <w:tc>
          <w:tcPr>
            <w:tcW w:w="4818" w:type="dxa"/>
          </w:tcPr>
          <w:p w14:paraId="67810DFE" w14:textId="77777777" w:rsidR="00C70550" w:rsidRPr="00286216" w:rsidRDefault="00C70550" w:rsidP="006A358E">
            <w:pPr>
              <w:pStyle w:val="StyleZakonu"/>
              <w:rPr>
                <w:color w:val="000000" w:themeColor="text1"/>
              </w:rPr>
            </w:pPr>
            <w:r w:rsidRPr="00286216">
              <w:rPr>
                <w:color w:val="000000" w:themeColor="text1"/>
              </w:rPr>
              <w:t>1. Кредитна нота - деривативний (похідний) цінний папір, що посвідчує право його власника на отримання від емітента номінальної вартості такого цінного папера та процентів у передбачений проспектом (рішенням про емісію цінних паперів) строк, та обумовлене настанням певної події, пов’язаної із платоспроможністю особи, іншої, ніж емітент, право здійснити заміну відносин між власником кредитної ноти та емітентом на відносини за свопом, базовим активом якого є право вимоги до такої іншої особи за договором позики, кредиту або облігаціями та/або базовим показником якого є ціна такого права вимоги.</w:t>
            </w:r>
          </w:p>
        </w:tc>
        <w:tc>
          <w:tcPr>
            <w:tcW w:w="3686" w:type="dxa"/>
          </w:tcPr>
          <w:p w14:paraId="5D02BAF0" w14:textId="1FF987EA"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CCA781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Частини першу-четверту статті 28 викласти в такій редакції:</w:t>
            </w:r>
          </w:p>
          <w:p w14:paraId="0E6D90E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 Кредитна нота – емісійний деривативний цінний папір, що посвідчує обов’язок емітента здійснювати виплату відсоткових доходів власнику такого цінного паперу у розмірі та в строки, встановлені проспектом (рішенням про емісію такого паперу), та погашення за яким здійснюється шляхом сплати емітентом власнику номінальної вартості такого цінного паперу, за умови, що не відбулася подія, пов’язана із платоспроможністю третьої особи, зазначеної у проспекті (рішенні про емісію такого цінного паперу). </w:t>
            </w:r>
          </w:p>
          <w:p w14:paraId="1C5BB3A6"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2. У випадку настання події, пов’язаної із платоспроможністю третьої особи, передбаченої проспектом (рішення про </w:t>
            </w:r>
            <w:r w:rsidRPr="00286216">
              <w:rPr>
                <w:color w:val="000000" w:themeColor="text1"/>
                <w:szCs w:val="18"/>
              </w:rPr>
              <w:lastRenderedPageBreak/>
              <w:t>емісію такого цінного паперу), власник кредитної ноти втрачає право на виплату відсоткових доходів, а емітент цінного паперу зобов’язаний здійснити викуп за ціною, що визначається в порядку, передбаченому проспектом (рішенням про емісію такого цінного паперу).</w:t>
            </w:r>
          </w:p>
          <w:p w14:paraId="0507ABB8"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3. Подією, пов’язаною із платоспроможністю третьої особи, є: банкротство такої третьої особи, встановлена у порядку, визначеному проспектом (рішенням про емісію) кредитної ноти невиплата або несвоєчасна виплата нею грошового зобов’язання за договором позики, кредиту або іншим договором, передбаченим проспектом емісії (рішенням про емісію) кредитної ноти, проведення процедури фінансової реструктуризації щодо зобов’язання такої третьої особи у порядку, передбаченому Законом України «Про фінансову реструктуризацію». </w:t>
            </w:r>
          </w:p>
          <w:p w14:paraId="12535F1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4. Кредитні ноти можуть існувати виключно в електронній формі».</w:t>
            </w:r>
          </w:p>
        </w:tc>
        <w:tc>
          <w:tcPr>
            <w:tcW w:w="1987" w:type="dxa"/>
          </w:tcPr>
          <w:p w14:paraId="23743732" w14:textId="77777777" w:rsidR="00C70550" w:rsidRPr="00286216" w:rsidRDefault="00C70550" w:rsidP="006A358E">
            <w:pPr>
              <w:pStyle w:val="StyleWisnow"/>
              <w:rPr>
                <w:color w:val="000000" w:themeColor="text1"/>
              </w:rPr>
            </w:pPr>
            <w:r w:rsidRPr="00286216">
              <w:rPr>
                <w:color w:val="000000" w:themeColor="text1"/>
              </w:rPr>
              <w:lastRenderedPageBreak/>
              <w:t>Враховано частково</w:t>
            </w:r>
          </w:p>
          <w:p w14:paraId="3C764F55" w14:textId="77777777" w:rsidR="00C70550" w:rsidRPr="00286216" w:rsidRDefault="00C70550" w:rsidP="006A358E">
            <w:pPr>
              <w:pStyle w:val="StyleWisnow"/>
              <w:rPr>
                <w:color w:val="000000" w:themeColor="text1"/>
              </w:rPr>
            </w:pPr>
          </w:p>
        </w:tc>
        <w:tc>
          <w:tcPr>
            <w:tcW w:w="4818" w:type="dxa"/>
          </w:tcPr>
          <w:p w14:paraId="21CE4560" w14:textId="55904BEF" w:rsidR="00C70550" w:rsidRPr="00286216" w:rsidRDefault="00C70550" w:rsidP="006A358E">
            <w:pPr>
              <w:pStyle w:val="StyleZakonu"/>
              <w:rPr>
                <w:color w:val="000000" w:themeColor="text1"/>
              </w:rPr>
            </w:pPr>
            <w:r w:rsidRPr="00286216">
              <w:rPr>
                <w:color w:val="000000" w:themeColor="text1"/>
              </w:rPr>
              <w:t xml:space="preserve">1. Кредитна нота – це емісійний деривативний цінний папір, що посвідчує обов’язок емітента здійснювати виплату відсоткових доходів власнику такого цінного папера у розмірі та строки, встановлені проспектом (рішенням про емісію), погашення якого здійснюється шляхом сплати емітентом власнику номінальної вартості такого цінного папера, за умови що не відбулася подія, пов’язана із платоспроможністю третьої особи, зазначеної у проспекті (рішенні про емісію). </w:t>
            </w:r>
          </w:p>
          <w:p w14:paraId="01483105" w14:textId="1CE70235" w:rsidR="00C70550" w:rsidRPr="00286216" w:rsidRDefault="00C70550" w:rsidP="006A358E">
            <w:pPr>
              <w:pStyle w:val="StyleZakonu"/>
              <w:rPr>
                <w:color w:val="000000" w:themeColor="text1"/>
              </w:rPr>
            </w:pPr>
            <w:r w:rsidRPr="00286216">
              <w:rPr>
                <w:color w:val="000000" w:themeColor="text1"/>
              </w:rPr>
              <w:t xml:space="preserve">2. У разі настання події, пов’язаної із платоспроможністю третьої особи, зазначеної у проспекті (рішенні про емісію), власник кредитної ноти втрачає право на одержання відсоткових доходів, а емітент цінного папера зобов’язаний здійснити викуп кредитної ноти за ціною, що </w:t>
            </w:r>
            <w:r w:rsidRPr="00286216">
              <w:rPr>
                <w:color w:val="000000" w:themeColor="text1"/>
              </w:rPr>
              <w:lastRenderedPageBreak/>
              <w:t>визначається в порядку, передбаченому проспектом (рішенням про емісію).</w:t>
            </w:r>
          </w:p>
          <w:p w14:paraId="498D48AF" w14:textId="77777777" w:rsidR="00C70550" w:rsidRPr="00286216" w:rsidRDefault="00C70550" w:rsidP="006A358E">
            <w:pPr>
              <w:pStyle w:val="StyleZakonu"/>
              <w:rPr>
                <w:color w:val="000000" w:themeColor="text1"/>
              </w:rPr>
            </w:pPr>
            <w:r w:rsidRPr="00286216">
              <w:rPr>
                <w:color w:val="000000" w:themeColor="text1"/>
              </w:rPr>
              <w:t xml:space="preserve">3. Подією, пов’язаною із платоспроможністю третьої особи, є: </w:t>
            </w:r>
          </w:p>
          <w:p w14:paraId="4C2A406F" w14:textId="654C7F19" w:rsidR="00C70550" w:rsidRPr="00286216" w:rsidRDefault="00C70550" w:rsidP="006A358E">
            <w:pPr>
              <w:pStyle w:val="StyleZakonu"/>
              <w:rPr>
                <w:color w:val="000000" w:themeColor="text1"/>
              </w:rPr>
            </w:pPr>
            <w:r w:rsidRPr="00286216">
              <w:rPr>
                <w:color w:val="000000" w:themeColor="text1"/>
              </w:rPr>
              <w:t>1) банкрутство такої третьої особи;</w:t>
            </w:r>
          </w:p>
          <w:p w14:paraId="0BF6C5FB" w14:textId="2C12AD77" w:rsidR="00C70550" w:rsidRPr="00286216" w:rsidRDefault="00C70550" w:rsidP="006A358E">
            <w:pPr>
              <w:pStyle w:val="StyleZakonu"/>
              <w:rPr>
                <w:color w:val="000000" w:themeColor="text1"/>
              </w:rPr>
            </w:pPr>
            <w:r w:rsidRPr="00286216">
              <w:rPr>
                <w:color w:val="000000" w:themeColor="text1"/>
              </w:rPr>
              <w:t>2) встановлена у порядку, визначеному проспектом (рішенням про емісію) кредитної ноти, невиплата або несвоєчасна виплата третьою особою грошового зобов’язання за договором позики, кредиту або іншим договором, передбаченим проспектом (рішенням про емісію) кредитної ноти;</w:t>
            </w:r>
          </w:p>
          <w:p w14:paraId="1515F7FE" w14:textId="77777777" w:rsidR="00C70550" w:rsidRPr="00286216" w:rsidRDefault="00C70550" w:rsidP="006A358E">
            <w:pPr>
              <w:pStyle w:val="StyleZakonu"/>
              <w:rPr>
                <w:color w:val="000000" w:themeColor="text1"/>
              </w:rPr>
            </w:pPr>
            <w:r w:rsidRPr="00286216">
              <w:rPr>
                <w:color w:val="000000" w:themeColor="text1"/>
              </w:rPr>
              <w:t xml:space="preserve">3) проведення процедури фінансової реструктуризації щодо зобов’язання такої третьої особи у порядку, передбаченому законом. </w:t>
            </w:r>
          </w:p>
          <w:p w14:paraId="06D77B88" w14:textId="77777777" w:rsidR="00C70550" w:rsidRPr="00286216" w:rsidRDefault="00C70550" w:rsidP="006A358E">
            <w:pPr>
              <w:pStyle w:val="StyleZakonu"/>
              <w:rPr>
                <w:color w:val="000000" w:themeColor="text1"/>
              </w:rPr>
            </w:pPr>
            <w:r w:rsidRPr="00286216">
              <w:rPr>
                <w:color w:val="000000" w:themeColor="text1"/>
              </w:rPr>
              <w:t>4. Кредитні ноти можуть існувати виключно в електронній формі.</w:t>
            </w:r>
          </w:p>
        </w:tc>
      </w:tr>
      <w:tr w:rsidR="00C70550" w:rsidRPr="00286216" w14:paraId="47A8E1DE" w14:textId="77777777" w:rsidTr="006A358E">
        <w:tc>
          <w:tcPr>
            <w:tcW w:w="576" w:type="dxa"/>
          </w:tcPr>
          <w:p w14:paraId="19070854" w14:textId="77777777" w:rsidR="00C70550" w:rsidRPr="00286216" w:rsidRDefault="00C70550" w:rsidP="006A358E">
            <w:pPr>
              <w:pStyle w:val="StyleWisnow"/>
              <w:rPr>
                <w:color w:val="000000" w:themeColor="text1"/>
              </w:rPr>
            </w:pPr>
          </w:p>
        </w:tc>
        <w:tc>
          <w:tcPr>
            <w:tcW w:w="4818" w:type="dxa"/>
          </w:tcPr>
          <w:p w14:paraId="3DD73CA2" w14:textId="77777777" w:rsidR="00C70550" w:rsidRPr="00286216" w:rsidRDefault="00C70550" w:rsidP="006A358E">
            <w:pPr>
              <w:pStyle w:val="StyleZakonu"/>
              <w:rPr>
                <w:color w:val="000000" w:themeColor="text1"/>
              </w:rPr>
            </w:pPr>
          </w:p>
        </w:tc>
        <w:tc>
          <w:tcPr>
            <w:tcW w:w="3686" w:type="dxa"/>
          </w:tcPr>
          <w:p w14:paraId="053DDC96" w14:textId="229FD1C2"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303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1440FC7"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 xml:space="preserve">У частині першій статті 28 розділу 1 слово та символи  «похідний» виключити. </w:t>
            </w:r>
          </w:p>
        </w:tc>
        <w:tc>
          <w:tcPr>
            <w:tcW w:w="1987" w:type="dxa"/>
          </w:tcPr>
          <w:p w14:paraId="1B1E225B"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6E18C776" w14:textId="77777777" w:rsidR="00C70550" w:rsidRPr="00286216" w:rsidRDefault="00C70550" w:rsidP="006A358E">
            <w:pPr>
              <w:pStyle w:val="StyleZakonu"/>
              <w:rPr>
                <w:color w:val="000000" w:themeColor="text1"/>
              </w:rPr>
            </w:pPr>
          </w:p>
        </w:tc>
      </w:tr>
      <w:tr w:rsidR="00C70550" w:rsidRPr="00286216" w14:paraId="6EADA21C" w14:textId="77777777" w:rsidTr="006A358E">
        <w:tc>
          <w:tcPr>
            <w:tcW w:w="576" w:type="dxa"/>
          </w:tcPr>
          <w:p w14:paraId="34EDDFFC" w14:textId="77777777" w:rsidR="00C70550" w:rsidRPr="00286216" w:rsidRDefault="00C70550" w:rsidP="006A358E">
            <w:pPr>
              <w:pStyle w:val="StyleWisnow"/>
              <w:rPr>
                <w:color w:val="000000" w:themeColor="text1"/>
              </w:rPr>
            </w:pPr>
            <w:r w:rsidRPr="00286216">
              <w:rPr>
                <w:color w:val="000000" w:themeColor="text1"/>
              </w:rPr>
              <w:t>498.</w:t>
            </w:r>
          </w:p>
        </w:tc>
        <w:tc>
          <w:tcPr>
            <w:tcW w:w="4818" w:type="dxa"/>
          </w:tcPr>
          <w:p w14:paraId="24B69453" w14:textId="77777777" w:rsidR="00C70550" w:rsidRPr="00286216" w:rsidRDefault="00C70550" w:rsidP="006A358E">
            <w:pPr>
              <w:pStyle w:val="StyleZakonu"/>
              <w:rPr>
                <w:color w:val="000000" w:themeColor="text1"/>
              </w:rPr>
            </w:pPr>
            <w:r w:rsidRPr="00286216">
              <w:rPr>
                <w:color w:val="000000" w:themeColor="text1"/>
              </w:rPr>
              <w:t>2. Своп, на відносини за яким замінюються відносини між власником кредитної ноти та емітентом, може бути поставним або розрахунковим. Сума платежу емітента кредитної ноти за свопом має відповідати розміру номінальної вартості кредитної ноти.</w:t>
            </w:r>
          </w:p>
        </w:tc>
        <w:tc>
          <w:tcPr>
            <w:tcW w:w="3686" w:type="dxa"/>
          </w:tcPr>
          <w:p w14:paraId="0B64FC76" w14:textId="77777777" w:rsidR="00C70550" w:rsidRPr="00286216" w:rsidRDefault="00C70550" w:rsidP="006A358E">
            <w:pPr>
              <w:pStyle w:val="StyleProp"/>
              <w:rPr>
                <w:color w:val="000000" w:themeColor="text1"/>
                <w:szCs w:val="18"/>
              </w:rPr>
            </w:pPr>
          </w:p>
        </w:tc>
        <w:tc>
          <w:tcPr>
            <w:tcW w:w="1987" w:type="dxa"/>
          </w:tcPr>
          <w:p w14:paraId="3C35F935" w14:textId="77777777" w:rsidR="00C70550" w:rsidRPr="00286216" w:rsidRDefault="00C70550" w:rsidP="006A358E">
            <w:pPr>
              <w:pStyle w:val="StyleWisnow"/>
              <w:rPr>
                <w:color w:val="000000" w:themeColor="text1"/>
              </w:rPr>
            </w:pPr>
          </w:p>
        </w:tc>
        <w:tc>
          <w:tcPr>
            <w:tcW w:w="4818" w:type="dxa"/>
          </w:tcPr>
          <w:p w14:paraId="7DA644E3" w14:textId="77777777" w:rsidR="00C70550" w:rsidRPr="00286216" w:rsidRDefault="00C70550" w:rsidP="006A358E">
            <w:pPr>
              <w:pStyle w:val="StyleZakonu"/>
              <w:rPr>
                <w:color w:val="000000" w:themeColor="text1"/>
              </w:rPr>
            </w:pPr>
          </w:p>
        </w:tc>
      </w:tr>
      <w:tr w:rsidR="00C70550" w:rsidRPr="00286216" w14:paraId="1243235D" w14:textId="77777777" w:rsidTr="006A358E">
        <w:tc>
          <w:tcPr>
            <w:tcW w:w="576" w:type="dxa"/>
          </w:tcPr>
          <w:p w14:paraId="163110DF" w14:textId="77777777" w:rsidR="00C70550" w:rsidRPr="00286216" w:rsidRDefault="00C70550" w:rsidP="006A358E">
            <w:pPr>
              <w:pStyle w:val="StyleWisnow"/>
              <w:rPr>
                <w:color w:val="000000" w:themeColor="text1"/>
              </w:rPr>
            </w:pPr>
            <w:r w:rsidRPr="00286216">
              <w:rPr>
                <w:color w:val="000000" w:themeColor="text1"/>
              </w:rPr>
              <w:t>499.</w:t>
            </w:r>
          </w:p>
        </w:tc>
        <w:tc>
          <w:tcPr>
            <w:tcW w:w="4818" w:type="dxa"/>
          </w:tcPr>
          <w:p w14:paraId="736108DC" w14:textId="77777777" w:rsidR="00C70550" w:rsidRPr="00286216" w:rsidRDefault="00C70550" w:rsidP="006A358E">
            <w:pPr>
              <w:pStyle w:val="StyleZakonu"/>
              <w:rPr>
                <w:color w:val="000000" w:themeColor="text1"/>
              </w:rPr>
            </w:pPr>
            <w:r w:rsidRPr="00286216">
              <w:rPr>
                <w:color w:val="000000" w:themeColor="text1"/>
              </w:rPr>
              <w:t>3. Події, що обумовлюють виникнення відносин за свопом за кредитною нотою, визначаються проспектом (рішенням про емісію цінних паперів) відповідного випуску кредитних нот.</w:t>
            </w:r>
          </w:p>
        </w:tc>
        <w:tc>
          <w:tcPr>
            <w:tcW w:w="3686" w:type="dxa"/>
          </w:tcPr>
          <w:p w14:paraId="6C9DD58F" w14:textId="77777777" w:rsidR="00C70550" w:rsidRPr="00286216" w:rsidRDefault="00C70550" w:rsidP="006A358E">
            <w:pPr>
              <w:pStyle w:val="StyleProp"/>
              <w:rPr>
                <w:color w:val="000000" w:themeColor="text1"/>
                <w:szCs w:val="18"/>
              </w:rPr>
            </w:pPr>
          </w:p>
        </w:tc>
        <w:tc>
          <w:tcPr>
            <w:tcW w:w="1987" w:type="dxa"/>
          </w:tcPr>
          <w:p w14:paraId="7E16AFAE" w14:textId="77777777" w:rsidR="00C70550" w:rsidRPr="00286216" w:rsidRDefault="00C70550" w:rsidP="006A358E">
            <w:pPr>
              <w:pStyle w:val="StyleWisnow"/>
              <w:rPr>
                <w:color w:val="000000" w:themeColor="text1"/>
              </w:rPr>
            </w:pPr>
          </w:p>
        </w:tc>
        <w:tc>
          <w:tcPr>
            <w:tcW w:w="4818" w:type="dxa"/>
          </w:tcPr>
          <w:p w14:paraId="475E933B" w14:textId="77777777" w:rsidR="00C70550" w:rsidRPr="00286216" w:rsidRDefault="00C70550" w:rsidP="006A358E">
            <w:pPr>
              <w:pStyle w:val="StyleZakonu"/>
              <w:rPr>
                <w:color w:val="000000" w:themeColor="text1"/>
              </w:rPr>
            </w:pPr>
          </w:p>
        </w:tc>
      </w:tr>
      <w:tr w:rsidR="00C70550" w:rsidRPr="00286216" w14:paraId="4BFEBDC4" w14:textId="77777777" w:rsidTr="006A358E">
        <w:tc>
          <w:tcPr>
            <w:tcW w:w="576" w:type="dxa"/>
          </w:tcPr>
          <w:p w14:paraId="34B073F6" w14:textId="77777777" w:rsidR="00C70550" w:rsidRPr="00286216" w:rsidRDefault="00C70550" w:rsidP="006A358E">
            <w:pPr>
              <w:pStyle w:val="StyleWisnow"/>
              <w:rPr>
                <w:color w:val="000000" w:themeColor="text1"/>
              </w:rPr>
            </w:pPr>
            <w:r w:rsidRPr="00286216">
              <w:rPr>
                <w:color w:val="000000" w:themeColor="text1"/>
              </w:rPr>
              <w:t>500.</w:t>
            </w:r>
          </w:p>
        </w:tc>
        <w:tc>
          <w:tcPr>
            <w:tcW w:w="4818" w:type="dxa"/>
          </w:tcPr>
          <w:p w14:paraId="705D81A6" w14:textId="77777777" w:rsidR="00C70550" w:rsidRPr="00286216" w:rsidRDefault="00C70550" w:rsidP="006A358E">
            <w:pPr>
              <w:pStyle w:val="StyleZakonu"/>
              <w:rPr>
                <w:color w:val="000000" w:themeColor="text1"/>
              </w:rPr>
            </w:pPr>
            <w:r w:rsidRPr="00286216">
              <w:rPr>
                <w:color w:val="000000" w:themeColor="text1"/>
              </w:rPr>
              <w:t>4. Кредитні ноти можуть існувати виключно в бездокументарній формі.</w:t>
            </w:r>
          </w:p>
        </w:tc>
        <w:tc>
          <w:tcPr>
            <w:tcW w:w="3686" w:type="dxa"/>
          </w:tcPr>
          <w:p w14:paraId="4E43C2FA" w14:textId="4CF5F7AD"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89BCC76"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слово «бездокументарній», замінити словом «електронній».</w:t>
            </w:r>
          </w:p>
        </w:tc>
        <w:tc>
          <w:tcPr>
            <w:tcW w:w="1987" w:type="dxa"/>
          </w:tcPr>
          <w:p w14:paraId="2BFF83F7"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04765DF2" w14:textId="77777777" w:rsidR="00C70550" w:rsidRPr="00286216" w:rsidRDefault="00C70550" w:rsidP="006A358E">
            <w:pPr>
              <w:pStyle w:val="StyleZakonu"/>
              <w:rPr>
                <w:color w:val="000000" w:themeColor="text1"/>
              </w:rPr>
            </w:pPr>
          </w:p>
        </w:tc>
      </w:tr>
      <w:tr w:rsidR="00C70550" w:rsidRPr="00286216" w14:paraId="5269367F" w14:textId="77777777" w:rsidTr="006A358E">
        <w:tc>
          <w:tcPr>
            <w:tcW w:w="576" w:type="dxa"/>
          </w:tcPr>
          <w:p w14:paraId="06C2F288" w14:textId="77777777" w:rsidR="00C70550" w:rsidRPr="00286216" w:rsidRDefault="00C70550" w:rsidP="006A358E">
            <w:pPr>
              <w:pStyle w:val="StyleWisnow"/>
              <w:rPr>
                <w:color w:val="000000" w:themeColor="text1"/>
              </w:rPr>
            </w:pPr>
            <w:r w:rsidRPr="00286216">
              <w:rPr>
                <w:color w:val="000000" w:themeColor="text1"/>
              </w:rPr>
              <w:t>501.</w:t>
            </w:r>
          </w:p>
        </w:tc>
        <w:tc>
          <w:tcPr>
            <w:tcW w:w="4818" w:type="dxa"/>
          </w:tcPr>
          <w:p w14:paraId="7FDEF536" w14:textId="77777777" w:rsidR="00C70550" w:rsidRPr="00286216" w:rsidRDefault="00C70550" w:rsidP="006A358E">
            <w:pPr>
              <w:pStyle w:val="StyleZakonu"/>
              <w:rPr>
                <w:color w:val="000000" w:themeColor="text1"/>
              </w:rPr>
            </w:pPr>
            <w:r w:rsidRPr="00286216">
              <w:rPr>
                <w:color w:val="000000" w:themeColor="text1"/>
              </w:rPr>
              <w:t>5. Порядок реєстрації випуску та затвердження проспекту кредитних нот установлюється Національною комісією з цінних паперів та фондового ринку.</w:t>
            </w:r>
          </w:p>
        </w:tc>
        <w:tc>
          <w:tcPr>
            <w:tcW w:w="3686" w:type="dxa"/>
          </w:tcPr>
          <w:p w14:paraId="27722675" w14:textId="77777777" w:rsidR="00C70550" w:rsidRPr="00286216" w:rsidRDefault="00C70550" w:rsidP="006A358E">
            <w:pPr>
              <w:pStyle w:val="StyleProp"/>
              <w:rPr>
                <w:color w:val="000000" w:themeColor="text1"/>
                <w:szCs w:val="18"/>
              </w:rPr>
            </w:pPr>
          </w:p>
        </w:tc>
        <w:tc>
          <w:tcPr>
            <w:tcW w:w="1987" w:type="dxa"/>
          </w:tcPr>
          <w:p w14:paraId="613A2A7F" w14:textId="77777777" w:rsidR="00C70550" w:rsidRPr="00286216" w:rsidRDefault="00C70550" w:rsidP="006A358E">
            <w:pPr>
              <w:pStyle w:val="StyleWisnow"/>
              <w:rPr>
                <w:color w:val="000000" w:themeColor="text1"/>
              </w:rPr>
            </w:pPr>
          </w:p>
        </w:tc>
        <w:tc>
          <w:tcPr>
            <w:tcW w:w="4818" w:type="dxa"/>
          </w:tcPr>
          <w:p w14:paraId="0F7D3BBB" w14:textId="77777777" w:rsidR="00C70550" w:rsidRPr="00286216" w:rsidRDefault="00C70550" w:rsidP="006A358E">
            <w:pPr>
              <w:pStyle w:val="StyleZakonu"/>
              <w:rPr>
                <w:color w:val="000000" w:themeColor="text1"/>
              </w:rPr>
            </w:pPr>
            <w:r w:rsidRPr="00286216">
              <w:rPr>
                <w:color w:val="000000" w:themeColor="text1"/>
              </w:rPr>
              <w:t>5. Порядок реєстрації випуску та затвердження проспекту (рішення про емісію) кредитних нот установлюється Національною комісією з цінних паперів та фондового ринку.</w:t>
            </w:r>
          </w:p>
        </w:tc>
      </w:tr>
      <w:tr w:rsidR="00C70550" w:rsidRPr="00286216" w14:paraId="36B7678A" w14:textId="77777777" w:rsidTr="006A358E">
        <w:tc>
          <w:tcPr>
            <w:tcW w:w="576" w:type="dxa"/>
          </w:tcPr>
          <w:p w14:paraId="295C7D81" w14:textId="77777777" w:rsidR="00C70550" w:rsidRPr="00286216" w:rsidRDefault="00C70550" w:rsidP="006A358E">
            <w:pPr>
              <w:pStyle w:val="StyleWisnow"/>
              <w:rPr>
                <w:color w:val="000000" w:themeColor="text1"/>
              </w:rPr>
            </w:pPr>
            <w:r w:rsidRPr="00286216">
              <w:rPr>
                <w:color w:val="000000" w:themeColor="text1"/>
              </w:rPr>
              <w:t>502.</w:t>
            </w:r>
          </w:p>
        </w:tc>
        <w:tc>
          <w:tcPr>
            <w:tcW w:w="4818" w:type="dxa"/>
          </w:tcPr>
          <w:p w14:paraId="5C478FC2" w14:textId="77777777" w:rsidR="00C70550" w:rsidRPr="00286216" w:rsidRDefault="00C70550" w:rsidP="006A358E">
            <w:pPr>
              <w:pStyle w:val="StyleZakonu"/>
              <w:rPr>
                <w:color w:val="000000" w:themeColor="text1"/>
              </w:rPr>
            </w:pPr>
            <w:r w:rsidRPr="00286216">
              <w:rPr>
                <w:color w:val="000000" w:themeColor="text1"/>
              </w:rPr>
              <w:t>6. Обіг кредитних нот дозволяється після реєстрації Національною комісією з цінних паперів та фондового ринку звіту про результати емісії кредитних нот та видачі свідоцтва про реєстрацію випуску кредитних нот.</w:t>
            </w:r>
          </w:p>
        </w:tc>
        <w:tc>
          <w:tcPr>
            <w:tcW w:w="3686" w:type="dxa"/>
          </w:tcPr>
          <w:p w14:paraId="4062F3C5" w14:textId="77777777" w:rsidR="00C70550" w:rsidRPr="00286216" w:rsidRDefault="00C70550" w:rsidP="006A358E">
            <w:pPr>
              <w:pStyle w:val="StyleProp"/>
              <w:rPr>
                <w:color w:val="000000" w:themeColor="text1"/>
                <w:szCs w:val="18"/>
              </w:rPr>
            </w:pPr>
          </w:p>
        </w:tc>
        <w:tc>
          <w:tcPr>
            <w:tcW w:w="1987" w:type="dxa"/>
          </w:tcPr>
          <w:p w14:paraId="2F2EB4CB" w14:textId="77777777" w:rsidR="00C70550" w:rsidRPr="00286216" w:rsidRDefault="00C70550" w:rsidP="006A358E">
            <w:pPr>
              <w:pStyle w:val="StyleWisnow"/>
              <w:rPr>
                <w:color w:val="000000" w:themeColor="text1"/>
              </w:rPr>
            </w:pPr>
          </w:p>
        </w:tc>
        <w:tc>
          <w:tcPr>
            <w:tcW w:w="4818" w:type="dxa"/>
          </w:tcPr>
          <w:p w14:paraId="2DDA9CA0" w14:textId="77777777" w:rsidR="00C70550" w:rsidRPr="00286216" w:rsidRDefault="00C70550" w:rsidP="006A358E">
            <w:pPr>
              <w:pStyle w:val="StyleZakonu"/>
              <w:rPr>
                <w:color w:val="000000" w:themeColor="text1"/>
              </w:rPr>
            </w:pPr>
            <w:r w:rsidRPr="00286216">
              <w:rPr>
                <w:color w:val="000000" w:themeColor="text1"/>
              </w:rPr>
              <w:t>6. Обіг кредитних нот дозволяється після реєстрації Національною комісією з цінних паперів та фондового ринку звіту про результати емісії кредитних нот та видачі свідоцтва про реєстрацію випуску кредитних нот.</w:t>
            </w:r>
          </w:p>
        </w:tc>
      </w:tr>
      <w:tr w:rsidR="00C70550" w:rsidRPr="00286216" w14:paraId="2E9D8504" w14:textId="77777777" w:rsidTr="006A358E">
        <w:tc>
          <w:tcPr>
            <w:tcW w:w="576" w:type="dxa"/>
          </w:tcPr>
          <w:p w14:paraId="350BE290" w14:textId="77777777" w:rsidR="00C70550" w:rsidRPr="00286216" w:rsidRDefault="00C70550" w:rsidP="006A358E">
            <w:pPr>
              <w:pStyle w:val="StyleWisnow"/>
              <w:rPr>
                <w:color w:val="000000" w:themeColor="text1"/>
              </w:rPr>
            </w:pPr>
            <w:r w:rsidRPr="00286216">
              <w:rPr>
                <w:color w:val="000000" w:themeColor="text1"/>
              </w:rPr>
              <w:t>503.</w:t>
            </w:r>
          </w:p>
        </w:tc>
        <w:tc>
          <w:tcPr>
            <w:tcW w:w="4818" w:type="dxa"/>
          </w:tcPr>
          <w:p w14:paraId="23FF8874" w14:textId="77777777" w:rsidR="00C70550" w:rsidRPr="00286216" w:rsidRDefault="00C70550" w:rsidP="006A358E">
            <w:pPr>
              <w:pStyle w:val="StyleZakonu"/>
              <w:rPr>
                <w:color w:val="000000" w:themeColor="text1"/>
              </w:rPr>
            </w:pPr>
            <w:r w:rsidRPr="00286216">
              <w:rPr>
                <w:color w:val="000000" w:themeColor="text1"/>
              </w:rPr>
              <w:t>Стаття 29. Депозитарні розписки</w:t>
            </w:r>
          </w:p>
        </w:tc>
        <w:tc>
          <w:tcPr>
            <w:tcW w:w="3686" w:type="dxa"/>
          </w:tcPr>
          <w:p w14:paraId="1D229153" w14:textId="77777777" w:rsidR="00C70550" w:rsidRPr="00286216" w:rsidRDefault="00C70550" w:rsidP="006A358E">
            <w:pPr>
              <w:pStyle w:val="StyleProp"/>
              <w:rPr>
                <w:color w:val="000000" w:themeColor="text1"/>
                <w:szCs w:val="18"/>
              </w:rPr>
            </w:pPr>
          </w:p>
        </w:tc>
        <w:tc>
          <w:tcPr>
            <w:tcW w:w="1987" w:type="dxa"/>
          </w:tcPr>
          <w:p w14:paraId="522DE60F" w14:textId="77777777" w:rsidR="00C70550" w:rsidRPr="00286216" w:rsidRDefault="00C70550" w:rsidP="006A358E">
            <w:pPr>
              <w:pStyle w:val="StyleWisnow"/>
              <w:rPr>
                <w:color w:val="000000" w:themeColor="text1"/>
              </w:rPr>
            </w:pPr>
          </w:p>
        </w:tc>
        <w:tc>
          <w:tcPr>
            <w:tcW w:w="4818" w:type="dxa"/>
          </w:tcPr>
          <w:p w14:paraId="45DF9D2C" w14:textId="77777777" w:rsidR="00C70550" w:rsidRPr="00286216" w:rsidRDefault="00C70550" w:rsidP="006A358E">
            <w:pPr>
              <w:pStyle w:val="StyleZakonu"/>
              <w:rPr>
                <w:color w:val="000000" w:themeColor="text1"/>
              </w:rPr>
            </w:pPr>
            <w:r w:rsidRPr="00286216">
              <w:rPr>
                <w:color w:val="000000" w:themeColor="text1"/>
              </w:rPr>
              <w:t>Стаття 25. Депозитарні розписки</w:t>
            </w:r>
          </w:p>
        </w:tc>
      </w:tr>
      <w:tr w:rsidR="00C70550" w:rsidRPr="00286216" w14:paraId="3C84D0B7" w14:textId="77777777" w:rsidTr="006A358E">
        <w:tc>
          <w:tcPr>
            <w:tcW w:w="576" w:type="dxa"/>
          </w:tcPr>
          <w:p w14:paraId="6C04B0BC" w14:textId="77777777" w:rsidR="00C70550" w:rsidRPr="00286216" w:rsidRDefault="00C70550" w:rsidP="006A358E">
            <w:pPr>
              <w:pStyle w:val="StyleWisnow"/>
              <w:rPr>
                <w:color w:val="000000" w:themeColor="text1"/>
              </w:rPr>
            </w:pPr>
            <w:r w:rsidRPr="00286216">
              <w:rPr>
                <w:color w:val="000000" w:themeColor="text1"/>
              </w:rPr>
              <w:lastRenderedPageBreak/>
              <w:t>504.</w:t>
            </w:r>
          </w:p>
        </w:tc>
        <w:tc>
          <w:tcPr>
            <w:tcW w:w="4818" w:type="dxa"/>
          </w:tcPr>
          <w:p w14:paraId="0AFD04AD" w14:textId="77777777" w:rsidR="00C70550" w:rsidRPr="00286216" w:rsidRDefault="00C70550" w:rsidP="006A358E">
            <w:pPr>
              <w:pStyle w:val="StyleZakonu"/>
              <w:rPr>
                <w:color w:val="000000" w:themeColor="text1"/>
              </w:rPr>
            </w:pPr>
            <w:r w:rsidRPr="00286216">
              <w:rPr>
                <w:color w:val="000000" w:themeColor="text1"/>
              </w:rPr>
              <w:t>1. Депозитарна розписка - іменний деривативний (похідний) цінний папір, що засвідчує право його власника на отримання від емітента депозитарної розписки виплат доходів, які будуть одержані емітентом депозитарної розписки за певною кількістю цінних паперів іноземного емітента, розміщених за межами України, власником яких є емітент депозитарної розписки і які є базовим активом депозитарної розписки, а також право вимагати реалізації емітентом депозитарної розписки всіх інших прав за цінними паперами, які є базовим активом депозитарної розписки, у тому числі права на управління емітентом цінних паперів, які є базовим активом депозитарної розписки, згідно з інструкціями власника депозитарної розписки.</w:t>
            </w:r>
          </w:p>
        </w:tc>
        <w:tc>
          <w:tcPr>
            <w:tcW w:w="3686" w:type="dxa"/>
          </w:tcPr>
          <w:p w14:paraId="27A91560" w14:textId="08A4DCE5"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CA5C404" w14:textId="77777777" w:rsidR="00C70550" w:rsidRPr="00286216" w:rsidRDefault="00C70550" w:rsidP="006A358E">
            <w:pPr>
              <w:pStyle w:val="StyleProp"/>
              <w:spacing w:line="19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 слова «бездокументарній», «документарній» в усіх відмінках і числах замінити відповідно словами «електронній», «паперовій» у відповідному відмінку і числі.</w:t>
            </w:r>
          </w:p>
          <w:p w14:paraId="1E5D9383" w14:textId="77777777" w:rsidR="00C70550" w:rsidRPr="00286216" w:rsidRDefault="00C70550" w:rsidP="006A358E">
            <w:pPr>
              <w:pStyle w:val="StyleProp"/>
              <w:rPr>
                <w:color w:val="000000" w:themeColor="text1"/>
                <w:szCs w:val="18"/>
              </w:rPr>
            </w:pPr>
          </w:p>
          <w:p w14:paraId="06F0DC10" w14:textId="1B3F2FD2"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306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13712A0"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 xml:space="preserve">У частині першій статті 29 розділу 1 слово та символи  «похідний» виключити. </w:t>
            </w:r>
          </w:p>
          <w:p w14:paraId="18D2628A" w14:textId="77777777" w:rsidR="00C70550" w:rsidRPr="00286216" w:rsidRDefault="00C70550" w:rsidP="006A358E">
            <w:pPr>
              <w:pStyle w:val="StyleProp"/>
              <w:rPr>
                <w:color w:val="000000" w:themeColor="text1"/>
                <w:szCs w:val="18"/>
              </w:rPr>
            </w:pPr>
          </w:p>
        </w:tc>
        <w:tc>
          <w:tcPr>
            <w:tcW w:w="1987" w:type="dxa"/>
          </w:tcPr>
          <w:p w14:paraId="5A1AF683" w14:textId="77777777" w:rsidR="00C70550" w:rsidRPr="00286216" w:rsidRDefault="00C70550" w:rsidP="006A358E">
            <w:pPr>
              <w:pStyle w:val="StyleWisnow"/>
              <w:rPr>
                <w:color w:val="000000" w:themeColor="text1"/>
              </w:rPr>
            </w:pPr>
            <w:r w:rsidRPr="00286216">
              <w:rPr>
                <w:color w:val="000000" w:themeColor="text1"/>
              </w:rPr>
              <w:t>Враховано</w:t>
            </w:r>
          </w:p>
          <w:p w14:paraId="576FEA23" w14:textId="77777777" w:rsidR="00C70550" w:rsidRPr="00286216" w:rsidRDefault="00C70550" w:rsidP="006A358E">
            <w:pPr>
              <w:pStyle w:val="StyleWisnow"/>
              <w:rPr>
                <w:color w:val="000000" w:themeColor="text1"/>
              </w:rPr>
            </w:pPr>
          </w:p>
          <w:p w14:paraId="7B7625CA" w14:textId="77777777" w:rsidR="00C70550" w:rsidRPr="00286216" w:rsidRDefault="00C70550" w:rsidP="006A358E">
            <w:pPr>
              <w:pStyle w:val="StyleWisnow"/>
              <w:rPr>
                <w:color w:val="000000" w:themeColor="text1"/>
              </w:rPr>
            </w:pPr>
          </w:p>
          <w:p w14:paraId="7E94B7DB" w14:textId="77777777" w:rsidR="00C70550" w:rsidRPr="00286216" w:rsidRDefault="00C70550" w:rsidP="006A358E">
            <w:pPr>
              <w:pStyle w:val="StyleWisnow"/>
              <w:rPr>
                <w:color w:val="000000" w:themeColor="text1"/>
              </w:rPr>
            </w:pPr>
          </w:p>
          <w:p w14:paraId="2A5E47F8" w14:textId="77777777" w:rsidR="00C70550" w:rsidRPr="00286216" w:rsidRDefault="00C70550" w:rsidP="006A358E">
            <w:pPr>
              <w:pStyle w:val="StyleWisnow"/>
              <w:rPr>
                <w:color w:val="000000" w:themeColor="text1"/>
              </w:rPr>
            </w:pPr>
          </w:p>
          <w:p w14:paraId="7DFBAEDC" w14:textId="77777777" w:rsidR="00C70550" w:rsidRPr="00286216" w:rsidRDefault="00C70550" w:rsidP="006A358E">
            <w:pPr>
              <w:pStyle w:val="StyleWisnow"/>
              <w:rPr>
                <w:color w:val="000000" w:themeColor="text1"/>
              </w:rPr>
            </w:pPr>
          </w:p>
          <w:p w14:paraId="3B702FD9" w14:textId="77777777" w:rsidR="00C70550" w:rsidRPr="00286216" w:rsidRDefault="00C70550" w:rsidP="006A358E">
            <w:pPr>
              <w:pStyle w:val="StyleWisnow"/>
              <w:rPr>
                <w:color w:val="000000" w:themeColor="text1"/>
              </w:rPr>
            </w:pPr>
          </w:p>
          <w:p w14:paraId="452FA73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502F2AAB" w14:textId="7A1651C5" w:rsidR="00C70550" w:rsidRPr="00286216" w:rsidRDefault="00C70550" w:rsidP="006A358E">
            <w:pPr>
              <w:pStyle w:val="StyleZakonu"/>
              <w:rPr>
                <w:color w:val="000000" w:themeColor="text1"/>
              </w:rPr>
            </w:pPr>
            <w:r w:rsidRPr="00286216">
              <w:rPr>
                <w:color w:val="000000" w:themeColor="text1"/>
              </w:rPr>
              <w:t>1. Депозитарна розписка – це іменний деривативний  цінний папір, що посвідчує право його власника на отримання від емітента депозитарної розписки доходів, які будуть одержані емітентом депозитарної розписки за певною кількістю цінних паперів іноземного емітента, розміщених за межами України, власником яких є емітент депозитарної розписки і які є базовим активом депозитарної розписки, а також право вимагати реалізації емітентом депозитарної розписки всіх інших прав за цінними паперами, які є базовим активом депозитарної розписки, у тому числі права на управління емітентом цінних паперів, які є базовим активом депозитарної розписки, згідно з інструкціями власника депозитарної розписки.</w:t>
            </w:r>
          </w:p>
        </w:tc>
      </w:tr>
      <w:tr w:rsidR="00C70550" w:rsidRPr="00286216" w14:paraId="49C32E0E" w14:textId="77777777" w:rsidTr="006A358E">
        <w:tc>
          <w:tcPr>
            <w:tcW w:w="576" w:type="dxa"/>
          </w:tcPr>
          <w:p w14:paraId="4E47DA37" w14:textId="77777777" w:rsidR="00C70550" w:rsidRPr="00286216" w:rsidRDefault="00C70550" w:rsidP="006A358E">
            <w:pPr>
              <w:pStyle w:val="StyleWisnow"/>
              <w:rPr>
                <w:color w:val="000000" w:themeColor="text1"/>
              </w:rPr>
            </w:pPr>
            <w:r w:rsidRPr="00286216">
              <w:rPr>
                <w:color w:val="000000" w:themeColor="text1"/>
              </w:rPr>
              <w:t>505.</w:t>
            </w:r>
          </w:p>
        </w:tc>
        <w:tc>
          <w:tcPr>
            <w:tcW w:w="4818" w:type="dxa"/>
          </w:tcPr>
          <w:p w14:paraId="358B52BD" w14:textId="77777777" w:rsidR="00C70550" w:rsidRPr="00286216" w:rsidRDefault="00C70550" w:rsidP="006A358E">
            <w:pPr>
              <w:pStyle w:val="StyleZakonu"/>
              <w:rPr>
                <w:color w:val="000000" w:themeColor="text1"/>
              </w:rPr>
            </w:pPr>
            <w:r w:rsidRPr="00286216">
              <w:rPr>
                <w:color w:val="000000" w:themeColor="text1"/>
              </w:rPr>
              <w:t>2. Базовим активом одного випуску депозитарних розписок можуть виступати цінні папери іноземного емітента, що забезпечують їх власникові однакові права за такими цінними паперами.</w:t>
            </w:r>
          </w:p>
        </w:tc>
        <w:tc>
          <w:tcPr>
            <w:tcW w:w="3686" w:type="dxa"/>
          </w:tcPr>
          <w:p w14:paraId="3CF1DF92" w14:textId="77777777" w:rsidR="00C70550" w:rsidRPr="00286216" w:rsidRDefault="00C70550" w:rsidP="006A358E">
            <w:pPr>
              <w:pStyle w:val="StyleProp"/>
              <w:rPr>
                <w:color w:val="000000" w:themeColor="text1"/>
                <w:szCs w:val="18"/>
              </w:rPr>
            </w:pPr>
          </w:p>
        </w:tc>
        <w:tc>
          <w:tcPr>
            <w:tcW w:w="1987" w:type="dxa"/>
          </w:tcPr>
          <w:p w14:paraId="261AC5BF" w14:textId="77777777" w:rsidR="00C70550" w:rsidRPr="00286216" w:rsidRDefault="00C70550" w:rsidP="006A358E">
            <w:pPr>
              <w:pStyle w:val="StyleWisnow"/>
              <w:rPr>
                <w:color w:val="000000" w:themeColor="text1"/>
              </w:rPr>
            </w:pPr>
          </w:p>
        </w:tc>
        <w:tc>
          <w:tcPr>
            <w:tcW w:w="4818" w:type="dxa"/>
          </w:tcPr>
          <w:p w14:paraId="6C2104D4" w14:textId="77777777" w:rsidR="00C70550" w:rsidRPr="00286216" w:rsidRDefault="00C70550" w:rsidP="006A358E">
            <w:pPr>
              <w:pStyle w:val="StyleZakonu"/>
              <w:rPr>
                <w:color w:val="000000" w:themeColor="text1"/>
              </w:rPr>
            </w:pPr>
            <w:r w:rsidRPr="00286216">
              <w:rPr>
                <w:color w:val="000000" w:themeColor="text1"/>
              </w:rPr>
              <w:t>2. Базовим активом одного випуску депозитарних розписок можуть виступати цінні папери іноземного емітента, що забезпечують їх власникові однакові права за такими цінними паперами.</w:t>
            </w:r>
          </w:p>
        </w:tc>
      </w:tr>
      <w:tr w:rsidR="00C70550" w:rsidRPr="00286216" w14:paraId="282C6E6C" w14:textId="77777777" w:rsidTr="006A358E">
        <w:tc>
          <w:tcPr>
            <w:tcW w:w="576" w:type="dxa"/>
          </w:tcPr>
          <w:p w14:paraId="5FCA9E6F" w14:textId="77777777" w:rsidR="00C70550" w:rsidRPr="00286216" w:rsidRDefault="00C70550" w:rsidP="006A358E">
            <w:pPr>
              <w:pStyle w:val="StyleWisnow"/>
              <w:rPr>
                <w:color w:val="000000" w:themeColor="text1"/>
              </w:rPr>
            </w:pPr>
            <w:r w:rsidRPr="00286216">
              <w:rPr>
                <w:color w:val="000000" w:themeColor="text1"/>
              </w:rPr>
              <w:t>506.</w:t>
            </w:r>
          </w:p>
        </w:tc>
        <w:tc>
          <w:tcPr>
            <w:tcW w:w="4818" w:type="dxa"/>
          </w:tcPr>
          <w:p w14:paraId="7B2CEFDF" w14:textId="77777777" w:rsidR="00C70550" w:rsidRPr="00286216" w:rsidRDefault="00C70550" w:rsidP="006A358E">
            <w:pPr>
              <w:pStyle w:val="StyleZakonu"/>
              <w:rPr>
                <w:color w:val="000000" w:themeColor="text1"/>
              </w:rPr>
            </w:pPr>
            <w:r w:rsidRPr="00286216">
              <w:rPr>
                <w:color w:val="000000" w:themeColor="text1"/>
              </w:rPr>
              <w:t>Базовим активом депозитарної розписки не можуть бути деривативні (похідні) цінні папери, деривативні контракти та інші фінансові інструменти, визначені Національною комісією з цінних паперів та фондового ринку.</w:t>
            </w:r>
          </w:p>
        </w:tc>
        <w:tc>
          <w:tcPr>
            <w:tcW w:w="3686" w:type="dxa"/>
          </w:tcPr>
          <w:p w14:paraId="05FB3F44" w14:textId="243A1320"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2B6D3E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0AECAB67" w14:textId="0CEAAB50"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308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4783768"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У абзаці другому частини другої статті 29 слово та символи «(похідні)» виключити.</w:t>
            </w:r>
          </w:p>
        </w:tc>
        <w:tc>
          <w:tcPr>
            <w:tcW w:w="1987" w:type="dxa"/>
          </w:tcPr>
          <w:p w14:paraId="02F251F9" w14:textId="77777777" w:rsidR="00C70550" w:rsidRPr="00286216" w:rsidRDefault="00C70550" w:rsidP="006A358E">
            <w:pPr>
              <w:pStyle w:val="StyleWisnow"/>
              <w:rPr>
                <w:color w:val="000000" w:themeColor="text1"/>
              </w:rPr>
            </w:pPr>
            <w:r w:rsidRPr="00286216">
              <w:rPr>
                <w:color w:val="000000" w:themeColor="text1"/>
              </w:rPr>
              <w:t>Враховано</w:t>
            </w:r>
          </w:p>
          <w:p w14:paraId="253F71FC" w14:textId="77777777" w:rsidR="00C70550" w:rsidRPr="00286216" w:rsidRDefault="00C70550" w:rsidP="006A358E">
            <w:pPr>
              <w:pStyle w:val="StyleWisnow"/>
              <w:rPr>
                <w:color w:val="000000" w:themeColor="text1"/>
              </w:rPr>
            </w:pPr>
          </w:p>
          <w:p w14:paraId="0E0490B1" w14:textId="77777777" w:rsidR="00C70550" w:rsidRPr="00286216" w:rsidRDefault="00C70550" w:rsidP="006A358E">
            <w:pPr>
              <w:pStyle w:val="StyleWisnow"/>
              <w:rPr>
                <w:color w:val="000000" w:themeColor="text1"/>
              </w:rPr>
            </w:pPr>
          </w:p>
          <w:p w14:paraId="602F8CFF"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B410368" w14:textId="77777777" w:rsidR="00C70550" w:rsidRPr="00286216" w:rsidRDefault="00C70550" w:rsidP="006A358E">
            <w:pPr>
              <w:pStyle w:val="StyleZakonu"/>
              <w:rPr>
                <w:color w:val="000000" w:themeColor="text1"/>
              </w:rPr>
            </w:pPr>
            <w:r w:rsidRPr="00286216">
              <w:rPr>
                <w:color w:val="000000" w:themeColor="text1"/>
              </w:rPr>
              <w:t>Базовим активом депозитарної розписки не можуть бути деривативні цінні папери, деривативні контракти та інші фінансові інструменти, визначені Національною комісією з цінних паперів та фондового ринку.</w:t>
            </w:r>
          </w:p>
        </w:tc>
      </w:tr>
      <w:tr w:rsidR="00C70550" w:rsidRPr="00286216" w14:paraId="1EF9EBE3" w14:textId="77777777" w:rsidTr="006A358E">
        <w:tc>
          <w:tcPr>
            <w:tcW w:w="576" w:type="dxa"/>
          </w:tcPr>
          <w:p w14:paraId="4B94DD35" w14:textId="77777777" w:rsidR="00C70550" w:rsidRPr="00286216" w:rsidRDefault="00C70550" w:rsidP="006A358E">
            <w:pPr>
              <w:pStyle w:val="StyleWisnow"/>
              <w:rPr>
                <w:color w:val="000000" w:themeColor="text1"/>
              </w:rPr>
            </w:pPr>
            <w:r w:rsidRPr="00286216">
              <w:rPr>
                <w:color w:val="000000" w:themeColor="text1"/>
              </w:rPr>
              <w:t>507.</w:t>
            </w:r>
          </w:p>
        </w:tc>
        <w:tc>
          <w:tcPr>
            <w:tcW w:w="4818" w:type="dxa"/>
          </w:tcPr>
          <w:p w14:paraId="28F70808" w14:textId="77777777" w:rsidR="00C70550" w:rsidRPr="00286216" w:rsidRDefault="00C70550" w:rsidP="006A358E">
            <w:pPr>
              <w:pStyle w:val="StyleZakonu"/>
              <w:rPr>
                <w:color w:val="000000" w:themeColor="text1"/>
              </w:rPr>
            </w:pPr>
            <w:r w:rsidRPr="00286216">
              <w:rPr>
                <w:color w:val="000000" w:themeColor="text1"/>
              </w:rPr>
              <w:t>3. Емітент депозитарних розписок може здійснювати їх емісію за умови, що він є власником цінних паперів, які є базовим активом депозитарних розписок, або має безумовне право на придбання у власність таких цінних паперів у кількості, визначеній проспектом (рішенням про емісію цінних паперів) депозитарних розписок, невідкладно після розміщення депозитарних розписок. Емітент депозитарних розписок зобов’язаний у строки, встановлені Національною комісією з цінних паперів та фондового ринку, з дотриманням умов законодавства забезпечити здійснення обтяження базового активу, яке матиме наслідком унеможливлення відчуження базового активу на час обігу депозитарних розписок.</w:t>
            </w:r>
          </w:p>
        </w:tc>
        <w:tc>
          <w:tcPr>
            <w:tcW w:w="3686" w:type="dxa"/>
          </w:tcPr>
          <w:p w14:paraId="27FBE337" w14:textId="77777777" w:rsidR="00C70550" w:rsidRPr="00286216" w:rsidRDefault="00C70550" w:rsidP="006A358E">
            <w:pPr>
              <w:pStyle w:val="StyleProp"/>
              <w:rPr>
                <w:color w:val="000000" w:themeColor="text1"/>
                <w:szCs w:val="18"/>
              </w:rPr>
            </w:pPr>
          </w:p>
        </w:tc>
        <w:tc>
          <w:tcPr>
            <w:tcW w:w="1987" w:type="dxa"/>
          </w:tcPr>
          <w:p w14:paraId="05487353" w14:textId="77777777" w:rsidR="00C70550" w:rsidRPr="00286216" w:rsidRDefault="00C70550" w:rsidP="006A358E">
            <w:pPr>
              <w:pStyle w:val="StyleWisnow"/>
              <w:rPr>
                <w:color w:val="000000" w:themeColor="text1"/>
              </w:rPr>
            </w:pPr>
          </w:p>
        </w:tc>
        <w:tc>
          <w:tcPr>
            <w:tcW w:w="4818" w:type="dxa"/>
          </w:tcPr>
          <w:p w14:paraId="477CEF6C" w14:textId="77777777" w:rsidR="00C70550" w:rsidRPr="00286216" w:rsidRDefault="00C70550" w:rsidP="006A358E">
            <w:pPr>
              <w:pStyle w:val="StyleZakonu"/>
              <w:rPr>
                <w:color w:val="000000" w:themeColor="text1"/>
              </w:rPr>
            </w:pPr>
            <w:r w:rsidRPr="00286216">
              <w:rPr>
                <w:color w:val="000000" w:themeColor="text1"/>
              </w:rPr>
              <w:t>3. Емітент депозитарних розписок може здійснювати їх емісію за умови, що він є власником цінних паперів, які є базовим активом депозитарних розписок, або має безумовне право на придбання у власність таких цінних паперів у кількості, визначеній проспектом (рішенням про емісію цінних паперів) депозитарних розписок, невідкладно після розміщення депозитарних розписок. Емітент депозитарних розписок зобов’язаний у строки, встановлені Національною комісією з цінних паперів та фондового ринку, з дотриманням умов законодавства забезпечити здійснення обтяження базового активу, яке матиме наслідком унеможливлення відчуження базового активу на час обігу депозитарних розписок.</w:t>
            </w:r>
          </w:p>
        </w:tc>
      </w:tr>
      <w:tr w:rsidR="00C70550" w:rsidRPr="00286216" w14:paraId="210256B2" w14:textId="77777777" w:rsidTr="006A358E">
        <w:tc>
          <w:tcPr>
            <w:tcW w:w="576" w:type="dxa"/>
          </w:tcPr>
          <w:p w14:paraId="74DB1B49" w14:textId="77777777" w:rsidR="00C70550" w:rsidRPr="00286216" w:rsidRDefault="00C70550" w:rsidP="006A358E">
            <w:pPr>
              <w:pStyle w:val="StyleWisnow"/>
              <w:rPr>
                <w:color w:val="000000" w:themeColor="text1"/>
              </w:rPr>
            </w:pPr>
            <w:r w:rsidRPr="00286216">
              <w:rPr>
                <w:color w:val="000000" w:themeColor="text1"/>
              </w:rPr>
              <w:t>508.</w:t>
            </w:r>
          </w:p>
        </w:tc>
        <w:tc>
          <w:tcPr>
            <w:tcW w:w="4818" w:type="dxa"/>
          </w:tcPr>
          <w:p w14:paraId="14B2A5BA" w14:textId="77777777" w:rsidR="00C70550" w:rsidRPr="00286216" w:rsidRDefault="00C70550" w:rsidP="006A358E">
            <w:pPr>
              <w:pStyle w:val="StyleZakonu"/>
              <w:rPr>
                <w:color w:val="000000" w:themeColor="text1"/>
              </w:rPr>
            </w:pPr>
            <w:r w:rsidRPr="00286216">
              <w:rPr>
                <w:color w:val="000000" w:themeColor="text1"/>
              </w:rPr>
              <w:t>4. Порядок емісії, обігу, викупу та/або дострокового припинення обігу (погашення) депозитарних розписок встановлюється нормативно-правовими актами Національної комісії з цінних паперів та фондового ринку.</w:t>
            </w:r>
          </w:p>
        </w:tc>
        <w:tc>
          <w:tcPr>
            <w:tcW w:w="3686" w:type="dxa"/>
          </w:tcPr>
          <w:p w14:paraId="248C7AC2" w14:textId="77777777" w:rsidR="00C70550" w:rsidRPr="00286216" w:rsidRDefault="00C70550" w:rsidP="006A358E">
            <w:pPr>
              <w:pStyle w:val="StyleProp"/>
              <w:rPr>
                <w:color w:val="000000" w:themeColor="text1"/>
                <w:szCs w:val="18"/>
              </w:rPr>
            </w:pPr>
          </w:p>
        </w:tc>
        <w:tc>
          <w:tcPr>
            <w:tcW w:w="1987" w:type="dxa"/>
          </w:tcPr>
          <w:p w14:paraId="3C4E2211" w14:textId="77777777" w:rsidR="00C70550" w:rsidRPr="00286216" w:rsidRDefault="00C70550" w:rsidP="006A358E">
            <w:pPr>
              <w:pStyle w:val="StyleWisnow"/>
              <w:rPr>
                <w:color w:val="000000" w:themeColor="text1"/>
              </w:rPr>
            </w:pPr>
          </w:p>
        </w:tc>
        <w:tc>
          <w:tcPr>
            <w:tcW w:w="4818" w:type="dxa"/>
          </w:tcPr>
          <w:p w14:paraId="1C7DCBDB" w14:textId="77777777" w:rsidR="00C70550" w:rsidRPr="00286216" w:rsidRDefault="00C70550" w:rsidP="006A358E">
            <w:pPr>
              <w:pStyle w:val="StyleZakonu"/>
              <w:rPr>
                <w:color w:val="000000" w:themeColor="text1"/>
              </w:rPr>
            </w:pPr>
            <w:r w:rsidRPr="00286216">
              <w:rPr>
                <w:color w:val="000000" w:themeColor="text1"/>
              </w:rPr>
              <w:t>4. Порядок емісії, обігу, викупу та/або дострокового припинення обігу (погашення) депозитарних розписок встановлюється нормативно-правовими актами Національної комісії з цінних паперів та фондового ринку.</w:t>
            </w:r>
          </w:p>
        </w:tc>
      </w:tr>
      <w:tr w:rsidR="00C70550" w:rsidRPr="00286216" w14:paraId="7ECD43BA" w14:textId="77777777" w:rsidTr="006A358E">
        <w:tc>
          <w:tcPr>
            <w:tcW w:w="576" w:type="dxa"/>
          </w:tcPr>
          <w:p w14:paraId="71C49EBD" w14:textId="77777777" w:rsidR="00C70550" w:rsidRPr="00286216" w:rsidRDefault="00C70550" w:rsidP="006A358E">
            <w:pPr>
              <w:pStyle w:val="StyleWisnow"/>
              <w:rPr>
                <w:color w:val="000000" w:themeColor="text1"/>
              </w:rPr>
            </w:pPr>
            <w:r w:rsidRPr="00286216">
              <w:rPr>
                <w:color w:val="000000" w:themeColor="text1"/>
              </w:rPr>
              <w:lastRenderedPageBreak/>
              <w:t>509.</w:t>
            </w:r>
          </w:p>
        </w:tc>
        <w:tc>
          <w:tcPr>
            <w:tcW w:w="4818" w:type="dxa"/>
          </w:tcPr>
          <w:p w14:paraId="1F0A9BB8" w14:textId="77777777" w:rsidR="00C70550" w:rsidRPr="00286216" w:rsidRDefault="00C70550" w:rsidP="006A358E">
            <w:pPr>
              <w:pStyle w:val="StyleZakonu"/>
              <w:rPr>
                <w:color w:val="000000" w:themeColor="text1"/>
              </w:rPr>
            </w:pPr>
            <w:r w:rsidRPr="00286216">
              <w:rPr>
                <w:color w:val="000000" w:themeColor="text1"/>
              </w:rPr>
              <w:t>5. Емітент депозитарної розписки не має права відчужувати базовий актив депозитарної розписки або розпоряджатися ним протягом строку обігу депозитарної розписки. Обтяження базового активу скасовуються лише після погашення емітентом депозитарної розписки.</w:t>
            </w:r>
          </w:p>
        </w:tc>
        <w:tc>
          <w:tcPr>
            <w:tcW w:w="3686" w:type="dxa"/>
          </w:tcPr>
          <w:p w14:paraId="75049A69" w14:textId="77777777" w:rsidR="00C70550" w:rsidRPr="00286216" w:rsidRDefault="00C70550" w:rsidP="006A358E">
            <w:pPr>
              <w:pStyle w:val="StyleProp"/>
              <w:rPr>
                <w:color w:val="000000" w:themeColor="text1"/>
                <w:szCs w:val="18"/>
              </w:rPr>
            </w:pPr>
          </w:p>
        </w:tc>
        <w:tc>
          <w:tcPr>
            <w:tcW w:w="1987" w:type="dxa"/>
          </w:tcPr>
          <w:p w14:paraId="4CA4B3AB" w14:textId="77777777" w:rsidR="00C70550" w:rsidRPr="00286216" w:rsidRDefault="00C70550" w:rsidP="006A358E">
            <w:pPr>
              <w:pStyle w:val="StyleWisnow"/>
              <w:rPr>
                <w:color w:val="000000" w:themeColor="text1"/>
              </w:rPr>
            </w:pPr>
          </w:p>
        </w:tc>
        <w:tc>
          <w:tcPr>
            <w:tcW w:w="4818" w:type="dxa"/>
          </w:tcPr>
          <w:p w14:paraId="658D74F8" w14:textId="77777777" w:rsidR="00C70550" w:rsidRPr="00286216" w:rsidRDefault="00C70550" w:rsidP="006A358E">
            <w:pPr>
              <w:pStyle w:val="StyleZakonu"/>
              <w:rPr>
                <w:color w:val="000000" w:themeColor="text1"/>
              </w:rPr>
            </w:pPr>
            <w:r w:rsidRPr="00286216">
              <w:rPr>
                <w:color w:val="000000" w:themeColor="text1"/>
              </w:rPr>
              <w:t>5. Емітент депозитарної розписки не має права відчужувати базовий актив депозитарної розписки або розпоряджатися ним протягом строку обігу депозитарної розписки. Обтяження базового активу скасовуються лише після погашення емітентом депозитарної розписки.</w:t>
            </w:r>
          </w:p>
        </w:tc>
      </w:tr>
      <w:tr w:rsidR="00C70550" w:rsidRPr="00286216" w14:paraId="572F4F21" w14:textId="77777777" w:rsidTr="006A358E">
        <w:tc>
          <w:tcPr>
            <w:tcW w:w="576" w:type="dxa"/>
          </w:tcPr>
          <w:p w14:paraId="23AC3D85" w14:textId="77777777" w:rsidR="00C70550" w:rsidRPr="00286216" w:rsidRDefault="00C70550" w:rsidP="006A358E">
            <w:pPr>
              <w:pStyle w:val="StyleWisnow"/>
              <w:rPr>
                <w:color w:val="000000" w:themeColor="text1"/>
              </w:rPr>
            </w:pPr>
            <w:r w:rsidRPr="00286216">
              <w:rPr>
                <w:color w:val="000000" w:themeColor="text1"/>
              </w:rPr>
              <w:t>510.</w:t>
            </w:r>
          </w:p>
        </w:tc>
        <w:tc>
          <w:tcPr>
            <w:tcW w:w="4818" w:type="dxa"/>
          </w:tcPr>
          <w:p w14:paraId="21C0D00A" w14:textId="77777777" w:rsidR="00C70550" w:rsidRPr="00286216" w:rsidRDefault="00C70550" w:rsidP="006A358E">
            <w:pPr>
              <w:pStyle w:val="StyleZakonu"/>
              <w:rPr>
                <w:color w:val="000000" w:themeColor="text1"/>
              </w:rPr>
            </w:pPr>
            <w:r w:rsidRPr="00286216">
              <w:rPr>
                <w:color w:val="000000" w:themeColor="text1"/>
              </w:rPr>
              <w:t>6. Емітент депозитарної розписки зобов’язаний забезпечувати власнику депозитарної розписки реалізацію всіх прав за цінними паперами, які є базовим активом депозитарної розписки, шляхом здійснення емітентом своїх прав за такими цінними паперами згідно з розпорядженням власника депозитарної розписки.</w:t>
            </w:r>
          </w:p>
        </w:tc>
        <w:tc>
          <w:tcPr>
            <w:tcW w:w="3686" w:type="dxa"/>
          </w:tcPr>
          <w:p w14:paraId="7CF9D65D" w14:textId="77777777" w:rsidR="00C70550" w:rsidRPr="00286216" w:rsidRDefault="00C70550" w:rsidP="006A358E">
            <w:pPr>
              <w:pStyle w:val="StyleProp"/>
              <w:rPr>
                <w:color w:val="000000" w:themeColor="text1"/>
                <w:szCs w:val="18"/>
              </w:rPr>
            </w:pPr>
          </w:p>
        </w:tc>
        <w:tc>
          <w:tcPr>
            <w:tcW w:w="1987" w:type="dxa"/>
          </w:tcPr>
          <w:p w14:paraId="17A1999C" w14:textId="77777777" w:rsidR="00C70550" w:rsidRPr="00286216" w:rsidRDefault="00C70550" w:rsidP="006A358E">
            <w:pPr>
              <w:pStyle w:val="StyleWisnow"/>
              <w:rPr>
                <w:color w:val="000000" w:themeColor="text1"/>
              </w:rPr>
            </w:pPr>
          </w:p>
        </w:tc>
        <w:tc>
          <w:tcPr>
            <w:tcW w:w="4818" w:type="dxa"/>
          </w:tcPr>
          <w:p w14:paraId="2D8EB7D6" w14:textId="77777777" w:rsidR="00C70550" w:rsidRPr="00286216" w:rsidRDefault="00C70550" w:rsidP="006A358E">
            <w:pPr>
              <w:pStyle w:val="StyleZakonu"/>
              <w:rPr>
                <w:color w:val="000000" w:themeColor="text1"/>
              </w:rPr>
            </w:pPr>
            <w:r w:rsidRPr="00286216">
              <w:rPr>
                <w:color w:val="000000" w:themeColor="text1"/>
              </w:rPr>
              <w:t>6. Емітент депозитарної розписки зобов’язаний забезпечувати власнику депозитарної розписки реалізацію всіх прав за цінними паперами, які є базовим активом депозитарної розписки, шляхом здійснення емітентом своїх прав за такими цінними паперами згідно з розпорядженням власника депозитарної розписки.</w:t>
            </w:r>
          </w:p>
        </w:tc>
      </w:tr>
      <w:tr w:rsidR="00C70550" w:rsidRPr="00286216" w14:paraId="3DD72C74" w14:textId="77777777" w:rsidTr="006A358E">
        <w:tc>
          <w:tcPr>
            <w:tcW w:w="576" w:type="dxa"/>
          </w:tcPr>
          <w:p w14:paraId="4CFB7C47" w14:textId="77777777" w:rsidR="00C70550" w:rsidRPr="00286216" w:rsidRDefault="00C70550" w:rsidP="006A358E">
            <w:pPr>
              <w:pStyle w:val="StyleWisnow"/>
              <w:rPr>
                <w:color w:val="000000" w:themeColor="text1"/>
              </w:rPr>
            </w:pPr>
            <w:r w:rsidRPr="00286216">
              <w:rPr>
                <w:color w:val="000000" w:themeColor="text1"/>
              </w:rPr>
              <w:t>511.</w:t>
            </w:r>
          </w:p>
        </w:tc>
        <w:tc>
          <w:tcPr>
            <w:tcW w:w="4818" w:type="dxa"/>
          </w:tcPr>
          <w:p w14:paraId="66DBA115" w14:textId="77777777" w:rsidR="00C70550" w:rsidRPr="00286216" w:rsidRDefault="00C70550" w:rsidP="006A358E">
            <w:pPr>
              <w:pStyle w:val="StyleZakonu"/>
              <w:rPr>
                <w:color w:val="000000" w:themeColor="text1"/>
              </w:rPr>
            </w:pPr>
            <w:r w:rsidRPr="00286216">
              <w:rPr>
                <w:color w:val="000000" w:themeColor="text1"/>
              </w:rPr>
              <w:t>7. Всі доходи за цінними паперами, які є базовим активом депозитарної розписки, що виплачуються емітенту протягом строку обігу такої депозитарної розписки, належать власнику депозитарної розписки, якщо інше не передбачено проспектом (рішенням про емісію цінних паперів) депозитарних розписок. Емітент депозитарної розписки зобов’язаний перераховувати такі доходи власнику депозитарної розписки протягом строку, встановленого проспектом (рішенням про емісію цінних паперів) депозитарних розписок.</w:t>
            </w:r>
          </w:p>
        </w:tc>
        <w:tc>
          <w:tcPr>
            <w:tcW w:w="3686" w:type="dxa"/>
          </w:tcPr>
          <w:p w14:paraId="12BF950C" w14:textId="77777777" w:rsidR="00C70550" w:rsidRPr="00286216" w:rsidRDefault="00C70550" w:rsidP="006A358E">
            <w:pPr>
              <w:pStyle w:val="StyleProp"/>
              <w:rPr>
                <w:color w:val="000000" w:themeColor="text1"/>
                <w:szCs w:val="18"/>
              </w:rPr>
            </w:pPr>
          </w:p>
        </w:tc>
        <w:tc>
          <w:tcPr>
            <w:tcW w:w="1987" w:type="dxa"/>
          </w:tcPr>
          <w:p w14:paraId="5AC5AED8" w14:textId="77777777" w:rsidR="00C70550" w:rsidRPr="00286216" w:rsidRDefault="00C70550" w:rsidP="006A358E">
            <w:pPr>
              <w:pStyle w:val="StyleWisnow"/>
              <w:rPr>
                <w:color w:val="000000" w:themeColor="text1"/>
              </w:rPr>
            </w:pPr>
          </w:p>
        </w:tc>
        <w:tc>
          <w:tcPr>
            <w:tcW w:w="4818" w:type="dxa"/>
          </w:tcPr>
          <w:p w14:paraId="6CD18B3A" w14:textId="77777777" w:rsidR="00C70550" w:rsidRPr="00286216" w:rsidRDefault="00C70550" w:rsidP="006A358E">
            <w:pPr>
              <w:pStyle w:val="StyleZakonu"/>
              <w:rPr>
                <w:color w:val="000000" w:themeColor="text1"/>
              </w:rPr>
            </w:pPr>
            <w:r w:rsidRPr="00286216">
              <w:rPr>
                <w:color w:val="000000" w:themeColor="text1"/>
              </w:rPr>
              <w:t>7. Всі доходи за цінними паперами, які є базовим активом депозитарної розписки, що виплачуються емітенту протягом строку обігу такої депозитарної розписки, належать власнику депозитарної розписки, якщо інше не передбачено проспектом (рішенням про емісію цінних паперів) депозитарних розписок. Емітент депозитарної розписки зобов’язаний перераховувати такі доходи власнику депозитарної розписки протягом строку, встановленого проспектом (рішенням про емісію цінних паперів) депозитарних розписок.</w:t>
            </w:r>
          </w:p>
        </w:tc>
      </w:tr>
      <w:tr w:rsidR="00C70550" w:rsidRPr="00286216" w14:paraId="2DE17852" w14:textId="77777777" w:rsidTr="006A358E">
        <w:tc>
          <w:tcPr>
            <w:tcW w:w="576" w:type="dxa"/>
          </w:tcPr>
          <w:p w14:paraId="02D125B4" w14:textId="77777777" w:rsidR="00C70550" w:rsidRPr="00286216" w:rsidRDefault="00C70550" w:rsidP="006A358E">
            <w:pPr>
              <w:pStyle w:val="StyleWisnow"/>
              <w:rPr>
                <w:color w:val="000000" w:themeColor="text1"/>
              </w:rPr>
            </w:pPr>
            <w:r w:rsidRPr="00286216">
              <w:rPr>
                <w:color w:val="000000" w:themeColor="text1"/>
              </w:rPr>
              <w:t>512.</w:t>
            </w:r>
          </w:p>
        </w:tc>
        <w:tc>
          <w:tcPr>
            <w:tcW w:w="4818" w:type="dxa"/>
          </w:tcPr>
          <w:p w14:paraId="2CA0096A" w14:textId="77777777" w:rsidR="00C70550" w:rsidRPr="00286216" w:rsidRDefault="00C70550" w:rsidP="006A358E">
            <w:pPr>
              <w:pStyle w:val="StyleZakonu"/>
              <w:rPr>
                <w:color w:val="000000" w:themeColor="text1"/>
              </w:rPr>
            </w:pPr>
            <w:r w:rsidRPr="00286216">
              <w:rPr>
                <w:color w:val="000000" w:themeColor="text1"/>
              </w:rPr>
              <w:t>8. Депозитарні розписки можуть існувати виключно в бездокументарній формі.</w:t>
            </w:r>
          </w:p>
        </w:tc>
        <w:tc>
          <w:tcPr>
            <w:tcW w:w="3686" w:type="dxa"/>
          </w:tcPr>
          <w:p w14:paraId="1295E2A2" w14:textId="168D94BF"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309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B241108" w14:textId="77777777" w:rsidR="00C70550" w:rsidRPr="00286216" w:rsidRDefault="00C70550" w:rsidP="00E33D71">
            <w:pPr>
              <w:pStyle w:val="StyleProp"/>
              <w:spacing w:line="180" w:lineRule="exact"/>
              <w:rPr>
                <w:color w:val="000000" w:themeColor="text1"/>
                <w:szCs w:val="18"/>
              </w:rPr>
            </w:pPr>
            <w:r w:rsidRPr="00286216">
              <w:rPr>
                <w:color w:val="000000" w:themeColor="text1"/>
                <w:szCs w:val="18"/>
              </w:rPr>
              <w:t>В тексті слово «бездокументарній», замінити словом «електронній».</w:t>
            </w:r>
          </w:p>
        </w:tc>
        <w:tc>
          <w:tcPr>
            <w:tcW w:w="1987" w:type="dxa"/>
          </w:tcPr>
          <w:p w14:paraId="51AE31E1"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22BC53A4" w14:textId="77777777" w:rsidR="00C70550" w:rsidRPr="00286216" w:rsidRDefault="00C70550" w:rsidP="006A358E">
            <w:pPr>
              <w:pStyle w:val="StyleZakonu"/>
              <w:rPr>
                <w:color w:val="000000" w:themeColor="text1"/>
              </w:rPr>
            </w:pPr>
            <w:r w:rsidRPr="00286216">
              <w:rPr>
                <w:color w:val="000000" w:themeColor="text1"/>
              </w:rPr>
              <w:t xml:space="preserve">8. Депозитарні розписки можуть існувати виключно в </w:t>
            </w:r>
            <w:r w:rsidRPr="00286216">
              <w:rPr>
                <w:color w:val="000000" w:themeColor="text1"/>
                <w:szCs w:val="18"/>
              </w:rPr>
              <w:t>електронній</w:t>
            </w:r>
            <w:r w:rsidRPr="00286216">
              <w:rPr>
                <w:color w:val="000000" w:themeColor="text1"/>
              </w:rPr>
              <w:t xml:space="preserve"> формі.</w:t>
            </w:r>
          </w:p>
        </w:tc>
      </w:tr>
      <w:tr w:rsidR="00C70550" w:rsidRPr="00286216" w14:paraId="03A2FCDA" w14:textId="77777777" w:rsidTr="006A358E">
        <w:tc>
          <w:tcPr>
            <w:tcW w:w="576" w:type="dxa"/>
          </w:tcPr>
          <w:p w14:paraId="3DD1AF0A" w14:textId="77777777" w:rsidR="00C70550" w:rsidRPr="00286216" w:rsidRDefault="00C70550" w:rsidP="006A358E">
            <w:pPr>
              <w:pStyle w:val="StyleWisnow"/>
              <w:rPr>
                <w:color w:val="000000" w:themeColor="text1"/>
              </w:rPr>
            </w:pPr>
            <w:r w:rsidRPr="00286216">
              <w:rPr>
                <w:color w:val="000000" w:themeColor="text1"/>
              </w:rPr>
              <w:t>513.</w:t>
            </w:r>
          </w:p>
        </w:tc>
        <w:tc>
          <w:tcPr>
            <w:tcW w:w="4818" w:type="dxa"/>
          </w:tcPr>
          <w:p w14:paraId="3034F6E3" w14:textId="77777777" w:rsidR="00C70550" w:rsidRPr="00286216" w:rsidRDefault="00C70550" w:rsidP="006A358E">
            <w:pPr>
              <w:pStyle w:val="StyleZakonu"/>
              <w:rPr>
                <w:color w:val="000000" w:themeColor="text1"/>
              </w:rPr>
            </w:pPr>
            <w:r w:rsidRPr="00286216">
              <w:rPr>
                <w:color w:val="000000" w:themeColor="text1"/>
              </w:rPr>
              <w:t>9. Строк обігу депозитарної розписки не може перевищувати строку обігу цінних паперів, які є базовим активом депозитарної розписки.</w:t>
            </w:r>
          </w:p>
        </w:tc>
        <w:tc>
          <w:tcPr>
            <w:tcW w:w="3686" w:type="dxa"/>
          </w:tcPr>
          <w:p w14:paraId="7AF03DA6" w14:textId="77777777" w:rsidR="00C70550" w:rsidRPr="00286216" w:rsidRDefault="00C70550" w:rsidP="006A358E">
            <w:pPr>
              <w:pStyle w:val="StyleProp"/>
              <w:rPr>
                <w:color w:val="000000" w:themeColor="text1"/>
                <w:szCs w:val="18"/>
              </w:rPr>
            </w:pPr>
          </w:p>
        </w:tc>
        <w:tc>
          <w:tcPr>
            <w:tcW w:w="1987" w:type="dxa"/>
          </w:tcPr>
          <w:p w14:paraId="6D7A0BAD" w14:textId="77777777" w:rsidR="00C70550" w:rsidRPr="00286216" w:rsidRDefault="00C70550" w:rsidP="006A358E">
            <w:pPr>
              <w:pStyle w:val="StyleWisnow"/>
              <w:rPr>
                <w:color w:val="000000" w:themeColor="text1"/>
              </w:rPr>
            </w:pPr>
          </w:p>
        </w:tc>
        <w:tc>
          <w:tcPr>
            <w:tcW w:w="4818" w:type="dxa"/>
          </w:tcPr>
          <w:p w14:paraId="7E1EEE25" w14:textId="77777777" w:rsidR="00C70550" w:rsidRPr="00286216" w:rsidRDefault="00C70550" w:rsidP="006A358E">
            <w:pPr>
              <w:pStyle w:val="StyleZakonu"/>
              <w:rPr>
                <w:color w:val="000000" w:themeColor="text1"/>
              </w:rPr>
            </w:pPr>
            <w:r w:rsidRPr="00286216">
              <w:rPr>
                <w:color w:val="000000" w:themeColor="text1"/>
              </w:rPr>
              <w:t>9. Строк обігу депозитарної розписки не може перевищувати строку обігу цінних паперів, які є базовим активом депозитарної розписки.</w:t>
            </w:r>
          </w:p>
        </w:tc>
      </w:tr>
      <w:tr w:rsidR="00C70550" w:rsidRPr="00286216" w14:paraId="52037A61" w14:textId="77777777" w:rsidTr="006A358E">
        <w:tc>
          <w:tcPr>
            <w:tcW w:w="576" w:type="dxa"/>
          </w:tcPr>
          <w:p w14:paraId="1ECAF0F8" w14:textId="77777777" w:rsidR="00C70550" w:rsidRPr="00286216" w:rsidRDefault="00C70550" w:rsidP="006A358E">
            <w:pPr>
              <w:pStyle w:val="StyleWisnow"/>
              <w:rPr>
                <w:color w:val="000000" w:themeColor="text1"/>
              </w:rPr>
            </w:pPr>
            <w:r w:rsidRPr="00286216">
              <w:rPr>
                <w:color w:val="000000" w:themeColor="text1"/>
              </w:rPr>
              <w:t>514.</w:t>
            </w:r>
          </w:p>
        </w:tc>
        <w:tc>
          <w:tcPr>
            <w:tcW w:w="4818" w:type="dxa"/>
          </w:tcPr>
          <w:p w14:paraId="6A8B0F4A" w14:textId="77777777" w:rsidR="00C70550" w:rsidRPr="00286216" w:rsidRDefault="00C70550" w:rsidP="006A358E">
            <w:pPr>
              <w:pStyle w:val="StyleZakonu"/>
              <w:rPr>
                <w:color w:val="000000" w:themeColor="text1"/>
              </w:rPr>
            </w:pPr>
            <w:r w:rsidRPr="00286216">
              <w:rPr>
                <w:color w:val="000000" w:themeColor="text1"/>
              </w:rPr>
              <w:t>10. Обіг депозитарних розписок дозволяється після реєстрації Національною комісією з цінних паперів та фондового ринку звіту про результати емісії депозитарних розписок та видачі свідоцтва про реєстрацію випуску депозитарних розписок.</w:t>
            </w:r>
          </w:p>
        </w:tc>
        <w:tc>
          <w:tcPr>
            <w:tcW w:w="3686" w:type="dxa"/>
          </w:tcPr>
          <w:p w14:paraId="73D688BC" w14:textId="77777777" w:rsidR="00C70550" w:rsidRPr="00286216" w:rsidRDefault="00C70550" w:rsidP="006A358E">
            <w:pPr>
              <w:pStyle w:val="StyleProp"/>
              <w:rPr>
                <w:color w:val="000000" w:themeColor="text1"/>
                <w:szCs w:val="18"/>
              </w:rPr>
            </w:pPr>
          </w:p>
        </w:tc>
        <w:tc>
          <w:tcPr>
            <w:tcW w:w="1987" w:type="dxa"/>
          </w:tcPr>
          <w:p w14:paraId="084881FF" w14:textId="77777777" w:rsidR="00C70550" w:rsidRPr="00286216" w:rsidRDefault="00C70550" w:rsidP="006A358E">
            <w:pPr>
              <w:pStyle w:val="StyleWisnow"/>
              <w:rPr>
                <w:color w:val="000000" w:themeColor="text1"/>
              </w:rPr>
            </w:pPr>
          </w:p>
        </w:tc>
        <w:tc>
          <w:tcPr>
            <w:tcW w:w="4818" w:type="dxa"/>
          </w:tcPr>
          <w:p w14:paraId="60AFC41D" w14:textId="77777777" w:rsidR="00C70550" w:rsidRPr="00286216" w:rsidRDefault="00C70550" w:rsidP="006A358E">
            <w:pPr>
              <w:pStyle w:val="StyleZakonu"/>
              <w:rPr>
                <w:color w:val="000000" w:themeColor="text1"/>
              </w:rPr>
            </w:pPr>
            <w:r w:rsidRPr="00286216">
              <w:rPr>
                <w:color w:val="000000" w:themeColor="text1"/>
              </w:rPr>
              <w:t>10. Обіг депозитарних розписок дозволяється після реєстрації Національною комісією з цінних паперів та фондового ринку звіту про результати емісії депозитарних розписок та видачі свідоцтва про реєстрацію випуску депозитарних розписок.</w:t>
            </w:r>
          </w:p>
        </w:tc>
      </w:tr>
      <w:tr w:rsidR="00C70550" w:rsidRPr="00286216" w14:paraId="034CE929" w14:textId="77777777" w:rsidTr="006A358E">
        <w:tc>
          <w:tcPr>
            <w:tcW w:w="576" w:type="dxa"/>
          </w:tcPr>
          <w:p w14:paraId="6A7AC004" w14:textId="77777777" w:rsidR="00C70550" w:rsidRPr="00286216" w:rsidRDefault="00C70550" w:rsidP="006A358E">
            <w:pPr>
              <w:pStyle w:val="StyleWisnow"/>
              <w:rPr>
                <w:color w:val="000000" w:themeColor="text1"/>
              </w:rPr>
            </w:pPr>
            <w:r w:rsidRPr="00286216">
              <w:rPr>
                <w:color w:val="000000" w:themeColor="text1"/>
              </w:rPr>
              <w:t>515.</w:t>
            </w:r>
          </w:p>
        </w:tc>
        <w:tc>
          <w:tcPr>
            <w:tcW w:w="4818" w:type="dxa"/>
          </w:tcPr>
          <w:p w14:paraId="02253F0F" w14:textId="77777777" w:rsidR="00C70550" w:rsidRPr="00286216" w:rsidRDefault="00C70550" w:rsidP="006A358E">
            <w:pPr>
              <w:pStyle w:val="StyleZakonu"/>
              <w:rPr>
                <w:color w:val="000000" w:themeColor="text1"/>
              </w:rPr>
            </w:pPr>
            <w:r w:rsidRPr="00286216">
              <w:rPr>
                <w:color w:val="000000" w:themeColor="text1"/>
              </w:rPr>
              <w:t>Стаття 30. Ощадні сертифікати банків</w:t>
            </w:r>
          </w:p>
        </w:tc>
        <w:tc>
          <w:tcPr>
            <w:tcW w:w="3686" w:type="dxa"/>
          </w:tcPr>
          <w:p w14:paraId="69F0E19D" w14:textId="77777777" w:rsidR="00C70550" w:rsidRPr="00286216" w:rsidRDefault="00C70550" w:rsidP="006A358E">
            <w:pPr>
              <w:pStyle w:val="StyleProp"/>
              <w:rPr>
                <w:color w:val="000000" w:themeColor="text1"/>
                <w:szCs w:val="18"/>
              </w:rPr>
            </w:pPr>
          </w:p>
        </w:tc>
        <w:tc>
          <w:tcPr>
            <w:tcW w:w="1987" w:type="dxa"/>
          </w:tcPr>
          <w:p w14:paraId="590C2299" w14:textId="77777777" w:rsidR="00C70550" w:rsidRPr="00286216" w:rsidRDefault="00C70550" w:rsidP="006A358E">
            <w:pPr>
              <w:pStyle w:val="StyleWisnow"/>
              <w:rPr>
                <w:color w:val="000000" w:themeColor="text1"/>
              </w:rPr>
            </w:pPr>
          </w:p>
        </w:tc>
        <w:tc>
          <w:tcPr>
            <w:tcW w:w="4818" w:type="dxa"/>
          </w:tcPr>
          <w:p w14:paraId="41981AE7" w14:textId="77777777" w:rsidR="00C70550" w:rsidRPr="00286216" w:rsidRDefault="00C70550" w:rsidP="006A358E">
            <w:pPr>
              <w:pStyle w:val="StyleZakonu"/>
              <w:rPr>
                <w:color w:val="000000" w:themeColor="text1"/>
              </w:rPr>
            </w:pPr>
            <w:r w:rsidRPr="00286216">
              <w:rPr>
                <w:color w:val="000000" w:themeColor="text1"/>
              </w:rPr>
              <w:t>Стаття 26. Ощадні сертифікати банків</w:t>
            </w:r>
          </w:p>
        </w:tc>
      </w:tr>
      <w:tr w:rsidR="00C70550" w:rsidRPr="00286216" w14:paraId="10321319" w14:textId="77777777" w:rsidTr="006A358E">
        <w:tc>
          <w:tcPr>
            <w:tcW w:w="576" w:type="dxa"/>
          </w:tcPr>
          <w:p w14:paraId="38998A2F" w14:textId="77777777" w:rsidR="00C70550" w:rsidRPr="00286216" w:rsidRDefault="00C70550" w:rsidP="006A358E">
            <w:pPr>
              <w:pStyle w:val="StyleWisnow"/>
              <w:rPr>
                <w:color w:val="000000" w:themeColor="text1"/>
              </w:rPr>
            </w:pPr>
            <w:r w:rsidRPr="00286216">
              <w:rPr>
                <w:color w:val="000000" w:themeColor="text1"/>
              </w:rPr>
              <w:t>516.</w:t>
            </w:r>
          </w:p>
        </w:tc>
        <w:tc>
          <w:tcPr>
            <w:tcW w:w="4818" w:type="dxa"/>
          </w:tcPr>
          <w:p w14:paraId="75570111" w14:textId="77777777" w:rsidR="00C70550" w:rsidRPr="00286216" w:rsidRDefault="00C70550" w:rsidP="006A358E">
            <w:pPr>
              <w:pStyle w:val="StyleZakonu"/>
              <w:rPr>
                <w:color w:val="000000" w:themeColor="text1"/>
              </w:rPr>
            </w:pPr>
            <w:r w:rsidRPr="00286216">
              <w:rPr>
                <w:color w:val="000000" w:themeColor="text1"/>
              </w:rPr>
              <w:t>1. Ощадний сертифікат банку - цінний папір, який підтверджує суму вкладу, внесеного у банк, і права вкладника (власника сертифіката) на одержання зі спливом встановленого строку суми вкладу та процентів, встановлених сертифікатом, у банку, який його видав.</w:t>
            </w:r>
          </w:p>
        </w:tc>
        <w:tc>
          <w:tcPr>
            <w:tcW w:w="3686" w:type="dxa"/>
          </w:tcPr>
          <w:p w14:paraId="25D0F1C6" w14:textId="77777777" w:rsidR="00C70550" w:rsidRPr="00286216" w:rsidRDefault="00C70550" w:rsidP="006A358E">
            <w:pPr>
              <w:pStyle w:val="StyleProp"/>
              <w:rPr>
                <w:color w:val="000000" w:themeColor="text1"/>
                <w:szCs w:val="18"/>
              </w:rPr>
            </w:pPr>
          </w:p>
        </w:tc>
        <w:tc>
          <w:tcPr>
            <w:tcW w:w="1987" w:type="dxa"/>
          </w:tcPr>
          <w:p w14:paraId="5BD7F180" w14:textId="77777777" w:rsidR="00C70550" w:rsidRPr="00286216" w:rsidRDefault="00C70550" w:rsidP="006A358E">
            <w:pPr>
              <w:pStyle w:val="StyleWisnow"/>
              <w:rPr>
                <w:color w:val="000000" w:themeColor="text1"/>
              </w:rPr>
            </w:pPr>
          </w:p>
        </w:tc>
        <w:tc>
          <w:tcPr>
            <w:tcW w:w="4818" w:type="dxa"/>
          </w:tcPr>
          <w:p w14:paraId="06589AAA" w14:textId="35693645" w:rsidR="00C70550" w:rsidRPr="00286216" w:rsidRDefault="00C70550" w:rsidP="006A358E">
            <w:pPr>
              <w:pStyle w:val="StyleZakonu"/>
              <w:rPr>
                <w:color w:val="000000" w:themeColor="text1"/>
              </w:rPr>
            </w:pPr>
            <w:r w:rsidRPr="00286216">
              <w:rPr>
                <w:color w:val="000000" w:themeColor="text1"/>
              </w:rPr>
              <w:t>1. Ощадний сертифікат банку – це цінний папір, який підтверджує суму вкладу, внесеного в банк, і права вкладника (власника сертифіката) на одержання після спливу встановленого строку суми вкладу та процентів, встановлених сертифікатом, у банку, який його видав.</w:t>
            </w:r>
          </w:p>
        </w:tc>
      </w:tr>
      <w:tr w:rsidR="00C70550" w:rsidRPr="00286216" w14:paraId="246F8C5D" w14:textId="77777777" w:rsidTr="006A358E">
        <w:tc>
          <w:tcPr>
            <w:tcW w:w="576" w:type="dxa"/>
          </w:tcPr>
          <w:p w14:paraId="6C13676B" w14:textId="77777777" w:rsidR="00C70550" w:rsidRPr="00286216" w:rsidRDefault="00C70550" w:rsidP="006A358E">
            <w:pPr>
              <w:pStyle w:val="StyleWisnow"/>
              <w:rPr>
                <w:color w:val="000000" w:themeColor="text1"/>
              </w:rPr>
            </w:pPr>
            <w:r w:rsidRPr="00286216">
              <w:rPr>
                <w:color w:val="000000" w:themeColor="text1"/>
              </w:rPr>
              <w:t>517.</w:t>
            </w:r>
          </w:p>
        </w:tc>
        <w:tc>
          <w:tcPr>
            <w:tcW w:w="4818" w:type="dxa"/>
          </w:tcPr>
          <w:p w14:paraId="3F735CB2" w14:textId="77777777" w:rsidR="00C70550" w:rsidRPr="00286216" w:rsidRDefault="00C70550" w:rsidP="006A358E">
            <w:pPr>
              <w:pStyle w:val="StyleZakonu"/>
              <w:rPr>
                <w:color w:val="000000" w:themeColor="text1"/>
              </w:rPr>
            </w:pPr>
            <w:r w:rsidRPr="00286216">
              <w:rPr>
                <w:color w:val="000000" w:themeColor="text1"/>
              </w:rPr>
              <w:t xml:space="preserve">2. Ощадний сертифікат банку є неемісійним цінним папером, що видається на певний строк (під </w:t>
            </w:r>
            <w:r w:rsidRPr="00286216">
              <w:rPr>
                <w:color w:val="000000" w:themeColor="text1"/>
              </w:rPr>
              <w:lastRenderedPageBreak/>
              <w:t>відсотки, передбачені умовами його видачі).</w:t>
            </w:r>
          </w:p>
        </w:tc>
        <w:tc>
          <w:tcPr>
            <w:tcW w:w="3686" w:type="dxa"/>
          </w:tcPr>
          <w:p w14:paraId="47B7F700" w14:textId="77777777" w:rsidR="00C70550" w:rsidRPr="00286216" w:rsidRDefault="00C70550" w:rsidP="006A358E">
            <w:pPr>
              <w:pStyle w:val="StyleProp"/>
              <w:rPr>
                <w:color w:val="000000" w:themeColor="text1"/>
                <w:szCs w:val="18"/>
              </w:rPr>
            </w:pPr>
          </w:p>
        </w:tc>
        <w:tc>
          <w:tcPr>
            <w:tcW w:w="1987" w:type="dxa"/>
          </w:tcPr>
          <w:p w14:paraId="778B88C6" w14:textId="77777777" w:rsidR="00C70550" w:rsidRPr="00286216" w:rsidRDefault="00C70550" w:rsidP="006A358E">
            <w:pPr>
              <w:pStyle w:val="StyleWisnow"/>
              <w:rPr>
                <w:color w:val="000000" w:themeColor="text1"/>
              </w:rPr>
            </w:pPr>
          </w:p>
        </w:tc>
        <w:tc>
          <w:tcPr>
            <w:tcW w:w="4818" w:type="dxa"/>
          </w:tcPr>
          <w:p w14:paraId="3F0B0299" w14:textId="2053BC7A" w:rsidR="00C70550" w:rsidRPr="00286216" w:rsidRDefault="00C70550" w:rsidP="006A358E">
            <w:pPr>
              <w:pStyle w:val="StyleZakonu"/>
              <w:rPr>
                <w:color w:val="000000" w:themeColor="text1"/>
              </w:rPr>
            </w:pPr>
            <w:r w:rsidRPr="00286216">
              <w:rPr>
                <w:color w:val="000000" w:themeColor="text1"/>
              </w:rPr>
              <w:t xml:space="preserve">2. Ощадний сертифікат банку є неемісійним цінним папером, що видається на певний строк (під </w:t>
            </w:r>
            <w:r w:rsidRPr="00286216">
              <w:rPr>
                <w:color w:val="000000" w:themeColor="text1"/>
              </w:rPr>
              <w:lastRenderedPageBreak/>
              <w:t>проценти, передбачені умовами його видачі).</w:t>
            </w:r>
          </w:p>
        </w:tc>
      </w:tr>
      <w:tr w:rsidR="00C70550" w:rsidRPr="00286216" w14:paraId="10F6BE0B" w14:textId="77777777" w:rsidTr="006A358E">
        <w:tc>
          <w:tcPr>
            <w:tcW w:w="576" w:type="dxa"/>
          </w:tcPr>
          <w:p w14:paraId="66688B06" w14:textId="77777777" w:rsidR="00C70550" w:rsidRPr="00286216" w:rsidRDefault="00C70550" w:rsidP="006A358E">
            <w:pPr>
              <w:pStyle w:val="StyleWisnow"/>
              <w:rPr>
                <w:color w:val="000000" w:themeColor="text1"/>
              </w:rPr>
            </w:pPr>
            <w:r w:rsidRPr="00286216">
              <w:rPr>
                <w:color w:val="000000" w:themeColor="text1"/>
              </w:rPr>
              <w:lastRenderedPageBreak/>
              <w:t>518.</w:t>
            </w:r>
          </w:p>
        </w:tc>
        <w:tc>
          <w:tcPr>
            <w:tcW w:w="4818" w:type="dxa"/>
          </w:tcPr>
          <w:p w14:paraId="53AA4AB5" w14:textId="77777777" w:rsidR="00C70550" w:rsidRPr="00286216" w:rsidRDefault="00C70550" w:rsidP="006A358E">
            <w:pPr>
              <w:pStyle w:val="StyleZakonu"/>
              <w:rPr>
                <w:color w:val="000000" w:themeColor="text1"/>
              </w:rPr>
            </w:pPr>
            <w:r w:rsidRPr="00286216">
              <w:rPr>
                <w:color w:val="000000" w:themeColor="text1"/>
              </w:rPr>
              <w:t>Ощадні сертифікати банків можуть бути виключно ордерними та існують виключно у документарній формі.</w:t>
            </w:r>
          </w:p>
        </w:tc>
        <w:tc>
          <w:tcPr>
            <w:tcW w:w="3686" w:type="dxa"/>
          </w:tcPr>
          <w:p w14:paraId="4700E050" w14:textId="463C6641"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7AA3FBF" w14:textId="77777777" w:rsidR="00C70550" w:rsidRPr="00286216" w:rsidRDefault="00C70550" w:rsidP="006A358E">
            <w:pPr>
              <w:pStyle w:val="StyleProp"/>
              <w:rPr>
                <w:color w:val="000000" w:themeColor="text1"/>
              </w:rPr>
            </w:pPr>
            <w:r w:rsidRPr="00286216">
              <w:rPr>
                <w:color w:val="000000" w:themeColor="text1"/>
                <w:szCs w:val="18"/>
              </w:rPr>
              <w:t>В тексті проекту слово «документарній» замінити словом «паперовій».</w:t>
            </w:r>
          </w:p>
        </w:tc>
        <w:tc>
          <w:tcPr>
            <w:tcW w:w="1987" w:type="dxa"/>
          </w:tcPr>
          <w:p w14:paraId="295C3E55"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52D00258" w14:textId="77777777" w:rsidR="00C70550" w:rsidRPr="00286216" w:rsidRDefault="00C70550" w:rsidP="006A358E">
            <w:pPr>
              <w:pStyle w:val="StyleZakonu"/>
              <w:rPr>
                <w:color w:val="000000" w:themeColor="text1"/>
              </w:rPr>
            </w:pPr>
            <w:r w:rsidRPr="00286216">
              <w:rPr>
                <w:color w:val="000000" w:themeColor="text1"/>
              </w:rPr>
              <w:t xml:space="preserve">Ощадні сертифікати банків можуть бути виключно ордерними та існують виключно у </w:t>
            </w:r>
            <w:r w:rsidRPr="00286216">
              <w:rPr>
                <w:color w:val="000000" w:themeColor="text1"/>
                <w:szCs w:val="18"/>
              </w:rPr>
              <w:t>паперовій</w:t>
            </w:r>
            <w:r w:rsidRPr="00286216">
              <w:rPr>
                <w:color w:val="000000" w:themeColor="text1"/>
              </w:rPr>
              <w:t xml:space="preserve"> формі.</w:t>
            </w:r>
          </w:p>
        </w:tc>
      </w:tr>
      <w:tr w:rsidR="00C70550" w:rsidRPr="00286216" w14:paraId="1E787341" w14:textId="77777777" w:rsidTr="006A358E">
        <w:tc>
          <w:tcPr>
            <w:tcW w:w="576" w:type="dxa"/>
          </w:tcPr>
          <w:p w14:paraId="64E557D4" w14:textId="77777777" w:rsidR="00C70550" w:rsidRPr="00286216" w:rsidRDefault="00C70550" w:rsidP="006A358E">
            <w:pPr>
              <w:pStyle w:val="StyleWisnow"/>
              <w:rPr>
                <w:color w:val="000000" w:themeColor="text1"/>
              </w:rPr>
            </w:pPr>
          </w:p>
        </w:tc>
        <w:tc>
          <w:tcPr>
            <w:tcW w:w="4818" w:type="dxa"/>
          </w:tcPr>
          <w:p w14:paraId="4D6743D2" w14:textId="77777777" w:rsidR="00C70550" w:rsidRPr="00286216" w:rsidRDefault="00C70550" w:rsidP="006A358E">
            <w:pPr>
              <w:pStyle w:val="StyleZakonu"/>
              <w:rPr>
                <w:color w:val="000000" w:themeColor="text1"/>
              </w:rPr>
            </w:pPr>
          </w:p>
        </w:tc>
        <w:tc>
          <w:tcPr>
            <w:tcW w:w="3686" w:type="dxa"/>
          </w:tcPr>
          <w:p w14:paraId="0DA1A709" w14:textId="2385842B" w:rsidR="00C70550" w:rsidRPr="00286216" w:rsidRDefault="00C70550" w:rsidP="006A358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311</w:t>
            </w:r>
            <w:r w:rsidRPr="00286216">
              <w:rPr>
                <w:color w:val="000000" w:themeColor="text1"/>
                <w:spacing w:val="-4"/>
              </w:rPr>
              <w:fldChar w:fldCharType="end"/>
            </w:r>
            <w:r w:rsidRPr="00286216">
              <w:rPr>
                <w:color w:val="000000" w:themeColor="text1"/>
                <w:spacing w:val="-4"/>
              </w:rPr>
              <w:t>-Н.д.Бєлькова О.В. (Реєстр.картка №403)</w:t>
            </w:r>
          </w:p>
          <w:p w14:paraId="0D91AC49" w14:textId="77777777" w:rsidR="00C70550" w:rsidRPr="00286216" w:rsidRDefault="00C70550" w:rsidP="006A358E">
            <w:pPr>
              <w:pStyle w:val="StyleProp"/>
              <w:rPr>
                <w:color w:val="000000" w:themeColor="text1"/>
              </w:rPr>
            </w:pPr>
            <w:r w:rsidRPr="00286216">
              <w:rPr>
                <w:color w:val="000000" w:themeColor="text1"/>
              </w:rPr>
              <w:t xml:space="preserve">Частину другу статті 30 розділу 1 доповнити новим абзацом такого змісту: </w:t>
            </w:r>
          </w:p>
          <w:p w14:paraId="288B1FD9" w14:textId="77777777" w:rsidR="00C70550" w:rsidRPr="00286216" w:rsidRDefault="00C70550" w:rsidP="006A358E">
            <w:pPr>
              <w:pStyle w:val="StyleProp"/>
              <w:rPr>
                <w:color w:val="000000" w:themeColor="text1"/>
              </w:rPr>
            </w:pPr>
            <w:r w:rsidRPr="00286216">
              <w:rPr>
                <w:color w:val="000000" w:themeColor="text1"/>
              </w:rPr>
              <w:t>"Особа, зазначена у ощадному сертифікаті банку, може передавати право власності на такий сертифікат іншій особі лише шляхом вчинення повного (іменного) індосаменту".</w:t>
            </w:r>
          </w:p>
        </w:tc>
        <w:tc>
          <w:tcPr>
            <w:tcW w:w="1987" w:type="dxa"/>
          </w:tcPr>
          <w:p w14:paraId="7C518B90"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tc>
        <w:tc>
          <w:tcPr>
            <w:tcW w:w="4818" w:type="dxa"/>
          </w:tcPr>
          <w:p w14:paraId="5F641B4E" w14:textId="06D187EE" w:rsidR="00C70550" w:rsidRPr="00286216" w:rsidRDefault="00C70550" w:rsidP="006A358E">
            <w:pPr>
              <w:pStyle w:val="StyleZakonu"/>
              <w:rPr>
                <w:color w:val="000000" w:themeColor="text1"/>
              </w:rPr>
            </w:pPr>
            <w:r w:rsidRPr="00286216">
              <w:rPr>
                <w:color w:val="000000" w:themeColor="text1"/>
              </w:rPr>
              <w:t>Особа, зазначена в ощадному сертифікаті банку, може передати право власності на такий сертифікат іншій особі лише шляхом вчинення повного (іменного) індосаменту.</w:t>
            </w:r>
          </w:p>
        </w:tc>
      </w:tr>
      <w:tr w:rsidR="00C70550" w:rsidRPr="00286216" w14:paraId="1030E462" w14:textId="77777777" w:rsidTr="006A358E">
        <w:tc>
          <w:tcPr>
            <w:tcW w:w="576" w:type="dxa"/>
          </w:tcPr>
          <w:p w14:paraId="0DEA3804" w14:textId="77777777" w:rsidR="00C70550" w:rsidRPr="00286216" w:rsidRDefault="00C70550" w:rsidP="006A358E">
            <w:pPr>
              <w:pStyle w:val="StyleWisnow"/>
              <w:rPr>
                <w:color w:val="000000" w:themeColor="text1"/>
              </w:rPr>
            </w:pPr>
            <w:r w:rsidRPr="00286216">
              <w:rPr>
                <w:color w:val="000000" w:themeColor="text1"/>
              </w:rPr>
              <w:t>519.</w:t>
            </w:r>
          </w:p>
        </w:tc>
        <w:tc>
          <w:tcPr>
            <w:tcW w:w="4818" w:type="dxa"/>
          </w:tcPr>
          <w:p w14:paraId="6D73BC27" w14:textId="77777777" w:rsidR="00C70550" w:rsidRPr="00286216" w:rsidRDefault="00C70550" w:rsidP="006A358E">
            <w:pPr>
              <w:pStyle w:val="StyleZakonu"/>
              <w:rPr>
                <w:color w:val="000000" w:themeColor="text1"/>
              </w:rPr>
            </w:pPr>
            <w:r w:rsidRPr="00286216">
              <w:rPr>
                <w:color w:val="000000" w:themeColor="text1"/>
              </w:rPr>
              <w:t>3. В ощадному сертифікаті банку зазначаються найменування виду цінного паперу, найменування і місцезнаходження банку, що видав сертифікат, серія і номер сертифіката, дата видачі, сума депозиту, процентна ставка, строк отримання вкладу, підпис керівника банку або іншої уповноваженої особи, засвідчений печаткою банку.</w:t>
            </w:r>
          </w:p>
        </w:tc>
        <w:tc>
          <w:tcPr>
            <w:tcW w:w="3686" w:type="dxa"/>
          </w:tcPr>
          <w:p w14:paraId="0C06280C" w14:textId="3D63A7E1" w:rsidR="00C70550" w:rsidRPr="00286216" w:rsidRDefault="00C70550" w:rsidP="006A358E">
            <w:pPr>
              <w:pStyle w:val="StyleAwt"/>
              <w:spacing w:line="20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312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33AFBD8" w14:textId="77777777" w:rsidR="00C70550" w:rsidRPr="00286216" w:rsidRDefault="00C70550" w:rsidP="006A358E">
            <w:pPr>
              <w:pStyle w:val="StyleProp"/>
              <w:rPr>
                <w:color w:val="000000" w:themeColor="text1"/>
              </w:rPr>
            </w:pPr>
            <w:r w:rsidRPr="00286216">
              <w:rPr>
                <w:color w:val="000000" w:themeColor="text1"/>
              </w:rPr>
              <w:t>В частині 3 статті 30 слова «сума депозиту» замінити словами «сума вкладу, валюта вкладу»</w:t>
            </w:r>
          </w:p>
          <w:p w14:paraId="68DC831B" w14:textId="441C9FED"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E9E8363" w14:textId="77777777" w:rsidR="00C70550" w:rsidRPr="00286216" w:rsidRDefault="00C70550" w:rsidP="006A358E">
            <w:pPr>
              <w:pStyle w:val="StyleProp"/>
              <w:rPr>
                <w:color w:val="000000" w:themeColor="text1"/>
                <w:szCs w:val="18"/>
              </w:rPr>
            </w:pPr>
            <w:r w:rsidRPr="00286216">
              <w:rPr>
                <w:color w:val="000000" w:themeColor="text1"/>
                <w:szCs w:val="18"/>
              </w:rPr>
              <w:t>Частину 3 ст.30 після слів "сума депозиту" доповнити словами "валюта депозиту".</w:t>
            </w:r>
          </w:p>
        </w:tc>
        <w:tc>
          <w:tcPr>
            <w:tcW w:w="1987" w:type="dxa"/>
          </w:tcPr>
          <w:p w14:paraId="52237256" w14:textId="77777777" w:rsidR="00C70550" w:rsidRPr="00286216" w:rsidRDefault="00C70550" w:rsidP="006A358E">
            <w:pPr>
              <w:pStyle w:val="StyleWisnow"/>
              <w:rPr>
                <w:color w:val="000000" w:themeColor="text1"/>
              </w:rPr>
            </w:pPr>
            <w:r w:rsidRPr="00286216">
              <w:rPr>
                <w:color w:val="000000" w:themeColor="text1"/>
              </w:rPr>
              <w:t>Враховано</w:t>
            </w:r>
          </w:p>
          <w:p w14:paraId="34E6335F" w14:textId="77777777" w:rsidR="00C70550" w:rsidRPr="00286216" w:rsidRDefault="00C70550" w:rsidP="006A358E">
            <w:pPr>
              <w:pStyle w:val="StyleWisnow"/>
              <w:rPr>
                <w:color w:val="000000" w:themeColor="text1"/>
              </w:rPr>
            </w:pPr>
          </w:p>
          <w:p w14:paraId="7E4D8D16" w14:textId="77777777" w:rsidR="00C70550" w:rsidRPr="00286216" w:rsidRDefault="00C70550" w:rsidP="006A358E">
            <w:pPr>
              <w:pStyle w:val="StyleWisnow"/>
              <w:rPr>
                <w:color w:val="000000" w:themeColor="text1"/>
              </w:rPr>
            </w:pPr>
          </w:p>
          <w:p w14:paraId="002A936F" w14:textId="77777777" w:rsidR="00C70550" w:rsidRPr="00286216" w:rsidRDefault="00C70550" w:rsidP="006A358E">
            <w:pPr>
              <w:pStyle w:val="StyleWisnow"/>
              <w:rPr>
                <w:color w:val="000000" w:themeColor="text1"/>
              </w:rPr>
            </w:pPr>
          </w:p>
          <w:p w14:paraId="7C66C856" w14:textId="77777777" w:rsidR="00C70550" w:rsidRPr="00286216" w:rsidRDefault="00C70550" w:rsidP="006A358E">
            <w:pPr>
              <w:pStyle w:val="StyleWisnow"/>
              <w:rPr>
                <w:color w:val="000000" w:themeColor="text1"/>
              </w:rPr>
            </w:pPr>
            <w:r w:rsidRPr="00286216">
              <w:rPr>
                <w:color w:val="000000" w:themeColor="text1"/>
              </w:rPr>
              <w:t>Враховано частково</w:t>
            </w:r>
          </w:p>
        </w:tc>
        <w:tc>
          <w:tcPr>
            <w:tcW w:w="4818" w:type="dxa"/>
          </w:tcPr>
          <w:p w14:paraId="0E20823C" w14:textId="376ACEE9" w:rsidR="00C70550" w:rsidRPr="00286216" w:rsidRDefault="00C70550" w:rsidP="006A358E">
            <w:pPr>
              <w:pStyle w:val="StyleZakonu"/>
              <w:rPr>
                <w:color w:val="000000" w:themeColor="text1"/>
              </w:rPr>
            </w:pPr>
            <w:r w:rsidRPr="00286216">
              <w:rPr>
                <w:color w:val="000000" w:themeColor="text1"/>
              </w:rPr>
              <w:t>3. Обов’язковоми реквізитами ощадного сертифікату банку є:</w:t>
            </w:r>
            <w:r w:rsidRPr="00286216" w:rsidDel="00CD71D6">
              <w:rPr>
                <w:color w:val="000000" w:themeColor="text1"/>
              </w:rPr>
              <w:t xml:space="preserve"> </w:t>
            </w:r>
            <w:r w:rsidRPr="00286216">
              <w:rPr>
                <w:color w:val="000000" w:themeColor="text1"/>
              </w:rPr>
              <w:t>найменування виду цінного папера, найменування і місцезнаходження банку, що видав сертифікат; серія і номер сертифіката; дата видачі; сума вкладу; валюта вкладу; процентна ставка; строк отримання вкладу; підпис керівника банку або іншої уповноваженої особи, скріплений печаткою банку.</w:t>
            </w:r>
          </w:p>
        </w:tc>
      </w:tr>
      <w:tr w:rsidR="00C70550" w:rsidRPr="00286216" w14:paraId="47ABD3DF" w14:textId="77777777" w:rsidTr="006A358E">
        <w:tc>
          <w:tcPr>
            <w:tcW w:w="576" w:type="dxa"/>
          </w:tcPr>
          <w:p w14:paraId="3EB63A00" w14:textId="77777777" w:rsidR="00C70550" w:rsidRPr="00286216" w:rsidRDefault="00C70550" w:rsidP="006A358E">
            <w:pPr>
              <w:pStyle w:val="StyleWisnow"/>
              <w:rPr>
                <w:color w:val="000000" w:themeColor="text1"/>
              </w:rPr>
            </w:pPr>
            <w:r w:rsidRPr="00286216">
              <w:rPr>
                <w:color w:val="000000" w:themeColor="text1"/>
              </w:rPr>
              <w:t>520.</w:t>
            </w:r>
          </w:p>
        </w:tc>
        <w:tc>
          <w:tcPr>
            <w:tcW w:w="4818" w:type="dxa"/>
          </w:tcPr>
          <w:p w14:paraId="6FDBE6E4" w14:textId="77777777" w:rsidR="00C70550" w:rsidRPr="00286216" w:rsidRDefault="00C70550" w:rsidP="006A358E">
            <w:pPr>
              <w:pStyle w:val="StyleZakonu"/>
              <w:rPr>
                <w:color w:val="000000" w:themeColor="text1"/>
              </w:rPr>
            </w:pPr>
            <w:r w:rsidRPr="00286216">
              <w:rPr>
                <w:color w:val="000000" w:themeColor="text1"/>
              </w:rPr>
              <w:t>4. Доход за ощадними сертифікатами банку виплачується під час пред’явлення їх для оплати в банк, що розмістив ці сертифікати.</w:t>
            </w:r>
          </w:p>
        </w:tc>
        <w:tc>
          <w:tcPr>
            <w:tcW w:w="3686" w:type="dxa"/>
          </w:tcPr>
          <w:p w14:paraId="6235B150" w14:textId="77777777" w:rsidR="00C70550" w:rsidRPr="00286216" w:rsidRDefault="00C70550" w:rsidP="006A358E">
            <w:pPr>
              <w:pStyle w:val="StyleProp"/>
              <w:spacing w:line="190" w:lineRule="exact"/>
              <w:rPr>
                <w:color w:val="000000" w:themeColor="text1"/>
              </w:rPr>
            </w:pPr>
          </w:p>
        </w:tc>
        <w:tc>
          <w:tcPr>
            <w:tcW w:w="1987" w:type="dxa"/>
          </w:tcPr>
          <w:p w14:paraId="40E026E6" w14:textId="77777777" w:rsidR="00C70550" w:rsidRPr="00286216" w:rsidRDefault="00C70550" w:rsidP="006A358E">
            <w:pPr>
              <w:pStyle w:val="StyleWisnow"/>
              <w:rPr>
                <w:color w:val="000000" w:themeColor="text1"/>
              </w:rPr>
            </w:pPr>
          </w:p>
        </w:tc>
        <w:tc>
          <w:tcPr>
            <w:tcW w:w="4818" w:type="dxa"/>
          </w:tcPr>
          <w:p w14:paraId="7241216A" w14:textId="1F920F18" w:rsidR="00C70550" w:rsidRPr="00286216" w:rsidRDefault="00C70550" w:rsidP="006A358E">
            <w:pPr>
              <w:pStyle w:val="StyleZakonu"/>
              <w:rPr>
                <w:color w:val="000000" w:themeColor="text1"/>
              </w:rPr>
            </w:pPr>
            <w:r w:rsidRPr="00286216">
              <w:rPr>
                <w:color w:val="000000" w:themeColor="text1"/>
              </w:rPr>
              <w:t>4. Дохід за ощадними сертифікатами банку виплачується під час пред’явлення їх для оплати в банк, що розмістив  сертифікати.</w:t>
            </w:r>
          </w:p>
        </w:tc>
      </w:tr>
      <w:tr w:rsidR="00C70550" w:rsidRPr="00286216" w14:paraId="64856B85" w14:textId="77777777" w:rsidTr="006A358E">
        <w:tc>
          <w:tcPr>
            <w:tcW w:w="576" w:type="dxa"/>
          </w:tcPr>
          <w:p w14:paraId="25EBEF4D" w14:textId="77777777" w:rsidR="00C70550" w:rsidRPr="00286216" w:rsidRDefault="00C70550" w:rsidP="006A358E">
            <w:pPr>
              <w:pStyle w:val="StyleWisnow"/>
              <w:rPr>
                <w:color w:val="000000" w:themeColor="text1"/>
              </w:rPr>
            </w:pPr>
            <w:r w:rsidRPr="00286216">
              <w:rPr>
                <w:color w:val="000000" w:themeColor="text1"/>
              </w:rPr>
              <w:t>521.</w:t>
            </w:r>
          </w:p>
        </w:tc>
        <w:tc>
          <w:tcPr>
            <w:tcW w:w="4818" w:type="dxa"/>
          </w:tcPr>
          <w:p w14:paraId="674815EB" w14:textId="77777777" w:rsidR="00C70550" w:rsidRPr="00286216" w:rsidRDefault="00C70550" w:rsidP="006A358E">
            <w:pPr>
              <w:pStyle w:val="StyleZakonu"/>
              <w:rPr>
                <w:color w:val="000000" w:themeColor="text1"/>
              </w:rPr>
            </w:pPr>
            <w:r w:rsidRPr="00286216">
              <w:rPr>
                <w:color w:val="000000" w:themeColor="text1"/>
              </w:rPr>
              <w:t>Стаття 31. Депозитні сертифікати банків</w:t>
            </w:r>
          </w:p>
        </w:tc>
        <w:tc>
          <w:tcPr>
            <w:tcW w:w="3686" w:type="dxa"/>
          </w:tcPr>
          <w:p w14:paraId="537DB402" w14:textId="77777777" w:rsidR="00C70550" w:rsidRPr="00286216" w:rsidRDefault="00C70550" w:rsidP="006A358E">
            <w:pPr>
              <w:pStyle w:val="StyleProp"/>
              <w:rPr>
                <w:color w:val="000000" w:themeColor="text1"/>
                <w:szCs w:val="18"/>
              </w:rPr>
            </w:pPr>
          </w:p>
        </w:tc>
        <w:tc>
          <w:tcPr>
            <w:tcW w:w="1987" w:type="dxa"/>
          </w:tcPr>
          <w:p w14:paraId="186F9030" w14:textId="77777777" w:rsidR="00C70550" w:rsidRPr="00286216" w:rsidRDefault="00C70550" w:rsidP="006A358E">
            <w:pPr>
              <w:pStyle w:val="StyleWisnow"/>
              <w:rPr>
                <w:color w:val="000000" w:themeColor="text1"/>
              </w:rPr>
            </w:pPr>
          </w:p>
        </w:tc>
        <w:tc>
          <w:tcPr>
            <w:tcW w:w="4818" w:type="dxa"/>
          </w:tcPr>
          <w:p w14:paraId="0AFB44A7" w14:textId="77777777" w:rsidR="00C70550" w:rsidRPr="00286216" w:rsidRDefault="00C70550" w:rsidP="006A358E">
            <w:pPr>
              <w:pStyle w:val="StyleZakonu"/>
              <w:rPr>
                <w:color w:val="000000" w:themeColor="text1"/>
              </w:rPr>
            </w:pPr>
            <w:r w:rsidRPr="00286216">
              <w:rPr>
                <w:color w:val="000000" w:themeColor="text1"/>
              </w:rPr>
              <w:t>Стаття 27. Депозитні сертифікати банків</w:t>
            </w:r>
          </w:p>
        </w:tc>
      </w:tr>
      <w:tr w:rsidR="00C70550" w:rsidRPr="00286216" w14:paraId="4E5434DC" w14:textId="77777777" w:rsidTr="006A358E">
        <w:tc>
          <w:tcPr>
            <w:tcW w:w="576" w:type="dxa"/>
          </w:tcPr>
          <w:p w14:paraId="6D7AB7A3" w14:textId="77777777" w:rsidR="00C70550" w:rsidRPr="00286216" w:rsidRDefault="00C70550" w:rsidP="006A358E">
            <w:pPr>
              <w:pStyle w:val="StyleWisnow"/>
              <w:rPr>
                <w:color w:val="000000" w:themeColor="text1"/>
              </w:rPr>
            </w:pPr>
            <w:r w:rsidRPr="00286216">
              <w:rPr>
                <w:color w:val="000000" w:themeColor="text1"/>
              </w:rPr>
              <w:t>522.</w:t>
            </w:r>
          </w:p>
        </w:tc>
        <w:tc>
          <w:tcPr>
            <w:tcW w:w="4818" w:type="dxa"/>
          </w:tcPr>
          <w:p w14:paraId="17E3DEC1" w14:textId="77777777" w:rsidR="00C70550" w:rsidRPr="00286216" w:rsidRDefault="00C70550" w:rsidP="006A358E">
            <w:pPr>
              <w:pStyle w:val="StyleZakonu"/>
              <w:rPr>
                <w:color w:val="000000" w:themeColor="text1"/>
              </w:rPr>
            </w:pPr>
            <w:r w:rsidRPr="00286216">
              <w:rPr>
                <w:color w:val="000000" w:themeColor="text1"/>
              </w:rPr>
              <w:t>1. Депозитний сертифікат банку - цінний папір, який підтверджує суму вимоги до банку, що дорівнює номінальній вартості відповідного сертифікату, і права власника сертифіката на одержання зі спливом встановленого строку номінальної вартості сертифіката та відсоткового доходу (якщо виплата відсоткового доходу передбачена сертифікатом), у банку, який здійснив його емісію.</w:t>
            </w:r>
          </w:p>
        </w:tc>
        <w:tc>
          <w:tcPr>
            <w:tcW w:w="3686" w:type="dxa"/>
          </w:tcPr>
          <w:p w14:paraId="1BE55361" w14:textId="77777777" w:rsidR="00C70550" w:rsidRPr="00286216" w:rsidRDefault="00C70550" w:rsidP="006A358E">
            <w:pPr>
              <w:pStyle w:val="StyleProp"/>
              <w:rPr>
                <w:color w:val="000000" w:themeColor="text1"/>
                <w:szCs w:val="18"/>
              </w:rPr>
            </w:pPr>
          </w:p>
        </w:tc>
        <w:tc>
          <w:tcPr>
            <w:tcW w:w="1987" w:type="dxa"/>
          </w:tcPr>
          <w:p w14:paraId="47BC6BBB" w14:textId="77777777" w:rsidR="00C70550" w:rsidRPr="00286216" w:rsidRDefault="00C70550" w:rsidP="006A358E">
            <w:pPr>
              <w:pStyle w:val="StyleWisnow"/>
              <w:rPr>
                <w:color w:val="000000" w:themeColor="text1"/>
              </w:rPr>
            </w:pPr>
          </w:p>
        </w:tc>
        <w:tc>
          <w:tcPr>
            <w:tcW w:w="4818" w:type="dxa"/>
          </w:tcPr>
          <w:p w14:paraId="227DC751" w14:textId="48E141E1" w:rsidR="00C70550" w:rsidRPr="00286216" w:rsidRDefault="00C70550" w:rsidP="006A358E">
            <w:pPr>
              <w:pStyle w:val="StyleZakonu"/>
              <w:rPr>
                <w:color w:val="000000" w:themeColor="text1"/>
              </w:rPr>
            </w:pPr>
            <w:r w:rsidRPr="00286216">
              <w:rPr>
                <w:color w:val="000000" w:themeColor="text1"/>
              </w:rPr>
              <w:t>1. Депозитний сертифікат банку – це цінний папір, який підтверджує суму вимоги до банку, що дорівнює номінальній вартості відповідного сертифіката, і права власника сертифіката на одержання після спливу встановленого строку номінальної вартості сертифіката та відсоткового доходу (якщо виплата відсоткового доходу передбачена сертифікатом) у банку, який здійснив його емісію.</w:t>
            </w:r>
          </w:p>
        </w:tc>
      </w:tr>
      <w:tr w:rsidR="00C70550" w:rsidRPr="00286216" w14:paraId="021AEEE3" w14:textId="77777777" w:rsidTr="006A358E">
        <w:tc>
          <w:tcPr>
            <w:tcW w:w="576" w:type="dxa"/>
          </w:tcPr>
          <w:p w14:paraId="0F7CABE0" w14:textId="77777777" w:rsidR="00C70550" w:rsidRPr="00286216" w:rsidRDefault="00C70550" w:rsidP="006A358E">
            <w:pPr>
              <w:pStyle w:val="StyleWisnow"/>
              <w:rPr>
                <w:color w:val="000000" w:themeColor="text1"/>
              </w:rPr>
            </w:pPr>
            <w:r w:rsidRPr="00286216">
              <w:rPr>
                <w:color w:val="000000" w:themeColor="text1"/>
              </w:rPr>
              <w:t>523.</w:t>
            </w:r>
          </w:p>
        </w:tc>
        <w:tc>
          <w:tcPr>
            <w:tcW w:w="4818" w:type="dxa"/>
          </w:tcPr>
          <w:p w14:paraId="3CDA5C95" w14:textId="77777777" w:rsidR="00C70550" w:rsidRPr="00286216" w:rsidRDefault="00C70550" w:rsidP="006A358E">
            <w:pPr>
              <w:pStyle w:val="StyleZakonu"/>
              <w:rPr>
                <w:color w:val="000000" w:themeColor="text1"/>
              </w:rPr>
            </w:pPr>
            <w:r w:rsidRPr="00286216">
              <w:rPr>
                <w:color w:val="000000" w:themeColor="text1"/>
              </w:rPr>
              <w:t>2. Депозитний сертифікат банку є емісійним цінним папером. Емісія депозитних сертифікатів банку здійснюється на певний строк. Депозитний сертифікат банку може бути відсотковим або дисконтним.</w:t>
            </w:r>
          </w:p>
        </w:tc>
        <w:tc>
          <w:tcPr>
            <w:tcW w:w="3686" w:type="dxa"/>
          </w:tcPr>
          <w:p w14:paraId="201EA06A" w14:textId="77777777" w:rsidR="00C70550" w:rsidRPr="00286216" w:rsidRDefault="00C70550" w:rsidP="006A358E">
            <w:pPr>
              <w:pStyle w:val="StyleProp"/>
              <w:rPr>
                <w:color w:val="000000" w:themeColor="text1"/>
                <w:szCs w:val="18"/>
              </w:rPr>
            </w:pPr>
          </w:p>
        </w:tc>
        <w:tc>
          <w:tcPr>
            <w:tcW w:w="1987" w:type="dxa"/>
          </w:tcPr>
          <w:p w14:paraId="51FCC5A5" w14:textId="77777777" w:rsidR="00C70550" w:rsidRPr="00286216" w:rsidRDefault="00C70550" w:rsidP="006A358E">
            <w:pPr>
              <w:pStyle w:val="StyleWisnow"/>
              <w:rPr>
                <w:color w:val="000000" w:themeColor="text1"/>
              </w:rPr>
            </w:pPr>
          </w:p>
        </w:tc>
        <w:tc>
          <w:tcPr>
            <w:tcW w:w="4818" w:type="dxa"/>
          </w:tcPr>
          <w:p w14:paraId="69371B30" w14:textId="77777777" w:rsidR="00C70550" w:rsidRPr="00286216" w:rsidRDefault="00C70550" w:rsidP="006A358E">
            <w:pPr>
              <w:pStyle w:val="StyleZakonu"/>
              <w:rPr>
                <w:color w:val="000000" w:themeColor="text1"/>
              </w:rPr>
            </w:pPr>
            <w:r w:rsidRPr="00286216">
              <w:rPr>
                <w:color w:val="000000" w:themeColor="text1"/>
              </w:rPr>
              <w:t>2. Депозитний сертифікат банку є емісійним цінним папером. Емісія депозитних сертифікатів банку здійснюється на певний строк. Депозитний сертифікат банку може бути відсотковим або дисконтним.</w:t>
            </w:r>
          </w:p>
        </w:tc>
      </w:tr>
      <w:tr w:rsidR="00C70550" w:rsidRPr="00286216" w14:paraId="587DA1E7" w14:textId="77777777" w:rsidTr="006A358E">
        <w:tc>
          <w:tcPr>
            <w:tcW w:w="576" w:type="dxa"/>
          </w:tcPr>
          <w:p w14:paraId="5E4B23E6" w14:textId="77777777" w:rsidR="00C70550" w:rsidRPr="00286216" w:rsidRDefault="00C70550" w:rsidP="006A358E">
            <w:pPr>
              <w:pStyle w:val="StyleWisnow"/>
              <w:rPr>
                <w:color w:val="000000" w:themeColor="text1"/>
              </w:rPr>
            </w:pPr>
            <w:r w:rsidRPr="00286216">
              <w:rPr>
                <w:color w:val="000000" w:themeColor="text1"/>
              </w:rPr>
              <w:t>524.</w:t>
            </w:r>
          </w:p>
        </w:tc>
        <w:tc>
          <w:tcPr>
            <w:tcW w:w="4818" w:type="dxa"/>
          </w:tcPr>
          <w:p w14:paraId="03AD198F" w14:textId="77777777" w:rsidR="00C70550" w:rsidRPr="00286216" w:rsidRDefault="00C70550" w:rsidP="006A358E">
            <w:pPr>
              <w:pStyle w:val="StyleZakonu"/>
              <w:rPr>
                <w:color w:val="000000" w:themeColor="text1"/>
              </w:rPr>
            </w:pPr>
            <w:r w:rsidRPr="00286216">
              <w:rPr>
                <w:color w:val="000000" w:themeColor="text1"/>
              </w:rPr>
              <w:t>Відсотковий депозитний сертифікат банку - депозитний сертифікат банку, за яким передбачається виплата відсоткового доходу його власнику.</w:t>
            </w:r>
          </w:p>
        </w:tc>
        <w:tc>
          <w:tcPr>
            <w:tcW w:w="3686" w:type="dxa"/>
          </w:tcPr>
          <w:p w14:paraId="22BA35C1" w14:textId="77777777" w:rsidR="00C70550" w:rsidRPr="00286216" w:rsidRDefault="00C70550" w:rsidP="006A358E">
            <w:pPr>
              <w:pStyle w:val="StyleProp"/>
              <w:rPr>
                <w:color w:val="000000" w:themeColor="text1"/>
                <w:szCs w:val="18"/>
              </w:rPr>
            </w:pPr>
          </w:p>
        </w:tc>
        <w:tc>
          <w:tcPr>
            <w:tcW w:w="1987" w:type="dxa"/>
          </w:tcPr>
          <w:p w14:paraId="5CACE66F" w14:textId="77777777" w:rsidR="00C70550" w:rsidRPr="00286216" w:rsidRDefault="00C70550" w:rsidP="006A358E">
            <w:pPr>
              <w:pStyle w:val="StyleWisnow"/>
              <w:rPr>
                <w:color w:val="000000" w:themeColor="text1"/>
              </w:rPr>
            </w:pPr>
          </w:p>
        </w:tc>
        <w:tc>
          <w:tcPr>
            <w:tcW w:w="4818" w:type="dxa"/>
          </w:tcPr>
          <w:p w14:paraId="70110870" w14:textId="04A94163" w:rsidR="00C70550" w:rsidRPr="00286216" w:rsidRDefault="00C70550" w:rsidP="006A358E">
            <w:pPr>
              <w:pStyle w:val="StyleZakonu"/>
              <w:rPr>
                <w:color w:val="000000" w:themeColor="text1"/>
              </w:rPr>
            </w:pPr>
            <w:r w:rsidRPr="00286216">
              <w:rPr>
                <w:color w:val="000000" w:themeColor="text1"/>
              </w:rPr>
              <w:t>Відсотковий депозитний сертифікат банку – це депозитний сертифікат банку, за яким передбачається виплата відсоткового доходу його власнику.</w:t>
            </w:r>
          </w:p>
        </w:tc>
      </w:tr>
      <w:tr w:rsidR="00C70550" w:rsidRPr="00286216" w14:paraId="2676B287" w14:textId="77777777" w:rsidTr="006A358E">
        <w:tc>
          <w:tcPr>
            <w:tcW w:w="576" w:type="dxa"/>
          </w:tcPr>
          <w:p w14:paraId="66B90670" w14:textId="77777777" w:rsidR="00C70550" w:rsidRPr="00286216" w:rsidRDefault="00C70550" w:rsidP="006A358E">
            <w:pPr>
              <w:pStyle w:val="StyleWisnow"/>
              <w:rPr>
                <w:color w:val="000000" w:themeColor="text1"/>
              </w:rPr>
            </w:pPr>
            <w:r w:rsidRPr="00286216">
              <w:rPr>
                <w:color w:val="000000" w:themeColor="text1"/>
              </w:rPr>
              <w:t>525.</w:t>
            </w:r>
          </w:p>
        </w:tc>
        <w:tc>
          <w:tcPr>
            <w:tcW w:w="4818" w:type="dxa"/>
          </w:tcPr>
          <w:p w14:paraId="6338E9A0" w14:textId="77777777" w:rsidR="00C70550" w:rsidRPr="00286216" w:rsidRDefault="00C70550" w:rsidP="006A358E">
            <w:pPr>
              <w:pStyle w:val="StyleZakonu"/>
              <w:rPr>
                <w:color w:val="000000" w:themeColor="text1"/>
              </w:rPr>
            </w:pPr>
            <w:r w:rsidRPr="00286216">
              <w:rPr>
                <w:color w:val="000000" w:themeColor="text1"/>
              </w:rPr>
              <w:t xml:space="preserve">Дисконтний депозитний сертифікат банку - депозитний сертифікат банку, що придбавається першим власником за ціною, нижчою ніж його номінальна вартість. Різниця між ціною придбання та номінальною вартістю депозитного сертифіката </w:t>
            </w:r>
            <w:r w:rsidRPr="00286216">
              <w:rPr>
                <w:color w:val="000000" w:themeColor="text1"/>
              </w:rPr>
              <w:lastRenderedPageBreak/>
              <w:t>банку, яка виплачується його власнику під час погашення, становить доход (дисконт) за дисконтним депозитним сертифікатом банку.</w:t>
            </w:r>
          </w:p>
        </w:tc>
        <w:tc>
          <w:tcPr>
            <w:tcW w:w="3686" w:type="dxa"/>
          </w:tcPr>
          <w:p w14:paraId="19679165" w14:textId="77777777" w:rsidR="00C70550" w:rsidRPr="00286216" w:rsidRDefault="00C70550" w:rsidP="006A358E">
            <w:pPr>
              <w:pStyle w:val="StyleProp"/>
              <w:rPr>
                <w:color w:val="000000" w:themeColor="text1"/>
                <w:szCs w:val="18"/>
              </w:rPr>
            </w:pPr>
          </w:p>
        </w:tc>
        <w:tc>
          <w:tcPr>
            <w:tcW w:w="1987" w:type="dxa"/>
          </w:tcPr>
          <w:p w14:paraId="3541833E" w14:textId="77777777" w:rsidR="00C70550" w:rsidRPr="00286216" w:rsidRDefault="00C70550" w:rsidP="006A358E">
            <w:pPr>
              <w:pStyle w:val="StyleWisnow"/>
              <w:rPr>
                <w:color w:val="000000" w:themeColor="text1"/>
              </w:rPr>
            </w:pPr>
          </w:p>
        </w:tc>
        <w:tc>
          <w:tcPr>
            <w:tcW w:w="4818" w:type="dxa"/>
          </w:tcPr>
          <w:p w14:paraId="2D54BA2A" w14:textId="7C640B24" w:rsidR="00C70550" w:rsidRPr="00286216" w:rsidRDefault="00C70550" w:rsidP="006A358E">
            <w:pPr>
              <w:pStyle w:val="StyleZakonu"/>
              <w:rPr>
                <w:color w:val="000000" w:themeColor="text1"/>
              </w:rPr>
            </w:pPr>
            <w:r w:rsidRPr="00286216">
              <w:rPr>
                <w:color w:val="000000" w:themeColor="text1"/>
              </w:rPr>
              <w:t xml:space="preserve">Дисконтний депозитний сертифікат банку – це депозитний сертифікат банку, що придбавається першим власником за ціною, нижчою за його номінальну вартість. Різниця між ціною придбання та номінальною вартістю депозитного сертифіката </w:t>
            </w:r>
            <w:r w:rsidRPr="00286216">
              <w:rPr>
                <w:color w:val="000000" w:themeColor="text1"/>
              </w:rPr>
              <w:lastRenderedPageBreak/>
              <w:t>банку, яка виплачується його власнику під час погашення, становить дохід (дисконт) за дисконтним депозитним сертифікатом банку.</w:t>
            </w:r>
          </w:p>
        </w:tc>
      </w:tr>
      <w:tr w:rsidR="00C70550" w:rsidRPr="00286216" w14:paraId="1C4598CE" w14:textId="77777777" w:rsidTr="006A358E">
        <w:tc>
          <w:tcPr>
            <w:tcW w:w="576" w:type="dxa"/>
          </w:tcPr>
          <w:p w14:paraId="32ABB3A5" w14:textId="77777777" w:rsidR="00C70550" w:rsidRPr="00286216" w:rsidRDefault="00C70550" w:rsidP="006A358E">
            <w:pPr>
              <w:pStyle w:val="StyleWisnow"/>
              <w:rPr>
                <w:color w:val="000000" w:themeColor="text1"/>
              </w:rPr>
            </w:pPr>
            <w:r w:rsidRPr="00286216">
              <w:rPr>
                <w:color w:val="000000" w:themeColor="text1"/>
              </w:rPr>
              <w:lastRenderedPageBreak/>
              <w:t>526.</w:t>
            </w:r>
          </w:p>
        </w:tc>
        <w:tc>
          <w:tcPr>
            <w:tcW w:w="4818" w:type="dxa"/>
          </w:tcPr>
          <w:p w14:paraId="0017892D" w14:textId="77777777" w:rsidR="00C70550" w:rsidRPr="00286216" w:rsidRDefault="00C70550" w:rsidP="006A358E">
            <w:pPr>
              <w:pStyle w:val="StyleZakonu"/>
              <w:rPr>
                <w:color w:val="000000" w:themeColor="text1"/>
              </w:rPr>
            </w:pPr>
            <w:r w:rsidRPr="00286216">
              <w:rPr>
                <w:color w:val="000000" w:themeColor="text1"/>
              </w:rPr>
              <w:t>Номінальна вартість депозитного сертифікату банку може бути визначена в іноземній валюті.</w:t>
            </w:r>
          </w:p>
        </w:tc>
        <w:tc>
          <w:tcPr>
            <w:tcW w:w="3686" w:type="dxa"/>
          </w:tcPr>
          <w:p w14:paraId="21F63AB9" w14:textId="77777777" w:rsidR="00C70550" w:rsidRPr="00286216" w:rsidRDefault="00C70550" w:rsidP="006A358E">
            <w:pPr>
              <w:pStyle w:val="StyleProp"/>
              <w:rPr>
                <w:color w:val="000000" w:themeColor="text1"/>
                <w:szCs w:val="18"/>
              </w:rPr>
            </w:pPr>
          </w:p>
        </w:tc>
        <w:tc>
          <w:tcPr>
            <w:tcW w:w="1987" w:type="dxa"/>
          </w:tcPr>
          <w:p w14:paraId="7E378799" w14:textId="77777777" w:rsidR="00C70550" w:rsidRPr="00286216" w:rsidRDefault="00C70550" w:rsidP="006A358E">
            <w:pPr>
              <w:pStyle w:val="StyleWisnow"/>
              <w:rPr>
                <w:color w:val="000000" w:themeColor="text1"/>
              </w:rPr>
            </w:pPr>
          </w:p>
        </w:tc>
        <w:tc>
          <w:tcPr>
            <w:tcW w:w="4818" w:type="dxa"/>
          </w:tcPr>
          <w:p w14:paraId="3359EF7F" w14:textId="250C5D8A" w:rsidR="00C70550" w:rsidRPr="00286216" w:rsidRDefault="00C70550" w:rsidP="006A358E">
            <w:pPr>
              <w:pStyle w:val="StyleZakonu"/>
              <w:rPr>
                <w:color w:val="000000" w:themeColor="text1"/>
              </w:rPr>
            </w:pPr>
            <w:r w:rsidRPr="00286216">
              <w:rPr>
                <w:color w:val="000000" w:themeColor="text1"/>
              </w:rPr>
              <w:t>Номінальна вартість депозитного сертифіката банку може бути визначена в іноземній валюті.</w:t>
            </w:r>
          </w:p>
        </w:tc>
      </w:tr>
      <w:tr w:rsidR="00C70550" w:rsidRPr="00286216" w14:paraId="767B30D3" w14:textId="77777777" w:rsidTr="006A358E">
        <w:tc>
          <w:tcPr>
            <w:tcW w:w="576" w:type="dxa"/>
          </w:tcPr>
          <w:p w14:paraId="3503DD1F" w14:textId="77777777" w:rsidR="00C70550" w:rsidRPr="00286216" w:rsidRDefault="00C70550" w:rsidP="006A358E">
            <w:pPr>
              <w:pStyle w:val="StyleWisnow"/>
              <w:rPr>
                <w:color w:val="000000" w:themeColor="text1"/>
              </w:rPr>
            </w:pPr>
            <w:r w:rsidRPr="00286216">
              <w:rPr>
                <w:color w:val="000000" w:themeColor="text1"/>
              </w:rPr>
              <w:t>527.</w:t>
            </w:r>
          </w:p>
        </w:tc>
        <w:tc>
          <w:tcPr>
            <w:tcW w:w="4818" w:type="dxa"/>
          </w:tcPr>
          <w:p w14:paraId="7046B045" w14:textId="77777777" w:rsidR="00C70550" w:rsidRPr="00286216" w:rsidRDefault="00C70550" w:rsidP="006A358E">
            <w:pPr>
              <w:pStyle w:val="StyleZakonu"/>
              <w:rPr>
                <w:color w:val="000000" w:themeColor="text1"/>
              </w:rPr>
            </w:pPr>
            <w:r w:rsidRPr="00286216">
              <w:rPr>
                <w:color w:val="000000" w:themeColor="text1"/>
              </w:rPr>
              <w:t>3. Депозитні сертифікати банків є іменними цінними паперами та можуть існувати виключно у бездокументарній формі.</w:t>
            </w:r>
          </w:p>
        </w:tc>
        <w:tc>
          <w:tcPr>
            <w:tcW w:w="3686" w:type="dxa"/>
          </w:tcPr>
          <w:p w14:paraId="62E5483E" w14:textId="68E1EC89"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111520F" w14:textId="77777777" w:rsidR="00C70550" w:rsidRPr="00286216" w:rsidRDefault="00C70550" w:rsidP="006A358E">
            <w:pPr>
              <w:pStyle w:val="StyleProp"/>
              <w:rPr>
                <w:color w:val="000000" w:themeColor="text1"/>
                <w:szCs w:val="18"/>
              </w:rPr>
            </w:pPr>
            <w:r w:rsidRPr="00286216">
              <w:rPr>
                <w:color w:val="000000" w:themeColor="text1"/>
                <w:szCs w:val="18"/>
              </w:rPr>
              <w:t>В тексті слово «бездокументарній», замінити словом «електронній».</w:t>
            </w:r>
          </w:p>
        </w:tc>
        <w:tc>
          <w:tcPr>
            <w:tcW w:w="1987" w:type="dxa"/>
          </w:tcPr>
          <w:p w14:paraId="6085D3A0"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09149A96" w14:textId="666D3B8A" w:rsidR="00C70550" w:rsidRPr="00286216" w:rsidRDefault="00C70550" w:rsidP="006A358E">
            <w:pPr>
              <w:pStyle w:val="StyleZakonu"/>
              <w:rPr>
                <w:color w:val="000000" w:themeColor="text1"/>
              </w:rPr>
            </w:pPr>
            <w:r w:rsidRPr="00286216">
              <w:rPr>
                <w:color w:val="000000" w:themeColor="text1"/>
              </w:rPr>
              <w:t xml:space="preserve">3. Депозитні сертифікати банків є іменними цінними паперами та можуть існувати виключно в </w:t>
            </w:r>
            <w:r w:rsidRPr="00286216">
              <w:rPr>
                <w:color w:val="000000" w:themeColor="text1"/>
                <w:szCs w:val="18"/>
              </w:rPr>
              <w:t>електронній</w:t>
            </w:r>
            <w:r w:rsidRPr="00286216">
              <w:rPr>
                <w:color w:val="000000" w:themeColor="text1"/>
              </w:rPr>
              <w:t xml:space="preserve"> формі.</w:t>
            </w:r>
          </w:p>
        </w:tc>
      </w:tr>
      <w:tr w:rsidR="00C70550" w:rsidRPr="00286216" w14:paraId="3AD4B1CA" w14:textId="77777777" w:rsidTr="006A358E">
        <w:tc>
          <w:tcPr>
            <w:tcW w:w="576" w:type="dxa"/>
          </w:tcPr>
          <w:p w14:paraId="6F0D01AA" w14:textId="77777777" w:rsidR="00C70550" w:rsidRPr="00286216" w:rsidRDefault="00C70550" w:rsidP="006A358E">
            <w:pPr>
              <w:pStyle w:val="StyleWisnow"/>
              <w:rPr>
                <w:color w:val="000000" w:themeColor="text1"/>
              </w:rPr>
            </w:pPr>
            <w:r w:rsidRPr="00286216">
              <w:rPr>
                <w:color w:val="000000" w:themeColor="text1"/>
              </w:rPr>
              <w:t>528.</w:t>
            </w:r>
          </w:p>
        </w:tc>
        <w:tc>
          <w:tcPr>
            <w:tcW w:w="4818" w:type="dxa"/>
          </w:tcPr>
          <w:p w14:paraId="6105D011" w14:textId="77777777" w:rsidR="00C70550" w:rsidRPr="00286216" w:rsidRDefault="00C70550" w:rsidP="006A358E">
            <w:pPr>
              <w:pStyle w:val="StyleZakonu"/>
              <w:rPr>
                <w:color w:val="000000" w:themeColor="text1"/>
              </w:rPr>
            </w:pPr>
            <w:r w:rsidRPr="00286216">
              <w:rPr>
                <w:color w:val="000000" w:themeColor="text1"/>
              </w:rPr>
              <w:t>4. Погашення депозитних сертифікатів банків шляхом повернення номінальної вартості депозитного сертифікату банку його власнику та виплата відсоткового доходу (якщо виплата відсоткового доходу передбачена депозитним сертифікатом банку), здійснюється через депозитарну систему України.</w:t>
            </w:r>
          </w:p>
        </w:tc>
        <w:tc>
          <w:tcPr>
            <w:tcW w:w="3686" w:type="dxa"/>
          </w:tcPr>
          <w:p w14:paraId="370BF903" w14:textId="77777777" w:rsidR="00C70550" w:rsidRPr="00286216" w:rsidRDefault="00C70550" w:rsidP="006A358E">
            <w:pPr>
              <w:pStyle w:val="StyleProp"/>
              <w:rPr>
                <w:color w:val="000000" w:themeColor="text1"/>
                <w:szCs w:val="18"/>
              </w:rPr>
            </w:pPr>
          </w:p>
        </w:tc>
        <w:tc>
          <w:tcPr>
            <w:tcW w:w="1987" w:type="dxa"/>
          </w:tcPr>
          <w:p w14:paraId="615CC3F3" w14:textId="77777777" w:rsidR="00C70550" w:rsidRPr="00286216" w:rsidRDefault="00C70550" w:rsidP="006A358E">
            <w:pPr>
              <w:pStyle w:val="StyleWisnow"/>
              <w:rPr>
                <w:color w:val="000000" w:themeColor="text1"/>
              </w:rPr>
            </w:pPr>
          </w:p>
        </w:tc>
        <w:tc>
          <w:tcPr>
            <w:tcW w:w="4818" w:type="dxa"/>
          </w:tcPr>
          <w:p w14:paraId="3ED635A4" w14:textId="0A8DA8A7" w:rsidR="00C70550" w:rsidRPr="00286216" w:rsidRDefault="00C70550" w:rsidP="006A358E">
            <w:pPr>
              <w:pStyle w:val="StyleZakonu"/>
              <w:rPr>
                <w:color w:val="000000" w:themeColor="text1"/>
              </w:rPr>
            </w:pPr>
            <w:r w:rsidRPr="00286216">
              <w:rPr>
                <w:color w:val="000000" w:themeColor="text1"/>
              </w:rPr>
              <w:t>4. Погашення депозитних сертифікатів банків шляхом повернення номінальної вартості депозитного сертифіката банку його власнику та виплата відсоткового доходу (якщо виплата відсоткового доходу передбачена депозитним сертифікатом банку), здійснюються через депозитарну систему України.</w:t>
            </w:r>
          </w:p>
        </w:tc>
      </w:tr>
      <w:tr w:rsidR="00C70550" w:rsidRPr="00286216" w14:paraId="3C8BC7B9" w14:textId="77777777" w:rsidTr="006A358E">
        <w:tc>
          <w:tcPr>
            <w:tcW w:w="576" w:type="dxa"/>
          </w:tcPr>
          <w:p w14:paraId="0CB56ABA" w14:textId="77777777" w:rsidR="00C70550" w:rsidRPr="00286216" w:rsidRDefault="00C70550" w:rsidP="006A358E">
            <w:pPr>
              <w:pStyle w:val="StyleWisnow"/>
              <w:rPr>
                <w:color w:val="000000" w:themeColor="text1"/>
              </w:rPr>
            </w:pPr>
            <w:r w:rsidRPr="00286216">
              <w:rPr>
                <w:color w:val="000000" w:themeColor="text1"/>
              </w:rPr>
              <w:t>529.</w:t>
            </w:r>
          </w:p>
        </w:tc>
        <w:tc>
          <w:tcPr>
            <w:tcW w:w="4818" w:type="dxa"/>
          </w:tcPr>
          <w:p w14:paraId="26CC1AF8" w14:textId="77777777" w:rsidR="00C70550" w:rsidRPr="00286216" w:rsidRDefault="00C70550" w:rsidP="006A358E">
            <w:pPr>
              <w:pStyle w:val="StyleZakonu"/>
              <w:rPr>
                <w:color w:val="000000" w:themeColor="text1"/>
              </w:rPr>
            </w:pPr>
            <w:r w:rsidRPr="00286216">
              <w:rPr>
                <w:color w:val="000000" w:themeColor="text1"/>
              </w:rPr>
              <w:t>5. Порядок емісії, обліку, погашення, виплати відсоткового доходу, а також порядок здійснення грошових розрахунків за правочинами щодо депозитних сертифікатів банків визначається Національною комісією з цінних паперів та фондового ринку за погодженням з Національним банком України.</w:t>
            </w:r>
          </w:p>
        </w:tc>
        <w:tc>
          <w:tcPr>
            <w:tcW w:w="3686" w:type="dxa"/>
          </w:tcPr>
          <w:p w14:paraId="7F3354D0" w14:textId="77777777" w:rsidR="00C70550" w:rsidRPr="00286216" w:rsidRDefault="00C70550" w:rsidP="006A358E">
            <w:pPr>
              <w:pStyle w:val="StyleProp"/>
              <w:rPr>
                <w:color w:val="000000" w:themeColor="text1"/>
                <w:szCs w:val="18"/>
              </w:rPr>
            </w:pPr>
          </w:p>
        </w:tc>
        <w:tc>
          <w:tcPr>
            <w:tcW w:w="1987" w:type="dxa"/>
          </w:tcPr>
          <w:p w14:paraId="6F499CA8" w14:textId="77777777" w:rsidR="00C70550" w:rsidRPr="00286216" w:rsidRDefault="00C70550" w:rsidP="006A358E">
            <w:pPr>
              <w:pStyle w:val="StyleWisnow"/>
              <w:rPr>
                <w:color w:val="000000" w:themeColor="text1"/>
              </w:rPr>
            </w:pPr>
          </w:p>
        </w:tc>
        <w:tc>
          <w:tcPr>
            <w:tcW w:w="4818" w:type="dxa"/>
          </w:tcPr>
          <w:p w14:paraId="760BC4DA" w14:textId="778BBE78" w:rsidR="00C70550" w:rsidRPr="00286216" w:rsidRDefault="00C70550" w:rsidP="006A358E">
            <w:pPr>
              <w:pStyle w:val="StyleZakonu"/>
              <w:rPr>
                <w:color w:val="000000" w:themeColor="text1"/>
              </w:rPr>
            </w:pPr>
            <w:r w:rsidRPr="00286216">
              <w:rPr>
                <w:color w:val="000000" w:themeColor="text1"/>
              </w:rPr>
              <w:t>5. Порядок емісії, обліку, погашення, виплати відсоткового доходу, а також порядок здійснення грошових розрахунків за правочинами щодо депозитних сертифікатів банків визначаються Національною комісією з цінних паперів та фондового ринку за погодженням із Національним банком України.</w:t>
            </w:r>
          </w:p>
        </w:tc>
      </w:tr>
      <w:tr w:rsidR="00C70550" w:rsidRPr="00286216" w14:paraId="5815473A" w14:textId="77777777" w:rsidTr="006A358E">
        <w:tc>
          <w:tcPr>
            <w:tcW w:w="576" w:type="dxa"/>
          </w:tcPr>
          <w:p w14:paraId="5979C6AB" w14:textId="77777777" w:rsidR="00C70550" w:rsidRPr="00286216" w:rsidRDefault="00C70550" w:rsidP="006A358E">
            <w:pPr>
              <w:pStyle w:val="StyleWisnow"/>
              <w:rPr>
                <w:color w:val="000000" w:themeColor="text1"/>
              </w:rPr>
            </w:pPr>
            <w:r w:rsidRPr="00286216">
              <w:rPr>
                <w:color w:val="000000" w:themeColor="text1"/>
              </w:rPr>
              <w:t>530.</w:t>
            </w:r>
          </w:p>
        </w:tc>
        <w:tc>
          <w:tcPr>
            <w:tcW w:w="4818" w:type="dxa"/>
          </w:tcPr>
          <w:p w14:paraId="2FC76C62" w14:textId="77777777" w:rsidR="00C70550" w:rsidRPr="00286216" w:rsidRDefault="00C70550" w:rsidP="006A358E">
            <w:pPr>
              <w:pStyle w:val="StyleZakonu"/>
              <w:rPr>
                <w:color w:val="000000" w:themeColor="text1"/>
              </w:rPr>
            </w:pPr>
            <w:r w:rsidRPr="00286216">
              <w:rPr>
                <w:color w:val="000000" w:themeColor="text1"/>
              </w:rPr>
              <w:t>Випуск депозитних сертифікатів банків реєструється Центральним депозитарієм цінних паперів з наступним повідомленням Національної комісії з цінних паперів та фондового ринку в установленому нею порядку. Центральний депозитарій цінних паперів протягом наступного робочого дня після реєстрації повідомляє Національний банк України в установленому ним порядку про реєстрацію випуску депозитних сертифікатів банків.</w:t>
            </w:r>
          </w:p>
        </w:tc>
        <w:tc>
          <w:tcPr>
            <w:tcW w:w="3686" w:type="dxa"/>
          </w:tcPr>
          <w:p w14:paraId="1095B269" w14:textId="25F1FCB2"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9EA3292" w14:textId="77777777" w:rsidR="00C70550" w:rsidRPr="00286216" w:rsidRDefault="00C70550" w:rsidP="006A358E">
            <w:pPr>
              <w:pStyle w:val="StyleProp"/>
              <w:rPr>
                <w:color w:val="000000" w:themeColor="text1"/>
                <w:szCs w:val="18"/>
              </w:rPr>
            </w:pPr>
            <w:r w:rsidRPr="00286216">
              <w:rPr>
                <w:color w:val="000000" w:themeColor="text1"/>
                <w:szCs w:val="18"/>
              </w:rPr>
              <w:t>Абзац другий частини п’ятої статті 31 після слів «з наступним повідомленням» доповнити словами «офіційним каналом зв’язку».</w:t>
            </w:r>
          </w:p>
        </w:tc>
        <w:tc>
          <w:tcPr>
            <w:tcW w:w="1987" w:type="dxa"/>
          </w:tcPr>
          <w:p w14:paraId="08A2EF5F"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6DC5CB4D" w14:textId="371AFD9B" w:rsidR="00C70550" w:rsidRPr="00286216" w:rsidRDefault="00C70550" w:rsidP="006A358E">
            <w:pPr>
              <w:pStyle w:val="StyleZakonu"/>
              <w:rPr>
                <w:color w:val="000000" w:themeColor="text1"/>
              </w:rPr>
            </w:pPr>
            <w:r w:rsidRPr="00286216">
              <w:rPr>
                <w:color w:val="000000" w:themeColor="text1"/>
              </w:rPr>
              <w:t xml:space="preserve">Випуск депозитних сертифікатів банку реєструється Центральним депозитарієм цінних паперів з наступним повідомленням </w:t>
            </w:r>
            <w:r w:rsidRPr="00286216">
              <w:rPr>
                <w:color w:val="000000" w:themeColor="text1"/>
                <w:szCs w:val="18"/>
              </w:rPr>
              <w:t>офіційним каналом зв’язку</w:t>
            </w:r>
            <w:r w:rsidRPr="00286216">
              <w:rPr>
                <w:color w:val="000000" w:themeColor="text1"/>
              </w:rPr>
              <w:t xml:space="preserve"> Національної комісії з цінних паперів та фондового ринку у встановленому нею порядку. Центральний депозитарій цінних паперів протягом наступного робочого дня після реєстрації повідомляє Національний банк України у встановленому ним порядку про реєстрацію випуску депозитних сертифікатів банку.</w:t>
            </w:r>
          </w:p>
        </w:tc>
      </w:tr>
      <w:tr w:rsidR="00C70550" w:rsidRPr="00286216" w14:paraId="284DE66C" w14:textId="77777777" w:rsidTr="006A358E">
        <w:tc>
          <w:tcPr>
            <w:tcW w:w="576" w:type="dxa"/>
          </w:tcPr>
          <w:p w14:paraId="435A5875" w14:textId="77777777" w:rsidR="00C70550" w:rsidRPr="00286216" w:rsidRDefault="00C70550" w:rsidP="006A358E">
            <w:pPr>
              <w:pStyle w:val="StyleWisnow"/>
              <w:rPr>
                <w:color w:val="000000" w:themeColor="text1"/>
              </w:rPr>
            </w:pPr>
            <w:r w:rsidRPr="00286216">
              <w:rPr>
                <w:color w:val="000000" w:themeColor="text1"/>
              </w:rPr>
              <w:t>531.</w:t>
            </w:r>
          </w:p>
        </w:tc>
        <w:tc>
          <w:tcPr>
            <w:tcW w:w="4818" w:type="dxa"/>
          </w:tcPr>
          <w:p w14:paraId="7C0058EA" w14:textId="77777777" w:rsidR="00C70550" w:rsidRPr="00286216" w:rsidRDefault="00C70550" w:rsidP="006A358E">
            <w:pPr>
              <w:pStyle w:val="StyleZakonu"/>
              <w:rPr>
                <w:color w:val="000000" w:themeColor="text1"/>
              </w:rPr>
            </w:pPr>
            <w:r w:rsidRPr="00286216">
              <w:rPr>
                <w:color w:val="000000" w:themeColor="text1"/>
              </w:rPr>
              <w:t>Національним банком України за погодженням з Національною комісією з цінних паперів та фондового ринку можуть бути встановлені вимоги щодо прав банків здійснювати емісію депозитних сертифікатів банків та особливості їх обігу.</w:t>
            </w:r>
          </w:p>
        </w:tc>
        <w:tc>
          <w:tcPr>
            <w:tcW w:w="3686" w:type="dxa"/>
          </w:tcPr>
          <w:p w14:paraId="34601619" w14:textId="77777777" w:rsidR="00C70550" w:rsidRPr="00286216" w:rsidRDefault="00C70550" w:rsidP="006A358E">
            <w:pPr>
              <w:pStyle w:val="StyleProp"/>
              <w:rPr>
                <w:color w:val="000000" w:themeColor="text1"/>
                <w:szCs w:val="18"/>
              </w:rPr>
            </w:pPr>
          </w:p>
        </w:tc>
        <w:tc>
          <w:tcPr>
            <w:tcW w:w="1987" w:type="dxa"/>
          </w:tcPr>
          <w:p w14:paraId="653C981E" w14:textId="77777777" w:rsidR="00C70550" w:rsidRPr="00286216" w:rsidRDefault="00C70550" w:rsidP="006A358E">
            <w:pPr>
              <w:pStyle w:val="StyleWisnow"/>
              <w:rPr>
                <w:color w:val="000000" w:themeColor="text1"/>
              </w:rPr>
            </w:pPr>
          </w:p>
        </w:tc>
        <w:tc>
          <w:tcPr>
            <w:tcW w:w="4818" w:type="dxa"/>
          </w:tcPr>
          <w:p w14:paraId="60A4AB56" w14:textId="5420D827" w:rsidR="00C70550" w:rsidRPr="00286216" w:rsidRDefault="00C70550" w:rsidP="006A358E">
            <w:pPr>
              <w:pStyle w:val="StyleZakonu"/>
              <w:rPr>
                <w:color w:val="000000" w:themeColor="text1"/>
              </w:rPr>
            </w:pPr>
            <w:r w:rsidRPr="00286216">
              <w:rPr>
                <w:color w:val="000000" w:themeColor="text1"/>
              </w:rPr>
              <w:t>Національний банк України за погодженням з Національною комісією з цінних паперів та фондового ринку може встановлювати вимоги щодо права банків на здійснення емісії депозитних сертифікатів банків та особливості їх обігу.</w:t>
            </w:r>
          </w:p>
        </w:tc>
      </w:tr>
      <w:tr w:rsidR="00C70550" w:rsidRPr="00286216" w14:paraId="4A572B9C" w14:textId="77777777" w:rsidTr="006A358E">
        <w:tc>
          <w:tcPr>
            <w:tcW w:w="576" w:type="dxa"/>
          </w:tcPr>
          <w:p w14:paraId="4F8D9174" w14:textId="77777777" w:rsidR="00C70550" w:rsidRPr="00286216" w:rsidRDefault="00C70550" w:rsidP="006A358E">
            <w:pPr>
              <w:pStyle w:val="StyleWisnow"/>
              <w:rPr>
                <w:color w:val="000000" w:themeColor="text1"/>
              </w:rPr>
            </w:pPr>
            <w:r w:rsidRPr="00286216">
              <w:rPr>
                <w:color w:val="000000" w:themeColor="text1"/>
              </w:rPr>
              <w:t>532.</w:t>
            </w:r>
          </w:p>
        </w:tc>
        <w:tc>
          <w:tcPr>
            <w:tcW w:w="4818" w:type="dxa"/>
          </w:tcPr>
          <w:p w14:paraId="0511EF47" w14:textId="77777777" w:rsidR="00C70550" w:rsidRPr="00286216" w:rsidRDefault="00C70550" w:rsidP="006A358E">
            <w:pPr>
              <w:pStyle w:val="StyleZakonu"/>
              <w:rPr>
                <w:color w:val="000000" w:themeColor="text1"/>
              </w:rPr>
            </w:pPr>
            <w:r w:rsidRPr="00286216">
              <w:rPr>
                <w:color w:val="000000" w:themeColor="text1"/>
              </w:rPr>
              <w:t>6. Вимоги статей 89, 91 та 92 цього Закону не застосовуються до емісії депозитних сертифікатів банків.</w:t>
            </w:r>
          </w:p>
        </w:tc>
        <w:tc>
          <w:tcPr>
            <w:tcW w:w="3686" w:type="dxa"/>
          </w:tcPr>
          <w:p w14:paraId="1C152BFF" w14:textId="77777777" w:rsidR="00C70550" w:rsidRPr="00286216" w:rsidRDefault="00C70550" w:rsidP="006A358E">
            <w:pPr>
              <w:pStyle w:val="StyleProp"/>
              <w:rPr>
                <w:color w:val="000000" w:themeColor="text1"/>
                <w:szCs w:val="18"/>
              </w:rPr>
            </w:pPr>
          </w:p>
        </w:tc>
        <w:tc>
          <w:tcPr>
            <w:tcW w:w="1987" w:type="dxa"/>
          </w:tcPr>
          <w:p w14:paraId="734587C3" w14:textId="77777777" w:rsidR="00C70550" w:rsidRPr="00286216" w:rsidRDefault="00C70550" w:rsidP="006A358E">
            <w:pPr>
              <w:pStyle w:val="StyleWisnow"/>
              <w:rPr>
                <w:color w:val="000000" w:themeColor="text1"/>
              </w:rPr>
            </w:pPr>
          </w:p>
        </w:tc>
        <w:tc>
          <w:tcPr>
            <w:tcW w:w="4818" w:type="dxa"/>
          </w:tcPr>
          <w:p w14:paraId="4D763189" w14:textId="77777777" w:rsidR="00C70550" w:rsidRPr="00286216" w:rsidRDefault="00C70550" w:rsidP="006A358E">
            <w:pPr>
              <w:pStyle w:val="StyleZakonu"/>
              <w:rPr>
                <w:color w:val="000000" w:themeColor="text1"/>
              </w:rPr>
            </w:pPr>
            <w:r w:rsidRPr="00286216">
              <w:rPr>
                <w:color w:val="000000" w:themeColor="text1"/>
              </w:rPr>
              <w:t>6. Вимоги статей 93, 95 та 96 цього Закону не застосовуються до емісії депозитних сертифікатів банків.</w:t>
            </w:r>
          </w:p>
        </w:tc>
      </w:tr>
      <w:tr w:rsidR="00C70550" w:rsidRPr="00286216" w14:paraId="10034F4E" w14:textId="77777777" w:rsidTr="006A358E">
        <w:tc>
          <w:tcPr>
            <w:tcW w:w="576" w:type="dxa"/>
          </w:tcPr>
          <w:p w14:paraId="0D30ED85" w14:textId="77777777" w:rsidR="00C70550" w:rsidRPr="00286216" w:rsidRDefault="00C70550" w:rsidP="006A358E">
            <w:pPr>
              <w:pStyle w:val="StyleWisnow"/>
              <w:rPr>
                <w:color w:val="000000" w:themeColor="text1"/>
              </w:rPr>
            </w:pPr>
            <w:r w:rsidRPr="00286216">
              <w:rPr>
                <w:color w:val="000000" w:themeColor="text1"/>
              </w:rPr>
              <w:t>533.</w:t>
            </w:r>
          </w:p>
        </w:tc>
        <w:tc>
          <w:tcPr>
            <w:tcW w:w="4818" w:type="dxa"/>
          </w:tcPr>
          <w:p w14:paraId="2914C5BC" w14:textId="77777777" w:rsidR="00C70550" w:rsidRPr="00286216" w:rsidRDefault="00C70550" w:rsidP="006A358E">
            <w:pPr>
              <w:pStyle w:val="StyleZakonu"/>
              <w:rPr>
                <w:color w:val="000000" w:themeColor="text1"/>
              </w:rPr>
            </w:pPr>
            <w:r w:rsidRPr="00286216">
              <w:rPr>
                <w:color w:val="000000" w:themeColor="text1"/>
              </w:rPr>
              <w:t>Стаття 32. Вексель</w:t>
            </w:r>
          </w:p>
        </w:tc>
        <w:tc>
          <w:tcPr>
            <w:tcW w:w="3686" w:type="dxa"/>
          </w:tcPr>
          <w:p w14:paraId="1CF27C8A" w14:textId="77777777" w:rsidR="00C70550" w:rsidRPr="00286216" w:rsidRDefault="00C70550" w:rsidP="006A358E">
            <w:pPr>
              <w:pStyle w:val="StyleProp"/>
              <w:rPr>
                <w:color w:val="000000" w:themeColor="text1"/>
                <w:szCs w:val="18"/>
              </w:rPr>
            </w:pPr>
          </w:p>
        </w:tc>
        <w:tc>
          <w:tcPr>
            <w:tcW w:w="1987" w:type="dxa"/>
          </w:tcPr>
          <w:p w14:paraId="1DA0794D" w14:textId="77777777" w:rsidR="00C70550" w:rsidRPr="00286216" w:rsidRDefault="00C70550" w:rsidP="006A358E">
            <w:pPr>
              <w:pStyle w:val="StyleWisnow"/>
              <w:rPr>
                <w:color w:val="000000" w:themeColor="text1"/>
              </w:rPr>
            </w:pPr>
          </w:p>
        </w:tc>
        <w:tc>
          <w:tcPr>
            <w:tcW w:w="4818" w:type="dxa"/>
          </w:tcPr>
          <w:p w14:paraId="305A372C" w14:textId="77777777" w:rsidR="00C70550" w:rsidRPr="00286216" w:rsidRDefault="00C70550" w:rsidP="006A358E">
            <w:pPr>
              <w:pStyle w:val="StyleZakonu"/>
              <w:rPr>
                <w:color w:val="000000" w:themeColor="text1"/>
              </w:rPr>
            </w:pPr>
            <w:r w:rsidRPr="00286216">
              <w:rPr>
                <w:color w:val="000000" w:themeColor="text1"/>
              </w:rPr>
              <w:t>Стаття 28. Вексель</w:t>
            </w:r>
          </w:p>
        </w:tc>
      </w:tr>
      <w:tr w:rsidR="00C70550" w:rsidRPr="00286216" w14:paraId="44435BFF" w14:textId="77777777" w:rsidTr="006A358E">
        <w:tc>
          <w:tcPr>
            <w:tcW w:w="576" w:type="dxa"/>
          </w:tcPr>
          <w:p w14:paraId="6A061F47" w14:textId="77777777" w:rsidR="00C70550" w:rsidRPr="00286216" w:rsidRDefault="00C70550" w:rsidP="006A358E">
            <w:pPr>
              <w:pStyle w:val="StyleWisnow"/>
              <w:rPr>
                <w:color w:val="000000" w:themeColor="text1"/>
              </w:rPr>
            </w:pPr>
            <w:r w:rsidRPr="00286216">
              <w:rPr>
                <w:color w:val="000000" w:themeColor="text1"/>
              </w:rPr>
              <w:t>534.</w:t>
            </w:r>
          </w:p>
        </w:tc>
        <w:tc>
          <w:tcPr>
            <w:tcW w:w="4818" w:type="dxa"/>
          </w:tcPr>
          <w:p w14:paraId="07EACCA0" w14:textId="77777777" w:rsidR="00C70550" w:rsidRPr="00286216" w:rsidRDefault="00C70550" w:rsidP="006A358E">
            <w:pPr>
              <w:pStyle w:val="StyleZakonu"/>
              <w:rPr>
                <w:color w:val="000000" w:themeColor="text1"/>
              </w:rPr>
            </w:pPr>
            <w:r w:rsidRPr="00286216">
              <w:rPr>
                <w:color w:val="000000" w:themeColor="text1"/>
              </w:rPr>
              <w:t xml:space="preserve">1. Вексель - цінний папір, який посвідчує безумовне грошове зобов’язання векселедавця або його наказ третій особі сплатити після настання </w:t>
            </w:r>
            <w:r w:rsidRPr="00286216">
              <w:rPr>
                <w:color w:val="000000" w:themeColor="text1"/>
              </w:rPr>
              <w:lastRenderedPageBreak/>
              <w:t>строку платежу визначену суму власнику векселя (векселедержателю).</w:t>
            </w:r>
          </w:p>
        </w:tc>
        <w:tc>
          <w:tcPr>
            <w:tcW w:w="3686" w:type="dxa"/>
          </w:tcPr>
          <w:p w14:paraId="55B8C3D5" w14:textId="77777777" w:rsidR="00C70550" w:rsidRPr="00286216" w:rsidRDefault="00C70550" w:rsidP="006A358E">
            <w:pPr>
              <w:pStyle w:val="StyleProp"/>
              <w:rPr>
                <w:color w:val="000000" w:themeColor="text1"/>
                <w:szCs w:val="18"/>
              </w:rPr>
            </w:pPr>
          </w:p>
        </w:tc>
        <w:tc>
          <w:tcPr>
            <w:tcW w:w="1987" w:type="dxa"/>
          </w:tcPr>
          <w:p w14:paraId="2C3D9494" w14:textId="77777777" w:rsidR="00C70550" w:rsidRPr="00286216" w:rsidRDefault="00C70550" w:rsidP="006A358E">
            <w:pPr>
              <w:pStyle w:val="StyleWisnow"/>
              <w:rPr>
                <w:color w:val="000000" w:themeColor="text1"/>
              </w:rPr>
            </w:pPr>
          </w:p>
        </w:tc>
        <w:tc>
          <w:tcPr>
            <w:tcW w:w="4818" w:type="dxa"/>
          </w:tcPr>
          <w:p w14:paraId="5179AF35" w14:textId="77777777" w:rsidR="00C70550" w:rsidRPr="00286216" w:rsidRDefault="00C70550" w:rsidP="006A358E">
            <w:pPr>
              <w:pStyle w:val="StyleZakonu"/>
              <w:rPr>
                <w:color w:val="000000" w:themeColor="text1"/>
              </w:rPr>
            </w:pPr>
            <w:r w:rsidRPr="00286216">
              <w:rPr>
                <w:color w:val="000000" w:themeColor="text1"/>
              </w:rPr>
              <w:t xml:space="preserve">1. Вексель – це цінний папір, який посвідчує безумовне грошове зобов’язання векселедавця або його наказ третій особі сплатити після настання </w:t>
            </w:r>
            <w:r w:rsidRPr="00286216">
              <w:rPr>
                <w:color w:val="000000" w:themeColor="text1"/>
              </w:rPr>
              <w:lastRenderedPageBreak/>
              <w:t>строку платежу визначену суму власнику векселя (векселедержателю).</w:t>
            </w:r>
          </w:p>
        </w:tc>
      </w:tr>
      <w:tr w:rsidR="00C70550" w:rsidRPr="00286216" w14:paraId="6BC96386" w14:textId="77777777" w:rsidTr="006A358E">
        <w:tc>
          <w:tcPr>
            <w:tcW w:w="576" w:type="dxa"/>
          </w:tcPr>
          <w:p w14:paraId="672D1402" w14:textId="77777777" w:rsidR="00C70550" w:rsidRPr="00286216" w:rsidRDefault="00C70550" w:rsidP="006A358E">
            <w:pPr>
              <w:pStyle w:val="StyleWisnow"/>
              <w:rPr>
                <w:color w:val="000000" w:themeColor="text1"/>
              </w:rPr>
            </w:pPr>
            <w:r w:rsidRPr="00286216">
              <w:rPr>
                <w:color w:val="000000" w:themeColor="text1"/>
              </w:rPr>
              <w:lastRenderedPageBreak/>
              <w:t>535.</w:t>
            </w:r>
          </w:p>
        </w:tc>
        <w:tc>
          <w:tcPr>
            <w:tcW w:w="4818" w:type="dxa"/>
          </w:tcPr>
          <w:p w14:paraId="476590C7" w14:textId="77777777" w:rsidR="00C70550" w:rsidRPr="00286216" w:rsidRDefault="00C70550" w:rsidP="006A358E">
            <w:pPr>
              <w:pStyle w:val="StyleZakonu"/>
              <w:rPr>
                <w:color w:val="000000" w:themeColor="text1"/>
              </w:rPr>
            </w:pPr>
            <w:r w:rsidRPr="00286216">
              <w:rPr>
                <w:color w:val="000000" w:themeColor="text1"/>
              </w:rPr>
              <w:t>2. Векселі можуть бути прості або переказні та існують виключно у документарній формі.</w:t>
            </w:r>
          </w:p>
        </w:tc>
        <w:tc>
          <w:tcPr>
            <w:tcW w:w="3686" w:type="dxa"/>
          </w:tcPr>
          <w:p w14:paraId="1E700C65" w14:textId="49B5EFB4"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B9839F6" w14:textId="77777777" w:rsidR="00C70550" w:rsidRPr="00286216" w:rsidRDefault="00C70550" w:rsidP="006A358E">
            <w:pPr>
              <w:pStyle w:val="StyleProp"/>
              <w:rPr>
                <w:color w:val="000000" w:themeColor="text1"/>
                <w:szCs w:val="18"/>
              </w:rPr>
            </w:pPr>
            <w:r w:rsidRPr="00286216">
              <w:rPr>
                <w:color w:val="000000" w:themeColor="text1"/>
                <w:szCs w:val="18"/>
              </w:rPr>
              <w:t>В тексті проекту слово «документарній» замінити словом «паперовій».</w:t>
            </w:r>
          </w:p>
        </w:tc>
        <w:tc>
          <w:tcPr>
            <w:tcW w:w="1987" w:type="dxa"/>
          </w:tcPr>
          <w:p w14:paraId="29F45FD8"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F0DB444" w14:textId="77777777" w:rsidR="00C70550" w:rsidRPr="00286216" w:rsidRDefault="00C70550" w:rsidP="006A358E">
            <w:pPr>
              <w:pStyle w:val="StyleZakonu"/>
              <w:rPr>
                <w:color w:val="000000" w:themeColor="text1"/>
              </w:rPr>
            </w:pPr>
            <w:r w:rsidRPr="00286216">
              <w:rPr>
                <w:color w:val="000000" w:themeColor="text1"/>
              </w:rPr>
              <w:t xml:space="preserve">2. Векселі можуть бути прості або переказні та існують виключно у </w:t>
            </w:r>
            <w:r w:rsidRPr="00286216">
              <w:rPr>
                <w:color w:val="000000" w:themeColor="text1"/>
                <w:szCs w:val="18"/>
              </w:rPr>
              <w:t>паперовій</w:t>
            </w:r>
            <w:r w:rsidRPr="00286216">
              <w:rPr>
                <w:color w:val="000000" w:themeColor="text1"/>
              </w:rPr>
              <w:t xml:space="preserve"> формі.</w:t>
            </w:r>
          </w:p>
        </w:tc>
      </w:tr>
      <w:tr w:rsidR="00C70550" w:rsidRPr="00286216" w14:paraId="683D447B" w14:textId="77777777" w:rsidTr="006A358E">
        <w:tc>
          <w:tcPr>
            <w:tcW w:w="576" w:type="dxa"/>
          </w:tcPr>
          <w:p w14:paraId="27FC0F2E" w14:textId="77777777" w:rsidR="00C70550" w:rsidRPr="00286216" w:rsidRDefault="00C70550" w:rsidP="006A358E">
            <w:pPr>
              <w:pStyle w:val="StyleWisnow"/>
              <w:rPr>
                <w:color w:val="000000" w:themeColor="text1"/>
              </w:rPr>
            </w:pPr>
            <w:r w:rsidRPr="00286216">
              <w:rPr>
                <w:color w:val="000000" w:themeColor="text1"/>
              </w:rPr>
              <w:t>536.</w:t>
            </w:r>
          </w:p>
        </w:tc>
        <w:tc>
          <w:tcPr>
            <w:tcW w:w="4818" w:type="dxa"/>
          </w:tcPr>
          <w:p w14:paraId="0BDF2929" w14:textId="77777777" w:rsidR="00C70550" w:rsidRPr="00286216" w:rsidRDefault="00C70550" w:rsidP="006A358E">
            <w:pPr>
              <w:pStyle w:val="StyleZakonu"/>
              <w:rPr>
                <w:color w:val="000000" w:themeColor="text1"/>
              </w:rPr>
            </w:pPr>
            <w:r w:rsidRPr="00286216">
              <w:rPr>
                <w:color w:val="000000" w:themeColor="text1"/>
              </w:rPr>
              <w:t>3. Особливості видачі та обігу векселів, здійснення операцій з векселями, погашення вексельних зобов’язань та стягнення за векселями визначаються Законом України "Про обіг векселів в Україні".</w:t>
            </w:r>
          </w:p>
        </w:tc>
        <w:tc>
          <w:tcPr>
            <w:tcW w:w="3686" w:type="dxa"/>
          </w:tcPr>
          <w:p w14:paraId="0B3ACE62" w14:textId="77777777" w:rsidR="00C70550" w:rsidRPr="00286216" w:rsidRDefault="00C70550" w:rsidP="006A358E">
            <w:pPr>
              <w:pStyle w:val="StyleProp"/>
              <w:rPr>
                <w:color w:val="000000" w:themeColor="text1"/>
                <w:szCs w:val="18"/>
              </w:rPr>
            </w:pPr>
          </w:p>
        </w:tc>
        <w:tc>
          <w:tcPr>
            <w:tcW w:w="1987" w:type="dxa"/>
          </w:tcPr>
          <w:p w14:paraId="6A0C39D3" w14:textId="77777777" w:rsidR="00C70550" w:rsidRPr="00286216" w:rsidRDefault="00C70550" w:rsidP="006A358E">
            <w:pPr>
              <w:pStyle w:val="StyleWisnow"/>
              <w:rPr>
                <w:color w:val="000000" w:themeColor="text1"/>
              </w:rPr>
            </w:pPr>
          </w:p>
        </w:tc>
        <w:tc>
          <w:tcPr>
            <w:tcW w:w="4818" w:type="dxa"/>
          </w:tcPr>
          <w:p w14:paraId="721344A4" w14:textId="77777777" w:rsidR="00C70550" w:rsidRPr="00286216" w:rsidRDefault="00C70550" w:rsidP="006A358E">
            <w:pPr>
              <w:pStyle w:val="StyleZakonu"/>
              <w:rPr>
                <w:color w:val="000000" w:themeColor="text1"/>
              </w:rPr>
            </w:pPr>
            <w:r w:rsidRPr="00286216">
              <w:rPr>
                <w:color w:val="000000" w:themeColor="text1"/>
              </w:rPr>
              <w:t>3. Особливості видачі та обігу векселів, здійснення операцій з векселями, погашення вексельних зобов’язань та стягнення за векселями визначаються Законом України "Про обіг векселів в Україні".</w:t>
            </w:r>
          </w:p>
        </w:tc>
      </w:tr>
      <w:tr w:rsidR="00C70550" w:rsidRPr="00286216" w14:paraId="5E2530C7" w14:textId="77777777" w:rsidTr="006A358E">
        <w:tc>
          <w:tcPr>
            <w:tcW w:w="576" w:type="dxa"/>
          </w:tcPr>
          <w:p w14:paraId="11791B19" w14:textId="77777777" w:rsidR="00C70550" w:rsidRPr="00286216" w:rsidRDefault="00C70550" w:rsidP="006A358E">
            <w:pPr>
              <w:pStyle w:val="StyleWisnow"/>
              <w:rPr>
                <w:color w:val="000000" w:themeColor="text1"/>
              </w:rPr>
            </w:pPr>
            <w:r w:rsidRPr="00286216">
              <w:rPr>
                <w:color w:val="000000" w:themeColor="text1"/>
              </w:rPr>
              <w:t>537.</w:t>
            </w:r>
          </w:p>
        </w:tc>
        <w:tc>
          <w:tcPr>
            <w:tcW w:w="4818" w:type="dxa"/>
          </w:tcPr>
          <w:p w14:paraId="6E113D96" w14:textId="77777777" w:rsidR="00C70550" w:rsidRPr="00286216" w:rsidRDefault="00C70550" w:rsidP="006A358E">
            <w:pPr>
              <w:pStyle w:val="StyleZakonu"/>
              <w:rPr>
                <w:color w:val="000000" w:themeColor="text1"/>
              </w:rPr>
            </w:pPr>
            <w:r w:rsidRPr="00286216">
              <w:rPr>
                <w:color w:val="000000" w:themeColor="text1"/>
              </w:rPr>
              <w:t>Стаття 33. Заставна</w:t>
            </w:r>
          </w:p>
        </w:tc>
        <w:tc>
          <w:tcPr>
            <w:tcW w:w="3686" w:type="dxa"/>
          </w:tcPr>
          <w:p w14:paraId="2674837A" w14:textId="77777777" w:rsidR="00C70550" w:rsidRPr="00286216" w:rsidRDefault="00C70550" w:rsidP="006A358E">
            <w:pPr>
              <w:pStyle w:val="StyleProp"/>
              <w:rPr>
                <w:color w:val="000000" w:themeColor="text1"/>
                <w:szCs w:val="18"/>
              </w:rPr>
            </w:pPr>
          </w:p>
        </w:tc>
        <w:tc>
          <w:tcPr>
            <w:tcW w:w="1987" w:type="dxa"/>
          </w:tcPr>
          <w:p w14:paraId="5EE4AD05" w14:textId="77777777" w:rsidR="00C70550" w:rsidRPr="00286216" w:rsidRDefault="00C70550" w:rsidP="006A358E">
            <w:pPr>
              <w:pStyle w:val="StyleWisnow"/>
              <w:rPr>
                <w:color w:val="000000" w:themeColor="text1"/>
              </w:rPr>
            </w:pPr>
          </w:p>
        </w:tc>
        <w:tc>
          <w:tcPr>
            <w:tcW w:w="4818" w:type="dxa"/>
          </w:tcPr>
          <w:p w14:paraId="05CE8085" w14:textId="77777777" w:rsidR="00C70550" w:rsidRPr="00286216" w:rsidRDefault="00C70550" w:rsidP="006A358E">
            <w:pPr>
              <w:pStyle w:val="StyleZakonu"/>
              <w:rPr>
                <w:color w:val="000000" w:themeColor="text1"/>
              </w:rPr>
            </w:pPr>
            <w:r w:rsidRPr="00286216">
              <w:rPr>
                <w:color w:val="000000" w:themeColor="text1"/>
              </w:rPr>
              <w:t>Стаття 29. Заставна</w:t>
            </w:r>
          </w:p>
        </w:tc>
      </w:tr>
      <w:tr w:rsidR="00C70550" w:rsidRPr="00286216" w14:paraId="039563F7" w14:textId="77777777" w:rsidTr="006A358E">
        <w:tc>
          <w:tcPr>
            <w:tcW w:w="576" w:type="dxa"/>
          </w:tcPr>
          <w:p w14:paraId="53CD208D" w14:textId="77777777" w:rsidR="00C70550" w:rsidRPr="00286216" w:rsidRDefault="00C70550" w:rsidP="006A358E">
            <w:pPr>
              <w:pStyle w:val="StyleWisnow"/>
              <w:rPr>
                <w:color w:val="000000" w:themeColor="text1"/>
              </w:rPr>
            </w:pPr>
            <w:r w:rsidRPr="00286216">
              <w:rPr>
                <w:color w:val="000000" w:themeColor="text1"/>
              </w:rPr>
              <w:t>538.</w:t>
            </w:r>
          </w:p>
        </w:tc>
        <w:tc>
          <w:tcPr>
            <w:tcW w:w="4818" w:type="dxa"/>
          </w:tcPr>
          <w:p w14:paraId="7F66AE64" w14:textId="77777777" w:rsidR="00C70550" w:rsidRPr="00286216" w:rsidRDefault="00C70550" w:rsidP="006A358E">
            <w:pPr>
              <w:pStyle w:val="StyleZakonu"/>
              <w:rPr>
                <w:color w:val="000000" w:themeColor="text1"/>
              </w:rPr>
            </w:pPr>
            <w:r w:rsidRPr="00286216">
              <w:rPr>
                <w:color w:val="000000" w:themeColor="text1"/>
              </w:rPr>
              <w:t>1. Особливості видачі, обігу, викупу, погашення та обліку заставних та порядок розкриття інформації щодо них визначаються Законом України "Про іпотеку".</w:t>
            </w:r>
          </w:p>
        </w:tc>
        <w:tc>
          <w:tcPr>
            <w:tcW w:w="3686" w:type="dxa"/>
          </w:tcPr>
          <w:p w14:paraId="213D251F" w14:textId="77777777" w:rsidR="00C70550" w:rsidRPr="00286216" w:rsidRDefault="00C70550" w:rsidP="006A358E">
            <w:pPr>
              <w:pStyle w:val="StyleProp"/>
              <w:rPr>
                <w:color w:val="000000" w:themeColor="text1"/>
                <w:szCs w:val="18"/>
              </w:rPr>
            </w:pPr>
          </w:p>
        </w:tc>
        <w:tc>
          <w:tcPr>
            <w:tcW w:w="1987" w:type="dxa"/>
          </w:tcPr>
          <w:p w14:paraId="41C5D43A" w14:textId="77777777" w:rsidR="00C70550" w:rsidRPr="00286216" w:rsidRDefault="00C70550" w:rsidP="006A358E">
            <w:pPr>
              <w:pStyle w:val="StyleWisnow"/>
              <w:rPr>
                <w:color w:val="000000" w:themeColor="text1"/>
              </w:rPr>
            </w:pPr>
          </w:p>
        </w:tc>
        <w:tc>
          <w:tcPr>
            <w:tcW w:w="4818" w:type="dxa"/>
          </w:tcPr>
          <w:p w14:paraId="5D6B973A" w14:textId="0B112AE9" w:rsidR="00C70550" w:rsidRPr="00286216" w:rsidRDefault="00C70550" w:rsidP="006A358E">
            <w:pPr>
              <w:pStyle w:val="StyleZakonu"/>
              <w:rPr>
                <w:color w:val="000000" w:themeColor="text1"/>
              </w:rPr>
            </w:pPr>
            <w:r w:rsidRPr="00286216">
              <w:rPr>
                <w:color w:val="000000" w:themeColor="text1"/>
              </w:rPr>
              <w:t>1. Особливості видачі, обігу, викупу, погашення та обліку заставних і порядок розкриття інформації щодо них визначаються Законом України "Про іпотеку".</w:t>
            </w:r>
          </w:p>
        </w:tc>
      </w:tr>
      <w:tr w:rsidR="00C70550" w:rsidRPr="00286216" w14:paraId="0628C7FD" w14:textId="77777777" w:rsidTr="006A358E">
        <w:tc>
          <w:tcPr>
            <w:tcW w:w="576" w:type="dxa"/>
          </w:tcPr>
          <w:p w14:paraId="1528B0AF" w14:textId="77777777" w:rsidR="00C70550" w:rsidRPr="00286216" w:rsidRDefault="00C70550" w:rsidP="006A358E">
            <w:pPr>
              <w:pStyle w:val="StyleWisnow"/>
              <w:rPr>
                <w:color w:val="000000" w:themeColor="text1"/>
              </w:rPr>
            </w:pPr>
            <w:r w:rsidRPr="00286216">
              <w:rPr>
                <w:color w:val="000000" w:themeColor="text1"/>
              </w:rPr>
              <w:t>539.</w:t>
            </w:r>
          </w:p>
        </w:tc>
        <w:tc>
          <w:tcPr>
            <w:tcW w:w="4818" w:type="dxa"/>
          </w:tcPr>
          <w:p w14:paraId="550ED4A8" w14:textId="77777777" w:rsidR="00C70550" w:rsidRPr="00286216" w:rsidRDefault="00C70550" w:rsidP="006A358E">
            <w:pPr>
              <w:pStyle w:val="StyleZakonu"/>
              <w:rPr>
                <w:color w:val="000000" w:themeColor="text1"/>
              </w:rPr>
            </w:pPr>
            <w:r w:rsidRPr="00286216">
              <w:rPr>
                <w:color w:val="000000" w:themeColor="text1"/>
              </w:rPr>
              <w:t>Стаття 34. Державний дериватив</w:t>
            </w:r>
          </w:p>
        </w:tc>
        <w:tc>
          <w:tcPr>
            <w:tcW w:w="3686" w:type="dxa"/>
          </w:tcPr>
          <w:p w14:paraId="35011BE1" w14:textId="77777777" w:rsidR="00C70550" w:rsidRPr="00286216" w:rsidRDefault="00C70550" w:rsidP="006A358E">
            <w:pPr>
              <w:pStyle w:val="StyleProp"/>
              <w:rPr>
                <w:color w:val="000000" w:themeColor="text1"/>
                <w:szCs w:val="18"/>
              </w:rPr>
            </w:pPr>
          </w:p>
        </w:tc>
        <w:tc>
          <w:tcPr>
            <w:tcW w:w="1987" w:type="dxa"/>
          </w:tcPr>
          <w:p w14:paraId="06976155" w14:textId="77777777" w:rsidR="00C70550" w:rsidRPr="00286216" w:rsidRDefault="00C70550" w:rsidP="006A358E">
            <w:pPr>
              <w:pStyle w:val="StyleWisnow"/>
              <w:rPr>
                <w:color w:val="000000" w:themeColor="text1"/>
              </w:rPr>
            </w:pPr>
          </w:p>
        </w:tc>
        <w:tc>
          <w:tcPr>
            <w:tcW w:w="4818" w:type="dxa"/>
          </w:tcPr>
          <w:p w14:paraId="787D9E24" w14:textId="77777777" w:rsidR="00C70550" w:rsidRPr="00286216" w:rsidRDefault="00C70550" w:rsidP="006A358E">
            <w:pPr>
              <w:pStyle w:val="StyleZakonu"/>
              <w:rPr>
                <w:color w:val="000000" w:themeColor="text1"/>
              </w:rPr>
            </w:pPr>
            <w:r w:rsidRPr="00286216">
              <w:rPr>
                <w:color w:val="000000" w:themeColor="text1"/>
              </w:rPr>
              <w:t>Стаття 30. Державний дериватив</w:t>
            </w:r>
          </w:p>
        </w:tc>
      </w:tr>
      <w:tr w:rsidR="00C70550" w:rsidRPr="00286216" w14:paraId="066E0328" w14:textId="77777777" w:rsidTr="006A358E">
        <w:tc>
          <w:tcPr>
            <w:tcW w:w="576" w:type="dxa"/>
          </w:tcPr>
          <w:p w14:paraId="658CE097" w14:textId="77777777" w:rsidR="00C70550" w:rsidRPr="00286216" w:rsidRDefault="00C70550" w:rsidP="006A358E">
            <w:pPr>
              <w:pStyle w:val="StyleWisnow"/>
              <w:rPr>
                <w:color w:val="000000" w:themeColor="text1"/>
              </w:rPr>
            </w:pPr>
            <w:r w:rsidRPr="00286216">
              <w:rPr>
                <w:color w:val="000000" w:themeColor="text1"/>
              </w:rPr>
              <w:t>540.</w:t>
            </w:r>
          </w:p>
        </w:tc>
        <w:tc>
          <w:tcPr>
            <w:tcW w:w="4818" w:type="dxa"/>
          </w:tcPr>
          <w:p w14:paraId="6890FD16" w14:textId="77777777" w:rsidR="00C70550" w:rsidRPr="00286216" w:rsidRDefault="00C70550" w:rsidP="006A358E">
            <w:pPr>
              <w:pStyle w:val="StyleZakonu"/>
              <w:rPr>
                <w:color w:val="000000" w:themeColor="text1"/>
              </w:rPr>
            </w:pPr>
            <w:r w:rsidRPr="00286216">
              <w:rPr>
                <w:color w:val="000000" w:themeColor="text1"/>
              </w:rPr>
              <w:t>1. Державний дериватив - деривативний (похідний) цінний папір, що розміщується державою на міжнародних фондових ринках і підтверджує зобов’язання України відповідно до умов розміщення цього цінного папера здійснити виплати власнику цього цінного папера в разі досягнення певних показників валового внутрішнього продукту України, а також здійснити інші виплати.</w:t>
            </w:r>
          </w:p>
        </w:tc>
        <w:tc>
          <w:tcPr>
            <w:tcW w:w="3686" w:type="dxa"/>
          </w:tcPr>
          <w:p w14:paraId="1D4A14FA" w14:textId="6375DF40"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E138872" w14:textId="77777777" w:rsidR="00C70550" w:rsidRPr="00286216" w:rsidRDefault="00C70550" w:rsidP="006A358E">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p w14:paraId="0E665E26" w14:textId="77777777" w:rsidR="00C70550" w:rsidRPr="00286216" w:rsidRDefault="00C70550" w:rsidP="006A358E">
            <w:pPr>
              <w:pStyle w:val="StyleProp"/>
              <w:rPr>
                <w:color w:val="000000" w:themeColor="text1"/>
                <w:szCs w:val="18"/>
              </w:rPr>
            </w:pPr>
          </w:p>
          <w:p w14:paraId="08369E64" w14:textId="4984D5FA"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318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26719DA" w14:textId="77777777" w:rsidR="00C70550" w:rsidRPr="00286216" w:rsidRDefault="00C70550" w:rsidP="006A358E">
            <w:pPr>
              <w:pStyle w:val="StyleProp"/>
              <w:rPr>
                <w:color w:val="000000" w:themeColor="text1"/>
                <w:szCs w:val="18"/>
              </w:rPr>
            </w:pPr>
            <w:r w:rsidRPr="00286216">
              <w:rPr>
                <w:color w:val="000000" w:themeColor="text1"/>
              </w:rPr>
              <w:t>У частині першій статті 34 розділу 1 слово та символи «(похідний)» виключити.</w:t>
            </w:r>
          </w:p>
        </w:tc>
        <w:tc>
          <w:tcPr>
            <w:tcW w:w="1987" w:type="dxa"/>
          </w:tcPr>
          <w:p w14:paraId="38578A86" w14:textId="77777777" w:rsidR="00C70550" w:rsidRPr="00286216" w:rsidRDefault="00C70550" w:rsidP="006A358E">
            <w:pPr>
              <w:pStyle w:val="StyleWisnow"/>
              <w:rPr>
                <w:color w:val="000000" w:themeColor="text1"/>
              </w:rPr>
            </w:pPr>
            <w:r w:rsidRPr="00286216">
              <w:rPr>
                <w:color w:val="000000" w:themeColor="text1"/>
              </w:rPr>
              <w:t>Враховано</w:t>
            </w:r>
          </w:p>
          <w:p w14:paraId="116A17B7" w14:textId="77777777" w:rsidR="00C70550" w:rsidRPr="00286216" w:rsidRDefault="00C70550" w:rsidP="006A358E">
            <w:pPr>
              <w:pStyle w:val="StyleWisnow"/>
              <w:rPr>
                <w:color w:val="000000" w:themeColor="text1"/>
              </w:rPr>
            </w:pPr>
          </w:p>
          <w:p w14:paraId="2E1C8393" w14:textId="77777777" w:rsidR="00C70550" w:rsidRPr="00286216" w:rsidRDefault="00C70550" w:rsidP="006A358E">
            <w:pPr>
              <w:pStyle w:val="StyleWisnow"/>
              <w:rPr>
                <w:color w:val="000000" w:themeColor="text1"/>
              </w:rPr>
            </w:pPr>
          </w:p>
          <w:p w14:paraId="16F06BCE" w14:textId="77777777" w:rsidR="00C70550" w:rsidRPr="00286216" w:rsidRDefault="00C70550" w:rsidP="006A358E">
            <w:pPr>
              <w:pStyle w:val="StyleWisnow"/>
              <w:rPr>
                <w:color w:val="000000" w:themeColor="text1"/>
              </w:rPr>
            </w:pPr>
          </w:p>
          <w:p w14:paraId="206489A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4C0211B4" w14:textId="2CA7DED9" w:rsidR="00C70550" w:rsidRPr="00286216" w:rsidRDefault="00C70550" w:rsidP="006A358E">
            <w:pPr>
              <w:pStyle w:val="StyleZakonu"/>
              <w:rPr>
                <w:color w:val="000000" w:themeColor="text1"/>
              </w:rPr>
            </w:pPr>
            <w:r w:rsidRPr="00286216">
              <w:rPr>
                <w:color w:val="000000" w:themeColor="text1"/>
              </w:rPr>
              <w:t>1. Державний дериватив – це деривативний цінний папір, що розміщується державою на міжнародних ринках капіталу і підтверджує зобов’язання України відповідно до умов розміщення цього цінного папера здійснити виплати власнику цього цінного папера у разі досягнення певних показників валового внутрішнього продукту України, а також здійснити інші виплати.</w:t>
            </w:r>
          </w:p>
        </w:tc>
      </w:tr>
      <w:tr w:rsidR="00C70550" w:rsidRPr="00286216" w14:paraId="0F914409" w14:textId="77777777" w:rsidTr="006A358E">
        <w:tc>
          <w:tcPr>
            <w:tcW w:w="576" w:type="dxa"/>
          </w:tcPr>
          <w:p w14:paraId="457BC410" w14:textId="77777777" w:rsidR="00C70550" w:rsidRPr="00286216" w:rsidRDefault="00C70550" w:rsidP="006A358E">
            <w:pPr>
              <w:pStyle w:val="StyleWisnow"/>
              <w:rPr>
                <w:color w:val="000000" w:themeColor="text1"/>
              </w:rPr>
            </w:pPr>
            <w:r w:rsidRPr="00286216">
              <w:rPr>
                <w:color w:val="000000" w:themeColor="text1"/>
              </w:rPr>
              <w:t>541.</w:t>
            </w:r>
          </w:p>
        </w:tc>
        <w:tc>
          <w:tcPr>
            <w:tcW w:w="4818" w:type="dxa"/>
          </w:tcPr>
          <w:p w14:paraId="381D6BEF" w14:textId="77777777" w:rsidR="00C70550" w:rsidRPr="00286216" w:rsidRDefault="00C70550" w:rsidP="006A358E">
            <w:pPr>
              <w:pStyle w:val="StyleZakonu"/>
              <w:rPr>
                <w:color w:val="000000" w:themeColor="text1"/>
              </w:rPr>
            </w:pPr>
            <w:r w:rsidRPr="00286216">
              <w:rPr>
                <w:color w:val="000000" w:themeColor="text1"/>
              </w:rPr>
              <w:t>2. Емісія державних деривативів є частиною бюджетного процесу і не підлягає регулюванню Національною комісією з цінних паперів та фондового ринку.</w:t>
            </w:r>
          </w:p>
        </w:tc>
        <w:tc>
          <w:tcPr>
            <w:tcW w:w="3686" w:type="dxa"/>
          </w:tcPr>
          <w:p w14:paraId="5BC28CA9" w14:textId="77777777" w:rsidR="00C70550" w:rsidRPr="00286216" w:rsidRDefault="00C70550" w:rsidP="006A358E">
            <w:pPr>
              <w:pStyle w:val="StyleProp"/>
              <w:rPr>
                <w:color w:val="000000" w:themeColor="text1"/>
                <w:szCs w:val="18"/>
              </w:rPr>
            </w:pPr>
          </w:p>
        </w:tc>
        <w:tc>
          <w:tcPr>
            <w:tcW w:w="1987" w:type="dxa"/>
          </w:tcPr>
          <w:p w14:paraId="519B0B42" w14:textId="77777777" w:rsidR="00C70550" w:rsidRPr="00286216" w:rsidRDefault="00C70550" w:rsidP="006A358E">
            <w:pPr>
              <w:pStyle w:val="StyleWisnow"/>
              <w:rPr>
                <w:color w:val="000000" w:themeColor="text1"/>
              </w:rPr>
            </w:pPr>
          </w:p>
        </w:tc>
        <w:tc>
          <w:tcPr>
            <w:tcW w:w="4818" w:type="dxa"/>
          </w:tcPr>
          <w:p w14:paraId="440BB0FA" w14:textId="77777777" w:rsidR="00C70550" w:rsidRPr="00286216" w:rsidRDefault="00C70550" w:rsidP="006A358E">
            <w:pPr>
              <w:pStyle w:val="StyleZakonu"/>
              <w:rPr>
                <w:color w:val="000000" w:themeColor="text1"/>
              </w:rPr>
            </w:pPr>
            <w:r w:rsidRPr="00286216">
              <w:rPr>
                <w:color w:val="000000" w:themeColor="text1"/>
              </w:rPr>
              <w:t>2. Емісія державних деривативів є частиною бюджетного процесу і не підлягає регулюванню Національною комісією з цінних паперів та фондового ринку.</w:t>
            </w:r>
          </w:p>
        </w:tc>
      </w:tr>
      <w:tr w:rsidR="00C70550" w:rsidRPr="00286216" w14:paraId="1BFE6FB4" w14:textId="77777777" w:rsidTr="006A358E">
        <w:tc>
          <w:tcPr>
            <w:tcW w:w="576" w:type="dxa"/>
          </w:tcPr>
          <w:p w14:paraId="52EBBF3F" w14:textId="77777777" w:rsidR="00C70550" w:rsidRPr="00286216" w:rsidRDefault="00C70550" w:rsidP="006A358E">
            <w:pPr>
              <w:pStyle w:val="StyleWisnow"/>
              <w:rPr>
                <w:color w:val="000000" w:themeColor="text1"/>
              </w:rPr>
            </w:pPr>
            <w:r w:rsidRPr="00286216">
              <w:rPr>
                <w:color w:val="000000" w:themeColor="text1"/>
              </w:rPr>
              <w:t>542.</w:t>
            </w:r>
          </w:p>
        </w:tc>
        <w:tc>
          <w:tcPr>
            <w:tcW w:w="4818" w:type="dxa"/>
          </w:tcPr>
          <w:p w14:paraId="3914B3A5" w14:textId="77777777" w:rsidR="00C70550" w:rsidRPr="00286216" w:rsidRDefault="00C70550" w:rsidP="006A358E">
            <w:pPr>
              <w:pStyle w:val="StyleZakonu"/>
              <w:rPr>
                <w:color w:val="000000" w:themeColor="text1"/>
              </w:rPr>
            </w:pPr>
            <w:r w:rsidRPr="00286216">
              <w:rPr>
                <w:color w:val="000000" w:themeColor="text1"/>
              </w:rPr>
              <w:t>3. Рішення про розміщення державних деривативів та умови їх розміщення приймається згідно з Бюджетним кодексом України та законами України.</w:t>
            </w:r>
          </w:p>
        </w:tc>
        <w:tc>
          <w:tcPr>
            <w:tcW w:w="3686" w:type="dxa"/>
          </w:tcPr>
          <w:p w14:paraId="6A3CA006" w14:textId="77777777" w:rsidR="00C70550" w:rsidRPr="00286216" w:rsidRDefault="00C70550" w:rsidP="006A358E">
            <w:pPr>
              <w:pStyle w:val="StyleProp"/>
              <w:rPr>
                <w:color w:val="000000" w:themeColor="text1"/>
                <w:szCs w:val="18"/>
              </w:rPr>
            </w:pPr>
          </w:p>
        </w:tc>
        <w:tc>
          <w:tcPr>
            <w:tcW w:w="1987" w:type="dxa"/>
          </w:tcPr>
          <w:p w14:paraId="32D3F347" w14:textId="77777777" w:rsidR="00C70550" w:rsidRPr="00286216" w:rsidRDefault="00C70550" w:rsidP="006A358E">
            <w:pPr>
              <w:pStyle w:val="StyleWisnow"/>
              <w:rPr>
                <w:color w:val="000000" w:themeColor="text1"/>
              </w:rPr>
            </w:pPr>
          </w:p>
        </w:tc>
        <w:tc>
          <w:tcPr>
            <w:tcW w:w="4818" w:type="dxa"/>
          </w:tcPr>
          <w:p w14:paraId="0828B041" w14:textId="77777777" w:rsidR="00C70550" w:rsidRPr="00286216" w:rsidRDefault="00C70550" w:rsidP="006A358E">
            <w:pPr>
              <w:pStyle w:val="StyleZakonu"/>
              <w:rPr>
                <w:color w:val="000000" w:themeColor="text1"/>
              </w:rPr>
            </w:pPr>
            <w:r w:rsidRPr="00286216">
              <w:rPr>
                <w:color w:val="000000" w:themeColor="text1"/>
              </w:rPr>
              <w:t>3. Рішення про розміщення державних деривативів та умови їх розміщення приймаються згідно з Бюджетним кодексом України та законами України.</w:t>
            </w:r>
          </w:p>
        </w:tc>
      </w:tr>
      <w:tr w:rsidR="00C70550" w:rsidRPr="00286216" w14:paraId="3C4F357D" w14:textId="77777777" w:rsidTr="006A358E">
        <w:tc>
          <w:tcPr>
            <w:tcW w:w="576" w:type="dxa"/>
          </w:tcPr>
          <w:p w14:paraId="0B1007D0" w14:textId="77777777" w:rsidR="00C70550" w:rsidRPr="00286216" w:rsidRDefault="00C70550" w:rsidP="006A358E">
            <w:pPr>
              <w:pStyle w:val="StyleWisnow"/>
              <w:rPr>
                <w:color w:val="000000" w:themeColor="text1"/>
              </w:rPr>
            </w:pPr>
          </w:p>
        </w:tc>
        <w:tc>
          <w:tcPr>
            <w:tcW w:w="4818" w:type="dxa"/>
          </w:tcPr>
          <w:p w14:paraId="01086B9E" w14:textId="77777777" w:rsidR="00C70550" w:rsidRPr="00286216" w:rsidRDefault="00C70550" w:rsidP="006A358E">
            <w:pPr>
              <w:pStyle w:val="StyleZakonu"/>
              <w:spacing w:after="0"/>
              <w:ind w:firstLine="0"/>
              <w:jc w:val="center"/>
              <w:rPr>
                <w:color w:val="000000" w:themeColor="text1"/>
              </w:rPr>
            </w:pPr>
          </w:p>
        </w:tc>
        <w:tc>
          <w:tcPr>
            <w:tcW w:w="3686" w:type="dxa"/>
          </w:tcPr>
          <w:p w14:paraId="3B153097" w14:textId="2C3DB686" w:rsidR="00C70550" w:rsidRPr="00286216" w:rsidRDefault="00C70550" w:rsidP="006A358E">
            <w:pPr>
              <w:pStyle w:val="StyleAwt"/>
              <w:rPr>
                <w:color w:val="000000" w:themeColor="text1"/>
                <w:spacing w:val="-2"/>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319</w:t>
            </w:r>
            <w:r w:rsidRPr="00286216">
              <w:rPr>
                <w:color w:val="000000" w:themeColor="text1"/>
                <w:szCs w:val="18"/>
              </w:rPr>
              <w:fldChar w:fldCharType="end"/>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36F5E06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Доповнити статтю 34 новою частиною такого змісту:</w:t>
            </w:r>
          </w:p>
          <w:p w14:paraId="11AFBD85" w14:textId="77777777" w:rsidR="00C70550" w:rsidRPr="00286216" w:rsidRDefault="00C70550" w:rsidP="006A358E">
            <w:pPr>
              <w:pStyle w:val="StyleProp"/>
              <w:spacing w:line="180" w:lineRule="exact"/>
              <w:rPr>
                <w:color w:val="000000" w:themeColor="text1"/>
              </w:rPr>
            </w:pPr>
            <w:r w:rsidRPr="00286216">
              <w:rPr>
                <w:color w:val="000000" w:themeColor="text1"/>
                <w:szCs w:val="18"/>
              </w:rPr>
              <w:t>«4. Умови правочинів з державними деривативами, включаючи обмін, купівлю, викуп та продаж таких державних деривативів, які не визначені умовами розміщення, встановлюються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 відповідно до законодавства».</w:t>
            </w:r>
          </w:p>
        </w:tc>
        <w:tc>
          <w:tcPr>
            <w:tcW w:w="1987" w:type="dxa"/>
          </w:tcPr>
          <w:p w14:paraId="1E065DD4"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754A3E91" w14:textId="3F1CF922" w:rsidR="00C70550" w:rsidRPr="00286216" w:rsidRDefault="00C70550" w:rsidP="006A358E">
            <w:pPr>
              <w:pStyle w:val="StyleZakonu"/>
              <w:rPr>
                <w:color w:val="000000" w:themeColor="text1"/>
              </w:rPr>
            </w:pPr>
            <w:r w:rsidRPr="00286216">
              <w:rPr>
                <w:color w:val="000000" w:themeColor="text1"/>
              </w:rPr>
              <w:t>4. Умови розміщення державних деривативів, включаючи їх емісію, викуп, конвертацію та погашення,</w:t>
            </w:r>
            <w:r w:rsidRPr="00286216" w:rsidDel="00CD71D6">
              <w:rPr>
                <w:color w:val="000000" w:themeColor="text1"/>
              </w:rPr>
              <w:t xml:space="preserve"> </w:t>
            </w:r>
            <w:r w:rsidRPr="00286216">
              <w:rPr>
                <w:color w:val="000000" w:themeColor="text1"/>
              </w:rPr>
              <w:t xml:space="preserve"> які не визначені умовами розміщення, встановлюються відповідно до закону центральним органом виконавчої влади, уповноваженим на реалізацію державної бюджетної політики у сфері управління державним боргом та гарантованим державою боргом.</w:t>
            </w:r>
          </w:p>
        </w:tc>
      </w:tr>
      <w:tr w:rsidR="00C70550" w:rsidRPr="00286216" w14:paraId="1E3A20FA" w14:textId="77777777" w:rsidTr="006A358E">
        <w:tc>
          <w:tcPr>
            <w:tcW w:w="576" w:type="dxa"/>
          </w:tcPr>
          <w:p w14:paraId="45C3DD24" w14:textId="77777777" w:rsidR="00C70550" w:rsidRPr="00286216" w:rsidRDefault="00C70550" w:rsidP="006A358E">
            <w:pPr>
              <w:pStyle w:val="StyleWisnow"/>
              <w:rPr>
                <w:color w:val="000000" w:themeColor="text1"/>
              </w:rPr>
            </w:pPr>
            <w:r w:rsidRPr="00286216">
              <w:rPr>
                <w:color w:val="000000" w:themeColor="text1"/>
              </w:rPr>
              <w:t>543.</w:t>
            </w:r>
          </w:p>
        </w:tc>
        <w:tc>
          <w:tcPr>
            <w:tcW w:w="4818" w:type="dxa"/>
          </w:tcPr>
          <w:p w14:paraId="06079B07" w14:textId="77777777" w:rsidR="00C70550" w:rsidRPr="00286216" w:rsidRDefault="00C70550" w:rsidP="006A358E">
            <w:pPr>
              <w:pStyle w:val="StyleZakonu"/>
              <w:spacing w:after="0"/>
              <w:ind w:firstLine="0"/>
              <w:jc w:val="center"/>
              <w:rPr>
                <w:color w:val="000000" w:themeColor="text1"/>
              </w:rPr>
            </w:pPr>
            <w:r w:rsidRPr="00286216">
              <w:rPr>
                <w:color w:val="000000" w:themeColor="text1"/>
              </w:rPr>
              <w:t>Розділ ІІІ</w:t>
            </w:r>
          </w:p>
          <w:p w14:paraId="6CD31310" w14:textId="77777777" w:rsidR="00C70550" w:rsidRPr="00286216" w:rsidRDefault="00C70550" w:rsidP="006A358E">
            <w:pPr>
              <w:pStyle w:val="StyleZakonu"/>
              <w:ind w:firstLine="0"/>
              <w:jc w:val="center"/>
              <w:rPr>
                <w:color w:val="000000" w:themeColor="text1"/>
              </w:rPr>
            </w:pPr>
            <w:r w:rsidRPr="00286216">
              <w:rPr>
                <w:color w:val="000000" w:themeColor="text1"/>
              </w:rPr>
              <w:lastRenderedPageBreak/>
              <w:t>ДЕРИВАТИВНІ (ПОХІДНІ) ФІНАНСОВІ ІНСТРУМЕНТИ</w:t>
            </w:r>
          </w:p>
        </w:tc>
        <w:tc>
          <w:tcPr>
            <w:tcW w:w="3686" w:type="dxa"/>
          </w:tcPr>
          <w:p w14:paraId="788F3D80" w14:textId="6A1B7717" w:rsidR="00C70550" w:rsidRPr="00286216" w:rsidRDefault="00C70550" w:rsidP="006A358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A375EE6"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lastRenderedPageBreak/>
              <w:t>В тексті проекту слово «(похідний)» в усіх числах та відмінках виключити.</w:t>
            </w:r>
          </w:p>
          <w:p w14:paraId="294059B9" w14:textId="3B293589"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321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4BEE294" w14:textId="77777777" w:rsidR="00C70550" w:rsidRPr="00286216" w:rsidRDefault="00C70550" w:rsidP="006A358E">
            <w:pPr>
              <w:pStyle w:val="StyleProp"/>
              <w:rPr>
                <w:color w:val="000000" w:themeColor="text1"/>
                <w:szCs w:val="18"/>
              </w:rPr>
            </w:pPr>
            <w:r w:rsidRPr="00286216">
              <w:rPr>
                <w:color w:val="000000" w:themeColor="text1"/>
                <w:szCs w:val="18"/>
              </w:rPr>
              <w:t>Назву розділу ІІІ викласти у такій редакції: "Деривативні контракти та їх види".</w:t>
            </w:r>
          </w:p>
          <w:p w14:paraId="4A070F79" w14:textId="52C1C7E4"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322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BE96848"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У назві розділу ІІІ слово та символи «(похідні)» виключити.</w:t>
            </w:r>
          </w:p>
        </w:tc>
        <w:tc>
          <w:tcPr>
            <w:tcW w:w="1987" w:type="dxa"/>
          </w:tcPr>
          <w:p w14:paraId="14524509"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p w14:paraId="332F2A8F" w14:textId="77777777" w:rsidR="00C70550" w:rsidRPr="00286216" w:rsidRDefault="00C70550" w:rsidP="006A358E">
            <w:pPr>
              <w:pStyle w:val="StyleWisnow"/>
              <w:rPr>
                <w:color w:val="000000" w:themeColor="text1"/>
              </w:rPr>
            </w:pPr>
          </w:p>
          <w:p w14:paraId="338083F2" w14:textId="77777777" w:rsidR="00C70550" w:rsidRPr="00286216" w:rsidRDefault="00C70550" w:rsidP="006A358E">
            <w:pPr>
              <w:pStyle w:val="StyleWisnow"/>
              <w:rPr>
                <w:color w:val="000000" w:themeColor="text1"/>
              </w:rPr>
            </w:pPr>
          </w:p>
          <w:p w14:paraId="6452A624" w14:textId="77777777" w:rsidR="00C70550" w:rsidRPr="00286216" w:rsidRDefault="00C70550" w:rsidP="006A358E">
            <w:pPr>
              <w:pStyle w:val="StyleWisnow"/>
              <w:rPr>
                <w:color w:val="000000" w:themeColor="text1"/>
              </w:rPr>
            </w:pPr>
            <w:r w:rsidRPr="00286216">
              <w:rPr>
                <w:color w:val="000000" w:themeColor="text1"/>
              </w:rPr>
              <w:t>Враховано</w:t>
            </w:r>
          </w:p>
          <w:p w14:paraId="51BC9B01" w14:textId="77777777" w:rsidR="00C70550" w:rsidRPr="00286216" w:rsidRDefault="00C70550" w:rsidP="006A358E">
            <w:pPr>
              <w:pStyle w:val="StyleWisnow"/>
              <w:rPr>
                <w:color w:val="000000" w:themeColor="text1"/>
              </w:rPr>
            </w:pPr>
          </w:p>
          <w:p w14:paraId="4B934CBB" w14:textId="77777777" w:rsidR="00C70550" w:rsidRPr="00286216" w:rsidRDefault="00C70550" w:rsidP="006A358E">
            <w:pPr>
              <w:pStyle w:val="StyleWisnow"/>
              <w:rPr>
                <w:color w:val="000000" w:themeColor="text1"/>
              </w:rPr>
            </w:pPr>
          </w:p>
          <w:p w14:paraId="6CF373D4"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52AF7A4F" w14:textId="77777777" w:rsidR="00C70550" w:rsidRPr="00286216" w:rsidRDefault="00C70550" w:rsidP="006A358E">
            <w:pPr>
              <w:pStyle w:val="StyleZakonu"/>
              <w:spacing w:after="0"/>
              <w:ind w:firstLine="0"/>
              <w:jc w:val="center"/>
              <w:rPr>
                <w:color w:val="000000" w:themeColor="text1"/>
              </w:rPr>
            </w:pPr>
            <w:r w:rsidRPr="00286216">
              <w:rPr>
                <w:color w:val="000000" w:themeColor="text1"/>
              </w:rPr>
              <w:lastRenderedPageBreak/>
              <w:t>Розділ ІІІ</w:t>
            </w:r>
          </w:p>
          <w:p w14:paraId="30F410ED" w14:textId="77777777" w:rsidR="00C70550" w:rsidRPr="00286216" w:rsidRDefault="00C70550" w:rsidP="006A358E">
            <w:pPr>
              <w:pStyle w:val="StyleZakonu"/>
              <w:ind w:firstLine="0"/>
              <w:jc w:val="center"/>
              <w:rPr>
                <w:color w:val="000000" w:themeColor="text1"/>
              </w:rPr>
            </w:pPr>
            <w:r w:rsidRPr="00286216">
              <w:rPr>
                <w:color w:val="000000" w:themeColor="text1"/>
              </w:rPr>
              <w:lastRenderedPageBreak/>
              <w:t>ДЕРИВАТИВНІ КОНТРАКТИ ТА ЇХ ВИДИ</w:t>
            </w:r>
          </w:p>
        </w:tc>
      </w:tr>
      <w:tr w:rsidR="00C70550" w:rsidRPr="00286216" w14:paraId="51D1A636" w14:textId="77777777" w:rsidTr="006A358E">
        <w:tc>
          <w:tcPr>
            <w:tcW w:w="576" w:type="dxa"/>
          </w:tcPr>
          <w:p w14:paraId="370FD83C" w14:textId="77777777" w:rsidR="00C70550" w:rsidRPr="00286216" w:rsidRDefault="00C70550" w:rsidP="006A358E">
            <w:pPr>
              <w:pStyle w:val="StyleWisnow"/>
              <w:rPr>
                <w:color w:val="000000" w:themeColor="text1"/>
              </w:rPr>
            </w:pPr>
            <w:r w:rsidRPr="00286216">
              <w:rPr>
                <w:color w:val="000000" w:themeColor="text1"/>
              </w:rPr>
              <w:lastRenderedPageBreak/>
              <w:t>544.</w:t>
            </w:r>
          </w:p>
        </w:tc>
        <w:tc>
          <w:tcPr>
            <w:tcW w:w="4818" w:type="dxa"/>
          </w:tcPr>
          <w:p w14:paraId="75E73F39" w14:textId="77777777" w:rsidR="00C70550" w:rsidRPr="00286216" w:rsidRDefault="00C70550" w:rsidP="006A358E">
            <w:pPr>
              <w:pStyle w:val="StyleZakonu"/>
              <w:rPr>
                <w:color w:val="000000" w:themeColor="text1"/>
              </w:rPr>
            </w:pPr>
            <w:r w:rsidRPr="00286216">
              <w:rPr>
                <w:color w:val="000000" w:themeColor="text1"/>
              </w:rPr>
              <w:t>Стаття 35. Деривативні (похідні) фінансові інструменти</w:t>
            </w:r>
          </w:p>
        </w:tc>
        <w:tc>
          <w:tcPr>
            <w:tcW w:w="3686" w:type="dxa"/>
          </w:tcPr>
          <w:p w14:paraId="43716E36" w14:textId="78228D74"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323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19DD4DF" w14:textId="77777777" w:rsidR="00C70550" w:rsidRPr="00286216" w:rsidRDefault="00C70550" w:rsidP="006A358E">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p w14:paraId="4EFC653F" w14:textId="00FD444E"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324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3C51401"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У назві та частині першій статті 35 розділу 1 слово та символи «(похідні)» виключити.</w:t>
            </w:r>
          </w:p>
        </w:tc>
        <w:tc>
          <w:tcPr>
            <w:tcW w:w="1987" w:type="dxa"/>
          </w:tcPr>
          <w:p w14:paraId="7A9D3656"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p w14:paraId="7C3A887C" w14:textId="77777777" w:rsidR="00C70550" w:rsidRPr="00286216" w:rsidRDefault="00C70550" w:rsidP="006A358E">
            <w:pPr>
              <w:pStyle w:val="StyleWisnow"/>
              <w:rPr>
                <w:color w:val="000000" w:themeColor="text1"/>
              </w:rPr>
            </w:pPr>
          </w:p>
          <w:p w14:paraId="6C92F800" w14:textId="77777777" w:rsidR="00C70550" w:rsidRPr="00286216" w:rsidRDefault="00C70550" w:rsidP="006A358E">
            <w:pPr>
              <w:pStyle w:val="StyleWisnow"/>
              <w:rPr>
                <w:color w:val="000000" w:themeColor="text1"/>
              </w:rPr>
            </w:pPr>
          </w:p>
          <w:p w14:paraId="5D411B0C"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p w14:paraId="25B78FBA" w14:textId="77777777" w:rsidR="00C70550" w:rsidRPr="00286216" w:rsidRDefault="00C70550" w:rsidP="006A358E">
            <w:pPr>
              <w:pStyle w:val="StyleWisnow"/>
              <w:rPr>
                <w:color w:val="000000" w:themeColor="text1"/>
              </w:rPr>
            </w:pPr>
          </w:p>
        </w:tc>
        <w:tc>
          <w:tcPr>
            <w:tcW w:w="4818" w:type="dxa"/>
          </w:tcPr>
          <w:p w14:paraId="0E11896C" w14:textId="77777777" w:rsidR="00C70550" w:rsidRPr="00286216" w:rsidRDefault="00C70550" w:rsidP="006A358E">
            <w:pPr>
              <w:pStyle w:val="StyleZakonu"/>
              <w:rPr>
                <w:color w:val="000000" w:themeColor="text1"/>
              </w:rPr>
            </w:pPr>
          </w:p>
        </w:tc>
      </w:tr>
      <w:tr w:rsidR="00C70550" w:rsidRPr="00286216" w14:paraId="7097BE71" w14:textId="77777777" w:rsidTr="006A358E">
        <w:tc>
          <w:tcPr>
            <w:tcW w:w="576" w:type="dxa"/>
          </w:tcPr>
          <w:p w14:paraId="72E2455F" w14:textId="77777777" w:rsidR="00C70550" w:rsidRPr="00286216" w:rsidRDefault="00C70550" w:rsidP="006A358E">
            <w:pPr>
              <w:pStyle w:val="StyleWisnow"/>
              <w:rPr>
                <w:color w:val="000000" w:themeColor="text1"/>
              </w:rPr>
            </w:pPr>
            <w:r w:rsidRPr="00286216">
              <w:rPr>
                <w:color w:val="000000" w:themeColor="text1"/>
              </w:rPr>
              <w:t>545.</w:t>
            </w:r>
          </w:p>
        </w:tc>
        <w:tc>
          <w:tcPr>
            <w:tcW w:w="4818" w:type="dxa"/>
          </w:tcPr>
          <w:p w14:paraId="6D8C52F5" w14:textId="77777777" w:rsidR="00C70550" w:rsidRPr="00286216" w:rsidRDefault="00C70550" w:rsidP="006A358E">
            <w:pPr>
              <w:pStyle w:val="StyleZakonu"/>
              <w:rPr>
                <w:color w:val="000000" w:themeColor="text1"/>
              </w:rPr>
            </w:pPr>
            <w:r w:rsidRPr="00286216">
              <w:rPr>
                <w:color w:val="000000" w:themeColor="text1"/>
              </w:rPr>
              <w:t>1. Деривативними (похідними) фінансовими інструментами є:</w:t>
            </w:r>
          </w:p>
        </w:tc>
        <w:tc>
          <w:tcPr>
            <w:tcW w:w="3686" w:type="dxa"/>
          </w:tcPr>
          <w:p w14:paraId="3B576E2D" w14:textId="0EF681AE"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325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42A80DA" w14:textId="77777777" w:rsidR="00C70550" w:rsidRPr="00286216" w:rsidRDefault="00C70550" w:rsidP="006A358E">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tc>
        <w:tc>
          <w:tcPr>
            <w:tcW w:w="1987" w:type="dxa"/>
          </w:tcPr>
          <w:p w14:paraId="0D9DF022"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7F120005" w14:textId="77777777" w:rsidR="00C70550" w:rsidRPr="00286216" w:rsidRDefault="00C70550" w:rsidP="006A358E">
            <w:pPr>
              <w:pStyle w:val="StyleZakonu"/>
              <w:rPr>
                <w:color w:val="000000" w:themeColor="text1"/>
              </w:rPr>
            </w:pPr>
          </w:p>
        </w:tc>
      </w:tr>
      <w:tr w:rsidR="00C70550" w:rsidRPr="00286216" w14:paraId="35D3DFB0" w14:textId="77777777" w:rsidTr="006A358E">
        <w:tc>
          <w:tcPr>
            <w:tcW w:w="576" w:type="dxa"/>
          </w:tcPr>
          <w:p w14:paraId="0871F45C" w14:textId="77777777" w:rsidR="00C70550" w:rsidRPr="00286216" w:rsidRDefault="00C70550" w:rsidP="006A358E">
            <w:pPr>
              <w:pStyle w:val="StyleWisnow"/>
              <w:rPr>
                <w:color w:val="000000" w:themeColor="text1"/>
              </w:rPr>
            </w:pPr>
            <w:r w:rsidRPr="00286216">
              <w:rPr>
                <w:color w:val="000000" w:themeColor="text1"/>
              </w:rPr>
              <w:t>546.</w:t>
            </w:r>
          </w:p>
        </w:tc>
        <w:tc>
          <w:tcPr>
            <w:tcW w:w="4818" w:type="dxa"/>
          </w:tcPr>
          <w:p w14:paraId="16B811EA" w14:textId="77777777" w:rsidR="00C70550" w:rsidRPr="00286216" w:rsidRDefault="00C70550" w:rsidP="006A358E">
            <w:pPr>
              <w:pStyle w:val="StyleZakonu"/>
              <w:rPr>
                <w:color w:val="000000" w:themeColor="text1"/>
              </w:rPr>
            </w:pPr>
            <w:r w:rsidRPr="00286216">
              <w:rPr>
                <w:color w:val="000000" w:themeColor="text1"/>
              </w:rPr>
              <w:t>1) деривативні (похідні) цінні папери;</w:t>
            </w:r>
          </w:p>
        </w:tc>
        <w:tc>
          <w:tcPr>
            <w:tcW w:w="3686" w:type="dxa"/>
          </w:tcPr>
          <w:p w14:paraId="2E940318" w14:textId="36289003"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326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477553" w14:textId="77777777" w:rsidR="00C70550" w:rsidRPr="00286216" w:rsidRDefault="00C70550" w:rsidP="006A358E">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736CE789" w14:textId="77777777" w:rsidR="00C70550" w:rsidRPr="00286216" w:rsidRDefault="00C70550" w:rsidP="006A358E">
            <w:pPr>
              <w:pStyle w:val="StyleProp"/>
              <w:rPr>
                <w:color w:val="000000" w:themeColor="text1"/>
                <w:szCs w:val="18"/>
              </w:rPr>
            </w:pPr>
            <w:r w:rsidRPr="00286216">
              <w:rPr>
                <w:color w:val="000000" w:themeColor="text1"/>
              </w:rPr>
              <w:t>Статтю 35 виключити.</w:t>
            </w:r>
          </w:p>
        </w:tc>
        <w:tc>
          <w:tcPr>
            <w:tcW w:w="1987" w:type="dxa"/>
          </w:tcPr>
          <w:p w14:paraId="33FB72AC"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506B0CB8" w14:textId="77777777" w:rsidR="00C70550" w:rsidRPr="00286216" w:rsidRDefault="00C70550" w:rsidP="006A358E">
            <w:pPr>
              <w:pStyle w:val="StyleZakonu"/>
              <w:rPr>
                <w:color w:val="000000" w:themeColor="text1"/>
              </w:rPr>
            </w:pPr>
          </w:p>
        </w:tc>
      </w:tr>
      <w:tr w:rsidR="00C70550" w:rsidRPr="00286216" w14:paraId="26CE366B" w14:textId="77777777" w:rsidTr="006A358E">
        <w:tc>
          <w:tcPr>
            <w:tcW w:w="576" w:type="dxa"/>
          </w:tcPr>
          <w:p w14:paraId="1C392B8C" w14:textId="77777777" w:rsidR="00C70550" w:rsidRPr="00286216" w:rsidRDefault="00C70550" w:rsidP="006A358E">
            <w:pPr>
              <w:pStyle w:val="StyleWisnow"/>
              <w:rPr>
                <w:color w:val="000000" w:themeColor="text1"/>
              </w:rPr>
            </w:pPr>
            <w:r w:rsidRPr="00286216">
              <w:rPr>
                <w:color w:val="000000" w:themeColor="text1"/>
              </w:rPr>
              <w:t>547.</w:t>
            </w:r>
          </w:p>
        </w:tc>
        <w:tc>
          <w:tcPr>
            <w:tcW w:w="4818" w:type="dxa"/>
          </w:tcPr>
          <w:p w14:paraId="58484DB5" w14:textId="77777777" w:rsidR="00C70550" w:rsidRPr="00286216" w:rsidRDefault="00C70550" w:rsidP="006A358E">
            <w:pPr>
              <w:pStyle w:val="StyleZakonu"/>
              <w:rPr>
                <w:color w:val="000000" w:themeColor="text1"/>
              </w:rPr>
            </w:pPr>
            <w:r w:rsidRPr="00286216">
              <w:rPr>
                <w:color w:val="000000" w:themeColor="text1"/>
              </w:rPr>
              <w:t>2) деривативні контракти.</w:t>
            </w:r>
          </w:p>
        </w:tc>
        <w:tc>
          <w:tcPr>
            <w:tcW w:w="3686" w:type="dxa"/>
          </w:tcPr>
          <w:p w14:paraId="68DA0D44" w14:textId="4CB1C37C"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327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03BD4DB" w14:textId="77777777" w:rsidR="00C70550" w:rsidRPr="00286216" w:rsidRDefault="00C70550" w:rsidP="006A358E">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tc>
        <w:tc>
          <w:tcPr>
            <w:tcW w:w="1987" w:type="dxa"/>
          </w:tcPr>
          <w:p w14:paraId="62617F4B"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p w14:paraId="515D40C1" w14:textId="77777777" w:rsidR="00C70550" w:rsidRPr="00286216" w:rsidRDefault="00C70550" w:rsidP="006A358E">
            <w:pPr>
              <w:pStyle w:val="StyleWisnow"/>
              <w:rPr>
                <w:color w:val="000000" w:themeColor="text1"/>
              </w:rPr>
            </w:pPr>
          </w:p>
        </w:tc>
        <w:tc>
          <w:tcPr>
            <w:tcW w:w="4818" w:type="dxa"/>
          </w:tcPr>
          <w:p w14:paraId="018A0428" w14:textId="77777777" w:rsidR="00C70550" w:rsidRPr="00286216" w:rsidRDefault="00C70550" w:rsidP="006A358E">
            <w:pPr>
              <w:pStyle w:val="StyleZakonu"/>
              <w:rPr>
                <w:color w:val="000000" w:themeColor="text1"/>
              </w:rPr>
            </w:pPr>
          </w:p>
        </w:tc>
      </w:tr>
      <w:tr w:rsidR="00C70550" w:rsidRPr="00286216" w14:paraId="15FD8A43" w14:textId="77777777" w:rsidTr="006A358E">
        <w:tc>
          <w:tcPr>
            <w:tcW w:w="576" w:type="dxa"/>
          </w:tcPr>
          <w:p w14:paraId="500A7014" w14:textId="77777777" w:rsidR="00C70550" w:rsidRPr="00286216" w:rsidRDefault="00C70550" w:rsidP="006A358E">
            <w:pPr>
              <w:pStyle w:val="StyleWisnow"/>
              <w:rPr>
                <w:color w:val="000000" w:themeColor="text1"/>
              </w:rPr>
            </w:pPr>
            <w:r w:rsidRPr="00286216">
              <w:rPr>
                <w:color w:val="000000" w:themeColor="text1"/>
              </w:rPr>
              <w:t>548.</w:t>
            </w:r>
          </w:p>
        </w:tc>
        <w:tc>
          <w:tcPr>
            <w:tcW w:w="4818" w:type="dxa"/>
          </w:tcPr>
          <w:p w14:paraId="3B7A8000" w14:textId="77777777" w:rsidR="00C70550" w:rsidRPr="00286216" w:rsidRDefault="00C70550" w:rsidP="006A358E">
            <w:pPr>
              <w:pStyle w:val="StyleZakonu"/>
              <w:rPr>
                <w:color w:val="000000" w:themeColor="text1"/>
              </w:rPr>
            </w:pPr>
            <w:r w:rsidRPr="00286216">
              <w:rPr>
                <w:color w:val="000000" w:themeColor="text1"/>
              </w:rPr>
              <w:t>2. Не є фінансовими інструментами:</w:t>
            </w:r>
          </w:p>
        </w:tc>
        <w:tc>
          <w:tcPr>
            <w:tcW w:w="3686" w:type="dxa"/>
          </w:tcPr>
          <w:p w14:paraId="658D6227" w14:textId="111AEB47"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328</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7BFB706B" w14:textId="77777777" w:rsidR="00C70550" w:rsidRPr="00286216" w:rsidRDefault="00C70550" w:rsidP="006A358E">
            <w:pPr>
              <w:pStyle w:val="StyleProp"/>
              <w:rPr>
                <w:color w:val="000000" w:themeColor="text1"/>
              </w:rPr>
            </w:pPr>
            <w:r w:rsidRPr="00286216">
              <w:rPr>
                <w:color w:val="000000" w:themeColor="text1"/>
              </w:rPr>
              <w:t>у статті 35 частину другу виключити.</w:t>
            </w:r>
          </w:p>
        </w:tc>
        <w:tc>
          <w:tcPr>
            <w:tcW w:w="1987" w:type="dxa"/>
          </w:tcPr>
          <w:p w14:paraId="7814BB8B"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4E6BBB4E" w14:textId="77777777" w:rsidR="00C70550" w:rsidRPr="00286216" w:rsidRDefault="00C70550" w:rsidP="006A358E">
            <w:pPr>
              <w:pStyle w:val="StyleZakonu"/>
              <w:rPr>
                <w:color w:val="000000" w:themeColor="text1"/>
              </w:rPr>
            </w:pPr>
          </w:p>
        </w:tc>
      </w:tr>
      <w:tr w:rsidR="00C70550" w:rsidRPr="00286216" w14:paraId="32E49102" w14:textId="77777777" w:rsidTr="006A358E">
        <w:tc>
          <w:tcPr>
            <w:tcW w:w="576" w:type="dxa"/>
          </w:tcPr>
          <w:p w14:paraId="3AADE789" w14:textId="77777777" w:rsidR="00C70550" w:rsidRPr="00286216" w:rsidRDefault="00C70550" w:rsidP="006A358E">
            <w:pPr>
              <w:pStyle w:val="StyleWisnow"/>
              <w:rPr>
                <w:color w:val="000000" w:themeColor="text1"/>
              </w:rPr>
            </w:pPr>
            <w:r w:rsidRPr="00286216">
              <w:rPr>
                <w:color w:val="000000" w:themeColor="text1"/>
              </w:rPr>
              <w:t>549.</w:t>
            </w:r>
          </w:p>
        </w:tc>
        <w:tc>
          <w:tcPr>
            <w:tcW w:w="4818" w:type="dxa"/>
          </w:tcPr>
          <w:p w14:paraId="3C983947" w14:textId="77777777" w:rsidR="00C70550" w:rsidRPr="00286216" w:rsidRDefault="00C70550" w:rsidP="006A358E">
            <w:pPr>
              <w:pStyle w:val="StyleZakonu"/>
              <w:rPr>
                <w:color w:val="000000" w:themeColor="text1"/>
              </w:rPr>
            </w:pPr>
            <w:r w:rsidRPr="00286216">
              <w:rPr>
                <w:color w:val="000000" w:themeColor="text1"/>
              </w:rPr>
              <w:t>1) деривативні контракти, що укладаються (правочини щодо яких вчиняються) виключно поза організованим ринком, та які передбачають їх виконання виключно шляхом фактичної передачі, переміщення, постачання товару, що є предметом такого контракту;</w:t>
            </w:r>
          </w:p>
        </w:tc>
        <w:tc>
          <w:tcPr>
            <w:tcW w:w="3686" w:type="dxa"/>
          </w:tcPr>
          <w:p w14:paraId="36DA2FB6" w14:textId="77777777" w:rsidR="00C70550" w:rsidRPr="00286216" w:rsidRDefault="00C70550" w:rsidP="006A358E">
            <w:pPr>
              <w:pStyle w:val="StyleProp"/>
              <w:rPr>
                <w:color w:val="000000" w:themeColor="text1"/>
              </w:rPr>
            </w:pPr>
          </w:p>
        </w:tc>
        <w:tc>
          <w:tcPr>
            <w:tcW w:w="1987" w:type="dxa"/>
          </w:tcPr>
          <w:p w14:paraId="6B652791" w14:textId="77777777" w:rsidR="00C70550" w:rsidRPr="00286216" w:rsidRDefault="00C70550" w:rsidP="006A358E">
            <w:pPr>
              <w:pStyle w:val="StyleWisnow"/>
              <w:rPr>
                <w:color w:val="000000" w:themeColor="text1"/>
              </w:rPr>
            </w:pPr>
          </w:p>
        </w:tc>
        <w:tc>
          <w:tcPr>
            <w:tcW w:w="4818" w:type="dxa"/>
          </w:tcPr>
          <w:p w14:paraId="22ABC656" w14:textId="77777777" w:rsidR="00C70550" w:rsidRPr="00286216" w:rsidRDefault="00C70550" w:rsidP="006A358E">
            <w:pPr>
              <w:pStyle w:val="StyleZakonu"/>
              <w:rPr>
                <w:color w:val="000000" w:themeColor="text1"/>
              </w:rPr>
            </w:pPr>
          </w:p>
        </w:tc>
      </w:tr>
      <w:tr w:rsidR="00C70550" w:rsidRPr="00286216" w14:paraId="3CDF776B" w14:textId="77777777" w:rsidTr="006A358E">
        <w:tc>
          <w:tcPr>
            <w:tcW w:w="576" w:type="dxa"/>
          </w:tcPr>
          <w:p w14:paraId="059BC34F" w14:textId="77777777" w:rsidR="00C70550" w:rsidRPr="00286216" w:rsidRDefault="00C70550" w:rsidP="006A358E">
            <w:pPr>
              <w:pStyle w:val="StyleWisnow"/>
              <w:rPr>
                <w:color w:val="000000" w:themeColor="text1"/>
              </w:rPr>
            </w:pPr>
            <w:r w:rsidRPr="00286216">
              <w:rPr>
                <w:color w:val="000000" w:themeColor="text1"/>
              </w:rPr>
              <w:t>550.</w:t>
            </w:r>
          </w:p>
        </w:tc>
        <w:tc>
          <w:tcPr>
            <w:tcW w:w="4818" w:type="dxa"/>
          </w:tcPr>
          <w:p w14:paraId="43A06F69" w14:textId="77777777" w:rsidR="00C70550" w:rsidRPr="00286216" w:rsidRDefault="00C70550" w:rsidP="006A358E">
            <w:pPr>
              <w:pStyle w:val="StyleZakonu"/>
              <w:rPr>
                <w:color w:val="000000" w:themeColor="text1"/>
              </w:rPr>
            </w:pPr>
            <w:r w:rsidRPr="00286216">
              <w:rPr>
                <w:color w:val="000000" w:themeColor="text1"/>
              </w:rPr>
              <w:t>2) деривативні контракти, базовим активом яких є електрична енергія або природний газ, які укладаються (правочини щодо яких вчиняються) на ОТМ або поза організованим ринком та які передбачають їх виконання виключно шляхом фактичної передачі, переміщення, постачання електричної енергії або природного газу, що є предметом такого контракту.</w:t>
            </w:r>
          </w:p>
        </w:tc>
        <w:tc>
          <w:tcPr>
            <w:tcW w:w="3686" w:type="dxa"/>
          </w:tcPr>
          <w:p w14:paraId="7CDEF472" w14:textId="77777777" w:rsidR="00C70550" w:rsidRPr="00286216" w:rsidRDefault="00C70550" w:rsidP="006A358E">
            <w:pPr>
              <w:pStyle w:val="StyleProp"/>
              <w:rPr>
                <w:color w:val="000000" w:themeColor="text1"/>
              </w:rPr>
            </w:pPr>
          </w:p>
        </w:tc>
        <w:tc>
          <w:tcPr>
            <w:tcW w:w="1987" w:type="dxa"/>
          </w:tcPr>
          <w:p w14:paraId="1054A96F" w14:textId="77777777" w:rsidR="00C70550" w:rsidRPr="00286216" w:rsidRDefault="00C70550" w:rsidP="006A358E">
            <w:pPr>
              <w:pStyle w:val="StyleWisnow"/>
              <w:rPr>
                <w:color w:val="000000" w:themeColor="text1"/>
              </w:rPr>
            </w:pPr>
          </w:p>
        </w:tc>
        <w:tc>
          <w:tcPr>
            <w:tcW w:w="4818" w:type="dxa"/>
          </w:tcPr>
          <w:p w14:paraId="1AF4D015" w14:textId="77777777" w:rsidR="00C70550" w:rsidRPr="00286216" w:rsidRDefault="00C70550" w:rsidP="006A358E">
            <w:pPr>
              <w:pStyle w:val="StyleZakonu"/>
              <w:rPr>
                <w:color w:val="000000" w:themeColor="text1"/>
              </w:rPr>
            </w:pPr>
          </w:p>
        </w:tc>
      </w:tr>
      <w:tr w:rsidR="00C70550" w:rsidRPr="00286216" w14:paraId="3A85BA32" w14:textId="77777777" w:rsidTr="006A358E">
        <w:tc>
          <w:tcPr>
            <w:tcW w:w="576" w:type="dxa"/>
          </w:tcPr>
          <w:p w14:paraId="63F509C7" w14:textId="77777777" w:rsidR="00C70550" w:rsidRPr="00286216" w:rsidRDefault="00C70550" w:rsidP="006A358E">
            <w:pPr>
              <w:pStyle w:val="StyleWisnow"/>
              <w:rPr>
                <w:color w:val="000000" w:themeColor="text1"/>
              </w:rPr>
            </w:pPr>
            <w:r w:rsidRPr="00286216">
              <w:rPr>
                <w:color w:val="000000" w:themeColor="text1"/>
              </w:rPr>
              <w:t>551.</w:t>
            </w:r>
          </w:p>
        </w:tc>
        <w:tc>
          <w:tcPr>
            <w:tcW w:w="4818" w:type="dxa"/>
          </w:tcPr>
          <w:p w14:paraId="4A850330" w14:textId="77777777" w:rsidR="00C70550" w:rsidRPr="00286216" w:rsidRDefault="00C70550" w:rsidP="006A358E">
            <w:pPr>
              <w:pStyle w:val="StyleZakonu"/>
              <w:rPr>
                <w:color w:val="000000" w:themeColor="text1"/>
              </w:rPr>
            </w:pPr>
            <w:r w:rsidRPr="00286216">
              <w:rPr>
                <w:color w:val="000000" w:themeColor="text1"/>
              </w:rPr>
              <w:t>Стаття 36. Поняття деривативного контракту</w:t>
            </w:r>
          </w:p>
        </w:tc>
        <w:tc>
          <w:tcPr>
            <w:tcW w:w="3686" w:type="dxa"/>
          </w:tcPr>
          <w:p w14:paraId="6BD837DB" w14:textId="0E8FEA8C" w:rsidR="00C70550" w:rsidRPr="00286216" w:rsidRDefault="00C70550" w:rsidP="006A358E">
            <w:pPr>
              <w:pStyle w:val="StyleAwt"/>
              <w:spacing w:line="200" w:lineRule="exac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329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0E3AA38" w14:textId="77777777" w:rsidR="00C70550" w:rsidRPr="00286216" w:rsidRDefault="00C70550" w:rsidP="006A358E">
            <w:pPr>
              <w:pStyle w:val="StyleProp"/>
              <w:rPr>
                <w:color w:val="000000" w:themeColor="text1"/>
                <w:szCs w:val="18"/>
              </w:rPr>
            </w:pPr>
            <w:r w:rsidRPr="00286216">
              <w:rPr>
                <w:color w:val="000000" w:themeColor="text1"/>
                <w:szCs w:val="18"/>
              </w:rPr>
              <w:t>Статтю 36 викласти в такій редакції:</w:t>
            </w:r>
          </w:p>
          <w:p w14:paraId="19060249" w14:textId="77777777" w:rsidR="00C70550" w:rsidRPr="00286216" w:rsidRDefault="00C70550" w:rsidP="006A358E">
            <w:pPr>
              <w:pStyle w:val="StyleProp"/>
              <w:rPr>
                <w:color w:val="000000" w:themeColor="text1"/>
                <w:spacing w:val="-6"/>
                <w:szCs w:val="18"/>
              </w:rPr>
            </w:pPr>
            <w:r w:rsidRPr="00286216">
              <w:rPr>
                <w:color w:val="000000" w:themeColor="text1"/>
                <w:szCs w:val="18"/>
              </w:rPr>
              <w:t>«Стаття 36. Деривативні контракти та їх класифікація</w:t>
            </w:r>
          </w:p>
        </w:tc>
        <w:tc>
          <w:tcPr>
            <w:tcW w:w="1987" w:type="dxa"/>
          </w:tcPr>
          <w:p w14:paraId="16925921"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0771F9B8" w14:textId="77777777" w:rsidR="00C70550" w:rsidRPr="00286216" w:rsidRDefault="00C70550" w:rsidP="006A358E">
            <w:pPr>
              <w:pStyle w:val="StyleZakonu"/>
              <w:rPr>
                <w:color w:val="000000" w:themeColor="text1"/>
              </w:rPr>
            </w:pPr>
            <w:r w:rsidRPr="00286216">
              <w:rPr>
                <w:color w:val="000000" w:themeColor="text1"/>
                <w:szCs w:val="18"/>
              </w:rPr>
              <w:t>Стаття 31. Деривативні контракти та їх класифікація</w:t>
            </w:r>
          </w:p>
        </w:tc>
      </w:tr>
      <w:tr w:rsidR="00E33D71" w:rsidRPr="00286216" w14:paraId="0828D7F2" w14:textId="77777777" w:rsidTr="006A358E">
        <w:tc>
          <w:tcPr>
            <w:tcW w:w="576" w:type="dxa"/>
          </w:tcPr>
          <w:p w14:paraId="3744EC67" w14:textId="77777777" w:rsidR="00C70550" w:rsidRPr="00286216" w:rsidRDefault="00C70550" w:rsidP="006A358E">
            <w:pPr>
              <w:pStyle w:val="StyleWisnow"/>
              <w:rPr>
                <w:color w:val="000000" w:themeColor="text1"/>
              </w:rPr>
            </w:pPr>
            <w:r w:rsidRPr="00286216">
              <w:rPr>
                <w:color w:val="000000" w:themeColor="text1"/>
              </w:rPr>
              <w:t>552.</w:t>
            </w:r>
          </w:p>
        </w:tc>
        <w:tc>
          <w:tcPr>
            <w:tcW w:w="4818" w:type="dxa"/>
          </w:tcPr>
          <w:p w14:paraId="6A2DF5E5" w14:textId="77777777" w:rsidR="00C70550" w:rsidRPr="00286216" w:rsidRDefault="00C70550" w:rsidP="006A358E">
            <w:pPr>
              <w:pStyle w:val="StyleZakonu"/>
              <w:rPr>
                <w:color w:val="000000" w:themeColor="text1"/>
              </w:rPr>
            </w:pPr>
            <w:r w:rsidRPr="00286216">
              <w:rPr>
                <w:color w:val="000000" w:themeColor="text1"/>
              </w:rPr>
              <w:t xml:space="preserve">1. Деривативний контракт - правочин, який вчиняється на основі генеральної угоди та/або специфікації деривативного контракту чи опису деривативного контракту, і який передбачає одне або </w:t>
            </w:r>
            <w:r w:rsidRPr="00286216">
              <w:rPr>
                <w:color w:val="000000" w:themeColor="text1"/>
              </w:rPr>
              <w:lastRenderedPageBreak/>
              <w:t>декілька таких зобов’язань:</w:t>
            </w:r>
          </w:p>
        </w:tc>
        <w:tc>
          <w:tcPr>
            <w:tcW w:w="3686" w:type="dxa"/>
          </w:tcPr>
          <w:p w14:paraId="003F412A"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lastRenderedPageBreak/>
              <w:t xml:space="preserve">1. Деривативний контракт – договір, умови якого передбачають обов’язок однієї або кожної із сторін такого договору щодо базового активу та/або умови якого встановлюються залежно від значення </w:t>
            </w:r>
            <w:r w:rsidRPr="00286216">
              <w:rPr>
                <w:color w:val="000000" w:themeColor="text1"/>
                <w:szCs w:val="18"/>
              </w:rPr>
              <w:lastRenderedPageBreak/>
              <w:t xml:space="preserve">базового показника, а також можуть передбачати обов’язок проведення грошових розрахунків. </w:t>
            </w:r>
          </w:p>
          <w:p w14:paraId="15B39C1C"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2. Залежно від порядку укладення деривативного контракту його зміст визначається:</w:t>
            </w:r>
          </w:p>
          <w:p w14:paraId="2678AC53"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1) генеральною угодою та/або специфікацією деривативного контракту – щодо деривативних контрактів, укладення яких відбувається у багатосторонній системі організованого ринку;</w:t>
            </w:r>
          </w:p>
          <w:p w14:paraId="7E77BF4D"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2) генеральною угодою та/або описом деривативного контракту – щодо деривативних контрактів, укладення яких відбувається без використання багатосторонніх систем організованого ринку за умови наявності домовленості сторін про укладення деривативного контракту на основі такої угоди або опису;</w:t>
            </w:r>
          </w:p>
          <w:p w14:paraId="52F2E681"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3) сторонами деривативного контракту самостійно – щодо деривативних контрактів, укладення яких відбувається без використання багатосторонніх систем організованого ринку за умови відсутності домовленості сторін про укладення деривативного контракту на основі генеральної угоди або опису деривативного контракту.</w:t>
            </w:r>
          </w:p>
          <w:p w14:paraId="4B81D4AE"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3. За наявністю зобов’язання щодо передачі базового активу деривативні контракти є поставними, розрахунковими або змішаними.</w:t>
            </w:r>
          </w:p>
          <w:p w14:paraId="4EC8EDAD"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Поставний деривативний контракт – деривативний контракт, що передбачає передачу базового активу однією або кожною із сторін.</w:t>
            </w:r>
          </w:p>
          <w:p w14:paraId="0D52F738"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Розрахунковий деривативний контракт – деривативний контракт, що передбачає здійснення розрахунків між сторонами залежно від значення базового показника.</w:t>
            </w:r>
          </w:p>
          <w:p w14:paraId="42E2CC00"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Змішаний деривативний контракт – деривативний контракт, що передбачає можливість за волевиявленням однієї зі сторін такого контракту здійснити заміну розрахунків між сторонами передачею базового активу однією або кожною із сторін, або можливість за волевиявленням однієї зі сторін такого контракту здійснити заміну зобов’язання з передачі базового активу однією або кожною із сторін зобов’язанням здійснити розрахунки.</w:t>
            </w:r>
          </w:p>
          <w:p w14:paraId="11B8FFBC"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 xml:space="preserve">Наявність базового активу у сторони, яка бере на себе зобов’язання щодо передачі </w:t>
            </w:r>
            <w:r w:rsidRPr="00286216">
              <w:rPr>
                <w:color w:val="000000" w:themeColor="text1"/>
                <w:szCs w:val="18"/>
              </w:rPr>
              <w:lastRenderedPageBreak/>
              <w:t>базового активу за поставним деривативним контрактом, на момент укладення такого деривативного контракту не вимагається, якщо інше не передбачено умовами деривативного контракту.</w:t>
            </w:r>
          </w:p>
          <w:p w14:paraId="013779B6"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4. За типом базового активу та/або базового показника деривативні контракти поділяються на такі види:</w:t>
            </w:r>
          </w:p>
          <w:p w14:paraId="4844E740"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1) деривативні контракти грошового ринку – деривативні контракти, базовим активом яких є валюта України, іноземна валюта, банківські метали чи інше майно, що визначається базовим активом у нормативно-правових актах Національного банку України, чи інший деривативний контракт грошового ринку або базовим показником яких є курс валюти, валютний індекс (курси декількох валют), ціна на банківські метали, процентна ставка (процентний індекс) чи інші показники, що визнаються базовими показниками у нормативно-правових актах Національного банку України.</w:t>
            </w:r>
          </w:p>
          <w:p w14:paraId="16685B92"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Особливості укладення та виконання деривативних контрактів грошового ринку поза організованими ринками можуть встановлюватись Національною комісією з цінних паперів та фондового ринку за погодженням з Національним банком України;</w:t>
            </w:r>
          </w:p>
          <w:p w14:paraId="3C8D9C66"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2) товарні деривативні контракти – деривативні контракти, базовим активом яких є продукція чи інший товарний деривативний контракт або базовим показником яких є ціна на продукцію, послуги, роботи чи товарний індекс (ціна на декілька видів продукції);</w:t>
            </w:r>
          </w:p>
          <w:p w14:paraId="1FB5BCEA"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3) фондові деривативні контракти – деривативні контракти, базовим активом яких є емісійні цінні папери (у тому числі іноземних емітентів) чи інші фондові деривативні контракти або базовим показником яких є ціна на такі емісійні цінні папери чи індекс оператора організованого ринку капіталу;</w:t>
            </w:r>
          </w:p>
          <w:p w14:paraId="1A1D17E7" w14:textId="77777777" w:rsidR="00C70550" w:rsidRPr="00286216" w:rsidRDefault="00C70550" w:rsidP="00834DEB">
            <w:pPr>
              <w:pStyle w:val="StyleProp"/>
              <w:spacing w:line="190" w:lineRule="exact"/>
              <w:rPr>
                <w:color w:val="000000" w:themeColor="text1"/>
                <w:szCs w:val="18"/>
              </w:rPr>
            </w:pPr>
            <w:r w:rsidRPr="00286216">
              <w:rPr>
                <w:color w:val="000000" w:themeColor="text1"/>
                <w:szCs w:val="18"/>
              </w:rPr>
              <w:t xml:space="preserve">4) інші деривативні контракти – деривативні контракти, базовим активом яких є право вимоги, інший деривативний контракт (крім деривативних контрактів грошового ринку, товарних або фондових деривативних контрактів), інше майно, що визначається базовим активом у нормативно-правових актах Національної комісії з цінних паперів та фондового ринку, або базовим </w:t>
            </w:r>
            <w:r w:rsidRPr="00286216">
              <w:rPr>
                <w:color w:val="000000" w:themeColor="text1"/>
                <w:szCs w:val="18"/>
              </w:rPr>
              <w:lastRenderedPageBreak/>
              <w:t>показником яких є показники статистичної інформації (що визначаються незалежно від сторін деривативного контракту), фізичні, біологічні, хімічні показники стану навколишнього природного середовища, інші показники, що визнаються базовими показниками у нормативно-правових актах Національної комісії з цінних паперів та фондового ринку, а також деривативні контракти, що поєднують ознаки декількох видів деривативних контрактів, визначений цією частиною, та деривативні контракти, що не можуть бути віднесені до інших видів деривативних контрактів, визначених цією частиною.».</w:t>
            </w:r>
          </w:p>
        </w:tc>
        <w:tc>
          <w:tcPr>
            <w:tcW w:w="1987" w:type="dxa"/>
          </w:tcPr>
          <w:p w14:paraId="692AC9EA" w14:textId="77777777" w:rsidR="00C70550" w:rsidRPr="00286216" w:rsidRDefault="00C70550" w:rsidP="006A358E">
            <w:pPr>
              <w:pStyle w:val="StyleWisnow"/>
              <w:rPr>
                <w:color w:val="000000" w:themeColor="text1"/>
              </w:rPr>
            </w:pPr>
          </w:p>
        </w:tc>
        <w:tc>
          <w:tcPr>
            <w:tcW w:w="4818" w:type="dxa"/>
          </w:tcPr>
          <w:p w14:paraId="2990FD69" w14:textId="77777777" w:rsidR="00C70550" w:rsidRPr="00286216" w:rsidRDefault="00C70550" w:rsidP="006A358E">
            <w:pPr>
              <w:pStyle w:val="StyleZakonu"/>
              <w:rPr>
                <w:color w:val="000000" w:themeColor="text1"/>
              </w:rPr>
            </w:pPr>
            <w:r w:rsidRPr="00286216">
              <w:rPr>
                <w:color w:val="000000" w:themeColor="text1"/>
              </w:rPr>
              <w:t xml:space="preserve">1. Деривативний контракт – це договір, умови якого передбачають обов’язок однієї або кожної із сторін такого договору щодо базового активу та/або умови якого встановлюються залежно від значення </w:t>
            </w:r>
            <w:r w:rsidRPr="00286216">
              <w:rPr>
                <w:color w:val="000000" w:themeColor="text1"/>
              </w:rPr>
              <w:lastRenderedPageBreak/>
              <w:t>базового показника, а також можуть передбачати обов’язок проведення грошових розрахунків.</w:t>
            </w:r>
          </w:p>
          <w:p w14:paraId="3A567219" w14:textId="77777777" w:rsidR="00C70550" w:rsidRPr="00286216" w:rsidRDefault="00C70550" w:rsidP="006A358E">
            <w:pPr>
              <w:pStyle w:val="StyleZakonu"/>
              <w:rPr>
                <w:color w:val="000000" w:themeColor="text1"/>
              </w:rPr>
            </w:pPr>
            <w:r w:rsidRPr="00286216">
              <w:rPr>
                <w:color w:val="000000" w:themeColor="text1"/>
              </w:rPr>
              <w:t>2. Залежно від порядку укладення деривативного контракту його зміст визначається:</w:t>
            </w:r>
          </w:p>
          <w:p w14:paraId="2163F177" w14:textId="77777777" w:rsidR="00C70550" w:rsidRPr="00286216" w:rsidRDefault="00C70550" w:rsidP="006A358E">
            <w:pPr>
              <w:pStyle w:val="StyleZakonu"/>
              <w:rPr>
                <w:color w:val="000000" w:themeColor="text1"/>
              </w:rPr>
            </w:pPr>
            <w:r w:rsidRPr="00286216">
              <w:rPr>
                <w:color w:val="000000" w:themeColor="text1"/>
              </w:rPr>
              <w:t>1) генеральною угодою та/або специфікацією деривативного контракту – щодо деривативних контрактів, укладення яких відбувається у багатосторонній системі організованого ринку;</w:t>
            </w:r>
          </w:p>
          <w:p w14:paraId="1233278B" w14:textId="77777777" w:rsidR="00C70550" w:rsidRPr="00286216" w:rsidRDefault="00C70550" w:rsidP="006A358E">
            <w:pPr>
              <w:pStyle w:val="StyleZakonu"/>
              <w:rPr>
                <w:color w:val="000000" w:themeColor="text1"/>
              </w:rPr>
            </w:pPr>
            <w:r w:rsidRPr="00286216">
              <w:rPr>
                <w:color w:val="000000" w:themeColor="text1"/>
              </w:rPr>
              <w:t>2) генеральною угодою та/або описом деривативного контракту – щодо деривативних контрактів, укладення яких відбувається без використання багатосторонніх систем організованого ринку, за умови наявності домовленості сторін про укладення деривативного контракту на основі такої угоди або опису;</w:t>
            </w:r>
          </w:p>
          <w:p w14:paraId="4F80B3A5" w14:textId="77777777" w:rsidR="00C70550" w:rsidRPr="00286216" w:rsidRDefault="00C70550" w:rsidP="006A358E">
            <w:pPr>
              <w:pStyle w:val="StyleZakonu"/>
              <w:rPr>
                <w:color w:val="000000" w:themeColor="text1"/>
              </w:rPr>
            </w:pPr>
            <w:r w:rsidRPr="00286216">
              <w:rPr>
                <w:color w:val="000000" w:themeColor="text1"/>
              </w:rPr>
              <w:t>3) сторонами деривативного контракту самостійно – щодо деривативних контрактів, укладення яких відбувається без використання багатосторонніх систем організованого ринку, за умови відсутності домовленості сторін про укладення деривативного контракту на основі генеральної угоди або опису деривативного контракту.</w:t>
            </w:r>
          </w:p>
          <w:p w14:paraId="1778AAF8" w14:textId="77777777" w:rsidR="00C70550" w:rsidRPr="00286216" w:rsidRDefault="00C70550" w:rsidP="006A358E">
            <w:pPr>
              <w:pStyle w:val="StyleZakonu"/>
              <w:rPr>
                <w:color w:val="000000" w:themeColor="text1"/>
              </w:rPr>
            </w:pPr>
            <w:r w:rsidRPr="00286216">
              <w:rPr>
                <w:color w:val="000000" w:themeColor="text1"/>
              </w:rPr>
              <w:t>3. За наявністю зобов’язання щодо передачі базового активу деривативні контракти є поставними, розрахунковими або змішаними.</w:t>
            </w:r>
          </w:p>
          <w:p w14:paraId="0B43A066" w14:textId="77777777" w:rsidR="00C70550" w:rsidRPr="00286216" w:rsidRDefault="00C70550" w:rsidP="006A358E">
            <w:pPr>
              <w:pStyle w:val="StyleZakonu"/>
              <w:rPr>
                <w:color w:val="000000" w:themeColor="text1"/>
              </w:rPr>
            </w:pPr>
            <w:r w:rsidRPr="00286216">
              <w:rPr>
                <w:color w:val="000000" w:themeColor="text1"/>
              </w:rPr>
              <w:t>Поставний деривативний контракт – деривативний контракт, що передбачає передачу базового активу однією або кожною із сторін.</w:t>
            </w:r>
          </w:p>
          <w:p w14:paraId="3C6D144A" w14:textId="77777777" w:rsidR="00C70550" w:rsidRPr="00286216" w:rsidRDefault="00C70550" w:rsidP="006A358E">
            <w:pPr>
              <w:pStyle w:val="StyleZakonu"/>
              <w:rPr>
                <w:color w:val="000000" w:themeColor="text1"/>
              </w:rPr>
            </w:pPr>
            <w:r w:rsidRPr="00286216">
              <w:rPr>
                <w:color w:val="000000" w:themeColor="text1"/>
              </w:rPr>
              <w:t>Розрахунковий деривативний контракт – деривативний контракт, що передбачає здійснення розрахунків між сторонами залежно від значення базового показника.</w:t>
            </w:r>
          </w:p>
          <w:p w14:paraId="3FB02D4E" w14:textId="2B4073BC" w:rsidR="00C70550" w:rsidRPr="00286216" w:rsidRDefault="00C70550" w:rsidP="006A358E">
            <w:pPr>
              <w:pStyle w:val="StyleZakonu"/>
              <w:rPr>
                <w:color w:val="000000" w:themeColor="text1"/>
              </w:rPr>
            </w:pPr>
            <w:r w:rsidRPr="00286216">
              <w:rPr>
                <w:color w:val="000000" w:themeColor="text1"/>
              </w:rPr>
              <w:t>Змішаний деривативний контракт – деривативний контракт, що передбачає можливість за волевиявленням однієї із сторін такого контракту здійснити заміну розрахунків між сторонами передачею базового активу однією або кожною із сторін або можливість за волевиявленням однієї із сторін такого контракту здійснити заміну зобов’язання з передачі базового активу однією або кожною із сторін зобов’язанням здійснити розрахунки.</w:t>
            </w:r>
          </w:p>
          <w:p w14:paraId="64C6DBAE" w14:textId="77777777" w:rsidR="00C70550" w:rsidRPr="00286216" w:rsidRDefault="00C70550" w:rsidP="006A358E">
            <w:pPr>
              <w:pStyle w:val="StyleZakonu"/>
              <w:rPr>
                <w:color w:val="000000" w:themeColor="text1"/>
              </w:rPr>
            </w:pPr>
            <w:r w:rsidRPr="00286216">
              <w:rPr>
                <w:color w:val="000000" w:themeColor="text1"/>
              </w:rPr>
              <w:t xml:space="preserve">Наявність базового активу у сторони, яка бере на </w:t>
            </w:r>
            <w:r w:rsidRPr="00286216">
              <w:rPr>
                <w:color w:val="000000" w:themeColor="text1"/>
              </w:rPr>
              <w:lastRenderedPageBreak/>
              <w:t>себе зобов’язання щодо передачі базового активу за поставним деривативним контрактом, на момент укладення такого деривативного контракту не вимагається, якщо інше не передбачено умовами деривативного контракту.</w:t>
            </w:r>
          </w:p>
          <w:p w14:paraId="3BE693F4" w14:textId="77777777" w:rsidR="00C70550" w:rsidRPr="00286216" w:rsidRDefault="00C70550" w:rsidP="006A358E">
            <w:pPr>
              <w:pStyle w:val="StyleZakonu"/>
              <w:rPr>
                <w:color w:val="000000" w:themeColor="text1"/>
              </w:rPr>
            </w:pPr>
            <w:r w:rsidRPr="00286216">
              <w:rPr>
                <w:color w:val="000000" w:themeColor="text1"/>
              </w:rPr>
              <w:t>4. За типом базового активу та/або базового показника деривативні контракти поділяються на такі види:</w:t>
            </w:r>
          </w:p>
          <w:p w14:paraId="17C6C724" w14:textId="5C54A541" w:rsidR="00C70550" w:rsidRPr="00286216" w:rsidRDefault="00C70550" w:rsidP="006A358E">
            <w:pPr>
              <w:pStyle w:val="StyleZakonu"/>
              <w:rPr>
                <w:color w:val="000000" w:themeColor="text1"/>
              </w:rPr>
            </w:pPr>
            <w:r w:rsidRPr="00286216">
              <w:rPr>
                <w:color w:val="000000" w:themeColor="text1"/>
              </w:rPr>
              <w:t>1) деривативні контракти грошового ринку – це деривативні контракти, базовим активом яких є валюта України, іноземна валюта, банківські метали чи інше майно, що визначається базовим активом у нормативно-правових актах Національного банку України, чи інші деривативні контракти грошового ринку, базовим показником яких є курс валюти, валютний індекс (курси декількох валют), ціна на банківські метали, процентна ставка (процентний індекс) чи інші показники, що визнаються базовими показниками у нормативно-правових актах Національного банку України.</w:t>
            </w:r>
          </w:p>
          <w:p w14:paraId="3FD27F34" w14:textId="36549D5C" w:rsidR="00C70550" w:rsidRPr="00286216" w:rsidRDefault="00C70550" w:rsidP="006A358E">
            <w:pPr>
              <w:pStyle w:val="StyleZakonu"/>
              <w:rPr>
                <w:color w:val="000000" w:themeColor="text1"/>
              </w:rPr>
            </w:pPr>
            <w:r w:rsidRPr="00286216">
              <w:rPr>
                <w:color w:val="000000" w:themeColor="text1"/>
              </w:rPr>
              <w:t>Особливості укладення та виконання деривативних контрактів грошового ринку поза організованими ринками можуть встановлюватися Національною комісією з цінних паперів та фондового ринку за погодженням з Національним банком України;</w:t>
            </w:r>
          </w:p>
          <w:p w14:paraId="0966C08A" w14:textId="77777777" w:rsidR="00C70550" w:rsidRPr="00286216" w:rsidRDefault="00C70550" w:rsidP="006A358E">
            <w:pPr>
              <w:pStyle w:val="StyleZakonu"/>
              <w:rPr>
                <w:color w:val="000000" w:themeColor="text1"/>
              </w:rPr>
            </w:pPr>
            <w:r w:rsidRPr="00286216">
              <w:rPr>
                <w:color w:val="000000" w:themeColor="text1"/>
              </w:rPr>
              <w:t>2) товарні деривативні контракти – це деривативні контракти, базовим активом яких є продукція чи інший товарний деривативний контракт або базовим показником яких є ціна на продукцію, послуги, роботи чи товарний індекс (ціна на декілька видів продукції);</w:t>
            </w:r>
          </w:p>
          <w:p w14:paraId="45F52F05" w14:textId="77777777" w:rsidR="00C70550" w:rsidRPr="00286216" w:rsidRDefault="00C70550" w:rsidP="006A358E">
            <w:pPr>
              <w:pStyle w:val="StyleZakonu"/>
              <w:rPr>
                <w:color w:val="000000" w:themeColor="text1"/>
              </w:rPr>
            </w:pPr>
            <w:r w:rsidRPr="00286216">
              <w:rPr>
                <w:color w:val="000000" w:themeColor="text1"/>
              </w:rPr>
              <w:t>3) фондові деривативні контракти – це деривативні контракти, базовим активом яких є емісійні цінні папери (у тому числі іноземних емітентів) чи інші фондові деривативні контракти або базовим показником яких є ціна на такі емісійні цінні папери чи індекс оператора організованого ринку капіталу;</w:t>
            </w:r>
          </w:p>
          <w:p w14:paraId="77BC26C9" w14:textId="79BB31FA" w:rsidR="00C70550" w:rsidRPr="00286216" w:rsidRDefault="00C70550" w:rsidP="00E33D71">
            <w:pPr>
              <w:pStyle w:val="StyleZakonu"/>
              <w:rPr>
                <w:color w:val="000000" w:themeColor="text1"/>
              </w:rPr>
            </w:pPr>
            <w:r w:rsidRPr="00286216">
              <w:rPr>
                <w:color w:val="000000" w:themeColor="text1"/>
              </w:rPr>
              <w:t>4) інші деривативні контракти – це деривативні контракти, базовим активом яких є право вимоги, інший деривативний контракт (крім деривативних контрактів грошового ринку, товарних або фондових деривативних контрактів), інше майно, що визначається базовим активом у нормативно-</w:t>
            </w:r>
            <w:r w:rsidRPr="00286216">
              <w:rPr>
                <w:color w:val="000000" w:themeColor="text1"/>
              </w:rPr>
              <w:lastRenderedPageBreak/>
              <w:t>правових актах Національної комісії з цінних паперів та фондового ринку, або базовим показником яких є показники статистичної інформації (що визначаються незалежно від сторін деривативного контракту), фізичні, біологічні, хімічні показники стану навколишнього природного середовища, інші показники, що визнаються базовими показниками у нормативно-правових актах Національної комісії з цінних паперів та фондового ринку, а також деривативні контракти, що поєднують ознаки декількох видів деривативних контрактів, визначених цією частиною, та деривативні контракти, що не можуть бути віднесені до інших видів деривативних контрактів, визначених цією частиною.</w:t>
            </w:r>
          </w:p>
        </w:tc>
      </w:tr>
      <w:tr w:rsidR="00C70550" w:rsidRPr="00286216" w14:paraId="159DC22B" w14:textId="77777777" w:rsidTr="006A358E">
        <w:tc>
          <w:tcPr>
            <w:tcW w:w="576" w:type="dxa"/>
          </w:tcPr>
          <w:p w14:paraId="21F11A2F" w14:textId="77777777" w:rsidR="00C70550" w:rsidRPr="00286216" w:rsidRDefault="00C70550" w:rsidP="006A358E">
            <w:pPr>
              <w:pStyle w:val="StyleWisnow"/>
              <w:rPr>
                <w:color w:val="000000" w:themeColor="text1"/>
              </w:rPr>
            </w:pPr>
            <w:r w:rsidRPr="00286216">
              <w:rPr>
                <w:color w:val="000000" w:themeColor="text1"/>
              </w:rPr>
              <w:lastRenderedPageBreak/>
              <w:t>553.</w:t>
            </w:r>
          </w:p>
        </w:tc>
        <w:tc>
          <w:tcPr>
            <w:tcW w:w="4818" w:type="dxa"/>
          </w:tcPr>
          <w:p w14:paraId="39864A8D" w14:textId="77777777" w:rsidR="00C70550" w:rsidRPr="00286216" w:rsidRDefault="00C70550" w:rsidP="006A358E">
            <w:pPr>
              <w:pStyle w:val="StyleZakonu"/>
              <w:rPr>
                <w:color w:val="000000" w:themeColor="text1"/>
              </w:rPr>
            </w:pPr>
            <w:r w:rsidRPr="00286216">
              <w:rPr>
                <w:color w:val="000000" w:themeColor="text1"/>
              </w:rPr>
              <w:t>1) обов’язок однієї або кожної із сторін одноразово або періодично сплачувати суми коштів (у тому числі в разі пред’явлення вимоги іншою стороною) залежно від значення базового показника або ціни базового активу;</w:t>
            </w:r>
          </w:p>
        </w:tc>
        <w:tc>
          <w:tcPr>
            <w:tcW w:w="3686" w:type="dxa"/>
          </w:tcPr>
          <w:p w14:paraId="6FE6D604" w14:textId="3E31FF27"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330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5AD4CA5"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zCs w:val="18"/>
              </w:rPr>
              <w:t xml:space="preserve">Частини першу-третю статті 36 викласти в </w:t>
            </w:r>
            <w:r w:rsidRPr="00286216">
              <w:rPr>
                <w:color w:val="000000" w:themeColor="text1"/>
                <w:spacing w:val="-2"/>
                <w:szCs w:val="18"/>
              </w:rPr>
              <w:t>такій редакції:</w:t>
            </w:r>
          </w:p>
          <w:p w14:paraId="64620CB6"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«1. Деривативний контракт – правочин, який вчиняється на основі генеральної угоди та/або специфікації деривативного контракту або опису деривативного контракту (за умови наявності домовленості сторін про вчинення правочину на основі такого документу), і який передбачає, зокрема, одне або декілька таких зобов’язань:</w:t>
            </w:r>
          </w:p>
          <w:p w14:paraId="208E99DB"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1) обов’язок однієї або кожної із сторін одноразово (або періодично) сплатити (сплачувати) суму (суми) коштів, розмір якої (яких) визначається згідно з умовами, погодженими сторонами при вчиненні такого правочину, та може залежати від значення базового показника;</w:t>
            </w:r>
          </w:p>
          <w:p w14:paraId="19B12414"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 xml:space="preserve">2) обов’язок однієї із сторін у разі пред’явлення вимоги іншою стороною у майбутньому прийняти та оплатити або передати базовий актив або укласти інший деривативний контракт на умовах, визначених під час вчинення правочину; </w:t>
            </w:r>
          </w:p>
          <w:p w14:paraId="3BC1CB9D"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 xml:space="preserve">3) обов’язок однієї сторони передати базовий актив на користь іншої сторони у визначений час у майбутньому, обов’язок іншої сторони прийняти та оплатити такий базовий актив; </w:t>
            </w:r>
          </w:p>
          <w:p w14:paraId="14AD104B"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4) обов’язок сторін у визначений час у майбутньому укласти інший деривативний контракт на умовах, визначених під час вчинення такого правочину.</w:t>
            </w:r>
          </w:p>
          <w:p w14:paraId="4E56C0F2"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2. Правочин, наслідком якого є виникнення прав та обов’язків, зазначених у частині першій цієї статті, не є деривативним контрактом, якщо він відповідає при цьому хоча б одному з наступних критеріїв:</w:t>
            </w:r>
          </w:p>
          <w:p w14:paraId="7134EA7D"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lastRenderedPageBreak/>
              <w:t>1) такий правочин є договором купівлі-продажу (у тому числі поставки, міни) та не містить вказівку на те, що він є деривативним контрактом;</w:t>
            </w:r>
          </w:p>
          <w:p w14:paraId="1614B0CD"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2) такий правочин є кредитним договором, договором репо, договором про участь у фонді фінансування будівництва, договором про придбання сертифікатів фонду операцій з нерухомістю, договором позики, банківського вкладу (депозиту), банківського рахунка, поруки, гарантії, факторингу, лізингу або страхування;</w:t>
            </w:r>
          </w:p>
          <w:p w14:paraId="32CF77D3" w14:textId="77777777" w:rsidR="00C70550" w:rsidRPr="00286216" w:rsidRDefault="00C70550" w:rsidP="006A358E">
            <w:pPr>
              <w:pStyle w:val="StyleProp"/>
              <w:spacing w:line="180" w:lineRule="exact"/>
              <w:rPr>
                <w:color w:val="000000" w:themeColor="text1"/>
                <w:spacing w:val="-2"/>
                <w:szCs w:val="18"/>
              </w:rPr>
            </w:pPr>
            <w:r w:rsidRPr="00286216">
              <w:rPr>
                <w:color w:val="000000" w:themeColor="text1"/>
                <w:spacing w:val="-2"/>
                <w:szCs w:val="18"/>
              </w:rPr>
              <w:t>3) зміна розміру суми коштів, що підлягає сплаті стороною на виконання обов’язків, передбачених правочином, відбувається внаслідок зміни курсу іноземної валюти, в якій визначено зобов’язання та/або порушення такою стороною свого зобов’язання за таким правочином (у вигляді неустойки, відшкодування шкоди тощо).</w:t>
            </w:r>
          </w:p>
          <w:p w14:paraId="5C349AD7" w14:textId="77777777" w:rsidR="00C70550" w:rsidRPr="00286216" w:rsidRDefault="00C70550" w:rsidP="006A358E">
            <w:pPr>
              <w:pStyle w:val="StyleProp"/>
              <w:spacing w:line="180" w:lineRule="exact"/>
              <w:rPr>
                <w:color w:val="000000" w:themeColor="text1"/>
                <w:szCs w:val="18"/>
              </w:rPr>
            </w:pPr>
            <w:r w:rsidRPr="00286216">
              <w:rPr>
                <w:color w:val="000000" w:themeColor="text1"/>
                <w:spacing w:val="-2"/>
                <w:szCs w:val="18"/>
              </w:rPr>
              <w:t>3. Нормативно-правовими актами Національної комісії з цінних паперів та фондового ринку може встановлюватися мінімальний строк між укладенням деривативного контракту та відчуженням базового активу та/або остаточними розрахунками за деривативним контрактом. Щодо деривативних контрактів грошового ринку такий мінімальний строк встановлюється Національною комісією з цінних паперів та фондового ринку за погодженням з Національним банком України».</w:t>
            </w:r>
          </w:p>
        </w:tc>
        <w:tc>
          <w:tcPr>
            <w:tcW w:w="1987" w:type="dxa"/>
          </w:tcPr>
          <w:p w14:paraId="692504FE" w14:textId="77777777" w:rsidR="00C70550" w:rsidRPr="00286216" w:rsidRDefault="00C70550" w:rsidP="00E33D71">
            <w:pPr>
              <w:pStyle w:val="StyleWisnow"/>
              <w:spacing w:line="200" w:lineRule="exact"/>
              <w:rPr>
                <w:color w:val="000000" w:themeColor="text1"/>
              </w:rPr>
            </w:pPr>
            <w:r w:rsidRPr="00286216">
              <w:rPr>
                <w:color w:val="000000" w:themeColor="text1"/>
              </w:rPr>
              <w:lastRenderedPageBreak/>
              <w:t>Враховано частково</w:t>
            </w:r>
          </w:p>
          <w:p w14:paraId="4C3D6AC6" w14:textId="77777777" w:rsidR="00C70550" w:rsidRPr="00286216" w:rsidRDefault="00C70550" w:rsidP="00E33D71">
            <w:pPr>
              <w:pStyle w:val="StyleWisnow"/>
              <w:spacing w:line="200" w:lineRule="exact"/>
              <w:rPr>
                <w:color w:val="000000" w:themeColor="text1"/>
              </w:rPr>
            </w:pPr>
            <w:r w:rsidRPr="00286216">
              <w:rPr>
                <w:color w:val="000000" w:themeColor="text1"/>
              </w:rPr>
              <w:t>у запропонованій редакції цієї статті</w:t>
            </w:r>
          </w:p>
        </w:tc>
        <w:tc>
          <w:tcPr>
            <w:tcW w:w="4818" w:type="dxa"/>
          </w:tcPr>
          <w:p w14:paraId="6B361A59" w14:textId="77777777" w:rsidR="00C70550" w:rsidRPr="00286216" w:rsidRDefault="00C70550" w:rsidP="006A358E">
            <w:pPr>
              <w:pStyle w:val="StyleZakonu"/>
              <w:rPr>
                <w:color w:val="000000" w:themeColor="text1"/>
              </w:rPr>
            </w:pPr>
          </w:p>
        </w:tc>
      </w:tr>
      <w:tr w:rsidR="00C70550" w:rsidRPr="00286216" w14:paraId="77871DD5" w14:textId="77777777" w:rsidTr="006A358E">
        <w:tc>
          <w:tcPr>
            <w:tcW w:w="576" w:type="dxa"/>
          </w:tcPr>
          <w:p w14:paraId="602EAC95" w14:textId="77777777" w:rsidR="00C70550" w:rsidRPr="00286216" w:rsidRDefault="00C70550" w:rsidP="006A358E">
            <w:pPr>
              <w:pStyle w:val="StyleWisnow"/>
              <w:rPr>
                <w:color w:val="000000" w:themeColor="text1"/>
              </w:rPr>
            </w:pPr>
            <w:r w:rsidRPr="00286216">
              <w:rPr>
                <w:color w:val="000000" w:themeColor="text1"/>
              </w:rPr>
              <w:t>554.</w:t>
            </w:r>
          </w:p>
        </w:tc>
        <w:tc>
          <w:tcPr>
            <w:tcW w:w="4818" w:type="dxa"/>
          </w:tcPr>
          <w:p w14:paraId="799FBC79" w14:textId="77777777" w:rsidR="00C70550" w:rsidRPr="00286216" w:rsidRDefault="00C70550" w:rsidP="006A358E">
            <w:pPr>
              <w:pStyle w:val="StyleZakonu"/>
              <w:rPr>
                <w:color w:val="000000" w:themeColor="text1"/>
              </w:rPr>
            </w:pPr>
            <w:r w:rsidRPr="00286216">
              <w:rPr>
                <w:color w:val="000000" w:themeColor="text1"/>
              </w:rPr>
              <w:t>2) обов’язок однієї із сторін на умовах, визначених під час вчинення правочину, у разі пред’явлення вимоги іншою стороною у майбутньому купити або продати базовий актив або укласти інший деривативний контракт;</w:t>
            </w:r>
          </w:p>
        </w:tc>
        <w:tc>
          <w:tcPr>
            <w:tcW w:w="3686" w:type="dxa"/>
          </w:tcPr>
          <w:p w14:paraId="000E60D4" w14:textId="77777777" w:rsidR="00C70550" w:rsidRPr="00286216" w:rsidRDefault="00C70550" w:rsidP="006A358E">
            <w:pPr>
              <w:pStyle w:val="StyleProp"/>
              <w:rPr>
                <w:color w:val="000000" w:themeColor="text1"/>
                <w:szCs w:val="18"/>
              </w:rPr>
            </w:pPr>
          </w:p>
        </w:tc>
        <w:tc>
          <w:tcPr>
            <w:tcW w:w="1987" w:type="dxa"/>
          </w:tcPr>
          <w:p w14:paraId="42A543A9" w14:textId="77777777" w:rsidR="00C70550" w:rsidRPr="00286216" w:rsidRDefault="00C70550" w:rsidP="006A358E">
            <w:pPr>
              <w:pStyle w:val="StyleWisnow"/>
              <w:rPr>
                <w:color w:val="000000" w:themeColor="text1"/>
              </w:rPr>
            </w:pPr>
          </w:p>
        </w:tc>
        <w:tc>
          <w:tcPr>
            <w:tcW w:w="4818" w:type="dxa"/>
          </w:tcPr>
          <w:p w14:paraId="59218F66" w14:textId="77777777" w:rsidR="00C70550" w:rsidRPr="00286216" w:rsidRDefault="00C70550" w:rsidP="006A358E">
            <w:pPr>
              <w:pStyle w:val="StyleZakonu"/>
              <w:rPr>
                <w:color w:val="000000" w:themeColor="text1"/>
              </w:rPr>
            </w:pPr>
          </w:p>
        </w:tc>
      </w:tr>
      <w:tr w:rsidR="00C70550" w:rsidRPr="00286216" w14:paraId="6C5ECBFB" w14:textId="77777777" w:rsidTr="006A358E">
        <w:tc>
          <w:tcPr>
            <w:tcW w:w="576" w:type="dxa"/>
          </w:tcPr>
          <w:p w14:paraId="15907628" w14:textId="77777777" w:rsidR="00C70550" w:rsidRPr="00286216" w:rsidRDefault="00C70550" w:rsidP="006A358E">
            <w:pPr>
              <w:pStyle w:val="StyleWisnow"/>
              <w:rPr>
                <w:color w:val="000000" w:themeColor="text1"/>
              </w:rPr>
            </w:pPr>
            <w:r w:rsidRPr="00286216">
              <w:rPr>
                <w:color w:val="000000" w:themeColor="text1"/>
              </w:rPr>
              <w:t>555.</w:t>
            </w:r>
          </w:p>
        </w:tc>
        <w:tc>
          <w:tcPr>
            <w:tcW w:w="4818" w:type="dxa"/>
          </w:tcPr>
          <w:p w14:paraId="6211A715" w14:textId="77777777" w:rsidR="00C70550" w:rsidRPr="00286216" w:rsidRDefault="00C70550" w:rsidP="006A358E">
            <w:pPr>
              <w:pStyle w:val="StyleZakonu"/>
              <w:rPr>
                <w:color w:val="000000" w:themeColor="text1"/>
              </w:rPr>
            </w:pPr>
            <w:r w:rsidRPr="00286216">
              <w:rPr>
                <w:color w:val="000000" w:themeColor="text1"/>
              </w:rPr>
              <w:t>3) обов’язок однієї сторони здійснити відчуження базового активу на користь іншої сторони у визначений час у майбутньому, обов’язок іншої сторони прийняти та оплатити такий базовий актив.</w:t>
            </w:r>
          </w:p>
        </w:tc>
        <w:tc>
          <w:tcPr>
            <w:tcW w:w="3686" w:type="dxa"/>
          </w:tcPr>
          <w:p w14:paraId="5A43C691" w14:textId="77777777" w:rsidR="00C70550" w:rsidRPr="00286216" w:rsidRDefault="00C70550" w:rsidP="006A358E">
            <w:pPr>
              <w:pStyle w:val="StyleProp"/>
              <w:rPr>
                <w:color w:val="000000" w:themeColor="text1"/>
                <w:szCs w:val="18"/>
              </w:rPr>
            </w:pPr>
          </w:p>
        </w:tc>
        <w:tc>
          <w:tcPr>
            <w:tcW w:w="1987" w:type="dxa"/>
          </w:tcPr>
          <w:p w14:paraId="75257EC4" w14:textId="77777777" w:rsidR="00C70550" w:rsidRPr="00286216" w:rsidRDefault="00C70550" w:rsidP="006A358E">
            <w:pPr>
              <w:pStyle w:val="StyleWisnow"/>
              <w:rPr>
                <w:color w:val="000000" w:themeColor="text1"/>
              </w:rPr>
            </w:pPr>
          </w:p>
        </w:tc>
        <w:tc>
          <w:tcPr>
            <w:tcW w:w="4818" w:type="dxa"/>
          </w:tcPr>
          <w:p w14:paraId="3A7D1A18" w14:textId="77777777" w:rsidR="00C70550" w:rsidRPr="00286216" w:rsidRDefault="00C70550" w:rsidP="006A358E">
            <w:pPr>
              <w:pStyle w:val="StyleZakonu"/>
              <w:rPr>
                <w:color w:val="000000" w:themeColor="text1"/>
              </w:rPr>
            </w:pPr>
          </w:p>
        </w:tc>
      </w:tr>
      <w:tr w:rsidR="00C70550" w:rsidRPr="00286216" w14:paraId="6B347E95" w14:textId="77777777" w:rsidTr="006A358E">
        <w:tc>
          <w:tcPr>
            <w:tcW w:w="576" w:type="dxa"/>
          </w:tcPr>
          <w:p w14:paraId="0BC43E0B" w14:textId="77777777" w:rsidR="00C70550" w:rsidRPr="00286216" w:rsidRDefault="00C70550" w:rsidP="006A358E">
            <w:pPr>
              <w:pStyle w:val="StyleWisnow"/>
              <w:rPr>
                <w:color w:val="000000" w:themeColor="text1"/>
              </w:rPr>
            </w:pPr>
            <w:r w:rsidRPr="00286216">
              <w:rPr>
                <w:color w:val="000000" w:themeColor="text1"/>
              </w:rPr>
              <w:t>556.</w:t>
            </w:r>
          </w:p>
        </w:tc>
        <w:tc>
          <w:tcPr>
            <w:tcW w:w="4818" w:type="dxa"/>
          </w:tcPr>
          <w:p w14:paraId="028CE82B" w14:textId="77777777" w:rsidR="00C70550" w:rsidRPr="00286216" w:rsidRDefault="00C70550" w:rsidP="006A358E">
            <w:pPr>
              <w:pStyle w:val="StyleZakonu"/>
              <w:rPr>
                <w:color w:val="000000" w:themeColor="text1"/>
              </w:rPr>
            </w:pPr>
            <w:r w:rsidRPr="00286216">
              <w:rPr>
                <w:color w:val="000000" w:themeColor="text1"/>
              </w:rPr>
              <w:t>2. Правочин, що відповідає критеріям, зазначеним у частині першій цієї статті, не є деривативним контрактом, якщо він відповідає при цьому хоча б одному з наступних критеріїв:</w:t>
            </w:r>
          </w:p>
        </w:tc>
        <w:tc>
          <w:tcPr>
            <w:tcW w:w="3686" w:type="dxa"/>
          </w:tcPr>
          <w:p w14:paraId="72B367A0" w14:textId="77777777" w:rsidR="00C70550" w:rsidRPr="00286216" w:rsidRDefault="00C70550" w:rsidP="006A358E">
            <w:pPr>
              <w:pStyle w:val="StyleProp"/>
              <w:rPr>
                <w:color w:val="000000" w:themeColor="text1"/>
                <w:szCs w:val="18"/>
              </w:rPr>
            </w:pPr>
          </w:p>
        </w:tc>
        <w:tc>
          <w:tcPr>
            <w:tcW w:w="1987" w:type="dxa"/>
          </w:tcPr>
          <w:p w14:paraId="679B5332" w14:textId="77777777" w:rsidR="00C70550" w:rsidRPr="00286216" w:rsidRDefault="00C70550" w:rsidP="006A358E">
            <w:pPr>
              <w:pStyle w:val="StyleWisnow"/>
              <w:rPr>
                <w:color w:val="000000" w:themeColor="text1"/>
              </w:rPr>
            </w:pPr>
          </w:p>
        </w:tc>
        <w:tc>
          <w:tcPr>
            <w:tcW w:w="4818" w:type="dxa"/>
          </w:tcPr>
          <w:p w14:paraId="4CD38F7D" w14:textId="77777777" w:rsidR="00C70550" w:rsidRPr="00286216" w:rsidRDefault="00C70550" w:rsidP="006A358E">
            <w:pPr>
              <w:pStyle w:val="StyleZakonu"/>
              <w:rPr>
                <w:color w:val="000000" w:themeColor="text1"/>
              </w:rPr>
            </w:pPr>
          </w:p>
        </w:tc>
      </w:tr>
      <w:tr w:rsidR="00C70550" w:rsidRPr="00286216" w14:paraId="1D1459F1" w14:textId="77777777" w:rsidTr="006A358E">
        <w:tc>
          <w:tcPr>
            <w:tcW w:w="576" w:type="dxa"/>
          </w:tcPr>
          <w:p w14:paraId="57E9019B" w14:textId="77777777" w:rsidR="00C70550" w:rsidRPr="00286216" w:rsidRDefault="00C70550" w:rsidP="006A358E">
            <w:pPr>
              <w:pStyle w:val="StyleWisnow"/>
              <w:rPr>
                <w:color w:val="000000" w:themeColor="text1"/>
              </w:rPr>
            </w:pPr>
            <w:r w:rsidRPr="00286216">
              <w:rPr>
                <w:color w:val="000000" w:themeColor="text1"/>
              </w:rPr>
              <w:t>557.</w:t>
            </w:r>
          </w:p>
        </w:tc>
        <w:tc>
          <w:tcPr>
            <w:tcW w:w="4818" w:type="dxa"/>
          </w:tcPr>
          <w:p w14:paraId="20EF6B4E" w14:textId="77777777" w:rsidR="00C70550" w:rsidRPr="00286216" w:rsidRDefault="00C70550" w:rsidP="006A358E">
            <w:pPr>
              <w:pStyle w:val="StyleZakonu"/>
              <w:rPr>
                <w:color w:val="000000" w:themeColor="text1"/>
              </w:rPr>
            </w:pPr>
            <w:r w:rsidRPr="00286216">
              <w:rPr>
                <w:color w:val="000000" w:themeColor="text1"/>
              </w:rPr>
              <w:t>1) такий правочин є договором купівлі-продажу (у тому числі поставки, міни), який одночасно відповідає наступним ознакам:</w:t>
            </w:r>
          </w:p>
        </w:tc>
        <w:tc>
          <w:tcPr>
            <w:tcW w:w="3686" w:type="dxa"/>
          </w:tcPr>
          <w:p w14:paraId="1BF45A91" w14:textId="77777777" w:rsidR="00C70550" w:rsidRPr="00286216" w:rsidRDefault="00C70550" w:rsidP="006A358E">
            <w:pPr>
              <w:pStyle w:val="StyleProp"/>
              <w:rPr>
                <w:color w:val="000000" w:themeColor="text1"/>
                <w:szCs w:val="18"/>
              </w:rPr>
            </w:pPr>
          </w:p>
        </w:tc>
        <w:tc>
          <w:tcPr>
            <w:tcW w:w="1987" w:type="dxa"/>
          </w:tcPr>
          <w:p w14:paraId="08432E3E" w14:textId="77777777" w:rsidR="00C70550" w:rsidRPr="00286216" w:rsidRDefault="00C70550" w:rsidP="006A358E">
            <w:pPr>
              <w:pStyle w:val="StyleWisnow"/>
              <w:rPr>
                <w:color w:val="000000" w:themeColor="text1"/>
              </w:rPr>
            </w:pPr>
          </w:p>
        </w:tc>
        <w:tc>
          <w:tcPr>
            <w:tcW w:w="4818" w:type="dxa"/>
          </w:tcPr>
          <w:p w14:paraId="1451B188" w14:textId="77777777" w:rsidR="00C70550" w:rsidRPr="00286216" w:rsidRDefault="00C70550" w:rsidP="006A358E">
            <w:pPr>
              <w:pStyle w:val="StyleZakonu"/>
              <w:rPr>
                <w:color w:val="000000" w:themeColor="text1"/>
              </w:rPr>
            </w:pPr>
          </w:p>
        </w:tc>
      </w:tr>
      <w:tr w:rsidR="00C70550" w:rsidRPr="00286216" w14:paraId="09FF9C32" w14:textId="77777777" w:rsidTr="006A358E">
        <w:tc>
          <w:tcPr>
            <w:tcW w:w="576" w:type="dxa"/>
          </w:tcPr>
          <w:p w14:paraId="30CB3A7C" w14:textId="77777777" w:rsidR="00C70550" w:rsidRPr="00286216" w:rsidRDefault="00C70550" w:rsidP="006A358E">
            <w:pPr>
              <w:pStyle w:val="StyleWisnow"/>
              <w:rPr>
                <w:color w:val="000000" w:themeColor="text1"/>
              </w:rPr>
            </w:pPr>
            <w:r w:rsidRPr="00286216">
              <w:rPr>
                <w:color w:val="000000" w:themeColor="text1"/>
              </w:rPr>
              <w:t>558.</w:t>
            </w:r>
          </w:p>
        </w:tc>
        <w:tc>
          <w:tcPr>
            <w:tcW w:w="4818" w:type="dxa"/>
          </w:tcPr>
          <w:p w14:paraId="7F8F68E8" w14:textId="77777777" w:rsidR="00C70550" w:rsidRPr="00286216" w:rsidRDefault="00C70550" w:rsidP="006A358E">
            <w:pPr>
              <w:pStyle w:val="StyleZakonu"/>
              <w:rPr>
                <w:color w:val="000000" w:themeColor="text1"/>
              </w:rPr>
            </w:pPr>
            <w:r w:rsidRPr="00286216">
              <w:rPr>
                <w:color w:val="000000" w:themeColor="text1"/>
              </w:rPr>
              <w:t xml:space="preserve">а) містить вказівку на те, що він не є деривативним </w:t>
            </w:r>
            <w:r w:rsidRPr="00286216">
              <w:rPr>
                <w:color w:val="000000" w:themeColor="text1"/>
              </w:rPr>
              <w:lastRenderedPageBreak/>
              <w:t>контрактом;</w:t>
            </w:r>
          </w:p>
        </w:tc>
        <w:tc>
          <w:tcPr>
            <w:tcW w:w="3686" w:type="dxa"/>
          </w:tcPr>
          <w:p w14:paraId="3BB87F86" w14:textId="349A587D" w:rsidR="00C70550" w:rsidRPr="00286216" w:rsidRDefault="00C70550" w:rsidP="006A358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331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000F93E" w14:textId="77777777" w:rsidR="00C70550" w:rsidRPr="00286216" w:rsidRDefault="00C70550" w:rsidP="006A358E">
            <w:pPr>
              <w:ind w:firstLine="360"/>
              <w:jc w:val="both"/>
              <w:rPr>
                <w:color w:val="000000" w:themeColor="text1"/>
                <w:sz w:val="18"/>
                <w:szCs w:val="18"/>
              </w:rPr>
            </w:pPr>
            <w:r w:rsidRPr="00286216">
              <w:rPr>
                <w:color w:val="000000" w:themeColor="text1"/>
                <w:sz w:val="18"/>
                <w:szCs w:val="18"/>
              </w:rPr>
              <w:lastRenderedPageBreak/>
              <w:t xml:space="preserve">Підпункт «а)» пункту 1 частини другої статті 36 нової редакції Закону викласти у такій редакції: </w:t>
            </w:r>
          </w:p>
          <w:p w14:paraId="306696E4" w14:textId="77777777" w:rsidR="00C70550" w:rsidRPr="00286216" w:rsidRDefault="00C70550" w:rsidP="006A358E">
            <w:pPr>
              <w:ind w:firstLine="360"/>
              <w:jc w:val="both"/>
              <w:rPr>
                <w:color w:val="000000" w:themeColor="text1"/>
                <w:sz w:val="18"/>
                <w:szCs w:val="18"/>
              </w:rPr>
            </w:pPr>
            <w:r w:rsidRPr="00286216">
              <w:rPr>
                <w:color w:val="000000" w:themeColor="text1"/>
                <w:sz w:val="18"/>
                <w:szCs w:val="18"/>
              </w:rPr>
              <w:t>«а) не містить вказівку на те, що він є деривативним контрактом;».</w:t>
            </w:r>
          </w:p>
        </w:tc>
        <w:tc>
          <w:tcPr>
            <w:tcW w:w="1987" w:type="dxa"/>
          </w:tcPr>
          <w:p w14:paraId="6AB77AB9" w14:textId="77777777" w:rsidR="00C70550" w:rsidRPr="00286216" w:rsidRDefault="00C70550" w:rsidP="006A358E">
            <w:pPr>
              <w:pStyle w:val="StyleWisnow"/>
              <w:rPr>
                <w:color w:val="000000" w:themeColor="text1"/>
              </w:rPr>
            </w:pPr>
            <w:r w:rsidRPr="00286216">
              <w:rPr>
                <w:color w:val="000000" w:themeColor="text1"/>
              </w:rPr>
              <w:lastRenderedPageBreak/>
              <w:t>Враховано частково</w:t>
            </w:r>
          </w:p>
          <w:p w14:paraId="1BEBF981" w14:textId="77777777" w:rsidR="00C70550" w:rsidRPr="00286216" w:rsidRDefault="00C70550" w:rsidP="006A358E">
            <w:pPr>
              <w:pStyle w:val="StyleWisnow"/>
              <w:rPr>
                <w:color w:val="000000" w:themeColor="text1"/>
              </w:rPr>
            </w:pPr>
            <w:r w:rsidRPr="00286216">
              <w:rPr>
                <w:color w:val="000000" w:themeColor="text1"/>
              </w:rPr>
              <w:lastRenderedPageBreak/>
              <w:t>у запропонованій редакції цієї статті</w:t>
            </w:r>
          </w:p>
          <w:p w14:paraId="46CF8BBA" w14:textId="77777777" w:rsidR="00C70550" w:rsidRPr="00286216" w:rsidRDefault="00C70550" w:rsidP="006A358E">
            <w:pPr>
              <w:pStyle w:val="StyleWisnow"/>
              <w:rPr>
                <w:color w:val="000000" w:themeColor="text1"/>
              </w:rPr>
            </w:pPr>
          </w:p>
        </w:tc>
        <w:tc>
          <w:tcPr>
            <w:tcW w:w="4818" w:type="dxa"/>
          </w:tcPr>
          <w:p w14:paraId="23302B73" w14:textId="77777777" w:rsidR="00C70550" w:rsidRPr="00286216" w:rsidRDefault="00C70550" w:rsidP="006A358E">
            <w:pPr>
              <w:pStyle w:val="StyleZakonu"/>
              <w:rPr>
                <w:color w:val="000000" w:themeColor="text1"/>
              </w:rPr>
            </w:pPr>
          </w:p>
        </w:tc>
      </w:tr>
      <w:tr w:rsidR="00C70550" w:rsidRPr="00286216" w14:paraId="3842BAC2" w14:textId="77777777" w:rsidTr="006A358E">
        <w:tc>
          <w:tcPr>
            <w:tcW w:w="576" w:type="dxa"/>
          </w:tcPr>
          <w:p w14:paraId="2E17CD3B" w14:textId="77777777" w:rsidR="00C70550" w:rsidRPr="00286216" w:rsidRDefault="00C70550" w:rsidP="006A358E">
            <w:pPr>
              <w:pStyle w:val="StyleWisnow"/>
              <w:rPr>
                <w:color w:val="000000" w:themeColor="text1"/>
              </w:rPr>
            </w:pPr>
            <w:r w:rsidRPr="00286216">
              <w:rPr>
                <w:color w:val="000000" w:themeColor="text1"/>
              </w:rPr>
              <w:t>559.</w:t>
            </w:r>
          </w:p>
        </w:tc>
        <w:tc>
          <w:tcPr>
            <w:tcW w:w="4818" w:type="dxa"/>
          </w:tcPr>
          <w:p w14:paraId="62292A92" w14:textId="77777777" w:rsidR="00C70550" w:rsidRPr="00286216" w:rsidRDefault="00C70550" w:rsidP="006A358E">
            <w:pPr>
              <w:pStyle w:val="StyleZakonu"/>
              <w:rPr>
                <w:color w:val="000000" w:themeColor="text1"/>
              </w:rPr>
            </w:pPr>
            <w:r w:rsidRPr="00286216">
              <w:rPr>
                <w:color w:val="000000" w:themeColor="text1"/>
              </w:rPr>
              <w:t>б) не належить до деривативних контрактів згідно з нормативно-правовими актами Національної комісії з цінних паперів та фондового ринку, а до деривативних контрактів грошового ринку згідно з нормативно-правовими актами Національної комісії з цінних паперів та фондового ринку за погодженням з Національним банком України;</w:t>
            </w:r>
          </w:p>
        </w:tc>
        <w:tc>
          <w:tcPr>
            <w:tcW w:w="3686" w:type="dxa"/>
          </w:tcPr>
          <w:p w14:paraId="60531095" w14:textId="0CD7AD4E" w:rsidR="00C70550" w:rsidRPr="00286216" w:rsidRDefault="00C70550" w:rsidP="006A358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332</w:t>
            </w:r>
            <w:r w:rsidRPr="00286216">
              <w:rPr>
                <w:color w:val="000000" w:themeColor="text1"/>
              </w:rPr>
              <w:fldChar w:fldCharType="end"/>
            </w:r>
            <w:r w:rsidRPr="00286216">
              <w:rPr>
                <w:color w:val="000000" w:themeColor="text1"/>
              </w:rPr>
              <w:t>-Н.д.Шахов С.В. (Реєстр.картка №114)</w:t>
            </w:r>
          </w:p>
          <w:p w14:paraId="6DB01365" w14:textId="77777777" w:rsidR="00C70550" w:rsidRPr="00286216" w:rsidRDefault="00C70550" w:rsidP="00E33D71">
            <w:pPr>
              <w:spacing w:line="180" w:lineRule="exact"/>
              <w:ind w:firstLine="227"/>
              <w:jc w:val="both"/>
              <w:rPr>
                <w:b/>
                <w:color w:val="000000" w:themeColor="text1"/>
                <w:sz w:val="18"/>
              </w:rPr>
            </w:pPr>
            <w:r w:rsidRPr="00286216">
              <w:rPr>
                <w:color w:val="000000" w:themeColor="text1"/>
                <w:sz w:val="18"/>
              </w:rPr>
              <w:t>у пункті 1 частини другої статті 36 підпункти «а», «б» викласти у такій редакції:</w:t>
            </w:r>
          </w:p>
          <w:p w14:paraId="16E4FFC8" w14:textId="77777777" w:rsidR="00C70550" w:rsidRPr="00286216" w:rsidRDefault="00C70550" w:rsidP="00E33D71">
            <w:pPr>
              <w:spacing w:line="180" w:lineRule="exact"/>
              <w:ind w:firstLine="227"/>
              <w:jc w:val="both"/>
              <w:rPr>
                <w:color w:val="000000" w:themeColor="text1"/>
                <w:sz w:val="18"/>
              </w:rPr>
            </w:pPr>
            <w:r w:rsidRPr="00286216">
              <w:rPr>
                <w:color w:val="000000" w:themeColor="text1"/>
                <w:sz w:val="18"/>
              </w:rPr>
              <w:t>«а) не містить вказівку на те, що він є деривативним контрактом;</w:t>
            </w:r>
          </w:p>
          <w:p w14:paraId="6A355952" w14:textId="77777777" w:rsidR="00C70550" w:rsidRPr="00286216" w:rsidRDefault="00C70550" w:rsidP="00E33D71">
            <w:pPr>
              <w:spacing w:line="180" w:lineRule="exact"/>
              <w:ind w:firstLine="227"/>
              <w:jc w:val="both"/>
              <w:rPr>
                <w:color w:val="000000" w:themeColor="text1"/>
                <w:szCs w:val="18"/>
              </w:rPr>
            </w:pPr>
            <w:r w:rsidRPr="00286216">
              <w:rPr>
                <w:color w:val="000000" w:themeColor="text1"/>
                <w:sz w:val="18"/>
              </w:rPr>
              <w:t xml:space="preserve">б) не належить до деривативних контрактів згідно з нормативно-правовими </w:t>
            </w:r>
            <w:r w:rsidRPr="00286216">
              <w:rPr>
                <w:color w:val="000000" w:themeColor="text1"/>
                <w:spacing w:val="-2"/>
                <w:sz w:val="18"/>
              </w:rPr>
              <w:t xml:space="preserve">актами Національної комісії з цінних паперів та фондового ринку; при цьому не належить до деривативних контрактів грошового ринку - згідно з нормативно-правовими актами </w:t>
            </w:r>
            <w:r w:rsidRPr="00286216">
              <w:rPr>
                <w:color w:val="000000" w:themeColor="text1"/>
                <w:spacing w:val="-4"/>
                <w:sz w:val="18"/>
              </w:rPr>
              <w:t>Національної комісії з цінних паперів та фондового ринку  за погодженням з Національним банком України і не належить</w:t>
            </w:r>
            <w:r w:rsidRPr="00286216">
              <w:rPr>
                <w:color w:val="000000" w:themeColor="text1"/>
                <w:spacing w:val="-2"/>
                <w:sz w:val="18"/>
              </w:rPr>
              <w:t xml:space="preserve"> до поставних товарних деривативних контрактів</w:t>
            </w:r>
            <w:r w:rsidRPr="00286216">
              <w:rPr>
                <w:color w:val="000000" w:themeColor="text1"/>
                <w:sz w:val="18"/>
              </w:rPr>
              <w:t xml:space="preserve"> - згідно з нормативно-правовими актами регулятора відповідного товарного ринку».</w:t>
            </w:r>
          </w:p>
        </w:tc>
        <w:tc>
          <w:tcPr>
            <w:tcW w:w="1987" w:type="dxa"/>
          </w:tcPr>
          <w:p w14:paraId="1BB08B70" w14:textId="77777777" w:rsidR="00C70550" w:rsidRPr="00286216" w:rsidRDefault="00C70550" w:rsidP="006A358E">
            <w:pPr>
              <w:pStyle w:val="StyleWisnow"/>
              <w:rPr>
                <w:color w:val="000000" w:themeColor="text1"/>
              </w:rPr>
            </w:pPr>
            <w:r w:rsidRPr="00286216">
              <w:rPr>
                <w:color w:val="000000" w:themeColor="text1"/>
              </w:rPr>
              <w:t>Враховано частково</w:t>
            </w:r>
          </w:p>
          <w:p w14:paraId="5EE209B3" w14:textId="77777777" w:rsidR="00C70550" w:rsidRPr="00286216" w:rsidRDefault="00C70550" w:rsidP="006A358E">
            <w:pPr>
              <w:pStyle w:val="StyleWisnow"/>
              <w:rPr>
                <w:color w:val="000000" w:themeColor="text1"/>
              </w:rPr>
            </w:pPr>
            <w:r w:rsidRPr="00286216">
              <w:rPr>
                <w:color w:val="000000" w:themeColor="text1"/>
              </w:rPr>
              <w:t>у запропонованій редакції цієї статті</w:t>
            </w:r>
          </w:p>
          <w:p w14:paraId="209AF2D8" w14:textId="77777777" w:rsidR="00C70550" w:rsidRPr="00286216" w:rsidRDefault="00C70550" w:rsidP="006A358E">
            <w:pPr>
              <w:pStyle w:val="StyleWisnow"/>
              <w:rPr>
                <w:color w:val="000000" w:themeColor="text1"/>
              </w:rPr>
            </w:pPr>
          </w:p>
        </w:tc>
        <w:tc>
          <w:tcPr>
            <w:tcW w:w="4818" w:type="dxa"/>
          </w:tcPr>
          <w:p w14:paraId="736301A3" w14:textId="77777777" w:rsidR="00C70550" w:rsidRPr="00286216" w:rsidRDefault="00C70550" w:rsidP="006A358E">
            <w:pPr>
              <w:pStyle w:val="StyleZakonu"/>
              <w:rPr>
                <w:color w:val="000000" w:themeColor="text1"/>
              </w:rPr>
            </w:pPr>
          </w:p>
        </w:tc>
      </w:tr>
      <w:tr w:rsidR="00C70550" w:rsidRPr="00286216" w14:paraId="77DB02A1" w14:textId="77777777" w:rsidTr="006A358E">
        <w:tc>
          <w:tcPr>
            <w:tcW w:w="576" w:type="dxa"/>
          </w:tcPr>
          <w:p w14:paraId="730377B8" w14:textId="77777777" w:rsidR="00C70550" w:rsidRPr="00286216" w:rsidRDefault="00C70550" w:rsidP="006A358E">
            <w:pPr>
              <w:pStyle w:val="StyleWisnow"/>
              <w:rPr>
                <w:color w:val="000000" w:themeColor="text1"/>
              </w:rPr>
            </w:pPr>
            <w:r w:rsidRPr="00286216">
              <w:rPr>
                <w:color w:val="000000" w:themeColor="text1"/>
              </w:rPr>
              <w:t>560.</w:t>
            </w:r>
          </w:p>
        </w:tc>
        <w:tc>
          <w:tcPr>
            <w:tcW w:w="4818" w:type="dxa"/>
          </w:tcPr>
          <w:p w14:paraId="6714C67A" w14:textId="77777777" w:rsidR="00C70550" w:rsidRPr="00286216" w:rsidRDefault="00C70550" w:rsidP="006A358E">
            <w:pPr>
              <w:pStyle w:val="StyleZakonu"/>
              <w:rPr>
                <w:color w:val="000000" w:themeColor="text1"/>
              </w:rPr>
            </w:pPr>
            <w:r w:rsidRPr="00286216">
              <w:rPr>
                <w:color w:val="000000" w:themeColor="text1"/>
              </w:rPr>
              <w:t>в) передбачає виконання зобов’язань за таким правочином виключно шляхом відчуження (прийняття) базового активу;</w:t>
            </w:r>
          </w:p>
        </w:tc>
        <w:tc>
          <w:tcPr>
            <w:tcW w:w="3686" w:type="dxa"/>
          </w:tcPr>
          <w:p w14:paraId="230F213F" w14:textId="77777777" w:rsidR="00C70550" w:rsidRPr="00286216" w:rsidRDefault="00C70550" w:rsidP="006A358E">
            <w:pPr>
              <w:pStyle w:val="StyleProp"/>
              <w:rPr>
                <w:color w:val="000000" w:themeColor="text1"/>
                <w:szCs w:val="18"/>
              </w:rPr>
            </w:pPr>
          </w:p>
        </w:tc>
        <w:tc>
          <w:tcPr>
            <w:tcW w:w="1987" w:type="dxa"/>
          </w:tcPr>
          <w:p w14:paraId="167B2915" w14:textId="77777777" w:rsidR="00C70550" w:rsidRPr="00286216" w:rsidRDefault="00C70550" w:rsidP="006A358E">
            <w:pPr>
              <w:pStyle w:val="StyleWisnow"/>
              <w:rPr>
                <w:color w:val="000000" w:themeColor="text1"/>
              </w:rPr>
            </w:pPr>
          </w:p>
        </w:tc>
        <w:tc>
          <w:tcPr>
            <w:tcW w:w="4818" w:type="dxa"/>
          </w:tcPr>
          <w:p w14:paraId="0DE3D124" w14:textId="77777777" w:rsidR="00C70550" w:rsidRPr="00286216" w:rsidRDefault="00C70550" w:rsidP="006A358E">
            <w:pPr>
              <w:pStyle w:val="StyleZakonu"/>
              <w:rPr>
                <w:color w:val="000000" w:themeColor="text1"/>
              </w:rPr>
            </w:pPr>
          </w:p>
        </w:tc>
      </w:tr>
      <w:tr w:rsidR="00C70550" w:rsidRPr="00286216" w14:paraId="25F78476" w14:textId="77777777" w:rsidTr="006A358E">
        <w:tc>
          <w:tcPr>
            <w:tcW w:w="576" w:type="dxa"/>
          </w:tcPr>
          <w:p w14:paraId="2800CF4E" w14:textId="77777777" w:rsidR="00C70550" w:rsidRPr="00286216" w:rsidRDefault="00C70550" w:rsidP="006A358E">
            <w:pPr>
              <w:pStyle w:val="StyleWisnow"/>
              <w:rPr>
                <w:color w:val="000000" w:themeColor="text1"/>
              </w:rPr>
            </w:pPr>
            <w:r w:rsidRPr="00286216">
              <w:rPr>
                <w:color w:val="000000" w:themeColor="text1"/>
              </w:rPr>
              <w:t>561.</w:t>
            </w:r>
          </w:p>
        </w:tc>
        <w:tc>
          <w:tcPr>
            <w:tcW w:w="4818" w:type="dxa"/>
          </w:tcPr>
          <w:p w14:paraId="421D9DB5" w14:textId="77777777" w:rsidR="00C70550" w:rsidRPr="00286216" w:rsidRDefault="00C70550" w:rsidP="006A358E">
            <w:pPr>
              <w:pStyle w:val="StyleZakonu"/>
              <w:rPr>
                <w:color w:val="000000" w:themeColor="text1"/>
              </w:rPr>
            </w:pPr>
            <w:r w:rsidRPr="00286216">
              <w:rPr>
                <w:color w:val="000000" w:themeColor="text1"/>
              </w:rPr>
              <w:t>г) не передбачає можливості виконання зобов’язання шляхом виключно здійснення однією із сторін платежів на користь іншої сторони залежно від ціни базового активу на момент виконання;</w:t>
            </w:r>
          </w:p>
        </w:tc>
        <w:tc>
          <w:tcPr>
            <w:tcW w:w="3686" w:type="dxa"/>
          </w:tcPr>
          <w:p w14:paraId="0537EF57" w14:textId="77777777" w:rsidR="00C70550" w:rsidRPr="00286216" w:rsidRDefault="00C70550" w:rsidP="006A358E">
            <w:pPr>
              <w:pStyle w:val="StyleProp"/>
              <w:rPr>
                <w:color w:val="000000" w:themeColor="text1"/>
                <w:szCs w:val="18"/>
              </w:rPr>
            </w:pPr>
          </w:p>
        </w:tc>
        <w:tc>
          <w:tcPr>
            <w:tcW w:w="1987" w:type="dxa"/>
          </w:tcPr>
          <w:p w14:paraId="4DE59420" w14:textId="77777777" w:rsidR="00C70550" w:rsidRPr="00286216" w:rsidRDefault="00C70550" w:rsidP="006A358E">
            <w:pPr>
              <w:pStyle w:val="StyleWisnow"/>
              <w:rPr>
                <w:color w:val="000000" w:themeColor="text1"/>
              </w:rPr>
            </w:pPr>
          </w:p>
        </w:tc>
        <w:tc>
          <w:tcPr>
            <w:tcW w:w="4818" w:type="dxa"/>
          </w:tcPr>
          <w:p w14:paraId="7B708050" w14:textId="77777777" w:rsidR="00C70550" w:rsidRPr="00286216" w:rsidRDefault="00C70550" w:rsidP="006A358E">
            <w:pPr>
              <w:pStyle w:val="StyleZakonu"/>
              <w:rPr>
                <w:color w:val="000000" w:themeColor="text1"/>
              </w:rPr>
            </w:pPr>
          </w:p>
        </w:tc>
      </w:tr>
      <w:tr w:rsidR="00C70550" w:rsidRPr="00286216" w14:paraId="2D0111CF" w14:textId="77777777" w:rsidTr="006A358E">
        <w:tc>
          <w:tcPr>
            <w:tcW w:w="576" w:type="dxa"/>
          </w:tcPr>
          <w:p w14:paraId="23A15F09" w14:textId="77777777" w:rsidR="00C70550" w:rsidRPr="00286216" w:rsidRDefault="00C70550" w:rsidP="006A358E">
            <w:pPr>
              <w:pStyle w:val="StyleWisnow"/>
              <w:rPr>
                <w:color w:val="000000" w:themeColor="text1"/>
              </w:rPr>
            </w:pPr>
            <w:r w:rsidRPr="00286216">
              <w:rPr>
                <w:color w:val="000000" w:themeColor="text1"/>
              </w:rPr>
              <w:t>562.</w:t>
            </w:r>
          </w:p>
        </w:tc>
        <w:tc>
          <w:tcPr>
            <w:tcW w:w="4818" w:type="dxa"/>
          </w:tcPr>
          <w:p w14:paraId="00C7B0A5" w14:textId="77777777" w:rsidR="00C70550" w:rsidRPr="00286216" w:rsidRDefault="00C70550" w:rsidP="006A358E">
            <w:pPr>
              <w:pStyle w:val="StyleZakonu"/>
              <w:rPr>
                <w:color w:val="000000" w:themeColor="text1"/>
              </w:rPr>
            </w:pPr>
            <w:r w:rsidRPr="00286216">
              <w:rPr>
                <w:color w:val="000000" w:themeColor="text1"/>
              </w:rPr>
              <w:t>ґ) не передбачає можливості припинення зобов’язань шляхом укладення іншого правочину на аналогічних умовах щодо кількості базового активу та строків його відчуження (при цьому ціна за таким договором може відрізнятися від ціни за первісним договором), за яким сторона, що виступала продавцем за первісним правочином, виступає покупцем, а сторона, що виступала покупцем за первісним правочином, виступає продавцем;</w:t>
            </w:r>
          </w:p>
        </w:tc>
        <w:tc>
          <w:tcPr>
            <w:tcW w:w="3686" w:type="dxa"/>
          </w:tcPr>
          <w:p w14:paraId="07D04B4A" w14:textId="77777777" w:rsidR="00C70550" w:rsidRPr="00286216" w:rsidRDefault="00C70550" w:rsidP="006A358E">
            <w:pPr>
              <w:pStyle w:val="StyleProp"/>
              <w:rPr>
                <w:color w:val="000000" w:themeColor="text1"/>
                <w:szCs w:val="18"/>
              </w:rPr>
            </w:pPr>
          </w:p>
        </w:tc>
        <w:tc>
          <w:tcPr>
            <w:tcW w:w="1987" w:type="dxa"/>
          </w:tcPr>
          <w:p w14:paraId="5CE502D7" w14:textId="77777777" w:rsidR="00C70550" w:rsidRPr="00286216" w:rsidRDefault="00C70550" w:rsidP="006A358E">
            <w:pPr>
              <w:pStyle w:val="StyleWisnow"/>
              <w:rPr>
                <w:color w:val="000000" w:themeColor="text1"/>
              </w:rPr>
            </w:pPr>
          </w:p>
        </w:tc>
        <w:tc>
          <w:tcPr>
            <w:tcW w:w="4818" w:type="dxa"/>
          </w:tcPr>
          <w:p w14:paraId="58AAD6D8" w14:textId="77777777" w:rsidR="00C70550" w:rsidRPr="00286216" w:rsidRDefault="00C70550" w:rsidP="006A358E">
            <w:pPr>
              <w:pStyle w:val="StyleZakonu"/>
              <w:rPr>
                <w:color w:val="000000" w:themeColor="text1"/>
              </w:rPr>
            </w:pPr>
          </w:p>
        </w:tc>
      </w:tr>
      <w:tr w:rsidR="00C70550" w:rsidRPr="00286216" w14:paraId="2B1CC3EA" w14:textId="77777777" w:rsidTr="006A358E">
        <w:tc>
          <w:tcPr>
            <w:tcW w:w="576" w:type="dxa"/>
          </w:tcPr>
          <w:p w14:paraId="1D14F6E9" w14:textId="77777777" w:rsidR="00C70550" w:rsidRPr="00286216" w:rsidRDefault="00C70550" w:rsidP="006A358E">
            <w:pPr>
              <w:pStyle w:val="StyleWisnow"/>
              <w:rPr>
                <w:color w:val="000000" w:themeColor="text1"/>
              </w:rPr>
            </w:pPr>
            <w:r w:rsidRPr="00286216">
              <w:rPr>
                <w:color w:val="000000" w:themeColor="text1"/>
              </w:rPr>
              <w:t>563.</w:t>
            </w:r>
          </w:p>
        </w:tc>
        <w:tc>
          <w:tcPr>
            <w:tcW w:w="4818" w:type="dxa"/>
          </w:tcPr>
          <w:p w14:paraId="485111C6" w14:textId="77777777" w:rsidR="00C70550" w:rsidRPr="00286216" w:rsidRDefault="00C70550" w:rsidP="006A358E">
            <w:pPr>
              <w:pStyle w:val="StyleZakonu"/>
              <w:rPr>
                <w:color w:val="000000" w:themeColor="text1"/>
              </w:rPr>
            </w:pPr>
            <w:r w:rsidRPr="00286216">
              <w:rPr>
                <w:color w:val="000000" w:themeColor="text1"/>
              </w:rPr>
              <w:t>2) такий правочин є кредитним договором, договором репо, договором позики, банківського вкладу (депозиту), банківського рахунка, поруки, гарантії, факторингу, лізингу або страхування;</w:t>
            </w:r>
          </w:p>
        </w:tc>
        <w:tc>
          <w:tcPr>
            <w:tcW w:w="3686" w:type="dxa"/>
          </w:tcPr>
          <w:p w14:paraId="6923BD8E" w14:textId="77536C01"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333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B2BEE9E" w14:textId="77777777" w:rsidR="00C70550" w:rsidRPr="00286216" w:rsidRDefault="00C70550" w:rsidP="00E33D71">
            <w:pPr>
              <w:pStyle w:val="StyleProp"/>
              <w:spacing w:line="180" w:lineRule="exact"/>
              <w:rPr>
                <w:color w:val="000000" w:themeColor="text1"/>
                <w:szCs w:val="18"/>
              </w:rPr>
            </w:pPr>
            <w:r w:rsidRPr="00286216">
              <w:rPr>
                <w:color w:val="000000" w:themeColor="text1"/>
                <w:szCs w:val="18"/>
              </w:rPr>
              <w:t xml:space="preserve">Пункт 2 частини другої статті 36 Закону </w:t>
            </w:r>
            <w:r w:rsidRPr="00286216">
              <w:rPr>
                <w:color w:val="000000" w:themeColor="text1"/>
                <w:szCs w:val="18"/>
              </w:rPr>
              <w:br/>
            </w:r>
            <w:r w:rsidRPr="00286216">
              <w:rPr>
                <w:rFonts w:eastAsia="Calibri"/>
                <w:color w:val="000000" w:themeColor="text1"/>
                <w:szCs w:val="18"/>
              </w:rPr>
              <w:t>«Про ринки капіталу та організовані товарні ринки» після слів "банківського ранка" доповнити словами "</w:t>
            </w:r>
            <w:r w:rsidRPr="00286216">
              <w:rPr>
                <w:color w:val="000000" w:themeColor="text1"/>
                <w:szCs w:val="18"/>
              </w:rPr>
              <w:t>договором про участь у фонді фінансування будівництва або договором про придбання сертифікатів фонду операцій з нерухомістю".</w:t>
            </w:r>
          </w:p>
        </w:tc>
        <w:tc>
          <w:tcPr>
            <w:tcW w:w="1987" w:type="dxa"/>
          </w:tcPr>
          <w:p w14:paraId="7F6DEACD" w14:textId="77777777" w:rsidR="00C70550" w:rsidRPr="00286216" w:rsidRDefault="00C70550" w:rsidP="006A358E">
            <w:pPr>
              <w:pStyle w:val="StyleWisnow"/>
              <w:spacing w:line="180" w:lineRule="exact"/>
              <w:rPr>
                <w:color w:val="000000" w:themeColor="text1"/>
              </w:rPr>
            </w:pPr>
            <w:r w:rsidRPr="00286216">
              <w:rPr>
                <w:color w:val="000000" w:themeColor="text1"/>
              </w:rPr>
              <w:t>Відхилено</w:t>
            </w:r>
          </w:p>
          <w:p w14:paraId="36D5BEA6" w14:textId="77777777" w:rsidR="00C70550" w:rsidRPr="00286216" w:rsidRDefault="00C70550" w:rsidP="006A358E">
            <w:pPr>
              <w:pStyle w:val="StyleWisnow"/>
              <w:spacing w:line="180" w:lineRule="exact"/>
              <w:rPr>
                <w:color w:val="000000" w:themeColor="text1"/>
              </w:rPr>
            </w:pPr>
            <w:r w:rsidRPr="00286216">
              <w:rPr>
                <w:color w:val="000000" w:themeColor="text1"/>
              </w:rPr>
              <w:t>у звʼязку із зміною редакції</w:t>
            </w:r>
          </w:p>
        </w:tc>
        <w:tc>
          <w:tcPr>
            <w:tcW w:w="4818" w:type="dxa"/>
          </w:tcPr>
          <w:p w14:paraId="40FFA9AA" w14:textId="77777777" w:rsidR="00C70550" w:rsidRPr="00286216" w:rsidRDefault="00C70550" w:rsidP="006A358E">
            <w:pPr>
              <w:pStyle w:val="StyleZakonu"/>
              <w:rPr>
                <w:color w:val="000000" w:themeColor="text1"/>
                <w:sz w:val="28"/>
                <w:szCs w:val="28"/>
              </w:rPr>
            </w:pPr>
          </w:p>
        </w:tc>
      </w:tr>
      <w:tr w:rsidR="00C70550" w:rsidRPr="00286216" w14:paraId="2457B683" w14:textId="77777777" w:rsidTr="006A358E">
        <w:tc>
          <w:tcPr>
            <w:tcW w:w="576" w:type="dxa"/>
          </w:tcPr>
          <w:p w14:paraId="0994A3BB" w14:textId="77777777" w:rsidR="00C70550" w:rsidRPr="00286216" w:rsidRDefault="00C70550" w:rsidP="006A358E">
            <w:pPr>
              <w:pStyle w:val="StyleWisnow"/>
              <w:rPr>
                <w:color w:val="000000" w:themeColor="text1"/>
              </w:rPr>
            </w:pPr>
            <w:r w:rsidRPr="00286216">
              <w:rPr>
                <w:color w:val="000000" w:themeColor="text1"/>
              </w:rPr>
              <w:t>564.</w:t>
            </w:r>
          </w:p>
        </w:tc>
        <w:tc>
          <w:tcPr>
            <w:tcW w:w="4818" w:type="dxa"/>
          </w:tcPr>
          <w:p w14:paraId="2659E77F" w14:textId="77777777" w:rsidR="00C70550" w:rsidRPr="00286216" w:rsidRDefault="00C70550" w:rsidP="006A358E">
            <w:pPr>
              <w:pStyle w:val="StyleZakonu"/>
              <w:rPr>
                <w:color w:val="000000" w:themeColor="text1"/>
              </w:rPr>
            </w:pPr>
            <w:r w:rsidRPr="00286216">
              <w:rPr>
                <w:color w:val="000000" w:themeColor="text1"/>
              </w:rPr>
              <w:t xml:space="preserve">3) обов’язок сторони щодо сплати суми коштів, розмір якої змінюється залежно від значення базового показника, виникає внаслідок визначення грошового </w:t>
            </w:r>
            <w:r w:rsidRPr="00286216">
              <w:rPr>
                <w:color w:val="000000" w:themeColor="text1"/>
              </w:rPr>
              <w:lastRenderedPageBreak/>
              <w:t>еквіваленту зобов’язання в іноземній валюті та/або порушення такою стороною свого зобов’язання за таким правочином (у вигляді неустойки, відшкодування шкоди тощо), та без урахування такого обов’язку правочин не відповідає критеріям, встановленим частиною першою цієї статті.</w:t>
            </w:r>
          </w:p>
        </w:tc>
        <w:tc>
          <w:tcPr>
            <w:tcW w:w="3686" w:type="dxa"/>
          </w:tcPr>
          <w:p w14:paraId="6212AD34" w14:textId="77777777" w:rsidR="00C70550" w:rsidRPr="00286216" w:rsidRDefault="00C70550" w:rsidP="006A358E">
            <w:pPr>
              <w:pStyle w:val="StyleProp"/>
              <w:rPr>
                <w:color w:val="000000" w:themeColor="text1"/>
                <w:szCs w:val="18"/>
              </w:rPr>
            </w:pPr>
          </w:p>
        </w:tc>
        <w:tc>
          <w:tcPr>
            <w:tcW w:w="1987" w:type="dxa"/>
          </w:tcPr>
          <w:p w14:paraId="018B9B55" w14:textId="77777777" w:rsidR="00C70550" w:rsidRPr="00286216" w:rsidRDefault="00C70550" w:rsidP="006A358E">
            <w:pPr>
              <w:pStyle w:val="StyleWisnow"/>
              <w:rPr>
                <w:color w:val="000000" w:themeColor="text1"/>
              </w:rPr>
            </w:pPr>
          </w:p>
        </w:tc>
        <w:tc>
          <w:tcPr>
            <w:tcW w:w="4818" w:type="dxa"/>
          </w:tcPr>
          <w:p w14:paraId="63D2AD85" w14:textId="77777777" w:rsidR="00C70550" w:rsidRPr="00286216" w:rsidRDefault="00C70550" w:rsidP="006A358E">
            <w:pPr>
              <w:pStyle w:val="StyleZakonu"/>
              <w:rPr>
                <w:color w:val="000000" w:themeColor="text1"/>
                <w:sz w:val="28"/>
                <w:szCs w:val="28"/>
              </w:rPr>
            </w:pPr>
          </w:p>
        </w:tc>
      </w:tr>
      <w:tr w:rsidR="00C70550" w:rsidRPr="00286216" w14:paraId="2287BFD8" w14:textId="77777777" w:rsidTr="006A358E">
        <w:tc>
          <w:tcPr>
            <w:tcW w:w="576" w:type="dxa"/>
          </w:tcPr>
          <w:p w14:paraId="540193CF" w14:textId="77777777" w:rsidR="00C70550" w:rsidRPr="00286216" w:rsidRDefault="00C70550" w:rsidP="006A358E">
            <w:pPr>
              <w:pStyle w:val="StyleWisnow"/>
              <w:rPr>
                <w:color w:val="000000" w:themeColor="text1"/>
              </w:rPr>
            </w:pPr>
            <w:r w:rsidRPr="00286216">
              <w:rPr>
                <w:color w:val="000000" w:themeColor="text1"/>
              </w:rPr>
              <w:t>565.</w:t>
            </w:r>
          </w:p>
        </w:tc>
        <w:tc>
          <w:tcPr>
            <w:tcW w:w="4818" w:type="dxa"/>
          </w:tcPr>
          <w:p w14:paraId="5B904C55" w14:textId="77777777" w:rsidR="00C70550" w:rsidRPr="00286216" w:rsidRDefault="00C70550" w:rsidP="006A358E">
            <w:pPr>
              <w:pStyle w:val="StyleZakonu"/>
              <w:rPr>
                <w:color w:val="000000" w:themeColor="text1"/>
              </w:rPr>
            </w:pPr>
            <w:r w:rsidRPr="00286216">
              <w:rPr>
                <w:color w:val="000000" w:themeColor="text1"/>
              </w:rPr>
              <w:t>3. Нормативно-правовими актами Національної комісії з цінних паперів та фондового ринку може встановлюватися мінімальний строк між укладенням деривативного контракту та відчуженням базового активу та/або остаточними розрахунками за деривативним контрактом, а щодо деривативних контрактів грошового ринку - за погодженням з Національним банком України.</w:t>
            </w:r>
          </w:p>
        </w:tc>
        <w:tc>
          <w:tcPr>
            <w:tcW w:w="3686" w:type="dxa"/>
          </w:tcPr>
          <w:p w14:paraId="49CD3471" w14:textId="3C1FB990" w:rsidR="00C70550" w:rsidRPr="00286216" w:rsidRDefault="00C70550" w:rsidP="006A358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334</w:t>
            </w:r>
            <w:r w:rsidRPr="00286216">
              <w:rPr>
                <w:color w:val="000000" w:themeColor="text1"/>
              </w:rPr>
              <w:fldChar w:fldCharType="end"/>
            </w:r>
            <w:r w:rsidRPr="00286216">
              <w:rPr>
                <w:color w:val="000000" w:themeColor="text1"/>
              </w:rPr>
              <w:t>-Н.д.Шахов С.В. (Реєстр.картка №114)</w:t>
            </w:r>
          </w:p>
          <w:p w14:paraId="6061AB8A"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частину третю статті 36 доповнити новим абзацом такого змісту:</w:t>
            </w:r>
          </w:p>
          <w:p w14:paraId="1DFEBAD5" w14:textId="77777777" w:rsidR="00C70550" w:rsidRPr="00286216" w:rsidRDefault="00C70550" w:rsidP="006A358E">
            <w:pPr>
              <w:spacing w:line="200" w:lineRule="exact"/>
              <w:ind w:firstLine="227"/>
              <w:jc w:val="both"/>
              <w:rPr>
                <w:color w:val="000000" w:themeColor="text1"/>
                <w:szCs w:val="18"/>
              </w:rPr>
            </w:pPr>
            <w:r w:rsidRPr="00286216">
              <w:rPr>
                <w:color w:val="000000" w:themeColor="text1"/>
                <w:sz w:val="18"/>
              </w:rPr>
              <w:t>«Зазначене повноваження Національної комісії з цінних паперів та фондового ринку не поширюється на поставні товарні деривативи.»</w:t>
            </w:r>
          </w:p>
        </w:tc>
        <w:tc>
          <w:tcPr>
            <w:tcW w:w="1987" w:type="dxa"/>
          </w:tcPr>
          <w:p w14:paraId="50522DDB" w14:textId="77777777" w:rsidR="00C70550" w:rsidRPr="00286216" w:rsidRDefault="00C70550" w:rsidP="006A358E">
            <w:pPr>
              <w:pStyle w:val="StyleWisnow"/>
              <w:rPr>
                <w:color w:val="000000" w:themeColor="text1"/>
              </w:rPr>
            </w:pPr>
            <w:r w:rsidRPr="00286216">
              <w:rPr>
                <w:color w:val="000000" w:themeColor="text1"/>
              </w:rPr>
              <w:t>Відхилено</w:t>
            </w:r>
          </w:p>
          <w:p w14:paraId="7BB61866" w14:textId="77777777" w:rsidR="00C70550" w:rsidRPr="00286216" w:rsidRDefault="00C70550" w:rsidP="006A358E">
            <w:pPr>
              <w:pStyle w:val="StyleWisnow"/>
              <w:spacing w:line="180" w:lineRule="exact"/>
              <w:rPr>
                <w:color w:val="000000" w:themeColor="text1"/>
                <w:spacing w:val="-1"/>
              </w:rPr>
            </w:pPr>
            <w:r w:rsidRPr="00286216">
              <w:rPr>
                <w:color w:val="000000" w:themeColor="text1"/>
                <w:spacing w:val="-1"/>
              </w:rPr>
              <w:t>Регулювання фінансових інструментів, зокрема, деривативних контрактів, є виключною компетенцією НКЦПФР</w:t>
            </w:r>
          </w:p>
        </w:tc>
        <w:tc>
          <w:tcPr>
            <w:tcW w:w="4818" w:type="dxa"/>
          </w:tcPr>
          <w:p w14:paraId="13D30C33" w14:textId="77777777" w:rsidR="00C70550" w:rsidRPr="00286216" w:rsidRDefault="00C70550" w:rsidP="006A358E">
            <w:pPr>
              <w:pStyle w:val="StyleZakonu"/>
              <w:rPr>
                <w:color w:val="000000" w:themeColor="text1"/>
              </w:rPr>
            </w:pPr>
          </w:p>
        </w:tc>
      </w:tr>
      <w:tr w:rsidR="00C70550" w:rsidRPr="00286216" w14:paraId="653EF550" w14:textId="77777777" w:rsidTr="006A358E">
        <w:tc>
          <w:tcPr>
            <w:tcW w:w="576" w:type="dxa"/>
          </w:tcPr>
          <w:p w14:paraId="4CD7879A" w14:textId="77777777" w:rsidR="00C70550" w:rsidRPr="00286216" w:rsidRDefault="00C70550" w:rsidP="006A358E">
            <w:pPr>
              <w:pStyle w:val="StyleWisnow"/>
              <w:rPr>
                <w:color w:val="000000" w:themeColor="text1"/>
              </w:rPr>
            </w:pPr>
            <w:r w:rsidRPr="00286216">
              <w:rPr>
                <w:color w:val="000000" w:themeColor="text1"/>
              </w:rPr>
              <w:t>566.</w:t>
            </w:r>
          </w:p>
        </w:tc>
        <w:tc>
          <w:tcPr>
            <w:tcW w:w="4818" w:type="dxa"/>
          </w:tcPr>
          <w:p w14:paraId="0379F963" w14:textId="77777777" w:rsidR="00C70550" w:rsidRPr="00286216" w:rsidRDefault="00C70550" w:rsidP="006A358E">
            <w:pPr>
              <w:pStyle w:val="StyleZakonu"/>
              <w:rPr>
                <w:color w:val="000000" w:themeColor="text1"/>
              </w:rPr>
            </w:pPr>
            <w:r w:rsidRPr="00286216">
              <w:rPr>
                <w:color w:val="000000" w:themeColor="text1"/>
              </w:rPr>
              <w:t>4. Правовідносини, що виникають у зв’язку з укладанням і виконанням деривативних контрактів та вчиненням правочинів щодо них, не є страхуванням та не належать до азартних ігор.</w:t>
            </w:r>
          </w:p>
        </w:tc>
        <w:tc>
          <w:tcPr>
            <w:tcW w:w="3686" w:type="dxa"/>
          </w:tcPr>
          <w:p w14:paraId="796107A7" w14:textId="3ACA7C50" w:rsidR="00C70550" w:rsidRPr="00286216" w:rsidRDefault="00C70550" w:rsidP="006A358E">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335</w:t>
            </w:r>
            <w:r w:rsidRPr="00286216">
              <w:rPr>
                <w:color w:val="000000" w:themeColor="text1"/>
                <w:spacing w:val="-10"/>
              </w:rPr>
              <w:fldChar w:fldCharType="end"/>
            </w:r>
            <w:r w:rsidRPr="00286216">
              <w:rPr>
                <w:color w:val="000000" w:themeColor="text1"/>
                <w:spacing w:val="-10"/>
              </w:rPr>
              <w:t>-Н.д.Гетманцев Д.О.(Реєстр.картка №245)</w:t>
            </w:r>
          </w:p>
          <w:p w14:paraId="1A6F96D1" w14:textId="77777777" w:rsidR="00C70550" w:rsidRPr="00286216" w:rsidRDefault="00C70550" w:rsidP="006A358E">
            <w:pPr>
              <w:pStyle w:val="StyleProp"/>
              <w:rPr>
                <w:color w:val="000000" w:themeColor="text1"/>
              </w:rPr>
            </w:pPr>
            <w:r w:rsidRPr="00286216">
              <w:rPr>
                <w:color w:val="000000" w:themeColor="text1"/>
              </w:rPr>
              <w:t>В частині четвертій статті 36 слова «та не належать до азартних ігор» виключити</w:t>
            </w:r>
          </w:p>
        </w:tc>
        <w:tc>
          <w:tcPr>
            <w:tcW w:w="1987" w:type="dxa"/>
          </w:tcPr>
          <w:p w14:paraId="45F9A139"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p w14:paraId="14AAE49F" w14:textId="77777777" w:rsidR="00C70550" w:rsidRPr="00286216" w:rsidRDefault="00C70550" w:rsidP="006A358E">
            <w:pPr>
              <w:pStyle w:val="StyleWisnow"/>
              <w:spacing w:line="180" w:lineRule="exact"/>
              <w:rPr>
                <w:color w:val="000000" w:themeColor="text1"/>
                <w:spacing w:val="-2"/>
              </w:rPr>
            </w:pPr>
            <w:r w:rsidRPr="00286216">
              <w:rPr>
                <w:color w:val="000000" w:themeColor="text1"/>
              </w:rPr>
              <w:t>у запропонованій редакції цієї статті</w:t>
            </w:r>
          </w:p>
        </w:tc>
        <w:tc>
          <w:tcPr>
            <w:tcW w:w="4818" w:type="dxa"/>
          </w:tcPr>
          <w:p w14:paraId="7B11643A" w14:textId="77777777" w:rsidR="00C70550" w:rsidRPr="00286216" w:rsidRDefault="00C70550" w:rsidP="006A358E">
            <w:pPr>
              <w:pStyle w:val="StyleZakonu"/>
              <w:rPr>
                <w:color w:val="000000" w:themeColor="text1"/>
              </w:rPr>
            </w:pPr>
          </w:p>
        </w:tc>
      </w:tr>
      <w:tr w:rsidR="00C70550" w:rsidRPr="00286216" w14:paraId="712A10FF" w14:textId="77777777" w:rsidTr="006A358E">
        <w:tc>
          <w:tcPr>
            <w:tcW w:w="576" w:type="dxa"/>
          </w:tcPr>
          <w:p w14:paraId="3B55DBCC" w14:textId="77777777" w:rsidR="00C70550" w:rsidRPr="00286216" w:rsidRDefault="00C70550" w:rsidP="006A358E">
            <w:pPr>
              <w:pStyle w:val="StyleWisnow"/>
              <w:rPr>
                <w:color w:val="000000" w:themeColor="text1"/>
              </w:rPr>
            </w:pPr>
            <w:r w:rsidRPr="00286216">
              <w:rPr>
                <w:color w:val="000000" w:themeColor="text1"/>
              </w:rPr>
              <w:t>567.</w:t>
            </w:r>
          </w:p>
        </w:tc>
        <w:tc>
          <w:tcPr>
            <w:tcW w:w="4818" w:type="dxa"/>
          </w:tcPr>
          <w:p w14:paraId="67DE03DD" w14:textId="77777777" w:rsidR="00C70550" w:rsidRPr="00286216" w:rsidRDefault="00C70550" w:rsidP="006A358E">
            <w:pPr>
              <w:pStyle w:val="StyleZakonu"/>
              <w:rPr>
                <w:color w:val="000000" w:themeColor="text1"/>
              </w:rPr>
            </w:pPr>
            <w:r w:rsidRPr="00286216">
              <w:rPr>
                <w:color w:val="000000" w:themeColor="text1"/>
              </w:rPr>
              <w:t>Стаття 37. Базовий актив та базовий показник</w:t>
            </w:r>
          </w:p>
        </w:tc>
        <w:tc>
          <w:tcPr>
            <w:tcW w:w="3686" w:type="dxa"/>
          </w:tcPr>
          <w:p w14:paraId="4B471E8F" w14:textId="77777777" w:rsidR="00C70550" w:rsidRPr="00286216" w:rsidRDefault="00C70550" w:rsidP="006A358E">
            <w:pPr>
              <w:pStyle w:val="StyleProp"/>
              <w:rPr>
                <w:color w:val="000000" w:themeColor="text1"/>
                <w:szCs w:val="18"/>
              </w:rPr>
            </w:pPr>
          </w:p>
        </w:tc>
        <w:tc>
          <w:tcPr>
            <w:tcW w:w="1987" w:type="dxa"/>
          </w:tcPr>
          <w:p w14:paraId="026C35A9" w14:textId="77777777" w:rsidR="00C70550" w:rsidRPr="00286216" w:rsidRDefault="00C70550" w:rsidP="006A358E">
            <w:pPr>
              <w:pStyle w:val="StyleWisnow"/>
              <w:rPr>
                <w:color w:val="000000" w:themeColor="text1"/>
              </w:rPr>
            </w:pPr>
          </w:p>
        </w:tc>
        <w:tc>
          <w:tcPr>
            <w:tcW w:w="4818" w:type="dxa"/>
          </w:tcPr>
          <w:p w14:paraId="0C53427B" w14:textId="77777777" w:rsidR="00C70550" w:rsidRPr="00286216" w:rsidRDefault="00C70550" w:rsidP="006A358E">
            <w:pPr>
              <w:pStyle w:val="StyleZakonu"/>
              <w:rPr>
                <w:color w:val="000000" w:themeColor="text1"/>
              </w:rPr>
            </w:pPr>
            <w:r w:rsidRPr="00286216">
              <w:rPr>
                <w:color w:val="000000" w:themeColor="text1"/>
              </w:rPr>
              <w:t>Стаття 32. Базовий актив та базовий показник</w:t>
            </w:r>
          </w:p>
        </w:tc>
      </w:tr>
      <w:tr w:rsidR="00C70550" w:rsidRPr="00286216" w14:paraId="1F941720" w14:textId="77777777" w:rsidTr="006A358E">
        <w:tc>
          <w:tcPr>
            <w:tcW w:w="576" w:type="dxa"/>
          </w:tcPr>
          <w:p w14:paraId="75DAECD4" w14:textId="77777777" w:rsidR="00C70550" w:rsidRPr="00286216" w:rsidRDefault="00C70550" w:rsidP="006A358E">
            <w:pPr>
              <w:pStyle w:val="StyleWisnow"/>
              <w:rPr>
                <w:color w:val="000000" w:themeColor="text1"/>
              </w:rPr>
            </w:pPr>
            <w:r w:rsidRPr="00286216">
              <w:rPr>
                <w:color w:val="000000" w:themeColor="text1"/>
              </w:rPr>
              <w:t>568.</w:t>
            </w:r>
          </w:p>
        </w:tc>
        <w:tc>
          <w:tcPr>
            <w:tcW w:w="4818" w:type="dxa"/>
          </w:tcPr>
          <w:p w14:paraId="6ABC68CA" w14:textId="77777777" w:rsidR="00C70550" w:rsidRPr="00286216" w:rsidRDefault="00C70550" w:rsidP="006A358E">
            <w:pPr>
              <w:pStyle w:val="StyleZakonu"/>
              <w:rPr>
                <w:color w:val="000000" w:themeColor="text1"/>
              </w:rPr>
            </w:pPr>
            <w:r w:rsidRPr="00286216">
              <w:rPr>
                <w:color w:val="000000" w:themeColor="text1"/>
              </w:rPr>
              <w:t>1. Базовий актив деривативного контракту (далі - базовий актив) -продукція, емісійні цінні папери (у тому числі іноземних емітентів) та інші фінансові інструменти, валюта України, іноземна валюта, банківські метали, право грошової вимоги, інше майно, роботи, послуги, що мають грошовий вираз вартості, які визначаються базовим активом у нормативно-правових актах Національної комісії з цінних паперів та фондового ринку.</w:t>
            </w:r>
          </w:p>
        </w:tc>
        <w:tc>
          <w:tcPr>
            <w:tcW w:w="3686" w:type="dxa"/>
          </w:tcPr>
          <w:p w14:paraId="590CFD40" w14:textId="4ED0DA75" w:rsidR="00C70550" w:rsidRPr="00286216" w:rsidRDefault="00C70550" w:rsidP="006A358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336</w:t>
            </w:r>
            <w:r w:rsidRPr="00286216">
              <w:rPr>
                <w:color w:val="000000" w:themeColor="text1"/>
                <w:spacing w:val="-4"/>
              </w:rPr>
              <w:fldChar w:fldCharType="end"/>
            </w:r>
            <w:r w:rsidRPr="00286216">
              <w:rPr>
                <w:color w:val="000000" w:themeColor="text1"/>
                <w:spacing w:val="-4"/>
              </w:rPr>
              <w:t>-Н.д.Бєлькова О.В. (Реєстр.картка №403)</w:t>
            </w:r>
          </w:p>
          <w:p w14:paraId="625C615B" w14:textId="77777777" w:rsidR="00C70550" w:rsidRPr="00286216" w:rsidRDefault="00C70550" w:rsidP="00E33D71">
            <w:pPr>
              <w:pStyle w:val="StyleProp"/>
              <w:spacing w:line="180" w:lineRule="exact"/>
              <w:rPr>
                <w:color w:val="000000" w:themeColor="text1"/>
              </w:rPr>
            </w:pPr>
            <w:r w:rsidRPr="00286216">
              <w:rPr>
                <w:color w:val="000000" w:themeColor="text1"/>
              </w:rPr>
              <w:t>Абзац перший частини першої статті 37 доповнити словами "та нормативно-правових актах Національного банку України щодо деривативів грошового ринку в межах компетенції, визначеної цим Законом".</w:t>
            </w:r>
          </w:p>
          <w:p w14:paraId="0D0FC97C" w14:textId="3306C9D6"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337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1B16354"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Частину першу статті 37 викласти в такій редакції:</w:t>
            </w:r>
          </w:p>
          <w:p w14:paraId="7D3C59B7"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 Базовий актив деривативного контракту (далі – базовий актив) – емісійні цінні папери (у тому числі іноземних емітентів), інші фінансові інструменти, валютні цінності, продукція, інше майно, які визначаються базовим активом у нормативно-правових актах Національної комісії з цінних паперів та фондового ринку та/або нормативно-правових актах Національного банку України.</w:t>
            </w:r>
          </w:p>
          <w:p w14:paraId="0F4AB74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Базовим активом не можуть бути об’єкти, вилучені з цивільного обороту. </w:t>
            </w:r>
          </w:p>
          <w:p w14:paraId="40659A39"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Якщо базовим активом є обмежено оборотоздатний об’єкт цивільних прав, сторонами деривативного контракту можуть бути виключно особи, яким може належати такий базовий актив».</w:t>
            </w:r>
          </w:p>
        </w:tc>
        <w:tc>
          <w:tcPr>
            <w:tcW w:w="1987" w:type="dxa"/>
          </w:tcPr>
          <w:p w14:paraId="14DA537A" w14:textId="77777777" w:rsidR="00C70550" w:rsidRPr="00286216" w:rsidRDefault="00C70550" w:rsidP="006A358E">
            <w:pPr>
              <w:pStyle w:val="StyleWisnow"/>
              <w:rPr>
                <w:color w:val="000000" w:themeColor="text1"/>
              </w:rPr>
            </w:pPr>
            <w:r w:rsidRPr="00286216">
              <w:rPr>
                <w:color w:val="000000" w:themeColor="text1"/>
              </w:rPr>
              <w:t>Враховано</w:t>
            </w:r>
          </w:p>
          <w:p w14:paraId="16C12FD6" w14:textId="77777777" w:rsidR="00C70550" w:rsidRPr="00286216" w:rsidRDefault="00C70550" w:rsidP="006A358E">
            <w:pPr>
              <w:pStyle w:val="StyleWisnow"/>
              <w:rPr>
                <w:color w:val="000000" w:themeColor="text1"/>
              </w:rPr>
            </w:pPr>
          </w:p>
          <w:p w14:paraId="0C54E748" w14:textId="77777777" w:rsidR="00C70550" w:rsidRPr="00286216" w:rsidRDefault="00C70550" w:rsidP="006A358E">
            <w:pPr>
              <w:pStyle w:val="StyleWisnow"/>
              <w:rPr>
                <w:color w:val="000000" w:themeColor="text1"/>
              </w:rPr>
            </w:pPr>
          </w:p>
          <w:p w14:paraId="30397406" w14:textId="77777777" w:rsidR="00C70550" w:rsidRPr="00286216" w:rsidRDefault="00C70550" w:rsidP="006A358E">
            <w:pPr>
              <w:pStyle w:val="StyleWisnow"/>
              <w:rPr>
                <w:color w:val="000000" w:themeColor="text1"/>
              </w:rPr>
            </w:pPr>
          </w:p>
          <w:p w14:paraId="2724CCDE" w14:textId="77777777" w:rsidR="00C70550" w:rsidRPr="00286216" w:rsidRDefault="00C70550" w:rsidP="006A358E">
            <w:pPr>
              <w:pStyle w:val="StyleWisnow"/>
              <w:rPr>
                <w:color w:val="000000" w:themeColor="text1"/>
              </w:rPr>
            </w:pPr>
          </w:p>
          <w:p w14:paraId="49D42D73" w14:textId="77777777" w:rsidR="00C70550" w:rsidRPr="00286216" w:rsidRDefault="00C70550" w:rsidP="006A358E">
            <w:pPr>
              <w:pStyle w:val="StyleWisnow"/>
              <w:rPr>
                <w:color w:val="000000" w:themeColor="text1"/>
              </w:rPr>
            </w:pPr>
          </w:p>
          <w:p w14:paraId="682C84D5"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0EF0D76B" w14:textId="77777777" w:rsidR="00C70550" w:rsidRPr="00286216" w:rsidRDefault="00C70550" w:rsidP="006A358E">
            <w:pPr>
              <w:pStyle w:val="StyleZakonu"/>
              <w:rPr>
                <w:color w:val="000000" w:themeColor="text1"/>
              </w:rPr>
            </w:pPr>
            <w:r w:rsidRPr="00286216">
              <w:rPr>
                <w:color w:val="000000" w:themeColor="text1"/>
              </w:rPr>
              <w:t>1. Базовий актив деривативного контракту (далі – базовий актив) – це емісійні цінні папери (у тому числі іноземних емітентів), інші фінансові інструменти, валютні цінності, продукція, роботи, послуги, що мають грошовий вираз вартості.</w:t>
            </w:r>
          </w:p>
          <w:p w14:paraId="4884D6E6" w14:textId="77777777" w:rsidR="00C70550" w:rsidRPr="00286216" w:rsidRDefault="00C70550" w:rsidP="006A358E">
            <w:pPr>
              <w:pStyle w:val="StyleZakonu"/>
              <w:rPr>
                <w:color w:val="000000" w:themeColor="text1"/>
              </w:rPr>
            </w:pPr>
            <w:r w:rsidRPr="00286216">
              <w:rPr>
                <w:color w:val="000000" w:themeColor="text1"/>
              </w:rPr>
              <w:t>Інше майно визначається базовим активом відповідно до нормативно-правових актів Національної комісії з цінних паперів та фондового ринку та нормативно-правових актів Національного банку України – щодо деривативів грошового ринку в межах компетенції, визначеної цим Законом.</w:t>
            </w:r>
          </w:p>
          <w:p w14:paraId="2B3503C8" w14:textId="77777777" w:rsidR="00C70550" w:rsidRPr="00286216" w:rsidRDefault="00C70550" w:rsidP="006A358E">
            <w:pPr>
              <w:pStyle w:val="StyleZakonu"/>
              <w:rPr>
                <w:color w:val="000000" w:themeColor="text1"/>
              </w:rPr>
            </w:pPr>
            <w:r w:rsidRPr="00286216">
              <w:rPr>
                <w:color w:val="000000" w:themeColor="text1"/>
              </w:rPr>
              <w:t xml:space="preserve">Базовим активом не можуть бути об’єкти, вилучені з цивільного обороту. </w:t>
            </w:r>
          </w:p>
          <w:p w14:paraId="2BDEDB69" w14:textId="77777777" w:rsidR="00C70550" w:rsidRPr="00286216" w:rsidRDefault="00C70550" w:rsidP="006A358E">
            <w:pPr>
              <w:pStyle w:val="StyleZakonu"/>
              <w:rPr>
                <w:color w:val="000000" w:themeColor="text1"/>
              </w:rPr>
            </w:pPr>
            <w:r w:rsidRPr="00286216">
              <w:rPr>
                <w:color w:val="000000" w:themeColor="text1"/>
              </w:rPr>
              <w:t>Якщо базовим активом є обмежено оборотоздатний об’єкт цивільних прав, сторонами поставного або змішаного деривативного контракту можуть бути виключно особи, яким може належати такий базовий актив.</w:t>
            </w:r>
          </w:p>
        </w:tc>
      </w:tr>
      <w:tr w:rsidR="00C70550" w:rsidRPr="00286216" w14:paraId="17D91EBA" w14:textId="77777777" w:rsidTr="006A358E">
        <w:tc>
          <w:tcPr>
            <w:tcW w:w="576" w:type="dxa"/>
          </w:tcPr>
          <w:p w14:paraId="0F47E126" w14:textId="77777777" w:rsidR="00C70550" w:rsidRPr="00286216" w:rsidRDefault="00C70550" w:rsidP="006A358E">
            <w:pPr>
              <w:pStyle w:val="StyleWisnow"/>
              <w:rPr>
                <w:color w:val="000000" w:themeColor="text1"/>
              </w:rPr>
            </w:pPr>
            <w:r w:rsidRPr="00286216">
              <w:rPr>
                <w:color w:val="000000" w:themeColor="text1"/>
              </w:rPr>
              <w:t>569.</w:t>
            </w:r>
          </w:p>
        </w:tc>
        <w:tc>
          <w:tcPr>
            <w:tcW w:w="4818" w:type="dxa"/>
          </w:tcPr>
          <w:p w14:paraId="53951CF6" w14:textId="77777777" w:rsidR="00C70550" w:rsidRPr="00286216" w:rsidRDefault="00C70550" w:rsidP="006A358E">
            <w:pPr>
              <w:pStyle w:val="StyleZakonu"/>
              <w:rPr>
                <w:color w:val="000000" w:themeColor="text1"/>
              </w:rPr>
            </w:pPr>
            <w:r w:rsidRPr="00286216">
              <w:rPr>
                <w:color w:val="000000" w:themeColor="text1"/>
              </w:rPr>
              <w:t xml:space="preserve">У разі якщо базовим активом деривативного контракту є інший деривативний контракт, відчуженням (продажом) та прийняттям (купівлею) такого базового активу вважається укладення </w:t>
            </w:r>
            <w:r w:rsidRPr="00286216">
              <w:rPr>
                <w:color w:val="000000" w:themeColor="text1"/>
              </w:rPr>
              <w:lastRenderedPageBreak/>
              <w:t>деривативного контракту, який є базовим активом.</w:t>
            </w:r>
          </w:p>
        </w:tc>
        <w:tc>
          <w:tcPr>
            <w:tcW w:w="3686" w:type="dxa"/>
          </w:tcPr>
          <w:p w14:paraId="1A84DF03" w14:textId="2E713CEA" w:rsidR="00C70550" w:rsidRPr="00286216" w:rsidRDefault="00C70550" w:rsidP="006A358E">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338</w:t>
            </w:r>
            <w:r w:rsidRPr="00286216">
              <w:rPr>
                <w:color w:val="000000" w:themeColor="text1"/>
              </w:rPr>
              <w:fldChar w:fldCharType="end"/>
            </w:r>
            <w:r w:rsidRPr="00286216">
              <w:rPr>
                <w:color w:val="000000" w:themeColor="text1"/>
              </w:rPr>
              <w:t>-Н.д.Шахов С.В. (Реєстр.картка №114)</w:t>
            </w:r>
          </w:p>
          <w:p w14:paraId="766C412A" w14:textId="77777777" w:rsidR="00C70550" w:rsidRPr="00286216" w:rsidRDefault="00C70550" w:rsidP="006A358E">
            <w:pPr>
              <w:pStyle w:val="StyleProp"/>
              <w:spacing w:line="180" w:lineRule="exact"/>
              <w:rPr>
                <w:color w:val="000000" w:themeColor="text1"/>
              </w:rPr>
            </w:pPr>
            <w:r w:rsidRPr="00286216">
              <w:rPr>
                <w:color w:val="000000" w:themeColor="text1"/>
              </w:rPr>
              <w:t>у статті 37 частину першу викласти у такій редакції:</w:t>
            </w:r>
          </w:p>
          <w:p w14:paraId="320CE89C"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"1. Базовий актив деривативного </w:t>
            </w:r>
            <w:r w:rsidRPr="00286216">
              <w:rPr>
                <w:color w:val="000000" w:themeColor="text1"/>
              </w:rPr>
              <w:lastRenderedPageBreak/>
              <w:t>контракту (далі – базовий актив) – продукція, емісійні цінні папери (у тому числі іноземних емітентів) та інші фінансові інструменти, валюта України, іноземна валюта, банківські метали, право грошової вимоги, інше майно, роботи, послуги, що мають грошовий вираз вартості, які визначаються базовим активом у правилах оператора відповідного ринку деривативних контрактів чи у деривативному контракті (або в описі деривативного контракту чи в генеральній угоді), укладеному його сторонами поза організованого ринку капіталу.</w:t>
            </w:r>
          </w:p>
          <w:p w14:paraId="3444885B"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У разі якщо базовим активом деривативного контракту є інший деривативний контракт, відчуженням (продажом) та прийняттям (купівлею) такого базового активу вважається укладення деривативного контракту, який є базовим активом. </w:t>
            </w:r>
          </w:p>
          <w:p w14:paraId="442FE32D"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Базовим активом не можуть бути об’єкти, вилучені з цивільного обороту. </w:t>
            </w:r>
          </w:p>
          <w:p w14:paraId="7C2B0033" w14:textId="77777777" w:rsidR="00C70550" w:rsidRPr="00286216" w:rsidRDefault="00C70550" w:rsidP="006A358E">
            <w:pPr>
              <w:pStyle w:val="StyleProp"/>
              <w:spacing w:line="180" w:lineRule="exact"/>
              <w:rPr>
                <w:color w:val="000000" w:themeColor="text1"/>
              </w:rPr>
            </w:pPr>
            <w:r w:rsidRPr="00286216">
              <w:rPr>
                <w:color w:val="000000" w:themeColor="text1"/>
              </w:rPr>
              <w:t>Якщо умовами деривативного контракту передбачається відчуження базового активу (незалежно від наявності умови щодо заміни відчуження грошовими розрахунками між сторонами), який є обмежено оборотоздатним об’єктом цивільних прав, сторонами такого деривативного контракту можуть бути виключно особи, яким може належати такий базовий актив".</w:t>
            </w:r>
          </w:p>
        </w:tc>
        <w:tc>
          <w:tcPr>
            <w:tcW w:w="1987" w:type="dxa"/>
          </w:tcPr>
          <w:p w14:paraId="18B38FFA" w14:textId="77777777" w:rsidR="00C70550" w:rsidRPr="00286216" w:rsidRDefault="00C70550" w:rsidP="006A358E">
            <w:pPr>
              <w:pStyle w:val="StyleWisnow"/>
              <w:rPr>
                <w:color w:val="000000" w:themeColor="text1"/>
              </w:rPr>
            </w:pPr>
            <w:r w:rsidRPr="00286216">
              <w:rPr>
                <w:color w:val="000000" w:themeColor="text1"/>
              </w:rPr>
              <w:lastRenderedPageBreak/>
              <w:t>Враховано по суті</w:t>
            </w:r>
          </w:p>
        </w:tc>
        <w:tc>
          <w:tcPr>
            <w:tcW w:w="4818" w:type="dxa"/>
          </w:tcPr>
          <w:p w14:paraId="3BA72F94" w14:textId="77777777" w:rsidR="00C70550" w:rsidRPr="00286216" w:rsidRDefault="00C70550" w:rsidP="006A358E">
            <w:pPr>
              <w:pStyle w:val="StyleZakonu"/>
              <w:rPr>
                <w:color w:val="000000" w:themeColor="text1"/>
              </w:rPr>
            </w:pPr>
            <w:r w:rsidRPr="00286216">
              <w:rPr>
                <w:color w:val="000000" w:themeColor="text1"/>
              </w:rPr>
              <w:t xml:space="preserve">У разі якщо базовим активом деривативного контракту є інший деривативний контракт, відчуженням (продажом) та прийняттям (купівлею) такого базового активу вважається укладення </w:t>
            </w:r>
            <w:r w:rsidRPr="00286216">
              <w:rPr>
                <w:color w:val="000000" w:themeColor="text1"/>
              </w:rPr>
              <w:lastRenderedPageBreak/>
              <w:t>деривативного контракту, який є базовим активом.</w:t>
            </w:r>
          </w:p>
        </w:tc>
      </w:tr>
      <w:tr w:rsidR="00C70550" w:rsidRPr="00286216" w14:paraId="2DA0D9E1" w14:textId="77777777" w:rsidTr="006A358E">
        <w:tc>
          <w:tcPr>
            <w:tcW w:w="576" w:type="dxa"/>
          </w:tcPr>
          <w:p w14:paraId="7F7C96DD" w14:textId="77777777" w:rsidR="00C70550" w:rsidRPr="00286216" w:rsidRDefault="00C70550" w:rsidP="006A358E">
            <w:pPr>
              <w:pStyle w:val="StyleWisnow"/>
              <w:rPr>
                <w:color w:val="000000" w:themeColor="text1"/>
              </w:rPr>
            </w:pPr>
            <w:r w:rsidRPr="00286216">
              <w:rPr>
                <w:color w:val="000000" w:themeColor="text1"/>
              </w:rPr>
              <w:lastRenderedPageBreak/>
              <w:t>570.</w:t>
            </w:r>
          </w:p>
        </w:tc>
        <w:tc>
          <w:tcPr>
            <w:tcW w:w="4818" w:type="dxa"/>
          </w:tcPr>
          <w:p w14:paraId="69B49F8F" w14:textId="77777777" w:rsidR="00C70550" w:rsidRPr="00286216" w:rsidRDefault="00C70550" w:rsidP="006A358E">
            <w:pPr>
              <w:pStyle w:val="StyleZakonu"/>
              <w:rPr>
                <w:color w:val="000000" w:themeColor="text1"/>
              </w:rPr>
            </w:pPr>
            <w:r w:rsidRPr="00286216">
              <w:rPr>
                <w:color w:val="000000" w:themeColor="text1"/>
              </w:rPr>
              <w:t>Базовим активом не можуть бути об’єкти, вилучені з цивільного обороту.</w:t>
            </w:r>
          </w:p>
        </w:tc>
        <w:tc>
          <w:tcPr>
            <w:tcW w:w="3686" w:type="dxa"/>
          </w:tcPr>
          <w:p w14:paraId="515A13C7" w14:textId="77777777" w:rsidR="00C70550" w:rsidRPr="00286216" w:rsidRDefault="00C70550" w:rsidP="006A358E">
            <w:pPr>
              <w:pStyle w:val="StyleProp"/>
              <w:rPr>
                <w:color w:val="000000" w:themeColor="text1"/>
                <w:szCs w:val="18"/>
              </w:rPr>
            </w:pPr>
          </w:p>
        </w:tc>
        <w:tc>
          <w:tcPr>
            <w:tcW w:w="1987" w:type="dxa"/>
          </w:tcPr>
          <w:p w14:paraId="07B5A98A" w14:textId="77777777" w:rsidR="00C70550" w:rsidRPr="00286216" w:rsidRDefault="00C70550" w:rsidP="006A358E">
            <w:pPr>
              <w:pStyle w:val="StyleWisnow"/>
              <w:rPr>
                <w:color w:val="000000" w:themeColor="text1"/>
              </w:rPr>
            </w:pPr>
          </w:p>
        </w:tc>
        <w:tc>
          <w:tcPr>
            <w:tcW w:w="4818" w:type="dxa"/>
          </w:tcPr>
          <w:p w14:paraId="5F35CA5A" w14:textId="77777777" w:rsidR="00C70550" w:rsidRPr="00286216" w:rsidRDefault="00C70550" w:rsidP="006A358E">
            <w:pPr>
              <w:pStyle w:val="StyleZakonu"/>
              <w:rPr>
                <w:color w:val="000000" w:themeColor="text1"/>
              </w:rPr>
            </w:pPr>
          </w:p>
        </w:tc>
      </w:tr>
      <w:tr w:rsidR="00C70550" w:rsidRPr="00286216" w14:paraId="34B3625C" w14:textId="77777777" w:rsidTr="006A358E">
        <w:tc>
          <w:tcPr>
            <w:tcW w:w="576" w:type="dxa"/>
          </w:tcPr>
          <w:p w14:paraId="0ED357E5" w14:textId="77777777" w:rsidR="00C70550" w:rsidRPr="00286216" w:rsidRDefault="00C70550" w:rsidP="006A358E">
            <w:pPr>
              <w:pStyle w:val="StyleWisnow"/>
              <w:rPr>
                <w:color w:val="000000" w:themeColor="text1"/>
              </w:rPr>
            </w:pPr>
            <w:r w:rsidRPr="00286216">
              <w:rPr>
                <w:color w:val="000000" w:themeColor="text1"/>
              </w:rPr>
              <w:t>571.</w:t>
            </w:r>
          </w:p>
        </w:tc>
        <w:tc>
          <w:tcPr>
            <w:tcW w:w="4818" w:type="dxa"/>
          </w:tcPr>
          <w:p w14:paraId="5CDFA6C9" w14:textId="77777777" w:rsidR="00C70550" w:rsidRPr="00286216" w:rsidRDefault="00C70550" w:rsidP="006A358E">
            <w:pPr>
              <w:pStyle w:val="StyleZakonu"/>
              <w:rPr>
                <w:color w:val="000000" w:themeColor="text1"/>
              </w:rPr>
            </w:pPr>
            <w:r w:rsidRPr="00286216">
              <w:rPr>
                <w:color w:val="000000" w:themeColor="text1"/>
              </w:rPr>
              <w:t>Якщо умовами деривативного контракту передбачається відчуження базового активу (незалежно від наявності умови щодо заміни відчуження грошовими розрахунками між сторонами), який є обмежено оборотоздатним об’єктом цивільних прав, сторонами такого деривативного контракту можуть бути виключно особи, яким може належати такий базовий актив.</w:t>
            </w:r>
          </w:p>
        </w:tc>
        <w:tc>
          <w:tcPr>
            <w:tcW w:w="3686" w:type="dxa"/>
          </w:tcPr>
          <w:p w14:paraId="0B0E4883" w14:textId="77777777" w:rsidR="00C70550" w:rsidRPr="00286216" w:rsidRDefault="00C70550" w:rsidP="006A358E">
            <w:pPr>
              <w:pStyle w:val="StyleProp"/>
              <w:rPr>
                <w:color w:val="000000" w:themeColor="text1"/>
                <w:szCs w:val="18"/>
              </w:rPr>
            </w:pPr>
          </w:p>
        </w:tc>
        <w:tc>
          <w:tcPr>
            <w:tcW w:w="1987" w:type="dxa"/>
          </w:tcPr>
          <w:p w14:paraId="3E0074C0" w14:textId="77777777" w:rsidR="00C70550" w:rsidRPr="00286216" w:rsidRDefault="00C70550" w:rsidP="006A358E">
            <w:pPr>
              <w:pStyle w:val="StyleWisnow"/>
              <w:rPr>
                <w:color w:val="000000" w:themeColor="text1"/>
              </w:rPr>
            </w:pPr>
          </w:p>
        </w:tc>
        <w:tc>
          <w:tcPr>
            <w:tcW w:w="4818" w:type="dxa"/>
          </w:tcPr>
          <w:p w14:paraId="328BB534" w14:textId="77777777" w:rsidR="00C70550" w:rsidRPr="00286216" w:rsidRDefault="00C70550" w:rsidP="006A358E">
            <w:pPr>
              <w:pStyle w:val="StyleZakonu"/>
              <w:rPr>
                <w:color w:val="000000" w:themeColor="text1"/>
              </w:rPr>
            </w:pPr>
          </w:p>
        </w:tc>
      </w:tr>
      <w:tr w:rsidR="00C70550" w:rsidRPr="00286216" w14:paraId="6EC41797" w14:textId="77777777" w:rsidTr="006A358E">
        <w:tc>
          <w:tcPr>
            <w:tcW w:w="576" w:type="dxa"/>
          </w:tcPr>
          <w:p w14:paraId="60D12E6C" w14:textId="77777777" w:rsidR="00C70550" w:rsidRPr="00286216" w:rsidRDefault="00C70550" w:rsidP="006A358E">
            <w:pPr>
              <w:pStyle w:val="StyleWisnow"/>
              <w:rPr>
                <w:color w:val="000000" w:themeColor="text1"/>
              </w:rPr>
            </w:pPr>
            <w:r w:rsidRPr="00286216">
              <w:rPr>
                <w:color w:val="000000" w:themeColor="text1"/>
              </w:rPr>
              <w:t>572.</w:t>
            </w:r>
          </w:p>
        </w:tc>
        <w:tc>
          <w:tcPr>
            <w:tcW w:w="4818" w:type="dxa"/>
          </w:tcPr>
          <w:p w14:paraId="53EEDE9E" w14:textId="77777777" w:rsidR="00C70550" w:rsidRPr="00286216" w:rsidRDefault="00C70550" w:rsidP="006A358E">
            <w:pPr>
              <w:pStyle w:val="StyleZakonu"/>
              <w:rPr>
                <w:color w:val="000000" w:themeColor="text1"/>
              </w:rPr>
            </w:pPr>
            <w:r w:rsidRPr="00286216">
              <w:rPr>
                <w:color w:val="000000" w:themeColor="text1"/>
              </w:rPr>
              <w:t xml:space="preserve">2. Базовий показник деривативного контракту (далі - базовий показник) -ціна базового активу (в тому числі курс відповідної валюти), ціна послуги (роботи), процентна ставка, індекс, настання події, розмір фактичного виконання за правом грошової вимоги, показники статистичної інформації (що визначаються незалежно від сторін деривативного контракту та є публічно-доступними), фізичні, біологічні, хімічні показники стану навколишнього природного середовища, інші показники, що </w:t>
            </w:r>
            <w:r w:rsidRPr="00286216">
              <w:rPr>
                <w:color w:val="000000" w:themeColor="text1"/>
              </w:rPr>
              <w:lastRenderedPageBreak/>
              <w:t>визнаються базовими показниками у нормативно-правових актах Національної комісії з цінних паперів та фондового ринку.</w:t>
            </w:r>
          </w:p>
        </w:tc>
        <w:tc>
          <w:tcPr>
            <w:tcW w:w="3686" w:type="dxa"/>
          </w:tcPr>
          <w:p w14:paraId="0DDF3722" w14:textId="6BED1B5B" w:rsidR="00C70550" w:rsidRPr="00286216" w:rsidRDefault="00C70550" w:rsidP="006A358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752BDC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Частину другу статті 37 викласти в такій редакції:</w:t>
            </w:r>
          </w:p>
          <w:p w14:paraId="4C46B456"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«2. Базовий показник деривативного контракту (далі – базовий показник) – ціна базового активу (в тому числі його курс), дохідність базового активу, процентна ставка, індекс, показники статистичної інформації, фізичні, біологічні, хімічні показники стану навколишнього природного середовища, інші показники, що визнаються базовими показниками у нормативно-</w:t>
            </w:r>
            <w:r w:rsidRPr="00286216">
              <w:rPr>
                <w:color w:val="000000" w:themeColor="text1"/>
                <w:szCs w:val="18"/>
              </w:rPr>
              <w:lastRenderedPageBreak/>
              <w:t>правових актах Національної комісії з цінних паперів та фондового ринку та/або нормативно-правових актах Національного банку України».</w:t>
            </w:r>
          </w:p>
        </w:tc>
        <w:tc>
          <w:tcPr>
            <w:tcW w:w="1987" w:type="dxa"/>
          </w:tcPr>
          <w:p w14:paraId="4F81208E" w14:textId="77777777" w:rsidR="00C70550" w:rsidRPr="00286216" w:rsidRDefault="00C70550" w:rsidP="006A358E">
            <w:pPr>
              <w:pStyle w:val="StyleWisnow"/>
              <w:rPr>
                <w:color w:val="000000" w:themeColor="text1"/>
              </w:rPr>
            </w:pPr>
            <w:r w:rsidRPr="00286216">
              <w:rPr>
                <w:color w:val="000000" w:themeColor="text1"/>
              </w:rPr>
              <w:lastRenderedPageBreak/>
              <w:t>Враховано редакційно</w:t>
            </w:r>
          </w:p>
        </w:tc>
        <w:tc>
          <w:tcPr>
            <w:tcW w:w="4818" w:type="dxa"/>
          </w:tcPr>
          <w:p w14:paraId="27CAD535" w14:textId="77777777" w:rsidR="00C70550" w:rsidRPr="00286216" w:rsidRDefault="00C70550" w:rsidP="006A358E">
            <w:pPr>
              <w:pStyle w:val="StyleZakonu"/>
              <w:rPr>
                <w:color w:val="000000" w:themeColor="text1"/>
              </w:rPr>
            </w:pPr>
            <w:r w:rsidRPr="00286216">
              <w:rPr>
                <w:color w:val="000000" w:themeColor="text1"/>
              </w:rPr>
              <w:t>2. Базовий показник деривативного контракту (далі – базовий показник) – це ціна базового активу (в тому числі його курс), дохідність базового активу, процентна ставка, індекс, показники статистичної інформації, фізичні, біологічні, хімічні показники стану навколишнього природного середовища.</w:t>
            </w:r>
          </w:p>
          <w:p w14:paraId="2B622221" w14:textId="7035EE6F" w:rsidR="00C70550" w:rsidRPr="00286216" w:rsidRDefault="00C70550" w:rsidP="006A358E">
            <w:pPr>
              <w:pStyle w:val="StyleZakonu"/>
              <w:rPr>
                <w:color w:val="000000" w:themeColor="text1"/>
              </w:rPr>
            </w:pPr>
            <w:r w:rsidRPr="00286216">
              <w:rPr>
                <w:color w:val="000000" w:themeColor="text1"/>
              </w:rPr>
              <w:t xml:space="preserve">Інші показники, крім зазначених в абзаці першому цієї частини, визнаються базовими показниками відповідно до нормативно-правових актів </w:t>
            </w:r>
            <w:r w:rsidRPr="00286216">
              <w:rPr>
                <w:color w:val="000000" w:themeColor="text1"/>
              </w:rPr>
              <w:lastRenderedPageBreak/>
              <w:t>Національної комісії з цінних паперів та фондового ринку та/або нормативно-правових актів Національного банку України в межах компетенції, визначеної цим Законом.</w:t>
            </w:r>
          </w:p>
        </w:tc>
      </w:tr>
      <w:tr w:rsidR="00C70550" w:rsidRPr="00286216" w14:paraId="26B233C7" w14:textId="77777777" w:rsidTr="006A358E">
        <w:tc>
          <w:tcPr>
            <w:tcW w:w="576" w:type="dxa"/>
          </w:tcPr>
          <w:p w14:paraId="73C9E042" w14:textId="77777777" w:rsidR="00C70550" w:rsidRPr="00286216" w:rsidRDefault="00C70550" w:rsidP="006A358E">
            <w:pPr>
              <w:pStyle w:val="StyleWisnow"/>
              <w:rPr>
                <w:color w:val="000000" w:themeColor="text1"/>
              </w:rPr>
            </w:pPr>
          </w:p>
        </w:tc>
        <w:tc>
          <w:tcPr>
            <w:tcW w:w="4818" w:type="dxa"/>
          </w:tcPr>
          <w:p w14:paraId="22AD2D1A" w14:textId="77777777" w:rsidR="00C70550" w:rsidRPr="00286216" w:rsidRDefault="00C70550" w:rsidP="006A358E">
            <w:pPr>
              <w:pStyle w:val="StyleZakonu"/>
              <w:rPr>
                <w:color w:val="000000" w:themeColor="text1"/>
              </w:rPr>
            </w:pPr>
          </w:p>
        </w:tc>
        <w:tc>
          <w:tcPr>
            <w:tcW w:w="3686" w:type="dxa"/>
          </w:tcPr>
          <w:p w14:paraId="68A8124A" w14:textId="553ABB17" w:rsidR="00C70550" w:rsidRPr="00286216" w:rsidRDefault="00C70550" w:rsidP="006A358E">
            <w:pPr>
              <w:pStyle w:val="StyleAwt"/>
              <w:rPr>
                <w:color w:val="000000" w:themeColor="text1"/>
                <w:spacing w:val="-4"/>
                <w:szCs w:val="18"/>
              </w:rPr>
            </w:pPr>
            <w:r w:rsidRPr="00286216">
              <w:rPr>
                <w:color w:val="000000" w:themeColor="text1"/>
                <w:spacing w:val="-4"/>
                <w:szCs w:val="18"/>
              </w:rPr>
              <w:t>-</w:t>
            </w:r>
            <w:r w:rsidRPr="00286216">
              <w:rPr>
                <w:color w:val="000000" w:themeColor="text1"/>
                <w:spacing w:val="-4"/>
                <w:szCs w:val="18"/>
              </w:rPr>
              <w:fldChar w:fldCharType="begin"/>
            </w:r>
            <w:r w:rsidRPr="00286216">
              <w:rPr>
                <w:color w:val="000000" w:themeColor="text1"/>
                <w:spacing w:val="-4"/>
                <w:szCs w:val="18"/>
              </w:rPr>
              <w:instrText xml:space="preserve"> SEQ aa </w:instrText>
            </w:r>
            <w:r w:rsidRPr="00286216">
              <w:rPr>
                <w:color w:val="000000" w:themeColor="text1"/>
                <w:spacing w:val="-4"/>
                <w:szCs w:val="18"/>
              </w:rPr>
              <w:fldChar w:fldCharType="separate"/>
            </w:r>
            <w:r w:rsidR="00C46B29">
              <w:rPr>
                <w:noProof/>
                <w:color w:val="000000" w:themeColor="text1"/>
                <w:spacing w:val="-4"/>
                <w:szCs w:val="18"/>
              </w:rPr>
              <w:t>340</w:t>
            </w:r>
            <w:r w:rsidRPr="00286216">
              <w:rPr>
                <w:color w:val="000000" w:themeColor="text1"/>
                <w:spacing w:val="-4"/>
                <w:szCs w:val="18"/>
              </w:rPr>
              <w:fldChar w:fldCharType="end"/>
            </w:r>
            <w:r w:rsidRPr="00286216">
              <w:rPr>
                <w:color w:val="000000" w:themeColor="text1"/>
                <w:spacing w:val="-4"/>
                <w:szCs w:val="18"/>
              </w:rPr>
              <w:t>-Н.д.Бєлькова О.В. (Реєстр.картка №403)</w:t>
            </w:r>
          </w:p>
          <w:p w14:paraId="12D2848A"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Частину другу статті 37 доповнити словами “та нормативно-правових актах Національного банку України щодо деривативів грошового ринку в межах компетенції, визначеної цим Законом”.</w:t>
            </w:r>
          </w:p>
        </w:tc>
        <w:tc>
          <w:tcPr>
            <w:tcW w:w="1987" w:type="dxa"/>
          </w:tcPr>
          <w:p w14:paraId="31336BF0"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CC0ACCF" w14:textId="77777777" w:rsidR="00C70550" w:rsidRPr="00286216" w:rsidRDefault="00C70550" w:rsidP="006A358E">
            <w:pPr>
              <w:pStyle w:val="StyleZakonu"/>
              <w:rPr>
                <w:color w:val="000000" w:themeColor="text1"/>
              </w:rPr>
            </w:pPr>
          </w:p>
        </w:tc>
      </w:tr>
      <w:tr w:rsidR="00C70550" w:rsidRPr="00286216" w14:paraId="3F5A17A7" w14:textId="77777777" w:rsidTr="006A358E">
        <w:tc>
          <w:tcPr>
            <w:tcW w:w="576" w:type="dxa"/>
          </w:tcPr>
          <w:p w14:paraId="1D792413" w14:textId="77777777" w:rsidR="00C70550" w:rsidRPr="00286216" w:rsidRDefault="00C70550" w:rsidP="006A358E">
            <w:pPr>
              <w:pStyle w:val="StyleWisnow"/>
              <w:rPr>
                <w:color w:val="000000" w:themeColor="text1"/>
              </w:rPr>
            </w:pPr>
          </w:p>
        </w:tc>
        <w:tc>
          <w:tcPr>
            <w:tcW w:w="4818" w:type="dxa"/>
          </w:tcPr>
          <w:p w14:paraId="4B69AB04" w14:textId="77777777" w:rsidR="00C70550" w:rsidRPr="00286216" w:rsidRDefault="00C70550" w:rsidP="006A358E">
            <w:pPr>
              <w:pStyle w:val="StyleZakonu"/>
              <w:rPr>
                <w:color w:val="000000" w:themeColor="text1"/>
              </w:rPr>
            </w:pPr>
          </w:p>
        </w:tc>
        <w:tc>
          <w:tcPr>
            <w:tcW w:w="3686" w:type="dxa"/>
          </w:tcPr>
          <w:p w14:paraId="2FD2A88C" w14:textId="2A50D4DD" w:rsidR="00C70550" w:rsidRPr="00286216" w:rsidRDefault="00C70550" w:rsidP="006A358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341</w:t>
            </w:r>
            <w:r w:rsidRPr="00286216">
              <w:rPr>
                <w:color w:val="000000" w:themeColor="text1"/>
              </w:rPr>
              <w:fldChar w:fldCharType="end"/>
            </w:r>
            <w:r w:rsidRPr="00286216">
              <w:rPr>
                <w:color w:val="000000" w:themeColor="text1"/>
              </w:rPr>
              <w:t>-Н.д.Шахов С.В. (Реєстр.картка №114)</w:t>
            </w:r>
          </w:p>
          <w:p w14:paraId="3F98D282" w14:textId="77777777" w:rsidR="00C70550" w:rsidRPr="00286216" w:rsidRDefault="00C70550" w:rsidP="006A358E">
            <w:pPr>
              <w:pStyle w:val="StyleProp"/>
              <w:spacing w:line="180" w:lineRule="exact"/>
              <w:rPr>
                <w:color w:val="000000" w:themeColor="text1"/>
              </w:rPr>
            </w:pPr>
            <w:r w:rsidRPr="00286216">
              <w:rPr>
                <w:color w:val="000000" w:themeColor="text1"/>
              </w:rPr>
              <w:t>у статті 37 частину другу викласти у такій редакції:</w:t>
            </w:r>
          </w:p>
          <w:p w14:paraId="64D0A249" w14:textId="77777777" w:rsidR="00C70550" w:rsidRPr="00286216" w:rsidRDefault="00C70550" w:rsidP="006A358E">
            <w:pPr>
              <w:pStyle w:val="StyleProp"/>
              <w:spacing w:line="180" w:lineRule="exact"/>
              <w:rPr>
                <w:color w:val="000000" w:themeColor="text1"/>
                <w:szCs w:val="18"/>
              </w:rPr>
            </w:pPr>
            <w:r w:rsidRPr="00286216">
              <w:rPr>
                <w:color w:val="000000" w:themeColor="text1"/>
              </w:rPr>
              <w:t>«2. Базовий показник деривативного контракту (далі – базовий показник) – ціна базового активу (в тому числі курс відповідної валюти), ціна послуги (роботи), процентна ставка, індекс, настання події, розмір фактичного виконання за правом грошової вимоги, показники статистичної інформації (що визначаються незалежно від сторін деривативного контракту та є публічно-доступними), фізичні, біологічні, хімічні показники стану навколишнього природного середовища, інші показники, що визнаються базовими показниками у правилах оператора відповідного ринку деривативних контрактів чи у деривативному контракті (або в описі деривативного контракту чи в генеральній угоді), укладеному його сторонами поза організованого ринку капіталу.»</w:t>
            </w:r>
          </w:p>
        </w:tc>
        <w:tc>
          <w:tcPr>
            <w:tcW w:w="1987" w:type="dxa"/>
          </w:tcPr>
          <w:p w14:paraId="32EEBB4A" w14:textId="77777777" w:rsidR="00C70550" w:rsidRPr="00286216" w:rsidRDefault="00C70550" w:rsidP="006A358E">
            <w:pPr>
              <w:pStyle w:val="StyleWisnow"/>
              <w:rPr>
                <w:color w:val="000000" w:themeColor="text1"/>
              </w:rPr>
            </w:pPr>
            <w:r w:rsidRPr="00286216">
              <w:rPr>
                <w:color w:val="000000" w:themeColor="text1"/>
              </w:rPr>
              <w:t>Враховано частково</w:t>
            </w:r>
          </w:p>
        </w:tc>
        <w:tc>
          <w:tcPr>
            <w:tcW w:w="4818" w:type="dxa"/>
          </w:tcPr>
          <w:p w14:paraId="0B93C786" w14:textId="77777777" w:rsidR="00C70550" w:rsidRPr="00286216" w:rsidRDefault="00C70550" w:rsidP="006A358E">
            <w:pPr>
              <w:pStyle w:val="StyleZakonu"/>
              <w:rPr>
                <w:color w:val="000000" w:themeColor="text1"/>
              </w:rPr>
            </w:pPr>
          </w:p>
        </w:tc>
      </w:tr>
      <w:tr w:rsidR="00C70550" w:rsidRPr="00286216" w14:paraId="29672A84" w14:textId="77777777" w:rsidTr="006A358E">
        <w:tc>
          <w:tcPr>
            <w:tcW w:w="576" w:type="dxa"/>
          </w:tcPr>
          <w:p w14:paraId="7E4A2F71" w14:textId="77777777" w:rsidR="00C70550" w:rsidRPr="00286216" w:rsidRDefault="00C70550" w:rsidP="006A358E">
            <w:pPr>
              <w:pStyle w:val="StyleWisnow"/>
              <w:rPr>
                <w:color w:val="000000" w:themeColor="text1"/>
              </w:rPr>
            </w:pPr>
            <w:r w:rsidRPr="00286216">
              <w:rPr>
                <w:color w:val="000000" w:themeColor="text1"/>
              </w:rPr>
              <w:t>573.</w:t>
            </w:r>
          </w:p>
        </w:tc>
        <w:tc>
          <w:tcPr>
            <w:tcW w:w="4818" w:type="dxa"/>
          </w:tcPr>
          <w:p w14:paraId="7F0AF0B7" w14:textId="77777777" w:rsidR="00C70550" w:rsidRPr="00286216" w:rsidRDefault="00C70550" w:rsidP="006A358E">
            <w:pPr>
              <w:pStyle w:val="StyleZakonu"/>
              <w:rPr>
                <w:color w:val="000000" w:themeColor="text1"/>
              </w:rPr>
            </w:pPr>
            <w:r w:rsidRPr="00286216">
              <w:rPr>
                <w:color w:val="000000" w:themeColor="text1"/>
              </w:rPr>
              <w:t>3. Деривативний контракт повинен передбачати щонайменше один базовий актив або базовий показник. Один деривативний контракт може визначати декілька базових активів та/або базових показників.</w:t>
            </w:r>
          </w:p>
        </w:tc>
        <w:tc>
          <w:tcPr>
            <w:tcW w:w="3686" w:type="dxa"/>
          </w:tcPr>
          <w:p w14:paraId="61C1A79F" w14:textId="77777777" w:rsidR="00C70550" w:rsidRPr="00286216" w:rsidRDefault="00C70550" w:rsidP="006A358E">
            <w:pPr>
              <w:pStyle w:val="StyleProp"/>
              <w:rPr>
                <w:color w:val="000000" w:themeColor="text1"/>
                <w:szCs w:val="18"/>
              </w:rPr>
            </w:pPr>
          </w:p>
        </w:tc>
        <w:tc>
          <w:tcPr>
            <w:tcW w:w="1987" w:type="dxa"/>
          </w:tcPr>
          <w:p w14:paraId="5D486470" w14:textId="77777777" w:rsidR="00C70550" w:rsidRPr="00286216" w:rsidRDefault="00C70550" w:rsidP="006A358E">
            <w:pPr>
              <w:pStyle w:val="StyleWisnow"/>
              <w:rPr>
                <w:color w:val="000000" w:themeColor="text1"/>
              </w:rPr>
            </w:pPr>
          </w:p>
        </w:tc>
        <w:tc>
          <w:tcPr>
            <w:tcW w:w="4818" w:type="dxa"/>
          </w:tcPr>
          <w:p w14:paraId="3D42092F" w14:textId="77777777" w:rsidR="00C70550" w:rsidRPr="00286216" w:rsidRDefault="00C70550" w:rsidP="006A358E">
            <w:pPr>
              <w:pStyle w:val="StyleZakonu"/>
              <w:rPr>
                <w:color w:val="000000" w:themeColor="text1"/>
              </w:rPr>
            </w:pPr>
            <w:r w:rsidRPr="00286216">
              <w:rPr>
                <w:color w:val="000000" w:themeColor="text1"/>
              </w:rPr>
              <w:t>3. Деривативний контракт повинен передбачати щонайменше один базовий актив або базовий показник. Один деривативний контракт може визначати декілька базових активів та/або базових показників.</w:t>
            </w:r>
          </w:p>
        </w:tc>
      </w:tr>
      <w:tr w:rsidR="00C70550" w:rsidRPr="00286216" w14:paraId="2CB1F3E4" w14:textId="77777777" w:rsidTr="006A358E">
        <w:tc>
          <w:tcPr>
            <w:tcW w:w="576" w:type="dxa"/>
          </w:tcPr>
          <w:p w14:paraId="75D6C6A4" w14:textId="77777777" w:rsidR="00C70550" w:rsidRPr="00286216" w:rsidRDefault="00C70550" w:rsidP="006A358E">
            <w:pPr>
              <w:pStyle w:val="StyleWisnow"/>
              <w:rPr>
                <w:color w:val="000000" w:themeColor="text1"/>
              </w:rPr>
            </w:pPr>
            <w:r w:rsidRPr="00286216">
              <w:rPr>
                <w:color w:val="000000" w:themeColor="text1"/>
              </w:rPr>
              <w:t>574.</w:t>
            </w:r>
          </w:p>
        </w:tc>
        <w:tc>
          <w:tcPr>
            <w:tcW w:w="4818" w:type="dxa"/>
          </w:tcPr>
          <w:p w14:paraId="4B8F86BA" w14:textId="77777777" w:rsidR="00C70550" w:rsidRPr="00286216" w:rsidRDefault="00C70550" w:rsidP="006A358E">
            <w:pPr>
              <w:pStyle w:val="StyleZakonu"/>
              <w:rPr>
                <w:color w:val="000000" w:themeColor="text1"/>
              </w:rPr>
            </w:pPr>
            <w:r w:rsidRPr="00286216">
              <w:rPr>
                <w:color w:val="000000" w:themeColor="text1"/>
              </w:rPr>
              <w:t>Стаття 38. Види деривативних контрактів</w:t>
            </w:r>
          </w:p>
        </w:tc>
        <w:tc>
          <w:tcPr>
            <w:tcW w:w="3686" w:type="dxa"/>
          </w:tcPr>
          <w:p w14:paraId="5C305EDE" w14:textId="5BE053B7"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342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6B4478F"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Статтю 38 викласти в такій редакції:</w:t>
            </w:r>
          </w:p>
          <w:p w14:paraId="0D2A1BC8"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«Стаття 38. Види деривативних контрактів</w:t>
            </w:r>
          </w:p>
          <w:p w14:paraId="2378918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 Деривативними контрактами є:</w:t>
            </w:r>
          </w:p>
          <w:p w14:paraId="6374125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 опціон;</w:t>
            </w:r>
          </w:p>
          <w:p w14:paraId="76F101E0"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2) своп;</w:t>
            </w:r>
          </w:p>
          <w:p w14:paraId="16E1DFE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3) свопціон;</w:t>
            </w:r>
          </w:p>
          <w:p w14:paraId="72570ED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4) ф’ючерс;</w:t>
            </w:r>
          </w:p>
          <w:p w14:paraId="10E1F062"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5) ф’ючерс на своп;</w:t>
            </w:r>
          </w:p>
          <w:p w14:paraId="46CF86C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6) форвард;</w:t>
            </w:r>
          </w:p>
          <w:p w14:paraId="2272CD26"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7) форвард на своп;</w:t>
            </w:r>
          </w:p>
          <w:p w14:paraId="2934F583"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8) контракт на різницю цін;</w:t>
            </w:r>
          </w:p>
          <w:p w14:paraId="6FBB59B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9) контракт на майбутню відсоткову ставку;</w:t>
            </w:r>
          </w:p>
          <w:p w14:paraId="016E7584"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10) інші правочини, що відповідають </w:t>
            </w:r>
            <w:r w:rsidRPr="00286216">
              <w:rPr>
                <w:color w:val="000000" w:themeColor="text1"/>
                <w:szCs w:val="18"/>
              </w:rPr>
              <w:lastRenderedPageBreak/>
              <w:t>вимогам статті 36 цього Закону.</w:t>
            </w:r>
          </w:p>
          <w:p w14:paraId="059EF1F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має право визначати інші види деривативних контрактів, які прямо не передбачені цією частиною, але відповідають вимогам, встановленим статтею 36 цього Закону.</w:t>
            </w:r>
          </w:p>
          <w:p w14:paraId="3DB46BBD"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2. Опціон – строковий деривативний контракт, що укладається на організованому ринку або поза ним, за яким одна сторона зобов’язується у разі пред’явлення вимоги іншою стороною у майбутньому продати базовий актив іншій стороні (опціон «кол») або купити базовий актив у іншої сторони (опціон «пут») за ціною та на інших умовах, визначених сторонами під час вчинення правочину, відповідно до специфікації такого опціону (для опціонів, що укладені на організованому ринку). Опціон також може передбачати обов’язок однієї сторони сплатити іншій стороні певну суму коштів за набуте право вимоги (премію опціону). Опціон може передбачати можливість заміни обов’язку купити або продати базовий актив обов’язком здійснити оплату, розмір якої визначається залежно від базового показника. </w:t>
            </w:r>
          </w:p>
          <w:p w14:paraId="4D96180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3. Своп – строковий деривативний контракт, що укладається на організованому ринку або поза ним, за яким сторони зобов’язуються протягом дії такого контракту з визначеною ним періодичністю здійснювати обмін платежами, розмір яких визначається відповідно до умов такого контракту. Умови такого деривативного контракту можуть передбачати виникнення у однієї із сторін обов’язку здійснити платіж у зв’язку з настанням певної події.</w:t>
            </w:r>
          </w:p>
          <w:p w14:paraId="12254B8B"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4. Свопціон – строковий деривативний контракт, що укладається на організованому ринку або поза ним, за умовами якого одна сторона отримує право, а інша сторона безумовне зобов’язання укласти своп на умовах, визначених сторонами під час укладення свопціону, у визначений ним момент у майбутньому або до настання такого моменту.</w:t>
            </w:r>
          </w:p>
          <w:p w14:paraId="3BCFDC67"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5. Ф’ючерс – строковий деривативний контракт, що укладається на організованому ринку, за яким одна сторона зобов’язується у визначений момент у майбутньому передати базовий актив іншій стороні, а інша сторона зобов’язується прийняти та оплатити базовий актив за ціною та на інших умовах, визначених сторонами під час укладення договору, відповідно до специфікації такого ф’ючерсу. Специфікація ф’ючерсу повинна </w:t>
            </w:r>
            <w:r w:rsidRPr="00286216">
              <w:rPr>
                <w:color w:val="000000" w:themeColor="text1"/>
                <w:szCs w:val="18"/>
              </w:rPr>
              <w:lastRenderedPageBreak/>
              <w:t xml:space="preserve">містити, зокрема, мінімальну кількість базового активу, який передається за контрактом, його якісні показники, мінімальний крок ціни у ході торгів, умови поставки, дату настання терміну виконання зобов’язання. Ф’ючерс може передбачати можливість заміни обов’язку передати базовий актив обов’язком здійснити оплату, розмір якої визначається залежно від базового показника. </w:t>
            </w:r>
          </w:p>
          <w:p w14:paraId="30472B2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6. Ф’ючерс на своп – строковий деривативний контракт, що укладається на організованому ринку, за яким сторони зобов’язуються у визначений момент у майбутньому укласти своп на умовах, визначених сторонами під час укладення ф’ючерсу на своп, відповідно до специфікації такого ф’ючерсу на своп.</w:t>
            </w:r>
          </w:p>
          <w:p w14:paraId="354EE81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7. Форвард – строковий деривативний контракт, що укладається поза організованим ринком, за яким одна сторона зобов’язується у визначений момент у майбутньому передати базовий актив іншій стороні, а інша сторона зобов’язується купити базовий актив за ціною та на інших умовах, визначених сторонами під час укладення договору. Форвард може передбачати можливість заміни обов’язку передати базовий актив обов’язком здійснити оплату, розмір якої визначається залежно від базового показника. </w:t>
            </w:r>
          </w:p>
          <w:p w14:paraId="2F2B407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8. Форвард на своп – строковий деривативний контракт, що укладається поза організованим ринком, за яким сторони зобов’язуються у визначений момент у майбутньому укласти своп на умовах, визначених сторонами під час укладення форварду на своп.</w:t>
            </w:r>
          </w:p>
          <w:p w14:paraId="29548A84"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9. Контракт на різницю цін – строковий деривативний контракт, що укладається на організованому ринку або поза ним, та передбачає обов’язок однієї сторони (покупця) сплатити іншій стороні (продавцю) суму, що дорівнює різниці між ціною базового активу на момент вчинення такого правочину, визначеною у порядку, встановленому сторонами, та ціною такого активу станом на дату закінчення дії контракту, визначеною у порядку, встановленому сторонами (далі – різницю цін), якщо ціна базового активу знизилася, та обов’язок продавця сплатити покупцю різницю цін, якщо ціна базового активу зросла. Контракт на різницю цін не може передбачати обов’язок продавця передати базовий актив.</w:t>
            </w:r>
          </w:p>
          <w:p w14:paraId="2B52C4C5"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10. Контракт на майбутню відсоткову </w:t>
            </w:r>
            <w:r w:rsidRPr="00286216">
              <w:rPr>
                <w:color w:val="000000" w:themeColor="text1"/>
                <w:szCs w:val="18"/>
              </w:rPr>
              <w:lastRenderedPageBreak/>
              <w:t>ставку – строковий деривативний контракт, що укладається на організованому ринку або поза ним, та передбачає обов’язок однієї сторони (кредитора) сплатити іншій стороні (боржнику) компенсаційний платіж, якщо станом на майбутню дату, визначену деривативним контрактом, розмір відсоткової ставки, визначеної сторонами як базовий актив деривативного контракту (майбутня відсоткова ставка), буде більшим, ніж розмір такого базового активу, зазначений у деривативному контракті (фіксована відсоткова ставка), та обов’язок боржника сплатити кредитору компенсаційний платіж, якщо майбутня відсоткова ставка буде меншою, ніж фіксована відсоткова ставка. Якщо станом на дату, визначену деривативним контрактом, розмір майбутньої відсоткової ставки у порівнянні з фіксованою відсотковою ставкою не змінився, зобов’язання сторін за контрактом припиняються неможливістю їх виконання.</w:t>
            </w:r>
          </w:p>
          <w:p w14:paraId="215372BD"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Компенсаційний платіж розраховується як абсолютне значення (модуль) різниці між добутком передбаченої контрактом суми основного грошового зобов’язання (грошового зобов’язання до якого застосовується відсоткова ставка) та майбутньої відсоткової ставки та добутком передбаченої контрактом суми основного грошового зобов’язання та фіксованої відсоткової ставки. </w:t>
            </w:r>
          </w:p>
          <w:p w14:paraId="196586D8" w14:textId="77777777" w:rsidR="00C70550" w:rsidRPr="00E33D71" w:rsidRDefault="00C70550" w:rsidP="006A358E">
            <w:pPr>
              <w:pStyle w:val="StyleProp"/>
              <w:spacing w:line="180" w:lineRule="exact"/>
              <w:rPr>
                <w:color w:val="000000" w:themeColor="text1"/>
                <w:spacing w:val="-2"/>
                <w:szCs w:val="18"/>
              </w:rPr>
            </w:pPr>
            <w:r w:rsidRPr="00286216">
              <w:rPr>
                <w:color w:val="000000" w:themeColor="text1"/>
                <w:szCs w:val="18"/>
              </w:rPr>
              <w:t>11</w:t>
            </w:r>
            <w:r w:rsidRPr="00E33D71">
              <w:rPr>
                <w:color w:val="000000" w:themeColor="text1"/>
                <w:spacing w:val="-2"/>
                <w:szCs w:val="18"/>
              </w:rPr>
              <w:t>. За наявністю зобов’язання щодо передачі базового активу деривативні контракти є поставними або розрахунковими.</w:t>
            </w:r>
          </w:p>
          <w:p w14:paraId="66F2B933" w14:textId="77777777" w:rsidR="00C70550" w:rsidRPr="00E33D71" w:rsidRDefault="00C70550" w:rsidP="006A358E">
            <w:pPr>
              <w:pStyle w:val="StyleProp"/>
              <w:spacing w:line="180" w:lineRule="exact"/>
              <w:rPr>
                <w:color w:val="000000" w:themeColor="text1"/>
                <w:spacing w:val="-2"/>
                <w:szCs w:val="18"/>
              </w:rPr>
            </w:pPr>
            <w:r w:rsidRPr="00E33D71">
              <w:rPr>
                <w:color w:val="000000" w:themeColor="text1"/>
                <w:spacing w:val="-2"/>
                <w:szCs w:val="18"/>
              </w:rPr>
              <w:t>Поставний деривативний контракт – деривативний контракт, що передбачає передачу базового активу однією або кожною із сторін.</w:t>
            </w:r>
          </w:p>
          <w:p w14:paraId="08B7C43B" w14:textId="77777777" w:rsidR="00C70550" w:rsidRPr="00E33D71" w:rsidRDefault="00C70550" w:rsidP="006A358E">
            <w:pPr>
              <w:pStyle w:val="StyleProp"/>
              <w:spacing w:line="180" w:lineRule="exact"/>
              <w:rPr>
                <w:color w:val="000000" w:themeColor="text1"/>
                <w:spacing w:val="-2"/>
                <w:szCs w:val="18"/>
              </w:rPr>
            </w:pPr>
            <w:r w:rsidRPr="00E33D71">
              <w:rPr>
                <w:color w:val="000000" w:themeColor="text1"/>
                <w:spacing w:val="-2"/>
                <w:szCs w:val="18"/>
              </w:rPr>
              <w:t>Розрахунковий деривативний контракт – деривативний контракт, що передбачає здійснення розрахунків між сторонами залежно від значення базового показника (у тому числі з можливістю заміни таких розрахунків між сторонами передачею базового активу однією або кожною із сторін за їх взаємною згодою).</w:t>
            </w:r>
          </w:p>
          <w:p w14:paraId="0CEFB1BA" w14:textId="77777777" w:rsidR="00C70550" w:rsidRPr="00E33D71" w:rsidRDefault="00C70550" w:rsidP="006A358E">
            <w:pPr>
              <w:pStyle w:val="StyleProp"/>
              <w:spacing w:line="180" w:lineRule="exact"/>
              <w:rPr>
                <w:color w:val="000000" w:themeColor="text1"/>
                <w:spacing w:val="-2"/>
                <w:szCs w:val="18"/>
              </w:rPr>
            </w:pPr>
            <w:r w:rsidRPr="00E33D71">
              <w:rPr>
                <w:color w:val="000000" w:themeColor="text1"/>
                <w:spacing w:val="-2"/>
                <w:szCs w:val="18"/>
              </w:rPr>
              <w:t>Наявність базового активу у сторони, яка бере на себе зобов’язання щодо передачі базового активу за поставним деривативним контрактом, на момент укладення такого деривативного контракту не вимагається, якщо інше не передбачено умовами деривативного контракту.</w:t>
            </w:r>
          </w:p>
          <w:p w14:paraId="6281D913" w14:textId="77777777" w:rsidR="00C70550" w:rsidRPr="00E33D71" w:rsidRDefault="00C70550" w:rsidP="006A358E">
            <w:pPr>
              <w:pStyle w:val="StyleProp"/>
              <w:spacing w:line="180" w:lineRule="exact"/>
              <w:rPr>
                <w:color w:val="000000" w:themeColor="text1"/>
                <w:spacing w:val="-2"/>
                <w:szCs w:val="18"/>
              </w:rPr>
            </w:pPr>
            <w:r w:rsidRPr="00E33D71">
              <w:rPr>
                <w:color w:val="000000" w:themeColor="text1"/>
                <w:spacing w:val="-2"/>
                <w:szCs w:val="18"/>
              </w:rPr>
              <w:t xml:space="preserve">12. За типом базового активу та/або </w:t>
            </w:r>
            <w:r w:rsidRPr="00E33D71">
              <w:rPr>
                <w:color w:val="000000" w:themeColor="text1"/>
                <w:spacing w:val="-2"/>
                <w:szCs w:val="18"/>
              </w:rPr>
              <w:lastRenderedPageBreak/>
              <w:t>базового показника деривативні контракти поділяються на такі типи:</w:t>
            </w:r>
          </w:p>
          <w:p w14:paraId="2A71AA0F" w14:textId="77777777" w:rsidR="00C70550" w:rsidRPr="00E33D71" w:rsidRDefault="00C70550" w:rsidP="006A358E">
            <w:pPr>
              <w:pStyle w:val="StyleProp"/>
              <w:spacing w:line="180" w:lineRule="exact"/>
              <w:rPr>
                <w:color w:val="000000" w:themeColor="text1"/>
                <w:spacing w:val="-2"/>
                <w:szCs w:val="18"/>
              </w:rPr>
            </w:pPr>
            <w:r w:rsidRPr="00E33D71">
              <w:rPr>
                <w:color w:val="000000" w:themeColor="text1"/>
                <w:spacing w:val="-2"/>
                <w:szCs w:val="18"/>
              </w:rPr>
              <w:t>1) деривативні контракти грошового ринку – деривативні контракти, базовим активом яких є валютні цінності, інший деривативний контракт грошового ринку чи інше майно, що визначається базовим активом у нормативно-правових актах Національного банку України, або базовим показником яких є курс валюти, валютний індекс (курси декількох валют), ціна на банківські метали, процентна ставка (процентний індекс) чи інші показники, що визнаються базовими показниками у нормативно-правових актах Національного банку України.</w:t>
            </w:r>
          </w:p>
          <w:p w14:paraId="6595DA76" w14:textId="77777777" w:rsidR="00C70550" w:rsidRPr="00286216" w:rsidRDefault="00C70550" w:rsidP="006A358E">
            <w:pPr>
              <w:pStyle w:val="StyleProp"/>
              <w:spacing w:line="180" w:lineRule="exact"/>
              <w:rPr>
                <w:color w:val="000000" w:themeColor="text1"/>
                <w:szCs w:val="18"/>
              </w:rPr>
            </w:pPr>
            <w:r w:rsidRPr="00E33D71">
              <w:rPr>
                <w:color w:val="000000" w:themeColor="text1"/>
                <w:spacing w:val="-2"/>
                <w:szCs w:val="18"/>
              </w:rPr>
              <w:t>Особливості укладення та виконання деривативних контрактів грошового</w:t>
            </w:r>
            <w:r w:rsidRPr="00286216">
              <w:rPr>
                <w:color w:val="000000" w:themeColor="text1"/>
                <w:szCs w:val="18"/>
              </w:rPr>
              <w:t xml:space="preserve"> ринку поза організованими ринками можуть встановлюватись Національною комісією з цінних паперів та фондового ринку за погодженням з Національним банком України;</w:t>
            </w:r>
          </w:p>
          <w:p w14:paraId="40EAD8FA"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2) товарні деривативні контракти – деривативні контракти, базовим активом яких є продукція чи інший товарний деривативний контракт або базовим показником яких є ціна на продукцію чи товарний індекс (ціна на декілька видів продукції);</w:t>
            </w:r>
          </w:p>
          <w:p w14:paraId="0C92CF2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3) фондові деривативні контракти – деривативні контракти, базовим активом яких є емісійні цінні папери (у тому числі іноземних емітентів) чи інші фондові деривативні контракти або базовим показником яких є ціна на такі емісійні цінні папери чи індекс оператора організованого ринку капіталу;</w:t>
            </w:r>
          </w:p>
          <w:p w14:paraId="7722E1D0"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 xml:space="preserve">4) інші деривативні контракти – деривативні контракти, базовим активом яких є право вимоги, інший деривативний контракт (крім деривативних контрактів грошового ринку, товарних або фондових деривативних контрактів), інше майно, що визначається базовим активом у нормативно-правових актах Національної комісії з цінних паперів та фондового ринку, або базовим показником яких є показники статистичної інформації, фізичні, біологічні, хімічні показники стану навколишнього природного середовища, інші показники, що визнаються базовими показниками у нормативно-правових актах Національної комісії з цінних паперів та фондового ринку, а також деривативні контракти, що поєднують ознаки декількох видів деривативних контрактів, визначених цією частиною, та деривативні </w:t>
            </w:r>
            <w:r w:rsidRPr="00286216">
              <w:rPr>
                <w:color w:val="000000" w:themeColor="text1"/>
                <w:szCs w:val="18"/>
              </w:rPr>
              <w:lastRenderedPageBreak/>
              <w:t>контракти, що не можуть бути віднесені до інших видів деривативних контрактів, визначених цією частиною.</w:t>
            </w:r>
          </w:p>
          <w:p w14:paraId="103DDB0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13. Інформація про укладення деривативного контракту, яка подається до торгового репозиторію, повинна містити ідентифікацію базового активу (за наявності) та базового показника (за наявності) такого деривативного контракту».</w:t>
            </w:r>
          </w:p>
        </w:tc>
        <w:tc>
          <w:tcPr>
            <w:tcW w:w="1987" w:type="dxa"/>
          </w:tcPr>
          <w:p w14:paraId="3009708B" w14:textId="77777777" w:rsidR="00C70550" w:rsidRPr="00286216" w:rsidRDefault="00C70550" w:rsidP="006A358E">
            <w:pPr>
              <w:pStyle w:val="StyleWisnow"/>
              <w:rPr>
                <w:color w:val="000000" w:themeColor="text1"/>
              </w:rPr>
            </w:pPr>
            <w:r w:rsidRPr="00286216">
              <w:rPr>
                <w:color w:val="000000" w:themeColor="text1"/>
              </w:rPr>
              <w:lastRenderedPageBreak/>
              <w:t>Враховано частково</w:t>
            </w:r>
          </w:p>
        </w:tc>
        <w:tc>
          <w:tcPr>
            <w:tcW w:w="4818" w:type="dxa"/>
          </w:tcPr>
          <w:p w14:paraId="752F50C5" w14:textId="77777777" w:rsidR="00C70550" w:rsidRPr="00286216" w:rsidRDefault="00C70550" w:rsidP="006A358E">
            <w:pPr>
              <w:pStyle w:val="StyleZakonu"/>
              <w:rPr>
                <w:color w:val="000000" w:themeColor="text1"/>
              </w:rPr>
            </w:pPr>
            <w:r w:rsidRPr="00286216">
              <w:rPr>
                <w:color w:val="000000" w:themeColor="text1"/>
              </w:rPr>
              <w:t>Стаття 33. Види деривативних контрактів</w:t>
            </w:r>
          </w:p>
          <w:p w14:paraId="333A9253" w14:textId="77777777" w:rsidR="00C70550" w:rsidRPr="00286216" w:rsidRDefault="00C70550" w:rsidP="006A358E">
            <w:pPr>
              <w:pStyle w:val="StyleZakonu"/>
              <w:rPr>
                <w:color w:val="000000" w:themeColor="text1"/>
                <w:szCs w:val="18"/>
              </w:rPr>
            </w:pPr>
            <w:r w:rsidRPr="00286216">
              <w:rPr>
                <w:color w:val="000000" w:themeColor="text1"/>
                <w:szCs w:val="18"/>
              </w:rPr>
              <w:t>1. Деривативними контрактами є:</w:t>
            </w:r>
          </w:p>
          <w:p w14:paraId="690C3E43" w14:textId="77777777" w:rsidR="00C70550" w:rsidRPr="00286216" w:rsidRDefault="00C70550" w:rsidP="006A358E">
            <w:pPr>
              <w:pStyle w:val="StyleZakonu"/>
              <w:rPr>
                <w:color w:val="000000" w:themeColor="text1"/>
                <w:szCs w:val="18"/>
              </w:rPr>
            </w:pPr>
            <w:r w:rsidRPr="00286216">
              <w:rPr>
                <w:color w:val="000000" w:themeColor="text1"/>
                <w:szCs w:val="18"/>
              </w:rPr>
              <w:t>1) опціон;</w:t>
            </w:r>
          </w:p>
          <w:p w14:paraId="15BD6E74" w14:textId="77777777" w:rsidR="00C70550" w:rsidRPr="00286216" w:rsidRDefault="00C70550" w:rsidP="006A358E">
            <w:pPr>
              <w:pStyle w:val="StyleZakonu"/>
              <w:rPr>
                <w:color w:val="000000" w:themeColor="text1"/>
                <w:szCs w:val="18"/>
              </w:rPr>
            </w:pPr>
            <w:r w:rsidRPr="00286216">
              <w:rPr>
                <w:color w:val="000000" w:themeColor="text1"/>
                <w:szCs w:val="18"/>
              </w:rPr>
              <w:t>2) форвард;</w:t>
            </w:r>
          </w:p>
          <w:p w14:paraId="1F431103" w14:textId="77777777" w:rsidR="00C70550" w:rsidRPr="00286216" w:rsidRDefault="00C70550" w:rsidP="006A358E">
            <w:pPr>
              <w:pStyle w:val="StyleZakonu"/>
              <w:rPr>
                <w:color w:val="000000" w:themeColor="text1"/>
                <w:szCs w:val="18"/>
              </w:rPr>
            </w:pPr>
            <w:r w:rsidRPr="00286216">
              <w:rPr>
                <w:color w:val="000000" w:themeColor="text1"/>
                <w:szCs w:val="18"/>
              </w:rPr>
              <w:t>3) ф’ючерс;</w:t>
            </w:r>
          </w:p>
          <w:p w14:paraId="6AF074C2" w14:textId="77777777" w:rsidR="00C70550" w:rsidRPr="00286216" w:rsidRDefault="00C70550" w:rsidP="006A358E">
            <w:pPr>
              <w:pStyle w:val="StyleZakonu"/>
              <w:rPr>
                <w:color w:val="000000" w:themeColor="text1"/>
                <w:szCs w:val="18"/>
              </w:rPr>
            </w:pPr>
            <w:r w:rsidRPr="00286216">
              <w:rPr>
                <w:color w:val="000000" w:themeColor="text1"/>
                <w:szCs w:val="18"/>
              </w:rPr>
              <w:t>4) своп;</w:t>
            </w:r>
          </w:p>
          <w:p w14:paraId="25BC1A0F" w14:textId="77777777" w:rsidR="00C70550" w:rsidRPr="00286216" w:rsidRDefault="00C70550" w:rsidP="006A358E">
            <w:pPr>
              <w:pStyle w:val="StyleZakonu"/>
              <w:rPr>
                <w:color w:val="000000" w:themeColor="text1"/>
                <w:szCs w:val="18"/>
              </w:rPr>
            </w:pPr>
            <w:r w:rsidRPr="00286216">
              <w:rPr>
                <w:color w:val="000000" w:themeColor="text1"/>
                <w:szCs w:val="18"/>
              </w:rPr>
              <w:t>5) кредитний дефолтний своп;</w:t>
            </w:r>
          </w:p>
          <w:p w14:paraId="3C40745C" w14:textId="77777777" w:rsidR="00C70550" w:rsidRPr="00286216" w:rsidRDefault="00C70550" w:rsidP="006A358E">
            <w:pPr>
              <w:pStyle w:val="StyleZakonu"/>
              <w:rPr>
                <w:color w:val="000000" w:themeColor="text1"/>
                <w:szCs w:val="18"/>
              </w:rPr>
            </w:pPr>
            <w:r w:rsidRPr="00286216">
              <w:rPr>
                <w:color w:val="000000" w:themeColor="text1"/>
                <w:szCs w:val="18"/>
              </w:rPr>
              <w:t>6) свопціон;</w:t>
            </w:r>
          </w:p>
          <w:p w14:paraId="0FBCCF22" w14:textId="77777777" w:rsidR="00C70550" w:rsidRPr="00286216" w:rsidRDefault="00C70550" w:rsidP="006A358E">
            <w:pPr>
              <w:pStyle w:val="StyleZakonu"/>
              <w:rPr>
                <w:color w:val="000000" w:themeColor="text1"/>
                <w:szCs w:val="18"/>
              </w:rPr>
            </w:pPr>
            <w:r w:rsidRPr="00286216">
              <w:rPr>
                <w:color w:val="000000" w:themeColor="text1"/>
                <w:szCs w:val="18"/>
              </w:rPr>
              <w:t>7) ф’ючерс на своп;</w:t>
            </w:r>
          </w:p>
          <w:p w14:paraId="5962F96E" w14:textId="77777777" w:rsidR="00C70550" w:rsidRPr="00286216" w:rsidRDefault="00C70550" w:rsidP="006A358E">
            <w:pPr>
              <w:pStyle w:val="StyleZakonu"/>
              <w:rPr>
                <w:color w:val="000000" w:themeColor="text1"/>
                <w:szCs w:val="18"/>
              </w:rPr>
            </w:pPr>
            <w:r w:rsidRPr="00286216">
              <w:rPr>
                <w:color w:val="000000" w:themeColor="text1"/>
                <w:szCs w:val="18"/>
              </w:rPr>
              <w:t>8) форвард на своп;</w:t>
            </w:r>
          </w:p>
          <w:p w14:paraId="4507E600" w14:textId="77777777" w:rsidR="00C70550" w:rsidRPr="00286216" w:rsidRDefault="00C70550" w:rsidP="006A358E">
            <w:pPr>
              <w:pStyle w:val="StyleZakonu"/>
              <w:rPr>
                <w:color w:val="000000" w:themeColor="text1"/>
                <w:szCs w:val="18"/>
              </w:rPr>
            </w:pPr>
            <w:r w:rsidRPr="00286216">
              <w:rPr>
                <w:color w:val="000000" w:themeColor="text1"/>
                <w:szCs w:val="18"/>
              </w:rPr>
              <w:lastRenderedPageBreak/>
              <w:t>9) контракт на різницю цін;</w:t>
            </w:r>
          </w:p>
          <w:p w14:paraId="5B0F5D33" w14:textId="77777777" w:rsidR="00C70550" w:rsidRPr="00286216" w:rsidRDefault="00C70550" w:rsidP="006A358E">
            <w:pPr>
              <w:pStyle w:val="StyleZakonu"/>
              <w:rPr>
                <w:color w:val="000000" w:themeColor="text1"/>
                <w:szCs w:val="18"/>
              </w:rPr>
            </w:pPr>
            <w:r w:rsidRPr="00286216">
              <w:rPr>
                <w:color w:val="000000" w:themeColor="text1"/>
                <w:szCs w:val="18"/>
              </w:rPr>
              <w:t>10) контракт на майбутню відсоткову ставку;</w:t>
            </w:r>
          </w:p>
          <w:p w14:paraId="77774723" w14:textId="77777777" w:rsidR="00C70550" w:rsidRPr="00286216" w:rsidRDefault="00C70550" w:rsidP="006A358E">
            <w:pPr>
              <w:pStyle w:val="StyleZakonu"/>
              <w:rPr>
                <w:color w:val="000000" w:themeColor="text1"/>
              </w:rPr>
            </w:pPr>
            <w:r w:rsidRPr="00286216">
              <w:rPr>
                <w:color w:val="000000" w:themeColor="text1"/>
              </w:rPr>
              <w:t>11) інші правочини, що відповідають визначенню статті 31 цього Закону.</w:t>
            </w:r>
          </w:p>
          <w:p w14:paraId="35F11336" w14:textId="77777777" w:rsidR="00C70550" w:rsidRPr="00286216" w:rsidRDefault="00C70550" w:rsidP="006A358E">
            <w:pPr>
              <w:pStyle w:val="StyleZakonu"/>
              <w:rPr>
                <w:color w:val="000000" w:themeColor="text1"/>
              </w:rPr>
            </w:pPr>
            <w:r w:rsidRPr="00286216">
              <w:rPr>
                <w:color w:val="000000" w:themeColor="text1"/>
              </w:rPr>
              <w:t>Національна комісія з цінних паперів та фондового ринку має право визначати інші види деривативних контрактів, які прямо не передбачені цією частиною, але відповідають визначенню, встановленому статтею 31 цього Закону.</w:t>
            </w:r>
          </w:p>
          <w:p w14:paraId="7C7ABE14" w14:textId="77777777" w:rsidR="00C70550" w:rsidRPr="00286216" w:rsidRDefault="00C70550" w:rsidP="006A358E">
            <w:pPr>
              <w:pStyle w:val="StyleZakonu"/>
              <w:rPr>
                <w:color w:val="000000" w:themeColor="text1"/>
              </w:rPr>
            </w:pPr>
            <w:r w:rsidRPr="00286216">
              <w:rPr>
                <w:color w:val="000000" w:themeColor="text1"/>
                <w:szCs w:val="18"/>
              </w:rPr>
              <w:t>2. Не є деривативними контрактами кредитні договори, договори репо, договори про участь у фонді фінансування будівництва, договори про придбання сертифікатів фонду операцій з нерухомістю, договори позики, банківського вкладу (депозиту), банківського рахунка, поруки, гарантії, факторингу, лізингу або страхування.</w:t>
            </w:r>
          </w:p>
          <w:p w14:paraId="0BDAFFB4" w14:textId="581E6371" w:rsidR="00C70550" w:rsidRPr="00286216" w:rsidRDefault="00C70550" w:rsidP="006A358E">
            <w:pPr>
              <w:pStyle w:val="StyleZakonu"/>
              <w:rPr>
                <w:color w:val="000000" w:themeColor="text1"/>
                <w:szCs w:val="18"/>
              </w:rPr>
            </w:pPr>
            <w:r w:rsidRPr="00286216">
              <w:rPr>
                <w:color w:val="000000" w:themeColor="text1"/>
                <w:szCs w:val="18"/>
              </w:rPr>
              <w:t>3. Опціон – це деривативний контракт, що укладається на організованому ринку або поза ним, за яким одна сторона зобов’язується у разі пред’явлення вимоги іншою стороною у майбутньому продати базовий актив іншій стороні (опціон «кол») або купити базовий актив у іншої сторони (опціон «пут») за ціною та на інших умовах, визначених сторонами під час вчинення правочину, відповідно до специфікації такого опціону (для опціонів, укладен</w:t>
            </w:r>
            <w:r w:rsidRPr="00286216">
              <w:rPr>
                <w:color w:val="000000" w:themeColor="text1"/>
                <w:szCs w:val="18"/>
                <w:lang w:val="ru-RU"/>
              </w:rPr>
              <w:t>их</w:t>
            </w:r>
            <w:r w:rsidRPr="00286216">
              <w:rPr>
                <w:color w:val="000000" w:themeColor="text1"/>
                <w:szCs w:val="18"/>
              </w:rPr>
              <w:t xml:space="preserve"> на організованому ринку). Опціон також може передбачати обов’язок однієї сторони сплатити іншій стороні певну суму коштів за набуте право вимоги за таким опціоном (премію опціону). </w:t>
            </w:r>
          </w:p>
          <w:p w14:paraId="6B90485F" w14:textId="20D9C669" w:rsidR="00C70550" w:rsidRPr="00286216" w:rsidRDefault="00C70550" w:rsidP="006A358E">
            <w:pPr>
              <w:pStyle w:val="StyleZakonu"/>
              <w:rPr>
                <w:color w:val="000000" w:themeColor="text1"/>
                <w:szCs w:val="18"/>
              </w:rPr>
            </w:pPr>
            <w:r w:rsidRPr="00286216">
              <w:rPr>
                <w:color w:val="000000" w:themeColor="text1"/>
                <w:szCs w:val="18"/>
              </w:rPr>
              <w:t xml:space="preserve">4. Форвард – це деривативний контракт, що укладається на організованому ринку або поза організованим ринком, за яким одна сторона зобов’язується у визначений момент у майбутньому передати базовий актив іншій стороні, а інша сторона зобов’язується купити базовий актив за ціною та на інших умовах, визначених сторонами під час укладення договору. </w:t>
            </w:r>
          </w:p>
          <w:p w14:paraId="19355641" w14:textId="10335CB2" w:rsidR="00C70550" w:rsidRPr="00286216" w:rsidRDefault="00C70550" w:rsidP="006A358E">
            <w:pPr>
              <w:pStyle w:val="StyleZakonu"/>
              <w:rPr>
                <w:color w:val="000000" w:themeColor="text1"/>
                <w:szCs w:val="18"/>
              </w:rPr>
            </w:pPr>
            <w:r w:rsidRPr="00286216">
              <w:rPr>
                <w:color w:val="000000" w:themeColor="text1"/>
                <w:szCs w:val="18"/>
                <w:lang w:val="ru-RU"/>
              </w:rPr>
              <w:t>5</w:t>
            </w:r>
            <w:r w:rsidRPr="00286216">
              <w:rPr>
                <w:color w:val="000000" w:themeColor="text1"/>
                <w:szCs w:val="18"/>
              </w:rPr>
              <w:t xml:space="preserve">. Ф’ючерс – це деривативний контракт, що укладається на організованому ринку, за яким одна сторона зобов’язується у визначений момент у майбутньому передати базовий актив іншій стороні, а інша сторона зобов’язується прийняти та оплатити базовий актив за ціною та на інших умовах, визначених сторонами під час укладення контракту, </w:t>
            </w:r>
            <w:r w:rsidRPr="00286216">
              <w:rPr>
                <w:color w:val="000000" w:themeColor="text1"/>
                <w:szCs w:val="18"/>
              </w:rPr>
              <w:lastRenderedPageBreak/>
              <w:t>відповідно до специфікації такого ф’ючерсу. Специфікація ф’ючерсу повинна містити, зокрема, і</w:t>
            </w:r>
            <w:r w:rsidRPr="00286216">
              <w:rPr>
                <w:color w:val="000000" w:themeColor="text1"/>
                <w:szCs w:val="18"/>
                <w:lang w:val="ru-RU"/>
              </w:rPr>
              <w:t xml:space="preserve">нформацію про </w:t>
            </w:r>
            <w:r w:rsidRPr="00286216">
              <w:rPr>
                <w:color w:val="000000" w:themeColor="text1"/>
                <w:szCs w:val="18"/>
              </w:rPr>
              <w:t xml:space="preserve">мінімальну кількість базового активу, який передається за контрактом, його якісні показники, мінімальний крок ціни у ході торгів, умови поставки, дату настання терміну виконання зобов’язання. </w:t>
            </w:r>
          </w:p>
          <w:p w14:paraId="2E3ACB43" w14:textId="1D77E505" w:rsidR="00C70550" w:rsidRPr="00286216" w:rsidRDefault="00C70550" w:rsidP="006A358E">
            <w:pPr>
              <w:pStyle w:val="StyleZakonu"/>
              <w:rPr>
                <w:color w:val="000000" w:themeColor="text1"/>
                <w:szCs w:val="18"/>
              </w:rPr>
            </w:pPr>
            <w:r w:rsidRPr="00286216">
              <w:rPr>
                <w:color w:val="000000" w:themeColor="text1"/>
                <w:szCs w:val="18"/>
                <w:lang w:val="ru-RU"/>
              </w:rPr>
              <w:t>6</w:t>
            </w:r>
            <w:r w:rsidRPr="00286216">
              <w:rPr>
                <w:color w:val="000000" w:themeColor="text1"/>
                <w:szCs w:val="18"/>
              </w:rPr>
              <w:t xml:space="preserve">. Своп – це деривативний контракт, що укладається на організованому ринку або поза ним, за яким сторони зобов’язуються протягом дії такого контракту з визначеною ним періодичністю здійснювати обмін платежами, розмір яких визначається відповідно до умов такого контракту. </w:t>
            </w:r>
          </w:p>
          <w:p w14:paraId="2094A667" w14:textId="70C7BCD6" w:rsidR="00C70550" w:rsidRPr="00286216" w:rsidRDefault="00C70550" w:rsidP="006A358E">
            <w:pPr>
              <w:pStyle w:val="StyleZakonu"/>
              <w:rPr>
                <w:color w:val="000000" w:themeColor="text1"/>
                <w:szCs w:val="18"/>
              </w:rPr>
            </w:pPr>
            <w:r w:rsidRPr="00286216">
              <w:rPr>
                <w:color w:val="000000" w:themeColor="text1"/>
                <w:szCs w:val="18"/>
                <w:lang w:val="ru-RU"/>
              </w:rPr>
              <w:t>7</w:t>
            </w:r>
            <w:r w:rsidRPr="00286216">
              <w:rPr>
                <w:color w:val="000000" w:themeColor="text1"/>
                <w:szCs w:val="18"/>
              </w:rPr>
              <w:t>. Кредитний дефолтний своп – це деривативний контракт, що укладається на організованому ринку або поза ним, за яким одна або кожна із сторін зобов’язуються здійснювати іншій стороні періодичні або одноразові платежі залежно від платоспроможності передбаченої умовами такого контракту особи, яка є емітентом цінного паперу або стороною деривативного контракту, або залежно від настання визначеної таким контрактом події.</w:t>
            </w:r>
          </w:p>
          <w:p w14:paraId="01C087D3" w14:textId="39A45B9F" w:rsidR="00C70550" w:rsidRPr="00286216" w:rsidRDefault="00C70550" w:rsidP="006A358E">
            <w:pPr>
              <w:pStyle w:val="StyleZakonu"/>
              <w:rPr>
                <w:color w:val="000000" w:themeColor="text1"/>
                <w:szCs w:val="18"/>
              </w:rPr>
            </w:pPr>
            <w:r w:rsidRPr="00286216">
              <w:rPr>
                <w:color w:val="000000" w:themeColor="text1"/>
                <w:szCs w:val="18"/>
                <w:lang w:val="ru-RU"/>
              </w:rPr>
              <w:t>8</w:t>
            </w:r>
            <w:r w:rsidRPr="00286216">
              <w:rPr>
                <w:color w:val="000000" w:themeColor="text1"/>
                <w:szCs w:val="18"/>
              </w:rPr>
              <w:t>. Свопціон – це деривативний контракт, що укладається на організованому ринку або поза ним, за умовами якого одна сторона отримує право, а інша сторона безумовне зобов’язання укласти своп на умовах, визначених сторонами під час укладення такого контракту, у визначений ним момент у майбутньому або до настання такого моменту.</w:t>
            </w:r>
          </w:p>
          <w:p w14:paraId="52276B4A" w14:textId="715BC298" w:rsidR="00C70550" w:rsidRPr="00286216" w:rsidRDefault="00C70550" w:rsidP="006A358E">
            <w:pPr>
              <w:pStyle w:val="StyleZakonu"/>
              <w:rPr>
                <w:color w:val="000000" w:themeColor="text1"/>
                <w:szCs w:val="18"/>
              </w:rPr>
            </w:pPr>
            <w:r w:rsidRPr="00286216">
              <w:rPr>
                <w:color w:val="000000" w:themeColor="text1"/>
                <w:szCs w:val="18"/>
                <w:lang w:val="ru-RU"/>
              </w:rPr>
              <w:t>9</w:t>
            </w:r>
            <w:r w:rsidRPr="00286216">
              <w:rPr>
                <w:color w:val="000000" w:themeColor="text1"/>
                <w:szCs w:val="18"/>
              </w:rPr>
              <w:t>. Ф’ючерс на своп – це деривативний контракт, що укладається на організованому ринку, за яким сторони зобов’язуються у визначений момент у майбутньому укласти своп на умовах, визначених сторонами під час укладення ф’ючерсу на своп, відповідно до специфікації такого ф’ючерсу на своп.</w:t>
            </w:r>
          </w:p>
          <w:p w14:paraId="4D4BD438" w14:textId="68452745" w:rsidR="00C70550" w:rsidRPr="00286216" w:rsidRDefault="00C70550" w:rsidP="006A358E">
            <w:pPr>
              <w:pStyle w:val="StyleZakonu"/>
              <w:rPr>
                <w:color w:val="000000" w:themeColor="text1"/>
              </w:rPr>
            </w:pPr>
            <w:r w:rsidRPr="00286216">
              <w:rPr>
                <w:color w:val="000000" w:themeColor="text1"/>
                <w:lang w:val="ru-RU"/>
              </w:rPr>
              <w:t>10</w:t>
            </w:r>
            <w:r w:rsidRPr="00286216">
              <w:rPr>
                <w:color w:val="000000" w:themeColor="text1"/>
              </w:rPr>
              <w:t>. Форвард на своп – це деривативний контракт, що укладається поза регульованим ринком, за яким сторони зобов’язуються у визначений момент у майбутньому укласти своп на умовах, визначених сторонами під час укладення форварду на своп.</w:t>
            </w:r>
          </w:p>
          <w:p w14:paraId="71194D1F" w14:textId="6B1D0A91" w:rsidR="00C70550" w:rsidRPr="00286216" w:rsidRDefault="00C70550" w:rsidP="006A358E">
            <w:pPr>
              <w:pStyle w:val="StyleZakonu"/>
              <w:rPr>
                <w:color w:val="000000" w:themeColor="text1"/>
              </w:rPr>
            </w:pPr>
            <w:r w:rsidRPr="00286216">
              <w:rPr>
                <w:color w:val="000000" w:themeColor="text1"/>
                <w:lang w:val="ru-RU"/>
              </w:rPr>
              <w:t>11</w:t>
            </w:r>
            <w:r w:rsidRPr="00286216">
              <w:rPr>
                <w:color w:val="000000" w:themeColor="text1"/>
              </w:rPr>
              <w:t xml:space="preserve">. Контракт на різницю цін – це деривативний контракт, що укладається на організованому ринку або поза ним та передбачає обов’язок однієї сторони (покупця) сплатити іншій стороні (продавцю) суму, </w:t>
            </w:r>
            <w:r w:rsidRPr="00286216">
              <w:rPr>
                <w:color w:val="000000" w:themeColor="text1"/>
              </w:rPr>
              <w:lastRenderedPageBreak/>
              <w:t>що дорівнює різниці між ціною базового активу на момент вчинення такого правочину, визначеною у порядку, встановленому сторонами, та ціною такого активу станом на дату закінчення дії контракту, визначеною у порядку, встановленому сторонами (далі – різницю цін), якщо ціна базового активу знизилася, та обов’язок продавця сплатити покупцю різницю цін, якщо ціна базового активу зросла. Контракт на різницю цін не може передбачати обов’язок продавця передати базовий актив.</w:t>
            </w:r>
          </w:p>
          <w:p w14:paraId="72B083DD" w14:textId="1F043093" w:rsidR="00C70550" w:rsidRPr="00286216" w:rsidRDefault="00C70550" w:rsidP="006A358E">
            <w:pPr>
              <w:pStyle w:val="StyleZakonu"/>
              <w:rPr>
                <w:color w:val="000000" w:themeColor="text1"/>
              </w:rPr>
            </w:pPr>
            <w:r w:rsidRPr="00286216">
              <w:rPr>
                <w:color w:val="000000" w:themeColor="text1"/>
              </w:rPr>
              <w:t>1</w:t>
            </w:r>
            <w:r w:rsidRPr="00286216">
              <w:rPr>
                <w:color w:val="000000" w:themeColor="text1"/>
                <w:lang w:val="ru-RU"/>
              </w:rPr>
              <w:t>2</w:t>
            </w:r>
            <w:r w:rsidRPr="00286216">
              <w:rPr>
                <w:color w:val="000000" w:themeColor="text1"/>
              </w:rPr>
              <w:t>. Контракт на майбутню відсоткову ставку – це деривативний контракт, що укладається на організованому ринку або поза ним та передбачає обов’язок однієї сторони (кредитора) сплатити іншій стороні (боржнику) компенсаційний платіж, якщо станом на майбутню дату, визначену деривативним контрактом, розмір відсоткової ставки, визначеної сторонами як базовий актив деривативного контракту (майбутня відсоткова ставка), буде більшим, ніж розмір такого базового активу, зазначений у деривативному контракті (фіксована відсоткова ставка), та обов’язок боржника сплатити кредитору компенсаційний платіж, якщо майбутня відсоткова ставка буде меншою, ніж фіксована відсоткова ставка. Якщо станом на дату, визначену деривативним контрактом, розмір майбутньої відсоткової ставки у порівнянні з фіксованою відсотковою ставкою не змінився, зобов’язання сторін за контрактом припиняються неможливістю їх виконання.</w:t>
            </w:r>
          </w:p>
          <w:p w14:paraId="78BF9ACF" w14:textId="77777777" w:rsidR="00C70550" w:rsidRPr="00286216" w:rsidRDefault="00C70550" w:rsidP="006A358E">
            <w:pPr>
              <w:pStyle w:val="StyleZakonu"/>
              <w:rPr>
                <w:color w:val="000000" w:themeColor="text1"/>
              </w:rPr>
            </w:pPr>
            <w:r w:rsidRPr="00286216">
              <w:rPr>
                <w:color w:val="000000" w:themeColor="text1"/>
              </w:rPr>
              <w:t>Компенсаційний платіж розраховується як абсолютне значення (модуль) різниці між добутком передбаченої контрактом суми основного грошового зобов’язання (грошового зобов’язання, до якого застосовується відсоткова ставка) та майбутньої відсоткової ставки та добутком передбаченої контрактом суми основного грошового зобов’язання та фіксованої відсоткової ставки</w:t>
            </w:r>
          </w:p>
          <w:p w14:paraId="69A2FC32" w14:textId="77777777" w:rsidR="00C70550" w:rsidRPr="00286216" w:rsidRDefault="00C70550" w:rsidP="006A358E">
            <w:pPr>
              <w:pStyle w:val="StyleZakonu"/>
              <w:rPr>
                <w:color w:val="000000" w:themeColor="text1"/>
                <w:szCs w:val="18"/>
              </w:rPr>
            </w:pPr>
          </w:p>
        </w:tc>
      </w:tr>
      <w:tr w:rsidR="00C70550" w:rsidRPr="00286216" w14:paraId="1B24778D" w14:textId="77777777" w:rsidTr="006A358E">
        <w:tc>
          <w:tcPr>
            <w:tcW w:w="576" w:type="dxa"/>
          </w:tcPr>
          <w:p w14:paraId="41E6309E" w14:textId="77777777" w:rsidR="00C70550" w:rsidRPr="00286216" w:rsidRDefault="00C70550" w:rsidP="006A358E">
            <w:pPr>
              <w:pStyle w:val="StyleWisnow"/>
              <w:rPr>
                <w:color w:val="000000" w:themeColor="text1"/>
              </w:rPr>
            </w:pPr>
            <w:r w:rsidRPr="00286216">
              <w:rPr>
                <w:color w:val="000000" w:themeColor="text1"/>
              </w:rPr>
              <w:lastRenderedPageBreak/>
              <w:t>575.</w:t>
            </w:r>
          </w:p>
        </w:tc>
        <w:tc>
          <w:tcPr>
            <w:tcW w:w="4818" w:type="dxa"/>
          </w:tcPr>
          <w:p w14:paraId="36E3FF7B" w14:textId="77777777" w:rsidR="00C70550" w:rsidRPr="00286216" w:rsidRDefault="00C70550" w:rsidP="006A358E">
            <w:pPr>
              <w:pStyle w:val="StyleZakonu"/>
              <w:rPr>
                <w:color w:val="000000" w:themeColor="text1"/>
              </w:rPr>
            </w:pPr>
            <w:r w:rsidRPr="00286216">
              <w:rPr>
                <w:color w:val="000000" w:themeColor="text1"/>
              </w:rPr>
              <w:t>1. Деривативними контрактами є:</w:t>
            </w:r>
          </w:p>
        </w:tc>
        <w:tc>
          <w:tcPr>
            <w:tcW w:w="3686" w:type="dxa"/>
          </w:tcPr>
          <w:p w14:paraId="63CCE29B" w14:textId="21D42576" w:rsidR="00C70550" w:rsidRPr="00286216" w:rsidRDefault="00C70550" w:rsidP="006A358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343</w:t>
            </w:r>
            <w:r w:rsidRPr="00286216">
              <w:rPr>
                <w:color w:val="000000" w:themeColor="text1"/>
              </w:rPr>
              <w:fldChar w:fldCharType="end"/>
            </w:r>
            <w:r w:rsidRPr="00286216">
              <w:rPr>
                <w:color w:val="000000" w:themeColor="text1"/>
              </w:rPr>
              <w:t>-Н.д.Шахов С.В. (Реєстр.картка №114)</w:t>
            </w:r>
          </w:p>
          <w:p w14:paraId="461E34BE"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у статті 38 частину першу викласти у такій редакції:</w:t>
            </w:r>
          </w:p>
          <w:p w14:paraId="0FDA2E19"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«1. Деривативними контрактами є:</w:t>
            </w:r>
            <w:r w:rsidRPr="00286216" w:rsidDel="00813811">
              <w:rPr>
                <w:color w:val="000000" w:themeColor="text1"/>
                <w:sz w:val="18"/>
              </w:rPr>
              <w:t xml:space="preserve"> </w:t>
            </w:r>
          </w:p>
        </w:tc>
        <w:tc>
          <w:tcPr>
            <w:tcW w:w="1987" w:type="dxa"/>
          </w:tcPr>
          <w:p w14:paraId="40273D17" w14:textId="77777777" w:rsidR="00C70550" w:rsidRPr="00286216" w:rsidRDefault="00C70550" w:rsidP="006A358E">
            <w:pPr>
              <w:pStyle w:val="StyleWisnow"/>
              <w:rPr>
                <w:color w:val="000000" w:themeColor="text1"/>
              </w:rPr>
            </w:pPr>
            <w:r w:rsidRPr="00286216">
              <w:rPr>
                <w:color w:val="000000" w:themeColor="text1"/>
              </w:rPr>
              <w:t>Враховано частково</w:t>
            </w:r>
          </w:p>
          <w:p w14:paraId="3C5F6430" w14:textId="77777777" w:rsidR="00C70550" w:rsidRPr="00286216" w:rsidRDefault="00C70550" w:rsidP="006A358E">
            <w:pPr>
              <w:pStyle w:val="StyleWisnow"/>
              <w:rPr>
                <w:color w:val="000000" w:themeColor="text1"/>
              </w:rPr>
            </w:pPr>
            <w:r w:rsidRPr="00286216">
              <w:rPr>
                <w:color w:val="000000" w:themeColor="text1"/>
              </w:rPr>
              <w:t>у запропонованій редакції</w:t>
            </w:r>
          </w:p>
          <w:p w14:paraId="32934E32" w14:textId="77777777" w:rsidR="00C70550" w:rsidRPr="00286216" w:rsidRDefault="00C70550" w:rsidP="006A358E">
            <w:pPr>
              <w:pStyle w:val="StyleWisnow"/>
              <w:spacing w:line="180" w:lineRule="exact"/>
              <w:rPr>
                <w:color w:val="000000" w:themeColor="text1"/>
              </w:rPr>
            </w:pPr>
          </w:p>
        </w:tc>
        <w:tc>
          <w:tcPr>
            <w:tcW w:w="4818" w:type="dxa"/>
          </w:tcPr>
          <w:p w14:paraId="582B95F3" w14:textId="77777777" w:rsidR="00C70550" w:rsidRPr="00286216" w:rsidRDefault="00C70550" w:rsidP="006A358E">
            <w:pPr>
              <w:pStyle w:val="StyleZakonu"/>
              <w:rPr>
                <w:color w:val="000000" w:themeColor="text1"/>
              </w:rPr>
            </w:pPr>
          </w:p>
        </w:tc>
      </w:tr>
      <w:tr w:rsidR="00C70550" w:rsidRPr="00286216" w14:paraId="1E826679" w14:textId="77777777" w:rsidTr="006A358E">
        <w:tc>
          <w:tcPr>
            <w:tcW w:w="576" w:type="dxa"/>
          </w:tcPr>
          <w:p w14:paraId="610B21C1" w14:textId="77777777" w:rsidR="00C70550" w:rsidRPr="00286216" w:rsidRDefault="00C70550" w:rsidP="006A358E">
            <w:pPr>
              <w:pStyle w:val="StyleWisnow"/>
              <w:rPr>
                <w:color w:val="000000" w:themeColor="text1"/>
              </w:rPr>
            </w:pPr>
            <w:r w:rsidRPr="00286216">
              <w:rPr>
                <w:color w:val="000000" w:themeColor="text1"/>
              </w:rPr>
              <w:t>576.</w:t>
            </w:r>
          </w:p>
        </w:tc>
        <w:tc>
          <w:tcPr>
            <w:tcW w:w="4818" w:type="dxa"/>
          </w:tcPr>
          <w:p w14:paraId="031AD889" w14:textId="77777777" w:rsidR="00C70550" w:rsidRPr="00286216" w:rsidRDefault="00C70550" w:rsidP="006A358E">
            <w:pPr>
              <w:pStyle w:val="StyleZakonu"/>
              <w:rPr>
                <w:color w:val="000000" w:themeColor="text1"/>
              </w:rPr>
            </w:pPr>
            <w:r w:rsidRPr="00286216">
              <w:rPr>
                <w:color w:val="000000" w:themeColor="text1"/>
              </w:rPr>
              <w:t>1) опціон;</w:t>
            </w:r>
          </w:p>
        </w:tc>
        <w:tc>
          <w:tcPr>
            <w:tcW w:w="3686" w:type="dxa"/>
          </w:tcPr>
          <w:p w14:paraId="37F1B711"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опціон;</w:t>
            </w:r>
          </w:p>
        </w:tc>
        <w:tc>
          <w:tcPr>
            <w:tcW w:w="1987" w:type="dxa"/>
          </w:tcPr>
          <w:p w14:paraId="4F08E2F7" w14:textId="77777777" w:rsidR="00C70550" w:rsidRPr="00286216" w:rsidRDefault="00C70550" w:rsidP="006A358E">
            <w:pPr>
              <w:pStyle w:val="StyleWisnow"/>
              <w:rPr>
                <w:color w:val="000000" w:themeColor="text1"/>
              </w:rPr>
            </w:pPr>
          </w:p>
        </w:tc>
        <w:tc>
          <w:tcPr>
            <w:tcW w:w="4818" w:type="dxa"/>
          </w:tcPr>
          <w:p w14:paraId="22F7FBC4" w14:textId="77777777" w:rsidR="00C70550" w:rsidRPr="00286216" w:rsidRDefault="00C70550" w:rsidP="006A358E">
            <w:pPr>
              <w:pStyle w:val="StyleZakonu"/>
              <w:rPr>
                <w:color w:val="000000" w:themeColor="text1"/>
              </w:rPr>
            </w:pPr>
          </w:p>
        </w:tc>
      </w:tr>
      <w:tr w:rsidR="00C70550" w:rsidRPr="00286216" w14:paraId="541B5E13" w14:textId="77777777" w:rsidTr="006A358E">
        <w:tc>
          <w:tcPr>
            <w:tcW w:w="576" w:type="dxa"/>
          </w:tcPr>
          <w:p w14:paraId="0BA1E263" w14:textId="77777777" w:rsidR="00C70550" w:rsidRPr="00286216" w:rsidRDefault="00C70550" w:rsidP="006A358E">
            <w:pPr>
              <w:pStyle w:val="StyleWisnow"/>
              <w:rPr>
                <w:color w:val="000000" w:themeColor="text1"/>
              </w:rPr>
            </w:pPr>
            <w:r w:rsidRPr="00286216">
              <w:rPr>
                <w:color w:val="000000" w:themeColor="text1"/>
              </w:rPr>
              <w:t>577.</w:t>
            </w:r>
          </w:p>
        </w:tc>
        <w:tc>
          <w:tcPr>
            <w:tcW w:w="4818" w:type="dxa"/>
          </w:tcPr>
          <w:p w14:paraId="5C76ACCE" w14:textId="77777777" w:rsidR="00C70550" w:rsidRPr="00286216" w:rsidRDefault="00C70550" w:rsidP="006A358E">
            <w:pPr>
              <w:pStyle w:val="StyleZakonu"/>
              <w:rPr>
                <w:color w:val="000000" w:themeColor="text1"/>
              </w:rPr>
            </w:pPr>
            <w:r w:rsidRPr="00286216">
              <w:rPr>
                <w:color w:val="000000" w:themeColor="text1"/>
              </w:rPr>
              <w:t>2) своп;</w:t>
            </w:r>
          </w:p>
        </w:tc>
        <w:tc>
          <w:tcPr>
            <w:tcW w:w="3686" w:type="dxa"/>
          </w:tcPr>
          <w:p w14:paraId="4FD0478E"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своп;</w:t>
            </w:r>
          </w:p>
        </w:tc>
        <w:tc>
          <w:tcPr>
            <w:tcW w:w="1987" w:type="dxa"/>
          </w:tcPr>
          <w:p w14:paraId="045601EF" w14:textId="77777777" w:rsidR="00C70550" w:rsidRPr="00286216" w:rsidRDefault="00C70550" w:rsidP="006A358E">
            <w:pPr>
              <w:pStyle w:val="StyleWisnow"/>
              <w:rPr>
                <w:color w:val="000000" w:themeColor="text1"/>
              </w:rPr>
            </w:pPr>
          </w:p>
        </w:tc>
        <w:tc>
          <w:tcPr>
            <w:tcW w:w="4818" w:type="dxa"/>
          </w:tcPr>
          <w:p w14:paraId="7294DE26" w14:textId="77777777" w:rsidR="00C70550" w:rsidRPr="00286216" w:rsidRDefault="00C70550" w:rsidP="006A358E">
            <w:pPr>
              <w:pStyle w:val="StyleZakonu"/>
              <w:rPr>
                <w:color w:val="000000" w:themeColor="text1"/>
              </w:rPr>
            </w:pPr>
          </w:p>
        </w:tc>
      </w:tr>
      <w:tr w:rsidR="00C70550" w:rsidRPr="00286216" w14:paraId="5C9B0CF3" w14:textId="77777777" w:rsidTr="006A358E">
        <w:tc>
          <w:tcPr>
            <w:tcW w:w="576" w:type="dxa"/>
          </w:tcPr>
          <w:p w14:paraId="38F4EBEC" w14:textId="77777777" w:rsidR="00C70550" w:rsidRPr="00286216" w:rsidRDefault="00C70550" w:rsidP="006A358E">
            <w:pPr>
              <w:pStyle w:val="StyleWisnow"/>
              <w:rPr>
                <w:color w:val="000000" w:themeColor="text1"/>
              </w:rPr>
            </w:pPr>
            <w:r w:rsidRPr="00286216">
              <w:rPr>
                <w:color w:val="000000" w:themeColor="text1"/>
              </w:rPr>
              <w:t>578.</w:t>
            </w:r>
          </w:p>
        </w:tc>
        <w:tc>
          <w:tcPr>
            <w:tcW w:w="4818" w:type="dxa"/>
          </w:tcPr>
          <w:p w14:paraId="270BA197" w14:textId="77777777" w:rsidR="00C70550" w:rsidRPr="00286216" w:rsidRDefault="00C70550" w:rsidP="006A358E">
            <w:pPr>
              <w:pStyle w:val="StyleZakonu"/>
              <w:rPr>
                <w:color w:val="000000" w:themeColor="text1"/>
              </w:rPr>
            </w:pPr>
            <w:r w:rsidRPr="00286216">
              <w:rPr>
                <w:color w:val="000000" w:themeColor="text1"/>
              </w:rPr>
              <w:t>3) ф’ючерс;</w:t>
            </w:r>
          </w:p>
        </w:tc>
        <w:tc>
          <w:tcPr>
            <w:tcW w:w="3686" w:type="dxa"/>
          </w:tcPr>
          <w:p w14:paraId="0442E411"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ф’ючерс;</w:t>
            </w:r>
          </w:p>
        </w:tc>
        <w:tc>
          <w:tcPr>
            <w:tcW w:w="1987" w:type="dxa"/>
          </w:tcPr>
          <w:p w14:paraId="15341B39" w14:textId="77777777" w:rsidR="00C70550" w:rsidRPr="00286216" w:rsidRDefault="00C70550" w:rsidP="006A358E">
            <w:pPr>
              <w:pStyle w:val="StyleWisnow"/>
              <w:rPr>
                <w:color w:val="000000" w:themeColor="text1"/>
              </w:rPr>
            </w:pPr>
          </w:p>
        </w:tc>
        <w:tc>
          <w:tcPr>
            <w:tcW w:w="4818" w:type="dxa"/>
          </w:tcPr>
          <w:p w14:paraId="0B051248" w14:textId="77777777" w:rsidR="00C70550" w:rsidRPr="00286216" w:rsidRDefault="00C70550" w:rsidP="006A358E">
            <w:pPr>
              <w:pStyle w:val="StyleZakonu"/>
              <w:rPr>
                <w:color w:val="000000" w:themeColor="text1"/>
              </w:rPr>
            </w:pPr>
          </w:p>
        </w:tc>
      </w:tr>
      <w:tr w:rsidR="00C70550" w:rsidRPr="00286216" w14:paraId="61A81170" w14:textId="77777777" w:rsidTr="006A358E">
        <w:tc>
          <w:tcPr>
            <w:tcW w:w="576" w:type="dxa"/>
          </w:tcPr>
          <w:p w14:paraId="434CBA57" w14:textId="77777777" w:rsidR="00C70550" w:rsidRPr="00286216" w:rsidRDefault="00C70550" w:rsidP="006A358E">
            <w:pPr>
              <w:pStyle w:val="StyleWisnow"/>
              <w:rPr>
                <w:color w:val="000000" w:themeColor="text1"/>
              </w:rPr>
            </w:pPr>
            <w:r w:rsidRPr="00286216">
              <w:rPr>
                <w:color w:val="000000" w:themeColor="text1"/>
              </w:rPr>
              <w:t>579.</w:t>
            </w:r>
          </w:p>
        </w:tc>
        <w:tc>
          <w:tcPr>
            <w:tcW w:w="4818" w:type="dxa"/>
          </w:tcPr>
          <w:p w14:paraId="7195834E" w14:textId="77777777" w:rsidR="00C70550" w:rsidRPr="00286216" w:rsidRDefault="00C70550" w:rsidP="006A358E">
            <w:pPr>
              <w:pStyle w:val="StyleZakonu"/>
              <w:rPr>
                <w:color w:val="000000" w:themeColor="text1"/>
              </w:rPr>
            </w:pPr>
            <w:r w:rsidRPr="00286216">
              <w:rPr>
                <w:color w:val="000000" w:themeColor="text1"/>
              </w:rPr>
              <w:t>4) форвард;</w:t>
            </w:r>
          </w:p>
        </w:tc>
        <w:tc>
          <w:tcPr>
            <w:tcW w:w="3686" w:type="dxa"/>
          </w:tcPr>
          <w:p w14:paraId="0FDB302A"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форвард;</w:t>
            </w:r>
          </w:p>
          <w:p w14:paraId="66D3733A" w14:textId="77777777" w:rsidR="00C70550" w:rsidRPr="00286216" w:rsidRDefault="00C70550" w:rsidP="006A358E">
            <w:pPr>
              <w:pStyle w:val="StyleProp"/>
              <w:rPr>
                <w:color w:val="000000" w:themeColor="text1"/>
                <w:szCs w:val="18"/>
              </w:rPr>
            </w:pPr>
            <w:r w:rsidRPr="00286216">
              <w:rPr>
                <w:color w:val="000000" w:themeColor="text1"/>
              </w:rPr>
              <w:t>інші договори, що включають один або декілька видів деривативних контактів, зазначених вище та відповідають вимогам статті 36 цього Закону».</w:t>
            </w:r>
          </w:p>
        </w:tc>
        <w:tc>
          <w:tcPr>
            <w:tcW w:w="1987" w:type="dxa"/>
          </w:tcPr>
          <w:p w14:paraId="58F86C35" w14:textId="77777777" w:rsidR="00C70550" w:rsidRPr="00286216" w:rsidRDefault="00C70550" w:rsidP="006A358E">
            <w:pPr>
              <w:pStyle w:val="StyleWisnow"/>
              <w:rPr>
                <w:color w:val="000000" w:themeColor="text1"/>
              </w:rPr>
            </w:pPr>
          </w:p>
        </w:tc>
        <w:tc>
          <w:tcPr>
            <w:tcW w:w="4818" w:type="dxa"/>
          </w:tcPr>
          <w:p w14:paraId="4D5C1BEC" w14:textId="77777777" w:rsidR="00C70550" w:rsidRPr="00286216" w:rsidRDefault="00C70550" w:rsidP="006A358E">
            <w:pPr>
              <w:pStyle w:val="StyleZakonu"/>
              <w:rPr>
                <w:color w:val="000000" w:themeColor="text1"/>
              </w:rPr>
            </w:pPr>
          </w:p>
        </w:tc>
      </w:tr>
      <w:tr w:rsidR="00C70550" w:rsidRPr="00286216" w14:paraId="0101D761" w14:textId="77777777" w:rsidTr="006A358E">
        <w:tc>
          <w:tcPr>
            <w:tcW w:w="576" w:type="dxa"/>
          </w:tcPr>
          <w:p w14:paraId="07B1D453" w14:textId="77777777" w:rsidR="00C70550" w:rsidRPr="00286216" w:rsidRDefault="00C70550" w:rsidP="006A358E">
            <w:pPr>
              <w:pStyle w:val="StyleWisnow"/>
              <w:rPr>
                <w:color w:val="000000" w:themeColor="text1"/>
              </w:rPr>
            </w:pPr>
            <w:r w:rsidRPr="00286216">
              <w:rPr>
                <w:color w:val="000000" w:themeColor="text1"/>
              </w:rPr>
              <w:t>580.</w:t>
            </w:r>
          </w:p>
        </w:tc>
        <w:tc>
          <w:tcPr>
            <w:tcW w:w="4818" w:type="dxa"/>
          </w:tcPr>
          <w:p w14:paraId="4C2B3770" w14:textId="77777777" w:rsidR="00C70550" w:rsidRPr="00286216" w:rsidRDefault="00C70550" w:rsidP="006A358E">
            <w:pPr>
              <w:pStyle w:val="StyleZakonu"/>
              <w:rPr>
                <w:color w:val="000000" w:themeColor="text1"/>
              </w:rPr>
            </w:pPr>
            <w:r w:rsidRPr="00286216">
              <w:rPr>
                <w:color w:val="000000" w:themeColor="text1"/>
              </w:rPr>
              <w:t>5) інші договори, що відповідають вимогам статті 36 цього Закону.</w:t>
            </w:r>
          </w:p>
        </w:tc>
        <w:tc>
          <w:tcPr>
            <w:tcW w:w="3686" w:type="dxa"/>
          </w:tcPr>
          <w:p w14:paraId="30FAA1E0" w14:textId="4499C5B9"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344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A20CE37" w14:textId="77777777" w:rsidR="00C70550" w:rsidRPr="00286216" w:rsidRDefault="00C70550" w:rsidP="00E33D71">
            <w:pPr>
              <w:spacing w:line="180" w:lineRule="exact"/>
              <w:ind w:firstLine="227"/>
              <w:jc w:val="both"/>
              <w:rPr>
                <w:color w:val="000000" w:themeColor="text1"/>
                <w:sz w:val="18"/>
              </w:rPr>
            </w:pPr>
            <w:r w:rsidRPr="00286216">
              <w:rPr>
                <w:color w:val="000000" w:themeColor="text1"/>
                <w:sz w:val="18"/>
              </w:rPr>
              <w:t>В статті 38 частину першу доповнити новим пунктом такого змісту:</w:t>
            </w:r>
          </w:p>
          <w:p w14:paraId="7793E486" w14:textId="77777777" w:rsidR="00C70550" w:rsidRPr="00286216" w:rsidRDefault="00C70550" w:rsidP="00E33D71">
            <w:pPr>
              <w:spacing w:line="180" w:lineRule="exact"/>
              <w:ind w:firstLine="227"/>
              <w:jc w:val="both"/>
              <w:rPr>
                <w:color w:val="000000" w:themeColor="text1"/>
                <w:sz w:val="18"/>
              </w:rPr>
            </w:pPr>
            <w:r w:rsidRPr="00286216">
              <w:rPr>
                <w:color w:val="000000" w:themeColor="text1"/>
                <w:sz w:val="18"/>
              </w:rPr>
              <w:t>«5) кредитний дефолтний своп».</w:t>
            </w:r>
          </w:p>
        </w:tc>
        <w:tc>
          <w:tcPr>
            <w:tcW w:w="1987" w:type="dxa"/>
          </w:tcPr>
          <w:p w14:paraId="7FB2F2FE"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0F210678" w14:textId="77777777" w:rsidR="00C70550" w:rsidRPr="00286216" w:rsidRDefault="00C70550" w:rsidP="006A358E">
            <w:pPr>
              <w:pStyle w:val="StyleZakonu"/>
              <w:rPr>
                <w:color w:val="000000" w:themeColor="text1"/>
              </w:rPr>
            </w:pPr>
          </w:p>
        </w:tc>
      </w:tr>
      <w:tr w:rsidR="00C70550" w:rsidRPr="00286216" w14:paraId="696D2249" w14:textId="77777777" w:rsidTr="006A358E">
        <w:tc>
          <w:tcPr>
            <w:tcW w:w="576" w:type="dxa"/>
          </w:tcPr>
          <w:p w14:paraId="3EB0570A" w14:textId="77777777" w:rsidR="00C70550" w:rsidRPr="00286216" w:rsidRDefault="00C70550" w:rsidP="006A358E">
            <w:pPr>
              <w:pStyle w:val="StyleWisnow"/>
              <w:rPr>
                <w:color w:val="000000" w:themeColor="text1"/>
              </w:rPr>
            </w:pPr>
            <w:r w:rsidRPr="00286216">
              <w:rPr>
                <w:color w:val="000000" w:themeColor="text1"/>
              </w:rPr>
              <w:t>581.</w:t>
            </w:r>
          </w:p>
        </w:tc>
        <w:tc>
          <w:tcPr>
            <w:tcW w:w="4818" w:type="dxa"/>
          </w:tcPr>
          <w:p w14:paraId="0E07FA52" w14:textId="77777777" w:rsidR="00C70550" w:rsidRPr="00286216" w:rsidRDefault="00C70550" w:rsidP="00E33D71">
            <w:pPr>
              <w:pStyle w:val="StyleZakonu"/>
              <w:spacing w:after="40" w:line="214" w:lineRule="exact"/>
              <w:rPr>
                <w:color w:val="000000" w:themeColor="text1"/>
              </w:rPr>
            </w:pPr>
            <w:r w:rsidRPr="00286216">
              <w:rPr>
                <w:color w:val="000000" w:themeColor="text1"/>
              </w:rPr>
              <w:t>Національна комісія з цінних паперів та фондового ринку має право визначати інші види деривативних контрактів, які прямо не передбачені цією частиною, але відповідають вимогам, встановленим статтею 36 цього Закону.</w:t>
            </w:r>
          </w:p>
        </w:tc>
        <w:tc>
          <w:tcPr>
            <w:tcW w:w="3686" w:type="dxa"/>
          </w:tcPr>
          <w:p w14:paraId="631AD901" w14:textId="77777777" w:rsidR="00C70550" w:rsidRPr="00286216" w:rsidRDefault="00C70550" w:rsidP="006A358E">
            <w:pPr>
              <w:spacing w:line="200" w:lineRule="exact"/>
              <w:ind w:firstLine="227"/>
              <w:jc w:val="both"/>
              <w:rPr>
                <w:color w:val="000000" w:themeColor="text1"/>
                <w:szCs w:val="18"/>
              </w:rPr>
            </w:pPr>
          </w:p>
        </w:tc>
        <w:tc>
          <w:tcPr>
            <w:tcW w:w="1987" w:type="dxa"/>
          </w:tcPr>
          <w:p w14:paraId="1803E491" w14:textId="77777777" w:rsidR="00C70550" w:rsidRPr="00286216" w:rsidRDefault="00C70550" w:rsidP="006A358E">
            <w:pPr>
              <w:pStyle w:val="StyleWisnow"/>
              <w:rPr>
                <w:color w:val="000000" w:themeColor="text1"/>
              </w:rPr>
            </w:pPr>
          </w:p>
        </w:tc>
        <w:tc>
          <w:tcPr>
            <w:tcW w:w="4818" w:type="dxa"/>
          </w:tcPr>
          <w:p w14:paraId="6864430C" w14:textId="77777777" w:rsidR="00C70550" w:rsidRPr="00286216" w:rsidRDefault="00C70550" w:rsidP="006A358E">
            <w:pPr>
              <w:pStyle w:val="StyleZakonu"/>
              <w:rPr>
                <w:color w:val="000000" w:themeColor="text1"/>
              </w:rPr>
            </w:pPr>
          </w:p>
        </w:tc>
      </w:tr>
      <w:tr w:rsidR="00C70550" w:rsidRPr="00286216" w14:paraId="31CFCA26" w14:textId="77777777" w:rsidTr="006A358E">
        <w:tc>
          <w:tcPr>
            <w:tcW w:w="576" w:type="dxa"/>
          </w:tcPr>
          <w:p w14:paraId="1AC93F2F" w14:textId="77777777" w:rsidR="00C70550" w:rsidRPr="00286216" w:rsidRDefault="00C70550" w:rsidP="006A358E">
            <w:pPr>
              <w:pStyle w:val="StyleWisnow"/>
              <w:rPr>
                <w:color w:val="000000" w:themeColor="text1"/>
              </w:rPr>
            </w:pPr>
            <w:r w:rsidRPr="00286216">
              <w:rPr>
                <w:color w:val="000000" w:themeColor="text1"/>
              </w:rPr>
              <w:t>582.</w:t>
            </w:r>
          </w:p>
        </w:tc>
        <w:tc>
          <w:tcPr>
            <w:tcW w:w="4818" w:type="dxa"/>
          </w:tcPr>
          <w:p w14:paraId="3589C0CC" w14:textId="77777777" w:rsidR="00C70550" w:rsidRPr="00286216" w:rsidRDefault="00C70550" w:rsidP="00E33D71">
            <w:pPr>
              <w:pStyle w:val="StyleZakonu"/>
              <w:spacing w:after="40" w:line="214" w:lineRule="exact"/>
              <w:rPr>
                <w:color w:val="000000" w:themeColor="text1"/>
              </w:rPr>
            </w:pPr>
            <w:r w:rsidRPr="00286216">
              <w:rPr>
                <w:color w:val="000000" w:themeColor="text1"/>
              </w:rPr>
              <w:t xml:space="preserve">2. Опціон – деривативний контракт, що укладається як на організованому ринку, так і поза ним, і за яким одна сторона зобов’язується у разі пред’явлення вимоги іншою стороною у майбутньому продати базовий актив іншій стороні (опціон "кол") або купити базовий актив у іншої сторони (опціон "пут") за ціною та на інших умовах, визначених сторонами під час укладення договору, відповідно до специфікації такого опціону (для опціонів, що укладені на регульованому ринку). Опціон також може передбачати обов’язок однієї сторони сплатити іншій стороні певну суму коштів за набуте право скористатися опціоном (премію опціону). Опціон може передбачати обов’язок одноразово або періодично сплачувати суми коштів залежно від значення базового показника без відчуження базового активу, або відчуження базового активу може бути замінено розрахунками залежно від базового </w:t>
            </w:r>
            <w:r w:rsidRPr="00286216">
              <w:rPr>
                <w:color w:val="000000" w:themeColor="text1"/>
              </w:rPr>
              <w:lastRenderedPageBreak/>
              <w:t>показника, що відповідає базовому активу.</w:t>
            </w:r>
          </w:p>
        </w:tc>
        <w:tc>
          <w:tcPr>
            <w:tcW w:w="3686" w:type="dxa"/>
          </w:tcPr>
          <w:p w14:paraId="00B619F8" w14:textId="77777777" w:rsidR="00C70550" w:rsidRPr="00286216" w:rsidRDefault="00C70550" w:rsidP="006A358E">
            <w:pPr>
              <w:pStyle w:val="StyleProp"/>
              <w:rPr>
                <w:color w:val="000000" w:themeColor="text1"/>
                <w:szCs w:val="18"/>
              </w:rPr>
            </w:pPr>
          </w:p>
        </w:tc>
        <w:tc>
          <w:tcPr>
            <w:tcW w:w="1987" w:type="dxa"/>
          </w:tcPr>
          <w:p w14:paraId="650EF9FC" w14:textId="77777777" w:rsidR="00C70550" w:rsidRPr="00286216" w:rsidRDefault="00C70550" w:rsidP="006A358E">
            <w:pPr>
              <w:pStyle w:val="StyleWisnow"/>
              <w:rPr>
                <w:color w:val="000000" w:themeColor="text1"/>
              </w:rPr>
            </w:pPr>
          </w:p>
        </w:tc>
        <w:tc>
          <w:tcPr>
            <w:tcW w:w="4818" w:type="dxa"/>
          </w:tcPr>
          <w:p w14:paraId="0A992FEA" w14:textId="77777777" w:rsidR="00C70550" w:rsidRPr="00286216" w:rsidRDefault="00C70550" w:rsidP="006A358E">
            <w:pPr>
              <w:pStyle w:val="StyleZakonu"/>
              <w:rPr>
                <w:color w:val="000000" w:themeColor="text1"/>
              </w:rPr>
            </w:pPr>
          </w:p>
        </w:tc>
      </w:tr>
      <w:tr w:rsidR="00C70550" w:rsidRPr="00286216" w14:paraId="173237DD" w14:textId="77777777" w:rsidTr="006A358E">
        <w:tc>
          <w:tcPr>
            <w:tcW w:w="576" w:type="dxa"/>
          </w:tcPr>
          <w:p w14:paraId="0B8AD8BE" w14:textId="77777777" w:rsidR="00C70550" w:rsidRPr="00286216" w:rsidRDefault="00C70550" w:rsidP="006A358E">
            <w:pPr>
              <w:pStyle w:val="StyleWisnow"/>
              <w:rPr>
                <w:color w:val="000000" w:themeColor="text1"/>
              </w:rPr>
            </w:pPr>
            <w:r w:rsidRPr="00286216">
              <w:rPr>
                <w:color w:val="000000" w:themeColor="text1"/>
              </w:rPr>
              <w:t>583.</w:t>
            </w:r>
          </w:p>
        </w:tc>
        <w:tc>
          <w:tcPr>
            <w:tcW w:w="4818" w:type="dxa"/>
          </w:tcPr>
          <w:p w14:paraId="68A9A8B1" w14:textId="77777777" w:rsidR="00C70550" w:rsidRPr="00286216" w:rsidRDefault="00C70550" w:rsidP="00E33D71">
            <w:pPr>
              <w:pStyle w:val="StyleZakonu"/>
              <w:spacing w:after="40" w:line="214" w:lineRule="exact"/>
              <w:rPr>
                <w:color w:val="000000" w:themeColor="text1"/>
              </w:rPr>
            </w:pPr>
            <w:r w:rsidRPr="00286216">
              <w:rPr>
                <w:color w:val="000000" w:themeColor="text1"/>
              </w:rPr>
              <w:t>3. Своп – деривативний контракт, що укладається як на організованому ринку, так і поза ним, за яким одна або кожна із сторін зобов’язуються здійснювати іншій стороні періодичні або одноразові платежі, суми яких визначаються на підставі значень різних базових показників або різних видів або значень одного базового показника, на умовах, визначених сторонами під час укладення договору. Виконання зобов’язань за свопом може супроводжуватися відчуженням базового активу або обміном базовими активами, з яким(якими) пов’язані базові показники, на підставі яких здійснюється визначення розміру платежів сторін.</w:t>
            </w:r>
          </w:p>
        </w:tc>
        <w:tc>
          <w:tcPr>
            <w:tcW w:w="3686" w:type="dxa"/>
          </w:tcPr>
          <w:p w14:paraId="4FB98CEE" w14:textId="77777777" w:rsidR="00C70550" w:rsidRPr="00286216" w:rsidRDefault="00C70550" w:rsidP="006A358E">
            <w:pPr>
              <w:pStyle w:val="StyleProp"/>
              <w:rPr>
                <w:color w:val="000000" w:themeColor="text1"/>
                <w:szCs w:val="18"/>
              </w:rPr>
            </w:pPr>
          </w:p>
        </w:tc>
        <w:tc>
          <w:tcPr>
            <w:tcW w:w="1987" w:type="dxa"/>
          </w:tcPr>
          <w:p w14:paraId="1C605F41" w14:textId="77777777" w:rsidR="00C70550" w:rsidRPr="00286216" w:rsidRDefault="00C70550" w:rsidP="006A358E">
            <w:pPr>
              <w:pStyle w:val="StyleWisnow"/>
              <w:rPr>
                <w:color w:val="000000" w:themeColor="text1"/>
              </w:rPr>
            </w:pPr>
          </w:p>
        </w:tc>
        <w:tc>
          <w:tcPr>
            <w:tcW w:w="4818" w:type="dxa"/>
          </w:tcPr>
          <w:p w14:paraId="3832FD75" w14:textId="77777777" w:rsidR="00C70550" w:rsidRPr="00286216" w:rsidRDefault="00C70550" w:rsidP="006A358E">
            <w:pPr>
              <w:pStyle w:val="StyleZakonu"/>
              <w:rPr>
                <w:color w:val="000000" w:themeColor="text1"/>
              </w:rPr>
            </w:pPr>
          </w:p>
        </w:tc>
      </w:tr>
      <w:tr w:rsidR="00C70550" w:rsidRPr="00286216" w14:paraId="13E50BE3" w14:textId="77777777" w:rsidTr="006A358E">
        <w:tc>
          <w:tcPr>
            <w:tcW w:w="576" w:type="dxa"/>
          </w:tcPr>
          <w:p w14:paraId="7C95E243" w14:textId="77777777" w:rsidR="00C70550" w:rsidRPr="00286216" w:rsidRDefault="00C70550" w:rsidP="006A358E">
            <w:pPr>
              <w:pStyle w:val="StyleWisnow"/>
              <w:rPr>
                <w:color w:val="000000" w:themeColor="text1"/>
              </w:rPr>
            </w:pPr>
            <w:r w:rsidRPr="00286216">
              <w:rPr>
                <w:color w:val="000000" w:themeColor="text1"/>
              </w:rPr>
              <w:t>584.</w:t>
            </w:r>
          </w:p>
        </w:tc>
        <w:tc>
          <w:tcPr>
            <w:tcW w:w="4818" w:type="dxa"/>
          </w:tcPr>
          <w:p w14:paraId="1D162166" w14:textId="77777777" w:rsidR="00C70550" w:rsidRPr="00286216" w:rsidRDefault="00C70550" w:rsidP="00E33D71">
            <w:pPr>
              <w:pStyle w:val="StyleZakonu"/>
              <w:spacing w:after="40" w:line="214" w:lineRule="exact"/>
              <w:rPr>
                <w:color w:val="000000" w:themeColor="text1"/>
              </w:rPr>
            </w:pPr>
            <w:r w:rsidRPr="00286216">
              <w:rPr>
                <w:color w:val="000000" w:themeColor="text1"/>
              </w:rPr>
              <w:t>4. Ф’ючерс – деривативний контракт, що укладається на організованому ринку, за яким одна сторона зобов’язується у визначений момент у майбутньому продати базовий актив іншій стороні, а інша сторона зобов’язується купити базовий актив за ціною та на інших умовах, визначених сторонами під час укладення договору, відповідно до специфікації такого ф’ючерсу. Ф’ючерс може передбачати обов’язок одноразово або періодично сплачувати суми коштів залежно від значення базового показника без відчуження базового активу, або відчуження базового активу може бути замінено розрахунками залежно від базового показника, що відповідає базовому активу.</w:t>
            </w:r>
          </w:p>
        </w:tc>
        <w:tc>
          <w:tcPr>
            <w:tcW w:w="3686" w:type="dxa"/>
          </w:tcPr>
          <w:p w14:paraId="750BFFAC" w14:textId="77777777" w:rsidR="00C70550" w:rsidRPr="00286216" w:rsidRDefault="00C70550" w:rsidP="006A358E">
            <w:pPr>
              <w:pStyle w:val="StyleProp"/>
              <w:rPr>
                <w:color w:val="000000" w:themeColor="text1"/>
                <w:szCs w:val="18"/>
              </w:rPr>
            </w:pPr>
          </w:p>
        </w:tc>
        <w:tc>
          <w:tcPr>
            <w:tcW w:w="1987" w:type="dxa"/>
          </w:tcPr>
          <w:p w14:paraId="685C5D79" w14:textId="77777777" w:rsidR="00C70550" w:rsidRPr="00286216" w:rsidRDefault="00C70550" w:rsidP="006A358E">
            <w:pPr>
              <w:pStyle w:val="StyleWisnow"/>
              <w:rPr>
                <w:color w:val="000000" w:themeColor="text1"/>
              </w:rPr>
            </w:pPr>
          </w:p>
        </w:tc>
        <w:tc>
          <w:tcPr>
            <w:tcW w:w="4818" w:type="dxa"/>
          </w:tcPr>
          <w:p w14:paraId="3A7ACBB1" w14:textId="77777777" w:rsidR="00C70550" w:rsidRPr="00286216" w:rsidRDefault="00C70550" w:rsidP="006A358E">
            <w:pPr>
              <w:pStyle w:val="StyleZakonu"/>
              <w:rPr>
                <w:color w:val="000000" w:themeColor="text1"/>
              </w:rPr>
            </w:pPr>
          </w:p>
        </w:tc>
      </w:tr>
      <w:tr w:rsidR="00C70550" w:rsidRPr="00286216" w14:paraId="145F6B12" w14:textId="77777777" w:rsidTr="006A358E">
        <w:tc>
          <w:tcPr>
            <w:tcW w:w="576" w:type="dxa"/>
          </w:tcPr>
          <w:p w14:paraId="5505BAFC" w14:textId="77777777" w:rsidR="00C70550" w:rsidRPr="00286216" w:rsidRDefault="00C70550" w:rsidP="006A358E">
            <w:pPr>
              <w:pStyle w:val="StyleWisnow"/>
              <w:rPr>
                <w:color w:val="000000" w:themeColor="text1"/>
              </w:rPr>
            </w:pPr>
            <w:r w:rsidRPr="00286216">
              <w:rPr>
                <w:color w:val="000000" w:themeColor="text1"/>
              </w:rPr>
              <w:t>585.</w:t>
            </w:r>
          </w:p>
        </w:tc>
        <w:tc>
          <w:tcPr>
            <w:tcW w:w="4818" w:type="dxa"/>
          </w:tcPr>
          <w:p w14:paraId="57E3463D" w14:textId="77777777" w:rsidR="00C70550" w:rsidRPr="00286216" w:rsidRDefault="00C70550" w:rsidP="00E33D71">
            <w:pPr>
              <w:pStyle w:val="StyleZakonu"/>
              <w:spacing w:after="40" w:line="214" w:lineRule="exact"/>
              <w:rPr>
                <w:color w:val="000000" w:themeColor="text1"/>
              </w:rPr>
            </w:pPr>
            <w:r w:rsidRPr="00286216">
              <w:rPr>
                <w:color w:val="000000" w:themeColor="text1"/>
              </w:rPr>
              <w:t>5. Форвард - деривативний контракт, що укладається на організованому ринку, так і поза ним, за яким одна сторона зобов’язується у визначений момент у майбутньому продати базовий актив іншій стороні, а інша сторона зобов’язується купити базовий актив за ціною та на інших умовах, визначених сторонами під час укладення договору. Форвард може передбачати обов’язок одноразово або періодично сплачувати суми коштів залежно від значення базового показника без відчуження базового активу, або відчуження базового активу може бути замінено розрахунками залежно від базового показника, який відповідає базовому активу.</w:t>
            </w:r>
          </w:p>
        </w:tc>
        <w:tc>
          <w:tcPr>
            <w:tcW w:w="3686" w:type="dxa"/>
          </w:tcPr>
          <w:p w14:paraId="450A7331" w14:textId="77777777" w:rsidR="00C70550" w:rsidRPr="00286216" w:rsidRDefault="00C70550" w:rsidP="006A358E">
            <w:pPr>
              <w:pStyle w:val="StyleProp"/>
              <w:rPr>
                <w:color w:val="000000" w:themeColor="text1"/>
                <w:szCs w:val="18"/>
              </w:rPr>
            </w:pPr>
          </w:p>
        </w:tc>
        <w:tc>
          <w:tcPr>
            <w:tcW w:w="1987" w:type="dxa"/>
          </w:tcPr>
          <w:p w14:paraId="3CF20142" w14:textId="77777777" w:rsidR="00C70550" w:rsidRPr="00286216" w:rsidRDefault="00C70550" w:rsidP="006A358E">
            <w:pPr>
              <w:pStyle w:val="StyleWisnow"/>
              <w:rPr>
                <w:color w:val="000000" w:themeColor="text1"/>
              </w:rPr>
            </w:pPr>
          </w:p>
        </w:tc>
        <w:tc>
          <w:tcPr>
            <w:tcW w:w="4818" w:type="dxa"/>
          </w:tcPr>
          <w:p w14:paraId="2B270E61" w14:textId="77777777" w:rsidR="00C70550" w:rsidRPr="00286216" w:rsidRDefault="00C70550" w:rsidP="006A358E">
            <w:pPr>
              <w:pStyle w:val="StyleZakonu"/>
              <w:rPr>
                <w:color w:val="000000" w:themeColor="text1"/>
              </w:rPr>
            </w:pPr>
          </w:p>
        </w:tc>
      </w:tr>
      <w:tr w:rsidR="00C70550" w:rsidRPr="00286216" w14:paraId="0AF7C52E" w14:textId="77777777" w:rsidTr="006A358E">
        <w:tc>
          <w:tcPr>
            <w:tcW w:w="576" w:type="dxa"/>
          </w:tcPr>
          <w:p w14:paraId="2B9B3E1F" w14:textId="77777777" w:rsidR="00C70550" w:rsidRPr="00286216" w:rsidRDefault="00C70550" w:rsidP="006A358E">
            <w:pPr>
              <w:pStyle w:val="StyleWisnow"/>
              <w:rPr>
                <w:color w:val="000000" w:themeColor="text1"/>
              </w:rPr>
            </w:pPr>
            <w:r w:rsidRPr="00286216">
              <w:rPr>
                <w:color w:val="000000" w:themeColor="text1"/>
              </w:rPr>
              <w:t>586.</w:t>
            </w:r>
          </w:p>
        </w:tc>
        <w:tc>
          <w:tcPr>
            <w:tcW w:w="4818" w:type="dxa"/>
          </w:tcPr>
          <w:p w14:paraId="7DAB0805" w14:textId="77777777" w:rsidR="00C70550" w:rsidRPr="00286216" w:rsidRDefault="00C70550" w:rsidP="00E33D71">
            <w:pPr>
              <w:pStyle w:val="StyleZakonu"/>
              <w:spacing w:after="40" w:line="214" w:lineRule="exact"/>
              <w:rPr>
                <w:color w:val="000000" w:themeColor="text1"/>
              </w:rPr>
            </w:pPr>
            <w:r w:rsidRPr="00286216">
              <w:rPr>
                <w:color w:val="000000" w:themeColor="text1"/>
              </w:rPr>
              <w:t>6. За наявністю зобов’язання щодо відчуження базового активу деривативні контракти є поставними або розрахунковими.</w:t>
            </w:r>
          </w:p>
        </w:tc>
        <w:tc>
          <w:tcPr>
            <w:tcW w:w="3686" w:type="dxa"/>
          </w:tcPr>
          <w:p w14:paraId="255FA313" w14:textId="5CB3B310"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345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0FFE219"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2) Доповнити статтю 38 розділу І новою частиною такого змісту:</w:t>
            </w:r>
          </w:p>
          <w:p w14:paraId="5391BCE3"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 xml:space="preserve">«6. Кредитний дефолтний своп – деривативний контракт, що укладається на організованому ринку або поза ним, за яким </w:t>
            </w:r>
            <w:r w:rsidRPr="00286216">
              <w:rPr>
                <w:color w:val="000000" w:themeColor="text1"/>
                <w:sz w:val="18"/>
              </w:rPr>
              <w:lastRenderedPageBreak/>
              <w:t>одна або кожна із сторін зобов’язуються здійснювати іншій стороні періодичні або одноразові платежі, залежно від платоспроможності третьої особи (емітента цінного паперу або сторони деривативного контракту), або настання визначеної таким контрактом події».</w:t>
            </w:r>
          </w:p>
        </w:tc>
        <w:tc>
          <w:tcPr>
            <w:tcW w:w="1987" w:type="dxa"/>
          </w:tcPr>
          <w:p w14:paraId="19082835" w14:textId="77777777" w:rsidR="00C70550" w:rsidRPr="00286216" w:rsidRDefault="00C70550" w:rsidP="006A358E">
            <w:pPr>
              <w:pStyle w:val="StyleWisnow"/>
              <w:rPr>
                <w:color w:val="000000" w:themeColor="text1"/>
              </w:rPr>
            </w:pPr>
            <w:r w:rsidRPr="00286216">
              <w:rPr>
                <w:color w:val="000000" w:themeColor="text1"/>
              </w:rPr>
              <w:lastRenderedPageBreak/>
              <w:t>Враховано редакційно</w:t>
            </w:r>
          </w:p>
        </w:tc>
        <w:tc>
          <w:tcPr>
            <w:tcW w:w="4818" w:type="dxa"/>
          </w:tcPr>
          <w:p w14:paraId="68FB47A0" w14:textId="77777777" w:rsidR="00C70550" w:rsidRPr="00286216" w:rsidRDefault="00C70550" w:rsidP="006A358E">
            <w:pPr>
              <w:pStyle w:val="StyleZakonu"/>
              <w:rPr>
                <w:color w:val="000000" w:themeColor="text1"/>
              </w:rPr>
            </w:pPr>
          </w:p>
        </w:tc>
      </w:tr>
      <w:tr w:rsidR="00C70550" w:rsidRPr="00286216" w14:paraId="0CD40D25" w14:textId="77777777" w:rsidTr="006A358E">
        <w:tc>
          <w:tcPr>
            <w:tcW w:w="576" w:type="dxa"/>
          </w:tcPr>
          <w:p w14:paraId="5E543972" w14:textId="77777777" w:rsidR="00C70550" w:rsidRPr="00286216" w:rsidRDefault="00C70550" w:rsidP="006A358E">
            <w:pPr>
              <w:pStyle w:val="StyleWisnow"/>
              <w:rPr>
                <w:color w:val="000000" w:themeColor="text1"/>
              </w:rPr>
            </w:pPr>
            <w:r w:rsidRPr="00286216">
              <w:rPr>
                <w:color w:val="000000" w:themeColor="text1"/>
              </w:rPr>
              <w:t>587.</w:t>
            </w:r>
          </w:p>
        </w:tc>
        <w:tc>
          <w:tcPr>
            <w:tcW w:w="4818" w:type="dxa"/>
          </w:tcPr>
          <w:p w14:paraId="602CAC0B" w14:textId="77777777" w:rsidR="00C70550" w:rsidRPr="00286216" w:rsidRDefault="00C70550" w:rsidP="006A358E">
            <w:pPr>
              <w:pStyle w:val="StyleZakonu"/>
              <w:rPr>
                <w:color w:val="000000" w:themeColor="text1"/>
              </w:rPr>
            </w:pPr>
            <w:r w:rsidRPr="00286216">
              <w:rPr>
                <w:color w:val="000000" w:themeColor="text1"/>
              </w:rPr>
              <w:t>Поставний деривативний контракт - деривативний контракт, що передбачає відчуження базового активу однією або кожною із сторін.</w:t>
            </w:r>
          </w:p>
        </w:tc>
        <w:tc>
          <w:tcPr>
            <w:tcW w:w="3686" w:type="dxa"/>
          </w:tcPr>
          <w:p w14:paraId="2CD115D6" w14:textId="77777777" w:rsidR="00C70550" w:rsidRPr="00286216" w:rsidRDefault="00C70550" w:rsidP="006A358E">
            <w:pPr>
              <w:pStyle w:val="StyleProp"/>
              <w:rPr>
                <w:color w:val="000000" w:themeColor="text1"/>
                <w:szCs w:val="18"/>
              </w:rPr>
            </w:pPr>
          </w:p>
        </w:tc>
        <w:tc>
          <w:tcPr>
            <w:tcW w:w="1987" w:type="dxa"/>
          </w:tcPr>
          <w:p w14:paraId="6C3F8589" w14:textId="77777777" w:rsidR="00C70550" w:rsidRPr="00286216" w:rsidRDefault="00C70550" w:rsidP="006A358E">
            <w:pPr>
              <w:pStyle w:val="StyleWisnow"/>
              <w:rPr>
                <w:color w:val="000000" w:themeColor="text1"/>
              </w:rPr>
            </w:pPr>
          </w:p>
        </w:tc>
        <w:tc>
          <w:tcPr>
            <w:tcW w:w="4818" w:type="dxa"/>
          </w:tcPr>
          <w:p w14:paraId="5BF2CDF5" w14:textId="77777777" w:rsidR="00C70550" w:rsidRPr="00286216" w:rsidRDefault="00C70550" w:rsidP="006A358E">
            <w:pPr>
              <w:pStyle w:val="StyleZakonu"/>
              <w:rPr>
                <w:color w:val="000000" w:themeColor="text1"/>
              </w:rPr>
            </w:pPr>
          </w:p>
        </w:tc>
      </w:tr>
      <w:tr w:rsidR="00C70550" w:rsidRPr="00286216" w14:paraId="08526807" w14:textId="77777777" w:rsidTr="006A358E">
        <w:tc>
          <w:tcPr>
            <w:tcW w:w="576" w:type="dxa"/>
          </w:tcPr>
          <w:p w14:paraId="3E08EF73" w14:textId="77777777" w:rsidR="00C70550" w:rsidRPr="00286216" w:rsidRDefault="00C70550" w:rsidP="006A358E">
            <w:pPr>
              <w:pStyle w:val="StyleWisnow"/>
              <w:rPr>
                <w:color w:val="000000" w:themeColor="text1"/>
              </w:rPr>
            </w:pPr>
            <w:r w:rsidRPr="00286216">
              <w:rPr>
                <w:color w:val="000000" w:themeColor="text1"/>
              </w:rPr>
              <w:t>588.</w:t>
            </w:r>
          </w:p>
        </w:tc>
        <w:tc>
          <w:tcPr>
            <w:tcW w:w="4818" w:type="dxa"/>
          </w:tcPr>
          <w:p w14:paraId="77D6F2A7" w14:textId="77777777" w:rsidR="00C70550" w:rsidRPr="00286216" w:rsidRDefault="00C70550" w:rsidP="006A358E">
            <w:pPr>
              <w:pStyle w:val="StyleZakonu"/>
              <w:rPr>
                <w:color w:val="000000" w:themeColor="text1"/>
              </w:rPr>
            </w:pPr>
            <w:r w:rsidRPr="00286216">
              <w:rPr>
                <w:color w:val="000000" w:themeColor="text1"/>
              </w:rPr>
              <w:t>Розрахунковий деривативний контракт - деривативний контракт, що передбачає здійснення розрахунків між сторонами залежно від значення базового показника (у тому числі з можливістю заміни таких розрахунків між сторонами відчуженням базового активу однією або кожною із сторін за їх взаємною згодою).</w:t>
            </w:r>
          </w:p>
        </w:tc>
        <w:tc>
          <w:tcPr>
            <w:tcW w:w="3686" w:type="dxa"/>
          </w:tcPr>
          <w:p w14:paraId="0C27F5BE" w14:textId="3927CE37"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346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40B4446" w14:textId="77777777" w:rsidR="00C70550" w:rsidRPr="00286216" w:rsidRDefault="00C70550" w:rsidP="006A358E">
            <w:pPr>
              <w:pStyle w:val="StyleProp"/>
              <w:rPr>
                <w:color w:val="000000" w:themeColor="text1"/>
                <w:szCs w:val="18"/>
              </w:rPr>
            </w:pPr>
            <w:r w:rsidRPr="00286216">
              <w:rPr>
                <w:color w:val="000000" w:themeColor="text1"/>
                <w:szCs w:val="18"/>
              </w:rPr>
              <w:t>в  абзаці третьому частини шостої статті 38 слова «(у тому числі з можливістю заміни таких розрахунків між сторонами відчуженням базового активу однією або кожною із сторін за їх взаємною згодою)» виключити.</w:t>
            </w:r>
          </w:p>
        </w:tc>
        <w:tc>
          <w:tcPr>
            <w:tcW w:w="1987" w:type="dxa"/>
          </w:tcPr>
          <w:p w14:paraId="6F4731DB"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 редакційно</w:t>
            </w:r>
          </w:p>
          <w:p w14:paraId="1950854A" w14:textId="77777777" w:rsidR="00C70550" w:rsidRPr="00286216" w:rsidRDefault="00C70550" w:rsidP="006A358E">
            <w:pPr>
              <w:pStyle w:val="StyleWisnow"/>
              <w:rPr>
                <w:color w:val="000000" w:themeColor="text1"/>
              </w:rPr>
            </w:pPr>
            <w:r w:rsidRPr="00286216">
              <w:rPr>
                <w:color w:val="000000" w:themeColor="text1"/>
              </w:rPr>
              <w:t>у статті 33</w:t>
            </w:r>
          </w:p>
        </w:tc>
        <w:tc>
          <w:tcPr>
            <w:tcW w:w="4818" w:type="dxa"/>
          </w:tcPr>
          <w:p w14:paraId="41161C8F" w14:textId="77777777" w:rsidR="00C70550" w:rsidRPr="00286216" w:rsidRDefault="00C70550" w:rsidP="006A358E">
            <w:pPr>
              <w:pStyle w:val="StyleZakonu"/>
              <w:rPr>
                <w:color w:val="000000" w:themeColor="text1"/>
              </w:rPr>
            </w:pPr>
          </w:p>
        </w:tc>
      </w:tr>
      <w:tr w:rsidR="00C70550" w:rsidRPr="00286216" w14:paraId="0C73089E" w14:textId="77777777" w:rsidTr="006A358E">
        <w:tc>
          <w:tcPr>
            <w:tcW w:w="576" w:type="dxa"/>
          </w:tcPr>
          <w:p w14:paraId="5C6D925B" w14:textId="77777777" w:rsidR="00C70550" w:rsidRPr="00286216" w:rsidRDefault="00C70550" w:rsidP="006A358E">
            <w:pPr>
              <w:pStyle w:val="StyleWisnow"/>
              <w:rPr>
                <w:color w:val="000000" w:themeColor="text1"/>
              </w:rPr>
            </w:pPr>
            <w:r w:rsidRPr="00286216">
              <w:rPr>
                <w:color w:val="000000" w:themeColor="text1"/>
              </w:rPr>
              <w:t>589.</w:t>
            </w:r>
          </w:p>
        </w:tc>
        <w:tc>
          <w:tcPr>
            <w:tcW w:w="4818" w:type="dxa"/>
          </w:tcPr>
          <w:p w14:paraId="7294A7A3" w14:textId="77777777" w:rsidR="00C70550" w:rsidRPr="00286216" w:rsidRDefault="00C70550" w:rsidP="006A358E">
            <w:pPr>
              <w:pStyle w:val="StyleZakonu"/>
              <w:rPr>
                <w:color w:val="000000" w:themeColor="text1"/>
              </w:rPr>
            </w:pPr>
            <w:r w:rsidRPr="00286216">
              <w:rPr>
                <w:color w:val="000000" w:themeColor="text1"/>
              </w:rPr>
              <w:t>Наявність базового активу у сторони, яка бере на себе зобов’язання щодо відчуження базового активу за поставним деривативним контрактом, на момент укладення такого деривативного контракту не вимагається, якщо інше не передбачено умовами деривативного контракту.</w:t>
            </w:r>
          </w:p>
        </w:tc>
        <w:tc>
          <w:tcPr>
            <w:tcW w:w="3686" w:type="dxa"/>
          </w:tcPr>
          <w:p w14:paraId="4BF01EB6" w14:textId="77777777" w:rsidR="00C70550" w:rsidRPr="00286216" w:rsidRDefault="00C70550" w:rsidP="006A358E">
            <w:pPr>
              <w:pStyle w:val="StyleProp"/>
              <w:rPr>
                <w:color w:val="000000" w:themeColor="text1"/>
                <w:szCs w:val="18"/>
              </w:rPr>
            </w:pPr>
          </w:p>
        </w:tc>
        <w:tc>
          <w:tcPr>
            <w:tcW w:w="1987" w:type="dxa"/>
          </w:tcPr>
          <w:p w14:paraId="55D707C1" w14:textId="77777777" w:rsidR="00C70550" w:rsidRPr="00286216" w:rsidRDefault="00C70550" w:rsidP="006A358E">
            <w:pPr>
              <w:pStyle w:val="StyleWisnow"/>
              <w:rPr>
                <w:color w:val="000000" w:themeColor="text1"/>
              </w:rPr>
            </w:pPr>
          </w:p>
        </w:tc>
        <w:tc>
          <w:tcPr>
            <w:tcW w:w="4818" w:type="dxa"/>
          </w:tcPr>
          <w:p w14:paraId="35515693" w14:textId="77777777" w:rsidR="00C70550" w:rsidRPr="00286216" w:rsidRDefault="00C70550" w:rsidP="006A358E">
            <w:pPr>
              <w:pStyle w:val="StyleZakonu"/>
              <w:rPr>
                <w:color w:val="000000" w:themeColor="text1"/>
              </w:rPr>
            </w:pPr>
          </w:p>
        </w:tc>
      </w:tr>
      <w:tr w:rsidR="00C70550" w:rsidRPr="00286216" w14:paraId="05C4B1DD" w14:textId="77777777" w:rsidTr="006A358E">
        <w:tc>
          <w:tcPr>
            <w:tcW w:w="576" w:type="dxa"/>
          </w:tcPr>
          <w:p w14:paraId="341E4641" w14:textId="77777777" w:rsidR="00C70550" w:rsidRPr="00286216" w:rsidRDefault="00C70550" w:rsidP="006A358E">
            <w:pPr>
              <w:pStyle w:val="StyleWisnow"/>
              <w:rPr>
                <w:color w:val="000000" w:themeColor="text1"/>
              </w:rPr>
            </w:pPr>
            <w:r w:rsidRPr="00286216">
              <w:rPr>
                <w:color w:val="000000" w:themeColor="text1"/>
              </w:rPr>
              <w:t>590.</w:t>
            </w:r>
          </w:p>
        </w:tc>
        <w:tc>
          <w:tcPr>
            <w:tcW w:w="4818" w:type="dxa"/>
          </w:tcPr>
          <w:p w14:paraId="0879EF94" w14:textId="77777777" w:rsidR="00C70550" w:rsidRPr="00286216" w:rsidRDefault="00C70550" w:rsidP="006A358E">
            <w:pPr>
              <w:pStyle w:val="StyleZakonu"/>
              <w:rPr>
                <w:color w:val="000000" w:themeColor="text1"/>
              </w:rPr>
            </w:pPr>
            <w:r w:rsidRPr="00286216">
              <w:rPr>
                <w:color w:val="000000" w:themeColor="text1"/>
              </w:rPr>
              <w:t>7. За типом базового активу та/або базового показника деривативні контракти поділяються на такі види:</w:t>
            </w:r>
          </w:p>
        </w:tc>
        <w:tc>
          <w:tcPr>
            <w:tcW w:w="3686" w:type="dxa"/>
          </w:tcPr>
          <w:p w14:paraId="48E8AA93" w14:textId="04F30CDE"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347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0E4B0E1" w14:textId="77777777" w:rsidR="00C70550" w:rsidRPr="00286216" w:rsidRDefault="00C70550" w:rsidP="006A358E">
            <w:pPr>
              <w:spacing w:line="180" w:lineRule="exact"/>
              <w:ind w:firstLine="227"/>
              <w:jc w:val="both"/>
              <w:rPr>
                <w:color w:val="000000" w:themeColor="text1"/>
                <w:spacing w:val="-2"/>
                <w:sz w:val="18"/>
              </w:rPr>
            </w:pPr>
            <w:r w:rsidRPr="00286216">
              <w:rPr>
                <w:color w:val="000000" w:themeColor="text1"/>
                <w:spacing w:val="-2"/>
                <w:sz w:val="18"/>
              </w:rPr>
              <w:t>в частині сьомій статті 38 в абзаці першому слова «поставними або розрахунковими» замінити словами «поставними, розрахунковими або змішаними».</w:t>
            </w:r>
          </w:p>
        </w:tc>
        <w:tc>
          <w:tcPr>
            <w:tcW w:w="1987" w:type="dxa"/>
          </w:tcPr>
          <w:p w14:paraId="00627BAA"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 редакційно</w:t>
            </w:r>
          </w:p>
          <w:p w14:paraId="5D2EC6A7" w14:textId="77777777" w:rsidR="00C70550" w:rsidRPr="00286216" w:rsidRDefault="00C70550" w:rsidP="006A358E">
            <w:pPr>
              <w:pStyle w:val="StyleWisnow"/>
              <w:rPr>
                <w:color w:val="000000" w:themeColor="text1"/>
              </w:rPr>
            </w:pPr>
            <w:r w:rsidRPr="00286216">
              <w:rPr>
                <w:color w:val="000000" w:themeColor="text1"/>
              </w:rPr>
              <w:t>у статті 33</w:t>
            </w:r>
          </w:p>
        </w:tc>
        <w:tc>
          <w:tcPr>
            <w:tcW w:w="4818" w:type="dxa"/>
          </w:tcPr>
          <w:p w14:paraId="6687E0B7" w14:textId="77777777" w:rsidR="00C70550" w:rsidRPr="00286216" w:rsidRDefault="00C70550" w:rsidP="006A358E">
            <w:pPr>
              <w:pStyle w:val="StyleZakonu"/>
              <w:rPr>
                <w:color w:val="000000" w:themeColor="text1"/>
              </w:rPr>
            </w:pPr>
          </w:p>
        </w:tc>
      </w:tr>
      <w:tr w:rsidR="00C70550" w:rsidRPr="00286216" w14:paraId="66BD1B10" w14:textId="77777777" w:rsidTr="006A358E">
        <w:tc>
          <w:tcPr>
            <w:tcW w:w="576" w:type="dxa"/>
          </w:tcPr>
          <w:p w14:paraId="65E8158B" w14:textId="77777777" w:rsidR="00C70550" w:rsidRPr="00286216" w:rsidRDefault="00C70550" w:rsidP="006A358E">
            <w:pPr>
              <w:pStyle w:val="StyleWisnow"/>
              <w:rPr>
                <w:color w:val="000000" w:themeColor="text1"/>
              </w:rPr>
            </w:pPr>
            <w:r w:rsidRPr="00286216">
              <w:rPr>
                <w:color w:val="000000" w:themeColor="text1"/>
              </w:rPr>
              <w:t>591.</w:t>
            </w:r>
          </w:p>
        </w:tc>
        <w:tc>
          <w:tcPr>
            <w:tcW w:w="4818" w:type="dxa"/>
          </w:tcPr>
          <w:p w14:paraId="138F606C" w14:textId="77777777" w:rsidR="00C70550" w:rsidRPr="00286216" w:rsidRDefault="00C70550" w:rsidP="006A358E">
            <w:pPr>
              <w:pStyle w:val="StyleZakonu"/>
              <w:rPr>
                <w:color w:val="000000" w:themeColor="text1"/>
              </w:rPr>
            </w:pPr>
            <w:r w:rsidRPr="00286216">
              <w:rPr>
                <w:color w:val="000000" w:themeColor="text1"/>
              </w:rPr>
              <w:t>1) деривативні контракти грошового ринку - деривативні контракти, базовим активом яких є валюта України, іноземна валюта, банківські метали чи інше майно, що визначається базовим активом у нормативно-правових актах Національного банку України, чи інший деривативний контракт грошового ринку або базовим показником яких є курс валюти, валютний індекс (курси декількох валют), ціна на банківські метали, процентна ставка (процентний індекс) чи інші показники, що визнаються базовими показниками у нормативно-правових актах Національного банку України.</w:t>
            </w:r>
          </w:p>
        </w:tc>
        <w:tc>
          <w:tcPr>
            <w:tcW w:w="3686" w:type="dxa"/>
          </w:tcPr>
          <w:p w14:paraId="7E72CA6D" w14:textId="13146F02" w:rsidR="00C70550" w:rsidRPr="00286216" w:rsidRDefault="00C70550" w:rsidP="006A358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348</w:t>
            </w:r>
            <w:r w:rsidRPr="00286216">
              <w:rPr>
                <w:color w:val="000000" w:themeColor="text1"/>
                <w:spacing w:val="-4"/>
              </w:rPr>
              <w:fldChar w:fldCharType="end"/>
            </w:r>
            <w:r w:rsidRPr="00286216">
              <w:rPr>
                <w:color w:val="000000" w:themeColor="text1"/>
                <w:spacing w:val="-4"/>
              </w:rPr>
              <w:t>- Н.д.Бєлькова О.В. (Реєстр.картка №403)</w:t>
            </w:r>
          </w:p>
          <w:p w14:paraId="14CCA479"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У абзаці першому пункту 1 частини сьомої статті 38 розділу 1 слова «чи інше майно» замінити на слова «чи інструменти грошового ринку», слова «інші показники» замінити словами «показники, пов’язані з інструментами грошового ринку або  валютними цінностями».</w:t>
            </w:r>
          </w:p>
        </w:tc>
        <w:tc>
          <w:tcPr>
            <w:tcW w:w="1987" w:type="dxa"/>
          </w:tcPr>
          <w:p w14:paraId="09CE6697"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 редакційно</w:t>
            </w:r>
          </w:p>
          <w:p w14:paraId="4E425DE9" w14:textId="77777777" w:rsidR="00C70550" w:rsidRPr="00286216" w:rsidRDefault="00C70550" w:rsidP="006A358E">
            <w:pPr>
              <w:pStyle w:val="StyleWisnow"/>
              <w:spacing w:line="180" w:lineRule="exact"/>
              <w:rPr>
                <w:color w:val="000000" w:themeColor="text1"/>
              </w:rPr>
            </w:pPr>
            <w:r w:rsidRPr="00286216">
              <w:rPr>
                <w:color w:val="000000" w:themeColor="text1"/>
              </w:rPr>
              <w:t>у статті 33</w:t>
            </w:r>
          </w:p>
        </w:tc>
        <w:tc>
          <w:tcPr>
            <w:tcW w:w="4818" w:type="dxa"/>
          </w:tcPr>
          <w:p w14:paraId="6319902E" w14:textId="77777777" w:rsidR="00C70550" w:rsidRPr="00286216" w:rsidRDefault="00C70550" w:rsidP="006A358E">
            <w:pPr>
              <w:pStyle w:val="StyleZakonu"/>
              <w:rPr>
                <w:color w:val="000000" w:themeColor="text1"/>
              </w:rPr>
            </w:pPr>
          </w:p>
        </w:tc>
      </w:tr>
      <w:tr w:rsidR="00C70550" w:rsidRPr="00286216" w14:paraId="6C438B11" w14:textId="77777777" w:rsidTr="006A358E">
        <w:tc>
          <w:tcPr>
            <w:tcW w:w="576" w:type="dxa"/>
          </w:tcPr>
          <w:p w14:paraId="7FC4134B" w14:textId="77777777" w:rsidR="00C70550" w:rsidRPr="00286216" w:rsidRDefault="00C70550" w:rsidP="006A358E">
            <w:pPr>
              <w:pStyle w:val="StyleWisnow"/>
              <w:rPr>
                <w:color w:val="000000" w:themeColor="text1"/>
              </w:rPr>
            </w:pPr>
            <w:r w:rsidRPr="00286216">
              <w:rPr>
                <w:color w:val="000000" w:themeColor="text1"/>
              </w:rPr>
              <w:t>592.</w:t>
            </w:r>
          </w:p>
        </w:tc>
        <w:tc>
          <w:tcPr>
            <w:tcW w:w="4818" w:type="dxa"/>
          </w:tcPr>
          <w:p w14:paraId="20252653" w14:textId="77777777" w:rsidR="00C70550" w:rsidRPr="00286216" w:rsidRDefault="00C70550" w:rsidP="006A358E">
            <w:pPr>
              <w:pStyle w:val="StyleZakonu"/>
              <w:rPr>
                <w:color w:val="000000" w:themeColor="text1"/>
              </w:rPr>
            </w:pPr>
            <w:r w:rsidRPr="00286216">
              <w:rPr>
                <w:color w:val="000000" w:themeColor="text1"/>
              </w:rPr>
              <w:t>Особливості укладення та виконання деривативних контрактів грошового ринку поза організованими ринками можуть встановлюватись Національною комісією з цінних паперів та фондового ринку за погодженням з Національним банком України;</w:t>
            </w:r>
          </w:p>
        </w:tc>
        <w:tc>
          <w:tcPr>
            <w:tcW w:w="3686" w:type="dxa"/>
          </w:tcPr>
          <w:p w14:paraId="4C3BFE37" w14:textId="40F3AABB"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349</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3494696F" w14:textId="77777777" w:rsidR="00C70550" w:rsidRPr="00286216" w:rsidRDefault="00C70550" w:rsidP="006A358E">
            <w:pPr>
              <w:pStyle w:val="StyleProp"/>
              <w:rPr>
                <w:color w:val="000000" w:themeColor="text1"/>
              </w:rPr>
            </w:pPr>
            <w:r w:rsidRPr="00286216">
              <w:rPr>
                <w:color w:val="000000" w:themeColor="text1"/>
              </w:rPr>
              <w:t>Доповнити абзац другий пункту 1 частини 7 статті 38 словами «та на організованому ринку (крім регульованого ринку)».</w:t>
            </w:r>
          </w:p>
        </w:tc>
        <w:tc>
          <w:tcPr>
            <w:tcW w:w="1987" w:type="dxa"/>
          </w:tcPr>
          <w:p w14:paraId="3C9D9EEA"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 редакційно</w:t>
            </w:r>
          </w:p>
          <w:p w14:paraId="05E65DD0" w14:textId="77777777" w:rsidR="00C70550" w:rsidRPr="00286216" w:rsidRDefault="00C70550" w:rsidP="006A358E">
            <w:pPr>
              <w:pStyle w:val="StyleWisnow"/>
              <w:rPr>
                <w:color w:val="000000" w:themeColor="text1"/>
              </w:rPr>
            </w:pPr>
            <w:r w:rsidRPr="00286216">
              <w:rPr>
                <w:color w:val="000000" w:themeColor="text1"/>
              </w:rPr>
              <w:t>у статті 33</w:t>
            </w:r>
          </w:p>
          <w:p w14:paraId="71A9B021" w14:textId="77777777" w:rsidR="00C70550" w:rsidRPr="00286216" w:rsidRDefault="00C70550" w:rsidP="006A358E">
            <w:pPr>
              <w:pStyle w:val="StyleWisnow"/>
              <w:rPr>
                <w:color w:val="000000" w:themeColor="text1"/>
              </w:rPr>
            </w:pPr>
          </w:p>
        </w:tc>
        <w:tc>
          <w:tcPr>
            <w:tcW w:w="4818" w:type="dxa"/>
          </w:tcPr>
          <w:p w14:paraId="15D6CB57" w14:textId="77777777" w:rsidR="00C70550" w:rsidRPr="00286216" w:rsidRDefault="00C70550" w:rsidP="006A358E">
            <w:pPr>
              <w:pStyle w:val="StyleZakonu"/>
              <w:rPr>
                <w:color w:val="000000" w:themeColor="text1"/>
              </w:rPr>
            </w:pPr>
          </w:p>
        </w:tc>
      </w:tr>
      <w:tr w:rsidR="00C70550" w:rsidRPr="00286216" w14:paraId="1498D7A8" w14:textId="77777777" w:rsidTr="006A358E">
        <w:tc>
          <w:tcPr>
            <w:tcW w:w="576" w:type="dxa"/>
          </w:tcPr>
          <w:p w14:paraId="763AE96F" w14:textId="77777777" w:rsidR="00C70550" w:rsidRPr="00286216" w:rsidRDefault="00C70550" w:rsidP="006A358E">
            <w:pPr>
              <w:pStyle w:val="StyleWisnow"/>
              <w:rPr>
                <w:color w:val="000000" w:themeColor="text1"/>
              </w:rPr>
            </w:pPr>
            <w:r w:rsidRPr="00286216">
              <w:rPr>
                <w:color w:val="000000" w:themeColor="text1"/>
              </w:rPr>
              <w:lastRenderedPageBreak/>
              <w:t>593.</w:t>
            </w:r>
          </w:p>
        </w:tc>
        <w:tc>
          <w:tcPr>
            <w:tcW w:w="4818" w:type="dxa"/>
          </w:tcPr>
          <w:p w14:paraId="4D1A34A5" w14:textId="77777777" w:rsidR="00C70550" w:rsidRPr="00286216" w:rsidRDefault="00C70550" w:rsidP="006A358E">
            <w:pPr>
              <w:pStyle w:val="StyleZakonu"/>
              <w:rPr>
                <w:color w:val="000000" w:themeColor="text1"/>
              </w:rPr>
            </w:pPr>
            <w:r w:rsidRPr="00286216">
              <w:rPr>
                <w:color w:val="000000" w:themeColor="text1"/>
              </w:rPr>
              <w:t>2) товарні деривативні контракти - деривативні контракти, базовим активом яких є продукція чи інший товарний деривативний контракт або базовим показником яких є ціна на продукцію, послуги, роботи чи товарний індекс (ціна на декілька видів продукції);</w:t>
            </w:r>
          </w:p>
        </w:tc>
        <w:tc>
          <w:tcPr>
            <w:tcW w:w="3686" w:type="dxa"/>
          </w:tcPr>
          <w:p w14:paraId="01627862" w14:textId="4606A28C"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350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9B1044B"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в частині сьомій статті 38 доповнити новим абзацом четвертим такого змісту:</w:t>
            </w:r>
          </w:p>
          <w:p w14:paraId="56FE9008"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 xml:space="preserve">«Змішаний деривативний контракт – деривативний контракт, що передбачає можливість за волевиявленням однієї зі сторін такого контракту здійснити заміну розрахунків між сторонами відчуженням базового активу однією або кожною із сторін, або можливість за волевиявленням однієї зі сторін такого контракту здійснити заміну зобов’язання з відчуження базового активу однією або кожною із сторін зобов’язанням здійснити розрахунки». </w:t>
            </w:r>
          </w:p>
        </w:tc>
        <w:tc>
          <w:tcPr>
            <w:tcW w:w="1987" w:type="dxa"/>
          </w:tcPr>
          <w:p w14:paraId="7EE85F97"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 редакційно</w:t>
            </w:r>
          </w:p>
          <w:p w14:paraId="33A81825" w14:textId="77777777" w:rsidR="00C70550" w:rsidRPr="00286216" w:rsidRDefault="00C70550" w:rsidP="006A358E">
            <w:pPr>
              <w:pStyle w:val="StyleWisnow"/>
              <w:rPr>
                <w:color w:val="000000" w:themeColor="text1"/>
              </w:rPr>
            </w:pPr>
            <w:r w:rsidRPr="00286216">
              <w:rPr>
                <w:color w:val="000000" w:themeColor="text1"/>
              </w:rPr>
              <w:t>у статті 33</w:t>
            </w:r>
          </w:p>
          <w:p w14:paraId="52B319AF" w14:textId="77777777" w:rsidR="00C70550" w:rsidRPr="00286216" w:rsidRDefault="00C70550" w:rsidP="006A358E">
            <w:pPr>
              <w:pStyle w:val="StyleWisnow"/>
              <w:rPr>
                <w:color w:val="000000" w:themeColor="text1"/>
              </w:rPr>
            </w:pPr>
          </w:p>
        </w:tc>
        <w:tc>
          <w:tcPr>
            <w:tcW w:w="4818" w:type="dxa"/>
          </w:tcPr>
          <w:p w14:paraId="3BED2B09" w14:textId="77777777" w:rsidR="00C70550" w:rsidRPr="00286216" w:rsidRDefault="00C70550" w:rsidP="006A358E">
            <w:pPr>
              <w:pStyle w:val="StyleZakonu"/>
              <w:rPr>
                <w:color w:val="000000" w:themeColor="text1"/>
              </w:rPr>
            </w:pPr>
          </w:p>
        </w:tc>
      </w:tr>
      <w:tr w:rsidR="00C70550" w:rsidRPr="00286216" w14:paraId="6601D868" w14:textId="77777777" w:rsidTr="006A358E">
        <w:tc>
          <w:tcPr>
            <w:tcW w:w="576" w:type="dxa"/>
          </w:tcPr>
          <w:p w14:paraId="46960446" w14:textId="77777777" w:rsidR="00C70550" w:rsidRPr="00286216" w:rsidRDefault="00C70550" w:rsidP="006A358E">
            <w:pPr>
              <w:pStyle w:val="StyleWisnow"/>
              <w:rPr>
                <w:color w:val="000000" w:themeColor="text1"/>
              </w:rPr>
            </w:pPr>
            <w:r w:rsidRPr="00286216">
              <w:rPr>
                <w:color w:val="000000" w:themeColor="text1"/>
              </w:rPr>
              <w:t>594.</w:t>
            </w:r>
          </w:p>
        </w:tc>
        <w:tc>
          <w:tcPr>
            <w:tcW w:w="4818" w:type="dxa"/>
          </w:tcPr>
          <w:p w14:paraId="042ECCC5" w14:textId="77777777" w:rsidR="00C70550" w:rsidRPr="00286216" w:rsidRDefault="00C70550" w:rsidP="006A358E">
            <w:pPr>
              <w:pStyle w:val="StyleZakonu"/>
              <w:rPr>
                <w:color w:val="000000" w:themeColor="text1"/>
              </w:rPr>
            </w:pPr>
            <w:r w:rsidRPr="00286216">
              <w:rPr>
                <w:color w:val="000000" w:themeColor="text1"/>
              </w:rPr>
              <w:t>3) фондові деривативні контракти - деривативні контракти, базовим активом яких є емісійні цінні папери (у тому числі іноземних емітентів) чи інші фондові деривативні контракти або базовим показником яких є ціна на такі емісійні цінні папери чи індекс оператора організованого ринку капіталу;</w:t>
            </w:r>
          </w:p>
        </w:tc>
        <w:tc>
          <w:tcPr>
            <w:tcW w:w="3686" w:type="dxa"/>
          </w:tcPr>
          <w:p w14:paraId="12726528" w14:textId="77777777" w:rsidR="00C70550" w:rsidRPr="00286216" w:rsidRDefault="00C70550" w:rsidP="006A358E">
            <w:pPr>
              <w:pStyle w:val="StyleProp"/>
              <w:rPr>
                <w:color w:val="000000" w:themeColor="text1"/>
                <w:szCs w:val="18"/>
              </w:rPr>
            </w:pPr>
          </w:p>
        </w:tc>
        <w:tc>
          <w:tcPr>
            <w:tcW w:w="1987" w:type="dxa"/>
          </w:tcPr>
          <w:p w14:paraId="499F5CDD" w14:textId="77777777" w:rsidR="00C70550" w:rsidRPr="00286216" w:rsidRDefault="00C70550" w:rsidP="006A358E">
            <w:pPr>
              <w:pStyle w:val="StyleWisnow"/>
              <w:rPr>
                <w:color w:val="000000" w:themeColor="text1"/>
              </w:rPr>
            </w:pPr>
          </w:p>
        </w:tc>
        <w:tc>
          <w:tcPr>
            <w:tcW w:w="4818" w:type="dxa"/>
          </w:tcPr>
          <w:p w14:paraId="01BA6002" w14:textId="77777777" w:rsidR="00C70550" w:rsidRPr="00286216" w:rsidRDefault="00C70550" w:rsidP="006A358E">
            <w:pPr>
              <w:pStyle w:val="StyleZakonu"/>
              <w:rPr>
                <w:color w:val="000000" w:themeColor="text1"/>
              </w:rPr>
            </w:pPr>
          </w:p>
        </w:tc>
      </w:tr>
      <w:tr w:rsidR="00C70550" w:rsidRPr="00286216" w14:paraId="69E4FC04" w14:textId="77777777" w:rsidTr="006A358E">
        <w:tc>
          <w:tcPr>
            <w:tcW w:w="576" w:type="dxa"/>
          </w:tcPr>
          <w:p w14:paraId="6FD80A03" w14:textId="77777777" w:rsidR="00C70550" w:rsidRPr="00286216" w:rsidRDefault="00C70550" w:rsidP="006A358E">
            <w:pPr>
              <w:pStyle w:val="StyleWisnow"/>
              <w:rPr>
                <w:color w:val="000000" w:themeColor="text1"/>
              </w:rPr>
            </w:pPr>
            <w:r w:rsidRPr="00286216">
              <w:rPr>
                <w:color w:val="000000" w:themeColor="text1"/>
              </w:rPr>
              <w:t>595.</w:t>
            </w:r>
          </w:p>
        </w:tc>
        <w:tc>
          <w:tcPr>
            <w:tcW w:w="4818" w:type="dxa"/>
          </w:tcPr>
          <w:p w14:paraId="4E050C13" w14:textId="77777777" w:rsidR="00C70550" w:rsidRPr="00286216" w:rsidRDefault="00C70550" w:rsidP="006A358E">
            <w:pPr>
              <w:pStyle w:val="StyleZakonu"/>
              <w:rPr>
                <w:color w:val="000000" w:themeColor="text1"/>
              </w:rPr>
            </w:pPr>
            <w:r w:rsidRPr="00286216">
              <w:rPr>
                <w:color w:val="000000" w:themeColor="text1"/>
              </w:rPr>
              <w:t>4) інші деривативні контракти - деривативні контракти, базовим активом яких є право вимоги, інший деривативний контракт (крім деривативних контрактів грошового ринку, товарних або фондових деривативних контрактів), інше майно, що визначається базовим активом у нормативно-правових актах Національної комісії з цінних паперів та фондового ринку, або базовим показником яких є показники статистичної інформації (що визначаються незалежно від сторін деривативного контракту), фізичні, біологічні, хімічні показники стану навколишнього природного середовища, інші показники, що визнаються базовими показниками у нормативно-правових актах Національної комісії з цінних паперів та фондового ринку, а також деривативні контракти, що поєднують ознаки декількох видів деривативних контрактів, визначений цією частиною, та деривативні контракти, що не можуть бути віднесені до інших видів деривативних контрактів, визначених цією частиною.</w:t>
            </w:r>
          </w:p>
        </w:tc>
        <w:tc>
          <w:tcPr>
            <w:tcW w:w="3686" w:type="dxa"/>
          </w:tcPr>
          <w:p w14:paraId="32AD1FD3" w14:textId="3AC45A2F" w:rsidR="00C70550" w:rsidRPr="00286216" w:rsidRDefault="00C70550" w:rsidP="006A358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351</w:t>
            </w:r>
            <w:r w:rsidRPr="00286216">
              <w:rPr>
                <w:color w:val="000000" w:themeColor="text1"/>
              </w:rPr>
              <w:fldChar w:fldCharType="end"/>
            </w:r>
            <w:r w:rsidRPr="00286216">
              <w:rPr>
                <w:color w:val="000000" w:themeColor="text1"/>
              </w:rPr>
              <w:t>-Н.д.Шахов С.В. (Реєстр.картка №114)</w:t>
            </w:r>
          </w:p>
          <w:p w14:paraId="36AAC336" w14:textId="77777777" w:rsidR="00C70550" w:rsidRPr="00286216" w:rsidRDefault="00C70550" w:rsidP="00834DEB">
            <w:pPr>
              <w:pStyle w:val="StyleProp"/>
              <w:spacing w:line="180" w:lineRule="exact"/>
              <w:rPr>
                <w:color w:val="000000" w:themeColor="text1"/>
              </w:rPr>
            </w:pPr>
            <w:r w:rsidRPr="00286216">
              <w:rPr>
                <w:color w:val="000000" w:themeColor="text1"/>
              </w:rPr>
              <w:t>пункт 4) частини сьомої статті 38 викласти у такій редакції:</w:t>
            </w:r>
          </w:p>
          <w:p w14:paraId="500FB520" w14:textId="77777777" w:rsidR="00C70550" w:rsidRPr="00286216" w:rsidRDefault="00C70550" w:rsidP="00834DEB">
            <w:pPr>
              <w:pStyle w:val="StyleProp"/>
              <w:spacing w:line="180" w:lineRule="exact"/>
              <w:rPr>
                <w:color w:val="000000" w:themeColor="text1"/>
                <w:szCs w:val="18"/>
              </w:rPr>
            </w:pPr>
            <w:r w:rsidRPr="00286216">
              <w:rPr>
                <w:color w:val="000000" w:themeColor="text1"/>
              </w:rPr>
              <w:t xml:space="preserve">«4) інші деривативні контракти – деривативні контракти, базовим активом яких є право вимоги, інший деривативний контракт (крім деривативних контрактів грошового ринку, товарних або фондових деривативних контрактів), інше майно, що визначається базовим активом у нормативно-правових актах Національної комісії з цінних паперів та фондового ринку або регулятора товарного ринку та/або сторонами деривативного контракту, що укладається поза організованого ринку капіталів, або базовим показником яких є показники статистичної інформації (що визначаються незалежно від сторін деривативного контракту) або інші є публічно-доступні показники, зокрема: фізичні, біологічні, хімічні показники стану навколишнього природного середовища, інші показники, що визнаються базовими показниками у нормативно-правових актах Національної комісії з цінних паперів та фондового ринку або регулятора товарного ринку та/або сторонами деривативного контракту, що укладається поза організованого ринку капіталів, а також деривативні контракти, що поєднують ознаки декількох видів деривативних контрактів, визначений цією частиною, та деривативні контракти, що не можуть бути віднесені до інших видів деривативних контрактів, визначених цією </w:t>
            </w:r>
            <w:r w:rsidRPr="00286216">
              <w:rPr>
                <w:color w:val="000000" w:themeColor="text1"/>
              </w:rPr>
              <w:lastRenderedPageBreak/>
              <w:t>частиною.».</w:t>
            </w:r>
          </w:p>
        </w:tc>
        <w:tc>
          <w:tcPr>
            <w:tcW w:w="1987" w:type="dxa"/>
          </w:tcPr>
          <w:p w14:paraId="05A4638C" w14:textId="77777777" w:rsidR="00C70550" w:rsidRPr="00286216" w:rsidRDefault="00C70550" w:rsidP="006A358E">
            <w:pPr>
              <w:pStyle w:val="StyleWisnow"/>
              <w:rPr>
                <w:color w:val="000000" w:themeColor="text1"/>
              </w:rPr>
            </w:pPr>
            <w:r w:rsidRPr="00286216">
              <w:rPr>
                <w:color w:val="000000" w:themeColor="text1"/>
              </w:rPr>
              <w:lastRenderedPageBreak/>
              <w:t>Відхилено</w:t>
            </w:r>
          </w:p>
          <w:p w14:paraId="0E8B99F3"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t>деривативні контракти як різновид фінансових інструментів та складова ринків капіталу підлягають нагляду та регулюванню НКЦПФР</w:t>
            </w:r>
          </w:p>
        </w:tc>
        <w:tc>
          <w:tcPr>
            <w:tcW w:w="4818" w:type="dxa"/>
          </w:tcPr>
          <w:p w14:paraId="1C9DB993" w14:textId="77777777" w:rsidR="00C70550" w:rsidRPr="00286216" w:rsidRDefault="00C70550" w:rsidP="006A358E">
            <w:pPr>
              <w:pStyle w:val="StyleZakonu"/>
              <w:rPr>
                <w:color w:val="000000" w:themeColor="text1"/>
              </w:rPr>
            </w:pPr>
          </w:p>
        </w:tc>
      </w:tr>
      <w:tr w:rsidR="00C70550" w:rsidRPr="00286216" w14:paraId="551BDE3D" w14:textId="77777777" w:rsidTr="006A358E">
        <w:tc>
          <w:tcPr>
            <w:tcW w:w="576" w:type="dxa"/>
          </w:tcPr>
          <w:p w14:paraId="10A50776" w14:textId="77777777" w:rsidR="00C70550" w:rsidRPr="00286216" w:rsidRDefault="00C70550" w:rsidP="006A358E">
            <w:pPr>
              <w:pStyle w:val="StyleWisnow"/>
              <w:rPr>
                <w:color w:val="000000" w:themeColor="text1"/>
              </w:rPr>
            </w:pPr>
            <w:r w:rsidRPr="00286216">
              <w:rPr>
                <w:color w:val="000000" w:themeColor="text1"/>
              </w:rPr>
              <w:t>596.</w:t>
            </w:r>
          </w:p>
        </w:tc>
        <w:tc>
          <w:tcPr>
            <w:tcW w:w="4818" w:type="dxa"/>
          </w:tcPr>
          <w:p w14:paraId="261C03D3" w14:textId="77777777" w:rsidR="00C70550" w:rsidRPr="00286216" w:rsidRDefault="00C70550" w:rsidP="006A358E">
            <w:pPr>
              <w:pStyle w:val="StyleZakonu"/>
              <w:rPr>
                <w:color w:val="000000" w:themeColor="text1"/>
              </w:rPr>
            </w:pPr>
            <w:r w:rsidRPr="00286216">
              <w:rPr>
                <w:color w:val="000000" w:themeColor="text1"/>
              </w:rPr>
              <w:t>8. Специфікація кожного деривативного контракту (опис деривативного контракту), інформація про укладення якого подається до торгового репозиторію, повинна містити інформацію про ідентифікацію такого базового активу (код UPI). Специфікація кожного деривативного контракту (опис деривативного контракту), інформація про укладення якого не подається до торгового репозиторію, може містити інформацію про ідентифікацію такого базового активу (код UPI).</w:t>
            </w:r>
          </w:p>
        </w:tc>
        <w:tc>
          <w:tcPr>
            <w:tcW w:w="3686" w:type="dxa"/>
          </w:tcPr>
          <w:p w14:paraId="1BCB73D8" w14:textId="77777777" w:rsidR="00C70550" w:rsidRPr="00286216" w:rsidRDefault="00C70550" w:rsidP="006A358E">
            <w:pPr>
              <w:pStyle w:val="StyleProp"/>
              <w:rPr>
                <w:color w:val="000000" w:themeColor="text1"/>
                <w:szCs w:val="18"/>
              </w:rPr>
            </w:pPr>
          </w:p>
        </w:tc>
        <w:tc>
          <w:tcPr>
            <w:tcW w:w="1987" w:type="dxa"/>
          </w:tcPr>
          <w:p w14:paraId="6727F62A" w14:textId="77777777" w:rsidR="00C70550" w:rsidRPr="00286216" w:rsidRDefault="00C70550" w:rsidP="006A358E">
            <w:pPr>
              <w:pStyle w:val="StyleWisnow"/>
              <w:rPr>
                <w:color w:val="000000" w:themeColor="text1"/>
              </w:rPr>
            </w:pPr>
          </w:p>
        </w:tc>
        <w:tc>
          <w:tcPr>
            <w:tcW w:w="4818" w:type="dxa"/>
          </w:tcPr>
          <w:p w14:paraId="031B9B27" w14:textId="77777777" w:rsidR="00C70550" w:rsidRPr="00286216" w:rsidRDefault="00C70550" w:rsidP="006A358E">
            <w:pPr>
              <w:pStyle w:val="StyleZakonu"/>
              <w:rPr>
                <w:color w:val="000000" w:themeColor="text1"/>
              </w:rPr>
            </w:pPr>
          </w:p>
        </w:tc>
      </w:tr>
      <w:tr w:rsidR="00C70550" w:rsidRPr="00286216" w14:paraId="24B015A9" w14:textId="77777777" w:rsidTr="006A358E">
        <w:tc>
          <w:tcPr>
            <w:tcW w:w="576" w:type="dxa"/>
          </w:tcPr>
          <w:p w14:paraId="2929B769" w14:textId="77777777" w:rsidR="00C70550" w:rsidRPr="00286216" w:rsidRDefault="00C70550" w:rsidP="006A358E">
            <w:pPr>
              <w:pStyle w:val="StyleWisnow"/>
              <w:rPr>
                <w:color w:val="000000" w:themeColor="text1"/>
              </w:rPr>
            </w:pPr>
          </w:p>
        </w:tc>
        <w:tc>
          <w:tcPr>
            <w:tcW w:w="4818" w:type="dxa"/>
          </w:tcPr>
          <w:p w14:paraId="406DFB2E" w14:textId="77777777" w:rsidR="00C70550" w:rsidRPr="00286216" w:rsidRDefault="00C70550" w:rsidP="006A358E">
            <w:pPr>
              <w:pStyle w:val="StyleZakonu"/>
              <w:rPr>
                <w:color w:val="000000" w:themeColor="text1"/>
              </w:rPr>
            </w:pPr>
          </w:p>
        </w:tc>
        <w:tc>
          <w:tcPr>
            <w:tcW w:w="3686" w:type="dxa"/>
          </w:tcPr>
          <w:p w14:paraId="5649EADA" w14:textId="2354BDE9"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352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CC3908C" w14:textId="77777777" w:rsidR="00C70550" w:rsidRPr="00286216" w:rsidRDefault="00C70550" w:rsidP="006A358E">
            <w:pPr>
              <w:pStyle w:val="StyleAwt"/>
              <w:rPr>
                <w:color w:val="000000" w:themeColor="text1"/>
                <w:spacing w:val="-4"/>
              </w:rPr>
            </w:pPr>
            <w:r w:rsidRPr="00286216">
              <w:rPr>
                <w:color w:val="000000" w:themeColor="text1"/>
                <w:spacing w:val="-4"/>
              </w:rPr>
              <w:t xml:space="preserve">    Н.д.Гетманцев Д.О.(Реєстр.картка №245)</w:t>
            </w:r>
          </w:p>
          <w:p w14:paraId="258D4585" w14:textId="77777777" w:rsidR="00C70550" w:rsidRPr="00286216" w:rsidRDefault="00C70550" w:rsidP="006A358E">
            <w:pPr>
              <w:pStyle w:val="StyleProp"/>
              <w:rPr>
                <w:color w:val="000000" w:themeColor="text1"/>
              </w:rPr>
            </w:pPr>
            <w:r w:rsidRPr="00286216">
              <w:rPr>
                <w:color w:val="000000" w:themeColor="text1"/>
              </w:rPr>
              <w:t>Доповнити статтю 38 новою частиною такого змісту:</w:t>
            </w:r>
          </w:p>
          <w:p w14:paraId="37B0C021" w14:textId="77777777" w:rsidR="00C70550" w:rsidRPr="00286216" w:rsidRDefault="00C70550" w:rsidP="006A358E">
            <w:pPr>
              <w:pStyle w:val="StyleProp"/>
              <w:rPr>
                <w:color w:val="000000" w:themeColor="text1"/>
              </w:rPr>
            </w:pPr>
            <w:r w:rsidRPr="00286216">
              <w:rPr>
                <w:color w:val="000000" w:themeColor="text1"/>
              </w:rPr>
              <w:t>"9. Вимоги цього Закону щодо деривативних контрактів не поширюються на товарні деривативні контракти, які не є фінансовими інструментами відповідно до цього Закону, а також на торгівельні майданчики/ринки, де  укладаються такі контракти (договори)".".</w:t>
            </w:r>
          </w:p>
        </w:tc>
        <w:tc>
          <w:tcPr>
            <w:tcW w:w="1987" w:type="dxa"/>
          </w:tcPr>
          <w:p w14:paraId="12C79067"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0CFB6DCD" w14:textId="7EC82E3F" w:rsidR="00C70550" w:rsidRPr="00286216" w:rsidRDefault="00C70550" w:rsidP="006A358E">
            <w:pPr>
              <w:pStyle w:val="StyleZakonu"/>
              <w:rPr>
                <w:color w:val="000000" w:themeColor="text1"/>
              </w:rPr>
            </w:pPr>
            <w:r w:rsidRPr="00286216">
              <w:rPr>
                <w:color w:val="000000" w:themeColor="text1"/>
                <w:lang w:val="ru-RU"/>
              </w:rPr>
              <w:t>13</w:t>
            </w:r>
            <w:r w:rsidRPr="00286216">
              <w:rPr>
                <w:color w:val="000000" w:themeColor="text1"/>
              </w:rPr>
              <w:t>. Вимоги цього Закону щодо деривативних контрактів не поширюються на товарні деривативні контракти, які не є фінансовими інструментами відповідно до цього Закону, а також на торговельні майданчики/ринки, де укладаються такі контракти (договори).</w:t>
            </w:r>
          </w:p>
        </w:tc>
      </w:tr>
      <w:tr w:rsidR="00C70550" w:rsidRPr="00286216" w14:paraId="54EFE822" w14:textId="77777777" w:rsidTr="006A358E">
        <w:tc>
          <w:tcPr>
            <w:tcW w:w="576" w:type="dxa"/>
          </w:tcPr>
          <w:p w14:paraId="2997E052" w14:textId="77777777" w:rsidR="00C70550" w:rsidRPr="00286216" w:rsidRDefault="00C70550" w:rsidP="006A358E">
            <w:pPr>
              <w:pStyle w:val="StyleWisnow"/>
              <w:rPr>
                <w:color w:val="000000" w:themeColor="text1"/>
              </w:rPr>
            </w:pPr>
            <w:r w:rsidRPr="00286216">
              <w:rPr>
                <w:color w:val="000000" w:themeColor="text1"/>
              </w:rPr>
              <w:t>597.</w:t>
            </w:r>
          </w:p>
        </w:tc>
        <w:tc>
          <w:tcPr>
            <w:tcW w:w="4818" w:type="dxa"/>
          </w:tcPr>
          <w:p w14:paraId="4285679B" w14:textId="77777777" w:rsidR="00C70550" w:rsidRPr="00286216" w:rsidRDefault="00C70550" w:rsidP="006A358E">
            <w:pPr>
              <w:pStyle w:val="StyleZakonu"/>
              <w:rPr>
                <w:color w:val="000000" w:themeColor="text1"/>
              </w:rPr>
            </w:pPr>
            <w:r w:rsidRPr="00286216">
              <w:rPr>
                <w:color w:val="000000" w:themeColor="text1"/>
              </w:rPr>
              <w:t>Стаття 39. Ринок деривативних контрактів</w:t>
            </w:r>
          </w:p>
        </w:tc>
        <w:tc>
          <w:tcPr>
            <w:tcW w:w="3686" w:type="dxa"/>
          </w:tcPr>
          <w:p w14:paraId="12E47988" w14:textId="77777777" w:rsidR="00C70550" w:rsidRPr="00286216" w:rsidRDefault="00C70550" w:rsidP="006A358E">
            <w:pPr>
              <w:pStyle w:val="StyleProp"/>
              <w:rPr>
                <w:color w:val="000000" w:themeColor="text1"/>
                <w:szCs w:val="18"/>
              </w:rPr>
            </w:pPr>
          </w:p>
        </w:tc>
        <w:tc>
          <w:tcPr>
            <w:tcW w:w="1987" w:type="dxa"/>
          </w:tcPr>
          <w:p w14:paraId="6217102D" w14:textId="77777777" w:rsidR="00C70550" w:rsidRPr="00286216" w:rsidRDefault="00C70550" w:rsidP="006A358E">
            <w:pPr>
              <w:pStyle w:val="StyleWisnow"/>
              <w:rPr>
                <w:color w:val="000000" w:themeColor="text1"/>
              </w:rPr>
            </w:pPr>
          </w:p>
        </w:tc>
        <w:tc>
          <w:tcPr>
            <w:tcW w:w="4818" w:type="dxa"/>
          </w:tcPr>
          <w:p w14:paraId="29D469E9" w14:textId="77777777" w:rsidR="00C70550" w:rsidRPr="00286216" w:rsidRDefault="00C70550" w:rsidP="006A358E">
            <w:pPr>
              <w:pStyle w:val="StyleZakonu"/>
              <w:rPr>
                <w:color w:val="000000" w:themeColor="text1"/>
              </w:rPr>
            </w:pPr>
            <w:r w:rsidRPr="00286216">
              <w:rPr>
                <w:color w:val="000000" w:themeColor="text1"/>
              </w:rPr>
              <w:t>Стаття 34. Ринок деривативних контрактів</w:t>
            </w:r>
          </w:p>
        </w:tc>
      </w:tr>
      <w:tr w:rsidR="00C70550" w:rsidRPr="00286216" w14:paraId="5C656D08" w14:textId="77777777" w:rsidTr="006A358E">
        <w:tc>
          <w:tcPr>
            <w:tcW w:w="576" w:type="dxa"/>
          </w:tcPr>
          <w:p w14:paraId="12A94E0D" w14:textId="77777777" w:rsidR="00C70550" w:rsidRPr="00286216" w:rsidRDefault="00C70550" w:rsidP="006A358E">
            <w:pPr>
              <w:pStyle w:val="StyleWisnow"/>
              <w:rPr>
                <w:color w:val="000000" w:themeColor="text1"/>
              </w:rPr>
            </w:pPr>
            <w:r w:rsidRPr="00286216">
              <w:rPr>
                <w:color w:val="000000" w:themeColor="text1"/>
              </w:rPr>
              <w:t>598.</w:t>
            </w:r>
          </w:p>
        </w:tc>
        <w:tc>
          <w:tcPr>
            <w:tcW w:w="4818" w:type="dxa"/>
          </w:tcPr>
          <w:p w14:paraId="0423F935" w14:textId="77777777" w:rsidR="00C70550" w:rsidRPr="00286216" w:rsidRDefault="00C70550" w:rsidP="006A358E">
            <w:pPr>
              <w:pStyle w:val="StyleZakonu"/>
              <w:rPr>
                <w:color w:val="000000" w:themeColor="text1"/>
              </w:rPr>
            </w:pPr>
            <w:r w:rsidRPr="00286216">
              <w:rPr>
                <w:color w:val="000000" w:themeColor="text1"/>
              </w:rPr>
              <w:t>1. Деривативні контракти укладаються як на організованих ринках капіталу передбачених підпунктом "б)" пункту 1, підпунктом "б" пункту 2 та підпунктом "б" пункту 3 частини 1 статті 46 цього Закону, так і поза ними.</w:t>
            </w:r>
          </w:p>
        </w:tc>
        <w:tc>
          <w:tcPr>
            <w:tcW w:w="3686" w:type="dxa"/>
          </w:tcPr>
          <w:p w14:paraId="731C075F" w14:textId="5E6A3058" w:rsidR="00C70550" w:rsidRPr="00286216" w:rsidRDefault="00C70550" w:rsidP="006A358E">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353</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1553AC4B" w14:textId="77777777" w:rsidR="00C70550" w:rsidRPr="00286216" w:rsidRDefault="00C70550" w:rsidP="006A358E">
            <w:pPr>
              <w:pStyle w:val="StyleProp"/>
              <w:rPr>
                <w:color w:val="000000" w:themeColor="text1"/>
                <w:spacing w:val="-5"/>
                <w:lang w:val="ru-RU"/>
              </w:rPr>
            </w:pPr>
            <w:r w:rsidRPr="00286216">
              <w:rPr>
                <w:color w:val="000000" w:themeColor="text1"/>
                <w:spacing w:val="-5"/>
                <w:lang w:val="ru-RU"/>
              </w:rPr>
              <w:t>Частину 1 статті 39 викласти у такій редакції:</w:t>
            </w:r>
          </w:p>
          <w:p w14:paraId="4605788F" w14:textId="77777777" w:rsidR="00C70550" w:rsidRPr="00286216" w:rsidRDefault="00C70550" w:rsidP="006A358E">
            <w:pPr>
              <w:pStyle w:val="StyleProp"/>
              <w:spacing w:line="180" w:lineRule="exact"/>
              <w:rPr>
                <w:color w:val="000000" w:themeColor="text1"/>
                <w:spacing w:val="-4"/>
              </w:rPr>
            </w:pPr>
            <w:r w:rsidRPr="00286216">
              <w:rPr>
                <w:color w:val="000000" w:themeColor="text1"/>
                <w:spacing w:val="-4"/>
              </w:rPr>
              <w:t>«1. Деривативні контракти укладаються як на організованих ринках капіталу</w:t>
            </w:r>
            <w:r w:rsidRPr="00286216">
              <w:rPr>
                <w:color w:val="000000" w:themeColor="text1"/>
                <w:spacing w:val="-4"/>
                <w:lang w:val="ru-RU"/>
              </w:rPr>
              <w:t>,</w:t>
            </w:r>
            <w:r w:rsidRPr="00286216">
              <w:rPr>
                <w:color w:val="000000" w:themeColor="text1"/>
                <w:spacing w:val="-4"/>
              </w:rPr>
              <w:t xml:space="preserve"> передбачених пунктами 2, 5 та 7 частини першої статті 49 цього Закону, так і поза ними».</w:t>
            </w:r>
          </w:p>
        </w:tc>
        <w:tc>
          <w:tcPr>
            <w:tcW w:w="1987" w:type="dxa"/>
          </w:tcPr>
          <w:p w14:paraId="5AEEF272"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1BD7D9DB"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tc>
        <w:tc>
          <w:tcPr>
            <w:tcW w:w="4818" w:type="dxa"/>
          </w:tcPr>
          <w:p w14:paraId="42CD6340" w14:textId="77777777" w:rsidR="00C70550" w:rsidRPr="00286216" w:rsidRDefault="00C70550" w:rsidP="006A358E">
            <w:pPr>
              <w:pStyle w:val="StyleZakonu"/>
              <w:rPr>
                <w:color w:val="000000" w:themeColor="text1"/>
              </w:rPr>
            </w:pPr>
            <w:r w:rsidRPr="00286216">
              <w:rPr>
                <w:color w:val="000000" w:themeColor="text1"/>
              </w:rPr>
              <w:t>1. Деривативні контракти укладаються як на організованих ринках капіталу, передбачених пунктами 2, 5 та 7 частини першої статті 49 цього Закону, так і поза ними.</w:t>
            </w:r>
          </w:p>
        </w:tc>
      </w:tr>
      <w:tr w:rsidR="00C70550" w:rsidRPr="00286216" w14:paraId="4DEB6538" w14:textId="77777777" w:rsidTr="006A358E">
        <w:tc>
          <w:tcPr>
            <w:tcW w:w="576" w:type="dxa"/>
          </w:tcPr>
          <w:p w14:paraId="3A14C37E" w14:textId="77777777" w:rsidR="00C70550" w:rsidRPr="00286216" w:rsidRDefault="00C70550" w:rsidP="006A358E">
            <w:pPr>
              <w:pStyle w:val="StyleWisnow"/>
              <w:rPr>
                <w:color w:val="000000" w:themeColor="text1"/>
              </w:rPr>
            </w:pPr>
            <w:r w:rsidRPr="00286216">
              <w:rPr>
                <w:color w:val="000000" w:themeColor="text1"/>
              </w:rPr>
              <w:t>599.</w:t>
            </w:r>
          </w:p>
        </w:tc>
        <w:tc>
          <w:tcPr>
            <w:tcW w:w="4818" w:type="dxa"/>
          </w:tcPr>
          <w:p w14:paraId="499C8EB7" w14:textId="77777777" w:rsidR="00C70550" w:rsidRPr="00286216" w:rsidRDefault="00C70550" w:rsidP="006A358E">
            <w:pPr>
              <w:pStyle w:val="StyleZakonu"/>
              <w:rPr>
                <w:color w:val="000000" w:themeColor="text1"/>
              </w:rPr>
            </w:pPr>
            <w:r w:rsidRPr="00286216">
              <w:rPr>
                <w:color w:val="000000" w:themeColor="text1"/>
              </w:rPr>
              <w:t>2. Укладання деривативних контрактів на регульованому ринку деривативних (похідних) фінансових інструментів здійснюється згідно із специфікаціями.</w:t>
            </w:r>
          </w:p>
        </w:tc>
        <w:tc>
          <w:tcPr>
            <w:tcW w:w="3686" w:type="dxa"/>
          </w:tcPr>
          <w:p w14:paraId="161BE96F" w14:textId="29F472C9"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354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7D710D4" w14:textId="77777777" w:rsidR="00C70550" w:rsidRPr="00286216" w:rsidRDefault="00C70550" w:rsidP="006A358E">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tc>
        <w:tc>
          <w:tcPr>
            <w:tcW w:w="1987" w:type="dxa"/>
          </w:tcPr>
          <w:p w14:paraId="20AD7620"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39996CB0" w14:textId="60A32597" w:rsidR="00C70550" w:rsidRPr="00286216" w:rsidRDefault="00C70550" w:rsidP="006A358E">
            <w:pPr>
              <w:pStyle w:val="StyleZakonu"/>
              <w:rPr>
                <w:color w:val="000000" w:themeColor="text1"/>
              </w:rPr>
            </w:pPr>
            <w:r w:rsidRPr="00286216">
              <w:rPr>
                <w:color w:val="000000" w:themeColor="text1"/>
              </w:rPr>
              <w:t>2. Уклад</w:t>
            </w:r>
            <w:r w:rsidRPr="00286216">
              <w:rPr>
                <w:color w:val="000000" w:themeColor="text1"/>
                <w:lang w:val="ru-RU"/>
              </w:rPr>
              <w:t>е</w:t>
            </w:r>
            <w:r w:rsidRPr="00286216">
              <w:rPr>
                <w:color w:val="000000" w:themeColor="text1"/>
              </w:rPr>
              <w:t>ння деривативних контрактів на регульованому ринку деривативних контрактів здійснюється згідно із специфікаціями.</w:t>
            </w:r>
          </w:p>
        </w:tc>
      </w:tr>
      <w:tr w:rsidR="00C70550" w:rsidRPr="00286216" w14:paraId="5F41A266" w14:textId="77777777" w:rsidTr="006A358E">
        <w:tc>
          <w:tcPr>
            <w:tcW w:w="576" w:type="dxa"/>
          </w:tcPr>
          <w:p w14:paraId="5A96E18B" w14:textId="77777777" w:rsidR="00C70550" w:rsidRPr="00286216" w:rsidRDefault="00C70550" w:rsidP="006A358E">
            <w:pPr>
              <w:pStyle w:val="StyleWisnow"/>
              <w:rPr>
                <w:color w:val="000000" w:themeColor="text1"/>
              </w:rPr>
            </w:pPr>
            <w:r w:rsidRPr="00286216">
              <w:rPr>
                <w:color w:val="000000" w:themeColor="text1"/>
              </w:rPr>
              <w:t>600.</w:t>
            </w:r>
          </w:p>
        </w:tc>
        <w:tc>
          <w:tcPr>
            <w:tcW w:w="4818" w:type="dxa"/>
          </w:tcPr>
          <w:p w14:paraId="69578748" w14:textId="77777777" w:rsidR="00C70550" w:rsidRPr="00286216" w:rsidRDefault="00C70550" w:rsidP="006A358E">
            <w:pPr>
              <w:pStyle w:val="StyleZakonu"/>
              <w:rPr>
                <w:color w:val="000000" w:themeColor="text1"/>
              </w:rPr>
            </w:pPr>
            <w:r w:rsidRPr="00286216">
              <w:rPr>
                <w:color w:val="000000" w:themeColor="text1"/>
              </w:rPr>
              <w:t>Укладення деривативних контрактів на БТМ деривативних (похідних) фінансових інструментів та ОТМ деривативних (похідних) фінансових інструментів може здійснюватися згідно із специфікаціями.</w:t>
            </w:r>
          </w:p>
        </w:tc>
        <w:tc>
          <w:tcPr>
            <w:tcW w:w="3686" w:type="dxa"/>
          </w:tcPr>
          <w:p w14:paraId="5DEDC3AD" w14:textId="4CCC1BFB"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355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5789A9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7ED05FE8" w14:textId="1A3A717E"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356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AFC568C"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У абзаці другому частини другої статті 39 слова «деривативних (похідних) фінансових інструментів» замінити словами «деривативних контрактів».</w:t>
            </w:r>
          </w:p>
        </w:tc>
        <w:tc>
          <w:tcPr>
            <w:tcW w:w="1987" w:type="dxa"/>
          </w:tcPr>
          <w:p w14:paraId="5D90F7B9" w14:textId="77777777" w:rsidR="00C70550" w:rsidRPr="00286216" w:rsidRDefault="00C70550" w:rsidP="006A358E">
            <w:pPr>
              <w:pStyle w:val="StyleWisnow"/>
              <w:rPr>
                <w:color w:val="000000" w:themeColor="text1"/>
              </w:rPr>
            </w:pPr>
            <w:r w:rsidRPr="00286216">
              <w:rPr>
                <w:color w:val="000000" w:themeColor="text1"/>
              </w:rPr>
              <w:t>Враховано</w:t>
            </w:r>
          </w:p>
          <w:p w14:paraId="1D7C5D42" w14:textId="77777777" w:rsidR="00C70550" w:rsidRPr="00286216" w:rsidRDefault="00C70550" w:rsidP="006A358E">
            <w:pPr>
              <w:pStyle w:val="StyleWisnow"/>
              <w:rPr>
                <w:color w:val="000000" w:themeColor="text1"/>
              </w:rPr>
            </w:pPr>
          </w:p>
          <w:p w14:paraId="471279C7" w14:textId="77777777" w:rsidR="00C70550" w:rsidRPr="00286216" w:rsidRDefault="00C70550" w:rsidP="006A358E">
            <w:pPr>
              <w:pStyle w:val="StyleWisnow"/>
              <w:rPr>
                <w:color w:val="000000" w:themeColor="text1"/>
              </w:rPr>
            </w:pPr>
          </w:p>
          <w:p w14:paraId="2AD6A81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07FBBB00" w14:textId="77777777" w:rsidR="00C70550" w:rsidRPr="00286216" w:rsidRDefault="00C70550" w:rsidP="006A358E">
            <w:pPr>
              <w:pStyle w:val="StyleZakonu"/>
              <w:rPr>
                <w:color w:val="000000" w:themeColor="text1"/>
              </w:rPr>
            </w:pPr>
            <w:r w:rsidRPr="00286216">
              <w:rPr>
                <w:color w:val="000000" w:themeColor="text1"/>
              </w:rPr>
              <w:t xml:space="preserve">Укладення деривативних контрактів на БТМ деривативних контрактів та ОТМ </w:t>
            </w:r>
            <w:r w:rsidRPr="00286216">
              <w:rPr>
                <w:color w:val="000000" w:themeColor="text1"/>
                <w:szCs w:val="18"/>
              </w:rPr>
              <w:t>деривативних контрактів</w:t>
            </w:r>
            <w:r w:rsidRPr="00286216">
              <w:rPr>
                <w:color w:val="000000" w:themeColor="text1"/>
              </w:rPr>
              <w:t xml:space="preserve"> може здійснюватися згідно із специфікаціями.</w:t>
            </w:r>
          </w:p>
        </w:tc>
      </w:tr>
      <w:tr w:rsidR="00C70550" w:rsidRPr="00286216" w14:paraId="738C4601" w14:textId="77777777" w:rsidTr="006A358E">
        <w:tc>
          <w:tcPr>
            <w:tcW w:w="576" w:type="dxa"/>
          </w:tcPr>
          <w:p w14:paraId="7400141E" w14:textId="77777777" w:rsidR="00C70550" w:rsidRPr="00286216" w:rsidRDefault="00C70550" w:rsidP="006A358E">
            <w:pPr>
              <w:pStyle w:val="StyleWisnow"/>
              <w:rPr>
                <w:color w:val="000000" w:themeColor="text1"/>
              </w:rPr>
            </w:pPr>
            <w:r w:rsidRPr="00286216">
              <w:rPr>
                <w:color w:val="000000" w:themeColor="text1"/>
              </w:rPr>
              <w:t>601.</w:t>
            </w:r>
          </w:p>
        </w:tc>
        <w:tc>
          <w:tcPr>
            <w:tcW w:w="4818" w:type="dxa"/>
          </w:tcPr>
          <w:p w14:paraId="4210C6C6" w14:textId="77777777" w:rsidR="00C70550" w:rsidRPr="00286216" w:rsidRDefault="00C70550" w:rsidP="006A358E">
            <w:pPr>
              <w:pStyle w:val="StyleZakonu"/>
              <w:rPr>
                <w:color w:val="000000" w:themeColor="text1"/>
              </w:rPr>
            </w:pPr>
            <w:r w:rsidRPr="00286216">
              <w:rPr>
                <w:color w:val="000000" w:themeColor="text1"/>
              </w:rPr>
              <w:t xml:space="preserve">Специфікації деривативних контрактів розробляються оператором для кожного з деривативних контрактів, які укладаються на відповідному ринку деривативних контрактів, та </w:t>
            </w:r>
            <w:r w:rsidRPr="00286216">
              <w:rPr>
                <w:color w:val="000000" w:themeColor="text1"/>
              </w:rPr>
              <w:lastRenderedPageBreak/>
              <w:t>реєструються:</w:t>
            </w:r>
          </w:p>
        </w:tc>
        <w:tc>
          <w:tcPr>
            <w:tcW w:w="3686" w:type="dxa"/>
          </w:tcPr>
          <w:p w14:paraId="18A667C8" w14:textId="77777777" w:rsidR="00C70550" w:rsidRPr="00286216" w:rsidRDefault="00C70550" w:rsidP="006A358E">
            <w:pPr>
              <w:pStyle w:val="StyleProp"/>
              <w:rPr>
                <w:color w:val="000000" w:themeColor="text1"/>
                <w:szCs w:val="18"/>
              </w:rPr>
            </w:pPr>
          </w:p>
        </w:tc>
        <w:tc>
          <w:tcPr>
            <w:tcW w:w="1987" w:type="dxa"/>
          </w:tcPr>
          <w:p w14:paraId="42E832EE" w14:textId="77777777" w:rsidR="00C70550" w:rsidRPr="00286216" w:rsidRDefault="00C70550" w:rsidP="006A358E">
            <w:pPr>
              <w:pStyle w:val="StyleWisnow"/>
              <w:rPr>
                <w:color w:val="000000" w:themeColor="text1"/>
              </w:rPr>
            </w:pPr>
          </w:p>
        </w:tc>
        <w:tc>
          <w:tcPr>
            <w:tcW w:w="4818" w:type="dxa"/>
          </w:tcPr>
          <w:p w14:paraId="60F6B50B" w14:textId="77777777" w:rsidR="00C70550" w:rsidRPr="00286216" w:rsidRDefault="00C70550" w:rsidP="006A358E">
            <w:pPr>
              <w:pStyle w:val="StyleZakonu"/>
              <w:rPr>
                <w:color w:val="000000" w:themeColor="text1"/>
              </w:rPr>
            </w:pPr>
            <w:r w:rsidRPr="00286216">
              <w:rPr>
                <w:color w:val="000000" w:themeColor="text1"/>
              </w:rPr>
              <w:t xml:space="preserve">Специфікації деривативних контрактів розробляються оператором для кожного з деривативних контрактів, які укладаються на відповідному ринку деривативних контрактів, та </w:t>
            </w:r>
            <w:r w:rsidRPr="00286216">
              <w:rPr>
                <w:color w:val="000000" w:themeColor="text1"/>
              </w:rPr>
              <w:lastRenderedPageBreak/>
              <w:t>реєструються:</w:t>
            </w:r>
          </w:p>
        </w:tc>
      </w:tr>
      <w:tr w:rsidR="00C70550" w:rsidRPr="00286216" w14:paraId="5399DF2B" w14:textId="77777777" w:rsidTr="006A358E">
        <w:tc>
          <w:tcPr>
            <w:tcW w:w="576" w:type="dxa"/>
          </w:tcPr>
          <w:p w14:paraId="67667A7D" w14:textId="77777777" w:rsidR="00C70550" w:rsidRPr="00286216" w:rsidRDefault="00C70550" w:rsidP="006A358E">
            <w:pPr>
              <w:pStyle w:val="StyleWisnow"/>
              <w:rPr>
                <w:color w:val="000000" w:themeColor="text1"/>
              </w:rPr>
            </w:pPr>
            <w:r w:rsidRPr="00286216">
              <w:rPr>
                <w:color w:val="000000" w:themeColor="text1"/>
              </w:rPr>
              <w:lastRenderedPageBreak/>
              <w:t>602.</w:t>
            </w:r>
          </w:p>
        </w:tc>
        <w:tc>
          <w:tcPr>
            <w:tcW w:w="4818" w:type="dxa"/>
          </w:tcPr>
          <w:p w14:paraId="6175FD6D" w14:textId="77777777"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після їх погодження Національним банком України - щодо деривативних контрактів грошового ринку. Національний банк України має право відмовити у погодженні відповідних специфікацій з підстав, визначених нормативно-правовими актами Національного банку України;</w:t>
            </w:r>
          </w:p>
        </w:tc>
        <w:tc>
          <w:tcPr>
            <w:tcW w:w="3686" w:type="dxa"/>
          </w:tcPr>
          <w:p w14:paraId="06882DA5" w14:textId="77777777" w:rsidR="00C70550" w:rsidRPr="00286216" w:rsidRDefault="00C70550" w:rsidP="006A358E">
            <w:pPr>
              <w:pStyle w:val="StyleProp"/>
              <w:rPr>
                <w:color w:val="000000" w:themeColor="text1"/>
                <w:szCs w:val="18"/>
              </w:rPr>
            </w:pPr>
          </w:p>
        </w:tc>
        <w:tc>
          <w:tcPr>
            <w:tcW w:w="1987" w:type="dxa"/>
          </w:tcPr>
          <w:p w14:paraId="314BCDC3" w14:textId="77777777" w:rsidR="00C70550" w:rsidRPr="00286216" w:rsidRDefault="00C70550" w:rsidP="006A358E">
            <w:pPr>
              <w:pStyle w:val="StyleWisnow"/>
              <w:rPr>
                <w:color w:val="000000" w:themeColor="text1"/>
              </w:rPr>
            </w:pPr>
          </w:p>
        </w:tc>
        <w:tc>
          <w:tcPr>
            <w:tcW w:w="4818" w:type="dxa"/>
          </w:tcPr>
          <w:p w14:paraId="44217BDE" w14:textId="77777777"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після їх погодження Національним банком України - щодо деривативних контрактів грошового ринку. Національний банк України має право відмовити у погодженні відповідних специфікацій з підстав, визначених нормативно-правовими актами Національного банку України;</w:t>
            </w:r>
          </w:p>
        </w:tc>
      </w:tr>
      <w:tr w:rsidR="00C70550" w:rsidRPr="00286216" w14:paraId="21EB0584" w14:textId="77777777" w:rsidTr="006A358E">
        <w:tc>
          <w:tcPr>
            <w:tcW w:w="576" w:type="dxa"/>
          </w:tcPr>
          <w:p w14:paraId="5113678F" w14:textId="77777777" w:rsidR="00C70550" w:rsidRPr="00286216" w:rsidRDefault="00C70550" w:rsidP="006A358E">
            <w:pPr>
              <w:pStyle w:val="StyleWisnow"/>
              <w:rPr>
                <w:color w:val="000000" w:themeColor="text1"/>
              </w:rPr>
            </w:pPr>
            <w:r w:rsidRPr="00286216">
              <w:rPr>
                <w:color w:val="000000" w:themeColor="text1"/>
              </w:rPr>
              <w:t>603.</w:t>
            </w:r>
          </w:p>
        </w:tc>
        <w:tc>
          <w:tcPr>
            <w:tcW w:w="4818" w:type="dxa"/>
          </w:tcPr>
          <w:p w14:paraId="7078CB36" w14:textId="77777777"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після їх погодження регулятором відповідного товарного ринку та/або центральним органом виконавчої влади, що забезпечує формування та реалізує державну політику у відповідних сферах - щодо поставних товарних деривативних контрактів, базовий актив яких належить до сфери регулювання такого регулятора або до сфери, державну політику у якій формує такий центральний орган виконавчої влади. Такий регулятор товарного ринку або центральний орган виконавчої влади мають право відмовити у погодженні відповідних специфікацій з підстав, визначених нормативно-правовими актами такого регулятора або центрального органу виконавчої влади.</w:t>
            </w:r>
          </w:p>
        </w:tc>
        <w:tc>
          <w:tcPr>
            <w:tcW w:w="3686" w:type="dxa"/>
          </w:tcPr>
          <w:p w14:paraId="6518D6E4" w14:textId="35C31778"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357</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04F8E7D6" w14:textId="77777777" w:rsidR="00C70550" w:rsidRPr="00286216" w:rsidRDefault="00C70550" w:rsidP="006A358E">
            <w:pPr>
              <w:pStyle w:val="StyleProp"/>
              <w:rPr>
                <w:color w:val="000000" w:themeColor="text1"/>
                <w:szCs w:val="18"/>
              </w:rPr>
            </w:pPr>
            <w:r w:rsidRPr="00286216">
              <w:rPr>
                <w:color w:val="000000" w:themeColor="text1"/>
                <w:szCs w:val="18"/>
              </w:rPr>
              <w:t>В абзаці п’ятому частини другої статті 39 слова "</w:t>
            </w:r>
            <w:r w:rsidRPr="00286216">
              <w:rPr>
                <w:color w:val="000000" w:themeColor="text1"/>
              </w:rPr>
              <w:t>регулятором відповідного товарного ринку та/або"</w:t>
            </w:r>
            <w:r w:rsidRPr="00286216">
              <w:rPr>
                <w:color w:val="000000" w:themeColor="text1"/>
                <w:szCs w:val="18"/>
              </w:rPr>
              <w:t>, "</w:t>
            </w:r>
            <w:r w:rsidRPr="00286216">
              <w:rPr>
                <w:color w:val="000000" w:themeColor="text1"/>
              </w:rPr>
              <w:t>регулятор товарного ринку або", та "такого регулятора або"</w:t>
            </w:r>
            <w:r w:rsidRPr="00286216">
              <w:rPr>
                <w:color w:val="000000" w:themeColor="text1"/>
                <w:szCs w:val="18"/>
              </w:rPr>
              <w:t xml:space="preserve"> виключити</w:t>
            </w:r>
          </w:p>
        </w:tc>
        <w:tc>
          <w:tcPr>
            <w:tcW w:w="1987" w:type="dxa"/>
          </w:tcPr>
          <w:p w14:paraId="5BE2ABA5"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21DFCDE8" w14:textId="6DE5F1B0"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після їх погодження центральним органом виконавчої влади, що забезпечує формування та реалізує державну політику у відповідних сферах</w:t>
            </w:r>
            <w:r w:rsidRPr="00286216">
              <w:rPr>
                <w:color w:val="000000" w:themeColor="text1"/>
                <w:lang w:val="ru-RU"/>
              </w:rPr>
              <w:t>,</w:t>
            </w:r>
            <w:r w:rsidRPr="00286216">
              <w:rPr>
                <w:color w:val="000000" w:themeColor="text1"/>
              </w:rPr>
              <w:t xml:space="preserve"> - щодо поставних товарних деривативних контрактів, базовий актив яких належить до сфери регулювання такого регулятора або до сфери, державну політику у якій формує такий центральний орган виконавчої влади. Такий центральний орган виконавчої влади має право відмовити у погодженні відповідних специфікацій з підстав, визначених нормативно-правовими актами такого центрального органу виконавчої влади</w:t>
            </w:r>
            <w:r w:rsidRPr="00286216">
              <w:rPr>
                <w:color w:val="000000" w:themeColor="text1"/>
                <w:lang w:val="ru-RU"/>
              </w:rPr>
              <w:t>;</w:t>
            </w:r>
          </w:p>
        </w:tc>
      </w:tr>
      <w:tr w:rsidR="00C70550" w:rsidRPr="00286216" w14:paraId="39A015FA" w14:textId="77777777" w:rsidTr="006A358E">
        <w:tc>
          <w:tcPr>
            <w:tcW w:w="576" w:type="dxa"/>
          </w:tcPr>
          <w:p w14:paraId="503F5053" w14:textId="77777777" w:rsidR="00C70550" w:rsidRPr="00286216" w:rsidRDefault="00C70550" w:rsidP="006A358E">
            <w:pPr>
              <w:pStyle w:val="StyleWisnow"/>
              <w:rPr>
                <w:color w:val="000000" w:themeColor="text1"/>
              </w:rPr>
            </w:pPr>
            <w:r w:rsidRPr="00286216">
              <w:rPr>
                <w:color w:val="000000" w:themeColor="text1"/>
              </w:rPr>
              <w:t>604.</w:t>
            </w:r>
          </w:p>
        </w:tc>
        <w:tc>
          <w:tcPr>
            <w:tcW w:w="4818" w:type="dxa"/>
          </w:tcPr>
          <w:p w14:paraId="27F962E9" w14:textId="77777777"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 щодо інших деривативних контрактів.</w:t>
            </w:r>
          </w:p>
        </w:tc>
        <w:tc>
          <w:tcPr>
            <w:tcW w:w="3686" w:type="dxa"/>
          </w:tcPr>
          <w:p w14:paraId="2554478F" w14:textId="77777777" w:rsidR="00C70550" w:rsidRPr="00286216" w:rsidRDefault="00C70550" w:rsidP="006A358E">
            <w:pPr>
              <w:pStyle w:val="StyleProp"/>
              <w:rPr>
                <w:color w:val="000000" w:themeColor="text1"/>
                <w:szCs w:val="18"/>
              </w:rPr>
            </w:pPr>
          </w:p>
        </w:tc>
        <w:tc>
          <w:tcPr>
            <w:tcW w:w="1987" w:type="dxa"/>
          </w:tcPr>
          <w:p w14:paraId="2D49F44B" w14:textId="77777777" w:rsidR="00C70550" w:rsidRPr="00286216" w:rsidRDefault="00C70550" w:rsidP="006A358E">
            <w:pPr>
              <w:pStyle w:val="StyleWisnow"/>
              <w:rPr>
                <w:color w:val="000000" w:themeColor="text1"/>
              </w:rPr>
            </w:pPr>
          </w:p>
        </w:tc>
        <w:tc>
          <w:tcPr>
            <w:tcW w:w="4818" w:type="dxa"/>
          </w:tcPr>
          <w:p w14:paraId="092DB5B2" w14:textId="77777777" w:rsidR="00C70550" w:rsidRPr="00286216" w:rsidRDefault="00C70550" w:rsidP="006A358E">
            <w:pPr>
              <w:pStyle w:val="StyleZakonu"/>
              <w:rPr>
                <w:color w:val="000000" w:themeColor="text1"/>
              </w:rPr>
            </w:pPr>
            <w:r w:rsidRPr="00286216">
              <w:rPr>
                <w:color w:val="000000" w:themeColor="text1"/>
              </w:rPr>
              <w:t>Національною комісією з цінних паперів та фондового ринку - щодо інших деривативних контрактів.</w:t>
            </w:r>
          </w:p>
        </w:tc>
      </w:tr>
      <w:tr w:rsidR="00C70550" w:rsidRPr="00286216" w14:paraId="242D5BD2" w14:textId="77777777" w:rsidTr="006A358E">
        <w:tc>
          <w:tcPr>
            <w:tcW w:w="576" w:type="dxa"/>
          </w:tcPr>
          <w:p w14:paraId="4D77E705" w14:textId="77777777" w:rsidR="00C70550" w:rsidRPr="00286216" w:rsidRDefault="00C70550" w:rsidP="006A358E">
            <w:pPr>
              <w:pStyle w:val="StyleWisnow"/>
              <w:rPr>
                <w:color w:val="000000" w:themeColor="text1"/>
              </w:rPr>
            </w:pPr>
            <w:r w:rsidRPr="00286216">
              <w:rPr>
                <w:color w:val="000000" w:themeColor="text1"/>
              </w:rPr>
              <w:t>605.</w:t>
            </w:r>
          </w:p>
        </w:tc>
        <w:tc>
          <w:tcPr>
            <w:tcW w:w="4818" w:type="dxa"/>
          </w:tcPr>
          <w:p w14:paraId="0BE6846F" w14:textId="77777777" w:rsidR="00C70550" w:rsidRPr="00286216" w:rsidRDefault="00C70550" w:rsidP="006A358E">
            <w:pPr>
              <w:pStyle w:val="StyleZakonu"/>
              <w:rPr>
                <w:color w:val="000000" w:themeColor="text1"/>
              </w:rPr>
            </w:pPr>
            <w:r w:rsidRPr="00286216">
              <w:rPr>
                <w:color w:val="000000" w:themeColor="text1"/>
              </w:rPr>
              <w:t>3. Оператор регульованого ринку повинен забезпечити, щоб усі операції з деривативними контрактами, які здійснюються на відповідному регульованому ринку, підлягали клірингу через Центрального контрагента.</w:t>
            </w:r>
          </w:p>
        </w:tc>
        <w:tc>
          <w:tcPr>
            <w:tcW w:w="3686" w:type="dxa"/>
          </w:tcPr>
          <w:p w14:paraId="25735318" w14:textId="6F7BAAFA"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358</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54477F1B"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В тексті частини третьої статті 39 слова «операції з деривативними контрактами, які здійснюються» замінити словами «зобов’язання за деривативними контрактами, що укладаються»</w:t>
            </w:r>
          </w:p>
        </w:tc>
        <w:tc>
          <w:tcPr>
            <w:tcW w:w="1987" w:type="dxa"/>
          </w:tcPr>
          <w:p w14:paraId="55E42246"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2C03ADC0" w14:textId="77777777" w:rsidR="00C70550" w:rsidRPr="00286216" w:rsidRDefault="00C70550" w:rsidP="006A358E">
            <w:pPr>
              <w:pStyle w:val="StyleZakonu"/>
              <w:rPr>
                <w:color w:val="000000" w:themeColor="text1"/>
              </w:rPr>
            </w:pPr>
            <w:r w:rsidRPr="00286216">
              <w:rPr>
                <w:color w:val="000000" w:themeColor="text1"/>
              </w:rPr>
              <w:t>3. Оператор регульованого ринку повинен забезпечити, щоб усі зобов’язання за деривативними контрактами, що укладаються на відповідному регульованому ринку, підлягали клірингу через центрального контрагента.</w:t>
            </w:r>
          </w:p>
        </w:tc>
      </w:tr>
      <w:tr w:rsidR="00C70550" w:rsidRPr="00286216" w14:paraId="65734068" w14:textId="77777777" w:rsidTr="006A358E">
        <w:tc>
          <w:tcPr>
            <w:tcW w:w="576" w:type="dxa"/>
          </w:tcPr>
          <w:p w14:paraId="7B283C2F" w14:textId="77777777" w:rsidR="00C70550" w:rsidRPr="00286216" w:rsidRDefault="00C70550" w:rsidP="006A358E">
            <w:pPr>
              <w:pStyle w:val="StyleWisnow"/>
              <w:rPr>
                <w:color w:val="000000" w:themeColor="text1"/>
              </w:rPr>
            </w:pPr>
            <w:r w:rsidRPr="00286216">
              <w:rPr>
                <w:color w:val="000000" w:themeColor="text1"/>
              </w:rPr>
              <w:t>606.</w:t>
            </w:r>
          </w:p>
        </w:tc>
        <w:tc>
          <w:tcPr>
            <w:tcW w:w="4818" w:type="dxa"/>
          </w:tcPr>
          <w:p w14:paraId="5199E06B" w14:textId="77777777" w:rsidR="00C70550" w:rsidRPr="00286216" w:rsidRDefault="00C70550" w:rsidP="006A358E">
            <w:pPr>
              <w:pStyle w:val="StyleZakonu"/>
              <w:rPr>
                <w:color w:val="000000" w:themeColor="text1"/>
              </w:rPr>
            </w:pPr>
            <w:r w:rsidRPr="00286216">
              <w:rPr>
                <w:color w:val="000000" w:themeColor="text1"/>
              </w:rPr>
              <w:t>Оператор БТМ може у правилах відповідної БТМ передбачити, що операції з деривативними контрактами, які здійснюються на такій БТМ, підлягають клірингу через Центрального контрагента.</w:t>
            </w:r>
          </w:p>
        </w:tc>
        <w:tc>
          <w:tcPr>
            <w:tcW w:w="3686" w:type="dxa"/>
          </w:tcPr>
          <w:p w14:paraId="174340C4" w14:textId="2370FAE5"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359</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0A185528"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у статті 39 абзац другий частини 3 викласти у такій редакції:</w:t>
            </w:r>
          </w:p>
          <w:p w14:paraId="62878A9D"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«Оператор БТМ та оператор ОТМ можуть у правилах відповідного БТМ/ОТМ передбачити, що операції з деривативними контрактами, які здійснюються на такому БТМ/ОТМ, підлягають клірингу через Центрального контрагента.»</w:t>
            </w:r>
          </w:p>
        </w:tc>
        <w:tc>
          <w:tcPr>
            <w:tcW w:w="1987" w:type="dxa"/>
          </w:tcPr>
          <w:p w14:paraId="04DD93E3" w14:textId="77777777" w:rsidR="00C70550" w:rsidRPr="00286216" w:rsidRDefault="00C70550" w:rsidP="006A358E">
            <w:pPr>
              <w:pStyle w:val="StyleWisnow"/>
              <w:rPr>
                <w:color w:val="000000" w:themeColor="text1"/>
              </w:rPr>
            </w:pPr>
            <w:r w:rsidRPr="00286216">
              <w:rPr>
                <w:color w:val="000000" w:themeColor="text1"/>
              </w:rPr>
              <w:t>Враховано частково</w:t>
            </w:r>
          </w:p>
          <w:p w14:paraId="437F1FB1" w14:textId="77777777" w:rsidR="00C70550" w:rsidRPr="00286216" w:rsidRDefault="00C70550" w:rsidP="006A358E">
            <w:pPr>
              <w:pStyle w:val="StyleWisnow"/>
              <w:rPr>
                <w:color w:val="000000" w:themeColor="text1"/>
              </w:rPr>
            </w:pPr>
            <w:r w:rsidRPr="00286216">
              <w:rPr>
                <w:color w:val="000000" w:themeColor="text1"/>
              </w:rPr>
              <w:t>в редакції цього абзацу</w:t>
            </w:r>
          </w:p>
          <w:p w14:paraId="7EEF93ED"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t>Європейський регламент щодо діяльності центрального контрагента не передбачає можливості проведення клірингу за участі Центрального контрагента на ОТМ</w:t>
            </w:r>
          </w:p>
        </w:tc>
        <w:tc>
          <w:tcPr>
            <w:tcW w:w="4818" w:type="dxa"/>
          </w:tcPr>
          <w:p w14:paraId="480AE801" w14:textId="48EE7A52" w:rsidR="00C70550" w:rsidRPr="00286216" w:rsidRDefault="00C70550" w:rsidP="006A358E">
            <w:pPr>
              <w:pStyle w:val="StyleZakonu"/>
              <w:rPr>
                <w:color w:val="000000" w:themeColor="text1"/>
              </w:rPr>
            </w:pPr>
            <w:r w:rsidRPr="00286216">
              <w:rPr>
                <w:color w:val="000000" w:themeColor="text1"/>
              </w:rPr>
              <w:t>Оператор БТМ може передбачити у правилах відповідно</w:t>
            </w:r>
            <w:r w:rsidRPr="00286216">
              <w:rPr>
                <w:color w:val="000000" w:themeColor="text1"/>
                <w:lang w:val="ru-RU"/>
              </w:rPr>
              <w:t>го</w:t>
            </w:r>
            <w:r w:rsidRPr="00286216">
              <w:rPr>
                <w:color w:val="000000" w:themeColor="text1"/>
              </w:rPr>
              <w:t xml:space="preserve"> БТМ, що зобов’язання за деривативними контрактами, що укладаються на так</w:t>
            </w:r>
            <w:r w:rsidRPr="00286216">
              <w:rPr>
                <w:color w:val="000000" w:themeColor="text1"/>
                <w:lang w:val="ru-RU"/>
              </w:rPr>
              <w:t>ому</w:t>
            </w:r>
            <w:r w:rsidRPr="00286216">
              <w:rPr>
                <w:color w:val="000000" w:themeColor="text1"/>
              </w:rPr>
              <w:t xml:space="preserve"> БТМ, підлягають клірингу через </w:t>
            </w:r>
            <w:r w:rsidRPr="00286216">
              <w:rPr>
                <w:color w:val="000000" w:themeColor="text1"/>
                <w:lang w:val="ru-RU"/>
              </w:rPr>
              <w:t>ц</w:t>
            </w:r>
            <w:r w:rsidRPr="00286216">
              <w:rPr>
                <w:color w:val="000000" w:themeColor="text1"/>
              </w:rPr>
              <w:t>ентрального контрагента.</w:t>
            </w:r>
          </w:p>
        </w:tc>
      </w:tr>
      <w:tr w:rsidR="00C70550" w:rsidRPr="00286216" w14:paraId="0FC4E5A3" w14:textId="77777777" w:rsidTr="006A358E">
        <w:tc>
          <w:tcPr>
            <w:tcW w:w="576" w:type="dxa"/>
          </w:tcPr>
          <w:p w14:paraId="117AD204" w14:textId="77777777" w:rsidR="00C70550" w:rsidRPr="00286216" w:rsidRDefault="00C70550" w:rsidP="006A358E">
            <w:pPr>
              <w:pStyle w:val="StyleWisnow"/>
              <w:rPr>
                <w:color w:val="000000" w:themeColor="text1"/>
              </w:rPr>
            </w:pPr>
            <w:r w:rsidRPr="00286216">
              <w:rPr>
                <w:color w:val="000000" w:themeColor="text1"/>
              </w:rPr>
              <w:t>607.</w:t>
            </w:r>
          </w:p>
        </w:tc>
        <w:tc>
          <w:tcPr>
            <w:tcW w:w="4818" w:type="dxa"/>
          </w:tcPr>
          <w:p w14:paraId="2FD79D13" w14:textId="77777777" w:rsidR="00C70550" w:rsidRPr="00286216" w:rsidRDefault="00C70550" w:rsidP="006A358E">
            <w:pPr>
              <w:pStyle w:val="StyleZakonu"/>
              <w:rPr>
                <w:color w:val="000000" w:themeColor="text1"/>
              </w:rPr>
            </w:pPr>
            <w:r w:rsidRPr="00286216">
              <w:rPr>
                <w:color w:val="000000" w:themeColor="text1"/>
              </w:rPr>
              <w:t xml:space="preserve">4. З метою зниження ризику невиконання або неналежного виконання зобов’язань стороною деривативного контракту Національна комісія з цінних паперів та фондового ринку може </w:t>
            </w:r>
            <w:r w:rsidRPr="00286216">
              <w:rPr>
                <w:color w:val="000000" w:themeColor="text1"/>
              </w:rPr>
              <w:lastRenderedPageBreak/>
              <w:t>встановлювати випадки обов’язковості проведення клірингу Центральним контрагентом за відповідними категоріями деривативних контрактів, укладених поза регульованим ринком, крім деривативних контрактів грошового ринку.</w:t>
            </w:r>
          </w:p>
        </w:tc>
        <w:tc>
          <w:tcPr>
            <w:tcW w:w="3686" w:type="dxa"/>
          </w:tcPr>
          <w:p w14:paraId="7DB1AF86" w14:textId="3C8B7C95"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lastRenderedPageBreak/>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360</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24A7AEC7" w14:textId="77777777" w:rsidR="00C70550" w:rsidRPr="00286216" w:rsidRDefault="00C70550" w:rsidP="006A358E">
            <w:pPr>
              <w:pStyle w:val="StyleProp"/>
              <w:rPr>
                <w:color w:val="000000" w:themeColor="text1"/>
              </w:rPr>
            </w:pPr>
            <w:r w:rsidRPr="00286216">
              <w:rPr>
                <w:color w:val="000000" w:themeColor="text1"/>
              </w:rPr>
              <w:t xml:space="preserve">В частині четвертій статті 39 слова «поза регульованим» замінити словами «поза організованим» </w:t>
            </w:r>
          </w:p>
          <w:p w14:paraId="4FE8CEF3" w14:textId="348D153D"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361</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31582522" w14:textId="77777777" w:rsidR="00C70550" w:rsidRPr="00286216" w:rsidRDefault="00C70550" w:rsidP="006A358E">
            <w:pPr>
              <w:pStyle w:val="StyleProp"/>
              <w:rPr>
                <w:color w:val="000000" w:themeColor="text1"/>
              </w:rPr>
            </w:pPr>
            <w:r w:rsidRPr="00286216">
              <w:rPr>
                <w:color w:val="000000" w:themeColor="text1"/>
              </w:rPr>
              <w:lastRenderedPageBreak/>
              <w:t>у статті 39 частину 4 викласти у такій редакції:</w:t>
            </w:r>
          </w:p>
          <w:p w14:paraId="1D954F90"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«4. З метою зниження ризику невиконання або неналежного виконання зобов’язань стороною деривативного контракту регулятор відповідного ринку може встановлювати випадки обов’язковості проведення клірингу Центральним контрагентом за відповідними категоріями деривативних контрактів, укладених поза регульованим ринком деривативних (похідних) фінансових інструментів, крім деривативних контрактів грошового ринку. </w:t>
            </w:r>
          </w:p>
          <w:p w14:paraId="041A025C" w14:textId="77777777" w:rsidR="00C70550" w:rsidRPr="00286216" w:rsidRDefault="00C70550" w:rsidP="006A358E">
            <w:pPr>
              <w:pStyle w:val="StyleProp"/>
              <w:spacing w:line="180" w:lineRule="exact"/>
              <w:rPr>
                <w:color w:val="000000" w:themeColor="text1"/>
              </w:rPr>
            </w:pPr>
            <w:r w:rsidRPr="00286216">
              <w:rPr>
                <w:color w:val="000000" w:themeColor="text1"/>
              </w:rPr>
              <w:t>Випадки обов’язковості проведення клірингу Центральним контрагентом за деривативними контрактами грошового ринку, укладеними поза регульованим ринком деривативних (похідних) фінансових інструментів, можуть встановлюватися Національною комісією з цінних паперів та фондового ринку за погодженням з Національним банком України.</w:t>
            </w:r>
          </w:p>
          <w:p w14:paraId="74D93BFD" w14:textId="77777777" w:rsidR="00C70550" w:rsidRPr="00286216" w:rsidRDefault="00C70550" w:rsidP="006A358E">
            <w:pPr>
              <w:pStyle w:val="StyleProp"/>
              <w:spacing w:line="180" w:lineRule="exact"/>
              <w:rPr>
                <w:color w:val="000000" w:themeColor="text1"/>
                <w:szCs w:val="18"/>
              </w:rPr>
            </w:pPr>
            <w:r w:rsidRPr="00286216">
              <w:rPr>
                <w:color w:val="000000" w:themeColor="text1"/>
              </w:rPr>
              <w:t>Випадки обов’язковості проведення клірингу Центральним контрагентом за поставними товарними деривативними контрактами, укладеними поза регульованим ринком деривативних (похідних) фінансових інструментів, можуть встановлюватися регулятором відповідного ринку.»</w:t>
            </w:r>
          </w:p>
        </w:tc>
        <w:tc>
          <w:tcPr>
            <w:tcW w:w="1987" w:type="dxa"/>
          </w:tcPr>
          <w:p w14:paraId="4CDF5E6F"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p w14:paraId="3036962D" w14:textId="77777777" w:rsidR="00C70550" w:rsidRPr="00286216" w:rsidRDefault="00C70550" w:rsidP="006A358E">
            <w:pPr>
              <w:pStyle w:val="StyleWisnow"/>
              <w:rPr>
                <w:color w:val="000000" w:themeColor="text1"/>
              </w:rPr>
            </w:pPr>
          </w:p>
          <w:p w14:paraId="392C0B9F" w14:textId="77777777" w:rsidR="00C70550" w:rsidRPr="00286216" w:rsidRDefault="00C70550" w:rsidP="006A358E">
            <w:pPr>
              <w:pStyle w:val="StyleWisnow"/>
              <w:rPr>
                <w:color w:val="000000" w:themeColor="text1"/>
              </w:rPr>
            </w:pPr>
          </w:p>
          <w:p w14:paraId="69C6B358" w14:textId="77777777" w:rsidR="00C70550" w:rsidRPr="00286216" w:rsidRDefault="00C70550" w:rsidP="006A358E">
            <w:pPr>
              <w:pStyle w:val="StyleWisnow"/>
              <w:rPr>
                <w:color w:val="000000" w:themeColor="text1"/>
              </w:rPr>
            </w:pPr>
          </w:p>
          <w:p w14:paraId="06DB15FB" w14:textId="77777777" w:rsidR="00C70550" w:rsidRPr="00286216" w:rsidRDefault="00C70550" w:rsidP="006A358E">
            <w:pPr>
              <w:pStyle w:val="StyleWisnow"/>
              <w:rPr>
                <w:color w:val="000000" w:themeColor="text1"/>
              </w:rPr>
            </w:pPr>
            <w:r w:rsidRPr="00286216">
              <w:rPr>
                <w:color w:val="000000" w:themeColor="text1"/>
              </w:rPr>
              <w:lastRenderedPageBreak/>
              <w:t>Враховано частково</w:t>
            </w:r>
          </w:p>
          <w:p w14:paraId="1DE6FDF3"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t>Діяльність центрального контрагента – це професійна діяльність на ринках капіталу, нагляд та регулювання якої належить до виключної компетенції НКЦПФР</w:t>
            </w:r>
          </w:p>
        </w:tc>
        <w:tc>
          <w:tcPr>
            <w:tcW w:w="4818" w:type="dxa"/>
          </w:tcPr>
          <w:p w14:paraId="41A91CDB" w14:textId="77777777" w:rsidR="00C70550" w:rsidRPr="00286216" w:rsidRDefault="00C70550" w:rsidP="006A358E">
            <w:pPr>
              <w:pStyle w:val="StyleZakonu"/>
              <w:rPr>
                <w:color w:val="000000" w:themeColor="text1"/>
              </w:rPr>
            </w:pPr>
            <w:r w:rsidRPr="00286216">
              <w:rPr>
                <w:color w:val="000000" w:themeColor="text1"/>
              </w:rPr>
              <w:lastRenderedPageBreak/>
              <w:t xml:space="preserve">4. З метою зниження ризику невиконання або неналежного виконання зобов’язань стороною деривативного контракту Національна комісія з цінних паперів та фондового ринку може </w:t>
            </w:r>
            <w:r w:rsidRPr="00286216">
              <w:rPr>
                <w:color w:val="000000" w:themeColor="text1"/>
              </w:rPr>
              <w:lastRenderedPageBreak/>
              <w:t>встановлювати випадки обов’язковості проведення клірингу центральним контрагентом за відповідними категоріями деривативних контрактів, укладених поза організованим ринком, крім деривативних контрактів грошового ринку.</w:t>
            </w:r>
          </w:p>
        </w:tc>
      </w:tr>
      <w:tr w:rsidR="00C70550" w:rsidRPr="00286216" w14:paraId="2E738E8E" w14:textId="77777777" w:rsidTr="006A358E">
        <w:tc>
          <w:tcPr>
            <w:tcW w:w="576" w:type="dxa"/>
          </w:tcPr>
          <w:p w14:paraId="0FAA5D28" w14:textId="77777777" w:rsidR="00C70550" w:rsidRPr="00286216" w:rsidRDefault="00C70550" w:rsidP="006A358E">
            <w:pPr>
              <w:pStyle w:val="StyleWisnow"/>
              <w:rPr>
                <w:color w:val="000000" w:themeColor="text1"/>
              </w:rPr>
            </w:pPr>
            <w:r w:rsidRPr="00286216">
              <w:rPr>
                <w:color w:val="000000" w:themeColor="text1"/>
              </w:rPr>
              <w:lastRenderedPageBreak/>
              <w:t>608.</w:t>
            </w:r>
          </w:p>
        </w:tc>
        <w:tc>
          <w:tcPr>
            <w:tcW w:w="4818" w:type="dxa"/>
          </w:tcPr>
          <w:p w14:paraId="15C49130" w14:textId="77777777" w:rsidR="00C70550" w:rsidRPr="00286216" w:rsidRDefault="00C70550" w:rsidP="006A358E">
            <w:pPr>
              <w:pStyle w:val="StyleZakonu"/>
              <w:rPr>
                <w:color w:val="000000" w:themeColor="text1"/>
              </w:rPr>
            </w:pPr>
            <w:r w:rsidRPr="00286216">
              <w:rPr>
                <w:color w:val="000000" w:themeColor="text1"/>
              </w:rPr>
              <w:t>Випадки обов’язковості проведення клірингу Центральним контрагентом за деривативними контрактами грошового ринку, укладеними поза регульованим ринком, можуть встановлюватися Національною комісією з цінних паперів та фондового ринку за погодженням з Національним банком України.</w:t>
            </w:r>
          </w:p>
        </w:tc>
        <w:tc>
          <w:tcPr>
            <w:tcW w:w="3686" w:type="dxa"/>
          </w:tcPr>
          <w:p w14:paraId="3102A71F" w14:textId="77777777" w:rsidR="00C70550" w:rsidRPr="00286216" w:rsidRDefault="00C70550" w:rsidP="006A358E">
            <w:pPr>
              <w:pStyle w:val="StyleProp"/>
              <w:rPr>
                <w:color w:val="000000" w:themeColor="text1"/>
                <w:szCs w:val="18"/>
              </w:rPr>
            </w:pPr>
          </w:p>
        </w:tc>
        <w:tc>
          <w:tcPr>
            <w:tcW w:w="1987" w:type="dxa"/>
          </w:tcPr>
          <w:p w14:paraId="4DD20B14" w14:textId="77777777" w:rsidR="00C70550" w:rsidRPr="00286216" w:rsidRDefault="00C70550" w:rsidP="006A358E">
            <w:pPr>
              <w:pStyle w:val="StyleWisnow"/>
              <w:rPr>
                <w:color w:val="000000" w:themeColor="text1"/>
              </w:rPr>
            </w:pPr>
          </w:p>
        </w:tc>
        <w:tc>
          <w:tcPr>
            <w:tcW w:w="4818" w:type="dxa"/>
          </w:tcPr>
          <w:p w14:paraId="0DFFEEA9" w14:textId="77777777" w:rsidR="00C70550" w:rsidRPr="00286216" w:rsidRDefault="00C70550" w:rsidP="006A358E">
            <w:pPr>
              <w:pStyle w:val="StyleZakonu"/>
              <w:rPr>
                <w:color w:val="000000" w:themeColor="text1"/>
              </w:rPr>
            </w:pPr>
            <w:r w:rsidRPr="00286216">
              <w:rPr>
                <w:color w:val="000000" w:themeColor="text1"/>
              </w:rPr>
              <w:t>Випадки обов’язковості проведення клірингу центральним контрагентом за деривативними контрактами грошового ринку, укладеними поза регульованим ринком, можуть встановлюватися Національною комісією з цінних паперів та фондового ринку за погодженням з Національним банком України.</w:t>
            </w:r>
          </w:p>
        </w:tc>
      </w:tr>
      <w:tr w:rsidR="00C70550" w:rsidRPr="00286216" w14:paraId="3D938D07" w14:textId="77777777" w:rsidTr="006A358E">
        <w:tc>
          <w:tcPr>
            <w:tcW w:w="576" w:type="dxa"/>
          </w:tcPr>
          <w:p w14:paraId="2230AA2A" w14:textId="77777777" w:rsidR="00C70550" w:rsidRPr="00286216" w:rsidRDefault="00C70550" w:rsidP="006A358E">
            <w:pPr>
              <w:pStyle w:val="StyleWisnow"/>
              <w:rPr>
                <w:color w:val="000000" w:themeColor="text1"/>
              </w:rPr>
            </w:pPr>
            <w:r w:rsidRPr="00286216">
              <w:rPr>
                <w:color w:val="000000" w:themeColor="text1"/>
              </w:rPr>
              <w:t>609.</w:t>
            </w:r>
          </w:p>
        </w:tc>
        <w:tc>
          <w:tcPr>
            <w:tcW w:w="4818" w:type="dxa"/>
          </w:tcPr>
          <w:p w14:paraId="3FFCD929" w14:textId="77777777" w:rsidR="00C70550" w:rsidRPr="00286216" w:rsidRDefault="00C70550" w:rsidP="006A358E">
            <w:pPr>
              <w:pStyle w:val="StyleZakonu"/>
              <w:rPr>
                <w:color w:val="000000" w:themeColor="text1"/>
              </w:rPr>
            </w:pPr>
            <w:r w:rsidRPr="00286216">
              <w:rPr>
                <w:color w:val="000000" w:themeColor="text1"/>
              </w:rPr>
              <w:t>5. Деривативні контракти, що укладаються поза організованим ринком, укладаються на підставі опису деривативного контракту та/або генеральної угоди.</w:t>
            </w:r>
          </w:p>
        </w:tc>
        <w:tc>
          <w:tcPr>
            <w:tcW w:w="3686" w:type="dxa"/>
          </w:tcPr>
          <w:p w14:paraId="6223D3CF" w14:textId="47E2C443"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362</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138184D8" w14:textId="77777777" w:rsidR="00C70550" w:rsidRPr="00286216" w:rsidRDefault="00C70550" w:rsidP="006A358E">
            <w:pPr>
              <w:pStyle w:val="StyleProp"/>
              <w:rPr>
                <w:color w:val="000000" w:themeColor="text1"/>
              </w:rPr>
            </w:pPr>
            <w:r w:rsidRPr="00286216">
              <w:rPr>
                <w:color w:val="000000" w:themeColor="text1"/>
              </w:rPr>
              <w:t>Частину 5 статті 39 викласти у такій редакції:</w:t>
            </w:r>
          </w:p>
          <w:p w14:paraId="6AD2015F" w14:textId="77777777" w:rsidR="00C70550" w:rsidRPr="00286216" w:rsidRDefault="00C70550" w:rsidP="006A358E">
            <w:pPr>
              <w:pStyle w:val="StyleProp"/>
              <w:rPr>
                <w:color w:val="000000" w:themeColor="text1"/>
                <w:szCs w:val="18"/>
              </w:rPr>
            </w:pPr>
            <w:r w:rsidRPr="00286216">
              <w:rPr>
                <w:color w:val="000000" w:themeColor="text1"/>
                <w:szCs w:val="18"/>
              </w:rPr>
              <w:t>«</w:t>
            </w:r>
            <w:r w:rsidRPr="00286216">
              <w:rPr>
                <w:color w:val="000000" w:themeColor="text1"/>
              </w:rPr>
              <w:t>5. Деривативні контракти, що укладаються поза організованим ринком, можуть укладатись, зокрема, на підставі опису деривативного контракту та/або генеральної угоди</w:t>
            </w:r>
            <w:r w:rsidRPr="00286216">
              <w:rPr>
                <w:color w:val="000000" w:themeColor="text1"/>
                <w:szCs w:val="18"/>
              </w:rPr>
              <w:t>.</w:t>
            </w:r>
          </w:p>
          <w:p w14:paraId="158B8E7A" w14:textId="77777777" w:rsidR="00C70550" w:rsidRPr="00286216" w:rsidRDefault="00C70550" w:rsidP="006A358E">
            <w:pPr>
              <w:pStyle w:val="StyleProp"/>
              <w:rPr>
                <w:color w:val="000000" w:themeColor="text1"/>
                <w:szCs w:val="18"/>
              </w:rPr>
            </w:pPr>
            <w:r w:rsidRPr="00286216">
              <w:rPr>
                <w:color w:val="000000" w:themeColor="text1"/>
              </w:rPr>
              <w:t>Національна комісія з цінних паперів та фондового ринку встановлює перелік істотних умов генеральної угоди. Перелік істотних умов  генеральної угоди, хоча б однією із сторін якої є банк, встановлюється  Національною комісією з цінних паперів та фондового ринку за погодженням з Національним банком України".</w:t>
            </w:r>
          </w:p>
        </w:tc>
        <w:tc>
          <w:tcPr>
            <w:tcW w:w="1987" w:type="dxa"/>
          </w:tcPr>
          <w:p w14:paraId="25E5A6A1"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76362CD3" w14:textId="7FD769B6" w:rsidR="00C70550" w:rsidRPr="00286216" w:rsidRDefault="00C70550" w:rsidP="006A358E">
            <w:pPr>
              <w:pStyle w:val="StyleZakonu"/>
              <w:rPr>
                <w:color w:val="000000" w:themeColor="text1"/>
              </w:rPr>
            </w:pPr>
            <w:r w:rsidRPr="00286216">
              <w:rPr>
                <w:color w:val="000000" w:themeColor="text1"/>
              </w:rPr>
              <w:t>5. Деривативні контракти, що укладаються поза організованим ринком, можуть укладатис</w:t>
            </w:r>
            <w:r w:rsidRPr="00286216">
              <w:rPr>
                <w:color w:val="000000" w:themeColor="text1"/>
                <w:lang w:val="ru-RU"/>
              </w:rPr>
              <w:t>я</w:t>
            </w:r>
            <w:r w:rsidRPr="00286216">
              <w:rPr>
                <w:color w:val="000000" w:themeColor="text1"/>
              </w:rPr>
              <w:t xml:space="preserve"> зокрема, на підставі опису деривативного контракту та/або генеральної угоди.</w:t>
            </w:r>
          </w:p>
          <w:p w14:paraId="17629FA7" w14:textId="323B00BF" w:rsidR="00C70550" w:rsidRPr="00286216" w:rsidRDefault="00C70550" w:rsidP="006A358E">
            <w:pPr>
              <w:pStyle w:val="StyleZakonu"/>
              <w:rPr>
                <w:color w:val="000000" w:themeColor="text1"/>
              </w:rPr>
            </w:pPr>
            <w:r w:rsidRPr="00286216">
              <w:rPr>
                <w:color w:val="000000" w:themeColor="text1"/>
              </w:rPr>
              <w:t>Національна комісія з цінних паперів та фондового ринку встановлює перелік істотних умов генеральної угоди. У разі якщо хоча б однією із сторін генеральної угоди є банк, перелік істотних умов ткої генеральної угоди, , встановлюється  Національною комісією з цінних паперів та фондового ринку за погодженням з Національним банком України.</w:t>
            </w:r>
          </w:p>
        </w:tc>
      </w:tr>
      <w:tr w:rsidR="00C70550" w:rsidRPr="00286216" w14:paraId="432EFDD5" w14:textId="77777777" w:rsidTr="006A358E">
        <w:tc>
          <w:tcPr>
            <w:tcW w:w="576" w:type="dxa"/>
          </w:tcPr>
          <w:p w14:paraId="60962AB2" w14:textId="77777777" w:rsidR="00C70550" w:rsidRPr="00286216" w:rsidRDefault="00C70550" w:rsidP="006A358E">
            <w:pPr>
              <w:pStyle w:val="StyleWisnow"/>
              <w:rPr>
                <w:color w:val="000000" w:themeColor="text1"/>
              </w:rPr>
            </w:pPr>
            <w:r w:rsidRPr="00286216">
              <w:rPr>
                <w:color w:val="000000" w:themeColor="text1"/>
              </w:rPr>
              <w:lastRenderedPageBreak/>
              <w:t>610.</w:t>
            </w:r>
          </w:p>
        </w:tc>
        <w:tc>
          <w:tcPr>
            <w:tcW w:w="4818" w:type="dxa"/>
          </w:tcPr>
          <w:p w14:paraId="7BF0D0BE" w14:textId="77777777" w:rsidR="00C70550" w:rsidRPr="00286216" w:rsidRDefault="00C70550" w:rsidP="006A358E">
            <w:pPr>
              <w:pStyle w:val="StyleZakonu"/>
              <w:rPr>
                <w:color w:val="000000" w:themeColor="text1"/>
              </w:rPr>
            </w:pPr>
            <w:r w:rsidRPr="00286216">
              <w:rPr>
                <w:color w:val="000000" w:themeColor="text1"/>
              </w:rPr>
              <w:t>6. Умовами генеральної угоди або правилами особи, яка провадить клірингову діяльність, може передбачатися можливість неттінгу. Строк виконання кожного зі зобов’язань, за якими здійснюється неттінг, вважається таким, що настав у момент неттінгу, передбаченого такими угодами чи правилами.</w:t>
            </w:r>
          </w:p>
        </w:tc>
        <w:tc>
          <w:tcPr>
            <w:tcW w:w="3686" w:type="dxa"/>
          </w:tcPr>
          <w:p w14:paraId="6085004F" w14:textId="72F90BFB" w:rsidR="00C70550" w:rsidRPr="00286216" w:rsidRDefault="00C70550" w:rsidP="006A358E">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363</w:t>
            </w:r>
            <w:r w:rsidRPr="00286216">
              <w:rPr>
                <w:b/>
                <w:i/>
                <w:color w:val="000000" w:themeColor="text1"/>
                <w:sz w:val="18"/>
                <w:u w:val="single"/>
              </w:rPr>
              <w:fldChar w:fldCharType="end"/>
            </w:r>
            <w:r w:rsidRPr="00286216">
              <w:rPr>
                <w:b/>
                <w:i/>
                <w:color w:val="000000" w:themeColor="text1"/>
                <w:spacing w:val="-4"/>
                <w:sz w:val="18"/>
                <w:u w:val="single"/>
              </w:rPr>
              <w:t>-Н.д.Бєлькова О.В. (Реєстр.картка №403)</w:t>
            </w:r>
          </w:p>
          <w:p w14:paraId="6969B721" w14:textId="77777777" w:rsidR="00C70550" w:rsidRPr="00286216" w:rsidRDefault="00C70550" w:rsidP="006A358E">
            <w:pPr>
              <w:pStyle w:val="StyleProp"/>
              <w:rPr>
                <w:color w:val="000000" w:themeColor="text1"/>
              </w:rPr>
            </w:pPr>
            <w:r w:rsidRPr="00286216">
              <w:rPr>
                <w:color w:val="000000" w:themeColor="text1"/>
              </w:rPr>
              <w:t>Частину 6 статті 39 викласти у такій редакції:</w:t>
            </w:r>
          </w:p>
          <w:p w14:paraId="17A3646D" w14:textId="77777777" w:rsidR="00C70550" w:rsidRPr="00286216" w:rsidRDefault="00C70550" w:rsidP="006A358E">
            <w:pPr>
              <w:pStyle w:val="StyleProp"/>
              <w:rPr>
                <w:color w:val="000000" w:themeColor="text1"/>
                <w:szCs w:val="18"/>
              </w:rPr>
            </w:pPr>
            <w:r w:rsidRPr="00286216">
              <w:rPr>
                <w:color w:val="000000" w:themeColor="text1"/>
              </w:rPr>
              <w:t>"6. Умовами генеральної угоди або правилами особи, яка провадить клірингову діяльність, може передбачатися можливість неттінгу".</w:t>
            </w:r>
          </w:p>
        </w:tc>
        <w:tc>
          <w:tcPr>
            <w:tcW w:w="1987" w:type="dxa"/>
          </w:tcPr>
          <w:p w14:paraId="7250719A"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3231024" w14:textId="77777777" w:rsidR="00C70550" w:rsidRPr="00286216" w:rsidRDefault="00C70550" w:rsidP="006A358E">
            <w:pPr>
              <w:pStyle w:val="StyleZakonu"/>
              <w:rPr>
                <w:color w:val="000000" w:themeColor="text1"/>
              </w:rPr>
            </w:pPr>
            <w:r w:rsidRPr="00286216">
              <w:rPr>
                <w:color w:val="000000" w:themeColor="text1"/>
              </w:rPr>
              <w:t>6. Умовами генеральної угоди або правилами особи, яка провадить клірингову діяльність, може передбачатися можливість неттінгу.</w:t>
            </w:r>
          </w:p>
        </w:tc>
      </w:tr>
      <w:tr w:rsidR="00C70550" w:rsidRPr="00286216" w14:paraId="60729A2E" w14:textId="77777777" w:rsidTr="006A358E">
        <w:tc>
          <w:tcPr>
            <w:tcW w:w="576" w:type="dxa"/>
          </w:tcPr>
          <w:p w14:paraId="7CCCBC87" w14:textId="77777777" w:rsidR="00C70550" w:rsidRPr="00286216" w:rsidRDefault="00C70550" w:rsidP="006A358E">
            <w:pPr>
              <w:pStyle w:val="StyleWisnow"/>
              <w:rPr>
                <w:color w:val="000000" w:themeColor="text1"/>
              </w:rPr>
            </w:pPr>
            <w:r w:rsidRPr="00286216">
              <w:rPr>
                <w:color w:val="000000" w:themeColor="text1"/>
              </w:rPr>
              <w:t>611.</w:t>
            </w:r>
          </w:p>
        </w:tc>
        <w:tc>
          <w:tcPr>
            <w:tcW w:w="4818" w:type="dxa"/>
          </w:tcPr>
          <w:p w14:paraId="55697350" w14:textId="77777777" w:rsidR="00C70550" w:rsidRPr="00286216" w:rsidRDefault="00C70550" w:rsidP="006A358E">
            <w:pPr>
              <w:pStyle w:val="StyleZakonu"/>
              <w:rPr>
                <w:color w:val="000000" w:themeColor="text1"/>
              </w:rPr>
            </w:pPr>
            <w:r w:rsidRPr="00286216">
              <w:rPr>
                <w:color w:val="000000" w:themeColor="text1"/>
              </w:rPr>
              <w:t>Правочин, на підставі якого або у зв’язку з яким виникає застава або інше обтяження, пов’язане з деривативним контрактом, може передбачати випадки набуття заставодержателем (обтяжувачем) права звернення стягнення на предмет застави (обтяження), погоджені сторонами.</w:t>
            </w:r>
          </w:p>
        </w:tc>
        <w:tc>
          <w:tcPr>
            <w:tcW w:w="3686" w:type="dxa"/>
          </w:tcPr>
          <w:p w14:paraId="4979B009" w14:textId="77777777" w:rsidR="00C70550" w:rsidRPr="00286216" w:rsidRDefault="00C70550" w:rsidP="006A358E">
            <w:pPr>
              <w:pStyle w:val="StyleProp"/>
              <w:rPr>
                <w:color w:val="000000" w:themeColor="text1"/>
                <w:szCs w:val="18"/>
              </w:rPr>
            </w:pPr>
          </w:p>
        </w:tc>
        <w:tc>
          <w:tcPr>
            <w:tcW w:w="1987" w:type="dxa"/>
          </w:tcPr>
          <w:p w14:paraId="5C63194B" w14:textId="77777777" w:rsidR="00C70550" w:rsidRPr="00286216" w:rsidRDefault="00C70550" w:rsidP="006A358E">
            <w:pPr>
              <w:pStyle w:val="StyleWisnow"/>
              <w:rPr>
                <w:color w:val="000000" w:themeColor="text1"/>
              </w:rPr>
            </w:pPr>
          </w:p>
        </w:tc>
        <w:tc>
          <w:tcPr>
            <w:tcW w:w="4818" w:type="dxa"/>
          </w:tcPr>
          <w:p w14:paraId="60CE2BC9" w14:textId="77777777" w:rsidR="00C70550" w:rsidRPr="00286216" w:rsidRDefault="00C70550" w:rsidP="006A358E">
            <w:pPr>
              <w:pStyle w:val="StyleZakonu"/>
              <w:rPr>
                <w:color w:val="000000" w:themeColor="text1"/>
              </w:rPr>
            </w:pPr>
          </w:p>
        </w:tc>
      </w:tr>
      <w:tr w:rsidR="00C70550" w:rsidRPr="00286216" w14:paraId="61197711" w14:textId="77777777" w:rsidTr="006A358E">
        <w:tc>
          <w:tcPr>
            <w:tcW w:w="576" w:type="dxa"/>
          </w:tcPr>
          <w:p w14:paraId="2791C096" w14:textId="77777777" w:rsidR="00C70550" w:rsidRPr="00286216" w:rsidRDefault="00C70550" w:rsidP="006A358E">
            <w:pPr>
              <w:pStyle w:val="StyleWisnow"/>
              <w:rPr>
                <w:color w:val="000000" w:themeColor="text1"/>
              </w:rPr>
            </w:pPr>
            <w:r w:rsidRPr="00286216">
              <w:rPr>
                <w:color w:val="000000" w:themeColor="text1"/>
              </w:rPr>
              <w:t>612.</w:t>
            </w:r>
          </w:p>
        </w:tc>
        <w:tc>
          <w:tcPr>
            <w:tcW w:w="4818" w:type="dxa"/>
          </w:tcPr>
          <w:p w14:paraId="1D960739" w14:textId="77777777" w:rsidR="00C70550" w:rsidRPr="00286216" w:rsidRDefault="00C70550" w:rsidP="006A358E">
            <w:pPr>
              <w:pStyle w:val="StyleZakonu"/>
              <w:rPr>
                <w:color w:val="000000" w:themeColor="text1"/>
              </w:rPr>
            </w:pPr>
            <w:r w:rsidRPr="00286216">
              <w:rPr>
                <w:color w:val="000000" w:themeColor="text1"/>
              </w:rPr>
              <w:t>7. Сторона деривативного контракту, укладеного поза організованим ринком, зобов’язана подати інформацію про його укладання до торгового репозиторію відповідно до вимог цієї частини. Подання інформації однією зі сторін деривативного контракту звільняє іншу сторону деривативного контракту від обов’язку подавати таку інформацію до торгового репозиторію.</w:t>
            </w:r>
          </w:p>
        </w:tc>
        <w:tc>
          <w:tcPr>
            <w:tcW w:w="3686" w:type="dxa"/>
          </w:tcPr>
          <w:p w14:paraId="1F9FC92F" w14:textId="5416FA82"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364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FF5E1BF" w14:textId="77777777" w:rsidR="00C70550" w:rsidRPr="00286216" w:rsidRDefault="00C70550" w:rsidP="006A358E">
            <w:pPr>
              <w:pStyle w:val="StyleProp"/>
              <w:spacing w:line="180" w:lineRule="exact"/>
              <w:rPr>
                <w:color w:val="000000" w:themeColor="text1"/>
              </w:rPr>
            </w:pPr>
            <w:r w:rsidRPr="00286216">
              <w:rPr>
                <w:color w:val="000000" w:themeColor="text1"/>
              </w:rPr>
              <w:t>Частину сьому статті 39 виключити.</w:t>
            </w:r>
          </w:p>
        </w:tc>
        <w:tc>
          <w:tcPr>
            <w:tcW w:w="1987" w:type="dxa"/>
          </w:tcPr>
          <w:p w14:paraId="26E235C7" w14:textId="77777777" w:rsidR="00C70550" w:rsidRPr="00286216" w:rsidRDefault="00C70550" w:rsidP="006A358E">
            <w:pPr>
              <w:pStyle w:val="StyleWisnow"/>
              <w:rPr>
                <w:color w:val="000000" w:themeColor="text1"/>
              </w:rPr>
            </w:pPr>
            <w:r w:rsidRPr="00286216">
              <w:rPr>
                <w:color w:val="000000" w:themeColor="text1"/>
              </w:rPr>
              <w:t>Враховано частково</w:t>
            </w:r>
          </w:p>
        </w:tc>
        <w:tc>
          <w:tcPr>
            <w:tcW w:w="4818" w:type="dxa"/>
          </w:tcPr>
          <w:p w14:paraId="4F35E184" w14:textId="77777777" w:rsidR="00C70550" w:rsidRPr="00286216" w:rsidRDefault="00C70550" w:rsidP="006A358E">
            <w:pPr>
              <w:pStyle w:val="StyleZakonu"/>
              <w:rPr>
                <w:color w:val="000000" w:themeColor="text1"/>
              </w:rPr>
            </w:pPr>
          </w:p>
        </w:tc>
      </w:tr>
      <w:tr w:rsidR="00C70550" w:rsidRPr="00286216" w14:paraId="2E74A9DB" w14:textId="77777777" w:rsidTr="006A358E">
        <w:tc>
          <w:tcPr>
            <w:tcW w:w="576" w:type="dxa"/>
          </w:tcPr>
          <w:p w14:paraId="28F9B985" w14:textId="77777777" w:rsidR="00C70550" w:rsidRPr="00286216" w:rsidRDefault="00C70550" w:rsidP="006A358E">
            <w:pPr>
              <w:pStyle w:val="StyleWisnow"/>
              <w:rPr>
                <w:color w:val="000000" w:themeColor="text1"/>
              </w:rPr>
            </w:pPr>
            <w:r w:rsidRPr="00286216">
              <w:rPr>
                <w:color w:val="000000" w:themeColor="text1"/>
              </w:rPr>
              <w:t>613.</w:t>
            </w:r>
          </w:p>
        </w:tc>
        <w:tc>
          <w:tcPr>
            <w:tcW w:w="4818" w:type="dxa"/>
          </w:tcPr>
          <w:p w14:paraId="0F4EDDD7" w14:textId="77777777" w:rsidR="00C70550" w:rsidRPr="00286216" w:rsidRDefault="00C70550" w:rsidP="006A358E">
            <w:pPr>
              <w:pStyle w:val="StyleZakonu"/>
              <w:rPr>
                <w:color w:val="000000" w:themeColor="text1"/>
              </w:rPr>
            </w:pPr>
            <w:r w:rsidRPr="00286216">
              <w:rPr>
                <w:color w:val="000000" w:themeColor="text1"/>
              </w:rPr>
              <w:t>Невиконання обов’язку щодо подання інформації про укладання деривативного контракту до торгового репозиторію в порядку та строки, встановлені Національною комісією з цінних паперів та фондового ринку, має наслідком невизнання такого договору деривативним контрактом.</w:t>
            </w:r>
          </w:p>
        </w:tc>
        <w:tc>
          <w:tcPr>
            <w:tcW w:w="3686" w:type="dxa"/>
          </w:tcPr>
          <w:p w14:paraId="5FA12F42" w14:textId="47500E98"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365</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459EF2FC"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у статті 39 частину 7 викласти у такій редакції:</w:t>
            </w:r>
          </w:p>
          <w:p w14:paraId="7DDC789F"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«7. Сторона деривативного контракту, укладеного поза організованим ринком, зобов’язана подати інформацію про його укладання до торгового репозиторію відповідно до вимог цієї частини. Подання інформації однією зі сторін деривативного контракту звільняє іншу сторону деривативного контракту від обов’язку подавати таку інформацію до торгового репозиторію.</w:t>
            </w:r>
          </w:p>
          <w:p w14:paraId="0E0C6C1E"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t>Невиконання обов’язку щодо подання інформації про укладання деривативного контракту до торгового репозиторію в порядку та строки, встановлені регулятором відповідного ринку, має наслідком невизнання такого договору деривативним контрактом.</w:t>
            </w:r>
          </w:p>
          <w:p w14:paraId="0D9C7439" w14:textId="77777777" w:rsidR="00C70550" w:rsidRPr="00286216" w:rsidRDefault="00C70550" w:rsidP="006A358E">
            <w:pPr>
              <w:spacing w:line="180" w:lineRule="exact"/>
              <w:ind w:firstLine="227"/>
              <w:jc w:val="both"/>
              <w:rPr>
                <w:color w:val="000000" w:themeColor="text1"/>
                <w:szCs w:val="18"/>
              </w:rPr>
            </w:pPr>
            <w:r w:rsidRPr="00286216">
              <w:rPr>
                <w:color w:val="000000" w:themeColor="text1"/>
                <w:sz w:val="18"/>
              </w:rPr>
              <w:t xml:space="preserve">Випадки, порядок, строк подання інформації, що подається стороною деривативного контракту, укладених поза організованим ринком, до торгового репозиторію, та її зміст встановлюються регулятором відповідного ринку. При цьому, встановлення Національною комісією з цінних паперів та фондового ринку випадків, порядку, строку та змісту інформації, що </w:t>
            </w:r>
            <w:r w:rsidRPr="00286216">
              <w:rPr>
                <w:color w:val="000000" w:themeColor="text1"/>
                <w:sz w:val="18"/>
              </w:rPr>
              <w:lastRenderedPageBreak/>
              <w:t>подається стороною деривативного контракту до торгового репозиторію, потребує погодження Національного банку України – щодо деривативних контрактів грошового ринку.</w:t>
            </w:r>
          </w:p>
        </w:tc>
        <w:tc>
          <w:tcPr>
            <w:tcW w:w="1987" w:type="dxa"/>
          </w:tcPr>
          <w:p w14:paraId="46236076" w14:textId="77777777" w:rsidR="00C70550" w:rsidRPr="00286216" w:rsidRDefault="00C70550" w:rsidP="006A358E">
            <w:pPr>
              <w:pStyle w:val="StyleWisnow"/>
              <w:rPr>
                <w:color w:val="000000" w:themeColor="text1"/>
              </w:rPr>
            </w:pPr>
            <w:r w:rsidRPr="00286216">
              <w:rPr>
                <w:color w:val="000000" w:themeColor="text1"/>
              </w:rPr>
              <w:lastRenderedPageBreak/>
              <w:t>Враховано по суті</w:t>
            </w:r>
          </w:p>
          <w:p w14:paraId="563859B8" w14:textId="77777777" w:rsidR="00C70550" w:rsidRPr="00286216" w:rsidRDefault="00C70550" w:rsidP="006A358E">
            <w:pPr>
              <w:pStyle w:val="StyleWisnow"/>
              <w:rPr>
                <w:color w:val="000000" w:themeColor="text1"/>
              </w:rPr>
            </w:pPr>
            <w:r w:rsidRPr="00286216">
              <w:rPr>
                <w:color w:val="000000" w:themeColor="text1"/>
              </w:rPr>
              <w:t>в цій частині та в частині 10 цієї статті</w:t>
            </w:r>
          </w:p>
        </w:tc>
        <w:tc>
          <w:tcPr>
            <w:tcW w:w="4818" w:type="dxa"/>
          </w:tcPr>
          <w:p w14:paraId="4AD6D34A" w14:textId="77777777" w:rsidR="00C70550" w:rsidRPr="00286216" w:rsidRDefault="00C70550" w:rsidP="006A358E">
            <w:pPr>
              <w:pStyle w:val="StyleZakonu"/>
              <w:rPr>
                <w:color w:val="000000" w:themeColor="text1"/>
              </w:rPr>
            </w:pPr>
          </w:p>
        </w:tc>
      </w:tr>
      <w:tr w:rsidR="00C70550" w:rsidRPr="00286216" w14:paraId="24129DCB" w14:textId="77777777" w:rsidTr="006A358E">
        <w:tc>
          <w:tcPr>
            <w:tcW w:w="576" w:type="dxa"/>
          </w:tcPr>
          <w:p w14:paraId="4CA50695" w14:textId="77777777" w:rsidR="00C70550" w:rsidRPr="00286216" w:rsidRDefault="00C70550" w:rsidP="006A358E">
            <w:pPr>
              <w:pStyle w:val="StyleWisnow"/>
              <w:rPr>
                <w:color w:val="000000" w:themeColor="text1"/>
              </w:rPr>
            </w:pPr>
            <w:r w:rsidRPr="00286216">
              <w:rPr>
                <w:color w:val="000000" w:themeColor="text1"/>
              </w:rPr>
              <w:t>614.</w:t>
            </w:r>
          </w:p>
        </w:tc>
        <w:tc>
          <w:tcPr>
            <w:tcW w:w="4818" w:type="dxa"/>
          </w:tcPr>
          <w:p w14:paraId="71FA5BAA" w14:textId="77777777" w:rsidR="00C70550" w:rsidRPr="00286216" w:rsidRDefault="00C70550" w:rsidP="006A358E">
            <w:pPr>
              <w:pStyle w:val="StyleZakonu"/>
              <w:rPr>
                <w:color w:val="000000" w:themeColor="text1"/>
              </w:rPr>
            </w:pPr>
            <w:r w:rsidRPr="00286216">
              <w:rPr>
                <w:color w:val="000000" w:themeColor="text1"/>
              </w:rPr>
              <w:t>Випадки, порядок, строк подання інформації, що подається стороною деривативного контракту, укладених поза організованим ринком, до торгового репозиторію, та її зміст встановлюються Національною комісією з цінних паперів та фондового ринку. При цьому, встановлення Національною комісією з цінних паперів та фондового ринку випадків, порядку, строку та змісту інформації, що подається стороною деривативного контракту до торгового репозиторію, потребує погодження:</w:t>
            </w:r>
          </w:p>
        </w:tc>
        <w:tc>
          <w:tcPr>
            <w:tcW w:w="3686" w:type="dxa"/>
          </w:tcPr>
          <w:p w14:paraId="2C9B8B49" w14:textId="77777777" w:rsidR="00C70550" w:rsidRPr="00286216" w:rsidRDefault="00C70550" w:rsidP="006A358E">
            <w:pPr>
              <w:pStyle w:val="StyleProp"/>
              <w:spacing w:line="180" w:lineRule="exact"/>
              <w:rPr>
                <w:color w:val="000000" w:themeColor="text1"/>
              </w:rPr>
            </w:pPr>
            <w:r w:rsidRPr="00286216">
              <w:rPr>
                <w:color w:val="000000" w:themeColor="text1"/>
              </w:rPr>
              <w:t>Випадки звільнення сторін деривативного контракту від обов’язку подавати інформацію, передбачену абзацом першим цієї частини статті, встановлюються  регулятором відповідного ринку, при цьому в частині деривативних контрактів грошового ринку – Національною комісією з цінних паперів та фондового ринку за погодженням з Національного банку України.»</w:t>
            </w:r>
          </w:p>
          <w:p w14:paraId="663B332E" w14:textId="4C22E018" w:rsidR="00C70550" w:rsidRPr="00286216" w:rsidRDefault="00C70550" w:rsidP="006A358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366</w:t>
            </w:r>
            <w:r w:rsidRPr="00286216">
              <w:rPr>
                <w:color w:val="000000" w:themeColor="text1"/>
                <w:spacing w:val="-4"/>
              </w:rPr>
              <w:fldChar w:fldCharType="end"/>
            </w:r>
            <w:r w:rsidRPr="00286216">
              <w:rPr>
                <w:color w:val="000000" w:themeColor="text1"/>
                <w:spacing w:val="-4"/>
              </w:rPr>
              <w:t>-Народні депутати України – члени Комітету з питань фінансів, податкової та митної політики Гетманцев Д.О. та інші</w:t>
            </w:r>
          </w:p>
          <w:p w14:paraId="08274661"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Частину сьому статті 39 (редакції першого читання) щодо ринку деривативних контрактів викласти у такій редакції:</w:t>
            </w:r>
          </w:p>
        </w:tc>
        <w:tc>
          <w:tcPr>
            <w:tcW w:w="1987" w:type="dxa"/>
          </w:tcPr>
          <w:p w14:paraId="65C3A278" w14:textId="77777777" w:rsidR="00C70550" w:rsidRPr="00286216" w:rsidRDefault="00C70550" w:rsidP="006A358E">
            <w:pPr>
              <w:pStyle w:val="StyleWisnow"/>
              <w:rPr>
                <w:color w:val="000000" w:themeColor="text1"/>
              </w:rPr>
            </w:pPr>
          </w:p>
          <w:p w14:paraId="1D3CCE61" w14:textId="77777777" w:rsidR="00C70550" w:rsidRPr="00286216" w:rsidRDefault="00C70550" w:rsidP="006A358E">
            <w:pPr>
              <w:pStyle w:val="StyleWisnow"/>
              <w:rPr>
                <w:color w:val="000000" w:themeColor="text1"/>
              </w:rPr>
            </w:pPr>
          </w:p>
          <w:p w14:paraId="40C63196" w14:textId="77777777" w:rsidR="00C70550" w:rsidRPr="00286216" w:rsidRDefault="00C70550" w:rsidP="006A358E">
            <w:pPr>
              <w:pStyle w:val="StyleWisnow"/>
              <w:rPr>
                <w:color w:val="000000" w:themeColor="text1"/>
              </w:rPr>
            </w:pPr>
          </w:p>
          <w:p w14:paraId="0E6912E0" w14:textId="77777777" w:rsidR="00C70550" w:rsidRPr="00286216" w:rsidRDefault="00C70550" w:rsidP="006A358E">
            <w:pPr>
              <w:pStyle w:val="StyleWisnow"/>
              <w:rPr>
                <w:color w:val="000000" w:themeColor="text1"/>
              </w:rPr>
            </w:pPr>
          </w:p>
          <w:p w14:paraId="7005C482" w14:textId="77777777" w:rsidR="00C70550" w:rsidRPr="00286216" w:rsidRDefault="00C70550" w:rsidP="006A358E">
            <w:pPr>
              <w:pStyle w:val="StyleWisnow"/>
              <w:rPr>
                <w:color w:val="000000" w:themeColor="text1"/>
              </w:rPr>
            </w:pPr>
          </w:p>
          <w:p w14:paraId="2850A4B7" w14:textId="77777777" w:rsidR="00C70550" w:rsidRPr="00286216" w:rsidRDefault="00C70550" w:rsidP="006A358E">
            <w:pPr>
              <w:pStyle w:val="StyleWisnow"/>
              <w:rPr>
                <w:color w:val="000000" w:themeColor="text1"/>
              </w:rPr>
            </w:pPr>
          </w:p>
          <w:p w14:paraId="38CBD321" w14:textId="77777777" w:rsidR="00C70550" w:rsidRPr="00286216" w:rsidRDefault="00C70550" w:rsidP="006A358E">
            <w:pPr>
              <w:pStyle w:val="StyleWisnow"/>
              <w:rPr>
                <w:color w:val="000000" w:themeColor="text1"/>
              </w:rPr>
            </w:pPr>
          </w:p>
          <w:p w14:paraId="7E6F59DF" w14:textId="77777777" w:rsidR="00C70550" w:rsidRPr="00286216" w:rsidRDefault="00C70550" w:rsidP="006A358E">
            <w:pPr>
              <w:pStyle w:val="StyleWisnow"/>
              <w:spacing w:line="180" w:lineRule="exact"/>
              <w:rPr>
                <w:color w:val="000000" w:themeColor="text1"/>
              </w:rPr>
            </w:pPr>
          </w:p>
          <w:p w14:paraId="10D7CBC2"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41B07BD0" w14:textId="77777777" w:rsidR="00C70550" w:rsidRPr="00286216" w:rsidRDefault="00C70550" w:rsidP="006A358E">
            <w:pPr>
              <w:pStyle w:val="StyleWisnow"/>
              <w:spacing w:line="180" w:lineRule="exact"/>
              <w:rPr>
                <w:color w:val="000000" w:themeColor="text1"/>
              </w:rPr>
            </w:pPr>
            <w:r w:rsidRPr="00286216">
              <w:rPr>
                <w:color w:val="000000" w:themeColor="text1"/>
              </w:rPr>
              <w:t>згідно з дорученням Комітету щодо техніко-юридичного доопрацювання редакції законопроекту</w:t>
            </w:r>
          </w:p>
        </w:tc>
        <w:tc>
          <w:tcPr>
            <w:tcW w:w="4818" w:type="dxa"/>
          </w:tcPr>
          <w:p w14:paraId="2A8AA618" w14:textId="77777777" w:rsidR="00C70550" w:rsidRPr="00286216" w:rsidRDefault="00C70550" w:rsidP="006A358E">
            <w:pPr>
              <w:pStyle w:val="StyleZakonu"/>
              <w:rPr>
                <w:color w:val="000000" w:themeColor="text1"/>
              </w:rPr>
            </w:pPr>
          </w:p>
        </w:tc>
      </w:tr>
      <w:tr w:rsidR="00C70550" w:rsidRPr="00286216" w14:paraId="5A170EBE" w14:textId="77777777" w:rsidTr="006A358E">
        <w:tc>
          <w:tcPr>
            <w:tcW w:w="576" w:type="dxa"/>
          </w:tcPr>
          <w:p w14:paraId="793C3BA0" w14:textId="77777777" w:rsidR="00C70550" w:rsidRPr="00286216" w:rsidRDefault="00C70550" w:rsidP="006A358E">
            <w:pPr>
              <w:pStyle w:val="StyleWisnow"/>
              <w:rPr>
                <w:color w:val="000000" w:themeColor="text1"/>
              </w:rPr>
            </w:pPr>
            <w:r w:rsidRPr="00286216">
              <w:rPr>
                <w:color w:val="000000" w:themeColor="text1"/>
              </w:rPr>
              <w:t>615.</w:t>
            </w:r>
          </w:p>
        </w:tc>
        <w:tc>
          <w:tcPr>
            <w:tcW w:w="4818" w:type="dxa"/>
          </w:tcPr>
          <w:p w14:paraId="16C862E3" w14:textId="77777777" w:rsidR="00C70550" w:rsidRPr="00286216" w:rsidRDefault="00C70550" w:rsidP="006A358E">
            <w:pPr>
              <w:pStyle w:val="StyleZakonu"/>
              <w:rPr>
                <w:color w:val="000000" w:themeColor="text1"/>
              </w:rPr>
            </w:pPr>
            <w:r w:rsidRPr="00286216">
              <w:rPr>
                <w:color w:val="000000" w:themeColor="text1"/>
              </w:rPr>
              <w:t>1) Національного банку України - щодо деривативних контрактів грошового ринку;</w:t>
            </w:r>
          </w:p>
        </w:tc>
        <w:tc>
          <w:tcPr>
            <w:tcW w:w="3686" w:type="dxa"/>
          </w:tcPr>
          <w:p w14:paraId="20865863" w14:textId="77777777" w:rsidR="00C70550" w:rsidRPr="00286216" w:rsidRDefault="00C70550" w:rsidP="006A358E">
            <w:pPr>
              <w:pStyle w:val="StyleProp"/>
              <w:spacing w:line="180" w:lineRule="exact"/>
              <w:rPr>
                <w:color w:val="000000" w:themeColor="text1"/>
                <w:szCs w:val="18"/>
              </w:rPr>
            </w:pPr>
            <w:r w:rsidRPr="00286216">
              <w:rPr>
                <w:color w:val="000000" w:themeColor="text1"/>
              </w:rPr>
              <w:t>«7. У разі укладення деривативного контракту поза організованим ринком та в інших випадках, встановлених Національною комісією з цінних паперів та фондового ринку, інформація про укладений деривативний контракт подається до торгового репозиторію.</w:t>
            </w:r>
          </w:p>
        </w:tc>
        <w:tc>
          <w:tcPr>
            <w:tcW w:w="1987" w:type="dxa"/>
          </w:tcPr>
          <w:p w14:paraId="5CF99119" w14:textId="77777777" w:rsidR="00C70550" w:rsidRPr="00286216" w:rsidRDefault="00C70550" w:rsidP="006A358E">
            <w:pPr>
              <w:pStyle w:val="StyleWisnow"/>
              <w:spacing w:line="180" w:lineRule="exact"/>
              <w:rPr>
                <w:color w:val="000000" w:themeColor="text1"/>
              </w:rPr>
            </w:pPr>
            <w:r w:rsidRPr="00286216">
              <w:rPr>
                <w:color w:val="000000" w:themeColor="text1"/>
              </w:rPr>
              <w:t>з метою узгодження з частиною 10 цієї ж статті щодо не поширення її дії</w:t>
            </w:r>
          </w:p>
        </w:tc>
        <w:tc>
          <w:tcPr>
            <w:tcW w:w="4818" w:type="dxa"/>
          </w:tcPr>
          <w:p w14:paraId="6D4062B1" w14:textId="77777777" w:rsidR="00C70550" w:rsidRPr="00286216" w:rsidRDefault="00C70550" w:rsidP="006A358E">
            <w:pPr>
              <w:pStyle w:val="StyleZakonu"/>
              <w:rPr>
                <w:color w:val="000000" w:themeColor="text1"/>
                <w:spacing w:val="-4"/>
              </w:rPr>
            </w:pPr>
            <w:r w:rsidRPr="00286216">
              <w:rPr>
                <w:color w:val="000000" w:themeColor="text1"/>
              </w:rPr>
              <w:t>7. У разі укладення деривативного контракту поза організованим ринком та в інших випадках, встановлених Національною комісією з цінних паперів та фондового ринку, інформація про укладений деривативний контракт подається до торгового репозиторію.</w:t>
            </w:r>
          </w:p>
        </w:tc>
      </w:tr>
      <w:tr w:rsidR="00C70550" w:rsidRPr="00286216" w14:paraId="1019A60E" w14:textId="77777777" w:rsidTr="006A358E">
        <w:tc>
          <w:tcPr>
            <w:tcW w:w="576" w:type="dxa"/>
          </w:tcPr>
          <w:p w14:paraId="419D8556" w14:textId="77777777" w:rsidR="00C70550" w:rsidRPr="00286216" w:rsidRDefault="00C70550" w:rsidP="006A358E">
            <w:pPr>
              <w:pStyle w:val="StyleWisnow"/>
              <w:rPr>
                <w:color w:val="000000" w:themeColor="text1"/>
              </w:rPr>
            </w:pPr>
            <w:r w:rsidRPr="00286216">
              <w:rPr>
                <w:color w:val="000000" w:themeColor="text1"/>
              </w:rPr>
              <w:t>616.</w:t>
            </w:r>
          </w:p>
        </w:tc>
        <w:tc>
          <w:tcPr>
            <w:tcW w:w="4818" w:type="dxa"/>
          </w:tcPr>
          <w:p w14:paraId="531106D0" w14:textId="77777777" w:rsidR="00C70550" w:rsidRPr="00286216" w:rsidRDefault="00C70550" w:rsidP="006A358E">
            <w:pPr>
              <w:pStyle w:val="StyleZakonu"/>
              <w:rPr>
                <w:color w:val="000000" w:themeColor="text1"/>
              </w:rPr>
            </w:pPr>
            <w:r w:rsidRPr="00286216">
              <w:rPr>
                <w:color w:val="000000" w:themeColor="text1"/>
              </w:rPr>
              <w:t>2) регулятора відповідного товарного ринку - щодо поставних деривативних контрактів, базовий актив яких належить до сфери регулювання такого регулятора.</w:t>
            </w:r>
          </w:p>
        </w:tc>
        <w:tc>
          <w:tcPr>
            <w:tcW w:w="3686" w:type="dxa"/>
          </w:tcPr>
          <w:p w14:paraId="4F3F39D8" w14:textId="77777777" w:rsidR="00C70550" w:rsidRPr="00286216" w:rsidRDefault="00C70550" w:rsidP="006A358E">
            <w:pPr>
              <w:pStyle w:val="StyleProp"/>
              <w:spacing w:line="180" w:lineRule="exact"/>
              <w:rPr>
                <w:color w:val="000000" w:themeColor="text1"/>
                <w:spacing w:val="-2"/>
              </w:rPr>
            </w:pPr>
            <w:r w:rsidRPr="00286216">
              <w:rPr>
                <w:color w:val="000000" w:themeColor="text1"/>
              </w:rPr>
              <w:t>Зміст інформації, порядок та строк її подання до торгового репозиторію встановлюються Національною комісією з цінних паперів та фондового ринку. При цьому випадки, порядок і строк подання та зміст інформації щодо деривативних контрактів грошового ринку, що подається до торгового репозиторію, Національна комісія з цінних паперів та фондового ринку встановлює за погодженням з Національним банком України.</w:t>
            </w:r>
          </w:p>
        </w:tc>
        <w:tc>
          <w:tcPr>
            <w:tcW w:w="1987" w:type="dxa"/>
          </w:tcPr>
          <w:p w14:paraId="479AFCF8" w14:textId="77777777" w:rsidR="00C70550" w:rsidRPr="00286216" w:rsidRDefault="00C70550" w:rsidP="006A358E">
            <w:pPr>
              <w:pStyle w:val="StyleWisnow"/>
              <w:rPr>
                <w:color w:val="000000" w:themeColor="text1"/>
              </w:rPr>
            </w:pPr>
          </w:p>
        </w:tc>
        <w:tc>
          <w:tcPr>
            <w:tcW w:w="4818" w:type="dxa"/>
          </w:tcPr>
          <w:p w14:paraId="1FE78658" w14:textId="77777777" w:rsidR="00C70550" w:rsidRPr="00286216" w:rsidRDefault="00C70550" w:rsidP="006A358E">
            <w:pPr>
              <w:pStyle w:val="StyleZakonu"/>
              <w:rPr>
                <w:color w:val="000000" w:themeColor="text1"/>
              </w:rPr>
            </w:pPr>
            <w:r w:rsidRPr="00286216">
              <w:rPr>
                <w:color w:val="000000" w:themeColor="text1"/>
              </w:rPr>
              <w:t>Зміст інформації, порядок та строк її подання до торгового репозиторію встановлюються Національною комісією з цінних паперів та фондового ринку. При цьому випадки, порядок і строк подання та зміст інформації щодо деривативних контрактів грошового ринку, що подається до торгового репозиторію, Національна комісія з цінних паперів та фондового ринку встановлює за погодженням з Національним банком України.</w:t>
            </w:r>
          </w:p>
        </w:tc>
      </w:tr>
      <w:tr w:rsidR="00C70550" w:rsidRPr="00286216" w14:paraId="240346DB" w14:textId="77777777" w:rsidTr="006A358E">
        <w:tc>
          <w:tcPr>
            <w:tcW w:w="576" w:type="dxa"/>
          </w:tcPr>
          <w:p w14:paraId="43041085" w14:textId="77777777" w:rsidR="00C70550" w:rsidRPr="00286216" w:rsidRDefault="00C70550" w:rsidP="006A358E">
            <w:pPr>
              <w:pStyle w:val="StyleWisnow"/>
              <w:rPr>
                <w:color w:val="000000" w:themeColor="text1"/>
              </w:rPr>
            </w:pPr>
            <w:r w:rsidRPr="00286216">
              <w:rPr>
                <w:color w:val="000000" w:themeColor="text1"/>
              </w:rPr>
              <w:t>617.</w:t>
            </w:r>
          </w:p>
        </w:tc>
        <w:tc>
          <w:tcPr>
            <w:tcW w:w="4818" w:type="dxa"/>
          </w:tcPr>
          <w:p w14:paraId="0DFAA951" w14:textId="77777777" w:rsidR="00C70550" w:rsidRPr="00286216" w:rsidRDefault="00C70550" w:rsidP="006A358E">
            <w:pPr>
              <w:pStyle w:val="StyleZakonu"/>
              <w:rPr>
                <w:color w:val="000000" w:themeColor="text1"/>
              </w:rPr>
            </w:pPr>
            <w:r w:rsidRPr="00286216">
              <w:rPr>
                <w:color w:val="000000" w:themeColor="text1"/>
              </w:rPr>
              <w:t>Випадки звільнення сторін деривативного контракту від обов’язку подавати інформацію, передбачену абзацом першим цієї частини статті, встановлюються Національною комісією з цінних паперів та фондового ринку.</w:t>
            </w:r>
          </w:p>
        </w:tc>
        <w:tc>
          <w:tcPr>
            <w:tcW w:w="3686" w:type="dxa"/>
          </w:tcPr>
          <w:p w14:paraId="643E4A96" w14:textId="77777777" w:rsidR="00C70550" w:rsidRPr="00286216" w:rsidRDefault="00C70550" w:rsidP="006A358E">
            <w:pPr>
              <w:pStyle w:val="StyleProp"/>
              <w:spacing w:line="180" w:lineRule="exact"/>
              <w:ind w:firstLine="0"/>
              <w:rPr>
                <w:color w:val="000000" w:themeColor="text1"/>
                <w:szCs w:val="18"/>
              </w:rPr>
            </w:pPr>
          </w:p>
        </w:tc>
        <w:tc>
          <w:tcPr>
            <w:tcW w:w="1987" w:type="dxa"/>
          </w:tcPr>
          <w:p w14:paraId="44C0453E" w14:textId="77777777" w:rsidR="00C70550" w:rsidRPr="00286216" w:rsidRDefault="00C70550" w:rsidP="006A358E">
            <w:pPr>
              <w:pStyle w:val="StyleWisnow"/>
              <w:rPr>
                <w:color w:val="000000" w:themeColor="text1"/>
              </w:rPr>
            </w:pPr>
          </w:p>
        </w:tc>
        <w:tc>
          <w:tcPr>
            <w:tcW w:w="4818" w:type="dxa"/>
          </w:tcPr>
          <w:p w14:paraId="1F2D32D1" w14:textId="77777777" w:rsidR="00C70550" w:rsidRPr="00286216" w:rsidRDefault="00C70550" w:rsidP="006A358E">
            <w:pPr>
              <w:pStyle w:val="StyleZakonu"/>
              <w:rPr>
                <w:color w:val="000000" w:themeColor="text1"/>
              </w:rPr>
            </w:pPr>
          </w:p>
        </w:tc>
      </w:tr>
      <w:tr w:rsidR="00C70550" w:rsidRPr="00286216" w14:paraId="61CB566C" w14:textId="77777777" w:rsidTr="006A358E">
        <w:tc>
          <w:tcPr>
            <w:tcW w:w="576" w:type="dxa"/>
          </w:tcPr>
          <w:p w14:paraId="2CC20B9D" w14:textId="77777777" w:rsidR="00C70550" w:rsidRPr="00286216" w:rsidRDefault="00C70550" w:rsidP="006A358E">
            <w:pPr>
              <w:pStyle w:val="StyleWisnow"/>
              <w:rPr>
                <w:color w:val="000000" w:themeColor="text1"/>
              </w:rPr>
            </w:pPr>
            <w:r w:rsidRPr="00286216">
              <w:rPr>
                <w:color w:val="000000" w:themeColor="text1"/>
              </w:rPr>
              <w:t>618.</w:t>
            </w:r>
          </w:p>
        </w:tc>
        <w:tc>
          <w:tcPr>
            <w:tcW w:w="4818" w:type="dxa"/>
          </w:tcPr>
          <w:p w14:paraId="2B444786" w14:textId="77777777" w:rsidR="00C70550" w:rsidRPr="00286216" w:rsidRDefault="00C70550" w:rsidP="006A358E">
            <w:pPr>
              <w:pStyle w:val="StyleZakonu"/>
              <w:rPr>
                <w:color w:val="000000" w:themeColor="text1"/>
              </w:rPr>
            </w:pPr>
            <w:r w:rsidRPr="00286216">
              <w:rPr>
                <w:color w:val="000000" w:themeColor="text1"/>
              </w:rPr>
              <w:t>8. Інформація про деривативні контракти, укладені на організованому ринку, подається до торгового репозиторію в порядку, встановленому Національною комісією з цінних паперів та фондового ринку.</w:t>
            </w:r>
          </w:p>
        </w:tc>
        <w:tc>
          <w:tcPr>
            <w:tcW w:w="3686" w:type="dxa"/>
          </w:tcPr>
          <w:p w14:paraId="7578B013" w14:textId="07C6A9C1"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367</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3207C549"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у ст. 39 ч. 8 викласти у такій редакції:</w:t>
            </w:r>
          </w:p>
          <w:p w14:paraId="6F284913" w14:textId="77777777" w:rsidR="00C70550" w:rsidRPr="00286216" w:rsidRDefault="00C70550" w:rsidP="006A358E">
            <w:pPr>
              <w:spacing w:line="180" w:lineRule="exact"/>
              <w:ind w:firstLine="227"/>
              <w:jc w:val="both"/>
              <w:rPr>
                <w:color w:val="000000" w:themeColor="text1"/>
                <w:spacing w:val="-1"/>
                <w:szCs w:val="18"/>
              </w:rPr>
            </w:pPr>
            <w:r w:rsidRPr="00286216">
              <w:rPr>
                <w:color w:val="000000" w:themeColor="text1"/>
                <w:spacing w:val="-1"/>
                <w:sz w:val="18"/>
              </w:rPr>
              <w:t>«8. Інформація про деривативні контракти, укладені на організованому ринку, подається до торгового репозиторію оператором організованого ринку деривативних контрактів в порядку, встановленому регулятором відповідного ринку.»</w:t>
            </w:r>
          </w:p>
        </w:tc>
        <w:tc>
          <w:tcPr>
            <w:tcW w:w="1987" w:type="dxa"/>
          </w:tcPr>
          <w:p w14:paraId="778849A5" w14:textId="77777777" w:rsidR="00C70550" w:rsidRPr="00286216" w:rsidRDefault="00C70550" w:rsidP="006A358E">
            <w:pPr>
              <w:pStyle w:val="StyleWisnow"/>
              <w:rPr>
                <w:color w:val="000000" w:themeColor="text1"/>
              </w:rPr>
            </w:pPr>
            <w:r w:rsidRPr="00286216">
              <w:rPr>
                <w:color w:val="000000" w:themeColor="text1"/>
              </w:rPr>
              <w:t>Враховано по суті</w:t>
            </w:r>
          </w:p>
          <w:p w14:paraId="427E46F0" w14:textId="77777777" w:rsidR="00C70550" w:rsidRPr="00286216" w:rsidRDefault="00C70550" w:rsidP="006A358E">
            <w:pPr>
              <w:pStyle w:val="StyleWisnow"/>
              <w:rPr>
                <w:color w:val="000000" w:themeColor="text1"/>
              </w:rPr>
            </w:pPr>
            <w:r w:rsidRPr="00286216">
              <w:rPr>
                <w:color w:val="000000" w:themeColor="text1"/>
              </w:rPr>
              <w:t xml:space="preserve"> у частинах 7 та 10</w:t>
            </w:r>
          </w:p>
        </w:tc>
        <w:tc>
          <w:tcPr>
            <w:tcW w:w="4818" w:type="dxa"/>
          </w:tcPr>
          <w:p w14:paraId="017432BE" w14:textId="77777777" w:rsidR="00C70550" w:rsidRPr="00286216" w:rsidRDefault="00C70550" w:rsidP="006A358E">
            <w:pPr>
              <w:pStyle w:val="StyleZakonu"/>
              <w:rPr>
                <w:color w:val="000000" w:themeColor="text1"/>
              </w:rPr>
            </w:pPr>
            <w:r w:rsidRPr="00286216">
              <w:rPr>
                <w:color w:val="000000" w:themeColor="text1"/>
              </w:rPr>
              <w:t>8. Інформація про деривативні контракти, укладені на організованому ринку, подається до торгового репозиторію в порядку, встановленому Національною комісією з цінних паперів та фондового ринку.</w:t>
            </w:r>
          </w:p>
        </w:tc>
      </w:tr>
      <w:tr w:rsidR="00C70550" w:rsidRPr="00286216" w14:paraId="79C61DEF" w14:textId="77777777" w:rsidTr="006A358E">
        <w:tc>
          <w:tcPr>
            <w:tcW w:w="576" w:type="dxa"/>
          </w:tcPr>
          <w:p w14:paraId="50BF5E4D" w14:textId="77777777" w:rsidR="00C70550" w:rsidRPr="00286216" w:rsidRDefault="00C70550" w:rsidP="006A358E">
            <w:pPr>
              <w:pStyle w:val="StyleWisnow"/>
              <w:rPr>
                <w:color w:val="000000" w:themeColor="text1"/>
              </w:rPr>
            </w:pPr>
            <w:r w:rsidRPr="00286216">
              <w:rPr>
                <w:color w:val="000000" w:themeColor="text1"/>
              </w:rPr>
              <w:t>619.</w:t>
            </w:r>
          </w:p>
        </w:tc>
        <w:tc>
          <w:tcPr>
            <w:tcW w:w="4818" w:type="dxa"/>
          </w:tcPr>
          <w:p w14:paraId="589198F2" w14:textId="77777777" w:rsidR="00C70550" w:rsidRPr="00286216" w:rsidRDefault="00C70550" w:rsidP="006A358E">
            <w:pPr>
              <w:pStyle w:val="StyleZakonu"/>
              <w:rPr>
                <w:color w:val="000000" w:themeColor="text1"/>
              </w:rPr>
            </w:pPr>
            <w:r w:rsidRPr="00286216">
              <w:rPr>
                <w:color w:val="000000" w:themeColor="text1"/>
              </w:rPr>
              <w:t xml:space="preserve">9. Національна комісія з цінних паперів та </w:t>
            </w:r>
            <w:r w:rsidRPr="00286216">
              <w:rPr>
                <w:color w:val="000000" w:themeColor="text1"/>
              </w:rPr>
              <w:lastRenderedPageBreak/>
              <w:t>фондового ринку встановлює вимоги та показники, що обмежують ризики учасників організованого ринку деривативних контрактів, зокрема встановлює методику розрахунку лімітів позицій, які учасник організованого ринку деривативних контрактів може мати за товарними деривативними контрактами, та порядок їх дотримання.</w:t>
            </w:r>
          </w:p>
        </w:tc>
        <w:tc>
          <w:tcPr>
            <w:tcW w:w="3686" w:type="dxa"/>
          </w:tcPr>
          <w:p w14:paraId="64A5681C" w14:textId="042BA011"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lastRenderedPageBreak/>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368</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3897DF1A" w14:textId="77777777" w:rsidR="00C70550" w:rsidRPr="00286216" w:rsidRDefault="00C70550" w:rsidP="006A358E">
            <w:pPr>
              <w:spacing w:line="180" w:lineRule="exact"/>
              <w:ind w:firstLine="227"/>
              <w:jc w:val="both"/>
              <w:rPr>
                <w:color w:val="000000" w:themeColor="text1"/>
                <w:sz w:val="18"/>
              </w:rPr>
            </w:pPr>
            <w:r w:rsidRPr="00286216">
              <w:rPr>
                <w:color w:val="000000" w:themeColor="text1"/>
                <w:sz w:val="18"/>
              </w:rPr>
              <w:lastRenderedPageBreak/>
              <w:t>У статті 39 частину 9 доповнити абзацом такого змісту:</w:t>
            </w:r>
          </w:p>
          <w:p w14:paraId="3556B59F" w14:textId="77777777" w:rsidR="00C70550" w:rsidRPr="00286216" w:rsidRDefault="00C70550" w:rsidP="006A358E">
            <w:pPr>
              <w:spacing w:line="180" w:lineRule="exact"/>
              <w:ind w:firstLine="227"/>
              <w:jc w:val="both"/>
              <w:rPr>
                <w:color w:val="000000" w:themeColor="text1"/>
                <w:spacing w:val="-2"/>
                <w:szCs w:val="18"/>
              </w:rPr>
            </w:pPr>
            <w:r w:rsidRPr="00286216">
              <w:rPr>
                <w:color w:val="000000" w:themeColor="text1"/>
                <w:spacing w:val="-2"/>
                <w:sz w:val="18"/>
              </w:rPr>
              <w:t>«В частині поставних товарних деривативних контрактів, ліміти позицій не застосовуються до позицій, утримувачем яких є особи, зазначені в пункті 2 частини 16 статті 42, або які утримуються інвестиційними фірмами за дорученням таких осіб.»</w:t>
            </w:r>
          </w:p>
        </w:tc>
        <w:tc>
          <w:tcPr>
            <w:tcW w:w="1987" w:type="dxa"/>
          </w:tcPr>
          <w:p w14:paraId="5A82720C" w14:textId="77777777" w:rsidR="00C70550" w:rsidRPr="00286216" w:rsidRDefault="00C70550" w:rsidP="006A358E">
            <w:pPr>
              <w:pStyle w:val="StyleWisnow"/>
              <w:rPr>
                <w:color w:val="000000" w:themeColor="text1"/>
              </w:rPr>
            </w:pPr>
            <w:r w:rsidRPr="00286216">
              <w:rPr>
                <w:color w:val="000000" w:themeColor="text1"/>
              </w:rPr>
              <w:lastRenderedPageBreak/>
              <w:t>Відхилено</w:t>
            </w:r>
          </w:p>
          <w:p w14:paraId="595E15AB"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lastRenderedPageBreak/>
              <w:t xml:space="preserve">з метою уникнення системних ризиків показники щодо лімітів </w:t>
            </w:r>
            <w:r w:rsidRPr="00286216">
              <w:rPr>
                <w:color w:val="000000" w:themeColor="text1"/>
              </w:rPr>
              <w:t>позицій мають застосовуватися без запропонованих уточнень до всіх учасників торгів</w:t>
            </w:r>
          </w:p>
        </w:tc>
        <w:tc>
          <w:tcPr>
            <w:tcW w:w="4818" w:type="dxa"/>
          </w:tcPr>
          <w:p w14:paraId="09721CC3" w14:textId="77777777" w:rsidR="00C70550" w:rsidRPr="00286216" w:rsidRDefault="00C70550" w:rsidP="006A358E">
            <w:pPr>
              <w:pStyle w:val="StyleZakonu"/>
              <w:rPr>
                <w:color w:val="000000" w:themeColor="text1"/>
              </w:rPr>
            </w:pPr>
            <w:r w:rsidRPr="00286216">
              <w:rPr>
                <w:color w:val="000000" w:themeColor="text1"/>
              </w:rPr>
              <w:lastRenderedPageBreak/>
              <w:t xml:space="preserve">9. Національна комісія з цінних паперів та </w:t>
            </w:r>
            <w:r w:rsidRPr="00286216">
              <w:rPr>
                <w:color w:val="000000" w:themeColor="text1"/>
              </w:rPr>
              <w:lastRenderedPageBreak/>
              <w:t>фондового ринку встановлює вимоги та показники, що обмежують ризики учасників організованого ринку деривативних контрактів, зокрема встановлює методику розрахунку лімітів позицій, які учасник організованого ринку деривативних контрактів може мати за товарними деривативними контрактами, та порядок їх дотримання.</w:t>
            </w:r>
          </w:p>
        </w:tc>
      </w:tr>
      <w:tr w:rsidR="00C70550" w:rsidRPr="00286216" w14:paraId="5FF7E0CE" w14:textId="77777777" w:rsidTr="006A358E">
        <w:tc>
          <w:tcPr>
            <w:tcW w:w="576" w:type="dxa"/>
          </w:tcPr>
          <w:p w14:paraId="40774366" w14:textId="77777777" w:rsidR="00C70550" w:rsidRPr="00286216" w:rsidRDefault="00C70550" w:rsidP="006A358E">
            <w:pPr>
              <w:pStyle w:val="StyleWisnow"/>
              <w:rPr>
                <w:color w:val="000000" w:themeColor="text1"/>
              </w:rPr>
            </w:pPr>
          </w:p>
        </w:tc>
        <w:tc>
          <w:tcPr>
            <w:tcW w:w="4818" w:type="dxa"/>
          </w:tcPr>
          <w:p w14:paraId="3A617759" w14:textId="77777777" w:rsidR="00C70550" w:rsidRPr="00286216" w:rsidRDefault="00C70550" w:rsidP="006A358E">
            <w:pPr>
              <w:pStyle w:val="StyleZakonu"/>
              <w:rPr>
                <w:color w:val="000000" w:themeColor="text1"/>
              </w:rPr>
            </w:pPr>
          </w:p>
        </w:tc>
        <w:tc>
          <w:tcPr>
            <w:tcW w:w="3686" w:type="dxa"/>
          </w:tcPr>
          <w:p w14:paraId="482C5C43" w14:textId="0C36F4B1"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369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8DC4264" w14:textId="77777777" w:rsidR="00C70550" w:rsidRPr="00286216" w:rsidRDefault="00C70550" w:rsidP="006A358E">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4EBDE2D" w14:textId="77777777" w:rsidR="00C70550" w:rsidRPr="00286216" w:rsidRDefault="00C70550" w:rsidP="006A358E">
            <w:pPr>
              <w:pStyle w:val="StyleProp"/>
              <w:spacing w:line="180" w:lineRule="exact"/>
              <w:rPr>
                <w:color w:val="000000" w:themeColor="text1"/>
              </w:rPr>
            </w:pPr>
            <w:r w:rsidRPr="00286216">
              <w:rPr>
                <w:color w:val="000000" w:themeColor="text1"/>
              </w:rPr>
              <w:t>Статтю 39 доповнити новою частиною такого змісту:</w:t>
            </w:r>
          </w:p>
          <w:p w14:paraId="47B75B1C" w14:textId="77777777" w:rsidR="00C70550" w:rsidRPr="00286216" w:rsidRDefault="00C70550" w:rsidP="006A358E">
            <w:pPr>
              <w:pStyle w:val="StyleProp"/>
              <w:spacing w:line="180" w:lineRule="exact"/>
              <w:rPr>
                <w:color w:val="000000" w:themeColor="text1"/>
              </w:rPr>
            </w:pPr>
            <w:r w:rsidRPr="00286216">
              <w:rPr>
                <w:color w:val="000000" w:themeColor="text1"/>
              </w:rPr>
              <w:t>"10. Положення частини сьомої цієї статті не поширюються на деривативні контракти щодо оптових енергетичних продуктів, інформація щодо яких подається у порядку, встановленому законодавством".</w:t>
            </w:r>
          </w:p>
        </w:tc>
        <w:tc>
          <w:tcPr>
            <w:tcW w:w="1987" w:type="dxa"/>
          </w:tcPr>
          <w:p w14:paraId="602F1730"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tc>
        <w:tc>
          <w:tcPr>
            <w:tcW w:w="4818" w:type="dxa"/>
          </w:tcPr>
          <w:p w14:paraId="09997A5C" w14:textId="77777777" w:rsidR="00C70550" w:rsidRPr="00286216" w:rsidRDefault="00C70550" w:rsidP="006A358E">
            <w:pPr>
              <w:pStyle w:val="StyleZakonu"/>
              <w:rPr>
                <w:color w:val="000000" w:themeColor="text1"/>
              </w:rPr>
            </w:pPr>
            <w:r w:rsidRPr="00286216">
              <w:rPr>
                <w:color w:val="000000" w:themeColor="text1"/>
              </w:rPr>
              <w:t>10. Положення частини сьомої цієї статті не поширюються на деривативні контракти щодо оптових енергетичних продуктів, інформація щодо яких подається у порядку, встановленому законодавством.</w:t>
            </w:r>
          </w:p>
        </w:tc>
      </w:tr>
      <w:tr w:rsidR="00C70550" w:rsidRPr="00286216" w14:paraId="6CC7541F" w14:textId="77777777" w:rsidTr="006A358E">
        <w:tc>
          <w:tcPr>
            <w:tcW w:w="576" w:type="dxa"/>
          </w:tcPr>
          <w:p w14:paraId="43782051" w14:textId="77777777" w:rsidR="00C70550" w:rsidRPr="00286216" w:rsidRDefault="00C70550" w:rsidP="006A358E">
            <w:pPr>
              <w:pStyle w:val="StyleWisnow"/>
              <w:rPr>
                <w:color w:val="000000" w:themeColor="text1"/>
              </w:rPr>
            </w:pPr>
            <w:r w:rsidRPr="00286216">
              <w:rPr>
                <w:color w:val="000000" w:themeColor="text1"/>
              </w:rPr>
              <w:t>620.</w:t>
            </w:r>
          </w:p>
        </w:tc>
        <w:tc>
          <w:tcPr>
            <w:tcW w:w="4818" w:type="dxa"/>
          </w:tcPr>
          <w:p w14:paraId="727CA953" w14:textId="77777777" w:rsidR="00C70550" w:rsidRPr="00286216" w:rsidRDefault="00C70550" w:rsidP="006A358E">
            <w:pPr>
              <w:pStyle w:val="StyleZakonu"/>
              <w:rPr>
                <w:color w:val="000000" w:themeColor="text1"/>
              </w:rPr>
            </w:pPr>
            <w:r w:rsidRPr="00286216">
              <w:rPr>
                <w:color w:val="000000" w:themeColor="text1"/>
              </w:rPr>
              <w:t>Стаття 40. Особливості виконання деривативних контрактів</w:t>
            </w:r>
          </w:p>
        </w:tc>
        <w:tc>
          <w:tcPr>
            <w:tcW w:w="3686" w:type="dxa"/>
          </w:tcPr>
          <w:p w14:paraId="3378D68E" w14:textId="00692A20"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370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DCBD3BD" w14:textId="77777777" w:rsidR="00C70550" w:rsidRPr="00286216" w:rsidRDefault="00C70550" w:rsidP="006A358E">
            <w:pPr>
              <w:pStyle w:val="StyleProp"/>
              <w:spacing w:line="180" w:lineRule="exact"/>
              <w:rPr>
                <w:rFonts w:eastAsia="Calibri"/>
                <w:color w:val="000000" w:themeColor="text1"/>
                <w:spacing w:val="-2"/>
                <w:szCs w:val="18"/>
              </w:rPr>
            </w:pPr>
            <w:r w:rsidRPr="00286216">
              <w:rPr>
                <w:color w:val="000000" w:themeColor="text1"/>
                <w:spacing w:val="-2"/>
              </w:rPr>
              <w:t>Статтю 40 виключити та перенести її положення до розділу щодо фінансових інструментів</w:t>
            </w:r>
            <w:r w:rsidRPr="00286216">
              <w:rPr>
                <w:rFonts w:eastAsia="Calibri"/>
                <w:color w:val="000000" w:themeColor="text1"/>
                <w:spacing w:val="-2"/>
                <w:szCs w:val="18"/>
              </w:rPr>
              <w:t>.</w:t>
            </w:r>
          </w:p>
        </w:tc>
        <w:tc>
          <w:tcPr>
            <w:tcW w:w="1987" w:type="dxa"/>
          </w:tcPr>
          <w:p w14:paraId="4F86BE72" w14:textId="77777777" w:rsidR="00C70550" w:rsidRPr="00286216" w:rsidRDefault="00C70550" w:rsidP="006A358E">
            <w:pPr>
              <w:pStyle w:val="StyleWisnow"/>
              <w:spacing w:line="180" w:lineRule="exact"/>
              <w:rPr>
                <w:color w:val="000000" w:themeColor="text1"/>
              </w:rPr>
            </w:pPr>
            <w:r w:rsidRPr="00286216">
              <w:rPr>
                <w:color w:val="000000" w:themeColor="text1"/>
              </w:rPr>
              <w:t>Враховано</w:t>
            </w:r>
          </w:p>
          <w:p w14:paraId="7F44EB82" w14:textId="77777777" w:rsidR="00C70550" w:rsidRPr="00286216" w:rsidRDefault="00C70550" w:rsidP="006A358E">
            <w:pPr>
              <w:pStyle w:val="StyleWisnow"/>
              <w:spacing w:line="180" w:lineRule="exact"/>
              <w:rPr>
                <w:color w:val="000000" w:themeColor="text1"/>
              </w:rPr>
            </w:pPr>
            <w:r w:rsidRPr="00286216">
              <w:rPr>
                <w:color w:val="000000" w:themeColor="text1"/>
              </w:rPr>
              <w:t>в редакції статті 36</w:t>
            </w:r>
          </w:p>
        </w:tc>
        <w:tc>
          <w:tcPr>
            <w:tcW w:w="4818" w:type="dxa"/>
          </w:tcPr>
          <w:p w14:paraId="120BE11A" w14:textId="77777777" w:rsidR="00C70550" w:rsidRPr="00286216" w:rsidRDefault="00C70550" w:rsidP="006A358E">
            <w:pPr>
              <w:pStyle w:val="StyleZakonu"/>
              <w:rPr>
                <w:color w:val="000000" w:themeColor="text1"/>
              </w:rPr>
            </w:pPr>
          </w:p>
        </w:tc>
      </w:tr>
      <w:tr w:rsidR="00C70550" w:rsidRPr="00286216" w14:paraId="7805D752" w14:textId="77777777" w:rsidTr="006A358E">
        <w:tc>
          <w:tcPr>
            <w:tcW w:w="576" w:type="dxa"/>
          </w:tcPr>
          <w:p w14:paraId="35F31383" w14:textId="77777777" w:rsidR="00C70550" w:rsidRPr="00286216" w:rsidRDefault="00C70550" w:rsidP="006A358E">
            <w:pPr>
              <w:pStyle w:val="StyleWisnow"/>
              <w:rPr>
                <w:color w:val="000000" w:themeColor="text1"/>
              </w:rPr>
            </w:pPr>
            <w:r w:rsidRPr="00286216">
              <w:rPr>
                <w:color w:val="000000" w:themeColor="text1"/>
              </w:rPr>
              <w:t>621.</w:t>
            </w:r>
          </w:p>
        </w:tc>
        <w:tc>
          <w:tcPr>
            <w:tcW w:w="4818" w:type="dxa"/>
          </w:tcPr>
          <w:p w14:paraId="494051F2" w14:textId="77777777" w:rsidR="00C70550" w:rsidRPr="00286216" w:rsidRDefault="00C70550" w:rsidP="006A358E">
            <w:pPr>
              <w:pStyle w:val="StyleZakonu"/>
              <w:rPr>
                <w:color w:val="000000" w:themeColor="text1"/>
              </w:rPr>
            </w:pPr>
            <w:r w:rsidRPr="00286216">
              <w:rPr>
                <w:color w:val="000000" w:themeColor="text1"/>
              </w:rPr>
              <w:t>1. Якщо на момент виконання обов’язку сторони деривативного контракту щодо відчуження базового активу здійснити таке відчуження неможливо, обов’язок щодо відчуження базового активу за згодою іншої сторони деривативного контракту замінюється грошовими розрахунками між сторонами, виходячи з ціни відповідного базового активу (базового показника), якщо інше не передбачено законодавством або договором.</w:t>
            </w:r>
          </w:p>
        </w:tc>
        <w:tc>
          <w:tcPr>
            <w:tcW w:w="3686" w:type="dxa"/>
          </w:tcPr>
          <w:p w14:paraId="43948416" w14:textId="77777777" w:rsidR="00C70550" w:rsidRPr="00286216" w:rsidRDefault="00C70550" w:rsidP="006A358E">
            <w:pPr>
              <w:pStyle w:val="StyleProp"/>
              <w:rPr>
                <w:b/>
                <w:color w:val="000000" w:themeColor="text1"/>
                <w:szCs w:val="18"/>
              </w:rPr>
            </w:pPr>
          </w:p>
        </w:tc>
        <w:tc>
          <w:tcPr>
            <w:tcW w:w="1987" w:type="dxa"/>
          </w:tcPr>
          <w:p w14:paraId="339C0B4C" w14:textId="77777777" w:rsidR="00C70550" w:rsidRPr="00286216" w:rsidRDefault="00C70550" w:rsidP="006A358E">
            <w:pPr>
              <w:pStyle w:val="StyleWisnow"/>
              <w:rPr>
                <w:color w:val="000000" w:themeColor="text1"/>
              </w:rPr>
            </w:pPr>
          </w:p>
        </w:tc>
        <w:tc>
          <w:tcPr>
            <w:tcW w:w="4818" w:type="dxa"/>
          </w:tcPr>
          <w:p w14:paraId="046A2B25" w14:textId="77777777" w:rsidR="00C70550" w:rsidRPr="00286216" w:rsidRDefault="00C70550" w:rsidP="006A358E">
            <w:pPr>
              <w:pStyle w:val="StyleZakonu"/>
              <w:rPr>
                <w:color w:val="000000" w:themeColor="text1"/>
              </w:rPr>
            </w:pPr>
          </w:p>
        </w:tc>
      </w:tr>
      <w:tr w:rsidR="00C70550" w:rsidRPr="00286216" w14:paraId="75EB4556" w14:textId="77777777" w:rsidTr="006A358E">
        <w:tc>
          <w:tcPr>
            <w:tcW w:w="576" w:type="dxa"/>
          </w:tcPr>
          <w:p w14:paraId="13225D6D" w14:textId="77777777" w:rsidR="00C70550" w:rsidRPr="00286216" w:rsidRDefault="00C70550" w:rsidP="006A358E">
            <w:pPr>
              <w:pStyle w:val="StyleWisnow"/>
              <w:rPr>
                <w:color w:val="000000" w:themeColor="text1"/>
              </w:rPr>
            </w:pPr>
            <w:r w:rsidRPr="00286216">
              <w:rPr>
                <w:color w:val="000000" w:themeColor="text1"/>
              </w:rPr>
              <w:t>622.</w:t>
            </w:r>
          </w:p>
        </w:tc>
        <w:tc>
          <w:tcPr>
            <w:tcW w:w="4818" w:type="dxa"/>
          </w:tcPr>
          <w:p w14:paraId="2866E329" w14:textId="77777777" w:rsidR="00C70550" w:rsidRPr="00286216" w:rsidRDefault="00C70550" w:rsidP="006A358E">
            <w:pPr>
              <w:pStyle w:val="StyleZakonu"/>
              <w:rPr>
                <w:color w:val="000000" w:themeColor="text1"/>
              </w:rPr>
            </w:pPr>
            <w:r w:rsidRPr="00286216">
              <w:rPr>
                <w:color w:val="000000" w:themeColor="text1"/>
              </w:rPr>
              <w:t>2. Якщо на момент виконання обов’язку сторони деривативного контракту щодо платежу за деривативним контрактом базовий показник деривативного контракту неможливо встановити, для цілей розрахунків сторін використовується останнє відоме значення відповідного базового показника, якщо інше не передбачене законодавством або договором.</w:t>
            </w:r>
          </w:p>
        </w:tc>
        <w:tc>
          <w:tcPr>
            <w:tcW w:w="3686" w:type="dxa"/>
          </w:tcPr>
          <w:p w14:paraId="0E255717" w14:textId="77777777" w:rsidR="00C70550" w:rsidRPr="00286216" w:rsidRDefault="00C70550" w:rsidP="006A358E">
            <w:pPr>
              <w:pStyle w:val="StyleProp"/>
              <w:rPr>
                <w:color w:val="000000" w:themeColor="text1"/>
                <w:szCs w:val="18"/>
              </w:rPr>
            </w:pPr>
          </w:p>
        </w:tc>
        <w:tc>
          <w:tcPr>
            <w:tcW w:w="1987" w:type="dxa"/>
          </w:tcPr>
          <w:p w14:paraId="498AD3DD" w14:textId="77777777" w:rsidR="00C70550" w:rsidRPr="00286216" w:rsidRDefault="00C70550" w:rsidP="006A358E">
            <w:pPr>
              <w:pStyle w:val="StyleWisnow"/>
              <w:rPr>
                <w:color w:val="000000" w:themeColor="text1"/>
              </w:rPr>
            </w:pPr>
          </w:p>
        </w:tc>
        <w:tc>
          <w:tcPr>
            <w:tcW w:w="4818" w:type="dxa"/>
          </w:tcPr>
          <w:p w14:paraId="6DEE9C33" w14:textId="77777777" w:rsidR="00C70550" w:rsidRPr="00286216" w:rsidRDefault="00C70550" w:rsidP="006A358E">
            <w:pPr>
              <w:pStyle w:val="StyleZakonu"/>
              <w:rPr>
                <w:color w:val="000000" w:themeColor="text1"/>
              </w:rPr>
            </w:pPr>
          </w:p>
        </w:tc>
      </w:tr>
      <w:tr w:rsidR="00C70550" w:rsidRPr="00286216" w14:paraId="28254DD7" w14:textId="77777777" w:rsidTr="006A358E">
        <w:tc>
          <w:tcPr>
            <w:tcW w:w="576" w:type="dxa"/>
          </w:tcPr>
          <w:p w14:paraId="5DCFFB56" w14:textId="77777777" w:rsidR="00C70550" w:rsidRPr="00286216" w:rsidRDefault="00C70550" w:rsidP="006A358E">
            <w:pPr>
              <w:pStyle w:val="StyleWisnow"/>
              <w:rPr>
                <w:color w:val="000000" w:themeColor="text1"/>
              </w:rPr>
            </w:pPr>
            <w:r w:rsidRPr="00286216">
              <w:rPr>
                <w:color w:val="000000" w:themeColor="text1"/>
              </w:rPr>
              <w:t>623.</w:t>
            </w:r>
          </w:p>
        </w:tc>
        <w:tc>
          <w:tcPr>
            <w:tcW w:w="4818" w:type="dxa"/>
          </w:tcPr>
          <w:p w14:paraId="0EE9FF44" w14:textId="77777777" w:rsidR="00C70550" w:rsidRPr="00286216" w:rsidRDefault="00C70550" w:rsidP="006A358E">
            <w:pPr>
              <w:pStyle w:val="StyleZakonu"/>
              <w:spacing w:after="0"/>
              <w:ind w:firstLine="0"/>
              <w:jc w:val="center"/>
              <w:rPr>
                <w:color w:val="000000" w:themeColor="text1"/>
              </w:rPr>
            </w:pPr>
            <w:r w:rsidRPr="00286216">
              <w:rPr>
                <w:color w:val="000000" w:themeColor="text1"/>
              </w:rPr>
              <w:t>Розділ IV</w:t>
            </w:r>
          </w:p>
          <w:p w14:paraId="41F29232" w14:textId="77777777" w:rsidR="00C70550" w:rsidRPr="00286216" w:rsidRDefault="00C70550" w:rsidP="006A358E">
            <w:pPr>
              <w:pStyle w:val="StyleZakonu"/>
              <w:ind w:firstLine="0"/>
              <w:jc w:val="center"/>
              <w:rPr>
                <w:color w:val="000000" w:themeColor="text1"/>
                <w:spacing w:val="-4"/>
              </w:rPr>
            </w:pPr>
            <w:r w:rsidRPr="00286216">
              <w:rPr>
                <w:color w:val="000000" w:themeColor="text1"/>
                <w:spacing w:val="-4"/>
              </w:rPr>
              <w:t>ПРОФЕСІЙНА ДІЯЛЬНІСТЬ НА РИНКАХ КАПІТАЛУ ТА ОРГАНІЗОВАНИХ ТОВАРНИХ РИНКАХ</w:t>
            </w:r>
          </w:p>
        </w:tc>
        <w:tc>
          <w:tcPr>
            <w:tcW w:w="3686" w:type="dxa"/>
          </w:tcPr>
          <w:p w14:paraId="11DF4E60" w14:textId="77777777" w:rsidR="00C70550" w:rsidRPr="00286216" w:rsidRDefault="00C70550" w:rsidP="006A358E">
            <w:pPr>
              <w:pStyle w:val="StyleProp"/>
              <w:rPr>
                <w:color w:val="000000" w:themeColor="text1"/>
                <w:szCs w:val="18"/>
              </w:rPr>
            </w:pPr>
          </w:p>
        </w:tc>
        <w:tc>
          <w:tcPr>
            <w:tcW w:w="1987" w:type="dxa"/>
          </w:tcPr>
          <w:p w14:paraId="3ECE73EB" w14:textId="77777777" w:rsidR="00C70550" w:rsidRPr="00286216" w:rsidRDefault="00C70550" w:rsidP="006A358E">
            <w:pPr>
              <w:pStyle w:val="StyleWisnow"/>
              <w:rPr>
                <w:color w:val="000000" w:themeColor="text1"/>
              </w:rPr>
            </w:pPr>
          </w:p>
        </w:tc>
        <w:tc>
          <w:tcPr>
            <w:tcW w:w="4818" w:type="dxa"/>
          </w:tcPr>
          <w:p w14:paraId="1141DD4F" w14:textId="77777777" w:rsidR="00C70550" w:rsidRPr="00286216" w:rsidRDefault="00C70550" w:rsidP="006A358E">
            <w:pPr>
              <w:pStyle w:val="StyleZakonu"/>
              <w:spacing w:after="0"/>
              <w:ind w:firstLine="0"/>
              <w:jc w:val="center"/>
              <w:rPr>
                <w:color w:val="000000" w:themeColor="text1"/>
              </w:rPr>
            </w:pPr>
            <w:r w:rsidRPr="00286216">
              <w:rPr>
                <w:color w:val="000000" w:themeColor="text1"/>
              </w:rPr>
              <w:t>Розділ V</w:t>
            </w:r>
          </w:p>
          <w:p w14:paraId="26D3D87F" w14:textId="77777777" w:rsidR="00C70550" w:rsidRPr="00286216" w:rsidRDefault="00C70550" w:rsidP="006A358E">
            <w:pPr>
              <w:pStyle w:val="StyleZakonu"/>
              <w:ind w:firstLine="0"/>
              <w:jc w:val="center"/>
              <w:rPr>
                <w:color w:val="000000" w:themeColor="text1"/>
                <w:spacing w:val="-4"/>
              </w:rPr>
            </w:pPr>
            <w:r w:rsidRPr="00286216">
              <w:rPr>
                <w:color w:val="000000" w:themeColor="text1"/>
                <w:spacing w:val="-4"/>
              </w:rPr>
              <w:t>ПРОФЕСІЙНА ДІЯЛЬНІСТЬ НА РИНКАХ КАПІТАЛУ ТА ОРГАНІЗОВАНИХ ТОВАРНИХ РИНКАХ</w:t>
            </w:r>
          </w:p>
        </w:tc>
      </w:tr>
      <w:tr w:rsidR="00C70550" w:rsidRPr="00286216" w14:paraId="045458A4" w14:textId="77777777" w:rsidTr="006A358E">
        <w:tc>
          <w:tcPr>
            <w:tcW w:w="576" w:type="dxa"/>
          </w:tcPr>
          <w:p w14:paraId="3A27F272" w14:textId="77777777" w:rsidR="00C70550" w:rsidRPr="00286216" w:rsidRDefault="00C70550" w:rsidP="006A358E">
            <w:pPr>
              <w:pStyle w:val="StyleWisnow"/>
              <w:rPr>
                <w:color w:val="000000" w:themeColor="text1"/>
              </w:rPr>
            </w:pPr>
            <w:r w:rsidRPr="00286216">
              <w:rPr>
                <w:color w:val="000000" w:themeColor="text1"/>
              </w:rPr>
              <w:t>624.</w:t>
            </w:r>
          </w:p>
        </w:tc>
        <w:tc>
          <w:tcPr>
            <w:tcW w:w="4818" w:type="dxa"/>
          </w:tcPr>
          <w:p w14:paraId="298CC1E1" w14:textId="77777777" w:rsidR="00C70550" w:rsidRPr="00286216" w:rsidRDefault="00C70550" w:rsidP="006A358E">
            <w:pPr>
              <w:pStyle w:val="StyleZakonu"/>
              <w:rPr>
                <w:color w:val="000000" w:themeColor="text1"/>
              </w:rPr>
            </w:pPr>
            <w:r w:rsidRPr="00286216">
              <w:rPr>
                <w:color w:val="000000" w:themeColor="text1"/>
              </w:rPr>
              <w:t>Стаття 41. Види професійної діяльності на ринках капіталу та організованих товарних ринках</w:t>
            </w:r>
          </w:p>
        </w:tc>
        <w:tc>
          <w:tcPr>
            <w:tcW w:w="3686" w:type="dxa"/>
          </w:tcPr>
          <w:p w14:paraId="17F68CA3" w14:textId="77777777" w:rsidR="00C70550" w:rsidRPr="00286216" w:rsidRDefault="00C70550" w:rsidP="006A358E">
            <w:pPr>
              <w:pStyle w:val="StyleProp"/>
              <w:rPr>
                <w:color w:val="000000" w:themeColor="text1"/>
                <w:szCs w:val="18"/>
              </w:rPr>
            </w:pPr>
          </w:p>
        </w:tc>
        <w:tc>
          <w:tcPr>
            <w:tcW w:w="1987" w:type="dxa"/>
          </w:tcPr>
          <w:p w14:paraId="687E1005" w14:textId="77777777" w:rsidR="00C70550" w:rsidRPr="00286216" w:rsidRDefault="00C70550" w:rsidP="006A358E">
            <w:pPr>
              <w:pStyle w:val="StyleWisnow"/>
              <w:rPr>
                <w:color w:val="000000" w:themeColor="text1"/>
              </w:rPr>
            </w:pPr>
          </w:p>
        </w:tc>
        <w:tc>
          <w:tcPr>
            <w:tcW w:w="4818" w:type="dxa"/>
          </w:tcPr>
          <w:p w14:paraId="4739829B" w14:textId="77777777" w:rsidR="00C70550" w:rsidRPr="00286216" w:rsidRDefault="00C70550" w:rsidP="006A358E">
            <w:pPr>
              <w:pStyle w:val="StyleZakonu"/>
              <w:rPr>
                <w:color w:val="000000" w:themeColor="text1"/>
              </w:rPr>
            </w:pPr>
            <w:r w:rsidRPr="00286216">
              <w:rPr>
                <w:color w:val="000000" w:themeColor="text1"/>
              </w:rPr>
              <w:t>Стаття 41. Види професійної діяльності на ринках капіталу та організованих товарних ринках</w:t>
            </w:r>
          </w:p>
        </w:tc>
      </w:tr>
      <w:tr w:rsidR="00C70550" w:rsidRPr="00286216" w14:paraId="6103A604" w14:textId="77777777" w:rsidTr="006A358E">
        <w:tc>
          <w:tcPr>
            <w:tcW w:w="576" w:type="dxa"/>
          </w:tcPr>
          <w:p w14:paraId="32D9475F" w14:textId="77777777" w:rsidR="00C70550" w:rsidRPr="00286216" w:rsidRDefault="00C70550" w:rsidP="006A358E">
            <w:pPr>
              <w:pStyle w:val="StyleWisnow"/>
              <w:rPr>
                <w:color w:val="000000" w:themeColor="text1"/>
              </w:rPr>
            </w:pPr>
            <w:r w:rsidRPr="00286216">
              <w:rPr>
                <w:color w:val="000000" w:themeColor="text1"/>
              </w:rPr>
              <w:t>625.</w:t>
            </w:r>
          </w:p>
        </w:tc>
        <w:tc>
          <w:tcPr>
            <w:tcW w:w="4818" w:type="dxa"/>
          </w:tcPr>
          <w:p w14:paraId="5493DF67" w14:textId="77777777" w:rsidR="00C70550" w:rsidRPr="00286216" w:rsidRDefault="00C70550" w:rsidP="006A358E">
            <w:pPr>
              <w:pStyle w:val="StyleZakonu"/>
              <w:rPr>
                <w:color w:val="000000" w:themeColor="text1"/>
              </w:rPr>
            </w:pPr>
            <w:r w:rsidRPr="00286216">
              <w:rPr>
                <w:color w:val="000000" w:themeColor="text1"/>
              </w:rPr>
              <w:t xml:space="preserve">1. Професійна діяльність на ринках капіталу - діяльність акціонерних товариств, товариств з обмеженою відповідальністю або товариств з додатковою відповідальністю з надання фінансових </w:t>
            </w:r>
            <w:r w:rsidRPr="00286216">
              <w:rPr>
                <w:color w:val="000000" w:themeColor="text1"/>
              </w:rPr>
              <w:lastRenderedPageBreak/>
              <w:t>та інших послуг, що відповідає вимогам, установленим до такої діяльності цим Законом та законодавством.</w:t>
            </w:r>
          </w:p>
        </w:tc>
        <w:tc>
          <w:tcPr>
            <w:tcW w:w="3686" w:type="dxa"/>
          </w:tcPr>
          <w:p w14:paraId="47EE4EBB" w14:textId="53B1ECF3" w:rsidR="00C70550" w:rsidRPr="00286216" w:rsidRDefault="00C70550" w:rsidP="006A358E">
            <w:pPr>
              <w:pStyle w:val="StyleAwt"/>
              <w:rPr>
                <w:color w:val="000000" w:themeColor="text1"/>
                <w:spacing w:val="-10"/>
              </w:rPr>
            </w:pPr>
            <w:r w:rsidRPr="00286216">
              <w:rPr>
                <w:color w:val="000000" w:themeColor="text1"/>
                <w:spacing w:val="-10"/>
              </w:rPr>
              <w:lastRenderedPageBreak/>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371</w:t>
            </w:r>
            <w:r w:rsidRPr="00286216">
              <w:rPr>
                <w:color w:val="000000" w:themeColor="text1"/>
                <w:spacing w:val="-10"/>
              </w:rPr>
              <w:fldChar w:fldCharType="end"/>
            </w:r>
            <w:r w:rsidRPr="00286216">
              <w:rPr>
                <w:color w:val="000000" w:themeColor="text1"/>
                <w:spacing w:val="-10"/>
              </w:rPr>
              <w:t>-Н.д.Гетманцев Д.О.(Реєстр.картка №245)</w:t>
            </w:r>
          </w:p>
          <w:p w14:paraId="1C4F2D62" w14:textId="77777777" w:rsidR="00C70550" w:rsidRPr="00286216" w:rsidRDefault="00C70550" w:rsidP="006A358E">
            <w:pPr>
              <w:pStyle w:val="StyleProp"/>
              <w:spacing w:line="180" w:lineRule="exact"/>
              <w:rPr>
                <w:color w:val="000000" w:themeColor="text1"/>
              </w:rPr>
            </w:pPr>
            <w:r w:rsidRPr="00286216">
              <w:rPr>
                <w:color w:val="000000" w:themeColor="text1"/>
              </w:rPr>
              <w:t>абзац перший частини першої статті 41 викласти в такій редакції:</w:t>
            </w:r>
          </w:p>
          <w:p w14:paraId="248CCD17" w14:textId="77777777" w:rsidR="00C70550" w:rsidRPr="00286216" w:rsidRDefault="00C70550" w:rsidP="006A358E">
            <w:pPr>
              <w:pStyle w:val="StyleProp"/>
              <w:spacing w:line="180" w:lineRule="exact"/>
              <w:rPr>
                <w:color w:val="000000" w:themeColor="text1"/>
              </w:rPr>
            </w:pPr>
            <w:r w:rsidRPr="00286216">
              <w:rPr>
                <w:color w:val="000000" w:themeColor="text1"/>
              </w:rPr>
              <w:t xml:space="preserve">«1. Професійна діяльність на ринках капіталу – діяльність акціонерних товариств, </w:t>
            </w:r>
            <w:r w:rsidRPr="00286216">
              <w:rPr>
                <w:color w:val="000000" w:themeColor="text1"/>
              </w:rPr>
              <w:lastRenderedPageBreak/>
              <w:t>товариств з обмеженою відповідальністю або товариств з додатковою відповідальністю з надання фінансових та інших послуг на ринках капіталу під час здійснення будь-якого виду діяльності, що передбачений в частині другій цієї статті.»</w:t>
            </w:r>
          </w:p>
        </w:tc>
        <w:tc>
          <w:tcPr>
            <w:tcW w:w="1987" w:type="dxa"/>
          </w:tcPr>
          <w:p w14:paraId="48A49F95" w14:textId="77777777" w:rsidR="00C70550" w:rsidRPr="00286216" w:rsidRDefault="00C70550" w:rsidP="006A358E">
            <w:pPr>
              <w:pStyle w:val="StyleWisnow"/>
              <w:rPr>
                <w:color w:val="000000" w:themeColor="text1"/>
              </w:rPr>
            </w:pPr>
            <w:r w:rsidRPr="00286216">
              <w:rPr>
                <w:color w:val="000000" w:themeColor="text1"/>
              </w:rPr>
              <w:lastRenderedPageBreak/>
              <w:t>Враховано</w:t>
            </w:r>
          </w:p>
        </w:tc>
        <w:tc>
          <w:tcPr>
            <w:tcW w:w="4818" w:type="dxa"/>
          </w:tcPr>
          <w:p w14:paraId="6E8AE1C1" w14:textId="17135EC0" w:rsidR="00C70550" w:rsidRPr="00286216" w:rsidRDefault="00C70550" w:rsidP="006A358E">
            <w:pPr>
              <w:pStyle w:val="StyleZakonu"/>
              <w:rPr>
                <w:color w:val="000000" w:themeColor="text1"/>
              </w:rPr>
            </w:pPr>
            <w:r w:rsidRPr="00286216">
              <w:rPr>
                <w:color w:val="000000" w:themeColor="text1"/>
              </w:rPr>
              <w:t xml:space="preserve">1. Професійна діяльність на ринках капіталу – це діяльність акціонерних товариств, товариств з обмеженою відповідальністю або товариств з додатковою відповідальністю з надання фінансових </w:t>
            </w:r>
            <w:r w:rsidRPr="00286216">
              <w:rPr>
                <w:color w:val="000000" w:themeColor="text1"/>
              </w:rPr>
              <w:lastRenderedPageBreak/>
              <w:t>та інших послуг на ринках капіталу під час здійснення будь-якого виду діяльності, передбаченого частиною другою цієї статті.</w:t>
            </w:r>
          </w:p>
        </w:tc>
      </w:tr>
      <w:tr w:rsidR="00C70550" w:rsidRPr="00286216" w14:paraId="26601797" w14:textId="77777777" w:rsidTr="006A358E">
        <w:tc>
          <w:tcPr>
            <w:tcW w:w="576" w:type="dxa"/>
          </w:tcPr>
          <w:p w14:paraId="6404DFDC" w14:textId="77777777" w:rsidR="00C70550" w:rsidRPr="00286216" w:rsidRDefault="00C70550" w:rsidP="006A358E">
            <w:pPr>
              <w:pStyle w:val="StyleWisnow"/>
              <w:rPr>
                <w:color w:val="000000" w:themeColor="text1"/>
              </w:rPr>
            </w:pPr>
            <w:r w:rsidRPr="00286216">
              <w:rPr>
                <w:color w:val="000000" w:themeColor="text1"/>
              </w:rPr>
              <w:lastRenderedPageBreak/>
              <w:t>626.</w:t>
            </w:r>
          </w:p>
        </w:tc>
        <w:tc>
          <w:tcPr>
            <w:tcW w:w="4818" w:type="dxa"/>
          </w:tcPr>
          <w:p w14:paraId="2A0CF728" w14:textId="77777777" w:rsidR="00C70550" w:rsidRPr="00286216" w:rsidRDefault="00C70550" w:rsidP="006A358E">
            <w:pPr>
              <w:pStyle w:val="StyleZakonu"/>
              <w:rPr>
                <w:color w:val="000000" w:themeColor="text1"/>
              </w:rPr>
            </w:pPr>
            <w:r w:rsidRPr="00286216">
              <w:rPr>
                <w:color w:val="000000" w:themeColor="text1"/>
              </w:rPr>
              <w:t>Поєднання професійної діяльності на ринках капіталу з іншими видами діяльності забороняється, крім:</w:t>
            </w:r>
          </w:p>
        </w:tc>
        <w:tc>
          <w:tcPr>
            <w:tcW w:w="3686" w:type="dxa"/>
          </w:tcPr>
          <w:p w14:paraId="4E727327" w14:textId="71EC1158"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372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7B86CCC" w14:textId="77777777" w:rsidR="00C70550" w:rsidRPr="00286216" w:rsidRDefault="00C70550" w:rsidP="006A358E">
            <w:pPr>
              <w:pStyle w:val="StyleProp"/>
              <w:spacing w:line="180" w:lineRule="exact"/>
              <w:rPr>
                <w:color w:val="000000" w:themeColor="text1"/>
              </w:rPr>
            </w:pPr>
            <w:r w:rsidRPr="00286216">
              <w:rPr>
                <w:color w:val="000000" w:themeColor="text1"/>
              </w:rPr>
              <w:t>В абз. 2 ч. 1 ст. 41 слова «з іншими видами діяльності» замінити словами «з іншими видами діяльності, що не є професійною діяльністю на ринках капіталу".</w:t>
            </w:r>
          </w:p>
        </w:tc>
        <w:tc>
          <w:tcPr>
            <w:tcW w:w="1987" w:type="dxa"/>
          </w:tcPr>
          <w:p w14:paraId="1932887B"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t>Враховано по суті</w:t>
            </w:r>
          </w:p>
        </w:tc>
        <w:tc>
          <w:tcPr>
            <w:tcW w:w="4818" w:type="dxa"/>
          </w:tcPr>
          <w:p w14:paraId="42AA9D44" w14:textId="2D6109A0" w:rsidR="00C70550" w:rsidRPr="00286216" w:rsidRDefault="00C70550" w:rsidP="006A358E">
            <w:pPr>
              <w:pStyle w:val="StyleZakonu"/>
              <w:rPr>
                <w:color w:val="000000" w:themeColor="text1"/>
              </w:rPr>
            </w:pPr>
            <w:r w:rsidRPr="00286216">
              <w:rPr>
                <w:color w:val="000000" w:themeColor="text1"/>
              </w:rPr>
              <w:t>Поєднання професійної діяльності на ринках капіталу з іншими видами діяльності дозволяється виключно в таких випадках:</w:t>
            </w:r>
          </w:p>
        </w:tc>
      </w:tr>
      <w:tr w:rsidR="00C70550" w:rsidRPr="00286216" w14:paraId="756DCEDD" w14:textId="77777777" w:rsidTr="006A358E">
        <w:tc>
          <w:tcPr>
            <w:tcW w:w="576" w:type="dxa"/>
          </w:tcPr>
          <w:p w14:paraId="4F75C62F" w14:textId="77777777" w:rsidR="00C70550" w:rsidRPr="00286216" w:rsidRDefault="00C70550" w:rsidP="006A358E">
            <w:pPr>
              <w:pStyle w:val="StyleWisnow"/>
              <w:rPr>
                <w:color w:val="000000" w:themeColor="text1"/>
              </w:rPr>
            </w:pPr>
          </w:p>
        </w:tc>
        <w:tc>
          <w:tcPr>
            <w:tcW w:w="4818" w:type="dxa"/>
          </w:tcPr>
          <w:p w14:paraId="7440DA1A" w14:textId="77777777" w:rsidR="00C70550" w:rsidRPr="00286216" w:rsidRDefault="00C70550" w:rsidP="006A358E">
            <w:pPr>
              <w:pStyle w:val="StyleZakonu"/>
              <w:rPr>
                <w:color w:val="000000" w:themeColor="text1"/>
              </w:rPr>
            </w:pPr>
          </w:p>
        </w:tc>
        <w:tc>
          <w:tcPr>
            <w:tcW w:w="3686" w:type="dxa"/>
          </w:tcPr>
          <w:p w14:paraId="76FC2043" w14:textId="3E80CB0B"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373</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416E9E41" w14:textId="77777777" w:rsidR="00C70550" w:rsidRPr="00286216" w:rsidRDefault="00C70550" w:rsidP="006A358E">
            <w:pPr>
              <w:spacing w:line="200" w:lineRule="exact"/>
              <w:ind w:firstLine="227"/>
              <w:jc w:val="both"/>
              <w:rPr>
                <w:color w:val="000000" w:themeColor="text1"/>
                <w:sz w:val="18"/>
              </w:rPr>
            </w:pPr>
            <w:r w:rsidRPr="00286216">
              <w:rPr>
                <w:color w:val="000000" w:themeColor="text1"/>
                <w:sz w:val="18"/>
              </w:rPr>
              <w:t>Абзац другий частини першої</w:t>
            </w:r>
            <w:r w:rsidRPr="00286216">
              <w:rPr>
                <w:color w:val="000000" w:themeColor="text1"/>
              </w:rPr>
              <w:t xml:space="preserve"> </w:t>
            </w:r>
            <w:r w:rsidRPr="00286216">
              <w:rPr>
                <w:color w:val="000000" w:themeColor="text1"/>
                <w:sz w:val="18"/>
              </w:rPr>
              <w:t>статті 41 після слів "іншими видами" доповнити словом "професійної".</w:t>
            </w:r>
          </w:p>
        </w:tc>
        <w:tc>
          <w:tcPr>
            <w:tcW w:w="1987" w:type="dxa"/>
          </w:tcPr>
          <w:p w14:paraId="4BB9FD74" w14:textId="77777777" w:rsidR="00C70550" w:rsidRPr="00286216" w:rsidRDefault="00C70550" w:rsidP="006A358E">
            <w:pPr>
              <w:pStyle w:val="StyleWisnow"/>
              <w:rPr>
                <w:color w:val="000000" w:themeColor="text1"/>
              </w:rPr>
            </w:pPr>
            <w:r w:rsidRPr="00286216">
              <w:rPr>
                <w:color w:val="000000" w:themeColor="text1"/>
              </w:rPr>
              <w:t>Відхилено</w:t>
            </w:r>
          </w:p>
          <w:p w14:paraId="393D1CD0" w14:textId="77777777" w:rsidR="00C70550" w:rsidRPr="00286216" w:rsidRDefault="00C70550" w:rsidP="006A358E">
            <w:pPr>
              <w:pStyle w:val="StyleWisnow"/>
              <w:spacing w:line="180" w:lineRule="exact"/>
              <w:rPr>
                <w:color w:val="000000" w:themeColor="text1"/>
                <w:spacing w:val="-2"/>
              </w:rPr>
            </w:pPr>
            <w:r w:rsidRPr="00286216">
              <w:rPr>
                <w:color w:val="000000" w:themeColor="text1"/>
                <w:spacing w:val="-2"/>
              </w:rPr>
              <w:t xml:space="preserve">поєднання різних видів професійної діяльності передбачене статтею </w:t>
            </w:r>
            <w:r w:rsidRPr="00286216">
              <w:rPr>
                <w:color w:val="000000" w:themeColor="text1"/>
                <w:spacing w:val="-2"/>
                <w:lang w:val="ru-RU"/>
              </w:rPr>
              <w:t>69</w:t>
            </w:r>
          </w:p>
        </w:tc>
        <w:tc>
          <w:tcPr>
            <w:tcW w:w="4818" w:type="dxa"/>
          </w:tcPr>
          <w:p w14:paraId="788730F3" w14:textId="77777777" w:rsidR="00C70550" w:rsidRPr="00286216" w:rsidRDefault="00C70550" w:rsidP="006A358E">
            <w:pPr>
              <w:pStyle w:val="StyleZakonu"/>
              <w:rPr>
                <w:color w:val="000000" w:themeColor="text1"/>
              </w:rPr>
            </w:pPr>
          </w:p>
        </w:tc>
      </w:tr>
      <w:tr w:rsidR="00C70550" w:rsidRPr="00286216" w14:paraId="0D11916D" w14:textId="77777777" w:rsidTr="006A358E">
        <w:tc>
          <w:tcPr>
            <w:tcW w:w="576" w:type="dxa"/>
          </w:tcPr>
          <w:p w14:paraId="10A5E667" w14:textId="77777777" w:rsidR="00C70550" w:rsidRPr="00286216" w:rsidRDefault="00C70550" w:rsidP="006A358E">
            <w:pPr>
              <w:pStyle w:val="StyleWisnow"/>
              <w:rPr>
                <w:color w:val="000000" w:themeColor="text1"/>
              </w:rPr>
            </w:pPr>
            <w:r w:rsidRPr="00286216">
              <w:rPr>
                <w:color w:val="000000" w:themeColor="text1"/>
              </w:rPr>
              <w:t>627.</w:t>
            </w:r>
          </w:p>
        </w:tc>
        <w:tc>
          <w:tcPr>
            <w:tcW w:w="4818" w:type="dxa"/>
          </w:tcPr>
          <w:p w14:paraId="4784C978" w14:textId="77777777" w:rsidR="00C70550" w:rsidRPr="00286216" w:rsidRDefault="00C70550" w:rsidP="006A358E">
            <w:pPr>
              <w:pStyle w:val="StyleZakonu"/>
              <w:rPr>
                <w:color w:val="000000" w:themeColor="text1"/>
              </w:rPr>
            </w:pPr>
            <w:r w:rsidRPr="00286216">
              <w:rPr>
                <w:color w:val="000000" w:themeColor="text1"/>
              </w:rPr>
              <w:t>1) провадження банком професійної діяльності з торгівлі фінансовими інструментами та депозитарної діяльності та діяльності з управління майном для фінансування об’єктів будівництва та/або здійснення операцій з нерухомістю;</w:t>
            </w:r>
          </w:p>
        </w:tc>
        <w:tc>
          <w:tcPr>
            <w:tcW w:w="3686" w:type="dxa"/>
          </w:tcPr>
          <w:p w14:paraId="4C31E872" w14:textId="3662F13B"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374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1AF2DD0" w14:textId="77777777" w:rsidR="00C70550" w:rsidRPr="00286216" w:rsidRDefault="00C70550" w:rsidP="006A358E">
            <w:pPr>
              <w:pStyle w:val="StyleProp"/>
              <w:spacing w:line="180" w:lineRule="exact"/>
              <w:rPr>
                <w:rFonts w:eastAsia="Calibri"/>
                <w:color w:val="000000" w:themeColor="text1"/>
              </w:rPr>
            </w:pPr>
            <w:r w:rsidRPr="00286216">
              <w:rPr>
                <w:rFonts w:eastAsia="Calibri"/>
                <w:color w:val="000000" w:themeColor="text1"/>
              </w:rPr>
              <w:t>п.1 ч.1 ст. 41 викласти у такій редакції:</w:t>
            </w:r>
          </w:p>
          <w:p w14:paraId="287D5A95" w14:textId="77777777" w:rsidR="00C70550" w:rsidRPr="00286216" w:rsidRDefault="00C70550" w:rsidP="006A358E">
            <w:pPr>
              <w:pStyle w:val="StyleProp"/>
              <w:spacing w:line="180" w:lineRule="exact"/>
              <w:rPr>
                <w:rFonts w:eastAsia="Calibri"/>
                <w:color w:val="000000" w:themeColor="text1"/>
                <w:spacing w:val="-2"/>
              </w:rPr>
            </w:pPr>
            <w:r w:rsidRPr="00286216">
              <w:rPr>
                <w:rFonts w:eastAsia="Calibri"/>
                <w:color w:val="000000" w:themeColor="text1"/>
              </w:rPr>
              <w:t xml:space="preserve">"1) провадження банком професійної діяльності з торгівлі фінансовими інструментами, депозитарної діяльності, діяльності з управління майном для фінансування об’єктів будівництва та/або </w:t>
            </w:r>
            <w:r w:rsidRPr="00286216">
              <w:rPr>
                <w:rFonts w:eastAsia="Calibri"/>
                <w:color w:val="000000" w:themeColor="text1"/>
                <w:spacing w:val="-2"/>
              </w:rPr>
              <w:t>здійснення операцій з нерухомістю та діяльності з управління іпотечним покриттям".</w:t>
            </w:r>
          </w:p>
        </w:tc>
        <w:tc>
          <w:tcPr>
            <w:tcW w:w="1987" w:type="dxa"/>
          </w:tcPr>
          <w:p w14:paraId="6C08CDAF" w14:textId="77777777" w:rsidR="00C70550" w:rsidRPr="00286216" w:rsidRDefault="00C70550" w:rsidP="006A358E">
            <w:pPr>
              <w:pStyle w:val="StyleWisnow"/>
              <w:spacing w:line="180" w:lineRule="exact"/>
              <w:rPr>
                <w:color w:val="000000" w:themeColor="text1"/>
              </w:rPr>
            </w:pPr>
            <w:r w:rsidRPr="00286216">
              <w:rPr>
                <w:rFonts w:eastAsia="Calibri"/>
                <w:color w:val="000000" w:themeColor="text1"/>
              </w:rPr>
              <w:t>Враховано</w:t>
            </w:r>
            <w:r w:rsidRPr="00286216">
              <w:rPr>
                <w:rFonts w:eastAsia="Calibri"/>
                <w:color w:val="000000" w:themeColor="text1"/>
                <w:lang w:val="ru-RU"/>
              </w:rPr>
              <w:t xml:space="preserve"> редакц</w:t>
            </w:r>
            <w:r w:rsidRPr="00286216">
              <w:rPr>
                <w:rFonts w:eastAsia="Calibri"/>
                <w:color w:val="000000" w:themeColor="text1"/>
              </w:rPr>
              <w:t>ійно</w:t>
            </w:r>
          </w:p>
        </w:tc>
        <w:tc>
          <w:tcPr>
            <w:tcW w:w="4818" w:type="dxa"/>
          </w:tcPr>
          <w:p w14:paraId="28C79E53" w14:textId="7EBAFAB1" w:rsidR="00C70550" w:rsidRPr="00286216" w:rsidRDefault="00C70550" w:rsidP="006A358E">
            <w:pPr>
              <w:pStyle w:val="StyleZakonu"/>
              <w:rPr>
                <w:color w:val="000000" w:themeColor="text1"/>
              </w:rPr>
            </w:pPr>
            <w:r w:rsidRPr="00286216">
              <w:rPr>
                <w:rFonts w:eastAsia="Calibri"/>
                <w:color w:val="000000" w:themeColor="text1"/>
              </w:rPr>
              <w:t xml:space="preserve">1) </w:t>
            </w:r>
            <w:r w:rsidRPr="00286216">
              <w:rPr>
                <w:color w:val="000000" w:themeColor="text1"/>
              </w:rPr>
              <w:t xml:space="preserve">поєднання </w:t>
            </w:r>
            <w:r w:rsidRPr="00286216">
              <w:rPr>
                <w:rFonts w:eastAsia="Calibri"/>
                <w:color w:val="000000" w:themeColor="text1"/>
              </w:rPr>
              <w:t>провадження банківської діяльності з діяльністю з торгівлі фінансовими інструментами, депозитарною діяльністю, діяльністю з управління майном для фінансування об’єктів будівництва та/або здійснення операцій з нерухомістю та діяльністю з управління іпотечним покриттям;</w:t>
            </w:r>
          </w:p>
        </w:tc>
      </w:tr>
      <w:tr w:rsidR="00C70550" w:rsidRPr="00286216" w14:paraId="784EC88F" w14:textId="77777777" w:rsidTr="006A358E">
        <w:tc>
          <w:tcPr>
            <w:tcW w:w="576" w:type="dxa"/>
          </w:tcPr>
          <w:p w14:paraId="7604A9B5" w14:textId="77777777" w:rsidR="00C70550" w:rsidRPr="00286216" w:rsidRDefault="00C70550" w:rsidP="006A358E">
            <w:pPr>
              <w:pStyle w:val="StyleWisnow"/>
              <w:rPr>
                <w:color w:val="000000" w:themeColor="text1"/>
              </w:rPr>
            </w:pPr>
          </w:p>
        </w:tc>
        <w:tc>
          <w:tcPr>
            <w:tcW w:w="4818" w:type="dxa"/>
          </w:tcPr>
          <w:p w14:paraId="2BEF7DEA" w14:textId="77777777" w:rsidR="00C70550" w:rsidRPr="00286216" w:rsidRDefault="00C70550" w:rsidP="006A358E">
            <w:pPr>
              <w:pStyle w:val="StyleZakonu"/>
              <w:rPr>
                <w:color w:val="000000" w:themeColor="text1"/>
              </w:rPr>
            </w:pPr>
          </w:p>
        </w:tc>
        <w:tc>
          <w:tcPr>
            <w:tcW w:w="3686" w:type="dxa"/>
          </w:tcPr>
          <w:p w14:paraId="1DBE48E9" w14:textId="384B1B92"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375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7FFD063" w14:textId="77777777" w:rsidR="00C70550" w:rsidRPr="00286216" w:rsidRDefault="00C70550" w:rsidP="006A358E">
            <w:pPr>
              <w:pStyle w:val="StyleProp"/>
              <w:spacing w:line="180" w:lineRule="exact"/>
              <w:rPr>
                <w:rFonts w:eastAsia="Calibri"/>
                <w:color w:val="000000" w:themeColor="text1"/>
              </w:rPr>
            </w:pPr>
            <w:r w:rsidRPr="00286216">
              <w:rPr>
                <w:color w:val="000000" w:themeColor="text1"/>
              </w:rPr>
              <w:t>У частинах 1 - 3 статті 41 слова «торгівлі фінансовими інструментами» замінити словами «обігу фінансових інструментів».</w:t>
            </w:r>
          </w:p>
        </w:tc>
        <w:tc>
          <w:tcPr>
            <w:tcW w:w="1987" w:type="dxa"/>
          </w:tcPr>
          <w:p w14:paraId="1BEA3338" w14:textId="77777777" w:rsidR="00C70550" w:rsidRPr="00286216" w:rsidRDefault="00C70550" w:rsidP="006A358E">
            <w:pPr>
              <w:pStyle w:val="StyleWisnow"/>
              <w:rPr>
                <w:color w:val="000000" w:themeColor="text1"/>
              </w:rPr>
            </w:pPr>
            <w:r w:rsidRPr="00286216">
              <w:rPr>
                <w:color w:val="000000" w:themeColor="text1"/>
              </w:rPr>
              <w:t>Відхилено</w:t>
            </w:r>
          </w:p>
          <w:p w14:paraId="02BBA93D" w14:textId="77777777" w:rsidR="00C70550" w:rsidRPr="00286216" w:rsidRDefault="00C70550" w:rsidP="006A358E">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74583DFB" w14:textId="77777777" w:rsidR="00C70550" w:rsidRPr="00286216" w:rsidRDefault="00C70550" w:rsidP="006A358E">
            <w:pPr>
              <w:pStyle w:val="StyleZakonu"/>
              <w:rPr>
                <w:color w:val="000000" w:themeColor="text1"/>
              </w:rPr>
            </w:pPr>
          </w:p>
        </w:tc>
      </w:tr>
      <w:tr w:rsidR="00C70550" w:rsidRPr="00286216" w14:paraId="5D41FC08" w14:textId="77777777" w:rsidTr="006A358E">
        <w:tc>
          <w:tcPr>
            <w:tcW w:w="576" w:type="dxa"/>
          </w:tcPr>
          <w:p w14:paraId="017108F8" w14:textId="77777777" w:rsidR="00C70550" w:rsidRPr="00286216" w:rsidRDefault="00C70550" w:rsidP="006A358E">
            <w:pPr>
              <w:pStyle w:val="StyleWisnow"/>
              <w:rPr>
                <w:color w:val="000000" w:themeColor="text1"/>
              </w:rPr>
            </w:pPr>
            <w:r w:rsidRPr="00286216">
              <w:rPr>
                <w:color w:val="000000" w:themeColor="text1"/>
              </w:rPr>
              <w:t>628.</w:t>
            </w:r>
          </w:p>
        </w:tc>
        <w:tc>
          <w:tcPr>
            <w:tcW w:w="4818" w:type="dxa"/>
          </w:tcPr>
          <w:p w14:paraId="6871BEAD" w14:textId="77777777" w:rsidR="00C70550" w:rsidRPr="00286216" w:rsidRDefault="00C70550" w:rsidP="006A358E">
            <w:pPr>
              <w:pStyle w:val="StyleZakonu"/>
              <w:rPr>
                <w:color w:val="000000" w:themeColor="text1"/>
              </w:rPr>
            </w:pPr>
            <w:r w:rsidRPr="00286216">
              <w:rPr>
                <w:color w:val="000000" w:themeColor="text1"/>
              </w:rPr>
              <w:t>2) провадження професійним учасником ринків капіталу діяльності з надання інформаційних послуг на ринках капіталу та організованих товарних ринках;</w:t>
            </w:r>
          </w:p>
        </w:tc>
        <w:tc>
          <w:tcPr>
            <w:tcW w:w="3686" w:type="dxa"/>
          </w:tcPr>
          <w:p w14:paraId="6EACCF9C" w14:textId="77777777" w:rsidR="00C70550" w:rsidRPr="00286216" w:rsidRDefault="00C70550" w:rsidP="006A358E">
            <w:pPr>
              <w:pStyle w:val="StyleProp"/>
              <w:rPr>
                <w:color w:val="000000" w:themeColor="text1"/>
                <w:szCs w:val="18"/>
              </w:rPr>
            </w:pPr>
          </w:p>
        </w:tc>
        <w:tc>
          <w:tcPr>
            <w:tcW w:w="1987" w:type="dxa"/>
          </w:tcPr>
          <w:p w14:paraId="76A57407" w14:textId="77777777" w:rsidR="00C70550" w:rsidRPr="00286216" w:rsidRDefault="00C70550" w:rsidP="006A358E">
            <w:pPr>
              <w:pStyle w:val="StyleWisnow"/>
              <w:rPr>
                <w:color w:val="000000" w:themeColor="text1"/>
              </w:rPr>
            </w:pPr>
          </w:p>
        </w:tc>
        <w:tc>
          <w:tcPr>
            <w:tcW w:w="4818" w:type="dxa"/>
          </w:tcPr>
          <w:p w14:paraId="44612129" w14:textId="77777777" w:rsidR="00C70550" w:rsidRPr="00286216" w:rsidRDefault="00C70550" w:rsidP="006A358E">
            <w:pPr>
              <w:pStyle w:val="StyleZakonu"/>
              <w:rPr>
                <w:color w:val="000000" w:themeColor="text1"/>
              </w:rPr>
            </w:pPr>
            <w:r w:rsidRPr="00286216">
              <w:rPr>
                <w:color w:val="000000" w:themeColor="text1"/>
              </w:rPr>
              <w:t xml:space="preserve">2) поєднання провадження професійним учасником ринків капіталу своєї діяльності з </w:t>
            </w:r>
            <w:r w:rsidRPr="00286216">
              <w:rPr>
                <w:rFonts w:eastAsia="Calibri"/>
                <w:color w:val="000000" w:themeColor="text1"/>
              </w:rPr>
              <w:t xml:space="preserve">діяльністю </w:t>
            </w:r>
            <w:r w:rsidRPr="00286216">
              <w:rPr>
                <w:color w:val="000000" w:themeColor="text1"/>
              </w:rPr>
              <w:t>з надання інформаційних послуг на ринках капіталу та організованих товарних ринках;</w:t>
            </w:r>
          </w:p>
        </w:tc>
      </w:tr>
      <w:tr w:rsidR="00C70550" w:rsidRPr="00286216" w14:paraId="68CC5E38" w14:textId="77777777" w:rsidTr="006A358E">
        <w:tc>
          <w:tcPr>
            <w:tcW w:w="576" w:type="dxa"/>
          </w:tcPr>
          <w:p w14:paraId="476EAC74" w14:textId="77777777" w:rsidR="00C70550" w:rsidRPr="00286216" w:rsidRDefault="00C70550" w:rsidP="006A358E">
            <w:pPr>
              <w:pStyle w:val="StyleWisnow"/>
              <w:rPr>
                <w:color w:val="000000" w:themeColor="text1"/>
              </w:rPr>
            </w:pPr>
            <w:r w:rsidRPr="00286216">
              <w:rPr>
                <w:color w:val="000000" w:themeColor="text1"/>
              </w:rPr>
              <w:t>629.</w:t>
            </w:r>
          </w:p>
        </w:tc>
        <w:tc>
          <w:tcPr>
            <w:tcW w:w="4818" w:type="dxa"/>
          </w:tcPr>
          <w:p w14:paraId="7BDAA70B" w14:textId="77777777" w:rsidR="00C70550" w:rsidRPr="00286216" w:rsidRDefault="00C70550" w:rsidP="006A358E">
            <w:pPr>
              <w:pStyle w:val="StyleZakonu"/>
              <w:rPr>
                <w:color w:val="000000" w:themeColor="text1"/>
              </w:rPr>
            </w:pPr>
            <w:r w:rsidRPr="00286216">
              <w:rPr>
                <w:color w:val="000000" w:themeColor="text1"/>
              </w:rPr>
              <w:t>3) провадження професійним учасником ринків капіталу діяльності торгового репозиторію;</w:t>
            </w:r>
          </w:p>
        </w:tc>
        <w:tc>
          <w:tcPr>
            <w:tcW w:w="3686" w:type="dxa"/>
          </w:tcPr>
          <w:p w14:paraId="0E474716" w14:textId="77777777" w:rsidR="00C70550" w:rsidRPr="00286216" w:rsidRDefault="00C70550" w:rsidP="006A358E">
            <w:pPr>
              <w:pStyle w:val="StyleProp"/>
              <w:rPr>
                <w:color w:val="000000" w:themeColor="text1"/>
                <w:szCs w:val="18"/>
              </w:rPr>
            </w:pPr>
          </w:p>
        </w:tc>
        <w:tc>
          <w:tcPr>
            <w:tcW w:w="1987" w:type="dxa"/>
          </w:tcPr>
          <w:p w14:paraId="5F7ED4A8" w14:textId="77777777" w:rsidR="00C70550" w:rsidRPr="00286216" w:rsidRDefault="00C70550" w:rsidP="006A358E">
            <w:pPr>
              <w:pStyle w:val="StyleWisnow"/>
              <w:rPr>
                <w:color w:val="000000" w:themeColor="text1"/>
              </w:rPr>
            </w:pPr>
          </w:p>
        </w:tc>
        <w:tc>
          <w:tcPr>
            <w:tcW w:w="4818" w:type="dxa"/>
          </w:tcPr>
          <w:p w14:paraId="1FB11DAE" w14:textId="77777777" w:rsidR="00C70550" w:rsidRPr="00286216" w:rsidRDefault="00C70550" w:rsidP="006A358E">
            <w:pPr>
              <w:pStyle w:val="StyleZakonu"/>
              <w:rPr>
                <w:color w:val="000000" w:themeColor="text1"/>
              </w:rPr>
            </w:pPr>
            <w:r w:rsidRPr="00286216">
              <w:rPr>
                <w:color w:val="000000" w:themeColor="text1"/>
              </w:rPr>
              <w:t xml:space="preserve">3) поєднання провадження професійним учасником ринків капіталу своєї діяльності з </w:t>
            </w:r>
            <w:r w:rsidRPr="00286216">
              <w:rPr>
                <w:rFonts w:eastAsia="Calibri"/>
                <w:color w:val="000000" w:themeColor="text1"/>
              </w:rPr>
              <w:t xml:space="preserve">діяльністю </w:t>
            </w:r>
            <w:r w:rsidRPr="00286216">
              <w:rPr>
                <w:color w:val="000000" w:themeColor="text1"/>
              </w:rPr>
              <w:t>торгового репозиторію;</w:t>
            </w:r>
          </w:p>
        </w:tc>
      </w:tr>
      <w:tr w:rsidR="00C70550" w:rsidRPr="00286216" w14:paraId="08F4EE20" w14:textId="77777777" w:rsidTr="006A358E">
        <w:tc>
          <w:tcPr>
            <w:tcW w:w="576" w:type="dxa"/>
          </w:tcPr>
          <w:p w14:paraId="03478B86" w14:textId="77777777" w:rsidR="00C70550" w:rsidRPr="00286216" w:rsidRDefault="00C70550" w:rsidP="006A358E">
            <w:pPr>
              <w:pStyle w:val="StyleWisnow"/>
              <w:rPr>
                <w:color w:val="000000" w:themeColor="text1"/>
              </w:rPr>
            </w:pPr>
            <w:r w:rsidRPr="00286216">
              <w:rPr>
                <w:color w:val="000000" w:themeColor="text1"/>
              </w:rPr>
              <w:t>630.</w:t>
            </w:r>
          </w:p>
        </w:tc>
        <w:tc>
          <w:tcPr>
            <w:tcW w:w="4818" w:type="dxa"/>
          </w:tcPr>
          <w:p w14:paraId="6AC04CD9" w14:textId="77777777" w:rsidR="00C70550" w:rsidRPr="00286216" w:rsidRDefault="00C70550" w:rsidP="006A358E">
            <w:pPr>
              <w:pStyle w:val="StyleZakonu"/>
              <w:rPr>
                <w:color w:val="000000" w:themeColor="text1"/>
              </w:rPr>
            </w:pPr>
            <w:r w:rsidRPr="00286216">
              <w:rPr>
                <w:color w:val="000000" w:themeColor="text1"/>
              </w:rPr>
              <w:t>4) провадження кліринговою установою, яка провадить клірингову діяльність з визначення зобов’язань, діяльності з організації торгівлі продукцією;</w:t>
            </w:r>
          </w:p>
        </w:tc>
        <w:tc>
          <w:tcPr>
            <w:tcW w:w="3686" w:type="dxa"/>
          </w:tcPr>
          <w:p w14:paraId="6E511160" w14:textId="65A078D4"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376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71479F9" w14:textId="77777777" w:rsidR="00C70550" w:rsidRPr="00286216" w:rsidRDefault="00C70550" w:rsidP="006A358E">
            <w:pPr>
              <w:pStyle w:val="StyleProp"/>
              <w:spacing w:line="180" w:lineRule="exact"/>
              <w:rPr>
                <w:color w:val="000000" w:themeColor="text1"/>
              </w:rPr>
            </w:pPr>
            <w:r w:rsidRPr="00286216">
              <w:rPr>
                <w:color w:val="000000" w:themeColor="text1"/>
              </w:rPr>
              <w:t>Пункт 4 частини першої статті 41 викласти в такій редакції:</w:t>
            </w:r>
          </w:p>
          <w:p w14:paraId="27982717" w14:textId="77777777" w:rsidR="00C70550" w:rsidRPr="00286216" w:rsidRDefault="00C70550" w:rsidP="006A358E">
            <w:pPr>
              <w:pStyle w:val="StyleProp"/>
              <w:spacing w:line="180" w:lineRule="exact"/>
              <w:rPr>
                <w:color w:val="000000" w:themeColor="text1"/>
              </w:rPr>
            </w:pPr>
            <w:r w:rsidRPr="00286216">
              <w:rPr>
                <w:color w:val="000000" w:themeColor="text1"/>
              </w:rPr>
              <w:t>«4) поєднання провадження професійним учасником ринків капіталу клірингової діяльності з визначення зобов’язань з діяльністю з організації торгівлі продукцією».</w:t>
            </w:r>
          </w:p>
        </w:tc>
        <w:tc>
          <w:tcPr>
            <w:tcW w:w="1987" w:type="dxa"/>
          </w:tcPr>
          <w:p w14:paraId="13206AD6" w14:textId="77777777" w:rsidR="00C70550" w:rsidRPr="00286216" w:rsidRDefault="00C70550" w:rsidP="006A358E">
            <w:pPr>
              <w:pStyle w:val="StyleWisnow"/>
              <w:rPr>
                <w:color w:val="000000" w:themeColor="text1"/>
              </w:rPr>
            </w:pPr>
            <w:r w:rsidRPr="00286216">
              <w:rPr>
                <w:color w:val="000000" w:themeColor="text1"/>
              </w:rPr>
              <w:t>Враховано</w:t>
            </w:r>
          </w:p>
          <w:p w14:paraId="5DAF402C" w14:textId="77777777" w:rsidR="00C70550" w:rsidRPr="00286216" w:rsidRDefault="00C70550" w:rsidP="006A358E">
            <w:pPr>
              <w:pStyle w:val="StyleWisnow"/>
              <w:spacing w:line="180" w:lineRule="exact"/>
              <w:rPr>
                <w:color w:val="000000" w:themeColor="text1"/>
              </w:rPr>
            </w:pPr>
          </w:p>
        </w:tc>
        <w:tc>
          <w:tcPr>
            <w:tcW w:w="4818" w:type="dxa"/>
          </w:tcPr>
          <w:p w14:paraId="273DCD2D" w14:textId="64536621" w:rsidR="00C70550" w:rsidRPr="00286216" w:rsidRDefault="00C70550" w:rsidP="00610307">
            <w:pPr>
              <w:pStyle w:val="StyleZakonu"/>
              <w:rPr>
                <w:color w:val="000000" w:themeColor="text1"/>
              </w:rPr>
            </w:pPr>
            <w:r w:rsidRPr="00286216">
              <w:rPr>
                <w:color w:val="000000" w:themeColor="text1"/>
              </w:rPr>
              <w:t>4) поєднання провадження професійним учасником ринків капіталу клірингової діяльності з визначення зобов’язань з діяльністю з організації торгівлі продукцією;</w:t>
            </w:r>
          </w:p>
        </w:tc>
      </w:tr>
      <w:tr w:rsidR="00C70550" w:rsidRPr="00286216" w14:paraId="1686FA3B" w14:textId="77777777" w:rsidTr="006A358E">
        <w:tc>
          <w:tcPr>
            <w:tcW w:w="576" w:type="dxa"/>
          </w:tcPr>
          <w:p w14:paraId="375FECA2" w14:textId="77777777" w:rsidR="00C70550" w:rsidRPr="00286216" w:rsidRDefault="00C70550" w:rsidP="006A358E">
            <w:pPr>
              <w:pStyle w:val="StyleWisnow"/>
              <w:rPr>
                <w:color w:val="000000" w:themeColor="text1"/>
              </w:rPr>
            </w:pPr>
          </w:p>
        </w:tc>
        <w:tc>
          <w:tcPr>
            <w:tcW w:w="4818" w:type="dxa"/>
          </w:tcPr>
          <w:p w14:paraId="7605E6BA" w14:textId="77777777" w:rsidR="00C70550" w:rsidRPr="00286216" w:rsidRDefault="00C70550" w:rsidP="006A358E">
            <w:pPr>
              <w:pStyle w:val="StyleZakonu"/>
              <w:rPr>
                <w:color w:val="000000" w:themeColor="text1"/>
              </w:rPr>
            </w:pPr>
          </w:p>
        </w:tc>
        <w:tc>
          <w:tcPr>
            <w:tcW w:w="3686" w:type="dxa"/>
          </w:tcPr>
          <w:p w14:paraId="5B7172A4" w14:textId="66B4F27C" w:rsidR="00C70550" w:rsidRPr="00286216" w:rsidRDefault="00C70550" w:rsidP="006A358E">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377</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2A47EE32" w14:textId="77777777" w:rsidR="00C70550" w:rsidRPr="00286216" w:rsidRDefault="00C70550" w:rsidP="006A358E">
            <w:pPr>
              <w:pStyle w:val="StyleProp"/>
              <w:spacing w:line="180" w:lineRule="exact"/>
              <w:rPr>
                <w:color w:val="000000" w:themeColor="text1"/>
              </w:rPr>
            </w:pPr>
            <w:r w:rsidRPr="00286216">
              <w:rPr>
                <w:color w:val="000000" w:themeColor="text1"/>
              </w:rPr>
              <w:t>у статті 41 у абзаці другому частини першої підпункт 4 викласти у такій редакції:</w:t>
            </w:r>
          </w:p>
          <w:p w14:paraId="2489CE3B" w14:textId="77777777" w:rsidR="00C70550" w:rsidRPr="00286216" w:rsidRDefault="00C70550" w:rsidP="006A358E">
            <w:pPr>
              <w:pStyle w:val="StyleProp"/>
              <w:spacing w:line="180" w:lineRule="exact"/>
              <w:rPr>
                <w:color w:val="000000" w:themeColor="text1"/>
                <w:szCs w:val="18"/>
              </w:rPr>
            </w:pPr>
            <w:r w:rsidRPr="00286216">
              <w:rPr>
                <w:color w:val="000000" w:themeColor="text1"/>
              </w:rPr>
              <w:t>«4) провадження оператором організованого ринку деривативних контрактів клірингової діяльності з визначення зобов’язань та клірингової діяльності Центрального контрагента в межах і на умовах, встановлених законом;»</w:t>
            </w:r>
          </w:p>
        </w:tc>
        <w:tc>
          <w:tcPr>
            <w:tcW w:w="1987" w:type="dxa"/>
          </w:tcPr>
          <w:p w14:paraId="774A1564" w14:textId="6E81DE3F" w:rsidR="00610307" w:rsidRPr="00286216" w:rsidRDefault="00834DEB" w:rsidP="006A358E">
            <w:pPr>
              <w:pStyle w:val="StyleWisnow"/>
              <w:spacing w:line="180" w:lineRule="exact"/>
              <w:rPr>
                <w:color w:val="000000" w:themeColor="text1"/>
              </w:rPr>
            </w:pPr>
            <w:r w:rsidRPr="00286216">
              <w:rPr>
                <w:color w:val="000000" w:themeColor="text1"/>
              </w:rPr>
              <w:t>Враховано частково</w:t>
            </w:r>
          </w:p>
          <w:p w14:paraId="55B96DA5" w14:textId="627667EF" w:rsidR="00C70550" w:rsidRPr="00286216" w:rsidRDefault="00610307" w:rsidP="00610307">
            <w:pPr>
              <w:pStyle w:val="StyleWisnow"/>
              <w:spacing w:line="180" w:lineRule="exact"/>
              <w:rPr>
                <w:color w:val="000000" w:themeColor="text1"/>
              </w:rPr>
            </w:pPr>
            <w:r w:rsidRPr="00286216">
              <w:rPr>
                <w:color w:val="000000" w:themeColor="text1"/>
                <w:lang w:val="ru-RU"/>
              </w:rPr>
              <w:t>у перех</w:t>
            </w:r>
            <w:r w:rsidRPr="00286216">
              <w:rPr>
                <w:color w:val="000000" w:themeColor="text1"/>
              </w:rPr>
              <w:t>ідних положеннях як тимчасова норма</w:t>
            </w:r>
          </w:p>
        </w:tc>
        <w:tc>
          <w:tcPr>
            <w:tcW w:w="4818" w:type="dxa"/>
          </w:tcPr>
          <w:p w14:paraId="45B04655" w14:textId="77777777" w:rsidR="00C70550" w:rsidRPr="00286216" w:rsidRDefault="00C70550" w:rsidP="006A358E">
            <w:pPr>
              <w:pStyle w:val="StyleZakonu"/>
              <w:rPr>
                <w:color w:val="000000" w:themeColor="text1"/>
              </w:rPr>
            </w:pPr>
          </w:p>
        </w:tc>
      </w:tr>
      <w:tr w:rsidR="00C70550" w:rsidRPr="00286216" w14:paraId="3EB3A0F2" w14:textId="77777777" w:rsidTr="006A358E">
        <w:tc>
          <w:tcPr>
            <w:tcW w:w="576" w:type="dxa"/>
          </w:tcPr>
          <w:p w14:paraId="533A6A9F" w14:textId="77777777" w:rsidR="00C70550" w:rsidRPr="00286216" w:rsidRDefault="00C70550" w:rsidP="006A358E">
            <w:pPr>
              <w:pStyle w:val="StyleWisnow"/>
              <w:rPr>
                <w:color w:val="000000" w:themeColor="text1"/>
              </w:rPr>
            </w:pPr>
            <w:r w:rsidRPr="00286216">
              <w:rPr>
                <w:color w:val="000000" w:themeColor="text1"/>
              </w:rPr>
              <w:lastRenderedPageBreak/>
              <w:t>631.</w:t>
            </w:r>
          </w:p>
        </w:tc>
        <w:tc>
          <w:tcPr>
            <w:tcW w:w="4818" w:type="dxa"/>
          </w:tcPr>
          <w:p w14:paraId="031930A7" w14:textId="77777777" w:rsidR="00C70550" w:rsidRPr="00286216" w:rsidRDefault="00C70550" w:rsidP="006A358E">
            <w:pPr>
              <w:pStyle w:val="StyleZakonu"/>
              <w:rPr>
                <w:color w:val="000000" w:themeColor="text1"/>
              </w:rPr>
            </w:pPr>
            <w:r w:rsidRPr="00286216">
              <w:rPr>
                <w:color w:val="000000" w:themeColor="text1"/>
              </w:rPr>
              <w:t>5) провадження оператором організованого ринку капіталу діяльності з організації торгівлі продукцією.</w:t>
            </w:r>
          </w:p>
        </w:tc>
        <w:tc>
          <w:tcPr>
            <w:tcW w:w="3686" w:type="dxa"/>
          </w:tcPr>
          <w:p w14:paraId="786C36CE" w14:textId="6CEE1CFE"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378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A7F6942" w14:textId="77777777" w:rsidR="00C70550" w:rsidRPr="00286216" w:rsidRDefault="00C70550" w:rsidP="006A358E">
            <w:pPr>
              <w:pStyle w:val="StyleProp"/>
              <w:rPr>
                <w:color w:val="000000" w:themeColor="text1"/>
              </w:rPr>
            </w:pPr>
            <w:r w:rsidRPr="00286216">
              <w:rPr>
                <w:color w:val="000000" w:themeColor="text1"/>
              </w:rPr>
              <w:t>Частину першу статті 41 доповнити пунктом 6 в такій редакції:</w:t>
            </w:r>
          </w:p>
          <w:p w14:paraId="34F5F373" w14:textId="77777777" w:rsidR="00C70550" w:rsidRPr="00286216" w:rsidRDefault="00C70550" w:rsidP="006A358E">
            <w:pPr>
              <w:pStyle w:val="StyleProp"/>
              <w:rPr>
                <w:color w:val="000000" w:themeColor="text1"/>
              </w:rPr>
            </w:pPr>
            <w:r w:rsidRPr="00286216">
              <w:rPr>
                <w:color w:val="000000" w:themeColor="text1"/>
              </w:rPr>
              <w:t>«6) провадження Національним банком України професійної  діяльності на ринках капіталу у випадках, встановлених законом.»</w:t>
            </w:r>
          </w:p>
        </w:tc>
        <w:tc>
          <w:tcPr>
            <w:tcW w:w="1987" w:type="dxa"/>
          </w:tcPr>
          <w:p w14:paraId="5A8960E3" w14:textId="77777777" w:rsidR="00C70550" w:rsidRPr="00286216" w:rsidRDefault="00C70550" w:rsidP="006A358E">
            <w:pPr>
              <w:pStyle w:val="StyleWisnow"/>
              <w:rPr>
                <w:color w:val="000000" w:themeColor="text1"/>
              </w:rPr>
            </w:pPr>
            <w:r w:rsidRPr="00286216">
              <w:rPr>
                <w:color w:val="000000" w:themeColor="text1"/>
              </w:rPr>
              <w:t>Враховано</w:t>
            </w:r>
          </w:p>
          <w:p w14:paraId="6356C3B2" w14:textId="77777777" w:rsidR="00C70550" w:rsidRPr="00286216" w:rsidRDefault="00C70550" w:rsidP="006A358E">
            <w:pPr>
              <w:pStyle w:val="StyleWisnow"/>
              <w:rPr>
                <w:color w:val="000000" w:themeColor="text1"/>
              </w:rPr>
            </w:pPr>
          </w:p>
          <w:p w14:paraId="129E7EB3" w14:textId="77777777" w:rsidR="00C70550" w:rsidRPr="00286216" w:rsidRDefault="00C70550" w:rsidP="006A358E">
            <w:pPr>
              <w:pStyle w:val="StyleWisnow"/>
              <w:rPr>
                <w:color w:val="000000" w:themeColor="text1"/>
              </w:rPr>
            </w:pPr>
          </w:p>
        </w:tc>
        <w:tc>
          <w:tcPr>
            <w:tcW w:w="4818" w:type="dxa"/>
          </w:tcPr>
          <w:p w14:paraId="656F563E" w14:textId="77777777" w:rsidR="00C70550" w:rsidRPr="00286216" w:rsidRDefault="00C70550" w:rsidP="006A358E">
            <w:pPr>
              <w:pStyle w:val="StyleZakonu"/>
              <w:rPr>
                <w:color w:val="000000" w:themeColor="text1"/>
              </w:rPr>
            </w:pPr>
            <w:r w:rsidRPr="00286216">
              <w:rPr>
                <w:color w:val="000000" w:themeColor="text1"/>
              </w:rPr>
              <w:t xml:space="preserve">5) поєднання провадження оператором організованого ринку капіталу своєї діяльності з </w:t>
            </w:r>
            <w:r w:rsidRPr="00286216">
              <w:rPr>
                <w:rFonts w:eastAsia="Calibri"/>
                <w:color w:val="000000" w:themeColor="text1"/>
              </w:rPr>
              <w:t xml:space="preserve">діяльністю </w:t>
            </w:r>
            <w:r w:rsidRPr="00286216">
              <w:rPr>
                <w:color w:val="000000" w:themeColor="text1"/>
              </w:rPr>
              <w:t>з організації торгівлі продукцією;</w:t>
            </w:r>
          </w:p>
          <w:p w14:paraId="7B4C71B8" w14:textId="07380410" w:rsidR="00C70550" w:rsidRPr="00286216" w:rsidRDefault="00C70550" w:rsidP="006A358E">
            <w:pPr>
              <w:pStyle w:val="StyleZakonu"/>
              <w:rPr>
                <w:color w:val="000000" w:themeColor="text1"/>
              </w:rPr>
            </w:pPr>
            <w:r w:rsidRPr="00286216">
              <w:rPr>
                <w:color w:val="000000" w:themeColor="text1"/>
              </w:rPr>
              <w:t xml:space="preserve">6) поєднання провадження Національним банком України своєї діяльності з професійною  </w:t>
            </w:r>
            <w:r w:rsidRPr="00286216">
              <w:rPr>
                <w:rFonts w:eastAsia="Calibri"/>
                <w:color w:val="000000" w:themeColor="text1"/>
              </w:rPr>
              <w:t xml:space="preserve">діяльністю </w:t>
            </w:r>
            <w:r w:rsidRPr="00286216">
              <w:rPr>
                <w:color w:val="000000" w:themeColor="text1"/>
              </w:rPr>
              <w:t>на ринках капіталу у випадках, встановлених законом.</w:t>
            </w:r>
          </w:p>
        </w:tc>
      </w:tr>
      <w:tr w:rsidR="00C70550" w:rsidRPr="00286216" w14:paraId="6F4BF7F0" w14:textId="77777777" w:rsidTr="006A358E">
        <w:tc>
          <w:tcPr>
            <w:tcW w:w="576" w:type="dxa"/>
          </w:tcPr>
          <w:p w14:paraId="0C323C8F" w14:textId="77777777" w:rsidR="00C70550" w:rsidRPr="00286216" w:rsidRDefault="00C70550" w:rsidP="006A358E">
            <w:pPr>
              <w:pStyle w:val="StyleWisnow"/>
              <w:rPr>
                <w:color w:val="000000" w:themeColor="text1"/>
              </w:rPr>
            </w:pPr>
            <w:r w:rsidRPr="00286216">
              <w:rPr>
                <w:color w:val="000000" w:themeColor="text1"/>
              </w:rPr>
              <w:t>632.</w:t>
            </w:r>
          </w:p>
        </w:tc>
        <w:tc>
          <w:tcPr>
            <w:tcW w:w="4818" w:type="dxa"/>
          </w:tcPr>
          <w:p w14:paraId="7E49E8DA" w14:textId="77777777" w:rsidR="00C70550" w:rsidRPr="00286216" w:rsidRDefault="00C70550" w:rsidP="006A358E">
            <w:pPr>
              <w:pStyle w:val="StyleZakonu"/>
              <w:rPr>
                <w:color w:val="000000" w:themeColor="text1"/>
              </w:rPr>
            </w:pPr>
            <w:r w:rsidRPr="00286216">
              <w:rPr>
                <w:color w:val="000000" w:themeColor="text1"/>
              </w:rPr>
              <w:t>Діяльність Центрального депозитарію цінних паперів може поєднуватись з іншими видами діяльності у випадках, передбачених законом.</w:t>
            </w:r>
          </w:p>
        </w:tc>
        <w:tc>
          <w:tcPr>
            <w:tcW w:w="3686" w:type="dxa"/>
          </w:tcPr>
          <w:p w14:paraId="7476E828" w14:textId="77777777" w:rsidR="00C70550" w:rsidRPr="00286216" w:rsidRDefault="00C70550" w:rsidP="006A358E">
            <w:pPr>
              <w:pStyle w:val="StyleProp"/>
              <w:rPr>
                <w:color w:val="000000" w:themeColor="text1"/>
              </w:rPr>
            </w:pPr>
          </w:p>
        </w:tc>
        <w:tc>
          <w:tcPr>
            <w:tcW w:w="1987" w:type="dxa"/>
          </w:tcPr>
          <w:p w14:paraId="10B53534" w14:textId="77777777" w:rsidR="00C70550" w:rsidRPr="00286216" w:rsidRDefault="00C70550" w:rsidP="006A358E">
            <w:pPr>
              <w:pStyle w:val="StyleWisnow"/>
              <w:rPr>
                <w:color w:val="000000" w:themeColor="text1"/>
              </w:rPr>
            </w:pPr>
          </w:p>
        </w:tc>
        <w:tc>
          <w:tcPr>
            <w:tcW w:w="4818" w:type="dxa"/>
          </w:tcPr>
          <w:p w14:paraId="12C6CA4F" w14:textId="0B007FF4" w:rsidR="00C70550" w:rsidRPr="00286216" w:rsidRDefault="00C70550" w:rsidP="006A358E">
            <w:pPr>
              <w:pStyle w:val="StyleZakonu"/>
              <w:rPr>
                <w:color w:val="000000" w:themeColor="text1"/>
              </w:rPr>
            </w:pPr>
            <w:r w:rsidRPr="00286216">
              <w:rPr>
                <w:color w:val="000000" w:themeColor="text1"/>
              </w:rPr>
              <w:t>Діяльність Центрального депозитарію цінних паперів може поєднуватися з іншими видами діяльності у випадках, передбачених законом.</w:t>
            </w:r>
          </w:p>
        </w:tc>
      </w:tr>
      <w:tr w:rsidR="00C70550" w:rsidRPr="00286216" w14:paraId="286A2C0B" w14:textId="77777777" w:rsidTr="006A358E">
        <w:tc>
          <w:tcPr>
            <w:tcW w:w="576" w:type="dxa"/>
          </w:tcPr>
          <w:p w14:paraId="507397B7" w14:textId="77777777" w:rsidR="00C70550" w:rsidRPr="00286216" w:rsidRDefault="00C70550" w:rsidP="006A358E">
            <w:pPr>
              <w:pStyle w:val="StyleWisnow"/>
              <w:rPr>
                <w:color w:val="000000" w:themeColor="text1"/>
              </w:rPr>
            </w:pPr>
            <w:r w:rsidRPr="00286216">
              <w:rPr>
                <w:color w:val="000000" w:themeColor="text1"/>
              </w:rPr>
              <w:t>633.</w:t>
            </w:r>
          </w:p>
        </w:tc>
        <w:tc>
          <w:tcPr>
            <w:tcW w:w="4818" w:type="dxa"/>
          </w:tcPr>
          <w:p w14:paraId="7D90261D" w14:textId="77777777" w:rsidR="00C70550" w:rsidRPr="00286216" w:rsidRDefault="00C70550" w:rsidP="006A358E">
            <w:pPr>
              <w:pStyle w:val="StyleZakonu"/>
              <w:rPr>
                <w:color w:val="000000" w:themeColor="text1"/>
              </w:rPr>
            </w:pPr>
            <w:r w:rsidRPr="00286216">
              <w:rPr>
                <w:color w:val="000000" w:themeColor="text1"/>
              </w:rPr>
              <w:t>2. На ринках капіталу здійснюються такі види професійної діяльності:</w:t>
            </w:r>
          </w:p>
        </w:tc>
        <w:tc>
          <w:tcPr>
            <w:tcW w:w="3686" w:type="dxa"/>
          </w:tcPr>
          <w:p w14:paraId="1E131030" w14:textId="77777777" w:rsidR="00C70550" w:rsidRPr="00286216" w:rsidRDefault="00C70550" w:rsidP="006A358E">
            <w:pPr>
              <w:pStyle w:val="StyleProp"/>
              <w:rPr>
                <w:color w:val="000000" w:themeColor="text1"/>
                <w:szCs w:val="18"/>
              </w:rPr>
            </w:pPr>
          </w:p>
        </w:tc>
        <w:tc>
          <w:tcPr>
            <w:tcW w:w="1987" w:type="dxa"/>
          </w:tcPr>
          <w:p w14:paraId="5C60B968" w14:textId="77777777" w:rsidR="00C70550" w:rsidRPr="00286216" w:rsidRDefault="00C70550" w:rsidP="006A358E">
            <w:pPr>
              <w:pStyle w:val="StyleWisnow"/>
              <w:rPr>
                <w:color w:val="000000" w:themeColor="text1"/>
              </w:rPr>
            </w:pPr>
          </w:p>
        </w:tc>
        <w:tc>
          <w:tcPr>
            <w:tcW w:w="4818" w:type="dxa"/>
          </w:tcPr>
          <w:p w14:paraId="05B5BEED" w14:textId="77777777" w:rsidR="00C70550" w:rsidRPr="00286216" w:rsidRDefault="00C70550" w:rsidP="006A358E">
            <w:pPr>
              <w:pStyle w:val="StyleZakonu"/>
              <w:rPr>
                <w:color w:val="000000" w:themeColor="text1"/>
              </w:rPr>
            </w:pPr>
            <w:r w:rsidRPr="00286216">
              <w:rPr>
                <w:color w:val="000000" w:themeColor="text1"/>
              </w:rPr>
              <w:t>2. На ринках капіталу здійснюються такі види професійної діяльності:</w:t>
            </w:r>
          </w:p>
        </w:tc>
      </w:tr>
      <w:tr w:rsidR="00C70550" w:rsidRPr="00286216" w14:paraId="6D00792E" w14:textId="77777777" w:rsidTr="006A358E">
        <w:tc>
          <w:tcPr>
            <w:tcW w:w="576" w:type="dxa"/>
          </w:tcPr>
          <w:p w14:paraId="0C286057" w14:textId="77777777" w:rsidR="00C70550" w:rsidRPr="00286216" w:rsidRDefault="00C70550" w:rsidP="006A358E">
            <w:pPr>
              <w:pStyle w:val="StyleWisnow"/>
              <w:rPr>
                <w:color w:val="000000" w:themeColor="text1"/>
              </w:rPr>
            </w:pPr>
            <w:r w:rsidRPr="00286216">
              <w:rPr>
                <w:color w:val="000000" w:themeColor="text1"/>
              </w:rPr>
              <w:t>634.</w:t>
            </w:r>
          </w:p>
        </w:tc>
        <w:tc>
          <w:tcPr>
            <w:tcW w:w="4818" w:type="dxa"/>
          </w:tcPr>
          <w:p w14:paraId="0404A1E1" w14:textId="77777777" w:rsidR="00C70550" w:rsidRPr="00286216" w:rsidRDefault="00C70550" w:rsidP="006A358E">
            <w:pPr>
              <w:pStyle w:val="StyleZakonu"/>
              <w:rPr>
                <w:color w:val="000000" w:themeColor="text1"/>
              </w:rPr>
            </w:pPr>
            <w:r w:rsidRPr="00286216">
              <w:rPr>
                <w:color w:val="000000" w:themeColor="text1"/>
              </w:rPr>
              <w:t>1) діяльність з торгівлі фінансовими інструментами;</w:t>
            </w:r>
          </w:p>
        </w:tc>
        <w:tc>
          <w:tcPr>
            <w:tcW w:w="3686" w:type="dxa"/>
          </w:tcPr>
          <w:p w14:paraId="40C2F806" w14:textId="41E35D29"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379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2B1DC5E" w14:textId="77777777" w:rsidR="00C70550" w:rsidRPr="00286216" w:rsidRDefault="00C70550" w:rsidP="006A358E">
            <w:pPr>
              <w:pStyle w:val="StyleProp"/>
              <w:spacing w:line="180" w:lineRule="exact"/>
              <w:rPr>
                <w:color w:val="000000" w:themeColor="text1"/>
                <w:szCs w:val="18"/>
              </w:rPr>
            </w:pPr>
            <w:r w:rsidRPr="00286216">
              <w:rPr>
                <w:color w:val="000000" w:themeColor="text1"/>
                <w:szCs w:val="18"/>
              </w:rPr>
              <w:t>У частинах 1 - 3 статті 41 нової редакції Закону слова «торгівлі фінансовими інструментами» замінити словами «обігу фінансових інструментів».</w:t>
            </w:r>
          </w:p>
        </w:tc>
        <w:tc>
          <w:tcPr>
            <w:tcW w:w="1987" w:type="dxa"/>
          </w:tcPr>
          <w:p w14:paraId="4C5FC1FD" w14:textId="77777777" w:rsidR="00C70550" w:rsidRPr="00286216" w:rsidRDefault="00C70550" w:rsidP="006A358E">
            <w:pPr>
              <w:pStyle w:val="StyleWisnow"/>
              <w:rPr>
                <w:color w:val="000000" w:themeColor="text1"/>
              </w:rPr>
            </w:pPr>
            <w:r w:rsidRPr="00286216">
              <w:rPr>
                <w:color w:val="000000" w:themeColor="text1"/>
              </w:rPr>
              <w:t>Відхилено</w:t>
            </w:r>
          </w:p>
          <w:p w14:paraId="10A1D776" w14:textId="77777777" w:rsidR="00C70550" w:rsidRPr="00286216" w:rsidRDefault="00C70550" w:rsidP="006A358E">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2BD38776" w14:textId="77777777" w:rsidR="00C70550" w:rsidRPr="00286216" w:rsidRDefault="00C70550" w:rsidP="006A358E">
            <w:pPr>
              <w:pStyle w:val="StyleZakonu"/>
              <w:rPr>
                <w:color w:val="000000" w:themeColor="text1"/>
              </w:rPr>
            </w:pPr>
            <w:r w:rsidRPr="00286216">
              <w:rPr>
                <w:color w:val="000000" w:themeColor="text1"/>
              </w:rPr>
              <w:t>1) діяльність з торгівлі фінансовими інструментами;</w:t>
            </w:r>
          </w:p>
        </w:tc>
      </w:tr>
      <w:tr w:rsidR="00C70550" w:rsidRPr="00286216" w14:paraId="0C827CB3" w14:textId="77777777" w:rsidTr="006A358E">
        <w:tc>
          <w:tcPr>
            <w:tcW w:w="576" w:type="dxa"/>
          </w:tcPr>
          <w:p w14:paraId="4635C635" w14:textId="77777777" w:rsidR="00C70550" w:rsidRPr="00286216" w:rsidRDefault="00C70550" w:rsidP="006A358E">
            <w:pPr>
              <w:pStyle w:val="StyleWisnow"/>
              <w:rPr>
                <w:color w:val="000000" w:themeColor="text1"/>
              </w:rPr>
            </w:pPr>
            <w:r w:rsidRPr="00286216">
              <w:rPr>
                <w:color w:val="000000" w:themeColor="text1"/>
              </w:rPr>
              <w:t>635.</w:t>
            </w:r>
          </w:p>
        </w:tc>
        <w:tc>
          <w:tcPr>
            <w:tcW w:w="4818" w:type="dxa"/>
          </w:tcPr>
          <w:p w14:paraId="1801B9B2" w14:textId="77777777" w:rsidR="00C70550" w:rsidRPr="00286216" w:rsidRDefault="00C70550" w:rsidP="006A358E">
            <w:pPr>
              <w:pStyle w:val="StyleZakonu"/>
              <w:rPr>
                <w:color w:val="000000" w:themeColor="text1"/>
              </w:rPr>
            </w:pPr>
            <w:r w:rsidRPr="00286216">
              <w:rPr>
                <w:color w:val="000000" w:themeColor="text1"/>
              </w:rPr>
              <w:t>2) діяльність з організації торгівлі фінансовими інструментами;</w:t>
            </w:r>
          </w:p>
        </w:tc>
        <w:tc>
          <w:tcPr>
            <w:tcW w:w="3686" w:type="dxa"/>
          </w:tcPr>
          <w:p w14:paraId="153D9E5C" w14:textId="3C8BAD7F" w:rsidR="00C70550" w:rsidRPr="00286216" w:rsidRDefault="00C70550" w:rsidP="006A35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380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7F0E7D7" w14:textId="77777777" w:rsidR="00C70550" w:rsidRPr="00286216" w:rsidRDefault="00C70550" w:rsidP="006A358E">
            <w:pPr>
              <w:pStyle w:val="StyleProp"/>
              <w:rPr>
                <w:color w:val="000000" w:themeColor="text1"/>
                <w:szCs w:val="18"/>
              </w:rPr>
            </w:pPr>
            <w:r w:rsidRPr="00286216">
              <w:rPr>
                <w:color w:val="000000" w:themeColor="text1"/>
                <w:szCs w:val="18"/>
              </w:rPr>
              <w:t>У частинах 1 - 3 статті 41 слова «торгівлі фінансовими інструментами» замінити словами «обігу фінансових інструментів».</w:t>
            </w:r>
          </w:p>
        </w:tc>
        <w:tc>
          <w:tcPr>
            <w:tcW w:w="1987" w:type="dxa"/>
          </w:tcPr>
          <w:p w14:paraId="6FFB1AB0" w14:textId="77777777" w:rsidR="00C70550" w:rsidRPr="00286216" w:rsidRDefault="00C70550" w:rsidP="006A358E">
            <w:pPr>
              <w:pStyle w:val="StyleWisnow"/>
              <w:rPr>
                <w:color w:val="000000" w:themeColor="text1"/>
              </w:rPr>
            </w:pPr>
            <w:r w:rsidRPr="00286216">
              <w:rPr>
                <w:color w:val="000000" w:themeColor="text1"/>
              </w:rPr>
              <w:t>Відхилено</w:t>
            </w:r>
          </w:p>
          <w:p w14:paraId="0F3BCE3F" w14:textId="77777777" w:rsidR="00C70550" w:rsidRPr="00286216" w:rsidRDefault="00C70550" w:rsidP="006A358E">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0464078E" w14:textId="77777777" w:rsidR="00C70550" w:rsidRPr="00286216" w:rsidRDefault="00C70550" w:rsidP="006A358E">
            <w:pPr>
              <w:pStyle w:val="StyleZakonu"/>
              <w:rPr>
                <w:color w:val="000000" w:themeColor="text1"/>
              </w:rPr>
            </w:pPr>
            <w:r w:rsidRPr="00286216">
              <w:rPr>
                <w:color w:val="000000" w:themeColor="text1"/>
              </w:rPr>
              <w:t>2) діяльність з організації торгівлі фінансовими інструментами;</w:t>
            </w:r>
          </w:p>
        </w:tc>
      </w:tr>
      <w:tr w:rsidR="00C70550" w:rsidRPr="00286216" w14:paraId="421FC4CC" w14:textId="77777777" w:rsidTr="006A358E">
        <w:tc>
          <w:tcPr>
            <w:tcW w:w="576" w:type="dxa"/>
          </w:tcPr>
          <w:p w14:paraId="04F695A7" w14:textId="77777777" w:rsidR="00C70550" w:rsidRPr="00286216" w:rsidRDefault="00C70550" w:rsidP="006A358E">
            <w:pPr>
              <w:pStyle w:val="StyleWisnow"/>
              <w:rPr>
                <w:color w:val="000000" w:themeColor="text1"/>
              </w:rPr>
            </w:pPr>
            <w:r w:rsidRPr="00286216">
              <w:rPr>
                <w:color w:val="000000" w:themeColor="text1"/>
              </w:rPr>
              <w:t>636.</w:t>
            </w:r>
          </w:p>
        </w:tc>
        <w:tc>
          <w:tcPr>
            <w:tcW w:w="4818" w:type="dxa"/>
          </w:tcPr>
          <w:p w14:paraId="02D7EB1C" w14:textId="77777777" w:rsidR="00C70550" w:rsidRPr="00286216" w:rsidRDefault="00C70550" w:rsidP="006A358E">
            <w:pPr>
              <w:pStyle w:val="StyleZakonu"/>
              <w:rPr>
                <w:color w:val="000000" w:themeColor="text1"/>
              </w:rPr>
            </w:pPr>
            <w:r w:rsidRPr="00286216">
              <w:rPr>
                <w:color w:val="000000" w:themeColor="text1"/>
              </w:rPr>
              <w:t>3) клірингова діяльність;</w:t>
            </w:r>
          </w:p>
        </w:tc>
        <w:tc>
          <w:tcPr>
            <w:tcW w:w="3686" w:type="dxa"/>
          </w:tcPr>
          <w:p w14:paraId="30633091" w14:textId="77777777" w:rsidR="00C70550" w:rsidRPr="00286216" w:rsidRDefault="00C70550" w:rsidP="006A358E">
            <w:pPr>
              <w:pStyle w:val="StyleProp"/>
              <w:rPr>
                <w:color w:val="000000" w:themeColor="text1"/>
                <w:szCs w:val="18"/>
              </w:rPr>
            </w:pPr>
          </w:p>
        </w:tc>
        <w:tc>
          <w:tcPr>
            <w:tcW w:w="1987" w:type="dxa"/>
          </w:tcPr>
          <w:p w14:paraId="684B08A3" w14:textId="77777777" w:rsidR="00C70550" w:rsidRPr="00286216" w:rsidRDefault="00C70550" w:rsidP="006A358E">
            <w:pPr>
              <w:pStyle w:val="StyleWisnow"/>
              <w:rPr>
                <w:color w:val="000000" w:themeColor="text1"/>
              </w:rPr>
            </w:pPr>
          </w:p>
        </w:tc>
        <w:tc>
          <w:tcPr>
            <w:tcW w:w="4818" w:type="dxa"/>
          </w:tcPr>
          <w:p w14:paraId="21973D84" w14:textId="77777777" w:rsidR="00C70550" w:rsidRPr="00286216" w:rsidRDefault="00C70550" w:rsidP="006A358E">
            <w:pPr>
              <w:pStyle w:val="StyleZakonu"/>
              <w:rPr>
                <w:color w:val="000000" w:themeColor="text1"/>
              </w:rPr>
            </w:pPr>
            <w:r w:rsidRPr="00286216">
              <w:rPr>
                <w:color w:val="000000" w:themeColor="text1"/>
              </w:rPr>
              <w:t>3) клірингова діяльність;</w:t>
            </w:r>
          </w:p>
        </w:tc>
      </w:tr>
      <w:tr w:rsidR="00C70550" w:rsidRPr="00286216" w14:paraId="1EADB9B7" w14:textId="77777777" w:rsidTr="006A358E">
        <w:tc>
          <w:tcPr>
            <w:tcW w:w="576" w:type="dxa"/>
          </w:tcPr>
          <w:p w14:paraId="57CDA9C3" w14:textId="77777777" w:rsidR="00C70550" w:rsidRPr="00286216" w:rsidRDefault="00C70550" w:rsidP="006A358E">
            <w:pPr>
              <w:pStyle w:val="StyleWisnow"/>
              <w:rPr>
                <w:color w:val="000000" w:themeColor="text1"/>
              </w:rPr>
            </w:pPr>
            <w:r w:rsidRPr="00286216">
              <w:rPr>
                <w:color w:val="000000" w:themeColor="text1"/>
              </w:rPr>
              <w:t>637.</w:t>
            </w:r>
          </w:p>
        </w:tc>
        <w:tc>
          <w:tcPr>
            <w:tcW w:w="4818" w:type="dxa"/>
          </w:tcPr>
          <w:p w14:paraId="07F68E03" w14:textId="77777777" w:rsidR="00C70550" w:rsidRPr="00286216" w:rsidRDefault="00C70550" w:rsidP="006A358E">
            <w:pPr>
              <w:pStyle w:val="StyleZakonu"/>
              <w:rPr>
                <w:color w:val="000000" w:themeColor="text1"/>
              </w:rPr>
            </w:pPr>
            <w:r w:rsidRPr="00286216">
              <w:rPr>
                <w:color w:val="000000" w:themeColor="text1"/>
              </w:rPr>
              <w:t>4) депозитарна діяльність;</w:t>
            </w:r>
          </w:p>
        </w:tc>
        <w:tc>
          <w:tcPr>
            <w:tcW w:w="3686" w:type="dxa"/>
          </w:tcPr>
          <w:p w14:paraId="18B2B959" w14:textId="77777777" w:rsidR="00C70550" w:rsidRPr="00286216" w:rsidRDefault="00C70550" w:rsidP="006A358E">
            <w:pPr>
              <w:pStyle w:val="StyleProp"/>
              <w:rPr>
                <w:color w:val="000000" w:themeColor="text1"/>
                <w:szCs w:val="18"/>
              </w:rPr>
            </w:pPr>
          </w:p>
        </w:tc>
        <w:tc>
          <w:tcPr>
            <w:tcW w:w="1987" w:type="dxa"/>
          </w:tcPr>
          <w:p w14:paraId="1B7D3DE9" w14:textId="77777777" w:rsidR="00C70550" w:rsidRPr="00286216" w:rsidRDefault="00C70550" w:rsidP="006A358E">
            <w:pPr>
              <w:pStyle w:val="StyleWisnow"/>
              <w:rPr>
                <w:color w:val="000000" w:themeColor="text1"/>
              </w:rPr>
            </w:pPr>
          </w:p>
        </w:tc>
        <w:tc>
          <w:tcPr>
            <w:tcW w:w="4818" w:type="dxa"/>
          </w:tcPr>
          <w:p w14:paraId="2EBCDE6D" w14:textId="77777777" w:rsidR="00C70550" w:rsidRPr="00286216" w:rsidRDefault="00C70550" w:rsidP="006A358E">
            <w:pPr>
              <w:pStyle w:val="StyleZakonu"/>
              <w:rPr>
                <w:color w:val="000000" w:themeColor="text1"/>
              </w:rPr>
            </w:pPr>
            <w:r w:rsidRPr="00286216">
              <w:rPr>
                <w:color w:val="000000" w:themeColor="text1"/>
              </w:rPr>
              <w:t>4) депозитарна діяльність;</w:t>
            </w:r>
          </w:p>
        </w:tc>
      </w:tr>
      <w:tr w:rsidR="00C70550" w:rsidRPr="00286216" w14:paraId="276A2709" w14:textId="77777777" w:rsidTr="006A358E">
        <w:tc>
          <w:tcPr>
            <w:tcW w:w="576" w:type="dxa"/>
          </w:tcPr>
          <w:p w14:paraId="09BA6B37" w14:textId="77777777" w:rsidR="00C70550" w:rsidRPr="00286216" w:rsidRDefault="00C70550" w:rsidP="006A358E">
            <w:pPr>
              <w:pStyle w:val="StyleWisnow"/>
              <w:rPr>
                <w:color w:val="000000" w:themeColor="text1"/>
              </w:rPr>
            </w:pPr>
            <w:r w:rsidRPr="00286216">
              <w:rPr>
                <w:color w:val="000000" w:themeColor="text1"/>
              </w:rPr>
              <w:t>638.</w:t>
            </w:r>
          </w:p>
        </w:tc>
        <w:tc>
          <w:tcPr>
            <w:tcW w:w="4818" w:type="dxa"/>
          </w:tcPr>
          <w:p w14:paraId="4FAFC644" w14:textId="77777777" w:rsidR="00C70550" w:rsidRPr="00286216" w:rsidRDefault="00C70550" w:rsidP="006A358E">
            <w:pPr>
              <w:pStyle w:val="StyleZakonu"/>
              <w:rPr>
                <w:color w:val="000000" w:themeColor="text1"/>
              </w:rPr>
            </w:pPr>
            <w:r w:rsidRPr="00286216">
              <w:rPr>
                <w:color w:val="000000" w:themeColor="text1"/>
              </w:rPr>
              <w:t>5) діяльність з управління активами інституційних інвесторів;</w:t>
            </w:r>
          </w:p>
        </w:tc>
        <w:tc>
          <w:tcPr>
            <w:tcW w:w="3686" w:type="dxa"/>
          </w:tcPr>
          <w:p w14:paraId="2555FBC4" w14:textId="77777777" w:rsidR="00C70550" w:rsidRPr="00286216" w:rsidRDefault="00C70550" w:rsidP="006A358E">
            <w:pPr>
              <w:pStyle w:val="StyleProp"/>
              <w:rPr>
                <w:color w:val="000000" w:themeColor="text1"/>
                <w:szCs w:val="18"/>
              </w:rPr>
            </w:pPr>
          </w:p>
        </w:tc>
        <w:tc>
          <w:tcPr>
            <w:tcW w:w="1987" w:type="dxa"/>
          </w:tcPr>
          <w:p w14:paraId="6EA8589B" w14:textId="77777777" w:rsidR="00C70550" w:rsidRPr="00286216" w:rsidRDefault="00C70550" w:rsidP="006A358E">
            <w:pPr>
              <w:pStyle w:val="StyleWisnow"/>
              <w:rPr>
                <w:color w:val="000000" w:themeColor="text1"/>
              </w:rPr>
            </w:pPr>
          </w:p>
        </w:tc>
        <w:tc>
          <w:tcPr>
            <w:tcW w:w="4818" w:type="dxa"/>
          </w:tcPr>
          <w:p w14:paraId="4B5C1A4F" w14:textId="77777777" w:rsidR="00C70550" w:rsidRPr="00286216" w:rsidRDefault="00C70550" w:rsidP="006A358E">
            <w:pPr>
              <w:pStyle w:val="StyleZakonu"/>
              <w:rPr>
                <w:color w:val="000000" w:themeColor="text1"/>
              </w:rPr>
            </w:pPr>
            <w:r w:rsidRPr="00286216">
              <w:rPr>
                <w:color w:val="000000" w:themeColor="text1"/>
              </w:rPr>
              <w:t>5) діяльність з управління активами інституційних інвесторів;</w:t>
            </w:r>
          </w:p>
        </w:tc>
      </w:tr>
      <w:tr w:rsidR="00C70550" w:rsidRPr="00286216" w14:paraId="03CF90FE" w14:textId="77777777" w:rsidTr="006A358E">
        <w:tc>
          <w:tcPr>
            <w:tcW w:w="576" w:type="dxa"/>
          </w:tcPr>
          <w:p w14:paraId="2E68520C" w14:textId="77777777" w:rsidR="00C70550" w:rsidRPr="00286216" w:rsidRDefault="00C70550" w:rsidP="006A358E">
            <w:pPr>
              <w:pStyle w:val="StyleWisnow"/>
              <w:rPr>
                <w:color w:val="000000" w:themeColor="text1"/>
              </w:rPr>
            </w:pPr>
            <w:r w:rsidRPr="00286216">
              <w:rPr>
                <w:color w:val="000000" w:themeColor="text1"/>
              </w:rPr>
              <w:t>639.</w:t>
            </w:r>
          </w:p>
        </w:tc>
        <w:tc>
          <w:tcPr>
            <w:tcW w:w="4818" w:type="dxa"/>
          </w:tcPr>
          <w:p w14:paraId="73205EAA" w14:textId="77777777" w:rsidR="00C70550" w:rsidRPr="00286216" w:rsidRDefault="00C70550" w:rsidP="006A358E">
            <w:pPr>
              <w:pStyle w:val="StyleZakonu"/>
              <w:rPr>
                <w:color w:val="000000" w:themeColor="text1"/>
              </w:rPr>
            </w:pPr>
            <w:r w:rsidRPr="00286216">
              <w:rPr>
                <w:color w:val="000000" w:themeColor="text1"/>
              </w:rPr>
              <w:t>6) діяльність з управління майном для фінансування об’єктів будівництва та/або здійснення операцій з нерухомістю;</w:t>
            </w:r>
          </w:p>
        </w:tc>
        <w:tc>
          <w:tcPr>
            <w:tcW w:w="3686" w:type="dxa"/>
          </w:tcPr>
          <w:p w14:paraId="3BDC8476" w14:textId="77777777" w:rsidR="00C70550" w:rsidRPr="00286216" w:rsidRDefault="00C70550" w:rsidP="006A358E">
            <w:pPr>
              <w:pStyle w:val="StyleProp"/>
              <w:rPr>
                <w:color w:val="000000" w:themeColor="text1"/>
                <w:szCs w:val="18"/>
              </w:rPr>
            </w:pPr>
          </w:p>
        </w:tc>
        <w:tc>
          <w:tcPr>
            <w:tcW w:w="1987" w:type="dxa"/>
          </w:tcPr>
          <w:p w14:paraId="15D28181" w14:textId="77777777" w:rsidR="00C70550" w:rsidRPr="00286216" w:rsidRDefault="00C70550" w:rsidP="006A358E">
            <w:pPr>
              <w:pStyle w:val="StyleWisnow"/>
              <w:rPr>
                <w:color w:val="000000" w:themeColor="text1"/>
              </w:rPr>
            </w:pPr>
          </w:p>
        </w:tc>
        <w:tc>
          <w:tcPr>
            <w:tcW w:w="4818" w:type="dxa"/>
          </w:tcPr>
          <w:p w14:paraId="47BEF526" w14:textId="77777777" w:rsidR="00C70550" w:rsidRPr="00286216" w:rsidRDefault="00C70550" w:rsidP="006A358E">
            <w:pPr>
              <w:pStyle w:val="StyleZakonu"/>
              <w:rPr>
                <w:color w:val="000000" w:themeColor="text1"/>
              </w:rPr>
            </w:pPr>
            <w:r w:rsidRPr="00286216">
              <w:rPr>
                <w:color w:val="000000" w:themeColor="text1"/>
              </w:rPr>
              <w:t>6) діяльність з управління майном для фінансування об’єктів будівництва та/або здійснення операцій з нерухомістю;</w:t>
            </w:r>
          </w:p>
        </w:tc>
      </w:tr>
      <w:tr w:rsidR="00C70550" w:rsidRPr="00286216" w14:paraId="1DCD3D31" w14:textId="77777777" w:rsidTr="006A358E">
        <w:tc>
          <w:tcPr>
            <w:tcW w:w="576" w:type="dxa"/>
          </w:tcPr>
          <w:p w14:paraId="4CFA201D" w14:textId="77777777" w:rsidR="00C70550" w:rsidRPr="00286216" w:rsidRDefault="00C70550" w:rsidP="006A358E">
            <w:pPr>
              <w:pStyle w:val="StyleWisnow"/>
              <w:rPr>
                <w:color w:val="000000" w:themeColor="text1"/>
              </w:rPr>
            </w:pPr>
            <w:r w:rsidRPr="00286216">
              <w:rPr>
                <w:color w:val="000000" w:themeColor="text1"/>
              </w:rPr>
              <w:t>640.</w:t>
            </w:r>
          </w:p>
        </w:tc>
        <w:tc>
          <w:tcPr>
            <w:tcW w:w="4818" w:type="dxa"/>
          </w:tcPr>
          <w:p w14:paraId="32AEC916" w14:textId="77777777" w:rsidR="00C70550" w:rsidRPr="00286216" w:rsidRDefault="00C70550" w:rsidP="006A358E">
            <w:pPr>
              <w:pStyle w:val="StyleZakonu"/>
              <w:rPr>
                <w:color w:val="000000" w:themeColor="text1"/>
              </w:rPr>
            </w:pPr>
            <w:r w:rsidRPr="00286216">
              <w:rPr>
                <w:color w:val="000000" w:themeColor="text1"/>
              </w:rPr>
              <w:t>7) діяльність з адміністрування недержавних пенсійних фондів.</w:t>
            </w:r>
          </w:p>
        </w:tc>
        <w:tc>
          <w:tcPr>
            <w:tcW w:w="3686" w:type="dxa"/>
          </w:tcPr>
          <w:p w14:paraId="76650E95" w14:textId="77777777" w:rsidR="00C70550" w:rsidRPr="00286216" w:rsidRDefault="00C70550" w:rsidP="006A358E">
            <w:pPr>
              <w:pStyle w:val="StyleProp"/>
              <w:rPr>
                <w:color w:val="000000" w:themeColor="text1"/>
                <w:szCs w:val="18"/>
              </w:rPr>
            </w:pPr>
          </w:p>
        </w:tc>
        <w:tc>
          <w:tcPr>
            <w:tcW w:w="1987" w:type="dxa"/>
          </w:tcPr>
          <w:p w14:paraId="1DED4FCF" w14:textId="77777777" w:rsidR="00C70550" w:rsidRPr="00286216" w:rsidRDefault="00C70550" w:rsidP="006A358E">
            <w:pPr>
              <w:pStyle w:val="StyleWisnow"/>
              <w:rPr>
                <w:color w:val="000000" w:themeColor="text1"/>
              </w:rPr>
            </w:pPr>
          </w:p>
        </w:tc>
        <w:tc>
          <w:tcPr>
            <w:tcW w:w="4818" w:type="dxa"/>
          </w:tcPr>
          <w:p w14:paraId="341B7E68" w14:textId="77777777" w:rsidR="00C70550" w:rsidRPr="00286216" w:rsidRDefault="00C70550" w:rsidP="006A358E">
            <w:pPr>
              <w:pStyle w:val="StyleZakonu"/>
              <w:rPr>
                <w:color w:val="000000" w:themeColor="text1"/>
              </w:rPr>
            </w:pPr>
            <w:r w:rsidRPr="00286216">
              <w:rPr>
                <w:color w:val="000000" w:themeColor="text1"/>
              </w:rPr>
              <w:t>7) діяльність з адміністрування недержавних пенсійних фондів.</w:t>
            </w:r>
          </w:p>
        </w:tc>
      </w:tr>
      <w:tr w:rsidR="00C70550" w:rsidRPr="00286216" w14:paraId="24F77734" w14:textId="77777777" w:rsidTr="006A358E">
        <w:tc>
          <w:tcPr>
            <w:tcW w:w="576" w:type="dxa"/>
          </w:tcPr>
          <w:p w14:paraId="65B1395F" w14:textId="77777777" w:rsidR="00C70550" w:rsidRPr="00286216" w:rsidRDefault="00C70550" w:rsidP="006A358E">
            <w:pPr>
              <w:pStyle w:val="StyleWisnow"/>
              <w:rPr>
                <w:color w:val="000000" w:themeColor="text1"/>
              </w:rPr>
            </w:pPr>
          </w:p>
        </w:tc>
        <w:tc>
          <w:tcPr>
            <w:tcW w:w="4818" w:type="dxa"/>
          </w:tcPr>
          <w:p w14:paraId="5AF2D0AB" w14:textId="77777777" w:rsidR="00C70550" w:rsidRPr="00286216" w:rsidRDefault="00C70550" w:rsidP="006A358E">
            <w:pPr>
              <w:pStyle w:val="StyleZakonu"/>
              <w:rPr>
                <w:color w:val="000000" w:themeColor="text1"/>
              </w:rPr>
            </w:pPr>
          </w:p>
        </w:tc>
        <w:tc>
          <w:tcPr>
            <w:tcW w:w="3686" w:type="dxa"/>
          </w:tcPr>
          <w:p w14:paraId="303C2430" w14:textId="6B1E0B2C" w:rsidR="00C70550" w:rsidRPr="00286216" w:rsidRDefault="00C70550" w:rsidP="006A358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381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E4506C7" w14:textId="77777777" w:rsidR="00C70550" w:rsidRPr="00286216" w:rsidRDefault="00C70550" w:rsidP="006A358E">
            <w:pPr>
              <w:pStyle w:val="StyleProp"/>
              <w:spacing w:line="180" w:lineRule="exact"/>
              <w:rPr>
                <w:rFonts w:eastAsia="Calibri"/>
                <w:color w:val="000000" w:themeColor="text1"/>
                <w:spacing w:val="-4"/>
                <w:szCs w:val="18"/>
              </w:rPr>
            </w:pPr>
            <w:r w:rsidRPr="00286216">
              <w:rPr>
                <w:rFonts w:eastAsia="Calibri"/>
                <w:color w:val="000000" w:themeColor="text1"/>
                <w:spacing w:val="-4"/>
                <w:szCs w:val="18"/>
              </w:rPr>
              <w:t>Частину 2 статті 41 доповнити пунктом:</w:t>
            </w:r>
          </w:p>
          <w:p w14:paraId="0921C2C2" w14:textId="77777777" w:rsidR="00C70550" w:rsidRPr="00286216" w:rsidRDefault="00C70550" w:rsidP="006A358E">
            <w:pPr>
              <w:pStyle w:val="StyleProp"/>
              <w:spacing w:line="180" w:lineRule="exact"/>
              <w:rPr>
                <w:color w:val="000000" w:themeColor="text1"/>
                <w:szCs w:val="18"/>
              </w:rPr>
            </w:pPr>
            <w:r w:rsidRPr="00286216">
              <w:rPr>
                <w:rFonts w:eastAsia="Calibri"/>
                <w:color w:val="000000" w:themeColor="text1"/>
                <w:szCs w:val="18"/>
              </w:rPr>
              <w:t>«8) діяльність з управління іпотечним покриттям.»</w:t>
            </w:r>
          </w:p>
        </w:tc>
        <w:tc>
          <w:tcPr>
            <w:tcW w:w="1987" w:type="dxa"/>
          </w:tcPr>
          <w:p w14:paraId="6F39445F" w14:textId="77777777" w:rsidR="00C70550" w:rsidRPr="00286216" w:rsidRDefault="00C70550" w:rsidP="006A358E">
            <w:pPr>
              <w:pStyle w:val="StyleWisnow"/>
              <w:spacing w:line="180" w:lineRule="exact"/>
              <w:rPr>
                <w:rFonts w:eastAsia="Calibri"/>
                <w:color w:val="000000" w:themeColor="text1"/>
              </w:rPr>
            </w:pPr>
            <w:r w:rsidRPr="00286216">
              <w:rPr>
                <w:rFonts w:eastAsia="Calibri"/>
                <w:color w:val="000000" w:themeColor="text1"/>
              </w:rPr>
              <w:t>Враховано по суті</w:t>
            </w:r>
          </w:p>
          <w:p w14:paraId="0300DDB0" w14:textId="77777777" w:rsidR="00C70550" w:rsidRPr="00286216" w:rsidRDefault="00C70550" w:rsidP="006A358E">
            <w:pPr>
              <w:pStyle w:val="StyleWisnow"/>
              <w:spacing w:line="180" w:lineRule="exact"/>
              <w:rPr>
                <w:rFonts w:eastAsia="Calibri"/>
                <w:color w:val="000000" w:themeColor="text1"/>
              </w:rPr>
            </w:pPr>
            <w:r w:rsidRPr="00286216">
              <w:rPr>
                <w:rFonts w:eastAsia="Calibri"/>
                <w:color w:val="000000" w:themeColor="text1"/>
              </w:rPr>
              <w:t>в редакції змін до статті 61</w:t>
            </w:r>
          </w:p>
        </w:tc>
        <w:tc>
          <w:tcPr>
            <w:tcW w:w="4818" w:type="dxa"/>
          </w:tcPr>
          <w:p w14:paraId="53454F13" w14:textId="77777777" w:rsidR="00C70550" w:rsidRPr="00286216" w:rsidRDefault="00C70550" w:rsidP="006A358E">
            <w:pPr>
              <w:pStyle w:val="StyleZakonu"/>
              <w:rPr>
                <w:color w:val="000000" w:themeColor="text1"/>
              </w:rPr>
            </w:pPr>
          </w:p>
        </w:tc>
      </w:tr>
      <w:tr w:rsidR="00C70550" w:rsidRPr="00286216" w14:paraId="7165DC74" w14:textId="77777777" w:rsidTr="006A358E">
        <w:tc>
          <w:tcPr>
            <w:tcW w:w="576" w:type="dxa"/>
          </w:tcPr>
          <w:p w14:paraId="44A4D491" w14:textId="77777777" w:rsidR="00C70550" w:rsidRPr="00286216" w:rsidRDefault="00C70550" w:rsidP="006A358E">
            <w:pPr>
              <w:pStyle w:val="StyleWisnow"/>
              <w:rPr>
                <w:color w:val="000000" w:themeColor="text1"/>
              </w:rPr>
            </w:pPr>
            <w:r w:rsidRPr="00286216">
              <w:rPr>
                <w:color w:val="000000" w:themeColor="text1"/>
              </w:rPr>
              <w:t>641.</w:t>
            </w:r>
          </w:p>
        </w:tc>
        <w:tc>
          <w:tcPr>
            <w:tcW w:w="4818" w:type="dxa"/>
          </w:tcPr>
          <w:p w14:paraId="027B8DE1" w14:textId="77777777" w:rsidR="00C70550" w:rsidRPr="00286216" w:rsidRDefault="00C70550" w:rsidP="006A358E">
            <w:pPr>
              <w:pStyle w:val="StyleZakonu"/>
              <w:rPr>
                <w:color w:val="000000" w:themeColor="text1"/>
              </w:rPr>
            </w:pPr>
            <w:r w:rsidRPr="00286216">
              <w:rPr>
                <w:color w:val="000000" w:themeColor="text1"/>
              </w:rPr>
              <w:t>3. Професійна діяльність на організованих товарних ринках - діяльність акціонерних товариств, і товариств з обмеженою відповідальністю або товариств з додатковою відповідальністю з надання послуг у сфері організації торгівлі продукцією, що відповідає вимогам, установленим до такої діяльності цим Законом та законодавством.</w:t>
            </w:r>
          </w:p>
        </w:tc>
        <w:tc>
          <w:tcPr>
            <w:tcW w:w="3686" w:type="dxa"/>
          </w:tcPr>
          <w:p w14:paraId="58FEA3FD" w14:textId="5694C853" w:rsidR="00C70550" w:rsidRPr="00286216" w:rsidRDefault="00C70550" w:rsidP="006A358E">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382</w:t>
            </w:r>
            <w:r w:rsidRPr="00286216">
              <w:rPr>
                <w:color w:val="000000" w:themeColor="text1"/>
                <w:spacing w:val="-10"/>
              </w:rPr>
              <w:fldChar w:fldCharType="end"/>
            </w:r>
            <w:r w:rsidRPr="00286216">
              <w:rPr>
                <w:color w:val="000000" w:themeColor="text1"/>
                <w:spacing w:val="-10"/>
              </w:rPr>
              <w:t>-Н.д.Гетманцев Д.О.(Реєстр.картка №245)</w:t>
            </w:r>
          </w:p>
          <w:p w14:paraId="3BE6040B" w14:textId="77777777" w:rsidR="00C70550" w:rsidRPr="00286216" w:rsidRDefault="00C70550" w:rsidP="006A358E">
            <w:pPr>
              <w:pStyle w:val="StyleProp"/>
              <w:spacing w:line="190" w:lineRule="exact"/>
              <w:rPr>
                <w:color w:val="000000" w:themeColor="text1"/>
              </w:rPr>
            </w:pPr>
            <w:r w:rsidRPr="00286216">
              <w:rPr>
                <w:color w:val="000000" w:themeColor="text1"/>
              </w:rPr>
              <w:t>У статті 41 абзац перший частини третьої викласти в такій редакції:</w:t>
            </w:r>
          </w:p>
          <w:p w14:paraId="0235F064" w14:textId="77777777" w:rsidR="00C70550" w:rsidRPr="00286216" w:rsidRDefault="00C70550" w:rsidP="006A358E">
            <w:pPr>
              <w:pStyle w:val="StyleProp"/>
              <w:spacing w:line="190" w:lineRule="exact"/>
              <w:rPr>
                <w:color w:val="000000" w:themeColor="text1"/>
              </w:rPr>
            </w:pPr>
            <w:r w:rsidRPr="00286216">
              <w:rPr>
                <w:color w:val="000000" w:themeColor="text1"/>
              </w:rPr>
              <w:t>«Професійна діяльність на організованих товарних ринках – діяльність акціонерних товариств, товариств з обмеженою відповідальністю або товариств з додатковою відповідальністю з надання послуг у сфері організації торгівлі продукцією під час здійснення діяльності з організації торгівлі продукцію на регульованих товарних ринках чи діяльності з організації торгівлі продукцією на товарних біржах.»</w:t>
            </w:r>
          </w:p>
        </w:tc>
        <w:tc>
          <w:tcPr>
            <w:tcW w:w="1987" w:type="dxa"/>
          </w:tcPr>
          <w:p w14:paraId="6A53F05C" w14:textId="77777777" w:rsidR="00C70550" w:rsidRPr="00286216" w:rsidRDefault="00C70550" w:rsidP="006A358E">
            <w:pPr>
              <w:pStyle w:val="StyleWisnow"/>
              <w:rPr>
                <w:color w:val="000000" w:themeColor="text1"/>
              </w:rPr>
            </w:pPr>
            <w:r w:rsidRPr="00286216">
              <w:rPr>
                <w:color w:val="000000" w:themeColor="text1"/>
              </w:rPr>
              <w:t>Враховано редакційно</w:t>
            </w:r>
          </w:p>
        </w:tc>
        <w:tc>
          <w:tcPr>
            <w:tcW w:w="4818" w:type="dxa"/>
          </w:tcPr>
          <w:p w14:paraId="3138F6EE" w14:textId="2D397893" w:rsidR="00C70550" w:rsidRPr="00286216" w:rsidRDefault="00C70550" w:rsidP="006A358E">
            <w:pPr>
              <w:pStyle w:val="StyleZakonu"/>
              <w:rPr>
                <w:color w:val="000000" w:themeColor="text1"/>
              </w:rPr>
            </w:pPr>
            <w:r w:rsidRPr="00286216">
              <w:rPr>
                <w:color w:val="000000" w:themeColor="text1"/>
              </w:rPr>
              <w:t>3. Професійна діяльність на організованих товарних ринках – це діяльність акціонерних товариств, товариств з обмеженою відповідальністю або товариств з додатковою відповідальністю з надання послуг з організації торгівлі продукцією.</w:t>
            </w:r>
          </w:p>
        </w:tc>
      </w:tr>
      <w:tr w:rsidR="00C70550" w:rsidRPr="00286216" w14:paraId="3169DF38" w14:textId="77777777" w:rsidTr="006A358E">
        <w:tc>
          <w:tcPr>
            <w:tcW w:w="576" w:type="dxa"/>
          </w:tcPr>
          <w:p w14:paraId="6BC73FBB" w14:textId="77777777" w:rsidR="00C70550" w:rsidRPr="00286216" w:rsidRDefault="00C70550" w:rsidP="006A358E">
            <w:pPr>
              <w:pStyle w:val="StyleWisnow"/>
              <w:rPr>
                <w:color w:val="000000" w:themeColor="text1"/>
              </w:rPr>
            </w:pPr>
            <w:r w:rsidRPr="00286216">
              <w:rPr>
                <w:color w:val="000000" w:themeColor="text1"/>
              </w:rPr>
              <w:lastRenderedPageBreak/>
              <w:t>642.</w:t>
            </w:r>
          </w:p>
        </w:tc>
        <w:tc>
          <w:tcPr>
            <w:tcW w:w="4818" w:type="dxa"/>
          </w:tcPr>
          <w:p w14:paraId="55E4D0DC" w14:textId="77777777" w:rsidR="00C70550" w:rsidRPr="00286216" w:rsidRDefault="00C70550" w:rsidP="006A358E">
            <w:pPr>
              <w:pStyle w:val="StyleZakonu"/>
              <w:rPr>
                <w:color w:val="000000" w:themeColor="text1"/>
              </w:rPr>
            </w:pPr>
            <w:r w:rsidRPr="00286216">
              <w:rPr>
                <w:color w:val="000000" w:themeColor="text1"/>
              </w:rPr>
              <w:t>Професійною діяльністю на організованих товарних ринках є:</w:t>
            </w:r>
          </w:p>
        </w:tc>
        <w:tc>
          <w:tcPr>
            <w:tcW w:w="3686" w:type="dxa"/>
          </w:tcPr>
          <w:p w14:paraId="462D5F5D" w14:textId="416ECF64" w:rsidR="00C70550" w:rsidRPr="00286216" w:rsidRDefault="00C70550" w:rsidP="006A358E">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383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5B04BA6" w14:textId="77777777" w:rsidR="00C70550" w:rsidRPr="00286216" w:rsidRDefault="00C70550" w:rsidP="006A358E">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753097A" w14:textId="77777777" w:rsidR="00C70550" w:rsidRPr="00286216" w:rsidRDefault="00C70550" w:rsidP="006A358E">
            <w:pPr>
              <w:pStyle w:val="StyleProp"/>
              <w:spacing w:line="190" w:lineRule="exact"/>
              <w:rPr>
                <w:color w:val="000000" w:themeColor="text1"/>
              </w:rPr>
            </w:pPr>
            <w:r w:rsidRPr="00286216">
              <w:rPr>
                <w:color w:val="000000" w:themeColor="text1"/>
              </w:rPr>
              <w:t>Абзаци другий-четвертий частини 3 статті 41 замінити одним абзацом такого змісту:</w:t>
            </w:r>
          </w:p>
          <w:p w14:paraId="779F75EB" w14:textId="77777777" w:rsidR="00C70550" w:rsidRPr="00286216" w:rsidRDefault="00C70550" w:rsidP="006A358E">
            <w:pPr>
              <w:pStyle w:val="StyleProp"/>
              <w:spacing w:line="190" w:lineRule="exact"/>
              <w:rPr>
                <w:color w:val="000000" w:themeColor="text1"/>
              </w:rPr>
            </w:pPr>
            <w:r w:rsidRPr="00286216">
              <w:rPr>
                <w:color w:val="000000" w:themeColor="text1"/>
              </w:rPr>
              <w:t>«На організованих товарних ринках здійснюється професійна діяльність з організації торгівлі продукцією на товарних біржах».</w:t>
            </w:r>
          </w:p>
        </w:tc>
        <w:tc>
          <w:tcPr>
            <w:tcW w:w="1987" w:type="dxa"/>
          </w:tcPr>
          <w:p w14:paraId="3B7BA817" w14:textId="77777777" w:rsidR="00C70550" w:rsidRPr="00286216" w:rsidRDefault="00C70550" w:rsidP="006A358E">
            <w:pPr>
              <w:pStyle w:val="StyleWisnow"/>
              <w:rPr>
                <w:color w:val="000000" w:themeColor="text1"/>
              </w:rPr>
            </w:pPr>
            <w:r w:rsidRPr="00286216">
              <w:rPr>
                <w:color w:val="000000" w:themeColor="text1"/>
              </w:rPr>
              <w:t>Враховано</w:t>
            </w:r>
          </w:p>
        </w:tc>
        <w:tc>
          <w:tcPr>
            <w:tcW w:w="4818" w:type="dxa"/>
          </w:tcPr>
          <w:p w14:paraId="11EC4D9B" w14:textId="77777777" w:rsidR="00C70550" w:rsidRPr="00286216" w:rsidRDefault="00C70550" w:rsidP="006A358E">
            <w:pPr>
              <w:pStyle w:val="StyleZakonu"/>
              <w:rPr>
                <w:color w:val="000000" w:themeColor="text1"/>
              </w:rPr>
            </w:pPr>
            <w:r w:rsidRPr="00286216">
              <w:rPr>
                <w:color w:val="000000" w:themeColor="text1"/>
              </w:rPr>
              <w:t>На організованих товарних ринках здійснюється професійна діяльність з організації торгівлі продукцією на товарних біржах.</w:t>
            </w:r>
          </w:p>
        </w:tc>
      </w:tr>
      <w:tr w:rsidR="00291EAB" w:rsidRPr="00286216" w14:paraId="5DD772F3" w14:textId="77777777" w:rsidTr="00091AA5">
        <w:tc>
          <w:tcPr>
            <w:tcW w:w="576" w:type="dxa"/>
          </w:tcPr>
          <w:p w14:paraId="150134A3" w14:textId="77777777" w:rsidR="00291EAB" w:rsidRPr="00286216" w:rsidRDefault="00291EAB" w:rsidP="00291EAB">
            <w:pPr>
              <w:pStyle w:val="StyleWisnow"/>
              <w:rPr>
                <w:color w:val="000000" w:themeColor="text1"/>
              </w:rPr>
            </w:pPr>
            <w:bookmarkStart w:id="328" w:name="n643" w:colFirst="0" w:colLast="0"/>
            <w:bookmarkEnd w:id="327"/>
            <w:r w:rsidRPr="00286216">
              <w:rPr>
                <w:color w:val="000000" w:themeColor="text1"/>
              </w:rPr>
              <w:t>643.</w:t>
            </w:r>
          </w:p>
        </w:tc>
        <w:tc>
          <w:tcPr>
            <w:tcW w:w="4818" w:type="dxa"/>
          </w:tcPr>
          <w:p w14:paraId="6A4D0A4F" w14:textId="77777777" w:rsidR="00291EAB" w:rsidRPr="00286216" w:rsidRDefault="00291EAB" w:rsidP="00291EAB">
            <w:pPr>
              <w:pStyle w:val="StyleZakonu"/>
              <w:rPr>
                <w:color w:val="000000" w:themeColor="text1"/>
              </w:rPr>
            </w:pPr>
            <w:r w:rsidRPr="00286216">
              <w:rPr>
                <w:color w:val="000000" w:themeColor="text1"/>
              </w:rPr>
              <w:t>1) діяльність з організації торгівлі продукцією на регульованих товарних ринках;</w:t>
            </w:r>
          </w:p>
        </w:tc>
        <w:tc>
          <w:tcPr>
            <w:tcW w:w="3686" w:type="dxa"/>
          </w:tcPr>
          <w:p w14:paraId="3E827B89" w14:textId="347FD70A" w:rsidR="00291EAB" w:rsidRPr="00286216" w:rsidRDefault="00291EAB" w:rsidP="00291EAB">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384</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2ECA127C" w14:textId="77777777" w:rsidR="00291EAB" w:rsidRPr="00286216" w:rsidRDefault="00291EAB" w:rsidP="00291EAB">
            <w:pPr>
              <w:pStyle w:val="StyleProp"/>
              <w:spacing w:line="180" w:lineRule="exact"/>
              <w:rPr>
                <w:color w:val="000000" w:themeColor="text1"/>
              </w:rPr>
            </w:pPr>
            <w:r w:rsidRPr="00286216">
              <w:rPr>
                <w:color w:val="000000" w:themeColor="text1"/>
              </w:rPr>
              <w:t>частину 3 статті 41 викласти у редакції:</w:t>
            </w:r>
          </w:p>
          <w:p w14:paraId="28916246" w14:textId="33F0EA92" w:rsidR="00291EAB" w:rsidRPr="00286216" w:rsidRDefault="00291EAB" w:rsidP="00291EAB">
            <w:pPr>
              <w:pStyle w:val="StyleProp"/>
              <w:spacing w:line="180" w:lineRule="exact"/>
              <w:rPr>
                <w:color w:val="000000" w:themeColor="text1"/>
                <w:szCs w:val="18"/>
              </w:rPr>
            </w:pPr>
            <w:r w:rsidRPr="00286216">
              <w:rPr>
                <w:color w:val="000000" w:themeColor="text1"/>
              </w:rPr>
              <w:t xml:space="preserve">«2. Професійна діяльність на організованих товарних ринках – діяльність акціонерних товариств, і товариств з обмеженою відповідальністю або товариств з додатковою відповідальністю з надання послуг у сфері організації торгівлі продукцією, що відповідає вимогам, установленим до такої діяльності цим Законом та законодавством. </w:t>
            </w:r>
          </w:p>
        </w:tc>
        <w:tc>
          <w:tcPr>
            <w:tcW w:w="1987" w:type="dxa"/>
          </w:tcPr>
          <w:p w14:paraId="37D72302" w14:textId="77777777" w:rsidR="00291EAB" w:rsidRPr="00286216" w:rsidRDefault="00291EAB" w:rsidP="00291EAB">
            <w:pPr>
              <w:pStyle w:val="StyleWisnow"/>
              <w:spacing w:line="180" w:lineRule="exact"/>
              <w:rPr>
                <w:color w:val="000000" w:themeColor="text1"/>
              </w:rPr>
            </w:pPr>
            <w:r w:rsidRPr="00286216">
              <w:rPr>
                <w:color w:val="000000" w:themeColor="text1"/>
              </w:rPr>
              <w:t>Враховано частково</w:t>
            </w:r>
          </w:p>
          <w:p w14:paraId="6C73EEA5" w14:textId="5323ECD0" w:rsidR="00291EAB" w:rsidRPr="00286216" w:rsidRDefault="00291EAB" w:rsidP="00291EAB">
            <w:pPr>
              <w:pStyle w:val="StyleWisnow"/>
              <w:spacing w:line="180" w:lineRule="exact"/>
              <w:rPr>
                <w:color w:val="000000" w:themeColor="text1"/>
              </w:rPr>
            </w:pPr>
            <w:r w:rsidRPr="00286216">
              <w:rPr>
                <w:color w:val="000000" w:themeColor="text1"/>
                <w:lang w:val="ru-RU"/>
              </w:rPr>
              <w:t>з</w:t>
            </w:r>
            <w:r w:rsidRPr="00286216">
              <w:rPr>
                <w:color w:val="000000" w:themeColor="text1"/>
              </w:rPr>
              <w:t>а винятком положень щодо Центрального контрагента</w:t>
            </w:r>
          </w:p>
        </w:tc>
        <w:tc>
          <w:tcPr>
            <w:tcW w:w="4818" w:type="dxa"/>
          </w:tcPr>
          <w:p w14:paraId="36971A44" w14:textId="5495CCF9" w:rsidR="00291EAB" w:rsidRPr="00286216" w:rsidRDefault="00291EAB" w:rsidP="00291EAB">
            <w:pPr>
              <w:pStyle w:val="StyleZakonu"/>
              <w:rPr>
                <w:color w:val="000000" w:themeColor="text1"/>
              </w:rPr>
            </w:pPr>
          </w:p>
        </w:tc>
      </w:tr>
      <w:tr w:rsidR="00291EAB" w:rsidRPr="00286216" w14:paraId="58E60E33" w14:textId="77777777" w:rsidTr="00091AA5">
        <w:tc>
          <w:tcPr>
            <w:tcW w:w="576" w:type="dxa"/>
          </w:tcPr>
          <w:p w14:paraId="2D61C2B9" w14:textId="77777777" w:rsidR="00291EAB" w:rsidRPr="00286216" w:rsidRDefault="00291EAB" w:rsidP="00291EAB">
            <w:pPr>
              <w:pStyle w:val="StyleWisnow"/>
              <w:rPr>
                <w:color w:val="000000" w:themeColor="text1"/>
              </w:rPr>
            </w:pPr>
            <w:bookmarkStart w:id="329" w:name="n644" w:colFirst="0" w:colLast="0"/>
            <w:bookmarkEnd w:id="328"/>
            <w:r w:rsidRPr="00286216">
              <w:rPr>
                <w:color w:val="000000" w:themeColor="text1"/>
              </w:rPr>
              <w:t>644.</w:t>
            </w:r>
          </w:p>
        </w:tc>
        <w:tc>
          <w:tcPr>
            <w:tcW w:w="4818" w:type="dxa"/>
          </w:tcPr>
          <w:p w14:paraId="1A780302" w14:textId="77777777" w:rsidR="00291EAB" w:rsidRPr="00286216" w:rsidRDefault="00291EAB" w:rsidP="00291EAB">
            <w:pPr>
              <w:pStyle w:val="StyleZakonu"/>
              <w:rPr>
                <w:color w:val="000000" w:themeColor="text1"/>
              </w:rPr>
            </w:pPr>
            <w:r w:rsidRPr="00286216">
              <w:rPr>
                <w:color w:val="000000" w:themeColor="text1"/>
              </w:rPr>
              <w:t>2) діяльність з організації торгівлі продукцією на товарних біржах.</w:t>
            </w:r>
          </w:p>
        </w:tc>
        <w:tc>
          <w:tcPr>
            <w:tcW w:w="3686" w:type="dxa"/>
          </w:tcPr>
          <w:p w14:paraId="2CE4B3A2" w14:textId="77777777" w:rsidR="00291EAB" w:rsidRPr="00286216" w:rsidRDefault="00291EAB" w:rsidP="00291EAB">
            <w:pPr>
              <w:pStyle w:val="StyleProp"/>
              <w:spacing w:line="180" w:lineRule="exact"/>
              <w:rPr>
                <w:color w:val="000000" w:themeColor="text1"/>
              </w:rPr>
            </w:pPr>
            <w:r w:rsidRPr="00286216">
              <w:rPr>
                <w:color w:val="000000" w:themeColor="text1"/>
              </w:rPr>
              <w:t>Професійною діяльністю на організованих товарних ринках є:</w:t>
            </w:r>
          </w:p>
          <w:p w14:paraId="5CCC0F6A" w14:textId="77777777" w:rsidR="00291EAB" w:rsidRPr="00286216" w:rsidRDefault="00291EAB" w:rsidP="00291EAB">
            <w:pPr>
              <w:pStyle w:val="StyleProp"/>
              <w:spacing w:line="180" w:lineRule="exact"/>
              <w:rPr>
                <w:color w:val="000000" w:themeColor="text1"/>
              </w:rPr>
            </w:pPr>
            <w:r w:rsidRPr="00286216">
              <w:rPr>
                <w:color w:val="000000" w:themeColor="text1"/>
              </w:rPr>
              <w:t>1) діяльність з організації торгівлі продукцією на регульованих товарних ринках;</w:t>
            </w:r>
          </w:p>
          <w:p w14:paraId="1B782CE0" w14:textId="77777777" w:rsidR="00291EAB" w:rsidRPr="00286216" w:rsidRDefault="00291EAB" w:rsidP="00291EAB">
            <w:pPr>
              <w:pStyle w:val="StyleProp"/>
              <w:spacing w:line="180" w:lineRule="exact"/>
              <w:rPr>
                <w:color w:val="000000" w:themeColor="text1"/>
              </w:rPr>
            </w:pPr>
            <w:r w:rsidRPr="00286216">
              <w:rPr>
                <w:color w:val="000000" w:themeColor="text1"/>
              </w:rPr>
              <w:t>2) діяльність з організації торгівлі продукцією на товарних біржах.</w:t>
            </w:r>
          </w:p>
          <w:p w14:paraId="6C5E5F45" w14:textId="77777777" w:rsidR="00291EAB" w:rsidRPr="00286216" w:rsidRDefault="00291EAB" w:rsidP="00291EAB">
            <w:pPr>
              <w:pStyle w:val="StyleProp"/>
              <w:spacing w:line="180" w:lineRule="exact"/>
              <w:rPr>
                <w:color w:val="000000" w:themeColor="text1"/>
              </w:rPr>
            </w:pPr>
            <w:r w:rsidRPr="00286216">
              <w:rPr>
                <w:color w:val="000000" w:themeColor="text1"/>
              </w:rPr>
              <w:t>Поєднання професійної діяльності на організованих товарних ринках з професійною діяльністю на ринках капіталу забороняється, крім:</w:t>
            </w:r>
          </w:p>
          <w:p w14:paraId="7B79C85C" w14:textId="77777777" w:rsidR="00291EAB" w:rsidRPr="00286216" w:rsidRDefault="00291EAB" w:rsidP="00291EAB">
            <w:pPr>
              <w:pStyle w:val="StyleProp"/>
              <w:spacing w:line="180" w:lineRule="exact"/>
              <w:rPr>
                <w:color w:val="000000" w:themeColor="text1"/>
              </w:rPr>
            </w:pPr>
            <w:r w:rsidRPr="00286216">
              <w:rPr>
                <w:color w:val="000000" w:themeColor="text1"/>
              </w:rPr>
              <w:t xml:space="preserve">1) провадження оператором регульованого товарного ринку клірингової діяльності з визначення зобов’язань та діяльності з організації торгівлі фінансовими інструментами, а також в межах і на умовах, встановлених законом, клірингової діяльності Центрального контрагента; </w:t>
            </w:r>
          </w:p>
          <w:p w14:paraId="0A0859A7" w14:textId="77777777" w:rsidR="00291EAB" w:rsidRPr="00286216" w:rsidRDefault="00291EAB" w:rsidP="00291EAB">
            <w:pPr>
              <w:pStyle w:val="StyleProp"/>
              <w:spacing w:line="180" w:lineRule="exact"/>
              <w:rPr>
                <w:color w:val="000000" w:themeColor="text1"/>
              </w:rPr>
            </w:pPr>
            <w:r w:rsidRPr="00286216">
              <w:rPr>
                <w:color w:val="000000" w:themeColor="text1"/>
              </w:rPr>
              <w:t>2) провадження товарною біржою клірингової діяльності з визначення зобов’язань та діяльності з організації торгівлі фінансовими інструментами, а також в межах і на умовах, встановлених законом, клірингової діяльності Центрального контрагента.</w:t>
            </w:r>
          </w:p>
          <w:p w14:paraId="0918285D" w14:textId="7D640241" w:rsidR="00291EAB" w:rsidRPr="00286216" w:rsidRDefault="00291EAB" w:rsidP="00291EAB">
            <w:pPr>
              <w:pStyle w:val="StyleProp"/>
              <w:spacing w:line="180" w:lineRule="exact"/>
              <w:rPr>
                <w:color w:val="000000" w:themeColor="text1"/>
                <w:szCs w:val="18"/>
              </w:rPr>
            </w:pPr>
            <w:r w:rsidRPr="00286216">
              <w:rPr>
                <w:color w:val="000000" w:themeColor="text1"/>
              </w:rPr>
              <w:t>На підставі відповідних ліцензій або на інших підставах, визначених законодавством про товарні ринки, товарна біржа має право провадити діяльність з організації торгівлі продукцією на регульованих товарних ринках, а оператор регульованого товарного ринку – діяльність з організації торгівлі продукцією на товарних біржах.»</w:t>
            </w:r>
          </w:p>
        </w:tc>
        <w:tc>
          <w:tcPr>
            <w:tcW w:w="1987" w:type="dxa"/>
          </w:tcPr>
          <w:p w14:paraId="7ED139F1" w14:textId="77777777" w:rsidR="00291EAB" w:rsidRPr="00286216" w:rsidRDefault="00291EAB" w:rsidP="00291EAB">
            <w:pPr>
              <w:pStyle w:val="StyleWisnow"/>
              <w:rPr>
                <w:color w:val="000000" w:themeColor="text1"/>
              </w:rPr>
            </w:pPr>
          </w:p>
        </w:tc>
        <w:tc>
          <w:tcPr>
            <w:tcW w:w="4818" w:type="dxa"/>
          </w:tcPr>
          <w:p w14:paraId="3BA8E1AA" w14:textId="11E54C38" w:rsidR="00291EAB" w:rsidRPr="00286216" w:rsidRDefault="00291EAB" w:rsidP="00291EAB">
            <w:pPr>
              <w:pStyle w:val="StyleZakonu"/>
              <w:rPr>
                <w:color w:val="000000" w:themeColor="text1"/>
              </w:rPr>
            </w:pPr>
          </w:p>
        </w:tc>
      </w:tr>
      <w:tr w:rsidR="00291EAB" w:rsidRPr="00286216" w14:paraId="6F28B82B" w14:textId="77777777" w:rsidTr="00091AA5">
        <w:tc>
          <w:tcPr>
            <w:tcW w:w="576" w:type="dxa"/>
          </w:tcPr>
          <w:p w14:paraId="0CBB9365" w14:textId="77777777" w:rsidR="00291EAB" w:rsidRPr="00286216" w:rsidRDefault="00291EAB" w:rsidP="00291EAB">
            <w:pPr>
              <w:pStyle w:val="StyleWisnow"/>
              <w:rPr>
                <w:color w:val="000000" w:themeColor="text1"/>
              </w:rPr>
            </w:pPr>
            <w:bookmarkStart w:id="330" w:name="n645" w:colFirst="0" w:colLast="0"/>
            <w:bookmarkEnd w:id="329"/>
            <w:r w:rsidRPr="00286216">
              <w:rPr>
                <w:color w:val="000000" w:themeColor="text1"/>
              </w:rPr>
              <w:t>645.</w:t>
            </w:r>
          </w:p>
        </w:tc>
        <w:tc>
          <w:tcPr>
            <w:tcW w:w="4818" w:type="dxa"/>
          </w:tcPr>
          <w:p w14:paraId="13124D81" w14:textId="77777777" w:rsidR="00291EAB" w:rsidRPr="00286216" w:rsidRDefault="00291EAB" w:rsidP="00291EAB">
            <w:pPr>
              <w:pStyle w:val="StyleZakonu"/>
              <w:rPr>
                <w:color w:val="000000" w:themeColor="text1"/>
              </w:rPr>
            </w:pPr>
            <w:r w:rsidRPr="00286216">
              <w:rPr>
                <w:color w:val="000000" w:themeColor="text1"/>
              </w:rPr>
              <w:t xml:space="preserve">Поєднання професійної діяльності на організованих товарних ринках з іншими видами </w:t>
            </w:r>
            <w:r w:rsidRPr="00286216">
              <w:rPr>
                <w:color w:val="000000" w:themeColor="text1"/>
              </w:rPr>
              <w:lastRenderedPageBreak/>
              <w:t>діяльності забороняється, крім:</w:t>
            </w:r>
          </w:p>
        </w:tc>
        <w:tc>
          <w:tcPr>
            <w:tcW w:w="3686" w:type="dxa"/>
          </w:tcPr>
          <w:p w14:paraId="4034101A" w14:textId="0F3F4A54" w:rsidR="00291EAB" w:rsidRPr="00286216" w:rsidRDefault="00291EAB" w:rsidP="00291EAB">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385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85A7ECD" w14:textId="77777777" w:rsidR="00291EAB" w:rsidRPr="00286216" w:rsidRDefault="00291EAB" w:rsidP="00291EAB">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32BF51A5" w14:textId="77777777" w:rsidR="00291EAB" w:rsidRPr="00286216" w:rsidRDefault="00291EAB" w:rsidP="00291EAB">
            <w:pPr>
              <w:pStyle w:val="StyleProp"/>
              <w:spacing w:line="190" w:lineRule="exact"/>
              <w:rPr>
                <w:color w:val="000000" w:themeColor="text1"/>
              </w:rPr>
            </w:pPr>
            <w:r w:rsidRPr="00286216">
              <w:rPr>
                <w:color w:val="000000" w:themeColor="text1"/>
              </w:rPr>
              <w:lastRenderedPageBreak/>
              <w:t>Абзаци п’ятий - сьомий частини 3 статті 41 замінити одним абзацом такого змісту:</w:t>
            </w:r>
          </w:p>
          <w:p w14:paraId="70ABF23E" w14:textId="77777777" w:rsidR="00291EAB" w:rsidRPr="00286216" w:rsidRDefault="00291EAB" w:rsidP="00291EAB">
            <w:pPr>
              <w:pStyle w:val="StyleProp"/>
              <w:spacing w:line="190" w:lineRule="exact"/>
              <w:rPr>
                <w:color w:val="000000" w:themeColor="text1"/>
              </w:rPr>
            </w:pPr>
            <w:r w:rsidRPr="00286216">
              <w:rPr>
                <w:color w:val="000000" w:themeColor="text1"/>
              </w:rPr>
              <w:t>«Поєднання професійної діяльності на організованих товарних ринках з іншими видами діяльності забороняється, крім провадження товарною біржою клірингової діяльності з визначення зобов’язань та діяльності з організації торгівлі фінансовими інструментами.».</w:t>
            </w:r>
          </w:p>
        </w:tc>
        <w:tc>
          <w:tcPr>
            <w:tcW w:w="1987" w:type="dxa"/>
          </w:tcPr>
          <w:p w14:paraId="0F79236C" w14:textId="77777777" w:rsidR="00291EAB" w:rsidRPr="00286216" w:rsidRDefault="00291EAB" w:rsidP="00291EAB">
            <w:pPr>
              <w:pStyle w:val="StyleWisnow"/>
              <w:rPr>
                <w:color w:val="000000" w:themeColor="text1"/>
              </w:rPr>
            </w:pPr>
            <w:r w:rsidRPr="00286216">
              <w:rPr>
                <w:color w:val="000000" w:themeColor="text1"/>
              </w:rPr>
              <w:lastRenderedPageBreak/>
              <w:t>Враховано</w:t>
            </w:r>
          </w:p>
        </w:tc>
        <w:tc>
          <w:tcPr>
            <w:tcW w:w="4818" w:type="dxa"/>
          </w:tcPr>
          <w:p w14:paraId="3550931E" w14:textId="77777777" w:rsidR="00291EAB" w:rsidRPr="00286216" w:rsidRDefault="00291EAB" w:rsidP="00291EAB">
            <w:pPr>
              <w:pStyle w:val="StyleZakonu"/>
              <w:rPr>
                <w:color w:val="000000" w:themeColor="text1"/>
              </w:rPr>
            </w:pPr>
            <w:r w:rsidRPr="00286216">
              <w:rPr>
                <w:color w:val="000000" w:themeColor="text1"/>
              </w:rPr>
              <w:t xml:space="preserve">Поєднання професійної діяльності на організованих товарних ринках з іншими видами </w:t>
            </w:r>
            <w:r w:rsidRPr="00286216">
              <w:rPr>
                <w:color w:val="000000" w:themeColor="text1"/>
              </w:rPr>
              <w:lastRenderedPageBreak/>
              <w:t>діяльності забороняється, крім провадження товарною біржою клірингової діяльності з визначення зобов’язань та діяльності з організації торгівлі фінансовими інструментами.</w:t>
            </w:r>
          </w:p>
        </w:tc>
      </w:tr>
      <w:tr w:rsidR="00291EAB" w:rsidRPr="00286216" w14:paraId="25E7F8CF" w14:textId="77777777" w:rsidTr="00091AA5">
        <w:tc>
          <w:tcPr>
            <w:tcW w:w="576" w:type="dxa"/>
          </w:tcPr>
          <w:p w14:paraId="082E3466" w14:textId="77777777" w:rsidR="00291EAB" w:rsidRPr="00286216" w:rsidRDefault="00291EAB" w:rsidP="00291EAB">
            <w:pPr>
              <w:pStyle w:val="StyleWisnow"/>
              <w:rPr>
                <w:color w:val="000000" w:themeColor="text1"/>
              </w:rPr>
            </w:pPr>
            <w:bookmarkStart w:id="331" w:name="n646" w:colFirst="0" w:colLast="0"/>
            <w:bookmarkEnd w:id="330"/>
            <w:r w:rsidRPr="00286216">
              <w:rPr>
                <w:color w:val="000000" w:themeColor="text1"/>
              </w:rPr>
              <w:lastRenderedPageBreak/>
              <w:t>646.</w:t>
            </w:r>
          </w:p>
        </w:tc>
        <w:tc>
          <w:tcPr>
            <w:tcW w:w="4818" w:type="dxa"/>
          </w:tcPr>
          <w:p w14:paraId="6F9CDA62" w14:textId="77777777" w:rsidR="00291EAB" w:rsidRPr="00286216" w:rsidRDefault="00291EAB" w:rsidP="00291EAB">
            <w:pPr>
              <w:pStyle w:val="StyleZakonu"/>
              <w:rPr>
                <w:color w:val="000000" w:themeColor="text1"/>
              </w:rPr>
            </w:pPr>
            <w:r w:rsidRPr="00286216">
              <w:rPr>
                <w:color w:val="000000" w:themeColor="text1"/>
              </w:rPr>
              <w:t>1) провадження оператором регульованого товарного ринку клірингової діяльності з визначення зобов’язань та діяльності з організації торгівлі фінансовими інструментами;</w:t>
            </w:r>
          </w:p>
        </w:tc>
        <w:tc>
          <w:tcPr>
            <w:tcW w:w="3686" w:type="dxa"/>
          </w:tcPr>
          <w:p w14:paraId="6F72DDAE" w14:textId="1D1B3A7B"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386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4AF549F" w14:textId="77777777" w:rsidR="00291EAB" w:rsidRPr="00286216" w:rsidRDefault="00291EAB" w:rsidP="00291EAB">
            <w:pPr>
              <w:pStyle w:val="StyleProp"/>
              <w:rPr>
                <w:color w:val="000000" w:themeColor="text1"/>
                <w:szCs w:val="18"/>
              </w:rPr>
            </w:pPr>
            <w:r w:rsidRPr="00286216">
              <w:rPr>
                <w:color w:val="000000" w:themeColor="text1"/>
                <w:szCs w:val="18"/>
              </w:rPr>
              <w:t>У частинах 1 - 3 статті 41 нової редакції Закону слова «торгівлі фінансовими інструментами» замінити словами «обігу фінансових інструментів».</w:t>
            </w:r>
          </w:p>
        </w:tc>
        <w:tc>
          <w:tcPr>
            <w:tcW w:w="1987" w:type="dxa"/>
          </w:tcPr>
          <w:p w14:paraId="754E2DB4" w14:textId="77777777" w:rsidR="00291EAB" w:rsidRPr="00286216" w:rsidRDefault="00291EAB" w:rsidP="00291EAB">
            <w:pPr>
              <w:pStyle w:val="StyleWisnow"/>
              <w:rPr>
                <w:color w:val="000000" w:themeColor="text1"/>
              </w:rPr>
            </w:pPr>
            <w:r w:rsidRPr="00286216">
              <w:rPr>
                <w:color w:val="000000" w:themeColor="text1"/>
              </w:rPr>
              <w:t>Відхилено</w:t>
            </w:r>
          </w:p>
          <w:p w14:paraId="533C3957" w14:textId="77777777" w:rsidR="00291EAB" w:rsidRPr="00286216" w:rsidRDefault="00291EAB" w:rsidP="00291EAB">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4870AEA0" w14:textId="77777777" w:rsidR="00291EAB" w:rsidRPr="00286216" w:rsidRDefault="00291EAB" w:rsidP="00291EAB">
            <w:pPr>
              <w:pStyle w:val="StyleZakonu"/>
              <w:rPr>
                <w:color w:val="000000" w:themeColor="text1"/>
              </w:rPr>
            </w:pPr>
          </w:p>
        </w:tc>
      </w:tr>
      <w:tr w:rsidR="00291EAB" w:rsidRPr="00286216" w14:paraId="2226E110" w14:textId="77777777" w:rsidTr="00091AA5">
        <w:tc>
          <w:tcPr>
            <w:tcW w:w="576" w:type="dxa"/>
          </w:tcPr>
          <w:p w14:paraId="4F40D804" w14:textId="77777777" w:rsidR="00291EAB" w:rsidRPr="00286216" w:rsidRDefault="00291EAB" w:rsidP="00291EAB">
            <w:pPr>
              <w:pStyle w:val="StyleWisnow"/>
              <w:rPr>
                <w:color w:val="000000" w:themeColor="text1"/>
              </w:rPr>
            </w:pPr>
            <w:bookmarkStart w:id="332" w:name="n647" w:colFirst="0" w:colLast="0"/>
            <w:bookmarkEnd w:id="331"/>
            <w:r w:rsidRPr="00286216">
              <w:rPr>
                <w:color w:val="000000" w:themeColor="text1"/>
              </w:rPr>
              <w:t>647.</w:t>
            </w:r>
          </w:p>
        </w:tc>
        <w:tc>
          <w:tcPr>
            <w:tcW w:w="4818" w:type="dxa"/>
          </w:tcPr>
          <w:p w14:paraId="05AC01D9" w14:textId="77777777" w:rsidR="00291EAB" w:rsidRPr="00286216" w:rsidRDefault="00291EAB" w:rsidP="00291EAB">
            <w:pPr>
              <w:pStyle w:val="StyleZakonu"/>
              <w:rPr>
                <w:color w:val="000000" w:themeColor="text1"/>
              </w:rPr>
            </w:pPr>
            <w:r w:rsidRPr="00286216">
              <w:rPr>
                <w:color w:val="000000" w:themeColor="text1"/>
              </w:rPr>
              <w:t>2) провадження товарною біржою клірингової діяльності з визначення зобов’язань та діяльності з організації торгівлі фінансовими інструментами.</w:t>
            </w:r>
          </w:p>
        </w:tc>
        <w:tc>
          <w:tcPr>
            <w:tcW w:w="3686" w:type="dxa"/>
          </w:tcPr>
          <w:p w14:paraId="32CFA6FE" w14:textId="522D31B3"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387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3462AD9"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У частинах 1 - 3 статті 41 нової редакції Закону слова «торгівлі фінансовими інструментами» замінити словами «обігу фінансових інструментів».</w:t>
            </w:r>
          </w:p>
        </w:tc>
        <w:tc>
          <w:tcPr>
            <w:tcW w:w="1987" w:type="dxa"/>
          </w:tcPr>
          <w:p w14:paraId="15E6B91A" w14:textId="77777777" w:rsidR="00291EAB" w:rsidRPr="00286216" w:rsidRDefault="00291EAB" w:rsidP="00291EAB">
            <w:pPr>
              <w:pStyle w:val="StyleWisnow"/>
              <w:rPr>
                <w:color w:val="000000" w:themeColor="text1"/>
              </w:rPr>
            </w:pPr>
            <w:r w:rsidRPr="00286216">
              <w:rPr>
                <w:color w:val="000000" w:themeColor="text1"/>
              </w:rPr>
              <w:t>Відхилено</w:t>
            </w:r>
          </w:p>
          <w:p w14:paraId="4F57CDFF" w14:textId="77777777" w:rsidR="00291EAB" w:rsidRPr="00286216" w:rsidRDefault="00291EAB" w:rsidP="00291EAB">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76868846" w14:textId="77777777" w:rsidR="00291EAB" w:rsidRPr="00286216" w:rsidRDefault="00291EAB" w:rsidP="00291EAB">
            <w:pPr>
              <w:pStyle w:val="StyleZakonu"/>
              <w:rPr>
                <w:color w:val="000000" w:themeColor="text1"/>
              </w:rPr>
            </w:pPr>
          </w:p>
        </w:tc>
      </w:tr>
      <w:bookmarkEnd w:id="332"/>
      <w:tr w:rsidR="00291EAB" w:rsidRPr="00286216" w14:paraId="089C6037" w14:textId="77777777" w:rsidTr="00091AA5">
        <w:tc>
          <w:tcPr>
            <w:tcW w:w="576" w:type="dxa"/>
          </w:tcPr>
          <w:p w14:paraId="4894F190" w14:textId="77777777" w:rsidR="00291EAB" w:rsidRPr="00286216" w:rsidRDefault="00291EAB" w:rsidP="00291EAB">
            <w:pPr>
              <w:pStyle w:val="StyleWisnow"/>
              <w:rPr>
                <w:color w:val="000000" w:themeColor="text1"/>
              </w:rPr>
            </w:pPr>
          </w:p>
        </w:tc>
        <w:tc>
          <w:tcPr>
            <w:tcW w:w="4818" w:type="dxa"/>
          </w:tcPr>
          <w:p w14:paraId="1503F77C" w14:textId="77777777" w:rsidR="00291EAB" w:rsidRPr="00286216" w:rsidRDefault="00291EAB" w:rsidP="00291EAB">
            <w:pPr>
              <w:pStyle w:val="StyleZakonu"/>
              <w:rPr>
                <w:color w:val="000000" w:themeColor="text1"/>
              </w:rPr>
            </w:pPr>
          </w:p>
        </w:tc>
        <w:tc>
          <w:tcPr>
            <w:tcW w:w="3686" w:type="dxa"/>
          </w:tcPr>
          <w:p w14:paraId="5439FF2D" w14:textId="40AAA10F" w:rsidR="00291EAB" w:rsidRPr="00286216" w:rsidRDefault="00291EAB" w:rsidP="00291EAB">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388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FFF44DA" w14:textId="77777777" w:rsidR="00291EAB" w:rsidRPr="00286216" w:rsidRDefault="00291EAB" w:rsidP="00291EAB">
            <w:pPr>
              <w:pStyle w:val="StyleProp"/>
              <w:rPr>
                <w:color w:val="000000" w:themeColor="text1"/>
              </w:rPr>
            </w:pPr>
            <w:r w:rsidRPr="00286216">
              <w:rPr>
                <w:color w:val="000000" w:themeColor="text1"/>
              </w:rPr>
              <w:t>Доповнити законопроект статтею 41-1</w:t>
            </w:r>
          </w:p>
          <w:p w14:paraId="0F01416E" w14:textId="77777777" w:rsidR="00291EAB" w:rsidRPr="00286216" w:rsidRDefault="00291EAB" w:rsidP="00291EAB">
            <w:pPr>
              <w:pStyle w:val="StyleProp"/>
              <w:spacing w:line="190" w:lineRule="exact"/>
              <w:rPr>
                <w:color w:val="000000" w:themeColor="text1"/>
              </w:rPr>
            </w:pPr>
            <w:r w:rsidRPr="00286216">
              <w:rPr>
                <w:color w:val="000000" w:themeColor="text1"/>
              </w:rPr>
              <w:t>"Стаття 41-1. Типи професійних учасників ринків капіталу та організованих товарних ринків</w:t>
            </w:r>
          </w:p>
          <w:p w14:paraId="3E37D175" w14:textId="77777777" w:rsidR="00291EAB" w:rsidRPr="00286216" w:rsidRDefault="00291EAB" w:rsidP="00291EAB">
            <w:pPr>
              <w:pStyle w:val="StyleProp"/>
              <w:spacing w:line="190" w:lineRule="exact"/>
              <w:rPr>
                <w:color w:val="000000" w:themeColor="text1"/>
              </w:rPr>
            </w:pPr>
            <w:r w:rsidRPr="00286216">
              <w:rPr>
                <w:color w:val="000000" w:themeColor="text1"/>
              </w:rPr>
              <w:t xml:space="preserve">1. Професійні учасники ринків капіталу та організованих товарних ринків за типами поділяються на: </w:t>
            </w:r>
          </w:p>
          <w:p w14:paraId="7E6B4DB1" w14:textId="77777777" w:rsidR="00291EAB" w:rsidRPr="00286216" w:rsidRDefault="00291EAB" w:rsidP="00291EAB">
            <w:pPr>
              <w:pStyle w:val="StyleProp"/>
              <w:spacing w:line="190" w:lineRule="exact"/>
              <w:rPr>
                <w:color w:val="000000" w:themeColor="text1"/>
              </w:rPr>
            </w:pPr>
            <w:r w:rsidRPr="00286216">
              <w:rPr>
                <w:color w:val="000000" w:themeColor="text1"/>
              </w:rPr>
              <w:t>1) професійних учасників ринків капіталу, які є підприємствами, шо становлять суспільний інтерес відповідно до Закону України «Про бухгалтерський облік та фінансову звітність в Україні»;</w:t>
            </w:r>
          </w:p>
          <w:p w14:paraId="7590777C" w14:textId="77777777" w:rsidR="00291EAB" w:rsidRPr="00286216" w:rsidRDefault="00291EAB" w:rsidP="00291EAB">
            <w:pPr>
              <w:pStyle w:val="StyleProp"/>
              <w:spacing w:line="190" w:lineRule="exact"/>
              <w:rPr>
                <w:color w:val="000000" w:themeColor="text1"/>
              </w:rPr>
            </w:pPr>
            <w:r w:rsidRPr="00286216">
              <w:rPr>
                <w:color w:val="000000" w:themeColor="text1"/>
              </w:rPr>
              <w:t>2) професійних учасників ринків капіталу, які є системно-важливими професійними учасниками, відповідно до цього Закону;</w:t>
            </w:r>
          </w:p>
          <w:p w14:paraId="4244B760" w14:textId="77777777" w:rsidR="00291EAB" w:rsidRPr="00286216" w:rsidRDefault="00291EAB" w:rsidP="00291EAB">
            <w:pPr>
              <w:pStyle w:val="StyleProp"/>
              <w:spacing w:line="190" w:lineRule="exact"/>
              <w:rPr>
                <w:color w:val="000000" w:themeColor="text1"/>
              </w:rPr>
            </w:pPr>
            <w:r w:rsidRPr="00286216">
              <w:rPr>
                <w:color w:val="000000" w:themeColor="text1"/>
              </w:rPr>
              <w:t>3) інші професійні учасники ринків капіталу та організованих товарних ринків".</w:t>
            </w:r>
          </w:p>
        </w:tc>
        <w:tc>
          <w:tcPr>
            <w:tcW w:w="1987" w:type="dxa"/>
          </w:tcPr>
          <w:p w14:paraId="613BA3EE" w14:textId="77777777" w:rsidR="00291EAB" w:rsidRPr="00286216" w:rsidRDefault="00291EAB" w:rsidP="00291EAB">
            <w:pPr>
              <w:pStyle w:val="StyleWisnow"/>
              <w:rPr>
                <w:color w:val="000000" w:themeColor="text1"/>
              </w:rPr>
            </w:pPr>
            <w:r w:rsidRPr="00286216">
              <w:rPr>
                <w:color w:val="000000" w:themeColor="text1"/>
              </w:rPr>
              <w:t>Враховано</w:t>
            </w:r>
          </w:p>
        </w:tc>
        <w:tc>
          <w:tcPr>
            <w:tcW w:w="4818" w:type="dxa"/>
          </w:tcPr>
          <w:p w14:paraId="480CDB4B" w14:textId="54BAD51D" w:rsidR="00291EAB" w:rsidRPr="00286216" w:rsidRDefault="00291EAB" w:rsidP="00291EAB">
            <w:pPr>
              <w:pStyle w:val="StyleZakonu"/>
              <w:rPr>
                <w:color w:val="000000" w:themeColor="text1"/>
              </w:rPr>
            </w:pPr>
            <w:r w:rsidRPr="00286216">
              <w:rPr>
                <w:color w:val="000000" w:themeColor="text1"/>
              </w:rPr>
              <w:t>Стаття 42. Типи професійних учасників ринків капіталу та організованих товарних ринків</w:t>
            </w:r>
          </w:p>
          <w:p w14:paraId="3045B36C" w14:textId="77777777" w:rsidR="00291EAB" w:rsidRPr="00286216" w:rsidRDefault="00291EAB" w:rsidP="00291EAB">
            <w:pPr>
              <w:pStyle w:val="StyleZakonu"/>
              <w:rPr>
                <w:color w:val="000000" w:themeColor="text1"/>
              </w:rPr>
            </w:pPr>
            <w:r w:rsidRPr="00286216">
              <w:rPr>
                <w:color w:val="000000" w:themeColor="text1"/>
              </w:rPr>
              <w:t xml:space="preserve">1. Професійні учасники ринків капіталу та організованих товарних ринків за типами поділяються на: </w:t>
            </w:r>
          </w:p>
          <w:p w14:paraId="7D0114A4" w14:textId="6FD2952A" w:rsidR="00291EAB" w:rsidRPr="00286216" w:rsidRDefault="00291EAB" w:rsidP="00291EAB">
            <w:pPr>
              <w:pStyle w:val="StyleZakonu"/>
              <w:rPr>
                <w:color w:val="000000" w:themeColor="text1"/>
              </w:rPr>
            </w:pPr>
            <w:r w:rsidRPr="00286216">
              <w:rPr>
                <w:color w:val="000000" w:themeColor="text1"/>
              </w:rPr>
              <w:t xml:space="preserve">1) професійних учасників ринків капіталу, які є підприємствами, </w:t>
            </w:r>
            <w:r w:rsidR="006A358E" w:rsidRPr="00286216">
              <w:rPr>
                <w:color w:val="000000" w:themeColor="text1"/>
              </w:rPr>
              <w:t>щ</w:t>
            </w:r>
            <w:r w:rsidRPr="00286216">
              <w:rPr>
                <w:color w:val="000000" w:themeColor="text1"/>
              </w:rPr>
              <w:t>о становлять суспільний інтерес відповідно до Закону України "Про бухгалтерський облік та фінансову звітність в Україні";</w:t>
            </w:r>
          </w:p>
          <w:p w14:paraId="2D81D2B0" w14:textId="3AAF5E3D" w:rsidR="00291EAB" w:rsidRPr="00286216" w:rsidRDefault="00291EAB" w:rsidP="00291EAB">
            <w:pPr>
              <w:pStyle w:val="StyleZakonu"/>
              <w:rPr>
                <w:color w:val="000000" w:themeColor="text1"/>
              </w:rPr>
            </w:pPr>
            <w:r w:rsidRPr="00286216">
              <w:rPr>
                <w:color w:val="000000" w:themeColor="text1"/>
              </w:rPr>
              <w:t>2) професійних учасників ринків капіталу, які є системно</w:t>
            </w:r>
            <w:r w:rsidR="006A358E" w:rsidRPr="00286216">
              <w:rPr>
                <w:color w:val="000000" w:themeColor="text1"/>
                <w:lang w:val="ru-RU"/>
              </w:rPr>
              <w:t xml:space="preserve"> </w:t>
            </w:r>
            <w:r w:rsidRPr="00286216">
              <w:rPr>
                <w:color w:val="000000" w:themeColor="text1"/>
              </w:rPr>
              <w:t>важливими професійними учасниками відповідно до цього Закону;</w:t>
            </w:r>
          </w:p>
          <w:p w14:paraId="687C6E32" w14:textId="5FC95356" w:rsidR="00291EAB" w:rsidRPr="00286216" w:rsidRDefault="00291EAB" w:rsidP="006A358E">
            <w:pPr>
              <w:pStyle w:val="StyleZakonu"/>
              <w:rPr>
                <w:color w:val="000000" w:themeColor="text1"/>
              </w:rPr>
            </w:pPr>
            <w:r w:rsidRPr="00286216">
              <w:rPr>
                <w:color w:val="000000" w:themeColor="text1"/>
              </w:rPr>
              <w:t>3) інш</w:t>
            </w:r>
            <w:r w:rsidR="006A358E" w:rsidRPr="00286216">
              <w:rPr>
                <w:color w:val="000000" w:themeColor="text1"/>
                <w:lang w:val="ru-RU"/>
              </w:rPr>
              <w:t>их</w:t>
            </w:r>
            <w:r w:rsidRPr="00286216">
              <w:rPr>
                <w:color w:val="000000" w:themeColor="text1"/>
              </w:rPr>
              <w:t xml:space="preserve"> професійн</w:t>
            </w:r>
            <w:r w:rsidR="006A358E" w:rsidRPr="00286216">
              <w:rPr>
                <w:color w:val="000000" w:themeColor="text1"/>
                <w:lang w:val="ru-RU"/>
              </w:rPr>
              <w:t>их</w:t>
            </w:r>
            <w:r w:rsidRPr="00286216">
              <w:rPr>
                <w:color w:val="000000" w:themeColor="text1"/>
              </w:rPr>
              <w:t xml:space="preserve"> учасник</w:t>
            </w:r>
            <w:r w:rsidR="006A358E" w:rsidRPr="00286216">
              <w:rPr>
                <w:color w:val="000000" w:themeColor="text1"/>
              </w:rPr>
              <w:t>і</w:t>
            </w:r>
            <w:r w:rsidR="006A358E" w:rsidRPr="00286216">
              <w:rPr>
                <w:color w:val="000000" w:themeColor="text1"/>
                <w:lang w:val="ru-RU"/>
              </w:rPr>
              <w:t>в</w:t>
            </w:r>
            <w:r w:rsidRPr="00286216">
              <w:rPr>
                <w:color w:val="000000" w:themeColor="text1"/>
              </w:rPr>
              <w:t xml:space="preserve"> ринків капіталу та організованих товарних ринків.</w:t>
            </w:r>
          </w:p>
        </w:tc>
      </w:tr>
      <w:tr w:rsidR="00403AAD" w:rsidRPr="00286216" w14:paraId="3CE00873" w14:textId="77777777" w:rsidTr="00091AA5">
        <w:tc>
          <w:tcPr>
            <w:tcW w:w="576" w:type="dxa"/>
          </w:tcPr>
          <w:p w14:paraId="7223CE9B" w14:textId="77777777" w:rsidR="00403AAD" w:rsidRPr="00286216" w:rsidRDefault="00403AAD" w:rsidP="00403AAD">
            <w:pPr>
              <w:pStyle w:val="StyleWisnow"/>
              <w:rPr>
                <w:color w:val="000000" w:themeColor="text1"/>
              </w:rPr>
            </w:pPr>
          </w:p>
        </w:tc>
        <w:tc>
          <w:tcPr>
            <w:tcW w:w="4818" w:type="dxa"/>
          </w:tcPr>
          <w:p w14:paraId="62BA0C17" w14:textId="77777777" w:rsidR="00403AAD" w:rsidRPr="00286216" w:rsidRDefault="00403AAD" w:rsidP="00403AAD">
            <w:pPr>
              <w:pStyle w:val="StyleZakonu"/>
              <w:rPr>
                <w:color w:val="000000" w:themeColor="text1"/>
              </w:rPr>
            </w:pPr>
          </w:p>
        </w:tc>
        <w:tc>
          <w:tcPr>
            <w:tcW w:w="3686" w:type="dxa"/>
          </w:tcPr>
          <w:p w14:paraId="166EAAE5" w14:textId="0A1CB233"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389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E9ED32E" w14:textId="77777777" w:rsidR="00403AAD" w:rsidRPr="00286216" w:rsidRDefault="00403AAD" w:rsidP="00403AAD">
            <w:pPr>
              <w:pStyle w:val="StyleProp"/>
              <w:spacing w:line="190" w:lineRule="exact"/>
              <w:rPr>
                <w:color w:val="000000" w:themeColor="text1"/>
              </w:rPr>
            </w:pPr>
            <w:r w:rsidRPr="00286216">
              <w:rPr>
                <w:color w:val="000000" w:themeColor="text1"/>
              </w:rPr>
              <w:t>Доповнити законопроект статтею 41-2 такого змісту:</w:t>
            </w:r>
          </w:p>
          <w:p w14:paraId="1E186A33" w14:textId="77777777" w:rsidR="00403AAD" w:rsidRPr="00286216" w:rsidRDefault="00403AAD" w:rsidP="00403AAD">
            <w:pPr>
              <w:pStyle w:val="StyleProp"/>
              <w:spacing w:line="190" w:lineRule="exact"/>
              <w:rPr>
                <w:color w:val="000000" w:themeColor="text1"/>
              </w:rPr>
            </w:pPr>
            <w:r w:rsidRPr="00286216">
              <w:rPr>
                <w:color w:val="000000" w:themeColor="text1"/>
              </w:rPr>
              <w:t>"Стаття 41-2. Системно важливі професійні учасники ринків капіталу</w:t>
            </w:r>
          </w:p>
          <w:p w14:paraId="29AEDBE1" w14:textId="77777777" w:rsidR="00403AAD" w:rsidRPr="00286216" w:rsidRDefault="00403AAD" w:rsidP="00403AAD">
            <w:pPr>
              <w:pStyle w:val="StyleProp"/>
              <w:spacing w:line="190" w:lineRule="exact"/>
              <w:rPr>
                <w:color w:val="000000" w:themeColor="text1"/>
              </w:rPr>
            </w:pPr>
            <w:r w:rsidRPr="00286216">
              <w:rPr>
                <w:color w:val="000000" w:themeColor="text1"/>
              </w:rPr>
              <w:t>1.</w:t>
            </w:r>
            <w:r w:rsidRPr="00286216">
              <w:rPr>
                <w:color w:val="000000" w:themeColor="text1"/>
              </w:rPr>
              <w:tab/>
              <w:t>Системно важливий професійний учасник ринків капіталу – професійний учасник ринків капіталу, діяльність якого впливає на стабільність функціонування ринків капіталу.</w:t>
            </w:r>
          </w:p>
          <w:p w14:paraId="343606CE" w14:textId="77777777" w:rsidR="00403AAD" w:rsidRPr="00286216" w:rsidRDefault="00403AAD" w:rsidP="00403AAD">
            <w:pPr>
              <w:pStyle w:val="StyleProp"/>
              <w:spacing w:line="190" w:lineRule="exact"/>
              <w:rPr>
                <w:color w:val="000000" w:themeColor="text1"/>
              </w:rPr>
            </w:pPr>
            <w:r w:rsidRPr="00286216">
              <w:rPr>
                <w:color w:val="000000" w:themeColor="text1"/>
              </w:rPr>
              <w:t>2.</w:t>
            </w:r>
            <w:r w:rsidRPr="00286216">
              <w:rPr>
                <w:color w:val="000000" w:themeColor="text1"/>
              </w:rPr>
              <w:tab/>
              <w:t>Системно важливими професійними учасниками ринків капіталу є:</w:t>
            </w:r>
          </w:p>
          <w:p w14:paraId="17AFCBEE" w14:textId="77777777" w:rsidR="00403AAD" w:rsidRPr="00286216" w:rsidRDefault="00403AAD" w:rsidP="00403AAD">
            <w:pPr>
              <w:pStyle w:val="StyleProp"/>
              <w:spacing w:line="190" w:lineRule="exact"/>
              <w:rPr>
                <w:color w:val="000000" w:themeColor="text1"/>
              </w:rPr>
            </w:pPr>
            <w:r w:rsidRPr="00286216">
              <w:rPr>
                <w:color w:val="000000" w:themeColor="text1"/>
              </w:rPr>
              <w:t>1) материнські установи;</w:t>
            </w:r>
          </w:p>
          <w:p w14:paraId="4E2F1AB0" w14:textId="77777777" w:rsidR="00403AAD" w:rsidRPr="00286216" w:rsidRDefault="00403AAD" w:rsidP="00403AAD">
            <w:pPr>
              <w:pStyle w:val="StyleProp"/>
              <w:spacing w:line="190" w:lineRule="exact"/>
              <w:rPr>
                <w:color w:val="000000" w:themeColor="text1"/>
              </w:rPr>
            </w:pPr>
            <w:r w:rsidRPr="00286216">
              <w:rPr>
                <w:color w:val="000000" w:themeColor="text1"/>
              </w:rPr>
              <w:t>2) материнські фінансові холдингові компанії;</w:t>
            </w:r>
          </w:p>
          <w:p w14:paraId="001FB8BE" w14:textId="77777777" w:rsidR="00403AAD" w:rsidRPr="00286216" w:rsidRDefault="00403AAD" w:rsidP="00403AAD">
            <w:pPr>
              <w:pStyle w:val="StyleProp"/>
              <w:spacing w:line="190" w:lineRule="exact"/>
              <w:rPr>
                <w:color w:val="000000" w:themeColor="text1"/>
              </w:rPr>
            </w:pPr>
            <w:r w:rsidRPr="00286216">
              <w:rPr>
                <w:color w:val="000000" w:themeColor="text1"/>
              </w:rPr>
              <w:lastRenderedPageBreak/>
              <w:t>3) змішані материнські фінансові холдингові компанії;</w:t>
            </w:r>
          </w:p>
          <w:p w14:paraId="5BFF0C97" w14:textId="77777777" w:rsidR="00403AAD" w:rsidRPr="00286216" w:rsidRDefault="00403AAD" w:rsidP="00403AAD">
            <w:pPr>
              <w:pStyle w:val="StyleProp"/>
              <w:spacing w:line="190" w:lineRule="exact"/>
              <w:rPr>
                <w:color w:val="000000" w:themeColor="text1"/>
              </w:rPr>
            </w:pPr>
            <w:r w:rsidRPr="00286216">
              <w:rPr>
                <w:color w:val="000000" w:themeColor="text1"/>
              </w:rPr>
              <w:t>4) професійні учасники ринків капіталу, неплатоспроможність або збої в діяльності яких можуть становити системний ризик для функціонування ринків капіталу.</w:t>
            </w:r>
          </w:p>
          <w:p w14:paraId="6292E634" w14:textId="77777777" w:rsidR="00403AAD" w:rsidRPr="00286216" w:rsidRDefault="00403AAD" w:rsidP="00403AAD">
            <w:pPr>
              <w:pStyle w:val="StyleProp"/>
              <w:spacing w:line="190" w:lineRule="exact"/>
              <w:rPr>
                <w:color w:val="000000" w:themeColor="text1"/>
              </w:rPr>
            </w:pPr>
            <w:r w:rsidRPr="00286216">
              <w:rPr>
                <w:color w:val="000000" w:themeColor="text1"/>
              </w:rPr>
              <w:t>3.</w:t>
            </w:r>
            <w:r w:rsidRPr="00286216">
              <w:rPr>
                <w:color w:val="000000" w:themeColor="text1"/>
              </w:rPr>
              <w:tab/>
              <w:t>Материнською установою є:</w:t>
            </w:r>
          </w:p>
          <w:p w14:paraId="38964FF4" w14:textId="77777777" w:rsidR="00403AAD" w:rsidRPr="00286216" w:rsidRDefault="00403AAD" w:rsidP="00403AAD">
            <w:pPr>
              <w:pStyle w:val="StyleProp"/>
              <w:spacing w:line="190" w:lineRule="exact"/>
              <w:rPr>
                <w:color w:val="000000" w:themeColor="text1"/>
              </w:rPr>
            </w:pPr>
            <w:r w:rsidRPr="00286216">
              <w:rPr>
                <w:color w:val="000000" w:themeColor="text1"/>
              </w:rPr>
              <w:t>1)</w:t>
            </w:r>
            <w:r w:rsidRPr="00286216">
              <w:rPr>
                <w:color w:val="000000" w:themeColor="text1"/>
              </w:rPr>
              <w:tab/>
              <w:t xml:space="preserve">професійний учасник ринків капіталу, дочірньою компанією якого є інвестиційна фірма, кредитна установа, фінансова компанія або підприємство, що надає додаткові послуги, та який не є дочірньою компанією іншого професійного учасника ринків капіталу, кредитної установи, фінансової холдингової компанії або змішаної фінансової холдингової компанії; </w:t>
            </w:r>
          </w:p>
          <w:p w14:paraId="79860F2A" w14:textId="77777777" w:rsidR="00403AAD" w:rsidRPr="00286216" w:rsidRDefault="00403AAD" w:rsidP="00403AAD">
            <w:pPr>
              <w:pStyle w:val="StyleProp"/>
              <w:spacing w:line="190" w:lineRule="exact"/>
              <w:rPr>
                <w:color w:val="000000" w:themeColor="text1"/>
              </w:rPr>
            </w:pPr>
            <w:r w:rsidRPr="00286216">
              <w:rPr>
                <w:color w:val="000000" w:themeColor="text1"/>
              </w:rPr>
              <w:t>2)</w:t>
            </w:r>
            <w:r w:rsidRPr="00286216">
              <w:rPr>
                <w:color w:val="000000" w:themeColor="text1"/>
              </w:rPr>
              <w:tab/>
              <w:t>професійний учасник ринків капіталу, який прямо або опосередковано володіє часткою у розмірі, що перевищує 20 відсотків капіталу (прав голосу) інвестиційної фірми, кредитної установи, фінансової компанії або підприємства, що надає додаткові послуги, та який не є дочірньою компанією іншого професійного учасника ринків капіталу, кредитної установи, фінансової холдингової компанії або змішаної фінансової холдингової компанії.</w:t>
            </w:r>
          </w:p>
          <w:p w14:paraId="2700C20F" w14:textId="77777777" w:rsidR="00403AAD" w:rsidRPr="00286216" w:rsidRDefault="00403AAD" w:rsidP="00403AAD">
            <w:pPr>
              <w:pStyle w:val="StyleProp"/>
              <w:spacing w:line="190" w:lineRule="exact"/>
              <w:rPr>
                <w:color w:val="000000" w:themeColor="text1"/>
              </w:rPr>
            </w:pPr>
            <w:r w:rsidRPr="00286216">
              <w:rPr>
                <w:color w:val="000000" w:themeColor="text1"/>
              </w:rPr>
              <w:t>4.</w:t>
            </w:r>
            <w:r w:rsidRPr="00286216">
              <w:rPr>
                <w:color w:val="000000" w:themeColor="text1"/>
              </w:rPr>
              <w:tab/>
              <w:t>Для цілей цієї статті дочірньою компанією є юридична особа, у якій інша юридична особа (материнська компанія):</w:t>
            </w:r>
          </w:p>
          <w:p w14:paraId="63218068" w14:textId="77777777" w:rsidR="00403AAD" w:rsidRPr="00286216" w:rsidRDefault="00403AAD" w:rsidP="00403AAD">
            <w:pPr>
              <w:pStyle w:val="StyleProp"/>
              <w:spacing w:line="190" w:lineRule="exact"/>
              <w:rPr>
                <w:color w:val="000000" w:themeColor="text1"/>
              </w:rPr>
            </w:pPr>
            <w:r w:rsidRPr="00286216">
              <w:rPr>
                <w:color w:val="000000" w:themeColor="text1"/>
              </w:rPr>
              <w:t>1)</w:t>
            </w:r>
            <w:r w:rsidRPr="00286216">
              <w:rPr>
                <w:color w:val="000000" w:themeColor="text1"/>
              </w:rPr>
              <w:tab/>
              <w:t>має більшість прав голосу або</w:t>
            </w:r>
          </w:p>
          <w:p w14:paraId="1747F026" w14:textId="77777777" w:rsidR="00403AAD" w:rsidRPr="00286216" w:rsidRDefault="00403AAD" w:rsidP="00403AAD">
            <w:pPr>
              <w:pStyle w:val="StyleProp"/>
              <w:spacing w:line="190" w:lineRule="exact"/>
              <w:rPr>
                <w:color w:val="000000" w:themeColor="text1"/>
              </w:rPr>
            </w:pPr>
            <w:r w:rsidRPr="00286216">
              <w:rPr>
                <w:color w:val="000000" w:themeColor="text1"/>
              </w:rPr>
              <w:t>2)</w:t>
            </w:r>
            <w:r w:rsidRPr="00286216">
              <w:rPr>
                <w:color w:val="000000" w:themeColor="text1"/>
              </w:rPr>
              <w:tab/>
              <w:t xml:space="preserve">має право формування складу органів управління як учасник (акціонер) або </w:t>
            </w:r>
          </w:p>
          <w:p w14:paraId="3DD49787" w14:textId="77777777" w:rsidR="00403AAD" w:rsidRPr="00286216" w:rsidRDefault="00403AAD" w:rsidP="00403AAD">
            <w:pPr>
              <w:pStyle w:val="StyleProp"/>
              <w:spacing w:line="190" w:lineRule="exact"/>
              <w:rPr>
                <w:color w:val="000000" w:themeColor="text1"/>
              </w:rPr>
            </w:pPr>
            <w:r w:rsidRPr="00286216">
              <w:rPr>
                <w:color w:val="000000" w:themeColor="text1"/>
              </w:rPr>
              <w:t>3)</w:t>
            </w:r>
            <w:r w:rsidRPr="00286216">
              <w:rPr>
                <w:color w:val="000000" w:themeColor="text1"/>
              </w:rPr>
              <w:tab/>
              <w:t>має можливість здійснювати вирішальний вплив на управління діяльністю на основі угоди або</w:t>
            </w:r>
          </w:p>
          <w:p w14:paraId="1FC5F8F3" w14:textId="77777777" w:rsidR="00403AAD" w:rsidRPr="00286216" w:rsidRDefault="00403AAD" w:rsidP="00403AAD">
            <w:pPr>
              <w:pStyle w:val="StyleProp"/>
              <w:spacing w:line="190" w:lineRule="exact"/>
              <w:rPr>
                <w:color w:val="000000" w:themeColor="text1"/>
              </w:rPr>
            </w:pPr>
            <w:r w:rsidRPr="00286216">
              <w:rPr>
                <w:color w:val="000000" w:themeColor="text1"/>
              </w:rPr>
              <w:t>4)</w:t>
            </w:r>
            <w:r w:rsidRPr="00286216">
              <w:rPr>
                <w:color w:val="000000" w:themeColor="text1"/>
              </w:rPr>
              <w:tab/>
              <w:t>є учасником (акціонером) та за умови, що виконується хоча б одна з наступних умов:</w:t>
            </w:r>
          </w:p>
          <w:p w14:paraId="08EC5321" w14:textId="77777777" w:rsidR="00403AAD" w:rsidRPr="00286216" w:rsidRDefault="00403AAD" w:rsidP="00403AAD">
            <w:pPr>
              <w:pStyle w:val="StyleProp"/>
              <w:spacing w:line="190" w:lineRule="exact"/>
              <w:rPr>
                <w:color w:val="000000" w:themeColor="text1"/>
              </w:rPr>
            </w:pPr>
            <w:r w:rsidRPr="00286216">
              <w:rPr>
                <w:color w:val="000000" w:themeColor="text1"/>
              </w:rPr>
              <w:t>а) більшість членів органів управління дочірньої компанії, що обіймали посади протягом поточного та попереднього фінансового року, були назначені виключно за результатами голосування материнської компанії, якщо такій компанії належало 20 і більше відсотків прав голосу та участь у голосуванні не приймали інші юридичні особи, які відповідають вимогам пунктів 1 - 3 цієї частини статті;</w:t>
            </w:r>
          </w:p>
          <w:p w14:paraId="6D3DCC16"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б) на підставі договору, укладеного з іншими учасниками (акціонерами), </w:t>
            </w:r>
            <w:r w:rsidRPr="00286216">
              <w:rPr>
                <w:color w:val="000000" w:themeColor="text1"/>
              </w:rPr>
              <w:lastRenderedPageBreak/>
              <w:t>самостійно контролює більшість прав голосу.</w:t>
            </w:r>
          </w:p>
          <w:p w14:paraId="76CB638C"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пунктів 1, 2 та 4 цієї частини статті при визначенні належних материнській компанії прав голосу та прав формування органів управління, права голосу та права формування органів управління у тій само особі, що належать іншим дочірнім компаніям цієї ж материнської компанії, або особам, які діють від їх імені, додаються до відповідних прав материнської компанії.</w:t>
            </w:r>
          </w:p>
          <w:p w14:paraId="73B6DFED"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пунктів 1 та 3 цієї частини статті загальна кількість прав голосу повинна бути зменшена на кількість прав, які належать самій дочірній компанії або  дочірній компанії такої дочірньої компанії, або особам, які діють від власного імені в інтересах таких компаній.</w:t>
            </w:r>
          </w:p>
          <w:p w14:paraId="49B980DB"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пунктів 1, 2 та 4 цієї частини статті при визначенні належних материнській компанії прав голосу та прав формування органів управління, такі права повинні бути зменшені на відповідну кількість прав, якими володіють в інтересах осіб, які не є материнською компанією або її дочірніми компаніями, або якими володіють за акціями, за умови, що відповідні права здійснюються на підставі отриманих інструкцій, або якими володіють у в рамках договору застави, за умови, що права голосу здійснюються в інтересах особи, що надає акції у заставу.</w:t>
            </w:r>
          </w:p>
          <w:p w14:paraId="6C9131D7"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цієї статті дочірні компанії дочірніх компаній вважаються дочірніми компаніями самої материнської компанії.</w:t>
            </w:r>
          </w:p>
          <w:p w14:paraId="1931EE9B" w14:textId="154431B7" w:rsidR="00403AAD" w:rsidRPr="00286216" w:rsidRDefault="00403AAD" w:rsidP="00403AAD">
            <w:pPr>
              <w:pStyle w:val="StyleProp"/>
              <w:spacing w:line="190" w:lineRule="exact"/>
              <w:rPr>
                <w:color w:val="000000" w:themeColor="text1"/>
              </w:rPr>
            </w:pPr>
            <w:r w:rsidRPr="00286216">
              <w:rPr>
                <w:color w:val="000000" w:themeColor="text1"/>
              </w:rPr>
              <w:t>5.</w:t>
            </w:r>
            <w:r w:rsidRPr="00286216">
              <w:rPr>
                <w:color w:val="000000" w:themeColor="text1"/>
              </w:rPr>
              <w:tab/>
              <w:t>Фінансовою компанією є фінансова установа (крім інвестиційних фірм, кредитних установ, корпоративних інвестиційних фондів, та фінансових установ, що провадять діяльність, передбачену пунктами 9, 11-1 – 13 частини першої статті 4 Закону України «Про фінансові послуги та державне регулювання ринків фінансових послуг»), змішана фінансова холдингова компанія, платіжна організація.</w:t>
            </w:r>
          </w:p>
          <w:p w14:paraId="2B9B808F" w14:textId="77777777" w:rsidR="00403AAD" w:rsidRPr="00286216" w:rsidRDefault="00403AAD" w:rsidP="00403AAD">
            <w:pPr>
              <w:pStyle w:val="StyleProp"/>
              <w:spacing w:line="190" w:lineRule="exact"/>
              <w:rPr>
                <w:color w:val="000000" w:themeColor="text1"/>
              </w:rPr>
            </w:pPr>
            <w:r w:rsidRPr="00286216">
              <w:rPr>
                <w:color w:val="000000" w:themeColor="text1"/>
              </w:rPr>
              <w:t>6.</w:t>
            </w:r>
            <w:r w:rsidRPr="00286216">
              <w:rPr>
                <w:color w:val="000000" w:themeColor="text1"/>
              </w:rPr>
              <w:tab/>
              <w:t>Підприємство є таким, що надає додаткові послуги, якщо провадження ним діяльності передбачає володіння або надання у користування нерухомого майна, надання послуг з обробки інформації, або подібних послуг одній або більше інвестиційній фірмі чи кредитній установі, що споживаються такими фірмами чи установами при провадженні основного виду діяльності.</w:t>
            </w:r>
          </w:p>
          <w:p w14:paraId="079FB609" w14:textId="77777777" w:rsidR="00403AAD" w:rsidRPr="00286216" w:rsidRDefault="00403AAD" w:rsidP="00403AAD">
            <w:pPr>
              <w:pStyle w:val="StyleProp"/>
              <w:spacing w:line="190" w:lineRule="exact"/>
              <w:rPr>
                <w:color w:val="000000" w:themeColor="text1"/>
              </w:rPr>
            </w:pPr>
            <w:r w:rsidRPr="00286216">
              <w:rPr>
                <w:color w:val="000000" w:themeColor="text1"/>
              </w:rPr>
              <w:t>7.</w:t>
            </w:r>
            <w:r w:rsidRPr="00286216">
              <w:rPr>
                <w:color w:val="000000" w:themeColor="text1"/>
              </w:rPr>
              <w:tab/>
              <w:t xml:space="preserve">Материнською фінансовою </w:t>
            </w:r>
            <w:r w:rsidRPr="00286216">
              <w:rPr>
                <w:color w:val="000000" w:themeColor="text1"/>
              </w:rPr>
              <w:lastRenderedPageBreak/>
              <w:t>холдинговою компанією є фінансова холдингова компанія, яка не є дочірньою компанією професійного учасника ринків капіталу, кредитної установи,  фінансової холдингової компанії або змішаної фінансової холдингової компанії.</w:t>
            </w:r>
          </w:p>
          <w:p w14:paraId="151720B5" w14:textId="77777777" w:rsidR="00403AAD" w:rsidRPr="00286216" w:rsidRDefault="00403AAD" w:rsidP="00403AAD">
            <w:pPr>
              <w:pStyle w:val="StyleProp"/>
              <w:spacing w:line="190" w:lineRule="exact"/>
              <w:rPr>
                <w:color w:val="000000" w:themeColor="text1"/>
              </w:rPr>
            </w:pPr>
            <w:r w:rsidRPr="00286216">
              <w:rPr>
                <w:color w:val="000000" w:themeColor="text1"/>
              </w:rPr>
              <w:t>8.</w:t>
            </w:r>
            <w:r w:rsidRPr="00286216">
              <w:rPr>
                <w:color w:val="000000" w:themeColor="text1"/>
              </w:rPr>
              <w:tab/>
              <w:t xml:space="preserve">Фінансовою холдинговою компанією є фінансова компанія, більшість або усі дочірні компанії якої складають професійні учасники ринків капіталу, кредитні установи або фінансові компанії, та яка не є змішаною фінансовою холдинговою компанією. </w:t>
            </w:r>
          </w:p>
          <w:p w14:paraId="334E8464"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цієї статті більшість дочірніх компаній фінансової холдингової компанії складають професійні учасники ринків капіталу, кредитні установи або фінансові компанії, якщо принаймні однією з таких дочірніх компаній є професійний учасників ринків капіталу або кредитна установа та за умови, дотримання хоча б однієї з наступних умов:</w:t>
            </w:r>
          </w:p>
          <w:p w14:paraId="6639B27D" w14:textId="77777777" w:rsidR="00403AAD" w:rsidRPr="00286216" w:rsidRDefault="00403AAD" w:rsidP="00403AAD">
            <w:pPr>
              <w:pStyle w:val="StyleProp"/>
              <w:spacing w:line="190" w:lineRule="exact"/>
              <w:rPr>
                <w:color w:val="000000" w:themeColor="text1"/>
              </w:rPr>
            </w:pPr>
            <w:r w:rsidRPr="00286216">
              <w:rPr>
                <w:color w:val="000000" w:themeColor="text1"/>
              </w:rPr>
              <w:t>1)</w:t>
            </w:r>
            <w:r w:rsidRPr="00286216">
              <w:rPr>
                <w:color w:val="000000" w:themeColor="text1"/>
              </w:rPr>
              <w:tab/>
              <w:t>більше 50% належних фінансовій холдинговій компанії корпоративних прав є корпоративними правами, емітентом яких є її дочірні компанії, що є професійними учасниками ринків капіталу, кредитні установи або фінансовими компаніями;</w:t>
            </w:r>
          </w:p>
          <w:p w14:paraId="4E814E29" w14:textId="77777777" w:rsidR="00403AAD" w:rsidRPr="00286216" w:rsidRDefault="00403AAD" w:rsidP="00403AAD">
            <w:pPr>
              <w:pStyle w:val="StyleProp"/>
              <w:spacing w:line="190" w:lineRule="exact"/>
              <w:rPr>
                <w:color w:val="000000" w:themeColor="text1"/>
              </w:rPr>
            </w:pPr>
            <w:r w:rsidRPr="00286216">
              <w:rPr>
                <w:color w:val="000000" w:themeColor="text1"/>
              </w:rPr>
              <w:t>2)</w:t>
            </w:r>
            <w:r w:rsidRPr="00286216">
              <w:rPr>
                <w:color w:val="000000" w:themeColor="text1"/>
              </w:rPr>
              <w:tab/>
              <w:t>більше 50% активів за даними консолідованої фінансової звітності фінансової холдингової компанії складають активи дочірніх компаній, що є професійними учасниками ринків капіталу, кредитними установами або фінансовими компаніями;</w:t>
            </w:r>
          </w:p>
          <w:p w14:paraId="51A0522F" w14:textId="77777777" w:rsidR="00403AAD" w:rsidRPr="00286216" w:rsidRDefault="00403AAD" w:rsidP="00403AAD">
            <w:pPr>
              <w:pStyle w:val="StyleProp"/>
              <w:spacing w:line="190" w:lineRule="exact"/>
              <w:rPr>
                <w:color w:val="000000" w:themeColor="text1"/>
              </w:rPr>
            </w:pPr>
            <w:r w:rsidRPr="00286216">
              <w:rPr>
                <w:color w:val="000000" w:themeColor="text1"/>
              </w:rPr>
              <w:t>3)</w:t>
            </w:r>
            <w:r w:rsidRPr="00286216">
              <w:rPr>
                <w:color w:val="000000" w:themeColor="text1"/>
              </w:rPr>
              <w:tab/>
              <w:t>більше 50% доходів, отриманих фінансовою холдинговою компанією за звітний період, є такими, що отримані від дочірніх компаній, що є професійними учасниками ринків капіталу, кредитними установами або фінансовими компаніями;</w:t>
            </w:r>
          </w:p>
          <w:p w14:paraId="0E7DC65F" w14:textId="77777777" w:rsidR="00403AAD" w:rsidRPr="00286216" w:rsidRDefault="00403AAD" w:rsidP="00403AAD">
            <w:pPr>
              <w:pStyle w:val="StyleProp"/>
              <w:spacing w:line="190" w:lineRule="exact"/>
              <w:rPr>
                <w:color w:val="000000" w:themeColor="text1"/>
              </w:rPr>
            </w:pPr>
            <w:r w:rsidRPr="00286216">
              <w:rPr>
                <w:color w:val="000000" w:themeColor="text1"/>
              </w:rPr>
              <w:t>4)</w:t>
            </w:r>
            <w:r w:rsidRPr="00286216">
              <w:rPr>
                <w:color w:val="000000" w:themeColor="text1"/>
              </w:rPr>
              <w:tab/>
              <w:t>більше 50% працівників фінансової холдингової компанії працюють за сумісництвом, надають послуги або виконують роботи за цивільно-правовими договорами з дочірніми компаніями, що є професійними учасниками ринків капіталу, кредитними установами або фінансовими компаніями;</w:t>
            </w:r>
          </w:p>
          <w:p w14:paraId="0A2FD034" w14:textId="77777777" w:rsidR="00403AAD" w:rsidRPr="00286216" w:rsidRDefault="00403AAD" w:rsidP="00403AAD">
            <w:pPr>
              <w:pStyle w:val="StyleProp"/>
              <w:spacing w:line="190" w:lineRule="exact"/>
              <w:rPr>
                <w:color w:val="000000" w:themeColor="text1"/>
              </w:rPr>
            </w:pPr>
            <w:r w:rsidRPr="00286216">
              <w:rPr>
                <w:color w:val="000000" w:themeColor="text1"/>
              </w:rPr>
              <w:t>5)</w:t>
            </w:r>
            <w:r w:rsidRPr="00286216">
              <w:rPr>
                <w:color w:val="000000" w:themeColor="text1"/>
              </w:rPr>
              <w:tab/>
              <w:t xml:space="preserve">більше 50% значень іншого показника, встановленого Національною комісією з цінних паперів та фондового ринку, є пов’язаними з її дочірніми </w:t>
            </w:r>
            <w:r w:rsidRPr="00286216">
              <w:rPr>
                <w:color w:val="000000" w:themeColor="text1"/>
              </w:rPr>
              <w:lastRenderedPageBreak/>
              <w:t>компаніями, що є професійними учасниками ринків капіталу, кредитними установами або фінансовими компаніями.</w:t>
            </w:r>
          </w:p>
          <w:p w14:paraId="67531C60" w14:textId="77777777" w:rsidR="00403AAD" w:rsidRPr="00286216" w:rsidRDefault="00403AAD" w:rsidP="00403AAD">
            <w:pPr>
              <w:pStyle w:val="StyleProp"/>
              <w:spacing w:line="190" w:lineRule="exact"/>
              <w:rPr>
                <w:color w:val="000000" w:themeColor="text1"/>
              </w:rPr>
            </w:pPr>
            <w:r w:rsidRPr="00286216">
              <w:rPr>
                <w:color w:val="000000" w:themeColor="text1"/>
              </w:rPr>
              <w:t>9.</w:t>
            </w:r>
            <w:r w:rsidRPr="00286216">
              <w:rPr>
                <w:color w:val="000000" w:themeColor="text1"/>
              </w:rPr>
              <w:tab/>
              <w:t>Змішаною фінансовою холдинговою компанією є материнська компанія (крім кредитних установ, інвестиційних фірм, компаній з управління активами, страховиків (перестраховиків), страхових (перестрахових) брокерів), яка разом з дочірніми компаніями, щонайменше однією з яких є кредитна установа, інвестиційна фірма, компанія з управління активами або страховик (перестраховик), страховий (перестраховий) брокер)утворює фінансовий конгломерат.</w:t>
            </w:r>
          </w:p>
          <w:p w14:paraId="7A7485A2" w14:textId="77777777" w:rsidR="00403AAD" w:rsidRPr="00286216" w:rsidRDefault="00403AAD" w:rsidP="00403AAD">
            <w:pPr>
              <w:pStyle w:val="StyleProp"/>
              <w:spacing w:line="190" w:lineRule="exact"/>
              <w:rPr>
                <w:color w:val="000000" w:themeColor="text1"/>
              </w:rPr>
            </w:pPr>
            <w:r w:rsidRPr="00286216">
              <w:rPr>
                <w:color w:val="000000" w:themeColor="text1"/>
              </w:rPr>
              <w:t>10.</w:t>
            </w:r>
            <w:r w:rsidRPr="00286216">
              <w:rPr>
                <w:color w:val="000000" w:themeColor="text1"/>
              </w:rPr>
              <w:tab/>
              <w:t>Фінансовим конгломератом є група або підгрупа юридичних осіб, в якій керівником  групи або підгрупи є кредитна установа, інвестиційна фірма, компанія з управління активами, страховик (перестраховик), або страховий (перестраховий) брокер) або в якій хоча б одна з дочірніх компаній цієї групи або підгрупи є кредитною установою, інвестиційною фірмою, компанією з управління активами, страховиком (перестраховиком), або страховим (перестраховим) брокером) і яка відповідає одній з таких умов:</w:t>
            </w:r>
          </w:p>
          <w:p w14:paraId="6337943B" w14:textId="77777777" w:rsidR="00403AAD" w:rsidRPr="00286216" w:rsidRDefault="00403AAD" w:rsidP="00403AAD">
            <w:pPr>
              <w:pStyle w:val="StyleProp"/>
              <w:spacing w:line="190" w:lineRule="exact"/>
              <w:rPr>
                <w:color w:val="000000" w:themeColor="text1"/>
              </w:rPr>
            </w:pPr>
            <w:r w:rsidRPr="00286216">
              <w:rPr>
                <w:color w:val="000000" w:themeColor="text1"/>
              </w:rPr>
              <w:t>1) якщо керівником групи або підгрупи є кредитна установа, інвестиційна фірма, компанія з управління активами, страховик (перестраховик) або страховий (перестраховий) брокер):</w:t>
            </w:r>
          </w:p>
          <w:p w14:paraId="663E895A" w14:textId="77777777" w:rsidR="00403AAD" w:rsidRPr="00286216" w:rsidRDefault="00403AAD" w:rsidP="00403AAD">
            <w:pPr>
              <w:pStyle w:val="StyleProp"/>
              <w:spacing w:line="190" w:lineRule="exact"/>
              <w:rPr>
                <w:color w:val="000000" w:themeColor="text1"/>
              </w:rPr>
            </w:pPr>
            <w:r w:rsidRPr="00286216">
              <w:rPr>
                <w:color w:val="000000" w:themeColor="text1"/>
              </w:rPr>
              <w:t>а) такий керівник є материнською компанією: підприємства, що надає фінансові послуги; підприємства, яке володіє часткою у розмірі, що перевищує 20 відсотків капіталу (прав голосу) підприємства, що надає фінансові послуги; або підприємства, що перебуває з підприємством, що надає фінансові послуги, під спільним контролем, або має більше ніж половину спільних членів органів управління та складає консолідовану фінансову звітність за Міжнародними стандартами фінансової звітності, або складає комбіновану фінансову звітність із дотриманням Міжнародних стандартів фінансової звітності;</w:t>
            </w:r>
          </w:p>
          <w:p w14:paraId="08282D72"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б) принаймні один з членів групи або підгрупи надає послуги у сфері страхування (перестрахування), принаймні один з членів групи або підгрупи є банком або </w:t>
            </w:r>
            <w:r w:rsidRPr="00286216">
              <w:rPr>
                <w:color w:val="000000" w:themeColor="text1"/>
              </w:rPr>
              <w:lastRenderedPageBreak/>
              <w:t>професійним учасником ринків капіталу;</w:t>
            </w:r>
          </w:p>
          <w:p w14:paraId="08642989" w14:textId="77777777" w:rsidR="00403AAD" w:rsidRPr="00286216" w:rsidRDefault="00403AAD" w:rsidP="00403AAD">
            <w:pPr>
              <w:pStyle w:val="StyleProp"/>
              <w:spacing w:line="190" w:lineRule="exact"/>
              <w:rPr>
                <w:color w:val="000000" w:themeColor="text1"/>
              </w:rPr>
            </w:pPr>
            <w:r w:rsidRPr="00286216">
              <w:rPr>
                <w:color w:val="000000" w:themeColor="text1"/>
              </w:rPr>
              <w:t>в) діяльність підприємств групи або підгрупи в у сфері страхування (перестрахування) і у сфері надання банківських або інвестиційних послуг є суттєвою.</w:t>
            </w:r>
          </w:p>
          <w:p w14:paraId="059A2C50" w14:textId="77777777" w:rsidR="00403AAD" w:rsidRPr="00286216" w:rsidRDefault="00403AAD" w:rsidP="00403AAD">
            <w:pPr>
              <w:pStyle w:val="StyleProp"/>
              <w:spacing w:line="190" w:lineRule="exact"/>
              <w:rPr>
                <w:color w:val="000000" w:themeColor="text1"/>
              </w:rPr>
            </w:pPr>
            <w:r w:rsidRPr="00286216">
              <w:rPr>
                <w:color w:val="000000" w:themeColor="text1"/>
              </w:rPr>
              <w:t>2) якщо керівником групи або підгрупи не є кредитна установа, інвестиційна фірма, компанія з управління активами, страховик (перестраховик) або страховий (перестраховий) брокер):</w:t>
            </w:r>
          </w:p>
          <w:p w14:paraId="06A2ADBE" w14:textId="77777777" w:rsidR="00403AAD" w:rsidRPr="00286216" w:rsidRDefault="00403AAD" w:rsidP="00403AAD">
            <w:pPr>
              <w:pStyle w:val="StyleProp"/>
              <w:spacing w:line="190" w:lineRule="exact"/>
              <w:rPr>
                <w:color w:val="000000" w:themeColor="text1"/>
              </w:rPr>
            </w:pPr>
            <w:r w:rsidRPr="00286216">
              <w:rPr>
                <w:color w:val="000000" w:themeColor="text1"/>
              </w:rPr>
              <w:t>а) співвідношення підсумку балансу  членів групи, що надають фінансові послуги, до загального підсумку балансу перевищує 40%.</w:t>
            </w:r>
          </w:p>
          <w:p w14:paraId="29EFF9BD" w14:textId="77777777" w:rsidR="00403AAD" w:rsidRPr="00286216" w:rsidRDefault="00403AAD" w:rsidP="00403AAD">
            <w:pPr>
              <w:pStyle w:val="StyleProp"/>
              <w:spacing w:line="190" w:lineRule="exact"/>
              <w:rPr>
                <w:color w:val="000000" w:themeColor="text1"/>
              </w:rPr>
            </w:pPr>
            <w:r w:rsidRPr="00286216">
              <w:rPr>
                <w:color w:val="000000" w:themeColor="text1"/>
              </w:rPr>
              <w:t>б) принаймні один з членів групи або підгрупи надає послуги у сфері страхування (перестрахування), принаймні один з членів групи або підгрупи є банком або професійним учасником ринків  капіталу;</w:t>
            </w:r>
          </w:p>
          <w:p w14:paraId="764C8579" w14:textId="77777777" w:rsidR="00403AAD" w:rsidRPr="00286216" w:rsidRDefault="00403AAD" w:rsidP="00403AAD">
            <w:pPr>
              <w:pStyle w:val="StyleProp"/>
              <w:spacing w:line="190" w:lineRule="exact"/>
              <w:rPr>
                <w:color w:val="000000" w:themeColor="text1"/>
              </w:rPr>
            </w:pPr>
            <w:r w:rsidRPr="00286216">
              <w:rPr>
                <w:color w:val="000000" w:themeColor="text1"/>
              </w:rPr>
              <w:t>в) діяльність підприємств групи або підгрупи в у сфері страхування (перестрахування) і у сфері надання банківських або інвестиційних послуг є суттєвою.</w:t>
            </w:r>
          </w:p>
          <w:p w14:paraId="70A96D89" w14:textId="77777777" w:rsidR="00403AAD" w:rsidRPr="00286216" w:rsidRDefault="00403AAD" w:rsidP="00403AAD">
            <w:pPr>
              <w:pStyle w:val="StyleProp"/>
              <w:spacing w:line="190" w:lineRule="exact"/>
              <w:rPr>
                <w:color w:val="000000" w:themeColor="text1"/>
              </w:rPr>
            </w:pPr>
            <w:r w:rsidRPr="00286216">
              <w:rPr>
                <w:color w:val="000000" w:themeColor="text1"/>
              </w:rPr>
              <w:t>Для цілей цієї статті діяльність є суттєвою якщо для кожної сфери діяльності, середнє співвідношення підсумку балансу підприємств цієї сфери до підсумку балансу  групи перевищує 10%, а також співвідношення вимог до платоспроможності підприємств цієї сфери діяльності до загальних вимог до платоспроможності суб'єктів групи перевищує 10%.</w:t>
            </w:r>
          </w:p>
          <w:p w14:paraId="2EDC2744" w14:textId="77777777" w:rsidR="00403AAD" w:rsidRPr="00286216" w:rsidRDefault="00403AAD" w:rsidP="00403AAD">
            <w:pPr>
              <w:pStyle w:val="StyleProp"/>
              <w:spacing w:line="190" w:lineRule="exact"/>
              <w:rPr>
                <w:color w:val="000000" w:themeColor="text1"/>
              </w:rPr>
            </w:pPr>
            <w:r w:rsidRPr="00286216">
              <w:rPr>
                <w:color w:val="000000" w:themeColor="text1"/>
              </w:rPr>
              <w:t>Порядок визначення керівника групи (підгрупи) встановлюється нормативно-правовими актами Національної комісії з цінних паперів та фондового ринку.</w:t>
            </w:r>
          </w:p>
          <w:p w14:paraId="4EDB3757" w14:textId="77777777" w:rsidR="00403AAD" w:rsidRPr="00286216" w:rsidRDefault="00403AAD" w:rsidP="00403AAD">
            <w:pPr>
              <w:pStyle w:val="StyleProp"/>
              <w:spacing w:line="190" w:lineRule="exact"/>
              <w:rPr>
                <w:color w:val="000000" w:themeColor="text1"/>
              </w:rPr>
            </w:pPr>
            <w:r w:rsidRPr="00286216">
              <w:rPr>
                <w:color w:val="000000" w:themeColor="text1"/>
              </w:rPr>
              <w:t>11.</w:t>
            </w:r>
            <w:r w:rsidRPr="00286216">
              <w:rPr>
                <w:color w:val="000000" w:themeColor="text1"/>
              </w:rPr>
              <w:tab/>
              <w:t xml:space="preserve"> Змішаною материнською фінансовою холдинговою компанією є змішана фінансова холдингова компанія, яка не є дочірньою компанією професійного учасника ринків капіталу, кредитної установи фінансової холдингової компанії або змішаної фінансової холдингової компанії.</w:t>
            </w:r>
          </w:p>
          <w:p w14:paraId="4AE6E410" w14:textId="77777777" w:rsidR="00403AAD" w:rsidRPr="00286216" w:rsidRDefault="00403AAD" w:rsidP="00403AAD">
            <w:pPr>
              <w:pStyle w:val="StyleProp"/>
              <w:spacing w:line="190" w:lineRule="exact"/>
              <w:rPr>
                <w:color w:val="000000" w:themeColor="text1"/>
              </w:rPr>
            </w:pPr>
            <w:r w:rsidRPr="00286216">
              <w:rPr>
                <w:color w:val="000000" w:themeColor="text1"/>
              </w:rPr>
              <w:t>12.</w:t>
            </w:r>
            <w:r w:rsidRPr="00286216">
              <w:rPr>
                <w:color w:val="000000" w:themeColor="text1"/>
              </w:rPr>
              <w:tab/>
              <w:t xml:space="preserve"> Системний ризик для функціонування ринків капіталу – це  ризик збоїв в роботі фінансової системи, які можуть мати значні негативні наслідки для неї і реального сектора економіки. </w:t>
            </w:r>
          </w:p>
          <w:p w14:paraId="16C82364"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Національна комісія з цінних паперів та фондового ринку розробляє методологію визначення ризику збою в роботі </w:t>
            </w:r>
            <w:r w:rsidRPr="00286216">
              <w:rPr>
                <w:color w:val="000000" w:themeColor="text1"/>
              </w:rPr>
              <w:lastRenderedPageBreak/>
              <w:t xml:space="preserve">професійного учасника як системного на основі таких критеріїв: </w:t>
            </w:r>
          </w:p>
          <w:p w14:paraId="1702642F" w14:textId="77777777" w:rsidR="00403AAD" w:rsidRPr="00286216" w:rsidRDefault="00403AAD" w:rsidP="00403AAD">
            <w:pPr>
              <w:pStyle w:val="StyleProp"/>
              <w:spacing w:line="190" w:lineRule="exact"/>
              <w:rPr>
                <w:color w:val="000000" w:themeColor="text1"/>
              </w:rPr>
            </w:pPr>
            <w:r w:rsidRPr="00286216">
              <w:rPr>
                <w:color w:val="000000" w:themeColor="text1"/>
              </w:rPr>
              <w:t>1) обсяг фінансових послуг, що надаються окремим професійним учасником ринків капіталу та організованих товарних ринків;</w:t>
            </w:r>
          </w:p>
          <w:p w14:paraId="51CA2309" w14:textId="77777777" w:rsidR="00403AAD" w:rsidRPr="00286216" w:rsidRDefault="00403AAD" w:rsidP="00403AAD">
            <w:pPr>
              <w:pStyle w:val="StyleProp"/>
              <w:spacing w:line="190" w:lineRule="exact"/>
              <w:rPr>
                <w:color w:val="000000" w:themeColor="text1"/>
              </w:rPr>
            </w:pPr>
            <w:r w:rsidRPr="00286216">
              <w:rPr>
                <w:color w:val="000000" w:themeColor="text1"/>
              </w:rPr>
              <w:t>2) можливість заміщення послуг, що надаються професійним учасником, послугами інших учасників;</w:t>
            </w:r>
          </w:p>
          <w:p w14:paraId="52AEE071" w14:textId="77777777" w:rsidR="00403AAD" w:rsidRPr="00286216" w:rsidRDefault="00403AAD" w:rsidP="00403AAD">
            <w:pPr>
              <w:pStyle w:val="StyleProp"/>
              <w:spacing w:line="190" w:lineRule="exact"/>
              <w:rPr>
                <w:color w:val="000000" w:themeColor="text1"/>
              </w:rPr>
            </w:pPr>
            <w:r w:rsidRPr="00286216">
              <w:rPr>
                <w:color w:val="000000" w:themeColor="text1"/>
              </w:rPr>
              <w:t>3) пов’язаність діяльності професійного учасника з діяльністю інших професійних учасників та підприємствами реального сектора економіки".</w:t>
            </w:r>
          </w:p>
        </w:tc>
        <w:tc>
          <w:tcPr>
            <w:tcW w:w="1987" w:type="dxa"/>
          </w:tcPr>
          <w:p w14:paraId="19E53688"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3428E6A2" w14:textId="77777777" w:rsidR="00403AAD" w:rsidRPr="00286216" w:rsidRDefault="00403AAD" w:rsidP="00403AAD">
            <w:pPr>
              <w:pStyle w:val="StyleZakonu"/>
              <w:spacing w:line="210" w:lineRule="exact"/>
              <w:rPr>
                <w:color w:val="000000" w:themeColor="text1"/>
              </w:rPr>
            </w:pPr>
            <w:r w:rsidRPr="00286216">
              <w:rPr>
                <w:color w:val="000000" w:themeColor="text1"/>
              </w:rPr>
              <w:t>Стаття 43. Системно важливі професійні учасники ринків капіталу та організованих товарних ринків</w:t>
            </w:r>
          </w:p>
          <w:p w14:paraId="2024B0CA" w14:textId="77777777" w:rsidR="00403AAD" w:rsidRPr="00286216" w:rsidRDefault="00403AAD" w:rsidP="00403AAD">
            <w:pPr>
              <w:pStyle w:val="StyleZakonu"/>
              <w:spacing w:line="210" w:lineRule="exact"/>
              <w:rPr>
                <w:color w:val="000000" w:themeColor="text1"/>
              </w:rPr>
            </w:pPr>
            <w:r w:rsidRPr="00286216">
              <w:rPr>
                <w:color w:val="000000" w:themeColor="text1"/>
              </w:rPr>
              <w:t>1. Системно важливий професійний учасник ринків капіталу та організованих товарних ринків – це професійний учасник ринків капіталу, діяльність якого впливає на стабільність функціонування ринків капіталу.</w:t>
            </w:r>
          </w:p>
          <w:p w14:paraId="3A9F0A5A" w14:textId="77777777" w:rsidR="00403AAD" w:rsidRPr="00286216" w:rsidRDefault="00403AAD" w:rsidP="00403AAD">
            <w:pPr>
              <w:pStyle w:val="StyleZakonu"/>
              <w:spacing w:line="210" w:lineRule="exact"/>
              <w:rPr>
                <w:color w:val="000000" w:themeColor="text1"/>
              </w:rPr>
            </w:pPr>
            <w:r w:rsidRPr="00286216">
              <w:rPr>
                <w:color w:val="000000" w:themeColor="text1"/>
              </w:rPr>
              <w:t>2. Системно важливими професійними учасниками ринків капіталу та організованих товарних ринків є:</w:t>
            </w:r>
          </w:p>
          <w:p w14:paraId="025CF7CA" w14:textId="77777777" w:rsidR="00403AAD" w:rsidRPr="00286216" w:rsidRDefault="00403AAD" w:rsidP="00403AAD">
            <w:pPr>
              <w:pStyle w:val="StyleZakonu"/>
              <w:spacing w:line="210" w:lineRule="exact"/>
              <w:rPr>
                <w:color w:val="000000" w:themeColor="text1"/>
              </w:rPr>
            </w:pPr>
            <w:r w:rsidRPr="00286216">
              <w:rPr>
                <w:color w:val="000000" w:themeColor="text1"/>
              </w:rPr>
              <w:t>1) материнські установи;</w:t>
            </w:r>
          </w:p>
          <w:p w14:paraId="439AB2BC" w14:textId="77777777" w:rsidR="00403AAD" w:rsidRPr="00286216" w:rsidRDefault="00403AAD" w:rsidP="00403AAD">
            <w:pPr>
              <w:pStyle w:val="StyleZakonu"/>
              <w:spacing w:line="210" w:lineRule="exact"/>
              <w:rPr>
                <w:color w:val="000000" w:themeColor="text1"/>
              </w:rPr>
            </w:pPr>
            <w:r w:rsidRPr="00286216">
              <w:rPr>
                <w:color w:val="000000" w:themeColor="text1"/>
              </w:rPr>
              <w:t>2) материнські фінансові холдинги;</w:t>
            </w:r>
          </w:p>
          <w:p w14:paraId="20C7B28A" w14:textId="77777777" w:rsidR="00403AAD" w:rsidRPr="00286216" w:rsidRDefault="00403AAD" w:rsidP="00403AAD">
            <w:pPr>
              <w:pStyle w:val="StyleZakonu"/>
              <w:spacing w:line="210" w:lineRule="exact"/>
              <w:rPr>
                <w:color w:val="000000" w:themeColor="text1"/>
              </w:rPr>
            </w:pPr>
            <w:r w:rsidRPr="00286216">
              <w:rPr>
                <w:color w:val="000000" w:themeColor="text1"/>
              </w:rPr>
              <w:t>3) змішані материнські фінансові холдинги;</w:t>
            </w:r>
          </w:p>
          <w:p w14:paraId="28191341" w14:textId="77777777" w:rsidR="00403AAD" w:rsidRPr="00286216" w:rsidRDefault="00403AAD" w:rsidP="00403AAD">
            <w:pPr>
              <w:pStyle w:val="StyleZakonu"/>
              <w:spacing w:line="210" w:lineRule="exact"/>
              <w:rPr>
                <w:color w:val="000000" w:themeColor="text1"/>
              </w:rPr>
            </w:pPr>
            <w:r w:rsidRPr="00286216">
              <w:rPr>
                <w:color w:val="000000" w:themeColor="text1"/>
              </w:rPr>
              <w:lastRenderedPageBreak/>
              <w:t>4) професійні учасники ринків капіталу та організованих товарних ринків, неплатоспроможність або збої в діяльності яких можуть становити системний ризик для функціонування ринків капіталу.</w:t>
            </w:r>
          </w:p>
          <w:p w14:paraId="65046427" w14:textId="77777777" w:rsidR="00403AAD" w:rsidRPr="00286216" w:rsidRDefault="00403AAD" w:rsidP="00403AAD">
            <w:pPr>
              <w:pStyle w:val="StyleZakonu"/>
              <w:spacing w:line="210" w:lineRule="exact"/>
              <w:rPr>
                <w:color w:val="000000" w:themeColor="text1"/>
              </w:rPr>
            </w:pPr>
            <w:r w:rsidRPr="00286216">
              <w:rPr>
                <w:color w:val="000000" w:themeColor="text1"/>
              </w:rPr>
              <w:t>3. Материнською установою є:</w:t>
            </w:r>
          </w:p>
          <w:p w14:paraId="74830734" w14:textId="77777777" w:rsidR="00403AAD" w:rsidRPr="00286216" w:rsidRDefault="00403AAD" w:rsidP="00403AAD">
            <w:pPr>
              <w:pStyle w:val="StyleZakonu"/>
              <w:spacing w:line="210" w:lineRule="exact"/>
              <w:rPr>
                <w:color w:val="000000" w:themeColor="text1"/>
              </w:rPr>
            </w:pPr>
            <w:r w:rsidRPr="00286216">
              <w:rPr>
                <w:color w:val="000000" w:themeColor="text1"/>
              </w:rPr>
              <w:t>1) професійний учасник ринків капіталу та організованих товарних ринків, дочірньою компанією якого є професійний учасник ринків капіталу та організованих товарних ринків, кредитна установа, фінансова компанія або підприємство, що надає додаткові послуги, та який не є дочірньою компанією іншого професійного учасника ринків капіталу та організованих товарних ринків, кредитної установи, фінансового холдингу компанії або змішаного фінансового холдингу;</w:t>
            </w:r>
          </w:p>
          <w:p w14:paraId="61B84A54" w14:textId="77777777" w:rsidR="00403AAD" w:rsidRPr="00286216" w:rsidRDefault="00403AAD" w:rsidP="00403AAD">
            <w:pPr>
              <w:pStyle w:val="StyleZakonu"/>
              <w:spacing w:line="210" w:lineRule="exact"/>
              <w:rPr>
                <w:color w:val="000000" w:themeColor="text1"/>
              </w:rPr>
            </w:pPr>
            <w:r w:rsidRPr="00286216">
              <w:rPr>
                <w:color w:val="000000" w:themeColor="text1"/>
              </w:rPr>
              <w:t>2) професійний учасник ринків капіталу та організованих товарних ринків, який прямо або опосередковано володіє часткою у розмірі, що перевищує 20 відсотків капіталу (прав голосу) професійного учасника ринків капіталу та організованих товарних ринків, кредитної установи, фінансової компанії або підприємства, що надає додаткові послуги, та який не є дочірньою компанією іншого професійного учасника ринків капіталу та організованих товарних ринків, кредитної установи, фінансового холдингу компанії або змішаного фінансового холдингу.</w:t>
            </w:r>
          </w:p>
          <w:p w14:paraId="76085CD7" w14:textId="77777777" w:rsidR="00403AAD" w:rsidRPr="00286216" w:rsidRDefault="00403AAD" w:rsidP="00403AAD">
            <w:pPr>
              <w:pStyle w:val="StyleZakonu"/>
              <w:spacing w:line="210" w:lineRule="exact"/>
              <w:rPr>
                <w:color w:val="000000" w:themeColor="text1"/>
              </w:rPr>
            </w:pPr>
            <w:r w:rsidRPr="00286216">
              <w:rPr>
                <w:color w:val="000000" w:themeColor="text1"/>
              </w:rPr>
              <w:t>4. Для цілей цієї статті дочірньою компанією є юридична особа, у якій інша юридична особа (материнська компанія):</w:t>
            </w:r>
          </w:p>
          <w:p w14:paraId="39DEACA0" w14:textId="77777777" w:rsidR="00403AAD" w:rsidRPr="00286216" w:rsidRDefault="00403AAD" w:rsidP="00403AAD">
            <w:pPr>
              <w:pStyle w:val="StyleZakonu"/>
              <w:spacing w:line="210" w:lineRule="exact"/>
              <w:rPr>
                <w:color w:val="000000" w:themeColor="text1"/>
              </w:rPr>
            </w:pPr>
            <w:r w:rsidRPr="00286216">
              <w:rPr>
                <w:color w:val="000000" w:themeColor="text1"/>
              </w:rPr>
              <w:t>1) має більшість прав голосу або</w:t>
            </w:r>
          </w:p>
          <w:p w14:paraId="2E914E2B"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2) має право формування складу органів управління як учасник (акціонер) або </w:t>
            </w:r>
          </w:p>
          <w:p w14:paraId="17708B82" w14:textId="77777777" w:rsidR="00403AAD" w:rsidRPr="00286216" w:rsidRDefault="00403AAD" w:rsidP="00403AAD">
            <w:pPr>
              <w:pStyle w:val="StyleZakonu"/>
              <w:spacing w:line="210" w:lineRule="exact"/>
              <w:rPr>
                <w:color w:val="000000" w:themeColor="text1"/>
              </w:rPr>
            </w:pPr>
            <w:r w:rsidRPr="00286216">
              <w:rPr>
                <w:color w:val="000000" w:themeColor="text1"/>
              </w:rPr>
              <w:t>3) має можливість здійснювати вирішальний вплив на управління діяльністю на основі угоди або</w:t>
            </w:r>
          </w:p>
          <w:p w14:paraId="53A4C36E" w14:textId="77777777" w:rsidR="00403AAD" w:rsidRPr="00286216" w:rsidRDefault="00403AAD" w:rsidP="00403AAD">
            <w:pPr>
              <w:pStyle w:val="StyleZakonu"/>
              <w:spacing w:line="210" w:lineRule="exact"/>
              <w:rPr>
                <w:color w:val="000000" w:themeColor="text1"/>
              </w:rPr>
            </w:pPr>
            <w:r w:rsidRPr="00286216">
              <w:rPr>
                <w:color w:val="000000" w:themeColor="text1"/>
              </w:rPr>
              <w:t>4) є учасником (акціонером) та за умови, що виконується хоча б одна з наступних умов:</w:t>
            </w:r>
          </w:p>
          <w:p w14:paraId="72EA3E8E" w14:textId="77777777" w:rsidR="00403AAD" w:rsidRPr="00286216" w:rsidRDefault="00403AAD" w:rsidP="00403AAD">
            <w:pPr>
              <w:pStyle w:val="StyleZakonu"/>
              <w:spacing w:line="210" w:lineRule="exact"/>
              <w:rPr>
                <w:color w:val="000000" w:themeColor="text1"/>
              </w:rPr>
            </w:pPr>
            <w:r w:rsidRPr="00286216">
              <w:rPr>
                <w:color w:val="000000" w:themeColor="text1"/>
              </w:rPr>
              <w:t>а) більшість членів органів управління дочірньої компанії, що обіймали посади протягом поточного та попереднього фінансового року, було призначено виключно за результатами голосування материнської компанії, якщо такій компанії належало 20 і більше відсотків прав голосу та участь у голосуванні не приймали інші юридичні особи, які відповідають вимогам пунктів 1 - 3 цієї частини статті;</w:t>
            </w:r>
          </w:p>
          <w:p w14:paraId="1F6EC77F" w14:textId="77777777" w:rsidR="00403AAD" w:rsidRPr="00286216" w:rsidRDefault="00403AAD" w:rsidP="00403AAD">
            <w:pPr>
              <w:pStyle w:val="StyleZakonu"/>
              <w:spacing w:line="210" w:lineRule="exact"/>
              <w:rPr>
                <w:color w:val="000000" w:themeColor="text1"/>
              </w:rPr>
            </w:pPr>
            <w:r w:rsidRPr="00286216">
              <w:rPr>
                <w:color w:val="000000" w:themeColor="text1"/>
              </w:rPr>
              <w:lastRenderedPageBreak/>
              <w:t>б) на підставі договору, укладеного з іншими учасниками (акціонерами), самостійно контролює більшість прав голосу.</w:t>
            </w:r>
          </w:p>
          <w:p w14:paraId="77E81AFD"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пунктів 1, 2 та 4 цієї частини статті при визначенні належних материнській компанії прав голосу та прав формування органів управління, права голосу та права формування органів управління у тій самій особі, що належать іншим дочірнім компаніям цієї самої материнської компанії або особам, які діють від їх імені, додаються до відповідних прав материнської компанії.</w:t>
            </w:r>
          </w:p>
          <w:p w14:paraId="1E606388"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пунктів 1 та 3 цієї частини статті загальна кількість прав голосу повинна бути зменшена на кількість прав, які належать самій дочірній компанії або  дочірній компанії такої дочірньої компанії, або особам, які діють від власного імені в інтересах таких компаній.</w:t>
            </w:r>
          </w:p>
          <w:p w14:paraId="72D7298D"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пунктів 1, 2 та 4 цієї частини статті при визначенні належних материнській компанії прав голосу та прав формування органів управління такі права повинні бути зменшені на відповідну кількість прав, якими володіють в інтересах осіб, які не є материнською компанією або її дочірніми компаніями, або якими володіють за акціями, за умови, що відповідні права здійснюються на підставі отриманих інструкцій, або якими володіють у  рамках договору застави, за умови, що права голосу здійснюються в інтересах особи, що надає акції  в заставу.</w:t>
            </w:r>
          </w:p>
          <w:p w14:paraId="4361FB8F"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цієї статті дочірні компанії дочірніх компаній вважаються дочірніми компаніями самої материнської компанії.</w:t>
            </w:r>
          </w:p>
          <w:p w14:paraId="20FC882C" w14:textId="77777777" w:rsidR="00403AAD" w:rsidRPr="00286216" w:rsidRDefault="00403AAD" w:rsidP="00403AAD">
            <w:pPr>
              <w:pStyle w:val="StyleZakonu"/>
              <w:spacing w:line="210" w:lineRule="exact"/>
              <w:rPr>
                <w:color w:val="000000" w:themeColor="text1"/>
              </w:rPr>
            </w:pPr>
            <w:r w:rsidRPr="00286216">
              <w:rPr>
                <w:color w:val="000000" w:themeColor="text1"/>
              </w:rPr>
              <w:t>5. Фінансовою компанією є фінансова установа (крім професійних учасників ринків капіталу, кредитних установ, корпоративних інвестиційних фондів та фінансових установ, що провадять діяльність, передбачену пунктами 9 і 9</w:t>
            </w:r>
            <w:r w:rsidRPr="00286216">
              <w:rPr>
                <w:color w:val="000000" w:themeColor="text1"/>
                <w:vertAlign w:val="superscript"/>
              </w:rPr>
              <w:t>1</w:t>
            </w:r>
            <w:r w:rsidRPr="00286216">
              <w:rPr>
                <w:color w:val="000000" w:themeColor="text1"/>
              </w:rPr>
              <w:t xml:space="preserve"> частини першої статті 4 Закону України "Про фінансові послуги та державне регулювання ринків фінансових послуг"), змішаний фінансовий холдинг, платіжна організація.</w:t>
            </w:r>
          </w:p>
          <w:p w14:paraId="1300D70E"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6. Підприємство є таким, що надає додаткові послуги, якщо провадження ним діяльності передбачає володіння або надання у користування нерухомого майна, надання послуг з обробки інформації або подібних послуг одному або більше </w:t>
            </w:r>
            <w:r w:rsidRPr="00286216">
              <w:rPr>
                <w:color w:val="000000" w:themeColor="text1"/>
              </w:rPr>
              <w:lastRenderedPageBreak/>
              <w:t>професійному учаснику ринків капіталу та організованих товарних ринків чи  одній або більше кредитній установі, що споживаються такими  учасниками чи установами при провадженні основного виду діяльності.</w:t>
            </w:r>
          </w:p>
          <w:p w14:paraId="2246EA1D" w14:textId="77777777" w:rsidR="00403AAD" w:rsidRPr="00286216" w:rsidRDefault="00403AAD" w:rsidP="00403AAD">
            <w:pPr>
              <w:pStyle w:val="StyleZakonu"/>
              <w:spacing w:line="210" w:lineRule="exact"/>
              <w:rPr>
                <w:color w:val="000000" w:themeColor="text1"/>
              </w:rPr>
            </w:pPr>
            <w:r w:rsidRPr="00286216">
              <w:rPr>
                <w:color w:val="000000" w:themeColor="text1"/>
              </w:rPr>
              <w:t>7. Материнським фінансовим холдингом є фінансовий холдинг, який не є дочірньою компанією професійного учасника ринків капіталу та організованих товарних ринків, кредитної установи,  фінансового холдингу компанії або змішаного фінансового холдингу.</w:t>
            </w:r>
          </w:p>
          <w:p w14:paraId="15900C97" w14:textId="77777777" w:rsidR="00403AAD" w:rsidRPr="00286216" w:rsidRDefault="00403AAD" w:rsidP="00403AAD">
            <w:pPr>
              <w:pStyle w:val="StyleZakonu"/>
              <w:spacing w:line="210" w:lineRule="exact"/>
              <w:rPr>
                <w:color w:val="000000" w:themeColor="text1"/>
              </w:rPr>
            </w:pPr>
            <w:r w:rsidRPr="00286216">
              <w:rPr>
                <w:color w:val="000000" w:themeColor="text1"/>
              </w:rPr>
              <w:t>8. Фінансовим холдингом є фінансова компанія, більшість або всі дочірні компанії якої складають професійні учасники ринків капіталу та організованих товарних ринків, кредитні установи або фінансові компанії та яка не є змішаним фінансовим холдингом.</w:t>
            </w:r>
          </w:p>
          <w:p w14:paraId="523FBD38"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цієї статті більшість дочірніх компаній фінансового холдингу складають професійні учасники ринків капіталу та організованих товарних ринків, кредитні установи або фінансові компанії, якщо принаймні однією з таких дочірніх компаній є професійний учасник ринків капіталу та організованих товарних ринків або кредитна установа з дотриманням хоча б однієї з таких умов:</w:t>
            </w:r>
          </w:p>
          <w:p w14:paraId="724AE84E" w14:textId="77777777" w:rsidR="00403AAD" w:rsidRPr="00286216" w:rsidRDefault="00403AAD" w:rsidP="00403AAD">
            <w:pPr>
              <w:pStyle w:val="StyleZakonu"/>
              <w:spacing w:line="210" w:lineRule="exact"/>
              <w:rPr>
                <w:color w:val="000000" w:themeColor="text1"/>
              </w:rPr>
            </w:pPr>
            <w:r w:rsidRPr="00286216">
              <w:rPr>
                <w:color w:val="000000" w:themeColor="text1"/>
              </w:rPr>
              <w:t>1) більше 50 відсотків належних фінансовому холдингу корпоративних прав є корпоративними правами, емітентом яких є  його дочірні компанії, що є професійними учасниками ринків капіталу та організованих товарних ринків, кредитними установами або фінансовими компаніями;</w:t>
            </w:r>
          </w:p>
          <w:p w14:paraId="3EBEE5CE" w14:textId="278A3983" w:rsidR="00403AAD" w:rsidRPr="00286216" w:rsidRDefault="00403AAD" w:rsidP="00403AAD">
            <w:pPr>
              <w:pStyle w:val="StyleZakonu"/>
              <w:spacing w:line="210" w:lineRule="exact"/>
              <w:rPr>
                <w:color w:val="000000" w:themeColor="text1"/>
              </w:rPr>
            </w:pPr>
            <w:r w:rsidRPr="00286216">
              <w:rPr>
                <w:color w:val="000000" w:themeColor="text1"/>
              </w:rPr>
              <w:t>2) більше 50 відсотків активів за даними консолідованої фінансової звітності фінансового холдингу становлять активи дочірніх компаній, що є професійними учасниками ринків капіталу та організованих товарних ринків, кредитними установами або фінансовими компаніями;</w:t>
            </w:r>
          </w:p>
          <w:p w14:paraId="3C82F836" w14:textId="77777777" w:rsidR="00403AAD" w:rsidRPr="00286216" w:rsidRDefault="00403AAD" w:rsidP="00403AAD">
            <w:pPr>
              <w:pStyle w:val="StyleZakonu"/>
              <w:spacing w:line="210" w:lineRule="exact"/>
              <w:rPr>
                <w:color w:val="000000" w:themeColor="text1"/>
              </w:rPr>
            </w:pPr>
            <w:r w:rsidRPr="00286216">
              <w:rPr>
                <w:color w:val="000000" w:themeColor="text1"/>
              </w:rPr>
              <w:t>3) більше 50 відсотків доходів, отриманих фінансовим холдингом за звітний період, є такими, що отримані від дочірніх компаній, що є професійними учасниками ринків капіталу та організованих товарних ринків, кредитними установами або фінансовими компаніями;</w:t>
            </w:r>
          </w:p>
          <w:p w14:paraId="07790A6F"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4) більше 50 відсотків працівників фінансового холдингу працюють за сумісництвом, надають послуги або виконують роботи за цивільно-правовими договорами з дочірніми компаніями, що є </w:t>
            </w:r>
            <w:r w:rsidRPr="00286216">
              <w:rPr>
                <w:color w:val="000000" w:themeColor="text1"/>
              </w:rPr>
              <w:lastRenderedPageBreak/>
              <w:t>професійними учасниками ринків капіталу та організованих товарних ринків, кредитними установами або фінансовими компаніями;</w:t>
            </w:r>
          </w:p>
          <w:p w14:paraId="4991FD7F" w14:textId="77777777" w:rsidR="00403AAD" w:rsidRPr="00286216" w:rsidRDefault="00403AAD" w:rsidP="00403AAD">
            <w:pPr>
              <w:pStyle w:val="StyleZakonu"/>
              <w:spacing w:line="210" w:lineRule="exact"/>
              <w:rPr>
                <w:color w:val="000000" w:themeColor="text1"/>
              </w:rPr>
            </w:pPr>
            <w:r w:rsidRPr="00286216">
              <w:rPr>
                <w:color w:val="000000" w:themeColor="text1"/>
              </w:rPr>
              <w:t>5) більше 50 відсотків значень іншого показника, встановленого Національною комісією з цінних паперів та фондового ринку, є пов’язаними з його дочірніми компаніями, що є професійними учасниками ринків капіталу та організованих товарних ринків, кредитними установами або фінансовими компаніями.</w:t>
            </w:r>
          </w:p>
          <w:p w14:paraId="00B6BB52" w14:textId="77777777" w:rsidR="00403AAD" w:rsidRPr="00286216" w:rsidRDefault="00403AAD" w:rsidP="00403AAD">
            <w:pPr>
              <w:pStyle w:val="StyleZakonu"/>
              <w:spacing w:line="210" w:lineRule="exact"/>
              <w:rPr>
                <w:color w:val="000000" w:themeColor="text1"/>
              </w:rPr>
            </w:pPr>
            <w:r w:rsidRPr="00286216">
              <w:rPr>
                <w:color w:val="000000" w:themeColor="text1"/>
              </w:rPr>
              <w:t>9. Змішаним фінансовим холдингом є материнська компанія (крім кредитних установ, професійнихучасників ринків капіталу та організованих товарних ринків, страховиків (перестраховиків), страхових (перестрахових) брокерів), яка разом з дочірніми компаніями, щонайменше однією з яких є кредитна установа, професійний учасник ринків капіталу та організованих товарних ринків або страховик (перестраховик), страховий (перестраховий) брокер, утворює фінансовий конгломерат.</w:t>
            </w:r>
          </w:p>
          <w:p w14:paraId="7D3CE585" w14:textId="77777777" w:rsidR="00403AAD" w:rsidRPr="00286216" w:rsidRDefault="00403AAD" w:rsidP="00403AAD">
            <w:pPr>
              <w:pStyle w:val="StyleZakonu"/>
              <w:spacing w:line="210" w:lineRule="exact"/>
              <w:rPr>
                <w:color w:val="000000" w:themeColor="text1"/>
              </w:rPr>
            </w:pPr>
            <w:r w:rsidRPr="00286216">
              <w:rPr>
                <w:color w:val="000000" w:themeColor="text1"/>
              </w:rPr>
              <w:t>10. Фінансовим конгломератом є група або підгрупа юридичних осіб, в якій керівником  групи або підгрупи є кредитна установа, професійний учасник ринків капіталу та організованих товарних ринків, страховик (перестраховик) або страховий (перестраховий) брокер або в якій хоча б одна з дочірніх компаній цієї групи або підгрупи є кредитною установою, професійним учасником ринків капіталу та організованих товарних ринків, страховиком (перестраховиком) або страховим (перестраховим) брокером і яка відповідає одній з таких умов:</w:t>
            </w:r>
          </w:p>
          <w:p w14:paraId="243E0A04" w14:textId="77777777" w:rsidR="00403AAD" w:rsidRPr="00286216" w:rsidRDefault="00403AAD" w:rsidP="00403AAD">
            <w:pPr>
              <w:pStyle w:val="StyleZakonu"/>
              <w:spacing w:line="210" w:lineRule="exact"/>
              <w:rPr>
                <w:color w:val="000000" w:themeColor="text1"/>
              </w:rPr>
            </w:pPr>
            <w:r w:rsidRPr="00286216">
              <w:rPr>
                <w:color w:val="000000" w:themeColor="text1"/>
              </w:rPr>
              <w:t>1) якщо керівником групи або підгрупи є кредитна установа, професійний учасник ринків капіталу та організованих товарних ринків, страховик (перестраховик) або страховий (перестраховий) брокер):</w:t>
            </w:r>
          </w:p>
          <w:p w14:paraId="7B1313A4"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а) такий керівник є материнською компанією: підприємства, що надає фінансові послуги; підприємства, яке володіє часткою у розмірі, що перевищує 20 відсотків капіталу (прав голосу) підприємства, що надає фінансові послуги; підприємства, що перебуває з підприємством, що надає фінансові послуги, під спільним контролем або має більше ніж половину спільних членів органів </w:t>
            </w:r>
            <w:r w:rsidRPr="00286216">
              <w:rPr>
                <w:color w:val="000000" w:themeColor="text1"/>
              </w:rPr>
              <w:lastRenderedPageBreak/>
              <w:t>управління та складає консолідовану фінансову звітність за міжнародними стандартами фінансової звітності, або складає комбіновану фінансову звітність із дотриманням міжнародних стандартів фінансової звітності;</w:t>
            </w:r>
          </w:p>
          <w:p w14:paraId="25E572C4" w14:textId="77777777" w:rsidR="00403AAD" w:rsidRPr="00286216" w:rsidRDefault="00403AAD" w:rsidP="00403AAD">
            <w:pPr>
              <w:pStyle w:val="StyleZakonu"/>
              <w:spacing w:line="210" w:lineRule="exact"/>
              <w:rPr>
                <w:color w:val="000000" w:themeColor="text1"/>
              </w:rPr>
            </w:pPr>
            <w:r w:rsidRPr="00286216">
              <w:rPr>
                <w:color w:val="000000" w:themeColor="text1"/>
              </w:rPr>
              <w:t>б) принаймні один з членів групи або підгрупи надає послуги у сфері страхування (перестрахування), принаймні один з членів групи або підгрупи є банком або професійним учасником ринків капіталу та організованих товарних ринків;</w:t>
            </w:r>
          </w:p>
          <w:p w14:paraId="6E708A2A" w14:textId="77777777" w:rsidR="00403AAD" w:rsidRPr="00286216" w:rsidRDefault="00403AAD" w:rsidP="00403AAD">
            <w:pPr>
              <w:pStyle w:val="StyleZakonu"/>
              <w:spacing w:line="210" w:lineRule="exact"/>
              <w:rPr>
                <w:color w:val="000000" w:themeColor="text1"/>
              </w:rPr>
            </w:pPr>
            <w:r w:rsidRPr="00286216">
              <w:rPr>
                <w:color w:val="000000" w:themeColor="text1"/>
              </w:rPr>
              <w:t>в) діяльність підприємств групи або підгрупи  у сфері страхування (перестрахування) і у сфері надання банківських послуг професійної діяльності на ринках капіталу та організованих товарних ринків</w:t>
            </w:r>
            <w:r w:rsidRPr="00286216" w:rsidDel="007C1877">
              <w:rPr>
                <w:color w:val="000000" w:themeColor="text1"/>
              </w:rPr>
              <w:t xml:space="preserve"> </w:t>
            </w:r>
            <w:r w:rsidRPr="00286216">
              <w:rPr>
                <w:color w:val="000000" w:themeColor="text1"/>
              </w:rPr>
              <w:t>є суттєвою;</w:t>
            </w:r>
          </w:p>
          <w:p w14:paraId="6E71599A" w14:textId="77777777" w:rsidR="00403AAD" w:rsidRPr="00286216" w:rsidRDefault="00403AAD" w:rsidP="00403AAD">
            <w:pPr>
              <w:pStyle w:val="StyleZakonu"/>
              <w:spacing w:line="210" w:lineRule="exact"/>
              <w:rPr>
                <w:color w:val="000000" w:themeColor="text1"/>
              </w:rPr>
            </w:pPr>
            <w:r w:rsidRPr="00286216">
              <w:rPr>
                <w:color w:val="000000" w:themeColor="text1"/>
              </w:rPr>
              <w:t>2) якщо керівником групи або підгрупи не є кредитна установа, професійний учасник ринків капіталу та організованих товарних ринків, страховик (перестраховик) або страховий (перестраховий) брокер):</w:t>
            </w:r>
          </w:p>
          <w:p w14:paraId="0D875BF7" w14:textId="77777777" w:rsidR="00403AAD" w:rsidRPr="00286216" w:rsidRDefault="00403AAD" w:rsidP="00403AAD">
            <w:pPr>
              <w:pStyle w:val="StyleZakonu"/>
              <w:spacing w:line="210" w:lineRule="exact"/>
              <w:rPr>
                <w:color w:val="000000" w:themeColor="text1"/>
              </w:rPr>
            </w:pPr>
            <w:r w:rsidRPr="00286216">
              <w:rPr>
                <w:color w:val="000000" w:themeColor="text1"/>
              </w:rPr>
              <w:t>а) співвідношення підсумку балансу  членів групи, що надають фінансові послуги, до загального підсумку балансу перевищує 40 відсотків;</w:t>
            </w:r>
          </w:p>
          <w:p w14:paraId="1CDFBF51" w14:textId="77777777" w:rsidR="00403AAD" w:rsidRPr="00286216" w:rsidRDefault="00403AAD" w:rsidP="00403AAD">
            <w:pPr>
              <w:pStyle w:val="StyleZakonu"/>
              <w:spacing w:line="210" w:lineRule="exact"/>
              <w:rPr>
                <w:color w:val="000000" w:themeColor="text1"/>
              </w:rPr>
            </w:pPr>
            <w:r w:rsidRPr="00286216">
              <w:rPr>
                <w:color w:val="000000" w:themeColor="text1"/>
              </w:rPr>
              <w:t>б) принаймні один з членів групи або підгрупи надає послуги у сфері страхування (перестрахування), принаймні один з членів групи або підгрупи є банком або професійним учасником ринків  капіталу та організованих товарних ринків;</w:t>
            </w:r>
          </w:p>
          <w:p w14:paraId="4EBB3CD3" w14:textId="77777777" w:rsidR="00403AAD" w:rsidRPr="00286216" w:rsidRDefault="00403AAD" w:rsidP="00403AAD">
            <w:pPr>
              <w:pStyle w:val="StyleZakonu"/>
              <w:spacing w:line="210" w:lineRule="exact"/>
              <w:rPr>
                <w:color w:val="000000" w:themeColor="text1"/>
              </w:rPr>
            </w:pPr>
            <w:r w:rsidRPr="00286216">
              <w:rPr>
                <w:color w:val="000000" w:themeColor="text1"/>
              </w:rPr>
              <w:t>в) діяльність підприємств групи або підгрупи  у сфері страхування (перестрахування) і у сфері надання банківських послуг або професійної діяльності на ринках капіталу та організованих товарних ринків</w:t>
            </w:r>
            <w:r w:rsidRPr="00286216" w:rsidDel="00E21090">
              <w:rPr>
                <w:color w:val="000000" w:themeColor="text1"/>
              </w:rPr>
              <w:t xml:space="preserve"> </w:t>
            </w:r>
            <w:r w:rsidRPr="00286216">
              <w:rPr>
                <w:color w:val="000000" w:themeColor="text1"/>
              </w:rPr>
              <w:t>є суттєвою.</w:t>
            </w:r>
          </w:p>
          <w:p w14:paraId="00193F8D" w14:textId="77777777" w:rsidR="00403AAD" w:rsidRPr="00286216" w:rsidRDefault="00403AAD" w:rsidP="00403AAD">
            <w:pPr>
              <w:pStyle w:val="StyleZakonu"/>
              <w:spacing w:line="210" w:lineRule="exact"/>
              <w:rPr>
                <w:color w:val="000000" w:themeColor="text1"/>
              </w:rPr>
            </w:pPr>
            <w:r w:rsidRPr="00286216">
              <w:rPr>
                <w:color w:val="000000" w:themeColor="text1"/>
              </w:rPr>
              <w:t>Для цілей цієї статті діяльність є суттєвою, якщо для кожної сфери діяльності середнє співвідношення підсумку балансу підприємств цієї сфери до підсумку балансу  групи перевищує 10 відсотків, а також співвідношення вимог до платоспроможності підприємств цієї сфери діяльності до загальних вимог до платоспроможності суб'єктів групи перевищує 10 відсотків.</w:t>
            </w:r>
          </w:p>
          <w:p w14:paraId="63A7AFFB" w14:textId="77777777" w:rsidR="00403AAD" w:rsidRPr="00286216" w:rsidRDefault="00403AAD" w:rsidP="00403AAD">
            <w:pPr>
              <w:pStyle w:val="StyleZakonu"/>
              <w:spacing w:line="210" w:lineRule="exact"/>
              <w:rPr>
                <w:color w:val="000000" w:themeColor="text1"/>
              </w:rPr>
            </w:pPr>
            <w:r w:rsidRPr="00286216">
              <w:rPr>
                <w:color w:val="000000" w:themeColor="text1"/>
              </w:rPr>
              <w:t>Порядок визначення керівника групи (підгрупи) встановлюється нормативно-правовими актами Національної комісії з цінних паперів та фондового ринку.</w:t>
            </w:r>
          </w:p>
          <w:p w14:paraId="33170D06" w14:textId="77777777" w:rsidR="00403AAD" w:rsidRPr="00286216" w:rsidRDefault="00403AAD" w:rsidP="00403AAD">
            <w:pPr>
              <w:pStyle w:val="StyleZakonu"/>
              <w:spacing w:line="210" w:lineRule="exact"/>
              <w:rPr>
                <w:color w:val="000000" w:themeColor="text1"/>
              </w:rPr>
            </w:pPr>
            <w:r w:rsidRPr="00286216">
              <w:rPr>
                <w:color w:val="000000" w:themeColor="text1"/>
              </w:rPr>
              <w:lastRenderedPageBreak/>
              <w:t>11.  Змішаним материнським фінансовим холдингом є змішаний фінансовий холдинг, що не є дочірньою компанією професійного учасника ринків капіталу та організованих товарних ринків, кредитної установи, фінансового холдингу або змішаного фінансового холдингу.</w:t>
            </w:r>
          </w:p>
          <w:p w14:paraId="165B6251"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12.  Системний ризик для функціонування ринків капіталу – це  ризик збоїв у роботі фінансової системи, які можуть мати значні негативні наслідки для неї і реального сектору економіки. </w:t>
            </w:r>
          </w:p>
          <w:p w14:paraId="4AD78DAC" w14:textId="77777777" w:rsidR="00403AAD" w:rsidRPr="00286216" w:rsidRDefault="00403AAD" w:rsidP="00403AAD">
            <w:pPr>
              <w:pStyle w:val="StyleZakonu"/>
              <w:spacing w:line="210" w:lineRule="exact"/>
              <w:rPr>
                <w:color w:val="000000" w:themeColor="text1"/>
              </w:rPr>
            </w:pPr>
            <w:r w:rsidRPr="00286216">
              <w:rPr>
                <w:color w:val="000000" w:themeColor="text1"/>
              </w:rPr>
              <w:t xml:space="preserve">Національна комісія з цінних паперів та фондового ринку розробляє методологію визначення ризику збою в роботі професійного учасника як системного на основі таких критеріїв: </w:t>
            </w:r>
          </w:p>
          <w:p w14:paraId="4A62EDEE" w14:textId="77777777" w:rsidR="00403AAD" w:rsidRPr="00286216" w:rsidRDefault="00403AAD" w:rsidP="00403AAD">
            <w:pPr>
              <w:pStyle w:val="StyleZakonu"/>
              <w:spacing w:line="210" w:lineRule="exact"/>
              <w:rPr>
                <w:color w:val="000000" w:themeColor="text1"/>
              </w:rPr>
            </w:pPr>
            <w:r w:rsidRPr="00286216">
              <w:rPr>
                <w:color w:val="000000" w:themeColor="text1"/>
              </w:rPr>
              <w:t>1) обсяг фінансових послуг, що надаються окремим професійним учасником ринків капіталу та організованих товарних ринків;</w:t>
            </w:r>
          </w:p>
          <w:p w14:paraId="504E9342" w14:textId="77777777" w:rsidR="00403AAD" w:rsidRPr="00286216" w:rsidRDefault="00403AAD" w:rsidP="00403AAD">
            <w:pPr>
              <w:pStyle w:val="StyleZakonu"/>
              <w:spacing w:line="210" w:lineRule="exact"/>
              <w:rPr>
                <w:color w:val="000000" w:themeColor="text1"/>
              </w:rPr>
            </w:pPr>
            <w:r w:rsidRPr="00286216">
              <w:rPr>
                <w:color w:val="000000" w:themeColor="text1"/>
              </w:rPr>
              <w:t>2) можливість заміщення послуг, що надаються професійним учасником, послугами інших учасників;</w:t>
            </w:r>
          </w:p>
          <w:p w14:paraId="1D861BAA" w14:textId="717435F9" w:rsidR="00403AAD" w:rsidRPr="00286216" w:rsidRDefault="00403AAD" w:rsidP="00403AAD">
            <w:pPr>
              <w:pStyle w:val="StyleZakonu"/>
              <w:spacing w:line="210" w:lineRule="exact"/>
              <w:rPr>
                <w:color w:val="000000" w:themeColor="text1"/>
              </w:rPr>
            </w:pPr>
            <w:r w:rsidRPr="00286216">
              <w:rPr>
                <w:color w:val="000000" w:themeColor="text1"/>
              </w:rPr>
              <w:t>3) пов’язаність діяльності професійного учасника з діяльністю інших професійних учасників та підприємствами реального сектору економіки.</w:t>
            </w:r>
          </w:p>
        </w:tc>
      </w:tr>
      <w:tr w:rsidR="00403AAD" w:rsidRPr="00286216" w14:paraId="0B5A0990" w14:textId="77777777" w:rsidTr="00091AA5">
        <w:tc>
          <w:tcPr>
            <w:tcW w:w="576" w:type="dxa"/>
          </w:tcPr>
          <w:p w14:paraId="79B0E663" w14:textId="77777777" w:rsidR="00403AAD" w:rsidRPr="00286216" w:rsidRDefault="00403AAD" w:rsidP="00403AAD">
            <w:pPr>
              <w:pStyle w:val="StyleWisnow"/>
              <w:rPr>
                <w:color w:val="000000" w:themeColor="text1"/>
              </w:rPr>
            </w:pPr>
            <w:bookmarkStart w:id="333" w:name="n648" w:colFirst="0" w:colLast="0"/>
            <w:r w:rsidRPr="00286216">
              <w:rPr>
                <w:color w:val="000000" w:themeColor="text1"/>
              </w:rPr>
              <w:lastRenderedPageBreak/>
              <w:t>648.</w:t>
            </w:r>
          </w:p>
        </w:tc>
        <w:tc>
          <w:tcPr>
            <w:tcW w:w="4818" w:type="dxa"/>
          </w:tcPr>
          <w:p w14:paraId="1283502A" w14:textId="77777777" w:rsidR="00403AAD" w:rsidRPr="00286216" w:rsidRDefault="00403AAD" w:rsidP="00403AAD">
            <w:pPr>
              <w:pStyle w:val="StyleZakonu"/>
              <w:rPr>
                <w:color w:val="000000" w:themeColor="text1"/>
              </w:rPr>
            </w:pPr>
            <w:bookmarkStart w:id="334" w:name="_Ref16411591"/>
            <w:r w:rsidRPr="00286216">
              <w:rPr>
                <w:color w:val="000000" w:themeColor="text1"/>
              </w:rPr>
              <w:t>Стаття 42. Діяльність з торгівлі фінансовими інструментами</w:t>
            </w:r>
            <w:bookmarkEnd w:id="334"/>
          </w:p>
        </w:tc>
        <w:tc>
          <w:tcPr>
            <w:tcW w:w="3686" w:type="dxa"/>
          </w:tcPr>
          <w:p w14:paraId="52A719D2" w14:textId="6278C8CB"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F9680D3"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У статті 42 нової редакції Закону:</w:t>
            </w:r>
          </w:p>
          <w:p w14:paraId="7BD9224C"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 xml:space="preserve"> у  назві статті та частинах 1 – 5 та 14 слова «торгівлі фінансовими інструментами» замінити словами «обігу фінансових інструментів».</w:t>
            </w:r>
          </w:p>
        </w:tc>
        <w:tc>
          <w:tcPr>
            <w:tcW w:w="1987" w:type="dxa"/>
          </w:tcPr>
          <w:p w14:paraId="5405C35B" w14:textId="77777777" w:rsidR="00403AAD" w:rsidRPr="00286216" w:rsidRDefault="00403AAD" w:rsidP="00403AAD">
            <w:pPr>
              <w:pStyle w:val="StyleWisnow"/>
              <w:rPr>
                <w:color w:val="000000" w:themeColor="text1"/>
              </w:rPr>
            </w:pPr>
            <w:r w:rsidRPr="00286216">
              <w:rPr>
                <w:color w:val="000000" w:themeColor="text1"/>
              </w:rPr>
              <w:t>Відхилено</w:t>
            </w:r>
          </w:p>
          <w:p w14:paraId="7C245CBC"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1A06A0F8" w14:textId="5B1F7B02" w:rsidR="00403AAD" w:rsidRPr="00286216" w:rsidRDefault="00403AAD" w:rsidP="00403AAD">
            <w:pPr>
              <w:pStyle w:val="StyleZakonu"/>
              <w:rPr>
                <w:color w:val="000000" w:themeColor="text1"/>
              </w:rPr>
            </w:pPr>
            <w:r w:rsidRPr="00286216">
              <w:rPr>
                <w:color w:val="000000" w:themeColor="text1"/>
              </w:rPr>
              <w:t>Стаття 44. Діяльність з торгівлі фінансовими інструментами</w:t>
            </w:r>
          </w:p>
        </w:tc>
      </w:tr>
      <w:tr w:rsidR="00403AAD" w:rsidRPr="00286216" w14:paraId="25C3A108" w14:textId="77777777" w:rsidTr="00091AA5">
        <w:tc>
          <w:tcPr>
            <w:tcW w:w="576" w:type="dxa"/>
          </w:tcPr>
          <w:p w14:paraId="182D8706" w14:textId="77777777" w:rsidR="00403AAD" w:rsidRPr="00286216" w:rsidRDefault="00403AAD" w:rsidP="00403AAD">
            <w:pPr>
              <w:pStyle w:val="StyleWisnow"/>
              <w:rPr>
                <w:color w:val="000000" w:themeColor="text1"/>
              </w:rPr>
            </w:pPr>
            <w:bookmarkStart w:id="335" w:name="n649" w:colFirst="0" w:colLast="0"/>
            <w:bookmarkEnd w:id="333"/>
            <w:r w:rsidRPr="00286216">
              <w:rPr>
                <w:color w:val="000000" w:themeColor="text1"/>
              </w:rPr>
              <w:t>649.</w:t>
            </w:r>
          </w:p>
        </w:tc>
        <w:tc>
          <w:tcPr>
            <w:tcW w:w="4818" w:type="dxa"/>
          </w:tcPr>
          <w:p w14:paraId="25A19D04" w14:textId="77777777" w:rsidR="00403AAD" w:rsidRPr="00286216" w:rsidRDefault="00403AAD" w:rsidP="00403AAD">
            <w:pPr>
              <w:pStyle w:val="StyleZakonu"/>
              <w:rPr>
                <w:color w:val="000000" w:themeColor="text1"/>
              </w:rPr>
            </w:pPr>
            <w:bookmarkStart w:id="336" w:name="_Ref18430628"/>
            <w:r w:rsidRPr="00286216">
              <w:rPr>
                <w:color w:val="000000" w:themeColor="text1"/>
              </w:rPr>
              <w:t>1. Діяльність з торгівлі фінансовими інструментами провадиться інвестиційними фірмами, які створюються у формі акціонерного товариства, товариства з обмеженою відповідальністю або товариства з додатковою відповідальністю, для яких операції з фінансовими інструментами є виключним видом діяльності, крім випадків, передбачених цим Законом.</w:t>
            </w:r>
            <w:bookmarkEnd w:id="336"/>
          </w:p>
        </w:tc>
        <w:tc>
          <w:tcPr>
            <w:tcW w:w="3686" w:type="dxa"/>
          </w:tcPr>
          <w:p w14:paraId="44115FE5" w14:textId="1FBAE9EF"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998ABEE"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У статті 42 нової редакції Закону:</w:t>
            </w:r>
          </w:p>
          <w:p w14:paraId="2108BE34"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 xml:space="preserve"> у  назві статті та частинах 1 – 5 та 14 слова «торгівлі фінансовими інструментами» замінити словами «обігу фінансових інструментів».</w:t>
            </w:r>
          </w:p>
        </w:tc>
        <w:tc>
          <w:tcPr>
            <w:tcW w:w="1987" w:type="dxa"/>
          </w:tcPr>
          <w:p w14:paraId="67758437" w14:textId="77777777" w:rsidR="00403AAD" w:rsidRPr="00286216" w:rsidRDefault="00403AAD" w:rsidP="00403AAD">
            <w:pPr>
              <w:pStyle w:val="StyleWisnow"/>
              <w:rPr>
                <w:color w:val="000000" w:themeColor="text1"/>
              </w:rPr>
            </w:pPr>
            <w:r w:rsidRPr="00286216">
              <w:rPr>
                <w:color w:val="000000" w:themeColor="text1"/>
              </w:rPr>
              <w:t>Відхилено</w:t>
            </w:r>
          </w:p>
          <w:p w14:paraId="225E1C15"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0F680CE7" w14:textId="71BD85B7" w:rsidR="00403AAD" w:rsidRPr="00286216" w:rsidRDefault="00403AAD" w:rsidP="00403AAD">
            <w:pPr>
              <w:pStyle w:val="StyleZakonu"/>
              <w:rPr>
                <w:color w:val="000000" w:themeColor="text1"/>
              </w:rPr>
            </w:pPr>
            <w:r w:rsidRPr="00286216">
              <w:rPr>
                <w:color w:val="000000" w:themeColor="text1"/>
              </w:rPr>
              <w:t>1. Діяльність з торгівлі фінансовими інструментами провадиться інвестиційними фірмами, які створюються у формі акціонерного товариства, товариства з обмеженою відповідальністю або товариства з додатковою відповідальністю, для яких операції з фінансовими інструментами є виключним видом діяльності, крім випадків, передбачених цим Законом.</w:t>
            </w:r>
          </w:p>
        </w:tc>
      </w:tr>
      <w:tr w:rsidR="00403AAD" w:rsidRPr="00286216" w14:paraId="3A4BDB4A" w14:textId="77777777" w:rsidTr="00091AA5">
        <w:tc>
          <w:tcPr>
            <w:tcW w:w="576" w:type="dxa"/>
          </w:tcPr>
          <w:p w14:paraId="5D0582B3" w14:textId="77777777" w:rsidR="00403AAD" w:rsidRPr="00286216" w:rsidRDefault="00403AAD" w:rsidP="00403AAD">
            <w:pPr>
              <w:pStyle w:val="StyleWisnow"/>
              <w:rPr>
                <w:color w:val="000000" w:themeColor="text1"/>
              </w:rPr>
            </w:pPr>
            <w:bookmarkStart w:id="337" w:name="n650" w:colFirst="0" w:colLast="0"/>
            <w:bookmarkEnd w:id="335"/>
            <w:r w:rsidRPr="00286216">
              <w:rPr>
                <w:color w:val="000000" w:themeColor="text1"/>
              </w:rPr>
              <w:t>650.</w:t>
            </w:r>
          </w:p>
        </w:tc>
        <w:tc>
          <w:tcPr>
            <w:tcW w:w="4818" w:type="dxa"/>
          </w:tcPr>
          <w:p w14:paraId="37740237" w14:textId="77777777" w:rsidR="00403AAD" w:rsidRPr="00286216" w:rsidRDefault="00403AAD" w:rsidP="00403AAD">
            <w:pPr>
              <w:pStyle w:val="StyleZakonu"/>
              <w:rPr>
                <w:color w:val="000000" w:themeColor="text1"/>
              </w:rPr>
            </w:pPr>
            <w:r w:rsidRPr="00286216">
              <w:rPr>
                <w:color w:val="000000" w:themeColor="text1"/>
              </w:rPr>
              <w:t>Національна комісія з цінних паперів та фондового ринку визначає умови отримання іноземними юридичними особами ліцензії на провадження професійної діяльності з торгівлі фінансовими інструментами.</w:t>
            </w:r>
          </w:p>
        </w:tc>
        <w:tc>
          <w:tcPr>
            <w:tcW w:w="3686" w:type="dxa"/>
          </w:tcPr>
          <w:p w14:paraId="7885D51D" w14:textId="729F8C65"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C968818" w14:textId="5EB39C46" w:rsidR="00403AAD" w:rsidRPr="00286216" w:rsidRDefault="00403AAD" w:rsidP="003F49CA">
            <w:pPr>
              <w:pStyle w:val="StyleProp"/>
              <w:spacing w:line="180" w:lineRule="exact"/>
              <w:rPr>
                <w:color w:val="000000" w:themeColor="text1"/>
                <w:szCs w:val="18"/>
              </w:rPr>
            </w:pPr>
            <w:r w:rsidRPr="00286216">
              <w:rPr>
                <w:color w:val="000000" w:themeColor="text1"/>
                <w:szCs w:val="18"/>
              </w:rPr>
              <w:t>У статті 42 нової редакції Закону</w:t>
            </w:r>
            <w:r w:rsidR="003F49CA">
              <w:rPr>
                <w:color w:val="000000" w:themeColor="text1"/>
                <w:szCs w:val="18"/>
              </w:rPr>
              <w:t xml:space="preserve"> </w:t>
            </w:r>
            <w:r w:rsidRPr="00286216">
              <w:rPr>
                <w:color w:val="000000" w:themeColor="text1"/>
                <w:szCs w:val="18"/>
              </w:rPr>
              <w:t xml:space="preserve"> у  назві статті та частинах 1 – 5 та 14 слова «торгівлі фінансовими інструментами» замінити словами «обігу фінансових інструментів».</w:t>
            </w:r>
          </w:p>
        </w:tc>
        <w:tc>
          <w:tcPr>
            <w:tcW w:w="1987" w:type="dxa"/>
          </w:tcPr>
          <w:p w14:paraId="15EFED5E" w14:textId="77777777" w:rsidR="00403AAD" w:rsidRPr="00286216" w:rsidRDefault="00403AAD" w:rsidP="00403AAD">
            <w:pPr>
              <w:pStyle w:val="StyleWisnow"/>
              <w:rPr>
                <w:color w:val="000000" w:themeColor="text1"/>
              </w:rPr>
            </w:pPr>
            <w:r w:rsidRPr="00286216">
              <w:rPr>
                <w:color w:val="000000" w:themeColor="text1"/>
              </w:rPr>
              <w:t>Відхилено</w:t>
            </w:r>
          </w:p>
          <w:p w14:paraId="3071F129"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1E3D8CB6" w14:textId="6ADA2B65" w:rsidR="00403AAD" w:rsidRPr="00286216" w:rsidRDefault="00403AAD" w:rsidP="00403AAD">
            <w:pPr>
              <w:pStyle w:val="StyleZakonu"/>
              <w:rPr>
                <w:color w:val="000000" w:themeColor="text1"/>
              </w:rPr>
            </w:pPr>
            <w:r w:rsidRPr="00286216">
              <w:rPr>
                <w:color w:val="000000" w:themeColor="text1"/>
              </w:rPr>
              <w:t>Національна комісія з цінних паперів та фондового ринку визначає умови отримання іноземними юридичними особами ліцензії на провадження відповідних видів діяльності в межах професійної діяльності з торгівлі фінансовими інструментами.</w:t>
            </w:r>
          </w:p>
        </w:tc>
      </w:tr>
      <w:bookmarkEnd w:id="337"/>
      <w:tr w:rsidR="00403AAD" w:rsidRPr="00286216" w14:paraId="55ED656F" w14:textId="77777777" w:rsidTr="00091AA5">
        <w:tc>
          <w:tcPr>
            <w:tcW w:w="576" w:type="dxa"/>
          </w:tcPr>
          <w:p w14:paraId="0B287011" w14:textId="77777777" w:rsidR="00403AAD" w:rsidRPr="00286216" w:rsidRDefault="00403AAD" w:rsidP="00403AAD">
            <w:pPr>
              <w:pStyle w:val="StyleWisnow"/>
              <w:rPr>
                <w:color w:val="000000" w:themeColor="text1"/>
              </w:rPr>
            </w:pPr>
          </w:p>
        </w:tc>
        <w:tc>
          <w:tcPr>
            <w:tcW w:w="4818" w:type="dxa"/>
          </w:tcPr>
          <w:p w14:paraId="295FE8E9" w14:textId="77777777" w:rsidR="00403AAD" w:rsidRPr="00286216" w:rsidRDefault="00403AAD" w:rsidP="00403AAD">
            <w:pPr>
              <w:pStyle w:val="StyleZakonu"/>
              <w:rPr>
                <w:color w:val="000000" w:themeColor="text1"/>
              </w:rPr>
            </w:pPr>
          </w:p>
        </w:tc>
        <w:tc>
          <w:tcPr>
            <w:tcW w:w="3686" w:type="dxa"/>
          </w:tcPr>
          <w:p w14:paraId="5F76F6FA" w14:textId="4D9D9942"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393</w:t>
            </w:r>
            <w:r w:rsidRPr="00286216">
              <w:rPr>
                <w:color w:val="000000" w:themeColor="text1"/>
                <w:spacing w:val="-10"/>
              </w:rPr>
              <w:fldChar w:fldCharType="end"/>
            </w:r>
            <w:r w:rsidRPr="00286216">
              <w:rPr>
                <w:color w:val="000000" w:themeColor="text1"/>
                <w:spacing w:val="-10"/>
              </w:rPr>
              <w:t>-Н.д.Гетманцев Д.О.(Реєстр.картка №245)</w:t>
            </w:r>
          </w:p>
          <w:p w14:paraId="71EDC7D5" w14:textId="77777777" w:rsidR="00403AAD" w:rsidRPr="00286216" w:rsidRDefault="00403AAD" w:rsidP="00403AAD">
            <w:pPr>
              <w:pStyle w:val="StyleProp"/>
              <w:rPr>
                <w:color w:val="000000" w:themeColor="text1"/>
              </w:rPr>
            </w:pPr>
            <w:r w:rsidRPr="00286216">
              <w:rPr>
                <w:color w:val="000000" w:themeColor="text1"/>
              </w:rPr>
              <w:t>У статті 42 абзац другий частини першої виключити</w:t>
            </w:r>
          </w:p>
        </w:tc>
        <w:tc>
          <w:tcPr>
            <w:tcW w:w="1987" w:type="dxa"/>
          </w:tcPr>
          <w:p w14:paraId="4A182F9D" w14:textId="77777777" w:rsidR="00403AAD" w:rsidRPr="00286216" w:rsidRDefault="00403AAD" w:rsidP="00403AAD">
            <w:pPr>
              <w:pStyle w:val="StyleWisnow"/>
              <w:rPr>
                <w:color w:val="000000" w:themeColor="text1"/>
              </w:rPr>
            </w:pPr>
            <w:r w:rsidRPr="00286216">
              <w:rPr>
                <w:color w:val="000000" w:themeColor="text1"/>
              </w:rPr>
              <w:t>Відхилено</w:t>
            </w:r>
          </w:p>
          <w:p w14:paraId="1CE76FFB" w14:textId="498EF9E3" w:rsidR="00403AAD" w:rsidRPr="00286216" w:rsidRDefault="00403AAD" w:rsidP="00403AAD">
            <w:pPr>
              <w:pStyle w:val="StyleWisnow"/>
              <w:spacing w:line="180" w:lineRule="exact"/>
              <w:rPr>
                <w:color w:val="000000" w:themeColor="text1"/>
                <w:spacing w:val="-4"/>
              </w:rPr>
            </w:pPr>
            <w:r w:rsidRPr="00286216">
              <w:rPr>
                <w:color w:val="000000" w:themeColor="text1"/>
                <w:spacing w:val="-4"/>
              </w:rPr>
              <w:t>регулятор повинен мати вплив на діяльність іноземних інвестиційних компаній в України</w:t>
            </w:r>
          </w:p>
        </w:tc>
        <w:tc>
          <w:tcPr>
            <w:tcW w:w="4818" w:type="dxa"/>
          </w:tcPr>
          <w:p w14:paraId="75BFB0C5" w14:textId="77777777" w:rsidR="00403AAD" w:rsidRPr="00286216" w:rsidRDefault="00403AAD" w:rsidP="00403AAD">
            <w:pPr>
              <w:pStyle w:val="StyleZakonu"/>
              <w:rPr>
                <w:color w:val="000000" w:themeColor="text1"/>
              </w:rPr>
            </w:pPr>
          </w:p>
        </w:tc>
      </w:tr>
      <w:tr w:rsidR="00403AAD" w:rsidRPr="00286216" w14:paraId="3F6CAE4D" w14:textId="77777777" w:rsidTr="00091AA5">
        <w:tc>
          <w:tcPr>
            <w:tcW w:w="576" w:type="dxa"/>
          </w:tcPr>
          <w:p w14:paraId="0F593482" w14:textId="77777777" w:rsidR="00403AAD" w:rsidRPr="00286216" w:rsidRDefault="00403AAD" w:rsidP="00403AAD">
            <w:pPr>
              <w:pStyle w:val="StyleWisnow"/>
              <w:rPr>
                <w:color w:val="000000" w:themeColor="text1"/>
              </w:rPr>
            </w:pPr>
            <w:bookmarkStart w:id="338" w:name="n651" w:colFirst="0" w:colLast="0"/>
            <w:r w:rsidRPr="00286216">
              <w:rPr>
                <w:color w:val="000000" w:themeColor="text1"/>
              </w:rPr>
              <w:lastRenderedPageBreak/>
              <w:t>651.</w:t>
            </w:r>
          </w:p>
        </w:tc>
        <w:tc>
          <w:tcPr>
            <w:tcW w:w="4818" w:type="dxa"/>
          </w:tcPr>
          <w:p w14:paraId="6C402941" w14:textId="77777777" w:rsidR="00403AAD" w:rsidRPr="00286216" w:rsidRDefault="00403AAD" w:rsidP="00403AAD">
            <w:pPr>
              <w:pStyle w:val="StyleZakonu"/>
              <w:rPr>
                <w:color w:val="000000" w:themeColor="text1"/>
              </w:rPr>
            </w:pPr>
            <w:r w:rsidRPr="00286216">
              <w:rPr>
                <w:color w:val="000000" w:themeColor="text1"/>
              </w:rPr>
              <w:t>Діяльність з торгівлі фінансовими інструментами включає такі види діяльності:</w:t>
            </w:r>
          </w:p>
        </w:tc>
        <w:tc>
          <w:tcPr>
            <w:tcW w:w="3686" w:type="dxa"/>
          </w:tcPr>
          <w:p w14:paraId="747B8E22" w14:textId="46317673"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D236618" w14:textId="6C2F26F4" w:rsidR="00403AAD" w:rsidRPr="00286216" w:rsidRDefault="00403AAD" w:rsidP="008C4B3E">
            <w:pPr>
              <w:pStyle w:val="StyleProp"/>
              <w:rPr>
                <w:color w:val="000000" w:themeColor="text1"/>
                <w:szCs w:val="18"/>
              </w:rPr>
            </w:pPr>
            <w:r w:rsidRPr="00286216">
              <w:rPr>
                <w:color w:val="000000" w:themeColor="text1"/>
                <w:szCs w:val="18"/>
              </w:rPr>
              <w:t>У статті 42 нової редакції Закону</w:t>
            </w:r>
            <w:r w:rsidR="008C4B3E" w:rsidRPr="00286216">
              <w:rPr>
                <w:color w:val="000000" w:themeColor="text1"/>
                <w:szCs w:val="18"/>
                <w:lang w:val="ru-RU"/>
              </w:rPr>
              <w:t xml:space="preserve"> </w:t>
            </w:r>
            <w:r w:rsidRPr="00286216">
              <w:rPr>
                <w:color w:val="000000" w:themeColor="text1"/>
                <w:szCs w:val="18"/>
              </w:rPr>
              <w:t>у  назві статті та частинах 1 – 5 та 14 слова «торгівлі фінансовими інструментами» замінити словами «обігу фінансових інструментів».</w:t>
            </w:r>
          </w:p>
        </w:tc>
        <w:tc>
          <w:tcPr>
            <w:tcW w:w="1987" w:type="dxa"/>
          </w:tcPr>
          <w:p w14:paraId="1210837C" w14:textId="77777777" w:rsidR="00403AAD" w:rsidRPr="00286216" w:rsidRDefault="00403AAD" w:rsidP="00403AAD">
            <w:pPr>
              <w:pStyle w:val="StyleWisnow"/>
              <w:rPr>
                <w:color w:val="000000" w:themeColor="text1"/>
              </w:rPr>
            </w:pPr>
            <w:r w:rsidRPr="00286216">
              <w:rPr>
                <w:color w:val="000000" w:themeColor="text1"/>
              </w:rPr>
              <w:t>Відхилено</w:t>
            </w:r>
          </w:p>
          <w:p w14:paraId="1E90DA94"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361E31E3" w14:textId="28FD93E0" w:rsidR="00403AAD" w:rsidRPr="00286216" w:rsidRDefault="00403AAD" w:rsidP="00403AAD">
            <w:pPr>
              <w:pStyle w:val="StyleZakonu"/>
              <w:rPr>
                <w:color w:val="000000" w:themeColor="text1"/>
              </w:rPr>
            </w:pPr>
            <w:r w:rsidRPr="00286216">
              <w:rPr>
                <w:color w:val="000000" w:themeColor="text1"/>
              </w:rPr>
              <w:t>Діяльність з торгівлі фінансовими інструментами включає такі види діяльності:</w:t>
            </w:r>
          </w:p>
        </w:tc>
      </w:tr>
      <w:tr w:rsidR="00403AAD" w:rsidRPr="00286216" w14:paraId="0B63290B" w14:textId="77777777" w:rsidTr="00091AA5">
        <w:tc>
          <w:tcPr>
            <w:tcW w:w="576" w:type="dxa"/>
          </w:tcPr>
          <w:p w14:paraId="47679BD6" w14:textId="77777777" w:rsidR="00403AAD" w:rsidRPr="00286216" w:rsidRDefault="00403AAD" w:rsidP="00403AAD">
            <w:pPr>
              <w:pStyle w:val="StyleWisnow"/>
              <w:rPr>
                <w:color w:val="000000" w:themeColor="text1"/>
              </w:rPr>
            </w:pPr>
            <w:bookmarkStart w:id="339" w:name="n652" w:colFirst="0" w:colLast="0"/>
            <w:bookmarkEnd w:id="338"/>
            <w:r w:rsidRPr="00286216">
              <w:rPr>
                <w:color w:val="000000" w:themeColor="text1"/>
              </w:rPr>
              <w:t>652.</w:t>
            </w:r>
          </w:p>
        </w:tc>
        <w:tc>
          <w:tcPr>
            <w:tcW w:w="4818" w:type="dxa"/>
          </w:tcPr>
          <w:p w14:paraId="6CD22EBD" w14:textId="77777777" w:rsidR="00403AAD" w:rsidRPr="00286216" w:rsidRDefault="00403AAD" w:rsidP="00403AAD">
            <w:pPr>
              <w:pStyle w:val="StyleZakonu"/>
              <w:rPr>
                <w:color w:val="000000" w:themeColor="text1"/>
              </w:rPr>
            </w:pPr>
            <w:r w:rsidRPr="00286216">
              <w:rPr>
                <w:color w:val="000000" w:themeColor="text1"/>
              </w:rPr>
              <w:t>1) субброкерська діяльність;</w:t>
            </w:r>
          </w:p>
        </w:tc>
        <w:tc>
          <w:tcPr>
            <w:tcW w:w="3686" w:type="dxa"/>
          </w:tcPr>
          <w:p w14:paraId="56580C3C" w14:textId="77777777" w:rsidR="00403AAD" w:rsidRPr="00286216" w:rsidRDefault="00403AAD" w:rsidP="00403AAD">
            <w:pPr>
              <w:pStyle w:val="StyleProp"/>
              <w:rPr>
                <w:color w:val="000000" w:themeColor="text1"/>
                <w:szCs w:val="18"/>
              </w:rPr>
            </w:pPr>
          </w:p>
        </w:tc>
        <w:tc>
          <w:tcPr>
            <w:tcW w:w="1987" w:type="dxa"/>
          </w:tcPr>
          <w:p w14:paraId="0ADA3224" w14:textId="77777777" w:rsidR="00403AAD" w:rsidRPr="00286216" w:rsidRDefault="00403AAD" w:rsidP="00403AAD">
            <w:pPr>
              <w:pStyle w:val="StyleWisnow"/>
              <w:rPr>
                <w:color w:val="000000" w:themeColor="text1"/>
              </w:rPr>
            </w:pPr>
          </w:p>
        </w:tc>
        <w:tc>
          <w:tcPr>
            <w:tcW w:w="4818" w:type="dxa"/>
          </w:tcPr>
          <w:p w14:paraId="6FC24878" w14:textId="6D291F8B" w:rsidR="00403AAD" w:rsidRPr="00286216" w:rsidRDefault="00403AAD" w:rsidP="00403AAD">
            <w:pPr>
              <w:pStyle w:val="StyleZakonu"/>
              <w:rPr>
                <w:color w:val="000000" w:themeColor="text1"/>
              </w:rPr>
            </w:pPr>
            <w:r w:rsidRPr="00286216">
              <w:rPr>
                <w:color w:val="000000" w:themeColor="text1"/>
              </w:rPr>
              <w:t>1) субброкерська діяльність;</w:t>
            </w:r>
          </w:p>
        </w:tc>
      </w:tr>
      <w:tr w:rsidR="00403AAD" w:rsidRPr="00286216" w14:paraId="6EA614E2" w14:textId="77777777" w:rsidTr="00091AA5">
        <w:tc>
          <w:tcPr>
            <w:tcW w:w="576" w:type="dxa"/>
          </w:tcPr>
          <w:p w14:paraId="762A51CD" w14:textId="77777777" w:rsidR="00403AAD" w:rsidRPr="00286216" w:rsidRDefault="00403AAD" w:rsidP="00403AAD">
            <w:pPr>
              <w:pStyle w:val="StyleWisnow"/>
              <w:rPr>
                <w:color w:val="000000" w:themeColor="text1"/>
              </w:rPr>
            </w:pPr>
            <w:bookmarkStart w:id="340" w:name="n653" w:colFirst="0" w:colLast="0"/>
            <w:bookmarkEnd w:id="339"/>
            <w:r w:rsidRPr="00286216">
              <w:rPr>
                <w:color w:val="000000" w:themeColor="text1"/>
              </w:rPr>
              <w:t>653.</w:t>
            </w:r>
          </w:p>
        </w:tc>
        <w:tc>
          <w:tcPr>
            <w:tcW w:w="4818" w:type="dxa"/>
          </w:tcPr>
          <w:p w14:paraId="50911843" w14:textId="77777777" w:rsidR="00403AAD" w:rsidRPr="00286216" w:rsidRDefault="00403AAD" w:rsidP="00403AAD">
            <w:pPr>
              <w:pStyle w:val="StyleZakonu"/>
              <w:rPr>
                <w:color w:val="000000" w:themeColor="text1"/>
              </w:rPr>
            </w:pPr>
            <w:r w:rsidRPr="00286216">
              <w:rPr>
                <w:color w:val="000000" w:themeColor="text1"/>
              </w:rPr>
              <w:t>2) брокерська діяльність;</w:t>
            </w:r>
          </w:p>
        </w:tc>
        <w:tc>
          <w:tcPr>
            <w:tcW w:w="3686" w:type="dxa"/>
          </w:tcPr>
          <w:p w14:paraId="695CA6AB" w14:textId="77777777" w:rsidR="00403AAD" w:rsidRPr="00286216" w:rsidRDefault="00403AAD" w:rsidP="00403AAD">
            <w:pPr>
              <w:pStyle w:val="StyleProp"/>
              <w:rPr>
                <w:color w:val="000000" w:themeColor="text1"/>
                <w:szCs w:val="18"/>
              </w:rPr>
            </w:pPr>
          </w:p>
        </w:tc>
        <w:tc>
          <w:tcPr>
            <w:tcW w:w="1987" w:type="dxa"/>
          </w:tcPr>
          <w:p w14:paraId="2272D047" w14:textId="77777777" w:rsidR="00403AAD" w:rsidRPr="00286216" w:rsidRDefault="00403AAD" w:rsidP="00403AAD">
            <w:pPr>
              <w:pStyle w:val="StyleWisnow"/>
              <w:rPr>
                <w:color w:val="000000" w:themeColor="text1"/>
              </w:rPr>
            </w:pPr>
          </w:p>
        </w:tc>
        <w:tc>
          <w:tcPr>
            <w:tcW w:w="4818" w:type="dxa"/>
          </w:tcPr>
          <w:p w14:paraId="29AD0BAF" w14:textId="2AFF8344" w:rsidR="00403AAD" w:rsidRPr="00286216" w:rsidRDefault="00403AAD" w:rsidP="00403AAD">
            <w:pPr>
              <w:pStyle w:val="StyleZakonu"/>
              <w:rPr>
                <w:color w:val="000000" w:themeColor="text1"/>
              </w:rPr>
            </w:pPr>
            <w:r w:rsidRPr="00286216">
              <w:rPr>
                <w:color w:val="000000" w:themeColor="text1"/>
              </w:rPr>
              <w:t>2) брокерська діяльність;</w:t>
            </w:r>
          </w:p>
        </w:tc>
      </w:tr>
      <w:tr w:rsidR="00403AAD" w:rsidRPr="00286216" w14:paraId="59ACE144" w14:textId="77777777" w:rsidTr="00091AA5">
        <w:tc>
          <w:tcPr>
            <w:tcW w:w="576" w:type="dxa"/>
          </w:tcPr>
          <w:p w14:paraId="747C19E9" w14:textId="77777777" w:rsidR="00403AAD" w:rsidRPr="00286216" w:rsidRDefault="00403AAD" w:rsidP="00403AAD">
            <w:pPr>
              <w:pStyle w:val="StyleWisnow"/>
              <w:rPr>
                <w:color w:val="000000" w:themeColor="text1"/>
              </w:rPr>
            </w:pPr>
            <w:bookmarkStart w:id="341" w:name="n654" w:colFirst="0" w:colLast="0"/>
            <w:bookmarkEnd w:id="340"/>
            <w:r w:rsidRPr="00286216">
              <w:rPr>
                <w:color w:val="000000" w:themeColor="text1"/>
              </w:rPr>
              <w:t>654.</w:t>
            </w:r>
          </w:p>
        </w:tc>
        <w:tc>
          <w:tcPr>
            <w:tcW w:w="4818" w:type="dxa"/>
          </w:tcPr>
          <w:p w14:paraId="57FAEA91" w14:textId="77777777" w:rsidR="00403AAD" w:rsidRPr="00286216" w:rsidRDefault="00403AAD" w:rsidP="00403AAD">
            <w:pPr>
              <w:pStyle w:val="StyleZakonu"/>
              <w:rPr>
                <w:color w:val="000000" w:themeColor="text1"/>
              </w:rPr>
            </w:pPr>
            <w:bookmarkStart w:id="342" w:name="_Ref17983003"/>
            <w:r w:rsidRPr="00286216">
              <w:rPr>
                <w:color w:val="000000" w:themeColor="text1"/>
              </w:rPr>
              <w:t>3) дилерська діяльність;</w:t>
            </w:r>
            <w:bookmarkEnd w:id="342"/>
          </w:p>
        </w:tc>
        <w:tc>
          <w:tcPr>
            <w:tcW w:w="3686" w:type="dxa"/>
          </w:tcPr>
          <w:p w14:paraId="50059E4F" w14:textId="77777777" w:rsidR="00403AAD" w:rsidRPr="00286216" w:rsidRDefault="00403AAD" w:rsidP="00403AAD">
            <w:pPr>
              <w:pStyle w:val="StyleProp"/>
              <w:rPr>
                <w:color w:val="000000" w:themeColor="text1"/>
                <w:szCs w:val="18"/>
              </w:rPr>
            </w:pPr>
          </w:p>
        </w:tc>
        <w:tc>
          <w:tcPr>
            <w:tcW w:w="1987" w:type="dxa"/>
          </w:tcPr>
          <w:p w14:paraId="02970A2E" w14:textId="77777777" w:rsidR="00403AAD" w:rsidRPr="00286216" w:rsidRDefault="00403AAD" w:rsidP="00403AAD">
            <w:pPr>
              <w:pStyle w:val="StyleWisnow"/>
              <w:rPr>
                <w:color w:val="000000" w:themeColor="text1"/>
              </w:rPr>
            </w:pPr>
          </w:p>
        </w:tc>
        <w:tc>
          <w:tcPr>
            <w:tcW w:w="4818" w:type="dxa"/>
          </w:tcPr>
          <w:p w14:paraId="776E3324" w14:textId="7E9C6255" w:rsidR="00403AAD" w:rsidRPr="00286216" w:rsidRDefault="00403AAD" w:rsidP="00403AAD">
            <w:pPr>
              <w:pStyle w:val="StyleZakonu"/>
              <w:rPr>
                <w:color w:val="000000" w:themeColor="text1"/>
              </w:rPr>
            </w:pPr>
            <w:r w:rsidRPr="00286216">
              <w:rPr>
                <w:color w:val="000000" w:themeColor="text1"/>
              </w:rPr>
              <w:t>3) дилерська діяльність;</w:t>
            </w:r>
          </w:p>
        </w:tc>
      </w:tr>
      <w:tr w:rsidR="00403AAD" w:rsidRPr="00286216" w14:paraId="7D36C3C1" w14:textId="77777777" w:rsidTr="00091AA5">
        <w:tc>
          <w:tcPr>
            <w:tcW w:w="576" w:type="dxa"/>
          </w:tcPr>
          <w:p w14:paraId="584AE1EA" w14:textId="77777777" w:rsidR="00403AAD" w:rsidRPr="00286216" w:rsidRDefault="00403AAD" w:rsidP="00403AAD">
            <w:pPr>
              <w:pStyle w:val="StyleWisnow"/>
              <w:rPr>
                <w:color w:val="000000" w:themeColor="text1"/>
              </w:rPr>
            </w:pPr>
            <w:bookmarkStart w:id="343" w:name="n655" w:colFirst="0" w:colLast="0"/>
            <w:bookmarkEnd w:id="341"/>
            <w:r w:rsidRPr="00286216">
              <w:rPr>
                <w:color w:val="000000" w:themeColor="text1"/>
              </w:rPr>
              <w:t>655.</w:t>
            </w:r>
          </w:p>
        </w:tc>
        <w:tc>
          <w:tcPr>
            <w:tcW w:w="4818" w:type="dxa"/>
          </w:tcPr>
          <w:p w14:paraId="4BC9C3A5" w14:textId="77777777" w:rsidR="00403AAD" w:rsidRPr="00286216" w:rsidRDefault="00403AAD" w:rsidP="00403AAD">
            <w:pPr>
              <w:pStyle w:val="StyleZakonu"/>
              <w:rPr>
                <w:color w:val="000000" w:themeColor="text1"/>
              </w:rPr>
            </w:pPr>
            <w:r w:rsidRPr="00286216">
              <w:rPr>
                <w:color w:val="000000" w:themeColor="text1"/>
              </w:rPr>
              <w:t>4) діяльність з управління портфелем фінансових інструментів;</w:t>
            </w:r>
          </w:p>
        </w:tc>
        <w:tc>
          <w:tcPr>
            <w:tcW w:w="3686" w:type="dxa"/>
          </w:tcPr>
          <w:p w14:paraId="16637187" w14:textId="77777777" w:rsidR="00403AAD" w:rsidRPr="00286216" w:rsidRDefault="00403AAD" w:rsidP="00403AAD">
            <w:pPr>
              <w:pStyle w:val="StyleProp"/>
              <w:rPr>
                <w:color w:val="000000" w:themeColor="text1"/>
                <w:szCs w:val="18"/>
              </w:rPr>
            </w:pPr>
          </w:p>
        </w:tc>
        <w:tc>
          <w:tcPr>
            <w:tcW w:w="1987" w:type="dxa"/>
          </w:tcPr>
          <w:p w14:paraId="000700B1" w14:textId="77777777" w:rsidR="00403AAD" w:rsidRPr="00286216" w:rsidRDefault="00403AAD" w:rsidP="00403AAD">
            <w:pPr>
              <w:pStyle w:val="StyleWisnow"/>
              <w:rPr>
                <w:color w:val="000000" w:themeColor="text1"/>
              </w:rPr>
            </w:pPr>
          </w:p>
        </w:tc>
        <w:tc>
          <w:tcPr>
            <w:tcW w:w="4818" w:type="dxa"/>
          </w:tcPr>
          <w:p w14:paraId="27B24611" w14:textId="3FE57A73" w:rsidR="00403AAD" w:rsidRPr="00286216" w:rsidRDefault="00403AAD" w:rsidP="00403AAD">
            <w:pPr>
              <w:pStyle w:val="StyleZakonu"/>
              <w:rPr>
                <w:color w:val="000000" w:themeColor="text1"/>
              </w:rPr>
            </w:pPr>
            <w:r w:rsidRPr="00286216">
              <w:rPr>
                <w:color w:val="000000" w:themeColor="text1"/>
              </w:rPr>
              <w:t>4) діяльність з управління портфелем фінансових інструментів;</w:t>
            </w:r>
          </w:p>
        </w:tc>
      </w:tr>
      <w:tr w:rsidR="00403AAD" w:rsidRPr="00286216" w14:paraId="4FCF5764" w14:textId="77777777" w:rsidTr="00091AA5">
        <w:tc>
          <w:tcPr>
            <w:tcW w:w="576" w:type="dxa"/>
          </w:tcPr>
          <w:p w14:paraId="3900B8D4" w14:textId="77777777" w:rsidR="00403AAD" w:rsidRPr="00286216" w:rsidRDefault="00403AAD" w:rsidP="00403AAD">
            <w:pPr>
              <w:pStyle w:val="StyleWisnow"/>
              <w:rPr>
                <w:color w:val="000000" w:themeColor="text1"/>
              </w:rPr>
            </w:pPr>
            <w:bookmarkStart w:id="344" w:name="n656" w:colFirst="0" w:colLast="0"/>
            <w:bookmarkEnd w:id="343"/>
            <w:r w:rsidRPr="00286216">
              <w:rPr>
                <w:color w:val="000000" w:themeColor="text1"/>
              </w:rPr>
              <w:t>656.</w:t>
            </w:r>
          </w:p>
        </w:tc>
        <w:tc>
          <w:tcPr>
            <w:tcW w:w="4818" w:type="dxa"/>
          </w:tcPr>
          <w:p w14:paraId="6BBF5E47" w14:textId="77777777" w:rsidR="00403AAD" w:rsidRPr="00286216" w:rsidRDefault="00403AAD" w:rsidP="00403AAD">
            <w:pPr>
              <w:pStyle w:val="StyleZakonu"/>
              <w:rPr>
                <w:color w:val="000000" w:themeColor="text1"/>
              </w:rPr>
            </w:pPr>
            <w:r w:rsidRPr="00286216">
              <w:rPr>
                <w:color w:val="000000" w:themeColor="text1"/>
              </w:rPr>
              <w:t>5) інвестиційне консультування;</w:t>
            </w:r>
          </w:p>
        </w:tc>
        <w:tc>
          <w:tcPr>
            <w:tcW w:w="3686" w:type="dxa"/>
          </w:tcPr>
          <w:p w14:paraId="2790ABA7" w14:textId="77777777" w:rsidR="00403AAD" w:rsidRPr="00286216" w:rsidRDefault="00403AAD" w:rsidP="00403AAD">
            <w:pPr>
              <w:pStyle w:val="StyleProp"/>
              <w:rPr>
                <w:color w:val="000000" w:themeColor="text1"/>
                <w:szCs w:val="18"/>
              </w:rPr>
            </w:pPr>
          </w:p>
        </w:tc>
        <w:tc>
          <w:tcPr>
            <w:tcW w:w="1987" w:type="dxa"/>
          </w:tcPr>
          <w:p w14:paraId="7415E1D5" w14:textId="77777777" w:rsidR="00403AAD" w:rsidRPr="00286216" w:rsidRDefault="00403AAD" w:rsidP="00403AAD">
            <w:pPr>
              <w:pStyle w:val="StyleWisnow"/>
              <w:rPr>
                <w:color w:val="000000" w:themeColor="text1"/>
              </w:rPr>
            </w:pPr>
          </w:p>
        </w:tc>
        <w:tc>
          <w:tcPr>
            <w:tcW w:w="4818" w:type="dxa"/>
          </w:tcPr>
          <w:p w14:paraId="0685A31E" w14:textId="07079A3D" w:rsidR="00403AAD" w:rsidRPr="00286216" w:rsidRDefault="00403AAD" w:rsidP="00403AAD">
            <w:pPr>
              <w:pStyle w:val="StyleZakonu"/>
              <w:rPr>
                <w:color w:val="000000" w:themeColor="text1"/>
              </w:rPr>
            </w:pPr>
            <w:r w:rsidRPr="00286216">
              <w:rPr>
                <w:color w:val="000000" w:themeColor="text1"/>
              </w:rPr>
              <w:t>5) інвестиційне консультування;</w:t>
            </w:r>
          </w:p>
        </w:tc>
      </w:tr>
      <w:tr w:rsidR="00403AAD" w:rsidRPr="00286216" w14:paraId="581E2D8D" w14:textId="77777777" w:rsidTr="00091AA5">
        <w:tc>
          <w:tcPr>
            <w:tcW w:w="576" w:type="dxa"/>
          </w:tcPr>
          <w:p w14:paraId="60587895" w14:textId="77777777" w:rsidR="00403AAD" w:rsidRPr="00286216" w:rsidRDefault="00403AAD" w:rsidP="00403AAD">
            <w:pPr>
              <w:pStyle w:val="StyleWisnow"/>
              <w:rPr>
                <w:color w:val="000000" w:themeColor="text1"/>
              </w:rPr>
            </w:pPr>
            <w:bookmarkStart w:id="345" w:name="n657" w:colFirst="0" w:colLast="0"/>
            <w:bookmarkEnd w:id="344"/>
            <w:r w:rsidRPr="00286216">
              <w:rPr>
                <w:color w:val="000000" w:themeColor="text1"/>
              </w:rPr>
              <w:t>657.</w:t>
            </w:r>
          </w:p>
        </w:tc>
        <w:tc>
          <w:tcPr>
            <w:tcW w:w="4818" w:type="dxa"/>
          </w:tcPr>
          <w:p w14:paraId="3D16E37D" w14:textId="77777777" w:rsidR="00403AAD" w:rsidRPr="00286216" w:rsidRDefault="00403AAD" w:rsidP="00403AAD">
            <w:pPr>
              <w:pStyle w:val="StyleZakonu"/>
              <w:rPr>
                <w:color w:val="000000" w:themeColor="text1"/>
              </w:rPr>
            </w:pPr>
            <w:r w:rsidRPr="00286216">
              <w:rPr>
                <w:color w:val="000000" w:themeColor="text1"/>
              </w:rPr>
              <w:t>6) андеррайтинг та/або діяльність з розміщення з наданням гарантії;</w:t>
            </w:r>
          </w:p>
        </w:tc>
        <w:tc>
          <w:tcPr>
            <w:tcW w:w="3686" w:type="dxa"/>
          </w:tcPr>
          <w:p w14:paraId="322219D0" w14:textId="77777777" w:rsidR="00403AAD" w:rsidRPr="00286216" w:rsidRDefault="00403AAD" w:rsidP="00403AAD">
            <w:pPr>
              <w:pStyle w:val="StyleProp"/>
              <w:rPr>
                <w:color w:val="000000" w:themeColor="text1"/>
                <w:szCs w:val="18"/>
              </w:rPr>
            </w:pPr>
          </w:p>
        </w:tc>
        <w:tc>
          <w:tcPr>
            <w:tcW w:w="1987" w:type="dxa"/>
          </w:tcPr>
          <w:p w14:paraId="61450D83" w14:textId="77777777" w:rsidR="00403AAD" w:rsidRPr="00286216" w:rsidRDefault="00403AAD" w:rsidP="00403AAD">
            <w:pPr>
              <w:pStyle w:val="StyleWisnow"/>
              <w:rPr>
                <w:color w:val="000000" w:themeColor="text1"/>
              </w:rPr>
            </w:pPr>
          </w:p>
        </w:tc>
        <w:tc>
          <w:tcPr>
            <w:tcW w:w="4818" w:type="dxa"/>
          </w:tcPr>
          <w:p w14:paraId="31244956" w14:textId="3A0C8857" w:rsidR="00403AAD" w:rsidRPr="00286216" w:rsidRDefault="00403AAD" w:rsidP="00403AAD">
            <w:pPr>
              <w:pStyle w:val="StyleZakonu"/>
              <w:rPr>
                <w:color w:val="000000" w:themeColor="text1"/>
              </w:rPr>
            </w:pPr>
            <w:r w:rsidRPr="00286216">
              <w:rPr>
                <w:color w:val="000000" w:themeColor="text1"/>
              </w:rPr>
              <w:t>6) андеррайтинг та/або діяльність з розміщення з наданням гарантії;</w:t>
            </w:r>
          </w:p>
        </w:tc>
      </w:tr>
      <w:tr w:rsidR="00403AAD" w:rsidRPr="00286216" w14:paraId="312BE1FA" w14:textId="77777777" w:rsidTr="00091AA5">
        <w:tc>
          <w:tcPr>
            <w:tcW w:w="576" w:type="dxa"/>
          </w:tcPr>
          <w:p w14:paraId="18C654BD" w14:textId="77777777" w:rsidR="00403AAD" w:rsidRPr="00286216" w:rsidRDefault="00403AAD" w:rsidP="00403AAD">
            <w:pPr>
              <w:pStyle w:val="StyleWisnow"/>
              <w:rPr>
                <w:color w:val="000000" w:themeColor="text1"/>
              </w:rPr>
            </w:pPr>
            <w:bookmarkStart w:id="346" w:name="n658" w:colFirst="0" w:colLast="0"/>
            <w:bookmarkEnd w:id="345"/>
            <w:r w:rsidRPr="00286216">
              <w:rPr>
                <w:color w:val="000000" w:themeColor="text1"/>
              </w:rPr>
              <w:t>658.</w:t>
            </w:r>
          </w:p>
        </w:tc>
        <w:tc>
          <w:tcPr>
            <w:tcW w:w="4818" w:type="dxa"/>
          </w:tcPr>
          <w:p w14:paraId="0BAD9A53" w14:textId="77777777" w:rsidR="00403AAD" w:rsidRPr="00286216" w:rsidRDefault="00403AAD" w:rsidP="00403AAD">
            <w:pPr>
              <w:pStyle w:val="StyleZakonu"/>
              <w:rPr>
                <w:color w:val="000000" w:themeColor="text1"/>
              </w:rPr>
            </w:pPr>
            <w:r w:rsidRPr="00286216">
              <w:rPr>
                <w:color w:val="000000" w:themeColor="text1"/>
              </w:rPr>
              <w:t>7) діяльність з розміщення без надання гарантії.</w:t>
            </w:r>
          </w:p>
        </w:tc>
        <w:tc>
          <w:tcPr>
            <w:tcW w:w="3686" w:type="dxa"/>
          </w:tcPr>
          <w:p w14:paraId="1E061674" w14:textId="77777777" w:rsidR="00403AAD" w:rsidRPr="00286216" w:rsidRDefault="00403AAD" w:rsidP="00403AAD">
            <w:pPr>
              <w:pStyle w:val="StyleProp"/>
              <w:rPr>
                <w:color w:val="000000" w:themeColor="text1"/>
                <w:szCs w:val="18"/>
              </w:rPr>
            </w:pPr>
          </w:p>
        </w:tc>
        <w:tc>
          <w:tcPr>
            <w:tcW w:w="1987" w:type="dxa"/>
          </w:tcPr>
          <w:p w14:paraId="6A9831BC" w14:textId="77777777" w:rsidR="00403AAD" w:rsidRPr="00286216" w:rsidRDefault="00403AAD" w:rsidP="00403AAD">
            <w:pPr>
              <w:pStyle w:val="StyleWisnow"/>
              <w:rPr>
                <w:color w:val="000000" w:themeColor="text1"/>
              </w:rPr>
            </w:pPr>
          </w:p>
        </w:tc>
        <w:tc>
          <w:tcPr>
            <w:tcW w:w="4818" w:type="dxa"/>
          </w:tcPr>
          <w:p w14:paraId="6BB8F214" w14:textId="18143EFA" w:rsidR="00403AAD" w:rsidRPr="00286216" w:rsidRDefault="00403AAD" w:rsidP="00403AAD">
            <w:pPr>
              <w:pStyle w:val="StyleZakonu"/>
              <w:rPr>
                <w:color w:val="000000" w:themeColor="text1"/>
              </w:rPr>
            </w:pPr>
            <w:r w:rsidRPr="00286216">
              <w:rPr>
                <w:color w:val="000000" w:themeColor="text1"/>
              </w:rPr>
              <w:t>7) діяльність з розміщення без надання гарантії.</w:t>
            </w:r>
          </w:p>
        </w:tc>
      </w:tr>
      <w:tr w:rsidR="00403AAD" w:rsidRPr="00286216" w14:paraId="2A011AD6" w14:textId="77777777" w:rsidTr="00091AA5">
        <w:tc>
          <w:tcPr>
            <w:tcW w:w="576" w:type="dxa"/>
          </w:tcPr>
          <w:p w14:paraId="7B88FF45" w14:textId="77777777" w:rsidR="00403AAD" w:rsidRPr="00286216" w:rsidRDefault="00403AAD" w:rsidP="00403AAD">
            <w:pPr>
              <w:pStyle w:val="StyleWisnow"/>
              <w:rPr>
                <w:color w:val="000000" w:themeColor="text1"/>
              </w:rPr>
            </w:pPr>
            <w:bookmarkStart w:id="347" w:name="n659" w:colFirst="0" w:colLast="0"/>
            <w:bookmarkEnd w:id="346"/>
            <w:r w:rsidRPr="00286216">
              <w:rPr>
                <w:color w:val="000000" w:themeColor="text1"/>
              </w:rPr>
              <w:t>659.</w:t>
            </w:r>
          </w:p>
        </w:tc>
        <w:tc>
          <w:tcPr>
            <w:tcW w:w="4818" w:type="dxa"/>
          </w:tcPr>
          <w:p w14:paraId="51B5F6E5" w14:textId="77777777" w:rsidR="00403AAD" w:rsidRPr="00286216" w:rsidRDefault="00403AAD" w:rsidP="00403AAD">
            <w:pPr>
              <w:pStyle w:val="StyleZakonu"/>
              <w:rPr>
                <w:color w:val="000000" w:themeColor="text1"/>
              </w:rPr>
            </w:pPr>
            <w:r w:rsidRPr="00286216">
              <w:rPr>
                <w:color w:val="000000" w:themeColor="text1"/>
              </w:rPr>
              <w:t>На провадження кожного виду діяльності з торгівлі фінансовими інструментами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c>
          <w:tcPr>
            <w:tcW w:w="3686" w:type="dxa"/>
          </w:tcPr>
          <w:p w14:paraId="4CCDA0B5" w14:textId="15C235FB"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79B20B7" w14:textId="77777777" w:rsidR="00403AAD" w:rsidRPr="00286216" w:rsidRDefault="00403AAD" w:rsidP="00403AAD">
            <w:pPr>
              <w:pStyle w:val="StyleProp"/>
              <w:rPr>
                <w:color w:val="000000" w:themeColor="text1"/>
                <w:szCs w:val="18"/>
              </w:rPr>
            </w:pPr>
            <w:r w:rsidRPr="00286216">
              <w:rPr>
                <w:color w:val="000000" w:themeColor="text1"/>
                <w:szCs w:val="18"/>
              </w:rPr>
              <w:t>У статті 42 нової редакції Закону:</w:t>
            </w:r>
          </w:p>
          <w:p w14:paraId="6542C19A" w14:textId="77777777" w:rsidR="00403AAD" w:rsidRPr="00286216" w:rsidRDefault="00403AAD" w:rsidP="00403AAD">
            <w:pPr>
              <w:pStyle w:val="StyleProp"/>
              <w:rPr>
                <w:color w:val="000000" w:themeColor="text1"/>
                <w:szCs w:val="18"/>
              </w:rPr>
            </w:pPr>
            <w:r w:rsidRPr="00286216">
              <w:rPr>
                <w:color w:val="000000" w:themeColor="text1"/>
                <w:szCs w:val="18"/>
              </w:rPr>
              <w:t xml:space="preserve"> у  назві статті та частинах 1 – 5 та 14 слова «торгівлі фінансовими інструментами» замінити словами «обігу фінансових інструментів».</w:t>
            </w:r>
          </w:p>
        </w:tc>
        <w:tc>
          <w:tcPr>
            <w:tcW w:w="1987" w:type="dxa"/>
          </w:tcPr>
          <w:p w14:paraId="4D0A28D5" w14:textId="77777777" w:rsidR="00403AAD" w:rsidRPr="00286216" w:rsidRDefault="00403AAD" w:rsidP="00403AAD">
            <w:pPr>
              <w:pStyle w:val="StyleWisnow"/>
              <w:rPr>
                <w:color w:val="000000" w:themeColor="text1"/>
              </w:rPr>
            </w:pPr>
            <w:r w:rsidRPr="00286216">
              <w:rPr>
                <w:color w:val="000000" w:themeColor="text1"/>
              </w:rPr>
              <w:t>Відхилено</w:t>
            </w:r>
          </w:p>
          <w:p w14:paraId="19CD3ED6"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71F047D8" w14:textId="0AADFFFC" w:rsidR="00403AAD" w:rsidRPr="00286216" w:rsidRDefault="00403AAD" w:rsidP="00403AAD">
            <w:pPr>
              <w:pStyle w:val="StyleZakonu"/>
              <w:rPr>
                <w:color w:val="000000" w:themeColor="text1"/>
              </w:rPr>
            </w:pPr>
            <w:r w:rsidRPr="00286216">
              <w:rPr>
                <w:color w:val="000000" w:themeColor="text1"/>
              </w:rPr>
              <w:t>На провадження кожного виду діяльності з торгівлі фінансовими інструментами у встановленому цим Законом порядку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r>
      <w:bookmarkEnd w:id="347"/>
      <w:tr w:rsidR="00403AAD" w:rsidRPr="00286216" w14:paraId="3C9452E2" w14:textId="77777777" w:rsidTr="00091AA5">
        <w:tc>
          <w:tcPr>
            <w:tcW w:w="576" w:type="dxa"/>
          </w:tcPr>
          <w:p w14:paraId="076F56D7" w14:textId="77777777" w:rsidR="00403AAD" w:rsidRPr="00286216" w:rsidRDefault="00403AAD" w:rsidP="00403AAD">
            <w:pPr>
              <w:pStyle w:val="StyleWisnow"/>
              <w:rPr>
                <w:color w:val="000000" w:themeColor="text1"/>
              </w:rPr>
            </w:pPr>
          </w:p>
        </w:tc>
        <w:tc>
          <w:tcPr>
            <w:tcW w:w="4818" w:type="dxa"/>
          </w:tcPr>
          <w:p w14:paraId="55633A70" w14:textId="77777777" w:rsidR="00403AAD" w:rsidRPr="00286216" w:rsidRDefault="00403AAD" w:rsidP="00403AAD">
            <w:pPr>
              <w:pStyle w:val="StyleZakonu"/>
              <w:rPr>
                <w:color w:val="000000" w:themeColor="text1"/>
              </w:rPr>
            </w:pPr>
          </w:p>
        </w:tc>
        <w:tc>
          <w:tcPr>
            <w:tcW w:w="3686" w:type="dxa"/>
          </w:tcPr>
          <w:p w14:paraId="5AC5CDB3" w14:textId="4F8D96FE"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396</w:t>
            </w:r>
            <w:r w:rsidRPr="00286216">
              <w:rPr>
                <w:color w:val="000000" w:themeColor="text1"/>
                <w:spacing w:val="-10"/>
              </w:rPr>
              <w:fldChar w:fldCharType="end"/>
            </w:r>
            <w:r w:rsidRPr="00286216">
              <w:rPr>
                <w:color w:val="000000" w:themeColor="text1"/>
                <w:spacing w:val="-10"/>
              </w:rPr>
              <w:t>-Н.д.Гетманцев Д.О.(Реєстр.картка №245)</w:t>
            </w:r>
          </w:p>
          <w:p w14:paraId="71714542" w14:textId="77777777" w:rsidR="00403AAD" w:rsidRPr="00286216" w:rsidRDefault="00403AAD" w:rsidP="003F49CA">
            <w:pPr>
              <w:pStyle w:val="StyleProp"/>
              <w:spacing w:line="180" w:lineRule="exact"/>
              <w:rPr>
                <w:color w:val="000000" w:themeColor="text1"/>
              </w:rPr>
            </w:pPr>
            <w:r w:rsidRPr="00286216">
              <w:rPr>
                <w:color w:val="000000" w:themeColor="text1"/>
              </w:rPr>
              <w:t>У статті 42 останній абзац частини першої викласти в такій редакції:</w:t>
            </w:r>
          </w:p>
          <w:p w14:paraId="217AF123" w14:textId="77777777" w:rsidR="00403AAD" w:rsidRPr="00286216" w:rsidRDefault="00403AAD" w:rsidP="003F49CA">
            <w:pPr>
              <w:pStyle w:val="StyleProp"/>
              <w:spacing w:line="180" w:lineRule="exact"/>
              <w:rPr>
                <w:color w:val="000000" w:themeColor="text1"/>
              </w:rPr>
            </w:pPr>
            <w:r w:rsidRPr="00286216">
              <w:rPr>
                <w:color w:val="000000" w:themeColor="text1"/>
              </w:rPr>
              <w:t>«Ліцензія на провадження діяльності з торгівлі фінансовими інструментами видається Національною комісією з цінних паперів та фондового ринку у порядку, передбаченому цим Законом. Ліцензія на провадження діяльності з торгівлі фінансовими інструментами видається Національною комісію з цінних паперів та фондового ринку на один чи кілька видів діяльності, які відповідно до цієї частини статті можуть здійснюватися в межах діяльності з торгівлі фінансовими інструментами.</w:t>
            </w:r>
          </w:p>
          <w:p w14:paraId="04817E72" w14:textId="77777777" w:rsidR="00403AAD" w:rsidRPr="00286216" w:rsidRDefault="00403AAD" w:rsidP="003F49CA">
            <w:pPr>
              <w:pStyle w:val="StyleProp"/>
              <w:spacing w:line="180" w:lineRule="exact"/>
              <w:rPr>
                <w:color w:val="000000" w:themeColor="text1"/>
              </w:rPr>
            </w:pPr>
            <w:r w:rsidRPr="00286216">
              <w:rPr>
                <w:color w:val="000000" w:themeColor="text1"/>
              </w:rPr>
              <w:t>Суб’єкт господарювання набуває статусу інвестиційної фірми (компанії) з дня отримання ліцензії Національної комісії з цінних паперів та фондового ринку на провадження діяльності з торгівлі фінансовими інструментами.»</w:t>
            </w:r>
          </w:p>
        </w:tc>
        <w:tc>
          <w:tcPr>
            <w:tcW w:w="1987" w:type="dxa"/>
          </w:tcPr>
          <w:p w14:paraId="76DC8DC3" w14:textId="77777777" w:rsidR="00403AAD" w:rsidRPr="00286216" w:rsidRDefault="00403AAD" w:rsidP="00403AAD">
            <w:pPr>
              <w:pStyle w:val="StyleWisnow"/>
              <w:rPr>
                <w:color w:val="000000" w:themeColor="text1"/>
              </w:rPr>
            </w:pPr>
            <w:r w:rsidRPr="00286216">
              <w:rPr>
                <w:color w:val="000000" w:themeColor="text1"/>
              </w:rPr>
              <w:t>Враховано частково</w:t>
            </w:r>
          </w:p>
          <w:p w14:paraId="06377472" w14:textId="77777777" w:rsidR="00403AAD" w:rsidRPr="00286216" w:rsidRDefault="00403AAD" w:rsidP="00403AAD">
            <w:pPr>
              <w:pStyle w:val="StyleWisnow"/>
              <w:spacing w:line="180" w:lineRule="exact"/>
              <w:rPr>
                <w:color w:val="000000" w:themeColor="text1"/>
              </w:rPr>
            </w:pPr>
            <w:r w:rsidRPr="00286216">
              <w:rPr>
                <w:color w:val="000000" w:themeColor="text1"/>
              </w:rPr>
              <w:t>щодо правових засад видачі ліцензій згідно із Законом</w:t>
            </w:r>
          </w:p>
        </w:tc>
        <w:tc>
          <w:tcPr>
            <w:tcW w:w="4818" w:type="dxa"/>
          </w:tcPr>
          <w:p w14:paraId="187ADD9B" w14:textId="77777777" w:rsidR="00403AAD" w:rsidRPr="00286216" w:rsidRDefault="00403AAD" w:rsidP="00403AAD">
            <w:pPr>
              <w:pStyle w:val="StyleZakonu"/>
              <w:rPr>
                <w:color w:val="000000" w:themeColor="text1"/>
              </w:rPr>
            </w:pPr>
          </w:p>
        </w:tc>
      </w:tr>
      <w:tr w:rsidR="00403AAD" w:rsidRPr="00286216" w14:paraId="3AD6AF46" w14:textId="77777777" w:rsidTr="00091AA5">
        <w:tc>
          <w:tcPr>
            <w:tcW w:w="576" w:type="dxa"/>
          </w:tcPr>
          <w:p w14:paraId="213C7E32" w14:textId="77777777" w:rsidR="00403AAD" w:rsidRPr="00286216" w:rsidRDefault="00403AAD" w:rsidP="00403AAD">
            <w:pPr>
              <w:pStyle w:val="StyleWisnow"/>
              <w:rPr>
                <w:color w:val="000000" w:themeColor="text1"/>
              </w:rPr>
            </w:pPr>
            <w:bookmarkStart w:id="348" w:name="n660" w:colFirst="0" w:colLast="0"/>
            <w:r w:rsidRPr="00286216">
              <w:rPr>
                <w:color w:val="000000" w:themeColor="text1"/>
              </w:rPr>
              <w:t>660.</w:t>
            </w:r>
          </w:p>
        </w:tc>
        <w:tc>
          <w:tcPr>
            <w:tcW w:w="4818" w:type="dxa"/>
          </w:tcPr>
          <w:p w14:paraId="28C212B1" w14:textId="77777777" w:rsidR="00403AAD" w:rsidRPr="00286216" w:rsidRDefault="00403AAD" w:rsidP="00403AAD">
            <w:pPr>
              <w:pStyle w:val="StyleZakonu"/>
              <w:rPr>
                <w:color w:val="000000" w:themeColor="text1"/>
              </w:rPr>
            </w:pPr>
            <w:bookmarkStart w:id="349" w:name="_Ref18430784"/>
            <w:r w:rsidRPr="00286216">
              <w:rPr>
                <w:color w:val="000000" w:themeColor="text1"/>
              </w:rPr>
              <w:t xml:space="preserve">2. Інвестиційна фірма може з урахуванням вимог законодавства надавати клієнтам такі додаткові послуги, якщо вони зазначені в рішенні Національної комісії з цінних паперів та фондового ринку про </w:t>
            </w:r>
            <w:r w:rsidRPr="00286216">
              <w:rPr>
                <w:color w:val="000000" w:themeColor="text1"/>
              </w:rPr>
              <w:lastRenderedPageBreak/>
              <w:t>видачу їй ліцензії на провадження професійної діяльності з торгівлі фінансовими інструментами та внесені до реєстру професійних учасників ринків капіталу та організованих товарних ринків:</w:t>
            </w:r>
            <w:bookmarkEnd w:id="349"/>
          </w:p>
        </w:tc>
        <w:tc>
          <w:tcPr>
            <w:tcW w:w="3686" w:type="dxa"/>
          </w:tcPr>
          <w:p w14:paraId="3853D190" w14:textId="72603BC6" w:rsidR="00403AAD" w:rsidRPr="00286216" w:rsidRDefault="00403AAD" w:rsidP="00403A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397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29B632C" w14:textId="77777777" w:rsidR="00403AAD" w:rsidRPr="00286216" w:rsidRDefault="00403AAD" w:rsidP="00403AAD">
            <w:pPr>
              <w:pStyle w:val="StyleProp"/>
              <w:rPr>
                <w:color w:val="000000" w:themeColor="text1"/>
                <w:szCs w:val="18"/>
              </w:rPr>
            </w:pPr>
            <w:r w:rsidRPr="00286216">
              <w:rPr>
                <w:color w:val="000000" w:themeColor="text1"/>
                <w:szCs w:val="18"/>
              </w:rPr>
              <w:t>У статті 42 нової редакції Закону:</w:t>
            </w:r>
          </w:p>
          <w:p w14:paraId="1E384B01" w14:textId="77777777" w:rsidR="00403AAD" w:rsidRPr="00286216" w:rsidRDefault="00403AAD" w:rsidP="00403AAD">
            <w:pPr>
              <w:pStyle w:val="StyleProp"/>
              <w:rPr>
                <w:color w:val="000000" w:themeColor="text1"/>
                <w:szCs w:val="18"/>
              </w:rPr>
            </w:pPr>
            <w:r w:rsidRPr="00286216">
              <w:rPr>
                <w:color w:val="000000" w:themeColor="text1"/>
                <w:szCs w:val="18"/>
              </w:rPr>
              <w:t xml:space="preserve"> у  назві статті та частинах 1 – 5 та 14 слова «торгівлі фінансовими інструментами» замінити словами «обігу фінансових </w:t>
            </w:r>
            <w:r w:rsidRPr="00286216">
              <w:rPr>
                <w:color w:val="000000" w:themeColor="text1"/>
                <w:szCs w:val="18"/>
              </w:rPr>
              <w:lastRenderedPageBreak/>
              <w:t>інструментів».</w:t>
            </w:r>
          </w:p>
        </w:tc>
        <w:tc>
          <w:tcPr>
            <w:tcW w:w="1987" w:type="dxa"/>
          </w:tcPr>
          <w:p w14:paraId="70A22BCC" w14:textId="77777777" w:rsidR="00403AAD" w:rsidRPr="00286216" w:rsidRDefault="00403AAD" w:rsidP="00403AAD">
            <w:pPr>
              <w:pStyle w:val="StyleWisnow"/>
              <w:rPr>
                <w:color w:val="000000" w:themeColor="text1"/>
              </w:rPr>
            </w:pPr>
            <w:r w:rsidRPr="00286216">
              <w:rPr>
                <w:color w:val="000000" w:themeColor="text1"/>
              </w:rPr>
              <w:lastRenderedPageBreak/>
              <w:t>Відхилено</w:t>
            </w:r>
          </w:p>
          <w:p w14:paraId="18771810"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2BE2E778" w14:textId="1088E567" w:rsidR="00403AAD" w:rsidRPr="00286216" w:rsidRDefault="00403AAD" w:rsidP="00403AAD">
            <w:pPr>
              <w:pStyle w:val="StyleZakonu"/>
              <w:rPr>
                <w:color w:val="000000" w:themeColor="text1"/>
              </w:rPr>
            </w:pPr>
            <w:r w:rsidRPr="00286216">
              <w:rPr>
                <w:color w:val="000000" w:themeColor="text1"/>
              </w:rPr>
              <w:t xml:space="preserve">2. Інвестиційна фірма з урахуванням вимог законодавства може надавати клієнтам такі додаткові послуги, якщо вони зазначені в рішенні Національної комісії з цінних паперів та фондового ринку про </w:t>
            </w:r>
            <w:r w:rsidRPr="00286216">
              <w:rPr>
                <w:color w:val="000000" w:themeColor="text1"/>
              </w:rPr>
              <w:lastRenderedPageBreak/>
              <w:t>видачу їй ліцензії на провадження відповідного виду діяльності в межах професійної діяльності з торгівлі фінансовими інструментами та внесені до реєстру професійних учасників ринків капіталу та організованих товарних ринків:</w:t>
            </w:r>
          </w:p>
        </w:tc>
      </w:tr>
      <w:tr w:rsidR="00403AAD" w:rsidRPr="00286216" w14:paraId="3B411FB7" w14:textId="77777777" w:rsidTr="00091AA5">
        <w:tc>
          <w:tcPr>
            <w:tcW w:w="576" w:type="dxa"/>
          </w:tcPr>
          <w:p w14:paraId="590EF19C" w14:textId="77777777" w:rsidR="00403AAD" w:rsidRPr="00286216" w:rsidRDefault="00403AAD" w:rsidP="00403AAD">
            <w:pPr>
              <w:pStyle w:val="StyleWisnow"/>
              <w:rPr>
                <w:color w:val="000000" w:themeColor="text1"/>
              </w:rPr>
            </w:pPr>
            <w:bookmarkStart w:id="350" w:name="n661" w:colFirst="0" w:colLast="0"/>
            <w:bookmarkEnd w:id="348"/>
            <w:r w:rsidRPr="00286216">
              <w:rPr>
                <w:color w:val="000000" w:themeColor="text1"/>
              </w:rPr>
              <w:lastRenderedPageBreak/>
              <w:t>661.</w:t>
            </w:r>
          </w:p>
        </w:tc>
        <w:tc>
          <w:tcPr>
            <w:tcW w:w="4818" w:type="dxa"/>
          </w:tcPr>
          <w:p w14:paraId="2D57DE11" w14:textId="77777777" w:rsidR="00403AAD" w:rsidRPr="00286216" w:rsidRDefault="00403AAD" w:rsidP="00403AAD">
            <w:pPr>
              <w:pStyle w:val="StyleZakonu"/>
              <w:rPr>
                <w:color w:val="000000" w:themeColor="text1"/>
              </w:rPr>
            </w:pPr>
            <w:r w:rsidRPr="00286216">
              <w:rPr>
                <w:color w:val="000000" w:themeColor="text1"/>
              </w:rPr>
              <w:t>1) зберігання фінансових інструментів та коштів клієнтів (включаючи облік прав на цінні папери та прав за ними на рахунках в цінних паперах клієнта в рамках провадження депозитарної діяльності депозитарної установи), а також розпорядження фінансовими інструментами та коштами клієнта, які є предметом забезпечення (включаючи користування правами за цінними паперами в інтересах клієнта);</w:t>
            </w:r>
          </w:p>
        </w:tc>
        <w:tc>
          <w:tcPr>
            <w:tcW w:w="3686" w:type="dxa"/>
          </w:tcPr>
          <w:p w14:paraId="1EEEF756" w14:textId="77777777" w:rsidR="00403AAD" w:rsidRPr="00286216" w:rsidRDefault="00403AAD" w:rsidP="00403AAD">
            <w:pPr>
              <w:pStyle w:val="StyleProp"/>
              <w:rPr>
                <w:color w:val="000000" w:themeColor="text1"/>
                <w:szCs w:val="18"/>
              </w:rPr>
            </w:pPr>
          </w:p>
        </w:tc>
        <w:tc>
          <w:tcPr>
            <w:tcW w:w="1987" w:type="dxa"/>
          </w:tcPr>
          <w:p w14:paraId="50936AD1" w14:textId="77777777" w:rsidR="00403AAD" w:rsidRPr="00286216" w:rsidRDefault="00403AAD" w:rsidP="00403AAD">
            <w:pPr>
              <w:pStyle w:val="StyleWisnow"/>
              <w:rPr>
                <w:color w:val="000000" w:themeColor="text1"/>
              </w:rPr>
            </w:pPr>
          </w:p>
        </w:tc>
        <w:tc>
          <w:tcPr>
            <w:tcW w:w="4818" w:type="dxa"/>
          </w:tcPr>
          <w:p w14:paraId="4275C631" w14:textId="083FB288" w:rsidR="00403AAD" w:rsidRPr="00286216" w:rsidRDefault="00403AAD" w:rsidP="00403AAD">
            <w:pPr>
              <w:pStyle w:val="StyleZakonu"/>
              <w:rPr>
                <w:color w:val="000000" w:themeColor="text1"/>
              </w:rPr>
            </w:pPr>
            <w:r w:rsidRPr="00286216">
              <w:rPr>
                <w:color w:val="000000" w:themeColor="text1"/>
              </w:rPr>
              <w:t>1) зберігання фінансових інструментів та коштів клієнтів (включаючи облік прав на цінні папери та прав за ними на рахунках у цінних паперах клієнта в рамках провадження депозитарної діяльності депозитарної установи), а також розпорядження фінансовими інструментами та коштами клієнта, які є предметом забезпечення (включаючи користування правами за цінними паперами в інтересах клієнта);</w:t>
            </w:r>
          </w:p>
        </w:tc>
      </w:tr>
      <w:tr w:rsidR="00403AAD" w:rsidRPr="00286216" w14:paraId="1918B02F" w14:textId="77777777" w:rsidTr="00091AA5">
        <w:tc>
          <w:tcPr>
            <w:tcW w:w="576" w:type="dxa"/>
          </w:tcPr>
          <w:p w14:paraId="4C6A881F" w14:textId="77777777" w:rsidR="00403AAD" w:rsidRPr="00286216" w:rsidRDefault="00403AAD" w:rsidP="00403AAD">
            <w:pPr>
              <w:pStyle w:val="StyleWisnow"/>
              <w:rPr>
                <w:color w:val="000000" w:themeColor="text1"/>
              </w:rPr>
            </w:pPr>
            <w:bookmarkStart w:id="351" w:name="n662" w:colFirst="0" w:colLast="0"/>
            <w:bookmarkEnd w:id="350"/>
            <w:r w:rsidRPr="00286216">
              <w:rPr>
                <w:color w:val="000000" w:themeColor="text1"/>
              </w:rPr>
              <w:t>662.</w:t>
            </w:r>
          </w:p>
        </w:tc>
        <w:tc>
          <w:tcPr>
            <w:tcW w:w="4818" w:type="dxa"/>
          </w:tcPr>
          <w:p w14:paraId="2DF4E288" w14:textId="77777777" w:rsidR="00403AAD" w:rsidRPr="00286216" w:rsidRDefault="00403AAD" w:rsidP="00403AAD">
            <w:pPr>
              <w:pStyle w:val="StyleZakonu"/>
              <w:rPr>
                <w:color w:val="000000" w:themeColor="text1"/>
              </w:rPr>
            </w:pPr>
            <w:r w:rsidRPr="00286216">
              <w:rPr>
                <w:color w:val="000000" w:themeColor="text1"/>
              </w:rPr>
              <w:t>2) надання клієнтам кредитів та позик для укладення за участю або посередництвом такої інвестиційної фірми деривативних контрактів та правочинів щодо інших фінансових інструментів;</w:t>
            </w:r>
          </w:p>
        </w:tc>
        <w:tc>
          <w:tcPr>
            <w:tcW w:w="3686" w:type="dxa"/>
          </w:tcPr>
          <w:p w14:paraId="26A34A02" w14:textId="2CDBBD3D" w:rsidR="00403AAD" w:rsidRPr="00286216" w:rsidRDefault="00403AAD" w:rsidP="00403AAD">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398</w:t>
            </w:r>
            <w:r w:rsidRPr="00286216">
              <w:rPr>
                <w:color w:val="000000" w:themeColor="text1"/>
                <w:spacing w:val="-5"/>
              </w:rPr>
              <w:fldChar w:fldCharType="end"/>
            </w:r>
            <w:r w:rsidRPr="00286216">
              <w:rPr>
                <w:color w:val="000000" w:themeColor="text1"/>
                <w:spacing w:val="-5"/>
              </w:rPr>
              <w:t>-Н.д.Бєлькова О.В. (Реєстр.картка №403)</w:t>
            </w:r>
          </w:p>
          <w:p w14:paraId="615AF6F5"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П. 2 част.2 ст. 42 викласти в такій редакції </w:t>
            </w:r>
          </w:p>
          <w:p w14:paraId="79C0F2BC"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«2) надання клієнтам кредитів та позик для укладення за участю або посередництвом такої інвестиційної фірми деривативних контрактів та вчинення правочинів щодо фінансових інструментів;»</w:t>
            </w:r>
          </w:p>
        </w:tc>
        <w:tc>
          <w:tcPr>
            <w:tcW w:w="1987" w:type="dxa"/>
          </w:tcPr>
          <w:p w14:paraId="7A2D1F6A"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01B0EEF" w14:textId="2EABA95C" w:rsidR="00403AAD" w:rsidRPr="00286216" w:rsidRDefault="00403AAD" w:rsidP="00403AAD">
            <w:pPr>
              <w:pStyle w:val="StyleZakonu"/>
              <w:rPr>
                <w:color w:val="000000" w:themeColor="text1"/>
              </w:rPr>
            </w:pPr>
            <w:r w:rsidRPr="00286216">
              <w:rPr>
                <w:color w:val="000000" w:themeColor="text1"/>
              </w:rPr>
              <w:t xml:space="preserve">2) надання клієнтам кредитів та позик для укладення за участю або посередництвом такої інвестиційної фірми деривативних контрактів та </w:t>
            </w:r>
            <w:r w:rsidRPr="00286216">
              <w:rPr>
                <w:color w:val="000000" w:themeColor="text1"/>
                <w:szCs w:val="18"/>
              </w:rPr>
              <w:t xml:space="preserve">вчинення </w:t>
            </w:r>
            <w:r w:rsidRPr="00286216">
              <w:rPr>
                <w:color w:val="000000" w:themeColor="text1"/>
              </w:rPr>
              <w:t>правочинів щодо фінансових інструментів;</w:t>
            </w:r>
          </w:p>
        </w:tc>
      </w:tr>
      <w:tr w:rsidR="00403AAD" w:rsidRPr="00286216" w14:paraId="0644D6DF" w14:textId="77777777" w:rsidTr="00091AA5">
        <w:tc>
          <w:tcPr>
            <w:tcW w:w="576" w:type="dxa"/>
          </w:tcPr>
          <w:p w14:paraId="632BA7E1" w14:textId="77777777" w:rsidR="00403AAD" w:rsidRPr="00286216" w:rsidRDefault="00403AAD" w:rsidP="00403AAD">
            <w:pPr>
              <w:pStyle w:val="StyleWisnow"/>
              <w:rPr>
                <w:color w:val="000000" w:themeColor="text1"/>
              </w:rPr>
            </w:pPr>
            <w:bookmarkStart w:id="352" w:name="n663" w:colFirst="0" w:colLast="0"/>
            <w:bookmarkEnd w:id="351"/>
            <w:r w:rsidRPr="00286216">
              <w:rPr>
                <w:color w:val="000000" w:themeColor="text1"/>
              </w:rPr>
              <w:t>663.</w:t>
            </w:r>
          </w:p>
        </w:tc>
        <w:tc>
          <w:tcPr>
            <w:tcW w:w="4818" w:type="dxa"/>
          </w:tcPr>
          <w:p w14:paraId="1CD45468" w14:textId="77777777" w:rsidR="00403AAD" w:rsidRPr="00286216" w:rsidRDefault="00403AAD" w:rsidP="00403AAD">
            <w:pPr>
              <w:pStyle w:val="StyleZakonu"/>
              <w:rPr>
                <w:color w:val="000000" w:themeColor="text1"/>
              </w:rPr>
            </w:pPr>
            <w:r w:rsidRPr="00286216">
              <w:rPr>
                <w:color w:val="000000" w:themeColor="text1"/>
              </w:rPr>
              <w:t>3) надання клієнтам консультацій з питань фінансування їхньої господарської діяльності, стратегії розвитку, інших пов’язаних питань, надання послуг та консультацій щодо реорганізації або купівлі корпоративних прав юридичних осіб;</w:t>
            </w:r>
          </w:p>
        </w:tc>
        <w:tc>
          <w:tcPr>
            <w:tcW w:w="3686" w:type="dxa"/>
          </w:tcPr>
          <w:p w14:paraId="18B6E251" w14:textId="77777777" w:rsidR="00403AAD" w:rsidRPr="00286216" w:rsidRDefault="00403AAD" w:rsidP="00403AAD">
            <w:pPr>
              <w:pStyle w:val="StyleProp"/>
              <w:rPr>
                <w:color w:val="000000" w:themeColor="text1"/>
                <w:szCs w:val="18"/>
              </w:rPr>
            </w:pPr>
          </w:p>
        </w:tc>
        <w:tc>
          <w:tcPr>
            <w:tcW w:w="1987" w:type="dxa"/>
          </w:tcPr>
          <w:p w14:paraId="3B14EA4F" w14:textId="77777777" w:rsidR="00403AAD" w:rsidRPr="00286216" w:rsidRDefault="00403AAD" w:rsidP="00403AAD">
            <w:pPr>
              <w:pStyle w:val="StyleWisnow"/>
              <w:rPr>
                <w:color w:val="000000" w:themeColor="text1"/>
              </w:rPr>
            </w:pPr>
          </w:p>
        </w:tc>
        <w:tc>
          <w:tcPr>
            <w:tcW w:w="4818" w:type="dxa"/>
          </w:tcPr>
          <w:p w14:paraId="2C6DAAF9" w14:textId="5DA5997A" w:rsidR="00403AAD" w:rsidRPr="00286216" w:rsidRDefault="00403AAD" w:rsidP="00403AAD">
            <w:pPr>
              <w:pStyle w:val="StyleZakonu"/>
              <w:rPr>
                <w:color w:val="000000" w:themeColor="text1"/>
              </w:rPr>
            </w:pPr>
            <w:r w:rsidRPr="00286216">
              <w:rPr>
                <w:color w:val="000000" w:themeColor="text1"/>
              </w:rPr>
              <w:t>3) надання клієнтам консультацій з питань фінансування їхньої господарської діяльності, стратегії розвитку, інших пов’язаних питань, надання послуг та консультацій щодо реорганізації або купівлі корпоративних прав юридичних осіб;</w:t>
            </w:r>
          </w:p>
        </w:tc>
      </w:tr>
      <w:tr w:rsidR="00403AAD" w:rsidRPr="00286216" w14:paraId="2CB3163F" w14:textId="77777777" w:rsidTr="00091AA5">
        <w:tc>
          <w:tcPr>
            <w:tcW w:w="576" w:type="dxa"/>
          </w:tcPr>
          <w:p w14:paraId="19F3D645" w14:textId="77777777" w:rsidR="00403AAD" w:rsidRPr="00286216" w:rsidRDefault="00403AAD" w:rsidP="00403AAD">
            <w:pPr>
              <w:pStyle w:val="StyleWisnow"/>
              <w:rPr>
                <w:color w:val="000000" w:themeColor="text1"/>
              </w:rPr>
            </w:pPr>
            <w:bookmarkStart w:id="353" w:name="n664" w:colFirst="0" w:colLast="0"/>
            <w:bookmarkEnd w:id="352"/>
            <w:r w:rsidRPr="00286216">
              <w:rPr>
                <w:color w:val="000000" w:themeColor="text1"/>
              </w:rPr>
              <w:t>664.</w:t>
            </w:r>
          </w:p>
        </w:tc>
        <w:tc>
          <w:tcPr>
            <w:tcW w:w="4818" w:type="dxa"/>
          </w:tcPr>
          <w:p w14:paraId="3A6FE3D1" w14:textId="77777777" w:rsidR="00403AAD" w:rsidRPr="00286216" w:rsidRDefault="00403AAD" w:rsidP="00403AAD">
            <w:pPr>
              <w:pStyle w:val="StyleZakonu"/>
              <w:rPr>
                <w:color w:val="000000" w:themeColor="text1"/>
              </w:rPr>
            </w:pPr>
            <w:r w:rsidRPr="00286216">
              <w:rPr>
                <w:color w:val="000000" w:themeColor="text1"/>
              </w:rPr>
              <w:t>4) здійснення операцій з валютою України або іноземною валютою, пов’язаних з проведенням операцій з фінансовими інструментами за участю такої інвестиційної фірми;</w:t>
            </w:r>
          </w:p>
        </w:tc>
        <w:tc>
          <w:tcPr>
            <w:tcW w:w="3686" w:type="dxa"/>
          </w:tcPr>
          <w:p w14:paraId="71839F17" w14:textId="298F968A" w:rsidR="00403AAD" w:rsidRPr="00286216" w:rsidRDefault="00403AAD" w:rsidP="00403A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399</w:t>
            </w:r>
            <w:r w:rsidRPr="00286216">
              <w:rPr>
                <w:color w:val="000000" w:themeColor="text1"/>
                <w:spacing w:val="-4"/>
              </w:rPr>
              <w:fldChar w:fldCharType="end"/>
            </w:r>
            <w:r w:rsidRPr="00286216">
              <w:rPr>
                <w:color w:val="000000" w:themeColor="text1"/>
                <w:spacing w:val="-4"/>
              </w:rPr>
              <w:t>-Н.д.Бєлькова О.В. (Реєстр.картка №403)</w:t>
            </w:r>
          </w:p>
          <w:p w14:paraId="617B3136" w14:textId="77777777" w:rsidR="00403AAD" w:rsidRPr="00286216" w:rsidRDefault="00403AAD" w:rsidP="00403AAD">
            <w:pPr>
              <w:pStyle w:val="StyleProp"/>
              <w:spacing w:line="180" w:lineRule="exact"/>
              <w:rPr>
                <w:color w:val="000000" w:themeColor="text1"/>
              </w:rPr>
            </w:pPr>
            <w:r w:rsidRPr="00286216">
              <w:rPr>
                <w:color w:val="000000" w:themeColor="text1"/>
              </w:rPr>
              <w:t>Пункт 4 частини другої статті 42 розділу 1 викласти в такій редакції:</w:t>
            </w:r>
          </w:p>
          <w:p w14:paraId="4E1BC832" w14:textId="77777777" w:rsidR="00403AAD" w:rsidRPr="00286216" w:rsidRDefault="00403AAD" w:rsidP="00403AAD">
            <w:pPr>
              <w:pStyle w:val="StyleProp"/>
              <w:spacing w:line="180" w:lineRule="exact"/>
              <w:rPr>
                <w:color w:val="000000" w:themeColor="text1"/>
                <w:szCs w:val="18"/>
              </w:rPr>
            </w:pPr>
            <w:r w:rsidRPr="00286216">
              <w:rPr>
                <w:color w:val="000000" w:themeColor="text1"/>
              </w:rPr>
              <w:t>"4) послуги, які передбачають здійснення валютних операцій, у випадках, пов’язаних з наданням інвестиційною фірмою послуг своєму клієнту. Надання таких послуг здійснюється з урахуванням вимог Закону України «Про валюту та валютні операції»</w:t>
            </w:r>
          </w:p>
        </w:tc>
        <w:tc>
          <w:tcPr>
            <w:tcW w:w="1987" w:type="dxa"/>
          </w:tcPr>
          <w:p w14:paraId="1ADC0F5E" w14:textId="77777777" w:rsidR="00403AAD" w:rsidRPr="00286216" w:rsidRDefault="00403AAD" w:rsidP="00403AAD">
            <w:pPr>
              <w:pStyle w:val="StyleWisnow"/>
              <w:spacing w:line="180" w:lineRule="exact"/>
              <w:rPr>
                <w:color w:val="000000" w:themeColor="text1"/>
              </w:rPr>
            </w:pPr>
            <w:r w:rsidRPr="00286216">
              <w:rPr>
                <w:color w:val="000000" w:themeColor="text1"/>
              </w:rPr>
              <w:t>Враховано</w:t>
            </w:r>
          </w:p>
        </w:tc>
        <w:tc>
          <w:tcPr>
            <w:tcW w:w="4818" w:type="dxa"/>
          </w:tcPr>
          <w:p w14:paraId="07463D87" w14:textId="091FBB41" w:rsidR="00403AAD" w:rsidRPr="00286216" w:rsidRDefault="00403AAD" w:rsidP="00403AAD">
            <w:pPr>
              <w:pStyle w:val="StyleZakonu"/>
              <w:rPr>
                <w:color w:val="000000" w:themeColor="text1"/>
              </w:rPr>
            </w:pPr>
            <w:r w:rsidRPr="00286216">
              <w:rPr>
                <w:color w:val="000000" w:themeColor="text1"/>
              </w:rPr>
              <w:t>4) послуги, які передбачають здійснення валютних операцій, у випадках, пов’язаних з наданням інвестиційною фірмою послуг своєму клієнту. Надання таких послуг здійснюється з урахуванням вимог Закону України "Про валюту та валютні операції";</w:t>
            </w:r>
          </w:p>
        </w:tc>
      </w:tr>
      <w:tr w:rsidR="00403AAD" w:rsidRPr="00286216" w14:paraId="026B0B81" w14:textId="77777777" w:rsidTr="00091AA5">
        <w:tc>
          <w:tcPr>
            <w:tcW w:w="576" w:type="dxa"/>
          </w:tcPr>
          <w:p w14:paraId="6D693D2F" w14:textId="77777777" w:rsidR="00403AAD" w:rsidRPr="00286216" w:rsidRDefault="00403AAD" w:rsidP="00403AAD">
            <w:pPr>
              <w:pStyle w:val="StyleWisnow"/>
              <w:rPr>
                <w:color w:val="000000" w:themeColor="text1"/>
              </w:rPr>
            </w:pPr>
            <w:bookmarkStart w:id="354" w:name="n665" w:colFirst="0" w:colLast="0"/>
            <w:bookmarkEnd w:id="353"/>
            <w:r w:rsidRPr="00286216">
              <w:rPr>
                <w:color w:val="000000" w:themeColor="text1"/>
              </w:rPr>
              <w:t>665.</w:t>
            </w:r>
          </w:p>
        </w:tc>
        <w:tc>
          <w:tcPr>
            <w:tcW w:w="4818" w:type="dxa"/>
          </w:tcPr>
          <w:p w14:paraId="795D2D28" w14:textId="77777777" w:rsidR="00403AAD" w:rsidRPr="00286216" w:rsidRDefault="00403AAD" w:rsidP="00403AAD">
            <w:pPr>
              <w:pStyle w:val="StyleZakonu"/>
              <w:rPr>
                <w:color w:val="000000" w:themeColor="text1"/>
              </w:rPr>
            </w:pPr>
            <w:r w:rsidRPr="00286216">
              <w:rPr>
                <w:color w:val="000000" w:themeColor="text1"/>
              </w:rPr>
              <w:t>5) проведення інвестиційних досліджень та фінансового аналізу або надання будь-яких інших загальних рекомендацій, пов’язаних з проведенням операцій з фінансовими інструментами;</w:t>
            </w:r>
          </w:p>
        </w:tc>
        <w:tc>
          <w:tcPr>
            <w:tcW w:w="3686" w:type="dxa"/>
          </w:tcPr>
          <w:p w14:paraId="069A45C1" w14:textId="77777777" w:rsidR="00403AAD" w:rsidRPr="00286216" w:rsidRDefault="00403AAD" w:rsidP="00403AAD">
            <w:pPr>
              <w:pStyle w:val="StyleProp"/>
              <w:rPr>
                <w:color w:val="000000" w:themeColor="text1"/>
                <w:szCs w:val="18"/>
              </w:rPr>
            </w:pPr>
          </w:p>
        </w:tc>
        <w:tc>
          <w:tcPr>
            <w:tcW w:w="1987" w:type="dxa"/>
          </w:tcPr>
          <w:p w14:paraId="6772B814" w14:textId="77777777" w:rsidR="00403AAD" w:rsidRPr="00286216" w:rsidRDefault="00403AAD" w:rsidP="00403AAD">
            <w:pPr>
              <w:pStyle w:val="StyleWisnow"/>
              <w:rPr>
                <w:color w:val="000000" w:themeColor="text1"/>
              </w:rPr>
            </w:pPr>
          </w:p>
        </w:tc>
        <w:tc>
          <w:tcPr>
            <w:tcW w:w="4818" w:type="dxa"/>
          </w:tcPr>
          <w:p w14:paraId="370CD598" w14:textId="62386C90" w:rsidR="00403AAD" w:rsidRPr="00286216" w:rsidRDefault="00403AAD" w:rsidP="00403AAD">
            <w:pPr>
              <w:pStyle w:val="StyleZakonu"/>
              <w:rPr>
                <w:color w:val="000000" w:themeColor="text1"/>
              </w:rPr>
            </w:pPr>
            <w:r w:rsidRPr="00286216">
              <w:rPr>
                <w:color w:val="000000" w:themeColor="text1"/>
              </w:rPr>
              <w:t>5) проведення інвестиційних досліджень та фінансового аналізу або надання будь-яких інших загальних рекомендацій, пов’язаних з проведенням операцій з фінансовими інструментами;</w:t>
            </w:r>
          </w:p>
        </w:tc>
      </w:tr>
      <w:tr w:rsidR="00403AAD" w:rsidRPr="00286216" w14:paraId="6878446C" w14:textId="77777777" w:rsidTr="00091AA5">
        <w:tc>
          <w:tcPr>
            <w:tcW w:w="576" w:type="dxa"/>
          </w:tcPr>
          <w:p w14:paraId="5FA4FAD3" w14:textId="77777777" w:rsidR="00403AAD" w:rsidRPr="00286216" w:rsidRDefault="00403AAD" w:rsidP="00403AAD">
            <w:pPr>
              <w:pStyle w:val="StyleWisnow"/>
              <w:rPr>
                <w:color w:val="000000" w:themeColor="text1"/>
              </w:rPr>
            </w:pPr>
            <w:bookmarkStart w:id="355" w:name="n666" w:colFirst="0" w:colLast="0"/>
            <w:bookmarkEnd w:id="354"/>
            <w:r w:rsidRPr="00286216">
              <w:rPr>
                <w:color w:val="000000" w:themeColor="text1"/>
              </w:rPr>
              <w:t>666.</w:t>
            </w:r>
          </w:p>
        </w:tc>
        <w:tc>
          <w:tcPr>
            <w:tcW w:w="4818" w:type="dxa"/>
          </w:tcPr>
          <w:p w14:paraId="57375BE0" w14:textId="77777777" w:rsidR="00403AAD" w:rsidRPr="00286216" w:rsidRDefault="00403AAD" w:rsidP="00403AAD">
            <w:pPr>
              <w:pStyle w:val="StyleZakonu"/>
              <w:rPr>
                <w:color w:val="000000" w:themeColor="text1"/>
              </w:rPr>
            </w:pPr>
            <w:r w:rsidRPr="00286216">
              <w:rPr>
                <w:color w:val="000000" w:themeColor="text1"/>
              </w:rPr>
              <w:t>6) послуги, пов’язані з андеррайтингом;</w:t>
            </w:r>
          </w:p>
        </w:tc>
        <w:tc>
          <w:tcPr>
            <w:tcW w:w="3686" w:type="dxa"/>
          </w:tcPr>
          <w:p w14:paraId="01CC8E73" w14:textId="77777777" w:rsidR="00403AAD" w:rsidRPr="00286216" w:rsidRDefault="00403AAD" w:rsidP="00403AAD">
            <w:pPr>
              <w:pStyle w:val="StyleProp"/>
              <w:rPr>
                <w:color w:val="000000" w:themeColor="text1"/>
                <w:szCs w:val="18"/>
              </w:rPr>
            </w:pPr>
          </w:p>
        </w:tc>
        <w:tc>
          <w:tcPr>
            <w:tcW w:w="1987" w:type="dxa"/>
          </w:tcPr>
          <w:p w14:paraId="1F817EBD" w14:textId="77777777" w:rsidR="00403AAD" w:rsidRPr="00286216" w:rsidRDefault="00403AAD" w:rsidP="00403AAD">
            <w:pPr>
              <w:pStyle w:val="StyleWisnow"/>
              <w:rPr>
                <w:color w:val="000000" w:themeColor="text1"/>
              </w:rPr>
            </w:pPr>
          </w:p>
        </w:tc>
        <w:tc>
          <w:tcPr>
            <w:tcW w:w="4818" w:type="dxa"/>
          </w:tcPr>
          <w:p w14:paraId="45E7CB8A" w14:textId="6D6466AA" w:rsidR="00403AAD" w:rsidRPr="00286216" w:rsidRDefault="00403AAD" w:rsidP="00403AAD">
            <w:pPr>
              <w:pStyle w:val="StyleZakonu"/>
              <w:rPr>
                <w:color w:val="000000" w:themeColor="text1"/>
              </w:rPr>
            </w:pPr>
            <w:r w:rsidRPr="00286216">
              <w:rPr>
                <w:color w:val="000000" w:themeColor="text1"/>
              </w:rPr>
              <w:t>6) послуги, пов’язані з андеррайтингом;</w:t>
            </w:r>
          </w:p>
        </w:tc>
      </w:tr>
      <w:tr w:rsidR="00403AAD" w:rsidRPr="00286216" w14:paraId="103EAC2C" w14:textId="77777777" w:rsidTr="00091AA5">
        <w:tc>
          <w:tcPr>
            <w:tcW w:w="576" w:type="dxa"/>
          </w:tcPr>
          <w:p w14:paraId="68E5D486" w14:textId="77777777" w:rsidR="00403AAD" w:rsidRPr="00286216" w:rsidRDefault="00403AAD" w:rsidP="00403AAD">
            <w:pPr>
              <w:pStyle w:val="StyleWisnow"/>
              <w:rPr>
                <w:color w:val="000000" w:themeColor="text1"/>
              </w:rPr>
            </w:pPr>
            <w:bookmarkStart w:id="356" w:name="n667" w:colFirst="0" w:colLast="0"/>
            <w:bookmarkEnd w:id="355"/>
            <w:r w:rsidRPr="00286216">
              <w:rPr>
                <w:color w:val="000000" w:themeColor="text1"/>
              </w:rPr>
              <w:t>667.</w:t>
            </w:r>
          </w:p>
        </w:tc>
        <w:tc>
          <w:tcPr>
            <w:tcW w:w="4818" w:type="dxa"/>
          </w:tcPr>
          <w:p w14:paraId="54170B18" w14:textId="77777777" w:rsidR="00403AAD" w:rsidRPr="00286216" w:rsidRDefault="00403AAD" w:rsidP="00403AAD">
            <w:pPr>
              <w:pStyle w:val="StyleZakonu"/>
              <w:rPr>
                <w:color w:val="000000" w:themeColor="text1"/>
              </w:rPr>
            </w:pPr>
            <w:r w:rsidRPr="00286216">
              <w:rPr>
                <w:color w:val="000000" w:themeColor="text1"/>
              </w:rPr>
              <w:t>7) надання гарантій щодо виконання зобов’язань перед третіми особами за договорами, що укладаються від імені клієнта такої інвестиційної фірми.</w:t>
            </w:r>
          </w:p>
        </w:tc>
        <w:tc>
          <w:tcPr>
            <w:tcW w:w="3686" w:type="dxa"/>
          </w:tcPr>
          <w:p w14:paraId="13117F93" w14:textId="7ADCD60B"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157D470" w14:textId="77777777" w:rsidR="00403AAD" w:rsidRPr="00286216" w:rsidRDefault="00403AAD" w:rsidP="00403AAD">
            <w:pPr>
              <w:pStyle w:val="StyleProp"/>
              <w:rPr>
                <w:color w:val="000000" w:themeColor="text1"/>
              </w:rPr>
            </w:pPr>
            <w:r w:rsidRPr="00286216">
              <w:rPr>
                <w:color w:val="000000" w:themeColor="text1"/>
              </w:rPr>
              <w:t>У статті 42 частину другу доповнити абзацом такого змісту:</w:t>
            </w:r>
          </w:p>
          <w:p w14:paraId="417DA2B5" w14:textId="77777777" w:rsidR="00403AAD" w:rsidRPr="00286216" w:rsidRDefault="00403AAD" w:rsidP="00403AAD">
            <w:pPr>
              <w:pStyle w:val="StyleProp"/>
              <w:rPr>
                <w:color w:val="000000" w:themeColor="text1"/>
              </w:rPr>
            </w:pPr>
            <w:r w:rsidRPr="00286216">
              <w:rPr>
                <w:color w:val="000000" w:themeColor="text1"/>
              </w:rPr>
              <w:t xml:space="preserve">«Інвестиційна фірма під час провадження своєї діяльності на ринках капіталу має право надавати додаткові послуги, передбачені цією частиною (крім передбачених пунктом 1), без отримання додаткових ліцензій, інших </w:t>
            </w:r>
            <w:r w:rsidRPr="00286216">
              <w:rPr>
                <w:color w:val="000000" w:themeColor="text1"/>
              </w:rPr>
              <w:lastRenderedPageBreak/>
              <w:t>дозвільних документів».</w:t>
            </w:r>
          </w:p>
        </w:tc>
        <w:tc>
          <w:tcPr>
            <w:tcW w:w="1987" w:type="dxa"/>
          </w:tcPr>
          <w:p w14:paraId="0BD7C150"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497D8E8C" w14:textId="77777777" w:rsidR="00403AAD" w:rsidRPr="00286216" w:rsidRDefault="00403AAD" w:rsidP="00403AAD">
            <w:pPr>
              <w:pStyle w:val="StyleZakonu"/>
              <w:spacing w:after="0"/>
              <w:rPr>
                <w:color w:val="000000" w:themeColor="text1"/>
              </w:rPr>
            </w:pPr>
            <w:r w:rsidRPr="00286216">
              <w:rPr>
                <w:color w:val="000000" w:themeColor="text1"/>
              </w:rPr>
              <w:t>7) надання гарантій щодо виконання зобов’язань перед третіми особами за договорами, що укладаються від імені клієнта такої інвестиційної фірми.</w:t>
            </w:r>
          </w:p>
          <w:p w14:paraId="34CBF9E6" w14:textId="70D2702A" w:rsidR="00403AAD" w:rsidRPr="00286216" w:rsidRDefault="00403AAD" w:rsidP="00403AAD">
            <w:pPr>
              <w:pStyle w:val="StyleZakonu"/>
              <w:spacing w:after="0"/>
              <w:rPr>
                <w:color w:val="000000" w:themeColor="text1"/>
              </w:rPr>
            </w:pPr>
            <w:r w:rsidRPr="00286216">
              <w:rPr>
                <w:color w:val="000000" w:themeColor="text1"/>
              </w:rPr>
              <w:t xml:space="preserve">Інвестиційна фірма під час провадження своєї діяльності на ринках капіталу має право надавати додаткові послуги, передбачені цією частиною (депозитарної діяльності депозитарної установи, </w:t>
            </w:r>
            <w:r w:rsidRPr="00286216">
              <w:rPr>
                <w:color w:val="000000" w:themeColor="text1"/>
              </w:rPr>
              <w:lastRenderedPageBreak/>
              <w:t>передбаченої пунктом 1 цієї частини), без отримання додаткових ліцензій, інших дозвільних документів.</w:t>
            </w:r>
          </w:p>
        </w:tc>
      </w:tr>
      <w:tr w:rsidR="00403AAD" w:rsidRPr="00286216" w14:paraId="0551FBE7" w14:textId="77777777" w:rsidTr="00091AA5">
        <w:tc>
          <w:tcPr>
            <w:tcW w:w="576" w:type="dxa"/>
          </w:tcPr>
          <w:p w14:paraId="4F5FCFA0" w14:textId="77777777" w:rsidR="00403AAD" w:rsidRPr="00286216" w:rsidRDefault="00403AAD" w:rsidP="00403AAD">
            <w:pPr>
              <w:pStyle w:val="StyleWisnow"/>
              <w:rPr>
                <w:color w:val="000000" w:themeColor="text1"/>
              </w:rPr>
            </w:pPr>
            <w:bookmarkStart w:id="357" w:name="n668" w:colFirst="0" w:colLast="0"/>
            <w:bookmarkEnd w:id="356"/>
            <w:r w:rsidRPr="00286216">
              <w:rPr>
                <w:color w:val="000000" w:themeColor="text1"/>
              </w:rPr>
              <w:lastRenderedPageBreak/>
              <w:t>668.</w:t>
            </w:r>
          </w:p>
        </w:tc>
        <w:tc>
          <w:tcPr>
            <w:tcW w:w="4818" w:type="dxa"/>
          </w:tcPr>
          <w:p w14:paraId="29AD1D72" w14:textId="77777777" w:rsidR="00403AAD" w:rsidRPr="00286216" w:rsidRDefault="00403AAD" w:rsidP="00403AAD">
            <w:pPr>
              <w:pStyle w:val="StyleZakonu"/>
              <w:rPr>
                <w:color w:val="000000" w:themeColor="text1"/>
              </w:rPr>
            </w:pPr>
            <w:r w:rsidRPr="00286216">
              <w:rPr>
                <w:color w:val="000000" w:themeColor="text1"/>
              </w:rPr>
              <w:t>Додаткові послуги можуть надаватися виключно за умови отримання ліцензії щонайменше на один з видів діяльності, передбачених частиною першої цієї статті.</w:t>
            </w:r>
          </w:p>
        </w:tc>
        <w:tc>
          <w:tcPr>
            <w:tcW w:w="3686" w:type="dxa"/>
          </w:tcPr>
          <w:p w14:paraId="714F5C9A" w14:textId="47614ACB"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401</w:t>
            </w:r>
            <w:r w:rsidRPr="00286216">
              <w:rPr>
                <w:color w:val="000000" w:themeColor="text1"/>
                <w:spacing w:val="-10"/>
              </w:rPr>
              <w:fldChar w:fldCharType="end"/>
            </w:r>
            <w:r w:rsidRPr="00286216">
              <w:rPr>
                <w:color w:val="000000" w:themeColor="text1"/>
                <w:spacing w:val="-10"/>
              </w:rPr>
              <w:t>-Н.д.Гетманцев Д.О.(Реєстр.картка №245)</w:t>
            </w:r>
          </w:p>
          <w:p w14:paraId="0CA07703" w14:textId="77777777" w:rsidR="00403AAD" w:rsidRPr="00286216" w:rsidRDefault="00403AAD" w:rsidP="00403AAD">
            <w:pPr>
              <w:pStyle w:val="StyleProp"/>
              <w:rPr>
                <w:color w:val="000000" w:themeColor="text1"/>
              </w:rPr>
            </w:pPr>
            <w:r w:rsidRPr="00286216">
              <w:rPr>
                <w:color w:val="000000" w:themeColor="text1"/>
              </w:rPr>
              <w:t>У статті 42 останній абзац частини другої виключити</w:t>
            </w:r>
          </w:p>
        </w:tc>
        <w:tc>
          <w:tcPr>
            <w:tcW w:w="1987" w:type="dxa"/>
          </w:tcPr>
          <w:p w14:paraId="03025355" w14:textId="77777777" w:rsidR="00403AAD" w:rsidRPr="00286216" w:rsidRDefault="00403AAD" w:rsidP="00403AAD">
            <w:pPr>
              <w:pStyle w:val="StyleWisnow"/>
              <w:rPr>
                <w:color w:val="000000" w:themeColor="text1"/>
              </w:rPr>
            </w:pPr>
            <w:r w:rsidRPr="00286216">
              <w:rPr>
                <w:color w:val="000000" w:themeColor="text1"/>
              </w:rPr>
              <w:t>Враховано</w:t>
            </w:r>
          </w:p>
          <w:p w14:paraId="0B43A1EC" w14:textId="77777777" w:rsidR="00403AAD" w:rsidRPr="00286216" w:rsidRDefault="00403AAD" w:rsidP="00403AAD">
            <w:pPr>
              <w:pStyle w:val="StyleWisnow"/>
              <w:spacing w:line="180" w:lineRule="exact"/>
              <w:rPr>
                <w:color w:val="000000" w:themeColor="text1"/>
                <w:spacing w:val="-4"/>
              </w:rPr>
            </w:pPr>
          </w:p>
        </w:tc>
        <w:tc>
          <w:tcPr>
            <w:tcW w:w="4818" w:type="dxa"/>
          </w:tcPr>
          <w:p w14:paraId="3CA79D80" w14:textId="77777777" w:rsidR="00403AAD" w:rsidRPr="00286216" w:rsidRDefault="00403AAD" w:rsidP="00403AAD">
            <w:pPr>
              <w:pStyle w:val="StyleZakonu"/>
              <w:rPr>
                <w:color w:val="000000" w:themeColor="text1"/>
              </w:rPr>
            </w:pPr>
          </w:p>
        </w:tc>
      </w:tr>
      <w:tr w:rsidR="00403AAD" w:rsidRPr="00286216" w14:paraId="58F71819" w14:textId="77777777" w:rsidTr="00091AA5">
        <w:tc>
          <w:tcPr>
            <w:tcW w:w="576" w:type="dxa"/>
          </w:tcPr>
          <w:p w14:paraId="35399141" w14:textId="77777777" w:rsidR="00403AAD" w:rsidRPr="00286216" w:rsidRDefault="00403AAD" w:rsidP="00403AAD">
            <w:pPr>
              <w:pStyle w:val="StyleWisnow"/>
              <w:rPr>
                <w:color w:val="000000" w:themeColor="text1"/>
              </w:rPr>
            </w:pPr>
            <w:bookmarkStart w:id="358" w:name="n669" w:colFirst="0" w:colLast="0"/>
            <w:bookmarkEnd w:id="357"/>
            <w:r w:rsidRPr="00286216">
              <w:rPr>
                <w:color w:val="000000" w:themeColor="text1"/>
              </w:rPr>
              <w:t>669.</w:t>
            </w:r>
          </w:p>
        </w:tc>
        <w:tc>
          <w:tcPr>
            <w:tcW w:w="4818" w:type="dxa"/>
          </w:tcPr>
          <w:p w14:paraId="7C863743" w14:textId="77777777" w:rsidR="00403AAD" w:rsidRPr="00286216" w:rsidRDefault="00403AAD" w:rsidP="00403AAD">
            <w:pPr>
              <w:pStyle w:val="StyleZakonu"/>
              <w:rPr>
                <w:color w:val="000000" w:themeColor="text1"/>
              </w:rPr>
            </w:pPr>
            <w:r w:rsidRPr="00286216">
              <w:rPr>
                <w:color w:val="000000" w:themeColor="text1"/>
              </w:rPr>
              <w:t>3. Розмір початкового капіталу інвестиційної фірми, що провадить професійну діяльність з торгівлі фінансовими інструментами, повинен відповідати вимогам щодо його розрахунку, встановленим статтею 66 цього Закону, та не може бути меншим ніж 730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 крім випадків, передбачених частинами 4 та 5 цієї статті.</w:t>
            </w:r>
          </w:p>
        </w:tc>
        <w:tc>
          <w:tcPr>
            <w:tcW w:w="3686" w:type="dxa"/>
          </w:tcPr>
          <w:p w14:paraId="4402FE93" w14:textId="78D131AC"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1ED2358" w14:textId="77777777" w:rsidR="00403AAD" w:rsidRPr="00286216" w:rsidRDefault="00403AAD" w:rsidP="00403AAD">
            <w:pPr>
              <w:pStyle w:val="StyleProp"/>
              <w:spacing w:line="180" w:lineRule="exact"/>
              <w:rPr>
                <w:color w:val="000000" w:themeColor="text1"/>
              </w:rPr>
            </w:pPr>
            <w:r w:rsidRPr="00286216">
              <w:rPr>
                <w:color w:val="000000" w:themeColor="text1"/>
              </w:rPr>
              <w:t>В частині третій статті 42 слова «730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 замінити цифрами та словами «22 мільйони гривень»</w:t>
            </w:r>
          </w:p>
          <w:p w14:paraId="4171CDEC" w14:textId="161ED7E9"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403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5F5A03D"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статті 42 частинах 1 – 5 слова «торгівлі фінансовими інструментами» замінити словами «обігу фінансових інструментів».</w:t>
            </w:r>
          </w:p>
        </w:tc>
        <w:tc>
          <w:tcPr>
            <w:tcW w:w="1987" w:type="dxa"/>
          </w:tcPr>
          <w:p w14:paraId="7B112544" w14:textId="77777777" w:rsidR="00403AAD" w:rsidRPr="00286216" w:rsidRDefault="00403AAD" w:rsidP="00403AAD">
            <w:pPr>
              <w:pStyle w:val="StyleWisnow"/>
              <w:rPr>
                <w:color w:val="000000" w:themeColor="text1"/>
              </w:rPr>
            </w:pPr>
            <w:r w:rsidRPr="00286216">
              <w:rPr>
                <w:color w:val="000000" w:themeColor="text1"/>
              </w:rPr>
              <w:t>Враховано</w:t>
            </w:r>
          </w:p>
          <w:p w14:paraId="5BCF8B20" w14:textId="77777777" w:rsidR="00403AAD" w:rsidRPr="00286216" w:rsidRDefault="00403AAD" w:rsidP="00403AAD">
            <w:pPr>
              <w:pStyle w:val="StyleWisnow"/>
              <w:rPr>
                <w:color w:val="000000" w:themeColor="text1"/>
              </w:rPr>
            </w:pPr>
          </w:p>
          <w:p w14:paraId="44193A58" w14:textId="77777777" w:rsidR="00403AAD" w:rsidRPr="00286216" w:rsidRDefault="00403AAD" w:rsidP="00403AAD">
            <w:pPr>
              <w:pStyle w:val="StyleWisnow"/>
              <w:spacing w:line="160" w:lineRule="exact"/>
              <w:rPr>
                <w:color w:val="000000" w:themeColor="text1"/>
              </w:rPr>
            </w:pPr>
          </w:p>
          <w:p w14:paraId="16E01524" w14:textId="77777777" w:rsidR="00403AAD" w:rsidRPr="00286216" w:rsidRDefault="00403AAD" w:rsidP="00403AAD">
            <w:pPr>
              <w:pStyle w:val="StyleWisnow"/>
              <w:spacing w:line="160" w:lineRule="exact"/>
              <w:rPr>
                <w:color w:val="000000" w:themeColor="text1"/>
              </w:rPr>
            </w:pPr>
          </w:p>
          <w:p w14:paraId="2D97D162" w14:textId="77777777" w:rsidR="00403AAD" w:rsidRPr="00286216" w:rsidRDefault="00403AAD" w:rsidP="00403AAD">
            <w:pPr>
              <w:pStyle w:val="StyleWisnow"/>
              <w:spacing w:line="160" w:lineRule="exact"/>
              <w:rPr>
                <w:color w:val="000000" w:themeColor="text1"/>
              </w:rPr>
            </w:pPr>
          </w:p>
          <w:p w14:paraId="34486522" w14:textId="77777777" w:rsidR="00403AAD" w:rsidRPr="00286216" w:rsidRDefault="00403AAD" w:rsidP="00403AAD">
            <w:pPr>
              <w:pStyle w:val="StyleWisnow"/>
              <w:spacing w:line="160" w:lineRule="exact"/>
              <w:rPr>
                <w:color w:val="000000" w:themeColor="text1"/>
              </w:rPr>
            </w:pPr>
          </w:p>
          <w:p w14:paraId="585C9C99" w14:textId="2EEFC1CD" w:rsidR="00403AAD" w:rsidRPr="00286216" w:rsidRDefault="00403AAD" w:rsidP="00403AAD">
            <w:pPr>
              <w:pStyle w:val="StyleWisnow"/>
              <w:spacing w:line="160" w:lineRule="exact"/>
              <w:rPr>
                <w:color w:val="000000" w:themeColor="text1"/>
              </w:rPr>
            </w:pPr>
          </w:p>
          <w:p w14:paraId="3EEA96BC" w14:textId="42EABA28" w:rsidR="00403AAD" w:rsidRPr="00286216" w:rsidRDefault="00403AAD" w:rsidP="00403AAD">
            <w:pPr>
              <w:pStyle w:val="StyleWisnow"/>
              <w:spacing w:line="160" w:lineRule="exact"/>
              <w:rPr>
                <w:color w:val="000000" w:themeColor="text1"/>
              </w:rPr>
            </w:pPr>
          </w:p>
          <w:p w14:paraId="41F45BAF" w14:textId="77777777" w:rsidR="00403AAD" w:rsidRPr="00286216" w:rsidRDefault="00403AAD" w:rsidP="00403AAD">
            <w:pPr>
              <w:pStyle w:val="StyleWisnow"/>
              <w:spacing w:line="140" w:lineRule="exact"/>
              <w:rPr>
                <w:color w:val="000000" w:themeColor="text1"/>
              </w:rPr>
            </w:pPr>
          </w:p>
          <w:p w14:paraId="73F06BDA"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696674F7"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1AA221CB" w14:textId="5071AC82" w:rsidR="00403AAD" w:rsidRPr="00286216" w:rsidRDefault="00403AAD" w:rsidP="00403AAD">
            <w:pPr>
              <w:pStyle w:val="StyleZakonu"/>
              <w:rPr>
                <w:color w:val="000000" w:themeColor="text1"/>
              </w:rPr>
            </w:pPr>
            <w:r w:rsidRPr="00286216">
              <w:rPr>
                <w:color w:val="000000" w:themeColor="text1"/>
              </w:rPr>
              <w:t>3. Початковий капітал інвестиційної фірми, що провадить професійну діяльність з торгівлі фінансовими інструментами, повинен відповідати вимогам щодо його розрахунку, встановленим статтею 70 цього Закону, при цьому розмір такого початкового капіталу не може бути меншим ніж 22 мільйони гривень, крім випадків, передбачених частинами четвертою та п</w:t>
            </w:r>
            <w:r w:rsidRPr="00286216">
              <w:rPr>
                <w:color w:val="000000" w:themeColor="text1"/>
                <w:lang w:val="ru-RU"/>
              </w:rPr>
              <w:t>’</w:t>
            </w:r>
            <w:r w:rsidRPr="00286216">
              <w:rPr>
                <w:color w:val="000000" w:themeColor="text1"/>
              </w:rPr>
              <w:t>ятою цієї статті.</w:t>
            </w:r>
          </w:p>
        </w:tc>
      </w:tr>
      <w:tr w:rsidR="00403AAD" w:rsidRPr="00286216" w14:paraId="646CD20F" w14:textId="77777777" w:rsidTr="00091AA5">
        <w:tc>
          <w:tcPr>
            <w:tcW w:w="576" w:type="dxa"/>
          </w:tcPr>
          <w:p w14:paraId="1A646F7F" w14:textId="77777777" w:rsidR="00403AAD" w:rsidRPr="00286216" w:rsidRDefault="00403AAD" w:rsidP="00403AAD">
            <w:pPr>
              <w:pStyle w:val="StyleWisnow"/>
              <w:rPr>
                <w:color w:val="000000" w:themeColor="text1"/>
              </w:rPr>
            </w:pPr>
            <w:bookmarkStart w:id="359" w:name="n670" w:colFirst="0" w:colLast="0"/>
            <w:bookmarkEnd w:id="358"/>
            <w:r w:rsidRPr="00286216">
              <w:rPr>
                <w:color w:val="000000" w:themeColor="text1"/>
              </w:rPr>
              <w:t>670.</w:t>
            </w:r>
          </w:p>
        </w:tc>
        <w:tc>
          <w:tcPr>
            <w:tcW w:w="4818" w:type="dxa"/>
          </w:tcPr>
          <w:p w14:paraId="1A160AA5" w14:textId="77777777" w:rsidR="00403AAD" w:rsidRPr="00286216" w:rsidRDefault="00403AAD" w:rsidP="00403AAD">
            <w:pPr>
              <w:pStyle w:val="StyleZakonu"/>
              <w:rPr>
                <w:color w:val="000000" w:themeColor="text1"/>
              </w:rPr>
            </w:pPr>
            <w:r w:rsidRPr="00286216">
              <w:rPr>
                <w:color w:val="000000" w:themeColor="text1"/>
              </w:rPr>
              <w:t>4. Розмір початкового капіталу інвестиційної фірми, що провадить професійну діяльність з торгівлі фінансовими інструментами, передбачену пунктами 1, 2, 4 частини першої цієї статті, за умови, що така інвестиційна фірма має право отримувати на власний рахунок та розпоряджтися коштами та фінансовими інструментами клієнтів, повинен відповідати вимогам щодо його розміру та порядку його розрахунку, встановленим Національною комісією з цінних паперів та фондового ринку, та не може бути меншим ніж 125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w:t>
            </w:r>
          </w:p>
        </w:tc>
        <w:tc>
          <w:tcPr>
            <w:tcW w:w="3686" w:type="dxa"/>
          </w:tcPr>
          <w:p w14:paraId="5AA3158F" w14:textId="1BC8E926"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D7F02F0" w14:textId="77777777" w:rsidR="00403AAD" w:rsidRPr="00286216" w:rsidRDefault="00403AAD" w:rsidP="00403AAD">
            <w:pPr>
              <w:pStyle w:val="StyleProp"/>
              <w:spacing w:line="180" w:lineRule="exact"/>
              <w:rPr>
                <w:color w:val="000000" w:themeColor="text1"/>
              </w:rPr>
            </w:pPr>
            <w:r w:rsidRPr="00286216">
              <w:rPr>
                <w:color w:val="000000" w:themeColor="text1"/>
              </w:rPr>
              <w:t>В частині четвертій статті 42 слова «125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 замінити цифрами та словами «4 мільйони гривень».</w:t>
            </w:r>
          </w:p>
          <w:p w14:paraId="050CEE51" w14:textId="280F57C0"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405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C1F3D64"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статті 42 частинах 1 – 5 слова «торгівлі фінансовими інструментами» замінити словами «обігу фінансових інструментів».</w:t>
            </w:r>
          </w:p>
        </w:tc>
        <w:tc>
          <w:tcPr>
            <w:tcW w:w="1987" w:type="dxa"/>
          </w:tcPr>
          <w:p w14:paraId="3583065C" w14:textId="77777777" w:rsidR="00403AAD" w:rsidRPr="00286216" w:rsidRDefault="00403AAD" w:rsidP="00403AAD">
            <w:pPr>
              <w:pStyle w:val="StyleWisnow"/>
              <w:rPr>
                <w:color w:val="000000" w:themeColor="text1"/>
              </w:rPr>
            </w:pPr>
            <w:r w:rsidRPr="00286216">
              <w:rPr>
                <w:color w:val="000000" w:themeColor="text1"/>
              </w:rPr>
              <w:t>Враховано</w:t>
            </w:r>
          </w:p>
          <w:p w14:paraId="7E97D9E0" w14:textId="77777777" w:rsidR="00403AAD" w:rsidRPr="00286216" w:rsidRDefault="00403AAD" w:rsidP="00403AAD">
            <w:pPr>
              <w:pStyle w:val="StyleWisnow"/>
              <w:rPr>
                <w:color w:val="000000" w:themeColor="text1"/>
              </w:rPr>
            </w:pPr>
          </w:p>
          <w:p w14:paraId="228E5A24" w14:textId="77777777" w:rsidR="00403AAD" w:rsidRPr="00286216" w:rsidRDefault="00403AAD" w:rsidP="00403AAD">
            <w:pPr>
              <w:pStyle w:val="StyleWisnow"/>
              <w:rPr>
                <w:color w:val="000000" w:themeColor="text1"/>
              </w:rPr>
            </w:pPr>
          </w:p>
          <w:p w14:paraId="4A24E2FB" w14:textId="77777777" w:rsidR="00403AAD" w:rsidRPr="00286216" w:rsidRDefault="00403AAD" w:rsidP="00403AAD">
            <w:pPr>
              <w:pStyle w:val="StyleWisnow"/>
              <w:rPr>
                <w:color w:val="000000" w:themeColor="text1"/>
              </w:rPr>
            </w:pPr>
          </w:p>
          <w:p w14:paraId="0424911A" w14:textId="77777777" w:rsidR="00403AAD" w:rsidRPr="00286216" w:rsidRDefault="00403AAD" w:rsidP="00403AAD">
            <w:pPr>
              <w:pStyle w:val="StyleWisnow"/>
              <w:rPr>
                <w:color w:val="000000" w:themeColor="text1"/>
              </w:rPr>
            </w:pPr>
          </w:p>
          <w:p w14:paraId="09DF44BA" w14:textId="77777777" w:rsidR="00403AAD" w:rsidRPr="00286216" w:rsidRDefault="00403AAD" w:rsidP="00403AAD">
            <w:pPr>
              <w:pStyle w:val="StyleWisnow"/>
              <w:rPr>
                <w:color w:val="000000" w:themeColor="text1"/>
              </w:rPr>
            </w:pPr>
          </w:p>
          <w:p w14:paraId="555C4279" w14:textId="77777777" w:rsidR="00403AAD" w:rsidRPr="00286216" w:rsidRDefault="00403AAD" w:rsidP="00403AAD">
            <w:pPr>
              <w:pStyle w:val="StyleWisnow"/>
              <w:rPr>
                <w:color w:val="000000" w:themeColor="text1"/>
              </w:rPr>
            </w:pPr>
          </w:p>
          <w:p w14:paraId="4F6F10EB" w14:textId="77777777" w:rsidR="00403AAD" w:rsidRPr="00286216" w:rsidRDefault="00403AAD" w:rsidP="00403AAD">
            <w:pPr>
              <w:pStyle w:val="StyleWisnow"/>
              <w:rPr>
                <w:color w:val="000000" w:themeColor="text1"/>
              </w:rPr>
            </w:pPr>
            <w:r w:rsidRPr="00286216">
              <w:rPr>
                <w:color w:val="000000" w:themeColor="text1"/>
              </w:rPr>
              <w:t>Відхилено</w:t>
            </w:r>
          </w:p>
          <w:p w14:paraId="72E8F5F6"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6E30E277" w14:textId="2F0F43AA" w:rsidR="00403AAD" w:rsidRPr="00286216" w:rsidRDefault="00403AAD" w:rsidP="00403AAD">
            <w:pPr>
              <w:pStyle w:val="StyleZakonu"/>
              <w:rPr>
                <w:color w:val="000000" w:themeColor="text1"/>
              </w:rPr>
            </w:pPr>
            <w:r w:rsidRPr="00286216">
              <w:rPr>
                <w:color w:val="000000" w:themeColor="text1"/>
              </w:rPr>
              <w:t>4. Розмір початкового капіталу інвестиційної фірми, що провадить професійну діяльність з торгівлі фінансовими інструментами, передбачену пунктами 1, 2, 4 частини першої цієї статті, за умови, що така інвестиційна фірма має право отримувати на власний рахунок та розпоряджатися коштами та фінансовими інструментами клієнтів, повинен відповідати вимогам щодо його розміру та порядку його розрахунку, встановленим Національною комісією з цінних паперів та фондового ринку,  і не може бути меншим ніж 4 мільйони гривень.</w:t>
            </w:r>
          </w:p>
        </w:tc>
      </w:tr>
      <w:tr w:rsidR="00403AAD" w:rsidRPr="00286216" w14:paraId="085DA2F2" w14:textId="77777777" w:rsidTr="00091AA5">
        <w:tc>
          <w:tcPr>
            <w:tcW w:w="576" w:type="dxa"/>
          </w:tcPr>
          <w:p w14:paraId="3DC379C4" w14:textId="77777777" w:rsidR="00403AAD" w:rsidRPr="00286216" w:rsidRDefault="00403AAD" w:rsidP="00403AAD">
            <w:pPr>
              <w:pStyle w:val="StyleWisnow"/>
              <w:rPr>
                <w:color w:val="000000" w:themeColor="text1"/>
              </w:rPr>
            </w:pPr>
            <w:bookmarkStart w:id="360" w:name="n671" w:colFirst="0" w:colLast="0"/>
            <w:bookmarkEnd w:id="359"/>
            <w:r w:rsidRPr="00286216">
              <w:rPr>
                <w:color w:val="000000" w:themeColor="text1"/>
              </w:rPr>
              <w:t>671.</w:t>
            </w:r>
          </w:p>
        </w:tc>
        <w:tc>
          <w:tcPr>
            <w:tcW w:w="4818" w:type="dxa"/>
          </w:tcPr>
          <w:p w14:paraId="0F2338C3" w14:textId="77777777" w:rsidR="00403AAD" w:rsidRPr="00286216" w:rsidRDefault="00403AAD" w:rsidP="00403AAD">
            <w:pPr>
              <w:pStyle w:val="StyleZakonu"/>
              <w:rPr>
                <w:color w:val="000000" w:themeColor="text1"/>
              </w:rPr>
            </w:pPr>
            <w:r w:rsidRPr="00286216">
              <w:rPr>
                <w:color w:val="000000" w:themeColor="text1"/>
              </w:rPr>
              <w:t>5. Розмір початкового капіталу інвестиційної фірми, що провадить професійну діяльність з торгівлі фінансовими інструментами, передбачену пунктами 1, 2, 4, 5 та 7 частини першої цієї статті, за умови, що така інвестиційна фірма не має права отримувати на власний рахунок та розпоряджтися коштами та фінансовими інструментами клієнтів, повинен відповідати вимогам щодо його розміру та порядку його розрахунку, встановленим Національною комісією з цінних паперів та фондового ринку, не може бути меншим ніж 50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w:t>
            </w:r>
          </w:p>
        </w:tc>
        <w:tc>
          <w:tcPr>
            <w:tcW w:w="3686" w:type="dxa"/>
          </w:tcPr>
          <w:p w14:paraId="55453B2C" w14:textId="56C96889"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BFBF8E0" w14:textId="77777777" w:rsidR="00403AAD" w:rsidRPr="00286216" w:rsidRDefault="00403AAD" w:rsidP="00403AAD">
            <w:pPr>
              <w:pStyle w:val="StyleProp"/>
              <w:spacing w:line="180" w:lineRule="exact"/>
              <w:rPr>
                <w:color w:val="000000" w:themeColor="text1"/>
              </w:rPr>
            </w:pPr>
            <w:r w:rsidRPr="00286216">
              <w:rPr>
                <w:color w:val="000000" w:themeColor="text1"/>
              </w:rPr>
              <w:t>В частині 5 статті 42 слова «50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 замінити цифрами та словами «1,5 мільйони гривень».</w:t>
            </w:r>
          </w:p>
          <w:p w14:paraId="6C8786CF" w14:textId="77777777" w:rsidR="00403AAD" w:rsidRPr="00286216" w:rsidRDefault="00403AAD" w:rsidP="00403AAD">
            <w:pPr>
              <w:pStyle w:val="StyleProp"/>
              <w:spacing w:line="180" w:lineRule="exact"/>
              <w:rPr>
                <w:color w:val="000000" w:themeColor="text1"/>
              </w:rPr>
            </w:pPr>
          </w:p>
          <w:p w14:paraId="264BA072" w14:textId="5A6C8222"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407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E5708F6"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статті 42 частинах 1 – 5 слова «торгівлі фінансовими інструментами» замінити словами «обігу фінансових інструментів».</w:t>
            </w:r>
          </w:p>
        </w:tc>
        <w:tc>
          <w:tcPr>
            <w:tcW w:w="1987" w:type="dxa"/>
          </w:tcPr>
          <w:p w14:paraId="2BFF8D26" w14:textId="77777777" w:rsidR="00403AAD" w:rsidRPr="00286216" w:rsidRDefault="00403AAD" w:rsidP="00403AAD">
            <w:pPr>
              <w:pStyle w:val="StyleWisnow"/>
              <w:rPr>
                <w:color w:val="000000" w:themeColor="text1"/>
              </w:rPr>
            </w:pPr>
            <w:r w:rsidRPr="00286216">
              <w:rPr>
                <w:color w:val="000000" w:themeColor="text1"/>
              </w:rPr>
              <w:t>Враховано</w:t>
            </w:r>
          </w:p>
          <w:p w14:paraId="05D6C519" w14:textId="77777777" w:rsidR="00403AAD" w:rsidRPr="00286216" w:rsidRDefault="00403AAD" w:rsidP="00403AAD">
            <w:pPr>
              <w:pStyle w:val="StyleWisnow"/>
              <w:rPr>
                <w:color w:val="000000" w:themeColor="text1"/>
              </w:rPr>
            </w:pPr>
          </w:p>
          <w:p w14:paraId="1B53FED7" w14:textId="77777777" w:rsidR="00403AAD" w:rsidRPr="00286216" w:rsidRDefault="00403AAD" w:rsidP="00403AAD">
            <w:pPr>
              <w:pStyle w:val="StyleWisnow"/>
              <w:rPr>
                <w:color w:val="000000" w:themeColor="text1"/>
              </w:rPr>
            </w:pPr>
          </w:p>
          <w:p w14:paraId="00643EC6" w14:textId="77777777" w:rsidR="00403AAD" w:rsidRPr="00286216" w:rsidRDefault="00403AAD" w:rsidP="00403AAD">
            <w:pPr>
              <w:pStyle w:val="StyleWisnow"/>
              <w:rPr>
                <w:color w:val="000000" w:themeColor="text1"/>
              </w:rPr>
            </w:pPr>
          </w:p>
          <w:p w14:paraId="20C8DC0B" w14:textId="77777777" w:rsidR="00403AAD" w:rsidRPr="00286216" w:rsidRDefault="00403AAD" w:rsidP="00403AAD">
            <w:pPr>
              <w:pStyle w:val="StyleWisnow"/>
              <w:spacing w:line="180" w:lineRule="exact"/>
              <w:rPr>
                <w:color w:val="000000" w:themeColor="text1"/>
              </w:rPr>
            </w:pPr>
          </w:p>
          <w:p w14:paraId="54AE489F" w14:textId="77777777" w:rsidR="00403AAD" w:rsidRPr="00286216" w:rsidRDefault="00403AAD" w:rsidP="00403AAD">
            <w:pPr>
              <w:pStyle w:val="StyleWisnow"/>
              <w:spacing w:line="180" w:lineRule="exact"/>
              <w:rPr>
                <w:color w:val="000000" w:themeColor="text1"/>
              </w:rPr>
            </w:pPr>
          </w:p>
          <w:p w14:paraId="3D24CD95" w14:textId="7E97E603" w:rsidR="00403AAD" w:rsidRPr="00286216" w:rsidRDefault="00403AAD" w:rsidP="00403AAD">
            <w:pPr>
              <w:pStyle w:val="StyleWisnow"/>
              <w:spacing w:line="180" w:lineRule="exact"/>
              <w:rPr>
                <w:color w:val="000000" w:themeColor="text1"/>
              </w:rPr>
            </w:pPr>
          </w:p>
          <w:p w14:paraId="246003EB" w14:textId="77777777" w:rsidR="00403AAD" w:rsidRPr="00286216" w:rsidRDefault="00403AAD" w:rsidP="00403AAD">
            <w:pPr>
              <w:pStyle w:val="StyleWisnow"/>
              <w:spacing w:line="180" w:lineRule="exact"/>
              <w:rPr>
                <w:color w:val="000000" w:themeColor="text1"/>
              </w:rPr>
            </w:pPr>
          </w:p>
          <w:p w14:paraId="47EFB474" w14:textId="77777777" w:rsidR="00403AAD" w:rsidRPr="00286216" w:rsidRDefault="00403AAD" w:rsidP="00403AAD">
            <w:pPr>
              <w:pStyle w:val="StyleWisnow"/>
              <w:rPr>
                <w:color w:val="000000" w:themeColor="text1"/>
              </w:rPr>
            </w:pPr>
            <w:r w:rsidRPr="00286216">
              <w:rPr>
                <w:color w:val="000000" w:themeColor="text1"/>
              </w:rPr>
              <w:t>Відхилено</w:t>
            </w:r>
          </w:p>
          <w:p w14:paraId="51EAB27C"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33CE31EA" w14:textId="599B865F" w:rsidR="00403AAD" w:rsidRPr="00286216" w:rsidRDefault="00403AAD" w:rsidP="00403AAD">
            <w:pPr>
              <w:pStyle w:val="StyleZakonu"/>
              <w:rPr>
                <w:color w:val="000000" w:themeColor="text1"/>
              </w:rPr>
            </w:pPr>
            <w:r w:rsidRPr="00286216">
              <w:rPr>
                <w:color w:val="000000" w:themeColor="text1"/>
              </w:rPr>
              <w:t>5. Розмір початкового капіталу інвестиційної фірми, що провадить професійну діяльність з торгівлі фінансовими інструментами, передбачену пунктами 1, 2, 4, 5 та 7 частини першої цієї статті, за умови, що така інвестиційна фірма не має права отримувати на власний рахунок  і розпоряджатися коштами та фінансовими інструментами клієнтів, повинен відповідати вимогам щодо його розміру та порядку його розрахунку, встановленим Національною комісією з цінних паперів та фондового ринку, і не може бути меншим ніж 1,5 мільйона гривень.</w:t>
            </w:r>
          </w:p>
        </w:tc>
      </w:tr>
      <w:tr w:rsidR="00403AAD" w:rsidRPr="00286216" w14:paraId="684D0A60" w14:textId="77777777" w:rsidTr="00091AA5">
        <w:tc>
          <w:tcPr>
            <w:tcW w:w="576" w:type="dxa"/>
          </w:tcPr>
          <w:p w14:paraId="0B40D597" w14:textId="77777777" w:rsidR="00403AAD" w:rsidRPr="00286216" w:rsidRDefault="00403AAD" w:rsidP="00403AAD">
            <w:pPr>
              <w:pStyle w:val="StyleWisnow"/>
              <w:rPr>
                <w:color w:val="000000" w:themeColor="text1"/>
              </w:rPr>
            </w:pPr>
            <w:bookmarkStart w:id="361" w:name="n672" w:colFirst="0" w:colLast="0"/>
            <w:bookmarkEnd w:id="360"/>
            <w:r w:rsidRPr="00286216">
              <w:rPr>
                <w:color w:val="000000" w:themeColor="text1"/>
              </w:rPr>
              <w:lastRenderedPageBreak/>
              <w:t>672.</w:t>
            </w:r>
          </w:p>
        </w:tc>
        <w:tc>
          <w:tcPr>
            <w:tcW w:w="4818" w:type="dxa"/>
          </w:tcPr>
          <w:p w14:paraId="514EB3C2" w14:textId="77777777" w:rsidR="00403AAD" w:rsidRPr="00286216" w:rsidRDefault="00403AAD" w:rsidP="00403AAD">
            <w:pPr>
              <w:pStyle w:val="StyleZakonu"/>
              <w:rPr>
                <w:color w:val="000000" w:themeColor="text1"/>
              </w:rPr>
            </w:pPr>
            <w:r w:rsidRPr="00286216">
              <w:rPr>
                <w:color w:val="000000" w:themeColor="text1"/>
              </w:rPr>
              <w:t>6. Субброкерська діяльність - діяльність інвестиційної фірми з прийняття від клієнтів замовлень на укладання деривативних контрактів та правочинів щодо них та/або правочинів щодо інших фінансових інструментів за рахунок клієнтів і надання відповідних замовлень для виконання іншій інвестиційній фірмі, яка здійснює брокерську діяльність.</w:t>
            </w:r>
          </w:p>
        </w:tc>
        <w:tc>
          <w:tcPr>
            <w:tcW w:w="3686" w:type="dxa"/>
          </w:tcPr>
          <w:p w14:paraId="5352F244" w14:textId="35D34CE7"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024FDE9" w14:textId="77777777" w:rsidR="00403AAD" w:rsidRPr="00286216" w:rsidRDefault="00403AAD" w:rsidP="00403AAD">
            <w:pPr>
              <w:pStyle w:val="StyleProp"/>
              <w:spacing w:line="180" w:lineRule="exact"/>
              <w:rPr>
                <w:color w:val="000000" w:themeColor="text1"/>
              </w:rPr>
            </w:pPr>
            <w:r w:rsidRPr="00286216">
              <w:rPr>
                <w:color w:val="000000" w:themeColor="text1"/>
              </w:rPr>
              <w:t>частину 6 статті 42 викласти у такій редакції:</w:t>
            </w:r>
          </w:p>
          <w:p w14:paraId="162D9A01" w14:textId="77777777" w:rsidR="00403AAD" w:rsidRPr="00286216" w:rsidRDefault="00403AAD" w:rsidP="00403AAD">
            <w:pPr>
              <w:pStyle w:val="StyleProp"/>
              <w:spacing w:line="180" w:lineRule="exact"/>
              <w:rPr>
                <w:color w:val="000000" w:themeColor="text1"/>
                <w:szCs w:val="18"/>
              </w:rPr>
            </w:pPr>
            <w:r w:rsidRPr="00286216">
              <w:rPr>
                <w:color w:val="000000" w:themeColor="text1"/>
              </w:rPr>
              <w:t>"6. Субброкерська діяльність – діяльність інвестиційної фірми з прийняття від клієнтів замовлень на укладання деривативних контрактів та вчинення правочинів щодо фінансових інструментів за рахунок клієнтів і надання відповідних замовлень для виконання іншій інвестиційній фірмі, яка здійснює брокерську діяльність".</w:t>
            </w:r>
          </w:p>
        </w:tc>
        <w:tc>
          <w:tcPr>
            <w:tcW w:w="1987" w:type="dxa"/>
          </w:tcPr>
          <w:p w14:paraId="6E79E157"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4C6C3A9" w14:textId="1F370E44" w:rsidR="00403AAD" w:rsidRPr="00286216" w:rsidRDefault="00403AAD" w:rsidP="00403AAD">
            <w:pPr>
              <w:pStyle w:val="StyleZakonu"/>
              <w:rPr>
                <w:color w:val="000000" w:themeColor="text1"/>
              </w:rPr>
            </w:pPr>
            <w:r w:rsidRPr="00286216">
              <w:rPr>
                <w:color w:val="000000" w:themeColor="text1"/>
              </w:rPr>
              <w:t>6. Субброкерська діяльність – це діяльність інвестиційної фірми з прийняття від клієнтів замовлень на укладення деривативних контрактів та вчинення правочинів щодо фінансових інструментів за рахунок клієнтів і надання відповідних замовлень для виконання іншій інвестиційній фірмі, яка здійснює брокерську діяльність</w:t>
            </w:r>
          </w:p>
        </w:tc>
      </w:tr>
      <w:tr w:rsidR="00403AAD" w:rsidRPr="00286216" w14:paraId="5510EC7C" w14:textId="77777777" w:rsidTr="00091AA5">
        <w:tc>
          <w:tcPr>
            <w:tcW w:w="576" w:type="dxa"/>
          </w:tcPr>
          <w:p w14:paraId="6E93F8DD" w14:textId="77777777" w:rsidR="00403AAD" w:rsidRPr="00286216" w:rsidRDefault="00403AAD" w:rsidP="00403AAD">
            <w:pPr>
              <w:pStyle w:val="StyleWisnow"/>
              <w:rPr>
                <w:color w:val="000000" w:themeColor="text1"/>
              </w:rPr>
            </w:pPr>
            <w:bookmarkStart w:id="362" w:name="n673" w:colFirst="0" w:colLast="0"/>
            <w:bookmarkEnd w:id="361"/>
            <w:r w:rsidRPr="00286216">
              <w:rPr>
                <w:color w:val="000000" w:themeColor="text1"/>
              </w:rPr>
              <w:t>673.</w:t>
            </w:r>
          </w:p>
        </w:tc>
        <w:tc>
          <w:tcPr>
            <w:tcW w:w="4818" w:type="dxa"/>
          </w:tcPr>
          <w:p w14:paraId="3DBF1705" w14:textId="77777777" w:rsidR="00403AAD" w:rsidRPr="00286216" w:rsidRDefault="00403AAD" w:rsidP="00403AAD">
            <w:pPr>
              <w:pStyle w:val="StyleZakonu"/>
              <w:rPr>
                <w:color w:val="000000" w:themeColor="text1"/>
              </w:rPr>
            </w:pPr>
            <w:r w:rsidRPr="00286216">
              <w:rPr>
                <w:color w:val="000000" w:themeColor="text1"/>
              </w:rPr>
              <w:t>7. Брокерська діяльність - діяльність інвестиційної фірми з укладання деривативних контрактів та правочинів щодо них та/або правочинів щодо інших фінансових інструментів за рахунок та від імені клієнтів або за рахунок клієнтів але від свого імені.</w:t>
            </w:r>
          </w:p>
        </w:tc>
        <w:tc>
          <w:tcPr>
            <w:tcW w:w="3686" w:type="dxa"/>
          </w:tcPr>
          <w:p w14:paraId="66E2E179" w14:textId="7AA7E714"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409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8F0C3D0" w14:textId="77777777" w:rsidR="00403AAD" w:rsidRPr="00286216" w:rsidRDefault="00403AAD" w:rsidP="00403AAD">
            <w:pPr>
              <w:pStyle w:val="StyleProp"/>
              <w:spacing w:line="180" w:lineRule="exact"/>
              <w:rPr>
                <w:color w:val="000000" w:themeColor="text1"/>
              </w:rPr>
            </w:pPr>
            <w:r w:rsidRPr="00286216">
              <w:rPr>
                <w:color w:val="000000" w:themeColor="text1"/>
              </w:rPr>
              <w:t>частину 7 статті 42 викласти у такій редакції:</w:t>
            </w:r>
          </w:p>
          <w:p w14:paraId="3794C8C5" w14:textId="77777777" w:rsidR="00403AAD" w:rsidRPr="00286216" w:rsidRDefault="00403AAD" w:rsidP="00403AAD">
            <w:pPr>
              <w:pStyle w:val="StyleProp"/>
              <w:spacing w:line="180" w:lineRule="exact"/>
              <w:rPr>
                <w:color w:val="000000" w:themeColor="text1"/>
                <w:szCs w:val="18"/>
              </w:rPr>
            </w:pPr>
            <w:r w:rsidRPr="00286216">
              <w:rPr>
                <w:color w:val="000000" w:themeColor="text1"/>
              </w:rPr>
              <w:t>"7. Брокерська діяльність – діяльність інвестиційної фірми з укладання деривативних контрактів та вчинення правочинів щодо фінансових інструментів за рахунок та від імені клієнтів або за рахунок клієнтів але від свого імені."</w:t>
            </w:r>
          </w:p>
        </w:tc>
        <w:tc>
          <w:tcPr>
            <w:tcW w:w="1987" w:type="dxa"/>
          </w:tcPr>
          <w:p w14:paraId="61E70EF9"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8364563" w14:textId="76CE8EB3" w:rsidR="00403AAD" w:rsidRPr="00286216" w:rsidRDefault="00403AAD" w:rsidP="00403AAD">
            <w:pPr>
              <w:pStyle w:val="StyleZakonu"/>
              <w:rPr>
                <w:color w:val="000000" w:themeColor="text1"/>
              </w:rPr>
            </w:pPr>
            <w:r w:rsidRPr="00286216">
              <w:rPr>
                <w:color w:val="000000" w:themeColor="text1"/>
              </w:rPr>
              <w:t>7. Брокерська діяльність – це діяльність інвестиційної фірми з укладення деривативних контрактів та вчинення правочинів щодо фінансових інструментів за рахунок та від імені клієнтів або за рахунок клієнтів, але від свого імені.</w:t>
            </w:r>
          </w:p>
        </w:tc>
      </w:tr>
      <w:tr w:rsidR="00403AAD" w:rsidRPr="00286216" w14:paraId="1B06B929" w14:textId="77777777" w:rsidTr="00091AA5">
        <w:tc>
          <w:tcPr>
            <w:tcW w:w="576" w:type="dxa"/>
          </w:tcPr>
          <w:p w14:paraId="054D4544" w14:textId="77777777" w:rsidR="00403AAD" w:rsidRPr="00286216" w:rsidRDefault="00403AAD" w:rsidP="00403AAD">
            <w:pPr>
              <w:pStyle w:val="StyleWisnow"/>
              <w:rPr>
                <w:color w:val="000000" w:themeColor="text1"/>
              </w:rPr>
            </w:pPr>
            <w:bookmarkStart w:id="363" w:name="n674" w:colFirst="0" w:colLast="0"/>
            <w:bookmarkEnd w:id="362"/>
            <w:r w:rsidRPr="00286216">
              <w:rPr>
                <w:color w:val="000000" w:themeColor="text1"/>
              </w:rPr>
              <w:t>674.</w:t>
            </w:r>
          </w:p>
        </w:tc>
        <w:tc>
          <w:tcPr>
            <w:tcW w:w="4818" w:type="dxa"/>
          </w:tcPr>
          <w:p w14:paraId="0066EA9E" w14:textId="77777777" w:rsidR="00403AAD" w:rsidRPr="00286216" w:rsidRDefault="00403AAD" w:rsidP="00403AAD">
            <w:pPr>
              <w:pStyle w:val="StyleZakonu"/>
              <w:rPr>
                <w:color w:val="000000" w:themeColor="text1"/>
              </w:rPr>
            </w:pPr>
            <w:r w:rsidRPr="00286216">
              <w:rPr>
                <w:color w:val="000000" w:themeColor="text1"/>
              </w:rPr>
              <w:t>8. Дилерська діяльність - діяльність інвестиційної фірми з укладання деривативних контрактів та правочинів щодо них та/або правочинів щодо інших фінансових інструментів від свого імені та за власний рахунок.</w:t>
            </w:r>
          </w:p>
        </w:tc>
        <w:tc>
          <w:tcPr>
            <w:tcW w:w="3686" w:type="dxa"/>
          </w:tcPr>
          <w:p w14:paraId="0743699F" w14:textId="6D4182AA"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410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037B169" w14:textId="77777777" w:rsidR="00403AAD" w:rsidRPr="00286216" w:rsidRDefault="00403AAD" w:rsidP="00403AAD">
            <w:pPr>
              <w:pStyle w:val="StyleProp"/>
              <w:spacing w:line="180" w:lineRule="exact"/>
              <w:rPr>
                <w:color w:val="000000" w:themeColor="text1"/>
              </w:rPr>
            </w:pPr>
            <w:r w:rsidRPr="00286216">
              <w:rPr>
                <w:color w:val="000000" w:themeColor="text1"/>
              </w:rPr>
              <w:t>частину 8 статті 42 викласти у такій редакції:</w:t>
            </w:r>
          </w:p>
          <w:p w14:paraId="339DD749" w14:textId="77777777" w:rsidR="00403AAD" w:rsidRPr="00286216" w:rsidRDefault="00403AAD" w:rsidP="00403AAD">
            <w:pPr>
              <w:pStyle w:val="StyleProp"/>
              <w:spacing w:line="180" w:lineRule="exact"/>
              <w:rPr>
                <w:color w:val="000000" w:themeColor="text1"/>
                <w:szCs w:val="18"/>
              </w:rPr>
            </w:pPr>
            <w:r w:rsidRPr="00286216">
              <w:rPr>
                <w:color w:val="000000" w:themeColor="text1"/>
              </w:rPr>
              <w:t>"8. Дилерська діяльність – діяльність інвестиційної фірми з укладання деривативних контрактів та вчинення правочинів щодо фінансових інструментів від свого імені та за власний рахунок."</w:t>
            </w:r>
          </w:p>
        </w:tc>
        <w:tc>
          <w:tcPr>
            <w:tcW w:w="1987" w:type="dxa"/>
          </w:tcPr>
          <w:p w14:paraId="4958E762"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2B16899" w14:textId="1B55C903" w:rsidR="00403AAD" w:rsidRPr="00286216" w:rsidRDefault="00403AAD" w:rsidP="00403AAD">
            <w:pPr>
              <w:pStyle w:val="StyleZakonu"/>
              <w:rPr>
                <w:color w:val="000000" w:themeColor="text1"/>
              </w:rPr>
            </w:pPr>
            <w:r w:rsidRPr="00286216">
              <w:rPr>
                <w:color w:val="000000" w:themeColor="text1"/>
              </w:rPr>
              <w:t>8. Дилерська діяльність –  це діяльність інвестиційної фірми з укладення деривативних контрактів та вчинення правочинів щодо фінансових інструментів від свого імені та за власний рахунок.</w:t>
            </w:r>
          </w:p>
        </w:tc>
      </w:tr>
      <w:tr w:rsidR="00403AAD" w:rsidRPr="00286216" w14:paraId="7822C9FD" w14:textId="77777777" w:rsidTr="00091AA5">
        <w:tc>
          <w:tcPr>
            <w:tcW w:w="576" w:type="dxa"/>
          </w:tcPr>
          <w:p w14:paraId="6BFA0BDF" w14:textId="77777777" w:rsidR="00403AAD" w:rsidRPr="00286216" w:rsidRDefault="00403AAD" w:rsidP="00403AAD">
            <w:pPr>
              <w:pStyle w:val="StyleWisnow"/>
              <w:rPr>
                <w:color w:val="000000" w:themeColor="text1"/>
              </w:rPr>
            </w:pPr>
            <w:bookmarkStart w:id="364" w:name="n675" w:colFirst="0" w:colLast="0"/>
            <w:bookmarkEnd w:id="363"/>
            <w:r w:rsidRPr="00286216">
              <w:rPr>
                <w:color w:val="000000" w:themeColor="text1"/>
              </w:rPr>
              <w:t>675.</w:t>
            </w:r>
          </w:p>
        </w:tc>
        <w:tc>
          <w:tcPr>
            <w:tcW w:w="4818" w:type="dxa"/>
          </w:tcPr>
          <w:p w14:paraId="72A649C4" w14:textId="77777777" w:rsidR="00403AAD" w:rsidRPr="00286216" w:rsidRDefault="00403AAD" w:rsidP="00403AAD">
            <w:pPr>
              <w:pStyle w:val="StyleZakonu"/>
              <w:rPr>
                <w:color w:val="000000" w:themeColor="text1"/>
              </w:rPr>
            </w:pPr>
            <w:r w:rsidRPr="00286216">
              <w:rPr>
                <w:color w:val="000000" w:themeColor="text1"/>
              </w:rPr>
              <w:t>9. Діяльність з управління портфелем фінансових інструментів - діяльність інвестиційної фірми з управління портфелями фінансових інструментів, які складаються з одного або більше фінансових інструментів, в інтересах клієнтів.</w:t>
            </w:r>
          </w:p>
        </w:tc>
        <w:tc>
          <w:tcPr>
            <w:tcW w:w="3686" w:type="dxa"/>
          </w:tcPr>
          <w:p w14:paraId="7068E9CC" w14:textId="77777777" w:rsidR="00403AAD" w:rsidRPr="00286216" w:rsidRDefault="00403AAD" w:rsidP="00403AAD">
            <w:pPr>
              <w:pStyle w:val="StyleProp"/>
              <w:rPr>
                <w:color w:val="000000" w:themeColor="text1"/>
                <w:szCs w:val="18"/>
              </w:rPr>
            </w:pPr>
          </w:p>
        </w:tc>
        <w:tc>
          <w:tcPr>
            <w:tcW w:w="1987" w:type="dxa"/>
          </w:tcPr>
          <w:p w14:paraId="03DE3238" w14:textId="77777777" w:rsidR="00403AAD" w:rsidRPr="00286216" w:rsidRDefault="00403AAD" w:rsidP="00403AAD">
            <w:pPr>
              <w:pStyle w:val="StyleWisnow"/>
              <w:rPr>
                <w:color w:val="000000" w:themeColor="text1"/>
              </w:rPr>
            </w:pPr>
          </w:p>
        </w:tc>
        <w:tc>
          <w:tcPr>
            <w:tcW w:w="4818" w:type="dxa"/>
          </w:tcPr>
          <w:p w14:paraId="7E39529A" w14:textId="249533A0" w:rsidR="00403AAD" w:rsidRPr="00286216" w:rsidRDefault="00403AAD" w:rsidP="00403AAD">
            <w:pPr>
              <w:pStyle w:val="StyleZakonu"/>
              <w:rPr>
                <w:color w:val="000000" w:themeColor="text1"/>
              </w:rPr>
            </w:pPr>
            <w:r w:rsidRPr="00286216">
              <w:rPr>
                <w:color w:val="000000" w:themeColor="text1"/>
              </w:rPr>
              <w:t>9. Діяльність з управління портфелем фінансових інструментів - це діяльність інвестиційної фірми з управління портфелями фінансових інструментів, які складаються з одного або більше фінансових інструментів, в інтересах клієнтів.</w:t>
            </w:r>
          </w:p>
        </w:tc>
      </w:tr>
      <w:tr w:rsidR="00403AAD" w:rsidRPr="00286216" w14:paraId="30170D97" w14:textId="77777777" w:rsidTr="00091AA5">
        <w:tc>
          <w:tcPr>
            <w:tcW w:w="576" w:type="dxa"/>
          </w:tcPr>
          <w:p w14:paraId="69ABEC6A" w14:textId="77777777" w:rsidR="00403AAD" w:rsidRPr="00286216" w:rsidRDefault="00403AAD" w:rsidP="00403AAD">
            <w:pPr>
              <w:pStyle w:val="StyleWisnow"/>
              <w:rPr>
                <w:color w:val="000000" w:themeColor="text1"/>
              </w:rPr>
            </w:pPr>
            <w:bookmarkStart w:id="365" w:name="n676" w:colFirst="0" w:colLast="0"/>
            <w:bookmarkEnd w:id="364"/>
            <w:r w:rsidRPr="00286216">
              <w:rPr>
                <w:color w:val="000000" w:themeColor="text1"/>
              </w:rPr>
              <w:t>676.</w:t>
            </w:r>
          </w:p>
        </w:tc>
        <w:tc>
          <w:tcPr>
            <w:tcW w:w="4818" w:type="dxa"/>
          </w:tcPr>
          <w:p w14:paraId="039981F1" w14:textId="77777777" w:rsidR="00403AAD" w:rsidRPr="00286216" w:rsidRDefault="00403AAD" w:rsidP="00403AAD">
            <w:pPr>
              <w:pStyle w:val="StyleZakonu"/>
              <w:rPr>
                <w:color w:val="000000" w:themeColor="text1"/>
              </w:rPr>
            </w:pPr>
            <w:r w:rsidRPr="00286216">
              <w:rPr>
                <w:color w:val="000000" w:themeColor="text1"/>
              </w:rPr>
              <w:t>Інвестиційна фірма має право укладати договори про управління портфелем фінансових інструментів з фізичними та юридичними особами. Договір про управління портфелем фінансових інструментів не може укладатися інвестиційною фірмою з компанією з управління активами.</w:t>
            </w:r>
          </w:p>
        </w:tc>
        <w:tc>
          <w:tcPr>
            <w:tcW w:w="3686" w:type="dxa"/>
          </w:tcPr>
          <w:p w14:paraId="331AAF74" w14:textId="77777777" w:rsidR="00403AAD" w:rsidRPr="00286216" w:rsidRDefault="00403AAD" w:rsidP="00403AAD">
            <w:pPr>
              <w:pStyle w:val="StyleProp"/>
              <w:rPr>
                <w:color w:val="000000" w:themeColor="text1"/>
                <w:szCs w:val="18"/>
              </w:rPr>
            </w:pPr>
          </w:p>
        </w:tc>
        <w:tc>
          <w:tcPr>
            <w:tcW w:w="1987" w:type="dxa"/>
          </w:tcPr>
          <w:p w14:paraId="21C9B1C3" w14:textId="77777777" w:rsidR="00403AAD" w:rsidRPr="00286216" w:rsidRDefault="00403AAD" w:rsidP="00403AAD">
            <w:pPr>
              <w:pStyle w:val="StyleWisnow"/>
              <w:rPr>
                <w:color w:val="000000" w:themeColor="text1"/>
              </w:rPr>
            </w:pPr>
          </w:p>
        </w:tc>
        <w:tc>
          <w:tcPr>
            <w:tcW w:w="4818" w:type="dxa"/>
          </w:tcPr>
          <w:p w14:paraId="51B5374B" w14:textId="5AE75074" w:rsidR="00403AAD" w:rsidRPr="00286216" w:rsidRDefault="00403AAD" w:rsidP="00403AAD">
            <w:pPr>
              <w:pStyle w:val="StyleZakonu"/>
              <w:rPr>
                <w:color w:val="000000" w:themeColor="text1"/>
              </w:rPr>
            </w:pPr>
            <w:r w:rsidRPr="00286216">
              <w:rPr>
                <w:color w:val="000000" w:themeColor="text1"/>
              </w:rPr>
              <w:t>Інвестиційна фірма має право укладати договори про управління портфелем фінансових інструментів з фізичними та юридичними особами. Договір про управління портфелем фінансових інструментів не може укладатися інвестиційною фірмою з компанією з управління активами.</w:t>
            </w:r>
          </w:p>
        </w:tc>
      </w:tr>
      <w:tr w:rsidR="00403AAD" w:rsidRPr="00286216" w14:paraId="34A2F368" w14:textId="77777777" w:rsidTr="00091AA5">
        <w:tc>
          <w:tcPr>
            <w:tcW w:w="576" w:type="dxa"/>
          </w:tcPr>
          <w:p w14:paraId="7F712F6C" w14:textId="77777777" w:rsidR="00403AAD" w:rsidRPr="00286216" w:rsidRDefault="00403AAD" w:rsidP="00403AAD">
            <w:pPr>
              <w:pStyle w:val="StyleWisnow"/>
              <w:rPr>
                <w:color w:val="000000" w:themeColor="text1"/>
              </w:rPr>
            </w:pPr>
            <w:bookmarkStart w:id="366" w:name="n677" w:colFirst="0" w:colLast="0"/>
            <w:bookmarkEnd w:id="365"/>
            <w:r w:rsidRPr="00286216">
              <w:rPr>
                <w:color w:val="000000" w:themeColor="text1"/>
              </w:rPr>
              <w:t>677.</w:t>
            </w:r>
          </w:p>
        </w:tc>
        <w:tc>
          <w:tcPr>
            <w:tcW w:w="4818" w:type="dxa"/>
          </w:tcPr>
          <w:p w14:paraId="34352CB5" w14:textId="77777777" w:rsidR="00403AAD" w:rsidRPr="00286216" w:rsidRDefault="00403AAD" w:rsidP="00403AAD">
            <w:pPr>
              <w:pStyle w:val="StyleZakonu"/>
              <w:rPr>
                <w:color w:val="000000" w:themeColor="text1"/>
              </w:rPr>
            </w:pPr>
            <w:r w:rsidRPr="00286216">
              <w:rPr>
                <w:color w:val="000000" w:themeColor="text1"/>
              </w:rPr>
              <w:t>Мінімальна сума договору про управління портфелем фінансових інструментів з одним клієнтом - фізичною особою встановлюється Національною комісією з цінних паперів та фондового ринку.</w:t>
            </w:r>
          </w:p>
        </w:tc>
        <w:tc>
          <w:tcPr>
            <w:tcW w:w="3686" w:type="dxa"/>
          </w:tcPr>
          <w:p w14:paraId="7700F9F0" w14:textId="77777777" w:rsidR="00403AAD" w:rsidRPr="00286216" w:rsidRDefault="00403AAD" w:rsidP="00403AAD">
            <w:pPr>
              <w:pStyle w:val="StyleProp"/>
              <w:rPr>
                <w:color w:val="000000" w:themeColor="text1"/>
                <w:szCs w:val="18"/>
              </w:rPr>
            </w:pPr>
          </w:p>
        </w:tc>
        <w:tc>
          <w:tcPr>
            <w:tcW w:w="1987" w:type="dxa"/>
          </w:tcPr>
          <w:p w14:paraId="7B815263" w14:textId="77777777" w:rsidR="00403AAD" w:rsidRPr="00286216" w:rsidRDefault="00403AAD" w:rsidP="00403AAD">
            <w:pPr>
              <w:pStyle w:val="StyleWisnow"/>
              <w:rPr>
                <w:color w:val="000000" w:themeColor="text1"/>
              </w:rPr>
            </w:pPr>
          </w:p>
        </w:tc>
        <w:tc>
          <w:tcPr>
            <w:tcW w:w="4818" w:type="dxa"/>
          </w:tcPr>
          <w:p w14:paraId="2B4296E1" w14:textId="4A890C3B" w:rsidR="00403AAD" w:rsidRPr="00286216" w:rsidRDefault="00403AAD" w:rsidP="00403AAD">
            <w:pPr>
              <w:pStyle w:val="StyleZakonu"/>
              <w:rPr>
                <w:color w:val="000000" w:themeColor="text1"/>
              </w:rPr>
            </w:pPr>
            <w:r w:rsidRPr="00286216">
              <w:rPr>
                <w:color w:val="000000" w:themeColor="text1"/>
              </w:rPr>
              <w:t>Мінімальна сума договору про управління портфелем фінансових інструментів з одним клієнтом - фізичною особою встановлюється Національною комісією з цінних паперів та фондового ринку.</w:t>
            </w:r>
          </w:p>
        </w:tc>
      </w:tr>
      <w:tr w:rsidR="00403AAD" w:rsidRPr="00286216" w14:paraId="2BBEEC85" w14:textId="77777777" w:rsidTr="00091AA5">
        <w:tc>
          <w:tcPr>
            <w:tcW w:w="576" w:type="dxa"/>
          </w:tcPr>
          <w:p w14:paraId="6A60A310" w14:textId="77777777" w:rsidR="00403AAD" w:rsidRPr="00286216" w:rsidRDefault="00403AAD" w:rsidP="00403AAD">
            <w:pPr>
              <w:pStyle w:val="StyleWisnow"/>
              <w:rPr>
                <w:color w:val="000000" w:themeColor="text1"/>
              </w:rPr>
            </w:pPr>
            <w:bookmarkStart w:id="367" w:name="n678" w:colFirst="0" w:colLast="0"/>
            <w:bookmarkEnd w:id="366"/>
            <w:r w:rsidRPr="00286216">
              <w:rPr>
                <w:color w:val="000000" w:themeColor="text1"/>
              </w:rPr>
              <w:t>678.</w:t>
            </w:r>
          </w:p>
        </w:tc>
        <w:tc>
          <w:tcPr>
            <w:tcW w:w="4818" w:type="dxa"/>
          </w:tcPr>
          <w:p w14:paraId="185C8531" w14:textId="77777777" w:rsidR="00403AAD" w:rsidRPr="00286216" w:rsidRDefault="00403AAD" w:rsidP="00403AAD">
            <w:pPr>
              <w:pStyle w:val="StyleZakonu"/>
              <w:rPr>
                <w:color w:val="000000" w:themeColor="text1"/>
              </w:rPr>
            </w:pPr>
            <w:r w:rsidRPr="00286216">
              <w:rPr>
                <w:color w:val="000000" w:themeColor="text1"/>
              </w:rPr>
              <w:t>10. Інвестиційне консультування - діяльність інвестиційної фірми з надання індивідуальних рекомендацій клієнту на його вимогу або з ініціативи інвестиційної фірми щодо укладання деривативних контрактів та правочинів щодо них та/або правочинів з іншими фінансовими інструментами.</w:t>
            </w:r>
          </w:p>
        </w:tc>
        <w:tc>
          <w:tcPr>
            <w:tcW w:w="3686" w:type="dxa"/>
          </w:tcPr>
          <w:p w14:paraId="306E5D40" w14:textId="4F7CADB4"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411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4FC3FC9" w14:textId="77777777" w:rsidR="00403AAD" w:rsidRPr="00286216" w:rsidRDefault="00403AAD" w:rsidP="00403AAD">
            <w:pPr>
              <w:pStyle w:val="StyleProp"/>
              <w:spacing w:line="180" w:lineRule="exact"/>
              <w:rPr>
                <w:color w:val="000000" w:themeColor="text1"/>
              </w:rPr>
            </w:pPr>
            <w:r w:rsidRPr="00286216">
              <w:rPr>
                <w:color w:val="000000" w:themeColor="text1"/>
              </w:rPr>
              <w:t>частину 10 статті 42 викласти у такій редакції:</w:t>
            </w:r>
          </w:p>
          <w:p w14:paraId="2C27CC33" w14:textId="77777777" w:rsidR="00403AAD" w:rsidRPr="00286216" w:rsidRDefault="00403AAD" w:rsidP="00403AAD">
            <w:pPr>
              <w:pStyle w:val="StyleProp"/>
              <w:rPr>
                <w:color w:val="000000" w:themeColor="text1"/>
                <w:szCs w:val="18"/>
              </w:rPr>
            </w:pPr>
            <w:r w:rsidRPr="00286216">
              <w:rPr>
                <w:color w:val="000000" w:themeColor="text1"/>
              </w:rPr>
              <w:t xml:space="preserve">"10. Інвестиційне консультування – діяльність інвестиційної фірми з надання індивідуальних рекомендацій клієнту на його вимогу або з ініціативи інвестиційної фірми </w:t>
            </w:r>
            <w:r w:rsidRPr="00286216">
              <w:rPr>
                <w:color w:val="000000" w:themeColor="text1"/>
              </w:rPr>
              <w:lastRenderedPageBreak/>
              <w:t>щодо укладання деривативних контрактів, укладення договорів про заміну сторони деривативного контракту, вчинення правочинів щодо фінансових інструментів та валютних цінностей".</w:t>
            </w:r>
          </w:p>
        </w:tc>
        <w:tc>
          <w:tcPr>
            <w:tcW w:w="1987" w:type="dxa"/>
          </w:tcPr>
          <w:p w14:paraId="0DD193A0"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3C192576" w14:textId="521103F6" w:rsidR="00403AAD" w:rsidRPr="00286216" w:rsidRDefault="00403AAD" w:rsidP="00403AAD">
            <w:pPr>
              <w:pStyle w:val="StyleZakonu"/>
              <w:rPr>
                <w:color w:val="000000" w:themeColor="text1"/>
              </w:rPr>
            </w:pPr>
            <w:r w:rsidRPr="00286216">
              <w:rPr>
                <w:color w:val="000000" w:themeColor="text1"/>
              </w:rPr>
              <w:t xml:space="preserve">10. Інвестиційне консультування – це діяльність інвестиційної фірми з надання індивідуальних рекомендацій клієнту на його вимогу або з ініціативи інвестиційної фірми щодо укладення деривативних контрактів,  договорів про заміну сторони деривативного контракту, вчинення правочинів щодо </w:t>
            </w:r>
            <w:r w:rsidRPr="00286216">
              <w:rPr>
                <w:color w:val="000000" w:themeColor="text1"/>
              </w:rPr>
              <w:lastRenderedPageBreak/>
              <w:t>фінансових інструментів та валютних цінностей.</w:t>
            </w:r>
          </w:p>
        </w:tc>
      </w:tr>
      <w:tr w:rsidR="00403AAD" w:rsidRPr="00286216" w14:paraId="75243F9B" w14:textId="77777777" w:rsidTr="00091AA5">
        <w:tc>
          <w:tcPr>
            <w:tcW w:w="576" w:type="dxa"/>
          </w:tcPr>
          <w:p w14:paraId="56847D30" w14:textId="77777777" w:rsidR="00403AAD" w:rsidRPr="00286216" w:rsidRDefault="00403AAD" w:rsidP="00403AAD">
            <w:pPr>
              <w:pStyle w:val="StyleWisnow"/>
              <w:rPr>
                <w:color w:val="000000" w:themeColor="text1"/>
              </w:rPr>
            </w:pPr>
            <w:bookmarkStart w:id="368" w:name="n679" w:colFirst="0" w:colLast="0"/>
            <w:bookmarkEnd w:id="367"/>
            <w:r w:rsidRPr="00286216">
              <w:rPr>
                <w:color w:val="000000" w:themeColor="text1"/>
              </w:rPr>
              <w:lastRenderedPageBreak/>
              <w:t>679.</w:t>
            </w:r>
          </w:p>
        </w:tc>
        <w:tc>
          <w:tcPr>
            <w:tcW w:w="4818" w:type="dxa"/>
          </w:tcPr>
          <w:p w14:paraId="33C3703B" w14:textId="77777777" w:rsidR="00403AAD" w:rsidRPr="00286216" w:rsidRDefault="00403AAD" w:rsidP="00403AAD">
            <w:pPr>
              <w:pStyle w:val="StyleZakonu"/>
              <w:rPr>
                <w:color w:val="000000" w:themeColor="text1"/>
              </w:rPr>
            </w:pPr>
            <w:bookmarkStart w:id="369" w:name="_Ref17109678"/>
            <w:r w:rsidRPr="00286216">
              <w:rPr>
                <w:color w:val="000000" w:themeColor="text1"/>
              </w:rPr>
              <w:t>11. Андеррайтинг - діяльність, яка провадиться інвестиційною фірмою від свого імені та/або від імені емітента або оферента за винагороду відповідно до умов договору андеррайтингу.</w:t>
            </w:r>
            <w:bookmarkEnd w:id="369"/>
          </w:p>
        </w:tc>
        <w:tc>
          <w:tcPr>
            <w:tcW w:w="3686" w:type="dxa"/>
          </w:tcPr>
          <w:p w14:paraId="6BB56072" w14:textId="77777777" w:rsidR="00403AAD" w:rsidRPr="00286216" w:rsidRDefault="00403AAD" w:rsidP="00403AAD">
            <w:pPr>
              <w:pStyle w:val="StyleProp"/>
              <w:rPr>
                <w:color w:val="000000" w:themeColor="text1"/>
                <w:szCs w:val="18"/>
              </w:rPr>
            </w:pPr>
          </w:p>
        </w:tc>
        <w:tc>
          <w:tcPr>
            <w:tcW w:w="1987" w:type="dxa"/>
          </w:tcPr>
          <w:p w14:paraId="2841ED87" w14:textId="77777777" w:rsidR="00403AAD" w:rsidRPr="00286216" w:rsidRDefault="00403AAD" w:rsidP="00403AAD">
            <w:pPr>
              <w:pStyle w:val="StyleWisnow"/>
              <w:rPr>
                <w:color w:val="000000" w:themeColor="text1"/>
              </w:rPr>
            </w:pPr>
          </w:p>
        </w:tc>
        <w:tc>
          <w:tcPr>
            <w:tcW w:w="4818" w:type="dxa"/>
          </w:tcPr>
          <w:p w14:paraId="04420E1E" w14:textId="1C0B3475" w:rsidR="00403AAD" w:rsidRPr="00286216" w:rsidRDefault="00403AAD" w:rsidP="00403AAD">
            <w:pPr>
              <w:pStyle w:val="StyleZakonu"/>
              <w:rPr>
                <w:color w:val="000000" w:themeColor="text1"/>
              </w:rPr>
            </w:pPr>
            <w:r w:rsidRPr="00286216">
              <w:rPr>
                <w:color w:val="000000" w:themeColor="text1"/>
              </w:rPr>
              <w:t>11. Андеррайтинг - це діяльність, яка провадиться інвестиційною фірмою від свого імені та/або від імені емітента або оферента за винагороду відповідно до умов договору андеррайтингу.</w:t>
            </w:r>
          </w:p>
        </w:tc>
      </w:tr>
      <w:tr w:rsidR="00403AAD" w:rsidRPr="00286216" w14:paraId="77311F11" w14:textId="77777777" w:rsidTr="00091AA5">
        <w:tc>
          <w:tcPr>
            <w:tcW w:w="576" w:type="dxa"/>
          </w:tcPr>
          <w:p w14:paraId="0AA90BAE" w14:textId="77777777" w:rsidR="00403AAD" w:rsidRPr="00286216" w:rsidRDefault="00403AAD" w:rsidP="00403AAD">
            <w:pPr>
              <w:pStyle w:val="StyleWisnow"/>
              <w:rPr>
                <w:color w:val="000000" w:themeColor="text1"/>
              </w:rPr>
            </w:pPr>
            <w:bookmarkStart w:id="370" w:name="n680" w:colFirst="0" w:colLast="0"/>
            <w:bookmarkEnd w:id="368"/>
            <w:r w:rsidRPr="00286216">
              <w:rPr>
                <w:color w:val="000000" w:themeColor="text1"/>
              </w:rPr>
              <w:t>680.</w:t>
            </w:r>
          </w:p>
        </w:tc>
        <w:tc>
          <w:tcPr>
            <w:tcW w:w="4818" w:type="dxa"/>
          </w:tcPr>
          <w:p w14:paraId="1231DB1F" w14:textId="77777777" w:rsidR="00403AAD" w:rsidRPr="00286216" w:rsidRDefault="00403AAD" w:rsidP="00403AAD">
            <w:pPr>
              <w:pStyle w:val="StyleZakonu"/>
              <w:rPr>
                <w:color w:val="000000" w:themeColor="text1"/>
              </w:rPr>
            </w:pPr>
            <w:r w:rsidRPr="00286216">
              <w:rPr>
                <w:color w:val="000000" w:themeColor="text1"/>
              </w:rPr>
              <w:t>За договором андеррайтингу інвестиційна фірма зобов’язується на умовах та в строки, визначені проспектом цінних паперів, діючи від імені емітента або оферента, організувати розміщення заздалегідь обумовленого обсягу цінних паперів емітента або оферента та від свого імені і за власний рахунок здійснити купівлю цінних паперів, які станом на кінець передбаченого проспектом цінних паперів строку розміщення не були відчужені першим власникам.</w:t>
            </w:r>
          </w:p>
        </w:tc>
        <w:tc>
          <w:tcPr>
            <w:tcW w:w="3686" w:type="dxa"/>
          </w:tcPr>
          <w:p w14:paraId="1DAFDDA0" w14:textId="77777777" w:rsidR="00403AAD" w:rsidRPr="00286216" w:rsidRDefault="00403AAD" w:rsidP="00403AAD">
            <w:pPr>
              <w:pStyle w:val="StyleProp"/>
              <w:rPr>
                <w:color w:val="000000" w:themeColor="text1"/>
                <w:szCs w:val="18"/>
              </w:rPr>
            </w:pPr>
          </w:p>
        </w:tc>
        <w:tc>
          <w:tcPr>
            <w:tcW w:w="1987" w:type="dxa"/>
          </w:tcPr>
          <w:p w14:paraId="7ED600CA" w14:textId="77777777" w:rsidR="00403AAD" w:rsidRPr="00286216" w:rsidRDefault="00403AAD" w:rsidP="00403AAD">
            <w:pPr>
              <w:pStyle w:val="StyleWisnow"/>
              <w:rPr>
                <w:color w:val="000000" w:themeColor="text1"/>
              </w:rPr>
            </w:pPr>
          </w:p>
        </w:tc>
        <w:tc>
          <w:tcPr>
            <w:tcW w:w="4818" w:type="dxa"/>
          </w:tcPr>
          <w:p w14:paraId="72E93207" w14:textId="0C1F03D2" w:rsidR="00403AAD" w:rsidRPr="00286216" w:rsidRDefault="00403AAD" w:rsidP="00403AAD">
            <w:pPr>
              <w:pStyle w:val="StyleZakonu"/>
              <w:rPr>
                <w:color w:val="000000" w:themeColor="text1"/>
              </w:rPr>
            </w:pPr>
            <w:r w:rsidRPr="00286216">
              <w:rPr>
                <w:color w:val="000000" w:themeColor="text1"/>
              </w:rPr>
              <w:t>За договором андеррайтингу інвестиційна фірма зобов’язується на умовах та в строки, визначені проспектом цінних паперів, діючи від імені емітента або оферента, організувати розміщення заздалегідь обумовленого обсягу цінних паперів емітента або оферента та від свого імені і за власний рахунок здійснити купівлю цінних паперів, які станом на кінець передбаченого проспектом цінних паперів строку розміщення не були відчужені першим власникам.</w:t>
            </w:r>
          </w:p>
        </w:tc>
      </w:tr>
      <w:tr w:rsidR="00403AAD" w:rsidRPr="00286216" w14:paraId="52C17A5D" w14:textId="77777777" w:rsidTr="00091AA5">
        <w:tc>
          <w:tcPr>
            <w:tcW w:w="576" w:type="dxa"/>
          </w:tcPr>
          <w:p w14:paraId="3281B800" w14:textId="77777777" w:rsidR="00403AAD" w:rsidRPr="00286216" w:rsidRDefault="00403AAD" w:rsidP="00403AAD">
            <w:pPr>
              <w:pStyle w:val="StyleWisnow"/>
              <w:rPr>
                <w:color w:val="000000" w:themeColor="text1"/>
              </w:rPr>
            </w:pPr>
            <w:bookmarkStart w:id="371" w:name="n681" w:colFirst="0" w:colLast="0"/>
            <w:bookmarkEnd w:id="370"/>
            <w:r w:rsidRPr="00286216">
              <w:rPr>
                <w:color w:val="000000" w:themeColor="text1"/>
              </w:rPr>
              <w:t>681.</w:t>
            </w:r>
          </w:p>
        </w:tc>
        <w:tc>
          <w:tcPr>
            <w:tcW w:w="4818" w:type="dxa"/>
          </w:tcPr>
          <w:p w14:paraId="357CB656" w14:textId="77777777" w:rsidR="00403AAD" w:rsidRPr="00286216" w:rsidRDefault="00403AAD" w:rsidP="00403AAD">
            <w:pPr>
              <w:pStyle w:val="StyleZakonu"/>
              <w:rPr>
                <w:color w:val="000000" w:themeColor="text1"/>
              </w:rPr>
            </w:pPr>
            <w:r w:rsidRPr="00286216">
              <w:rPr>
                <w:color w:val="000000" w:themeColor="text1"/>
              </w:rPr>
              <w:t>Андеррайтинг передбачає здійснення інвестиційною фірмою:</w:t>
            </w:r>
          </w:p>
        </w:tc>
        <w:tc>
          <w:tcPr>
            <w:tcW w:w="3686" w:type="dxa"/>
          </w:tcPr>
          <w:p w14:paraId="0C6BCF05" w14:textId="77777777" w:rsidR="00403AAD" w:rsidRPr="00286216" w:rsidRDefault="00403AAD" w:rsidP="00403AAD">
            <w:pPr>
              <w:pStyle w:val="StyleProp"/>
              <w:rPr>
                <w:color w:val="000000" w:themeColor="text1"/>
                <w:szCs w:val="18"/>
              </w:rPr>
            </w:pPr>
          </w:p>
        </w:tc>
        <w:tc>
          <w:tcPr>
            <w:tcW w:w="1987" w:type="dxa"/>
          </w:tcPr>
          <w:p w14:paraId="1EF1BB20" w14:textId="77777777" w:rsidR="00403AAD" w:rsidRPr="00286216" w:rsidRDefault="00403AAD" w:rsidP="00403AAD">
            <w:pPr>
              <w:pStyle w:val="StyleWisnow"/>
              <w:rPr>
                <w:color w:val="000000" w:themeColor="text1"/>
              </w:rPr>
            </w:pPr>
          </w:p>
        </w:tc>
        <w:tc>
          <w:tcPr>
            <w:tcW w:w="4818" w:type="dxa"/>
          </w:tcPr>
          <w:p w14:paraId="3AA478F7" w14:textId="2DB83B6E" w:rsidR="00403AAD" w:rsidRPr="00286216" w:rsidRDefault="00403AAD" w:rsidP="00403AAD">
            <w:pPr>
              <w:pStyle w:val="StyleZakonu"/>
              <w:rPr>
                <w:color w:val="000000" w:themeColor="text1"/>
              </w:rPr>
            </w:pPr>
            <w:r w:rsidRPr="00286216">
              <w:rPr>
                <w:color w:val="000000" w:themeColor="text1"/>
              </w:rPr>
              <w:t>Андеррайтинг передбачає здійснення інвестиційною фірмою:</w:t>
            </w:r>
          </w:p>
        </w:tc>
      </w:tr>
      <w:tr w:rsidR="00403AAD" w:rsidRPr="00286216" w14:paraId="22482D64" w14:textId="77777777" w:rsidTr="00091AA5">
        <w:tc>
          <w:tcPr>
            <w:tcW w:w="576" w:type="dxa"/>
          </w:tcPr>
          <w:p w14:paraId="63802B6F" w14:textId="77777777" w:rsidR="00403AAD" w:rsidRPr="00286216" w:rsidRDefault="00403AAD" w:rsidP="00403AAD">
            <w:pPr>
              <w:pStyle w:val="StyleWisnow"/>
              <w:rPr>
                <w:color w:val="000000" w:themeColor="text1"/>
              </w:rPr>
            </w:pPr>
            <w:bookmarkStart w:id="372" w:name="n682" w:colFirst="0" w:colLast="0"/>
            <w:bookmarkEnd w:id="371"/>
            <w:r w:rsidRPr="00286216">
              <w:rPr>
                <w:color w:val="000000" w:themeColor="text1"/>
              </w:rPr>
              <w:t>682.</w:t>
            </w:r>
          </w:p>
        </w:tc>
        <w:tc>
          <w:tcPr>
            <w:tcW w:w="4818" w:type="dxa"/>
          </w:tcPr>
          <w:p w14:paraId="470F1F82" w14:textId="77777777" w:rsidR="00403AAD" w:rsidRPr="00286216" w:rsidRDefault="00403AAD" w:rsidP="00403AAD">
            <w:pPr>
              <w:pStyle w:val="StyleZakonu"/>
              <w:rPr>
                <w:color w:val="000000" w:themeColor="text1"/>
              </w:rPr>
            </w:pPr>
            <w:r w:rsidRPr="00286216">
              <w:rPr>
                <w:color w:val="000000" w:themeColor="text1"/>
              </w:rPr>
              <w:t>1) підготовки проспекту цінних паперів, в тому числі визначення та узгодження з емітентом або оферентом основних характеристик цінних паперів, що пропонується відчужити (зокрема вид, тип, обсяг, строк та умови відчуження);</w:t>
            </w:r>
          </w:p>
        </w:tc>
        <w:tc>
          <w:tcPr>
            <w:tcW w:w="3686" w:type="dxa"/>
          </w:tcPr>
          <w:p w14:paraId="2A38A46E" w14:textId="77777777" w:rsidR="00403AAD" w:rsidRPr="00286216" w:rsidRDefault="00403AAD" w:rsidP="00403AAD">
            <w:pPr>
              <w:pStyle w:val="StyleProp"/>
              <w:rPr>
                <w:color w:val="000000" w:themeColor="text1"/>
                <w:szCs w:val="18"/>
              </w:rPr>
            </w:pPr>
          </w:p>
        </w:tc>
        <w:tc>
          <w:tcPr>
            <w:tcW w:w="1987" w:type="dxa"/>
          </w:tcPr>
          <w:p w14:paraId="5A08E082" w14:textId="77777777" w:rsidR="00403AAD" w:rsidRPr="00286216" w:rsidRDefault="00403AAD" w:rsidP="00403AAD">
            <w:pPr>
              <w:pStyle w:val="StyleWisnow"/>
              <w:rPr>
                <w:color w:val="000000" w:themeColor="text1"/>
              </w:rPr>
            </w:pPr>
          </w:p>
        </w:tc>
        <w:tc>
          <w:tcPr>
            <w:tcW w:w="4818" w:type="dxa"/>
          </w:tcPr>
          <w:p w14:paraId="2199BF2F" w14:textId="3C258F7A" w:rsidR="00403AAD" w:rsidRPr="00286216" w:rsidRDefault="00403AAD" w:rsidP="00403AAD">
            <w:pPr>
              <w:pStyle w:val="StyleZakonu"/>
              <w:rPr>
                <w:color w:val="000000" w:themeColor="text1"/>
              </w:rPr>
            </w:pPr>
            <w:r w:rsidRPr="00286216">
              <w:rPr>
                <w:color w:val="000000" w:themeColor="text1"/>
              </w:rPr>
              <w:t>1) підготовки проспекту цінних паперів, у тому числі визначення та узгодження з емітентом або оферентом основних характеристик цінних паперів, що пропонується відчужити (зокрема вид, тип, обсяг, строк та умови відчуження);</w:t>
            </w:r>
          </w:p>
        </w:tc>
      </w:tr>
      <w:tr w:rsidR="00403AAD" w:rsidRPr="00286216" w14:paraId="6130776B" w14:textId="77777777" w:rsidTr="00091AA5">
        <w:tc>
          <w:tcPr>
            <w:tcW w:w="576" w:type="dxa"/>
          </w:tcPr>
          <w:p w14:paraId="46021B76" w14:textId="77777777" w:rsidR="00403AAD" w:rsidRPr="00286216" w:rsidRDefault="00403AAD" w:rsidP="00403AAD">
            <w:pPr>
              <w:pStyle w:val="StyleWisnow"/>
              <w:rPr>
                <w:color w:val="000000" w:themeColor="text1"/>
              </w:rPr>
            </w:pPr>
            <w:bookmarkStart w:id="373" w:name="n683" w:colFirst="0" w:colLast="0"/>
            <w:bookmarkEnd w:id="372"/>
            <w:r w:rsidRPr="00286216">
              <w:rPr>
                <w:color w:val="000000" w:themeColor="text1"/>
              </w:rPr>
              <w:t>683.</w:t>
            </w:r>
          </w:p>
        </w:tc>
        <w:tc>
          <w:tcPr>
            <w:tcW w:w="4818" w:type="dxa"/>
          </w:tcPr>
          <w:p w14:paraId="59E4584E" w14:textId="77777777" w:rsidR="00403AAD" w:rsidRPr="00286216" w:rsidRDefault="00403AAD" w:rsidP="00403AAD">
            <w:pPr>
              <w:pStyle w:val="StyleZakonu"/>
              <w:rPr>
                <w:color w:val="000000" w:themeColor="text1"/>
              </w:rPr>
            </w:pPr>
            <w:r w:rsidRPr="00286216">
              <w:rPr>
                <w:color w:val="000000" w:themeColor="text1"/>
              </w:rPr>
              <w:t>2) визначення ціни цінних паперів, що пропонується відчужити, в тому числі шляхом зондування ринку капіталу, відповідно до статті 133 цього Закону;</w:t>
            </w:r>
          </w:p>
        </w:tc>
        <w:tc>
          <w:tcPr>
            <w:tcW w:w="3686" w:type="dxa"/>
          </w:tcPr>
          <w:p w14:paraId="281C8B65" w14:textId="77777777" w:rsidR="00403AAD" w:rsidRPr="00286216" w:rsidRDefault="00403AAD" w:rsidP="00403AAD">
            <w:pPr>
              <w:pStyle w:val="StyleProp"/>
              <w:rPr>
                <w:color w:val="000000" w:themeColor="text1"/>
                <w:szCs w:val="18"/>
              </w:rPr>
            </w:pPr>
          </w:p>
        </w:tc>
        <w:tc>
          <w:tcPr>
            <w:tcW w:w="1987" w:type="dxa"/>
          </w:tcPr>
          <w:p w14:paraId="6A1C5A1C" w14:textId="77777777" w:rsidR="00403AAD" w:rsidRPr="00286216" w:rsidRDefault="00403AAD" w:rsidP="00403AAD">
            <w:pPr>
              <w:pStyle w:val="StyleWisnow"/>
              <w:rPr>
                <w:color w:val="000000" w:themeColor="text1"/>
              </w:rPr>
            </w:pPr>
          </w:p>
        </w:tc>
        <w:tc>
          <w:tcPr>
            <w:tcW w:w="4818" w:type="dxa"/>
          </w:tcPr>
          <w:p w14:paraId="5CB9DBC2" w14:textId="35F2406F" w:rsidR="00403AAD" w:rsidRPr="00286216" w:rsidRDefault="00403AAD" w:rsidP="00403AAD">
            <w:pPr>
              <w:pStyle w:val="StyleZakonu"/>
              <w:rPr>
                <w:color w:val="000000" w:themeColor="text1"/>
              </w:rPr>
            </w:pPr>
            <w:r w:rsidRPr="00286216">
              <w:rPr>
                <w:color w:val="000000" w:themeColor="text1"/>
              </w:rPr>
              <w:t>2) визначення ціни цінних паперів, що пропонується відчужити, в тому числі шляхом зондування ринку капіталу, відповідно до статті 147 цього Закону;</w:t>
            </w:r>
          </w:p>
        </w:tc>
      </w:tr>
      <w:tr w:rsidR="00403AAD" w:rsidRPr="00286216" w14:paraId="2A9EDB20" w14:textId="77777777" w:rsidTr="00091AA5">
        <w:tc>
          <w:tcPr>
            <w:tcW w:w="576" w:type="dxa"/>
          </w:tcPr>
          <w:p w14:paraId="1B622AD3" w14:textId="77777777" w:rsidR="00403AAD" w:rsidRPr="00286216" w:rsidRDefault="00403AAD" w:rsidP="00403AAD">
            <w:pPr>
              <w:pStyle w:val="StyleWisnow"/>
              <w:rPr>
                <w:color w:val="000000" w:themeColor="text1"/>
              </w:rPr>
            </w:pPr>
            <w:bookmarkStart w:id="374" w:name="n684" w:colFirst="0" w:colLast="0"/>
            <w:bookmarkEnd w:id="373"/>
            <w:r w:rsidRPr="00286216">
              <w:rPr>
                <w:color w:val="000000" w:themeColor="text1"/>
              </w:rPr>
              <w:t>684.</w:t>
            </w:r>
          </w:p>
        </w:tc>
        <w:tc>
          <w:tcPr>
            <w:tcW w:w="4818" w:type="dxa"/>
          </w:tcPr>
          <w:p w14:paraId="2011AA29" w14:textId="77777777" w:rsidR="00403AAD" w:rsidRPr="00286216" w:rsidRDefault="00403AAD" w:rsidP="00403AAD">
            <w:pPr>
              <w:pStyle w:val="StyleZakonu"/>
              <w:rPr>
                <w:color w:val="000000" w:themeColor="text1"/>
              </w:rPr>
            </w:pPr>
            <w:r w:rsidRPr="00286216">
              <w:rPr>
                <w:color w:val="000000" w:themeColor="text1"/>
              </w:rPr>
              <w:t>3) реєстрації проспекту цінних паперів;</w:t>
            </w:r>
          </w:p>
        </w:tc>
        <w:tc>
          <w:tcPr>
            <w:tcW w:w="3686" w:type="dxa"/>
          </w:tcPr>
          <w:p w14:paraId="60B9A1A3" w14:textId="77777777" w:rsidR="00403AAD" w:rsidRPr="00286216" w:rsidRDefault="00403AAD" w:rsidP="00403AAD">
            <w:pPr>
              <w:pStyle w:val="StyleProp"/>
              <w:rPr>
                <w:color w:val="000000" w:themeColor="text1"/>
                <w:szCs w:val="18"/>
              </w:rPr>
            </w:pPr>
          </w:p>
        </w:tc>
        <w:tc>
          <w:tcPr>
            <w:tcW w:w="1987" w:type="dxa"/>
          </w:tcPr>
          <w:p w14:paraId="4C7AD3A3" w14:textId="77777777" w:rsidR="00403AAD" w:rsidRPr="00286216" w:rsidRDefault="00403AAD" w:rsidP="00403AAD">
            <w:pPr>
              <w:pStyle w:val="StyleWisnow"/>
              <w:rPr>
                <w:color w:val="000000" w:themeColor="text1"/>
              </w:rPr>
            </w:pPr>
          </w:p>
        </w:tc>
        <w:tc>
          <w:tcPr>
            <w:tcW w:w="4818" w:type="dxa"/>
          </w:tcPr>
          <w:p w14:paraId="1F1603DC" w14:textId="4943AD54" w:rsidR="00403AAD" w:rsidRPr="00286216" w:rsidRDefault="00403AAD" w:rsidP="00403AAD">
            <w:pPr>
              <w:pStyle w:val="StyleZakonu"/>
              <w:rPr>
                <w:color w:val="000000" w:themeColor="text1"/>
              </w:rPr>
            </w:pPr>
            <w:r w:rsidRPr="00286216">
              <w:rPr>
                <w:color w:val="000000" w:themeColor="text1"/>
              </w:rPr>
              <w:t>3) реєстрації проспекту цінних паперів;</w:t>
            </w:r>
          </w:p>
        </w:tc>
      </w:tr>
      <w:tr w:rsidR="00403AAD" w:rsidRPr="00286216" w14:paraId="4307770C" w14:textId="77777777" w:rsidTr="00091AA5">
        <w:tc>
          <w:tcPr>
            <w:tcW w:w="576" w:type="dxa"/>
          </w:tcPr>
          <w:p w14:paraId="2B492A0D" w14:textId="77777777" w:rsidR="00403AAD" w:rsidRPr="00286216" w:rsidRDefault="00403AAD" w:rsidP="00403AAD">
            <w:pPr>
              <w:pStyle w:val="StyleWisnow"/>
              <w:rPr>
                <w:color w:val="000000" w:themeColor="text1"/>
              </w:rPr>
            </w:pPr>
            <w:bookmarkStart w:id="375" w:name="n685" w:colFirst="0" w:colLast="0"/>
            <w:bookmarkEnd w:id="374"/>
            <w:r w:rsidRPr="00286216">
              <w:rPr>
                <w:color w:val="000000" w:themeColor="text1"/>
              </w:rPr>
              <w:t>685.</w:t>
            </w:r>
          </w:p>
        </w:tc>
        <w:tc>
          <w:tcPr>
            <w:tcW w:w="4818" w:type="dxa"/>
          </w:tcPr>
          <w:p w14:paraId="30DEFCE1" w14:textId="77777777" w:rsidR="00403AAD" w:rsidRPr="00286216" w:rsidRDefault="00403AAD" w:rsidP="00403AAD">
            <w:pPr>
              <w:pStyle w:val="StyleZakonu"/>
              <w:rPr>
                <w:color w:val="000000" w:themeColor="text1"/>
              </w:rPr>
            </w:pPr>
            <w:r w:rsidRPr="00286216">
              <w:rPr>
                <w:color w:val="000000" w:themeColor="text1"/>
              </w:rPr>
              <w:t>4) відчуження цінних паперів першим власникам протягом строку, передбаченого проспектом цінних паперів;</w:t>
            </w:r>
          </w:p>
        </w:tc>
        <w:tc>
          <w:tcPr>
            <w:tcW w:w="3686" w:type="dxa"/>
          </w:tcPr>
          <w:p w14:paraId="75981A81" w14:textId="77777777" w:rsidR="00403AAD" w:rsidRPr="00286216" w:rsidRDefault="00403AAD" w:rsidP="00403AAD">
            <w:pPr>
              <w:pStyle w:val="StyleProp"/>
              <w:rPr>
                <w:color w:val="000000" w:themeColor="text1"/>
                <w:szCs w:val="18"/>
              </w:rPr>
            </w:pPr>
          </w:p>
        </w:tc>
        <w:tc>
          <w:tcPr>
            <w:tcW w:w="1987" w:type="dxa"/>
          </w:tcPr>
          <w:p w14:paraId="673DADBD" w14:textId="77777777" w:rsidR="00403AAD" w:rsidRPr="00286216" w:rsidRDefault="00403AAD" w:rsidP="00403AAD">
            <w:pPr>
              <w:pStyle w:val="StyleWisnow"/>
              <w:rPr>
                <w:color w:val="000000" w:themeColor="text1"/>
              </w:rPr>
            </w:pPr>
          </w:p>
        </w:tc>
        <w:tc>
          <w:tcPr>
            <w:tcW w:w="4818" w:type="dxa"/>
          </w:tcPr>
          <w:p w14:paraId="443F14A2" w14:textId="47C31187" w:rsidR="00403AAD" w:rsidRPr="00286216" w:rsidRDefault="00403AAD" w:rsidP="00403AAD">
            <w:pPr>
              <w:pStyle w:val="StyleZakonu"/>
              <w:rPr>
                <w:color w:val="000000" w:themeColor="text1"/>
              </w:rPr>
            </w:pPr>
            <w:r w:rsidRPr="00286216">
              <w:rPr>
                <w:color w:val="000000" w:themeColor="text1"/>
              </w:rPr>
              <w:t>4) відчуження цінних паперів першим власникам протягом строку, передбаченого проспектом цінних паперів;</w:t>
            </w:r>
          </w:p>
        </w:tc>
      </w:tr>
      <w:tr w:rsidR="00403AAD" w:rsidRPr="00286216" w14:paraId="602C935F" w14:textId="77777777" w:rsidTr="00091AA5">
        <w:tc>
          <w:tcPr>
            <w:tcW w:w="576" w:type="dxa"/>
          </w:tcPr>
          <w:p w14:paraId="106EEC4A" w14:textId="77777777" w:rsidR="00403AAD" w:rsidRPr="00286216" w:rsidRDefault="00403AAD" w:rsidP="00403AAD">
            <w:pPr>
              <w:pStyle w:val="StyleWisnow"/>
              <w:rPr>
                <w:color w:val="000000" w:themeColor="text1"/>
              </w:rPr>
            </w:pPr>
            <w:bookmarkStart w:id="376" w:name="n686" w:colFirst="0" w:colLast="0"/>
            <w:bookmarkEnd w:id="375"/>
            <w:r w:rsidRPr="00286216">
              <w:rPr>
                <w:color w:val="000000" w:themeColor="text1"/>
              </w:rPr>
              <w:t>686.</w:t>
            </w:r>
          </w:p>
        </w:tc>
        <w:tc>
          <w:tcPr>
            <w:tcW w:w="4818" w:type="dxa"/>
          </w:tcPr>
          <w:p w14:paraId="0A6BA010" w14:textId="77777777" w:rsidR="00403AAD" w:rsidRPr="00286216" w:rsidRDefault="00403AAD" w:rsidP="00403AAD">
            <w:pPr>
              <w:pStyle w:val="StyleZakonu"/>
              <w:rPr>
                <w:color w:val="000000" w:themeColor="text1"/>
              </w:rPr>
            </w:pPr>
            <w:r w:rsidRPr="00286216">
              <w:rPr>
                <w:color w:val="000000" w:themeColor="text1"/>
              </w:rPr>
              <w:t>5) придбання інвестиційною фірмою цінних паперів, що не були придбані першими власниками відповідно до пункту 4 цієї частини.</w:t>
            </w:r>
          </w:p>
        </w:tc>
        <w:tc>
          <w:tcPr>
            <w:tcW w:w="3686" w:type="dxa"/>
          </w:tcPr>
          <w:p w14:paraId="5DE83CBC" w14:textId="77777777" w:rsidR="00403AAD" w:rsidRPr="00286216" w:rsidRDefault="00403AAD" w:rsidP="00403AAD">
            <w:pPr>
              <w:pStyle w:val="StyleProp"/>
              <w:rPr>
                <w:color w:val="000000" w:themeColor="text1"/>
                <w:szCs w:val="18"/>
              </w:rPr>
            </w:pPr>
          </w:p>
        </w:tc>
        <w:tc>
          <w:tcPr>
            <w:tcW w:w="1987" w:type="dxa"/>
          </w:tcPr>
          <w:p w14:paraId="316ED79B" w14:textId="77777777" w:rsidR="00403AAD" w:rsidRPr="00286216" w:rsidRDefault="00403AAD" w:rsidP="00403AAD">
            <w:pPr>
              <w:pStyle w:val="StyleWisnow"/>
              <w:rPr>
                <w:color w:val="000000" w:themeColor="text1"/>
              </w:rPr>
            </w:pPr>
          </w:p>
        </w:tc>
        <w:tc>
          <w:tcPr>
            <w:tcW w:w="4818" w:type="dxa"/>
          </w:tcPr>
          <w:p w14:paraId="045230F3" w14:textId="68761D11" w:rsidR="00403AAD" w:rsidRPr="00286216" w:rsidRDefault="00403AAD" w:rsidP="00403AAD">
            <w:pPr>
              <w:pStyle w:val="StyleZakonu"/>
              <w:rPr>
                <w:color w:val="000000" w:themeColor="text1"/>
              </w:rPr>
            </w:pPr>
            <w:r w:rsidRPr="00286216">
              <w:rPr>
                <w:color w:val="000000" w:themeColor="text1"/>
              </w:rPr>
              <w:t>5) придбання інвестиційною фірмою цінних паперів, що не були придбані першими власниками відповідно до пункту 4 цієї частини.</w:t>
            </w:r>
          </w:p>
        </w:tc>
      </w:tr>
      <w:tr w:rsidR="00403AAD" w:rsidRPr="00286216" w14:paraId="43B2FBAD" w14:textId="77777777" w:rsidTr="00091AA5">
        <w:tc>
          <w:tcPr>
            <w:tcW w:w="576" w:type="dxa"/>
          </w:tcPr>
          <w:p w14:paraId="291E8D16" w14:textId="77777777" w:rsidR="00403AAD" w:rsidRPr="00286216" w:rsidRDefault="00403AAD" w:rsidP="00403AAD">
            <w:pPr>
              <w:pStyle w:val="StyleWisnow"/>
              <w:rPr>
                <w:color w:val="000000" w:themeColor="text1"/>
              </w:rPr>
            </w:pPr>
            <w:bookmarkStart w:id="377" w:name="n687" w:colFirst="0" w:colLast="0"/>
            <w:bookmarkEnd w:id="376"/>
            <w:r w:rsidRPr="00286216">
              <w:rPr>
                <w:color w:val="000000" w:themeColor="text1"/>
              </w:rPr>
              <w:t>687.</w:t>
            </w:r>
          </w:p>
        </w:tc>
        <w:tc>
          <w:tcPr>
            <w:tcW w:w="4818" w:type="dxa"/>
          </w:tcPr>
          <w:p w14:paraId="14175C36" w14:textId="77777777" w:rsidR="00403AAD" w:rsidRPr="00286216" w:rsidRDefault="00403AAD" w:rsidP="00403AAD">
            <w:pPr>
              <w:pStyle w:val="StyleZakonu"/>
              <w:rPr>
                <w:color w:val="000000" w:themeColor="text1"/>
              </w:rPr>
            </w:pPr>
            <w:r w:rsidRPr="00286216">
              <w:rPr>
                <w:color w:val="000000" w:themeColor="text1"/>
              </w:rPr>
              <w:t>12. Діяльність з розміщення з наданням гарантії - діяльність, яка провадиться інвестиційною фірмою від свого імені відповідно до умов договору про організацію розміщення з гарантією.</w:t>
            </w:r>
          </w:p>
        </w:tc>
        <w:tc>
          <w:tcPr>
            <w:tcW w:w="3686" w:type="dxa"/>
          </w:tcPr>
          <w:p w14:paraId="5F394793" w14:textId="77777777" w:rsidR="00403AAD" w:rsidRPr="00286216" w:rsidRDefault="00403AAD" w:rsidP="00403AAD">
            <w:pPr>
              <w:pStyle w:val="StyleProp"/>
              <w:rPr>
                <w:color w:val="000000" w:themeColor="text1"/>
                <w:szCs w:val="18"/>
              </w:rPr>
            </w:pPr>
          </w:p>
        </w:tc>
        <w:tc>
          <w:tcPr>
            <w:tcW w:w="1987" w:type="dxa"/>
          </w:tcPr>
          <w:p w14:paraId="337BC8F1" w14:textId="77777777" w:rsidR="00403AAD" w:rsidRPr="00286216" w:rsidRDefault="00403AAD" w:rsidP="00403AAD">
            <w:pPr>
              <w:pStyle w:val="StyleWisnow"/>
              <w:rPr>
                <w:color w:val="000000" w:themeColor="text1"/>
              </w:rPr>
            </w:pPr>
          </w:p>
        </w:tc>
        <w:tc>
          <w:tcPr>
            <w:tcW w:w="4818" w:type="dxa"/>
          </w:tcPr>
          <w:p w14:paraId="2ED886AA" w14:textId="16F19B78" w:rsidR="00403AAD" w:rsidRPr="00286216" w:rsidRDefault="00403AAD" w:rsidP="00403AAD">
            <w:pPr>
              <w:pStyle w:val="StyleZakonu"/>
              <w:rPr>
                <w:color w:val="000000" w:themeColor="text1"/>
              </w:rPr>
            </w:pPr>
            <w:r w:rsidRPr="00286216">
              <w:rPr>
                <w:color w:val="000000" w:themeColor="text1"/>
              </w:rPr>
              <w:t>12. Діяльність з розміщення з наданням гарантії - це діяльність, яка провадиться інвестиційною фірмою від свого імені відповідно до умов договору про організацію розміщення з гарантією.</w:t>
            </w:r>
          </w:p>
        </w:tc>
      </w:tr>
      <w:tr w:rsidR="00403AAD" w:rsidRPr="00286216" w14:paraId="7EB033FB" w14:textId="77777777" w:rsidTr="00091AA5">
        <w:tc>
          <w:tcPr>
            <w:tcW w:w="576" w:type="dxa"/>
          </w:tcPr>
          <w:p w14:paraId="446E0678" w14:textId="77777777" w:rsidR="00403AAD" w:rsidRPr="00286216" w:rsidRDefault="00403AAD" w:rsidP="00403AAD">
            <w:pPr>
              <w:pStyle w:val="StyleWisnow"/>
              <w:rPr>
                <w:color w:val="000000" w:themeColor="text1"/>
              </w:rPr>
            </w:pPr>
            <w:bookmarkStart w:id="378" w:name="n688" w:colFirst="0" w:colLast="0"/>
            <w:bookmarkEnd w:id="377"/>
            <w:r w:rsidRPr="00286216">
              <w:rPr>
                <w:color w:val="000000" w:themeColor="text1"/>
              </w:rPr>
              <w:t>688.</w:t>
            </w:r>
          </w:p>
        </w:tc>
        <w:tc>
          <w:tcPr>
            <w:tcW w:w="4818" w:type="dxa"/>
          </w:tcPr>
          <w:p w14:paraId="4BFB15A4" w14:textId="77777777" w:rsidR="00403AAD" w:rsidRPr="00286216" w:rsidRDefault="00403AAD" w:rsidP="00403AAD">
            <w:pPr>
              <w:pStyle w:val="StyleZakonu"/>
              <w:rPr>
                <w:color w:val="000000" w:themeColor="text1"/>
              </w:rPr>
            </w:pPr>
            <w:r w:rsidRPr="00286216">
              <w:rPr>
                <w:color w:val="000000" w:themeColor="text1"/>
              </w:rPr>
              <w:t xml:space="preserve">За договором про організацію розміщення з гарантією інвестиційна фірма зобов’язується на </w:t>
            </w:r>
            <w:r w:rsidRPr="00286216">
              <w:rPr>
                <w:color w:val="000000" w:themeColor="text1"/>
              </w:rPr>
              <w:lastRenderedPageBreak/>
              <w:t>умовах та в строки, визначені проспектом цінних паперів, від свого імені і за власний рахунок здійснити купівлю усіх цінних паперів емітента або оферента, що пропонується відчужити.</w:t>
            </w:r>
          </w:p>
        </w:tc>
        <w:tc>
          <w:tcPr>
            <w:tcW w:w="3686" w:type="dxa"/>
          </w:tcPr>
          <w:p w14:paraId="7A7A0B91" w14:textId="77777777" w:rsidR="00403AAD" w:rsidRPr="00286216" w:rsidRDefault="00403AAD" w:rsidP="00403AAD">
            <w:pPr>
              <w:pStyle w:val="StyleProp"/>
              <w:rPr>
                <w:color w:val="000000" w:themeColor="text1"/>
                <w:szCs w:val="18"/>
              </w:rPr>
            </w:pPr>
          </w:p>
        </w:tc>
        <w:tc>
          <w:tcPr>
            <w:tcW w:w="1987" w:type="dxa"/>
          </w:tcPr>
          <w:p w14:paraId="371AB575" w14:textId="77777777" w:rsidR="00403AAD" w:rsidRPr="00286216" w:rsidRDefault="00403AAD" w:rsidP="00403AAD">
            <w:pPr>
              <w:pStyle w:val="StyleWisnow"/>
              <w:rPr>
                <w:color w:val="000000" w:themeColor="text1"/>
              </w:rPr>
            </w:pPr>
          </w:p>
        </w:tc>
        <w:tc>
          <w:tcPr>
            <w:tcW w:w="4818" w:type="dxa"/>
          </w:tcPr>
          <w:p w14:paraId="16B0260B" w14:textId="0C75FD06" w:rsidR="00403AAD" w:rsidRPr="00286216" w:rsidRDefault="00403AAD" w:rsidP="00403AAD">
            <w:pPr>
              <w:pStyle w:val="StyleZakonu"/>
              <w:rPr>
                <w:color w:val="000000" w:themeColor="text1"/>
              </w:rPr>
            </w:pPr>
            <w:r w:rsidRPr="00286216">
              <w:rPr>
                <w:color w:val="000000" w:themeColor="text1"/>
              </w:rPr>
              <w:t xml:space="preserve">За договором про організацію розміщення з гарантією інвестиційна фірма зобов’язується на </w:t>
            </w:r>
            <w:r w:rsidRPr="00286216">
              <w:rPr>
                <w:color w:val="000000" w:themeColor="text1"/>
              </w:rPr>
              <w:lastRenderedPageBreak/>
              <w:t>умовах та в строки, визначені проспектом цінних паперів, від свого імені і за власний рахунок здійснити купівлю всіх цінних паперів емітента або оферента, що пропонується відчужити.</w:t>
            </w:r>
          </w:p>
        </w:tc>
      </w:tr>
      <w:tr w:rsidR="00403AAD" w:rsidRPr="00286216" w14:paraId="6A206439" w14:textId="77777777" w:rsidTr="00091AA5">
        <w:tc>
          <w:tcPr>
            <w:tcW w:w="576" w:type="dxa"/>
          </w:tcPr>
          <w:p w14:paraId="48C72908" w14:textId="77777777" w:rsidR="00403AAD" w:rsidRPr="00286216" w:rsidRDefault="00403AAD" w:rsidP="00403AAD">
            <w:pPr>
              <w:pStyle w:val="StyleWisnow"/>
              <w:rPr>
                <w:color w:val="000000" w:themeColor="text1"/>
              </w:rPr>
            </w:pPr>
            <w:bookmarkStart w:id="379" w:name="n689" w:colFirst="0" w:colLast="0"/>
            <w:bookmarkEnd w:id="378"/>
            <w:r w:rsidRPr="00286216">
              <w:rPr>
                <w:color w:val="000000" w:themeColor="text1"/>
              </w:rPr>
              <w:lastRenderedPageBreak/>
              <w:t>689.</w:t>
            </w:r>
          </w:p>
        </w:tc>
        <w:tc>
          <w:tcPr>
            <w:tcW w:w="4818" w:type="dxa"/>
          </w:tcPr>
          <w:p w14:paraId="1B7DF3B2" w14:textId="77777777" w:rsidR="00403AAD" w:rsidRPr="00286216" w:rsidRDefault="00403AAD" w:rsidP="00403AAD">
            <w:pPr>
              <w:pStyle w:val="StyleZakonu"/>
              <w:rPr>
                <w:color w:val="000000" w:themeColor="text1"/>
              </w:rPr>
            </w:pPr>
            <w:r w:rsidRPr="00286216">
              <w:rPr>
                <w:color w:val="000000" w:themeColor="text1"/>
              </w:rPr>
              <w:t>Договір про організацію розміщення з гарантією може передбачати вчинення інвестиційною фірмою однієї, або всіх дій, передбачених пунктами 1-3 частини одинадцятої цієї статті.</w:t>
            </w:r>
          </w:p>
        </w:tc>
        <w:tc>
          <w:tcPr>
            <w:tcW w:w="3686" w:type="dxa"/>
          </w:tcPr>
          <w:p w14:paraId="49FABAB2" w14:textId="77777777" w:rsidR="00403AAD" w:rsidRPr="00286216" w:rsidRDefault="00403AAD" w:rsidP="00403AAD">
            <w:pPr>
              <w:pStyle w:val="StyleProp"/>
              <w:rPr>
                <w:color w:val="000000" w:themeColor="text1"/>
                <w:szCs w:val="18"/>
              </w:rPr>
            </w:pPr>
          </w:p>
        </w:tc>
        <w:tc>
          <w:tcPr>
            <w:tcW w:w="1987" w:type="dxa"/>
          </w:tcPr>
          <w:p w14:paraId="32D91FFF" w14:textId="77777777" w:rsidR="00403AAD" w:rsidRPr="00286216" w:rsidRDefault="00403AAD" w:rsidP="00403AAD">
            <w:pPr>
              <w:pStyle w:val="StyleWisnow"/>
              <w:rPr>
                <w:color w:val="000000" w:themeColor="text1"/>
              </w:rPr>
            </w:pPr>
          </w:p>
        </w:tc>
        <w:tc>
          <w:tcPr>
            <w:tcW w:w="4818" w:type="dxa"/>
          </w:tcPr>
          <w:p w14:paraId="4EAD519A" w14:textId="1B6736A3" w:rsidR="00403AAD" w:rsidRPr="00286216" w:rsidRDefault="00403AAD" w:rsidP="00403AAD">
            <w:pPr>
              <w:pStyle w:val="StyleZakonu"/>
              <w:rPr>
                <w:color w:val="000000" w:themeColor="text1"/>
              </w:rPr>
            </w:pPr>
            <w:r w:rsidRPr="00286216">
              <w:rPr>
                <w:color w:val="000000" w:themeColor="text1"/>
              </w:rPr>
              <w:t>Договір про організацію розміщення з гарантією може передбачати вчинення інвестиційною фірмою однієї або всіх дій, передбачених пунктами 1-3 частини одинадцятої цієї статті.</w:t>
            </w:r>
          </w:p>
        </w:tc>
      </w:tr>
      <w:tr w:rsidR="00403AAD" w:rsidRPr="00286216" w14:paraId="2EF5836E" w14:textId="77777777" w:rsidTr="00091AA5">
        <w:tc>
          <w:tcPr>
            <w:tcW w:w="576" w:type="dxa"/>
          </w:tcPr>
          <w:p w14:paraId="77B1D265" w14:textId="77777777" w:rsidR="00403AAD" w:rsidRPr="00286216" w:rsidRDefault="00403AAD" w:rsidP="00403AAD">
            <w:pPr>
              <w:pStyle w:val="StyleWisnow"/>
              <w:rPr>
                <w:color w:val="000000" w:themeColor="text1"/>
              </w:rPr>
            </w:pPr>
            <w:bookmarkStart w:id="380" w:name="n690" w:colFirst="0" w:colLast="0"/>
            <w:bookmarkEnd w:id="379"/>
            <w:r w:rsidRPr="00286216">
              <w:rPr>
                <w:color w:val="000000" w:themeColor="text1"/>
              </w:rPr>
              <w:t>690.</w:t>
            </w:r>
          </w:p>
        </w:tc>
        <w:tc>
          <w:tcPr>
            <w:tcW w:w="4818" w:type="dxa"/>
          </w:tcPr>
          <w:p w14:paraId="7BE157E9" w14:textId="77777777" w:rsidR="00403AAD" w:rsidRPr="00286216" w:rsidRDefault="00403AAD" w:rsidP="00403AAD">
            <w:pPr>
              <w:pStyle w:val="StyleZakonu"/>
              <w:rPr>
                <w:color w:val="000000" w:themeColor="text1"/>
              </w:rPr>
            </w:pPr>
            <w:r w:rsidRPr="00286216">
              <w:rPr>
                <w:color w:val="000000" w:themeColor="text1"/>
              </w:rPr>
              <w:t>13. Діяльність з розміщення без надання гарантії - діяльність, яка провадиться інвестиційною фірмою від імені емітента або оферента відповідно до умов договору про організацію розміщення.</w:t>
            </w:r>
          </w:p>
        </w:tc>
        <w:tc>
          <w:tcPr>
            <w:tcW w:w="3686" w:type="dxa"/>
          </w:tcPr>
          <w:p w14:paraId="0EF68327" w14:textId="77777777" w:rsidR="00403AAD" w:rsidRPr="00286216" w:rsidRDefault="00403AAD" w:rsidP="00403AAD">
            <w:pPr>
              <w:pStyle w:val="StyleProp"/>
              <w:rPr>
                <w:color w:val="000000" w:themeColor="text1"/>
                <w:szCs w:val="18"/>
              </w:rPr>
            </w:pPr>
          </w:p>
        </w:tc>
        <w:tc>
          <w:tcPr>
            <w:tcW w:w="1987" w:type="dxa"/>
          </w:tcPr>
          <w:p w14:paraId="22122C3D" w14:textId="77777777" w:rsidR="00403AAD" w:rsidRPr="00286216" w:rsidRDefault="00403AAD" w:rsidP="00403AAD">
            <w:pPr>
              <w:pStyle w:val="StyleWisnow"/>
              <w:rPr>
                <w:color w:val="000000" w:themeColor="text1"/>
              </w:rPr>
            </w:pPr>
          </w:p>
        </w:tc>
        <w:tc>
          <w:tcPr>
            <w:tcW w:w="4818" w:type="dxa"/>
          </w:tcPr>
          <w:p w14:paraId="2E37D510" w14:textId="7CD80C1F" w:rsidR="00403AAD" w:rsidRPr="00286216" w:rsidRDefault="00403AAD" w:rsidP="00403AAD">
            <w:pPr>
              <w:pStyle w:val="StyleZakonu"/>
              <w:rPr>
                <w:color w:val="000000" w:themeColor="text1"/>
              </w:rPr>
            </w:pPr>
            <w:r w:rsidRPr="00286216">
              <w:rPr>
                <w:color w:val="000000" w:themeColor="text1"/>
              </w:rPr>
              <w:t>13. Діяльність з розміщення без надання гарантії - це діяльність, яка провадиться інвестиційною фірмою від імені емітента або оферента відповідно до умов договору про організацію розміщення.</w:t>
            </w:r>
          </w:p>
        </w:tc>
      </w:tr>
      <w:tr w:rsidR="00403AAD" w:rsidRPr="00286216" w14:paraId="5D7DAC50" w14:textId="77777777" w:rsidTr="00091AA5">
        <w:tc>
          <w:tcPr>
            <w:tcW w:w="576" w:type="dxa"/>
          </w:tcPr>
          <w:p w14:paraId="1BBFEAC8" w14:textId="77777777" w:rsidR="00403AAD" w:rsidRPr="00286216" w:rsidRDefault="00403AAD" w:rsidP="00403AAD">
            <w:pPr>
              <w:pStyle w:val="StyleWisnow"/>
              <w:rPr>
                <w:color w:val="000000" w:themeColor="text1"/>
              </w:rPr>
            </w:pPr>
            <w:bookmarkStart w:id="381" w:name="n691" w:colFirst="0" w:colLast="0"/>
            <w:bookmarkEnd w:id="380"/>
            <w:r w:rsidRPr="00286216">
              <w:rPr>
                <w:color w:val="000000" w:themeColor="text1"/>
              </w:rPr>
              <w:t>691.</w:t>
            </w:r>
          </w:p>
        </w:tc>
        <w:tc>
          <w:tcPr>
            <w:tcW w:w="4818" w:type="dxa"/>
          </w:tcPr>
          <w:p w14:paraId="2C9EA9A3" w14:textId="77777777" w:rsidR="00403AAD" w:rsidRPr="00286216" w:rsidRDefault="00403AAD" w:rsidP="00403AAD">
            <w:pPr>
              <w:pStyle w:val="StyleZakonu"/>
              <w:rPr>
                <w:color w:val="000000" w:themeColor="text1"/>
              </w:rPr>
            </w:pPr>
            <w:r w:rsidRPr="00286216">
              <w:rPr>
                <w:color w:val="000000" w:themeColor="text1"/>
              </w:rPr>
              <w:t>За договором про організацію розміщення інвестиційна фірма зобов’язується на умовах та в строки, визначені проспектом цінних паперів, діючи від імені емітента або оферента, організувати розміщення заздалегідь обумовленого обсягу цінних паперів емітента або оферента.</w:t>
            </w:r>
          </w:p>
        </w:tc>
        <w:tc>
          <w:tcPr>
            <w:tcW w:w="3686" w:type="dxa"/>
          </w:tcPr>
          <w:p w14:paraId="5DDEA7C8" w14:textId="77777777" w:rsidR="00403AAD" w:rsidRPr="00286216" w:rsidRDefault="00403AAD" w:rsidP="00403AAD">
            <w:pPr>
              <w:pStyle w:val="StyleProp"/>
              <w:rPr>
                <w:color w:val="000000" w:themeColor="text1"/>
                <w:szCs w:val="18"/>
              </w:rPr>
            </w:pPr>
          </w:p>
        </w:tc>
        <w:tc>
          <w:tcPr>
            <w:tcW w:w="1987" w:type="dxa"/>
          </w:tcPr>
          <w:p w14:paraId="41D78E21" w14:textId="77777777" w:rsidR="00403AAD" w:rsidRPr="00286216" w:rsidRDefault="00403AAD" w:rsidP="00403AAD">
            <w:pPr>
              <w:pStyle w:val="StyleWisnow"/>
              <w:rPr>
                <w:color w:val="000000" w:themeColor="text1"/>
              </w:rPr>
            </w:pPr>
          </w:p>
        </w:tc>
        <w:tc>
          <w:tcPr>
            <w:tcW w:w="4818" w:type="dxa"/>
          </w:tcPr>
          <w:p w14:paraId="0574661A" w14:textId="0A74791E" w:rsidR="00403AAD" w:rsidRPr="00286216" w:rsidRDefault="00403AAD" w:rsidP="00403AAD">
            <w:pPr>
              <w:pStyle w:val="StyleZakonu"/>
              <w:rPr>
                <w:color w:val="000000" w:themeColor="text1"/>
              </w:rPr>
            </w:pPr>
            <w:r w:rsidRPr="00286216">
              <w:rPr>
                <w:color w:val="000000" w:themeColor="text1"/>
              </w:rPr>
              <w:t>За договором про організацію розміщення інвестиційна фірма зобов’язується на умовах та в строки, визначені проспектом цінних паперів, діючи від імені емітента або оферента, організувати розміщення заздалегідь обумовленого обсягу цінних паперів емітента або оферента.</w:t>
            </w:r>
          </w:p>
        </w:tc>
      </w:tr>
      <w:tr w:rsidR="00403AAD" w:rsidRPr="00286216" w14:paraId="4B2A206A" w14:textId="77777777" w:rsidTr="00091AA5">
        <w:tc>
          <w:tcPr>
            <w:tcW w:w="576" w:type="dxa"/>
          </w:tcPr>
          <w:p w14:paraId="39487418" w14:textId="77777777" w:rsidR="00403AAD" w:rsidRPr="00286216" w:rsidRDefault="00403AAD" w:rsidP="00403AAD">
            <w:pPr>
              <w:pStyle w:val="StyleWisnow"/>
              <w:rPr>
                <w:color w:val="000000" w:themeColor="text1"/>
              </w:rPr>
            </w:pPr>
            <w:bookmarkStart w:id="382" w:name="n692" w:colFirst="0" w:colLast="0"/>
            <w:bookmarkEnd w:id="381"/>
            <w:r w:rsidRPr="00286216">
              <w:rPr>
                <w:color w:val="000000" w:themeColor="text1"/>
              </w:rPr>
              <w:t>692.</w:t>
            </w:r>
          </w:p>
        </w:tc>
        <w:tc>
          <w:tcPr>
            <w:tcW w:w="4818" w:type="dxa"/>
          </w:tcPr>
          <w:p w14:paraId="2B9AA04D" w14:textId="77777777" w:rsidR="00403AAD" w:rsidRPr="00286216" w:rsidRDefault="00403AAD" w:rsidP="00403AAD">
            <w:pPr>
              <w:pStyle w:val="StyleZakonu"/>
              <w:rPr>
                <w:color w:val="000000" w:themeColor="text1"/>
              </w:rPr>
            </w:pPr>
            <w:r w:rsidRPr="00286216">
              <w:rPr>
                <w:color w:val="000000" w:themeColor="text1"/>
              </w:rPr>
              <w:t>Договір про організацію розміщення може передбачати вчинення інвестиційною фірмою однієї, або всіх дій, передбачених пунктами 1-4 частини одинадцятої цієї статті.</w:t>
            </w:r>
          </w:p>
        </w:tc>
        <w:tc>
          <w:tcPr>
            <w:tcW w:w="3686" w:type="dxa"/>
          </w:tcPr>
          <w:p w14:paraId="66046CCF" w14:textId="77777777" w:rsidR="00403AAD" w:rsidRPr="00286216" w:rsidRDefault="00403AAD" w:rsidP="00403AAD">
            <w:pPr>
              <w:pStyle w:val="StyleProp"/>
              <w:rPr>
                <w:color w:val="000000" w:themeColor="text1"/>
                <w:szCs w:val="18"/>
              </w:rPr>
            </w:pPr>
          </w:p>
        </w:tc>
        <w:tc>
          <w:tcPr>
            <w:tcW w:w="1987" w:type="dxa"/>
          </w:tcPr>
          <w:p w14:paraId="52CF1BF0" w14:textId="77777777" w:rsidR="00403AAD" w:rsidRPr="00286216" w:rsidRDefault="00403AAD" w:rsidP="00403AAD">
            <w:pPr>
              <w:pStyle w:val="StyleWisnow"/>
              <w:rPr>
                <w:color w:val="000000" w:themeColor="text1"/>
              </w:rPr>
            </w:pPr>
          </w:p>
        </w:tc>
        <w:tc>
          <w:tcPr>
            <w:tcW w:w="4818" w:type="dxa"/>
          </w:tcPr>
          <w:p w14:paraId="6E6F9EC0" w14:textId="7865F5D8" w:rsidR="00403AAD" w:rsidRPr="00286216" w:rsidRDefault="00403AAD" w:rsidP="00403AAD">
            <w:pPr>
              <w:pStyle w:val="StyleZakonu"/>
              <w:rPr>
                <w:color w:val="000000" w:themeColor="text1"/>
              </w:rPr>
            </w:pPr>
            <w:r w:rsidRPr="00286216">
              <w:rPr>
                <w:color w:val="000000" w:themeColor="text1"/>
              </w:rPr>
              <w:t>Договір про організацію розміщення може передбачати вчинення інвестиційною фірмою однієї або всіх дій, передбачених пунктами 1-4 частини одинадцятої цієї статті.</w:t>
            </w:r>
          </w:p>
        </w:tc>
      </w:tr>
      <w:tr w:rsidR="00403AAD" w:rsidRPr="00286216" w14:paraId="4A563E32" w14:textId="77777777" w:rsidTr="00091AA5">
        <w:tc>
          <w:tcPr>
            <w:tcW w:w="576" w:type="dxa"/>
          </w:tcPr>
          <w:p w14:paraId="2A2A554E" w14:textId="77777777" w:rsidR="00403AAD" w:rsidRPr="00286216" w:rsidRDefault="00403AAD" w:rsidP="00403AAD">
            <w:pPr>
              <w:pStyle w:val="StyleWisnow"/>
              <w:rPr>
                <w:color w:val="000000" w:themeColor="text1"/>
              </w:rPr>
            </w:pPr>
            <w:bookmarkStart w:id="383" w:name="n693" w:colFirst="0" w:colLast="0"/>
            <w:bookmarkEnd w:id="382"/>
            <w:r w:rsidRPr="00286216">
              <w:rPr>
                <w:color w:val="000000" w:themeColor="text1"/>
              </w:rPr>
              <w:t>693.</w:t>
            </w:r>
          </w:p>
        </w:tc>
        <w:tc>
          <w:tcPr>
            <w:tcW w:w="4818" w:type="dxa"/>
          </w:tcPr>
          <w:p w14:paraId="35176029" w14:textId="77777777" w:rsidR="00403AAD" w:rsidRPr="00286216" w:rsidRDefault="00403AAD" w:rsidP="00403AAD">
            <w:pPr>
              <w:pStyle w:val="StyleZakonu"/>
              <w:rPr>
                <w:color w:val="000000" w:themeColor="text1"/>
              </w:rPr>
            </w:pPr>
            <w:r w:rsidRPr="00286216">
              <w:rPr>
                <w:color w:val="000000" w:themeColor="text1"/>
              </w:rPr>
              <w:t>14. Інвестиційні фірми можуть отримувати на власний рахунок та розпоряджатися коштами та фінансовими інструментами клієнтів відповідно до умов договорів, укладених в процесі надання такими інвестиційними фірмами послуг клієнтам в рамках провадження діяльності з торгівлі фінансовими інструментами.</w:t>
            </w:r>
          </w:p>
        </w:tc>
        <w:tc>
          <w:tcPr>
            <w:tcW w:w="3686" w:type="dxa"/>
          </w:tcPr>
          <w:p w14:paraId="5CD0E207" w14:textId="77777777" w:rsidR="00403AAD" w:rsidRPr="00286216" w:rsidRDefault="00403AAD" w:rsidP="00403AAD">
            <w:pPr>
              <w:pStyle w:val="StyleProp"/>
              <w:rPr>
                <w:color w:val="000000" w:themeColor="text1"/>
                <w:szCs w:val="18"/>
              </w:rPr>
            </w:pPr>
          </w:p>
        </w:tc>
        <w:tc>
          <w:tcPr>
            <w:tcW w:w="1987" w:type="dxa"/>
          </w:tcPr>
          <w:p w14:paraId="547C1E47" w14:textId="77777777" w:rsidR="00403AAD" w:rsidRPr="00286216" w:rsidRDefault="00403AAD" w:rsidP="00403AAD">
            <w:pPr>
              <w:pStyle w:val="StyleWisnow"/>
              <w:rPr>
                <w:color w:val="000000" w:themeColor="text1"/>
              </w:rPr>
            </w:pPr>
          </w:p>
        </w:tc>
        <w:tc>
          <w:tcPr>
            <w:tcW w:w="4818" w:type="dxa"/>
          </w:tcPr>
          <w:p w14:paraId="38A26DAC" w14:textId="4F1F7FAF" w:rsidR="00403AAD" w:rsidRPr="00286216" w:rsidRDefault="00403AAD" w:rsidP="00403AAD">
            <w:pPr>
              <w:pStyle w:val="StyleZakonu"/>
              <w:rPr>
                <w:color w:val="000000" w:themeColor="text1"/>
              </w:rPr>
            </w:pPr>
            <w:r w:rsidRPr="00286216">
              <w:rPr>
                <w:color w:val="000000" w:themeColor="text1"/>
              </w:rPr>
              <w:t>14. Інвестиційні фірми можуть отримувати на власний рахунок та розпоряджатися коштами та фінансовими інструментами клієнтів відповідно до умов договорів, укладених у процесі надання такими інвестиційними фірмами послуг клієнтам у рамках провадження діяльності з торгівлі фінансовими інструментами.</w:t>
            </w:r>
          </w:p>
        </w:tc>
      </w:tr>
      <w:tr w:rsidR="00403AAD" w:rsidRPr="00286216" w14:paraId="2935DB64" w14:textId="77777777" w:rsidTr="00091AA5">
        <w:tc>
          <w:tcPr>
            <w:tcW w:w="576" w:type="dxa"/>
          </w:tcPr>
          <w:p w14:paraId="699CCE6A" w14:textId="77777777" w:rsidR="00403AAD" w:rsidRPr="00286216" w:rsidRDefault="00403AAD" w:rsidP="00403AAD">
            <w:pPr>
              <w:pStyle w:val="StyleWisnow"/>
              <w:rPr>
                <w:color w:val="000000" w:themeColor="text1"/>
              </w:rPr>
            </w:pPr>
            <w:bookmarkStart w:id="384" w:name="n694" w:colFirst="0" w:colLast="0"/>
            <w:bookmarkEnd w:id="383"/>
            <w:r w:rsidRPr="00286216">
              <w:rPr>
                <w:color w:val="000000" w:themeColor="text1"/>
              </w:rPr>
              <w:t>694.</w:t>
            </w:r>
          </w:p>
        </w:tc>
        <w:tc>
          <w:tcPr>
            <w:tcW w:w="4818" w:type="dxa"/>
          </w:tcPr>
          <w:p w14:paraId="3FA7B8EF" w14:textId="77777777" w:rsidR="00403AAD" w:rsidRPr="00286216" w:rsidRDefault="00403AAD" w:rsidP="00403AAD">
            <w:pPr>
              <w:pStyle w:val="StyleZakonu"/>
              <w:rPr>
                <w:color w:val="000000" w:themeColor="text1"/>
              </w:rPr>
            </w:pPr>
            <w:r w:rsidRPr="00286216">
              <w:rPr>
                <w:color w:val="000000" w:themeColor="text1"/>
              </w:rPr>
              <w:t>15. Вимоги до правочинів, що вчиняються інвестиційними фірмами в процесі провадження ними професійної діяльності, встановлюються Національною комісією з цінних паперів та фондового ринку.</w:t>
            </w:r>
          </w:p>
        </w:tc>
        <w:tc>
          <w:tcPr>
            <w:tcW w:w="3686" w:type="dxa"/>
          </w:tcPr>
          <w:p w14:paraId="206E8F67" w14:textId="77777777" w:rsidR="00403AAD" w:rsidRPr="00286216" w:rsidRDefault="00403AAD" w:rsidP="00403AAD">
            <w:pPr>
              <w:pStyle w:val="StyleProp"/>
              <w:rPr>
                <w:color w:val="000000" w:themeColor="text1"/>
                <w:szCs w:val="18"/>
              </w:rPr>
            </w:pPr>
          </w:p>
        </w:tc>
        <w:tc>
          <w:tcPr>
            <w:tcW w:w="1987" w:type="dxa"/>
          </w:tcPr>
          <w:p w14:paraId="4C802F72" w14:textId="77777777" w:rsidR="00403AAD" w:rsidRPr="00286216" w:rsidRDefault="00403AAD" w:rsidP="00403AAD">
            <w:pPr>
              <w:pStyle w:val="StyleWisnow"/>
              <w:rPr>
                <w:color w:val="000000" w:themeColor="text1"/>
              </w:rPr>
            </w:pPr>
          </w:p>
        </w:tc>
        <w:tc>
          <w:tcPr>
            <w:tcW w:w="4818" w:type="dxa"/>
          </w:tcPr>
          <w:p w14:paraId="6CA8F7C3" w14:textId="652E62BB" w:rsidR="00403AAD" w:rsidRPr="00286216" w:rsidRDefault="00403AAD" w:rsidP="00403AAD">
            <w:pPr>
              <w:pStyle w:val="StyleZakonu"/>
              <w:rPr>
                <w:color w:val="000000" w:themeColor="text1"/>
              </w:rPr>
            </w:pPr>
            <w:r w:rsidRPr="00286216">
              <w:rPr>
                <w:color w:val="000000" w:themeColor="text1"/>
              </w:rPr>
              <w:t>15. Вимоги до правочинів, що вчиняються інвестиційними фірмами в процесі провадження ними професійної діяльності, встановлюються Національною комісією з цінних паперів та фондового ринку.</w:t>
            </w:r>
          </w:p>
        </w:tc>
      </w:tr>
      <w:tr w:rsidR="00403AAD" w:rsidRPr="00286216" w14:paraId="6958E91A" w14:textId="77777777" w:rsidTr="00091AA5">
        <w:tc>
          <w:tcPr>
            <w:tcW w:w="576" w:type="dxa"/>
          </w:tcPr>
          <w:p w14:paraId="122E665E" w14:textId="77777777" w:rsidR="00403AAD" w:rsidRPr="00286216" w:rsidRDefault="00403AAD" w:rsidP="00403AAD">
            <w:pPr>
              <w:pStyle w:val="StyleWisnow"/>
              <w:rPr>
                <w:color w:val="000000" w:themeColor="text1"/>
              </w:rPr>
            </w:pPr>
            <w:bookmarkStart w:id="385" w:name="n695" w:colFirst="0" w:colLast="0"/>
            <w:bookmarkEnd w:id="384"/>
            <w:r w:rsidRPr="00286216">
              <w:rPr>
                <w:color w:val="000000" w:themeColor="text1"/>
              </w:rPr>
              <w:t>695.</w:t>
            </w:r>
          </w:p>
        </w:tc>
        <w:tc>
          <w:tcPr>
            <w:tcW w:w="4818" w:type="dxa"/>
          </w:tcPr>
          <w:p w14:paraId="1919F23A" w14:textId="77777777" w:rsidR="00403AAD" w:rsidRPr="00286216" w:rsidRDefault="00403AAD" w:rsidP="00403AAD">
            <w:pPr>
              <w:pStyle w:val="StyleZakonu"/>
              <w:rPr>
                <w:color w:val="000000" w:themeColor="text1"/>
              </w:rPr>
            </w:pPr>
            <w:r w:rsidRPr="00286216">
              <w:rPr>
                <w:color w:val="000000" w:themeColor="text1"/>
              </w:rPr>
              <w:t>16. За умови дотримання всіх умов, передбачених частиною 17 цієї статті, вимоги цього Закону щодо обов’язкового отримання ліцензії на провадження професійної діяльності на ринках капіталу не поширюються на юридичних осіб, які провадять:</w:t>
            </w:r>
          </w:p>
        </w:tc>
        <w:tc>
          <w:tcPr>
            <w:tcW w:w="3686" w:type="dxa"/>
          </w:tcPr>
          <w:p w14:paraId="136E58E4" w14:textId="6D339A4C"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412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B54D0B0" w14:textId="77777777" w:rsidR="00403AAD" w:rsidRPr="00286216" w:rsidRDefault="00403AAD" w:rsidP="00403AAD">
            <w:pPr>
              <w:pStyle w:val="StyleProp"/>
              <w:rPr>
                <w:color w:val="000000" w:themeColor="text1"/>
                <w:szCs w:val="18"/>
              </w:rPr>
            </w:pPr>
            <w:r w:rsidRPr="00286216">
              <w:rPr>
                <w:color w:val="000000" w:themeColor="text1"/>
                <w:szCs w:val="18"/>
              </w:rPr>
              <w:t>У статті 42 нової редакції Закону:</w:t>
            </w:r>
          </w:p>
          <w:p w14:paraId="4FD6A9B5" w14:textId="77777777" w:rsidR="00403AAD" w:rsidRPr="00286216" w:rsidRDefault="00403AAD" w:rsidP="00403AAD">
            <w:pPr>
              <w:pStyle w:val="StyleProp"/>
              <w:rPr>
                <w:color w:val="000000" w:themeColor="text1"/>
                <w:szCs w:val="18"/>
              </w:rPr>
            </w:pPr>
            <w:r w:rsidRPr="00286216">
              <w:rPr>
                <w:color w:val="000000" w:themeColor="text1"/>
                <w:szCs w:val="18"/>
              </w:rPr>
              <w:t xml:space="preserve">абзац перший частини 16 викласти в такій редакції: </w:t>
            </w:r>
          </w:p>
          <w:p w14:paraId="79396050" w14:textId="77777777" w:rsidR="00403AAD" w:rsidRPr="00286216" w:rsidRDefault="00403AAD" w:rsidP="00403AAD">
            <w:pPr>
              <w:pStyle w:val="StyleProp"/>
              <w:rPr>
                <w:color w:val="000000" w:themeColor="text1"/>
                <w:szCs w:val="18"/>
              </w:rPr>
            </w:pPr>
            <w:r w:rsidRPr="00286216">
              <w:rPr>
                <w:color w:val="000000" w:themeColor="text1"/>
                <w:szCs w:val="18"/>
              </w:rPr>
              <w:t>«За умови дотримання всіх умов, зазначених у частині 17 цієї статті, діяльність передбачена цією частиною, не є професійною діяльністю на ринках капіталу:».</w:t>
            </w:r>
          </w:p>
        </w:tc>
        <w:tc>
          <w:tcPr>
            <w:tcW w:w="1987" w:type="dxa"/>
          </w:tcPr>
          <w:p w14:paraId="2930DBEB"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2718DC7" w14:textId="5C2101B7" w:rsidR="00403AAD" w:rsidRPr="00286216" w:rsidRDefault="00403AAD" w:rsidP="00403AAD">
            <w:pPr>
              <w:pStyle w:val="StyleZakonu"/>
              <w:rPr>
                <w:color w:val="000000" w:themeColor="text1"/>
              </w:rPr>
            </w:pPr>
            <w:r w:rsidRPr="00286216">
              <w:rPr>
                <w:color w:val="000000" w:themeColor="text1"/>
              </w:rPr>
              <w:t xml:space="preserve">16. </w:t>
            </w:r>
            <w:r w:rsidRPr="00286216">
              <w:rPr>
                <w:color w:val="000000" w:themeColor="text1"/>
                <w:szCs w:val="18"/>
              </w:rPr>
              <w:t>У разі дотримання всіх умов, зазначених у частині сімнадцятій цієї статті, не є професійною діяльністю на ринках капіталу</w:t>
            </w:r>
            <w:r w:rsidRPr="00286216">
              <w:rPr>
                <w:color w:val="000000" w:themeColor="text1"/>
              </w:rPr>
              <w:t>:</w:t>
            </w:r>
          </w:p>
        </w:tc>
      </w:tr>
      <w:tr w:rsidR="00403AAD" w:rsidRPr="00286216" w14:paraId="4DA2D0C0" w14:textId="77777777" w:rsidTr="00091AA5">
        <w:tc>
          <w:tcPr>
            <w:tcW w:w="576" w:type="dxa"/>
          </w:tcPr>
          <w:p w14:paraId="12F3742C" w14:textId="77777777" w:rsidR="00403AAD" w:rsidRPr="00286216" w:rsidRDefault="00403AAD" w:rsidP="00403AAD">
            <w:pPr>
              <w:pStyle w:val="StyleWisnow"/>
              <w:rPr>
                <w:color w:val="000000" w:themeColor="text1"/>
              </w:rPr>
            </w:pPr>
            <w:bookmarkStart w:id="386" w:name="n696" w:colFirst="0" w:colLast="0"/>
            <w:bookmarkEnd w:id="385"/>
            <w:r w:rsidRPr="00286216">
              <w:rPr>
                <w:color w:val="000000" w:themeColor="text1"/>
              </w:rPr>
              <w:t>696.</w:t>
            </w:r>
          </w:p>
        </w:tc>
        <w:tc>
          <w:tcPr>
            <w:tcW w:w="4818" w:type="dxa"/>
          </w:tcPr>
          <w:p w14:paraId="20BC7AC7" w14:textId="77777777" w:rsidR="00403AAD" w:rsidRPr="00286216" w:rsidRDefault="00403AAD" w:rsidP="00403AAD">
            <w:pPr>
              <w:pStyle w:val="StyleZakonu"/>
              <w:rPr>
                <w:color w:val="000000" w:themeColor="text1"/>
              </w:rPr>
            </w:pPr>
            <w:r w:rsidRPr="00286216">
              <w:rPr>
                <w:color w:val="000000" w:themeColor="text1"/>
              </w:rPr>
              <w:t xml:space="preserve">1) діяльність з укладання товарних деривативних </w:t>
            </w:r>
            <w:r w:rsidRPr="00286216">
              <w:rPr>
                <w:color w:val="000000" w:themeColor="text1"/>
              </w:rPr>
              <w:lastRenderedPageBreak/>
              <w:t>контрактів з власної ініціативи, від свого імені та за власний рахунок;</w:t>
            </w:r>
          </w:p>
        </w:tc>
        <w:tc>
          <w:tcPr>
            <w:tcW w:w="3686" w:type="dxa"/>
          </w:tcPr>
          <w:p w14:paraId="79BEE002" w14:textId="77777777" w:rsidR="00403AAD" w:rsidRPr="00286216" w:rsidRDefault="00403AAD" w:rsidP="00403AAD">
            <w:pPr>
              <w:pStyle w:val="StyleProp"/>
              <w:rPr>
                <w:color w:val="000000" w:themeColor="text1"/>
                <w:szCs w:val="18"/>
              </w:rPr>
            </w:pPr>
          </w:p>
        </w:tc>
        <w:tc>
          <w:tcPr>
            <w:tcW w:w="1987" w:type="dxa"/>
          </w:tcPr>
          <w:p w14:paraId="2AA4A404" w14:textId="77777777" w:rsidR="00403AAD" w:rsidRPr="00286216" w:rsidRDefault="00403AAD" w:rsidP="00403AAD">
            <w:pPr>
              <w:pStyle w:val="StyleWisnow"/>
              <w:rPr>
                <w:color w:val="000000" w:themeColor="text1"/>
              </w:rPr>
            </w:pPr>
          </w:p>
        </w:tc>
        <w:tc>
          <w:tcPr>
            <w:tcW w:w="4818" w:type="dxa"/>
          </w:tcPr>
          <w:p w14:paraId="0934E787" w14:textId="67F8B91C" w:rsidR="00403AAD" w:rsidRPr="00286216" w:rsidRDefault="00403AAD" w:rsidP="00403AAD">
            <w:pPr>
              <w:pStyle w:val="StyleZakonu"/>
              <w:rPr>
                <w:color w:val="000000" w:themeColor="text1"/>
              </w:rPr>
            </w:pPr>
            <w:r w:rsidRPr="00286216">
              <w:rPr>
                <w:color w:val="000000" w:themeColor="text1"/>
              </w:rPr>
              <w:t xml:space="preserve">1) діяльність з укладення товарних деривативних </w:t>
            </w:r>
            <w:r w:rsidRPr="00286216">
              <w:rPr>
                <w:color w:val="000000" w:themeColor="text1"/>
              </w:rPr>
              <w:lastRenderedPageBreak/>
              <w:t>контрактів з власної ініціативи, від свого імені та за власний рахунок;</w:t>
            </w:r>
          </w:p>
        </w:tc>
      </w:tr>
      <w:tr w:rsidR="00403AAD" w:rsidRPr="00286216" w14:paraId="5285FC75" w14:textId="77777777" w:rsidTr="00091AA5">
        <w:tc>
          <w:tcPr>
            <w:tcW w:w="576" w:type="dxa"/>
          </w:tcPr>
          <w:p w14:paraId="7A2F441E" w14:textId="77777777" w:rsidR="00403AAD" w:rsidRPr="00286216" w:rsidRDefault="00403AAD" w:rsidP="00403AAD">
            <w:pPr>
              <w:pStyle w:val="StyleWisnow"/>
              <w:rPr>
                <w:color w:val="000000" w:themeColor="text1"/>
              </w:rPr>
            </w:pPr>
            <w:bookmarkStart w:id="387" w:name="n697" w:colFirst="0" w:colLast="0"/>
            <w:bookmarkEnd w:id="386"/>
            <w:r w:rsidRPr="00286216">
              <w:rPr>
                <w:color w:val="000000" w:themeColor="text1"/>
              </w:rPr>
              <w:lastRenderedPageBreak/>
              <w:t>697.</w:t>
            </w:r>
          </w:p>
        </w:tc>
        <w:tc>
          <w:tcPr>
            <w:tcW w:w="4818" w:type="dxa"/>
          </w:tcPr>
          <w:p w14:paraId="02552219" w14:textId="77777777" w:rsidR="00403AAD" w:rsidRPr="00286216" w:rsidRDefault="00403AAD" w:rsidP="00403AAD">
            <w:pPr>
              <w:pStyle w:val="StyleZakonu"/>
              <w:rPr>
                <w:color w:val="000000" w:themeColor="text1"/>
              </w:rPr>
            </w:pPr>
            <w:r w:rsidRPr="00286216">
              <w:rPr>
                <w:color w:val="000000" w:themeColor="text1"/>
              </w:rPr>
              <w:t>2) діяльність з укладання товарних деривативних контрактів за рахунок та від імені клієнтів або за рахунок клієнтів але від свого імені за умови, що такими клієнтами є особи, які в рамках провадження основної діяльності зазначеними юридичними особами є їх постачальниками та/або споживачами товарів (робіт, послуг), що виробляються (виконуються, надаються) такими юридичними особами.</w:t>
            </w:r>
          </w:p>
        </w:tc>
        <w:tc>
          <w:tcPr>
            <w:tcW w:w="3686" w:type="dxa"/>
          </w:tcPr>
          <w:p w14:paraId="1709BB7A" w14:textId="77777777" w:rsidR="00403AAD" w:rsidRPr="00286216" w:rsidRDefault="00403AAD" w:rsidP="00403AAD">
            <w:pPr>
              <w:pStyle w:val="StyleProp"/>
              <w:rPr>
                <w:color w:val="000000" w:themeColor="text1"/>
                <w:szCs w:val="18"/>
              </w:rPr>
            </w:pPr>
          </w:p>
        </w:tc>
        <w:tc>
          <w:tcPr>
            <w:tcW w:w="1987" w:type="dxa"/>
          </w:tcPr>
          <w:p w14:paraId="6B69F91B" w14:textId="77777777" w:rsidR="00403AAD" w:rsidRPr="00286216" w:rsidRDefault="00403AAD" w:rsidP="00403AAD">
            <w:pPr>
              <w:pStyle w:val="StyleWisnow"/>
              <w:rPr>
                <w:color w:val="000000" w:themeColor="text1"/>
              </w:rPr>
            </w:pPr>
          </w:p>
        </w:tc>
        <w:tc>
          <w:tcPr>
            <w:tcW w:w="4818" w:type="dxa"/>
          </w:tcPr>
          <w:p w14:paraId="5B868415" w14:textId="4748A3AF" w:rsidR="00403AAD" w:rsidRPr="00286216" w:rsidRDefault="00403AAD" w:rsidP="00403AAD">
            <w:pPr>
              <w:pStyle w:val="StyleZakonu"/>
              <w:rPr>
                <w:color w:val="000000" w:themeColor="text1"/>
              </w:rPr>
            </w:pPr>
            <w:r w:rsidRPr="00286216">
              <w:rPr>
                <w:color w:val="000000" w:themeColor="text1"/>
              </w:rPr>
              <w:t>2) діяльність з укладення товарних деривативних контрактів за рахунок та від імені клієнтів або за рахунок клієнтів, але від свого імені за умови, що такими клієнтами є особи, які в рамках провадження основної діяльності зазначеними юридичними особами є їх постачальниками та/або споживачами товарів (робіт, послуг), що виробляються (виконуються, надаються) такими юридичними особами.</w:t>
            </w:r>
          </w:p>
        </w:tc>
      </w:tr>
      <w:tr w:rsidR="00403AAD" w:rsidRPr="00286216" w14:paraId="28A9674D" w14:textId="77777777" w:rsidTr="00091AA5">
        <w:tc>
          <w:tcPr>
            <w:tcW w:w="576" w:type="dxa"/>
          </w:tcPr>
          <w:p w14:paraId="793304BE" w14:textId="77777777" w:rsidR="00403AAD" w:rsidRPr="00286216" w:rsidRDefault="00403AAD" w:rsidP="00403AAD">
            <w:pPr>
              <w:pStyle w:val="StyleWisnow"/>
              <w:rPr>
                <w:color w:val="000000" w:themeColor="text1"/>
              </w:rPr>
            </w:pPr>
            <w:bookmarkStart w:id="388" w:name="n698" w:colFirst="0" w:colLast="0"/>
            <w:bookmarkEnd w:id="387"/>
            <w:r w:rsidRPr="00286216">
              <w:rPr>
                <w:color w:val="000000" w:themeColor="text1"/>
              </w:rPr>
              <w:t>698.</w:t>
            </w:r>
          </w:p>
        </w:tc>
        <w:tc>
          <w:tcPr>
            <w:tcW w:w="4818" w:type="dxa"/>
          </w:tcPr>
          <w:p w14:paraId="3549F0F9" w14:textId="77777777" w:rsidR="00403AAD" w:rsidRPr="00286216" w:rsidRDefault="00403AAD" w:rsidP="00403AAD">
            <w:pPr>
              <w:pStyle w:val="StyleZakonu"/>
              <w:rPr>
                <w:color w:val="000000" w:themeColor="text1"/>
              </w:rPr>
            </w:pPr>
            <w:r w:rsidRPr="00286216">
              <w:rPr>
                <w:color w:val="000000" w:themeColor="text1"/>
              </w:rPr>
              <w:t>17. Діяльність передбачена цією частиною не є професійною діяльністю на ринках капіталу. Зазначена в пунктах 1 – 2 частини 16 цієї статті діяльність може провадитись за наступних умов:</w:t>
            </w:r>
          </w:p>
        </w:tc>
        <w:tc>
          <w:tcPr>
            <w:tcW w:w="3686" w:type="dxa"/>
          </w:tcPr>
          <w:p w14:paraId="70AE5559" w14:textId="4AAE43D0"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413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B0D2FD0" w14:textId="77777777" w:rsidR="00403AAD" w:rsidRPr="00286216" w:rsidRDefault="00403AAD" w:rsidP="00403AAD">
            <w:pPr>
              <w:pStyle w:val="StyleProp"/>
              <w:rPr>
                <w:color w:val="000000" w:themeColor="text1"/>
                <w:szCs w:val="18"/>
              </w:rPr>
            </w:pPr>
            <w:r w:rsidRPr="00286216">
              <w:rPr>
                <w:color w:val="000000" w:themeColor="text1"/>
                <w:szCs w:val="18"/>
              </w:rPr>
              <w:t>У статті 42 нової редакції Закону:</w:t>
            </w:r>
          </w:p>
          <w:p w14:paraId="73F041C2" w14:textId="77777777" w:rsidR="00403AAD" w:rsidRPr="00286216" w:rsidRDefault="00403AAD" w:rsidP="00403AAD">
            <w:pPr>
              <w:pStyle w:val="StyleProp"/>
              <w:rPr>
                <w:color w:val="000000" w:themeColor="text1"/>
                <w:szCs w:val="18"/>
              </w:rPr>
            </w:pPr>
            <w:r w:rsidRPr="00286216">
              <w:rPr>
                <w:color w:val="000000" w:themeColor="text1"/>
                <w:szCs w:val="18"/>
              </w:rPr>
              <w:t>перше речення абзацу першого частини 17 виключити.</w:t>
            </w:r>
          </w:p>
        </w:tc>
        <w:tc>
          <w:tcPr>
            <w:tcW w:w="1987" w:type="dxa"/>
          </w:tcPr>
          <w:p w14:paraId="6317B1C6"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F0BF457" w14:textId="7CF239FC" w:rsidR="00403AAD" w:rsidRPr="00286216" w:rsidRDefault="00403AAD" w:rsidP="00403AAD">
            <w:pPr>
              <w:pStyle w:val="StyleZakonu"/>
              <w:rPr>
                <w:color w:val="000000" w:themeColor="text1"/>
              </w:rPr>
            </w:pPr>
            <w:r w:rsidRPr="00286216">
              <w:rPr>
                <w:color w:val="000000" w:themeColor="text1"/>
              </w:rPr>
              <w:t>17. Зазначена в пунктах 1 і 2 частини шістнадцятої цієї статті діяльність може провадитись за таких умов:</w:t>
            </w:r>
          </w:p>
        </w:tc>
      </w:tr>
      <w:tr w:rsidR="00403AAD" w:rsidRPr="00286216" w14:paraId="325FAFBF" w14:textId="77777777" w:rsidTr="00091AA5">
        <w:tc>
          <w:tcPr>
            <w:tcW w:w="576" w:type="dxa"/>
          </w:tcPr>
          <w:p w14:paraId="05ECC992" w14:textId="77777777" w:rsidR="00403AAD" w:rsidRPr="00286216" w:rsidRDefault="00403AAD" w:rsidP="00403AAD">
            <w:pPr>
              <w:pStyle w:val="StyleWisnow"/>
              <w:rPr>
                <w:color w:val="000000" w:themeColor="text1"/>
              </w:rPr>
            </w:pPr>
            <w:bookmarkStart w:id="389" w:name="n699" w:colFirst="0" w:colLast="0"/>
            <w:bookmarkEnd w:id="388"/>
            <w:r w:rsidRPr="00286216">
              <w:rPr>
                <w:color w:val="000000" w:themeColor="text1"/>
              </w:rPr>
              <w:t>699.</w:t>
            </w:r>
          </w:p>
        </w:tc>
        <w:tc>
          <w:tcPr>
            <w:tcW w:w="4818" w:type="dxa"/>
          </w:tcPr>
          <w:p w14:paraId="67FD9C49" w14:textId="77777777" w:rsidR="00403AAD" w:rsidRPr="00286216" w:rsidRDefault="00403AAD" w:rsidP="00403AAD">
            <w:pPr>
              <w:pStyle w:val="StyleZakonu"/>
              <w:rPr>
                <w:color w:val="000000" w:themeColor="text1"/>
              </w:rPr>
            </w:pPr>
            <w:r w:rsidRPr="00286216">
              <w:rPr>
                <w:color w:val="000000" w:themeColor="text1"/>
              </w:rPr>
              <w:t>1) здійснене протягом фінансового року укладення таких деривативних контрактів (кожного окремого деривативного контракту, а також всієї сукупності таких деривативних контрактів) не є здійсненням такими особами операцій, що становлять їх основну діяльність або основну діяльність групи компаній (материнської компанії та її дочірніх підприємств), до якої належить такі юридичні особи;</w:t>
            </w:r>
          </w:p>
        </w:tc>
        <w:tc>
          <w:tcPr>
            <w:tcW w:w="3686" w:type="dxa"/>
          </w:tcPr>
          <w:p w14:paraId="076189D8" w14:textId="4BFED79F"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414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3F1D778" w14:textId="77777777" w:rsidR="00403AAD" w:rsidRPr="00286216" w:rsidRDefault="00403AAD" w:rsidP="00403AAD">
            <w:pPr>
              <w:pStyle w:val="StyleProp"/>
              <w:rPr>
                <w:color w:val="000000" w:themeColor="text1"/>
                <w:szCs w:val="18"/>
              </w:rPr>
            </w:pPr>
            <w:r w:rsidRPr="00286216">
              <w:rPr>
                <w:color w:val="000000" w:themeColor="text1"/>
              </w:rPr>
              <w:t>В пункті 1 частини 17 статті 42 слова «дочірніх підприємств» замінити словами «дочірніх компаній».</w:t>
            </w:r>
          </w:p>
        </w:tc>
        <w:tc>
          <w:tcPr>
            <w:tcW w:w="1987" w:type="dxa"/>
          </w:tcPr>
          <w:p w14:paraId="2FE3F2AF"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6E1E01D" w14:textId="7857CBF2" w:rsidR="00403AAD" w:rsidRPr="00286216" w:rsidRDefault="00403AAD" w:rsidP="00403AAD">
            <w:pPr>
              <w:pStyle w:val="StyleZakonu"/>
              <w:rPr>
                <w:color w:val="000000" w:themeColor="text1"/>
              </w:rPr>
            </w:pPr>
            <w:r w:rsidRPr="00286216">
              <w:rPr>
                <w:color w:val="000000" w:themeColor="text1"/>
              </w:rPr>
              <w:t>1) здійснене протягом фінансового року укладення таких деривативних контрактів (кожного окремого деривативного контракту, а також всієї сукупності таких деривативних контрактів) не є здійсненням такими особами операцій, що становлять їх основну діяльність або основну діяльність групи компаній (материнської компанії та її дочірніх компаній), до якої належать такі юридичні особи;</w:t>
            </w:r>
          </w:p>
        </w:tc>
      </w:tr>
      <w:tr w:rsidR="00403AAD" w:rsidRPr="00286216" w14:paraId="41BC902B" w14:textId="77777777" w:rsidTr="00091AA5">
        <w:tc>
          <w:tcPr>
            <w:tcW w:w="576" w:type="dxa"/>
          </w:tcPr>
          <w:p w14:paraId="1BE60BDB" w14:textId="77777777" w:rsidR="00403AAD" w:rsidRPr="00286216" w:rsidRDefault="00403AAD" w:rsidP="00403AAD">
            <w:pPr>
              <w:pStyle w:val="StyleWisnow"/>
              <w:rPr>
                <w:color w:val="000000" w:themeColor="text1"/>
              </w:rPr>
            </w:pPr>
            <w:bookmarkStart w:id="390" w:name="n700" w:colFirst="0" w:colLast="0"/>
            <w:bookmarkEnd w:id="389"/>
            <w:r w:rsidRPr="00286216">
              <w:rPr>
                <w:color w:val="000000" w:themeColor="text1"/>
              </w:rPr>
              <w:t>700.</w:t>
            </w:r>
          </w:p>
        </w:tc>
        <w:tc>
          <w:tcPr>
            <w:tcW w:w="4818" w:type="dxa"/>
          </w:tcPr>
          <w:p w14:paraId="63617F63" w14:textId="77777777" w:rsidR="00403AAD" w:rsidRPr="00286216" w:rsidRDefault="00403AAD" w:rsidP="00403AAD">
            <w:pPr>
              <w:pStyle w:val="StyleZakonu"/>
              <w:rPr>
                <w:color w:val="000000" w:themeColor="text1"/>
              </w:rPr>
            </w:pPr>
            <w:r w:rsidRPr="00286216">
              <w:rPr>
                <w:color w:val="000000" w:themeColor="text1"/>
              </w:rPr>
              <w:t>2) особи, що провадять таку діяльність, не використовують високочастотну торгівлю для цілей укладення товарних деривативних контрактів;</w:t>
            </w:r>
          </w:p>
        </w:tc>
        <w:tc>
          <w:tcPr>
            <w:tcW w:w="3686" w:type="dxa"/>
          </w:tcPr>
          <w:p w14:paraId="2E60E6F6" w14:textId="77777777" w:rsidR="00403AAD" w:rsidRPr="00286216" w:rsidRDefault="00403AAD" w:rsidP="00403AAD">
            <w:pPr>
              <w:pStyle w:val="StyleProp"/>
              <w:rPr>
                <w:color w:val="000000" w:themeColor="text1"/>
                <w:szCs w:val="18"/>
              </w:rPr>
            </w:pPr>
          </w:p>
        </w:tc>
        <w:tc>
          <w:tcPr>
            <w:tcW w:w="1987" w:type="dxa"/>
          </w:tcPr>
          <w:p w14:paraId="568937B8" w14:textId="77777777" w:rsidR="00403AAD" w:rsidRPr="00286216" w:rsidRDefault="00403AAD" w:rsidP="00403AAD">
            <w:pPr>
              <w:pStyle w:val="StyleWisnow"/>
              <w:rPr>
                <w:color w:val="000000" w:themeColor="text1"/>
              </w:rPr>
            </w:pPr>
          </w:p>
        </w:tc>
        <w:tc>
          <w:tcPr>
            <w:tcW w:w="4818" w:type="dxa"/>
          </w:tcPr>
          <w:p w14:paraId="692B6B34" w14:textId="0DBCF495" w:rsidR="00403AAD" w:rsidRPr="00286216" w:rsidRDefault="00403AAD" w:rsidP="00403AAD">
            <w:pPr>
              <w:pStyle w:val="StyleZakonu"/>
              <w:rPr>
                <w:color w:val="000000" w:themeColor="text1"/>
              </w:rPr>
            </w:pPr>
            <w:r w:rsidRPr="00286216">
              <w:rPr>
                <w:color w:val="000000" w:themeColor="text1"/>
              </w:rPr>
              <w:t>2) особи, які провадять таку діяльність, не використовують високочастотну торгівлю для цілей укладення товарних деривативних контрактів;</w:t>
            </w:r>
          </w:p>
        </w:tc>
      </w:tr>
      <w:tr w:rsidR="00403AAD" w:rsidRPr="00286216" w14:paraId="5A65AA60" w14:textId="77777777" w:rsidTr="00091AA5">
        <w:tc>
          <w:tcPr>
            <w:tcW w:w="576" w:type="dxa"/>
          </w:tcPr>
          <w:p w14:paraId="79F39922" w14:textId="77777777" w:rsidR="00403AAD" w:rsidRPr="00286216" w:rsidRDefault="00403AAD" w:rsidP="00403AAD">
            <w:pPr>
              <w:pStyle w:val="StyleWisnow"/>
              <w:rPr>
                <w:color w:val="000000" w:themeColor="text1"/>
              </w:rPr>
            </w:pPr>
            <w:bookmarkStart w:id="391" w:name="n701" w:colFirst="0" w:colLast="0"/>
            <w:bookmarkEnd w:id="390"/>
            <w:r w:rsidRPr="00286216">
              <w:rPr>
                <w:color w:val="000000" w:themeColor="text1"/>
              </w:rPr>
              <w:t>701.</w:t>
            </w:r>
          </w:p>
        </w:tc>
        <w:tc>
          <w:tcPr>
            <w:tcW w:w="4818" w:type="dxa"/>
          </w:tcPr>
          <w:p w14:paraId="1146B38D" w14:textId="77777777" w:rsidR="00403AAD" w:rsidRPr="00286216" w:rsidRDefault="00403AAD" w:rsidP="00403AAD">
            <w:pPr>
              <w:pStyle w:val="StyleZakonu"/>
              <w:rPr>
                <w:color w:val="000000" w:themeColor="text1"/>
              </w:rPr>
            </w:pPr>
            <w:r w:rsidRPr="00286216">
              <w:rPr>
                <w:color w:val="000000" w:themeColor="text1"/>
              </w:rPr>
              <w:t>3) особи, що провадять таку діяльність, повідомили Національну комісію з цінних паперів та фондового ринку у встановленому нею порядку та строки про намір здійснювати таку діяльність до укладення першого такого деривативного контракту.</w:t>
            </w:r>
          </w:p>
        </w:tc>
        <w:tc>
          <w:tcPr>
            <w:tcW w:w="3686" w:type="dxa"/>
          </w:tcPr>
          <w:p w14:paraId="6062E7FC" w14:textId="22DC8346"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415</w:t>
            </w:r>
            <w:r w:rsidRPr="00286216">
              <w:rPr>
                <w:color w:val="000000" w:themeColor="text1"/>
              </w:rPr>
              <w:fldChar w:fldCharType="end"/>
            </w:r>
            <w:r w:rsidRPr="00286216">
              <w:rPr>
                <w:color w:val="000000" w:themeColor="text1"/>
              </w:rPr>
              <w:t>-Н.д.Шахов С.В. (Реєстр.картка №114)</w:t>
            </w:r>
          </w:p>
          <w:p w14:paraId="4D6A9E7D" w14:textId="77777777" w:rsidR="00403AAD" w:rsidRPr="00286216" w:rsidRDefault="00403AAD" w:rsidP="003F49CA">
            <w:pPr>
              <w:pStyle w:val="StyleProp"/>
              <w:spacing w:line="180" w:lineRule="exact"/>
              <w:rPr>
                <w:color w:val="000000" w:themeColor="text1"/>
              </w:rPr>
            </w:pPr>
            <w:r w:rsidRPr="00286216">
              <w:rPr>
                <w:color w:val="000000" w:themeColor="text1"/>
              </w:rPr>
              <w:t>У пункті 3 частини 17 статті 42 слова «Національну комісія з цінних паперів та фондового ринку у встановленому нею» замінити словами «регулятор товарного ринку у встановленому ним».</w:t>
            </w:r>
          </w:p>
        </w:tc>
        <w:tc>
          <w:tcPr>
            <w:tcW w:w="1987" w:type="dxa"/>
          </w:tcPr>
          <w:p w14:paraId="0E4F097D"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092BBF5B" w14:textId="77777777" w:rsidR="00403AAD" w:rsidRPr="00286216" w:rsidRDefault="00403AAD" w:rsidP="00403AAD">
            <w:pPr>
              <w:pStyle w:val="StyleWisnow"/>
              <w:spacing w:line="160" w:lineRule="exact"/>
              <w:rPr>
                <w:color w:val="000000" w:themeColor="text1"/>
                <w:spacing w:val="-4"/>
              </w:rPr>
            </w:pPr>
            <w:r w:rsidRPr="00286216">
              <w:rPr>
                <w:color w:val="000000" w:themeColor="text1"/>
                <w:spacing w:val="-4"/>
              </w:rPr>
              <w:t xml:space="preserve">укладання деривативних </w:t>
            </w:r>
            <w:r w:rsidRPr="00286216">
              <w:rPr>
                <w:color w:val="000000" w:themeColor="text1"/>
                <w:spacing w:val="-6"/>
              </w:rPr>
              <w:t xml:space="preserve">контрактів є діяльністю, </w:t>
            </w:r>
            <w:r w:rsidRPr="00286216">
              <w:rPr>
                <w:color w:val="000000" w:themeColor="text1"/>
                <w:spacing w:val="-8"/>
              </w:rPr>
              <w:t>що провадиться на ринках</w:t>
            </w:r>
            <w:r w:rsidRPr="00286216">
              <w:rPr>
                <w:color w:val="000000" w:themeColor="text1"/>
                <w:spacing w:val="-6"/>
              </w:rPr>
              <w:t xml:space="preserve"> </w:t>
            </w:r>
            <w:r w:rsidRPr="00286216">
              <w:rPr>
                <w:color w:val="000000" w:themeColor="text1"/>
                <w:spacing w:val="-8"/>
              </w:rPr>
              <w:t>капіталу/організованих</w:t>
            </w:r>
            <w:r w:rsidRPr="00286216">
              <w:rPr>
                <w:color w:val="000000" w:themeColor="text1"/>
                <w:spacing w:val="-4"/>
              </w:rPr>
              <w:t xml:space="preserve"> товарних ринках, або дотична до них, тож регулятором є НКЦПФР</w:t>
            </w:r>
          </w:p>
        </w:tc>
        <w:tc>
          <w:tcPr>
            <w:tcW w:w="4818" w:type="dxa"/>
          </w:tcPr>
          <w:p w14:paraId="6E58A959" w14:textId="7EE5D0CC" w:rsidR="00403AAD" w:rsidRPr="00286216" w:rsidRDefault="00403AAD" w:rsidP="00403AAD">
            <w:pPr>
              <w:pStyle w:val="StyleZakonu"/>
              <w:rPr>
                <w:color w:val="000000" w:themeColor="text1"/>
              </w:rPr>
            </w:pPr>
            <w:r w:rsidRPr="00286216">
              <w:rPr>
                <w:color w:val="000000" w:themeColor="text1"/>
              </w:rPr>
              <w:t>3) особи, які провадять таку діяльність, повідомили Національну комісію з цінних паперів та фондового ринку у встановленому нею порядку та строки про намір здійснювати таку діяльність до укладення першого такого деривативного контракту.</w:t>
            </w:r>
          </w:p>
        </w:tc>
      </w:tr>
      <w:tr w:rsidR="00403AAD" w:rsidRPr="00286216" w14:paraId="365A9007" w14:textId="77777777" w:rsidTr="00091AA5">
        <w:tc>
          <w:tcPr>
            <w:tcW w:w="576" w:type="dxa"/>
          </w:tcPr>
          <w:p w14:paraId="09460636" w14:textId="77777777" w:rsidR="00403AAD" w:rsidRPr="00286216" w:rsidRDefault="00403AAD" w:rsidP="00403AAD">
            <w:pPr>
              <w:pStyle w:val="StyleWisnow"/>
              <w:rPr>
                <w:color w:val="000000" w:themeColor="text1"/>
              </w:rPr>
            </w:pPr>
            <w:bookmarkStart w:id="392" w:name="n702" w:colFirst="0" w:colLast="0"/>
            <w:bookmarkEnd w:id="391"/>
            <w:r w:rsidRPr="00286216">
              <w:rPr>
                <w:color w:val="000000" w:themeColor="text1"/>
              </w:rPr>
              <w:t>702.</w:t>
            </w:r>
          </w:p>
        </w:tc>
        <w:tc>
          <w:tcPr>
            <w:tcW w:w="4818" w:type="dxa"/>
          </w:tcPr>
          <w:p w14:paraId="5E68F738" w14:textId="77777777" w:rsidR="00403AAD" w:rsidRPr="00286216" w:rsidRDefault="00403AAD" w:rsidP="00403AAD">
            <w:pPr>
              <w:pStyle w:val="StyleZakonu"/>
              <w:rPr>
                <w:color w:val="000000" w:themeColor="text1"/>
              </w:rPr>
            </w:pPr>
            <w:r w:rsidRPr="00286216">
              <w:rPr>
                <w:color w:val="000000" w:themeColor="text1"/>
              </w:rPr>
              <w:t>Національна комісія з цінних паперів та фондового ринку може вимагати надання особами, що провадять діяльність, зазначену у пунктах 1- 2 частини 16 цієї статті, підтвердження, що діяльність з укладення товарних деривативних контрактів не є основною господарською діяльністю таких осіб.</w:t>
            </w:r>
          </w:p>
        </w:tc>
        <w:tc>
          <w:tcPr>
            <w:tcW w:w="3686" w:type="dxa"/>
          </w:tcPr>
          <w:p w14:paraId="7BE1029F" w14:textId="4EDA86D4"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416</w:t>
            </w:r>
            <w:r w:rsidRPr="00286216">
              <w:rPr>
                <w:color w:val="000000" w:themeColor="text1"/>
              </w:rPr>
              <w:fldChar w:fldCharType="end"/>
            </w:r>
            <w:r w:rsidRPr="00286216">
              <w:rPr>
                <w:color w:val="000000" w:themeColor="text1"/>
              </w:rPr>
              <w:t>-Н.д.Шахов С.В. (Реєстр.картка №114)</w:t>
            </w:r>
          </w:p>
          <w:p w14:paraId="022E8175" w14:textId="77777777" w:rsidR="00403AAD" w:rsidRPr="00286216" w:rsidRDefault="00403AAD" w:rsidP="003F49CA">
            <w:pPr>
              <w:pStyle w:val="StyleProp"/>
              <w:spacing w:line="180" w:lineRule="exact"/>
              <w:rPr>
                <w:color w:val="000000" w:themeColor="text1"/>
              </w:rPr>
            </w:pPr>
            <w:r w:rsidRPr="00286216">
              <w:rPr>
                <w:color w:val="000000" w:themeColor="text1"/>
              </w:rPr>
              <w:t>В останньому абзаці частини 17 статті 42 слова «Національна комісія з цінних паперів та фондового ринку» замінити словами «регулятор товарного ринку».</w:t>
            </w:r>
          </w:p>
        </w:tc>
        <w:tc>
          <w:tcPr>
            <w:tcW w:w="1987" w:type="dxa"/>
          </w:tcPr>
          <w:p w14:paraId="4D290400"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398B4B12" w14:textId="77777777" w:rsidR="00403AAD" w:rsidRPr="00286216" w:rsidRDefault="00403AAD" w:rsidP="00403AAD">
            <w:pPr>
              <w:pStyle w:val="StyleWisnow"/>
              <w:spacing w:line="170" w:lineRule="exact"/>
              <w:rPr>
                <w:color w:val="000000" w:themeColor="text1"/>
                <w:spacing w:val="-4"/>
              </w:rPr>
            </w:pPr>
            <w:r w:rsidRPr="00286216">
              <w:rPr>
                <w:color w:val="000000" w:themeColor="text1"/>
                <w:spacing w:val="-4"/>
              </w:rPr>
              <w:t xml:space="preserve">укладання деривативних </w:t>
            </w:r>
            <w:r w:rsidRPr="00286216">
              <w:rPr>
                <w:color w:val="000000" w:themeColor="text1"/>
                <w:spacing w:val="-6"/>
              </w:rPr>
              <w:t xml:space="preserve">контрактів є діяльністю, </w:t>
            </w:r>
            <w:r w:rsidRPr="00286216">
              <w:rPr>
                <w:color w:val="000000" w:themeColor="text1"/>
                <w:spacing w:val="-8"/>
              </w:rPr>
              <w:t>що провадиться на ринках</w:t>
            </w:r>
            <w:r w:rsidRPr="00286216">
              <w:rPr>
                <w:color w:val="000000" w:themeColor="text1"/>
                <w:spacing w:val="-6"/>
              </w:rPr>
              <w:t xml:space="preserve"> </w:t>
            </w:r>
            <w:r w:rsidRPr="00286216">
              <w:rPr>
                <w:color w:val="000000" w:themeColor="text1"/>
                <w:spacing w:val="-8"/>
              </w:rPr>
              <w:t>капіталу/організованих</w:t>
            </w:r>
            <w:r w:rsidRPr="00286216">
              <w:rPr>
                <w:color w:val="000000" w:themeColor="text1"/>
                <w:spacing w:val="-4"/>
              </w:rPr>
              <w:t xml:space="preserve"> товарних ринках, або дотична до них, тож регулятором є НКЦПФР</w:t>
            </w:r>
          </w:p>
        </w:tc>
        <w:tc>
          <w:tcPr>
            <w:tcW w:w="4818" w:type="dxa"/>
          </w:tcPr>
          <w:p w14:paraId="2FCBBE91" w14:textId="6D939480" w:rsidR="00403AAD" w:rsidRPr="00286216" w:rsidRDefault="00403AAD" w:rsidP="00403AAD">
            <w:pPr>
              <w:pStyle w:val="StyleZakonu"/>
              <w:rPr>
                <w:color w:val="000000" w:themeColor="text1"/>
              </w:rPr>
            </w:pPr>
            <w:r w:rsidRPr="00286216">
              <w:rPr>
                <w:color w:val="000000" w:themeColor="text1"/>
              </w:rPr>
              <w:t>Національна комісія з цінних паперів та фондового ринку може вимагати надання особами, що провадять діяльність, зазначену у пунктах 1- 2 частини  шістнадцятої цієї статті, підтвердження, що діяльність з укладення товарних деривативних контрактів не є основною господарською діяльністю таких осіб.</w:t>
            </w:r>
          </w:p>
        </w:tc>
      </w:tr>
      <w:tr w:rsidR="00403AAD" w:rsidRPr="00286216" w14:paraId="73C7F5F2" w14:textId="77777777" w:rsidTr="00091AA5">
        <w:tc>
          <w:tcPr>
            <w:tcW w:w="576" w:type="dxa"/>
          </w:tcPr>
          <w:p w14:paraId="4B541DBB" w14:textId="77777777" w:rsidR="00403AAD" w:rsidRPr="00286216" w:rsidRDefault="00403AAD" w:rsidP="00403AAD">
            <w:pPr>
              <w:pStyle w:val="StyleWisnow"/>
              <w:rPr>
                <w:color w:val="000000" w:themeColor="text1"/>
              </w:rPr>
            </w:pPr>
            <w:bookmarkStart w:id="393" w:name="n703" w:colFirst="0" w:colLast="0"/>
            <w:bookmarkEnd w:id="392"/>
            <w:r w:rsidRPr="00286216">
              <w:rPr>
                <w:color w:val="000000" w:themeColor="text1"/>
              </w:rPr>
              <w:t>703.</w:t>
            </w:r>
          </w:p>
        </w:tc>
        <w:tc>
          <w:tcPr>
            <w:tcW w:w="4818" w:type="dxa"/>
          </w:tcPr>
          <w:p w14:paraId="750569D2" w14:textId="77777777" w:rsidR="00403AAD" w:rsidRPr="00286216" w:rsidRDefault="00403AAD" w:rsidP="00403AAD">
            <w:pPr>
              <w:pStyle w:val="StyleZakonu"/>
              <w:rPr>
                <w:color w:val="000000" w:themeColor="text1"/>
              </w:rPr>
            </w:pPr>
            <w:r w:rsidRPr="00286216">
              <w:rPr>
                <w:color w:val="000000" w:themeColor="text1"/>
              </w:rPr>
              <w:t>18. Для цілей частини 16 та 17 цієї статті визначення господарської діяльності, що є основною діяльністю (в тому числі для групи компаній), здійснюється в порядку, встановленому Національною комісією з цінних паперів та фондового ринку.</w:t>
            </w:r>
          </w:p>
        </w:tc>
        <w:tc>
          <w:tcPr>
            <w:tcW w:w="3686" w:type="dxa"/>
          </w:tcPr>
          <w:p w14:paraId="6BB983CA" w14:textId="5401B78E"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417</w:t>
            </w:r>
            <w:r w:rsidRPr="00286216">
              <w:rPr>
                <w:color w:val="000000" w:themeColor="text1"/>
              </w:rPr>
              <w:fldChar w:fldCharType="end"/>
            </w:r>
            <w:r w:rsidRPr="00286216">
              <w:rPr>
                <w:color w:val="000000" w:themeColor="text1"/>
              </w:rPr>
              <w:t>-Н.д.Шахов С.В. (Реєстр.картка №114)</w:t>
            </w:r>
          </w:p>
          <w:p w14:paraId="4701C8CE" w14:textId="77777777" w:rsidR="00403AAD" w:rsidRPr="00286216" w:rsidRDefault="00403AAD" w:rsidP="003F49CA">
            <w:pPr>
              <w:pStyle w:val="StyleProp"/>
              <w:spacing w:line="180" w:lineRule="exact"/>
              <w:rPr>
                <w:color w:val="000000" w:themeColor="text1"/>
              </w:rPr>
            </w:pPr>
            <w:r w:rsidRPr="00286216">
              <w:rPr>
                <w:color w:val="000000" w:themeColor="text1"/>
              </w:rPr>
              <w:t>У частині 18 статті 42 слова «Національною комісією з цінних паперів та фондового ринку» замінити словами «регуляторами відповідних товарних ринків».</w:t>
            </w:r>
          </w:p>
        </w:tc>
        <w:tc>
          <w:tcPr>
            <w:tcW w:w="1987" w:type="dxa"/>
          </w:tcPr>
          <w:p w14:paraId="2A815A62"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3F752962" w14:textId="77777777" w:rsidR="00403AAD" w:rsidRPr="00286216" w:rsidRDefault="00403AAD" w:rsidP="00403AAD">
            <w:pPr>
              <w:pStyle w:val="StyleWisnow"/>
              <w:spacing w:line="170" w:lineRule="exact"/>
              <w:rPr>
                <w:color w:val="000000" w:themeColor="text1"/>
                <w:spacing w:val="-4"/>
              </w:rPr>
            </w:pPr>
            <w:r w:rsidRPr="00286216">
              <w:rPr>
                <w:color w:val="000000" w:themeColor="text1"/>
                <w:spacing w:val="-4"/>
              </w:rPr>
              <w:t xml:space="preserve">укладання деривативних </w:t>
            </w:r>
            <w:r w:rsidRPr="00286216">
              <w:rPr>
                <w:color w:val="000000" w:themeColor="text1"/>
                <w:spacing w:val="-6"/>
              </w:rPr>
              <w:t xml:space="preserve">контрактів є діяльністю, </w:t>
            </w:r>
            <w:r w:rsidRPr="00286216">
              <w:rPr>
                <w:color w:val="000000" w:themeColor="text1"/>
                <w:spacing w:val="-8"/>
              </w:rPr>
              <w:t>що провадиться на ринках</w:t>
            </w:r>
            <w:r w:rsidRPr="00286216">
              <w:rPr>
                <w:color w:val="000000" w:themeColor="text1"/>
                <w:spacing w:val="-6"/>
              </w:rPr>
              <w:t xml:space="preserve"> </w:t>
            </w:r>
            <w:r w:rsidRPr="00286216">
              <w:rPr>
                <w:color w:val="000000" w:themeColor="text1"/>
                <w:spacing w:val="-8"/>
              </w:rPr>
              <w:t>капіталу/організованих</w:t>
            </w:r>
            <w:r w:rsidRPr="00286216">
              <w:rPr>
                <w:color w:val="000000" w:themeColor="text1"/>
                <w:spacing w:val="-4"/>
              </w:rPr>
              <w:t xml:space="preserve"> товарних ринках, або дотична до них, тож регулятором є НКЦПФР</w:t>
            </w:r>
          </w:p>
        </w:tc>
        <w:tc>
          <w:tcPr>
            <w:tcW w:w="4818" w:type="dxa"/>
          </w:tcPr>
          <w:p w14:paraId="0CC16EE5" w14:textId="2473E4DD" w:rsidR="00403AAD" w:rsidRPr="00286216" w:rsidRDefault="00403AAD" w:rsidP="00403AAD">
            <w:pPr>
              <w:pStyle w:val="StyleZakonu"/>
              <w:rPr>
                <w:color w:val="000000" w:themeColor="text1"/>
              </w:rPr>
            </w:pPr>
            <w:r w:rsidRPr="00286216">
              <w:rPr>
                <w:color w:val="000000" w:themeColor="text1"/>
              </w:rPr>
              <w:t>18. Для цілей частин шістнадцятої та сімнадцятої цієї статті визначення господарської діяльності, що є основною діяльністю (в тому числі для групи компаній), здійснюється в порядку, встановленому Національною комісією з цінних паперів та фондового ринку.</w:t>
            </w:r>
          </w:p>
        </w:tc>
      </w:tr>
      <w:bookmarkEnd w:id="393"/>
      <w:tr w:rsidR="00403AAD" w:rsidRPr="00286216" w14:paraId="442A9D25" w14:textId="77777777" w:rsidTr="00091AA5">
        <w:tc>
          <w:tcPr>
            <w:tcW w:w="576" w:type="dxa"/>
          </w:tcPr>
          <w:p w14:paraId="59332BF0" w14:textId="77777777" w:rsidR="00403AAD" w:rsidRPr="00286216" w:rsidRDefault="00403AAD" w:rsidP="00403AAD">
            <w:pPr>
              <w:pStyle w:val="StyleWisnow"/>
              <w:rPr>
                <w:color w:val="000000" w:themeColor="text1"/>
              </w:rPr>
            </w:pPr>
          </w:p>
        </w:tc>
        <w:tc>
          <w:tcPr>
            <w:tcW w:w="4818" w:type="dxa"/>
          </w:tcPr>
          <w:p w14:paraId="1B298D1A" w14:textId="77777777" w:rsidR="00403AAD" w:rsidRPr="00286216" w:rsidRDefault="00403AAD" w:rsidP="00403AAD">
            <w:pPr>
              <w:pStyle w:val="StyleZakonu"/>
              <w:rPr>
                <w:color w:val="000000" w:themeColor="text1"/>
              </w:rPr>
            </w:pPr>
          </w:p>
        </w:tc>
        <w:tc>
          <w:tcPr>
            <w:tcW w:w="3686" w:type="dxa"/>
          </w:tcPr>
          <w:p w14:paraId="2416DC0A" w14:textId="746B8D40"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418</w:t>
            </w:r>
            <w:r w:rsidRPr="00286216">
              <w:rPr>
                <w:color w:val="000000" w:themeColor="text1"/>
                <w:spacing w:val="-10"/>
              </w:rPr>
              <w:fldChar w:fldCharType="end"/>
            </w:r>
            <w:r w:rsidRPr="00286216">
              <w:rPr>
                <w:color w:val="000000" w:themeColor="text1"/>
                <w:spacing w:val="-10"/>
              </w:rPr>
              <w:t>-Н.д.Гетманцев Д.О.(Реєстр.картка №245)</w:t>
            </w:r>
          </w:p>
          <w:p w14:paraId="1C042AF3" w14:textId="77777777" w:rsidR="00403AAD" w:rsidRPr="00286216" w:rsidRDefault="00403AAD" w:rsidP="00403AAD">
            <w:pPr>
              <w:pStyle w:val="StyleProp"/>
              <w:rPr>
                <w:color w:val="000000" w:themeColor="text1"/>
                <w:spacing w:val="-6"/>
              </w:rPr>
            </w:pPr>
            <w:r w:rsidRPr="00286216">
              <w:rPr>
                <w:color w:val="000000" w:themeColor="text1"/>
                <w:spacing w:val="-6"/>
              </w:rPr>
              <w:t>статтю 42 доповнити частиною такого змісту:</w:t>
            </w:r>
          </w:p>
          <w:p w14:paraId="66F07268" w14:textId="77777777" w:rsidR="00403AAD" w:rsidRPr="00286216" w:rsidRDefault="00403AAD" w:rsidP="00403AAD">
            <w:pPr>
              <w:pStyle w:val="StyleProp"/>
              <w:rPr>
                <w:color w:val="000000" w:themeColor="text1"/>
              </w:rPr>
            </w:pPr>
            <w:r w:rsidRPr="00286216">
              <w:rPr>
                <w:color w:val="000000" w:themeColor="text1"/>
              </w:rPr>
              <w:t>«19. Інвестиційна фірма, що займається алгоритмічною торгівлею, повинна запровадити відповідні системи та засоби контролю ризику, мінімальні вимоги до яких встановлюються Національною комісією з цінних паперів та фондового ринку.»</w:t>
            </w:r>
          </w:p>
        </w:tc>
        <w:tc>
          <w:tcPr>
            <w:tcW w:w="1987" w:type="dxa"/>
          </w:tcPr>
          <w:p w14:paraId="31620096" w14:textId="77777777" w:rsidR="00403AAD" w:rsidRPr="00286216" w:rsidRDefault="00403AAD" w:rsidP="0011330D">
            <w:pPr>
              <w:pStyle w:val="StyleWisnow"/>
              <w:spacing w:line="180" w:lineRule="exact"/>
              <w:rPr>
                <w:color w:val="000000" w:themeColor="text1"/>
              </w:rPr>
            </w:pPr>
            <w:r w:rsidRPr="00286216">
              <w:rPr>
                <w:color w:val="000000" w:themeColor="text1"/>
              </w:rPr>
              <w:t>Враховано по суті</w:t>
            </w:r>
          </w:p>
          <w:p w14:paraId="17BD3730" w14:textId="77777777" w:rsidR="00403AAD" w:rsidRPr="00286216" w:rsidRDefault="00403AAD" w:rsidP="0011330D">
            <w:pPr>
              <w:pStyle w:val="StyleWisnow"/>
              <w:spacing w:line="180" w:lineRule="exact"/>
              <w:rPr>
                <w:color w:val="000000" w:themeColor="text1"/>
              </w:rPr>
            </w:pPr>
            <w:r w:rsidRPr="00286216">
              <w:rPr>
                <w:color w:val="000000" w:themeColor="text1"/>
              </w:rPr>
              <w:t>в редакції статті 51-1 щодо алгоритмічної торгівлі</w:t>
            </w:r>
          </w:p>
        </w:tc>
        <w:tc>
          <w:tcPr>
            <w:tcW w:w="4818" w:type="dxa"/>
          </w:tcPr>
          <w:p w14:paraId="50FAE4DC" w14:textId="77777777" w:rsidR="00403AAD" w:rsidRPr="00286216" w:rsidRDefault="00403AAD" w:rsidP="00403AAD">
            <w:pPr>
              <w:pStyle w:val="StyleZakonu"/>
              <w:rPr>
                <w:color w:val="000000" w:themeColor="text1"/>
              </w:rPr>
            </w:pPr>
          </w:p>
        </w:tc>
      </w:tr>
      <w:tr w:rsidR="00403AAD" w:rsidRPr="00286216" w14:paraId="14CF110E" w14:textId="77777777" w:rsidTr="00091AA5">
        <w:tc>
          <w:tcPr>
            <w:tcW w:w="576" w:type="dxa"/>
          </w:tcPr>
          <w:p w14:paraId="31DB6A63" w14:textId="77777777" w:rsidR="00403AAD" w:rsidRPr="00286216" w:rsidRDefault="00403AAD" w:rsidP="00403AAD">
            <w:pPr>
              <w:pStyle w:val="StyleWisnow"/>
              <w:rPr>
                <w:color w:val="000000" w:themeColor="text1"/>
              </w:rPr>
            </w:pPr>
            <w:bookmarkStart w:id="394" w:name="n704" w:colFirst="0" w:colLast="0"/>
            <w:r w:rsidRPr="00286216">
              <w:rPr>
                <w:color w:val="000000" w:themeColor="text1"/>
              </w:rPr>
              <w:t>704.</w:t>
            </w:r>
          </w:p>
        </w:tc>
        <w:tc>
          <w:tcPr>
            <w:tcW w:w="4818" w:type="dxa"/>
          </w:tcPr>
          <w:p w14:paraId="498D188E" w14:textId="77777777" w:rsidR="00403AAD" w:rsidRPr="00286216" w:rsidRDefault="00403AAD" w:rsidP="00403AAD">
            <w:pPr>
              <w:pStyle w:val="StyleZakonu"/>
              <w:rPr>
                <w:color w:val="000000" w:themeColor="text1"/>
              </w:rPr>
            </w:pPr>
            <w:r w:rsidRPr="00286216">
              <w:rPr>
                <w:color w:val="000000" w:themeColor="text1"/>
              </w:rPr>
              <w:t>Стаття 43. Провадження діяльності з торгівлі фінансовими інструментами</w:t>
            </w:r>
          </w:p>
        </w:tc>
        <w:tc>
          <w:tcPr>
            <w:tcW w:w="3686" w:type="dxa"/>
          </w:tcPr>
          <w:p w14:paraId="44F3C917" w14:textId="4CE37F82"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419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7765876"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У назві статті 43 нової редакції Закону та у частинах 1, 7 та 8 цієї статті слова «торгівлі фінансовими інструментами» замінити словами «обігу фінансових інструментів».</w:t>
            </w:r>
          </w:p>
        </w:tc>
        <w:tc>
          <w:tcPr>
            <w:tcW w:w="1987" w:type="dxa"/>
          </w:tcPr>
          <w:p w14:paraId="722C904A" w14:textId="77777777" w:rsidR="00403AAD" w:rsidRPr="00286216" w:rsidRDefault="00403AAD" w:rsidP="0011330D">
            <w:pPr>
              <w:pStyle w:val="StyleWisnow"/>
              <w:spacing w:line="180" w:lineRule="exact"/>
              <w:rPr>
                <w:color w:val="000000" w:themeColor="text1"/>
              </w:rPr>
            </w:pPr>
            <w:r w:rsidRPr="00286216">
              <w:rPr>
                <w:color w:val="000000" w:themeColor="text1"/>
              </w:rPr>
              <w:t>Відхилено</w:t>
            </w:r>
          </w:p>
          <w:p w14:paraId="32A85687" w14:textId="77777777" w:rsidR="00403AAD" w:rsidRPr="00286216" w:rsidRDefault="00403AAD" w:rsidP="0011330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7F0C4564" w14:textId="1429845E" w:rsidR="00403AAD" w:rsidRPr="00286216" w:rsidRDefault="00403AAD" w:rsidP="00403AAD">
            <w:pPr>
              <w:pStyle w:val="StyleZakonu"/>
              <w:rPr>
                <w:color w:val="000000" w:themeColor="text1"/>
              </w:rPr>
            </w:pPr>
            <w:r w:rsidRPr="00286216">
              <w:rPr>
                <w:color w:val="000000" w:themeColor="text1"/>
              </w:rPr>
              <w:t>Стаття 45. Провадження діяльності з торгівлі фінансовими інструментами</w:t>
            </w:r>
          </w:p>
        </w:tc>
      </w:tr>
      <w:tr w:rsidR="00403AAD" w:rsidRPr="00286216" w14:paraId="004DA79A" w14:textId="77777777" w:rsidTr="00091AA5">
        <w:tc>
          <w:tcPr>
            <w:tcW w:w="576" w:type="dxa"/>
          </w:tcPr>
          <w:p w14:paraId="66CE0626" w14:textId="77777777" w:rsidR="00403AAD" w:rsidRPr="00286216" w:rsidRDefault="00403AAD" w:rsidP="00403AAD">
            <w:pPr>
              <w:pStyle w:val="StyleWisnow"/>
              <w:rPr>
                <w:color w:val="000000" w:themeColor="text1"/>
              </w:rPr>
            </w:pPr>
            <w:bookmarkStart w:id="395" w:name="n705" w:colFirst="0" w:colLast="0"/>
            <w:bookmarkEnd w:id="394"/>
            <w:r w:rsidRPr="00286216">
              <w:rPr>
                <w:color w:val="000000" w:themeColor="text1"/>
              </w:rPr>
              <w:t>705.</w:t>
            </w:r>
          </w:p>
        </w:tc>
        <w:tc>
          <w:tcPr>
            <w:tcW w:w="4818" w:type="dxa"/>
          </w:tcPr>
          <w:p w14:paraId="08CEC543" w14:textId="77777777" w:rsidR="00403AAD" w:rsidRPr="00286216" w:rsidRDefault="00403AAD" w:rsidP="00403AAD">
            <w:pPr>
              <w:pStyle w:val="StyleZakonu"/>
              <w:rPr>
                <w:color w:val="000000" w:themeColor="text1"/>
              </w:rPr>
            </w:pPr>
            <w:r w:rsidRPr="00286216">
              <w:rPr>
                <w:color w:val="000000" w:themeColor="text1"/>
              </w:rPr>
              <w:t>1. Перелік видів діяльності, передбачених частиною 1 статті 42, які має право провадити інвестиційна фірма, та додаткових послуг, передбачених частиною 2 статті 42 цього Закону, які має право надавати інвестиційна фірма, зазначається в реєстрі професійних учасників ринків капіталу та організованих товарних ринків.</w:t>
            </w:r>
          </w:p>
        </w:tc>
        <w:tc>
          <w:tcPr>
            <w:tcW w:w="3686" w:type="dxa"/>
          </w:tcPr>
          <w:p w14:paraId="7F724C90" w14:textId="77777777" w:rsidR="00403AAD" w:rsidRPr="00286216" w:rsidRDefault="00403AAD" w:rsidP="00403AAD">
            <w:pPr>
              <w:pStyle w:val="StyleProp"/>
              <w:rPr>
                <w:color w:val="000000" w:themeColor="text1"/>
                <w:szCs w:val="18"/>
              </w:rPr>
            </w:pPr>
          </w:p>
        </w:tc>
        <w:tc>
          <w:tcPr>
            <w:tcW w:w="1987" w:type="dxa"/>
          </w:tcPr>
          <w:p w14:paraId="5EF03D7A" w14:textId="77777777" w:rsidR="00403AAD" w:rsidRPr="00286216" w:rsidRDefault="00403AAD" w:rsidP="0011330D">
            <w:pPr>
              <w:pStyle w:val="StyleWisnow"/>
              <w:spacing w:line="180" w:lineRule="exact"/>
              <w:rPr>
                <w:color w:val="000000" w:themeColor="text1"/>
              </w:rPr>
            </w:pPr>
          </w:p>
        </w:tc>
        <w:tc>
          <w:tcPr>
            <w:tcW w:w="4818" w:type="dxa"/>
          </w:tcPr>
          <w:p w14:paraId="41735340" w14:textId="6360E4B4" w:rsidR="00403AAD" w:rsidRPr="00286216" w:rsidRDefault="00403AAD" w:rsidP="00403AAD">
            <w:pPr>
              <w:pStyle w:val="StyleZakonu"/>
              <w:rPr>
                <w:color w:val="000000" w:themeColor="text1"/>
              </w:rPr>
            </w:pPr>
            <w:r w:rsidRPr="00286216">
              <w:rPr>
                <w:color w:val="000000" w:themeColor="text1"/>
              </w:rPr>
              <w:t>1. Перелік видів діяльності, передбачених частиною першою статті 44, які має право провадити інвестиційна фірма, та додаткових послуг, передбачених частиною другою статті 44 цього Закону, які має право надавати інвестиційна фірма, зазначається в реєстрі професійних учасників ринків капіталу та організованих товарних ринків.</w:t>
            </w:r>
          </w:p>
        </w:tc>
      </w:tr>
      <w:tr w:rsidR="00403AAD" w:rsidRPr="00286216" w14:paraId="469AA872" w14:textId="77777777" w:rsidTr="00091AA5">
        <w:tc>
          <w:tcPr>
            <w:tcW w:w="576" w:type="dxa"/>
          </w:tcPr>
          <w:p w14:paraId="3E238142" w14:textId="77777777" w:rsidR="00403AAD" w:rsidRPr="00286216" w:rsidRDefault="00403AAD" w:rsidP="00403AAD">
            <w:pPr>
              <w:pStyle w:val="StyleWisnow"/>
              <w:rPr>
                <w:color w:val="000000" w:themeColor="text1"/>
              </w:rPr>
            </w:pPr>
            <w:bookmarkStart w:id="396" w:name="n706" w:colFirst="0" w:colLast="0"/>
            <w:bookmarkEnd w:id="395"/>
            <w:r w:rsidRPr="00286216">
              <w:rPr>
                <w:color w:val="000000" w:themeColor="text1"/>
              </w:rPr>
              <w:t>706.</w:t>
            </w:r>
          </w:p>
        </w:tc>
        <w:tc>
          <w:tcPr>
            <w:tcW w:w="4818" w:type="dxa"/>
          </w:tcPr>
          <w:p w14:paraId="7322914C" w14:textId="77777777" w:rsidR="00403AAD" w:rsidRPr="00286216" w:rsidRDefault="00403AAD" w:rsidP="00403AAD">
            <w:pPr>
              <w:pStyle w:val="StyleZakonu"/>
              <w:rPr>
                <w:color w:val="000000" w:themeColor="text1"/>
              </w:rPr>
            </w:pPr>
            <w:r w:rsidRPr="00286216">
              <w:rPr>
                <w:color w:val="000000" w:themeColor="text1"/>
              </w:rPr>
              <w:t>У заяві про видачу ліцензії на провадження професійної діяльності з торгівлі фінансовими інструментами юридична особа повинна зазначити перелік додаткових послуг, які вона має намір надавати відповідно до переліку, визначеного частиною другою статті 42 цього Закону та іншу інформацію відповідно до вимог Національної комісії з цінних паперів та фондового ринку.</w:t>
            </w:r>
          </w:p>
        </w:tc>
        <w:tc>
          <w:tcPr>
            <w:tcW w:w="3686" w:type="dxa"/>
          </w:tcPr>
          <w:p w14:paraId="102D1469" w14:textId="58240675"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420</w:t>
            </w:r>
            <w:r w:rsidRPr="00286216">
              <w:rPr>
                <w:color w:val="000000" w:themeColor="text1"/>
                <w:spacing w:val="-10"/>
              </w:rPr>
              <w:fldChar w:fldCharType="end"/>
            </w:r>
            <w:r w:rsidRPr="00286216">
              <w:rPr>
                <w:color w:val="000000" w:themeColor="text1"/>
                <w:spacing w:val="-10"/>
              </w:rPr>
              <w:t>-Н.д.Гетманцев Д.О.(Реєстр.картка №245)</w:t>
            </w:r>
          </w:p>
          <w:p w14:paraId="2C74C71A" w14:textId="77777777" w:rsidR="00403AAD" w:rsidRPr="00286216" w:rsidRDefault="00403AAD" w:rsidP="003F49CA">
            <w:pPr>
              <w:pStyle w:val="StyleProp"/>
              <w:spacing w:line="180" w:lineRule="exact"/>
              <w:rPr>
                <w:color w:val="000000" w:themeColor="text1"/>
              </w:rPr>
            </w:pPr>
            <w:r w:rsidRPr="00286216">
              <w:rPr>
                <w:color w:val="000000" w:themeColor="text1"/>
              </w:rPr>
              <w:t>У статті 43 абзац другий частини першої після слів «повинна зазначити» доповнити словами «вид (види) діяльності, що відповідно до частини першої статті 42 цього Закону відносяться до діяльності з торгівлі фінансовими ресурсами, провадити які має намір юридична особа на підставі такої ліцензії,»</w:t>
            </w:r>
          </w:p>
        </w:tc>
        <w:tc>
          <w:tcPr>
            <w:tcW w:w="1987" w:type="dxa"/>
          </w:tcPr>
          <w:p w14:paraId="17070AD0" w14:textId="77777777" w:rsidR="00403AAD" w:rsidRPr="00286216" w:rsidRDefault="00403AAD" w:rsidP="0011330D">
            <w:pPr>
              <w:pStyle w:val="StyleWisnow"/>
              <w:spacing w:line="180" w:lineRule="exact"/>
              <w:rPr>
                <w:color w:val="000000" w:themeColor="text1"/>
              </w:rPr>
            </w:pPr>
            <w:r w:rsidRPr="00286216">
              <w:rPr>
                <w:color w:val="000000" w:themeColor="text1"/>
              </w:rPr>
              <w:t>Враховано редакційно</w:t>
            </w:r>
          </w:p>
          <w:p w14:paraId="0436834A" w14:textId="092ED417" w:rsidR="00403AAD" w:rsidRPr="00286216" w:rsidRDefault="00403AAD" w:rsidP="0011330D">
            <w:pPr>
              <w:pStyle w:val="StyleWisnow"/>
              <w:spacing w:line="180" w:lineRule="exact"/>
              <w:rPr>
                <w:color w:val="000000" w:themeColor="text1"/>
              </w:rPr>
            </w:pPr>
            <w:r w:rsidRPr="00286216">
              <w:rPr>
                <w:color w:val="000000" w:themeColor="text1"/>
              </w:rPr>
              <w:t>в редакції статті 71 щодо ліцензування</w:t>
            </w:r>
          </w:p>
        </w:tc>
        <w:tc>
          <w:tcPr>
            <w:tcW w:w="4818" w:type="dxa"/>
          </w:tcPr>
          <w:p w14:paraId="3A576A6D" w14:textId="0E6E66CA" w:rsidR="00403AAD" w:rsidRPr="00286216" w:rsidRDefault="00403AAD" w:rsidP="00403AAD">
            <w:pPr>
              <w:pStyle w:val="StyleZakonu"/>
              <w:rPr>
                <w:color w:val="000000" w:themeColor="text1"/>
              </w:rPr>
            </w:pPr>
            <w:r w:rsidRPr="00286216">
              <w:rPr>
                <w:color w:val="000000" w:themeColor="text1"/>
              </w:rPr>
              <w:t>У заяві про видачу ліцензії на провадження відповідного виду діяльності в межах професійної діяльності з торгівлі фінансовими інструментами юридична особа повинна зазначити перелік додаткових послуг, які вона має намір надавати відповідно до переліку, визначеного частиною другою статті 44 цього Закону, та іншу інформацію відповідно до вимог Національної комісії з цінних паперів та фондового ринку.</w:t>
            </w:r>
          </w:p>
        </w:tc>
      </w:tr>
      <w:bookmarkEnd w:id="396"/>
      <w:tr w:rsidR="00403AAD" w:rsidRPr="00286216" w14:paraId="2F720412" w14:textId="77777777" w:rsidTr="00091AA5">
        <w:tc>
          <w:tcPr>
            <w:tcW w:w="576" w:type="dxa"/>
          </w:tcPr>
          <w:p w14:paraId="363CF6E1" w14:textId="77777777" w:rsidR="00403AAD" w:rsidRPr="00286216" w:rsidRDefault="00403AAD" w:rsidP="00403AAD">
            <w:pPr>
              <w:pStyle w:val="StyleWisnow"/>
              <w:rPr>
                <w:color w:val="000000" w:themeColor="text1"/>
              </w:rPr>
            </w:pPr>
          </w:p>
        </w:tc>
        <w:tc>
          <w:tcPr>
            <w:tcW w:w="4818" w:type="dxa"/>
          </w:tcPr>
          <w:p w14:paraId="5BD7EAEE" w14:textId="77777777" w:rsidR="00403AAD" w:rsidRPr="00286216" w:rsidRDefault="00403AAD" w:rsidP="00403AAD">
            <w:pPr>
              <w:pStyle w:val="StyleZakonu"/>
              <w:rPr>
                <w:color w:val="000000" w:themeColor="text1"/>
              </w:rPr>
            </w:pPr>
          </w:p>
        </w:tc>
        <w:tc>
          <w:tcPr>
            <w:tcW w:w="3686" w:type="dxa"/>
          </w:tcPr>
          <w:p w14:paraId="055C9A76" w14:textId="7CB44E2C"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421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C9E46DB" w14:textId="77777777" w:rsidR="00403AAD" w:rsidRPr="00286216" w:rsidRDefault="00403AAD" w:rsidP="003F49CA">
            <w:pPr>
              <w:pStyle w:val="StyleProp"/>
              <w:spacing w:line="180" w:lineRule="exact"/>
              <w:rPr>
                <w:color w:val="000000" w:themeColor="text1"/>
                <w:szCs w:val="18"/>
              </w:rPr>
            </w:pPr>
            <w:r w:rsidRPr="00286216">
              <w:rPr>
                <w:color w:val="000000" w:themeColor="text1"/>
                <w:szCs w:val="18"/>
              </w:rPr>
              <w:t>У назві статті 43 нової редакції Закону та у частинах 1, 7 та 8 цієї статті слова «торгівлі фінансовими інструментами» замінити словами «обігу фінансових інструментів».</w:t>
            </w:r>
          </w:p>
        </w:tc>
        <w:tc>
          <w:tcPr>
            <w:tcW w:w="1987" w:type="dxa"/>
          </w:tcPr>
          <w:p w14:paraId="6F111CEB" w14:textId="77777777" w:rsidR="00403AAD" w:rsidRPr="00286216" w:rsidRDefault="00403AAD" w:rsidP="0011330D">
            <w:pPr>
              <w:pStyle w:val="StyleWisnow"/>
              <w:spacing w:line="180" w:lineRule="exact"/>
              <w:rPr>
                <w:color w:val="000000" w:themeColor="text1"/>
              </w:rPr>
            </w:pPr>
            <w:r w:rsidRPr="00286216">
              <w:rPr>
                <w:color w:val="000000" w:themeColor="text1"/>
              </w:rPr>
              <w:t>Відхилено</w:t>
            </w:r>
          </w:p>
          <w:p w14:paraId="7E8F49A5" w14:textId="77777777" w:rsidR="00403AAD" w:rsidRPr="00286216" w:rsidRDefault="00403AAD" w:rsidP="0011330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5A093CE5" w14:textId="77777777" w:rsidR="00403AAD" w:rsidRPr="00286216" w:rsidRDefault="00403AAD" w:rsidP="00403AAD">
            <w:pPr>
              <w:pStyle w:val="StyleZakonu"/>
              <w:rPr>
                <w:color w:val="000000" w:themeColor="text1"/>
              </w:rPr>
            </w:pPr>
          </w:p>
        </w:tc>
      </w:tr>
      <w:tr w:rsidR="00403AAD" w:rsidRPr="00286216" w14:paraId="45ED42E7" w14:textId="77777777" w:rsidTr="00091AA5">
        <w:tc>
          <w:tcPr>
            <w:tcW w:w="576" w:type="dxa"/>
          </w:tcPr>
          <w:p w14:paraId="4412E913" w14:textId="77777777" w:rsidR="00403AAD" w:rsidRPr="00286216" w:rsidRDefault="00403AAD" w:rsidP="00403AAD">
            <w:pPr>
              <w:pStyle w:val="StyleWisnow"/>
              <w:rPr>
                <w:color w:val="000000" w:themeColor="text1"/>
              </w:rPr>
            </w:pPr>
            <w:bookmarkStart w:id="397" w:name="n707" w:colFirst="0" w:colLast="0"/>
            <w:r w:rsidRPr="00286216">
              <w:rPr>
                <w:color w:val="000000" w:themeColor="text1"/>
              </w:rPr>
              <w:t>707.</w:t>
            </w:r>
          </w:p>
        </w:tc>
        <w:tc>
          <w:tcPr>
            <w:tcW w:w="4818" w:type="dxa"/>
          </w:tcPr>
          <w:p w14:paraId="24846322" w14:textId="77777777" w:rsidR="00403AAD" w:rsidRPr="00286216" w:rsidRDefault="00403AAD" w:rsidP="00403AAD">
            <w:pPr>
              <w:pStyle w:val="StyleZakonu"/>
              <w:rPr>
                <w:color w:val="000000" w:themeColor="text1"/>
              </w:rPr>
            </w:pPr>
            <w:r w:rsidRPr="00286216">
              <w:rPr>
                <w:color w:val="000000" w:themeColor="text1"/>
              </w:rPr>
              <w:t>Зміна переліку додаткових послуг, які має право надавати інвестиційна фірма, проводиться на підставі відповідної заяви інвестиційної фірми шляхом прийняття відповідного рішення Національною комісією з цінних паперів та фондового ринку з наступним внесення змін до інформації в реєстрі професійних учасників ринків капіталу та організованих товарних ринків.</w:t>
            </w:r>
          </w:p>
        </w:tc>
        <w:tc>
          <w:tcPr>
            <w:tcW w:w="3686" w:type="dxa"/>
          </w:tcPr>
          <w:p w14:paraId="05DBD20B" w14:textId="77777777" w:rsidR="00403AAD" w:rsidRPr="00286216" w:rsidRDefault="00403AAD" w:rsidP="00403AAD">
            <w:pPr>
              <w:pStyle w:val="StyleProp"/>
              <w:rPr>
                <w:color w:val="000000" w:themeColor="text1"/>
                <w:szCs w:val="18"/>
              </w:rPr>
            </w:pPr>
          </w:p>
        </w:tc>
        <w:tc>
          <w:tcPr>
            <w:tcW w:w="1987" w:type="dxa"/>
          </w:tcPr>
          <w:p w14:paraId="5D15966F" w14:textId="77777777" w:rsidR="00403AAD" w:rsidRPr="00286216" w:rsidRDefault="00403AAD" w:rsidP="00403AAD">
            <w:pPr>
              <w:pStyle w:val="StyleWisnow"/>
              <w:rPr>
                <w:color w:val="000000" w:themeColor="text1"/>
              </w:rPr>
            </w:pPr>
          </w:p>
        </w:tc>
        <w:tc>
          <w:tcPr>
            <w:tcW w:w="4818" w:type="dxa"/>
          </w:tcPr>
          <w:p w14:paraId="20390122" w14:textId="4A25DCA3" w:rsidR="00403AAD" w:rsidRPr="00286216" w:rsidRDefault="00403AAD" w:rsidP="00403AAD">
            <w:pPr>
              <w:pStyle w:val="StyleZakonu"/>
              <w:rPr>
                <w:color w:val="000000" w:themeColor="text1"/>
              </w:rPr>
            </w:pPr>
            <w:r w:rsidRPr="00286216">
              <w:rPr>
                <w:color w:val="000000" w:themeColor="text1"/>
              </w:rPr>
              <w:t>Зміна переліку додаткових послуг, які має право надавати інвестиційна фірма, проводиться на підставі відповідної заяви інвестиційної фірми шляхом прийняття відповідного рішення Національною комісією з цінних паперів та фондового ринку з наступним внесенням змін до інформації в реєстрі професійних учасників ринків капіталу та організованих товарних ринків.</w:t>
            </w:r>
          </w:p>
        </w:tc>
      </w:tr>
      <w:tr w:rsidR="00403AAD" w:rsidRPr="00286216" w14:paraId="760F19A2" w14:textId="77777777" w:rsidTr="00091AA5">
        <w:tc>
          <w:tcPr>
            <w:tcW w:w="576" w:type="dxa"/>
          </w:tcPr>
          <w:p w14:paraId="3A2C71AF" w14:textId="77777777" w:rsidR="00403AAD" w:rsidRPr="00286216" w:rsidRDefault="00403AAD" w:rsidP="00403AAD">
            <w:pPr>
              <w:pStyle w:val="StyleWisnow"/>
              <w:rPr>
                <w:color w:val="000000" w:themeColor="text1"/>
              </w:rPr>
            </w:pPr>
            <w:bookmarkStart w:id="398" w:name="n708" w:colFirst="0" w:colLast="0"/>
            <w:bookmarkEnd w:id="397"/>
            <w:r w:rsidRPr="00286216">
              <w:rPr>
                <w:color w:val="000000" w:themeColor="text1"/>
              </w:rPr>
              <w:t>708.</w:t>
            </w:r>
          </w:p>
        </w:tc>
        <w:tc>
          <w:tcPr>
            <w:tcW w:w="4818" w:type="dxa"/>
          </w:tcPr>
          <w:p w14:paraId="56121147" w14:textId="77777777" w:rsidR="00403AAD" w:rsidRPr="00286216" w:rsidRDefault="00403AAD" w:rsidP="00403AAD">
            <w:pPr>
              <w:pStyle w:val="StyleZakonu"/>
              <w:rPr>
                <w:color w:val="000000" w:themeColor="text1"/>
              </w:rPr>
            </w:pPr>
            <w:r w:rsidRPr="00286216">
              <w:rPr>
                <w:color w:val="000000" w:themeColor="text1"/>
              </w:rPr>
              <w:t xml:space="preserve">Інвестиційна фірма не має права надавати додаткові послуги, передбачені частиною другою статті 42 цього Закону, які не зазначені у рішенні Національної комісії з цінних паперів та фондового ринку та не відображені у реєстрі професійних </w:t>
            </w:r>
            <w:r w:rsidRPr="00286216">
              <w:rPr>
                <w:color w:val="000000" w:themeColor="text1"/>
              </w:rPr>
              <w:lastRenderedPageBreak/>
              <w:t>учасників ринків капіталу та організованих товарних ринків.</w:t>
            </w:r>
          </w:p>
        </w:tc>
        <w:tc>
          <w:tcPr>
            <w:tcW w:w="3686" w:type="dxa"/>
          </w:tcPr>
          <w:p w14:paraId="0E2DAE4F" w14:textId="145C486E" w:rsidR="00403AAD" w:rsidRPr="00286216" w:rsidRDefault="00403AAD" w:rsidP="00403AAD">
            <w:pPr>
              <w:pStyle w:val="StyleAwt"/>
              <w:rPr>
                <w:color w:val="000000" w:themeColor="text1"/>
                <w:spacing w:val="-10"/>
              </w:rPr>
            </w:pPr>
            <w:r w:rsidRPr="00286216">
              <w:rPr>
                <w:color w:val="000000" w:themeColor="text1"/>
                <w:spacing w:val="-10"/>
              </w:rPr>
              <w:lastRenderedPageBreak/>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422</w:t>
            </w:r>
            <w:r w:rsidRPr="00286216">
              <w:rPr>
                <w:color w:val="000000" w:themeColor="text1"/>
                <w:spacing w:val="-10"/>
              </w:rPr>
              <w:fldChar w:fldCharType="end"/>
            </w:r>
            <w:r w:rsidRPr="00286216">
              <w:rPr>
                <w:color w:val="000000" w:themeColor="text1"/>
                <w:spacing w:val="-10"/>
              </w:rPr>
              <w:t>-Н.д.Гетманцев Д.О.(Реєстр.картка №245)</w:t>
            </w:r>
          </w:p>
          <w:p w14:paraId="0984B431" w14:textId="77777777" w:rsidR="00403AAD" w:rsidRPr="00286216" w:rsidRDefault="00403AAD" w:rsidP="0011330D">
            <w:pPr>
              <w:pStyle w:val="StyleProp"/>
              <w:spacing w:line="190" w:lineRule="exact"/>
              <w:rPr>
                <w:color w:val="000000" w:themeColor="text1"/>
              </w:rPr>
            </w:pPr>
            <w:r w:rsidRPr="00286216">
              <w:rPr>
                <w:color w:val="000000" w:themeColor="text1"/>
              </w:rPr>
              <w:t>У статті 43 частину 1 доповнити абзацом такого змісту:</w:t>
            </w:r>
          </w:p>
          <w:p w14:paraId="430164B6" w14:textId="77777777" w:rsidR="00403AAD" w:rsidRPr="00286216" w:rsidRDefault="00403AAD" w:rsidP="003F49CA">
            <w:pPr>
              <w:pStyle w:val="StyleProp"/>
              <w:spacing w:line="180" w:lineRule="exact"/>
              <w:rPr>
                <w:color w:val="000000" w:themeColor="text1"/>
                <w:szCs w:val="18"/>
              </w:rPr>
            </w:pPr>
            <w:r w:rsidRPr="00286216">
              <w:rPr>
                <w:color w:val="000000" w:themeColor="text1"/>
              </w:rPr>
              <w:t xml:space="preserve">«У разі наміру ліцензіата діяльності з торгівлі фінансовими інструментами розширити види діяльності, які він має право </w:t>
            </w:r>
            <w:r w:rsidRPr="00286216">
              <w:rPr>
                <w:color w:val="000000" w:themeColor="text1"/>
              </w:rPr>
              <w:lastRenderedPageBreak/>
              <w:t>провадити на підставі ліцензії Національної комісії з цінних паперів та фондового ринку на провадження діяльності з торгівлі фінансовими інструментами, в межах видів діяльності, передбачених частиною першою статті 42 цього Закону, такий ліцензіат повинен звернутися до Національної комісії з цінних паперів та фондового ринку із заявою щодо переоформлення такої ліцензії. Переоформлення ліцензії в цьому випадку здійснються у порядку видачі ліцензії на провадження діяльності з торгівлі фінансовими інструментами.»</w:t>
            </w:r>
          </w:p>
        </w:tc>
        <w:tc>
          <w:tcPr>
            <w:tcW w:w="1987" w:type="dxa"/>
          </w:tcPr>
          <w:p w14:paraId="27817AB4"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2D4D040A" w14:textId="77777777" w:rsidR="00403AAD" w:rsidRPr="00286216" w:rsidRDefault="00403AAD" w:rsidP="00403AAD">
            <w:pPr>
              <w:pStyle w:val="StyleWisnow"/>
              <w:spacing w:line="180" w:lineRule="exact"/>
              <w:rPr>
                <w:color w:val="000000" w:themeColor="text1"/>
              </w:rPr>
            </w:pPr>
            <w:r w:rsidRPr="00286216">
              <w:rPr>
                <w:color w:val="000000" w:themeColor="text1"/>
                <w:spacing w:val="-2"/>
              </w:rPr>
              <w:t xml:space="preserve">До різних видів діяльності інвестиційної фірми з огляду на змістовні різниці у напрямках, підставах, </w:t>
            </w:r>
            <w:r w:rsidRPr="00286216">
              <w:rPr>
                <w:color w:val="000000" w:themeColor="text1"/>
                <w:spacing w:val="-2"/>
              </w:rPr>
              <w:lastRenderedPageBreak/>
              <w:t>ризиках тощо, законодавством встановлені різні вимоги, у зв’язку з цим видати єдину ліцензію не є можливим.</w:t>
            </w:r>
          </w:p>
        </w:tc>
        <w:tc>
          <w:tcPr>
            <w:tcW w:w="4818" w:type="dxa"/>
          </w:tcPr>
          <w:p w14:paraId="7EA0B365" w14:textId="504F05FD" w:rsidR="00403AAD" w:rsidRPr="00286216" w:rsidRDefault="00403AAD" w:rsidP="00403AAD">
            <w:pPr>
              <w:pStyle w:val="StyleZakonu"/>
              <w:rPr>
                <w:color w:val="000000" w:themeColor="text1"/>
              </w:rPr>
            </w:pPr>
            <w:r w:rsidRPr="00286216">
              <w:rPr>
                <w:color w:val="000000" w:themeColor="text1"/>
              </w:rPr>
              <w:lastRenderedPageBreak/>
              <w:t xml:space="preserve">Інвестиційна фірма не має права надавати додаткові послуги, передбачені частиною другою статті 44 цього Закону, які не зазначені у рішенні Національної комісії з цінних паперів та фондового ринку та не відображені у реєстрі професійних </w:t>
            </w:r>
            <w:r w:rsidRPr="00286216">
              <w:rPr>
                <w:color w:val="000000" w:themeColor="text1"/>
              </w:rPr>
              <w:lastRenderedPageBreak/>
              <w:t>учасників ринків капіталу та організованих товарних ринків.</w:t>
            </w:r>
          </w:p>
        </w:tc>
      </w:tr>
      <w:tr w:rsidR="00403AAD" w:rsidRPr="00286216" w14:paraId="64B47F0E" w14:textId="77777777" w:rsidTr="00091AA5">
        <w:tc>
          <w:tcPr>
            <w:tcW w:w="576" w:type="dxa"/>
          </w:tcPr>
          <w:p w14:paraId="3C574414" w14:textId="77777777" w:rsidR="00403AAD" w:rsidRPr="00286216" w:rsidRDefault="00403AAD" w:rsidP="00403AAD">
            <w:pPr>
              <w:pStyle w:val="StyleWisnow"/>
              <w:rPr>
                <w:color w:val="000000" w:themeColor="text1"/>
              </w:rPr>
            </w:pPr>
            <w:bookmarkStart w:id="399" w:name="n709" w:colFirst="0" w:colLast="0"/>
            <w:bookmarkEnd w:id="398"/>
            <w:r w:rsidRPr="00286216">
              <w:rPr>
                <w:color w:val="000000" w:themeColor="text1"/>
              </w:rPr>
              <w:lastRenderedPageBreak/>
              <w:t>709.</w:t>
            </w:r>
          </w:p>
        </w:tc>
        <w:tc>
          <w:tcPr>
            <w:tcW w:w="4818" w:type="dxa"/>
          </w:tcPr>
          <w:p w14:paraId="7ADB8037" w14:textId="77777777" w:rsidR="00403AAD" w:rsidRPr="00286216" w:rsidRDefault="00403AAD" w:rsidP="00403AAD">
            <w:pPr>
              <w:pStyle w:val="StyleZakonu"/>
              <w:rPr>
                <w:color w:val="000000" w:themeColor="text1"/>
              </w:rPr>
            </w:pPr>
            <w:r w:rsidRPr="00286216">
              <w:rPr>
                <w:color w:val="000000" w:themeColor="text1"/>
              </w:rPr>
              <w:t>2. Правочини, що вчиняються інвестиційною фірмою у процесі провадження нею професійної діяльності на ринках капіталу, повинні вчинятися у письмовій формі. У разі вчинення правочину в усній формі таке вчинення має бути підтверджене відповідним аудіо- або відеозаписом, вимоги до якого встановлюються Національною комісією з цінних паперів та фондового ринку.</w:t>
            </w:r>
          </w:p>
        </w:tc>
        <w:tc>
          <w:tcPr>
            <w:tcW w:w="3686" w:type="dxa"/>
          </w:tcPr>
          <w:p w14:paraId="644C7B0D" w14:textId="200ECCB2"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423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5198813" w14:textId="1F2233EC" w:rsidR="00403AAD" w:rsidRPr="00286216" w:rsidRDefault="00403AAD" w:rsidP="00403AAD">
            <w:pPr>
              <w:pStyle w:val="StyleProp"/>
              <w:spacing w:line="180" w:lineRule="exact"/>
              <w:rPr>
                <w:color w:val="000000" w:themeColor="text1"/>
              </w:rPr>
            </w:pPr>
            <w:r w:rsidRPr="00286216">
              <w:rPr>
                <w:color w:val="000000" w:themeColor="text1"/>
              </w:rPr>
              <w:t>Речення друге частини 2 статті 43 викласти у такій редакції:</w:t>
            </w:r>
          </w:p>
          <w:p w14:paraId="51D2ACB9" w14:textId="17D5D6A4" w:rsidR="00403AAD" w:rsidRPr="00286216" w:rsidRDefault="00403AAD" w:rsidP="00403AAD">
            <w:pPr>
              <w:pStyle w:val="StyleProp"/>
              <w:spacing w:line="180" w:lineRule="exact"/>
              <w:rPr>
                <w:color w:val="000000" w:themeColor="text1"/>
                <w:szCs w:val="18"/>
              </w:rPr>
            </w:pPr>
            <w:r w:rsidRPr="00286216">
              <w:rPr>
                <w:color w:val="000000" w:themeColor="text1"/>
              </w:rPr>
              <w:t>"Під час надання послуг інвестиційна фірма в порядку, встановленому Національною комісією з цінних паперів та фондового ринку, фіксує та зберігає відповідну інформацію щодо надання послуг".</w:t>
            </w:r>
          </w:p>
        </w:tc>
        <w:tc>
          <w:tcPr>
            <w:tcW w:w="1987" w:type="dxa"/>
          </w:tcPr>
          <w:p w14:paraId="1A392108" w14:textId="7269ED59"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CB4F1FF" w14:textId="2681AD54" w:rsidR="00403AAD" w:rsidRPr="00286216" w:rsidRDefault="00403AAD" w:rsidP="00403AAD">
            <w:pPr>
              <w:pStyle w:val="StyleZakonu"/>
              <w:rPr>
                <w:color w:val="000000" w:themeColor="text1"/>
              </w:rPr>
            </w:pPr>
            <w:r w:rsidRPr="00286216">
              <w:rPr>
                <w:color w:val="000000" w:themeColor="text1"/>
              </w:rPr>
              <w:t>2. Правочини, що вчиняються інвестиційною фірмою у процесі провадження нею професійної діяльності на ринках капіталу, повинні вчинятися у письмовій формі. Під час надання послуг інвестиційна фірма в порядку, встановленому Національною комісією з цінних паперів та фондового ринку, фіксує та зберігає відповідну інформацію щодо надання послуг.</w:t>
            </w:r>
          </w:p>
        </w:tc>
      </w:tr>
      <w:tr w:rsidR="00403AAD" w:rsidRPr="00286216" w14:paraId="52FC8F23" w14:textId="77777777" w:rsidTr="00091AA5">
        <w:tc>
          <w:tcPr>
            <w:tcW w:w="576" w:type="dxa"/>
          </w:tcPr>
          <w:p w14:paraId="7B7B177F" w14:textId="77777777" w:rsidR="00403AAD" w:rsidRPr="00286216" w:rsidRDefault="00403AAD" w:rsidP="00403AAD">
            <w:pPr>
              <w:pStyle w:val="StyleWisnow"/>
              <w:rPr>
                <w:color w:val="000000" w:themeColor="text1"/>
              </w:rPr>
            </w:pPr>
            <w:bookmarkStart w:id="400" w:name="n710" w:colFirst="0" w:colLast="0"/>
            <w:bookmarkEnd w:id="399"/>
            <w:r w:rsidRPr="00286216">
              <w:rPr>
                <w:color w:val="000000" w:themeColor="text1"/>
              </w:rPr>
              <w:t>710.</w:t>
            </w:r>
          </w:p>
        </w:tc>
        <w:tc>
          <w:tcPr>
            <w:tcW w:w="4818" w:type="dxa"/>
          </w:tcPr>
          <w:p w14:paraId="3C41540E" w14:textId="77777777" w:rsidR="00403AAD" w:rsidRPr="00286216" w:rsidRDefault="00403AAD" w:rsidP="00403AAD">
            <w:pPr>
              <w:pStyle w:val="StyleZakonu"/>
              <w:rPr>
                <w:color w:val="000000" w:themeColor="text1"/>
              </w:rPr>
            </w:pPr>
            <w:r w:rsidRPr="00286216">
              <w:rPr>
                <w:color w:val="000000" w:themeColor="text1"/>
              </w:rPr>
              <w:t>Права та обов’язки інвестиційної фірми стосовно її клієнта, умови укладення деривативних контрактів та/або договорів щодо інших фінансових інструментів, порядок звітності інвестиційної фірми перед клієнтом, порядок і умови виплати винагороди інвестиційній фірмі визначаються у договорі, що укладається між інвестиційною фірмою та її клієнтом.</w:t>
            </w:r>
          </w:p>
        </w:tc>
        <w:tc>
          <w:tcPr>
            <w:tcW w:w="3686" w:type="dxa"/>
          </w:tcPr>
          <w:p w14:paraId="31426CBC" w14:textId="21666E60"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424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C52455B" w14:textId="6E4CD037" w:rsidR="00403AAD" w:rsidRPr="00286216" w:rsidRDefault="00403AAD" w:rsidP="00403AAD">
            <w:pPr>
              <w:pStyle w:val="StyleProp"/>
              <w:spacing w:line="180" w:lineRule="exact"/>
              <w:rPr>
                <w:color w:val="000000" w:themeColor="text1"/>
              </w:rPr>
            </w:pPr>
            <w:r w:rsidRPr="00286216">
              <w:rPr>
                <w:color w:val="000000" w:themeColor="text1"/>
              </w:rPr>
              <w:t>Абзац 2 частини 2 статті 43 такій редакції:</w:t>
            </w:r>
          </w:p>
          <w:p w14:paraId="5B3BA4D3" w14:textId="0E99DDAA" w:rsidR="00403AAD" w:rsidRPr="00286216" w:rsidRDefault="00403AAD" w:rsidP="0011330D">
            <w:pPr>
              <w:pStyle w:val="StyleProp"/>
              <w:spacing w:line="180" w:lineRule="exact"/>
              <w:rPr>
                <w:color w:val="000000" w:themeColor="text1"/>
                <w:szCs w:val="18"/>
              </w:rPr>
            </w:pPr>
            <w:r w:rsidRPr="00286216">
              <w:rPr>
                <w:color w:val="000000" w:themeColor="text1"/>
              </w:rPr>
              <w:t>"Права та обов’язки інвестиційної фірми стосовно її клієнта, умови укладення деривативних контрактів та/або вчинення правочинів щодо фінансових інструментів, порядок звітності інвестиційної фірми перед клієнтом, порядок і умови виплати винагороди інвестиційній фірмі визначаються у договорі (правочині), що укладається між (вчиняється) інвестиційною фірмою та її клієнтом".</w:t>
            </w:r>
          </w:p>
        </w:tc>
        <w:tc>
          <w:tcPr>
            <w:tcW w:w="1987" w:type="dxa"/>
          </w:tcPr>
          <w:p w14:paraId="1A2F1AA8" w14:textId="58BC4278"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C1E5701" w14:textId="415D6074" w:rsidR="00403AAD" w:rsidRPr="00286216" w:rsidRDefault="00403AAD" w:rsidP="00403AAD">
            <w:pPr>
              <w:pStyle w:val="StyleZakonu"/>
              <w:rPr>
                <w:color w:val="000000" w:themeColor="text1"/>
              </w:rPr>
            </w:pPr>
            <w:r w:rsidRPr="00286216">
              <w:rPr>
                <w:color w:val="000000" w:themeColor="text1"/>
              </w:rPr>
              <w:t>Права та обов’язки інвестиційної фірми стосовно її клієнта, умови укладення деривативних контрактів та/або вчинення правочинів щодо фінансових інструментів, порядок звітності інвестиційної фірми перед клієнтом, порядок і умови виплати винагороди інвестиційній фірмі визначаються у договорі (правочині), що укладається(вчиняється) між інвестиційною фірмою та її клієнтом.</w:t>
            </w:r>
          </w:p>
        </w:tc>
      </w:tr>
      <w:tr w:rsidR="00403AAD" w:rsidRPr="00286216" w14:paraId="1CD60159" w14:textId="77777777" w:rsidTr="00091AA5">
        <w:tc>
          <w:tcPr>
            <w:tcW w:w="576" w:type="dxa"/>
          </w:tcPr>
          <w:p w14:paraId="3E0C2062" w14:textId="77777777" w:rsidR="00403AAD" w:rsidRPr="00286216" w:rsidRDefault="00403AAD" w:rsidP="00403AAD">
            <w:pPr>
              <w:pStyle w:val="StyleWisnow"/>
              <w:rPr>
                <w:color w:val="000000" w:themeColor="text1"/>
              </w:rPr>
            </w:pPr>
            <w:bookmarkStart w:id="401" w:name="n711" w:colFirst="0" w:colLast="0"/>
            <w:bookmarkEnd w:id="400"/>
            <w:r w:rsidRPr="00286216">
              <w:rPr>
                <w:color w:val="000000" w:themeColor="text1"/>
              </w:rPr>
              <w:t>711.</w:t>
            </w:r>
          </w:p>
        </w:tc>
        <w:tc>
          <w:tcPr>
            <w:tcW w:w="4818" w:type="dxa"/>
          </w:tcPr>
          <w:p w14:paraId="7243344D" w14:textId="77777777" w:rsidR="00403AAD" w:rsidRPr="00286216" w:rsidRDefault="00403AAD" w:rsidP="00403AAD">
            <w:pPr>
              <w:pStyle w:val="StyleZakonu"/>
              <w:rPr>
                <w:color w:val="000000" w:themeColor="text1"/>
              </w:rPr>
            </w:pPr>
            <w:r w:rsidRPr="00286216">
              <w:rPr>
                <w:color w:val="000000" w:themeColor="text1"/>
              </w:rPr>
              <w:t>3. Інвестиційна фірма веде внутрішній облік фінансових інструментів, майнових прав за ними та грошових коштів окремо для кожного клієнта та окремо від фінансових інструментів, майнових прав за ними та грошових коштів, що перебувають у власності інвестиційної фірми, відповідно до вимог, установлених Національною комісією з цінних паперів та фондового ринку. На грошові кошти, фінансові інструменти та майнові права за ними, що належать клієнтам та передаються інвестиційній фірмі у процесі провадження нею професійної діяльності на ринках капіталу, не накладається арешт та/або не звертається стягнення за зобов’язаннями такої інвестиційної фірми.</w:t>
            </w:r>
          </w:p>
        </w:tc>
        <w:tc>
          <w:tcPr>
            <w:tcW w:w="3686" w:type="dxa"/>
          </w:tcPr>
          <w:p w14:paraId="173A72F9" w14:textId="77777777" w:rsidR="00403AAD" w:rsidRPr="00286216" w:rsidRDefault="00403AAD" w:rsidP="00403AAD">
            <w:pPr>
              <w:pStyle w:val="StyleProp"/>
              <w:rPr>
                <w:color w:val="000000" w:themeColor="text1"/>
                <w:szCs w:val="18"/>
              </w:rPr>
            </w:pPr>
          </w:p>
        </w:tc>
        <w:tc>
          <w:tcPr>
            <w:tcW w:w="1987" w:type="dxa"/>
          </w:tcPr>
          <w:p w14:paraId="38597DD2" w14:textId="77777777" w:rsidR="00403AAD" w:rsidRPr="00286216" w:rsidRDefault="00403AAD" w:rsidP="00403AAD">
            <w:pPr>
              <w:pStyle w:val="StyleWisnow"/>
              <w:rPr>
                <w:color w:val="000000" w:themeColor="text1"/>
              </w:rPr>
            </w:pPr>
          </w:p>
        </w:tc>
        <w:tc>
          <w:tcPr>
            <w:tcW w:w="4818" w:type="dxa"/>
          </w:tcPr>
          <w:p w14:paraId="5C3CA014" w14:textId="565F23FD" w:rsidR="00403AAD" w:rsidRPr="00286216" w:rsidRDefault="00403AAD" w:rsidP="00403AAD">
            <w:pPr>
              <w:pStyle w:val="StyleZakonu"/>
              <w:rPr>
                <w:color w:val="000000" w:themeColor="text1"/>
              </w:rPr>
            </w:pPr>
            <w:r w:rsidRPr="00286216">
              <w:rPr>
                <w:color w:val="000000" w:themeColor="text1"/>
              </w:rPr>
              <w:t>3. Інвестиційна фірма веде внутрішній облік фінансових інструментів, майнових прав за ними та грошових коштів окремо для кожного клієнта та окремо від фінансових інструментів, майнових прав за ними та грошових коштів, що перебувають у власності інвестиційної фірми, відповідно до вимог, установлених Національною комісією з цінних паперів та фондового ринку. На грошові кошти, фінансові інструменти та майнові права за ними, що належать клієнтам та передаються інвестиційній фірмі у процесі провадження нею професійної діяльності на ринках капіталу, не накладається арешт та/або не звертається стягнення за зобов’язаннями такої інвестиційної фірми.</w:t>
            </w:r>
          </w:p>
        </w:tc>
      </w:tr>
      <w:tr w:rsidR="00403AAD" w:rsidRPr="00286216" w14:paraId="290FDCE0" w14:textId="77777777" w:rsidTr="00091AA5">
        <w:tc>
          <w:tcPr>
            <w:tcW w:w="576" w:type="dxa"/>
          </w:tcPr>
          <w:p w14:paraId="58FE8441" w14:textId="77777777" w:rsidR="00403AAD" w:rsidRPr="00286216" w:rsidRDefault="00403AAD" w:rsidP="00403AAD">
            <w:pPr>
              <w:pStyle w:val="StyleWisnow"/>
              <w:rPr>
                <w:color w:val="000000" w:themeColor="text1"/>
              </w:rPr>
            </w:pPr>
            <w:bookmarkStart w:id="402" w:name="n712" w:colFirst="0" w:colLast="0"/>
            <w:bookmarkEnd w:id="401"/>
            <w:r w:rsidRPr="00286216">
              <w:rPr>
                <w:color w:val="000000" w:themeColor="text1"/>
              </w:rPr>
              <w:t>712.</w:t>
            </w:r>
          </w:p>
        </w:tc>
        <w:tc>
          <w:tcPr>
            <w:tcW w:w="4818" w:type="dxa"/>
          </w:tcPr>
          <w:p w14:paraId="3724920C" w14:textId="77777777" w:rsidR="00403AAD" w:rsidRPr="00286216" w:rsidRDefault="00403AAD" w:rsidP="00403AAD">
            <w:pPr>
              <w:pStyle w:val="StyleZakonu"/>
              <w:rPr>
                <w:color w:val="000000" w:themeColor="text1"/>
              </w:rPr>
            </w:pPr>
            <w:r w:rsidRPr="00286216">
              <w:rPr>
                <w:color w:val="000000" w:themeColor="text1"/>
              </w:rPr>
              <w:t xml:space="preserve">У процесі провадження професійної діяльності інвестиційна фірма може залучати грошові кошти, </w:t>
            </w:r>
            <w:r w:rsidRPr="00286216">
              <w:rPr>
                <w:color w:val="000000" w:themeColor="text1"/>
              </w:rPr>
              <w:lastRenderedPageBreak/>
              <w:t>якщо це передбачено відповідним договором з клієнтом, шляхом зарахування грошових коштів клієнта на окремий поточний рахунок інвестиційної фірми у банку, призначений виключно для проведення операцій клієнта інвестиційної фірми з цінними паперами та/або іншими фінансовими інструментами.</w:t>
            </w:r>
          </w:p>
        </w:tc>
        <w:tc>
          <w:tcPr>
            <w:tcW w:w="3686" w:type="dxa"/>
          </w:tcPr>
          <w:p w14:paraId="1103A76F" w14:textId="77777777" w:rsidR="00403AAD" w:rsidRPr="00286216" w:rsidRDefault="00403AAD" w:rsidP="00403AAD">
            <w:pPr>
              <w:pStyle w:val="StyleProp"/>
              <w:rPr>
                <w:color w:val="000000" w:themeColor="text1"/>
                <w:szCs w:val="18"/>
              </w:rPr>
            </w:pPr>
          </w:p>
        </w:tc>
        <w:tc>
          <w:tcPr>
            <w:tcW w:w="1987" w:type="dxa"/>
          </w:tcPr>
          <w:p w14:paraId="543B1554" w14:textId="77777777" w:rsidR="00403AAD" w:rsidRPr="00286216" w:rsidRDefault="00403AAD" w:rsidP="00403AAD">
            <w:pPr>
              <w:pStyle w:val="StyleWisnow"/>
              <w:rPr>
                <w:color w:val="000000" w:themeColor="text1"/>
              </w:rPr>
            </w:pPr>
          </w:p>
        </w:tc>
        <w:tc>
          <w:tcPr>
            <w:tcW w:w="4818" w:type="dxa"/>
          </w:tcPr>
          <w:p w14:paraId="79AE26B5" w14:textId="32FB880F" w:rsidR="00403AAD" w:rsidRPr="00286216" w:rsidRDefault="00403AAD" w:rsidP="00403AAD">
            <w:pPr>
              <w:pStyle w:val="StyleZakonu"/>
              <w:rPr>
                <w:color w:val="000000" w:themeColor="text1"/>
              </w:rPr>
            </w:pPr>
            <w:r w:rsidRPr="00286216">
              <w:rPr>
                <w:color w:val="000000" w:themeColor="text1"/>
              </w:rPr>
              <w:t xml:space="preserve">У процесі провадження професійної діяльності інвестиційна фірма може залучати грошові кошти, </w:t>
            </w:r>
            <w:r w:rsidRPr="00286216">
              <w:rPr>
                <w:color w:val="000000" w:themeColor="text1"/>
              </w:rPr>
              <w:lastRenderedPageBreak/>
              <w:t>якщо це передбачено відповідним договором з клієнтом, шляхом зарахування грошових коштів клієнта на окремий поточний рахунок інвестиційної фірми у банку, призначений виключно для проведення операцій клієнта інвестиційної фірми з цінними паперами та/або іншими фінансовими інструментами.</w:t>
            </w:r>
          </w:p>
        </w:tc>
      </w:tr>
      <w:tr w:rsidR="00403AAD" w:rsidRPr="00286216" w14:paraId="1432DEC1" w14:textId="77777777" w:rsidTr="00091AA5">
        <w:tc>
          <w:tcPr>
            <w:tcW w:w="576" w:type="dxa"/>
          </w:tcPr>
          <w:p w14:paraId="60993F3C" w14:textId="77777777" w:rsidR="00403AAD" w:rsidRPr="00286216" w:rsidRDefault="00403AAD" w:rsidP="00403AAD">
            <w:pPr>
              <w:pStyle w:val="StyleWisnow"/>
              <w:rPr>
                <w:color w:val="000000" w:themeColor="text1"/>
              </w:rPr>
            </w:pPr>
            <w:bookmarkStart w:id="403" w:name="n713" w:colFirst="0" w:colLast="0"/>
            <w:bookmarkEnd w:id="402"/>
            <w:r w:rsidRPr="00286216">
              <w:rPr>
                <w:color w:val="000000" w:themeColor="text1"/>
              </w:rPr>
              <w:lastRenderedPageBreak/>
              <w:t>713.</w:t>
            </w:r>
          </w:p>
        </w:tc>
        <w:tc>
          <w:tcPr>
            <w:tcW w:w="4818" w:type="dxa"/>
          </w:tcPr>
          <w:p w14:paraId="721BD409" w14:textId="77777777" w:rsidR="00403AAD" w:rsidRPr="00286216" w:rsidRDefault="00403AAD" w:rsidP="00403AAD">
            <w:pPr>
              <w:pStyle w:val="StyleZakonu"/>
              <w:rPr>
                <w:color w:val="000000" w:themeColor="text1"/>
              </w:rPr>
            </w:pPr>
            <w:r w:rsidRPr="00286216">
              <w:rPr>
                <w:color w:val="000000" w:themeColor="text1"/>
              </w:rPr>
              <w:t>Інвестиційна фірма може відкривати окремий поточний рахунок у банку для обліку коштів та проведення з цінними паперами та/або іншими фінансовими інструментами операцій одного або кількох клієнтів інвестиційної фірми, якщо це передбачено умовами договорів з клієнтами.</w:t>
            </w:r>
          </w:p>
        </w:tc>
        <w:tc>
          <w:tcPr>
            <w:tcW w:w="3686" w:type="dxa"/>
          </w:tcPr>
          <w:p w14:paraId="30A2450C" w14:textId="77777777" w:rsidR="00403AAD" w:rsidRPr="00286216" w:rsidRDefault="00403AAD" w:rsidP="00403AAD">
            <w:pPr>
              <w:pStyle w:val="StyleProp"/>
              <w:rPr>
                <w:color w:val="000000" w:themeColor="text1"/>
                <w:szCs w:val="18"/>
              </w:rPr>
            </w:pPr>
          </w:p>
        </w:tc>
        <w:tc>
          <w:tcPr>
            <w:tcW w:w="1987" w:type="dxa"/>
          </w:tcPr>
          <w:p w14:paraId="5C3FA6DD" w14:textId="77777777" w:rsidR="00403AAD" w:rsidRPr="00286216" w:rsidRDefault="00403AAD" w:rsidP="00403AAD">
            <w:pPr>
              <w:pStyle w:val="StyleWisnow"/>
              <w:rPr>
                <w:color w:val="000000" w:themeColor="text1"/>
              </w:rPr>
            </w:pPr>
          </w:p>
        </w:tc>
        <w:tc>
          <w:tcPr>
            <w:tcW w:w="4818" w:type="dxa"/>
          </w:tcPr>
          <w:p w14:paraId="10F14D65" w14:textId="5C0275AA" w:rsidR="00403AAD" w:rsidRPr="00286216" w:rsidRDefault="00403AAD" w:rsidP="00403AAD">
            <w:pPr>
              <w:pStyle w:val="StyleZakonu"/>
              <w:rPr>
                <w:color w:val="000000" w:themeColor="text1"/>
              </w:rPr>
            </w:pPr>
            <w:r w:rsidRPr="00286216">
              <w:rPr>
                <w:color w:val="000000" w:themeColor="text1"/>
              </w:rPr>
              <w:t>Інвестиційна фірма може відкривати окремий поточний рахунок у банку для обліку коштів та проведення з цінними паперами та/або іншими фінансовими інструментами операцій одного або кількох клієнтів інвестиційної фірми, якщо це передбачено умовами договорів з клієнтами.</w:t>
            </w:r>
          </w:p>
        </w:tc>
      </w:tr>
      <w:tr w:rsidR="00403AAD" w:rsidRPr="00286216" w14:paraId="2BE9A82E" w14:textId="77777777" w:rsidTr="00091AA5">
        <w:tc>
          <w:tcPr>
            <w:tcW w:w="576" w:type="dxa"/>
          </w:tcPr>
          <w:p w14:paraId="7E985B64" w14:textId="77777777" w:rsidR="00403AAD" w:rsidRPr="00286216" w:rsidRDefault="00403AAD" w:rsidP="00403AAD">
            <w:pPr>
              <w:pStyle w:val="StyleWisnow"/>
              <w:rPr>
                <w:color w:val="000000" w:themeColor="text1"/>
              </w:rPr>
            </w:pPr>
            <w:bookmarkStart w:id="404" w:name="n714" w:colFirst="0" w:colLast="0"/>
            <w:bookmarkEnd w:id="403"/>
            <w:r w:rsidRPr="00286216">
              <w:rPr>
                <w:color w:val="000000" w:themeColor="text1"/>
              </w:rPr>
              <w:t>714.</w:t>
            </w:r>
          </w:p>
        </w:tc>
        <w:tc>
          <w:tcPr>
            <w:tcW w:w="4818" w:type="dxa"/>
          </w:tcPr>
          <w:p w14:paraId="35F6FDE5" w14:textId="77777777" w:rsidR="00403AAD" w:rsidRPr="00286216" w:rsidRDefault="00403AAD" w:rsidP="00403AAD">
            <w:pPr>
              <w:pStyle w:val="StyleZakonu"/>
              <w:rPr>
                <w:color w:val="000000" w:themeColor="text1"/>
              </w:rPr>
            </w:pPr>
            <w:r w:rsidRPr="00286216">
              <w:rPr>
                <w:color w:val="000000" w:themeColor="text1"/>
              </w:rPr>
              <w:t>Інвестиційна фірма звітує перед клієнтами про використання їхніх грошових коштів.</w:t>
            </w:r>
          </w:p>
        </w:tc>
        <w:tc>
          <w:tcPr>
            <w:tcW w:w="3686" w:type="dxa"/>
          </w:tcPr>
          <w:p w14:paraId="5F7709B0" w14:textId="66A08A4B"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425</w:t>
            </w:r>
            <w:r w:rsidRPr="00286216">
              <w:rPr>
                <w:color w:val="000000" w:themeColor="text1"/>
                <w:spacing w:val="-10"/>
              </w:rPr>
              <w:fldChar w:fldCharType="end"/>
            </w:r>
            <w:r w:rsidRPr="00286216">
              <w:rPr>
                <w:color w:val="000000" w:themeColor="text1"/>
                <w:spacing w:val="-10"/>
              </w:rPr>
              <w:t>-Н.д.Гетманцев Д.О.(Реєстр.картка №245)</w:t>
            </w:r>
          </w:p>
          <w:p w14:paraId="74BB9A6C" w14:textId="77777777" w:rsidR="00403AAD" w:rsidRPr="00286216" w:rsidRDefault="00403AAD" w:rsidP="003F49CA">
            <w:pPr>
              <w:pStyle w:val="StyleProp"/>
              <w:spacing w:line="180" w:lineRule="exact"/>
              <w:rPr>
                <w:color w:val="000000" w:themeColor="text1"/>
              </w:rPr>
            </w:pPr>
            <w:r w:rsidRPr="00286216">
              <w:rPr>
                <w:color w:val="000000" w:themeColor="text1"/>
              </w:rPr>
              <w:t>У статті 43 абзац 4 частини 3 після слів «грошових коштів» доповнити словами «, але не рідше одного разу протягом календарного кварталу, окрім випадку, коли договором, укладеним між інвестиційною фірмою та клієнтом, передбачено менший строк щодо здійснення такого звітування.»</w:t>
            </w:r>
          </w:p>
        </w:tc>
        <w:tc>
          <w:tcPr>
            <w:tcW w:w="1987" w:type="dxa"/>
          </w:tcPr>
          <w:p w14:paraId="5C201A3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69BA3D9" w14:textId="016BC65D" w:rsidR="00403AAD" w:rsidRPr="00286216" w:rsidRDefault="00403AAD" w:rsidP="00403AAD">
            <w:pPr>
              <w:pStyle w:val="StyleZakonu"/>
              <w:rPr>
                <w:color w:val="000000" w:themeColor="text1"/>
              </w:rPr>
            </w:pPr>
            <w:r w:rsidRPr="00286216">
              <w:rPr>
                <w:color w:val="000000" w:themeColor="text1"/>
              </w:rPr>
              <w:t>Інвестиційна фірма звітує перед клієнтами про використання їхніх грошових коштів не рідше одного разу протягом календарного кварталу, крім випадку, коли договором, укладеним між інвестиційною фірмою та клієнтом, передбачено менший строк щодо здійснення такого звітування.</w:t>
            </w:r>
          </w:p>
        </w:tc>
      </w:tr>
      <w:tr w:rsidR="00403AAD" w:rsidRPr="00286216" w14:paraId="529FCC31" w14:textId="77777777" w:rsidTr="00091AA5">
        <w:tc>
          <w:tcPr>
            <w:tcW w:w="576" w:type="dxa"/>
          </w:tcPr>
          <w:p w14:paraId="3DE5B937" w14:textId="77777777" w:rsidR="00403AAD" w:rsidRPr="00286216" w:rsidRDefault="00403AAD" w:rsidP="00403AAD">
            <w:pPr>
              <w:pStyle w:val="StyleWisnow"/>
              <w:rPr>
                <w:color w:val="000000" w:themeColor="text1"/>
              </w:rPr>
            </w:pPr>
            <w:bookmarkStart w:id="405" w:name="n715" w:colFirst="0" w:colLast="0"/>
            <w:bookmarkEnd w:id="404"/>
            <w:r w:rsidRPr="00286216">
              <w:rPr>
                <w:color w:val="000000" w:themeColor="text1"/>
              </w:rPr>
              <w:t>715.</w:t>
            </w:r>
          </w:p>
        </w:tc>
        <w:tc>
          <w:tcPr>
            <w:tcW w:w="4818" w:type="dxa"/>
          </w:tcPr>
          <w:p w14:paraId="30FF37EA" w14:textId="77777777" w:rsidR="00403AAD" w:rsidRPr="00286216" w:rsidRDefault="00403AAD" w:rsidP="00403AAD">
            <w:pPr>
              <w:pStyle w:val="StyleZakonu"/>
              <w:rPr>
                <w:color w:val="000000" w:themeColor="text1"/>
              </w:rPr>
            </w:pPr>
            <w:r w:rsidRPr="00286216">
              <w:rPr>
                <w:color w:val="000000" w:themeColor="text1"/>
              </w:rPr>
              <w:t>4. Інвестиційна фірма вправі використовувати грошові кошти клієнтів, якщо це передбачено договором з клієнтом. Нормативно-правовим актом Національної комісії з цінних паперів та фондового ринку встановлюється порядок використання таких коштів.</w:t>
            </w:r>
          </w:p>
        </w:tc>
        <w:tc>
          <w:tcPr>
            <w:tcW w:w="3686" w:type="dxa"/>
          </w:tcPr>
          <w:p w14:paraId="4A10EA0B" w14:textId="77777777" w:rsidR="00403AAD" w:rsidRPr="00286216" w:rsidRDefault="00403AAD" w:rsidP="00403AAD">
            <w:pPr>
              <w:pStyle w:val="StyleProp"/>
              <w:rPr>
                <w:color w:val="000000" w:themeColor="text1"/>
                <w:szCs w:val="18"/>
              </w:rPr>
            </w:pPr>
          </w:p>
        </w:tc>
        <w:tc>
          <w:tcPr>
            <w:tcW w:w="1987" w:type="dxa"/>
          </w:tcPr>
          <w:p w14:paraId="05EF8044" w14:textId="77777777" w:rsidR="00403AAD" w:rsidRPr="00286216" w:rsidRDefault="00403AAD" w:rsidP="00403AAD">
            <w:pPr>
              <w:pStyle w:val="StyleWisnow"/>
              <w:rPr>
                <w:color w:val="000000" w:themeColor="text1"/>
              </w:rPr>
            </w:pPr>
          </w:p>
        </w:tc>
        <w:tc>
          <w:tcPr>
            <w:tcW w:w="4818" w:type="dxa"/>
          </w:tcPr>
          <w:p w14:paraId="50186321" w14:textId="4E4465B9" w:rsidR="00403AAD" w:rsidRPr="00286216" w:rsidRDefault="00403AAD" w:rsidP="00403AAD">
            <w:pPr>
              <w:pStyle w:val="StyleZakonu"/>
              <w:rPr>
                <w:color w:val="000000" w:themeColor="text1"/>
              </w:rPr>
            </w:pPr>
            <w:r w:rsidRPr="00286216">
              <w:rPr>
                <w:color w:val="000000" w:themeColor="text1"/>
              </w:rPr>
              <w:t>4. Інвестиційна фірма вправі використовувати грошові кошти клієнтів, якщо це передбачено договором з клієнтом. Нормативно-правовим актом Національної комісії з цінних паперів та фондового ринку встановлюється порядок використання таких коштів.</w:t>
            </w:r>
          </w:p>
        </w:tc>
      </w:tr>
      <w:tr w:rsidR="00403AAD" w:rsidRPr="00286216" w14:paraId="4EB6EE78" w14:textId="77777777" w:rsidTr="00091AA5">
        <w:tc>
          <w:tcPr>
            <w:tcW w:w="576" w:type="dxa"/>
          </w:tcPr>
          <w:p w14:paraId="57696085" w14:textId="77777777" w:rsidR="00403AAD" w:rsidRPr="00286216" w:rsidRDefault="00403AAD" w:rsidP="00403AAD">
            <w:pPr>
              <w:pStyle w:val="StyleWisnow"/>
              <w:rPr>
                <w:color w:val="000000" w:themeColor="text1"/>
              </w:rPr>
            </w:pPr>
            <w:bookmarkStart w:id="406" w:name="n716" w:colFirst="0" w:colLast="0"/>
            <w:bookmarkEnd w:id="405"/>
            <w:r w:rsidRPr="00286216">
              <w:rPr>
                <w:color w:val="000000" w:themeColor="text1"/>
              </w:rPr>
              <w:t>716.</w:t>
            </w:r>
          </w:p>
        </w:tc>
        <w:tc>
          <w:tcPr>
            <w:tcW w:w="4818" w:type="dxa"/>
          </w:tcPr>
          <w:p w14:paraId="00A8BDAA" w14:textId="77777777" w:rsidR="00403AAD" w:rsidRPr="00286216" w:rsidRDefault="00403AAD" w:rsidP="00403AAD">
            <w:pPr>
              <w:pStyle w:val="StyleZakonu"/>
              <w:rPr>
                <w:color w:val="000000" w:themeColor="text1"/>
              </w:rPr>
            </w:pPr>
            <w:r w:rsidRPr="00286216">
              <w:rPr>
                <w:color w:val="000000" w:themeColor="text1"/>
              </w:rPr>
              <w:t>Договором з клієнтом може бути передбачено розподіл між сторонами прибутку, отриманого інвестиційною фірмою від використання грошових коштів клієнта.</w:t>
            </w:r>
          </w:p>
        </w:tc>
        <w:tc>
          <w:tcPr>
            <w:tcW w:w="3686" w:type="dxa"/>
          </w:tcPr>
          <w:p w14:paraId="6480D316" w14:textId="77777777" w:rsidR="00403AAD" w:rsidRPr="00286216" w:rsidRDefault="00403AAD" w:rsidP="00403AAD">
            <w:pPr>
              <w:pStyle w:val="StyleProp"/>
              <w:rPr>
                <w:color w:val="000000" w:themeColor="text1"/>
                <w:szCs w:val="18"/>
              </w:rPr>
            </w:pPr>
          </w:p>
        </w:tc>
        <w:tc>
          <w:tcPr>
            <w:tcW w:w="1987" w:type="dxa"/>
          </w:tcPr>
          <w:p w14:paraId="3D2ED2E7" w14:textId="77777777" w:rsidR="00403AAD" w:rsidRPr="00286216" w:rsidRDefault="00403AAD" w:rsidP="00403AAD">
            <w:pPr>
              <w:pStyle w:val="StyleWisnow"/>
              <w:rPr>
                <w:color w:val="000000" w:themeColor="text1"/>
              </w:rPr>
            </w:pPr>
          </w:p>
        </w:tc>
        <w:tc>
          <w:tcPr>
            <w:tcW w:w="4818" w:type="dxa"/>
          </w:tcPr>
          <w:p w14:paraId="485DBA0A" w14:textId="4CAA1915" w:rsidR="00403AAD" w:rsidRPr="00286216" w:rsidRDefault="00403AAD" w:rsidP="00403AAD">
            <w:pPr>
              <w:pStyle w:val="StyleZakonu"/>
              <w:rPr>
                <w:color w:val="000000" w:themeColor="text1"/>
              </w:rPr>
            </w:pPr>
            <w:r w:rsidRPr="00286216">
              <w:rPr>
                <w:color w:val="000000" w:themeColor="text1"/>
              </w:rPr>
              <w:t>Договором з клієнтом може бути передбачено розподіл між сторонами прибутку, отриманого інвестиційною фірмою від використання грошових коштів клієнта.</w:t>
            </w:r>
          </w:p>
        </w:tc>
      </w:tr>
      <w:tr w:rsidR="00403AAD" w:rsidRPr="00286216" w14:paraId="781D5D3D" w14:textId="77777777" w:rsidTr="00091AA5">
        <w:tc>
          <w:tcPr>
            <w:tcW w:w="576" w:type="dxa"/>
          </w:tcPr>
          <w:p w14:paraId="5AE74D74" w14:textId="77777777" w:rsidR="00403AAD" w:rsidRPr="00286216" w:rsidRDefault="00403AAD" w:rsidP="00403AAD">
            <w:pPr>
              <w:pStyle w:val="StyleWisnow"/>
              <w:rPr>
                <w:color w:val="000000" w:themeColor="text1"/>
              </w:rPr>
            </w:pPr>
            <w:bookmarkStart w:id="407" w:name="n717" w:colFirst="0" w:colLast="0"/>
            <w:bookmarkEnd w:id="406"/>
            <w:r w:rsidRPr="00286216">
              <w:rPr>
                <w:color w:val="000000" w:themeColor="text1"/>
              </w:rPr>
              <w:t>717.</w:t>
            </w:r>
          </w:p>
        </w:tc>
        <w:tc>
          <w:tcPr>
            <w:tcW w:w="4818" w:type="dxa"/>
          </w:tcPr>
          <w:p w14:paraId="76934F80" w14:textId="77777777" w:rsidR="00403AAD" w:rsidRPr="00286216" w:rsidRDefault="00403AAD" w:rsidP="00403AAD">
            <w:pPr>
              <w:pStyle w:val="StyleZakonu"/>
              <w:rPr>
                <w:color w:val="000000" w:themeColor="text1"/>
              </w:rPr>
            </w:pPr>
            <w:r w:rsidRPr="00286216">
              <w:rPr>
                <w:color w:val="000000" w:themeColor="text1"/>
              </w:rPr>
              <w:t>5. Інвестиційна фірма може виступати поручителем або гарантом виконання зобов’язань перед третіми особами за договорами, що укладаються від імені клієнта такої інвестиційної фірми, отримуючи за це винагороду, що визначається договором інвестиційної фірми з клієнтом.</w:t>
            </w:r>
          </w:p>
        </w:tc>
        <w:tc>
          <w:tcPr>
            <w:tcW w:w="3686" w:type="dxa"/>
          </w:tcPr>
          <w:p w14:paraId="0C5DE514" w14:textId="77777777" w:rsidR="00403AAD" w:rsidRPr="00286216" w:rsidRDefault="00403AAD" w:rsidP="00403AAD">
            <w:pPr>
              <w:pStyle w:val="StyleProp"/>
              <w:rPr>
                <w:color w:val="000000" w:themeColor="text1"/>
                <w:szCs w:val="18"/>
              </w:rPr>
            </w:pPr>
          </w:p>
        </w:tc>
        <w:tc>
          <w:tcPr>
            <w:tcW w:w="1987" w:type="dxa"/>
          </w:tcPr>
          <w:p w14:paraId="0929E23F" w14:textId="77777777" w:rsidR="00403AAD" w:rsidRPr="00286216" w:rsidRDefault="00403AAD" w:rsidP="00403AAD">
            <w:pPr>
              <w:pStyle w:val="StyleWisnow"/>
              <w:rPr>
                <w:color w:val="000000" w:themeColor="text1"/>
              </w:rPr>
            </w:pPr>
          </w:p>
        </w:tc>
        <w:tc>
          <w:tcPr>
            <w:tcW w:w="4818" w:type="dxa"/>
          </w:tcPr>
          <w:p w14:paraId="26D94449" w14:textId="3A91EADF" w:rsidR="00403AAD" w:rsidRPr="00286216" w:rsidRDefault="00403AAD" w:rsidP="00403AAD">
            <w:pPr>
              <w:pStyle w:val="StyleZakonu"/>
              <w:rPr>
                <w:color w:val="000000" w:themeColor="text1"/>
              </w:rPr>
            </w:pPr>
            <w:r w:rsidRPr="00286216">
              <w:rPr>
                <w:color w:val="000000" w:themeColor="text1"/>
              </w:rPr>
              <w:t>5. Інвестиційна фірма може виступати поручителем або гарантом виконання зобов’язань перед третіми особами за договорами, що укладаються від імені клієнта такої інвестиційної фірми, отримуючи за це винагороду, що визначається договором інвестиційної фірми з клієнтом.</w:t>
            </w:r>
          </w:p>
        </w:tc>
      </w:tr>
      <w:tr w:rsidR="00403AAD" w:rsidRPr="00286216" w14:paraId="515A3AD4" w14:textId="77777777" w:rsidTr="00091AA5">
        <w:tc>
          <w:tcPr>
            <w:tcW w:w="576" w:type="dxa"/>
          </w:tcPr>
          <w:p w14:paraId="198EDA42" w14:textId="77777777" w:rsidR="00403AAD" w:rsidRPr="00286216" w:rsidRDefault="00403AAD" w:rsidP="00403AAD">
            <w:pPr>
              <w:pStyle w:val="StyleWisnow"/>
              <w:rPr>
                <w:color w:val="000000" w:themeColor="text1"/>
              </w:rPr>
            </w:pPr>
            <w:bookmarkStart w:id="408" w:name="n718" w:colFirst="0" w:colLast="0"/>
            <w:bookmarkEnd w:id="407"/>
            <w:r w:rsidRPr="00286216">
              <w:rPr>
                <w:color w:val="000000" w:themeColor="text1"/>
              </w:rPr>
              <w:t>718.</w:t>
            </w:r>
          </w:p>
        </w:tc>
        <w:tc>
          <w:tcPr>
            <w:tcW w:w="4818" w:type="dxa"/>
          </w:tcPr>
          <w:p w14:paraId="1857DB70" w14:textId="77777777" w:rsidR="00403AAD" w:rsidRPr="00286216" w:rsidRDefault="00403AAD" w:rsidP="00403AAD">
            <w:pPr>
              <w:pStyle w:val="StyleZakonu"/>
              <w:rPr>
                <w:color w:val="000000" w:themeColor="text1"/>
              </w:rPr>
            </w:pPr>
            <w:r w:rsidRPr="00286216">
              <w:rPr>
                <w:color w:val="000000" w:themeColor="text1"/>
              </w:rPr>
              <w:t>6. Правочини щодо фінансових інструментів повинні вчинятися за участю або посередництвом інвестиційної фірми, крім випадків:</w:t>
            </w:r>
          </w:p>
        </w:tc>
        <w:tc>
          <w:tcPr>
            <w:tcW w:w="3686" w:type="dxa"/>
          </w:tcPr>
          <w:p w14:paraId="318D9988" w14:textId="182E3B63" w:rsidR="00403AAD" w:rsidRPr="00286216" w:rsidRDefault="00403AAD" w:rsidP="00403A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426</w:t>
            </w:r>
            <w:r w:rsidRPr="00286216">
              <w:rPr>
                <w:color w:val="000000" w:themeColor="text1"/>
                <w:spacing w:val="-4"/>
              </w:rPr>
              <w:fldChar w:fldCharType="end"/>
            </w:r>
            <w:r w:rsidRPr="00286216">
              <w:rPr>
                <w:color w:val="000000" w:themeColor="text1"/>
                <w:spacing w:val="-4"/>
              </w:rPr>
              <w:t>-Н.д.Бєлькова О.В. (Реєстр.картка №403)</w:t>
            </w:r>
          </w:p>
          <w:p w14:paraId="7D8A19C5" w14:textId="7D6971E4" w:rsidR="00403AAD" w:rsidRPr="00286216" w:rsidRDefault="00403AAD" w:rsidP="00403AAD">
            <w:pPr>
              <w:pStyle w:val="StyleProp"/>
              <w:spacing w:line="180" w:lineRule="exact"/>
              <w:rPr>
                <w:color w:val="000000" w:themeColor="text1"/>
                <w:szCs w:val="18"/>
              </w:rPr>
            </w:pPr>
            <w:r w:rsidRPr="00286216">
              <w:rPr>
                <w:color w:val="000000" w:themeColor="text1"/>
              </w:rPr>
              <w:t>Перенести положення статті 43 про правочини щодо фінансових інструментів, які повинні вчинятися без участі або посередництва інвестиційної фірми, до статті щодо особливостей укладення правочинів з фінансовими інструментами.</w:t>
            </w:r>
          </w:p>
        </w:tc>
        <w:tc>
          <w:tcPr>
            <w:tcW w:w="1987" w:type="dxa"/>
          </w:tcPr>
          <w:p w14:paraId="06FD96EF" w14:textId="77777777" w:rsidR="00403AAD" w:rsidRPr="00286216" w:rsidRDefault="00403AAD" w:rsidP="00403AAD">
            <w:pPr>
              <w:pStyle w:val="StyleWisnow"/>
              <w:rPr>
                <w:color w:val="000000" w:themeColor="text1"/>
              </w:rPr>
            </w:pPr>
            <w:r w:rsidRPr="00286216">
              <w:rPr>
                <w:color w:val="000000" w:themeColor="text1"/>
              </w:rPr>
              <w:t>Враховано</w:t>
            </w:r>
          </w:p>
          <w:p w14:paraId="360BA2B6" w14:textId="5E6D1812" w:rsidR="00403AAD" w:rsidRPr="00286216" w:rsidRDefault="00403AAD" w:rsidP="00403AAD">
            <w:pPr>
              <w:pStyle w:val="StyleWisnow"/>
              <w:rPr>
                <w:color w:val="000000" w:themeColor="text1"/>
              </w:rPr>
            </w:pPr>
            <w:r w:rsidRPr="00286216">
              <w:rPr>
                <w:color w:val="000000" w:themeColor="text1"/>
              </w:rPr>
              <w:t>в редакції статті 36</w:t>
            </w:r>
          </w:p>
        </w:tc>
        <w:tc>
          <w:tcPr>
            <w:tcW w:w="4818" w:type="dxa"/>
          </w:tcPr>
          <w:p w14:paraId="776DFB9A" w14:textId="42FCCECC" w:rsidR="00403AAD" w:rsidRPr="00286216" w:rsidRDefault="00403AAD" w:rsidP="00403AAD">
            <w:pPr>
              <w:pStyle w:val="StyleZakonu"/>
              <w:rPr>
                <w:color w:val="000000" w:themeColor="text1"/>
              </w:rPr>
            </w:pPr>
          </w:p>
        </w:tc>
      </w:tr>
      <w:tr w:rsidR="00403AAD" w:rsidRPr="00286216" w14:paraId="40F125D0" w14:textId="77777777" w:rsidTr="00091AA5">
        <w:tc>
          <w:tcPr>
            <w:tcW w:w="576" w:type="dxa"/>
          </w:tcPr>
          <w:p w14:paraId="0D8FC8D6" w14:textId="77777777" w:rsidR="00403AAD" w:rsidRPr="00286216" w:rsidRDefault="00403AAD" w:rsidP="00403AAD">
            <w:pPr>
              <w:pStyle w:val="StyleWisnow"/>
              <w:rPr>
                <w:color w:val="000000" w:themeColor="text1"/>
              </w:rPr>
            </w:pPr>
            <w:bookmarkStart w:id="409" w:name="n719" w:colFirst="0" w:colLast="0"/>
            <w:bookmarkEnd w:id="408"/>
            <w:r w:rsidRPr="00286216">
              <w:rPr>
                <w:color w:val="000000" w:themeColor="text1"/>
              </w:rPr>
              <w:t>719.</w:t>
            </w:r>
          </w:p>
        </w:tc>
        <w:tc>
          <w:tcPr>
            <w:tcW w:w="4818" w:type="dxa"/>
          </w:tcPr>
          <w:p w14:paraId="601869D8" w14:textId="77777777" w:rsidR="00403AAD" w:rsidRPr="00286216" w:rsidRDefault="00403AAD" w:rsidP="00403AAD">
            <w:pPr>
              <w:pStyle w:val="StyleZakonu"/>
              <w:rPr>
                <w:color w:val="000000" w:themeColor="text1"/>
              </w:rPr>
            </w:pPr>
            <w:r w:rsidRPr="00286216">
              <w:rPr>
                <w:color w:val="000000" w:themeColor="text1"/>
              </w:rPr>
              <w:t>1) розміщення емітентом власних цінних паперів;</w:t>
            </w:r>
          </w:p>
        </w:tc>
        <w:tc>
          <w:tcPr>
            <w:tcW w:w="3686" w:type="dxa"/>
          </w:tcPr>
          <w:p w14:paraId="23A174D6" w14:textId="77777777" w:rsidR="00403AAD" w:rsidRPr="00286216" w:rsidRDefault="00403AAD" w:rsidP="00403AAD">
            <w:pPr>
              <w:pStyle w:val="StyleProp"/>
              <w:rPr>
                <w:color w:val="000000" w:themeColor="text1"/>
                <w:szCs w:val="18"/>
              </w:rPr>
            </w:pPr>
          </w:p>
        </w:tc>
        <w:tc>
          <w:tcPr>
            <w:tcW w:w="1987" w:type="dxa"/>
          </w:tcPr>
          <w:p w14:paraId="040C08C4" w14:textId="77777777" w:rsidR="00403AAD" w:rsidRPr="00286216" w:rsidRDefault="00403AAD" w:rsidP="00403AAD">
            <w:pPr>
              <w:pStyle w:val="StyleWisnow"/>
              <w:rPr>
                <w:color w:val="000000" w:themeColor="text1"/>
              </w:rPr>
            </w:pPr>
          </w:p>
        </w:tc>
        <w:tc>
          <w:tcPr>
            <w:tcW w:w="4818" w:type="dxa"/>
          </w:tcPr>
          <w:p w14:paraId="5CB90491" w14:textId="5A97F702" w:rsidR="00403AAD" w:rsidRPr="00286216" w:rsidRDefault="00403AAD" w:rsidP="00403AAD">
            <w:pPr>
              <w:pStyle w:val="StyleZakonu"/>
              <w:rPr>
                <w:color w:val="000000" w:themeColor="text1"/>
              </w:rPr>
            </w:pPr>
          </w:p>
        </w:tc>
      </w:tr>
      <w:tr w:rsidR="00403AAD" w:rsidRPr="00286216" w14:paraId="738D999A" w14:textId="77777777" w:rsidTr="00091AA5">
        <w:tc>
          <w:tcPr>
            <w:tcW w:w="576" w:type="dxa"/>
          </w:tcPr>
          <w:p w14:paraId="7E446F0E" w14:textId="77777777" w:rsidR="00403AAD" w:rsidRPr="00286216" w:rsidRDefault="00403AAD" w:rsidP="00403AAD">
            <w:pPr>
              <w:pStyle w:val="StyleWisnow"/>
              <w:rPr>
                <w:color w:val="000000" w:themeColor="text1"/>
              </w:rPr>
            </w:pPr>
            <w:bookmarkStart w:id="410" w:name="n720" w:colFirst="0" w:colLast="0"/>
            <w:bookmarkEnd w:id="409"/>
            <w:r w:rsidRPr="00286216">
              <w:rPr>
                <w:color w:val="000000" w:themeColor="text1"/>
              </w:rPr>
              <w:t>720.</w:t>
            </w:r>
          </w:p>
        </w:tc>
        <w:tc>
          <w:tcPr>
            <w:tcW w:w="4818" w:type="dxa"/>
          </w:tcPr>
          <w:p w14:paraId="22656BC4" w14:textId="77777777" w:rsidR="00403AAD" w:rsidRPr="00286216" w:rsidRDefault="00403AAD" w:rsidP="00403AAD">
            <w:pPr>
              <w:pStyle w:val="StyleZakonu"/>
              <w:rPr>
                <w:color w:val="000000" w:themeColor="text1"/>
              </w:rPr>
            </w:pPr>
            <w:r w:rsidRPr="00286216">
              <w:rPr>
                <w:color w:val="000000" w:themeColor="text1"/>
              </w:rPr>
              <w:t xml:space="preserve">2) викупу та продажу емітентом власних цінних </w:t>
            </w:r>
            <w:r w:rsidRPr="00286216">
              <w:rPr>
                <w:color w:val="000000" w:themeColor="text1"/>
              </w:rPr>
              <w:lastRenderedPageBreak/>
              <w:t>паперів;</w:t>
            </w:r>
          </w:p>
        </w:tc>
        <w:tc>
          <w:tcPr>
            <w:tcW w:w="3686" w:type="dxa"/>
          </w:tcPr>
          <w:p w14:paraId="27E40576" w14:textId="77777777" w:rsidR="00403AAD" w:rsidRPr="00286216" w:rsidRDefault="00403AAD" w:rsidP="00403AAD">
            <w:pPr>
              <w:pStyle w:val="StyleProp"/>
              <w:rPr>
                <w:color w:val="000000" w:themeColor="text1"/>
                <w:szCs w:val="18"/>
              </w:rPr>
            </w:pPr>
          </w:p>
        </w:tc>
        <w:tc>
          <w:tcPr>
            <w:tcW w:w="1987" w:type="dxa"/>
          </w:tcPr>
          <w:p w14:paraId="71B24FBD" w14:textId="77777777" w:rsidR="00403AAD" w:rsidRPr="00286216" w:rsidRDefault="00403AAD" w:rsidP="00403AAD">
            <w:pPr>
              <w:pStyle w:val="StyleWisnow"/>
              <w:rPr>
                <w:color w:val="000000" w:themeColor="text1"/>
              </w:rPr>
            </w:pPr>
          </w:p>
        </w:tc>
        <w:tc>
          <w:tcPr>
            <w:tcW w:w="4818" w:type="dxa"/>
          </w:tcPr>
          <w:p w14:paraId="60A9F7A0" w14:textId="12EBF01B" w:rsidR="00403AAD" w:rsidRPr="00286216" w:rsidRDefault="00403AAD" w:rsidP="00403AAD">
            <w:pPr>
              <w:pStyle w:val="StyleZakonu"/>
              <w:rPr>
                <w:color w:val="000000" w:themeColor="text1"/>
              </w:rPr>
            </w:pPr>
          </w:p>
        </w:tc>
      </w:tr>
      <w:tr w:rsidR="00403AAD" w:rsidRPr="00286216" w14:paraId="58A7242B" w14:textId="77777777" w:rsidTr="00091AA5">
        <w:tc>
          <w:tcPr>
            <w:tcW w:w="576" w:type="dxa"/>
          </w:tcPr>
          <w:p w14:paraId="1A4A990A" w14:textId="77777777" w:rsidR="00403AAD" w:rsidRPr="00286216" w:rsidRDefault="00403AAD" w:rsidP="00403AAD">
            <w:pPr>
              <w:pStyle w:val="StyleWisnow"/>
              <w:rPr>
                <w:color w:val="000000" w:themeColor="text1"/>
              </w:rPr>
            </w:pPr>
            <w:bookmarkStart w:id="411" w:name="n721" w:colFirst="0" w:colLast="0"/>
            <w:bookmarkEnd w:id="410"/>
            <w:r w:rsidRPr="00286216">
              <w:rPr>
                <w:color w:val="000000" w:themeColor="text1"/>
              </w:rPr>
              <w:t>721.</w:t>
            </w:r>
          </w:p>
        </w:tc>
        <w:tc>
          <w:tcPr>
            <w:tcW w:w="4818" w:type="dxa"/>
          </w:tcPr>
          <w:p w14:paraId="3ADDE448" w14:textId="77777777" w:rsidR="00403AAD" w:rsidRPr="00286216" w:rsidRDefault="00403AAD" w:rsidP="00403AAD">
            <w:pPr>
              <w:pStyle w:val="StyleZakonu"/>
              <w:rPr>
                <w:color w:val="000000" w:themeColor="text1"/>
              </w:rPr>
            </w:pPr>
            <w:r w:rsidRPr="00286216">
              <w:rPr>
                <w:color w:val="000000" w:themeColor="text1"/>
              </w:rPr>
              <w:t>3) проведення розрахунків з використанням неемісійних цінних паперів;</w:t>
            </w:r>
          </w:p>
        </w:tc>
        <w:tc>
          <w:tcPr>
            <w:tcW w:w="3686" w:type="dxa"/>
          </w:tcPr>
          <w:p w14:paraId="6D8B7B37" w14:textId="77777777" w:rsidR="00403AAD" w:rsidRPr="00286216" w:rsidRDefault="00403AAD" w:rsidP="00403AAD">
            <w:pPr>
              <w:pStyle w:val="StyleProp"/>
              <w:rPr>
                <w:color w:val="000000" w:themeColor="text1"/>
                <w:szCs w:val="18"/>
              </w:rPr>
            </w:pPr>
          </w:p>
        </w:tc>
        <w:tc>
          <w:tcPr>
            <w:tcW w:w="1987" w:type="dxa"/>
          </w:tcPr>
          <w:p w14:paraId="1B02DDC0" w14:textId="77777777" w:rsidR="00403AAD" w:rsidRPr="00286216" w:rsidRDefault="00403AAD" w:rsidP="00403AAD">
            <w:pPr>
              <w:pStyle w:val="StyleWisnow"/>
              <w:rPr>
                <w:color w:val="000000" w:themeColor="text1"/>
              </w:rPr>
            </w:pPr>
          </w:p>
        </w:tc>
        <w:tc>
          <w:tcPr>
            <w:tcW w:w="4818" w:type="dxa"/>
          </w:tcPr>
          <w:p w14:paraId="5801D076" w14:textId="081BF384" w:rsidR="00403AAD" w:rsidRPr="00286216" w:rsidRDefault="00403AAD" w:rsidP="00403AAD">
            <w:pPr>
              <w:pStyle w:val="StyleZakonu"/>
              <w:rPr>
                <w:color w:val="000000" w:themeColor="text1"/>
              </w:rPr>
            </w:pPr>
          </w:p>
        </w:tc>
      </w:tr>
      <w:tr w:rsidR="00403AAD" w:rsidRPr="00286216" w14:paraId="39A7598E" w14:textId="77777777" w:rsidTr="00091AA5">
        <w:tc>
          <w:tcPr>
            <w:tcW w:w="576" w:type="dxa"/>
          </w:tcPr>
          <w:p w14:paraId="1F2375A4" w14:textId="77777777" w:rsidR="00403AAD" w:rsidRPr="00286216" w:rsidRDefault="00403AAD" w:rsidP="00403AAD">
            <w:pPr>
              <w:pStyle w:val="StyleWisnow"/>
              <w:rPr>
                <w:color w:val="000000" w:themeColor="text1"/>
              </w:rPr>
            </w:pPr>
            <w:bookmarkStart w:id="412" w:name="n722" w:colFirst="0" w:colLast="0"/>
            <w:bookmarkEnd w:id="411"/>
            <w:r w:rsidRPr="00286216">
              <w:rPr>
                <w:color w:val="000000" w:themeColor="text1"/>
              </w:rPr>
              <w:t>722.</w:t>
            </w:r>
          </w:p>
        </w:tc>
        <w:tc>
          <w:tcPr>
            <w:tcW w:w="4818" w:type="dxa"/>
          </w:tcPr>
          <w:p w14:paraId="2E64DD43" w14:textId="77777777" w:rsidR="00403AAD" w:rsidRPr="00286216" w:rsidRDefault="00403AAD" w:rsidP="00403AAD">
            <w:pPr>
              <w:pStyle w:val="StyleZakonu"/>
              <w:rPr>
                <w:color w:val="000000" w:themeColor="text1"/>
              </w:rPr>
            </w:pPr>
            <w:r w:rsidRPr="00286216">
              <w:rPr>
                <w:color w:val="000000" w:themeColor="text1"/>
              </w:rPr>
              <w:t>4) розміщення казначейських зобов’язань України;</w:t>
            </w:r>
          </w:p>
        </w:tc>
        <w:tc>
          <w:tcPr>
            <w:tcW w:w="3686" w:type="dxa"/>
          </w:tcPr>
          <w:p w14:paraId="6E890E28" w14:textId="77777777" w:rsidR="00403AAD" w:rsidRPr="00286216" w:rsidRDefault="00403AAD" w:rsidP="00403AAD">
            <w:pPr>
              <w:pStyle w:val="StyleProp"/>
              <w:rPr>
                <w:color w:val="000000" w:themeColor="text1"/>
                <w:szCs w:val="18"/>
              </w:rPr>
            </w:pPr>
          </w:p>
        </w:tc>
        <w:tc>
          <w:tcPr>
            <w:tcW w:w="1987" w:type="dxa"/>
          </w:tcPr>
          <w:p w14:paraId="1AF104ED" w14:textId="77777777" w:rsidR="00403AAD" w:rsidRPr="00286216" w:rsidRDefault="00403AAD" w:rsidP="00403AAD">
            <w:pPr>
              <w:pStyle w:val="StyleWisnow"/>
              <w:rPr>
                <w:color w:val="000000" w:themeColor="text1"/>
              </w:rPr>
            </w:pPr>
          </w:p>
        </w:tc>
        <w:tc>
          <w:tcPr>
            <w:tcW w:w="4818" w:type="dxa"/>
          </w:tcPr>
          <w:p w14:paraId="2B56BD42" w14:textId="3359B2C5" w:rsidR="00403AAD" w:rsidRPr="00286216" w:rsidRDefault="00403AAD" w:rsidP="00403AAD">
            <w:pPr>
              <w:pStyle w:val="StyleZakonu"/>
              <w:rPr>
                <w:color w:val="000000" w:themeColor="text1"/>
              </w:rPr>
            </w:pPr>
          </w:p>
        </w:tc>
      </w:tr>
      <w:tr w:rsidR="00403AAD" w:rsidRPr="00286216" w14:paraId="2DF212C8" w14:textId="77777777" w:rsidTr="00091AA5">
        <w:tc>
          <w:tcPr>
            <w:tcW w:w="576" w:type="dxa"/>
          </w:tcPr>
          <w:p w14:paraId="6423687D" w14:textId="77777777" w:rsidR="00403AAD" w:rsidRPr="00286216" w:rsidRDefault="00403AAD" w:rsidP="00403AAD">
            <w:pPr>
              <w:pStyle w:val="StyleWisnow"/>
              <w:rPr>
                <w:color w:val="000000" w:themeColor="text1"/>
              </w:rPr>
            </w:pPr>
            <w:bookmarkStart w:id="413" w:name="n723" w:colFirst="0" w:colLast="0"/>
            <w:bookmarkEnd w:id="412"/>
            <w:r w:rsidRPr="00286216">
              <w:rPr>
                <w:color w:val="000000" w:themeColor="text1"/>
              </w:rPr>
              <w:t>723.</w:t>
            </w:r>
          </w:p>
        </w:tc>
        <w:tc>
          <w:tcPr>
            <w:tcW w:w="4818" w:type="dxa"/>
          </w:tcPr>
          <w:p w14:paraId="3D6C5D53" w14:textId="77777777" w:rsidR="00403AAD" w:rsidRPr="00286216" w:rsidRDefault="00403AAD" w:rsidP="00403AAD">
            <w:pPr>
              <w:pStyle w:val="StyleZakonu"/>
              <w:rPr>
                <w:color w:val="000000" w:themeColor="text1"/>
              </w:rPr>
            </w:pPr>
            <w:r w:rsidRPr="00286216">
              <w:rPr>
                <w:color w:val="000000" w:themeColor="text1"/>
              </w:rPr>
              <w:t>5) внесення цінних паперів до статутного (складеного) капіталу юридичних осіб;</w:t>
            </w:r>
          </w:p>
        </w:tc>
        <w:tc>
          <w:tcPr>
            <w:tcW w:w="3686" w:type="dxa"/>
          </w:tcPr>
          <w:p w14:paraId="014511CC" w14:textId="77777777" w:rsidR="00403AAD" w:rsidRPr="00286216" w:rsidRDefault="00403AAD" w:rsidP="00403AAD">
            <w:pPr>
              <w:pStyle w:val="StyleProp"/>
              <w:rPr>
                <w:color w:val="000000" w:themeColor="text1"/>
                <w:szCs w:val="18"/>
              </w:rPr>
            </w:pPr>
          </w:p>
        </w:tc>
        <w:tc>
          <w:tcPr>
            <w:tcW w:w="1987" w:type="dxa"/>
          </w:tcPr>
          <w:p w14:paraId="51C86E04" w14:textId="77777777" w:rsidR="00403AAD" w:rsidRPr="00286216" w:rsidRDefault="00403AAD" w:rsidP="00403AAD">
            <w:pPr>
              <w:pStyle w:val="StyleWisnow"/>
              <w:rPr>
                <w:color w:val="000000" w:themeColor="text1"/>
              </w:rPr>
            </w:pPr>
          </w:p>
        </w:tc>
        <w:tc>
          <w:tcPr>
            <w:tcW w:w="4818" w:type="dxa"/>
          </w:tcPr>
          <w:p w14:paraId="11315E0F" w14:textId="1C96834A" w:rsidR="00403AAD" w:rsidRPr="00286216" w:rsidRDefault="00403AAD" w:rsidP="00403AAD">
            <w:pPr>
              <w:pStyle w:val="StyleZakonu"/>
              <w:rPr>
                <w:color w:val="000000" w:themeColor="text1"/>
              </w:rPr>
            </w:pPr>
          </w:p>
        </w:tc>
      </w:tr>
      <w:tr w:rsidR="00403AAD" w:rsidRPr="00286216" w14:paraId="3F365A98" w14:textId="77777777" w:rsidTr="00091AA5">
        <w:tc>
          <w:tcPr>
            <w:tcW w:w="576" w:type="dxa"/>
          </w:tcPr>
          <w:p w14:paraId="3AC75860" w14:textId="77777777" w:rsidR="00403AAD" w:rsidRPr="00286216" w:rsidRDefault="00403AAD" w:rsidP="00403AAD">
            <w:pPr>
              <w:pStyle w:val="StyleWisnow"/>
              <w:rPr>
                <w:color w:val="000000" w:themeColor="text1"/>
              </w:rPr>
            </w:pPr>
            <w:bookmarkStart w:id="414" w:name="n724" w:colFirst="0" w:colLast="0"/>
            <w:bookmarkEnd w:id="413"/>
            <w:r w:rsidRPr="00286216">
              <w:rPr>
                <w:color w:val="000000" w:themeColor="text1"/>
              </w:rPr>
              <w:t>724.</w:t>
            </w:r>
          </w:p>
        </w:tc>
        <w:tc>
          <w:tcPr>
            <w:tcW w:w="4818" w:type="dxa"/>
          </w:tcPr>
          <w:p w14:paraId="0C962CED" w14:textId="77777777" w:rsidR="00403AAD" w:rsidRPr="00286216" w:rsidRDefault="00403AAD" w:rsidP="00403AAD">
            <w:pPr>
              <w:pStyle w:val="StyleZakonu"/>
              <w:rPr>
                <w:color w:val="000000" w:themeColor="text1"/>
              </w:rPr>
            </w:pPr>
            <w:r w:rsidRPr="00286216">
              <w:rPr>
                <w:color w:val="000000" w:themeColor="text1"/>
              </w:rPr>
              <w:t>6) дарування цінних паперів;</w:t>
            </w:r>
          </w:p>
        </w:tc>
        <w:tc>
          <w:tcPr>
            <w:tcW w:w="3686" w:type="dxa"/>
          </w:tcPr>
          <w:p w14:paraId="78462F99" w14:textId="77777777" w:rsidR="00403AAD" w:rsidRPr="00286216" w:rsidRDefault="00403AAD" w:rsidP="00403AAD">
            <w:pPr>
              <w:pStyle w:val="StyleProp"/>
              <w:rPr>
                <w:color w:val="000000" w:themeColor="text1"/>
                <w:szCs w:val="18"/>
              </w:rPr>
            </w:pPr>
          </w:p>
        </w:tc>
        <w:tc>
          <w:tcPr>
            <w:tcW w:w="1987" w:type="dxa"/>
          </w:tcPr>
          <w:p w14:paraId="379D06EE" w14:textId="77777777" w:rsidR="00403AAD" w:rsidRPr="00286216" w:rsidRDefault="00403AAD" w:rsidP="00403AAD">
            <w:pPr>
              <w:pStyle w:val="StyleWisnow"/>
              <w:rPr>
                <w:color w:val="000000" w:themeColor="text1"/>
              </w:rPr>
            </w:pPr>
          </w:p>
        </w:tc>
        <w:tc>
          <w:tcPr>
            <w:tcW w:w="4818" w:type="dxa"/>
          </w:tcPr>
          <w:p w14:paraId="1E1FA62A" w14:textId="55377720" w:rsidR="00403AAD" w:rsidRPr="00286216" w:rsidRDefault="00403AAD" w:rsidP="00403AAD">
            <w:pPr>
              <w:pStyle w:val="StyleZakonu"/>
              <w:rPr>
                <w:color w:val="000000" w:themeColor="text1"/>
              </w:rPr>
            </w:pPr>
          </w:p>
        </w:tc>
      </w:tr>
      <w:tr w:rsidR="00403AAD" w:rsidRPr="00286216" w14:paraId="16242342" w14:textId="77777777" w:rsidTr="00091AA5">
        <w:tc>
          <w:tcPr>
            <w:tcW w:w="576" w:type="dxa"/>
          </w:tcPr>
          <w:p w14:paraId="233E620C" w14:textId="77777777" w:rsidR="00403AAD" w:rsidRPr="00286216" w:rsidRDefault="00403AAD" w:rsidP="00403AAD">
            <w:pPr>
              <w:pStyle w:val="StyleWisnow"/>
              <w:rPr>
                <w:color w:val="000000" w:themeColor="text1"/>
              </w:rPr>
            </w:pPr>
            <w:bookmarkStart w:id="415" w:name="n725" w:colFirst="0" w:colLast="0"/>
            <w:bookmarkEnd w:id="414"/>
            <w:r w:rsidRPr="00286216">
              <w:rPr>
                <w:color w:val="000000" w:themeColor="text1"/>
              </w:rPr>
              <w:t>725.</w:t>
            </w:r>
          </w:p>
        </w:tc>
        <w:tc>
          <w:tcPr>
            <w:tcW w:w="4818" w:type="dxa"/>
          </w:tcPr>
          <w:p w14:paraId="2B441E42" w14:textId="77777777" w:rsidR="00403AAD" w:rsidRPr="00286216" w:rsidRDefault="00403AAD" w:rsidP="00403AAD">
            <w:pPr>
              <w:pStyle w:val="StyleZakonu"/>
              <w:rPr>
                <w:color w:val="000000" w:themeColor="text1"/>
              </w:rPr>
            </w:pPr>
            <w:r w:rsidRPr="00286216">
              <w:rPr>
                <w:color w:val="000000" w:themeColor="text1"/>
              </w:rPr>
              <w:t>7) застави цінних паперів, а також правочинів, спрямованих на виконання, зміну та припинення такої застави (зокрема блокування, заклад, переказ, користування, управління, звернення стягнення на предмет застави тощо);</w:t>
            </w:r>
          </w:p>
        </w:tc>
        <w:tc>
          <w:tcPr>
            <w:tcW w:w="3686" w:type="dxa"/>
          </w:tcPr>
          <w:p w14:paraId="6F4990C8" w14:textId="77777777" w:rsidR="00403AAD" w:rsidRPr="00286216" w:rsidRDefault="00403AAD" w:rsidP="00403AAD">
            <w:pPr>
              <w:pStyle w:val="StyleProp"/>
              <w:rPr>
                <w:color w:val="000000" w:themeColor="text1"/>
                <w:szCs w:val="18"/>
              </w:rPr>
            </w:pPr>
          </w:p>
        </w:tc>
        <w:tc>
          <w:tcPr>
            <w:tcW w:w="1987" w:type="dxa"/>
          </w:tcPr>
          <w:p w14:paraId="74443B72" w14:textId="77777777" w:rsidR="00403AAD" w:rsidRPr="00286216" w:rsidRDefault="00403AAD" w:rsidP="00403AAD">
            <w:pPr>
              <w:pStyle w:val="StyleWisnow"/>
              <w:rPr>
                <w:color w:val="000000" w:themeColor="text1"/>
              </w:rPr>
            </w:pPr>
          </w:p>
        </w:tc>
        <w:tc>
          <w:tcPr>
            <w:tcW w:w="4818" w:type="dxa"/>
          </w:tcPr>
          <w:p w14:paraId="78A968BD" w14:textId="33BC1362" w:rsidR="00403AAD" w:rsidRPr="00286216" w:rsidRDefault="00403AAD" w:rsidP="00403AAD">
            <w:pPr>
              <w:pStyle w:val="StyleZakonu"/>
              <w:rPr>
                <w:color w:val="000000" w:themeColor="text1"/>
              </w:rPr>
            </w:pPr>
          </w:p>
        </w:tc>
      </w:tr>
      <w:tr w:rsidR="00403AAD" w:rsidRPr="00286216" w14:paraId="4BBEF5EC" w14:textId="77777777" w:rsidTr="00091AA5">
        <w:tc>
          <w:tcPr>
            <w:tcW w:w="576" w:type="dxa"/>
          </w:tcPr>
          <w:p w14:paraId="0369538D" w14:textId="77777777" w:rsidR="00403AAD" w:rsidRPr="00286216" w:rsidRDefault="00403AAD" w:rsidP="00403AAD">
            <w:pPr>
              <w:pStyle w:val="StyleWisnow"/>
              <w:rPr>
                <w:color w:val="000000" w:themeColor="text1"/>
              </w:rPr>
            </w:pPr>
            <w:bookmarkStart w:id="416" w:name="n726" w:colFirst="0" w:colLast="0"/>
            <w:bookmarkEnd w:id="415"/>
            <w:r w:rsidRPr="00286216">
              <w:rPr>
                <w:color w:val="000000" w:themeColor="text1"/>
              </w:rPr>
              <w:t>726.</w:t>
            </w:r>
          </w:p>
        </w:tc>
        <w:tc>
          <w:tcPr>
            <w:tcW w:w="4818" w:type="dxa"/>
          </w:tcPr>
          <w:p w14:paraId="7AB70104" w14:textId="77777777" w:rsidR="00403AAD" w:rsidRPr="00286216" w:rsidRDefault="00403AAD" w:rsidP="00403AAD">
            <w:pPr>
              <w:pStyle w:val="StyleZakonu"/>
              <w:rPr>
                <w:color w:val="000000" w:themeColor="text1"/>
              </w:rPr>
            </w:pPr>
            <w:r w:rsidRPr="00286216">
              <w:rPr>
                <w:color w:val="000000" w:themeColor="text1"/>
              </w:rPr>
              <w:t>8) спадкування та правонаступництва щодо цінних паперів (у тому числі поділу спадкового майна);</w:t>
            </w:r>
          </w:p>
        </w:tc>
        <w:tc>
          <w:tcPr>
            <w:tcW w:w="3686" w:type="dxa"/>
          </w:tcPr>
          <w:p w14:paraId="59AEEA84" w14:textId="77777777" w:rsidR="00403AAD" w:rsidRPr="00286216" w:rsidRDefault="00403AAD" w:rsidP="00403AAD">
            <w:pPr>
              <w:pStyle w:val="StyleProp"/>
              <w:rPr>
                <w:color w:val="000000" w:themeColor="text1"/>
                <w:szCs w:val="18"/>
              </w:rPr>
            </w:pPr>
          </w:p>
        </w:tc>
        <w:tc>
          <w:tcPr>
            <w:tcW w:w="1987" w:type="dxa"/>
          </w:tcPr>
          <w:p w14:paraId="2667B1BB" w14:textId="77777777" w:rsidR="00403AAD" w:rsidRPr="00286216" w:rsidRDefault="00403AAD" w:rsidP="00403AAD">
            <w:pPr>
              <w:pStyle w:val="StyleWisnow"/>
              <w:rPr>
                <w:color w:val="000000" w:themeColor="text1"/>
              </w:rPr>
            </w:pPr>
          </w:p>
        </w:tc>
        <w:tc>
          <w:tcPr>
            <w:tcW w:w="4818" w:type="dxa"/>
          </w:tcPr>
          <w:p w14:paraId="731A1C5C" w14:textId="5140753C" w:rsidR="00403AAD" w:rsidRPr="00286216" w:rsidRDefault="00403AAD" w:rsidP="00403AAD">
            <w:pPr>
              <w:pStyle w:val="StyleZakonu"/>
              <w:rPr>
                <w:color w:val="000000" w:themeColor="text1"/>
              </w:rPr>
            </w:pPr>
          </w:p>
        </w:tc>
      </w:tr>
      <w:tr w:rsidR="00403AAD" w:rsidRPr="00286216" w14:paraId="1082A89F" w14:textId="77777777" w:rsidTr="00091AA5">
        <w:tc>
          <w:tcPr>
            <w:tcW w:w="576" w:type="dxa"/>
          </w:tcPr>
          <w:p w14:paraId="77ED4C5A" w14:textId="77777777" w:rsidR="00403AAD" w:rsidRPr="00286216" w:rsidRDefault="00403AAD" w:rsidP="00403AAD">
            <w:pPr>
              <w:pStyle w:val="StyleWisnow"/>
              <w:rPr>
                <w:color w:val="000000" w:themeColor="text1"/>
              </w:rPr>
            </w:pPr>
            <w:bookmarkStart w:id="417" w:name="n727" w:colFirst="0" w:colLast="0"/>
            <w:bookmarkEnd w:id="416"/>
            <w:r w:rsidRPr="00286216">
              <w:rPr>
                <w:color w:val="000000" w:themeColor="text1"/>
              </w:rPr>
              <w:t>727.</w:t>
            </w:r>
          </w:p>
        </w:tc>
        <w:tc>
          <w:tcPr>
            <w:tcW w:w="4818" w:type="dxa"/>
          </w:tcPr>
          <w:p w14:paraId="65970EEE" w14:textId="77777777" w:rsidR="00403AAD" w:rsidRPr="00286216" w:rsidRDefault="00403AAD" w:rsidP="00403AAD">
            <w:pPr>
              <w:pStyle w:val="StyleZakonu"/>
              <w:rPr>
                <w:color w:val="000000" w:themeColor="text1"/>
              </w:rPr>
            </w:pPr>
            <w:r w:rsidRPr="00286216">
              <w:rPr>
                <w:color w:val="000000" w:themeColor="text1"/>
              </w:rPr>
              <w:t>9) вчинення правочинів, пов’язаних з виконанням судових рішень;</w:t>
            </w:r>
          </w:p>
        </w:tc>
        <w:tc>
          <w:tcPr>
            <w:tcW w:w="3686" w:type="dxa"/>
          </w:tcPr>
          <w:p w14:paraId="6F24B293" w14:textId="77777777" w:rsidR="00403AAD" w:rsidRPr="00286216" w:rsidRDefault="00403AAD" w:rsidP="00403AAD">
            <w:pPr>
              <w:pStyle w:val="StyleProp"/>
              <w:rPr>
                <w:color w:val="000000" w:themeColor="text1"/>
                <w:szCs w:val="18"/>
              </w:rPr>
            </w:pPr>
          </w:p>
        </w:tc>
        <w:tc>
          <w:tcPr>
            <w:tcW w:w="1987" w:type="dxa"/>
          </w:tcPr>
          <w:p w14:paraId="6DE3A3BE" w14:textId="77777777" w:rsidR="00403AAD" w:rsidRPr="00286216" w:rsidRDefault="00403AAD" w:rsidP="00403AAD">
            <w:pPr>
              <w:pStyle w:val="StyleWisnow"/>
              <w:rPr>
                <w:color w:val="000000" w:themeColor="text1"/>
              </w:rPr>
            </w:pPr>
          </w:p>
        </w:tc>
        <w:tc>
          <w:tcPr>
            <w:tcW w:w="4818" w:type="dxa"/>
          </w:tcPr>
          <w:p w14:paraId="510D910E" w14:textId="30DE6872" w:rsidR="00403AAD" w:rsidRPr="00286216" w:rsidRDefault="00403AAD" w:rsidP="00403AAD">
            <w:pPr>
              <w:pStyle w:val="StyleZakonu"/>
              <w:rPr>
                <w:color w:val="000000" w:themeColor="text1"/>
              </w:rPr>
            </w:pPr>
          </w:p>
        </w:tc>
      </w:tr>
      <w:tr w:rsidR="00403AAD" w:rsidRPr="00286216" w14:paraId="25599883" w14:textId="77777777" w:rsidTr="00091AA5">
        <w:tc>
          <w:tcPr>
            <w:tcW w:w="576" w:type="dxa"/>
          </w:tcPr>
          <w:p w14:paraId="7F8B89C4" w14:textId="77777777" w:rsidR="00403AAD" w:rsidRPr="00286216" w:rsidRDefault="00403AAD" w:rsidP="00403AAD">
            <w:pPr>
              <w:pStyle w:val="StyleWisnow"/>
              <w:rPr>
                <w:color w:val="000000" w:themeColor="text1"/>
              </w:rPr>
            </w:pPr>
            <w:bookmarkStart w:id="418" w:name="n728" w:colFirst="0" w:colLast="0"/>
            <w:bookmarkEnd w:id="417"/>
            <w:r w:rsidRPr="00286216">
              <w:rPr>
                <w:color w:val="000000" w:themeColor="text1"/>
              </w:rPr>
              <w:t>728.</w:t>
            </w:r>
          </w:p>
        </w:tc>
        <w:tc>
          <w:tcPr>
            <w:tcW w:w="4818" w:type="dxa"/>
          </w:tcPr>
          <w:p w14:paraId="27311246" w14:textId="77777777" w:rsidR="00403AAD" w:rsidRPr="00286216" w:rsidRDefault="00403AAD" w:rsidP="00403AAD">
            <w:pPr>
              <w:pStyle w:val="StyleZakonu"/>
              <w:rPr>
                <w:color w:val="000000" w:themeColor="text1"/>
              </w:rPr>
            </w:pPr>
            <w:r w:rsidRPr="00286216">
              <w:rPr>
                <w:color w:val="000000" w:themeColor="text1"/>
              </w:rPr>
              <w:t>10) вчинення правочинів у процесі приватизації;</w:t>
            </w:r>
          </w:p>
        </w:tc>
        <w:tc>
          <w:tcPr>
            <w:tcW w:w="3686" w:type="dxa"/>
          </w:tcPr>
          <w:p w14:paraId="2096DAD4" w14:textId="77777777" w:rsidR="00403AAD" w:rsidRPr="00286216" w:rsidRDefault="00403AAD" w:rsidP="00403AAD">
            <w:pPr>
              <w:pStyle w:val="StyleProp"/>
              <w:rPr>
                <w:color w:val="000000" w:themeColor="text1"/>
                <w:szCs w:val="18"/>
              </w:rPr>
            </w:pPr>
          </w:p>
        </w:tc>
        <w:tc>
          <w:tcPr>
            <w:tcW w:w="1987" w:type="dxa"/>
          </w:tcPr>
          <w:p w14:paraId="5655B0DC" w14:textId="77777777" w:rsidR="00403AAD" w:rsidRPr="00286216" w:rsidRDefault="00403AAD" w:rsidP="00403AAD">
            <w:pPr>
              <w:pStyle w:val="StyleWisnow"/>
              <w:rPr>
                <w:color w:val="000000" w:themeColor="text1"/>
              </w:rPr>
            </w:pPr>
          </w:p>
        </w:tc>
        <w:tc>
          <w:tcPr>
            <w:tcW w:w="4818" w:type="dxa"/>
          </w:tcPr>
          <w:p w14:paraId="306ECA74" w14:textId="5F59BB99" w:rsidR="00403AAD" w:rsidRPr="00286216" w:rsidRDefault="00403AAD" w:rsidP="00403AAD">
            <w:pPr>
              <w:pStyle w:val="StyleZakonu"/>
              <w:rPr>
                <w:color w:val="000000" w:themeColor="text1"/>
              </w:rPr>
            </w:pPr>
          </w:p>
        </w:tc>
      </w:tr>
      <w:tr w:rsidR="00403AAD" w:rsidRPr="00286216" w14:paraId="206B9A7C" w14:textId="77777777" w:rsidTr="00091AA5">
        <w:tc>
          <w:tcPr>
            <w:tcW w:w="576" w:type="dxa"/>
          </w:tcPr>
          <w:p w14:paraId="793CA14B" w14:textId="77777777" w:rsidR="00403AAD" w:rsidRPr="00286216" w:rsidRDefault="00403AAD" w:rsidP="00403AAD">
            <w:pPr>
              <w:pStyle w:val="StyleWisnow"/>
              <w:rPr>
                <w:color w:val="000000" w:themeColor="text1"/>
              </w:rPr>
            </w:pPr>
            <w:bookmarkStart w:id="419" w:name="n729" w:colFirst="0" w:colLast="0"/>
            <w:bookmarkEnd w:id="418"/>
            <w:r w:rsidRPr="00286216">
              <w:rPr>
                <w:color w:val="000000" w:themeColor="text1"/>
              </w:rPr>
              <w:t>729.</w:t>
            </w:r>
          </w:p>
        </w:tc>
        <w:tc>
          <w:tcPr>
            <w:tcW w:w="4818" w:type="dxa"/>
          </w:tcPr>
          <w:p w14:paraId="2604B3EE" w14:textId="77777777" w:rsidR="00403AAD" w:rsidRPr="00286216" w:rsidRDefault="00403AAD" w:rsidP="00403AAD">
            <w:pPr>
              <w:pStyle w:val="StyleZakonu"/>
              <w:rPr>
                <w:color w:val="000000" w:themeColor="text1"/>
              </w:rPr>
            </w:pPr>
            <w:r w:rsidRPr="00286216">
              <w:rPr>
                <w:color w:val="000000" w:themeColor="text1"/>
              </w:rPr>
              <w:t>11) укладення банком зі своїм клієнтом деривативних контрактів грошового ринку поза організованим ринком деривативних контрактів;</w:t>
            </w:r>
          </w:p>
        </w:tc>
        <w:tc>
          <w:tcPr>
            <w:tcW w:w="3686" w:type="dxa"/>
          </w:tcPr>
          <w:p w14:paraId="1D778AB4" w14:textId="77777777" w:rsidR="00403AAD" w:rsidRPr="00286216" w:rsidRDefault="00403AAD" w:rsidP="00403AAD">
            <w:pPr>
              <w:pStyle w:val="StyleProp"/>
              <w:rPr>
                <w:color w:val="000000" w:themeColor="text1"/>
                <w:szCs w:val="18"/>
              </w:rPr>
            </w:pPr>
          </w:p>
        </w:tc>
        <w:tc>
          <w:tcPr>
            <w:tcW w:w="1987" w:type="dxa"/>
          </w:tcPr>
          <w:p w14:paraId="0E10DBAF" w14:textId="77777777" w:rsidR="00403AAD" w:rsidRPr="00286216" w:rsidRDefault="00403AAD" w:rsidP="00403AAD">
            <w:pPr>
              <w:pStyle w:val="StyleWisnow"/>
              <w:rPr>
                <w:color w:val="000000" w:themeColor="text1"/>
              </w:rPr>
            </w:pPr>
          </w:p>
        </w:tc>
        <w:tc>
          <w:tcPr>
            <w:tcW w:w="4818" w:type="dxa"/>
          </w:tcPr>
          <w:p w14:paraId="37C87635" w14:textId="107EC2CA" w:rsidR="00403AAD" w:rsidRPr="00286216" w:rsidRDefault="00403AAD" w:rsidP="00403AAD">
            <w:pPr>
              <w:pStyle w:val="StyleZakonu"/>
              <w:rPr>
                <w:color w:val="000000" w:themeColor="text1"/>
              </w:rPr>
            </w:pPr>
          </w:p>
        </w:tc>
      </w:tr>
      <w:tr w:rsidR="00403AAD" w:rsidRPr="00286216" w14:paraId="0863AD79" w14:textId="77777777" w:rsidTr="00091AA5">
        <w:tc>
          <w:tcPr>
            <w:tcW w:w="576" w:type="dxa"/>
          </w:tcPr>
          <w:p w14:paraId="5B12489C" w14:textId="77777777" w:rsidR="00403AAD" w:rsidRPr="00286216" w:rsidRDefault="00403AAD" w:rsidP="00403AAD">
            <w:pPr>
              <w:pStyle w:val="StyleWisnow"/>
              <w:rPr>
                <w:color w:val="000000" w:themeColor="text1"/>
              </w:rPr>
            </w:pPr>
            <w:bookmarkStart w:id="420" w:name="n730" w:colFirst="0" w:colLast="0"/>
            <w:bookmarkEnd w:id="419"/>
            <w:r w:rsidRPr="00286216">
              <w:rPr>
                <w:color w:val="000000" w:themeColor="text1"/>
              </w:rPr>
              <w:t>730.</w:t>
            </w:r>
          </w:p>
        </w:tc>
        <w:tc>
          <w:tcPr>
            <w:tcW w:w="4818" w:type="dxa"/>
          </w:tcPr>
          <w:p w14:paraId="67786009" w14:textId="77777777" w:rsidR="00403AAD" w:rsidRPr="00286216" w:rsidRDefault="00403AAD" w:rsidP="00403AAD">
            <w:pPr>
              <w:pStyle w:val="StyleZakonu"/>
              <w:rPr>
                <w:color w:val="000000" w:themeColor="text1"/>
              </w:rPr>
            </w:pPr>
            <w:r w:rsidRPr="00286216">
              <w:rPr>
                <w:color w:val="000000" w:themeColor="text1"/>
              </w:rPr>
              <w:t>12) укладення між кваліфікованими інвесторами, зазначеними у пунктах 1 – 4 частини першої статті 5 цього Закону, правочинів щодо фінансових інструментів поза організованим ринком капіталу;</w:t>
            </w:r>
          </w:p>
        </w:tc>
        <w:tc>
          <w:tcPr>
            <w:tcW w:w="3686" w:type="dxa"/>
          </w:tcPr>
          <w:p w14:paraId="10093188" w14:textId="77777777" w:rsidR="00403AAD" w:rsidRPr="00286216" w:rsidRDefault="00403AAD" w:rsidP="00403AAD">
            <w:pPr>
              <w:pStyle w:val="StyleProp"/>
              <w:rPr>
                <w:color w:val="000000" w:themeColor="text1"/>
                <w:szCs w:val="18"/>
              </w:rPr>
            </w:pPr>
          </w:p>
        </w:tc>
        <w:tc>
          <w:tcPr>
            <w:tcW w:w="1987" w:type="dxa"/>
          </w:tcPr>
          <w:p w14:paraId="4BBDF656" w14:textId="77777777" w:rsidR="00403AAD" w:rsidRPr="00286216" w:rsidRDefault="00403AAD" w:rsidP="00403AAD">
            <w:pPr>
              <w:pStyle w:val="StyleWisnow"/>
              <w:rPr>
                <w:color w:val="000000" w:themeColor="text1"/>
              </w:rPr>
            </w:pPr>
          </w:p>
        </w:tc>
        <w:tc>
          <w:tcPr>
            <w:tcW w:w="4818" w:type="dxa"/>
          </w:tcPr>
          <w:p w14:paraId="51A02977" w14:textId="43F3468D" w:rsidR="00403AAD" w:rsidRPr="00286216" w:rsidRDefault="00403AAD" w:rsidP="00403AAD">
            <w:pPr>
              <w:pStyle w:val="StyleZakonu"/>
              <w:rPr>
                <w:color w:val="000000" w:themeColor="text1"/>
              </w:rPr>
            </w:pPr>
          </w:p>
        </w:tc>
      </w:tr>
      <w:tr w:rsidR="00403AAD" w:rsidRPr="00286216" w14:paraId="158EDDD1" w14:textId="77777777" w:rsidTr="00091AA5">
        <w:tc>
          <w:tcPr>
            <w:tcW w:w="576" w:type="dxa"/>
          </w:tcPr>
          <w:p w14:paraId="7302BC5E" w14:textId="77777777" w:rsidR="00403AAD" w:rsidRPr="00286216" w:rsidRDefault="00403AAD" w:rsidP="00403AAD">
            <w:pPr>
              <w:pStyle w:val="StyleWisnow"/>
              <w:rPr>
                <w:color w:val="000000" w:themeColor="text1"/>
              </w:rPr>
            </w:pPr>
            <w:bookmarkStart w:id="421" w:name="n731" w:colFirst="0" w:colLast="0"/>
            <w:bookmarkEnd w:id="420"/>
            <w:r w:rsidRPr="00286216">
              <w:rPr>
                <w:color w:val="000000" w:themeColor="text1"/>
              </w:rPr>
              <w:t>731.</w:t>
            </w:r>
          </w:p>
        </w:tc>
        <w:tc>
          <w:tcPr>
            <w:tcW w:w="4818" w:type="dxa"/>
          </w:tcPr>
          <w:p w14:paraId="4B0151F1" w14:textId="77777777" w:rsidR="00403AAD" w:rsidRPr="00286216" w:rsidRDefault="00403AAD" w:rsidP="00403AAD">
            <w:pPr>
              <w:pStyle w:val="StyleZakonu"/>
              <w:rPr>
                <w:color w:val="000000" w:themeColor="text1"/>
              </w:rPr>
            </w:pPr>
            <w:r w:rsidRPr="00286216">
              <w:rPr>
                <w:color w:val="000000" w:themeColor="text1"/>
              </w:rPr>
              <w:t>13) укладення товарних деривативних контрактів, передбачених частиною 16 статті 42 цього Закону;</w:t>
            </w:r>
          </w:p>
        </w:tc>
        <w:tc>
          <w:tcPr>
            <w:tcW w:w="3686" w:type="dxa"/>
          </w:tcPr>
          <w:p w14:paraId="0CB164B1" w14:textId="310FED87" w:rsidR="00403AAD" w:rsidRPr="00286216" w:rsidRDefault="00403AAD" w:rsidP="00403A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427</w:t>
            </w:r>
            <w:r w:rsidRPr="00286216">
              <w:rPr>
                <w:color w:val="000000" w:themeColor="text1"/>
                <w:spacing w:val="-4"/>
              </w:rPr>
              <w:fldChar w:fldCharType="end"/>
            </w:r>
            <w:r w:rsidRPr="00286216">
              <w:rPr>
                <w:color w:val="000000" w:themeColor="text1"/>
                <w:spacing w:val="-4"/>
              </w:rPr>
              <w:t>-Н.д.Бєлькова О.В. (Реєстр.картка №403)</w:t>
            </w:r>
          </w:p>
          <w:p w14:paraId="0C70A17C"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Пункт 13 частини шостої статті 43 </w:t>
            </w:r>
            <w:r w:rsidRPr="00286216">
              <w:rPr>
                <w:color w:val="000000" w:themeColor="text1"/>
                <w:szCs w:val="18"/>
              </w:rPr>
              <w:t>після слова «укладення» доповнити словами «поза організованими ринками капіталів».</w:t>
            </w:r>
          </w:p>
        </w:tc>
        <w:tc>
          <w:tcPr>
            <w:tcW w:w="1987" w:type="dxa"/>
          </w:tcPr>
          <w:p w14:paraId="57EFDAF3" w14:textId="4CF7145D" w:rsidR="00403AAD" w:rsidRPr="00286216" w:rsidRDefault="00403AAD" w:rsidP="00403AAD">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27AF925E" w14:textId="603B6137" w:rsidR="00403AAD" w:rsidRPr="00286216" w:rsidRDefault="00403AAD" w:rsidP="00403AAD">
            <w:pPr>
              <w:pStyle w:val="StyleZakonu"/>
              <w:rPr>
                <w:color w:val="000000" w:themeColor="text1"/>
              </w:rPr>
            </w:pPr>
          </w:p>
        </w:tc>
      </w:tr>
      <w:bookmarkEnd w:id="421"/>
      <w:tr w:rsidR="00403AAD" w:rsidRPr="00286216" w14:paraId="3FF3C456" w14:textId="77777777" w:rsidTr="00091AA5">
        <w:tc>
          <w:tcPr>
            <w:tcW w:w="576" w:type="dxa"/>
          </w:tcPr>
          <w:p w14:paraId="24E06136" w14:textId="77777777" w:rsidR="00403AAD" w:rsidRPr="00286216" w:rsidRDefault="00403AAD" w:rsidP="00403AAD">
            <w:pPr>
              <w:pStyle w:val="StyleWisnow"/>
              <w:rPr>
                <w:color w:val="000000" w:themeColor="text1"/>
              </w:rPr>
            </w:pPr>
          </w:p>
        </w:tc>
        <w:tc>
          <w:tcPr>
            <w:tcW w:w="4818" w:type="dxa"/>
          </w:tcPr>
          <w:p w14:paraId="4EFE16A1" w14:textId="77777777" w:rsidR="00403AAD" w:rsidRPr="00286216" w:rsidRDefault="00403AAD" w:rsidP="00403AAD">
            <w:pPr>
              <w:pStyle w:val="StyleZakonu"/>
              <w:rPr>
                <w:color w:val="000000" w:themeColor="text1"/>
              </w:rPr>
            </w:pPr>
          </w:p>
        </w:tc>
        <w:tc>
          <w:tcPr>
            <w:tcW w:w="3686" w:type="dxa"/>
          </w:tcPr>
          <w:p w14:paraId="04B6F94E" w14:textId="79F9AEBD"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428</w:t>
            </w:r>
            <w:r w:rsidRPr="00286216">
              <w:rPr>
                <w:color w:val="000000" w:themeColor="text1"/>
              </w:rPr>
              <w:fldChar w:fldCharType="end"/>
            </w:r>
            <w:r w:rsidRPr="00286216">
              <w:rPr>
                <w:color w:val="000000" w:themeColor="text1"/>
              </w:rPr>
              <w:t>-Н.д.Шахов С.В. (Реєстр.картка №114)</w:t>
            </w:r>
          </w:p>
          <w:p w14:paraId="7A86DE81" w14:textId="77777777" w:rsidR="00403AAD" w:rsidRPr="00286216" w:rsidRDefault="00403AAD" w:rsidP="00403AAD">
            <w:pPr>
              <w:pStyle w:val="StyleProp"/>
              <w:rPr>
                <w:color w:val="000000" w:themeColor="text1"/>
                <w:szCs w:val="18"/>
              </w:rPr>
            </w:pPr>
            <w:r w:rsidRPr="00286216">
              <w:rPr>
                <w:color w:val="000000" w:themeColor="text1"/>
              </w:rPr>
              <w:t>У частині шостій статті 43 підпункт 13 виключити.</w:t>
            </w:r>
          </w:p>
        </w:tc>
        <w:tc>
          <w:tcPr>
            <w:tcW w:w="1987" w:type="dxa"/>
          </w:tcPr>
          <w:p w14:paraId="27DDC807" w14:textId="79282C70" w:rsidR="00403AAD" w:rsidRPr="00286216" w:rsidRDefault="00403AAD" w:rsidP="00403AAD">
            <w:pPr>
              <w:pStyle w:val="StyleWisnow"/>
              <w:spacing w:line="180" w:lineRule="exact"/>
              <w:rPr>
                <w:color w:val="000000" w:themeColor="text1"/>
                <w:spacing w:val="-2"/>
              </w:rPr>
            </w:pPr>
            <w:r w:rsidRPr="00286216">
              <w:rPr>
                <w:color w:val="000000" w:themeColor="text1"/>
              </w:rPr>
              <w:t>Враховано</w:t>
            </w:r>
          </w:p>
        </w:tc>
        <w:tc>
          <w:tcPr>
            <w:tcW w:w="4818" w:type="dxa"/>
          </w:tcPr>
          <w:p w14:paraId="024F86D1" w14:textId="77777777" w:rsidR="00403AAD" w:rsidRPr="00286216" w:rsidRDefault="00403AAD" w:rsidP="00403AAD">
            <w:pPr>
              <w:pStyle w:val="StyleZakonu"/>
              <w:rPr>
                <w:color w:val="000000" w:themeColor="text1"/>
              </w:rPr>
            </w:pPr>
          </w:p>
        </w:tc>
      </w:tr>
      <w:tr w:rsidR="00403AAD" w:rsidRPr="00286216" w14:paraId="164392E8" w14:textId="77777777" w:rsidTr="00091AA5">
        <w:tc>
          <w:tcPr>
            <w:tcW w:w="576" w:type="dxa"/>
          </w:tcPr>
          <w:p w14:paraId="05BFEADE" w14:textId="77777777" w:rsidR="00403AAD" w:rsidRPr="00286216" w:rsidRDefault="00403AAD" w:rsidP="00403AAD">
            <w:pPr>
              <w:pStyle w:val="StyleWisnow"/>
              <w:rPr>
                <w:color w:val="000000" w:themeColor="text1"/>
              </w:rPr>
            </w:pPr>
            <w:bookmarkStart w:id="422" w:name="n732" w:colFirst="0" w:colLast="0"/>
            <w:r w:rsidRPr="00286216">
              <w:rPr>
                <w:color w:val="000000" w:themeColor="text1"/>
              </w:rPr>
              <w:t>732.</w:t>
            </w:r>
          </w:p>
        </w:tc>
        <w:tc>
          <w:tcPr>
            <w:tcW w:w="4818" w:type="dxa"/>
          </w:tcPr>
          <w:p w14:paraId="2EA2060A" w14:textId="77777777" w:rsidR="00403AAD" w:rsidRPr="00286216" w:rsidRDefault="00403AAD" w:rsidP="00403AAD">
            <w:pPr>
              <w:pStyle w:val="StyleZakonu"/>
              <w:rPr>
                <w:color w:val="000000" w:themeColor="text1"/>
              </w:rPr>
            </w:pPr>
            <w:r w:rsidRPr="00286216">
              <w:rPr>
                <w:color w:val="000000" w:themeColor="text1"/>
              </w:rPr>
              <w:t>14) вчинення правочинів між нерезидентами за межами України.</w:t>
            </w:r>
          </w:p>
        </w:tc>
        <w:tc>
          <w:tcPr>
            <w:tcW w:w="3686" w:type="dxa"/>
          </w:tcPr>
          <w:p w14:paraId="18CE7ABD" w14:textId="04B77C3F" w:rsidR="00403AAD" w:rsidRPr="00286216" w:rsidRDefault="00403AAD" w:rsidP="00403A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429</w:t>
            </w:r>
            <w:r w:rsidRPr="00286216">
              <w:rPr>
                <w:color w:val="000000" w:themeColor="text1"/>
                <w:spacing w:val="-4"/>
              </w:rPr>
              <w:fldChar w:fldCharType="end"/>
            </w:r>
            <w:r w:rsidRPr="00286216">
              <w:rPr>
                <w:color w:val="000000" w:themeColor="text1"/>
                <w:spacing w:val="-4"/>
              </w:rPr>
              <w:t>-Н.д.Бєлькова О.В. (Реєстр.картка №403)</w:t>
            </w:r>
          </w:p>
          <w:p w14:paraId="4447549D" w14:textId="77777777" w:rsidR="00403AAD" w:rsidRPr="00286216" w:rsidRDefault="00403AAD" w:rsidP="00403AAD">
            <w:pPr>
              <w:pStyle w:val="StyleProp"/>
              <w:rPr>
                <w:color w:val="000000" w:themeColor="text1"/>
                <w:szCs w:val="18"/>
              </w:rPr>
            </w:pPr>
            <w:r w:rsidRPr="00286216">
              <w:rPr>
                <w:color w:val="000000" w:themeColor="text1"/>
              </w:rPr>
              <w:t>У пункті 14 частини шостої статті 43 слова «між нерезидентами» виключити.</w:t>
            </w:r>
          </w:p>
        </w:tc>
        <w:tc>
          <w:tcPr>
            <w:tcW w:w="1987" w:type="dxa"/>
          </w:tcPr>
          <w:p w14:paraId="7F85EE76" w14:textId="77777777" w:rsidR="00403AAD" w:rsidRPr="00286216" w:rsidRDefault="00403AAD" w:rsidP="00403AAD">
            <w:pPr>
              <w:pStyle w:val="StyleWisnow"/>
              <w:spacing w:line="180" w:lineRule="exact"/>
              <w:rPr>
                <w:color w:val="000000" w:themeColor="text1"/>
              </w:rPr>
            </w:pPr>
            <w:r w:rsidRPr="00286216">
              <w:rPr>
                <w:color w:val="000000" w:themeColor="text1"/>
              </w:rPr>
              <w:t>Враховано</w:t>
            </w:r>
          </w:p>
        </w:tc>
        <w:tc>
          <w:tcPr>
            <w:tcW w:w="4818" w:type="dxa"/>
          </w:tcPr>
          <w:p w14:paraId="501A267E" w14:textId="153DAF2A" w:rsidR="00403AAD" w:rsidRPr="00286216" w:rsidRDefault="00403AAD" w:rsidP="00403AAD">
            <w:pPr>
              <w:pStyle w:val="StyleZakonu"/>
              <w:rPr>
                <w:color w:val="000000" w:themeColor="text1"/>
              </w:rPr>
            </w:pPr>
          </w:p>
        </w:tc>
      </w:tr>
      <w:tr w:rsidR="00403AAD" w:rsidRPr="00286216" w14:paraId="70D91BBA" w14:textId="77777777" w:rsidTr="00091AA5">
        <w:tc>
          <w:tcPr>
            <w:tcW w:w="576" w:type="dxa"/>
          </w:tcPr>
          <w:p w14:paraId="39678DAC" w14:textId="77777777" w:rsidR="00403AAD" w:rsidRPr="00286216" w:rsidRDefault="00403AAD" w:rsidP="00403AAD">
            <w:pPr>
              <w:pStyle w:val="StyleWisnow"/>
              <w:rPr>
                <w:color w:val="000000" w:themeColor="text1"/>
              </w:rPr>
            </w:pPr>
            <w:bookmarkStart w:id="423" w:name="n733" w:colFirst="0" w:colLast="0"/>
            <w:bookmarkEnd w:id="422"/>
            <w:r w:rsidRPr="00286216">
              <w:rPr>
                <w:color w:val="000000" w:themeColor="text1"/>
              </w:rPr>
              <w:t>733.</w:t>
            </w:r>
          </w:p>
        </w:tc>
        <w:tc>
          <w:tcPr>
            <w:tcW w:w="4818" w:type="dxa"/>
          </w:tcPr>
          <w:p w14:paraId="54B2CC96" w14:textId="77777777" w:rsidR="00403AAD" w:rsidRPr="00286216" w:rsidRDefault="00403AAD" w:rsidP="00403AAD">
            <w:pPr>
              <w:pStyle w:val="StyleZakonu"/>
              <w:rPr>
                <w:color w:val="000000" w:themeColor="text1"/>
              </w:rPr>
            </w:pPr>
            <w:r w:rsidRPr="00286216">
              <w:rPr>
                <w:color w:val="000000" w:themeColor="text1"/>
              </w:rPr>
              <w:t>7. Правочини щодо фінансових інструментів, вчинені без участі (посередництва) інвестиційної фірми, крім випадків, передбачених частиною шостою цієї статті, є нікчемними.</w:t>
            </w:r>
          </w:p>
        </w:tc>
        <w:tc>
          <w:tcPr>
            <w:tcW w:w="3686" w:type="dxa"/>
          </w:tcPr>
          <w:p w14:paraId="6A5F6CCF" w14:textId="77777777" w:rsidR="00403AAD" w:rsidRPr="00286216" w:rsidRDefault="00403AAD" w:rsidP="00403AAD">
            <w:pPr>
              <w:pStyle w:val="StyleProp"/>
              <w:rPr>
                <w:color w:val="000000" w:themeColor="text1"/>
                <w:szCs w:val="18"/>
              </w:rPr>
            </w:pPr>
          </w:p>
        </w:tc>
        <w:tc>
          <w:tcPr>
            <w:tcW w:w="1987" w:type="dxa"/>
          </w:tcPr>
          <w:p w14:paraId="69DE24A0" w14:textId="77777777" w:rsidR="00403AAD" w:rsidRPr="00286216" w:rsidRDefault="00403AAD" w:rsidP="00403AAD">
            <w:pPr>
              <w:pStyle w:val="StyleWisnow"/>
              <w:rPr>
                <w:color w:val="000000" w:themeColor="text1"/>
              </w:rPr>
            </w:pPr>
          </w:p>
        </w:tc>
        <w:tc>
          <w:tcPr>
            <w:tcW w:w="4818" w:type="dxa"/>
          </w:tcPr>
          <w:p w14:paraId="0A300FC1" w14:textId="7A759613" w:rsidR="00403AAD" w:rsidRPr="00286216" w:rsidRDefault="00403AAD" w:rsidP="00403AAD">
            <w:pPr>
              <w:pStyle w:val="StyleZakonu"/>
              <w:rPr>
                <w:color w:val="000000" w:themeColor="text1"/>
              </w:rPr>
            </w:pPr>
          </w:p>
        </w:tc>
      </w:tr>
      <w:tr w:rsidR="00403AAD" w:rsidRPr="00286216" w14:paraId="34771BD6" w14:textId="77777777" w:rsidTr="00091AA5">
        <w:tc>
          <w:tcPr>
            <w:tcW w:w="576" w:type="dxa"/>
          </w:tcPr>
          <w:p w14:paraId="5409ACC0" w14:textId="77777777" w:rsidR="00403AAD" w:rsidRPr="00286216" w:rsidRDefault="00403AAD" w:rsidP="00403AAD">
            <w:pPr>
              <w:pStyle w:val="StyleWisnow"/>
              <w:rPr>
                <w:color w:val="000000" w:themeColor="text1"/>
              </w:rPr>
            </w:pPr>
            <w:bookmarkStart w:id="424" w:name="n734" w:colFirst="0" w:colLast="0"/>
            <w:bookmarkEnd w:id="423"/>
            <w:r w:rsidRPr="00286216">
              <w:rPr>
                <w:color w:val="000000" w:themeColor="text1"/>
              </w:rPr>
              <w:t>734.</w:t>
            </w:r>
          </w:p>
        </w:tc>
        <w:tc>
          <w:tcPr>
            <w:tcW w:w="4818" w:type="dxa"/>
          </w:tcPr>
          <w:p w14:paraId="12351719" w14:textId="77777777" w:rsidR="00403AAD" w:rsidRPr="00286216" w:rsidRDefault="00403AAD" w:rsidP="00403AAD">
            <w:pPr>
              <w:pStyle w:val="StyleZakonu"/>
              <w:rPr>
                <w:color w:val="000000" w:themeColor="text1"/>
              </w:rPr>
            </w:pPr>
            <w:r w:rsidRPr="00286216">
              <w:rPr>
                <w:color w:val="000000" w:themeColor="text1"/>
              </w:rPr>
              <w:t xml:space="preserve">Правочини щодо фінансових інструментів, вчинені за участю, від імені та/або на користь осіб, до яких застосовано санкції відповідно до Закону України "Про санкції", що передбачають заборону або обмеження вчинення відповідних правочинів та/або </w:t>
            </w:r>
            <w:r w:rsidRPr="00286216">
              <w:rPr>
                <w:color w:val="000000" w:themeColor="text1"/>
              </w:rPr>
              <w:lastRenderedPageBreak/>
              <w:t>проведення відповідних фінансових операцій, є нікчемними.</w:t>
            </w:r>
          </w:p>
        </w:tc>
        <w:tc>
          <w:tcPr>
            <w:tcW w:w="3686" w:type="dxa"/>
          </w:tcPr>
          <w:p w14:paraId="19C3C94A" w14:textId="77777777" w:rsidR="00403AAD" w:rsidRPr="00286216" w:rsidRDefault="00403AAD" w:rsidP="00403AAD">
            <w:pPr>
              <w:pStyle w:val="StyleProp"/>
              <w:rPr>
                <w:color w:val="000000" w:themeColor="text1"/>
                <w:szCs w:val="18"/>
              </w:rPr>
            </w:pPr>
          </w:p>
        </w:tc>
        <w:tc>
          <w:tcPr>
            <w:tcW w:w="1987" w:type="dxa"/>
          </w:tcPr>
          <w:p w14:paraId="070DDFFF" w14:textId="77777777" w:rsidR="00403AAD" w:rsidRPr="00286216" w:rsidRDefault="00403AAD" w:rsidP="00403AAD">
            <w:pPr>
              <w:pStyle w:val="StyleWisnow"/>
              <w:rPr>
                <w:color w:val="000000" w:themeColor="text1"/>
              </w:rPr>
            </w:pPr>
          </w:p>
        </w:tc>
        <w:tc>
          <w:tcPr>
            <w:tcW w:w="4818" w:type="dxa"/>
          </w:tcPr>
          <w:p w14:paraId="3A56F162" w14:textId="41922008" w:rsidR="00403AAD" w:rsidRPr="00286216" w:rsidRDefault="00403AAD" w:rsidP="00403AAD">
            <w:pPr>
              <w:pStyle w:val="StyleZakonu"/>
              <w:rPr>
                <w:color w:val="000000" w:themeColor="text1"/>
              </w:rPr>
            </w:pPr>
          </w:p>
        </w:tc>
      </w:tr>
      <w:tr w:rsidR="00403AAD" w:rsidRPr="00286216" w14:paraId="3E48DAEF" w14:textId="77777777" w:rsidTr="00091AA5">
        <w:tc>
          <w:tcPr>
            <w:tcW w:w="576" w:type="dxa"/>
          </w:tcPr>
          <w:p w14:paraId="5873B569" w14:textId="77777777" w:rsidR="00403AAD" w:rsidRPr="00286216" w:rsidRDefault="00403AAD" w:rsidP="00403AAD">
            <w:pPr>
              <w:pStyle w:val="StyleWisnow"/>
              <w:rPr>
                <w:color w:val="000000" w:themeColor="text1"/>
              </w:rPr>
            </w:pPr>
            <w:bookmarkStart w:id="425" w:name="n735" w:colFirst="0" w:colLast="0"/>
            <w:bookmarkEnd w:id="424"/>
            <w:r w:rsidRPr="00286216">
              <w:rPr>
                <w:color w:val="000000" w:themeColor="text1"/>
              </w:rPr>
              <w:t>735.</w:t>
            </w:r>
          </w:p>
        </w:tc>
        <w:tc>
          <w:tcPr>
            <w:tcW w:w="4818" w:type="dxa"/>
          </w:tcPr>
          <w:p w14:paraId="6A0360B9" w14:textId="77777777" w:rsidR="00403AAD" w:rsidRPr="00286216" w:rsidRDefault="00403AAD" w:rsidP="00403AAD">
            <w:pPr>
              <w:pStyle w:val="StyleZakonu"/>
              <w:rPr>
                <w:color w:val="000000" w:themeColor="text1"/>
              </w:rPr>
            </w:pPr>
            <w:r w:rsidRPr="00286216">
              <w:rPr>
                <w:color w:val="000000" w:themeColor="text1"/>
              </w:rPr>
              <w:t>Правочини щодо фінансових інструментів, що вчиняються між інвестиційними фірмами, для кожної з них є провадженням професійної діяльності з торгівлі фінансовими інструментами.</w:t>
            </w:r>
          </w:p>
        </w:tc>
        <w:tc>
          <w:tcPr>
            <w:tcW w:w="3686" w:type="dxa"/>
          </w:tcPr>
          <w:p w14:paraId="1EA28269" w14:textId="6B8A20E7"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430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B71AA85" w14:textId="77777777" w:rsidR="00403AAD" w:rsidRPr="00286216" w:rsidRDefault="00403AAD" w:rsidP="00403AAD">
            <w:pPr>
              <w:pStyle w:val="StyleProp"/>
              <w:rPr>
                <w:color w:val="000000" w:themeColor="text1"/>
                <w:szCs w:val="18"/>
              </w:rPr>
            </w:pPr>
            <w:r w:rsidRPr="00286216">
              <w:rPr>
                <w:color w:val="000000" w:themeColor="text1"/>
                <w:szCs w:val="18"/>
              </w:rPr>
              <w:t>У  назві  статті 43 нової редакції Закону та у частинах 1, 7 та 8 цієї статті слова «торгівлі фінансовими інструментами» замінити словами «обігу фінансових інструментів».</w:t>
            </w:r>
          </w:p>
        </w:tc>
        <w:tc>
          <w:tcPr>
            <w:tcW w:w="1987" w:type="dxa"/>
          </w:tcPr>
          <w:p w14:paraId="32A788E2"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603B1466"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558A8623" w14:textId="26E259CC" w:rsidR="00403AAD" w:rsidRPr="00286216" w:rsidRDefault="00403AAD" w:rsidP="00403AAD">
            <w:pPr>
              <w:pStyle w:val="StyleZakonu"/>
              <w:rPr>
                <w:color w:val="000000" w:themeColor="text1"/>
              </w:rPr>
            </w:pPr>
            <w:r w:rsidRPr="00286216">
              <w:rPr>
                <w:color w:val="000000" w:themeColor="text1"/>
              </w:rPr>
              <w:t>6. Правочини щодо фінансових інструментів, що вчиняються між інвестиційними фірмами, для кожної з них є провадженням професійної діяльності з торгівлі фінансовими інструментами.</w:t>
            </w:r>
          </w:p>
        </w:tc>
      </w:tr>
      <w:tr w:rsidR="00403AAD" w:rsidRPr="00286216" w14:paraId="1D699CBE" w14:textId="77777777" w:rsidTr="00091AA5">
        <w:tc>
          <w:tcPr>
            <w:tcW w:w="576" w:type="dxa"/>
          </w:tcPr>
          <w:p w14:paraId="0C03E416" w14:textId="77777777" w:rsidR="00403AAD" w:rsidRPr="00286216" w:rsidRDefault="00403AAD" w:rsidP="00403AAD">
            <w:pPr>
              <w:pStyle w:val="StyleWisnow"/>
              <w:rPr>
                <w:color w:val="000000" w:themeColor="text1"/>
              </w:rPr>
            </w:pPr>
            <w:bookmarkStart w:id="426" w:name="n736" w:colFirst="0" w:colLast="0"/>
            <w:bookmarkEnd w:id="425"/>
            <w:r w:rsidRPr="00286216">
              <w:rPr>
                <w:color w:val="000000" w:themeColor="text1"/>
              </w:rPr>
              <w:t>736.</w:t>
            </w:r>
          </w:p>
        </w:tc>
        <w:tc>
          <w:tcPr>
            <w:tcW w:w="4818" w:type="dxa"/>
          </w:tcPr>
          <w:p w14:paraId="0C51CAA1" w14:textId="77777777" w:rsidR="00403AAD" w:rsidRPr="00286216" w:rsidRDefault="00403AAD" w:rsidP="00403AAD">
            <w:pPr>
              <w:pStyle w:val="StyleZakonu"/>
              <w:rPr>
                <w:color w:val="000000" w:themeColor="text1"/>
              </w:rPr>
            </w:pPr>
            <w:r w:rsidRPr="00286216">
              <w:rPr>
                <w:color w:val="000000" w:themeColor="text1"/>
              </w:rPr>
              <w:t>Укладення та виконання інвестиційною фірмою, яка є банком, деривативних контрактів грошового ринку поза організованим ринком не є провадженням професійної діяльності з торгівлі фінансовими інструментами для такої інвестиційної фірми, яка є банком.</w:t>
            </w:r>
          </w:p>
        </w:tc>
        <w:tc>
          <w:tcPr>
            <w:tcW w:w="3686" w:type="dxa"/>
          </w:tcPr>
          <w:p w14:paraId="38D74387" w14:textId="5183EF72"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431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5465EFF" w14:textId="77777777" w:rsidR="00403AAD" w:rsidRPr="00286216" w:rsidRDefault="00403AAD" w:rsidP="00403AAD">
            <w:pPr>
              <w:pStyle w:val="StyleProp"/>
              <w:rPr>
                <w:color w:val="000000" w:themeColor="text1"/>
                <w:szCs w:val="18"/>
              </w:rPr>
            </w:pPr>
            <w:r w:rsidRPr="00286216">
              <w:rPr>
                <w:color w:val="000000" w:themeColor="text1"/>
                <w:szCs w:val="18"/>
              </w:rPr>
              <w:t>У  назві  статті 43 нової редакції Закону та у частинах 1, 7 та 8 цієї статті слова «торгівлі фінансовими інструментами» замінити словами «обігу фінансових інструментів».</w:t>
            </w:r>
          </w:p>
        </w:tc>
        <w:tc>
          <w:tcPr>
            <w:tcW w:w="1987" w:type="dxa"/>
          </w:tcPr>
          <w:p w14:paraId="67B72504"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7813F61F"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30D60424" w14:textId="752C489F" w:rsidR="00403AAD" w:rsidRPr="00286216" w:rsidRDefault="00403AAD" w:rsidP="00403AAD">
            <w:pPr>
              <w:pStyle w:val="StyleZakonu"/>
              <w:rPr>
                <w:color w:val="000000" w:themeColor="text1"/>
              </w:rPr>
            </w:pPr>
            <w:r w:rsidRPr="00286216">
              <w:rPr>
                <w:color w:val="000000" w:themeColor="text1"/>
              </w:rPr>
              <w:t>Укладення та виконання інвестиційною фірмою, яка є банком, деривативних контрактів грошового ринку поза організованим ринком не є провадженням професійної діяльності з торгівлі фінансовими інструментами для такої інвестиційної фірми.</w:t>
            </w:r>
          </w:p>
        </w:tc>
      </w:tr>
      <w:tr w:rsidR="00403AAD" w:rsidRPr="00286216" w14:paraId="681E1009" w14:textId="77777777" w:rsidTr="00091AA5">
        <w:tc>
          <w:tcPr>
            <w:tcW w:w="576" w:type="dxa"/>
          </w:tcPr>
          <w:p w14:paraId="77AED952" w14:textId="77777777" w:rsidR="00403AAD" w:rsidRPr="00286216" w:rsidRDefault="00403AAD" w:rsidP="00403AAD">
            <w:pPr>
              <w:pStyle w:val="StyleWisnow"/>
              <w:rPr>
                <w:color w:val="000000" w:themeColor="text1"/>
              </w:rPr>
            </w:pPr>
            <w:bookmarkStart w:id="427" w:name="n737" w:colFirst="0" w:colLast="0"/>
            <w:bookmarkEnd w:id="426"/>
            <w:r w:rsidRPr="00286216">
              <w:rPr>
                <w:color w:val="000000" w:themeColor="text1"/>
              </w:rPr>
              <w:t>737.</w:t>
            </w:r>
          </w:p>
        </w:tc>
        <w:tc>
          <w:tcPr>
            <w:tcW w:w="4818" w:type="dxa"/>
          </w:tcPr>
          <w:p w14:paraId="09D416C1" w14:textId="77777777" w:rsidR="00403AAD" w:rsidRPr="00286216" w:rsidRDefault="00403AAD" w:rsidP="00403AAD">
            <w:pPr>
              <w:pStyle w:val="StyleZakonu"/>
              <w:rPr>
                <w:color w:val="000000" w:themeColor="text1"/>
              </w:rPr>
            </w:pPr>
            <w:r w:rsidRPr="00286216">
              <w:rPr>
                <w:color w:val="000000" w:themeColor="text1"/>
              </w:rPr>
              <w:t>8. Порядок провадження діяльності з торгівлі фінансовими інструментами, у тому числі порядок надання додаткових послуг, встановлюється цим Законом та нормативно-правовими актами Національної комісії з цінних паперів та фондового ринку.</w:t>
            </w:r>
          </w:p>
        </w:tc>
        <w:tc>
          <w:tcPr>
            <w:tcW w:w="3686" w:type="dxa"/>
          </w:tcPr>
          <w:p w14:paraId="2879963F" w14:textId="1FD8E505"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432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B85C833" w14:textId="77777777" w:rsidR="00403AAD" w:rsidRPr="00286216" w:rsidRDefault="00403AAD" w:rsidP="00403AAD">
            <w:pPr>
              <w:pStyle w:val="StyleProp"/>
              <w:rPr>
                <w:color w:val="000000" w:themeColor="text1"/>
                <w:szCs w:val="18"/>
              </w:rPr>
            </w:pPr>
            <w:r w:rsidRPr="00286216">
              <w:rPr>
                <w:color w:val="000000" w:themeColor="text1"/>
                <w:szCs w:val="18"/>
              </w:rPr>
              <w:t>У  назві  статті 43 нової редакції Закону та у частинах 1, 7 та 8 цієї статті слова «торгівлі фінансовими інструментами» замінити словами «обігу фінансових інструментів».</w:t>
            </w:r>
          </w:p>
          <w:p w14:paraId="365E3A26" w14:textId="6DF6258F"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433</w:t>
            </w:r>
            <w:r w:rsidRPr="00286216">
              <w:rPr>
                <w:color w:val="000000" w:themeColor="text1"/>
              </w:rPr>
              <w:fldChar w:fldCharType="end"/>
            </w:r>
            <w:r w:rsidRPr="00286216">
              <w:rPr>
                <w:color w:val="000000" w:themeColor="text1"/>
              </w:rPr>
              <w:t>-Н.д.Шахов С.В. (Реєстр.картка №114)</w:t>
            </w:r>
          </w:p>
          <w:p w14:paraId="57E993AD" w14:textId="77777777" w:rsidR="00403AAD" w:rsidRPr="00286216" w:rsidRDefault="00403AAD" w:rsidP="00403AAD">
            <w:pPr>
              <w:pStyle w:val="StyleProp"/>
              <w:rPr>
                <w:color w:val="000000" w:themeColor="text1"/>
              </w:rPr>
            </w:pPr>
            <w:r w:rsidRPr="00286216">
              <w:rPr>
                <w:color w:val="000000" w:themeColor="text1"/>
                <w:spacing w:val="-6"/>
              </w:rPr>
              <w:t>Частину</w:t>
            </w:r>
            <w:r w:rsidRPr="00286216">
              <w:rPr>
                <w:color w:val="000000" w:themeColor="text1"/>
                <w:spacing w:val="-6"/>
                <w:sz w:val="16"/>
                <w:szCs w:val="16"/>
              </w:rPr>
              <w:t xml:space="preserve"> </w:t>
            </w:r>
            <w:r w:rsidRPr="00286216">
              <w:rPr>
                <w:color w:val="000000" w:themeColor="text1"/>
                <w:spacing w:val="-6"/>
              </w:rPr>
              <w:t>8</w:t>
            </w:r>
            <w:r w:rsidRPr="00286216">
              <w:rPr>
                <w:color w:val="000000" w:themeColor="text1"/>
                <w:spacing w:val="-6"/>
                <w:sz w:val="16"/>
                <w:szCs w:val="16"/>
              </w:rPr>
              <w:t xml:space="preserve"> </w:t>
            </w:r>
            <w:r w:rsidRPr="00286216">
              <w:rPr>
                <w:color w:val="000000" w:themeColor="text1"/>
                <w:spacing w:val="-6"/>
              </w:rPr>
              <w:t>статті</w:t>
            </w:r>
            <w:r w:rsidRPr="00286216">
              <w:rPr>
                <w:color w:val="000000" w:themeColor="text1"/>
                <w:spacing w:val="-6"/>
                <w:sz w:val="16"/>
                <w:szCs w:val="16"/>
              </w:rPr>
              <w:t xml:space="preserve"> </w:t>
            </w:r>
            <w:r w:rsidRPr="00286216">
              <w:rPr>
                <w:color w:val="000000" w:themeColor="text1"/>
                <w:spacing w:val="-6"/>
              </w:rPr>
              <w:t>43</w:t>
            </w:r>
            <w:r w:rsidRPr="00286216">
              <w:rPr>
                <w:color w:val="000000" w:themeColor="text1"/>
                <w:spacing w:val="-6"/>
                <w:sz w:val="16"/>
                <w:szCs w:val="16"/>
              </w:rPr>
              <w:t xml:space="preserve"> </w:t>
            </w:r>
            <w:r w:rsidRPr="00286216">
              <w:rPr>
                <w:color w:val="000000" w:themeColor="text1"/>
                <w:spacing w:val="-6"/>
              </w:rPr>
              <w:t>після</w:t>
            </w:r>
            <w:r w:rsidRPr="00286216">
              <w:rPr>
                <w:color w:val="000000" w:themeColor="text1"/>
                <w:spacing w:val="-6"/>
                <w:sz w:val="16"/>
                <w:szCs w:val="16"/>
              </w:rPr>
              <w:t xml:space="preserve"> </w:t>
            </w:r>
            <w:r w:rsidRPr="00286216">
              <w:rPr>
                <w:color w:val="000000" w:themeColor="text1"/>
                <w:spacing w:val="-6"/>
              </w:rPr>
              <w:t>слова "провадження"</w:t>
            </w:r>
            <w:r w:rsidRPr="00286216">
              <w:rPr>
                <w:color w:val="000000" w:themeColor="text1"/>
                <w:spacing w:val="-3"/>
              </w:rPr>
              <w:t xml:space="preserve"> доповнити словом "професійної".</w:t>
            </w:r>
          </w:p>
        </w:tc>
        <w:tc>
          <w:tcPr>
            <w:tcW w:w="1987" w:type="dxa"/>
          </w:tcPr>
          <w:p w14:paraId="36D345D1"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622A20F7"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p w14:paraId="053F8CDC" w14:textId="009A3D79" w:rsidR="00403AAD" w:rsidRPr="00286216" w:rsidRDefault="00403AAD" w:rsidP="00403AAD">
            <w:pPr>
              <w:pStyle w:val="StyleWisnow"/>
              <w:spacing w:line="180" w:lineRule="exact"/>
              <w:rPr>
                <w:color w:val="000000" w:themeColor="text1"/>
              </w:rPr>
            </w:pPr>
          </w:p>
          <w:p w14:paraId="3834F598" w14:textId="77777777" w:rsidR="00403AAD" w:rsidRPr="00286216" w:rsidRDefault="00403AAD" w:rsidP="00403AAD">
            <w:pPr>
              <w:pStyle w:val="StyleWisnow"/>
              <w:spacing w:line="180" w:lineRule="exact"/>
              <w:rPr>
                <w:color w:val="000000" w:themeColor="text1"/>
              </w:rPr>
            </w:pPr>
          </w:p>
          <w:p w14:paraId="3E6D5034" w14:textId="672A0DD5" w:rsidR="00403AAD" w:rsidRPr="00286216" w:rsidRDefault="00403AAD" w:rsidP="00403AAD">
            <w:pPr>
              <w:pStyle w:val="StyleWisnow"/>
              <w:spacing w:line="180" w:lineRule="exact"/>
              <w:rPr>
                <w:color w:val="000000" w:themeColor="text1"/>
              </w:rPr>
            </w:pPr>
            <w:r w:rsidRPr="00286216">
              <w:rPr>
                <w:color w:val="000000" w:themeColor="text1"/>
              </w:rPr>
              <w:t>Враховано</w:t>
            </w:r>
          </w:p>
        </w:tc>
        <w:tc>
          <w:tcPr>
            <w:tcW w:w="4818" w:type="dxa"/>
          </w:tcPr>
          <w:p w14:paraId="02AAA8E5" w14:textId="5508248D" w:rsidR="00403AAD" w:rsidRPr="00286216" w:rsidRDefault="00403AAD" w:rsidP="00403AAD">
            <w:pPr>
              <w:pStyle w:val="StyleZakonu"/>
              <w:rPr>
                <w:color w:val="000000" w:themeColor="text1"/>
              </w:rPr>
            </w:pPr>
            <w:r w:rsidRPr="00286216">
              <w:rPr>
                <w:color w:val="000000" w:themeColor="text1"/>
              </w:rPr>
              <w:t xml:space="preserve">7. Порядок провадження </w:t>
            </w:r>
            <w:r w:rsidRPr="00286216">
              <w:rPr>
                <w:color w:val="000000" w:themeColor="text1"/>
                <w:spacing w:val="-3"/>
              </w:rPr>
              <w:t>професійної</w:t>
            </w:r>
            <w:r w:rsidRPr="00286216">
              <w:rPr>
                <w:color w:val="000000" w:themeColor="text1"/>
              </w:rPr>
              <w:t xml:space="preserve"> діяльності з торгівлі фінансовими інструментами, у тому числі порядок надання додаткових послуг, встановлюється цим Законом та нормативно-правовими актами Національної комісії з цінних паперів та фондового ринку.</w:t>
            </w:r>
          </w:p>
        </w:tc>
      </w:tr>
      <w:tr w:rsidR="00403AAD" w:rsidRPr="00286216" w14:paraId="2F6C422E" w14:textId="77777777" w:rsidTr="00091AA5">
        <w:tc>
          <w:tcPr>
            <w:tcW w:w="576" w:type="dxa"/>
          </w:tcPr>
          <w:p w14:paraId="645A27F9" w14:textId="77777777" w:rsidR="00403AAD" w:rsidRPr="00286216" w:rsidRDefault="00403AAD" w:rsidP="00403AAD">
            <w:pPr>
              <w:pStyle w:val="StyleWisnow"/>
              <w:rPr>
                <w:color w:val="000000" w:themeColor="text1"/>
              </w:rPr>
            </w:pPr>
            <w:bookmarkStart w:id="428" w:name="n738" w:colFirst="0" w:colLast="0"/>
            <w:bookmarkEnd w:id="427"/>
            <w:r w:rsidRPr="00286216">
              <w:rPr>
                <w:color w:val="000000" w:themeColor="text1"/>
              </w:rPr>
              <w:t>738.</w:t>
            </w:r>
          </w:p>
        </w:tc>
        <w:tc>
          <w:tcPr>
            <w:tcW w:w="4818" w:type="dxa"/>
          </w:tcPr>
          <w:p w14:paraId="71BC7237" w14:textId="77777777" w:rsidR="00403AAD" w:rsidRPr="00286216" w:rsidRDefault="00403AAD" w:rsidP="00403AAD">
            <w:pPr>
              <w:pStyle w:val="StyleZakonu"/>
              <w:rPr>
                <w:color w:val="000000" w:themeColor="text1"/>
              </w:rPr>
            </w:pPr>
            <w:r w:rsidRPr="00286216">
              <w:rPr>
                <w:color w:val="000000" w:themeColor="text1"/>
              </w:rPr>
              <w:t>Стаття 44. Обов’язки інвестиційної фірми при наданні послуг клієнту</w:t>
            </w:r>
          </w:p>
        </w:tc>
        <w:tc>
          <w:tcPr>
            <w:tcW w:w="3686" w:type="dxa"/>
          </w:tcPr>
          <w:p w14:paraId="6576A45C" w14:textId="77777777" w:rsidR="00403AAD" w:rsidRPr="00286216" w:rsidRDefault="00403AAD" w:rsidP="00403AAD">
            <w:pPr>
              <w:pStyle w:val="StyleProp"/>
              <w:rPr>
                <w:color w:val="000000" w:themeColor="text1"/>
                <w:szCs w:val="18"/>
              </w:rPr>
            </w:pPr>
          </w:p>
        </w:tc>
        <w:tc>
          <w:tcPr>
            <w:tcW w:w="1987" w:type="dxa"/>
          </w:tcPr>
          <w:p w14:paraId="138C4B58" w14:textId="77777777" w:rsidR="00403AAD" w:rsidRPr="00286216" w:rsidRDefault="00403AAD" w:rsidP="00403AAD">
            <w:pPr>
              <w:pStyle w:val="StyleWisnow"/>
              <w:spacing w:line="180" w:lineRule="exact"/>
              <w:rPr>
                <w:color w:val="000000" w:themeColor="text1"/>
              </w:rPr>
            </w:pPr>
          </w:p>
        </w:tc>
        <w:tc>
          <w:tcPr>
            <w:tcW w:w="4818" w:type="dxa"/>
          </w:tcPr>
          <w:p w14:paraId="0833345B" w14:textId="228AD708" w:rsidR="00403AAD" w:rsidRPr="00286216" w:rsidRDefault="00403AAD" w:rsidP="00403AAD">
            <w:pPr>
              <w:pStyle w:val="StyleZakonu"/>
              <w:rPr>
                <w:color w:val="000000" w:themeColor="text1"/>
              </w:rPr>
            </w:pPr>
            <w:r w:rsidRPr="00286216">
              <w:rPr>
                <w:color w:val="000000" w:themeColor="text1"/>
              </w:rPr>
              <w:t>Стаття 46. Обов’язки інвестиційної фірми при наданні послуг клієнту</w:t>
            </w:r>
          </w:p>
        </w:tc>
      </w:tr>
      <w:tr w:rsidR="00403AAD" w:rsidRPr="00286216" w14:paraId="5C659F61" w14:textId="77777777" w:rsidTr="00091AA5">
        <w:tc>
          <w:tcPr>
            <w:tcW w:w="576" w:type="dxa"/>
          </w:tcPr>
          <w:p w14:paraId="67339E40" w14:textId="77777777" w:rsidR="00403AAD" w:rsidRPr="00286216" w:rsidRDefault="00403AAD" w:rsidP="00403AAD">
            <w:pPr>
              <w:pStyle w:val="StyleWisnow"/>
              <w:rPr>
                <w:color w:val="000000" w:themeColor="text1"/>
              </w:rPr>
            </w:pPr>
            <w:bookmarkStart w:id="429" w:name="n739" w:colFirst="0" w:colLast="0"/>
            <w:bookmarkEnd w:id="428"/>
            <w:r w:rsidRPr="00286216">
              <w:rPr>
                <w:color w:val="000000" w:themeColor="text1"/>
              </w:rPr>
              <w:t>739.</w:t>
            </w:r>
          </w:p>
        </w:tc>
        <w:tc>
          <w:tcPr>
            <w:tcW w:w="4818" w:type="dxa"/>
          </w:tcPr>
          <w:p w14:paraId="424AD84A" w14:textId="77777777" w:rsidR="00403AAD" w:rsidRPr="00286216" w:rsidRDefault="00403AAD" w:rsidP="00403AAD">
            <w:pPr>
              <w:pStyle w:val="StyleZakonu"/>
              <w:rPr>
                <w:color w:val="000000" w:themeColor="text1"/>
              </w:rPr>
            </w:pPr>
            <w:r w:rsidRPr="00286216">
              <w:rPr>
                <w:color w:val="000000" w:themeColor="text1"/>
              </w:rPr>
              <w:t>1. Інвестиційна фірма зобов’язана виконувати доручення клієнтів на найвигідніших для клієнта умовах. При цьому якщо доручення клієнтів містять конкретні умови та/або вказівки, виконання доручень має здійснюватися з дотриманням таких умов та/або вказівок.</w:t>
            </w:r>
          </w:p>
        </w:tc>
        <w:tc>
          <w:tcPr>
            <w:tcW w:w="3686" w:type="dxa"/>
          </w:tcPr>
          <w:p w14:paraId="4C585CF5" w14:textId="77777777" w:rsidR="00403AAD" w:rsidRPr="00286216" w:rsidRDefault="00403AAD" w:rsidP="00403AAD">
            <w:pPr>
              <w:pStyle w:val="StyleProp"/>
              <w:rPr>
                <w:color w:val="000000" w:themeColor="text1"/>
                <w:szCs w:val="18"/>
              </w:rPr>
            </w:pPr>
          </w:p>
        </w:tc>
        <w:tc>
          <w:tcPr>
            <w:tcW w:w="1987" w:type="dxa"/>
          </w:tcPr>
          <w:p w14:paraId="74F3072E" w14:textId="77777777" w:rsidR="00403AAD" w:rsidRPr="00286216" w:rsidRDefault="00403AAD" w:rsidP="00403AAD">
            <w:pPr>
              <w:pStyle w:val="StyleWisnow"/>
              <w:rPr>
                <w:color w:val="000000" w:themeColor="text1"/>
              </w:rPr>
            </w:pPr>
          </w:p>
        </w:tc>
        <w:tc>
          <w:tcPr>
            <w:tcW w:w="4818" w:type="dxa"/>
          </w:tcPr>
          <w:p w14:paraId="2A676A4C" w14:textId="0A62A33F" w:rsidR="00403AAD" w:rsidRPr="00286216" w:rsidRDefault="00403AAD" w:rsidP="00403AAD">
            <w:pPr>
              <w:pStyle w:val="StyleZakonu"/>
              <w:rPr>
                <w:color w:val="000000" w:themeColor="text1"/>
              </w:rPr>
            </w:pPr>
            <w:r w:rsidRPr="00286216">
              <w:rPr>
                <w:color w:val="000000" w:themeColor="text1"/>
              </w:rPr>
              <w:t>1. Інвестиційна фірма зобов’язана виконувати доручення клієнтів на найвигідніших для клієнта умовах. При цьому якщо доручення клієнтів містять конкретні умови та/або вказівки, виконання доручень має здійснюватися з дотриманням таких умов та/або вказівок.</w:t>
            </w:r>
          </w:p>
        </w:tc>
      </w:tr>
      <w:tr w:rsidR="00403AAD" w:rsidRPr="00286216" w14:paraId="315DE85F" w14:textId="77777777" w:rsidTr="00091AA5">
        <w:tc>
          <w:tcPr>
            <w:tcW w:w="576" w:type="dxa"/>
          </w:tcPr>
          <w:p w14:paraId="41A027CD" w14:textId="77777777" w:rsidR="00403AAD" w:rsidRPr="00286216" w:rsidRDefault="00403AAD" w:rsidP="00403AAD">
            <w:pPr>
              <w:pStyle w:val="StyleWisnow"/>
              <w:rPr>
                <w:color w:val="000000" w:themeColor="text1"/>
              </w:rPr>
            </w:pPr>
            <w:bookmarkStart w:id="430" w:name="n740" w:colFirst="0" w:colLast="0"/>
            <w:bookmarkEnd w:id="429"/>
            <w:r w:rsidRPr="00286216">
              <w:rPr>
                <w:color w:val="000000" w:themeColor="text1"/>
              </w:rPr>
              <w:t>740.</w:t>
            </w:r>
          </w:p>
        </w:tc>
        <w:tc>
          <w:tcPr>
            <w:tcW w:w="4818" w:type="dxa"/>
          </w:tcPr>
          <w:p w14:paraId="3823BBF7" w14:textId="77777777" w:rsidR="00403AAD" w:rsidRPr="00286216" w:rsidRDefault="00403AAD" w:rsidP="00403AAD">
            <w:pPr>
              <w:pStyle w:val="StyleZakonu"/>
              <w:rPr>
                <w:color w:val="000000" w:themeColor="text1"/>
              </w:rPr>
            </w:pPr>
            <w:r w:rsidRPr="00286216">
              <w:rPr>
                <w:color w:val="000000" w:themeColor="text1"/>
              </w:rPr>
              <w:t>Доручення клієнтів виконуються інвестиційною фірмою у порядку їх надходження, якщо інше не передбачено договором або дорученнями клієнтів. У разі одночасного укладення інвестиційною фірмою за власний рахунок договорів, предмет яких є тотожним предмету договорів, що укладаються такою фірмою за рахунок клієнта, виконання договорів для клієнта здійснюється у першу чергу.</w:t>
            </w:r>
          </w:p>
        </w:tc>
        <w:tc>
          <w:tcPr>
            <w:tcW w:w="3686" w:type="dxa"/>
          </w:tcPr>
          <w:p w14:paraId="4DEEBA10" w14:textId="77777777" w:rsidR="00403AAD" w:rsidRPr="00286216" w:rsidRDefault="00403AAD" w:rsidP="00403AAD">
            <w:pPr>
              <w:pStyle w:val="StyleProp"/>
              <w:rPr>
                <w:color w:val="000000" w:themeColor="text1"/>
                <w:szCs w:val="18"/>
              </w:rPr>
            </w:pPr>
          </w:p>
        </w:tc>
        <w:tc>
          <w:tcPr>
            <w:tcW w:w="1987" w:type="dxa"/>
          </w:tcPr>
          <w:p w14:paraId="5A64CEA7" w14:textId="77777777" w:rsidR="00403AAD" w:rsidRPr="00286216" w:rsidRDefault="00403AAD" w:rsidP="00403AAD">
            <w:pPr>
              <w:pStyle w:val="StyleWisnow"/>
              <w:rPr>
                <w:color w:val="000000" w:themeColor="text1"/>
              </w:rPr>
            </w:pPr>
          </w:p>
        </w:tc>
        <w:tc>
          <w:tcPr>
            <w:tcW w:w="4818" w:type="dxa"/>
          </w:tcPr>
          <w:p w14:paraId="6858CA83" w14:textId="555D4CE4" w:rsidR="00403AAD" w:rsidRPr="00286216" w:rsidRDefault="00403AAD" w:rsidP="00403AAD">
            <w:pPr>
              <w:pStyle w:val="StyleZakonu"/>
              <w:rPr>
                <w:color w:val="000000" w:themeColor="text1"/>
              </w:rPr>
            </w:pPr>
            <w:r w:rsidRPr="00286216">
              <w:rPr>
                <w:color w:val="000000" w:themeColor="text1"/>
              </w:rPr>
              <w:t>Доручення клієнтів виконуються інвестиційною фірмою у порядку їх надходження, якщо інше не передбачено договором або дорученнями клієнтів. У разі одночасного укладення інвестиційною фірмою за власний рахунок договорів, предмет яких є тотожним предмету договорів, що укладаються такою фірмою за рахунок клієнта, виконання договорів для клієнта здійснюється у першу чергу.</w:t>
            </w:r>
          </w:p>
        </w:tc>
      </w:tr>
      <w:tr w:rsidR="00403AAD" w:rsidRPr="00286216" w14:paraId="292EEEBE" w14:textId="77777777" w:rsidTr="00091AA5">
        <w:tc>
          <w:tcPr>
            <w:tcW w:w="576" w:type="dxa"/>
          </w:tcPr>
          <w:p w14:paraId="7AA843BF" w14:textId="77777777" w:rsidR="00403AAD" w:rsidRPr="00286216" w:rsidRDefault="00403AAD" w:rsidP="00403AAD">
            <w:pPr>
              <w:pStyle w:val="StyleWisnow"/>
              <w:rPr>
                <w:color w:val="000000" w:themeColor="text1"/>
              </w:rPr>
            </w:pPr>
            <w:bookmarkStart w:id="431" w:name="n741" w:colFirst="0" w:colLast="0"/>
            <w:bookmarkEnd w:id="430"/>
            <w:r w:rsidRPr="00286216">
              <w:rPr>
                <w:color w:val="000000" w:themeColor="text1"/>
              </w:rPr>
              <w:t>741.</w:t>
            </w:r>
          </w:p>
        </w:tc>
        <w:tc>
          <w:tcPr>
            <w:tcW w:w="4818" w:type="dxa"/>
          </w:tcPr>
          <w:p w14:paraId="243C0248" w14:textId="77777777" w:rsidR="00403AAD" w:rsidRPr="00286216" w:rsidRDefault="00403AAD" w:rsidP="00403AAD">
            <w:pPr>
              <w:pStyle w:val="StyleZakonu"/>
              <w:rPr>
                <w:color w:val="000000" w:themeColor="text1"/>
              </w:rPr>
            </w:pPr>
            <w:bookmarkStart w:id="432" w:name="_Ref20845186"/>
            <w:r w:rsidRPr="00286216">
              <w:rPr>
                <w:color w:val="000000" w:themeColor="text1"/>
              </w:rPr>
              <w:t>2. Інвестиційна фірма повинна розробити та затвердити внутрішні правила виконання доручень клієнтів, які повинні містити інформацію, встановлену Національною комісією з цінних паперів та фондового ринку.</w:t>
            </w:r>
            <w:bookmarkEnd w:id="432"/>
          </w:p>
        </w:tc>
        <w:tc>
          <w:tcPr>
            <w:tcW w:w="3686" w:type="dxa"/>
          </w:tcPr>
          <w:p w14:paraId="2D303C6E" w14:textId="77777777" w:rsidR="00403AAD" w:rsidRPr="00286216" w:rsidRDefault="00403AAD" w:rsidP="00403AAD">
            <w:pPr>
              <w:pStyle w:val="StyleProp"/>
              <w:rPr>
                <w:color w:val="000000" w:themeColor="text1"/>
                <w:szCs w:val="18"/>
              </w:rPr>
            </w:pPr>
          </w:p>
        </w:tc>
        <w:tc>
          <w:tcPr>
            <w:tcW w:w="1987" w:type="dxa"/>
          </w:tcPr>
          <w:p w14:paraId="2E8B0B3F" w14:textId="77777777" w:rsidR="00403AAD" w:rsidRPr="00286216" w:rsidRDefault="00403AAD" w:rsidP="00403AAD">
            <w:pPr>
              <w:pStyle w:val="StyleWisnow"/>
              <w:rPr>
                <w:color w:val="000000" w:themeColor="text1"/>
              </w:rPr>
            </w:pPr>
          </w:p>
        </w:tc>
        <w:tc>
          <w:tcPr>
            <w:tcW w:w="4818" w:type="dxa"/>
          </w:tcPr>
          <w:p w14:paraId="273B4E13" w14:textId="13C1D42E" w:rsidR="00403AAD" w:rsidRPr="00286216" w:rsidRDefault="00403AAD" w:rsidP="00403AAD">
            <w:pPr>
              <w:pStyle w:val="StyleZakonu"/>
              <w:rPr>
                <w:color w:val="000000" w:themeColor="text1"/>
              </w:rPr>
            </w:pPr>
            <w:r w:rsidRPr="00286216">
              <w:rPr>
                <w:color w:val="000000" w:themeColor="text1"/>
              </w:rPr>
              <w:t>2. Інвестиційна фірма повинна розробити та затвердити внутрішні правила виконання доручень клієнтів, які повинні містити інформацію, встановлену Національною комісією з цінних паперів та фондового ринку.</w:t>
            </w:r>
          </w:p>
        </w:tc>
      </w:tr>
      <w:tr w:rsidR="00403AAD" w:rsidRPr="00286216" w14:paraId="061ACD48" w14:textId="77777777" w:rsidTr="00091AA5">
        <w:tc>
          <w:tcPr>
            <w:tcW w:w="576" w:type="dxa"/>
          </w:tcPr>
          <w:p w14:paraId="0889BF93" w14:textId="77777777" w:rsidR="00403AAD" w:rsidRPr="00286216" w:rsidRDefault="00403AAD" w:rsidP="00403AAD">
            <w:pPr>
              <w:pStyle w:val="StyleWisnow"/>
              <w:rPr>
                <w:color w:val="000000" w:themeColor="text1"/>
              </w:rPr>
            </w:pPr>
            <w:bookmarkStart w:id="433" w:name="n742" w:colFirst="0" w:colLast="0"/>
            <w:bookmarkEnd w:id="431"/>
            <w:r w:rsidRPr="00286216">
              <w:rPr>
                <w:color w:val="000000" w:themeColor="text1"/>
              </w:rPr>
              <w:t>742.</w:t>
            </w:r>
          </w:p>
        </w:tc>
        <w:tc>
          <w:tcPr>
            <w:tcW w:w="4818" w:type="dxa"/>
          </w:tcPr>
          <w:p w14:paraId="278727FF" w14:textId="77777777" w:rsidR="00403AAD" w:rsidRPr="00286216" w:rsidRDefault="00403AAD" w:rsidP="00403AAD">
            <w:pPr>
              <w:pStyle w:val="StyleZakonu"/>
              <w:rPr>
                <w:color w:val="000000" w:themeColor="text1"/>
              </w:rPr>
            </w:pPr>
            <w:r w:rsidRPr="00286216">
              <w:rPr>
                <w:color w:val="000000" w:themeColor="text1"/>
              </w:rPr>
              <w:t xml:space="preserve">Перед укладенням договору з клієнтом інвестиційна фірма повинна ознайомити клієнта з правилами виконання доручень клієнтів та отримати </w:t>
            </w:r>
            <w:r w:rsidRPr="00286216">
              <w:rPr>
                <w:color w:val="000000" w:themeColor="text1"/>
              </w:rPr>
              <w:lastRenderedPageBreak/>
              <w:t>письмову згоду клієнта з такими правилами, крім випадків, коли клієнта вже ознайомлено та він надав письмову згоду з такими правилами раніше. Інвестиційна фірма повинна повідомляти клієнтів про зміни до правил виконання доручень клієнтів, що стосуються прав та інтересів клієнтів. Положення цього абзацу не застосовуються у випадках, якщо клієнтом інвестиційної фірми є кваліфікований інвестор, якщо такий кваліфікований інвестор не подав інвестиційній фірмі заяву в письмовій формі про те, що він бажає, щоб положення цього абзацу застосовувалися до нього.</w:t>
            </w:r>
          </w:p>
        </w:tc>
        <w:tc>
          <w:tcPr>
            <w:tcW w:w="3686" w:type="dxa"/>
          </w:tcPr>
          <w:p w14:paraId="071620F4" w14:textId="77777777" w:rsidR="00403AAD" w:rsidRPr="00286216" w:rsidRDefault="00403AAD" w:rsidP="00403AAD">
            <w:pPr>
              <w:pStyle w:val="StyleProp"/>
              <w:rPr>
                <w:color w:val="000000" w:themeColor="text1"/>
                <w:szCs w:val="18"/>
              </w:rPr>
            </w:pPr>
          </w:p>
        </w:tc>
        <w:tc>
          <w:tcPr>
            <w:tcW w:w="1987" w:type="dxa"/>
          </w:tcPr>
          <w:p w14:paraId="76FAF6C5" w14:textId="77777777" w:rsidR="00403AAD" w:rsidRPr="00286216" w:rsidRDefault="00403AAD" w:rsidP="00403AAD">
            <w:pPr>
              <w:pStyle w:val="StyleWisnow"/>
              <w:rPr>
                <w:color w:val="000000" w:themeColor="text1"/>
              </w:rPr>
            </w:pPr>
          </w:p>
        </w:tc>
        <w:tc>
          <w:tcPr>
            <w:tcW w:w="4818" w:type="dxa"/>
          </w:tcPr>
          <w:p w14:paraId="14D9E45F" w14:textId="24B4953F" w:rsidR="00403AAD" w:rsidRPr="00286216" w:rsidRDefault="00403AAD" w:rsidP="00403AAD">
            <w:pPr>
              <w:pStyle w:val="StyleZakonu"/>
              <w:rPr>
                <w:color w:val="000000" w:themeColor="text1"/>
              </w:rPr>
            </w:pPr>
            <w:r w:rsidRPr="00286216">
              <w:rPr>
                <w:color w:val="000000" w:themeColor="text1"/>
              </w:rPr>
              <w:t xml:space="preserve">Перед укладенням договору з клієнтом інвестиційна фірма повинна ознайомити клієнта з правилами виконання доручень клієнтів та отримати </w:t>
            </w:r>
            <w:r w:rsidRPr="00286216">
              <w:rPr>
                <w:color w:val="000000" w:themeColor="text1"/>
              </w:rPr>
              <w:lastRenderedPageBreak/>
              <w:t>письмову згоду клієнта з такими правилами, крім випадків, коли клієнта вже ознайомлено та він надав письмову згоду з такими правилами раніше. Інвестиційна фірма повинна повідомляти клієнтів про зміни до правил виконання доручень клієнтів, що стосуються прав та інтересів клієнтів. Положення цього абзацу не застосовуються у випадках, якщо клієнтом інвестиційної фірми є кваліфікований інвестор, якщо такий кваліфікований інвестор не подав інвестиційній фірмі заяву в письмовій формі про те, що він бажає, щоб положення цього абзацу застосовувалися до нього.</w:t>
            </w:r>
          </w:p>
        </w:tc>
      </w:tr>
      <w:tr w:rsidR="00403AAD" w:rsidRPr="00286216" w14:paraId="102BCF1C" w14:textId="77777777" w:rsidTr="00091AA5">
        <w:tc>
          <w:tcPr>
            <w:tcW w:w="576" w:type="dxa"/>
          </w:tcPr>
          <w:p w14:paraId="4D42028C" w14:textId="77777777" w:rsidR="00403AAD" w:rsidRPr="00286216" w:rsidRDefault="00403AAD" w:rsidP="00403AAD">
            <w:pPr>
              <w:pStyle w:val="StyleWisnow"/>
              <w:rPr>
                <w:color w:val="000000" w:themeColor="text1"/>
              </w:rPr>
            </w:pPr>
            <w:bookmarkStart w:id="434" w:name="n743" w:colFirst="0" w:colLast="0"/>
            <w:bookmarkEnd w:id="433"/>
            <w:r w:rsidRPr="00286216">
              <w:rPr>
                <w:color w:val="000000" w:themeColor="text1"/>
              </w:rPr>
              <w:lastRenderedPageBreak/>
              <w:t>743.</w:t>
            </w:r>
          </w:p>
        </w:tc>
        <w:tc>
          <w:tcPr>
            <w:tcW w:w="4818" w:type="dxa"/>
          </w:tcPr>
          <w:p w14:paraId="786881F5" w14:textId="77777777" w:rsidR="00403AAD" w:rsidRPr="00286216" w:rsidRDefault="00403AAD" w:rsidP="00403AAD">
            <w:pPr>
              <w:pStyle w:val="StyleZakonu"/>
              <w:rPr>
                <w:color w:val="000000" w:themeColor="text1"/>
              </w:rPr>
            </w:pPr>
            <w:r w:rsidRPr="00286216">
              <w:rPr>
                <w:color w:val="000000" w:themeColor="text1"/>
              </w:rPr>
              <w:t>Інвестиційна фірма встановлює внутрішні правила та процедури щодо укладення особами, визначеними у пункті 43 частини першої статті 2 цього Закону, особистих угоди відповідно до вимог, встановлених Національною комісією з цінних паперів та фондового ринку.</w:t>
            </w:r>
          </w:p>
        </w:tc>
        <w:tc>
          <w:tcPr>
            <w:tcW w:w="3686" w:type="dxa"/>
          </w:tcPr>
          <w:p w14:paraId="5C4E90AF" w14:textId="77777777" w:rsidR="00403AAD" w:rsidRPr="00286216" w:rsidRDefault="00403AAD" w:rsidP="00403AAD">
            <w:pPr>
              <w:pStyle w:val="StyleProp"/>
              <w:rPr>
                <w:color w:val="000000" w:themeColor="text1"/>
                <w:szCs w:val="18"/>
              </w:rPr>
            </w:pPr>
          </w:p>
        </w:tc>
        <w:tc>
          <w:tcPr>
            <w:tcW w:w="1987" w:type="dxa"/>
          </w:tcPr>
          <w:p w14:paraId="4D116D01" w14:textId="77777777" w:rsidR="00403AAD" w:rsidRPr="00286216" w:rsidRDefault="00403AAD" w:rsidP="00403AAD">
            <w:pPr>
              <w:pStyle w:val="StyleWisnow"/>
              <w:rPr>
                <w:color w:val="000000" w:themeColor="text1"/>
              </w:rPr>
            </w:pPr>
          </w:p>
        </w:tc>
        <w:tc>
          <w:tcPr>
            <w:tcW w:w="4818" w:type="dxa"/>
          </w:tcPr>
          <w:p w14:paraId="308F9AA1" w14:textId="0D2D7118" w:rsidR="00403AAD" w:rsidRPr="00286216" w:rsidRDefault="00403AAD" w:rsidP="00403AAD">
            <w:pPr>
              <w:pStyle w:val="StyleZakonu"/>
              <w:rPr>
                <w:color w:val="000000" w:themeColor="text1"/>
              </w:rPr>
            </w:pPr>
            <w:r w:rsidRPr="00286216">
              <w:rPr>
                <w:color w:val="000000" w:themeColor="text1"/>
              </w:rPr>
              <w:t>Інвестиційна фірма встановлює внутрішні правила та процедури щодо укладення особами, визначеними у пункті 40 частини першої статті 2 цього Закону, особистих угоди відповідно до вимог, встановлених Національною комісією з цінних паперів та фондового ринку.</w:t>
            </w:r>
          </w:p>
        </w:tc>
      </w:tr>
      <w:tr w:rsidR="00403AAD" w:rsidRPr="00286216" w14:paraId="17BB5A75" w14:textId="77777777" w:rsidTr="00091AA5">
        <w:tc>
          <w:tcPr>
            <w:tcW w:w="576" w:type="dxa"/>
          </w:tcPr>
          <w:p w14:paraId="7BB5169F" w14:textId="77777777" w:rsidR="00403AAD" w:rsidRPr="00286216" w:rsidRDefault="00403AAD" w:rsidP="00403AAD">
            <w:pPr>
              <w:pStyle w:val="StyleWisnow"/>
              <w:rPr>
                <w:color w:val="000000" w:themeColor="text1"/>
              </w:rPr>
            </w:pPr>
            <w:bookmarkStart w:id="435" w:name="n744" w:colFirst="0" w:colLast="0"/>
            <w:bookmarkEnd w:id="434"/>
            <w:r w:rsidRPr="00286216">
              <w:rPr>
                <w:color w:val="000000" w:themeColor="text1"/>
              </w:rPr>
              <w:t>744.</w:t>
            </w:r>
          </w:p>
        </w:tc>
        <w:tc>
          <w:tcPr>
            <w:tcW w:w="4818" w:type="dxa"/>
          </w:tcPr>
          <w:p w14:paraId="6D31CD77" w14:textId="77777777" w:rsidR="00403AAD" w:rsidRPr="00286216" w:rsidRDefault="00403AAD" w:rsidP="00403AAD">
            <w:pPr>
              <w:pStyle w:val="StyleZakonu"/>
              <w:rPr>
                <w:color w:val="000000" w:themeColor="text1"/>
              </w:rPr>
            </w:pPr>
            <w:r w:rsidRPr="00286216">
              <w:rPr>
                <w:color w:val="000000" w:themeColor="text1"/>
              </w:rPr>
              <w:t>3. Інформація (у тому числі реклама), яка надається інвестиційною фірмою клієнтам (потенційним клієнтам), має бути правдивою, такою, що не вводить в оману, та зрозумілою для клієнта (потенційного клієнта).</w:t>
            </w:r>
          </w:p>
        </w:tc>
        <w:tc>
          <w:tcPr>
            <w:tcW w:w="3686" w:type="dxa"/>
          </w:tcPr>
          <w:p w14:paraId="2AA44A3D" w14:textId="77777777" w:rsidR="00403AAD" w:rsidRPr="00286216" w:rsidRDefault="00403AAD" w:rsidP="00403AAD">
            <w:pPr>
              <w:pStyle w:val="StyleProp"/>
              <w:rPr>
                <w:color w:val="000000" w:themeColor="text1"/>
                <w:szCs w:val="18"/>
              </w:rPr>
            </w:pPr>
          </w:p>
        </w:tc>
        <w:tc>
          <w:tcPr>
            <w:tcW w:w="1987" w:type="dxa"/>
          </w:tcPr>
          <w:p w14:paraId="7BC0D14F" w14:textId="77777777" w:rsidR="00403AAD" w:rsidRPr="00286216" w:rsidRDefault="00403AAD" w:rsidP="00403AAD">
            <w:pPr>
              <w:pStyle w:val="StyleWisnow"/>
              <w:rPr>
                <w:color w:val="000000" w:themeColor="text1"/>
              </w:rPr>
            </w:pPr>
          </w:p>
        </w:tc>
        <w:tc>
          <w:tcPr>
            <w:tcW w:w="4818" w:type="dxa"/>
          </w:tcPr>
          <w:p w14:paraId="2F2ACB05" w14:textId="10F512BC" w:rsidR="00403AAD" w:rsidRPr="00286216" w:rsidRDefault="00403AAD" w:rsidP="00403AAD">
            <w:pPr>
              <w:pStyle w:val="StyleZakonu"/>
              <w:rPr>
                <w:color w:val="000000" w:themeColor="text1"/>
              </w:rPr>
            </w:pPr>
            <w:r w:rsidRPr="00286216">
              <w:rPr>
                <w:color w:val="000000" w:themeColor="text1"/>
              </w:rPr>
              <w:t>3. Інформація (у тому числі реклама), яка надається інвестиційною фірмою клієнтам (потенційним клієнтам), має бути правдивою, такою, що не вводить в оману, та зрозумілою для клієнта (потенційного клієнта).</w:t>
            </w:r>
          </w:p>
        </w:tc>
      </w:tr>
      <w:tr w:rsidR="00403AAD" w:rsidRPr="00286216" w14:paraId="2E64143B" w14:textId="77777777" w:rsidTr="00091AA5">
        <w:tc>
          <w:tcPr>
            <w:tcW w:w="576" w:type="dxa"/>
          </w:tcPr>
          <w:p w14:paraId="0989F39A" w14:textId="77777777" w:rsidR="00403AAD" w:rsidRPr="00286216" w:rsidRDefault="00403AAD" w:rsidP="00403AAD">
            <w:pPr>
              <w:pStyle w:val="StyleWisnow"/>
              <w:rPr>
                <w:color w:val="000000" w:themeColor="text1"/>
              </w:rPr>
            </w:pPr>
            <w:bookmarkStart w:id="436" w:name="n745" w:colFirst="0" w:colLast="0"/>
            <w:bookmarkEnd w:id="435"/>
            <w:r w:rsidRPr="00286216">
              <w:rPr>
                <w:color w:val="000000" w:themeColor="text1"/>
              </w:rPr>
              <w:t>745.</w:t>
            </w:r>
          </w:p>
        </w:tc>
        <w:tc>
          <w:tcPr>
            <w:tcW w:w="4818" w:type="dxa"/>
          </w:tcPr>
          <w:p w14:paraId="0C531E29" w14:textId="77777777" w:rsidR="00403AAD" w:rsidRPr="00286216" w:rsidRDefault="00403AAD" w:rsidP="00403AAD">
            <w:pPr>
              <w:pStyle w:val="StyleZakonu"/>
              <w:rPr>
                <w:color w:val="000000" w:themeColor="text1"/>
              </w:rPr>
            </w:pPr>
            <w:r w:rsidRPr="00286216">
              <w:rPr>
                <w:color w:val="000000" w:themeColor="text1"/>
              </w:rPr>
              <w:t>Інвестиційна фірма має своєчасно повідомити клієнту (потенційному клієнту) необхідну інформацію про інвестиційну фірму та її послуги, пропоновані фінансові інструменти та інвестиційні стратегії, умови виконання договорів, витрати на їх виконання, а також будь-які інші пов’язані витрати.</w:t>
            </w:r>
          </w:p>
        </w:tc>
        <w:tc>
          <w:tcPr>
            <w:tcW w:w="3686" w:type="dxa"/>
          </w:tcPr>
          <w:p w14:paraId="6BB8BBBF" w14:textId="77777777" w:rsidR="00403AAD" w:rsidRPr="00286216" w:rsidRDefault="00403AAD" w:rsidP="00403AAD">
            <w:pPr>
              <w:pStyle w:val="StyleProp"/>
              <w:rPr>
                <w:color w:val="000000" w:themeColor="text1"/>
                <w:szCs w:val="18"/>
              </w:rPr>
            </w:pPr>
          </w:p>
        </w:tc>
        <w:tc>
          <w:tcPr>
            <w:tcW w:w="1987" w:type="dxa"/>
          </w:tcPr>
          <w:p w14:paraId="290778B6" w14:textId="77777777" w:rsidR="00403AAD" w:rsidRPr="00286216" w:rsidRDefault="00403AAD" w:rsidP="00403AAD">
            <w:pPr>
              <w:pStyle w:val="StyleWisnow"/>
              <w:rPr>
                <w:color w:val="000000" w:themeColor="text1"/>
              </w:rPr>
            </w:pPr>
          </w:p>
        </w:tc>
        <w:tc>
          <w:tcPr>
            <w:tcW w:w="4818" w:type="dxa"/>
          </w:tcPr>
          <w:p w14:paraId="1EAEAE5E" w14:textId="3687E5F7" w:rsidR="00403AAD" w:rsidRPr="00286216" w:rsidRDefault="00403AAD" w:rsidP="00403AAD">
            <w:pPr>
              <w:pStyle w:val="StyleZakonu"/>
              <w:rPr>
                <w:color w:val="000000" w:themeColor="text1"/>
              </w:rPr>
            </w:pPr>
            <w:r w:rsidRPr="00286216">
              <w:rPr>
                <w:color w:val="000000" w:themeColor="text1"/>
              </w:rPr>
              <w:t>Інвестиційна фірма має своєчасно повідомити клієнту (потенційному клієнту) необхідну інформацію про інвестиційну фірму та її послуги, пропоновані фінансові інструменти та інвестиційні стратегії, умови виконання договорів, витрати на їх виконання, а також будь-які інші пов’язані витрати.</w:t>
            </w:r>
          </w:p>
        </w:tc>
      </w:tr>
      <w:tr w:rsidR="00403AAD" w:rsidRPr="00286216" w14:paraId="78B36958" w14:textId="77777777" w:rsidTr="00091AA5">
        <w:tc>
          <w:tcPr>
            <w:tcW w:w="576" w:type="dxa"/>
          </w:tcPr>
          <w:p w14:paraId="5068EB3B" w14:textId="77777777" w:rsidR="00403AAD" w:rsidRPr="00286216" w:rsidRDefault="00403AAD" w:rsidP="00403AAD">
            <w:pPr>
              <w:pStyle w:val="StyleWisnow"/>
              <w:rPr>
                <w:color w:val="000000" w:themeColor="text1"/>
              </w:rPr>
            </w:pPr>
            <w:bookmarkStart w:id="437" w:name="n746" w:colFirst="0" w:colLast="0"/>
            <w:bookmarkEnd w:id="436"/>
            <w:r w:rsidRPr="00286216">
              <w:rPr>
                <w:color w:val="000000" w:themeColor="text1"/>
              </w:rPr>
              <w:t>746.</w:t>
            </w:r>
          </w:p>
        </w:tc>
        <w:tc>
          <w:tcPr>
            <w:tcW w:w="4818" w:type="dxa"/>
          </w:tcPr>
          <w:p w14:paraId="6415216E" w14:textId="77777777" w:rsidR="00403AAD" w:rsidRPr="00286216" w:rsidRDefault="00403AAD" w:rsidP="00403AAD">
            <w:pPr>
              <w:pStyle w:val="StyleZakonu"/>
              <w:rPr>
                <w:color w:val="000000" w:themeColor="text1"/>
              </w:rPr>
            </w:pPr>
            <w:r w:rsidRPr="00286216">
              <w:rPr>
                <w:color w:val="000000" w:themeColor="text1"/>
              </w:rPr>
              <w:t>Зокрема, таке повідомлення має містити:</w:t>
            </w:r>
          </w:p>
        </w:tc>
        <w:tc>
          <w:tcPr>
            <w:tcW w:w="3686" w:type="dxa"/>
          </w:tcPr>
          <w:p w14:paraId="19B0617D" w14:textId="77777777" w:rsidR="00403AAD" w:rsidRPr="00286216" w:rsidRDefault="00403AAD" w:rsidP="00403AAD">
            <w:pPr>
              <w:pStyle w:val="StyleProp"/>
              <w:rPr>
                <w:color w:val="000000" w:themeColor="text1"/>
                <w:szCs w:val="18"/>
              </w:rPr>
            </w:pPr>
          </w:p>
        </w:tc>
        <w:tc>
          <w:tcPr>
            <w:tcW w:w="1987" w:type="dxa"/>
          </w:tcPr>
          <w:p w14:paraId="1E98BACD" w14:textId="77777777" w:rsidR="00403AAD" w:rsidRPr="00286216" w:rsidRDefault="00403AAD" w:rsidP="00403AAD">
            <w:pPr>
              <w:pStyle w:val="StyleWisnow"/>
              <w:rPr>
                <w:color w:val="000000" w:themeColor="text1"/>
              </w:rPr>
            </w:pPr>
          </w:p>
        </w:tc>
        <w:tc>
          <w:tcPr>
            <w:tcW w:w="4818" w:type="dxa"/>
          </w:tcPr>
          <w:p w14:paraId="6442FB66" w14:textId="618FD732" w:rsidR="00403AAD" w:rsidRPr="00286216" w:rsidRDefault="00403AAD" w:rsidP="00403AAD">
            <w:pPr>
              <w:pStyle w:val="StyleZakonu"/>
              <w:rPr>
                <w:color w:val="000000" w:themeColor="text1"/>
              </w:rPr>
            </w:pPr>
            <w:r w:rsidRPr="00286216">
              <w:rPr>
                <w:color w:val="000000" w:themeColor="text1"/>
              </w:rPr>
              <w:t>Зокрема, таке повідомлення має містити інформацію про:</w:t>
            </w:r>
          </w:p>
        </w:tc>
      </w:tr>
      <w:tr w:rsidR="00403AAD" w:rsidRPr="00286216" w14:paraId="32D8DF53" w14:textId="77777777" w:rsidTr="00091AA5">
        <w:tc>
          <w:tcPr>
            <w:tcW w:w="576" w:type="dxa"/>
          </w:tcPr>
          <w:p w14:paraId="15DD4763" w14:textId="77777777" w:rsidR="00403AAD" w:rsidRPr="00286216" w:rsidRDefault="00403AAD" w:rsidP="00403AAD">
            <w:pPr>
              <w:pStyle w:val="StyleWisnow"/>
              <w:rPr>
                <w:color w:val="000000" w:themeColor="text1"/>
              </w:rPr>
            </w:pPr>
            <w:bookmarkStart w:id="438" w:name="n747" w:colFirst="0" w:colLast="0"/>
            <w:bookmarkEnd w:id="437"/>
            <w:r w:rsidRPr="00286216">
              <w:rPr>
                <w:color w:val="000000" w:themeColor="text1"/>
              </w:rPr>
              <w:t>747.</w:t>
            </w:r>
          </w:p>
        </w:tc>
        <w:tc>
          <w:tcPr>
            <w:tcW w:w="4818" w:type="dxa"/>
          </w:tcPr>
          <w:p w14:paraId="65086286" w14:textId="77777777" w:rsidR="00403AAD" w:rsidRPr="00286216" w:rsidRDefault="00403AAD" w:rsidP="00403AAD">
            <w:pPr>
              <w:pStyle w:val="StyleZakonu"/>
              <w:rPr>
                <w:color w:val="000000" w:themeColor="text1"/>
              </w:rPr>
            </w:pPr>
            <w:r w:rsidRPr="00286216">
              <w:rPr>
                <w:color w:val="000000" w:themeColor="text1"/>
              </w:rPr>
              <w:t>1) інформацію про інвестиційну фірму та послуги, які вона надає. При цьому у разі надання інвестиційних рекомендацій інвестиційна фірма заздалегідь, але не пізніше надання рекомендації, інформує про таке:</w:t>
            </w:r>
          </w:p>
        </w:tc>
        <w:tc>
          <w:tcPr>
            <w:tcW w:w="3686" w:type="dxa"/>
          </w:tcPr>
          <w:p w14:paraId="0DB8AC6A" w14:textId="77777777" w:rsidR="00403AAD" w:rsidRPr="00286216" w:rsidRDefault="00403AAD" w:rsidP="00403AAD">
            <w:pPr>
              <w:pStyle w:val="StyleProp"/>
              <w:rPr>
                <w:color w:val="000000" w:themeColor="text1"/>
                <w:szCs w:val="18"/>
              </w:rPr>
            </w:pPr>
          </w:p>
        </w:tc>
        <w:tc>
          <w:tcPr>
            <w:tcW w:w="1987" w:type="dxa"/>
          </w:tcPr>
          <w:p w14:paraId="00BB0A0C" w14:textId="77777777" w:rsidR="00403AAD" w:rsidRPr="00286216" w:rsidRDefault="00403AAD" w:rsidP="00403AAD">
            <w:pPr>
              <w:pStyle w:val="StyleWisnow"/>
              <w:rPr>
                <w:color w:val="000000" w:themeColor="text1"/>
              </w:rPr>
            </w:pPr>
          </w:p>
        </w:tc>
        <w:tc>
          <w:tcPr>
            <w:tcW w:w="4818" w:type="dxa"/>
          </w:tcPr>
          <w:p w14:paraId="227D0FEE" w14:textId="2B487DBE" w:rsidR="00403AAD" w:rsidRPr="00286216" w:rsidRDefault="00403AAD" w:rsidP="00403AAD">
            <w:pPr>
              <w:pStyle w:val="StyleZakonu"/>
              <w:rPr>
                <w:color w:val="000000" w:themeColor="text1"/>
              </w:rPr>
            </w:pPr>
            <w:r w:rsidRPr="00286216">
              <w:rPr>
                <w:color w:val="000000" w:themeColor="text1"/>
              </w:rPr>
              <w:t>1) інвестиційну фірму та послуги, які вона надає. При цьому в разі надання інвестиційних рекомендацій інвестиційна фірма заздалегідь, але не пізніше надання рекомендації, інформує про таке:</w:t>
            </w:r>
          </w:p>
        </w:tc>
      </w:tr>
      <w:tr w:rsidR="00403AAD" w:rsidRPr="00286216" w14:paraId="13F9D395" w14:textId="77777777" w:rsidTr="00091AA5">
        <w:tc>
          <w:tcPr>
            <w:tcW w:w="576" w:type="dxa"/>
          </w:tcPr>
          <w:p w14:paraId="44FC4B88" w14:textId="77777777" w:rsidR="00403AAD" w:rsidRPr="00286216" w:rsidRDefault="00403AAD" w:rsidP="00403AAD">
            <w:pPr>
              <w:pStyle w:val="StyleWisnow"/>
              <w:rPr>
                <w:color w:val="000000" w:themeColor="text1"/>
              </w:rPr>
            </w:pPr>
            <w:bookmarkStart w:id="439" w:name="n748" w:colFirst="0" w:colLast="0"/>
            <w:bookmarkEnd w:id="438"/>
            <w:r w:rsidRPr="00286216">
              <w:rPr>
                <w:color w:val="000000" w:themeColor="text1"/>
              </w:rPr>
              <w:t>748.</w:t>
            </w:r>
          </w:p>
        </w:tc>
        <w:tc>
          <w:tcPr>
            <w:tcW w:w="4818" w:type="dxa"/>
          </w:tcPr>
          <w:p w14:paraId="1DEA7078" w14:textId="77777777" w:rsidR="00403AAD" w:rsidRPr="00286216" w:rsidRDefault="00403AAD" w:rsidP="00403AAD">
            <w:pPr>
              <w:pStyle w:val="StyleZakonu"/>
              <w:rPr>
                <w:color w:val="000000" w:themeColor="text1"/>
              </w:rPr>
            </w:pPr>
            <w:r w:rsidRPr="00286216">
              <w:rPr>
                <w:color w:val="000000" w:themeColor="text1"/>
              </w:rPr>
              <w:t>а) чи базується рекомендація, що надається, на незалежній позиції інвестиційної фірми;</w:t>
            </w:r>
          </w:p>
        </w:tc>
        <w:tc>
          <w:tcPr>
            <w:tcW w:w="3686" w:type="dxa"/>
          </w:tcPr>
          <w:p w14:paraId="45E97579" w14:textId="77777777" w:rsidR="00403AAD" w:rsidRPr="00286216" w:rsidRDefault="00403AAD" w:rsidP="00403AAD">
            <w:pPr>
              <w:pStyle w:val="StyleProp"/>
              <w:rPr>
                <w:color w:val="000000" w:themeColor="text1"/>
                <w:szCs w:val="18"/>
              </w:rPr>
            </w:pPr>
          </w:p>
        </w:tc>
        <w:tc>
          <w:tcPr>
            <w:tcW w:w="1987" w:type="dxa"/>
          </w:tcPr>
          <w:p w14:paraId="284C808B" w14:textId="77777777" w:rsidR="00403AAD" w:rsidRPr="00286216" w:rsidRDefault="00403AAD" w:rsidP="00403AAD">
            <w:pPr>
              <w:pStyle w:val="StyleWisnow"/>
              <w:rPr>
                <w:color w:val="000000" w:themeColor="text1"/>
              </w:rPr>
            </w:pPr>
          </w:p>
        </w:tc>
        <w:tc>
          <w:tcPr>
            <w:tcW w:w="4818" w:type="dxa"/>
          </w:tcPr>
          <w:p w14:paraId="19EC2951" w14:textId="5E1164A5" w:rsidR="00403AAD" w:rsidRPr="00286216" w:rsidRDefault="00403AAD" w:rsidP="00403AAD">
            <w:pPr>
              <w:pStyle w:val="StyleZakonu"/>
              <w:rPr>
                <w:color w:val="000000" w:themeColor="text1"/>
              </w:rPr>
            </w:pPr>
            <w:r w:rsidRPr="00286216">
              <w:rPr>
                <w:color w:val="000000" w:themeColor="text1"/>
              </w:rPr>
              <w:t>а) чи базується рекомендація, що надається, на незалежній позиції інвестиційної фірми;</w:t>
            </w:r>
          </w:p>
        </w:tc>
      </w:tr>
      <w:tr w:rsidR="00403AAD" w:rsidRPr="00286216" w14:paraId="2BCE92D1" w14:textId="77777777" w:rsidTr="00091AA5">
        <w:tc>
          <w:tcPr>
            <w:tcW w:w="576" w:type="dxa"/>
          </w:tcPr>
          <w:p w14:paraId="7236B5B8" w14:textId="77777777" w:rsidR="00403AAD" w:rsidRPr="00286216" w:rsidRDefault="00403AAD" w:rsidP="00403AAD">
            <w:pPr>
              <w:pStyle w:val="StyleWisnow"/>
              <w:rPr>
                <w:color w:val="000000" w:themeColor="text1"/>
              </w:rPr>
            </w:pPr>
            <w:bookmarkStart w:id="440" w:name="n749" w:colFirst="0" w:colLast="0"/>
            <w:bookmarkEnd w:id="439"/>
            <w:r w:rsidRPr="00286216">
              <w:rPr>
                <w:color w:val="000000" w:themeColor="text1"/>
              </w:rPr>
              <w:t>749.</w:t>
            </w:r>
          </w:p>
        </w:tc>
        <w:tc>
          <w:tcPr>
            <w:tcW w:w="4818" w:type="dxa"/>
          </w:tcPr>
          <w:p w14:paraId="37E655B2" w14:textId="77777777" w:rsidR="00403AAD" w:rsidRPr="00286216" w:rsidRDefault="00403AAD" w:rsidP="00403AAD">
            <w:pPr>
              <w:pStyle w:val="StyleZakonu"/>
              <w:rPr>
                <w:color w:val="000000" w:themeColor="text1"/>
              </w:rPr>
            </w:pPr>
            <w:r w:rsidRPr="00286216">
              <w:rPr>
                <w:color w:val="000000" w:themeColor="text1"/>
              </w:rPr>
              <w:t xml:space="preserve">б) перелік видів фінансових інструментів, на аналізі яких базується рекомендація, що надається, а також (за наявності) про обмеження кола фінансових інструментів, на аналізі яких базується рекомендація, тими, які випускаються (видаються) та/або пропонуються для укладення особою, з якою </w:t>
            </w:r>
            <w:r w:rsidRPr="00286216">
              <w:rPr>
                <w:color w:val="000000" w:themeColor="text1"/>
              </w:rPr>
              <w:lastRenderedPageBreak/>
              <w:t>інвестиційна фірма має тісні зв’язки або іншою особою, юридичні (у тому числі договірні) або економічні відносини з якою негативно впливають на здатність формування незалежної позиції для цілей аналізу та надання інвестиційної рекомендації;</w:t>
            </w:r>
          </w:p>
        </w:tc>
        <w:tc>
          <w:tcPr>
            <w:tcW w:w="3686" w:type="dxa"/>
          </w:tcPr>
          <w:p w14:paraId="1A725F43" w14:textId="77777777" w:rsidR="00403AAD" w:rsidRPr="00286216" w:rsidRDefault="00403AAD" w:rsidP="00403AAD">
            <w:pPr>
              <w:pStyle w:val="StyleProp"/>
              <w:rPr>
                <w:color w:val="000000" w:themeColor="text1"/>
                <w:szCs w:val="18"/>
              </w:rPr>
            </w:pPr>
          </w:p>
        </w:tc>
        <w:tc>
          <w:tcPr>
            <w:tcW w:w="1987" w:type="dxa"/>
          </w:tcPr>
          <w:p w14:paraId="30BD5FC3" w14:textId="77777777" w:rsidR="00403AAD" w:rsidRPr="00286216" w:rsidRDefault="00403AAD" w:rsidP="00403AAD">
            <w:pPr>
              <w:pStyle w:val="StyleWisnow"/>
              <w:rPr>
                <w:color w:val="000000" w:themeColor="text1"/>
              </w:rPr>
            </w:pPr>
          </w:p>
        </w:tc>
        <w:tc>
          <w:tcPr>
            <w:tcW w:w="4818" w:type="dxa"/>
          </w:tcPr>
          <w:p w14:paraId="6C0F8E2F" w14:textId="5E3AC5FE" w:rsidR="00403AAD" w:rsidRPr="00286216" w:rsidRDefault="00403AAD" w:rsidP="00403AAD">
            <w:pPr>
              <w:pStyle w:val="StyleZakonu"/>
              <w:rPr>
                <w:color w:val="000000" w:themeColor="text1"/>
              </w:rPr>
            </w:pPr>
            <w:r w:rsidRPr="00286216">
              <w:rPr>
                <w:color w:val="000000" w:themeColor="text1"/>
              </w:rPr>
              <w:t xml:space="preserve">б) перелік видів фінансових інструментів, на аналізі яких базується рекомендація, що надається, а також (за наявності) про обмеження кола фінансових інструментів, на аналізі яких базується рекомендація, тими, які випускаються (видаються) та/або пропонуються для укладення особою, з якою </w:t>
            </w:r>
            <w:r w:rsidRPr="00286216">
              <w:rPr>
                <w:color w:val="000000" w:themeColor="text1"/>
              </w:rPr>
              <w:lastRenderedPageBreak/>
              <w:t>інвестиційна фірма має тісні зв’язки, або іншою особою, юридичні (у тому числі договірні) або економічні відносини з якою негативно впливають на здатність формування незалежної позиції для цілей аналізу та надання інвестиційної рекомендації;</w:t>
            </w:r>
          </w:p>
        </w:tc>
      </w:tr>
      <w:tr w:rsidR="00403AAD" w:rsidRPr="00286216" w14:paraId="7A15202E" w14:textId="77777777" w:rsidTr="00091AA5">
        <w:tc>
          <w:tcPr>
            <w:tcW w:w="576" w:type="dxa"/>
          </w:tcPr>
          <w:p w14:paraId="2EE32B93" w14:textId="77777777" w:rsidR="00403AAD" w:rsidRPr="00286216" w:rsidRDefault="00403AAD" w:rsidP="00403AAD">
            <w:pPr>
              <w:pStyle w:val="StyleWisnow"/>
              <w:rPr>
                <w:color w:val="000000" w:themeColor="text1"/>
              </w:rPr>
            </w:pPr>
            <w:bookmarkStart w:id="441" w:name="n750" w:colFirst="0" w:colLast="0"/>
            <w:bookmarkEnd w:id="440"/>
            <w:r w:rsidRPr="00286216">
              <w:rPr>
                <w:color w:val="000000" w:themeColor="text1"/>
              </w:rPr>
              <w:lastRenderedPageBreak/>
              <w:t>750.</w:t>
            </w:r>
          </w:p>
        </w:tc>
        <w:tc>
          <w:tcPr>
            <w:tcW w:w="4818" w:type="dxa"/>
          </w:tcPr>
          <w:p w14:paraId="5C0B8376" w14:textId="77777777" w:rsidR="00403AAD" w:rsidRPr="00286216" w:rsidRDefault="00403AAD" w:rsidP="00403AAD">
            <w:pPr>
              <w:pStyle w:val="StyleZakonu"/>
              <w:rPr>
                <w:color w:val="000000" w:themeColor="text1"/>
              </w:rPr>
            </w:pPr>
            <w:r w:rsidRPr="00286216">
              <w:rPr>
                <w:color w:val="000000" w:themeColor="text1"/>
              </w:rPr>
              <w:t>в) чи надаватиме інвестиційна фірма клієнту періодичний аналіз фінансових інструментів, щодо яких надано рекомендацію;</w:t>
            </w:r>
          </w:p>
        </w:tc>
        <w:tc>
          <w:tcPr>
            <w:tcW w:w="3686" w:type="dxa"/>
          </w:tcPr>
          <w:p w14:paraId="40BF36A2" w14:textId="77777777" w:rsidR="00403AAD" w:rsidRPr="00286216" w:rsidRDefault="00403AAD" w:rsidP="00403AAD">
            <w:pPr>
              <w:pStyle w:val="StyleProp"/>
              <w:rPr>
                <w:color w:val="000000" w:themeColor="text1"/>
                <w:szCs w:val="18"/>
              </w:rPr>
            </w:pPr>
          </w:p>
        </w:tc>
        <w:tc>
          <w:tcPr>
            <w:tcW w:w="1987" w:type="dxa"/>
          </w:tcPr>
          <w:p w14:paraId="029FCCDB" w14:textId="77777777" w:rsidR="00403AAD" w:rsidRPr="00286216" w:rsidRDefault="00403AAD" w:rsidP="00403AAD">
            <w:pPr>
              <w:pStyle w:val="StyleWisnow"/>
              <w:rPr>
                <w:color w:val="000000" w:themeColor="text1"/>
              </w:rPr>
            </w:pPr>
          </w:p>
        </w:tc>
        <w:tc>
          <w:tcPr>
            <w:tcW w:w="4818" w:type="dxa"/>
          </w:tcPr>
          <w:p w14:paraId="4782A588" w14:textId="69BEACB7" w:rsidR="00403AAD" w:rsidRPr="00286216" w:rsidRDefault="00403AAD" w:rsidP="00403AAD">
            <w:pPr>
              <w:pStyle w:val="StyleZakonu"/>
              <w:rPr>
                <w:color w:val="000000" w:themeColor="text1"/>
              </w:rPr>
            </w:pPr>
            <w:r w:rsidRPr="00286216">
              <w:rPr>
                <w:color w:val="000000" w:themeColor="text1"/>
              </w:rPr>
              <w:t>в) чи надаватиме інвестиційна фірма клієнту періодичний аналіз фінансових інструментів, щодо яких надано рекомендацію;</w:t>
            </w:r>
          </w:p>
        </w:tc>
      </w:tr>
      <w:tr w:rsidR="00403AAD" w:rsidRPr="00286216" w14:paraId="6727EDCE" w14:textId="77777777" w:rsidTr="00091AA5">
        <w:tc>
          <w:tcPr>
            <w:tcW w:w="576" w:type="dxa"/>
          </w:tcPr>
          <w:p w14:paraId="17808A63" w14:textId="77777777" w:rsidR="00403AAD" w:rsidRPr="00286216" w:rsidRDefault="00403AAD" w:rsidP="00403AAD">
            <w:pPr>
              <w:pStyle w:val="StyleWisnow"/>
              <w:rPr>
                <w:color w:val="000000" w:themeColor="text1"/>
              </w:rPr>
            </w:pPr>
            <w:bookmarkStart w:id="442" w:name="n751" w:colFirst="0" w:colLast="0"/>
            <w:bookmarkEnd w:id="441"/>
            <w:r w:rsidRPr="00286216">
              <w:rPr>
                <w:color w:val="000000" w:themeColor="text1"/>
              </w:rPr>
              <w:t>751.</w:t>
            </w:r>
          </w:p>
        </w:tc>
        <w:tc>
          <w:tcPr>
            <w:tcW w:w="4818" w:type="dxa"/>
          </w:tcPr>
          <w:p w14:paraId="3949AD3D" w14:textId="77777777" w:rsidR="00403AAD" w:rsidRPr="00286216" w:rsidRDefault="00403AAD" w:rsidP="00403AAD">
            <w:pPr>
              <w:pStyle w:val="StyleZakonu"/>
              <w:rPr>
                <w:color w:val="000000" w:themeColor="text1"/>
              </w:rPr>
            </w:pPr>
            <w:r w:rsidRPr="00286216">
              <w:rPr>
                <w:color w:val="000000" w:themeColor="text1"/>
              </w:rPr>
              <w:t>2) інформацію про фінансовий інструмент, придбання або укладення якого пропонується клієнту (потенційному клієнту), а саме:</w:t>
            </w:r>
          </w:p>
        </w:tc>
        <w:tc>
          <w:tcPr>
            <w:tcW w:w="3686" w:type="dxa"/>
          </w:tcPr>
          <w:p w14:paraId="5A87DC9E" w14:textId="77777777" w:rsidR="00403AAD" w:rsidRPr="00286216" w:rsidRDefault="00403AAD" w:rsidP="00403AAD">
            <w:pPr>
              <w:pStyle w:val="StyleProp"/>
              <w:rPr>
                <w:color w:val="000000" w:themeColor="text1"/>
                <w:szCs w:val="18"/>
              </w:rPr>
            </w:pPr>
          </w:p>
        </w:tc>
        <w:tc>
          <w:tcPr>
            <w:tcW w:w="1987" w:type="dxa"/>
          </w:tcPr>
          <w:p w14:paraId="292782F9" w14:textId="77777777" w:rsidR="00403AAD" w:rsidRPr="00286216" w:rsidRDefault="00403AAD" w:rsidP="00403AAD">
            <w:pPr>
              <w:pStyle w:val="StyleWisnow"/>
              <w:rPr>
                <w:color w:val="000000" w:themeColor="text1"/>
              </w:rPr>
            </w:pPr>
          </w:p>
        </w:tc>
        <w:tc>
          <w:tcPr>
            <w:tcW w:w="4818" w:type="dxa"/>
          </w:tcPr>
          <w:p w14:paraId="6BD861AC" w14:textId="18C310EC" w:rsidR="00403AAD" w:rsidRPr="00286216" w:rsidRDefault="00403AAD" w:rsidP="00403AAD">
            <w:pPr>
              <w:pStyle w:val="StyleZakonu"/>
              <w:rPr>
                <w:color w:val="000000" w:themeColor="text1"/>
              </w:rPr>
            </w:pPr>
            <w:r w:rsidRPr="00286216">
              <w:rPr>
                <w:color w:val="000000" w:themeColor="text1"/>
              </w:rPr>
              <w:t>2) фінансовий інструмент, придбання або укладення якого пропонується клієнту (потенційному клієнту), а саме:</w:t>
            </w:r>
          </w:p>
        </w:tc>
      </w:tr>
      <w:tr w:rsidR="00403AAD" w:rsidRPr="00286216" w14:paraId="0F5676AD" w14:textId="77777777" w:rsidTr="00091AA5">
        <w:tc>
          <w:tcPr>
            <w:tcW w:w="576" w:type="dxa"/>
          </w:tcPr>
          <w:p w14:paraId="01DAEE74" w14:textId="77777777" w:rsidR="00403AAD" w:rsidRPr="00286216" w:rsidRDefault="00403AAD" w:rsidP="00403AAD">
            <w:pPr>
              <w:pStyle w:val="StyleWisnow"/>
              <w:rPr>
                <w:color w:val="000000" w:themeColor="text1"/>
              </w:rPr>
            </w:pPr>
            <w:bookmarkStart w:id="443" w:name="n752" w:colFirst="0" w:colLast="0"/>
            <w:bookmarkEnd w:id="442"/>
            <w:r w:rsidRPr="00286216">
              <w:rPr>
                <w:color w:val="000000" w:themeColor="text1"/>
              </w:rPr>
              <w:t>752.</w:t>
            </w:r>
          </w:p>
        </w:tc>
        <w:tc>
          <w:tcPr>
            <w:tcW w:w="4818" w:type="dxa"/>
          </w:tcPr>
          <w:p w14:paraId="46FA79DC" w14:textId="77777777" w:rsidR="00403AAD" w:rsidRPr="00286216" w:rsidRDefault="00403AAD" w:rsidP="00403AAD">
            <w:pPr>
              <w:pStyle w:val="StyleZakonu"/>
              <w:rPr>
                <w:color w:val="000000" w:themeColor="text1"/>
              </w:rPr>
            </w:pPr>
            <w:r w:rsidRPr="00286216">
              <w:rPr>
                <w:color w:val="000000" w:themeColor="text1"/>
              </w:rPr>
              <w:t>а) його природу, права та обов’язки емітента і власника відповідного цінного папера або сторін відповідного деривативного контракту тощо;</w:t>
            </w:r>
          </w:p>
        </w:tc>
        <w:tc>
          <w:tcPr>
            <w:tcW w:w="3686" w:type="dxa"/>
          </w:tcPr>
          <w:p w14:paraId="1221BCBA" w14:textId="77777777" w:rsidR="00403AAD" w:rsidRPr="00286216" w:rsidRDefault="00403AAD" w:rsidP="00403AAD">
            <w:pPr>
              <w:pStyle w:val="StyleProp"/>
              <w:rPr>
                <w:color w:val="000000" w:themeColor="text1"/>
                <w:szCs w:val="18"/>
              </w:rPr>
            </w:pPr>
          </w:p>
        </w:tc>
        <w:tc>
          <w:tcPr>
            <w:tcW w:w="1987" w:type="dxa"/>
          </w:tcPr>
          <w:p w14:paraId="3351E0D8" w14:textId="77777777" w:rsidR="00403AAD" w:rsidRPr="00286216" w:rsidRDefault="00403AAD" w:rsidP="00403AAD">
            <w:pPr>
              <w:pStyle w:val="StyleWisnow"/>
              <w:rPr>
                <w:color w:val="000000" w:themeColor="text1"/>
              </w:rPr>
            </w:pPr>
          </w:p>
        </w:tc>
        <w:tc>
          <w:tcPr>
            <w:tcW w:w="4818" w:type="dxa"/>
          </w:tcPr>
          <w:p w14:paraId="672B9DED" w14:textId="025922AC" w:rsidR="00403AAD" w:rsidRPr="00286216" w:rsidRDefault="00403AAD" w:rsidP="00403AAD">
            <w:pPr>
              <w:pStyle w:val="StyleZakonu"/>
              <w:rPr>
                <w:color w:val="000000" w:themeColor="text1"/>
              </w:rPr>
            </w:pPr>
            <w:r w:rsidRPr="00286216">
              <w:rPr>
                <w:color w:val="000000" w:themeColor="text1"/>
              </w:rPr>
              <w:t>а) його природу, права та обов’язки емітента і власника відповідного цінного папера або сторін відповідного деривативного контракту тощо;</w:t>
            </w:r>
          </w:p>
        </w:tc>
      </w:tr>
      <w:tr w:rsidR="00403AAD" w:rsidRPr="00286216" w14:paraId="4F0CB28D" w14:textId="77777777" w:rsidTr="00091AA5">
        <w:tc>
          <w:tcPr>
            <w:tcW w:w="576" w:type="dxa"/>
          </w:tcPr>
          <w:p w14:paraId="03137BB4" w14:textId="77777777" w:rsidR="00403AAD" w:rsidRPr="00286216" w:rsidRDefault="00403AAD" w:rsidP="00403AAD">
            <w:pPr>
              <w:pStyle w:val="StyleWisnow"/>
              <w:rPr>
                <w:color w:val="000000" w:themeColor="text1"/>
              </w:rPr>
            </w:pPr>
            <w:bookmarkStart w:id="444" w:name="n753" w:colFirst="0" w:colLast="0"/>
            <w:bookmarkEnd w:id="443"/>
            <w:r w:rsidRPr="00286216">
              <w:rPr>
                <w:color w:val="000000" w:themeColor="text1"/>
              </w:rPr>
              <w:t>753.</w:t>
            </w:r>
          </w:p>
        </w:tc>
        <w:tc>
          <w:tcPr>
            <w:tcW w:w="4818" w:type="dxa"/>
          </w:tcPr>
          <w:p w14:paraId="1D7D6C5A" w14:textId="77777777" w:rsidR="00403AAD" w:rsidRPr="00286216" w:rsidRDefault="00403AAD" w:rsidP="00403AAD">
            <w:pPr>
              <w:pStyle w:val="StyleZakonu"/>
              <w:rPr>
                <w:color w:val="000000" w:themeColor="text1"/>
              </w:rPr>
            </w:pPr>
            <w:r w:rsidRPr="00286216">
              <w:rPr>
                <w:color w:val="000000" w:themeColor="text1"/>
              </w:rPr>
              <w:t>б) запропоновану інвестиційну стратегію;</w:t>
            </w:r>
          </w:p>
        </w:tc>
        <w:tc>
          <w:tcPr>
            <w:tcW w:w="3686" w:type="dxa"/>
          </w:tcPr>
          <w:p w14:paraId="6FB288DE" w14:textId="77777777" w:rsidR="00403AAD" w:rsidRPr="00286216" w:rsidRDefault="00403AAD" w:rsidP="00403AAD">
            <w:pPr>
              <w:pStyle w:val="StyleProp"/>
              <w:rPr>
                <w:color w:val="000000" w:themeColor="text1"/>
                <w:szCs w:val="18"/>
              </w:rPr>
            </w:pPr>
          </w:p>
        </w:tc>
        <w:tc>
          <w:tcPr>
            <w:tcW w:w="1987" w:type="dxa"/>
          </w:tcPr>
          <w:p w14:paraId="2F39AB21" w14:textId="77777777" w:rsidR="00403AAD" w:rsidRPr="00286216" w:rsidRDefault="00403AAD" w:rsidP="00403AAD">
            <w:pPr>
              <w:pStyle w:val="StyleWisnow"/>
              <w:rPr>
                <w:color w:val="000000" w:themeColor="text1"/>
              </w:rPr>
            </w:pPr>
          </w:p>
        </w:tc>
        <w:tc>
          <w:tcPr>
            <w:tcW w:w="4818" w:type="dxa"/>
          </w:tcPr>
          <w:p w14:paraId="5266DBD7" w14:textId="321A9756" w:rsidR="00403AAD" w:rsidRPr="00286216" w:rsidRDefault="00403AAD" w:rsidP="00403AAD">
            <w:pPr>
              <w:pStyle w:val="StyleZakonu"/>
              <w:rPr>
                <w:color w:val="000000" w:themeColor="text1"/>
              </w:rPr>
            </w:pPr>
            <w:r w:rsidRPr="00286216">
              <w:rPr>
                <w:color w:val="000000" w:themeColor="text1"/>
              </w:rPr>
              <w:t>б) запропоновану інвестиційну стратегію;</w:t>
            </w:r>
          </w:p>
        </w:tc>
      </w:tr>
      <w:tr w:rsidR="00403AAD" w:rsidRPr="00286216" w14:paraId="1899C42E" w14:textId="77777777" w:rsidTr="00091AA5">
        <w:tc>
          <w:tcPr>
            <w:tcW w:w="576" w:type="dxa"/>
          </w:tcPr>
          <w:p w14:paraId="352AB732" w14:textId="77777777" w:rsidR="00403AAD" w:rsidRPr="00286216" w:rsidRDefault="00403AAD" w:rsidP="00403AAD">
            <w:pPr>
              <w:pStyle w:val="StyleWisnow"/>
              <w:rPr>
                <w:color w:val="000000" w:themeColor="text1"/>
              </w:rPr>
            </w:pPr>
            <w:bookmarkStart w:id="445" w:name="n754" w:colFirst="0" w:colLast="0"/>
            <w:bookmarkEnd w:id="444"/>
            <w:r w:rsidRPr="00286216">
              <w:rPr>
                <w:color w:val="000000" w:themeColor="text1"/>
              </w:rPr>
              <w:t>754.</w:t>
            </w:r>
          </w:p>
        </w:tc>
        <w:tc>
          <w:tcPr>
            <w:tcW w:w="4818" w:type="dxa"/>
          </w:tcPr>
          <w:p w14:paraId="42C2C930" w14:textId="77777777" w:rsidR="00403AAD" w:rsidRPr="00286216" w:rsidRDefault="00403AAD" w:rsidP="00403AAD">
            <w:pPr>
              <w:pStyle w:val="StyleZakonu"/>
              <w:rPr>
                <w:color w:val="000000" w:themeColor="text1"/>
              </w:rPr>
            </w:pPr>
            <w:r w:rsidRPr="00286216">
              <w:rPr>
                <w:color w:val="000000" w:themeColor="text1"/>
              </w:rPr>
              <w:t>в) детальний опис конкретних ризиків, які несе клієнт (потенційний клієнт), пов’язаних із:</w:t>
            </w:r>
          </w:p>
        </w:tc>
        <w:tc>
          <w:tcPr>
            <w:tcW w:w="3686" w:type="dxa"/>
          </w:tcPr>
          <w:p w14:paraId="45AD0FFA" w14:textId="77777777" w:rsidR="00403AAD" w:rsidRPr="00286216" w:rsidRDefault="00403AAD" w:rsidP="00403AAD">
            <w:pPr>
              <w:pStyle w:val="StyleProp"/>
              <w:rPr>
                <w:color w:val="000000" w:themeColor="text1"/>
                <w:szCs w:val="18"/>
              </w:rPr>
            </w:pPr>
          </w:p>
        </w:tc>
        <w:tc>
          <w:tcPr>
            <w:tcW w:w="1987" w:type="dxa"/>
          </w:tcPr>
          <w:p w14:paraId="1B4AC5FC" w14:textId="77777777" w:rsidR="00403AAD" w:rsidRPr="00286216" w:rsidRDefault="00403AAD" w:rsidP="00403AAD">
            <w:pPr>
              <w:pStyle w:val="StyleWisnow"/>
              <w:rPr>
                <w:color w:val="000000" w:themeColor="text1"/>
              </w:rPr>
            </w:pPr>
          </w:p>
        </w:tc>
        <w:tc>
          <w:tcPr>
            <w:tcW w:w="4818" w:type="dxa"/>
          </w:tcPr>
          <w:p w14:paraId="1E9A180F" w14:textId="64E1E5AC" w:rsidR="00403AAD" w:rsidRPr="00286216" w:rsidRDefault="00403AAD" w:rsidP="00403AAD">
            <w:pPr>
              <w:pStyle w:val="StyleZakonu"/>
              <w:rPr>
                <w:color w:val="000000" w:themeColor="text1"/>
              </w:rPr>
            </w:pPr>
            <w:r w:rsidRPr="00286216">
              <w:rPr>
                <w:color w:val="000000" w:themeColor="text1"/>
              </w:rPr>
              <w:t>в) детальний опис конкретних ризиків, які несе клієнт (потенційний клієнт), пов’язаних із:</w:t>
            </w:r>
          </w:p>
        </w:tc>
      </w:tr>
      <w:tr w:rsidR="00403AAD" w:rsidRPr="00286216" w14:paraId="0B6DA756" w14:textId="77777777" w:rsidTr="00091AA5">
        <w:tc>
          <w:tcPr>
            <w:tcW w:w="576" w:type="dxa"/>
          </w:tcPr>
          <w:p w14:paraId="5E07CC2F" w14:textId="77777777" w:rsidR="00403AAD" w:rsidRPr="00286216" w:rsidRDefault="00403AAD" w:rsidP="00403AAD">
            <w:pPr>
              <w:pStyle w:val="StyleWisnow"/>
              <w:rPr>
                <w:color w:val="000000" w:themeColor="text1"/>
              </w:rPr>
            </w:pPr>
            <w:bookmarkStart w:id="446" w:name="n755" w:colFirst="0" w:colLast="0"/>
            <w:bookmarkEnd w:id="445"/>
            <w:r w:rsidRPr="00286216">
              <w:rPr>
                <w:color w:val="000000" w:themeColor="text1"/>
              </w:rPr>
              <w:t>755.</w:t>
            </w:r>
          </w:p>
        </w:tc>
        <w:tc>
          <w:tcPr>
            <w:tcW w:w="4818" w:type="dxa"/>
          </w:tcPr>
          <w:p w14:paraId="6C311F1B" w14:textId="77777777" w:rsidR="00403AAD" w:rsidRPr="00286216" w:rsidRDefault="00403AAD" w:rsidP="00403AAD">
            <w:pPr>
              <w:pStyle w:val="StyleZakonu"/>
              <w:rPr>
                <w:color w:val="000000" w:themeColor="text1"/>
              </w:rPr>
            </w:pPr>
            <w:r w:rsidRPr="00286216">
              <w:rPr>
                <w:color w:val="000000" w:themeColor="text1"/>
              </w:rPr>
              <w:t>таким фінансовим інструментом;</w:t>
            </w:r>
          </w:p>
        </w:tc>
        <w:tc>
          <w:tcPr>
            <w:tcW w:w="3686" w:type="dxa"/>
          </w:tcPr>
          <w:p w14:paraId="33834E90" w14:textId="77777777" w:rsidR="00403AAD" w:rsidRPr="00286216" w:rsidRDefault="00403AAD" w:rsidP="00403AAD">
            <w:pPr>
              <w:pStyle w:val="StyleProp"/>
              <w:rPr>
                <w:color w:val="000000" w:themeColor="text1"/>
                <w:szCs w:val="18"/>
              </w:rPr>
            </w:pPr>
          </w:p>
        </w:tc>
        <w:tc>
          <w:tcPr>
            <w:tcW w:w="1987" w:type="dxa"/>
          </w:tcPr>
          <w:p w14:paraId="4F69B89D" w14:textId="77777777" w:rsidR="00403AAD" w:rsidRPr="00286216" w:rsidRDefault="00403AAD" w:rsidP="00403AAD">
            <w:pPr>
              <w:pStyle w:val="StyleWisnow"/>
              <w:rPr>
                <w:color w:val="000000" w:themeColor="text1"/>
              </w:rPr>
            </w:pPr>
          </w:p>
        </w:tc>
        <w:tc>
          <w:tcPr>
            <w:tcW w:w="4818" w:type="dxa"/>
          </w:tcPr>
          <w:p w14:paraId="25DC31C2" w14:textId="0D9968EF" w:rsidR="00403AAD" w:rsidRPr="00286216" w:rsidRDefault="00403AAD" w:rsidP="00403AAD">
            <w:pPr>
              <w:pStyle w:val="StyleZakonu"/>
              <w:rPr>
                <w:color w:val="000000" w:themeColor="text1"/>
              </w:rPr>
            </w:pPr>
            <w:r w:rsidRPr="00286216">
              <w:rPr>
                <w:color w:val="000000" w:themeColor="text1"/>
              </w:rPr>
              <w:t>таким фінансовим інструментом;</w:t>
            </w:r>
          </w:p>
        </w:tc>
      </w:tr>
      <w:tr w:rsidR="00403AAD" w:rsidRPr="00286216" w14:paraId="5FBCCC16" w14:textId="77777777" w:rsidTr="00091AA5">
        <w:tc>
          <w:tcPr>
            <w:tcW w:w="576" w:type="dxa"/>
          </w:tcPr>
          <w:p w14:paraId="08B94924" w14:textId="77777777" w:rsidR="00403AAD" w:rsidRPr="00286216" w:rsidRDefault="00403AAD" w:rsidP="00403AAD">
            <w:pPr>
              <w:pStyle w:val="StyleWisnow"/>
              <w:rPr>
                <w:color w:val="000000" w:themeColor="text1"/>
              </w:rPr>
            </w:pPr>
            <w:bookmarkStart w:id="447" w:name="n756" w:colFirst="0" w:colLast="0"/>
            <w:bookmarkEnd w:id="446"/>
            <w:r w:rsidRPr="00286216">
              <w:rPr>
                <w:color w:val="000000" w:themeColor="text1"/>
              </w:rPr>
              <w:t>756.</w:t>
            </w:r>
          </w:p>
        </w:tc>
        <w:tc>
          <w:tcPr>
            <w:tcW w:w="4818" w:type="dxa"/>
          </w:tcPr>
          <w:p w14:paraId="473794B6" w14:textId="77777777" w:rsidR="00403AAD" w:rsidRPr="00286216" w:rsidRDefault="00403AAD" w:rsidP="00403AAD">
            <w:pPr>
              <w:pStyle w:val="StyleZakonu"/>
              <w:rPr>
                <w:color w:val="000000" w:themeColor="text1"/>
              </w:rPr>
            </w:pPr>
            <w:r w:rsidRPr="00286216">
              <w:rPr>
                <w:color w:val="000000" w:themeColor="text1"/>
              </w:rPr>
              <w:t>емітентом (щодо цінного папера);</w:t>
            </w:r>
          </w:p>
        </w:tc>
        <w:tc>
          <w:tcPr>
            <w:tcW w:w="3686" w:type="dxa"/>
          </w:tcPr>
          <w:p w14:paraId="3A50F185" w14:textId="77777777" w:rsidR="00403AAD" w:rsidRPr="00286216" w:rsidRDefault="00403AAD" w:rsidP="00403AAD">
            <w:pPr>
              <w:pStyle w:val="StyleProp"/>
              <w:rPr>
                <w:color w:val="000000" w:themeColor="text1"/>
                <w:szCs w:val="18"/>
              </w:rPr>
            </w:pPr>
          </w:p>
        </w:tc>
        <w:tc>
          <w:tcPr>
            <w:tcW w:w="1987" w:type="dxa"/>
          </w:tcPr>
          <w:p w14:paraId="4E4E4844" w14:textId="77777777" w:rsidR="00403AAD" w:rsidRPr="00286216" w:rsidRDefault="00403AAD" w:rsidP="00403AAD">
            <w:pPr>
              <w:pStyle w:val="StyleWisnow"/>
              <w:rPr>
                <w:color w:val="000000" w:themeColor="text1"/>
              </w:rPr>
            </w:pPr>
          </w:p>
        </w:tc>
        <w:tc>
          <w:tcPr>
            <w:tcW w:w="4818" w:type="dxa"/>
          </w:tcPr>
          <w:p w14:paraId="2C374773" w14:textId="397EF5A2" w:rsidR="00403AAD" w:rsidRPr="00286216" w:rsidRDefault="00403AAD" w:rsidP="00403AAD">
            <w:pPr>
              <w:pStyle w:val="StyleZakonu"/>
              <w:rPr>
                <w:color w:val="000000" w:themeColor="text1"/>
              </w:rPr>
            </w:pPr>
            <w:r w:rsidRPr="00286216">
              <w:rPr>
                <w:color w:val="000000" w:themeColor="text1"/>
              </w:rPr>
              <w:t>емітентом (щодо цінного папера);</w:t>
            </w:r>
          </w:p>
        </w:tc>
      </w:tr>
      <w:tr w:rsidR="00403AAD" w:rsidRPr="00286216" w14:paraId="59A5AD5A" w14:textId="77777777" w:rsidTr="00091AA5">
        <w:tc>
          <w:tcPr>
            <w:tcW w:w="576" w:type="dxa"/>
          </w:tcPr>
          <w:p w14:paraId="68EE4281" w14:textId="77777777" w:rsidR="00403AAD" w:rsidRPr="00286216" w:rsidRDefault="00403AAD" w:rsidP="00403AAD">
            <w:pPr>
              <w:pStyle w:val="StyleWisnow"/>
              <w:rPr>
                <w:color w:val="000000" w:themeColor="text1"/>
              </w:rPr>
            </w:pPr>
            <w:bookmarkStart w:id="448" w:name="n757" w:colFirst="0" w:colLast="0"/>
            <w:bookmarkEnd w:id="447"/>
            <w:r w:rsidRPr="00286216">
              <w:rPr>
                <w:color w:val="000000" w:themeColor="text1"/>
              </w:rPr>
              <w:t>757.</w:t>
            </w:r>
          </w:p>
        </w:tc>
        <w:tc>
          <w:tcPr>
            <w:tcW w:w="4818" w:type="dxa"/>
          </w:tcPr>
          <w:p w14:paraId="177A38E4" w14:textId="77777777" w:rsidR="00403AAD" w:rsidRPr="00286216" w:rsidRDefault="00403AAD" w:rsidP="00403AAD">
            <w:pPr>
              <w:pStyle w:val="StyleZakonu"/>
              <w:rPr>
                <w:color w:val="000000" w:themeColor="text1"/>
              </w:rPr>
            </w:pPr>
            <w:r w:rsidRPr="00286216">
              <w:rPr>
                <w:color w:val="000000" w:themeColor="text1"/>
              </w:rPr>
              <w:t>іншою стороною (щодо деривативного контракту);</w:t>
            </w:r>
          </w:p>
        </w:tc>
        <w:tc>
          <w:tcPr>
            <w:tcW w:w="3686" w:type="dxa"/>
          </w:tcPr>
          <w:p w14:paraId="46E53721" w14:textId="77777777" w:rsidR="00403AAD" w:rsidRPr="00286216" w:rsidRDefault="00403AAD" w:rsidP="00403AAD">
            <w:pPr>
              <w:pStyle w:val="StyleProp"/>
              <w:rPr>
                <w:color w:val="000000" w:themeColor="text1"/>
                <w:szCs w:val="18"/>
              </w:rPr>
            </w:pPr>
          </w:p>
        </w:tc>
        <w:tc>
          <w:tcPr>
            <w:tcW w:w="1987" w:type="dxa"/>
          </w:tcPr>
          <w:p w14:paraId="6280BE95" w14:textId="77777777" w:rsidR="00403AAD" w:rsidRPr="00286216" w:rsidRDefault="00403AAD" w:rsidP="00403AAD">
            <w:pPr>
              <w:pStyle w:val="StyleWisnow"/>
              <w:rPr>
                <w:color w:val="000000" w:themeColor="text1"/>
              </w:rPr>
            </w:pPr>
          </w:p>
        </w:tc>
        <w:tc>
          <w:tcPr>
            <w:tcW w:w="4818" w:type="dxa"/>
          </w:tcPr>
          <w:p w14:paraId="001C52EB" w14:textId="236F466F" w:rsidR="00403AAD" w:rsidRPr="00286216" w:rsidRDefault="00403AAD" w:rsidP="00403AAD">
            <w:pPr>
              <w:pStyle w:val="StyleZakonu"/>
              <w:rPr>
                <w:color w:val="000000" w:themeColor="text1"/>
              </w:rPr>
            </w:pPr>
            <w:r w:rsidRPr="00286216">
              <w:rPr>
                <w:color w:val="000000" w:themeColor="text1"/>
              </w:rPr>
              <w:t>іншою стороною (щодо деривативного контракту);</w:t>
            </w:r>
          </w:p>
        </w:tc>
      </w:tr>
      <w:tr w:rsidR="00403AAD" w:rsidRPr="00286216" w14:paraId="553858C8" w14:textId="77777777" w:rsidTr="00091AA5">
        <w:tc>
          <w:tcPr>
            <w:tcW w:w="576" w:type="dxa"/>
          </w:tcPr>
          <w:p w14:paraId="43F84770" w14:textId="77777777" w:rsidR="00403AAD" w:rsidRPr="00286216" w:rsidRDefault="00403AAD" w:rsidP="00403AAD">
            <w:pPr>
              <w:pStyle w:val="StyleWisnow"/>
              <w:rPr>
                <w:color w:val="000000" w:themeColor="text1"/>
              </w:rPr>
            </w:pPr>
            <w:bookmarkStart w:id="449" w:name="n758" w:colFirst="0" w:colLast="0"/>
            <w:bookmarkEnd w:id="448"/>
            <w:r w:rsidRPr="00286216">
              <w:rPr>
                <w:color w:val="000000" w:themeColor="text1"/>
              </w:rPr>
              <w:t>758.</w:t>
            </w:r>
          </w:p>
        </w:tc>
        <w:tc>
          <w:tcPr>
            <w:tcW w:w="4818" w:type="dxa"/>
          </w:tcPr>
          <w:p w14:paraId="26D97193" w14:textId="77777777" w:rsidR="00403AAD" w:rsidRPr="00286216" w:rsidRDefault="00403AAD" w:rsidP="00403AAD">
            <w:pPr>
              <w:pStyle w:val="StyleZakonu"/>
              <w:rPr>
                <w:color w:val="000000" w:themeColor="text1"/>
              </w:rPr>
            </w:pPr>
            <w:r w:rsidRPr="00286216">
              <w:rPr>
                <w:color w:val="000000" w:themeColor="text1"/>
              </w:rPr>
              <w:t>діяльністю емітента або іншої сторони, яка може вплинути на вартість відповідного цінного папера або майнових прав за відповідним деривативним контрактом;</w:t>
            </w:r>
          </w:p>
        </w:tc>
        <w:tc>
          <w:tcPr>
            <w:tcW w:w="3686" w:type="dxa"/>
          </w:tcPr>
          <w:p w14:paraId="7EE6DEBA" w14:textId="77777777" w:rsidR="00403AAD" w:rsidRPr="00286216" w:rsidRDefault="00403AAD" w:rsidP="00403AAD">
            <w:pPr>
              <w:pStyle w:val="StyleProp"/>
              <w:rPr>
                <w:color w:val="000000" w:themeColor="text1"/>
                <w:szCs w:val="18"/>
              </w:rPr>
            </w:pPr>
          </w:p>
        </w:tc>
        <w:tc>
          <w:tcPr>
            <w:tcW w:w="1987" w:type="dxa"/>
          </w:tcPr>
          <w:p w14:paraId="79FB8CF6" w14:textId="77777777" w:rsidR="00403AAD" w:rsidRPr="00286216" w:rsidRDefault="00403AAD" w:rsidP="00403AAD">
            <w:pPr>
              <w:pStyle w:val="StyleWisnow"/>
              <w:rPr>
                <w:color w:val="000000" w:themeColor="text1"/>
              </w:rPr>
            </w:pPr>
          </w:p>
        </w:tc>
        <w:tc>
          <w:tcPr>
            <w:tcW w:w="4818" w:type="dxa"/>
          </w:tcPr>
          <w:p w14:paraId="425BC243" w14:textId="054EE0B0" w:rsidR="00403AAD" w:rsidRPr="00286216" w:rsidRDefault="00403AAD" w:rsidP="00403AAD">
            <w:pPr>
              <w:pStyle w:val="StyleZakonu"/>
              <w:rPr>
                <w:color w:val="000000" w:themeColor="text1"/>
              </w:rPr>
            </w:pPr>
            <w:r w:rsidRPr="00286216">
              <w:rPr>
                <w:color w:val="000000" w:themeColor="text1"/>
              </w:rPr>
              <w:t>діяльністю емітента або іншої сторони, яка може вплинути на вартість відповідного цінного папера або майнових прав за відповідним деривативним контрактом;</w:t>
            </w:r>
          </w:p>
        </w:tc>
      </w:tr>
      <w:tr w:rsidR="00403AAD" w:rsidRPr="00286216" w14:paraId="48BC9F11" w14:textId="77777777" w:rsidTr="00091AA5">
        <w:tc>
          <w:tcPr>
            <w:tcW w:w="576" w:type="dxa"/>
          </w:tcPr>
          <w:p w14:paraId="6DB2E5B1" w14:textId="77777777" w:rsidR="00403AAD" w:rsidRPr="00286216" w:rsidRDefault="00403AAD" w:rsidP="00403AAD">
            <w:pPr>
              <w:pStyle w:val="StyleWisnow"/>
              <w:rPr>
                <w:color w:val="000000" w:themeColor="text1"/>
              </w:rPr>
            </w:pPr>
            <w:bookmarkStart w:id="450" w:name="n759" w:colFirst="0" w:colLast="0"/>
            <w:bookmarkEnd w:id="449"/>
            <w:r w:rsidRPr="00286216">
              <w:rPr>
                <w:color w:val="000000" w:themeColor="text1"/>
              </w:rPr>
              <w:t>759.</w:t>
            </w:r>
          </w:p>
        </w:tc>
        <w:tc>
          <w:tcPr>
            <w:tcW w:w="4818" w:type="dxa"/>
          </w:tcPr>
          <w:p w14:paraId="0322ACDE" w14:textId="77777777" w:rsidR="00403AAD" w:rsidRPr="00286216" w:rsidRDefault="00403AAD" w:rsidP="00403AAD">
            <w:pPr>
              <w:pStyle w:val="StyleZakonu"/>
              <w:rPr>
                <w:color w:val="000000" w:themeColor="text1"/>
              </w:rPr>
            </w:pPr>
            <w:r w:rsidRPr="00286216">
              <w:rPr>
                <w:color w:val="000000" w:themeColor="text1"/>
              </w:rPr>
              <w:t>ринком, на якому відбувається обіг відповідного цінного папера або укладається відповідний деривативний контракт;</w:t>
            </w:r>
          </w:p>
        </w:tc>
        <w:tc>
          <w:tcPr>
            <w:tcW w:w="3686" w:type="dxa"/>
          </w:tcPr>
          <w:p w14:paraId="644E73F9" w14:textId="3B352718" w:rsidR="00403AAD" w:rsidRPr="00286216" w:rsidRDefault="00403AAD" w:rsidP="00403AAD">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434</w:t>
            </w:r>
            <w:r w:rsidRPr="00286216">
              <w:rPr>
                <w:color w:val="000000" w:themeColor="text1"/>
                <w:spacing w:val="-4"/>
              </w:rPr>
              <w:fldChar w:fldCharType="end"/>
            </w:r>
            <w:r w:rsidRPr="00286216">
              <w:rPr>
                <w:color w:val="000000" w:themeColor="text1"/>
                <w:spacing w:val="-4"/>
              </w:rPr>
              <w:t>-Н.д.Бєлькова О.В. (Реєстр.картка №403)</w:t>
            </w:r>
          </w:p>
          <w:p w14:paraId="30C4018F" w14:textId="52E90470" w:rsidR="00403AAD" w:rsidRPr="00286216" w:rsidRDefault="00403AAD" w:rsidP="0011330D">
            <w:pPr>
              <w:pStyle w:val="StyleProp"/>
              <w:spacing w:line="180" w:lineRule="exact"/>
              <w:rPr>
                <w:color w:val="000000" w:themeColor="text1"/>
                <w:szCs w:val="18"/>
              </w:rPr>
            </w:pPr>
            <w:r w:rsidRPr="00286216">
              <w:rPr>
                <w:color w:val="000000" w:themeColor="text1"/>
                <w:szCs w:val="18"/>
              </w:rPr>
              <w:t xml:space="preserve">Абзац шостий підпункту «в» підпункту 2 частини </w:t>
            </w:r>
            <w:r w:rsidR="0011330D" w:rsidRPr="00286216">
              <w:rPr>
                <w:color w:val="000000" w:themeColor="text1"/>
                <w:szCs w:val="18"/>
                <w:lang w:val="ru-RU"/>
              </w:rPr>
              <w:t>3</w:t>
            </w:r>
            <w:r w:rsidRPr="00286216">
              <w:rPr>
                <w:color w:val="000000" w:themeColor="text1"/>
                <w:szCs w:val="18"/>
              </w:rPr>
              <w:t xml:space="preserve"> статті 44 викласти в такій редакції:</w:t>
            </w:r>
          </w:p>
          <w:p w14:paraId="6A7C9D38" w14:textId="77777777" w:rsidR="00403AAD" w:rsidRPr="00286216" w:rsidRDefault="00403AAD" w:rsidP="0011330D">
            <w:pPr>
              <w:pStyle w:val="StyleProp"/>
              <w:spacing w:line="180" w:lineRule="exact"/>
              <w:rPr>
                <w:color w:val="000000" w:themeColor="text1"/>
                <w:szCs w:val="18"/>
              </w:rPr>
            </w:pPr>
            <w:r w:rsidRPr="00286216">
              <w:rPr>
                <w:color w:val="000000" w:themeColor="text1"/>
                <w:szCs w:val="18"/>
              </w:rPr>
              <w:t>«ринок, на якому відбувається обіг відповідного фінансового інструменту або укладається відповідний деривативний контракт;»</w:t>
            </w:r>
          </w:p>
        </w:tc>
        <w:tc>
          <w:tcPr>
            <w:tcW w:w="1987" w:type="dxa"/>
          </w:tcPr>
          <w:p w14:paraId="49A8581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A494A84" w14:textId="4B96B95E" w:rsidR="00403AAD" w:rsidRPr="00286216" w:rsidRDefault="00403AAD" w:rsidP="00403AAD">
            <w:pPr>
              <w:pStyle w:val="StyleZakonu"/>
              <w:rPr>
                <w:color w:val="000000" w:themeColor="text1"/>
              </w:rPr>
            </w:pPr>
            <w:r w:rsidRPr="00286216">
              <w:rPr>
                <w:color w:val="000000" w:themeColor="text1"/>
                <w:szCs w:val="18"/>
              </w:rPr>
              <w:t>ринком, на якому відбувається обіг відповідного фінансового інструменту або укладається відповідний деривативний контракт</w:t>
            </w:r>
            <w:r w:rsidRPr="00286216">
              <w:rPr>
                <w:color w:val="000000" w:themeColor="text1"/>
              </w:rPr>
              <w:t>;</w:t>
            </w:r>
          </w:p>
        </w:tc>
      </w:tr>
      <w:tr w:rsidR="00403AAD" w:rsidRPr="00286216" w14:paraId="2F490F4B" w14:textId="77777777" w:rsidTr="00091AA5">
        <w:tc>
          <w:tcPr>
            <w:tcW w:w="576" w:type="dxa"/>
          </w:tcPr>
          <w:p w14:paraId="072F2559" w14:textId="77777777" w:rsidR="00403AAD" w:rsidRPr="00286216" w:rsidRDefault="00403AAD" w:rsidP="00403AAD">
            <w:pPr>
              <w:pStyle w:val="StyleWisnow"/>
              <w:rPr>
                <w:color w:val="000000" w:themeColor="text1"/>
              </w:rPr>
            </w:pPr>
            <w:bookmarkStart w:id="451" w:name="n760" w:colFirst="0" w:colLast="0"/>
            <w:bookmarkEnd w:id="450"/>
            <w:r w:rsidRPr="00286216">
              <w:rPr>
                <w:color w:val="000000" w:themeColor="text1"/>
              </w:rPr>
              <w:t>760.</w:t>
            </w:r>
          </w:p>
        </w:tc>
        <w:tc>
          <w:tcPr>
            <w:tcW w:w="4818" w:type="dxa"/>
          </w:tcPr>
          <w:p w14:paraId="36B87676" w14:textId="77777777" w:rsidR="00403AAD" w:rsidRPr="00286216" w:rsidRDefault="00403AAD" w:rsidP="00403AAD">
            <w:pPr>
              <w:pStyle w:val="StyleZakonu"/>
              <w:rPr>
                <w:color w:val="000000" w:themeColor="text1"/>
              </w:rPr>
            </w:pPr>
            <w:r w:rsidRPr="00286216">
              <w:rPr>
                <w:color w:val="000000" w:themeColor="text1"/>
              </w:rPr>
              <w:t>г) іншу інформацію, яка може бути важливою для прийняття клієнтом (потенційним клієнтом) рішення про здійснення інвестування у фінансовий інструмент;</w:t>
            </w:r>
          </w:p>
        </w:tc>
        <w:tc>
          <w:tcPr>
            <w:tcW w:w="3686" w:type="dxa"/>
          </w:tcPr>
          <w:p w14:paraId="5DA5705F" w14:textId="77777777" w:rsidR="00403AAD" w:rsidRPr="00286216" w:rsidRDefault="00403AAD" w:rsidP="00403AAD">
            <w:pPr>
              <w:pStyle w:val="StyleProp"/>
              <w:rPr>
                <w:color w:val="000000" w:themeColor="text1"/>
                <w:szCs w:val="18"/>
              </w:rPr>
            </w:pPr>
          </w:p>
        </w:tc>
        <w:tc>
          <w:tcPr>
            <w:tcW w:w="1987" w:type="dxa"/>
          </w:tcPr>
          <w:p w14:paraId="2ED4CEBE" w14:textId="77777777" w:rsidR="00403AAD" w:rsidRPr="00286216" w:rsidRDefault="00403AAD" w:rsidP="00403AAD">
            <w:pPr>
              <w:pStyle w:val="StyleWisnow"/>
              <w:rPr>
                <w:color w:val="000000" w:themeColor="text1"/>
              </w:rPr>
            </w:pPr>
          </w:p>
        </w:tc>
        <w:tc>
          <w:tcPr>
            <w:tcW w:w="4818" w:type="dxa"/>
          </w:tcPr>
          <w:p w14:paraId="350C2DE2" w14:textId="1D2AAF83" w:rsidR="00403AAD" w:rsidRPr="00286216" w:rsidRDefault="00403AAD" w:rsidP="00403AAD">
            <w:pPr>
              <w:pStyle w:val="StyleZakonu"/>
              <w:rPr>
                <w:color w:val="000000" w:themeColor="text1"/>
              </w:rPr>
            </w:pPr>
            <w:r w:rsidRPr="00286216">
              <w:rPr>
                <w:color w:val="000000" w:themeColor="text1"/>
              </w:rPr>
              <w:t>г) іншу інформацію, яка може бути важливою для прийняття клієнтом (потенційним клієнтом) рішення про здійснення інвестування у фінансовий інструмент;</w:t>
            </w:r>
          </w:p>
        </w:tc>
      </w:tr>
      <w:tr w:rsidR="00403AAD" w:rsidRPr="00286216" w14:paraId="6D25FC61" w14:textId="77777777" w:rsidTr="00091AA5">
        <w:tc>
          <w:tcPr>
            <w:tcW w:w="576" w:type="dxa"/>
          </w:tcPr>
          <w:p w14:paraId="20DC8212" w14:textId="77777777" w:rsidR="00403AAD" w:rsidRPr="00286216" w:rsidRDefault="00403AAD" w:rsidP="00403AAD">
            <w:pPr>
              <w:pStyle w:val="StyleWisnow"/>
              <w:rPr>
                <w:color w:val="000000" w:themeColor="text1"/>
              </w:rPr>
            </w:pPr>
            <w:bookmarkStart w:id="452" w:name="n761" w:colFirst="0" w:colLast="0"/>
            <w:bookmarkEnd w:id="451"/>
            <w:r w:rsidRPr="00286216">
              <w:rPr>
                <w:color w:val="000000" w:themeColor="text1"/>
              </w:rPr>
              <w:t>761.</w:t>
            </w:r>
          </w:p>
        </w:tc>
        <w:tc>
          <w:tcPr>
            <w:tcW w:w="4818" w:type="dxa"/>
          </w:tcPr>
          <w:p w14:paraId="4676AD80" w14:textId="77777777" w:rsidR="00403AAD" w:rsidRPr="00286216" w:rsidRDefault="00403AAD" w:rsidP="00403AAD">
            <w:pPr>
              <w:pStyle w:val="StyleZakonu"/>
              <w:rPr>
                <w:color w:val="000000" w:themeColor="text1"/>
              </w:rPr>
            </w:pPr>
            <w:r w:rsidRPr="00286216">
              <w:rPr>
                <w:color w:val="000000" w:themeColor="text1"/>
              </w:rPr>
              <w:t>3) інформацію про суму комісій, винагород та інших платежів, включаючи інформацію про вартість основних та додаткових послуг інвестиційної фірми, у тому числі вартість рекомендацій, перелік послуг третіх осіб, які мають бути оплачені клієнтом (потенційним клієнтом) у зв’язку з укладенням договору щодо фінансового інструмента, а також спосіб їх оплати.</w:t>
            </w:r>
          </w:p>
        </w:tc>
        <w:tc>
          <w:tcPr>
            <w:tcW w:w="3686" w:type="dxa"/>
          </w:tcPr>
          <w:p w14:paraId="51EAF3D8" w14:textId="77777777" w:rsidR="00403AAD" w:rsidRPr="00286216" w:rsidRDefault="00403AAD" w:rsidP="00403AAD">
            <w:pPr>
              <w:pStyle w:val="StyleProp"/>
              <w:rPr>
                <w:color w:val="000000" w:themeColor="text1"/>
                <w:szCs w:val="18"/>
              </w:rPr>
            </w:pPr>
          </w:p>
        </w:tc>
        <w:tc>
          <w:tcPr>
            <w:tcW w:w="1987" w:type="dxa"/>
          </w:tcPr>
          <w:p w14:paraId="3D999856" w14:textId="77777777" w:rsidR="00403AAD" w:rsidRPr="00286216" w:rsidRDefault="00403AAD" w:rsidP="00403AAD">
            <w:pPr>
              <w:pStyle w:val="StyleWisnow"/>
              <w:rPr>
                <w:color w:val="000000" w:themeColor="text1"/>
              </w:rPr>
            </w:pPr>
          </w:p>
        </w:tc>
        <w:tc>
          <w:tcPr>
            <w:tcW w:w="4818" w:type="dxa"/>
          </w:tcPr>
          <w:p w14:paraId="4875E02D" w14:textId="3F280E92" w:rsidR="00403AAD" w:rsidRPr="00286216" w:rsidRDefault="00403AAD" w:rsidP="00403AAD">
            <w:pPr>
              <w:pStyle w:val="StyleZakonu"/>
              <w:rPr>
                <w:color w:val="000000" w:themeColor="text1"/>
              </w:rPr>
            </w:pPr>
            <w:r w:rsidRPr="00286216">
              <w:rPr>
                <w:color w:val="000000" w:themeColor="text1"/>
              </w:rPr>
              <w:t>3) суму комісій, винагород та інших платежів, включаючи інформацію про вартість основних та додаткових послуг інвестиційної фірми, у тому числі вартість рекомендацій, перелік послуг третіх осіб, які мають бути оплачені клієнтом (потенційним клієнтом) у зв’язку з укладенням договору щодо фінансового інструменту, а також спосіб їх оплати;</w:t>
            </w:r>
          </w:p>
        </w:tc>
      </w:tr>
      <w:tr w:rsidR="00403AAD" w:rsidRPr="00286216" w14:paraId="58EAFC52" w14:textId="77777777" w:rsidTr="00091AA5">
        <w:tc>
          <w:tcPr>
            <w:tcW w:w="576" w:type="dxa"/>
          </w:tcPr>
          <w:p w14:paraId="655013DD" w14:textId="77777777" w:rsidR="00403AAD" w:rsidRPr="00286216" w:rsidRDefault="00403AAD" w:rsidP="00403AAD">
            <w:pPr>
              <w:pStyle w:val="StyleWisnow"/>
              <w:rPr>
                <w:color w:val="000000" w:themeColor="text1"/>
              </w:rPr>
            </w:pPr>
            <w:bookmarkStart w:id="453" w:name="n762" w:colFirst="0" w:colLast="0"/>
            <w:bookmarkEnd w:id="452"/>
            <w:r w:rsidRPr="00286216">
              <w:rPr>
                <w:color w:val="000000" w:themeColor="text1"/>
              </w:rPr>
              <w:lastRenderedPageBreak/>
              <w:t>762.</w:t>
            </w:r>
          </w:p>
        </w:tc>
        <w:tc>
          <w:tcPr>
            <w:tcW w:w="4818" w:type="dxa"/>
          </w:tcPr>
          <w:p w14:paraId="4C170497" w14:textId="77777777" w:rsidR="00403AAD" w:rsidRPr="00286216" w:rsidRDefault="00403AAD" w:rsidP="00403AAD">
            <w:pPr>
              <w:pStyle w:val="StyleZakonu"/>
              <w:rPr>
                <w:color w:val="000000" w:themeColor="text1"/>
              </w:rPr>
            </w:pPr>
            <w:r w:rsidRPr="00286216">
              <w:rPr>
                <w:color w:val="000000" w:themeColor="text1"/>
              </w:rPr>
              <w:t>4) місце та спосіб виконання замовлень клієнта.</w:t>
            </w:r>
          </w:p>
        </w:tc>
        <w:tc>
          <w:tcPr>
            <w:tcW w:w="3686" w:type="dxa"/>
          </w:tcPr>
          <w:p w14:paraId="2A17DFA3" w14:textId="77777777" w:rsidR="00403AAD" w:rsidRPr="00286216" w:rsidRDefault="00403AAD" w:rsidP="00403AAD">
            <w:pPr>
              <w:pStyle w:val="StyleProp"/>
              <w:rPr>
                <w:color w:val="000000" w:themeColor="text1"/>
                <w:szCs w:val="18"/>
              </w:rPr>
            </w:pPr>
          </w:p>
        </w:tc>
        <w:tc>
          <w:tcPr>
            <w:tcW w:w="1987" w:type="dxa"/>
          </w:tcPr>
          <w:p w14:paraId="70EB2E54" w14:textId="77777777" w:rsidR="00403AAD" w:rsidRPr="00286216" w:rsidRDefault="00403AAD" w:rsidP="00403AAD">
            <w:pPr>
              <w:pStyle w:val="StyleWisnow"/>
              <w:rPr>
                <w:color w:val="000000" w:themeColor="text1"/>
              </w:rPr>
            </w:pPr>
          </w:p>
        </w:tc>
        <w:tc>
          <w:tcPr>
            <w:tcW w:w="4818" w:type="dxa"/>
          </w:tcPr>
          <w:p w14:paraId="095D3C9D" w14:textId="3731706E" w:rsidR="00403AAD" w:rsidRPr="00286216" w:rsidRDefault="00403AAD" w:rsidP="00403AAD">
            <w:pPr>
              <w:pStyle w:val="StyleZakonu"/>
              <w:rPr>
                <w:color w:val="000000" w:themeColor="text1"/>
              </w:rPr>
            </w:pPr>
            <w:r w:rsidRPr="00286216">
              <w:rPr>
                <w:color w:val="000000" w:themeColor="text1"/>
              </w:rPr>
              <w:t>4) місце та спосіб виконання замовлень клієнта.</w:t>
            </w:r>
          </w:p>
        </w:tc>
      </w:tr>
      <w:tr w:rsidR="00403AAD" w:rsidRPr="00286216" w14:paraId="331CE5E7" w14:textId="77777777" w:rsidTr="00091AA5">
        <w:tc>
          <w:tcPr>
            <w:tcW w:w="576" w:type="dxa"/>
          </w:tcPr>
          <w:p w14:paraId="49DEB2DA" w14:textId="77777777" w:rsidR="00403AAD" w:rsidRPr="00286216" w:rsidRDefault="00403AAD" w:rsidP="00403AAD">
            <w:pPr>
              <w:pStyle w:val="StyleWisnow"/>
              <w:rPr>
                <w:color w:val="000000" w:themeColor="text1"/>
              </w:rPr>
            </w:pPr>
            <w:bookmarkStart w:id="454" w:name="n763" w:colFirst="0" w:colLast="0"/>
            <w:bookmarkEnd w:id="453"/>
            <w:r w:rsidRPr="00286216">
              <w:rPr>
                <w:color w:val="000000" w:themeColor="text1"/>
              </w:rPr>
              <w:t>763.</w:t>
            </w:r>
          </w:p>
        </w:tc>
        <w:tc>
          <w:tcPr>
            <w:tcW w:w="4818" w:type="dxa"/>
          </w:tcPr>
          <w:p w14:paraId="7F801F98" w14:textId="77777777" w:rsidR="00403AAD" w:rsidRPr="00286216" w:rsidRDefault="00403AAD" w:rsidP="00403AAD">
            <w:pPr>
              <w:pStyle w:val="StyleZakonu"/>
              <w:rPr>
                <w:color w:val="000000" w:themeColor="text1"/>
              </w:rPr>
            </w:pPr>
            <w:r w:rsidRPr="00286216">
              <w:rPr>
                <w:color w:val="000000" w:themeColor="text1"/>
              </w:rPr>
              <w:t>Зазначене у цій частині повідомлення має бути викладене в письмовій формі, підписане клієнтом (потенційним клієнтом) та містити виключно інформацію, зазначену в цій частині.</w:t>
            </w:r>
          </w:p>
        </w:tc>
        <w:tc>
          <w:tcPr>
            <w:tcW w:w="3686" w:type="dxa"/>
          </w:tcPr>
          <w:p w14:paraId="71491894" w14:textId="77777777" w:rsidR="00403AAD" w:rsidRPr="00286216" w:rsidRDefault="00403AAD" w:rsidP="00403AAD">
            <w:pPr>
              <w:pStyle w:val="StyleProp"/>
              <w:rPr>
                <w:color w:val="000000" w:themeColor="text1"/>
                <w:szCs w:val="18"/>
              </w:rPr>
            </w:pPr>
          </w:p>
        </w:tc>
        <w:tc>
          <w:tcPr>
            <w:tcW w:w="1987" w:type="dxa"/>
          </w:tcPr>
          <w:p w14:paraId="1C40EA77" w14:textId="77777777" w:rsidR="00403AAD" w:rsidRPr="00286216" w:rsidRDefault="00403AAD" w:rsidP="00403AAD">
            <w:pPr>
              <w:pStyle w:val="StyleWisnow"/>
              <w:rPr>
                <w:color w:val="000000" w:themeColor="text1"/>
              </w:rPr>
            </w:pPr>
          </w:p>
        </w:tc>
        <w:tc>
          <w:tcPr>
            <w:tcW w:w="4818" w:type="dxa"/>
          </w:tcPr>
          <w:p w14:paraId="016FA516" w14:textId="359353E7" w:rsidR="00403AAD" w:rsidRPr="00286216" w:rsidRDefault="00403AAD" w:rsidP="00403AAD">
            <w:pPr>
              <w:pStyle w:val="StyleZakonu"/>
              <w:rPr>
                <w:color w:val="000000" w:themeColor="text1"/>
              </w:rPr>
            </w:pPr>
            <w:r w:rsidRPr="00286216">
              <w:rPr>
                <w:color w:val="000000" w:themeColor="text1"/>
              </w:rPr>
              <w:t>Зазначене в цій частині повідомлення має бути викладене в письмовій формі, підписане клієнтом (потенційним клієнтом) та містити виключно інформацію, з передбачену цією частиною.</w:t>
            </w:r>
          </w:p>
        </w:tc>
      </w:tr>
      <w:tr w:rsidR="00403AAD" w:rsidRPr="00286216" w14:paraId="2C6DA7F8" w14:textId="77777777" w:rsidTr="00091AA5">
        <w:tc>
          <w:tcPr>
            <w:tcW w:w="576" w:type="dxa"/>
          </w:tcPr>
          <w:p w14:paraId="76ACAF80" w14:textId="77777777" w:rsidR="00403AAD" w:rsidRPr="00286216" w:rsidRDefault="00403AAD" w:rsidP="00403AAD">
            <w:pPr>
              <w:pStyle w:val="StyleWisnow"/>
              <w:rPr>
                <w:color w:val="000000" w:themeColor="text1"/>
              </w:rPr>
            </w:pPr>
            <w:bookmarkStart w:id="455" w:name="n764" w:colFirst="0" w:colLast="0"/>
            <w:bookmarkEnd w:id="454"/>
            <w:r w:rsidRPr="00286216">
              <w:rPr>
                <w:color w:val="000000" w:themeColor="text1"/>
              </w:rPr>
              <w:t>764.</w:t>
            </w:r>
          </w:p>
        </w:tc>
        <w:tc>
          <w:tcPr>
            <w:tcW w:w="4818" w:type="dxa"/>
          </w:tcPr>
          <w:p w14:paraId="59D5AC02" w14:textId="77777777" w:rsidR="00403AAD" w:rsidRPr="00286216" w:rsidRDefault="00403AAD" w:rsidP="00403AAD">
            <w:pPr>
              <w:pStyle w:val="StyleZakonu"/>
              <w:rPr>
                <w:color w:val="000000" w:themeColor="text1"/>
              </w:rPr>
            </w:pPr>
            <w:bookmarkStart w:id="456" w:name="_Ref20845167"/>
            <w:r w:rsidRPr="00286216">
              <w:rPr>
                <w:color w:val="000000" w:themeColor="text1"/>
              </w:rPr>
              <w:t>4. Перед укладенням з клієнтом (потенційним клієнтом) або від імені клієнта договору щодо фінансового інструменту інвестиційна фірма зобов’язана отримати всю необхідну інформацію стосовно знань та досвіду клієнта (потенційного клієнта) щодо фінансового інструменту, фінансового стану клієнта (потенційного клієнта) та мети укладення договору щодо фінансового інструменту з метою надання рекомендацій клієнту (потенційному клієнту) щодо фінансових інструментів, які є придатними для такого клієнта (потенційного клієнта). Національна комісія з цінних паперів та фондового ринку встановлює порядок визначення інвестиційними фірмами фінансових інструментів, які є придатними для клієнтів (потенційних клієнтів).</w:t>
            </w:r>
            <w:bookmarkEnd w:id="456"/>
          </w:p>
        </w:tc>
        <w:tc>
          <w:tcPr>
            <w:tcW w:w="3686" w:type="dxa"/>
          </w:tcPr>
          <w:p w14:paraId="7534BD89" w14:textId="33607634"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435</w:t>
            </w:r>
            <w:r w:rsidRPr="00286216">
              <w:rPr>
                <w:color w:val="000000" w:themeColor="text1"/>
                <w:spacing w:val="-10"/>
              </w:rPr>
              <w:fldChar w:fldCharType="end"/>
            </w:r>
            <w:r w:rsidRPr="00286216">
              <w:rPr>
                <w:color w:val="000000" w:themeColor="text1"/>
                <w:spacing w:val="-10"/>
              </w:rPr>
              <w:t>-Н.д.Гетманцев Д.О.(Реєстр.картка №245)</w:t>
            </w:r>
          </w:p>
          <w:p w14:paraId="035837CB" w14:textId="77777777" w:rsidR="00403AAD" w:rsidRPr="00286216" w:rsidRDefault="00403AAD" w:rsidP="00403AAD">
            <w:pPr>
              <w:pStyle w:val="StyleProp"/>
              <w:spacing w:line="180" w:lineRule="exact"/>
              <w:rPr>
                <w:color w:val="000000" w:themeColor="text1"/>
              </w:rPr>
            </w:pPr>
            <w:r w:rsidRPr="00286216">
              <w:rPr>
                <w:color w:val="000000" w:themeColor="text1"/>
              </w:rPr>
              <w:t>Абзац перший частини четвертої статті 44 викласти у такій редакції:</w:t>
            </w:r>
          </w:p>
          <w:p w14:paraId="6A612682" w14:textId="77777777" w:rsidR="00403AAD" w:rsidRPr="00286216" w:rsidRDefault="00403AAD" w:rsidP="00403AAD">
            <w:pPr>
              <w:pStyle w:val="StyleProp"/>
              <w:spacing w:line="180" w:lineRule="exact"/>
              <w:rPr>
                <w:color w:val="000000" w:themeColor="text1"/>
              </w:rPr>
            </w:pPr>
            <w:r w:rsidRPr="00286216">
              <w:rPr>
                <w:color w:val="000000" w:themeColor="text1"/>
              </w:rPr>
              <w:t>«4. Перед укладенням з клієнтом (потенційним клієнтом) або від імені клієнта договору щодо фінансового інструменту інвестиційна фірма зобов’язана отримати всю необхідну інформацію стосовно знань та досвіду клієнта (потенційного клієнта) щодо фінансового інструменту. При наданні інвестиційною фірмою послуг з інвестиційного консультування або послуг з управління портфелем фінансових інструментів додатково отримується інформація щодо фінансового стану клієнта (потенційного клієнта) та мети укладення договору щодо фінансового інструменту з метою надання рекомендацій клієнту (потенційному клієнту) щодо фінансових інструментів, які є придатними для такого клієнта (потенційного клієнта). Національна комісія з цінних паперів та фондового ринку встановлює порядок визначення інвестиційними фірмами фінансових інструментів, які є придатними для клієнтів (потенційних клієнтів).»</w:t>
            </w:r>
          </w:p>
        </w:tc>
        <w:tc>
          <w:tcPr>
            <w:tcW w:w="1987" w:type="dxa"/>
          </w:tcPr>
          <w:p w14:paraId="2C0F392C"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F110EB2" w14:textId="48E2CBB3" w:rsidR="00403AAD" w:rsidRPr="00286216" w:rsidRDefault="00403AAD" w:rsidP="00403AAD">
            <w:pPr>
              <w:pStyle w:val="StyleZakonu"/>
              <w:rPr>
                <w:color w:val="000000" w:themeColor="text1"/>
              </w:rPr>
            </w:pPr>
            <w:r w:rsidRPr="00286216">
              <w:rPr>
                <w:color w:val="000000" w:themeColor="text1"/>
              </w:rPr>
              <w:t>4. Перед укладенням з клієнтом (потенційним клієнтом) або від імені клієнта договору щодо фінансового інструменту інвестиційна фірма зобов’язана отримати всю необхідну інформацію стосовно знань та досвіду клієнта (потенційного клієнта) щодо фінансового інструменту. При наданні інвестиційною фірмою послуг з інвестиційного консультування або послуг з управління портфелем фінансових інструментів додатково отримується інформація щодо фінансового стану клієнта (потенційного клієнта) та мети укладення договору щодо фінансового інструменту з метою надання рекомендацій клієнту (потенційному клієнту) щодо фінансових інструментів, які є придатними для такого клієнта (потенційного клієнта). Національна комісія з цінних паперів та фондового ринку встановлює порядок визначення інвестиційними фірмами фінансових інструментів, які є придатними для клієнтів (потенційних клієнтів).</w:t>
            </w:r>
          </w:p>
        </w:tc>
      </w:tr>
      <w:tr w:rsidR="00403AAD" w:rsidRPr="00286216" w14:paraId="3C1BF87A" w14:textId="77777777" w:rsidTr="00091AA5">
        <w:tc>
          <w:tcPr>
            <w:tcW w:w="576" w:type="dxa"/>
          </w:tcPr>
          <w:p w14:paraId="05D19EC1" w14:textId="77777777" w:rsidR="00403AAD" w:rsidRPr="00286216" w:rsidRDefault="00403AAD" w:rsidP="00403AAD">
            <w:pPr>
              <w:pStyle w:val="StyleWisnow"/>
              <w:rPr>
                <w:color w:val="000000" w:themeColor="text1"/>
              </w:rPr>
            </w:pPr>
            <w:bookmarkStart w:id="457" w:name="n765" w:colFirst="0" w:colLast="0"/>
            <w:bookmarkEnd w:id="455"/>
            <w:r w:rsidRPr="00286216">
              <w:rPr>
                <w:color w:val="000000" w:themeColor="text1"/>
              </w:rPr>
              <w:t>765.</w:t>
            </w:r>
          </w:p>
        </w:tc>
        <w:tc>
          <w:tcPr>
            <w:tcW w:w="4818" w:type="dxa"/>
          </w:tcPr>
          <w:p w14:paraId="55C3F46E" w14:textId="77777777" w:rsidR="00403AAD" w:rsidRPr="00286216" w:rsidRDefault="00403AAD" w:rsidP="00403AAD">
            <w:pPr>
              <w:pStyle w:val="StyleZakonu"/>
              <w:rPr>
                <w:color w:val="000000" w:themeColor="text1"/>
              </w:rPr>
            </w:pPr>
            <w:r w:rsidRPr="00286216">
              <w:rPr>
                <w:color w:val="000000" w:themeColor="text1"/>
              </w:rPr>
              <w:t>Якщо на підставі отриманої інформації інвестиційна фірма вважає, що відповідний фінансовий інструмент не є придатним для клієнта (потенційного клієнта), вона зобов’язана надати клієнту повідомлення про це. Таке повідомлення має бути викладене в письмовій формі, засвідчене підписом клієнта (потенційного клієнта) про його ознайомлення та не містити іншої інформації, крім попередження про те, що відповідний фінансовий інструмент не є придатним для клієнта (потенційного клієнта), а також обґрунтування висновку інвестиційної фірми щодо непридатності фінансового інструменту для клієнта (потенційного клієнта).</w:t>
            </w:r>
          </w:p>
        </w:tc>
        <w:tc>
          <w:tcPr>
            <w:tcW w:w="3686" w:type="dxa"/>
          </w:tcPr>
          <w:p w14:paraId="59850124" w14:textId="77777777" w:rsidR="00403AAD" w:rsidRPr="00286216" w:rsidRDefault="00403AAD" w:rsidP="00403AAD">
            <w:pPr>
              <w:pStyle w:val="StyleProp"/>
              <w:rPr>
                <w:color w:val="000000" w:themeColor="text1"/>
                <w:szCs w:val="18"/>
              </w:rPr>
            </w:pPr>
          </w:p>
        </w:tc>
        <w:tc>
          <w:tcPr>
            <w:tcW w:w="1987" w:type="dxa"/>
          </w:tcPr>
          <w:p w14:paraId="5E89B278" w14:textId="77777777" w:rsidR="00403AAD" w:rsidRPr="00286216" w:rsidRDefault="00403AAD" w:rsidP="00403AAD">
            <w:pPr>
              <w:pStyle w:val="StyleWisnow"/>
              <w:rPr>
                <w:color w:val="000000" w:themeColor="text1"/>
              </w:rPr>
            </w:pPr>
          </w:p>
        </w:tc>
        <w:tc>
          <w:tcPr>
            <w:tcW w:w="4818" w:type="dxa"/>
          </w:tcPr>
          <w:p w14:paraId="6390911D" w14:textId="7CADE2B2" w:rsidR="00403AAD" w:rsidRPr="00286216" w:rsidRDefault="00403AAD" w:rsidP="00403AAD">
            <w:pPr>
              <w:pStyle w:val="StyleZakonu"/>
              <w:rPr>
                <w:color w:val="000000" w:themeColor="text1"/>
              </w:rPr>
            </w:pPr>
            <w:r w:rsidRPr="00286216">
              <w:rPr>
                <w:color w:val="000000" w:themeColor="text1"/>
              </w:rPr>
              <w:t>Якщо на підставі отриманої інформації інвестиційна фірма вважає, що відповідний фінансовий інструмент не є придатним для клієнта (потенційного клієнта), вона зобов’язана надати клієнту повідомлення про це. Таке повідомлення має бути викладене в письмовій формі, підписано клієнтом (потенційним клієнтом) щодо його ознайомлення та не містити іншої інформації, крім попередження про те, що відповідний фінансовий інструмент не є придатним для клієнта (потенційного клієнта), а також обґрунтування висновку інвестиційної фірми щодо непридатності фінансового інструменту для клієнта (потенційного клієнта).</w:t>
            </w:r>
          </w:p>
        </w:tc>
      </w:tr>
      <w:tr w:rsidR="00403AAD" w:rsidRPr="00286216" w14:paraId="3B57B641" w14:textId="77777777" w:rsidTr="00091AA5">
        <w:tc>
          <w:tcPr>
            <w:tcW w:w="576" w:type="dxa"/>
          </w:tcPr>
          <w:p w14:paraId="18182C3A" w14:textId="77777777" w:rsidR="00403AAD" w:rsidRPr="00286216" w:rsidRDefault="00403AAD" w:rsidP="00403AAD">
            <w:pPr>
              <w:pStyle w:val="StyleWisnow"/>
              <w:rPr>
                <w:color w:val="000000" w:themeColor="text1"/>
              </w:rPr>
            </w:pPr>
            <w:bookmarkStart w:id="458" w:name="n766" w:colFirst="0" w:colLast="0"/>
            <w:bookmarkEnd w:id="457"/>
            <w:r w:rsidRPr="00286216">
              <w:rPr>
                <w:color w:val="000000" w:themeColor="text1"/>
              </w:rPr>
              <w:t>766.</w:t>
            </w:r>
          </w:p>
        </w:tc>
        <w:tc>
          <w:tcPr>
            <w:tcW w:w="4818" w:type="dxa"/>
          </w:tcPr>
          <w:p w14:paraId="7265609E" w14:textId="77777777" w:rsidR="00403AAD" w:rsidRPr="00286216" w:rsidRDefault="00403AAD" w:rsidP="00403AAD">
            <w:pPr>
              <w:pStyle w:val="StyleZakonu"/>
              <w:rPr>
                <w:color w:val="000000" w:themeColor="text1"/>
              </w:rPr>
            </w:pPr>
            <w:r w:rsidRPr="00286216">
              <w:rPr>
                <w:color w:val="000000" w:themeColor="text1"/>
              </w:rPr>
              <w:t xml:space="preserve">Якщо клієнт (потенційний клієнт) відмовляється надавати інформацію з метою визначення придатності фінансового інструменту для такого клієнта (потенційного клієнта) або якщо інформація, надана клієнтом (потенційним клієнтом), є недостатньою для </w:t>
            </w:r>
            <w:r w:rsidRPr="00286216">
              <w:rPr>
                <w:color w:val="000000" w:themeColor="text1"/>
              </w:rPr>
              <w:lastRenderedPageBreak/>
              <w:t>такого визначення, інвестиційна фірма зобов’язана надати клієнту повідомлення про те, що відмова у наданні такої інформації або надання недостатньої інформації унеможливлює визначення інвестиційною фірмою придатності певного фінансового інструменту для такого клієнта (потенційного клієнта). Таке повідомлення має бути надане після відмови клієнта (потенційного клієнта) у наданні відповідної інформації, викладене в письмовій формі, засвідчене підписом клієнта (потенційного клієнта) про його ознайомлення та не містити іншої інформації, крім попередження про те, що відмова у наданні інформації або надання недостатньої інформації унеможливлює визначення інвестиційною фірмою придатності фінансового інструменту для такого клієнта (потенційного клієнта), з обов’язковим зазначенням інформації, яка для цього додатково вимагається.</w:t>
            </w:r>
          </w:p>
        </w:tc>
        <w:tc>
          <w:tcPr>
            <w:tcW w:w="3686" w:type="dxa"/>
          </w:tcPr>
          <w:p w14:paraId="36388C67" w14:textId="77777777" w:rsidR="00403AAD" w:rsidRPr="00286216" w:rsidRDefault="00403AAD" w:rsidP="00403AAD">
            <w:pPr>
              <w:pStyle w:val="StyleProp"/>
              <w:rPr>
                <w:color w:val="000000" w:themeColor="text1"/>
                <w:szCs w:val="18"/>
              </w:rPr>
            </w:pPr>
          </w:p>
        </w:tc>
        <w:tc>
          <w:tcPr>
            <w:tcW w:w="1987" w:type="dxa"/>
          </w:tcPr>
          <w:p w14:paraId="326F20C3" w14:textId="77777777" w:rsidR="00403AAD" w:rsidRPr="00286216" w:rsidRDefault="00403AAD" w:rsidP="00403AAD">
            <w:pPr>
              <w:pStyle w:val="StyleWisnow"/>
              <w:rPr>
                <w:color w:val="000000" w:themeColor="text1"/>
              </w:rPr>
            </w:pPr>
          </w:p>
        </w:tc>
        <w:tc>
          <w:tcPr>
            <w:tcW w:w="4818" w:type="dxa"/>
          </w:tcPr>
          <w:p w14:paraId="6C48AE68" w14:textId="3BBCE436" w:rsidR="00403AAD" w:rsidRPr="00286216" w:rsidRDefault="00403AAD" w:rsidP="00403AAD">
            <w:pPr>
              <w:pStyle w:val="StyleZakonu"/>
              <w:rPr>
                <w:color w:val="000000" w:themeColor="text1"/>
              </w:rPr>
            </w:pPr>
            <w:r w:rsidRPr="00286216">
              <w:rPr>
                <w:color w:val="000000" w:themeColor="text1"/>
              </w:rPr>
              <w:t xml:space="preserve">Якщо клієнт (потенційний клієнт) відмовляється надавати інформацію з метою визначення придатності фінансового інструменту для такого клієнта (потенційного клієнта) або якщо інформація, надана клієнтом (потенційним клієнтом), є недостатньою для </w:t>
            </w:r>
            <w:r w:rsidRPr="00286216">
              <w:rPr>
                <w:color w:val="000000" w:themeColor="text1"/>
              </w:rPr>
              <w:lastRenderedPageBreak/>
              <w:t>такого визначення, інвестиційна фірма зобов’язана надати клієнту повідомлення про те, що відмова у наданні такої інформації або надання недостатньої інформації унеможливлює визначення інвестиційною фірмою придатності певного фінансового інструменту для такого клієнта (потенційного клієнта). Таке повідомлення має бути надане після відмови клієнта (потенційного клієнта) у наданні відповідної інформації, викладене в письмовій формі, підписано клієнтом (потенційним клієнтом) щодо його ознайомлення та не містити іншої інформації, крім попередження про те, що відмова у наданні інформації або надання недостатньої інформації унеможливлює визначення інвестиційною фірмою придатності фінансового інструменту для такого клієнта (потенційного клієнта), з обов’язковим зазначенням інформації, яка для цього додатково вимагається.</w:t>
            </w:r>
          </w:p>
        </w:tc>
      </w:tr>
      <w:tr w:rsidR="00403AAD" w:rsidRPr="00286216" w14:paraId="6039B3DC" w14:textId="77777777" w:rsidTr="00091AA5">
        <w:tc>
          <w:tcPr>
            <w:tcW w:w="576" w:type="dxa"/>
          </w:tcPr>
          <w:p w14:paraId="2EF7B9CD" w14:textId="77777777" w:rsidR="00403AAD" w:rsidRPr="00286216" w:rsidRDefault="00403AAD" w:rsidP="00403AAD">
            <w:pPr>
              <w:pStyle w:val="StyleWisnow"/>
              <w:rPr>
                <w:color w:val="000000" w:themeColor="text1"/>
              </w:rPr>
            </w:pPr>
            <w:bookmarkStart w:id="459" w:name="n767" w:colFirst="0" w:colLast="0"/>
            <w:bookmarkEnd w:id="458"/>
            <w:r w:rsidRPr="00286216">
              <w:rPr>
                <w:color w:val="000000" w:themeColor="text1"/>
              </w:rPr>
              <w:lastRenderedPageBreak/>
              <w:t>767.</w:t>
            </w:r>
          </w:p>
        </w:tc>
        <w:tc>
          <w:tcPr>
            <w:tcW w:w="4818" w:type="dxa"/>
          </w:tcPr>
          <w:p w14:paraId="709FAD4F" w14:textId="77777777" w:rsidR="00403AAD" w:rsidRPr="00286216" w:rsidRDefault="00403AAD" w:rsidP="00403AAD">
            <w:pPr>
              <w:pStyle w:val="StyleZakonu"/>
              <w:rPr>
                <w:color w:val="000000" w:themeColor="text1"/>
              </w:rPr>
            </w:pPr>
            <w:r w:rsidRPr="00286216">
              <w:rPr>
                <w:color w:val="000000" w:themeColor="text1"/>
              </w:rPr>
              <w:t>Якщо на підставі отриманої інформації інвестиційна фірма вважає, що відповідний фінансовий інструмент є придатним для клієнта (потенційного клієнта), вона зобов’язана надати клієнту повідомлення про те, чи буде інвестиційна фірма періодично аналізувати придатність відповідного фінансового інструменту для клієнта та повідомить клієнта про те, що даний фінансовий інструмент став непридатним для нього. Таке повідомлення має бути викладене в письмовій формі, засвідчене підписом клієнта (потенційного клієнта) про його ознайомлення та не містити іншої інформації, крім зазначення того, що інвестиційна фірма здійснюватиме (або не здійснюватиме) періодичний аналіз придатності відповідного фінансового інструменту для клієнта, зазначення періодичності здійснення такого аналізу, а також зобов’язання повідомляти (із зазначенням способу надання повідомлення) клієнта про те, що даний фінансовий інструмент став непридатним для нього.</w:t>
            </w:r>
          </w:p>
        </w:tc>
        <w:tc>
          <w:tcPr>
            <w:tcW w:w="3686" w:type="dxa"/>
          </w:tcPr>
          <w:p w14:paraId="38C8A69C" w14:textId="77777777" w:rsidR="00403AAD" w:rsidRPr="00286216" w:rsidRDefault="00403AAD" w:rsidP="00403AAD">
            <w:pPr>
              <w:pStyle w:val="StyleProp"/>
              <w:rPr>
                <w:color w:val="000000" w:themeColor="text1"/>
                <w:szCs w:val="18"/>
              </w:rPr>
            </w:pPr>
          </w:p>
        </w:tc>
        <w:tc>
          <w:tcPr>
            <w:tcW w:w="1987" w:type="dxa"/>
          </w:tcPr>
          <w:p w14:paraId="04AC92B5" w14:textId="77777777" w:rsidR="00403AAD" w:rsidRPr="00286216" w:rsidRDefault="00403AAD" w:rsidP="00403AAD">
            <w:pPr>
              <w:pStyle w:val="StyleWisnow"/>
              <w:rPr>
                <w:color w:val="000000" w:themeColor="text1"/>
              </w:rPr>
            </w:pPr>
          </w:p>
        </w:tc>
        <w:tc>
          <w:tcPr>
            <w:tcW w:w="4818" w:type="dxa"/>
          </w:tcPr>
          <w:p w14:paraId="6B84C9AC" w14:textId="02CFE5F3" w:rsidR="00403AAD" w:rsidRPr="00286216" w:rsidRDefault="00403AAD" w:rsidP="00403AAD">
            <w:pPr>
              <w:pStyle w:val="StyleZakonu"/>
              <w:rPr>
                <w:color w:val="000000" w:themeColor="text1"/>
              </w:rPr>
            </w:pPr>
            <w:r w:rsidRPr="00286216">
              <w:rPr>
                <w:color w:val="000000" w:themeColor="text1"/>
              </w:rPr>
              <w:t>Якщо на підставі отриманої інформації інвестиційна фірма вважає, що відповідний фінансовий інструмент є придатним для клієнта (потенційного клієнта), вона зобов’язана надати клієнту повідомлення про те, чи буде інвестиційна фірма періодично аналізувати придатність відповідного фінансового інструменту для клієнта та повідомить клієнта про те, що даний фінансовий інструмент став непридатним для нього. Таке повідомлення має бути викладене в письмовій формі, підписано клієнтом (потенційним клієнтом) щодо його ознайомлення та не містити іншої інформації, крім зазначення того, що інвестиційна фірма здійснюватиме (або не здійснюватиме) періодичний аналіз придатності відповідного фінансового інструменту для клієнта, зазначення періодичності здійснення такого аналізу, а також зобов’язання повідомляти (із зазначенням способу надання повідомлення) клієнта про те, що даний фінансовий інструмент став непридатним для нього.</w:t>
            </w:r>
          </w:p>
        </w:tc>
      </w:tr>
      <w:tr w:rsidR="00403AAD" w:rsidRPr="00286216" w14:paraId="6C4CE81C" w14:textId="77777777" w:rsidTr="00091AA5">
        <w:tc>
          <w:tcPr>
            <w:tcW w:w="576" w:type="dxa"/>
          </w:tcPr>
          <w:p w14:paraId="20B5D9D0" w14:textId="77777777" w:rsidR="00403AAD" w:rsidRPr="00286216" w:rsidRDefault="00403AAD" w:rsidP="00403AAD">
            <w:pPr>
              <w:pStyle w:val="StyleWisnow"/>
              <w:rPr>
                <w:color w:val="000000" w:themeColor="text1"/>
              </w:rPr>
            </w:pPr>
            <w:bookmarkStart w:id="460" w:name="n768" w:colFirst="0" w:colLast="0"/>
            <w:bookmarkEnd w:id="459"/>
            <w:r w:rsidRPr="00286216">
              <w:rPr>
                <w:color w:val="000000" w:themeColor="text1"/>
              </w:rPr>
              <w:t>768.</w:t>
            </w:r>
          </w:p>
        </w:tc>
        <w:tc>
          <w:tcPr>
            <w:tcW w:w="4818" w:type="dxa"/>
          </w:tcPr>
          <w:p w14:paraId="7B71C0B3" w14:textId="77777777" w:rsidR="00403AAD" w:rsidRPr="00286216" w:rsidRDefault="00403AAD" w:rsidP="00403AAD">
            <w:pPr>
              <w:pStyle w:val="StyleZakonu"/>
              <w:rPr>
                <w:color w:val="000000" w:themeColor="text1"/>
              </w:rPr>
            </w:pPr>
            <w:r w:rsidRPr="00286216">
              <w:rPr>
                <w:color w:val="000000" w:themeColor="text1"/>
              </w:rPr>
              <w:t>5. Положення частини четвертої цієї статті не застосовуються перед укладанням з клієнтом або від імені клієнта договору щодо фінансового інструменту, щодо якого інвестиційною фірмою вже здійснено дії, передбачені частиною четвертою цієї статті.</w:t>
            </w:r>
          </w:p>
        </w:tc>
        <w:tc>
          <w:tcPr>
            <w:tcW w:w="3686" w:type="dxa"/>
          </w:tcPr>
          <w:p w14:paraId="55FA7F73" w14:textId="77777777" w:rsidR="00403AAD" w:rsidRPr="00286216" w:rsidRDefault="00403AAD" w:rsidP="00403AAD">
            <w:pPr>
              <w:pStyle w:val="StyleProp"/>
              <w:rPr>
                <w:color w:val="000000" w:themeColor="text1"/>
                <w:szCs w:val="18"/>
              </w:rPr>
            </w:pPr>
          </w:p>
        </w:tc>
        <w:tc>
          <w:tcPr>
            <w:tcW w:w="1987" w:type="dxa"/>
          </w:tcPr>
          <w:p w14:paraId="05F83254" w14:textId="77777777" w:rsidR="00403AAD" w:rsidRPr="00286216" w:rsidRDefault="00403AAD" w:rsidP="00403AAD">
            <w:pPr>
              <w:pStyle w:val="StyleWisnow"/>
              <w:rPr>
                <w:color w:val="000000" w:themeColor="text1"/>
              </w:rPr>
            </w:pPr>
          </w:p>
        </w:tc>
        <w:tc>
          <w:tcPr>
            <w:tcW w:w="4818" w:type="dxa"/>
          </w:tcPr>
          <w:p w14:paraId="1DAF61F0" w14:textId="53E5A4EA" w:rsidR="00403AAD" w:rsidRPr="00286216" w:rsidRDefault="00403AAD" w:rsidP="00403AAD">
            <w:pPr>
              <w:pStyle w:val="StyleZakonu"/>
              <w:rPr>
                <w:color w:val="000000" w:themeColor="text1"/>
              </w:rPr>
            </w:pPr>
            <w:r w:rsidRPr="00286216">
              <w:rPr>
                <w:color w:val="000000" w:themeColor="text1"/>
              </w:rPr>
              <w:t>5. Положення частини четвертої цієї статті не застосовуються перед укладенням з клієнтом або від імені клієнта договору щодо фінансового інструменту, щодо якого інвестиційною фірмою вже здійснено дії, передбачені частиною четвертою цієї статті.</w:t>
            </w:r>
          </w:p>
        </w:tc>
      </w:tr>
      <w:tr w:rsidR="00403AAD" w:rsidRPr="00286216" w14:paraId="715E48C5" w14:textId="77777777" w:rsidTr="00091AA5">
        <w:tc>
          <w:tcPr>
            <w:tcW w:w="576" w:type="dxa"/>
          </w:tcPr>
          <w:p w14:paraId="5D7175A7" w14:textId="77777777" w:rsidR="00403AAD" w:rsidRPr="00286216" w:rsidRDefault="00403AAD" w:rsidP="00403AAD">
            <w:pPr>
              <w:pStyle w:val="StyleWisnow"/>
              <w:rPr>
                <w:color w:val="000000" w:themeColor="text1"/>
              </w:rPr>
            </w:pPr>
            <w:bookmarkStart w:id="461" w:name="n769" w:colFirst="0" w:colLast="0"/>
            <w:bookmarkEnd w:id="460"/>
            <w:r w:rsidRPr="00286216">
              <w:rPr>
                <w:color w:val="000000" w:themeColor="text1"/>
              </w:rPr>
              <w:t>769.</w:t>
            </w:r>
          </w:p>
        </w:tc>
        <w:tc>
          <w:tcPr>
            <w:tcW w:w="4818" w:type="dxa"/>
          </w:tcPr>
          <w:p w14:paraId="64BB6EB1" w14:textId="77777777" w:rsidR="00403AAD" w:rsidRPr="00286216" w:rsidRDefault="00403AAD" w:rsidP="00403AAD">
            <w:pPr>
              <w:pStyle w:val="StyleZakonu"/>
              <w:rPr>
                <w:color w:val="000000" w:themeColor="text1"/>
              </w:rPr>
            </w:pPr>
            <w:r w:rsidRPr="00286216">
              <w:rPr>
                <w:color w:val="000000" w:themeColor="text1"/>
              </w:rPr>
              <w:t xml:space="preserve">Положення частини четвертої цієї статті не </w:t>
            </w:r>
            <w:r w:rsidRPr="00286216">
              <w:rPr>
                <w:color w:val="000000" w:themeColor="text1"/>
              </w:rPr>
              <w:lastRenderedPageBreak/>
              <w:t>застосовуються у разі надання інвестиційною фірмою послуг виключно з виконання замовлень клієнтів (без надання, зокрема, послуг з інвестиційного консультування або послуг з управління портфелем фінансових інструментів) щодо фінансових інструментів, за умови виконання всіх таких умов:</w:t>
            </w:r>
          </w:p>
        </w:tc>
        <w:tc>
          <w:tcPr>
            <w:tcW w:w="3686" w:type="dxa"/>
          </w:tcPr>
          <w:p w14:paraId="05927324" w14:textId="77777777" w:rsidR="00403AAD" w:rsidRPr="00286216" w:rsidRDefault="00403AAD" w:rsidP="00403AAD">
            <w:pPr>
              <w:pStyle w:val="StyleProp"/>
              <w:rPr>
                <w:color w:val="000000" w:themeColor="text1"/>
                <w:szCs w:val="18"/>
              </w:rPr>
            </w:pPr>
          </w:p>
        </w:tc>
        <w:tc>
          <w:tcPr>
            <w:tcW w:w="1987" w:type="dxa"/>
          </w:tcPr>
          <w:p w14:paraId="5E57E2B3" w14:textId="77777777" w:rsidR="00403AAD" w:rsidRPr="00286216" w:rsidRDefault="00403AAD" w:rsidP="00403AAD">
            <w:pPr>
              <w:pStyle w:val="StyleWisnow"/>
              <w:rPr>
                <w:color w:val="000000" w:themeColor="text1"/>
              </w:rPr>
            </w:pPr>
          </w:p>
        </w:tc>
        <w:tc>
          <w:tcPr>
            <w:tcW w:w="4818" w:type="dxa"/>
          </w:tcPr>
          <w:p w14:paraId="6CA0D6D3" w14:textId="5F0C0CFC" w:rsidR="00403AAD" w:rsidRPr="00286216" w:rsidRDefault="00403AAD" w:rsidP="00403AAD">
            <w:pPr>
              <w:pStyle w:val="StyleZakonu"/>
              <w:rPr>
                <w:color w:val="000000" w:themeColor="text1"/>
              </w:rPr>
            </w:pPr>
            <w:r w:rsidRPr="00286216">
              <w:rPr>
                <w:color w:val="000000" w:themeColor="text1"/>
              </w:rPr>
              <w:t xml:space="preserve">Положення частини четвертої цієї статті не </w:t>
            </w:r>
            <w:r w:rsidRPr="00286216">
              <w:rPr>
                <w:color w:val="000000" w:themeColor="text1"/>
              </w:rPr>
              <w:lastRenderedPageBreak/>
              <w:t>застосовуються у разі надання інвестиційною фірмою послуг виключно з виконання замовлень клієнтів (без надання, зокрема, послуг з інвестиційного консультування або послуг з управління портфелем фінансових інструментів) щодо фінансових інструментів,  якщо виконані всі такі умови:</w:t>
            </w:r>
          </w:p>
        </w:tc>
      </w:tr>
      <w:tr w:rsidR="00403AAD" w:rsidRPr="00286216" w14:paraId="2090FA84" w14:textId="77777777" w:rsidTr="00091AA5">
        <w:tc>
          <w:tcPr>
            <w:tcW w:w="576" w:type="dxa"/>
          </w:tcPr>
          <w:p w14:paraId="491AB1F7" w14:textId="77777777" w:rsidR="00403AAD" w:rsidRPr="00286216" w:rsidRDefault="00403AAD" w:rsidP="00403AAD">
            <w:pPr>
              <w:pStyle w:val="StyleWisnow"/>
              <w:rPr>
                <w:color w:val="000000" w:themeColor="text1"/>
              </w:rPr>
            </w:pPr>
            <w:bookmarkStart w:id="462" w:name="n770" w:colFirst="0" w:colLast="0"/>
            <w:bookmarkEnd w:id="461"/>
            <w:r w:rsidRPr="00286216">
              <w:rPr>
                <w:color w:val="000000" w:themeColor="text1"/>
              </w:rPr>
              <w:lastRenderedPageBreak/>
              <w:t>770.</w:t>
            </w:r>
          </w:p>
        </w:tc>
        <w:tc>
          <w:tcPr>
            <w:tcW w:w="4818" w:type="dxa"/>
          </w:tcPr>
          <w:p w14:paraId="202A2913" w14:textId="77777777" w:rsidR="00403AAD" w:rsidRPr="00286216" w:rsidRDefault="00403AAD" w:rsidP="00403AAD">
            <w:pPr>
              <w:pStyle w:val="StyleZakonu"/>
              <w:rPr>
                <w:color w:val="000000" w:themeColor="text1"/>
              </w:rPr>
            </w:pPr>
            <w:r w:rsidRPr="00286216">
              <w:rPr>
                <w:color w:val="000000" w:themeColor="text1"/>
              </w:rPr>
              <w:t>1) такі послуги надаються щодо акцій, облігацій, які допущені до торгів на регульованому фондовому ринку, казначейських зобов’язань України, цінних паперів інститутів спільного інвестування, ощадних (депозитних) сертифікатів;</w:t>
            </w:r>
          </w:p>
        </w:tc>
        <w:tc>
          <w:tcPr>
            <w:tcW w:w="3686" w:type="dxa"/>
          </w:tcPr>
          <w:p w14:paraId="0C76774D" w14:textId="77777777" w:rsidR="00403AAD" w:rsidRPr="00286216" w:rsidRDefault="00403AAD" w:rsidP="00403AAD">
            <w:pPr>
              <w:pStyle w:val="StyleProp"/>
              <w:rPr>
                <w:color w:val="000000" w:themeColor="text1"/>
                <w:szCs w:val="18"/>
              </w:rPr>
            </w:pPr>
          </w:p>
        </w:tc>
        <w:tc>
          <w:tcPr>
            <w:tcW w:w="1987" w:type="dxa"/>
          </w:tcPr>
          <w:p w14:paraId="37CB7DB2" w14:textId="77777777" w:rsidR="00403AAD" w:rsidRPr="00286216" w:rsidRDefault="00403AAD" w:rsidP="00403AAD">
            <w:pPr>
              <w:pStyle w:val="StyleWisnow"/>
              <w:rPr>
                <w:color w:val="000000" w:themeColor="text1"/>
              </w:rPr>
            </w:pPr>
          </w:p>
        </w:tc>
        <w:tc>
          <w:tcPr>
            <w:tcW w:w="4818" w:type="dxa"/>
          </w:tcPr>
          <w:p w14:paraId="14A1DC66" w14:textId="79ADD62B" w:rsidR="00403AAD" w:rsidRPr="00286216" w:rsidRDefault="00403AAD" w:rsidP="00403AAD">
            <w:pPr>
              <w:pStyle w:val="StyleZakonu"/>
              <w:rPr>
                <w:color w:val="000000" w:themeColor="text1"/>
              </w:rPr>
            </w:pPr>
            <w:r w:rsidRPr="00286216">
              <w:rPr>
                <w:color w:val="000000" w:themeColor="text1"/>
              </w:rPr>
              <w:t>1) такі послуги надаються щодо акцій, облігацій, допущених до торгів на регульованому фондовому ринку, казначейських зобов’язань України, цінних паперів інститутів спільного інвестування, ощадних (депозитних) сертифікатів;</w:t>
            </w:r>
          </w:p>
        </w:tc>
      </w:tr>
      <w:tr w:rsidR="00403AAD" w:rsidRPr="00286216" w14:paraId="2C50B2CD" w14:textId="77777777" w:rsidTr="00091AA5">
        <w:tc>
          <w:tcPr>
            <w:tcW w:w="576" w:type="dxa"/>
          </w:tcPr>
          <w:p w14:paraId="74E75C09" w14:textId="77777777" w:rsidR="00403AAD" w:rsidRPr="00286216" w:rsidRDefault="00403AAD" w:rsidP="00403AAD">
            <w:pPr>
              <w:pStyle w:val="StyleWisnow"/>
              <w:rPr>
                <w:color w:val="000000" w:themeColor="text1"/>
              </w:rPr>
            </w:pPr>
            <w:bookmarkStart w:id="463" w:name="n771" w:colFirst="0" w:colLast="0"/>
            <w:bookmarkEnd w:id="462"/>
            <w:r w:rsidRPr="00286216">
              <w:rPr>
                <w:color w:val="000000" w:themeColor="text1"/>
              </w:rPr>
              <w:t>771.</w:t>
            </w:r>
          </w:p>
        </w:tc>
        <w:tc>
          <w:tcPr>
            <w:tcW w:w="4818" w:type="dxa"/>
          </w:tcPr>
          <w:p w14:paraId="6AC2CD69" w14:textId="77777777" w:rsidR="00403AAD" w:rsidRPr="00286216" w:rsidRDefault="00403AAD" w:rsidP="00403AAD">
            <w:pPr>
              <w:pStyle w:val="StyleZakonu"/>
              <w:rPr>
                <w:color w:val="000000" w:themeColor="text1"/>
              </w:rPr>
            </w:pPr>
            <w:r w:rsidRPr="00286216">
              <w:rPr>
                <w:color w:val="000000" w:themeColor="text1"/>
              </w:rPr>
              <w:t>2) послуги надаються за ініціативою клієнтів (потенційних клієнтів);</w:t>
            </w:r>
          </w:p>
        </w:tc>
        <w:tc>
          <w:tcPr>
            <w:tcW w:w="3686" w:type="dxa"/>
          </w:tcPr>
          <w:p w14:paraId="4E4F36FF" w14:textId="77777777" w:rsidR="00403AAD" w:rsidRPr="00286216" w:rsidRDefault="00403AAD" w:rsidP="00403AAD">
            <w:pPr>
              <w:pStyle w:val="StyleProp"/>
              <w:rPr>
                <w:color w:val="000000" w:themeColor="text1"/>
                <w:szCs w:val="18"/>
              </w:rPr>
            </w:pPr>
          </w:p>
        </w:tc>
        <w:tc>
          <w:tcPr>
            <w:tcW w:w="1987" w:type="dxa"/>
          </w:tcPr>
          <w:p w14:paraId="4FFDA628" w14:textId="77777777" w:rsidR="00403AAD" w:rsidRPr="00286216" w:rsidRDefault="00403AAD" w:rsidP="00403AAD">
            <w:pPr>
              <w:pStyle w:val="StyleWisnow"/>
              <w:rPr>
                <w:color w:val="000000" w:themeColor="text1"/>
              </w:rPr>
            </w:pPr>
          </w:p>
        </w:tc>
        <w:tc>
          <w:tcPr>
            <w:tcW w:w="4818" w:type="dxa"/>
          </w:tcPr>
          <w:p w14:paraId="50DC3E59" w14:textId="5C4A1CBF" w:rsidR="00403AAD" w:rsidRPr="00286216" w:rsidRDefault="00403AAD" w:rsidP="00403AAD">
            <w:pPr>
              <w:pStyle w:val="StyleZakonu"/>
              <w:rPr>
                <w:color w:val="000000" w:themeColor="text1"/>
              </w:rPr>
            </w:pPr>
            <w:r w:rsidRPr="00286216">
              <w:rPr>
                <w:color w:val="000000" w:themeColor="text1"/>
              </w:rPr>
              <w:t>2) послуги надаються за ініціативою клієнтів (потенційних клієнтів);</w:t>
            </w:r>
          </w:p>
        </w:tc>
      </w:tr>
      <w:tr w:rsidR="00403AAD" w:rsidRPr="00286216" w14:paraId="25EECB98" w14:textId="77777777" w:rsidTr="00091AA5">
        <w:tc>
          <w:tcPr>
            <w:tcW w:w="576" w:type="dxa"/>
          </w:tcPr>
          <w:p w14:paraId="2EE82D7A" w14:textId="77777777" w:rsidR="00403AAD" w:rsidRPr="00286216" w:rsidRDefault="00403AAD" w:rsidP="00403AAD">
            <w:pPr>
              <w:pStyle w:val="StyleWisnow"/>
              <w:rPr>
                <w:color w:val="000000" w:themeColor="text1"/>
              </w:rPr>
            </w:pPr>
            <w:bookmarkStart w:id="464" w:name="n772" w:colFirst="0" w:colLast="0"/>
            <w:bookmarkEnd w:id="463"/>
            <w:r w:rsidRPr="00286216">
              <w:rPr>
                <w:color w:val="000000" w:themeColor="text1"/>
              </w:rPr>
              <w:t>772.</w:t>
            </w:r>
          </w:p>
        </w:tc>
        <w:tc>
          <w:tcPr>
            <w:tcW w:w="4818" w:type="dxa"/>
          </w:tcPr>
          <w:p w14:paraId="1C257458" w14:textId="77777777" w:rsidR="00403AAD" w:rsidRPr="00286216" w:rsidRDefault="00403AAD" w:rsidP="00403AAD">
            <w:pPr>
              <w:pStyle w:val="StyleZakonu"/>
              <w:rPr>
                <w:color w:val="000000" w:themeColor="text1"/>
              </w:rPr>
            </w:pPr>
            <w:r w:rsidRPr="00286216">
              <w:rPr>
                <w:color w:val="000000" w:themeColor="text1"/>
              </w:rPr>
              <w:t>3) інвестиційна фірма повідомила клієнтів (потенційних клієнтів) про те, що при наданні таких послуг вона не зобов’язана оцінювати придатність фінансового інструменту для клієнта (потенційного клієнта) та клієнт (потенційний клієнт) не матиме прав, що надаються частиною сьомою цієї статті. Таке повідомлення має бути викладене в письмовій формі та підписане клієнтом (потенційним клієнтом);</w:t>
            </w:r>
          </w:p>
        </w:tc>
        <w:tc>
          <w:tcPr>
            <w:tcW w:w="3686" w:type="dxa"/>
          </w:tcPr>
          <w:p w14:paraId="63ED1155" w14:textId="77777777" w:rsidR="00403AAD" w:rsidRPr="00286216" w:rsidRDefault="00403AAD" w:rsidP="00403AAD">
            <w:pPr>
              <w:pStyle w:val="StyleProp"/>
              <w:rPr>
                <w:color w:val="000000" w:themeColor="text1"/>
                <w:szCs w:val="18"/>
              </w:rPr>
            </w:pPr>
          </w:p>
        </w:tc>
        <w:tc>
          <w:tcPr>
            <w:tcW w:w="1987" w:type="dxa"/>
          </w:tcPr>
          <w:p w14:paraId="18BEE105" w14:textId="77777777" w:rsidR="00403AAD" w:rsidRPr="00286216" w:rsidRDefault="00403AAD" w:rsidP="00403AAD">
            <w:pPr>
              <w:pStyle w:val="StyleWisnow"/>
              <w:rPr>
                <w:color w:val="000000" w:themeColor="text1"/>
              </w:rPr>
            </w:pPr>
          </w:p>
        </w:tc>
        <w:tc>
          <w:tcPr>
            <w:tcW w:w="4818" w:type="dxa"/>
          </w:tcPr>
          <w:p w14:paraId="6DCB28F2" w14:textId="334304DF" w:rsidR="00403AAD" w:rsidRPr="00286216" w:rsidRDefault="00403AAD" w:rsidP="00403AAD">
            <w:pPr>
              <w:pStyle w:val="StyleZakonu"/>
              <w:rPr>
                <w:color w:val="000000" w:themeColor="text1"/>
              </w:rPr>
            </w:pPr>
            <w:r w:rsidRPr="00286216">
              <w:rPr>
                <w:color w:val="000000" w:themeColor="text1"/>
              </w:rPr>
              <w:t>3) інвестиційна фірма повідомила клієнтів (потенційних клієнтів) про те, що при наданні таких послуг вона не зобов’язана оцінювати придатність фінансового інструменту для клієнта (потенційного клієнта) та клієнт (потенційний клієнт) не матиме прав, що надаються частиною сьомою цієї статті. Таке повідомлення має бути викладене в письмовій формі та підписане клієнтом (потенційним клієнтом);</w:t>
            </w:r>
          </w:p>
        </w:tc>
      </w:tr>
      <w:tr w:rsidR="00403AAD" w:rsidRPr="00286216" w14:paraId="7C021617" w14:textId="77777777" w:rsidTr="00091AA5">
        <w:tc>
          <w:tcPr>
            <w:tcW w:w="576" w:type="dxa"/>
          </w:tcPr>
          <w:p w14:paraId="55054D79" w14:textId="77777777" w:rsidR="00403AAD" w:rsidRPr="00286216" w:rsidRDefault="00403AAD" w:rsidP="00403AAD">
            <w:pPr>
              <w:pStyle w:val="StyleWisnow"/>
              <w:rPr>
                <w:color w:val="000000" w:themeColor="text1"/>
              </w:rPr>
            </w:pPr>
            <w:bookmarkStart w:id="465" w:name="n773" w:colFirst="0" w:colLast="0"/>
            <w:bookmarkEnd w:id="464"/>
            <w:r w:rsidRPr="00286216">
              <w:rPr>
                <w:color w:val="000000" w:themeColor="text1"/>
              </w:rPr>
              <w:t>773.</w:t>
            </w:r>
          </w:p>
        </w:tc>
        <w:tc>
          <w:tcPr>
            <w:tcW w:w="4818" w:type="dxa"/>
          </w:tcPr>
          <w:p w14:paraId="477A1132" w14:textId="77777777" w:rsidR="00403AAD" w:rsidRPr="00286216" w:rsidRDefault="00403AAD" w:rsidP="00403AAD">
            <w:pPr>
              <w:pStyle w:val="StyleZakonu"/>
              <w:rPr>
                <w:color w:val="000000" w:themeColor="text1"/>
              </w:rPr>
            </w:pPr>
            <w:r w:rsidRPr="00286216">
              <w:rPr>
                <w:color w:val="000000" w:themeColor="text1"/>
              </w:rPr>
              <w:t>4) клієнтам не надаються додаткові послуги, передбачені пунктом 1 частини другої статті 42 цього Закону, за виключенням їх надання в рамках погоджених раніше лімітів.</w:t>
            </w:r>
          </w:p>
        </w:tc>
        <w:tc>
          <w:tcPr>
            <w:tcW w:w="3686" w:type="dxa"/>
          </w:tcPr>
          <w:p w14:paraId="30F276C5" w14:textId="77777777" w:rsidR="00403AAD" w:rsidRPr="00286216" w:rsidRDefault="00403AAD" w:rsidP="00403AAD">
            <w:pPr>
              <w:pStyle w:val="StyleProp"/>
              <w:rPr>
                <w:color w:val="000000" w:themeColor="text1"/>
                <w:szCs w:val="18"/>
              </w:rPr>
            </w:pPr>
          </w:p>
        </w:tc>
        <w:tc>
          <w:tcPr>
            <w:tcW w:w="1987" w:type="dxa"/>
          </w:tcPr>
          <w:p w14:paraId="60C3219B" w14:textId="77777777" w:rsidR="00403AAD" w:rsidRPr="00286216" w:rsidRDefault="00403AAD" w:rsidP="00403AAD">
            <w:pPr>
              <w:pStyle w:val="StyleWisnow"/>
              <w:rPr>
                <w:color w:val="000000" w:themeColor="text1"/>
              </w:rPr>
            </w:pPr>
          </w:p>
        </w:tc>
        <w:tc>
          <w:tcPr>
            <w:tcW w:w="4818" w:type="dxa"/>
          </w:tcPr>
          <w:p w14:paraId="38ED206F" w14:textId="0C8CCD0E" w:rsidR="00403AAD" w:rsidRPr="00286216" w:rsidRDefault="00403AAD" w:rsidP="00403AAD">
            <w:pPr>
              <w:pStyle w:val="StyleZakonu"/>
              <w:rPr>
                <w:color w:val="000000" w:themeColor="text1"/>
              </w:rPr>
            </w:pPr>
            <w:r w:rsidRPr="00286216">
              <w:rPr>
                <w:color w:val="000000" w:themeColor="text1"/>
              </w:rPr>
              <w:t>4) клієнтам не надаються додаткові послуги, передбачені пунктом 1 частини другої статті 44 цього Закону,  крім їх надання в рамках погоджених раніше лімітів.</w:t>
            </w:r>
          </w:p>
        </w:tc>
      </w:tr>
      <w:tr w:rsidR="00403AAD" w:rsidRPr="00286216" w14:paraId="31184369" w14:textId="77777777" w:rsidTr="00091AA5">
        <w:tc>
          <w:tcPr>
            <w:tcW w:w="576" w:type="dxa"/>
          </w:tcPr>
          <w:p w14:paraId="77167367" w14:textId="77777777" w:rsidR="00403AAD" w:rsidRPr="00286216" w:rsidRDefault="00403AAD" w:rsidP="00403AAD">
            <w:pPr>
              <w:pStyle w:val="StyleWisnow"/>
              <w:rPr>
                <w:color w:val="000000" w:themeColor="text1"/>
              </w:rPr>
            </w:pPr>
            <w:bookmarkStart w:id="466" w:name="n774" w:colFirst="0" w:colLast="0"/>
            <w:bookmarkEnd w:id="465"/>
            <w:r w:rsidRPr="00286216">
              <w:rPr>
                <w:color w:val="000000" w:themeColor="text1"/>
              </w:rPr>
              <w:t>774.</w:t>
            </w:r>
          </w:p>
        </w:tc>
        <w:tc>
          <w:tcPr>
            <w:tcW w:w="4818" w:type="dxa"/>
          </w:tcPr>
          <w:p w14:paraId="33562AC8" w14:textId="77777777" w:rsidR="00403AAD" w:rsidRPr="00286216" w:rsidRDefault="00403AAD" w:rsidP="00403AAD">
            <w:pPr>
              <w:pStyle w:val="StyleZakonu"/>
              <w:rPr>
                <w:color w:val="000000" w:themeColor="text1"/>
              </w:rPr>
            </w:pPr>
            <w:r w:rsidRPr="00286216">
              <w:rPr>
                <w:color w:val="000000" w:themeColor="text1"/>
              </w:rPr>
              <w:t>6. Перед першим укладенням з клієнтом (потенційним клієнтом), який є кваліфікованим інвестором, або від імені такого клієнта договору щодо фінансового інструменту інвестиційна фірма зобов’язана надати клієнту повідомлення про те, що:</w:t>
            </w:r>
          </w:p>
        </w:tc>
        <w:tc>
          <w:tcPr>
            <w:tcW w:w="3686" w:type="dxa"/>
          </w:tcPr>
          <w:p w14:paraId="0BB417F2" w14:textId="77777777" w:rsidR="00403AAD" w:rsidRPr="00286216" w:rsidRDefault="00403AAD" w:rsidP="00403AAD">
            <w:pPr>
              <w:pStyle w:val="StyleProp"/>
              <w:rPr>
                <w:color w:val="000000" w:themeColor="text1"/>
                <w:szCs w:val="18"/>
              </w:rPr>
            </w:pPr>
          </w:p>
        </w:tc>
        <w:tc>
          <w:tcPr>
            <w:tcW w:w="1987" w:type="dxa"/>
          </w:tcPr>
          <w:p w14:paraId="170757DD" w14:textId="77777777" w:rsidR="00403AAD" w:rsidRPr="00286216" w:rsidRDefault="00403AAD" w:rsidP="00403AAD">
            <w:pPr>
              <w:pStyle w:val="StyleWisnow"/>
              <w:rPr>
                <w:color w:val="000000" w:themeColor="text1"/>
              </w:rPr>
            </w:pPr>
          </w:p>
        </w:tc>
        <w:tc>
          <w:tcPr>
            <w:tcW w:w="4818" w:type="dxa"/>
          </w:tcPr>
          <w:p w14:paraId="0FC26E90" w14:textId="632091F0" w:rsidR="00403AAD" w:rsidRPr="00286216" w:rsidRDefault="00403AAD" w:rsidP="00403AAD">
            <w:pPr>
              <w:pStyle w:val="StyleZakonu"/>
              <w:rPr>
                <w:color w:val="000000" w:themeColor="text1"/>
              </w:rPr>
            </w:pPr>
            <w:r w:rsidRPr="00286216">
              <w:rPr>
                <w:color w:val="000000" w:themeColor="text1"/>
              </w:rPr>
              <w:t>6. Перед першим укладенням з клієнтом (потенційним клієнтом), який є кваліфікованим інвестором, або від імені такого клієнта договору щодо фінансового інструменту інвестиційна фірма зобов’язана надати клієнту повідомлення про те, що:</w:t>
            </w:r>
          </w:p>
        </w:tc>
      </w:tr>
      <w:tr w:rsidR="00403AAD" w:rsidRPr="00286216" w14:paraId="4A6B7CA2" w14:textId="77777777" w:rsidTr="00091AA5">
        <w:tc>
          <w:tcPr>
            <w:tcW w:w="576" w:type="dxa"/>
          </w:tcPr>
          <w:p w14:paraId="0ADED65C" w14:textId="77777777" w:rsidR="00403AAD" w:rsidRPr="00286216" w:rsidRDefault="00403AAD" w:rsidP="00403AAD">
            <w:pPr>
              <w:pStyle w:val="StyleWisnow"/>
              <w:rPr>
                <w:color w:val="000000" w:themeColor="text1"/>
              </w:rPr>
            </w:pPr>
            <w:bookmarkStart w:id="467" w:name="n775" w:colFirst="0" w:colLast="0"/>
            <w:bookmarkEnd w:id="466"/>
            <w:r w:rsidRPr="00286216">
              <w:rPr>
                <w:color w:val="000000" w:themeColor="text1"/>
              </w:rPr>
              <w:t>775.</w:t>
            </w:r>
          </w:p>
        </w:tc>
        <w:tc>
          <w:tcPr>
            <w:tcW w:w="4818" w:type="dxa"/>
          </w:tcPr>
          <w:p w14:paraId="21D23847" w14:textId="77777777" w:rsidR="00403AAD" w:rsidRPr="00286216" w:rsidRDefault="00403AAD" w:rsidP="00403AAD">
            <w:pPr>
              <w:pStyle w:val="StyleZakonu"/>
              <w:rPr>
                <w:color w:val="000000" w:themeColor="text1"/>
              </w:rPr>
            </w:pPr>
            <w:r w:rsidRPr="00286216">
              <w:rPr>
                <w:color w:val="000000" w:themeColor="text1"/>
              </w:rPr>
              <w:t>1) клієнт має статус кваліфікованого інвестора;</w:t>
            </w:r>
          </w:p>
        </w:tc>
        <w:tc>
          <w:tcPr>
            <w:tcW w:w="3686" w:type="dxa"/>
          </w:tcPr>
          <w:p w14:paraId="18C5BFC1" w14:textId="77777777" w:rsidR="00403AAD" w:rsidRPr="00286216" w:rsidRDefault="00403AAD" w:rsidP="00403AAD">
            <w:pPr>
              <w:pStyle w:val="StyleProp"/>
              <w:rPr>
                <w:color w:val="000000" w:themeColor="text1"/>
                <w:szCs w:val="18"/>
              </w:rPr>
            </w:pPr>
          </w:p>
        </w:tc>
        <w:tc>
          <w:tcPr>
            <w:tcW w:w="1987" w:type="dxa"/>
          </w:tcPr>
          <w:p w14:paraId="755A1F49" w14:textId="77777777" w:rsidR="00403AAD" w:rsidRPr="00286216" w:rsidRDefault="00403AAD" w:rsidP="00403AAD">
            <w:pPr>
              <w:pStyle w:val="StyleWisnow"/>
              <w:rPr>
                <w:color w:val="000000" w:themeColor="text1"/>
              </w:rPr>
            </w:pPr>
          </w:p>
        </w:tc>
        <w:tc>
          <w:tcPr>
            <w:tcW w:w="4818" w:type="dxa"/>
          </w:tcPr>
          <w:p w14:paraId="1D6F1AFF" w14:textId="4E064F52" w:rsidR="00403AAD" w:rsidRPr="00286216" w:rsidRDefault="00403AAD" w:rsidP="00403AAD">
            <w:pPr>
              <w:pStyle w:val="StyleZakonu"/>
              <w:rPr>
                <w:color w:val="000000" w:themeColor="text1"/>
              </w:rPr>
            </w:pPr>
            <w:r w:rsidRPr="00286216">
              <w:rPr>
                <w:color w:val="000000" w:themeColor="text1"/>
              </w:rPr>
              <w:t>1) клієнт має статус кваліфікованого інвестора;</w:t>
            </w:r>
          </w:p>
        </w:tc>
      </w:tr>
      <w:tr w:rsidR="00403AAD" w:rsidRPr="00286216" w14:paraId="4B655A1D" w14:textId="77777777" w:rsidTr="00091AA5">
        <w:tc>
          <w:tcPr>
            <w:tcW w:w="576" w:type="dxa"/>
          </w:tcPr>
          <w:p w14:paraId="18991E15" w14:textId="77777777" w:rsidR="00403AAD" w:rsidRPr="00286216" w:rsidRDefault="00403AAD" w:rsidP="00403AAD">
            <w:pPr>
              <w:pStyle w:val="StyleWisnow"/>
              <w:rPr>
                <w:color w:val="000000" w:themeColor="text1"/>
              </w:rPr>
            </w:pPr>
            <w:bookmarkStart w:id="468" w:name="n776" w:colFirst="0" w:colLast="0"/>
            <w:bookmarkEnd w:id="467"/>
            <w:r w:rsidRPr="00286216">
              <w:rPr>
                <w:color w:val="000000" w:themeColor="text1"/>
              </w:rPr>
              <w:t>776.</w:t>
            </w:r>
          </w:p>
        </w:tc>
        <w:tc>
          <w:tcPr>
            <w:tcW w:w="4818" w:type="dxa"/>
          </w:tcPr>
          <w:p w14:paraId="4523CD31" w14:textId="77777777" w:rsidR="00403AAD" w:rsidRPr="00286216" w:rsidRDefault="00403AAD" w:rsidP="00403AAD">
            <w:pPr>
              <w:pStyle w:val="StyleZakonu"/>
              <w:rPr>
                <w:color w:val="000000" w:themeColor="text1"/>
              </w:rPr>
            </w:pPr>
            <w:r w:rsidRPr="00286216">
              <w:rPr>
                <w:color w:val="000000" w:themeColor="text1"/>
              </w:rPr>
              <w:t>2) правовідносини між клієнтом та інвестиційною фірмою здійснюватимуться з урахуванням такого статусу;</w:t>
            </w:r>
          </w:p>
        </w:tc>
        <w:tc>
          <w:tcPr>
            <w:tcW w:w="3686" w:type="dxa"/>
          </w:tcPr>
          <w:p w14:paraId="0983A82C" w14:textId="77777777" w:rsidR="00403AAD" w:rsidRPr="00286216" w:rsidRDefault="00403AAD" w:rsidP="00403AAD">
            <w:pPr>
              <w:pStyle w:val="StyleProp"/>
              <w:rPr>
                <w:color w:val="000000" w:themeColor="text1"/>
                <w:szCs w:val="18"/>
              </w:rPr>
            </w:pPr>
          </w:p>
        </w:tc>
        <w:tc>
          <w:tcPr>
            <w:tcW w:w="1987" w:type="dxa"/>
          </w:tcPr>
          <w:p w14:paraId="1AD74B85" w14:textId="77777777" w:rsidR="00403AAD" w:rsidRPr="00286216" w:rsidRDefault="00403AAD" w:rsidP="00403AAD">
            <w:pPr>
              <w:pStyle w:val="StyleWisnow"/>
              <w:rPr>
                <w:color w:val="000000" w:themeColor="text1"/>
              </w:rPr>
            </w:pPr>
          </w:p>
        </w:tc>
        <w:tc>
          <w:tcPr>
            <w:tcW w:w="4818" w:type="dxa"/>
          </w:tcPr>
          <w:p w14:paraId="5078F53F" w14:textId="0B102C8B" w:rsidR="00403AAD" w:rsidRPr="00286216" w:rsidRDefault="00403AAD" w:rsidP="00403AAD">
            <w:pPr>
              <w:pStyle w:val="StyleZakonu"/>
              <w:rPr>
                <w:color w:val="000000" w:themeColor="text1"/>
              </w:rPr>
            </w:pPr>
            <w:r w:rsidRPr="00286216">
              <w:rPr>
                <w:color w:val="000000" w:themeColor="text1"/>
              </w:rPr>
              <w:t>2) правовідносини між клієнтом та інвестиційною фірмою здійснюватимуться з урахуванням такого статусу;</w:t>
            </w:r>
          </w:p>
        </w:tc>
      </w:tr>
      <w:tr w:rsidR="00403AAD" w:rsidRPr="00286216" w14:paraId="3570AB11" w14:textId="77777777" w:rsidTr="00091AA5">
        <w:tc>
          <w:tcPr>
            <w:tcW w:w="576" w:type="dxa"/>
          </w:tcPr>
          <w:p w14:paraId="0A3ED76A" w14:textId="77777777" w:rsidR="00403AAD" w:rsidRPr="00286216" w:rsidRDefault="00403AAD" w:rsidP="00403AAD">
            <w:pPr>
              <w:pStyle w:val="StyleWisnow"/>
              <w:rPr>
                <w:color w:val="000000" w:themeColor="text1"/>
              </w:rPr>
            </w:pPr>
            <w:bookmarkStart w:id="469" w:name="n777" w:colFirst="0" w:colLast="0"/>
            <w:bookmarkEnd w:id="468"/>
            <w:r w:rsidRPr="00286216">
              <w:rPr>
                <w:color w:val="000000" w:themeColor="text1"/>
              </w:rPr>
              <w:t>777.</w:t>
            </w:r>
          </w:p>
        </w:tc>
        <w:tc>
          <w:tcPr>
            <w:tcW w:w="4818" w:type="dxa"/>
          </w:tcPr>
          <w:p w14:paraId="27DABEEC" w14:textId="77777777" w:rsidR="00403AAD" w:rsidRPr="00286216" w:rsidRDefault="00403AAD" w:rsidP="00403AAD">
            <w:pPr>
              <w:pStyle w:val="StyleZakonu"/>
              <w:rPr>
                <w:color w:val="000000" w:themeColor="text1"/>
              </w:rPr>
            </w:pPr>
            <w:r w:rsidRPr="00286216">
              <w:rPr>
                <w:color w:val="000000" w:themeColor="text1"/>
              </w:rPr>
              <w:t>3) клієнт може подати інвестиційній фірмі заяву (стосовно всіх або певних договорів, що укладаються інвестиційною фірмою з таким клієнтом або від його імені) в письмовій формі про те, що клієнт бажає, щоб до нього застосовувалися положення частин другої - четвертої цієї статті.</w:t>
            </w:r>
          </w:p>
        </w:tc>
        <w:tc>
          <w:tcPr>
            <w:tcW w:w="3686" w:type="dxa"/>
          </w:tcPr>
          <w:p w14:paraId="0DDB2D2B" w14:textId="77777777" w:rsidR="00403AAD" w:rsidRPr="00286216" w:rsidRDefault="00403AAD" w:rsidP="00403AAD">
            <w:pPr>
              <w:pStyle w:val="StyleProp"/>
              <w:rPr>
                <w:color w:val="000000" w:themeColor="text1"/>
                <w:szCs w:val="18"/>
              </w:rPr>
            </w:pPr>
          </w:p>
        </w:tc>
        <w:tc>
          <w:tcPr>
            <w:tcW w:w="1987" w:type="dxa"/>
          </w:tcPr>
          <w:p w14:paraId="2C607E66" w14:textId="77777777" w:rsidR="00403AAD" w:rsidRPr="00286216" w:rsidRDefault="00403AAD" w:rsidP="00403AAD">
            <w:pPr>
              <w:pStyle w:val="StyleWisnow"/>
              <w:rPr>
                <w:color w:val="000000" w:themeColor="text1"/>
              </w:rPr>
            </w:pPr>
          </w:p>
        </w:tc>
        <w:tc>
          <w:tcPr>
            <w:tcW w:w="4818" w:type="dxa"/>
          </w:tcPr>
          <w:p w14:paraId="0CDDD63D" w14:textId="647BFA6C" w:rsidR="00403AAD" w:rsidRPr="00286216" w:rsidRDefault="00403AAD" w:rsidP="00403AAD">
            <w:pPr>
              <w:pStyle w:val="StyleZakonu"/>
              <w:rPr>
                <w:color w:val="000000" w:themeColor="text1"/>
              </w:rPr>
            </w:pPr>
            <w:r w:rsidRPr="00286216">
              <w:rPr>
                <w:color w:val="000000" w:themeColor="text1"/>
              </w:rPr>
              <w:t>3) клієнт може подати інвестиційній фірмі заяву (стосовно всіх або певних договорів, що укладаються інвестиційною фірмою з таким клієнтом або від його імені) в письмовій формі про те, що клієнт бажає, щоб до нього застосовувалися положення частин другої - четвертої цієї статті.</w:t>
            </w:r>
          </w:p>
        </w:tc>
      </w:tr>
      <w:tr w:rsidR="00403AAD" w:rsidRPr="00286216" w14:paraId="373BFB3B" w14:textId="77777777" w:rsidTr="00091AA5">
        <w:tc>
          <w:tcPr>
            <w:tcW w:w="576" w:type="dxa"/>
          </w:tcPr>
          <w:p w14:paraId="3E5F7AE6" w14:textId="77777777" w:rsidR="00403AAD" w:rsidRPr="00286216" w:rsidRDefault="00403AAD" w:rsidP="00403AAD">
            <w:pPr>
              <w:pStyle w:val="StyleWisnow"/>
              <w:rPr>
                <w:color w:val="000000" w:themeColor="text1"/>
              </w:rPr>
            </w:pPr>
            <w:bookmarkStart w:id="470" w:name="n778" w:colFirst="0" w:colLast="0"/>
            <w:bookmarkEnd w:id="469"/>
            <w:r w:rsidRPr="00286216">
              <w:rPr>
                <w:color w:val="000000" w:themeColor="text1"/>
              </w:rPr>
              <w:t>778.</w:t>
            </w:r>
          </w:p>
        </w:tc>
        <w:tc>
          <w:tcPr>
            <w:tcW w:w="4818" w:type="dxa"/>
          </w:tcPr>
          <w:p w14:paraId="6FFAAD95" w14:textId="77777777" w:rsidR="00403AAD" w:rsidRPr="00286216" w:rsidRDefault="00403AAD" w:rsidP="00403AAD">
            <w:pPr>
              <w:pStyle w:val="StyleZakonu"/>
              <w:rPr>
                <w:color w:val="000000" w:themeColor="text1"/>
              </w:rPr>
            </w:pPr>
            <w:r w:rsidRPr="00286216">
              <w:rPr>
                <w:color w:val="000000" w:themeColor="text1"/>
              </w:rPr>
              <w:t xml:space="preserve">Вимоги цієї статті не застосовуються у випадках, коли клієнтом інвестиційної фірми є кваліфікований інвестор, якщо такий інвестор не подав інвестиційній </w:t>
            </w:r>
            <w:r w:rsidRPr="00286216">
              <w:rPr>
                <w:color w:val="000000" w:themeColor="text1"/>
              </w:rPr>
              <w:lastRenderedPageBreak/>
              <w:t>фірмі заяву (стосовно всіх або певних договорів, що укладаються інвестиційною фірмою з таким інвестором або від його імені) у письмовій формі про те, що він бажає, щоб положення частин другої - четвертої цієї статті застосовувалися до нього.</w:t>
            </w:r>
          </w:p>
        </w:tc>
        <w:tc>
          <w:tcPr>
            <w:tcW w:w="3686" w:type="dxa"/>
          </w:tcPr>
          <w:p w14:paraId="7EE219C5" w14:textId="15A52D9B" w:rsidR="00403AAD" w:rsidRPr="00286216" w:rsidRDefault="00403AAD" w:rsidP="00403AAD">
            <w:pPr>
              <w:spacing w:line="220" w:lineRule="exact"/>
              <w:rPr>
                <w:b/>
                <w:i/>
                <w:color w:val="000000" w:themeColor="text1"/>
                <w:spacing w:val="-4"/>
                <w:sz w:val="18"/>
                <w:u w:val="single"/>
              </w:rPr>
            </w:pPr>
            <w:r w:rsidRPr="00286216">
              <w:rPr>
                <w:b/>
                <w:i/>
                <w:color w:val="000000" w:themeColor="text1"/>
                <w:sz w:val="18"/>
                <w:u w:val="single"/>
              </w:rPr>
              <w:lastRenderedPageBreak/>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436</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4303A974" w14:textId="77777777" w:rsidR="00403AAD" w:rsidRPr="00286216" w:rsidRDefault="00403AAD" w:rsidP="00403AAD">
            <w:pPr>
              <w:spacing w:line="200" w:lineRule="exact"/>
              <w:ind w:firstLine="227"/>
              <w:jc w:val="both"/>
              <w:rPr>
                <w:color w:val="000000" w:themeColor="text1"/>
                <w:szCs w:val="18"/>
              </w:rPr>
            </w:pPr>
            <w:r w:rsidRPr="00286216">
              <w:rPr>
                <w:color w:val="000000" w:themeColor="text1"/>
                <w:sz w:val="18"/>
              </w:rPr>
              <w:t xml:space="preserve">У абзаці п’ятому частини шостої статті 44 розділу 1 слова «якщо такий інвестор не» </w:t>
            </w:r>
            <w:r w:rsidRPr="00286216">
              <w:rPr>
                <w:color w:val="000000" w:themeColor="text1"/>
                <w:sz w:val="18"/>
              </w:rPr>
              <w:lastRenderedPageBreak/>
              <w:t>замінити словами «крім випадку, коли такий інвестор».</w:t>
            </w:r>
          </w:p>
        </w:tc>
        <w:tc>
          <w:tcPr>
            <w:tcW w:w="1987" w:type="dxa"/>
          </w:tcPr>
          <w:p w14:paraId="7E88AFF6"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5CD374FD" w14:textId="37373570" w:rsidR="00403AAD" w:rsidRPr="00286216" w:rsidRDefault="00403AAD" w:rsidP="00403AAD">
            <w:pPr>
              <w:pStyle w:val="StyleZakonu"/>
              <w:rPr>
                <w:color w:val="000000" w:themeColor="text1"/>
              </w:rPr>
            </w:pPr>
            <w:r w:rsidRPr="00286216">
              <w:rPr>
                <w:color w:val="000000" w:themeColor="text1"/>
              </w:rPr>
              <w:t xml:space="preserve">Вимоги цієї статті не застосовуються у випадках, коли клієнтом інвестиційної фірми є кваліфікований інвестор, крім випадку, коли такий інвестор подав </w:t>
            </w:r>
            <w:r w:rsidRPr="00286216">
              <w:rPr>
                <w:color w:val="000000" w:themeColor="text1"/>
              </w:rPr>
              <w:lastRenderedPageBreak/>
              <w:t xml:space="preserve">інвестиційній фірмі заяву (стосовно всіх або певних </w:t>
            </w:r>
            <w:r w:rsidRPr="00286216">
              <w:rPr>
                <w:color w:val="000000" w:themeColor="text1"/>
                <w:spacing w:val="-1"/>
              </w:rPr>
              <w:t>договорів, що укладаються інвестиційною фірмою з таким інвестором або від його імені) у письмовій формі про те, що він бажає, щоб положення частин другої - четвертої цієї статті застосовувалися до нього.</w:t>
            </w:r>
          </w:p>
        </w:tc>
      </w:tr>
      <w:tr w:rsidR="00403AAD" w:rsidRPr="00286216" w14:paraId="24CBD228" w14:textId="77777777" w:rsidTr="00091AA5">
        <w:tc>
          <w:tcPr>
            <w:tcW w:w="576" w:type="dxa"/>
          </w:tcPr>
          <w:p w14:paraId="1321E0CD" w14:textId="77777777" w:rsidR="00403AAD" w:rsidRPr="00286216" w:rsidRDefault="00403AAD" w:rsidP="00403AAD">
            <w:pPr>
              <w:pStyle w:val="StyleWisnow"/>
              <w:rPr>
                <w:color w:val="000000" w:themeColor="text1"/>
              </w:rPr>
            </w:pPr>
            <w:bookmarkStart w:id="471" w:name="n779" w:colFirst="0" w:colLast="0"/>
            <w:bookmarkEnd w:id="470"/>
            <w:r w:rsidRPr="00286216">
              <w:rPr>
                <w:color w:val="000000" w:themeColor="text1"/>
              </w:rPr>
              <w:lastRenderedPageBreak/>
              <w:t>779.</w:t>
            </w:r>
          </w:p>
        </w:tc>
        <w:tc>
          <w:tcPr>
            <w:tcW w:w="4818" w:type="dxa"/>
          </w:tcPr>
          <w:p w14:paraId="15B9CE33" w14:textId="77777777" w:rsidR="00403AAD" w:rsidRPr="00286216" w:rsidRDefault="00403AAD" w:rsidP="00403AAD">
            <w:pPr>
              <w:pStyle w:val="StyleZakonu"/>
              <w:rPr>
                <w:color w:val="000000" w:themeColor="text1"/>
              </w:rPr>
            </w:pPr>
            <w:r w:rsidRPr="00286216">
              <w:rPr>
                <w:color w:val="000000" w:themeColor="text1"/>
              </w:rPr>
              <w:t>7. У разі порушення інвестиційною фірмою своїх обов’язків, зазначених у частинах другій - четвертій цієї статті, при укладенні договорів щодо фінансових інструментів з клієнтом, від його імені або за його дорученням інвестиційна фірма зобов’язана на вимогу клієнта:</w:t>
            </w:r>
          </w:p>
        </w:tc>
        <w:tc>
          <w:tcPr>
            <w:tcW w:w="3686" w:type="dxa"/>
          </w:tcPr>
          <w:p w14:paraId="14283713" w14:textId="77777777" w:rsidR="00403AAD" w:rsidRPr="00286216" w:rsidRDefault="00403AAD" w:rsidP="00403AAD">
            <w:pPr>
              <w:pStyle w:val="StyleProp"/>
              <w:rPr>
                <w:color w:val="000000" w:themeColor="text1"/>
                <w:szCs w:val="18"/>
              </w:rPr>
            </w:pPr>
          </w:p>
        </w:tc>
        <w:tc>
          <w:tcPr>
            <w:tcW w:w="1987" w:type="dxa"/>
          </w:tcPr>
          <w:p w14:paraId="65D57E62" w14:textId="77777777" w:rsidR="00403AAD" w:rsidRPr="00286216" w:rsidRDefault="00403AAD" w:rsidP="00403AAD">
            <w:pPr>
              <w:pStyle w:val="StyleWisnow"/>
              <w:rPr>
                <w:color w:val="000000" w:themeColor="text1"/>
              </w:rPr>
            </w:pPr>
          </w:p>
        </w:tc>
        <w:tc>
          <w:tcPr>
            <w:tcW w:w="4818" w:type="dxa"/>
          </w:tcPr>
          <w:p w14:paraId="4A5E756E" w14:textId="7FD57876" w:rsidR="00403AAD" w:rsidRPr="00286216" w:rsidRDefault="00403AAD" w:rsidP="00403AAD">
            <w:pPr>
              <w:pStyle w:val="StyleZakonu"/>
              <w:rPr>
                <w:color w:val="000000" w:themeColor="text1"/>
              </w:rPr>
            </w:pPr>
            <w:r w:rsidRPr="00286216">
              <w:rPr>
                <w:color w:val="000000" w:themeColor="text1"/>
              </w:rPr>
              <w:t>7. У разі порушення інвестиційною фірмою своїх обов’язків, зазначених у частинах другій - четвертій цієї статті, при укладенні договорів щодо фінансових інструментів з клієнтом, від його імені або за його дорученням інвестиційна фірма зобов’язана на вимогу клієнта:</w:t>
            </w:r>
          </w:p>
        </w:tc>
      </w:tr>
      <w:tr w:rsidR="00403AAD" w:rsidRPr="00286216" w14:paraId="07BC08B1" w14:textId="77777777" w:rsidTr="00091AA5">
        <w:tc>
          <w:tcPr>
            <w:tcW w:w="576" w:type="dxa"/>
          </w:tcPr>
          <w:p w14:paraId="3A4A102A" w14:textId="77777777" w:rsidR="00403AAD" w:rsidRPr="00286216" w:rsidRDefault="00403AAD" w:rsidP="00403AAD">
            <w:pPr>
              <w:pStyle w:val="StyleWisnow"/>
              <w:rPr>
                <w:color w:val="000000" w:themeColor="text1"/>
              </w:rPr>
            </w:pPr>
            <w:bookmarkStart w:id="472" w:name="n780" w:colFirst="0" w:colLast="0"/>
            <w:bookmarkEnd w:id="471"/>
            <w:r w:rsidRPr="00286216">
              <w:rPr>
                <w:color w:val="000000" w:themeColor="text1"/>
              </w:rPr>
              <w:t>780.</w:t>
            </w:r>
          </w:p>
        </w:tc>
        <w:tc>
          <w:tcPr>
            <w:tcW w:w="4818" w:type="dxa"/>
          </w:tcPr>
          <w:p w14:paraId="465AE79C" w14:textId="77777777" w:rsidR="00403AAD" w:rsidRPr="00286216" w:rsidRDefault="00403AAD" w:rsidP="00403AAD">
            <w:pPr>
              <w:pStyle w:val="StyleZakonu"/>
              <w:rPr>
                <w:color w:val="000000" w:themeColor="text1"/>
              </w:rPr>
            </w:pPr>
            <w:r w:rsidRPr="00286216">
              <w:rPr>
                <w:color w:val="000000" w:themeColor="text1"/>
              </w:rPr>
              <w:t>1) якщо фінансовим інструментом є цінні папери - придбати за власний рахунок у клієнта такі цінні папери за ціною, за якою вони придбані клієнтом, та відшкодувати всі витрати (крім упущеної вигоди), понесені клієнтом у зв’язку з укладенням договору щодо таких цінних паперів;</w:t>
            </w:r>
          </w:p>
        </w:tc>
        <w:tc>
          <w:tcPr>
            <w:tcW w:w="3686" w:type="dxa"/>
          </w:tcPr>
          <w:p w14:paraId="28742909" w14:textId="77777777" w:rsidR="00403AAD" w:rsidRPr="00286216" w:rsidRDefault="00403AAD" w:rsidP="00403AAD">
            <w:pPr>
              <w:pStyle w:val="StyleProp"/>
              <w:rPr>
                <w:color w:val="000000" w:themeColor="text1"/>
                <w:szCs w:val="18"/>
              </w:rPr>
            </w:pPr>
          </w:p>
        </w:tc>
        <w:tc>
          <w:tcPr>
            <w:tcW w:w="1987" w:type="dxa"/>
          </w:tcPr>
          <w:p w14:paraId="0B56FE30" w14:textId="77777777" w:rsidR="00403AAD" w:rsidRPr="00286216" w:rsidRDefault="00403AAD" w:rsidP="00403AAD">
            <w:pPr>
              <w:pStyle w:val="StyleWisnow"/>
              <w:rPr>
                <w:color w:val="000000" w:themeColor="text1"/>
              </w:rPr>
            </w:pPr>
          </w:p>
        </w:tc>
        <w:tc>
          <w:tcPr>
            <w:tcW w:w="4818" w:type="dxa"/>
          </w:tcPr>
          <w:p w14:paraId="23622898" w14:textId="00461330" w:rsidR="00403AAD" w:rsidRPr="00286216" w:rsidRDefault="00403AAD" w:rsidP="00403AAD">
            <w:pPr>
              <w:pStyle w:val="StyleZakonu"/>
              <w:rPr>
                <w:color w:val="000000" w:themeColor="text1"/>
              </w:rPr>
            </w:pPr>
            <w:r w:rsidRPr="00286216">
              <w:rPr>
                <w:color w:val="000000" w:themeColor="text1"/>
              </w:rPr>
              <w:t>1) якщо фінансовим інструментом є цінні папери - придбати за власний рахунок у клієнта такі цінні папери за ціною, за якою вони придбані клієнтом, та відшкодувати всі витрати (крім упущеної вигоди), понесені клієнтом у зв’язку з укладенням договору щодо таких цінних паперів;</w:t>
            </w:r>
          </w:p>
        </w:tc>
      </w:tr>
      <w:tr w:rsidR="00403AAD" w:rsidRPr="00286216" w14:paraId="6458D7DB" w14:textId="77777777" w:rsidTr="00091AA5">
        <w:tc>
          <w:tcPr>
            <w:tcW w:w="576" w:type="dxa"/>
          </w:tcPr>
          <w:p w14:paraId="53A62DFD" w14:textId="77777777" w:rsidR="00403AAD" w:rsidRPr="00286216" w:rsidRDefault="00403AAD" w:rsidP="00403AAD">
            <w:pPr>
              <w:pStyle w:val="StyleWisnow"/>
              <w:rPr>
                <w:color w:val="000000" w:themeColor="text1"/>
              </w:rPr>
            </w:pPr>
            <w:bookmarkStart w:id="473" w:name="n781" w:colFirst="0" w:colLast="0"/>
            <w:bookmarkEnd w:id="472"/>
            <w:r w:rsidRPr="00286216">
              <w:rPr>
                <w:color w:val="000000" w:themeColor="text1"/>
              </w:rPr>
              <w:t>781.</w:t>
            </w:r>
          </w:p>
        </w:tc>
        <w:tc>
          <w:tcPr>
            <w:tcW w:w="4818" w:type="dxa"/>
          </w:tcPr>
          <w:p w14:paraId="293F2BE3" w14:textId="77777777" w:rsidR="00403AAD" w:rsidRPr="00286216" w:rsidRDefault="00403AAD" w:rsidP="00403AAD">
            <w:pPr>
              <w:pStyle w:val="StyleZakonu"/>
              <w:rPr>
                <w:color w:val="000000" w:themeColor="text1"/>
              </w:rPr>
            </w:pPr>
            <w:r w:rsidRPr="00286216">
              <w:rPr>
                <w:color w:val="000000" w:themeColor="text1"/>
              </w:rPr>
              <w:t>2) якщо фінансовим інструментом є деривативний контракт - відшкодувати клієнту всі витрати, понесені клієнтом у зв’язку з укладенням та виконанням деривативного контракту або правочинів щодо нього.</w:t>
            </w:r>
          </w:p>
        </w:tc>
        <w:tc>
          <w:tcPr>
            <w:tcW w:w="3686" w:type="dxa"/>
          </w:tcPr>
          <w:p w14:paraId="7783694C" w14:textId="77777777" w:rsidR="00403AAD" w:rsidRPr="00286216" w:rsidRDefault="00403AAD" w:rsidP="00403AAD">
            <w:pPr>
              <w:pStyle w:val="StyleProp"/>
              <w:rPr>
                <w:color w:val="000000" w:themeColor="text1"/>
                <w:szCs w:val="18"/>
              </w:rPr>
            </w:pPr>
          </w:p>
        </w:tc>
        <w:tc>
          <w:tcPr>
            <w:tcW w:w="1987" w:type="dxa"/>
          </w:tcPr>
          <w:p w14:paraId="076B6D8B" w14:textId="77777777" w:rsidR="00403AAD" w:rsidRPr="00286216" w:rsidRDefault="00403AAD" w:rsidP="00403AAD">
            <w:pPr>
              <w:pStyle w:val="StyleWisnow"/>
              <w:rPr>
                <w:color w:val="000000" w:themeColor="text1"/>
              </w:rPr>
            </w:pPr>
          </w:p>
        </w:tc>
        <w:tc>
          <w:tcPr>
            <w:tcW w:w="4818" w:type="dxa"/>
          </w:tcPr>
          <w:p w14:paraId="3F561462" w14:textId="05EBBA92" w:rsidR="00403AAD" w:rsidRPr="00286216" w:rsidRDefault="00403AAD" w:rsidP="00403AAD">
            <w:pPr>
              <w:pStyle w:val="StyleZakonu"/>
              <w:rPr>
                <w:color w:val="000000" w:themeColor="text1"/>
              </w:rPr>
            </w:pPr>
            <w:r w:rsidRPr="00286216">
              <w:rPr>
                <w:color w:val="000000" w:themeColor="text1"/>
              </w:rPr>
              <w:t>2) якщо фінансовим інструментом є деривативний контракт - відшкодувати клієнту всі витрати, понесені клієнтом у зв’язку з укладенням та виконанням деривативного контракту або правочинів щодо нього.</w:t>
            </w:r>
          </w:p>
        </w:tc>
      </w:tr>
      <w:tr w:rsidR="00403AAD" w:rsidRPr="00286216" w14:paraId="0FA1CAFD" w14:textId="77777777" w:rsidTr="00091AA5">
        <w:tc>
          <w:tcPr>
            <w:tcW w:w="576" w:type="dxa"/>
          </w:tcPr>
          <w:p w14:paraId="3F5DC7BF" w14:textId="77777777" w:rsidR="00403AAD" w:rsidRPr="00286216" w:rsidRDefault="00403AAD" w:rsidP="00403AAD">
            <w:pPr>
              <w:pStyle w:val="StyleWisnow"/>
              <w:rPr>
                <w:color w:val="000000" w:themeColor="text1"/>
              </w:rPr>
            </w:pPr>
            <w:bookmarkStart w:id="474" w:name="n782" w:colFirst="0" w:colLast="0"/>
            <w:bookmarkEnd w:id="473"/>
            <w:r w:rsidRPr="00286216">
              <w:rPr>
                <w:color w:val="000000" w:themeColor="text1"/>
              </w:rPr>
              <w:t>782.</w:t>
            </w:r>
          </w:p>
        </w:tc>
        <w:tc>
          <w:tcPr>
            <w:tcW w:w="4818" w:type="dxa"/>
          </w:tcPr>
          <w:p w14:paraId="0BC4C667" w14:textId="77777777" w:rsidR="00403AAD" w:rsidRPr="00286216" w:rsidRDefault="00403AAD" w:rsidP="00403AAD">
            <w:pPr>
              <w:pStyle w:val="StyleZakonu"/>
              <w:rPr>
                <w:color w:val="000000" w:themeColor="text1"/>
              </w:rPr>
            </w:pPr>
            <w:r w:rsidRPr="00286216">
              <w:rPr>
                <w:color w:val="000000" w:themeColor="text1"/>
              </w:rPr>
              <w:t>У разі виникнення спору щодо дотримання інвестиційною фірмою обов’язків, зазначених у частинах 2 - 4 цієї статті, обов’язок доведення дотримання цих обов’язків покладається на інвестиційну фірму.</w:t>
            </w:r>
          </w:p>
        </w:tc>
        <w:tc>
          <w:tcPr>
            <w:tcW w:w="3686" w:type="dxa"/>
          </w:tcPr>
          <w:p w14:paraId="16FC12FF" w14:textId="5410E36E" w:rsidR="00403AAD" w:rsidRPr="00286216" w:rsidRDefault="00403AAD" w:rsidP="00403AAD">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437</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5F716F3E" w14:textId="77777777" w:rsidR="00403AAD" w:rsidRPr="00286216" w:rsidRDefault="00403AAD" w:rsidP="00403AAD">
            <w:pPr>
              <w:spacing w:line="200" w:lineRule="exact"/>
              <w:ind w:firstLine="227"/>
              <w:jc w:val="both"/>
              <w:rPr>
                <w:color w:val="000000" w:themeColor="text1"/>
                <w:szCs w:val="18"/>
              </w:rPr>
            </w:pPr>
            <w:r w:rsidRPr="00286216">
              <w:rPr>
                <w:color w:val="000000" w:themeColor="text1"/>
                <w:sz w:val="18"/>
              </w:rPr>
              <w:t>Частину 7 статті 44 доповнити реченням такого змісту: «Вимоги цієї частини не застосовуються щодо договорів, що були укладені інвестиційною фірмою до подання інвестиційною фірмою заяви, передбаченої частиною шостою цієї статті».</w:t>
            </w:r>
          </w:p>
        </w:tc>
        <w:tc>
          <w:tcPr>
            <w:tcW w:w="1987" w:type="dxa"/>
          </w:tcPr>
          <w:p w14:paraId="1DC5769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B643DC0" w14:textId="0FAD297F" w:rsidR="00403AAD" w:rsidRPr="00286216" w:rsidRDefault="00403AAD" w:rsidP="00403AAD">
            <w:pPr>
              <w:pStyle w:val="StyleZakonu"/>
              <w:rPr>
                <w:color w:val="000000" w:themeColor="text1"/>
              </w:rPr>
            </w:pPr>
            <w:r w:rsidRPr="00286216">
              <w:rPr>
                <w:color w:val="000000" w:themeColor="text1"/>
              </w:rPr>
              <w:t>У разі виникнення спору щодо дотримання інвестиційною фірмою обов’язків, зазначених у частинах другій – четвертій  цієї статті, обов’язок доведення дотримання цих обов’язків покладається на інвестиційну фірму. Вимоги цієї частини не застосовуються щодо договорів, укладених інвестиційною фірмою до подання інвестиційною фірмою заяви, передбаченої частиною шостою цієї статті.</w:t>
            </w:r>
          </w:p>
        </w:tc>
      </w:tr>
      <w:tr w:rsidR="00403AAD" w:rsidRPr="00286216" w14:paraId="12A553F0" w14:textId="77777777" w:rsidTr="00091AA5">
        <w:tc>
          <w:tcPr>
            <w:tcW w:w="576" w:type="dxa"/>
          </w:tcPr>
          <w:p w14:paraId="4CF51663" w14:textId="77777777" w:rsidR="00403AAD" w:rsidRPr="00286216" w:rsidRDefault="00403AAD" w:rsidP="00403AAD">
            <w:pPr>
              <w:pStyle w:val="StyleWisnow"/>
              <w:rPr>
                <w:color w:val="000000" w:themeColor="text1"/>
              </w:rPr>
            </w:pPr>
            <w:bookmarkStart w:id="475" w:name="n783" w:colFirst="0" w:colLast="0"/>
            <w:bookmarkEnd w:id="474"/>
            <w:r w:rsidRPr="00286216">
              <w:rPr>
                <w:color w:val="000000" w:themeColor="text1"/>
              </w:rPr>
              <w:t>783.</w:t>
            </w:r>
          </w:p>
        </w:tc>
        <w:tc>
          <w:tcPr>
            <w:tcW w:w="4818" w:type="dxa"/>
          </w:tcPr>
          <w:p w14:paraId="7168C2EE" w14:textId="77777777" w:rsidR="00403AAD" w:rsidRPr="00286216" w:rsidRDefault="00403AAD" w:rsidP="00403AAD">
            <w:pPr>
              <w:pStyle w:val="StyleZakonu"/>
              <w:rPr>
                <w:color w:val="000000" w:themeColor="text1"/>
              </w:rPr>
            </w:pPr>
            <w:r w:rsidRPr="00286216">
              <w:rPr>
                <w:color w:val="000000" w:themeColor="text1"/>
              </w:rPr>
              <w:t>8. Клієнт може звернутися з позовом до суду, в тому числі третейського, з вимогами, зазначеними у частині сьомій цієї статті, протягом одного року з пізнішої з таких дат: дати вчинення відповідного договору щодо фінансового інструменту або дати отримання звіту від інвестиційної фірми щодо укладення відповідного договору щодо фінансового інструменту.</w:t>
            </w:r>
          </w:p>
        </w:tc>
        <w:tc>
          <w:tcPr>
            <w:tcW w:w="3686" w:type="dxa"/>
          </w:tcPr>
          <w:p w14:paraId="5B0B2509" w14:textId="056CFAC5" w:rsidR="00403AAD" w:rsidRPr="00286216" w:rsidRDefault="00403AAD" w:rsidP="00403AAD">
            <w:pPr>
              <w:pStyle w:val="StyleProp"/>
              <w:rPr>
                <w:color w:val="000000" w:themeColor="text1"/>
                <w:szCs w:val="18"/>
              </w:rPr>
            </w:pPr>
          </w:p>
        </w:tc>
        <w:tc>
          <w:tcPr>
            <w:tcW w:w="1987" w:type="dxa"/>
          </w:tcPr>
          <w:p w14:paraId="5598BEC8" w14:textId="77777777" w:rsidR="00403AAD" w:rsidRPr="00286216" w:rsidRDefault="00403AAD" w:rsidP="00403AAD">
            <w:pPr>
              <w:pStyle w:val="StyleWisnow"/>
              <w:rPr>
                <w:color w:val="000000" w:themeColor="text1"/>
              </w:rPr>
            </w:pPr>
          </w:p>
        </w:tc>
        <w:tc>
          <w:tcPr>
            <w:tcW w:w="4818" w:type="dxa"/>
          </w:tcPr>
          <w:p w14:paraId="5FDBE9CD" w14:textId="686B1B6C" w:rsidR="00403AAD" w:rsidRPr="00286216" w:rsidRDefault="00403AAD" w:rsidP="00403AAD">
            <w:pPr>
              <w:pStyle w:val="StyleZakonu"/>
              <w:rPr>
                <w:color w:val="000000" w:themeColor="text1"/>
              </w:rPr>
            </w:pPr>
            <w:r w:rsidRPr="00286216">
              <w:rPr>
                <w:color w:val="000000" w:themeColor="text1"/>
              </w:rPr>
              <w:t>8. Клієнт може звернутися з позовом до суду, в тому числі третейського, з вимогами, зазначеними у частині сьомій цієї статті, протягом одного року з пізнішої з таких дат: дати вчинення відповідного договору щодо фінансового інструменту або дати отримання звіту від інвестиційної фірми щодо укладення відповідного договору щодо фінансового інструменту.</w:t>
            </w:r>
          </w:p>
        </w:tc>
      </w:tr>
      <w:tr w:rsidR="00403AAD" w:rsidRPr="00286216" w14:paraId="63B97A43" w14:textId="77777777" w:rsidTr="00091AA5">
        <w:tc>
          <w:tcPr>
            <w:tcW w:w="576" w:type="dxa"/>
          </w:tcPr>
          <w:p w14:paraId="6B91D854" w14:textId="77777777" w:rsidR="00403AAD" w:rsidRPr="00286216" w:rsidRDefault="00403AAD" w:rsidP="00403AAD">
            <w:pPr>
              <w:pStyle w:val="StyleWisnow"/>
              <w:rPr>
                <w:color w:val="000000" w:themeColor="text1"/>
              </w:rPr>
            </w:pPr>
            <w:bookmarkStart w:id="476" w:name="n784" w:colFirst="0" w:colLast="0"/>
            <w:bookmarkEnd w:id="475"/>
            <w:r w:rsidRPr="00286216">
              <w:rPr>
                <w:color w:val="000000" w:themeColor="text1"/>
              </w:rPr>
              <w:t>784.</w:t>
            </w:r>
          </w:p>
        </w:tc>
        <w:tc>
          <w:tcPr>
            <w:tcW w:w="4818" w:type="dxa"/>
          </w:tcPr>
          <w:p w14:paraId="55250CEB" w14:textId="77777777" w:rsidR="00403AAD" w:rsidRPr="00286216" w:rsidRDefault="00403AAD" w:rsidP="00403AAD">
            <w:pPr>
              <w:pStyle w:val="StyleZakonu"/>
              <w:rPr>
                <w:color w:val="000000" w:themeColor="text1"/>
              </w:rPr>
            </w:pPr>
            <w:bookmarkStart w:id="477" w:name="_Ref20932851"/>
            <w:r w:rsidRPr="00286216">
              <w:rPr>
                <w:color w:val="000000" w:themeColor="text1"/>
              </w:rPr>
              <w:t>Стаття 45. Розкриття інформації інвестиційною фірмою</w:t>
            </w:r>
            <w:bookmarkEnd w:id="477"/>
          </w:p>
        </w:tc>
        <w:tc>
          <w:tcPr>
            <w:tcW w:w="3686" w:type="dxa"/>
          </w:tcPr>
          <w:p w14:paraId="096D7DB3" w14:textId="77777777" w:rsidR="00403AAD" w:rsidRPr="00286216" w:rsidRDefault="00403AAD" w:rsidP="00403AAD">
            <w:pPr>
              <w:pStyle w:val="StyleProp"/>
              <w:rPr>
                <w:color w:val="000000" w:themeColor="text1"/>
                <w:szCs w:val="18"/>
              </w:rPr>
            </w:pPr>
          </w:p>
        </w:tc>
        <w:tc>
          <w:tcPr>
            <w:tcW w:w="1987" w:type="dxa"/>
          </w:tcPr>
          <w:p w14:paraId="487BE5D6" w14:textId="77777777" w:rsidR="00403AAD" w:rsidRPr="00286216" w:rsidRDefault="00403AAD" w:rsidP="00403AAD">
            <w:pPr>
              <w:pStyle w:val="StyleWisnow"/>
              <w:rPr>
                <w:color w:val="000000" w:themeColor="text1"/>
              </w:rPr>
            </w:pPr>
          </w:p>
        </w:tc>
        <w:tc>
          <w:tcPr>
            <w:tcW w:w="4818" w:type="dxa"/>
          </w:tcPr>
          <w:p w14:paraId="542D2A38" w14:textId="79607DDF" w:rsidR="00403AAD" w:rsidRPr="00286216" w:rsidRDefault="00403AAD" w:rsidP="00403AAD">
            <w:pPr>
              <w:pStyle w:val="StyleZakonu"/>
              <w:rPr>
                <w:color w:val="000000" w:themeColor="text1"/>
              </w:rPr>
            </w:pPr>
            <w:r w:rsidRPr="00286216">
              <w:rPr>
                <w:color w:val="000000" w:themeColor="text1"/>
              </w:rPr>
              <w:t>Стаття 47. Розкриття інформації інвестиційною фірмою</w:t>
            </w:r>
          </w:p>
        </w:tc>
      </w:tr>
      <w:tr w:rsidR="00403AAD" w:rsidRPr="00286216" w14:paraId="3B5FD556" w14:textId="77777777" w:rsidTr="00091AA5">
        <w:tc>
          <w:tcPr>
            <w:tcW w:w="576" w:type="dxa"/>
          </w:tcPr>
          <w:p w14:paraId="5D9446F6" w14:textId="77777777" w:rsidR="00403AAD" w:rsidRPr="00286216" w:rsidRDefault="00403AAD" w:rsidP="00403AAD">
            <w:pPr>
              <w:pStyle w:val="StyleWisnow"/>
              <w:rPr>
                <w:color w:val="000000" w:themeColor="text1"/>
              </w:rPr>
            </w:pPr>
            <w:bookmarkStart w:id="478" w:name="n785" w:colFirst="0" w:colLast="0"/>
            <w:bookmarkEnd w:id="476"/>
            <w:r w:rsidRPr="00286216">
              <w:rPr>
                <w:color w:val="000000" w:themeColor="text1"/>
              </w:rPr>
              <w:t>785.</w:t>
            </w:r>
          </w:p>
        </w:tc>
        <w:tc>
          <w:tcPr>
            <w:tcW w:w="4818" w:type="dxa"/>
          </w:tcPr>
          <w:p w14:paraId="1C73376B" w14:textId="77777777" w:rsidR="00403AAD" w:rsidRPr="00286216" w:rsidRDefault="00403AAD" w:rsidP="00403AAD">
            <w:pPr>
              <w:pStyle w:val="StyleZakonu"/>
              <w:rPr>
                <w:color w:val="000000" w:themeColor="text1"/>
              </w:rPr>
            </w:pPr>
            <w:r w:rsidRPr="00286216">
              <w:rPr>
                <w:color w:val="000000" w:themeColor="text1"/>
              </w:rPr>
              <w:t xml:space="preserve">1. Інвестиційна фірма зобов’язана подавати звітні дані до Національної комісії з цінних паперів та фондового ринку та розмістити їх у Загальнодоступній інформаційній базі даних </w:t>
            </w:r>
            <w:r w:rsidRPr="00286216">
              <w:rPr>
                <w:color w:val="000000" w:themeColor="text1"/>
              </w:rPr>
              <w:lastRenderedPageBreak/>
              <w:t>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такої інформації про всі вчинені поза організованими ринками капіталу правочини щодо емісійних цінних паперів:</w:t>
            </w:r>
          </w:p>
        </w:tc>
        <w:tc>
          <w:tcPr>
            <w:tcW w:w="3686" w:type="dxa"/>
          </w:tcPr>
          <w:p w14:paraId="3E83082C" w14:textId="2880C129" w:rsidR="00403AAD" w:rsidRPr="00286216" w:rsidRDefault="00403AAD" w:rsidP="00403AAD">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438</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43DD4C7C" w14:textId="77777777" w:rsidR="00403AAD" w:rsidRPr="00286216" w:rsidRDefault="00403AAD" w:rsidP="00403AAD">
            <w:pPr>
              <w:pStyle w:val="StyleProp"/>
              <w:rPr>
                <w:color w:val="000000" w:themeColor="text1"/>
                <w:szCs w:val="18"/>
              </w:rPr>
            </w:pPr>
            <w:r w:rsidRPr="00286216">
              <w:rPr>
                <w:color w:val="000000" w:themeColor="text1"/>
                <w:szCs w:val="18"/>
              </w:rPr>
              <w:t xml:space="preserve">Абзац перший частини першої статті 45 </w:t>
            </w:r>
            <w:r w:rsidRPr="00286216">
              <w:rPr>
                <w:color w:val="000000" w:themeColor="text1"/>
                <w:szCs w:val="18"/>
              </w:rPr>
              <w:lastRenderedPageBreak/>
              <w:t>викласти в такій редакції:</w:t>
            </w:r>
          </w:p>
          <w:p w14:paraId="271667EC" w14:textId="3F9BB7ED" w:rsidR="00403AAD" w:rsidRPr="00286216" w:rsidRDefault="00403AAD" w:rsidP="00403AAD">
            <w:pPr>
              <w:pStyle w:val="StyleProp"/>
              <w:spacing w:line="180" w:lineRule="exact"/>
              <w:rPr>
                <w:color w:val="000000" w:themeColor="text1"/>
                <w:szCs w:val="18"/>
              </w:rPr>
            </w:pPr>
            <w:r w:rsidRPr="00286216">
              <w:rPr>
                <w:color w:val="000000" w:themeColor="text1"/>
                <w:szCs w:val="18"/>
              </w:rPr>
              <w:t>"1. Інвестиційна фірма зобов’язана подавати звітні дані до Національної комісії з цінних паперів та фондового ринку та розміщувати їх у 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 До звітних даних включається інформація про всі вчинені поза організованими ринками капіталу правочини щодо емісійних цінних паперів у такому обсязі</w:t>
            </w:r>
            <w:r w:rsidRPr="00286216">
              <w:rPr>
                <w:color w:val="000000" w:themeColor="text1"/>
              </w:rPr>
              <w:t>".</w:t>
            </w:r>
          </w:p>
        </w:tc>
        <w:tc>
          <w:tcPr>
            <w:tcW w:w="1987" w:type="dxa"/>
          </w:tcPr>
          <w:p w14:paraId="2F2A0256"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Враховано</w:t>
            </w:r>
          </w:p>
          <w:p w14:paraId="219D7EE9" w14:textId="2BE69BFD" w:rsidR="00403AAD" w:rsidRPr="00286216" w:rsidRDefault="00403AAD" w:rsidP="00403AAD">
            <w:pPr>
              <w:pStyle w:val="StyleWisnow"/>
              <w:spacing w:line="180" w:lineRule="exact"/>
              <w:rPr>
                <w:color w:val="000000" w:themeColor="text1"/>
              </w:rPr>
            </w:pPr>
            <w:r w:rsidRPr="00286216">
              <w:rPr>
                <w:color w:val="000000" w:themeColor="text1"/>
              </w:rPr>
              <w:t xml:space="preserve">згідно з погодженою на засіданні Комітету позицією щодо </w:t>
            </w:r>
            <w:r w:rsidRPr="00286216">
              <w:rPr>
                <w:color w:val="000000" w:themeColor="text1"/>
              </w:rPr>
              <w:lastRenderedPageBreak/>
              <w:t>діяльності інформаційних агентів та системи розкриття інформації з ринків</w:t>
            </w:r>
          </w:p>
        </w:tc>
        <w:tc>
          <w:tcPr>
            <w:tcW w:w="4818" w:type="dxa"/>
          </w:tcPr>
          <w:p w14:paraId="321A70A2" w14:textId="2724BEAA" w:rsidR="00403AAD" w:rsidRPr="00286216" w:rsidRDefault="00403AAD" w:rsidP="00403AAD">
            <w:pPr>
              <w:pStyle w:val="StyleZakonu"/>
              <w:rPr>
                <w:color w:val="000000" w:themeColor="text1"/>
              </w:rPr>
            </w:pPr>
            <w:r w:rsidRPr="00286216">
              <w:rPr>
                <w:color w:val="000000" w:themeColor="text1"/>
                <w:szCs w:val="18"/>
              </w:rPr>
              <w:lastRenderedPageBreak/>
              <w:t xml:space="preserve">1. Інвестиційна фірма зобов’язана подавати звітні дані до Національної комісії з цінних паперів та фондового ринку та розміщувати їх у базі даних особи, яка провадить діяльність з оприлюднення </w:t>
            </w:r>
            <w:r w:rsidRPr="00286216">
              <w:rPr>
                <w:color w:val="000000" w:themeColor="text1"/>
                <w:szCs w:val="18"/>
              </w:rPr>
              <w:lastRenderedPageBreak/>
              <w:t>регульованої інформації від імені учасників ринків капіталу та професійних учасників організованих товарних ринків. До звітних даних включається інформація про всі вчинені поза організованими ринками капіталу правочини щодо емісійних цінних паперів у такому обсязі</w:t>
            </w:r>
            <w:r w:rsidRPr="00286216">
              <w:rPr>
                <w:color w:val="000000" w:themeColor="text1"/>
              </w:rPr>
              <w:t>:</w:t>
            </w:r>
          </w:p>
        </w:tc>
      </w:tr>
      <w:bookmarkEnd w:id="478"/>
      <w:tr w:rsidR="00403AAD" w:rsidRPr="00286216" w14:paraId="24E0633C" w14:textId="77777777" w:rsidTr="00091AA5">
        <w:tc>
          <w:tcPr>
            <w:tcW w:w="576" w:type="dxa"/>
          </w:tcPr>
          <w:p w14:paraId="612BA7B0" w14:textId="77777777" w:rsidR="00403AAD" w:rsidRPr="00286216" w:rsidRDefault="00403AAD" w:rsidP="00403AAD">
            <w:pPr>
              <w:pStyle w:val="StyleWisnow"/>
              <w:rPr>
                <w:color w:val="000000" w:themeColor="text1"/>
              </w:rPr>
            </w:pPr>
          </w:p>
        </w:tc>
        <w:tc>
          <w:tcPr>
            <w:tcW w:w="4818" w:type="dxa"/>
          </w:tcPr>
          <w:p w14:paraId="62CCE706" w14:textId="77777777" w:rsidR="00403AAD" w:rsidRPr="00286216" w:rsidRDefault="00403AAD" w:rsidP="00403AAD">
            <w:pPr>
              <w:pStyle w:val="StyleZakonu"/>
              <w:rPr>
                <w:color w:val="000000" w:themeColor="text1"/>
              </w:rPr>
            </w:pPr>
          </w:p>
        </w:tc>
        <w:tc>
          <w:tcPr>
            <w:tcW w:w="3686" w:type="dxa"/>
          </w:tcPr>
          <w:p w14:paraId="28BF2197" w14:textId="10131839" w:rsidR="00403AAD" w:rsidRPr="00286216" w:rsidRDefault="00403AAD" w:rsidP="00403AAD">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439</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69C7B415" w14:textId="477870CD" w:rsidR="00403AAD" w:rsidRPr="00286216" w:rsidRDefault="00403AAD" w:rsidP="00403AAD">
            <w:pPr>
              <w:pStyle w:val="StyleProp"/>
              <w:spacing w:line="180" w:lineRule="exact"/>
              <w:rPr>
                <w:color w:val="000000" w:themeColor="text1"/>
              </w:rPr>
            </w:pPr>
            <w:r w:rsidRPr="00286216">
              <w:rPr>
                <w:color w:val="000000" w:themeColor="text1"/>
                <w:szCs w:val="18"/>
              </w:rPr>
              <w:t xml:space="preserve">У частині першій статті 45 </w:t>
            </w:r>
            <w:r w:rsidRPr="00286216">
              <w:rPr>
                <w:color w:val="000000" w:themeColor="text1"/>
              </w:rPr>
              <w:t>слова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“у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2D5480D7" w14:textId="728C453B" w:rsidR="00403AAD" w:rsidRPr="00286216" w:rsidRDefault="00403AAD" w:rsidP="00403AAD">
            <w:pPr>
              <w:pStyle w:val="StyleWisnow"/>
              <w:rPr>
                <w:color w:val="000000" w:themeColor="text1"/>
              </w:rPr>
            </w:pPr>
            <w:r w:rsidRPr="00286216">
              <w:rPr>
                <w:color w:val="000000" w:themeColor="text1"/>
              </w:rPr>
              <w:t>Враховано</w:t>
            </w:r>
            <w:r w:rsidRPr="00286216">
              <w:rPr>
                <w:color w:val="000000" w:themeColor="text1"/>
                <w:lang w:val="ru-RU"/>
              </w:rPr>
              <w:t xml:space="preserve"> </w:t>
            </w:r>
            <w:r w:rsidRPr="00286216">
              <w:rPr>
                <w:color w:val="000000" w:themeColor="text1"/>
              </w:rPr>
              <w:t>редакційно</w:t>
            </w:r>
          </w:p>
        </w:tc>
        <w:tc>
          <w:tcPr>
            <w:tcW w:w="4818" w:type="dxa"/>
          </w:tcPr>
          <w:p w14:paraId="1DDF9192" w14:textId="77777777" w:rsidR="00403AAD" w:rsidRPr="00286216" w:rsidRDefault="00403AAD" w:rsidP="00403AAD">
            <w:pPr>
              <w:pStyle w:val="StyleZakonu"/>
              <w:rPr>
                <w:color w:val="000000" w:themeColor="text1"/>
              </w:rPr>
            </w:pPr>
          </w:p>
        </w:tc>
      </w:tr>
      <w:tr w:rsidR="00403AAD" w:rsidRPr="00286216" w14:paraId="60F5B7B8" w14:textId="77777777" w:rsidTr="00091AA5">
        <w:tc>
          <w:tcPr>
            <w:tcW w:w="576" w:type="dxa"/>
          </w:tcPr>
          <w:p w14:paraId="66881FF4" w14:textId="77777777" w:rsidR="00403AAD" w:rsidRPr="00286216" w:rsidRDefault="00403AAD" w:rsidP="00403AAD">
            <w:pPr>
              <w:pStyle w:val="StyleWisnow"/>
              <w:rPr>
                <w:color w:val="000000" w:themeColor="text1"/>
              </w:rPr>
            </w:pPr>
          </w:p>
        </w:tc>
        <w:tc>
          <w:tcPr>
            <w:tcW w:w="4818" w:type="dxa"/>
          </w:tcPr>
          <w:p w14:paraId="0F3EBA12" w14:textId="77777777" w:rsidR="00403AAD" w:rsidRPr="00286216" w:rsidRDefault="00403AAD" w:rsidP="00403AAD">
            <w:pPr>
              <w:pStyle w:val="StyleZakonu"/>
              <w:rPr>
                <w:color w:val="000000" w:themeColor="text1"/>
              </w:rPr>
            </w:pPr>
          </w:p>
        </w:tc>
        <w:tc>
          <w:tcPr>
            <w:tcW w:w="3686" w:type="dxa"/>
          </w:tcPr>
          <w:p w14:paraId="747503A0" w14:textId="3C38F245"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440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8190F14"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Абзац перший частини першої статті 45 замінити двома абзацами такого змісту:</w:t>
            </w:r>
          </w:p>
          <w:p w14:paraId="0464592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"1. Інвестиційна фірма зобов'язана подавати до Національної комісії з цінних паперів та фондового ринку звітні дані. Національна комісія з цінних паперів та фондового ринку зобов’язана самостійно забезпечити існування та функціонування щонайменше однієї системи, яка б створювала умови для безпосереднього, прямого подання інвестиційною фірмою звітних даних до Національної комісії з цінних паперів та фондового ринку та розміщення їх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Порядок та строки подання інвестиційною фірмою звітних даних встановлюються Національною комісією з цінних паперів та фондового ринку.</w:t>
            </w:r>
          </w:p>
          <w:p w14:paraId="18BCA2FB"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 xml:space="preserve">Звітні дані про всі вчинені інвестиційною фірмою поза організованими ринками капіталу правочини щодо емісійних цінних паперів, що розміщуються у </w:t>
            </w:r>
            <w:r w:rsidRPr="00286216">
              <w:rPr>
                <w:color w:val="000000" w:themeColor="text1"/>
                <w:szCs w:val="18"/>
              </w:rPr>
              <w:lastRenderedPageBreak/>
              <w:t>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містять:"</w:t>
            </w:r>
          </w:p>
        </w:tc>
        <w:tc>
          <w:tcPr>
            <w:tcW w:w="1987" w:type="dxa"/>
          </w:tcPr>
          <w:p w14:paraId="03B7536A" w14:textId="49D9E917" w:rsidR="00403AAD" w:rsidRPr="00286216" w:rsidRDefault="00403AAD" w:rsidP="00403AAD">
            <w:pPr>
              <w:pStyle w:val="StyleWisnow"/>
              <w:rPr>
                <w:color w:val="000000" w:themeColor="text1"/>
              </w:rPr>
            </w:pPr>
            <w:r w:rsidRPr="00286216">
              <w:rPr>
                <w:color w:val="000000" w:themeColor="text1"/>
              </w:rPr>
              <w:lastRenderedPageBreak/>
              <w:t>Враховано редакційно</w:t>
            </w:r>
          </w:p>
        </w:tc>
        <w:tc>
          <w:tcPr>
            <w:tcW w:w="4818" w:type="dxa"/>
          </w:tcPr>
          <w:p w14:paraId="2B07AFF3" w14:textId="77777777" w:rsidR="00403AAD" w:rsidRPr="00286216" w:rsidRDefault="00403AAD" w:rsidP="00403AAD">
            <w:pPr>
              <w:pStyle w:val="StyleZakonu"/>
              <w:rPr>
                <w:color w:val="000000" w:themeColor="text1"/>
              </w:rPr>
            </w:pPr>
          </w:p>
        </w:tc>
      </w:tr>
      <w:tr w:rsidR="00403AAD" w:rsidRPr="00286216" w14:paraId="67C54E32" w14:textId="77777777" w:rsidTr="00091AA5">
        <w:tc>
          <w:tcPr>
            <w:tcW w:w="576" w:type="dxa"/>
          </w:tcPr>
          <w:p w14:paraId="619000BE" w14:textId="77777777" w:rsidR="00403AAD" w:rsidRPr="00286216" w:rsidRDefault="00403AAD" w:rsidP="00403AAD">
            <w:pPr>
              <w:pStyle w:val="StyleWisnow"/>
              <w:rPr>
                <w:color w:val="000000" w:themeColor="text1"/>
              </w:rPr>
            </w:pPr>
            <w:bookmarkStart w:id="479" w:name="n786" w:colFirst="0" w:colLast="0"/>
            <w:r w:rsidRPr="00286216">
              <w:rPr>
                <w:color w:val="000000" w:themeColor="text1"/>
              </w:rPr>
              <w:t>786.</w:t>
            </w:r>
          </w:p>
        </w:tc>
        <w:tc>
          <w:tcPr>
            <w:tcW w:w="4818" w:type="dxa"/>
          </w:tcPr>
          <w:p w14:paraId="6C7956E8" w14:textId="77777777" w:rsidR="00403AAD" w:rsidRPr="00286216" w:rsidRDefault="00403AAD" w:rsidP="00403AAD">
            <w:pPr>
              <w:pStyle w:val="StyleZakonu"/>
              <w:rPr>
                <w:color w:val="000000" w:themeColor="text1"/>
              </w:rPr>
            </w:pPr>
            <w:r w:rsidRPr="00286216">
              <w:rPr>
                <w:color w:val="000000" w:themeColor="text1"/>
              </w:rPr>
              <w:t>1) найменування емітента цінних паперів та його ідентифікаційний код згідно з Єдиним державним реєстром юридичних осіб, фізичних осіб-підприємців та громадських формувань, код LEI (за наявності);</w:t>
            </w:r>
          </w:p>
        </w:tc>
        <w:tc>
          <w:tcPr>
            <w:tcW w:w="3686" w:type="dxa"/>
          </w:tcPr>
          <w:p w14:paraId="5D983843" w14:textId="4175D1FC"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607F2FA" w14:textId="427ADE70" w:rsidR="00403AAD" w:rsidRPr="00286216" w:rsidRDefault="00403AAD" w:rsidP="00403AAD">
            <w:pPr>
              <w:pStyle w:val="StyleProp"/>
              <w:spacing w:line="180" w:lineRule="exact"/>
              <w:rPr>
                <w:color w:val="000000" w:themeColor="text1"/>
                <w:szCs w:val="18"/>
              </w:rPr>
            </w:pPr>
            <w:r w:rsidRPr="00286216">
              <w:rPr>
                <w:color w:val="000000" w:themeColor="text1"/>
                <w:szCs w:val="18"/>
              </w:rPr>
              <w:t>У частині першій статті 45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7A011B7C" w14:textId="015FDCA0"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17886CDE" w14:textId="458CBF3F" w:rsidR="00403AAD" w:rsidRPr="00286216" w:rsidRDefault="00403AAD" w:rsidP="00403AAD">
            <w:pPr>
              <w:pStyle w:val="StyleZakonu"/>
              <w:rPr>
                <w:color w:val="000000" w:themeColor="text1"/>
              </w:rPr>
            </w:pPr>
            <w:r w:rsidRPr="00286216">
              <w:rPr>
                <w:color w:val="000000" w:themeColor="text1"/>
              </w:rPr>
              <w:t>1) найменування емітента цінних паперів та його ідентифікаційний код згідно з Єдиним державним реєстром юридичних осіб, фізичних осіб-підприємців та громадських формувань, код LEI (за наявності);</w:t>
            </w:r>
          </w:p>
        </w:tc>
      </w:tr>
      <w:tr w:rsidR="00403AAD" w:rsidRPr="00286216" w14:paraId="6D44551F" w14:textId="77777777" w:rsidTr="00091AA5">
        <w:tc>
          <w:tcPr>
            <w:tcW w:w="576" w:type="dxa"/>
          </w:tcPr>
          <w:p w14:paraId="1755D44B" w14:textId="77777777" w:rsidR="00403AAD" w:rsidRPr="00286216" w:rsidRDefault="00403AAD" w:rsidP="00403AAD">
            <w:pPr>
              <w:pStyle w:val="StyleWisnow"/>
              <w:rPr>
                <w:color w:val="000000" w:themeColor="text1"/>
              </w:rPr>
            </w:pPr>
            <w:bookmarkStart w:id="480" w:name="n787" w:colFirst="0" w:colLast="0"/>
            <w:bookmarkEnd w:id="479"/>
            <w:r w:rsidRPr="00286216">
              <w:rPr>
                <w:color w:val="000000" w:themeColor="text1"/>
              </w:rPr>
              <w:t>787.</w:t>
            </w:r>
          </w:p>
        </w:tc>
        <w:tc>
          <w:tcPr>
            <w:tcW w:w="4818" w:type="dxa"/>
          </w:tcPr>
          <w:p w14:paraId="52BE0BF3" w14:textId="77777777" w:rsidR="00403AAD" w:rsidRPr="00286216" w:rsidRDefault="00403AAD" w:rsidP="00403AAD">
            <w:pPr>
              <w:pStyle w:val="StyleZakonu"/>
              <w:rPr>
                <w:color w:val="000000" w:themeColor="text1"/>
              </w:rPr>
            </w:pPr>
            <w:r w:rsidRPr="00286216">
              <w:rPr>
                <w:color w:val="000000" w:themeColor="text1"/>
              </w:rPr>
              <w:t>2) вид, тип, клас, форма існування та форма випуску цінних паперів;</w:t>
            </w:r>
          </w:p>
        </w:tc>
        <w:tc>
          <w:tcPr>
            <w:tcW w:w="3686" w:type="dxa"/>
          </w:tcPr>
          <w:p w14:paraId="5FDD46C9" w14:textId="77777777" w:rsidR="00403AAD" w:rsidRPr="00286216" w:rsidRDefault="00403AAD" w:rsidP="00403AAD">
            <w:pPr>
              <w:pStyle w:val="StyleProp"/>
              <w:rPr>
                <w:color w:val="000000" w:themeColor="text1"/>
                <w:szCs w:val="18"/>
              </w:rPr>
            </w:pPr>
          </w:p>
        </w:tc>
        <w:tc>
          <w:tcPr>
            <w:tcW w:w="1987" w:type="dxa"/>
          </w:tcPr>
          <w:p w14:paraId="46F1813C" w14:textId="77777777" w:rsidR="00403AAD" w:rsidRPr="00286216" w:rsidRDefault="00403AAD" w:rsidP="00403AAD">
            <w:pPr>
              <w:pStyle w:val="StyleWisnow"/>
              <w:rPr>
                <w:color w:val="000000" w:themeColor="text1"/>
              </w:rPr>
            </w:pPr>
          </w:p>
        </w:tc>
        <w:tc>
          <w:tcPr>
            <w:tcW w:w="4818" w:type="dxa"/>
          </w:tcPr>
          <w:p w14:paraId="39F7AA12" w14:textId="4771E25A" w:rsidR="00403AAD" w:rsidRPr="00286216" w:rsidRDefault="00403AAD" w:rsidP="00403AAD">
            <w:pPr>
              <w:pStyle w:val="StyleZakonu"/>
              <w:rPr>
                <w:color w:val="000000" w:themeColor="text1"/>
              </w:rPr>
            </w:pPr>
            <w:r w:rsidRPr="00286216">
              <w:rPr>
                <w:color w:val="000000" w:themeColor="text1"/>
              </w:rPr>
              <w:t>2) вид, тип, клас, форма існування та форма випуску цінних паперів;</w:t>
            </w:r>
          </w:p>
        </w:tc>
      </w:tr>
      <w:tr w:rsidR="00403AAD" w:rsidRPr="00286216" w14:paraId="242A5DD3" w14:textId="77777777" w:rsidTr="00091AA5">
        <w:tc>
          <w:tcPr>
            <w:tcW w:w="576" w:type="dxa"/>
          </w:tcPr>
          <w:p w14:paraId="71826545" w14:textId="77777777" w:rsidR="00403AAD" w:rsidRPr="00286216" w:rsidRDefault="00403AAD" w:rsidP="00403AAD">
            <w:pPr>
              <w:pStyle w:val="StyleWisnow"/>
              <w:rPr>
                <w:color w:val="000000" w:themeColor="text1"/>
              </w:rPr>
            </w:pPr>
            <w:bookmarkStart w:id="481" w:name="n788" w:colFirst="0" w:colLast="0"/>
            <w:bookmarkEnd w:id="480"/>
            <w:r w:rsidRPr="00286216">
              <w:rPr>
                <w:color w:val="000000" w:themeColor="text1"/>
              </w:rPr>
              <w:t>788.</w:t>
            </w:r>
          </w:p>
        </w:tc>
        <w:tc>
          <w:tcPr>
            <w:tcW w:w="4818" w:type="dxa"/>
          </w:tcPr>
          <w:p w14:paraId="3273EE32" w14:textId="77777777" w:rsidR="00403AAD" w:rsidRPr="00286216" w:rsidRDefault="00403AAD" w:rsidP="00403AAD">
            <w:pPr>
              <w:pStyle w:val="StyleZakonu"/>
              <w:rPr>
                <w:color w:val="000000" w:themeColor="text1"/>
              </w:rPr>
            </w:pPr>
            <w:r w:rsidRPr="00286216">
              <w:rPr>
                <w:color w:val="000000" w:themeColor="text1"/>
              </w:rPr>
              <w:t>3) код ISIN;</w:t>
            </w:r>
          </w:p>
        </w:tc>
        <w:tc>
          <w:tcPr>
            <w:tcW w:w="3686" w:type="dxa"/>
          </w:tcPr>
          <w:p w14:paraId="2485BDD2" w14:textId="77777777" w:rsidR="00403AAD" w:rsidRPr="00286216" w:rsidRDefault="00403AAD" w:rsidP="00403AAD">
            <w:pPr>
              <w:pStyle w:val="StyleProp"/>
              <w:rPr>
                <w:color w:val="000000" w:themeColor="text1"/>
                <w:szCs w:val="18"/>
              </w:rPr>
            </w:pPr>
          </w:p>
        </w:tc>
        <w:tc>
          <w:tcPr>
            <w:tcW w:w="1987" w:type="dxa"/>
          </w:tcPr>
          <w:p w14:paraId="39CFE9F8" w14:textId="77777777" w:rsidR="00403AAD" w:rsidRPr="00286216" w:rsidRDefault="00403AAD" w:rsidP="00403AAD">
            <w:pPr>
              <w:pStyle w:val="StyleWisnow"/>
              <w:rPr>
                <w:color w:val="000000" w:themeColor="text1"/>
              </w:rPr>
            </w:pPr>
          </w:p>
        </w:tc>
        <w:tc>
          <w:tcPr>
            <w:tcW w:w="4818" w:type="dxa"/>
          </w:tcPr>
          <w:p w14:paraId="784FB046" w14:textId="293C0C9A" w:rsidR="00403AAD" w:rsidRPr="00286216" w:rsidRDefault="00403AAD" w:rsidP="00403AAD">
            <w:pPr>
              <w:pStyle w:val="StyleZakonu"/>
              <w:rPr>
                <w:color w:val="000000" w:themeColor="text1"/>
              </w:rPr>
            </w:pPr>
            <w:r w:rsidRPr="00286216">
              <w:rPr>
                <w:color w:val="000000" w:themeColor="text1"/>
              </w:rPr>
              <w:t>3) код ISIN;</w:t>
            </w:r>
          </w:p>
        </w:tc>
      </w:tr>
      <w:tr w:rsidR="00403AAD" w:rsidRPr="00286216" w14:paraId="481AFC8D" w14:textId="77777777" w:rsidTr="00091AA5">
        <w:tc>
          <w:tcPr>
            <w:tcW w:w="576" w:type="dxa"/>
          </w:tcPr>
          <w:p w14:paraId="085E2CD1" w14:textId="77777777" w:rsidR="00403AAD" w:rsidRPr="00286216" w:rsidRDefault="00403AAD" w:rsidP="00403AAD">
            <w:pPr>
              <w:pStyle w:val="StyleWisnow"/>
              <w:rPr>
                <w:color w:val="000000" w:themeColor="text1"/>
              </w:rPr>
            </w:pPr>
            <w:bookmarkStart w:id="482" w:name="n789" w:colFirst="0" w:colLast="0"/>
            <w:bookmarkEnd w:id="481"/>
            <w:r w:rsidRPr="00286216">
              <w:rPr>
                <w:color w:val="000000" w:themeColor="text1"/>
              </w:rPr>
              <w:t>789.</w:t>
            </w:r>
          </w:p>
        </w:tc>
        <w:tc>
          <w:tcPr>
            <w:tcW w:w="4818" w:type="dxa"/>
          </w:tcPr>
          <w:p w14:paraId="1FE9F424" w14:textId="77777777" w:rsidR="00403AAD" w:rsidRPr="00286216" w:rsidRDefault="00403AAD" w:rsidP="00403AAD">
            <w:pPr>
              <w:pStyle w:val="StyleZakonu"/>
              <w:rPr>
                <w:color w:val="000000" w:themeColor="text1"/>
              </w:rPr>
            </w:pPr>
            <w:r w:rsidRPr="00286216">
              <w:rPr>
                <w:color w:val="000000" w:themeColor="text1"/>
              </w:rPr>
              <w:t>4) кількість цінних паперів за кожним правочином;</w:t>
            </w:r>
          </w:p>
        </w:tc>
        <w:tc>
          <w:tcPr>
            <w:tcW w:w="3686" w:type="dxa"/>
          </w:tcPr>
          <w:p w14:paraId="6D47D4FA" w14:textId="77777777" w:rsidR="00403AAD" w:rsidRPr="00286216" w:rsidRDefault="00403AAD" w:rsidP="00403AAD">
            <w:pPr>
              <w:pStyle w:val="StyleProp"/>
              <w:rPr>
                <w:color w:val="000000" w:themeColor="text1"/>
                <w:szCs w:val="18"/>
              </w:rPr>
            </w:pPr>
          </w:p>
        </w:tc>
        <w:tc>
          <w:tcPr>
            <w:tcW w:w="1987" w:type="dxa"/>
          </w:tcPr>
          <w:p w14:paraId="77C27B18" w14:textId="77777777" w:rsidR="00403AAD" w:rsidRPr="00286216" w:rsidRDefault="00403AAD" w:rsidP="00403AAD">
            <w:pPr>
              <w:pStyle w:val="StyleWisnow"/>
              <w:rPr>
                <w:color w:val="000000" w:themeColor="text1"/>
              </w:rPr>
            </w:pPr>
          </w:p>
        </w:tc>
        <w:tc>
          <w:tcPr>
            <w:tcW w:w="4818" w:type="dxa"/>
          </w:tcPr>
          <w:p w14:paraId="7AF946B8" w14:textId="759B335C" w:rsidR="00403AAD" w:rsidRPr="00286216" w:rsidRDefault="00403AAD" w:rsidP="00403AAD">
            <w:pPr>
              <w:pStyle w:val="StyleZakonu"/>
              <w:rPr>
                <w:color w:val="000000" w:themeColor="text1"/>
              </w:rPr>
            </w:pPr>
            <w:r w:rsidRPr="00286216">
              <w:rPr>
                <w:color w:val="000000" w:themeColor="text1"/>
              </w:rPr>
              <w:t>4) кількість цінних паперів за кожним правочином;</w:t>
            </w:r>
          </w:p>
        </w:tc>
      </w:tr>
      <w:tr w:rsidR="00403AAD" w:rsidRPr="00286216" w14:paraId="32151C0F" w14:textId="77777777" w:rsidTr="00091AA5">
        <w:tc>
          <w:tcPr>
            <w:tcW w:w="576" w:type="dxa"/>
          </w:tcPr>
          <w:p w14:paraId="4E5782DD" w14:textId="77777777" w:rsidR="00403AAD" w:rsidRPr="00286216" w:rsidRDefault="00403AAD" w:rsidP="00403AAD">
            <w:pPr>
              <w:pStyle w:val="StyleWisnow"/>
              <w:rPr>
                <w:color w:val="000000" w:themeColor="text1"/>
              </w:rPr>
            </w:pPr>
            <w:bookmarkStart w:id="483" w:name="n790" w:colFirst="0" w:colLast="0"/>
            <w:bookmarkEnd w:id="482"/>
            <w:r w:rsidRPr="00286216">
              <w:rPr>
                <w:color w:val="000000" w:themeColor="text1"/>
              </w:rPr>
              <w:t>790.</w:t>
            </w:r>
          </w:p>
        </w:tc>
        <w:tc>
          <w:tcPr>
            <w:tcW w:w="4818" w:type="dxa"/>
          </w:tcPr>
          <w:p w14:paraId="0E4449BB" w14:textId="77777777" w:rsidR="00403AAD" w:rsidRPr="00286216" w:rsidRDefault="00403AAD" w:rsidP="00403AAD">
            <w:pPr>
              <w:pStyle w:val="StyleZakonu"/>
              <w:rPr>
                <w:color w:val="000000" w:themeColor="text1"/>
              </w:rPr>
            </w:pPr>
            <w:r w:rsidRPr="00286216">
              <w:rPr>
                <w:color w:val="000000" w:themeColor="text1"/>
              </w:rPr>
              <w:t>5) ціна цінних паперів;</w:t>
            </w:r>
          </w:p>
        </w:tc>
        <w:tc>
          <w:tcPr>
            <w:tcW w:w="3686" w:type="dxa"/>
          </w:tcPr>
          <w:p w14:paraId="6CCD3E8F" w14:textId="77777777" w:rsidR="00403AAD" w:rsidRPr="00286216" w:rsidRDefault="00403AAD" w:rsidP="00403AAD">
            <w:pPr>
              <w:pStyle w:val="StyleProp"/>
              <w:rPr>
                <w:color w:val="000000" w:themeColor="text1"/>
                <w:szCs w:val="18"/>
              </w:rPr>
            </w:pPr>
          </w:p>
        </w:tc>
        <w:tc>
          <w:tcPr>
            <w:tcW w:w="1987" w:type="dxa"/>
          </w:tcPr>
          <w:p w14:paraId="18E5D38F" w14:textId="77777777" w:rsidR="00403AAD" w:rsidRPr="00286216" w:rsidRDefault="00403AAD" w:rsidP="00403AAD">
            <w:pPr>
              <w:pStyle w:val="StyleWisnow"/>
              <w:rPr>
                <w:color w:val="000000" w:themeColor="text1"/>
              </w:rPr>
            </w:pPr>
          </w:p>
        </w:tc>
        <w:tc>
          <w:tcPr>
            <w:tcW w:w="4818" w:type="dxa"/>
          </w:tcPr>
          <w:p w14:paraId="43F1E619" w14:textId="66885840" w:rsidR="00403AAD" w:rsidRPr="00286216" w:rsidRDefault="00403AAD" w:rsidP="00403AAD">
            <w:pPr>
              <w:pStyle w:val="StyleZakonu"/>
              <w:rPr>
                <w:color w:val="000000" w:themeColor="text1"/>
              </w:rPr>
            </w:pPr>
            <w:r w:rsidRPr="00286216">
              <w:rPr>
                <w:color w:val="000000" w:themeColor="text1"/>
              </w:rPr>
              <w:t>5) ціна цінних паперів;</w:t>
            </w:r>
          </w:p>
        </w:tc>
      </w:tr>
      <w:tr w:rsidR="00403AAD" w:rsidRPr="00286216" w14:paraId="3FA528CA" w14:textId="77777777" w:rsidTr="00091AA5">
        <w:tc>
          <w:tcPr>
            <w:tcW w:w="576" w:type="dxa"/>
          </w:tcPr>
          <w:p w14:paraId="6EE23028" w14:textId="77777777" w:rsidR="00403AAD" w:rsidRPr="00286216" w:rsidRDefault="00403AAD" w:rsidP="00403AAD">
            <w:pPr>
              <w:pStyle w:val="StyleWisnow"/>
              <w:rPr>
                <w:color w:val="000000" w:themeColor="text1"/>
              </w:rPr>
            </w:pPr>
            <w:bookmarkStart w:id="484" w:name="n791" w:colFirst="0" w:colLast="0"/>
            <w:bookmarkEnd w:id="483"/>
            <w:r w:rsidRPr="00286216">
              <w:rPr>
                <w:color w:val="000000" w:themeColor="text1"/>
              </w:rPr>
              <w:t>791.</w:t>
            </w:r>
          </w:p>
        </w:tc>
        <w:tc>
          <w:tcPr>
            <w:tcW w:w="4818" w:type="dxa"/>
          </w:tcPr>
          <w:p w14:paraId="765E5E06" w14:textId="77777777" w:rsidR="00403AAD" w:rsidRPr="00286216" w:rsidRDefault="00403AAD" w:rsidP="00403AAD">
            <w:pPr>
              <w:pStyle w:val="StyleZakonu"/>
              <w:rPr>
                <w:color w:val="000000" w:themeColor="text1"/>
              </w:rPr>
            </w:pPr>
            <w:r w:rsidRPr="00286216">
              <w:rPr>
                <w:color w:val="000000" w:themeColor="text1"/>
              </w:rPr>
              <w:t>6) дата вчинення правочину;</w:t>
            </w:r>
          </w:p>
        </w:tc>
        <w:tc>
          <w:tcPr>
            <w:tcW w:w="3686" w:type="dxa"/>
          </w:tcPr>
          <w:p w14:paraId="1D49F0D0" w14:textId="77777777" w:rsidR="00403AAD" w:rsidRPr="00286216" w:rsidRDefault="00403AAD" w:rsidP="00403AAD">
            <w:pPr>
              <w:pStyle w:val="StyleProp"/>
              <w:rPr>
                <w:color w:val="000000" w:themeColor="text1"/>
                <w:szCs w:val="18"/>
              </w:rPr>
            </w:pPr>
          </w:p>
        </w:tc>
        <w:tc>
          <w:tcPr>
            <w:tcW w:w="1987" w:type="dxa"/>
          </w:tcPr>
          <w:p w14:paraId="38A80CF1" w14:textId="77777777" w:rsidR="00403AAD" w:rsidRPr="00286216" w:rsidRDefault="00403AAD" w:rsidP="00403AAD">
            <w:pPr>
              <w:pStyle w:val="StyleWisnow"/>
              <w:rPr>
                <w:color w:val="000000" w:themeColor="text1"/>
              </w:rPr>
            </w:pPr>
          </w:p>
        </w:tc>
        <w:tc>
          <w:tcPr>
            <w:tcW w:w="4818" w:type="dxa"/>
          </w:tcPr>
          <w:p w14:paraId="220547EE" w14:textId="19F0FE4C" w:rsidR="00403AAD" w:rsidRPr="00286216" w:rsidRDefault="00403AAD" w:rsidP="00403AAD">
            <w:pPr>
              <w:pStyle w:val="StyleZakonu"/>
              <w:rPr>
                <w:color w:val="000000" w:themeColor="text1"/>
              </w:rPr>
            </w:pPr>
            <w:r w:rsidRPr="00286216">
              <w:rPr>
                <w:color w:val="000000" w:themeColor="text1"/>
              </w:rPr>
              <w:t>6) дата вчинення правочину;</w:t>
            </w:r>
          </w:p>
        </w:tc>
      </w:tr>
      <w:tr w:rsidR="00403AAD" w:rsidRPr="00286216" w14:paraId="22BD8760" w14:textId="77777777" w:rsidTr="00091AA5">
        <w:tc>
          <w:tcPr>
            <w:tcW w:w="576" w:type="dxa"/>
          </w:tcPr>
          <w:p w14:paraId="3E1A911E" w14:textId="77777777" w:rsidR="00403AAD" w:rsidRPr="00286216" w:rsidRDefault="00403AAD" w:rsidP="00403AAD">
            <w:pPr>
              <w:pStyle w:val="StyleWisnow"/>
              <w:rPr>
                <w:color w:val="000000" w:themeColor="text1"/>
              </w:rPr>
            </w:pPr>
            <w:bookmarkStart w:id="485" w:name="n792" w:colFirst="0" w:colLast="0"/>
            <w:bookmarkEnd w:id="484"/>
            <w:r w:rsidRPr="00286216">
              <w:rPr>
                <w:color w:val="000000" w:themeColor="text1"/>
              </w:rPr>
              <w:t>792.</w:t>
            </w:r>
          </w:p>
        </w:tc>
        <w:tc>
          <w:tcPr>
            <w:tcW w:w="4818" w:type="dxa"/>
          </w:tcPr>
          <w:p w14:paraId="1C3E0D88" w14:textId="77777777" w:rsidR="00403AAD" w:rsidRPr="00286216" w:rsidRDefault="00403AAD" w:rsidP="00403AAD">
            <w:pPr>
              <w:pStyle w:val="StyleZakonu"/>
              <w:rPr>
                <w:color w:val="000000" w:themeColor="text1"/>
              </w:rPr>
            </w:pPr>
            <w:r w:rsidRPr="00286216">
              <w:rPr>
                <w:color w:val="000000" w:themeColor="text1"/>
              </w:rPr>
              <w:t>7) інші відомості, що входять до складу звітних даних інвестиційної фірми, визначені Національною комісією з цінних паперів та фондового ринку.</w:t>
            </w:r>
          </w:p>
        </w:tc>
        <w:tc>
          <w:tcPr>
            <w:tcW w:w="3686" w:type="dxa"/>
          </w:tcPr>
          <w:p w14:paraId="1399E7E3" w14:textId="77777777" w:rsidR="00403AAD" w:rsidRPr="00286216" w:rsidRDefault="00403AAD" w:rsidP="00403AAD">
            <w:pPr>
              <w:pStyle w:val="StyleProp"/>
              <w:rPr>
                <w:color w:val="000000" w:themeColor="text1"/>
                <w:szCs w:val="18"/>
              </w:rPr>
            </w:pPr>
          </w:p>
        </w:tc>
        <w:tc>
          <w:tcPr>
            <w:tcW w:w="1987" w:type="dxa"/>
          </w:tcPr>
          <w:p w14:paraId="12619BE7" w14:textId="77777777" w:rsidR="00403AAD" w:rsidRPr="00286216" w:rsidRDefault="00403AAD" w:rsidP="00403AAD">
            <w:pPr>
              <w:pStyle w:val="StyleWisnow"/>
              <w:rPr>
                <w:color w:val="000000" w:themeColor="text1"/>
              </w:rPr>
            </w:pPr>
          </w:p>
        </w:tc>
        <w:tc>
          <w:tcPr>
            <w:tcW w:w="4818" w:type="dxa"/>
          </w:tcPr>
          <w:p w14:paraId="45A69561" w14:textId="526241E1" w:rsidR="00403AAD" w:rsidRPr="00286216" w:rsidRDefault="00403AAD" w:rsidP="00403AAD">
            <w:pPr>
              <w:pStyle w:val="StyleZakonu"/>
              <w:rPr>
                <w:color w:val="000000" w:themeColor="text1"/>
              </w:rPr>
            </w:pPr>
            <w:r w:rsidRPr="00286216">
              <w:rPr>
                <w:color w:val="000000" w:themeColor="text1"/>
              </w:rPr>
              <w:t>7) інші відомості, що входять до складу звітних даних інвестиційної фірми, визначені Національною комісією з цінних паперів та фондового ринку.</w:t>
            </w:r>
          </w:p>
        </w:tc>
      </w:tr>
      <w:tr w:rsidR="00403AAD" w:rsidRPr="00286216" w14:paraId="38E9440D" w14:textId="77777777" w:rsidTr="00091AA5">
        <w:tc>
          <w:tcPr>
            <w:tcW w:w="576" w:type="dxa"/>
          </w:tcPr>
          <w:p w14:paraId="5BFF3F3F" w14:textId="77777777" w:rsidR="00403AAD" w:rsidRPr="00286216" w:rsidRDefault="00403AAD" w:rsidP="00403AAD">
            <w:pPr>
              <w:pStyle w:val="StyleWisnow"/>
              <w:rPr>
                <w:color w:val="000000" w:themeColor="text1"/>
              </w:rPr>
            </w:pPr>
            <w:bookmarkStart w:id="486" w:name="n793" w:colFirst="0" w:colLast="0"/>
            <w:bookmarkEnd w:id="485"/>
            <w:r w:rsidRPr="00286216">
              <w:rPr>
                <w:color w:val="000000" w:themeColor="text1"/>
              </w:rPr>
              <w:t>793.</w:t>
            </w:r>
          </w:p>
        </w:tc>
        <w:tc>
          <w:tcPr>
            <w:tcW w:w="4818" w:type="dxa"/>
          </w:tcPr>
          <w:p w14:paraId="6A2A37C4" w14:textId="77777777" w:rsidR="00403AAD" w:rsidRPr="00286216" w:rsidRDefault="00403AAD" w:rsidP="00403AAD">
            <w:pPr>
              <w:pStyle w:val="StyleZakonu"/>
              <w:rPr>
                <w:color w:val="000000" w:themeColor="text1"/>
              </w:rPr>
            </w:pPr>
            <w:r w:rsidRPr="00286216">
              <w:rPr>
                <w:color w:val="000000" w:themeColor="text1"/>
              </w:rPr>
              <w:t>До зазначеної інформації не включаються відомості про сторони правочинів.</w:t>
            </w:r>
          </w:p>
        </w:tc>
        <w:tc>
          <w:tcPr>
            <w:tcW w:w="3686" w:type="dxa"/>
          </w:tcPr>
          <w:p w14:paraId="70AA38E9" w14:textId="4F0B101A"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442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D563343" w14:textId="77777777" w:rsidR="00403AAD" w:rsidRPr="00286216" w:rsidRDefault="00403AAD" w:rsidP="00403AAD">
            <w:pPr>
              <w:pStyle w:val="StyleProp"/>
              <w:rPr>
                <w:color w:val="000000" w:themeColor="text1"/>
                <w:szCs w:val="18"/>
              </w:rPr>
            </w:pPr>
            <w:r w:rsidRPr="00286216">
              <w:rPr>
                <w:color w:val="000000" w:themeColor="text1"/>
                <w:szCs w:val="18"/>
              </w:rPr>
              <w:t>Останній абзац частини першої статті 45 викласти у такій редакції:</w:t>
            </w:r>
          </w:p>
          <w:p w14:paraId="7EF96B7A" w14:textId="77777777" w:rsidR="00403AAD" w:rsidRPr="00286216" w:rsidRDefault="00403AAD" w:rsidP="00403AAD">
            <w:pPr>
              <w:pStyle w:val="StyleProp"/>
              <w:rPr>
                <w:color w:val="000000" w:themeColor="text1"/>
                <w:szCs w:val="18"/>
              </w:rPr>
            </w:pPr>
            <w:r w:rsidRPr="00286216">
              <w:rPr>
                <w:color w:val="000000" w:themeColor="text1"/>
                <w:szCs w:val="18"/>
              </w:rPr>
              <w:t>"До інформації, яка розміщується у зазначеній базі (зазначених базах) даних не включаються відомості про сторони правочинів."</w:t>
            </w:r>
          </w:p>
        </w:tc>
        <w:tc>
          <w:tcPr>
            <w:tcW w:w="1987" w:type="dxa"/>
          </w:tcPr>
          <w:p w14:paraId="0E86280C"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p w14:paraId="419D14DE" w14:textId="79DEE642" w:rsidR="00403AAD" w:rsidRPr="00286216" w:rsidRDefault="00403AAD" w:rsidP="00403AAD">
            <w:pPr>
              <w:pStyle w:val="StyleWisnow"/>
              <w:spacing w:line="180" w:lineRule="exact"/>
              <w:rPr>
                <w:color w:val="000000" w:themeColor="text1"/>
              </w:rPr>
            </w:pPr>
            <w:r w:rsidRPr="00286216">
              <w:rPr>
                <w:color w:val="000000" w:themeColor="text1"/>
              </w:rPr>
              <w:t>з урахуванням зміни редакції частини першої цієї статті</w:t>
            </w:r>
          </w:p>
        </w:tc>
        <w:tc>
          <w:tcPr>
            <w:tcW w:w="4818" w:type="dxa"/>
          </w:tcPr>
          <w:p w14:paraId="423651B4" w14:textId="1CC9D489" w:rsidR="00403AAD" w:rsidRPr="00286216" w:rsidRDefault="00403AAD" w:rsidP="00403AAD">
            <w:pPr>
              <w:pStyle w:val="StyleZakonu"/>
              <w:rPr>
                <w:color w:val="000000" w:themeColor="text1"/>
              </w:rPr>
            </w:pPr>
            <w:r w:rsidRPr="00286216">
              <w:rPr>
                <w:color w:val="000000" w:themeColor="text1"/>
                <w:szCs w:val="18"/>
              </w:rPr>
              <w:t>До інформації, яка розміщується у 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 не включаються відомості про сторони правочинів.</w:t>
            </w:r>
          </w:p>
        </w:tc>
      </w:tr>
      <w:bookmarkEnd w:id="486"/>
      <w:tr w:rsidR="00403AAD" w:rsidRPr="00286216" w14:paraId="4ED2CF9B" w14:textId="77777777" w:rsidTr="00091AA5">
        <w:tc>
          <w:tcPr>
            <w:tcW w:w="576" w:type="dxa"/>
          </w:tcPr>
          <w:p w14:paraId="09FA78F6" w14:textId="77777777" w:rsidR="00403AAD" w:rsidRPr="00286216" w:rsidRDefault="00403AAD" w:rsidP="00403AAD">
            <w:pPr>
              <w:pStyle w:val="StyleWisnow"/>
              <w:rPr>
                <w:color w:val="000000" w:themeColor="text1"/>
              </w:rPr>
            </w:pPr>
          </w:p>
        </w:tc>
        <w:tc>
          <w:tcPr>
            <w:tcW w:w="4818" w:type="dxa"/>
          </w:tcPr>
          <w:p w14:paraId="68FF2039" w14:textId="77777777" w:rsidR="00403AAD" w:rsidRPr="00286216" w:rsidRDefault="00403AAD" w:rsidP="00403AAD">
            <w:pPr>
              <w:pStyle w:val="StyleZakonu"/>
              <w:rPr>
                <w:color w:val="000000" w:themeColor="text1"/>
              </w:rPr>
            </w:pPr>
          </w:p>
        </w:tc>
        <w:tc>
          <w:tcPr>
            <w:tcW w:w="3686" w:type="dxa"/>
          </w:tcPr>
          <w:p w14:paraId="6D3742F0" w14:textId="28BC47F9" w:rsidR="00403AAD" w:rsidRPr="00286216" w:rsidRDefault="00403AAD" w:rsidP="00403AAD">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443</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1BB512F7" w14:textId="77777777" w:rsidR="00403AAD" w:rsidRPr="00286216" w:rsidRDefault="00403AAD" w:rsidP="00403AAD">
            <w:pPr>
              <w:pStyle w:val="StyleProp"/>
              <w:rPr>
                <w:color w:val="000000" w:themeColor="text1"/>
                <w:szCs w:val="18"/>
              </w:rPr>
            </w:pPr>
            <w:r w:rsidRPr="00286216">
              <w:rPr>
                <w:color w:val="000000" w:themeColor="text1"/>
                <w:szCs w:val="18"/>
              </w:rPr>
              <w:t xml:space="preserve">Доповнити статтю 45 новою частиною такого змісту: </w:t>
            </w:r>
          </w:p>
          <w:p w14:paraId="1E842704" w14:textId="4CEFEF19" w:rsidR="00403AAD" w:rsidRPr="00286216" w:rsidRDefault="00403AAD" w:rsidP="00403AAD">
            <w:pPr>
              <w:pStyle w:val="StyleProp"/>
              <w:spacing w:line="190" w:lineRule="exact"/>
              <w:rPr>
                <w:color w:val="000000" w:themeColor="text1"/>
                <w:szCs w:val="18"/>
              </w:rPr>
            </w:pPr>
            <w:r w:rsidRPr="00286216">
              <w:rPr>
                <w:color w:val="000000" w:themeColor="text1"/>
                <w:szCs w:val="18"/>
              </w:rPr>
              <w:t>"2. Національна комісія з цінних паперів та фондового ринку зобов’язана самостійно забезпечити існування та функціонування щонайменше однієї системи, яка б створювала умови для безпосереднього та прямого подання інвестиційною фірмою звітних даних до Національної комісії з цінних паперів та фондового ринку".</w:t>
            </w:r>
          </w:p>
        </w:tc>
        <w:tc>
          <w:tcPr>
            <w:tcW w:w="1987" w:type="dxa"/>
          </w:tcPr>
          <w:p w14:paraId="79C69B58" w14:textId="77777777" w:rsidR="00403AAD" w:rsidRPr="00286216" w:rsidRDefault="00403AAD" w:rsidP="00403AAD">
            <w:pPr>
              <w:pStyle w:val="StyleWisnow"/>
              <w:rPr>
                <w:color w:val="000000" w:themeColor="text1"/>
              </w:rPr>
            </w:pPr>
            <w:r w:rsidRPr="00286216">
              <w:rPr>
                <w:color w:val="000000" w:themeColor="text1"/>
              </w:rPr>
              <w:t>Враховано</w:t>
            </w:r>
          </w:p>
          <w:p w14:paraId="4ED9850A" w14:textId="7D284714" w:rsidR="00403AAD" w:rsidRPr="00286216" w:rsidRDefault="00403AAD" w:rsidP="00403AAD">
            <w:pPr>
              <w:pStyle w:val="StyleWisnow"/>
              <w:spacing w:line="180" w:lineRule="exact"/>
              <w:rPr>
                <w:color w:val="000000" w:themeColor="text1"/>
              </w:rPr>
            </w:pPr>
            <w:r w:rsidRPr="00286216">
              <w:rPr>
                <w:color w:val="000000" w:themeColor="text1"/>
              </w:rPr>
              <w:t>згідно з погодженою на засіданні Комітету позицією щодо діяльності з розкриття інформації на ринках у частині існування системи для безпосереднього подання інформаціїї до НКЦПФР</w:t>
            </w:r>
          </w:p>
        </w:tc>
        <w:tc>
          <w:tcPr>
            <w:tcW w:w="4818" w:type="dxa"/>
          </w:tcPr>
          <w:p w14:paraId="09D1C081" w14:textId="2E41F5E9" w:rsidR="00403AAD" w:rsidRPr="00286216" w:rsidRDefault="00403AAD" w:rsidP="00403AAD">
            <w:pPr>
              <w:pStyle w:val="StyleZakonu"/>
              <w:rPr>
                <w:color w:val="000000" w:themeColor="text1"/>
              </w:rPr>
            </w:pPr>
            <w:r w:rsidRPr="00286216">
              <w:rPr>
                <w:color w:val="000000" w:themeColor="text1"/>
                <w:szCs w:val="18"/>
              </w:rPr>
              <w:t>2. Національна комісія з цінних паперів та фондового ринку зобов’язана самостійно забезпечити існування та функціонування щонайменше однієї системи, яка створювала б умови для безпосереднього та прямого подання інвестиційною фірмою звітних даних до Національної комісії з цінних паперів та фондового ринку.</w:t>
            </w:r>
          </w:p>
        </w:tc>
      </w:tr>
      <w:tr w:rsidR="00403AAD" w:rsidRPr="00286216" w14:paraId="269385F6" w14:textId="77777777" w:rsidTr="00091AA5">
        <w:tc>
          <w:tcPr>
            <w:tcW w:w="576" w:type="dxa"/>
          </w:tcPr>
          <w:p w14:paraId="67E48282" w14:textId="77777777" w:rsidR="00403AAD" w:rsidRPr="00286216" w:rsidRDefault="00403AAD" w:rsidP="00403AAD">
            <w:pPr>
              <w:pStyle w:val="StyleWisnow"/>
              <w:rPr>
                <w:color w:val="000000" w:themeColor="text1"/>
              </w:rPr>
            </w:pPr>
            <w:bookmarkStart w:id="487" w:name="n794" w:colFirst="0" w:colLast="0"/>
            <w:r w:rsidRPr="00286216">
              <w:rPr>
                <w:color w:val="000000" w:themeColor="text1"/>
              </w:rPr>
              <w:t>794.</w:t>
            </w:r>
          </w:p>
        </w:tc>
        <w:tc>
          <w:tcPr>
            <w:tcW w:w="4818" w:type="dxa"/>
          </w:tcPr>
          <w:p w14:paraId="446FA29F" w14:textId="77777777" w:rsidR="00403AAD" w:rsidRPr="00286216" w:rsidRDefault="00403AAD" w:rsidP="00403AAD">
            <w:pPr>
              <w:pStyle w:val="StyleZakonu"/>
              <w:rPr>
                <w:color w:val="000000" w:themeColor="text1"/>
              </w:rPr>
            </w:pPr>
            <w:r w:rsidRPr="00286216">
              <w:rPr>
                <w:color w:val="000000" w:themeColor="text1"/>
              </w:rPr>
              <w:t>2. Інвестиційна фірма зобов’язана подавати до Національної комісії з цінних паперів та фондового ринку інформацію про укладення нею агентського договору.</w:t>
            </w:r>
          </w:p>
        </w:tc>
        <w:tc>
          <w:tcPr>
            <w:tcW w:w="3686" w:type="dxa"/>
          </w:tcPr>
          <w:p w14:paraId="09BE8F19" w14:textId="77777777" w:rsidR="00403AAD" w:rsidRPr="00286216" w:rsidRDefault="00403AAD" w:rsidP="00403AAD">
            <w:pPr>
              <w:pStyle w:val="StyleProp"/>
              <w:rPr>
                <w:color w:val="000000" w:themeColor="text1"/>
                <w:szCs w:val="18"/>
              </w:rPr>
            </w:pPr>
          </w:p>
        </w:tc>
        <w:tc>
          <w:tcPr>
            <w:tcW w:w="1987" w:type="dxa"/>
          </w:tcPr>
          <w:p w14:paraId="6E8463AF" w14:textId="77777777" w:rsidR="00403AAD" w:rsidRPr="00286216" w:rsidRDefault="00403AAD" w:rsidP="00403AAD">
            <w:pPr>
              <w:pStyle w:val="StyleWisnow"/>
              <w:rPr>
                <w:color w:val="000000" w:themeColor="text1"/>
              </w:rPr>
            </w:pPr>
          </w:p>
        </w:tc>
        <w:tc>
          <w:tcPr>
            <w:tcW w:w="4818" w:type="dxa"/>
          </w:tcPr>
          <w:p w14:paraId="67F113DA" w14:textId="612D985D" w:rsidR="00403AAD" w:rsidRPr="00286216" w:rsidRDefault="00403AAD" w:rsidP="00403AAD">
            <w:pPr>
              <w:pStyle w:val="StyleZakonu"/>
              <w:rPr>
                <w:color w:val="000000" w:themeColor="text1"/>
              </w:rPr>
            </w:pPr>
            <w:r w:rsidRPr="00286216">
              <w:rPr>
                <w:color w:val="000000" w:themeColor="text1"/>
              </w:rPr>
              <w:t>3. Інвестиційна фірма зобов’язана подавати до Національної комісії з цінних паперів та фондового ринку інформацію про укладення нею агентського договору.</w:t>
            </w:r>
          </w:p>
        </w:tc>
      </w:tr>
      <w:tr w:rsidR="00403AAD" w:rsidRPr="00286216" w14:paraId="6B0E8889" w14:textId="77777777" w:rsidTr="00091AA5">
        <w:tc>
          <w:tcPr>
            <w:tcW w:w="576" w:type="dxa"/>
          </w:tcPr>
          <w:p w14:paraId="0486FA33" w14:textId="77777777" w:rsidR="00403AAD" w:rsidRPr="00286216" w:rsidRDefault="00403AAD" w:rsidP="00403AAD">
            <w:pPr>
              <w:pStyle w:val="StyleWisnow"/>
              <w:rPr>
                <w:color w:val="000000" w:themeColor="text1"/>
              </w:rPr>
            </w:pPr>
            <w:bookmarkStart w:id="488" w:name="n795" w:colFirst="0" w:colLast="0"/>
            <w:bookmarkEnd w:id="487"/>
            <w:r w:rsidRPr="00286216">
              <w:rPr>
                <w:color w:val="000000" w:themeColor="text1"/>
              </w:rPr>
              <w:t>795.</w:t>
            </w:r>
          </w:p>
        </w:tc>
        <w:tc>
          <w:tcPr>
            <w:tcW w:w="4818" w:type="dxa"/>
          </w:tcPr>
          <w:p w14:paraId="4939231C" w14:textId="77777777" w:rsidR="00403AAD" w:rsidRPr="00286216" w:rsidRDefault="00403AAD" w:rsidP="00403AAD">
            <w:pPr>
              <w:pStyle w:val="StyleZakonu"/>
              <w:rPr>
                <w:color w:val="000000" w:themeColor="text1"/>
              </w:rPr>
            </w:pPr>
            <w:r w:rsidRPr="00286216">
              <w:rPr>
                <w:color w:val="000000" w:themeColor="text1"/>
              </w:rPr>
              <w:t xml:space="preserve">3. Інвестиційна фірма зобов’язана подавати до Національної комісії з цінних паперів та фондового ринку повідомлення про кожен випадок порушення пов’язаним агентом внутрішніх правил та процедур, </w:t>
            </w:r>
            <w:r w:rsidRPr="00286216">
              <w:rPr>
                <w:color w:val="000000" w:themeColor="text1"/>
              </w:rPr>
              <w:lastRenderedPageBreak/>
              <w:t>встановлених інвестиційною фірмою в рамках провадження професійної діяльності на ринках капіталу.</w:t>
            </w:r>
          </w:p>
        </w:tc>
        <w:tc>
          <w:tcPr>
            <w:tcW w:w="3686" w:type="dxa"/>
          </w:tcPr>
          <w:p w14:paraId="3004C5EF" w14:textId="62D22188" w:rsidR="00403AAD" w:rsidRPr="00286216" w:rsidRDefault="00403AAD" w:rsidP="00403A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22A36B8"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Частину третю статті 45 після слів «Національної комісії з цінних паперів та фондового ринку» доповнити словами «офіційним каналом зв’язку».</w:t>
            </w:r>
          </w:p>
        </w:tc>
        <w:tc>
          <w:tcPr>
            <w:tcW w:w="1987" w:type="dxa"/>
          </w:tcPr>
          <w:p w14:paraId="688202F7"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EB89A91" w14:textId="4EBF6602" w:rsidR="00403AAD" w:rsidRPr="00286216" w:rsidRDefault="00403AAD" w:rsidP="00403AAD">
            <w:pPr>
              <w:pStyle w:val="StyleZakonu"/>
              <w:rPr>
                <w:color w:val="000000" w:themeColor="text1"/>
              </w:rPr>
            </w:pPr>
            <w:r w:rsidRPr="00286216">
              <w:rPr>
                <w:color w:val="000000" w:themeColor="text1"/>
              </w:rPr>
              <w:t xml:space="preserve">4. Інвестиційна фірма зобов’язана подавати до Національної комісії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повідомлення про кожен випадок порушення пов’язаним агентом </w:t>
            </w:r>
            <w:r w:rsidRPr="00286216">
              <w:rPr>
                <w:color w:val="000000" w:themeColor="text1"/>
              </w:rPr>
              <w:lastRenderedPageBreak/>
              <w:t>внутрішніх правил та процедур, встановлених інвестиційною фірмою в рамках провадження професійної діяльності на ринках капіталу.</w:t>
            </w:r>
          </w:p>
        </w:tc>
      </w:tr>
      <w:tr w:rsidR="00403AAD" w:rsidRPr="00286216" w14:paraId="74A8A66C" w14:textId="77777777" w:rsidTr="00091AA5">
        <w:tc>
          <w:tcPr>
            <w:tcW w:w="576" w:type="dxa"/>
          </w:tcPr>
          <w:p w14:paraId="2798E423" w14:textId="77777777" w:rsidR="00403AAD" w:rsidRPr="00286216" w:rsidRDefault="00403AAD" w:rsidP="00403AAD">
            <w:pPr>
              <w:pStyle w:val="StyleWisnow"/>
              <w:rPr>
                <w:color w:val="000000" w:themeColor="text1"/>
              </w:rPr>
            </w:pPr>
          </w:p>
        </w:tc>
        <w:tc>
          <w:tcPr>
            <w:tcW w:w="4818" w:type="dxa"/>
          </w:tcPr>
          <w:p w14:paraId="2F74C9A3" w14:textId="77777777" w:rsidR="00403AAD" w:rsidRPr="00286216" w:rsidRDefault="00403AAD" w:rsidP="00403AAD">
            <w:pPr>
              <w:pStyle w:val="StyleZakonu"/>
              <w:rPr>
                <w:color w:val="000000" w:themeColor="text1"/>
              </w:rPr>
            </w:pPr>
          </w:p>
        </w:tc>
        <w:tc>
          <w:tcPr>
            <w:tcW w:w="3686" w:type="dxa"/>
          </w:tcPr>
          <w:p w14:paraId="2E685186" w14:textId="3F2F2472"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445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30C5D50" w14:textId="77777777" w:rsidR="00403AAD" w:rsidRPr="00286216" w:rsidRDefault="00403AAD" w:rsidP="00403AAD">
            <w:pPr>
              <w:pStyle w:val="StyleProp"/>
              <w:spacing w:line="190" w:lineRule="exact"/>
              <w:rPr>
                <w:color w:val="000000" w:themeColor="text1"/>
              </w:rPr>
            </w:pPr>
            <w:r w:rsidRPr="00286216">
              <w:rPr>
                <w:color w:val="000000" w:themeColor="text1"/>
              </w:rPr>
              <w:t>Доповнити текст розділу 1 законопроекту статтею 45-1 такого змісту:</w:t>
            </w:r>
          </w:p>
          <w:p w14:paraId="3C64CBE3" w14:textId="77777777" w:rsidR="00403AAD" w:rsidRPr="00286216" w:rsidRDefault="00403AAD" w:rsidP="00403AAD">
            <w:pPr>
              <w:pStyle w:val="StyleProp"/>
              <w:spacing w:line="190" w:lineRule="exact"/>
              <w:rPr>
                <w:color w:val="000000" w:themeColor="text1"/>
              </w:rPr>
            </w:pPr>
            <w:r w:rsidRPr="00286216">
              <w:rPr>
                <w:color w:val="000000" w:themeColor="text1"/>
              </w:rPr>
              <w:t>"Стаття 45-1. Багатостороння система організованого ринку</w:t>
            </w:r>
          </w:p>
          <w:p w14:paraId="01EE86D4" w14:textId="77777777" w:rsidR="00403AAD" w:rsidRPr="00286216" w:rsidRDefault="00403AAD" w:rsidP="00403AAD">
            <w:pPr>
              <w:pStyle w:val="StyleProp"/>
              <w:spacing w:line="190" w:lineRule="exact"/>
              <w:rPr>
                <w:color w:val="000000" w:themeColor="text1"/>
              </w:rPr>
            </w:pPr>
            <w:r w:rsidRPr="00286216">
              <w:rPr>
                <w:color w:val="000000" w:themeColor="text1"/>
              </w:rPr>
              <w:t>1.Багатостороння система – інформаційно-телекомунікаційна система, яка відповідає вимогам, встановленим Національною комісією з цінних паперів та фондового ринку, та забезпечує обмін інформацією про намір осіб, що створили таку інформацію, вчинити правочин щодо конкретно визначених активів, що допущені до торгів на організованому ринку, а також створює організаційно-технічні умови для вчинення таких правочинів.</w:t>
            </w:r>
          </w:p>
          <w:p w14:paraId="36B731CE"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2. Централізоване виконання вчинених правочинів у багатосторонній системі (централізоване виконання правочинів) – передбачене правилами функціонування багатосторонньої системи обов’язкове здійснення сторонами правочину, вчиненого у такій системі, погоджених дій, спрямованих на виконання зобов’язань, що виникли внаслідок вчинення правочину, та/або спрямованих на реалізацію прав, передбачених таким правочином. </w:t>
            </w:r>
          </w:p>
          <w:p w14:paraId="2CFE8DEC"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При цьому, такі погоджені дії здійснюються в результаті функціонування інформаційної та телекомунікаційної систем відповідно до правил особи, яка провадить клірингову діяльність, визначеної оператором такої багатосторонньої системи, відповідно до правил функціонування відповідного організованого ринку, що відповідають вимогам статті 50 цього Закону. </w:t>
            </w:r>
          </w:p>
          <w:p w14:paraId="3C97584C" w14:textId="77777777" w:rsidR="00403AAD" w:rsidRPr="00286216" w:rsidRDefault="00403AAD" w:rsidP="00403AAD">
            <w:pPr>
              <w:pStyle w:val="StyleProp"/>
              <w:spacing w:line="190" w:lineRule="exact"/>
              <w:rPr>
                <w:color w:val="000000" w:themeColor="text1"/>
              </w:rPr>
            </w:pPr>
            <w:r w:rsidRPr="00286216">
              <w:rPr>
                <w:color w:val="000000" w:themeColor="text1"/>
              </w:rPr>
              <w:t>Оператор багатосторонньої системи отримує інформацію про будь-які факти невчинення зазначених погоджених дій.</w:t>
            </w:r>
          </w:p>
          <w:p w14:paraId="152332FB" w14:textId="77777777" w:rsidR="00403AAD" w:rsidRPr="00286216" w:rsidRDefault="00403AAD" w:rsidP="00403AAD">
            <w:pPr>
              <w:pStyle w:val="StyleProp"/>
              <w:spacing w:line="190" w:lineRule="exact"/>
              <w:rPr>
                <w:color w:val="000000" w:themeColor="text1"/>
              </w:rPr>
            </w:pPr>
            <w:r w:rsidRPr="00286216">
              <w:rPr>
                <w:color w:val="000000" w:themeColor="text1"/>
              </w:rPr>
              <w:t xml:space="preserve">3. Централізоване вчинення правочинів у багатосторонній системі (централізоване вчинення правочинів) - передбачене правилами функціонування багатосторонньої системи вчинення двома або більше сторонами погоджених дій, спрямованих на набуття, зміну або припинення цивільних прав та обов’язків, що є результатом функціонуванням створеної оператором багатосторонньої системи інформаційної та </w:t>
            </w:r>
            <w:r w:rsidRPr="00286216">
              <w:rPr>
                <w:color w:val="000000" w:themeColor="text1"/>
              </w:rPr>
              <w:lastRenderedPageBreak/>
              <w:t>телекомунікаційної систем.</w:t>
            </w:r>
          </w:p>
          <w:p w14:paraId="026772B9" w14:textId="77777777" w:rsidR="00403AAD" w:rsidRPr="00286216" w:rsidRDefault="00403AAD" w:rsidP="00403AAD">
            <w:pPr>
              <w:pStyle w:val="StyleProp"/>
              <w:spacing w:line="190" w:lineRule="exact"/>
              <w:rPr>
                <w:color w:val="000000" w:themeColor="text1"/>
              </w:rPr>
            </w:pPr>
            <w:r w:rsidRPr="00286216">
              <w:rPr>
                <w:color w:val="000000" w:themeColor="text1"/>
              </w:rPr>
              <w:t>4. Національна комісія з цінних паперів та фондового ринку має право встановлювати факт наявності в документах, що регулюють діяльність багатосторонньої системи, положень, що передбачають обов’язковість централізованого вчинення та централізованого виконання правочинів".</w:t>
            </w:r>
          </w:p>
        </w:tc>
        <w:tc>
          <w:tcPr>
            <w:tcW w:w="1987" w:type="dxa"/>
          </w:tcPr>
          <w:p w14:paraId="55A8C4C6"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1FA98A46" w14:textId="77777777" w:rsidR="00403AAD" w:rsidRPr="00286216" w:rsidRDefault="00403AAD" w:rsidP="00403AAD">
            <w:pPr>
              <w:pStyle w:val="StyleZakonu"/>
              <w:rPr>
                <w:color w:val="000000" w:themeColor="text1"/>
              </w:rPr>
            </w:pPr>
            <w:r w:rsidRPr="00286216">
              <w:rPr>
                <w:color w:val="000000" w:themeColor="text1"/>
              </w:rPr>
              <w:t>Стаття 48. Багатостороння система організованого ринку</w:t>
            </w:r>
          </w:p>
          <w:p w14:paraId="462A5095" w14:textId="77777777" w:rsidR="00403AAD" w:rsidRPr="00286216" w:rsidRDefault="00403AAD" w:rsidP="00403AAD">
            <w:pPr>
              <w:pStyle w:val="StyleZakonu"/>
              <w:rPr>
                <w:color w:val="000000" w:themeColor="text1"/>
              </w:rPr>
            </w:pPr>
            <w:r w:rsidRPr="00286216">
              <w:rPr>
                <w:color w:val="000000" w:themeColor="text1"/>
              </w:rPr>
              <w:t>1. Багатостороння система організованого ринку (далі – багатостороння система) – це інформаційно-телекомунікаційна система, яка відповідає вимогам, встановленим Національною комісією з цінних паперів та фондового ринку,  забезпечує обмін інформацією про намір осіб, що створили таку інформацію, вчинити правочин щодо конкретно визначених активів,  допущених до торгів на організованому ринку, а також створює організаційно-технічні умови для вчинення таких правочинів.</w:t>
            </w:r>
          </w:p>
          <w:p w14:paraId="606243F6" w14:textId="77777777" w:rsidR="00403AAD" w:rsidRPr="00286216" w:rsidRDefault="00403AAD" w:rsidP="00403AAD">
            <w:pPr>
              <w:pStyle w:val="StyleZakonu"/>
              <w:rPr>
                <w:color w:val="000000" w:themeColor="text1"/>
              </w:rPr>
            </w:pPr>
            <w:r w:rsidRPr="00286216">
              <w:rPr>
                <w:color w:val="000000" w:themeColor="text1"/>
              </w:rPr>
              <w:t xml:space="preserve">2. Централізоване виконання вчинених правочинів у багатосторонній системі (далі – централізоване виконання правочинів) – це передбачене правилами функціонування багатосторонньої системи обов’язкове здійснення сторонами правочину, вчиненого у такій системі, погоджених дій, спрямованих на виконання зобов’язань, що виникли внаслідок вчинення правочину, та/або спрямованих на реалізацію прав, передбачених таким правочином. </w:t>
            </w:r>
          </w:p>
          <w:p w14:paraId="34D61A6C" w14:textId="77777777" w:rsidR="00403AAD" w:rsidRPr="00286216" w:rsidRDefault="00403AAD" w:rsidP="00403AAD">
            <w:pPr>
              <w:pStyle w:val="StyleZakonu"/>
              <w:rPr>
                <w:color w:val="000000" w:themeColor="text1"/>
              </w:rPr>
            </w:pPr>
            <w:r w:rsidRPr="00286216">
              <w:rPr>
                <w:color w:val="000000" w:themeColor="text1"/>
              </w:rPr>
              <w:t xml:space="preserve">При цьому, такі погоджені дії здійснюються в результаті функціонування інформаційної та телекомунікаційної систем відповідно до правил особи, яка провадить клірингову діяльність, визначеної оператором такої багатосторонньої системи, згідно з правилами функціонування відповідного організованого ринку, що відповідають вимогам статті 53 цього Закону. </w:t>
            </w:r>
          </w:p>
          <w:p w14:paraId="14C063D9" w14:textId="77777777" w:rsidR="00403AAD" w:rsidRPr="00286216" w:rsidRDefault="00403AAD" w:rsidP="00403AAD">
            <w:pPr>
              <w:pStyle w:val="StyleZakonu"/>
              <w:rPr>
                <w:color w:val="000000" w:themeColor="text1"/>
              </w:rPr>
            </w:pPr>
            <w:r w:rsidRPr="00286216">
              <w:rPr>
                <w:color w:val="000000" w:themeColor="text1"/>
              </w:rPr>
              <w:t>Оператор багатосторонньої системи отримує інформацію про будь-які факти невчинення зазначених погоджених дій.</w:t>
            </w:r>
          </w:p>
          <w:p w14:paraId="33C341AB" w14:textId="77777777" w:rsidR="00403AAD" w:rsidRPr="00286216" w:rsidRDefault="00403AAD" w:rsidP="00403AAD">
            <w:pPr>
              <w:pStyle w:val="StyleZakonu"/>
              <w:rPr>
                <w:color w:val="000000" w:themeColor="text1"/>
              </w:rPr>
            </w:pPr>
            <w:r w:rsidRPr="00286216">
              <w:rPr>
                <w:color w:val="000000" w:themeColor="text1"/>
              </w:rPr>
              <w:t xml:space="preserve">3. Централізоване вчинення правочинів у багатосторонній системі (далі – централізоване вчинення правочинів) - це передбачене правилами функціонування багатосторонньої системи вчинення двома або більше сторонами погоджених дій, спрямованих на набуття, зміну або припинення цивільних прав та обов’язків, що є результатом функціонування створеної оператором </w:t>
            </w:r>
            <w:r w:rsidRPr="00286216">
              <w:rPr>
                <w:color w:val="000000" w:themeColor="text1"/>
              </w:rPr>
              <w:lastRenderedPageBreak/>
              <w:t>багатосторонньої системи інформаційної та телекомунікаційної систем.</w:t>
            </w:r>
          </w:p>
          <w:p w14:paraId="06D00050" w14:textId="64BAFBAF" w:rsidR="00403AAD" w:rsidRPr="00286216" w:rsidRDefault="00403AAD" w:rsidP="00403AAD">
            <w:pPr>
              <w:pStyle w:val="StyleZakonu"/>
              <w:rPr>
                <w:color w:val="000000" w:themeColor="text1"/>
              </w:rPr>
            </w:pPr>
            <w:r w:rsidRPr="00286216">
              <w:rPr>
                <w:color w:val="000000" w:themeColor="text1"/>
              </w:rPr>
              <w:t>4. Національна комісія з цінних паперів та фондового ринку має право встановлювати факт наявності в документах, що регулюють діяльність багатосторонньої системи, положень, що передбачають обов’язковість централізованого вчинення та централізованого виконання правочинів.</w:t>
            </w:r>
          </w:p>
        </w:tc>
      </w:tr>
      <w:tr w:rsidR="00403AAD" w:rsidRPr="00286216" w14:paraId="66E9108A" w14:textId="77777777" w:rsidTr="00091AA5">
        <w:tc>
          <w:tcPr>
            <w:tcW w:w="576" w:type="dxa"/>
          </w:tcPr>
          <w:p w14:paraId="05056144" w14:textId="77777777" w:rsidR="00403AAD" w:rsidRPr="00286216" w:rsidRDefault="00403AAD" w:rsidP="00403AAD">
            <w:pPr>
              <w:pStyle w:val="StyleWisnow"/>
              <w:rPr>
                <w:color w:val="000000" w:themeColor="text1"/>
              </w:rPr>
            </w:pPr>
            <w:bookmarkStart w:id="489" w:name="n796" w:colFirst="0" w:colLast="0"/>
            <w:bookmarkEnd w:id="488"/>
            <w:r w:rsidRPr="00286216">
              <w:rPr>
                <w:color w:val="000000" w:themeColor="text1"/>
              </w:rPr>
              <w:lastRenderedPageBreak/>
              <w:t>796.</w:t>
            </w:r>
          </w:p>
        </w:tc>
        <w:tc>
          <w:tcPr>
            <w:tcW w:w="4818" w:type="dxa"/>
          </w:tcPr>
          <w:p w14:paraId="3A713410" w14:textId="77777777" w:rsidR="00403AAD" w:rsidRPr="00286216" w:rsidRDefault="00403AAD" w:rsidP="00403AAD">
            <w:pPr>
              <w:pStyle w:val="StyleZakonu"/>
              <w:rPr>
                <w:color w:val="000000" w:themeColor="text1"/>
              </w:rPr>
            </w:pPr>
            <w:bookmarkStart w:id="490" w:name="_Ref19264006"/>
            <w:bookmarkStart w:id="491" w:name="_Ref16415379"/>
            <w:r w:rsidRPr="00286216">
              <w:rPr>
                <w:color w:val="000000" w:themeColor="text1"/>
              </w:rPr>
              <w:t>Стаття 46. Діяльність з організації торгівлі фінансовими інструментами</w:t>
            </w:r>
            <w:bookmarkEnd w:id="490"/>
            <w:bookmarkEnd w:id="491"/>
          </w:p>
        </w:tc>
        <w:tc>
          <w:tcPr>
            <w:tcW w:w="3686" w:type="dxa"/>
          </w:tcPr>
          <w:p w14:paraId="23E712CB" w14:textId="29D71F81"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2C8CC6F" w14:textId="77777777" w:rsidR="00403AAD" w:rsidRPr="00286216" w:rsidRDefault="00403AAD" w:rsidP="00403AAD">
            <w:pPr>
              <w:pStyle w:val="StyleProp"/>
              <w:rPr>
                <w:color w:val="000000" w:themeColor="text1"/>
                <w:szCs w:val="18"/>
              </w:rPr>
            </w:pPr>
            <w:r w:rsidRPr="00286216">
              <w:rPr>
                <w:color w:val="000000" w:themeColor="text1"/>
                <w:szCs w:val="18"/>
              </w:rPr>
              <w:t>У статті 46 нової редакції Закону:</w:t>
            </w:r>
          </w:p>
          <w:p w14:paraId="1C57C499" w14:textId="77777777" w:rsidR="00403AAD" w:rsidRPr="00286216" w:rsidRDefault="00403AAD" w:rsidP="00403AAD">
            <w:pPr>
              <w:pStyle w:val="StyleProp"/>
              <w:rPr>
                <w:color w:val="000000" w:themeColor="text1"/>
                <w:szCs w:val="18"/>
              </w:rPr>
            </w:pPr>
            <w:r w:rsidRPr="00286216">
              <w:rPr>
                <w:color w:val="000000" w:themeColor="text1"/>
                <w:szCs w:val="18"/>
              </w:rPr>
              <w:t>у назві  статті слова «торгівлі фінансовими інструментами» замінити словами «обігу фінансових інструментів».</w:t>
            </w:r>
          </w:p>
        </w:tc>
        <w:tc>
          <w:tcPr>
            <w:tcW w:w="1987" w:type="dxa"/>
          </w:tcPr>
          <w:p w14:paraId="6E1DE83D"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0C635104"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5927CCCF" w14:textId="3018A1D2" w:rsidR="00403AAD" w:rsidRPr="00286216" w:rsidRDefault="00403AAD" w:rsidP="00403AAD">
            <w:pPr>
              <w:pStyle w:val="StyleZakonu"/>
              <w:rPr>
                <w:color w:val="000000" w:themeColor="text1"/>
              </w:rPr>
            </w:pPr>
            <w:r w:rsidRPr="00286216">
              <w:rPr>
                <w:color w:val="000000" w:themeColor="text1"/>
              </w:rPr>
              <w:t>Стаття 49. Професійна діяльність з організації торгівлі фінансовими інструментами</w:t>
            </w:r>
          </w:p>
        </w:tc>
      </w:tr>
      <w:tr w:rsidR="00403AAD" w:rsidRPr="00286216" w14:paraId="4E88C3BD" w14:textId="77777777" w:rsidTr="00091AA5">
        <w:tc>
          <w:tcPr>
            <w:tcW w:w="576" w:type="dxa"/>
          </w:tcPr>
          <w:p w14:paraId="162C7B31" w14:textId="77777777" w:rsidR="00403AAD" w:rsidRPr="00286216" w:rsidRDefault="00403AAD" w:rsidP="00403AAD">
            <w:pPr>
              <w:pStyle w:val="StyleWisnow"/>
              <w:rPr>
                <w:color w:val="000000" w:themeColor="text1"/>
              </w:rPr>
            </w:pPr>
            <w:bookmarkStart w:id="492" w:name="n797" w:colFirst="0" w:colLast="0"/>
            <w:bookmarkEnd w:id="489"/>
            <w:r w:rsidRPr="00286216">
              <w:rPr>
                <w:color w:val="000000" w:themeColor="text1"/>
              </w:rPr>
              <w:t>797.</w:t>
            </w:r>
          </w:p>
        </w:tc>
        <w:tc>
          <w:tcPr>
            <w:tcW w:w="4818" w:type="dxa"/>
          </w:tcPr>
          <w:p w14:paraId="437EC059" w14:textId="77777777" w:rsidR="00403AAD" w:rsidRPr="00286216" w:rsidRDefault="00403AAD" w:rsidP="00403AAD">
            <w:pPr>
              <w:pStyle w:val="StyleZakonu"/>
              <w:rPr>
                <w:color w:val="000000" w:themeColor="text1"/>
              </w:rPr>
            </w:pPr>
            <w:bookmarkStart w:id="493" w:name="_Ref20826576"/>
            <w:r w:rsidRPr="00286216">
              <w:rPr>
                <w:color w:val="000000" w:themeColor="text1"/>
              </w:rPr>
              <w:t>1. Діяльність з організації торгівлі фінансовими інструментами включає:</w:t>
            </w:r>
            <w:bookmarkEnd w:id="493"/>
          </w:p>
        </w:tc>
        <w:tc>
          <w:tcPr>
            <w:tcW w:w="3686" w:type="dxa"/>
          </w:tcPr>
          <w:p w14:paraId="70A5DCFD" w14:textId="0917FC55"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61BBAC4" w14:textId="77777777" w:rsidR="00403AAD" w:rsidRPr="00286216" w:rsidRDefault="00403AAD" w:rsidP="00403AAD">
            <w:pPr>
              <w:pStyle w:val="StyleProp"/>
              <w:rPr>
                <w:color w:val="000000" w:themeColor="text1"/>
                <w:spacing w:val="-4"/>
                <w:szCs w:val="18"/>
              </w:rPr>
            </w:pPr>
            <w:r w:rsidRPr="00286216">
              <w:rPr>
                <w:color w:val="000000" w:themeColor="text1"/>
                <w:spacing w:val="-4"/>
                <w:szCs w:val="18"/>
              </w:rPr>
              <w:t>частину 1 статті 46 викласти в такій редакції:</w:t>
            </w:r>
          </w:p>
          <w:p w14:paraId="10D8B790" w14:textId="77777777" w:rsidR="00403AAD" w:rsidRPr="00286216" w:rsidRDefault="00403AAD" w:rsidP="00403AAD">
            <w:pPr>
              <w:pStyle w:val="StyleProp"/>
              <w:rPr>
                <w:color w:val="000000" w:themeColor="text1"/>
                <w:szCs w:val="18"/>
              </w:rPr>
            </w:pPr>
            <w:r w:rsidRPr="00286216">
              <w:rPr>
                <w:color w:val="000000" w:themeColor="text1"/>
                <w:szCs w:val="18"/>
              </w:rPr>
              <w:t>«1. Діяльність з організації обігу фінансовими інструментами включає:</w:t>
            </w:r>
          </w:p>
        </w:tc>
        <w:tc>
          <w:tcPr>
            <w:tcW w:w="1987" w:type="dxa"/>
          </w:tcPr>
          <w:p w14:paraId="6506D84A"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52A48BF0"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0D995619" w14:textId="205FAD18" w:rsidR="00403AAD" w:rsidRPr="00286216" w:rsidRDefault="00403AAD" w:rsidP="00403AAD">
            <w:pPr>
              <w:pStyle w:val="StyleZakonu"/>
              <w:rPr>
                <w:color w:val="000000" w:themeColor="text1"/>
              </w:rPr>
            </w:pPr>
            <w:r w:rsidRPr="00286216">
              <w:rPr>
                <w:color w:val="000000" w:themeColor="text1"/>
              </w:rPr>
              <w:t>1. Професійна діяльність з організації торгівлі фінансовими інструментами включає таки види діяльності:</w:t>
            </w:r>
          </w:p>
        </w:tc>
      </w:tr>
      <w:tr w:rsidR="00403AAD" w:rsidRPr="00286216" w14:paraId="6E39897E" w14:textId="77777777" w:rsidTr="00091AA5">
        <w:tc>
          <w:tcPr>
            <w:tcW w:w="576" w:type="dxa"/>
          </w:tcPr>
          <w:p w14:paraId="6FCA0E83" w14:textId="77777777" w:rsidR="00403AAD" w:rsidRPr="00286216" w:rsidRDefault="00403AAD" w:rsidP="00403AAD">
            <w:pPr>
              <w:pStyle w:val="StyleWisnow"/>
              <w:rPr>
                <w:color w:val="000000" w:themeColor="text1"/>
              </w:rPr>
            </w:pPr>
            <w:bookmarkStart w:id="494" w:name="n798" w:colFirst="0" w:colLast="0"/>
            <w:bookmarkEnd w:id="492"/>
            <w:r w:rsidRPr="00286216">
              <w:rPr>
                <w:color w:val="000000" w:themeColor="text1"/>
              </w:rPr>
              <w:t>798.</w:t>
            </w:r>
          </w:p>
        </w:tc>
        <w:tc>
          <w:tcPr>
            <w:tcW w:w="4818" w:type="dxa"/>
          </w:tcPr>
          <w:p w14:paraId="359BA429" w14:textId="77777777" w:rsidR="00403AAD" w:rsidRPr="00286216" w:rsidRDefault="00403AAD" w:rsidP="00403AAD">
            <w:pPr>
              <w:pStyle w:val="StyleZakonu"/>
              <w:rPr>
                <w:color w:val="000000" w:themeColor="text1"/>
              </w:rPr>
            </w:pPr>
            <w:bookmarkStart w:id="495" w:name="_Ref20826560"/>
            <w:r w:rsidRPr="00286216">
              <w:rPr>
                <w:color w:val="000000" w:themeColor="text1"/>
              </w:rPr>
              <w:t>1) діяльність з організації торгівлі на регульованих ринках, що включає:</w:t>
            </w:r>
            <w:bookmarkEnd w:id="495"/>
          </w:p>
        </w:tc>
        <w:tc>
          <w:tcPr>
            <w:tcW w:w="3686" w:type="dxa"/>
          </w:tcPr>
          <w:p w14:paraId="2EF59A61"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1) діяльність з організації обігу на регульованих ринках, що включає:</w:t>
            </w:r>
          </w:p>
          <w:p w14:paraId="1F303AC8"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а) організацію обігу цінних паперів на регульованому фондовому ринку;</w:t>
            </w:r>
          </w:p>
          <w:p w14:paraId="184BBF5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б) організацію обігу деривативних  контрактів на регульованому ринку деривативних  контрактів;</w:t>
            </w:r>
          </w:p>
          <w:p w14:paraId="2CF7EDF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організацію обігу інструментів грошового ринку на регульованому грошовому ринку;</w:t>
            </w:r>
          </w:p>
          <w:p w14:paraId="3E708DD2"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2) діяльність з організації обігу на БТМ, що включає:</w:t>
            </w:r>
          </w:p>
          <w:p w14:paraId="7EFD8581"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а) організацію обігу цінних паперів на фондовому БТМ;</w:t>
            </w:r>
          </w:p>
          <w:p w14:paraId="5EF7AC5C"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б) організацію обігу деривативних контрактів на БТМ деривативних контрактів;</w:t>
            </w:r>
          </w:p>
          <w:p w14:paraId="5E9C210F"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3) діяльність з організації обігу на ОТМ, що включає:</w:t>
            </w:r>
          </w:p>
          <w:p w14:paraId="26AD1BE9"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а) організацію обігу облігацій на ОТМ облігацій;</w:t>
            </w:r>
          </w:p>
          <w:p w14:paraId="5A147CDB"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б) організацію обігу деривативних контрактів на ОТМ деривативних контрактів.</w:t>
            </w:r>
          </w:p>
          <w:p w14:paraId="5F06B4C6"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На провадження кожного виду діяльності з організації обігу фінансових інструментів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c>
          <w:tcPr>
            <w:tcW w:w="1987" w:type="dxa"/>
          </w:tcPr>
          <w:p w14:paraId="1F51FA41" w14:textId="77777777" w:rsidR="00403AAD" w:rsidRPr="00286216" w:rsidRDefault="00403AAD" w:rsidP="00403AAD">
            <w:pPr>
              <w:pStyle w:val="StyleWisnow"/>
              <w:rPr>
                <w:color w:val="000000" w:themeColor="text1"/>
              </w:rPr>
            </w:pPr>
          </w:p>
        </w:tc>
        <w:tc>
          <w:tcPr>
            <w:tcW w:w="4818" w:type="dxa"/>
          </w:tcPr>
          <w:p w14:paraId="26FA5FCA" w14:textId="34ADE2DC" w:rsidR="00403AAD" w:rsidRPr="00286216" w:rsidRDefault="00403AAD" w:rsidP="00403AAD">
            <w:pPr>
              <w:pStyle w:val="StyleZakonu"/>
              <w:rPr>
                <w:color w:val="000000" w:themeColor="text1"/>
              </w:rPr>
            </w:pPr>
          </w:p>
        </w:tc>
      </w:tr>
      <w:tr w:rsidR="00403AAD" w:rsidRPr="00286216" w14:paraId="2AAC50C6" w14:textId="77777777" w:rsidTr="00091AA5">
        <w:tc>
          <w:tcPr>
            <w:tcW w:w="576" w:type="dxa"/>
          </w:tcPr>
          <w:p w14:paraId="305CA10F" w14:textId="77777777" w:rsidR="00403AAD" w:rsidRPr="00286216" w:rsidRDefault="00403AAD" w:rsidP="00403AAD">
            <w:pPr>
              <w:pStyle w:val="StyleWisnow"/>
              <w:rPr>
                <w:color w:val="000000" w:themeColor="text1"/>
              </w:rPr>
            </w:pPr>
            <w:bookmarkStart w:id="496" w:name="n799" w:colFirst="0" w:colLast="0"/>
            <w:bookmarkEnd w:id="494"/>
            <w:r w:rsidRPr="00286216">
              <w:rPr>
                <w:color w:val="000000" w:themeColor="text1"/>
              </w:rPr>
              <w:t>799.</w:t>
            </w:r>
          </w:p>
        </w:tc>
        <w:tc>
          <w:tcPr>
            <w:tcW w:w="4818" w:type="dxa"/>
          </w:tcPr>
          <w:p w14:paraId="6C9B80B5" w14:textId="77777777" w:rsidR="00403AAD" w:rsidRPr="00286216" w:rsidRDefault="00403AAD" w:rsidP="00403AAD">
            <w:pPr>
              <w:pStyle w:val="StyleZakonu"/>
              <w:rPr>
                <w:color w:val="000000" w:themeColor="text1"/>
              </w:rPr>
            </w:pPr>
            <w:r w:rsidRPr="00286216">
              <w:rPr>
                <w:color w:val="000000" w:themeColor="text1"/>
              </w:rPr>
              <w:t>а) організацію торгівлі цінними паперами на регульованому фондовому ринку;</w:t>
            </w:r>
          </w:p>
        </w:tc>
        <w:tc>
          <w:tcPr>
            <w:tcW w:w="3686" w:type="dxa"/>
          </w:tcPr>
          <w:p w14:paraId="550244B0" w14:textId="19E9BD6D"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448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4A58BCD" w14:textId="5311FB7D" w:rsidR="00403AAD" w:rsidRPr="00286216" w:rsidRDefault="00403AAD" w:rsidP="00403AAD">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tc>
        <w:tc>
          <w:tcPr>
            <w:tcW w:w="1987" w:type="dxa"/>
          </w:tcPr>
          <w:p w14:paraId="7DF10E9C" w14:textId="73E9C54C"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3CA8064" w14:textId="7C593E3F" w:rsidR="00403AAD" w:rsidRPr="00286216" w:rsidRDefault="00403AAD" w:rsidP="00403AAD">
            <w:pPr>
              <w:pStyle w:val="StyleZakonu"/>
              <w:rPr>
                <w:color w:val="000000" w:themeColor="text1"/>
              </w:rPr>
            </w:pPr>
            <w:r w:rsidRPr="00286216">
              <w:rPr>
                <w:color w:val="000000" w:themeColor="text1"/>
              </w:rPr>
              <w:t>1) діяльність з організації</w:t>
            </w:r>
            <w:r w:rsidRPr="00286216" w:rsidDel="006B0929">
              <w:rPr>
                <w:color w:val="000000" w:themeColor="text1"/>
              </w:rPr>
              <w:t xml:space="preserve"> </w:t>
            </w:r>
            <w:r w:rsidRPr="00286216">
              <w:rPr>
                <w:color w:val="000000" w:themeColor="text1"/>
              </w:rPr>
              <w:t>торгівлі цінними паперами на регульованому фондовому ринку;</w:t>
            </w:r>
          </w:p>
        </w:tc>
      </w:tr>
      <w:tr w:rsidR="00403AAD" w:rsidRPr="00286216" w14:paraId="53084B5C" w14:textId="77777777" w:rsidTr="00091AA5">
        <w:tc>
          <w:tcPr>
            <w:tcW w:w="576" w:type="dxa"/>
          </w:tcPr>
          <w:p w14:paraId="2FA38A9B" w14:textId="77777777" w:rsidR="00403AAD" w:rsidRPr="00286216" w:rsidRDefault="00403AAD" w:rsidP="00403AAD">
            <w:pPr>
              <w:pStyle w:val="StyleWisnow"/>
              <w:rPr>
                <w:color w:val="000000" w:themeColor="text1"/>
              </w:rPr>
            </w:pPr>
            <w:bookmarkStart w:id="497" w:name="n800" w:colFirst="0" w:colLast="0"/>
            <w:bookmarkEnd w:id="496"/>
            <w:r w:rsidRPr="00286216">
              <w:rPr>
                <w:color w:val="000000" w:themeColor="text1"/>
              </w:rPr>
              <w:t>800.</w:t>
            </w:r>
          </w:p>
        </w:tc>
        <w:tc>
          <w:tcPr>
            <w:tcW w:w="4818" w:type="dxa"/>
          </w:tcPr>
          <w:p w14:paraId="30092B82" w14:textId="77777777" w:rsidR="00403AAD" w:rsidRPr="00286216" w:rsidRDefault="00403AAD" w:rsidP="00403AAD">
            <w:pPr>
              <w:pStyle w:val="StyleZakonu"/>
              <w:rPr>
                <w:color w:val="000000" w:themeColor="text1"/>
              </w:rPr>
            </w:pPr>
            <w:bookmarkStart w:id="498" w:name="_Ref20826558"/>
            <w:r w:rsidRPr="00286216">
              <w:rPr>
                <w:color w:val="000000" w:themeColor="text1"/>
              </w:rPr>
              <w:t xml:space="preserve">б) організацію торгівлі деривативними (похідними) фінансовими інструментами на </w:t>
            </w:r>
            <w:r w:rsidRPr="00286216">
              <w:rPr>
                <w:color w:val="000000" w:themeColor="text1"/>
              </w:rPr>
              <w:lastRenderedPageBreak/>
              <w:t>регульованому ринку деривативних (похідних) фінансових інструментів;</w:t>
            </w:r>
            <w:bookmarkEnd w:id="498"/>
          </w:p>
        </w:tc>
        <w:tc>
          <w:tcPr>
            <w:tcW w:w="3686" w:type="dxa"/>
          </w:tcPr>
          <w:p w14:paraId="7BE79DA2" w14:textId="33D1A89B" w:rsidR="00403AAD" w:rsidRPr="00286216" w:rsidRDefault="00403AAD" w:rsidP="00403AAD">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449</w:t>
            </w:r>
            <w:r w:rsidRPr="00286216">
              <w:rPr>
                <w:color w:val="000000" w:themeColor="text1"/>
                <w:spacing w:val="-4"/>
              </w:rPr>
              <w:fldChar w:fldCharType="end"/>
            </w:r>
            <w:r w:rsidRPr="00286216">
              <w:rPr>
                <w:color w:val="000000" w:themeColor="text1"/>
                <w:spacing w:val="-4"/>
              </w:rPr>
              <w:t xml:space="preserve">-Народні депутати України – члени Комітету з питань фінансів, податкової та </w:t>
            </w:r>
            <w:r w:rsidRPr="00286216">
              <w:rPr>
                <w:color w:val="000000" w:themeColor="text1"/>
                <w:spacing w:val="-4"/>
              </w:rPr>
              <w:lastRenderedPageBreak/>
              <w:t>митної політики Гетманцев Д.О. та інші</w:t>
            </w:r>
          </w:p>
          <w:p w14:paraId="62D55903" w14:textId="1F17978E" w:rsidR="00403AAD" w:rsidRPr="00286216" w:rsidRDefault="00403AAD" w:rsidP="00403AAD">
            <w:pPr>
              <w:pStyle w:val="StyleProp"/>
              <w:spacing w:line="180" w:lineRule="exact"/>
              <w:rPr>
                <w:color w:val="000000" w:themeColor="text1"/>
                <w:spacing w:val="-2"/>
                <w:szCs w:val="18"/>
              </w:rPr>
            </w:pPr>
            <w:r w:rsidRPr="00286216">
              <w:rPr>
                <w:color w:val="000000" w:themeColor="text1"/>
                <w:spacing w:val="-2"/>
                <w:szCs w:val="18"/>
              </w:rPr>
              <w:t>З метою узгодження положень проекту назву та абзаци 1 – 8 статті 46 (редакції 1-го читання) викласти у такій редакції</w:t>
            </w:r>
          </w:p>
          <w:p w14:paraId="5355623C" w14:textId="10155F36" w:rsidR="00403AAD" w:rsidRPr="00286216" w:rsidRDefault="00403AAD" w:rsidP="00403AAD">
            <w:pPr>
              <w:pStyle w:val="StyleProp"/>
              <w:spacing w:line="180" w:lineRule="exact"/>
              <w:rPr>
                <w:color w:val="000000" w:themeColor="text1"/>
                <w:szCs w:val="18"/>
              </w:rPr>
            </w:pPr>
            <w:r w:rsidRPr="00286216">
              <w:rPr>
                <w:color w:val="000000" w:themeColor="text1"/>
              </w:rPr>
              <w:t>"Стаття 49. Професійна діяльність з організації торгівлі фінансовими інструментами</w:t>
            </w:r>
          </w:p>
        </w:tc>
        <w:tc>
          <w:tcPr>
            <w:tcW w:w="1987" w:type="dxa"/>
          </w:tcPr>
          <w:p w14:paraId="4B7FE64B"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p w14:paraId="0DA67DA1" w14:textId="04B2B8DF" w:rsidR="00403AAD" w:rsidRPr="00286216" w:rsidRDefault="00403AAD" w:rsidP="00403AAD">
            <w:pPr>
              <w:pStyle w:val="StyleWisnow"/>
              <w:spacing w:line="180" w:lineRule="exact"/>
              <w:rPr>
                <w:color w:val="000000" w:themeColor="text1"/>
              </w:rPr>
            </w:pPr>
            <w:r w:rsidRPr="00286216">
              <w:rPr>
                <w:color w:val="000000" w:themeColor="text1"/>
              </w:rPr>
              <w:t xml:space="preserve">відповідно до </w:t>
            </w:r>
            <w:r w:rsidRPr="00286216">
              <w:rPr>
                <w:color w:val="000000" w:themeColor="text1"/>
              </w:rPr>
              <w:lastRenderedPageBreak/>
              <w:t xml:space="preserve">доручення Комітету щодо техніко-юридичного доопрацювання редакції законопроекту </w:t>
            </w:r>
          </w:p>
        </w:tc>
        <w:tc>
          <w:tcPr>
            <w:tcW w:w="4818" w:type="dxa"/>
          </w:tcPr>
          <w:p w14:paraId="472E3732" w14:textId="0CE949B6" w:rsidR="00403AAD" w:rsidRPr="00286216" w:rsidRDefault="00403AAD" w:rsidP="00403AAD">
            <w:pPr>
              <w:pStyle w:val="StyleZakonu"/>
              <w:rPr>
                <w:color w:val="000000" w:themeColor="text1"/>
              </w:rPr>
            </w:pPr>
            <w:r w:rsidRPr="00286216">
              <w:rPr>
                <w:color w:val="000000" w:themeColor="text1"/>
              </w:rPr>
              <w:lastRenderedPageBreak/>
              <w:t>2) діяльність з організації</w:t>
            </w:r>
            <w:r w:rsidRPr="00286216" w:rsidDel="006B0929">
              <w:rPr>
                <w:color w:val="000000" w:themeColor="text1"/>
              </w:rPr>
              <w:t xml:space="preserve"> </w:t>
            </w:r>
            <w:r w:rsidRPr="00286216">
              <w:rPr>
                <w:color w:val="000000" w:themeColor="text1"/>
              </w:rPr>
              <w:t xml:space="preserve">укладення деривативних контрактів на регульованому ринку деривативних </w:t>
            </w:r>
            <w:r w:rsidRPr="00286216">
              <w:rPr>
                <w:color w:val="000000" w:themeColor="text1"/>
              </w:rPr>
              <w:lastRenderedPageBreak/>
              <w:t>контрактів;</w:t>
            </w:r>
          </w:p>
        </w:tc>
      </w:tr>
      <w:tr w:rsidR="00403AAD" w:rsidRPr="00286216" w14:paraId="2123CE99" w14:textId="77777777" w:rsidTr="00091AA5">
        <w:tc>
          <w:tcPr>
            <w:tcW w:w="576" w:type="dxa"/>
          </w:tcPr>
          <w:p w14:paraId="003FEC3B" w14:textId="2DC4A65A" w:rsidR="00403AAD" w:rsidRPr="00286216" w:rsidRDefault="00403AAD" w:rsidP="00403AAD">
            <w:pPr>
              <w:pStyle w:val="StyleWisnow"/>
              <w:rPr>
                <w:color w:val="000000" w:themeColor="text1"/>
              </w:rPr>
            </w:pPr>
            <w:bookmarkStart w:id="499" w:name="n801" w:colFirst="0" w:colLast="0"/>
            <w:bookmarkEnd w:id="497"/>
            <w:r w:rsidRPr="00286216">
              <w:rPr>
                <w:color w:val="000000" w:themeColor="text1"/>
              </w:rPr>
              <w:lastRenderedPageBreak/>
              <w:t>801.</w:t>
            </w:r>
          </w:p>
        </w:tc>
        <w:tc>
          <w:tcPr>
            <w:tcW w:w="4818" w:type="dxa"/>
          </w:tcPr>
          <w:p w14:paraId="2F5644D0" w14:textId="77777777" w:rsidR="00403AAD" w:rsidRPr="00286216" w:rsidRDefault="00403AAD" w:rsidP="00403AAD">
            <w:pPr>
              <w:pStyle w:val="StyleZakonu"/>
              <w:rPr>
                <w:color w:val="000000" w:themeColor="text1"/>
              </w:rPr>
            </w:pPr>
            <w:r w:rsidRPr="00286216">
              <w:rPr>
                <w:color w:val="000000" w:themeColor="text1"/>
              </w:rPr>
              <w:t>в) організацію торгівлі інструментами грошового ринку на регульованому грошовому ринку;</w:t>
            </w:r>
          </w:p>
        </w:tc>
        <w:tc>
          <w:tcPr>
            <w:tcW w:w="3686" w:type="dxa"/>
          </w:tcPr>
          <w:p w14:paraId="04389848" w14:textId="77777777" w:rsidR="00403AAD" w:rsidRPr="00286216" w:rsidRDefault="00403AAD" w:rsidP="00403AAD">
            <w:pPr>
              <w:pStyle w:val="StyleProp"/>
              <w:spacing w:line="180" w:lineRule="exact"/>
              <w:rPr>
                <w:color w:val="000000" w:themeColor="text1"/>
              </w:rPr>
            </w:pPr>
            <w:r w:rsidRPr="00286216">
              <w:rPr>
                <w:color w:val="000000" w:themeColor="text1"/>
              </w:rPr>
              <w:t>1. Професійна діяльність з організації торгівлі фінансовими інструментами включає таки види діяльності:</w:t>
            </w:r>
          </w:p>
          <w:p w14:paraId="0A36C166" w14:textId="77777777" w:rsidR="00403AAD" w:rsidRPr="00286216" w:rsidRDefault="00403AAD" w:rsidP="00403AAD">
            <w:pPr>
              <w:pStyle w:val="StyleProp"/>
              <w:spacing w:line="180" w:lineRule="exact"/>
              <w:rPr>
                <w:color w:val="000000" w:themeColor="text1"/>
              </w:rPr>
            </w:pPr>
            <w:r w:rsidRPr="00286216">
              <w:rPr>
                <w:color w:val="000000" w:themeColor="text1"/>
              </w:rPr>
              <w:t>1) діяльність з організації торгівлі цінними паперами на регульованому фондовому ринку;</w:t>
            </w:r>
          </w:p>
          <w:p w14:paraId="1B9AADF1" w14:textId="197887C0" w:rsidR="00403AAD" w:rsidRPr="00286216" w:rsidRDefault="00403AAD" w:rsidP="00403AAD">
            <w:pPr>
              <w:pStyle w:val="StyleProp"/>
              <w:spacing w:line="180" w:lineRule="exact"/>
              <w:rPr>
                <w:color w:val="000000" w:themeColor="text1"/>
                <w:szCs w:val="18"/>
              </w:rPr>
            </w:pPr>
            <w:r w:rsidRPr="00286216">
              <w:rPr>
                <w:color w:val="000000" w:themeColor="text1"/>
              </w:rPr>
              <w:t>2) діяльність з організації укладення деривативних контрактів на регульованому ринку деривативних контрактів;</w:t>
            </w:r>
          </w:p>
        </w:tc>
        <w:tc>
          <w:tcPr>
            <w:tcW w:w="1987" w:type="dxa"/>
          </w:tcPr>
          <w:p w14:paraId="180FB844" w14:textId="77777777" w:rsidR="00403AAD" w:rsidRPr="00286216" w:rsidRDefault="00403AAD" w:rsidP="00403AAD">
            <w:pPr>
              <w:pStyle w:val="StyleWisnow"/>
              <w:rPr>
                <w:color w:val="000000" w:themeColor="text1"/>
              </w:rPr>
            </w:pPr>
          </w:p>
        </w:tc>
        <w:tc>
          <w:tcPr>
            <w:tcW w:w="4818" w:type="dxa"/>
          </w:tcPr>
          <w:p w14:paraId="2E1CC7A5" w14:textId="3C8EC050" w:rsidR="00403AAD" w:rsidRPr="00286216" w:rsidRDefault="00403AAD" w:rsidP="00403AAD">
            <w:pPr>
              <w:pStyle w:val="StyleZakonu"/>
              <w:rPr>
                <w:color w:val="000000" w:themeColor="text1"/>
              </w:rPr>
            </w:pPr>
            <w:r w:rsidRPr="00286216">
              <w:rPr>
                <w:color w:val="000000" w:themeColor="text1"/>
              </w:rPr>
              <w:t>3) діяльність з організації</w:t>
            </w:r>
            <w:r w:rsidRPr="00286216" w:rsidDel="006B0929">
              <w:rPr>
                <w:color w:val="000000" w:themeColor="text1"/>
              </w:rPr>
              <w:t xml:space="preserve"> </w:t>
            </w:r>
            <w:r w:rsidRPr="00286216">
              <w:rPr>
                <w:color w:val="000000" w:themeColor="text1"/>
              </w:rPr>
              <w:t>торгівлі інструментами грошового ринку на регульованому грошовому ринку;</w:t>
            </w:r>
          </w:p>
        </w:tc>
      </w:tr>
      <w:tr w:rsidR="00403AAD" w:rsidRPr="00286216" w14:paraId="5508789E" w14:textId="77777777" w:rsidTr="00091AA5">
        <w:tc>
          <w:tcPr>
            <w:tcW w:w="576" w:type="dxa"/>
          </w:tcPr>
          <w:p w14:paraId="75B98C42" w14:textId="77777777" w:rsidR="00403AAD" w:rsidRPr="00286216" w:rsidRDefault="00403AAD" w:rsidP="00403AAD">
            <w:pPr>
              <w:pStyle w:val="StyleWisnow"/>
              <w:rPr>
                <w:color w:val="000000" w:themeColor="text1"/>
              </w:rPr>
            </w:pPr>
            <w:bookmarkStart w:id="500" w:name="n802" w:colFirst="0" w:colLast="0"/>
            <w:bookmarkEnd w:id="499"/>
            <w:r w:rsidRPr="00286216">
              <w:rPr>
                <w:color w:val="000000" w:themeColor="text1"/>
              </w:rPr>
              <w:t>802.</w:t>
            </w:r>
          </w:p>
        </w:tc>
        <w:tc>
          <w:tcPr>
            <w:tcW w:w="4818" w:type="dxa"/>
          </w:tcPr>
          <w:p w14:paraId="6A46C785" w14:textId="77777777" w:rsidR="00403AAD" w:rsidRPr="00286216" w:rsidRDefault="00403AAD" w:rsidP="00403AAD">
            <w:pPr>
              <w:pStyle w:val="StyleZakonu"/>
              <w:rPr>
                <w:color w:val="000000" w:themeColor="text1"/>
              </w:rPr>
            </w:pPr>
            <w:bookmarkStart w:id="501" w:name="_Ref20826565"/>
            <w:r w:rsidRPr="00286216">
              <w:rPr>
                <w:color w:val="000000" w:themeColor="text1"/>
              </w:rPr>
              <w:t>2) діяльність з організації торгівлі на БТМ, що включає:</w:t>
            </w:r>
            <w:bookmarkEnd w:id="501"/>
          </w:p>
        </w:tc>
        <w:tc>
          <w:tcPr>
            <w:tcW w:w="3686" w:type="dxa"/>
          </w:tcPr>
          <w:p w14:paraId="3E66689D" w14:textId="77777777" w:rsidR="00403AAD" w:rsidRPr="00286216" w:rsidRDefault="00403AAD" w:rsidP="00403AAD">
            <w:pPr>
              <w:pStyle w:val="StyleProp"/>
              <w:spacing w:line="180" w:lineRule="exact"/>
              <w:rPr>
                <w:color w:val="000000" w:themeColor="text1"/>
              </w:rPr>
            </w:pPr>
            <w:r w:rsidRPr="00286216">
              <w:rPr>
                <w:color w:val="000000" w:themeColor="text1"/>
              </w:rPr>
              <w:t>3) діяльність з організації торгівлі інструментами грошового ринку на регульованому грошовому ринку;</w:t>
            </w:r>
          </w:p>
          <w:p w14:paraId="79C819CF" w14:textId="77777777" w:rsidR="00403AAD" w:rsidRPr="00286216" w:rsidRDefault="00403AAD" w:rsidP="00403AAD">
            <w:pPr>
              <w:pStyle w:val="StyleProp"/>
              <w:spacing w:line="180" w:lineRule="exact"/>
              <w:rPr>
                <w:color w:val="000000" w:themeColor="text1"/>
              </w:rPr>
            </w:pPr>
            <w:r w:rsidRPr="00286216">
              <w:rPr>
                <w:color w:val="000000" w:themeColor="text1"/>
              </w:rPr>
              <w:t>4) діяльність з організації торгівлі цінними паперами на фондовій БТМ;</w:t>
            </w:r>
          </w:p>
          <w:p w14:paraId="386129C9" w14:textId="3FFC9AA1" w:rsidR="00403AAD" w:rsidRPr="00286216" w:rsidRDefault="00403AAD" w:rsidP="00403AAD">
            <w:pPr>
              <w:pStyle w:val="StyleProp"/>
              <w:spacing w:line="180" w:lineRule="exact"/>
              <w:rPr>
                <w:color w:val="000000" w:themeColor="text1"/>
                <w:szCs w:val="18"/>
              </w:rPr>
            </w:pPr>
            <w:r w:rsidRPr="00286216">
              <w:rPr>
                <w:color w:val="000000" w:themeColor="text1"/>
              </w:rPr>
              <w:t>5) діяльність з організації укладання деривативних контрактів на БТМ деривативних контрактів;</w:t>
            </w:r>
          </w:p>
        </w:tc>
        <w:tc>
          <w:tcPr>
            <w:tcW w:w="1987" w:type="dxa"/>
          </w:tcPr>
          <w:p w14:paraId="028CD027" w14:textId="77777777" w:rsidR="00403AAD" w:rsidRPr="00286216" w:rsidRDefault="00403AAD" w:rsidP="00403AAD">
            <w:pPr>
              <w:pStyle w:val="StyleWisnow"/>
              <w:rPr>
                <w:color w:val="000000" w:themeColor="text1"/>
              </w:rPr>
            </w:pPr>
          </w:p>
        </w:tc>
        <w:tc>
          <w:tcPr>
            <w:tcW w:w="4818" w:type="dxa"/>
          </w:tcPr>
          <w:p w14:paraId="6F1A0A42" w14:textId="03605131" w:rsidR="00403AAD" w:rsidRPr="00286216" w:rsidRDefault="00403AAD" w:rsidP="00403AAD">
            <w:pPr>
              <w:pStyle w:val="StyleZakonu"/>
              <w:rPr>
                <w:color w:val="000000" w:themeColor="text1"/>
              </w:rPr>
            </w:pPr>
          </w:p>
        </w:tc>
      </w:tr>
      <w:tr w:rsidR="00403AAD" w:rsidRPr="00286216" w14:paraId="48369001" w14:textId="77777777" w:rsidTr="00091AA5">
        <w:tc>
          <w:tcPr>
            <w:tcW w:w="576" w:type="dxa"/>
          </w:tcPr>
          <w:p w14:paraId="410832DE" w14:textId="77777777" w:rsidR="00403AAD" w:rsidRPr="00286216" w:rsidRDefault="00403AAD" w:rsidP="00403AAD">
            <w:pPr>
              <w:pStyle w:val="StyleWisnow"/>
              <w:rPr>
                <w:color w:val="000000" w:themeColor="text1"/>
              </w:rPr>
            </w:pPr>
            <w:bookmarkStart w:id="502" w:name="n803" w:colFirst="0" w:colLast="0"/>
            <w:bookmarkEnd w:id="500"/>
            <w:r w:rsidRPr="00286216">
              <w:rPr>
                <w:color w:val="000000" w:themeColor="text1"/>
              </w:rPr>
              <w:t>803.</w:t>
            </w:r>
          </w:p>
        </w:tc>
        <w:tc>
          <w:tcPr>
            <w:tcW w:w="4818" w:type="dxa"/>
          </w:tcPr>
          <w:p w14:paraId="729456F2" w14:textId="77777777" w:rsidR="00403AAD" w:rsidRPr="00286216" w:rsidRDefault="00403AAD" w:rsidP="00403AAD">
            <w:pPr>
              <w:pStyle w:val="StyleZakonu"/>
              <w:rPr>
                <w:color w:val="000000" w:themeColor="text1"/>
              </w:rPr>
            </w:pPr>
            <w:r w:rsidRPr="00286216">
              <w:rPr>
                <w:color w:val="000000" w:themeColor="text1"/>
              </w:rPr>
              <w:t>а) організацію торгівлі цінними паперами на фондовій БТМ;</w:t>
            </w:r>
          </w:p>
        </w:tc>
        <w:tc>
          <w:tcPr>
            <w:tcW w:w="3686" w:type="dxa"/>
          </w:tcPr>
          <w:p w14:paraId="038745F6" w14:textId="77777777" w:rsidR="00403AAD" w:rsidRPr="00286216" w:rsidRDefault="00403AAD" w:rsidP="00403AAD">
            <w:pPr>
              <w:pStyle w:val="StyleProp"/>
              <w:spacing w:line="180" w:lineRule="exact"/>
              <w:rPr>
                <w:color w:val="000000" w:themeColor="text1"/>
              </w:rPr>
            </w:pPr>
            <w:r w:rsidRPr="00286216">
              <w:rPr>
                <w:color w:val="000000" w:themeColor="text1"/>
              </w:rPr>
              <w:t>6) діяльність з організації торгівлі облігаціями на ОТМ облігацій;</w:t>
            </w:r>
          </w:p>
          <w:p w14:paraId="3FD87C1F" w14:textId="055284D2" w:rsidR="00403AAD" w:rsidRPr="00286216" w:rsidRDefault="00403AAD" w:rsidP="00403AAD">
            <w:pPr>
              <w:pStyle w:val="StyleProp"/>
              <w:rPr>
                <w:color w:val="000000" w:themeColor="text1"/>
                <w:szCs w:val="18"/>
              </w:rPr>
            </w:pPr>
            <w:r w:rsidRPr="00286216">
              <w:rPr>
                <w:color w:val="000000" w:themeColor="text1"/>
              </w:rPr>
              <w:t>7) діяльність з організації укладання деривативних контрактів на ОТМ деривативних контрактів".</w:t>
            </w:r>
          </w:p>
        </w:tc>
        <w:tc>
          <w:tcPr>
            <w:tcW w:w="1987" w:type="dxa"/>
          </w:tcPr>
          <w:p w14:paraId="6F1E94FD" w14:textId="77777777" w:rsidR="00403AAD" w:rsidRPr="00286216" w:rsidRDefault="00403AAD" w:rsidP="00403AAD">
            <w:pPr>
              <w:pStyle w:val="StyleWisnow"/>
              <w:rPr>
                <w:color w:val="000000" w:themeColor="text1"/>
              </w:rPr>
            </w:pPr>
          </w:p>
        </w:tc>
        <w:tc>
          <w:tcPr>
            <w:tcW w:w="4818" w:type="dxa"/>
          </w:tcPr>
          <w:p w14:paraId="0346A50D" w14:textId="53CAE235" w:rsidR="00403AAD" w:rsidRPr="00286216" w:rsidRDefault="00403AAD" w:rsidP="00403AAD">
            <w:pPr>
              <w:pStyle w:val="StyleZakonu"/>
              <w:rPr>
                <w:color w:val="000000" w:themeColor="text1"/>
              </w:rPr>
            </w:pPr>
            <w:r w:rsidRPr="00286216">
              <w:rPr>
                <w:color w:val="000000" w:themeColor="text1"/>
              </w:rPr>
              <w:t>4) діяльність з організації</w:t>
            </w:r>
            <w:r w:rsidRPr="00286216" w:rsidDel="006B0929">
              <w:rPr>
                <w:color w:val="000000" w:themeColor="text1"/>
              </w:rPr>
              <w:t xml:space="preserve"> </w:t>
            </w:r>
            <w:r w:rsidRPr="00286216">
              <w:rPr>
                <w:color w:val="000000" w:themeColor="text1"/>
              </w:rPr>
              <w:t>торгівлі цінними паперами на фондовому БТМ;</w:t>
            </w:r>
          </w:p>
        </w:tc>
      </w:tr>
      <w:tr w:rsidR="00403AAD" w:rsidRPr="00286216" w14:paraId="1054B541" w14:textId="77777777" w:rsidTr="00091AA5">
        <w:tc>
          <w:tcPr>
            <w:tcW w:w="576" w:type="dxa"/>
          </w:tcPr>
          <w:p w14:paraId="703F5D9D" w14:textId="77777777" w:rsidR="00403AAD" w:rsidRPr="00286216" w:rsidRDefault="00403AAD" w:rsidP="00403AAD">
            <w:pPr>
              <w:pStyle w:val="StyleWisnow"/>
              <w:rPr>
                <w:color w:val="000000" w:themeColor="text1"/>
              </w:rPr>
            </w:pPr>
            <w:bookmarkStart w:id="503" w:name="n804" w:colFirst="0" w:colLast="0"/>
            <w:bookmarkEnd w:id="502"/>
            <w:r w:rsidRPr="00286216">
              <w:rPr>
                <w:color w:val="000000" w:themeColor="text1"/>
              </w:rPr>
              <w:t>804.</w:t>
            </w:r>
          </w:p>
        </w:tc>
        <w:tc>
          <w:tcPr>
            <w:tcW w:w="4818" w:type="dxa"/>
          </w:tcPr>
          <w:p w14:paraId="49F74C6A" w14:textId="77777777" w:rsidR="00403AAD" w:rsidRPr="00286216" w:rsidRDefault="00403AAD" w:rsidP="00403AAD">
            <w:pPr>
              <w:pStyle w:val="StyleZakonu"/>
              <w:rPr>
                <w:color w:val="000000" w:themeColor="text1"/>
              </w:rPr>
            </w:pPr>
            <w:bookmarkStart w:id="504" w:name="_Ref20826564"/>
            <w:r w:rsidRPr="00286216">
              <w:rPr>
                <w:color w:val="000000" w:themeColor="text1"/>
              </w:rPr>
              <w:t>б) організацію торгівлі деривативними (похідними) фінансовими інструментами на БТМ деривативних (похідних) фінансових інструментів;</w:t>
            </w:r>
            <w:bookmarkEnd w:id="504"/>
          </w:p>
        </w:tc>
        <w:tc>
          <w:tcPr>
            <w:tcW w:w="3686" w:type="dxa"/>
          </w:tcPr>
          <w:p w14:paraId="2F3B6C6E" w14:textId="1FB712EA"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5BB7D59" w14:textId="77777777" w:rsidR="00403AAD" w:rsidRPr="00286216" w:rsidRDefault="00403AAD" w:rsidP="00403AAD">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tc>
        <w:tc>
          <w:tcPr>
            <w:tcW w:w="1987" w:type="dxa"/>
          </w:tcPr>
          <w:p w14:paraId="54C47A73"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09A73AF" w14:textId="3BF937F5" w:rsidR="00403AAD" w:rsidRPr="00286216" w:rsidRDefault="00403AAD" w:rsidP="00403AAD">
            <w:pPr>
              <w:pStyle w:val="StyleZakonu"/>
              <w:rPr>
                <w:color w:val="000000" w:themeColor="text1"/>
              </w:rPr>
            </w:pPr>
            <w:r w:rsidRPr="00286216">
              <w:rPr>
                <w:color w:val="000000" w:themeColor="text1"/>
              </w:rPr>
              <w:t>5) діяльність з організації</w:t>
            </w:r>
            <w:r w:rsidRPr="00286216" w:rsidDel="006B0929">
              <w:rPr>
                <w:color w:val="000000" w:themeColor="text1"/>
              </w:rPr>
              <w:t xml:space="preserve"> </w:t>
            </w:r>
            <w:r w:rsidRPr="00286216">
              <w:rPr>
                <w:color w:val="000000" w:themeColor="text1"/>
              </w:rPr>
              <w:t>укладення деривативних контрактів на БТМ деривативних контрактів;</w:t>
            </w:r>
          </w:p>
        </w:tc>
      </w:tr>
      <w:tr w:rsidR="00403AAD" w:rsidRPr="00286216" w14:paraId="2E702FFD" w14:textId="77777777" w:rsidTr="00091AA5">
        <w:tc>
          <w:tcPr>
            <w:tcW w:w="576" w:type="dxa"/>
          </w:tcPr>
          <w:p w14:paraId="1CBA2654" w14:textId="77777777" w:rsidR="00403AAD" w:rsidRPr="00286216" w:rsidRDefault="00403AAD" w:rsidP="00403AAD">
            <w:pPr>
              <w:pStyle w:val="StyleWisnow"/>
              <w:rPr>
                <w:color w:val="000000" w:themeColor="text1"/>
              </w:rPr>
            </w:pPr>
            <w:bookmarkStart w:id="505" w:name="n805" w:colFirst="0" w:colLast="0"/>
            <w:bookmarkEnd w:id="503"/>
            <w:r w:rsidRPr="00286216">
              <w:rPr>
                <w:color w:val="000000" w:themeColor="text1"/>
              </w:rPr>
              <w:t>805.</w:t>
            </w:r>
          </w:p>
        </w:tc>
        <w:tc>
          <w:tcPr>
            <w:tcW w:w="4818" w:type="dxa"/>
          </w:tcPr>
          <w:p w14:paraId="2C5D2255" w14:textId="77777777" w:rsidR="00403AAD" w:rsidRPr="00286216" w:rsidRDefault="00403AAD" w:rsidP="00403AAD">
            <w:pPr>
              <w:pStyle w:val="StyleZakonu"/>
              <w:rPr>
                <w:color w:val="000000" w:themeColor="text1"/>
              </w:rPr>
            </w:pPr>
            <w:bookmarkStart w:id="506" w:name="_Ref20826571"/>
            <w:r w:rsidRPr="00286216">
              <w:rPr>
                <w:color w:val="000000" w:themeColor="text1"/>
              </w:rPr>
              <w:t>3) діяльність з організації торгівлі на ОТМ, що включає:</w:t>
            </w:r>
            <w:bookmarkEnd w:id="506"/>
          </w:p>
        </w:tc>
        <w:tc>
          <w:tcPr>
            <w:tcW w:w="3686" w:type="dxa"/>
          </w:tcPr>
          <w:p w14:paraId="0BFAEB1A" w14:textId="1205A0CA" w:rsidR="00403AAD" w:rsidRPr="00286216" w:rsidRDefault="00403AAD" w:rsidP="00403AAD">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451</w:t>
            </w:r>
            <w:r w:rsidRPr="00286216">
              <w:rPr>
                <w:color w:val="000000" w:themeColor="text1"/>
                <w:spacing w:val="-4"/>
              </w:rPr>
              <w:fldChar w:fldCharType="end"/>
            </w:r>
            <w:r w:rsidRPr="00286216">
              <w:rPr>
                <w:color w:val="000000" w:themeColor="text1"/>
                <w:spacing w:val="-4"/>
              </w:rPr>
              <w:t>-Народні депутати України – члени Комітету з питань фінансів, податкової та митної політики Гетманцев Д.О. та інші</w:t>
            </w:r>
          </w:p>
        </w:tc>
        <w:tc>
          <w:tcPr>
            <w:tcW w:w="1987" w:type="dxa"/>
          </w:tcPr>
          <w:p w14:paraId="4F0051A7" w14:textId="77777777" w:rsidR="00403AAD" w:rsidRPr="00286216" w:rsidRDefault="00403AAD" w:rsidP="00403AAD">
            <w:pPr>
              <w:pStyle w:val="StyleWisnow"/>
              <w:rPr>
                <w:color w:val="000000" w:themeColor="text1"/>
              </w:rPr>
            </w:pPr>
            <w:r w:rsidRPr="00286216">
              <w:rPr>
                <w:color w:val="000000" w:themeColor="text1"/>
              </w:rPr>
              <w:t>Враховано</w:t>
            </w:r>
          </w:p>
          <w:p w14:paraId="3419FE37" w14:textId="058C563D" w:rsidR="00403AAD" w:rsidRPr="00286216" w:rsidRDefault="00403AAD" w:rsidP="00403AAD">
            <w:pPr>
              <w:pStyle w:val="StyleWisnow"/>
              <w:rPr>
                <w:color w:val="000000" w:themeColor="text1"/>
              </w:rPr>
            </w:pPr>
            <w:r w:rsidRPr="00286216">
              <w:rPr>
                <w:color w:val="000000" w:themeColor="text1"/>
              </w:rPr>
              <w:t xml:space="preserve">відповідно до доручення Комітету </w:t>
            </w:r>
          </w:p>
        </w:tc>
        <w:tc>
          <w:tcPr>
            <w:tcW w:w="4818" w:type="dxa"/>
          </w:tcPr>
          <w:p w14:paraId="643A5F8A" w14:textId="578F5B01" w:rsidR="00403AAD" w:rsidRPr="00286216" w:rsidRDefault="00403AAD" w:rsidP="00403AAD">
            <w:pPr>
              <w:pStyle w:val="StyleZakonu"/>
              <w:rPr>
                <w:color w:val="000000" w:themeColor="text1"/>
              </w:rPr>
            </w:pPr>
          </w:p>
        </w:tc>
      </w:tr>
      <w:tr w:rsidR="00403AAD" w:rsidRPr="00286216" w14:paraId="5F1636DD" w14:textId="77777777" w:rsidTr="00091AA5">
        <w:tc>
          <w:tcPr>
            <w:tcW w:w="576" w:type="dxa"/>
          </w:tcPr>
          <w:p w14:paraId="20EDC43E" w14:textId="77777777" w:rsidR="00403AAD" w:rsidRPr="00286216" w:rsidRDefault="00403AAD" w:rsidP="00403AAD">
            <w:pPr>
              <w:pStyle w:val="StyleWisnow"/>
              <w:rPr>
                <w:color w:val="000000" w:themeColor="text1"/>
              </w:rPr>
            </w:pPr>
            <w:bookmarkStart w:id="507" w:name="n806" w:colFirst="0" w:colLast="0"/>
            <w:bookmarkEnd w:id="505"/>
            <w:r w:rsidRPr="00286216">
              <w:rPr>
                <w:color w:val="000000" w:themeColor="text1"/>
              </w:rPr>
              <w:t>806.</w:t>
            </w:r>
          </w:p>
        </w:tc>
        <w:tc>
          <w:tcPr>
            <w:tcW w:w="4818" w:type="dxa"/>
          </w:tcPr>
          <w:p w14:paraId="5C8E555D" w14:textId="77777777" w:rsidR="00403AAD" w:rsidRPr="00286216" w:rsidRDefault="00403AAD" w:rsidP="00403AAD">
            <w:pPr>
              <w:pStyle w:val="StyleZakonu"/>
              <w:rPr>
                <w:color w:val="000000" w:themeColor="text1"/>
              </w:rPr>
            </w:pPr>
            <w:r w:rsidRPr="00286216">
              <w:rPr>
                <w:color w:val="000000" w:themeColor="text1"/>
              </w:rPr>
              <w:t>а) організацію торгівлі облігаціями на ОТМ облігацій;</w:t>
            </w:r>
          </w:p>
        </w:tc>
        <w:tc>
          <w:tcPr>
            <w:tcW w:w="3686" w:type="dxa"/>
          </w:tcPr>
          <w:p w14:paraId="5B6DBEA1" w14:textId="71854CF9" w:rsidR="00403AAD" w:rsidRPr="00286216" w:rsidRDefault="00403AAD" w:rsidP="00403AAD">
            <w:pPr>
              <w:pStyle w:val="StyleProp"/>
              <w:spacing w:line="180" w:lineRule="exact"/>
              <w:rPr>
                <w:color w:val="000000" w:themeColor="text1"/>
                <w:szCs w:val="18"/>
              </w:rPr>
            </w:pPr>
            <w:r w:rsidRPr="00286216">
              <w:rPr>
                <w:color w:val="000000" w:themeColor="text1"/>
                <w:szCs w:val="18"/>
              </w:rPr>
              <w:t>З метою узгодження положень законопроекту пропонується назви ліцензованих видів діяльності відобразити в інших положеннях законопроекту</w:t>
            </w:r>
          </w:p>
        </w:tc>
        <w:tc>
          <w:tcPr>
            <w:tcW w:w="1987" w:type="dxa"/>
          </w:tcPr>
          <w:p w14:paraId="1C370B45" w14:textId="15B6B221" w:rsidR="00403AAD" w:rsidRPr="00286216" w:rsidRDefault="00403AAD" w:rsidP="00403AAD">
            <w:pPr>
              <w:pStyle w:val="StyleWisnow"/>
              <w:spacing w:line="180" w:lineRule="exact"/>
              <w:rPr>
                <w:color w:val="000000" w:themeColor="text1"/>
              </w:rPr>
            </w:pPr>
            <w:r w:rsidRPr="00286216">
              <w:rPr>
                <w:color w:val="000000" w:themeColor="text1"/>
              </w:rPr>
              <w:t>щодо техніко-юридичного доопрацювання редакції законопроекту</w:t>
            </w:r>
          </w:p>
        </w:tc>
        <w:tc>
          <w:tcPr>
            <w:tcW w:w="4818" w:type="dxa"/>
          </w:tcPr>
          <w:p w14:paraId="06B8154F" w14:textId="72464CA0" w:rsidR="00403AAD" w:rsidRPr="00286216" w:rsidRDefault="00403AAD" w:rsidP="00403AAD">
            <w:pPr>
              <w:pStyle w:val="StyleZakonu"/>
              <w:rPr>
                <w:color w:val="000000" w:themeColor="text1"/>
              </w:rPr>
            </w:pPr>
            <w:r w:rsidRPr="00286216">
              <w:rPr>
                <w:color w:val="000000" w:themeColor="text1"/>
              </w:rPr>
              <w:t>6) діяльність з організації</w:t>
            </w:r>
            <w:r w:rsidRPr="00286216" w:rsidDel="006B0929">
              <w:rPr>
                <w:color w:val="000000" w:themeColor="text1"/>
              </w:rPr>
              <w:t xml:space="preserve"> </w:t>
            </w:r>
            <w:r w:rsidRPr="00286216">
              <w:rPr>
                <w:color w:val="000000" w:themeColor="text1"/>
              </w:rPr>
              <w:t>торгівлі облігаціями на ОТМ облігацій;</w:t>
            </w:r>
          </w:p>
        </w:tc>
      </w:tr>
      <w:tr w:rsidR="00403AAD" w:rsidRPr="00286216" w14:paraId="0DC5B26B" w14:textId="77777777" w:rsidTr="00091AA5">
        <w:tc>
          <w:tcPr>
            <w:tcW w:w="576" w:type="dxa"/>
          </w:tcPr>
          <w:p w14:paraId="72439AD8" w14:textId="77777777" w:rsidR="00403AAD" w:rsidRPr="00286216" w:rsidRDefault="00403AAD" w:rsidP="00403AAD">
            <w:pPr>
              <w:pStyle w:val="StyleWisnow"/>
              <w:rPr>
                <w:color w:val="000000" w:themeColor="text1"/>
              </w:rPr>
            </w:pPr>
            <w:bookmarkStart w:id="508" w:name="n807" w:colFirst="0" w:colLast="0"/>
            <w:bookmarkEnd w:id="507"/>
            <w:r w:rsidRPr="00286216">
              <w:rPr>
                <w:color w:val="000000" w:themeColor="text1"/>
              </w:rPr>
              <w:t>807.</w:t>
            </w:r>
          </w:p>
        </w:tc>
        <w:tc>
          <w:tcPr>
            <w:tcW w:w="4818" w:type="dxa"/>
          </w:tcPr>
          <w:p w14:paraId="26983327" w14:textId="77777777" w:rsidR="00403AAD" w:rsidRPr="00286216" w:rsidRDefault="00403AAD" w:rsidP="00403AAD">
            <w:pPr>
              <w:pStyle w:val="StyleZakonu"/>
              <w:rPr>
                <w:color w:val="000000" w:themeColor="text1"/>
              </w:rPr>
            </w:pPr>
            <w:bookmarkStart w:id="509" w:name="_Ref20826569"/>
            <w:r w:rsidRPr="00286216">
              <w:rPr>
                <w:color w:val="000000" w:themeColor="text1"/>
              </w:rPr>
              <w:t>б) організацію торгівлі деривативними (похідними) фінансовими інструментами на ОТМ деривативних (похідних) фінансових інструментів).</w:t>
            </w:r>
            <w:bookmarkEnd w:id="509"/>
          </w:p>
        </w:tc>
        <w:tc>
          <w:tcPr>
            <w:tcW w:w="3686" w:type="dxa"/>
          </w:tcPr>
          <w:p w14:paraId="37EF1B30" w14:textId="06E84FD3"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AF2C6DE" w14:textId="77777777" w:rsidR="00403AAD" w:rsidRPr="00286216" w:rsidRDefault="00403AAD" w:rsidP="00403AAD">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tc>
        <w:tc>
          <w:tcPr>
            <w:tcW w:w="1987" w:type="dxa"/>
          </w:tcPr>
          <w:p w14:paraId="7EC428F5"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46643803" w14:textId="44F548AA" w:rsidR="00403AAD" w:rsidRPr="00286216" w:rsidRDefault="00403AAD" w:rsidP="00403AAD">
            <w:pPr>
              <w:pStyle w:val="StyleZakonu"/>
              <w:rPr>
                <w:color w:val="000000" w:themeColor="text1"/>
              </w:rPr>
            </w:pPr>
            <w:r w:rsidRPr="00286216">
              <w:rPr>
                <w:color w:val="000000" w:themeColor="text1"/>
              </w:rPr>
              <w:t>7) діяльність з організації</w:t>
            </w:r>
            <w:r w:rsidRPr="00286216" w:rsidDel="006B0929">
              <w:rPr>
                <w:color w:val="000000" w:themeColor="text1"/>
              </w:rPr>
              <w:t xml:space="preserve"> </w:t>
            </w:r>
            <w:r w:rsidRPr="00286216">
              <w:rPr>
                <w:color w:val="000000" w:themeColor="text1"/>
              </w:rPr>
              <w:t>укладення деривативних контрактів на ОТМ деривативних контрактів.</w:t>
            </w:r>
          </w:p>
        </w:tc>
      </w:tr>
      <w:tr w:rsidR="00403AAD" w:rsidRPr="00286216" w14:paraId="3D39C28F" w14:textId="77777777" w:rsidTr="00091AA5">
        <w:tc>
          <w:tcPr>
            <w:tcW w:w="576" w:type="dxa"/>
          </w:tcPr>
          <w:p w14:paraId="745A78DA" w14:textId="77777777" w:rsidR="00403AAD" w:rsidRPr="00286216" w:rsidRDefault="00403AAD" w:rsidP="00403AAD">
            <w:pPr>
              <w:pStyle w:val="StyleWisnow"/>
              <w:rPr>
                <w:color w:val="000000" w:themeColor="text1"/>
              </w:rPr>
            </w:pPr>
            <w:bookmarkStart w:id="510" w:name="n808" w:colFirst="0" w:colLast="0"/>
            <w:bookmarkEnd w:id="508"/>
            <w:r w:rsidRPr="00286216">
              <w:rPr>
                <w:color w:val="000000" w:themeColor="text1"/>
              </w:rPr>
              <w:t>808.</w:t>
            </w:r>
          </w:p>
        </w:tc>
        <w:tc>
          <w:tcPr>
            <w:tcW w:w="4818" w:type="dxa"/>
          </w:tcPr>
          <w:p w14:paraId="4DDB360F" w14:textId="77777777" w:rsidR="00403AAD" w:rsidRPr="00286216" w:rsidRDefault="00403AAD" w:rsidP="00403AAD">
            <w:pPr>
              <w:pStyle w:val="StyleZakonu"/>
              <w:rPr>
                <w:color w:val="000000" w:themeColor="text1"/>
              </w:rPr>
            </w:pPr>
            <w:r w:rsidRPr="00286216">
              <w:rPr>
                <w:color w:val="000000" w:themeColor="text1"/>
              </w:rPr>
              <w:t>На провадження кожного виду діяльності з організації торгівлі фінансовими інструментами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c>
          <w:tcPr>
            <w:tcW w:w="3686" w:type="dxa"/>
          </w:tcPr>
          <w:p w14:paraId="6DB5C8D2" w14:textId="6CF12197"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453</w:t>
            </w:r>
            <w:r w:rsidRPr="00286216">
              <w:rPr>
                <w:color w:val="000000" w:themeColor="text1"/>
                <w:spacing w:val="-10"/>
              </w:rPr>
              <w:fldChar w:fldCharType="end"/>
            </w:r>
            <w:r w:rsidRPr="00286216">
              <w:rPr>
                <w:color w:val="000000" w:themeColor="text1"/>
                <w:spacing w:val="-10"/>
              </w:rPr>
              <w:t>-Н.д.Гетманцев Д.О.(Реєстр.картка №245)</w:t>
            </w:r>
          </w:p>
          <w:p w14:paraId="71E6054A" w14:textId="77777777" w:rsidR="00403AAD" w:rsidRPr="00286216" w:rsidRDefault="00403AAD" w:rsidP="00403AAD">
            <w:pPr>
              <w:pStyle w:val="StyleProp"/>
              <w:rPr>
                <w:color w:val="000000" w:themeColor="text1"/>
              </w:rPr>
            </w:pPr>
            <w:r w:rsidRPr="00286216">
              <w:rPr>
                <w:color w:val="000000" w:themeColor="text1"/>
              </w:rPr>
              <w:t>У статті 46 останній абзац частини першої викласти в такій редакції:</w:t>
            </w:r>
          </w:p>
          <w:p w14:paraId="2065E265" w14:textId="77777777" w:rsidR="00403AAD" w:rsidRPr="00286216" w:rsidRDefault="00403AAD" w:rsidP="00403AAD">
            <w:pPr>
              <w:pStyle w:val="StyleProp"/>
              <w:spacing w:line="180" w:lineRule="exact"/>
              <w:rPr>
                <w:color w:val="000000" w:themeColor="text1"/>
                <w:spacing w:val="-1"/>
              </w:rPr>
            </w:pPr>
            <w:r w:rsidRPr="00286216">
              <w:rPr>
                <w:color w:val="000000" w:themeColor="text1"/>
                <w:spacing w:val="-1"/>
              </w:rPr>
              <w:t xml:space="preserve">«Ліцензія на провадження діяльності з організації торгівлі фінансовими інструментами видається Національною комісією з цінних паперів та фондового ринку у порядку, передбаченому цим Законом. Ліцензія на провадження діяльності з організації торгівлі фінансовими </w:t>
            </w:r>
            <w:r w:rsidRPr="00286216">
              <w:rPr>
                <w:color w:val="000000" w:themeColor="text1"/>
                <w:spacing w:val="-1"/>
              </w:rPr>
              <w:lastRenderedPageBreak/>
              <w:t xml:space="preserve">інструментами видається Національною комісію з цінних паперів та фондового ринку на один чи кілька видів діяльності, які відповідно до цієї частини статті можуть </w:t>
            </w:r>
            <w:r w:rsidRPr="00286216">
              <w:rPr>
                <w:color w:val="000000" w:themeColor="text1"/>
                <w:spacing w:val="-2"/>
              </w:rPr>
              <w:t>здійснюватися в межах діяльності з організації торгівлі фінансовими інструментами.»</w:t>
            </w:r>
          </w:p>
        </w:tc>
        <w:tc>
          <w:tcPr>
            <w:tcW w:w="1987" w:type="dxa"/>
          </w:tcPr>
          <w:p w14:paraId="7FAAEF90" w14:textId="77777777" w:rsidR="00403AAD" w:rsidRPr="00286216" w:rsidRDefault="00403AAD" w:rsidP="00403AAD">
            <w:pPr>
              <w:pStyle w:val="StyleWisnow"/>
              <w:rPr>
                <w:color w:val="000000" w:themeColor="text1"/>
              </w:rPr>
            </w:pPr>
            <w:r w:rsidRPr="00286216">
              <w:rPr>
                <w:color w:val="000000" w:themeColor="text1"/>
              </w:rPr>
              <w:lastRenderedPageBreak/>
              <w:t>Враховано частково</w:t>
            </w:r>
          </w:p>
          <w:p w14:paraId="5BB57454" w14:textId="77777777" w:rsidR="00403AAD" w:rsidRPr="00286216" w:rsidRDefault="00403AAD" w:rsidP="00403AAD">
            <w:pPr>
              <w:pStyle w:val="StyleWisnow"/>
              <w:spacing w:line="180" w:lineRule="exact"/>
              <w:rPr>
                <w:color w:val="000000" w:themeColor="text1"/>
              </w:rPr>
            </w:pPr>
            <w:r w:rsidRPr="00286216">
              <w:rPr>
                <w:color w:val="000000" w:themeColor="text1"/>
              </w:rPr>
              <w:t>щодо правових засад видачі ліцензій згідно із Законом</w:t>
            </w:r>
          </w:p>
        </w:tc>
        <w:tc>
          <w:tcPr>
            <w:tcW w:w="4818" w:type="dxa"/>
          </w:tcPr>
          <w:p w14:paraId="5B3C8EA9" w14:textId="19A6DF33" w:rsidR="00403AAD" w:rsidRPr="00286216" w:rsidRDefault="00403AAD" w:rsidP="00403AAD">
            <w:pPr>
              <w:pStyle w:val="StyleZakonu"/>
              <w:rPr>
                <w:color w:val="000000" w:themeColor="text1"/>
              </w:rPr>
            </w:pPr>
            <w:r w:rsidRPr="00286216">
              <w:rPr>
                <w:color w:val="000000" w:themeColor="text1"/>
              </w:rPr>
              <w:t>На провадження кожного виду діяльності з організації торгівлі фінансовими інструментами у встановленому цим Законом порядку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r>
      <w:tr w:rsidR="00403AAD" w:rsidRPr="00286216" w14:paraId="5A0C1633" w14:textId="77777777" w:rsidTr="00091AA5">
        <w:tc>
          <w:tcPr>
            <w:tcW w:w="576" w:type="dxa"/>
          </w:tcPr>
          <w:p w14:paraId="6BE9C7A1" w14:textId="77777777" w:rsidR="00403AAD" w:rsidRPr="00286216" w:rsidRDefault="00403AAD" w:rsidP="00403AAD">
            <w:pPr>
              <w:pStyle w:val="StyleWisnow"/>
              <w:rPr>
                <w:color w:val="000000" w:themeColor="text1"/>
              </w:rPr>
            </w:pPr>
            <w:bookmarkStart w:id="511" w:name="n809" w:colFirst="0" w:colLast="0"/>
            <w:bookmarkEnd w:id="510"/>
            <w:r w:rsidRPr="00286216">
              <w:rPr>
                <w:color w:val="000000" w:themeColor="text1"/>
              </w:rPr>
              <w:lastRenderedPageBreak/>
              <w:t>809.</w:t>
            </w:r>
          </w:p>
        </w:tc>
        <w:tc>
          <w:tcPr>
            <w:tcW w:w="4818" w:type="dxa"/>
          </w:tcPr>
          <w:p w14:paraId="029C69F9" w14:textId="77777777" w:rsidR="00403AAD" w:rsidRPr="00286216" w:rsidRDefault="00403AAD" w:rsidP="00403AAD">
            <w:pPr>
              <w:pStyle w:val="StyleZakonu"/>
              <w:rPr>
                <w:color w:val="000000" w:themeColor="text1"/>
              </w:rPr>
            </w:pPr>
            <w:r w:rsidRPr="00286216">
              <w:rPr>
                <w:color w:val="000000" w:themeColor="text1"/>
              </w:rPr>
              <w:t>2. Будь-які цінні папери, включаючи деривативні (похідні) цінні папери, допущені до торгів на регульованих фондових ринках та фондових БТМ, є предметом торгівлі на таких організованих ринках.</w:t>
            </w:r>
          </w:p>
        </w:tc>
        <w:tc>
          <w:tcPr>
            <w:tcW w:w="3686" w:type="dxa"/>
          </w:tcPr>
          <w:p w14:paraId="459A19F2" w14:textId="6D09C90A"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3E2445D"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p w14:paraId="5A658065" w14:textId="635917BF"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455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2FB9004" w14:textId="77777777" w:rsidR="00403AAD" w:rsidRPr="00286216" w:rsidRDefault="00403AAD" w:rsidP="00403AAD">
            <w:pPr>
              <w:spacing w:line="180" w:lineRule="exact"/>
              <w:ind w:firstLine="227"/>
              <w:jc w:val="both"/>
              <w:rPr>
                <w:color w:val="000000" w:themeColor="text1"/>
                <w:sz w:val="18"/>
              </w:rPr>
            </w:pPr>
            <w:r w:rsidRPr="00286216">
              <w:rPr>
                <w:color w:val="000000" w:themeColor="text1"/>
                <w:sz w:val="18"/>
              </w:rPr>
              <w:t>У частині другій статі 46 розділу 1 слово та символи «(похідні)» виключити;</w:t>
            </w:r>
          </w:p>
        </w:tc>
        <w:tc>
          <w:tcPr>
            <w:tcW w:w="1987" w:type="dxa"/>
          </w:tcPr>
          <w:p w14:paraId="07D09D75" w14:textId="77777777" w:rsidR="00403AAD" w:rsidRPr="00286216" w:rsidRDefault="00403AAD" w:rsidP="00403AAD">
            <w:pPr>
              <w:pStyle w:val="StyleWisnow"/>
              <w:rPr>
                <w:color w:val="000000" w:themeColor="text1"/>
              </w:rPr>
            </w:pPr>
            <w:r w:rsidRPr="00286216">
              <w:rPr>
                <w:color w:val="000000" w:themeColor="text1"/>
              </w:rPr>
              <w:t>Враховано</w:t>
            </w:r>
          </w:p>
          <w:p w14:paraId="6935473A" w14:textId="77777777" w:rsidR="00403AAD" w:rsidRPr="00286216" w:rsidRDefault="00403AAD" w:rsidP="00403AAD">
            <w:pPr>
              <w:pStyle w:val="StyleWisnow"/>
              <w:rPr>
                <w:color w:val="000000" w:themeColor="text1"/>
              </w:rPr>
            </w:pPr>
          </w:p>
          <w:p w14:paraId="3BFA75F8" w14:textId="77777777" w:rsidR="00403AAD" w:rsidRPr="00286216" w:rsidRDefault="00403AAD" w:rsidP="00403AAD">
            <w:pPr>
              <w:pStyle w:val="StyleWisnow"/>
              <w:rPr>
                <w:color w:val="000000" w:themeColor="text1"/>
              </w:rPr>
            </w:pPr>
          </w:p>
          <w:p w14:paraId="128C89F5"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4952DD5" w14:textId="2E822307" w:rsidR="00403AAD" w:rsidRPr="00286216" w:rsidRDefault="00403AAD" w:rsidP="00403AAD">
            <w:pPr>
              <w:pStyle w:val="StyleZakonu"/>
              <w:rPr>
                <w:color w:val="000000" w:themeColor="text1"/>
              </w:rPr>
            </w:pPr>
            <w:r w:rsidRPr="00286216">
              <w:rPr>
                <w:color w:val="000000" w:themeColor="text1"/>
              </w:rPr>
              <w:t>2. Будь-які цінні папери, включаючи деривативні цінні папери, допущені до торгів на регульованих фондових ринках та фондових БТМ, є предметом торгівлі на таких організованих ринках.</w:t>
            </w:r>
          </w:p>
        </w:tc>
      </w:tr>
      <w:tr w:rsidR="00403AAD" w:rsidRPr="00286216" w14:paraId="63CCF946" w14:textId="77777777" w:rsidTr="00091AA5">
        <w:tc>
          <w:tcPr>
            <w:tcW w:w="576" w:type="dxa"/>
          </w:tcPr>
          <w:p w14:paraId="1CBC89DB" w14:textId="77777777" w:rsidR="00403AAD" w:rsidRPr="00286216" w:rsidRDefault="00403AAD" w:rsidP="00403AAD">
            <w:pPr>
              <w:pStyle w:val="StyleWisnow"/>
              <w:rPr>
                <w:color w:val="000000" w:themeColor="text1"/>
              </w:rPr>
            </w:pPr>
            <w:bookmarkStart w:id="512" w:name="n810" w:colFirst="0" w:colLast="0"/>
            <w:bookmarkEnd w:id="511"/>
            <w:r w:rsidRPr="00286216">
              <w:rPr>
                <w:color w:val="000000" w:themeColor="text1"/>
              </w:rPr>
              <w:t>810.</w:t>
            </w:r>
          </w:p>
        </w:tc>
        <w:tc>
          <w:tcPr>
            <w:tcW w:w="4818" w:type="dxa"/>
          </w:tcPr>
          <w:p w14:paraId="08015C8C" w14:textId="77777777" w:rsidR="00403AAD" w:rsidRPr="00286216" w:rsidRDefault="00403AAD" w:rsidP="00403AAD">
            <w:pPr>
              <w:pStyle w:val="StyleZakonu"/>
              <w:rPr>
                <w:color w:val="000000" w:themeColor="text1"/>
              </w:rPr>
            </w:pPr>
            <w:r w:rsidRPr="00286216">
              <w:rPr>
                <w:color w:val="000000" w:themeColor="text1"/>
              </w:rPr>
              <w:t>Будь-які деривативні (похідні) фінансові інструменти, крім деривативних (похідних) цінних паперів, допущені до торгів на регульованому ринку деривативних (похідних) фінансових інструментів, БТМ деривативних (похідних) фінансових інструментів та ОТМ деривативних (похідних) фінансових інструментів, є предметом торгівлі (укладаються) на таких організованих ринках.</w:t>
            </w:r>
          </w:p>
        </w:tc>
        <w:tc>
          <w:tcPr>
            <w:tcW w:w="3686" w:type="dxa"/>
          </w:tcPr>
          <w:p w14:paraId="37480D00" w14:textId="1340CD45"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456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2277DEF" w14:textId="77777777" w:rsidR="00403AAD" w:rsidRPr="00286216" w:rsidRDefault="00403AAD" w:rsidP="00403AAD">
            <w:pPr>
              <w:pStyle w:val="StyleProp"/>
              <w:spacing w:line="190" w:lineRule="exact"/>
              <w:rPr>
                <w:color w:val="000000" w:themeColor="text1"/>
                <w:szCs w:val="18"/>
              </w:rPr>
            </w:pPr>
            <w:r w:rsidRPr="00286216">
              <w:rPr>
                <w:color w:val="000000" w:themeColor="text1"/>
                <w:szCs w:val="18"/>
              </w:rPr>
              <w:t>Абзац другий частини 2 статті 46 викласти у такій редакції:</w:t>
            </w:r>
          </w:p>
          <w:p w14:paraId="201717DD" w14:textId="77777777" w:rsidR="00403AAD" w:rsidRPr="00286216" w:rsidRDefault="00403AAD" w:rsidP="00403AAD">
            <w:pPr>
              <w:pStyle w:val="StyleProp"/>
              <w:spacing w:line="190" w:lineRule="exact"/>
              <w:rPr>
                <w:color w:val="000000" w:themeColor="text1"/>
                <w:szCs w:val="18"/>
              </w:rPr>
            </w:pPr>
            <w:r w:rsidRPr="00286216">
              <w:rPr>
                <w:color w:val="000000" w:themeColor="text1"/>
                <w:szCs w:val="18"/>
              </w:rPr>
              <w:t>"Будь-які деривативні  контракти, допущені до торгів на регульованому ринку деривативних контрактів, БТМ деривативних контрактів та ОТМ деривативних контрактів (в тому числі зазначені в частині другій статті 5-1 цього Закону), а також правочини щодо них є предметом торгівлі на таких організованих ринках".</w:t>
            </w:r>
          </w:p>
        </w:tc>
        <w:tc>
          <w:tcPr>
            <w:tcW w:w="1987" w:type="dxa"/>
          </w:tcPr>
          <w:p w14:paraId="30FB2B30"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EB4A93B" w14:textId="325980E8" w:rsidR="00403AAD" w:rsidRPr="00286216" w:rsidRDefault="00403AAD" w:rsidP="00403AAD">
            <w:pPr>
              <w:pStyle w:val="StyleZakonu"/>
              <w:rPr>
                <w:color w:val="000000" w:themeColor="text1"/>
              </w:rPr>
            </w:pPr>
            <w:r w:rsidRPr="00286216">
              <w:rPr>
                <w:color w:val="000000" w:themeColor="text1"/>
                <w:szCs w:val="18"/>
              </w:rPr>
              <w:t>Будь-які деривативні контракти, допущені до торгів на регульованому ринку деривативних контрактів, БТМ деривативних контрактів та ОТМ деривативних контрактів (у тому числі зазначені в частині другій статті 7 цього Закону), а також правочини щодо них є предметом торгівлі на таких організованих ринках.</w:t>
            </w:r>
          </w:p>
        </w:tc>
      </w:tr>
      <w:tr w:rsidR="00403AAD" w:rsidRPr="00286216" w14:paraId="18422A21" w14:textId="77777777" w:rsidTr="00091AA5">
        <w:tc>
          <w:tcPr>
            <w:tcW w:w="576" w:type="dxa"/>
          </w:tcPr>
          <w:p w14:paraId="4983DF26" w14:textId="77777777" w:rsidR="00403AAD" w:rsidRPr="00286216" w:rsidRDefault="00403AAD" w:rsidP="00403AAD">
            <w:pPr>
              <w:pStyle w:val="StyleWisnow"/>
              <w:rPr>
                <w:color w:val="000000" w:themeColor="text1"/>
              </w:rPr>
            </w:pPr>
            <w:bookmarkStart w:id="513" w:name="n811" w:colFirst="0" w:colLast="0"/>
            <w:bookmarkEnd w:id="512"/>
            <w:r w:rsidRPr="00286216">
              <w:rPr>
                <w:color w:val="000000" w:themeColor="text1"/>
              </w:rPr>
              <w:t>811.</w:t>
            </w:r>
          </w:p>
        </w:tc>
        <w:tc>
          <w:tcPr>
            <w:tcW w:w="4818" w:type="dxa"/>
          </w:tcPr>
          <w:p w14:paraId="6314A425" w14:textId="77777777" w:rsidR="00403AAD" w:rsidRPr="00286216" w:rsidRDefault="00403AAD" w:rsidP="00403AAD">
            <w:pPr>
              <w:pStyle w:val="StyleZakonu"/>
              <w:rPr>
                <w:color w:val="000000" w:themeColor="text1"/>
              </w:rPr>
            </w:pPr>
            <w:r w:rsidRPr="00286216">
              <w:rPr>
                <w:color w:val="000000" w:themeColor="text1"/>
              </w:rPr>
              <w:t>Будь-які інструменти грошового ринку та валютні цінності, допущені до торгів на регульованому грошовому ринку є предметом торгівлі на такому організованому ринку.</w:t>
            </w:r>
          </w:p>
        </w:tc>
        <w:tc>
          <w:tcPr>
            <w:tcW w:w="3686" w:type="dxa"/>
          </w:tcPr>
          <w:p w14:paraId="29EA1C80" w14:textId="4539488C"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554140C" w14:textId="77777777" w:rsidR="00403AAD" w:rsidRPr="00286216" w:rsidRDefault="00403AAD" w:rsidP="00403AAD">
            <w:pPr>
              <w:pStyle w:val="StyleProp"/>
              <w:rPr>
                <w:color w:val="000000" w:themeColor="text1"/>
                <w:szCs w:val="18"/>
              </w:rPr>
            </w:pPr>
            <w:r w:rsidRPr="00286216">
              <w:rPr>
                <w:color w:val="000000" w:themeColor="text1"/>
                <w:szCs w:val="18"/>
              </w:rPr>
              <w:t>В тексті проекту слово «(похідний)» в усіх числах та відмінках виключити.</w:t>
            </w:r>
          </w:p>
          <w:p w14:paraId="5591D704" w14:textId="5A94D378"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458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6F2994E" w14:textId="77777777" w:rsidR="00403AAD" w:rsidRPr="00286216" w:rsidRDefault="00403AAD" w:rsidP="00403AAD">
            <w:pPr>
              <w:pStyle w:val="StyleProp"/>
              <w:rPr>
                <w:color w:val="000000" w:themeColor="text1"/>
                <w:szCs w:val="18"/>
              </w:rPr>
            </w:pPr>
            <w:r w:rsidRPr="00286216">
              <w:rPr>
                <w:color w:val="000000" w:themeColor="text1"/>
                <w:szCs w:val="18"/>
              </w:rPr>
              <w:t>абзац другий частини 2 статті 46 викласти в такій редакції:</w:t>
            </w:r>
          </w:p>
          <w:p w14:paraId="33F031E8"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«Будь-які деривативні  контракти, допущені до обігу на регульованому ринку деривативних контрактів, БТМ деривативних контрактів та ОТМ деривативних контрактів, є предметом торгівлі (укладення) на таких організованих ринках. Предметом торгівлі (укладення) на ОТМ деривативних контрактів також є деривативні контракти, зазначені у пункті  2 частини 2 статті 35 цього Закону.»</w:t>
            </w:r>
          </w:p>
        </w:tc>
        <w:tc>
          <w:tcPr>
            <w:tcW w:w="1987" w:type="dxa"/>
          </w:tcPr>
          <w:p w14:paraId="20B772B1"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p w14:paraId="38B7A8DF" w14:textId="77777777" w:rsidR="00403AAD" w:rsidRPr="00286216" w:rsidRDefault="00403AAD" w:rsidP="00403AAD">
            <w:pPr>
              <w:pStyle w:val="StyleWisnow"/>
              <w:rPr>
                <w:color w:val="000000" w:themeColor="text1"/>
              </w:rPr>
            </w:pPr>
          </w:p>
          <w:p w14:paraId="78D6522B" w14:textId="77777777" w:rsidR="00403AAD" w:rsidRPr="00286216" w:rsidRDefault="00403AAD" w:rsidP="00403AAD">
            <w:pPr>
              <w:pStyle w:val="StyleWisnow"/>
              <w:rPr>
                <w:color w:val="000000" w:themeColor="text1"/>
              </w:rPr>
            </w:pPr>
          </w:p>
          <w:p w14:paraId="511B2FAF"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1B01345A" w14:textId="275E0B08" w:rsidR="00403AAD" w:rsidRPr="00286216" w:rsidRDefault="00403AAD" w:rsidP="00403AAD">
            <w:pPr>
              <w:pStyle w:val="StyleZakonu"/>
              <w:rPr>
                <w:color w:val="000000" w:themeColor="text1"/>
              </w:rPr>
            </w:pPr>
            <w:r w:rsidRPr="00286216">
              <w:rPr>
                <w:color w:val="000000" w:themeColor="text1"/>
              </w:rPr>
              <w:t>Будь-які інструменти грошового ринку та валютні цінності, допущені до торгів на регульованому грошовому ринку, є предметом торгівлі на такому організованому ринку.</w:t>
            </w:r>
          </w:p>
        </w:tc>
      </w:tr>
      <w:tr w:rsidR="00403AAD" w:rsidRPr="00286216" w14:paraId="2446ADCD" w14:textId="77777777" w:rsidTr="00091AA5">
        <w:tc>
          <w:tcPr>
            <w:tcW w:w="576" w:type="dxa"/>
          </w:tcPr>
          <w:p w14:paraId="3D56E7C4" w14:textId="77777777" w:rsidR="00403AAD" w:rsidRPr="00286216" w:rsidRDefault="00403AAD" w:rsidP="00403AAD">
            <w:pPr>
              <w:pStyle w:val="StyleWisnow"/>
              <w:rPr>
                <w:color w:val="000000" w:themeColor="text1"/>
              </w:rPr>
            </w:pPr>
            <w:bookmarkStart w:id="514" w:name="n812" w:colFirst="0" w:colLast="0"/>
            <w:bookmarkEnd w:id="513"/>
            <w:r w:rsidRPr="00286216">
              <w:rPr>
                <w:color w:val="000000" w:themeColor="text1"/>
              </w:rPr>
              <w:t>812.</w:t>
            </w:r>
          </w:p>
        </w:tc>
        <w:tc>
          <w:tcPr>
            <w:tcW w:w="4818" w:type="dxa"/>
          </w:tcPr>
          <w:p w14:paraId="4A061162" w14:textId="77777777" w:rsidR="00403AAD" w:rsidRPr="00286216" w:rsidRDefault="00403AAD" w:rsidP="00403AAD">
            <w:pPr>
              <w:pStyle w:val="StyleZakonu"/>
              <w:rPr>
                <w:color w:val="000000" w:themeColor="text1"/>
              </w:rPr>
            </w:pPr>
            <w:r w:rsidRPr="00286216">
              <w:rPr>
                <w:color w:val="000000" w:themeColor="text1"/>
              </w:rPr>
              <w:t>Будь-які облігації, допущені до торгів на ОТМ облігацій, є предметом торгівлі на такому організованому ринку.</w:t>
            </w:r>
          </w:p>
        </w:tc>
        <w:tc>
          <w:tcPr>
            <w:tcW w:w="3686" w:type="dxa"/>
          </w:tcPr>
          <w:p w14:paraId="65D5CBDE" w14:textId="77777777" w:rsidR="00403AAD" w:rsidRPr="00286216" w:rsidRDefault="00403AAD" w:rsidP="00403AAD">
            <w:pPr>
              <w:pStyle w:val="StyleProp"/>
              <w:rPr>
                <w:color w:val="000000" w:themeColor="text1"/>
                <w:szCs w:val="18"/>
              </w:rPr>
            </w:pPr>
          </w:p>
        </w:tc>
        <w:tc>
          <w:tcPr>
            <w:tcW w:w="1987" w:type="dxa"/>
          </w:tcPr>
          <w:p w14:paraId="55FAF9BC" w14:textId="77777777" w:rsidR="00403AAD" w:rsidRPr="00286216" w:rsidRDefault="00403AAD" w:rsidP="00403AAD">
            <w:pPr>
              <w:pStyle w:val="StyleWisnow"/>
              <w:rPr>
                <w:color w:val="000000" w:themeColor="text1"/>
              </w:rPr>
            </w:pPr>
          </w:p>
        </w:tc>
        <w:tc>
          <w:tcPr>
            <w:tcW w:w="4818" w:type="dxa"/>
          </w:tcPr>
          <w:p w14:paraId="184B8554" w14:textId="0F43E41B" w:rsidR="00403AAD" w:rsidRPr="00286216" w:rsidRDefault="00403AAD" w:rsidP="00403AAD">
            <w:pPr>
              <w:pStyle w:val="StyleZakonu"/>
              <w:rPr>
                <w:color w:val="000000" w:themeColor="text1"/>
              </w:rPr>
            </w:pPr>
            <w:r w:rsidRPr="00286216">
              <w:rPr>
                <w:color w:val="000000" w:themeColor="text1"/>
              </w:rPr>
              <w:t>Будь-які облігації, допущені до торгів на ОТМ облігацій, є предметом торгівлі на такому організованому ринку.</w:t>
            </w:r>
          </w:p>
        </w:tc>
      </w:tr>
      <w:tr w:rsidR="00403AAD" w:rsidRPr="00286216" w14:paraId="2FF4F1D2" w14:textId="77777777" w:rsidTr="00091AA5">
        <w:tc>
          <w:tcPr>
            <w:tcW w:w="576" w:type="dxa"/>
          </w:tcPr>
          <w:p w14:paraId="4686537C" w14:textId="77777777" w:rsidR="00403AAD" w:rsidRPr="00286216" w:rsidRDefault="00403AAD" w:rsidP="00403AAD">
            <w:pPr>
              <w:pStyle w:val="StyleWisnow"/>
              <w:rPr>
                <w:color w:val="000000" w:themeColor="text1"/>
              </w:rPr>
            </w:pPr>
            <w:bookmarkStart w:id="515" w:name="n813" w:colFirst="0" w:colLast="0"/>
            <w:bookmarkEnd w:id="514"/>
            <w:r w:rsidRPr="00286216">
              <w:rPr>
                <w:color w:val="000000" w:themeColor="text1"/>
              </w:rPr>
              <w:t>813.</w:t>
            </w:r>
          </w:p>
        </w:tc>
        <w:tc>
          <w:tcPr>
            <w:tcW w:w="4818" w:type="dxa"/>
          </w:tcPr>
          <w:p w14:paraId="2A3D96DD" w14:textId="77777777" w:rsidR="00403AAD" w:rsidRPr="00286216" w:rsidRDefault="00403AAD" w:rsidP="00403AAD">
            <w:pPr>
              <w:pStyle w:val="StyleZakonu"/>
              <w:rPr>
                <w:color w:val="000000" w:themeColor="text1"/>
              </w:rPr>
            </w:pPr>
            <w:r w:rsidRPr="00286216">
              <w:rPr>
                <w:color w:val="000000" w:themeColor="text1"/>
              </w:rPr>
              <w:t>3. Оператор регульованого ринку:</w:t>
            </w:r>
          </w:p>
        </w:tc>
        <w:tc>
          <w:tcPr>
            <w:tcW w:w="3686" w:type="dxa"/>
          </w:tcPr>
          <w:p w14:paraId="17D15575" w14:textId="77777777" w:rsidR="00403AAD" w:rsidRPr="00286216" w:rsidRDefault="00403AAD" w:rsidP="00403AAD">
            <w:pPr>
              <w:pStyle w:val="StyleProp"/>
              <w:rPr>
                <w:color w:val="000000" w:themeColor="text1"/>
                <w:szCs w:val="18"/>
              </w:rPr>
            </w:pPr>
          </w:p>
        </w:tc>
        <w:tc>
          <w:tcPr>
            <w:tcW w:w="1987" w:type="dxa"/>
          </w:tcPr>
          <w:p w14:paraId="54C833AF" w14:textId="77777777" w:rsidR="00403AAD" w:rsidRPr="00286216" w:rsidRDefault="00403AAD" w:rsidP="00403AAD">
            <w:pPr>
              <w:pStyle w:val="StyleWisnow"/>
              <w:rPr>
                <w:color w:val="000000" w:themeColor="text1"/>
              </w:rPr>
            </w:pPr>
          </w:p>
        </w:tc>
        <w:tc>
          <w:tcPr>
            <w:tcW w:w="4818" w:type="dxa"/>
          </w:tcPr>
          <w:p w14:paraId="1F7393AC" w14:textId="27D51EE7" w:rsidR="00403AAD" w:rsidRPr="00286216" w:rsidRDefault="00403AAD" w:rsidP="00403AAD">
            <w:pPr>
              <w:pStyle w:val="StyleZakonu"/>
              <w:rPr>
                <w:color w:val="000000" w:themeColor="text1"/>
              </w:rPr>
            </w:pPr>
            <w:r w:rsidRPr="00286216">
              <w:rPr>
                <w:color w:val="000000" w:themeColor="text1"/>
              </w:rPr>
              <w:t>3. Оператор регульованого ринку:</w:t>
            </w:r>
          </w:p>
        </w:tc>
      </w:tr>
      <w:tr w:rsidR="00403AAD" w:rsidRPr="00286216" w14:paraId="34398749" w14:textId="77777777" w:rsidTr="00091AA5">
        <w:tc>
          <w:tcPr>
            <w:tcW w:w="576" w:type="dxa"/>
          </w:tcPr>
          <w:p w14:paraId="62EDD1F0" w14:textId="77777777" w:rsidR="00403AAD" w:rsidRPr="00286216" w:rsidRDefault="00403AAD" w:rsidP="00403AAD">
            <w:pPr>
              <w:pStyle w:val="StyleWisnow"/>
              <w:rPr>
                <w:color w:val="000000" w:themeColor="text1"/>
              </w:rPr>
            </w:pPr>
            <w:bookmarkStart w:id="516" w:name="n814" w:colFirst="0" w:colLast="0"/>
            <w:bookmarkEnd w:id="515"/>
            <w:r w:rsidRPr="00286216">
              <w:rPr>
                <w:color w:val="000000" w:themeColor="text1"/>
              </w:rPr>
              <w:t>814.</w:t>
            </w:r>
          </w:p>
        </w:tc>
        <w:tc>
          <w:tcPr>
            <w:tcW w:w="4818" w:type="dxa"/>
          </w:tcPr>
          <w:p w14:paraId="589BDD6C" w14:textId="77777777" w:rsidR="00403AAD" w:rsidRPr="00286216" w:rsidRDefault="00403AAD" w:rsidP="00403AAD">
            <w:pPr>
              <w:pStyle w:val="StyleZakonu"/>
              <w:rPr>
                <w:color w:val="000000" w:themeColor="text1"/>
              </w:rPr>
            </w:pPr>
            <w:r w:rsidRPr="00286216">
              <w:rPr>
                <w:color w:val="000000" w:themeColor="text1"/>
              </w:rPr>
              <w:t>1) розробляє, забезпечує затвердження та реєстрацію відповідно до законодавства власних недискреційних правил функціонування такого ринку, які є обов’язковими для всіх учасників ринку;</w:t>
            </w:r>
          </w:p>
        </w:tc>
        <w:tc>
          <w:tcPr>
            <w:tcW w:w="3686" w:type="dxa"/>
          </w:tcPr>
          <w:p w14:paraId="6E8A4E06" w14:textId="78A5D0EB"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459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AE03B8F"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пункті 1 частини 1 статті 46 слова «такого ринку, які є обов’язковими для всіх учасників ринку» замінити словами «регульованого ринку, які є обов’язковими для всіх учасників цього ринку».</w:t>
            </w:r>
          </w:p>
        </w:tc>
        <w:tc>
          <w:tcPr>
            <w:tcW w:w="1987" w:type="dxa"/>
          </w:tcPr>
          <w:p w14:paraId="1759AEB3"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668FC305" w14:textId="05C09656" w:rsidR="00403AAD" w:rsidRPr="00286216" w:rsidRDefault="00403AAD" w:rsidP="00403AAD">
            <w:pPr>
              <w:pStyle w:val="StyleZakonu"/>
              <w:rPr>
                <w:color w:val="000000" w:themeColor="text1"/>
              </w:rPr>
            </w:pPr>
            <w:r w:rsidRPr="00286216">
              <w:rPr>
                <w:color w:val="000000" w:themeColor="text1"/>
              </w:rPr>
              <w:t>1) розробляє, забезпечує затвердження та реєстрацію відповідно до законодавства власних недискреційних правил функціонування регульованого ринку, які є обов’язковими для всіх учасників цього ринку;</w:t>
            </w:r>
          </w:p>
        </w:tc>
      </w:tr>
      <w:tr w:rsidR="00403AAD" w:rsidRPr="00286216" w14:paraId="0ABA374D" w14:textId="77777777" w:rsidTr="00091AA5">
        <w:tc>
          <w:tcPr>
            <w:tcW w:w="576" w:type="dxa"/>
          </w:tcPr>
          <w:p w14:paraId="1E07C7A6" w14:textId="77777777" w:rsidR="00403AAD" w:rsidRPr="00286216" w:rsidRDefault="00403AAD" w:rsidP="00403AAD">
            <w:pPr>
              <w:pStyle w:val="StyleWisnow"/>
              <w:rPr>
                <w:color w:val="000000" w:themeColor="text1"/>
              </w:rPr>
            </w:pPr>
            <w:bookmarkStart w:id="517" w:name="n815" w:colFirst="0" w:colLast="0"/>
            <w:bookmarkEnd w:id="516"/>
            <w:r w:rsidRPr="00286216">
              <w:rPr>
                <w:color w:val="000000" w:themeColor="text1"/>
              </w:rPr>
              <w:t>815.</w:t>
            </w:r>
          </w:p>
        </w:tc>
        <w:tc>
          <w:tcPr>
            <w:tcW w:w="4818" w:type="dxa"/>
          </w:tcPr>
          <w:p w14:paraId="2B82F3C3" w14:textId="77777777" w:rsidR="00403AAD" w:rsidRPr="00286216" w:rsidRDefault="00403AAD" w:rsidP="00403AAD">
            <w:pPr>
              <w:pStyle w:val="StyleZakonu"/>
              <w:rPr>
                <w:color w:val="000000" w:themeColor="text1"/>
              </w:rPr>
            </w:pPr>
            <w:r w:rsidRPr="00286216">
              <w:rPr>
                <w:color w:val="000000" w:themeColor="text1"/>
              </w:rPr>
              <w:t xml:space="preserve">2) забезпечує створення організаційних, технологічних, інформаційних, правових та інших </w:t>
            </w:r>
            <w:r w:rsidRPr="00286216">
              <w:rPr>
                <w:color w:val="000000" w:themeColor="text1"/>
              </w:rPr>
              <w:lastRenderedPageBreak/>
              <w:t>умов для збирання та поширення інформації стосовно пропозиції щодо активів, допущених до торгів на такому регульованому ринку, та для проведення регулярних торгів такими активами;</w:t>
            </w:r>
          </w:p>
        </w:tc>
        <w:tc>
          <w:tcPr>
            <w:tcW w:w="3686" w:type="dxa"/>
          </w:tcPr>
          <w:p w14:paraId="59CE4C1E" w14:textId="77777777" w:rsidR="00403AAD" w:rsidRPr="00286216" w:rsidRDefault="00403AAD" w:rsidP="00403AAD">
            <w:pPr>
              <w:pStyle w:val="StyleProp"/>
              <w:rPr>
                <w:color w:val="000000" w:themeColor="text1"/>
                <w:szCs w:val="18"/>
              </w:rPr>
            </w:pPr>
          </w:p>
        </w:tc>
        <w:tc>
          <w:tcPr>
            <w:tcW w:w="1987" w:type="dxa"/>
          </w:tcPr>
          <w:p w14:paraId="5A4AF14A" w14:textId="77777777" w:rsidR="00403AAD" w:rsidRPr="00286216" w:rsidRDefault="00403AAD" w:rsidP="00403AAD">
            <w:pPr>
              <w:pStyle w:val="StyleWisnow"/>
              <w:rPr>
                <w:color w:val="000000" w:themeColor="text1"/>
              </w:rPr>
            </w:pPr>
          </w:p>
        </w:tc>
        <w:tc>
          <w:tcPr>
            <w:tcW w:w="4818" w:type="dxa"/>
          </w:tcPr>
          <w:p w14:paraId="08178E49" w14:textId="5A7561FE" w:rsidR="00403AAD" w:rsidRPr="00286216" w:rsidRDefault="00403AAD" w:rsidP="00403AAD">
            <w:pPr>
              <w:pStyle w:val="StyleZakonu"/>
              <w:rPr>
                <w:color w:val="000000" w:themeColor="text1"/>
              </w:rPr>
            </w:pPr>
            <w:r w:rsidRPr="00286216">
              <w:rPr>
                <w:color w:val="000000" w:themeColor="text1"/>
              </w:rPr>
              <w:t xml:space="preserve">2) забезпечує створення організаційних, технологічних, інформаційних, правових та інших </w:t>
            </w:r>
            <w:r w:rsidRPr="00286216">
              <w:rPr>
                <w:color w:val="000000" w:themeColor="text1"/>
              </w:rPr>
              <w:lastRenderedPageBreak/>
              <w:t>умов для збирання та поширення інформації стосовно пропозиції щодо активів, допущених до торгів на такому регульованому ринку, та для проведення регулярних торгів такими активами;</w:t>
            </w:r>
          </w:p>
        </w:tc>
      </w:tr>
      <w:tr w:rsidR="00403AAD" w:rsidRPr="00286216" w14:paraId="6BAF1512" w14:textId="77777777" w:rsidTr="00091AA5">
        <w:tc>
          <w:tcPr>
            <w:tcW w:w="576" w:type="dxa"/>
          </w:tcPr>
          <w:p w14:paraId="24E841F7" w14:textId="77777777" w:rsidR="00403AAD" w:rsidRPr="00286216" w:rsidRDefault="00403AAD" w:rsidP="00403AAD">
            <w:pPr>
              <w:pStyle w:val="StyleWisnow"/>
              <w:rPr>
                <w:color w:val="000000" w:themeColor="text1"/>
              </w:rPr>
            </w:pPr>
            <w:bookmarkStart w:id="518" w:name="n816" w:colFirst="0" w:colLast="0"/>
            <w:bookmarkEnd w:id="517"/>
            <w:r w:rsidRPr="00286216">
              <w:rPr>
                <w:color w:val="000000" w:themeColor="text1"/>
              </w:rPr>
              <w:lastRenderedPageBreak/>
              <w:t>816.</w:t>
            </w:r>
          </w:p>
        </w:tc>
        <w:tc>
          <w:tcPr>
            <w:tcW w:w="4818" w:type="dxa"/>
          </w:tcPr>
          <w:p w14:paraId="7D377505" w14:textId="77777777" w:rsidR="00403AAD" w:rsidRPr="00286216" w:rsidRDefault="00403AAD" w:rsidP="00403AAD">
            <w:pPr>
              <w:pStyle w:val="StyleZakonu"/>
              <w:rPr>
                <w:color w:val="000000" w:themeColor="text1"/>
              </w:rPr>
            </w:pPr>
            <w:r w:rsidRPr="00286216">
              <w:rPr>
                <w:color w:val="000000" w:themeColor="text1"/>
              </w:rPr>
              <w:t>3) визначає порядок допуску та допускає до участі у торгах інвестиційні фірми та інших осіб, передбачених законодавством, забезпечує ведення та оприлюднення відповідного переліку учасників торгів;</w:t>
            </w:r>
          </w:p>
        </w:tc>
        <w:tc>
          <w:tcPr>
            <w:tcW w:w="3686" w:type="dxa"/>
          </w:tcPr>
          <w:p w14:paraId="53914E48" w14:textId="77EA6BA6"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874F79A"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пункт 3 частини 1 статті 46 викласти в такій редакції:</w:t>
            </w:r>
          </w:p>
          <w:p w14:paraId="0A4B8173" w14:textId="77777777" w:rsidR="00403AAD" w:rsidRPr="00286216" w:rsidRDefault="00403AAD" w:rsidP="00403AAD">
            <w:pPr>
              <w:pStyle w:val="StyleProp"/>
              <w:spacing w:line="180" w:lineRule="exact"/>
              <w:rPr>
                <w:color w:val="000000" w:themeColor="text1"/>
                <w:szCs w:val="18"/>
              </w:rPr>
            </w:pPr>
            <w:r w:rsidRPr="00286216">
              <w:rPr>
                <w:color w:val="000000" w:themeColor="text1"/>
              </w:rPr>
              <w:t>«3) визначає порядок допуску, допускає до участі у торгах на регульованому ринку  інвестиційні фірми та інших осіб, можливість участі яких у торгах передбачена законодавством, забезпечує ведення та оприлюднення переліку учасників такого регульованого ринку»;</w:t>
            </w:r>
          </w:p>
        </w:tc>
        <w:tc>
          <w:tcPr>
            <w:tcW w:w="1987" w:type="dxa"/>
          </w:tcPr>
          <w:p w14:paraId="0DB1DC97"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B684F17" w14:textId="19EFAB40" w:rsidR="00403AAD" w:rsidRPr="00286216" w:rsidRDefault="00403AAD" w:rsidP="00403AAD">
            <w:pPr>
              <w:pStyle w:val="StyleZakonu"/>
              <w:rPr>
                <w:color w:val="000000" w:themeColor="text1"/>
              </w:rPr>
            </w:pPr>
            <w:r w:rsidRPr="00286216">
              <w:rPr>
                <w:color w:val="000000" w:themeColor="text1"/>
              </w:rPr>
              <w:t>3) визначає порядок допуску, допускає до участі у торгах на регульованому ринку  інвестиційні фірми та інших осіб, можливість участі яких у торгах передбачена законодавством, забезпечує ведення та оприлюднення переліку учасників такого регульованого ринку;</w:t>
            </w:r>
          </w:p>
        </w:tc>
      </w:tr>
      <w:tr w:rsidR="00403AAD" w:rsidRPr="00286216" w14:paraId="24E7FD11" w14:textId="77777777" w:rsidTr="00091AA5">
        <w:tc>
          <w:tcPr>
            <w:tcW w:w="576" w:type="dxa"/>
          </w:tcPr>
          <w:p w14:paraId="36C84D26" w14:textId="77777777" w:rsidR="00403AAD" w:rsidRPr="00286216" w:rsidRDefault="00403AAD" w:rsidP="00403AAD">
            <w:pPr>
              <w:pStyle w:val="StyleWisnow"/>
              <w:rPr>
                <w:color w:val="000000" w:themeColor="text1"/>
              </w:rPr>
            </w:pPr>
            <w:bookmarkStart w:id="519" w:name="n817" w:colFirst="0" w:colLast="0"/>
            <w:bookmarkEnd w:id="518"/>
            <w:r w:rsidRPr="00286216">
              <w:rPr>
                <w:color w:val="000000" w:themeColor="text1"/>
              </w:rPr>
              <w:t>817.</w:t>
            </w:r>
          </w:p>
        </w:tc>
        <w:tc>
          <w:tcPr>
            <w:tcW w:w="4818" w:type="dxa"/>
          </w:tcPr>
          <w:p w14:paraId="3D447D27" w14:textId="77777777" w:rsidR="00403AAD" w:rsidRPr="00286216" w:rsidRDefault="00403AAD" w:rsidP="00403AAD">
            <w:pPr>
              <w:pStyle w:val="StyleZakonu"/>
              <w:rPr>
                <w:color w:val="000000" w:themeColor="text1"/>
              </w:rPr>
            </w:pPr>
            <w:r w:rsidRPr="00286216">
              <w:rPr>
                <w:color w:val="000000" w:themeColor="text1"/>
              </w:rPr>
              <w:t>4) забезпечує дотримання учасниками ринку вимог правил ринку із застосуванням відповідних заходів впливу;</w:t>
            </w:r>
          </w:p>
        </w:tc>
        <w:tc>
          <w:tcPr>
            <w:tcW w:w="3686" w:type="dxa"/>
          </w:tcPr>
          <w:p w14:paraId="07820C8D" w14:textId="20BD379B"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328265C"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пункт 4 частини 1 статті 46 викласти в такій редакції:</w:t>
            </w:r>
          </w:p>
          <w:p w14:paraId="5654668C"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 xml:space="preserve">«4) </w:t>
            </w:r>
            <w:r w:rsidRPr="00286216">
              <w:rPr>
                <w:color w:val="000000" w:themeColor="text1"/>
              </w:rPr>
              <w:t>забезпечує дотримання учасниками такого регульованого ринку вимог, встановлених правилами функціонування регульованого ринку із застосуванням відповідних заходів впливу»;</w:t>
            </w:r>
          </w:p>
        </w:tc>
        <w:tc>
          <w:tcPr>
            <w:tcW w:w="1987" w:type="dxa"/>
          </w:tcPr>
          <w:p w14:paraId="7EEEDB80"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C67CB1E" w14:textId="28C8C6C8" w:rsidR="00403AAD" w:rsidRPr="00286216" w:rsidRDefault="00403AAD" w:rsidP="00403AAD">
            <w:pPr>
              <w:pStyle w:val="StyleZakonu"/>
              <w:rPr>
                <w:color w:val="000000" w:themeColor="text1"/>
              </w:rPr>
            </w:pPr>
            <w:r w:rsidRPr="00286216">
              <w:rPr>
                <w:color w:val="000000" w:themeColor="text1"/>
              </w:rPr>
              <w:t>4) забезпечує дотримання учасниками такого регульованого ринку вимог, встановлених   правилами функціонування регульованого ринку, із застосуванням відповідних заходів впливу;</w:t>
            </w:r>
          </w:p>
        </w:tc>
      </w:tr>
      <w:tr w:rsidR="00403AAD" w:rsidRPr="00286216" w14:paraId="48A4B186" w14:textId="77777777" w:rsidTr="00091AA5">
        <w:tc>
          <w:tcPr>
            <w:tcW w:w="576" w:type="dxa"/>
          </w:tcPr>
          <w:p w14:paraId="72E42D5F" w14:textId="77777777" w:rsidR="00403AAD" w:rsidRPr="00286216" w:rsidRDefault="00403AAD" w:rsidP="00403AAD">
            <w:pPr>
              <w:pStyle w:val="StyleWisnow"/>
              <w:rPr>
                <w:color w:val="000000" w:themeColor="text1"/>
              </w:rPr>
            </w:pPr>
            <w:bookmarkStart w:id="520" w:name="n818" w:colFirst="0" w:colLast="0"/>
            <w:bookmarkEnd w:id="519"/>
            <w:r w:rsidRPr="00286216">
              <w:rPr>
                <w:color w:val="000000" w:themeColor="text1"/>
              </w:rPr>
              <w:t>818.</w:t>
            </w:r>
          </w:p>
        </w:tc>
        <w:tc>
          <w:tcPr>
            <w:tcW w:w="4818" w:type="dxa"/>
          </w:tcPr>
          <w:p w14:paraId="36AD7831" w14:textId="77777777" w:rsidR="00403AAD" w:rsidRPr="00286216" w:rsidRDefault="00403AAD" w:rsidP="00403AAD">
            <w:pPr>
              <w:pStyle w:val="StyleZakonu"/>
              <w:rPr>
                <w:color w:val="000000" w:themeColor="text1"/>
              </w:rPr>
            </w:pPr>
            <w:r w:rsidRPr="00286216">
              <w:rPr>
                <w:color w:val="000000" w:themeColor="text1"/>
              </w:rPr>
              <w:t>5) встановлює порядок допуску активів до торгів на регульованому ринку;</w:t>
            </w:r>
          </w:p>
        </w:tc>
        <w:tc>
          <w:tcPr>
            <w:tcW w:w="3686" w:type="dxa"/>
          </w:tcPr>
          <w:p w14:paraId="37E8D22F" w14:textId="3B633AC3"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9D41B81"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пункт 5 частини 1 статті 46 після слів «до торгів на» доповнити словом «такому»</w:t>
            </w:r>
          </w:p>
        </w:tc>
        <w:tc>
          <w:tcPr>
            <w:tcW w:w="1987" w:type="dxa"/>
          </w:tcPr>
          <w:p w14:paraId="59301A2D"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56902FF" w14:textId="4C2A96A6" w:rsidR="00403AAD" w:rsidRPr="00286216" w:rsidRDefault="00403AAD" w:rsidP="00403AAD">
            <w:pPr>
              <w:pStyle w:val="StyleZakonu"/>
              <w:rPr>
                <w:color w:val="000000" w:themeColor="text1"/>
              </w:rPr>
            </w:pPr>
            <w:r w:rsidRPr="00286216">
              <w:rPr>
                <w:color w:val="000000" w:themeColor="text1"/>
              </w:rPr>
              <w:t xml:space="preserve">5) встановлює порядок допуску активів до торгів на </w:t>
            </w:r>
            <w:r w:rsidRPr="00286216">
              <w:rPr>
                <w:color w:val="000000" w:themeColor="text1"/>
                <w:szCs w:val="18"/>
              </w:rPr>
              <w:t>такому</w:t>
            </w:r>
            <w:r w:rsidRPr="00286216">
              <w:rPr>
                <w:color w:val="000000" w:themeColor="text1"/>
              </w:rPr>
              <w:t xml:space="preserve"> регульованому ринку;</w:t>
            </w:r>
          </w:p>
        </w:tc>
      </w:tr>
      <w:tr w:rsidR="00403AAD" w:rsidRPr="00286216" w14:paraId="4D8C8005" w14:textId="77777777" w:rsidTr="00091AA5">
        <w:tc>
          <w:tcPr>
            <w:tcW w:w="576" w:type="dxa"/>
          </w:tcPr>
          <w:p w14:paraId="713B470E" w14:textId="77777777" w:rsidR="00403AAD" w:rsidRPr="00286216" w:rsidRDefault="00403AAD" w:rsidP="00403AAD">
            <w:pPr>
              <w:pStyle w:val="StyleWisnow"/>
              <w:rPr>
                <w:color w:val="000000" w:themeColor="text1"/>
              </w:rPr>
            </w:pPr>
            <w:bookmarkStart w:id="521" w:name="n819" w:colFirst="0" w:colLast="0"/>
            <w:bookmarkEnd w:id="520"/>
            <w:r w:rsidRPr="00286216">
              <w:rPr>
                <w:color w:val="000000" w:themeColor="text1"/>
              </w:rPr>
              <w:t>819.</w:t>
            </w:r>
          </w:p>
        </w:tc>
        <w:tc>
          <w:tcPr>
            <w:tcW w:w="4818" w:type="dxa"/>
          </w:tcPr>
          <w:p w14:paraId="0A21DB13" w14:textId="77777777" w:rsidR="00403AAD" w:rsidRPr="00286216" w:rsidRDefault="00403AAD" w:rsidP="00403AAD">
            <w:pPr>
              <w:pStyle w:val="StyleZakonu"/>
              <w:rPr>
                <w:color w:val="000000" w:themeColor="text1"/>
              </w:rPr>
            </w:pPr>
            <w:r w:rsidRPr="00286216">
              <w:rPr>
                <w:color w:val="000000" w:themeColor="text1"/>
              </w:rPr>
              <w:t>6) визначає за результатами торгів на ринку обсяги купівлі-продажу активів, допущених до торгів на такому регульованому ринку та розрахункову ціну таких активів;</w:t>
            </w:r>
          </w:p>
        </w:tc>
        <w:tc>
          <w:tcPr>
            <w:tcW w:w="3686" w:type="dxa"/>
          </w:tcPr>
          <w:p w14:paraId="4FDE2C76" w14:textId="5F26CC48"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463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95C8C6D"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пункті 6 частини третьої статті 46 слова «та розрахункову ціну таких активів» замінити словами «поточну ціну таких активів та середній курс у порядку, встановленому Національною комісією з цінних паперів та фондового ринку».</w:t>
            </w:r>
          </w:p>
        </w:tc>
        <w:tc>
          <w:tcPr>
            <w:tcW w:w="1987" w:type="dxa"/>
          </w:tcPr>
          <w:p w14:paraId="0E83F81C"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77D1FAB9" w14:textId="393D58DD" w:rsidR="00403AAD" w:rsidRPr="00286216" w:rsidRDefault="00403AAD" w:rsidP="00403AAD">
            <w:pPr>
              <w:pStyle w:val="StyleZakonu"/>
              <w:rPr>
                <w:color w:val="000000" w:themeColor="text1"/>
              </w:rPr>
            </w:pPr>
            <w:r w:rsidRPr="00286216">
              <w:rPr>
                <w:color w:val="000000" w:themeColor="text1"/>
                <w:szCs w:val="18"/>
              </w:rPr>
              <w:t xml:space="preserve">6) </w:t>
            </w:r>
            <w:r w:rsidRPr="00286216">
              <w:rPr>
                <w:color w:val="000000" w:themeColor="text1"/>
              </w:rPr>
              <w:t xml:space="preserve">визначає за результатами торгів на регульованому ринку обсяги купівлі-продажу активів, допущених до торгів на такому регульованому ринку, </w:t>
            </w:r>
            <w:r w:rsidRPr="00286216">
              <w:rPr>
                <w:color w:val="000000" w:themeColor="text1"/>
                <w:szCs w:val="18"/>
              </w:rPr>
              <w:t>поточну ціну таких активів та їх середній курс у порядку, встановленому Національною комісією з цінних паперів та фондового ринку;</w:t>
            </w:r>
          </w:p>
        </w:tc>
      </w:tr>
      <w:tr w:rsidR="00403AAD" w:rsidRPr="00286216" w14:paraId="04C317DE" w14:textId="77777777" w:rsidTr="00091AA5">
        <w:tc>
          <w:tcPr>
            <w:tcW w:w="576" w:type="dxa"/>
          </w:tcPr>
          <w:p w14:paraId="2218208D" w14:textId="77777777" w:rsidR="00403AAD" w:rsidRPr="00286216" w:rsidRDefault="00403AAD" w:rsidP="00403AAD">
            <w:pPr>
              <w:pStyle w:val="StyleWisnow"/>
              <w:rPr>
                <w:color w:val="000000" w:themeColor="text1"/>
              </w:rPr>
            </w:pPr>
            <w:bookmarkStart w:id="522" w:name="n820" w:colFirst="0" w:colLast="0"/>
            <w:bookmarkEnd w:id="521"/>
            <w:r w:rsidRPr="00286216">
              <w:rPr>
                <w:color w:val="000000" w:themeColor="text1"/>
              </w:rPr>
              <w:t>820.</w:t>
            </w:r>
          </w:p>
        </w:tc>
        <w:tc>
          <w:tcPr>
            <w:tcW w:w="4818" w:type="dxa"/>
          </w:tcPr>
          <w:p w14:paraId="12A587CF" w14:textId="77777777" w:rsidR="00403AAD" w:rsidRPr="00286216" w:rsidRDefault="00403AAD" w:rsidP="00403AAD">
            <w:pPr>
              <w:pStyle w:val="StyleZakonu"/>
              <w:rPr>
                <w:color w:val="000000" w:themeColor="text1"/>
              </w:rPr>
            </w:pPr>
            <w:r w:rsidRPr="00286216">
              <w:rPr>
                <w:color w:val="000000" w:themeColor="text1"/>
              </w:rPr>
              <w:t>7) створює умови для забезпечення розрахунків за результатами торгів;</w:t>
            </w:r>
          </w:p>
        </w:tc>
        <w:tc>
          <w:tcPr>
            <w:tcW w:w="3686" w:type="dxa"/>
          </w:tcPr>
          <w:p w14:paraId="7357C7B8" w14:textId="03A2E496"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995CE8A"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Доповнити пункт 7 частини 3 статті 46 словами «на такому регульованому ринку»</w:t>
            </w:r>
          </w:p>
        </w:tc>
        <w:tc>
          <w:tcPr>
            <w:tcW w:w="1987" w:type="dxa"/>
          </w:tcPr>
          <w:p w14:paraId="53213ECD"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D7320EE" w14:textId="314F2672" w:rsidR="00403AAD" w:rsidRPr="00286216" w:rsidRDefault="00403AAD" w:rsidP="00403AAD">
            <w:pPr>
              <w:pStyle w:val="StyleZakonu"/>
              <w:rPr>
                <w:color w:val="000000" w:themeColor="text1"/>
              </w:rPr>
            </w:pPr>
            <w:r w:rsidRPr="00286216">
              <w:rPr>
                <w:color w:val="000000" w:themeColor="text1"/>
              </w:rPr>
              <w:t>7) створює умови для забезпечення розрахунків за результатами торгів</w:t>
            </w:r>
            <w:r w:rsidRPr="00286216">
              <w:rPr>
                <w:color w:val="000000" w:themeColor="text1"/>
                <w:szCs w:val="18"/>
              </w:rPr>
              <w:t xml:space="preserve"> на такому регульованому ринку</w:t>
            </w:r>
            <w:r w:rsidRPr="00286216">
              <w:rPr>
                <w:color w:val="000000" w:themeColor="text1"/>
              </w:rPr>
              <w:t>;</w:t>
            </w:r>
          </w:p>
        </w:tc>
      </w:tr>
      <w:tr w:rsidR="00403AAD" w:rsidRPr="00286216" w14:paraId="18EC8A21" w14:textId="77777777" w:rsidTr="00091AA5">
        <w:tc>
          <w:tcPr>
            <w:tcW w:w="576" w:type="dxa"/>
          </w:tcPr>
          <w:p w14:paraId="4B77451D" w14:textId="77777777" w:rsidR="00403AAD" w:rsidRPr="00286216" w:rsidRDefault="00403AAD" w:rsidP="00403AAD">
            <w:pPr>
              <w:pStyle w:val="StyleWisnow"/>
              <w:rPr>
                <w:color w:val="000000" w:themeColor="text1"/>
              </w:rPr>
            </w:pPr>
            <w:bookmarkStart w:id="523" w:name="n821" w:colFirst="0" w:colLast="0"/>
            <w:bookmarkEnd w:id="522"/>
            <w:r w:rsidRPr="00286216">
              <w:rPr>
                <w:color w:val="000000" w:themeColor="text1"/>
              </w:rPr>
              <w:t>821.</w:t>
            </w:r>
          </w:p>
        </w:tc>
        <w:tc>
          <w:tcPr>
            <w:tcW w:w="4818" w:type="dxa"/>
          </w:tcPr>
          <w:p w14:paraId="39A33C7B" w14:textId="77777777" w:rsidR="00403AAD" w:rsidRPr="00286216" w:rsidRDefault="00403AAD" w:rsidP="00403AAD">
            <w:pPr>
              <w:pStyle w:val="StyleZakonu"/>
              <w:rPr>
                <w:color w:val="000000" w:themeColor="text1"/>
              </w:rPr>
            </w:pPr>
            <w:r w:rsidRPr="00286216">
              <w:rPr>
                <w:color w:val="000000" w:themeColor="text1"/>
              </w:rPr>
              <w:t>8) створює умови для розв’язання спорів між учасниками регульованого ринку;</w:t>
            </w:r>
          </w:p>
        </w:tc>
        <w:tc>
          <w:tcPr>
            <w:tcW w:w="3686" w:type="dxa"/>
          </w:tcPr>
          <w:p w14:paraId="46541772" w14:textId="77777777" w:rsidR="00403AAD" w:rsidRPr="00286216" w:rsidRDefault="00403AAD" w:rsidP="00403AAD">
            <w:pPr>
              <w:pStyle w:val="StyleProp"/>
              <w:rPr>
                <w:color w:val="000000" w:themeColor="text1"/>
                <w:szCs w:val="18"/>
              </w:rPr>
            </w:pPr>
          </w:p>
        </w:tc>
        <w:tc>
          <w:tcPr>
            <w:tcW w:w="1987" w:type="dxa"/>
          </w:tcPr>
          <w:p w14:paraId="2314454F" w14:textId="77777777" w:rsidR="00403AAD" w:rsidRPr="00286216" w:rsidRDefault="00403AAD" w:rsidP="00403AAD">
            <w:pPr>
              <w:pStyle w:val="StyleWisnow"/>
              <w:rPr>
                <w:color w:val="000000" w:themeColor="text1"/>
              </w:rPr>
            </w:pPr>
          </w:p>
        </w:tc>
        <w:tc>
          <w:tcPr>
            <w:tcW w:w="4818" w:type="dxa"/>
          </w:tcPr>
          <w:p w14:paraId="5BB3B9D2" w14:textId="62959279" w:rsidR="00403AAD" w:rsidRPr="00286216" w:rsidRDefault="00403AAD" w:rsidP="00403AAD">
            <w:pPr>
              <w:pStyle w:val="StyleZakonu"/>
              <w:rPr>
                <w:color w:val="000000" w:themeColor="text1"/>
              </w:rPr>
            </w:pPr>
            <w:r w:rsidRPr="00286216">
              <w:rPr>
                <w:color w:val="000000" w:themeColor="text1"/>
              </w:rPr>
              <w:t>8) створює умови для розв’язання спорів між учасниками регульованого ринку;</w:t>
            </w:r>
          </w:p>
        </w:tc>
      </w:tr>
      <w:tr w:rsidR="00403AAD" w:rsidRPr="00286216" w14:paraId="76FD7709" w14:textId="77777777" w:rsidTr="00091AA5">
        <w:tc>
          <w:tcPr>
            <w:tcW w:w="576" w:type="dxa"/>
          </w:tcPr>
          <w:p w14:paraId="457BC97D" w14:textId="77777777" w:rsidR="00403AAD" w:rsidRPr="00286216" w:rsidRDefault="00403AAD" w:rsidP="00403AAD">
            <w:pPr>
              <w:pStyle w:val="StyleWisnow"/>
              <w:rPr>
                <w:color w:val="000000" w:themeColor="text1"/>
              </w:rPr>
            </w:pPr>
            <w:bookmarkStart w:id="524" w:name="n822" w:colFirst="0" w:colLast="0"/>
            <w:bookmarkEnd w:id="523"/>
            <w:r w:rsidRPr="00286216">
              <w:rPr>
                <w:color w:val="000000" w:themeColor="text1"/>
              </w:rPr>
              <w:t>822.</w:t>
            </w:r>
          </w:p>
        </w:tc>
        <w:tc>
          <w:tcPr>
            <w:tcW w:w="4818" w:type="dxa"/>
          </w:tcPr>
          <w:p w14:paraId="38ED8E69" w14:textId="77777777" w:rsidR="00403AAD" w:rsidRPr="00286216" w:rsidRDefault="00403AAD" w:rsidP="00403AAD">
            <w:pPr>
              <w:pStyle w:val="StyleZakonu"/>
              <w:rPr>
                <w:color w:val="000000" w:themeColor="text1"/>
              </w:rPr>
            </w:pPr>
            <w:r w:rsidRPr="00286216">
              <w:rPr>
                <w:color w:val="000000" w:themeColor="text1"/>
              </w:rPr>
              <w:t>9) оприлюднює інформацію щодо торгів на ринку;</w:t>
            </w:r>
          </w:p>
        </w:tc>
        <w:tc>
          <w:tcPr>
            <w:tcW w:w="3686" w:type="dxa"/>
          </w:tcPr>
          <w:p w14:paraId="0C7D2F5C" w14:textId="6B363DDD"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98E8E66" w14:textId="77777777" w:rsidR="00403AAD" w:rsidRPr="00286216" w:rsidRDefault="00403AAD" w:rsidP="00403AAD">
            <w:pPr>
              <w:pStyle w:val="StyleProp"/>
              <w:spacing w:line="180" w:lineRule="exact"/>
              <w:rPr>
                <w:color w:val="000000" w:themeColor="text1"/>
                <w:szCs w:val="18"/>
              </w:rPr>
            </w:pPr>
            <w:r w:rsidRPr="00286216">
              <w:rPr>
                <w:color w:val="000000" w:themeColor="text1"/>
              </w:rPr>
              <w:t xml:space="preserve">У пункті 9 </w:t>
            </w:r>
            <w:r w:rsidRPr="00286216">
              <w:rPr>
                <w:color w:val="000000" w:themeColor="text1"/>
                <w:szCs w:val="18"/>
              </w:rPr>
              <w:t>частини 6 статті 46</w:t>
            </w:r>
            <w:r w:rsidRPr="00286216">
              <w:rPr>
                <w:color w:val="000000" w:themeColor="text1"/>
              </w:rPr>
              <w:t xml:space="preserve">  слова «торгів на» замінити словами «торгів на  такому регульованому»</w:t>
            </w:r>
          </w:p>
        </w:tc>
        <w:tc>
          <w:tcPr>
            <w:tcW w:w="1987" w:type="dxa"/>
          </w:tcPr>
          <w:p w14:paraId="2CF9BED1"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041A10A7" w14:textId="51C58AD3" w:rsidR="00403AAD" w:rsidRPr="00286216" w:rsidRDefault="00403AAD" w:rsidP="00403AAD">
            <w:pPr>
              <w:pStyle w:val="StyleZakonu"/>
              <w:rPr>
                <w:color w:val="000000" w:themeColor="text1"/>
              </w:rPr>
            </w:pPr>
            <w:r w:rsidRPr="00286216">
              <w:rPr>
                <w:color w:val="000000" w:themeColor="text1"/>
              </w:rPr>
              <w:t>9) оприлюднює інформацію щодо торгів на  такому регульованому ринку;</w:t>
            </w:r>
          </w:p>
        </w:tc>
      </w:tr>
      <w:tr w:rsidR="00403AAD" w:rsidRPr="00286216" w14:paraId="7C4E561E" w14:textId="77777777" w:rsidTr="00091AA5">
        <w:tc>
          <w:tcPr>
            <w:tcW w:w="576" w:type="dxa"/>
          </w:tcPr>
          <w:p w14:paraId="74CC8017" w14:textId="77777777" w:rsidR="00403AAD" w:rsidRPr="00286216" w:rsidRDefault="00403AAD" w:rsidP="00403AAD">
            <w:pPr>
              <w:pStyle w:val="StyleWisnow"/>
              <w:rPr>
                <w:color w:val="000000" w:themeColor="text1"/>
              </w:rPr>
            </w:pPr>
            <w:bookmarkStart w:id="525" w:name="n823" w:colFirst="0" w:colLast="0"/>
            <w:bookmarkEnd w:id="524"/>
            <w:r w:rsidRPr="00286216">
              <w:rPr>
                <w:color w:val="000000" w:themeColor="text1"/>
              </w:rPr>
              <w:t>823.</w:t>
            </w:r>
          </w:p>
        </w:tc>
        <w:tc>
          <w:tcPr>
            <w:tcW w:w="4818" w:type="dxa"/>
          </w:tcPr>
          <w:p w14:paraId="645ADAE1" w14:textId="77777777" w:rsidR="00403AAD" w:rsidRPr="00286216" w:rsidRDefault="00403AAD" w:rsidP="00403AAD">
            <w:pPr>
              <w:pStyle w:val="StyleZakonu"/>
              <w:rPr>
                <w:color w:val="000000" w:themeColor="text1"/>
              </w:rPr>
            </w:pPr>
            <w:r w:rsidRPr="00286216">
              <w:rPr>
                <w:color w:val="000000" w:themeColor="text1"/>
              </w:rPr>
              <w:t>10) здійснює рекламу регульованого ринку;</w:t>
            </w:r>
          </w:p>
        </w:tc>
        <w:tc>
          <w:tcPr>
            <w:tcW w:w="3686" w:type="dxa"/>
          </w:tcPr>
          <w:p w14:paraId="0C8BD291" w14:textId="77777777" w:rsidR="00403AAD" w:rsidRPr="00286216" w:rsidRDefault="00403AAD" w:rsidP="00403AAD">
            <w:pPr>
              <w:pStyle w:val="StyleProp"/>
              <w:rPr>
                <w:color w:val="000000" w:themeColor="text1"/>
                <w:szCs w:val="18"/>
              </w:rPr>
            </w:pPr>
          </w:p>
        </w:tc>
        <w:tc>
          <w:tcPr>
            <w:tcW w:w="1987" w:type="dxa"/>
          </w:tcPr>
          <w:p w14:paraId="6B19BC92" w14:textId="77777777" w:rsidR="00403AAD" w:rsidRPr="00286216" w:rsidRDefault="00403AAD" w:rsidP="00403AAD">
            <w:pPr>
              <w:pStyle w:val="StyleWisnow"/>
              <w:rPr>
                <w:color w:val="000000" w:themeColor="text1"/>
              </w:rPr>
            </w:pPr>
          </w:p>
        </w:tc>
        <w:tc>
          <w:tcPr>
            <w:tcW w:w="4818" w:type="dxa"/>
          </w:tcPr>
          <w:p w14:paraId="55641A35" w14:textId="1371D833" w:rsidR="00403AAD" w:rsidRPr="00286216" w:rsidRDefault="00403AAD" w:rsidP="00403AAD">
            <w:pPr>
              <w:pStyle w:val="StyleZakonu"/>
              <w:rPr>
                <w:color w:val="000000" w:themeColor="text1"/>
              </w:rPr>
            </w:pPr>
            <w:r w:rsidRPr="00286216">
              <w:rPr>
                <w:color w:val="000000" w:themeColor="text1"/>
              </w:rPr>
              <w:t>10) здійснює рекламу регульованого ринку;</w:t>
            </w:r>
          </w:p>
        </w:tc>
      </w:tr>
      <w:tr w:rsidR="00403AAD" w:rsidRPr="00286216" w14:paraId="53A5332D" w14:textId="77777777" w:rsidTr="00091AA5">
        <w:tc>
          <w:tcPr>
            <w:tcW w:w="576" w:type="dxa"/>
          </w:tcPr>
          <w:p w14:paraId="644AA832" w14:textId="77777777" w:rsidR="00403AAD" w:rsidRPr="00286216" w:rsidRDefault="00403AAD" w:rsidP="00403AAD">
            <w:pPr>
              <w:pStyle w:val="StyleWisnow"/>
              <w:rPr>
                <w:color w:val="000000" w:themeColor="text1"/>
              </w:rPr>
            </w:pPr>
            <w:bookmarkStart w:id="526" w:name="n824" w:colFirst="0" w:colLast="0"/>
            <w:bookmarkEnd w:id="525"/>
            <w:r w:rsidRPr="00286216">
              <w:rPr>
                <w:color w:val="000000" w:themeColor="text1"/>
              </w:rPr>
              <w:t>824.</w:t>
            </w:r>
          </w:p>
        </w:tc>
        <w:tc>
          <w:tcPr>
            <w:tcW w:w="4818" w:type="dxa"/>
          </w:tcPr>
          <w:p w14:paraId="1F236434" w14:textId="77777777" w:rsidR="00403AAD" w:rsidRPr="00286216" w:rsidRDefault="00403AAD" w:rsidP="00403AAD">
            <w:pPr>
              <w:pStyle w:val="StyleZakonu"/>
              <w:rPr>
                <w:color w:val="000000" w:themeColor="text1"/>
              </w:rPr>
            </w:pPr>
            <w:r w:rsidRPr="00286216">
              <w:rPr>
                <w:color w:val="000000" w:themeColor="text1"/>
              </w:rPr>
              <w:t>11) здійснює інші функції, передбачені цим Законом, правилами ринку та актами законодавства.</w:t>
            </w:r>
          </w:p>
        </w:tc>
        <w:tc>
          <w:tcPr>
            <w:tcW w:w="3686" w:type="dxa"/>
          </w:tcPr>
          <w:p w14:paraId="2BC7D0CB" w14:textId="77777777" w:rsidR="00403AAD" w:rsidRPr="00286216" w:rsidRDefault="00403AAD" w:rsidP="00403AAD">
            <w:pPr>
              <w:pStyle w:val="StyleProp"/>
              <w:rPr>
                <w:color w:val="000000" w:themeColor="text1"/>
                <w:szCs w:val="18"/>
              </w:rPr>
            </w:pPr>
          </w:p>
        </w:tc>
        <w:tc>
          <w:tcPr>
            <w:tcW w:w="1987" w:type="dxa"/>
          </w:tcPr>
          <w:p w14:paraId="2BA1D48A" w14:textId="77777777" w:rsidR="00403AAD" w:rsidRPr="00286216" w:rsidRDefault="00403AAD" w:rsidP="00403AAD">
            <w:pPr>
              <w:pStyle w:val="StyleWisnow"/>
              <w:rPr>
                <w:color w:val="000000" w:themeColor="text1"/>
              </w:rPr>
            </w:pPr>
          </w:p>
        </w:tc>
        <w:tc>
          <w:tcPr>
            <w:tcW w:w="4818" w:type="dxa"/>
          </w:tcPr>
          <w:p w14:paraId="7A636EF9" w14:textId="729A42A8" w:rsidR="00403AAD" w:rsidRPr="00286216" w:rsidRDefault="00403AAD" w:rsidP="00403AAD">
            <w:pPr>
              <w:pStyle w:val="StyleZakonu"/>
              <w:rPr>
                <w:color w:val="000000" w:themeColor="text1"/>
              </w:rPr>
            </w:pPr>
            <w:r w:rsidRPr="00286216">
              <w:rPr>
                <w:color w:val="000000" w:themeColor="text1"/>
              </w:rPr>
              <w:t>11) здійснює інші функції, передбачені цим Законом, правилами ринку та актами законодавства.</w:t>
            </w:r>
          </w:p>
        </w:tc>
      </w:tr>
      <w:tr w:rsidR="00403AAD" w:rsidRPr="00286216" w14:paraId="4980597F" w14:textId="77777777" w:rsidTr="00091AA5">
        <w:tc>
          <w:tcPr>
            <w:tcW w:w="576" w:type="dxa"/>
          </w:tcPr>
          <w:p w14:paraId="03A934C5" w14:textId="77777777" w:rsidR="00403AAD" w:rsidRPr="00286216" w:rsidRDefault="00403AAD" w:rsidP="00403AAD">
            <w:pPr>
              <w:pStyle w:val="StyleWisnow"/>
              <w:rPr>
                <w:color w:val="000000" w:themeColor="text1"/>
              </w:rPr>
            </w:pPr>
            <w:bookmarkStart w:id="527" w:name="n825" w:colFirst="0" w:colLast="0"/>
            <w:bookmarkEnd w:id="526"/>
            <w:r w:rsidRPr="00286216">
              <w:rPr>
                <w:color w:val="000000" w:themeColor="text1"/>
              </w:rPr>
              <w:t>825.</w:t>
            </w:r>
          </w:p>
        </w:tc>
        <w:tc>
          <w:tcPr>
            <w:tcW w:w="4818" w:type="dxa"/>
          </w:tcPr>
          <w:p w14:paraId="0D5A20DE" w14:textId="77777777" w:rsidR="00403AAD" w:rsidRPr="00286216" w:rsidRDefault="00403AAD" w:rsidP="00403AAD">
            <w:pPr>
              <w:pStyle w:val="StyleZakonu"/>
              <w:rPr>
                <w:color w:val="000000" w:themeColor="text1"/>
              </w:rPr>
            </w:pPr>
            <w:r w:rsidRPr="00286216">
              <w:rPr>
                <w:color w:val="000000" w:themeColor="text1"/>
              </w:rPr>
              <w:t>4. Оператор БТМ:</w:t>
            </w:r>
          </w:p>
        </w:tc>
        <w:tc>
          <w:tcPr>
            <w:tcW w:w="3686" w:type="dxa"/>
          </w:tcPr>
          <w:p w14:paraId="55AB9A12" w14:textId="77777777" w:rsidR="00403AAD" w:rsidRPr="00286216" w:rsidRDefault="00403AAD" w:rsidP="00403AAD">
            <w:pPr>
              <w:pStyle w:val="StyleProp"/>
              <w:rPr>
                <w:color w:val="000000" w:themeColor="text1"/>
                <w:szCs w:val="18"/>
              </w:rPr>
            </w:pPr>
          </w:p>
        </w:tc>
        <w:tc>
          <w:tcPr>
            <w:tcW w:w="1987" w:type="dxa"/>
          </w:tcPr>
          <w:p w14:paraId="334291EF" w14:textId="77777777" w:rsidR="00403AAD" w:rsidRPr="00286216" w:rsidRDefault="00403AAD" w:rsidP="00403AAD">
            <w:pPr>
              <w:pStyle w:val="StyleWisnow"/>
              <w:rPr>
                <w:color w:val="000000" w:themeColor="text1"/>
              </w:rPr>
            </w:pPr>
          </w:p>
        </w:tc>
        <w:tc>
          <w:tcPr>
            <w:tcW w:w="4818" w:type="dxa"/>
          </w:tcPr>
          <w:p w14:paraId="1BE55F29" w14:textId="3E269E5F" w:rsidR="00403AAD" w:rsidRPr="00286216" w:rsidRDefault="00403AAD" w:rsidP="00403AAD">
            <w:pPr>
              <w:pStyle w:val="StyleZakonu"/>
              <w:rPr>
                <w:color w:val="000000" w:themeColor="text1"/>
              </w:rPr>
            </w:pPr>
            <w:r w:rsidRPr="00286216">
              <w:rPr>
                <w:color w:val="000000" w:themeColor="text1"/>
              </w:rPr>
              <w:t>4. Оператор БТМ:</w:t>
            </w:r>
          </w:p>
        </w:tc>
      </w:tr>
      <w:tr w:rsidR="00403AAD" w:rsidRPr="00286216" w14:paraId="6C2EEDE6" w14:textId="77777777" w:rsidTr="00091AA5">
        <w:tc>
          <w:tcPr>
            <w:tcW w:w="576" w:type="dxa"/>
          </w:tcPr>
          <w:p w14:paraId="5BF6406A" w14:textId="77777777" w:rsidR="00403AAD" w:rsidRPr="00286216" w:rsidRDefault="00403AAD" w:rsidP="00403AAD">
            <w:pPr>
              <w:pStyle w:val="StyleWisnow"/>
              <w:rPr>
                <w:color w:val="000000" w:themeColor="text1"/>
              </w:rPr>
            </w:pPr>
            <w:bookmarkStart w:id="528" w:name="n826" w:colFirst="0" w:colLast="0"/>
            <w:bookmarkEnd w:id="527"/>
            <w:r w:rsidRPr="00286216">
              <w:rPr>
                <w:color w:val="000000" w:themeColor="text1"/>
              </w:rPr>
              <w:t>826.</w:t>
            </w:r>
          </w:p>
        </w:tc>
        <w:tc>
          <w:tcPr>
            <w:tcW w:w="4818" w:type="dxa"/>
          </w:tcPr>
          <w:p w14:paraId="11121633" w14:textId="77777777" w:rsidR="00403AAD" w:rsidRPr="00286216" w:rsidRDefault="00403AAD" w:rsidP="00403AAD">
            <w:pPr>
              <w:pStyle w:val="StyleZakonu"/>
              <w:rPr>
                <w:color w:val="000000" w:themeColor="text1"/>
              </w:rPr>
            </w:pPr>
            <w:r w:rsidRPr="00286216">
              <w:rPr>
                <w:color w:val="000000" w:themeColor="text1"/>
              </w:rPr>
              <w:t>1) розробляє, забезпечує затвердження та реєстрацію відповідно до законодавства власних недискреційних правил функціонування такого ринку, які є обов’язковими для всіх учасників ринку;</w:t>
            </w:r>
          </w:p>
        </w:tc>
        <w:tc>
          <w:tcPr>
            <w:tcW w:w="3686" w:type="dxa"/>
          </w:tcPr>
          <w:p w14:paraId="7DEA6762" w14:textId="0CE82FB3"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48D1809" w14:textId="77777777" w:rsidR="00403AAD" w:rsidRPr="00286216" w:rsidRDefault="00403AAD" w:rsidP="00403AAD">
            <w:pPr>
              <w:pStyle w:val="StyleProp"/>
              <w:rPr>
                <w:color w:val="000000" w:themeColor="text1"/>
                <w:spacing w:val="-2"/>
                <w:szCs w:val="18"/>
              </w:rPr>
            </w:pPr>
            <w:r w:rsidRPr="00286216">
              <w:rPr>
                <w:color w:val="000000" w:themeColor="text1"/>
                <w:spacing w:val="-2"/>
                <w:szCs w:val="18"/>
              </w:rPr>
              <w:t xml:space="preserve">у пункті 1 частини 4 статті 46 слова "такого ринку, які є обов’язковими для всіх учасників ринку" замінити словами "БТМ, які є </w:t>
            </w:r>
            <w:r w:rsidRPr="00286216">
              <w:rPr>
                <w:color w:val="000000" w:themeColor="text1"/>
                <w:spacing w:val="-4"/>
                <w:szCs w:val="18"/>
              </w:rPr>
              <w:lastRenderedPageBreak/>
              <w:t>обов’язковими для всіх учасників такого БТМ".</w:t>
            </w:r>
          </w:p>
        </w:tc>
        <w:tc>
          <w:tcPr>
            <w:tcW w:w="1987" w:type="dxa"/>
          </w:tcPr>
          <w:p w14:paraId="53DFC771"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4AF32067" w14:textId="271C9DAD" w:rsidR="00403AAD" w:rsidRPr="00286216" w:rsidRDefault="00403AAD" w:rsidP="00403AAD">
            <w:pPr>
              <w:pStyle w:val="StyleZakonu"/>
              <w:rPr>
                <w:color w:val="000000" w:themeColor="text1"/>
              </w:rPr>
            </w:pPr>
            <w:r w:rsidRPr="00286216">
              <w:rPr>
                <w:color w:val="000000" w:themeColor="text1"/>
              </w:rPr>
              <w:t xml:space="preserve">1) розробляє, забезпечує затвердження та реєстрацію відповідно до законодавства власних недискреційних правил функціонування </w:t>
            </w:r>
            <w:r w:rsidRPr="00286216">
              <w:rPr>
                <w:color w:val="000000" w:themeColor="text1"/>
                <w:spacing w:val="-2"/>
                <w:szCs w:val="18"/>
              </w:rPr>
              <w:t xml:space="preserve">БТМ, які є </w:t>
            </w:r>
            <w:r w:rsidRPr="00286216">
              <w:rPr>
                <w:color w:val="000000" w:themeColor="text1"/>
                <w:spacing w:val="-4"/>
                <w:szCs w:val="18"/>
              </w:rPr>
              <w:t>обов’язковими для всіх учасників такого БТМ</w:t>
            </w:r>
            <w:r w:rsidRPr="00286216">
              <w:rPr>
                <w:color w:val="000000" w:themeColor="text1"/>
              </w:rPr>
              <w:t>;</w:t>
            </w:r>
          </w:p>
        </w:tc>
      </w:tr>
      <w:tr w:rsidR="00403AAD" w:rsidRPr="00286216" w14:paraId="160E7D23" w14:textId="77777777" w:rsidTr="00091AA5">
        <w:tc>
          <w:tcPr>
            <w:tcW w:w="576" w:type="dxa"/>
          </w:tcPr>
          <w:p w14:paraId="5F6992A1" w14:textId="77777777" w:rsidR="00403AAD" w:rsidRPr="00286216" w:rsidRDefault="00403AAD" w:rsidP="00403AAD">
            <w:pPr>
              <w:pStyle w:val="StyleWisnow"/>
              <w:rPr>
                <w:color w:val="000000" w:themeColor="text1"/>
              </w:rPr>
            </w:pPr>
            <w:bookmarkStart w:id="529" w:name="n827" w:colFirst="0" w:colLast="0"/>
            <w:bookmarkEnd w:id="528"/>
            <w:r w:rsidRPr="00286216">
              <w:rPr>
                <w:color w:val="000000" w:themeColor="text1"/>
              </w:rPr>
              <w:lastRenderedPageBreak/>
              <w:t>827.</w:t>
            </w:r>
          </w:p>
        </w:tc>
        <w:tc>
          <w:tcPr>
            <w:tcW w:w="4818" w:type="dxa"/>
          </w:tcPr>
          <w:p w14:paraId="702B10EA" w14:textId="77777777" w:rsidR="00403AAD" w:rsidRPr="00286216" w:rsidRDefault="00403AAD" w:rsidP="00403AAD">
            <w:pPr>
              <w:pStyle w:val="StyleZakonu"/>
              <w:rPr>
                <w:color w:val="000000" w:themeColor="text1"/>
              </w:rPr>
            </w:pPr>
            <w:r w:rsidRPr="00286216">
              <w:rPr>
                <w:color w:val="000000" w:themeColor="text1"/>
              </w:rPr>
              <w:t>2) визначає порядок допуску, допускає до участі у торгах інвестиційні фірми та інших осіб, передбачених законодавством, забезпечує ведення та оприлюднення відповідного переліку учасників торгів;</w:t>
            </w:r>
          </w:p>
        </w:tc>
        <w:tc>
          <w:tcPr>
            <w:tcW w:w="3686" w:type="dxa"/>
          </w:tcPr>
          <w:p w14:paraId="3F34C676" w14:textId="72C4AE07"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6AE749B" w14:textId="77777777" w:rsidR="00403AAD" w:rsidRPr="00286216" w:rsidRDefault="00403AAD" w:rsidP="00403AAD">
            <w:pPr>
              <w:pStyle w:val="StyleProp"/>
              <w:rPr>
                <w:color w:val="000000" w:themeColor="text1"/>
              </w:rPr>
            </w:pPr>
            <w:r w:rsidRPr="00286216">
              <w:rPr>
                <w:color w:val="000000" w:themeColor="text1"/>
              </w:rPr>
              <w:t>Пункти 2-4 частини 4 статті 46 викласти в такій редакції:</w:t>
            </w:r>
          </w:p>
          <w:p w14:paraId="4DBC530C" w14:textId="77777777" w:rsidR="00403AAD" w:rsidRPr="00286216" w:rsidRDefault="00403AAD" w:rsidP="00403AAD">
            <w:pPr>
              <w:pStyle w:val="StyleProp"/>
              <w:spacing w:line="180" w:lineRule="exact"/>
              <w:rPr>
                <w:color w:val="000000" w:themeColor="text1"/>
                <w:szCs w:val="18"/>
              </w:rPr>
            </w:pPr>
            <w:r w:rsidRPr="00286216">
              <w:rPr>
                <w:color w:val="000000" w:themeColor="text1"/>
              </w:rPr>
              <w:t>«2) визначає порядок допуску, допускає до участі у торгах на БТМ інвестиційні фірми та інших осіб, можливість участі яких у торгах передбачена законодавством, забезпечує ведення та оприлюднення відповідного переліку учасників такого БТМ;</w:t>
            </w:r>
          </w:p>
        </w:tc>
        <w:tc>
          <w:tcPr>
            <w:tcW w:w="1987" w:type="dxa"/>
          </w:tcPr>
          <w:p w14:paraId="4CCACD0C"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B292F76" w14:textId="2E107201" w:rsidR="00403AAD" w:rsidRPr="00286216" w:rsidRDefault="00403AAD" w:rsidP="00403AAD">
            <w:pPr>
              <w:pStyle w:val="StyleZakonu"/>
              <w:rPr>
                <w:color w:val="000000" w:themeColor="text1"/>
              </w:rPr>
            </w:pPr>
            <w:r w:rsidRPr="00286216">
              <w:rPr>
                <w:color w:val="000000" w:themeColor="text1"/>
              </w:rPr>
              <w:t>2) визначає порядок допуску, допускає до участі у торгах на БТМ інвестиційні фірми та інших осіб, можливість участі яких у торгах передбачена законодавством, забезпечує ведення та оприлюднення відповідного переліку учасників такого БТМ;</w:t>
            </w:r>
          </w:p>
        </w:tc>
      </w:tr>
      <w:tr w:rsidR="00403AAD" w:rsidRPr="00286216" w14:paraId="29BA0DE8" w14:textId="77777777" w:rsidTr="00091AA5">
        <w:tc>
          <w:tcPr>
            <w:tcW w:w="576" w:type="dxa"/>
          </w:tcPr>
          <w:p w14:paraId="44E37531" w14:textId="77777777" w:rsidR="00403AAD" w:rsidRPr="00286216" w:rsidRDefault="00403AAD" w:rsidP="00403AAD">
            <w:pPr>
              <w:pStyle w:val="StyleWisnow"/>
              <w:rPr>
                <w:color w:val="000000" w:themeColor="text1"/>
              </w:rPr>
            </w:pPr>
            <w:bookmarkStart w:id="530" w:name="n828" w:colFirst="0" w:colLast="0"/>
            <w:bookmarkEnd w:id="529"/>
            <w:r w:rsidRPr="00286216">
              <w:rPr>
                <w:color w:val="000000" w:themeColor="text1"/>
              </w:rPr>
              <w:t>828.</w:t>
            </w:r>
          </w:p>
        </w:tc>
        <w:tc>
          <w:tcPr>
            <w:tcW w:w="4818" w:type="dxa"/>
          </w:tcPr>
          <w:p w14:paraId="6513AB98" w14:textId="77777777" w:rsidR="00403AAD" w:rsidRPr="00286216" w:rsidRDefault="00403AAD" w:rsidP="00403AAD">
            <w:pPr>
              <w:pStyle w:val="StyleZakonu"/>
              <w:rPr>
                <w:color w:val="000000" w:themeColor="text1"/>
              </w:rPr>
            </w:pPr>
            <w:r w:rsidRPr="00286216">
              <w:rPr>
                <w:color w:val="000000" w:themeColor="text1"/>
              </w:rPr>
              <w:t>3) забезпечує дотримання учасниками ринку вимог правил ринку;</w:t>
            </w:r>
          </w:p>
        </w:tc>
        <w:tc>
          <w:tcPr>
            <w:tcW w:w="3686" w:type="dxa"/>
          </w:tcPr>
          <w:p w14:paraId="3EAADB68" w14:textId="77777777" w:rsidR="00403AAD" w:rsidRPr="00286216" w:rsidRDefault="00403AAD" w:rsidP="00403AAD">
            <w:pPr>
              <w:pStyle w:val="StyleProp"/>
              <w:spacing w:line="180" w:lineRule="exact"/>
              <w:rPr>
                <w:color w:val="000000" w:themeColor="text1"/>
                <w:szCs w:val="18"/>
              </w:rPr>
            </w:pPr>
            <w:r w:rsidRPr="00286216">
              <w:rPr>
                <w:color w:val="000000" w:themeColor="text1"/>
              </w:rPr>
              <w:t>3) забезпечує дотримання учасниками такого БТМ вимог, встановлених   правилами функціонування БТМ із застосуванням відповідних заходів впливу;</w:t>
            </w:r>
          </w:p>
        </w:tc>
        <w:tc>
          <w:tcPr>
            <w:tcW w:w="1987" w:type="dxa"/>
          </w:tcPr>
          <w:p w14:paraId="3BB001EB" w14:textId="77777777" w:rsidR="00403AAD" w:rsidRPr="00286216" w:rsidRDefault="00403AAD" w:rsidP="00403AAD">
            <w:pPr>
              <w:pStyle w:val="StyleWisnow"/>
              <w:rPr>
                <w:color w:val="000000" w:themeColor="text1"/>
              </w:rPr>
            </w:pPr>
          </w:p>
        </w:tc>
        <w:tc>
          <w:tcPr>
            <w:tcW w:w="4818" w:type="dxa"/>
          </w:tcPr>
          <w:p w14:paraId="6A4665BE" w14:textId="381DD2DE" w:rsidR="00403AAD" w:rsidRPr="00286216" w:rsidRDefault="00403AAD" w:rsidP="00403AAD">
            <w:pPr>
              <w:pStyle w:val="StyleZakonu"/>
              <w:rPr>
                <w:color w:val="000000" w:themeColor="text1"/>
              </w:rPr>
            </w:pPr>
            <w:r w:rsidRPr="00286216">
              <w:rPr>
                <w:color w:val="000000" w:themeColor="text1"/>
              </w:rPr>
              <w:t>3) забезпечує дотримання учасниками такого БТМ вимог, встановлених правилами функціонування БТМ, із застосуванням відповідних заходів впливу;</w:t>
            </w:r>
          </w:p>
        </w:tc>
      </w:tr>
      <w:tr w:rsidR="00403AAD" w:rsidRPr="00286216" w14:paraId="6CCE8D86" w14:textId="77777777" w:rsidTr="00091AA5">
        <w:tc>
          <w:tcPr>
            <w:tcW w:w="576" w:type="dxa"/>
          </w:tcPr>
          <w:p w14:paraId="61B435A0" w14:textId="77777777" w:rsidR="00403AAD" w:rsidRPr="00286216" w:rsidRDefault="00403AAD" w:rsidP="00403AAD">
            <w:pPr>
              <w:pStyle w:val="StyleWisnow"/>
              <w:rPr>
                <w:color w:val="000000" w:themeColor="text1"/>
              </w:rPr>
            </w:pPr>
            <w:bookmarkStart w:id="531" w:name="n829" w:colFirst="0" w:colLast="0"/>
            <w:bookmarkEnd w:id="530"/>
            <w:r w:rsidRPr="00286216">
              <w:rPr>
                <w:color w:val="000000" w:themeColor="text1"/>
              </w:rPr>
              <w:t>829.</w:t>
            </w:r>
          </w:p>
        </w:tc>
        <w:tc>
          <w:tcPr>
            <w:tcW w:w="4818" w:type="dxa"/>
          </w:tcPr>
          <w:p w14:paraId="597A2BBE" w14:textId="77777777" w:rsidR="00403AAD" w:rsidRPr="00286216" w:rsidRDefault="00403AAD" w:rsidP="00403AAD">
            <w:pPr>
              <w:pStyle w:val="StyleZakonu"/>
              <w:rPr>
                <w:color w:val="000000" w:themeColor="text1"/>
              </w:rPr>
            </w:pPr>
            <w:r w:rsidRPr="00286216">
              <w:rPr>
                <w:color w:val="000000" w:themeColor="text1"/>
              </w:rPr>
              <w:t>4) встановлює порядок допуску активів до торгів на БТМ;</w:t>
            </w:r>
          </w:p>
        </w:tc>
        <w:tc>
          <w:tcPr>
            <w:tcW w:w="3686" w:type="dxa"/>
          </w:tcPr>
          <w:p w14:paraId="3EECF216" w14:textId="77777777" w:rsidR="00403AAD" w:rsidRPr="00286216" w:rsidRDefault="00403AAD" w:rsidP="00403AAD">
            <w:pPr>
              <w:pStyle w:val="StyleProp"/>
              <w:spacing w:line="190" w:lineRule="exact"/>
              <w:rPr>
                <w:color w:val="000000" w:themeColor="text1"/>
                <w:szCs w:val="18"/>
              </w:rPr>
            </w:pPr>
            <w:r w:rsidRPr="00286216">
              <w:rPr>
                <w:color w:val="000000" w:themeColor="text1"/>
              </w:rPr>
              <w:t>4) встановлює порядок допуску активів до торгів на такому БТМ».</w:t>
            </w:r>
          </w:p>
        </w:tc>
        <w:tc>
          <w:tcPr>
            <w:tcW w:w="1987" w:type="dxa"/>
          </w:tcPr>
          <w:p w14:paraId="23101C92" w14:textId="77777777" w:rsidR="00403AAD" w:rsidRPr="00286216" w:rsidRDefault="00403AAD" w:rsidP="00403AAD">
            <w:pPr>
              <w:pStyle w:val="StyleWisnow"/>
              <w:rPr>
                <w:color w:val="000000" w:themeColor="text1"/>
              </w:rPr>
            </w:pPr>
          </w:p>
        </w:tc>
        <w:tc>
          <w:tcPr>
            <w:tcW w:w="4818" w:type="dxa"/>
          </w:tcPr>
          <w:p w14:paraId="3C24DA11" w14:textId="13F0BEC9" w:rsidR="00403AAD" w:rsidRPr="00286216" w:rsidRDefault="00403AAD" w:rsidP="00403AAD">
            <w:pPr>
              <w:pStyle w:val="StyleZakonu"/>
              <w:rPr>
                <w:color w:val="000000" w:themeColor="text1"/>
              </w:rPr>
            </w:pPr>
            <w:r w:rsidRPr="00286216">
              <w:rPr>
                <w:color w:val="000000" w:themeColor="text1"/>
              </w:rPr>
              <w:t>4) встановлює порядок допуску активів до торгів на такому БТМ;</w:t>
            </w:r>
          </w:p>
        </w:tc>
      </w:tr>
      <w:tr w:rsidR="00403AAD" w:rsidRPr="00286216" w14:paraId="389E76B8" w14:textId="77777777" w:rsidTr="00091AA5">
        <w:tc>
          <w:tcPr>
            <w:tcW w:w="576" w:type="dxa"/>
          </w:tcPr>
          <w:p w14:paraId="4B18353B" w14:textId="77777777" w:rsidR="00403AAD" w:rsidRPr="00286216" w:rsidRDefault="00403AAD" w:rsidP="00403AAD">
            <w:pPr>
              <w:pStyle w:val="StyleWisnow"/>
              <w:rPr>
                <w:color w:val="000000" w:themeColor="text1"/>
              </w:rPr>
            </w:pPr>
            <w:bookmarkStart w:id="532" w:name="n830" w:colFirst="0" w:colLast="0"/>
            <w:bookmarkEnd w:id="531"/>
            <w:r w:rsidRPr="00286216">
              <w:rPr>
                <w:color w:val="000000" w:themeColor="text1"/>
              </w:rPr>
              <w:t>830.</w:t>
            </w:r>
          </w:p>
        </w:tc>
        <w:tc>
          <w:tcPr>
            <w:tcW w:w="4818" w:type="dxa"/>
          </w:tcPr>
          <w:p w14:paraId="7ABEF378" w14:textId="77777777" w:rsidR="00403AAD" w:rsidRPr="00286216" w:rsidRDefault="00403AAD" w:rsidP="00403AAD">
            <w:pPr>
              <w:pStyle w:val="StyleZakonu"/>
              <w:rPr>
                <w:color w:val="000000" w:themeColor="text1"/>
              </w:rPr>
            </w:pPr>
            <w:r w:rsidRPr="00286216">
              <w:rPr>
                <w:color w:val="000000" w:themeColor="text1"/>
              </w:rPr>
              <w:t>5) визначає за результатами торгів на ринку обсяги купівлі-продажу активів, допущених до торгів на такій БТМ та розрахункову ціну таких активів;</w:t>
            </w:r>
          </w:p>
        </w:tc>
        <w:tc>
          <w:tcPr>
            <w:tcW w:w="3686" w:type="dxa"/>
          </w:tcPr>
          <w:p w14:paraId="0A8F3709" w14:textId="24313647"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468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33F123D" w14:textId="77777777" w:rsidR="00403AAD" w:rsidRPr="00286216" w:rsidRDefault="00403AAD" w:rsidP="00403AAD">
            <w:pPr>
              <w:pStyle w:val="StyleProp"/>
              <w:rPr>
                <w:color w:val="000000" w:themeColor="text1"/>
                <w:szCs w:val="18"/>
              </w:rPr>
            </w:pPr>
            <w:r w:rsidRPr="00286216">
              <w:rPr>
                <w:color w:val="000000" w:themeColor="text1"/>
                <w:szCs w:val="18"/>
              </w:rPr>
              <w:t>У пункті 5 частини четвертої статті 46 слова «та розрахункову ціну таких активів» замінити словами «поточну ціну таких активів та середній курс у порядку, встановленому Національною комісією з цінних паперів та фондового ринку».</w:t>
            </w:r>
          </w:p>
        </w:tc>
        <w:tc>
          <w:tcPr>
            <w:tcW w:w="1987" w:type="dxa"/>
          </w:tcPr>
          <w:p w14:paraId="15AB69F5"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6C0C8D87" w14:textId="7B6A4EB4" w:rsidR="00403AAD" w:rsidRPr="00286216" w:rsidRDefault="00403AAD" w:rsidP="00403AAD">
            <w:pPr>
              <w:pStyle w:val="StyleZakonu"/>
              <w:rPr>
                <w:color w:val="000000" w:themeColor="text1"/>
              </w:rPr>
            </w:pPr>
            <w:r w:rsidRPr="00286216">
              <w:rPr>
                <w:color w:val="000000" w:themeColor="text1"/>
              </w:rPr>
              <w:t>5) визначає за результатами торгів на БТМ обсяги купівлі-продажу активів, допущених до торгів на такому БТМ, поточну ціну таких активів та їх середній курс у порядку, встановленому Національною комісією з цінних паперів та фондового ринку;</w:t>
            </w:r>
          </w:p>
        </w:tc>
      </w:tr>
      <w:tr w:rsidR="00403AAD" w:rsidRPr="00286216" w14:paraId="39E72C21" w14:textId="77777777" w:rsidTr="00091AA5">
        <w:tc>
          <w:tcPr>
            <w:tcW w:w="576" w:type="dxa"/>
          </w:tcPr>
          <w:p w14:paraId="323D424B" w14:textId="77777777" w:rsidR="00403AAD" w:rsidRPr="00286216" w:rsidRDefault="00403AAD" w:rsidP="00403AAD">
            <w:pPr>
              <w:pStyle w:val="StyleWisnow"/>
              <w:rPr>
                <w:color w:val="000000" w:themeColor="text1"/>
              </w:rPr>
            </w:pPr>
            <w:bookmarkStart w:id="533" w:name="n831" w:colFirst="0" w:colLast="0"/>
            <w:bookmarkEnd w:id="532"/>
            <w:r w:rsidRPr="00286216">
              <w:rPr>
                <w:color w:val="000000" w:themeColor="text1"/>
              </w:rPr>
              <w:t>831.</w:t>
            </w:r>
          </w:p>
        </w:tc>
        <w:tc>
          <w:tcPr>
            <w:tcW w:w="4818" w:type="dxa"/>
          </w:tcPr>
          <w:p w14:paraId="7324FBBA" w14:textId="77777777" w:rsidR="00403AAD" w:rsidRPr="00286216" w:rsidRDefault="00403AAD" w:rsidP="00403AAD">
            <w:pPr>
              <w:pStyle w:val="StyleZakonu"/>
              <w:rPr>
                <w:color w:val="000000" w:themeColor="text1"/>
              </w:rPr>
            </w:pPr>
            <w:r w:rsidRPr="00286216">
              <w:rPr>
                <w:color w:val="000000" w:themeColor="text1"/>
              </w:rPr>
              <w:t>6) створює умови для забезпечення розрахунків за результатами торгів;</w:t>
            </w:r>
          </w:p>
        </w:tc>
        <w:tc>
          <w:tcPr>
            <w:tcW w:w="3686" w:type="dxa"/>
          </w:tcPr>
          <w:p w14:paraId="6CDA0F85" w14:textId="73B52175"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469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4925263" w14:textId="77777777" w:rsidR="00403AAD" w:rsidRPr="00286216" w:rsidRDefault="00403AAD" w:rsidP="00403AAD">
            <w:pPr>
              <w:pStyle w:val="StyleProp"/>
              <w:rPr>
                <w:color w:val="000000" w:themeColor="text1"/>
                <w:szCs w:val="18"/>
              </w:rPr>
            </w:pPr>
            <w:r w:rsidRPr="00286216">
              <w:rPr>
                <w:color w:val="000000" w:themeColor="text1"/>
              </w:rPr>
              <w:t xml:space="preserve">Доповнити пункт 6 </w:t>
            </w:r>
            <w:r w:rsidRPr="00286216">
              <w:rPr>
                <w:color w:val="000000" w:themeColor="text1"/>
                <w:szCs w:val="18"/>
              </w:rPr>
              <w:t xml:space="preserve">частини 4 статті 46 </w:t>
            </w:r>
            <w:r w:rsidRPr="00286216">
              <w:rPr>
                <w:color w:val="000000" w:themeColor="text1"/>
              </w:rPr>
              <w:t>словами «на такому БТМ».</w:t>
            </w:r>
          </w:p>
        </w:tc>
        <w:tc>
          <w:tcPr>
            <w:tcW w:w="1987" w:type="dxa"/>
          </w:tcPr>
          <w:p w14:paraId="7C6F572F"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670A141" w14:textId="78483305" w:rsidR="00403AAD" w:rsidRPr="00286216" w:rsidRDefault="00403AAD" w:rsidP="00403AAD">
            <w:pPr>
              <w:pStyle w:val="StyleZakonu"/>
              <w:rPr>
                <w:color w:val="000000" w:themeColor="text1"/>
              </w:rPr>
            </w:pPr>
            <w:r w:rsidRPr="00286216">
              <w:rPr>
                <w:color w:val="000000" w:themeColor="text1"/>
              </w:rPr>
              <w:t>6) створює умови для забезпечення розрахунків за результатами торгів на такому БТМ;</w:t>
            </w:r>
          </w:p>
        </w:tc>
      </w:tr>
      <w:tr w:rsidR="00403AAD" w:rsidRPr="00286216" w14:paraId="652EF1FD" w14:textId="77777777" w:rsidTr="00091AA5">
        <w:tc>
          <w:tcPr>
            <w:tcW w:w="576" w:type="dxa"/>
          </w:tcPr>
          <w:p w14:paraId="7494CEF1" w14:textId="77777777" w:rsidR="00403AAD" w:rsidRPr="00286216" w:rsidRDefault="00403AAD" w:rsidP="00403AAD">
            <w:pPr>
              <w:pStyle w:val="StyleWisnow"/>
              <w:rPr>
                <w:color w:val="000000" w:themeColor="text1"/>
              </w:rPr>
            </w:pPr>
            <w:bookmarkStart w:id="534" w:name="n832" w:colFirst="0" w:colLast="0"/>
            <w:bookmarkEnd w:id="533"/>
            <w:r w:rsidRPr="00286216">
              <w:rPr>
                <w:color w:val="000000" w:themeColor="text1"/>
              </w:rPr>
              <w:t>832.</w:t>
            </w:r>
          </w:p>
        </w:tc>
        <w:tc>
          <w:tcPr>
            <w:tcW w:w="4818" w:type="dxa"/>
          </w:tcPr>
          <w:p w14:paraId="0BD3F568" w14:textId="77777777" w:rsidR="00403AAD" w:rsidRPr="00286216" w:rsidRDefault="00403AAD" w:rsidP="00403AAD">
            <w:pPr>
              <w:pStyle w:val="StyleZakonu"/>
              <w:rPr>
                <w:color w:val="000000" w:themeColor="text1"/>
              </w:rPr>
            </w:pPr>
            <w:r w:rsidRPr="00286216">
              <w:rPr>
                <w:color w:val="000000" w:themeColor="text1"/>
              </w:rPr>
              <w:t>7) оприлюднює інформацію щодо торгів на ринку;</w:t>
            </w:r>
          </w:p>
        </w:tc>
        <w:tc>
          <w:tcPr>
            <w:tcW w:w="3686" w:type="dxa"/>
          </w:tcPr>
          <w:p w14:paraId="5D7A4203" w14:textId="2FA9FB00"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64365E0" w14:textId="77777777" w:rsidR="00403AAD" w:rsidRPr="00286216" w:rsidRDefault="00403AAD" w:rsidP="00403AAD">
            <w:pPr>
              <w:pStyle w:val="StyleProp"/>
              <w:rPr>
                <w:color w:val="000000" w:themeColor="text1"/>
                <w:szCs w:val="18"/>
              </w:rPr>
            </w:pPr>
            <w:r w:rsidRPr="00286216">
              <w:rPr>
                <w:color w:val="000000" w:themeColor="text1"/>
              </w:rPr>
              <w:t xml:space="preserve">В пункті 7 </w:t>
            </w:r>
            <w:r w:rsidRPr="00286216">
              <w:rPr>
                <w:color w:val="000000" w:themeColor="text1"/>
                <w:szCs w:val="18"/>
              </w:rPr>
              <w:t xml:space="preserve">частини 4 статті 46 слова «на ринку» замінити </w:t>
            </w:r>
            <w:r w:rsidRPr="00286216">
              <w:rPr>
                <w:color w:val="000000" w:themeColor="text1"/>
              </w:rPr>
              <w:t>словами «на такому БТМ».</w:t>
            </w:r>
          </w:p>
        </w:tc>
        <w:tc>
          <w:tcPr>
            <w:tcW w:w="1987" w:type="dxa"/>
          </w:tcPr>
          <w:p w14:paraId="52A814B8"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52FC896" w14:textId="42A75639" w:rsidR="00403AAD" w:rsidRPr="00286216" w:rsidRDefault="00403AAD" w:rsidP="00403AAD">
            <w:pPr>
              <w:pStyle w:val="StyleZakonu"/>
              <w:rPr>
                <w:color w:val="000000" w:themeColor="text1"/>
              </w:rPr>
            </w:pPr>
            <w:r w:rsidRPr="00286216">
              <w:rPr>
                <w:color w:val="000000" w:themeColor="text1"/>
              </w:rPr>
              <w:t>7) оприлюднює інформацію щодо торгів на такому БТМ;</w:t>
            </w:r>
          </w:p>
        </w:tc>
      </w:tr>
      <w:tr w:rsidR="00403AAD" w:rsidRPr="00286216" w14:paraId="11F4FB04" w14:textId="77777777" w:rsidTr="00091AA5">
        <w:tc>
          <w:tcPr>
            <w:tcW w:w="576" w:type="dxa"/>
          </w:tcPr>
          <w:p w14:paraId="55066C66" w14:textId="77777777" w:rsidR="00403AAD" w:rsidRPr="00286216" w:rsidRDefault="00403AAD" w:rsidP="00403AAD">
            <w:pPr>
              <w:pStyle w:val="StyleWisnow"/>
              <w:rPr>
                <w:color w:val="000000" w:themeColor="text1"/>
              </w:rPr>
            </w:pPr>
            <w:bookmarkStart w:id="535" w:name="n833" w:colFirst="0" w:colLast="0"/>
            <w:bookmarkEnd w:id="534"/>
            <w:r w:rsidRPr="00286216">
              <w:rPr>
                <w:color w:val="000000" w:themeColor="text1"/>
              </w:rPr>
              <w:t>833.</w:t>
            </w:r>
          </w:p>
        </w:tc>
        <w:tc>
          <w:tcPr>
            <w:tcW w:w="4818" w:type="dxa"/>
          </w:tcPr>
          <w:p w14:paraId="727957B3" w14:textId="77777777" w:rsidR="00403AAD" w:rsidRPr="00286216" w:rsidRDefault="00403AAD" w:rsidP="00403AAD">
            <w:pPr>
              <w:pStyle w:val="StyleZakonu"/>
              <w:rPr>
                <w:color w:val="000000" w:themeColor="text1"/>
              </w:rPr>
            </w:pPr>
            <w:r w:rsidRPr="00286216">
              <w:rPr>
                <w:color w:val="000000" w:themeColor="text1"/>
              </w:rPr>
              <w:t>8) здійснює рекламу БТМ;</w:t>
            </w:r>
          </w:p>
        </w:tc>
        <w:tc>
          <w:tcPr>
            <w:tcW w:w="3686" w:type="dxa"/>
          </w:tcPr>
          <w:p w14:paraId="34265548" w14:textId="77777777" w:rsidR="00403AAD" w:rsidRPr="00286216" w:rsidRDefault="00403AAD" w:rsidP="00403AAD">
            <w:pPr>
              <w:pStyle w:val="StyleProp"/>
              <w:rPr>
                <w:color w:val="000000" w:themeColor="text1"/>
                <w:szCs w:val="18"/>
              </w:rPr>
            </w:pPr>
          </w:p>
        </w:tc>
        <w:tc>
          <w:tcPr>
            <w:tcW w:w="1987" w:type="dxa"/>
          </w:tcPr>
          <w:p w14:paraId="3DA26A52" w14:textId="77777777" w:rsidR="00403AAD" w:rsidRPr="00286216" w:rsidRDefault="00403AAD" w:rsidP="00403AAD">
            <w:pPr>
              <w:pStyle w:val="StyleWisnow"/>
              <w:rPr>
                <w:color w:val="000000" w:themeColor="text1"/>
              </w:rPr>
            </w:pPr>
          </w:p>
        </w:tc>
        <w:tc>
          <w:tcPr>
            <w:tcW w:w="4818" w:type="dxa"/>
          </w:tcPr>
          <w:p w14:paraId="1AD5AA5A" w14:textId="2AB92E59" w:rsidR="00403AAD" w:rsidRPr="00286216" w:rsidRDefault="00403AAD" w:rsidP="00403AAD">
            <w:pPr>
              <w:pStyle w:val="StyleZakonu"/>
              <w:rPr>
                <w:color w:val="000000" w:themeColor="text1"/>
              </w:rPr>
            </w:pPr>
            <w:r w:rsidRPr="00286216">
              <w:rPr>
                <w:color w:val="000000" w:themeColor="text1"/>
              </w:rPr>
              <w:t>8) здійснює рекламу БТМ;</w:t>
            </w:r>
          </w:p>
        </w:tc>
      </w:tr>
      <w:tr w:rsidR="00403AAD" w:rsidRPr="00286216" w14:paraId="113B50F9" w14:textId="77777777" w:rsidTr="00091AA5">
        <w:tc>
          <w:tcPr>
            <w:tcW w:w="576" w:type="dxa"/>
          </w:tcPr>
          <w:p w14:paraId="7E4E8464" w14:textId="77777777" w:rsidR="00403AAD" w:rsidRPr="00286216" w:rsidRDefault="00403AAD" w:rsidP="00403AAD">
            <w:pPr>
              <w:pStyle w:val="StyleWisnow"/>
              <w:rPr>
                <w:color w:val="000000" w:themeColor="text1"/>
              </w:rPr>
            </w:pPr>
            <w:bookmarkStart w:id="536" w:name="n834" w:colFirst="0" w:colLast="0"/>
            <w:bookmarkEnd w:id="535"/>
            <w:r w:rsidRPr="00286216">
              <w:rPr>
                <w:color w:val="000000" w:themeColor="text1"/>
              </w:rPr>
              <w:t>834.</w:t>
            </w:r>
          </w:p>
        </w:tc>
        <w:tc>
          <w:tcPr>
            <w:tcW w:w="4818" w:type="dxa"/>
          </w:tcPr>
          <w:p w14:paraId="2539FC85" w14:textId="77777777" w:rsidR="00403AAD" w:rsidRPr="00286216" w:rsidRDefault="00403AAD" w:rsidP="00403AAD">
            <w:pPr>
              <w:pStyle w:val="StyleZakonu"/>
              <w:rPr>
                <w:color w:val="000000" w:themeColor="text1"/>
              </w:rPr>
            </w:pPr>
            <w:r w:rsidRPr="00286216">
              <w:rPr>
                <w:color w:val="000000" w:themeColor="text1"/>
              </w:rPr>
              <w:t>9) здійснює інші функції, передбачені цим Законом, правилами ринку та актами законодавства.</w:t>
            </w:r>
          </w:p>
        </w:tc>
        <w:tc>
          <w:tcPr>
            <w:tcW w:w="3686" w:type="dxa"/>
          </w:tcPr>
          <w:p w14:paraId="3C994E76" w14:textId="77777777" w:rsidR="00403AAD" w:rsidRPr="00286216" w:rsidRDefault="00403AAD" w:rsidP="00403AAD">
            <w:pPr>
              <w:pStyle w:val="StyleProp"/>
              <w:rPr>
                <w:color w:val="000000" w:themeColor="text1"/>
                <w:szCs w:val="18"/>
              </w:rPr>
            </w:pPr>
          </w:p>
        </w:tc>
        <w:tc>
          <w:tcPr>
            <w:tcW w:w="1987" w:type="dxa"/>
          </w:tcPr>
          <w:p w14:paraId="6063DE08" w14:textId="77777777" w:rsidR="00403AAD" w:rsidRPr="00286216" w:rsidRDefault="00403AAD" w:rsidP="00403AAD">
            <w:pPr>
              <w:pStyle w:val="StyleWisnow"/>
              <w:rPr>
                <w:color w:val="000000" w:themeColor="text1"/>
              </w:rPr>
            </w:pPr>
          </w:p>
        </w:tc>
        <w:tc>
          <w:tcPr>
            <w:tcW w:w="4818" w:type="dxa"/>
          </w:tcPr>
          <w:p w14:paraId="7249B896" w14:textId="6A7F5E40" w:rsidR="00403AAD" w:rsidRPr="00286216" w:rsidRDefault="00403AAD" w:rsidP="00403AAD">
            <w:pPr>
              <w:pStyle w:val="StyleZakonu"/>
              <w:rPr>
                <w:color w:val="000000" w:themeColor="text1"/>
              </w:rPr>
            </w:pPr>
            <w:r w:rsidRPr="00286216">
              <w:rPr>
                <w:color w:val="000000" w:themeColor="text1"/>
              </w:rPr>
              <w:t>9) здійснює інші функції, передбачені цим Законом, правилами ринку та актами законодавства.</w:t>
            </w:r>
          </w:p>
        </w:tc>
      </w:tr>
      <w:tr w:rsidR="00403AAD" w:rsidRPr="00286216" w14:paraId="3BB1E1F8" w14:textId="77777777" w:rsidTr="00091AA5">
        <w:tc>
          <w:tcPr>
            <w:tcW w:w="576" w:type="dxa"/>
          </w:tcPr>
          <w:p w14:paraId="2B9E2B50" w14:textId="77777777" w:rsidR="00403AAD" w:rsidRPr="00286216" w:rsidRDefault="00403AAD" w:rsidP="00403AAD">
            <w:pPr>
              <w:pStyle w:val="StyleWisnow"/>
              <w:rPr>
                <w:color w:val="000000" w:themeColor="text1"/>
              </w:rPr>
            </w:pPr>
            <w:bookmarkStart w:id="537" w:name="n835" w:colFirst="0" w:colLast="0"/>
            <w:bookmarkEnd w:id="536"/>
            <w:r w:rsidRPr="00286216">
              <w:rPr>
                <w:color w:val="000000" w:themeColor="text1"/>
              </w:rPr>
              <w:t>835.</w:t>
            </w:r>
          </w:p>
        </w:tc>
        <w:tc>
          <w:tcPr>
            <w:tcW w:w="4818" w:type="dxa"/>
          </w:tcPr>
          <w:p w14:paraId="6DF06125" w14:textId="77777777" w:rsidR="00403AAD" w:rsidRPr="00286216" w:rsidRDefault="00403AAD" w:rsidP="00403AAD">
            <w:pPr>
              <w:pStyle w:val="StyleZakonu"/>
              <w:rPr>
                <w:color w:val="000000" w:themeColor="text1"/>
              </w:rPr>
            </w:pPr>
            <w:r w:rsidRPr="00286216">
              <w:rPr>
                <w:color w:val="000000" w:themeColor="text1"/>
              </w:rPr>
              <w:t>5. Оператор ОТМ:</w:t>
            </w:r>
          </w:p>
        </w:tc>
        <w:tc>
          <w:tcPr>
            <w:tcW w:w="3686" w:type="dxa"/>
          </w:tcPr>
          <w:p w14:paraId="39CBB46A" w14:textId="77777777" w:rsidR="00403AAD" w:rsidRPr="00286216" w:rsidRDefault="00403AAD" w:rsidP="00403AAD">
            <w:pPr>
              <w:pStyle w:val="StyleProp"/>
              <w:rPr>
                <w:color w:val="000000" w:themeColor="text1"/>
                <w:szCs w:val="18"/>
              </w:rPr>
            </w:pPr>
          </w:p>
        </w:tc>
        <w:tc>
          <w:tcPr>
            <w:tcW w:w="1987" w:type="dxa"/>
          </w:tcPr>
          <w:p w14:paraId="56D5169B" w14:textId="77777777" w:rsidR="00403AAD" w:rsidRPr="00286216" w:rsidRDefault="00403AAD" w:rsidP="00403AAD">
            <w:pPr>
              <w:pStyle w:val="StyleWisnow"/>
              <w:rPr>
                <w:color w:val="000000" w:themeColor="text1"/>
              </w:rPr>
            </w:pPr>
          </w:p>
        </w:tc>
        <w:tc>
          <w:tcPr>
            <w:tcW w:w="4818" w:type="dxa"/>
          </w:tcPr>
          <w:p w14:paraId="47D118D1" w14:textId="1213201F" w:rsidR="00403AAD" w:rsidRPr="00286216" w:rsidRDefault="00403AAD" w:rsidP="00403AAD">
            <w:pPr>
              <w:pStyle w:val="StyleZakonu"/>
              <w:rPr>
                <w:color w:val="000000" w:themeColor="text1"/>
              </w:rPr>
            </w:pPr>
            <w:r w:rsidRPr="00286216">
              <w:rPr>
                <w:color w:val="000000" w:themeColor="text1"/>
              </w:rPr>
              <w:t>5. Оператор ОТМ:</w:t>
            </w:r>
          </w:p>
        </w:tc>
      </w:tr>
      <w:tr w:rsidR="00403AAD" w:rsidRPr="00286216" w14:paraId="61592254" w14:textId="77777777" w:rsidTr="00091AA5">
        <w:tc>
          <w:tcPr>
            <w:tcW w:w="576" w:type="dxa"/>
          </w:tcPr>
          <w:p w14:paraId="3236AAFB" w14:textId="77777777" w:rsidR="00403AAD" w:rsidRPr="00286216" w:rsidRDefault="00403AAD" w:rsidP="00403AAD">
            <w:pPr>
              <w:pStyle w:val="StyleWisnow"/>
              <w:rPr>
                <w:color w:val="000000" w:themeColor="text1"/>
              </w:rPr>
            </w:pPr>
            <w:bookmarkStart w:id="538" w:name="n836" w:colFirst="0" w:colLast="0"/>
            <w:bookmarkEnd w:id="537"/>
            <w:r w:rsidRPr="00286216">
              <w:rPr>
                <w:color w:val="000000" w:themeColor="text1"/>
              </w:rPr>
              <w:t>836.</w:t>
            </w:r>
          </w:p>
        </w:tc>
        <w:tc>
          <w:tcPr>
            <w:tcW w:w="4818" w:type="dxa"/>
          </w:tcPr>
          <w:p w14:paraId="764A2863" w14:textId="77777777" w:rsidR="00403AAD" w:rsidRPr="00286216" w:rsidRDefault="00403AAD" w:rsidP="00403AAD">
            <w:pPr>
              <w:pStyle w:val="StyleZakonu"/>
              <w:rPr>
                <w:color w:val="000000" w:themeColor="text1"/>
              </w:rPr>
            </w:pPr>
            <w:r w:rsidRPr="00286216">
              <w:rPr>
                <w:color w:val="000000" w:themeColor="text1"/>
              </w:rPr>
              <w:t>1) розробляє, забезпечує затвердження та реєстрацію відповідно до законодавства власних дискреційних правил функціонування такого ринку, які є обов’язковими для всіх учасників ринку;</w:t>
            </w:r>
          </w:p>
        </w:tc>
        <w:tc>
          <w:tcPr>
            <w:tcW w:w="3686" w:type="dxa"/>
          </w:tcPr>
          <w:p w14:paraId="15FC4991" w14:textId="0679D5CA"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A9EECDC" w14:textId="77777777" w:rsidR="00403AAD" w:rsidRPr="00286216" w:rsidRDefault="00403AAD" w:rsidP="00403AAD">
            <w:pPr>
              <w:pStyle w:val="StyleProp"/>
              <w:rPr>
                <w:color w:val="000000" w:themeColor="text1"/>
                <w:szCs w:val="18"/>
              </w:rPr>
            </w:pPr>
            <w:r w:rsidRPr="00286216">
              <w:rPr>
                <w:color w:val="000000" w:themeColor="text1"/>
                <w:spacing w:val="-2"/>
                <w:szCs w:val="18"/>
              </w:rPr>
              <w:t>В пункті 1 частини 5 статті 46 слова "</w:t>
            </w:r>
            <w:r w:rsidRPr="00286216">
              <w:rPr>
                <w:color w:val="000000" w:themeColor="text1"/>
                <w:spacing w:val="-2"/>
              </w:rPr>
              <w:t>такого</w:t>
            </w:r>
            <w:r w:rsidRPr="00286216">
              <w:rPr>
                <w:color w:val="000000" w:themeColor="text1"/>
              </w:rPr>
              <w:t xml:space="preserve"> ринку, які є обов'язковими для всіх учасників ринку"</w:t>
            </w:r>
            <w:r w:rsidRPr="00286216">
              <w:rPr>
                <w:color w:val="000000" w:themeColor="text1"/>
                <w:szCs w:val="18"/>
              </w:rPr>
              <w:t xml:space="preserve"> замінити словами "ОТМ</w:t>
            </w:r>
            <w:r w:rsidRPr="00286216">
              <w:rPr>
                <w:color w:val="000000" w:themeColor="text1"/>
              </w:rPr>
              <w:t xml:space="preserve">, які є </w:t>
            </w:r>
            <w:r w:rsidRPr="00286216">
              <w:rPr>
                <w:color w:val="000000" w:themeColor="text1"/>
                <w:spacing w:val="-2"/>
              </w:rPr>
              <w:t>обов'язковими для всіх учасників цього ОТМ".</w:t>
            </w:r>
          </w:p>
        </w:tc>
        <w:tc>
          <w:tcPr>
            <w:tcW w:w="1987" w:type="dxa"/>
          </w:tcPr>
          <w:p w14:paraId="0DF17BB5"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042382AF" w14:textId="34F90783" w:rsidR="00403AAD" w:rsidRPr="00286216" w:rsidRDefault="00403AAD" w:rsidP="00403AAD">
            <w:pPr>
              <w:pStyle w:val="StyleZakonu"/>
              <w:rPr>
                <w:color w:val="000000" w:themeColor="text1"/>
              </w:rPr>
            </w:pPr>
            <w:r w:rsidRPr="00286216">
              <w:rPr>
                <w:color w:val="000000" w:themeColor="text1"/>
              </w:rPr>
              <w:t xml:space="preserve">1) розробляє, забезпечує затвердження та реєстрацію відповідно до законодавства власних дискреційних правил функціонування </w:t>
            </w:r>
            <w:r w:rsidRPr="00286216">
              <w:rPr>
                <w:color w:val="000000" w:themeColor="text1"/>
                <w:szCs w:val="18"/>
              </w:rPr>
              <w:t>ОТМ</w:t>
            </w:r>
            <w:r w:rsidRPr="00286216">
              <w:rPr>
                <w:color w:val="000000" w:themeColor="text1"/>
              </w:rPr>
              <w:t xml:space="preserve">, які є </w:t>
            </w:r>
            <w:r w:rsidRPr="00286216">
              <w:rPr>
                <w:color w:val="000000" w:themeColor="text1"/>
                <w:spacing w:val="-2"/>
              </w:rPr>
              <w:t>обов'язковими для всіх учасників цього ОТМ</w:t>
            </w:r>
            <w:r w:rsidRPr="00286216">
              <w:rPr>
                <w:color w:val="000000" w:themeColor="text1"/>
              </w:rPr>
              <w:t>;</w:t>
            </w:r>
          </w:p>
        </w:tc>
      </w:tr>
      <w:tr w:rsidR="00403AAD" w:rsidRPr="00286216" w14:paraId="7601082C" w14:textId="77777777" w:rsidTr="00091AA5">
        <w:tc>
          <w:tcPr>
            <w:tcW w:w="576" w:type="dxa"/>
          </w:tcPr>
          <w:p w14:paraId="3386D78B" w14:textId="77777777" w:rsidR="00403AAD" w:rsidRPr="00286216" w:rsidRDefault="00403AAD" w:rsidP="00403AAD">
            <w:pPr>
              <w:pStyle w:val="StyleWisnow"/>
              <w:rPr>
                <w:color w:val="000000" w:themeColor="text1"/>
              </w:rPr>
            </w:pPr>
            <w:bookmarkStart w:id="539" w:name="n837" w:colFirst="0" w:colLast="0"/>
            <w:bookmarkEnd w:id="538"/>
            <w:r w:rsidRPr="00286216">
              <w:rPr>
                <w:color w:val="000000" w:themeColor="text1"/>
              </w:rPr>
              <w:t>837.</w:t>
            </w:r>
          </w:p>
        </w:tc>
        <w:tc>
          <w:tcPr>
            <w:tcW w:w="4818" w:type="dxa"/>
          </w:tcPr>
          <w:p w14:paraId="5707BFF8" w14:textId="77777777" w:rsidR="00403AAD" w:rsidRPr="00286216" w:rsidRDefault="00403AAD" w:rsidP="00403AAD">
            <w:pPr>
              <w:pStyle w:val="StyleZakonu"/>
              <w:rPr>
                <w:color w:val="000000" w:themeColor="text1"/>
              </w:rPr>
            </w:pPr>
            <w:r w:rsidRPr="00286216">
              <w:rPr>
                <w:color w:val="000000" w:themeColor="text1"/>
              </w:rPr>
              <w:t>2) визначає порядок допуску, допускає до участі у торгах інвестиційні фірми та інших осіб, передбачених законодавством, забезпечує ведення та оприлюднення відповідного переліку учасників торгів;</w:t>
            </w:r>
          </w:p>
        </w:tc>
        <w:tc>
          <w:tcPr>
            <w:tcW w:w="3686" w:type="dxa"/>
          </w:tcPr>
          <w:p w14:paraId="5F5C6A14" w14:textId="4F57A983"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75E6B10" w14:textId="77777777" w:rsidR="00403AAD" w:rsidRPr="00286216" w:rsidRDefault="00403AAD" w:rsidP="00403AAD">
            <w:pPr>
              <w:pStyle w:val="StyleProp"/>
              <w:rPr>
                <w:color w:val="000000" w:themeColor="text1"/>
              </w:rPr>
            </w:pPr>
            <w:r w:rsidRPr="00286216">
              <w:rPr>
                <w:color w:val="000000" w:themeColor="text1"/>
              </w:rPr>
              <w:t>Пункти 2 і 3 частини 5 статті 46 викласти в такій редакції:</w:t>
            </w:r>
          </w:p>
          <w:p w14:paraId="7C3E30EE" w14:textId="77777777" w:rsidR="00403AAD" w:rsidRPr="00286216" w:rsidRDefault="00403AAD" w:rsidP="00403AAD">
            <w:pPr>
              <w:pStyle w:val="StyleProp"/>
              <w:rPr>
                <w:color w:val="000000" w:themeColor="text1"/>
                <w:szCs w:val="18"/>
              </w:rPr>
            </w:pPr>
            <w:r w:rsidRPr="00286216">
              <w:rPr>
                <w:color w:val="000000" w:themeColor="text1"/>
              </w:rPr>
              <w:t>"2) визначає порядок допуску, допускає до участі у торгах на ОТМ інвестиційні фірми та інших осіб, можливість участі яких у торгах передбачена законодавством, забезпечує ведення та оприлюднення переліку учасників такого ОТМ;</w:t>
            </w:r>
          </w:p>
        </w:tc>
        <w:tc>
          <w:tcPr>
            <w:tcW w:w="1987" w:type="dxa"/>
          </w:tcPr>
          <w:p w14:paraId="78E81EDB"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BF4B642" w14:textId="711A46F0" w:rsidR="00403AAD" w:rsidRPr="00286216" w:rsidRDefault="00403AAD" w:rsidP="00403AAD">
            <w:pPr>
              <w:pStyle w:val="StyleZakonu"/>
              <w:rPr>
                <w:color w:val="000000" w:themeColor="text1"/>
              </w:rPr>
            </w:pPr>
            <w:r w:rsidRPr="00286216">
              <w:rPr>
                <w:color w:val="000000" w:themeColor="text1"/>
              </w:rPr>
              <w:t>2) визначає порядок допуску, допускає до участі в торгах на ОТМ інвестиційні фірми та інших осіб, можливість участі яких у торгах передбачена законодавством, забезпечує ведення та оприлюднення переліку учасників такого ОТМ;</w:t>
            </w:r>
          </w:p>
        </w:tc>
      </w:tr>
      <w:tr w:rsidR="00403AAD" w:rsidRPr="00286216" w14:paraId="131AC55F" w14:textId="77777777" w:rsidTr="00091AA5">
        <w:tc>
          <w:tcPr>
            <w:tcW w:w="576" w:type="dxa"/>
          </w:tcPr>
          <w:p w14:paraId="20A3661D" w14:textId="77777777" w:rsidR="00403AAD" w:rsidRPr="00286216" w:rsidRDefault="00403AAD" w:rsidP="00403AAD">
            <w:pPr>
              <w:pStyle w:val="StyleWisnow"/>
              <w:rPr>
                <w:color w:val="000000" w:themeColor="text1"/>
              </w:rPr>
            </w:pPr>
            <w:bookmarkStart w:id="540" w:name="n838" w:colFirst="0" w:colLast="0"/>
            <w:bookmarkEnd w:id="539"/>
            <w:r w:rsidRPr="00286216">
              <w:rPr>
                <w:color w:val="000000" w:themeColor="text1"/>
              </w:rPr>
              <w:t>838.</w:t>
            </w:r>
          </w:p>
        </w:tc>
        <w:tc>
          <w:tcPr>
            <w:tcW w:w="4818" w:type="dxa"/>
          </w:tcPr>
          <w:p w14:paraId="37913031" w14:textId="77777777" w:rsidR="00403AAD" w:rsidRPr="00286216" w:rsidRDefault="00403AAD" w:rsidP="00403AAD">
            <w:pPr>
              <w:pStyle w:val="StyleZakonu"/>
              <w:rPr>
                <w:color w:val="000000" w:themeColor="text1"/>
              </w:rPr>
            </w:pPr>
            <w:r w:rsidRPr="00286216">
              <w:rPr>
                <w:color w:val="000000" w:themeColor="text1"/>
              </w:rPr>
              <w:t xml:space="preserve">3) забезпечує дотримання учасниками ринку вимог </w:t>
            </w:r>
            <w:r w:rsidRPr="00286216">
              <w:rPr>
                <w:color w:val="000000" w:themeColor="text1"/>
              </w:rPr>
              <w:lastRenderedPageBreak/>
              <w:t>правил ринку;</w:t>
            </w:r>
          </w:p>
        </w:tc>
        <w:tc>
          <w:tcPr>
            <w:tcW w:w="3686" w:type="dxa"/>
          </w:tcPr>
          <w:p w14:paraId="57F2907B" w14:textId="77777777" w:rsidR="00403AAD" w:rsidRPr="00286216" w:rsidRDefault="00403AAD" w:rsidP="00403AAD">
            <w:pPr>
              <w:pStyle w:val="StyleProp"/>
              <w:rPr>
                <w:color w:val="000000" w:themeColor="text1"/>
                <w:szCs w:val="18"/>
              </w:rPr>
            </w:pPr>
            <w:r w:rsidRPr="00286216">
              <w:rPr>
                <w:color w:val="000000" w:themeColor="text1"/>
              </w:rPr>
              <w:lastRenderedPageBreak/>
              <w:t xml:space="preserve">3) забезпечує дотримання учасниками ринку такого ОТМ вимог, встановлених   </w:t>
            </w:r>
            <w:r w:rsidRPr="00286216">
              <w:rPr>
                <w:color w:val="000000" w:themeColor="text1"/>
              </w:rPr>
              <w:lastRenderedPageBreak/>
              <w:t>правилами функціонування ОТМ із застосуванням відповідних заходів впливу".</w:t>
            </w:r>
          </w:p>
        </w:tc>
        <w:tc>
          <w:tcPr>
            <w:tcW w:w="1987" w:type="dxa"/>
          </w:tcPr>
          <w:p w14:paraId="0F9D9FDE" w14:textId="77777777" w:rsidR="00403AAD" w:rsidRPr="00286216" w:rsidRDefault="00403AAD" w:rsidP="00403AAD">
            <w:pPr>
              <w:pStyle w:val="StyleWisnow"/>
              <w:rPr>
                <w:color w:val="000000" w:themeColor="text1"/>
              </w:rPr>
            </w:pPr>
          </w:p>
        </w:tc>
        <w:tc>
          <w:tcPr>
            <w:tcW w:w="4818" w:type="dxa"/>
          </w:tcPr>
          <w:p w14:paraId="2D0AD1AE" w14:textId="2BAB186D" w:rsidR="00403AAD" w:rsidRPr="00286216" w:rsidRDefault="00403AAD" w:rsidP="00403AAD">
            <w:pPr>
              <w:pStyle w:val="StyleZakonu"/>
              <w:rPr>
                <w:color w:val="000000" w:themeColor="text1"/>
              </w:rPr>
            </w:pPr>
            <w:r w:rsidRPr="00286216">
              <w:rPr>
                <w:color w:val="000000" w:themeColor="text1"/>
              </w:rPr>
              <w:t xml:space="preserve">3) забезпечує дотримання учасниками ринку </w:t>
            </w:r>
            <w:r w:rsidRPr="00286216">
              <w:rPr>
                <w:color w:val="000000" w:themeColor="text1"/>
              </w:rPr>
              <w:lastRenderedPageBreak/>
              <w:t>такого ОТМ вимог, встановлених правилами функціонування ОТМ, із застосуванням відповідних заходів впливу;</w:t>
            </w:r>
          </w:p>
        </w:tc>
      </w:tr>
      <w:tr w:rsidR="00403AAD" w:rsidRPr="00286216" w14:paraId="514E0E96" w14:textId="77777777" w:rsidTr="00091AA5">
        <w:tc>
          <w:tcPr>
            <w:tcW w:w="576" w:type="dxa"/>
          </w:tcPr>
          <w:p w14:paraId="05129A18" w14:textId="77777777" w:rsidR="00403AAD" w:rsidRPr="00286216" w:rsidRDefault="00403AAD" w:rsidP="00403AAD">
            <w:pPr>
              <w:pStyle w:val="StyleWisnow"/>
              <w:rPr>
                <w:color w:val="000000" w:themeColor="text1"/>
              </w:rPr>
            </w:pPr>
            <w:bookmarkStart w:id="541" w:name="n839" w:colFirst="0" w:colLast="0"/>
            <w:bookmarkEnd w:id="540"/>
            <w:r w:rsidRPr="00286216">
              <w:rPr>
                <w:color w:val="000000" w:themeColor="text1"/>
              </w:rPr>
              <w:lastRenderedPageBreak/>
              <w:t>839.</w:t>
            </w:r>
          </w:p>
        </w:tc>
        <w:tc>
          <w:tcPr>
            <w:tcW w:w="4818" w:type="dxa"/>
          </w:tcPr>
          <w:p w14:paraId="35AE3042" w14:textId="77777777" w:rsidR="00403AAD" w:rsidRPr="00286216" w:rsidRDefault="00403AAD" w:rsidP="00403AAD">
            <w:pPr>
              <w:pStyle w:val="StyleZakonu"/>
              <w:rPr>
                <w:color w:val="000000" w:themeColor="text1"/>
              </w:rPr>
            </w:pPr>
            <w:r w:rsidRPr="00286216">
              <w:rPr>
                <w:color w:val="000000" w:themeColor="text1"/>
              </w:rPr>
              <w:t>4) встановлює порядок допуску активів до торгів на ОТМ;</w:t>
            </w:r>
          </w:p>
        </w:tc>
        <w:tc>
          <w:tcPr>
            <w:tcW w:w="3686" w:type="dxa"/>
          </w:tcPr>
          <w:p w14:paraId="767E2DE3" w14:textId="6584EDF2"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1B35C77" w14:textId="77777777" w:rsidR="00403AAD" w:rsidRPr="00286216" w:rsidRDefault="00403AAD" w:rsidP="00403AAD">
            <w:pPr>
              <w:pStyle w:val="StyleProp"/>
              <w:rPr>
                <w:color w:val="000000" w:themeColor="text1"/>
                <w:szCs w:val="18"/>
              </w:rPr>
            </w:pPr>
            <w:r w:rsidRPr="00286216">
              <w:rPr>
                <w:color w:val="000000" w:themeColor="text1"/>
                <w:szCs w:val="18"/>
              </w:rPr>
              <w:t>пункт 4 частини п’ятої статті 46 після слів</w:t>
            </w:r>
            <w:r w:rsidRPr="00286216">
              <w:rPr>
                <w:color w:val="000000" w:themeColor="text1"/>
              </w:rPr>
              <w:t xml:space="preserve"> «до торгів на» доповнити словом «такому»</w:t>
            </w:r>
          </w:p>
        </w:tc>
        <w:tc>
          <w:tcPr>
            <w:tcW w:w="1987" w:type="dxa"/>
          </w:tcPr>
          <w:p w14:paraId="38EF3CF0"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4D0198C1" w14:textId="474A58B4" w:rsidR="00403AAD" w:rsidRPr="00286216" w:rsidRDefault="00403AAD" w:rsidP="00403AAD">
            <w:pPr>
              <w:pStyle w:val="StyleZakonu"/>
              <w:rPr>
                <w:color w:val="000000" w:themeColor="text1"/>
              </w:rPr>
            </w:pPr>
            <w:r w:rsidRPr="00286216">
              <w:rPr>
                <w:color w:val="000000" w:themeColor="text1"/>
              </w:rPr>
              <w:t>4) встановлює порядок допуску активів до торгів на такому ОТМ;</w:t>
            </w:r>
          </w:p>
        </w:tc>
      </w:tr>
      <w:tr w:rsidR="00403AAD" w:rsidRPr="00286216" w14:paraId="2A92AD3E" w14:textId="77777777" w:rsidTr="00091AA5">
        <w:tc>
          <w:tcPr>
            <w:tcW w:w="576" w:type="dxa"/>
          </w:tcPr>
          <w:p w14:paraId="3A926E9A" w14:textId="77777777" w:rsidR="00403AAD" w:rsidRPr="00286216" w:rsidRDefault="00403AAD" w:rsidP="00403AAD">
            <w:pPr>
              <w:pStyle w:val="StyleWisnow"/>
              <w:rPr>
                <w:color w:val="000000" w:themeColor="text1"/>
              </w:rPr>
            </w:pPr>
            <w:bookmarkStart w:id="542" w:name="n840" w:colFirst="0" w:colLast="0"/>
            <w:bookmarkEnd w:id="541"/>
            <w:r w:rsidRPr="00286216">
              <w:rPr>
                <w:color w:val="000000" w:themeColor="text1"/>
              </w:rPr>
              <w:t>840.</w:t>
            </w:r>
          </w:p>
        </w:tc>
        <w:tc>
          <w:tcPr>
            <w:tcW w:w="4818" w:type="dxa"/>
          </w:tcPr>
          <w:p w14:paraId="1EA9E92E" w14:textId="77777777" w:rsidR="00403AAD" w:rsidRPr="00286216" w:rsidRDefault="00403AAD" w:rsidP="00403AAD">
            <w:pPr>
              <w:pStyle w:val="StyleZakonu"/>
              <w:rPr>
                <w:color w:val="000000" w:themeColor="text1"/>
              </w:rPr>
            </w:pPr>
            <w:r w:rsidRPr="00286216">
              <w:rPr>
                <w:color w:val="000000" w:themeColor="text1"/>
              </w:rPr>
              <w:t>5) визначає за результатами торгів на ринку обсяги купівлі-продажу активів, допущених до торгів на такій ОТМ та розрахункову ціну таких активів;</w:t>
            </w:r>
          </w:p>
        </w:tc>
        <w:tc>
          <w:tcPr>
            <w:tcW w:w="3686" w:type="dxa"/>
          </w:tcPr>
          <w:p w14:paraId="77635E60" w14:textId="75832F4B"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474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A2892D2" w14:textId="77777777" w:rsidR="00403AAD" w:rsidRPr="00286216" w:rsidRDefault="00403AAD" w:rsidP="00403AAD">
            <w:pPr>
              <w:pStyle w:val="StyleProp"/>
              <w:rPr>
                <w:color w:val="000000" w:themeColor="text1"/>
                <w:szCs w:val="18"/>
              </w:rPr>
            </w:pPr>
            <w:r w:rsidRPr="00286216">
              <w:rPr>
                <w:color w:val="000000" w:themeColor="text1"/>
                <w:szCs w:val="18"/>
              </w:rPr>
              <w:t>У пункті 5 частини п’ятої статті 46 слова «та розрахункову ціну таких активів» замінити словами «поточну ціну таких активів та середній курс у порядку, встановленому Національною комісією з цінних паперів та фондового ринку».</w:t>
            </w:r>
          </w:p>
        </w:tc>
        <w:tc>
          <w:tcPr>
            <w:tcW w:w="1987" w:type="dxa"/>
          </w:tcPr>
          <w:p w14:paraId="41954533"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168C973D" w14:textId="641CE04A" w:rsidR="00403AAD" w:rsidRPr="00286216" w:rsidRDefault="00403AAD" w:rsidP="00403AAD">
            <w:pPr>
              <w:pStyle w:val="StyleZakonu"/>
              <w:rPr>
                <w:color w:val="000000" w:themeColor="text1"/>
              </w:rPr>
            </w:pPr>
            <w:r w:rsidRPr="00286216">
              <w:rPr>
                <w:color w:val="000000" w:themeColor="text1"/>
              </w:rPr>
              <w:t>5) визначає за результатами торгів на ОТМ обсяги купівлі-продажу активів, допущених до торгів на такому ОТМ, поточну ціну таких активів та їх середній курс у порядку, встановленому Національною комісією з цінних паперів та фондового ринку;</w:t>
            </w:r>
          </w:p>
        </w:tc>
      </w:tr>
      <w:tr w:rsidR="00403AAD" w:rsidRPr="00286216" w14:paraId="6D363F21" w14:textId="77777777" w:rsidTr="00091AA5">
        <w:tc>
          <w:tcPr>
            <w:tcW w:w="576" w:type="dxa"/>
          </w:tcPr>
          <w:p w14:paraId="580CF232" w14:textId="77777777" w:rsidR="00403AAD" w:rsidRPr="00286216" w:rsidRDefault="00403AAD" w:rsidP="00403AAD">
            <w:pPr>
              <w:pStyle w:val="StyleWisnow"/>
              <w:rPr>
                <w:color w:val="000000" w:themeColor="text1"/>
              </w:rPr>
            </w:pPr>
            <w:bookmarkStart w:id="543" w:name="n841" w:colFirst="0" w:colLast="0"/>
            <w:bookmarkEnd w:id="542"/>
            <w:r w:rsidRPr="00286216">
              <w:rPr>
                <w:color w:val="000000" w:themeColor="text1"/>
              </w:rPr>
              <w:t>841.</w:t>
            </w:r>
          </w:p>
        </w:tc>
        <w:tc>
          <w:tcPr>
            <w:tcW w:w="4818" w:type="dxa"/>
          </w:tcPr>
          <w:p w14:paraId="03B45DBB" w14:textId="77777777" w:rsidR="00403AAD" w:rsidRPr="00286216" w:rsidRDefault="00403AAD" w:rsidP="00403AAD">
            <w:pPr>
              <w:pStyle w:val="StyleZakonu"/>
              <w:rPr>
                <w:color w:val="000000" w:themeColor="text1"/>
              </w:rPr>
            </w:pPr>
            <w:r w:rsidRPr="00286216">
              <w:rPr>
                <w:color w:val="000000" w:themeColor="text1"/>
              </w:rPr>
              <w:t>6) створює умови для забезпечення розрахунків за результатами торгів;</w:t>
            </w:r>
          </w:p>
        </w:tc>
        <w:tc>
          <w:tcPr>
            <w:tcW w:w="3686" w:type="dxa"/>
          </w:tcPr>
          <w:p w14:paraId="397C822F" w14:textId="3AE0DB32"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89B2834" w14:textId="77777777" w:rsidR="00403AAD" w:rsidRPr="00286216" w:rsidRDefault="00403AAD" w:rsidP="00403AAD">
            <w:pPr>
              <w:pStyle w:val="StyleProp"/>
              <w:rPr>
                <w:color w:val="000000" w:themeColor="text1"/>
                <w:szCs w:val="18"/>
              </w:rPr>
            </w:pPr>
            <w:r w:rsidRPr="00286216">
              <w:rPr>
                <w:color w:val="000000" w:themeColor="text1"/>
              </w:rPr>
              <w:t xml:space="preserve">Доповнити пункт 6 </w:t>
            </w:r>
            <w:r w:rsidRPr="00286216">
              <w:rPr>
                <w:color w:val="000000" w:themeColor="text1"/>
                <w:szCs w:val="18"/>
              </w:rPr>
              <w:t xml:space="preserve">частини 5 статті 46 </w:t>
            </w:r>
            <w:r w:rsidRPr="00286216">
              <w:rPr>
                <w:color w:val="000000" w:themeColor="text1"/>
              </w:rPr>
              <w:t>словами «на такому ОТМ»</w:t>
            </w:r>
          </w:p>
        </w:tc>
        <w:tc>
          <w:tcPr>
            <w:tcW w:w="1987" w:type="dxa"/>
          </w:tcPr>
          <w:p w14:paraId="736238A4"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A23DF32" w14:textId="0CF6B5D7" w:rsidR="00403AAD" w:rsidRPr="00286216" w:rsidRDefault="00403AAD" w:rsidP="00403AAD">
            <w:pPr>
              <w:pStyle w:val="StyleZakonu"/>
              <w:rPr>
                <w:color w:val="000000" w:themeColor="text1"/>
              </w:rPr>
            </w:pPr>
            <w:r w:rsidRPr="00286216">
              <w:rPr>
                <w:color w:val="000000" w:themeColor="text1"/>
              </w:rPr>
              <w:t>6) створює умови для забезпечення розрахунків за результатами торгів на такому ОТМ;</w:t>
            </w:r>
          </w:p>
        </w:tc>
      </w:tr>
      <w:tr w:rsidR="00403AAD" w:rsidRPr="00286216" w14:paraId="3D0031E8" w14:textId="77777777" w:rsidTr="00091AA5">
        <w:tc>
          <w:tcPr>
            <w:tcW w:w="576" w:type="dxa"/>
          </w:tcPr>
          <w:p w14:paraId="5520B725" w14:textId="77777777" w:rsidR="00403AAD" w:rsidRPr="00286216" w:rsidRDefault="00403AAD" w:rsidP="00403AAD">
            <w:pPr>
              <w:pStyle w:val="StyleWisnow"/>
              <w:rPr>
                <w:color w:val="000000" w:themeColor="text1"/>
              </w:rPr>
            </w:pPr>
            <w:bookmarkStart w:id="544" w:name="n842" w:colFirst="0" w:colLast="0"/>
            <w:bookmarkEnd w:id="543"/>
            <w:r w:rsidRPr="00286216">
              <w:rPr>
                <w:color w:val="000000" w:themeColor="text1"/>
              </w:rPr>
              <w:t>842.</w:t>
            </w:r>
          </w:p>
        </w:tc>
        <w:tc>
          <w:tcPr>
            <w:tcW w:w="4818" w:type="dxa"/>
          </w:tcPr>
          <w:p w14:paraId="631EDE7B" w14:textId="77777777" w:rsidR="00403AAD" w:rsidRPr="00286216" w:rsidRDefault="00403AAD" w:rsidP="00403AAD">
            <w:pPr>
              <w:pStyle w:val="StyleZakonu"/>
              <w:rPr>
                <w:color w:val="000000" w:themeColor="text1"/>
              </w:rPr>
            </w:pPr>
            <w:r w:rsidRPr="00286216">
              <w:rPr>
                <w:color w:val="000000" w:themeColor="text1"/>
              </w:rPr>
              <w:t>7) оприлюднює інформацію щодо торгів на ринку;</w:t>
            </w:r>
          </w:p>
        </w:tc>
        <w:tc>
          <w:tcPr>
            <w:tcW w:w="3686" w:type="dxa"/>
          </w:tcPr>
          <w:p w14:paraId="3249FEEF" w14:textId="1917B364"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BC5E007" w14:textId="77777777" w:rsidR="00403AAD" w:rsidRPr="00286216" w:rsidRDefault="00403AAD" w:rsidP="00403AAD">
            <w:pPr>
              <w:pStyle w:val="StyleProp"/>
              <w:rPr>
                <w:color w:val="000000" w:themeColor="text1"/>
                <w:szCs w:val="18"/>
              </w:rPr>
            </w:pPr>
            <w:r w:rsidRPr="00286216">
              <w:rPr>
                <w:color w:val="000000" w:themeColor="text1"/>
              </w:rPr>
              <w:t xml:space="preserve">У пункті 9 </w:t>
            </w:r>
            <w:r w:rsidRPr="00286216">
              <w:rPr>
                <w:color w:val="000000" w:themeColor="text1"/>
                <w:szCs w:val="18"/>
              </w:rPr>
              <w:t>частини 3 статті 46</w:t>
            </w:r>
            <w:r w:rsidRPr="00286216">
              <w:rPr>
                <w:color w:val="000000" w:themeColor="text1"/>
              </w:rPr>
              <w:t xml:space="preserve"> слова «торгів на ринку» замінити словами «торгів на такому ОТМ».</w:t>
            </w:r>
          </w:p>
        </w:tc>
        <w:tc>
          <w:tcPr>
            <w:tcW w:w="1987" w:type="dxa"/>
          </w:tcPr>
          <w:p w14:paraId="51305824"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46B230A0" w14:textId="00838F20" w:rsidR="00403AAD" w:rsidRPr="00286216" w:rsidRDefault="00403AAD" w:rsidP="00403AAD">
            <w:pPr>
              <w:pStyle w:val="StyleZakonu"/>
              <w:rPr>
                <w:color w:val="000000" w:themeColor="text1"/>
              </w:rPr>
            </w:pPr>
            <w:r w:rsidRPr="00286216">
              <w:rPr>
                <w:color w:val="000000" w:themeColor="text1"/>
              </w:rPr>
              <w:t>7) оприлюднює інформацію щодо торгів на такому ОТМ;</w:t>
            </w:r>
          </w:p>
        </w:tc>
      </w:tr>
      <w:tr w:rsidR="00403AAD" w:rsidRPr="00286216" w14:paraId="1CDC7638" w14:textId="77777777" w:rsidTr="00091AA5">
        <w:tc>
          <w:tcPr>
            <w:tcW w:w="576" w:type="dxa"/>
          </w:tcPr>
          <w:p w14:paraId="4B876B92" w14:textId="77777777" w:rsidR="00403AAD" w:rsidRPr="00286216" w:rsidRDefault="00403AAD" w:rsidP="00403AAD">
            <w:pPr>
              <w:pStyle w:val="StyleWisnow"/>
              <w:rPr>
                <w:color w:val="000000" w:themeColor="text1"/>
              </w:rPr>
            </w:pPr>
            <w:bookmarkStart w:id="545" w:name="n843" w:colFirst="0" w:colLast="0"/>
            <w:bookmarkEnd w:id="544"/>
            <w:r w:rsidRPr="00286216">
              <w:rPr>
                <w:color w:val="000000" w:themeColor="text1"/>
              </w:rPr>
              <w:t>843.</w:t>
            </w:r>
          </w:p>
        </w:tc>
        <w:tc>
          <w:tcPr>
            <w:tcW w:w="4818" w:type="dxa"/>
          </w:tcPr>
          <w:p w14:paraId="25369529" w14:textId="77777777" w:rsidR="00403AAD" w:rsidRPr="00286216" w:rsidRDefault="00403AAD" w:rsidP="00403AAD">
            <w:pPr>
              <w:pStyle w:val="StyleZakonu"/>
              <w:rPr>
                <w:color w:val="000000" w:themeColor="text1"/>
              </w:rPr>
            </w:pPr>
            <w:r w:rsidRPr="00286216">
              <w:rPr>
                <w:color w:val="000000" w:themeColor="text1"/>
              </w:rPr>
              <w:t>8) здійснює рекламу ОТМ;</w:t>
            </w:r>
          </w:p>
        </w:tc>
        <w:tc>
          <w:tcPr>
            <w:tcW w:w="3686" w:type="dxa"/>
          </w:tcPr>
          <w:p w14:paraId="3A05068F" w14:textId="77777777" w:rsidR="00403AAD" w:rsidRPr="00286216" w:rsidRDefault="00403AAD" w:rsidP="00403AAD">
            <w:pPr>
              <w:pStyle w:val="StyleProp"/>
              <w:rPr>
                <w:color w:val="000000" w:themeColor="text1"/>
                <w:szCs w:val="18"/>
              </w:rPr>
            </w:pPr>
          </w:p>
        </w:tc>
        <w:tc>
          <w:tcPr>
            <w:tcW w:w="1987" w:type="dxa"/>
          </w:tcPr>
          <w:p w14:paraId="6DD96C6B" w14:textId="77777777" w:rsidR="00403AAD" w:rsidRPr="00286216" w:rsidRDefault="00403AAD" w:rsidP="00403AAD">
            <w:pPr>
              <w:pStyle w:val="StyleWisnow"/>
              <w:rPr>
                <w:color w:val="000000" w:themeColor="text1"/>
              </w:rPr>
            </w:pPr>
          </w:p>
        </w:tc>
        <w:tc>
          <w:tcPr>
            <w:tcW w:w="4818" w:type="dxa"/>
          </w:tcPr>
          <w:p w14:paraId="49214838" w14:textId="42749D7F" w:rsidR="00403AAD" w:rsidRPr="00286216" w:rsidRDefault="00403AAD" w:rsidP="00403AAD">
            <w:pPr>
              <w:pStyle w:val="StyleZakonu"/>
              <w:rPr>
                <w:color w:val="000000" w:themeColor="text1"/>
              </w:rPr>
            </w:pPr>
            <w:r w:rsidRPr="00286216">
              <w:rPr>
                <w:color w:val="000000" w:themeColor="text1"/>
              </w:rPr>
              <w:t>8) здійснює рекламу ОТМ;</w:t>
            </w:r>
          </w:p>
        </w:tc>
      </w:tr>
      <w:tr w:rsidR="00403AAD" w:rsidRPr="00286216" w14:paraId="7E22D3E3" w14:textId="77777777" w:rsidTr="00091AA5">
        <w:tc>
          <w:tcPr>
            <w:tcW w:w="576" w:type="dxa"/>
          </w:tcPr>
          <w:p w14:paraId="50B00F12" w14:textId="77777777" w:rsidR="00403AAD" w:rsidRPr="00286216" w:rsidRDefault="00403AAD" w:rsidP="00403AAD">
            <w:pPr>
              <w:pStyle w:val="StyleWisnow"/>
              <w:rPr>
                <w:color w:val="000000" w:themeColor="text1"/>
              </w:rPr>
            </w:pPr>
            <w:bookmarkStart w:id="546" w:name="n844" w:colFirst="0" w:colLast="0"/>
            <w:bookmarkEnd w:id="545"/>
            <w:r w:rsidRPr="00286216">
              <w:rPr>
                <w:color w:val="000000" w:themeColor="text1"/>
              </w:rPr>
              <w:t>844.</w:t>
            </w:r>
          </w:p>
        </w:tc>
        <w:tc>
          <w:tcPr>
            <w:tcW w:w="4818" w:type="dxa"/>
          </w:tcPr>
          <w:p w14:paraId="0D3EFF62" w14:textId="77777777" w:rsidR="00403AAD" w:rsidRPr="00286216" w:rsidRDefault="00403AAD" w:rsidP="00403AAD">
            <w:pPr>
              <w:pStyle w:val="StyleZakonu"/>
              <w:rPr>
                <w:color w:val="000000" w:themeColor="text1"/>
              </w:rPr>
            </w:pPr>
            <w:r w:rsidRPr="00286216">
              <w:rPr>
                <w:color w:val="000000" w:themeColor="text1"/>
              </w:rPr>
              <w:t>9) здійснює інші функції, передбачені цим Законом, правилами ринку та актами законодавства.</w:t>
            </w:r>
          </w:p>
        </w:tc>
        <w:tc>
          <w:tcPr>
            <w:tcW w:w="3686" w:type="dxa"/>
          </w:tcPr>
          <w:p w14:paraId="44D7FDE9" w14:textId="77777777" w:rsidR="00403AAD" w:rsidRPr="00286216" w:rsidRDefault="00403AAD" w:rsidP="00403AAD">
            <w:pPr>
              <w:pStyle w:val="StyleProp"/>
              <w:rPr>
                <w:color w:val="000000" w:themeColor="text1"/>
                <w:szCs w:val="18"/>
              </w:rPr>
            </w:pPr>
          </w:p>
        </w:tc>
        <w:tc>
          <w:tcPr>
            <w:tcW w:w="1987" w:type="dxa"/>
          </w:tcPr>
          <w:p w14:paraId="2D34AD09" w14:textId="77777777" w:rsidR="00403AAD" w:rsidRPr="00286216" w:rsidRDefault="00403AAD" w:rsidP="00403AAD">
            <w:pPr>
              <w:pStyle w:val="StyleWisnow"/>
              <w:rPr>
                <w:color w:val="000000" w:themeColor="text1"/>
              </w:rPr>
            </w:pPr>
          </w:p>
        </w:tc>
        <w:tc>
          <w:tcPr>
            <w:tcW w:w="4818" w:type="dxa"/>
          </w:tcPr>
          <w:p w14:paraId="58DF007E" w14:textId="1B405800" w:rsidR="00403AAD" w:rsidRPr="00286216" w:rsidRDefault="00403AAD" w:rsidP="00403AAD">
            <w:pPr>
              <w:pStyle w:val="StyleZakonu"/>
              <w:rPr>
                <w:color w:val="000000" w:themeColor="text1"/>
              </w:rPr>
            </w:pPr>
            <w:r w:rsidRPr="00286216">
              <w:rPr>
                <w:color w:val="000000" w:themeColor="text1"/>
              </w:rPr>
              <w:t>9) здійснює інші функції, передбачені цим Законом, правилами ринку та актами законодавства.</w:t>
            </w:r>
          </w:p>
        </w:tc>
      </w:tr>
      <w:tr w:rsidR="00403AAD" w:rsidRPr="00286216" w14:paraId="6ED2652E" w14:textId="77777777" w:rsidTr="00091AA5">
        <w:tc>
          <w:tcPr>
            <w:tcW w:w="576" w:type="dxa"/>
          </w:tcPr>
          <w:p w14:paraId="19279DCF" w14:textId="77777777" w:rsidR="00403AAD" w:rsidRPr="00286216" w:rsidRDefault="00403AAD" w:rsidP="00403AAD">
            <w:pPr>
              <w:pStyle w:val="StyleWisnow"/>
              <w:rPr>
                <w:color w:val="000000" w:themeColor="text1"/>
              </w:rPr>
            </w:pPr>
            <w:bookmarkStart w:id="547" w:name="n845" w:colFirst="0" w:colLast="0"/>
            <w:bookmarkEnd w:id="546"/>
            <w:r w:rsidRPr="00286216">
              <w:rPr>
                <w:color w:val="000000" w:themeColor="text1"/>
              </w:rPr>
              <w:t>845.</w:t>
            </w:r>
          </w:p>
        </w:tc>
        <w:tc>
          <w:tcPr>
            <w:tcW w:w="4818" w:type="dxa"/>
          </w:tcPr>
          <w:p w14:paraId="1FDDC8DF" w14:textId="77777777" w:rsidR="00403AAD" w:rsidRPr="00286216" w:rsidRDefault="00403AAD" w:rsidP="00403AAD">
            <w:pPr>
              <w:pStyle w:val="StyleZakonu"/>
              <w:rPr>
                <w:color w:val="000000" w:themeColor="text1"/>
              </w:rPr>
            </w:pPr>
            <w:bookmarkStart w:id="548" w:name="_Ref18344302"/>
            <w:r w:rsidRPr="00286216">
              <w:rPr>
                <w:color w:val="000000" w:themeColor="text1"/>
              </w:rPr>
              <w:t>6. Недискреційні правила функціонування організованого ринку не передбачають можливість впливу оператора організованого ринку на подані учасниками торгів накази та/або розпорядження, котирування та доручення (далі - розпорядження учасника торгів).</w:t>
            </w:r>
            <w:bookmarkEnd w:id="548"/>
          </w:p>
        </w:tc>
        <w:tc>
          <w:tcPr>
            <w:tcW w:w="3686" w:type="dxa"/>
          </w:tcPr>
          <w:p w14:paraId="1A6FCF1B" w14:textId="4FE86F27"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477</w:t>
            </w:r>
            <w:r w:rsidRPr="00286216">
              <w:rPr>
                <w:color w:val="000000" w:themeColor="text1"/>
                <w:spacing w:val="-10"/>
              </w:rPr>
              <w:fldChar w:fldCharType="end"/>
            </w:r>
            <w:r w:rsidRPr="00286216">
              <w:rPr>
                <w:color w:val="000000" w:themeColor="text1"/>
                <w:spacing w:val="-10"/>
              </w:rPr>
              <w:t>-Н.д.Гетманцев Д.О.(Реєстр.картка №245)</w:t>
            </w:r>
          </w:p>
          <w:p w14:paraId="38E14BCE" w14:textId="748B7A81" w:rsidR="00403AAD" w:rsidRPr="00286216" w:rsidRDefault="00403AAD" w:rsidP="00403AAD">
            <w:pPr>
              <w:pStyle w:val="StyleProp"/>
              <w:rPr>
                <w:color w:val="000000" w:themeColor="text1"/>
              </w:rPr>
            </w:pPr>
            <w:r w:rsidRPr="00286216">
              <w:rPr>
                <w:color w:val="000000" w:themeColor="text1"/>
              </w:rPr>
              <w:t>У статті 46 в абзаці першому частини шостої слова «не передбачають» замінити словами «не повинні передбачати».</w:t>
            </w:r>
          </w:p>
          <w:p w14:paraId="63EDAB5C" w14:textId="62BB2C9C"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478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E690C35" w14:textId="6084328A" w:rsidR="00403AAD" w:rsidRPr="00286216" w:rsidRDefault="00403AAD" w:rsidP="00403AAD">
            <w:pPr>
              <w:pStyle w:val="StyleProp"/>
              <w:rPr>
                <w:color w:val="000000" w:themeColor="text1"/>
              </w:rPr>
            </w:pPr>
            <w:r w:rsidRPr="00286216">
              <w:rPr>
                <w:color w:val="000000" w:themeColor="text1"/>
              </w:rPr>
              <w:t>У частині 6 статті 46 слова «накази та/або розпорядження, котирування та доручення» замінити словами «заявки та котирування».</w:t>
            </w:r>
          </w:p>
        </w:tc>
        <w:tc>
          <w:tcPr>
            <w:tcW w:w="1987" w:type="dxa"/>
          </w:tcPr>
          <w:p w14:paraId="7EA731DA" w14:textId="77777777" w:rsidR="00403AAD" w:rsidRPr="00286216" w:rsidRDefault="00403AAD" w:rsidP="00403AAD">
            <w:pPr>
              <w:pStyle w:val="StyleWisnow"/>
              <w:rPr>
                <w:color w:val="000000" w:themeColor="text1"/>
              </w:rPr>
            </w:pPr>
            <w:r w:rsidRPr="00286216">
              <w:rPr>
                <w:color w:val="000000" w:themeColor="text1"/>
              </w:rPr>
              <w:t>Враховано</w:t>
            </w:r>
          </w:p>
          <w:p w14:paraId="2EDB9F41" w14:textId="77777777" w:rsidR="00403AAD" w:rsidRPr="00286216" w:rsidRDefault="00403AAD" w:rsidP="00403AAD">
            <w:pPr>
              <w:pStyle w:val="StyleWisnow"/>
              <w:rPr>
                <w:color w:val="000000" w:themeColor="text1"/>
              </w:rPr>
            </w:pPr>
          </w:p>
          <w:p w14:paraId="5207834E" w14:textId="77777777" w:rsidR="00403AAD" w:rsidRPr="00286216" w:rsidRDefault="00403AAD" w:rsidP="00403AAD">
            <w:pPr>
              <w:pStyle w:val="StyleWisnow"/>
              <w:rPr>
                <w:color w:val="000000" w:themeColor="text1"/>
              </w:rPr>
            </w:pPr>
          </w:p>
          <w:p w14:paraId="4B209543" w14:textId="77777777" w:rsidR="00403AAD" w:rsidRPr="00286216" w:rsidRDefault="00403AAD" w:rsidP="00403AAD">
            <w:pPr>
              <w:pStyle w:val="StyleWisnow"/>
              <w:rPr>
                <w:color w:val="000000" w:themeColor="text1"/>
              </w:rPr>
            </w:pPr>
          </w:p>
          <w:p w14:paraId="2F063F72" w14:textId="078714C3"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DBCCB5D" w14:textId="6365EF7A" w:rsidR="00403AAD" w:rsidRPr="00286216" w:rsidRDefault="00403AAD" w:rsidP="00403AAD">
            <w:pPr>
              <w:pStyle w:val="StyleZakonu"/>
              <w:rPr>
                <w:color w:val="000000" w:themeColor="text1"/>
              </w:rPr>
            </w:pPr>
            <w:r w:rsidRPr="00286216">
              <w:rPr>
                <w:color w:val="000000" w:themeColor="text1"/>
              </w:rPr>
              <w:t>6. Недискреційні правила функціонування організованого ринку не повинні передбачати можливість впливу оператора організованого ринку на подані учасниками торгів заявки та котирування (далі – розпорядження учасника торгів).</w:t>
            </w:r>
          </w:p>
        </w:tc>
      </w:tr>
      <w:tr w:rsidR="00403AAD" w:rsidRPr="00286216" w14:paraId="6014EEB3" w14:textId="77777777" w:rsidTr="00091AA5">
        <w:tc>
          <w:tcPr>
            <w:tcW w:w="576" w:type="dxa"/>
          </w:tcPr>
          <w:p w14:paraId="188090F9" w14:textId="77777777" w:rsidR="00403AAD" w:rsidRPr="00286216" w:rsidRDefault="00403AAD" w:rsidP="00403AAD">
            <w:pPr>
              <w:pStyle w:val="StyleWisnow"/>
              <w:rPr>
                <w:color w:val="000000" w:themeColor="text1"/>
              </w:rPr>
            </w:pPr>
            <w:bookmarkStart w:id="549" w:name="n846" w:colFirst="0" w:colLast="0"/>
            <w:bookmarkEnd w:id="547"/>
            <w:r w:rsidRPr="00286216">
              <w:rPr>
                <w:color w:val="000000" w:themeColor="text1"/>
              </w:rPr>
              <w:t>846.</w:t>
            </w:r>
          </w:p>
        </w:tc>
        <w:tc>
          <w:tcPr>
            <w:tcW w:w="4818" w:type="dxa"/>
          </w:tcPr>
          <w:p w14:paraId="17464C4B" w14:textId="77777777" w:rsidR="00403AAD" w:rsidRPr="00286216" w:rsidRDefault="00403AAD" w:rsidP="00403AAD">
            <w:pPr>
              <w:pStyle w:val="StyleZakonu"/>
              <w:rPr>
                <w:color w:val="000000" w:themeColor="text1"/>
              </w:rPr>
            </w:pPr>
            <w:r w:rsidRPr="00286216">
              <w:rPr>
                <w:color w:val="000000" w:themeColor="text1"/>
              </w:rPr>
              <w:t>Дискреційні правила функціонування організованого ринку передбачають право оператора ОТМ на власний розсуд приймати рішення щодо розміщення/не розміщення в багатосторонній системі розпоряджень учасників торгів, а також щодо забезпечення в будь-який момент часу можливості вчинення правочину на підставі двох зустрічних еквівалентних розпоряджень учасників торгів, за умови, що такі дії відповідають інструкціям клієнтів та умовам найкращого забезпечення інтересів клієнтів.</w:t>
            </w:r>
          </w:p>
        </w:tc>
        <w:tc>
          <w:tcPr>
            <w:tcW w:w="3686" w:type="dxa"/>
          </w:tcPr>
          <w:p w14:paraId="7EE996AF" w14:textId="60DE2B2F"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479</w:t>
            </w:r>
            <w:r w:rsidRPr="00286216">
              <w:rPr>
                <w:color w:val="000000" w:themeColor="text1"/>
                <w:spacing w:val="-10"/>
              </w:rPr>
              <w:fldChar w:fldCharType="end"/>
            </w:r>
            <w:r w:rsidRPr="00286216">
              <w:rPr>
                <w:color w:val="000000" w:themeColor="text1"/>
                <w:spacing w:val="-10"/>
              </w:rPr>
              <w:t>-Н.д.Гетманцев Д.О.(Реєстр.картка №245)</w:t>
            </w:r>
          </w:p>
          <w:p w14:paraId="6246B5AD" w14:textId="77777777" w:rsidR="00403AAD" w:rsidRPr="00286216" w:rsidRDefault="00403AAD" w:rsidP="00403AAD">
            <w:pPr>
              <w:pStyle w:val="StyleProp"/>
              <w:rPr>
                <w:color w:val="000000" w:themeColor="text1"/>
              </w:rPr>
            </w:pPr>
            <w:r w:rsidRPr="00286216">
              <w:rPr>
                <w:color w:val="000000" w:themeColor="text1"/>
              </w:rPr>
              <w:t>У статті 46 в абзаці другому частини шостої слово «передбачають» замінити словами «повинні передбачати»</w:t>
            </w:r>
          </w:p>
        </w:tc>
        <w:tc>
          <w:tcPr>
            <w:tcW w:w="1987" w:type="dxa"/>
          </w:tcPr>
          <w:p w14:paraId="4DB4A2A9"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5D10E0E" w14:textId="34D27612" w:rsidR="00403AAD" w:rsidRPr="00286216" w:rsidRDefault="00403AAD" w:rsidP="00403AAD">
            <w:pPr>
              <w:pStyle w:val="StyleZakonu"/>
              <w:rPr>
                <w:color w:val="000000" w:themeColor="text1"/>
              </w:rPr>
            </w:pPr>
            <w:r w:rsidRPr="00286216">
              <w:rPr>
                <w:color w:val="000000" w:themeColor="text1"/>
              </w:rPr>
              <w:t>Дискреційні правила функціонування організованого ринку повинні передбачати право оператора ОТМ на власний розсуд приймати рішення щодо розміщення/нерозміщення в багатосторонній системі розпоряджень учасників торгів, а також щодо забезпечення в будь-який момент часу можливості вчинення правочину на підставі двох зустрічних еквівалентних розпоряджень учасників торгів за умови, що такі дії відповідають інструкціям клієнтів та умовам найкращого забезпечення інтересів клієнтів.</w:t>
            </w:r>
          </w:p>
        </w:tc>
      </w:tr>
      <w:tr w:rsidR="00403AAD" w:rsidRPr="00286216" w14:paraId="1935BF70" w14:textId="77777777" w:rsidTr="00091AA5">
        <w:tc>
          <w:tcPr>
            <w:tcW w:w="576" w:type="dxa"/>
          </w:tcPr>
          <w:p w14:paraId="1E162B09" w14:textId="77777777" w:rsidR="00403AAD" w:rsidRPr="00286216" w:rsidRDefault="00403AAD" w:rsidP="00403AAD">
            <w:pPr>
              <w:pStyle w:val="StyleWisnow"/>
              <w:rPr>
                <w:color w:val="000000" w:themeColor="text1"/>
              </w:rPr>
            </w:pPr>
            <w:bookmarkStart w:id="550" w:name="n847" w:colFirst="0" w:colLast="0"/>
            <w:bookmarkEnd w:id="549"/>
            <w:r w:rsidRPr="00286216">
              <w:rPr>
                <w:color w:val="000000" w:themeColor="text1"/>
              </w:rPr>
              <w:t>847.</w:t>
            </w:r>
          </w:p>
        </w:tc>
        <w:tc>
          <w:tcPr>
            <w:tcW w:w="4818" w:type="dxa"/>
          </w:tcPr>
          <w:p w14:paraId="537DC239" w14:textId="77777777" w:rsidR="00403AAD" w:rsidRPr="00286216" w:rsidRDefault="00403AAD" w:rsidP="00403AAD">
            <w:pPr>
              <w:pStyle w:val="StyleZakonu"/>
              <w:rPr>
                <w:color w:val="000000" w:themeColor="text1"/>
              </w:rPr>
            </w:pPr>
            <w:r w:rsidRPr="00286216">
              <w:rPr>
                <w:color w:val="000000" w:themeColor="text1"/>
              </w:rPr>
              <w:t xml:space="preserve">7. У здійсненні операцій на організованому ринку капіталу мають право брати участь інвестиційні фірми та інші особи відповідно до вимог Національної комісії з цінних паперів та фондового </w:t>
            </w:r>
            <w:r w:rsidRPr="00286216">
              <w:rPr>
                <w:color w:val="000000" w:themeColor="text1"/>
              </w:rPr>
              <w:lastRenderedPageBreak/>
              <w:t>ринку та правил функціонування такого організованого ринку капіталу (учасники організованого ринку капіталу).</w:t>
            </w:r>
          </w:p>
        </w:tc>
        <w:tc>
          <w:tcPr>
            <w:tcW w:w="3686" w:type="dxa"/>
          </w:tcPr>
          <w:p w14:paraId="1A90E943" w14:textId="0E175DB1" w:rsidR="00403AAD" w:rsidRPr="00286216" w:rsidRDefault="00403AAD" w:rsidP="00403AAD">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480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451800A" w14:textId="77777777" w:rsidR="00403AAD" w:rsidRPr="00286216" w:rsidRDefault="00403AAD" w:rsidP="00403AAD">
            <w:pPr>
              <w:pStyle w:val="StyleProp"/>
              <w:spacing w:line="180" w:lineRule="exact"/>
              <w:rPr>
                <w:color w:val="000000" w:themeColor="text1"/>
                <w:spacing w:val="-5"/>
              </w:rPr>
            </w:pPr>
            <w:r w:rsidRPr="00286216">
              <w:rPr>
                <w:color w:val="000000" w:themeColor="text1"/>
                <w:spacing w:val="-5"/>
              </w:rPr>
              <w:t>Частину 7 статті 46 викласти в такій редакції:</w:t>
            </w:r>
          </w:p>
          <w:p w14:paraId="05A9CB2A"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"7. У здійсненні операцій на організованому ринку капіталу мають право брати участь інвестиційні фірми та інші </w:t>
            </w:r>
            <w:r w:rsidRPr="00286216">
              <w:rPr>
                <w:color w:val="000000" w:themeColor="text1"/>
              </w:rPr>
              <w:lastRenderedPageBreak/>
              <w:t>особи, можливість участі яких у торгах передбачена законодавством (учасники організованого ринку капіталу)".</w:t>
            </w:r>
          </w:p>
          <w:p w14:paraId="5DE3C154" w14:textId="7FB5E8E2"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481</w:t>
            </w:r>
            <w:r w:rsidRPr="00286216">
              <w:rPr>
                <w:color w:val="000000" w:themeColor="text1"/>
              </w:rPr>
              <w:fldChar w:fldCharType="end"/>
            </w:r>
            <w:r w:rsidRPr="00286216">
              <w:rPr>
                <w:color w:val="000000" w:themeColor="text1"/>
              </w:rPr>
              <w:t>-Н.д.Шахов С.В. (Реєстр.картка №114)</w:t>
            </w:r>
          </w:p>
          <w:p w14:paraId="057CA0C4" w14:textId="77777777" w:rsidR="00403AAD" w:rsidRPr="00286216" w:rsidRDefault="00403AAD" w:rsidP="00403AAD">
            <w:pPr>
              <w:pStyle w:val="StyleProp"/>
              <w:spacing w:line="180" w:lineRule="exact"/>
              <w:rPr>
                <w:color w:val="000000" w:themeColor="text1"/>
                <w:szCs w:val="18"/>
              </w:rPr>
            </w:pPr>
            <w:r w:rsidRPr="00286216">
              <w:rPr>
                <w:color w:val="000000" w:themeColor="text1"/>
                <w:spacing w:val="-6"/>
              </w:rPr>
              <w:t>У частині сьомій статті</w:t>
            </w:r>
            <w:r w:rsidRPr="00286216">
              <w:rPr>
                <w:color w:val="000000" w:themeColor="text1"/>
                <w:spacing w:val="-6"/>
                <w:sz w:val="16"/>
                <w:szCs w:val="16"/>
              </w:rPr>
              <w:t xml:space="preserve"> </w:t>
            </w:r>
            <w:r w:rsidRPr="00286216">
              <w:rPr>
                <w:color w:val="000000" w:themeColor="text1"/>
                <w:spacing w:val="-6"/>
              </w:rPr>
              <w:t>46</w:t>
            </w:r>
            <w:r w:rsidRPr="00286216">
              <w:rPr>
                <w:color w:val="000000" w:themeColor="text1"/>
                <w:spacing w:val="-6"/>
                <w:sz w:val="16"/>
                <w:szCs w:val="16"/>
              </w:rPr>
              <w:t xml:space="preserve"> </w:t>
            </w:r>
            <w:r w:rsidRPr="00286216">
              <w:rPr>
                <w:color w:val="000000" w:themeColor="text1"/>
                <w:spacing w:val="-6"/>
              </w:rPr>
              <w:t>слова "відповідно до вимог Національної комісії з цінних паперів та фондового ринку" замінити словами "відповідно до закону".</w:t>
            </w:r>
          </w:p>
        </w:tc>
        <w:tc>
          <w:tcPr>
            <w:tcW w:w="1987" w:type="dxa"/>
          </w:tcPr>
          <w:p w14:paraId="19302C3D" w14:textId="77777777" w:rsidR="00403AAD" w:rsidRPr="00286216" w:rsidRDefault="00403AAD" w:rsidP="00403AAD">
            <w:pPr>
              <w:pStyle w:val="StyleWisnow"/>
              <w:rPr>
                <w:color w:val="000000" w:themeColor="text1"/>
              </w:rPr>
            </w:pPr>
            <w:r w:rsidRPr="00286216">
              <w:rPr>
                <w:color w:val="000000" w:themeColor="text1"/>
              </w:rPr>
              <w:lastRenderedPageBreak/>
              <w:t>Враховано</w:t>
            </w:r>
          </w:p>
          <w:p w14:paraId="681DDA01" w14:textId="77777777" w:rsidR="00403AAD" w:rsidRPr="00286216" w:rsidRDefault="00403AAD" w:rsidP="00403AAD">
            <w:pPr>
              <w:pStyle w:val="StyleWisnow"/>
              <w:rPr>
                <w:color w:val="000000" w:themeColor="text1"/>
              </w:rPr>
            </w:pPr>
          </w:p>
          <w:p w14:paraId="5C413AE5" w14:textId="77777777" w:rsidR="00403AAD" w:rsidRPr="00286216" w:rsidRDefault="00403AAD" w:rsidP="00403AAD">
            <w:pPr>
              <w:pStyle w:val="StyleWisnow"/>
              <w:rPr>
                <w:color w:val="000000" w:themeColor="text1"/>
              </w:rPr>
            </w:pPr>
          </w:p>
          <w:p w14:paraId="4D7D378F" w14:textId="77777777" w:rsidR="00403AAD" w:rsidRPr="00286216" w:rsidRDefault="00403AAD" w:rsidP="00403AAD">
            <w:pPr>
              <w:pStyle w:val="StyleWisnow"/>
              <w:rPr>
                <w:color w:val="000000" w:themeColor="text1"/>
              </w:rPr>
            </w:pPr>
          </w:p>
          <w:p w14:paraId="57C95705" w14:textId="77777777" w:rsidR="00403AAD" w:rsidRPr="00286216" w:rsidRDefault="00403AAD" w:rsidP="00403AAD">
            <w:pPr>
              <w:pStyle w:val="StyleWisnow"/>
              <w:spacing w:line="160" w:lineRule="exact"/>
              <w:rPr>
                <w:color w:val="000000" w:themeColor="text1"/>
              </w:rPr>
            </w:pPr>
          </w:p>
          <w:p w14:paraId="621C2E23" w14:textId="77777777" w:rsidR="00403AAD" w:rsidRPr="00286216" w:rsidRDefault="00403AAD" w:rsidP="00403AAD">
            <w:pPr>
              <w:pStyle w:val="StyleWisnow"/>
              <w:spacing w:line="160" w:lineRule="exact"/>
              <w:rPr>
                <w:color w:val="000000" w:themeColor="text1"/>
              </w:rPr>
            </w:pPr>
          </w:p>
          <w:p w14:paraId="6E22CDF4" w14:textId="77777777" w:rsidR="00403AAD" w:rsidRPr="00286216" w:rsidRDefault="00403AAD" w:rsidP="00403AAD">
            <w:pPr>
              <w:pStyle w:val="StyleWisnow"/>
              <w:spacing w:line="160" w:lineRule="exact"/>
              <w:rPr>
                <w:color w:val="000000" w:themeColor="text1"/>
              </w:rPr>
            </w:pPr>
          </w:p>
          <w:p w14:paraId="4843F04B" w14:textId="77777777" w:rsidR="00403AAD" w:rsidRPr="00286216" w:rsidRDefault="00403AAD" w:rsidP="00403AAD">
            <w:pPr>
              <w:pStyle w:val="StyleWisnow"/>
              <w:spacing w:line="160" w:lineRule="exact"/>
              <w:rPr>
                <w:color w:val="000000" w:themeColor="text1"/>
              </w:rPr>
            </w:pPr>
          </w:p>
          <w:p w14:paraId="71664163" w14:textId="77777777" w:rsidR="00403AAD" w:rsidRPr="00286216" w:rsidRDefault="00403AAD" w:rsidP="00403AAD">
            <w:pPr>
              <w:pStyle w:val="StyleWisnow"/>
              <w:spacing w:line="180" w:lineRule="exact"/>
              <w:rPr>
                <w:color w:val="000000" w:themeColor="text1"/>
              </w:rPr>
            </w:pPr>
            <w:r w:rsidRPr="00286216">
              <w:rPr>
                <w:color w:val="000000" w:themeColor="text1"/>
              </w:rPr>
              <w:t>Враховано частково</w:t>
            </w:r>
          </w:p>
          <w:p w14:paraId="7AE7727D" w14:textId="77777777" w:rsidR="00403AAD" w:rsidRPr="00286216" w:rsidRDefault="00403AAD" w:rsidP="00403AAD">
            <w:pPr>
              <w:pStyle w:val="StyleWisnow"/>
              <w:spacing w:line="160" w:lineRule="exact"/>
              <w:rPr>
                <w:color w:val="000000" w:themeColor="text1"/>
              </w:rPr>
            </w:pPr>
            <w:r w:rsidRPr="00286216">
              <w:rPr>
                <w:color w:val="000000" w:themeColor="text1"/>
              </w:rPr>
              <w:t>доцільно розширити правові засади організації торгів не лише законами, але й підзаконними актами</w:t>
            </w:r>
          </w:p>
        </w:tc>
        <w:tc>
          <w:tcPr>
            <w:tcW w:w="4818" w:type="dxa"/>
          </w:tcPr>
          <w:p w14:paraId="1C202B9C" w14:textId="23DA31EB" w:rsidR="00403AAD" w:rsidRPr="00286216" w:rsidRDefault="00403AAD" w:rsidP="00403AAD">
            <w:pPr>
              <w:pStyle w:val="StyleZakonu"/>
              <w:rPr>
                <w:color w:val="000000" w:themeColor="text1"/>
              </w:rPr>
            </w:pPr>
            <w:r w:rsidRPr="00286216">
              <w:rPr>
                <w:color w:val="000000" w:themeColor="text1"/>
              </w:rPr>
              <w:lastRenderedPageBreak/>
              <w:t xml:space="preserve">7. У здійсненні операцій на організованому ринку капіталу мають право брати участь інвестиційні фірми та інші особи, можливість участі яких у торгах передбачена законодавством (учасники </w:t>
            </w:r>
            <w:r w:rsidRPr="00286216">
              <w:rPr>
                <w:color w:val="000000" w:themeColor="text1"/>
              </w:rPr>
              <w:lastRenderedPageBreak/>
              <w:t>організованого ринку капіталу).</w:t>
            </w:r>
          </w:p>
        </w:tc>
      </w:tr>
      <w:tr w:rsidR="00403AAD" w:rsidRPr="00286216" w14:paraId="77A98049" w14:textId="77777777" w:rsidTr="00091AA5">
        <w:tc>
          <w:tcPr>
            <w:tcW w:w="576" w:type="dxa"/>
          </w:tcPr>
          <w:p w14:paraId="3DFDF544" w14:textId="77777777" w:rsidR="00403AAD" w:rsidRPr="00286216" w:rsidRDefault="00403AAD" w:rsidP="00403AAD">
            <w:pPr>
              <w:pStyle w:val="StyleWisnow"/>
              <w:rPr>
                <w:color w:val="000000" w:themeColor="text1"/>
              </w:rPr>
            </w:pPr>
            <w:bookmarkStart w:id="551" w:name="n848" w:colFirst="0" w:colLast="0"/>
            <w:bookmarkEnd w:id="550"/>
            <w:r w:rsidRPr="00286216">
              <w:rPr>
                <w:color w:val="000000" w:themeColor="text1"/>
              </w:rPr>
              <w:lastRenderedPageBreak/>
              <w:t>848.</w:t>
            </w:r>
          </w:p>
        </w:tc>
        <w:tc>
          <w:tcPr>
            <w:tcW w:w="4818" w:type="dxa"/>
          </w:tcPr>
          <w:p w14:paraId="52B719C7" w14:textId="77777777" w:rsidR="00403AAD" w:rsidRPr="00286216" w:rsidRDefault="00403AAD" w:rsidP="00403AAD">
            <w:pPr>
              <w:pStyle w:val="StyleZakonu"/>
              <w:rPr>
                <w:color w:val="000000" w:themeColor="text1"/>
              </w:rPr>
            </w:pPr>
            <w:r w:rsidRPr="00286216">
              <w:rPr>
                <w:color w:val="000000" w:themeColor="text1"/>
              </w:rPr>
              <w:t>8. Державне регулювання регульованих грошових ринків здійснюється у порядку, встановленому частиною третьою статті 135 цього Закону.</w:t>
            </w:r>
          </w:p>
        </w:tc>
        <w:tc>
          <w:tcPr>
            <w:tcW w:w="3686" w:type="dxa"/>
          </w:tcPr>
          <w:p w14:paraId="5564CC98" w14:textId="77777777" w:rsidR="00403AAD" w:rsidRPr="00286216" w:rsidRDefault="00403AAD" w:rsidP="00403AAD">
            <w:pPr>
              <w:pStyle w:val="StyleProp"/>
              <w:rPr>
                <w:color w:val="000000" w:themeColor="text1"/>
                <w:szCs w:val="18"/>
              </w:rPr>
            </w:pPr>
          </w:p>
        </w:tc>
        <w:tc>
          <w:tcPr>
            <w:tcW w:w="1987" w:type="dxa"/>
          </w:tcPr>
          <w:p w14:paraId="1709D33D" w14:textId="77777777" w:rsidR="00403AAD" w:rsidRPr="00286216" w:rsidRDefault="00403AAD" w:rsidP="00403AAD">
            <w:pPr>
              <w:pStyle w:val="StyleWisnow"/>
              <w:rPr>
                <w:color w:val="000000" w:themeColor="text1"/>
              </w:rPr>
            </w:pPr>
          </w:p>
        </w:tc>
        <w:tc>
          <w:tcPr>
            <w:tcW w:w="4818" w:type="dxa"/>
          </w:tcPr>
          <w:p w14:paraId="6EF993D7" w14:textId="68BCB8BA" w:rsidR="00403AAD" w:rsidRPr="00286216" w:rsidRDefault="00403AAD" w:rsidP="00403AAD">
            <w:pPr>
              <w:pStyle w:val="StyleZakonu"/>
              <w:rPr>
                <w:color w:val="000000" w:themeColor="text1"/>
              </w:rPr>
            </w:pPr>
            <w:r w:rsidRPr="00286216">
              <w:rPr>
                <w:color w:val="000000" w:themeColor="text1"/>
              </w:rPr>
              <w:t>8. Державне регулювання регульованих грошових ринків здійснюється у порядку, встановленому частиною третьою статті 139 цього Закону.</w:t>
            </w:r>
          </w:p>
        </w:tc>
      </w:tr>
      <w:tr w:rsidR="00403AAD" w:rsidRPr="00286216" w14:paraId="7FCEFC6E" w14:textId="77777777" w:rsidTr="00091AA5">
        <w:tc>
          <w:tcPr>
            <w:tcW w:w="576" w:type="dxa"/>
          </w:tcPr>
          <w:p w14:paraId="3CAB60FD" w14:textId="77777777" w:rsidR="00403AAD" w:rsidRPr="00286216" w:rsidRDefault="00403AAD" w:rsidP="00403AAD">
            <w:pPr>
              <w:pStyle w:val="StyleWisnow"/>
              <w:rPr>
                <w:color w:val="000000" w:themeColor="text1"/>
              </w:rPr>
            </w:pPr>
            <w:bookmarkStart w:id="552" w:name="n849" w:colFirst="0" w:colLast="0"/>
            <w:bookmarkEnd w:id="551"/>
            <w:r w:rsidRPr="00286216">
              <w:rPr>
                <w:color w:val="000000" w:themeColor="text1"/>
              </w:rPr>
              <w:t>849.</w:t>
            </w:r>
          </w:p>
        </w:tc>
        <w:tc>
          <w:tcPr>
            <w:tcW w:w="4818" w:type="dxa"/>
          </w:tcPr>
          <w:p w14:paraId="15B4961D" w14:textId="77777777" w:rsidR="00403AAD" w:rsidRPr="00286216" w:rsidRDefault="00403AAD" w:rsidP="00403AAD">
            <w:pPr>
              <w:pStyle w:val="StyleZakonu"/>
              <w:rPr>
                <w:color w:val="000000" w:themeColor="text1"/>
              </w:rPr>
            </w:pPr>
            <w:r w:rsidRPr="00286216">
              <w:rPr>
                <w:color w:val="000000" w:themeColor="text1"/>
              </w:rPr>
              <w:t>9. Слова "оператор регульованого ринку", "оператор організованого ринку", "оператор багатостороннього торгівельного майданчика", "оператор організованого торгівельного майданчика", "регульований ринок", "організований ринок", "багатосторонній торгівельний майданчик", "організований торгівельний майданчик" та похідні від них дозволяється використовувати у назві лише юридичним особам, які створені та функціонують відповідно до вимог цього Закону.</w:t>
            </w:r>
          </w:p>
        </w:tc>
        <w:tc>
          <w:tcPr>
            <w:tcW w:w="3686" w:type="dxa"/>
          </w:tcPr>
          <w:p w14:paraId="4BEFA5F5" w14:textId="172ED28A"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482</w:t>
            </w:r>
            <w:r w:rsidRPr="00286216">
              <w:rPr>
                <w:color w:val="000000" w:themeColor="text1"/>
                <w:spacing w:val="-10"/>
              </w:rPr>
              <w:fldChar w:fldCharType="end"/>
            </w:r>
            <w:r w:rsidRPr="00286216">
              <w:rPr>
                <w:color w:val="000000" w:themeColor="text1"/>
                <w:spacing w:val="-10"/>
              </w:rPr>
              <w:t>-Н.д.Гетманцев Д.О.(Реєстр.картка №245)</w:t>
            </w:r>
          </w:p>
          <w:p w14:paraId="43BE9686" w14:textId="77777777" w:rsidR="00403AAD" w:rsidRPr="00286216" w:rsidRDefault="00403AAD" w:rsidP="00403AAD">
            <w:pPr>
              <w:pStyle w:val="StyleProp"/>
              <w:rPr>
                <w:color w:val="000000" w:themeColor="text1"/>
              </w:rPr>
            </w:pPr>
            <w:r w:rsidRPr="00286216">
              <w:rPr>
                <w:color w:val="000000" w:themeColor="text1"/>
              </w:rPr>
              <w:t>У статті 46 частину дев’яту після слів «оператор регульованого ринку» доповнити словами «фондова біржа”»</w:t>
            </w:r>
          </w:p>
          <w:p w14:paraId="01A16973" w14:textId="6151507C"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483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857214B" w14:textId="77777777" w:rsidR="00403AAD" w:rsidRPr="00286216" w:rsidRDefault="00403AAD" w:rsidP="00403AAD">
            <w:pPr>
              <w:pStyle w:val="StyleProp"/>
              <w:rPr>
                <w:color w:val="000000" w:themeColor="text1"/>
                <w:szCs w:val="18"/>
              </w:rPr>
            </w:pPr>
            <w:r w:rsidRPr="00286216">
              <w:rPr>
                <w:color w:val="000000" w:themeColor="text1"/>
                <w:szCs w:val="18"/>
              </w:rPr>
              <w:t xml:space="preserve">У статті 46 нової редакції Закону частину 9 після слів та символів «організований торгівельний майданчик» доповнити словами та символами «, «фондова біржа». </w:t>
            </w:r>
          </w:p>
        </w:tc>
        <w:tc>
          <w:tcPr>
            <w:tcW w:w="1987" w:type="dxa"/>
          </w:tcPr>
          <w:p w14:paraId="31A4FCC9" w14:textId="77777777" w:rsidR="00403AAD" w:rsidRPr="00286216" w:rsidRDefault="00403AAD" w:rsidP="00403AAD">
            <w:pPr>
              <w:pStyle w:val="StyleWisnow"/>
              <w:rPr>
                <w:color w:val="000000" w:themeColor="text1"/>
              </w:rPr>
            </w:pPr>
            <w:r w:rsidRPr="00286216">
              <w:rPr>
                <w:color w:val="000000" w:themeColor="text1"/>
              </w:rPr>
              <w:t>Враховано</w:t>
            </w:r>
          </w:p>
          <w:p w14:paraId="21827563" w14:textId="77777777" w:rsidR="00403AAD" w:rsidRPr="00286216" w:rsidRDefault="00403AAD" w:rsidP="00403AAD">
            <w:pPr>
              <w:pStyle w:val="StyleWisnow"/>
              <w:rPr>
                <w:color w:val="000000" w:themeColor="text1"/>
              </w:rPr>
            </w:pPr>
          </w:p>
          <w:p w14:paraId="24DE284D" w14:textId="77777777" w:rsidR="00403AAD" w:rsidRPr="00286216" w:rsidRDefault="00403AAD" w:rsidP="00403AAD">
            <w:pPr>
              <w:pStyle w:val="StyleWisnow"/>
              <w:rPr>
                <w:color w:val="000000" w:themeColor="text1"/>
              </w:rPr>
            </w:pPr>
          </w:p>
          <w:p w14:paraId="79BCDF2F" w14:textId="77777777" w:rsidR="00403AAD" w:rsidRPr="00286216" w:rsidRDefault="00403AAD" w:rsidP="00403AAD">
            <w:pPr>
              <w:pStyle w:val="StyleWisnow"/>
              <w:rPr>
                <w:color w:val="000000" w:themeColor="text1"/>
              </w:rPr>
            </w:pPr>
          </w:p>
          <w:p w14:paraId="5DCB0206"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501990A5" w14:textId="6127E3DA" w:rsidR="00403AAD" w:rsidRPr="00286216" w:rsidRDefault="00403AAD" w:rsidP="00403AAD">
            <w:pPr>
              <w:pStyle w:val="StyleZakonu"/>
              <w:rPr>
                <w:color w:val="000000" w:themeColor="text1"/>
              </w:rPr>
            </w:pPr>
            <w:r w:rsidRPr="00286216">
              <w:rPr>
                <w:color w:val="000000" w:themeColor="text1"/>
              </w:rPr>
              <w:t>9. Слова "оператор регульованого ринку", "фондова біржа", "оператор організованого ринку", "оператор багатостороннього торговельного майданчика", "оператор організованого торговельного майданчика", "регульований ринок", "організований ринок", "багатосторонній торговельний майданчик", "організований торговельний майданчик" та похідні від них дозволяється використовувати у назві лише юридичним особам, які мають ліцензію  на провадження професійної діяльності з організації торгівлі фінансовими інструментами, отриману  відповідно до вимог цього Закону.</w:t>
            </w:r>
          </w:p>
        </w:tc>
      </w:tr>
      <w:tr w:rsidR="00403AAD" w:rsidRPr="00286216" w14:paraId="2D757822" w14:textId="77777777" w:rsidTr="00091AA5">
        <w:tc>
          <w:tcPr>
            <w:tcW w:w="576" w:type="dxa"/>
          </w:tcPr>
          <w:p w14:paraId="42B6F6C8" w14:textId="77777777" w:rsidR="00403AAD" w:rsidRPr="00286216" w:rsidRDefault="00403AAD" w:rsidP="00403AAD">
            <w:pPr>
              <w:pStyle w:val="StyleWisnow"/>
              <w:rPr>
                <w:color w:val="000000" w:themeColor="text1"/>
              </w:rPr>
            </w:pPr>
            <w:bookmarkStart w:id="553" w:name="n850" w:colFirst="0" w:colLast="0"/>
            <w:bookmarkEnd w:id="552"/>
            <w:r w:rsidRPr="00286216">
              <w:rPr>
                <w:color w:val="000000" w:themeColor="text1"/>
              </w:rPr>
              <w:t>850.</w:t>
            </w:r>
          </w:p>
        </w:tc>
        <w:tc>
          <w:tcPr>
            <w:tcW w:w="4818" w:type="dxa"/>
          </w:tcPr>
          <w:p w14:paraId="00262303" w14:textId="77777777" w:rsidR="00403AAD" w:rsidRPr="00286216" w:rsidRDefault="00403AAD" w:rsidP="00403AAD">
            <w:pPr>
              <w:pStyle w:val="StyleZakonu"/>
              <w:rPr>
                <w:color w:val="000000" w:themeColor="text1"/>
              </w:rPr>
            </w:pPr>
            <w:r w:rsidRPr="00286216">
              <w:rPr>
                <w:color w:val="000000" w:themeColor="text1"/>
              </w:rPr>
              <w:t>Стаття 47. Ринок МСП</w:t>
            </w:r>
          </w:p>
        </w:tc>
        <w:tc>
          <w:tcPr>
            <w:tcW w:w="3686" w:type="dxa"/>
          </w:tcPr>
          <w:p w14:paraId="5219E116" w14:textId="77777777" w:rsidR="00403AAD" w:rsidRPr="00286216" w:rsidRDefault="00403AAD" w:rsidP="00403AAD">
            <w:pPr>
              <w:pStyle w:val="StyleProp"/>
              <w:rPr>
                <w:color w:val="000000" w:themeColor="text1"/>
                <w:szCs w:val="18"/>
              </w:rPr>
            </w:pPr>
          </w:p>
        </w:tc>
        <w:tc>
          <w:tcPr>
            <w:tcW w:w="1987" w:type="dxa"/>
          </w:tcPr>
          <w:p w14:paraId="45DCEF45" w14:textId="77777777" w:rsidR="00403AAD" w:rsidRPr="00286216" w:rsidRDefault="00403AAD" w:rsidP="00403AAD">
            <w:pPr>
              <w:pStyle w:val="StyleWisnow"/>
              <w:rPr>
                <w:color w:val="000000" w:themeColor="text1"/>
              </w:rPr>
            </w:pPr>
          </w:p>
        </w:tc>
        <w:tc>
          <w:tcPr>
            <w:tcW w:w="4818" w:type="dxa"/>
          </w:tcPr>
          <w:p w14:paraId="47D40FF8" w14:textId="562940D3" w:rsidR="00403AAD" w:rsidRPr="00286216" w:rsidRDefault="00403AAD" w:rsidP="00403AAD">
            <w:pPr>
              <w:pStyle w:val="StyleZakonu"/>
              <w:rPr>
                <w:color w:val="000000" w:themeColor="text1"/>
              </w:rPr>
            </w:pPr>
            <w:r w:rsidRPr="00286216">
              <w:rPr>
                <w:color w:val="000000" w:themeColor="text1"/>
              </w:rPr>
              <w:t>Стаття 50. Ринок  малих та середніх підприємств</w:t>
            </w:r>
          </w:p>
        </w:tc>
      </w:tr>
      <w:tr w:rsidR="00403AAD" w:rsidRPr="00286216" w14:paraId="3207E8AC" w14:textId="77777777" w:rsidTr="00091AA5">
        <w:tc>
          <w:tcPr>
            <w:tcW w:w="576" w:type="dxa"/>
          </w:tcPr>
          <w:p w14:paraId="0E8E7E6E" w14:textId="77777777" w:rsidR="00403AAD" w:rsidRPr="00286216" w:rsidRDefault="00403AAD" w:rsidP="00403AAD">
            <w:pPr>
              <w:pStyle w:val="StyleWisnow"/>
              <w:rPr>
                <w:color w:val="000000" w:themeColor="text1"/>
              </w:rPr>
            </w:pPr>
            <w:bookmarkStart w:id="554" w:name="n851" w:colFirst="0" w:colLast="0"/>
            <w:bookmarkEnd w:id="553"/>
            <w:r w:rsidRPr="00286216">
              <w:rPr>
                <w:color w:val="000000" w:themeColor="text1"/>
              </w:rPr>
              <w:t>851.</w:t>
            </w:r>
          </w:p>
        </w:tc>
        <w:tc>
          <w:tcPr>
            <w:tcW w:w="4818" w:type="dxa"/>
          </w:tcPr>
          <w:p w14:paraId="0B94FFC8" w14:textId="77777777" w:rsidR="00403AAD" w:rsidRPr="00286216" w:rsidRDefault="00403AAD" w:rsidP="00403AAD">
            <w:pPr>
              <w:pStyle w:val="StyleZakonu"/>
              <w:rPr>
                <w:color w:val="000000" w:themeColor="text1"/>
              </w:rPr>
            </w:pPr>
            <w:r w:rsidRPr="00286216">
              <w:rPr>
                <w:color w:val="000000" w:themeColor="text1"/>
              </w:rPr>
              <w:t>1. За заявою оператора БТМ Національна комісія з цінних паперів та фондового ринку в установленому нею порядку вносить БТМ, управління якою здійснює такий оператор, до реєстру ринків малих та середніх підприємств.</w:t>
            </w:r>
          </w:p>
        </w:tc>
        <w:tc>
          <w:tcPr>
            <w:tcW w:w="3686" w:type="dxa"/>
          </w:tcPr>
          <w:p w14:paraId="6E254983" w14:textId="43DDB938"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78206BA" w14:textId="77777777" w:rsidR="00403AAD" w:rsidRPr="00286216" w:rsidRDefault="00403AAD" w:rsidP="00403AAD">
            <w:pPr>
              <w:pStyle w:val="StyleProp"/>
              <w:spacing w:line="190" w:lineRule="exact"/>
              <w:rPr>
                <w:color w:val="000000" w:themeColor="text1"/>
                <w:szCs w:val="18"/>
              </w:rPr>
            </w:pPr>
            <w:r w:rsidRPr="00286216">
              <w:rPr>
                <w:color w:val="000000" w:themeColor="text1"/>
                <w:szCs w:val="18"/>
              </w:rPr>
              <w:t>Частину першу статті 47 виключити, змінивши відповідно нумерацію наступних частин статті 47.</w:t>
            </w:r>
          </w:p>
        </w:tc>
        <w:tc>
          <w:tcPr>
            <w:tcW w:w="1987" w:type="dxa"/>
          </w:tcPr>
          <w:p w14:paraId="4248C2D8"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C67B7ED" w14:textId="77777777" w:rsidR="00403AAD" w:rsidRPr="00286216" w:rsidRDefault="00403AAD" w:rsidP="00403AAD">
            <w:pPr>
              <w:pStyle w:val="StyleZakonu"/>
              <w:rPr>
                <w:color w:val="000000" w:themeColor="text1"/>
              </w:rPr>
            </w:pPr>
          </w:p>
        </w:tc>
      </w:tr>
      <w:tr w:rsidR="00403AAD" w:rsidRPr="00286216" w14:paraId="46B8E1D4" w14:textId="77777777" w:rsidTr="00091AA5">
        <w:tc>
          <w:tcPr>
            <w:tcW w:w="576" w:type="dxa"/>
          </w:tcPr>
          <w:p w14:paraId="7475E5C6" w14:textId="77777777" w:rsidR="00403AAD" w:rsidRPr="00286216" w:rsidRDefault="00403AAD" w:rsidP="00403AAD">
            <w:pPr>
              <w:pStyle w:val="StyleWisnow"/>
              <w:rPr>
                <w:color w:val="000000" w:themeColor="text1"/>
              </w:rPr>
            </w:pPr>
            <w:bookmarkStart w:id="555" w:name="n852" w:colFirst="0" w:colLast="0"/>
            <w:bookmarkEnd w:id="554"/>
            <w:r w:rsidRPr="00286216">
              <w:rPr>
                <w:color w:val="000000" w:themeColor="text1"/>
              </w:rPr>
              <w:t>852.</w:t>
            </w:r>
          </w:p>
        </w:tc>
        <w:tc>
          <w:tcPr>
            <w:tcW w:w="4818" w:type="dxa"/>
          </w:tcPr>
          <w:p w14:paraId="69FCCE38" w14:textId="77777777" w:rsidR="00403AAD" w:rsidRPr="00286216" w:rsidRDefault="00403AAD" w:rsidP="00403AAD">
            <w:pPr>
              <w:pStyle w:val="StyleZakonu"/>
              <w:rPr>
                <w:color w:val="000000" w:themeColor="text1"/>
              </w:rPr>
            </w:pPr>
            <w:r w:rsidRPr="00286216">
              <w:rPr>
                <w:color w:val="000000" w:themeColor="text1"/>
              </w:rPr>
              <w:t>2. БТМ може бути внесений до реєстру ринків малих та середніх підприємств за умови, що оператор такої БТМ доведе Національній комісії з цінних паперів та фондового ринку, що правила такого БТМ, його системи та внутрішні процедури оператора БТМ забезпечують виконання наступних умов:</w:t>
            </w:r>
          </w:p>
        </w:tc>
        <w:tc>
          <w:tcPr>
            <w:tcW w:w="3686" w:type="dxa"/>
          </w:tcPr>
          <w:p w14:paraId="22802CC3" w14:textId="1A93A4C9"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A41F654"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Абзац перший частини другої статті 47 викласти в такій редакції:</w:t>
            </w:r>
          </w:p>
          <w:p w14:paraId="3F93C4EA"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"1. За заявою оператора БТМ Національна комісія з цінних паперів та фондового ринку в установленому нею порядку вносить БТМ, управління діяльністю якого здійснює такий оператор, до реєстру ринків малих та середніх підприємств у разі якщо правила такого БТМ, його системи та внутрішні процедури оператора БТМ забезпечують виконання таких умов:".</w:t>
            </w:r>
          </w:p>
        </w:tc>
        <w:tc>
          <w:tcPr>
            <w:tcW w:w="1987" w:type="dxa"/>
          </w:tcPr>
          <w:p w14:paraId="22F61B07"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677A319" w14:textId="7249C272" w:rsidR="00403AAD" w:rsidRPr="00286216" w:rsidRDefault="00403AAD" w:rsidP="00403AAD">
            <w:pPr>
              <w:pStyle w:val="StyleZakonu"/>
              <w:rPr>
                <w:color w:val="000000" w:themeColor="text1"/>
              </w:rPr>
            </w:pPr>
            <w:r w:rsidRPr="00286216">
              <w:rPr>
                <w:color w:val="000000" w:themeColor="text1"/>
                <w:szCs w:val="18"/>
              </w:rPr>
              <w:t>1. За заявою оператора БТМ Національна комісія з цінних паперів та фондового ринку у встановленому нею порядку вносить БТМ, управління діяльністю якого здійснює такий оператор, до реєстру ринків МСП, за умови, що правила такого БТМ, його системи та внутрішні процедури такого оператора БТМ забезпечують виконання таких умов:</w:t>
            </w:r>
          </w:p>
        </w:tc>
      </w:tr>
      <w:tr w:rsidR="00403AAD" w:rsidRPr="00286216" w14:paraId="2910E540" w14:textId="77777777" w:rsidTr="00091AA5">
        <w:tc>
          <w:tcPr>
            <w:tcW w:w="576" w:type="dxa"/>
          </w:tcPr>
          <w:p w14:paraId="3DBC637F" w14:textId="77777777" w:rsidR="00403AAD" w:rsidRPr="00286216" w:rsidRDefault="00403AAD" w:rsidP="00403AAD">
            <w:pPr>
              <w:pStyle w:val="StyleWisnow"/>
              <w:rPr>
                <w:color w:val="000000" w:themeColor="text1"/>
              </w:rPr>
            </w:pPr>
            <w:bookmarkStart w:id="556" w:name="n853" w:colFirst="0" w:colLast="0"/>
            <w:bookmarkEnd w:id="555"/>
            <w:r w:rsidRPr="00286216">
              <w:rPr>
                <w:color w:val="000000" w:themeColor="text1"/>
              </w:rPr>
              <w:t>853.</w:t>
            </w:r>
          </w:p>
        </w:tc>
        <w:tc>
          <w:tcPr>
            <w:tcW w:w="4818" w:type="dxa"/>
          </w:tcPr>
          <w:p w14:paraId="7F41E509" w14:textId="77777777" w:rsidR="00403AAD" w:rsidRPr="00286216" w:rsidRDefault="00403AAD" w:rsidP="00403AAD">
            <w:pPr>
              <w:pStyle w:val="StyleZakonu"/>
              <w:rPr>
                <w:color w:val="000000" w:themeColor="text1"/>
              </w:rPr>
            </w:pPr>
            <w:r w:rsidRPr="00286216">
              <w:rPr>
                <w:color w:val="000000" w:themeColor="text1"/>
              </w:rPr>
              <w:t xml:space="preserve">1) щонайменше 50% осіб, які є емітентами цінних паперів або є сторонами фінансових інструментів, допущених до торгів на такій БТМ, відносяться до МСП станом на дату подачі оператором БТМ заяви про включення БТМ до реєстру ринків малих та середніх підприємств. Оператор БТМ зобов’язаний </w:t>
            </w:r>
            <w:r w:rsidRPr="00286216">
              <w:rPr>
                <w:color w:val="000000" w:themeColor="text1"/>
              </w:rPr>
              <w:lastRenderedPageBreak/>
              <w:t>забезпечити збереження такого співвідношення протягом усього періоду реєстрації БТМ, управління діяльністю якого він здійснює, як ринку малих та середніх підприємств.</w:t>
            </w:r>
          </w:p>
        </w:tc>
        <w:tc>
          <w:tcPr>
            <w:tcW w:w="3686" w:type="dxa"/>
          </w:tcPr>
          <w:p w14:paraId="1DFC8BAC" w14:textId="77777777" w:rsidR="00403AAD" w:rsidRPr="00286216" w:rsidRDefault="00403AAD" w:rsidP="00403AAD">
            <w:pPr>
              <w:pStyle w:val="StyleProp"/>
              <w:rPr>
                <w:color w:val="000000" w:themeColor="text1"/>
                <w:szCs w:val="18"/>
              </w:rPr>
            </w:pPr>
          </w:p>
        </w:tc>
        <w:tc>
          <w:tcPr>
            <w:tcW w:w="1987" w:type="dxa"/>
          </w:tcPr>
          <w:p w14:paraId="7C8713A2" w14:textId="77777777" w:rsidR="00403AAD" w:rsidRPr="00286216" w:rsidRDefault="00403AAD" w:rsidP="00403AAD">
            <w:pPr>
              <w:pStyle w:val="StyleWisnow"/>
              <w:rPr>
                <w:color w:val="000000" w:themeColor="text1"/>
              </w:rPr>
            </w:pPr>
          </w:p>
        </w:tc>
        <w:tc>
          <w:tcPr>
            <w:tcW w:w="4818" w:type="dxa"/>
          </w:tcPr>
          <w:p w14:paraId="650918FF" w14:textId="59F4967D" w:rsidR="00403AAD" w:rsidRPr="00286216" w:rsidRDefault="00403AAD" w:rsidP="00403AAD">
            <w:pPr>
              <w:pStyle w:val="StyleZakonu"/>
              <w:rPr>
                <w:color w:val="000000" w:themeColor="text1"/>
              </w:rPr>
            </w:pPr>
            <w:r w:rsidRPr="00286216">
              <w:rPr>
                <w:color w:val="000000" w:themeColor="text1"/>
              </w:rPr>
              <w:t xml:space="preserve">1) щонайменше 50  відсотків осіб, які є емітентами цінних паперів або є сторонами фінансових інструментів, допущених до торгів на такому БТМ, відносяться до МСП станом на дату подання оператором БТМ заяви про включення БТМ до реєстру ринків МСП. Оператор БТМ зобов’язаний </w:t>
            </w:r>
            <w:r w:rsidRPr="00286216">
              <w:rPr>
                <w:color w:val="000000" w:themeColor="text1"/>
              </w:rPr>
              <w:lastRenderedPageBreak/>
              <w:t>забезпечити збереження такого співвідношення протягом усього періоду реєстрації БТМ, управління діяльністю якого він здійснює, як ринку МСП;</w:t>
            </w:r>
          </w:p>
        </w:tc>
      </w:tr>
      <w:tr w:rsidR="00403AAD" w:rsidRPr="00286216" w14:paraId="4FDBF778" w14:textId="77777777" w:rsidTr="00091AA5">
        <w:tc>
          <w:tcPr>
            <w:tcW w:w="576" w:type="dxa"/>
          </w:tcPr>
          <w:p w14:paraId="08379056" w14:textId="77777777" w:rsidR="00403AAD" w:rsidRPr="00286216" w:rsidRDefault="00403AAD" w:rsidP="00403AAD">
            <w:pPr>
              <w:pStyle w:val="StyleWisnow"/>
              <w:rPr>
                <w:color w:val="000000" w:themeColor="text1"/>
              </w:rPr>
            </w:pPr>
            <w:bookmarkStart w:id="557" w:name="n854" w:colFirst="0" w:colLast="0"/>
            <w:bookmarkEnd w:id="556"/>
            <w:r w:rsidRPr="00286216">
              <w:rPr>
                <w:color w:val="000000" w:themeColor="text1"/>
              </w:rPr>
              <w:lastRenderedPageBreak/>
              <w:t>854.</w:t>
            </w:r>
          </w:p>
        </w:tc>
        <w:tc>
          <w:tcPr>
            <w:tcW w:w="4818" w:type="dxa"/>
          </w:tcPr>
          <w:p w14:paraId="56A8DCAD" w14:textId="77777777" w:rsidR="00403AAD" w:rsidRPr="00286216" w:rsidRDefault="00403AAD" w:rsidP="00403AAD">
            <w:pPr>
              <w:pStyle w:val="StyleZakonu"/>
              <w:rPr>
                <w:color w:val="000000" w:themeColor="text1"/>
              </w:rPr>
            </w:pPr>
            <w:r w:rsidRPr="00286216">
              <w:rPr>
                <w:color w:val="000000" w:themeColor="text1"/>
              </w:rPr>
              <w:t>2) правила БТМ щодо допуску активів до торгів на такій БТМ відповідають вимогам, встановленим Національною комісією з цінних паперів та фондового ринку;</w:t>
            </w:r>
          </w:p>
        </w:tc>
        <w:tc>
          <w:tcPr>
            <w:tcW w:w="3686" w:type="dxa"/>
          </w:tcPr>
          <w:p w14:paraId="2726C3D9" w14:textId="77777777" w:rsidR="00403AAD" w:rsidRPr="00286216" w:rsidRDefault="00403AAD" w:rsidP="00403AAD">
            <w:pPr>
              <w:pStyle w:val="StyleProp"/>
              <w:rPr>
                <w:color w:val="000000" w:themeColor="text1"/>
                <w:szCs w:val="18"/>
              </w:rPr>
            </w:pPr>
          </w:p>
        </w:tc>
        <w:tc>
          <w:tcPr>
            <w:tcW w:w="1987" w:type="dxa"/>
          </w:tcPr>
          <w:p w14:paraId="15341DFF" w14:textId="77777777" w:rsidR="00403AAD" w:rsidRPr="00286216" w:rsidRDefault="00403AAD" w:rsidP="00403AAD">
            <w:pPr>
              <w:pStyle w:val="StyleWisnow"/>
              <w:rPr>
                <w:color w:val="000000" w:themeColor="text1"/>
              </w:rPr>
            </w:pPr>
          </w:p>
        </w:tc>
        <w:tc>
          <w:tcPr>
            <w:tcW w:w="4818" w:type="dxa"/>
          </w:tcPr>
          <w:p w14:paraId="0B6F8207" w14:textId="42DCF6C7" w:rsidR="00403AAD" w:rsidRPr="00286216" w:rsidRDefault="00403AAD" w:rsidP="00403AAD">
            <w:pPr>
              <w:pStyle w:val="StyleZakonu"/>
              <w:rPr>
                <w:color w:val="000000" w:themeColor="text1"/>
              </w:rPr>
            </w:pPr>
            <w:r w:rsidRPr="00286216">
              <w:rPr>
                <w:color w:val="000000" w:themeColor="text1"/>
              </w:rPr>
              <w:t>2) правила БТМ щодо допуску активів до торгів на такому БТМ відповідають вимогам, встановленим Національною комісією з цінних паперів та фондового ринку;</w:t>
            </w:r>
          </w:p>
        </w:tc>
      </w:tr>
      <w:tr w:rsidR="00403AAD" w:rsidRPr="00286216" w14:paraId="2726E3EA" w14:textId="77777777" w:rsidTr="00091AA5">
        <w:tc>
          <w:tcPr>
            <w:tcW w:w="576" w:type="dxa"/>
          </w:tcPr>
          <w:p w14:paraId="44B1A7E3" w14:textId="77777777" w:rsidR="00403AAD" w:rsidRPr="00286216" w:rsidRDefault="00403AAD" w:rsidP="00403AAD">
            <w:pPr>
              <w:pStyle w:val="StyleWisnow"/>
              <w:rPr>
                <w:color w:val="000000" w:themeColor="text1"/>
              </w:rPr>
            </w:pPr>
            <w:bookmarkStart w:id="558" w:name="n855" w:colFirst="0" w:colLast="0"/>
            <w:bookmarkEnd w:id="557"/>
            <w:r w:rsidRPr="00286216">
              <w:rPr>
                <w:color w:val="000000" w:themeColor="text1"/>
              </w:rPr>
              <w:t>855.</w:t>
            </w:r>
          </w:p>
        </w:tc>
        <w:tc>
          <w:tcPr>
            <w:tcW w:w="4818" w:type="dxa"/>
          </w:tcPr>
          <w:p w14:paraId="6E827B84" w14:textId="77777777" w:rsidR="00403AAD" w:rsidRPr="00286216" w:rsidRDefault="00403AAD" w:rsidP="00403AAD">
            <w:pPr>
              <w:pStyle w:val="StyleZakonu"/>
              <w:rPr>
                <w:color w:val="000000" w:themeColor="text1"/>
              </w:rPr>
            </w:pPr>
            <w:r w:rsidRPr="00286216">
              <w:rPr>
                <w:color w:val="000000" w:themeColor="text1"/>
              </w:rPr>
              <w:t>3) на момент прийняття рішення щодо початкового допуску активів до торгів на такій БТМ є опублікована інформація, необхідна для надання потенційним інвесторам можливості зробити обґрунтовану оцінку доцільності здійснення інвестицій;</w:t>
            </w:r>
          </w:p>
        </w:tc>
        <w:tc>
          <w:tcPr>
            <w:tcW w:w="3686" w:type="dxa"/>
          </w:tcPr>
          <w:p w14:paraId="1EC95ECE" w14:textId="0DF9B1E6"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E46D563"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пункті 3 частини 2 статті 47 слова «є опублікована інформація, необхідна» замінити словами «опубліковано інформацію, необхідну».</w:t>
            </w:r>
          </w:p>
        </w:tc>
        <w:tc>
          <w:tcPr>
            <w:tcW w:w="1987" w:type="dxa"/>
          </w:tcPr>
          <w:p w14:paraId="6E74F48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7D6D144" w14:textId="7861011A" w:rsidR="00403AAD" w:rsidRPr="00286216" w:rsidRDefault="00403AAD" w:rsidP="00403AAD">
            <w:pPr>
              <w:pStyle w:val="StyleZakonu"/>
              <w:rPr>
                <w:color w:val="000000" w:themeColor="text1"/>
              </w:rPr>
            </w:pPr>
            <w:r w:rsidRPr="00286216">
              <w:rPr>
                <w:color w:val="000000" w:themeColor="text1"/>
              </w:rPr>
              <w:t>3) на момент прийняття рішення про початковий допуск активів до торгів на такому БТМ опубліковано інформацію, необхідну для надання потенційним інвесторам можливості зробити обґрунтовану оцінку доцільності здійснення інвестицій;</w:t>
            </w:r>
          </w:p>
        </w:tc>
      </w:tr>
      <w:tr w:rsidR="00403AAD" w:rsidRPr="00286216" w14:paraId="4CFB66F4" w14:textId="77777777" w:rsidTr="00091AA5">
        <w:tc>
          <w:tcPr>
            <w:tcW w:w="576" w:type="dxa"/>
          </w:tcPr>
          <w:p w14:paraId="1A02430E" w14:textId="77777777" w:rsidR="00403AAD" w:rsidRPr="00286216" w:rsidRDefault="00403AAD" w:rsidP="00403AAD">
            <w:pPr>
              <w:pStyle w:val="StyleWisnow"/>
              <w:rPr>
                <w:color w:val="000000" w:themeColor="text1"/>
              </w:rPr>
            </w:pPr>
            <w:bookmarkStart w:id="559" w:name="n856" w:colFirst="0" w:colLast="0"/>
            <w:bookmarkEnd w:id="558"/>
            <w:r w:rsidRPr="00286216">
              <w:rPr>
                <w:color w:val="000000" w:themeColor="text1"/>
              </w:rPr>
              <w:t>856.</w:t>
            </w:r>
          </w:p>
        </w:tc>
        <w:tc>
          <w:tcPr>
            <w:tcW w:w="4818" w:type="dxa"/>
          </w:tcPr>
          <w:p w14:paraId="63D328A8" w14:textId="77777777" w:rsidR="00403AAD" w:rsidRPr="00286216" w:rsidRDefault="00403AAD" w:rsidP="00403AAD">
            <w:pPr>
              <w:pStyle w:val="StyleZakonu"/>
              <w:rPr>
                <w:color w:val="000000" w:themeColor="text1"/>
              </w:rPr>
            </w:pPr>
            <w:r w:rsidRPr="00286216">
              <w:rPr>
                <w:color w:val="000000" w:themeColor="text1"/>
              </w:rPr>
              <w:t>4) особи, які є емітентами цінних паперів або сторонами фінансових інструментів, допущених до торгів на такій БТМ, складають та публікують перевірену аудитором фінансову звітність відповідно до вимог, встановлених законодавством;</w:t>
            </w:r>
          </w:p>
        </w:tc>
        <w:tc>
          <w:tcPr>
            <w:tcW w:w="3686" w:type="dxa"/>
          </w:tcPr>
          <w:p w14:paraId="36CB9431" w14:textId="5D680443"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B00E981"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пункті 4 частини 2 статті 47 слова «складають та» виключити.</w:t>
            </w:r>
          </w:p>
        </w:tc>
        <w:tc>
          <w:tcPr>
            <w:tcW w:w="1987" w:type="dxa"/>
          </w:tcPr>
          <w:p w14:paraId="2D0ABB34"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0FBC7C5B" w14:textId="504AED5D" w:rsidR="00403AAD" w:rsidRPr="00286216" w:rsidRDefault="00403AAD" w:rsidP="00403AAD">
            <w:pPr>
              <w:pStyle w:val="StyleZakonu"/>
              <w:rPr>
                <w:color w:val="000000" w:themeColor="text1"/>
              </w:rPr>
            </w:pPr>
            <w:r w:rsidRPr="00286216">
              <w:rPr>
                <w:color w:val="000000" w:themeColor="text1"/>
              </w:rPr>
              <w:t>4) особи, які є емітентами цінних паперів або сторонами фінансових інструментів, допущених до торгів на такому БТМ, публікують перевірену аудитором фінансову звітність відповідно до вимог, встановлених законодавством;</w:t>
            </w:r>
          </w:p>
        </w:tc>
      </w:tr>
      <w:tr w:rsidR="00403AAD" w:rsidRPr="00286216" w14:paraId="4360B44F" w14:textId="77777777" w:rsidTr="00091AA5">
        <w:tc>
          <w:tcPr>
            <w:tcW w:w="576" w:type="dxa"/>
          </w:tcPr>
          <w:p w14:paraId="63A98BCF" w14:textId="77777777" w:rsidR="00403AAD" w:rsidRPr="00286216" w:rsidRDefault="00403AAD" w:rsidP="00403AAD">
            <w:pPr>
              <w:pStyle w:val="StyleWisnow"/>
              <w:rPr>
                <w:color w:val="000000" w:themeColor="text1"/>
              </w:rPr>
            </w:pPr>
            <w:bookmarkStart w:id="560" w:name="n857" w:colFirst="0" w:colLast="0"/>
            <w:bookmarkEnd w:id="559"/>
            <w:r w:rsidRPr="00286216">
              <w:rPr>
                <w:color w:val="000000" w:themeColor="text1"/>
              </w:rPr>
              <w:t>857.</w:t>
            </w:r>
          </w:p>
        </w:tc>
        <w:tc>
          <w:tcPr>
            <w:tcW w:w="4818" w:type="dxa"/>
          </w:tcPr>
          <w:p w14:paraId="7A6576FC" w14:textId="77777777" w:rsidR="00403AAD" w:rsidRPr="00286216" w:rsidRDefault="00403AAD" w:rsidP="00403AAD">
            <w:pPr>
              <w:pStyle w:val="StyleZakonu"/>
              <w:rPr>
                <w:color w:val="000000" w:themeColor="text1"/>
              </w:rPr>
            </w:pPr>
            <w:r w:rsidRPr="00286216">
              <w:rPr>
                <w:color w:val="000000" w:themeColor="text1"/>
              </w:rPr>
              <w:t>5) особи, які є емітентами (сторонами) фінансових інструментів, допущених до торгів на такій БТМ, виконують передбачені цим Законом вимоги щодо розкриття регульованої інформації;</w:t>
            </w:r>
          </w:p>
        </w:tc>
        <w:tc>
          <w:tcPr>
            <w:tcW w:w="3686" w:type="dxa"/>
          </w:tcPr>
          <w:p w14:paraId="2192AC3E" w14:textId="7A6AB9E0"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2E6826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пункті 5 частини 2 статті 47 слова «емітентами (сторонами) фінансових інструментів» замінити словами «емітентами цінних паперів або сторонами фінансових інструментів».</w:t>
            </w:r>
          </w:p>
        </w:tc>
        <w:tc>
          <w:tcPr>
            <w:tcW w:w="1987" w:type="dxa"/>
          </w:tcPr>
          <w:p w14:paraId="30251530"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9AAAAA1" w14:textId="1C468884" w:rsidR="00403AAD" w:rsidRPr="00286216" w:rsidRDefault="00403AAD" w:rsidP="00403AAD">
            <w:pPr>
              <w:pStyle w:val="StyleZakonu"/>
              <w:rPr>
                <w:color w:val="000000" w:themeColor="text1"/>
              </w:rPr>
            </w:pPr>
            <w:r w:rsidRPr="00286216">
              <w:rPr>
                <w:color w:val="000000" w:themeColor="text1"/>
              </w:rPr>
              <w:t xml:space="preserve">5) особи, які є </w:t>
            </w:r>
            <w:r w:rsidRPr="00286216">
              <w:rPr>
                <w:color w:val="000000" w:themeColor="text1"/>
                <w:szCs w:val="18"/>
              </w:rPr>
              <w:t>емітентами цінних паперів або сторонами фінансових інструментів</w:t>
            </w:r>
            <w:r w:rsidRPr="00286216">
              <w:rPr>
                <w:color w:val="000000" w:themeColor="text1"/>
              </w:rPr>
              <w:t>, допущених до торгів на такому БТМ, виконують передбачені цим Законом вимоги щодо розкриття регульованої інформації;</w:t>
            </w:r>
          </w:p>
        </w:tc>
      </w:tr>
      <w:tr w:rsidR="00403AAD" w:rsidRPr="00286216" w14:paraId="0A246C90" w14:textId="77777777" w:rsidTr="00091AA5">
        <w:tc>
          <w:tcPr>
            <w:tcW w:w="576" w:type="dxa"/>
          </w:tcPr>
          <w:p w14:paraId="6FF22206" w14:textId="77777777" w:rsidR="00403AAD" w:rsidRPr="00286216" w:rsidRDefault="00403AAD" w:rsidP="00403AAD">
            <w:pPr>
              <w:pStyle w:val="StyleWisnow"/>
              <w:rPr>
                <w:color w:val="000000" w:themeColor="text1"/>
              </w:rPr>
            </w:pPr>
            <w:bookmarkStart w:id="561" w:name="n858" w:colFirst="0" w:colLast="0"/>
            <w:bookmarkEnd w:id="560"/>
            <w:r w:rsidRPr="00286216">
              <w:rPr>
                <w:color w:val="000000" w:themeColor="text1"/>
              </w:rPr>
              <w:t>858.</w:t>
            </w:r>
          </w:p>
        </w:tc>
        <w:tc>
          <w:tcPr>
            <w:tcW w:w="4818" w:type="dxa"/>
          </w:tcPr>
          <w:p w14:paraId="37102C87" w14:textId="77777777" w:rsidR="00403AAD" w:rsidRPr="00286216" w:rsidRDefault="00403AAD" w:rsidP="00403AAD">
            <w:pPr>
              <w:pStyle w:val="StyleZakonu"/>
              <w:rPr>
                <w:color w:val="000000" w:themeColor="text1"/>
              </w:rPr>
            </w:pPr>
            <w:r w:rsidRPr="00286216">
              <w:rPr>
                <w:color w:val="000000" w:themeColor="text1"/>
              </w:rPr>
              <w:t>6) оператор БТМ має ефективно функціонуючі системи для виявлення та запобігання маніпулюванню на організованих ринках.</w:t>
            </w:r>
          </w:p>
        </w:tc>
        <w:tc>
          <w:tcPr>
            <w:tcW w:w="3686" w:type="dxa"/>
          </w:tcPr>
          <w:p w14:paraId="028903B3" w14:textId="505C16E5"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489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5F9689"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пункті 6 частини 2 статті 47 слова «на організованих ринках» замінити словами «на БТМ, управління діяльністю якого він здійснює».</w:t>
            </w:r>
          </w:p>
        </w:tc>
        <w:tc>
          <w:tcPr>
            <w:tcW w:w="1987" w:type="dxa"/>
          </w:tcPr>
          <w:p w14:paraId="371EDB91"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5DA1355" w14:textId="075C1479" w:rsidR="00403AAD" w:rsidRPr="00286216" w:rsidRDefault="00403AAD" w:rsidP="00403AAD">
            <w:pPr>
              <w:pStyle w:val="StyleZakonu"/>
              <w:rPr>
                <w:color w:val="000000" w:themeColor="text1"/>
              </w:rPr>
            </w:pPr>
            <w:r w:rsidRPr="00286216">
              <w:rPr>
                <w:color w:val="000000" w:themeColor="text1"/>
              </w:rPr>
              <w:t>6) оператор БТМ має ефективно функціонуючі системи для виявлення та запобігання маніпулюванню на БТМ, управління діяльністю якого він здійснює.</w:t>
            </w:r>
          </w:p>
        </w:tc>
      </w:tr>
      <w:tr w:rsidR="00403AAD" w:rsidRPr="00286216" w14:paraId="2E201076" w14:textId="77777777" w:rsidTr="00091AA5">
        <w:tc>
          <w:tcPr>
            <w:tcW w:w="576" w:type="dxa"/>
          </w:tcPr>
          <w:p w14:paraId="32658B22" w14:textId="77777777" w:rsidR="00403AAD" w:rsidRPr="00286216" w:rsidRDefault="00403AAD" w:rsidP="00403AAD">
            <w:pPr>
              <w:pStyle w:val="StyleWisnow"/>
              <w:rPr>
                <w:color w:val="000000" w:themeColor="text1"/>
              </w:rPr>
            </w:pPr>
            <w:bookmarkStart w:id="562" w:name="n859" w:colFirst="0" w:colLast="0"/>
            <w:bookmarkEnd w:id="561"/>
            <w:r w:rsidRPr="00286216">
              <w:rPr>
                <w:color w:val="000000" w:themeColor="text1"/>
              </w:rPr>
              <w:t>859.</w:t>
            </w:r>
          </w:p>
        </w:tc>
        <w:tc>
          <w:tcPr>
            <w:tcW w:w="4818" w:type="dxa"/>
          </w:tcPr>
          <w:p w14:paraId="7C976161" w14:textId="77777777" w:rsidR="00403AAD" w:rsidRPr="00286216" w:rsidRDefault="00403AAD" w:rsidP="00403AAD">
            <w:pPr>
              <w:pStyle w:val="StyleZakonu"/>
              <w:rPr>
                <w:color w:val="000000" w:themeColor="text1"/>
              </w:rPr>
            </w:pPr>
            <w:r w:rsidRPr="00286216">
              <w:rPr>
                <w:color w:val="000000" w:themeColor="text1"/>
              </w:rPr>
              <w:t>3. Крім вимог, передбачених частиною другою цієї статті оператор БТМ, що подав заяву про включення БТМ, управління діяльністю якого він здійснює, до реєстру ринків малих та середніх підприємств зобов’язаний виконувати вимоги, передбачені статтями, , - цього Закону.</w:t>
            </w:r>
          </w:p>
        </w:tc>
        <w:tc>
          <w:tcPr>
            <w:tcW w:w="3686" w:type="dxa"/>
          </w:tcPr>
          <w:p w14:paraId="567FB1C2" w14:textId="7D42C55D"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BD3527D" w14:textId="77777777" w:rsidR="00403AAD" w:rsidRPr="00286216" w:rsidRDefault="00403AAD" w:rsidP="00403AAD">
            <w:pPr>
              <w:pStyle w:val="StyleProp"/>
              <w:spacing w:line="180" w:lineRule="exact"/>
              <w:rPr>
                <w:color w:val="000000" w:themeColor="text1"/>
                <w:spacing w:val="-5"/>
              </w:rPr>
            </w:pPr>
            <w:r w:rsidRPr="00286216">
              <w:rPr>
                <w:color w:val="000000" w:themeColor="text1"/>
                <w:spacing w:val="-5"/>
              </w:rPr>
              <w:t>Частину 3 статті 47 викласти в такій редакції:</w:t>
            </w:r>
          </w:p>
          <w:p w14:paraId="75107EA4"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«3.Крім вимог, передбачених частиною першою цієї статті оператор БТМ, який подав заяву про включення БТМ, управління діяльністю якого він здійснює, до реєстру ринків малих та середніх підприємств, зобов’язаний виконувати вимоги, передбачені статтями 39, 46, 48-50 цього Закону».</w:t>
            </w:r>
          </w:p>
        </w:tc>
        <w:tc>
          <w:tcPr>
            <w:tcW w:w="1987" w:type="dxa"/>
          </w:tcPr>
          <w:p w14:paraId="14D755E3"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406A621" w14:textId="3477C618" w:rsidR="00403AAD" w:rsidRPr="00286216" w:rsidRDefault="00403AAD" w:rsidP="00403AAD">
            <w:pPr>
              <w:pStyle w:val="StyleZakonu"/>
              <w:rPr>
                <w:color w:val="000000" w:themeColor="text1"/>
              </w:rPr>
            </w:pPr>
            <w:r w:rsidRPr="00286216">
              <w:rPr>
                <w:color w:val="000000" w:themeColor="text1"/>
              </w:rPr>
              <w:t>2. Крім вимог, передбачених частиною першою цієї статті, оператор БТМ, який подав заяву про включення БТМ, управління діяльністю якого він здійснює, до реєстру ринків МСП, зобов’язаний забезпечити виконання вимог, передбачених статтями 34, 49, 51 – 53 цього Закону.</w:t>
            </w:r>
          </w:p>
        </w:tc>
      </w:tr>
      <w:tr w:rsidR="00403AAD" w:rsidRPr="00286216" w14:paraId="1E72FC10" w14:textId="77777777" w:rsidTr="00091AA5">
        <w:tc>
          <w:tcPr>
            <w:tcW w:w="576" w:type="dxa"/>
          </w:tcPr>
          <w:p w14:paraId="1F245BDB" w14:textId="77777777" w:rsidR="00403AAD" w:rsidRPr="00286216" w:rsidRDefault="00403AAD" w:rsidP="00403AAD">
            <w:pPr>
              <w:pStyle w:val="StyleWisnow"/>
              <w:rPr>
                <w:color w:val="000000" w:themeColor="text1"/>
              </w:rPr>
            </w:pPr>
            <w:bookmarkStart w:id="563" w:name="n860" w:colFirst="0" w:colLast="0"/>
            <w:bookmarkEnd w:id="562"/>
            <w:r w:rsidRPr="00286216">
              <w:rPr>
                <w:color w:val="000000" w:themeColor="text1"/>
              </w:rPr>
              <w:t>860.</w:t>
            </w:r>
          </w:p>
        </w:tc>
        <w:tc>
          <w:tcPr>
            <w:tcW w:w="4818" w:type="dxa"/>
          </w:tcPr>
          <w:p w14:paraId="50E4A3FE" w14:textId="77777777" w:rsidR="00403AAD" w:rsidRPr="00286216" w:rsidRDefault="00403AAD" w:rsidP="00403AAD">
            <w:pPr>
              <w:pStyle w:val="StyleZakonu"/>
              <w:rPr>
                <w:color w:val="000000" w:themeColor="text1"/>
              </w:rPr>
            </w:pPr>
            <w:r w:rsidRPr="00286216">
              <w:rPr>
                <w:color w:val="000000" w:themeColor="text1"/>
              </w:rPr>
              <w:t>4. Додатково до вимог, передбачених частиною другою цієї статті, оператор БТМ може встановлювати власні вимоги до МСП, які є емітентами цінних паперів або сторонами фінансових інструментів, які допущені ним до торгів на БТМ.</w:t>
            </w:r>
          </w:p>
        </w:tc>
        <w:tc>
          <w:tcPr>
            <w:tcW w:w="3686" w:type="dxa"/>
          </w:tcPr>
          <w:p w14:paraId="6E743364" w14:textId="12D4C15A"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AE487A6" w14:textId="77777777" w:rsidR="00403AAD" w:rsidRPr="00286216" w:rsidRDefault="00403AAD" w:rsidP="00403AAD">
            <w:pPr>
              <w:pStyle w:val="StyleProp"/>
              <w:spacing w:line="180" w:lineRule="exact"/>
              <w:rPr>
                <w:color w:val="000000" w:themeColor="text1"/>
                <w:spacing w:val="-2"/>
              </w:rPr>
            </w:pPr>
            <w:r w:rsidRPr="00286216">
              <w:rPr>
                <w:color w:val="000000" w:themeColor="text1"/>
                <w:szCs w:val="18"/>
              </w:rPr>
              <w:t>В частині четвертій статті 47 слова «частиною другою» замінити словами «частиною першою»</w:t>
            </w:r>
            <w:r w:rsidRPr="00286216">
              <w:rPr>
                <w:color w:val="000000" w:themeColor="text1"/>
                <w:spacing w:val="-2"/>
              </w:rPr>
              <w:t>.</w:t>
            </w:r>
          </w:p>
        </w:tc>
        <w:tc>
          <w:tcPr>
            <w:tcW w:w="1987" w:type="dxa"/>
          </w:tcPr>
          <w:p w14:paraId="2C34E31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03F9BA76" w14:textId="3B2BD504" w:rsidR="00403AAD" w:rsidRPr="00286216" w:rsidRDefault="00403AAD" w:rsidP="00403AAD">
            <w:pPr>
              <w:pStyle w:val="StyleZakonu"/>
              <w:rPr>
                <w:color w:val="000000" w:themeColor="text1"/>
              </w:rPr>
            </w:pPr>
            <w:r w:rsidRPr="00286216">
              <w:rPr>
                <w:color w:val="000000" w:themeColor="text1"/>
              </w:rPr>
              <w:t>3. Додатково до вимог, передбачених частиною першою цієї статті, оператор БТМ може встановлювати власні вимоги до МСП, які є емітентами цінних паперів або сторонами фінансових інструментів,  допущених ним до торгів на БТМ.</w:t>
            </w:r>
          </w:p>
        </w:tc>
      </w:tr>
      <w:tr w:rsidR="00403AAD" w:rsidRPr="00286216" w14:paraId="6BDE7103" w14:textId="77777777" w:rsidTr="00091AA5">
        <w:tc>
          <w:tcPr>
            <w:tcW w:w="576" w:type="dxa"/>
          </w:tcPr>
          <w:p w14:paraId="3C3CB852" w14:textId="77777777" w:rsidR="00403AAD" w:rsidRPr="00286216" w:rsidRDefault="00403AAD" w:rsidP="00403AAD">
            <w:pPr>
              <w:pStyle w:val="StyleWisnow"/>
              <w:rPr>
                <w:color w:val="000000" w:themeColor="text1"/>
              </w:rPr>
            </w:pPr>
            <w:bookmarkStart w:id="564" w:name="n861" w:colFirst="0" w:colLast="0"/>
            <w:bookmarkEnd w:id="563"/>
            <w:r w:rsidRPr="00286216">
              <w:rPr>
                <w:color w:val="000000" w:themeColor="text1"/>
              </w:rPr>
              <w:t>861.</w:t>
            </w:r>
          </w:p>
        </w:tc>
        <w:tc>
          <w:tcPr>
            <w:tcW w:w="4818" w:type="dxa"/>
          </w:tcPr>
          <w:p w14:paraId="0077F8B6" w14:textId="77777777" w:rsidR="00403AAD" w:rsidRPr="00286216" w:rsidRDefault="00403AAD" w:rsidP="00403AAD">
            <w:pPr>
              <w:pStyle w:val="StyleZakonu"/>
              <w:rPr>
                <w:color w:val="000000" w:themeColor="text1"/>
              </w:rPr>
            </w:pPr>
            <w:r w:rsidRPr="00286216">
              <w:rPr>
                <w:color w:val="000000" w:themeColor="text1"/>
              </w:rPr>
              <w:t xml:space="preserve">5. Національна комісія з цінних паперів та фондового ринку виключає БТМ з реєстру ринків малих та середніх підприємств у будь-якому з </w:t>
            </w:r>
            <w:r w:rsidRPr="00286216">
              <w:rPr>
                <w:color w:val="000000" w:themeColor="text1"/>
              </w:rPr>
              <w:lastRenderedPageBreak/>
              <w:t>наступних випадків:</w:t>
            </w:r>
          </w:p>
        </w:tc>
        <w:tc>
          <w:tcPr>
            <w:tcW w:w="3686" w:type="dxa"/>
          </w:tcPr>
          <w:p w14:paraId="158D0635" w14:textId="30A70983"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E33D98C" w14:textId="77777777" w:rsidR="00403AAD" w:rsidRPr="00286216" w:rsidRDefault="00403AAD" w:rsidP="00403AAD">
            <w:pPr>
              <w:pStyle w:val="StyleProp"/>
              <w:spacing w:line="180" w:lineRule="exact"/>
              <w:rPr>
                <w:color w:val="000000" w:themeColor="text1"/>
                <w:spacing w:val="-5"/>
                <w:szCs w:val="18"/>
              </w:rPr>
            </w:pPr>
            <w:r w:rsidRPr="00286216">
              <w:rPr>
                <w:color w:val="000000" w:themeColor="text1"/>
                <w:spacing w:val="-5"/>
                <w:szCs w:val="18"/>
              </w:rPr>
              <w:t>Частину 5 статті 47 викласти в такій редакції:</w:t>
            </w:r>
          </w:p>
          <w:p w14:paraId="062DC158" w14:textId="77777777" w:rsidR="00403AAD" w:rsidRPr="00286216" w:rsidRDefault="00403AAD" w:rsidP="00403AAD">
            <w:pPr>
              <w:pStyle w:val="StyleProp"/>
              <w:spacing w:line="180" w:lineRule="exact"/>
              <w:rPr>
                <w:color w:val="000000" w:themeColor="text1"/>
                <w:spacing w:val="-2"/>
              </w:rPr>
            </w:pPr>
            <w:r w:rsidRPr="00286216">
              <w:rPr>
                <w:color w:val="000000" w:themeColor="text1"/>
                <w:szCs w:val="18"/>
              </w:rPr>
              <w:t xml:space="preserve">«4. Національна комісія з цінних паперів та фондового ринку у встановленому нею </w:t>
            </w:r>
            <w:r w:rsidRPr="00286216">
              <w:rPr>
                <w:color w:val="000000" w:themeColor="text1"/>
                <w:szCs w:val="18"/>
              </w:rPr>
              <w:lastRenderedPageBreak/>
              <w:t>порядку виключає БТМ з реєстру ринків малих та середніх підприємств у будь-якому з таких випадків:</w:t>
            </w:r>
          </w:p>
        </w:tc>
        <w:tc>
          <w:tcPr>
            <w:tcW w:w="1987" w:type="dxa"/>
          </w:tcPr>
          <w:p w14:paraId="245EF0F0" w14:textId="1E538E38" w:rsidR="00403AAD" w:rsidRPr="00286216" w:rsidRDefault="00403AAD" w:rsidP="00403AAD">
            <w:pPr>
              <w:pStyle w:val="StyleWisnow"/>
              <w:rPr>
                <w:color w:val="000000" w:themeColor="text1"/>
              </w:rPr>
            </w:pPr>
            <w:r w:rsidRPr="00286216">
              <w:rPr>
                <w:color w:val="000000" w:themeColor="text1"/>
              </w:rPr>
              <w:lastRenderedPageBreak/>
              <w:t>Враховано редакційно</w:t>
            </w:r>
          </w:p>
        </w:tc>
        <w:tc>
          <w:tcPr>
            <w:tcW w:w="4818" w:type="dxa"/>
          </w:tcPr>
          <w:p w14:paraId="694DE1DB" w14:textId="2BC08706" w:rsidR="00403AAD" w:rsidRPr="00286216" w:rsidRDefault="00403AAD" w:rsidP="00403AAD">
            <w:pPr>
              <w:pStyle w:val="StyleZakonu"/>
              <w:rPr>
                <w:color w:val="000000" w:themeColor="text1"/>
              </w:rPr>
            </w:pPr>
            <w:r w:rsidRPr="00286216">
              <w:rPr>
                <w:color w:val="000000" w:themeColor="text1"/>
              </w:rPr>
              <w:t xml:space="preserve">4. Національна комісія з цінних паперів та фондового ринку у встановленому нею порядку виключає БТМ з реєстру ринківМСП у </w:t>
            </w:r>
            <w:r w:rsidRPr="00286216">
              <w:rPr>
                <w:color w:val="000000" w:themeColor="text1"/>
                <w:szCs w:val="18"/>
              </w:rPr>
              <w:t xml:space="preserve">будь-якому з </w:t>
            </w:r>
            <w:r w:rsidRPr="00286216">
              <w:rPr>
                <w:color w:val="000000" w:themeColor="text1"/>
                <w:szCs w:val="18"/>
              </w:rPr>
              <w:lastRenderedPageBreak/>
              <w:t>таких випадків</w:t>
            </w:r>
            <w:r w:rsidRPr="00286216">
              <w:rPr>
                <w:color w:val="000000" w:themeColor="text1"/>
              </w:rPr>
              <w:t>:</w:t>
            </w:r>
          </w:p>
        </w:tc>
      </w:tr>
      <w:tr w:rsidR="00403AAD" w:rsidRPr="00286216" w14:paraId="3F4F5A57" w14:textId="77777777" w:rsidTr="00091AA5">
        <w:tc>
          <w:tcPr>
            <w:tcW w:w="576" w:type="dxa"/>
          </w:tcPr>
          <w:p w14:paraId="4FA273DA" w14:textId="77777777" w:rsidR="00403AAD" w:rsidRPr="00286216" w:rsidRDefault="00403AAD" w:rsidP="00403AAD">
            <w:pPr>
              <w:pStyle w:val="StyleWisnow"/>
              <w:rPr>
                <w:color w:val="000000" w:themeColor="text1"/>
              </w:rPr>
            </w:pPr>
            <w:bookmarkStart w:id="565" w:name="n862" w:colFirst="0" w:colLast="0"/>
            <w:bookmarkEnd w:id="564"/>
            <w:r w:rsidRPr="00286216">
              <w:rPr>
                <w:color w:val="000000" w:themeColor="text1"/>
              </w:rPr>
              <w:lastRenderedPageBreak/>
              <w:t>862.</w:t>
            </w:r>
          </w:p>
        </w:tc>
        <w:tc>
          <w:tcPr>
            <w:tcW w:w="4818" w:type="dxa"/>
          </w:tcPr>
          <w:p w14:paraId="26436476" w14:textId="77777777" w:rsidR="00403AAD" w:rsidRPr="00286216" w:rsidRDefault="00403AAD" w:rsidP="00403AAD">
            <w:pPr>
              <w:pStyle w:val="StyleZakonu"/>
              <w:rPr>
                <w:color w:val="000000" w:themeColor="text1"/>
              </w:rPr>
            </w:pPr>
            <w:r w:rsidRPr="00286216">
              <w:rPr>
                <w:color w:val="000000" w:themeColor="text1"/>
              </w:rPr>
              <w:t>1) за заявою оператора БТМ;</w:t>
            </w:r>
          </w:p>
        </w:tc>
        <w:tc>
          <w:tcPr>
            <w:tcW w:w="3686" w:type="dxa"/>
          </w:tcPr>
          <w:p w14:paraId="0271DCC9" w14:textId="77777777" w:rsidR="00403AAD" w:rsidRPr="00286216" w:rsidRDefault="00403AAD" w:rsidP="00403AAD">
            <w:pPr>
              <w:pStyle w:val="StyleProp"/>
              <w:rPr>
                <w:color w:val="000000" w:themeColor="text1"/>
                <w:szCs w:val="18"/>
              </w:rPr>
            </w:pPr>
            <w:r w:rsidRPr="00286216">
              <w:rPr>
                <w:color w:val="000000" w:themeColor="text1"/>
              </w:rPr>
              <w:t>1) за заявою оператора БТМ;</w:t>
            </w:r>
          </w:p>
        </w:tc>
        <w:tc>
          <w:tcPr>
            <w:tcW w:w="1987" w:type="dxa"/>
          </w:tcPr>
          <w:p w14:paraId="652FBD4B" w14:textId="77777777" w:rsidR="00403AAD" w:rsidRPr="00286216" w:rsidRDefault="00403AAD" w:rsidP="00403AAD">
            <w:pPr>
              <w:pStyle w:val="StyleWisnow"/>
              <w:rPr>
                <w:color w:val="000000" w:themeColor="text1"/>
              </w:rPr>
            </w:pPr>
          </w:p>
        </w:tc>
        <w:tc>
          <w:tcPr>
            <w:tcW w:w="4818" w:type="dxa"/>
          </w:tcPr>
          <w:p w14:paraId="737DE1E1" w14:textId="2B3CCBB9" w:rsidR="00403AAD" w:rsidRPr="00286216" w:rsidRDefault="00403AAD" w:rsidP="00403AAD">
            <w:pPr>
              <w:pStyle w:val="StyleZakonu"/>
              <w:rPr>
                <w:color w:val="000000" w:themeColor="text1"/>
              </w:rPr>
            </w:pPr>
            <w:r w:rsidRPr="00286216">
              <w:rPr>
                <w:color w:val="000000" w:themeColor="text1"/>
              </w:rPr>
              <w:t>1) подання відповідної заяви оператором БТМ;</w:t>
            </w:r>
          </w:p>
        </w:tc>
      </w:tr>
      <w:tr w:rsidR="00403AAD" w:rsidRPr="00286216" w14:paraId="0907CCF4" w14:textId="77777777" w:rsidTr="00091AA5">
        <w:tc>
          <w:tcPr>
            <w:tcW w:w="576" w:type="dxa"/>
          </w:tcPr>
          <w:p w14:paraId="6249A122" w14:textId="77777777" w:rsidR="00403AAD" w:rsidRPr="00286216" w:rsidRDefault="00403AAD" w:rsidP="00403AAD">
            <w:pPr>
              <w:pStyle w:val="StyleWisnow"/>
              <w:rPr>
                <w:color w:val="000000" w:themeColor="text1"/>
              </w:rPr>
            </w:pPr>
            <w:bookmarkStart w:id="566" w:name="n863" w:colFirst="0" w:colLast="0"/>
            <w:bookmarkEnd w:id="565"/>
            <w:r w:rsidRPr="00286216">
              <w:rPr>
                <w:color w:val="000000" w:themeColor="text1"/>
              </w:rPr>
              <w:t>863.</w:t>
            </w:r>
          </w:p>
        </w:tc>
        <w:tc>
          <w:tcPr>
            <w:tcW w:w="4818" w:type="dxa"/>
          </w:tcPr>
          <w:p w14:paraId="3DB773E9" w14:textId="77777777" w:rsidR="00403AAD" w:rsidRPr="00286216" w:rsidRDefault="00403AAD" w:rsidP="00403AAD">
            <w:pPr>
              <w:pStyle w:val="StyleZakonu"/>
              <w:rPr>
                <w:color w:val="000000" w:themeColor="text1"/>
              </w:rPr>
            </w:pPr>
            <w:r w:rsidRPr="00286216">
              <w:rPr>
                <w:color w:val="000000" w:themeColor="text1"/>
              </w:rPr>
              <w:t>2) у випадку встановлення у передбаченому Національною комісією з цінних паперів та фондового ринку порядку невідповідності оператора БТМ або БТМ, управління діяльністю якого він здійснює, вимогам, передбаченим частиною другою цієї статті.</w:t>
            </w:r>
          </w:p>
        </w:tc>
        <w:tc>
          <w:tcPr>
            <w:tcW w:w="3686" w:type="dxa"/>
          </w:tcPr>
          <w:p w14:paraId="41E69453" w14:textId="77777777" w:rsidR="00403AAD" w:rsidRPr="00286216" w:rsidRDefault="00403AAD" w:rsidP="00403AAD">
            <w:pPr>
              <w:pStyle w:val="StyleProp"/>
              <w:spacing w:line="180" w:lineRule="exact"/>
              <w:rPr>
                <w:color w:val="000000" w:themeColor="text1"/>
              </w:rPr>
            </w:pPr>
            <w:r w:rsidRPr="00286216">
              <w:rPr>
                <w:color w:val="000000" w:themeColor="text1"/>
              </w:rPr>
              <w:t>2) встановлення Національною комісією з цінних паперів та фондового ринку факту невідповідності оператора БТМ або БТМ, управління діяльністю якого він здійснює, вимогам, передбаченим частиною першою цієї статті.</w:t>
            </w:r>
          </w:p>
        </w:tc>
        <w:tc>
          <w:tcPr>
            <w:tcW w:w="1987" w:type="dxa"/>
          </w:tcPr>
          <w:p w14:paraId="45D51675" w14:textId="77777777" w:rsidR="00403AAD" w:rsidRPr="00286216" w:rsidRDefault="00403AAD" w:rsidP="00403AAD">
            <w:pPr>
              <w:pStyle w:val="StyleWisnow"/>
              <w:rPr>
                <w:color w:val="000000" w:themeColor="text1"/>
              </w:rPr>
            </w:pPr>
          </w:p>
        </w:tc>
        <w:tc>
          <w:tcPr>
            <w:tcW w:w="4818" w:type="dxa"/>
          </w:tcPr>
          <w:p w14:paraId="1ACB6C56" w14:textId="438C9DD5" w:rsidR="00403AAD" w:rsidRPr="00286216" w:rsidRDefault="00403AAD" w:rsidP="00403AAD">
            <w:pPr>
              <w:pStyle w:val="StyleZakonu"/>
              <w:rPr>
                <w:color w:val="000000" w:themeColor="text1"/>
              </w:rPr>
            </w:pPr>
            <w:r w:rsidRPr="00286216">
              <w:rPr>
                <w:color w:val="000000" w:themeColor="text1"/>
              </w:rPr>
              <w:t>2) встановлення Національною комісією з цінних паперів та фондового ринку факту невідповідності оператора БТМ або БТМ, управління діяльністю якого він здійснює, вимогам, передбаченим частиною першою цієї статті.</w:t>
            </w:r>
          </w:p>
        </w:tc>
      </w:tr>
      <w:tr w:rsidR="00403AAD" w:rsidRPr="00286216" w14:paraId="7D2C100F" w14:textId="77777777" w:rsidTr="00091AA5">
        <w:tc>
          <w:tcPr>
            <w:tcW w:w="576" w:type="dxa"/>
          </w:tcPr>
          <w:p w14:paraId="0B4E587A" w14:textId="77777777" w:rsidR="00403AAD" w:rsidRPr="00286216" w:rsidRDefault="00403AAD" w:rsidP="00403AAD">
            <w:pPr>
              <w:pStyle w:val="StyleWisnow"/>
              <w:rPr>
                <w:color w:val="000000" w:themeColor="text1"/>
              </w:rPr>
            </w:pPr>
            <w:bookmarkStart w:id="567" w:name="n864" w:colFirst="0" w:colLast="0"/>
            <w:bookmarkEnd w:id="566"/>
            <w:r w:rsidRPr="00286216">
              <w:rPr>
                <w:color w:val="000000" w:themeColor="text1"/>
              </w:rPr>
              <w:t>864.</w:t>
            </w:r>
          </w:p>
        </w:tc>
        <w:tc>
          <w:tcPr>
            <w:tcW w:w="4818" w:type="dxa"/>
          </w:tcPr>
          <w:p w14:paraId="57A4FDC3" w14:textId="77777777" w:rsidR="00403AAD" w:rsidRPr="00286216" w:rsidRDefault="00403AAD" w:rsidP="00403AAD">
            <w:pPr>
              <w:pStyle w:val="StyleZakonu"/>
              <w:rPr>
                <w:color w:val="000000" w:themeColor="text1"/>
              </w:rPr>
            </w:pPr>
            <w:r w:rsidRPr="00286216">
              <w:rPr>
                <w:color w:val="000000" w:themeColor="text1"/>
              </w:rPr>
              <w:t>6. Національна комісія з цінних паперів та фондового ринку публікує перелік діючих ринків малих та середніх підприємств на своєму веб-сайті та забезпечує його актуалізацію.</w:t>
            </w:r>
          </w:p>
        </w:tc>
        <w:tc>
          <w:tcPr>
            <w:tcW w:w="3686" w:type="dxa"/>
          </w:tcPr>
          <w:p w14:paraId="6FA7F994" w14:textId="77777777" w:rsidR="00403AAD" w:rsidRPr="00286216" w:rsidRDefault="00403AAD" w:rsidP="00403AAD">
            <w:pPr>
              <w:pStyle w:val="StyleProp"/>
              <w:rPr>
                <w:color w:val="000000" w:themeColor="text1"/>
                <w:szCs w:val="18"/>
              </w:rPr>
            </w:pPr>
          </w:p>
        </w:tc>
        <w:tc>
          <w:tcPr>
            <w:tcW w:w="1987" w:type="dxa"/>
          </w:tcPr>
          <w:p w14:paraId="1A1E9782" w14:textId="77777777" w:rsidR="00403AAD" w:rsidRPr="00286216" w:rsidRDefault="00403AAD" w:rsidP="00403AAD">
            <w:pPr>
              <w:pStyle w:val="StyleWisnow"/>
              <w:rPr>
                <w:color w:val="000000" w:themeColor="text1"/>
              </w:rPr>
            </w:pPr>
          </w:p>
        </w:tc>
        <w:tc>
          <w:tcPr>
            <w:tcW w:w="4818" w:type="dxa"/>
          </w:tcPr>
          <w:p w14:paraId="22A709B4" w14:textId="1A09E17C" w:rsidR="00403AAD" w:rsidRPr="00286216" w:rsidRDefault="00403AAD" w:rsidP="00403AAD">
            <w:pPr>
              <w:pStyle w:val="StyleZakonu"/>
              <w:rPr>
                <w:color w:val="000000" w:themeColor="text1"/>
              </w:rPr>
            </w:pPr>
            <w:r w:rsidRPr="00286216">
              <w:rPr>
                <w:color w:val="000000" w:themeColor="text1"/>
              </w:rPr>
              <w:t>5. Національна комісія з цінних паперів та фондового ринку публікує перелік діючих ринків МСП</w:t>
            </w:r>
            <w:r w:rsidRPr="00286216" w:rsidDel="00202157">
              <w:rPr>
                <w:color w:val="000000" w:themeColor="text1"/>
              </w:rPr>
              <w:t xml:space="preserve"> </w:t>
            </w:r>
            <w:r w:rsidRPr="00286216">
              <w:rPr>
                <w:color w:val="000000" w:themeColor="text1"/>
              </w:rPr>
              <w:t>на своєму офіційному веб-сайті та забезпечує його актуалізацію.</w:t>
            </w:r>
          </w:p>
        </w:tc>
      </w:tr>
      <w:tr w:rsidR="00403AAD" w:rsidRPr="00286216" w14:paraId="1D420189" w14:textId="77777777" w:rsidTr="00091AA5">
        <w:tc>
          <w:tcPr>
            <w:tcW w:w="576" w:type="dxa"/>
          </w:tcPr>
          <w:p w14:paraId="1E710F34" w14:textId="77777777" w:rsidR="00403AAD" w:rsidRPr="00286216" w:rsidRDefault="00403AAD" w:rsidP="00403AAD">
            <w:pPr>
              <w:pStyle w:val="StyleWisnow"/>
              <w:rPr>
                <w:color w:val="000000" w:themeColor="text1"/>
              </w:rPr>
            </w:pPr>
            <w:bookmarkStart w:id="568" w:name="n865" w:colFirst="0" w:colLast="0"/>
            <w:bookmarkEnd w:id="567"/>
            <w:r w:rsidRPr="00286216">
              <w:rPr>
                <w:color w:val="000000" w:themeColor="text1"/>
              </w:rPr>
              <w:t>865.</w:t>
            </w:r>
          </w:p>
        </w:tc>
        <w:tc>
          <w:tcPr>
            <w:tcW w:w="4818" w:type="dxa"/>
          </w:tcPr>
          <w:p w14:paraId="72610C30" w14:textId="77777777" w:rsidR="00403AAD" w:rsidRPr="00286216" w:rsidRDefault="00403AAD" w:rsidP="00403AAD">
            <w:pPr>
              <w:pStyle w:val="StyleZakonu"/>
              <w:rPr>
                <w:color w:val="000000" w:themeColor="text1"/>
              </w:rPr>
            </w:pPr>
            <w:r w:rsidRPr="00286216">
              <w:rPr>
                <w:color w:val="000000" w:themeColor="text1"/>
              </w:rPr>
              <w:t>7. У випадку, якщо фінансовий інструмент допущений до торгів на ринку МСП, допущення того самого інструменту до торгів на іншому ринку МСП допускається виключно у випадку отримання особою, яка подає заявку на допуск такого фінансового інструменту до торгів на іншому ринку МСП, згоди емітента (сторони) такого фінансового інструменту. У разі надання згоди на такий допуск, до емітента цінних паперів (сторони фінансового інструменту) не застосовуються вимоги, встановлені оператором такого іншого ринку МСП.</w:t>
            </w:r>
          </w:p>
        </w:tc>
        <w:tc>
          <w:tcPr>
            <w:tcW w:w="3686" w:type="dxa"/>
          </w:tcPr>
          <w:p w14:paraId="101D8686" w14:textId="022282B8"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7BE8A89" w14:textId="77777777" w:rsidR="00403AAD" w:rsidRPr="00286216" w:rsidRDefault="00403AAD" w:rsidP="00403AAD">
            <w:pPr>
              <w:pStyle w:val="StyleProp"/>
              <w:spacing w:line="180" w:lineRule="exact"/>
              <w:rPr>
                <w:color w:val="000000" w:themeColor="text1"/>
                <w:spacing w:val="-2"/>
              </w:rPr>
            </w:pPr>
            <w:r w:rsidRPr="00286216">
              <w:rPr>
                <w:color w:val="000000" w:themeColor="text1"/>
                <w:szCs w:val="18"/>
              </w:rPr>
              <w:t>В частині сьомій статті 47 слова «емітента (сторони) такого фінансового інструменту» замінити словами «емітента цінних паперів або сторони фінансового інструменту»:</w:t>
            </w:r>
          </w:p>
        </w:tc>
        <w:tc>
          <w:tcPr>
            <w:tcW w:w="1987" w:type="dxa"/>
          </w:tcPr>
          <w:p w14:paraId="43D58B07"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2435C8A" w14:textId="3AC40109" w:rsidR="00403AAD" w:rsidRPr="00286216" w:rsidRDefault="00403AAD" w:rsidP="00403AAD">
            <w:pPr>
              <w:pStyle w:val="StyleZakonu"/>
              <w:rPr>
                <w:color w:val="000000" w:themeColor="text1"/>
              </w:rPr>
            </w:pPr>
            <w:r w:rsidRPr="00286216">
              <w:rPr>
                <w:color w:val="000000" w:themeColor="text1"/>
              </w:rPr>
              <w:t>6. Якщо фінансовий інструмент допущений до торгів на ринку МСП, допущення того самого інструменту до торгів на іншому ринку МСП є можливим виключно у  разі отримання особою, яка подає заявку на допуск такого фінансового інструменту до торгів на іншому ринку МСП, згоди емітента цінних паперів або сторони фінансового інструменту. У разі надання згоди на такий допуск до емітента цінних паперів (сторони фінансового інструменту) не застосовуються вимоги, встановлені оператором такого іншого ринку МСП.</w:t>
            </w:r>
          </w:p>
        </w:tc>
      </w:tr>
      <w:tr w:rsidR="00403AAD" w:rsidRPr="00286216" w14:paraId="596A0390" w14:textId="77777777" w:rsidTr="00091AA5">
        <w:tc>
          <w:tcPr>
            <w:tcW w:w="576" w:type="dxa"/>
          </w:tcPr>
          <w:p w14:paraId="0841B1BA" w14:textId="77777777" w:rsidR="00403AAD" w:rsidRPr="00286216" w:rsidRDefault="00403AAD" w:rsidP="00403AAD">
            <w:pPr>
              <w:pStyle w:val="StyleWisnow"/>
              <w:rPr>
                <w:color w:val="000000" w:themeColor="text1"/>
              </w:rPr>
            </w:pPr>
            <w:bookmarkStart w:id="569" w:name="n866" w:colFirst="0" w:colLast="0"/>
            <w:bookmarkEnd w:id="568"/>
            <w:r w:rsidRPr="00286216">
              <w:rPr>
                <w:color w:val="000000" w:themeColor="text1"/>
              </w:rPr>
              <w:t>866.</w:t>
            </w:r>
          </w:p>
        </w:tc>
        <w:tc>
          <w:tcPr>
            <w:tcW w:w="4818" w:type="dxa"/>
          </w:tcPr>
          <w:p w14:paraId="5B4BCE96" w14:textId="77777777" w:rsidR="00403AAD" w:rsidRPr="00286216" w:rsidRDefault="00403AAD" w:rsidP="00403AAD">
            <w:pPr>
              <w:pStyle w:val="StyleZakonu"/>
              <w:rPr>
                <w:color w:val="000000" w:themeColor="text1"/>
              </w:rPr>
            </w:pPr>
            <w:bookmarkStart w:id="570" w:name="_Ref16419987"/>
            <w:r w:rsidRPr="00286216">
              <w:rPr>
                <w:color w:val="000000" w:themeColor="text1"/>
              </w:rPr>
              <w:t>Стаття 48. Оператори організованих ринків</w:t>
            </w:r>
            <w:bookmarkEnd w:id="570"/>
          </w:p>
        </w:tc>
        <w:tc>
          <w:tcPr>
            <w:tcW w:w="3686" w:type="dxa"/>
          </w:tcPr>
          <w:p w14:paraId="06413C2B" w14:textId="154DDCB4"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494</w:t>
            </w:r>
            <w:r w:rsidRPr="00286216">
              <w:rPr>
                <w:color w:val="000000" w:themeColor="text1"/>
              </w:rPr>
              <w:fldChar w:fldCharType="end"/>
            </w:r>
            <w:r w:rsidRPr="00286216">
              <w:rPr>
                <w:color w:val="000000" w:themeColor="text1"/>
              </w:rPr>
              <w:t>-Н.д.Шахов С.В. (Реєстр.картка №114)</w:t>
            </w:r>
          </w:p>
          <w:p w14:paraId="0FADF1C6"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Статтю 48 викласти у такій редакції: </w:t>
            </w:r>
          </w:p>
          <w:p w14:paraId="1F20FC98"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«1. Професійна діяльність з організації торгівлі здійснюється за умови отримання ліцензії на провадження професійної діяльності з організації торгівлі (або іншого дозвільного документу, визначеного законодавством про товарні ринки), на підставі якої оператор організованого ринку може здійснювати один або декілька видів  діяльності, передбачених статтями 46 та/або 64 цього Закону. </w:t>
            </w:r>
          </w:p>
          <w:p w14:paraId="4F870785"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Для отримання ліцензії (або іншого дозвільного документу, визначеного законодавством про товарні ринки) на провадження діяльності з організації торгівлі на ОТМ юридична особа, яка має намір отримати таку ліцензію, зобов’язана надати детальні пояснення причин невідповідності пропонованої багатосторонньої системи вимогам, встановленим для багатосторонньої системи регульованого ринку або багатосторонньої системи БТМ, а також опис правил використання дискреційних </w:t>
            </w:r>
            <w:r w:rsidRPr="00286216">
              <w:rPr>
                <w:color w:val="000000" w:themeColor="text1"/>
              </w:rPr>
              <w:lastRenderedPageBreak/>
              <w:t xml:space="preserve">повноважень, передбачених частиною 6 статті 46 цього Закону, а також інші пояснення відповідно до вимог регулятора відповідного ринку.  </w:t>
            </w:r>
          </w:p>
          <w:p w14:paraId="0A384AEB" w14:textId="77777777" w:rsidR="00403AAD" w:rsidRPr="00286216" w:rsidRDefault="00403AAD" w:rsidP="00403AAD">
            <w:pPr>
              <w:pStyle w:val="StyleProp"/>
              <w:spacing w:line="180" w:lineRule="exact"/>
              <w:rPr>
                <w:color w:val="000000" w:themeColor="text1"/>
              </w:rPr>
            </w:pPr>
            <w:r w:rsidRPr="00286216">
              <w:rPr>
                <w:color w:val="000000" w:themeColor="text1"/>
              </w:rPr>
              <w:t xml:space="preserve">Перелік видів діяльності, передбачених статтями 46 або 64 цього Закону, які має право провадити оператор організованих ринків, зазначається в реєстрі професійних учасників ринків капіталу та організованих товарних ринків відповідно до статті 51 цього Закону. </w:t>
            </w:r>
          </w:p>
          <w:p w14:paraId="2C9EC56E" w14:textId="77777777" w:rsidR="00403AAD" w:rsidRPr="003F49CA" w:rsidRDefault="00403AAD" w:rsidP="00403AAD">
            <w:pPr>
              <w:pStyle w:val="StyleProp"/>
              <w:spacing w:line="180" w:lineRule="exact"/>
              <w:rPr>
                <w:color w:val="000000" w:themeColor="text1"/>
                <w:spacing w:val="-2"/>
              </w:rPr>
            </w:pPr>
            <w:r w:rsidRPr="00286216">
              <w:rPr>
                <w:color w:val="000000" w:themeColor="text1"/>
              </w:rPr>
              <w:t xml:space="preserve">Регулятор відповідного ринку визначає </w:t>
            </w:r>
            <w:r w:rsidRPr="003F49CA">
              <w:rPr>
                <w:color w:val="000000" w:themeColor="text1"/>
                <w:spacing w:val="-2"/>
              </w:rPr>
              <w:t>умови отримання іноземними юридичними особами ліцензії (або іншого дозвільного документу, визначеного законодавством про товарні ринки) на провадження професійної діяльності на ринках капіталу з організації торгівлі фінансовими інструментами та професійної діяльності з організації торгівлі продукцією на регульованих товарних ринках.</w:t>
            </w:r>
          </w:p>
          <w:p w14:paraId="6208DF4E"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2. Діяльність з організації торгівлі на регульованих ринках може здійснюватися виключно оператором регульованого ринку в порядку, встановленому цим Законом та законодавством про товарні ринки.</w:t>
            </w:r>
          </w:p>
          <w:p w14:paraId="096BA515"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Діяльність з організації торгівлі на БТМ та діяльність з організації торгівлі на ОТМ може здійснюватися виключно оператором БТМ та оператором ОТМ, відповідно, в порядку, встановленому цим Законом та законодавством про товарні ринки.</w:t>
            </w:r>
          </w:p>
          <w:p w14:paraId="01A8BFC5"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Оператором БТМ може бути виключно:</w:t>
            </w:r>
          </w:p>
          <w:p w14:paraId="41D19154"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1) інвестиційна фірма, що отримала ліцензію на провадження професійної діяльності на ринках капіталу з організації торгівлі фінансовими інструментами, – діяльність з організації торгівлі на БТМ або провадить таку діяльність на інших підставах відповідно до законодавства про товарні ринки;</w:t>
            </w:r>
          </w:p>
          <w:p w14:paraId="1FC1162A"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 xml:space="preserve">2) оператор регульованого ринку, що отримав ліцензію на провадження професійної діяльності на ринках капіталу з організації торгівлі фінансовими інструментами, – діяльність з організації торгівлі на БТМ або провадить таку діяльність на інших підставах відповідно до законодавства про товарні ринки. </w:t>
            </w:r>
          </w:p>
          <w:p w14:paraId="4D7C159C"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 xml:space="preserve">Оператором ОТМ може бути виключно: </w:t>
            </w:r>
          </w:p>
          <w:p w14:paraId="2C55DF09"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 xml:space="preserve">1) інвестиційна фірма, що отримала ліцензію на провадження професійної діяльності на ринках капіталу з організації торгівлі фінансовими інструментами, – діяльність з організації торгівлі на ОТМ або провадить таку діяльність на інших підставах відповідно до законодавства про товарні </w:t>
            </w:r>
            <w:r w:rsidRPr="003F49CA">
              <w:rPr>
                <w:color w:val="000000" w:themeColor="text1"/>
                <w:spacing w:val="-2"/>
              </w:rPr>
              <w:lastRenderedPageBreak/>
              <w:t>ринки;</w:t>
            </w:r>
          </w:p>
          <w:p w14:paraId="755A1C2E" w14:textId="77777777" w:rsidR="00403AAD" w:rsidRPr="003F49CA" w:rsidRDefault="00403AAD" w:rsidP="00403AAD">
            <w:pPr>
              <w:pStyle w:val="StyleProp"/>
              <w:spacing w:line="180" w:lineRule="exact"/>
              <w:rPr>
                <w:color w:val="000000" w:themeColor="text1"/>
                <w:spacing w:val="-2"/>
              </w:rPr>
            </w:pPr>
            <w:r w:rsidRPr="00286216">
              <w:rPr>
                <w:color w:val="000000" w:themeColor="text1"/>
              </w:rPr>
              <w:t xml:space="preserve">2) оператор регульованого ринку, що отримав ліцензію на провадження професійної діяльності на ринках капіталу з організації торгівлі фінансовими інструментами, – діяльність з організації торгівлі на ОТМ або провадить таку </w:t>
            </w:r>
            <w:r w:rsidRPr="003F49CA">
              <w:rPr>
                <w:color w:val="000000" w:themeColor="text1"/>
                <w:spacing w:val="-2"/>
              </w:rPr>
              <w:t>діяльність на інших підставах відповідно до законодавства про товарні ринки.</w:t>
            </w:r>
          </w:p>
          <w:p w14:paraId="1CF80E98"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3. Розмір початкового капіталу оператора організованого ринку повинен відповідати вимогам щодо його розрахунку, встановленим статтею 66 цього Закону, та вимогам щодо його розміру, встановленим Національною комісією з цінних паперів та фондового ринку, та його мінімальний розмір не може становити менше, ніж 20 мільйонів гривень.</w:t>
            </w:r>
          </w:p>
          <w:p w14:paraId="735496B0"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4. Проведення операцій на організованому ринку за деривативними контрактами та правочинами щодо фінансових інструментів, а також за правочинами щодо інших активів, допущених до торгів на організованому ринку, здійснюється за правилами функціонування такого організованого ринку, які реєструються в порядку, встановленому регулятором відповідного ринку (якщо такий порядок визначено).</w:t>
            </w:r>
          </w:p>
          <w:p w14:paraId="0F25C3FE"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5. Правила регульованого ринку розробляються оператором регульованого ринку для кожного з таких ринків та реєструються регулятором відповідного ринку (якщо така вимога встановлена законодавством); при цьому, в частині регульованого грошового ринку - Національною комісією з цінних паперів та фондового ринку після їх затвердження Національним банком України. Національний банк України має право відмовити у затвердженні відповідних правил з підстав та/або у випадках, визначених нормативно-правовими актами Національного банку України.</w:t>
            </w:r>
          </w:p>
          <w:p w14:paraId="36DCAA09"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6. Оператор регульованого ринку зобов’язаний, регулятором на якому є  Національній комісії з цінних паперів та фондового ринку, до подання правил функціонування регульованого ринку на реєстрацію Національній комісії з цінних паперів та фондового ринку укласти договір про здійснення клірингу з особою, яка провадить клірингову діяльність Центрального контрагента.</w:t>
            </w:r>
          </w:p>
          <w:p w14:paraId="4A73EF0A" w14:textId="77777777" w:rsidR="00403AAD" w:rsidRPr="003F49CA" w:rsidRDefault="00403AAD" w:rsidP="00403AAD">
            <w:pPr>
              <w:pStyle w:val="StyleProp"/>
              <w:spacing w:line="180" w:lineRule="exact"/>
              <w:rPr>
                <w:color w:val="000000" w:themeColor="text1"/>
                <w:spacing w:val="-2"/>
              </w:rPr>
            </w:pPr>
            <w:r w:rsidRPr="003F49CA">
              <w:rPr>
                <w:color w:val="000000" w:themeColor="text1"/>
                <w:spacing w:val="-2"/>
              </w:rPr>
              <w:t>Вимоги до зазначеного договору встановлюються Національною комісією з цінних паперів та фондового ринку.</w:t>
            </w:r>
          </w:p>
          <w:p w14:paraId="5CA62F51" w14:textId="77777777" w:rsidR="00403AAD" w:rsidRPr="00286216" w:rsidRDefault="00403AAD" w:rsidP="00403AAD">
            <w:pPr>
              <w:pStyle w:val="StyleProp"/>
              <w:spacing w:line="180" w:lineRule="exact"/>
              <w:rPr>
                <w:color w:val="000000" w:themeColor="text1"/>
              </w:rPr>
            </w:pPr>
            <w:r w:rsidRPr="003F49CA">
              <w:rPr>
                <w:color w:val="000000" w:themeColor="text1"/>
                <w:spacing w:val="-2"/>
              </w:rPr>
              <w:t>До укладення зазначеного</w:t>
            </w:r>
            <w:r w:rsidRPr="00286216">
              <w:rPr>
                <w:color w:val="000000" w:themeColor="text1"/>
              </w:rPr>
              <w:t xml:space="preserve"> договору </w:t>
            </w:r>
            <w:r w:rsidRPr="00286216">
              <w:rPr>
                <w:color w:val="000000" w:themeColor="text1"/>
              </w:rPr>
              <w:lastRenderedPageBreak/>
              <w:t>оператор регульованого ринку не має права провадити діяльність з організації торгівлі на регульованих ринках, якщо інше не встановлено нормативними актами Національної комісії з цінних паперів та фондового ринку.</w:t>
            </w:r>
          </w:p>
          <w:p w14:paraId="6E722AB6" w14:textId="77777777" w:rsidR="00403AAD" w:rsidRPr="00286216" w:rsidRDefault="00403AAD" w:rsidP="00403AAD">
            <w:pPr>
              <w:pStyle w:val="StyleProp"/>
              <w:spacing w:line="180" w:lineRule="exact"/>
              <w:rPr>
                <w:color w:val="000000" w:themeColor="text1"/>
              </w:rPr>
            </w:pPr>
            <w:r w:rsidRPr="00286216">
              <w:rPr>
                <w:color w:val="000000" w:themeColor="text1"/>
              </w:rPr>
              <w:t>7. Правила регульованого ринку, правила БТМ та правила ОТМ розробляються відповідним оператором окремо для кожної з таких багатосторонніх систем та реєструються регулятором відповідного ринку.</w:t>
            </w:r>
          </w:p>
          <w:p w14:paraId="2CDD84B9" w14:textId="77777777" w:rsidR="00403AAD" w:rsidRPr="00286216" w:rsidRDefault="00403AAD" w:rsidP="00403AAD">
            <w:pPr>
              <w:pStyle w:val="StyleProp"/>
              <w:spacing w:line="180" w:lineRule="exact"/>
              <w:rPr>
                <w:color w:val="000000" w:themeColor="text1"/>
              </w:rPr>
            </w:pPr>
            <w:r w:rsidRPr="00286216">
              <w:rPr>
                <w:color w:val="000000" w:themeColor="text1"/>
              </w:rPr>
              <w:t>8. Кандидатури керівників операторів організованих ринків капіталу, регулятором на яких є  Національній комісії з цінних паперів та фондового ринку, погоджуються з Національною комісією з цінних паперів та фондового ринку в установленому нею порядку.</w:t>
            </w:r>
          </w:p>
          <w:p w14:paraId="493989BE" w14:textId="77777777" w:rsidR="00403AAD" w:rsidRPr="00286216" w:rsidRDefault="00403AAD" w:rsidP="00403AAD">
            <w:pPr>
              <w:pStyle w:val="StyleProp"/>
              <w:spacing w:line="180" w:lineRule="exact"/>
              <w:rPr>
                <w:color w:val="000000" w:themeColor="text1"/>
                <w:spacing w:val="-2"/>
              </w:rPr>
            </w:pPr>
            <w:r w:rsidRPr="00286216">
              <w:rPr>
                <w:color w:val="000000" w:themeColor="text1"/>
              </w:rPr>
              <w:t xml:space="preserve">Кандидати на посаду керівника оператора </w:t>
            </w:r>
            <w:r w:rsidRPr="00286216">
              <w:rPr>
                <w:color w:val="000000" w:themeColor="text1"/>
                <w:spacing w:val="-2"/>
              </w:rPr>
              <w:t>організованого ринку капіталу повинні відповідати вимогам, установленим Національною комісією з цінних паперів та фондового ринку, зокрема:</w:t>
            </w:r>
          </w:p>
          <w:p w14:paraId="3F662460"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1) мати стаж роботи на ринках капіталу та організованих товарних ринках не менш як три роки;</w:t>
            </w:r>
          </w:p>
          <w:p w14:paraId="4C8E555C"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2) не повинен бути керівником професійного учасника ринків капіталу та організованих товарних ринків, ліквідованого за рішенням суду або до якого застосовувалася санкція у вигляді анулювання ліцензії на провадження певних видів професійної діяльності на ринках капіталу та організованих товарних ринках за останні три роки;</w:t>
            </w:r>
          </w:p>
          <w:p w14:paraId="0B6D8623"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3) за останній рік провадження кандидатом діяльності на ринках капіталу та організованих товарних ринках відсутні факти анулювання сертифіката на право здійснення дій, пов’язаних з безпосереднім провадженням професійної діяльності на ринках капіталу та організованих товарних ринках.</w:t>
            </w:r>
          </w:p>
          <w:p w14:paraId="03BFACC8" w14:textId="77777777" w:rsidR="00403AAD" w:rsidRPr="00286216" w:rsidRDefault="00403AAD" w:rsidP="00403AAD">
            <w:pPr>
              <w:pStyle w:val="StyleProp"/>
              <w:spacing w:line="180" w:lineRule="exact"/>
              <w:rPr>
                <w:color w:val="000000" w:themeColor="text1"/>
              </w:rPr>
            </w:pPr>
            <w:r w:rsidRPr="00286216">
              <w:rPr>
                <w:color w:val="000000" w:themeColor="text1"/>
                <w:spacing w:val="-2"/>
              </w:rPr>
              <w:t>9. Законодавством про товарні</w:t>
            </w:r>
            <w:r w:rsidRPr="00286216">
              <w:rPr>
                <w:color w:val="000000" w:themeColor="text1"/>
              </w:rPr>
              <w:t xml:space="preserve"> ринки можуть бути визначені інші підстави провадження діяльності операторів організованих ринків, ніж визначені у цьому Законі (у тому числі, і відсутність вимоги щодо отримання ліцензії або іншого дозвільного документу регулятора відповідного ринку на провадження того чи іншого виду професійної діяльності на організованих товарних ринках та/або ринках поставних товарних деривативних контрактів).».</w:t>
            </w:r>
          </w:p>
        </w:tc>
        <w:tc>
          <w:tcPr>
            <w:tcW w:w="1987" w:type="dxa"/>
          </w:tcPr>
          <w:p w14:paraId="6B5433BE" w14:textId="77777777" w:rsidR="00403AAD" w:rsidRPr="00286216" w:rsidRDefault="00403AAD" w:rsidP="00403AAD">
            <w:pPr>
              <w:pStyle w:val="StyleWisnow"/>
              <w:rPr>
                <w:color w:val="000000" w:themeColor="text1"/>
              </w:rPr>
            </w:pPr>
            <w:r w:rsidRPr="00286216">
              <w:rPr>
                <w:color w:val="000000" w:themeColor="text1"/>
              </w:rPr>
              <w:lastRenderedPageBreak/>
              <w:t>Враховано частково</w:t>
            </w:r>
          </w:p>
          <w:p w14:paraId="1851FDFB" w14:textId="77777777" w:rsidR="00403AAD" w:rsidRPr="00286216" w:rsidRDefault="00403AAD" w:rsidP="00403AAD">
            <w:pPr>
              <w:pStyle w:val="StyleWisnow"/>
              <w:spacing w:line="180" w:lineRule="exact"/>
              <w:rPr>
                <w:color w:val="000000" w:themeColor="text1"/>
                <w:spacing w:val="-2"/>
              </w:rPr>
            </w:pPr>
            <w:r w:rsidRPr="00286216">
              <w:rPr>
                <w:color w:val="000000" w:themeColor="text1"/>
                <w:spacing w:val="-2"/>
              </w:rPr>
              <w:t>в редакції, запропонованій до розгляду в другому читанні</w:t>
            </w:r>
          </w:p>
        </w:tc>
        <w:tc>
          <w:tcPr>
            <w:tcW w:w="4818" w:type="dxa"/>
          </w:tcPr>
          <w:p w14:paraId="1C8946B3" w14:textId="21AF9C62" w:rsidR="00403AAD" w:rsidRPr="00286216" w:rsidRDefault="00403AAD" w:rsidP="00403AAD">
            <w:pPr>
              <w:pStyle w:val="StyleZakonu"/>
              <w:rPr>
                <w:color w:val="000000" w:themeColor="text1"/>
              </w:rPr>
            </w:pPr>
            <w:r w:rsidRPr="00286216">
              <w:rPr>
                <w:color w:val="000000" w:themeColor="text1"/>
              </w:rPr>
              <w:t>Стаття 51. Оператори організованих ринків</w:t>
            </w:r>
          </w:p>
        </w:tc>
      </w:tr>
      <w:tr w:rsidR="00403AAD" w:rsidRPr="00286216" w14:paraId="355E52DF" w14:textId="77777777" w:rsidTr="00091AA5">
        <w:tc>
          <w:tcPr>
            <w:tcW w:w="576" w:type="dxa"/>
          </w:tcPr>
          <w:p w14:paraId="5317908A" w14:textId="77777777" w:rsidR="00403AAD" w:rsidRPr="00286216" w:rsidRDefault="00403AAD" w:rsidP="00403AAD">
            <w:pPr>
              <w:pStyle w:val="StyleWisnow"/>
              <w:rPr>
                <w:color w:val="000000" w:themeColor="text1"/>
              </w:rPr>
            </w:pPr>
            <w:bookmarkStart w:id="571" w:name="n867" w:colFirst="0" w:colLast="0"/>
            <w:bookmarkEnd w:id="569"/>
            <w:r w:rsidRPr="00286216">
              <w:rPr>
                <w:color w:val="000000" w:themeColor="text1"/>
              </w:rPr>
              <w:lastRenderedPageBreak/>
              <w:t>867.</w:t>
            </w:r>
          </w:p>
        </w:tc>
        <w:tc>
          <w:tcPr>
            <w:tcW w:w="4818" w:type="dxa"/>
          </w:tcPr>
          <w:p w14:paraId="4A10E72F" w14:textId="77777777" w:rsidR="00403AAD" w:rsidRPr="00286216" w:rsidRDefault="00403AAD" w:rsidP="00403AAD">
            <w:pPr>
              <w:pStyle w:val="StyleZakonu"/>
              <w:rPr>
                <w:color w:val="000000" w:themeColor="text1"/>
              </w:rPr>
            </w:pPr>
            <w:r w:rsidRPr="00286216">
              <w:rPr>
                <w:color w:val="000000" w:themeColor="text1"/>
              </w:rPr>
              <w:t xml:space="preserve">1. Діяльність з організації торгівлі здійснюється за </w:t>
            </w:r>
            <w:r w:rsidRPr="00286216">
              <w:rPr>
                <w:color w:val="000000" w:themeColor="text1"/>
              </w:rPr>
              <w:lastRenderedPageBreak/>
              <w:t>умови отримання ліцензії на провадження професійної діяльності з організації торгівлі, на підставі якої оператор організованого ринку може здійснювати один або декілька видів діяльності, передбачених статтями та/або цього Закону.</w:t>
            </w:r>
          </w:p>
        </w:tc>
        <w:tc>
          <w:tcPr>
            <w:tcW w:w="3686" w:type="dxa"/>
          </w:tcPr>
          <w:p w14:paraId="0581C2E1" w14:textId="36CC87E6" w:rsidR="00403AAD" w:rsidRPr="00286216" w:rsidRDefault="00403AAD" w:rsidP="00403A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495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E1DEC2E" w14:textId="77777777" w:rsidR="00403AAD" w:rsidRPr="00286216" w:rsidRDefault="00403AAD" w:rsidP="00403AAD">
            <w:pPr>
              <w:pStyle w:val="StyleProp"/>
              <w:rPr>
                <w:color w:val="000000" w:themeColor="text1"/>
                <w:szCs w:val="18"/>
              </w:rPr>
            </w:pPr>
            <w:r w:rsidRPr="00286216">
              <w:rPr>
                <w:color w:val="000000" w:themeColor="text1"/>
                <w:szCs w:val="18"/>
              </w:rPr>
              <w:lastRenderedPageBreak/>
              <w:t>У статті 48 нової редакції Закону:</w:t>
            </w:r>
          </w:p>
          <w:p w14:paraId="742497E3" w14:textId="67959BF6" w:rsidR="00403AAD" w:rsidRPr="00286216" w:rsidRDefault="00403AAD" w:rsidP="00403AAD">
            <w:pPr>
              <w:pStyle w:val="StyleProp"/>
              <w:rPr>
                <w:color w:val="000000" w:themeColor="text1"/>
                <w:szCs w:val="18"/>
              </w:rPr>
            </w:pPr>
            <w:r w:rsidRPr="00286216">
              <w:rPr>
                <w:color w:val="000000" w:themeColor="text1"/>
                <w:szCs w:val="18"/>
              </w:rPr>
              <w:t>у частині першій у абзацах першому та другому слова «організації торгівлі» замінити словами «організації обігу»</w:t>
            </w:r>
          </w:p>
        </w:tc>
        <w:tc>
          <w:tcPr>
            <w:tcW w:w="1987" w:type="dxa"/>
          </w:tcPr>
          <w:p w14:paraId="3AE3D088"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50C3CEFE" w14:textId="77777777" w:rsidR="00403AAD" w:rsidRPr="00286216" w:rsidRDefault="00403AAD" w:rsidP="00403AAD">
            <w:pPr>
              <w:pStyle w:val="StyleWisnow"/>
              <w:spacing w:line="180" w:lineRule="exact"/>
              <w:rPr>
                <w:color w:val="000000" w:themeColor="text1"/>
              </w:rPr>
            </w:pPr>
            <w:r w:rsidRPr="00286216">
              <w:rPr>
                <w:color w:val="000000" w:themeColor="text1"/>
              </w:rPr>
              <w:t xml:space="preserve">обіг - це процес, а не </w:t>
            </w:r>
            <w:r w:rsidRPr="00286216">
              <w:rPr>
                <w:color w:val="000000" w:themeColor="text1"/>
              </w:rPr>
              <w:lastRenderedPageBreak/>
              <w:t>вид професійної діяльності</w:t>
            </w:r>
          </w:p>
        </w:tc>
        <w:tc>
          <w:tcPr>
            <w:tcW w:w="4818" w:type="dxa"/>
          </w:tcPr>
          <w:p w14:paraId="02E8BB19" w14:textId="77777777" w:rsidR="00403AAD" w:rsidRPr="00286216" w:rsidRDefault="00403AAD" w:rsidP="00403AAD">
            <w:pPr>
              <w:pStyle w:val="StyleZakonu"/>
              <w:rPr>
                <w:color w:val="000000" w:themeColor="text1"/>
              </w:rPr>
            </w:pPr>
          </w:p>
        </w:tc>
      </w:tr>
      <w:bookmarkEnd w:id="571"/>
      <w:tr w:rsidR="00403AAD" w:rsidRPr="00286216" w14:paraId="4F30467A" w14:textId="77777777" w:rsidTr="00091AA5">
        <w:tc>
          <w:tcPr>
            <w:tcW w:w="576" w:type="dxa"/>
          </w:tcPr>
          <w:p w14:paraId="7E9E15F8" w14:textId="77777777" w:rsidR="00403AAD" w:rsidRPr="00286216" w:rsidRDefault="00403AAD" w:rsidP="00403AAD">
            <w:pPr>
              <w:pStyle w:val="StyleWisnow"/>
              <w:rPr>
                <w:color w:val="000000" w:themeColor="text1"/>
              </w:rPr>
            </w:pPr>
          </w:p>
        </w:tc>
        <w:tc>
          <w:tcPr>
            <w:tcW w:w="4818" w:type="dxa"/>
          </w:tcPr>
          <w:p w14:paraId="11BDBD96" w14:textId="77777777" w:rsidR="00403AAD" w:rsidRPr="00286216" w:rsidRDefault="00403AAD" w:rsidP="00403AAD">
            <w:pPr>
              <w:pStyle w:val="StyleZakonu"/>
              <w:rPr>
                <w:color w:val="000000" w:themeColor="text1"/>
              </w:rPr>
            </w:pPr>
          </w:p>
        </w:tc>
        <w:tc>
          <w:tcPr>
            <w:tcW w:w="3686" w:type="dxa"/>
          </w:tcPr>
          <w:p w14:paraId="371EEBF3" w14:textId="260B9540"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496</w:t>
            </w:r>
            <w:r w:rsidRPr="00286216">
              <w:rPr>
                <w:color w:val="000000" w:themeColor="text1"/>
                <w:spacing w:val="-10"/>
              </w:rPr>
              <w:fldChar w:fldCharType="end"/>
            </w:r>
            <w:r w:rsidRPr="00286216">
              <w:rPr>
                <w:color w:val="000000" w:themeColor="text1"/>
                <w:spacing w:val="-10"/>
              </w:rPr>
              <w:t>-Н.д.Гетманцев Д.О.(Реєстр.картка №245)</w:t>
            </w:r>
          </w:p>
          <w:p w14:paraId="384E958E" w14:textId="77777777" w:rsidR="00403AAD" w:rsidRPr="00286216" w:rsidRDefault="00403AAD" w:rsidP="00403AAD">
            <w:pPr>
              <w:pStyle w:val="StyleProp"/>
              <w:spacing w:line="180" w:lineRule="exact"/>
              <w:rPr>
                <w:color w:val="000000" w:themeColor="text1"/>
              </w:rPr>
            </w:pPr>
            <w:r w:rsidRPr="00286216">
              <w:rPr>
                <w:color w:val="000000" w:themeColor="text1"/>
              </w:rPr>
              <w:t>У статті 48 абзац перший частини першої викласти в такій редакції:</w:t>
            </w:r>
          </w:p>
          <w:p w14:paraId="39CC3EFB" w14:textId="77777777" w:rsidR="00403AAD" w:rsidRPr="00286216" w:rsidRDefault="00403AAD" w:rsidP="00403AAD">
            <w:pPr>
              <w:pStyle w:val="StyleProp"/>
              <w:spacing w:line="180" w:lineRule="exact"/>
              <w:rPr>
                <w:color w:val="000000" w:themeColor="text1"/>
              </w:rPr>
            </w:pPr>
            <w:r w:rsidRPr="00286216">
              <w:rPr>
                <w:color w:val="000000" w:themeColor="text1"/>
              </w:rPr>
              <w:t>«1. Діяльність з організації торгівлі на організованих ринках здійснюється суб’єктом господарювання за умови отримання ліцензії на провадження професійної діяльності з організації торгівлі фінансовими інструментами чи ліцензії на провадження діяльності з організації торгівлі продукцію на регульованому товарному ринку, на підставі якої такий суб’єкт господарювання має право здійснювати, відповідно, один або декілька видів  діяльності, передбачених статтею 46 цього Закону, або діяльність, передбачену статтю 64 цього Закону.»</w:t>
            </w:r>
          </w:p>
        </w:tc>
        <w:tc>
          <w:tcPr>
            <w:tcW w:w="1987" w:type="dxa"/>
          </w:tcPr>
          <w:p w14:paraId="6B98E737"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63EB267C" w14:textId="02353EC5" w:rsidR="00403AAD" w:rsidRPr="00286216" w:rsidRDefault="00403AAD" w:rsidP="00403AAD">
            <w:pPr>
              <w:pStyle w:val="StyleZakonu"/>
              <w:rPr>
                <w:color w:val="000000" w:themeColor="text1"/>
              </w:rPr>
            </w:pPr>
            <w:r w:rsidRPr="00286216">
              <w:rPr>
                <w:color w:val="000000" w:themeColor="text1"/>
              </w:rPr>
              <w:t>1. Професійна діяльність з організації торгівлі на організованих ринках здійснюється суб’єктом господарювання за умови отримання ліцензії на провадження відповідного виду діяльності в межах  професійної діяльності з організації торгівлі,  передбаченого цим Законом та/або Законом України "Про товарні біржі".</w:t>
            </w:r>
          </w:p>
        </w:tc>
      </w:tr>
      <w:tr w:rsidR="00403AAD" w:rsidRPr="00286216" w14:paraId="26AC3DBB" w14:textId="77777777" w:rsidTr="00091AA5">
        <w:tc>
          <w:tcPr>
            <w:tcW w:w="576" w:type="dxa"/>
          </w:tcPr>
          <w:p w14:paraId="0A0C9196" w14:textId="77777777" w:rsidR="00403AAD" w:rsidRPr="00286216" w:rsidRDefault="00403AAD" w:rsidP="00403AAD">
            <w:pPr>
              <w:pStyle w:val="StyleWisnow"/>
              <w:rPr>
                <w:color w:val="000000" w:themeColor="text1"/>
              </w:rPr>
            </w:pPr>
            <w:bookmarkStart w:id="572" w:name="n868" w:colFirst="0" w:colLast="0"/>
            <w:r w:rsidRPr="00286216">
              <w:rPr>
                <w:color w:val="000000" w:themeColor="text1"/>
              </w:rPr>
              <w:t>868.</w:t>
            </w:r>
          </w:p>
        </w:tc>
        <w:tc>
          <w:tcPr>
            <w:tcW w:w="4818" w:type="dxa"/>
          </w:tcPr>
          <w:p w14:paraId="1F39E41D" w14:textId="77777777" w:rsidR="00403AAD" w:rsidRPr="00286216" w:rsidRDefault="00403AAD" w:rsidP="00403AAD">
            <w:pPr>
              <w:pStyle w:val="StyleZakonu"/>
              <w:rPr>
                <w:color w:val="000000" w:themeColor="text1"/>
              </w:rPr>
            </w:pPr>
            <w:r w:rsidRPr="00286216">
              <w:rPr>
                <w:color w:val="000000" w:themeColor="text1"/>
              </w:rPr>
              <w:t>Для отримання ліцензії на провадження діяльності з організації торгівлі на ОТМ юридична особа, яка має намір отримати таку ліцензію, зобов’язана надати детальні пояснення причин невідповідності пропонованої багатосторонньої системи вимогам, встановленим для багатосторонньої системи регульованого ринку або багатосторонньої системи БТМ, а також опис правил використання дискреційних повноважень, передбачених частиною 6 статті 46 цього Закону, а також інші пояснення відповідно до вимог Національної комісії з цінних паперів та фондового ринку.</w:t>
            </w:r>
          </w:p>
        </w:tc>
        <w:tc>
          <w:tcPr>
            <w:tcW w:w="3686" w:type="dxa"/>
          </w:tcPr>
          <w:p w14:paraId="0AF0DDFE" w14:textId="5903087B"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497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9507E30" w14:textId="558381CA" w:rsidR="00403AAD" w:rsidRPr="00286216" w:rsidRDefault="00403AAD" w:rsidP="00403AAD">
            <w:pPr>
              <w:pStyle w:val="StyleProp"/>
              <w:rPr>
                <w:color w:val="000000" w:themeColor="text1"/>
                <w:szCs w:val="18"/>
              </w:rPr>
            </w:pPr>
            <w:r w:rsidRPr="00286216">
              <w:rPr>
                <w:color w:val="000000" w:themeColor="text1"/>
                <w:szCs w:val="18"/>
              </w:rPr>
              <w:t>У статті 48 нової редакції Закону у частині першій у абзацах першому та другому слова «організації торгівлі» замінити словами «організації обігу»</w:t>
            </w:r>
          </w:p>
        </w:tc>
        <w:tc>
          <w:tcPr>
            <w:tcW w:w="1987" w:type="dxa"/>
          </w:tcPr>
          <w:p w14:paraId="1005AF30"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451E7D4F"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3DBA145E" w14:textId="08A8AF1C" w:rsidR="00403AAD" w:rsidRPr="00286216" w:rsidRDefault="00403AAD" w:rsidP="00403AAD">
            <w:pPr>
              <w:pStyle w:val="StyleZakonu"/>
              <w:rPr>
                <w:color w:val="000000" w:themeColor="text1"/>
              </w:rPr>
            </w:pPr>
            <w:r w:rsidRPr="00286216">
              <w:rPr>
                <w:color w:val="000000" w:themeColor="text1"/>
              </w:rPr>
              <w:t>Для отримання ліцензії на провадження відповідного виду діяльності з організації торгівлі на ОТМ юридична особа, яка має намір отримати таку ліцензію, зобов’язана надати детальні пояснення причин невідповідності пропонованої багатосторонньої системи вимогам, встановленим для багатосторонньої системи регульованого ринку або багатосторонньої системи БТМ, проект дискреційних правил функціонування організованого ринку дискреційних повноважень, передбачених частиною шостою статті 49 цього Закону, а також інші пояснення відповідно до вимог Національної комісії з цінних паперів та фондового ринку.</w:t>
            </w:r>
          </w:p>
        </w:tc>
      </w:tr>
      <w:tr w:rsidR="00403AAD" w:rsidRPr="00286216" w14:paraId="7BDC5708" w14:textId="77777777" w:rsidTr="00091AA5">
        <w:tc>
          <w:tcPr>
            <w:tcW w:w="576" w:type="dxa"/>
          </w:tcPr>
          <w:p w14:paraId="38C8F1C5" w14:textId="77777777" w:rsidR="00403AAD" w:rsidRPr="00286216" w:rsidRDefault="00403AAD" w:rsidP="00403AAD">
            <w:pPr>
              <w:pStyle w:val="StyleWisnow"/>
              <w:rPr>
                <w:color w:val="000000" w:themeColor="text1"/>
              </w:rPr>
            </w:pPr>
            <w:bookmarkStart w:id="573" w:name="n869" w:colFirst="0" w:colLast="0"/>
            <w:bookmarkEnd w:id="572"/>
            <w:r w:rsidRPr="00286216">
              <w:rPr>
                <w:color w:val="000000" w:themeColor="text1"/>
              </w:rPr>
              <w:t>869.</w:t>
            </w:r>
          </w:p>
        </w:tc>
        <w:tc>
          <w:tcPr>
            <w:tcW w:w="4818" w:type="dxa"/>
          </w:tcPr>
          <w:p w14:paraId="0FEFED4F" w14:textId="77777777" w:rsidR="00403AAD" w:rsidRPr="00286216" w:rsidRDefault="00403AAD" w:rsidP="00403AAD">
            <w:pPr>
              <w:pStyle w:val="StyleZakonu"/>
              <w:rPr>
                <w:color w:val="000000" w:themeColor="text1"/>
              </w:rPr>
            </w:pPr>
            <w:r w:rsidRPr="00286216">
              <w:rPr>
                <w:color w:val="000000" w:themeColor="text1"/>
              </w:rPr>
              <w:t>Перелік видів діяльності, передбачених статтями 46 або 64 цього Закону, які має право провадити оператор організованих ринків, зазначається в реєстрі професійних учасників ринків капіталу та організованих товарних ринків.</w:t>
            </w:r>
          </w:p>
        </w:tc>
        <w:tc>
          <w:tcPr>
            <w:tcW w:w="3686" w:type="dxa"/>
          </w:tcPr>
          <w:p w14:paraId="2AE02F9A" w14:textId="35967266"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58EE3A2" w14:textId="77777777" w:rsidR="00403AAD" w:rsidRPr="00286216" w:rsidRDefault="00403AAD" w:rsidP="00403AAD">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026FA1E8" w14:textId="064362A0" w:rsidR="00403AAD" w:rsidRPr="00286216" w:rsidRDefault="00403AAD" w:rsidP="00403AAD">
            <w:pPr>
              <w:pStyle w:val="StyleProp"/>
              <w:rPr>
                <w:color w:val="000000" w:themeColor="text1"/>
              </w:rPr>
            </w:pPr>
            <w:r w:rsidRPr="00286216">
              <w:rPr>
                <w:color w:val="000000" w:themeColor="text1"/>
              </w:rPr>
              <w:t>В абзаці 3 частини 1 статті 48 слова "статтями 46 або 64 цього Закону" замінити словами "статею 46  цього Закону або статею 3 Закону України "Про товарні біржі".</w:t>
            </w:r>
          </w:p>
        </w:tc>
        <w:tc>
          <w:tcPr>
            <w:tcW w:w="1987" w:type="dxa"/>
          </w:tcPr>
          <w:p w14:paraId="0FA2E939" w14:textId="0C762762"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7D9DC10" w14:textId="56648713" w:rsidR="00403AAD" w:rsidRPr="00286216" w:rsidRDefault="00403AAD" w:rsidP="00403AAD">
            <w:pPr>
              <w:pStyle w:val="StyleZakonu"/>
              <w:rPr>
                <w:color w:val="000000" w:themeColor="text1"/>
              </w:rPr>
            </w:pPr>
            <w:r w:rsidRPr="00286216">
              <w:rPr>
                <w:color w:val="000000" w:themeColor="text1"/>
              </w:rPr>
              <w:t>Перелік видів діяльності, передбачених статтею 49 цього Закону або статтею 3 Закону України "Про товарні біржі", які має право провадити оператор організованих ринків, зазначається в реєстрі професійних учасників ринків капіталу та організованих товарних ринків.</w:t>
            </w:r>
          </w:p>
        </w:tc>
      </w:tr>
      <w:tr w:rsidR="00403AAD" w:rsidRPr="00286216" w14:paraId="65051CBA" w14:textId="77777777" w:rsidTr="00091AA5">
        <w:tc>
          <w:tcPr>
            <w:tcW w:w="576" w:type="dxa"/>
          </w:tcPr>
          <w:p w14:paraId="4F03CC9C" w14:textId="77777777" w:rsidR="00403AAD" w:rsidRPr="00286216" w:rsidRDefault="00403AAD" w:rsidP="00403AAD">
            <w:pPr>
              <w:pStyle w:val="StyleWisnow"/>
              <w:rPr>
                <w:color w:val="000000" w:themeColor="text1"/>
              </w:rPr>
            </w:pPr>
            <w:bookmarkStart w:id="574" w:name="n870" w:colFirst="0" w:colLast="0"/>
            <w:bookmarkEnd w:id="573"/>
            <w:r w:rsidRPr="00286216">
              <w:rPr>
                <w:color w:val="000000" w:themeColor="text1"/>
              </w:rPr>
              <w:t>870.</w:t>
            </w:r>
          </w:p>
        </w:tc>
        <w:tc>
          <w:tcPr>
            <w:tcW w:w="4818" w:type="dxa"/>
          </w:tcPr>
          <w:p w14:paraId="5FCD5C81" w14:textId="77777777" w:rsidR="00403AAD" w:rsidRPr="00286216" w:rsidRDefault="00403AAD" w:rsidP="00403AAD">
            <w:pPr>
              <w:pStyle w:val="StyleZakonu"/>
              <w:rPr>
                <w:color w:val="000000" w:themeColor="text1"/>
              </w:rPr>
            </w:pPr>
            <w:r w:rsidRPr="00286216">
              <w:rPr>
                <w:color w:val="000000" w:themeColor="text1"/>
              </w:rPr>
              <w:t xml:space="preserve">Національна комісія з цінних паперів та фондового ринку визначає умови отримання іноземними юридичними особами ліцензії на провадження професійної діяльності на ринках капіталу з організації торгівлі фінансовими інструментами та професійної діяльності з організації торгівлі </w:t>
            </w:r>
            <w:r w:rsidRPr="00286216">
              <w:rPr>
                <w:color w:val="000000" w:themeColor="text1"/>
              </w:rPr>
              <w:lastRenderedPageBreak/>
              <w:t>продукцією на регульованих товарних ринках.</w:t>
            </w:r>
          </w:p>
        </w:tc>
        <w:tc>
          <w:tcPr>
            <w:tcW w:w="3686" w:type="dxa"/>
          </w:tcPr>
          <w:p w14:paraId="6462A6EA" w14:textId="5574F696"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499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7AA47FC" w14:textId="77777777" w:rsidR="00403AAD" w:rsidRPr="00286216" w:rsidRDefault="00403AAD" w:rsidP="00403AAD">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1A985462" w14:textId="38D2BA5A" w:rsidR="00403AAD" w:rsidRPr="00286216" w:rsidRDefault="00403AAD" w:rsidP="00403AAD">
            <w:pPr>
              <w:pStyle w:val="StyleProp"/>
              <w:rPr>
                <w:color w:val="000000" w:themeColor="text1"/>
              </w:rPr>
            </w:pPr>
            <w:r w:rsidRPr="00286216">
              <w:rPr>
                <w:color w:val="000000" w:themeColor="text1"/>
              </w:rPr>
              <w:t>в абзаці четвертому частини 1 статті 48 слова "торгівлі продукцією на регульованих товарних ринках" замінити словами "торгівлі продукцією на товарних біржах"</w:t>
            </w:r>
          </w:p>
          <w:p w14:paraId="0743EDA2" w14:textId="77777777" w:rsidR="00403AAD" w:rsidRPr="00286216" w:rsidRDefault="00403AAD" w:rsidP="00403AAD">
            <w:pPr>
              <w:pStyle w:val="StyleProp"/>
              <w:rPr>
                <w:color w:val="000000" w:themeColor="text1"/>
              </w:rPr>
            </w:pPr>
          </w:p>
          <w:p w14:paraId="60E9F22A" w14:textId="3280F10D" w:rsidR="00403AAD" w:rsidRPr="00286216" w:rsidRDefault="00403AAD" w:rsidP="00403A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500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9FC28CD"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абзаці четвертому частині першій статті 48 слова «торгівлі фінансовими інструментами» замінити словами «обігу фінансових інструментів».</w:t>
            </w:r>
          </w:p>
          <w:p w14:paraId="29B5F766" w14:textId="48906206"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501</w:t>
            </w:r>
            <w:r w:rsidRPr="00286216">
              <w:rPr>
                <w:color w:val="000000" w:themeColor="text1"/>
                <w:spacing w:val="-10"/>
              </w:rPr>
              <w:fldChar w:fldCharType="end"/>
            </w:r>
            <w:r w:rsidRPr="00286216">
              <w:rPr>
                <w:color w:val="000000" w:themeColor="text1"/>
                <w:spacing w:val="-10"/>
              </w:rPr>
              <w:t>-Н.д.Гетманцев Д.О.(Реєстр.картка №245)</w:t>
            </w:r>
          </w:p>
          <w:p w14:paraId="44E0BD00" w14:textId="77777777" w:rsidR="00403AAD" w:rsidRPr="00286216" w:rsidRDefault="00403AAD" w:rsidP="00403AAD">
            <w:pPr>
              <w:pStyle w:val="StyleProp"/>
              <w:spacing w:line="180" w:lineRule="exact"/>
              <w:rPr>
                <w:color w:val="000000" w:themeColor="text1"/>
                <w:szCs w:val="18"/>
              </w:rPr>
            </w:pPr>
            <w:r w:rsidRPr="00286216">
              <w:rPr>
                <w:color w:val="000000" w:themeColor="text1"/>
                <w:spacing w:val="-4"/>
              </w:rPr>
              <w:t>У статті 48 останній абзац частини 1 виключити.</w:t>
            </w:r>
          </w:p>
        </w:tc>
        <w:tc>
          <w:tcPr>
            <w:tcW w:w="1987" w:type="dxa"/>
          </w:tcPr>
          <w:p w14:paraId="7CBF84A2"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Враховано</w:t>
            </w:r>
          </w:p>
          <w:p w14:paraId="5A5040AC" w14:textId="77777777" w:rsidR="00403AAD" w:rsidRPr="00286216" w:rsidRDefault="00403AAD" w:rsidP="00403AAD">
            <w:pPr>
              <w:pStyle w:val="StyleWisnow"/>
              <w:spacing w:line="180" w:lineRule="exact"/>
              <w:rPr>
                <w:color w:val="000000" w:themeColor="text1"/>
              </w:rPr>
            </w:pPr>
          </w:p>
          <w:p w14:paraId="53CDF035" w14:textId="77777777" w:rsidR="00403AAD" w:rsidRPr="00286216" w:rsidRDefault="00403AAD" w:rsidP="00403AAD">
            <w:pPr>
              <w:pStyle w:val="StyleWisnow"/>
              <w:spacing w:line="180" w:lineRule="exact"/>
              <w:rPr>
                <w:color w:val="000000" w:themeColor="text1"/>
              </w:rPr>
            </w:pPr>
          </w:p>
          <w:p w14:paraId="1E850669" w14:textId="77777777" w:rsidR="00403AAD" w:rsidRPr="00286216" w:rsidRDefault="00403AAD" w:rsidP="00403AAD">
            <w:pPr>
              <w:pStyle w:val="StyleWisnow"/>
              <w:spacing w:line="180" w:lineRule="exact"/>
              <w:rPr>
                <w:color w:val="000000" w:themeColor="text1"/>
              </w:rPr>
            </w:pPr>
          </w:p>
          <w:p w14:paraId="7053A5DC" w14:textId="77777777" w:rsidR="00403AAD" w:rsidRPr="00286216" w:rsidRDefault="00403AAD" w:rsidP="00403AAD">
            <w:pPr>
              <w:pStyle w:val="StyleWisnow"/>
              <w:spacing w:line="180" w:lineRule="exact"/>
              <w:rPr>
                <w:color w:val="000000" w:themeColor="text1"/>
              </w:rPr>
            </w:pPr>
          </w:p>
          <w:p w14:paraId="540EE035" w14:textId="77777777" w:rsidR="00403AAD" w:rsidRPr="00286216" w:rsidRDefault="00403AAD" w:rsidP="00403AAD">
            <w:pPr>
              <w:pStyle w:val="StyleWisnow"/>
              <w:spacing w:line="180" w:lineRule="exact"/>
              <w:rPr>
                <w:color w:val="000000" w:themeColor="text1"/>
              </w:rPr>
            </w:pPr>
          </w:p>
          <w:p w14:paraId="59BC31AF" w14:textId="77777777" w:rsidR="00403AAD" w:rsidRPr="00286216" w:rsidRDefault="00403AAD" w:rsidP="00403AAD">
            <w:pPr>
              <w:pStyle w:val="StyleWisnow"/>
              <w:spacing w:line="180" w:lineRule="exact"/>
              <w:rPr>
                <w:color w:val="000000" w:themeColor="text1"/>
              </w:rPr>
            </w:pPr>
          </w:p>
          <w:p w14:paraId="23CAFE03" w14:textId="77777777" w:rsidR="00403AAD" w:rsidRPr="00286216" w:rsidRDefault="00403AAD" w:rsidP="00403AAD">
            <w:pPr>
              <w:pStyle w:val="StyleWisnow"/>
              <w:spacing w:line="180" w:lineRule="exact"/>
              <w:rPr>
                <w:color w:val="000000" w:themeColor="text1"/>
              </w:rPr>
            </w:pPr>
          </w:p>
          <w:p w14:paraId="3D7F8119"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5F8864E9"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p w14:paraId="0E942DC4" w14:textId="77777777" w:rsidR="00403AAD" w:rsidRPr="00286216" w:rsidRDefault="00403AAD" w:rsidP="00403AAD">
            <w:pPr>
              <w:pStyle w:val="StyleWisnow"/>
              <w:spacing w:line="180" w:lineRule="exact"/>
              <w:rPr>
                <w:color w:val="000000" w:themeColor="text1"/>
              </w:rPr>
            </w:pPr>
          </w:p>
          <w:p w14:paraId="65AC79FD" w14:textId="77777777" w:rsidR="00403AAD" w:rsidRPr="00286216" w:rsidRDefault="00403AAD" w:rsidP="00403AAD">
            <w:pPr>
              <w:pStyle w:val="StyleWisnow"/>
              <w:spacing w:line="180" w:lineRule="exact"/>
              <w:rPr>
                <w:color w:val="000000" w:themeColor="text1"/>
                <w:spacing w:val="-4"/>
              </w:rPr>
            </w:pPr>
            <w:r w:rsidRPr="00286216">
              <w:rPr>
                <w:color w:val="000000" w:themeColor="text1"/>
                <w:spacing w:val="-4"/>
              </w:rPr>
              <w:t>Відхилено</w:t>
            </w:r>
          </w:p>
          <w:p w14:paraId="24D0CB2F" w14:textId="77777777" w:rsidR="00403AAD" w:rsidRPr="00286216" w:rsidRDefault="00403AAD" w:rsidP="00403AAD">
            <w:pPr>
              <w:pStyle w:val="StyleWisnow"/>
              <w:spacing w:line="180" w:lineRule="exact"/>
              <w:rPr>
                <w:color w:val="000000" w:themeColor="text1"/>
                <w:spacing w:val="-4"/>
              </w:rPr>
            </w:pPr>
            <w:r w:rsidRPr="00286216">
              <w:rPr>
                <w:color w:val="000000" w:themeColor="text1"/>
                <w:spacing w:val="-4"/>
              </w:rPr>
              <w:t>відсутність даної норми унеможливить регуляцию НКЦПФР іноземних осіб, які відповідно до  Угоди про асоціацію з ЄС мають право проводити діяльність в Україні</w:t>
            </w:r>
          </w:p>
        </w:tc>
        <w:tc>
          <w:tcPr>
            <w:tcW w:w="4818" w:type="dxa"/>
          </w:tcPr>
          <w:p w14:paraId="790F8F9B" w14:textId="0ACAC939" w:rsidR="00403AAD" w:rsidRPr="00286216" w:rsidRDefault="00403AAD" w:rsidP="00403AAD">
            <w:pPr>
              <w:pStyle w:val="StyleZakonu"/>
              <w:rPr>
                <w:color w:val="000000" w:themeColor="text1"/>
              </w:rPr>
            </w:pPr>
            <w:r w:rsidRPr="00286216">
              <w:rPr>
                <w:color w:val="000000" w:themeColor="text1"/>
              </w:rPr>
              <w:lastRenderedPageBreak/>
              <w:t xml:space="preserve">Національна комісія з цінних паперів та фондового ринку визначає умови отримання іноземними юридичними особами ліцензії на провадження відповідного виду діяльності в межах професійної діяльності на ринках капіталу з організації торгівлі фінансовими інструментами та професійної діяльності з організації торгівлі продукцією на </w:t>
            </w:r>
            <w:r w:rsidRPr="00286216">
              <w:rPr>
                <w:color w:val="000000" w:themeColor="text1"/>
              </w:rPr>
              <w:lastRenderedPageBreak/>
              <w:t>товарних біржах.</w:t>
            </w:r>
          </w:p>
        </w:tc>
      </w:tr>
      <w:tr w:rsidR="00403AAD" w:rsidRPr="00286216" w14:paraId="496CF8E2" w14:textId="77777777" w:rsidTr="00091AA5">
        <w:tc>
          <w:tcPr>
            <w:tcW w:w="576" w:type="dxa"/>
          </w:tcPr>
          <w:p w14:paraId="102BE94F" w14:textId="77777777" w:rsidR="00403AAD" w:rsidRPr="00286216" w:rsidRDefault="00403AAD" w:rsidP="00403AAD">
            <w:pPr>
              <w:pStyle w:val="StyleWisnow"/>
              <w:rPr>
                <w:color w:val="000000" w:themeColor="text1"/>
              </w:rPr>
            </w:pPr>
            <w:bookmarkStart w:id="575" w:name="n871" w:colFirst="0" w:colLast="0"/>
            <w:bookmarkEnd w:id="574"/>
            <w:r w:rsidRPr="00286216">
              <w:rPr>
                <w:color w:val="000000" w:themeColor="text1"/>
              </w:rPr>
              <w:lastRenderedPageBreak/>
              <w:t>871.</w:t>
            </w:r>
          </w:p>
        </w:tc>
        <w:tc>
          <w:tcPr>
            <w:tcW w:w="4818" w:type="dxa"/>
          </w:tcPr>
          <w:p w14:paraId="7FA23816" w14:textId="77777777" w:rsidR="00403AAD" w:rsidRPr="00286216" w:rsidRDefault="00403AAD" w:rsidP="00403AAD">
            <w:pPr>
              <w:pStyle w:val="StyleZakonu"/>
              <w:rPr>
                <w:color w:val="000000" w:themeColor="text1"/>
              </w:rPr>
            </w:pPr>
            <w:r w:rsidRPr="00286216">
              <w:rPr>
                <w:color w:val="000000" w:themeColor="text1"/>
              </w:rPr>
              <w:t>2. Діяльність з організації торгівлі на регульованих ринках може здійснюватися виключно оператором регульованого ринку в порядку, встановленому цим Законом та нормативно-правовими актами Національної комісії з цінних паперів та фондового ринку.</w:t>
            </w:r>
          </w:p>
        </w:tc>
        <w:tc>
          <w:tcPr>
            <w:tcW w:w="3686" w:type="dxa"/>
          </w:tcPr>
          <w:p w14:paraId="0D4EB3A2" w14:textId="29AD9EB4"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502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F4E0946"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статті 48 нової редакції Закону:</w:t>
            </w:r>
          </w:p>
          <w:p w14:paraId="0FC6777B"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частину другу викласти в такій редакції:</w:t>
            </w:r>
          </w:p>
          <w:p w14:paraId="4BE2743D"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«Діяльність з організації обігу (торгівлі) на регульованих ринках може здійснюватися виключно оператором регульованого ринку в порядку, встановленому цим Законом та нормативно-правовими актами Національної комісії з цінних паперів та фондового ринку.</w:t>
            </w:r>
          </w:p>
          <w:p w14:paraId="499217BC"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Діяльність з організації обігу на БТМ та діяльність з організації  обігу на ОТМ може здійснюватися виключно оператором БТМ та оператором ОТМ, відповідно, в порядку, встановленому цим Законом та нормативно-правовими актами Національної комісії з цінних паперів та фондового ринку.</w:t>
            </w:r>
          </w:p>
          <w:p w14:paraId="04A55D6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Оператором БТМ може бути виключно:</w:t>
            </w:r>
          </w:p>
          <w:p w14:paraId="56FC93DA"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1) інвестиційна фірма, що отримала ліцензію на провадження професійної діяльності на ринках капіталу з організації обігу фінансових інструментів, – діяльність з організації  обігу на БТМ;</w:t>
            </w:r>
          </w:p>
          <w:p w14:paraId="32C0F9D3"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 xml:space="preserve">2) оператор регульованого ринку, що отримав ліцензію на провадження професійної діяльності на ринках капіталу з організації  обігу фінансових інструментів, – діяльність з організації  обігу на БТМ. </w:t>
            </w:r>
          </w:p>
          <w:p w14:paraId="303CCF26"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 xml:space="preserve">Оператором ОТМ може бути виключно: </w:t>
            </w:r>
          </w:p>
          <w:p w14:paraId="27E3A0D3"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1) інвестиційна фірма, що отримала ліцензію на провадження професійної діяльності на ринках капіталу з організації  обігу фінансових інструментів, – діяльність з організації  обігу на ОТМ;</w:t>
            </w:r>
          </w:p>
          <w:p w14:paraId="629D8515"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2) оператор регульованого ринку, що отримав ліцензію на провадження професійної діяльності на ринках капіталу з організації  обігу фінансових інструментів, – діяльність з організації  обігу на ОТМ.»</w:t>
            </w:r>
          </w:p>
        </w:tc>
        <w:tc>
          <w:tcPr>
            <w:tcW w:w="1987" w:type="dxa"/>
          </w:tcPr>
          <w:p w14:paraId="50076CF1"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47EB2C1F"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p w14:paraId="2408818C" w14:textId="77777777" w:rsidR="00403AAD" w:rsidRPr="00286216" w:rsidRDefault="00403AAD" w:rsidP="00403AAD">
            <w:pPr>
              <w:pStyle w:val="StyleWisnow"/>
              <w:rPr>
                <w:color w:val="000000" w:themeColor="text1"/>
              </w:rPr>
            </w:pPr>
          </w:p>
        </w:tc>
        <w:tc>
          <w:tcPr>
            <w:tcW w:w="4818" w:type="dxa"/>
          </w:tcPr>
          <w:p w14:paraId="755E9AFE" w14:textId="4142C0BC" w:rsidR="00403AAD" w:rsidRPr="00286216" w:rsidRDefault="00403AAD" w:rsidP="00403AAD">
            <w:pPr>
              <w:pStyle w:val="StyleZakonu"/>
              <w:rPr>
                <w:color w:val="000000" w:themeColor="text1"/>
              </w:rPr>
            </w:pPr>
            <w:r w:rsidRPr="00286216">
              <w:rPr>
                <w:color w:val="000000" w:themeColor="text1"/>
              </w:rPr>
              <w:t>2. Діяльність з організації торгівлі на регульованих ринках може здійснюватися виключно оператором регульованого ринку в порядку, встановленому цим Законом та нормативно-правовими актами Національної комісії з цінних паперів та фондового ринку.</w:t>
            </w:r>
          </w:p>
        </w:tc>
      </w:tr>
      <w:bookmarkEnd w:id="575"/>
      <w:tr w:rsidR="00403AAD" w:rsidRPr="00286216" w14:paraId="6C1C302B" w14:textId="77777777" w:rsidTr="00091AA5">
        <w:tc>
          <w:tcPr>
            <w:tcW w:w="576" w:type="dxa"/>
          </w:tcPr>
          <w:p w14:paraId="7494E49E" w14:textId="77777777" w:rsidR="00403AAD" w:rsidRPr="00286216" w:rsidRDefault="00403AAD" w:rsidP="00403AAD">
            <w:pPr>
              <w:pStyle w:val="StyleWisnow"/>
              <w:rPr>
                <w:color w:val="000000" w:themeColor="text1"/>
              </w:rPr>
            </w:pPr>
          </w:p>
        </w:tc>
        <w:tc>
          <w:tcPr>
            <w:tcW w:w="4818" w:type="dxa"/>
          </w:tcPr>
          <w:p w14:paraId="0F137E88" w14:textId="77777777" w:rsidR="00403AAD" w:rsidRPr="00286216" w:rsidRDefault="00403AAD" w:rsidP="00403AAD">
            <w:pPr>
              <w:pStyle w:val="StyleZakonu"/>
              <w:rPr>
                <w:color w:val="000000" w:themeColor="text1"/>
              </w:rPr>
            </w:pPr>
          </w:p>
        </w:tc>
        <w:tc>
          <w:tcPr>
            <w:tcW w:w="3686" w:type="dxa"/>
          </w:tcPr>
          <w:p w14:paraId="79E9E811" w14:textId="06DDA874"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503</w:t>
            </w:r>
            <w:r w:rsidRPr="00286216">
              <w:rPr>
                <w:color w:val="000000" w:themeColor="text1"/>
                <w:spacing w:val="-10"/>
              </w:rPr>
              <w:fldChar w:fldCharType="end"/>
            </w:r>
            <w:r w:rsidRPr="00286216">
              <w:rPr>
                <w:color w:val="000000" w:themeColor="text1"/>
                <w:spacing w:val="-10"/>
              </w:rPr>
              <w:t>-Н.д.Гетманцев Д.О.(Реєстр.картка №245)</w:t>
            </w:r>
          </w:p>
          <w:p w14:paraId="1D78CB04" w14:textId="77777777" w:rsidR="00403AAD" w:rsidRPr="00286216" w:rsidRDefault="00403AAD" w:rsidP="00403AAD">
            <w:pPr>
              <w:pStyle w:val="StyleProp"/>
              <w:spacing w:line="190" w:lineRule="exact"/>
              <w:rPr>
                <w:color w:val="000000" w:themeColor="text1"/>
                <w:spacing w:val="-2"/>
              </w:rPr>
            </w:pPr>
            <w:r w:rsidRPr="00286216">
              <w:rPr>
                <w:color w:val="000000" w:themeColor="text1"/>
                <w:spacing w:val="-2"/>
              </w:rPr>
              <w:t xml:space="preserve">У статті 48 абзац перший частини другої доповнити реченням такого змісту: </w:t>
            </w:r>
            <w:r w:rsidRPr="00286216">
              <w:rPr>
                <w:color w:val="000000" w:themeColor="text1"/>
                <w:spacing w:val="-2"/>
              </w:rPr>
              <w:lastRenderedPageBreak/>
              <w:t>«Діяльність з організації торгівлі на фондового ринку здійснюється фондовою біржою.»</w:t>
            </w:r>
          </w:p>
        </w:tc>
        <w:tc>
          <w:tcPr>
            <w:tcW w:w="1987" w:type="dxa"/>
          </w:tcPr>
          <w:p w14:paraId="3E110F3A"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2F81F572" w14:textId="77777777" w:rsidR="00403AAD" w:rsidRPr="00286216" w:rsidRDefault="00403AAD" w:rsidP="00403AAD">
            <w:pPr>
              <w:pStyle w:val="StyleWisnow"/>
              <w:spacing w:line="160" w:lineRule="exact"/>
              <w:rPr>
                <w:color w:val="000000" w:themeColor="text1"/>
                <w:spacing w:val="-6"/>
              </w:rPr>
            </w:pPr>
            <w:r w:rsidRPr="00286216">
              <w:rPr>
                <w:color w:val="000000" w:themeColor="text1"/>
                <w:spacing w:val="-6"/>
              </w:rPr>
              <w:t>термін "фондова біржа" замінено</w:t>
            </w:r>
            <w:r w:rsidRPr="00286216">
              <w:rPr>
                <w:color w:val="000000" w:themeColor="text1"/>
                <w:spacing w:val="-14"/>
              </w:rPr>
              <w:t xml:space="preserve"> на "</w:t>
            </w:r>
            <w:r w:rsidRPr="00286216">
              <w:rPr>
                <w:color w:val="000000" w:themeColor="text1"/>
                <w:spacing w:val="-10"/>
              </w:rPr>
              <w:t>регульований</w:t>
            </w:r>
            <w:r w:rsidRPr="00286216">
              <w:rPr>
                <w:color w:val="000000" w:themeColor="text1"/>
                <w:spacing w:val="-6"/>
              </w:rPr>
              <w:t xml:space="preserve"> фондовий ринок", </w:t>
            </w:r>
            <w:r w:rsidRPr="00286216">
              <w:rPr>
                <w:color w:val="000000" w:themeColor="text1"/>
                <w:spacing w:val="-6"/>
              </w:rPr>
              <w:lastRenderedPageBreak/>
              <w:t>організація торгівлі здійснюватиметься оператором такого ринку</w:t>
            </w:r>
          </w:p>
        </w:tc>
        <w:tc>
          <w:tcPr>
            <w:tcW w:w="4818" w:type="dxa"/>
          </w:tcPr>
          <w:p w14:paraId="27B1D3EF" w14:textId="77777777" w:rsidR="00403AAD" w:rsidRPr="00286216" w:rsidRDefault="00403AAD" w:rsidP="00403AAD">
            <w:pPr>
              <w:pStyle w:val="StyleZakonu"/>
              <w:rPr>
                <w:color w:val="000000" w:themeColor="text1"/>
              </w:rPr>
            </w:pPr>
          </w:p>
        </w:tc>
      </w:tr>
      <w:tr w:rsidR="00403AAD" w:rsidRPr="00286216" w14:paraId="3FA8742D" w14:textId="77777777" w:rsidTr="00091AA5">
        <w:tc>
          <w:tcPr>
            <w:tcW w:w="576" w:type="dxa"/>
          </w:tcPr>
          <w:p w14:paraId="1070D23E" w14:textId="77777777" w:rsidR="00403AAD" w:rsidRPr="00286216" w:rsidRDefault="00403AAD" w:rsidP="00403AAD">
            <w:pPr>
              <w:pStyle w:val="StyleWisnow"/>
              <w:rPr>
                <w:color w:val="000000" w:themeColor="text1"/>
              </w:rPr>
            </w:pPr>
            <w:bookmarkStart w:id="576" w:name="n872" w:colFirst="0" w:colLast="0"/>
            <w:r w:rsidRPr="00286216">
              <w:rPr>
                <w:color w:val="000000" w:themeColor="text1"/>
              </w:rPr>
              <w:t>872.</w:t>
            </w:r>
          </w:p>
        </w:tc>
        <w:tc>
          <w:tcPr>
            <w:tcW w:w="4818" w:type="dxa"/>
          </w:tcPr>
          <w:p w14:paraId="533E484C" w14:textId="77777777" w:rsidR="00403AAD" w:rsidRPr="00286216" w:rsidRDefault="00403AAD" w:rsidP="00403AAD">
            <w:pPr>
              <w:pStyle w:val="StyleZakonu"/>
              <w:rPr>
                <w:color w:val="000000" w:themeColor="text1"/>
              </w:rPr>
            </w:pPr>
            <w:r w:rsidRPr="00286216">
              <w:rPr>
                <w:color w:val="000000" w:themeColor="text1"/>
              </w:rPr>
              <w:t>Діяльність з організації торгівлі на БТМ та діяльність з організації торгівлі на ОТМ може здійснюватися виключно оператором БТМ та оператором ОТМ, відповідно, в порядку, встановленому цим Законом та нормативно-правовими актами Національної комісії з цінних паперів та фондового ринку.</w:t>
            </w:r>
          </w:p>
        </w:tc>
        <w:tc>
          <w:tcPr>
            <w:tcW w:w="3686" w:type="dxa"/>
          </w:tcPr>
          <w:p w14:paraId="17687928" w14:textId="77777777" w:rsidR="00403AAD" w:rsidRPr="00286216" w:rsidRDefault="00403AAD" w:rsidP="00403AAD">
            <w:pPr>
              <w:pStyle w:val="StyleProp"/>
              <w:rPr>
                <w:color w:val="000000" w:themeColor="text1"/>
                <w:szCs w:val="18"/>
              </w:rPr>
            </w:pPr>
          </w:p>
        </w:tc>
        <w:tc>
          <w:tcPr>
            <w:tcW w:w="1987" w:type="dxa"/>
          </w:tcPr>
          <w:p w14:paraId="1DFCBC70" w14:textId="77777777" w:rsidR="00403AAD" w:rsidRPr="00286216" w:rsidRDefault="00403AAD" w:rsidP="00403AAD">
            <w:pPr>
              <w:pStyle w:val="StyleWisnow"/>
              <w:rPr>
                <w:color w:val="000000" w:themeColor="text1"/>
              </w:rPr>
            </w:pPr>
          </w:p>
        </w:tc>
        <w:tc>
          <w:tcPr>
            <w:tcW w:w="4818" w:type="dxa"/>
          </w:tcPr>
          <w:p w14:paraId="03D5E46A" w14:textId="56285153" w:rsidR="00403AAD" w:rsidRPr="00286216" w:rsidRDefault="00403AAD" w:rsidP="00403AAD">
            <w:pPr>
              <w:pStyle w:val="StyleZakonu"/>
              <w:rPr>
                <w:color w:val="000000" w:themeColor="text1"/>
              </w:rPr>
            </w:pPr>
            <w:r w:rsidRPr="00286216">
              <w:rPr>
                <w:color w:val="000000" w:themeColor="text1"/>
              </w:rPr>
              <w:t>Діяльність з організації торгівлі на БТМ та діяльність з організації торгівлі на ОТМ може здійснюватися виключно оператором БТМ та оператором ОТМ відповідно в порядку, встановленому цим Законом та нормативно-правовими актами Національної комісії з цінних паперів та фондового ринку.</w:t>
            </w:r>
          </w:p>
        </w:tc>
      </w:tr>
      <w:tr w:rsidR="00403AAD" w:rsidRPr="00286216" w14:paraId="7C5436DC" w14:textId="77777777" w:rsidTr="00091AA5">
        <w:tc>
          <w:tcPr>
            <w:tcW w:w="576" w:type="dxa"/>
          </w:tcPr>
          <w:p w14:paraId="3C7DA8A2" w14:textId="77777777" w:rsidR="00403AAD" w:rsidRPr="00286216" w:rsidRDefault="00403AAD" w:rsidP="00403AAD">
            <w:pPr>
              <w:pStyle w:val="StyleWisnow"/>
              <w:rPr>
                <w:color w:val="000000" w:themeColor="text1"/>
              </w:rPr>
            </w:pPr>
            <w:bookmarkStart w:id="577" w:name="n873" w:colFirst="0" w:colLast="0"/>
            <w:bookmarkEnd w:id="576"/>
            <w:r w:rsidRPr="00286216">
              <w:rPr>
                <w:color w:val="000000" w:themeColor="text1"/>
              </w:rPr>
              <w:t>873.</w:t>
            </w:r>
          </w:p>
        </w:tc>
        <w:tc>
          <w:tcPr>
            <w:tcW w:w="4818" w:type="dxa"/>
          </w:tcPr>
          <w:p w14:paraId="3BBB10DD" w14:textId="77777777" w:rsidR="00403AAD" w:rsidRPr="00286216" w:rsidRDefault="00403AAD" w:rsidP="00403AAD">
            <w:pPr>
              <w:pStyle w:val="StyleZakonu"/>
              <w:rPr>
                <w:color w:val="000000" w:themeColor="text1"/>
              </w:rPr>
            </w:pPr>
            <w:r w:rsidRPr="00286216">
              <w:rPr>
                <w:color w:val="000000" w:themeColor="text1"/>
              </w:rPr>
              <w:t>Оператором БТМ може бути виключно:</w:t>
            </w:r>
          </w:p>
        </w:tc>
        <w:tc>
          <w:tcPr>
            <w:tcW w:w="3686" w:type="dxa"/>
          </w:tcPr>
          <w:p w14:paraId="1300AC14" w14:textId="4E480C3D"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504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282C91A" w14:textId="65EE6622" w:rsidR="00403AAD" w:rsidRPr="00286216" w:rsidRDefault="00403AAD" w:rsidP="00403AAD">
            <w:pPr>
              <w:pStyle w:val="StyleProp"/>
              <w:rPr>
                <w:color w:val="000000" w:themeColor="text1"/>
                <w:szCs w:val="18"/>
              </w:rPr>
            </w:pPr>
            <w:r w:rsidRPr="00286216">
              <w:rPr>
                <w:color w:val="000000" w:themeColor="text1"/>
              </w:rPr>
              <w:t>У частині 2 статті 48 абзаци 4 – 8 викласти у такій редакції:</w:t>
            </w:r>
          </w:p>
        </w:tc>
        <w:tc>
          <w:tcPr>
            <w:tcW w:w="1987" w:type="dxa"/>
          </w:tcPr>
          <w:p w14:paraId="3E69A39E" w14:textId="457903AF"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5B6AE93" w14:textId="0D7916C4" w:rsidR="00403AAD" w:rsidRPr="00286216" w:rsidRDefault="00403AAD" w:rsidP="00403AAD">
            <w:pPr>
              <w:pStyle w:val="StyleZakonu"/>
              <w:rPr>
                <w:color w:val="000000" w:themeColor="text1"/>
              </w:rPr>
            </w:pPr>
            <w:r w:rsidRPr="00286216">
              <w:rPr>
                <w:color w:val="000000" w:themeColor="text1"/>
              </w:rPr>
              <w:t>Оператором БТМ може бути виключно:</w:t>
            </w:r>
          </w:p>
        </w:tc>
      </w:tr>
      <w:tr w:rsidR="00403AAD" w:rsidRPr="00286216" w14:paraId="515D88C1" w14:textId="77777777" w:rsidTr="00091AA5">
        <w:tc>
          <w:tcPr>
            <w:tcW w:w="576" w:type="dxa"/>
          </w:tcPr>
          <w:p w14:paraId="45C980B2" w14:textId="77777777" w:rsidR="00403AAD" w:rsidRPr="00286216" w:rsidRDefault="00403AAD" w:rsidP="00403AAD">
            <w:pPr>
              <w:pStyle w:val="StyleWisnow"/>
              <w:rPr>
                <w:color w:val="000000" w:themeColor="text1"/>
              </w:rPr>
            </w:pPr>
            <w:bookmarkStart w:id="578" w:name="n874" w:colFirst="0" w:colLast="0"/>
            <w:bookmarkEnd w:id="577"/>
            <w:r w:rsidRPr="00286216">
              <w:rPr>
                <w:color w:val="000000" w:themeColor="text1"/>
              </w:rPr>
              <w:t>874.</w:t>
            </w:r>
          </w:p>
        </w:tc>
        <w:tc>
          <w:tcPr>
            <w:tcW w:w="4818" w:type="dxa"/>
          </w:tcPr>
          <w:p w14:paraId="5E5B005C" w14:textId="77777777" w:rsidR="00403AAD" w:rsidRPr="00286216" w:rsidRDefault="00403AAD" w:rsidP="00403AAD">
            <w:pPr>
              <w:pStyle w:val="StyleZakonu"/>
              <w:rPr>
                <w:color w:val="000000" w:themeColor="text1"/>
              </w:rPr>
            </w:pPr>
            <w:r w:rsidRPr="00286216">
              <w:rPr>
                <w:color w:val="000000" w:themeColor="text1"/>
              </w:rPr>
              <w:t>1) інвестиційна фірма, що отримала ліцензію на провадження професійної діяльності на ринках капіталу з організації торгівлі фінансовими інструментами, -діяльність з організації торгівлі на БТМ;</w:t>
            </w:r>
          </w:p>
        </w:tc>
        <w:tc>
          <w:tcPr>
            <w:tcW w:w="3686" w:type="dxa"/>
          </w:tcPr>
          <w:p w14:paraId="64299F23" w14:textId="4C1A70D7" w:rsidR="00403AAD" w:rsidRPr="00286216" w:rsidRDefault="00403AAD" w:rsidP="00403AAD">
            <w:pPr>
              <w:pStyle w:val="StyleProp"/>
              <w:rPr>
                <w:b/>
                <w:color w:val="000000" w:themeColor="text1"/>
                <w:spacing w:val="-3"/>
                <w:szCs w:val="18"/>
              </w:rPr>
            </w:pPr>
            <w:r w:rsidRPr="00286216">
              <w:rPr>
                <w:color w:val="000000" w:themeColor="text1"/>
                <w:spacing w:val="-3"/>
              </w:rPr>
              <w:t>"1) інвестиційна фірма, що отримала відповідну ліцензію на провадження виду діяльності з організації торгівлі фінансовими інструментами, передбаченого пунктами 4 та/або 5 частини 1 статті 46 цього Закону;</w:t>
            </w:r>
          </w:p>
        </w:tc>
        <w:tc>
          <w:tcPr>
            <w:tcW w:w="1987" w:type="dxa"/>
          </w:tcPr>
          <w:p w14:paraId="2BCAFA20" w14:textId="77777777" w:rsidR="00403AAD" w:rsidRPr="00286216" w:rsidRDefault="00403AAD" w:rsidP="00403AAD">
            <w:pPr>
              <w:pStyle w:val="StyleWisnow"/>
              <w:rPr>
                <w:color w:val="000000" w:themeColor="text1"/>
              </w:rPr>
            </w:pPr>
          </w:p>
        </w:tc>
        <w:tc>
          <w:tcPr>
            <w:tcW w:w="4818" w:type="dxa"/>
          </w:tcPr>
          <w:p w14:paraId="24EA737F" w14:textId="1D7F7CF6" w:rsidR="00403AAD" w:rsidRPr="00286216" w:rsidRDefault="00403AAD" w:rsidP="00403AAD">
            <w:pPr>
              <w:pStyle w:val="StyleZakonu"/>
              <w:rPr>
                <w:color w:val="000000" w:themeColor="text1"/>
              </w:rPr>
            </w:pPr>
            <w:r w:rsidRPr="00286216">
              <w:rPr>
                <w:color w:val="000000" w:themeColor="text1"/>
              </w:rPr>
              <w:t>1) інвестиційна фірма, що отримала відповідну ліцензію на провадження виду діяльності з організації торгівлі фінансовими інструментами, передбаченого пунктами 4 та/або 5 частини першої статті 49 цього Закону;</w:t>
            </w:r>
          </w:p>
        </w:tc>
      </w:tr>
      <w:tr w:rsidR="00403AAD" w:rsidRPr="00286216" w14:paraId="7C4AE63D" w14:textId="77777777" w:rsidTr="00091AA5">
        <w:tc>
          <w:tcPr>
            <w:tcW w:w="576" w:type="dxa"/>
          </w:tcPr>
          <w:p w14:paraId="0C54481B" w14:textId="77777777" w:rsidR="00403AAD" w:rsidRPr="00286216" w:rsidRDefault="00403AAD" w:rsidP="00403AAD">
            <w:pPr>
              <w:pStyle w:val="StyleWisnow"/>
              <w:rPr>
                <w:color w:val="000000" w:themeColor="text1"/>
              </w:rPr>
            </w:pPr>
            <w:bookmarkStart w:id="579" w:name="n875" w:colFirst="0" w:colLast="0"/>
            <w:bookmarkEnd w:id="578"/>
            <w:r w:rsidRPr="00286216">
              <w:rPr>
                <w:color w:val="000000" w:themeColor="text1"/>
              </w:rPr>
              <w:t>875.</w:t>
            </w:r>
          </w:p>
        </w:tc>
        <w:tc>
          <w:tcPr>
            <w:tcW w:w="4818" w:type="dxa"/>
          </w:tcPr>
          <w:p w14:paraId="185EEE2E" w14:textId="77777777" w:rsidR="00403AAD" w:rsidRPr="00286216" w:rsidRDefault="00403AAD" w:rsidP="00403AAD">
            <w:pPr>
              <w:pStyle w:val="StyleZakonu"/>
              <w:rPr>
                <w:color w:val="000000" w:themeColor="text1"/>
              </w:rPr>
            </w:pPr>
            <w:r w:rsidRPr="00286216">
              <w:rPr>
                <w:color w:val="000000" w:themeColor="text1"/>
              </w:rPr>
              <w:t>2) оператор регульованого ринку, що отримав ліцензію на провадження професійної діяльності на ринках капіталу з організації торгівлі фінансовими інструментами, -діяльність з організації торгівлі на БТМ.</w:t>
            </w:r>
          </w:p>
        </w:tc>
        <w:tc>
          <w:tcPr>
            <w:tcW w:w="3686" w:type="dxa"/>
          </w:tcPr>
          <w:p w14:paraId="0CE4214C" w14:textId="39AE6F90" w:rsidR="00403AAD" w:rsidRPr="00286216" w:rsidRDefault="00403AAD" w:rsidP="00403AAD">
            <w:pPr>
              <w:pStyle w:val="StyleProp"/>
              <w:rPr>
                <w:color w:val="000000" w:themeColor="text1"/>
                <w:spacing w:val="-6"/>
                <w:szCs w:val="18"/>
              </w:rPr>
            </w:pPr>
            <w:r w:rsidRPr="00286216">
              <w:rPr>
                <w:color w:val="000000" w:themeColor="text1"/>
                <w:spacing w:val="-6"/>
              </w:rPr>
              <w:t>2) оператор регульованого ринку, що отримав відповідні ліцензію на провадження виду діяльності з організації торгівлі фінансовими інструментами, передбаченого пунктами 4 та/або 5 частини 1 статті 46 цього Закону.</w:t>
            </w:r>
          </w:p>
        </w:tc>
        <w:tc>
          <w:tcPr>
            <w:tcW w:w="1987" w:type="dxa"/>
          </w:tcPr>
          <w:p w14:paraId="26DE1822" w14:textId="77777777" w:rsidR="00403AAD" w:rsidRPr="00286216" w:rsidRDefault="00403AAD" w:rsidP="00403AAD">
            <w:pPr>
              <w:pStyle w:val="StyleWisnow"/>
              <w:rPr>
                <w:color w:val="000000" w:themeColor="text1"/>
              </w:rPr>
            </w:pPr>
          </w:p>
        </w:tc>
        <w:tc>
          <w:tcPr>
            <w:tcW w:w="4818" w:type="dxa"/>
          </w:tcPr>
          <w:p w14:paraId="31509AAF" w14:textId="23DF5462" w:rsidR="00403AAD" w:rsidRPr="00286216" w:rsidRDefault="00403AAD" w:rsidP="00403AAD">
            <w:pPr>
              <w:pStyle w:val="StyleZakonu"/>
              <w:rPr>
                <w:color w:val="000000" w:themeColor="text1"/>
              </w:rPr>
            </w:pPr>
            <w:r w:rsidRPr="00286216">
              <w:rPr>
                <w:color w:val="000000" w:themeColor="text1"/>
              </w:rPr>
              <w:t>2) оператор регульованого ринку, що отримав відповідну ліцензію на провадження виду діяльності з організації торгівлі фінансовими інструментами, передбаченого пунктами 4 та/або 5 частини першої статті 49 цього Закону.</w:t>
            </w:r>
          </w:p>
        </w:tc>
      </w:tr>
      <w:tr w:rsidR="00403AAD" w:rsidRPr="00286216" w14:paraId="172AFDF4" w14:textId="77777777" w:rsidTr="00091AA5">
        <w:tc>
          <w:tcPr>
            <w:tcW w:w="576" w:type="dxa"/>
          </w:tcPr>
          <w:p w14:paraId="606FBAFA" w14:textId="77777777" w:rsidR="00403AAD" w:rsidRPr="00286216" w:rsidRDefault="00403AAD" w:rsidP="00403AAD">
            <w:pPr>
              <w:pStyle w:val="StyleWisnow"/>
              <w:rPr>
                <w:color w:val="000000" w:themeColor="text1"/>
              </w:rPr>
            </w:pPr>
            <w:bookmarkStart w:id="580" w:name="n876" w:colFirst="0" w:colLast="0"/>
            <w:bookmarkEnd w:id="579"/>
            <w:r w:rsidRPr="00286216">
              <w:rPr>
                <w:color w:val="000000" w:themeColor="text1"/>
              </w:rPr>
              <w:t>876.</w:t>
            </w:r>
          </w:p>
        </w:tc>
        <w:tc>
          <w:tcPr>
            <w:tcW w:w="4818" w:type="dxa"/>
          </w:tcPr>
          <w:p w14:paraId="3964FCBC" w14:textId="77777777" w:rsidR="00403AAD" w:rsidRPr="00286216" w:rsidRDefault="00403AAD" w:rsidP="00403AAD">
            <w:pPr>
              <w:pStyle w:val="StyleZakonu"/>
              <w:rPr>
                <w:color w:val="000000" w:themeColor="text1"/>
              </w:rPr>
            </w:pPr>
            <w:r w:rsidRPr="00286216">
              <w:rPr>
                <w:color w:val="000000" w:themeColor="text1"/>
              </w:rPr>
              <w:t>Оператором ОТМ може бути виключно:</w:t>
            </w:r>
          </w:p>
        </w:tc>
        <w:tc>
          <w:tcPr>
            <w:tcW w:w="3686" w:type="dxa"/>
          </w:tcPr>
          <w:p w14:paraId="7240920F" w14:textId="451ED0AA" w:rsidR="00403AAD" w:rsidRPr="00286216" w:rsidRDefault="00403AAD" w:rsidP="00403AAD">
            <w:pPr>
              <w:pStyle w:val="StyleProp"/>
              <w:rPr>
                <w:color w:val="000000" w:themeColor="text1"/>
                <w:spacing w:val="-3"/>
                <w:szCs w:val="18"/>
              </w:rPr>
            </w:pPr>
            <w:r w:rsidRPr="00286216">
              <w:rPr>
                <w:color w:val="000000" w:themeColor="text1"/>
                <w:spacing w:val="-3"/>
              </w:rPr>
              <w:t>Оператором ОТМ може бути виключно:</w:t>
            </w:r>
          </w:p>
        </w:tc>
        <w:tc>
          <w:tcPr>
            <w:tcW w:w="1987" w:type="dxa"/>
          </w:tcPr>
          <w:p w14:paraId="32303A84" w14:textId="77777777" w:rsidR="00403AAD" w:rsidRPr="00286216" w:rsidRDefault="00403AAD" w:rsidP="00403AAD">
            <w:pPr>
              <w:pStyle w:val="StyleWisnow"/>
              <w:rPr>
                <w:color w:val="000000" w:themeColor="text1"/>
              </w:rPr>
            </w:pPr>
          </w:p>
        </w:tc>
        <w:tc>
          <w:tcPr>
            <w:tcW w:w="4818" w:type="dxa"/>
          </w:tcPr>
          <w:p w14:paraId="7F41B789" w14:textId="3F30D7FC" w:rsidR="00403AAD" w:rsidRPr="00286216" w:rsidRDefault="00403AAD" w:rsidP="00403AAD">
            <w:pPr>
              <w:pStyle w:val="StyleZakonu"/>
              <w:rPr>
                <w:color w:val="000000" w:themeColor="text1"/>
              </w:rPr>
            </w:pPr>
            <w:r w:rsidRPr="00286216">
              <w:rPr>
                <w:color w:val="000000" w:themeColor="text1"/>
              </w:rPr>
              <w:t>Оператором ОТМ може бути виключно:</w:t>
            </w:r>
          </w:p>
        </w:tc>
      </w:tr>
      <w:tr w:rsidR="00403AAD" w:rsidRPr="00286216" w14:paraId="24873F63" w14:textId="77777777" w:rsidTr="00091AA5">
        <w:tc>
          <w:tcPr>
            <w:tcW w:w="576" w:type="dxa"/>
          </w:tcPr>
          <w:p w14:paraId="675D44CB" w14:textId="77777777" w:rsidR="00403AAD" w:rsidRPr="00286216" w:rsidRDefault="00403AAD" w:rsidP="00403AAD">
            <w:pPr>
              <w:pStyle w:val="StyleWisnow"/>
              <w:rPr>
                <w:color w:val="000000" w:themeColor="text1"/>
              </w:rPr>
            </w:pPr>
            <w:bookmarkStart w:id="581" w:name="n877" w:colFirst="0" w:colLast="0"/>
            <w:bookmarkEnd w:id="580"/>
            <w:r w:rsidRPr="00286216">
              <w:rPr>
                <w:color w:val="000000" w:themeColor="text1"/>
              </w:rPr>
              <w:t>877.</w:t>
            </w:r>
          </w:p>
        </w:tc>
        <w:tc>
          <w:tcPr>
            <w:tcW w:w="4818" w:type="dxa"/>
          </w:tcPr>
          <w:p w14:paraId="002500B5" w14:textId="77777777" w:rsidR="00403AAD" w:rsidRPr="00286216" w:rsidRDefault="00403AAD" w:rsidP="00403AAD">
            <w:pPr>
              <w:pStyle w:val="StyleZakonu"/>
              <w:rPr>
                <w:color w:val="000000" w:themeColor="text1"/>
              </w:rPr>
            </w:pPr>
            <w:r w:rsidRPr="00286216">
              <w:rPr>
                <w:color w:val="000000" w:themeColor="text1"/>
              </w:rPr>
              <w:t>1) інвестиційна фірма, що отримала ліцензію на провадження професійної діяльності на ринках капіталу з організації торгівлі фінансовими інструментами, -діяльність з організації торгівлі на ОТМ;</w:t>
            </w:r>
          </w:p>
        </w:tc>
        <w:tc>
          <w:tcPr>
            <w:tcW w:w="3686" w:type="dxa"/>
          </w:tcPr>
          <w:p w14:paraId="2698D4E1" w14:textId="20B17D14" w:rsidR="00403AAD" w:rsidRPr="00286216" w:rsidRDefault="00403AAD" w:rsidP="00403AAD">
            <w:pPr>
              <w:pStyle w:val="StyleProp"/>
              <w:rPr>
                <w:color w:val="000000" w:themeColor="text1"/>
                <w:spacing w:val="-3"/>
                <w:szCs w:val="18"/>
              </w:rPr>
            </w:pPr>
            <w:r w:rsidRPr="00286216">
              <w:rPr>
                <w:color w:val="000000" w:themeColor="text1"/>
                <w:spacing w:val="-3"/>
              </w:rPr>
              <w:t>1) інвестиційна фірма, що отримала відповідну  ліцензію на провадження виду діяльності з організації торгівлі фінансовими інструментами, передбаченого пунктами 6 та/або 7 частини 1 статті 46 цього Закону;</w:t>
            </w:r>
          </w:p>
        </w:tc>
        <w:tc>
          <w:tcPr>
            <w:tcW w:w="1987" w:type="dxa"/>
          </w:tcPr>
          <w:p w14:paraId="502B8D43" w14:textId="77777777" w:rsidR="00403AAD" w:rsidRPr="00286216" w:rsidRDefault="00403AAD" w:rsidP="00403AAD">
            <w:pPr>
              <w:pStyle w:val="StyleWisnow"/>
              <w:rPr>
                <w:color w:val="000000" w:themeColor="text1"/>
              </w:rPr>
            </w:pPr>
          </w:p>
        </w:tc>
        <w:tc>
          <w:tcPr>
            <w:tcW w:w="4818" w:type="dxa"/>
          </w:tcPr>
          <w:p w14:paraId="31D71D2E" w14:textId="1598775D" w:rsidR="00403AAD" w:rsidRPr="00286216" w:rsidRDefault="00403AAD" w:rsidP="00403AAD">
            <w:pPr>
              <w:pStyle w:val="StyleZakonu"/>
              <w:rPr>
                <w:color w:val="000000" w:themeColor="text1"/>
              </w:rPr>
            </w:pPr>
            <w:r w:rsidRPr="00286216">
              <w:rPr>
                <w:color w:val="000000" w:themeColor="text1"/>
              </w:rPr>
              <w:t>1) інвестиційна фірма, що отримала відповідну  ліцензію на провадження виду діяльності з організації торгівлі фінансовими інструментами, передбаченого пунктами 6 та/або 7 частини першої статті 49 цього Закону;</w:t>
            </w:r>
          </w:p>
        </w:tc>
      </w:tr>
      <w:tr w:rsidR="00403AAD" w:rsidRPr="00286216" w14:paraId="4796C441" w14:textId="77777777" w:rsidTr="00091AA5">
        <w:tc>
          <w:tcPr>
            <w:tcW w:w="576" w:type="dxa"/>
          </w:tcPr>
          <w:p w14:paraId="73976BFD" w14:textId="77777777" w:rsidR="00403AAD" w:rsidRPr="00286216" w:rsidRDefault="00403AAD" w:rsidP="00403AAD">
            <w:pPr>
              <w:pStyle w:val="StyleWisnow"/>
              <w:rPr>
                <w:color w:val="000000" w:themeColor="text1"/>
              </w:rPr>
            </w:pPr>
            <w:bookmarkStart w:id="582" w:name="n878" w:colFirst="0" w:colLast="0"/>
            <w:bookmarkEnd w:id="581"/>
            <w:r w:rsidRPr="00286216">
              <w:rPr>
                <w:color w:val="000000" w:themeColor="text1"/>
              </w:rPr>
              <w:t>878.</w:t>
            </w:r>
          </w:p>
        </w:tc>
        <w:tc>
          <w:tcPr>
            <w:tcW w:w="4818" w:type="dxa"/>
          </w:tcPr>
          <w:p w14:paraId="1316BD80" w14:textId="77777777" w:rsidR="00403AAD" w:rsidRPr="00286216" w:rsidRDefault="00403AAD" w:rsidP="00403AAD">
            <w:pPr>
              <w:pStyle w:val="StyleZakonu"/>
              <w:rPr>
                <w:color w:val="000000" w:themeColor="text1"/>
              </w:rPr>
            </w:pPr>
            <w:r w:rsidRPr="00286216">
              <w:rPr>
                <w:color w:val="000000" w:themeColor="text1"/>
              </w:rPr>
              <w:t>2) оператор регульованого ринку, що отримав ліцензію на провадження професійної діяльності на ринках капіталу з організації торгівлі фінансовими інструментами, -діяльність з організації торгівлі на ОТМ.</w:t>
            </w:r>
          </w:p>
        </w:tc>
        <w:tc>
          <w:tcPr>
            <w:tcW w:w="3686" w:type="dxa"/>
          </w:tcPr>
          <w:p w14:paraId="6A70A340" w14:textId="00CC62CE" w:rsidR="00403AAD" w:rsidRPr="00286216" w:rsidRDefault="00403AAD" w:rsidP="00403AAD">
            <w:pPr>
              <w:pStyle w:val="StyleProp"/>
              <w:rPr>
                <w:color w:val="000000" w:themeColor="text1"/>
                <w:spacing w:val="-6"/>
                <w:szCs w:val="18"/>
              </w:rPr>
            </w:pPr>
            <w:r w:rsidRPr="00286216">
              <w:rPr>
                <w:color w:val="000000" w:themeColor="text1"/>
                <w:spacing w:val="-6"/>
              </w:rPr>
              <w:t>2) оператор регульованого ринку, що отримав відповідну ліцензію на провадження виду діяльності з організації торгівлі фінансовими інструментами, передбаченого пунктами 6 та/або 7 частини 1 статті 46 цього Закону".</w:t>
            </w:r>
          </w:p>
        </w:tc>
        <w:tc>
          <w:tcPr>
            <w:tcW w:w="1987" w:type="dxa"/>
          </w:tcPr>
          <w:p w14:paraId="7E33C096" w14:textId="77777777" w:rsidR="00403AAD" w:rsidRPr="00286216" w:rsidRDefault="00403AAD" w:rsidP="00403AAD">
            <w:pPr>
              <w:pStyle w:val="StyleWisnow"/>
              <w:rPr>
                <w:color w:val="000000" w:themeColor="text1"/>
              </w:rPr>
            </w:pPr>
          </w:p>
        </w:tc>
        <w:tc>
          <w:tcPr>
            <w:tcW w:w="4818" w:type="dxa"/>
          </w:tcPr>
          <w:p w14:paraId="227041BD" w14:textId="362D3A83" w:rsidR="00403AAD" w:rsidRPr="00286216" w:rsidRDefault="00403AAD" w:rsidP="00403AAD">
            <w:pPr>
              <w:pStyle w:val="StyleZakonu"/>
              <w:rPr>
                <w:color w:val="000000" w:themeColor="text1"/>
              </w:rPr>
            </w:pPr>
            <w:r w:rsidRPr="00286216">
              <w:rPr>
                <w:color w:val="000000" w:themeColor="text1"/>
              </w:rPr>
              <w:t>2) оператор регульованого ринку, що отримав відповідну ліцензію на провадження виду діяльності з організації торгівлі фінансовими інструментами, передбаченого пунктами 6 та/або 7 частини першої статті 49 цього Закону.</w:t>
            </w:r>
          </w:p>
        </w:tc>
      </w:tr>
      <w:tr w:rsidR="00403AAD" w:rsidRPr="00286216" w14:paraId="5A62EAFB" w14:textId="77777777" w:rsidTr="00091AA5">
        <w:tc>
          <w:tcPr>
            <w:tcW w:w="576" w:type="dxa"/>
          </w:tcPr>
          <w:p w14:paraId="7DF3CE39" w14:textId="77777777" w:rsidR="00403AAD" w:rsidRPr="00286216" w:rsidRDefault="00403AAD" w:rsidP="00403AAD">
            <w:pPr>
              <w:pStyle w:val="StyleWisnow"/>
              <w:rPr>
                <w:color w:val="000000" w:themeColor="text1"/>
              </w:rPr>
            </w:pPr>
            <w:bookmarkStart w:id="583" w:name="n879" w:colFirst="0" w:colLast="0"/>
            <w:bookmarkEnd w:id="582"/>
            <w:r w:rsidRPr="00286216">
              <w:rPr>
                <w:color w:val="000000" w:themeColor="text1"/>
              </w:rPr>
              <w:t>879.</w:t>
            </w:r>
          </w:p>
        </w:tc>
        <w:tc>
          <w:tcPr>
            <w:tcW w:w="4818" w:type="dxa"/>
          </w:tcPr>
          <w:p w14:paraId="0D3B4E08" w14:textId="77777777" w:rsidR="00403AAD" w:rsidRPr="00286216" w:rsidRDefault="00403AAD" w:rsidP="00403AAD">
            <w:pPr>
              <w:pStyle w:val="StyleZakonu"/>
              <w:rPr>
                <w:color w:val="000000" w:themeColor="text1"/>
                <w:spacing w:val="-1"/>
              </w:rPr>
            </w:pPr>
            <w:r w:rsidRPr="00286216">
              <w:rPr>
                <w:color w:val="000000" w:themeColor="text1"/>
                <w:spacing w:val="-1"/>
              </w:rPr>
              <w:t>3. Розмір початкового капіталу оператора організованого ринку повинен відповідати вимогам щодо його розрахунку, встановленим статтею 66 цього Закону, та вимогам щодо його розміру, встановленим Національною комісією з цінних паперів та фондового ринку, та його мінімальний розмір не може становити менше ніж 730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w:t>
            </w:r>
          </w:p>
        </w:tc>
        <w:tc>
          <w:tcPr>
            <w:tcW w:w="3686" w:type="dxa"/>
          </w:tcPr>
          <w:p w14:paraId="372D3CFB" w14:textId="4F35F5BD"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505</w:t>
            </w:r>
            <w:r w:rsidRPr="00286216">
              <w:rPr>
                <w:color w:val="000000" w:themeColor="text1"/>
              </w:rPr>
              <w:fldChar w:fldCharType="end"/>
            </w:r>
            <w:r w:rsidRPr="00286216">
              <w:rPr>
                <w:color w:val="000000" w:themeColor="text1"/>
              </w:rPr>
              <w:t>-Н.д.Шахов С.В. (Реєстр.картка №114)</w:t>
            </w:r>
          </w:p>
          <w:p w14:paraId="773E9EF1" w14:textId="1CB7E1AB" w:rsidR="00403AAD" w:rsidRPr="00286216" w:rsidRDefault="00403AAD" w:rsidP="00403AAD">
            <w:pPr>
              <w:pStyle w:val="StyleProp"/>
              <w:spacing w:line="180" w:lineRule="exact"/>
              <w:rPr>
                <w:color w:val="000000" w:themeColor="text1"/>
                <w:szCs w:val="18"/>
              </w:rPr>
            </w:pPr>
            <w:r w:rsidRPr="00286216">
              <w:rPr>
                <w:color w:val="000000" w:themeColor="text1"/>
                <w:spacing w:val="-2"/>
              </w:rPr>
              <w:t>3. Розмір початкового капіталу оператора організованого ринку повинен відповідати вимогам щодо його розрахунку, встановленим статтею 66 цього Закону, та вимогам щодо його розміру, встановленим Національною комісією з цінних паперів та фондового ринку, та його мінімальний розмір не може становити менше, ніж 20 мільйонів гривень.</w:t>
            </w:r>
          </w:p>
        </w:tc>
        <w:tc>
          <w:tcPr>
            <w:tcW w:w="1987" w:type="dxa"/>
          </w:tcPr>
          <w:p w14:paraId="38647B23" w14:textId="77777777" w:rsidR="00403AAD" w:rsidRPr="00286216" w:rsidRDefault="00403AAD" w:rsidP="00403AAD">
            <w:pPr>
              <w:pStyle w:val="StyleWisnow"/>
              <w:rPr>
                <w:color w:val="000000" w:themeColor="text1"/>
              </w:rPr>
            </w:pPr>
            <w:r w:rsidRPr="00286216">
              <w:rPr>
                <w:color w:val="000000" w:themeColor="text1"/>
              </w:rPr>
              <w:t>Враховано по суті</w:t>
            </w:r>
          </w:p>
        </w:tc>
        <w:tc>
          <w:tcPr>
            <w:tcW w:w="4818" w:type="dxa"/>
          </w:tcPr>
          <w:p w14:paraId="01D4C3A9" w14:textId="7A1C16AA" w:rsidR="00403AAD" w:rsidRPr="00286216" w:rsidRDefault="00403AAD" w:rsidP="00403AAD">
            <w:pPr>
              <w:pStyle w:val="StyleZakonu"/>
              <w:rPr>
                <w:color w:val="000000" w:themeColor="text1"/>
              </w:rPr>
            </w:pPr>
            <w:r w:rsidRPr="00286216">
              <w:rPr>
                <w:color w:val="000000" w:themeColor="text1"/>
              </w:rPr>
              <w:t>3. Початковий капітал оператора організованого ринку повинен відповідати вимогам</w:t>
            </w:r>
            <w:r w:rsidRPr="00286216">
              <w:rPr>
                <w:color w:val="000000" w:themeColor="text1"/>
                <w:spacing w:val="-1"/>
              </w:rPr>
              <w:t xml:space="preserve"> щодо його розрахунку</w:t>
            </w:r>
            <w:r w:rsidRPr="00286216">
              <w:rPr>
                <w:color w:val="000000" w:themeColor="text1"/>
              </w:rPr>
              <w:t>, встановленим статтею 70 цього Закону, та вимогам щодо його розміру, встановленим Національною комісією з цінних паперів та фондового ринку, при цьому мінімальний розмір такого початкового капіталу не може становити менше 22 мільйонів гривень.</w:t>
            </w:r>
          </w:p>
        </w:tc>
      </w:tr>
      <w:tr w:rsidR="00403AAD" w:rsidRPr="00286216" w14:paraId="62AF6434" w14:textId="77777777" w:rsidTr="00091AA5">
        <w:tc>
          <w:tcPr>
            <w:tcW w:w="576" w:type="dxa"/>
          </w:tcPr>
          <w:p w14:paraId="1FDD8F0E" w14:textId="77777777" w:rsidR="00403AAD" w:rsidRPr="00286216" w:rsidRDefault="00403AAD" w:rsidP="00403AAD">
            <w:pPr>
              <w:pStyle w:val="StyleWisnow"/>
              <w:rPr>
                <w:color w:val="000000" w:themeColor="text1"/>
              </w:rPr>
            </w:pPr>
            <w:bookmarkStart w:id="584" w:name="n880" w:colFirst="0" w:colLast="0"/>
            <w:bookmarkEnd w:id="583"/>
            <w:r w:rsidRPr="00286216">
              <w:rPr>
                <w:color w:val="000000" w:themeColor="text1"/>
              </w:rPr>
              <w:t>880.</w:t>
            </w:r>
          </w:p>
        </w:tc>
        <w:tc>
          <w:tcPr>
            <w:tcW w:w="4818" w:type="dxa"/>
          </w:tcPr>
          <w:p w14:paraId="11C5DDD6" w14:textId="77777777" w:rsidR="00403AAD" w:rsidRPr="00286216" w:rsidRDefault="00403AAD" w:rsidP="00403AAD">
            <w:pPr>
              <w:pStyle w:val="StyleZakonu"/>
              <w:rPr>
                <w:color w:val="000000" w:themeColor="text1"/>
                <w:spacing w:val="-1"/>
              </w:rPr>
            </w:pPr>
            <w:r w:rsidRPr="00286216">
              <w:rPr>
                <w:color w:val="000000" w:themeColor="text1"/>
                <w:spacing w:val="-1"/>
              </w:rPr>
              <w:t xml:space="preserve">4. Проведення операцій на організованому ринку за </w:t>
            </w:r>
            <w:r w:rsidRPr="00286216">
              <w:rPr>
                <w:color w:val="000000" w:themeColor="text1"/>
                <w:spacing w:val="-1"/>
              </w:rPr>
              <w:lastRenderedPageBreak/>
              <w:t>деривативними контрактами та правочинами щодо фінансових інструментів, а також за правочинами щодо інших активів, допущених до торгів на організованому ринку, здійснюється за правилами функціонування такого організованого ринку, які затверджуються в порядку, встановленому оператором такого ринку, та реєструються Національною комісією з цінних паперів та фондового ринку.</w:t>
            </w:r>
          </w:p>
        </w:tc>
        <w:tc>
          <w:tcPr>
            <w:tcW w:w="3686" w:type="dxa"/>
          </w:tcPr>
          <w:p w14:paraId="6EDC14BC" w14:textId="77777777" w:rsidR="00403AAD" w:rsidRPr="00286216" w:rsidRDefault="00403AAD" w:rsidP="00403AAD">
            <w:pPr>
              <w:pStyle w:val="StyleProp"/>
              <w:rPr>
                <w:color w:val="000000" w:themeColor="text1"/>
                <w:szCs w:val="18"/>
              </w:rPr>
            </w:pPr>
          </w:p>
        </w:tc>
        <w:tc>
          <w:tcPr>
            <w:tcW w:w="1987" w:type="dxa"/>
          </w:tcPr>
          <w:p w14:paraId="0C1460C5" w14:textId="77777777" w:rsidR="00403AAD" w:rsidRPr="00286216" w:rsidRDefault="00403AAD" w:rsidP="00403AAD">
            <w:pPr>
              <w:pStyle w:val="StyleWisnow"/>
              <w:rPr>
                <w:color w:val="000000" w:themeColor="text1"/>
              </w:rPr>
            </w:pPr>
          </w:p>
        </w:tc>
        <w:tc>
          <w:tcPr>
            <w:tcW w:w="4818" w:type="dxa"/>
          </w:tcPr>
          <w:p w14:paraId="04D10B69" w14:textId="36332411" w:rsidR="00403AAD" w:rsidRPr="00286216" w:rsidRDefault="00403AAD" w:rsidP="00403AAD">
            <w:pPr>
              <w:pStyle w:val="StyleZakonu"/>
              <w:rPr>
                <w:color w:val="000000" w:themeColor="text1"/>
                <w:spacing w:val="-1"/>
              </w:rPr>
            </w:pPr>
            <w:r w:rsidRPr="00286216">
              <w:rPr>
                <w:color w:val="000000" w:themeColor="text1"/>
                <w:spacing w:val="-1"/>
              </w:rPr>
              <w:t xml:space="preserve">4. Проведення операцій на організованому ринку за </w:t>
            </w:r>
            <w:r w:rsidRPr="00286216">
              <w:rPr>
                <w:color w:val="000000" w:themeColor="text1"/>
                <w:spacing w:val="-1"/>
              </w:rPr>
              <w:lastRenderedPageBreak/>
              <w:t>деривативними контрактами та правочинами щодо фінансових інструментів, а також за правочинами щодо інших активів, допущених до торгів на організованому ринку, здійснюється за правилами функціонування такого організованого ринку, які затверджуються в порядку, встановленому оператором такого ринку, та реєструються Національною комісією з цінних паперів та фондового ринку.</w:t>
            </w:r>
          </w:p>
        </w:tc>
      </w:tr>
      <w:tr w:rsidR="00403AAD" w:rsidRPr="00286216" w14:paraId="27B61BE1" w14:textId="77777777" w:rsidTr="00091AA5">
        <w:tc>
          <w:tcPr>
            <w:tcW w:w="576" w:type="dxa"/>
          </w:tcPr>
          <w:p w14:paraId="7DA40D68" w14:textId="77777777" w:rsidR="00403AAD" w:rsidRPr="00286216" w:rsidRDefault="00403AAD" w:rsidP="00403AAD">
            <w:pPr>
              <w:pStyle w:val="StyleWisnow"/>
              <w:rPr>
                <w:color w:val="000000" w:themeColor="text1"/>
              </w:rPr>
            </w:pPr>
            <w:bookmarkStart w:id="585" w:name="n881" w:colFirst="0" w:colLast="0"/>
            <w:bookmarkEnd w:id="584"/>
            <w:r w:rsidRPr="00286216">
              <w:rPr>
                <w:color w:val="000000" w:themeColor="text1"/>
              </w:rPr>
              <w:lastRenderedPageBreak/>
              <w:t>881.</w:t>
            </w:r>
          </w:p>
        </w:tc>
        <w:tc>
          <w:tcPr>
            <w:tcW w:w="4818" w:type="dxa"/>
          </w:tcPr>
          <w:p w14:paraId="19A34BEA" w14:textId="77777777" w:rsidR="00403AAD" w:rsidRPr="00286216" w:rsidRDefault="00403AAD" w:rsidP="00403AAD">
            <w:pPr>
              <w:pStyle w:val="StyleZakonu"/>
              <w:rPr>
                <w:color w:val="000000" w:themeColor="text1"/>
              </w:rPr>
            </w:pPr>
            <w:r w:rsidRPr="00286216">
              <w:rPr>
                <w:color w:val="000000" w:themeColor="text1"/>
              </w:rPr>
              <w:t>5. Правила регульованого ринку розробляються оператором регульованого ринку для кожного з таких ринків та реєструються:</w:t>
            </w:r>
          </w:p>
        </w:tc>
        <w:tc>
          <w:tcPr>
            <w:tcW w:w="3686" w:type="dxa"/>
          </w:tcPr>
          <w:p w14:paraId="28A410AC" w14:textId="6B64D06F"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506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92066F5"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Частину 5 статті 48 після слова «правила» доповнити словом «функціонування ».</w:t>
            </w:r>
          </w:p>
        </w:tc>
        <w:tc>
          <w:tcPr>
            <w:tcW w:w="1987" w:type="dxa"/>
          </w:tcPr>
          <w:p w14:paraId="2B1AA1FE"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7C550B6" w14:textId="64EF1857" w:rsidR="00403AAD" w:rsidRPr="00286216" w:rsidRDefault="00403AAD" w:rsidP="00403AAD">
            <w:pPr>
              <w:pStyle w:val="StyleZakonu"/>
              <w:rPr>
                <w:color w:val="000000" w:themeColor="text1"/>
              </w:rPr>
            </w:pPr>
            <w:r w:rsidRPr="00286216">
              <w:rPr>
                <w:color w:val="000000" w:themeColor="text1"/>
              </w:rPr>
              <w:t xml:space="preserve">5. Правила </w:t>
            </w:r>
            <w:r w:rsidRPr="00286216">
              <w:rPr>
                <w:color w:val="000000" w:themeColor="text1"/>
                <w:spacing w:val="-2"/>
              </w:rPr>
              <w:t xml:space="preserve">функціонування </w:t>
            </w:r>
            <w:r w:rsidRPr="00286216">
              <w:rPr>
                <w:color w:val="000000" w:themeColor="text1"/>
              </w:rPr>
              <w:t>регульованого ринку розробляються оператором регульованого ринку для кожного з видів регульованих ринків та реєструються:</w:t>
            </w:r>
          </w:p>
        </w:tc>
      </w:tr>
      <w:tr w:rsidR="00403AAD" w:rsidRPr="00286216" w14:paraId="6024A93D" w14:textId="77777777" w:rsidTr="00091AA5">
        <w:tc>
          <w:tcPr>
            <w:tcW w:w="576" w:type="dxa"/>
          </w:tcPr>
          <w:p w14:paraId="10583E57" w14:textId="77777777" w:rsidR="00403AAD" w:rsidRPr="00286216" w:rsidRDefault="00403AAD" w:rsidP="00403AAD">
            <w:pPr>
              <w:pStyle w:val="StyleWisnow"/>
              <w:rPr>
                <w:color w:val="000000" w:themeColor="text1"/>
              </w:rPr>
            </w:pPr>
            <w:bookmarkStart w:id="586" w:name="n882" w:colFirst="0" w:colLast="0"/>
            <w:bookmarkEnd w:id="585"/>
            <w:r w:rsidRPr="00286216">
              <w:rPr>
                <w:color w:val="000000" w:themeColor="text1"/>
              </w:rPr>
              <w:t>882.</w:t>
            </w:r>
          </w:p>
        </w:tc>
        <w:tc>
          <w:tcPr>
            <w:tcW w:w="4818" w:type="dxa"/>
          </w:tcPr>
          <w:p w14:paraId="245C3A8B" w14:textId="77777777" w:rsidR="00403AAD" w:rsidRPr="00286216" w:rsidRDefault="00403AAD" w:rsidP="00403AAD">
            <w:pPr>
              <w:pStyle w:val="StyleZakonu"/>
              <w:rPr>
                <w:color w:val="000000" w:themeColor="text1"/>
              </w:rPr>
            </w:pPr>
            <w:r w:rsidRPr="00286216">
              <w:rPr>
                <w:color w:val="000000" w:themeColor="text1"/>
              </w:rPr>
              <w:t>1) Національною комісією з цінних паперів та фондового ринку після їх затвердження Національним банком України - щодо регульованого грошового ринку. Національний банк України має право відмовити у затвердженні відповідних правил з підстав та/або у випадках, визначених нормативно-правовими актами Національного банку України;</w:t>
            </w:r>
          </w:p>
        </w:tc>
        <w:tc>
          <w:tcPr>
            <w:tcW w:w="3686" w:type="dxa"/>
          </w:tcPr>
          <w:p w14:paraId="013E9D0C" w14:textId="77777777" w:rsidR="00403AAD" w:rsidRPr="00286216" w:rsidRDefault="00403AAD" w:rsidP="00403AAD">
            <w:pPr>
              <w:pStyle w:val="StyleProp"/>
              <w:rPr>
                <w:color w:val="000000" w:themeColor="text1"/>
                <w:szCs w:val="18"/>
              </w:rPr>
            </w:pPr>
          </w:p>
        </w:tc>
        <w:tc>
          <w:tcPr>
            <w:tcW w:w="1987" w:type="dxa"/>
          </w:tcPr>
          <w:p w14:paraId="5A1B91D3" w14:textId="77777777" w:rsidR="00403AAD" w:rsidRPr="00286216" w:rsidRDefault="00403AAD" w:rsidP="00403AAD">
            <w:pPr>
              <w:pStyle w:val="StyleWisnow"/>
              <w:rPr>
                <w:color w:val="000000" w:themeColor="text1"/>
              </w:rPr>
            </w:pPr>
          </w:p>
        </w:tc>
        <w:tc>
          <w:tcPr>
            <w:tcW w:w="4818" w:type="dxa"/>
          </w:tcPr>
          <w:p w14:paraId="6EB63BE5" w14:textId="77BD552D" w:rsidR="00403AAD" w:rsidRPr="00286216" w:rsidRDefault="00403AAD" w:rsidP="00403AAD">
            <w:pPr>
              <w:pStyle w:val="StyleZakonu"/>
              <w:rPr>
                <w:color w:val="000000" w:themeColor="text1"/>
              </w:rPr>
            </w:pPr>
            <w:r w:rsidRPr="00286216">
              <w:rPr>
                <w:color w:val="000000" w:themeColor="text1"/>
              </w:rPr>
              <w:t>1) Національною комісією з цінних паперів та фондового ринку після їх затвердження Національним банком України - щодо регульованого грошового ринку. Національний банк України має право відмовити у затвердженні відповідних правил з підстав та/або у випадках, визначених нормативно-правовими актами Національного банку України;</w:t>
            </w:r>
          </w:p>
        </w:tc>
      </w:tr>
      <w:tr w:rsidR="00403AAD" w:rsidRPr="00286216" w14:paraId="6AC360F2" w14:textId="77777777" w:rsidTr="00091AA5">
        <w:tc>
          <w:tcPr>
            <w:tcW w:w="576" w:type="dxa"/>
          </w:tcPr>
          <w:p w14:paraId="797D7C79" w14:textId="77777777" w:rsidR="00403AAD" w:rsidRPr="00286216" w:rsidRDefault="00403AAD" w:rsidP="00403AAD">
            <w:pPr>
              <w:pStyle w:val="StyleWisnow"/>
              <w:rPr>
                <w:color w:val="000000" w:themeColor="text1"/>
              </w:rPr>
            </w:pPr>
            <w:bookmarkStart w:id="587" w:name="n883" w:colFirst="0" w:colLast="0"/>
            <w:bookmarkEnd w:id="586"/>
            <w:r w:rsidRPr="00286216">
              <w:rPr>
                <w:color w:val="000000" w:themeColor="text1"/>
              </w:rPr>
              <w:t>883.</w:t>
            </w:r>
          </w:p>
        </w:tc>
        <w:tc>
          <w:tcPr>
            <w:tcW w:w="4818" w:type="dxa"/>
          </w:tcPr>
          <w:p w14:paraId="5E1D1CB3" w14:textId="77777777" w:rsidR="00403AAD" w:rsidRPr="00286216" w:rsidRDefault="00403AAD" w:rsidP="00403AAD">
            <w:pPr>
              <w:pStyle w:val="StyleZakonu"/>
              <w:rPr>
                <w:color w:val="000000" w:themeColor="text1"/>
              </w:rPr>
            </w:pPr>
            <w:r w:rsidRPr="00286216">
              <w:rPr>
                <w:color w:val="000000" w:themeColor="text1"/>
              </w:rPr>
              <w:t>2) Національною комісією з цінних паперів та фондового ринку після їх затвердження регулятором відповідного товарного ринку та/або центральним органом виконавчої влади, що забезпечує формування та реалізує державну політику у відповідних сферах - щодо регульованого товарного ринку. Регулятор або відповідний центральний орган виконавчої влади має право відмовити у затвердженні відповідних правил з підстав та/або у випадках, визначених нормативно-правовими актами такого регулятора;</w:t>
            </w:r>
          </w:p>
        </w:tc>
        <w:tc>
          <w:tcPr>
            <w:tcW w:w="3686" w:type="dxa"/>
          </w:tcPr>
          <w:p w14:paraId="1DE2EADA" w14:textId="45C5CEF9"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507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5586F49" w14:textId="77777777" w:rsidR="00403AAD" w:rsidRPr="00286216" w:rsidRDefault="00403AAD" w:rsidP="00403AAD">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4CB1FEF0" w14:textId="77777777" w:rsidR="00403AAD" w:rsidRPr="00286216" w:rsidRDefault="00403AAD" w:rsidP="00403AAD">
            <w:pPr>
              <w:pStyle w:val="StyleProp"/>
              <w:rPr>
                <w:color w:val="000000" w:themeColor="text1"/>
              </w:rPr>
            </w:pPr>
            <w:r w:rsidRPr="00286216">
              <w:rPr>
                <w:color w:val="000000" w:themeColor="text1"/>
              </w:rPr>
              <w:t>Пункт 2 частини 5 статті 48 виключити та відповідно змінити нумерацію наступного пункту.</w:t>
            </w:r>
          </w:p>
          <w:p w14:paraId="638E1899" w14:textId="70516808"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508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52967F" w14:textId="77777777" w:rsidR="00403AAD" w:rsidRPr="00286216" w:rsidRDefault="00403AAD" w:rsidP="00403AAD">
            <w:pPr>
              <w:pStyle w:val="StyleProp"/>
              <w:rPr>
                <w:color w:val="000000" w:themeColor="text1"/>
                <w:spacing w:val="-2"/>
              </w:rPr>
            </w:pPr>
            <w:r w:rsidRPr="00286216">
              <w:rPr>
                <w:color w:val="000000" w:themeColor="text1"/>
                <w:szCs w:val="18"/>
              </w:rPr>
              <w:t>В пункті 2 частини 5 статті 48 слова</w:t>
            </w:r>
            <w:r w:rsidRPr="00286216">
              <w:rPr>
                <w:color w:val="000000" w:themeColor="text1"/>
              </w:rPr>
              <w:t xml:space="preserve"> «регулятором відповідного товарного ринку та/або», «регулятор або»</w:t>
            </w:r>
            <w:r w:rsidRPr="00286216">
              <w:rPr>
                <w:color w:val="000000" w:themeColor="text1"/>
                <w:szCs w:val="18"/>
              </w:rPr>
              <w:t xml:space="preserve"> виключити.</w:t>
            </w:r>
          </w:p>
        </w:tc>
        <w:tc>
          <w:tcPr>
            <w:tcW w:w="1987" w:type="dxa"/>
          </w:tcPr>
          <w:p w14:paraId="44647C13" w14:textId="77777777" w:rsidR="00403AAD" w:rsidRPr="00286216" w:rsidRDefault="00403AAD" w:rsidP="00403AAD">
            <w:pPr>
              <w:pStyle w:val="StyleWisnow"/>
              <w:rPr>
                <w:color w:val="000000" w:themeColor="text1"/>
              </w:rPr>
            </w:pPr>
            <w:r w:rsidRPr="00286216">
              <w:rPr>
                <w:color w:val="000000" w:themeColor="text1"/>
              </w:rPr>
              <w:t>Враховано</w:t>
            </w:r>
          </w:p>
          <w:p w14:paraId="5DF8BAFE" w14:textId="77777777" w:rsidR="00403AAD" w:rsidRPr="00286216" w:rsidRDefault="00403AAD" w:rsidP="00403AAD">
            <w:pPr>
              <w:pStyle w:val="StyleWisnow"/>
              <w:rPr>
                <w:color w:val="000000" w:themeColor="text1"/>
              </w:rPr>
            </w:pPr>
          </w:p>
          <w:p w14:paraId="2A2A972A" w14:textId="77777777" w:rsidR="00403AAD" w:rsidRPr="00286216" w:rsidRDefault="00403AAD" w:rsidP="00403AAD">
            <w:pPr>
              <w:pStyle w:val="StyleWisnow"/>
              <w:rPr>
                <w:color w:val="000000" w:themeColor="text1"/>
              </w:rPr>
            </w:pPr>
          </w:p>
          <w:p w14:paraId="3EF5E785" w14:textId="77777777" w:rsidR="00403AAD" w:rsidRPr="00286216" w:rsidRDefault="00403AAD" w:rsidP="00403AAD">
            <w:pPr>
              <w:pStyle w:val="StyleWisnow"/>
              <w:rPr>
                <w:color w:val="000000" w:themeColor="text1"/>
              </w:rPr>
            </w:pPr>
          </w:p>
          <w:p w14:paraId="7ABFBB2B" w14:textId="77777777" w:rsidR="00403AAD" w:rsidRPr="00286216" w:rsidRDefault="00403AAD" w:rsidP="00403AAD">
            <w:pPr>
              <w:pStyle w:val="StyleWisnow"/>
              <w:rPr>
                <w:color w:val="000000" w:themeColor="text1"/>
              </w:rPr>
            </w:pPr>
          </w:p>
          <w:p w14:paraId="287C695E"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47E301A8" w14:textId="77777777" w:rsidR="00403AAD" w:rsidRPr="00286216" w:rsidRDefault="00403AAD" w:rsidP="00403AAD">
            <w:pPr>
              <w:pStyle w:val="StyleZakonu"/>
              <w:rPr>
                <w:color w:val="000000" w:themeColor="text1"/>
              </w:rPr>
            </w:pPr>
          </w:p>
        </w:tc>
      </w:tr>
      <w:tr w:rsidR="00403AAD" w:rsidRPr="00286216" w14:paraId="1F051CE4" w14:textId="77777777" w:rsidTr="00091AA5">
        <w:tc>
          <w:tcPr>
            <w:tcW w:w="576" w:type="dxa"/>
          </w:tcPr>
          <w:p w14:paraId="646B18BA" w14:textId="77777777" w:rsidR="00403AAD" w:rsidRPr="00286216" w:rsidRDefault="00403AAD" w:rsidP="00403AAD">
            <w:pPr>
              <w:pStyle w:val="StyleWisnow"/>
              <w:rPr>
                <w:color w:val="000000" w:themeColor="text1"/>
              </w:rPr>
            </w:pPr>
            <w:bookmarkStart w:id="588" w:name="n884" w:colFirst="0" w:colLast="0"/>
            <w:bookmarkEnd w:id="587"/>
            <w:r w:rsidRPr="00286216">
              <w:rPr>
                <w:color w:val="000000" w:themeColor="text1"/>
              </w:rPr>
              <w:t>884.</w:t>
            </w:r>
          </w:p>
        </w:tc>
        <w:tc>
          <w:tcPr>
            <w:tcW w:w="4818" w:type="dxa"/>
          </w:tcPr>
          <w:p w14:paraId="7BA07839" w14:textId="77777777" w:rsidR="00403AAD" w:rsidRPr="00286216" w:rsidRDefault="00403AAD" w:rsidP="00403AAD">
            <w:pPr>
              <w:pStyle w:val="StyleZakonu"/>
              <w:rPr>
                <w:color w:val="000000" w:themeColor="text1"/>
              </w:rPr>
            </w:pPr>
            <w:r w:rsidRPr="00286216">
              <w:rPr>
                <w:color w:val="000000" w:themeColor="text1"/>
              </w:rPr>
              <w:t>3) Національною комісією з цінних паперів та фондового ринку щодо інших регульованих ринків.</w:t>
            </w:r>
          </w:p>
        </w:tc>
        <w:tc>
          <w:tcPr>
            <w:tcW w:w="3686" w:type="dxa"/>
          </w:tcPr>
          <w:p w14:paraId="56312F0C" w14:textId="77777777" w:rsidR="00403AAD" w:rsidRPr="00286216" w:rsidRDefault="00403AAD" w:rsidP="00403AAD">
            <w:pPr>
              <w:pStyle w:val="StyleProp"/>
              <w:rPr>
                <w:color w:val="000000" w:themeColor="text1"/>
                <w:szCs w:val="18"/>
              </w:rPr>
            </w:pPr>
          </w:p>
        </w:tc>
        <w:tc>
          <w:tcPr>
            <w:tcW w:w="1987" w:type="dxa"/>
          </w:tcPr>
          <w:p w14:paraId="37E6C171" w14:textId="77777777" w:rsidR="00403AAD" w:rsidRPr="00286216" w:rsidRDefault="00403AAD" w:rsidP="00403AAD">
            <w:pPr>
              <w:pStyle w:val="StyleWisnow"/>
              <w:rPr>
                <w:color w:val="000000" w:themeColor="text1"/>
              </w:rPr>
            </w:pPr>
          </w:p>
        </w:tc>
        <w:tc>
          <w:tcPr>
            <w:tcW w:w="4818" w:type="dxa"/>
          </w:tcPr>
          <w:p w14:paraId="2A97DCFA" w14:textId="17468640" w:rsidR="00403AAD" w:rsidRPr="00286216" w:rsidRDefault="00403AAD" w:rsidP="00403AAD">
            <w:pPr>
              <w:pStyle w:val="StyleZakonu"/>
              <w:rPr>
                <w:color w:val="000000" w:themeColor="text1"/>
              </w:rPr>
            </w:pPr>
            <w:r w:rsidRPr="00286216">
              <w:rPr>
                <w:color w:val="000000" w:themeColor="text1"/>
              </w:rPr>
              <w:t>2) Національною комісією з цінних паперів та фондового ринку - щодо інших регульованих ринків.</w:t>
            </w:r>
          </w:p>
        </w:tc>
      </w:tr>
      <w:tr w:rsidR="00403AAD" w:rsidRPr="00286216" w14:paraId="4A10E321" w14:textId="77777777" w:rsidTr="00091AA5">
        <w:tc>
          <w:tcPr>
            <w:tcW w:w="576" w:type="dxa"/>
          </w:tcPr>
          <w:p w14:paraId="223227E7" w14:textId="77777777" w:rsidR="00403AAD" w:rsidRPr="00286216" w:rsidRDefault="00403AAD" w:rsidP="00403AAD">
            <w:pPr>
              <w:pStyle w:val="StyleWisnow"/>
              <w:rPr>
                <w:color w:val="000000" w:themeColor="text1"/>
              </w:rPr>
            </w:pPr>
            <w:bookmarkStart w:id="589" w:name="n885" w:colFirst="0" w:colLast="0"/>
            <w:bookmarkEnd w:id="588"/>
            <w:r w:rsidRPr="00286216">
              <w:rPr>
                <w:color w:val="000000" w:themeColor="text1"/>
              </w:rPr>
              <w:t>885.</w:t>
            </w:r>
          </w:p>
        </w:tc>
        <w:tc>
          <w:tcPr>
            <w:tcW w:w="4818" w:type="dxa"/>
          </w:tcPr>
          <w:p w14:paraId="793190EC" w14:textId="77777777" w:rsidR="00403AAD" w:rsidRPr="00286216" w:rsidRDefault="00403AAD" w:rsidP="00403AAD">
            <w:pPr>
              <w:pStyle w:val="StyleZakonu"/>
              <w:rPr>
                <w:color w:val="000000" w:themeColor="text1"/>
              </w:rPr>
            </w:pPr>
            <w:bookmarkStart w:id="590" w:name="_Ref20334454"/>
            <w:r w:rsidRPr="00286216">
              <w:rPr>
                <w:color w:val="000000" w:themeColor="text1"/>
              </w:rPr>
              <w:t>6. Оператор регульованого ринку зобов’язаний до подання правил функціонування регульованого ринку на реєстрацію Національній комісії з цінних паперів та фондового ринку укласти договір про здійснення клірингу з особою, яка провадить клірингову діяльність Центрального контрагента.</w:t>
            </w:r>
            <w:bookmarkEnd w:id="590"/>
          </w:p>
        </w:tc>
        <w:tc>
          <w:tcPr>
            <w:tcW w:w="3686" w:type="dxa"/>
          </w:tcPr>
          <w:p w14:paraId="7D919CED" w14:textId="77777777" w:rsidR="00403AAD" w:rsidRPr="00286216" w:rsidRDefault="00403AAD" w:rsidP="00403AAD">
            <w:pPr>
              <w:pStyle w:val="StyleProp"/>
              <w:rPr>
                <w:color w:val="000000" w:themeColor="text1"/>
                <w:szCs w:val="18"/>
              </w:rPr>
            </w:pPr>
          </w:p>
        </w:tc>
        <w:tc>
          <w:tcPr>
            <w:tcW w:w="1987" w:type="dxa"/>
          </w:tcPr>
          <w:p w14:paraId="563E1F37" w14:textId="77777777" w:rsidR="00403AAD" w:rsidRPr="00286216" w:rsidRDefault="00403AAD" w:rsidP="00403AAD">
            <w:pPr>
              <w:pStyle w:val="StyleWisnow"/>
              <w:rPr>
                <w:color w:val="000000" w:themeColor="text1"/>
              </w:rPr>
            </w:pPr>
          </w:p>
        </w:tc>
        <w:tc>
          <w:tcPr>
            <w:tcW w:w="4818" w:type="dxa"/>
          </w:tcPr>
          <w:p w14:paraId="28406935" w14:textId="127C69E4" w:rsidR="00403AAD" w:rsidRPr="00286216" w:rsidRDefault="00403AAD" w:rsidP="00403AAD">
            <w:pPr>
              <w:pStyle w:val="StyleZakonu"/>
              <w:rPr>
                <w:color w:val="000000" w:themeColor="text1"/>
              </w:rPr>
            </w:pPr>
            <w:r w:rsidRPr="00286216">
              <w:rPr>
                <w:color w:val="000000" w:themeColor="text1"/>
              </w:rPr>
              <w:t>6. Оператор регульованого ринку зобов’язаний до подання правил функціонування регульованого ринку на реєстрацію до Національної комісії з цінних паперів та фондового ринку укласти договір про здійснення клірингу з особою, яка провадить клірингову діяльність центрального контрагента.</w:t>
            </w:r>
          </w:p>
        </w:tc>
      </w:tr>
      <w:tr w:rsidR="00403AAD" w:rsidRPr="00286216" w14:paraId="5A001FDE" w14:textId="77777777" w:rsidTr="00091AA5">
        <w:tc>
          <w:tcPr>
            <w:tcW w:w="576" w:type="dxa"/>
          </w:tcPr>
          <w:p w14:paraId="04E650C5" w14:textId="77777777" w:rsidR="00403AAD" w:rsidRPr="00286216" w:rsidRDefault="00403AAD" w:rsidP="00403AAD">
            <w:pPr>
              <w:pStyle w:val="StyleWisnow"/>
              <w:rPr>
                <w:color w:val="000000" w:themeColor="text1"/>
              </w:rPr>
            </w:pPr>
            <w:bookmarkStart w:id="591" w:name="n886" w:colFirst="0" w:colLast="0"/>
            <w:bookmarkEnd w:id="589"/>
            <w:r w:rsidRPr="00286216">
              <w:rPr>
                <w:color w:val="000000" w:themeColor="text1"/>
              </w:rPr>
              <w:t>886.</w:t>
            </w:r>
          </w:p>
        </w:tc>
        <w:tc>
          <w:tcPr>
            <w:tcW w:w="4818" w:type="dxa"/>
          </w:tcPr>
          <w:p w14:paraId="12B538A3" w14:textId="77777777" w:rsidR="00403AAD" w:rsidRPr="00286216" w:rsidRDefault="00403AAD" w:rsidP="00403AAD">
            <w:pPr>
              <w:pStyle w:val="StyleZakonu"/>
              <w:rPr>
                <w:color w:val="000000" w:themeColor="text1"/>
              </w:rPr>
            </w:pPr>
            <w:r w:rsidRPr="00286216">
              <w:rPr>
                <w:color w:val="000000" w:themeColor="text1"/>
              </w:rPr>
              <w:t>Вимоги до зазначеного договору встановлюються Національною комісією з цінних паперів та фондового ринку.</w:t>
            </w:r>
          </w:p>
        </w:tc>
        <w:tc>
          <w:tcPr>
            <w:tcW w:w="3686" w:type="dxa"/>
          </w:tcPr>
          <w:p w14:paraId="4D4A78FD" w14:textId="77777777" w:rsidR="00403AAD" w:rsidRPr="00286216" w:rsidRDefault="00403AAD" w:rsidP="00403AAD">
            <w:pPr>
              <w:pStyle w:val="StyleProp"/>
              <w:rPr>
                <w:color w:val="000000" w:themeColor="text1"/>
                <w:szCs w:val="18"/>
              </w:rPr>
            </w:pPr>
          </w:p>
        </w:tc>
        <w:tc>
          <w:tcPr>
            <w:tcW w:w="1987" w:type="dxa"/>
          </w:tcPr>
          <w:p w14:paraId="3D106F75" w14:textId="77777777" w:rsidR="00403AAD" w:rsidRPr="00286216" w:rsidRDefault="00403AAD" w:rsidP="00403AAD">
            <w:pPr>
              <w:pStyle w:val="StyleWisnow"/>
              <w:rPr>
                <w:color w:val="000000" w:themeColor="text1"/>
              </w:rPr>
            </w:pPr>
          </w:p>
        </w:tc>
        <w:tc>
          <w:tcPr>
            <w:tcW w:w="4818" w:type="dxa"/>
          </w:tcPr>
          <w:p w14:paraId="3A90A469" w14:textId="274BD639" w:rsidR="00403AAD" w:rsidRPr="00286216" w:rsidRDefault="00403AAD" w:rsidP="00403AAD">
            <w:pPr>
              <w:pStyle w:val="StyleZakonu"/>
              <w:rPr>
                <w:color w:val="000000" w:themeColor="text1"/>
              </w:rPr>
            </w:pPr>
            <w:r w:rsidRPr="00286216">
              <w:rPr>
                <w:color w:val="000000" w:themeColor="text1"/>
              </w:rPr>
              <w:t>Вимоги до зазначеного договору встановлюються Національною комісією з цінних паперів та фондового ринку.</w:t>
            </w:r>
          </w:p>
        </w:tc>
      </w:tr>
      <w:tr w:rsidR="00403AAD" w:rsidRPr="00286216" w14:paraId="2811FE75" w14:textId="77777777" w:rsidTr="00091AA5">
        <w:tc>
          <w:tcPr>
            <w:tcW w:w="576" w:type="dxa"/>
          </w:tcPr>
          <w:p w14:paraId="51D36BAD" w14:textId="77777777" w:rsidR="00403AAD" w:rsidRPr="00286216" w:rsidRDefault="00403AAD" w:rsidP="00403AAD">
            <w:pPr>
              <w:pStyle w:val="StyleWisnow"/>
              <w:rPr>
                <w:color w:val="000000" w:themeColor="text1"/>
              </w:rPr>
            </w:pPr>
            <w:bookmarkStart w:id="592" w:name="n887" w:colFirst="0" w:colLast="0"/>
            <w:bookmarkEnd w:id="591"/>
            <w:r w:rsidRPr="00286216">
              <w:rPr>
                <w:color w:val="000000" w:themeColor="text1"/>
              </w:rPr>
              <w:t>887.</w:t>
            </w:r>
          </w:p>
        </w:tc>
        <w:tc>
          <w:tcPr>
            <w:tcW w:w="4818" w:type="dxa"/>
          </w:tcPr>
          <w:p w14:paraId="36D6B87F" w14:textId="77777777" w:rsidR="00403AAD" w:rsidRPr="00286216" w:rsidRDefault="00403AAD" w:rsidP="00403AAD">
            <w:pPr>
              <w:pStyle w:val="StyleZakonu"/>
              <w:rPr>
                <w:color w:val="000000" w:themeColor="text1"/>
              </w:rPr>
            </w:pPr>
            <w:r w:rsidRPr="00286216">
              <w:rPr>
                <w:color w:val="000000" w:themeColor="text1"/>
              </w:rPr>
              <w:t xml:space="preserve">До укладення зазначеного договору оператор регульованого ринку не має права провадити діяльність з організації торгівлі на регульованих ринках, якщо інше не встановлено нормативними актами Національної комісії з цінних паперів та </w:t>
            </w:r>
            <w:r w:rsidRPr="00286216">
              <w:rPr>
                <w:color w:val="000000" w:themeColor="text1"/>
              </w:rPr>
              <w:lastRenderedPageBreak/>
              <w:t>фондового ринку.</w:t>
            </w:r>
          </w:p>
        </w:tc>
        <w:tc>
          <w:tcPr>
            <w:tcW w:w="3686" w:type="dxa"/>
          </w:tcPr>
          <w:p w14:paraId="6670A226" w14:textId="69FD2FAE" w:rsidR="00403AAD" w:rsidRPr="00286216" w:rsidRDefault="00403AAD" w:rsidP="00403AAD">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509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A09669F"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У статті 48 у абзаці третьому частини 6 слово «торгівлі» замінити словами та дужками «обігу (торгівлі)».</w:t>
            </w:r>
          </w:p>
          <w:p w14:paraId="25B29AEF" w14:textId="794D05CC"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510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FEE8D01" w14:textId="77777777" w:rsidR="00403AAD" w:rsidRPr="00286216" w:rsidRDefault="00403AAD" w:rsidP="00403AAD">
            <w:pPr>
              <w:pStyle w:val="StyleProp"/>
              <w:spacing w:line="180" w:lineRule="exact"/>
              <w:rPr>
                <w:color w:val="000000" w:themeColor="text1"/>
                <w:spacing w:val="-2"/>
                <w:szCs w:val="18"/>
              </w:rPr>
            </w:pPr>
            <w:r w:rsidRPr="00286216">
              <w:rPr>
                <w:color w:val="000000" w:themeColor="text1"/>
                <w:spacing w:val="-4"/>
                <w:szCs w:val="18"/>
              </w:rPr>
              <w:lastRenderedPageBreak/>
              <w:t>У частині 6 статті 48 с</w:t>
            </w:r>
            <w:r w:rsidRPr="00286216">
              <w:rPr>
                <w:color w:val="000000" w:themeColor="text1"/>
                <w:spacing w:val="-4"/>
              </w:rPr>
              <w:t>лово "нормативними"</w:t>
            </w:r>
            <w:r w:rsidRPr="00286216">
              <w:rPr>
                <w:color w:val="000000" w:themeColor="text1"/>
                <w:spacing w:val="-2"/>
              </w:rPr>
              <w:t xml:space="preserve"> замінити словами "нормативно-правовими".</w:t>
            </w:r>
          </w:p>
        </w:tc>
        <w:tc>
          <w:tcPr>
            <w:tcW w:w="1987" w:type="dxa"/>
          </w:tcPr>
          <w:p w14:paraId="0DA43276"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6F309D33"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p w14:paraId="370BA08B" w14:textId="77777777" w:rsidR="00403AAD" w:rsidRPr="00286216" w:rsidRDefault="00403AAD" w:rsidP="00403AAD">
            <w:pPr>
              <w:pStyle w:val="StyleWisnow"/>
              <w:spacing w:line="180" w:lineRule="exact"/>
              <w:rPr>
                <w:color w:val="000000" w:themeColor="text1"/>
              </w:rPr>
            </w:pPr>
          </w:p>
          <w:p w14:paraId="541AC771" w14:textId="77777777" w:rsidR="00403AAD" w:rsidRPr="00286216" w:rsidRDefault="00403AAD" w:rsidP="00403AAD">
            <w:pPr>
              <w:pStyle w:val="StyleWisnow"/>
              <w:spacing w:line="180" w:lineRule="exact"/>
              <w:rPr>
                <w:color w:val="000000" w:themeColor="text1"/>
              </w:rPr>
            </w:pPr>
            <w:r w:rsidRPr="00286216">
              <w:rPr>
                <w:color w:val="000000" w:themeColor="text1"/>
              </w:rPr>
              <w:t>Враховано</w:t>
            </w:r>
          </w:p>
        </w:tc>
        <w:tc>
          <w:tcPr>
            <w:tcW w:w="4818" w:type="dxa"/>
          </w:tcPr>
          <w:p w14:paraId="226216D0" w14:textId="1B0F82AC" w:rsidR="00403AAD" w:rsidRPr="00286216" w:rsidRDefault="00403AAD" w:rsidP="00403AAD">
            <w:pPr>
              <w:pStyle w:val="StyleZakonu"/>
              <w:rPr>
                <w:color w:val="000000" w:themeColor="text1"/>
              </w:rPr>
            </w:pPr>
            <w:r w:rsidRPr="00286216">
              <w:rPr>
                <w:color w:val="000000" w:themeColor="text1"/>
              </w:rPr>
              <w:t xml:space="preserve">До укладення зазначеного договору оператор регульованого ринку не має права провадити діяльність з організації торгівлі на регульованих ринках, якщо інше не встановлено </w:t>
            </w:r>
            <w:r w:rsidRPr="00286216">
              <w:rPr>
                <w:color w:val="000000" w:themeColor="text1"/>
                <w:spacing w:val="-2"/>
              </w:rPr>
              <w:t>нормативно-правовими</w:t>
            </w:r>
            <w:r w:rsidRPr="00286216">
              <w:rPr>
                <w:color w:val="000000" w:themeColor="text1"/>
              </w:rPr>
              <w:t xml:space="preserve"> актами Національної комісії з цінних </w:t>
            </w:r>
            <w:r w:rsidRPr="00286216">
              <w:rPr>
                <w:color w:val="000000" w:themeColor="text1"/>
              </w:rPr>
              <w:lastRenderedPageBreak/>
              <w:t>паперів та фондового ринку.</w:t>
            </w:r>
          </w:p>
        </w:tc>
      </w:tr>
      <w:tr w:rsidR="00403AAD" w:rsidRPr="00286216" w14:paraId="793312D1" w14:textId="77777777" w:rsidTr="00091AA5">
        <w:tc>
          <w:tcPr>
            <w:tcW w:w="576" w:type="dxa"/>
          </w:tcPr>
          <w:p w14:paraId="555BA0A0" w14:textId="77777777" w:rsidR="00403AAD" w:rsidRPr="00286216" w:rsidRDefault="00403AAD" w:rsidP="00403AAD">
            <w:pPr>
              <w:pStyle w:val="StyleWisnow"/>
              <w:rPr>
                <w:color w:val="000000" w:themeColor="text1"/>
              </w:rPr>
            </w:pPr>
            <w:bookmarkStart w:id="593" w:name="n888" w:colFirst="0" w:colLast="0"/>
            <w:bookmarkEnd w:id="592"/>
            <w:r w:rsidRPr="00286216">
              <w:rPr>
                <w:color w:val="000000" w:themeColor="text1"/>
              </w:rPr>
              <w:lastRenderedPageBreak/>
              <w:t>888.</w:t>
            </w:r>
          </w:p>
        </w:tc>
        <w:tc>
          <w:tcPr>
            <w:tcW w:w="4818" w:type="dxa"/>
          </w:tcPr>
          <w:p w14:paraId="372DF6F6" w14:textId="77777777" w:rsidR="00403AAD" w:rsidRPr="00286216" w:rsidRDefault="00403AAD" w:rsidP="00403AAD">
            <w:pPr>
              <w:pStyle w:val="StyleZakonu"/>
              <w:rPr>
                <w:color w:val="000000" w:themeColor="text1"/>
              </w:rPr>
            </w:pPr>
            <w:r w:rsidRPr="00286216">
              <w:rPr>
                <w:color w:val="000000" w:themeColor="text1"/>
              </w:rPr>
              <w:t>7. Правила регульованого ринку, правила БТМ та правила ОТМ розробляються відповідним оператором окремо для кожної з таких багатосторонніх систем та реєструються Національною комісією з цінних паперів та фондового ринку.</w:t>
            </w:r>
          </w:p>
        </w:tc>
        <w:tc>
          <w:tcPr>
            <w:tcW w:w="3686" w:type="dxa"/>
          </w:tcPr>
          <w:p w14:paraId="7968173A" w14:textId="46BD0611"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511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9500070" w14:textId="77777777" w:rsidR="00403AAD" w:rsidRPr="00286216" w:rsidRDefault="00403AAD" w:rsidP="00403AAD">
            <w:pPr>
              <w:pStyle w:val="StyleProp"/>
              <w:rPr>
                <w:color w:val="000000" w:themeColor="text1"/>
                <w:szCs w:val="18"/>
              </w:rPr>
            </w:pPr>
            <w:r w:rsidRPr="00286216">
              <w:rPr>
                <w:color w:val="000000" w:themeColor="text1"/>
                <w:spacing w:val="-2"/>
              </w:rPr>
              <w:t>Частину 5 статті 48 після слова «правила» доповнити словом «функціонування ».</w:t>
            </w:r>
          </w:p>
        </w:tc>
        <w:tc>
          <w:tcPr>
            <w:tcW w:w="1987" w:type="dxa"/>
          </w:tcPr>
          <w:p w14:paraId="7D2D7F9B"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58562FB" w14:textId="5DEF9A0C" w:rsidR="00403AAD" w:rsidRPr="00286216" w:rsidRDefault="00403AAD" w:rsidP="00403AAD">
            <w:pPr>
              <w:pStyle w:val="StyleZakonu"/>
              <w:rPr>
                <w:color w:val="000000" w:themeColor="text1"/>
              </w:rPr>
            </w:pPr>
            <w:r w:rsidRPr="00286216">
              <w:rPr>
                <w:color w:val="000000" w:themeColor="text1"/>
              </w:rPr>
              <w:t xml:space="preserve">7. Правила </w:t>
            </w:r>
            <w:r w:rsidRPr="00286216">
              <w:rPr>
                <w:color w:val="000000" w:themeColor="text1"/>
                <w:spacing w:val="-2"/>
              </w:rPr>
              <w:t xml:space="preserve">функціонування </w:t>
            </w:r>
            <w:r w:rsidRPr="00286216">
              <w:rPr>
                <w:color w:val="000000" w:themeColor="text1"/>
              </w:rPr>
              <w:t xml:space="preserve">регульованого ринку, правила </w:t>
            </w:r>
            <w:r w:rsidRPr="00286216">
              <w:rPr>
                <w:color w:val="000000" w:themeColor="text1"/>
                <w:spacing w:val="-2"/>
              </w:rPr>
              <w:t xml:space="preserve">функціонування </w:t>
            </w:r>
            <w:r w:rsidRPr="00286216">
              <w:rPr>
                <w:color w:val="000000" w:themeColor="text1"/>
              </w:rPr>
              <w:t xml:space="preserve">БТМ та правила </w:t>
            </w:r>
            <w:r w:rsidRPr="00286216">
              <w:rPr>
                <w:color w:val="000000" w:themeColor="text1"/>
                <w:spacing w:val="-2"/>
              </w:rPr>
              <w:t xml:space="preserve">функціонування </w:t>
            </w:r>
            <w:r w:rsidRPr="00286216">
              <w:rPr>
                <w:color w:val="000000" w:themeColor="text1"/>
              </w:rPr>
              <w:t>ОТМ розробляються відповідним оператором окремо для кожної з таких багатосторонніх систем та реєструються Національною комісією з цінних паперів та фондового ринку.</w:t>
            </w:r>
          </w:p>
        </w:tc>
      </w:tr>
      <w:tr w:rsidR="00403AAD" w:rsidRPr="00286216" w14:paraId="36F64447" w14:textId="77777777" w:rsidTr="00091AA5">
        <w:tc>
          <w:tcPr>
            <w:tcW w:w="576" w:type="dxa"/>
          </w:tcPr>
          <w:p w14:paraId="3765E1C0" w14:textId="77777777" w:rsidR="00403AAD" w:rsidRPr="00286216" w:rsidRDefault="00403AAD" w:rsidP="00403AAD">
            <w:pPr>
              <w:pStyle w:val="StyleWisnow"/>
              <w:rPr>
                <w:color w:val="000000" w:themeColor="text1"/>
              </w:rPr>
            </w:pPr>
            <w:bookmarkStart w:id="594" w:name="n889" w:colFirst="0" w:colLast="0"/>
            <w:bookmarkEnd w:id="593"/>
            <w:r w:rsidRPr="00286216">
              <w:rPr>
                <w:color w:val="000000" w:themeColor="text1"/>
              </w:rPr>
              <w:t>889.</w:t>
            </w:r>
          </w:p>
        </w:tc>
        <w:tc>
          <w:tcPr>
            <w:tcW w:w="4818" w:type="dxa"/>
          </w:tcPr>
          <w:p w14:paraId="5A92461C" w14:textId="77777777" w:rsidR="00403AAD" w:rsidRPr="00286216" w:rsidRDefault="00403AAD" w:rsidP="00403AAD">
            <w:pPr>
              <w:pStyle w:val="StyleZakonu"/>
              <w:rPr>
                <w:color w:val="000000" w:themeColor="text1"/>
              </w:rPr>
            </w:pPr>
            <w:r w:rsidRPr="00286216">
              <w:rPr>
                <w:color w:val="000000" w:themeColor="text1"/>
              </w:rPr>
              <w:t>8. Кандидатури керівників операторів організованих ринків капіталу погоджуються з Національною комісією з цінних паперів та фондового ринку в установленому нею порядку.</w:t>
            </w:r>
          </w:p>
        </w:tc>
        <w:tc>
          <w:tcPr>
            <w:tcW w:w="3686" w:type="dxa"/>
          </w:tcPr>
          <w:p w14:paraId="38988553" w14:textId="77777777" w:rsidR="00403AAD" w:rsidRPr="00286216" w:rsidRDefault="00403AAD" w:rsidP="00403AAD">
            <w:pPr>
              <w:pStyle w:val="StyleProp"/>
              <w:rPr>
                <w:color w:val="000000" w:themeColor="text1"/>
                <w:szCs w:val="18"/>
              </w:rPr>
            </w:pPr>
          </w:p>
        </w:tc>
        <w:tc>
          <w:tcPr>
            <w:tcW w:w="1987" w:type="dxa"/>
          </w:tcPr>
          <w:p w14:paraId="4E3FA33C" w14:textId="77777777" w:rsidR="00403AAD" w:rsidRPr="00286216" w:rsidRDefault="00403AAD" w:rsidP="00403AAD">
            <w:pPr>
              <w:pStyle w:val="StyleWisnow"/>
              <w:rPr>
                <w:color w:val="000000" w:themeColor="text1"/>
              </w:rPr>
            </w:pPr>
          </w:p>
        </w:tc>
        <w:tc>
          <w:tcPr>
            <w:tcW w:w="4818" w:type="dxa"/>
          </w:tcPr>
          <w:p w14:paraId="7A6605B7" w14:textId="29B1391F" w:rsidR="00403AAD" w:rsidRPr="00286216" w:rsidRDefault="00403AAD" w:rsidP="00403AAD">
            <w:pPr>
              <w:pStyle w:val="StyleZakonu"/>
              <w:rPr>
                <w:color w:val="000000" w:themeColor="text1"/>
              </w:rPr>
            </w:pPr>
            <w:r w:rsidRPr="00286216">
              <w:rPr>
                <w:color w:val="000000" w:themeColor="text1"/>
              </w:rPr>
              <w:t>8. Кандидатури керівників операторів організованих ринків капіталу погоджуються з Національною комісією з цінних паперів та фондового ринку в установленому нею порядку.</w:t>
            </w:r>
          </w:p>
        </w:tc>
      </w:tr>
      <w:tr w:rsidR="00403AAD" w:rsidRPr="00286216" w14:paraId="33708ED6" w14:textId="77777777" w:rsidTr="00091AA5">
        <w:tc>
          <w:tcPr>
            <w:tcW w:w="576" w:type="dxa"/>
          </w:tcPr>
          <w:p w14:paraId="20A628F1" w14:textId="77777777" w:rsidR="00403AAD" w:rsidRPr="00286216" w:rsidRDefault="00403AAD" w:rsidP="00403AAD">
            <w:pPr>
              <w:pStyle w:val="StyleWisnow"/>
              <w:rPr>
                <w:color w:val="000000" w:themeColor="text1"/>
              </w:rPr>
            </w:pPr>
            <w:bookmarkStart w:id="595" w:name="n890" w:colFirst="0" w:colLast="0"/>
            <w:bookmarkEnd w:id="594"/>
            <w:r w:rsidRPr="00286216">
              <w:rPr>
                <w:color w:val="000000" w:themeColor="text1"/>
              </w:rPr>
              <w:t>890.</w:t>
            </w:r>
          </w:p>
        </w:tc>
        <w:tc>
          <w:tcPr>
            <w:tcW w:w="4818" w:type="dxa"/>
          </w:tcPr>
          <w:p w14:paraId="217D7487" w14:textId="77777777" w:rsidR="00403AAD" w:rsidRPr="00286216" w:rsidRDefault="00403AAD" w:rsidP="00403AAD">
            <w:pPr>
              <w:pStyle w:val="StyleZakonu"/>
              <w:rPr>
                <w:color w:val="000000" w:themeColor="text1"/>
              </w:rPr>
            </w:pPr>
            <w:r w:rsidRPr="00286216">
              <w:rPr>
                <w:color w:val="000000" w:themeColor="text1"/>
              </w:rPr>
              <w:t>Кандидати на посаду керівника оператора організованого ринку капіталу повинні відповідати вимогам, установленим Національною комісією з цінних паперів та фондового ринку, зокрема:</w:t>
            </w:r>
          </w:p>
        </w:tc>
        <w:tc>
          <w:tcPr>
            <w:tcW w:w="3686" w:type="dxa"/>
          </w:tcPr>
          <w:p w14:paraId="64EC23C0" w14:textId="77777777" w:rsidR="00403AAD" w:rsidRPr="00286216" w:rsidRDefault="00403AAD" w:rsidP="00403AAD">
            <w:pPr>
              <w:pStyle w:val="StyleProp"/>
              <w:rPr>
                <w:color w:val="000000" w:themeColor="text1"/>
              </w:rPr>
            </w:pPr>
          </w:p>
        </w:tc>
        <w:tc>
          <w:tcPr>
            <w:tcW w:w="1987" w:type="dxa"/>
          </w:tcPr>
          <w:p w14:paraId="52246C3E" w14:textId="77777777" w:rsidR="00403AAD" w:rsidRPr="00286216" w:rsidRDefault="00403AAD" w:rsidP="00403AAD">
            <w:pPr>
              <w:pStyle w:val="StyleWisnow"/>
              <w:rPr>
                <w:color w:val="000000" w:themeColor="text1"/>
              </w:rPr>
            </w:pPr>
          </w:p>
        </w:tc>
        <w:tc>
          <w:tcPr>
            <w:tcW w:w="4818" w:type="dxa"/>
          </w:tcPr>
          <w:p w14:paraId="5A596B27" w14:textId="20811DA6" w:rsidR="00403AAD" w:rsidRPr="00286216" w:rsidRDefault="00403AAD" w:rsidP="00403AAD">
            <w:pPr>
              <w:pStyle w:val="StyleZakonu"/>
              <w:rPr>
                <w:color w:val="000000" w:themeColor="text1"/>
              </w:rPr>
            </w:pPr>
            <w:r w:rsidRPr="00286216">
              <w:rPr>
                <w:color w:val="000000" w:themeColor="text1"/>
              </w:rPr>
              <w:t>Кандидати на посаду керівника оператора організованого ринку капіталу повинні відповідати вимогам, встановленим Національною комісією з цінних паперів та фондового ринку, зокрема:</w:t>
            </w:r>
          </w:p>
        </w:tc>
      </w:tr>
      <w:tr w:rsidR="00403AAD" w:rsidRPr="00286216" w14:paraId="3D90DD97" w14:textId="77777777" w:rsidTr="00091AA5">
        <w:tc>
          <w:tcPr>
            <w:tcW w:w="576" w:type="dxa"/>
          </w:tcPr>
          <w:p w14:paraId="00246F27" w14:textId="77777777" w:rsidR="00403AAD" w:rsidRPr="00286216" w:rsidRDefault="00403AAD" w:rsidP="00403AAD">
            <w:pPr>
              <w:pStyle w:val="StyleWisnow"/>
              <w:rPr>
                <w:color w:val="000000" w:themeColor="text1"/>
              </w:rPr>
            </w:pPr>
            <w:bookmarkStart w:id="596" w:name="n891" w:colFirst="0" w:colLast="0"/>
            <w:bookmarkEnd w:id="595"/>
            <w:r w:rsidRPr="00286216">
              <w:rPr>
                <w:color w:val="000000" w:themeColor="text1"/>
              </w:rPr>
              <w:t>891.</w:t>
            </w:r>
          </w:p>
        </w:tc>
        <w:tc>
          <w:tcPr>
            <w:tcW w:w="4818" w:type="dxa"/>
          </w:tcPr>
          <w:p w14:paraId="10C8E29E" w14:textId="77777777" w:rsidR="00403AAD" w:rsidRPr="00286216" w:rsidRDefault="00403AAD" w:rsidP="00403AAD">
            <w:pPr>
              <w:pStyle w:val="StyleZakonu"/>
              <w:rPr>
                <w:color w:val="000000" w:themeColor="text1"/>
              </w:rPr>
            </w:pPr>
            <w:r w:rsidRPr="00286216">
              <w:rPr>
                <w:color w:val="000000" w:themeColor="text1"/>
              </w:rPr>
              <w:t>1) мати стаж роботи на ринках капіталу та організованих товарних ринках не менш як три роки;</w:t>
            </w:r>
          </w:p>
        </w:tc>
        <w:tc>
          <w:tcPr>
            <w:tcW w:w="3686" w:type="dxa"/>
          </w:tcPr>
          <w:p w14:paraId="05AA8AC4" w14:textId="77777777" w:rsidR="00403AAD" w:rsidRPr="00286216" w:rsidRDefault="00403AAD" w:rsidP="00403AAD">
            <w:pPr>
              <w:pStyle w:val="StyleProp"/>
              <w:rPr>
                <w:color w:val="000000" w:themeColor="text1"/>
                <w:szCs w:val="18"/>
              </w:rPr>
            </w:pPr>
          </w:p>
        </w:tc>
        <w:tc>
          <w:tcPr>
            <w:tcW w:w="1987" w:type="dxa"/>
          </w:tcPr>
          <w:p w14:paraId="7A9A27FE" w14:textId="77777777" w:rsidR="00403AAD" w:rsidRPr="00286216" w:rsidRDefault="00403AAD" w:rsidP="00403AAD">
            <w:pPr>
              <w:pStyle w:val="StyleWisnow"/>
              <w:rPr>
                <w:color w:val="000000" w:themeColor="text1"/>
              </w:rPr>
            </w:pPr>
          </w:p>
        </w:tc>
        <w:tc>
          <w:tcPr>
            <w:tcW w:w="4818" w:type="dxa"/>
          </w:tcPr>
          <w:p w14:paraId="06FD46C6" w14:textId="0A45E9F9" w:rsidR="00403AAD" w:rsidRPr="00286216" w:rsidRDefault="00403AAD" w:rsidP="00403AAD">
            <w:pPr>
              <w:pStyle w:val="StyleZakonu"/>
              <w:rPr>
                <w:color w:val="000000" w:themeColor="text1"/>
              </w:rPr>
            </w:pPr>
            <w:r w:rsidRPr="00286216">
              <w:rPr>
                <w:color w:val="000000" w:themeColor="text1"/>
              </w:rPr>
              <w:t>1) мати стаж роботи на ринках капіталу та організованих товарних ринках не менше трьох років;</w:t>
            </w:r>
          </w:p>
        </w:tc>
      </w:tr>
      <w:tr w:rsidR="00403AAD" w:rsidRPr="00286216" w14:paraId="49B208F8" w14:textId="77777777" w:rsidTr="00091AA5">
        <w:tc>
          <w:tcPr>
            <w:tcW w:w="576" w:type="dxa"/>
          </w:tcPr>
          <w:p w14:paraId="7991C484" w14:textId="77777777" w:rsidR="00403AAD" w:rsidRPr="00286216" w:rsidRDefault="00403AAD" w:rsidP="00403AAD">
            <w:pPr>
              <w:pStyle w:val="StyleWisnow"/>
              <w:rPr>
                <w:color w:val="000000" w:themeColor="text1"/>
              </w:rPr>
            </w:pPr>
            <w:bookmarkStart w:id="597" w:name="n892" w:colFirst="0" w:colLast="0"/>
            <w:bookmarkEnd w:id="596"/>
            <w:r w:rsidRPr="00286216">
              <w:rPr>
                <w:color w:val="000000" w:themeColor="text1"/>
              </w:rPr>
              <w:t>892.</w:t>
            </w:r>
          </w:p>
        </w:tc>
        <w:tc>
          <w:tcPr>
            <w:tcW w:w="4818" w:type="dxa"/>
          </w:tcPr>
          <w:p w14:paraId="682CF3E9" w14:textId="77777777" w:rsidR="00403AAD" w:rsidRPr="00286216" w:rsidRDefault="00403AAD" w:rsidP="00403AAD">
            <w:pPr>
              <w:pStyle w:val="StyleZakonu"/>
              <w:rPr>
                <w:color w:val="000000" w:themeColor="text1"/>
              </w:rPr>
            </w:pPr>
            <w:r w:rsidRPr="00286216">
              <w:rPr>
                <w:color w:val="000000" w:themeColor="text1"/>
              </w:rPr>
              <w:t>2) не повинен бути керівником професійного учасника ринків капіталу та організованих товарних ринків, ліквідованого за рішенням суду або до якого застосовувалася санкція у вигляді анулювання ліцензії на провадження певних видів професійної діяльності на ринках капіталу та організованих товарних ринках за останні три роки;</w:t>
            </w:r>
          </w:p>
        </w:tc>
        <w:tc>
          <w:tcPr>
            <w:tcW w:w="3686" w:type="dxa"/>
          </w:tcPr>
          <w:p w14:paraId="1F962A82" w14:textId="77777777" w:rsidR="00403AAD" w:rsidRPr="00286216" w:rsidRDefault="00403AAD" w:rsidP="00403AAD">
            <w:pPr>
              <w:pStyle w:val="StyleProp"/>
              <w:rPr>
                <w:color w:val="000000" w:themeColor="text1"/>
                <w:szCs w:val="18"/>
              </w:rPr>
            </w:pPr>
          </w:p>
        </w:tc>
        <w:tc>
          <w:tcPr>
            <w:tcW w:w="1987" w:type="dxa"/>
          </w:tcPr>
          <w:p w14:paraId="5EE9702D" w14:textId="77777777" w:rsidR="00403AAD" w:rsidRPr="00286216" w:rsidRDefault="00403AAD" w:rsidP="00403AAD">
            <w:pPr>
              <w:pStyle w:val="StyleWisnow"/>
              <w:rPr>
                <w:color w:val="000000" w:themeColor="text1"/>
              </w:rPr>
            </w:pPr>
          </w:p>
        </w:tc>
        <w:tc>
          <w:tcPr>
            <w:tcW w:w="4818" w:type="dxa"/>
          </w:tcPr>
          <w:p w14:paraId="3C815BF8" w14:textId="6E88810E" w:rsidR="00403AAD" w:rsidRPr="00286216" w:rsidRDefault="00403AAD" w:rsidP="00403AAD">
            <w:pPr>
              <w:pStyle w:val="StyleZakonu"/>
              <w:rPr>
                <w:color w:val="000000" w:themeColor="text1"/>
              </w:rPr>
            </w:pPr>
            <w:r w:rsidRPr="00286216">
              <w:rPr>
                <w:color w:val="000000" w:themeColor="text1"/>
              </w:rPr>
              <w:t>2) не бути керівником професійного учасника ринків капіталу та організованих товарних ринків, ліквідованого за рішенням суду або до якого застосовувалася санкція у вигляді анулювання ліцензії на провадження певних видів професійної діяльності на ринках капіталу та організованих товарних ринках  протягом  останніх трьох  років;</w:t>
            </w:r>
          </w:p>
        </w:tc>
      </w:tr>
      <w:tr w:rsidR="00403AAD" w:rsidRPr="00286216" w14:paraId="7E2F61A1" w14:textId="77777777" w:rsidTr="00091AA5">
        <w:tc>
          <w:tcPr>
            <w:tcW w:w="576" w:type="dxa"/>
          </w:tcPr>
          <w:p w14:paraId="4E0EDDB2" w14:textId="77777777" w:rsidR="00403AAD" w:rsidRPr="00286216" w:rsidRDefault="00403AAD" w:rsidP="00403AAD">
            <w:pPr>
              <w:pStyle w:val="StyleWisnow"/>
              <w:rPr>
                <w:color w:val="000000" w:themeColor="text1"/>
              </w:rPr>
            </w:pPr>
            <w:bookmarkStart w:id="598" w:name="n893" w:colFirst="0" w:colLast="0"/>
            <w:bookmarkEnd w:id="597"/>
            <w:r w:rsidRPr="00286216">
              <w:rPr>
                <w:color w:val="000000" w:themeColor="text1"/>
              </w:rPr>
              <w:t>893.</w:t>
            </w:r>
          </w:p>
        </w:tc>
        <w:tc>
          <w:tcPr>
            <w:tcW w:w="4818" w:type="dxa"/>
          </w:tcPr>
          <w:p w14:paraId="2B5BDA12" w14:textId="77777777" w:rsidR="00403AAD" w:rsidRPr="00286216" w:rsidRDefault="00403AAD" w:rsidP="00403AAD">
            <w:pPr>
              <w:pStyle w:val="StyleZakonu"/>
              <w:rPr>
                <w:color w:val="000000" w:themeColor="text1"/>
              </w:rPr>
            </w:pPr>
            <w:r w:rsidRPr="00286216">
              <w:rPr>
                <w:color w:val="000000" w:themeColor="text1"/>
              </w:rPr>
              <w:t>3) за останній рік провадження кандидатом діяльності на ринках капіталу та організованих товарних ринках відсутні факти анулювання сертифіката на право здійснення дій, пов’язаних з безпосереднім провадженням професійної діяльності на ринках капіталу та організованих товарних ринках.</w:t>
            </w:r>
          </w:p>
        </w:tc>
        <w:tc>
          <w:tcPr>
            <w:tcW w:w="3686" w:type="dxa"/>
          </w:tcPr>
          <w:p w14:paraId="7DC9A74C" w14:textId="4CD775A6" w:rsidR="00403AAD" w:rsidRPr="00286216" w:rsidRDefault="00403AAD" w:rsidP="00403AAD">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512</w:t>
            </w:r>
            <w:r w:rsidRPr="00286216">
              <w:rPr>
                <w:color w:val="000000" w:themeColor="text1"/>
                <w:spacing w:val="-10"/>
              </w:rPr>
              <w:fldChar w:fldCharType="end"/>
            </w:r>
            <w:r w:rsidRPr="00286216">
              <w:rPr>
                <w:color w:val="000000" w:themeColor="text1"/>
                <w:spacing w:val="-10"/>
              </w:rPr>
              <w:t>-Н.д.Гетманцев Д.О.(Реєстр.картка №245)</w:t>
            </w:r>
          </w:p>
          <w:p w14:paraId="3C2408BE" w14:textId="77777777" w:rsidR="00403AAD" w:rsidRPr="00286216" w:rsidRDefault="00403AAD" w:rsidP="00403AAD">
            <w:pPr>
              <w:pStyle w:val="StyleProp"/>
              <w:rPr>
                <w:color w:val="000000" w:themeColor="text1"/>
              </w:rPr>
            </w:pPr>
            <w:r w:rsidRPr="00286216">
              <w:rPr>
                <w:color w:val="000000" w:themeColor="text1"/>
              </w:rPr>
              <w:t>У статті 48 абзац другий частини восьмої доповнити пунктами 4 - 7 такого змісту:</w:t>
            </w:r>
          </w:p>
          <w:p w14:paraId="4D703DDC" w14:textId="77777777" w:rsidR="00403AAD" w:rsidRPr="00286216" w:rsidRDefault="00403AAD" w:rsidP="00403AAD">
            <w:pPr>
              <w:pStyle w:val="StyleProp"/>
              <w:rPr>
                <w:color w:val="000000" w:themeColor="text1"/>
              </w:rPr>
            </w:pPr>
            <w:r w:rsidRPr="00286216">
              <w:rPr>
                <w:color w:val="000000" w:themeColor="text1"/>
              </w:rPr>
              <w:t>«4) наявність бездоганної ділової репутації;</w:t>
            </w:r>
          </w:p>
          <w:p w14:paraId="6601FCC8" w14:textId="77777777" w:rsidR="00403AAD" w:rsidRPr="00286216" w:rsidRDefault="00403AAD" w:rsidP="00403AAD">
            <w:pPr>
              <w:pStyle w:val="StyleProp"/>
              <w:rPr>
                <w:color w:val="000000" w:themeColor="text1"/>
              </w:rPr>
            </w:pPr>
            <w:r w:rsidRPr="00286216">
              <w:rPr>
                <w:color w:val="000000" w:themeColor="text1"/>
              </w:rPr>
              <w:t>5) не повинен бути керівником (заступником керівника) банку, відносно якого було прийнято рішення Національним банком України щодо віднесення його до категорії неплатоспроможних банків;</w:t>
            </w:r>
          </w:p>
          <w:p w14:paraId="754B7904" w14:textId="77777777" w:rsidR="00403AAD" w:rsidRPr="00286216" w:rsidRDefault="00403AAD" w:rsidP="00403AAD">
            <w:pPr>
              <w:pStyle w:val="StyleProp"/>
              <w:rPr>
                <w:color w:val="000000" w:themeColor="text1"/>
              </w:rPr>
            </w:pPr>
            <w:r w:rsidRPr="00286216">
              <w:rPr>
                <w:color w:val="000000" w:themeColor="text1"/>
              </w:rPr>
              <w:t>6) не повинен бути керівником (заступником керівника) фінансової установи, яка була визнана банкрутом відповідно до законодавства;</w:t>
            </w:r>
          </w:p>
          <w:p w14:paraId="6B6E9206" w14:textId="77777777" w:rsidR="00403AAD" w:rsidRPr="00286216" w:rsidRDefault="00403AAD" w:rsidP="00403AAD">
            <w:pPr>
              <w:pStyle w:val="StyleProp"/>
              <w:rPr>
                <w:color w:val="000000" w:themeColor="text1"/>
              </w:rPr>
            </w:pPr>
            <w:r w:rsidRPr="00286216">
              <w:rPr>
                <w:color w:val="000000" w:themeColor="text1"/>
              </w:rPr>
              <w:t xml:space="preserve">7) не повинен бути керівником (заступником керівника) будь-якого суб’єкта господарювання, відносно якого уповноваженим державним органом прийнято рішення про анулювання ліцензії на будь-який вид господарської діяльності, </w:t>
            </w:r>
            <w:r w:rsidRPr="00286216">
              <w:rPr>
                <w:color w:val="000000" w:themeColor="text1"/>
              </w:rPr>
              <w:lastRenderedPageBreak/>
              <w:t>що підлягає ліцензуванню відповідно до законодавства.»</w:t>
            </w:r>
          </w:p>
        </w:tc>
        <w:tc>
          <w:tcPr>
            <w:tcW w:w="1987" w:type="dxa"/>
          </w:tcPr>
          <w:p w14:paraId="0BE4EEE3" w14:textId="77777777" w:rsidR="00403AAD" w:rsidRPr="00286216" w:rsidRDefault="00403AAD" w:rsidP="00403AAD">
            <w:pPr>
              <w:pStyle w:val="StyleWisnow"/>
              <w:rPr>
                <w:color w:val="000000" w:themeColor="text1"/>
              </w:rPr>
            </w:pPr>
            <w:r w:rsidRPr="00286216">
              <w:rPr>
                <w:color w:val="000000" w:themeColor="text1"/>
              </w:rPr>
              <w:lastRenderedPageBreak/>
              <w:t>Враховано частково</w:t>
            </w:r>
          </w:p>
        </w:tc>
        <w:tc>
          <w:tcPr>
            <w:tcW w:w="4818" w:type="dxa"/>
          </w:tcPr>
          <w:p w14:paraId="77CC1F38" w14:textId="77777777" w:rsidR="00403AAD" w:rsidRPr="00286216" w:rsidRDefault="00403AAD" w:rsidP="00403AAD">
            <w:pPr>
              <w:pStyle w:val="StyleZakonu"/>
              <w:rPr>
                <w:color w:val="000000" w:themeColor="text1"/>
              </w:rPr>
            </w:pPr>
            <w:r w:rsidRPr="00286216">
              <w:rPr>
                <w:color w:val="000000" w:themeColor="text1"/>
              </w:rPr>
              <w:t>3)  протягом останнього року відсутні факти анулювання сертифіката на право здійснення дій, пов’язаних з безпосереднім провадженням професійної діяльності на ринках капіталу та організованих товарних ринках;</w:t>
            </w:r>
          </w:p>
          <w:p w14:paraId="6CD68C7F" w14:textId="77777777" w:rsidR="00403AAD" w:rsidRPr="00286216" w:rsidRDefault="00403AAD" w:rsidP="00403AAD">
            <w:pPr>
              <w:pStyle w:val="StyleProp"/>
              <w:ind w:firstLine="284"/>
              <w:rPr>
                <w:color w:val="000000" w:themeColor="text1"/>
                <w:sz w:val="20"/>
              </w:rPr>
            </w:pPr>
            <w:r w:rsidRPr="00286216">
              <w:rPr>
                <w:color w:val="000000" w:themeColor="text1"/>
                <w:sz w:val="20"/>
              </w:rPr>
              <w:t>4) мати бездоганну ділову репутацію;</w:t>
            </w:r>
          </w:p>
          <w:p w14:paraId="7DD8C65D" w14:textId="77777777" w:rsidR="00403AAD" w:rsidRPr="00286216" w:rsidRDefault="00403AAD" w:rsidP="00403AAD">
            <w:pPr>
              <w:pStyle w:val="StyleProp"/>
              <w:ind w:firstLine="284"/>
              <w:rPr>
                <w:color w:val="000000" w:themeColor="text1"/>
                <w:sz w:val="20"/>
              </w:rPr>
            </w:pPr>
            <w:r w:rsidRPr="00286216">
              <w:rPr>
                <w:color w:val="000000" w:themeColor="text1"/>
                <w:sz w:val="20"/>
              </w:rPr>
              <w:t>5) не бути керівником чи заступником керівника банку, щодо якого Національним банком України було прийнято рішення про віднесення його до категорії неплатоспроможних банків;</w:t>
            </w:r>
          </w:p>
          <w:p w14:paraId="003EE316" w14:textId="77777777" w:rsidR="00403AAD" w:rsidRPr="00286216" w:rsidRDefault="00403AAD" w:rsidP="00403AAD">
            <w:pPr>
              <w:pStyle w:val="StyleProp"/>
              <w:ind w:firstLine="284"/>
              <w:rPr>
                <w:color w:val="000000" w:themeColor="text1"/>
                <w:sz w:val="20"/>
              </w:rPr>
            </w:pPr>
            <w:r w:rsidRPr="00286216">
              <w:rPr>
                <w:color w:val="000000" w:themeColor="text1"/>
                <w:sz w:val="20"/>
              </w:rPr>
              <w:t>6) не бути керівником чи заступником керівника фінансової установи, яка була визнана банкрутом відповідно до законодавства;</w:t>
            </w:r>
          </w:p>
          <w:p w14:paraId="241614F9" w14:textId="079A7BDE" w:rsidR="00403AAD" w:rsidRPr="00286216" w:rsidRDefault="00403AAD" w:rsidP="00403AAD">
            <w:pPr>
              <w:pStyle w:val="StyleZakonu"/>
              <w:rPr>
                <w:color w:val="000000" w:themeColor="text1"/>
              </w:rPr>
            </w:pPr>
            <w:r w:rsidRPr="00286216">
              <w:rPr>
                <w:color w:val="000000" w:themeColor="text1"/>
              </w:rPr>
              <w:t xml:space="preserve">7) не бути керівником чи заступником керівника будь-якого суб’єкта господарювання, щодо якого протягом останніх 10 років уповноваженим державним органом було прийнято рішення про анулювання ліцензії на провадження будь-якого виду господарської діяльності у сфері, пов’язаній з </w:t>
            </w:r>
            <w:r w:rsidRPr="00286216">
              <w:rPr>
                <w:color w:val="000000" w:themeColor="text1"/>
              </w:rPr>
              <w:lastRenderedPageBreak/>
              <w:t>ринками капіталу та організованими товарними ринками, що підлягає ліцензуванню відповідно до законодавства, яке набрало законної сили у встановленому законом порядку.</w:t>
            </w:r>
          </w:p>
        </w:tc>
      </w:tr>
      <w:tr w:rsidR="00403AAD" w:rsidRPr="00286216" w14:paraId="2EC8DB23" w14:textId="77777777" w:rsidTr="00091AA5">
        <w:tc>
          <w:tcPr>
            <w:tcW w:w="576" w:type="dxa"/>
          </w:tcPr>
          <w:p w14:paraId="7AC16122" w14:textId="77777777" w:rsidR="00403AAD" w:rsidRPr="00286216" w:rsidRDefault="00403AAD" w:rsidP="00403AAD">
            <w:pPr>
              <w:pStyle w:val="StyleWisnow"/>
              <w:rPr>
                <w:color w:val="000000" w:themeColor="text1"/>
              </w:rPr>
            </w:pPr>
            <w:bookmarkStart w:id="599" w:name="n894" w:colFirst="0" w:colLast="0"/>
            <w:bookmarkEnd w:id="598"/>
            <w:r w:rsidRPr="00286216">
              <w:rPr>
                <w:color w:val="000000" w:themeColor="text1"/>
              </w:rPr>
              <w:lastRenderedPageBreak/>
              <w:t>894.</w:t>
            </w:r>
          </w:p>
        </w:tc>
        <w:tc>
          <w:tcPr>
            <w:tcW w:w="4818" w:type="dxa"/>
          </w:tcPr>
          <w:p w14:paraId="67B85B19" w14:textId="77777777" w:rsidR="00403AAD" w:rsidRPr="00286216" w:rsidRDefault="00403AAD" w:rsidP="00403AAD">
            <w:pPr>
              <w:pStyle w:val="StyleZakonu"/>
              <w:rPr>
                <w:color w:val="000000" w:themeColor="text1"/>
              </w:rPr>
            </w:pPr>
            <w:bookmarkStart w:id="600" w:name="_Ref20846338"/>
            <w:r w:rsidRPr="00286216">
              <w:rPr>
                <w:color w:val="000000" w:themeColor="text1"/>
              </w:rPr>
              <w:t>Стаття 49. Утворення та функціонування організованих ринків</w:t>
            </w:r>
            <w:bookmarkEnd w:id="600"/>
          </w:p>
        </w:tc>
        <w:tc>
          <w:tcPr>
            <w:tcW w:w="3686" w:type="dxa"/>
          </w:tcPr>
          <w:p w14:paraId="268BB0C4" w14:textId="77777777" w:rsidR="00403AAD" w:rsidRPr="00286216" w:rsidRDefault="00403AAD" w:rsidP="00403AAD">
            <w:pPr>
              <w:pStyle w:val="StyleProp"/>
              <w:rPr>
                <w:color w:val="000000" w:themeColor="text1"/>
                <w:szCs w:val="18"/>
              </w:rPr>
            </w:pPr>
          </w:p>
        </w:tc>
        <w:tc>
          <w:tcPr>
            <w:tcW w:w="1987" w:type="dxa"/>
          </w:tcPr>
          <w:p w14:paraId="58090B25" w14:textId="77777777" w:rsidR="00403AAD" w:rsidRPr="00286216" w:rsidRDefault="00403AAD" w:rsidP="00403AAD">
            <w:pPr>
              <w:pStyle w:val="StyleWisnow"/>
              <w:rPr>
                <w:color w:val="000000" w:themeColor="text1"/>
              </w:rPr>
            </w:pPr>
          </w:p>
        </w:tc>
        <w:tc>
          <w:tcPr>
            <w:tcW w:w="4818" w:type="dxa"/>
          </w:tcPr>
          <w:p w14:paraId="6DFD7044" w14:textId="16E7FF9A" w:rsidR="00403AAD" w:rsidRPr="00286216" w:rsidRDefault="00403AAD" w:rsidP="00403AAD">
            <w:pPr>
              <w:pStyle w:val="StyleZakonu"/>
              <w:rPr>
                <w:color w:val="000000" w:themeColor="text1"/>
              </w:rPr>
            </w:pPr>
            <w:r w:rsidRPr="00286216">
              <w:rPr>
                <w:color w:val="000000" w:themeColor="text1"/>
              </w:rPr>
              <w:t>Стаття 52. Утворення та функціонування організованих ринків</w:t>
            </w:r>
          </w:p>
        </w:tc>
      </w:tr>
      <w:tr w:rsidR="00403AAD" w:rsidRPr="00286216" w14:paraId="384438E6" w14:textId="77777777" w:rsidTr="00091AA5">
        <w:tc>
          <w:tcPr>
            <w:tcW w:w="576" w:type="dxa"/>
          </w:tcPr>
          <w:p w14:paraId="6A8BA00F" w14:textId="77777777" w:rsidR="00403AAD" w:rsidRPr="00286216" w:rsidRDefault="00403AAD" w:rsidP="00403AAD">
            <w:pPr>
              <w:pStyle w:val="StyleWisnow"/>
              <w:rPr>
                <w:color w:val="000000" w:themeColor="text1"/>
              </w:rPr>
            </w:pPr>
            <w:bookmarkStart w:id="601" w:name="n895" w:colFirst="0" w:colLast="0"/>
            <w:bookmarkEnd w:id="599"/>
            <w:r w:rsidRPr="00286216">
              <w:rPr>
                <w:color w:val="000000" w:themeColor="text1"/>
              </w:rPr>
              <w:t>895.</w:t>
            </w:r>
          </w:p>
        </w:tc>
        <w:tc>
          <w:tcPr>
            <w:tcW w:w="4818" w:type="dxa"/>
          </w:tcPr>
          <w:p w14:paraId="09885132" w14:textId="77777777" w:rsidR="00403AAD" w:rsidRPr="00286216" w:rsidRDefault="00403AAD" w:rsidP="00403AAD">
            <w:pPr>
              <w:pStyle w:val="StyleZakonu"/>
              <w:rPr>
                <w:color w:val="000000" w:themeColor="text1"/>
              </w:rPr>
            </w:pPr>
            <w:r w:rsidRPr="00286216">
              <w:rPr>
                <w:color w:val="000000" w:themeColor="text1"/>
              </w:rPr>
              <w:t>1. Організований ринок утворюється оператором організованого ринку.</w:t>
            </w:r>
          </w:p>
        </w:tc>
        <w:tc>
          <w:tcPr>
            <w:tcW w:w="3686" w:type="dxa"/>
          </w:tcPr>
          <w:p w14:paraId="4D9F944D" w14:textId="77777777" w:rsidR="00403AAD" w:rsidRPr="00286216" w:rsidRDefault="00403AAD" w:rsidP="00403AAD">
            <w:pPr>
              <w:pStyle w:val="StyleProp"/>
              <w:rPr>
                <w:color w:val="000000" w:themeColor="text1"/>
                <w:szCs w:val="18"/>
              </w:rPr>
            </w:pPr>
          </w:p>
        </w:tc>
        <w:tc>
          <w:tcPr>
            <w:tcW w:w="1987" w:type="dxa"/>
          </w:tcPr>
          <w:p w14:paraId="7E091D18" w14:textId="77777777" w:rsidR="00403AAD" w:rsidRPr="00286216" w:rsidRDefault="00403AAD" w:rsidP="00403AAD">
            <w:pPr>
              <w:pStyle w:val="StyleWisnow"/>
              <w:rPr>
                <w:color w:val="000000" w:themeColor="text1"/>
              </w:rPr>
            </w:pPr>
          </w:p>
        </w:tc>
        <w:tc>
          <w:tcPr>
            <w:tcW w:w="4818" w:type="dxa"/>
          </w:tcPr>
          <w:p w14:paraId="3EAE1ABA" w14:textId="4A5B6B0E" w:rsidR="00403AAD" w:rsidRPr="00286216" w:rsidRDefault="00403AAD" w:rsidP="00403AAD">
            <w:pPr>
              <w:pStyle w:val="StyleZakonu"/>
              <w:rPr>
                <w:color w:val="000000" w:themeColor="text1"/>
              </w:rPr>
            </w:pPr>
            <w:r w:rsidRPr="00286216">
              <w:rPr>
                <w:color w:val="000000" w:themeColor="text1"/>
              </w:rPr>
              <w:t>1. Організований ринок утворюється оператором організованого ринку.</w:t>
            </w:r>
          </w:p>
        </w:tc>
      </w:tr>
      <w:tr w:rsidR="00403AAD" w:rsidRPr="00286216" w14:paraId="51E4B14D" w14:textId="77777777" w:rsidTr="00091AA5">
        <w:tc>
          <w:tcPr>
            <w:tcW w:w="576" w:type="dxa"/>
          </w:tcPr>
          <w:p w14:paraId="2C47958A" w14:textId="77777777" w:rsidR="00403AAD" w:rsidRPr="00286216" w:rsidRDefault="00403AAD" w:rsidP="00403AAD">
            <w:pPr>
              <w:pStyle w:val="StyleWisnow"/>
              <w:rPr>
                <w:color w:val="000000" w:themeColor="text1"/>
              </w:rPr>
            </w:pPr>
            <w:bookmarkStart w:id="602" w:name="n896" w:colFirst="0" w:colLast="0"/>
            <w:bookmarkEnd w:id="601"/>
            <w:r w:rsidRPr="00286216">
              <w:rPr>
                <w:color w:val="000000" w:themeColor="text1"/>
              </w:rPr>
              <w:t>896.</w:t>
            </w:r>
          </w:p>
        </w:tc>
        <w:tc>
          <w:tcPr>
            <w:tcW w:w="4818" w:type="dxa"/>
          </w:tcPr>
          <w:p w14:paraId="51409BA2" w14:textId="77777777" w:rsidR="00403AAD" w:rsidRPr="00286216" w:rsidRDefault="00403AAD" w:rsidP="00403AAD">
            <w:pPr>
              <w:pStyle w:val="StyleZakonu"/>
              <w:rPr>
                <w:color w:val="000000" w:themeColor="text1"/>
              </w:rPr>
            </w:pPr>
            <w:r w:rsidRPr="00286216">
              <w:rPr>
                <w:color w:val="000000" w:themeColor="text1"/>
              </w:rPr>
              <w:t>Організований ринок не є юридичною особою.</w:t>
            </w:r>
          </w:p>
        </w:tc>
        <w:tc>
          <w:tcPr>
            <w:tcW w:w="3686" w:type="dxa"/>
          </w:tcPr>
          <w:p w14:paraId="369F8126" w14:textId="77777777" w:rsidR="00403AAD" w:rsidRPr="00286216" w:rsidRDefault="00403AAD" w:rsidP="00403AAD">
            <w:pPr>
              <w:pStyle w:val="StyleProp"/>
              <w:rPr>
                <w:color w:val="000000" w:themeColor="text1"/>
                <w:szCs w:val="18"/>
              </w:rPr>
            </w:pPr>
          </w:p>
        </w:tc>
        <w:tc>
          <w:tcPr>
            <w:tcW w:w="1987" w:type="dxa"/>
          </w:tcPr>
          <w:p w14:paraId="202A6CD8" w14:textId="77777777" w:rsidR="00403AAD" w:rsidRPr="00286216" w:rsidRDefault="00403AAD" w:rsidP="00403AAD">
            <w:pPr>
              <w:pStyle w:val="StyleWisnow"/>
              <w:rPr>
                <w:color w:val="000000" w:themeColor="text1"/>
              </w:rPr>
            </w:pPr>
          </w:p>
        </w:tc>
        <w:tc>
          <w:tcPr>
            <w:tcW w:w="4818" w:type="dxa"/>
          </w:tcPr>
          <w:p w14:paraId="169E4C60" w14:textId="5AE8F2EF" w:rsidR="00403AAD" w:rsidRPr="00286216" w:rsidRDefault="00403AAD" w:rsidP="00403AAD">
            <w:pPr>
              <w:pStyle w:val="StyleZakonu"/>
              <w:rPr>
                <w:color w:val="000000" w:themeColor="text1"/>
              </w:rPr>
            </w:pPr>
            <w:r w:rsidRPr="00286216">
              <w:rPr>
                <w:color w:val="000000" w:themeColor="text1"/>
              </w:rPr>
              <w:t>Організований ринок не є юридичною особою.</w:t>
            </w:r>
          </w:p>
        </w:tc>
      </w:tr>
      <w:tr w:rsidR="00403AAD" w:rsidRPr="00286216" w14:paraId="77904DDA" w14:textId="77777777" w:rsidTr="00091AA5">
        <w:tc>
          <w:tcPr>
            <w:tcW w:w="576" w:type="dxa"/>
          </w:tcPr>
          <w:p w14:paraId="4D72BA2D" w14:textId="77777777" w:rsidR="00403AAD" w:rsidRPr="00286216" w:rsidRDefault="00403AAD" w:rsidP="00403AAD">
            <w:pPr>
              <w:pStyle w:val="StyleWisnow"/>
              <w:rPr>
                <w:color w:val="000000" w:themeColor="text1"/>
              </w:rPr>
            </w:pPr>
            <w:bookmarkStart w:id="603" w:name="n897" w:colFirst="0" w:colLast="0"/>
            <w:bookmarkEnd w:id="602"/>
            <w:r w:rsidRPr="00286216">
              <w:rPr>
                <w:color w:val="000000" w:themeColor="text1"/>
              </w:rPr>
              <w:t>897.</w:t>
            </w:r>
          </w:p>
        </w:tc>
        <w:tc>
          <w:tcPr>
            <w:tcW w:w="4818" w:type="dxa"/>
          </w:tcPr>
          <w:p w14:paraId="455D3D12" w14:textId="77777777" w:rsidR="00403AAD" w:rsidRPr="00286216" w:rsidRDefault="00403AAD" w:rsidP="00403AAD">
            <w:pPr>
              <w:pStyle w:val="StyleZakonu"/>
              <w:rPr>
                <w:color w:val="000000" w:themeColor="text1"/>
              </w:rPr>
            </w:pPr>
            <w:r w:rsidRPr="00286216">
              <w:rPr>
                <w:color w:val="000000" w:themeColor="text1"/>
              </w:rPr>
              <w:t>2. Юридична особа набуває статусу оператора організованого ринку з дня отримання будь-якої з ліцензій на діяльність з організації торгівлі на ринках капіталу та організованих товарних ринках.</w:t>
            </w:r>
          </w:p>
        </w:tc>
        <w:tc>
          <w:tcPr>
            <w:tcW w:w="3686" w:type="dxa"/>
          </w:tcPr>
          <w:p w14:paraId="24FCA485" w14:textId="41EEF7A0"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513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B405903" w14:textId="77777777" w:rsidR="00403AAD" w:rsidRPr="00286216" w:rsidRDefault="00403AAD" w:rsidP="00403AAD">
            <w:pPr>
              <w:pStyle w:val="StyleProp"/>
              <w:spacing w:line="180" w:lineRule="exact"/>
              <w:rPr>
                <w:color w:val="000000" w:themeColor="text1"/>
                <w:szCs w:val="18"/>
              </w:rPr>
            </w:pPr>
            <w:r w:rsidRPr="00286216">
              <w:rPr>
                <w:color w:val="000000" w:themeColor="text1"/>
                <w:szCs w:val="18"/>
              </w:rPr>
              <w:t>В абзаці першому частини другої статті 49 нової редакції Закону слово «торгівлі» замінити словами та дужками «обігу (торгівлі)».</w:t>
            </w:r>
          </w:p>
        </w:tc>
        <w:tc>
          <w:tcPr>
            <w:tcW w:w="1987" w:type="dxa"/>
          </w:tcPr>
          <w:p w14:paraId="3EA381A3" w14:textId="77777777" w:rsidR="00403AAD" w:rsidRPr="00286216" w:rsidRDefault="00403AAD" w:rsidP="00403AAD">
            <w:pPr>
              <w:pStyle w:val="StyleWisnow"/>
              <w:spacing w:line="180" w:lineRule="exact"/>
              <w:rPr>
                <w:color w:val="000000" w:themeColor="text1"/>
              </w:rPr>
            </w:pPr>
            <w:r w:rsidRPr="00286216">
              <w:rPr>
                <w:color w:val="000000" w:themeColor="text1"/>
              </w:rPr>
              <w:t>Відхилено</w:t>
            </w:r>
          </w:p>
          <w:p w14:paraId="21B110E0" w14:textId="77777777" w:rsidR="00403AAD" w:rsidRPr="00286216" w:rsidRDefault="00403AAD" w:rsidP="00403AAD">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20E11FDE" w14:textId="210453E3" w:rsidR="00403AAD" w:rsidRPr="00286216" w:rsidRDefault="00403AAD" w:rsidP="00403AAD">
            <w:pPr>
              <w:pStyle w:val="StyleZakonu"/>
              <w:rPr>
                <w:color w:val="000000" w:themeColor="text1"/>
              </w:rPr>
            </w:pPr>
            <w:r w:rsidRPr="00286216">
              <w:rPr>
                <w:color w:val="000000" w:themeColor="text1"/>
              </w:rPr>
              <w:t>2. Юридична особа набуває статусу оператора організованого ринку з дня отримання будь-якої з ліцензій на провадження відповідного виду діяльності  з організації торгівлі на ринках капіталу та організованих товарних ринках.</w:t>
            </w:r>
          </w:p>
        </w:tc>
      </w:tr>
      <w:tr w:rsidR="00403AAD" w:rsidRPr="00286216" w14:paraId="4B65ED4F" w14:textId="77777777" w:rsidTr="00091AA5">
        <w:tc>
          <w:tcPr>
            <w:tcW w:w="576" w:type="dxa"/>
          </w:tcPr>
          <w:p w14:paraId="7607ABF6" w14:textId="77777777" w:rsidR="00403AAD" w:rsidRPr="00286216" w:rsidRDefault="00403AAD" w:rsidP="00403AAD">
            <w:pPr>
              <w:pStyle w:val="StyleWisnow"/>
              <w:rPr>
                <w:color w:val="000000" w:themeColor="text1"/>
              </w:rPr>
            </w:pPr>
            <w:bookmarkStart w:id="604" w:name="n898" w:colFirst="0" w:colLast="0"/>
            <w:bookmarkEnd w:id="603"/>
            <w:r w:rsidRPr="00286216">
              <w:rPr>
                <w:color w:val="000000" w:themeColor="text1"/>
              </w:rPr>
              <w:t>898.</w:t>
            </w:r>
          </w:p>
        </w:tc>
        <w:tc>
          <w:tcPr>
            <w:tcW w:w="4818" w:type="dxa"/>
          </w:tcPr>
          <w:p w14:paraId="1F5D01AB" w14:textId="77777777" w:rsidR="00403AAD" w:rsidRPr="00286216" w:rsidRDefault="00403AAD" w:rsidP="00403AAD">
            <w:pPr>
              <w:pStyle w:val="StyleZakonu"/>
              <w:rPr>
                <w:color w:val="000000" w:themeColor="text1"/>
              </w:rPr>
            </w:pPr>
            <w:r w:rsidRPr="00286216">
              <w:rPr>
                <w:color w:val="000000" w:themeColor="text1"/>
              </w:rPr>
              <w:t>Організований ринок починає функціонувати після реєстрації Національною комісією з цінних паперів та фондового ринку правил функціонування такого організованого ринку.</w:t>
            </w:r>
          </w:p>
        </w:tc>
        <w:tc>
          <w:tcPr>
            <w:tcW w:w="3686" w:type="dxa"/>
          </w:tcPr>
          <w:p w14:paraId="4E15B5FE" w14:textId="664774BD"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514</w:t>
            </w:r>
            <w:r w:rsidRPr="00286216">
              <w:rPr>
                <w:color w:val="000000" w:themeColor="text1"/>
              </w:rPr>
              <w:fldChar w:fldCharType="end"/>
            </w:r>
            <w:r w:rsidRPr="00286216">
              <w:rPr>
                <w:color w:val="000000" w:themeColor="text1"/>
              </w:rPr>
              <w:t>-Н.д.Шахов С.В. (Реєстр.картка №114)</w:t>
            </w:r>
          </w:p>
          <w:p w14:paraId="31F3A5F2" w14:textId="77777777" w:rsidR="00403AAD" w:rsidRPr="00286216" w:rsidRDefault="00403AAD" w:rsidP="00403AAD">
            <w:pPr>
              <w:pStyle w:val="StyleProp"/>
              <w:rPr>
                <w:color w:val="000000" w:themeColor="text1"/>
                <w:spacing w:val="-2"/>
              </w:rPr>
            </w:pPr>
            <w:r w:rsidRPr="00286216">
              <w:rPr>
                <w:color w:val="000000" w:themeColor="text1"/>
                <w:spacing w:val="-2"/>
              </w:rPr>
              <w:t>У ст.49 частину 2 викласти у такій редакції:</w:t>
            </w:r>
          </w:p>
          <w:p w14:paraId="6B31F221" w14:textId="77777777" w:rsidR="00403AAD" w:rsidRPr="00286216" w:rsidRDefault="00403AAD" w:rsidP="00403AAD">
            <w:pPr>
              <w:pStyle w:val="StyleProp"/>
              <w:rPr>
                <w:color w:val="000000" w:themeColor="text1"/>
              </w:rPr>
            </w:pPr>
            <w:r w:rsidRPr="00286216">
              <w:rPr>
                <w:color w:val="000000" w:themeColor="text1"/>
              </w:rPr>
              <w:t>«2. Юридична особа набуває статусу оператора організованого ринку з дня отримання будь-якої з ліцензій (або іншого дозвільного документу, визначеного законодавством про товарні ринки) у регулятора відповідного ринку на діяльність з організації торгівлі на ринках капіталу та організованих товарних ринках (або на інших підставах, визначених законодавством про товарні ринки).</w:t>
            </w:r>
          </w:p>
          <w:p w14:paraId="2EF39D2D" w14:textId="417C9E66" w:rsidR="00403AAD" w:rsidRPr="00286216" w:rsidRDefault="00403AAD" w:rsidP="00403AAD">
            <w:pPr>
              <w:pStyle w:val="StyleProp"/>
              <w:rPr>
                <w:color w:val="000000" w:themeColor="text1"/>
              </w:rPr>
            </w:pPr>
            <w:r w:rsidRPr="00286216">
              <w:rPr>
                <w:color w:val="000000" w:themeColor="text1"/>
              </w:rPr>
              <w:t>Організований ринок починає функціонувати після реєстрації регулятором відповідного ринку правил функціонування такого організованого ринку.</w:t>
            </w:r>
          </w:p>
        </w:tc>
        <w:tc>
          <w:tcPr>
            <w:tcW w:w="1987" w:type="dxa"/>
          </w:tcPr>
          <w:p w14:paraId="52E19FFD" w14:textId="77777777" w:rsidR="00403AAD" w:rsidRPr="00286216" w:rsidRDefault="00403AAD" w:rsidP="00403AAD">
            <w:pPr>
              <w:pStyle w:val="StyleWisnow"/>
              <w:rPr>
                <w:color w:val="000000" w:themeColor="text1"/>
              </w:rPr>
            </w:pPr>
            <w:r w:rsidRPr="00286216">
              <w:rPr>
                <w:color w:val="000000" w:themeColor="text1"/>
              </w:rPr>
              <w:t>Враховано частково</w:t>
            </w:r>
          </w:p>
        </w:tc>
        <w:tc>
          <w:tcPr>
            <w:tcW w:w="4818" w:type="dxa"/>
          </w:tcPr>
          <w:p w14:paraId="34C3822E" w14:textId="759DAE1B" w:rsidR="00403AAD" w:rsidRPr="00286216" w:rsidRDefault="00403AAD" w:rsidP="00403AAD">
            <w:pPr>
              <w:pStyle w:val="StyleZakonu"/>
              <w:rPr>
                <w:color w:val="000000" w:themeColor="text1"/>
              </w:rPr>
            </w:pPr>
            <w:r w:rsidRPr="00286216">
              <w:rPr>
                <w:color w:val="000000" w:themeColor="text1"/>
              </w:rPr>
              <w:t>Організований ринок починає функціонувати після реєстрації Національною комісією з цінних паперів та фондового ринку правил функціонування такого організованого ринку.</w:t>
            </w:r>
          </w:p>
        </w:tc>
      </w:tr>
      <w:tr w:rsidR="00403AAD" w:rsidRPr="00286216" w14:paraId="41D35DDA" w14:textId="77777777" w:rsidTr="00091AA5">
        <w:tc>
          <w:tcPr>
            <w:tcW w:w="576" w:type="dxa"/>
          </w:tcPr>
          <w:p w14:paraId="204DDE4C" w14:textId="77777777" w:rsidR="00403AAD" w:rsidRPr="00286216" w:rsidRDefault="00403AAD" w:rsidP="00403AAD">
            <w:pPr>
              <w:pStyle w:val="StyleWisnow"/>
              <w:rPr>
                <w:color w:val="000000" w:themeColor="text1"/>
              </w:rPr>
            </w:pPr>
            <w:bookmarkStart w:id="605" w:name="n899" w:colFirst="0" w:colLast="0"/>
            <w:bookmarkEnd w:id="604"/>
            <w:r w:rsidRPr="00286216">
              <w:rPr>
                <w:color w:val="000000" w:themeColor="text1"/>
              </w:rPr>
              <w:t>899.</w:t>
            </w:r>
          </w:p>
        </w:tc>
        <w:tc>
          <w:tcPr>
            <w:tcW w:w="4818" w:type="dxa"/>
          </w:tcPr>
          <w:p w14:paraId="6655C0FB" w14:textId="77777777" w:rsidR="00403AAD" w:rsidRPr="00286216" w:rsidRDefault="00403AAD" w:rsidP="00403AAD">
            <w:pPr>
              <w:pStyle w:val="StyleZakonu"/>
              <w:rPr>
                <w:color w:val="000000" w:themeColor="text1"/>
              </w:rPr>
            </w:pPr>
            <w:r w:rsidRPr="00286216">
              <w:rPr>
                <w:color w:val="000000" w:themeColor="text1"/>
              </w:rPr>
              <w:t>Вимоги до правил організованого ринку встановлюються статтею 50 цього Закону та нормативно-правовими актами Національної комісії з цінних паперів та фондового ринку.</w:t>
            </w:r>
          </w:p>
        </w:tc>
        <w:tc>
          <w:tcPr>
            <w:tcW w:w="3686" w:type="dxa"/>
          </w:tcPr>
          <w:p w14:paraId="02D93FF1" w14:textId="64D5890B" w:rsidR="00403AAD" w:rsidRPr="00286216" w:rsidRDefault="00403AAD" w:rsidP="00403AAD">
            <w:pPr>
              <w:pStyle w:val="StyleProp"/>
              <w:rPr>
                <w:color w:val="000000" w:themeColor="text1"/>
                <w:szCs w:val="18"/>
              </w:rPr>
            </w:pPr>
            <w:r w:rsidRPr="00286216">
              <w:rPr>
                <w:color w:val="000000" w:themeColor="text1"/>
              </w:rPr>
              <w:t>Вимоги до правил функціонування організованого ринку встановлюються статтею 50 цього Закону та нормативно-правовими актами Національної комісії з цінних паперів та фондового ринку.»</w:t>
            </w:r>
          </w:p>
        </w:tc>
        <w:tc>
          <w:tcPr>
            <w:tcW w:w="1987" w:type="dxa"/>
          </w:tcPr>
          <w:p w14:paraId="6376C376" w14:textId="77777777" w:rsidR="00403AAD" w:rsidRPr="00286216" w:rsidRDefault="00403AAD" w:rsidP="00403AAD">
            <w:pPr>
              <w:pStyle w:val="StyleWisnow"/>
              <w:rPr>
                <w:color w:val="000000" w:themeColor="text1"/>
              </w:rPr>
            </w:pPr>
          </w:p>
        </w:tc>
        <w:tc>
          <w:tcPr>
            <w:tcW w:w="4818" w:type="dxa"/>
          </w:tcPr>
          <w:p w14:paraId="5E356793" w14:textId="0CC01976" w:rsidR="00403AAD" w:rsidRPr="00286216" w:rsidRDefault="00403AAD" w:rsidP="00403AAD">
            <w:pPr>
              <w:pStyle w:val="StyleZakonu"/>
              <w:rPr>
                <w:color w:val="000000" w:themeColor="text1"/>
              </w:rPr>
            </w:pPr>
            <w:r w:rsidRPr="00286216">
              <w:rPr>
                <w:color w:val="000000" w:themeColor="text1"/>
              </w:rPr>
              <w:t>Вимоги до правил фунціонування організованого ринку встановлюються статтею 53 цього Закону та нормативно-правовими актами Національної комісії з цінних паперів та фондового ринку.</w:t>
            </w:r>
          </w:p>
        </w:tc>
      </w:tr>
      <w:tr w:rsidR="00403AAD" w:rsidRPr="00286216" w14:paraId="71F8E412" w14:textId="77777777" w:rsidTr="00091AA5">
        <w:tc>
          <w:tcPr>
            <w:tcW w:w="576" w:type="dxa"/>
          </w:tcPr>
          <w:p w14:paraId="64C439CD" w14:textId="77777777" w:rsidR="00403AAD" w:rsidRPr="00286216" w:rsidRDefault="00403AAD" w:rsidP="00403AAD">
            <w:pPr>
              <w:pStyle w:val="StyleWisnow"/>
              <w:rPr>
                <w:color w:val="000000" w:themeColor="text1"/>
              </w:rPr>
            </w:pPr>
            <w:bookmarkStart w:id="606" w:name="n900" w:colFirst="0" w:colLast="0"/>
            <w:bookmarkEnd w:id="605"/>
            <w:r w:rsidRPr="00286216">
              <w:rPr>
                <w:color w:val="000000" w:themeColor="text1"/>
              </w:rPr>
              <w:t>900.</w:t>
            </w:r>
          </w:p>
        </w:tc>
        <w:tc>
          <w:tcPr>
            <w:tcW w:w="4818" w:type="dxa"/>
          </w:tcPr>
          <w:p w14:paraId="56EA63DC" w14:textId="77777777" w:rsidR="00403AAD" w:rsidRPr="00286216" w:rsidRDefault="00403AAD" w:rsidP="00403AAD">
            <w:pPr>
              <w:pStyle w:val="StyleZakonu"/>
              <w:rPr>
                <w:color w:val="000000" w:themeColor="text1"/>
              </w:rPr>
            </w:pPr>
            <w:r w:rsidRPr="00286216">
              <w:rPr>
                <w:color w:val="000000" w:themeColor="text1"/>
              </w:rPr>
              <w:t>3. Функціонування організованого ринку зупиняється Національною комісією з цінних паперів та фондового ринку у передбачених нею випадках та встановленому нею порядку.</w:t>
            </w:r>
          </w:p>
        </w:tc>
        <w:tc>
          <w:tcPr>
            <w:tcW w:w="3686" w:type="dxa"/>
          </w:tcPr>
          <w:p w14:paraId="7905C875" w14:textId="33C4E8DC"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515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DE83307" w14:textId="6E3C0D56" w:rsidR="00403AAD" w:rsidRPr="00286216" w:rsidRDefault="00403AAD" w:rsidP="00403AAD">
            <w:pPr>
              <w:pStyle w:val="StyleProp"/>
              <w:spacing w:line="190" w:lineRule="exact"/>
              <w:rPr>
                <w:color w:val="000000" w:themeColor="text1"/>
                <w:spacing w:val="-2"/>
              </w:rPr>
            </w:pPr>
            <w:r w:rsidRPr="00286216">
              <w:rPr>
                <w:color w:val="000000" w:themeColor="text1"/>
              </w:rPr>
              <w:t xml:space="preserve">Ч. 3 статті 49 викласти в такій </w:t>
            </w:r>
            <w:r w:rsidRPr="00286216">
              <w:rPr>
                <w:color w:val="000000" w:themeColor="text1"/>
                <w:spacing w:val="-2"/>
              </w:rPr>
              <w:t>редакції:</w:t>
            </w:r>
          </w:p>
          <w:p w14:paraId="7FFA7D90" w14:textId="77777777" w:rsidR="00403AAD" w:rsidRPr="00286216" w:rsidRDefault="00403AAD" w:rsidP="00403AAD">
            <w:pPr>
              <w:pStyle w:val="StyleProp"/>
              <w:spacing w:line="180" w:lineRule="exact"/>
              <w:rPr>
                <w:color w:val="000000" w:themeColor="text1"/>
              </w:rPr>
            </w:pPr>
            <w:r w:rsidRPr="00286216">
              <w:rPr>
                <w:color w:val="000000" w:themeColor="text1"/>
                <w:spacing w:val="-2"/>
              </w:rPr>
              <w:t xml:space="preserve">"У випадках ситуації цінової нестабільності функціонування організованого ринку зупиняється у порядку, встановленому Національною комісією з цінних паперів та фондового ринку, оператором такого ринку, або Національною комісією з цінних паперів та фондового ринку у разі не вжиття відповідних заходів оператором. Для цілей цієї частини ситуацією цінової нестабільності вважається значне коливання ціни активу, допущеного до торгів на організованому </w:t>
            </w:r>
            <w:r w:rsidRPr="00286216">
              <w:rPr>
                <w:color w:val="000000" w:themeColor="text1"/>
                <w:spacing w:val="-2"/>
              </w:rPr>
              <w:lastRenderedPageBreak/>
              <w:t>ринку, в результаті якого оператор такого ринку зупиняє або може зупинити функціонування ринку".</w:t>
            </w:r>
          </w:p>
        </w:tc>
        <w:tc>
          <w:tcPr>
            <w:tcW w:w="1987" w:type="dxa"/>
          </w:tcPr>
          <w:p w14:paraId="47AFFE6A" w14:textId="62EC7861" w:rsidR="00403AAD" w:rsidRPr="00286216" w:rsidRDefault="00403AAD" w:rsidP="00403AAD">
            <w:pPr>
              <w:pStyle w:val="StyleWisnow"/>
              <w:rPr>
                <w:color w:val="000000" w:themeColor="text1"/>
              </w:rPr>
            </w:pPr>
            <w:r w:rsidRPr="00286216">
              <w:rPr>
                <w:color w:val="000000" w:themeColor="text1"/>
              </w:rPr>
              <w:lastRenderedPageBreak/>
              <w:t>Враховано</w:t>
            </w:r>
          </w:p>
        </w:tc>
        <w:tc>
          <w:tcPr>
            <w:tcW w:w="4818" w:type="dxa"/>
          </w:tcPr>
          <w:p w14:paraId="45C00126" w14:textId="7753B5F8" w:rsidR="00403AAD" w:rsidRPr="00286216" w:rsidRDefault="00403AAD" w:rsidP="00403AAD">
            <w:pPr>
              <w:pStyle w:val="StyleZakonu"/>
              <w:rPr>
                <w:color w:val="000000" w:themeColor="text1"/>
              </w:rPr>
            </w:pPr>
            <w:r w:rsidRPr="00286216">
              <w:rPr>
                <w:color w:val="000000" w:themeColor="text1"/>
              </w:rPr>
              <w:t xml:space="preserve">3. У разі виникнення  ситуації цінової нестабільності функціонування організованого ринку зупиняється у порядку, встановленому Національною комісією з цінних паперів та фондового ринку, оператором такого ринку або Національною комісією з цінних паперів та фондового ринку - у разі                     невжиття відповідних заходів оператором. Для цілей цієї частини ситуацією цінової нестабільності вважається значне коливання ціни активу, допущеного до торгів на організованому ринку, в результаті якого оператор такого ринку зупиняє або </w:t>
            </w:r>
            <w:r w:rsidRPr="00286216">
              <w:rPr>
                <w:color w:val="000000" w:themeColor="text1"/>
              </w:rPr>
              <w:lastRenderedPageBreak/>
              <w:t>може зупинити функціонування ринку.</w:t>
            </w:r>
          </w:p>
        </w:tc>
      </w:tr>
      <w:bookmarkEnd w:id="606"/>
      <w:tr w:rsidR="00403AAD" w:rsidRPr="00286216" w14:paraId="71958D96" w14:textId="77777777" w:rsidTr="00091AA5">
        <w:tc>
          <w:tcPr>
            <w:tcW w:w="576" w:type="dxa"/>
          </w:tcPr>
          <w:p w14:paraId="74527B80" w14:textId="77777777" w:rsidR="00403AAD" w:rsidRPr="00286216" w:rsidRDefault="00403AAD" w:rsidP="00403AAD">
            <w:pPr>
              <w:pStyle w:val="StyleWisnow"/>
              <w:rPr>
                <w:color w:val="000000" w:themeColor="text1"/>
              </w:rPr>
            </w:pPr>
          </w:p>
        </w:tc>
        <w:tc>
          <w:tcPr>
            <w:tcW w:w="4818" w:type="dxa"/>
          </w:tcPr>
          <w:p w14:paraId="1B58CC2C" w14:textId="77777777" w:rsidR="00403AAD" w:rsidRPr="00286216" w:rsidRDefault="00403AAD" w:rsidP="00403AAD">
            <w:pPr>
              <w:pStyle w:val="StyleZakonu"/>
              <w:rPr>
                <w:color w:val="000000" w:themeColor="text1"/>
              </w:rPr>
            </w:pPr>
          </w:p>
        </w:tc>
        <w:tc>
          <w:tcPr>
            <w:tcW w:w="3686" w:type="dxa"/>
          </w:tcPr>
          <w:p w14:paraId="389D7267" w14:textId="7ECD13B2"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516</w:t>
            </w:r>
            <w:r w:rsidRPr="00286216">
              <w:rPr>
                <w:color w:val="000000" w:themeColor="text1"/>
              </w:rPr>
              <w:fldChar w:fldCharType="end"/>
            </w:r>
            <w:r w:rsidRPr="00286216">
              <w:rPr>
                <w:color w:val="000000" w:themeColor="text1"/>
              </w:rPr>
              <w:t>-Н.д.Шахов С.В. (Реєстр.картка №114)</w:t>
            </w:r>
          </w:p>
          <w:p w14:paraId="0B3A98A9" w14:textId="77777777" w:rsidR="00403AAD" w:rsidRPr="00286216" w:rsidRDefault="00403AAD" w:rsidP="00403AAD">
            <w:pPr>
              <w:pStyle w:val="StyleProp"/>
              <w:spacing w:line="180" w:lineRule="exact"/>
              <w:rPr>
                <w:color w:val="000000" w:themeColor="text1"/>
              </w:rPr>
            </w:pPr>
            <w:r w:rsidRPr="00286216">
              <w:rPr>
                <w:color w:val="000000" w:themeColor="text1"/>
                <w:spacing w:val="-2"/>
              </w:rPr>
              <w:t>у ст.49 частину 3 викласти у такій редакції:</w:t>
            </w:r>
          </w:p>
          <w:p w14:paraId="61FF4A8F" w14:textId="77777777" w:rsidR="00403AAD" w:rsidRPr="00286216" w:rsidRDefault="00403AAD" w:rsidP="00403AAD">
            <w:pPr>
              <w:pStyle w:val="StyleProp"/>
              <w:spacing w:line="180" w:lineRule="exact"/>
              <w:rPr>
                <w:color w:val="000000" w:themeColor="text1"/>
              </w:rPr>
            </w:pPr>
            <w:r w:rsidRPr="00286216">
              <w:rPr>
                <w:color w:val="000000" w:themeColor="text1"/>
              </w:rPr>
              <w:t>«3. Функціонування організованого ринку зупиняється регулятором такого ринку у випадках і порядку, встановлених у відповідності до закону.»</w:t>
            </w:r>
          </w:p>
        </w:tc>
        <w:tc>
          <w:tcPr>
            <w:tcW w:w="1987" w:type="dxa"/>
          </w:tcPr>
          <w:p w14:paraId="19DC2E83" w14:textId="77777777" w:rsidR="00403AAD" w:rsidRPr="00286216" w:rsidRDefault="00403AAD" w:rsidP="00403AAD">
            <w:pPr>
              <w:pStyle w:val="StyleWisnow"/>
              <w:rPr>
                <w:color w:val="000000" w:themeColor="text1"/>
              </w:rPr>
            </w:pPr>
            <w:r w:rsidRPr="00286216">
              <w:rPr>
                <w:color w:val="000000" w:themeColor="text1"/>
              </w:rPr>
              <w:t>Враховано частково</w:t>
            </w:r>
          </w:p>
        </w:tc>
        <w:tc>
          <w:tcPr>
            <w:tcW w:w="4818" w:type="dxa"/>
          </w:tcPr>
          <w:p w14:paraId="2EF113E9" w14:textId="77777777" w:rsidR="00403AAD" w:rsidRPr="00286216" w:rsidRDefault="00403AAD" w:rsidP="00403AAD">
            <w:pPr>
              <w:pStyle w:val="StyleZakonu"/>
              <w:rPr>
                <w:color w:val="000000" w:themeColor="text1"/>
              </w:rPr>
            </w:pPr>
          </w:p>
        </w:tc>
      </w:tr>
      <w:tr w:rsidR="00403AAD" w:rsidRPr="00286216" w14:paraId="7AED5977" w14:textId="77777777" w:rsidTr="00091AA5">
        <w:tc>
          <w:tcPr>
            <w:tcW w:w="576" w:type="dxa"/>
          </w:tcPr>
          <w:p w14:paraId="11659953" w14:textId="77777777" w:rsidR="00403AAD" w:rsidRPr="00286216" w:rsidRDefault="00403AAD" w:rsidP="00403AAD">
            <w:pPr>
              <w:pStyle w:val="StyleWisnow"/>
              <w:rPr>
                <w:color w:val="000000" w:themeColor="text1"/>
              </w:rPr>
            </w:pPr>
            <w:bookmarkStart w:id="607" w:name="n901" w:colFirst="0" w:colLast="0"/>
            <w:r w:rsidRPr="00286216">
              <w:rPr>
                <w:color w:val="000000" w:themeColor="text1"/>
              </w:rPr>
              <w:t>901.</w:t>
            </w:r>
          </w:p>
        </w:tc>
        <w:tc>
          <w:tcPr>
            <w:tcW w:w="4818" w:type="dxa"/>
          </w:tcPr>
          <w:p w14:paraId="01B7B2F0" w14:textId="77777777" w:rsidR="00403AAD" w:rsidRPr="00286216" w:rsidRDefault="00403AAD" w:rsidP="00403AAD">
            <w:pPr>
              <w:pStyle w:val="StyleZakonu"/>
              <w:rPr>
                <w:color w:val="000000" w:themeColor="text1"/>
              </w:rPr>
            </w:pPr>
            <w:r w:rsidRPr="00286216">
              <w:rPr>
                <w:color w:val="000000" w:themeColor="text1"/>
              </w:rPr>
              <w:t>4. Вимоги до організаційної структури, органів управління, посадових осіб таких органів оператора організованого ринку встановлюються Національною комісією з цінних паперів та фондового ринку.</w:t>
            </w:r>
          </w:p>
        </w:tc>
        <w:tc>
          <w:tcPr>
            <w:tcW w:w="3686" w:type="dxa"/>
          </w:tcPr>
          <w:p w14:paraId="7F5853FC" w14:textId="77777777" w:rsidR="00403AAD" w:rsidRPr="00286216" w:rsidRDefault="00403AAD" w:rsidP="00403AAD">
            <w:pPr>
              <w:pStyle w:val="StyleProp"/>
              <w:rPr>
                <w:color w:val="000000" w:themeColor="text1"/>
                <w:szCs w:val="18"/>
              </w:rPr>
            </w:pPr>
          </w:p>
        </w:tc>
        <w:tc>
          <w:tcPr>
            <w:tcW w:w="1987" w:type="dxa"/>
          </w:tcPr>
          <w:p w14:paraId="7A9AF098" w14:textId="77777777" w:rsidR="00403AAD" w:rsidRPr="00286216" w:rsidRDefault="00403AAD" w:rsidP="00403AAD">
            <w:pPr>
              <w:pStyle w:val="StyleWisnow"/>
              <w:rPr>
                <w:color w:val="000000" w:themeColor="text1"/>
              </w:rPr>
            </w:pPr>
          </w:p>
        </w:tc>
        <w:tc>
          <w:tcPr>
            <w:tcW w:w="4818" w:type="dxa"/>
          </w:tcPr>
          <w:p w14:paraId="250CE657" w14:textId="7626FCF1" w:rsidR="00403AAD" w:rsidRPr="00286216" w:rsidRDefault="00403AAD" w:rsidP="00403AAD">
            <w:pPr>
              <w:pStyle w:val="StyleZakonu"/>
              <w:rPr>
                <w:color w:val="000000" w:themeColor="text1"/>
              </w:rPr>
            </w:pPr>
            <w:r w:rsidRPr="00286216">
              <w:rPr>
                <w:color w:val="000000" w:themeColor="text1"/>
              </w:rPr>
              <w:t>4. Вимоги до організаційної структури, органів управління, посадових осіб таких органів оператора організованого ринку встановлюються цим Законом.</w:t>
            </w:r>
          </w:p>
        </w:tc>
      </w:tr>
      <w:tr w:rsidR="00403AAD" w:rsidRPr="00286216" w14:paraId="765AE6D6" w14:textId="77777777" w:rsidTr="00091AA5">
        <w:tc>
          <w:tcPr>
            <w:tcW w:w="576" w:type="dxa"/>
          </w:tcPr>
          <w:p w14:paraId="7E8E1D77" w14:textId="77777777" w:rsidR="00403AAD" w:rsidRPr="00286216" w:rsidRDefault="00403AAD" w:rsidP="00403AAD">
            <w:pPr>
              <w:pStyle w:val="StyleWisnow"/>
              <w:rPr>
                <w:color w:val="000000" w:themeColor="text1"/>
              </w:rPr>
            </w:pPr>
            <w:bookmarkStart w:id="608" w:name="n902" w:colFirst="0" w:colLast="0"/>
            <w:bookmarkEnd w:id="607"/>
            <w:r w:rsidRPr="00286216">
              <w:rPr>
                <w:color w:val="000000" w:themeColor="text1"/>
              </w:rPr>
              <w:t>902.</w:t>
            </w:r>
          </w:p>
        </w:tc>
        <w:tc>
          <w:tcPr>
            <w:tcW w:w="4818" w:type="dxa"/>
          </w:tcPr>
          <w:p w14:paraId="2D0D6C85" w14:textId="77777777" w:rsidR="00403AAD" w:rsidRPr="00286216" w:rsidRDefault="00403AAD" w:rsidP="00403AAD">
            <w:pPr>
              <w:pStyle w:val="StyleZakonu"/>
              <w:rPr>
                <w:color w:val="000000" w:themeColor="text1"/>
              </w:rPr>
            </w:pPr>
            <w:r w:rsidRPr="00286216">
              <w:rPr>
                <w:color w:val="000000" w:themeColor="text1"/>
              </w:rPr>
              <w:t>Оператор регульованого ринку повинен мати ефективні системи та механізми, які відповідають вимогам Національної комісії з цінних паперів та фондового ринку, та забезпечують щоб електронні торгові системи та програмно-технічні комплекси, що використовуються таким оператором відповідали всім наступним вимогам:</w:t>
            </w:r>
          </w:p>
        </w:tc>
        <w:tc>
          <w:tcPr>
            <w:tcW w:w="3686" w:type="dxa"/>
          </w:tcPr>
          <w:p w14:paraId="770901C1" w14:textId="01104778"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517</w:t>
            </w:r>
            <w:r w:rsidRPr="00286216">
              <w:rPr>
                <w:color w:val="000000" w:themeColor="text1"/>
              </w:rPr>
              <w:fldChar w:fldCharType="end"/>
            </w:r>
            <w:r w:rsidRPr="00286216">
              <w:rPr>
                <w:color w:val="000000" w:themeColor="text1"/>
              </w:rPr>
              <w:t>-Н.д.Шахов С.В. (Реєстр.картка №114)</w:t>
            </w:r>
          </w:p>
          <w:p w14:paraId="2F954858"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У ст.49 частину 4 викласти у такій редакції:</w:t>
            </w:r>
          </w:p>
          <w:p w14:paraId="0D051BEF" w14:textId="77777777" w:rsidR="00403AAD" w:rsidRPr="00286216" w:rsidRDefault="00403AAD" w:rsidP="00403AAD">
            <w:pPr>
              <w:pStyle w:val="StyleProp"/>
              <w:spacing w:line="180" w:lineRule="exact"/>
              <w:rPr>
                <w:color w:val="000000" w:themeColor="text1"/>
              </w:rPr>
            </w:pPr>
            <w:r w:rsidRPr="00286216">
              <w:rPr>
                <w:color w:val="000000" w:themeColor="text1"/>
              </w:rPr>
              <w:t>«4. Вимоги до організаційної структури, органів управління, посадових осіб таких органів оператора організованого ринку встановлюються законом.</w:t>
            </w:r>
          </w:p>
          <w:p w14:paraId="180D49A3"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Оператор регульованого ринку повинен мати ефективні системи та механізми, які забезпечують відповідають вимогам Національної комісії з цінних паперів та фондового ринку, та щоб електронні торгові системи та програмно-технічні комплекси, що використовуються таким оператором відповідали всім наступним вимогам:</w:t>
            </w:r>
          </w:p>
          <w:p w14:paraId="50CEB354"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 xml:space="preserve">1) є стійкими, мають достатню спроможність для оброблення пікових обсягів наказів та/або розпоряджень і повідомлень; </w:t>
            </w:r>
          </w:p>
          <w:p w14:paraId="24C27170"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rPr>
              <w:t xml:space="preserve">2) здатні забезпечити впорядковану торгівлю в умовах сильного ринкового стресу, є повністю випробуваними для того, щоб забезпечити виконання цих умов; </w:t>
            </w:r>
          </w:p>
          <w:p w14:paraId="528699F2" w14:textId="77777777" w:rsidR="00403AAD" w:rsidRPr="00286216" w:rsidRDefault="00403AAD" w:rsidP="00403AAD">
            <w:pPr>
              <w:pStyle w:val="StyleProp"/>
              <w:spacing w:line="180" w:lineRule="exact"/>
              <w:rPr>
                <w:color w:val="000000" w:themeColor="text1"/>
                <w:szCs w:val="18"/>
              </w:rPr>
            </w:pPr>
            <w:r w:rsidRPr="00286216">
              <w:rPr>
                <w:color w:val="000000" w:themeColor="text1"/>
                <w:spacing w:val="-2"/>
              </w:rPr>
              <w:t>3) здатні забезпечувати безперервність надання послуг у випадку збою.»</w:t>
            </w:r>
          </w:p>
        </w:tc>
        <w:tc>
          <w:tcPr>
            <w:tcW w:w="1987" w:type="dxa"/>
          </w:tcPr>
          <w:p w14:paraId="10CCC4F7" w14:textId="77777777" w:rsidR="00403AAD" w:rsidRPr="00286216" w:rsidRDefault="00403AAD" w:rsidP="00403AAD">
            <w:pPr>
              <w:pStyle w:val="StyleWisnow"/>
              <w:rPr>
                <w:color w:val="000000" w:themeColor="text1"/>
              </w:rPr>
            </w:pPr>
            <w:r w:rsidRPr="00286216">
              <w:rPr>
                <w:color w:val="000000" w:themeColor="text1"/>
              </w:rPr>
              <w:t>Враховано частково</w:t>
            </w:r>
          </w:p>
        </w:tc>
        <w:tc>
          <w:tcPr>
            <w:tcW w:w="4818" w:type="dxa"/>
          </w:tcPr>
          <w:p w14:paraId="1AACE85D" w14:textId="580836A6" w:rsidR="00403AAD" w:rsidRPr="00286216" w:rsidRDefault="00403AAD" w:rsidP="00403AAD">
            <w:pPr>
              <w:pStyle w:val="StyleZakonu"/>
              <w:rPr>
                <w:color w:val="000000" w:themeColor="text1"/>
              </w:rPr>
            </w:pPr>
            <w:r w:rsidRPr="00286216">
              <w:rPr>
                <w:color w:val="000000" w:themeColor="text1"/>
              </w:rPr>
              <w:t>Оператор регульованого ринку повинен мати ефективні системи та механізми, які відповідають вимогам Національної комісії з цінних паперів та фондового ринку, та забезпечують відповідність електронних торгових систем  і програмно-технічних комплексів, що використовуються таким оператором, таким вимогам:</w:t>
            </w:r>
          </w:p>
        </w:tc>
      </w:tr>
      <w:tr w:rsidR="00403AAD" w:rsidRPr="00286216" w14:paraId="6084DFEA" w14:textId="77777777" w:rsidTr="00091AA5">
        <w:tc>
          <w:tcPr>
            <w:tcW w:w="576" w:type="dxa"/>
          </w:tcPr>
          <w:p w14:paraId="1856A2A5" w14:textId="77777777" w:rsidR="00403AAD" w:rsidRPr="00286216" w:rsidRDefault="00403AAD" w:rsidP="00403AAD">
            <w:pPr>
              <w:pStyle w:val="StyleWisnow"/>
              <w:rPr>
                <w:color w:val="000000" w:themeColor="text1"/>
              </w:rPr>
            </w:pPr>
            <w:bookmarkStart w:id="609" w:name="n903" w:colFirst="0" w:colLast="0"/>
            <w:bookmarkEnd w:id="608"/>
            <w:r w:rsidRPr="00286216">
              <w:rPr>
                <w:color w:val="000000" w:themeColor="text1"/>
              </w:rPr>
              <w:t>903.</w:t>
            </w:r>
          </w:p>
        </w:tc>
        <w:tc>
          <w:tcPr>
            <w:tcW w:w="4818" w:type="dxa"/>
          </w:tcPr>
          <w:p w14:paraId="4EAA5401" w14:textId="77777777" w:rsidR="00403AAD" w:rsidRPr="00286216" w:rsidRDefault="00403AAD" w:rsidP="00403AAD">
            <w:pPr>
              <w:pStyle w:val="StyleZakonu"/>
              <w:rPr>
                <w:color w:val="000000" w:themeColor="text1"/>
              </w:rPr>
            </w:pPr>
            <w:r w:rsidRPr="00286216">
              <w:rPr>
                <w:color w:val="000000" w:themeColor="text1"/>
              </w:rPr>
              <w:t>1) є стійкими, мають достатню спроможність для оброблення пікових обсягів наказів та/або розпоряджень і повідомлень;</w:t>
            </w:r>
          </w:p>
        </w:tc>
        <w:tc>
          <w:tcPr>
            <w:tcW w:w="3686" w:type="dxa"/>
          </w:tcPr>
          <w:p w14:paraId="4A2DBA87" w14:textId="556D8134"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518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7658FD0" w14:textId="20F6A0B2" w:rsidR="00403AAD" w:rsidRPr="00286216" w:rsidRDefault="00403AAD" w:rsidP="00403AAD">
            <w:pPr>
              <w:pStyle w:val="StyleProp"/>
              <w:rPr>
                <w:color w:val="000000" w:themeColor="text1"/>
                <w:szCs w:val="18"/>
              </w:rPr>
            </w:pPr>
            <w:r w:rsidRPr="00286216">
              <w:rPr>
                <w:color w:val="000000" w:themeColor="text1"/>
                <w:szCs w:val="18"/>
              </w:rPr>
              <w:t>У пункті 1 частини 4 статті 49 слова «наказів та/або розпоряджень і повідомлень» замінити словами «заявок, або котирувань, та/або повідомлень про їх скасування»</w:t>
            </w:r>
          </w:p>
        </w:tc>
        <w:tc>
          <w:tcPr>
            <w:tcW w:w="1987" w:type="dxa"/>
          </w:tcPr>
          <w:p w14:paraId="0E4B1C85" w14:textId="344CFDD4"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291DAD4" w14:textId="0A8AEB6B" w:rsidR="00403AAD" w:rsidRPr="00286216" w:rsidRDefault="00403AAD" w:rsidP="00403AAD">
            <w:pPr>
              <w:pStyle w:val="StyleZakonu"/>
              <w:rPr>
                <w:color w:val="000000" w:themeColor="text1"/>
              </w:rPr>
            </w:pPr>
            <w:r w:rsidRPr="00286216">
              <w:rPr>
                <w:color w:val="000000" w:themeColor="text1"/>
              </w:rPr>
              <w:t xml:space="preserve">1) є стійкими, мають достатню спроможність для оброблення пікових обсягів </w:t>
            </w:r>
            <w:r w:rsidRPr="00286216">
              <w:rPr>
                <w:color w:val="000000" w:themeColor="text1"/>
                <w:szCs w:val="18"/>
              </w:rPr>
              <w:t>заявок або котирувань, та/або повідомлень про їх скасування</w:t>
            </w:r>
            <w:r w:rsidRPr="00286216">
              <w:rPr>
                <w:color w:val="000000" w:themeColor="text1"/>
              </w:rPr>
              <w:t>;</w:t>
            </w:r>
          </w:p>
        </w:tc>
      </w:tr>
      <w:tr w:rsidR="00403AAD" w:rsidRPr="00286216" w14:paraId="2B8F3CAE" w14:textId="77777777" w:rsidTr="00091AA5">
        <w:tc>
          <w:tcPr>
            <w:tcW w:w="576" w:type="dxa"/>
          </w:tcPr>
          <w:p w14:paraId="648EF93C" w14:textId="77777777" w:rsidR="00403AAD" w:rsidRPr="00286216" w:rsidRDefault="00403AAD" w:rsidP="00403AAD">
            <w:pPr>
              <w:pStyle w:val="StyleWisnow"/>
              <w:rPr>
                <w:color w:val="000000" w:themeColor="text1"/>
              </w:rPr>
            </w:pPr>
            <w:bookmarkStart w:id="610" w:name="n904" w:colFirst="0" w:colLast="0"/>
            <w:bookmarkEnd w:id="609"/>
            <w:r w:rsidRPr="00286216">
              <w:rPr>
                <w:color w:val="000000" w:themeColor="text1"/>
              </w:rPr>
              <w:t>904.</w:t>
            </w:r>
          </w:p>
        </w:tc>
        <w:tc>
          <w:tcPr>
            <w:tcW w:w="4818" w:type="dxa"/>
          </w:tcPr>
          <w:p w14:paraId="5BFC5BD8" w14:textId="77777777" w:rsidR="00403AAD" w:rsidRPr="00286216" w:rsidRDefault="00403AAD" w:rsidP="00403AAD">
            <w:pPr>
              <w:pStyle w:val="StyleZakonu"/>
              <w:rPr>
                <w:color w:val="000000" w:themeColor="text1"/>
              </w:rPr>
            </w:pPr>
            <w:r w:rsidRPr="00286216">
              <w:rPr>
                <w:color w:val="000000" w:themeColor="text1"/>
              </w:rPr>
              <w:t>2) здатні забезпечити впорядковану торгівлю в умовах сильного ринкового стресу, є повністю випробуваними для того, щоб забезпечити виконання цих умов;</w:t>
            </w:r>
          </w:p>
        </w:tc>
        <w:tc>
          <w:tcPr>
            <w:tcW w:w="3686" w:type="dxa"/>
          </w:tcPr>
          <w:p w14:paraId="7B5C60A1" w14:textId="77777777" w:rsidR="00403AAD" w:rsidRPr="00286216" w:rsidRDefault="00403AAD" w:rsidP="00403AAD">
            <w:pPr>
              <w:pStyle w:val="StyleProp"/>
              <w:rPr>
                <w:color w:val="000000" w:themeColor="text1"/>
                <w:szCs w:val="18"/>
              </w:rPr>
            </w:pPr>
          </w:p>
        </w:tc>
        <w:tc>
          <w:tcPr>
            <w:tcW w:w="1987" w:type="dxa"/>
          </w:tcPr>
          <w:p w14:paraId="21F407A9" w14:textId="77777777" w:rsidR="00403AAD" w:rsidRPr="00286216" w:rsidRDefault="00403AAD" w:rsidP="00403AAD">
            <w:pPr>
              <w:pStyle w:val="StyleWisnow"/>
              <w:rPr>
                <w:color w:val="000000" w:themeColor="text1"/>
              </w:rPr>
            </w:pPr>
          </w:p>
        </w:tc>
        <w:tc>
          <w:tcPr>
            <w:tcW w:w="4818" w:type="dxa"/>
          </w:tcPr>
          <w:p w14:paraId="29D6ABF2" w14:textId="639F5B87" w:rsidR="00403AAD" w:rsidRPr="00286216" w:rsidRDefault="00403AAD" w:rsidP="00403AAD">
            <w:pPr>
              <w:pStyle w:val="StyleZakonu"/>
              <w:rPr>
                <w:color w:val="000000" w:themeColor="text1"/>
              </w:rPr>
            </w:pPr>
            <w:r w:rsidRPr="00286216">
              <w:rPr>
                <w:color w:val="000000" w:themeColor="text1"/>
              </w:rPr>
              <w:t>2) здатні забезпечити впорядковану торгівлю в умовах сильного ринкового стресу, є повністю випробуваними для того, щоб забезпечити виконання цих умов;</w:t>
            </w:r>
          </w:p>
        </w:tc>
      </w:tr>
      <w:tr w:rsidR="00403AAD" w:rsidRPr="00286216" w14:paraId="1DA370D5" w14:textId="77777777" w:rsidTr="00091AA5">
        <w:tc>
          <w:tcPr>
            <w:tcW w:w="576" w:type="dxa"/>
          </w:tcPr>
          <w:p w14:paraId="3117A9EA" w14:textId="77777777" w:rsidR="00403AAD" w:rsidRPr="00286216" w:rsidRDefault="00403AAD" w:rsidP="00403AAD">
            <w:pPr>
              <w:pStyle w:val="StyleWisnow"/>
              <w:rPr>
                <w:color w:val="000000" w:themeColor="text1"/>
              </w:rPr>
            </w:pPr>
            <w:bookmarkStart w:id="611" w:name="n905" w:colFirst="0" w:colLast="0"/>
            <w:bookmarkEnd w:id="610"/>
            <w:r w:rsidRPr="00286216">
              <w:rPr>
                <w:color w:val="000000" w:themeColor="text1"/>
              </w:rPr>
              <w:t>905.</w:t>
            </w:r>
          </w:p>
        </w:tc>
        <w:tc>
          <w:tcPr>
            <w:tcW w:w="4818" w:type="dxa"/>
          </w:tcPr>
          <w:p w14:paraId="73DE5384" w14:textId="77777777" w:rsidR="00403AAD" w:rsidRPr="00286216" w:rsidRDefault="00403AAD" w:rsidP="00403AAD">
            <w:pPr>
              <w:pStyle w:val="StyleZakonu"/>
              <w:rPr>
                <w:color w:val="000000" w:themeColor="text1"/>
              </w:rPr>
            </w:pPr>
            <w:r w:rsidRPr="00286216">
              <w:rPr>
                <w:color w:val="000000" w:themeColor="text1"/>
              </w:rPr>
              <w:t>3) здатні забезпечувати безперервність надання послуг у випадку збою.</w:t>
            </w:r>
          </w:p>
        </w:tc>
        <w:tc>
          <w:tcPr>
            <w:tcW w:w="3686" w:type="dxa"/>
          </w:tcPr>
          <w:p w14:paraId="3336E32B" w14:textId="77777777" w:rsidR="00403AAD" w:rsidRPr="00286216" w:rsidRDefault="00403AAD" w:rsidP="00403AAD">
            <w:pPr>
              <w:pStyle w:val="StyleProp"/>
              <w:rPr>
                <w:color w:val="000000" w:themeColor="text1"/>
                <w:szCs w:val="18"/>
              </w:rPr>
            </w:pPr>
          </w:p>
        </w:tc>
        <w:tc>
          <w:tcPr>
            <w:tcW w:w="1987" w:type="dxa"/>
          </w:tcPr>
          <w:p w14:paraId="5BB5B7F8" w14:textId="77777777" w:rsidR="00403AAD" w:rsidRPr="00286216" w:rsidRDefault="00403AAD" w:rsidP="00403AAD">
            <w:pPr>
              <w:pStyle w:val="StyleWisnow"/>
              <w:rPr>
                <w:color w:val="000000" w:themeColor="text1"/>
              </w:rPr>
            </w:pPr>
          </w:p>
        </w:tc>
        <w:tc>
          <w:tcPr>
            <w:tcW w:w="4818" w:type="dxa"/>
          </w:tcPr>
          <w:p w14:paraId="655F8CA5" w14:textId="26C5553E" w:rsidR="00403AAD" w:rsidRPr="00286216" w:rsidRDefault="00403AAD" w:rsidP="00403AAD">
            <w:pPr>
              <w:pStyle w:val="StyleZakonu"/>
              <w:rPr>
                <w:color w:val="000000" w:themeColor="text1"/>
              </w:rPr>
            </w:pPr>
            <w:r w:rsidRPr="00286216">
              <w:rPr>
                <w:color w:val="000000" w:themeColor="text1"/>
              </w:rPr>
              <w:t>3) здатні забезпечувати безперервність надання послуг у випадку збою.</w:t>
            </w:r>
          </w:p>
        </w:tc>
      </w:tr>
      <w:tr w:rsidR="00403AAD" w:rsidRPr="00286216" w14:paraId="09A5F4F1" w14:textId="77777777" w:rsidTr="00091AA5">
        <w:tc>
          <w:tcPr>
            <w:tcW w:w="576" w:type="dxa"/>
          </w:tcPr>
          <w:p w14:paraId="222C5B85" w14:textId="77777777" w:rsidR="00403AAD" w:rsidRPr="00286216" w:rsidRDefault="00403AAD" w:rsidP="00403AAD">
            <w:pPr>
              <w:pStyle w:val="StyleWisnow"/>
              <w:rPr>
                <w:color w:val="000000" w:themeColor="text1"/>
              </w:rPr>
            </w:pPr>
            <w:bookmarkStart w:id="612" w:name="n906" w:colFirst="0" w:colLast="0"/>
            <w:bookmarkEnd w:id="611"/>
            <w:r w:rsidRPr="00286216">
              <w:rPr>
                <w:color w:val="000000" w:themeColor="text1"/>
              </w:rPr>
              <w:t>906.</w:t>
            </w:r>
          </w:p>
        </w:tc>
        <w:tc>
          <w:tcPr>
            <w:tcW w:w="4818" w:type="dxa"/>
          </w:tcPr>
          <w:p w14:paraId="1ABFC361" w14:textId="77777777" w:rsidR="00403AAD" w:rsidRPr="00286216" w:rsidRDefault="00403AAD" w:rsidP="00403AAD">
            <w:pPr>
              <w:pStyle w:val="StyleZakonu"/>
              <w:rPr>
                <w:color w:val="000000" w:themeColor="text1"/>
              </w:rPr>
            </w:pPr>
            <w:r w:rsidRPr="00286216">
              <w:rPr>
                <w:color w:val="000000" w:themeColor="text1"/>
              </w:rPr>
              <w:t xml:space="preserve">5. Оператор організованого ринку може мати у власності та/або на праві користування декілька електронних торгових систем та програмно-апаратних </w:t>
            </w:r>
            <w:r w:rsidRPr="00286216">
              <w:rPr>
                <w:color w:val="000000" w:themeColor="text1"/>
              </w:rPr>
              <w:lastRenderedPageBreak/>
              <w:t>комплексів, які на постійній основі забезпечують належне функціонування та захист електронної торгової системи (електронних торгових систем).</w:t>
            </w:r>
          </w:p>
        </w:tc>
        <w:tc>
          <w:tcPr>
            <w:tcW w:w="3686" w:type="dxa"/>
          </w:tcPr>
          <w:p w14:paraId="49B70D58" w14:textId="77777777" w:rsidR="00403AAD" w:rsidRPr="00286216" w:rsidRDefault="00403AAD" w:rsidP="00403AAD">
            <w:pPr>
              <w:pStyle w:val="StyleProp"/>
              <w:rPr>
                <w:color w:val="000000" w:themeColor="text1"/>
                <w:szCs w:val="18"/>
              </w:rPr>
            </w:pPr>
          </w:p>
        </w:tc>
        <w:tc>
          <w:tcPr>
            <w:tcW w:w="1987" w:type="dxa"/>
          </w:tcPr>
          <w:p w14:paraId="0E87D026" w14:textId="77777777" w:rsidR="00403AAD" w:rsidRPr="00286216" w:rsidRDefault="00403AAD" w:rsidP="00403AAD">
            <w:pPr>
              <w:pStyle w:val="StyleWisnow"/>
              <w:rPr>
                <w:color w:val="000000" w:themeColor="text1"/>
              </w:rPr>
            </w:pPr>
          </w:p>
        </w:tc>
        <w:tc>
          <w:tcPr>
            <w:tcW w:w="4818" w:type="dxa"/>
          </w:tcPr>
          <w:p w14:paraId="0B48F9DB" w14:textId="464E5C8B" w:rsidR="00403AAD" w:rsidRPr="00286216" w:rsidRDefault="00403AAD" w:rsidP="00403AAD">
            <w:pPr>
              <w:pStyle w:val="StyleZakonu"/>
              <w:rPr>
                <w:color w:val="000000" w:themeColor="text1"/>
              </w:rPr>
            </w:pPr>
            <w:r w:rsidRPr="00286216">
              <w:rPr>
                <w:color w:val="000000" w:themeColor="text1"/>
              </w:rPr>
              <w:t xml:space="preserve">5. Оператор організованого ринку може мати у власності та/або на праві користування кілька електронних торгових систем та програмно-апаратних </w:t>
            </w:r>
            <w:r w:rsidRPr="00286216">
              <w:rPr>
                <w:color w:val="000000" w:themeColor="text1"/>
              </w:rPr>
              <w:lastRenderedPageBreak/>
              <w:t>комплексів, які на постійній основі забезпечують належне функціонування та захист електронної торгової системи (електронних торгових систем).</w:t>
            </w:r>
          </w:p>
        </w:tc>
      </w:tr>
      <w:tr w:rsidR="00403AAD" w:rsidRPr="00286216" w14:paraId="5959B89F" w14:textId="77777777" w:rsidTr="00091AA5">
        <w:tc>
          <w:tcPr>
            <w:tcW w:w="576" w:type="dxa"/>
          </w:tcPr>
          <w:p w14:paraId="3EB285BC" w14:textId="77777777" w:rsidR="00403AAD" w:rsidRPr="00286216" w:rsidRDefault="00403AAD" w:rsidP="00403AAD">
            <w:pPr>
              <w:pStyle w:val="StyleWisnow"/>
              <w:rPr>
                <w:color w:val="000000" w:themeColor="text1"/>
              </w:rPr>
            </w:pPr>
            <w:bookmarkStart w:id="613" w:name="n907" w:colFirst="0" w:colLast="0"/>
            <w:bookmarkEnd w:id="612"/>
            <w:r w:rsidRPr="00286216">
              <w:rPr>
                <w:color w:val="000000" w:themeColor="text1"/>
              </w:rPr>
              <w:lastRenderedPageBreak/>
              <w:t>907.</w:t>
            </w:r>
          </w:p>
        </w:tc>
        <w:tc>
          <w:tcPr>
            <w:tcW w:w="4818" w:type="dxa"/>
          </w:tcPr>
          <w:p w14:paraId="61C16260" w14:textId="77777777" w:rsidR="00403AAD" w:rsidRPr="00286216" w:rsidRDefault="00403AAD" w:rsidP="00403AAD">
            <w:pPr>
              <w:pStyle w:val="StyleZakonu"/>
              <w:rPr>
                <w:color w:val="000000" w:themeColor="text1"/>
              </w:rPr>
            </w:pPr>
            <w:r w:rsidRPr="00286216">
              <w:rPr>
                <w:color w:val="000000" w:themeColor="text1"/>
              </w:rPr>
              <w:t>Програмне та апаратне забезпечення, що використовується оператором організованого ринку, повинно бути розроблено/виготовлено суб’єктом господарювання, щодо якого не застосовано спеціальні економічні та інші обмежувальні заходи (санкції) відповідно до Закону України "Про санкції".</w:t>
            </w:r>
          </w:p>
        </w:tc>
        <w:tc>
          <w:tcPr>
            <w:tcW w:w="3686" w:type="dxa"/>
          </w:tcPr>
          <w:p w14:paraId="52E7D7FD" w14:textId="77777777" w:rsidR="00403AAD" w:rsidRPr="00286216" w:rsidRDefault="00403AAD" w:rsidP="00403AAD">
            <w:pPr>
              <w:pStyle w:val="StyleProp"/>
              <w:rPr>
                <w:color w:val="000000" w:themeColor="text1"/>
                <w:szCs w:val="18"/>
              </w:rPr>
            </w:pPr>
          </w:p>
        </w:tc>
        <w:tc>
          <w:tcPr>
            <w:tcW w:w="1987" w:type="dxa"/>
          </w:tcPr>
          <w:p w14:paraId="2355D9F5" w14:textId="77777777" w:rsidR="00403AAD" w:rsidRPr="00286216" w:rsidRDefault="00403AAD" w:rsidP="00403AAD">
            <w:pPr>
              <w:pStyle w:val="StyleWisnow"/>
              <w:rPr>
                <w:color w:val="000000" w:themeColor="text1"/>
              </w:rPr>
            </w:pPr>
          </w:p>
        </w:tc>
        <w:tc>
          <w:tcPr>
            <w:tcW w:w="4818" w:type="dxa"/>
          </w:tcPr>
          <w:p w14:paraId="2F9745B3" w14:textId="29B88E9A" w:rsidR="00403AAD" w:rsidRPr="00286216" w:rsidRDefault="00403AAD" w:rsidP="00403AAD">
            <w:pPr>
              <w:pStyle w:val="StyleZakonu"/>
              <w:rPr>
                <w:color w:val="000000" w:themeColor="text1"/>
              </w:rPr>
            </w:pPr>
            <w:r w:rsidRPr="00286216">
              <w:rPr>
                <w:color w:val="000000" w:themeColor="text1"/>
              </w:rPr>
              <w:t>Програмне та апаратне забезпечення, що використовується оператором організованого ринку, повинно бути розроблено/виготовлено суб’єктом господарювання, щодо якого не застосовано спеціальні економічні та інші обмежувальні заходи (санкції) відповідно до Закону України "Про санкції".</w:t>
            </w:r>
          </w:p>
        </w:tc>
      </w:tr>
      <w:bookmarkEnd w:id="613"/>
      <w:tr w:rsidR="00403AAD" w:rsidRPr="00286216" w14:paraId="1CE39C96" w14:textId="77777777" w:rsidTr="00091AA5">
        <w:tc>
          <w:tcPr>
            <w:tcW w:w="576" w:type="dxa"/>
          </w:tcPr>
          <w:p w14:paraId="4D458052" w14:textId="77777777" w:rsidR="00403AAD" w:rsidRPr="00286216" w:rsidRDefault="00403AAD" w:rsidP="00403AAD">
            <w:pPr>
              <w:pStyle w:val="StyleWisnow"/>
              <w:rPr>
                <w:color w:val="000000" w:themeColor="text1"/>
              </w:rPr>
            </w:pPr>
          </w:p>
        </w:tc>
        <w:tc>
          <w:tcPr>
            <w:tcW w:w="4818" w:type="dxa"/>
          </w:tcPr>
          <w:p w14:paraId="7E58A7D2" w14:textId="77777777" w:rsidR="00403AAD" w:rsidRPr="00286216" w:rsidRDefault="00403AAD" w:rsidP="00403AAD">
            <w:pPr>
              <w:pStyle w:val="StyleZakonu"/>
              <w:rPr>
                <w:color w:val="000000" w:themeColor="text1"/>
              </w:rPr>
            </w:pPr>
          </w:p>
        </w:tc>
        <w:tc>
          <w:tcPr>
            <w:tcW w:w="3686" w:type="dxa"/>
          </w:tcPr>
          <w:p w14:paraId="339B0E05" w14:textId="40E67E55"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519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B348F8E" w14:textId="5F487B3A" w:rsidR="00403AAD" w:rsidRPr="00286216" w:rsidRDefault="00403AAD" w:rsidP="00403AAD">
            <w:pPr>
              <w:pStyle w:val="StyleProp"/>
              <w:spacing w:line="190" w:lineRule="exact"/>
              <w:rPr>
                <w:color w:val="000000" w:themeColor="text1"/>
              </w:rPr>
            </w:pPr>
            <w:r w:rsidRPr="00286216">
              <w:rPr>
                <w:color w:val="000000" w:themeColor="text1"/>
              </w:rPr>
              <w:t>Статтю 49 доповнити такою частиною:</w:t>
            </w:r>
          </w:p>
          <w:p w14:paraId="2A2B21EB" w14:textId="2C3E6823" w:rsidR="00403AAD" w:rsidRPr="00286216" w:rsidRDefault="00403AAD" w:rsidP="00403AAD">
            <w:pPr>
              <w:pStyle w:val="StyleProp"/>
              <w:spacing w:line="180" w:lineRule="exact"/>
              <w:rPr>
                <w:color w:val="000000" w:themeColor="text1"/>
                <w:spacing w:val="-3"/>
                <w:szCs w:val="18"/>
              </w:rPr>
            </w:pPr>
            <w:r w:rsidRPr="00286216">
              <w:rPr>
                <w:color w:val="000000" w:themeColor="text1"/>
                <w:spacing w:val="-3"/>
                <w:szCs w:val="18"/>
              </w:rPr>
              <w:t>"Оператор організованого ринку може розробити та затвердити кодекс корпоративного управління, який може застосовуватись емітентами, цінні папери яких допущено до торгів на організованому ринку, управління яким здійснюється таким оператором".</w:t>
            </w:r>
          </w:p>
        </w:tc>
        <w:tc>
          <w:tcPr>
            <w:tcW w:w="1987" w:type="dxa"/>
          </w:tcPr>
          <w:p w14:paraId="53C10D4F" w14:textId="3B86BB2A"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302880D8" w14:textId="3FF2D566" w:rsidR="00403AAD" w:rsidRPr="00286216" w:rsidRDefault="00403AAD" w:rsidP="00403AAD">
            <w:pPr>
              <w:pStyle w:val="StyleZakonu"/>
              <w:rPr>
                <w:color w:val="000000" w:themeColor="text1"/>
              </w:rPr>
            </w:pPr>
            <w:r w:rsidRPr="00286216">
              <w:rPr>
                <w:color w:val="000000" w:themeColor="text1"/>
                <w:spacing w:val="-3"/>
                <w:szCs w:val="18"/>
              </w:rPr>
              <w:t>6. Оператор організованого ринку може розробити та затвердити кодекс корпоративного управління, який може застосовуватись емітентами, цінні папери яких допущено до торгів на організованому ринку, управління яким здійснюється таким оператором.</w:t>
            </w:r>
          </w:p>
        </w:tc>
      </w:tr>
      <w:tr w:rsidR="00403AAD" w:rsidRPr="00286216" w14:paraId="1275A732" w14:textId="77777777" w:rsidTr="00091AA5">
        <w:tc>
          <w:tcPr>
            <w:tcW w:w="576" w:type="dxa"/>
          </w:tcPr>
          <w:p w14:paraId="620C885F" w14:textId="77777777" w:rsidR="00403AAD" w:rsidRPr="00286216" w:rsidRDefault="00403AAD" w:rsidP="00403AAD">
            <w:pPr>
              <w:pStyle w:val="StyleWisnow"/>
              <w:rPr>
                <w:color w:val="000000" w:themeColor="text1"/>
              </w:rPr>
            </w:pPr>
            <w:bookmarkStart w:id="614" w:name="n908" w:colFirst="0" w:colLast="0"/>
            <w:r w:rsidRPr="00286216">
              <w:rPr>
                <w:color w:val="000000" w:themeColor="text1"/>
              </w:rPr>
              <w:t>908.</w:t>
            </w:r>
          </w:p>
        </w:tc>
        <w:tc>
          <w:tcPr>
            <w:tcW w:w="4818" w:type="dxa"/>
          </w:tcPr>
          <w:p w14:paraId="15D891D6" w14:textId="77777777" w:rsidR="00403AAD" w:rsidRPr="00286216" w:rsidRDefault="00403AAD" w:rsidP="00403AAD">
            <w:pPr>
              <w:pStyle w:val="StyleZakonu"/>
              <w:rPr>
                <w:color w:val="000000" w:themeColor="text1"/>
              </w:rPr>
            </w:pPr>
            <w:r w:rsidRPr="00286216">
              <w:rPr>
                <w:color w:val="000000" w:themeColor="text1"/>
              </w:rPr>
              <w:t>6. Національна комісія з цінних паперів та фондового ринку встановлює вимоги до часу початку та закінчення торгівельного дня для всіх організованих ринків та їх учасників.</w:t>
            </w:r>
          </w:p>
        </w:tc>
        <w:tc>
          <w:tcPr>
            <w:tcW w:w="3686" w:type="dxa"/>
          </w:tcPr>
          <w:p w14:paraId="305F72BE" w14:textId="5FF9448F" w:rsidR="00403AAD" w:rsidRPr="00286216" w:rsidRDefault="00403AAD" w:rsidP="00403AAD">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520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8C1BF1C" w14:textId="77777777" w:rsidR="00403AAD" w:rsidRPr="00286216" w:rsidRDefault="00403AAD" w:rsidP="00403AAD">
            <w:pPr>
              <w:pStyle w:val="StyleProp"/>
              <w:rPr>
                <w:color w:val="000000" w:themeColor="text1"/>
                <w:spacing w:val="-4"/>
                <w:szCs w:val="18"/>
              </w:rPr>
            </w:pPr>
            <w:r w:rsidRPr="00286216">
              <w:rPr>
                <w:color w:val="000000" w:themeColor="text1"/>
                <w:spacing w:val="-8"/>
                <w:szCs w:val="18"/>
              </w:rPr>
              <w:t>Частину</w:t>
            </w:r>
            <w:r w:rsidRPr="00286216">
              <w:rPr>
                <w:color w:val="000000" w:themeColor="text1"/>
                <w:spacing w:val="-4"/>
                <w:szCs w:val="18"/>
              </w:rPr>
              <w:t xml:space="preserve"> 6 статті 49 викласти у такій редакції:</w:t>
            </w:r>
          </w:p>
          <w:p w14:paraId="1BCD7814" w14:textId="77777777" w:rsidR="00403AAD" w:rsidRPr="00286216" w:rsidRDefault="00403AAD" w:rsidP="00403AAD">
            <w:pPr>
              <w:pStyle w:val="StyleProp"/>
              <w:spacing w:line="180" w:lineRule="exact"/>
              <w:rPr>
                <w:color w:val="000000" w:themeColor="text1"/>
                <w:spacing w:val="-1"/>
                <w:szCs w:val="18"/>
              </w:rPr>
            </w:pPr>
            <w:r w:rsidRPr="00286216">
              <w:rPr>
                <w:color w:val="000000" w:themeColor="text1"/>
                <w:spacing w:val="-1"/>
                <w:szCs w:val="18"/>
              </w:rPr>
              <w:t xml:space="preserve">"6. Національна комісія з цінних паперів та фондового ринку встановлює вимоги до систем фіксації дати та часу, що </w:t>
            </w:r>
            <w:r w:rsidRPr="00286216">
              <w:rPr>
                <w:color w:val="000000" w:themeColor="text1"/>
                <w:spacing w:val="-6"/>
                <w:szCs w:val="18"/>
              </w:rPr>
              <w:t>використовуються</w:t>
            </w:r>
            <w:r w:rsidRPr="00286216">
              <w:rPr>
                <w:color w:val="000000" w:themeColor="text1"/>
                <w:spacing w:val="-4"/>
                <w:szCs w:val="18"/>
              </w:rPr>
              <w:t xml:space="preserve"> </w:t>
            </w:r>
            <w:r w:rsidRPr="00286216">
              <w:rPr>
                <w:color w:val="000000" w:themeColor="text1"/>
                <w:spacing w:val="-6"/>
                <w:szCs w:val="18"/>
              </w:rPr>
              <w:t>організованими</w:t>
            </w:r>
            <w:r w:rsidRPr="00286216">
              <w:rPr>
                <w:color w:val="000000" w:themeColor="text1"/>
                <w:spacing w:val="-4"/>
                <w:szCs w:val="18"/>
              </w:rPr>
              <w:t xml:space="preserve"> ринками та їх</w:t>
            </w:r>
            <w:r w:rsidRPr="00286216">
              <w:rPr>
                <w:color w:val="000000" w:themeColor="text1"/>
                <w:spacing w:val="-2"/>
                <w:szCs w:val="18"/>
              </w:rPr>
              <w:t xml:space="preserve"> учасниками під час здійснення ними </w:t>
            </w:r>
            <w:r w:rsidRPr="00286216">
              <w:rPr>
                <w:color w:val="000000" w:themeColor="text1"/>
                <w:spacing w:val="-4"/>
                <w:szCs w:val="18"/>
              </w:rPr>
              <w:t>операцій в рамках провадження професійної діяльності".</w:t>
            </w:r>
          </w:p>
        </w:tc>
        <w:tc>
          <w:tcPr>
            <w:tcW w:w="1987" w:type="dxa"/>
          </w:tcPr>
          <w:p w14:paraId="3484681D"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569AFA00" w14:textId="0B85A109" w:rsidR="00403AAD" w:rsidRPr="00286216" w:rsidRDefault="00403AAD" w:rsidP="00403AAD">
            <w:pPr>
              <w:pStyle w:val="StyleZakonu"/>
              <w:rPr>
                <w:color w:val="000000" w:themeColor="text1"/>
              </w:rPr>
            </w:pPr>
            <w:r w:rsidRPr="00286216">
              <w:rPr>
                <w:color w:val="000000" w:themeColor="text1"/>
                <w:szCs w:val="18"/>
              </w:rPr>
              <w:t>7. Національна комісія з цінних паперів та фондового ринку встановлює вимоги до систем фіксації дати та часу, що використовуються організованими ринками та їх учасниками під час здійснення ними операцій в рамках провадження професійної діяльності.</w:t>
            </w:r>
          </w:p>
        </w:tc>
      </w:tr>
      <w:bookmarkEnd w:id="614"/>
      <w:tr w:rsidR="00403AAD" w:rsidRPr="00286216" w14:paraId="3348972D" w14:textId="77777777" w:rsidTr="00091AA5">
        <w:tc>
          <w:tcPr>
            <w:tcW w:w="576" w:type="dxa"/>
          </w:tcPr>
          <w:p w14:paraId="469BF0CC" w14:textId="77777777" w:rsidR="00403AAD" w:rsidRPr="00286216" w:rsidRDefault="00403AAD" w:rsidP="00403AAD">
            <w:pPr>
              <w:pStyle w:val="StyleWisnow"/>
              <w:rPr>
                <w:color w:val="000000" w:themeColor="text1"/>
              </w:rPr>
            </w:pPr>
          </w:p>
        </w:tc>
        <w:tc>
          <w:tcPr>
            <w:tcW w:w="4818" w:type="dxa"/>
          </w:tcPr>
          <w:p w14:paraId="67718E76" w14:textId="77777777" w:rsidR="00403AAD" w:rsidRPr="00286216" w:rsidRDefault="00403AAD" w:rsidP="00403AAD">
            <w:pPr>
              <w:pStyle w:val="StyleZakonu"/>
              <w:rPr>
                <w:color w:val="000000" w:themeColor="text1"/>
              </w:rPr>
            </w:pPr>
          </w:p>
        </w:tc>
        <w:tc>
          <w:tcPr>
            <w:tcW w:w="3686" w:type="dxa"/>
          </w:tcPr>
          <w:p w14:paraId="0A73223B" w14:textId="65E0A82A"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521</w:t>
            </w:r>
            <w:r w:rsidRPr="00286216">
              <w:rPr>
                <w:color w:val="000000" w:themeColor="text1"/>
              </w:rPr>
              <w:fldChar w:fldCharType="end"/>
            </w:r>
            <w:r w:rsidRPr="00286216">
              <w:rPr>
                <w:color w:val="000000" w:themeColor="text1"/>
              </w:rPr>
              <w:t>-Н.д.Шахов С.В. (Реєстр.картка №114)</w:t>
            </w:r>
          </w:p>
          <w:p w14:paraId="7DF4F158" w14:textId="77777777" w:rsidR="00403AAD" w:rsidRPr="00286216" w:rsidRDefault="00403AAD" w:rsidP="00403AAD">
            <w:pPr>
              <w:pStyle w:val="StyleProp"/>
              <w:rPr>
                <w:color w:val="000000" w:themeColor="text1"/>
                <w:spacing w:val="-2"/>
              </w:rPr>
            </w:pPr>
            <w:r w:rsidRPr="00286216">
              <w:rPr>
                <w:color w:val="000000" w:themeColor="text1"/>
                <w:spacing w:val="-2"/>
              </w:rPr>
              <w:t>Частину шосту статті 49 виключити.</w:t>
            </w:r>
          </w:p>
        </w:tc>
        <w:tc>
          <w:tcPr>
            <w:tcW w:w="1987" w:type="dxa"/>
          </w:tcPr>
          <w:p w14:paraId="38DBBAD9" w14:textId="77777777" w:rsidR="00403AAD" w:rsidRPr="00286216" w:rsidRDefault="00403AAD" w:rsidP="00403AAD">
            <w:pPr>
              <w:pStyle w:val="StyleWisnow"/>
              <w:rPr>
                <w:color w:val="000000" w:themeColor="text1"/>
              </w:rPr>
            </w:pPr>
            <w:r w:rsidRPr="00286216">
              <w:rPr>
                <w:color w:val="000000" w:themeColor="text1"/>
              </w:rPr>
              <w:t>Відхилено</w:t>
            </w:r>
          </w:p>
          <w:p w14:paraId="609BF6AA" w14:textId="77777777" w:rsidR="00403AAD" w:rsidRPr="00286216" w:rsidRDefault="00403AAD" w:rsidP="00403AAD">
            <w:pPr>
              <w:pStyle w:val="StyleWisnow"/>
              <w:spacing w:line="180" w:lineRule="exact"/>
              <w:rPr>
                <w:color w:val="000000" w:themeColor="text1"/>
              </w:rPr>
            </w:pPr>
            <w:r w:rsidRPr="00286216">
              <w:rPr>
                <w:color w:val="000000" w:themeColor="text1"/>
              </w:rPr>
              <w:t>поправка суперечить приписам статті50 MiFID II</w:t>
            </w:r>
          </w:p>
        </w:tc>
        <w:tc>
          <w:tcPr>
            <w:tcW w:w="4818" w:type="dxa"/>
          </w:tcPr>
          <w:p w14:paraId="5A52BDCF" w14:textId="77777777" w:rsidR="00403AAD" w:rsidRPr="00286216" w:rsidRDefault="00403AAD" w:rsidP="00403AAD">
            <w:pPr>
              <w:pStyle w:val="StyleZakonu"/>
              <w:rPr>
                <w:color w:val="000000" w:themeColor="text1"/>
              </w:rPr>
            </w:pPr>
          </w:p>
        </w:tc>
      </w:tr>
      <w:tr w:rsidR="00403AAD" w:rsidRPr="00286216" w14:paraId="1E730CDC" w14:textId="77777777" w:rsidTr="00091AA5">
        <w:tc>
          <w:tcPr>
            <w:tcW w:w="576" w:type="dxa"/>
          </w:tcPr>
          <w:p w14:paraId="02DC5F2F" w14:textId="77777777" w:rsidR="00403AAD" w:rsidRPr="00286216" w:rsidRDefault="00403AAD" w:rsidP="00403AAD">
            <w:pPr>
              <w:pStyle w:val="StyleWisnow"/>
              <w:rPr>
                <w:color w:val="000000" w:themeColor="text1"/>
              </w:rPr>
            </w:pPr>
            <w:bookmarkStart w:id="615" w:name="n909" w:colFirst="0" w:colLast="0"/>
            <w:r w:rsidRPr="00286216">
              <w:rPr>
                <w:color w:val="000000" w:themeColor="text1"/>
              </w:rPr>
              <w:t>909.</w:t>
            </w:r>
          </w:p>
        </w:tc>
        <w:tc>
          <w:tcPr>
            <w:tcW w:w="4818" w:type="dxa"/>
          </w:tcPr>
          <w:p w14:paraId="5B3C4CA3" w14:textId="77777777" w:rsidR="00403AAD" w:rsidRPr="00286216" w:rsidRDefault="00403AAD" w:rsidP="00403AAD">
            <w:pPr>
              <w:pStyle w:val="StyleZakonu"/>
              <w:rPr>
                <w:color w:val="000000" w:themeColor="text1"/>
              </w:rPr>
            </w:pPr>
            <w:r w:rsidRPr="00286216">
              <w:rPr>
                <w:color w:val="000000" w:themeColor="text1"/>
              </w:rPr>
              <w:t>7. Оператор організованого ринку зобов’язаний доводити до відома учасників організованого ринку інформацію про їх обов’язки та механізми виконання договорів, укладених на такому ринку.</w:t>
            </w:r>
          </w:p>
        </w:tc>
        <w:tc>
          <w:tcPr>
            <w:tcW w:w="3686" w:type="dxa"/>
          </w:tcPr>
          <w:p w14:paraId="3354FCC2" w14:textId="77777777" w:rsidR="00403AAD" w:rsidRPr="00286216" w:rsidRDefault="00403AAD" w:rsidP="00403AAD">
            <w:pPr>
              <w:pStyle w:val="StyleProp"/>
              <w:rPr>
                <w:color w:val="000000" w:themeColor="text1"/>
                <w:szCs w:val="18"/>
              </w:rPr>
            </w:pPr>
          </w:p>
        </w:tc>
        <w:tc>
          <w:tcPr>
            <w:tcW w:w="1987" w:type="dxa"/>
          </w:tcPr>
          <w:p w14:paraId="5E716C67" w14:textId="77777777" w:rsidR="00403AAD" w:rsidRPr="00286216" w:rsidRDefault="00403AAD" w:rsidP="00403AAD">
            <w:pPr>
              <w:pStyle w:val="StyleWisnow"/>
              <w:rPr>
                <w:color w:val="000000" w:themeColor="text1"/>
              </w:rPr>
            </w:pPr>
          </w:p>
        </w:tc>
        <w:tc>
          <w:tcPr>
            <w:tcW w:w="4818" w:type="dxa"/>
          </w:tcPr>
          <w:p w14:paraId="405881A9" w14:textId="59EADE01" w:rsidR="00403AAD" w:rsidRPr="00286216" w:rsidRDefault="00403AAD" w:rsidP="00403AAD">
            <w:pPr>
              <w:pStyle w:val="StyleZakonu"/>
              <w:rPr>
                <w:color w:val="000000" w:themeColor="text1"/>
              </w:rPr>
            </w:pPr>
            <w:r w:rsidRPr="00286216">
              <w:rPr>
                <w:color w:val="000000" w:themeColor="text1"/>
              </w:rPr>
              <w:t>8. Оператор організованого ринку зобов’язаний доводити до відома учасників організованого ринку інформацію про їх обов’язки та механізми виконання договорів, укладених на такому ринку.</w:t>
            </w:r>
          </w:p>
        </w:tc>
      </w:tr>
      <w:tr w:rsidR="00403AAD" w:rsidRPr="00286216" w14:paraId="599E4FDD" w14:textId="77777777" w:rsidTr="00091AA5">
        <w:tc>
          <w:tcPr>
            <w:tcW w:w="576" w:type="dxa"/>
          </w:tcPr>
          <w:p w14:paraId="3EC10CF1" w14:textId="77777777" w:rsidR="00403AAD" w:rsidRPr="00286216" w:rsidRDefault="00403AAD" w:rsidP="00403AAD">
            <w:pPr>
              <w:pStyle w:val="StyleWisnow"/>
              <w:rPr>
                <w:color w:val="000000" w:themeColor="text1"/>
              </w:rPr>
            </w:pPr>
            <w:bookmarkStart w:id="616" w:name="n910" w:colFirst="0" w:colLast="0"/>
            <w:bookmarkEnd w:id="615"/>
            <w:r w:rsidRPr="00286216">
              <w:rPr>
                <w:color w:val="000000" w:themeColor="text1"/>
              </w:rPr>
              <w:t>910.</w:t>
            </w:r>
          </w:p>
        </w:tc>
        <w:tc>
          <w:tcPr>
            <w:tcW w:w="4818" w:type="dxa"/>
          </w:tcPr>
          <w:p w14:paraId="0F1A5C29" w14:textId="77777777" w:rsidR="00403AAD" w:rsidRPr="00286216" w:rsidRDefault="00403AAD" w:rsidP="00403AAD">
            <w:pPr>
              <w:pStyle w:val="StyleZakonu"/>
              <w:rPr>
                <w:color w:val="000000" w:themeColor="text1"/>
              </w:rPr>
            </w:pPr>
            <w:bookmarkStart w:id="617" w:name="_Ref20846334"/>
            <w:r w:rsidRPr="00286216">
              <w:rPr>
                <w:color w:val="000000" w:themeColor="text1"/>
              </w:rPr>
              <w:t>8. Оператор регульованого ринку та БТМ не має права виступати стороною правочинів щодо фінансових інструментів, що укладаються на багатосторонній системі, організацію діяльності якого він здійснює.</w:t>
            </w:r>
            <w:bookmarkEnd w:id="617"/>
          </w:p>
        </w:tc>
        <w:tc>
          <w:tcPr>
            <w:tcW w:w="3686" w:type="dxa"/>
          </w:tcPr>
          <w:p w14:paraId="014E45DF" w14:textId="7A0308D8"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522</w:t>
            </w:r>
            <w:r w:rsidRPr="00286216">
              <w:rPr>
                <w:color w:val="000000" w:themeColor="text1"/>
              </w:rPr>
              <w:fldChar w:fldCharType="end"/>
            </w:r>
            <w:r w:rsidRPr="00286216">
              <w:rPr>
                <w:color w:val="000000" w:themeColor="text1"/>
              </w:rPr>
              <w:t>-Н.д.Шахов С.В. (Реєстр.картка №114)</w:t>
            </w:r>
          </w:p>
          <w:p w14:paraId="32DB3F99" w14:textId="77777777" w:rsidR="00403AAD" w:rsidRPr="00286216" w:rsidRDefault="00403AAD" w:rsidP="00403AAD">
            <w:pPr>
              <w:pStyle w:val="StyleProp"/>
              <w:rPr>
                <w:color w:val="000000" w:themeColor="text1"/>
                <w:spacing w:val="-2"/>
              </w:rPr>
            </w:pPr>
            <w:r w:rsidRPr="00286216">
              <w:rPr>
                <w:color w:val="000000" w:themeColor="text1"/>
                <w:spacing w:val="-2"/>
              </w:rPr>
              <w:t>У ст.49 частину 8 викласти у такій редакції:</w:t>
            </w:r>
          </w:p>
          <w:p w14:paraId="2023A448" w14:textId="77777777" w:rsidR="00403AAD" w:rsidRPr="00286216" w:rsidRDefault="00403AAD" w:rsidP="00403AAD">
            <w:pPr>
              <w:pStyle w:val="StyleProp"/>
              <w:rPr>
                <w:color w:val="000000" w:themeColor="text1"/>
                <w:szCs w:val="18"/>
              </w:rPr>
            </w:pPr>
            <w:r w:rsidRPr="00286216">
              <w:rPr>
                <w:color w:val="000000" w:themeColor="text1"/>
              </w:rPr>
              <w:t>«</w:t>
            </w:r>
            <w:r w:rsidRPr="00286216">
              <w:rPr>
                <w:color w:val="000000" w:themeColor="text1"/>
                <w:szCs w:val="18"/>
              </w:rPr>
              <w:t>8. Оператор регульованого ринку не має права виступати стороною правочинів щодо фінансових інструментів, що укладаються на багатосторонній системі, організацію діяльності якого він здійснює, крім провадження оператором регульованого ринку капіталів клірингової діяльності центрального контрагента за деривативними контрактами, що укладаються на багатосторонній системі, організацію діяльності якої він здійснює, в межах та на умовах, встановлених законом.</w:t>
            </w:r>
          </w:p>
          <w:p w14:paraId="12621904" w14:textId="77777777" w:rsidR="00403AAD" w:rsidRPr="00286216" w:rsidRDefault="00403AAD" w:rsidP="00403AAD">
            <w:pPr>
              <w:pStyle w:val="StyleProp"/>
              <w:rPr>
                <w:color w:val="000000" w:themeColor="text1"/>
                <w:szCs w:val="18"/>
              </w:rPr>
            </w:pPr>
            <w:r w:rsidRPr="00286216">
              <w:rPr>
                <w:color w:val="000000" w:themeColor="text1"/>
                <w:szCs w:val="18"/>
              </w:rPr>
              <w:t xml:space="preserve">Оператор БТМ та оператор ОТМ мають </w:t>
            </w:r>
            <w:r w:rsidRPr="00286216">
              <w:rPr>
                <w:color w:val="000000" w:themeColor="text1"/>
                <w:szCs w:val="18"/>
              </w:rPr>
              <w:lastRenderedPageBreak/>
              <w:t>право у встановленому Національною комісією з цінних паперів та фондового ринку порядку (в частині поставних товарних деривативних контрактів – у відповідності до законодавства про товарні ринки) провадити клірингову діяльність центрального контрагента за деривативними контрактами та/або виступати стороною правочинів щодо фінансових інструментів, що укладаються на багатосторонній системі, організацію діяльності якої вони здійснюють, в тому числі за рахунок власного капіталу</w:t>
            </w:r>
            <w:r w:rsidRPr="00286216">
              <w:rPr>
                <w:color w:val="000000" w:themeColor="text1"/>
              </w:rPr>
              <w:t>»</w:t>
            </w:r>
            <w:r w:rsidRPr="00286216">
              <w:rPr>
                <w:color w:val="000000" w:themeColor="text1"/>
                <w:szCs w:val="18"/>
              </w:rPr>
              <w:t>.</w:t>
            </w:r>
          </w:p>
        </w:tc>
        <w:tc>
          <w:tcPr>
            <w:tcW w:w="1987" w:type="dxa"/>
          </w:tcPr>
          <w:p w14:paraId="586668C9" w14:textId="77777777" w:rsidR="00403AAD" w:rsidRPr="00286216" w:rsidRDefault="00403AAD" w:rsidP="00403AAD">
            <w:pPr>
              <w:pStyle w:val="StyleWisnow"/>
              <w:rPr>
                <w:color w:val="000000" w:themeColor="text1"/>
              </w:rPr>
            </w:pPr>
            <w:r w:rsidRPr="00286216">
              <w:rPr>
                <w:color w:val="000000" w:themeColor="text1"/>
              </w:rPr>
              <w:lastRenderedPageBreak/>
              <w:t>Відхилено</w:t>
            </w:r>
          </w:p>
          <w:p w14:paraId="6BCEBD4C" w14:textId="77777777" w:rsidR="00403AAD" w:rsidRPr="00286216" w:rsidRDefault="00403AAD" w:rsidP="00403AAD">
            <w:pPr>
              <w:pStyle w:val="StyleWisnow"/>
              <w:spacing w:line="180" w:lineRule="exact"/>
              <w:rPr>
                <w:color w:val="000000" w:themeColor="text1"/>
              </w:rPr>
            </w:pPr>
            <w:r w:rsidRPr="00286216">
              <w:rPr>
                <w:color w:val="000000" w:themeColor="text1"/>
              </w:rPr>
              <w:t>можливість здійснення оператором регульованого ринку клірингової діяльності центрального контрагента закладено як тимчасову норму у перехідних положеннях законопроекту</w:t>
            </w:r>
          </w:p>
        </w:tc>
        <w:tc>
          <w:tcPr>
            <w:tcW w:w="4818" w:type="dxa"/>
          </w:tcPr>
          <w:p w14:paraId="7540FFB2" w14:textId="7E276A0B" w:rsidR="00403AAD" w:rsidRPr="00286216" w:rsidRDefault="00403AAD" w:rsidP="00403AAD">
            <w:pPr>
              <w:pStyle w:val="StyleZakonu"/>
              <w:rPr>
                <w:color w:val="000000" w:themeColor="text1"/>
              </w:rPr>
            </w:pPr>
            <w:r w:rsidRPr="00286216">
              <w:rPr>
                <w:color w:val="000000" w:themeColor="text1"/>
              </w:rPr>
              <w:t>9. Оператор регульованого ринку та БТМ не має права виступати стороною правочинів щодо фінансових інструментів, що укладаються на багатосторонній системі, організацію діяльності якого він здійснює.</w:t>
            </w:r>
          </w:p>
        </w:tc>
      </w:tr>
      <w:tr w:rsidR="00403AAD" w:rsidRPr="00286216" w14:paraId="3DA423EA" w14:textId="77777777" w:rsidTr="00091AA5">
        <w:tc>
          <w:tcPr>
            <w:tcW w:w="576" w:type="dxa"/>
          </w:tcPr>
          <w:p w14:paraId="296AC966" w14:textId="77777777" w:rsidR="00403AAD" w:rsidRPr="00286216" w:rsidRDefault="00403AAD" w:rsidP="00403AAD">
            <w:pPr>
              <w:pStyle w:val="StyleWisnow"/>
              <w:rPr>
                <w:color w:val="000000" w:themeColor="text1"/>
              </w:rPr>
            </w:pPr>
            <w:bookmarkStart w:id="618" w:name="n911" w:colFirst="0" w:colLast="0"/>
            <w:bookmarkEnd w:id="616"/>
            <w:r w:rsidRPr="00286216">
              <w:rPr>
                <w:color w:val="000000" w:themeColor="text1"/>
              </w:rPr>
              <w:lastRenderedPageBreak/>
              <w:t>911.</w:t>
            </w:r>
          </w:p>
        </w:tc>
        <w:tc>
          <w:tcPr>
            <w:tcW w:w="4818" w:type="dxa"/>
          </w:tcPr>
          <w:p w14:paraId="00BD080E" w14:textId="77777777" w:rsidR="00403AAD" w:rsidRPr="00286216" w:rsidRDefault="00403AAD" w:rsidP="00403AAD">
            <w:pPr>
              <w:pStyle w:val="StyleZakonu"/>
              <w:rPr>
                <w:color w:val="000000" w:themeColor="text1"/>
              </w:rPr>
            </w:pPr>
            <w:r w:rsidRPr="00286216">
              <w:rPr>
                <w:color w:val="000000" w:themeColor="text1"/>
              </w:rPr>
              <w:t>Оператор ОТМ має право у встановленому Національною комісією з цінних паперів та фондового ринку порядку виступати стороною правочинів щодо фінансових інструментів, що укладаються на багатосторонній системі, організацію діяльності якої він здійснює, в тому числі за рахунок власного капіталу.</w:t>
            </w:r>
          </w:p>
        </w:tc>
        <w:tc>
          <w:tcPr>
            <w:tcW w:w="3686" w:type="dxa"/>
          </w:tcPr>
          <w:p w14:paraId="6EEAA4D3" w14:textId="77777777" w:rsidR="00403AAD" w:rsidRPr="00286216" w:rsidRDefault="00403AAD" w:rsidP="00403AAD">
            <w:pPr>
              <w:pStyle w:val="StyleProp"/>
              <w:rPr>
                <w:color w:val="000000" w:themeColor="text1"/>
                <w:szCs w:val="18"/>
              </w:rPr>
            </w:pPr>
          </w:p>
        </w:tc>
        <w:tc>
          <w:tcPr>
            <w:tcW w:w="1987" w:type="dxa"/>
          </w:tcPr>
          <w:p w14:paraId="3AC22525" w14:textId="77777777" w:rsidR="00403AAD" w:rsidRPr="00286216" w:rsidRDefault="00403AAD" w:rsidP="00403AAD">
            <w:pPr>
              <w:pStyle w:val="StyleWisnow"/>
              <w:rPr>
                <w:color w:val="000000" w:themeColor="text1"/>
              </w:rPr>
            </w:pPr>
          </w:p>
        </w:tc>
        <w:tc>
          <w:tcPr>
            <w:tcW w:w="4818" w:type="dxa"/>
          </w:tcPr>
          <w:p w14:paraId="4517D070" w14:textId="55B55B80" w:rsidR="00403AAD" w:rsidRPr="00286216" w:rsidRDefault="00403AAD" w:rsidP="00403AAD">
            <w:pPr>
              <w:pStyle w:val="StyleZakonu"/>
              <w:rPr>
                <w:color w:val="000000" w:themeColor="text1"/>
              </w:rPr>
            </w:pPr>
            <w:r w:rsidRPr="00286216">
              <w:rPr>
                <w:color w:val="000000" w:themeColor="text1"/>
              </w:rPr>
              <w:t>Оператор ОТМ має право у встановленому Національною комісією з цінних паперів та фондового ринку порядку виступати стороною правочинів щодо фінансових інструментів, що укладаються на багатосторонній системі, організацію діяльності якої він здійснює, в тому числі за рахунок власного капіталу.</w:t>
            </w:r>
          </w:p>
        </w:tc>
      </w:tr>
      <w:tr w:rsidR="00403AAD" w:rsidRPr="00286216" w14:paraId="2D3E4950" w14:textId="77777777" w:rsidTr="00091AA5">
        <w:tc>
          <w:tcPr>
            <w:tcW w:w="576" w:type="dxa"/>
          </w:tcPr>
          <w:p w14:paraId="5D02AFEF" w14:textId="77777777" w:rsidR="00403AAD" w:rsidRPr="00286216" w:rsidRDefault="00403AAD" w:rsidP="00403AAD">
            <w:pPr>
              <w:pStyle w:val="StyleWisnow"/>
              <w:rPr>
                <w:color w:val="000000" w:themeColor="text1"/>
              </w:rPr>
            </w:pPr>
            <w:bookmarkStart w:id="619" w:name="n912" w:colFirst="0" w:colLast="0"/>
            <w:bookmarkEnd w:id="618"/>
            <w:r w:rsidRPr="00286216">
              <w:rPr>
                <w:color w:val="000000" w:themeColor="text1"/>
              </w:rPr>
              <w:t>912.</w:t>
            </w:r>
          </w:p>
        </w:tc>
        <w:tc>
          <w:tcPr>
            <w:tcW w:w="4818" w:type="dxa"/>
          </w:tcPr>
          <w:p w14:paraId="4B243B31" w14:textId="77777777" w:rsidR="00403AAD" w:rsidRPr="00286216" w:rsidRDefault="00403AAD" w:rsidP="00403AAD">
            <w:pPr>
              <w:pStyle w:val="StyleZakonu"/>
              <w:rPr>
                <w:color w:val="000000" w:themeColor="text1"/>
              </w:rPr>
            </w:pPr>
            <w:bookmarkStart w:id="620" w:name="_Ref19263623"/>
            <w:bookmarkStart w:id="621" w:name="_Ref16415516"/>
            <w:r w:rsidRPr="00286216">
              <w:rPr>
                <w:color w:val="000000" w:themeColor="text1"/>
              </w:rPr>
              <w:t>Стаття 50. Правила функціонування організованого ринку</w:t>
            </w:r>
            <w:bookmarkEnd w:id="620"/>
            <w:bookmarkEnd w:id="621"/>
          </w:p>
        </w:tc>
        <w:tc>
          <w:tcPr>
            <w:tcW w:w="3686" w:type="dxa"/>
          </w:tcPr>
          <w:p w14:paraId="47FF98B2" w14:textId="77777777" w:rsidR="00403AAD" w:rsidRPr="00286216" w:rsidRDefault="00403AAD" w:rsidP="00403AAD">
            <w:pPr>
              <w:pStyle w:val="StyleProp"/>
              <w:rPr>
                <w:color w:val="000000" w:themeColor="text1"/>
                <w:szCs w:val="18"/>
              </w:rPr>
            </w:pPr>
          </w:p>
        </w:tc>
        <w:tc>
          <w:tcPr>
            <w:tcW w:w="1987" w:type="dxa"/>
          </w:tcPr>
          <w:p w14:paraId="3391D2F6" w14:textId="77777777" w:rsidR="00403AAD" w:rsidRPr="00286216" w:rsidRDefault="00403AAD" w:rsidP="00403AAD">
            <w:pPr>
              <w:pStyle w:val="StyleWisnow"/>
              <w:rPr>
                <w:color w:val="000000" w:themeColor="text1"/>
              </w:rPr>
            </w:pPr>
          </w:p>
        </w:tc>
        <w:tc>
          <w:tcPr>
            <w:tcW w:w="4818" w:type="dxa"/>
          </w:tcPr>
          <w:p w14:paraId="7C56E93A" w14:textId="4E1278A9" w:rsidR="00403AAD" w:rsidRPr="00286216" w:rsidRDefault="00403AAD" w:rsidP="00403AAD">
            <w:pPr>
              <w:pStyle w:val="StyleZakonu"/>
              <w:rPr>
                <w:color w:val="000000" w:themeColor="text1"/>
              </w:rPr>
            </w:pPr>
            <w:r w:rsidRPr="00286216">
              <w:rPr>
                <w:color w:val="000000" w:themeColor="text1"/>
              </w:rPr>
              <w:t>Стаття 53. Правила функціонування організованого ринку</w:t>
            </w:r>
          </w:p>
        </w:tc>
      </w:tr>
      <w:tr w:rsidR="00403AAD" w:rsidRPr="00286216" w14:paraId="3B27002D" w14:textId="77777777" w:rsidTr="00091AA5">
        <w:tc>
          <w:tcPr>
            <w:tcW w:w="576" w:type="dxa"/>
          </w:tcPr>
          <w:p w14:paraId="498F43A0" w14:textId="77777777" w:rsidR="00403AAD" w:rsidRPr="00286216" w:rsidRDefault="00403AAD" w:rsidP="00403AAD">
            <w:pPr>
              <w:pStyle w:val="StyleWisnow"/>
              <w:rPr>
                <w:color w:val="000000" w:themeColor="text1"/>
              </w:rPr>
            </w:pPr>
            <w:bookmarkStart w:id="622" w:name="n913" w:colFirst="0" w:colLast="0"/>
            <w:bookmarkEnd w:id="619"/>
            <w:r w:rsidRPr="00286216">
              <w:rPr>
                <w:color w:val="000000" w:themeColor="text1"/>
              </w:rPr>
              <w:t>913.</w:t>
            </w:r>
          </w:p>
        </w:tc>
        <w:tc>
          <w:tcPr>
            <w:tcW w:w="4818" w:type="dxa"/>
          </w:tcPr>
          <w:p w14:paraId="1822287F" w14:textId="77777777" w:rsidR="00403AAD" w:rsidRPr="00286216" w:rsidRDefault="00403AAD" w:rsidP="00403AAD">
            <w:pPr>
              <w:pStyle w:val="StyleZakonu"/>
              <w:rPr>
                <w:color w:val="000000" w:themeColor="text1"/>
              </w:rPr>
            </w:pPr>
            <w:bookmarkStart w:id="623" w:name="_Ref20423255"/>
            <w:r w:rsidRPr="00286216">
              <w:rPr>
                <w:color w:val="000000" w:themeColor="text1"/>
              </w:rPr>
              <w:t>1. Правила функціонування регульованого ринку складаються, зокрема, з порядку:</w:t>
            </w:r>
            <w:bookmarkEnd w:id="623"/>
          </w:p>
        </w:tc>
        <w:tc>
          <w:tcPr>
            <w:tcW w:w="3686" w:type="dxa"/>
          </w:tcPr>
          <w:p w14:paraId="71783BAB" w14:textId="77777777" w:rsidR="00403AAD" w:rsidRPr="00286216" w:rsidRDefault="00403AAD" w:rsidP="00403AAD">
            <w:pPr>
              <w:pStyle w:val="StyleProp"/>
              <w:rPr>
                <w:color w:val="000000" w:themeColor="text1"/>
                <w:szCs w:val="18"/>
              </w:rPr>
            </w:pPr>
          </w:p>
        </w:tc>
        <w:tc>
          <w:tcPr>
            <w:tcW w:w="1987" w:type="dxa"/>
          </w:tcPr>
          <w:p w14:paraId="2C95FD6B" w14:textId="77777777" w:rsidR="00403AAD" w:rsidRPr="00286216" w:rsidRDefault="00403AAD" w:rsidP="00403AAD">
            <w:pPr>
              <w:pStyle w:val="StyleWisnow"/>
              <w:rPr>
                <w:color w:val="000000" w:themeColor="text1"/>
              </w:rPr>
            </w:pPr>
          </w:p>
        </w:tc>
        <w:tc>
          <w:tcPr>
            <w:tcW w:w="4818" w:type="dxa"/>
          </w:tcPr>
          <w:p w14:paraId="1127B3BC" w14:textId="1BF666BC" w:rsidR="00403AAD" w:rsidRPr="00286216" w:rsidRDefault="00403AAD" w:rsidP="00403AAD">
            <w:pPr>
              <w:pStyle w:val="StyleZakonu"/>
              <w:rPr>
                <w:color w:val="000000" w:themeColor="text1"/>
              </w:rPr>
            </w:pPr>
            <w:r w:rsidRPr="00286216">
              <w:rPr>
                <w:color w:val="000000" w:themeColor="text1"/>
              </w:rPr>
              <w:t>1. Правила функціонування регульованого ринку складаються, зокрема, з порядку:</w:t>
            </w:r>
          </w:p>
        </w:tc>
      </w:tr>
      <w:tr w:rsidR="00403AAD" w:rsidRPr="00286216" w14:paraId="3778E5F1" w14:textId="77777777" w:rsidTr="00091AA5">
        <w:tc>
          <w:tcPr>
            <w:tcW w:w="576" w:type="dxa"/>
          </w:tcPr>
          <w:p w14:paraId="623E7FC2" w14:textId="77777777" w:rsidR="00403AAD" w:rsidRPr="00286216" w:rsidRDefault="00403AAD" w:rsidP="00403AAD">
            <w:pPr>
              <w:pStyle w:val="StyleWisnow"/>
              <w:rPr>
                <w:color w:val="000000" w:themeColor="text1"/>
              </w:rPr>
            </w:pPr>
            <w:bookmarkStart w:id="624" w:name="n914" w:colFirst="0" w:colLast="0"/>
            <w:bookmarkEnd w:id="622"/>
            <w:r w:rsidRPr="00286216">
              <w:rPr>
                <w:color w:val="000000" w:themeColor="text1"/>
              </w:rPr>
              <w:t>914.</w:t>
            </w:r>
          </w:p>
        </w:tc>
        <w:tc>
          <w:tcPr>
            <w:tcW w:w="4818" w:type="dxa"/>
          </w:tcPr>
          <w:p w14:paraId="12B82546" w14:textId="77777777" w:rsidR="00403AAD" w:rsidRPr="00286216" w:rsidRDefault="00403AAD" w:rsidP="00403AAD">
            <w:pPr>
              <w:pStyle w:val="StyleZakonu"/>
              <w:rPr>
                <w:color w:val="000000" w:themeColor="text1"/>
              </w:rPr>
            </w:pPr>
            <w:r w:rsidRPr="00286216">
              <w:rPr>
                <w:color w:val="000000" w:themeColor="text1"/>
              </w:rPr>
              <w:t>1) допуску учасників регульованих ринків до регулярних торгів;</w:t>
            </w:r>
          </w:p>
        </w:tc>
        <w:tc>
          <w:tcPr>
            <w:tcW w:w="3686" w:type="dxa"/>
          </w:tcPr>
          <w:p w14:paraId="3D7AA235" w14:textId="77777777" w:rsidR="00403AAD" w:rsidRPr="00286216" w:rsidRDefault="00403AAD" w:rsidP="00403AAD">
            <w:pPr>
              <w:pStyle w:val="StyleProp"/>
              <w:rPr>
                <w:color w:val="000000" w:themeColor="text1"/>
                <w:szCs w:val="18"/>
              </w:rPr>
            </w:pPr>
          </w:p>
        </w:tc>
        <w:tc>
          <w:tcPr>
            <w:tcW w:w="1987" w:type="dxa"/>
          </w:tcPr>
          <w:p w14:paraId="24AD9270" w14:textId="77777777" w:rsidR="00403AAD" w:rsidRPr="00286216" w:rsidRDefault="00403AAD" w:rsidP="00403AAD">
            <w:pPr>
              <w:pStyle w:val="StyleWisnow"/>
              <w:rPr>
                <w:color w:val="000000" w:themeColor="text1"/>
              </w:rPr>
            </w:pPr>
          </w:p>
        </w:tc>
        <w:tc>
          <w:tcPr>
            <w:tcW w:w="4818" w:type="dxa"/>
          </w:tcPr>
          <w:p w14:paraId="31D79B98" w14:textId="05654E20" w:rsidR="00403AAD" w:rsidRPr="00286216" w:rsidRDefault="00403AAD" w:rsidP="00403AAD">
            <w:pPr>
              <w:pStyle w:val="StyleZakonu"/>
              <w:rPr>
                <w:color w:val="000000" w:themeColor="text1"/>
              </w:rPr>
            </w:pPr>
            <w:r w:rsidRPr="00286216">
              <w:rPr>
                <w:color w:val="000000" w:themeColor="text1"/>
              </w:rPr>
              <w:t>1) допуску учасників регульованих ринків до регулярних торгів;</w:t>
            </w:r>
          </w:p>
        </w:tc>
      </w:tr>
      <w:tr w:rsidR="00403AAD" w:rsidRPr="00286216" w14:paraId="0BCEBEC1" w14:textId="77777777" w:rsidTr="00091AA5">
        <w:tc>
          <w:tcPr>
            <w:tcW w:w="576" w:type="dxa"/>
          </w:tcPr>
          <w:p w14:paraId="341A3295" w14:textId="77777777" w:rsidR="00403AAD" w:rsidRPr="00286216" w:rsidRDefault="00403AAD" w:rsidP="00403AAD">
            <w:pPr>
              <w:pStyle w:val="StyleWisnow"/>
              <w:rPr>
                <w:color w:val="000000" w:themeColor="text1"/>
              </w:rPr>
            </w:pPr>
            <w:bookmarkStart w:id="625" w:name="n915" w:colFirst="0" w:colLast="0"/>
            <w:bookmarkEnd w:id="624"/>
            <w:r w:rsidRPr="00286216">
              <w:rPr>
                <w:color w:val="000000" w:themeColor="text1"/>
              </w:rPr>
              <w:t>915.</w:t>
            </w:r>
          </w:p>
        </w:tc>
        <w:tc>
          <w:tcPr>
            <w:tcW w:w="4818" w:type="dxa"/>
          </w:tcPr>
          <w:p w14:paraId="6C134469" w14:textId="77777777" w:rsidR="00403AAD" w:rsidRPr="00286216" w:rsidRDefault="00403AAD" w:rsidP="00403AAD">
            <w:pPr>
              <w:pStyle w:val="StyleZakonu"/>
              <w:rPr>
                <w:color w:val="000000" w:themeColor="text1"/>
              </w:rPr>
            </w:pPr>
            <w:r w:rsidRPr="00286216">
              <w:rPr>
                <w:color w:val="000000" w:themeColor="text1"/>
              </w:rPr>
              <w:t>2) організації та проведення регулярних торгів;</w:t>
            </w:r>
          </w:p>
        </w:tc>
        <w:tc>
          <w:tcPr>
            <w:tcW w:w="3686" w:type="dxa"/>
          </w:tcPr>
          <w:p w14:paraId="3A345885" w14:textId="77777777" w:rsidR="00403AAD" w:rsidRPr="00286216" w:rsidRDefault="00403AAD" w:rsidP="00403AAD">
            <w:pPr>
              <w:pStyle w:val="StyleProp"/>
              <w:rPr>
                <w:color w:val="000000" w:themeColor="text1"/>
                <w:szCs w:val="18"/>
              </w:rPr>
            </w:pPr>
          </w:p>
        </w:tc>
        <w:tc>
          <w:tcPr>
            <w:tcW w:w="1987" w:type="dxa"/>
          </w:tcPr>
          <w:p w14:paraId="0534C135" w14:textId="77777777" w:rsidR="00403AAD" w:rsidRPr="00286216" w:rsidRDefault="00403AAD" w:rsidP="00403AAD">
            <w:pPr>
              <w:pStyle w:val="StyleWisnow"/>
              <w:rPr>
                <w:color w:val="000000" w:themeColor="text1"/>
              </w:rPr>
            </w:pPr>
          </w:p>
        </w:tc>
        <w:tc>
          <w:tcPr>
            <w:tcW w:w="4818" w:type="dxa"/>
          </w:tcPr>
          <w:p w14:paraId="53E4CE64" w14:textId="447F9FEF" w:rsidR="00403AAD" w:rsidRPr="00286216" w:rsidRDefault="00403AAD" w:rsidP="00403AAD">
            <w:pPr>
              <w:pStyle w:val="StyleZakonu"/>
              <w:rPr>
                <w:color w:val="000000" w:themeColor="text1"/>
              </w:rPr>
            </w:pPr>
            <w:r w:rsidRPr="00286216">
              <w:rPr>
                <w:color w:val="000000" w:themeColor="text1"/>
              </w:rPr>
              <w:t>2) організації та проведення регулярних торгів;</w:t>
            </w:r>
          </w:p>
        </w:tc>
      </w:tr>
      <w:tr w:rsidR="00403AAD" w:rsidRPr="00286216" w14:paraId="3155EEE7" w14:textId="77777777" w:rsidTr="00091AA5">
        <w:tc>
          <w:tcPr>
            <w:tcW w:w="576" w:type="dxa"/>
          </w:tcPr>
          <w:p w14:paraId="15789F39" w14:textId="77777777" w:rsidR="00403AAD" w:rsidRPr="00286216" w:rsidRDefault="00403AAD" w:rsidP="00403AAD">
            <w:pPr>
              <w:pStyle w:val="StyleWisnow"/>
              <w:rPr>
                <w:color w:val="000000" w:themeColor="text1"/>
              </w:rPr>
            </w:pPr>
            <w:bookmarkStart w:id="626" w:name="n916" w:colFirst="0" w:colLast="0"/>
            <w:bookmarkEnd w:id="625"/>
            <w:r w:rsidRPr="00286216">
              <w:rPr>
                <w:color w:val="000000" w:themeColor="text1"/>
              </w:rPr>
              <w:t>916.</w:t>
            </w:r>
          </w:p>
        </w:tc>
        <w:tc>
          <w:tcPr>
            <w:tcW w:w="4818" w:type="dxa"/>
          </w:tcPr>
          <w:p w14:paraId="4F810E85" w14:textId="77777777"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c>
          <w:tcPr>
            <w:tcW w:w="3686" w:type="dxa"/>
          </w:tcPr>
          <w:p w14:paraId="2516E2BA" w14:textId="77777777" w:rsidR="00403AAD" w:rsidRPr="00286216" w:rsidRDefault="00403AAD" w:rsidP="00403AAD">
            <w:pPr>
              <w:pStyle w:val="StyleProp"/>
              <w:rPr>
                <w:color w:val="000000" w:themeColor="text1"/>
                <w:szCs w:val="18"/>
              </w:rPr>
            </w:pPr>
          </w:p>
        </w:tc>
        <w:tc>
          <w:tcPr>
            <w:tcW w:w="1987" w:type="dxa"/>
          </w:tcPr>
          <w:p w14:paraId="7A04CE50" w14:textId="77777777" w:rsidR="00403AAD" w:rsidRPr="00286216" w:rsidRDefault="00403AAD" w:rsidP="00403AAD">
            <w:pPr>
              <w:pStyle w:val="StyleWisnow"/>
              <w:rPr>
                <w:color w:val="000000" w:themeColor="text1"/>
              </w:rPr>
            </w:pPr>
          </w:p>
        </w:tc>
        <w:tc>
          <w:tcPr>
            <w:tcW w:w="4818" w:type="dxa"/>
          </w:tcPr>
          <w:p w14:paraId="256BBD9D" w14:textId="56144B06"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r>
      <w:tr w:rsidR="00403AAD" w:rsidRPr="00286216" w14:paraId="7171C783" w14:textId="77777777" w:rsidTr="00091AA5">
        <w:tc>
          <w:tcPr>
            <w:tcW w:w="576" w:type="dxa"/>
          </w:tcPr>
          <w:p w14:paraId="48BAD69B" w14:textId="77777777" w:rsidR="00403AAD" w:rsidRPr="00286216" w:rsidRDefault="00403AAD" w:rsidP="00403AAD">
            <w:pPr>
              <w:pStyle w:val="StyleWisnow"/>
              <w:rPr>
                <w:color w:val="000000" w:themeColor="text1"/>
              </w:rPr>
            </w:pPr>
            <w:bookmarkStart w:id="627" w:name="n917" w:colFirst="0" w:colLast="0"/>
            <w:bookmarkEnd w:id="626"/>
            <w:r w:rsidRPr="00286216">
              <w:rPr>
                <w:color w:val="000000" w:themeColor="text1"/>
              </w:rPr>
              <w:t>917.</w:t>
            </w:r>
          </w:p>
        </w:tc>
        <w:tc>
          <w:tcPr>
            <w:tcW w:w="4818" w:type="dxa"/>
          </w:tcPr>
          <w:p w14:paraId="42C7C51C" w14:textId="77777777"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регульованого ринку та її оприлюднення;</w:t>
            </w:r>
          </w:p>
        </w:tc>
        <w:tc>
          <w:tcPr>
            <w:tcW w:w="3686" w:type="dxa"/>
          </w:tcPr>
          <w:p w14:paraId="04E1A3FC" w14:textId="77777777" w:rsidR="00403AAD" w:rsidRPr="00286216" w:rsidRDefault="00403AAD" w:rsidP="00403AAD">
            <w:pPr>
              <w:pStyle w:val="StyleProp"/>
              <w:rPr>
                <w:color w:val="000000" w:themeColor="text1"/>
                <w:szCs w:val="18"/>
              </w:rPr>
            </w:pPr>
          </w:p>
        </w:tc>
        <w:tc>
          <w:tcPr>
            <w:tcW w:w="1987" w:type="dxa"/>
          </w:tcPr>
          <w:p w14:paraId="5F5CA1BC" w14:textId="77777777" w:rsidR="00403AAD" w:rsidRPr="00286216" w:rsidRDefault="00403AAD" w:rsidP="00403AAD">
            <w:pPr>
              <w:pStyle w:val="StyleWisnow"/>
              <w:rPr>
                <w:color w:val="000000" w:themeColor="text1"/>
              </w:rPr>
            </w:pPr>
          </w:p>
        </w:tc>
        <w:tc>
          <w:tcPr>
            <w:tcW w:w="4818" w:type="dxa"/>
          </w:tcPr>
          <w:p w14:paraId="7FB5830F" w14:textId="028C1574"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регульованого ринку та її оприлюднення;</w:t>
            </w:r>
          </w:p>
        </w:tc>
      </w:tr>
      <w:tr w:rsidR="00403AAD" w:rsidRPr="00286216" w14:paraId="07C329A2" w14:textId="77777777" w:rsidTr="00091AA5">
        <w:tc>
          <w:tcPr>
            <w:tcW w:w="576" w:type="dxa"/>
          </w:tcPr>
          <w:p w14:paraId="34FFF08A" w14:textId="77777777" w:rsidR="00403AAD" w:rsidRPr="00286216" w:rsidRDefault="00403AAD" w:rsidP="00403AAD">
            <w:pPr>
              <w:pStyle w:val="StyleWisnow"/>
              <w:rPr>
                <w:color w:val="000000" w:themeColor="text1"/>
              </w:rPr>
            </w:pPr>
            <w:bookmarkStart w:id="628" w:name="n918" w:colFirst="0" w:colLast="0"/>
            <w:bookmarkEnd w:id="627"/>
            <w:r w:rsidRPr="00286216">
              <w:rPr>
                <w:color w:val="000000" w:themeColor="text1"/>
              </w:rPr>
              <w:t>918.</w:t>
            </w:r>
          </w:p>
        </w:tc>
        <w:tc>
          <w:tcPr>
            <w:tcW w:w="4818" w:type="dxa"/>
          </w:tcPr>
          <w:p w14:paraId="59BBB306" w14:textId="77777777" w:rsidR="00403AAD" w:rsidRPr="00286216" w:rsidRDefault="00403AAD" w:rsidP="00403AAD">
            <w:pPr>
              <w:pStyle w:val="StyleZakonu"/>
              <w:rPr>
                <w:color w:val="000000" w:themeColor="text1"/>
              </w:rPr>
            </w:pPr>
            <w:r w:rsidRPr="00286216">
              <w:rPr>
                <w:color w:val="000000" w:themeColor="text1"/>
              </w:rPr>
              <w:t>5) розв’язання спорів між учасниками регульованого ринку;</w:t>
            </w:r>
          </w:p>
        </w:tc>
        <w:tc>
          <w:tcPr>
            <w:tcW w:w="3686" w:type="dxa"/>
          </w:tcPr>
          <w:p w14:paraId="10CFE5AB" w14:textId="77777777" w:rsidR="00403AAD" w:rsidRPr="00286216" w:rsidRDefault="00403AAD" w:rsidP="00403AAD">
            <w:pPr>
              <w:pStyle w:val="StyleProp"/>
              <w:rPr>
                <w:color w:val="000000" w:themeColor="text1"/>
                <w:szCs w:val="18"/>
              </w:rPr>
            </w:pPr>
          </w:p>
        </w:tc>
        <w:tc>
          <w:tcPr>
            <w:tcW w:w="1987" w:type="dxa"/>
          </w:tcPr>
          <w:p w14:paraId="12AA8799" w14:textId="77777777" w:rsidR="00403AAD" w:rsidRPr="00286216" w:rsidRDefault="00403AAD" w:rsidP="00403AAD">
            <w:pPr>
              <w:pStyle w:val="StyleWisnow"/>
              <w:rPr>
                <w:color w:val="000000" w:themeColor="text1"/>
              </w:rPr>
            </w:pPr>
          </w:p>
        </w:tc>
        <w:tc>
          <w:tcPr>
            <w:tcW w:w="4818" w:type="dxa"/>
          </w:tcPr>
          <w:p w14:paraId="3320AE15" w14:textId="03DE4F5E" w:rsidR="00403AAD" w:rsidRPr="00286216" w:rsidRDefault="00403AAD" w:rsidP="00403AAD">
            <w:pPr>
              <w:pStyle w:val="StyleZakonu"/>
              <w:rPr>
                <w:color w:val="000000" w:themeColor="text1"/>
              </w:rPr>
            </w:pPr>
            <w:r w:rsidRPr="00286216">
              <w:rPr>
                <w:color w:val="000000" w:themeColor="text1"/>
              </w:rPr>
              <w:t>5) розв’язання спорів між учасниками регульованого ринку;</w:t>
            </w:r>
          </w:p>
        </w:tc>
      </w:tr>
      <w:tr w:rsidR="00403AAD" w:rsidRPr="00286216" w14:paraId="79DE288F" w14:textId="77777777" w:rsidTr="00091AA5">
        <w:tc>
          <w:tcPr>
            <w:tcW w:w="576" w:type="dxa"/>
          </w:tcPr>
          <w:p w14:paraId="6520E2B2" w14:textId="77777777" w:rsidR="00403AAD" w:rsidRPr="00286216" w:rsidRDefault="00403AAD" w:rsidP="00403AAD">
            <w:pPr>
              <w:pStyle w:val="StyleWisnow"/>
              <w:rPr>
                <w:color w:val="000000" w:themeColor="text1"/>
              </w:rPr>
            </w:pPr>
            <w:bookmarkStart w:id="629" w:name="n919" w:colFirst="0" w:colLast="0"/>
            <w:bookmarkEnd w:id="628"/>
            <w:r w:rsidRPr="00286216">
              <w:rPr>
                <w:color w:val="000000" w:themeColor="text1"/>
              </w:rPr>
              <w:t>919.</w:t>
            </w:r>
          </w:p>
        </w:tc>
        <w:tc>
          <w:tcPr>
            <w:tcW w:w="4818" w:type="dxa"/>
          </w:tcPr>
          <w:p w14:paraId="39A5C55E" w14:textId="77777777" w:rsidR="00403AAD" w:rsidRPr="00286216" w:rsidRDefault="00403AAD" w:rsidP="00403AAD">
            <w:pPr>
              <w:pStyle w:val="StyleZakonu"/>
              <w:rPr>
                <w:color w:val="000000" w:themeColor="text1"/>
              </w:rPr>
            </w:pPr>
            <w:r w:rsidRPr="00286216">
              <w:rPr>
                <w:color w:val="000000" w:themeColor="text1"/>
              </w:rPr>
              <w:t>6) здійснення контролю за дотриманням учасниками регульованого ринку правил функціонування регульованого ринку;</w:t>
            </w:r>
          </w:p>
        </w:tc>
        <w:tc>
          <w:tcPr>
            <w:tcW w:w="3686" w:type="dxa"/>
          </w:tcPr>
          <w:p w14:paraId="279186E9" w14:textId="77777777" w:rsidR="00403AAD" w:rsidRPr="00286216" w:rsidRDefault="00403AAD" w:rsidP="00403AAD">
            <w:pPr>
              <w:pStyle w:val="StyleProp"/>
              <w:rPr>
                <w:color w:val="000000" w:themeColor="text1"/>
                <w:szCs w:val="18"/>
              </w:rPr>
            </w:pPr>
          </w:p>
        </w:tc>
        <w:tc>
          <w:tcPr>
            <w:tcW w:w="1987" w:type="dxa"/>
          </w:tcPr>
          <w:p w14:paraId="14F1515E" w14:textId="77777777" w:rsidR="00403AAD" w:rsidRPr="00286216" w:rsidRDefault="00403AAD" w:rsidP="00403AAD">
            <w:pPr>
              <w:pStyle w:val="StyleWisnow"/>
              <w:rPr>
                <w:color w:val="000000" w:themeColor="text1"/>
              </w:rPr>
            </w:pPr>
          </w:p>
        </w:tc>
        <w:tc>
          <w:tcPr>
            <w:tcW w:w="4818" w:type="dxa"/>
          </w:tcPr>
          <w:p w14:paraId="08CB49E2" w14:textId="09BCEA7B" w:rsidR="00403AAD" w:rsidRPr="00286216" w:rsidRDefault="00403AAD" w:rsidP="00403AAD">
            <w:pPr>
              <w:pStyle w:val="StyleZakonu"/>
              <w:rPr>
                <w:color w:val="000000" w:themeColor="text1"/>
              </w:rPr>
            </w:pPr>
            <w:r w:rsidRPr="00286216">
              <w:rPr>
                <w:color w:val="000000" w:themeColor="text1"/>
              </w:rPr>
              <w:t>6) здійснення контролю за дотриманням учасниками регульованого ринку правил функціонування регульованого ринку;</w:t>
            </w:r>
          </w:p>
        </w:tc>
      </w:tr>
      <w:tr w:rsidR="00403AAD" w:rsidRPr="00286216" w14:paraId="20755082" w14:textId="77777777" w:rsidTr="00091AA5">
        <w:tc>
          <w:tcPr>
            <w:tcW w:w="576" w:type="dxa"/>
          </w:tcPr>
          <w:p w14:paraId="5AC6DE66" w14:textId="77777777" w:rsidR="00403AAD" w:rsidRPr="00286216" w:rsidRDefault="00403AAD" w:rsidP="00403AAD">
            <w:pPr>
              <w:pStyle w:val="StyleWisnow"/>
              <w:rPr>
                <w:color w:val="000000" w:themeColor="text1"/>
              </w:rPr>
            </w:pPr>
            <w:bookmarkStart w:id="630" w:name="n920" w:colFirst="0" w:colLast="0"/>
            <w:bookmarkEnd w:id="629"/>
            <w:r w:rsidRPr="00286216">
              <w:rPr>
                <w:color w:val="000000" w:themeColor="text1"/>
              </w:rPr>
              <w:t>920.</w:t>
            </w:r>
          </w:p>
        </w:tc>
        <w:tc>
          <w:tcPr>
            <w:tcW w:w="4818" w:type="dxa"/>
          </w:tcPr>
          <w:p w14:paraId="1A4ED0FD" w14:textId="77777777" w:rsidR="00403AAD" w:rsidRPr="00286216" w:rsidRDefault="00403AAD" w:rsidP="00403AAD">
            <w:pPr>
              <w:pStyle w:val="StyleZakonu"/>
              <w:rPr>
                <w:color w:val="000000" w:themeColor="text1"/>
              </w:rPr>
            </w:pPr>
            <w:r w:rsidRPr="00286216">
              <w:rPr>
                <w:color w:val="000000" w:themeColor="text1"/>
              </w:rPr>
              <w:t>7) створення та забезпечення функціонування механізму виявлення, запобігання та усунення конфліктів інтересів між будь-якими наступними особами:</w:t>
            </w:r>
          </w:p>
        </w:tc>
        <w:tc>
          <w:tcPr>
            <w:tcW w:w="3686" w:type="dxa"/>
          </w:tcPr>
          <w:p w14:paraId="5CB43CE5" w14:textId="77777777" w:rsidR="00403AAD" w:rsidRPr="00286216" w:rsidRDefault="00403AAD" w:rsidP="00403AAD">
            <w:pPr>
              <w:pStyle w:val="StyleProp"/>
              <w:rPr>
                <w:color w:val="000000" w:themeColor="text1"/>
                <w:szCs w:val="18"/>
              </w:rPr>
            </w:pPr>
          </w:p>
        </w:tc>
        <w:tc>
          <w:tcPr>
            <w:tcW w:w="1987" w:type="dxa"/>
          </w:tcPr>
          <w:p w14:paraId="099105DF" w14:textId="77777777" w:rsidR="00403AAD" w:rsidRPr="00286216" w:rsidRDefault="00403AAD" w:rsidP="00403AAD">
            <w:pPr>
              <w:pStyle w:val="StyleWisnow"/>
              <w:rPr>
                <w:color w:val="000000" w:themeColor="text1"/>
              </w:rPr>
            </w:pPr>
          </w:p>
        </w:tc>
        <w:tc>
          <w:tcPr>
            <w:tcW w:w="4818" w:type="dxa"/>
          </w:tcPr>
          <w:p w14:paraId="1B9AE5F9" w14:textId="4814069B" w:rsidR="00403AAD" w:rsidRPr="00286216" w:rsidRDefault="00403AAD" w:rsidP="00403AAD">
            <w:pPr>
              <w:pStyle w:val="StyleZakonu"/>
              <w:rPr>
                <w:color w:val="000000" w:themeColor="text1"/>
              </w:rPr>
            </w:pPr>
            <w:r w:rsidRPr="00286216">
              <w:rPr>
                <w:color w:val="000000" w:themeColor="text1"/>
              </w:rPr>
              <w:t>7) створення та забезпечення функціонування механізму виявлення, запобігання та усунення конфліктів інтересів між будь-якими такими особами:</w:t>
            </w:r>
          </w:p>
        </w:tc>
      </w:tr>
      <w:tr w:rsidR="00403AAD" w:rsidRPr="00286216" w14:paraId="74469C6C" w14:textId="77777777" w:rsidTr="00091AA5">
        <w:tc>
          <w:tcPr>
            <w:tcW w:w="576" w:type="dxa"/>
          </w:tcPr>
          <w:p w14:paraId="4F9E56E7" w14:textId="77777777" w:rsidR="00403AAD" w:rsidRPr="00286216" w:rsidRDefault="00403AAD" w:rsidP="00403AAD">
            <w:pPr>
              <w:pStyle w:val="StyleWisnow"/>
              <w:rPr>
                <w:color w:val="000000" w:themeColor="text1"/>
              </w:rPr>
            </w:pPr>
            <w:bookmarkStart w:id="631" w:name="n921" w:colFirst="0" w:colLast="0"/>
            <w:bookmarkEnd w:id="630"/>
            <w:r w:rsidRPr="00286216">
              <w:rPr>
                <w:color w:val="000000" w:themeColor="text1"/>
              </w:rPr>
              <w:t>921.</w:t>
            </w:r>
          </w:p>
        </w:tc>
        <w:tc>
          <w:tcPr>
            <w:tcW w:w="4818" w:type="dxa"/>
          </w:tcPr>
          <w:p w14:paraId="0878C74B" w14:textId="77777777" w:rsidR="00403AAD" w:rsidRPr="00286216" w:rsidRDefault="00403AAD" w:rsidP="00403AAD">
            <w:pPr>
              <w:pStyle w:val="StyleZakonu"/>
              <w:rPr>
                <w:color w:val="000000" w:themeColor="text1"/>
              </w:rPr>
            </w:pPr>
            <w:r w:rsidRPr="00286216">
              <w:rPr>
                <w:color w:val="000000" w:themeColor="text1"/>
              </w:rPr>
              <w:t>а) оператором регульованого ринку;</w:t>
            </w:r>
          </w:p>
        </w:tc>
        <w:tc>
          <w:tcPr>
            <w:tcW w:w="3686" w:type="dxa"/>
          </w:tcPr>
          <w:p w14:paraId="1C8246E3" w14:textId="77777777" w:rsidR="00403AAD" w:rsidRPr="00286216" w:rsidRDefault="00403AAD" w:rsidP="00403AAD">
            <w:pPr>
              <w:pStyle w:val="StyleProp"/>
              <w:rPr>
                <w:color w:val="000000" w:themeColor="text1"/>
                <w:szCs w:val="18"/>
              </w:rPr>
            </w:pPr>
          </w:p>
        </w:tc>
        <w:tc>
          <w:tcPr>
            <w:tcW w:w="1987" w:type="dxa"/>
          </w:tcPr>
          <w:p w14:paraId="4CE6469C" w14:textId="77777777" w:rsidR="00403AAD" w:rsidRPr="00286216" w:rsidRDefault="00403AAD" w:rsidP="00403AAD">
            <w:pPr>
              <w:pStyle w:val="StyleWisnow"/>
              <w:rPr>
                <w:color w:val="000000" w:themeColor="text1"/>
              </w:rPr>
            </w:pPr>
          </w:p>
        </w:tc>
        <w:tc>
          <w:tcPr>
            <w:tcW w:w="4818" w:type="dxa"/>
          </w:tcPr>
          <w:p w14:paraId="392FA7D6" w14:textId="29AD4BA3" w:rsidR="00403AAD" w:rsidRPr="00286216" w:rsidRDefault="00403AAD" w:rsidP="00403AAD">
            <w:pPr>
              <w:pStyle w:val="StyleZakonu"/>
              <w:rPr>
                <w:color w:val="000000" w:themeColor="text1"/>
              </w:rPr>
            </w:pPr>
            <w:r w:rsidRPr="00286216">
              <w:rPr>
                <w:color w:val="000000" w:themeColor="text1"/>
              </w:rPr>
              <w:t>а) оператором регульованого ринку;</w:t>
            </w:r>
          </w:p>
        </w:tc>
      </w:tr>
      <w:tr w:rsidR="00403AAD" w:rsidRPr="00286216" w14:paraId="58CC58D8" w14:textId="77777777" w:rsidTr="00091AA5">
        <w:tc>
          <w:tcPr>
            <w:tcW w:w="576" w:type="dxa"/>
          </w:tcPr>
          <w:p w14:paraId="53EBD9B6" w14:textId="77777777" w:rsidR="00403AAD" w:rsidRPr="00286216" w:rsidRDefault="00403AAD" w:rsidP="00403AAD">
            <w:pPr>
              <w:pStyle w:val="StyleWisnow"/>
              <w:rPr>
                <w:color w:val="000000" w:themeColor="text1"/>
              </w:rPr>
            </w:pPr>
            <w:bookmarkStart w:id="632" w:name="n922" w:colFirst="0" w:colLast="0"/>
            <w:bookmarkEnd w:id="631"/>
            <w:r w:rsidRPr="00286216">
              <w:rPr>
                <w:color w:val="000000" w:themeColor="text1"/>
              </w:rPr>
              <w:t>922.</w:t>
            </w:r>
          </w:p>
        </w:tc>
        <w:tc>
          <w:tcPr>
            <w:tcW w:w="4818" w:type="dxa"/>
          </w:tcPr>
          <w:p w14:paraId="1A0C0C56" w14:textId="77777777" w:rsidR="00403AAD" w:rsidRPr="00286216" w:rsidRDefault="00403AAD" w:rsidP="00403AAD">
            <w:pPr>
              <w:pStyle w:val="StyleZakonu"/>
              <w:rPr>
                <w:color w:val="000000" w:themeColor="text1"/>
              </w:rPr>
            </w:pPr>
            <w:r w:rsidRPr="00286216">
              <w:rPr>
                <w:color w:val="000000" w:themeColor="text1"/>
              </w:rPr>
              <w:t>б) акціонерами (учасниками)оператора регульованого ринку;</w:t>
            </w:r>
          </w:p>
        </w:tc>
        <w:tc>
          <w:tcPr>
            <w:tcW w:w="3686" w:type="dxa"/>
          </w:tcPr>
          <w:p w14:paraId="5B420453" w14:textId="77777777" w:rsidR="00403AAD" w:rsidRPr="00286216" w:rsidRDefault="00403AAD" w:rsidP="00403AAD">
            <w:pPr>
              <w:pStyle w:val="StyleProp"/>
              <w:rPr>
                <w:color w:val="000000" w:themeColor="text1"/>
                <w:szCs w:val="18"/>
              </w:rPr>
            </w:pPr>
          </w:p>
        </w:tc>
        <w:tc>
          <w:tcPr>
            <w:tcW w:w="1987" w:type="dxa"/>
          </w:tcPr>
          <w:p w14:paraId="0EACD021" w14:textId="77777777" w:rsidR="00403AAD" w:rsidRPr="00286216" w:rsidRDefault="00403AAD" w:rsidP="00403AAD">
            <w:pPr>
              <w:pStyle w:val="StyleWisnow"/>
              <w:rPr>
                <w:color w:val="000000" w:themeColor="text1"/>
              </w:rPr>
            </w:pPr>
          </w:p>
        </w:tc>
        <w:tc>
          <w:tcPr>
            <w:tcW w:w="4818" w:type="dxa"/>
          </w:tcPr>
          <w:p w14:paraId="16B92BA7" w14:textId="1E75DA0E" w:rsidR="00403AAD" w:rsidRPr="00286216" w:rsidRDefault="00403AAD" w:rsidP="00403AAD">
            <w:pPr>
              <w:pStyle w:val="StyleZakonu"/>
              <w:rPr>
                <w:color w:val="000000" w:themeColor="text1"/>
              </w:rPr>
            </w:pPr>
            <w:r w:rsidRPr="00286216">
              <w:rPr>
                <w:color w:val="000000" w:themeColor="text1"/>
              </w:rPr>
              <w:t>б) акціонерами (учасниками) оператора регульованого ринку;</w:t>
            </w:r>
          </w:p>
        </w:tc>
      </w:tr>
      <w:tr w:rsidR="00403AAD" w:rsidRPr="00286216" w14:paraId="401BCC64" w14:textId="77777777" w:rsidTr="00091AA5">
        <w:tc>
          <w:tcPr>
            <w:tcW w:w="576" w:type="dxa"/>
          </w:tcPr>
          <w:p w14:paraId="327932A2" w14:textId="77777777" w:rsidR="00403AAD" w:rsidRPr="00286216" w:rsidRDefault="00403AAD" w:rsidP="00403AAD">
            <w:pPr>
              <w:pStyle w:val="StyleWisnow"/>
              <w:rPr>
                <w:color w:val="000000" w:themeColor="text1"/>
              </w:rPr>
            </w:pPr>
            <w:bookmarkStart w:id="633" w:name="n923" w:colFirst="0" w:colLast="0"/>
            <w:bookmarkEnd w:id="632"/>
            <w:r w:rsidRPr="00286216">
              <w:rPr>
                <w:color w:val="000000" w:themeColor="text1"/>
              </w:rPr>
              <w:t>923.</w:t>
            </w:r>
          </w:p>
        </w:tc>
        <w:tc>
          <w:tcPr>
            <w:tcW w:w="4818" w:type="dxa"/>
          </w:tcPr>
          <w:p w14:paraId="6E98345C" w14:textId="77777777" w:rsidR="00403AAD" w:rsidRPr="00286216" w:rsidRDefault="00403AAD" w:rsidP="00403AAD">
            <w:pPr>
              <w:pStyle w:val="StyleZakonu"/>
              <w:rPr>
                <w:color w:val="000000" w:themeColor="text1"/>
              </w:rPr>
            </w:pPr>
            <w:r w:rsidRPr="00286216">
              <w:rPr>
                <w:color w:val="000000" w:themeColor="text1"/>
              </w:rPr>
              <w:t xml:space="preserve">в) особами, які здійснюють контроль над </w:t>
            </w:r>
            <w:r w:rsidRPr="00286216">
              <w:rPr>
                <w:color w:val="000000" w:themeColor="text1"/>
              </w:rPr>
              <w:lastRenderedPageBreak/>
              <w:t>оператором регульованого ринку чи регульованим ринком;</w:t>
            </w:r>
          </w:p>
        </w:tc>
        <w:tc>
          <w:tcPr>
            <w:tcW w:w="3686" w:type="dxa"/>
          </w:tcPr>
          <w:p w14:paraId="601DA083" w14:textId="77777777" w:rsidR="00403AAD" w:rsidRPr="00286216" w:rsidRDefault="00403AAD" w:rsidP="00403AAD">
            <w:pPr>
              <w:pStyle w:val="StyleProp"/>
              <w:rPr>
                <w:color w:val="000000" w:themeColor="text1"/>
                <w:szCs w:val="18"/>
              </w:rPr>
            </w:pPr>
          </w:p>
        </w:tc>
        <w:tc>
          <w:tcPr>
            <w:tcW w:w="1987" w:type="dxa"/>
          </w:tcPr>
          <w:p w14:paraId="6BA39B6D" w14:textId="77777777" w:rsidR="00403AAD" w:rsidRPr="00286216" w:rsidRDefault="00403AAD" w:rsidP="00403AAD">
            <w:pPr>
              <w:pStyle w:val="StyleWisnow"/>
              <w:rPr>
                <w:color w:val="000000" w:themeColor="text1"/>
              </w:rPr>
            </w:pPr>
          </w:p>
        </w:tc>
        <w:tc>
          <w:tcPr>
            <w:tcW w:w="4818" w:type="dxa"/>
          </w:tcPr>
          <w:p w14:paraId="7E8E9CA1" w14:textId="34A0A7D9" w:rsidR="00403AAD" w:rsidRPr="00286216" w:rsidRDefault="00403AAD" w:rsidP="00403AAD">
            <w:pPr>
              <w:pStyle w:val="StyleZakonu"/>
              <w:rPr>
                <w:color w:val="000000" w:themeColor="text1"/>
              </w:rPr>
            </w:pPr>
            <w:r w:rsidRPr="00286216">
              <w:rPr>
                <w:color w:val="000000" w:themeColor="text1"/>
              </w:rPr>
              <w:t xml:space="preserve">в) особами, які здійснюють контроль над </w:t>
            </w:r>
            <w:r w:rsidRPr="00286216">
              <w:rPr>
                <w:color w:val="000000" w:themeColor="text1"/>
              </w:rPr>
              <w:lastRenderedPageBreak/>
              <w:t>оператором регульованого ринку чи регульованим ринком;</w:t>
            </w:r>
          </w:p>
        </w:tc>
      </w:tr>
      <w:tr w:rsidR="00403AAD" w:rsidRPr="00286216" w14:paraId="44E217D2" w14:textId="77777777" w:rsidTr="00091AA5">
        <w:tc>
          <w:tcPr>
            <w:tcW w:w="576" w:type="dxa"/>
          </w:tcPr>
          <w:p w14:paraId="057CF492" w14:textId="77777777" w:rsidR="00403AAD" w:rsidRPr="00286216" w:rsidRDefault="00403AAD" w:rsidP="00403AAD">
            <w:pPr>
              <w:pStyle w:val="StyleWisnow"/>
              <w:rPr>
                <w:color w:val="000000" w:themeColor="text1"/>
              </w:rPr>
            </w:pPr>
            <w:bookmarkStart w:id="634" w:name="n924" w:colFirst="0" w:colLast="0"/>
            <w:bookmarkEnd w:id="633"/>
            <w:r w:rsidRPr="00286216">
              <w:rPr>
                <w:color w:val="000000" w:themeColor="text1"/>
              </w:rPr>
              <w:lastRenderedPageBreak/>
              <w:t>924.</w:t>
            </w:r>
          </w:p>
        </w:tc>
        <w:tc>
          <w:tcPr>
            <w:tcW w:w="4818" w:type="dxa"/>
          </w:tcPr>
          <w:p w14:paraId="25BF2928" w14:textId="77777777" w:rsidR="00403AAD" w:rsidRPr="00286216" w:rsidRDefault="00403AAD" w:rsidP="00403AAD">
            <w:pPr>
              <w:pStyle w:val="StyleZakonu"/>
              <w:rPr>
                <w:color w:val="000000" w:themeColor="text1"/>
              </w:rPr>
            </w:pPr>
            <w:r w:rsidRPr="00286216">
              <w:rPr>
                <w:color w:val="000000" w:themeColor="text1"/>
              </w:rPr>
              <w:t>г) учасниками такого регульованого ринку;</w:t>
            </w:r>
          </w:p>
        </w:tc>
        <w:tc>
          <w:tcPr>
            <w:tcW w:w="3686" w:type="dxa"/>
          </w:tcPr>
          <w:p w14:paraId="319AAC23" w14:textId="77777777" w:rsidR="00403AAD" w:rsidRPr="00286216" w:rsidRDefault="00403AAD" w:rsidP="00403AAD">
            <w:pPr>
              <w:pStyle w:val="StyleProp"/>
              <w:rPr>
                <w:color w:val="000000" w:themeColor="text1"/>
                <w:szCs w:val="18"/>
              </w:rPr>
            </w:pPr>
          </w:p>
        </w:tc>
        <w:tc>
          <w:tcPr>
            <w:tcW w:w="1987" w:type="dxa"/>
          </w:tcPr>
          <w:p w14:paraId="15CA94EE" w14:textId="77777777" w:rsidR="00403AAD" w:rsidRPr="00286216" w:rsidRDefault="00403AAD" w:rsidP="00403AAD">
            <w:pPr>
              <w:pStyle w:val="StyleWisnow"/>
              <w:rPr>
                <w:color w:val="000000" w:themeColor="text1"/>
              </w:rPr>
            </w:pPr>
          </w:p>
        </w:tc>
        <w:tc>
          <w:tcPr>
            <w:tcW w:w="4818" w:type="dxa"/>
          </w:tcPr>
          <w:p w14:paraId="17C03C9D" w14:textId="3A6EBAE7" w:rsidR="00403AAD" w:rsidRPr="00286216" w:rsidRDefault="00403AAD" w:rsidP="00403AAD">
            <w:pPr>
              <w:pStyle w:val="StyleZakonu"/>
              <w:rPr>
                <w:color w:val="000000" w:themeColor="text1"/>
              </w:rPr>
            </w:pPr>
            <w:r w:rsidRPr="00286216">
              <w:rPr>
                <w:color w:val="000000" w:themeColor="text1"/>
              </w:rPr>
              <w:t>г) учасниками такого регульованого ринку;</w:t>
            </w:r>
          </w:p>
        </w:tc>
      </w:tr>
      <w:tr w:rsidR="00403AAD" w:rsidRPr="00286216" w14:paraId="60F87EB7" w14:textId="77777777" w:rsidTr="00091AA5">
        <w:tc>
          <w:tcPr>
            <w:tcW w:w="576" w:type="dxa"/>
          </w:tcPr>
          <w:p w14:paraId="30B8A363" w14:textId="77777777" w:rsidR="00403AAD" w:rsidRPr="00286216" w:rsidRDefault="00403AAD" w:rsidP="00403AAD">
            <w:pPr>
              <w:pStyle w:val="StyleWisnow"/>
              <w:rPr>
                <w:color w:val="000000" w:themeColor="text1"/>
              </w:rPr>
            </w:pPr>
            <w:bookmarkStart w:id="635" w:name="n925" w:colFirst="0" w:colLast="0"/>
            <w:bookmarkEnd w:id="634"/>
            <w:r w:rsidRPr="00286216">
              <w:rPr>
                <w:color w:val="000000" w:themeColor="text1"/>
              </w:rPr>
              <w:t>925.</w:t>
            </w:r>
          </w:p>
        </w:tc>
        <w:tc>
          <w:tcPr>
            <w:tcW w:w="4818" w:type="dxa"/>
          </w:tcPr>
          <w:p w14:paraId="3660ED79" w14:textId="77777777" w:rsidR="00403AAD" w:rsidRPr="00286216" w:rsidRDefault="00403AAD" w:rsidP="00403AAD">
            <w:pPr>
              <w:pStyle w:val="StyleZakonu"/>
              <w:rPr>
                <w:color w:val="000000" w:themeColor="text1"/>
              </w:rPr>
            </w:pPr>
            <w:r w:rsidRPr="00286216">
              <w:rPr>
                <w:color w:val="000000" w:themeColor="text1"/>
              </w:rPr>
              <w:t>8) застосування санкцій за порушення правил функціонування регульованого ринку;</w:t>
            </w:r>
          </w:p>
        </w:tc>
        <w:tc>
          <w:tcPr>
            <w:tcW w:w="3686" w:type="dxa"/>
          </w:tcPr>
          <w:p w14:paraId="3F831300" w14:textId="77777777" w:rsidR="00403AAD" w:rsidRPr="00286216" w:rsidRDefault="00403AAD" w:rsidP="00403AAD">
            <w:pPr>
              <w:pStyle w:val="StyleProp"/>
              <w:rPr>
                <w:color w:val="000000" w:themeColor="text1"/>
                <w:szCs w:val="18"/>
              </w:rPr>
            </w:pPr>
          </w:p>
        </w:tc>
        <w:tc>
          <w:tcPr>
            <w:tcW w:w="1987" w:type="dxa"/>
          </w:tcPr>
          <w:p w14:paraId="227CAAE3" w14:textId="77777777" w:rsidR="00403AAD" w:rsidRPr="00286216" w:rsidRDefault="00403AAD" w:rsidP="00403AAD">
            <w:pPr>
              <w:pStyle w:val="StyleWisnow"/>
              <w:rPr>
                <w:color w:val="000000" w:themeColor="text1"/>
              </w:rPr>
            </w:pPr>
          </w:p>
        </w:tc>
        <w:tc>
          <w:tcPr>
            <w:tcW w:w="4818" w:type="dxa"/>
          </w:tcPr>
          <w:p w14:paraId="23B48FAC" w14:textId="6B93BD52" w:rsidR="00403AAD" w:rsidRPr="00286216" w:rsidRDefault="00403AAD" w:rsidP="00403AAD">
            <w:pPr>
              <w:pStyle w:val="StyleZakonu"/>
              <w:rPr>
                <w:color w:val="000000" w:themeColor="text1"/>
              </w:rPr>
            </w:pPr>
            <w:r w:rsidRPr="00286216">
              <w:rPr>
                <w:color w:val="000000" w:themeColor="text1"/>
              </w:rPr>
              <w:t>8) застосування санкцій за порушення правил функціонування регульованого ринку;</w:t>
            </w:r>
          </w:p>
        </w:tc>
      </w:tr>
      <w:tr w:rsidR="00403AAD" w:rsidRPr="00286216" w14:paraId="67ABE577" w14:textId="77777777" w:rsidTr="00091AA5">
        <w:tc>
          <w:tcPr>
            <w:tcW w:w="576" w:type="dxa"/>
          </w:tcPr>
          <w:p w14:paraId="38222C64" w14:textId="77777777" w:rsidR="00403AAD" w:rsidRPr="00286216" w:rsidRDefault="00403AAD" w:rsidP="00403AAD">
            <w:pPr>
              <w:pStyle w:val="StyleWisnow"/>
              <w:rPr>
                <w:color w:val="000000" w:themeColor="text1"/>
              </w:rPr>
            </w:pPr>
            <w:bookmarkStart w:id="636" w:name="n926" w:colFirst="0" w:colLast="0"/>
            <w:bookmarkEnd w:id="635"/>
            <w:r w:rsidRPr="00286216">
              <w:rPr>
                <w:color w:val="000000" w:themeColor="text1"/>
              </w:rPr>
              <w:t>926.</w:t>
            </w:r>
          </w:p>
        </w:tc>
        <w:tc>
          <w:tcPr>
            <w:tcW w:w="4818" w:type="dxa"/>
          </w:tcPr>
          <w:p w14:paraId="120DC01D" w14:textId="77777777" w:rsidR="00403AAD" w:rsidRPr="00286216" w:rsidRDefault="00403AAD" w:rsidP="00403AAD">
            <w:pPr>
              <w:pStyle w:val="StyleZakonu"/>
              <w:rPr>
                <w:color w:val="000000" w:themeColor="text1"/>
              </w:rPr>
            </w:pPr>
            <w:bookmarkStart w:id="637" w:name="_Ref20847261"/>
            <w:r w:rsidRPr="00286216">
              <w:rPr>
                <w:color w:val="000000" w:themeColor="text1"/>
              </w:rPr>
              <w:t>9) взаємодії з Центральним контрагентом за правочинами щодо активів, допущених до торгів на регульованих ринках;</w:t>
            </w:r>
            <w:bookmarkEnd w:id="637"/>
          </w:p>
        </w:tc>
        <w:tc>
          <w:tcPr>
            <w:tcW w:w="3686" w:type="dxa"/>
          </w:tcPr>
          <w:p w14:paraId="348FCC76" w14:textId="393DB674"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523</w:t>
            </w:r>
            <w:r w:rsidRPr="00286216">
              <w:rPr>
                <w:color w:val="000000" w:themeColor="text1"/>
              </w:rPr>
              <w:fldChar w:fldCharType="end"/>
            </w:r>
            <w:r w:rsidRPr="00286216">
              <w:rPr>
                <w:color w:val="000000" w:themeColor="text1"/>
              </w:rPr>
              <w:t>-Н.д.Шахов С.В. (Реєстр.картка №114)</w:t>
            </w:r>
          </w:p>
          <w:p w14:paraId="0BA39FFD" w14:textId="77777777" w:rsidR="00403AAD" w:rsidRPr="00286216" w:rsidRDefault="00403AAD" w:rsidP="00403AAD">
            <w:pPr>
              <w:spacing w:line="180" w:lineRule="exact"/>
              <w:ind w:firstLine="227"/>
              <w:jc w:val="both"/>
              <w:rPr>
                <w:color w:val="000000" w:themeColor="text1"/>
                <w:sz w:val="18"/>
              </w:rPr>
            </w:pPr>
            <w:r w:rsidRPr="00286216">
              <w:rPr>
                <w:color w:val="000000" w:themeColor="text1"/>
                <w:sz w:val="18"/>
              </w:rPr>
              <w:t>у статті 50 пункт 9 частини 1 викласти у такій редакції:</w:t>
            </w:r>
          </w:p>
          <w:p w14:paraId="1F3D6D93" w14:textId="77777777" w:rsidR="00403AAD" w:rsidRPr="00286216" w:rsidRDefault="00403AAD" w:rsidP="00403AAD">
            <w:pPr>
              <w:spacing w:line="180" w:lineRule="exact"/>
              <w:ind w:firstLine="227"/>
              <w:jc w:val="both"/>
              <w:rPr>
                <w:color w:val="000000" w:themeColor="text1"/>
                <w:sz w:val="18"/>
              </w:rPr>
            </w:pPr>
            <w:r w:rsidRPr="00286216">
              <w:rPr>
                <w:color w:val="000000" w:themeColor="text1"/>
                <w:sz w:val="18"/>
              </w:rPr>
              <w:t>«9) взаємодії з Центральним контрагентом за правочинами щодо активів, допущених до торгів на регульованих ринках, крім випадків, коли оператор регульованого ринку провадить самостійно таку діяльність на підставі відповідної  ліцензії (або на інших підставах, визначених законодавством про товарні ринки);».</w:t>
            </w:r>
          </w:p>
        </w:tc>
        <w:tc>
          <w:tcPr>
            <w:tcW w:w="1987" w:type="dxa"/>
          </w:tcPr>
          <w:p w14:paraId="12A170E1" w14:textId="77777777" w:rsidR="00403AAD" w:rsidRPr="00286216" w:rsidRDefault="00403AAD" w:rsidP="00403AAD">
            <w:pPr>
              <w:pStyle w:val="StyleWisnow"/>
              <w:rPr>
                <w:color w:val="000000" w:themeColor="text1"/>
              </w:rPr>
            </w:pPr>
            <w:r w:rsidRPr="00286216">
              <w:rPr>
                <w:color w:val="000000" w:themeColor="text1"/>
              </w:rPr>
              <w:t>Відхилено</w:t>
            </w:r>
          </w:p>
          <w:p w14:paraId="56741E5C" w14:textId="77777777" w:rsidR="00403AAD" w:rsidRPr="00286216" w:rsidRDefault="00403AAD" w:rsidP="00403AAD">
            <w:pPr>
              <w:pStyle w:val="StyleWisnow"/>
              <w:spacing w:line="180" w:lineRule="exact"/>
              <w:rPr>
                <w:color w:val="000000" w:themeColor="text1"/>
              </w:rPr>
            </w:pPr>
            <w:r w:rsidRPr="00286216">
              <w:rPr>
                <w:color w:val="000000" w:themeColor="text1"/>
              </w:rPr>
              <w:t>можливість здійснення оператором регульованого ринку клірингової діяльності центрального контрагента закладено як тимчасову норму у перехідних положеннях законопроекту</w:t>
            </w:r>
          </w:p>
        </w:tc>
        <w:tc>
          <w:tcPr>
            <w:tcW w:w="4818" w:type="dxa"/>
          </w:tcPr>
          <w:p w14:paraId="3FBD9939" w14:textId="3F4B1CD5" w:rsidR="00403AAD" w:rsidRPr="00286216" w:rsidRDefault="00403AAD" w:rsidP="00403AAD">
            <w:pPr>
              <w:pStyle w:val="StyleZakonu"/>
              <w:rPr>
                <w:color w:val="000000" w:themeColor="text1"/>
              </w:rPr>
            </w:pPr>
            <w:r w:rsidRPr="00286216">
              <w:rPr>
                <w:color w:val="000000" w:themeColor="text1"/>
              </w:rPr>
              <w:t>9) взаємодії з центральним контрагентом за правочинами щодо активів, допущених до торгів на регульованих ринках;</w:t>
            </w:r>
          </w:p>
        </w:tc>
      </w:tr>
      <w:tr w:rsidR="00403AAD" w:rsidRPr="00286216" w14:paraId="62631486" w14:textId="77777777" w:rsidTr="00091AA5">
        <w:tc>
          <w:tcPr>
            <w:tcW w:w="576" w:type="dxa"/>
          </w:tcPr>
          <w:p w14:paraId="488EE431" w14:textId="77777777" w:rsidR="00403AAD" w:rsidRPr="00286216" w:rsidRDefault="00403AAD" w:rsidP="00403AAD">
            <w:pPr>
              <w:pStyle w:val="StyleWisnow"/>
              <w:rPr>
                <w:color w:val="000000" w:themeColor="text1"/>
              </w:rPr>
            </w:pPr>
            <w:bookmarkStart w:id="638" w:name="n927" w:colFirst="0" w:colLast="0"/>
            <w:bookmarkEnd w:id="636"/>
            <w:r w:rsidRPr="00286216">
              <w:rPr>
                <w:color w:val="000000" w:themeColor="text1"/>
              </w:rPr>
              <w:t>927.</w:t>
            </w:r>
          </w:p>
        </w:tc>
        <w:tc>
          <w:tcPr>
            <w:tcW w:w="4818" w:type="dxa"/>
          </w:tcPr>
          <w:p w14:paraId="2CD4FD19" w14:textId="77777777" w:rsidR="00403AAD" w:rsidRPr="00286216" w:rsidRDefault="00403AAD" w:rsidP="00403AAD">
            <w:pPr>
              <w:pStyle w:val="StyleZakonu"/>
              <w:rPr>
                <w:color w:val="000000" w:themeColor="text1"/>
              </w:rPr>
            </w:pPr>
            <w:r w:rsidRPr="00286216">
              <w:rPr>
                <w:color w:val="000000" w:themeColor="text1"/>
              </w:rPr>
              <w:t>10) взаємодії з Центральним депозитарієм цінних паперів у встановлених законодавством випадках;</w:t>
            </w:r>
          </w:p>
        </w:tc>
        <w:tc>
          <w:tcPr>
            <w:tcW w:w="3686" w:type="dxa"/>
          </w:tcPr>
          <w:p w14:paraId="01FE84FF" w14:textId="77777777" w:rsidR="00403AAD" w:rsidRPr="00286216" w:rsidRDefault="00403AAD" w:rsidP="00403AAD">
            <w:pPr>
              <w:pStyle w:val="StyleProp"/>
              <w:rPr>
                <w:color w:val="000000" w:themeColor="text1"/>
                <w:szCs w:val="18"/>
              </w:rPr>
            </w:pPr>
          </w:p>
        </w:tc>
        <w:tc>
          <w:tcPr>
            <w:tcW w:w="1987" w:type="dxa"/>
          </w:tcPr>
          <w:p w14:paraId="1C40E71B" w14:textId="77777777" w:rsidR="00403AAD" w:rsidRPr="00286216" w:rsidRDefault="00403AAD" w:rsidP="00403AAD">
            <w:pPr>
              <w:pStyle w:val="StyleWisnow"/>
              <w:rPr>
                <w:color w:val="000000" w:themeColor="text1"/>
              </w:rPr>
            </w:pPr>
          </w:p>
        </w:tc>
        <w:tc>
          <w:tcPr>
            <w:tcW w:w="4818" w:type="dxa"/>
          </w:tcPr>
          <w:p w14:paraId="00EEC0B2" w14:textId="2A021A18" w:rsidR="00403AAD" w:rsidRPr="00286216" w:rsidRDefault="00403AAD" w:rsidP="00403AAD">
            <w:pPr>
              <w:pStyle w:val="StyleZakonu"/>
              <w:rPr>
                <w:color w:val="000000" w:themeColor="text1"/>
              </w:rPr>
            </w:pPr>
            <w:r w:rsidRPr="00286216">
              <w:rPr>
                <w:color w:val="000000" w:themeColor="text1"/>
              </w:rPr>
              <w:t>10) взаємодії з Центральним депозитарієм цінних паперів у встановлених законодавством випадках;</w:t>
            </w:r>
          </w:p>
        </w:tc>
      </w:tr>
      <w:tr w:rsidR="00403AAD" w:rsidRPr="00286216" w14:paraId="24E2CB47" w14:textId="77777777" w:rsidTr="00091AA5">
        <w:tc>
          <w:tcPr>
            <w:tcW w:w="576" w:type="dxa"/>
          </w:tcPr>
          <w:p w14:paraId="0E174ACD" w14:textId="77777777" w:rsidR="00403AAD" w:rsidRPr="00286216" w:rsidRDefault="00403AAD" w:rsidP="00403AAD">
            <w:pPr>
              <w:pStyle w:val="StyleWisnow"/>
              <w:rPr>
                <w:color w:val="000000" w:themeColor="text1"/>
              </w:rPr>
            </w:pPr>
            <w:bookmarkStart w:id="639" w:name="n928" w:colFirst="0" w:colLast="0"/>
            <w:bookmarkEnd w:id="638"/>
            <w:r w:rsidRPr="00286216">
              <w:rPr>
                <w:color w:val="000000" w:themeColor="text1"/>
              </w:rPr>
              <w:t>928.</w:t>
            </w:r>
          </w:p>
        </w:tc>
        <w:tc>
          <w:tcPr>
            <w:tcW w:w="4818" w:type="dxa"/>
          </w:tcPr>
          <w:p w14:paraId="2E9D4B8D" w14:textId="77777777" w:rsidR="00403AAD" w:rsidRPr="00286216" w:rsidRDefault="00403AAD" w:rsidP="00403AAD">
            <w:pPr>
              <w:pStyle w:val="StyleZakonu"/>
              <w:rPr>
                <w:color w:val="000000" w:themeColor="text1"/>
              </w:rPr>
            </w:pPr>
            <w:r w:rsidRPr="00286216">
              <w:rPr>
                <w:color w:val="000000" w:themeColor="text1"/>
              </w:rPr>
              <w:t>11) взаємодії з Національним банком України у встановлених законодавством випадках.</w:t>
            </w:r>
          </w:p>
        </w:tc>
        <w:tc>
          <w:tcPr>
            <w:tcW w:w="3686" w:type="dxa"/>
          </w:tcPr>
          <w:p w14:paraId="63683916" w14:textId="77777777" w:rsidR="00403AAD" w:rsidRPr="00286216" w:rsidRDefault="00403AAD" w:rsidP="00403AAD">
            <w:pPr>
              <w:pStyle w:val="StyleProp"/>
              <w:rPr>
                <w:color w:val="000000" w:themeColor="text1"/>
                <w:szCs w:val="18"/>
              </w:rPr>
            </w:pPr>
          </w:p>
        </w:tc>
        <w:tc>
          <w:tcPr>
            <w:tcW w:w="1987" w:type="dxa"/>
          </w:tcPr>
          <w:p w14:paraId="3062EB2B" w14:textId="77777777" w:rsidR="00403AAD" w:rsidRPr="00286216" w:rsidRDefault="00403AAD" w:rsidP="00403AAD">
            <w:pPr>
              <w:pStyle w:val="StyleWisnow"/>
              <w:rPr>
                <w:color w:val="000000" w:themeColor="text1"/>
              </w:rPr>
            </w:pPr>
          </w:p>
        </w:tc>
        <w:tc>
          <w:tcPr>
            <w:tcW w:w="4818" w:type="dxa"/>
          </w:tcPr>
          <w:p w14:paraId="5DE492DB" w14:textId="4D704FAF" w:rsidR="00403AAD" w:rsidRPr="00286216" w:rsidRDefault="00403AAD" w:rsidP="00403AAD">
            <w:pPr>
              <w:pStyle w:val="StyleZakonu"/>
              <w:rPr>
                <w:color w:val="000000" w:themeColor="text1"/>
              </w:rPr>
            </w:pPr>
            <w:r w:rsidRPr="00286216">
              <w:rPr>
                <w:color w:val="000000" w:themeColor="text1"/>
              </w:rPr>
              <w:t>11) взаємодії з Національним банком України у встановлених законодавством випадках.</w:t>
            </w:r>
          </w:p>
        </w:tc>
      </w:tr>
      <w:tr w:rsidR="00403AAD" w:rsidRPr="00286216" w14:paraId="7AA5DA51" w14:textId="77777777" w:rsidTr="00091AA5">
        <w:tc>
          <w:tcPr>
            <w:tcW w:w="576" w:type="dxa"/>
          </w:tcPr>
          <w:p w14:paraId="2B9D35F7" w14:textId="77777777" w:rsidR="00403AAD" w:rsidRPr="00286216" w:rsidRDefault="00403AAD" w:rsidP="00403AAD">
            <w:pPr>
              <w:pStyle w:val="StyleWisnow"/>
              <w:rPr>
                <w:color w:val="000000" w:themeColor="text1"/>
              </w:rPr>
            </w:pPr>
            <w:bookmarkStart w:id="640" w:name="n929" w:colFirst="0" w:colLast="0"/>
            <w:bookmarkEnd w:id="639"/>
            <w:r w:rsidRPr="00286216">
              <w:rPr>
                <w:color w:val="000000" w:themeColor="text1"/>
              </w:rPr>
              <w:t>929.</w:t>
            </w:r>
          </w:p>
        </w:tc>
        <w:tc>
          <w:tcPr>
            <w:tcW w:w="4818" w:type="dxa"/>
          </w:tcPr>
          <w:p w14:paraId="492C1008" w14:textId="77777777" w:rsidR="00403AAD" w:rsidRPr="00286216" w:rsidRDefault="00403AAD" w:rsidP="00403AAD">
            <w:pPr>
              <w:pStyle w:val="StyleZakonu"/>
              <w:spacing w:after="20"/>
              <w:rPr>
                <w:color w:val="000000" w:themeColor="text1"/>
              </w:rPr>
            </w:pPr>
            <w:r w:rsidRPr="00286216">
              <w:rPr>
                <w:color w:val="000000" w:themeColor="text1"/>
              </w:rPr>
              <w:t>2. Правила регульованого ринку деривативних контрактів додатково до вимог зазначених у частині 1 цієї статті повинні передбачати порядок реалізації оператором регульованого ринку деривативних контрактів заходів управління позиціями учасників такого ринку, зокрема шляхом надання йому таких повноважень:</w:t>
            </w:r>
          </w:p>
        </w:tc>
        <w:tc>
          <w:tcPr>
            <w:tcW w:w="3686" w:type="dxa"/>
          </w:tcPr>
          <w:p w14:paraId="3A6FF1CD" w14:textId="3D209F97" w:rsidR="00403AAD" w:rsidRPr="00286216" w:rsidRDefault="00403AAD" w:rsidP="00403AAD">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524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39C18B7" w14:textId="77777777" w:rsidR="00403AAD" w:rsidRPr="00286216" w:rsidRDefault="00403AAD" w:rsidP="00403AAD">
            <w:pPr>
              <w:pStyle w:val="StyleProp"/>
              <w:rPr>
                <w:color w:val="000000" w:themeColor="text1"/>
                <w:szCs w:val="18"/>
              </w:rPr>
            </w:pPr>
            <w:r w:rsidRPr="00286216">
              <w:rPr>
                <w:color w:val="000000" w:themeColor="text1"/>
                <w:szCs w:val="18"/>
              </w:rPr>
              <w:t>Частину другу статті 50 виключити. У зв’язку з цим частини третю-шосту вважати відповідно частинами другою-п’ятою.</w:t>
            </w:r>
          </w:p>
          <w:p w14:paraId="466D1D1D" w14:textId="77777777" w:rsidR="00403AAD" w:rsidRPr="00286216" w:rsidRDefault="00403AAD" w:rsidP="00403AAD">
            <w:pPr>
              <w:pStyle w:val="StyleProp"/>
              <w:rPr>
                <w:color w:val="000000" w:themeColor="text1"/>
                <w:szCs w:val="18"/>
              </w:rPr>
            </w:pPr>
          </w:p>
        </w:tc>
        <w:tc>
          <w:tcPr>
            <w:tcW w:w="1987" w:type="dxa"/>
          </w:tcPr>
          <w:p w14:paraId="6302CC75"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7D6A860F" w14:textId="77777777" w:rsidR="00403AAD" w:rsidRPr="00286216" w:rsidRDefault="00403AAD" w:rsidP="00403AAD">
            <w:pPr>
              <w:pStyle w:val="StyleZakonu"/>
              <w:rPr>
                <w:color w:val="000000" w:themeColor="text1"/>
              </w:rPr>
            </w:pPr>
          </w:p>
        </w:tc>
      </w:tr>
      <w:tr w:rsidR="00403AAD" w:rsidRPr="00286216" w14:paraId="46FF6021" w14:textId="77777777" w:rsidTr="00091AA5">
        <w:tc>
          <w:tcPr>
            <w:tcW w:w="576" w:type="dxa"/>
          </w:tcPr>
          <w:p w14:paraId="47B552C8" w14:textId="77777777" w:rsidR="00403AAD" w:rsidRPr="00286216" w:rsidRDefault="00403AAD" w:rsidP="00403AAD">
            <w:pPr>
              <w:pStyle w:val="StyleWisnow"/>
              <w:rPr>
                <w:color w:val="000000" w:themeColor="text1"/>
              </w:rPr>
            </w:pPr>
            <w:bookmarkStart w:id="641" w:name="n930" w:colFirst="0" w:colLast="0"/>
            <w:bookmarkEnd w:id="640"/>
            <w:r w:rsidRPr="00286216">
              <w:rPr>
                <w:color w:val="000000" w:themeColor="text1"/>
              </w:rPr>
              <w:t>930.</w:t>
            </w:r>
          </w:p>
        </w:tc>
        <w:tc>
          <w:tcPr>
            <w:tcW w:w="4818" w:type="dxa"/>
          </w:tcPr>
          <w:p w14:paraId="12359827" w14:textId="77777777" w:rsidR="00403AAD" w:rsidRPr="00286216" w:rsidRDefault="00403AAD" w:rsidP="00403AAD">
            <w:pPr>
              <w:pStyle w:val="StyleZakonu"/>
              <w:rPr>
                <w:color w:val="000000" w:themeColor="text1"/>
              </w:rPr>
            </w:pPr>
            <w:r w:rsidRPr="00286216">
              <w:rPr>
                <w:color w:val="000000" w:themeColor="text1"/>
              </w:rPr>
              <w:t>1) повноваження на контроль за сумами відкритих позицій учасників ринку та їх клієнтів;</w:t>
            </w:r>
          </w:p>
        </w:tc>
        <w:tc>
          <w:tcPr>
            <w:tcW w:w="3686" w:type="dxa"/>
          </w:tcPr>
          <w:p w14:paraId="2D1ACD50" w14:textId="77777777" w:rsidR="00403AAD" w:rsidRPr="00286216" w:rsidRDefault="00403AAD" w:rsidP="00403AAD">
            <w:pPr>
              <w:pStyle w:val="StyleProp"/>
              <w:rPr>
                <w:color w:val="000000" w:themeColor="text1"/>
                <w:szCs w:val="18"/>
              </w:rPr>
            </w:pPr>
          </w:p>
        </w:tc>
        <w:tc>
          <w:tcPr>
            <w:tcW w:w="1987" w:type="dxa"/>
          </w:tcPr>
          <w:p w14:paraId="784331ED" w14:textId="77777777" w:rsidR="00403AAD" w:rsidRPr="00286216" w:rsidRDefault="00403AAD" w:rsidP="00403AAD">
            <w:pPr>
              <w:pStyle w:val="StyleWisnow"/>
              <w:rPr>
                <w:color w:val="000000" w:themeColor="text1"/>
              </w:rPr>
            </w:pPr>
          </w:p>
        </w:tc>
        <w:tc>
          <w:tcPr>
            <w:tcW w:w="4818" w:type="dxa"/>
          </w:tcPr>
          <w:p w14:paraId="44DF5652" w14:textId="77777777" w:rsidR="00403AAD" w:rsidRPr="00286216" w:rsidRDefault="00403AAD" w:rsidP="00403AAD">
            <w:pPr>
              <w:pStyle w:val="StyleZakonu"/>
              <w:rPr>
                <w:color w:val="000000" w:themeColor="text1"/>
              </w:rPr>
            </w:pPr>
          </w:p>
        </w:tc>
      </w:tr>
      <w:tr w:rsidR="00403AAD" w:rsidRPr="00286216" w14:paraId="011F3DD4" w14:textId="77777777" w:rsidTr="00091AA5">
        <w:tc>
          <w:tcPr>
            <w:tcW w:w="576" w:type="dxa"/>
          </w:tcPr>
          <w:p w14:paraId="4E17B1BF" w14:textId="77777777" w:rsidR="00403AAD" w:rsidRPr="00286216" w:rsidRDefault="00403AAD" w:rsidP="00403AAD">
            <w:pPr>
              <w:pStyle w:val="StyleWisnow"/>
              <w:rPr>
                <w:color w:val="000000" w:themeColor="text1"/>
              </w:rPr>
            </w:pPr>
            <w:bookmarkStart w:id="642" w:name="n931" w:colFirst="0" w:colLast="0"/>
            <w:bookmarkEnd w:id="641"/>
            <w:r w:rsidRPr="00286216">
              <w:rPr>
                <w:color w:val="000000" w:themeColor="text1"/>
              </w:rPr>
              <w:t>931.</w:t>
            </w:r>
          </w:p>
        </w:tc>
        <w:tc>
          <w:tcPr>
            <w:tcW w:w="4818" w:type="dxa"/>
          </w:tcPr>
          <w:p w14:paraId="7E0ACB78" w14:textId="77777777" w:rsidR="00403AAD" w:rsidRPr="00286216" w:rsidRDefault="00403AAD" w:rsidP="00403AAD">
            <w:pPr>
              <w:pStyle w:val="StyleZakonu"/>
              <w:rPr>
                <w:color w:val="000000" w:themeColor="text1"/>
              </w:rPr>
            </w:pPr>
            <w:r w:rsidRPr="00286216">
              <w:rPr>
                <w:color w:val="000000" w:themeColor="text1"/>
              </w:rPr>
              <w:t>2) повноваження на отримання від учасників ринку інформації, зокрема всієї необхідної документації, щодо розміру та мети позиції або взятих зобов’язань, інформації про їх прямих або опосередкованих власників, про угоди про співробітництво та про відповідні активи і зобов’язання на відповідному ринку;</w:t>
            </w:r>
          </w:p>
        </w:tc>
        <w:tc>
          <w:tcPr>
            <w:tcW w:w="3686" w:type="dxa"/>
          </w:tcPr>
          <w:p w14:paraId="7F2CA7B0" w14:textId="77777777" w:rsidR="00403AAD" w:rsidRPr="00286216" w:rsidRDefault="00403AAD" w:rsidP="00403AAD">
            <w:pPr>
              <w:pStyle w:val="StyleProp"/>
              <w:rPr>
                <w:color w:val="000000" w:themeColor="text1"/>
                <w:szCs w:val="18"/>
              </w:rPr>
            </w:pPr>
          </w:p>
        </w:tc>
        <w:tc>
          <w:tcPr>
            <w:tcW w:w="1987" w:type="dxa"/>
          </w:tcPr>
          <w:p w14:paraId="6F29F6C2" w14:textId="77777777" w:rsidR="00403AAD" w:rsidRPr="00286216" w:rsidRDefault="00403AAD" w:rsidP="00403AAD">
            <w:pPr>
              <w:pStyle w:val="StyleWisnow"/>
              <w:rPr>
                <w:color w:val="000000" w:themeColor="text1"/>
              </w:rPr>
            </w:pPr>
          </w:p>
        </w:tc>
        <w:tc>
          <w:tcPr>
            <w:tcW w:w="4818" w:type="dxa"/>
          </w:tcPr>
          <w:p w14:paraId="37EC5901" w14:textId="77777777" w:rsidR="00403AAD" w:rsidRPr="00286216" w:rsidRDefault="00403AAD" w:rsidP="00403AAD">
            <w:pPr>
              <w:pStyle w:val="StyleZakonu"/>
              <w:rPr>
                <w:color w:val="000000" w:themeColor="text1"/>
              </w:rPr>
            </w:pPr>
          </w:p>
        </w:tc>
      </w:tr>
      <w:tr w:rsidR="00403AAD" w:rsidRPr="00286216" w14:paraId="2A1CD111" w14:textId="77777777" w:rsidTr="00091AA5">
        <w:tc>
          <w:tcPr>
            <w:tcW w:w="576" w:type="dxa"/>
          </w:tcPr>
          <w:p w14:paraId="2693A5EA" w14:textId="77777777" w:rsidR="00403AAD" w:rsidRPr="00286216" w:rsidRDefault="00403AAD" w:rsidP="00403AAD">
            <w:pPr>
              <w:pStyle w:val="StyleWisnow"/>
              <w:rPr>
                <w:color w:val="000000" w:themeColor="text1"/>
              </w:rPr>
            </w:pPr>
            <w:bookmarkStart w:id="643" w:name="n932" w:colFirst="0" w:colLast="0"/>
            <w:bookmarkEnd w:id="642"/>
            <w:r w:rsidRPr="00286216">
              <w:rPr>
                <w:color w:val="000000" w:themeColor="text1"/>
              </w:rPr>
              <w:t>932.</w:t>
            </w:r>
          </w:p>
        </w:tc>
        <w:tc>
          <w:tcPr>
            <w:tcW w:w="4818" w:type="dxa"/>
          </w:tcPr>
          <w:p w14:paraId="0950C8D2" w14:textId="77777777" w:rsidR="00403AAD" w:rsidRPr="00286216" w:rsidRDefault="00403AAD" w:rsidP="00403AAD">
            <w:pPr>
              <w:pStyle w:val="StyleZakonu"/>
              <w:rPr>
                <w:color w:val="000000" w:themeColor="text1"/>
              </w:rPr>
            </w:pPr>
            <w:r w:rsidRPr="00286216">
              <w:rPr>
                <w:color w:val="000000" w:themeColor="text1"/>
              </w:rPr>
              <w:t>3) повноваження вимагати від особи закриття або зменшення позиції на тимчасовій або постійній основі згідно з потребами конкретного випадку та вживати заходів в односторонньому порядку для забезпечення закриття або зменшення позиції, якщо така особа не виконала зазначену вимогу;</w:t>
            </w:r>
          </w:p>
        </w:tc>
        <w:tc>
          <w:tcPr>
            <w:tcW w:w="3686" w:type="dxa"/>
          </w:tcPr>
          <w:p w14:paraId="7B34D1DA" w14:textId="77777777" w:rsidR="00403AAD" w:rsidRPr="00286216" w:rsidRDefault="00403AAD" w:rsidP="00403AAD">
            <w:pPr>
              <w:pStyle w:val="StyleProp"/>
              <w:rPr>
                <w:color w:val="000000" w:themeColor="text1"/>
                <w:szCs w:val="18"/>
              </w:rPr>
            </w:pPr>
          </w:p>
        </w:tc>
        <w:tc>
          <w:tcPr>
            <w:tcW w:w="1987" w:type="dxa"/>
          </w:tcPr>
          <w:p w14:paraId="34638B2C" w14:textId="77777777" w:rsidR="00403AAD" w:rsidRPr="00286216" w:rsidRDefault="00403AAD" w:rsidP="00403AAD">
            <w:pPr>
              <w:pStyle w:val="StyleWisnow"/>
              <w:rPr>
                <w:color w:val="000000" w:themeColor="text1"/>
              </w:rPr>
            </w:pPr>
          </w:p>
        </w:tc>
        <w:tc>
          <w:tcPr>
            <w:tcW w:w="4818" w:type="dxa"/>
          </w:tcPr>
          <w:p w14:paraId="69DEF9AA" w14:textId="77777777" w:rsidR="00403AAD" w:rsidRPr="00286216" w:rsidRDefault="00403AAD" w:rsidP="00403AAD">
            <w:pPr>
              <w:pStyle w:val="StyleZakonu"/>
              <w:rPr>
                <w:color w:val="000000" w:themeColor="text1"/>
              </w:rPr>
            </w:pPr>
          </w:p>
        </w:tc>
      </w:tr>
      <w:tr w:rsidR="00403AAD" w:rsidRPr="00286216" w14:paraId="118B2A89" w14:textId="77777777" w:rsidTr="00091AA5">
        <w:tc>
          <w:tcPr>
            <w:tcW w:w="576" w:type="dxa"/>
          </w:tcPr>
          <w:p w14:paraId="2E8D38A4" w14:textId="77777777" w:rsidR="00403AAD" w:rsidRPr="00286216" w:rsidRDefault="00403AAD" w:rsidP="00403AAD">
            <w:pPr>
              <w:pStyle w:val="StyleWisnow"/>
              <w:rPr>
                <w:color w:val="000000" w:themeColor="text1"/>
              </w:rPr>
            </w:pPr>
            <w:bookmarkStart w:id="644" w:name="n933" w:colFirst="0" w:colLast="0"/>
            <w:bookmarkEnd w:id="643"/>
            <w:r w:rsidRPr="00286216">
              <w:rPr>
                <w:color w:val="000000" w:themeColor="text1"/>
              </w:rPr>
              <w:t>933.</w:t>
            </w:r>
          </w:p>
        </w:tc>
        <w:tc>
          <w:tcPr>
            <w:tcW w:w="4818" w:type="dxa"/>
          </w:tcPr>
          <w:p w14:paraId="7AC2BFA5" w14:textId="77777777" w:rsidR="00403AAD" w:rsidRPr="00286216" w:rsidRDefault="00403AAD" w:rsidP="00403AAD">
            <w:pPr>
              <w:pStyle w:val="StyleZakonu"/>
              <w:rPr>
                <w:color w:val="000000" w:themeColor="text1"/>
              </w:rPr>
            </w:pPr>
            <w:r w:rsidRPr="00286216">
              <w:rPr>
                <w:color w:val="000000" w:themeColor="text1"/>
              </w:rPr>
              <w:t xml:space="preserve">4) повноваження у необхідних випадках вимагати від особи тимчасового повернення ліквідності на ринок за погодженою ціною та у погодженому обсязі </w:t>
            </w:r>
            <w:r w:rsidRPr="00286216">
              <w:rPr>
                <w:color w:val="000000" w:themeColor="text1"/>
              </w:rPr>
              <w:lastRenderedPageBreak/>
              <w:t>з чітко вираженим наміром зменшити вплив великої чи переважної позиції.</w:t>
            </w:r>
          </w:p>
        </w:tc>
        <w:tc>
          <w:tcPr>
            <w:tcW w:w="3686" w:type="dxa"/>
          </w:tcPr>
          <w:p w14:paraId="1C3F1581" w14:textId="77777777" w:rsidR="00403AAD" w:rsidRPr="00286216" w:rsidRDefault="00403AAD" w:rsidP="00403AAD">
            <w:pPr>
              <w:pStyle w:val="StyleProp"/>
              <w:rPr>
                <w:color w:val="000000" w:themeColor="text1"/>
                <w:szCs w:val="18"/>
              </w:rPr>
            </w:pPr>
          </w:p>
        </w:tc>
        <w:tc>
          <w:tcPr>
            <w:tcW w:w="1987" w:type="dxa"/>
          </w:tcPr>
          <w:p w14:paraId="3B28B361" w14:textId="77777777" w:rsidR="00403AAD" w:rsidRPr="00286216" w:rsidRDefault="00403AAD" w:rsidP="00403AAD">
            <w:pPr>
              <w:pStyle w:val="StyleWisnow"/>
              <w:rPr>
                <w:color w:val="000000" w:themeColor="text1"/>
              </w:rPr>
            </w:pPr>
          </w:p>
        </w:tc>
        <w:tc>
          <w:tcPr>
            <w:tcW w:w="4818" w:type="dxa"/>
          </w:tcPr>
          <w:p w14:paraId="23766EF3" w14:textId="77777777" w:rsidR="00403AAD" w:rsidRPr="00286216" w:rsidRDefault="00403AAD" w:rsidP="00403AAD">
            <w:pPr>
              <w:pStyle w:val="StyleZakonu"/>
              <w:rPr>
                <w:color w:val="000000" w:themeColor="text1"/>
              </w:rPr>
            </w:pPr>
          </w:p>
        </w:tc>
      </w:tr>
      <w:tr w:rsidR="00403AAD" w:rsidRPr="00286216" w14:paraId="218EB3DD" w14:textId="77777777" w:rsidTr="00091AA5">
        <w:tc>
          <w:tcPr>
            <w:tcW w:w="576" w:type="dxa"/>
          </w:tcPr>
          <w:p w14:paraId="22EB7D79" w14:textId="77777777" w:rsidR="00403AAD" w:rsidRPr="00286216" w:rsidRDefault="00403AAD" w:rsidP="00403AAD">
            <w:pPr>
              <w:pStyle w:val="StyleWisnow"/>
              <w:rPr>
                <w:color w:val="000000" w:themeColor="text1"/>
              </w:rPr>
            </w:pPr>
            <w:bookmarkStart w:id="645" w:name="n934" w:colFirst="0" w:colLast="0"/>
            <w:bookmarkEnd w:id="644"/>
            <w:r w:rsidRPr="00286216">
              <w:rPr>
                <w:color w:val="000000" w:themeColor="text1"/>
              </w:rPr>
              <w:t>934.</w:t>
            </w:r>
          </w:p>
        </w:tc>
        <w:tc>
          <w:tcPr>
            <w:tcW w:w="4818" w:type="dxa"/>
          </w:tcPr>
          <w:p w14:paraId="3F394B2C" w14:textId="77777777" w:rsidR="00403AAD" w:rsidRPr="00286216" w:rsidRDefault="00403AAD" w:rsidP="00403AAD">
            <w:pPr>
              <w:pStyle w:val="StyleZakonu"/>
              <w:rPr>
                <w:color w:val="000000" w:themeColor="text1"/>
              </w:rPr>
            </w:pPr>
            <w:r w:rsidRPr="00286216">
              <w:rPr>
                <w:color w:val="000000" w:themeColor="text1"/>
              </w:rPr>
              <w:t>Правила функціонування регульованого ринку деривативних контрактів можуть передбачати порядок сплати сторонами деривативного контракту одна одній грошових коштів у сумі, розмір якої залежить від зміни значення базового показника aбо ціни базового активу (початкова та варіаційна маржа), якщо це передбачено відповідними специфікаціями.</w:t>
            </w:r>
          </w:p>
        </w:tc>
        <w:tc>
          <w:tcPr>
            <w:tcW w:w="3686" w:type="dxa"/>
          </w:tcPr>
          <w:p w14:paraId="1405A403" w14:textId="6CF36C31"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525</w:t>
            </w:r>
            <w:r w:rsidRPr="00286216">
              <w:rPr>
                <w:color w:val="000000" w:themeColor="text1"/>
              </w:rPr>
              <w:fldChar w:fldCharType="end"/>
            </w:r>
            <w:r w:rsidRPr="00286216">
              <w:rPr>
                <w:color w:val="000000" w:themeColor="text1"/>
              </w:rPr>
              <w:t>-Н.д.Шахов С.В. (Реєстр.картка №114)</w:t>
            </w:r>
          </w:p>
          <w:p w14:paraId="3771D671" w14:textId="77777777" w:rsidR="00403AAD" w:rsidRPr="00286216" w:rsidRDefault="00403AAD" w:rsidP="00403AAD">
            <w:pPr>
              <w:spacing w:line="200" w:lineRule="exact"/>
              <w:ind w:firstLine="227"/>
              <w:jc w:val="both"/>
              <w:rPr>
                <w:color w:val="000000" w:themeColor="text1"/>
                <w:szCs w:val="18"/>
              </w:rPr>
            </w:pPr>
            <w:r w:rsidRPr="00286216">
              <w:rPr>
                <w:color w:val="000000" w:themeColor="text1"/>
                <w:sz w:val="18"/>
              </w:rPr>
              <w:t>В останньому абзаці частини 2 статті 50 слова "початкова або" виключити.</w:t>
            </w:r>
          </w:p>
        </w:tc>
        <w:tc>
          <w:tcPr>
            <w:tcW w:w="1987" w:type="dxa"/>
          </w:tcPr>
          <w:p w14:paraId="253C6E3E" w14:textId="77777777" w:rsidR="00403AAD" w:rsidRPr="00286216" w:rsidRDefault="00403AAD" w:rsidP="00403AAD">
            <w:pPr>
              <w:pStyle w:val="StyleWisnow"/>
              <w:rPr>
                <w:color w:val="000000" w:themeColor="text1"/>
              </w:rPr>
            </w:pPr>
            <w:r w:rsidRPr="00286216">
              <w:rPr>
                <w:color w:val="000000" w:themeColor="text1"/>
              </w:rPr>
              <w:t>Враховано редакційно</w:t>
            </w:r>
          </w:p>
        </w:tc>
        <w:tc>
          <w:tcPr>
            <w:tcW w:w="4818" w:type="dxa"/>
          </w:tcPr>
          <w:p w14:paraId="1A5DF50D" w14:textId="77777777" w:rsidR="00403AAD" w:rsidRPr="00286216" w:rsidRDefault="00403AAD" w:rsidP="00403AAD">
            <w:pPr>
              <w:pStyle w:val="StyleZakonu"/>
              <w:rPr>
                <w:color w:val="000000" w:themeColor="text1"/>
              </w:rPr>
            </w:pPr>
          </w:p>
        </w:tc>
      </w:tr>
      <w:tr w:rsidR="00403AAD" w:rsidRPr="00286216" w14:paraId="236546BD" w14:textId="77777777" w:rsidTr="00091AA5">
        <w:tc>
          <w:tcPr>
            <w:tcW w:w="576" w:type="dxa"/>
          </w:tcPr>
          <w:p w14:paraId="7A96EB57" w14:textId="77777777" w:rsidR="00403AAD" w:rsidRPr="00286216" w:rsidRDefault="00403AAD" w:rsidP="00403AAD">
            <w:pPr>
              <w:pStyle w:val="StyleWisnow"/>
              <w:rPr>
                <w:color w:val="000000" w:themeColor="text1"/>
              </w:rPr>
            </w:pPr>
            <w:bookmarkStart w:id="646" w:name="n935" w:colFirst="0" w:colLast="0"/>
            <w:bookmarkEnd w:id="645"/>
            <w:r w:rsidRPr="00286216">
              <w:rPr>
                <w:color w:val="000000" w:themeColor="text1"/>
              </w:rPr>
              <w:t>935.</w:t>
            </w:r>
          </w:p>
        </w:tc>
        <w:tc>
          <w:tcPr>
            <w:tcW w:w="4818" w:type="dxa"/>
          </w:tcPr>
          <w:p w14:paraId="0ACF6271" w14:textId="77777777" w:rsidR="00403AAD" w:rsidRPr="00286216" w:rsidRDefault="00403AAD" w:rsidP="00403AAD">
            <w:pPr>
              <w:pStyle w:val="StyleZakonu"/>
              <w:rPr>
                <w:color w:val="000000" w:themeColor="text1"/>
              </w:rPr>
            </w:pPr>
            <w:r w:rsidRPr="00286216">
              <w:rPr>
                <w:color w:val="000000" w:themeColor="text1"/>
              </w:rPr>
              <w:t>3. Правила функціонування БТМ складаються, зокрема, з порядку:</w:t>
            </w:r>
          </w:p>
        </w:tc>
        <w:tc>
          <w:tcPr>
            <w:tcW w:w="3686" w:type="dxa"/>
          </w:tcPr>
          <w:p w14:paraId="51004A03" w14:textId="77777777" w:rsidR="00403AAD" w:rsidRPr="00286216" w:rsidRDefault="00403AAD" w:rsidP="00403AAD">
            <w:pPr>
              <w:pStyle w:val="StyleProp"/>
              <w:rPr>
                <w:color w:val="000000" w:themeColor="text1"/>
                <w:szCs w:val="18"/>
              </w:rPr>
            </w:pPr>
          </w:p>
        </w:tc>
        <w:tc>
          <w:tcPr>
            <w:tcW w:w="1987" w:type="dxa"/>
          </w:tcPr>
          <w:p w14:paraId="13244170" w14:textId="77777777" w:rsidR="00403AAD" w:rsidRPr="00286216" w:rsidRDefault="00403AAD" w:rsidP="00403AAD">
            <w:pPr>
              <w:pStyle w:val="StyleWisnow"/>
              <w:rPr>
                <w:color w:val="000000" w:themeColor="text1"/>
              </w:rPr>
            </w:pPr>
          </w:p>
        </w:tc>
        <w:tc>
          <w:tcPr>
            <w:tcW w:w="4818" w:type="dxa"/>
          </w:tcPr>
          <w:p w14:paraId="70EF3230" w14:textId="6F596E64" w:rsidR="00403AAD" w:rsidRPr="00286216" w:rsidRDefault="00403AAD" w:rsidP="00403AAD">
            <w:pPr>
              <w:pStyle w:val="StyleZakonu"/>
              <w:rPr>
                <w:color w:val="000000" w:themeColor="text1"/>
              </w:rPr>
            </w:pPr>
            <w:r w:rsidRPr="00286216">
              <w:rPr>
                <w:color w:val="000000" w:themeColor="text1"/>
              </w:rPr>
              <w:t>2. Правила функціонування БТМ складаються, зокрема, з порядку:</w:t>
            </w:r>
          </w:p>
        </w:tc>
      </w:tr>
      <w:tr w:rsidR="00403AAD" w:rsidRPr="00286216" w14:paraId="2A5D7093" w14:textId="77777777" w:rsidTr="00091AA5">
        <w:tc>
          <w:tcPr>
            <w:tcW w:w="576" w:type="dxa"/>
          </w:tcPr>
          <w:p w14:paraId="7F577854" w14:textId="77777777" w:rsidR="00403AAD" w:rsidRPr="00286216" w:rsidRDefault="00403AAD" w:rsidP="00403AAD">
            <w:pPr>
              <w:pStyle w:val="StyleWisnow"/>
              <w:rPr>
                <w:color w:val="000000" w:themeColor="text1"/>
              </w:rPr>
            </w:pPr>
            <w:bookmarkStart w:id="647" w:name="n936" w:colFirst="0" w:colLast="0"/>
            <w:bookmarkEnd w:id="646"/>
            <w:r w:rsidRPr="00286216">
              <w:rPr>
                <w:color w:val="000000" w:themeColor="text1"/>
              </w:rPr>
              <w:t>936.</w:t>
            </w:r>
          </w:p>
        </w:tc>
        <w:tc>
          <w:tcPr>
            <w:tcW w:w="4818" w:type="dxa"/>
          </w:tcPr>
          <w:p w14:paraId="59B02D25" w14:textId="77777777" w:rsidR="00403AAD" w:rsidRPr="00286216" w:rsidRDefault="00403AAD" w:rsidP="00403AAD">
            <w:pPr>
              <w:pStyle w:val="StyleZakonu"/>
              <w:rPr>
                <w:color w:val="000000" w:themeColor="text1"/>
              </w:rPr>
            </w:pPr>
            <w:r w:rsidRPr="00286216">
              <w:rPr>
                <w:color w:val="000000" w:themeColor="text1"/>
              </w:rPr>
              <w:t>1) допуску учасників до торгів на БТМ;</w:t>
            </w:r>
          </w:p>
        </w:tc>
        <w:tc>
          <w:tcPr>
            <w:tcW w:w="3686" w:type="dxa"/>
          </w:tcPr>
          <w:p w14:paraId="56C0BD61" w14:textId="77777777" w:rsidR="00403AAD" w:rsidRPr="00286216" w:rsidRDefault="00403AAD" w:rsidP="00403AAD">
            <w:pPr>
              <w:pStyle w:val="StyleProp"/>
              <w:rPr>
                <w:color w:val="000000" w:themeColor="text1"/>
                <w:szCs w:val="18"/>
              </w:rPr>
            </w:pPr>
          </w:p>
        </w:tc>
        <w:tc>
          <w:tcPr>
            <w:tcW w:w="1987" w:type="dxa"/>
          </w:tcPr>
          <w:p w14:paraId="3B2E2361" w14:textId="77777777" w:rsidR="00403AAD" w:rsidRPr="00286216" w:rsidRDefault="00403AAD" w:rsidP="00403AAD">
            <w:pPr>
              <w:pStyle w:val="StyleWisnow"/>
              <w:rPr>
                <w:color w:val="000000" w:themeColor="text1"/>
              </w:rPr>
            </w:pPr>
          </w:p>
        </w:tc>
        <w:tc>
          <w:tcPr>
            <w:tcW w:w="4818" w:type="dxa"/>
          </w:tcPr>
          <w:p w14:paraId="741024B7" w14:textId="1E8EDAD9" w:rsidR="00403AAD" w:rsidRPr="00286216" w:rsidRDefault="00403AAD" w:rsidP="00403AAD">
            <w:pPr>
              <w:pStyle w:val="StyleZakonu"/>
              <w:rPr>
                <w:color w:val="000000" w:themeColor="text1"/>
              </w:rPr>
            </w:pPr>
            <w:r w:rsidRPr="00286216">
              <w:rPr>
                <w:color w:val="000000" w:themeColor="text1"/>
              </w:rPr>
              <w:t>1) допуску учасників до торгів на БТМ;</w:t>
            </w:r>
          </w:p>
        </w:tc>
      </w:tr>
      <w:tr w:rsidR="00403AAD" w:rsidRPr="00286216" w14:paraId="2646D205" w14:textId="77777777" w:rsidTr="00091AA5">
        <w:tc>
          <w:tcPr>
            <w:tcW w:w="576" w:type="dxa"/>
          </w:tcPr>
          <w:p w14:paraId="5DB4870D" w14:textId="77777777" w:rsidR="00403AAD" w:rsidRPr="00286216" w:rsidRDefault="00403AAD" w:rsidP="00403AAD">
            <w:pPr>
              <w:pStyle w:val="StyleWisnow"/>
              <w:rPr>
                <w:color w:val="000000" w:themeColor="text1"/>
              </w:rPr>
            </w:pPr>
            <w:bookmarkStart w:id="648" w:name="n937" w:colFirst="0" w:colLast="0"/>
            <w:bookmarkEnd w:id="647"/>
            <w:r w:rsidRPr="00286216">
              <w:rPr>
                <w:color w:val="000000" w:themeColor="text1"/>
              </w:rPr>
              <w:t>937.</w:t>
            </w:r>
          </w:p>
        </w:tc>
        <w:tc>
          <w:tcPr>
            <w:tcW w:w="4818" w:type="dxa"/>
          </w:tcPr>
          <w:p w14:paraId="71ADDAC8" w14:textId="77777777" w:rsidR="00403AAD" w:rsidRPr="00286216" w:rsidRDefault="00403AAD" w:rsidP="00403AAD">
            <w:pPr>
              <w:pStyle w:val="StyleZakonu"/>
              <w:rPr>
                <w:color w:val="000000" w:themeColor="text1"/>
              </w:rPr>
            </w:pPr>
            <w:r w:rsidRPr="00286216">
              <w:rPr>
                <w:color w:val="000000" w:themeColor="text1"/>
              </w:rPr>
              <w:t>2) організації та проведення торгів;</w:t>
            </w:r>
          </w:p>
        </w:tc>
        <w:tc>
          <w:tcPr>
            <w:tcW w:w="3686" w:type="dxa"/>
          </w:tcPr>
          <w:p w14:paraId="35AF1B6D" w14:textId="77777777" w:rsidR="00403AAD" w:rsidRPr="00286216" w:rsidRDefault="00403AAD" w:rsidP="00403AAD">
            <w:pPr>
              <w:pStyle w:val="StyleProp"/>
              <w:rPr>
                <w:color w:val="000000" w:themeColor="text1"/>
                <w:szCs w:val="18"/>
              </w:rPr>
            </w:pPr>
          </w:p>
        </w:tc>
        <w:tc>
          <w:tcPr>
            <w:tcW w:w="1987" w:type="dxa"/>
          </w:tcPr>
          <w:p w14:paraId="19BBE650" w14:textId="77777777" w:rsidR="00403AAD" w:rsidRPr="00286216" w:rsidRDefault="00403AAD" w:rsidP="00403AAD">
            <w:pPr>
              <w:pStyle w:val="StyleWisnow"/>
              <w:rPr>
                <w:color w:val="000000" w:themeColor="text1"/>
              </w:rPr>
            </w:pPr>
          </w:p>
        </w:tc>
        <w:tc>
          <w:tcPr>
            <w:tcW w:w="4818" w:type="dxa"/>
          </w:tcPr>
          <w:p w14:paraId="587F4A00" w14:textId="4BA94D9B" w:rsidR="00403AAD" w:rsidRPr="00286216" w:rsidRDefault="00403AAD" w:rsidP="00403AAD">
            <w:pPr>
              <w:pStyle w:val="StyleZakonu"/>
              <w:rPr>
                <w:color w:val="000000" w:themeColor="text1"/>
              </w:rPr>
            </w:pPr>
            <w:r w:rsidRPr="00286216">
              <w:rPr>
                <w:color w:val="000000" w:themeColor="text1"/>
              </w:rPr>
              <w:t>2) організації та проведення торгів;</w:t>
            </w:r>
          </w:p>
        </w:tc>
      </w:tr>
      <w:tr w:rsidR="00403AAD" w:rsidRPr="00286216" w14:paraId="1C0B3DF7" w14:textId="77777777" w:rsidTr="00091AA5">
        <w:tc>
          <w:tcPr>
            <w:tcW w:w="576" w:type="dxa"/>
          </w:tcPr>
          <w:p w14:paraId="05F3D280" w14:textId="77777777" w:rsidR="00403AAD" w:rsidRPr="00286216" w:rsidRDefault="00403AAD" w:rsidP="00403AAD">
            <w:pPr>
              <w:pStyle w:val="StyleWisnow"/>
              <w:rPr>
                <w:color w:val="000000" w:themeColor="text1"/>
              </w:rPr>
            </w:pPr>
            <w:bookmarkStart w:id="649" w:name="n938" w:colFirst="0" w:colLast="0"/>
            <w:bookmarkEnd w:id="648"/>
            <w:r w:rsidRPr="00286216">
              <w:rPr>
                <w:color w:val="000000" w:themeColor="text1"/>
              </w:rPr>
              <w:t>938.</w:t>
            </w:r>
          </w:p>
        </w:tc>
        <w:tc>
          <w:tcPr>
            <w:tcW w:w="4818" w:type="dxa"/>
          </w:tcPr>
          <w:p w14:paraId="75DF3351" w14:textId="77777777"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c>
          <w:tcPr>
            <w:tcW w:w="3686" w:type="dxa"/>
          </w:tcPr>
          <w:p w14:paraId="0EC09AD2" w14:textId="77777777" w:rsidR="00403AAD" w:rsidRPr="00286216" w:rsidRDefault="00403AAD" w:rsidP="00403AAD">
            <w:pPr>
              <w:pStyle w:val="StyleProp"/>
              <w:rPr>
                <w:color w:val="000000" w:themeColor="text1"/>
                <w:szCs w:val="18"/>
              </w:rPr>
            </w:pPr>
          </w:p>
        </w:tc>
        <w:tc>
          <w:tcPr>
            <w:tcW w:w="1987" w:type="dxa"/>
          </w:tcPr>
          <w:p w14:paraId="0E002F74" w14:textId="77777777" w:rsidR="00403AAD" w:rsidRPr="00286216" w:rsidRDefault="00403AAD" w:rsidP="00403AAD">
            <w:pPr>
              <w:pStyle w:val="StyleWisnow"/>
              <w:rPr>
                <w:color w:val="000000" w:themeColor="text1"/>
              </w:rPr>
            </w:pPr>
          </w:p>
        </w:tc>
        <w:tc>
          <w:tcPr>
            <w:tcW w:w="4818" w:type="dxa"/>
          </w:tcPr>
          <w:p w14:paraId="38291B5B" w14:textId="290C3213"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r>
      <w:tr w:rsidR="00403AAD" w:rsidRPr="00286216" w14:paraId="634F052E" w14:textId="77777777" w:rsidTr="00091AA5">
        <w:tc>
          <w:tcPr>
            <w:tcW w:w="576" w:type="dxa"/>
          </w:tcPr>
          <w:p w14:paraId="7654E047" w14:textId="77777777" w:rsidR="00403AAD" w:rsidRPr="00286216" w:rsidRDefault="00403AAD" w:rsidP="00403AAD">
            <w:pPr>
              <w:pStyle w:val="StyleWisnow"/>
              <w:rPr>
                <w:color w:val="000000" w:themeColor="text1"/>
              </w:rPr>
            </w:pPr>
            <w:bookmarkStart w:id="650" w:name="n939" w:colFirst="0" w:colLast="0"/>
            <w:bookmarkEnd w:id="649"/>
            <w:r w:rsidRPr="00286216">
              <w:rPr>
                <w:color w:val="000000" w:themeColor="text1"/>
              </w:rPr>
              <w:t>939.</w:t>
            </w:r>
          </w:p>
        </w:tc>
        <w:tc>
          <w:tcPr>
            <w:tcW w:w="4818" w:type="dxa"/>
          </w:tcPr>
          <w:p w14:paraId="312D02CC" w14:textId="77777777"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БТМ та її оприлюднення;</w:t>
            </w:r>
          </w:p>
        </w:tc>
        <w:tc>
          <w:tcPr>
            <w:tcW w:w="3686" w:type="dxa"/>
          </w:tcPr>
          <w:p w14:paraId="26D12174" w14:textId="77777777" w:rsidR="00403AAD" w:rsidRPr="00286216" w:rsidRDefault="00403AAD" w:rsidP="00403AAD">
            <w:pPr>
              <w:pStyle w:val="StyleProp"/>
              <w:rPr>
                <w:color w:val="000000" w:themeColor="text1"/>
                <w:szCs w:val="18"/>
              </w:rPr>
            </w:pPr>
          </w:p>
        </w:tc>
        <w:tc>
          <w:tcPr>
            <w:tcW w:w="1987" w:type="dxa"/>
          </w:tcPr>
          <w:p w14:paraId="3FFD34B6" w14:textId="77777777" w:rsidR="00403AAD" w:rsidRPr="00286216" w:rsidRDefault="00403AAD" w:rsidP="00403AAD">
            <w:pPr>
              <w:pStyle w:val="StyleWisnow"/>
              <w:rPr>
                <w:color w:val="000000" w:themeColor="text1"/>
              </w:rPr>
            </w:pPr>
          </w:p>
        </w:tc>
        <w:tc>
          <w:tcPr>
            <w:tcW w:w="4818" w:type="dxa"/>
          </w:tcPr>
          <w:p w14:paraId="6FDBEE39" w14:textId="4D5BDB7B"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БТМ та її оприлюднення;</w:t>
            </w:r>
          </w:p>
        </w:tc>
      </w:tr>
      <w:tr w:rsidR="00403AAD" w:rsidRPr="00286216" w14:paraId="06CFF0CF" w14:textId="77777777" w:rsidTr="00091AA5">
        <w:tc>
          <w:tcPr>
            <w:tcW w:w="576" w:type="dxa"/>
          </w:tcPr>
          <w:p w14:paraId="698694F1" w14:textId="77777777" w:rsidR="00403AAD" w:rsidRPr="00286216" w:rsidRDefault="00403AAD" w:rsidP="00403AAD">
            <w:pPr>
              <w:pStyle w:val="StyleWisnow"/>
              <w:rPr>
                <w:color w:val="000000" w:themeColor="text1"/>
              </w:rPr>
            </w:pPr>
            <w:bookmarkStart w:id="651" w:name="n940" w:colFirst="0" w:colLast="0"/>
            <w:bookmarkEnd w:id="650"/>
            <w:r w:rsidRPr="00286216">
              <w:rPr>
                <w:color w:val="000000" w:themeColor="text1"/>
              </w:rPr>
              <w:t>940.</w:t>
            </w:r>
          </w:p>
        </w:tc>
        <w:tc>
          <w:tcPr>
            <w:tcW w:w="4818" w:type="dxa"/>
          </w:tcPr>
          <w:p w14:paraId="6B0CDC95" w14:textId="77777777" w:rsidR="00403AAD" w:rsidRPr="00286216" w:rsidRDefault="00403AAD" w:rsidP="00403AAD">
            <w:pPr>
              <w:pStyle w:val="StyleZakonu"/>
              <w:rPr>
                <w:color w:val="000000" w:themeColor="text1"/>
              </w:rPr>
            </w:pPr>
            <w:r w:rsidRPr="00286216">
              <w:rPr>
                <w:color w:val="000000" w:themeColor="text1"/>
              </w:rPr>
              <w:t>5) взаємодії з особою, яка провадить клірингову діяльність з визначення зобов’язань, та/або з Центральним контрагентом за правочинами щодо активів, що допущені до торгів на БТМ, крім випадків, коли оператор БТМ провадить самостійно на підставі окремої ліцензії клірингову діяльність із визначення зобов’язань;</w:t>
            </w:r>
          </w:p>
        </w:tc>
        <w:tc>
          <w:tcPr>
            <w:tcW w:w="3686" w:type="dxa"/>
          </w:tcPr>
          <w:p w14:paraId="677723B5" w14:textId="4A15364A"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526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0A1C007" w14:textId="77777777" w:rsidR="00403AAD" w:rsidRPr="00286216" w:rsidRDefault="00403AAD" w:rsidP="00403AAD">
            <w:pPr>
              <w:pStyle w:val="StyleProp"/>
              <w:rPr>
                <w:color w:val="000000" w:themeColor="text1"/>
              </w:rPr>
            </w:pPr>
            <w:r w:rsidRPr="00286216">
              <w:rPr>
                <w:color w:val="000000" w:themeColor="text1"/>
              </w:rPr>
              <w:t>Пункт 5 частини третьої статті 50 викласти в такій редакції:</w:t>
            </w:r>
          </w:p>
          <w:p w14:paraId="3850AE40" w14:textId="77777777" w:rsidR="00403AAD" w:rsidRPr="00286216" w:rsidRDefault="00403AAD" w:rsidP="00403AAD">
            <w:pPr>
              <w:pStyle w:val="StyleProp"/>
              <w:rPr>
                <w:color w:val="000000" w:themeColor="text1"/>
                <w:szCs w:val="18"/>
              </w:rPr>
            </w:pPr>
            <w:r w:rsidRPr="00286216">
              <w:rPr>
                <w:color w:val="000000" w:themeColor="text1"/>
              </w:rPr>
              <w:t>«5) взаємодії з Центральним контрагентом та/або з особою, яка провадить клірингову діяльність з визначення зобов’язань, щодо зобов’язань за деривативними контрактами та за правочинами щодо активів, що допущені до торгів на БТМ, або зазначення, що оператор БТМ на підставі окремої ліцензії на провадження клірингової діяльності із визначення зобов’язань самостійно провадить клірингову діяльність за зобов’язаннями, що виникають внаслідок укладення деривативних контрактів та правочинів щодо цінних паперів, допущених до торгів на БТМ, управління діяльністю якої він здійснює»</w:t>
            </w:r>
          </w:p>
        </w:tc>
        <w:tc>
          <w:tcPr>
            <w:tcW w:w="1987" w:type="dxa"/>
          </w:tcPr>
          <w:p w14:paraId="0A39A1B3" w14:textId="77777777" w:rsidR="00403AAD" w:rsidRPr="00286216" w:rsidRDefault="00403AAD" w:rsidP="00403AAD">
            <w:pPr>
              <w:pStyle w:val="StyleWisnow"/>
              <w:spacing w:line="180" w:lineRule="exact"/>
              <w:rPr>
                <w:color w:val="000000" w:themeColor="text1"/>
              </w:rPr>
            </w:pPr>
            <w:r w:rsidRPr="00286216">
              <w:rPr>
                <w:color w:val="000000" w:themeColor="text1"/>
              </w:rPr>
              <w:t>Враховано</w:t>
            </w:r>
          </w:p>
        </w:tc>
        <w:tc>
          <w:tcPr>
            <w:tcW w:w="4818" w:type="dxa"/>
          </w:tcPr>
          <w:p w14:paraId="5FFCF856" w14:textId="0CC563D0" w:rsidR="00403AAD" w:rsidRPr="00286216" w:rsidRDefault="00403AAD" w:rsidP="00403AAD">
            <w:pPr>
              <w:pStyle w:val="StyleZakonu"/>
              <w:rPr>
                <w:color w:val="000000" w:themeColor="text1"/>
              </w:rPr>
            </w:pPr>
            <w:r w:rsidRPr="00286216">
              <w:rPr>
                <w:color w:val="000000" w:themeColor="text1"/>
              </w:rPr>
              <w:t>5) взаємодії з центральним контрагентом та/або з особою, яка провадить клірингову діяльність з визначення зобов’язань, щодо зобов’язань за деривативними контрактами та за правочинами щодо активів, допущених до торгів на БТМ, або із зазначення, що оператор БТМ на підставі окремої ліцензії на провадження клірингової діяльності із визначення зобов’язань самостійно провадить клірингову діяльність за зобов’язаннями, що виникають внаслідок укладення деривативних контрактів та правочинів щодо цінних паперів, допущених до торгів на БТМ, управління діяльністю якого він здійснює;</w:t>
            </w:r>
          </w:p>
        </w:tc>
      </w:tr>
      <w:tr w:rsidR="00403AAD" w:rsidRPr="00286216" w14:paraId="51C3D293" w14:textId="77777777" w:rsidTr="00091AA5">
        <w:tc>
          <w:tcPr>
            <w:tcW w:w="576" w:type="dxa"/>
          </w:tcPr>
          <w:p w14:paraId="7255E873" w14:textId="77777777" w:rsidR="00403AAD" w:rsidRPr="00286216" w:rsidRDefault="00403AAD" w:rsidP="00403AAD">
            <w:pPr>
              <w:pStyle w:val="StyleWisnow"/>
              <w:rPr>
                <w:color w:val="000000" w:themeColor="text1"/>
              </w:rPr>
            </w:pPr>
            <w:bookmarkStart w:id="652" w:name="n941" w:colFirst="0" w:colLast="0"/>
            <w:bookmarkEnd w:id="651"/>
          </w:p>
          <w:p w14:paraId="64C366E8" w14:textId="77777777" w:rsidR="00403AAD" w:rsidRPr="00286216" w:rsidRDefault="00403AAD" w:rsidP="00403AAD">
            <w:pPr>
              <w:pStyle w:val="StyleWisnow"/>
              <w:rPr>
                <w:color w:val="000000" w:themeColor="text1"/>
              </w:rPr>
            </w:pPr>
          </w:p>
          <w:p w14:paraId="374FB81C" w14:textId="77777777" w:rsidR="00403AAD" w:rsidRPr="00286216" w:rsidRDefault="00403AAD" w:rsidP="00403AAD">
            <w:pPr>
              <w:pStyle w:val="StyleWisnow"/>
              <w:rPr>
                <w:color w:val="000000" w:themeColor="text1"/>
              </w:rPr>
            </w:pPr>
          </w:p>
          <w:p w14:paraId="0856DE3F" w14:textId="77777777" w:rsidR="00403AAD" w:rsidRPr="00286216" w:rsidRDefault="00403AAD" w:rsidP="00403AAD">
            <w:pPr>
              <w:pStyle w:val="StyleWisnow"/>
              <w:rPr>
                <w:color w:val="000000" w:themeColor="text1"/>
              </w:rPr>
            </w:pPr>
          </w:p>
          <w:p w14:paraId="0798C2B9" w14:textId="77777777" w:rsidR="00403AAD" w:rsidRPr="00286216" w:rsidRDefault="00403AAD" w:rsidP="00403AAD">
            <w:pPr>
              <w:pStyle w:val="StyleWisnow"/>
              <w:rPr>
                <w:color w:val="000000" w:themeColor="text1"/>
              </w:rPr>
            </w:pPr>
          </w:p>
          <w:p w14:paraId="0A72F0A7" w14:textId="77777777" w:rsidR="00403AAD" w:rsidRPr="00286216" w:rsidRDefault="00403AAD" w:rsidP="00403AAD">
            <w:pPr>
              <w:pStyle w:val="StyleWisnow"/>
              <w:rPr>
                <w:color w:val="000000" w:themeColor="text1"/>
              </w:rPr>
            </w:pPr>
          </w:p>
          <w:p w14:paraId="7686E80B" w14:textId="77777777" w:rsidR="00403AAD" w:rsidRPr="00286216" w:rsidRDefault="00403AAD" w:rsidP="00403AAD">
            <w:pPr>
              <w:pStyle w:val="StyleWisnow"/>
              <w:rPr>
                <w:color w:val="000000" w:themeColor="text1"/>
              </w:rPr>
            </w:pPr>
          </w:p>
          <w:p w14:paraId="3080E2BC" w14:textId="77777777" w:rsidR="00403AAD" w:rsidRPr="00286216" w:rsidRDefault="00403AAD" w:rsidP="00403AAD">
            <w:pPr>
              <w:pStyle w:val="StyleWisnow"/>
              <w:rPr>
                <w:color w:val="000000" w:themeColor="text1"/>
              </w:rPr>
            </w:pPr>
          </w:p>
          <w:p w14:paraId="5B872022" w14:textId="77777777" w:rsidR="00403AAD" w:rsidRPr="00286216" w:rsidRDefault="00403AAD" w:rsidP="00403AAD">
            <w:pPr>
              <w:pStyle w:val="StyleWisnow"/>
              <w:rPr>
                <w:color w:val="000000" w:themeColor="text1"/>
              </w:rPr>
            </w:pPr>
            <w:r w:rsidRPr="00286216">
              <w:rPr>
                <w:color w:val="000000" w:themeColor="text1"/>
              </w:rPr>
              <w:t>941.</w:t>
            </w:r>
          </w:p>
        </w:tc>
        <w:tc>
          <w:tcPr>
            <w:tcW w:w="4818" w:type="dxa"/>
          </w:tcPr>
          <w:p w14:paraId="69E8B062" w14:textId="77777777" w:rsidR="00403AAD" w:rsidRPr="00286216" w:rsidRDefault="00403AAD" w:rsidP="00403AAD">
            <w:pPr>
              <w:pStyle w:val="StyleZakonu"/>
              <w:rPr>
                <w:color w:val="000000" w:themeColor="text1"/>
              </w:rPr>
            </w:pPr>
          </w:p>
          <w:p w14:paraId="1EC39F5B" w14:textId="77777777" w:rsidR="00403AAD" w:rsidRPr="00286216" w:rsidRDefault="00403AAD" w:rsidP="00403AAD">
            <w:pPr>
              <w:pStyle w:val="StyleZakonu"/>
              <w:rPr>
                <w:color w:val="000000" w:themeColor="text1"/>
              </w:rPr>
            </w:pPr>
          </w:p>
          <w:p w14:paraId="51C53448" w14:textId="77777777" w:rsidR="00403AAD" w:rsidRPr="00286216" w:rsidRDefault="00403AAD" w:rsidP="00403AAD">
            <w:pPr>
              <w:pStyle w:val="StyleZakonu"/>
              <w:rPr>
                <w:color w:val="000000" w:themeColor="text1"/>
              </w:rPr>
            </w:pPr>
          </w:p>
          <w:p w14:paraId="1573A046" w14:textId="77777777" w:rsidR="00403AAD" w:rsidRPr="00286216" w:rsidRDefault="00403AAD" w:rsidP="00403AAD">
            <w:pPr>
              <w:pStyle w:val="StyleZakonu"/>
              <w:rPr>
                <w:color w:val="000000" w:themeColor="text1"/>
              </w:rPr>
            </w:pPr>
          </w:p>
          <w:p w14:paraId="0FD86969" w14:textId="77777777" w:rsidR="00403AAD" w:rsidRPr="00286216" w:rsidRDefault="00403AAD" w:rsidP="00403AAD">
            <w:pPr>
              <w:pStyle w:val="StyleZakonu"/>
              <w:rPr>
                <w:color w:val="000000" w:themeColor="text1"/>
              </w:rPr>
            </w:pPr>
          </w:p>
          <w:p w14:paraId="7C509BA9" w14:textId="77777777" w:rsidR="00403AAD" w:rsidRPr="00286216" w:rsidRDefault="00403AAD" w:rsidP="00403AAD">
            <w:pPr>
              <w:pStyle w:val="StyleZakonu"/>
              <w:rPr>
                <w:color w:val="000000" w:themeColor="text1"/>
              </w:rPr>
            </w:pPr>
          </w:p>
          <w:p w14:paraId="3B709D47" w14:textId="77777777" w:rsidR="00403AAD" w:rsidRPr="00286216" w:rsidRDefault="00403AAD" w:rsidP="00403AAD">
            <w:pPr>
              <w:pStyle w:val="StyleZakonu"/>
              <w:rPr>
                <w:color w:val="000000" w:themeColor="text1"/>
              </w:rPr>
            </w:pPr>
            <w:r w:rsidRPr="00286216">
              <w:rPr>
                <w:color w:val="000000" w:themeColor="text1"/>
              </w:rPr>
              <w:t>6) взаємодії з Центральним депозитарієм цінних паперів у встановлених законодавством випадках;</w:t>
            </w:r>
          </w:p>
        </w:tc>
        <w:tc>
          <w:tcPr>
            <w:tcW w:w="3686" w:type="dxa"/>
          </w:tcPr>
          <w:p w14:paraId="6A4E826F" w14:textId="1CD24E76" w:rsidR="00403AAD" w:rsidRPr="00286216" w:rsidRDefault="00403AAD" w:rsidP="00403AAD">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527</w:t>
            </w:r>
            <w:r w:rsidRPr="00286216">
              <w:rPr>
                <w:color w:val="000000" w:themeColor="text1"/>
              </w:rPr>
              <w:fldChar w:fldCharType="end"/>
            </w:r>
            <w:r w:rsidRPr="00286216">
              <w:rPr>
                <w:color w:val="000000" w:themeColor="text1"/>
              </w:rPr>
              <w:t>-Н.д.Шахов С.В. (Реєстр.картка №114)</w:t>
            </w:r>
          </w:p>
          <w:p w14:paraId="60EECDC4" w14:textId="77777777" w:rsidR="00403AAD" w:rsidRPr="00286216" w:rsidRDefault="00403AAD" w:rsidP="00515E9C">
            <w:pPr>
              <w:spacing w:line="180" w:lineRule="exact"/>
              <w:ind w:firstLine="227"/>
              <w:jc w:val="both"/>
              <w:rPr>
                <w:color w:val="000000" w:themeColor="text1"/>
                <w:sz w:val="18"/>
              </w:rPr>
            </w:pPr>
            <w:r w:rsidRPr="00286216">
              <w:rPr>
                <w:color w:val="000000" w:themeColor="text1"/>
                <w:sz w:val="18"/>
              </w:rPr>
              <w:t>у статті 50 пункт 5 частини 3 викласти у такій редакції:</w:t>
            </w:r>
          </w:p>
          <w:p w14:paraId="4458B231" w14:textId="77777777" w:rsidR="00403AAD" w:rsidRPr="00286216" w:rsidRDefault="00403AAD" w:rsidP="00515E9C">
            <w:pPr>
              <w:pStyle w:val="StyleProp"/>
              <w:spacing w:line="180" w:lineRule="exact"/>
              <w:rPr>
                <w:color w:val="000000" w:themeColor="text1"/>
                <w:szCs w:val="18"/>
              </w:rPr>
            </w:pPr>
            <w:r w:rsidRPr="00286216">
              <w:rPr>
                <w:color w:val="000000" w:themeColor="text1"/>
              </w:rPr>
              <w:t xml:space="preserve">«5) взаємодії з особою, яка провадить клірингову діяльність з визначення зобов’язань, та/або з Центральним контрагентом за правочинами щодо активів, що допущені до торгів на БТМ, крім випадків, коли оператор БТМ провадить самостійно на підставі окремої ліцензії відповідні види клірингової діяльності (або на інших підставах, визначених </w:t>
            </w:r>
            <w:r w:rsidRPr="00286216">
              <w:rPr>
                <w:color w:val="000000" w:themeColor="text1"/>
              </w:rPr>
              <w:lastRenderedPageBreak/>
              <w:t>законодавством про товарні ринки);».</w:t>
            </w:r>
          </w:p>
        </w:tc>
        <w:tc>
          <w:tcPr>
            <w:tcW w:w="1987" w:type="dxa"/>
          </w:tcPr>
          <w:p w14:paraId="19B8E169"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64AC4A4A" w14:textId="77777777" w:rsidR="00403AAD" w:rsidRPr="00286216" w:rsidRDefault="00403AAD" w:rsidP="00403AAD">
            <w:pPr>
              <w:pStyle w:val="StyleWisnow"/>
              <w:spacing w:line="180" w:lineRule="exact"/>
              <w:rPr>
                <w:color w:val="000000" w:themeColor="text1"/>
              </w:rPr>
            </w:pPr>
            <w:r w:rsidRPr="00286216">
              <w:rPr>
                <w:color w:val="000000" w:themeColor="text1"/>
              </w:rPr>
              <w:t>У зв’язку з тим, що можливість здійснення оператором БТМ клірингової діяльності ЦКА є тимчасовою нормою, передбаченою перехідними положеннями законопроекту</w:t>
            </w:r>
          </w:p>
          <w:p w14:paraId="40AAEE39" w14:textId="77777777" w:rsidR="00403AAD" w:rsidRPr="00286216" w:rsidRDefault="00403AAD" w:rsidP="00403AAD">
            <w:pPr>
              <w:pStyle w:val="StyleWisnow"/>
              <w:rPr>
                <w:color w:val="000000" w:themeColor="text1"/>
              </w:rPr>
            </w:pPr>
          </w:p>
        </w:tc>
        <w:tc>
          <w:tcPr>
            <w:tcW w:w="4818" w:type="dxa"/>
          </w:tcPr>
          <w:p w14:paraId="1B552D5E" w14:textId="77777777" w:rsidR="00403AAD" w:rsidRPr="00286216" w:rsidRDefault="00403AAD" w:rsidP="00403AAD">
            <w:pPr>
              <w:pStyle w:val="StyleZakonu"/>
              <w:rPr>
                <w:color w:val="000000" w:themeColor="text1"/>
              </w:rPr>
            </w:pPr>
          </w:p>
          <w:p w14:paraId="2DBA3116" w14:textId="77777777" w:rsidR="00403AAD" w:rsidRPr="00286216" w:rsidRDefault="00403AAD" w:rsidP="00403AAD">
            <w:pPr>
              <w:pStyle w:val="StyleZakonu"/>
              <w:rPr>
                <w:color w:val="000000" w:themeColor="text1"/>
              </w:rPr>
            </w:pPr>
          </w:p>
          <w:p w14:paraId="5AF9ECD6" w14:textId="77777777" w:rsidR="00403AAD" w:rsidRPr="00286216" w:rsidRDefault="00403AAD" w:rsidP="00403AAD">
            <w:pPr>
              <w:pStyle w:val="StyleZakonu"/>
              <w:rPr>
                <w:color w:val="000000" w:themeColor="text1"/>
              </w:rPr>
            </w:pPr>
          </w:p>
          <w:p w14:paraId="40FFB166" w14:textId="77777777" w:rsidR="00403AAD" w:rsidRPr="00286216" w:rsidRDefault="00403AAD" w:rsidP="00403AAD">
            <w:pPr>
              <w:pStyle w:val="StyleZakonu"/>
              <w:rPr>
                <w:color w:val="000000" w:themeColor="text1"/>
              </w:rPr>
            </w:pPr>
          </w:p>
          <w:p w14:paraId="2C455FDC" w14:textId="77777777" w:rsidR="00403AAD" w:rsidRPr="00286216" w:rsidRDefault="00403AAD" w:rsidP="00403AAD">
            <w:pPr>
              <w:pStyle w:val="StyleZakonu"/>
              <w:rPr>
                <w:color w:val="000000" w:themeColor="text1"/>
              </w:rPr>
            </w:pPr>
          </w:p>
          <w:p w14:paraId="7C7B5189" w14:textId="77777777" w:rsidR="00403AAD" w:rsidRPr="00286216" w:rsidRDefault="00403AAD" w:rsidP="00403AAD">
            <w:pPr>
              <w:pStyle w:val="StyleZakonu"/>
              <w:rPr>
                <w:color w:val="000000" w:themeColor="text1"/>
              </w:rPr>
            </w:pPr>
          </w:p>
          <w:p w14:paraId="77F3745C" w14:textId="21F3F413" w:rsidR="00403AAD" w:rsidRPr="00286216" w:rsidRDefault="00403AAD" w:rsidP="00403AAD">
            <w:pPr>
              <w:pStyle w:val="StyleZakonu"/>
              <w:rPr>
                <w:color w:val="000000" w:themeColor="text1"/>
              </w:rPr>
            </w:pPr>
            <w:r w:rsidRPr="00286216">
              <w:rPr>
                <w:color w:val="000000" w:themeColor="text1"/>
              </w:rPr>
              <w:t>6) взаємодії з Центральним депозитарієм цінних паперів у встановлених законодавством випадках;</w:t>
            </w:r>
          </w:p>
        </w:tc>
      </w:tr>
      <w:tr w:rsidR="00403AAD" w:rsidRPr="00286216" w14:paraId="4DB0CAED" w14:textId="77777777" w:rsidTr="00091AA5">
        <w:tc>
          <w:tcPr>
            <w:tcW w:w="576" w:type="dxa"/>
          </w:tcPr>
          <w:p w14:paraId="607233A2" w14:textId="77777777" w:rsidR="00403AAD" w:rsidRPr="00286216" w:rsidRDefault="00403AAD" w:rsidP="00403AAD">
            <w:pPr>
              <w:pStyle w:val="StyleWisnow"/>
              <w:rPr>
                <w:color w:val="000000" w:themeColor="text1"/>
              </w:rPr>
            </w:pPr>
            <w:bookmarkStart w:id="653" w:name="n942" w:colFirst="0" w:colLast="0"/>
            <w:bookmarkEnd w:id="652"/>
            <w:r w:rsidRPr="00286216">
              <w:rPr>
                <w:color w:val="000000" w:themeColor="text1"/>
              </w:rPr>
              <w:t>942.</w:t>
            </w:r>
          </w:p>
        </w:tc>
        <w:tc>
          <w:tcPr>
            <w:tcW w:w="4818" w:type="dxa"/>
          </w:tcPr>
          <w:p w14:paraId="1833ACB7" w14:textId="77777777" w:rsidR="00403AAD" w:rsidRPr="00286216" w:rsidRDefault="00403AAD" w:rsidP="00403AAD">
            <w:pPr>
              <w:pStyle w:val="StyleZakonu"/>
              <w:rPr>
                <w:color w:val="000000" w:themeColor="text1"/>
              </w:rPr>
            </w:pPr>
            <w:r w:rsidRPr="00286216">
              <w:rPr>
                <w:color w:val="000000" w:themeColor="text1"/>
              </w:rPr>
              <w:t>7) взаємодії з Національним банком України у встановлених законодавством випадках.</w:t>
            </w:r>
          </w:p>
        </w:tc>
        <w:tc>
          <w:tcPr>
            <w:tcW w:w="3686" w:type="dxa"/>
          </w:tcPr>
          <w:p w14:paraId="11759A50" w14:textId="77777777" w:rsidR="00403AAD" w:rsidRPr="00286216" w:rsidRDefault="00403AAD" w:rsidP="00403AAD">
            <w:pPr>
              <w:pStyle w:val="StyleProp"/>
              <w:rPr>
                <w:color w:val="000000" w:themeColor="text1"/>
                <w:szCs w:val="18"/>
              </w:rPr>
            </w:pPr>
          </w:p>
        </w:tc>
        <w:tc>
          <w:tcPr>
            <w:tcW w:w="1987" w:type="dxa"/>
          </w:tcPr>
          <w:p w14:paraId="67AD9A85" w14:textId="77777777" w:rsidR="00403AAD" w:rsidRPr="00286216" w:rsidRDefault="00403AAD" w:rsidP="00403AAD">
            <w:pPr>
              <w:pStyle w:val="StyleWisnow"/>
              <w:rPr>
                <w:color w:val="000000" w:themeColor="text1"/>
              </w:rPr>
            </w:pPr>
          </w:p>
        </w:tc>
        <w:tc>
          <w:tcPr>
            <w:tcW w:w="4818" w:type="dxa"/>
          </w:tcPr>
          <w:p w14:paraId="0A0DC7A5" w14:textId="11B8A290" w:rsidR="00403AAD" w:rsidRPr="00286216" w:rsidRDefault="00403AAD" w:rsidP="00403AAD">
            <w:pPr>
              <w:pStyle w:val="StyleZakonu"/>
              <w:rPr>
                <w:color w:val="000000" w:themeColor="text1"/>
              </w:rPr>
            </w:pPr>
            <w:r w:rsidRPr="00286216">
              <w:rPr>
                <w:color w:val="000000" w:themeColor="text1"/>
              </w:rPr>
              <w:t>7) взаємодії з Національним банком України у встановлених законодавством випадках.</w:t>
            </w:r>
          </w:p>
        </w:tc>
      </w:tr>
      <w:tr w:rsidR="00403AAD" w:rsidRPr="00286216" w14:paraId="06F82B32" w14:textId="77777777" w:rsidTr="00091AA5">
        <w:tc>
          <w:tcPr>
            <w:tcW w:w="576" w:type="dxa"/>
          </w:tcPr>
          <w:p w14:paraId="1265B29A" w14:textId="77777777" w:rsidR="00403AAD" w:rsidRPr="00286216" w:rsidRDefault="00403AAD" w:rsidP="00403AAD">
            <w:pPr>
              <w:pStyle w:val="StyleWisnow"/>
              <w:rPr>
                <w:color w:val="000000" w:themeColor="text1"/>
              </w:rPr>
            </w:pPr>
            <w:bookmarkStart w:id="654" w:name="n943" w:colFirst="0" w:colLast="0"/>
            <w:bookmarkEnd w:id="653"/>
            <w:r w:rsidRPr="00286216">
              <w:rPr>
                <w:color w:val="000000" w:themeColor="text1"/>
              </w:rPr>
              <w:t>943.</w:t>
            </w:r>
          </w:p>
        </w:tc>
        <w:tc>
          <w:tcPr>
            <w:tcW w:w="4818" w:type="dxa"/>
          </w:tcPr>
          <w:p w14:paraId="628182E1" w14:textId="77777777" w:rsidR="00403AAD" w:rsidRPr="00286216" w:rsidRDefault="00403AAD" w:rsidP="00403AAD">
            <w:pPr>
              <w:pStyle w:val="StyleZakonu"/>
              <w:rPr>
                <w:color w:val="000000" w:themeColor="text1"/>
              </w:rPr>
            </w:pPr>
            <w:r w:rsidRPr="00286216">
              <w:rPr>
                <w:color w:val="000000" w:themeColor="text1"/>
              </w:rPr>
              <w:t>4. Правила БТМ можуть передбачати:</w:t>
            </w:r>
          </w:p>
        </w:tc>
        <w:tc>
          <w:tcPr>
            <w:tcW w:w="3686" w:type="dxa"/>
          </w:tcPr>
          <w:p w14:paraId="1D86CFC7" w14:textId="0FEEA7ED"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528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7DDB732"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szCs w:val="18"/>
              </w:rPr>
              <w:t>Абзац 1 ч</w:t>
            </w:r>
            <w:r w:rsidRPr="00286216">
              <w:rPr>
                <w:color w:val="000000" w:themeColor="text1"/>
                <w:spacing w:val="-2"/>
              </w:rPr>
              <w:t xml:space="preserve">астини 4 статті 50 після слова </w:t>
            </w:r>
            <w:r w:rsidRPr="00286216">
              <w:rPr>
                <w:color w:val="000000" w:themeColor="text1"/>
                <w:spacing w:val="-12"/>
              </w:rPr>
              <w:t>"</w:t>
            </w:r>
            <w:r w:rsidRPr="00286216">
              <w:rPr>
                <w:color w:val="000000" w:themeColor="text1"/>
                <w:spacing w:val="-2"/>
              </w:rPr>
              <w:t>правила</w:t>
            </w:r>
            <w:r w:rsidRPr="00286216">
              <w:rPr>
                <w:color w:val="000000" w:themeColor="text1"/>
                <w:spacing w:val="-12"/>
              </w:rPr>
              <w:t xml:space="preserve">" </w:t>
            </w:r>
            <w:r w:rsidRPr="00286216">
              <w:rPr>
                <w:color w:val="000000" w:themeColor="text1"/>
                <w:spacing w:val="-2"/>
              </w:rPr>
              <w:t>доповнити словом "</w:t>
            </w:r>
            <w:r w:rsidRPr="00286216">
              <w:rPr>
                <w:color w:val="000000" w:themeColor="text1"/>
                <w:spacing w:val="-6"/>
              </w:rPr>
              <w:t>функціонування</w:t>
            </w:r>
            <w:r w:rsidRPr="00286216">
              <w:rPr>
                <w:color w:val="000000" w:themeColor="text1"/>
                <w:spacing w:val="-2"/>
              </w:rPr>
              <w:t>".</w:t>
            </w:r>
          </w:p>
        </w:tc>
        <w:tc>
          <w:tcPr>
            <w:tcW w:w="1987" w:type="dxa"/>
          </w:tcPr>
          <w:p w14:paraId="6FC9D1F4"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2C8860D9" w14:textId="2771B4C2" w:rsidR="00403AAD" w:rsidRPr="00286216" w:rsidRDefault="00403AAD" w:rsidP="00403AAD">
            <w:pPr>
              <w:pStyle w:val="StyleZakonu"/>
              <w:rPr>
                <w:color w:val="000000" w:themeColor="text1"/>
              </w:rPr>
            </w:pPr>
            <w:r w:rsidRPr="00286216">
              <w:rPr>
                <w:color w:val="000000" w:themeColor="text1"/>
              </w:rPr>
              <w:t>3. Правила функціонування БТМ можуть передбачати:</w:t>
            </w:r>
          </w:p>
        </w:tc>
      </w:tr>
      <w:tr w:rsidR="00403AAD" w:rsidRPr="00286216" w14:paraId="2E920F16" w14:textId="77777777" w:rsidTr="00091AA5">
        <w:tc>
          <w:tcPr>
            <w:tcW w:w="576" w:type="dxa"/>
          </w:tcPr>
          <w:p w14:paraId="799DBFC7" w14:textId="77777777" w:rsidR="00403AAD" w:rsidRPr="00286216" w:rsidRDefault="00403AAD" w:rsidP="00403AAD">
            <w:pPr>
              <w:pStyle w:val="StyleWisnow"/>
              <w:rPr>
                <w:color w:val="000000" w:themeColor="text1"/>
              </w:rPr>
            </w:pPr>
            <w:bookmarkStart w:id="655" w:name="n944" w:colFirst="0" w:colLast="0"/>
            <w:bookmarkEnd w:id="654"/>
            <w:r w:rsidRPr="00286216">
              <w:rPr>
                <w:color w:val="000000" w:themeColor="text1"/>
              </w:rPr>
              <w:t>944.</w:t>
            </w:r>
          </w:p>
        </w:tc>
        <w:tc>
          <w:tcPr>
            <w:tcW w:w="4818" w:type="dxa"/>
          </w:tcPr>
          <w:p w14:paraId="33D33259" w14:textId="77777777" w:rsidR="00403AAD" w:rsidRPr="00286216" w:rsidRDefault="00403AAD" w:rsidP="00403AAD">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наступними особами:</w:t>
            </w:r>
          </w:p>
        </w:tc>
        <w:tc>
          <w:tcPr>
            <w:tcW w:w="3686" w:type="dxa"/>
          </w:tcPr>
          <w:p w14:paraId="483F6051" w14:textId="77777777" w:rsidR="00403AAD" w:rsidRPr="00286216" w:rsidRDefault="00403AAD" w:rsidP="00403AAD">
            <w:pPr>
              <w:pStyle w:val="StyleProp"/>
              <w:rPr>
                <w:color w:val="000000" w:themeColor="text1"/>
                <w:szCs w:val="18"/>
              </w:rPr>
            </w:pPr>
          </w:p>
        </w:tc>
        <w:tc>
          <w:tcPr>
            <w:tcW w:w="1987" w:type="dxa"/>
          </w:tcPr>
          <w:p w14:paraId="425ED10D" w14:textId="77777777" w:rsidR="00403AAD" w:rsidRPr="00286216" w:rsidRDefault="00403AAD" w:rsidP="00403AAD">
            <w:pPr>
              <w:pStyle w:val="StyleWisnow"/>
              <w:rPr>
                <w:color w:val="000000" w:themeColor="text1"/>
              </w:rPr>
            </w:pPr>
          </w:p>
        </w:tc>
        <w:tc>
          <w:tcPr>
            <w:tcW w:w="4818" w:type="dxa"/>
          </w:tcPr>
          <w:p w14:paraId="4A86C074" w14:textId="687A859D" w:rsidR="00403AAD" w:rsidRPr="00286216" w:rsidRDefault="00403AAD" w:rsidP="00403AAD">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такими особами:</w:t>
            </w:r>
          </w:p>
        </w:tc>
      </w:tr>
      <w:tr w:rsidR="00403AAD" w:rsidRPr="00286216" w14:paraId="4A296509" w14:textId="77777777" w:rsidTr="00091AA5">
        <w:tc>
          <w:tcPr>
            <w:tcW w:w="576" w:type="dxa"/>
          </w:tcPr>
          <w:p w14:paraId="34599CE1" w14:textId="77777777" w:rsidR="00403AAD" w:rsidRPr="00286216" w:rsidRDefault="00403AAD" w:rsidP="00403AAD">
            <w:pPr>
              <w:pStyle w:val="StyleWisnow"/>
              <w:rPr>
                <w:color w:val="000000" w:themeColor="text1"/>
              </w:rPr>
            </w:pPr>
            <w:bookmarkStart w:id="656" w:name="n945" w:colFirst="0" w:colLast="0"/>
            <w:bookmarkEnd w:id="655"/>
            <w:r w:rsidRPr="00286216">
              <w:rPr>
                <w:color w:val="000000" w:themeColor="text1"/>
              </w:rPr>
              <w:t>945.</w:t>
            </w:r>
          </w:p>
        </w:tc>
        <w:tc>
          <w:tcPr>
            <w:tcW w:w="4818" w:type="dxa"/>
          </w:tcPr>
          <w:p w14:paraId="6CE42E11" w14:textId="77777777" w:rsidR="00403AAD" w:rsidRPr="00286216" w:rsidRDefault="00403AAD" w:rsidP="00403AAD">
            <w:pPr>
              <w:pStyle w:val="StyleZakonu"/>
              <w:rPr>
                <w:color w:val="000000" w:themeColor="text1"/>
              </w:rPr>
            </w:pPr>
            <w:r w:rsidRPr="00286216">
              <w:rPr>
                <w:color w:val="000000" w:themeColor="text1"/>
              </w:rPr>
              <w:t>а) оператором БТМ</w:t>
            </w:r>
          </w:p>
        </w:tc>
        <w:tc>
          <w:tcPr>
            <w:tcW w:w="3686" w:type="dxa"/>
          </w:tcPr>
          <w:p w14:paraId="08C82336" w14:textId="77777777" w:rsidR="00403AAD" w:rsidRPr="00286216" w:rsidRDefault="00403AAD" w:rsidP="00403AAD">
            <w:pPr>
              <w:pStyle w:val="StyleProp"/>
              <w:rPr>
                <w:color w:val="000000" w:themeColor="text1"/>
                <w:szCs w:val="18"/>
              </w:rPr>
            </w:pPr>
          </w:p>
        </w:tc>
        <w:tc>
          <w:tcPr>
            <w:tcW w:w="1987" w:type="dxa"/>
          </w:tcPr>
          <w:p w14:paraId="00FB8ACA" w14:textId="77777777" w:rsidR="00403AAD" w:rsidRPr="00286216" w:rsidRDefault="00403AAD" w:rsidP="00403AAD">
            <w:pPr>
              <w:pStyle w:val="StyleWisnow"/>
              <w:rPr>
                <w:color w:val="000000" w:themeColor="text1"/>
              </w:rPr>
            </w:pPr>
          </w:p>
        </w:tc>
        <w:tc>
          <w:tcPr>
            <w:tcW w:w="4818" w:type="dxa"/>
          </w:tcPr>
          <w:p w14:paraId="4D081563" w14:textId="176FD460" w:rsidR="00403AAD" w:rsidRPr="00286216" w:rsidRDefault="00403AAD" w:rsidP="00403AAD">
            <w:pPr>
              <w:pStyle w:val="StyleZakonu"/>
              <w:rPr>
                <w:color w:val="000000" w:themeColor="text1"/>
              </w:rPr>
            </w:pPr>
            <w:r w:rsidRPr="00286216">
              <w:rPr>
                <w:color w:val="000000" w:themeColor="text1"/>
              </w:rPr>
              <w:t>а) оператором БТМ;</w:t>
            </w:r>
          </w:p>
        </w:tc>
      </w:tr>
      <w:tr w:rsidR="00403AAD" w:rsidRPr="00286216" w14:paraId="3389F2C1" w14:textId="77777777" w:rsidTr="00091AA5">
        <w:tc>
          <w:tcPr>
            <w:tcW w:w="576" w:type="dxa"/>
          </w:tcPr>
          <w:p w14:paraId="3115E90E" w14:textId="77777777" w:rsidR="00403AAD" w:rsidRPr="00286216" w:rsidRDefault="00403AAD" w:rsidP="00403AAD">
            <w:pPr>
              <w:pStyle w:val="StyleWisnow"/>
              <w:rPr>
                <w:color w:val="000000" w:themeColor="text1"/>
              </w:rPr>
            </w:pPr>
            <w:bookmarkStart w:id="657" w:name="n946" w:colFirst="0" w:colLast="0"/>
            <w:bookmarkEnd w:id="656"/>
            <w:r w:rsidRPr="00286216">
              <w:rPr>
                <w:color w:val="000000" w:themeColor="text1"/>
              </w:rPr>
              <w:t>946.</w:t>
            </w:r>
          </w:p>
        </w:tc>
        <w:tc>
          <w:tcPr>
            <w:tcW w:w="4818" w:type="dxa"/>
          </w:tcPr>
          <w:p w14:paraId="309A8F4F" w14:textId="77777777" w:rsidR="00403AAD" w:rsidRPr="00286216" w:rsidRDefault="00403AAD" w:rsidP="00403AAD">
            <w:pPr>
              <w:pStyle w:val="StyleZakonu"/>
              <w:rPr>
                <w:color w:val="000000" w:themeColor="text1"/>
              </w:rPr>
            </w:pPr>
            <w:r w:rsidRPr="00286216">
              <w:rPr>
                <w:color w:val="000000" w:themeColor="text1"/>
              </w:rPr>
              <w:t>б) акціонерами (учасниками) оператора БТМ;</w:t>
            </w:r>
          </w:p>
        </w:tc>
        <w:tc>
          <w:tcPr>
            <w:tcW w:w="3686" w:type="dxa"/>
          </w:tcPr>
          <w:p w14:paraId="34789FA5" w14:textId="77777777" w:rsidR="00403AAD" w:rsidRPr="00286216" w:rsidRDefault="00403AAD" w:rsidP="00403AAD">
            <w:pPr>
              <w:pStyle w:val="StyleProp"/>
              <w:rPr>
                <w:color w:val="000000" w:themeColor="text1"/>
                <w:szCs w:val="18"/>
              </w:rPr>
            </w:pPr>
          </w:p>
        </w:tc>
        <w:tc>
          <w:tcPr>
            <w:tcW w:w="1987" w:type="dxa"/>
          </w:tcPr>
          <w:p w14:paraId="12913D88" w14:textId="77777777" w:rsidR="00403AAD" w:rsidRPr="00286216" w:rsidRDefault="00403AAD" w:rsidP="00403AAD">
            <w:pPr>
              <w:pStyle w:val="StyleWisnow"/>
              <w:rPr>
                <w:color w:val="000000" w:themeColor="text1"/>
              </w:rPr>
            </w:pPr>
          </w:p>
        </w:tc>
        <w:tc>
          <w:tcPr>
            <w:tcW w:w="4818" w:type="dxa"/>
          </w:tcPr>
          <w:p w14:paraId="68F253E9" w14:textId="1B86C05F" w:rsidR="00403AAD" w:rsidRPr="00286216" w:rsidRDefault="00403AAD" w:rsidP="00403AAD">
            <w:pPr>
              <w:pStyle w:val="StyleZakonu"/>
              <w:rPr>
                <w:color w:val="000000" w:themeColor="text1"/>
              </w:rPr>
            </w:pPr>
            <w:r w:rsidRPr="00286216">
              <w:rPr>
                <w:color w:val="000000" w:themeColor="text1"/>
              </w:rPr>
              <w:t>б) акціонерами (учасниками) оператора БТМ;</w:t>
            </w:r>
          </w:p>
        </w:tc>
      </w:tr>
      <w:tr w:rsidR="00403AAD" w:rsidRPr="00286216" w14:paraId="0DE89658" w14:textId="77777777" w:rsidTr="00091AA5">
        <w:tc>
          <w:tcPr>
            <w:tcW w:w="576" w:type="dxa"/>
          </w:tcPr>
          <w:p w14:paraId="4E32992C" w14:textId="77777777" w:rsidR="00403AAD" w:rsidRPr="00286216" w:rsidRDefault="00403AAD" w:rsidP="00403AAD">
            <w:pPr>
              <w:pStyle w:val="StyleWisnow"/>
              <w:rPr>
                <w:color w:val="000000" w:themeColor="text1"/>
              </w:rPr>
            </w:pPr>
            <w:bookmarkStart w:id="658" w:name="n947" w:colFirst="0" w:colLast="0"/>
            <w:bookmarkEnd w:id="657"/>
            <w:r w:rsidRPr="00286216">
              <w:rPr>
                <w:color w:val="000000" w:themeColor="text1"/>
              </w:rPr>
              <w:t>947.</w:t>
            </w:r>
          </w:p>
        </w:tc>
        <w:tc>
          <w:tcPr>
            <w:tcW w:w="4818" w:type="dxa"/>
          </w:tcPr>
          <w:p w14:paraId="062B1CA2" w14:textId="77777777" w:rsidR="00403AAD" w:rsidRPr="00286216" w:rsidRDefault="00403AAD" w:rsidP="00403AAD">
            <w:pPr>
              <w:pStyle w:val="StyleZakonu"/>
              <w:rPr>
                <w:color w:val="000000" w:themeColor="text1"/>
              </w:rPr>
            </w:pPr>
            <w:r w:rsidRPr="00286216">
              <w:rPr>
                <w:color w:val="000000" w:themeColor="text1"/>
              </w:rPr>
              <w:t>в) учасниками такого БТМ;</w:t>
            </w:r>
          </w:p>
        </w:tc>
        <w:tc>
          <w:tcPr>
            <w:tcW w:w="3686" w:type="dxa"/>
          </w:tcPr>
          <w:p w14:paraId="3EF618B1" w14:textId="77777777" w:rsidR="00403AAD" w:rsidRPr="00286216" w:rsidRDefault="00403AAD" w:rsidP="00403AAD">
            <w:pPr>
              <w:pStyle w:val="StyleProp"/>
              <w:rPr>
                <w:color w:val="000000" w:themeColor="text1"/>
                <w:szCs w:val="18"/>
              </w:rPr>
            </w:pPr>
          </w:p>
        </w:tc>
        <w:tc>
          <w:tcPr>
            <w:tcW w:w="1987" w:type="dxa"/>
          </w:tcPr>
          <w:p w14:paraId="021E0DBB" w14:textId="77777777" w:rsidR="00403AAD" w:rsidRPr="00286216" w:rsidRDefault="00403AAD" w:rsidP="00403AAD">
            <w:pPr>
              <w:pStyle w:val="StyleWisnow"/>
              <w:rPr>
                <w:color w:val="000000" w:themeColor="text1"/>
              </w:rPr>
            </w:pPr>
          </w:p>
        </w:tc>
        <w:tc>
          <w:tcPr>
            <w:tcW w:w="4818" w:type="dxa"/>
          </w:tcPr>
          <w:p w14:paraId="560160BA" w14:textId="4BF10F5C" w:rsidR="00403AAD" w:rsidRPr="00286216" w:rsidRDefault="00403AAD" w:rsidP="00403AAD">
            <w:pPr>
              <w:pStyle w:val="StyleZakonu"/>
              <w:rPr>
                <w:color w:val="000000" w:themeColor="text1"/>
              </w:rPr>
            </w:pPr>
            <w:r w:rsidRPr="00286216">
              <w:rPr>
                <w:color w:val="000000" w:themeColor="text1"/>
              </w:rPr>
              <w:t>в) учасниками такого БТМ;</w:t>
            </w:r>
          </w:p>
        </w:tc>
      </w:tr>
      <w:tr w:rsidR="00403AAD" w:rsidRPr="00286216" w14:paraId="000BC973" w14:textId="77777777" w:rsidTr="00091AA5">
        <w:tc>
          <w:tcPr>
            <w:tcW w:w="576" w:type="dxa"/>
          </w:tcPr>
          <w:p w14:paraId="2EDC5F20" w14:textId="77777777" w:rsidR="00403AAD" w:rsidRPr="00286216" w:rsidRDefault="00403AAD" w:rsidP="00403AAD">
            <w:pPr>
              <w:pStyle w:val="StyleWisnow"/>
              <w:rPr>
                <w:color w:val="000000" w:themeColor="text1"/>
              </w:rPr>
            </w:pPr>
            <w:bookmarkStart w:id="659" w:name="n948" w:colFirst="0" w:colLast="0"/>
            <w:bookmarkEnd w:id="658"/>
            <w:r w:rsidRPr="00286216">
              <w:rPr>
                <w:color w:val="000000" w:themeColor="text1"/>
              </w:rPr>
              <w:t>948.</w:t>
            </w:r>
          </w:p>
        </w:tc>
        <w:tc>
          <w:tcPr>
            <w:tcW w:w="4818" w:type="dxa"/>
          </w:tcPr>
          <w:p w14:paraId="573A0818" w14:textId="77777777" w:rsidR="00403AAD" w:rsidRPr="00286216" w:rsidRDefault="00403AAD" w:rsidP="00403AAD">
            <w:pPr>
              <w:pStyle w:val="StyleZakonu"/>
              <w:rPr>
                <w:color w:val="000000" w:themeColor="text1"/>
              </w:rPr>
            </w:pPr>
            <w:r w:rsidRPr="00286216">
              <w:rPr>
                <w:color w:val="000000" w:themeColor="text1"/>
              </w:rPr>
              <w:t>2) здійснення контролю за дотриманням учасниками БТМ правил функціонування БТМ;</w:t>
            </w:r>
          </w:p>
        </w:tc>
        <w:tc>
          <w:tcPr>
            <w:tcW w:w="3686" w:type="dxa"/>
          </w:tcPr>
          <w:p w14:paraId="685566C5" w14:textId="77777777" w:rsidR="00403AAD" w:rsidRPr="00286216" w:rsidRDefault="00403AAD" w:rsidP="00403AAD">
            <w:pPr>
              <w:pStyle w:val="StyleProp"/>
              <w:rPr>
                <w:color w:val="000000" w:themeColor="text1"/>
                <w:szCs w:val="18"/>
              </w:rPr>
            </w:pPr>
          </w:p>
        </w:tc>
        <w:tc>
          <w:tcPr>
            <w:tcW w:w="1987" w:type="dxa"/>
          </w:tcPr>
          <w:p w14:paraId="2F547C8B" w14:textId="77777777" w:rsidR="00403AAD" w:rsidRPr="00286216" w:rsidRDefault="00403AAD" w:rsidP="00403AAD">
            <w:pPr>
              <w:pStyle w:val="StyleWisnow"/>
              <w:rPr>
                <w:color w:val="000000" w:themeColor="text1"/>
              </w:rPr>
            </w:pPr>
          </w:p>
        </w:tc>
        <w:tc>
          <w:tcPr>
            <w:tcW w:w="4818" w:type="dxa"/>
          </w:tcPr>
          <w:p w14:paraId="573AA654" w14:textId="2F317254" w:rsidR="00403AAD" w:rsidRPr="00286216" w:rsidRDefault="00403AAD" w:rsidP="00403AAD">
            <w:pPr>
              <w:pStyle w:val="StyleZakonu"/>
              <w:rPr>
                <w:color w:val="000000" w:themeColor="text1"/>
              </w:rPr>
            </w:pPr>
            <w:r w:rsidRPr="00286216">
              <w:rPr>
                <w:color w:val="000000" w:themeColor="text1"/>
              </w:rPr>
              <w:t>2) здійснення контролю за дотриманням учасниками БТМ правил функціонування БТМ;</w:t>
            </w:r>
          </w:p>
        </w:tc>
      </w:tr>
      <w:tr w:rsidR="00403AAD" w:rsidRPr="00286216" w14:paraId="2129AAE6" w14:textId="77777777" w:rsidTr="00091AA5">
        <w:tc>
          <w:tcPr>
            <w:tcW w:w="576" w:type="dxa"/>
          </w:tcPr>
          <w:p w14:paraId="5F3BE797" w14:textId="77777777" w:rsidR="00403AAD" w:rsidRPr="00286216" w:rsidRDefault="00403AAD" w:rsidP="00403AAD">
            <w:pPr>
              <w:pStyle w:val="StyleWisnow"/>
              <w:rPr>
                <w:color w:val="000000" w:themeColor="text1"/>
              </w:rPr>
            </w:pPr>
            <w:bookmarkStart w:id="660" w:name="n949" w:colFirst="0" w:colLast="0"/>
            <w:bookmarkEnd w:id="659"/>
            <w:r w:rsidRPr="00286216">
              <w:rPr>
                <w:color w:val="000000" w:themeColor="text1"/>
              </w:rPr>
              <w:t>949.</w:t>
            </w:r>
          </w:p>
        </w:tc>
        <w:tc>
          <w:tcPr>
            <w:tcW w:w="4818" w:type="dxa"/>
          </w:tcPr>
          <w:p w14:paraId="18306925" w14:textId="77777777" w:rsidR="00403AAD" w:rsidRPr="00286216" w:rsidRDefault="00403AAD" w:rsidP="00403AAD">
            <w:pPr>
              <w:pStyle w:val="StyleZakonu"/>
              <w:rPr>
                <w:color w:val="000000" w:themeColor="text1"/>
              </w:rPr>
            </w:pPr>
            <w:r w:rsidRPr="00286216">
              <w:rPr>
                <w:color w:val="000000" w:themeColor="text1"/>
              </w:rPr>
              <w:t>3) накладення санкцій за порушення правил функціонування БТМ.</w:t>
            </w:r>
          </w:p>
        </w:tc>
        <w:tc>
          <w:tcPr>
            <w:tcW w:w="3686" w:type="dxa"/>
          </w:tcPr>
          <w:p w14:paraId="143E7707" w14:textId="77777777" w:rsidR="00403AAD" w:rsidRPr="00286216" w:rsidRDefault="00403AAD" w:rsidP="00403AAD">
            <w:pPr>
              <w:pStyle w:val="StyleProp"/>
              <w:rPr>
                <w:color w:val="000000" w:themeColor="text1"/>
                <w:szCs w:val="18"/>
              </w:rPr>
            </w:pPr>
          </w:p>
        </w:tc>
        <w:tc>
          <w:tcPr>
            <w:tcW w:w="1987" w:type="dxa"/>
          </w:tcPr>
          <w:p w14:paraId="3B68FF11" w14:textId="77777777" w:rsidR="00403AAD" w:rsidRPr="00286216" w:rsidRDefault="00403AAD" w:rsidP="00403AAD">
            <w:pPr>
              <w:pStyle w:val="StyleWisnow"/>
              <w:rPr>
                <w:color w:val="000000" w:themeColor="text1"/>
              </w:rPr>
            </w:pPr>
          </w:p>
        </w:tc>
        <w:tc>
          <w:tcPr>
            <w:tcW w:w="4818" w:type="dxa"/>
          </w:tcPr>
          <w:p w14:paraId="460DF981" w14:textId="5248DC87" w:rsidR="00403AAD" w:rsidRPr="00286216" w:rsidRDefault="00403AAD" w:rsidP="00403AAD">
            <w:pPr>
              <w:pStyle w:val="StyleZakonu"/>
              <w:rPr>
                <w:color w:val="000000" w:themeColor="text1"/>
              </w:rPr>
            </w:pPr>
            <w:r w:rsidRPr="00286216">
              <w:rPr>
                <w:color w:val="000000" w:themeColor="text1"/>
              </w:rPr>
              <w:t>3) накладення санкцій за порушення правил функціонування БТМ.</w:t>
            </w:r>
          </w:p>
        </w:tc>
      </w:tr>
      <w:tr w:rsidR="00403AAD" w:rsidRPr="00286216" w14:paraId="623253A6" w14:textId="77777777" w:rsidTr="00091AA5">
        <w:tc>
          <w:tcPr>
            <w:tcW w:w="576" w:type="dxa"/>
          </w:tcPr>
          <w:p w14:paraId="568DF5A5" w14:textId="77777777" w:rsidR="00403AAD" w:rsidRPr="00286216" w:rsidRDefault="00403AAD" w:rsidP="00403AAD">
            <w:pPr>
              <w:pStyle w:val="StyleWisnow"/>
              <w:rPr>
                <w:color w:val="000000" w:themeColor="text1"/>
              </w:rPr>
            </w:pPr>
            <w:bookmarkStart w:id="661" w:name="n950" w:colFirst="0" w:colLast="0"/>
            <w:bookmarkEnd w:id="660"/>
            <w:r w:rsidRPr="00286216">
              <w:rPr>
                <w:color w:val="000000" w:themeColor="text1"/>
              </w:rPr>
              <w:t>950.</w:t>
            </w:r>
          </w:p>
        </w:tc>
        <w:tc>
          <w:tcPr>
            <w:tcW w:w="4818" w:type="dxa"/>
          </w:tcPr>
          <w:p w14:paraId="1F15AEB5" w14:textId="77777777" w:rsidR="00403AAD" w:rsidRPr="00286216" w:rsidRDefault="00403AAD" w:rsidP="00403AAD">
            <w:pPr>
              <w:pStyle w:val="StyleZakonu"/>
              <w:rPr>
                <w:color w:val="000000" w:themeColor="text1"/>
              </w:rPr>
            </w:pPr>
            <w:r w:rsidRPr="00286216">
              <w:rPr>
                <w:color w:val="000000" w:themeColor="text1"/>
              </w:rPr>
              <w:t>5. Правила функціонування ОТМ складаються, зокрема, з порядку:</w:t>
            </w:r>
          </w:p>
        </w:tc>
        <w:tc>
          <w:tcPr>
            <w:tcW w:w="3686" w:type="dxa"/>
          </w:tcPr>
          <w:p w14:paraId="1DDC2195" w14:textId="77777777" w:rsidR="00403AAD" w:rsidRPr="00286216" w:rsidRDefault="00403AAD" w:rsidP="00403AAD">
            <w:pPr>
              <w:pStyle w:val="StyleProp"/>
              <w:rPr>
                <w:color w:val="000000" w:themeColor="text1"/>
                <w:szCs w:val="18"/>
              </w:rPr>
            </w:pPr>
          </w:p>
        </w:tc>
        <w:tc>
          <w:tcPr>
            <w:tcW w:w="1987" w:type="dxa"/>
          </w:tcPr>
          <w:p w14:paraId="21012414" w14:textId="77777777" w:rsidR="00403AAD" w:rsidRPr="00286216" w:rsidRDefault="00403AAD" w:rsidP="00403AAD">
            <w:pPr>
              <w:pStyle w:val="StyleWisnow"/>
              <w:rPr>
                <w:color w:val="000000" w:themeColor="text1"/>
              </w:rPr>
            </w:pPr>
          </w:p>
        </w:tc>
        <w:tc>
          <w:tcPr>
            <w:tcW w:w="4818" w:type="dxa"/>
          </w:tcPr>
          <w:p w14:paraId="43D1C9AA" w14:textId="6CAE4306" w:rsidR="00403AAD" w:rsidRPr="00286216" w:rsidRDefault="00403AAD" w:rsidP="00403AAD">
            <w:pPr>
              <w:pStyle w:val="StyleZakonu"/>
              <w:rPr>
                <w:color w:val="000000" w:themeColor="text1"/>
              </w:rPr>
            </w:pPr>
            <w:r w:rsidRPr="00286216">
              <w:rPr>
                <w:color w:val="000000" w:themeColor="text1"/>
              </w:rPr>
              <w:t>4. Правила функціонування ОТМ складаються, зокрема, з порядку:</w:t>
            </w:r>
          </w:p>
        </w:tc>
      </w:tr>
      <w:tr w:rsidR="00403AAD" w:rsidRPr="00286216" w14:paraId="62E054DD" w14:textId="77777777" w:rsidTr="00091AA5">
        <w:tc>
          <w:tcPr>
            <w:tcW w:w="576" w:type="dxa"/>
          </w:tcPr>
          <w:p w14:paraId="3FBFFFCA" w14:textId="77777777" w:rsidR="00403AAD" w:rsidRPr="00286216" w:rsidRDefault="00403AAD" w:rsidP="00403AAD">
            <w:pPr>
              <w:pStyle w:val="StyleWisnow"/>
              <w:rPr>
                <w:color w:val="000000" w:themeColor="text1"/>
              </w:rPr>
            </w:pPr>
            <w:bookmarkStart w:id="662" w:name="n951" w:colFirst="0" w:colLast="0"/>
            <w:bookmarkEnd w:id="661"/>
            <w:r w:rsidRPr="00286216">
              <w:rPr>
                <w:color w:val="000000" w:themeColor="text1"/>
              </w:rPr>
              <w:t>951.</w:t>
            </w:r>
          </w:p>
        </w:tc>
        <w:tc>
          <w:tcPr>
            <w:tcW w:w="4818" w:type="dxa"/>
          </w:tcPr>
          <w:p w14:paraId="43C4C538" w14:textId="77777777" w:rsidR="00403AAD" w:rsidRPr="00286216" w:rsidRDefault="00403AAD" w:rsidP="00403AAD">
            <w:pPr>
              <w:pStyle w:val="StyleZakonu"/>
              <w:rPr>
                <w:color w:val="000000" w:themeColor="text1"/>
              </w:rPr>
            </w:pPr>
            <w:r w:rsidRPr="00286216">
              <w:rPr>
                <w:color w:val="000000" w:themeColor="text1"/>
              </w:rPr>
              <w:t>1) допуску учасників до торгів на ОТМ;</w:t>
            </w:r>
          </w:p>
        </w:tc>
        <w:tc>
          <w:tcPr>
            <w:tcW w:w="3686" w:type="dxa"/>
          </w:tcPr>
          <w:p w14:paraId="6ECED134" w14:textId="77777777" w:rsidR="00403AAD" w:rsidRPr="00286216" w:rsidRDefault="00403AAD" w:rsidP="00403AAD">
            <w:pPr>
              <w:pStyle w:val="StyleProp"/>
              <w:rPr>
                <w:color w:val="000000" w:themeColor="text1"/>
                <w:szCs w:val="18"/>
              </w:rPr>
            </w:pPr>
          </w:p>
        </w:tc>
        <w:tc>
          <w:tcPr>
            <w:tcW w:w="1987" w:type="dxa"/>
          </w:tcPr>
          <w:p w14:paraId="0F3CAC42" w14:textId="77777777" w:rsidR="00403AAD" w:rsidRPr="00286216" w:rsidRDefault="00403AAD" w:rsidP="00403AAD">
            <w:pPr>
              <w:pStyle w:val="StyleWisnow"/>
              <w:rPr>
                <w:color w:val="000000" w:themeColor="text1"/>
              </w:rPr>
            </w:pPr>
          </w:p>
        </w:tc>
        <w:tc>
          <w:tcPr>
            <w:tcW w:w="4818" w:type="dxa"/>
          </w:tcPr>
          <w:p w14:paraId="25A916E7" w14:textId="778D363E" w:rsidR="00403AAD" w:rsidRPr="00286216" w:rsidRDefault="00403AAD" w:rsidP="00403AAD">
            <w:pPr>
              <w:pStyle w:val="StyleZakonu"/>
              <w:rPr>
                <w:color w:val="000000" w:themeColor="text1"/>
              </w:rPr>
            </w:pPr>
            <w:r w:rsidRPr="00286216">
              <w:rPr>
                <w:color w:val="000000" w:themeColor="text1"/>
              </w:rPr>
              <w:t>1) допуску учасників до торгів на ОТМ;</w:t>
            </w:r>
          </w:p>
        </w:tc>
      </w:tr>
      <w:tr w:rsidR="00403AAD" w:rsidRPr="00286216" w14:paraId="68A0A462" w14:textId="77777777" w:rsidTr="00091AA5">
        <w:tc>
          <w:tcPr>
            <w:tcW w:w="576" w:type="dxa"/>
          </w:tcPr>
          <w:p w14:paraId="53247DEC" w14:textId="77777777" w:rsidR="00403AAD" w:rsidRPr="00286216" w:rsidRDefault="00403AAD" w:rsidP="00403AAD">
            <w:pPr>
              <w:pStyle w:val="StyleWisnow"/>
              <w:rPr>
                <w:color w:val="000000" w:themeColor="text1"/>
              </w:rPr>
            </w:pPr>
            <w:bookmarkStart w:id="663" w:name="n952" w:colFirst="0" w:colLast="0"/>
            <w:bookmarkEnd w:id="662"/>
            <w:r w:rsidRPr="00286216">
              <w:rPr>
                <w:color w:val="000000" w:themeColor="text1"/>
              </w:rPr>
              <w:t>952.</w:t>
            </w:r>
          </w:p>
        </w:tc>
        <w:tc>
          <w:tcPr>
            <w:tcW w:w="4818" w:type="dxa"/>
          </w:tcPr>
          <w:p w14:paraId="39FFA632" w14:textId="77777777" w:rsidR="00403AAD" w:rsidRPr="00286216" w:rsidRDefault="00403AAD" w:rsidP="00403AAD">
            <w:pPr>
              <w:pStyle w:val="StyleZakonu"/>
              <w:rPr>
                <w:color w:val="000000" w:themeColor="text1"/>
              </w:rPr>
            </w:pPr>
            <w:r w:rsidRPr="00286216">
              <w:rPr>
                <w:color w:val="000000" w:themeColor="text1"/>
              </w:rPr>
              <w:t>2) організації та проведення торгів;</w:t>
            </w:r>
          </w:p>
        </w:tc>
        <w:tc>
          <w:tcPr>
            <w:tcW w:w="3686" w:type="dxa"/>
          </w:tcPr>
          <w:p w14:paraId="1F978F61" w14:textId="77777777" w:rsidR="00403AAD" w:rsidRPr="00286216" w:rsidRDefault="00403AAD" w:rsidP="00403AAD">
            <w:pPr>
              <w:pStyle w:val="StyleProp"/>
              <w:rPr>
                <w:color w:val="000000" w:themeColor="text1"/>
                <w:szCs w:val="18"/>
              </w:rPr>
            </w:pPr>
          </w:p>
        </w:tc>
        <w:tc>
          <w:tcPr>
            <w:tcW w:w="1987" w:type="dxa"/>
          </w:tcPr>
          <w:p w14:paraId="14642D18" w14:textId="77777777" w:rsidR="00403AAD" w:rsidRPr="00286216" w:rsidRDefault="00403AAD" w:rsidP="00403AAD">
            <w:pPr>
              <w:pStyle w:val="StyleWisnow"/>
              <w:rPr>
                <w:color w:val="000000" w:themeColor="text1"/>
              </w:rPr>
            </w:pPr>
          </w:p>
        </w:tc>
        <w:tc>
          <w:tcPr>
            <w:tcW w:w="4818" w:type="dxa"/>
          </w:tcPr>
          <w:p w14:paraId="6222B5AD" w14:textId="2A4B75B3" w:rsidR="00403AAD" w:rsidRPr="00286216" w:rsidRDefault="00403AAD" w:rsidP="00403AAD">
            <w:pPr>
              <w:pStyle w:val="StyleZakonu"/>
              <w:rPr>
                <w:color w:val="000000" w:themeColor="text1"/>
              </w:rPr>
            </w:pPr>
            <w:r w:rsidRPr="00286216">
              <w:rPr>
                <w:color w:val="000000" w:themeColor="text1"/>
              </w:rPr>
              <w:t>2) організації та проведення торгів;</w:t>
            </w:r>
          </w:p>
        </w:tc>
      </w:tr>
      <w:tr w:rsidR="00403AAD" w:rsidRPr="00286216" w14:paraId="343AC397" w14:textId="77777777" w:rsidTr="00091AA5">
        <w:tc>
          <w:tcPr>
            <w:tcW w:w="576" w:type="dxa"/>
          </w:tcPr>
          <w:p w14:paraId="75CF2B13" w14:textId="77777777" w:rsidR="00403AAD" w:rsidRPr="00286216" w:rsidRDefault="00403AAD" w:rsidP="00403AAD">
            <w:pPr>
              <w:pStyle w:val="StyleWisnow"/>
              <w:rPr>
                <w:color w:val="000000" w:themeColor="text1"/>
              </w:rPr>
            </w:pPr>
            <w:bookmarkStart w:id="664" w:name="n953" w:colFirst="0" w:colLast="0"/>
            <w:bookmarkEnd w:id="663"/>
            <w:r w:rsidRPr="00286216">
              <w:rPr>
                <w:color w:val="000000" w:themeColor="text1"/>
              </w:rPr>
              <w:t>953.</w:t>
            </w:r>
          </w:p>
        </w:tc>
        <w:tc>
          <w:tcPr>
            <w:tcW w:w="4818" w:type="dxa"/>
          </w:tcPr>
          <w:p w14:paraId="27B47230" w14:textId="77777777"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c>
          <w:tcPr>
            <w:tcW w:w="3686" w:type="dxa"/>
          </w:tcPr>
          <w:p w14:paraId="508D5FB2" w14:textId="77777777" w:rsidR="00403AAD" w:rsidRPr="00286216" w:rsidRDefault="00403AAD" w:rsidP="00403AAD">
            <w:pPr>
              <w:pStyle w:val="StyleProp"/>
              <w:rPr>
                <w:color w:val="000000" w:themeColor="text1"/>
                <w:szCs w:val="18"/>
              </w:rPr>
            </w:pPr>
          </w:p>
        </w:tc>
        <w:tc>
          <w:tcPr>
            <w:tcW w:w="1987" w:type="dxa"/>
          </w:tcPr>
          <w:p w14:paraId="5A9D1BB6" w14:textId="77777777" w:rsidR="00403AAD" w:rsidRPr="00286216" w:rsidRDefault="00403AAD" w:rsidP="00403AAD">
            <w:pPr>
              <w:pStyle w:val="StyleWisnow"/>
              <w:rPr>
                <w:color w:val="000000" w:themeColor="text1"/>
              </w:rPr>
            </w:pPr>
          </w:p>
        </w:tc>
        <w:tc>
          <w:tcPr>
            <w:tcW w:w="4818" w:type="dxa"/>
          </w:tcPr>
          <w:p w14:paraId="583CEC1C" w14:textId="0CF126AD" w:rsidR="00403AAD" w:rsidRPr="00286216" w:rsidRDefault="00403AAD" w:rsidP="00403AAD">
            <w:pPr>
              <w:pStyle w:val="StyleZakonu"/>
              <w:rPr>
                <w:color w:val="000000" w:themeColor="text1"/>
              </w:rPr>
            </w:pPr>
            <w:r w:rsidRPr="00286216">
              <w:rPr>
                <w:color w:val="000000" w:themeColor="text1"/>
              </w:rPr>
              <w:t>3) допуску активів до торгів, зупинення та скасування такого допуску;</w:t>
            </w:r>
          </w:p>
        </w:tc>
      </w:tr>
      <w:tr w:rsidR="00403AAD" w:rsidRPr="00286216" w14:paraId="77D9B76C" w14:textId="77777777" w:rsidTr="00091AA5">
        <w:tc>
          <w:tcPr>
            <w:tcW w:w="576" w:type="dxa"/>
          </w:tcPr>
          <w:p w14:paraId="4D6E5464" w14:textId="77777777" w:rsidR="00403AAD" w:rsidRPr="00286216" w:rsidRDefault="00403AAD" w:rsidP="00403AAD">
            <w:pPr>
              <w:pStyle w:val="StyleWisnow"/>
              <w:rPr>
                <w:color w:val="000000" w:themeColor="text1"/>
              </w:rPr>
            </w:pPr>
            <w:bookmarkStart w:id="665" w:name="n954" w:colFirst="0" w:colLast="0"/>
            <w:bookmarkEnd w:id="664"/>
            <w:r w:rsidRPr="00286216">
              <w:rPr>
                <w:color w:val="000000" w:themeColor="text1"/>
              </w:rPr>
              <w:t>954.</w:t>
            </w:r>
          </w:p>
        </w:tc>
        <w:tc>
          <w:tcPr>
            <w:tcW w:w="4818" w:type="dxa"/>
          </w:tcPr>
          <w:p w14:paraId="1CA866AF" w14:textId="77777777"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ОТМ та її оприлюднення;</w:t>
            </w:r>
          </w:p>
        </w:tc>
        <w:tc>
          <w:tcPr>
            <w:tcW w:w="3686" w:type="dxa"/>
          </w:tcPr>
          <w:p w14:paraId="0377FFB3" w14:textId="77777777" w:rsidR="00403AAD" w:rsidRPr="00286216" w:rsidRDefault="00403AAD" w:rsidP="00403AAD">
            <w:pPr>
              <w:pStyle w:val="StyleProp"/>
              <w:rPr>
                <w:color w:val="000000" w:themeColor="text1"/>
                <w:szCs w:val="18"/>
              </w:rPr>
            </w:pPr>
          </w:p>
        </w:tc>
        <w:tc>
          <w:tcPr>
            <w:tcW w:w="1987" w:type="dxa"/>
          </w:tcPr>
          <w:p w14:paraId="2D992B61" w14:textId="77777777" w:rsidR="00403AAD" w:rsidRPr="00286216" w:rsidRDefault="00403AAD" w:rsidP="00403AAD">
            <w:pPr>
              <w:pStyle w:val="StyleWisnow"/>
              <w:rPr>
                <w:color w:val="000000" w:themeColor="text1"/>
              </w:rPr>
            </w:pPr>
          </w:p>
        </w:tc>
        <w:tc>
          <w:tcPr>
            <w:tcW w:w="4818" w:type="dxa"/>
          </w:tcPr>
          <w:p w14:paraId="6821E84D" w14:textId="40127A27" w:rsidR="00403AAD" w:rsidRPr="00286216" w:rsidRDefault="00403AAD" w:rsidP="00403AAD">
            <w:pPr>
              <w:pStyle w:val="StyleZakonu"/>
              <w:rPr>
                <w:color w:val="000000" w:themeColor="text1"/>
              </w:rPr>
            </w:pPr>
            <w:r w:rsidRPr="00286216">
              <w:rPr>
                <w:color w:val="000000" w:themeColor="text1"/>
              </w:rPr>
              <w:t>4) розкриття інформації про функціонування ОТМ та її оприлюднення;</w:t>
            </w:r>
          </w:p>
        </w:tc>
      </w:tr>
      <w:tr w:rsidR="00403AAD" w:rsidRPr="00286216" w14:paraId="7604A9D2" w14:textId="77777777" w:rsidTr="00091AA5">
        <w:tc>
          <w:tcPr>
            <w:tcW w:w="576" w:type="dxa"/>
          </w:tcPr>
          <w:p w14:paraId="765EA830" w14:textId="77777777" w:rsidR="00403AAD" w:rsidRPr="00286216" w:rsidRDefault="00403AAD" w:rsidP="00403AAD">
            <w:pPr>
              <w:pStyle w:val="StyleWisnow"/>
              <w:rPr>
                <w:color w:val="000000" w:themeColor="text1"/>
              </w:rPr>
            </w:pPr>
            <w:bookmarkStart w:id="666" w:name="n955" w:colFirst="0" w:colLast="0"/>
            <w:bookmarkEnd w:id="665"/>
            <w:r w:rsidRPr="00286216">
              <w:rPr>
                <w:color w:val="000000" w:themeColor="text1"/>
              </w:rPr>
              <w:t>955.</w:t>
            </w:r>
          </w:p>
        </w:tc>
        <w:tc>
          <w:tcPr>
            <w:tcW w:w="4818" w:type="dxa"/>
          </w:tcPr>
          <w:p w14:paraId="28672051" w14:textId="77777777" w:rsidR="00403AAD" w:rsidRPr="00286216" w:rsidRDefault="00403AAD" w:rsidP="00403AAD">
            <w:pPr>
              <w:pStyle w:val="StyleZakonu"/>
              <w:rPr>
                <w:color w:val="000000" w:themeColor="text1"/>
              </w:rPr>
            </w:pPr>
            <w:r w:rsidRPr="00286216">
              <w:rPr>
                <w:color w:val="000000" w:themeColor="text1"/>
              </w:rPr>
              <w:t>5) взаємодії з особою, яка провадить клірингову діяльність з визначення зобов’язань, крім випадків, коли оператор ОТМ провадить самостійно на підставі окремої ліцензії клірингову діяльність із визначення зобов’язань;</w:t>
            </w:r>
          </w:p>
        </w:tc>
        <w:tc>
          <w:tcPr>
            <w:tcW w:w="3686" w:type="dxa"/>
          </w:tcPr>
          <w:p w14:paraId="174F860A" w14:textId="720C8118"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529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0D5F377" w14:textId="77777777" w:rsidR="00403AAD" w:rsidRPr="00286216" w:rsidRDefault="00403AAD" w:rsidP="00403AAD">
            <w:pPr>
              <w:pStyle w:val="StyleProp"/>
              <w:rPr>
                <w:color w:val="000000" w:themeColor="text1"/>
              </w:rPr>
            </w:pPr>
            <w:r w:rsidRPr="00286216">
              <w:rPr>
                <w:color w:val="000000" w:themeColor="text1"/>
              </w:rPr>
              <w:t>Пункт 5 частини 5 статті 50 викласти в такій редакції:</w:t>
            </w:r>
          </w:p>
          <w:p w14:paraId="0AEA012A" w14:textId="77777777" w:rsidR="00403AAD" w:rsidRPr="00286216" w:rsidRDefault="00403AAD" w:rsidP="00403AAD">
            <w:pPr>
              <w:pStyle w:val="StyleProp"/>
              <w:rPr>
                <w:color w:val="000000" w:themeColor="text1"/>
              </w:rPr>
            </w:pPr>
            <w:r w:rsidRPr="00286216">
              <w:rPr>
                <w:color w:val="000000" w:themeColor="text1"/>
              </w:rPr>
              <w:t>«5) взаємодії з особою, яка провадить клірингову діяльність з визначення зобов’язань, щодо зобов’язань за деривативними контрактами та за правочинами щодо облігацій, допущених до торгів на ОТМ, або зазначення, що оператор ОТМ на підставі окремої ліцензії на провадження клірингової діяльності із визначення зобов’язань самостійно провадить клірингову діяльність за зобов’язаннями, що виникають внаслідок укладення деривативних контрактів та правочинів щодо облігацій, допущених до торгів на ОТМ, управління діяльністю якої він здійснює»</w:t>
            </w:r>
          </w:p>
        </w:tc>
        <w:tc>
          <w:tcPr>
            <w:tcW w:w="1987" w:type="dxa"/>
          </w:tcPr>
          <w:p w14:paraId="4E3B4F12" w14:textId="77777777" w:rsidR="00403AAD" w:rsidRPr="00286216" w:rsidRDefault="00403AAD" w:rsidP="00403AAD">
            <w:pPr>
              <w:pStyle w:val="StyleWisnow"/>
              <w:rPr>
                <w:color w:val="000000" w:themeColor="text1"/>
              </w:rPr>
            </w:pPr>
            <w:r w:rsidRPr="00286216">
              <w:rPr>
                <w:color w:val="000000" w:themeColor="text1"/>
              </w:rPr>
              <w:t>Враховано</w:t>
            </w:r>
          </w:p>
          <w:p w14:paraId="545542D3" w14:textId="77777777" w:rsidR="00403AAD" w:rsidRPr="00286216" w:rsidRDefault="00403AAD" w:rsidP="00403AAD">
            <w:pPr>
              <w:pStyle w:val="StyleWisnow"/>
              <w:rPr>
                <w:color w:val="000000" w:themeColor="text1"/>
              </w:rPr>
            </w:pPr>
          </w:p>
          <w:p w14:paraId="65F177F6" w14:textId="77777777" w:rsidR="00403AAD" w:rsidRPr="00286216" w:rsidRDefault="00403AAD" w:rsidP="00403AAD">
            <w:pPr>
              <w:pStyle w:val="StyleWisnow"/>
              <w:spacing w:line="180" w:lineRule="exact"/>
              <w:rPr>
                <w:color w:val="000000" w:themeColor="text1"/>
              </w:rPr>
            </w:pPr>
          </w:p>
        </w:tc>
        <w:tc>
          <w:tcPr>
            <w:tcW w:w="4818" w:type="dxa"/>
          </w:tcPr>
          <w:p w14:paraId="7B93F400" w14:textId="2F649793" w:rsidR="00403AAD" w:rsidRPr="00286216" w:rsidRDefault="00403AAD" w:rsidP="00403AAD">
            <w:pPr>
              <w:pStyle w:val="StyleZakonu"/>
              <w:rPr>
                <w:color w:val="000000" w:themeColor="text1"/>
              </w:rPr>
            </w:pPr>
            <w:r w:rsidRPr="00286216">
              <w:rPr>
                <w:color w:val="000000" w:themeColor="text1"/>
              </w:rPr>
              <w:t>5) взаємодії з особою, яка провадить клірингову діяльність з визначення зобов’язань, щодо зобов’язань за деривативними контрактами та за правочинами щодо облігацій, допущених до торгів на ОТМ, або із зазначення, що оператор ОТМ на підставі окремої ліцензії на провадження клірингової діяльності із визначення зобов’язань самостійно провадить клірингову діяльність за зобов’язаннями, що виникають внаслідок укладення деривативних контрактів та правочинів щодо облігацій, допущених до торгів на ОТМ, управління діяльністю якого він здійснює;</w:t>
            </w:r>
          </w:p>
        </w:tc>
      </w:tr>
      <w:tr w:rsidR="00403AAD" w:rsidRPr="00286216" w14:paraId="0BDA036E" w14:textId="77777777" w:rsidTr="00091AA5">
        <w:tc>
          <w:tcPr>
            <w:tcW w:w="576" w:type="dxa"/>
          </w:tcPr>
          <w:p w14:paraId="2BF3C704" w14:textId="77777777" w:rsidR="00403AAD" w:rsidRPr="00286216" w:rsidRDefault="00403AAD" w:rsidP="00403AAD">
            <w:pPr>
              <w:pStyle w:val="StyleWisnow"/>
              <w:rPr>
                <w:color w:val="000000" w:themeColor="text1"/>
              </w:rPr>
            </w:pPr>
            <w:bookmarkStart w:id="667" w:name="n956" w:colFirst="0" w:colLast="0"/>
            <w:bookmarkEnd w:id="666"/>
          </w:p>
          <w:p w14:paraId="4226A351" w14:textId="77777777" w:rsidR="00403AAD" w:rsidRPr="00286216" w:rsidRDefault="00403AAD" w:rsidP="00403AAD">
            <w:pPr>
              <w:pStyle w:val="StyleWisnow"/>
              <w:rPr>
                <w:color w:val="000000" w:themeColor="text1"/>
              </w:rPr>
            </w:pPr>
          </w:p>
          <w:p w14:paraId="5F544379" w14:textId="77777777" w:rsidR="00403AAD" w:rsidRPr="00286216" w:rsidRDefault="00403AAD" w:rsidP="00403AAD">
            <w:pPr>
              <w:pStyle w:val="StyleWisnow"/>
              <w:rPr>
                <w:color w:val="000000" w:themeColor="text1"/>
              </w:rPr>
            </w:pPr>
          </w:p>
          <w:p w14:paraId="3EAD6C1F" w14:textId="77777777" w:rsidR="00403AAD" w:rsidRPr="00286216" w:rsidRDefault="00403AAD" w:rsidP="00403AAD">
            <w:pPr>
              <w:pStyle w:val="StyleWisnow"/>
              <w:rPr>
                <w:color w:val="000000" w:themeColor="text1"/>
              </w:rPr>
            </w:pPr>
          </w:p>
          <w:p w14:paraId="1E19C212" w14:textId="77777777" w:rsidR="00403AAD" w:rsidRPr="00286216" w:rsidRDefault="00403AAD" w:rsidP="00403AAD">
            <w:pPr>
              <w:pStyle w:val="StyleWisnow"/>
              <w:rPr>
                <w:color w:val="000000" w:themeColor="text1"/>
              </w:rPr>
            </w:pPr>
          </w:p>
          <w:p w14:paraId="5D36FA17" w14:textId="77777777" w:rsidR="00403AAD" w:rsidRPr="00286216" w:rsidRDefault="00403AAD" w:rsidP="00403AAD">
            <w:pPr>
              <w:pStyle w:val="StyleWisnow"/>
              <w:rPr>
                <w:color w:val="000000" w:themeColor="text1"/>
              </w:rPr>
            </w:pPr>
          </w:p>
          <w:p w14:paraId="21251E1F" w14:textId="77777777" w:rsidR="00403AAD" w:rsidRPr="00286216" w:rsidRDefault="00403AAD" w:rsidP="00403AAD">
            <w:pPr>
              <w:pStyle w:val="StyleWisnow"/>
              <w:rPr>
                <w:color w:val="000000" w:themeColor="text1"/>
              </w:rPr>
            </w:pPr>
          </w:p>
          <w:p w14:paraId="280155F8" w14:textId="77777777" w:rsidR="00403AAD" w:rsidRPr="00286216" w:rsidRDefault="00403AAD" w:rsidP="00403AAD">
            <w:pPr>
              <w:pStyle w:val="StyleWisnow"/>
              <w:rPr>
                <w:color w:val="000000" w:themeColor="text1"/>
              </w:rPr>
            </w:pPr>
          </w:p>
          <w:p w14:paraId="564BC23D" w14:textId="77777777" w:rsidR="00403AAD" w:rsidRPr="00286216" w:rsidRDefault="00403AAD" w:rsidP="00403AAD">
            <w:pPr>
              <w:pStyle w:val="StyleWisnow"/>
              <w:rPr>
                <w:color w:val="000000" w:themeColor="text1"/>
              </w:rPr>
            </w:pPr>
          </w:p>
          <w:p w14:paraId="33679260" w14:textId="77777777" w:rsidR="00403AAD" w:rsidRPr="00286216" w:rsidRDefault="00403AAD" w:rsidP="00403AAD">
            <w:pPr>
              <w:pStyle w:val="StyleWisnow"/>
              <w:rPr>
                <w:color w:val="000000" w:themeColor="text1"/>
              </w:rPr>
            </w:pPr>
            <w:r w:rsidRPr="00286216">
              <w:rPr>
                <w:color w:val="000000" w:themeColor="text1"/>
              </w:rPr>
              <w:t>956.</w:t>
            </w:r>
          </w:p>
        </w:tc>
        <w:tc>
          <w:tcPr>
            <w:tcW w:w="4818" w:type="dxa"/>
          </w:tcPr>
          <w:p w14:paraId="27673C27" w14:textId="77777777" w:rsidR="00403AAD" w:rsidRPr="00286216" w:rsidRDefault="00403AAD" w:rsidP="00403AAD">
            <w:pPr>
              <w:pStyle w:val="StyleZakonu"/>
              <w:rPr>
                <w:color w:val="000000" w:themeColor="text1"/>
              </w:rPr>
            </w:pPr>
          </w:p>
          <w:p w14:paraId="3E7B5E63" w14:textId="77777777" w:rsidR="00403AAD" w:rsidRPr="00286216" w:rsidRDefault="00403AAD" w:rsidP="00403AAD">
            <w:pPr>
              <w:pStyle w:val="StyleZakonu"/>
              <w:rPr>
                <w:color w:val="000000" w:themeColor="text1"/>
              </w:rPr>
            </w:pPr>
          </w:p>
          <w:p w14:paraId="1DE0DAFA" w14:textId="77777777" w:rsidR="00403AAD" w:rsidRPr="00286216" w:rsidRDefault="00403AAD" w:rsidP="00403AAD">
            <w:pPr>
              <w:pStyle w:val="StyleZakonu"/>
              <w:rPr>
                <w:color w:val="000000" w:themeColor="text1"/>
              </w:rPr>
            </w:pPr>
          </w:p>
          <w:p w14:paraId="563D6895" w14:textId="77777777" w:rsidR="00403AAD" w:rsidRPr="00286216" w:rsidRDefault="00403AAD" w:rsidP="00403AAD">
            <w:pPr>
              <w:pStyle w:val="StyleZakonu"/>
              <w:rPr>
                <w:color w:val="000000" w:themeColor="text1"/>
              </w:rPr>
            </w:pPr>
          </w:p>
          <w:p w14:paraId="0CE20C13" w14:textId="77777777" w:rsidR="00403AAD" w:rsidRPr="00286216" w:rsidRDefault="00403AAD" w:rsidP="00403AAD">
            <w:pPr>
              <w:pStyle w:val="StyleZakonu"/>
              <w:rPr>
                <w:color w:val="000000" w:themeColor="text1"/>
              </w:rPr>
            </w:pPr>
          </w:p>
          <w:p w14:paraId="56F5F69D" w14:textId="77777777" w:rsidR="00403AAD" w:rsidRPr="00286216" w:rsidRDefault="00403AAD" w:rsidP="00403AAD">
            <w:pPr>
              <w:pStyle w:val="StyleZakonu"/>
              <w:rPr>
                <w:color w:val="000000" w:themeColor="text1"/>
              </w:rPr>
            </w:pPr>
          </w:p>
          <w:p w14:paraId="3502CA57" w14:textId="77777777" w:rsidR="00403AAD" w:rsidRPr="00286216" w:rsidRDefault="00403AAD" w:rsidP="00403AAD">
            <w:pPr>
              <w:pStyle w:val="StyleZakonu"/>
              <w:rPr>
                <w:color w:val="000000" w:themeColor="text1"/>
              </w:rPr>
            </w:pPr>
          </w:p>
          <w:p w14:paraId="47193543" w14:textId="77777777" w:rsidR="00403AAD" w:rsidRPr="00286216" w:rsidRDefault="00403AAD" w:rsidP="00403AAD">
            <w:pPr>
              <w:pStyle w:val="StyleZakonu"/>
              <w:rPr>
                <w:color w:val="000000" w:themeColor="text1"/>
              </w:rPr>
            </w:pPr>
            <w:r w:rsidRPr="00286216">
              <w:rPr>
                <w:color w:val="000000" w:themeColor="text1"/>
              </w:rPr>
              <w:t>6) взаємодії з Центральним депозитарієм цінних паперів у встановлених законодавством випадках;</w:t>
            </w:r>
          </w:p>
        </w:tc>
        <w:tc>
          <w:tcPr>
            <w:tcW w:w="3686" w:type="dxa"/>
          </w:tcPr>
          <w:p w14:paraId="2D1D1406" w14:textId="6D290CA7" w:rsidR="00403AAD" w:rsidRPr="00286216" w:rsidRDefault="00403AAD" w:rsidP="00403AAD">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530</w:t>
            </w:r>
            <w:r w:rsidRPr="00286216">
              <w:rPr>
                <w:color w:val="000000" w:themeColor="text1"/>
              </w:rPr>
              <w:fldChar w:fldCharType="end"/>
            </w:r>
            <w:r w:rsidRPr="00286216">
              <w:rPr>
                <w:color w:val="000000" w:themeColor="text1"/>
              </w:rPr>
              <w:t>-Н.д.Шахов С.В. (Реєстр.картка №114)</w:t>
            </w:r>
          </w:p>
          <w:p w14:paraId="4F95E4FF" w14:textId="77777777" w:rsidR="00403AAD" w:rsidRPr="00286216" w:rsidRDefault="00403AAD" w:rsidP="00403AAD">
            <w:pPr>
              <w:spacing w:line="180" w:lineRule="exact"/>
              <w:ind w:firstLine="227"/>
              <w:jc w:val="both"/>
              <w:rPr>
                <w:color w:val="000000" w:themeColor="text1"/>
                <w:sz w:val="18"/>
              </w:rPr>
            </w:pPr>
            <w:r w:rsidRPr="00286216">
              <w:rPr>
                <w:color w:val="000000" w:themeColor="text1"/>
                <w:sz w:val="18"/>
              </w:rPr>
              <w:lastRenderedPageBreak/>
              <w:t>У статті 50 пункт 5 частини 5 викласти у такій редакції:</w:t>
            </w:r>
          </w:p>
          <w:p w14:paraId="447EFB07" w14:textId="77777777" w:rsidR="00403AAD" w:rsidRPr="00286216" w:rsidRDefault="00403AAD" w:rsidP="00403AAD">
            <w:pPr>
              <w:pStyle w:val="StyleProp"/>
              <w:spacing w:line="180" w:lineRule="exact"/>
              <w:rPr>
                <w:color w:val="000000" w:themeColor="text1"/>
                <w:szCs w:val="18"/>
              </w:rPr>
            </w:pPr>
            <w:r w:rsidRPr="00286216">
              <w:rPr>
                <w:color w:val="000000" w:themeColor="text1"/>
              </w:rPr>
              <w:t>"5) взаємодії з особою, яка провадить клірингову діяльність з визначення зобов’язань та/або з Центральним контрагентом за правочинами щодо активів, що допущені до торгів на ОТМ, крім випадків, коли оператор ОТМ провадить самостійно на підставі окремої ліцензії відповідні види клірингової діяльності (або на інших підставах, визначених законодавством про товарні ринки)".</w:t>
            </w:r>
          </w:p>
        </w:tc>
        <w:tc>
          <w:tcPr>
            <w:tcW w:w="1987" w:type="dxa"/>
          </w:tcPr>
          <w:p w14:paraId="56712710" w14:textId="77777777" w:rsidR="00403AAD" w:rsidRPr="00286216" w:rsidRDefault="00403AAD" w:rsidP="00403AAD">
            <w:pPr>
              <w:pStyle w:val="StyleWisnow"/>
              <w:spacing w:line="180" w:lineRule="exact"/>
              <w:rPr>
                <w:color w:val="000000" w:themeColor="text1"/>
              </w:rPr>
            </w:pPr>
            <w:r w:rsidRPr="00286216">
              <w:rPr>
                <w:color w:val="000000" w:themeColor="text1"/>
              </w:rPr>
              <w:lastRenderedPageBreak/>
              <w:t>Відхилено</w:t>
            </w:r>
          </w:p>
          <w:p w14:paraId="4DF483C1" w14:textId="77777777" w:rsidR="00403AAD" w:rsidRPr="00286216" w:rsidRDefault="00403AAD" w:rsidP="00403AAD">
            <w:pPr>
              <w:pStyle w:val="StyleWisnow"/>
              <w:spacing w:line="180" w:lineRule="exact"/>
              <w:rPr>
                <w:color w:val="000000" w:themeColor="text1"/>
              </w:rPr>
            </w:pPr>
            <w:r w:rsidRPr="00286216">
              <w:rPr>
                <w:color w:val="000000" w:themeColor="text1"/>
              </w:rPr>
              <w:t xml:space="preserve">на ОТМ кліринг за </w:t>
            </w:r>
            <w:r w:rsidRPr="00286216">
              <w:rPr>
                <w:color w:val="000000" w:themeColor="text1"/>
              </w:rPr>
              <w:lastRenderedPageBreak/>
              <w:t>участю Центрального контрагента не передбачений</w:t>
            </w:r>
          </w:p>
        </w:tc>
        <w:tc>
          <w:tcPr>
            <w:tcW w:w="4818" w:type="dxa"/>
          </w:tcPr>
          <w:p w14:paraId="42815787" w14:textId="77777777" w:rsidR="00403AAD" w:rsidRPr="00286216" w:rsidRDefault="00403AAD" w:rsidP="00403AAD">
            <w:pPr>
              <w:pStyle w:val="StyleZakonu"/>
              <w:rPr>
                <w:color w:val="000000" w:themeColor="text1"/>
              </w:rPr>
            </w:pPr>
          </w:p>
          <w:p w14:paraId="7707BB91" w14:textId="77777777" w:rsidR="00403AAD" w:rsidRPr="00286216" w:rsidRDefault="00403AAD" w:rsidP="00403AAD">
            <w:pPr>
              <w:pStyle w:val="StyleZakonu"/>
              <w:rPr>
                <w:color w:val="000000" w:themeColor="text1"/>
              </w:rPr>
            </w:pPr>
          </w:p>
          <w:p w14:paraId="7EB3AE98" w14:textId="77777777" w:rsidR="00403AAD" w:rsidRPr="00286216" w:rsidRDefault="00403AAD" w:rsidP="00403AAD">
            <w:pPr>
              <w:pStyle w:val="StyleZakonu"/>
              <w:rPr>
                <w:color w:val="000000" w:themeColor="text1"/>
              </w:rPr>
            </w:pPr>
          </w:p>
          <w:p w14:paraId="4E3E0669" w14:textId="77777777" w:rsidR="00403AAD" w:rsidRPr="00286216" w:rsidRDefault="00403AAD" w:rsidP="00403AAD">
            <w:pPr>
              <w:pStyle w:val="StyleZakonu"/>
              <w:rPr>
                <w:color w:val="000000" w:themeColor="text1"/>
              </w:rPr>
            </w:pPr>
          </w:p>
          <w:p w14:paraId="3C88DA76" w14:textId="77777777" w:rsidR="00403AAD" w:rsidRPr="00286216" w:rsidRDefault="00403AAD" w:rsidP="00403AAD">
            <w:pPr>
              <w:pStyle w:val="StyleZakonu"/>
              <w:rPr>
                <w:color w:val="000000" w:themeColor="text1"/>
              </w:rPr>
            </w:pPr>
          </w:p>
          <w:p w14:paraId="6931C56B" w14:textId="77777777" w:rsidR="00403AAD" w:rsidRPr="00286216" w:rsidRDefault="00403AAD" w:rsidP="00403AAD">
            <w:pPr>
              <w:pStyle w:val="StyleZakonu"/>
              <w:rPr>
                <w:color w:val="000000" w:themeColor="text1"/>
              </w:rPr>
            </w:pPr>
          </w:p>
          <w:p w14:paraId="356F90EF" w14:textId="77777777" w:rsidR="00403AAD" w:rsidRPr="00286216" w:rsidRDefault="00403AAD" w:rsidP="00403AAD">
            <w:pPr>
              <w:pStyle w:val="StyleZakonu"/>
              <w:rPr>
                <w:color w:val="000000" w:themeColor="text1"/>
              </w:rPr>
            </w:pPr>
          </w:p>
          <w:p w14:paraId="5D5E75CC" w14:textId="1417EC5B" w:rsidR="00403AAD" w:rsidRPr="00286216" w:rsidRDefault="00403AAD" w:rsidP="00403AAD">
            <w:pPr>
              <w:pStyle w:val="StyleZakonu"/>
              <w:rPr>
                <w:color w:val="000000" w:themeColor="text1"/>
              </w:rPr>
            </w:pPr>
            <w:r w:rsidRPr="00286216">
              <w:rPr>
                <w:color w:val="000000" w:themeColor="text1"/>
              </w:rPr>
              <w:t>6) взаємодії з Центральним депозитарієм цінних паперів у встановлених законодавством випадках;</w:t>
            </w:r>
          </w:p>
        </w:tc>
      </w:tr>
      <w:tr w:rsidR="00403AAD" w:rsidRPr="00286216" w14:paraId="5F30CA50" w14:textId="77777777" w:rsidTr="00091AA5">
        <w:tc>
          <w:tcPr>
            <w:tcW w:w="576" w:type="dxa"/>
          </w:tcPr>
          <w:p w14:paraId="45C25127" w14:textId="77777777" w:rsidR="00403AAD" w:rsidRPr="00286216" w:rsidRDefault="00403AAD" w:rsidP="00403AAD">
            <w:pPr>
              <w:pStyle w:val="StyleWisnow"/>
              <w:rPr>
                <w:color w:val="000000" w:themeColor="text1"/>
              </w:rPr>
            </w:pPr>
            <w:bookmarkStart w:id="668" w:name="n957" w:colFirst="0" w:colLast="0"/>
            <w:bookmarkEnd w:id="667"/>
            <w:r w:rsidRPr="00286216">
              <w:rPr>
                <w:color w:val="000000" w:themeColor="text1"/>
              </w:rPr>
              <w:lastRenderedPageBreak/>
              <w:t>957.</w:t>
            </w:r>
          </w:p>
        </w:tc>
        <w:tc>
          <w:tcPr>
            <w:tcW w:w="4818" w:type="dxa"/>
          </w:tcPr>
          <w:p w14:paraId="4AB015DE" w14:textId="77777777" w:rsidR="00403AAD" w:rsidRPr="00286216" w:rsidRDefault="00403AAD" w:rsidP="00403AAD">
            <w:pPr>
              <w:pStyle w:val="StyleZakonu"/>
              <w:rPr>
                <w:color w:val="000000" w:themeColor="text1"/>
              </w:rPr>
            </w:pPr>
            <w:r w:rsidRPr="00286216">
              <w:rPr>
                <w:color w:val="000000" w:themeColor="text1"/>
              </w:rPr>
              <w:t>7) взаємодії з Національним банком України у встановлених законодавством випадках.</w:t>
            </w:r>
          </w:p>
        </w:tc>
        <w:tc>
          <w:tcPr>
            <w:tcW w:w="3686" w:type="dxa"/>
          </w:tcPr>
          <w:p w14:paraId="6043B12D" w14:textId="77777777" w:rsidR="00403AAD" w:rsidRPr="00286216" w:rsidRDefault="00403AAD" w:rsidP="00403AAD">
            <w:pPr>
              <w:pStyle w:val="StyleProp"/>
              <w:rPr>
                <w:color w:val="000000" w:themeColor="text1"/>
                <w:szCs w:val="18"/>
              </w:rPr>
            </w:pPr>
          </w:p>
        </w:tc>
        <w:tc>
          <w:tcPr>
            <w:tcW w:w="1987" w:type="dxa"/>
          </w:tcPr>
          <w:p w14:paraId="1FF0E8C9" w14:textId="77777777" w:rsidR="00403AAD" w:rsidRPr="00286216" w:rsidRDefault="00403AAD" w:rsidP="00403AAD">
            <w:pPr>
              <w:pStyle w:val="StyleWisnow"/>
              <w:rPr>
                <w:color w:val="000000" w:themeColor="text1"/>
              </w:rPr>
            </w:pPr>
          </w:p>
        </w:tc>
        <w:tc>
          <w:tcPr>
            <w:tcW w:w="4818" w:type="dxa"/>
          </w:tcPr>
          <w:p w14:paraId="781F2DE6" w14:textId="6104DD3B" w:rsidR="00403AAD" w:rsidRPr="00286216" w:rsidRDefault="00403AAD" w:rsidP="00403AAD">
            <w:pPr>
              <w:pStyle w:val="StyleZakonu"/>
              <w:rPr>
                <w:color w:val="000000" w:themeColor="text1"/>
              </w:rPr>
            </w:pPr>
            <w:r w:rsidRPr="00286216">
              <w:rPr>
                <w:color w:val="000000" w:themeColor="text1"/>
              </w:rPr>
              <w:t>7) взаємодії з Національним банком України у встановлених законодавством випадках.</w:t>
            </w:r>
          </w:p>
        </w:tc>
      </w:tr>
      <w:tr w:rsidR="00403AAD" w:rsidRPr="00286216" w14:paraId="7030B3F5" w14:textId="77777777" w:rsidTr="00091AA5">
        <w:tc>
          <w:tcPr>
            <w:tcW w:w="576" w:type="dxa"/>
          </w:tcPr>
          <w:p w14:paraId="6DCE3F58" w14:textId="77777777" w:rsidR="00403AAD" w:rsidRPr="00286216" w:rsidRDefault="00403AAD" w:rsidP="00403AAD">
            <w:pPr>
              <w:pStyle w:val="StyleWisnow"/>
              <w:rPr>
                <w:color w:val="000000" w:themeColor="text1"/>
              </w:rPr>
            </w:pPr>
            <w:bookmarkStart w:id="669" w:name="n958" w:colFirst="0" w:colLast="0"/>
            <w:bookmarkEnd w:id="668"/>
            <w:r w:rsidRPr="00286216">
              <w:rPr>
                <w:color w:val="000000" w:themeColor="text1"/>
              </w:rPr>
              <w:t>958.</w:t>
            </w:r>
          </w:p>
        </w:tc>
        <w:tc>
          <w:tcPr>
            <w:tcW w:w="4818" w:type="dxa"/>
          </w:tcPr>
          <w:p w14:paraId="1C60FC78" w14:textId="77777777" w:rsidR="00403AAD" w:rsidRPr="00286216" w:rsidRDefault="00403AAD" w:rsidP="00403AAD">
            <w:pPr>
              <w:pStyle w:val="StyleZakonu"/>
              <w:rPr>
                <w:color w:val="000000" w:themeColor="text1"/>
              </w:rPr>
            </w:pPr>
            <w:r w:rsidRPr="00286216">
              <w:rPr>
                <w:color w:val="000000" w:themeColor="text1"/>
              </w:rPr>
              <w:t>6. Правила ОТМ можуть передбачати:</w:t>
            </w:r>
          </w:p>
        </w:tc>
        <w:tc>
          <w:tcPr>
            <w:tcW w:w="3686" w:type="dxa"/>
          </w:tcPr>
          <w:p w14:paraId="4FC257D7" w14:textId="133DFF3E" w:rsidR="00403AAD" w:rsidRPr="00286216" w:rsidRDefault="00403AAD" w:rsidP="00403AAD">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531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DB0C18C" w14:textId="77777777" w:rsidR="00403AAD" w:rsidRPr="00286216" w:rsidRDefault="00403AAD" w:rsidP="00403AAD">
            <w:pPr>
              <w:pStyle w:val="StyleProp"/>
              <w:spacing w:line="180" w:lineRule="exact"/>
              <w:rPr>
                <w:color w:val="000000" w:themeColor="text1"/>
                <w:spacing w:val="-2"/>
              </w:rPr>
            </w:pPr>
            <w:r w:rsidRPr="00286216">
              <w:rPr>
                <w:color w:val="000000" w:themeColor="text1"/>
                <w:spacing w:val="-2"/>
                <w:szCs w:val="18"/>
              </w:rPr>
              <w:t>Абзац 1 ч</w:t>
            </w:r>
            <w:r w:rsidRPr="00286216">
              <w:rPr>
                <w:color w:val="000000" w:themeColor="text1"/>
                <w:spacing w:val="-2"/>
              </w:rPr>
              <w:t xml:space="preserve">астини 6 статті 50 після слова </w:t>
            </w:r>
            <w:r w:rsidRPr="00286216">
              <w:rPr>
                <w:color w:val="000000" w:themeColor="text1"/>
                <w:spacing w:val="-12"/>
              </w:rPr>
              <w:t>"</w:t>
            </w:r>
            <w:r w:rsidRPr="00286216">
              <w:rPr>
                <w:color w:val="000000" w:themeColor="text1"/>
                <w:spacing w:val="-2"/>
              </w:rPr>
              <w:t>правила</w:t>
            </w:r>
            <w:r w:rsidRPr="00286216">
              <w:rPr>
                <w:color w:val="000000" w:themeColor="text1"/>
                <w:spacing w:val="-12"/>
              </w:rPr>
              <w:t xml:space="preserve">" </w:t>
            </w:r>
            <w:r w:rsidRPr="00286216">
              <w:rPr>
                <w:color w:val="000000" w:themeColor="text1"/>
                <w:spacing w:val="-2"/>
              </w:rPr>
              <w:t>доповнити словом "</w:t>
            </w:r>
            <w:r w:rsidRPr="00286216">
              <w:rPr>
                <w:color w:val="000000" w:themeColor="text1"/>
                <w:spacing w:val="-6"/>
              </w:rPr>
              <w:t>функціонування</w:t>
            </w:r>
            <w:r w:rsidRPr="00286216">
              <w:rPr>
                <w:color w:val="000000" w:themeColor="text1"/>
                <w:spacing w:val="-2"/>
              </w:rPr>
              <w:t>".</w:t>
            </w:r>
          </w:p>
        </w:tc>
        <w:tc>
          <w:tcPr>
            <w:tcW w:w="1987" w:type="dxa"/>
          </w:tcPr>
          <w:p w14:paraId="30FE0E06" w14:textId="77777777" w:rsidR="00403AAD" w:rsidRPr="00286216" w:rsidRDefault="00403AAD" w:rsidP="00403AAD">
            <w:pPr>
              <w:pStyle w:val="StyleWisnow"/>
              <w:rPr>
                <w:color w:val="000000" w:themeColor="text1"/>
              </w:rPr>
            </w:pPr>
            <w:r w:rsidRPr="00286216">
              <w:rPr>
                <w:color w:val="000000" w:themeColor="text1"/>
              </w:rPr>
              <w:t>Враховано</w:t>
            </w:r>
          </w:p>
        </w:tc>
        <w:tc>
          <w:tcPr>
            <w:tcW w:w="4818" w:type="dxa"/>
          </w:tcPr>
          <w:p w14:paraId="1D6CC0E4" w14:textId="560769C0" w:rsidR="00403AAD" w:rsidRPr="00286216" w:rsidRDefault="00403AAD" w:rsidP="00403AAD">
            <w:pPr>
              <w:pStyle w:val="StyleZakonu"/>
              <w:rPr>
                <w:color w:val="000000" w:themeColor="text1"/>
              </w:rPr>
            </w:pPr>
            <w:r w:rsidRPr="00286216">
              <w:rPr>
                <w:color w:val="000000" w:themeColor="text1"/>
              </w:rPr>
              <w:t>5. Правила функціонування ОТМ можуть передбачати:</w:t>
            </w:r>
          </w:p>
        </w:tc>
      </w:tr>
      <w:tr w:rsidR="00403AAD" w:rsidRPr="00286216" w14:paraId="5D5275CD" w14:textId="77777777" w:rsidTr="00091AA5">
        <w:tc>
          <w:tcPr>
            <w:tcW w:w="576" w:type="dxa"/>
          </w:tcPr>
          <w:p w14:paraId="1774A2A3" w14:textId="77777777" w:rsidR="00403AAD" w:rsidRPr="00286216" w:rsidRDefault="00403AAD" w:rsidP="00403AAD">
            <w:pPr>
              <w:pStyle w:val="StyleWisnow"/>
              <w:rPr>
                <w:color w:val="000000" w:themeColor="text1"/>
              </w:rPr>
            </w:pPr>
            <w:bookmarkStart w:id="670" w:name="n959" w:colFirst="0" w:colLast="0"/>
            <w:bookmarkEnd w:id="669"/>
            <w:r w:rsidRPr="00286216">
              <w:rPr>
                <w:color w:val="000000" w:themeColor="text1"/>
              </w:rPr>
              <w:t>959.</w:t>
            </w:r>
          </w:p>
        </w:tc>
        <w:tc>
          <w:tcPr>
            <w:tcW w:w="4818" w:type="dxa"/>
          </w:tcPr>
          <w:p w14:paraId="708FF897" w14:textId="77777777" w:rsidR="00403AAD" w:rsidRPr="00286216" w:rsidRDefault="00403AAD" w:rsidP="00403AAD">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наступними особами:</w:t>
            </w:r>
          </w:p>
        </w:tc>
        <w:tc>
          <w:tcPr>
            <w:tcW w:w="3686" w:type="dxa"/>
          </w:tcPr>
          <w:p w14:paraId="5E40AD98" w14:textId="77777777" w:rsidR="00403AAD" w:rsidRPr="00286216" w:rsidRDefault="00403AAD" w:rsidP="00403AAD">
            <w:pPr>
              <w:pStyle w:val="StyleProp"/>
              <w:rPr>
                <w:color w:val="000000" w:themeColor="text1"/>
                <w:szCs w:val="18"/>
              </w:rPr>
            </w:pPr>
          </w:p>
        </w:tc>
        <w:tc>
          <w:tcPr>
            <w:tcW w:w="1987" w:type="dxa"/>
          </w:tcPr>
          <w:p w14:paraId="72507A0E" w14:textId="77777777" w:rsidR="00403AAD" w:rsidRPr="00286216" w:rsidRDefault="00403AAD" w:rsidP="00403AAD">
            <w:pPr>
              <w:pStyle w:val="StyleWisnow"/>
              <w:rPr>
                <w:color w:val="000000" w:themeColor="text1"/>
              </w:rPr>
            </w:pPr>
          </w:p>
        </w:tc>
        <w:tc>
          <w:tcPr>
            <w:tcW w:w="4818" w:type="dxa"/>
          </w:tcPr>
          <w:p w14:paraId="14676320" w14:textId="0243E5C1" w:rsidR="00403AAD" w:rsidRPr="00286216" w:rsidRDefault="00403AAD" w:rsidP="00403AAD">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з таких осіб:</w:t>
            </w:r>
          </w:p>
        </w:tc>
      </w:tr>
      <w:tr w:rsidR="00403AAD" w:rsidRPr="00286216" w14:paraId="7004B02A" w14:textId="77777777" w:rsidTr="00091AA5">
        <w:tc>
          <w:tcPr>
            <w:tcW w:w="576" w:type="dxa"/>
          </w:tcPr>
          <w:p w14:paraId="3F7E15A3" w14:textId="77777777" w:rsidR="00403AAD" w:rsidRPr="00286216" w:rsidRDefault="00403AAD" w:rsidP="00403AAD">
            <w:pPr>
              <w:pStyle w:val="StyleWisnow"/>
              <w:rPr>
                <w:color w:val="000000" w:themeColor="text1"/>
              </w:rPr>
            </w:pPr>
            <w:bookmarkStart w:id="671" w:name="n960" w:colFirst="0" w:colLast="0"/>
            <w:bookmarkEnd w:id="670"/>
            <w:r w:rsidRPr="00286216">
              <w:rPr>
                <w:color w:val="000000" w:themeColor="text1"/>
              </w:rPr>
              <w:t>960.</w:t>
            </w:r>
          </w:p>
        </w:tc>
        <w:tc>
          <w:tcPr>
            <w:tcW w:w="4818" w:type="dxa"/>
          </w:tcPr>
          <w:p w14:paraId="6310D1B9" w14:textId="77777777" w:rsidR="00403AAD" w:rsidRPr="00286216" w:rsidRDefault="00403AAD" w:rsidP="00403AAD">
            <w:pPr>
              <w:pStyle w:val="StyleZakonu"/>
              <w:rPr>
                <w:color w:val="000000" w:themeColor="text1"/>
              </w:rPr>
            </w:pPr>
            <w:r w:rsidRPr="00286216">
              <w:rPr>
                <w:color w:val="000000" w:themeColor="text1"/>
              </w:rPr>
              <w:t>а) оператором ОТМ</w:t>
            </w:r>
          </w:p>
        </w:tc>
        <w:tc>
          <w:tcPr>
            <w:tcW w:w="3686" w:type="dxa"/>
          </w:tcPr>
          <w:p w14:paraId="174A994D" w14:textId="77777777" w:rsidR="00403AAD" w:rsidRPr="00286216" w:rsidRDefault="00403AAD" w:rsidP="00403AAD">
            <w:pPr>
              <w:pStyle w:val="StyleProp"/>
              <w:rPr>
                <w:color w:val="000000" w:themeColor="text1"/>
                <w:szCs w:val="18"/>
              </w:rPr>
            </w:pPr>
          </w:p>
        </w:tc>
        <w:tc>
          <w:tcPr>
            <w:tcW w:w="1987" w:type="dxa"/>
          </w:tcPr>
          <w:p w14:paraId="23E7D273" w14:textId="77777777" w:rsidR="00403AAD" w:rsidRPr="00286216" w:rsidRDefault="00403AAD" w:rsidP="00403AAD">
            <w:pPr>
              <w:pStyle w:val="StyleWisnow"/>
              <w:rPr>
                <w:color w:val="000000" w:themeColor="text1"/>
              </w:rPr>
            </w:pPr>
          </w:p>
        </w:tc>
        <w:tc>
          <w:tcPr>
            <w:tcW w:w="4818" w:type="dxa"/>
          </w:tcPr>
          <w:p w14:paraId="0F815774" w14:textId="6B35EBC4" w:rsidR="00403AAD" w:rsidRPr="00286216" w:rsidRDefault="00403AAD" w:rsidP="00403AAD">
            <w:pPr>
              <w:pStyle w:val="StyleZakonu"/>
              <w:rPr>
                <w:color w:val="000000" w:themeColor="text1"/>
              </w:rPr>
            </w:pPr>
            <w:r w:rsidRPr="00286216">
              <w:rPr>
                <w:color w:val="000000" w:themeColor="text1"/>
              </w:rPr>
              <w:t>а) оператором ОТМ;</w:t>
            </w:r>
          </w:p>
        </w:tc>
      </w:tr>
      <w:tr w:rsidR="00403AAD" w:rsidRPr="00286216" w14:paraId="36AE76F4" w14:textId="77777777" w:rsidTr="00091AA5">
        <w:tc>
          <w:tcPr>
            <w:tcW w:w="576" w:type="dxa"/>
          </w:tcPr>
          <w:p w14:paraId="7EE72FD8" w14:textId="77777777" w:rsidR="00403AAD" w:rsidRPr="00286216" w:rsidRDefault="00403AAD" w:rsidP="00403AAD">
            <w:pPr>
              <w:pStyle w:val="StyleWisnow"/>
              <w:rPr>
                <w:color w:val="000000" w:themeColor="text1"/>
              </w:rPr>
            </w:pPr>
            <w:bookmarkStart w:id="672" w:name="n961" w:colFirst="0" w:colLast="0"/>
            <w:bookmarkEnd w:id="671"/>
            <w:r w:rsidRPr="00286216">
              <w:rPr>
                <w:color w:val="000000" w:themeColor="text1"/>
              </w:rPr>
              <w:t>961.</w:t>
            </w:r>
          </w:p>
        </w:tc>
        <w:tc>
          <w:tcPr>
            <w:tcW w:w="4818" w:type="dxa"/>
          </w:tcPr>
          <w:p w14:paraId="06236397" w14:textId="77777777" w:rsidR="00403AAD" w:rsidRPr="00286216" w:rsidRDefault="00403AAD" w:rsidP="00403AAD">
            <w:pPr>
              <w:pStyle w:val="StyleZakonu"/>
              <w:rPr>
                <w:color w:val="000000" w:themeColor="text1"/>
              </w:rPr>
            </w:pPr>
            <w:r w:rsidRPr="00286216">
              <w:rPr>
                <w:color w:val="000000" w:themeColor="text1"/>
              </w:rPr>
              <w:t>б) акціонерами (учасниками) оператора ОТМ;</w:t>
            </w:r>
          </w:p>
        </w:tc>
        <w:tc>
          <w:tcPr>
            <w:tcW w:w="3686" w:type="dxa"/>
          </w:tcPr>
          <w:p w14:paraId="16B03D8C" w14:textId="77777777" w:rsidR="00403AAD" w:rsidRPr="00286216" w:rsidRDefault="00403AAD" w:rsidP="00403AAD">
            <w:pPr>
              <w:pStyle w:val="StyleProp"/>
              <w:rPr>
                <w:color w:val="000000" w:themeColor="text1"/>
                <w:szCs w:val="18"/>
              </w:rPr>
            </w:pPr>
          </w:p>
        </w:tc>
        <w:tc>
          <w:tcPr>
            <w:tcW w:w="1987" w:type="dxa"/>
          </w:tcPr>
          <w:p w14:paraId="0235E55A" w14:textId="77777777" w:rsidR="00403AAD" w:rsidRPr="00286216" w:rsidRDefault="00403AAD" w:rsidP="00403AAD">
            <w:pPr>
              <w:pStyle w:val="StyleWisnow"/>
              <w:rPr>
                <w:color w:val="000000" w:themeColor="text1"/>
              </w:rPr>
            </w:pPr>
          </w:p>
        </w:tc>
        <w:tc>
          <w:tcPr>
            <w:tcW w:w="4818" w:type="dxa"/>
          </w:tcPr>
          <w:p w14:paraId="68AC57BA" w14:textId="129AB4AE" w:rsidR="00403AAD" w:rsidRPr="00286216" w:rsidRDefault="00403AAD" w:rsidP="00403AAD">
            <w:pPr>
              <w:pStyle w:val="StyleZakonu"/>
              <w:rPr>
                <w:color w:val="000000" w:themeColor="text1"/>
              </w:rPr>
            </w:pPr>
            <w:r w:rsidRPr="00286216">
              <w:rPr>
                <w:color w:val="000000" w:themeColor="text1"/>
              </w:rPr>
              <w:t>б) акціонерами (учасниками) оператора ОТМ;</w:t>
            </w:r>
          </w:p>
        </w:tc>
      </w:tr>
      <w:tr w:rsidR="00403AAD" w:rsidRPr="00286216" w14:paraId="24FBD9FC" w14:textId="77777777" w:rsidTr="00091AA5">
        <w:tc>
          <w:tcPr>
            <w:tcW w:w="576" w:type="dxa"/>
          </w:tcPr>
          <w:p w14:paraId="5E164D33" w14:textId="77777777" w:rsidR="00403AAD" w:rsidRPr="00286216" w:rsidRDefault="00403AAD" w:rsidP="00403AAD">
            <w:pPr>
              <w:pStyle w:val="StyleWisnow"/>
              <w:rPr>
                <w:color w:val="000000" w:themeColor="text1"/>
              </w:rPr>
            </w:pPr>
            <w:bookmarkStart w:id="673" w:name="n962" w:colFirst="0" w:colLast="0"/>
            <w:bookmarkEnd w:id="672"/>
            <w:r w:rsidRPr="00286216">
              <w:rPr>
                <w:color w:val="000000" w:themeColor="text1"/>
              </w:rPr>
              <w:t>962.</w:t>
            </w:r>
          </w:p>
        </w:tc>
        <w:tc>
          <w:tcPr>
            <w:tcW w:w="4818" w:type="dxa"/>
          </w:tcPr>
          <w:p w14:paraId="189C8036" w14:textId="77777777" w:rsidR="00403AAD" w:rsidRPr="00286216" w:rsidRDefault="00403AAD" w:rsidP="00403AAD">
            <w:pPr>
              <w:pStyle w:val="StyleZakonu"/>
              <w:rPr>
                <w:color w:val="000000" w:themeColor="text1"/>
              </w:rPr>
            </w:pPr>
            <w:r w:rsidRPr="00286216">
              <w:rPr>
                <w:color w:val="000000" w:themeColor="text1"/>
              </w:rPr>
              <w:t>в) учасниками такого ОТМ;</w:t>
            </w:r>
          </w:p>
        </w:tc>
        <w:tc>
          <w:tcPr>
            <w:tcW w:w="3686" w:type="dxa"/>
          </w:tcPr>
          <w:p w14:paraId="46EF538F" w14:textId="77777777" w:rsidR="00403AAD" w:rsidRPr="00286216" w:rsidRDefault="00403AAD" w:rsidP="00403AAD">
            <w:pPr>
              <w:pStyle w:val="StyleProp"/>
              <w:rPr>
                <w:color w:val="000000" w:themeColor="text1"/>
                <w:szCs w:val="18"/>
              </w:rPr>
            </w:pPr>
          </w:p>
        </w:tc>
        <w:tc>
          <w:tcPr>
            <w:tcW w:w="1987" w:type="dxa"/>
          </w:tcPr>
          <w:p w14:paraId="66657AC6" w14:textId="77777777" w:rsidR="00403AAD" w:rsidRPr="00286216" w:rsidRDefault="00403AAD" w:rsidP="00403AAD">
            <w:pPr>
              <w:pStyle w:val="StyleWisnow"/>
              <w:rPr>
                <w:color w:val="000000" w:themeColor="text1"/>
              </w:rPr>
            </w:pPr>
          </w:p>
        </w:tc>
        <w:tc>
          <w:tcPr>
            <w:tcW w:w="4818" w:type="dxa"/>
          </w:tcPr>
          <w:p w14:paraId="5E23F85C" w14:textId="59E7FD7E" w:rsidR="00403AAD" w:rsidRPr="00286216" w:rsidRDefault="00403AAD" w:rsidP="00403AAD">
            <w:pPr>
              <w:pStyle w:val="StyleZakonu"/>
              <w:rPr>
                <w:color w:val="000000" w:themeColor="text1"/>
              </w:rPr>
            </w:pPr>
            <w:r w:rsidRPr="00286216">
              <w:rPr>
                <w:color w:val="000000" w:themeColor="text1"/>
              </w:rPr>
              <w:t>в) учасниками такого ОТМ;</w:t>
            </w:r>
          </w:p>
        </w:tc>
      </w:tr>
      <w:tr w:rsidR="00403AAD" w:rsidRPr="00286216" w14:paraId="20EB9110" w14:textId="77777777" w:rsidTr="00091AA5">
        <w:tc>
          <w:tcPr>
            <w:tcW w:w="576" w:type="dxa"/>
          </w:tcPr>
          <w:p w14:paraId="6CE655FC" w14:textId="77777777" w:rsidR="00403AAD" w:rsidRPr="00286216" w:rsidRDefault="00403AAD" w:rsidP="00403AAD">
            <w:pPr>
              <w:pStyle w:val="StyleWisnow"/>
              <w:rPr>
                <w:color w:val="000000" w:themeColor="text1"/>
              </w:rPr>
            </w:pPr>
            <w:bookmarkStart w:id="674" w:name="n963" w:colFirst="0" w:colLast="0"/>
            <w:bookmarkEnd w:id="673"/>
            <w:r w:rsidRPr="00286216">
              <w:rPr>
                <w:color w:val="000000" w:themeColor="text1"/>
              </w:rPr>
              <w:t>963.</w:t>
            </w:r>
          </w:p>
        </w:tc>
        <w:tc>
          <w:tcPr>
            <w:tcW w:w="4818" w:type="dxa"/>
          </w:tcPr>
          <w:p w14:paraId="5B7DA2A6" w14:textId="77777777" w:rsidR="00403AAD" w:rsidRPr="00286216" w:rsidRDefault="00403AAD" w:rsidP="00403AAD">
            <w:pPr>
              <w:pStyle w:val="StyleZakonu"/>
              <w:rPr>
                <w:color w:val="000000" w:themeColor="text1"/>
              </w:rPr>
            </w:pPr>
            <w:r w:rsidRPr="00286216">
              <w:rPr>
                <w:color w:val="000000" w:themeColor="text1"/>
              </w:rPr>
              <w:t>2) здійснення контролю за дотриманням учасниками ОТМ правил функціонування ОТМ;</w:t>
            </w:r>
          </w:p>
        </w:tc>
        <w:tc>
          <w:tcPr>
            <w:tcW w:w="3686" w:type="dxa"/>
          </w:tcPr>
          <w:p w14:paraId="7DD5AF1D" w14:textId="77777777" w:rsidR="00403AAD" w:rsidRPr="00286216" w:rsidRDefault="00403AAD" w:rsidP="00403AAD">
            <w:pPr>
              <w:pStyle w:val="StyleProp"/>
              <w:rPr>
                <w:color w:val="000000" w:themeColor="text1"/>
                <w:szCs w:val="18"/>
              </w:rPr>
            </w:pPr>
          </w:p>
        </w:tc>
        <w:tc>
          <w:tcPr>
            <w:tcW w:w="1987" w:type="dxa"/>
          </w:tcPr>
          <w:p w14:paraId="09ABF28F" w14:textId="77777777" w:rsidR="00403AAD" w:rsidRPr="00286216" w:rsidRDefault="00403AAD" w:rsidP="00403AAD">
            <w:pPr>
              <w:pStyle w:val="StyleWisnow"/>
              <w:rPr>
                <w:color w:val="000000" w:themeColor="text1"/>
              </w:rPr>
            </w:pPr>
          </w:p>
        </w:tc>
        <w:tc>
          <w:tcPr>
            <w:tcW w:w="4818" w:type="dxa"/>
          </w:tcPr>
          <w:p w14:paraId="248517B7" w14:textId="4EEB23B6" w:rsidR="00403AAD" w:rsidRPr="00286216" w:rsidRDefault="00403AAD" w:rsidP="00403AAD">
            <w:pPr>
              <w:pStyle w:val="StyleZakonu"/>
              <w:rPr>
                <w:color w:val="000000" w:themeColor="text1"/>
              </w:rPr>
            </w:pPr>
            <w:r w:rsidRPr="00286216">
              <w:rPr>
                <w:color w:val="000000" w:themeColor="text1"/>
              </w:rPr>
              <w:t>2) здійснення контролю за дотриманням учасниками ОТМ правил функціонування ОТМ;</w:t>
            </w:r>
          </w:p>
        </w:tc>
      </w:tr>
      <w:bookmarkEnd w:id="674"/>
      <w:tr w:rsidR="00291EAB" w:rsidRPr="00286216" w14:paraId="2607E152" w14:textId="77777777" w:rsidTr="00091AA5">
        <w:tc>
          <w:tcPr>
            <w:tcW w:w="576" w:type="dxa"/>
          </w:tcPr>
          <w:p w14:paraId="0828D487" w14:textId="77777777" w:rsidR="00291EAB" w:rsidRPr="00286216" w:rsidRDefault="00291EAB" w:rsidP="00291EAB">
            <w:pPr>
              <w:pStyle w:val="StyleWisnow"/>
              <w:rPr>
                <w:color w:val="000000" w:themeColor="text1"/>
              </w:rPr>
            </w:pPr>
          </w:p>
        </w:tc>
        <w:tc>
          <w:tcPr>
            <w:tcW w:w="4818" w:type="dxa"/>
          </w:tcPr>
          <w:p w14:paraId="216DFDFC" w14:textId="77777777" w:rsidR="00291EAB" w:rsidRPr="00286216" w:rsidRDefault="00291EAB" w:rsidP="00291EAB">
            <w:pPr>
              <w:pStyle w:val="StyleZakonu"/>
              <w:rPr>
                <w:color w:val="000000" w:themeColor="text1"/>
              </w:rPr>
            </w:pPr>
          </w:p>
        </w:tc>
        <w:tc>
          <w:tcPr>
            <w:tcW w:w="3686" w:type="dxa"/>
          </w:tcPr>
          <w:p w14:paraId="13B57634" w14:textId="6D939BDE"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532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3847192"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Доповнити статтю 50 новою частиною шостою такого змісту:</w:t>
            </w:r>
          </w:p>
          <w:p w14:paraId="7B05CF38" w14:textId="77777777" w:rsidR="00291EAB" w:rsidRPr="00286216" w:rsidRDefault="00291EAB" w:rsidP="00291EAB">
            <w:pPr>
              <w:pStyle w:val="StyleProp"/>
              <w:spacing w:line="190" w:lineRule="exact"/>
              <w:rPr>
                <w:color w:val="000000" w:themeColor="text1"/>
                <w:szCs w:val="18"/>
              </w:rPr>
            </w:pPr>
            <w:r w:rsidRPr="00286216">
              <w:rPr>
                <w:color w:val="000000" w:themeColor="text1"/>
                <w:szCs w:val="18"/>
              </w:rPr>
              <w:t>«6. Правила відповідного організованого ринку деривативних контрактів додатково до вимог зазначених у частинах 1, 2, 4 цієї статті повинні передбачати порядок реалізації оператором такого ринку деривативних контрактів заходів управління позиціями учасників такого ринку, зокрема шляхом надання відповідному оператору таких повноважень:</w:t>
            </w:r>
          </w:p>
          <w:p w14:paraId="28EB87BD" w14:textId="77777777" w:rsidR="00291EAB" w:rsidRPr="00286216" w:rsidRDefault="00291EAB" w:rsidP="00291EAB">
            <w:pPr>
              <w:pStyle w:val="StyleProp"/>
              <w:spacing w:line="190" w:lineRule="exact"/>
              <w:rPr>
                <w:color w:val="000000" w:themeColor="text1"/>
                <w:szCs w:val="18"/>
              </w:rPr>
            </w:pPr>
            <w:r w:rsidRPr="00286216">
              <w:rPr>
                <w:color w:val="000000" w:themeColor="text1"/>
                <w:szCs w:val="18"/>
              </w:rPr>
              <w:t>1) повноваження на контроль за сумами відкритих позицій учасників ринку та їх клієнтів;</w:t>
            </w:r>
          </w:p>
          <w:p w14:paraId="6EC322D1" w14:textId="77777777" w:rsidR="00291EAB" w:rsidRPr="00286216" w:rsidRDefault="00291EAB" w:rsidP="00291EAB">
            <w:pPr>
              <w:pStyle w:val="StyleProp"/>
              <w:spacing w:line="190" w:lineRule="exact"/>
              <w:rPr>
                <w:color w:val="000000" w:themeColor="text1"/>
                <w:spacing w:val="-2"/>
                <w:szCs w:val="18"/>
              </w:rPr>
            </w:pPr>
            <w:r w:rsidRPr="00286216">
              <w:rPr>
                <w:color w:val="000000" w:themeColor="text1"/>
                <w:spacing w:val="-2"/>
                <w:szCs w:val="18"/>
              </w:rPr>
              <w:t xml:space="preserve">2) повноваження на отримання від учасників ринку інформації, зокрема всієї </w:t>
            </w:r>
            <w:r w:rsidRPr="00286216">
              <w:rPr>
                <w:color w:val="000000" w:themeColor="text1"/>
                <w:spacing w:val="-3"/>
                <w:szCs w:val="18"/>
              </w:rPr>
              <w:t>необхідної документації, щодо розміру та мети позиції або взятих зобов’язань, інформації</w:t>
            </w:r>
            <w:r w:rsidRPr="00286216">
              <w:rPr>
                <w:color w:val="000000" w:themeColor="text1"/>
                <w:spacing w:val="-2"/>
                <w:szCs w:val="18"/>
              </w:rPr>
              <w:t xml:space="preserve"> про їх прямих або опосередкованих власників, про угоди про співробітництво та про відповідні активи і зобов’язання на відповідному ринку;</w:t>
            </w:r>
          </w:p>
          <w:p w14:paraId="4F1B9EDD" w14:textId="77777777" w:rsidR="00291EAB" w:rsidRPr="00286216" w:rsidRDefault="00291EAB" w:rsidP="00291EAB">
            <w:pPr>
              <w:pStyle w:val="StyleProp"/>
              <w:spacing w:line="190" w:lineRule="exact"/>
              <w:rPr>
                <w:color w:val="000000" w:themeColor="text1"/>
                <w:spacing w:val="-2"/>
                <w:szCs w:val="18"/>
              </w:rPr>
            </w:pPr>
            <w:r w:rsidRPr="00286216">
              <w:rPr>
                <w:color w:val="000000" w:themeColor="text1"/>
                <w:spacing w:val="-2"/>
                <w:szCs w:val="18"/>
              </w:rPr>
              <w:t xml:space="preserve">3) повноваження вимагати від особи закриття або зменшення позиції на тимчасовій </w:t>
            </w:r>
            <w:r w:rsidRPr="00286216">
              <w:rPr>
                <w:color w:val="000000" w:themeColor="text1"/>
                <w:spacing w:val="-2"/>
                <w:szCs w:val="18"/>
              </w:rPr>
              <w:lastRenderedPageBreak/>
              <w:t>або постійній основі згідно з потребами конкретного випадку та вживати заходів в односторонньому порядку для забезпечення закриття або зменшення позиції, якщо така особа не виконала зазначену вимогу;</w:t>
            </w:r>
          </w:p>
          <w:p w14:paraId="71AA76B3" w14:textId="77777777" w:rsidR="00291EAB" w:rsidRPr="00286216" w:rsidRDefault="00291EAB" w:rsidP="00291EAB">
            <w:pPr>
              <w:pStyle w:val="StyleProp"/>
              <w:spacing w:line="190" w:lineRule="exact"/>
              <w:rPr>
                <w:color w:val="000000" w:themeColor="text1"/>
                <w:szCs w:val="18"/>
              </w:rPr>
            </w:pPr>
            <w:r w:rsidRPr="00286216">
              <w:rPr>
                <w:color w:val="000000" w:themeColor="text1"/>
                <w:szCs w:val="18"/>
              </w:rPr>
              <w:t>4) повноваження у необхідних випадках вимагати від особи тимчасового повернення ліквідності на ринок за погодженою ціною та у погодженому обсязі з чітко вираженим наміром зменшити вплив великої чи переважної позиції.</w:t>
            </w:r>
          </w:p>
          <w:p w14:paraId="339898E1" w14:textId="77777777" w:rsidR="00291EAB" w:rsidRPr="00286216" w:rsidRDefault="00291EAB" w:rsidP="00291EAB">
            <w:pPr>
              <w:pStyle w:val="StyleProp"/>
              <w:spacing w:line="190" w:lineRule="exact"/>
              <w:rPr>
                <w:color w:val="000000" w:themeColor="text1"/>
                <w:szCs w:val="18"/>
              </w:rPr>
            </w:pPr>
            <w:r w:rsidRPr="00286216">
              <w:rPr>
                <w:color w:val="000000" w:themeColor="text1"/>
                <w:szCs w:val="18"/>
              </w:rPr>
              <w:t>Правила функціонування організованого ринку деривативних контрактів можуть передбачати порядок сплати сторонами деривативного контракту одна одній грошових коштів у сумі, розмір якої залежить від зміни значення базового показника (початкова та варіаційна маржа), якщо це передбачено відповідними специфікаціями».</w:t>
            </w:r>
          </w:p>
        </w:tc>
        <w:tc>
          <w:tcPr>
            <w:tcW w:w="1987" w:type="dxa"/>
          </w:tcPr>
          <w:p w14:paraId="002DC04A" w14:textId="77777777" w:rsidR="00291EAB" w:rsidRPr="00286216" w:rsidRDefault="00291EAB" w:rsidP="00291EAB">
            <w:pPr>
              <w:pStyle w:val="StyleWisnow"/>
              <w:spacing w:line="180" w:lineRule="exact"/>
              <w:rPr>
                <w:color w:val="000000" w:themeColor="text1"/>
              </w:rPr>
            </w:pPr>
            <w:r w:rsidRPr="00286216">
              <w:rPr>
                <w:color w:val="000000" w:themeColor="text1"/>
              </w:rPr>
              <w:lastRenderedPageBreak/>
              <w:t>Враховано частково</w:t>
            </w:r>
          </w:p>
          <w:p w14:paraId="26EACBA3" w14:textId="7B998531" w:rsidR="00291EAB" w:rsidRPr="00286216" w:rsidRDefault="00291EAB" w:rsidP="00291EAB">
            <w:pPr>
              <w:pStyle w:val="StyleWisnow"/>
              <w:spacing w:line="180" w:lineRule="exact"/>
              <w:rPr>
                <w:color w:val="000000" w:themeColor="text1"/>
              </w:rPr>
            </w:pPr>
            <w:r w:rsidRPr="00286216">
              <w:rPr>
                <w:color w:val="000000" w:themeColor="text1"/>
              </w:rPr>
              <w:t>в запропонованій редакції</w:t>
            </w:r>
          </w:p>
          <w:p w14:paraId="189300D0" w14:textId="77777777" w:rsidR="00291EAB" w:rsidRPr="00286216" w:rsidRDefault="00291EAB" w:rsidP="00291EAB">
            <w:pPr>
              <w:pStyle w:val="StyleWisnow"/>
              <w:spacing w:line="180" w:lineRule="exact"/>
              <w:rPr>
                <w:color w:val="000000" w:themeColor="text1"/>
              </w:rPr>
            </w:pPr>
          </w:p>
        </w:tc>
        <w:tc>
          <w:tcPr>
            <w:tcW w:w="4818" w:type="dxa"/>
          </w:tcPr>
          <w:p w14:paraId="5A92E1CF" w14:textId="0D1545AC" w:rsidR="00291EAB" w:rsidRPr="00286216" w:rsidRDefault="00291EAB" w:rsidP="00291EAB">
            <w:pPr>
              <w:pStyle w:val="StyleZakonu"/>
              <w:rPr>
                <w:color w:val="000000" w:themeColor="text1"/>
              </w:rPr>
            </w:pPr>
            <w:r w:rsidRPr="00286216">
              <w:rPr>
                <w:color w:val="000000" w:themeColor="text1"/>
              </w:rPr>
              <w:t>6. Правила відповідного організованого ринку деривативних контрактів повинні додатково до вимог, зазначених у частинах першій, другій і четвертій цієї статті, передбачати порядок реалізації оператором цього ринку заходів управління позиціями учасників такого ринку, зокрема шляхом надання цьому оператору таких повноважень:</w:t>
            </w:r>
          </w:p>
          <w:p w14:paraId="4FEDAF85" w14:textId="77777777" w:rsidR="00291EAB" w:rsidRPr="00286216" w:rsidRDefault="00291EAB" w:rsidP="00291EAB">
            <w:pPr>
              <w:pStyle w:val="StyleZakonu"/>
              <w:rPr>
                <w:color w:val="000000" w:themeColor="text1"/>
              </w:rPr>
            </w:pPr>
            <w:r w:rsidRPr="00286216">
              <w:rPr>
                <w:color w:val="000000" w:themeColor="text1"/>
              </w:rPr>
              <w:t>1) контролю за сумами відкритих позицій учасників ринку та їх клієнтів;</w:t>
            </w:r>
          </w:p>
          <w:p w14:paraId="6C735BAD" w14:textId="77777777" w:rsidR="00291EAB" w:rsidRPr="00286216" w:rsidRDefault="00291EAB" w:rsidP="00291EAB">
            <w:pPr>
              <w:pStyle w:val="StyleZakonu"/>
              <w:rPr>
                <w:color w:val="000000" w:themeColor="text1"/>
              </w:rPr>
            </w:pPr>
            <w:r w:rsidRPr="00286216">
              <w:rPr>
                <w:color w:val="000000" w:themeColor="text1"/>
              </w:rPr>
              <w:t>2) отримання від учасників ринку інформації (зокрема всієї необхідної документації) щодо:</w:t>
            </w:r>
          </w:p>
          <w:p w14:paraId="2090FE4D" w14:textId="041E808D" w:rsidR="00291EAB" w:rsidRPr="00286216" w:rsidRDefault="00291EAB" w:rsidP="00291EAB">
            <w:pPr>
              <w:pStyle w:val="StyleZakonu"/>
              <w:rPr>
                <w:color w:val="000000" w:themeColor="text1"/>
              </w:rPr>
            </w:pPr>
            <w:r w:rsidRPr="00286216">
              <w:rPr>
                <w:color w:val="000000" w:themeColor="text1"/>
              </w:rPr>
              <w:t>а) розміру та мети позиції або взятого зобов’язання</w:t>
            </w:r>
            <w:r w:rsidR="001E47BA" w:rsidRPr="00286216">
              <w:rPr>
                <w:color w:val="000000" w:themeColor="text1"/>
              </w:rPr>
              <w:t>;</w:t>
            </w:r>
          </w:p>
          <w:p w14:paraId="75788C96" w14:textId="21364304" w:rsidR="00291EAB" w:rsidRPr="00286216" w:rsidRDefault="00291EAB" w:rsidP="00291EAB">
            <w:pPr>
              <w:pStyle w:val="StyleZakonu"/>
              <w:rPr>
                <w:color w:val="000000" w:themeColor="text1"/>
              </w:rPr>
            </w:pPr>
            <w:r w:rsidRPr="00286216">
              <w:rPr>
                <w:color w:val="000000" w:themeColor="text1"/>
              </w:rPr>
              <w:t>б) їх прямих або опосередкованих власників</w:t>
            </w:r>
            <w:r w:rsidR="001E47BA" w:rsidRPr="00286216">
              <w:rPr>
                <w:color w:val="000000" w:themeColor="text1"/>
              </w:rPr>
              <w:t>;</w:t>
            </w:r>
          </w:p>
          <w:p w14:paraId="2CB654AC" w14:textId="39B5C739" w:rsidR="00291EAB" w:rsidRPr="00286216" w:rsidRDefault="00291EAB" w:rsidP="00291EAB">
            <w:pPr>
              <w:pStyle w:val="StyleZakonu"/>
              <w:rPr>
                <w:color w:val="000000" w:themeColor="text1"/>
              </w:rPr>
            </w:pPr>
            <w:r w:rsidRPr="00286216">
              <w:rPr>
                <w:color w:val="000000" w:themeColor="text1"/>
              </w:rPr>
              <w:t>в) угод про співробітництво</w:t>
            </w:r>
            <w:r w:rsidR="001E47BA" w:rsidRPr="00286216">
              <w:rPr>
                <w:color w:val="000000" w:themeColor="text1"/>
              </w:rPr>
              <w:t>;</w:t>
            </w:r>
          </w:p>
          <w:p w14:paraId="69DB1FD3" w14:textId="77777777" w:rsidR="00291EAB" w:rsidRPr="00286216" w:rsidRDefault="00291EAB" w:rsidP="00291EAB">
            <w:pPr>
              <w:pStyle w:val="StyleZakonu"/>
              <w:rPr>
                <w:color w:val="000000" w:themeColor="text1"/>
              </w:rPr>
            </w:pPr>
            <w:r w:rsidRPr="00286216">
              <w:rPr>
                <w:color w:val="000000" w:themeColor="text1"/>
              </w:rPr>
              <w:t>г) відповідних активів і зобов’язань на відповідному ринку;</w:t>
            </w:r>
          </w:p>
          <w:p w14:paraId="1660DD96" w14:textId="77777777" w:rsidR="00291EAB" w:rsidRPr="00286216" w:rsidRDefault="00291EAB" w:rsidP="00291EAB">
            <w:pPr>
              <w:pStyle w:val="StyleZakonu"/>
              <w:rPr>
                <w:color w:val="000000" w:themeColor="text1"/>
              </w:rPr>
            </w:pPr>
            <w:r w:rsidRPr="00286216">
              <w:rPr>
                <w:color w:val="000000" w:themeColor="text1"/>
              </w:rPr>
              <w:t xml:space="preserve">3) вимагати від особи закриття або зменшення </w:t>
            </w:r>
            <w:r w:rsidRPr="00286216">
              <w:rPr>
                <w:color w:val="000000" w:themeColor="text1"/>
              </w:rPr>
              <w:lastRenderedPageBreak/>
              <w:t>позиції на тимчасовій або постійній основі згідно з потребами конкретного випадку, а також, у разі якщо така особа не виконала зазначену вимогу, вживати в односторонньому порядку</w:t>
            </w:r>
            <w:r w:rsidRPr="00286216" w:rsidDel="004C381D">
              <w:rPr>
                <w:color w:val="000000" w:themeColor="text1"/>
              </w:rPr>
              <w:t xml:space="preserve"> </w:t>
            </w:r>
            <w:r w:rsidRPr="00286216">
              <w:rPr>
                <w:color w:val="000000" w:themeColor="text1"/>
              </w:rPr>
              <w:t>заходи для забезпечення закриття або зменшення позиції;</w:t>
            </w:r>
          </w:p>
          <w:p w14:paraId="1D21879B" w14:textId="77777777" w:rsidR="00291EAB" w:rsidRPr="00286216" w:rsidRDefault="00291EAB" w:rsidP="00291EAB">
            <w:pPr>
              <w:pStyle w:val="StyleZakonu"/>
              <w:rPr>
                <w:color w:val="000000" w:themeColor="text1"/>
              </w:rPr>
            </w:pPr>
            <w:r w:rsidRPr="00286216">
              <w:rPr>
                <w:color w:val="000000" w:themeColor="text1"/>
              </w:rPr>
              <w:t>4) у необхідних випадках вимагати від особи тимчасового повернення ліквідності на ринок за погодженою ціною та у погодженому обсязі з чітко вираженим наміром зменшити вплив великої чи переважної позиції.</w:t>
            </w:r>
          </w:p>
          <w:p w14:paraId="2A5BFD0F" w14:textId="77777777" w:rsidR="00291EAB" w:rsidRPr="00286216" w:rsidRDefault="00291EAB" w:rsidP="00291EAB">
            <w:pPr>
              <w:pStyle w:val="StyleZakonu"/>
              <w:rPr>
                <w:color w:val="000000" w:themeColor="text1"/>
              </w:rPr>
            </w:pPr>
            <w:r w:rsidRPr="00286216">
              <w:rPr>
                <w:color w:val="000000" w:themeColor="text1"/>
              </w:rPr>
              <w:t>Правила функціонування організованого ринку деривативних контрактів можуть передбачати порядок сплати сторонами деривативного контракту одна одній грошових коштів у сумі, розмір якої залежить від зміни значення базового показника (початкова та варіаційна маржа), якщо це передбачено відповідними специфікаціями.</w:t>
            </w:r>
          </w:p>
        </w:tc>
      </w:tr>
      <w:tr w:rsidR="00291EAB" w:rsidRPr="00286216" w14:paraId="7D11ADEB" w14:textId="77777777" w:rsidTr="00091AA5">
        <w:tc>
          <w:tcPr>
            <w:tcW w:w="576" w:type="dxa"/>
          </w:tcPr>
          <w:p w14:paraId="175BDB76" w14:textId="77777777" w:rsidR="00291EAB" w:rsidRPr="00286216" w:rsidRDefault="00291EAB" w:rsidP="00291EAB">
            <w:pPr>
              <w:pStyle w:val="StyleWisnow"/>
              <w:rPr>
                <w:color w:val="000000" w:themeColor="text1"/>
              </w:rPr>
            </w:pPr>
            <w:r w:rsidRPr="00286216">
              <w:rPr>
                <w:color w:val="000000" w:themeColor="text1"/>
              </w:rPr>
              <w:lastRenderedPageBreak/>
              <w:t>964.</w:t>
            </w:r>
          </w:p>
        </w:tc>
        <w:tc>
          <w:tcPr>
            <w:tcW w:w="4818" w:type="dxa"/>
          </w:tcPr>
          <w:p w14:paraId="39FEFB16" w14:textId="77777777" w:rsidR="00291EAB" w:rsidRPr="00286216" w:rsidRDefault="00291EAB" w:rsidP="00291EAB">
            <w:pPr>
              <w:pStyle w:val="StyleZakonu"/>
              <w:rPr>
                <w:color w:val="000000" w:themeColor="text1"/>
              </w:rPr>
            </w:pPr>
            <w:r w:rsidRPr="00286216">
              <w:rPr>
                <w:color w:val="000000" w:themeColor="text1"/>
              </w:rPr>
              <w:t>7. Порядок реєстрації правил функціонування організованого ринку встановлюється Національною комісією з цінних паперів та фондового ринку.</w:t>
            </w:r>
          </w:p>
        </w:tc>
        <w:tc>
          <w:tcPr>
            <w:tcW w:w="3686" w:type="dxa"/>
          </w:tcPr>
          <w:p w14:paraId="05F33DD5" w14:textId="004285B4"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533</w:t>
            </w:r>
            <w:r w:rsidRPr="00286216">
              <w:rPr>
                <w:color w:val="000000" w:themeColor="text1"/>
              </w:rPr>
              <w:fldChar w:fldCharType="end"/>
            </w:r>
            <w:r w:rsidRPr="00286216">
              <w:rPr>
                <w:color w:val="000000" w:themeColor="text1"/>
              </w:rPr>
              <w:t>-Н.д.Шахов С.В. (Реєстр.картка №114)</w:t>
            </w:r>
          </w:p>
          <w:p w14:paraId="5F97C8C1" w14:textId="77777777" w:rsidR="00291EAB" w:rsidRPr="00286216" w:rsidRDefault="00291EAB" w:rsidP="00291EAB">
            <w:pPr>
              <w:pStyle w:val="StyleProp"/>
              <w:rPr>
                <w:color w:val="000000" w:themeColor="text1"/>
                <w:szCs w:val="18"/>
              </w:rPr>
            </w:pPr>
            <w:r w:rsidRPr="00286216">
              <w:rPr>
                <w:color w:val="000000" w:themeColor="text1"/>
              </w:rPr>
              <w:t>У статті 50 у частині 7 слова «Національною комісією з цінних паперів та фондового ринку» словами «регулятором відповідного ринку».</w:t>
            </w:r>
          </w:p>
        </w:tc>
        <w:tc>
          <w:tcPr>
            <w:tcW w:w="1987" w:type="dxa"/>
          </w:tcPr>
          <w:p w14:paraId="5CFD6CAD"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013F1D84" w14:textId="77777777" w:rsidR="00291EAB" w:rsidRPr="00286216" w:rsidRDefault="00291EAB" w:rsidP="00291EAB">
            <w:pPr>
              <w:pStyle w:val="StyleWisnow"/>
              <w:spacing w:line="180" w:lineRule="exact"/>
              <w:rPr>
                <w:color w:val="000000" w:themeColor="text1"/>
              </w:rPr>
            </w:pPr>
            <w:r w:rsidRPr="00286216">
              <w:rPr>
                <w:color w:val="000000" w:themeColor="text1"/>
              </w:rPr>
              <w:t>єдиний регулятор організованого ринка НКЦПФР</w:t>
            </w:r>
          </w:p>
        </w:tc>
        <w:tc>
          <w:tcPr>
            <w:tcW w:w="4818" w:type="dxa"/>
          </w:tcPr>
          <w:p w14:paraId="6D5BFD4F" w14:textId="18B64192" w:rsidR="00291EAB" w:rsidRPr="00286216" w:rsidRDefault="00291EAB" w:rsidP="00291EAB">
            <w:pPr>
              <w:pStyle w:val="StyleZakonu"/>
              <w:rPr>
                <w:color w:val="000000" w:themeColor="text1"/>
              </w:rPr>
            </w:pPr>
          </w:p>
        </w:tc>
      </w:tr>
      <w:tr w:rsidR="00806997" w:rsidRPr="00286216" w14:paraId="0E94AA9B" w14:textId="77777777" w:rsidTr="00091AA5">
        <w:tc>
          <w:tcPr>
            <w:tcW w:w="576" w:type="dxa"/>
          </w:tcPr>
          <w:p w14:paraId="2A49FD3E" w14:textId="77777777" w:rsidR="00806997" w:rsidRPr="00286216" w:rsidRDefault="00806997" w:rsidP="00806997">
            <w:pPr>
              <w:pStyle w:val="StyleWisnow"/>
              <w:rPr>
                <w:color w:val="000000" w:themeColor="text1"/>
              </w:rPr>
            </w:pPr>
            <w:bookmarkStart w:id="675" w:name="n965" w:colFirst="0" w:colLast="0"/>
            <w:r w:rsidRPr="00286216">
              <w:rPr>
                <w:color w:val="000000" w:themeColor="text1"/>
              </w:rPr>
              <w:t>965.</w:t>
            </w:r>
          </w:p>
        </w:tc>
        <w:tc>
          <w:tcPr>
            <w:tcW w:w="4818" w:type="dxa"/>
          </w:tcPr>
          <w:p w14:paraId="73850A83" w14:textId="77777777" w:rsidR="00806997" w:rsidRPr="00286216" w:rsidRDefault="00806997" w:rsidP="00806997">
            <w:pPr>
              <w:pStyle w:val="StyleZakonu"/>
              <w:rPr>
                <w:color w:val="000000" w:themeColor="text1"/>
              </w:rPr>
            </w:pPr>
            <w:r w:rsidRPr="00286216">
              <w:rPr>
                <w:color w:val="000000" w:themeColor="text1"/>
              </w:rPr>
              <w:t>Стаття 51. Перелік організованих ринків</w:t>
            </w:r>
          </w:p>
        </w:tc>
        <w:tc>
          <w:tcPr>
            <w:tcW w:w="3686" w:type="dxa"/>
          </w:tcPr>
          <w:p w14:paraId="51F13F5F" w14:textId="77777777" w:rsidR="00806997" w:rsidRPr="00286216" w:rsidRDefault="00806997" w:rsidP="00806997">
            <w:pPr>
              <w:pStyle w:val="StyleProp"/>
              <w:rPr>
                <w:color w:val="000000" w:themeColor="text1"/>
                <w:szCs w:val="18"/>
              </w:rPr>
            </w:pPr>
          </w:p>
        </w:tc>
        <w:tc>
          <w:tcPr>
            <w:tcW w:w="1987" w:type="dxa"/>
          </w:tcPr>
          <w:p w14:paraId="2F18FC0D" w14:textId="77777777" w:rsidR="00806997" w:rsidRPr="00286216" w:rsidRDefault="00806997" w:rsidP="00806997">
            <w:pPr>
              <w:pStyle w:val="StyleWisnow"/>
              <w:spacing w:line="180" w:lineRule="exact"/>
              <w:rPr>
                <w:color w:val="000000" w:themeColor="text1"/>
              </w:rPr>
            </w:pPr>
          </w:p>
        </w:tc>
        <w:tc>
          <w:tcPr>
            <w:tcW w:w="4818" w:type="dxa"/>
          </w:tcPr>
          <w:p w14:paraId="6C8A3EB6" w14:textId="19ABD9CF" w:rsidR="00806997" w:rsidRPr="00286216" w:rsidRDefault="00806997" w:rsidP="00806997">
            <w:pPr>
              <w:pStyle w:val="StyleZakonu"/>
              <w:rPr>
                <w:color w:val="000000" w:themeColor="text1"/>
              </w:rPr>
            </w:pPr>
            <w:r w:rsidRPr="00286216">
              <w:rPr>
                <w:color w:val="000000" w:themeColor="text1"/>
              </w:rPr>
              <w:t>Стаття 54. Перелік організованих ринків</w:t>
            </w:r>
          </w:p>
        </w:tc>
      </w:tr>
      <w:tr w:rsidR="00806997" w:rsidRPr="00286216" w14:paraId="3E617293" w14:textId="77777777" w:rsidTr="00091AA5">
        <w:tc>
          <w:tcPr>
            <w:tcW w:w="576" w:type="dxa"/>
          </w:tcPr>
          <w:p w14:paraId="7861B1BB" w14:textId="77777777" w:rsidR="00806997" w:rsidRPr="00286216" w:rsidRDefault="00806997" w:rsidP="00806997">
            <w:pPr>
              <w:pStyle w:val="StyleWisnow"/>
              <w:rPr>
                <w:color w:val="000000" w:themeColor="text1"/>
              </w:rPr>
            </w:pPr>
            <w:bookmarkStart w:id="676" w:name="n966" w:colFirst="0" w:colLast="0"/>
            <w:bookmarkEnd w:id="675"/>
            <w:r w:rsidRPr="00286216">
              <w:rPr>
                <w:color w:val="000000" w:themeColor="text1"/>
              </w:rPr>
              <w:t>966.</w:t>
            </w:r>
          </w:p>
        </w:tc>
        <w:tc>
          <w:tcPr>
            <w:tcW w:w="4818" w:type="dxa"/>
          </w:tcPr>
          <w:p w14:paraId="56EC4054" w14:textId="77777777" w:rsidR="00806997" w:rsidRPr="00286216" w:rsidRDefault="00806997" w:rsidP="00806997">
            <w:pPr>
              <w:pStyle w:val="StyleZakonu"/>
              <w:rPr>
                <w:color w:val="000000" w:themeColor="text1"/>
              </w:rPr>
            </w:pPr>
            <w:r w:rsidRPr="00286216">
              <w:rPr>
                <w:color w:val="000000" w:themeColor="text1"/>
              </w:rPr>
              <w:t>1. Національна комісія з цінних паперів та фондового ринку у встановленому нею порядку веде та оприлюднює на своєму офіційному сайті перелік організованих ринків, які функціонують на території України та їх операторів.</w:t>
            </w:r>
          </w:p>
        </w:tc>
        <w:tc>
          <w:tcPr>
            <w:tcW w:w="3686" w:type="dxa"/>
          </w:tcPr>
          <w:p w14:paraId="406CB7D9" w14:textId="66183001" w:rsidR="00806997" w:rsidRPr="00286216" w:rsidRDefault="00806997" w:rsidP="0080699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534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5D5D7CD" w14:textId="77777777" w:rsidR="00806997" w:rsidRPr="00286216" w:rsidRDefault="00806997" w:rsidP="00806997">
            <w:pPr>
              <w:pStyle w:val="StyleProp"/>
              <w:rPr>
                <w:color w:val="000000" w:themeColor="text1"/>
              </w:rPr>
            </w:pPr>
            <w:r w:rsidRPr="00286216">
              <w:rPr>
                <w:color w:val="000000" w:themeColor="text1"/>
              </w:rPr>
              <w:t>В частині першій статті 51 слово «сайті» замінити словом «веб-сайті»</w:t>
            </w:r>
          </w:p>
          <w:p w14:paraId="17C49064" w14:textId="327F6600"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535</w:t>
            </w:r>
            <w:r w:rsidRPr="00286216">
              <w:rPr>
                <w:color w:val="000000" w:themeColor="text1"/>
              </w:rPr>
              <w:fldChar w:fldCharType="end"/>
            </w:r>
            <w:r w:rsidRPr="00286216">
              <w:rPr>
                <w:color w:val="000000" w:themeColor="text1"/>
              </w:rPr>
              <w:t>-Н.д.Шахов С.В. (Реєстр.картка №114)</w:t>
            </w:r>
          </w:p>
          <w:p w14:paraId="6AE419A7" w14:textId="77777777" w:rsidR="00806997" w:rsidRPr="00286216" w:rsidRDefault="00806997" w:rsidP="00806997">
            <w:pPr>
              <w:spacing w:line="200" w:lineRule="exact"/>
              <w:ind w:firstLine="227"/>
              <w:jc w:val="both"/>
              <w:rPr>
                <w:color w:val="000000" w:themeColor="text1"/>
                <w:sz w:val="18"/>
              </w:rPr>
            </w:pPr>
            <w:r w:rsidRPr="00286216">
              <w:rPr>
                <w:color w:val="000000" w:themeColor="text1"/>
                <w:sz w:val="18"/>
              </w:rPr>
              <w:t>У частині 1 статті 51 слова «Національна комісія з цінних паперів та фондового ринку» словами «регулятор відповідного ринку», а слово "нею" – словом "ним".</w:t>
            </w:r>
          </w:p>
        </w:tc>
        <w:tc>
          <w:tcPr>
            <w:tcW w:w="1987" w:type="dxa"/>
          </w:tcPr>
          <w:p w14:paraId="4BB906E4" w14:textId="77777777" w:rsidR="00806997" w:rsidRPr="00286216" w:rsidRDefault="00806997" w:rsidP="00806997">
            <w:pPr>
              <w:pStyle w:val="StyleWisnow"/>
              <w:spacing w:line="180" w:lineRule="exact"/>
              <w:rPr>
                <w:color w:val="000000" w:themeColor="text1"/>
              </w:rPr>
            </w:pPr>
            <w:r w:rsidRPr="00286216">
              <w:rPr>
                <w:color w:val="000000" w:themeColor="text1"/>
              </w:rPr>
              <w:t>Враховано</w:t>
            </w:r>
          </w:p>
          <w:p w14:paraId="144A2FF9" w14:textId="77777777" w:rsidR="00806997" w:rsidRPr="00286216" w:rsidRDefault="00806997" w:rsidP="00806997">
            <w:pPr>
              <w:pStyle w:val="StyleWisnow"/>
              <w:spacing w:line="180" w:lineRule="exact"/>
              <w:rPr>
                <w:color w:val="000000" w:themeColor="text1"/>
              </w:rPr>
            </w:pPr>
          </w:p>
          <w:p w14:paraId="7D1F2072" w14:textId="23092333" w:rsidR="00806997" w:rsidRPr="00286216" w:rsidRDefault="00806997" w:rsidP="00806997">
            <w:pPr>
              <w:pStyle w:val="StyleWisnow"/>
              <w:spacing w:line="180" w:lineRule="exact"/>
              <w:rPr>
                <w:color w:val="000000" w:themeColor="text1"/>
              </w:rPr>
            </w:pPr>
          </w:p>
          <w:p w14:paraId="30983332" w14:textId="77777777" w:rsidR="00806997" w:rsidRPr="00286216" w:rsidRDefault="00806997" w:rsidP="00806997">
            <w:pPr>
              <w:pStyle w:val="StyleWisnow"/>
              <w:spacing w:line="180" w:lineRule="exact"/>
              <w:rPr>
                <w:color w:val="000000" w:themeColor="text1"/>
              </w:rPr>
            </w:pPr>
          </w:p>
          <w:p w14:paraId="2E2CB013" w14:textId="77777777" w:rsidR="00806997" w:rsidRPr="00286216" w:rsidRDefault="00806997" w:rsidP="00806997">
            <w:pPr>
              <w:pStyle w:val="StyleWisnow"/>
              <w:spacing w:line="180" w:lineRule="exact"/>
              <w:rPr>
                <w:color w:val="000000" w:themeColor="text1"/>
              </w:rPr>
            </w:pPr>
            <w:r w:rsidRPr="00286216">
              <w:rPr>
                <w:color w:val="000000" w:themeColor="text1"/>
              </w:rPr>
              <w:t>Відхилено</w:t>
            </w:r>
          </w:p>
          <w:p w14:paraId="036B89B8" w14:textId="77777777" w:rsidR="00806997" w:rsidRPr="00286216" w:rsidRDefault="00806997" w:rsidP="00806997">
            <w:pPr>
              <w:pStyle w:val="StyleWisnow"/>
              <w:spacing w:line="180" w:lineRule="exact"/>
              <w:rPr>
                <w:color w:val="000000" w:themeColor="text1"/>
              </w:rPr>
            </w:pPr>
            <w:r w:rsidRPr="00286216">
              <w:rPr>
                <w:color w:val="000000" w:themeColor="text1"/>
              </w:rPr>
              <w:t>організовані ринки належать до компетенції НКЦПФР</w:t>
            </w:r>
          </w:p>
        </w:tc>
        <w:tc>
          <w:tcPr>
            <w:tcW w:w="4818" w:type="dxa"/>
          </w:tcPr>
          <w:p w14:paraId="4F8F0FE4" w14:textId="65D133A3" w:rsidR="00806997" w:rsidRPr="00286216" w:rsidRDefault="00806997" w:rsidP="00806997">
            <w:pPr>
              <w:pStyle w:val="StyleZakonu"/>
              <w:rPr>
                <w:color w:val="000000" w:themeColor="text1"/>
              </w:rPr>
            </w:pPr>
            <w:r w:rsidRPr="00286216">
              <w:rPr>
                <w:color w:val="000000" w:themeColor="text1"/>
              </w:rPr>
              <w:t>1. Національна комісія з цінних паперів та фондового ринку у встановленому нею порядку веде та оприлюднює на своєму офіційному веб-сайті перелік організованих ринків, що функціонують на території України, та їх операторів.</w:t>
            </w:r>
          </w:p>
        </w:tc>
      </w:tr>
      <w:tr w:rsidR="00806997" w:rsidRPr="00286216" w14:paraId="5340438F" w14:textId="77777777" w:rsidTr="00091AA5">
        <w:tc>
          <w:tcPr>
            <w:tcW w:w="576" w:type="dxa"/>
          </w:tcPr>
          <w:p w14:paraId="3B753596" w14:textId="77777777" w:rsidR="00806997" w:rsidRPr="00286216" w:rsidRDefault="00806997" w:rsidP="00806997">
            <w:pPr>
              <w:pStyle w:val="StyleWisnow"/>
              <w:rPr>
                <w:color w:val="000000" w:themeColor="text1"/>
              </w:rPr>
            </w:pPr>
          </w:p>
        </w:tc>
        <w:tc>
          <w:tcPr>
            <w:tcW w:w="4818" w:type="dxa"/>
          </w:tcPr>
          <w:p w14:paraId="1A95A093" w14:textId="77777777" w:rsidR="00806997" w:rsidRPr="00286216" w:rsidRDefault="00806997" w:rsidP="00806997">
            <w:pPr>
              <w:pStyle w:val="StyleZakonu"/>
              <w:rPr>
                <w:color w:val="000000" w:themeColor="text1"/>
              </w:rPr>
            </w:pPr>
          </w:p>
        </w:tc>
        <w:tc>
          <w:tcPr>
            <w:tcW w:w="3686" w:type="dxa"/>
          </w:tcPr>
          <w:p w14:paraId="793DDC26" w14:textId="24EFF9F4" w:rsidR="00806997" w:rsidRPr="00286216" w:rsidRDefault="00806997" w:rsidP="0080699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536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5339936" w14:textId="77777777" w:rsidR="00806997" w:rsidRPr="00286216" w:rsidRDefault="00806997" w:rsidP="00806997">
            <w:pPr>
              <w:pStyle w:val="StyleProp"/>
              <w:spacing w:line="190" w:lineRule="exact"/>
              <w:rPr>
                <w:color w:val="000000" w:themeColor="text1"/>
              </w:rPr>
            </w:pPr>
            <w:r w:rsidRPr="00286216">
              <w:rPr>
                <w:color w:val="000000" w:themeColor="text1"/>
              </w:rPr>
              <w:t>Доповнити статтею такого змісту:</w:t>
            </w:r>
          </w:p>
          <w:p w14:paraId="37898CC0" w14:textId="77777777" w:rsidR="00806997" w:rsidRPr="00286216" w:rsidRDefault="00806997" w:rsidP="00806997">
            <w:pPr>
              <w:pStyle w:val="StyleProp"/>
              <w:spacing w:line="190" w:lineRule="exact"/>
              <w:rPr>
                <w:color w:val="000000" w:themeColor="text1"/>
              </w:rPr>
            </w:pPr>
            <w:r w:rsidRPr="00286216">
              <w:rPr>
                <w:color w:val="000000" w:themeColor="text1"/>
              </w:rPr>
              <w:t>"Стаття 51-1. Алгоритмічна торгівля</w:t>
            </w:r>
          </w:p>
          <w:p w14:paraId="1EA00907" w14:textId="6D68E7BC" w:rsidR="00806997" w:rsidRPr="00286216" w:rsidRDefault="00806997" w:rsidP="00806997">
            <w:pPr>
              <w:pStyle w:val="StyleProp"/>
              <w:spacing w:line="190" w:lineRule="exact"/>
              <w:rPr>
                <w:color w:val="000000" w:themeColor="text1"/>
              </w:rPr>
            </w:pPr>
            <w:r w:rsidRPr="00286216">
              <w:rPr>
                <w:color w:val="000000" w:themeColor="text1"/>
              </w:rPr>
              <w:t xml:space="preserve">1. Алгоритмічна торгівля – торгівля фінансовими інструментами, що проводиться у спосіб, що передбачає автоматичне (з обмеженим втручанням людини або без такого втручання) виконання комп’ютерним алгоритмом наступних функцій щодо визначення індивідуальних параметрів  заявок або котирувань, зокрема:  встановлення наявності обставин, що свідчать про необхідність ініціювання заявок або котирувань, визначення моменту ініціювання заявок або котирувань, надсилання заявок або котирувань, </w:t>
            </w:r>
            <w:r w:rsidRPr="00286216">
              <w:rPr>
                <w:color w:val="000000" w:themeColor="text1"/>
              </w:rPr>
              <w:lastRenderedPageBreak/>
              <w:t>визначення ціни або кількості фінансових інструментів, що є предметом заявок або котирувань, або дій, що потрібно вчинити з заявками або котируваннями після їх надсилання.</w:t>
            </w:r>
          </w:p>
          <w:p w14:paraId="7C87205D" w14:textId="77777777" w:rsidR="00806997" w:rsidRPr="00286216" w:rsidRDefault="00806997" w:rsidP="00806997">
            <w:pPr>
              <w:pStyle w:val="StyleProp"/>
              <w:spacing w:line="190" w:lineRule="exact"/>
              <w:rPr>
                <w:color w:val="000000" w:themeColor="text1"/>
              </w:rPr>
            </w:pPr>
            <w:r w:rsidRPr="00286216">
              <w:rPr>
                <w:color w:val="000000" w:themeColor="text1"/>
              </w:rPr>
              <w:t>Не є алгоритмічною торгівлею діяльність інформаційно-телекомунікаційних систем, що використовуються виключно для таких цілей:</w:t>
            </w:r>
          </w:p>
          <w:p w14:paraId="66F19348"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1) визначення маршруту прямування заявок або котирувань при їх надсиланні до багатосторонньої системи одного чи більше організованих ринків; </w:t>
            </w:r>
          </w:p>
          <w:p w14:paraId="5CAC28F7" w14:textId="77777777" w:rsidR="00806997" w:rsidRPr="00286216" w:rsidRDefault="00806997" w:rsidP="00806997">
            <w:pPr>
              <w:pStyle w:val="StyleProp"/>
              <w:spacing w:line="190" w:lineRule="exact"/>
              <w:rPr>
                <w:color w:val="000000" w:themeColor="text1"/>
              </w:rPr>
            </w:pPr>
            <w:r w:rsidRPr="00286216">
              <w:rPr>
                <w:color w:val="000000" w:themeColor="text1"/>
              </w:rPr>
              <w:t>2) обробки заявок або котирувань, що не передбачає визначення будь-яких параметрів заявок або котирувань;</w:t>
            </w:r>
          </w:p>
          <w:p w14:paraId="53AC7694"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3) підтвердження заявок або котирувань; </w:t>
            </w:r>
          </w:p>
          <w:p w14:paraId="1A4DE65B" w14:textId="77777777" w:rsidR="00806997" w:rsidRPr="00286216" w:rsidRDefault="00806997" w:rsidP="00806997">
            <w:pPr>
              <w:pStyle w:val="StyleProp"/>
              <w:spacing w:line="190" w:lineRule="exact"/>
              <w:rPr>
                <w:color w:val="000000" w:themeColor="text1"/>
              </w:rPr>
            </w:pPr>
            <w:r w:rsidRPr="00286216">
              <w:rPr>
                <w:color w:val="000000" w:themeColor="text1"/>
              </w:rPr>
              <w:t>4) проведення обробки даних щодо виконаних операцій за результатами торгів.</w:t>
            </w:r>
          </w:p>
          <w:p w14:paraId="398AFBB0" w14:textId="77777777" w:rsidR="00806997" w:rsidRPr="00286216" w:rsidRDefault="00806997" w:rsidP="00806997">
            <w:pPr>
              <w:pStyle w:val="StyleProp"/>
              <w:spacing w:line="190" w:lineRule="exact"/>
              <w:rPr>
                <w:color w:val="000000" w:themeColor="text1"/>
              </w:rPr>
            </w:pPr>
            <w:r w:rsidRPr="00286216">
              <w:rPr>
                <w:color w:val="000000" w:themeColor="text1"/>
              </w:rPr>
              <w:t>2. Високочастотна торгівля – техніка алгоритмічної торгівлі, що характеризується такими ознаками:</w:t>
            </w:r>
          </w:p>
          <w:p w14:paraId="23E6657B"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1) використання інвестиційною фірмою для проведення торгівлі інфраструктури інформаційно-телекомунікаційної системи, призначеної для зведення до мінімуму мережевих та інших типів затримок обміну інформацією (включаючи надсилання заявок або котирувань) з багатосторонньою системою організованого ринку. Така інфраструктура включає можливість використання щонайменше одного з таких способів зведення до мінімуму зазначених затримок: </w:t>
            </w:r>
          </w:p>
          <w:p w14:paraId="58CFF1A7"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а) колокація – спосіб зведення до мінімуму мережевих та інших типів затримок обміну інформацією з багатосторонньою системою організованого ринку за якого для визначення індивідуальних параметрів заявок або котируваньв результаті виконання комп’ютерного алгоритму, передбаченого частиною першою цієї статті, інвестиційною фірмою використовується власне апаратне забезпечення, розташоване в безпосередній близькості від багатосторонньої системи організованого ринку та з’єднане з такою багатосторонньою системою мережею; </w:t>
            </w:r>
          </w:p>
          <w:p w14:paraId="3C7688EE"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б) проксіміті-хостинг – спосіб зведення до мінімуму мережевих та інших типів затримок обміну інформацією з багатосторонньою системою організованого ринку за якого для визначення індивідуальних параметрів заявок або котирувань в результаті виконання </w:t>
            </w:r>
            <w:r w:rsidRPr="00286216">
              <w:rPr>
                <w:color w:val="000000" w:themeColor="text1"/>
              </w:rPr>
              <w:lastRenderedPageBreak/>
              <w:t>комп’ютерного алгоритму, передбаченого частиною першою цієї статті, інвестиційною фірмою використовується апаратне забезпечення, що належить третім особам, та розташоване в безпосередній близькості від багатосторонньої системи організованого ринку та з’єднане з такою багатосторонньою системою мережею ;</w:t>
            </w:r>
          </w:p>
          <w:p w14:paraId="2A6FF691" w14:textId="77777777" w:rsidR="00806997" w:rsidRPr="00286216" w:rsidRDefault="00806997" w:rsidP="00806997">
            <w:pPr>
              <w:pStyle w:val="StyleProp"/>
              <w:spacing w:line="190" w:lineRule="exact"/>
              <w:rPr>
                <w:color w:val="000000" w:themeColor="text1"/>
              </w:rPr>
            </w:pPr>
            <w:r w:rsidRPr="00286216">
              <w:rPr>
                <w:color w:val="000000" w:themeColor="text1"/>
              </w:rPr>
              <w:t>в) прямий електронний доступ – спосіб зведення до мінімуму мережевих та інших типів затримок обміну інформацією з багатосторонньою системою організованого ринку за якого для організації надсилання заявок або котирувань щодо фінансових інструментів безпосередньо до багатосторонньої системи організованого ринку інвестиційна фірма надає своїм клієнтам дозвіл на використання кодів, що застосовуються для ідентифікації такої фірми як учасника організованого ринку, з наданням у користування програмного та апаратного забезпечення, що використовується інвестиційною фірмою як учасником організованого ринку для надсилання до його багатосторонньої системи наказів та/або розпоряджень (прямий доступ), або без наданням у користування такого програмного та апаратного забезпечення (спонсорований доступ).</w:t>
            </w:r>
          </w:p>
          <w:p w14:paraId="2452E5EE" w14:textId="77777777" w:rsidR="00806997" w:rsidRPr="00286216" w:rsidRDefault="00806997" w:rsidP="00806997">
            <w:pPr>
              <w:pStyle w:val="StyleProp"/>
              <w:spacing w:line="190" w:lineRule="exact"/>
              <w:rPr>
                <w:color w:val="000000" w:themeColor="text1"/>
              </w:rPr>
            </w:pPr>
            <w:r w:rsidRPr="00286216">
              <w:rPr>
                <w:color w:val="000000" w:themeColor="text1"/>
              </w:rPr>
              <w:t>2) здійснення інформаційно-телекомунікаційною системою в результаті виконання комп’ютерного алгоритму ініціювання, формування, надсилання, визначення маршруту прямування наказів та/або розпоряджень до багатосторонньої системи одного чи більше організованих ринків, чи виконання заявок або котирувань. При цьому такі дії проводиться без втручання людини щодо кожної окремої заявки або котирування;</w:t>
            </w:r>
          </w:p>
          <w:p w14:paraId="1B4B995B" w14:textId="77777777" w:rsidR="00806997" w:rsidRPr="00286216" w:rsidRDefault="00806997" w:rsidP="00806997">
            <w:pPr>
              <w:pStyle w:val="StyleProp"/>
              <w:spacing w:line="190" w:lineRule="exact"/>
              <w:rPr>
                <w:color w:val="000000" w:themeColor="text1"/>
              </w:rPr>
            </w:pPr>
            <w:r w:rsidRPr="00286216">
              <w:rPr>
                <w:color w:val="000000" w:themeColor="text1"/>
              </w:rPr>
              <w:t>3) великі внутрішньодобові обсяги повідомлень, а саме: будь-яких котирувань маркет-мейкера, заявок або котирувань інших учасників торгів, або їх скасувань.</w:t>
            </w:r>
          </w:p>
          <w:p w14:paraId="3E46ECE2"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Великими є внутрішньодобові обсяги, за яких виконується будь-яка з наступних умов: </w:t>
            </w:r>
          </w:p>
          <w:p w14:paraId="41FA761D"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1) надсилання в середньому щонайменше 2 повідомлення у секунду щодо будь-якого окремого фінансового інструменту, що допущений до торгів на організованому ринку; </w:t>
            </w:r>
          </w:p>
          <w:p w14:paraId="40921279"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2) надсилання в середньому щонайменше </w:t>
            </w:r>
            <w:r w:rsidRPr="00286216">
              <w:rPr>
                <w:color w:val="000000" w:themeColor="text1"/>
              </w:rPr>
              <w:lastRenderedPageBreak/>
              <w:t>4 повідомлення в секунду щодо усіх фінансових інструментів, що допущені до торгів на організованому ринку.</w:t>
            </w:r>
          </w:p>
          <w:p w14:paraId="3EDB80ED" w14:textId="77777777" w:rsidR="00806997" w:rsidRPr="00286216" w:rsidRDefault="00806997" w:rsidP="00806997">
            <w:pPr>
              <w:pStyle w:val="StyleProp"/>
              <w:spacing w:line="190" w:lineRule="exact"/>
              <w:rPr>
                <w:color w:val="000000" w:themeColor="text1"/>
              </w:rPr>
            </w:pPr>
            <w:r w:rsidRPr="00286216">
              <w:rPr>
                <w:color w:val="000000" w:themeColor="text1"/>
              </w:rPr>
              <w:t>3. Інвестиційна фірма, що має намір здійснювати алгоритмічну торгівлю, зобов’язана у довільній формі офіційним каналом зв’язку повідомити Національну комісію з цінних паперів та фондового ринку про такий намір до першого визначення індивідуальних параметрів заявок або котирувань в результаті виконання комп’ютерного алгоритму.</w:t>
            </w:r>
          </w:p>
          <w:p w14:paraId="05EDDD31" w14:textId="77777777" w:rsidR="00806997" w:rsidRPr="00286216" w:rsidRDefault="00806997" w:rsidP="00806997">
            <w:pPr>
              <w:pStyle w:val="StyleProp"/>
              <w:spacing w:line="190" w:lineRule="exact"/>
              <w:rPr>
                <w:color w:val="000000" w:themeColor="text1"/>
              </w:rPr>
            </w:pPr>
            <w:r w:rsidRPr="00286216">
              <w:rPr>
                <w:color w:val="000000" w:themeColor="text1"/>
              </w:rPr>
              <w:t>Інвестиційна фірма, що має намір здійснювати алгоритмічну торгівлю, зобов’язана у довільній формі повідомити оператора організованого ринку про такий намір до першого визначення індивідуальних параметрів заявок або котирувань в результаті виконання комп’ютерного алгоритму.</w:t>
            </w:r>
          </w:p>
          <w:p w14:paraId="114B5328" w14:textId="77777777" w:rsidR="00806997" w:rsidRPr="00286216" w:rsidRDefault="00806997" w:rsidP="00806997">
            <w:pPr>
              <w:pStyle w:val="StyleProp"/>
              <w:spacing w:line="190" w:lineRule="exact"/>
              <w:rPr>
                <w:color w:val="000000" w:themeColor="text1"/>
              </w:rPr>
            </w:pPr>
            <w:r w:rsidRPr="00286216">
              <w:rPr>
                <w:color w:val="000000" w:themeColor="text1"/>
              </w:rPr>
              <w:t>4. Інвестиційна фірма, яка здійснює алгоритмічну торгівлю, організовує функціонування системи управління ризиками таким чином, щоб забезпечити, що інформаційно-телекомунікаційні системи, що використовуються нею для проведення торгівлі:</w:t>
            </w:r>
          </w:p>
          <w:p w14:paraId="11C1DB68" w14:textId="77777777" w:rsidR="00806997" w:rsidRPr="00286216" w:rsidRDefault="00806997" w:rsidP="00806997">
            <w:pPr>
              <w:pStyle w:val="StyleProp"/>
              <w:spacing w:line="190" w:lineRule="exact"/>
              <w:rPr>
                <w:color w:val="000000" w:themeColor="text1"/>
              </w:rPr>
            </w:pPr>
            <w:r w:rsidRPr="00286216">
              <w:rPr>
                <w:color w:val="000000" w:themeColor="text1"/>
              </w:rPr>
              <w:t>1) є стійкими до зовнішнього втручання;</w:t>
            </w:r>
          </w:p>
          <w:p w14:paraId="550AEF42" w14:textId="77777777" w:rsidR="00806997" w:rsidRPr="00286216" w:rsidRDefault="00806997" w:rsidP="00806997">
            <w:pPr>
              <w:pStyle w:val="StyleProp"/>
              <w:spacing w:line="190" w:lineRule="exact"/>
              <w:rPr>
                <w:color w:val="000000" w:themeColor="text1"/>
              </w:rPr>
            </w:pPr>
            <w:r w:rsidRPr="00286216">
              <w:rPr>
                <w:color w:val="000000" w:themeColor="text1"/>
              </w:rPr>
              <w:t>2) мають технічні можливості для забезпечення належного виконання операцій, безпосередньо пов’язаних з проведенням торгівлі (в тому числі алгоритмічної торгівлі);</w:t>
            </w:r>
          </w:p>
          <w:p w14:paraId="1F89A5F3" w14:textId="77777777" w:rsidR="00806997" w:rsidRPr="00286216" w:rsidRDefault="00806997" w:rsidP="00806997">
            <w:pPr>
              <w:pStyle w:val="StyleProp"/>
              <w:spacing w:line="190" w:lineRule="exact"/>
              <w:rPr>
                <w:color w:val="000000" w:themeColor="text1"/>
              </w:rPr>
            </w:pPr>
            <w:r w:rsidRPr="00286216">
              <w:rPr>
                <w:color w:val="000000" w:themeColor="text1"/>
              </w:rPr>
              <w:t>3) забезпечують дотримання у ході торгівлі лімітів та обмежень, встановлених оператором організованого ринку, учасником якого є інвестиційна фірма та правил такого ринку, а також лімітів та обмежень, встановлених інвестиційною фірмою зокрема на виконання внутрішніх документів, що регулюють управління ризиками інвестиційної фірми;</w:t>
            </w:r>
          </w:p>
          <w:p w14:paraId="7EB00F20" w14:textId="77777777" w:rsidR="00806997" w:rsidRPr="00286216" w:rsidRDefault="00806997" w:rsidP="00806997">
            <w:pPr>
              <w:pStyle w:val="StyleProp"/>
              <w:spacing w:line="190" w:lineRule="exact"/>
              <w:rPr>
                <w:color w:val="000000" w:themeColor="text1"/>
              </w:rPr>
            </w:pPr>
            <w:r w:rsidRPr="00286216">
              <w:rPr>
                <w:color w:val="000000" w:themeColor="text1"/>
              </w:rPr>
              <w:t>4) унеможливлюють надсилання помилкових заявок або котирувань та здійснення будь-яких операцій, що здатні спричинити ситуацію цінової нестабільності на організованому ринку, учасником якого є така інвестиційна фірма або іншим чином порушити цілісність ринків капіталу чи завдати шкоди інвесторам;</w:t>
            </w:r>
          </w:p>
          <w:p w14:paraId="43413323"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5) мінімізують можливість їх використання для цілей маніпулювання та/або незаконного використання </w:t>
            </w:r>
            <w:r w:rsidRPr="00286216">
              <w:rPr>
                <w:color w:val="000000" w:themeColor="text1"/>
              </w:rPr>
              <w:lastRenderedPageBreak/>
              <w:t>інсайдерської інформації.</w:t>
            </w:r>
          </w:p>
          <w:p w14:paraId="3753B0F0" w14:textId="77777777" w:rsidR="00806997" w:rsidRPr="00286216" w:rsidRDefault="00806997" w:rsidP="00806997">
            <w:pPr>
              <w:pStyle w:val="StyleProp"/>
              <w:spacing w:line="190" w:lineRule="exact"/>
              <w:rPr>
                <w:color w:val="000000" w:themeColor="text1"/>
              </w:rPr>
            </w:pPr>
            <w:r w:rsidRPr="00286216">
              <w:rPr>
                <w:color w:val="000000" w:themeColor="text1"/>
              </w:rPr>
              <w:t>Такі системи управління ризиками організовуються інвестиційною фірмою самостійно, залежно від масштабу і складності своєї діяльності, з врахуванням методичних рекомендацій, розроблених Національною комісією з цінних паперів та фондового ринку.</w:t>
            </w:r>
          </w:p>
          <w:p w14:paraId="20B7BE42" w14:textId="77777777" w:rsidR="00806997" w:rsidRPr="00286216" w:rsidRDefault="00806997" w:rsidP="00806997">
            <w:pPr>
              <w:pStyle w:val="StyleProp"/>
              <w:spacing w:line="190" w:lineRule="exact"/>
              <w:rPr>
                <w:color w:val="000000" w:themeColor="text1"/>
              </w:rPr>
            </w:pPr>
            <w:r w:rsidRPr="00286216">
              <w:rPr>
                <w:color w:val="000000" w:themeColor="text1"/>
              </w:rPr>
              <w:t>5. Інвестиційна фірма повинна мати резервні інформаційно-телекомунікаційні системи або інші ефективні засоби забезпечення безперервності своєї професійної діяльності на випадок виникнення збоїв у роботі основних інформаційно-телекомунікаційних систем, що використовуються нею для проведення торгівлі (в тому числі алгоритмічної торгівлі). Інвестиційна фірма зобов’язана забезпечити тестування таких засобів з метою перевірки їх працездатності та відповідності вимогам, передбаченим цією частиною:</w:t>
            </w:r>
          </w:p>
          <w:p w14:paraId="440AA000" w14:textId="2A6DDCAB" w:rsidR="00806997" w:rsidRPr="00286216" w:rsidRDefault="00806997" w:rsidP="00806997">
            <w:pPr>
              <w:pStyle w:val="StyleProp"/>
              <w:spacing w:line="190" w:lineRule="exact"/>
              <w:rPr>
                <w:color w:val="000000" w:themeColor="text1"/>
              </w:rPr>
            </w:pPr>
            <w:r w:rsidRPr="00286216">
              <w:rPr>
                <w:color w:val="000000" w:themeColor="text1"/>
              </w:rPr>
              <w:t>1) регулярно, але не рідше одного разу на рік;</w:t>
            </w:r>
          </w:p>
          <w:p w14:paraId="66A8F86A" w14:textId="77777777" w:rsidR="00806997" w:rsidRPr="00286216" w:rsidRDefault="00806997" w:rsidP="00806997">
            <w:pPr>
              <w:pStyle w:val="StyleProp"/>
              <w:spacing w:line="190" w:lineRule="exact"/>
              <w:rPr>
                <w:color w:val="000000" w:themeColor="text1"/>
              </w:rPr>
            </w:pPr>
            <w:r w:rsidRPr="00286216">
              <w:rPr>
                <w:color w:val="000000" w:themeColor="text1"/>
              </w:rPr>
              <w:t>2) при кожній зміні елементів інформаційно-телекомунікаційної системи, що має наслідком суттєві зміни її функціонування.</w:t>
            </w:r>
          </w:p>
          <w:p w14:paraId="7B4EE13B" w14:textId="77777777" w:rsidR="00806997" w:rsidRPr="00286216" w:rsidRDefault="00806997" w:rsidP="00806997">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розробляє та оприлюднює на своєму офіційному веб-сайті орієнтовний (невиключний) перелік суттєвих змін, поява (виявлення) яких може бути підставою для проведення тестування зазначених засобів.</w:t>
            </w:r>
          </w:p>
          <w:p w14:paraId="1C2395C3" w14:textId="77777777" w:rsidR="00806997" w:rsidRPr="00286216" w:rsidRDefault="00806997" w:rsidP="00806997">
            <w:pPr>
              <w:pStyle w:val="StyleProp"/>
              <w:spacing w:line="190" w:lineRule="exact"/>
              <w:rPr>
                <w:color w:val="000000" w:themeColor="text1"/>
              </w:rPr>
            </w:pPr>
            <w:r w:rsidRPr="00286216">
              <w:rPr>
                <w:color w:val="000000" w:themeColor="text1"/>
              </w:rPr>
              <w:t>Інвестиційна фірма має право звернутись до Національної комісії з цінних паперів та фондового ринку з запитом щодо визначення, чи є суттєвими зміни, які така інвестиційна фірма має намір внести до основних інформаційно-телекомунікаційних систем, що використовуються нею для проведення торгівлі. Національна комісія з цінних паперів та фондового ринку не має права застосовувати санкції за порушення вимог пункту 2 цієї частини у разі, якщо нею попередньо було надано відповідь інвестиційній фірмі, що відповідні зміни не є суттєвими.</w:t>
            </w:r>
          </w:p>
          <w:p w14:paraId="1C352119"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6. Інвестиційна фірма, що здійснює алгоритмічну торгівлю, зобов’язана організувати систему документообігу, що забезпечить збереження інформації щодо проведення нею алгоритмічної торгівлі, у </w:t>
            </w:r>
            <w:r w:rsidRPr="00286216">
              <w:rPr>
                <w:color w:val="000000" w:themeColor="text1"/>
              </w:rPr>
              <w:lastRenderedPageBreak/>
              <w:t>обсягах, достатніх для надання Національній комісії з цінних паперів та фондового ринку доказів виконання інвестиційною фірмою вимог цього Закону та відповідних нормативно-правових актів Національної комісії з цінних паперів та фондового ринку, що регулюють проведення алгоритмічної торгівлі.</w:t>
            </w:r>
          </w:p>
          <w:p w14:paraId="3D438BF5" w14:textId="77777777" w:rsidR="00806997" w:rsidRPr="00286216" w:rsidRDefault="00806997" w:rsidP="00806997">
            <w:pPr>
              <w:pStyle w:val="StyleProp"/>
              <w:spacing w:line="190" w:lineRule="exact"/>
              <w:rPr>
                <w:color w:val="000000" w:themeColor="text1"/>
              </w:rPr>
            </w:pPr>
            <w:r w:rsidRPr="00286216">
              <w:rPr>
                <w:color w:val="000000" w:themeColor="text1"/>
              </w:rPr>
              <w:t>Інвестиційна фірма, що здійснює високочастотну алгоритмічну торгівлю, додатково до вимог абзацу першого цієї частини, зобов’язана організувати систему документообігу таким чином, щоб забезпечити послідовне збереження даних про усі надіслані нею заявки або котирування, їх скасування, заявки або котирування, виконані на організованих ринках. Така інформація зберігається у формі, встановленій Національною комісією з цінних паперів та фондового ринку, та надається інвестиційною фірмою на запит Національної комісії з цінних паперів та фондового ринку.</w:t>
            </w:r>
          </w:p>
          <w:p w14:paraId="635D019B" w14:textId="77777777" w:rsidR="00806997" w:rsidRPr="00286216" w:rsidRDefault="00806997" w:rsidP="00806997">
            <w:pPr>
              <w:pStyle w:val="StyleProp"/>
              <w:spacing w:line="190" w:lineRule="exact"/>
              <w:rPr>
                <w:color w:val="000000" w:themeColor="text1"/>
              </w:rPr>
            </w:pPr>
            <w:r w:rsidRPr="00286216">
              <w:rPr>
                <w:color w:val="000000" w:themeColor="text1"/>
              </w:rPr>
              <w:t>7. Інвестиційна фірма, що надає прямий електронний доступ, зобов’язана забезпечити функціонування системи внутрішнього контролю у спосіб, що гарантує:</w:t>
            </w:r>
          </w:p>
          <w:p w14:paraId="02137BB7" w14:textId="77777777" w:rsidR="00806997" w:rsidRPr="00286216" w:rsidRDefault="00806997" w:rsidP="00806997">
            <w:pPr>
              <w:pStyle w:val="StyleProp"/>
              <w:spacing w:line="190" w:lineRule="exact"/>
              <w:rPr>
                <w:color w:val="000000" w:themeColor="text1"/>
              </w:rPr>
            </w:pPr>
            <w:r w:rsidRPr="00286216">
              <w:rPr>
                <w:color w:val="000000" w:themeColor="text1"/>
              </w:rPr>
              <w:t>1) проведення відповідно до внутрішніх правил такої інвестиційної фірми первинної та повторних перевірок клієнтів, які бажають отримувати послуги прямого електронного доступу, спрямованої на встановлення відсутності у діяльності таких клієнтів загрози для стабільності функціонування організованого ринку, до якого надається електронний доступ;</w:t>
            </w:r>
          </w:p>
          <w:p w14:paraId="407DDE3E" w14:textId="77777777" w:rsidR="00806997" w:rsidRPr="00286216" w:rsidRDefault="00806997" w:rsidP="00806997">
            <w:pPr>
              <w:pStyle w:val="StyleProp"/>
              <w:spacing w:line="190" w:lineRule="exact"/>
              <w:rPr>
                <w:color w:val="000000" w:themeColor="text1"/>
              </w:rPr>
            </w:pPr>
            <w:r w:rsidRPr="00286216">
              <w:rPr>
                <w:color w:val="000000" w:themeColor="text1"/>
              </w:rPr>
              <w:t>2) неможливість перевищення у ході торгівлі клієнтами, які бажають отримувати послуги прямого електронного доступу, лімітів та обмежень, встановлених в тому числі інвестиційною фірмою та/або оператором організованого ринку, учасником якого є інвестиційна фірма, що надає прямий електронний доступ;</w:t>
            </w:r>
          </w:p>
          <w:p w14:paraId="37C3C44C" w14:textId="77777777" w:rsidR="00806997" w:rsidRPr="00286216" w:rsidRDefault="00806997" w:rsidP="00806997">
            <w:pPr>
              <w:pStyle w:val="StyleProp"/>
              <w:spacing w:line="190" w:lineRule="exact"/>
              <w:rPr>
                <w:color w:val="000000" w:themeColor="text1"/>
              </w:rPr>
            </w:pPr>
            <w:r w:rsidRPr="00286216">
              <w:rPr>
                <w:color w:val="000000" w:themeColor="text1"/>
              </w:rPr>
              <w:t>3) постійний моніторинг торгової діяльності клієнтів, які отримують послуги прямого електронного доступу;</w:t>
            </w:r>
          </w:p>
          <w:p w14:paraId="6C4E64EF"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4) мінімізацію можливості здійснення клієнтами, які отримують послуги прямого електронного доступу, торгівлі, що містить ознаки маніпулювання та/або незаконного використання інсайдерської інформації, або здатна спричинити ситуацію цінової </w:t>
            </w:r>
            <w:r w:rsidRPr="00286216">
              <w:rPr>
                <w:color w:val="000000" w:themeColor="text1"/>
              </w:rPr>
              <w:lastRenderedPageBreak/>
              <w:t>нестабільності на організованому ринку, учасником якого є інвестиційна фірма або іншим чином порушити цілісність ринків капіталу чи завдати шкоди інвесторам.</w:t>
            </w:r>
          </w:p>
          <w:p w14:paraId="1683100D" w14:textId="77777777" w:rsidR="00806997" w:rsidRPr="00286216" w:rsidRDefault="00806997" w:rsidP="00806997">
            <w:pPr>
              <w:pStyle w:val="StyleProp"/>
              <w:spacing w:line="190" w:lineRule="exact"/>
              <w:rPr>
                <w:color w:val="000000" w:themeColor="text1"/>
              </w:rPr>
            </w:pPr>
            <w:r w:rsidRPr="00286216">
              <w:rPr>
                <w:color w:val="000000" w:themeColor="text1"/>
              </w:rPr>
              <w:t>Надання інвестиційною фірмою клієнтам прямого електронного доступу без забезпечення функціонування системи внутрішнього контролю із дотриманням гарантій, передбачених цією частиною статті, заборонено.</w:t>
            </w:r>
          </w:p>
          <w:p w14:paraId="3D0B7380"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8. Надання клієнтам прямого електронного доступу інвестиційною фірмою може відбуватися виключно на підставі договору, обов’язковою умовою якого є повна та безумовна відповідальність інвестиційної фірми за будь-які порушення клієнтами, які отримують послуги прямого електронного доступу, вимог до учасників організованих ринків, встановлених цим Законом та нормативно-правовими актами, прийнятими на його виконання, а також правил організованого ринку, учасником якого є інвестиційна фірма.  При цьому, інвестиційна фірма має забезпечити дотримання клієнтами, яким надано прямий електронний доступ, вимог цього Закону, нормативних актів Національної комісії з цінних паперів та фондового ринку, а також правил функціонування відповідного організованого ринку, до якого надано доступ. </w:t>
            </w:r>
          </w:p>
          <w:p w14:paraId="7B5AD8DA" w14:textId="77777777" w:rsidR="00806997" w:rsidRPr="00286216" w:rsidRDefault="00806997" w:rsidP="00806997">
            <w:pPr>
              <w:pStyle w:val="StyleProp"/>
              <w:spacing w:line="190" w:lineRule="exact"/>
              <w:rPr>
                <w:color w:val="000000" w:themeColor="text1"/>
              </w:rPr>
            </w:pPr>
            <w:r w:rsidRPr="00286216">
              <w:rPr>
                <w:color w:val="000000" w:themeColor="text1"/>
              </w:rPr>
              <w:t>З метою виявлення порушень таких вимог та правил, а також поведінки, що може спричинити ситуації цінової нестабільності, або іншим чином порушити цілісність ринків капіталу чи завдати шкоди інвесторам, інвестиційна фірма повинна здійснювати моніторинг операцій клієнтів, які отримують послуги прямого електронного доступу. Про виявлені операції клієнтів, які отримують послуги прямого електронного доступу, що містять ознаки маніпулювання та/або торгівлі з використанням інсайдерської інформації, та/або іншого порушення законодавства про ринки капіталу та/або правил функціонування організованого ринку, доступ до якого надає інвестиційна фірма, така  інвестиційна фірма зобов’язана негайно повідомити Національну комісію з цінних паперів та фондового ринку офіційним каналом зв’язку.</w:t>
            </w:r>
          </w:p>
          <w:p w14:paraId="673E1DDA"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9. Національна комісія з цінних паперів та фондового ринку встановлює порядок та </w:t>
            </w:r>
            <w:r w:rsidRPr="00286216">
              <w:rPr>
                <w:color w:val="000000" w:themeColor="text1"/>
              </w:rPr>
              <w:lastRenderedPageBreak/>
              <w:t>строки надання інвестиційною фірмою, що надає прямий електронний доступ, інформації про функціонування системи внутрішнього контролю в частині дотримання гарантій, передбачених частиною сьомою цієї статті.</w:t>
            </w:r>
          </w:p>
          <w:p w14:paraId="550C1B5F" w14:textId="77777777" w:rsidR="00806997" w:rsidRPr="00286216" w:rsidRDefault="00806997" w:rsidP="00806997">
            <w:pPr>
              <w:pStyle w:val="StyleProp"/>
              <w:spacing w:line="190" w:lineRule="exact"/>
              <w:rPr>
                <w:color w:val="000000" w:themeColor="text1"/>
              </w:rPr>
            </w:pPr>
            <w:r w:rsidRPr="00286216">
              <w:rPr>
                <w:color w:val="000000" w:themeColor="text1"/>
              </w:rPr>
              <w:t>10. Оператор організованого  ринку зобов’язаний розробити та впровадити системи та заходи, спрямовані на запобігання створення на організованого  ринку, організацію діяльності якого здійснює такий оператор, ситуації цінової нестабільності або іншим чином порушити цілісність ринків капіталу чи завдати шкоди інвесторам внаслідок проведення учасниками такого ринку алгоритмічної торгівлі, а також на запровадження механізмів ліквідації зазначених ситуацій чи порушень, створеної алгоритмічною торгівлею. Такі системи та заходи щонайменше повинні  включати:</w:t>
            </w:r>
          </w:p>
          <w:p w14:paraId="4C82E9EC" w14:textId="77777777" w:rsidR="00806997" w:rsidRPr="00286216" w:rsidRDefault="00806997" w:rsidP="00806997">
            <w:pPr>
              <w:pStyle w:val="StyleProp"/>
              <w:spacing w:line="190" w:lineRule="exact"/>
              <w:rPr>
                <w:color w:val="000000" w:themeColor="text1"/>
              </w:rPr>
            </w:pPr>
            <w:r w:rsidRPr="00286216">
              <w:rPr>
                <w:color w:val="000000" w:themeColor="text1"/>
              </w:rPr>
              <w:t>1) включення до правил організованого  ринку, організацію діяльності якого здійснює такий оператор, вимоги до учасників організованого  ринку про обов’язкове проведення у тестовому середовищі, наданому оператором організованого  ринку, тестування алгоритмів, що будуть використовуватися інвестиційними фірмами-учасниками такого ринку;</w:t>
            </w:r>
          </w:p>
          <w:p w14:paraId="5554D77A" w14:textId="77777777" w:rsidR="00806997" w:rsidRPr="00286216" w:rsidRDefault="00806997" w:rsidP="00806997">
            <w:pPr>
              <w:pStyle w:val="StyleProp"/>
              <w:spacing w:line="190" w:lineRule="exact"/>
              <w:rPr>
                <w:color w:val="000000" w:themeColor="text1"/>
              </w:rPr>
            </w:pPr>
            <w:r w:rsidRPr="00286216">
              <w:rPr>
                <w:color w:val="000000" w:themeColor="text1"/>
              </w:rPr>
              <w:t>2) запровадження максимально допустимого співвідношення між  кількістю виконаних та кількістю невиконаних заявок або котирувань одного учасника організованого  ринку, за якого допускається прийняття нових заявок або котирувань такого учасника;</w:t>
            </w:r>
          </w:p>
          <w:p w14:paraId="32DB4DDF" w14:textId="77777777" w:rsidR="00806997" w:rsidRPr="00286216" w:rsidRDefault="00806997" w:rsidP="00806997">
            <w:pPr>
              <w:pStyle w:val="StyleProp"/>
              <w:spacing w:line="190" w:lineRule="exact"/>
              <w:rPr>
                <w:color w:val="000000" w:themeColor="text1"/>
              </w:rPr>
            </w:pPr>
            <w:r w:rsidRPr="00286216">
              <w:rPr>
                <w:color w:val="000000" w:themeColor="text1"/>
              </w:rPr>
              <w:t>3) систему зменшення кількості заявок або котирувань, що приймаються багатосторонньою системою до опрацювання за умови наявності ризику перевищення технічних можливостей її коректного функціонування;</w:t>
            </w:r>
          </w:p>
          <w:p w14:paraId="224722BB" w14:textId="77777777" w:rsidR="00806997" w:rsidRPr="00286216" w:rsidRDefault="00806997" w:rsidP="00806997">
            <w:pPr>
              <w:pStyle w:val="StyleProp"/>
              <w:spacing w:line="190" w:lineRule="exact"/>
              <w:rPr>
                <w:color w:val="000000" w:themeColor="text1"/>
              </w:rPr>
            </w:pPr>
            <w:r w:rsidRPr="00286216">
              <w:rPr>
                <w:color w:val="000000" w:themeColor="text1"/>
              </w:rPr>
              <w:t>4) запровадження мінімального кроку ціни та заходів контролю за його дотриманням учасниками організованого  ринку.</w:t>
            </w:r>
          </w:p>
          <w:p w14:paraId="1E0C14AF"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11. Структура комісійної винагороди оператора організованого  ринку, зокрема плати за виконання заявок або котирувань, плати за додаткові послуги та будь-яких зменшень плати за послуги повинна бути прозорою, недискримінаційною та запобігати стимулюванню надсилання, зміни чи скасування заявок або котирувань у спосіб, </w:t>
            </w:r>
            <w:r w:rsidRPr="00286216">
              <w:rPr>
                <w:color w:val="000000" w:themeColor="text1"/>
              </w:rPr>
              <w:lastRenderedPageBreak/>
              <w:t>що може спричинити ситуацію цінової нестабільності або іншим чином порушити цілісність ринків капіталу чи завдати шкоди інвесторам, в тому числі в результаті маніпулювання. Оператори організованих  ринків можуть встановлювати вищу в порівнянні з комісійною винагородою, що сплачується іншими учасниками організованого  ринку, комісійну плату для учасників організованого  ринку, які:</w:t>
            </w:r>
          </w:p>
          <w:p w14:paraId="5082529E" w14:textId="77777777" w:rsidR="00806997" w:rsidRPr="00286216" w:rsidRDefault="00806997" w:rsidP="00806997">
            <w:pPr>
              <w:pStyle w:val="StyleProp"/>
              <w:spacing w:line="190" w:lineRule="exact"/>
              <w:rPr>
                <w:color w:val="000000" w:themeColor="text1"/>
              </w:rPr>
            </w:pPr>
            <w:r w:rsidRPr="00286216">
              <w:rPr>
                <w:color w:val="000000" w:themeColor="text1"/>
              </w:rPr>
              <w:t>а) мають високе, згідно з внутрішніми документами оператора організованого  ринку, співвідношення між скасованими та виконаними заявками або розпорядженнями;</w:t>
            </w:r>
          </w:p>
          <w:p w14:paraId="32A85775" w14:textId="77777777" w:rsidR="00806997" w:rsidRPr="00286216" w:rsidRDefault="00806997" w:rsidP="00806997">
            <w:pPr>
              <w:pStyle w:val="StyleProp"/>
              <w:spacing w:line="190" w:lineRule="exact"/>
              <w:rPr>
                <w:color w:val="000000" w:themeColor="text1"/>
              </w:rPr>
            </w:pPr>
            <w:r w:rsidRPr="00286216">
              <w:rPr>
                <w:color w:val="000000" w:themeColor="text1"/>
              </w:rPr>
              <w:t>б) проводять високочастотну алгоритмічну торгівлю.</w:t>
            </w:r>
          </w:p>
          <w:p w14:paraId="7F2FF818" w14:textId="77777777" w:rsidR="00806997" w:rsidRPr="00286216" w:rsidRDefault="00806997" w:rsidP="00806997">
            <w:pPr>
              <w:pStyle w:val="StyleProp"/>
              <w:spacing w:line="190" w:lineRule="exact"/>
              <w:rPr>
                <w:color w:val="000000" w:themeColor="text1"/>
              </w:rPr>
            </w:pPr>
            <w:r w:rsidRPr="00286216">
              <w:rPr>
                <w:color w:val="000000" w:themeColor="text1"/>
              </w:rPr>
              <w:t>12. Багатостороння система організованого  ринку повинна забезпечувати можливість ідентифікації (шляхом проставлення учасниками організованого  ринку відповідних маркерів):</w:t>
            </w:r>
          </w:p>
          <w:p w14:paraId="6E4DB3B1" w14:textId="77777777" w:rsidR="00806997" w:rsidRPr="00286216" w:rsidRDefault="00806997" w:rsidP="00806997">
            <w:pPr>
              <w:pStyle w:val="StyleProp"/>
              <w:spacing w:line="190" w:lineRule="exact"/>
              <w:rPr>
                <w:color w:val="000000" w:themeColor="text1"/>
              </w:rPr>
            </w:pPr>
            <w:r w:rsidRPr="00286216">
              <w:rPr>
                <w:color w:val="000000" w:themeColor="text1"/>
              </w:rPr>
              <w:t>1) заявок або котирувань, що були сформовані у ході алгоритмічної торгівлі;</w:t>
            </w:r>
          </w:p>
          <w:p w14:paraId="35F37A9F" w14:textId="77777777" w:rsidR="00806997" w:rsidRPr="00286216" w:rsidRDefault="00806997" w:rsidP="00806997">
            <w:pPr>
              <w:pStyle w:val="StyleProp"/>
              <w:spacing w:line="190" w:lineRule="exact"/>
              <w:rPr>
                <w:color w:val="000000" w:themeColor="text1"/>
              </w:rPr>
            </w:pPr>
            <w:r w:rsidRPr="00286216">
              <w:rPr>
                <w:color w:val="000000" w:themeColor="text1"/>
              </w:rPr>
              <w:t>2) різних алгоритмів, що були використані для ініціювання та/або формування та/або надсилання заявок або котирувань;</w:t>
            </w:r>
          </w:p>
          <w:p w14:paraId="58B40033" w14:textId="77777777" w:rsidR="00806997" w:rsidRPr="00286216" w:rsidRDefault="00806997" w:rsidP="00806997">
            <w:pPr>
              <w:pStyle w:val="StyleProp"/>
              <w:spacing w:line="190" w:lineRule="exact"/>
              <w:rPr>
                <w:color w:val="000000" w:themeColor="text1"/>
              </w:rPr>
            </w:pPr>
            <w:r w:rsidRPr="00286216">
              <w:rPr>
                <w:color w:val="000000" w:themeColor="text1"/>
              </w:rPr>
              <w:t>3) осіб, що ініціювали заявку або котирування.</w:t>
            </w:r>
          </w:p>
          <w:p w14:paraId="0C788796" w14:textId="77777777" w:rsidR="00806997" w:rsidRPr="00286216" w:rsidRDefault="00806997" w:rsidP="00806997">
            <w:pPr>
              <w:pStyle w:val="StyleProp"/>
              <w:spacing w:line="190" w:lineRule="exact"/>
              <w:rPr>
                <w:color w:val="000000" w:themeColor="text1"/>
              </w:rPr>
            </w:pPr>
            <w:r w:rsidRPr="00286216">
              <w:rPr>
                <w:color w:val="000000" w:themeColor="text1"/>
              </w:rPr>
              <w:t>Ця інформація повинна бути надана оператором організованого  ринку Національній комісії з цінних паперів та фондового ринку на її запит.</w:t>
            </w:r>
          </w:p>
          <w:p w14:paraId="06F63DEB" w14:textId="77777777" w:rsidR="00806997" w:rsidRPr="00286216" w:rsidRDefault="00806997" w:rsidP="00806997">
            <w:pPr>
              <w:pStyle w:val="StyleProp"/>
              <w:spacing w:line="190" w:lineRule="exact"/>
              <w:rPr>
                <w:color w:val="000000" w:themeColor="text1"/>
              </w:rPr>
            </w:pPr>
            <w:r w:rsidRPr="00286216">
              <w:rPr>
                <w:color w:val="000000" w:themeColor="text1"/>
              </w:rPr>
              <w:t>13. Відповідно до цієї статті нормативно-правовими актами Національної комісії з цінних паперів та фондового ринку встановлюються:</w:t>
            </w:r>
          </w:p>
          <w:p w14:paraId="2FB20B3B" w14:textId="77777777" w:rsidR="00806997" w:rsidRPr="00286216" w:rsidRDefault="00806997" w:rsidP="00806997">
            <w:pPr>
              <w:pStyle w:val="StyleProp"/>
              <w:spacing w:line="190" w:lineRule="exact"/>
              <w:rPr>
                <w:color w:val="000000" w:themeColor="text1"/>
              </w:rPr>
            </w:pPr>
            <w:r w:rsidRPr="00286216">
              <w:rPr>
                <w:color w:val="000000" w:themeColor="text1"/>
              </w:rPr>
              <w:t>1) організаційні вимоги до інвестиційних фірм, що проводять алгоритмічну торгівлю, при цьому вимоги до інвестиційних фірм, які надають послуги прямого доступу до ринку та спонсорованого доступ до ринку, повинні забезпечувати однаковий рівень організації системи внутрішнього контролю;</w:t>
            </w:r>
          </w:p>
          <w:p w14:paraId="5C65AC60" w14:textId="77777777" w:rsidR="00806997" w:rsidRPr="00286216" w:rsidRDefault="00806997" w:rsidP="00806997">
            <w:pPr>
              <w:pStyle w:val="StyleProp"/>
              <w:spacing w:line="190" w:lineRule="exact"/>
              <w:rPr>
                <w:color w:val="000000" w:themeColor="text1"/>
              </w:rPr>
            </w:pPr>
            <w:r w:rsidRPr="00286216">
              <w:rPr>
                <w:color w:val="000000" w:themeColor="text1"/>
              </w:rPr>
              <w:t>2) перелік відомостей, що розкриваються інвестиційними фірмами у зв’язку із проведенням ними алгоритмічної торгівлі, а також порядок, строки та форму розкриття такої інформації;</w:t>
            </w:r>
          </w:p>
          <w:p w14:paraId="4392C5D4"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3) вимоги до системи внутрішнього контролю операторів організованих ринків, при цьому вимоги до операторів організованих ринків, які надають послуги прямого доступу до ринку та спонсорованого </w:t>
            </w:r>
            <w:r w:rsidRPr="00286216">
              <w:rPr>
                <w:color w:val="000000" w:themeColor="text1"/>
              </w:rPr>
              <w:lastRenderedPageBreak/>
              <w:t>доступ до ринку, повинні забезпечувати однаковий рівень організації системи внутрішнього контролю;</w:t>
            </w:r>
          </w:p>
          <w:p w14:paraId="70BC1F85" w14:textId="77777777" w:rsidR="00806997" w:rsidRPr="00286216" w:rsidRDefault="00806997" w:rsidP="00806997">
            <w:pPr>
              <w:pStyle w:val="StyleProp"/>
              <w:spacing w:line="190" w:lineRule="exact"/>
              <w:rPr>
                <w:color w:val="000000" w:themeColor="text1"/>
              </w:rPr>
            </w:pPr>
            <w:r w:rsidRPr="00286216">
              <w:rPr>
                <w:color w:val="000000" w:themeColor="text1"/>
              </w:rPr>
              <w:t>4) перелік обставин, що становлять надзвичайну ситуацію на ринку;</w:t>
            </w:r>
          </w:p>
          <w:p w14:paraId="7C12126C" w14:textId="77777777" w:rsidR="00806997" w:rsidRPr="00286216" w:rsidRDefault="00806997" w:rsidP="00806997">
            <w:pPr>
              <w:pStyle w:val="StyleProp"/>
              <w:spacing w:line="190" w:lineRule="exact"/>
              <w:rPr>
                <w:color w:val="000000" w:themeColor="text1"/>
              </w:rPr>
            </w:pPr>
            <w:r w:rsidRPr="00286216">
              <w:rPr>
                <w:color w:val="000000" w:themeColor="text1"/>
              </w:rPr>
              <w:t>5) порядок визначення максимально допустимого співвідношення між виконаними та невиконаними заявками або котируваннями одного учасника організованого  ринку, за якого допускається прийняття нових заявок або котирувань такого учасника;</w:t>
            </w:r>
          </w:p>
          <w:p w14:paraId="5C59A2A8" w14:textId="77777777" w:rsidR="00806997" w:rsidRPr="00286216" w:rsidRDefault="00806997" w:rsidP="00806997">
            <w:pPr>
              <w:pStyle w:val="StyleProp"/>
              <w:spacing w:line="190" w:lineRule="exact"/>
              <w:rPr>
                <w:color w:val="000000" w:themeColor="text1"/>
              </w:rPr>
            </w:pPr>
            <w:r w:rsidRPr="00286216">
              <w:rPr>
                <w:color w:val="000000" w:themeColor="text1"/>
              </w:rPr>
              <w:t>6) вимоги до структури комісійної винагороди операторів організованих ринків, зокрема в частині плати за колокацію та проксіміті-хостинг;</w:t>
            </w:r>
          </w:p>
          <w:p w14:paraId="75C1F6BF" w14:textId="77777777" w:rsidR="00806997" w:rsidRPr="00286216" w:rsidRDefault="00806997" w:rsidP="00806997">
            <w:pPr>
              <w:pStyle w:val="StyleProp"/>
              <w:spacing w:line="190" w:lineRule="exact"/>
              <w:rPr>
                <w:color w:val="000000" w:themeColor="text1"/>
              </w:rPr>
            </w:pPr>
            <w:r w:rsidRPr="00286216">
              <w:rPr>
                <w:color w:val="000000" w:themeColor="text1"/>
              </w:rPr>
              <w:t>7) вимоги до тестового середовища операторів організованих ринків.</w:t>
            </w:r>
          </w:p>
          <w:p w14:paraId="2D23F6EC" w14:textId="77777777" w:rsidR="00806997" w:rsidRPr="00286216" w:rsidRDefault="00806997" w:rsidP="00806997">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розробляє, затверджує та публікує на своєму на своєму офіційному веб-сайті методичні рекомендації щодо здійснення алгоритмічної торгівлі.</w:t>
            </w:r>
          </w:p>
          <w:p w14:paraId="1717130A" w14:textId="57C48730" w:rsidR="00806997" w:rsidRPr="00286216" w:rsidRDefault="00806997" w:rsidP="00806997">
            <w:pPr>
              <w:pStyle w:val="StyleProp"/>
              <w:spacing w:line="190" w:lineRule="exact"/>
              <w:rPr>
                <w:color w:val="000000" w:themeColor="text1"/>
                <w:szCs w:val="18"/>
              </w:rPr>
            </w:pPr>
            <w:r w:rsidRPr="00286216">
              <w:rPr>
                <w:color w:val="000000" w:themeColor="text1"/>
              </w:rPr>
              <w:t>14. Положення цієї статті застосовується також до здійснення алгоритмічної торгівлі при здійсненні товарних операцій та при вчиненні правочинів щодо валютних цінностей".</w:t>
            </w:r>
          </w:p>
        </w:tc>
        <w:tc>
          <w:tcPr>
            <w:tcW w:w="1987" w:type="dxa"/>
          </w:tcPr>
          <w:p w14:paraId="6B42317C" w14:textId="77777777" w:rsidR="00806997" w:rsidRPr="00286216" w:rsidRDefault="00806997" w:rsidP="00806997">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75728E0F" w14:textId="77777777" w:rsidR="00806997" w:rsidRPr="00286216" w:rsidRDefault="00806997" w:rsidP="00806997">
            <w:pPr>
              <w:pStyle w:val="StyleZakonu"/>
              <w:rPr>
                <w:color w:val="000000" w:themeColor="text1"/>
              </w:rPr>
            </w:pPr>
            <w:r w:rsidRPr="00286216">
              <w:rPr>
                <w:color w:val="000000" w:themeColor="text1"/>
              </w:rPr>
              <w:t>Стаття 55. Алгоритмічна торгівля</w:t>
            </w:r>
          </w:p>
          <w:p w14:paraId="46C0D102" w14:textId="77777777" w:rsidR="00806997" w:rsidRPr="00286216" w:rsidRDefault="00806997" w:rsidP="00806997">
            <w:pPr>
              <w:pStyle w:val="StyleZakonu"/>
              <w:rPr>
                <w:color w:val="000000" w:themeColor="text1"/>
              </w:rPr>
            </w:pPr>
            <w:r w:rsidRPr="00286216">
              <w:rPr>
                <w:color w:val="000000" w:themeColor="text1"/>
              </w:rPr>
              <w:t xml:space="preserve">1. Алгоритмічна торгівля – це торгівля фінансовими інструментами, що здійснюється шляхом автоматичного (з обмеженим втручанням людини або без такого втручання) виконання комп’ютерним алгоритмом функцій щодо визначення індивідуальних параметрів заявок або котирувань, зокрема  встановлення наявності обставин, що свідчать про необхідність ініціювання заявок або котирувань, визначення моменту ініціювання заявок або котирувань, надсилання заявок або котирувань, визначення ціни або кількості фінансових інструментів, що є предметом заявок або котирувань, або дій, що потрібно вчинити із заявками або </w:t>
            </w:r>
            <w:r w:rsidRPr="00286216">
              <w:rPr>
                <w:color w:val="000000" w:themeColor="text1"/>
              </w:rPr>
              <w:lastRenderedPageBreak/>
              <w:t xml:space="preserve">котируваннями після їх надсилання. </w:t>
            </w:r>
          </w:p>
          <w:p w14:paraId="6E1F016E" w14:textId="77777777" w:rsidR="00806997" w:rsidRPr="00286216" w:rsidRDefault="00806997" w:rsidP="00806997">
            <w:pPr>
              <w:pStyle w:val="StyleZakonu"/>
              <w:rPr>
                <w:color w:val="000000" w:themeColor="text1"/>
              </w:rPr>
            </w:pPr>
            <w:r w:rsidRPr="00286216">
              <w:rPr>
                <w:color w:val="000000" w:themeColor="text1"/>
              </w:rPr>
              <w:t>Не є алгоритмічною торгівлею діяльність інформаційно-телекомунікаційних систем, що використовуються виключно для:</w:t>
            </w:r>
          </w:p>
          <w:p w14:paraId="3686D2A5" w14:textId="77777777" w:rsidR="00806997" w:rsidRPr="00286216" w:rsidRDefault="00806997" w:rsidP="00806997">
            <w:pPr>
              <w:pStyle w:val="StyleZakonu"/>
              <w:rPr>
                <w:color w:val="000000" w:themeColor="text1"/>
              </w:rPr>
            </w:pPr>
            <w:r w:rsidRPr="00286216">
              <w:rPr>
                <w:color w:val="000000" w:themeColor="text1"/>
              </w:rPr>
              <w:t xml:space="preserve">1) визначення маршруту прямування заявок або котирувань під час надсилання їх до багатосторонньої системи одного або більше організованих ринків; </w:t>
            </w:r>
          </w:p>
          <w:p w14:paraId="6D4BDD2E" w14:textId="77777777" w:rsidR="00806997" w:rsidRPr="00286216" w:rsidRDefault="00806997" w:rsidP="00806997">
            <w:pPr>
              <w:pStyle w:val="StyleZakonu"/>
              <w:rPr>
                <w:color w:val="000000" w:themeColor="text1"/>
              </w:rPr>
            </w:pPr>
            <w:r w:rsidRPr="00286216">
              <w:rPr>
                <w:color w:val="000000" w:themeColor="text1"/>
              </w:rPr>
              <w:t>2) обробки заявок або котирувань, що не передбачає визначення будь-яких параметрів заявок або котирувань;</w:t>
            </w:r>
          </w:p>
          <w:p w14:paraId="1271145E" w14:textId="77777777" w:rsidR="00806997" w:rsidRPr="00286216" w:rsidRDefault="00806997" w:rsidP="00806997">
            <w:pPr>
              <w:pStyle w:val="StyleZakonu"/>
              <w:rPr>
                <w:color w:val="000000" w:themeColor="text1"/>
              </w:rPr>
            </w:pPr>
            <w:r w:rsidRPr="00286216">
              <w:rPr>
                <w:color w:val="000000" w:themeColor="text1"/>
              </w:rPr>
              <w:t xml:space="preserve">3) підтвердження заявок або котирувань; </w:t>
            </w:r>
          </w:p>
          <w:p w14:paraId="172707EF" w14:textId="77777777" w:rsidR="00806997" w:rsidRPr="00286216" w:rsidRDefault="00806997" w:rsidP="00806997">
            <w:pPr>
              <w:pStyle w:val="StyleZakonu"/>
              <w:rPr>
                <w:color w:val="000000" w:themeColor="text1"/>
              </w:rPr>
            </w:pPr>
            <w:r w:rsidRPr="00286216">
              <w:rPr>
                <w:color w:val="000000" w:themeColor="text1"/>
              </w:rPr>
              <w:t>4) проведення обробки даних щодо виконаних за результатами торгів операцій.</w:t>
            </w:r>
          </w:p>
          <w:p w14:paraId="4F680EA0" w14:textId="77777777" w:rsidR="00806997" w:rsidRPr="00286216" w:rsidRDefault="00806997" w:rsidP="00806997">
            <w:pPr>
              <w:pStyle w:val="StyleZakonu"/>
              <w:rPr>
                <w:color w:val="000000" w:themeColor="text1"/>
              </w:rPr>
            </w:pPr>
            <w:r w:rsidRPr="00286216">
              <w:rPr>
                <w:color w:val="000000" w:themeColor="text1"/>
              </w:rPr>
              <w:t>2. Високочастотна торгівля – техніка алгоритмічної торгівлі, що характеризується такими ознаками:</w:t>
            </w:r>
          </w:p>
          <w:p w14:paraId="6605EFCE" w14:textId="77777777" w:rsidR="00806997" w:rsidRPr="00286216" w:rsidRDefault="00806997" w:rsidP="00806997">
            <w:pPr>
              <w:pStyle w:val="StyleZakonu"/>
              <w:rPr>
                <w:color w:val="000000" w:themeColor="text1"/>
              </w:rPr>
            </w:pPr>
            <w:r w:rsidRPr="00286216">
              <w:rPr>
                <w:color w:val="000000" w:themeColor="text1"/>
              </w:rPr>
              <w:t xml:space="preserve">1) використання інвестиційною фірмою для здійснення торгівлі інфраструктури інформаційно-телекомунікаційної системи, призначеної для зведення до мінімуму мережевих та інших типів затримок обміну інформацією, у тому числі надсилання заявок або котирувань, з багатосторонньою системою організованого ринку. При цьому, інфраструктура інформаційно-телекомунікаційної системи передбачає можливість використання щонайменше одного із способів зведення до мінімуму мережевих та інших типів затримок обміну інформацією з багатосторонньою системою організованого ринку: </w:t>
            </w:r>
          </w:p>
          <w:p w14:paraId="0CCDB051" w14:textId="77777777" w:rsidR="00806997" w:rsidRPr="00286216" w:rsidRDefault="00806997" w:rsidP="00806997">
            <w:pPr>
              <w:pStyle w:val="StyleZakonu"/>
              <w:rPr>
                <w:color w:val="000000" w:themeColor="text1"/>
              </w:rPr>
            </w:pPr>
            <w:r w:rsidRPr="00286216">
              <w:rPr>
                <w:color w:val="000000" w:themeColor="text1"/>
              </w:rPr>
              <w:t xml:space="preserve">а) колокація – спосіб, за якого для визначення індивідуальних параметрів заявок або котирувань у результаті виконання комп’ютерного алгоритму, передбаченого частиною першою цієї статті, інвестиційною фірмою використовується власне апаратне забезпечення, розташоване в безпосередній близькості від багатосторонньої системи організованого ринку та з’єднане з такою багатосторонньою системою мережею; </w:t>
            </w:r>
          </w:p>
          <w:p w14:paraId="49F1DE47" w14:textId="77777777" w:rsidR="00806997" w:rsidRPr="00286216" w:rsidRDefault="00806997" w:rsidP="00806997">
            <w:pPr>
              <w:pStyle w:val="StyleZakonu"/>
              <w:rPr>
                <w:color w:val="000000" w:themeColor="text1"/>
              </w:rPr>
            </w:pPr>
            <w:r w:rsidRPr="00286216">
              <w:rPr>
                <w:color w:val="000000" w:themeColor="text1"/>
              </w:rPr>
              <w:t xml:space="preserve">б) проксіміті-хостинг – спосіб, за якого для визначення індивідуальних параметрів заявок або котирувань у результаті виконання комп’ютерного алгоритму, передбаченого частиною першою цієї статті, інвестиційною фірмою використовується </w:t>
            </w:r>
            <w:r w:rsidRPr="00286216">
              <w:rPr>
                <w:color w:val="000000" w:themeColor="text1"/>
              </w:rPr>
              <w:lastRenderedPageBreak/>
              <w:t>апаратне забезпечення, що належить третім особам, розташоване в безпосередній близькості від багатосторонньої системи організованого ринку та з’єднане з такою багатосторонньою системою мережею;</w:t>
            </w:r>
          </w:p>
          <w:p w14:paraId="5EE9353D" w14:textId="77777777" w:rsidR="00806997" w:rsidRPr="00286216" w:rsidRDefault="00806997" w:rsidP="00806997">
            <w:pPr>
              <w:pStyle w:val="StyleZakonu"/>
              <w:rPr>
                <w:color w:val="000000" w:themeColor="text1"/>
              </w:rPr>
            </w:pPr>
            <w:r w:rsidRPr="00286216">
              <w:rPr>
                <w:color w:val="000000" w:themeColor="text1"/>
              </w:rPr>
              <w:t>в) прямий електронний доступ – спосіб, за якого для організації надсилання заявок або котирувань щодо фінансових інструментів безпосередньо до багатосторонньої системи організованого ринку інвестиційна фірма надає своїм клієнтам дозвіл на використання кодів, що застосовуються для ідентифікації такої фірми як учасника організованого ринку, з наданням у користування програмного та апаратного забезпечення, що використовується інвестиційною фірмою як учасником організованого ринку для надсилання до його багатосторонньої системи заявок або котирувань (прямий доступ), або без надання у користування такого програмного та апаратного забезпечення (спонсорований доступ);</w:t>
            </w:r>
          </w:p>
          <w:p w14:paraId="33AC5122" w14:textId="77777777" w:rsidR="00806997" w:rsidRPr="00286216" w:rsidRDefault="00806997" w:rsidP="00806997">
            <w:pPr>
              <w:pStyle w:val="StyleZakonu"/>
              <w:rPr>
                <w:color w:val="000000" w:themeColor="text1"/>
              </w:rPr>
            </w:pPr>
            <w:r w:rsidRPr="00286216">
              <w:rPr>
                <w:color w:val="000000" w:themeColor="text1"/>
              </w:rPr>
              <w:t>2) здійснення інформаційно-телекомунікаційною системою в результаті виконання комп’ютерного алгоритму ініціювання, формування, надсилання, визначення маршруту прямування заявок або котирувань до багатосторонньої системи одного чи більше організованих ринків чи виконання заявок або котирувань. При цьому такі дії проводиться без втручання людини щодо кожної окремої заявки або котирування;</w:t>
            </w:r>
          </w:p>
          <w:p w14:paraId="74B1555F" w14:textId="77777777" w:rsidR="00806997" w:rsidRPr="00286216" w:rsidRDefault="00806997" w:rsidP="00806997">
            <w:pPr>
              <w:pStyle w:val="StyleZakonu"/>
              <w:rPr>
                <w:color w:val="000000" w:themeColor="text1"/>
              </w:rPr>
            </w:pPr>
            <w:r w:rsidRPr="00286216">
              <w:rPr>
                <w:color w:val="000000" w:themeColor="text1"/>
              </w:rPr>
              <w:t xml:space="preserve">3) великі внутрішньодобові обсяги повідомлень, а саме: будь-яких котирувань маркет-мейкера, заявок або котирувань інших учасників торгів, або їх скасувань. Великими вважаються внутрішньодобові обсяги, за яких виконується будь-яка з таких умов: </w:t>
            </w:r>
          </w:p>
          <w:p w14:paraId="52251D6A" w14:textId="77777777" w:rsidR="00806997" w:rsidRPr="00286216" w:rsidRDefault="00806997" w:rsidP="00806997">
            <w:pPr>
              <w:pStyle w:val="StyleZakonu"/>
              <w:rPr>
                <w:color w:val="000000" w:themeColor="text1"/>
              </w:rPr>
            </w:pPr>
            <w:r w:rsidRPr="00286216">
              <w:rPr>
                <w:color w:val="000000" w:themeColor="text1"/>
              </w:rPr>
              <w:t xml:space="preserve">а) надсилання в середньому щонайменше двох повідомлень на секунду щодо будь-якого окремого фінансового інструменту, допущеного до торгів на організованому ринку; </w:t>
            </w:r>
          </w:p>
          <w:p w14:paraId="74E647BE" w14:textId="77777777" w:rsidR="00806997" w:rsidRPr="00286216" w:rsidRDefault="00806997" w:rsidP="00806997">
            <w:pPr>
              <w:pStyle w:val="StyleZakonu"/>
              <w:rPr>
                <w:color w:val="000000" w:themeColor="text1"/>
              </w:rPr>
            </w:pPr>
            <w:r w:rsidRPr="00286216">
              <w:rPr>
                <w:color w:val="000000" w:themeColor="text1"/>
              </w:rPr>
              <w:t>б) надсилання в середньому щонайменше чотирьох повідомлень на секунду щодо усіх фінансових інструментів, допущених до торгів на організованому ринку.</w:t>
            </w:r>
          </w:p>
          <w:p w14:paraId="415B34DE" w14:textId="77777777" w:rsidR="00806997" w:rsidRPr="00286216" w:rsidRDefault="00806997" w:rsidP="00806997">
            <w:pPr>
              <w:pStyle w:val="StyleZakonu"/>
              <w:rPr>
                <w:color w:val="000000" w:themeColor="text1"/>
              </w:rPr>
            </w:pPr>
            <w:r w:rsidRPr="00286216">
              <w:rPr>
                <w:color w:val="000000" w:themeColor="text1"/>
              </w:rPr>
              <w:t xml:space="preserve">3. Інвестиційна фірма, що має намір здійснювати алгоритмічну торгівлю, зобов’язана у довільній формі офіційним каналом зв’язку повідомити Національну </w:t>
            </w:r>
            <w:r w:rsidRPr="00286216">
              <w:rPr>
                <w:color w:val="000000" w:themeColor="text1"/>
              </w:rPr>
              <w:lastRenderedPageBreak/>
              <w:t>комісію з цінних паперів та фондового ринку про такий намір до першого визначення індивідуальних параметрів заявок або котирувань у результаті виконання комп’ютерного алгоритму.</w:t>
            </w:r>
          </w:p>
          <w:p w14:paraId="6307F167" w14:textId="77777777" w:rsidR="00806997" w:rsidRPr="00286216" w:rsidRDefault="00806997" w:rsidP="00806997">
            <w:pPr>
              <w:pStyle w:val="StyleZakonu"/>
              <w:rPr>
                <w:color w:val="000000" w:themeColor="text1"/>
              </w:rPr>
            </w:pPr>
            <w:r w:rsidRPr="00286216">
              <w:rPr>
                <w:color w:val="000000" w:themeColor="text1"/>
              </w:rPr>
              <w:t>Інвестиційна фірма, що має намір здійснювати алгоритмічну торгівлю, зобов’язана у довільній формі повідомити оператора організованого ринку про такий намір до першого визначення індивідуальних параметрів заявок або котирувань в результаті виконання комп’ютерного алгоритму.</w:t>
            </w:r>
          </w:p>
          <w:p w14:paraId="42C4E492" w14:textId="77777777" w:rsidR="00806997" w:rsidRPr="00286216" w:rsidRDefault="00806997" w:rsidP="00806997">
            <w:pPr>
              <w:pStyle w:val="StyleZakonu"/>
              <w:rPr>
                <w:color w:val="000000" w:themeColor="text1"/>
              </w:rPr>
            </w:pPr>
            <w:r w:rsidRPr="00286216">
              <w:rPr>
                <w:color w:val="000000" w:themeColor="text1"/>
              </w:rPr>
              <w:t>4. Інвестиційна фірма, що здійснює алгоритмічну торгівлю, організовує функціонування системи управління ризиками таким чином, щоб забезпечити, що інформаційно-телекомунікаційні системи, що використовуються нею для проведення торгівлі:</w:t>
            </w:r>
          </w:p>
          <w:p w14:paraId="16817AF3" w14:textId="77777777" w:rsidR="00806997" w:rsidRPr="00286216" w:rsidRDefault="00806997" w:rsidP="00806997">
            <w:pPr>
              <w:pStyle w:val="StyleZakonu"/>
              <w:rPr>
                <w:color w:val="000000" w:themeColor="text1"/>
              </w:rPr>
            </w:pPr>
            <w:r w:rsidRPr="00286216">
              <w:rPr>
                <w:color w:val="000000" w:themeColor="text1"/>
              </w:rPr>
              <w:t>1) є стійкими до зовнішнього втручання;</w:t>
            </w:r>
          </w:p>
          <w:p w14:paraId="005681D1" w14:textId="77777777" w:rsidR="00806997" w:rsidRPr="00286216" w:rsidRDefault="00806997" w:rsidP="00806997">
            <w:pPr>
              <w:pStyle w:val="StyleZakonu"/>
              <w:rPr>
                <w:color w:val="000000" w:themeColor="text1"/>
              </w:rPr>
            </w:pPr>
            <w:r w:rsidRPr="00286216">
              <w:rPr>
                <w:color w:val="000000" w:themeColor="text1"/>
              </w:rPr>
              <w:t>2) мають технічні можливості для забезпечення належного виконання операцій, безпосередньо пов’язаних з проведенням торгівлі (у тому числі алгоритмічної торгівлі);</w:t>
            </w:r>
          </w:p>
          <w:p w14:paraId="11BED19F" w14:textId="77777777" w:rsidR="00806997" w:rsidRPr="00286216" w:rsidRDefault="00806997" w:rsidP="00806997">
            <w:pPr>
              <w:pStyle w:val="StyleZakonu"/>
              <w:rPr>
                <w:color w:val="000000" w:themeColor="text1"/>
              </w:rPr>
            </w:pPr>
            <w:r w:rsidRPr="00286216">
              <w:rPr>
                <w:color w:val="000000" w:themeColor="text1"/>
              </w:rPr>
              <w:t>3) забезпечують дотримання у ході торгівлі лімітів та обмежень, встановлених оператором організованого ринку, учасником якого є інвестиційна фірма, та правил такого ринку, а також лімітів та обмежень, встановлених інвестиційною фірмою, зокрема, на виконання внутрішніх документів, що регулюють управління ризиками інвестиційної фірми;</w:t>
            </w:r>
          </w:p>
          <w:p w14:paraId="607C780F" w14:textId="77777777" w:rsidR="00806997" w:rsidRPr="00286216" w:rsidRDefault="00806997" w:rsidP="00806997">
            <w:pPr>
              <w:pStyle w:val="StyleZakonu"/>
              <w:rPr>
                <w:color w:val="000000" w:themeColor="text1"/>
              </w:rPr>
            </w:pPr>
            <w:r w:rsidRPr="00286216">
              <w:rPr>
                <w:color w:val="000000" w:themeColor="text1"/>
              </w:rPr>
              <w:t>4) унеможливлюють надсилання помилкових заявок або котирувань та здійснення будь-яких операцій, що здатні спричинити ситуацію цінової нестабільності на організованому ринку, учасником якого є така інвестиційна фірма, або іншим чином порушити цілісність ринків капіталу чи завдати шкоди інвесторам;</w:t>
            </w:r>
          </w:p>
          <w:p w14:paraId="2216C19B" w14:textId="77777777" w:rsidR="00806997" w:rsidRPr="00286216" w:rsidRDefault="00806997" w:rsidP="00806997">
            <w:pPr>
              <w:pStyle w:val="StyleZakonu"/>
              <w:rPr>
                <w:color w:val="000000" w:themeColor="text1"/>
              </w:rPr>
            </w:pPr>
            <w:r w:rsidRPr="00286216">
              <w:rPr>
                <w:color w:val="000000" w:themeColor="text1"/>
              </w:rPr>
              <w:t>5) мінімізують можливість їх використання для цілей маніпулювання та/або незаконного використання інсайдерської інформації.</w:t>
            </w:r>
          </w:p>
          <w:p w14:paraId="5E0E2169" w14:textId="77777777" w:rsidR="00806997" w:rsidRPr="00286216" w:rsidRDefault="00806997" w:rsidP="00806997">
            <w:pPr>
              <w:pStyle w:val="StyleZakonu"/>
              <w:rPr>
                <w:color w:val="000000" w:themeColor="text1"/>
              </w:rPr>
            </w:pPr>
            <w:r w:rsidRPr="00286216">
              <w:rPr>
                <w:color w:val="000000" w:themeColor="text1"/>
              </w:rPr>
              <w:t>Такі системи управління ризиками організовуються інвестиційною фірмою самостійно, залежно від масштабу і складності своєї діяльності, з урахуванням методичних рекомендацій, розроблених Національною комісією з цінних паперів та фондового ринку.</w:t>
            </w:r>
          </w:p>
          <w:p w14:paraId="5F24ABA2" w14:textId="77777777" w:rsidR="00806997" w:rsidRPr="00286216" w:rsidRDefault="00806997" w:rsidP="00806997">
            <w:pPr>
              <w:pStyle w:val="StyleZakonu"/>
              <w:rPr>
                <w:color w:val="000000" w:themeColor="text1"/>
              </w:rPr>
            </w:pPr>
            <w:r w:rsidRPr="00286216">
              <w:rPr>
                <w:color w:val="000000" w:themeColor="text1"/>
              </w:rPr>
              <w:lastRenderedPageBreak/>
              <w:t>5. Інвестиційна фірма повинна мати резервні інформаційно-телекомунікаційні системи або інші ефективні засоби забезпечення безперервності своєї професійної діяльності на випадок виникнення збоїв у роботі основних інформаційно-телекомунікаційних систем, що використовуються нею для проведення торгівлі (у тому числі алгоритмічної торгівлі). Інвестиційна фірма зобов’язана забезпечити тестування таких засобів з метою перевірки їх працездатності та відповідності вимогам, передбаченим цією частиною:</w:t>
            </w:r>
          </w:p>
          <w:p w14:paraId="1CD954AC" w14:textId="77777777" w:rsidR="00806997" w:rsidRPr="00286216" w:rsidRDefault="00806997" w:rsidP="00806997">
            <w:pPr>
              <w:pStyle w:val="StyleZakonu"/>
              <w:rPr>
                <w:color w:val="000000" w:themeColor="text1"/>
              </w:rPr>
            </w:pPr>
            <w:r w:rsidRPr="00286216">
              <w:rPr>
                <w:color w:val="000000" w:themeColor="text1"/>
              </w:rPr>
              <w:t xml:space="preserve">1) регулярно, але не рідше одного разу на рік; </w:t>
            </w:r>
          </w:p>
          <w:p w14:paraId="589216C3" w14:textId="77777777" w:rsidR="00806997" w:rsidRPr="00286216" w:rsidRDefault="00806997" w:rsidP="00806997">
            <w:pPr>
              <w:pStyle w:val="StyleZakonu"/>
              <w:rPr>
                <w:color w:val="000000" w:themeColor="text1"/>
              </w:rPr>
            </w:pPr>
            <w:r w:rsidRPr="00286216">
              <w:rPr>
                <w:color w:val="000000" w:themeColor="text1"/>
              </w:rPr>
              <w:t>2) при кожній зміні елементів інформаційно-телекомунікаційної системи, що має наслідком суттєві зміни її функціонування.</w:t>
            </w:r>
          </w:p>
          <w:p w14:paraId="77800D3B" w14:textId="77777777" w:rsidR="00806997" w:rsidRPr="00286216" w:rsidRDefault="00806997" w:rsidP="00806997">
            <w:pPr>
              <w:pStyle w:val="StyleZakonu"/>
              <w:rPr>
                <w:color w:val="000000" w:themeColor="text1"/>
              </w:rPr>
            </w:pPr>
            <w:r w:rsidRPr="00286216">
              <w:rPr>
                <w:color w:val="000000" w:themeColor="text1"/>
              </w:rPr>
              <w:t>Національна комісія з цінних паперів та фондового ринку розробляє та оприлюднює на своєму офіційному веб-сайті орієнтовний (невиключний) перелік суттєвих змін, поява (виявлення) яких може бути підставою для проведення тестування зазначених засобів.</w:t>
            </w:r>
          </w:p>
          <w:p w14:paraId="06887AD6" w14:textId="77777777" w:rsidR="00806997" w:rsidRPr="00286216" w:rsidRDefault="00806997" w:rsidP="00806997">
            <w:pPr>
              <w:pStyle w:val="StyleZakonu"/>
              <w:rPr>
                <w:color w:val="000000" w:themeColor="text1"/>
              </w:rPr>
            </w:pPr>
            <w:r w:rsidRPr="00286216">
              <w:rPr>
                <w:color w:val="000000" w:themeColor="text1"/>
              </w:rPr>
              <w:t>Інвестиційна фірма має право звернутися до Національної комісії з цінних паперів та фондового ринку із запитом щодо визначення, чи є суттєвими зміни, які така інвестиційна фірма має намір внести до основних інформаційно-телекомунікаційних систем, що використовуються нею для проведення торгівлі. Національна комісія з цінних паперів та фондового ринку не має права застосовувати санкції за порушення вимог пункту 2 цієї частини у разі, якщо нею попередньо було надано відповідь інвестиційній фірмі, що відповідні зміни не є суттєвими.</w:t>
            </w:r>
          </w:p>
          <w:p w14:paraId="3CDD1485" w14:textId="77777777" w:rsidR="00806997" w:rsidRPr="00286216" w:rsidRDefault="00806997" w:rsidP="00806997">
            <w:pPr>
              <w:pStyle w:val="StyleZakonu"/>
              <w:rPr>
                <w:color w:val="000000" w:themeColor="text1"/>
              </w:rPr>
            </w:pPr>
            <w:r w:rsidRPr="00286216">
              <w:rPr>
                <w:color w:val="000000" w:themeColor="text1"/>
              </w:rPr>
              <w:t>6. Інвестиційна фірма, що здійснює алгоритмічну торгівлю, зобов’язана організувати систему документообігу, що забезпечить збереження інформації щодо проведення нею алгоритмічної торгівлі, в обсягах, достатніх для надання Національній комісії з цінних паперів та фондового ринку доказів виконання інвестиційною фірмою вимог цього Закону та відповідних нормативно-правових актів Національної комісії з цінних паперів та фондового ринку, що регулюють проведення алгоритмічної торгівлі.</w:t>
            </w:r>
          </w:p>
          <w:p w14:paraId="086915AD" w14:textId="77777777" w:rsidR="00806997" w:rsidRPr="00286216" w:rsidRDefault="00806997" w:rsidP="00806997">
            <w:pPr>
              <w:pStyle w:val="StyleZakonu"/>
              <w:rPr>
                <w:color w:val="000000" w:themeColor="text1"/>
              </w:rPr>
            </w:pPr>
            <w:r w:rsidRPr="00286216">
              <w:rPr>
                <w:color w:val="000000" w:themeColor="text1"/>
              </w:rPr>
              <w:lastRenderedPageBreak/>
              <w:t>Інвестиційна фірма, що здійснює високочастотну алгоритмічну торгівлю, додатково до вимог абзацу першого цієї частини зобов’язана організувати систему документообігу таким чином, щоб забезпечити послідовне збереження даних про усі надіслані нею заявки або котирування, їх скасування, заявки або котирування, виконані на організованих ринках. Така інформація зберігається у формі, встановленій Національною комісією з цінних паперів та фондового ринку, та надається інвестиційною фірмою на запит Національної комісії з цінних паперів та фондового ринку.</w:t>
            </w:r>
          </w:p>
          <w:p w14:paraId="42713BC7" w14:textId="77777777" w:rsidR="00806997" w:rsidRPr="00286216" w:rsidRDefault="00806997" w:rsidP="00806997">
            <w:pPr>
              <w:pStyle w:val="StyleZakonu"/>
              <w:rPr>
                <w:color w:val="000000" w:themeColor="text1"/>
              </w:rPr>
            </w:pPr>
            <w:r w:rsidRPr="00286216">
              <w:rPr>
                <w:color w:val="000000" w:themeColor="text1"/>
              </w:rPr>
              <w:t>7. Інвестиційна фірма, що надає прямий електронний доступ, зобов’язана забезпечити функціонування системи внутрішнього контролю у спосіб, що гарантує:</w:t>
            </w:r>
          </w:p>
          <w:p w14:paraId="0D0F2866" w14:textId="77777777" w:rsidR="00806997" w:rsidRPr="00286216" w:rsidRDefault="00806997" w:rsidP="00806997">
            <w:pPr>
              <w:pStyle w:val="StyleZakonu"/>
              <w:rPr>
                <w:color w:val="000000" w:themeColor="text1"/>
              </w:rPr>
            </w:pPr>
            <w:r w:rsidRPr="00286216">
              <w:rPr>
                <w:color w:val="000000" w:themeColor="text1"/>
              </w:rPr>
              <w:t>1) проведення відповідно до внутрішніх правил такої інвестиційної фірми первинної та повторних перевірок клієнтів, які бажають отримувати послуги прямого електронного доступу, спрямованої на встановлення відсутності у діяльності таких клієнтів загрози для стабільності функціонування організованого ринку, до якого надається електронний доступ;</w:t>
            </w:r>
          </w:p>
          <w:p w14:paraId="198D8223" w14:textId="77777777" w:rsidR="00806997" w:rsidRPr="00286216" w:rsidRDefault="00806997" w:rsidP="00806997">
            <w:pPr>
              <w:pStyle w:val="StyleZakonu"/>
              <w:rPr>
                <w:color w:val="000000" w:themeColor="text1"/>
              </w:rPr>
            </w:pPr>
            <w:r w:rsidRPr="00286216">
              <w:rPr>
                <w:color w:val="000000" w:themeColor="text1"/>
              </w:rPr>
              <w:t>2) неможливість перевищення у ході торгівлі клієнтами, які бажають отримувати послуги прямого електронного доступу, лімітів та обмежень, встановлених, у тому числі, інвестиційною фірмою та/або оператором організованого ринку, учасником якого є інвестиційна фірма, що надає прямий електронний доступ;</w:t>
            </w:r>
          </w:p>
          <w:p w14:paraId="64C62B37" w14:textId="77777777" w:rsidR="00806997" w:rsidRPr="00286216" w:rsidRDefault="00806997" w:rsidP="00806997">
            <w:pPr>
              <w:pStyle w:val="StyleZakonu"/>
              <w:rPr>
                <w:color w:val="000000" w:themeColor="text1"/>
              </w:rPr>
            </w:pPr>
            <w:r w:rsidRPr="00286216">
              <w:rPr>
                <w:color w:val="000000" w:themeColor="text1"/>
              </w:rPr>
              <w:t>3) постійний моніторинг торгової діяльності клієнтів, які отримують послуги прямого електронного доступу;</w:t>
            </w:r>
          </w:p>
          <w:p w14:paraId="2174C728" w14:textId="77777777" w:rsidR="00806997" w:rsidRPr="00286216" w:rsidRDefault="00806997" w:rsidP="00806997">
            <w:pPr>
              <w:pStyle w:val="StyleZakonu"/>
              <w:rPr>
                <w:color w:val="000000" w:themeColor="text1"/>
              </w:rPr>
            </w:pPr>
            <w:r w:rsidRPr="00286216">
              <w:rPr>
                <w:color w:val="000000" w:themeColor="text1"/>
              </w:rPr>
              <w:t>4) мінімізацію можливості здійснення клієнтами, які отримують послуги прямого електронного доступу, торгівлі, що містить ознаки маніпулювання та/або незаконного використання інсайдерської інформації або здатна спричинити ситуацію цінової нестабільності на організованому ринку, учасником якого є інвестиційна фірма, або іншим чином порушити цілісність ринків капіталу чи завдати шкоди інвесторам.</w:t>
            </w:r>
          </w:p>
          <w:p w14:paraId="18090BC5" w14:textId="77777777" w:rsidR="00806997" w:rsidRPr="00286216" w:rsidRDefault="00806997" w:rsidP="00806997">
            <w:pPr>
              <w:pStyle w:val="StyleZakonu"/>
              <w:rPr>
                <w:color w:val="000000" w:themeColor="text1"/>
              </w:rPr>
            </w:pPr>
            <w:r w:rsidRPr="00286216">
              <w:rPr>
                <w:color w:val="000000" w:themeColor="text1"/>
              </w:rPr>
              <w:t xml:space="preserve">Надання інвестиційною фірмою клієнтам прямого </w:t>
            </w:r>
            <w:r w:rsidRPr="00286216">
              <w:rPr>
                <w:color w:val="000000" w:themeColor="text1"/>
              </w:rPr>
              <w:lastRenderedPageBreak/>
              <w:t>електронного доступу без забезпечення функціонування системи внутрішнього контролю із дотриманням гарантій, передбачених цією частиною, заборонено.</w:t>
            </w:r>
          </w:p>
          <w:p w14:paraId="2E154DEC" w14:textId="77777777" w:rsidR="00806997" w:rsidRPr="00286216" w:rsidRDefault="00806997" w:rsidP="00806997">
            <w:pPr>
              <w:pStyle w:val="StyleZakonu"/>
              <w:rPr>
                <w:color w:val="000000" w:themeColor="text1"/>
              </w:rPr>
            </w:pPr>
            <w:r w:rsidRPr="00286216">
              <w:rPr>
                <w:color w:val="000000" w:themeColor="text1"/>
              </w:rPr>
              <w:t xml:space="preserve">8. Надання клієнтам прямого електронного доступу інвестиційною фірмою може здійснюватись виключно на підставі договору, обов’язковою умовою якого є повна та безумовна відповідальність інвестиційної фірми за будь-які порушення клієнтами, які отримують послуги прямого електронного доступу, вимог до учасників організованих ринків, встановлених цим Законом та нормативно-правовими актами, прийнятими на його виконання, а також правил організованого ринку, учасником якого є інвестиційна фірма.  При цьому інвестиційна фірма має забезпечити дотримання клієнтами, яким надано прямий електронний доступ, вимог цього Закону, нормативних актів Національної комісії з цінних паперів та фондового ринку, а також правил функціонування відповідного організованого ринку, до якого надано доступ. </w:t>
            </w:r>
          </w:p>
          <w:p w14:paraId="025B29E9" w14:textId="77777777" w:rsidR="00806997" w:rsidRPr="00286216" w:rsidRDefault="00806997" w:rsidP="00806997">
            <w:pPr>
              <w:pStyle w:val="StyleZakonu"/>
              <w:rPr>
                <w:color w:val="000000" w:themeColor="text1"/>
              </w:rPr>
            </w:pPr>
            <w:r w:rsidRPr="00286216">
              <w:rPr>
                <w:color w:val="000000" w:themeColor="text1"/>
              </w:rPr>
              <w:t>З метою виявлення порушень таких вимог та правил, а також поведінки, що може спричинити ситуації цінової нестабільності або іншим чином порушити цілісність ринків капіталу чи завдати шкоди інвесторам, інвестиційна фірма повинна здійснювати моніторинг операцій клієнтів, які отримують послуги прямого електронного доступу. Про виявлені операції клієнтів, які отримують послуги прямого електронного доступу, що містять ознаки маніпулювання та/або торгівлі з використанням інсайдерської інформації, та/або іншого порушення законодавства про ринки капіталу та/або правил функціонування організованого ринку, доступ до якого надає інвестиційна фірма, така  інвестиційна фірма зобов’язана негайно повідомити Національну комісію з цінних паперів та фондового ринку офіційним каналом зв’язку.</w:t>
            </w:r>
          </w:p>
          <w:p w14:paraId="7E637495" w14:textId="77777777" w:rsidR="00806997" w:rsidRPr="00286216" w:rsidRDefault="00806997" w:rsidP="00806997">
            <w:pPr>
              <w:pStyle w:val="StyleZakonu"/>
              <w:rPr>
                <w:color w:val="000000" w:themeColor="text1"/>
              </w:rPr>
            </w:pPr>
            <w:r w:rsidRPr="00286216">
              <w:rPr>
                <w:color w:val="000000" w:themeColor="text1"/>
              </w:rPr>
              <w:t xml:space="preserve">9. Національна комісія з цінних паперів та фондового ринку встановлює порядок та строки надання інвестиційною фірмою, що надає прямий електронний доступ, інформації про функціонування системи внутрішнього контролю в частині дотримання гарантій, передбачених частиною сьомою </w:t>
            </w:r>
            <w:r w:rsidRPr="00286216">
              <w:rPr>
                <w:color w:val="000000" w:themeColor="text1"/>
              </w:rPr>
              <w:lastRenderedPageBreak/>
              <w:t>цієї статті.</w:t>
            </w:r>
          </w:p>
          <w:p w14:paraId="487C6706" w14:textId="77777777" w:rsidR="00806997" w:rsidRPr="00286216" w:rsidRDefault="00806997" w:rsidP="00806997">
            <w:pPr>
              <w:pStyle w:val="StyleZakonu"/>
              <w:rPr>
                <w:color w:val="000000" w:themeColor="text1"/>
              </w:rPr>
            </w:pPr>
            <w:r w:rsidRPr="00286216">
              <w:rPr>
                <w:color w:val="000000" w:themeColor="text1"/>
              </w:rPr>
              <w:t>10. Оператор організованого  ринку зобов’язаний розробити та впровадити системи та заходи, спрямовані на запобігання створенню на організованому  ринку, організацію діяльності якого здійснює такий оператор, ситуації цінової нестабільності або порушенню іншим чином цілісності ринків капіталу чи завданню шкоди інвесторам внаслідок проведення учасниками такого ринку алгоритмічної торгівлі, а також на запровадження механізмів ліквідації зазначених ситуацій чи порушень, створених алгоритмічною торгівлею. Такі системи та заходи щонайменше повинні  включати:</w:t>
            </w:r>
          </w:p>
          <w:p w14:paraId="67893B80" w14:textId="77777777" w:rsidR="00806997" w:rsidRPr="00286216" w:rsidRDefault="00806997" w:rsidP="00806997">
            <w:pPr>
              <w:pStyle w:val="StyleZakonu"/>
              <w:rPr>
                <w:color w:val="000000" w:themeColor="text1"/>
              </w:rPr>
            </w:pPr>
            <w:r w:rsidRPr="00286216">
              <w:rPr>
                <w:color w:val="000000" w:themeColor="text1"/>
              </w:rPr>
              <w:t>1) включення до правил організованого  ринку, організацію діяльності якого здійснює такий оператор, вимоги до учасників організованого  ринку про обов’язкове проведення у тестовому середовищі, наданому оператором організованого  ринку, тестування алгоритмів, що будуть використовуватися інвестиційними фірмами-учасниками такого ринку;</w:t>
            </w:r>
          </w:p>
          <w:p w14:paraId="16BC940A" w14:textId="77777777" w:rsidR="00806997" w:rsidRPr="00286216" w:rsidRDefault="00806997" w:rsidP="00806997">
            <w:pPr>
              <w:pStyle w:val="StyleZakonu"/>
              <w:rPr>
                <w:color w:val="000000" w:themeColor="text1"/>
              </w:rPr>
            </w:pPr>
            <w:r w:rsidRPr="00286216">
              <w:rPr>
                <w:color w:val="000000" w:themeColor="text1"/>
              </w:rPr>
              <w:t>2) запровадження максимально допустимого співвідношення між  кількістю виконаних та кількістю невиконаних заявок або котирувань</w:t>
            </w:r>
            <w:r w:rsidRPr="00286216" w:rsidDel="00A36C4C">
              <w:rPr>
                <w:color w:val="000000" w:themeColor="text1"/>
              </w:rPr>
              <w:t xml:space="preserve"> </w:t>
            </w:r>
            <w:r w:rsidRPr="00286216">
              <w:rPr>
                <w:color w:val="000000" w:themeColor="text1"/>
              </w:rPr>
              <w:t>одного учасника організованого  ринку, за якого допускається прийняття нових заявок або котирувань такого учасника;</w:t>
            </w:r>
          </w:p>
          <w:p w14:paraId="5B8804BF" w14:textId="77777777" w:rsidR="00806997" w:rsidRPr="00286216" w:rsidRDefault="00806997" w:rsidP="00806997">
            <w:pPr>
              <w:pStyle w:val="StyleZakonu"/>
              <w:rPr>
                <w:color w:val="000000" w:themeColor="text1"/>
              </w:rPr>
            </w:pPr>
            <w:r w:rsidRPr="00286216">
              <w:rPr>
                <w:color w:val="000000" w:themeColor="text1"/>
              </w:rPr>
              <w:t>3) систему зменшення кількості заявок або котирувань, що приймаються багатосторонньою системою до опрацювання, за умови наявності ризику перевищення технічних можливостей її коректного функціонування;</w:t>
            </w:r>
          </w:p>
          <w:p w14:paraId="0C2AE74F" w14:textId="77777777" w:rsidR="00806997" w:rsidRPr="00286216" w:rsidRDefault="00806997" w:rsidP="00806997">
            <w:pPr>
              <w:pStyle w:val="StyleZakonu"/>
              <w:rPr>
                <w:color w:val="000000" w:themeColor="text1"/>
              </w:rPr>
            </w:pPr>
            <w:r w:rsidRPr="00286216">
              <w:rPr>
                <w:color w:val="000000" w:themeColor="text1"/>
              </w:rPr>
              <w:t>4) запровадження мінімального кроку ціни та заходів контролю за його дотриманням учасниками організованого  ринку.</w:t>
            </w:r>
          </w:p>
          <w:p w14:paraId="64F885F5" w14:textId="77777777" w:rsidR="00806997" w:rsidRPr="00286216" w:rsidRDefault="00806997" w:rsidP="00806997">
            <w:pPr>
              <w:pStyle w:val="StyleZakonu"/>
              <w:rPr>
                <w:color w:val="000000" w:themeColor="text1"/>
              </w:rPr>
            </w:pPr>
            <w:r w:rsidRPr="00286216">
              <w:rPr>
                <w:color w:val="000000" w:themeColor="text1"/>
              </w:rPr>
              <w:t xml:space="preserve">11. Структура комісійної винагороди оператора організованого  ринку, зокрема плати за виконання заявок або котирувань, плати за додаткові послуги та будь-яких зменшень плати за послуги повинна бути прозорою, недискримінаційною та запобігати стимулюванню надсилання, зміни чи скасування заявок або котирувань у спосіб, що може спричинити ситуацію цінової нестабільності або іншим чином порушити цілісність ринків капіталу чи завдати </w:t>
            </w:r>
            <w:r w:rsidRPr="00286216">
              <w:rPr>
                <w:color w:val="000000" w:themeColor="text1"/>
              </w:rPr>
              <w:lastRenderedPageBreak/>
              <w:t>шкоди інвесторам, у тому числі в результаті маніпулювання. Оператори організованих  ринків можуть встановлювати вищу порівняно з комісійною винагородою, що сплачується іншими учасниками організованого ринку, комісійну плату для учасників організованого ринку, які:</w:t>
            </w:r>
          </w:p>
          <w:p w14:paraId="2D37F40D" w14:textId="77777777" w:rsidR="00806997" w:rsidRPr="00286216" w:rsidRDefault="00806997" w:rsidP="00806997">
            <w:pPr>
              <w:pStyle w:val="StyleZakonu"/>
              <w:rPr>
                <w:color w:val="000000" w:themeColor="text1"/>
              </w:rPr>
            </w:pPr>
            <w:r w:rsidRPr="00286216">
              <w:rPr>
                <w:color w:val="000000" w:themeColor="text1"/>
              </w:rPr>
              <w:t>а) мають високе згідно з внутрішніми документами оператора організованого  ринку співвідношення між скасованими та виконаними заявками або котируваннями;</w:t>
            </w:r>
          </w:p>
          <w:p w14:paraId="569A6DB7" w14:textId="77777777" w:rsidR="00806997" w:rsidRPr="00286216" w:rsidRDefault="00806997" w:rsidP="00806997">
            <w:pPr>
              <w:pStyle w:val="StyleZakonu"/>
              <w:rPr>
                <w:color w:val="000000" w:themeColor="text1"/>
              </w:rPr>
            </w:pPr>
            <w:r w:rsidRPr="00286216">
              <w:rPr>
                <w:color w:val="000000" w:themeColor="text1"/>
              </w:rPr>
              <w:t>б) проводять високочастотну алгоритмічну торгівлю.</w:t>
            </w:r>
          </w:p>
          <w:p w14:paraId="7D6FDAE5" w14:textId="77777777" w:rsidR="00806997" w:rsidRPr="00286216" w:rsidRDefault="00806997" w:rsidP="00806997">
            <w:pPr>
              <w:pStyle w:val="StyleZakonu"/>
              <w:rPr>
                <w:color w:val="000000" w:themeColor="text1"/>
              </w:rPr>
            </w:pPr>
            <w:r w:rsidRPr="00286216">
              <w:rPr>
                <w:color w:val="000000" w:themeColor="text1"/>
              </w:rPr>
              <w:t>12. Багатостороння система організованого  ринку повинна забезпечувати можливість ідентифікації шляхом проставлення учасниками організованого  ринку відповідних маркерів:</w:t>
            </w:r>
          </w:p>
          <w:p w14:paraId="472D8617" w14:textId="77777777" w:rsidR="00806997" w:rsidRPr="00286216" w:rsidRDefault="00806997" w:rsidP="00806997">
            <w:pPr>
              <w:pStyle w:val="StyleZakonu"/>
              <w:rPr>
                <w:color w:val="000000" w:themeColor="text1"/>
              </w:rPr>
            </w:pPr>
            <w:r w:rsidRPr="00286216">
              <w:rPr>
                <w:color w:val="000000" w:themeColor="text1"/>
              </w:rPr>
              <w:t>1) заявок або котирувань, сформованих у ході алгоритмічної торгівлі;</w:t>
            </w:r>
          </w:p>
          <w:p w14:paraId="387E06C9" w14:textId="77777777" w:rsidR="00806997" w:rsidRPr="00286216" w:rsidRDefault="00806997" w:rsidP="00806997">
            <w:pPr>
              <w:pStyle w:val="StyleZakonu"/>
              <w:rPr>
                <w:color w:val="000000" w:themeColor="text1"/>
              </w:rPr>
            </w:pPr>
            <w:r w:rsidRPr="00286216">
              <w:rPr>
                <w:color w:val="000000" w:themeColor="text1"/>
              </w:rPr>
              <w:t>2) різних алгоритмів, використаних для ініціювання та/або формування та/або надсилання заявок або котирувань;</w:t>
            </w:r>
          </w:p>
          <w:p w14:paraId="55D70C1C" w14:textId="77777777" w:rsidR="00806997" w:rsidRPr="00286216" w:rsidRDefault="00806997" w:rsidP="00806997">
            <w:pPr>
              <w:pStyle w:val="StyleZakonu"/>
              <w:rPr>
                <w:color w:val="000000" w:themeColor="text1"/>
              </w:rPr>
            </w:pPr>
            <w:r w:rsidRPr="00286216">
              <w:rPr>
                <w:color w:val="000000" w:themeColor="text1"/>
              </w:rPr>
              <w:t>3) осіб, які ініціювали заявку або котирування.</w:t>
            </w:r>
          </w:p>
          <w:p w14:paraId="35F865C4" w14:textId="77777777" w:rsidR="00806997" w:rsidRPr="00286216" w:rsidRDefault="00806997" w:rsidP="00806997">
            <w:pPr>
              <w:pStyle w:val="StyleZakonu"/>
              <w:rPr>
                <w:color w:val="000000" w:themeColor="text1"/>
              </w:rPr>
            </w:pPr>
            <w:r w:rsidRPr="00286216">
              <w:rPr>
                <w:color w:val="000000" w:themeColor="text1"/>
              </w:rPr>
              <w:t>Така інформація повинна бути надана оператором організованого  ринку Національній комісії з цінних паперів та фондового ринку на її запит.</w:t>
            </w:r>
          </w:p>
          <w:p w14:paraId="1564D0A5" w14:textId="77777777" w:rsidR="00806997" w:rsidRPr="00286216" w:rsidRDefault="00806997" w:rsidP="00806997">
            <w:pPr>
              <w:pStyle w:val="StyleZakonu"/>
              <w:rPr>
                <w:color w:val="000000" w:themeColor="text1"/>
              </w:rPr>
            </w:pPr>
            <w:r w:rsidRPr="00286216">
              <w:rPr>
                <w:color w:val="000000" w:themeColor="text1"/>
              </w:rPr>
              <w:t>13. Відповідно до цієї статті нормативно-правовими актами Національної комісії з цінних паперів та фондового ринку встановлюються:</w:t>
            </w:r>
          </w:p>
          <w:p w14:paraId="57A50582" w14:textId="77777777" w:rsidR="00806997" w:rsidRPr="00286216" w:rsidRDefault="00806997" w:rsidP="00806997">
            <w:pPr>
              <w:pStyle w:val="StyleZakonu"/>
              <w:rPr>
                <w:color w:val="000000" w:themeColor="text1"/>
              </w:rPr>
            </w:pPr>
            <w:r w:rsidRPr="00286216">
              <w:rPr>
                <w:color w:val="000000" w:themeColor="text1"/>
              </w:rPr>
              <w:t>1) організаційні вимоги до інвестиційних фірм, що проводять алгоритмічну торгівлю, при цьому вимоги до інвестиційних фірм, що надають послуги прямого доступу до ринку та спонсорованого доступ до ринку, повинні забезпечувати однаковий рівень організації системи внутрішнього контролю;</w:t>
            </w:r>
          </w:p>
          <w:p w14:paraId="70D13593" w14:textId="77777777" w:rsidR="00806997" w:rsidRPr="00286216" w:rsidRDefault="00806997" w:rsidP="00806997">
            <w:pPr>
              <w:pStyle w:val="StyleZakonu"/>
              <w:rPr>
                <w:color w:val="000000" w:themeColor="text1"/>
              </w:rPr>
            </w:pPr>
            <w:r w:rsidRPr="00286216">
              <w:rPr>
                <w:color w:val="000000" w:themeColor="text1"/>
              </w:rPr>
              <w:t>2) перелік відомостей, що розкриваються інвестиційними фірмами у зв’язку із здійсненням ними алгоритмічної торгівлі, а також порядок, строки та форму розкриття такої інформації;</w:t>
            </w:r>
          </w:p>
          <w:p w14:paraId="25013114" w14:textId="77777777" w:rsidR="00806997" w:rsidRPr="00286216" w:rsidRDefault="00806997" w:rsidP="00806997">
            <w:pPr>
              <w:pStyle w:val="StyleZakonu"/>
              <w:rPr>
                <w:color w:val="000000" w:themeColor="text1"/>
              </w:rPr>
            </w:pPr>
            <w:r w:rsidRPr="00286216">
              <w:rPr>
                <w:color w:val="000000" w:themeColor="text1"/>
              </w:rPr>
              <w:t xml:space="preserve">3) вимоги до системи внутрішнього контролю операторів організованих ринків, при цьому вимоги до операторів організованих ринків, що надають послуги прямого доступу до ринку та спонсорованого </w:t>
            </w:r>
            <w:r w:rsidRPr="00286216">
              <w:rPr>
                <w:color w:val="000000" w:themeColor="text1"/>
              </w:rPr>
              <w:lastRenderedPageBreak/>
              <w:t>доступ до ринку, повинні забезпечувати однаковий рівень організації системи внутрішнього контролю;</w:t>
            </w:r>
          </w:p>
          <w:p w14:paraId="39C49CAA" w14:textId="77777777" w:rsidR="00806997" w:rsidRPr="00286216" w:rsidRDefault="00806997" w:rsidP="00806997">
            <w:pPr>
              <w:pStyle w:val="StyleZakonu"/>
              <w:rPr>
                <w:color w:val="000000" w:themeColor="text1"/>
              </w:rPr>
            </w:pPr>
            <w:r w:rsidRPr="00286216">
              <w:rPr>
                <w:color w:val="000000" w:themeColor="text1"/>
              </w:rPr>
              <w:t>4) перелік обставин, що становлять надзвичайну ситуацію на ринку;</w:t>
            </w:r>
          </w:p>
          <w:p w14:paraId="46BAFBC7" w14:textId="77777777" w:rsidR="00806997" w:rsidRPr="00286216" w:rsidRDefault="00806997" w:rsidP="00806997">
            <w:pPr>
              <w:pStyle w:val="StyleZakonu"/>
              <w:rPr>
                <w:color w:val="000000" w:themeColor="text1"/>
              </w:rPr>
            </w:pPr>
            <w:r w:rsidRPr="00286216">
              <w:rPr>
                <w:color w:val="000000" w:themeColor="text1"/>
              </w:rPr>
              <w:t>5) порядок визначення максимально допустимого співвідношення між виконаними та невиконаними заявками або котирування одного учасника організованого  ринку, за якого допускається прийняття нових заявок або котирувань такого учасника;</w:t>
            </w:r>
          </w:p>
          <w:p w14:paraId="0E59C8DA" w14:textId="77777777" w:rsidR="00806997" w:rsidRPr="00286216" w:rsidRDefault="00806997" w:rsidP="00806997">
            <w:pPr>
              <w:pStyle w:val="StyleZakonu"/>
              <w:rPr>
                <w:color w:val="000000" w:themeColor="text1"/>
              </w:rPr>
            </w:pPr>
            <w:r w:rsidRPr="00286216">
              <w:rPr>
                <w:color w:val="000000" w:themeColor="text1"/>
              </w:rPr>
              <w:t>6) вимоги до структури комісійної винагороди операторів організованих ринків, зокрема в частині плати за колокацію та проксіміті-хостинг;</w:t>
            </w:r>
          </w:p>
          <w:p w14:paraId="257B1895" w14:textId="77777777" w:rsidR="00806997" w:rsidRPr="00286216" w:rsidRDefault="00806997" w:rsidP="00806997">
            <w:pPr>
              <w:pStyle w:val="StyleZakonu"/>
              <w:rPr>
                <w:color w:val="000000" w:themeColor="text1"/>
              </w:rPr>
            </w:pPr>
            <w:r w:rsidRPr="00286216">
              <w:rPr>
                <w:color w:val="000000" w:themeColor="text1"/>
              </w:rPr>
              <w:t>7) вимоги до тестового середовища операторів організованих ринків.</w:t>
            </w:r>
          </w:p>
          <w:p w14:paraId="7E6AC73E" w14:textId="77777777" w:rsidR="00806997" w:rsidRPr="00286216" w:rsidRDefault="00806997" w:rsidP="00806997">
            <w:pPr>
              <w:pStyle w:val="StyleZakonu"/>
              <w:rPr>
                <w:color w:val="000000" w:themeColor="text1"/>
              </w:rPr>
            </w:pPr>
            <w:r w:rsidRPr="00286216">
              <w:rPr>
                <w:color w:val="000000" w:themeColor="text1"/>
              </w:rPr>
              <w:t>Національна комісія з цінних паперів та фондового ринку розробляє, затверджує та публікує на своєму офіційному веб-сайті методичні рекомендації щодо здійснення алгоритмічної торгівлі.</w:t>
            </w:r>
          </w:p>
          <w:p w14:paraId="7C1BD827" w14:textId="616AA1CA" w:rsidR="00806997" w:rsidRPr="00286216" w:rsidRDefault="00806997" w:rsidP="00806997">
            <w:pPr>
              <w:pStyle w:val="StyleZakonu"/>
              <w:rPr>
                <w:color w:val="000000" w:themeColor="text1"/>
              </w:rPr>
            </w:pPr>
            <w:r w:rsidRPr="00286216">
              <w:rPr>
                <w:color w:val="000000" w:themeColor="text1"/>
              </w:rPr>
              <w:t>14. Положення цієї статті застосовується також до здійснення алгоритмічної торгівлі при здійсненні товарних операцій та при вчиненні правочинів щодо валютних цінностей.</w:t>
            </w:r>
          </w:p>
        </w:tc>
      </w:tr>
      <w:bookmarkEnd w:id="676"/>
      <w:tr w:rsidR="00806997" w:rsidRPr="00286216" w14:paraId="15860D1C" w14:textId="77777777" w:rsidTr="00091AA5">
        <w:tc>
          <w:tcPr>
            <w:tcW w:w="576" w:type="dxa"/>
          </w:tcPr>
          <w:p w14:paraId="05F864B8" w14:textId="77777777" w:rsidR="00806997" w:rsidRPr="00286216" w:rsidRDefault="00806997" w:rsidP="00806997">
            <w:pPr>
              <w:pStyle w:val="StyleWisnow"/>
              <w:rPr>
                <w:color w:val="000000" w:themeColor="text1"/>
              </w:rPr>
            </w:pPr>
          </w:p>
        </w:tc>
        <w:tc>
          <w:tcPr>
            <w:tcW w:w="4818" w:type="dxa"/>
          </w:tcPr>
          <w:p w14:paraId="253CA856" w14:textId="77777777" w:rsidR="00806997" w:rsidRPr="00286216" w:rsidRDefault="00806997" w:rsidP="00806997">
            <w:pPr>
              <w:pStyle w:val="StyleZakonu"/>
              <w:rPr>
                <w:color w:val="000000" w:themeColor="text1"/>
              </w:rPr>
            </w:pPr>
          </w:p>
        </w:tc>
        <w:tc>
          <w:tcPr>
            <w:tcW w:w="3686" w:type="dxa"/>
          </w:tcPr>
          <w:p w14:paraId="29D54121" w14:textId="7B75560F" w:rsidR="00806997" w:rsidRPr="00286216" w:rsidRDefault="00806997" w:rsidP="0080699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537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D353E8F" w14:textId="62CECC56" w:rsidR="00806997" w:rsidRPr="00286216" w:rsidRDefault="00806997" w:rsidP="00806997">
            <w:pPr>
              <w:pStyle w:val="StyleProp"/>
              <w:rPr>
                <w:color w:val="000000" w:themeColor="text1"/>
              </w:rPr>
            </w:pPr>
            <w:r w:rsidRPr="00286216">
              <w:rPr>
                <w:color w:val="000000" w:themeColor="text1"/>
              </w:rPr>
              <w:t>Доповнити розділ І законопроекту після статті 51 новою статею такого змісту:</w:t>
            </w:r>
          </w:p>
          <w:p w14:paraId="1144229F" w14:textId="18C692B1" w:rsidR="00806997" w:rsidRPr="00286216" w:rsidRDefault="00806997" w:rsidP="00806997">
            <w:pPr>
              <w:pStyle w:val="StyleProp"/>
              <w:rPr>
                <w:color w:val="000000" w:themeColor="text1"/>
              </w:rPr>
            </w:pPr>
            <w:r w:rsidRPr="00286216">
              <w:rPr>
                <w:color w:val="000000" w:themeColor="text1"/>
              </w:rPr>
              <w:t>"Стаття 51-2. Механізми підтримання ліквідності</w:t>
            </w:r>
          </w:p>
          <w:p w14:paraId="7DF0EE92" w14:textId="4AF56B89" w:rsidR="00806997" w:rsidRPr="00286216" w:rsidRDefault="00806997" w:rsidP="00806997">
            <w:pPr>
              <w:pStyle w:val="StyleProp"/>
              <w:rPr>
                <w:color w:val="000000" w:themeColor="text1"/>
              </w:rPr>
            </w:pPr>
            <w:r w:rsidRPr="00286216">
              <w:rPr>
                <w:color w:val="000000" w:themeColor="text1"/>
              </w:rPr>
              <w:t>1. Оператор регульованого ринку зобов’язаний забезпечити:</w:t>
            </w:r>
          </w:p>
          <w:p w14:paraId="1EFD5BD0" w14:textId="0F42CCF8" w:rsidR="00806997" w:rsidRPr="00286216" w:rsidRDefault="00806997" w:rsidP="00806997">
            <w:pPr>
              <w:pStyle w:val="StyleProp"/>
              <w:rPr>
                <w:color w:val="000000" w:themeColor="text1"/>
              </w:rPr>
            </w:pPr>
            <w:r w:rsidRPr="00286216">
              <w:rPr>
                <w:color w:val="000000" w:themeColor="text1"/>
              </w:rPr>
              <w:t>1) наявність механізмів підтримання ліквідності на регульованому ринку, управління діяльністю якого він здійснює;</w:t>
            </w:r>
          </w:p>
          <w:p w14:paraId="78B80F4E" w14:textId="00C107BA" w:rsidR="00806997" w:rsidRPr="00286216" w:rsidRDefault="00806997" w:rsidP="00806997">
            <w:pPr>
              <w:pStyle w:val="StyleProp"/>
              <w:rPr>
                <w:color w:val="000000" w:themeColor="text1"/>
              </w:rPr>
            </w:pPr>
            <w:r w:rsidRPr="00286216">
              <w:rPr>
                <w:color w:val="000000" w:themeColor="text1"/>
              </w:rPr>
              <w:t xml:space="preserve">2) укладення договорів про виконання функцій маркет-мейкера з учасниками, діяльність яких згідно з критеріями, встановленими оператором регульованого ринку, підтримує ліквідність на регульованому ринку, управління діяльністю якого він здійснює. </w:t>
            </w:r>
          </w:p>
          <w:p w14:paraId="48300DE2" w14:textId="77777777" w:rsidR="00806997" w:rsidRPr="00286216" w:rsidRDefault="00806997" w:rsidP="00806997">
            <w:pPr>
              <w:pStyle w:val="StyleProp"/>
              <w:rPr>
                <w:color w:val="000000" w:themeColor="text1"/>
              </w:rPr>
            </w:pPr>
            <w:r w:rsidRPr="00286216">
              <w:rPr>
                <w:color w:val="000000" w:themeColor="text1"/>
              </w:rPr>
              <w:t xml:space="preserve">Оператор регульованого ринку забезпечує наявність механізмів підтримання ліквідності шляхом розробки та публікації на власному веб-сайті відповідного внутрішнього документа (далі – механізм підтримання ліквідності), положення якого щонайменше </w:t>
            </w:r>
            <w:r w:rsidRPr="00286216">
              <w:rPr>
                <w:color w:val="000000" w:themeColor="text1"/>
              </w:rPr>
              <w:lastRenderedPageBreak/>
              <w:t xml:space="preserve">передбачають, що оператор регульованого ринку забезпечує, що учасники регульованого ринку, кількість яких є достатньою з урахуванням масштабу регульованого ринку та предмету торгівлі на такому ринку для підтримання ліквідності щодо визначених активів, що допущені до торгів на такому ринку, зобов’язані на регулярній та прогнозованій основі надсилати щодо таких активів тверді котирування за конкурентною ціною. </w:t>
            </w:r>
          </w:p>
          <w:p w14:paraId="76917C54" w14:textId="77777777" w:rsidR="00806997" w:rsidRPr="00286216" w:rsidRDefault="00806997" w:rsidP="00806997">
            <w:pPr>
              <w:pStyle w:val="StyleProp"/>
              <w:rPr>
                <w:color w:val="000000" w:themeColor="text1"/>
              </w:rPr>
            </w:pPr>
            <w:r w:rsidRPr="00286216">
              <w:rPr>
                <w:color w:val="000000" w:themeColor="text1"/>
              </w:rPr>
              <w:t xml:space="preserve">На підставі такого внутрішнього документу оператор регульованого ринку зобов’язаний укласти з учасником регульованого ринку договір про виконання функцій маркет-мейкера. При цьому маркет-мейкером вважається особа, яка на постійній основі готова за власний рахунок та за встановленими нею цінами укладати деривативні контракти або вчиняти правочини, щодо інших активів, що допущені до торгів на регульованому ринку.  </w:t>
            </w:r>
          </w:p>
          <w:p w14:paraId="465B8B91" w14:textId="77777777" w:rsidR="00806997" w:rsidRPr="00286216" w:rsidRDefault="00806997" w:rsidP="00806997">
            <w:pPr>
              <w:pStyle w:val="StyleProp"/>
              <w:rPr>
                <w:color w:val="000000" w:themeColor="text1"/>
              </w:rPr>
            </w:pPr>
            <w:r w:rsidRPr="00286216">
              <w:rPr>
                <w:color w:val="000000" w:themeColor="text1"/>
              </w:rPr>
              <w:t>Особа набуває статусу маркет-мейкера з дати підписання договору про виконання функцій маркет-мейкера.</w:t>
            </w:r>
          </w:p>
          <w:p w14:paraId="410606A1" w14:textId="6CBA01A8" w:rsidR="00806997" w:rsidRPr="00286216" w:rsidRDefault="00806997" w:rsidP="00806997">
            <w:pPr>
              <w:pStyle w:val="StyleProp"/>
              <w:spacing w:line="180" w:lineRule="exact"/>
              <w:rPr>
                <w:color w:val="000000" w:themeColor="text1"/>
                <w:spacing w:val="-2"/>
              </w:rPr>
            </w:pPr>
            <w:r w:rsidRPr="00286216">
              <w:rPr>
                <w:color w:val="000000" w:themeColor="text1"/>
                <w:spacing w:val="-2"/>
              </w:rPr>
              <w:t>2. Оператор регульованого ринку повинен виконувати обов’язок, передбачений пунктом 1 частини першої цієї статті, щодо тих фінансових інструментів, співставлення зустрічних заявок або котирувань щодо яких здійснюється без втручання людини (за принципом автоматичного поєднання внаслідок виконання комп’ютерного алгоритму зустрічних заявок на основі найкращої доступної ціни). Зазначений обов’язок стосується таких фінансових інструментів:</w:t>
            </w:r>
          </w:p>
          <w:p w14:paraId="1F3916DF" w14:textId="49A3B8D4" w:rsidR="00806997" w:rsidRPr="00286216" w:rsidRDefault="00806997" w:rsidP="00806997">
            <w:pPr>
              <w:pStyle w:val="StyleProp"/>
              <w:spacing w:line="190" w:lineRule="exact"/>
              <w:rPr>
                <w:color w:val="000000" w:themeColor="text1"/>
              </w:rPr>
            </w:pPr>
            <w:r w:rsidRPr="00286216">
              <w:rPr>
                <w:color w:val="000000" w:themeColor="text1"/>
              </w:rPr>
              <w:t>1) акції та цінні папери біржових інвестиційних фондів, щодо яких існує ліквідний ринок;</w:t>
            </w:r>
          </w:p>
          <w:p w14:paraId="6C2F2E51" w14:textId="3894C5B9" w:rsidR="00806997" w:rsidRPr="00286216" w:rsidRDefault="00806997" w:rsidP="00806997">
            <w:pPr>
              <w:pStyle w:val="StyleProp"/>
              <w:spacing w:line="190" w:lineRule="exact"/>
              <w:rPr>
                <w:color w:val="000000" w:themeColor="text1"/>
              </w:rPr>
            </w:pPr>
            <w:r w:rsidRPr="00286216">
              <w:rPr>
                <w:color w:val="000000" w:themeColor="text1"/>
              </w:rPr>
              <w:t>2) опціони та ф’ючерси, базовим активом яких є цінні папери, передбачені пунктом «а» цієї частини статті;</w:t>
            </w:r>
          </w:p>
          <w:p w14:paraId="6910DA4D" w14:textId="4293C176" w:rsidR="00806997" w:rsidRPr="00286216" w:rsidRDefault="00806997" w:rsidP="00806997">
            <w:pPr>
              <w:pStyle w:val="StyleProp"/>
              <w:spacing w:line="190" w:lineRule="exact"/>
              <w:rPr>
                <w:color w:val="000000" w:themeColor="text1"/>
              </w:rPr>
            </w:pPr>
            <w:r w:rsidRPr="00286216">
              <w:rPr>
                <w:color w:val="000000" w:themeColor="text1"/>
              </w:rPr>
              <w:t>3) ф’ючерси на індекси акцій та опціони на індекси акцій, щодо яких існує ліквідний ринок.</w:t>
            </w:r>
          </w:p>
          <w:p w14:paraId="4693A5FF" w14:textId="77777777" w:rsidR="00806997" w:rsidRPr="00286216" w:rsidRDefault="00806997" w:rsidP="00806997">
            <w:pPr>
              <w:pStyle w:val="StyleProp"/>
              <w:spacing w:line="190" w:lineRule="exact"/>
              <w:rPr>
                <w:color w:val="000000" w:themeColor="text1"/>
              </w:rPr>
            </w:pPr>
            <w:r w:rsidRPr="00286216">
              <w:rPr>
                <w:color w:val="000000" w:themeColor="text1"/>
              </w:rPr>
              <w:t>Наявність ліквідного ринку визначається у встановленому Національною комісією з цінних паперів та фондового ринку порядку.</w:t>
            </w:r>
          </w:p>
          <w:p w14:paraId="2954024D" w14:textId="27BCA2EF" w:rsidR="00806997" w:rsidRPr="00286216" w:rsidRDefault="00806997" w:rsidP="00806997">
            <w:pPr>
              <w:pStyle w:val="StyleProp"/>
              <w:spacing w:line="190" w:lineRule="exact"/>
              <w:rPr>
                <w:color w:val="000000" w:themeColor="text1"/>
              </w:rPr>
            </w:pPr>
            <w:r w:rsidRPr="00286216">
              <w:rPr>
                <w:color w:val="000000" w:themeColor="text1"/>
              </w:rPr>
              <w:t>3. Оператор регульованого ринку публікує на своєму веб-сайті:</w:t>
            </w:r>
          </w:p>
          <w:p w14:paraId="16E91593" w14:textId="13B22096" w:rsidR="00806997" w:rsidRPr="00286216" w:rsidRDefault="00806997" w:rsidP="00806997">
            <w:pPr>
              <w:pStyle w:val="StyleProp"/>
              <w:spacing w:line="190" w:lineRule="exact"/>
              <w:rPr>
                <w:color w:val="000000" w:themeColor="text1"/>
              </w:rPr>
            </w:pPr>
            <w:r w:rsidRPr="00286216">
              <w:rPr>
                <w:color w:val="000000" w:themeColor="text1"/>
              </w:rPr>
              <w:t xml:space="preserve">1) перелік учасників регульованого ринку, </w:t>
            </w:r>
            <w:r w:rsidRPr="00286216">
              <w:rPr>
                <w:color w:val="000000" w:themeColor="text1"/>
              </w:rPr>
              <w:lastRenderedPageBreak/>
              <w:t>що підписали договір про виконання функцій маркет-мейкера;</w:t>
            </w:r>
          </w:p>
          <w:p w14:paraId="06ED5477" w14:textId="511F5D03" w:rsidR="00806997" w:rsidRPr="00286216" w:rsidRDefault="00806997" w:rsidP="00806997">
            <w:pPr>
              <w:pStyle w:val="StyleProp"/>
              <w:spacing w:line="190" w:lineRule="exact"/>
              <w:rPr>
                <w:color w:val="000000" w:themeColor="text1"/>
              </w:rPr>
            </w:pPr>
            <w:r w:rsidRPr="00286216">
              <w:rPr>
                <w:color w:val="000000" w:themeColor="text1"/>
              </w:rPr>
              <w:t xml:space="preserve">2) перелік активів, торгівля якими забезпечується відповідно до укладених договорів про виконання функцій маркет-мейкера. </w:t>
            </w:r>
          </w:p>
          <w:p w14:paraId="59CE0536"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Про внесення змін до механізму підтримання ліквідності, оператор регульованого ринку повідомляє всіх учасників регульованого ринку, управління діяльністю якого він здійснює, щонайменше за один календарний місяць до набрання чинності такими змінами. Внесення таких змін є підставою для внесення змін до відповідних договорів про виконання функцій маркет-мейкера, укладених на його підставі. </w:t>
            </w:r>
          </w:p>
          <w:p w14:paraId="4FAADA5C" w14:textId="747FC995" w:rsidR="00806997" w:rsidRPr="00286216" w:rsidRDefault="00806997" w:rsidP="00806997">
            <w:pPr>
              <w:pStyle w:val="StyleProp"/>
              <w:spacing w:line="190" w:lineRule="exact"/>
              <w:rPr>
                <w:color w:val="000000" w:themeColor="text1"/>
              </w:rPr>
            </w:pPr>
            <w:r w:rsidRPr="00286216">
              <w:rPr>
                <w:color w:val="000000" w:themeColor="text1"/>
              </w:rPr>
              <w:t>4. Оператор регульованого ринку забезпечує однакові вигоди (винагороди, компенсації тощо) учасникам регульованого ринку, які в однаковій мірі (відповідно до критеріїв та в порядку, встановлених оператором відповідного регульованого ринку) виконують обов’язки за договором про виконання функцій маркет-мейкера в частині загального часу участі у торгах, обсягів та спреду заявок або котирувань, що надсилаються в ході такої участі.</w:t>
            </w:r>
          </w:p>
          <w:p w14:paraId="6887CAEB" w14:textId="0CB2612D" w:rsidR="00806997" w:rsidRPr="00286216" w:rsidRDefault="00806997" w:rsidP="00806997">
            <w:pPr>
              <w:pStyle w:val="StyleProp"/>
              <w:spacing w:line="190" w:lineRule="exact"/>
              <w:rPr>
                <w:color w:val="000000" w:themeColor="text1"/>
              </w:rPr>
            </w:pPr>
            <w:r w:rsidRPr="00286216">
              <w:rPr>
                <w:color w:val="000000" w:themeColor="text1"/>
              </w:rPr>
              <w:t>5. Оператор регульованого ринку повинен мати внутрішні процедури контролю виконання учасниками регульованого ринку умов договору про виконання функцій маркет-мейкера.</w:t>
            </w:r>
          </w:p>
          <w:p w14:paraId="3C808EDC" w14:textId="039BDB51" w:rsidR="00806997" w:rsidRPr="00286216" w:rsidRDefault="00806997" w:rsidP="00806997">
            <w:pPr>
              <w:pStyle w:val="StyleProp"/>
              <w:spacing w:line="190" w:lineRule="exact"/>
              <w:rPr>
                <w:color w:val="000000" w:themeColor="text1"/>
              </w:rPr>
            </w:pPr>
            <w:r w:rsidRPr="00286216">
              <w:rPr>
                <w:color w:val="000000" w:themeColor="text1"/>
              </w:rPr>
              <w:t>6. Оператор регульованого ринку повинен забезпечити функціонування механізму термінового повідомлення сторін договору про виконання функцій маркет-мейкера про існування на ринку відхилень від нормальних умов функціонування.</w:t>
            </w:r>
          </w:p>
          <w:p w14:paraId="2AF56092" w14:textId="6177623B" w:rsidR="00806997" w:rsidRPr="00286216" w:rsidRDefault="00806997" w:rsidP="00806997">
            <w:pPr>
              <w:pStyle w:val="StyleProp"/>
              <w:spacing w:line="190" w:lineRule="exact"/>
              <w:rPr>
                <w:color w:val="000000" w:themeColor="text1"/>
              </w:rPr>
            </w:pPr>
            <w:r w:rsidRPr="00286216">
              <w:rPr>
                <w:color w:val="000000" w:themeColor="text1"/>
              </w:rPr>
              <w:t>7. Нормативно-правовими актами Національної комісії з цінних паперів та фондового ринку встановлюються:</w:t>
            </w:r>
          </w:p>
          <w:p w14:paraId="228681EE" w14:textId="7F6F3C31" w:rsidR="00806997" w:rsidRPr="00286216" w:rsidRDefault="00806997" w:rsidP="00806997">
            <w:pPr>
              <w:pStyle w:val="StyleProp"/>
              <w:spacing w:line="190" w:lineRule="exact"/>
              <w:rPr>
                <w:color w:val="000000" w:themeColor="text1"/>
              </w:rPr>
            </w:pPr>
            <w:r w:rsidRPr="00286216">
              <w:rPr>
                <w:color w:val="000000" w:themeColor="text1"/>
              </w:rPr>
              <w:t>1) вимоги до механізму підтримання ліквідності, які зокрема забезпечують, що його умови є справедливими та недискримінаційними;</w:t>
            </w:r>
          </w:p>
          <w:p w14:paraId="1D33467A" w14:textId="1665F8FC" w:rsidR="00806997" w:rsidRPr="00286216" w:rsidRDefault="00806997" w:rsidP="00806997">
            <w:pPr>
              <w:pStyle w:val="StyleProp"/>
              <w:spacing w:line="190" w:lineRule="exact"/>
              <w:rPr>
                <w:color w:val="000000" w:themeColor="text1"/>
              </w:rPr>
            </w:pPr>
            <w:r w:rsidRPr="00286216">
              <w:rPr>
                <w:color w:val="000000" w:themeColor="text1"/>
              </w:rPr>
              <w:t>2) вимоги до договору про виконання функцій маркет-мейкера;</w:t>
            </w:r>
          </w:p>
          <w:p w14:paraId="532386F1" w14:textId="570EA94A" w:rsidR="00806997" w:rsidRPr="00286216" w:rsidRDefault="00806997" w:rsidP="00806997">
            <w:pPr>
              <w:pStyle w:val="StyleProp"/>
              <w:spacing w:line="190" w:lineRule="exact"/>
              <w:rPr>
                <w:color w:val="000000" w:themeColor="text1"/>
              </w:rPr>
            </w:pPr>
            <w:r w:rsidRPr="00286216">
              <w:rPr>
                <w:color w:val="000000" w:themeColor="text1"/>
              </w:rPr>
              <w:t>3) обставини, за яких оператори організованих ринків з огляду на масштаб ринку та предмет торгівлі звільняються від обов’язку забезпечувати функціонування механізмів підтримання ліквідності;</w:t>
            </w:r>
          </w:p>
          <w:p w14:paraId="14FCB67A" w14:textId="15E5270A" w:rsidR="00806997" w:rsidRPr="00286216" w:rsidRDefault="00806997" w:rsidP="00806997">
            <w:pPr>
              <w:pStyle w:val="StyleProp"/>
              <w:spacing w:line="190" w:lineRule="exact"/>
              <w:rPr>
                <w:color w:val="000000" w:themeColor="text1"/>
              </w:rPr>
            </w:pPr>
            <w:r w:rsidRPr="00286216">
              <w:rPr>
                <w:color w:val="000000" w:themeColor="text1"/>
              </w:rPr>
              <w:lastRenderedPageBreak/>
              <w:t>4) вимоги до політики надання вигод учасникам регульованих ринків, що уклали договір про виконання функцій маркет-мейкера, операторами регульованих ринків;</w:t>
            </w:r>
          </w:p>
          <w:p w14:paraId="3DF12184" w14:textId="186A89FB" w:rsidR="00806997" w:rsidRPr="00286216" w:rsidRDefault="00806997" w:rsidP="00806997">
            <w:pPr>
              <w:pStyle w:val="StyleProp"/>
              <w:spacing w:line="190" w:lineRule="exact"/>
              <w:rPr>
                <w:color w:val="000000" w:themeColor="text1"/>
              </w:rPr>
            </w:pPr>
            <w:r w:rsidRPr="00286216">
              <w:rPr>
                <w:color w:val="000000" w:themeColor="text1"/>
              </w:rPr>
              <w:t>5) випадки обов’язковості укладання інвестиційною фірмою договору про виконання функцій маркет-мейкера з оператором регульованого ринку.</w:t>
            </w:r>
          </w:p>
          <w:p w14:paraId="2312AC46" w14:textId="701D182C" w:rsidR="00806997" w:rsidRPr="00286216" w:rsidRDefault="00806997" w:rsidP="00806997">
            <w:pPr>
              <w:pStyle w:val="StyleProp"/>
              <w:spacing w:line="190" w:lineRule="exact"/>
              <w:rPr>
                <w:color w:val="000000" w:themeColor="text1"/>
                <w:szCs w:val="18"/>
              </w:rPr>
            </w:pPr>
            <w:r w:rsidRPr="00286216">
              <w:rPr>
                <w:color w:val="000000" w:themeColor="text1"/>
              </w:rPr>
              <w:t>8. Оператори БТМ та ОТМ можуть запроваджувати механізми забезпечення ліквідності, передбачені цією статтею".</w:t>
            </w:r>
          </w:p>
        </w:tc>
        <w:tc>
          <w:tcPr>
            <w:tcW w:w="1987" w:type="dxa"/>
          </w:tcPr>
          <w:p w14:paraId="1E67B723" w14:textId="041147E5" w:rsidR="00806997" w:rsidRPr="00286216" w:rsidRDefault="00806997" w:rsidP="00806997">
            <w:pPr>
              <w:pStyle w:val="StyleWisnow"/>
              <w:rPr>
                <w:color w:val="000000" w:themeColor="text1"/>
              </w:rPr>
            </w:pPr>
            <w:r w:rsidRPr="00286216">
              <w:rPr>
                <w:color w:val="000000" w:themeColor="text1"/>
              </w:rPr>
              <w:lastRenderedPageBreak/>
              <w:t>Враховано</w:t>
            </w:r>
          </w:p>
        </w:tc>
        <w:tc>
          <w:tcPr>
            <w:tcW w:w="4818" w:type="dxa"/>
          </w:tcPr>
          <w:p w14:paraId="3630FCFA" w14:textId="77777777" w:rsidR="00806997" w:rsidRPr="00286216" w:rsidRDefault="00806997" w:rsidP="00806997">
            <w:pPr>
              <w:pStyle w:val="StyleZakonu"/>
              <w:rPr>
                <w:color w:val="000000" w:themeColor="text1"/>
              </w:rPr>
            </w:pPr>
            <w:r w:rsidRPr="00286216">
              <w:rPr>
                <w:color w:val="000000" w:themeColor="text1"/>
              </w:rPr>
              <w:t>Стаття 56. Механізми підтримання ліквідності</w:t>
            </w:r>
          </w:p>
          <w:p w14:paraId="1065C715" w14:textId="77777777" w:rsidR="00806997" w:rsidRPr="00286216" w:rsidRDefault="00806997" w:rsidP="00806997">
            <w:pPr>
              <w:pStyle w:val="StyleZakonu"/>
              <w:rPr>
                <w:color w:val="000000" w:themeColor="text1"/>
              </w:rPr>
            </w:pPr>
            <w:r w:rsidRPr="00286216">
              <w:rPr>
                <w:color w:val="000000" w:themeColor="text1"/>
              </w:rPr>
              <w:t>1. Оператор регульованого ринку зобов’язаний забезпечити:</w:t>
            </w:r>
          </w:p>
          <w:p w14:paraId="2B933650" w14:textId="77777777" w:rsidR="00806997" w:rsidRPr="00286216" w:rsidRDefault="00806997" w:rsidP="00806997">
            <w:pPr>
              <w:pStyle w:val="StyleZakonu"/>
              <w:rPr>
                <w:color w:val="000000" w:themeColor="text1"/>
              </w:rPr>
            </w:pPr>
            <w:r w:rsidRPr="00286216">
              <w:rPr>
                <w:color w:val="000000" w:themeColor="text1"/>
              </w:rPr>
              <w:t>1) наявність механізмів підтримання ліквідності на регульованому ринку, управління діяльністю якого він здійснює;</w:t>
            </w:r>
          </w:p>
          <w:p w14:paraId="4997720E" w14:textId="77777777" w:rsidR="00806997" w:rsidRPr="00286216" w:rsidRDefault="00806997" w:rsidP="00806997">
            <w:pPr>
              <w:pStyle w:val="StyleZakonu"/>
              <w:rPr>
                <w:color w:val="000000" w:themeColor="text1"/>
              </w:rPr>
            </w:pPr>
            <w:r w:rsidRPr="00286216">
              <w:rPr>
                <w:color w:val="000000" w:themeColor="text1"/>
              </w:rPr>
              <w:t xml:space="preserve">2) укладення договорів про виконання функцій маркет-мейкера з учасниками, діяльність яких згідно з критеріями, встановленими оператором регульованого ринку, підтримує ліквідність на регульованому ринку, управління діяльністю якого він здійснює. </w:t>
            </w:r>
          </w:p>
          <w:p w14:paraId="51FF5881" w14:textId="77777777" w:rsidR="00806997" w:rsidRPr="00286216" w:rsidRDefault="00806997" w:rsidP="00806997">
            <w:pPr>
              <w:pStyle w:val="StyleZakonu"/>
              <w:rPr>
                <w:color w:val="000000" w:themeColor="text1"/>
              </w:rPr>
            </w:pPr>
            <w:r w:rsidRPr="00286216">
              <w:rPr>
                <w:color w:val="000000" w:themeColor="text1"/>
              </w:rPr>
              <w:t xml:space="preserve">Оператор регульованого ринку забезпечує наявність механізмів підтримання ліквідності шляхом розроблення та публікації на своєму веб-сайті відповідного внутрішнього документа (далі – механізм підтримання ліквідності), положення якого щонайменше передбачають, що оператор регульованого ринку забезпечує, що учасники </w:t>
            </w:r>
            <w:r w:rsidRPr="00286216">
              <w:rPr>
                <w:color w:val="000000" w:themeColor="text1"/>
              </w:rPr>
              <w:lastRenderedPageBreak/>
              <w:t>регульованого ринку, кількість яких є достатньою з урахуванням масштабу регульованого ринку та предмету торгівлі на такому ринку для підтримання ліквідності щодо визначених активів, що допущені до торгів на такому ринку, зобов’язані на регулярній та прогнозованій основі надсилати щодо таких активів тверді котирування за конкурентною ціною.</w:t>
            </w:r>
          </w:p>
          <w:p w14:paraId="4BF32966" w14:textId="77777777" w:rsidR="00806997" w:rsidRPr="00286216" w:rsidRDefault="00806997" w:rsidP="00806997">
            <w:pPr>
              <w:pStyle w:val="StyleZakonu"/>
              <w:rPr>
                <w:color w:val="000000" w:themeColor="text1"/>
              </w:rPr>
            </w:pPr>
            <w:r w:rsidRPr="00286216">
              <w:rPr>
                <w:color w:val="000000" w:themeColor="text1"/>
              </w:rPr>
              <w:t>На підставі такого внутрішнього документа оператор регульованого ринку зобов’язаний укласти з учасником регульованого ринку договір про виконання функцій маркет-мейкера. При цьому маркет-мейкером вважається особа, яка на постійній основі готова за власний рахунок та за встановленими нею цінами укладати деривативні контракти або вчиняти правочини щодо інших активів, допущених до торгів на регульованому ринку.</w:t>
            </w:r>
          </w:p>
          <w:p w14:paraId="4A881468" w14:textId="77777777" w:rsidR="00806997" w:rsidRPr="00286216" w:rsidRDefault="00806997" w:rsidP="00806997">
            <w:pPr>
              <w:pStyle w:val="StyleZakonu"/>
              <w:rPr>
                <w:color w:val="000000" w:themeColor="text1"/>
              </w:rPr>
            </w:pPr>
            <w:r w:rsidRPr="00286216">
              <w:rPr>
                <w:color w:val="000000" w:themeColor="text1"/>
              </w:rPr>
              <w:t>Особа набуває статусу маркет-мейкера з дати підписання договору про виконання функцій маркет-мейкера.</w:t>
            </w:r>
          </w:p>
          <w:p w14:paraId="6183B844" w14:textId="77777777" w:rsidR="00806997" w:rsidRPr="00286216" w:rsidRDefault="00806997" w:rsidP="00806997">
            <w:pPr>
              <w:pStyle w:val="StyleZakonu"/>
              <w:rPr>
                <w:color w:val="000000" w:themeColor="text1"/>
              </w:rPr>
            </w:pPr>
            <w:r w:rsidRPr="00286216">
              <w:rPr>
                <w:color w:val="000000" w:themeColor="text1"/>
              </w:rPr>
              <w:t>2. Оператор регульованого ринку повинен виконувати обов’язок, передбачений пунктом 1 частини першої цієї статті, щодо тих фінансових інструментів, співставлення зустрічних заявок або котирувань, щодо яких здійснюється без втручання людини (за принципом автоматичного поєднання в результаті виконання комп’ютерного алгоритму зустрічних заявок або котирувань на основі найкращої доступної ціни). Зазначений обов’язок стосується таких фінансових інструментів:</w:t>
            </w:r>
          </w:p>
          <w:p w14:paraId="1540E46B" w14:textId="77777777" w:rsidR="00806997" w:rsidRPr="00286216" w:rsidRDefault="00806997" w:rsidP="00806997">
            <w:pPr>
              <w:pStyle w:val="StyleZakonu"/>
              <w:rPr>
                <w:color w:val="000000" w:themeColor="text1"/>
              </w:rPr>
            </w:pPr>
            <w:r w:rsidRPr="00286216">
              <w:rPr>
                <w:color w:val="000000" w:themeColor="text1"/>
              </w:rPr>
              <w:t>1) акцій, щодо яких існує ліквідний ринок;</w:t>
            </w:r>
          </w:p>
          <w:p w14:paraId="75879CEF" w14:textId="77777777" w:rsidR="00806997" w:rsidRPr="00286216" w:rsidRDefault="00806997" w:rsidP="00806997">
            <w:pPr>
              <w:pStyle w:val="StyleZakonu"/>
              <w:rPr>
                <w:color w:val="000000" w:themeColor="text1"/>
              </w:rPr>
            </w:pPr>
            <w:r w:rsidRPr="00286216">
              <w:rPr>
                <w:color w:val="000000" w:themeColor="text1"/>
              </w:rPr>
              <w:t>2) цінних паперів біржових інвестиційних фондів, щодо яких існує ліквідний ринок;</w:t>
            </w:r>
          </w:p>
          <w:p w14:paraId="6E9C6246" w14:textId="77777777" w:rsidR="00806997" w:rsidRPr="00286216" w:rsidRDefault="00806997" w:rsidP="00806997">
            <w:pPr>
              <w:pStyle w:val="StyleZakonu"/>
              <w:rPr>
                <w:color w:val="000000" w:themeColor="text1"/>
              </w:rPr>
            </w:pPr>
            <w:r w:rsidRPr="00286216">
              <w:rPr>
                <w:color w:val="000000" w:themeColor="text1"/>
              </w:rPr>
              <w:t>3) опціонів та ф’ючерсів, базовим активом яких є цінні папери, передбачені пунктами 1 і 2 цієї частини;</w:t>
            </w:r>
          </w:p>
          <w:p w14:paraId="0073158A" w14:textId="77777777" w:rsidR="00806997" w:rsidRPr="00286216" w:rsidRDefault="00806997" w:rsidP="00806997">
            <w:pPr>
              <w:pStyle w:val="StyleZakonu"/>
              <w:rPr>
                <w:color w:val="000000" w:themeColor="text1"/>
              </w:rPr>
            </w:pPr>
            <w:r w:rsidRPr="00286216">
              <w:rPr>
                <w:color w:val="000000" w:themeColor="text1"/>
              </w:rPr>
              <w:t>4) ф’ючерсів на індекси акцій та опціони на індекси акцій, щодо яких існує ліквідний ринок.</w:t>
            </w:r>
          </w:p>
          <w:p w14:paraId="5A0DF738" w14:textId="77777777" w:rsidR="00806997" w:rsidRPr="00286216" w:rsidRDefault="00806997" w:rsidP="00806997">
            <w:pPr>
              <w:pStyle w:val="StyleZakonu"/>
              <w:rPr>
                <w:color w:val="000000" w:themeColor="text1"/>
              </w:rPr>
            </w:pPr>
            <w:r w:rsidRPr="00286216">
              <w:rPr>
                <w:color w:val="000000" w:themeColor="text1"/>
              </w:rPr>
              <w:t>Наявність ліквідного ринку визначається у встановленому Національною комісією з цінних паперів та фондового ринку порядку.</w:t>
            </w:r>
          </w:p>
          <w:p w14:paraId="64D20000" w14:textId="77777777" w:rsidR="00806997" w:rsidRPr="00286216" w:rsidRDefault="00806997" w:rsidP="00806997">
            <w:pPr>
              <w:pStyle w:val="StyleZakonu"/>
              <w:rPr>
                <w:color w:val="000000" w:themeColor="text1"/>
              </w:rPr>
            </w:pPr>
            <w:r w:rsidRPr="00286216">
              <w:rPr>
                <w:color w:val="000000" w:themeColor="text1"/>
              </w:rPr>
              <w:t>3. Оператор регульованого ринку публікує на своєму веб-сайті:</w:t>
            </w:r>
          </w:p>
          <w:p w14:paraId="6756F170" w14:textId="77777777" w:rsidR="00806997" w:rsidRPr="00286216" w:rsidRDefault="00806997" w:rsidP="00806997">
            <w:pPr>
              <w:pStyle w:val="StyleZakonu"/>
              <w:rPr>
                <w:color w:val="000000" w:themeColor="text1"/>
              </w:rPr>
            </w:pPr>
            <w:r w:rsidRPr="00286216">
              <w:rPr>
                <w:color w:val="000000" w:themeColor="text1"/>
              </w:rPr>
              <w:t>1) перелік учасників регульованого ринку, що підписали договір про виконання функцій маркет-</w:t>
            </w:r>
            <w:r w:rsidRPr="00286216">
              <w:rPr>
                <w:color w:val="000000" w:themeColor="text1"/>
              </w:rPr>
              <w:lastRenderedPageBreak/>
              <w:t>мейкера;</w:t>
            </w:r>
          </w:p>
          <w:p w14:paraId="0D79560B" w14:textId="77777777" w:rsidR="00806997" w:rsidRPr="00286216" w:rsidRDefault="00806997" w:rsidP="00806997">
            <w:pPr>
              <w:pStyle w:val="StyleZakonu"/>
              <w:rPr>
                <w:color w:val="000000" w:themeColor="text1"/>
              </w:rPr>
            </w:pPr>
            <w:r w:rsidRPr="00286216">
              <w:rPr>
                <w:color w:val="000000" w:themeColor="text1"/>
              </w:rPr>
              <w:t xml:space="preserve">2) перелік активів, торгівля якими забезпечується відповідно до укладених договорів про виконання функцій маркет-мейкера. </w:t>
            </w:r>
          </w:p>
          <w:p w14:paraId="02E69D3F" w14:textId="77777777" w:rsidR="00806997" w:rsidRPr="00286216" w:rsidRDefault="00806997" w:rsidP="00806997">
            <w:pPr>
              <w:pStyle w:val="StyleZakonu"/>
              <w:rPr>
                <w:color w:val="000000" w:themeColor="text1"/>
              </w:rPr>
            </w:pPr>
            <w:r w:rsidRPr="00286216">
              <w:rPr>
                <w:color w:val="000000" w:themeColor="text1"/>
              </w:rPr>
              <w:t xml:space="preserve">Про внесення змін до механізму підтримання ліквідності, оператор регульованого ринку повідомляє всіх учасників регульованого ринку, управління діяльністю якого він здійснює, щонайменше за один календарний місяць до набрання чинності такими змінами. Внесення таких змін є підставою для внесення змін до відповідних договорів про виконання функцій маркет-мейкера, укладених на його підставі. </w:t>
            </w:r>
          </w:p>
          <w:p w14:paraId="642B24AB" w14:textId="77777777" w:rsidR="00806997" w:rsidRPr="00286216" w:rsidRDefault="00806997" w:rsidP="00806997">
            <w:pPr>
              <w:pStyle w:val="StyleZakonu"/>
              <w:rPr>
                <w:color w:val="000000" w:themeColor="text1"/>
              </w:rPr>
            </w:pPr>
            <w:r w:rsidRPr="00286216">
              <w:rPr>
                <w:color w:val="000000" w:themeColor="text1"/>
              </w:rPr>
              <w:t>4. Оператор регульованого ринку забезпечує однакові вигоди (винагороди, компенсації тощо) учасникам регульованого ринку, які в однаковій мірі (відповідно до критеріїв та в порядку, встановлених оператором відповідного регульованого ринку) виконують обов’язки за договором про виконання функцій маркет-мейкера в частині загального часу участі у торгах, обсягів та спреду заявок або котирувань, що надсилаються в ході такої участі.</w:t>
            </w:r>
          </w:p>
          <w:p w14:paraId="662AA976" w14:textId="77777777" w:rsidR="00806997" w:rsidRPr="00286216" w:rsidRDefault="00806997" w:rsidP="00806997">
            <w:pPr>
              <w:pStyle w:val="StyleZakonu"/>
              <w:rPr>
                <w:color w:val="000000" w:themeColor="text1"/>
              </w:rPr>
            </w:pPr>
            <w:r w:rsidRPr="00286216">
              <w:rPr>
                <w:color w:val="000000" w:themeColor="text1"/>
              </w:rPr>
              <w:t>5. Оператор регульованого ринку повинен мати внутрішні процедури контролю виконання учасниками регульованого ринку умов договору про виконання функцій маркет-мейкера.</w:t>
            </w:r>
          </w:p>
          <w:p w14:paraId="0DB3EF95" w14:textId="77777777" w:rsidR="00806997" w:rsidRPr="00286216" w:rsidRDefault="00806997" w:rsidP="00806997">
            <w:pPr>
              <w:pStyle w:val="StyleZakonu"/>
              <w:rPr>
                <w:color w:val="000000" w:themeColor="text1"/>
              </w:rPr>
            </w:pPr>
            <w:r w:rsidRPr="00286216">
              <w:rPr>
                <w:color w:val="000000" w:themeColor="text1"/>
              </w:rPr>
              <w:t>6. Оператор регульованого ринку повинен забезпечити функціонування механізму термінового повідомлення сторін договору про виконання функцій маркет-мейкера про існування на ринку відхилень від нормальних умов функціонування.</w:t>
            </w:r>
          </w:p>
          <w:p w14:paraId="4AFAE731" w14:textId="77777777" w:rsidR="00806997" w:rsidRPr="00286216" w:rsidRDefault="00806997" w:rsidP="00806997">
            <w:pPr>
              <w:pStyle w:val="StyleZakonu"/>
              <w:rPr>
                <w:color w:val="000000" w:themeColor="text1"/>
              </w:rPr>
            </w:pPr>
            <w:r w:rsidRPr="00286216">
              <w:rPr>
                <w:color w:val="000000" w:themeColor="text1"/>
              </w:rPr>
              <w:t>7. Нормативно-правовими актами Національної комісії з цінних паперів та фондового ринку встановлюються:</w:t>
            </w:r>
          </w:p>
          <w:p w14:paraId="16842842" w14:textId="77777777" w:rsidR="00806997" w:rsidRPr="00286216" w:rsidRDefault="00806997" w:rsidP="00806997">
            <w:pPr>
              <w:pStyle w:val="StyleZakonu"/>
              <w:rPr>
                <w:color w:val="000000" w:themeColor="text1"/>
              </w:rPr>
            </w:pPr>
            <w:r w:rsidRPr="00286216">
              <w:rPr>
                <w:color w:val="000000" w:themeColor="text1"/>
              </w:rPr>
              <w:t>1) вимоги до механізму підтримання ліквідності, які зокрема забезпечують, що його умови є справедливими та недискримінаційними;</w:t>
            </w:r>
          </w:p>
          <w:p w14:paraId="67091D34" w14:textId="77777777" w:rsidR="00806997" w:rsidRPr="00286216" w:rsidRDefault="00806997" w:rsidP="00806997">
            <w:pPr>
              <w:pStyle w:val="StyleZakonu"/>
              <w:rPr>
                <w:color w:val="000000" w:themeColor="text1"/>
              </w:rPr>
            </w:pPr>
            <w:r w:rsidRPr="00286216">
              <w:rPr>
                <w:color w:val="000000" w:themeColor="text1"/>
              </w:rPr>
              <w:t>2) вимоги до договору про виконання функцій маркет-мейкера;</w:t>
            </w:r>
          </w:p>
          <w:p w14:paraId="63B23AB1" w14:textId="77777777" w:rsidR="00806997" w:rsidRPr="00286216" w:rsidRDefault="00806997" w:rsidP="00806997">
            <w:pPr>
              <w:pStyle w:val="StyleZakonu"/>
              <w:rPr>
                <w:color w:val="000000" w:themeColor="text1"/>
              </w:rPr>
            </w:pPr>
            <w:r w:rsidRPr="00286216">
              <w:rPr>
                <w:color w:val="000000" w:themeColor="text1"/>
              </w:rPr>
              <w:t>3) обставини, за яких оператори організованих ринків з огляду на масштаб ринку та предмет торгівлі звільняються від обов’язку забезпечувати функціонування механізмів підтримання ліквідності;</w:t>
            </w:r>
          </w:p>
          <w:p w14:paraId="47827A3B" w14:textId="77777777" w:rsidR="00806997" w:rsidRPr="00286216" w:rsidRDefault="00806997" w:rsidP="00806997">
            <w:pPr>
              <w:pStyle w:val="StyleZakonu"/>
              <w:rPr>
                <w:color w:val="000000" w:themeColor="text1"/>
              </w:rPr>
            </w:pPr>
            <w:r w:rsidRPr="00286216">
              <w:rPr>
                <w:color w:val="000000" w:themeColor="text1"/>
              </w:rPr>
              <w:lastRenderedPageBreak/>
              <w:t>4) вимоги до політики надання вигод учасникам регульованих ринків, що уклали договір про виконання функцій маркет-мейкера, операторами регульованих ринків;</w:t>
            </w:r>
          </w:p>
          <w:p w14:paraId="739812C8" w14:textId="77777777" w:rsidR="00806997" w:rsidRPr="00286216" w:rsidRDefault="00806997" w:rsidP="00806997">
            <w:pPr>
              <w:pStyle w:val="StyleZakonu"/>
              <w:spacing w:after="20"/>
              <w:rPr>
                <w:color w:val="000000" w:themeColor="text1"/>
              </w:rPr>
            </w:pPr>
            <w:r w:rsidRPr="00286216">
              <w:rPr>
                <w:color w:val="000000" w:themeColor="text1"/>
              </w:rPr>
              <w:t>5) випадки обов’язковості укладання інвестиційною фірмою договору про виконання функцій маркет-мейкера з оператором регульованого ринку.</w:t>
            </w:r>
          </w:p>
          <w:p w14:paraId="0BE9704E" w14:textId="2C156B55" w:rsidR="00806997" w:rsidRPr="00286216" w:rsidRDefault="00806997" w:rsidP="00806997">
            <w:pPr>
              <w:pStyle w:val="StyleZakonu"/>
              <w:rPr>
                <w:color w:val="000000" w:themeColor="text1"/>
              </w:rPr>
            </w:pPr>
            <w:r w:rsidRPr="00286216">
              <w:rPr>
                <w:color w:val="000000" w:themeColor="text1"/>
              </w:rPr>
              <w:t>8. Оператори БТМ та ОТМ можуть запроваджувати механізми забезпечення ліквідності, передбачені цією статтею.</w:t>
            </w:r>
          </w:p>
        </w:tc>
      </w:tr>
      <w:tr w:rsidR="00806997" w:rsidRPr="00286216" w14:paraId="4CE6B71C" w14:textId="77777777" w:rsidTr="00091AA5">
        <w:tc>
          <w:tcPr>
            <w:tcW w:w="576" w:type="dxa"/>
          </w:tcPr>
          <w:p w14:paraId="636C944C" w14:textId="77777777" w:rsidR="00806997" w:rsidRPr="00286216" w:rsidRDefault="00806997" w:rsidP="00806997">
            <w:pPr>
              <w:pStyle w:val="StyleWisnow"/>
              <w:rPr>
                <w:color w:val="000000" w:themeColor="text1"/>
              </w:rPr>
            </w:pPr>
            <w:bookmarkStart w:id="677" w:name="n967" w:colFirst="0" w:colLast="0"/>
            <w:r w:rsidRPr="00286216">
              <w:rPr>
                <w:color w:val="000000" w:themeColor="text1"/>
              </w:rPr>
              <w:lastRenderedPageBreak/>
              <w:t>967.</w:t>
            </w:r>
          </w:p>
        </w:tc>
        <w:tc>
          <w:tcPr>
            <w:tcW w:w="4818" w:type="dxa"/>
          </w:tcPr>
          <w:p w14:paraId="57820F29" w14:textId="77777777" w:rsidR="00806997" w:rsidRPr="00286216" w:rsidRDefault="00806997" w:rsidP="00806997">
            <w:pPr>
              <w:pStyle w:val="StyleZakonu"/>
              <w:rPr>
                <w:color w:val="000000" w:themeColor="text1"/>
              </w:rPr>
            </w:pPr>
            <w:bookmarkStart w:id="678" w:name="_Ref20932956"/>
            <w:r w:rsidRPr="00286216">
              <w:rPr>
                <w:color w:val="000000" w:themeColor="text1"/>
              </w:rPr>
              <w:t>Стаття 52. Вимоги до надання інформації оператором організованого ринку</w:t>
            </w:r>
            <w:bookmarkEnd w:id="678"/>
          </w:p>
        </w:tc>
        <w:tc>
          <w:tcPr>
            <w:tcW w:w="3686" w:type="dxa"/>
          </w:tcPr>
          <w:p w14:paraId="338C72C9" w14:textId="77777777" w:rsidR="00806997" w:rsidRPr="00286216" w:rsidRDefault="00806997" w:rsidP="00806997">
            <w:pPr>
              <w:pStyle w:val="StyleProp"/>
              <w:rPr>
                <w:color w:val="000000" w:themeColor="text1"/>
                <w:szCs w:val="18"/>
              </w:rPr>
            </w:pPr>
          </w:p>
        </w:tc>
        <w:tc>
          <w:tcPr>
            <w:tcW w:w="1987" w:type="dxa"/>
          </w:tcPr>
          <w:p w14:paraId="2E1C4929" w14:textId="77777777" w:rsidR="00806997" w:rsidRPr="00286216" w:rsidRDefault="00806997" w:rsidP="00806997">
            <w:pPr>
              <w:pStyle w:val="StyleWisnow"/>
              <w:rPr>
                <w:color w:val="000000" w:themeColor="text1"/>
              </w:rPr>
            </w:pPr>
          </w:p>
        </w:tc>
        <w:tc>
          <w:tcPr>
            <w:tcW w:w="4818" w:type="dxa"/>
          </w:tcPr>
          <w:p w14:paraId="0E2F6FF5" w14:textId="001DB5D1" w:rsidR="00806997" w:rsidRPr="00286216" w:rsidRDefault="00806997" w:rsidP="00806997">
            <w:pPr>
              <w:pStyle w:val="StyleZakonu"/>
              <w:rPr>
                <w:color w:val="000000" w:themeColor="text1"/>
              </w:rPr>
            </w:pPr>
            <w:r w:rsidRPr="00286216">
              <w:rPr>
                <w:color w:val="000000" w:themeColor="text1"/>
              </w:rPr>
              <w:t>Стаття 57. Вимоги до надання інформації оператором організованого ринку</w:t>
            </w:r>
          </w:p>
        </w:tc>
      </w:tr>
      <w:tr w:rsidR="00806997" w:rsidRPr="00286216" w14:paraId="38E91712" w14:textId="77777777" w:rsidTr="00091AA5">
        <w:tc>
          <w:tcPr>
            <w:tcW w:w="576" w:type="dxa"/>
          </w:tcPr>
          <w:p w14:paraId="4A0B9459" w14:textId="77777777" w:rsidR="00806997" w:rsidRPr="00286216" w:rsidRDefault="00806997" w:rsidP="00806997">
            <w:pPr>
              <w:pStyle w:val="StyleWisnow"/>
              <w:rPr>
                <w:color w:val="000000" w:themeColor="text1"/>
              </w:rPr>
            </w:pPr>
            <w:bookmarkStart w:id="679" w:name="n968" w:colFirst="0" w:colLast="0"/>
            <w:bookmarkEnd w:id="677"/>
            <w:r w:rsidRPr="00286216">
              <w:rPr>
                <w:color w:val="000000" w:themeColor="text1"/>
              </w:rPr>
              <w:t>968.</w:t>
            </w:r>
          </w:p>
        </w:tc>
        <w:tc>
          <w:tcPr>
            <w:tcW w:w="4818" w:type="dxa"/>
          </w:tcPr>
          <w:p w14:paraId="3946F8BE" w14:textId="77777777" w:rsidR="00806997" w:rsidRPr="00286216" w:rsidRDefault="00806997" w:rsidP="00806997">
            <w:pPr>
              <w:pStyle w:val="StyleZakonu"/>
              <w:rPr>
                <w:color w:val="000000" w:themeColor="text1"/>
              </w:rPr>
            </w:pPr>
            <w:r w:rsidRPr="00286216">
              <w:rPr>
                <w:color w:val="000000" w:themeColor="text1"/>
              </w:rPr>
              <w:t>1. Оператор організованого ринку зобов’язаний розміщувати на власному веб-сайті та надавати Національній комісії з цінних паперів та фондового ринку інформацію, передбачену законом та/або нормативно-правовими актами Національної комісії з цінних паперів та фондового ринку, у тому числі про:</w:t>
            </w:r>
          </w:p>
        </w:tc>
        <w:tc>
          <w:tcPr>
            <w:tcW w:w="3686" w:type="dxa"/>
          </w:tcPr>
          <w:p w14:paraId="72C165C4" w14:textId="6DED12B9"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538</w:t>
            </w:r>
            <w:r w:rsidRPr="00286216">
              <w:rPr>
                <w:color w:val="000000" w:themeColor="text1"/>
              </w:rPr>
              <w:fldChar w:fldCharType="end"/>
            </w:r>
            <w:r w:rsidRPr="00286216">
              <w:rPr>
                <w:color w:val="000000" w:themeColor="text1"/>
              </w:rPr>
              <w:t>-Н.д.Шахов С.В. (Реєстр.картка №114)</w:t>
            </w:r>
          </w:p>
          <w:p w14:paraId="0069FAC1"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Абзац перший частини першої статті 52 викласти у такій редакції:</w:t>
            </w:r>
          </w:p>
          <w:p w14:paraId="7CC57CFA" w14:textId="77777777" w:rsidR="00806997" w:rsidRPr="00286216" w:rsidRDefault="00806997" w:rsidP="00806997">
            <w:pPr>
              <w:pStyle w:val="StyleProp"/>
              <w:spacing w:line="180" w:lineRule="exact"/>
              <w:rPr>
                <w:color w:val="000000" w:themeColor="text1"/>
                <w:szCs w:val="18"/>
              </w:rPr>
            </w:pPr>
            <w:r w:rsidRPr="00286216">
              <w:rPr>
                <w:color w:val="000000" w:themeColor="text1"/>
              </w:rPr>
              <w:t>"1. Оператор організованого ринку зобов’язаний розміщувати на своєму офіційному веб-сайті  та надавати регулятору відповідного ринку інформацію, передбачену законом, у тому числі про:"</w:t>
            </w:r>
          </w:p>
        </w:tc>
        <w:tc>
          <w:tcPr>
            <w:tcW w:w="1987" w:type="dxa"/>
          </w:tcPr>
          <w:p w14:paraId="3F586BDF" w14:textId="77777777" w:rsidR="00806997" w:rsidRPr="00286216" w:rsidRDefault="00806997" w:rsidP="00806997">
            <w:pPr>
              <w:pStyle w:val="StyleWisnow"/>
              <w:rPr>
                <w:color w:val="000000" w:themeColor="text1"/>
              </w:rPr>
            </w:pPr>
            <w:r w:rsidRPr="00286216">
              <w:rPr>
                <w:color w:val="000000" w:themeColor="text1"/>
              </w:rPr>
              <w:t>Відхилено</w:t>
            </w:r>
          </w:p>
          <w:p w14:paraId="3E2F2533" w14:textId="77777777" w:rsidR="00806997" w:rsidRPr="00286216" w:rsidRDefault="00806997" w:rsidP="00806997">
            <w:pPr>
              <w:pStyle w:val="StyleWisnow"/>
              <w:spacing w:line="180" w:lineRule="exact"/>
              <w:rPr>
                <w:color w:val="000000" w:themeColor="text1"/>
              </w:rPr>
            </w:pPr>
            <w:r w:rsidRPr="00286216">
              <w:rPr>
                <w:color w:val="000000" w:themeColor="text1"/>
              </w:rPr>
              <w:t xml:space="preserve">організовані ринки належать до компетенції НКЦПФР </w:t>
            </w:r>
          </w:p>
        </w:tc>
        <w:tc>
          <w:tcPr>
            <w:tcW w:w="4818" w:type="dxa"/>
          </w:tcPr>
          <w:p w14:paraId="31B2F18A" w14:textId="110ECEA6" w:rsidR="00806997" w:rsidRPr="00286216" w:rsidRDefault="00806997" w:rsidP="00806997">
            <w:pPr>
              <w:pStyle w:val="StyleZakonu"/>
              <w:rPr>
                <w:color w:val="000000" w:themeColor="text1"/>
              </w:rPr>
            </w:pPr>
            <w:r w:rsidRPr="00286216">
              <w:rPr>
                <w:color w:val="000000" w:themeColor="text1"/>
              </w:rPr>
              <w:t>1. Оператор організованого ринку зобов’язаний розміщувати на власному веб-сайті та надавати Національній комісії з цінних паперів та фондового ринку інформацію, передбачену законом та/або нормативно-правовими актами Національної комісії з цінних паперів та фондового ринку, у тому числі про:</w:t>
            </w:r>
          </w:p>
        </w:tc>
      </w:tr>
      <w:tr w:rsidR="00806997" w:rsidRPr="00286216" w14:paraId="634268E3" w14:textId="77777777" w:rsidTr="00091AA5">
        <w:tc>
          <w:tcPr>
            <w:tcW w:w="576" w:type="dxa"/>
          </w:tcPr>
          <w:p w14:paraId="6126E282" w14:textId="77777777" w:rsidR="00806997" w:rsidRPr="00286216" w:rsidRDefault="00806997" w:rsidP="00806997">
            <w:pPr>
              <w:pStyle w:val="StyleWisnow"/>
              <w:rPr>
                <w:color w:val="000000" w:themeColor="text1"/>
              </w:rPr>
            </w:pPr>
            <w:bookmarkStart w:id="680" w:name="n969" w:colFirst="0" w:colLast="0"/>
            <w:bookmarkEnd w:id="679"/>
            <w:r w:rsidRPr="00286216">
              <w:rPr>
                <w:color w:val="000000" w:themeColor="text1"/>
              </w:rPr>
              <w:t>969.</w:t>
            </w:r>
          </w:p>
        </w:tc>
        <w:tc>
          <w:tcPr>
            <w:tcW w:w="4818" w:type="dxa"/>
          </w:tcPr>
          <w:p w14:paraId="2BCC6E51" w14:textId="77777777" w:rsidR="00806997" w:rsidRPr="00286216" w:rsidRDefault="00806997" w:rsidP="00806997">
            <w:pPr>
              <w:pStyle w:val="StyleZakonu"/>
              <w:rPr>
                <w:color w:val="000000" w:themeColor="text1"/>
              </w:rPr>
            </w:pPr>
            <w:r w:rsidRPr="00286216">
              <w:rPr>
                <w:color w:val="000000" w:themeColor="text1"/>
              </w:rPr>
              <w:t>1) перелік осіб, які мають право брати участь у торгах на кожному організованому ринку, організацію діяльності якого здійснює такий оператор;</w:t>
            </w:r>
          </w:p>
        </w:tc>
        <w:tc>
          <w:tcPr>
            <w:tcW w:w="3686" w:type="dxa"/>
          </w:tcPr>
          <w:p w14:paraId="5CB0F224" w14:textId="77777777" w:rsidR="00806997" w:rsidRPr="00286216" w:rsidRDefault="00806997" w:rsidP="00806997">
            <w:pPr>
              <w:pStyle w:val="StyleProp"/>
              <w:rPr>
                <w:color w:val="000000" w:themeColor="text1"/>
                <w:szCs w:val="18"/>
              </w:rPr>
            </w:pPr>
          </w:p>
        </w:tc>
        <w:tc>
          <w:tcPr>
            <w:tcW w:w="1987" w:type="dxa"/>
          </w:tcPr>
          <w:p w14:paraId="0B462B52" w14:textId="77777777" w:rsidR="00806997" w:rsidRPr="00286216" w:rsidRDefault="00806997" w:rsidP="00806997">
            <w:pPr>
              <w:pStyle w:val="StyleWisnow"/>
              <w:rPr>
                <w:color w:val="000000" w:themeColor="text1"/>
              </w:rPr>
            </w:pPr>
          </w:p>
        </w:tc>
        <w:tc>
          <w:tcPr>
            <w:tcW w:w="4818" w:type="dxa"/>
          </w:tcPr>
          <w:p w14:paraId="1DF88CE8" w14:textId="13A55157" w:rsidR="00806997" w:rsidRPr="00286216" w:rsidRDefault="00806997" w:rsidP="00806997">
            <w:pPr>
              <w:pStyle w:val="StyleZakonu"/>
              <w:rPr>
                <w:color w:val="000000" w:themeColor="text1"/>
              </w:rPr>
            </w:pPr>
            <w:r w:rsidRPr="00286216">
              <w:rPr>
                <w:color w:val="000000" w:themeColor="text1"/>
              </w:rPr>
              <w:t>1) перелік осіб, які мають право брати участь у торгах на кожному організованому ринку, організацію діяльності якого здійснює такий оператор;</w:t>
            </w:r>
          </w:p>
        </w:tc>
      </w:tr>
      <w:tr w:rsidR="00806997" w:rsidRPr="00286216" w14:paraId="4E8D5587" w14:textId="77777777" w:rsidTr="00091AA5">
        <w:tc>
          <w:tcPr>
            <w:tcW w:w="576" w:type="dxa"/>
          </w:tcPr>
          <w:p w14:paraId="05BEA6AF" w14:textId="77777777" w:rsidR="00806997" w:rsidRPr="00286216" w:rsidRDefault="00806997" w:rsidP="00806997">
            <w:pPr>
              <w:pStyle w:val="StyleWisnow"/>
              <w:rPr>
                <w:color w:val="000000" w:themeColor="text1"/>
              </w:rPr>
            </w:pPr>
            <w:bookmarkStart w:id="681" w:name="n970" w:colFirst="0" w:colLast="0"/>
            <w:bookmarkEnd w:id="680"/>
            <w:r w:rsidRPr="00286216">
              <w:rPr>
                <w:color w:val="000000" w:themeColor="text1"/>
              </w:rPr>
              <w:t>970.</w:t>
            </w:r>
          </w:p>
        </w:tc>
        <w:tc>
          <w:tcPr>
            <w:tcW w:w="4818" w:type="dxa"/>
          </w:tcPr>
          <w:p w14:paraId="7E0D2F5C" w14:textId="77777777" w:rsidR="00806997" w:rsidRPr="00286216" w:rsidRDefault="00806997" w:rsidP="00806997">
            <w:pPr>
              <w:pStyle w:val="StyleZakonu"/>
              <w:rPr>
                <w:color w:val="000000" w:themeColor="text1"/>
              </w:rPr>
            </w:pPr>
            <w:r w:rsidRPr="00286216">
              <w:rPr>
                <w:color w:val="000000" w:themeColor="text1"/>
              </w:rPr>
              <w:t>2) перелік активів, що допущені до торгів на кожному організованому ринку, організацію діяльності якого здійснює такий оператор;</w:t>
            </w:r>
          </w:p>
        </w:tc>
        <w:tc>
          <w:tcPr>
            <w:tcW w:w="3686" w:type="dxa"/>
          </w:tcPr>
          <w:p w14:paraId="5ADEC791" w14:textId="77777777" w:rsidR="00806997" w:rsidRPr="00286216" w:rsidRDefault="00806997" w:rsidP="00806997">
            <w:pPr>
              <w:pStyle w:val="StyleProp"/>
              <w:rPr>
                <w:color w:val="000000" w:themeColor="text1"/>
                <w:szCs w:val="18"/>
              </w:rPr>
            </w:pPr>
          </w:p>
        </w:tc>
        <w:tc>
          <w:tcPr>
            <w:tcW w:w="1987" w:type="dxa"/>
          </w:tcPr>
          <w:p w14:paraId="2F9AFC4A" w14:textId="77777777" w:rsidR="00806997" w:rsidRPr="00286216" w:rsidRDefault="00806997" w:rsidP="00806997">
            <w:pPr>
              <w:pStyle w:val="StyleWisnow"/>
              <w:rPr>
                <w:color w:val="000000" w:themeColor="text1"/>
              </w:rPr>
            </w:pPr>
          </w:p>
        </w:tc>
        <w:tc>
          <w:tcPr>
            <w:tcW w:w="4818" w:type="dxa"/>
          </w:tcPr>
          <w:p w14:paraId="67CD6AF6" w14:textId="31FEA270" w:rsidR="00806997" w:rsidRPr="00286216" w:rsidRDefault="00806997" w:rsidP="00806997">
            <w:pPr>
              <w:pStyle w:val="StyleZakonu"/>
              <w:rPr>
                <w:color w:val="000000" w:themeColor="text1"/>
              </w:rPr>
            </w:pPr>
            <w:r w:rsidRPr="00286216">
              <w:rPr>
                <w:color w:val="000000" w:themeColor="text1"/>
              </w:rPr>
              <w:t>2) перелік активів, допущених до торгів на кожному організованому ринку, організацію діяльності якого здійснює такий оператор;</w:t>
            </w:r>
          </w:p>
        </w:tc>
      </w:tr>
      <w:tr w:rsidR="00806997" w:rsidRPr="00286216" w14:paraId="474568CE" w14:textId="77777777" w:rsidTr="00091AA5">
        <w:tc>
          <w:tcPr>
            <w:tcW w:w="576" w:type="dxa"/>
          </w:tcPr>
          <w:p w14:paraId="1F17070B" w14:textId="77777777" w:rsidR="00806997" w:rsidRPr="00286216" w:rsidRDefault="00806997" w:rsidP="00806997">
            <w:pPr>
              <w:pStyle w:val="StyleWisnow"/>
              <w:rPr>
                <w:color w:val="000000" w:themeColor="text1"/>
              </w:rPr>
            </w:pPr>
            <w:bookmarkStart w:id="682" w:name="n971" w:colFirst="0" w:colLast="0"/>
            <w:bookmarkEnd w:id="681"/>
            <w:r w:rsidRPr="00286216">
              <w:rPr>
                <w:color w:val="000000" w:themeColor="text1"/>
              </w:rPr>
              <w:t>971.</w:t>
            </w:r>
          </w:p>
        </w:tc>
        <w:tc>
          <w:tcPr>
            <w:tcW w:w="4818" w:type="dxa"/>
          </w:tcPr>
          <w:p w14:paraId="5175F328" w14:textId="77777777" w:rsidR="00806997" w:rsidRPr="00286216" w:rsidRDefault="00806997" w:rsidP="00806997">
            <w:pPr>
              <w:pStyle w:val="StyleZakonu"/>
              <w:rPr>
                <w:color w:val="000000" w:themeColor="text1"/>
              </w:rPr>
            </w:pPr>
            <w:r w:rsidRPr="00286216">
              <w:rPr>
                <w:color w:val="000000" w:themeColor="text1"/>
              </w:rPr>
              <w:t>3) обсяг торгівлі активами, допущеними до торгів на організованому ринку, організацію діяльності якого здійснює такий оператор (кількість таких активів, ціна кожного з активів та їх загальна вартість згідно з укладеними договорами);</w:t>
            </w:r>
          </w:p>
        </w:tc>
        <w:tc>
          <w:tcPr>
            <w:tcW w:w="3686" w:type="dxa"/>
          </w:tcPr>
          <w:p w14:paraId="34FE2E48" w14:textId="77777777" w:rsidR="00806997" w:rsidRPr="00286216" w:rsidRDefault="00806997" w:rsidP="00806997">
            <w:pPr>
              <w:pStyle w:val="StyleProp"/>
              <w:rPr>
                <w:color w:val="000000" w:themeColor="text1"/>
              </w:rPr>
            </w:pPr>
          </w:p>
        </w:tc>
        <w:tc>
          <w:tcPr>
            <w:tcW w:w="1987" w:type="dxa"/>
          </w:tcPr>
          <w:p w14:paraId="16425773" w14:textId="77777777" w:rsidR="00806997" w:rsidRPr="00286216" w:rsidRDefault="00806997" w:rsidP="00806997">
            <w:pPr>
              <w:pStyle w:val="StyleWisnow"/>
              <w:rPr>
                <w:color w:val="000000" w:themeColor="text1"/>
              </w:rPr>
            </w:pPr>
          </w:p>
        </w:tc>
        <w:tc>
          <w:tcPr>
            <w:tcW w:w="4818" w:type="dxa"/>
          </w:tcPr>
          <w:p w14:paraId="0A21A1B6" w14:textId="76054965" w:rsidR="00806997" w:rsidRPr="00286216" w:rsidRDefault="00806997" w:rsidP="00806997">
            <w:pPr>
              <w:pStyle w:val="StyleZakonu"/>
              <w:rPr>
                <w:color w:val="000000" w:themeColor="text1"/>
              </w:rPr>
            </w:pPr>
            <w:r w:rsidRPr="00286216">
              <w:rPr>
                <w:color w:val="000000" w:themeColor="text1"/>
              </w:rPr>
              <w:t>3) обсяг торгівлі активами, допущеними до торгів на організованому ринку, організацію діяльності якого здійснює такий оператор (кількість таких активів, ціна кожного з активів та їх загальна вартість згідно з укладеними договорами).</w:t>
            </w:r>
          </w:p>
        </w:tc>
      </w:tr>
      <w:tr w:rsidR="00806997" w:rsidRPr="00286216" w14:paraId="39D3CC9D" w14:textId="77777777" w:rsidTr="00091AA5">
        <w:tc>
          <w:tcPr>
            <w:tcW w:w="576" w:type="dxa"/>
          </w:tcPr>
          <w:p w14:paraId="4CD28EB0" w14:textId="77777777" w:rsidR="00806997" w:rsidRPr="00286216" w:rsidRDefault="00806997" w:rsidP="00806997">
            <w:pPr>
              <w:pStyle w:val="StyleWisnow"/>
              <w:rPr>
                <w:color w:val="000000" w:themeColor="text1"/>
              </w:rPr>
            </w:pPr>
            <w:bookmarkStart w:id="683" w:name="n972" w:colFirst="0" w:colLast="0"/>
            <w:bookmarkEnd w:id="682"/>
            <w:r w:rsidRPr="00286216">
              <w:rPr>
                <w:color w:val="000000" w:themeColor="text1"/>
              </w:rPr>
              <w:t>972.</w:t>
            </w:r>
          </w:p>
        </w:tc>
        <w:tc>
          <w:tcPr>
            <w:tcW w:w="4818" w:type="dxa"/>
          </w:tcPr>
          <w:p w14:paraId="44B8C656" w14:textId="77777777" w:rsidR="00806997" w:rsidRPr="00286216" w:rsidRDefault="00806997" w:rsidP="00806997">
            <w:pPr>
              <w:pStyle w:val="StyleZakonu"/>
              <w:rPr>
                <w:color w:val="000000" w:themeColor="text1"/>
              </w:rPr>
            </w:pPr>
            <w:r w:rsidRPr="00286216">
              <w:rPr>
                <w:color w:val="000000" w:themeColor="text1"/>
              </w:rPr>
              <w:t>4) іншу інформацію відповідно до вимог, установлених Національною комісією з цінних паперів та фондового ринку для кожного виду організованого ринку.</w:t>
            </w:r>
          </w:p>
        </w:tc>
        <w:tc>
          <w:tcPr>
            <w:tcW w:w="3686" w:type="dxa"/>
          </w:tcPr>
          <w:p w14:paraId="7F9DA742" w14:textId="46ED8EED" w:rsidR="00806997" w:rsidRPr="00286216" w:rsidRDefault="00806997" w:rsidP="0080699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539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E267CE5" w14:textId="77777777" w:rsidR="00806997" w:rsidRPr="00286216" w:rsidRDefault="00806997" w:rsidP="00806997">
            <w:pPr>
              <w:pStyle w:val="StyleProp"/>
              <w:rPr>
                <w:color w:val="000000" w:themeColor="text1"/>
              </w:rPr>
            </w:pPr>
            <w:r w:rsidRPr="00286216">
              <w:rPr>
                <w:color w:val="000000" w:themeColor="text1"/>
              </w:rPr>
              <w:t xml:space="preserve">Пункт 4 частини 1 </w:t>
            </w:r>
            <w:r w:rsidRPr="00286216">
              <w:rPr>
                <w:color w:val="000000" w:themeColor="text1"/>
                <w:szCs w:val="18"/>
              </w:rPr>
              <w:t>статті 52 виключити</w:t>
            </w:r>
            <w:r w:rsidRPr="00286216">
              <w:rPr>
                <w:color w:val="000000" w:themeColor="text1"/>
              </w:rPr>
              <w:t>:</w:t>
            </w:r>
          </w:p>
          <w:p w14:paraId="05924904" w14:textId="2BC048D2"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540</w:t>
            </w:r>
            <w:r w:rsidRPr="00286216">
              <w:rPr>
                <w:color w:val="000000" w:themeColor="text1"/>
              </w:rPr>
              <w:fldChar w:fldCharType="end"/>
            </w:r>
            <w:r w:rsidRPr="00286216">
              <w:rPr>
                <w:color w:val="000000" w:themeColor="text1"/>
              </w:rPr>
              <w:t>-Н.д.Шахов С.В. (Реєстр.картка №114)</w:t>
            </w:r>
          </w:p>
          <w:p w14:paraId="5807E08A" w14:textId="77777777" w:rsidR="00806997" w:rsidRPr="00286216" w:rsidRDefault="00806997" w:rsidP="00806997">
            <w:pPr>
              <w:pStyle w:val="StyleProp"/>
              <w:spacing w:line="180" w:lineRule="exact"/>
              <w:rPr>
                <w:color w:val="000000" w:themeColor="text1"/>
              </w:rPr>
            </w:pPr>
            <w:r w:rsidRPr="00286216">
              <w:rPr>
                <w:color w:val="000000" w:themeColor="text1"/>
              </w:rPr>
              <w:t xml:space="preserve">у частині 1 пункт 4 </w:t>
            </w:r>
            <w:r w:rsidRPr="00286216">
              <w:rPr>
                <w:color w:val="000000" w:themeColor="text1"/>
                <w:szCs w:val="18"/>
              </w:rPr>
              <w:t xml:space="preserve">статті 52 </w:t>
            </w:r>
            <w:r w:rsidRPr="00286216">
              <w:rPr>
                <w:color w:val="000000" w:themeColor="text1"/>
              </w:rPr>
              <w:t>викласти у такій редакції:</w:t>
            </w:r>
          </w:p>
          <w:p w14:paraId="413DEFEA" w14:textId="77777777" w:rsidR="00806997" w:rsidRPr="00286216" w:rsidRDefault="00806997" w:rsidP="00806997">
            <w:pPr>
              <w:spacing w:line="180" w:lineRule="exact"/>
              <w:ind w:firstLine="227"/>
              <w:jc w:val="both"/>
              <w:rPr>
                <w:color w:val="000000" w:themeColor="text1"/>
                <w:szCs w:val="18"/>
              </w:rPr>
            </w:pPr>
            <w:r w:rsidRPr="00286216">
              <w:rPr>
                <w:color w:val="000000" w:themeColor="text1"/>
                <w:sz w:val="18"/>
              </w:rPr>
              <w:t>«4) іншу інформацію відповідно до вимог закону та за рішенням оператора організованого ринку.».</w:t>
            </w:r>
          </w:p>
        </w:tc>
        <w:tc>
          <w:tcPr>
            <w:tcW w:w="1987" w:type="dxa"/>
          </w:tcPr>
          <w:p w14:paraId="0029BF6D" w14:textId="77777777" w:rsidR="00806997" w:rsidRPr="00286216" w:rsidRDefault="00806997" w:rsidP="00806997">
            <w:pPr>
              <w:pStyle w:val="StyleWisnow"/>
              <w:rPr>
                <w:color w:val="000000" w:themeColor="text1"/>
              </w:rPr>
            </w:pPr>
            <w:r w:rsidRPr="00286216">
              <w:rPr>
                <w:color w:val="000000" w:themeColor="text1"/>
              </w:rPr>
              <w:t>Враховано</w:t>
            </w:r>
          </w:p>
          <w:p w14:paraId="5CA15CC9" w14:textId="77777777" w:rsidR="00806997" w:rsidRPr="00286216" w:rsidRDefault="00806997" w:rsidP="00806997">
            <w:pPr>
              <w:pStyle w:val="StyleWisnow"/>
              <w:rPr>
                <w:color w:val="000000" w:themeColor="text1"/>
              </w:rPr>
            </w:pPr>
          </w:p>
          <w:p w14:paraId="357180F6" w14:textId="77777777" w:rsidR="00806997" w:rsidRPr="00286216" w:rsidRDefault="00806997" w:rsidP="00806997">
            <w:pPr>
              <w:pStyle w:val="StyleWisnow"/>
              <w:rPr>
                <w:color w:val="000000" w:themeColor="text1"/>
              </w:rPr>
            </w:pPr>
          </w:p>
          <w:p w14:paraId="5E6D1B7B" w14:textId="77777777" w:rsidR="00806997" w:rsidRPr="00286216" w:rsidRDefault="00806997" w:rsidP="00806997">
            <w:pPr>
              <w:pStyle w:val="StyleWisnow"/>
              <w:rPr>
                <w:color w:val="000000" w:themeColor="text1"/>
              </w:rPr>
            </w:pPr>
            <w:r w:rsidRPr="00286216">
              <w:rPr>
                <w:color w:val="000000" w:themeColor="text1"/>
              </w:rPr>
              <w:t>Відхилено</w:t>
            </w:r>
          </w:p>
          <w:p w14:paraId="1AC42DC7" w14:textId="77777777" w:rsidR="00806997" w:rsidRPr="00286216" w:rsidRDefault="00806997" w:rsidP="00806997">
            <w:pPr>
              <w:pStyle w:val="StyleWisnow"/>
              <w:spacing w:line="180" w:lineRule="exact"/>
              <w:rPr>
                <w:color w:val="000000" w:themeColor="text1"/>
              </w:rPr>
            </w:pPr>
            <w:r w:rsidRPr="00286216">
              <w:rPr>
                <w:color w:val="000000" w:themeColor="text1"/>
              </w:rPr>
              <w:t xml:space="preserve">у зв'язку із зміною редакції та виключенням пункту </w:t>
            </w:r>
          </w:p>
        </w:tc>
        <w:tc>
          <w:tcPr>
            <w:tcW w:w="4818" w:type="dxa"/>
          </w:tcPr>
          <w:p w14:paraId="731CFAF0" w14:textId="77777777" w:rsidR="00806997" w:rsidRPr="00286216" w:rsidRDefault="00806997" w:rsidP="00806997">
            <w:pPr>
              <w:pStyle w:val="StyleZakonu"/>
              <w:rPr>
                <w:color w:val="000000" w:themeColor="text1"/>
              </w:rPr>
            </w:pPr>
          </w:p>
        </w:tc>
      </w:tr>
      <w:tr w:rsidR="00806997" w:rsidRPr="00286216" w14:paraId="5A5E3E7C" w14:textId="77777777" w:rsidTr="00091AA5">
        <w:tc>
          <w:tcPr>
            <w:tcW w:w="576" w:type="dxa"/>
          </w:tcPr>
          <w:p w14:paraId="0D5D6D98" w14:textId="77777777" w:rsidR="00806997" w:rsidRPr="00286216" w:rsidRDefault="00806997" w:rsidP="00806997">
            <w:pPr>
              <w:pStyle w:val="StyleWisnow"/>
              <w:rPr>
                <w:color w:val="000000" w:themeColor="text1"/>
              </w:rPr>
            </w:pPr>
            <w:bookmarkStart w:id="684" w:name="n973" w:colFirst="0" w:colLast="0"/>
            <w:bookmarkEnd w:id="683"/>
            <w:r w:rsidRPr="00286216">
              <w:rPr>
                <w:color w:val="000000" w:themeColor="text1"/>
              </w:rPr>
              <w:t>973.</w:t>
            </w:r>
          </w:p>
        </w:tc>
        <w:tc>
          <w:tcPr>
            <w:tcW w:w="4818" w:type="dxa"/>
          </w:tcPr>
          <w:p w14:paraId="5442096E" w14:textId="77777777" w:rsidR="00806997" w:rsidRPr="00286216" w:rsidRDefault="00806997" w:rsidP="00806997">
            <w:pPr>
              <w:pStyle w:val="StyleZakonu"/>
              <w:rPr>
                <w:color w:val="000000" w:themeColor="text1"/>
              </w:rPr>
            </w:pPr>
            <w:r w:rsidRPr="00286216">
              <w:rPr>
                <w:color w:val="000000" w:themeColor="text1"/>
              </w:rPr>
              <w:t>2. Національна комісія з цінних паперів та фондового ринку встановлює порядок і форми подання інформації, зазначеної у частині першій цієї статті, та здійснює контроль за розкриттям інформації операторами організованого ринку.</w:t>
            </w:r>
          </w:p>
        </w:tc>
        <w:tc>
          <w:tcPr>
            <w:tcW w:w="3686" w:type="dxa"/>
          </w:tcPr>
          <w:p w14:paraId="0470970F" w14:textId="13DD0828"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541</w:t>
            </w:r>
            <w:r w:rsidRPr="00286216">
              <w:rPr>
                <w:color w:val="000000" w:themeColor="text1"/>
              </w:rPr>
              <w:fldChar w:fldCharType="end"/>
            </w:r>
            <w:r w:rsidRPr="00286216">
              <w:rPr>
                <w:color w:val="000000" w:themeColor="text1"/>
              </w:rPr>
              <w:t>-Н.д.Шахов С.В. (Реєстр.картка №114)</w:t>
            </w:r>
          </w:p>
          <w:p w14:paraId="6E5FC29C" w14:textId="77777777" w:rsidR="00806997" w:rsidRPr="00286216" w:rsidRDefault="00806997" w:rsidP="00806997">
            <w:pPr>
              <w:pStyle w:val="StyleProp"/>
              <w:spacing w:line="180" w:lineRule="exact"/>
              <w:rPr>
                <w:color w:val="000000" w:themeColor="text1"/>
                <w:spacing w:val="-5"/>
              </w:rPr>
            </w:pPr>
            <w:r w:rsidRPr="00286216">
              <w:rPr>
                <w:color w:val="000000" w:themeColor="text1"/>
                <w:spacing w:val="-5"/>
              </w:rPr>
              <w:t xml:space="preserve">Частину 2 </w:t>
            </w:r>
            <w:r w:rsidRPr="00286216">
              <w:rPr>
                <w:color w:val="000000" w:themeColor="text1"/>
                <w:spacing w:val="-5"/>
                <w:szCs w:val="18"/>
              </w:rPr>
              <w:t xml:space="preserve">статті 52 </w:t>
            </w:r>
            <w:r w:rsidRPr="00286216">
              <w:rPr>
                <w:color w:val="000000" w:themeColor="text1"/>
                <w:spacing w:val="-5"/>
              </w:rPr>
              <w:t>викласти у такій редакції:</w:t>
            </w:r>
          </w:p>
          <w:p w14:paraId="6AB9C24C" w14:textId="77777777" w:rsidR="00806997" w:rsidRPr="00286216" w:rsidRDefault="00806997" w:rsidP="00806997">
            <w:pPr>
              <w:pStyle w:val="StyleProp"/>
              <w:spacing w:line="180" w:lineRule="exact"/>
              <w:rPr>
                <w:color w:val="000000" w:themeColor="text1"/>
                <w:spacing w:val="-4"/>
                <w:szCs w:val="18"/>
              </w:rPr>
            </w:pPr>
            <w:r w:rsidRPr="00286216">
              <w:rPr>
                <w:color w:val="000000" w:themeColor="text1"/>
                <w:spacing w:val="-3"/>
              </w:rPr>
              <w:t xml:space="preserve">"2. Регулятор відповідного ринку встановлює порядок і форми подання інформації, зазначеної у частині першій цієї статті, та здійснює контроль за розкриттям </w:t>
            </w:r>
            <w:r w:rsidRPr="00286216">
              <w:rPr>
                <w:color w:val="000000" w:themeColor="text1"/>
                <w:spacing w:val="-4"/>
              </w:rPr>
              <w:lastRenderedPageBreak/>
              <w:t>інформації операторами організованого ринку".</w:t>
            </w:r>
          </w:p>
        </w:tc>
        <w:tc>
          <w:tcPr>
            <w:tcW w:w="1987" w:type="dxa"/>
          </w:tcPr>
          <w:p w14:paraId="735FBF8A" w14:textId="77777777" w:rsidR="00806997" w:rsidRPr="00286216" w:rsidRDefault="00806997" w:rsidP="00806997">
            <w:pPr>
              <w:pStyle w:val="StyleWisnow"/>
              <w:rPr>
                <w:color w:val="000000" w:themeColor="text1"/>
              </w:rPr>
            </w:pPr>
            <w:r w:rsidRPr="00286216">
              <w:rPr>
                <w:color w:val="000000" w:themeColor="text1"/>
              </w:rPr>
              <w:lastRenderedPageBreak/>
              <w:t>Відхилено</w:t>
            </w:r>
          </w:p>
          <w:p w14:paraId="3B43FA7C" w14:textId="77777777" w:rsidR="00806997" w:rsidRPr="00286216" w:rsidRDefault="00806997" w:rsidP="00806997">
            <w:pPr>
              <w:pStyle w:val="StyleWisnow"/>
              <w:spacing w:line="180" w:lineRule="exact"/>
              <w:rPr>
                <w:color w:val="000000" w:themeColor="text1"/>
              </w:rPr>
            </w:pPr>
            <w:r w:rsidRPr="00286216">
              <w:rPr>
                <w:color w:val="000000" w:themeColor="text1"/>
              </w:rPr>
              <w:t>ринки капіталу, де функціонують організовані ринки, належать до виключної компетенції НКЦПФР</w:t>
            </w:r>
          </w:p>
        </w:tc>
        <w:tc>
          <w:tcPr>
            <w:tcW w:w="4818" w:type="dxa"/>
          </w:tcPr>
          <w:p w14:paraId="39ED2982" w14:textId="43DDA1F9" w:rsidR="00806997" w:rsidRPr="00286216" w:rsidRDefault="00806997" w:rsidP="00806997">
            <w:pPr>
              <w:pStyle w:val="StyleZakonu"/>
              <w:rPr>
                <w:color w:val="000000" w:themeColor="text1"/>
              </w:rPr>
            </w:pPr>
            <w:r w:rsidRPr="00286216">
              <w:rPr>
                <w:color w:val="000000" w:themeColor="text1"/>
              </w:rPr>
              <w:t>2. Національна комісія з цінних паперів та фондового ринку встановлює порядок і форми подання інформації, зазначеної у частині першій цієї статті, та здійснює контроль за розкриттям інформації операторами організованого ринку.</w:t>
            </w:r>
          </w:p>
        </w:tc>
      </w:tr>
      <w:tr w:rsidR="00291EAB" w:rsidRPr="00286216" w14:paraId="0CD36620" w14:textId="77777777" w:rsidTr="00091AA5">
        <w:tc>
          <w:tcPr>
            <w:tcW w:w="576" w:type="dxa"/>
          </w:tcPr>
          <w:p w14:paraId="6C900837" w14:textId="77777777" w:rsidR="00291EAB" w:rsidRPr="00286216" w:rsidRDefault="00291EAB" w:rsidP="00291EAB">
            <w:pPr>
              <w:pStyle w:val="StyleWisnow"/>
              <w:rPr>
                <w:color w:val="000000" w:themeColor="text1"/>
              </w:rPr>
            </w:pPr>
            <w:bookmarkStart w:id="685" w:name="n974" w:colFirst="0" w:colLast="0"/>
            <w:bookmarkEnd w:id="684"/>
            <w:r w:rsidRPr="00286216">
              <w:rPr>
                <w:color w:val="000000" w:themeColor="text1"/>
              </w:rPr>
              <w:t>974.</w:t>
            </w:r>
          </w:p>
        </w:tc>
        <w:tc>
          <w:tcPr>
            <w:tcW w:w="4818" w:type="dxa"/>
          </w:tcPr>
          <w:p w14:paraId="6C9818C5" w14:textId="77777777" w:rsidR="00291EAB" w:rsidRPr="00286216" w:rsidRDefault="00291EAB" w:rsidP="00291EAB">
            <w:pPr>
              <w:pStyle w:val="StyleZakonu"/>
              <w:rPr>
                <w:color w:val="000000" w:themeColor="text1"/>
              </w:rPr>
            </w:pPr>
            <w:r w:rsidRPr="00286216">
              <w:rPr>
                <w:color w:val="000000" w:themeColor="text1"/>
              </w:rPr>
              <w:t>3. Оператори організованих ринків зобов’язані розміщувати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таку інформацію про всі вчинені на таких ринках правочини щодо емісійних цінних паперів:</w:t>
            </w:r>
          </w:p>
        </w:tc>
        <w:tc>
          <w:tcPr>
            <w:tcW w:w="3686" w:type="dxa"/>
          </w:tcPr>
          <w:p w14:paraId="21FB21E6" w14:textId="78B9993F" w:rsidR="00291EAB" w:rsidRPr="00286216" w:rsidRDefault="00291EAB" w:rsidP="00291EAB">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542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A50306C" w14:textId="77777777" w:rsidR="00291EAB" w:rsidRPr="00286216" w:rsidRDefault="00291EAB" w:rsidP="00291EAB">
            <w:pPr>
              <w:pStyle w:val="StyleProp"/>
              <w:spacing w:line="180" w:lineRule="exact"/>
              <w:rPr>
                <w:color w:val="000000" w:themeColor="text1"/>
              </w:rPr>
            </w:pPr>
            <w:r w:rsidRPr="00286216">
              <w:rPr>
                <w:color w:val="000000" w:themeColor="text1"/>
                <w:spacing w:val="-8"/>
                <w:szCs w:val="18"/>
              </w:rPr>
              <w:t>В частині 3 статті 52 слова</w:t>
            </w:r>
            <w:r w:rsidRPr="00286216">
              <w:rPr>
                <w:color w:val="000000" w:themeColor="text1"/>
                <w:spacing w:val="-6"/>
                <w:szCs w:val="18"/>
              </w:rPr>
              <w:t xml:space="preserve"> «Загальнодоступній</w:t>
            </w:r>
            <w:r w:rsidRPr="00286216">
              <w:rPr>
                <w:color w:val="000000" w:themeColor="text1"/>
                <w:szCs w:val="18"/>
              </w:rPr>
              <w:t xml:space="preserve">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w:t>
            </w:r>
            <w:r w:rsidRPr="00286216">
              <w:rPr>
                <w:b/>
                <w:i/>
                <w:color w:val="000000" w:themeColor="text1"/>
                <w:szCs w:val="18"/>
              </w:rPr>
              <w:t xml:space="preserve"> </w:t>
            </w:r>
            <w:r w:rsidRPr="00286216">
              <w:rPr>
                <w:color w:val="000000" w:themeColor="text1"/>
                <w:szCs w:val="18"/>
              </w:rPr>
              <w:t>словами</w:t>
            </w:r>
            <w:r w:rsidRPr="00286216">
              <w:rPr>
                <w:b/>
                <w:i/>
                <w:color w:val="000000" w:themeColor="text1"/>
                <w:szCs w:val="18"/>
              </w:rPr>
              <w:t xml:space="preserve"> </w:t>
            </w:r>
            <w:r w:rsidRPr="00286216">
              <w:rPr>
                <w:color w:val="000000" w:themeColor="text1"/>
                <w:szCs w:val="18"/>
              </w:rPr>
              <w:t>«базі даних особи, яка провадить діяльність із оприлюднення</w:t>
            </w:r>
            <w:r w:rsidRPr="00286216">
              <w:rPr>
                <w:b/>
                <w:i/>
                <w:color w:val="000000" w:themeColor="text1"/>
                <w:szCs w:val="18"/>
              </w:rPr>
              <w:t xml:space="preserve"> </w:t>
            </w:r>
            <w:r w:rsidRPr="00286216">
              <w:rPr>
                <w:color w:val="000000" w:themeColor="text1"/>
                <w:szCs w:val="18"/>
              </w:rPr>
              <w:t>регульованої інформації від імені учасників ринків капіталу та професійних</w:t>
            </w:r>
            <w:r w:rsidRPr="00286216">
              <w:rPr>
                <w:b/>
                <w:i/>
                <w:color w:val="000000" w:themeColor="text1"/>
                <w:szCs w:val="18"/>
              </w:rPr>
              <w:t xml:space="preserve"> </w:t>
            </w:r>
            <w:r w:rsidRPr="00286216">
              <w:rPr>
                <w:color w:val="000000" w:themeColor="text1"/>
                <w:szCs w:val="18"/>
              </w:rPr>
              <w:t>учасників організованих товарних ринків</w:t>
            </w:r>
            <w:r w:rsidRPr="00286216">
              <w:rPr>
                <w:color w:val="000000" w:themeColor="text1"/>
              </w:rPr>
              <w:t>».</w:t>
            </w:r>
          </w:p>
          <w:p w14:paraId="315E7E18" w14:textId="3C49E1EF"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543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11836EA"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68FF5A77" w14:textId="77777777" w:rsidR="00291EAB" w:rsidRPr="00286216" w:rsidRDefault="00291EAB" w:rsidP="00291EAB">
            <w:pPr>
              <w:pStyle w:val="StyleWisnow"/>
              <w:rPr>
                <w:color w:val="000000" w:themeColor="text1"/>
              </w:rPr>
            </w:pPr>
            <w:r w:rsidRPr="00286216">
              <w:rPr>
                <w:color w:val="000000" w:themeColor="text1"/>
              </w:rPr>
              <w:t>Враховано</w:t>
            </w:r>
          </w:p>
          <w:p w14:paraId="273E6E8F" w14:textId="77777777" w:rsidR="00291EAB" w:rsidRPr="00286216" w:rsidRDefault="00291EAB" w:rsidP="00291EAB">
            <w:pPr>
              <w:pStyle w:val="StyleWisnow"/>
              <w:rPr>
                <w:color w:val="000000" w:themeColor="text1"/>
              </w:rPr>
            </w:pPr>
          </w:p>
          <w:p w14:paraId="212429EF" w14:textId="77777777" w:rsidR="00291EAB" w:rsidRPr="00286216" w:rsidRDefault="00291EAB" w:rsidP="00291EAB">
            <w:pPr>
              <w:pStyle w:val="StyleWisnow"/>
              <w:rPr>
                <w:color w:val="000000" w:themeColor="text1"/>
              </w:rPr>
            </w:pPr>
          </w:p>
          <w:p w14:paraId="03698254" w14:textId="77777777" w:rsidR="00291EAB" w:rsidRPr="00286216" w:rsidRDefault="00291EAB" w:rsidP="00291EAB">
            <w:pPr>
              <w:pStyle w:val="StyleWisnow"/>
              <w:rPr>
                <w:color w:val="000000" w:themeColor="text1"/>
              </w:rPr>
            </w:pPr>
          </w:p>
          <w:p w14:paraId="01B99574" w14:textId="77777777" w:rsidR="00291EAB" w:rsidRPr="00286216" w:rsidRDefault="00291EAB" w:rsidP="00291EAB">
            <w:pPr>
              <w:pStyle w:val="StyleWisnow"/>
              <w:rPr>
                <w:color w:val="000000" w:themeColor="text1"/>
              </w:rPr>
            </w:pPr>
          </w:p>
          <w:p w14:paraId="47A73AD0" w14:textId="77777777" w:rsidR="00291EAB" w:rsidRPr="00286216" w:rsidRDefault="00291EAB" w:rsidP="00291EAB">
            <w:pPr>
              <w:pStyle w:val="StyleWisnow"/>
              <w:rPr>
                <w:color w:val="000000" w:themeColor="text1"/>
              </w:rPr>
            </w:pPr>
          </w:p>
          <w:p w14:paraId="758815D4" w14:textId="77777777" w:rsidR="00291EAB" w:rsidRPr="00286216" w:rsidRDefault="00291EAB" w:rsidP="00291EAB">
            <w:pPr>
              <w:pStyle w:val="StyleWisnow"/>
              <w:rPr>
                <w:color w:val="000000" w:themeColor="text1"/>
              </w:rPr>
            </w:pPr>
          </w:p>
          <w:p w14:paraId="00BA55D0" w14:textId="77777777" w:rsidR="00291EAB" w:rsidRPr="00286216" w:rsidRDefault="00291EAB" w:rsidP="00291EAB">
            <w:pPr>
              <w:pStyle w:val="StyleWisnow"/>
              <w:rPr>
                <w:color w:val="000000" w:themeColor="text1"/>
              </w:rPr>
            </w:pPr>
          </w:p>
          <w:p w14:paraId="077AC057" w14:textId="77777777" w:rsidR="00291EAB" w:rsidRPr="00286216" w:rsidRDefault="00291EAB" w:rsidP="00291EAB">
            <w:pPr>
              <w:pStyle w:val="StyleWisnow"/>
              <w:rPr>
                <w:color w:val="000000" w:themeColor="text1"/>
              </w:rPr>
            </w:pPr>
          </w:p>
          <w:p w14:paraId="0B3190CB" w14:textId="77777777" w:rsidR="00291EAB" w:rsidRPr="00286216" w:rsidRDefault="00291EAB" w:rsidP="00291EAB">
            <w:pPr>
              <w:pStyle w:val="StyleWisnow"/>
              <w:rPr>
                <w:color w:val="000000" w:themeColor="text1"/>
              </w:rPr>
            </w:pPr>
          </w:p>
          <w:p w14:paraId="078C69CB" w14:textId="77777777" w:rsidR="00291EAB" w:rsidRPr="00286216" w:rsidRDefault="00291EAB" w:rsidP="00291EAB">
            <w:pPr>
              <w:pStyle w:val="StyleWisnow"/>
              <w:rPr>
                <w:color w:val="000000" w:themeColor="text1"/>
              </w:rPr>
            </w:pPr>
          </w:p>
          <w:p w14:paraId="30C348C2" w14:textId="77777777" w:rsidR="00291EAB" w:rsidRPr="00286216" w:rsidRDefault="00291EAB" w:rsidP="00291EAB">
            <w:pPr>
              <w:pStyle w:val="StyleWisnow"/>
              <w:spacing w:line="180" w:lineRule="exact"/>
              <w:rPr>
                <w:color w:val="000000" w:themeColor="text1"/>
              </w:rPr>
            </w:pPr>
          </w:p>
          <w:p w14:paraId="4ECAF88E" w14:textId="77777777" w:rsidR="00291EAB" w:rsidRPr="00286216" w:rsidRDefault="00291EAB" w:rsidP="00291EAB">
            <w:pPr>
              <w:pStyle w:val="StyleWisnow"/>
              <w:spacing w:line="180" w:lineRule="exact"/>
              <w:rPr>
                <w:color w:val="000000" w:themeColor="text1"/>
              </w:rPr>
            </w:pPr>
          </w:p>
          <w:p w14:paraId="7758985F" w14:textId="77777777" w:rsidR="00291EAB" w:rsidRPr="00286216" w:rsidRDefault="00291EAB" w:rsidP="00291EAB">
            <w:pPr>
              <w:pStyle w:val="StyleWisnow"/>
              <w:spacing w:line="180" w:lineRule="exact"/>
              <w:rPr>
                <w:color w:val="000000" w:themeColor="text1"/>
              </w:rPr>
            </w:pPr>
          </w:p>
          <w:p w14:paraId="5BAE3903" w14:textId="77777777" w:rsidR="00291EAB" w:rsidRPr="00286216" w:rsidRDefault="00291EAB" w:rsidP="00291EAB">
            <w:pPr>
              <w:pStyle w:val="StyleWisnow"/>
              <w:rPr>
                <w:color w:val="000000" w:themeColor="text1"/>
              </w:rPr>
            </w:pPr>
            <w:r w:rsidRPr="00286216">
              <w:rPr>
                <w:color w:val="000000" w:themeColor="text1"/>
              </w:rPr>
              <w:t>Враховано</w:t>
            </w:r>
          </w:p>
        </w:tc>
        <w:tc>
          <w:tcPr>
            <w:tcW w:w="4818" w:type="dxa"/>
          </w:tcPr>
          <w:p w14:paraId="45CE0CF1" w14:textId="15EFC07A" w:rsidR="00291EAB" w:rsidRPr="00286216" w:rsidRDefault="00291EAB" w:rsidP="00291EAB">
            <w:pPr>
              <w:pStyle w:val="StyleZakonu"/>
              <w:rPr>
                <w:color w:val="000000" w:themeColor="text1"/>
              </w:rPr>
            </w:pPr>
            <w:r w:rsidRPr="00286216">
              <w:rPr>
                <w:color w:val="000000" w:themeColor="text1"/>
              </w:rPr>
              <w:t xml:space="preserve">3. Оператори організованих ринків зобов’язані розміщувати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таку інформацію про всі вчинені на таких ринках правочини щодо емісійних цінних паперів:</w:t>
            </w:r>
          </w:p>
        </w:tc>
      </w:tr>
      <w:tr w:rsidR="00291EAB" w:rsidRPr="00286216" w14:paraId="2150BF63" w14:textId="77777777" w:rsidTr="00091AA5">
        <w:tc>
          <w:tcPr>
            <w:tcW w:w="576" w:type="dxa"/>
          </w:tcPr>
          <w:p w14:paraId="250194AC" w14:textId="77777777" w:rsidR="00291EAB" w:rsidRPr="00286216" w:rsidRDefault="00291EAB" w:rsidP="00291EAB">
            <w:pPr>
              <w:pStyle w:val="StyleWisnow"/>
              <w:rPr>
                <w:color w:val="000000" w:themeColor="text1"/>
              </w:rPr>
            </w:pPr>
            <w:bookmarkStart w:id="686" w:name="n975" w:colFirst="0" w:colLast="0"/>
            <w:bookmarkEnd w:id="685"/>
            <w:r w:rsidRPr="00286216">
              <w:rPr>
                <w:color w:val="000000" w:themeColor="text1"/>
              </w:rPr>
              <w:t>975.</w:t>
            </w:r>
          </w:p>
        </w:tc>
        <w:tc>
          <w:tcPr>
            <w:tcW w:w="4818" w:type="dxa"/>
          </w:tcPr>
          <w:p w14:paraId="48B1430E" w14:textId="77777777" w:rsidR="00291EAB" w:rsidRPr="00286216" w:rsidRDefault="00291EAB" w:rsidP="00291EAB">
            <w:pPr>
              <w:pStyle w:val="StyleZakonu"/>
              <w:rPr>
                <w:color w:val="000000" w:themeColor="text1"/>
              </w:rPr>
            </w:pPr>
            <w:r w:rsidRPr="00286216">
              <w:rPr>
                <w:color w:val="000000" w:themeColor="text1"/>
              </w:rPr>
              <w:t>1) найменування емітента цінних паперів та його ідентифікаційний код згідно з Єдиним державним реєстром юридичних осіб, фізичних осіб-підприємців та громадських формувань, код LEI (за наявності);</w:t>
            </w:r>
          </w:p>
        </w:tc>
        <w:tc>
          <w:tcPr>
            <w:tcW w:w="3686" w:type="dxa"/>
          </w:tcPr>
          <w:p w14:paraId="53664F3E" w14:textId="7656E01C"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544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6FAF197" w14:textId="77777777" w:rsidR="00291EAB" w:rsidRPr="00286216" w:rsidRDefault="00291EAB" w:rsidP="00291EAB">
            <w:pPr>
              <w:pStyle w:val="StyleProp"/>
              <w:rPr>
                <w:color w:val="000000" w:themeColor="text1"/>
                <w:szCs w:val="18"/>
              </w:rPr>
            </w:pPr>
            <w:r w:rsidRPr="00286216">
              <w:rPr>
                <w:color w:val="000000" w:themeColor="text1"/>
                <w:szCs w:val="18"/>
              </w:rPr>
              <w:t>У пункті 1 частини 3 статті 52 нової редакції Закону слова «(за наявності)» виключити.</w:t>
            </w:r>
          </w:p>
        </w:tc>
        <w:tc>
          <w:tcPr>
            <w:tcW w:w="1987" w:type="dxa"/>
          </w:tcPr>
          <w:p w14:paraId="3412EF32" w14:textId="77777777" w:rsidR="00291EAB" w:rsidRPr="00286216" w:rsidRDefault="00291EAB" w:rsidP="00291EAB">
            <w:pPr>
              <w:pStyle w:val="StyleWisnow"/>
              <w:rPr>
                <w:color w:val="000000" w:themeColor="text1"/>
              </w:rPr>
            </w:pPr>
            <w:r w:rsidRPr="00286216">
              <w:rPr>
                <w:color w:val="000000" w:themeColor="text1"/>
              </w:rPr>
              <w:t>Враховано</w:t>
            </w:r>
          </w:p>
        </w:tc>
        <w:tc>
          <w:tcPr>
            <w:tcW w:w="4818" w:type="dxa"/>
          </w:tcPr>
          <w:p w14:paraId="556F13A0" w14:textId="19271962" w:rsidR="00291EAB" w:rsidRPr="00286216" w:rsidRDefault="00291EAB" w:rsidP="00291EAB">
            <w:pPr>
              <w:pStyle w:val="StyleZakonu"/>
              <w:rPr>
                <w:color w:val="000000" w:themeColor="text1"/>
              </w:rPr>
            </w:pPr>
            <w:r w:rsidRPr="00286216">
              <w:rPr>
                <w:color w:val="000000" w:themeColor="text1"/>
              </w:rPr>
              <w:t>1) найменування емітента цінних паперів та його ідентифікаційний код згідно з Єдиним державним реєстром юридичних осіб, фізичних осіб-підприємців та громадських формувань</w:t>
            </w:r>
            <w:r w:rsidR="00806997" w:rsidRPr="00286216">
              <w:rPr>
                <w:color w:val="000000" w:themeColor="text1"/>
              </w:rPr>
              <w:t>,</w:t>
            </w:r>
            <w:r w:rsidRPr="00286216">
              <w:rPr>
                <w:color w:val="000000" w:themeColor="text1"/>
              </w:rPr>
              <w:t xml:space="preserve"> код LEI;</w:t>
            </w:r>
          </w:p>
        </w:tc>
      </w:tr>
      <w:tr w:rsidR="00806997" w:rsidRPr="00286216" w14:paraId="58BF0338" w14:textId="77777777" w:rsidTr="00091AA5">
        <w:tc>
          <w:tcPr>
            <w:tcW w:w="576" w:type="dxa"/>
          </w:tcPr>
          <w:p w14:paraId="31CAFFC6" w14:textId="77777777" w:rsidR="00806997" w:rsidRPr="00286216" w:rsidRDefault="00806997" w:rsidP="00806997">
            <w:pPr>
              <w:pStyle w:val="StyleWisnow"/>
              <w:rPr>
                <w:color w:val="000000" w:themeColor="text1"/>
              </w:rPr>
            </w:pPr>
            <w:bookmarkStart w:id="687" w:name="n976" w:colFirst="0" w:colLast="0"/>
            <w:bookmarkEnd w:id="686"/>
            <w:r w:rsidRPr="00286216">
              <w:rPr>
                <w:color w:val="000000" w:themeColor="text1"/>
              </w:rPr>
              <w:t>976.</w:t>
            </w:r>
          </w:p>
        </w:tc>
        <w:tc>
          <w:tcPr>
            <w:tcW w:w="4818" w:type="dxa"/>
          </w:tcPr>
          <w:p w14:paraId="53C31B5B" w14:textId="77777777" w:rsidR="00806997" w:rsidRPr="00286216" w:rsidRDefault="00806997" w:rsidP="00806997">
            <w:pPr>
              <w:pStyle w:val="StyleZakonu"/>
              <w:rPr>
                <w:color w:val="000000" w:themeColor="text1"/>
              </w:rPr>
            </w:pPr>
            <w:r w:rsidRPr="00286216">
              <w:rPr>
                <w:color w:val="000000" w:themeColor="text1"/>
              </w:rPr>
              <w:t>2) вид, тип, клас, форма існування та форма випуску цінних паперів;</w:t>
            </w:r>
          </w:p>
        </w:tc>
        <w:tc>
          <w:tcPr>
            <w:tcW w:w="3686" w:type="dxa"/>
          </w:tcPr>
          <w:p w14:paraId="7EFD5662" w14:textId="77777777" w:rsidR="00806997" w:rsidRPr="00286216" w:rsidRDefault="00806997" w:rsidP="00806997">
            <w:pPr>
              <w:pStyle w:val="StyleProp"/>
              <w:rPr>
                <w:color w:val="000000" w:themeColor="text1"/>
                <w:szCs w:val="18"/>
              </w:rPr>
            </w:pPr>
          </w:p>
        </w:tc>
        <w:tc>
          <w:tcPr>
            <w:tcW w:w="1987" w:type="dxa"/>
          </w:tcPr>
          <w:p w14:paraId="57E7F61F" w14:textId="77777777" w:rsidR="00806997" w:rsidRPr="00286216" w:rsidRDefault="00806997" w:rsidP="00806997">
            <w:pPr>
              <w:pStyle w:val="StyleWisnow"/>
              <w:rPr>
                <w:color w:val="000000" w:themeColor="text1"/>
              </w:rPr>
            </w:pPr>
          </w:p>
        </w:tc>
        <w:tc>
          <w:tcPr>
            <w:tcW w:w="4818" w:type="dxa"/>
          </w:tcPr>
          <w:p w14:paraId="78D9DB4D" w14:textId="131C78D6" w:rsidR="00806997" w:rsidRPr="00286216" w:rsidRDefault="00806997" w:rsidP="00806997">
            <w:pPr>
              <w:pStyle w:val="StyleZakonu"/>
              <w:rPr>
                <w:color w:val="000000" w:themeColor="text1"/>
              </w:rPr>
            </w:pPr>
            <w:r w:rsidRPr="00286216">
              <w:rPr>
                <w:color w:val="000000" w:themeColor="text1"/>
              </w:rPr>
              <w:t>2) вид, тип, клас, форма існування та форма випуску цінних паперів;</w:t>
            </w:r>
          </w:p>
        </w:tc>
      </w:tr>
      <w:tr w:rsidR="00806997" w:rsidRPr="00286216" w14:paraId="3D5EA633" w14:textId="77777777" w:rsidTr="00091AA5">
        <w:tc>
          <w:tcPr>
            <w:tcW w:w="576" w:type="dxa"/>
          </w:tcPr>
          <w:p w14:paraId="32EB6B10" w14:textId="77777777" w:rsidR="00806997" w:rsidRPr="00286216" w:rsidRDefault="00806997" w:rsidP="00806997">
            <w:pPr>
              <w:pStyle w:val="StyleWisnow"/>
              <w:rPr>
                <w:color w:val="000000" w:themeColor="text1"/>
              </w:rPr>
            </w:pPr>
            <w:bookmarkStart w:id="688" w:name="n977" w:colFirst="0" w:colLast="0"/>
            <w:bookmarkEnd w:id="687"/>
            <w:r w:rsidRPr="00286216">
              <w:rPr>
                <w:color w:val="000000" w:themeColor="text1"/>
              </w:rPr>
              <w:t>977.</w:t>
            </w:r>
          </w:p>
        </w:tc>
        <w:tc>
          <w:tcPr>
            <w:tcW w:w="4818" w:type="dxa"/>
          </w:tcPr>
          <w:p w14:paraId="0C7717FD" w14:textId="77777777" w:rsidR="00806997" w:rsidRPr="00286216" w:rsidRDefault="00806997" w:rsidP="00806997">
            <w:pPr>
              <w:pStyle w:val="StyleZakonu"/>
              <w:rPr>
                <w:color w:val="000000" w:themeColor="text1"/>
              </w:rPr>
            </w:pPr>
            <w:r w:rsidRPr="00286216">
              <w:rPr>
                <w:color w:val="000000" w:themeColor="text1"/>
              </w:rPr>
              <w:t>3) код ISIN;</w:t>
            </w:r>
          </w:p>
        </w:tc>
        <w:tc>
          <w:tcPr>
            <w:tcW w:w="3686" w:type="dxa"/>
          </w:tcPr>
          <w:p w14:paraId="4FDFE9D9" w14:textId="77777777" w:rsidR="00806997" w:rsidRPr="00286216" w:rsidRDefault="00806997" w:rsidP="00806997">
            <w:pPr>
              <w:pStyle w:val="StyleProp"/>
              <w:rPr>
                <w:color w:val="000000" w:themeColor="text1"/>
                <w:szCs w:val="18"/>
              </w:rPr>
            </w:pPr>
          </w:p>
        </w:tc>
        <w:tc>
          <w:tcPr>
            <w:tcW w:w="1987" w:type="dxa"/>
          </w:tcPr>
          <w:p w14:paraId="5C1B18B9" w14:textId="77777777" w:rsidR="00806997" w:rsidRPr="00286216" w:rsidRDefault="00806997" w:rsidP="00806997">
            <w:pPr>
              <w:pStyle w:val="StyleWisnow"/>
              <w:rPr>
                <w:color w:val="000000" w:themeColor="text1"/>
              </w:rPr>
            </w:pPr>
          </w:p>
        </w:tc>
        <w:tc>
          <w:tcPr>
            <w:tcW w:w="4818" w:type="dxa"/>
          </w:tcPr>
          <w:p w14:paraId="16906AD2" w14:textId="2F1B6CE9" w:rsidR="00806997" w:rsidRPr="00286216" w:rsidRDefault="00806997" w:rsidP="00806997">
            <w:pPr>
              <w:pStyle w:val="StyleZakonu"/>
              <w:rPr>
                <w:color w:val="000000" w:themeColor="text1"/>
              </w:rPr>
            </w:pPr>
            <w:r w:rsidRPr="00286216">
              <w:rPr>
                <w:color w:val="000000" w:themeColor="text1"/>
              </w:rPr>
              <w:t>3) код ISIN;</w:t>
            </w:r>
          </w:p>
        </w:tc>
      </w:tr>
      <w:tr w:rsidR="00806997" w:rsidRPr="00286216" w14:paraId="7EE570C8" w14:textId="77777777" w:rsidTr="00091AA5">
        <w:tc>
          <w:tcPr>
            <w:tcW w:w="576" w:type="dxa"/>
          </w:tcPr>
          <w:p w14:paraId="731AB6EF" w14:textId="77777777" w:rsidR="00806997" w:rsidRPr="00286216" w:rsidRDefault="00806997" w:rsidP="00806997">
            <w:pPr>
              <w:pStyle w:val="StyleWisnow"/>
              <w:rPr>
                <w:color w:val="000000" w:themeColor="text1"/>
              </w:rPr>
            </w:pPr>
            <w:bookmarkStart w:id="689" w:name="n978" w:colFirst="0" w:colLast="0"/>
            <w:bookmarkEnd w:id="688"/>
            <w:r w:rsidRPr="00286216">
              <w:rPr>
                <w:color w:val="000000" w:themeColor="text1"/>
              </w:rPr>
              <w:t>978.</w:t>
            </w:r>
          </w:p>
        </w:tc>
        <w:tc>
          <w:tcPr>
            <w:tcW w:w="4818" w:type="dxa"/>
          </w:tcPr>
          <w:p w14:paraId="62E8E8CE" w14:textId="77777777" w:rsidR="00806997" w:rsidRPr="00286216" w:rsidRDefault="00806997" w:rsidP="00806997">
            <w:pPr>
              <w:pStyle w:val="StyleZakonu"/>
              <w:rPr>
                <w:color w:val="000000" w:themeColor="text1"/>
              </w:rPr>
            </w:pPr>
            <w:r w:rsidRPr="00286216">
              <w:rPr>
                <w:color w:val="000000" w:themeColor="text1"/>
              </w:rPr>
              <w:t>4) кількість цінних паперів за кожним правочином;</w:t>
            </w:r>
          </w:p>
        </w:tc>
        <w:tc>
          <w:tcPr>
            <w:tcW w:w="3686" w:type="dxa"/>
          </w:tcPr>
          <w:p w14:paraId="1C381BF4" w14:textId="77777777" w:rsidR="00806997" w:rsidRPr="00286216" w:rsidRDefault="00806997" w:rsidP="00806997">
            <w:pPr>
              <w:pStyle w:val="StyleProp"/>
              <w:rPr>
                <w:color w:val="000000" w:themeColor="text1"/>
                <w:szCs w:val="18"/>
              </w:rPr>
            </w:pPr>
          </w:p>
        </w:tc>
        <w:tc>
          <w:tcPr>
            <w:tcW w:w="1987" w:type="dxa"/>
          </w:tcPr>
          <w:p w14:paraId="2F950F72" w14:textId="77777777" w:rsidR="00806997" w:rsidRPr="00286216" w:rsidRDefault="00806997" w:rsidP="00806997">
            <w:pPr>
              <w:pStyle w:val="StyleWisnow"/>
              <w:rPr>
                <w:color w:val="000000" w:themeColor="text1"/>
              </w:rPr>
            </w:pPr>
          </w:p>
        </w:tc>
        <w:tc>
          <w:tcPr>
            <w:tcW w:w="4818" w:type="dxa"/>
          </w:tcPr>
          <w:p w14:paraId="047E5DE9" w14:textId="618AAA14" w:rsidR="00806997" w:rsidRPr="00286216" w:rsidRDefault="00806997" w:rsidP="00806997">
            <w:pPr>
              <w:pStyle w:val="StyleZakonu"/>
              <w:rPr>
                <w:color w:val="000000" w:themeColor="text1"/>
              </w:rPr>
            </w:pPr>
            <w:r w:rsidRPr="00286216">
              <w:rPr>
                <w:color w:val="000000" w:themeColor="text1"/>
              </w:rPr>
              <w:t>4) кількість цінних паперів за кожним правочином;</w:t>
            </w:r>
          </w:p>
        </w:tc>
      </w:tr>
      <w:tr w:rsidR="00806997" w:rsidRPr="00286216" w14:paraId="23C0C95A" w14:textId="77777777" w:rsidTr="00091AA5">
        <w:tc>
          <w:tcPr>
            <w:tcW w:w="576" w:type="dxa"/>
          </w:tcPr>
          <w:p w14:paraId="4324B140" w14:textId="77777777" w:rsidR="00806997" w:rsidRPr="00286216" w:rsidRDefault="00806997" w:rsidP="00806997">
            <w:pPr>
              <w:pStyle w:val="StyleWisnow"/>
              <w:rPr>
                <w:color w:val="000000" w:themeColor="text1"/>
              </w:rPr>
            </w:pPr>
            <w:bookmarkStart w:id="690" w:name="n979" w:colFirst="0" w:colLast="0"/>
            <w:bookmarkEnd w:id="689"/>
            <w:r w:rsidRPr="00286216">
              <w:rPr>
                <w:color w:val="000000" w:themeColor="text1"/>
              </w:rPr>
              <w:t>979.</w:t>
            </w:r>
          </w:p>
        </w:tc>
        <w:tc>
          <w:tcPr>
            <w:tcW w:w="4818" w:type="dxa"/>
          </w:tcPr>
          <w:p w14:paraId="71B0C32E" w14:textId="77777777" w:rsidR="00806997" w:rsidRPr="00286216" w:rsidRDefault="00806997" w:rsidP="00806997">
            <w:pPr>
              <w:pStyle w:val="StyleZakonu"/>
              <w:rPr>
                <w:color w:val="000000" w:themeColor="text1"/>
              </w:rPr>
            </w:pPr>
            <w:r w:rsidRPr="00286216">
              <w:rPr>
                <w:color w:val="000000" w:themeColor="text1"/>
              </w:rPr>
              <w:t>5) ціна цінних паперів;</w:t>
            </w:r>
          </w:p>
        </w:tc>
        <w:tc>
          <w:tcPr>
            <w:tcW w:w="3686" w:type="dxa"/>
          </w:tcPr>
          <w:p w14:paraId="253CC13C" w14:textId="77777777" w:rsidR="00806997" w:rsidRPr="00286216" w:rsidRDefault="00806997" w:rsidP="00806997">
            <w:pPr>
              <w:pStyle w:val="StyleProp"/>
              <w:rPr>
                <w:color w:val="000000" w:themeColor="text1"/>
                <w:szCs w:val="18"/>
              </w:rPr>
            </w:pPr>
          </w:p>
        </w:tc>
        <w:tc>
          <w:tcPr>
            <w:tcW w:w="1987" w:type="dxa"/>
          </w:tcPr>
          <w:p w14:paraId="26CDE8A6" w14:textId="77777777" w:rsidR="00806997" w:rsidRPr="00286216" w:rsidRDefault="00806997" w:rsidP="00806997">
            <w:pPr>
              <w:pStyle w:val="StyleWisnow"/>
              <w:rPr>
                <w:color w:val="000000" w:themeColor="text1"/>
              </w:rPr>
            </w:pPr>
          </w:p>
        </w:tc>
        <w:tc>
          <w:tcPr>
            <w:tcW w:w="4818" w:type="dxa"/>
          </w:tcPr>
          <w:p w14:paraId="4462F794" w14:textId="19E7F8C1" w:rsidR="00806997" w:rsidRPr="00286216" w:rsidRDefault="00806997" w:rsidP="00806997">
            <w:pPr>
              <w:pStyle w:val="StyleZakonu"/>
              <w:rPr>
                <w:color w:val="000000" w:themeColor="text1"/>
              </w:rPr>
            </w:pPr>
            <w:r w:rsidRPr="00286216">
              <w:rPr>
                <w:color w:val="000000" w:themeColor="text1"/>
              </w:rPr>
              <w:t>5) ціна цінних паперів;</w:t>
            </w:r>
          </w:p>
        </w:tc>
      </w:tr>
      <w:tr w:rsidR="00806997" w:rsidRPr="00286216" w14:paraId="2B996728" w14:textId="77777777" w:rsidTr="00091AA5">
        <w:tc>
          <w:tcPr>
            <w:tcW w:w="576" w:type="dxa"/>
          </w:tcPr>
          <w:p w14:paraId="35F93A58" w14:textId="77777777" w:rsidR="00806997" w:rsidRPr="00286216" w:rsidRDefault="00806997" w:rsidP="00806997">
            <w:pPr>
              <w:pStyle w:val="StyleWisnow"/>
              <w:rPr>
                <w:color w:val="000000" w:themeColor="text1"/>
              </w:rPr>
            </w:pPr>
            <w:bookmarkStart w:id="691" w:name="n980" w:colFirst="0" w:colLast="0"/>
            <w:bookmarkEnd w:id="690"/>
            <w:r w:rsidRPr="00286216">
              <w:rPr>
                <w:color w:val="000000" w:themeColor="text1"/>
              </w:rPr>
              <w:t>980.</w:t>
            </w:r>
          </w:p>
        </w:tc>
        <w:tc>
          <w:tcPr>
            <w:tcW w:w="4818" w:type="dxa"/>
          </w:tcPr>
          <w:p w14:paraId="354001BC" w14:textId="77777777" w:rsidR="00806997" w:rsidRPr="00286216" w:rsidRDefault="00806997" w:rsidP="00806997">
            <w:pPr>
              <w:pStyle w:val="StyleZakonu"/>
              <w:rPr>
                <w:color w:val="000000" w:themeColor="text1"/>
              </w:rPr>
            </w:pPr>
            <w:r w:rsidRPr="00286216">
              <w:rPr>
                <w:color w:val="000000" w:themeColor="text1"/>
              </w:rPr>
              <w:t>6) дата вчинення правочину;</w:t>
            </w:r>
          </w:p>
        </w:tc>
        <w:tc>
          <w:tcPr>
            <w:tcW w:w="3686" w:type="dxa"/>
          </w:tcPr>
          <w:p w14:paraId="738F52E0" w14:textId="77777777" w:rsidR="00806997" w:rsidRPr="00286216" w:rsidRDefault="00806997" w:rsidP="00806997">
            <w:pPr>
              <w:pStyle w:val="StyleProp"/>
              <w:rPr>
                <w:color w:val="000000" w:themeColor="text1"/>
                <w:szCs w:val="18"/>
              </w:rPr>
            </w:pPr>
          </w:p>
        </w:tc>
        <w:tc>
          <w:tcPr>
            <w:tcW w:w="1987" w:type="dxa"/>
          </w:tcPr>
          <w:p w14:paraId="5C6B4373" w14:textId="77777777" w:rsidR="00806997" w:rsidRPr="00286216" w:rsidRDefault="00806997" w:rsidP="00806997">
            <w:pPr>
              <w:pStyle w:val="StyleWisnow"/>
              <w:rPr>
                <w:color w:val="000000" w:themeColor="text1"/>
              </w:rPr>
            </w:pPr>
          </w:p>
        </w:tc>
        <w:tc>
          <w:tcPr>
            <w:tcW w:w="4818" w:type="dxa"/>
          </w:tcPr>
          <w:p w14:paraId="1A077828" w14:textId="4832AC3C" w:rsidR="00806997" w:rsidRPr="00286216" w:rsidRDefault="00806997" w:rsidP="00806997">
            <w:pPr>
              <w:pStyle w:val="StyleZakonu"/>
              <w:rPr>
                <w:color w:val="000000" w:themeColor="text1"/>
              </w:rPr>
            </w:pPr>
            <w:r w:rsidRPr="00286216">
              <w:rPr>
                <w:color w:val="000000" w:themeColor="text1"/>
              </w:rPr>
              <w:t>6) дата вчинення правочину;</w:t>
            </w:r>
          </w:p>
        </w:tc>
      </w:tr>
      <w:tr w:rsidR="00806997" w:rsidRPr="00286216" w14:paraId="0B7EDE87" w14:textId="77777777" w:rsidTr="00091AA5">
        <w:tc>
          <w:tcPr>
            <w:tcW w:w="576" w:type="dxa"/>
          </w:tcPr>
          <w:p w14:paraId="37172E17" w14:textId="77777777" w:rsidR="00806997" w:rsidRPr="00286216" w:rsidRDefault="00806997" w:rsidP="00806997">
            <w:pPr>
              <w:pStyle w:val="StyleWisnow"/>
              <w:rPr>
                <w:color w:val="000000" w:themeColor="text1"/>
              </w:rPr>
            </w:pPr>
            <w:bookmarkStart w:id="692" w:name="n981" w:colFirst="0" w:colLast="0"/>
            <w:bookmarkEnd w:id="691"/>
            <w:r w:rsidRPr="00286216">
              <w:rPr>
                <w:color w:val="000000" w:themeColor="text1"/>
              </w:rPr>
              <w:t>981.</w:t>
            </w:r>
          </w:p>
        </w:tc>
        <w:tc>
          <w:tcPr>
            <w:tcW w:w="4818" w:type="dxa"/>
          </w:tcPr>
          <w:p w14:paraId="0F5009EA" w14:textId="77777777" w:rsidR="00806997" w:rsidRPr="00286216" w:rsidRDefault="00806997" w:rsidP="00806997">
            <w:pPr>
              <w:pStyle w:val="StyleZakonu"/>
              <w:rPr>
                <w:color w:val="000000" w:themeColor="text1"/>
              </w:rPr>
            </w:pPr>
            <w:r w:rsidRPr="00286216">
              <w:rPr>
                <w:color w:val="000000" w:themeColor="text1"/>
              </w:rPr>
              <w:t>7) інші відомості, визначені Національною комісією з цінних паперів та фондового ринку.</w:t>
            </w:r>
          </w:p>
        </w:tc>
        <w:tc>
          <w:tcPr>
            <w:tcW w:w="3686" w:type="dxa"/>
          </w:tcPr>
          <w:p w14:paraId="0C991C85" w14:textId="77777777" w:rsidR="00806997" w:rsidRPr="00286216" w:rsidRDefault="00806997" w:rsidP="00806997">
            <w:pPr>
              <w:pStyle w:val="StyleProp"/>
              <w:rPr>
                <w:color w:val="000000" w:themeColor="text1"/>
                <w:szCs w:val="18"/>
              </w:rPr>
            </w:pPr>
          </w:p>
        </w:tc>
        <w:tc>
          <w:tcPr>
            <w:tcW w:w="1987" w:type="dxa"/>
          </w:tcPr>
          <w:p w14:paraId="68E7CADE" w14:textId="77777777" w:rsidR="00806997" w:rsidRPr="00286216" w:rsidRDefault="00806997" w:rsidP="00806997">
            <w:pPr>
              <w:pStyle w:val="StyleWisnow"/>
              <w:rPr>
                <w:color w:val="000000" w:themeColor="text1"/>
              </w:rPr>
            </w:pPr>
          </w:p>
        </w:tc>
        <w:tc>
          <w:tcPr>
            <w:tcW w:w="4818" w:type="dxa"/>
          </w:tcPr>
          <w:p w14:paraId="1F5E9B77" w14:textId="1C44EB94" w:rsidR="00806997" w:rsidRPr="00286216" w:rsidRDefault="00806997" w:rsidP="00806997">
            <w:pPr>
              <w:pStyle w:val="StyleZakonu"/>
              <w:rPr>
                <w:color w:val="000000" w:themeColor="text1"/>
              </w:rPr>
            </w:pPr>
            <w:r w:rsidRPr="00286216">
              <w:rPr>
                <w:color w:val="000000" w:themeColor="text1"/>
              </w:rPr>
              <w:t>7) інші відомості, визначені Національною комісією з цінних паперів та фондового ринку.</w:t>
            </w:r>
          </w:p>
        </w:tc>
      </w:tr>
      <w:tr w:rsidR="00806997" w:rsidRPr="00286216" w14:paraId="67E276FA" w14:textId="77777777" w:rsidTr="00091AA5">
        <w:tc>
          <w:tcPr>
            <w:tcW w:w="576" w:type="dxa"/>
          </w:tcPr>
          <w:p w14:paraId="1D2BA0A9" w14:textId="77777777" w:rsidR="00806997" w:rsidRPr="00286216" w:rsidRDefault="00806997" w:rsidP="00806997">
            <w:pPr>
              <w:pStyle w:val="StyleWisnow"/>
              <w:rPr>
                <w:color w:val="000000" w:themeColor="text1"/>
              </w:rPr>
            </w:pPr>
            <w:bookmarkStart w:id="693" w:name="n982" w:colFirst="0" w:colLast="0"/>
            <w:bookmarkEnd w:id="692"/>
            <w:r w:rsidRPr="00286216">
              <w:rPr>
                <w:color w:val="000000" w:themeColor="text1"/>
              </w:rPr>
              <w:t>982.</w:t>
            </w:r>
          </w:p>
        </w:tc>
        <w:tc>
          <w:tcPr>
            <w:tcW w:w="4818" w:type="dxa"/>
          </w:tcPr>
          <w:p w14:paraId="2DBF2F0A" w14:textId="77777777" w:rsidR="00806997" w:rsidRPr="00286216" w:rsidRDefault="00806997" w:rsidP="00806997">
            <w:pPr>
              <w:pStyle w:val="StyleZakonu"/>
              <w:rPr>
                <w:color w:val="000000" w:themeColor="text1"/>
              </w:rPr>
            </w:pPr>
            <w:r w:rsidRPr="00286216">
              <w:rPr>
                <w:color w:val="000000" w:themeColor="text1"/>
              </w:rPr>
              <w:t>До зазначеної інформації не включаються відомості про сторони правочинів.</w:t>
            </w:r>
          </w:p>
        </w:tc>
        <w:tc>
          <w:tcPr>
            <w:tcW w:w="3686" w:type="dxa"/>
          </w:tcPr>
          <w:p w14:paraId="1A7C5C97" w14:textId="77777777" w:rsidR="00806997" w:rsidRPr="00286216" w:rsidRDefault="00806997" w:rsidP="00806997">
            <w:pPr>
              <w:pStyle w:val="StyleProp"/>
              <w:rPr>
                <w:color w:val="000000" w:themeColor="text1"/>
                <w:szCs w:val="18"/>
              </w:rPr>
            </w:pPr>
          </w:p>
        </w:tc>
        <w:tc>
          <w:tcPr>
            <w:tcW w:w="1987" w:type="dxa"/>
          </w:tcPr>
          <w:p w14:paraId="2FF8CB0C" w14:textId="77777777" w:rsidR="00806997" w:rsidRPr="00286216" w:rsidRDefault="00806997" w:rsidP="00806997">
            <w:pPr>
              <w:pStyle w:val="StyleWisnow"/>
              <w:rPr>
                <w:color w:val="000000" w:themeColor="text1"/>
              </w:rPr>
            </w:pPr>
          </w:p>
        </w:tc>
        <w:tc>
          <w:tcPr>
            <w:tcW w:w="4818" w:type="dxa"/>
          </w:tcPr>
          <w:p w14:paraId="76925C0E" w14:textId="10DF6CDD" w:rsidR="00806997" w:rsidRPr="00286216" w:rsidRDefault="00806997" w:rsidP="00806997">
            <w:pPr>
              <w:pStyle w:val="StyleZakonu"/>
              <w:rPr>
                <w:color w:val="000000" w:themeColor="text1"/>
              </w:rPr>
            </w:pPr>
            <w:r w:rsidRPr="00286216">
              <w:rPr>
                <w:color w:val="000000" w:themeColor="text1"/>
              </w:rPr>
              <w:t>До зазначеної інформації не включаються відомості про сторони правочинів.</w:t>
            </w:r>
          </w:p>
        </w:tc>
      </w:tr>
      <w:tr w:rsidR="00806997" w:rsidRPr="00286216" w14:paraId="46CD6F60" w14:textId="77777777" w:rsidTr="00091AA5">
        <w:tc>
          <w:tcPr>
            <w:tcW w:w="576" w:type="dxa"/>
          </w:tcPr>
          <w:p w14:paraId="75FB3241" w14:textId="77777777" w:rsidR="00806997" w:rsidRPr="00286216" w:rsidRDefault="00806997" w:rsidP="00806997">
            <w:pPr>
              <w:pStyle w:val="StyleWisnow"/>
              <w:rPr>
                <w:color w:val="000000" w:themeColor="text1"/>
              </w:rPr>
            </w:pPr>
            <w:bookmarkStart w:id="694" w:name="n983" w:colFirst="0" w:colLast="0"/>
            <w:bookmarkEnd w:id="693"/>
            <w:r w:rsidRPr="00286216">
              <w:rPr>
                <w:color w:val="000000" w:themeColor="text1"/>
              </w:rPr>
              <w:t>983.</w:t>
            </w:r>
          </w:p>
        </w:tc>
        <w:tc>
          <w:tcPr>
            <w:tcW w:w="4818" w:type="dxa"/>
          </w:tcPr>
          <w:p w14:paraId="40C3D4DC" w14:textId="77777777" w:rsidR="00806997" w:rsidRPr="00286216" w:rsidRDefault="00806997" w:rsidP="00806997">
            <w:pPr>
              <w:pStyle w:val="StyleZakonu"/>
              <w:rPr>
                <w:color w:val="000000" w:themeColor="text1"/>
              </w:rPr>
            </w:pPr>
            <w:r w:rsidRPr="00286216">
              <w:rPr>
                <w:color w:val="000000" w:themeColor="text1"/>
              </w:rPr>
              <w:t>Порядок та строки подання оператором організованого ринку зазначеної інформації, а також порядок її подальшого розміщення встановлюються Національною комісією з цінних паперів та фондового ринку.</w:t>
            </w:r>
          </w:p>
        </w:tc>
        <w:tc>
          <w:tcPr>
            <w:tcW w:w="3686" w:type="dxa"/>
          </w:tcPr>
          <w:p w14:paraId="33C9CF78" w14:textId="77777777" w:rsidR="00806997" w:rsidRPr="00286216" w:rsidRDefault="00806997" w:rsidP="00806997">
            <w:pPr>
              <w:pStyle w:val="StyleProp"/>
              <w:rPr>
                <w:color w:val="000000" w:themeColor="text1"/>
                <w:szCs w:val="18"/>
              </w:rPr>
            </w:pPr>
          </w:p>
        </w:tc>
        <w:tc>
          <w:tcPr>
            <w:tcW w:w="1987" w:type="dxa"/>
          </w:tcPr>
          <w:p w14:paraId="6028F660" w14:textId="77777777" w:rsidR="00806997" w:rsidRPr="00286216" w:rsidRDefault="00806997" w:rsidP="00806997">
            <w:pPr>
              <w:pStyle w:val="StyleWisnow"/>
              <w:rPr>
                <w:color w:val="000000" w:themeColor="text1"/>
              </w:rPr>
            </w:pPr>
          </w:p>
        </w:tc>
        <w:tc>
          <w:tcPr>
            <w:tcW w:w="4818" w:type="dxa"/>
          </w:tcPr>
          <w:p w14:paraId="1E809B2A" w14:textId="11D99707" w:rsidR="00806997" w:rsidRPr="00286216" w:rsidRDefault="00806997" w:rsidP="00806997">
            <w:pPr>
              <w:pStyle w:val="StyleZakonu"/>
              <w:rPr>
                <w:color w:val="000000" w:themeColor="text1"/>
              </w:rPr>
            </w:pPr>
            <w:r w:rsidRPr="00286216">
              <w:rPr>
                <w:color w:val="000000" w:themeColor="text1"/>
              </w:rPr>
              <w:t>Порядок та строки подання оператором організованого ринку зазначеної інформації, а також порядок її подальшого розміщення встановлюються Національною комісією з цінних паперів та фондового ринку.</w:t>
            </w:r>
          </w:p>
        </w:tc>
      </w:tr>
      <w:tr w:rsidR="00806997" w:rsidRPr="00286216" w14:paraId="2442DC4E" w14:textId="77777777" w:rsidTr="00091AA5">
        <w:tc>
          <w:tcPr>
            <w:tcW w:w="576" w:type="dxa"/>
          </w:tcPr>
          <w:p w14:paraId="52369CE7" w14:textId="77777777" w:rsidR="00806997" w:rsidRPr="00286216" w:rsidRDefault="00806997" w:rsidP="00806997">
            <w:pPr>
              <w:pStyle w:val="StyleWisnow"/>
              <w:rPr>
                <w:color w:val="000000" w:themeColor="text1"/>
              </w:rPr>
            </w:pPr>
            <w:bookmarkStart w:id="695" w:name="n984" w:colFirst="0" w:colLast="0"/>
            <w:bookmarkEnd w:id="694"/>
            <w:r w:rsidRPr="00286216">
              <w:rPr>
                <w:color w:val="000000" w:themeColor="text1"/>
              </w:rPr>
              <w:t>984.</w:t>
            </w:r>
          </w:p>
        </w:tc>
        <w:tc>
          <w:tcPr>
            <w:tcW w:w="4818" w:type="dxa"/>
          </w:tcPr>
          <w:p w14:paraId="142E1A65" w14:textId="77777777" w:rsidR="00806997" w:rsidRPr="00286216" w:rsidRDefault="00806997" w:rsidP="00806997">
            <w:pPr>
              <w:pStyle w:val="StyleZakonu"/>
              <w:rPr>
                <w:color w:val="000000" w:themeColor="text1"/>
              </w:rPr>
            </w:pPr>
            <w:r w:rsidRPr="00286216">
              <w:rPr>
                <w:color w:val="000000" w:themeColor="text1"/>
              </w:rPr>
              <w:t xml:space="preserve">4. Оператори організованого ринку деривативних контрактів зобов’язані розміщувати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w:t>
            </w:r>
            <w:r w:rsidRPr="00286216">
              <w:rPr>
                <w:color w:val="000000" w:themeColor="text1"/>
              </w:rPr>
              <w:lastRenderedPageBreak/>
              <w:t>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таку інформацію про всі деривативні контракти, укладені на такому організованому ринку деривативних контрактів:</w:t>
            </w:r>
          </w:p>
        </w:tc>
        <w:tc>
          <w:tcPr>
            <w:tcW w:w="3686" w:type="dxa"/>
          </w:tcPr>
          <w:p w14:paraId="47B74B50" w14:textId="29905351"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545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D125DC" w14:textId="77777777" w:rsidR="00806997" w:rsidRPr="00286216" w:rsidRDefault="00806997" w:rsidP="00806997">
            <w:pPr>
              <w:pStyle w:val="StyleProp"/>
              <w:spacing w:line="180" w:lineRule="exact"/>
              <w:rPr>
                <w:color w:val="000000" w:themeColor="text1"/>
                <w:spacing w:val="-4"/>
              </w:rPr>
            </w:pPr>
            <w:r w:rsidRPr="00286216">
              <w:rPr>
                <w:color w:val="000000" w:themeColor="text1"/>
                <w:spacing w:val="-4"/>
                <w:szCs w:val="18"/>
              </w:rPr>
              <w:t xml:space="preserve">В частині 4 статті 52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w:t>
            </w:r>
            <w:r w:rsidRPr="00286216">
              <w:rPr>
                <w:color w:val="000000" w:themeColor="text1"/>
                <w:spacing w:val="-5"/>
                <w:szCs w:val="18"/>
              </w:rPr>
              <w:lastRenderedPageBreak/>
              <w:t>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w:t>
            </w:r>
            <w:r w:rsidRPr="00286216">
              <w:rPr>
                <w:b/>
                <w:i/>
                <w:color w:val="000000" w:themeColor="text1"/>
                <w:spacing w:val="-5"/>
                <w:szCs w:val="18"/>
              </w:rPr>
              <w:t xml:space="preserve"> </w:t>
            </w:r>
            <w:r w:rsidRPr="00286216">
              <w:rPr>
                <w:color w:val="000000" w:themeColor="text1"/>
                <w:spacing w:val="-5"/>
                <w:szCs w:val="18"/>
              </w:rPr>
              <w:t>словами</w:t>
            </w:r>
            <w:r w:rsidRPr="00286216">
              <w:rPr>
                <w:b/>
                <w:i/>
                <w:color w:val="000000" w:themeColor="text1"/>
                <w:spacing w:val="-4"/>
                <w:szCs w:val="18"/>
              </w:rPr>
              <w:t xml:space="preserve"> </w:t>
            </w:r>
            <w:r w:rsidRPr="00286216">
              <w:rPr>
                <w:color w:val="000000" w:themeColor="text1"/>
                <w:spacing w:val="-4"/>
                <w:szCs w:val="18"/>
              </w:rPr>
              <w:t>«базі даних особи, яка провадить діяльність із оприлюднення</w:t>
            </w:r>
            <w:r w:rsidRPr="00286216">
              <w:rPr>
                <w:b/>
                <w:i/>
                <w:color w:val="000000" w:themeColor="text1"/>
                <w:spacing w:val="-4"/>
                <w:szCs w:val="18"/>
              </w:rPr>
              <w:t xml:space="preserve"> </w:t>
            </w:r>
            <w:r w:rsidRPr="00286216">
              <w:rPr>
                <w:color w:val="000000" w:themeColor="text1"/>
                <w:spacing w:val="-4"/>
                <w:szCs w:val="18"/>
              </w:rPr>
              <w:t>регульованої інформації від імені учасників ринків капіталу та професійних</w:t>
            </w:r>
            <w:r w:rsidRPr="00286216">
              <w:rPr>
                <w:b/>
                <w:i/>
                <w:color w:val="000000" w:themeColor="text1"/>
                <w:spacing w:val="-4"/>
                <w:szCs w:val="18"/>
              </w:rPr>
              <w:t xml:space="preserve"> </w:t>
            </w:r>
            <w:r w:rsidRPr="00286216">
              <w:rPr>
                <w:color w:val="000000" w:themeColor="text1"/>
                <w:spacing w:val="-4"/>
                <w:szCs w:val="18"/>
              </w:rPr>
              <w:t>учасників організованих товарних ринків</w:t>
            </w:r>
            <w:r w:rsidRPr="00286216">
              <w:rPr>
                <w:color w:val="000000" w:themeColor="text1"/>
                <w:spacing w:val="-4"/>
              </w:rPr>
              <w:t>».</w:t>
            </w:r>
          </w:p>
        </w:tc>
        <w:tc>
          <w:tcPr>
            <w:tcW w:w="1987" w:type="dxa"/>
          </w:tcPr>
          <w:p w14:paraId="3BA6550B" w14:textId="77777777" w:rsidR="00806997" w:rsidRPr="00286216" w:rsidRDefault="00806997" w:rsidP="00806997">
            <w:pPr>
              <w:pStyle w:val="StyleWisnow"/>
              <w:rPr>
                <w:color w:val="000000" w:themeColor="text1"/>
              </w:rPr>
            </w:pPr>
            <w:r w:rsidRPr="00286216">
              <w:rPr>
                <w:color w:val="000000" w:themeColor="text1"/>
              </w:rPr>
              <w:lastRenderedPageBreak/>
              <w:t>Враховано</w:t>
            </w:r>
          </w:p>
        </w:tc>
        <w:tc>
          <w:tcPr>
            <w:tcW w:w="4818" w:type="dxa"/>
          </w:tcPr>
          <w:p w14:paraId="771964F4" w14:textId="4B129E29" w:rsidR="00806997" w:rsidRPr="00286216" w:rsidRDefault="00806997" w:rsidP="00806997">
            <w:pPr>
              <w:pStyle w:val="StyleZakonu"/>
              <w:rPr>
                <w:color w:val="000000" w:themeColor="text1"/>
              </w:rPr>
            </w:pPr>
            <w:r w:rsidRPr="00286216">
              <w:rPr>
                <w:color w:val="000000" w:themeColor="text1"/>
              </w:rPr>
              <w:t xml:space="preserve">4. Оператори організованого ринку деривативних контрактів зобов’язані розміщувати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xml:space="preserve">, таку інформацію про всі деривативні </w:t>
            </w:r>
            <w:r w:rsidRPr="00286216">
              <w:rPr>
                <w:color w:val="000000" w:themeColor="text1"/>
              </w:rPr>
              <w:lastRenderedPageBreak/>
              <w:t>контракти, укладені на такому організованому ринку деривативних контрактів:</w:t>
            </w:r>
          </w:p>
        </w:tc>
      </w:tr>
      <w:bookmarkEnd w:id="695"/>
      <w:tr w:rsidR="00806997" w:rsidRPr="00286216" w14:paraId="3EF057FF" w14:textId="77777777" w:rsidTr="00091AA5">
        <w:tc>
          <w:tcPr>
            <w:tcW w:w="576" w:type="dxa"/>
          </w:tcPr>
          <w:p w14:paraId="340A52F6" w14:textId="77777777" w:rsidR="00806997" w:rsidRPr="00286216" w:rsidRDefault="00806997" w:rsidP="00806997">
            <w:pPr>
              <w:pStyle w:val="StyleWisnow"/>
              <w:rPr>
                <w:color w:val="000000" w:themeColor="text1"/>
              </w:rPr>
            </w:pPr>
          </w:p>
        </w:tc>
        <w:tc>
          <w:tcPr>
            <w:tcW w:w="4818" w:type="dxa"/>
          </w:tcPr>
          <w:p w14:paraId="0B1D6ACE" w14:textId="77777777" w:rsidR="00806997" w:rsidRPr="00286216" w:rsidRDefault="00806997" w:rsidP="00806997">
            <w:pPr>
              <w:pStyle w:val="StyleZakonu"/>
              <w:rPr>
                <w:color w:val="000000" w:themeColor="text1"/>
              </w:rPr>
            </w:pPr>
          </w:p>
        </w:tc>
        <w:tc>
          <w:tcPr>
            <w:tcW w:w="3686" w:type="dxa"/>
          </w:tcPr>
          <w:p w14:paraId="02972699" w14:textId="5B9E552E"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546</w:t>
            </w:r>
            <w:r w:rsidRPr="00286216">
              <w:rPr>
                <w:color w:val="000000" w:themeColor="text1"/>
              </w:rPr>
              <w:fldChar w:fldCharType="end"/>
            </w:r>
            <w:r w:rsidRPr="00286216">
              <w:rPr>
                <w:color w:val="000000" w:themeColor="text1"/>
              </w:rPr>
              <w:t>-Н.д.Шахов С.В. (Реєстр.картка №114)</w:t>
            </w:r>
          </w:p>
          <w:p w14:paraId="7BB0732D" w14:textId="77777777" w:rsidR="00806997" w:rsidRPr="00286216" w:rsidRDefault="00806997" w:rsidP="00806997">
            <w:pPr>
              <w:pStyle w:val="StyleProp"/>
              <w:spacing w:line="180" w:lineRule="exact"/>
              <w:rPr>
                <w:color w:val="000000" w:themeColor="text1"/>
              </w:rPr>
            </w:pPr>
            <w:r w:rsidRPr="00286216">
              <w:rPr>
                <w:color w:val="000000" w:themeColor="text1"/>
              </w:rPr>
              <w:t xml:space="preserve">Абзац перший частини 4 статті 52 викласти у такій редакції: </w:t>
            </w:r>
          </w:p>
          <w:p w14:paraId="3B3F7D03" w14:textId="77777777" w:rsidR="00806997" w:rsidRPr="00286216" w:rsidRDefault="00806997" w:rsidP="00806997">
            <w:pPr>
              <w:pStyle w:val="StyleProp"/>
              <w:spacing w:line="180" w:lineRule="exact"/>
              <w:rPr>
                <w:color w:val="000000" w:themeColor="text1"/>
                <w:szCs w:val="18"/>
              </w:rPr>
            </w:pPr>
            <w:r w:rsidRPr="00286216">
              <w:rPr>
                <w:color w:val="000000" w:themeColor="text1"/>
              </w:rPr>
              <w:t>"4. Оператори організованого ринку деривативних контрактів зобов’язані розміщувати у Загальнодоступній інформаційній базі даних регулятора відповідного ринку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таку інформацію про всі деривативні контракти, укладені на такому організованому ринку деривативних контрактів".</w:t>
            </w:r>
          </w:p>
        </w:tc>
        <w:tc>
          <w:tcPr>
            <w:tcW w:w="1987" w:type="dxa"/>
          </w:tcPr>
          <w:p w14:paraId="0DABA9A5" w14:textId="77777777" w:rsidR="00806997" w:rsidRPr="00286216" w:rsidRDefault="00806997" w:rsidP="00806997">
            <w:pPr>
              <w:pStyle w:val="StyleWisnow"/>
              <w:rPr>
                <w:color w:val="000000" w:themeColor="text1"/>
              </w:rPr>
            </w:pPr>
            <w:r w:rsidRPr="00286216">
              <w:rPr>
                <w:color w:val="000000" w:themeColor="text1"/>
              </w:rPr>
              <w:t>Враховано редакційно</w:t>
            </w:r>
          </w:p>
          <w:p w14:paraId="0D97D258" w14:textId="77777777" w:rsidR="00806997" w:rsidRPr="00286216" w:rsidRDefault="00806997" w:rsidP="00806997">
            <w:pPr>
              <w:pStyle w:val="StyleWisnow"/>
              <w:rPr>
                <w:color w:val="000000" w:themeColor="text1"/>
              </w:rPr>
            </w:pPr>
          </w:p>
        </w:tc>
        <w:tc>
          <w:tcPr>
            <w:tcW w:w="4818" w:type="dxa"/>
          </w:tcPr>
          <w:p w14:paraId="146D44AD" w14:textId="77777777" w:rsidR="00806997" w:rsidRPr="00286216" w:rsidRDefault="00806997" w:rsidP="00806997">
            <w:pPr>
              <w:pStyle w:val="StyleZakonu"/>
              <w:rPr>
                <w:color w:val="000000" w:themeColor="text1"/>
              </w:rPr>
            </w:pPr>
          </w:p>
        </w:tc>
      </w:tr>
      <w:tr w:rsidR="00806997" w:rsidRPr="00286216" w14:paraId="54B83CB4" w14:textId="77777777" w:rsidTr="00091AA5">
        <w:tc>
          <w:tcPr>
            <w:tcW w:w="576" w:type="dxa"/>
          </w:tcPr>
          <w:p w14:paraId="256C9F7D" w14:textId="77777777" w:rsidR="00806997" w:rsidRPr="00286216" w:rsidRDefault="00806997" w:rsidP="00806997">
            <w:pPr>
              <w:pStyle w:val="StyleWisnow"/>
              <w:rPr>
                <w:color w:val="000000" w:themeColor="text1"/>
              </w:rPr>
            </w:pPr>
          </w:p>
        </w:tc>
        <w:tc>
          <w:tcPr>
            <w:tcW w:w="4818" w:type="dxa"/>
          </w:tcPr>
          <w:p w14:paraId="532F4DAF" w14:textId="77777777" w:rsidR="00806997" w:rsidRPr="00286216" w:rsidRDefault="00806997" w:rsidP="00806997">
            <w:pPr>
              <w:pStyle w:val="StyleZakonu"/>
              <w:rPr>
                <w:color w:val="000000" w:themeColor="text1"/>
              </w:rPr>
            </w:pPr>
          </w:p>
        </w:tc>
        <w:tc>
          <w:tcPr>
            <w:tcW w:w="3686" w:type="dxa"/>
          </w:tcPr>
          <w:p w14:paraId="58C41328" w14:textId="233F8019" w:rsidR="00806997" w:rsidRPr="00286216" w:rsidRDefault="00806997" w:rsidP="0080699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547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51FC48A" w14:textId="77777777" w:rsidR="00806997" w:rsidRPr="00286216" w:rsidRDefault="00806997" w:rsidP="00806997">
            <w:pPr>
              <w:pStyle w:val="StyleProp"/>
              <w:rPr>
                <w:color w:val="000000" w:themeColor="text1"/>
                <w:szCs w:val="18"/>
              </w:rPr>
            </w:pPr>
            <w:r w:rsidRPr="00286216">
              <w:rPr>
                <w:color w:val="000000" w:themeColor="text1"/>
                <w:szCs w:val="18"/>
              </w:rPr>
              <w:t>Частину четверту статті 52 викласти в такій редакції:</w:t>
            </w:r>
          </w:p>
          <w:p w14:paraId="5EC3C842"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«4. Оператори організованого ринку деривативних контрактів зобов’язані розміщувати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 таку інформацію про всі деривативні контракти, укладені на такому організованому ринку деривативних контрактів:</w:t>
            </w:r>
          </w:p>
        </w:tc>
        <w:tc>
          <w:tcPr>
            <w:tcW w:w="1987" w:type="dxa"/>
          </w:tcPr>
          <w:p w14:paraId="17E67BFF" w14:textId="77777777" w:rsidR="00806997" w:rsidRPr="00286216" w:rsidRDefault="00806997" w:rsidP="00806997">
            <w:pPr>
              <w:pStyle w:val="StyleWisnow"/>
              <w:rPr>
                <w:color w:val="000000" w:themeColor="text1"/>
              </w:rPr>
            </w:pPr>
            <w:r w:rsidRPr="00286216">
              <w:rPr>
                <w:color w:val="000000" w:themeColor="text1"/>
              </w:rPr>
              <w:t xml:space="preserve">Враховано </w:t>
            </w:r>
          </w:p>
          <w:p w14:paraId="002FAE52" w14:textId="77777777" w:rsidR="00806997" w:rsidRPr="00286216" w:rsidRDefault="00806997" w:rsidP="00806997">
            <w:pPr>
              <w:pStyle w:val="StyleWisnow"/>
              <w:rPr>
                <w:color w:val="000000" w:themeColor="text1"/>
                <w:spacing w:val="-4"/>
              </w:rPr>
            </w:pPr>
            <w:r w:rsidRPr="00286216">
              <w:rPr>
                <w:color w:val="000000" w:themeColor="text1"/>
                <w:spacing w:val="-4"/>
              </w:rPr>
              <w:t>з редакційним уточненням щодо ціни деривативного контракту</w:t>
            </w:r>
          </w:p>
        </w:tc>
        <w:tc>
          <w:tcPr>
            <w:tcW w:w="4818" w:type="dxa"/>
          </w:tcPr>
          <w:p w14:paraId="403F3A9C" w14:textId="77777777" w:rsidR="00806997" w:rsidRPr="00286216" w:rsidRDefault="00806997" w:rsidP="00806997">
            <w:pPr>
              <w:pStyle w:val="StyleZakonu"/>
              <w:rPr>
                <w:color w:val="000000" w:themeColor="text1"/>
              </w:rPr>
            </w:pPr>
          </w:p>
        </w:tc>
      </w:tr>
      <w:tr w:rsidR="00806997" w:rsidRPr="00286216" w14:paraId="2EA3BE7C" w14:textId="77777777" w:rsidTr="00091AA5">
        <w:tc>
          <w:tcPr>
            <w:tcW w:w="576" w:type="dxa"/>
          </w:tcPr>
          <w:p w14:paraId="3AFD98F0" w14:textId="77777777" w:rsidR="00806997" w:rsidRPr="00286216" w:rsidRDefault="00806997" w:rsidP="00806997">
            <w:pPr>
              <w:pStyle w:val="StyleWisnow"/>
              <w:rPr>
                <w:color w:val="000000" w:themeColor="text1"/>
              </w:rPr>
            </w:pPr>
            <w:bookmarkStart w:id="696" w:name="n985" w:colFirst="0" w:colLast="0"/>
            <w:r w:rsidRPr="00286216">
              <w:rPr>
                <w:color w:val="000000" w:themeColor="text1"/>
              </w:rPr>
              <w:t>985.</w:t>
            </w:r>
          </w:p>
        </w:tc>
        <w:tc>
          <w:tcPr>
            <w:tcW w:w="4818" w:type="dxa"/>
          </w:tcPr>
          <w:p w14:paraId="2DE0F6F8" w14:textId="77777777" w:rsidR="00806997" w:rsidRPr="00286216" w:rsidRDefault="00806997" w:rsidP="00806997">
            <w:pPr>
              <w:pStyle w:val="StyleZakonu"/>
              <w:rPr>
                <w:color w:val="000000" w:themeColor="text1"/>
              </w:rPr>
            </w:pPr>
            <w:r w:rsidRPr="00286216">
              <w:rPr>
                <w:color w:val="000000" w:themeColor="text1"/>
              </w:rPr>
              <w:t>1) вид деривативного контракту;</w:t>
            </w:r>
          </w:p>
        </w:tc>
        <w:tc>
          <w:tcPr>
            <w:tcW w:w="3686" w:type="dxa"/>
          </w:tcPr>
          <w:p w14:paraId="2A6F6262" w14:textId="77777777" w:rsidR="00806997" w:rsidRPr="00286216" w:rsidRDefault="00806997" w:rsidP="00806997">
            <w:pPr>
              <w:pStyle w:val="StyleProp"/>
              <w:rPr>
                <w:color w:val="000000" w:themeColor="text1"/>
                <w:szCs w:val="18"/>
              </w:rPr>
            </w:pPr>
            <w:r w:rsidRPr="00286216">
              <w:rPr>
                <w:color w:val="000000" w:themeColor="text1"/>
                <w:szCs w:val="18"/>
              </w:rPr>
              <w:t>1) вид деривативного контракту;</w:t>
            </w:r>
          </w:p>
        </w:tc>
        <w:tc>
          <w:tcPr>
            <w:tcW w:w="1987" w:type="dxa"/>
          </w:tcPr>
          <w:p w14:paraId="0E1E1EB9" w14:textId="77777777" w:rsidR="00806997" w:rsidRPr="00286216" w:rsidRDefault="00806997" w:rsidP="00806997">
            <w:pPr>
              <w:pStyle w:val="StyleWisnow"/>
              <w:rPr>
                <w:color w:val="000000" w:themeColor="text1"/>
              </w:rPr>
            </w:pPr>
          </w:p>
        </w:tc>
        <w:tc>
          <w:tcPr>
            <w:tcW w:w="4818" w:type="dxa"/>
          </w:tcPr>
          <w:p w14:paraId="348D5FDF" w14:textId="5557CE59" w:rsidR="00806997" w:rsidRPr="00286216" w:rsidRDefault="00806997" w:rsidP="00806997">
            <w:pPr>
              <w:pStyle w:val="StyleZakonu"/>
              <w:rPr>
                <w:color w:val="000000" w:themeColor="text1"/>
              </w:rPr>
            </w:pPr>
            <w:r w:rsidRPr="00286216">
              <w:rPr>
                <w:color w:val="000000" w:themeColor="text1"/>
              </w:rPr>
              <w:t>1) вид деривативного контракту;</w:t>
            </w:r>
          </w:p>
        </w:tc>
      </w:tr>
      <w:tr w:rsidR="00806997" w:rsidRPr="00286216" w14:paraId="3F52D93A" w14:textId="77777777" w:rsidTr="00091AA5">
        <w:tc>
          <w:tcPr>
            <w:tcW w:w="576" w:type="dxa"/>
          </w:tcPr>
          <w:p w14:paraId="5ACF7808" w14:textId="77777777" w:rsidR="00806997" w:rsidRPr="00286216" w:rsidRDefault="00806997" w:rsidP="00806997">
            <w:pPr>
              <w:pStyle w:val="StyleWisnow"/>
              <w:rPr>
                <w:color w:val="000000" w:themeColor="text1"/>
              </w:rPr>
            </w:pPr>
            <w:bookmarkStart w:id="697" w:name="n986" w:colFirst="0" w:colLast="0"/>
            <w:bookmarkEnd w:id="696"/>
            <w:r w:rsidRPr="00286216">
              <w:rPr>
                <w:color w:val="000000" w:themeColor="text1"/>
              </w:rPr>
              <w:t>986.</w:t>
            </w:r>
          </w:p>
        </w:tc>
        <w:tc>
          <w:tcPr>
            <w:tcW w:w="4818" w:type="dxa"/>
          </w:tcPr>
          <w:p w14:paraId="643CB4B4" w14:textId="77777777" w:rsidR="00806997" w:rsidRPr="00286216" w:rsidRDefault="00806997" w:rsidP="00806997">
            <w:pPr>
              <w:pStyle w:val="StyleZakonu"/>
              <w:rPr>
                <w:color w:val="000000" w:themeColor="text1"/>
              </w:rPr>
            </w:pPr>
            <w:r w:rsidRPr="00286216">
              <w:rPr>
                <w:color w:val="000000" w:themeColor="text1"/>
              </w:rPr>
              <w:t>2) наявність зобов’язання щодо відчуження базового активу;</w:t>
            </w:r>
          </w:p>
        </w:tc>
        <w:tc>
          <w:tcPr>
            <w:tcW w:w="3686" w:type="dxa"/>
          </w:tcPr>
          <w:p w14:paraId="07ED4984"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2) тип деривативного контракту залежно від наявності зобов’язання щодо передачі базового активу;</w:t>
            </w:r>
          </w:p>
        </w:tc>
        <w:tc>
          <w:tcPr>
            <w:tcW w:w="1987" w:type="dxa"/>
          </w:tcPr>
          <w:p w14:paraId="352A048D" w14:textId="77777777" w:rsidR="00806997" w:rsidRPr="00286216" w:rsidRDefault="00806997" w:rsidP="00806997">
            <w:pPr>
              <w:pStyle w:val="StyleWisnow"/>
              <w:rPr>
                <w:color w:val="000000" w:themeColor="text1"/>
              </w:rPr>
            </w:pPr>
          </w:p>
        </w:tc>
        <w:tc>
          <w:tcPr>
            <w:tcW w:w="4818" w:type="dxa"/>
          </w:tcPr>
          <w:p w14:paraId="27FD6686" w14:textId="5DA0D8F3" w:rsidR="00806997" w:rsidRPr="00286216" w:rsidRDefault="00806997" w:rsidP="00806997">
            <w:pPr>
              <w:pStyle w:val="StyleZakonu"/>
              <w:rPr>
                <w:color w:val="000000" w:themeColor="text1"/>
                <w:spacing w:val="-2"/>
              </w:rPr>
            </w:pPr>
            <w:r w:rsidRPr="00286216">
              <w:rPr>
                <w:color w:val="000000" w:themeColor="text1"/>
                <w:spacing w:val="-2"/>
              </w:rPr>
              <w:t>2) тип деривативного контракту залежно від наявності зобов’язання щодо передачі базового активу;</w:t>
            </w:r>
          </w:p>
        </w:tc>
      </w:tr>
      <w:tr w:rsidR="00806997" w:rsidRPr="00286216" w14:paraId="704BA25F" w14:textId="77777777" w:rsidTr="00091AA5">
        <w:tc>
          <w:tcPr>
            <w:tcW w:w="576" w:type="dxa"/>
          </w:tcPr>
          <w:p w14:paraId="686468E6" w14:textId="77777777" w:rsidR="00806997" w:rsidRPr="00286216" w:rsidRDefault="00806997" w:rsidP="00806997">
            <w:pPr>
              <w:pStyle w:val="StyleWisnow"/>
              <w:rPr>
                <w:color w:val="000000" w:themeColor="text1"/>
              </w:rPr>
            </w:pPr>
            <w:bookmarkStart w:id="698" w:name="n987" w:colFirst="0" w:colLast="0"/>
            <w:bookmarkEnd w:id="697"/>
            <w:r w:rsidRPr="00286216">
              <w:rPr>
                <w:color w:val="000000" w:themeColor="text1"/>
              </w:rPr>
              <w:t>987.</w:t>
            </w:r>
          </w:p>
        </w:tc>
        <w:tc>
          <w:tcPr>
            <w:tcW w:w="4818" w:type="dxa"/>
          </w:tcPr>
          <w:p w14:paraId="6F192FCB" w14:textId="77777777" w:rsidR="00806997" w:rsidRPr="00286216" w:rsidRDefault="00806997" w:rsidP="00806997">
            <w:pPr>
              <w:pStyle w:val="StyleZakonu"/>
              <w:rPr>
                <w:color w:val="000000" w:themeColor="text1"/>
              </w:rPr>
            </w:pPr>
            <w:r w:rsidRPr="00286216">
              <w:rPr>
                <w:color w:val="000000" w:themeColor="text1"/>
              </w:rPr>
              <w:t>3) тип і характеристика базового активу або базового показника;</w:t>
            </w:r>
          </w:p>
        </w:tc>
        <w:tc>
          <w:tcPr>
            <w:tcW w:w="3686" w:type="dxa"/>
          </w:tcPr>
          <w:p w14:paraId="344B82B2" w14:textId="77777777" w:rsidR="00806997" w:rsidRPr="00286216" w:rsidRDefault="00806997" w:rsidP="00806997">
            <w:pPr>
              <w:pStyle w:val="StyleProp"/>
              <w:rPr>
                <w:color w:val="000000" w:themeColor="text1"/>
                <w:spacing w:val="-3"/>
                <w:szCs w:val="18"/>
              </w:rPr>
            </w:pPr>
            <w:r w:rsidRPr="00286216">
              <w:rPr>
                <w:color w:val="000000" w:themeColor="text1"/>
                <w:spacing w:val="-3"/>
                <w:szCs w:val="18"/>
              </w:rPr>
              <w:t xml:space="preserve">3) тип деривативного контракту залежно від </w:t>
            </w:r>
            <w:r w:rsidRPr="00286216">
              <w:rPr>
                <w:color w:val="000000" w:themeColor="text1"/>
                <w:spacing w:val="-6"/>
                <w:szCs w:val="18"/>
              </w:rPr>
              <w:t>типу базового активу та/або базового</w:t>
            </w:r>
            <w:r w:rsidRPr="00286216">
              <w:rPr>
                <w:color w:val="000000" w:themeColor="text1"/>
                <w:spacing w:val="-4"/>
                <w:szCs w:val="18"/>
              </w:rPr>
              <w:t xml:space="preserve"> показника;</w:t>
            </w:r>
          </w:p>
        </w:tc>
        <w:tc>
          <w:tcPr>
            <w:tcW w:w="1987" w:type="dxa"/>
          </w:tcPr>
          <w:p w14:paraId="4FE1BB8F" w14:textId="77777777" w:rsidR="00806997" w:rsidRPr="00286216" w:rsidRDefault="00806997" w:rsidP="00806997">
            <w:pPr>
              <w:pStyle w:val="StyleWisnow"/>
              <w:rPr>
                <w:color w:val="000000" w:themeColor="text1"/>
              </w:rPr>
            </w:pPr>
          </w:p>
        </w:tc>
        <w:tc>
          <w:tcPr>
            <w:tcW w:w="4818" w:type="dxa"/>
          </w:tcPr>
          <w:p w14:paraId="21E52F13" w14:textId="372C986F" w:rsidR="00806997" w:rsidRPr="00286216" w:rsidRDefault="00806997" w:rsidP="00806997">
            <w:pPr>
              <w:pStyle w:val="StyleZakonu"/>
              <w:rPr>
                <w:color w:val="000000" w:themeColor="text1"/>
              </w:rPr>
            </w:pPr>
            <w:r w:rsidRPr="00286216">
              <w:rPr>
                <w:color w:val="000000" w:themeColor="text1"/>
              </w:rPr>
              <w:t>3) тип деривативного контракту залежно від типу базового активу та/або базового показника;</w:t>
            </w:r>
          </w:p>
        </w:tc>
      </w:tr>
      <w:tr w:rsidR="00806997" w:rsidRPr="00286216" w14:paraId="76991DA2" w14:textId="77777777" w:rsidTr="00091AA5">
        <w:tc>
          <w:tcPr>
            <w:tcW w:w="576" w:type="dxa"/>
          </w:tcPr>
          <w:p w14:paraId="20A118BD" w14:textId="77777777" w:rsidR="00806997" w:rsidRPr="00286216" w:rsidRDefault="00806997" w:rsidP="00806997">
            <w:pPr>
              <w:pStyle w:val="StyleWisnow"/>
              <w:rPr>
                <w:color w:val="000000" w:themeColor="text1"/>
              </w:rPr>
            </w:pPr>
            <w:bookmarkStart w:id="699" w:name="n988" w:colFirst="0" w:colLast="0"/>
            <w:bookmarkEnd w:id="698"/>
            <w:r w:rsidRPr="00286216">
              <w:rPr>
                <w:color w:val="000000" w:themeColor="text1"/>
              </w:rPr>
              <w:t>988.</w:t>
            </w:r>
          </w:p>
        </w:tc>
        <w:tc>
          <w:tcPr>
            <w:tcW w:w="4818" w:type="dxa"/>
          </w:tcPr>
          <w:p w14:paraId="5F3ED8CF" w14:textId="77777777" w:rsidR="00806997" w:rsidRPr="00286216" w:rsidRDefault="00806997" w:rsidP="00806997">
            <w:pPr>
              <w:pStyle w:val="StyleZakonu"/>
              <w:rPr>
                <w:color w:val="000000" w:themeColor="text1"/>
              </w:rPr>
            </w:pPr>
            <w:r w:rsidRPr="00286216">
              <w:rPr>
                <w:color w:val="000000" w:themeColor="text1"/>
              </w:rPr>
              <w:t>4) ціна правочину;</w:t>
            </w:r>
          </w:p>
        </w:tc>
        <w:tc>
          <w:tcPr>
            <w:tcW w:w="3686" w:type="dxa"/>
          </w:tcPr>
          <w:p w14:paraId="0910685A" w14:textId="77777777" w:rsidR="00806997" w:rsidRPr="00286216" w:rsidRDefault="00806997" w:rsidP="00806997">
            <w:pPr>
              <w:pStyle w:val="StyleProp"/>
              <w:rPr>
                <w:color w:val="000000" w:themeColor="text1"/>
                <w:szCs w:val="18"/>
              </w:rPr>
            </w:pPr>
            <w:r w:rsidRPr="00286216">
              <w:rPr>
                <w:color w:val="000000" w:themeColor="text1"/>
                <w:szCs w:val="18"/>
              </w:rPr>
              <w:t>4) ціна правочину;</w:t>
            </w:r>
          </w:p>
        </w:tc>
        <w:tc>
          <w:tcPr>
            <w:tcW w:w="1987" w:type="dxa"/>
          </w:tcPr>
          <w:p w14:paraId="557FEE6E" w14:textId="77777777" w:rsidR="00806997" w:rsidRPr="00286216" w:rsidRDefault="00806997" w:rsidP="00806997">
            <w:pPr>
              <w:pStyle w:val="StyleWisnow"/>
              <w:rPr>
                <w:color w:val="000000" w:themeColor="text1"/>
              </w:rPr>
            </w:pPr>
          </w:p>
        </w:tc>
        <w:tc>
          <w:tcPr>
            <w:tcW w:w="4818" w:type="dxa"/>
          </w:tcPr>
          <w:p w14:paraId="27EAD278" w14:textId="78DD1E6A" w:rsidR="00806997" w:rsidRPr="00286216" w:rsidRDefault="00806997" w:rsidP="00806997">
            <w:pPr>
              <w:pStyle w:val="StyleZakonu"/>
              <w:rPr>
                <w:color w:val="000000" w:themeColor="text1"/>
              </w:rPr>
            </w:pPr>
            <w:r w:rsidRPr="00286216">
              <w:rPr>
                <w:color w:val="000000" w:themeColor="text1"/>
              </w:rPr>
              <w:t>4) ціна деривативного контракту;</w:t>
            </w:r>
          </w:p>
        </w:tc>
      </w:tr>
      <w:tr w:rsidR="00806997" w:rsidRPr="00286216" w14:paraId="79984551" w14:textId="77777777" w:rsidTr="00091AA5">
        <w:tc>
          <w:tcPr>
            <w:tcW w:w="576" w:type="dxa"/>
          </w:tcPr>
          <w:p w14:paraId="6B12BA19" w14:textId="77777777" w:rsidR="00806997" w:rsidRPr="00286216" w:rsidRDefault="00806997" w:rsidP="00806997">
            <w:pPr>
              <w:pStyle w:val="StyleWisnow"/>
              <w:rPr>
                <w:color w:val="000000" w:themeColor="text1"/>
              </w:rPr>
            </w:pPr>
            <w:bookmarkStart w:id="700" w:name="n989" w:colFirst="0" w:colLast="0"/>
            <w:bookmarkEnd w:id="699"/>
            <w:r w:rsidRPr="00286216">
              <w:rPr>
                <w:color w:val="000000" w:themeColor="text1"/>
              </w:rPr>
              <w:t>989.</w:t>
            </w:r>
          </w:p>
        </w:tc>
        <w:tc>
          <w:tcPr>
            <w:tcW w:w="4818" w:type="dxa"/>
          </w:tcPr>
          <w:p w14:paraId="487A40CD" w14:textId="77777777" w:rsidR="00806997" w:rsidRPr="00286216" w:rsidRDefault="00806997" w:rsidP="00806997">
            <w:pPr>
              <w:pStyle w:val="StyleZakonu"/>
              <w:rPr>
                <w:color w:val="000000" w:themeColor="text1"/>
              </w:rPr>
            </w:pPr>
            <w:r w:rsidRPr="00286216">
              <w:rPr>
                <w:color w:val="000000" w:themeColor="text1"/>
              </w:rPr>
              <w:t>5) кількість укладених деривативних контрактів;</w:t>
            </w:r>
          </w:p>
        </w:tc>
        <w:tc>
          <w:tcPr>
            <w:tcW w:w="3686" w:type="dxa"/>
          </w:tcPr>
          <w:p w14:paraId="1514CBB9" w14:textId="77777777" w:rsidR="00806997" w:rsidRPr="00286216" w:rsidRDefault="00806997" w:rsidP="00806997">
            <w:pPr>
              <w:pStyle w:val="StyleProp"/>
              <w:rPr>
                <w:color w:val="000000" w:themeColor="text1"/>
                <w:spacing w:val="-4"/>
                <w:szCs w:val="18"/>
              </w:rPr>
            </w:pPr>
            <w:r w:rsidRPr="00286216">
              <w:rPr>
                <w:color w:val="000000" w:themeColor="text1"/>
                <w:spacing w:val="-4"/>
                <w:szCs w:val="18"/>
              </w:rPr>
              <w:t>5) дата укладання деривативного контракту;</w:t>
            </w:r>
          </w:p>
        </w:tc>
        <w:tc>
          <w:tcPr>
            <w:tcW w:w="1987" w:type="dxa"/>
          </w:tcPr>
          <w:p w14:paraId="59D8241D" w14:textId="77777777" w:rsidR="00806997" w:rsidRPr="00286216" w:rsidRDefault="00806997" w:rsidP="00806997">
            <w:pPr>
              <w:pStyle w:val="StyleWisnow"/>
              <w:rPr>
                <w:color w:val="000000" w:themeColor="text1"/>
              </w:rPr>
            </w:pPr>
          </w:p>
        </w:tc>
        <w:tc>
          <w:tcPr>
            <w:tcW w:w="4818" w:type="dxa"/>
          </w:tcPr>
          <w:p w14:paraId="53EE574F" w14:textId="41F82244" w:rsidR="00806997" w:rsidRPr="00286216" w:rsidRDefault="00806997" w:rsidP="00806997">
            <w:pPr>
              <w:pStyle w:val="StyleZakonu"/>
              <w:rPr>
                <w:color w:val="000000" w:themeColor="text1"/>
              </w:rPr>
            </w:pPr>
            <w:r w:rsidRPr="00286216">
              <w:rPr>
                <w:color w:val="000000" w:themeColor="text1"/>
              </w:rPr>
              <w:t>5) дата укладання деривативного контракту;</w:t>
            </w:r>
          </w:p>
        </w:tc>
      </w:tr>
      <w:tr w:rsidR="00806997" w:rsidRPr="00286216" w14:paraId="1EAB1346" w14:textId="77777777" w:rsidTr="00091AA5">
        <w:tc>
          <w:tcPr>
            <w:tcW w:w="576" w:type="dxa"/>
          </w:tcPr>
          <w:p w14:paraId="61A82989" w14:textId="77777777" w:rsidR="00806997" w:rsidRPr="00286216" w:rsidRDefault="00806997" w:rsidP="00806997">
            <w:pPr>
              <w:pStyle w:val="StyleWisnow"/>
              <w:rPr>
                <w:color w:val="000000" w:themeColor="text1"/>
              </w:rPr>
            </w:pPr>
            <w:bookmarkStart w:id="701" w:name="n990" w:colFirst="0" w:colLast="0"/>
            <w:bookmarkEnd w:id="700"/>
            <w:r w:rsidRPr="00286216">
              <w:rPr>
                <w:color w:val="000000" w:themeColor="text1"/>
              </w:rPr>
              <w:t>990.</w:t>
            </w:r>
          </w:p>
        </w:tc>
        <w:tc>
          <w:tcPr>
            <w:tcW w:w="4818" w:type="dxa"/>
          </w:tcPr>
          <w:p w14:paraId="0B4E6961" w14:textId="77777777" w:rsidR="00806997" w:rsidRPr="00286216" w:rsidRDefault="00806997" w:rsidP="00806997">
            <w:pPr>
              <w:pStyle w:val="StyleZakonu"/>
              <w:rPr>
                <w:color w:val="000000" w:themeColor="text1"/>
              </w:rPr>
            </w:pPr>
            <w:r w:rsidRPr="00286216">
              <w:rPr>
                <w:color w:val="000000" w:themeColor="text1"/>
              </w:rPr>
              <w:t>6) дата укладання деривативного контракту;</w:t>
            </w:r>
          </w:p>
        </w:tc>
        <w:tc>
          <w:tcPr>
            <w:tcW w:w="3686" w:type="dxa"/>
          </w:tcPr>
          <w:p w14:paraId="5A2D6456" w14:textId="77777777" w:rsidR="00806997" w:rsidRPr="00286216" w:rsidRDefault="00806997" w:rsidP="00806997">
            <w:pPr>
              <w:pStyle w:val="StyleProp"/>
              <w:rPr>
                <w:color w:val="000000" w:themeColor="text1"/>
                <w:szCs w:val="18"/>
              </w:rPr>
            </w:pPr>
            <w:r w:rsidRPr="00286216">
              <w:rPr>
                <w:color w:val="000000" w:themeColor="text1"/>
                <w:szCs w:val="18"/>
              </w:rPr>
              <w:t>6) строк деривативного контракту;</w:t>
            </w:r>
          </w:p>
        </w:tc>
        <w:tc>
          <w:tcPr>
            <w:tcW w:w="1987" w:type="dxa"/>
          </w:tcPr>
          <w:p w14:paraId="1A6F16A1" w14:textId="77777777" w:rsidR="00806997" w:rsidRPr="00286216" w:rsidRDefault="00806997" w:rsidP="00806997">
            <w:pPr>
              <w:pStyle w:val="StyleWisnow"/>
              <w:rPr>
                <w:color w:val="000000" w:themeColor="text1"/>
              </w:rPr>
            </w:pPr>
          </w:p>
        </w:tc>
        <w:tc>
          <w:tcPr>
            <w:tcW w:w="4818" w:type="dxa"/>
          </w:tcPr>
          <w:p w14:paraId="32C3DABB" w14:textId="37706B1C" w:rsidR="00806997" w:rsidRPr="00286216" w:rsidRDefault="00806997" w:rsidP="00806997">
            <w:pPr>
              <w:pStyle w:val="StyleZakonu"/>
              <w:rPr>
                <w:color w:val="000000" w:themeColor="text1"/>
              </w:rPr>
            </w:pPr>
            <w:r w:rsidRPr="00286216">
              <w:rPr>
                <w:color w:val="000000" w:themeColor="text1"/>
              </w:rPr>
              <w:t>6) строк деривативного контракту;</w:t>
            </w:r>
          </w:p>
        </w:tc>
      </w:tr>
      <w:tr w:rsidR="00806997" w:rsidRPr="00286216" w14:paraId="1DB7F5E8" w14:textId="77777777" w:rsidTr="00091AA5">
        <w:tc>
          <w:tcPr>
            <w:tcW w:w="576" w:type="dxa"/>
          </w:tcPr>
          <w:p w14:paraId="240F2804" w14:textId="77777777" w:rsidR="00806997" w:rsidRPr="00286216" w:rsidRDefault="00806997" w:rsidP="00806997">
            <w:pPr>
              <w:pStyle w:val="StyleWisnow"/>
              <w:rPr>
                <w:color w:val="000000" w:themeColor="text1"/>
              </w:rPr>
            </w:pPr>
            <w:bookmarkStart w:id="702" w:name="n991" w:colFirst="0" w:colLast="0"/>
            <w:bookmarkEnd w:id="701"/>
            <w:r w:rsidRPr="00286216">
              <w:rPr>
                <w:color w:val="000000" w:themeColor="text1"/>
              </w:rPr>
              <w:t>991.</w:t>
            </w:r>
          </w:p>
        </w:tc>
        <w:tc>
          <w:tcPr>
            <w:tcW w:w="4818" w:type="dxa"/>
          </w:tcPr>
          <w:p w14:paraId="747EF525" w14:textId="77777777" w:rsidR="00806997" w:rsidRPr="00286216" w:rsidRDefault="00806997" w:rsidP="00806997">
            <w:pPr>
              <w:pStyle w:val="StyleZakonu"/>
              <w:rPr>
                <w:color w:val="000000" w:themeColor="text1"/>
              </w:rPr>
            </w:pPr>
            <w:r w:rsidRPr="00286216">
              <w:rPr>
                <w:color w:val="000000" w:themeColor="text1"/>
              </w:rPr>
              <w:t>7) строк деривативного контракту;</w:t>
            </w:r>
          </w:p>
        </w:tc>
        <w:tc>
          <w:tcPr>
            <w:tcW w:w="3686" w:type="dxa"/>
          </w:tcPr>
          <w:p w14:paraId="458F8886" w14:textId="77777777" w:rsidR="00806997" w:rsidRPr="00286216" w:rsidRDefault="00806997" w:rsidP="00806997">
            <w:pPr>
              <w:pStyle w:val="StyleProp"/>
              <w:rPr>
                <w:color w:val="000000" w:themeColor="text1"/>
                <w:spacing w:val="-2"/>
                <w:szCs w:val="18"/>
              </w:rPr>
            </w:pPr>
            <w:r w:rsidRPr="00286216">
              <w:rPr>
                <w:color w:val="000000" w:themeColor="text1"/>
                <w:spacing w:val="-2"/>
                <w:szCs w:val="18"/>
              </w:rPr>
              <w:t>7) інші відомості, визначені Національною комісією з цінних паперів та фондового ринку.</w:t>
            </w:r>
          </w:p>
          <w:p w14:paraId="2E754EBA" w14:textId="77777777" w:rsidR="00806997" w:rsidRPr="00286216" w:rsidRDefault="00806997" w:rsidP="00806997">
            <w:pPr>
              <w:pStyle w:val="StyleProp"/>
              <w:rPr>
                <w:color w:val="000000" w:themeColor="text1"/>
                <w:spacing w:val="-5"/>
                <w:szCs w:val="18"/>
              </w:rPr>
            </w:pPr>
            <w:r w:rsidRPr="00286216">
              <w:rPr>
                <w:color w:val="000000" w:themeColor="text1"/>
                <w:spacing w:val="-5"/>
                <w:szCs w:val="18"/>
              </w:rPr>
              <w:lastRenderedPageBreak/>
              <w:t>До зазначеної інформації не включаються відомості про сторони деривативного контракту.</w:t>
            </w:r>
          </w:p>
          <w:p w14:paraId="655A0B70" w14:textId="77777777" w:rsidR="00806997" w:rsidRPr="00286216" w:rsidRDefault="00806997" w:rsidP="00806997">
            <w:pPr>
              <w:pStyle w:val="StyleProp"/>
              <w:spacing w:line="190" w:lineRule="exact"/>
              <w:rPr>
                <w:color w:val="000000" w:themeColor="text1"/>
                <w:szCs w:val="18"/>
              </w:rPr>
            </w:pPr>
            <w:r w:rsidRPr="00286216">
              <w:rPr>
                <w:color w:val="000000" w:themeColor="text1"/>
                <w:spacing w:val="-2"/>
                <w:szCs w:val="18"/>
              </w:rPr>
              <w:t>Порядок та строки розміщення оператором організованого ринку капіталу зазначеної вище інформації встановлюються Національною комісією з цінних паперів та фондового ринку».</w:t>
            </w:r>
          </w:p>
        </w:tc>
        <w:tc>
          <w:tcPr>
            <w:tcW w:w="1987" w:type="dxa"/>
          </w:tcPr>
          <w:p w14:paraId="4A75A7AC" w14:textId="77777777" w:rsidR="00806997" w:rsidRPr="00286216" w:rsidRDefault="00806997" w:rsidP="00806997">
            <w:pPr>
              <w:pStyle w:val="StyleWisnow"/>
              <w:rPr>
                <w:color w:val="000000" w:themeColor="text1"/>
              </w:rPr>
            </w:pPr>
          </w:p>
        </w:tc>
        <w:tc>
          <w:tcPr>
            <w:tcW w:w="4818" w:type="dxa"/>
          </w:tcPr>
          <w:p w14:paraId="1EAE3F1D" w14:textId="77777777" w:rsidR="00806997" w:rsidRPr="00286216" w:rsidRDefault="00806997" w:rsidP="00806997">
            <w:pPr>
              <w:pStyle w:val="StyleZakonu"/>
              <w:rPr>
                <w:color w:val="000000" w:themeColor="text1"/>
              </w:rPr>
            </w:pPr>
          </w:p>
        </w:tc>
      </w:tr>
      <w:tr w:rsidR="00806997" w:rsidRPr="00286216" w14:paraId="06237487" w14:textId="77777777" w:rsidTr="00091AA5">
        <w:tc>
          <w:tcPr>
            <w:tcW w:w="576" w:type="dxa"/>
          </w:tcPr>
          <w:p w14:paraId="35618BDD" w14:textId="77777777" w:rsidR="00806997" w:rsidRPr="00286216" w:rsidRDefault="00806997" w:rsidP="00806997">
            <w:pPr>
              <w:pStyle w:val="StyleWisnow"/>
              <w:rPr>
                <w:color w:val="000000" w:themeColor="text1"/>
              </w:rPr>
            </w:pPr>
            <w:bookmarkStart w:id="703" w:name="n992" w:colFirst="0" w:colLast="0"/>
            <w:bookmarkEnd w:id="702"/>
            <w:r w:rsidRPr="00286216">
              <w:rPr>
                <w:color w:val="000000" w:themeColor="text1"/>
              </w:rPr>
              <w:t>992.</w:t>
            </w:r>
          </w:p>
        </w:tc>
        <w:tc>
          <w:tcPr>
            <w:tcW w:w="4818" w:type="dxa"/>
          </w:tcPr>
          <w:p w14:paraId="7A3F7B2B" w14:textId="77777777" w:rsidR="00806997" w:rsidRPr="00286216" w:rsidRDefault="00806997" w:rsidP="00806997">
            <w:pPr>
              <w:pStyle w:val="StyleZakonu"/>
              <w:rPr>
                <w:color w:val="000000" w:themeColor="text1"/>
              </w:rPr>
            </w:pPr>
            <w:r w:rsidRPr="00286216">
              <w:rPr>
                <w:color w:val="000000" w:themeColor="text1"/>
              </w:rPr>
              <w:t>8) інші відомості, визначені Національною комісією з цінних паперів та фондового ринку.</w:t>
            </w:r>
          </w:p>
        </w:tc>
        <w:tc>
          <w:tcPr>
            <w:tcW w:w="3686" w:type="dxa"/>
          </w:tcPr>
          <w:p w14:paraId="70651150" w14:textId="711DD5B4"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548</w:t>
            </w:r>
            <w:r w:rsidRPr="00286216">
              <w:rPr>
                <w:color w:val="000000" w:themeColor="text1"/>
              </w:rPr>
              <w:fldChar w:fldCharType="end"/>
            </w:r>
            <w:r w:rsidRPr="00286216">
              <w:rPr>
                <w:color w:val="000000" w:themeColor="text1"/>
              </w:rPr>
              <w:t>-Н.д.Шахов С.В. (Реєстр.картка №114)</w:t>
            </w:r>
          </w:p>
          <w:p w14:paraId="70560B18" w14:textId="77777777" w:rsidR="00806997" w:rsidRPr="00286216" w:rsidRDefault="00806997" w:rsidP="00806997">
            <w:pPr>
              <w:pStyle w:val="StyleProp"/>
              <w:spacing w:line="190" w:lineRule="exact"/>
              <w:rPr>
                <w:color w:val="000000" w:themeColor="text1"/>
                <w:szCs w:val="18"/>
              </w:rPr>
            </w:pPr>
            <w:r w:rsidRPr="00286216">
              <w:rPr>
                <w:color w:val="000000" w:themeColor="text1"/>
              </w:rPr>
              <w:t>У пункті 8 частини 4 статті 52 слова "Національною комісією з цінних паперів та фондового ринку" замінити словами "регулятором відповідного ринку".</w:t>
            </w:r>
          </w:p>
        </w:tc>
        <w:tc>
          <w:tcPr>
            <w:tcW w:w="1987" w:type="dxa"/>
          </w:tcPr>
          <w:p w14:paraId="2FF47A40" w14:textId="77777777" w:rsidR="00806997" w:rsidRPr="00286216" w:rsidRDefault="00806997" w:rsidP="00806997">
            <w:pPr>
              <w:pStyle w:val="StyleWisnow"/>
              <w:rPr>
                <w:color w:val="000000" w:themeColor="text1"/>
              </w:rPr>
            </w:pPr>
            <w:r w:rsidRPr="00286216">
              <w:rPr>
                <w:color w:val="000000" w:themeColor="text1"/>
              </w:rPr>
              <w:t>Відхилено</w:t>
            </w:r>
          </w:p>
          <w:p w14:paraId="5102BDB2" w14:textId="77777777" w:rsidR="00806997" w:rsidRPr="00286216" w:rsidRDefault="00806997" w:rsidP="00806997">
            <w:pPr>
              <w:pStyle w:val="StyleWisnow"/>
              <w:rPr>
                <w:color w:val="000000" w:themeColor="text1"/>
              </w:rPr>
            </w:pPr>
            <w:r w:rsidRPr="00286216">
              <w:rPr>
                <w:color w:val="000000" w:themeColor="text1"/>
              </w:rPr>
              <w:t>НКЦПФР єдиний регулятор</w:t>
            </w:r>
          </w:p>
          <w:p w14:paraId="71342456" w14:textId="77777777" w:rsidR="00806997" w:rsidRPr="00286216" w:rsidRDefault="00806997" w:rsidP="00806997">
            <w:pPr>
              <w:pStyle w:val="StyleWisnow"/>
              <w:spacing w:line="160" w:lineRule="exact"/>
              <w:rPr>
                <w:color w:val="000000" w:themeColor="text1"/>
              </w:rPr>
            </w:pPr>
          </w:p>
        </w:tc>
        <w:tc>
          <w:tcPr>
            <w:tcW w:w="4818" w:type="dxa"/>
          </w:tcPr>
          <w:p w14:paraId="7862ECCD" w14:textId="53A2BFC0" w:rsidR="00806997" w:rsidRPr="00286216" w:rsidRDefault="00806997" w:rsidP="00806997">
            <w:pPr>
              <w:pStyle w:val="StyleZakonu"/>
              <w:rPr>
                <w:color w:val="000000" w:themeColor="text1"/>
              </w:rPr>
            </w:pPr>
            <w:r w:rsidRPr="00286216">
              <w:rPr>
                <w:color w:val="000000" w:themeColor="text1"/>
              </w:rPr>
              <w:t>7) інші відомості, визначені Національною комісією з цінних паперів та фондового ринку.</w:t>
            </w:r>
          </w:p>
        </w:tc>
      </w:tr>
      <w:tr w:rsidR="00806997" w:rsidRPr="00286216" w14:paraId="6033BFBD" w14:textId="77777777" w:rsidTr="00091AA5">
        <w:tc>
          <w:tcPr>
            <w:tcW w:w="576" w:type="dxa"/>
          </w:tcPr>
          <w:p w14:paraId="193A22DB" w14:textId="77777777" w:rsidR="00806997" w:rsidRPr="00286216" w:rsidRDefault="00806997" w:rsidP="00806997">
            <w:pPr>
              <w:pStyle w:val="StyleWisnow"/>
              <w:rPr>
                <w:color w:val="000000" w:themeColor="text1"/>
              </w:rPr>
            </w:pPr>
            <w:bookmarkStart w:id="704" w:name="n993" w:colFirst="0" w:colLast="0"/>
            <w:bookmarkEnd w:id="703"/>
            <w:r w:rsidRPr="00286216">
              <w:rPr>
                <w:color w:val="000000" w:themeColor="text1"/>
              </w:rPr>
              <w:t>993.</w:t>
            </w:r>
          </w:p>
        </w:tc>
        <w:tc>
          <w:tcPr>
            <w:tcW w:w="4818" w:type="dxa"/>
          </w:tcPr>
          <w:p w14:paraId="6657EDCB" w14:textId="77777777" w:rsidR="00806997" w:rsidRPr="00286216" w:rsidRDefault="00806997" w:rsidP="00806997">
            <w:pPr>
              <w:pStyle w:val="StyleZakonu"/>
              <w:rPr>
                <w:color w:val="000000" w:themeColor="text1"/>
              </w:rPr>
            </w:pPr>
            <w:r w:rsidRPr="00286216">
              <w:rPr>
                <w:color w:val="000000" w:themeColor="text1"/>
              </w:rPr>
              <w:t>До зазначеної інформації не включаються відомості про сторони деривативного контракту.</w:t>
            </w:r>
          </w:p>
        </w:tc>
        <w:tc>
          <w:tcPr>
            <w:tcW w:w="3686" w:type="dxa"/>
          </w:tcPr>
          <w:p w14:paraId="564A7477" w14:textId="77777777" w:rsidR="00806997" w:rsidRPr="00286216" w:rsidRDefault="00806997" w:rsidP="00806997">
            <w:pPr>
              <w:pStyle w:val="StyleProp"/>
              <w:rPr>
                <w:color w:val="000000" w:themeColor="text1"/>
                <w:szCs w:val="18"/>
              </w:rPr>
            </w:pPr>
          </w:p>
        </w:tc>
        <w:tc>
          <w:tcPr>
            <w:tcW w:w="1987" w:type="dxa"/>
          </w:tcPr>
          <w:p w14:paraId="0162CC68" w14:textId="77777777" w:rsidR="00806997" w:rsidRPr="00286216" w:rsidRDefault="00806997" w:rsidP="00806997">
            <w:pPr>
              <w:pStyle w:val="StyleWisnow"/>
              <w:rPr>
                <w:color w:val="000000" w:themeColor="text1"/>
              </w:rPr>
            </w:pPr>
          </w:p>
        </w:tc>
        <w:tc>
          <w:tcPr>
            <w:tcW w:w="4818" w:type="dxa"/>
          </w:tcPr>
          <w:p w14:paraId="464856B9" w14:textId="7D72C0D0" w:rsidR="00806997" w:rsidRPr="00286216" w:rsidRDefault="00806997" w:rsidP="00806997">
            <w:pPr>
              <w:pStyle w:val="StyleZakonu"/>
              <w:rPr>
                <w:color w:val="000000" w:themeColor="text1"/>
              </w:rPr>
            </w:pPr>
            <w:r w:rsidRPr="00286216">
              <w:rPr>
                <w:color w:val="000000" w:themeColor="text1"/>
              </w:rPr>
              <w:t>До зазначеної інформації не включаються відомості про сторони деривативного контракту.</w:t>
            </w:r>
          </w:p>
        </w:tc>
      </w:tr>
      <w:tr w:rsidR="00806997" w:rsidRPr="00286216" w14:paraId="0B5FAB4C" w14:textId="77777777" w:rsidTr="00091AA5">
        <w:tc>
          <w:tcPr>
            <w:tcW w:w="576" w:type="dxa"/>
          </w:tcPr>
          <w:p w14:paraId="3C4F945F" w14:textId="77777777" w:rsidR="00806997" w:rsidRPr="00286216" w:rsidRDefault="00806997" w:rsidP="00806997">
            <w:pPr>
              <w:pStyle w:val="StyleWisnow"/>
              <w:rPr>
                <w:color w:val="000000" w:themeColor="text1"/>
              </w:rPr>
            </w:pPr>
            <w:bookmarkStart w:id="705" w:name="n994" w:colFirst="0" w:colLast="0"/>
            <w:bookmarkEnd w:id="704"/>
            <w:r w:rsidRPr="00286216">
              <w:rPr>
                <w:color w:val="000000" w:themeColor="text1"/>
              </w:rPr>
              <w:t>994.</w:t>
            </w:r>
          </w:p>
        </w:tc>
        <w:tc>
          <w:tcPr>
            <w:tcW w:w="4818" w:type="dxa"/>
          </w:tcPr>
          <w:p w14:paraId="53FBCAC4" w14:textId="77777777" w:rsidR="00806997" w:rsidRPr="00286216" w:rsidRDefault="00806997" w:rsidP="00806997">
            <w:pPr>
              <w:pStyle w:val="StyleZakonu"/>
              <w:rPr>
                <w:color w:val="000000" w:themeColor="text1"/>
              </w:rPr>
            </w:pPr>
            <w:r w:rsidRPr="00286216">
              <w:rPr>
                <w:color w:val="000000" w:themeColor="text1"/>
              </w:rPr>
              <w:t>Порядок та строки розміщення оператором організованого ринку капіталу зазначеної вище інформації встановлюються Національною комісією з цінних паперів та фондового ринку.</w:t>
            </w:r>
          </w:p>
        </w:tc>
        <w:tc>
          <w:tcPr>
            <w:tcW w:w="3686" w:type="dxa"/>
          </w:tcPr>
          <w:p w14:paraId="7D9E9B43" w14:textId="77777777" w:rsidR="00806997" w:rsidRPr="00286216" w:rsidRDefault="00806997" w:rsidP="00806997">
            <w:pPr>
              <w:pStyle w:val="StyleProp"/>
              <w:rPr>
                <w:color w:val="000000" w:themeColor="text1"/>
                <w:szCs w:val="18"/>
              </w:rPr>
            </w:pPr>
          </w:p>
        </w:tc>
        <w:tc>
          <w:tcPr>
            <w:tcW w:w="1987" w:type="dxa"/>
          </w:tcPr>
          <w:p w14:paraId="48B76648" w14:textId="77777777" w:rsidR="00806997" w:rsidRPr="00286216" w:rsidRDefault="00806997" w:rsidP="00806997">
            <w:pPr>
              <w:pStyle w:val="StyleWisnow"/>
              <w:rPr>
                <w:color w:val="000000" w:themeColor="text1"/>
              </w:rPr>
            </w:pPr>
          </w:p>
        </w:tc>
        <w:tc>
          <w:tcPr>
            <w:tcW w:w="4818" w:type="dxa"/>
          </w:tcPr>
          <w:p w14:paraId="3EDBA542" w14:textId="7D992528" w:rsidR="00806997" w:rsidRPr="00286216" w:rsidRDefault="00806997" w:rsidP="00806997">
            <w:pPr>
              <w:pStyle w:val="StyleZakonu"/>
              <w:rPr>
                <w:color w:val="000000" w:themeColor="text1"/>
              </w:rPr>
            </w:pPr>
            <w:r w:rsidRPr="00286216">
              <w:rPr>
                <w:color w:val="000000" w:themeColor="text1"/>
              </w:rPr>
              <w:t>Порядок та строки розміщення оператором організованого ринку капіталу зазначеної вище інформації встановлюються Національною комісією з цінних паперів та фондового ринку.</w:t>
            </w:r>
          </w:p>
        </w:tc>
      </w:tr>
      <w:tr w:rsidR="00806997" w:rsidRPr="00286216" w14:paraId="7E1F632D" w14:textId="77777777" w:rsidTr="00091AA5">
        <w:tc>
          <w:tcPr>
            <w:tcW w:w="576" w:type="dxa"/>
          </w:tcPr>
          <w:p w14:paraId="703B3FAC" w14:textId="77777777" w:rsidR="00806997" w:rsidRPr="00286216" w:rsidRDefault="00806997" w:rsidP="00806997">
            <w:pPr>
              <w:pStyle w:val="StyleWisnow"/>
              <w:rPr>
                <w:color w:val="000000" w:themeColor="text1"/>
              </w:rPr>
            </w:pPr>
            <w:bookmarkStart w:id="706" w:name="n995" w:colFirst="0" w:colLast="0"/>
            <w:bookmarkEnd w:id="705"/>
            <w:r w:rsidRPr="00286216">
              <w:rPr>
                <w:color w:val="000000" w:themeColor="text1"/>
              </w:rPr>
              <w:t>995.</w:t>
            </w:r>
          </w:p>
        </w:tc>
        <w:tc>
          <w:tcPr>
            <w:tcW w:w="4818" w:type="dxa"/>
          </w:tcPr>
          <w:p w14:paraId="2C06AB1D" w14:textId="77777777" w:rsidR="00806997" w:rsidRPr="00286216" w:rsidRDefault="00806997" w:rsidP="00806997">
            <w:pPr>
              <w:pStyle w:val="StyleZakonu"/>
              <w:rPr>
                <w:color w:val="000000" w:themeColor="text1"/>
              </w:rPr>
            </w:pPr>
            <w:r w:rsidRPr="00286216">
              <w:rPr>
                <w:color w:val="000000" w:themeColor="text1"/>
              </w:rPr>
              <w:t>Стаття 53. Клірингова діяльність</w:t>
            </w:r>
          </w:p>
        </w:tc>
        <w:tc>
          <w:tcPr>
            <w:tcW w:w="3686" w:type="dxa"/>
          </w:tcPr>
          <w:p w14:paraId="16DF344E" w14:textId="261BEFB2"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549</w:t>
            </w:r>
            <w:r w:rsidRPr="00286216">
              <w:rPr>
                <w:color w:val="000000" w:themeColor="text1"/>
              </w:rPr>
              <w:fldChar w:fldCharType="end"/>
            </w:r>
            <w:r w:rsidRPr="00286216">
              <w:rPr>
                <w:color w:val="000000" w:themeColor="text1"/>
              </w:rPr>
              <w:t>-Н.д.Шахов С.В. (Реєстр.картка №114)</w:t>
            </w:r>
          </w:p>
          <w:p w14:paraId="0BE653BB" w14:textId="77777777" w:rsidR="00806997" w:rsidRPr="00286216" w:rsidRDefault="00806997" w:rsidP="00806997">
            <w:pPr>
              <w:pStyle w:val="StyleProp"/>
              <w:rPr>
                <w:color w:val="000000" w:themeColor="text1"/>
              </w:rPr>
            </w:pPr>
            <w:r w:rsidRPr="00286216">
              <w:rPr>
                <w:color w:val="000000" w:themeColor="text1"/>
              </w:rPr>
              <w:t>статтю 53 викласти у такій редакції:</w:t>
            </w:r>
          </w:p>
        </w:tc>
        <w:tc>
          <w:tcPr>
            <w:tcW w:w="1987" w:type="dxa"/>
          </w:tcPr>
          <w:p w14:paraId="1E26D3AD" w14:textId="77777777" w:rsidR="00806997" w:rsidRPr="00286216" w:rsidRDefault="00806997" w:rsidP="00806997">
            <w:pPr>
              <w:pStyle w:val="StyleWisnow"/>
              <w:spacing w:line="180" w:lineRule="exact"/>
              <w:rPr>
                <w:color w:val="000000" w:themeColor="text1"/>
                <w:spacing w:val="-2"/>
              </w:rPr>
            </w:pPr>
            <w:r w:rsidRPr="00286216">
              <w:rPr>
                <w:color w:val="000000" w:themeColor="text1"/>
                <w:spacing w:val="-2"/>
              </w:rPr>
              <w:t>Враховано частково</w:t>
            </w:r>
          </w:p>
          <w:p w14:paraId="529343CD" w14:textId="0914C77E" w:rsidR="00806997" w:rsidRPr="00286216" w:rsidRDefault="00806997" w:rsidP="00806997">
            <w:pPr>
              <w:pStyle w:val="StyleWisnow"/>
              <w:spacing w:line="180" w:lineRule="exact"/>
              <w:rPr>
                <w:color w:val="000000" w:themeColor="text1"/>
                <w:spacing w:val="-2"/>
              </w:rPr>
            </w:pPr>
            <w:r w:rsidRPr="00286216">
              <w:rPr>
                <w:color w:val="000000" w:themeColor="text1"/>
                <w:spacing w:val="-2"/>
              </w:rPr>
              <w:t>зокрема, щодо надання можливості проводити</w:t>
            </w:r>
          </w:p>
        </w:tc>
        <w:tc>
          <w:tcPr>
            <w:tcW w:w="4818" w:type="dxa"/>
          </w:tcPr>
          <w:p w14:paraId="769CF2E6" w14:textId="0A18FF38" w:rsidR="00806997" w:rsidRPr="00286216" w:rsidRDefault="00806997" w:rsidP="00806997">
            <w:pPr>
              <w:pStyle w:val="StyleZakonu"/>
              <w:rPr>
                <w:color w:val="000000" w:themeColor="text1"/>
              </w:rPr>
            </w:pPr>
            <w:r w:rsidRPr="00286216">
              <w:rPr>
                <w:color w:val="000000" w:themeColor="text1"/>
              </w:rPr>
              <w:t>Стаття 58. Клірингова діяльність</w:t>
            </w:r>
          </w:p>
        </w:tc>
      </w:tr>
      <w:tr w:rsidR="00806997" w:rsidRPr="00286216" w14:paraId="2C060939" w14:textId="77777777" w:rsidTr="00091AA5">
        <w:tc>
          <w:tcPr>
            <w:tcW w:w="576" w:type="dxa"/>
          </w:tcPr>
          <w:p w14:paraId="152CBED8" w14:textId="77777777" w:rsidR="00806997" w:rsidRPr="00286216" w:rsidRDefault="00806997" w:rsidP="00806997">
            <w:pPr>
              <w:pStyle w:val="StyleWisnow"/>
              <w:rPr>
                <w:color w:val="000000" w:themeColor="text1"/>
              </w:rPr>
            </w:pPr>
            <w:bookmarkStart w:id="707" w:name="n996" w:colFirst="0" w:colLast="0"/>
            <w:bookmarkEnd w:id="706"/>
            <w:r w:rsidRPr="00286216">
              <w:rPr>
                <w:color w:val="000000" w:themeColor="text1"/>
              </w:rPr>
              <w:t>996.</w:t>
            </w:r>
          </w:p>
        </w:tc>
        <w:tc>
          <w:tcPr>
            <w:tcW w:w="4818" w:type="dxa"/>
          </w:tcPr>
          <w:p w14:paraId="70A223EE" w14:textId="77777777" w:rsidR="00806997" w:rsidRPr="00286216" w:rsidRDefault="00806997" w:rsidP="00806997">
            <w:pPr>
              <w:pStyle w:val="StyleZakonu"/>
              <w:rPr>
                <w:color w:val="000000" w:themeColor="text1"/>
              </w:rPr>
            </w:pPr>
            <w:r w:rsidRPr="00286216">
              <w:rPr>
                <w:color w:val="000000" w:themeColor="text1"/>
              </w:rPr>
              <w:t>1. Клірингова діяльність включає:</w:t>
            </w:r>
          </w:p>
        </w:tc>
        <w:tc>
          <w:tcPr>
            <w:tcW w:w="3686" w:type="dxa"/>
          </w:tcPr>
          <w:p w14:paraId="17495BE6" w14:textId="77777777" w:rsidR="00806997" w:rsidRPr="00286216" w:rsidRDefault="00806997" w:rsidP="00806997">
            <w:pPr>
              <w:pStyle w:val="StyleProp"/>
              <w:spacing w:line="180" w:lineRule="exact"/>
              <w:rPr>
                <w:color w:val="000000" w:themeColor="text1"/>
              </w:rPr>
            </w:pPr>
            <w:r w:rsidRPr="00286216">
              <w:rPr>
                <w:color w:val="000000" w:themeColor="text1"/>
              </w:rPr>
              <w:t>«Стаття 53. Клірингова діяльність</w:t>
            </w:r>
          </w:p>
          <w:p w14:paraId="74573289" w14:textId="77777777" w:rsidR="00806997" w:rsidRPr="00286216" w:rsidRDefault="00806997" w:rsidP="00806997">
            <w:pPr>
              <w:pStyle w:val="StyleProp"/>
              <w:spacing w:line="180" w:lineRule="exact"/>
              <w:rPr>
                <w:color w:val="000000" w:themeColor="text1"/>
              </w:rPr>
            </w:pPr>
            <w:r w:rsidRPr="00286216">
              <w:rPr>
                <w:color w:val="000000" w:themeColor="text1"/>
              </w:rPr>
              <w:t>1. Клірингова діяльність включає:</w:t>
            </w:r>
          </w:p>
        </w:tc>
        <w:tc>
          <w:tcPr>
            <w:tcW w:w="1987" w:type="dxa"/>
          </w:tcPr>
          <w:p w14:paraId="503AA383" w14:textId="7D39D7E8" w:rsidR="00806997" w:rsidRPr="00286216" w:rsidRDefault="00806997" w:rsidP="00806997">
            <w:pPr>
              <w:pStyle w:val="StyleWisnow"/>
              <w:spacing w:line="180" w:lineRule="exact"/>
              <w:rPr>
                <w:color w:val="000000" w:themeColor="text1"/>
                <w:spacing w:val="-2"/>
              </w:rPr>
            </w:pPr>
            <w:r w:rsidRPr="00286216">
              <w:rPr>
                <w:color w:val="000000" w:themeColor="text1"/>
                <w:spacing w:val="-2"/>
              </w:rPr>
              <w:t>клірингову діяльність товарним біржам у частинах 2 і 3 цієї статті</w:t>
            </w:r>
          </w:p>
        </w:tc>
        <w:tc>
          <w:tcPr>
            <w:tcW w:w="4818" w:type="dxa"/>
          </w:tcPr>
          <w:p w14:paraId="749FA83C" w14:textId="367ED7D3" w:rsidR="00806997" w:rsidRPr="00286216" w:rsidRDefault="00806997" w:rsidP="00806997">
            <w:pPr>
              <w:pStyle w:val="StyleZakonu"/>
              <w:rPr>
                <w:color w:val="000000" w:themeColor="text1"/>
              </w:rPr>
            </w:pPr>
            <w:r w:rsidRPr="00286216">
              <w:rPr>
                <w:color w:val="000000" w:themeColor="text1"/>
              </w:rPr>
              <w:t>1. Клірингова діяльність включає такі види діяльності:</w:t>
            </w:r>
          </w:p>
        </w:tc>
      </w:tr>
      <w:tr w:rsidR="00806997" w:rsidRPr="00286216" w14:paraId="3F2B0B1B" w14:textId="77777777" w:rsidTr="00091AA5">
        <w:tc>
          <w:tcPr>
            <w:tcW w:w="576" w:type="dxa"/>
          </w:tcPr>
          <w:p w14:paraId="7E9C9A42" w14:textId="77777777" w:rsidR="00806997" w:rsidRPr="00286216" w:rsidRDefault="00806997" w:rsidP="00806997">
            <w:pPr>
              <w:pStyle w:val="StyleWisnow"/>
              <w:rPr>
                <w:color w:val="000000" w:themeColor="text1"/>
              </w:rPr>
            </w:pPr>
            <w:bookmarkStart w:id="708" w:name="n997" w:colFirst="0" w:colLast="0"/>
            <w:bookmarkEnd w:id="707"/>
            <w:r w:rsidRPr="00286216">
              <w:rPr>
                <w:color w:val="000000" w:themeColor="text1"/>
              </w:rPr>
              <w:t>997.</w:t>
            </w:r>
          </w:p>
        </w:tc>
        <w:tc>
          <w:tcPr>
            <w:tcW w:w="4818" w:type="dxa"/>
          </w:tcPr>
          <w:p w14:paraId="58D6CBEA" w14:textId="77777777" w:rsidR="00806997" w:rsidRPr="00286216" w:rsidRDefault="00806997" w:rsidP="00806997">
            <w:pPr>
              <w:pStyle w:val="StyleZakonu"/>
              <w:rPr>
                <w:color w:val="000000" w:themeColor="text1"/>
              </w:rPr>
            </w:pPr>
            <w:r w:rsidRPr="00286216">
              <w:rPr>
                <w:color w:val="000000" w:themeColor="text1"/>
              </w:rPr>
              <w:t>1) клірингову діяльність з визначення зобов’язань;</w:t>
            </w:r>
          </w:p>
        </w:tc>
        <w:tc>
          <w:tcPr>
            <w:tcW w:w="3686" w:type="dxa"/>
          </w:tcPr>
          <w:p w14:paraId="4359A640" w14:textId="77777777" w:rsidR="00806997" w:rsidRPr="00286216" w:rsidRDefault="00806997" w:rsidP="00806997">
            <w:pPr>
              <w:pStyle w:val="StyleProp"/>
              <w:spacing w:line="180" w:lineRule="exact"/>
              <w:rPr>
                <w:color w:val="000000" w:themeColor="text1"/>
              </w:rPr>
            </w:pPr>
            <w:r w:rsidRPr="00286216">
              <w:rPr>
                <w:color w:val="000000" w:themeColor="text1"/>
              </w:rPr>
              <w:t>1) клірингову діяльність з визначення зобов’язань;</w:t>
            </w:r>
          </w:p>
        </w:tc>
        <w:tc>
          <w:tcPr>
            <w:tcW w:w="1987" w:type="dxa"/>
          </w:tcPr>
          <w:p w14:paraId="614BC1B6" w14:textId="2F1CDE96" w:rsidR="00806997" w:rsidRPr="00286216" w:rsidRDefault="00806997" w:rsidP="00806997">
            <w:pPr>
              <w:pStyle w:val="StyleWisnow"/>
              <w:spacing w:line="180" w:lineRule="exact"/>
              <w:rPr>
                <w:color w:val="000000" w:themeColor="text1"/>
                <w:spacing w:val="-2"/>
              </w:rPr>
            </w:pPr>
          </w:p>
        </w:tc>
        <w:tc>
          <w:tcPr>
            <w:tcW w:w="4818" w:type="dxa"/>
          </w:tcPr>
          <w:p w14:paraId="32534281" w14:textId="68D9B7EE" w:rsidR="00806997" w:rsidRPr="00286216" w:rsidRDefault="00806997" w:rsidP="00806997">
            <w:pPr>
              <w:pStyle w:val="StyleZakonu"/>
              <w:rPr>
                <w:color w:val="000000" w:themeColor="text1"/>
              </w:rPr>
            </w:pPr>
            <w:r w:rsidRPr="00286216">
              <w:rPr>
                <w:color w:val="000000" w:themeColor="text1"/>
              </w:rPr>
              <w:t>1) клірингову діяльність з визначення зобов’язань;</w:t>
            </w:r>
          </w:p>
        </w:tc>
      </w:tr>
      <w:tr w:rsidR="00806997" w:rsidRPr="00286216" w14:paraId="2DBEDD29" w14:textId="77777777" w:rsidTr="00091AA5">
        <w:tc>
          <w:tcPr>
            <w:tcW w:w="576" w:type="dxa"/>
          </w:tcPr>
          <w:p w14:paraId="7155E625" w14:textId="77777777" w:rsidR="00806997" w:rsidRPr="00286216" w:rsidRDefault="00806997" w:rsidP="00806997">
            <w:pPr>
              <w:pStyle w:val="StyleWisnow"/>
              <w:rPr>
                <w:color w:val="000000" w:themeColor="text1"/>
              </w:rPr>
            </w:pPr>
            <w:bookmarkStart w:id="709" w:name="n998" w:colFirst="0" w:colLast="0"/>
            <w:bookmarkEnd w:id="708"/>
            <w:r w:rsidRPr="00286216">
              <w:rPr>
                <w:color w:val="000000" w:themeColor="text1"/>
              </w:rPr>
              <w:t>998.</w:t>
            </w:r>
          </w:p>
        </w:tc>
        <w:tc>
          <w:tcPr>
            <w:tcW w:w="4818" w:type="dxa"/>
          </w:tcPr>
          <w:p w14:paraId="076B0365" w14:textId="77777777" w:rsidR="00806997" w:rsidRPr="00286216" w:rsidRDefault="00806997" w:rsidP="00806997">
            <w:pPr>
              <w:pStyle w:val="StyleZakonu"/>
              <w:rPr>
                <w:color w:val="000000" w:themeColor="text1"/>
              </w:rPr>
            </w:pPr>
            <w:r w:rsidRPr="00286216">
              <w:rPr>
                <w:color w:val="000000" w:themeColor="text1"/>
              </w:rPr>
              <w:t>2) клірингову діяльність Центрального контрагента.</w:t>
            </w:r>
          </w:p>
        </w:tc>
        <w:tc>
          <w:tcPr>
            <w:tcW w:w="3686" w:type="dxa"/>
          </w:tcPr>
          <w:p w14:paraId="2F6DE72D" w14:textId="77777777" w:rsidR="00806997" w:rsidRPr="00286216" w:rsidRDefault="00806997" w:rsidP="00806997">
            <w:pPr>
              <w:pStyle w:val="StyleProp"/>
              <w:spacing w:line="180" w:lineRule="exact"/>
              <w:rPr>
                <w:color w:val="000000" w:themeColor="text1"/>
              </w:rPr>
            </w:pPr>
            <w:r w:rsidRPr="00286216">
              <w:rPr>
                <w:color w:val="000000" w:themeColor="text1"/>
              </w:rPr>
              <w:t>2) клірингову діяльність Центрального контрагента.</w:t>
            </w:r>
          </w:p>
          <w:p w14:paraId="264A66A4" w14:textId="77777777" w:rsidR="00806997" w:rsidRPr="00286216" w:rsidRDefault="00806997" w:rsidP="00806997">
            <w:pPr>
              <w:pStyle w:val="StyleProp"/>
              <w:spacing w:line="180" w:lineRule="exact"/>
              <w:rPr>
                <w:color w:val="000000" w:themeColor="text1"/>
              </w:rPr>
            </w:pPr>
            <w:r w:rsidRPr="00286216">
              <w:rPr>
                <w:color w:val="000000" w:themeColor="text1"/>
              </w:rPr>
              <w:t>На провадження кожного виду клірингової діяльності на ринках капіталу (крім провадження клірингової діяльності на ринках поставних товарних деривативів)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p w14:paraId="0F506B63" w14:textId="77777777" w:rsidR="00806997" w:rsidRPr="00286216" w:rsidRDefault="00806997" w:rsidP="00806997">
            <w:pPr>
              <w:pStyle w:val="StyleProp"/>
              <w:spacing w:line="180" w:lineRule="exact"/>
              <w:rPr>
                <w:color w:val="000000" w:themeColor="text1"/>
              </w:rPr>
            </w:pPr>
            <w:r w:rsidRPr="00286216">
              <w:rPr>
                <w:color w:val="000000" w:themeColor="text1"/>
              </w:rPr>
              <w:t>2. Особами, які провадять клірингову діяльність є клірингові установи, оператори організованого ринку (у тому числі, товарні біржі), Центральний депозитарій цінних паперів та Національний банк України.</w:t>
            </w:r>
          </w:p>
          <w:p w14:paraId="1B346539" w14:textId="77777777" w:rsidR="00806997" w:rsidRPr="00286216" w:rsidRDefault="00806997" w:rsidP="00806997">
            <w:pPr>
              <w:pStyle w:val="StyleProp"/>
              <w:spacing w:line="180" w:lineRule="exact"/>
              <w:rPr>
                <w:color w:val="000000" w:themeColor="text1"/>
              </w:rPr>
            </w:pPr>
            <w:r w:rsidRPr="00286216">
              <w:rPr>
                <w:color w:val="000000" w:themeColor="text1"/>
              </w:rPr>
              <w:t>3. За умови отримання відповідної ліцензії (або на інших підставах, визначених законодавством про товарні ринки), клірингову діяльність з визначення зобов’язань можуть провадити клірингові установи, оператори організованого ринку (у тому числі, товарні біржі), Центральний депозитарій цінних паперів та Національний банк України.</w:t>
            </w:r>
          </w:p>
          <w:p w14:paraId="441BEE49" w14:textId="77777777" w:rsidR="00806997" w:rsidRPr="00286216" w:rsidRDefault="00806997" w:rsidP="00806997">
            <w:pPr>
              <w:pStyle w:val="StyleProp"/>
              <w:spacing w:line="180" w:lineRule="exact"/>
              <w:rPr>
                <w:color w:val="000000" w:themeColor="text1"/>
                <w:szCs w:val="18"/>
              </w:rPr>
            </w:pPr>
            <w:r w:rsidRPr="00286216">
              <w:rPr>
                <w:color w:val="000000" w:themeColor="text1"/>
              </w:rPr>
              <w:t xml:space="preserve">За умови отримання відповідної ліцензії, клірингову діяльність Центрального </w:t>
            </w:r>
            <w:r w:rsidRPr="00286216">
              <w:rPr>
                <w:color w:val="000000" w:themeColor="text1"/>
              </w:rPr>
              <w:lastRenderedPageBreak/>
              <w:t>контрагента можуть провадити клірингові установи, а також у випадках, в межах та на умовах, встановлених законом, оператори організованого ринку (у тому числі, товарні біржі)».</w:t>
            </w:r>
          </w:p>
        </w:tc>
        <w:tc>
          <w:tcPr>
            <w:tcW w:w="1987" w:type="dxa"/>
          </w:tcPr>
          <w:p w14:paraId="7E91314B" w14:textId="77777777" w:rsidR="00806997" w:rsidRPr="00286216" w:rsidRDefault="00806997" w:rsidP="00806997">
            <w:pPr>
              <w:pStyle w:val="StyleWisnow"/>
              <w:rPr>
                <w:color w:val="000000" w:themeColor="text1"/>
              </w:rPr>
            </w:pPr>
          </w:p>
        </w:tc>
        <w:tc>
          <w:tcPr>
            <w:tcW w:w="4818" w:type="dxa"/>
          </w:tcPr>
          <w:p w14:paraId="231D1517" w14:textId="4A1F1ED4" w:rsidR="00806997" w:rsidRPr="00286216" w:rsidRDefault="00806997" w:rsidP="00806997">
            <w:pPr>
              <w:pStyle w:val="StyleZakonu"/>
              <w:rPr>
                <w:color w:val="000000" w:themeColor="text1"/>
              </w:rPr>
            </w:pPr>
            <w:r w:rsidRPr="00286216">
              <w:rPr>
                <w:color w:val="000000" w:themeColor="text1"/>
              </w:rPr>
              <w:t>2) клірингову діяльність центрального контрагента.</w:t>
            </w:r>
          </w:p>
        </w:tc>
      </w:tr>
      <w:tr w:rsidR="00806997" w:rsidRPr="00286216" w14:paraId="02880714" w14:textId="77777777" w:rsidTr="00091AA5">
        <w:tc>
          <w:tcPr>
            <w:tcW w:w="576" w:type="dxa"/>
          </w:tcPr>
          <w:p w14:paraId="0E374484" w14:textId="77777777" w:rsidR="00806997" w:rsidRPr="00286216" w:rsidRDefault="00806997" w:rsidP="00806997">
            <w:pPr>
              <w:pStyle w:val="StyleWisnow"/>
              <w:rPr>
                <w:color w:val="000000" w:themeColor="text1"/>
              </w:rPr>
            </w:pPr>
            <w:bookmarkStart w:id="710" w:name="n999" w:colFirst="0" w:colLast="0"/>
            <w:bookmarkEnd w:id="709"/>
            <w:r w:rsidRPr="00286216">
              <w:rPr>
                <w:color w:val="000000" w:themeColor="text1"/>
              </w:rPr>
              <w:t>999.</w:t>
            </w:r>
          </w:p>
        </w:tc>
        <w:tc>
          <w:tcPr>
            <w:tcW w:w="4818" w:type="dxa"/>
          </w:tcPr>
          <w:p w14:paraId="794C2E87" w14:textId="77777777" w:rsidR="00806997" w:rsidRPr="00286216" w:rsidRDefault="00806997" w:rsidP="00806997">
            <w:pPr>
              <w:pStyle w:val="StyleZakonu"/>
              <w:rPr>
                <w:color w:val="000000" w:themeColor="text1"/>
              </w:rPr>
            </w:pPr>
            <w:r w:rsidRPr="00286216">
              <w:rPr>
                <w:color w:val="000000" w:themeColor="text1"/>
              </w:rPr>
              <w:t>На провадження кожного виду клірингової діяльності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c>
          <w:tcPr>
            <w:tcW w:w="3686" w:type="dxa"/>
          </w:tcPr>
          <w:p w14:paraId="7AA1E22E" w14:textId="30E730E0" w:rsidR="00806997" w:rsidRPr="00286216" w:rsidRDefault="00806997" w:rsidP="0080699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550</w:t>
            </w:r>
            <w:r w:rsidRPr="00286216">
              <w:rPr>
                <w:color w:val="000000" w:themeColor="text1"/>
                <w:spacing w:val="-10"/>
              </w:rPr>
              <w:fldChar w:fldCharType="end"/>
            </w:r>
            <w:r w:rsidRPr="00286216">
              <w:rPr>
                <w:color w:val="000000" w:themeColor="text1"/>
                <w:spacing w:val="-10"/>
              </w:rPr>
              <w:t>-Н.д.Гетманцев Д.О.(Реєстр.картка №245)</w:t>
            </w:r>
          </w:p>
          <w:p w14:paraId="2F6F09B4" w14:textId="77777777" w:rsidR="00806997" w:rsidRPr="00286216" w:rsidRDefault="00806997" w:rsidP="00806997">
            <w:pPr>
              <w:pStyle w:val="StyleProp"/>
              <w:rPr>
                <w:color w:val="000000" w:themeColor="text1"/>
              </w:rPr>
            </w:pPr>
            <w:r w:rsidRPr="00286216">
              <w:rPr>
                <w:color w:val="000000" w:themeColor="text1"/>
              </w:rPr>
              <w:t>У статті 53 в абзаці четвертому частини першої слова «кожного виду» та «окрема» виключити.</w:t>
            </w:r>
          </w:p>
        </w:tc>
        <w:tc>
          <w:tcPr>
            <w:tcW w:w="1987" w:type="dxa"/>
          </w:tcPr>
          <w:p w14:paraId="51D41622" w14:textId="77777777" w:rsidR="00806997" w:rsidRPr="00286216" w:rsidRDefault="00806997" w:rsidP="00806997">
            <w:pPr>
              <w:pStyle w:val="StyleWisnow"/>
              <w:rPr>
                <w:color w:val="000000" w:themeColor="text1"/>
              </w:rPr>
            </w:pPr>
            <w:r w:rsidRPr="00286216">
              <w:rPr>
                <w:color w:val="000000" w:themeColor="text1"/>
              </w:rPr>
              <w:t>Відхилено</w:t>
            </w:r>
          </w:p>
          <w:p w14:paraId="5061E4BA" w14:textId="77777777" w:rsidR="00806997" w:rsidRPr="00286216" w:rsidRDefault="00806997" w:rsidP="00806997">
            <w:pPr>
              <w:pStyle w:val="StyleWisnow"/>
              <w:spacing w:line="180" w:lineRule="exact"/>
              <w:rPr>
                <w:color w:val="000000" w:themeColor="text1"/>
              </w:rPr>
            </w:pPr>
            <w:r w:rsidRPr="00286216">
              <w:rPr>
                <w:color w:val="000000" w:themeColor="text1"/>
              </w:rPr>
              <w:t xml:space="preserve">Для обох видів клірингової діяльності різні окремі вимоги, що зумовлює різні ліцензії </w:t>
            </w:r>
          </w:p>
        </w:tc>
        <w:tc>
          <w:tcPr>
            <w:tcW w:w="4818" w:type="dxa"/>
          </w:tcPr>
          <w:p w14:paraId="56908D42" w14:textId="2AA771FC" w:rsidR="00806997" w:rsidRPr="00286216" w:rsidRDefault="00806997" w:rsidP="00806997">
            <w:pPr>
              <w:pStyle w:val="StyleZakonu"/>
              <w:rPr>
                <w:color w:val="000000" w:themeColor="text1"/>
              </w:rPr>
            </w:pPr>
            <w:r w:rsidRPr="00286216">
              <w:rPr>
                <w:color w:val="000000" w:themeColor="text1"/>
              </w:rPr>
              <w:t>На провадження кожного виду клірингової діяльності Національною комісією з цінних паперів та фондового ринку видається окрема ліцензія, передбачена статтею 4 Закону України "Про державне регулювання ринків капіталу та організованих товарних ринків".</w:t>
            </w:r>
          </w:p>
        </w:tc>
      </w:tr>
      <w:tr w:rsidR="00806997" w:rsidRPr="00286216" w14:paraId="7354026B" w14:textId="77777777" w:rsidTr="00091AA5">
        <w:tc>
          <w:tcPr>
            <w:tcW w:w="576" w:type="dxa"/>
          </w:tcPr>
          <w:p w14:paraId="37844589" w14:textId="77777777" w:rsidR="00806997" w:rsidRPr="00286216" w:rsidRDefault="00806997" w:rsidP="00806997">
            <w:pPr>
              <w:pStyle w:val="StyleWisnow"/>
              <w:rPr>
                <w:color w:val="000000" w:themeColor="text1"/>
              </w:rPr>
            </w:pPr>
            <w:bookmarkStart w:id="711" w:name="n1000" w:colFirst="0" w:colLast="0"/>
            <w:bookmarkEnd w:id="710"/>
            <w:r w:rsidRPr="00286216">
              <w:rPr>
                <w:color w:val="000000" w:themeColor="text1"/>
              </w:rPr>
              <w:t>1000.</w:t>
            </w:r>
          </w:p>
        </w:tc>
        <w:tc>
          <w:tcPr>
            <w:tcW w:w="4818" w:type="dxa"/>
          </w:tcPr>
          <w:p w14:paraId="686C663F" w14:textId="77777777" w:rsidR="00806997" w:rsidRPr="00286216" w:rsidRDefault="00806997" w:rsidP="00806997">
            <w:pPr>
              <w:pStyle w:val="StyleZakonu"/>
              <w:rPr>
                <w:color w:val="000000" w:themeColor="text1"/>
              </w:rPr>
            </w:pPr>
            <w:r w:rsidRPr="00286216">
              <w:rPr>
                <w:color w:val="000000" w:themeColor="text1"/>
              </w:rPr>
              <w:t>Перелік видів діяльності, передбачених цією частиною, які має право провадити особа, яка провадить клірингову діяльність, зазначається в реєстрі професійних учасників ринків капіталу та організованих товарних ринків.</w:t>
            </w:r>
          </w:p>
        </w:tc>
        <w:tc>
          <w:tcPr>
            <w:tcW w:w="3686" w:type="dxa"/>
          </w:tcPr>
          <w:p w14:paraId="219B68B0" w14:textId="77777777" w:rsidR="00806997" w:rsidRPr="00286216" w:rsidRDefault="00806997" w:rsidP="00806997">
            <w:pPr>
              <w:pStyle w:val="StyleProp"/>
              <w:rPr>
                <w:color w:val="000000" w:themeColor="text1"/>
                <w:szCs w:val="18"/>
              </w:rPr>
            </w:pPr>
          </w:p>
        </w:tc>
        <w:tc>
          <w:tcPr>
            <w:tcW w:w="1987" w:type="dxa"/>
          </w:tcPr>
          <w:p w14:paraId="620BEDB2" w14:textId="77777777" w:rsidR="00806997" w:rsidRPr="00286216" w:rsidRDefault="00806997" w:rsidP="00806997">
            <w:pPr>
              <w:pStyle w:val="StyleWisnow"/>
              <w:rPr>
                <w:color w:val="000000" w:themeColor="text1"/>
              </w:rPr>
            </w:pPr>
          </w:p>
        </w:tc>
        <w:tc>
          <w:tcPr>
            <w:tcW w:w="4818" w:type="dxa"/>
          </w:tcPr>
          <w:p w14:paraId="7EAAA39F" w14:textId="6AFC2646" w:rsidR="00806997" w:rsidRPr="00286216" w:rsidRDefault="00806997" w:rsidP="00806997">
            <w:pPr>
              <w:pStyle w:val="StyleZakonu"/>
              <w:rPr>
                <w:color w:val="000000" w:themeColor="text1"/>
              </w:rPr>
            </w:pPr>
            <w:r w:rsidRPr="00286216">
              <w:rPr>
                <w:color w:val="000000" w:themeColor="text1"/>
              </w:rPr>
              <w:t>Перелік видів діяльності, передбачених цією частиною, які має право провадити особа, яка провадить клірингову діяльність, зазначається в реєстрі професійних учасників ринків капіталу та організованих товарних ринків.</w:t>
            </w:r>
          </w:p>
        </w:tc>
      </w:tr>
      <w:tr w:rsidR="00806997" w:rsidRPr="00286216" w14:paraId="4159A33D" w14:textId="77777777" w:rsidTr="00091AA5">
        <w:tc>
          <w:tcPr>
            <w:tcW w:w="576" w:type="dxa"/>
          </w:tcPr>
          <w:p w14:paraId="78EDC638" w14:textId="77777777" w:rsidR="00806997" w:rsidRPr="00286216" w:rsidRDefault="00806997" w:rsidP="00806997">
            <w:pPr>
              <w:pStyle w:val="StyleWisnow"/>
              <w:rPr>
                <w:color w:val="000000" w:themeColor="text1"/>
              </w:rPr>
            </w:pPr>
            <w:bookmarkStart w:id="712" w:name="n1001" w:colFirst="0" w:colLast="0"/>
            <w:bookmarkEnd w:id="711"/>
            <w:r w:rsidRPr="00286216">
              <w:rPr>
                <w:color w:val="000000" w:themeColor="text1"/>
              </w:rPr>
              <w:t>1001.</w:t>
            </w:r>
          </w:p>
        </w:tc>
        <w:tc>
          <w:tcPr>
            <w:tcW w:w="4818" w:type="dxa"/>
          </w:tcPr>
          <w:p w14:paraId="54DA3C37" w14:textId="77777777" w:rsidR="00806997" w:rsidRPr="00286216" w:rsidRDefault="00806997" w:rsidP="00806997">
            <w:pPr>
              <w:pStyle w:val="StyleZakonu"/>
              <w:rPr>
                <w:color w:val="000000" w:themeColor="text1"/>
              </w:rPr>
            </w:pPr>
            <w:r w:rsidRPr="00286216">
              <w:rPr>
                <w:color w:val="000000" w:themeColor="text1"/>
              </w:rPr>
              <w:t>2. Особами, які провадять клірингову діяльність є клірингові установи, оператори організованого ринку, Центральний депозитарій цінних паперів та Національний банк України.</w:t>
            </w:r>
          </w:p>
        </w:tc>
        <w:tc>
          <w:tcPr>
            <w:tcW w:w="3686" w:type="dxa"/>
          </w:tcPr>
          <w:p w14:paraId="5344FD25" w14:textId="77777777" w:rsidR="00806997" w:rsidRPr="00286216" w:rsidRDefault="00806997" w:rsidP="00806997">
            <w:pPr>
              <w:pStyle w:val="StyleProp"/>
              <w:rPr>
                <w:color w:val="000000" w:themeColor="text1"/>
                <w:szCs w:val="18"/>
              </w:rPr>
            </w:pPr>
          </w:p>
        </w:tc>
        <w:tc>
          <w:tcPr>
            <w:tcW w:w="1987" w:type="dxa"/>
          </w:tcPr>
          <w:p w14:paraId="18B05540" w14:textId="77777777" w:rsidR="00806997" w:rsidRPr="00286216" w:rsidRDefault="00806997" w:rsidP="00806997">
            <w:pPr>
              <w:pStyle w:val="StyleWisnow"/>
              <w:rPr>
                <w:color w:val="000000" w:themeColor="text1"/>
              </w:rPr>
            </w:pPr>
          </w:p>
        </w:tc>
        <w:tc>
          <w:tcPr>
            <w:tcW w:w="4818" w:type="dxa"/>
          </w:tcPr>
          <w:p w14:paraId="3FC345CD" w14:textId="6CA30CE1" w:rsidR="00806997" w:rsidRPr="00286216" w:rsidRDefault="00806997" w:rsidP="00806997">
            <w:pPr>
              <w:pStyle w:val="StyleZakonu"/>
              <w:rPr>
                <w:color w:val="000000" w:themeColor="text1"/>
              </w:rPr>
            </w:pPr>
            <w:r w:rsidRPr="00286216">
              <w:rPr>
                <w:color w:val="000000" w:themeColor="text1"/>
              </w:rPr>
              <w:t xml:space="preserve">2. Особами, які провадять клірингову діяльність, є </w:t>
            </w:r>
            <w:r w:rsidRPr="00286216">
              <w:rPr>
                <w:color w:val="000000" w:themeColor="text1"/>
                <w:spacing w:val="-2"/>
              </w:rPr>
              <w:t>клірингові установи, оператори організованого ринку (у тому числі товарні біржі), Центральний депозитарій цінних паперів та Національний банк України.</w:t>
            </w:r>
          </w:p>
        </w:tc>
      </w:tr>
      <w:tr w:rsidR="00806997" w:rsidRPr="00286216" w14:paraId="692D69D3" w14:textId="77777777" w:rsidTr="00091AA5">
        <w:tc>
          <w:tcPr>
            <w:tcW w:w="576" w:type="dxa"/>
          </w:tcPr>
          <w:p w14:paraId="26D825DE" w14:textId="77777777" w:rsidR="00806997" w:rsidRPr="00286216" w:rsidRDefault="00806997" w:rsidP="00806997">
            <w:pPr>
              <w:pStyle w:val="StyleWisnow"/>
              <w:rPr>
                <w:color w:val="000000" w:themeColor="text1"/>
              </w:rPr>
            </w:pPr>
            <w:bookmarkStart w:id="713" w:name="n1002" w:colFirst="0" w:colLast="0"/>
            <w:bookmarkEnd w:id="712"/>
            <w:r w:rsidRPr="00286216">
              <w:rPr>
                <w:color w:val="000000" w:themeColor="text1"/>
              </w:rPr>
              <w:t>1002.</w:t>
            </w:r>
          </w:p>
        </w:tc>
        <w:tc>
          <w:tcPr>
            <w:tcW w:w="4818" w:type="dxa"/>
          </w:tcPr>
          <w:p w14:paraId="4D316CCC" w14:textId="77777777" w:rsidR="00806997" w:rsidRPr="00286216" w:rsidRDefault="00806997" w:rsidP="00806997">
            <w:pPr>
              <w:pStyle w:val="StyleZakonu"/>
              <w:rPr>
                <w:color w:val="000000" w:themeColor="text1"/>
              </w:rPr>
            </w:pPr>
            <w:r w:rsidRPr="00286216">
              <w:rPr>
                <w:color w:val="000000" w:themeColor="text1"/>
              </w:rPr>
              <w:t>3. За умови отримання відповідної ліцензії, клірингову діяльність з визначення зобов’язань можуть провадити клірингові установи, оператори організованого ринку, Центральний депозитарій цінних паперів та Національний банк України.</w:t>
            </w:r>
          </w:p>
        </w:tc>
        <w:tc>
          <w:tcPr>
            <w:tcW w:w="3686" w:type="dxa"/>
          </w:tcPr>
          <w:p w14:paraId="7C279BF5" w14:textId="412211AA" w:rsidR="00806997" w:rsidRPr="00286216" w:rsidRDefault="00806997" w:rsidP="0080699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551</w:t>
            </w:r>
            <w:r w:rsidRPr="00286216">
              <w:rPr>
                <w:color w:val="000000" w:themeColor="text1"/>
                <w:spacing w:val="-4"/>
              </w:rPr>
              <w:fldChar w:fldCharType="end"/>
            </w:r>
            <w:r w:rsidRPr="00286216">
              <w:rPr>
                <w:color w:val="000000" w:themeColor="text1"/>
                <w:spacing w:val="-4"/>
              </w:rPr>
              <w:t>-Н.д.Бєлькова О.В. (Реєстр.картка №403)</w:t>
            </w:r>
          </w:p>
          <w:p w14:paraId="1696FBA5" w14:textId="77777777" w:rsidR="00806997" w:rsidRPr="00286216" w:rsidRDefault="00806997" w:rsidP="00806997">
            <w:pPr>
              <w:pStyle w:val="StyleProp"/>
              <w:rPr>
                <w:color w:val="000000" w:themeColor="text1"/>
                <w:szCs w:val="18"/>
              </w:rPr>
            </w:pPr>
            <w:r w:rsidRPr="00286216">
              <w:rPr>
                <w:color w:val="000000" w:themeColor="text1"/>
              </w:rPr>
              <w:t>У абзаці першому частини третьої статті 53 розділу 1 слова “та Національний банк України» виключити.</w:t>
            </w:r>
          </w:p>
        </w:tc>
        <w:tc>
          <w:tcPr>
            <w:tcW w:w="1987" w:type="dxa"/>
          </w:tcPr>
          <w:p w14:paraId="3940A350" w14:textId="77777777" w:rsidR="00806997" w:rsidRPr="00286216" w:rsidRDefault="00806997" w:rsidP="00806997">
            <w:pPr>
              <w:pStyle w:val="StyleWisnow"/>
              <w:spacing w:line="180" w:lineRule="exact"/>
              <w:rPr>
                <w:color w:val="000000" w:themeColor="text1"/>
              </w:rPr>
            </w:pPr>
            <w:r w:rsidRPr="00286216">
              <w:rPr>
                <w:color w:val="000000" w:themeColor="text1"/>
              </w:rPr>
              <w:t>Враховано</w:t>
            </w:r>
          </w:p>
        </w:tc>
        <w:tc>
          <w:tcPr>
            <w:tcW w:w="4818" w:type="dxa"/>
          </w:tcPr>
          <w:p w14:paraId="7FC5FAA4" w14:textId="06E99C45" w:rsidR="00806997" w:rsidRPr="00286216" w:rsidRDefault="00806997" w:rsidP="00806997">
            <w:pPr>
              <w:pStyle w:val="StyleZakonu"/>
              <w:rPr>
                <w:color w:val="000000" w:themeColor="text1"/>
              </w:rPr>
            </w:pPr>
            <w:r w:rsidRPr="00286216">
              <w:rPr>
                <w:color w:val="000000" w:themeColor="text1"/>
              </w:rPr>
              <w:t>3. За умови отримання відповідної ліцензії клірингову діяльність з визначення зобов’язань можуть провадити клірингові установи, оператори організованого ринку (у тому числі товарні біржі), Центральний депозитарій цінних паперів.</w:t>
            </w:r>
          </w:p>
        </w:tc>
      </w:tr>
      <w:tr w:rsidR="00806997" w:rsidRPr="00286216" w14:paraId="397578D1" w14:textId="77777777" w:rsidTr="00091AA5">
        <w:tc>
          <w:tcPr>
            <w:tcW w:w="576" w:type="dxa"/>
          </w:tcPr>
          <w:p w14:paraId="0E41B46C" w14:textId="77777777" w:rsidR="00806997" w:rsidRPr="00286216" w:rsidRDefault="00806997" w:rsidP="00806997">
            <w:pPr>
              <w:pStyle w:val="StyleWisnow"/>
              <w:rPr>
                <w:color w:val="000000" w:themeColor="text1"/>
              </w:rPr>
            </w:pPr>
            <w:bookmarkStart w:id="714" w:name="n1003" w:colFirst="0" w:colLast="0"/>
            <w:bookmarkEnd w:id="713"/>
            <w:r w:rsidRPr="00286216">
              <w:rPr>
                <w:color w:val="000000" w:themeColor="text1"/>
              </w:rPr>
              <w:t>1003.</w:t>
            </w:r>
          </w:p>
        </w:tc>
        <w:tc>
          <w:tcPr>
            <w:tcW w:w="4818" w:type="dxa"/>
          </w:tcPr>
          <w:p w14:paraId="09B354E0" w14:textId="77777777" w:rsidR="00806997" w:rsidRPr="00286216" w:rsidRDefault="00806997" w:rsidP="00806997">
            <w:pPr>
              <w:pStyle w:val="StyleZakonu"/>
              <w:rPr>
                <w:color w:val="000000" w:themeColor="text1"/>
              </w:rPr>
            </w:pPr>
            <w:r w:rsidRPr="00286216">
              <w:rPr>
                <w:color w:val="000000" w:themeColor="text1"/>
              </w:rPr>
              <w:t>За умови отримання відповідної ліцензії, клірингову діяльність Центрального контрагента можуть провадити виключно клірингові установи.</w:t>
            </w:r>
          </w:p>
        </w:tc>
        <w:tc>
          <w:tcPr>
            <w:tcW w:w="3686" w:type="dxa"/>
          </w:tcPr>
          <w:p w14:paraId="3FCBCD59" w14:textId="20696DDF" w:rsidR="00806997" w:rsidRPr="00286216" w:rsidRDefault="00806997" w:rsidP="0080699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552</w:t>
            </w:r>
            <w:r w:rsidRPr="00286216">
              <w:rPr>
                <w:color w:val="000000" w:themeColor="text1"/>
                <w:spacing w:val="-4"/>
              </w:rPr>
              <w:fldChar w:fldCharType="end"/>
            </w:r>
            <w:r w:rsidRPr="00286216">
              <w:rPr>
                <w:color w:val="000000" w:themeColor="text1"/>
                <w:spacing w:val="-4"/>
              </w:rPr>
              <w:t>-Н.д.Бєлькова О.В. (Реєстр.картка №403)</w:t>
            </w:r>
          </w:p>
          <w:p w14:paraId="08919D1C" w14:textId="77777777" w:rsidR="00806997" w:rsidRPr="00286216" w:rsidRDefault="00806997" w:rsidP="00806997">
            <w:pPr>
              <w:pStyle w:val="StyleProp"/>
              <w:rPr>
                <w:color w:val="000000" w:themeColor="text1"/>
                <w:szCs w:val="18"/>
              </w:rPr>
            </w:pPr>
            <w:r w:rsidRPr="00286216">
              <w:rPr>
                <w:color w:val="000000" w:themeColor="text1"/>
                <w:szCs w:val="18"/>
              </w:rPr>
              <w:t>Абзац другий частини третьої статті 53 виключити</w:t>
            </w:r>
            <w:r w:rsidRPr="00286216">
              <w:rPr>
                <w:color w:val="000000" w:themeColor="text1"/>
              </w:rPr>
              <w:t>.</w:t>
            </w:r>
          </w:p>
        </w:tc>
        <w:tc>
          <w:tcPr>
            <w:tcW w:w="1987" w:type="dxa"/>
          </w:tcPr>
          <w:p w14:paraId="5545037A"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53A34406" w14:textId="77777777" w:rsidR="00806997" w:rsidRPr="00286216" w:rsidRDefault="00806997" w:rsidP="00806997">
            <w:pPr>
              <w:pStyle w:val="StyleZakonu"/>
              <w:rPr>
                <w:color w:val="000000" w:themeColor="text1"/>
              </w:rPr>
            </w:pPr>
          </w:p>
        </w:tc>
      </w:tr>
      <w:tr w:rsidR="00806997" w:rsidRPr="00286216" w14:paraId="0F503A6A" w14:textId="77777777" w:rsidTr="00091AA5">
        <w:tc>
          <w:tcPr>
            <w:tcW w:w="576" w:type="dxa"/>
          </w:tcPr>
          <w:p w14:paraId="6AA8AD36" w14:textId="77777777" w:rsidR="00806997" w:rsidRPr="00286216" w:rsidRDefault="00806997" w:rsidP="00806997">
            <w:pPr>
              <w:pStyle w:val="StyleWisnow"/>
              <w:rPr>
                <w:color w:val="000000" w:themeColor="text1"/>
              </w:rPr>
            </w:pPr>
            <w:bookmarkStart w:id="715" w:name="n1004" w:colFirst="0" w:colLast="0"/>
            <w:bookmarkEnd w:id="714"/>
            <w:r w:rsidRPr="00286216">
              <w:rPr>
                <w:color w:val="000000" w:themeColor="text1"/>
              </w:rPr>
              <w:t>1004.</w:t>
            </w:r>
          </w:p>
        </w:tc>
        <w:tc>
          <w:tcPr>
            <w:tcW w:w="4818" w:type="dxa"/>
          </w:tcPr>
          <w:p w14:paraId="6409CECD" w14:textId="77777777" w:rsidR="00806997" w:rsidRPr="00286216" w:rsidRDefault="00806997" w:rsidP="00806997">
            <w:pPr>
              <w:pStyle w:val="StyleZakonu"/>
              <w:rPr>
                <w:color w:val="000000" w:themeColor="text1"/>
              </w:rPr>
            </w:pPr>
            <w:r w:rsidRPr="00286216">
              <w:rPr>
                <w:color w:val="000000" w:themeColor="text1"/>
              </w:rPr>
              <w:t>4. Центральний депозитарій цінних паперів та Національний банк України можуть провадити клірингову діяльність з визначення зобов’язань за умови дотримання вимог, встановлених законодавством.</w:t>
            </w:r>
          </w:p>
        </w:tc>
        <w:tc>
          <w:tcPr>
            <w:tcW w:w="3686" w:type="dxa"/>
          </w:tcPr>
          <w:p w14:paraId="674F74AC" w14:textId="6F4EDFAC" w:rsidR="00806997" w:rsidRPr="00286216" w:rsidRDefault="00806997" w:rsidP="00806997">
            <w:pPr>
              <w:pStyle w:val="StyleAwt"/>
              <w:rPr>
                <w:color w:val="000000" w:themeColor="text1"/>
                <w:spacing w:val="-4"/>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553</w:t>
            </w:r>
            <w:r w:rsidRPr="00286216">
              <w:rPr>
                <w:color w:val="000000" w:themeColor="text1"/>
              </w:rPr>
              <w:fldChar w:fldCharType="end"/>
            </w:r>
            <w:r w:rsidRPr="00286216">
              <w:rPr>
                <w:color w:val="000000" w:themeColor="text1"/>
              </w:rPr>
              <w:t>-</w:t>
            </w:r>
            <w:r w:rsidRPr="00286216">
              <w:rPr>
                <w:color w:val="000000" w:themeColor="text1"/>
                <w:spacing w:val="-4"/>
              </w:rPr>
              <w:t>Н.д.Бєлькова О.В. (Реєстр.картка №403)</w:t>
            </w:r>
          </w:p>
          <w:p w14:paraId="6E3BE165" w14:textId="77777777" w:rsidR="00806997" w:rsidRPr="00286216" w:rsidRDefault="00806997" w:rsidP="00806997">
            <w:pPr>
              <w:spacing w:line="180" w:lineRule="exact"/>
              <w:ind w:firstLine="227"/>
              <w:jc w:val="both"/>
              <w:rPr>
                <w:color w:val="000000" w:themeColor="text1"/>
                <w:sz w:val="18"/>
              </w:rPr>
            </w:pPr>
            <w:r w:rsidRPr="00286216">
              <w:rPr>
                <w:color w:val="000000" w:themeColor="text1"/>
                <w:sz w:val="18"/>
              </w:rPr>
              <w:t>Частину четверту статті 53 розділу 1 викласти в такій редакції:</w:t>
            </w:r>
          </w:p>
          <w:p w14:paraId="0A42C3A6" w14:textId="77777777" w:rsidR="00806997" w:rsidRPr="00286216" w:rsidRDefault="00806997" w:rsidP="00806997">
            <w:pPr>
              <w:spacing w:line="180" w:lineRule="exact"/>
              <w:ind w:firstLine="227"/>
              <w:jc w:val="both"/>
              <w:rPr>
                <w:color w:val="000000" w:themeColor="text1"/>
                <w:sz w:val="18"/>
              </w:rPr>
            </w:pPr>
            <w:r w:rsidRPr="00286216">
              <w:rPr>
                <w:color w:val="000000" w:themeColor="text1"/>
                <w:sz w:val="18"/>
              </w:rPr>
              <w:t>«4. Центральний депозитарій цінних паперів та Національний банк України можуть провадити клірингову діяльність з визначення зобов’язань за умови дотримання вимог, встановлених законодавством.</w:t>
            </w:r>
          </w:p>
        </w:tc>
        <w:tc>
          <w:tcPr>
            <w:tcW w:w="1987" w:type="dxa"/>
          </w:tcPr>
          <w:p w14:paraId="3E5876C5" w14:textId="77777777" w:rsidR="00806997" w:rsidRPr="00286216" w:rsidRDefault="00806997" w:rsidP="00806997">
            <w:pPr>
              <w:pStyle w:val="StyleWisnow"/>
              <w:spacing w:line="180" w:lineRule="exact"/>
              <w:rPr>
                <w:color w:val="000000" w:themeColor="text1"/>
              </w:rPr>
            </w:pPr>
            <w:r w:rsidRPr="00286216">
              <w:rPr>
                <w:color w:val="000000" w:themeColor="text1"/>
              </w:rPr>
              <w:t>Враховано</w:t>
            </w:r>
          </w:p>
        </w:tc>
        <w:tc>
          <w:tcPr>
            <w:tcW w:w="4818" w:type="dxa"/>
          </w:tcPr>
          <w:p w14:paraId="62D137A2" w14:textId="2693EFAE" w:rsidR="00806997" w:rsidRPr="00286216" w:rsidRDefault="00806997" w:rsidP="00806997">
            <w:pPr>
              <w:pStyle w:val="StyleZakonu"/>
              <w:spacing w:line="210" w:lineRule="exact"/>
              <w:rPr>
                <w:color w:val="000000" w:themeColor="text1"/>
              </w:rPr>
            </w:pPr>
            <w:r w:rsidRPr="00286216">
              <w:rPr>
                <w:color w:val="000000" w:themeColor="text1"/>
              </w:rPr>
              <w:t>4. Центральний депозитарій цінних паперів та Національний банк України можуть провадити клірингову діяльність з визначення зобов’язань за умови дотримання вимог, встановлених законодавством.</w:t>
            </w:r>
          </w:p>
        </w:tc>
      </w:tr>
      <w:tr w:rsidR="00806997" w:rsidRPr="00286216" w14:paraId="284EA304" w14:textId="77777777" w:rsidTr="00091AA5">
        <w:tc>
          <w:tcPr>
            <w:tcW w:w="576" w:type="dxa"/>
          </w:tcPr>
          <w:p w14:paraId="13DDB1F4" w14:textId="77777777" w:rsidR="00806997" w:rsidRPr="00286216" w:rsidRDefault="00806997" w:rsidP="00806997">
            <w:pPr>
              <w:pStyle w:val="StyleWisnow"/>
              <w:rPr>
                <w:color w:val="000000" w:themeColor="text1"/>
              </w:rPr>
            </w:pPr>
            <w:bookmarkStart w:id="716" w:name="n1005" w:colFirst="0" w:colLast="0"/>
            <w:bookmarkEnd w:id="715"/>
            <w:r w:rsidRPr="00286216">
              <w:rPr>
                <w:color w:val="000000" w:themeColor="text1"/>
              </w:rPr>
              <w:t>1005.</w:t>
            </w:r>
          </w:p>
        </w:tc>
        <w:tc>
          <w:tcPr>
            <w:tcW w:w="4818" w:type="dxa"/>
          </w:tcPr>
          <w:p w14:paraId="3B008F05" w14:textId="77777777" w:rsidR="00806997" w:rsidRPr="00286216" w:rsidRDefault="00806997" w:rsidP="00806997">
            <w:pPr>
              <w:pStyle w:val="StyleZakonu"/>
              <w:rPr>
                <w:color w:val="000000" w:themeColor="text1"/>
              </w:rPr>
            </w:pPr>
            <w:r w:rsidRPr="00286216">
              <w:rPr>
                <w:color w:val="000000" w:themeColor="text1"/>
              </w:rPr>
              <w:t xml:space="preserve">Центральний депозитарій цінних паперів провадить клірингову діяльність з визначення зобов’язань виключно щодо цінних паперів (відповідно до встановленої Законом України "Про депозитарну систему України" компетенції) та за умови обов’язкового стовідсоткового попереднього депонування та резервування коштів і цінних паперів або із застосуванням іншого безризикового механізму забезпечення виконання зобов’язань у порядку, встановленому Національною комісією з цінних </w:t>
            </w:r>
            <w:r w:rsidRPr="00286216">
              <w:rPr>
                <w:color w:val="000000" w:themeColor="text1"/>
              </w:rPr>
              <w:lastRenderedPageBreak/>
              <w:t>паперів та фондового ринку.</w:t>
            </w:r>
          </w:p>
        </w:tc>
        <w:tc>
          <w:tcPr>
            <w:tcW w:w="3686" w:type="dxa"/>
          </w:tcPr>
          <w:p w14:paraId="1F7B8132" w14:textId="77777777" w:rsidR="00806997" w:rsidRPr="00286216" w:rsidRDefault="00806997" w:rsidP="00806997">
            <w:pPr>
              <w:pStyle w:val="StyleProp"/>
              <w:spacing w:line="190" w:lineRule="exact"/>
              <w:rPr>
                <w:color w:val="000000" w:themeColor="text1"/>
              </w:rPr>
            </w:pPr>
            <w:r w:rsidRPr="00286216">
              <w:rPr>
                <w:color w:val="000000" w:themeColor="text1"/>
              </w:rPr>
              <w:lastRenderedPageBreak/>
              <w:t>Центральний депозитарій цінних паперів у порядку, встановленому Національною комісією з цінних паперів та фондового ринку, провадить клірингову діяльність з визначення зобов’язань виключно за умови дотримання таких умов:</w:t>
            </w:r>
          </w:p>
          <w:p w14:paraId="60180E7D" w14:textId="77777777" w:rsidR="00806997" w:rsidRPr="00286216" w:rsidRDefault="00806997" w:rsidP="00806997">
            <w:pPr>
              <w:pStyle w:val="StyleProp"/>
              <w:spacing w:line="190" w:lineRule="exact"/>
              <w:rPr>
                <w:color w:val="000000" w:themeColor="text1"/>
                <w:spacing w:val="-2"/>
              </w:rPr>
            </w:pPr>
            <w:r w:rsidRPr="00286216">
              <w:rPr>
                <w:color w:val="000000" w:themeColor="text1"/>
                <w:spacing w:val="-2"/>
              </w:rPr>
              <w:t>1) така діяльність провадиться стосовно правочинів щодо цінних паперів, діяльність з депозитарного обліку та обслуговування обігу щодо яких він провадить відповідно до Закону України «Про депозитарну систему України»,</w:t>
            </w:r>
          </w:p>
          <w:p w14:paraId="15F0BB83" w14:textId="77777777" w:rsidR="00806997" w:rsidRPr="00286216" w:rsidRDefault="00806997" w:rsidP="00806997">
            <w:pPr>
              <w:pStyle w:val="StyleProp"/>
              <w:spacing w:line="190" w:lineRule="exact"/>
              <w:rPr>
                <w:color w:val="000000" w:themeColor="text1"/>
              </w:rPr>
            </w:pPr>
            <w:r w:rsidRPr="00286216">
              <w:rPr>
                <w:color w:val="000000" w:themeColor="text1"/>
              </w:rPr>
              <w:t xml:space="preserve">2) така діяльність провадиться без </w:t>
            </w:r>
            <w:r w:rsidRPr="00286216">
              <w:rPr>
                <w:color w:val="000000" w:themeColor="text1"/>
              </w:rPr>
              <w:lastRenderedPageBreak/>
              <w:t>прийняття на себе ризиків невиконання або неналежного виконання зобов’язань сторонами правочинів.</w:t>
            </w:r>
          </w:p>
        </w:tc>
        <w:tc>
          <w:tcPr>
            <w:tcW w:w="1987" w:type="dxa"/>
          </w:tcPr>
          <w:p w14:paraId="3CA90466" w14:textId="77777777" w:rsidR="00806997" w:rsidRPr="00286216" w:rsidRDefault="00806997" w:rsidP="00806997">
            <w:pPr>
              <w:pStyle w:val="StyleProp"/>
              <w:ind w:firstLine="0"/>
              <w:jc w:val="left"/>
              <w:rPr>
                <w:color w:val="000000" w:themeColor="text1"/>
              </w:rPr>
            </w:pPr>
          </w:p>
        </w:tc>
        <w:tc>
          <w:tcPr>
            <w:tcW w:w="4818" w:type="dxa"/>
          </w:tcPr>
          <w:p w14:paraId="0F628246" w14:textId="77777777" w:rsidR="00806997" w:rsidRPr="00286216" w:rsidRDefault="00806997" w:rsidP="00806997">
            <w:pPr>
              <w:pStyle w:val="StyleZakonu"/>
              <w:spacing w:line="200" w:lineRule="exact"/>
              <w:rPr>
                <w:color w:val="000000" w:themeColor="text1"/>
              </w:rPr>
            </w:pPr>
            <w:r w:rsidRPr="00286216">
              <w:rPr>
                <w:color w:val="000000" w:themeColor="text1"/>
              </w:rPr>
              <w:t>Центральний депозитарій цінних паперів у порядку, встановленому Національною комісією з цінних паперів та фондового ринку, провадить клірингову діяльність з визначення зобов’язань виключно у разі дотримання таких умов:</w:t>
            </w:r>
          </w:p>
          <w:p w14:paraId="512C6356" w14:textId="77777777" w:rsidR="00806997" w:rsidRPr="00286216" w:rsidRDefault="00806997" w:rsidP="00806997">
            <w:pPr>
              <w:pStyle w:val="StyleZakonu"/>
              <w:spacing w:line="200" w:lineRule="exact"/>
              <w:rPr>
                <w:color w:val="000000" w:themeColor="text1"/>
                <w:spacing w:val="-2"/>
              </w:rPr>
            </w:pPr>
            <w:r w:rsidRPr="00286216">
              <w:rPr>
                <w:color w:val="000000" w:themeColor="text1"/>
                <w:spacing w:val="-2"/>
              </w:rPr>
              <w:t>1) така діяльність провадиться стосовно правочинів щодо цінних паперів, діяльність з депозитарного обліку та обслуговування обігу щодо яких він провадить відповідно до Закону України «Про депозитарну систему України»;</w:t>
            </w:r>
          </w:p>
          <w:p w14:paraId="6F1C35F3" w14:textId="2EEBC504" w:rsidR="00806997" w:rsidRPr="00286216" w:rsidRDefault="00806997" w:rsidP="00806997">
            <w:pPr>
              <w:pStyle w:val="StyleZakonu"/>
              <w:spacing w:line="200" w:lineRule="exact"/>
              <w:rPr>
                <w:color w:val="000000" w:themeColor="text1"/>
              </w:rPr>
            </w:pPr>
            <w:r w:rsidRPr="00286216">
              <w:rPr>
                <w:color w:val="000000" w:themeColor="text1"/>
              </w:rPr>
              <w:t xml:space="preserve">2) така діяльність провадиться без прийняття на </w:t>
            </w:r>
            <w:r w:rsidRPr="00286216">
              <w:rPr>
                <w:color w:val="000000" w:themeColor="text1"/>
              </w:rPr>
              <w:lastRenderedPageBreak/>
              <w:t>себе ризиків невиконання або неналежного виконання зобов’язань сторонами правочинів.</w:t>
            </w:r>
          </w:p>
        </w:tc>
      </w:tr>
      <w:tr w:rsidR="00806997" w:rsidRPr="00286216" w14:paraId="7F283F2C" w14:textId="77777777" w:rsidTr="00091AA5">
        <w:tc>
          <w:tcPr>
            <w:tcW w:w="576" w:type="dxa"/>
          </w:tcPr>
          <w:p w14:paraId="6BD08E1E" w14:textId="77777777" w:rsidR="00806997" w:rsidRPr="00286216" w:rsidRDefault="00806997" w:rsidP="00806997">
            <w:pPr>
              <w:pStyle w:val="StyleWisnow"/>
              <w:rPr>
                <w:color w:val="000000" w:themeColor="text1"/>
              </w:rPr>
            </w:pPr>
            <w:bookmarkStart w:id="717" w:name="n1006" w:colFirst="0" w:colLast="0"/>
            <w:bookmarkEnd w:id="716"/>
            <w:r w:rsidRPr="00286216">
              <w:rPr>
                <w:color w:val="000000" w:themeColor="text1"/>
              </w:rPr>
              <w:lastRenderedPageBreak/>
              <w:t>1006.</w:t>
            </w:r>
          </w:p>
        </w:tc>
        <w:tc>
          <w:tcPr>
            <w:tcW w:w="4818" w:type="dxa"/>
          </w:tcPr>
          <w:p w14:paraId="3AE9018C" w14:textId="77777777" w:rsidR="00806997" w:rsidRPr="00286216" w:rsidRDefault="00806997" w:rsidP="00806997">
            <w:pPr>
              <w:pStyle w:val="StyleZakonu"/>
              <w:rPr>
                <w:color w:val="000000" w:themeColor="text1"/>
              </w:rPr>
            </w:pPr>
            <w:r w:rsidRPr="00286216">
              <w:rPr>
                <w:color w:val="000000" w:themeColor="text1"/>
              </w:rPr>
              <w:t>Національний банк України провадить клірингову діяльність з визначення зобов’язань щодо державних цінних паперів та облігацій місцевих позик без отримання ліцензії на таку діяльність.</w:t>
            </w:r>
          </w:p>
        </w:tc>
        <w:tc>
          <w:tcPr>
            <w:tcW w:w="3686" w:type="dxa"/>
          </w:tcPr>
          <w:p w14:paraId="17ED1A06" w14:textId="77777777" w:rsidR="00806997" w:rsidRPr="00286216" w:rsidRDefault="00806997" w:rsidP="00806997">
            <w:pPr>
              <w:pStyle w:val="StyleProp"/>
              <w:spacing w:line="190" w:lineRule="exact"/>
              <w:rPr>
                <w:color w:val="000000" w:themeColor="text1"/>
              </w:rPr>
            </w:pPr>
            <w:r w:rsidRPr="00286216">
              <w:rPr>
                <w:color w:val="000000" w:themeColor="text1"/>
              </w:rPr>
              <w:t>Національний банк України провадить клірингову діяльність з визначення зобов’язань за умови, що така діяльність провадиться стосовно правочинів щодо цінних паперів, діяльність з депозитарного обліку та обслуговування обігу щодо яких він провадить відповідно до Закону України «Про депозитарну систему України».</w:t>
            </w:r>
          </w:p>
          <w:p w14:paraId="7E0C1A90" w14:textId="77777777" w:rsidR="00806997" w:rsidRPr="00286216" w:rsidRDefault="00806997" w:rsidP="00806997">
            <w:pPr>
              <w:pStyle w:val="StyleProp"/>
              <w:spacing w:line="190" w:lineRule="exact"/>
              <w:rPr>
                <w:color w:val="000000" w:themeColor="text1"/>
              </w:rPr>
            </w:pPr>
            <w:r w:rsidRPr="00286216">
              <w:rPr>
                <w:color w:val="000000" w:themeColor="text1"/>
              </w:rPr>
              <w:t>Національний банк України провадить клірингову діяльність з визначення зобов’язань без отримання ліцензії на таку діяльність у порядку встановленому Національним банком України за погодженням з Національною комісією з цінних паперів та фондового ринку.».</w:t>
            </w:r>
          </w:p>
        </w:tc>
        <w:tc>
          <w:tcPr>
            <w:tcW w:w="1987" w:type="dxa"/>
          </w:tcPr>
          <w:p w14:paraId="316403F8" w14:textId="77777777" w:rsidR="00806997" w:rsidRPr="00286216" w:rsidRDefault="00806997" w:rsidP="00806997">
            <w:pPr>
              <w:pStyle w:val="StyleWisnow"/>
              <w:rPr>
                <w:color w:val="000000" w:themeColor="text1"/>
              </w:rPr>
            </w:pPr>
          </w:p>
        </w:tc>
        <w:tc>
          <w:tcPr>
            <w:tcW w:w="4818" w:type="dxa"/>
          </w:tcPr>
          <w:p w14:paraId="4FACEDA7" w14:textId="77777777" w:rsidR="00806997" w:rsidRPr="00286216" w:rsidRDefault="00806997" w:rsidP="00806997">
            <w:pPr>
              <w:pStyle w:val="StyleZakonu"/>
              <w:spacing w:line="210" w:lineRule="exact"/>
              <w:rPr>
                <w:color w:val="000000" w:themeColor="text1"/>
              </w:rPr>
            </w:pPr>
            <w:r w:rsidRPr="00286216">
              <w:rPr>
                <w:color w:val="000000" w:themeColor="text1"/>
              </w:rPr>
              <w:t>Національний банк України провадить клірингову діяльність з визначення зобов’язань за умови, що така діяльність провадиться стосовно правочинів щодо цінних паперів, діяльність з депозитарного обліку та обслуговування обігу щодо яких він провадить відповідно до Закону України «Про депозитарну систему України».</w:t>
            </w:r>
          </w:p>
          <w:p w14:paraId="4151EE1A" w14:textId="3825F5D6" w:rsidR="00806997" w:rsidRPr="00286216" w:rsidRDefault="00806997" w:rsidP="00806997">
            <w:pPr>
              <w:pStyle w:val="StyleZakonu"/>
              <w:spacing w:line="210" w:lineRule="exact"/>
              <w:rPr>
                <w:color w:val="000000" w:themeColor="text1"/>
              </w:rPr>
            </w:pPr>
            <w:r w:rsidRPr="00286216">
              <w:rPr>
                <w:color w:val="000000" w:themeColor="text1"/>
              </w:rPr>
              <w:t>Національний банк України провадить клірингову діяльність з визначення зобов’язань без отримання ліцензії на таку діяльність у порядку, встановленому Національним банком України, за погодженням з Національною комісією з цінних паперів та фондового ринку.</w:t>
            </w:r>
          </w:p>
        </w:tc>
      </w:tr>
      <w:tr w:rsidR="00806997" w:rsidRPr="00286216" w14:paraId="20ED4F81" w14:textId="77777777" w:rsidTr="00091AA5">
        <w:tc>
          <w:tcPr>
            <w:tcW w:w="576" w:type="dxa"/>
          </w:tcPr>
          <w:p w14:paraId="460C721F" w14:textId="77777777" w:rsidR="00806997" w:rsidRPr="00286216" w:rsidRDefault="00806997" w:rsidP="00806997">
            <w:pPr>
              <w:pStyle w:val="StyleWisnow"/>
              <w:rPr>
                <w:color w:val="000000" w:themeColor="text1"/>
              </w:rPr>
            </w:pPr>
            <w:bookmarkStart w:id="718" w:name="n1007" w:colFirst="0" w:colLast="0"/>
            <w:bookmarkEnd w:id="717"/>
            <w:r w:rsidRPr="00286216">
              <w:rPr>
                <w:color w:val="000000" w:themeColor="text1"/>
              </w:rPr>
              <w:t>1007.</w:t>
            </w:r>
          </w:p>
        </w:tc>
        <w:tc>
          <w:tcPr>
            <w:tcW w:w="4818" w:type="dxa"/>
          </w:tcPr>
          <w:p w14:paraId="6682E1E8" w14:textId="77777777" w:rsidR="00806997" w:rsidRPr="00286216" w:rsidRDefault="00806997" w:rsidP="00806997">
            <w:pPr>
              <w:pStyle w:val="StyleZakonu"/>
              <w:rPr>
                <w:color w:val="000000" w:themeColor="text1"/>
              </w:rPr>
            </w:pPr>
            <w:r w:rsidRPr="00286216">
              <w:rPr>
                <w:color w:val="000000" w:themeColor="text1"/>
              </w:rPr>
              <w:t>5. До початку провадження клірингової діяльності особа, що провадить клірингову діяльність, зобов’язана зареєструвати Правила провадження клірингової діяльності, відповідно до вимог частини 2 статті 54 цього Закону.</w:t>
            </w:r>
          </w:p>
        </w:tc>
        <w:tc>
          <w:tcPr>
            <w:tcW w:w="3686" w:type="dxa"/>
          </w:tcPr>
          <w:p w14:paraId="46216888" w14:textId="77777777" w:rsidR="00806997" w:rsidRPr="00286216" w:rsidRDefault="00806997" w:rsidP="00806997">
            <w:pPr>
              <w:pStyle w:val="StyleProp"/>
              <w:rPr>
                <w:color w:val="000000" w:themeColor="text1"/>
                <w:szCs w:val="18"/>
              </w:rPr>
            </w:pPr>
          </w:p>
        </w:tc>
        <w:tc>
          <w:tcPr>
            <w:tcW w:w="1987" w:type="dxa"/>
          </w:tcPr>
          <w:p w14:paraId="0AB40ECA" w14:textId="77777777" w:rsidR="00806997" w:rsidRPr="00286216" w:rsidRDefault="00806997" w:rsidP="00806997">
            <w:pPr>
              <w:pStyle w:val="StyleWisnow"/>
              <w:rPr>
                <w:color w:val="000000" w:themeColor="text1"/>
              </w:rPr>
            </w:pPr>
          </w:p>
        </w:tc>
        <w:tc>
          <w:tcPr>
            <w:tcW w:w="4818" w:type="dxa"/>
          </w:tcPr>
          <w:p w14:paraId="38A805A5" w14:textId="0B5E294E" w:rsidR="00806997" w:rsidRPr="00286216" w:rsidRDefault="00806997" w:rsidP="00806997">
            <w:pPr>
              <w:pStyle w:val="StyleZakonu"/>
              <w:rPr>
                <w:color w:val="000000" w:themeColor="text1"/>
              </w:rPr>
            </w:pPr>
            <w:r w:rsidRPr="00286216">
              <w:rPr>
                <w:color w:val="000000" w:themeColor="text1"/>
              </w:rPr>
              <w:t>5. До початку провадження клірингової діяльності особа, яка провадить клірингову діяльність, зобов’язана в установленому законодавством порядку зареєструвати в Національній комісії з цінних паперів та фондового ринку правила провадження клірингової діяльності (далі – правила клірингу).</w:t>
            </w:r>
          </w:p>
        </w:tc>
      </w:tr>
      <w:tr w:rsidR="00806997" w:rsidRPr="00286216" w14:paraId="75C733E8" w14:textId="77777777" w:rsidTr="00091AA5">
        <w:tc>
          <w:tcPr>
            <w:tcW w:w="576" w:type="dxa"/>
          </w:tcPr>
          <w:p w14:paraId="4B0FC30E" w14:textId="77777777" w:rsidR="00806997" w:rsidRPr="00286216" w:rsidRDefault="00806997" w:rsidP="00806997">
            <w:pPr>
              <w:pStyle w:val="StyleWisnow"/>
              <w:rPr>
                <w:color w:val="000000" w:themeColor="text1"/>
              </w:rPr>
            </w:pPr>
            <w:bookmarkStart w:id="719" w:name="n1008" w:colFirst="0" w:colLast="0"/>
            <w:bookmarkEnd w:id="718"/>
            <w:r w:rsidRPr="00286216">
              <w:rPr>
                <w:color w:val="000000" w:themeColor="text1"/>
              </w:rPr>
              <w:t>1008.</w:t>
            </w:r>
          </w:p>
        </w:tc>
        <w:tc>
          <w:tcPr>
            <w:tcW w:w="4818" w:type="dxa"/>
          </w:tcPr>
          <w:p w14:paraId="36BADCF5" w14:textId="77777777" w:rsidR="00806997" w:rsidRPr="00286216" w:rsidRDefault="00806997" w:rsidP="00806997">
            <w:pPr>
              <w:pStyle w:val="StyleZakonu"/>
              <w:rPr>
                <w:color w:val="000000" w:themeColor="text1"/>
              </w:rPr>
            </w:pPr>
            <w:r w:rsidRPr="00286216">
              <w:rPr>
                <w:color w:val="000000" w:themeColor="text1"/>
              </w:rPr>
              <w:t>6. Розмір початкового капіталу осіб, які провадять клірингову діяльність, повинен відповідати вимогам щодо його розрахунку, встановленим статтею 66 цього Закону, та вимогам щодо його розміру, встановленим Національною комісією з цінних паперів та фондового ринку.</w:t>
            </w:r>
          </w:p>
        </w:tc>
        <w:tc>
          <w:tcPr>
            <w:tcW w:w="3686" w:type="dxa"/>
          </w:tcPr>
          <w:p w14:paraId="39BB79EC" w14:textId="77777777" w:rsidR="00806997" w:rsidRPr="00286216" w:rsidRDefault="00806997" w:rsidP="00806997">
            <w:pPr>
              <w:pStyle w:val="StyleProp"/>
              <w:rPr>
                <w:color w:val="000000" w:themeColor="text1"/>
                <w:szCs w:val="18"/>
              </w:rPr>
            </w:pPr>
          </w:p>
        </w:tc>
        <w:tc>
          <w:tcPr>
            <w:tcW w:w="1987" w:type="dxa"/>
          </w:tcPr>
          <w:p w14:paraId="6841212F" w14:textId="77777777" w:rsidR="00806997" w:rsidRPr="00286216" w:rsidRDefault="00806997" w:rsidP="00806997">
            <w:pPr>
              <w:pStyle w:val="StyleWisnow"/>
              <w:rPr>
                <w:color w:val="000000" w:themeColor="text1"/>
              </w:rPr>
            </w:pPr>
          </w:p>
        </w:tc>
        <w:tc>
          <w:tcPr>
            <w:tcW w:w="4818" w:type="dxa"/>
          </w:tcPr>
          <w:p w14:paraId="25A2E8BC" w14:textId="1B2F16C1" w:rsidR="00806997" w:rsidRPr="00286216" w:rsidRDefault="00806997" w:rsidP="00806997">
            <w:pPr>
              <w:pStyle w:val="StyleZakonu"/>
              <w:rPr>
                <w:color w:val="000000" w:themeColor="text1"/>
              </w:rPr>
            </w:pPr>
            <w:r w:rsidRPr="00286216">
              <w:rPr>
                <w:color w:val="000000" w:themeColor="text1"/>
              </w:rPr>
              <w:t>6. Початковий капітал осіб, які провадять клірингову діяльність, повинен відповідати вимогам щодо його розрахунку, встановленим статтею 70 цього Закону, та вимогам щодо його розміру, встановленим Національною комісією з цінних паперів та фондового ринку.</w:t>
            </w:r>
          </w:p>
        </w:tc>
      </w:tr>
      <w:tr w:rsidR="00806997" w:rsidRPr="00286216" w14:paraId="54E2B3CE" w14:textId="77777777" w:rsidTr="00091AA5">
        <w:tc>
          <w:tcPr>
            <w:tcW w:w="576" w:type="dxa"/>
          </w:tcPr>
          <w:p w14:paraId="761F53A6" w14:textId="77777777" w:rsidR="00806997" w:rsidRPr="00286216" w:rsidRDefault="00806997" w:rsidP="00806997">
            <w:pPr>
              <w:pStyle w:val="StyleWisnow"/>
              <w:rPr>
                <w:color w:val="000000" w:themeColor="text1"/>
              </w:rPr>
            </w:pPr>
            <w:bookmarkStart w:id="720" w:name="n1009" w:colFirst="0" w:colLast="0"/>
            <w:bookmarkEnd w:id="719"/>
            <w:r w:rsidRPr="00286216">
              <w:rPr>
                <w:color w:val="000000" w:themeColor="text1"/>
              </w:rPr>
              <w:t>1009.</w:t>
            </w:r>
          </w:p>
        </w:tc>
        <w:tc>
          <w:tcPr>
            <w:tcW w:w="4818" w:type="dxa"/>
          </w:tcPr>
          <w:p w14:paraId="2AD8F7A0" w14:textId="77777777" w:rsidR="00806997" w:rsidRPr="00286216" w:rsidRDefault="00806997" w:rsidP="00806997">
            <w:pPr>
              <w:pStyle w:val="StyleZakonu"/>
              <w:rPr>
                <w:color w:val="000000" w:themeColor="text1"/>
              </w:rPr>
            </w:pPr>
            <w:r w:rsidRPr="00286216">
              <w:rPr>
                <w:color w:val="000000" w:themeColor="text1"/>
              </w:rPr>
              <w:t>Вимоги до мінімального розміру регулятивного капіталу осіб, які провадять клірингову діяльність, а також інші вимоги до організації їх діяльності визначаються Національною комісією з цінних паперів та фондового ринку.</w:t>
            </w:r>
          </w:p>
        </w:tc>
        <w:tc>
          <w:tcPr>
            <w:tcW w:w="3686" w:type="dxa"/>
          </w:tcPr>
          <w:p w14:paraId="60A07364" w14:textId="77777777" w:rsidR="00806997" w:rsidRPr="00286216" w:rsidRDefault="00806997" w:rsidP="00806997">
            <w:pPr>
              <w:pStyle w:val="StyleProp"/>
              <w:rPr>
                <w:color w:val="000000" w:themeColor="text1"/>
                <w:szCs w:val="18"/>
              </w:rPr>
            </w:pPr>
          </w:p>
        </w:tc>
        <w:tc>
          <w:tcPr>
            <w:tcW w:w="1987" w:type="dxa"/>
          </w:tcPr>
          <w:p w14:paraId="06779B00" w14:textId="77777777" w:rsidR="00806997" w:rsidRPr="00286216" w:rsidRDefault="00806997" w:rsidP="00806997">
            <w:pPr>
              <w:pStyle w:val="StyleWisnow"/>
              <w:rPr>
                <w:color w:val="000000" w:themeColor="text1"/>
              </w:rPr>
            </w:pPr>
          </w:p>
        </w:tc>
        <w:tc>
          <w:tcPr>
            <w:tcW w:w="4818" w:type="dxa"/>
          </w:tcPr>
          <w:p w14:paraId="3581F00B" w14:textId="2BD33E60" w:rsidR="00806997" w:rsidRPr="00286216" w:rsidRDefault="00806997" w:rsidP="00806997">
            <w:pPr>
              <w:pStyle w:val="StyleZakonu"/>
              <w:rPr>
                <w:color w:val="000000" w:themeColor="text1"/>
              </w:rPr>
            </w:pPr>
            <w:r w:rsidRPr="00286216">
              <w:rPr>
                <w:color w:val="000000" w:themeColor="text1"/>
              </w:rPr>
              <w:t>Вимоги до мінімального розміру регулятивного капіталу осіб, які провадять клірингову діяльність, а також інші вимоги до організації їх діяльності визначаються Національною комісією з цінних паперів та фондового ринку.</w:t>
            </w:r>
          </w:p>
        </w:tc>
      </w:tr>
      <w:tr w:rsidR="00806997" w:rsidRPr="00286216" w14:paraId="19DFE731" w14:textId="77777777" w:rsidTr="00091AA5">
        <w:tc>
          <w:tcPr>
            <w:tcW w:w="576" w:type="dxa"/>
          </w:tcPr>
          <w:p w14:paraId="1818CF90" w14:textId="77777777" w:rsidR="00806997" w:rsidRPr="00286216" w:rsidRDefault="00806997" w:rsidP="00806997">
            <w:pPr>
              <w:pStyle w:val="StyleWisnow"/>
              <w:rPr>
                <w:color w:val="000000" w:themeColor="text1"/>
              </w:rPr>
            </w:pPr>
            <w:bookmarkStart w:id="721" w:name="n1010" w:colFirst="0" w:colLast="0"/>
            <w:bookmarkEnd w:id="720"/>
            <w:r w:rsidRPr="00286216">
              <w:rPr>
                <w:color w:val="000000" w:themeColor="text1"/>
              </w:rPr>
              <w:t>1010.</w:t>
            </w:r>
          </w:p>
        </w:tc>
        <w:tc>
          <w:tcPr>
            <w:tcW w:w="4818" w:type="dxa"/>
          </w:tcPr>
          <w:p w14:paraId="0ADF861B" w14:textId="77777777" w:rsidR="00806997" w:rsidRPr="00286216" w:rsidRDefault="00806997" w:rsidP="00806997">
            <w:pPr>
              <w:pStyle w:val="StyleZakonu"/>
              <w:rPr>
                <w:color w:val="000000" w:themeColor="text1"/>
              </w:rPr>
            </w:pPr>
            <w:r w:rsidRPr="00286216">
              <w:rPr>
                <w:color w:val="000000" w:themeColor="text1"/>
              </w:rPr>
              <w:t>7. Національна комісія з цінних паперів та фондового ринку визначає умови отримання іноземними юридичними особами ліцензії на провадження клірингової діяльності.</w:t>
            </w:r>
          </w:p>
        </w:tc>
        <w:tc>
          <w:tcPr>
            <w:tcW w:w="3686" w:type="dxa"/>
          </w:tcPr>
          <w:p w14:paraId="3C287587" w14:textId="3A39D65F" w:rsidR="00806997" w:rsidRPr="00286216" w:rsidRDefault="00806997" w:rsidP="0080699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554</w:t>
            </w:r>
            <w:r w:rsidRPr="00286216">
              <w:rPr>
                <w:color w:val="000000" w:themeColor="text1"/>
                <w:spacing w:val="-10"/>
              </w:rPr>
              <w:fldChar w:fldCharType="end"/>
            </w:r>
            <w:r w:rsidRPr="00286216">
              <w:rPr>
                <w:color w:val="000000" w:themeColor="text1"/>
                <w:spacing w:val="-10"/>
              </w:rPr>
              <w:t>-Н.д.Гетманцев Д.О.(Реєстр.картка №245)</w:t>
            </w:r>
          </w:p>
          <w:p w14:paraId="77318CF6" w14:textId="77777777" w:rsidR="00806997" w:rsidRPr="00286216" w:rsidRDefault="00806997" w:rsidP="00806997">
            <w:pPr>
              <w:pStyle w:val="StyleProp"/>
              <w:rPr>
                <w:color w:val="000000" w:themeColor="text1"/>
              </w:rPr>
            </w:pPr>
            <w:r w:rsidRPr="00286216">
              <w:rPr>
                <w:color w:val="000000" w:themeColor="text1"/>
              </w:rPr>
              <w:t>У статті 53 частину сьому виключити.</w:t>
            </w:r>
          </w:p>
        </w:tc>
        <w:tc>
          <w:tcPr>
            <w:tcW w:w="1987" w:type="dxa"/>
          </w:tcPr>
          <w:p w14:paraId="42F9C02A" w14:textId="77777777" w:rsidR="00806997" w:rsidRPr="00286216" w:rsidRDefault="00806997" w:rsidP="00806997">
            <w:pPr>
              <w:pStyle w:val="StyleWisnow"/>
              <w:spacing w:line="180" w:lineRule="exact"/>
              <w:rPr>
                <w:color w:val="000000" w:themeColor="text1"/>
                <w:spacing w:val="-4"/>
              </w:rPr>
            </w:pPr>
            <w:r w:rsidRPr="00286216">
              <w:rPr>
                <w:color w:val="000000" w:themeColor="text1"/>
                <w:spacing w:val="-4"/>
              </w:rPr>
              <w:t>Відхилено</w:t>
            </w:r>
          </w:p>
          <w:p w14:paraId="024DDC69" w14:textId="09337D3C" w:rsidR="00806997" w:rsidRPr="00286216" w:rsidRDefault="00806997" w:rsidP="00806997">
            <w:pPr>
              <w:pStyle w:val="StyleWisnow"/>
              <w:spacing w:line="180" w:lineRule="exact"/>
              <w:rPr>
                <w:color w:val="000000" w:themeColor="text1"/>
                <w:spacing w:val="-6"/>
              </w:rPr>
            </w:pPr>
            <w:r w:rsidRPr="00286216">
              <w:rPr>
                <w:color w:val="000000" w:themeColor="text1"/>
              </w:rPr>
              <w:t>за Угодою про Асоціацію іноземні компанії можуть працювати на українському ринку капіталу, Закон повинен наділяти НКЦПФР можливостю регулювати їх діяльність в Україні, насамперед, через ліцензійні умови</w:t>
            </w:r>
          </w:p>
        </w:tc>
        <w:tc>
          <w:tcPr>
            <w:tcW w:w="4818" w:type="dxa"/>
          </w:tcPr>
          <w:p w14:paraId="000D50C3" w14:textId="1ADC6317" w:rsidR="00806997" w:rsidRPr="00286216" w:rsidRDefault="00806997" w:rsidP="00806997">
            <w:pPr>
              <w:pStyle w:val="StyleZakonu"/>
              <w:rPr>
                <w:color w:val="000000" w:themeColor="text1"/>
              </w:rPr>
            </w:pPr>
            <w:r w:rsidRPr="00286216">
              <w:rPr>
                <w:color w:val="000000" w:themeColor="text1"/>
              </w:rPr>
              <w:t>7. Національна комісія з цінних паперів та фондового ринку визначає умови отримання іноземними юридичними особами ліцензії на провадження клірингової діяльності.</w:t>
            </w:r>
          </w:p>
        </w:tc>
      </w:tr>
      <w:tr w:rsidR="00806997" w:rsidRPr="00286216" w14:paraId="2EEC9AC6" w14:textId="77777777" w:rsidTr="00091AA5">
        <w:tc>
          <w:tcPr>
            <w:tcW w:w="576" w:type="dxa"/>
          </w:tcPr>
          <w:p w14:paraId="3DB4FC91" w14:textId="77777777" w:rsidR="00806997" w:rsidRPr="00286216" w:rsidRDefault="00806997" w:rsidP="00806997">
            <w:pPr>
              <w:pStyle w:val="StyleWisnow"/>
              <w:rPr>
                <w:color w:val="000000" w:themeColor="text1"/>
              </w:rPr>
            </w:pPr>
            <w:bookmarkStart w:id="722" w:name="n1011" w:colFirst="0" w:colLast="0"/>
            <w:bookmarkEnd w:id="721"/>
            <w:r w:rsidRPr="00286216">
              <w:rPr>
                <w:color w:val="000000" w:themeColor="text1"/>
              </w:rPr>
              <w:t>1011.</w:t>
            </w:r>
          </w:p>
        </w:tc>
        <w:tc>
          <w:tcPr>
            <w:tcW w:w="4818" w:type="dxa"/>
          </w:tcPr>
          <w:p w14:paraId="634A1144" w14:textId="77777777" w:rsidR="00806997" w:rsidRPr="00286216" w:rsidRDefault="00806997" w:rsidP="00806997">
            <w:pPr>
              <w:pStyle w:val="StyleZakonu"/>
              <w:rPr>
                <w:color w:val="000000" w:themeColor="text1"/>
              </w:rPr>
            </w:pPr>
            <w:r w:rsidRPr="00286216">
              <w:rPr>
                <w:color w:val="000000" w:themeColor="text1"/>
              </w:rPr>
              <w:t xml:space="preserve">8. Втручання державних органів або їх посадових </w:t>
            </w:r>
            <w:r w:rsidRPr="00286216">
              <w:rPr>
                <w:color w:val="000000" w:themeColor="text1"/>
              </w:rPr>
              <w:lastRenderedPageBreak/>
              <w:t>осіб у виконання функцій та здійснення повноважень осіб, які провадять клірингову діяльність, забороняється, крім визначених законом випадках.</w:t>
            </w:r>
          </w:p>
        </w:tc>
        <w:tc>
          <w:tcPr>
            <w:tcW w:w="3686" w:type="dxa"/>
          </w:tcPr>
          <w:p w14:paraId="2B8543E8" w14:textId="77777777" w:rsidR="00806997" w:rsidRPr="00286216" w:rsidRDefault="00806997" w:rsidP="00806997">
            <w:pPr>
              <w:pStyle w:val="StyleProp"/>
              <w:rPr>
                <w:color w:val="000000" w:themeColor="text1"/>
                <w:szCs w:val="18"/>
              </w:rPr>
            </w:pPr>
          </w:p>
        </w:tc>
        <w:tc>
          <w:tcPr>
            <w:tcW w:w="1987" w:type="dxa"/>
          </w:tcPr>
          <w:p w14:paraId="328AEBD5" w14:textId="77777777" w:rsidR="00806997" w:rsidRPr="00286216" w:rsidRDefault="00806997" w:rsidP="00806997">
            <w:pPr>
              <w:pStyle w:val="StyleWisnow"/>
              <w:rPr>
                <w:color w:val="000000" w:themeColor="text1"/>
              </w:rPr>
            </w:pPr>
          </w:p>
        </w:tc>
        <w:tc>
          <w:tcPr>
            <w:tcW w:w="4818" w:type="dxa"/>
          </w:tcPr>
          <w:p w14:paraId="168607F9" w14:textId="0268FDDC" w:rsidR="00806997" w:rsidRPr="00286216" w:rsidRDefault="00806997" w:rsidP="00806997">
            <w:pPr>
              <w:pStyle w:val="StyleZakonu"/>
              <w:rPr>
                <w:color w:val="000000" w:themeColor="text1"/>
              </w:rPr>
            </w:pPr>
            <w:r w:rsidRPr="00286216">
              <w:rPr>
                <w:color w:val="000000" w:themeColor="text1"/>
              </w:rPr>
              <w:t xml:space="preserve">8. Втручання державних органів або їх посадових </w:t>
            </w:r>
            <w:r w:rsidRPr="00286216">
              <w:rPr>
                <w:color w:val="000000" w:themeColor="text1"/>
              </w:rPr>
              <w:lastRenderedPageBreak/>
              <w:t>осіб у виконання функцій та здійснення повноважень осіб, які провадять клірингову діяльність, забороняється, крім визначених законом випадків.</w:t>
            </w:r>
          </w:p>
        </w:tc>
      </w:tr>
      <w:tr w:rsidR="00806997" w:rsidRPr="00286216" w14:paraId="2208C5FE" w14:textId="77777777" w:rsidTr="00091AA5">
        <w:tc>
          <w:tcPr>
            <w:tcW w:w="576" w:type="dxa"/>
          </w:tcPr>
          <w:p w14:paraId="45FA6410" w14:textId="77777777" w:rsidR="00806997" w:rsidRPr="00286216" w:rsidRDefault="00806997" w:rsidP="00806997">
            <w:pPr>
              <w:pStyle w:val="StyleWisnow"/>
              <w:rPr>
                <w:color w:val="000000" w:themeColor="text1"/>
              </w:rPr>
            </w:pPr>
            <w:bookmarkStart w:id="723" w:name="n1012" w:colFirst="0" w:colLast="0"/>
            <w:bookmarkEnd w:id="722"/>
            <w:r w:rsidRPr="00286216">
              <w:rPr>
                <w:color w:val="000000" w:themeColor="text1"/>
              </w:rPr>
              <w:lastRenderedPageBreak/>
              <w:t>1012.</w:t>
            </w:r>
          </w:p>
        </w:tc>
        <w:tc>
          <w:tcPr>
            <w:tcW w:w="4818" w:type="dxa"/>
          </w:tcPr>
          <w:p w14:paraId="31DD9441" w14:textId="77777777" w:rsidR="00806997" w:rsidRPr="00286216" w:rsidRDefault="00806997" w:rsidP="00806997">
            <w:pPr>
              <w:pStyle w:val="StyleZakonu"/>
              <w:rPr>
                <w:color w:val="000000" w:themeColor="text1"/>
              </w:rPr>
            </w:pPr>
            <w:bookmarkStart w:id="724" w:name="_Ref20259617"/>
            <w:r w:rsidRPr="00286216">
              <w:rPr>
                <w:color w:val="000000" w:themeColor="text1"/>
              </w:rPr>
              <w:t>Стаття 54. Провадження клірингової діяльності з визначення зобов’язань</w:t>
            </w:r>
            <w:bookmarkEnd w:id="724"/>
          </w:p>
        </w:tc>
        <w:tc>
          <w:tcPr>
            <w:tcW w:w="3686" w:type="dxa"/>
          </w:tcPr>
          <w:p w14:paraId="1C8D3E4F" w14:textId="77777777" w:rsidR="00806997" w:rsidRPr="00286216" w:rsidRDefault="00806997" w:rsidP="00806997">
            <w:pPr>
              <w:pStyle w:val="StyleProp"/>
              <w:rPr>
                <w:color w:val="000000" w:themeColor="text1"/>
                <w:szCs w:val="18"/>
              </w:rPr>
            </w:pPr>
          </w:p>
        </w:tc>
        <w:tc>
          <w:tcPr>
            <w:tcW w:w="1987" w:type="dxa"/>
          </w:tcPr>
          <w:p w14:paraId="719C151E" w14:textId="77777777" w:rsidR="00806997" w:rsidRPr="00286216" w:rsidRDefault="00806997" w:rsidP="00806997">
            <w:pPr>
              <w:pStyle w:val="StyleWisnow"/>
              <w:rPr>
                <w:color w:val="000000" w:themeColor="text1"/>
              </w:rPr>
            </w:pPr>
          </w:p>
        </w:tc>
        <w:tc>
          <w:tcPr>
            <w:tcW w:w="4818" w:type="dxa"/>
          </w:tcPr>
          <w:p w14:paraId="0BE3177D" w14:textId="6CEDD77C" w:rsidR="00806997" w:rsidRPr="00286216" w:rsidRDefault="00806997" w:rsidP="00806997">
            <w:pPr>
              <w:pStyle w:val="StyleZakonu"/>
              <w:rPr>
                <w:color w:val="000000" w:themeColor="text1"/>
              </w:rPr>
            </w:pPr>
            <w:r w:rsidRPr="00286216">
              <w:rPr>
                <w:color w:val="000000" w:themeColor="text1"/>
              </w:rPr>
              <w:t>Стаття 59. Провадження клірингової діяльності з визначення зобов’язань</w:t>
            </w:r>
          </w:p>
        </w:tc>
      </w:tr>
      <w:tr w:rsidR="00806997" w:rsidRPr="00286216" w14:paraId="1834FC8E" w14:textId="77777777" w:rsidTr="00091AA5">
        <w:tc>
          <w:tcPr>
            <w:tcW w:w="576" w:type="dxa"/>
          </w:tcPr>
          <w:p w14:paraId="45A061DD" w14:textId="77777777" w:rsidR="00806997" w:rsidRPr="00286216" w:rsidRDefault="00806997" w:rsidP="00806997">
            <w:pPr>
              <w:pStyle w:val="StyleWisnow"/>
              <w:rPr>
                <w:color w:val="000000" w:themeColor="text1"/>
              </w:rPr>
            </w:pPr>
            <w:bookmarkStart w:id="725" w:name="n1013" w:colFirst="0" w:colLast="0"/>
            <w:bookmarkEnd w:id="723"/>
            <w:r w:rsidRPr="00286216">
              <w:rPr>
                <w:color w:val="000000" w:themeColor="text1"/>
              </w:rPr>
              <w:t>1013.</w:t>
            </w:r>
          </w:p>
        </w:tc>
        <w:tc>
          <w:tcPr>
            <w:tcW w:w="4818" w:type="dxa"/>
          </w:tcPr>
          <w:p w14:paraId="34D724CA" w14:textId="77777777" w:rsidR="00806997" w:rsidRPr="00286216" w:rsidRDefault="00806997" w:rsidP="00806997">
            <w:pPr>
              <w:pStyle w:val="StyleZakonu"/>
              <w:rPr>
                <w:color w:val="000000" w:themeColor="text1"/>
              </w:rPr>
            </w:pPr>
            <w:bookmarkStart w:id="726" w:name="OLE_LINK5"/>
            <w:bookmarkStart w:id="727" w:name="OLE_LINK6"/>
            <w:r w:rsidRPr="00286216">
              <w:rPr>
                <w:color w:val="000000" w:themeColor="text1"/>
              </w:rPr>
              <w:t>1. Клірингова діяльність з визначення зобов’язань - здійснення клірингу, а також підготовка документів (інформації) для проведення розрахунків та їх направлення відповідним установам, що проводять розрахунки.</w:t>
            </w:r>
          </w:p>
        </w:tc>
        <w:tc>
          <w:tcPr>
            <w:tcW w:w="3686" w:type="dxa"/>
          </w:tcPr>
          <w:p w14:paraId="3CAB3A7E" w14:textId="0DC7706E" w:rsidR="00806997" w:rsidRPr="00286216" w:rsidRDefault="00806997" w:rsidP="0080699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555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FEFB6D6" w14:textId="58D5E2A2" w:rsidR="00806997" w:rsidRPr="00286216" w:rsidRDefault="00806997" w:rsidP="00806997">
            <w:pPr>
              <w:pStyle w:val="StyleProp"/>
              <w:rPr>
                <w:color w:val="000000" w:themeColor="text1"/>
                <w:spacing w:val="-2"/>
                <w:szCs w:val="18"/>
              </w:rPr>
            </w:pPr>
            <w:r w:rsidRPr="00286216">
              <w:rPr>
                <w:color w:val="000000" w:themeColor="text1"/>
                <w:szCs w:val="18"/>
              </w:rPr>
              <w:t>В частині 1 статті 54 слово «</w:t>
            </w:r>
            <w:r w:rsidRPr="00286216">
              <w:rPr>
                <w:color w:val="000000" w:themeColor="text1"/>
                <w:spacing w:val="-2"/>
                <w:szCs w:val="18"/>
              </w:rPr>
              <w:t>підготовка» замінити словами «організація проведення розрахунків в тому числі шляхом підготовки».</w:t>
            </w:r>
          </w:p>
          <w:p w14:paraId="7A45F905" w14:textId="6B236466"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556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96F2761" w14:textId="77777777" w:rsidR="00806997" w:rsidRPr="00286216" w:rsidRDefault="00806997" w:rsidP="00806997">
            <w:pPr>
              <w:spacing w:line="180" w:lineRule="exact"/>
              <w:ind w:firstLine="227"/>
              <w:jc w:val="both"/>
              <w:rPr>
                <w:color w:val="000000" w:themeColor="text1"/>
                <w:spacing w:val="-1"/>
                <w:sz w:val="18"/>
              </w:rPr>
            </w:pPr>
            <w:r w:rsidRPr="00286216">
              <w:rPr>
                <w:color w:val="000000" w:themeColor="text1"/>
                <w:sz w:val="18"/>
              </w:rPr>
              <w:t xml:space="preserve">Частину першу статті 54 розділу 1 </w:t>
            </w:r>
            <w:r w:rsidRPr="00286216">
              <w:rPr>
                <w:color w:val="000000" w:themeColor="text1"/>
                <w:spacing w:val="-1"/>
                <w:sz w:val="18"/>
              </w:rPr>
              <w:t xml:space="preserve">викласти в такій редакції: </w:t>
            </w:r>
          </w:p>
          <w:p w14:paraId="6846AA19" w14:textId="77777777" w:rsidR="00806997" w:rsidRPr="00286216" w:rsidRDefault="00806997" w:rsidP="00806997">
            <w:pPr>
              <w:pStyle w:val="StyleProp"/>
              <w:spacing w:line="180" w:lineRule="exact"/>
              <w:rPr>
                <w:color w:val="000000" w:themeColor="text1"/>
                <w:szCs w:val="18"/>
              </w:rPr>
            </w:pPr>
            <w:r w:rsidRPr="00286216">
              <w:rPr>
                <w:color w:val="000000" w:themeColor="text1"/>
                <w:spacing w:val="-1"/>
              </w:rPr>
              <w:t>«1. Клірингова діяльність з визначення зобов’язань – здійснення клірингу, а також організація проведення розрахунків або здійснення розрахунків, в тому числі шляхом підготовки документів (інформації) для проведення розрахунків та їх направлення відповідним установам, що проводять розрахунки».</w:t>
            </w:r>
          </w:p>
        </w:tc>
        <w:tc>
          <w:tcPr>
            <w:tcW w:w="1987" w:type="dxa"/>
          </w:tcPr>
          <w:p w14:paraId="79F87691" w14:textId="77777777" w:rsidR="00806997" w:rsidRPr="00286216" w:rsidRDefault="00806997" w:rsidP="00806997">
            <w:pPr>
              <w:pStyle w:val="StyleWisnow"/>
              <w:rPr>
                <w:color w:val="000000" w:themeColor="text1"/>
              </w:rPr>
            </w:pPr>
            <w:r w:rsidRPr="00286216">
              <w:rPr>
                <w:color w:val="000000" w:themeColor="text1"/>
              </w:rPr>
              <w:t>Враховано редакційно</w:t>
            </w:r>
          </w:p>
          <w:p w14:paraId="4BE991AF" w14:textId="77777777" w:rsidR="00806997" w:rsidRPr="00286216" w:rsidRDefault="00806997" w:rsidP="00806997">
            <w:pPr>
              <w:pStyle w:val="StyleWisnow"/>
              <w:rPr>
                <w:color w:val="000000" w:themeColor="text1"/>
              </w:rPr>
            </w:pPr>
          </w:p>
          <w:p w14:paraId="5A86CDE6" w14:textId="70B19DDA" w:rsidR="00806997" w:rsidRPr="00286216" w:rsidRDefault="00806997" w:rsidP="00806997">
            <w:pPr>
              <w:pStyle w:val="StyleWisnow"/>
              <w:rPr>
                <w:color w:val="000000" w:themeColor="text1"/>
              </w:rPr>
            </w:pPr>
          </w:p>
          <w:p w14:paraId="6901B8F7" w14:textId="2EB5734F" w:rsidR="00806997" w:rsidRPr="00286216" w:rsidRDefault="00806997" w:rsidP="00806997">
            <w:pPr>
              <w:pStyle w:val="StyleWisnow"/>
              <w:rPr>
                <w:color w:val="000000" w:themeColor="text1"/>
              </w:rPr>
            </w:pPr>
          </w:p>
          <w:p w14:paraId="4228322B" w14:textId="4FE98B7F"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3D16367C" w14:textId="2AB0D53F" w:rsidR="00806997" w:rsidRPr="00286216" w:rsidRDefault="00806997" w:rsidP="00806997">
            <w:pPr>
              <w:pStyle w:val="StyleZakonu"/>
              <w:rPr>
                <w:color w:val="000000" w:themeColor="text1"/>
              </w:rPr>
            </w:pPr>
            <w:r w:rsidRPr="00286216">
              <w:rPr>
                <w:color w:val="000000" w:themeColor="text1"/>
              </w:rPr>
              <w:t>1. Клірингова діяльність з визначення зобов’язань – це здійснення клірингу, а також здійснення розрахунків у системі клірингового обліку та/або організація проведення розрахунків, у тому числі шляхом підготовки документів (інформації) для проведення розрахунків та їх направлення відповідним установам, що проводять розрахунки.</w:t>
            </w:r>
          </w:p>
        </w:tc>
      </w:tr>
      <w:bookmarkEnd w:id="725"/>
      <w:bookmarkEnd w:id="726"/>
      <w:bookmarkEnd w:id="727"/>
      <w:tr w:rsidR="00806997" w:rsidRPr="00286216" w14:paraId="32FB91CF" w14:textId="77777777" w:rsidTr="00091AA5">
        <w:tc>
          <w:tcPr>
            <w:tcW w:w="576" w:type="dxa"/>
          </w:tcPr>
          <w:p w14:paraId="43C98E54" w14:textId="77777777" w:rsidR="00806997" w:rsidRPr="00286216" w:rsidRDefault="00806997" w:rsidP="00806997">
            <w:pPr>
              <w:pStyle w:val="StyleWisnow"/>
              <w:rPr>
                <w:color w:val="000000" w:themeColor="text1"/>
              </w:rPr>
            </w:pPr>
          </w:p>
        </w:tc>
        <w:tc>
          <w:tcPr>
            <w:tcW w:w="4818" w:type="dxa"/>
          </w:tcPr>
          <w:p w14:paraId="266615F1" w14:textId="77777777" w:rsidR="00806997" w:rsidRPr="00286216" w:rsidRDefault="00806997" w:rsidP="00806997">
            <w:pPr>
              <w:pStyle w:val="StyleZakonu"/>
              <w:rPr>
                <w:color w:val="000000" w:themeColor="text1"/>
              </w:rPr>
            </w:pPr>
          </w:p>
        </w:tc>
        <w:tc>
          <w:tcPr>
            <w:tcW w:w="3686" w:type="dxa"/>
          </w:tcPr>
          <w:p w14:paraId="356487D5" w14:textId="6B971836"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557</w:t>
            </w:r>
            <w:r w:rsidRPr="00286216">
              <w:rPr>
                <w:color w:val="000000" w:themeColor="text1"/>
              </w:rPr>
              <w:fldChar w:fldCharType="end"/>
            </w:r>
            <w:r w:rsidRPr="00286216">
              <w:rPr>
                <w:color w:val="000000" w:themeColor="text1"/>
              </w:rPr>
              <w:t>-Н.д.Шахов С.В. (Реєстр.картка №114)</w:t>
            </w:r>
          </w:p>
          <w:p w14:paraId="6CBBC294" w14:textId="77777777" w:rsidR="00806997" w:rsidRPr="00286216" w:rsidRDefault="00806997" w:rsidP="00806997">
            <w:pPr>
              <w:pStyle w:val="StyleProp"/>
              <w:rPr>
                <w:color w:val="000000" w:themeColor="text1"/>
                <w:spacing w:val="-2"/>
              </w:rPr>
            </w:pPr>
            <w:r w:rsidRPr="00286216">
              <w:rPr>
                <w:color w:val="000000" w:themeColor="text1"/>
                <w:spacing w:val="-2"/>
              </w:rPr>
              <w:t>статтю 54 викласти у такій редакції:</w:t>
            </w:r>
          </w:p>
          <w:p w14:paraId="7A249D8D"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«Стаття 54. Провадження клірингової діяльності з визначення зобов’язань</w:t>
            </w:r>
          </w:p>
          <w:p w14:paraId="69BD18BD" w14:textId="77777777" w:rsidR="00806997" w:rsidRPr="00286216" w:rsidRDefault="00806997" w:rsidP="00806997">
            <w:pPr>
              <w:pStyle w:val="StyleProp"/>
              <w:spacing w:line="180" w:lineRule="exact"/>
              <w:rPr>
                <w:color w:val="000000" w:themeColor="text1"/>
              </w:rPr>
            </w:pPr>
            <w:r w:rsidRPr="00286216">
              <w:rPr>
                <w:color w:val="000000" w:themeColor="text1"/>
                <w:spacing w:val="-2"/>
              </w:rPr>
              <w:t>1. Клірингова діяльність з визначення зобов’язань – здійснення клірингу, а також підготовка документів (інформації) для проведення розрахунків і поставки активів та їх направлення відповідним установам, що проводять розрахунки та/або здійснюють чи забезпечують здійснення поставки активів.</w:t>
            </w:r>
          </w:p>
        </w:tc>
        <w:tc>
          <w:tcPr>
            <w:tcW w:w="1987" w:type="dxa"/>
          </w:tcPr>
          <w:p w14:paraId="166B07DE" w14:textId="77777777" w:rsidR="00806997" w:rsidRPr="00286216" w:rsidRDefault="00806997" w:rsidP="00806997">
            <w:pPr>
              <w:pStyle w:val="StyleWisnow"/>
              <w:rPr>
                <w:color w:val="000000" w:themeColor="text1"/>
              </w:rPr>
            </w:pPr>
            <w:r w:rsidRPr="00286216">
              <w:rPr>
                <w:color w:val="000000" w:themeColor="text1"/>
              </w:rPr>
              <w:t>Враховано частково</w:t>
            </w:r>
          </w:p>
          <w:p w14:paraId="23199722" w14:textId="77777777" w:rsidR="00806997" w:rsidRPr="00286216" w:rsidRDefault="00806997" w:rsidP="00806997">
            <w:pPr>
              <w:pStyle w:val="StyleWisnow"/>
              <w:spacing w:line="180" w:lineRule="exact"/>
              <w:rPr>
                <w:color w:val="000000" w:themeColor="text1"/>
              </w:rPr>
            </w:pPr>
            <w:r w:rsidRPr="00286216">
              <w:rPr>
                <w:color w:val="000000" w:themeColor="text1"/>
                <w:spacing w:val="-2"/>
              </w:rPr>
              <w:t>зокрема, щодо надання можливості проводити клірингову діяльність товарним біржам у цій статті</w:t>
            </w:r>
          </w:p>
        </w:tc>
        <w:tc>
          <w:tcPr>
            <w:tcW w:w="4818" w:type="dxa"/>
          </w:tcPr>
          <w:p w14:paraId="27C7B1C5" w14:textId="77777777" w:rsidR="00806997" w:rsidRPr="00286216" w:rsidRDefault="00806997" w:rsidP="00806997">
            <w:pPr>
              <w:pStyle w:val="StyleZakonu"/>
              <w:rPr>
                <w:color w:val="000000" w:themeColor="text1"/>
              </w:rPr>
            </w:pPr>
          </w:p>
        </w:tc>
      </w:tr>
      <w:tr w:rsidR="00806997" w:rsidRPr="00286216" w14:paraId="603B347E" w14:textId="77777777" w:rsidTr="00091AA5">
        <w:tc>
          <w:tcPr>
            <w:tcW w:w="576" w:type="dxa"/>
          </w:tcPr>
          <w:p w14:paraId="7815715C" w14:textId="77777777" w:rsidR="00806997" w:rsidRPr="00286216" w:rsidRDefault="00806997" w:rsidP="00806997">
            <w:pPr>
              <w:pStyle w:val="StyleWisnow"/>
              <w:rPr>
                <w:color w:val="000000" w:themeColor="text1"/>
              </w:rPr>
            </w:pPr>
            <w:bookmarkStart w:id="728" w:name="n1014" w:colFirst="0" w:colLast="0"/>
            <w:r w:rsidRPr="00286216">
              <w:rPr>
                <w:color w:val="000000" w:themeColor="text1"/>
              </w:rPr>
              <w:t>1014.</w:t>
            </w:r>
          </w:p>
        </w:tc>
        <w:tc>
          <w:tcPr>
            <w:tcW w:w="4818" w:type="dxa"/>
          </w:tcPr>
          <w:p w14:paraId="69AADB58" w14:textId="77777777" w:rsidR="00806997" w:rsidRPr="00286216" w:rsidRDefault="00806997" w:rsidP="00806997">
            <w:pPr>
              <w:pStyle w:val="StyleZakonu"/>
              <w:rPr>
                <w:color w:val="000000" w:themeColor="text1"/>
              </w:rPr>
            </w:pPr>
            <w:bookmarkStart w:id="729" w:name="_Ref20259594"/>
            <w:r w:rsidRPr="00286216">
              <w:rPr>
                <w:color w:val="000000" w:themeColor="text1"/>
              </w:rPr>
              <w:t>2. Центральний депозитарій цінних паперів, клірингова установа, оператори організованого ринку до початку провадження клірингової діяльності повинні в установленому законодавством порядку зареєструвати в Національній комісії з цінних паперів та фондового ринку Правила провадження клірингової діяльності (далі - правила клірингу), які визначають загальний порядок здійснення клірингової діяльності. Зміни до правил клірингу реєструються в порядку, встановленому для реєстрації правил клірингу.</w:t>
            </w:r>
            <w:bookmarkEnd w:id="729"/>
          </w:p>
        </w:tc>
        <w:tc>
          <w:tcPr>
            <w:tcW w:w="3686" w:type="dxa"/>
          </w:tcPr>
          <w:p w14:paraId="5AADA1CC"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2. Центральний депозитарій цінних паперів, клірингова установа, оператори організованого ринку (у тому числі, товарні біржі) до початку провадження клірингової діяльності повинні в установленому законодавством порядку (якщо такий порядок визначено) зареєструвати у регулятора відповідного ринку Правила провадження клірингової діяльності (далі – правила клірингу), які визначають загальний порядок здійснення клірингової діяльності. Зміни до правил клірингу реєструються в порядку, встановленому для реєстрації правил клірингу.</w:t>
            </w:r>
          </w:p>
          <w:p w14:paraId="5224FF5A"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 xml:space="preserve">4. Здійснення грошових розрахунків за деривативними контрактами та правочинами щодо них та активами, допущеними до торгів на організованому товарному ринку, укладеними на організованих ринках та поза ними за умови проведення розрахунків за принципом «поставка проти оплати», забезпечуються кліринговими установами та операторами організованих ринків (у тому </w:t>
            </w:r>
            <w:r w:rsidRPr="00286216">
              <w:rPr>
                <w:color w:val="000000" w:themeColor="text1"/>
                <w:spacing w:val="-2"/>
              </w:rPr>
              <w:lastRenderedPageBreak/>
              <w:t xml:space="preserve">числі, товарними біржами). </w:t>
            </w:r>
          </w:p>
          <w:p w14:paraId="7064FD47" w14:textId="77777777" w:rsidR="00806997" w:rsidRPr="00286216" w:rsidRDefault="00806997" w:rsidP="00806997">
            <w:pPr>
              <w:pStyle w:val="StyleProp"/>
              <w:spacing w:line="180" w:lineRule="exact"/>
              <w:rPr>
                <w:color w:val="000000" w:themeColor="text1"/>
                <w:spacing w:val="-4"/>
              </w:rPr>
            </w:pPr>
            <w:r w:rsidRPr="00286216">
              <w:rPr>
                <w:color w:val="000000" w:themeColor="text1"/>
                <w:spacing w:val="-4"/>
              </w:rPr>
              <w:t>Здійснення грошових розрахунків за правочинами щодо цінних паперів та інструментів грошового ринку, вчиненими на організованих ринках капіталу та поза ними, за умови проведення розрахунків за принципом «поставка цінних паперів проти оплати» забезпечуються кліринговою установою або Центральним депозитарієм цінних паперів чи Національним банком України.</w:t>
            </w:r>
          </w:p>
          <w:p w14:paraId="6D5587F9"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 xml:space="preserve">Порядок здійснення грошових розрахунків передбачених цією частиною встановлюється Національним банком України. </w:t>
            </w:r>
          </w:p>
          <w:p w14:paraId="054E4CFA"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5. Клірингові установи, оператори організованих ринків (у тому числі, товарні біржі) та Центральний депозитарій цінних паперів для забезпечення здійснення грошових розрахунків використовують рахунки (у тому числі, рахунки умовного зберігання (ескроу)), відкриті в Національному банку України та/або у фінансових установах (банках), а також рахунки, відкриті в іноземних банках, які відповідають критеріям, встановленим Національним банком України.</w:t>
            </w:r>
          </w:p>
          <w:p w14:paraId="27EBCD7E"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Кошти фізичних та юридичних осіб, чиї зобов’язання допущені до клірингу, зараховані на рахунки особи, що здійснюють клірингову діяльність, а також на рахунки умовного зберігання (ескроу), відкриті такими фізичними та юридичними особами та/або особою, що здійснює клірингову діяльність, для здійснення/забезпечення розрахунків/поставки за правочинами щодо цінних паперів та інших фінансових інструментів або інших активів та товарних операцій, не є доходами такої особи.</w:t>
            </w:r>
          </w:p>
          <w:p w14:paraId="1C3716DE"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Не допускається забезпечення позову шляхом накладення арешту на рахунки особи, що здійснює клірингову діяльність, на яких обліковуються кошти фізичних та юридичних осіб, чиї зобов’язання допущені до клірингу, зараховані для здійснення/забезпечення розрахунків/поставки за правочинами щодо цінних паперів та інших фінансових інструментів або інших активів та товарних операцій.</w:t>
            </w:r>
          </w:p>
          <w:p w14:paraId="0875100E"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 xml:space="preserve">8. Здійснення фізичними або юридичними особами неттінгу за вчиненими ними правочинами поза межами клірингу, що провадиться особами, які здійснюють клірингову діяльність, не є провадженням клірингової діяльності такими особами. </w:t>
            </w:r>
          </w:p>
          <w:p w14:paraId="0DF58E8E" w14:textId="77777777" w:rsidR="00806997" w:rsidRPr="00286216" w:rsidRDefault="00806997" w:rsidP="00806997">
            <w:pPr>
              <w:pStyle w:val="StyleProp"/>
              <w:spacing w:line="180" w:lineRule="exact"/>
              <w:rPr>
                <w:color w:val="000000" w:themeColor="text1"/>
              </w:rPr>
            </w:pPr>
            <w:r w:rsidRPr="00286216">
              <w:rPr>
                <w:color w:val="000000" w:themeColor="text1"/>
                <w:spacing w:val="-2"/>
              </w:rPr>
              <w:t>9. Регулятори відповідних ринків можуть встановлювати додаткові та/або інші вимоги до особи, яка провадить клірингову діяльність з визначення зобов’язань.».</w:t>
            </w:r>
          </w:p>
        </w:tc>
        <w:tc>
          <w:tcPr>
            <w:tcW w:w="1987" w:type="dxa"/>
          </w:tcPr>
          <w:p w14:paraId="206A8A2C" w14:textId="77777777" w:rsidR="00806997" w:rsidRPr="00286216" w:rsidRDefault="00806997" w:rsidP="00806997">
            <w:pPr>
              <w:pStyle w:val="StyleWisnow"/>
              <w:rPr>
                <w:color w:val="000000" w:themeColor="text1"/>
              </w:rPr>
            </w:pPr>
          </w:p>
        </w:tc>
        <w:tc>
          <w:tcPr>
            <w:tcW w:w="4818" w:type="dxa"/>
          </w:tcPr>
          <w:p w14:paraId="32437062" w14:textId="3B8CF051" w:rsidR="00806997" w:rsidRPr="00286216" w:rsidRDefault="00806997" w:rsidP="00806997">
            <w:pPr>
              <w:pStyle w:val="StyleZakonu"/>
              <w:rPr>
                <w:color w:val="000000" w:themeColor="text1"/>
              </w:rPr>
            </w:pPr>
            <w:r w:rsidRPr="00286216">
              <w:rPr>
                <w:color w:val="000000" w:themeColor="text1"/>
              </w:rPr>
              <w:t>2. Центральний депозитарій цінних паперів, клірингова установа, оператори організованого ринку  (у тому числі товарні біржі) до початку провадження клірингової діяльності повинні у встановленому законодавством порядку зареєструвати в Національній комісії з цінних паперів та фондового ринку правила клірингу, які визначають загальний порядок здійснення клірингової діяльності. Зміни до правил клірингу реєструються в порядку, встановленому для реєстрації правил клірингу.</w:t>
            </w:r>
          </w:p>
        </w:tc>
      </w:tr>
      <w:tr w:rsidR="00806997" w:rsidRPr="00286216" w14:paraId="4B16FDD5" w14:textId="77777777" w:rsidTr="00091AA5">
        <w:tc>
          <w:tcPr>
            <w:tcW w:w="576" w:type="dxa"/>
          </w:tcPr>
          <w:p w14:paraId="5A59BE42" w14:textId="77777777" w:rsidR="00806997" w:rsidRPr="00286216" w:rsidRDefault="00806997" w:rsidP="00806997">
            <w:pPr>
              <w:pStyle w:val="StyleWisnow"/>
              <w:rPr>
                <w:color w:val="000000" w:themeColor="text1"/>
              </w:rPr>
            </w:pPr>
            <w:bookmarkStart w:id="730" w:name="n1015" w:colFirst="0" w:colLast="0"/>
            <w:bookmarkEnd w:id="728"/>
            <w:r w:rsidRPr="00286216">
              <w:rPr>
                <w:color w:val="000000" w:themeColor="text1"/>
              </w:rPr>
              <w:lastRenderedPageBreak/>
              <w:t>1015.</w:t>
            </w:r>
          </w:p>
        </w:tc>
        <w:tc>
          <w:tcPr>
            <w:tcW w:w="4818" w:type="dxa"/>
          </w:tcPr>
          <w:p w14:paraId="3FE4C6D0" w14:textId="77777777" w:rsidR="00806997" w:rsidRPr="00286216" w:rsidRDefault="00806997" w:rsidP="00806997">
            <w:pPr>
              <w:pStyle w:val="StyleZakonu"/>
              <w:rPr>
                <w:color w:val="000000" w:themeColor="text1"/>
              </w:rPr>
            </w:pPr>
            <w:r w:rsidRPr="00286216">
              <w:rPr>
                <w:color w:val="000000" w:themeColor="text1"/>
              </w:rPr>
              <w:t>3. Підставами для відмови в реєстрації внутрішніх документів особи, яка провадить клірингову діяльність, і змін до них є:</w:t>
            </w:r>
          </w:p>
        </w:tc>
        <w:tc>
          <w:tcPr>
            <w:tcW w:w="3686" w:type="dxa"/>
          </w:tcPr>
          <w:p w14:paraId="46ABF56D" w14:textId="01F2991B"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558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DF32499"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Абзац перший частини 3 статті 54 викласти в такій редакції:</w:t>
            </w:r>
          </w:p>
          <w:p w14:paraId="03CFDECC"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"3. Підставами для відмови в реєстрації Правил клірингу особи, яка провадить клірингову діяльність, і змін до них є:"</w:t>
            </w:r>
          </w:p>
        </w:tc>
        <w:tc>
          <w:tcPr>
            <w:tcW w:w="1987" w:type="dxa"/>
          </w:tcPr>
          <w:p w14:paraId="58A2EA16"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CFB2DBF" w14:textId="056F33F3" w:rsidR="00806997" w:rsidRPr="00286216" w:rsidRDefault="00806997" w:rsidP="00806997">
            <w:pPr>
              <w:pStyle w:val="StyleZakonu"/>
              <w:rPr>
                <w:color w:val="000000" w:themeColor="text1"/>
              </w:rPr>
            </w:pPr>
            <w:r w:rsidRPr="00286216">
              <w:rPr>
                <w:color w:val="000000" w:themeColor="text1"/>
                <w:szCs w:val="18"/>
              </w:rPr>
              <w:t>3. Підставами для відмови в реєстрації правил клірингу особи, яка провадить клірингову діяльність, і змін до них є</w:t>
            </w:r>
            <w:r w:rsidRPr="00286216">
              <w:rPr>
                <w:color w:val="000000" w:themeColor="text1"/>
              </w:rPr>
              <w:t>:</w:t>
            </w:r>
          </w:p>
        </w:tc>
      </w:tr>
      <w:tr w:rsidR="00806997" w:rsidRPr="00286216" w14:paraId="1591CCB7" w14:textId="77777777" w:rsidTr="00091AA5">
        <w:tc>
          <w:tcPr>
            <w:tcW w:w="576" w:type="dxa"/>
          </w:tcPr>
          <w:p w14:paraId="4C14C18D" w14:textId="77777777" w:rsidR="00806997" w:rsidRPr="00286216" w:rsidRDefault="00806997" w:rsidP="00806997">
            <w:pPr>
              <w:pStyle w:val="StyleWisnow"/>
              <w:rPr>
                <w:color w:val="000000" w:themeColor="text1"/>
              </w:rPr>
            </w:pPr>
            <w:bookmarkStart w:id="731" w:name="n1016" w:colFirst="0" w:colLast="0"/>
            <w:bookmarkEnd w:id="730"/>
            <w:r w:rsidRPr="00286216">
              <w:rPr>
                <w:color w:val="000000" w:themeColor="text1"/>
              </w:rPr>
              <w:t>1016.</w:t>
            </w:r>
          </w:p>
        </w:tc>
        <w:tc>
          <w:tcPr>
            <w:tcW w:w="4818" w:type="dxa"/>
          </w:tcPr>
          <w:p w14:paraId="53520AA6" w14:textId="77777777" w:rsidR="00806997" w:rsidRPr="00286216" w:rsidRDefault="00806997" w:rsidP="00806997">
            <w:pPr>
              <w:pStyle w:val="StyleZakonu"/>
              <w:rPr>
                <w:color w:val="000000" w:themeColor="text1"/>
              </w:rPr>
            </w:pPr>
            <w:r w:rsidRPr="00286216">
              <w:rPr>
                <w:color w:val="000000" w:themeColor="text1"/>
              </w:rPr>
              <w:t>1) невідповідність документів, поданих на реєстрацію, вимогам законодавства, у тому числі нормативно-правовим актам Національної комісії з цінних паперів та фондового ринку;</w:t>
            </w:r>
          </w:p>
        </w:tc>
        <w:tc>
          <w:tcPr>
            <w:tcW w:w="3686" w:type="dxa"/>
          </w:tcPr>
          <w:p w14:paraId="0D6F66A3" w14:textId="77777777" w:rsidR="00806997" w:rsidRPr="00286216" w:rsidRDefault="00806997" w:rsidP="00806997">
            <w:pPr>
              <w:pStyle w:val="StyleProp"/>
              <w:rPr>
                <w:color w:val="000000" w:themeColor="text1"/>
                <w:szCs w:val="18"/>
              </w:rPr>
            </w:pPr>
          </w:p>
        </w:tc>
        <w:tc>
          <w:tcPr>
            <w:tcW w:w="1987" w:type="dxa"/>
          </w:tcPr>
          <w:p w14:paraId="05C13703" w14:textId="77777777" w:rsidR="00806997" w:rsidRPr="00286216" w:rsidRDefault="00806997" w:rsidP="00806997">
            <w:pPr>
              <w:pStyle w:val="StyleWisnow"/>
              <w:rPr>
                <w:color w:val="000000" w:themeColor="text1"/>
              </w:rPr>
            </w:pPr>
          </w:p>
        </w:tc>
        <w:tc>
          <w:tcPr>
            <w:tcW w:w="4818" w:type="dxa"/>
          </w:tcPr>
          <w:p w14:paraId="60681F9E" w14:textId="328FB767" w:rsidR="00806997" w:rsidRPr="00286216" w:rsidRDefault="00806997" w:rsidP="00806997">
            <w:pPr>
              <w:pStyle w:val="StyleZakonu"/>
              <w:rPr>
                <w:color w:val="000000" w:themeColor="text1"/>
              </w:rPr>
            </w:pPr>
            <w:r w:rsidRPr="00286216">
              <w:rPr>
                <w:color w:val="000000" w:themeColor="text1"/>
              </w:rPr>
              <w:t>1) невідповідність документів, поданих на реєстрацію, вимогам законодавства, у тому числі нормативно-правовим актам Національної комісії з цінних паперів та фондового ринку;</w:t>
            </w:r>
          </w:p>
        </w:tc>
      </w:tr>
      <w:tr w:rsidR="00806997" w:rsidRPr="00286216" w14:paraId="46BF1D4D" w14:textId="77777777" w:rsidTr="00091AA5">
        <w:tc>
          <w:tcPr>
            <w:tcW w:w="576" w:type="dxa"/>
          </w:tcPr>
          <w:p w14:paraId="15673391" w14:textId="77777777" w:rsidR="00806997" w:rsidRPr="00286216" w:rsidRDefault="00806997" w:rsidP="00806997">
            <w:pPr>
              <w:pStyle w:val="StyleWisnow"/>
              <w:rPr>
                <w:color w:val="000000" w:themeColor="text1"/>
              </w:rPr>
            </w:pPr>
            <w:bookmarkStart w:id="732" w:name="n1017" w:colFirst="0" w:colLast="0"/>
            <w:bookmarkEnd w:id="731"/>
            <w:r w:rsidRPr="00286216">
              <w:rPr>
                <w:color w:val="000000" w:themeColor="text1"/>
              </w:rPr>
              <w:t>1017.</w:t>
            </w:r>
          </w:p>
        </w:tc>
        <w:tc>
          <w:tcPr>
            <w:tcW w:w="4818" w:type="dxa"/>
          </w:tcPr>
          <w:p w14:paraId="33320629" w14:textId="77777777" w:rsidR="00806997" w:rsidRPr="00286216" w:rsidRDefault="00806997" w:rsidP="00806997">
            <w:pPr>
              <w:pStyle w:val="StyleZakonu"/>
              <w:rPr>
                <w:color w:val="000000" w:themeColor="text1"/>
              </w:rPr>
            </w:pPr>
            <w:r w:rsidRPr="00286216">
              <w:rPr>
                <w:color w:val="000000" w:themeColor="text1"/>
              </w:rPr>
              <w:t>2) подання документів не в повному обсязі, наявність у них неповної або недостовірної інформації;</w:t>
            </w:r>
          </w:p>
        </w:tc>
        <w:tc>
          <w:tcPr>
            <w:tcW w:w="3686" w:type="dxa"/>
          </w:tcPr>
          <w:p w14:paraId="21232D7C" w14:textId="77777777" w:rsidR="00806997" w:rsidRPr="00286216" w:rsidRDefault="00806997" w:rsidP="00806997">
            <w:pPr>
              <w:pStyle w:val="StyleProp"/>
              <w:rPr>
                <w:color w:val="000000" w:themeColor="text1"/>
                <w:szCs w:val="18"/>
              </w:rPr>
            </w:pPr>
          </w:p>
        </w:tc>
        <w:tc>
          <w:tcPr>
            <w:tcW w:w="1987" w:type="dxa"/>
          </w:tcPr>
          <w:p w14:paraId="5D94B8AD" w14:textId="77777777" w:rsidR="00806997" w:rsidRPr="00286216" w:rsidRDefault="00806997" w:rsidP="00806997">
            <w:pPr>
              <w:pStyle w:val="StyleWisnow"/>
              <w:rPr>
                <w:color w:val="000000" w:themeColor="text1"/>
              </w:rPr>
            </w:pPr>
          </w:p>
        </w:tc>
        <w:tc>
          <w:tcPr>
            <w:tcW w:w="4818" w:type="dxa"/>
          </w:tcPr>
          <w:p w14:paraId="2D7D9B64" w14:textId="7D9224BB" w:rsidR="00806997" w:rsidRPr="00286216" w:rsidRDefault="00806997" w:rsidP="00806997">
            <w:pPr>
              <w:pStyle w:val="StyleZakonu"/>
              <w:rPr>
                <w:color w:val="000000" w:themeColor="text1"/>
              </w:rPr>
            </w:pPr>
            <w:r w:rsidRPr="00286216">
              <w:rPr>
                <w:color w:val="000000" w:themeColor="text1"/>
              </w:rPr>
              <w:t>2) подання документів не в повному обсязі, наявність у них неповної або недостовірної інформації;</w:t>
            </w:r>
          </w:p>
        </w:tc>
      </w:tr>
      <w:tr w:rsidR="00806997" w:rsidRPr="00286216" w14:paraId="7A84C939" w14:textId="77777777" w:rsidTr="00091AA5">
        <w:tc>
          <w:tcPr>
            <w:tcW w:w="576" w:type="dxa"/>
          </w:tcPr>
          <w:p w14:paraId="2CD3E1E0" w14:textId="77777777" w:rsidR="00806997" w:rsidRPr="00286216" w:rsidRDefault="00806997" w:rsidP="00806997">
            <w:pPr>
              <w:pStyle w:val="StyleWisnow"/>
              <w:rPr>
                <w:color w:val="000000" w:themeColor="text1"/>
              </w:rPr>
            </w:pPr>
            <w:bookmarkStart w:id="733" w:name="n1018" w:colFirst="0" w:colLast="0"/>
            <w:bookmarkEnd w:id="732"/>
            <w:r w:rsidRPr="00286216">
              <w:rPr>
                <w:color w:val="000000" w:themeColor="text1"/>
              </w:rPr>
              <w:t>1018.</w:t>
            </w:r>
          </w:p>
        </w:tc>
        <w:tc>
          <w:tcPr>
            <w:tcW w:w="4818" w:type="dxa"/>
          </w:tcPr>
          <w:p w14:paraId="578D0C1D" w14:textId="77777777" w:rsidR="00806997" w:rsidRPr="00286216" w:rsidRDefault="00806997" w:rsidP="00806997">
            <w:pPr>
              <w:pStyle w:val="StyleZakonu"/>
              <w:rPr>
                <w:color w:val="000000" w:themeColor="text1"/>
              </w:rPr>
            </w:pPr>
            <w:r w:rsidRPr="00286216">
              <w:rPr>
                <w:color w:val="000000" w:themeColor="text1"/>
              </w:rPr>
              <w:t>3) невідповідність розміру початкового капіталу вимогам закону.</w:t>
            </w:r>
          </w:p>
        </w:tc>
        <w:tc>
          <w:tcPr>
            <w:tcW w:w="3686" w:type="dxa"/>
          </w:tcPr>
          <w:p w14:paraId="5916A826" w14:textId="77777777" w:rsidR="00806997" w:rsidRPr="00286216" w:rsidRDefault="00806997" w:rsidP="00806997">
            <w:pPr>
              <w:pStyle w:val="StyleProp"/>
              <w:rPr>
                <w:color w:val="000000" w:themeColor="text1"/>
                <w:szCs w:val="18"/>
              </w:rPr>
            </w:pPr>
          </w:p>
        </w:tc>
        <w:tc>
          <w:tcPr>
            <w:tcW w:w="1987" w:type="dxa"/>
          </w:tcPr>
          <w:p w14:paraId="553D9E0F" w14:textId="77777777" w:rsidR="00806997" w:rsidRPr="00286216" w:rsidRDefault="00806997" w:rsidP="00806997">
            <w:pPr>
              <w:pStyle w:val="StyleWisnow"/>
              <w:rPr>
                <w:color w:val="000000" w:themeColor="text1"/>
              </w:rPr>
            </w:pPr>
          </w:p>
        </w:tc>
        <w:tc>
          <w:tcPr>
            <w:tcW w:w="4818" w:type="dxa"/>
          </w:tcPr>
          <w:p w14:paraId="37E580A3" w14:textId="67A588AB" w:rsidR="00806997" w:rsidRPr="00286216" w:rsidRDefault="00806997" w:rsidP="00806997">
            <w:pPr>
              <w:pStyle w:val="StyleZakonu"/>
              <w:rPr>
                <w:color w:val="000000" w:themeColor="text1"/>
              </w:rPr>
            </w:pPr>
            <w:r w:rsidRPr="00286216">
              <w:rPr>
                <w:color w:val="000000" w:themeColor="text1"/>
              </w:rPr>
              <w:t>3) невідповідність розміру початкового капіталу вимогам закону.</w:t>
            </w:r>
          </w:p>
        </w:tc>
      </w:tr>
      <w:tr w:rsidR="00806997" w:rsidRPr="00286216" w14:paraId="6E6EAD3A" w14:textId="77777777" w:rsidTr="00091AA5">
        <w:tc>
          <w:tcPr>
            <w:tcW w:w="576" w:type="dxa"/>
          </w:tcPr>
          <w:p w14:paraId="53289202" w14:textId="77777777" w:rsidR="00806997" w:rsidRPr="00286216" w:rsidRDefault="00806997" w:rsidP="00806997">
            <w:pPr>
              <w:pStyle w:val="StyleWisnow"/>
              <w:rPr>
                <w:color w:val="000000" w:themeColor="text1"/>
              </w:rPr>
            </w:pPr>
            <w:bookmarkStart w:id="734" w:name="n1019" w:colFirst="0" w:colLast="0"/>
            <w:bookmarkEnd w:id="733"/>
            <w:r w:rsidRPr="00286216">
              <w:rPr>
                <w:color w:val="000000" w:themeColor="text1"/>
              </w:rPr>
              <w:t>1019.</w:t>
            </w:r>
          </w:p>
        </w:tc>
        <w:tc>
          <w:tcPr>
            <w:tcW w:w="4818" w:type="dxa"/>
          </w:tcPr>
          <w:p w14:paraId="56762BC5" w14:textId="77777777" w:rsidR="00806997" w:rsidRPr="00286216" w:rsidRDefault="00806997" w:rsidP="00806997">
            <w:pPr>
              <w:pStyle w:val="StyleZakonu"/>
              <w:rPr>
                <w:color w:val="000000" w:themeColor="text1"/>
                <w:lang w:eastAsia="uk-UA"/>
              </w:rPr>
            </w:pPr>
            <w:r w:rsidRPr="00286216">
              <w:rPr>
                <w:color w:val="000000" w:themeColor="text1"/>
                <w:lang w:eastAsia="uk-UA"/>
              </w:rPr>
              <w:t xml:space="preserve">4. </w:t>
            </w:r>
            <w:r w:rsidRPr="00286216">
              <w:rPr>
                <w:color w:val="000000" w:themeColor="text1"/>
              </w:rPr>
              <w:t xml:space="preserve">Здійснення грошових розрахунків за </w:t>
            </w:r>
            <w:r w:rsidRPr="00286216">
              <w:rPr>
                <w:bCs/>
                <w:color w:val="000000" w:themeColor="text1"/>
                <w:lang w:eastAsia="uk-UA"/>
              </w:rPr>
              <w:t xml:space="preserve">деривативними контрактами </w:t>
            </w:r>
            <w:r w:rsidRPr="00286216">
              <w:rPr>
                <w:color w:val="000000" w:themeColor="text1"/>
                <w:lang w:eastAsia="uk-UA"/>
              </w:rPr>
              <w:t xml:space="preserve">та </w:t>
            </w:r>
            <w:r w:rsidRPr="00286216">
              <w:rPr>
                <w:bCs/>
                <w:color w:val="000000" w:themeColor="text1"/>
                <w:lang w:eastAsia="uk-UA"/>
              </w:rPr>
              <w:t>правочинами</w:t>
            </w:r>
            <w:r w:rsidRPr="00286216">
              <w:rPr>
                <w:color w:val="000000" w:themeColor="text1"/>
                <w:lang w:eastAsia="uk-UA"/>
              </w:rPr>
              <w:t xml:space="preserve"> </w:t>
            </w:r>
            <w:r w:rsidRPr="00286216">
              <w:rPr>
                <w:bCs/>
                <w:color w:val="000000" w:themeColor="text1"/>
                <w:lang w:eastAsia="uk-UA"/>
              </w:rPr>
              <w:t>щодо них та активами, допущеними до торгів на організованому товарному ринку,</w:t>
            </w:r>
            <w:r w:rsidRPr="00286216">
              <w:rPr>
                <w:color w:val="000000" w:themeColor="text1"/>
                <w:lang w:eastAsia="uk-UA"/>
              </w:rPr>
              <w:t xml:space="preserve"> укладеними на організованих ринках та поза ними за умови проведення розрахунків за принципом "поставка проти оплати", забезпечуються кліринговими установами.</w:t>
            </w:r>
          </w:p>
        </w:tc>
        <w:tc>
          <w:tcPr>
            <w:tcW w:w="3686" w:type="dxa"/>
          </w:tcPr>
          <w:p w14:paraId="0388FC2F" w14:textId="3615E4C6" w:rsidR="00806997" w:rsidRPr="00286216" w:rsidRDefault="00806997" w:rsidP="00806997">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559</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7E1447D6" w14:textId="57A26D71" w:rsidR="00806997" w:rsidRPr="00286216" w:rsidRDefault="00806997" w:rsidP="00806997">
            <w:pPr>
              <w:pStyle w:val="StyleProp"/>
              <w:spacing w:line="180" w:lineRule="exact"/>
              <w:rPr>
                <w:color w:val="000000" w:themeColor="text1"/>
              </w:rPr>
            </w:pPr>
            <w:r w:rsidRPr="00286216">
              <w:rPr>
                <w:color w:val="000000" w:themeColor="text1"/>
              </w:rPr>
              <w:t>Абзац 1 ч.4 статті 54 викласти у редакції:</w:t>
            </w:r>
          </w:p>
          <w:p w14:paraId="0D4D5A67" w14:textId="3EB7ABC4" w:rsidR="00806997" w:rsidRPr="00286216" w:rsidRDefault="00806997" w:rsidP="00806997">
            <w:pPr>
              <w:pStyle w:val="StyleProp"/>
              <w:spacing w:line="180" w:lineRule="exact"/>
              <w:rPr>
                <w:color w:val="000000" w:themeColor="text1"/>
              </w:rPr>
            </w:pPr>
            <w:r w:rsidRPr="00286216">
              <w:rPr>
                <w:color w:val="000000" w:themeColor="text1"/>
                <w:lang w:eastAsia="uk-UA"/>
              </w:rPr>
              <w:t xml:space="preserve">"4. </w:t>
            </w:r>
            <w:r w:rsidRPr="00286216">
              <w:rPr>
                <w:color w:val="000000" w:themeColor="text1"/>
              </w:rPr>
              <w:t xml:space="preserve">Здійснення грошових розрахунків за </w:t>
            </w:r>
            <w:r w:rsidRPr="00286216">
              <w:rPr>
                <w:color w:val="000000" w:themeColor="text1"/>
                <w:lang w:eastAsia="uk-UA"/>
              </w:rPr>
              <w:t>укладеними на організованих ринках та поза ними</w:t>
            </w:r>
            <w:r w:rsidRPr="00286216">
              <w:rPr>
                <w:bCs/>
                <w:color w:val="000000" w:themeColor="text1"/>
                <w:lang w:eastAsia="uk-UA"/>
              </w:rPr>
              <w:t xml:space="preserve"> деривативними контрактами та правочинами щодо</w:t>
            </w:r>
            <w:r w:rsidRPr="00286216">
              <w:rPr>
                <w:color w:val="000000" w:themeColor="text1"/>
                <w:lang w:eastAsia="uk-UA"/>
              </w:rPr>
              <w:t xml:space="preserve"> інструментів грошового ринку</w:t>
            </w:r>
            <w:r w:rsidRPr="00286216">
              <w:rPr>
                <w:bCs/>
                <w:color w:val="000000" w:themeColor="text1"/>
                <w:lang w:eastAsia="uk-UA"/>
              </w:rPr>
              <w:t xml:space="preserve"> (крім цінних паперів),  </w:t>
            </w:r>
            <w:r w:rsidRPr="00286216">
              <w:rPr>
                <w:color w:val="000000" w:themeColor="text1"/>
                <w:szCs w:val="18"/>
              </w:rPr>
              <w:t>активів, допущених</w:t>
            </w:r>
            <w:r w:rsidRPr="00286216">
              <w:rPr>
                <w:bCs/>
                <w:color w:val="000000" w:themeColor="text1"/>
                <w:lang w:eastAsia="uk-UA"/>
              </w:rPr>
              <w:t xml:space="preserve"> до торгів на організованому товарному ринку,</w:t>
            </w:r>
            <w:r w:rsidRPr="00286216">
              <w:rPr>
                <w:color w:val="000000" w:themeColor="text1"/>
                <w:lang w:eastAsia="uk-UA"/>
              </w:rPr>
              <w:t xml:space="preserve"> за умови проведення розрахунків за принципом "поставка проти оплати", забезпечуються кліринговими установами"</w:t>
            </w:r>
          </w:p>
          <w:p w14:paraId="0E7A04A1" w14:textId="0274D38F" w:rsidR="00806997" w:rsidRPr="00286216" w:rsidRDefault="00806997" w:rsidP="0080699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560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A1042B7" w14:textId="618CCA43" w:rsidR="00806997" w:rsidRPr="00286216" w:rsidRDefault="00806997" w:rsidP="00806997">
            <w:pPr>
              <w:pStyle w:val="StyleProp"/>
              <w:rPr>
                <w:color w:val="000000" w:themeColor="text1"/>
                <w:szCs w:val="18"/>
              </w:rPr>
            </w:pPr>
            <w:r w:rsidRPr="00286216">
              <w:rPr>
                <w:color w:val="000000" w:themeColor="text1"/>
                <w:szCs w:val="18"/>
              </w:rPr>
              <w:t>У ч. 4 статті 54 слова «них та активами, допущеними» замінити словами «активів, допущених».</w:t>
            </w:r>
          </w:p>
        </w:tc>
        <w:tc>
          <w:tcPr>
            <w:tcW w:w="1987" w:type="dxa"/>
          </w:tcPr>
          <w:p w14:paraId="391F3405" w14:textId="15B4735A" w:rsidR="00806997" w:rsidRPr="00286216" w:rsidRDefault="00806997" w:rsidP="00806997">
            <w:pPr>
              <w:pStyle w:val="StyleWisnow"/>
              <w:rPr>
                <w:color w:val="000000" w:themeColor="text1"/>
                <w:lang w:eastAsia="uk-UA"/>
              </w:rPr>
            </w:pPr>
            <w:r w:rsidRPr="00286216">
              <w:rPr>
                <w:color w:val="000000" w:themeColor="text1"/>
                <w:lang w:eastAsia="uk-UA"/>
              </w:rPr>
              <w:t>Враховано</w:t>
            </w:r>
          </w:p>
          <w:p w14:paraId="570C522D" w14:textId="77777777" w:rsidR="00806997" w:rsidRPr="00286216" w:rsidRDefault="00806997" w:rsidP="00806997">
            <w:pPr>
              <w:pStyle w:val="StyleWisnow"/>
              <w:rPr>
                <w:color w:val="000000" w:themeColor="text1"/>
                <w:lang w:eastAsia="uk-UA"/>
              </w:rPr>
            </w:pPr>
          </w:p>
          <w:p w14:paraId="59BA7D67" w14:textId="4B5C2BD6" w:rsidR="00806997" w:rsidRPr="00286216" w:rsidRDefault="00806997" w:rsidP="00806997">
            <w:pPr>
              <w:pStyle w:val="StyleWisnow"/>
              <w:rPr>
                <w:color w:val="000000" w:themeColor="text1"/>
                <w:lang w:eastAsia="uk-UA"/>
              </w:rPr>
            </w:pPr>
          </w:p>
          <w:p w14:paraId="2A0A89AF" w14:textId="16A4F3F6" w:rsidR="00806997" w:rsidRPr="00286216" w:rsidRDefault="00806997" w:rsidP="00806997">
            <w:pPr>
              <w:pStyle w:val="StyleWisnow"/>
              <w:rPr>
                <w:color w:val="000000" w:themeColor="text1"/>
                <w:lang w:eastAsia="uk-UA"/>
              </w:rPr>
            </w:pPr>
          </w:p>
          <w:p w14:paraId="512FEF38" w14:textId="729AF2C8" w:rsidR="00806997" w:rsidRPr="00286216" w:rsidRDefault="00806997" w:rsidP="00806997">
            <w:pPr>
              <w:pStyle w:val="StyleWisnow"/>
              <w:rPr>
                <w:color w:val="000000" w:themeColor="text1"/>
                <w:lang w:eastAsia="uk-UA"/>
              </w:rPr>
            </w:pPr>
          </w:p>
          <w:p w14:paraId="3D60CC88" w14:textId="23C67FEE" w:rsidR="00806997" w:rsidRPr="00286216" w:rsidRDefault="00806997" w:rsidP="00806997">
            <w:pPr>
              <w:pStyle w:val="StyleWisnow"/>
              <w:rPr>
                <w:color w:val="000000" w:themeColor="text1"/>
                <w:lang w:eastAsia="uk-UA"/>
              </w:rPr>
            </w:pPr>
          </w:p>
          <w:p w14:paraId="112684B0" w14:textId="3BCAA497" w:rsidR="00806997" w:rsidRPr="00286216" w:rsidRDefault="00806997" w:rsidP="00806997">
            <w:pPr>
              <w:pStyle w:val="StyleWisnow"/>
              <w:rPr>
                <w:color w:val="000000" w:themeColor="text1"/>
                <w:lang w:eastAsia="uk-UA"/>
              </w:rPr>
            </w:pPr>
          </w:p>
          <w:p w14:paraId="68190747" w14:textId="77777777" w:rsidR="00806997" w:rsidRPr="00286216" w:rsidRDefault="00806997" w:rsidP="00806997">
            <w:pPr>
              <w:pStyle w:val="StyleWisnow"/>
              <w:rPr>
                <w:color w:val="000000" w:themeColor="text1"/>
                <w:lang w:eastAsia="uk-UA"/>
              </w:rPr>
            </w:pPr>
          </w:p>
          <w:p w14:paraId="76EDF9AF" w14:textId="77777777" w:rsidR="00806997" w:rsidRPr="00286216" w:rsidRDefault="00806997" w:rsidP="00806997">
            <w:pPr>
              <w:pStyle w:val="StyleWisnow"/>
              <w:rPr>
                <w:color w:val="000000" w:themeColor="text1"/>
                <w:lang w:eastAsia="uk-UA"/>
              </w:rPr>
            </w:pPr>
          </w:p>
          <w:p w14:paraId="56CA6F85" w14:textId="77777777" w:rsidR="00806997" w:rsidRPr="00286216" w:rsidRDefault="00806997" w:rsidP="00806997">
            <w:pPr>
              <w:pStyle w:val="StyleWisnow"/>
              <w:rPr>
                <w:color w:val="000000" w:themeColor="text1"/>
                <w:lang w:eastAsia="uk-UA"/>
              </w:rPr>
            </w:pPr>
          </w:p>
          <w:p w14:paraId="5CDC6974" w14:textId="1A974D04" w:rsidR="00806997" w:rsidRPr="00286216" w:rsidRDefault="00806997" w:rsidP="00806997">
            <w:pPr>
              <w:pStyle w:val="StyleWisnow"/>
              <w:rPr>
                <w:color w:val="000000" w:themeColor="text1"/>
                <w:lang w:eastAsia="uk-UA"/>
              </w:rPr>
            </w:pPr>
            <w:r w:rsidRPr="00286216">
              <w:rPr>
                <w:color w:val="000000" w:themeColor="text1"/>
                <w:lang w:eastAsia="uk-UA"/>
              </w:rPr>
              <w:t>Враховано редакційно</w:t>
            </w:r>
          </w:p>
        </w:tc>
        <w:tc>
          <w:tcPr>
            <w:tcW w:w="4818" w:type="dxa"/>
          </w:tcPr>
          <w:p w14:paraId="0EC67477" w14:textId="3E617671" w:rsidR="00806997" w:rsidRPr="00286216" w:rsidRDefault="00806997" w:rsidP="00806997">
            <w:pPr>
              <w:pStyle w:val="StyleZakonu"/>
              <w:rPr>
                <w:color w:val="000000" w:themeColor="text1"/>
                <w:lang w:eastAsia="uk-UA"/>
              </w:rPr>
            </w:pPr>
            <w:r w:rsidRPr="00286216">
              <w:rPr>
                <w:color w:val="000000" w:themeColor="text1"/>
                <w:lang w:eastAsia="uk-UA"/>
              </w:rPr>
              <w:t xml:space="preserve">4. </w:t>
            </w:r>
            <w:r w:rsidRPr="00286216">
              <w:rPr>
                <w:color w:val="000000" w:themeColor="text1"/>
              </w:rPr>
              <w:t xml:space="preserve">Здійснення грошових розрахунків за </w:t>
            </w:r>
            <w:r w:rsidRPr="00286216">
              <w:rPr>
                <w:color w:val="000000" w:themeColor="text1"/>
                <w:lang w:eastAsia="uk-UA"/>
              </w:rPr>
              <w:t>укладеними на організованих ринках та поза ними</w:t>
            </w:r>
            <w:r w:rsidRPr="00286216">
              <w:rPr>
                <w:bCs/>
                <w:color w:val="000000" w:themeColor="text1"/>
                <w:lang w:eastAsia="uk-UA"/>
              </w:rPr>
              <w:t xml:space="preserve"> деривативними контрактами та правочинами щодо</w:t>
            </w:r>
            <w:r w:rsidRPr="00286216">
              <w:rPr>
                <w:color w:val="000000" w:themeColor="text1"/>
                <w:lang w:eastAsia="uk-UA"/>
              </w:rPr>
              <w:t xml:space="preserve"> інструментів грошового ринку</w:t>
            </w:r>
            <w:r w:rsidRPr="00286216">
              <w:rPr>
                <w:bCs/>
                <w:color w:val="000000" w:themeColor="text1"/>
                <w:lang w:eastAsia="uk-UA"/>
              </w:rPr>
              <w:t xml:space="preserve"> (крім цінних паперів),  </w:t>
            </w:r>
            <w:r w:rsidRPr="00286216">
              <w:rPr>
                <w:color w:val="000000" w:themeColor="text1"/>
                <w:szCs w:val="18"/>
              </w:rPr>
              <w:t>активів, допущених</w:t>
            </w:r>
            <w:r w:rsidRPr="00286216">
              <w:rPr>
                <w:bCs/>
                <w:color w:val="000000" w:themeColor="text1"/>
                <w:lang w:eastAsia="uk-UA"/>
              </w:rPr>
              <w:t xml:space="preserve"> до торгів на організованому товарному ринку,</w:t>
            </w:r>
            <w:r w:rsidRPr="00286216">
              <w:rPr>
                <w:color w:val="000000" w:themeColor="text1"/>
                <w:lang w:eastAsia="uk-UA"/>
              </w:rPr>
              <w:t xml:space="preserve"> за умови проведення розрахунків за принципом "поставка проти оплати", забезпечуються кліринговими установами.</w:t>
            </w:r>
          </w:p>
        </w:tc>
      </w:tr>
      <w:tr w:rsidR="00806997" w:rsidRPr="00286216" w14:paraId="3B300E5F" w14:textId="77777777" w:rsidTr="00091AA5">
        <w:tc>
          <w:tcPr>
            <w:tcW w:w="576" w:type="dxa"/>
          </w:tcPr>
          <w:p w14:paraId="26F88C86" w14:textId="77777777" w:rsidR="00806997" w:rsidRPr="00286216" w:rsidRDefault="00806997" w:rsidP="00806997">
            <w:pPr>
              <w:pStyle w:val="StyleWisnow"/>
              <w:rPr>
                <w:color w:val="000000" w:themeColor="text1"/>
              </w:rPr>
            </w:pPr>
            <w:bookmarkStart w:id="735" w:name="n1020" w:colFirst="0" w:colLast="0"/>
            <w:bookmarkEnd w:id="734"/>
            <w:r w:rsidRPr="00286216">
              <w:rPr>
                <w:color w:val="000000" w:themeColor="text1"/>
              </w:rPr>
              <w:t>1020.</w:t>
            </w:r>
          </w:p>
        </w:tc>
        <w:tc>
          <w:tcPr>
            <w:tcW w:w="4818" w:type="dxa"/>
          </w:tcPr>
          <w:p w14:paraId="2833AD4C" w14:textId="77777777" w:rsidR="00806997" w:rsidRPr="00286216" w:rsidRDefault="00806997" w:rsidP="00806997">
            <w:pPr>
              <w:pStyle w:val="StyleZakonu"/>
              <w:rPr>
                <w:color w:val="000000" w:themeColor="text1"/>
              </w:rPr>
            </w:pPr>
            <w:r w:rsidRPr="00286216">
              <w:rPr>
                <w:color w:val="000000" w:themeColor="text1"/>
                <w:lang w:eastAsia="uk-UA"/>
              </w:rPr>
              <w:t xml:space="preserve">Здійснення грошових розрахунків за правочинами щодо цінних паперів та інструментів грошового ринку, </w:t>
            </w:r>
            <w:r w:rsidRPr="00286216">
              <w:rPr>
                <w:bCs/>
                <w:color w:val="000000" w:themeColor="text1"/>
                <w:lang w:eastAsia="uk-UA"/>
              </w:rPr>
              <w:t>вчиненими</w:t>
            </w:r>
            <w:r w:rsidRPr="00286216">
              <w:rPr>
                <w:color w:val="000000" w:themeColor="text1"/>
                <w:lang w:eastAsia="uk-UA"/>
              </w:rPr>
              <w:t xml:space="preserve"> на організованих ринках капіталу та поза ними, за умови проведення розрахунків за принципом "поставка цінних паперів проти оплати" забезпечуються </w:t>
            </w:r>
            <w:r w:rsidRPr="00286216">
              <w:rPr>
                <w:bCs/>
                <w:color w:val="000000" w:themeColor="text1"/>
                <w:lang w:eastAsia="uk-UA"/>
              </w:rPr>
              <w:t>кліринговою установою або</w:t>
            </w:r>
            <w:r w:rsidRPr="00286216">
              <w:rPr>
                <w:color w:val="000000" w:themeColor="text1"/>
                <w:lang w:eastAsia="uk-UA"/>
              </w:rPr>
              <w:t xml:space="preserve"> Центральним депозитарієм цінних паперів </w:t>
            </w:r>
            <w:r w:rsidRPr="00286216">
              <w:rPr>
                <w:bCs/>
                <w:color w:val="000000" w:themeColor="text1"/>
                <w:lang w:eastAsia="uk-UA"/>
              </w:rPr>
              <w:t>чи</w:t>
            </w:r>
            <w:r w:rsidRPr="00286216">
              <w:rPr>
                <w:color w:val="000000" w:themeColor="text1"/>
                <w:lang w:eastAsia="uk-UA"/>
              </w:rPr>
              <w:t xml:space="preserve"> Національним банком України.</w:t>
            </w:r>
          </w:p>
        </w:tc>
        <w:tc>
          <w:tcPr>
            <w:tcW w:w="3686" w:type="dxa"/>
          </w:tcPr>
          <w:p w14:paraId="20B4BD58" w14:textId="1FDEB24F" w:rsidR="00806997" w:rsidRPr="00286216" w:rsidRDefault="00806997" w:rsidP="0080699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561</w:t>
            </w:r>
            <w:r w:rsidRPr="00286216">
              <w:rPr>
                <w:color w:val="000000" w:themeColor="text1"/>
                <w:spacing w:val="-4"/>
              </w:rPr>
              <w:fldChar w:fldCharType="end"/>
            </w:r>
            <w:r w:rsidRPr="00286216">
              <w:rPr>
                <w:color w:val="000000" w:themeColor="text1"/>
                <w:spacing w:val="-4"/>
              </w:rPr>
              <w:t>-Н.д.Бєлькова О.В. (Реєстр.картка №403)</w:t>
            </w:r>
          </w:p>
          <w:p w14:paraId="618C146C" w14:textId="0937ED7D" w:rsidR="00806997" w:rsidRPr="00286216" w:rsidRDefault="00806997" w:rsidP="00806997">
            <w:pPr>
              <w:pStyle w:val="StyleProp"/>
              <w:spacing w:line="180" w:lineRule="exact"/>
              <w:rPr>
                <w:color w:val="000000" w:themeColor="text1"/>
                <w:lang w:eastAsia="uk-UA"/>
              </w:rPr>
            </w:pPr>
            <w:r w:rsidRPr="00286216">
              <w:rPr>
                <w:color w:val="000000" w:themeColor="text1"/>
              </w:rPr>
              <w:t xml:space="preserve">В абзаці 1 ч. 4 статті 54 виключити слова "та </w:t>
            </w:r>
            <w:r w:rsidRPr="00286216">
              <w:rPr>
                <w:color w:val="000000" w:themeColor="text1"/>
                <w:lang w:eastAsia="uk-UA"/>
              </w:rPr>
              <w:t>інструментів грошового ринку".</w:t>
            </w:r>
          </w:p>
        </w:tc>
        <w:tc>
          <w:tcPr>
            <w:tcW w:w="1987" w:type="dxa"/>
          </w:tcPr>
          <w:p w14:paraId="55F86EF1" w14:textId="5BDE5BCA" w:rsidR="00806997" w:rsidRPr="00286216" w:rsidRDefault="00806997" w:rsidP="00806997">
            <w:pPr>
              <w:pStyle w:val="StyleWisnow"/>
              <w:spacing w:line="180" w:lineRule="exact"/>
              <w:rPr>
                <w:color w:val="000000" w:themeColor="text1"/>
              </w:rPr>
            </w:pPr>
            <w:r w:rsidRPr="00286216">
              <w:rPr>
                <w:color w:val="000000" w:themeColor="text1"/>
              </w:rPr>
              <w:t>Враховано</w:t>
            </w:r>
          </w:p>
        </w:tc>
        <w:tc>
          <w:tcPr>
            <w:tcW w:w="4818" w:type="dxa"/>
          </w:tcPr>
          <w:p w14:paraId="36C4E91F" w14:textId="599C2744" w:rsidR="00806997" w:rsidRPr="00286216" w:rsidRDefault="00806997" w:rsidP="00806997">
            <w:pPr>
              <w:pStyle w:val="StyleZakonu"/>
              <w:rPr>
                <w:color w:val="000000" w:themeColor="text1"/>
              </w:rPr>
            </w:pPr>
            <w:r w:rsidRPr="00286216">
              <w:rPr>
                <w:color w:val="000000" w:themeColor="text1"/>
                <w:lang w:eastAsia="uk-UA"/>
              </w:rPr>
              <w:t xml:space="preserve">Здійснення грошових розрахунків за правочинами щодо цінних паперів, </w:t>
            </w:r>
            <w:r w:rsidRPr="00286216">
              <w:rPr>
                <w:bCs/>
                <w:color w:val="000000" w:themeColor="text1"/>
                <w:lang w:eastAsia="uk-UA"/>
              </w:rPr>
              <w:t>вчиненими</w:t>
            </w:r>
            <w:r w:rsidRPr="00286216">
              <w:rPr>
                <w:color w:val="000000" w:themeColor="text1"/>
                <w:lang w:eastAsia="uk-UA"/>
              </w:rPr>
              <w:t xml:space="preserve"> на організованих ринках капіталу та поза ними, за умови проведення розрахунків за принципом "поставка цінних паперів проти оплати", забезпечуються </w:t>
            </w:r>
            <w:r w:rsidRPr="00286216">
              <w:rPr>
                <w:bCs/>
                <w:color w:val="000000" w:themeColor="text1"/>
                <w:lang w:eastAsia="uk-UA"/>
              </w:rPr>
              <w:t>кліринговою установою або</w:t>
            </w:r>
            <w:r w:rsidRPr="00286216">
              <w:rPr>
                <w:color w:val="000000" w:themeColor="text1"/>
                <w:lang w:eastAsia="uk-UA"/>
              </w:rPr>
              <w:t xml:space="preserve"> Центральним депозитарієм цінних паперів </w:t>
            </w:r>
            <w:r w:rsidRPr="00286216">
              <w:rPr>
                <w:bCs/>
                <w:color w:val="000000" w:themeColor="text1"/>
                <w:lang w:eastAsia="uk-UA"/>
              </w:rPr>
              <w:t>чи</w:t>
            </w:r>
            <w:r w:rsidRPr="00286216">
              <w:rPr>
                <w:color w:val="000000" w:themeColor="text1"/>
                <w:lang w:eastAsia="uk-UA"/>
              </w:rPr>
              <w:t xml:space="preserve"> Національним банком України.</w:t>
            </w:r>
          </w:p>
        </w:tc>
      </w:tr>
      <w:tr w:rsidR="00806997" w:rsidRPr="00286216" w14:paraId="5F951767" w14:textId="77777777" w:rsidTr="00091AA5">
        <w:tc>
          <w:tcPr>
            <w:tcW w:w="576" w:type="dxa"/>
          </w:tcPr>
          <w:p w14:paraId="3DA4309F" w14:textId="77777777" w:rsidR="00806997" w:rsidRPr="00286216" w:rsidRDefault="00806997" w:rsidP="00806997">
            <w:pPr>
              <w:pStyle w:val="StyleWisnow"/>
              <w:rPr>
                <w:color w:val="000000" w:themeColor="text1"/>
              </w:rPr>
            </w:pPr>
            <w:bookmarkStart w:id="736" w:name="n1021" w:colFirst="0" w:colLast="0"/>
            <w:bookmarkEnd w:id="735"/>
            <w:r w:rsidRPr="00286216">
              <w:rPr>
                <w:color w:val="000000" w:themeColor="text1"/>
              </w:rPr>
              <w:t>1021.</w:t>
            </w:r>
          </w:p>
        </w:tc>
        <w:tc>
          <w:tcPr>
            <w:tcW w:w="4818" w:type="dxa"/>
          </w:tcPr>
          <w:p w14:paraId="5EEA22FE" w14:textId="77777777" w:rsidR="00806997" w:rsidRPr="00286216" w:rsidRDefault="00806997" w:rsidP="00806997">
            <w:pPr>
              <w:pStyle w:val="StyleZakonu"/>
              <w:rPr>
                <w:color w:val="000000" w:themeColor="text1"/>
              </w:rPr>
            </w:pPr>
            <w:r w:rsidRPr="00286216">
              <w:rPr>
                <w:color w:val="000000" w:themeColor="text1"/>
              </w:rPr>
              <w:t>Порядок здійснення грошових розрахунків передбачених цією частиною встановлюється Національним банком України.</w:t>
            </w:r>
          </w:p>
        </w:tc>
        <w:tc>
          <w:tcPr>
            <w:tcW w:w="3686" w:type="dxa"/>
          </w:tcPr>
          <w:p w14:paraId="574D654E" w14:textId="5697BEAE"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562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F3444EA" w14:textId="77777777" w:rsidR="00806997" w:rsidRPr="00286216" w:rsidRDefault="00806997" w:rsidP="00806997">
            <w:pPr>
              <w:spacing w:line="180" w:lineRule="exact"/>
              <w:ind w:firstLine="227"/>
              <w:jc w:val="both"/>
              <w:rPr>
                <w:color w:val="000000" w:themeColor="text1"/>
                <w:spacing w:val="-2"/>
                <w:sz w:val="18"/>
              </w:rPr>
            </w:pPr>
            <w:r w:rsidRPr="00286216">
              <w:rPr>
                <w:color w:val="000000" w:themeColor="text1"/>
                <w:spacing w:val="-2"/>
                <w:sz w:val="18"/>
              </w:rPr>
              <w:t>Абз.3 част.4 ст.54 викласти в такій редакції:</w:t>
            </w:r>
          </w:p>
          <w:p w14:paraId="2344AE36" w14:textId="60395FD3" w:rsidR="00806997" w:rsidRPr="00286216" w:rsidRDefault="00806997" w:rsidP="00806997">
            <w:pPr>
              <w:spacing w:line="180" w:lineRule="exact"/>
              <w:ind w:firstLine="227"/>
              <w:jc w:val="both"/>
              <w:rPr>
                <w:color w:val="000000" w:themeColor="text1"/>
                <w:sz w:val="18"/>
              </w:rPr>
            </w:pPr>
            <w:r w:rsidRPr="00286216">
              <w:rPr>
                <w:color w:val="000000" w:themeColor="text1"/>
                <w:sz w:val="18"/>
              </w:rPr>
              <w:t xml:space="preserve">«Грошові розрахунки, передбачені цією частиною, здійснюються у встановленому Національним банком України порядку шляхом переказу коштів банками та Національним банком України та/або відображення в порядку, встановленому Національною комісією з цінних паперів та фондового ринку, в системі клірингового </w:t>
            </w:r>
            <w:r w:rsidRPr="00286216">
              <w:rPr>
                <w:color w:val="000000" w:themeColor="text1"/>
                <w:sz w:val="18"/>
              </w:rPr>
              <w:lastRenderedPageBreak/>
              <w:t>обліку особою, яка провадить клірингову діяльність, зміни обсягу прав та зобов’язань щодо коштів між сторонами деривативних контрактів, сторонами правочинів щодо фінансових інструментів та щодо валютних цінностей, а також сторонами товарних операцій, укладеними на організованому ринку та поза ним, з відображенням переходу права вимоги на кошти, в тому числі припинення зобов’язань щодо коштів за результатами неттінгу».</w:t>
            </w:r>
          </w:p>
        </w:tc>
        <w:tc>
          <w:tcPr>
            <w:tcW w:w="1987" w:type="dxa"/>
          </w:tcPr>
          <w:p w14:paraId="1CDC01FF" w14:textId="77777777" w:rsidR="00806997" w:rsidRPr="00286216" w:rsidRDefault="00806997" w:rsidP="00806997">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3F4545D7" w14:textId="1D1F7320" w:rsidR="00806997" w:rsidRPr="00286216" w:rsidRDefault="00806997" w:rsidP="00806997">
            <w:pPr>
              <w:pStyle w:val="StyleZakonu"/>
              <w:rPr>
                <w:color w:val="000000" w:themeColor="text1"/>
              </w:rPr>
            </w:pPr>
            <w:r w:rsidRPr="00286216">
              <w:rPr>
                <w:color w:val="000000" w:themeColor="text1"/>
              </w:rPr>
              <w:t xml:space="preserve">Грошові розрахунки, передбачені цією частиною, здійснюються у встановленому Національним банком України порядку шляхом переказу коштів банками та Національним банком України та/або відображення в порядку, встановленому Національною комісією з цінних паперів та фондового ринку, в системі клірингового обліку особою, яка провадить клірингову діяльність, зміни обсягу прав та зобов’язань щодо коштів між сторонами </w:t>
            </w:r>
            <w:r w:rsidRPr="00286216">
              <w:rPr>
                <w:color w:val="000000" w:themeColor="text1"/>
                <w:szCs w:val="18"/>
              </w:rPr>
              <w:lastRenderedPageBreak/>
              <w:t xml:space="preserve">деривативних контрактів, сторонами правочинів щодо </w:t>
            </w:r>
            <w:r w:rsidRPr="00286216">
              <w:rPr>
                <w:color w:val="000000" w:themeColor="text1"/>
              </w:rPr>
              <w:t>фінансових інструментів та щодо валютних цінностей, а також сторонами товарних операцій, укладеними на організованому ринку та поза ним, з відображенням переходу права вимоги на кошти, в тому числі припинення зобов’язань щодо коштів за результатами неттінгу.</w:t>
            </w:r>
          </w:p>
        </w:tc>
      </w:tr>
      <w:tr w:rsidR="00806997" w:rsidRPr="00286216" w14:paraId="5473DABF" w14:textId="77777777" w:rsidTr="00091AA5">
        <w:tc>
          <w:tcPr>
            <w:tcW w:w="576" w:type="dxa"/>
          </w:tcPr>
          <w:p w14:paraId="75AFC380" w14:textId="77777777" w:rsidR="00806997" w:rsidRPr="00286216" w:rsidRDefault="00806997" w:rsidP="00806997">
            <w:pPr>
              <w:pStyle w:val="StyleWisnow"/>
              <w:rPr>
                <w:color w:val="000000" w:themeColor="text1"/>
              </w:rPr>
            </w:pPr>
            <w:bookmarkStart w:id="737" w:name="n1022" w:colFirst="0" w:colLast="0"/>
            <w:bookmarkEnd w:id="736"/>
            <w:r w:rsidRPr="00286216">
              <w:rPr>
                <w:color w:val="000000" w:themeColor="text1"/>
              </w:rPr>
              <w:lastRenderedPageBreak/>
              <w:t>1022.</w:t>
            </w:r>
          </w:p>
        </w:tc>
        <w:tc>
          <w:tcPr>
            <w:tcW w:w="4818" w:type="dxa"/>
          </w:tcPr>
          <w:p w14:paraId="72EBF3B7" w14:textId="77777777" w:rsidR="00806997" w:rsidRPr="00286216" w:rsidRDefault="00806997" w:rsidP="00806997">
            <w:pPr>
              <w:pStyle w:val="StyleZakonu"/>
              <w:rPr>
                <w:color w:val="000000" w:themeColor="text1"/>
              </w:rPr>
            </w:pPr>
            <w:r w:rsidRPr="00286216">
              <w:rPr>
                <w:color w:val="000000" w:themeColor="text1"/>
              </w:rPr>
              <w:t>5. Клірингові установи та Центральний депозитарій цінних паперів для забезпечення здійснення грошових розрахунків використовують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tc>
        <w:tc>
          <w:tcPr>
            <w:tcW w:w="3686" w:type="dxa"/>
          </w:tcPr>
          <w:p w14:paraId="60F1BB2D" w14:textId="074F19F0" w:rsidR="00806997" w:rsidRPr="00286216" w:rsidRDefault="00806997" w:rsidP="0080699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563</w:t>
            </w:r>
            <w:r w:rsidRPr="00286216">
              <w:rPr>
                <w:color w:val="000000" w:themeColor="text1"/>
                <w:spacing w:val="-4"/>
              </w:rPr>
              <w:fldChar w:fldCharType="end"/>
            </w:r>
            <w:r w:rsidRPr="00286216">
              <w:rPr>
                <w:color w:val="000000" w:themeColor="text1"/>
                <w:spacing w:val="-4"/>
              </w:rPr>
              <w:t>-Н.д.Бєлькова О.В. (Реєстр.картка №403)</w:t>
            </w:r>
          </w:p>
          <w:p w14:paraId="3D17999D" w14:textId="7CAF154B" w:rsidR="00806997" w:rsidRPr="00286216" w:rsidRDefault="00806997" w:rsidP="00806997">
            <w:pPr>
              <w:pStyle w:val="StyleProp"/>
              <w:spacing w:line="180" w:lineRule="exact"/>
              <w:rPr>
                <w:color w:val="000000" w:themeColor="text1"/>
              </w:rPr>
            </w:pPr>
            <w:r w:rsidRPr="00286216">
              <w:rPr>
                <w:color w:val="000000" w:themeColor="text1"/>
              </w:rPr>
              <w:t>Абзац 1 ч. 5 статті 54 викласти у редакції:</w:t>
            </w:r>
          </w:p>
          <w:p w14:paraId="34A68564" w14:textId="4B679E90" w:rsidR="00806997" w:rsidRPr="00286216" w:rsidRDefault="00806997" w:rsidP="00806997">
            <w:pPr>
              <w:pStyle w:val="StyleProp"/>
              <w:spacing w:line="180" w:lineRule="exact"/>
              <w:rPr>
                <w:color w:val="000000" w:themeColor="text1"/>
                <w:szCs w:val="18"/>
              </w:rPr>
            </w:pPr>
            <w:r w:rsidRPr="00286216">
              <w:rPr>
                <w:color w:val="000000" w:themeColor="text1"/>
              </w:rPr>
              <w:t>"5. Клірингові установи та Центральний депозитарій цінних паперів для здійснення розрахунків в системі клірингового обліку та/або організації проведення розрахунків</w:t>
            </w:r>
            <w:r w:rsidRPr="00286216" w:rsidDel="009D4A3D">
              <w:rPr>
                <w:color w:val="000000" w:themeColor="text1"/>
              </w:rPr>
              <w:t xml:space="preserve"> </w:t>
            </w:r>
            <w:r w:rsidRPr="00286216">
              <w:rPr>
                <w:color w:val="000000" w:themeColor="text1"/>
              </w:rPr>
              <w:t>використовують виключно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tc>
        <w:tc>
          <w:tcPr>
            <w:tcW w:w="1987" w:type="dxa"/>
          </w:tcPr>
          <w:p w14:paraId="73581136"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14993430" w14:textId="6DCF6EBE" w:rsidR="00806997" w:rsidRPr="00286216" w:rsidRDefault="00806997" w:rsidP="00806997">
            <w:pPr>
              <w:pStyle w:val="StyleZakonu"/>
              <w:rPr>
                <w:color w:val="000000" w:themeColor="text1"/>
              </w:rPr>
            </w:pPr>
            <w:r w:rsidRPr="00286216">
              <w:rPr>
                <w:color w:val="000000" w:themeColor="text1"/>
              </w:rPr>
              <w:t>5. Клірингові установи та Центральний депозитарій цінних паперів для здійснення розрахунків у системі клірингового обліку та/або організації проведення розрахунків</w:t>
            </w:r>
            <w:r w:rsidRPr="00286216" w:rsidDel="009D4A3D">
              <w:rPr>
                <w:color w:val="000000" w:themeColor="text1"/>
              </w:rPr>
              <w:t xml:space="preserve"> </w:t>
            </w:r>
            <w:r w:rsidRPr="00286216">
              <w:rPr>
                <w:color w:val="000000" w:themeColor="text1"/>
              </w:rPr>
              <w:t>використовують виключно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tc>
      </w:tr>
      <w:tr w:rsidR="00806997" w:rsidRPr="00286216" w14:paraId="5A7F7660" w14:textId="77777777" w:rsidTr="00091AA5">
        <w:tc>
          <w:tcPr>
            <w:tcW w:w="576" w:type="dxa"/>
          </w:tcPr>
          <w:p w14:paraId="7B9BABE6" w14:textId="77777777" w:rsidR="00806997" w:rsidRPr="00286216" w:rsidRDefault="00806997" w:rsidP="00806997">
            <w:pPr>
              <w:pStyle w:val="StyleWisnow"/>
              <w:rPr>
                <w:color w:val="000000" w:themeColor="text1"/>
              </w:rPr>
            </w:pPr>
            <w:bookmarkStart w:id="738" w:name="n1023" w:colFirst="0" w:colLast="0"/>
            <w:bookmarkEnd w:id="737"/>
            <w:r w:rsidRPr="00286216">
              <w:rPr>
                <w:color w:val="000000" w:themeColor="text1"/>
              </w:rPr>
              <w:t>1023.</w:t>
            </w:r>
          </w:p>
        </w:tc>
        <w:tc>
          <w:tcPr>
            <w:tcW w:w="4818" w:type="dxa"/>
          </w:tcPr>
          <w:p w14:paraId="1E1E8095" w14:textId="77777777" w:rsidR="00806997" w:rsidRPr="00286216" w:rsidRDefault="00806997" w:rsidP="00806997">
            <w:pPr>
              <w:pStyle w:val="StyleZakonu"/>
              <w:rPr>
                <w:color w:val="000000" w:themeColor="text1"/>
              </w:rPr>
            </w:pPr>
            <w:r w:rsidRPr="00286216">
              <w:rPr>
                <w:color w:val="000000" w:themeColor="text1"/>
              </w:rPr>
              <w:t>Кошти фізичних та юридичних осіб, чиї зобов’язання допущені до клірингу, зараховані на рахунки особи, що здійснюють клірингову діяльність для здійснення/забезпечення розрахунків за правочинами щодо цінних паперів та інших фінансових інструментів, не є доходами такої особи.</w:t>
            </w:r>
          </w:p>
        </w:tc>
        <w:tc>
          <w:tcPr>
            <w:tcW w:w="3686" w:type="dxa"/>
          </w:tcPr>
          <w:p w14:paraId="13378882" w14:textId="016B6E3B" w:rsidR="00806997" w:rsidRPr="00286216" w:rsidRDefault="00806997" w:rsidP="00806997">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564</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547C956D" w14:textId="77777777" w:rsidR="00806997" w:rsidRPr="00286216" w:rsidRDefault="00806997" w:rsidP="00806997">
            <w:pPr>
              <w:spacing w:line="190" w:lineRule="exact"/>
              <w:ind w:firstLine="227"/>
              <w:jc w:val="both"/>
              <w:rPr>
                <w:color w:val="000000" w:themeColor="text1"/>
                <w:sz w:val="18"/>
              </w:rPr>
            </w:pPr>
            <w:r w:rsidRPr="00286216">
              <w:rPr>
                <w:color w:val="000000" w:themeColor="text1"/>
                <w:sz w:val="18"/>
              </w:rPr>
              <w:t>У абзаці 2 частини 5 статті 54 розділу 1 слово «здійснюють» замінити на слово «здійснює», а слова «за правочинами щодо цінних паперів та інших фінансових інструментів» виключити.</w:t>
            </w:r>
          </w:p>
        </w:tc>
        <w:tc>
          <w:tcPr>
            <w:tcW w:w="1987" w:type="dxa"/>
          </w:tcPr>
          <w:p w14:paraId="4888BC0F" w14:textId="6CBF601E"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40A379AB" w14:textId="0BC31D57" w:rsidR="00806997" w:rsidRPr="00286216" w:rsidRDefault="00806997" w:rsidP="00806997">
            <w:pPr>
              <w:pStyle w:val="StyleZakonu"/>
              <w:rPr>
                <w:color w:val="000000" w:themeColor="text1"/>
              </w:rPr>
            </w:pPr>
            <w:r w:rsidRPr="00286216">
              <w:rPr>
                <w:color w:val="000000" w:themeColor="text1"/>
              </w:rPr>
              <w:t xml:space="preserve">Кошти фізичних та юридичних осіб, зобов’язання яких допущені до клірингу, зараховані на рахунки особи, яка </w:t>
            </w:r>
            <w:r w:rsidRPr="00286216">
              <w:rPr>
                <w:rFonts w:eastAsia="Calibri"/>
                <w:color w:val="000000" w:themeColor="text1"/>
              </w:rPr>
              <w:t>здійснює</w:t>
            </w:r>
            <w:r w:rsidRPr="00286216">
              <w:rPr>
                <w:color w:val="000000" w:themeColor="text1"/>
              </w:rPr>
              <w:t xml:space="preserve"> клірингову діяльність, для здійснення/забезпечення розрахунків, не є доходами такої особи.</w:t>
            </w:r>
          </w:p>
        </w:tc>
      </w:tr>
      <w:tr w:rsidR="00806997" w:rsidRPr="00286216" w14:paraId="11B5DB48" w14:textId="77777777" w:rsidTr="00091AA5">
        <w:tc>
          <w:tcPr>
            <w:tcW w:w="576" w:type="dxa"/>
          </w:tcPr>
          <w:p w14:paraId="66ED383C" w14:textId="77777777" w:rsidR="00806997" w:rsidRPr="00286216" w:rsidRDefault="00806997" w:rsidP="00806997">
            <w:pPr>
              <w:pStyle w:val="StyleWisnow"/>
              <w:rPr>
                <w:color w:val="000000" w:themeColor="text1"/>
              </w:rPr>
            </w:pPr>
            <w:bookmarkStart w:id="739" w:name="n1024" w:colFirst="0" w:colLast="0"/>
            <w:bookmarkEnd w:id="738"/>
            <w:r w:rsidRPr="00286216">
              <w:rPr>
                <w:color w:val="000000" w:themeColor="text1"/>
              </w:rPr>
              <w:t>1024.</w:t>
            </w:r>
          </w:p>
        </w:tc>
        <w:tc>
          <w:tcPr>
            <w:tcW w:w="4818" w:type="dxa"/>
          </w:tcPr>
          <w:p w14:paraId="35933D33" w14:textId="77777777" w:rsidR="00806997" w:rsidRPr="00286216" w:rsidRDefault="00806997" w:rsidP="00806997">
            <w:pPr>
              <w:pStyle w:val="StyleZakonu"/>
              <w:rPr>
                <w:color w:val="000000" w:themeColor="text1"/>
              </w:rPr>
            </w:pPr>
            <w:r w:rsidRPr="00286216">
              <w:rPr>
                <w:color w:val="000000" w:themeColor="text1"/>
              </w:rPr>
              <w:t>Не допускається забезпечення позову шляхом накладення арешту на рахунки особи, що здійснюють клірингову діяльність, на яких обліковуються кошти фізичних та юридичних осіб, чиї зобов’язання допущені до клірингу, зараховані для здійснення/забезпечення розрахунків за правочинами щодо цінних паперів та інших фінансових інструментів</w:t>
            </w:r>
          </w:p>
        </w:tc>
        <w:tc>
          <w:tcPr>
            <w:tcW w:w="3686" w:type="dxa"/>
          </w:tcPr>
          <w:p w14:paraId="6C9F9A7A" w14:textId="256FD7E9" w:rsidR="00806997" w:rsidRPr="00286216" w:rsidRDefault="00806997" w:rsidP="00806997">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565</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41F62911" w14:textId="77777777" w:rsidR="00806997" w:rsidRPr="00286216" w:rsidRDefault="00806997" w:rsidP="00806997">
            <w:pPr>
              <w:pStyle w:val="StyleProp"/>
              <w:spacing w:line="180" w:lineRule="exact"/>
              <w:rPr>
                <w:color w:val="000000" w:themeColor="text1"/>
              </w:rPr>
            </w:pPr>
            <w:r w:rsidRPr="00286216">
              <w:rPr>
                <w:color w:val="000000" w:themeColor="text1"/>
              </w:rPr>
              <w:t>Абзац третій пункту 5 статті 54  після слів «фінансових інструментів» доповнити словами «крім випадків передбачених статтею 59 цього Закону».</w:t>
            </w:r>
          </w:p>
          <w:p w14:paraId="5346CD4D" w14:textId="77777777" w:rsidR="00806997" w:rsidRPr="00286216" w:rsidRDefault="00806997" w:rsidP="00806997">
            <w:pPr>
              <w:spacing w:line="220" w:lineRule="exact"/>
              <w:rPr>
                <w:b/>
                <w:i/>
                <w:color w:val="000000" w:themeColor="text1"/>
                <w:sz w:val="18"/>
                <w:u w:val="single"/>
              </w:rPr>
            </w:pPr>
          </w:p>
          <w:p w14:paraId="5E3EE4C1" w14:textId="77777777" w:rsidR="00806997" w:rsidRPr="00286216" w:rsidRDefault="00806997" w:rsidP="00806997">
            <w:pPr>
              <w:spacing w:line="220" w:lineRule="exact"/>
              <w:rPr>
                <w:b/>
                <w:i/>
                <w:color w:val="000000" w:themeColor="text1"/>
                <w:sz w:val="18"/>
                <w:u w:val="single"/>
              </w:rPr>
            </w:pPr>
          </w:p>
          <w:p w14:paraId="2DDA9B87" w14:textId="77777777" w:rsidR="00806997" w:rsidRPr="00286216" w:rsidRDefault="00806997" w:rsidP="00806997">
            <w:pPr>
              <w:spacing w:line="220" w:lineRule="exact"/>
              <w:rPr>
                <w:b/>
                <w:i/>
                <w:color w:val="000000" w:themeColor="text1"/>
                <w:sz w:val="18"/>
                <w:u w:val="single"/>
              </w:rPr>
            </w:pPr>
          </w:p>
          <w:p w14:paraId="368D5499" w14:textId="77777777" w:rsidR="00806997" w:rsidRPr="00286216" w:rsidRDefault="00806997" w:rsidP="00806997">
            <w:pPr>
              <w:spacing w:line="220" w:lineRule="exact"/>
              <w:rPr>
                <w:b/>
                <w:i/>
                <w:color w:val="000000" w:themeColor="text1"/>
                <w:sz w:val="18"/>
                <w:u w:val="single"/>
              </w:rPr>
            </w:pPr>
          </w:p>
          <w:p w14:paraId="66F34127" w14:textId="6F915702"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566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D1771A0" w14:textId="77777777" w:rsidR="00806997" w:rsidRPr="00286216" w:rsidRDefault="00806997" w:rsidP="00806997">
            <w:pPr>
              <w:spacing w:line="200" w:lineRule="exact"/>
              <w:ind w:firstLine="227"/>
              <w:jc w:val="both"/>
              <w:rPr>
                <w:color w:val="000000" w:themeColor="text1"/>
                <w:spacing w:val="-2"/>
                <w:sz w:val="18"/>
              </w:rPr>
            </w:pPr>
            <w:r w:rsidRPr="00286216">
              <w:rPr>
                <w:color w:val="000000" w:themeColor="text1"/>
                <w:spacing w:val="-2"/>
                <w:sz w:val="18"/>
              </w:rPr>
              <w:t>Абз.3 част.5 ст.54 викласти у такій редакції:</w:t>
            </w:r>
          </w:p>
          <w:p w14:paraId="276ED5A7" w14:textId="6D96A784" w:rsidR="00806997" w:rsidRPr="00286216" w:rsidRDefault="00806997" w:rsidP="00806997">
            <w:pPr>
              <w:spacing w:line="180" w:lineRule="exact"/>
              <w:ind w:firstLine="227"/>
              <w:jc w:val="both"/>
              <w:rPr>
                <w:color w:val="000000" w:themeColor="text1"/>
                <w:spacing w:val="-2"/>
              </w:rPr>
            </w:pPr>
            <w:r w:rsidRPr="00286216">
              <w:rPr>
                <w:color w:val="000000" w:themeColor="text1"/>
                <w:spacing w:val="-2"/>
                <w:sz w:val="18"/>
              </w:rPr>
              <w:t>"Не допускається накладення арешту та/або звернення стягнення на кошти на рахунках особи, яка здійснює клірингову діяльність, зараховані для здійснення/забезпечення розрахунків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w:t>
            </w:r>
          </w:p>
        </w:tc>
        <w:tc>
          <w:tcPr>
            <w:tcW w:w="1987" w:type="dxa"/>
          </w:tcPr>
          <w:p w14:paraId="620728EE" w14:textId="77777777" w:rsidR="00806997" w:rsidRPr="00286216" w:rsidRDefault="00806997" w:rsidP="00806997">
            <w:pPr>
              <w:pStyle w:val="StyleWisnow"/>
              <w:spacing w:line="180" w:lineRule="exact"/>
              <w:rPr>
                <w:color w:val="000000" w:themeColor="text1"/>
              </w:rPr>
            </w:pPr>
            <w:r w:rsidRPr="00286216">
              <w:rPr>
                <w:color w:val="000000" w:themeColor="text1"/>
              </w:rPr>
              <w:t>Відхилено</w:t>
            </w:r>
          </w:p>
          <w:p w14:paraId="48AA49CE" w14:textId="7C1A2BD4" w:rsidR="00806997" w:rsidRPr="00286216" w:rsidRDefault="00806997" w:rsidP="00806997">
            <w:pPr>
              <w:pStyle w:val="StyleWisnow"/>
              <w:spacing w:line="180" w:lineRule="exact"/>
              <w:rPr>
                <w:color w:val="000000" w:themeColor="text1"/>
              </w:rPr>
            </w:pPr>
            <w:r w:rsidRPr="00286216">
              <w:rPr>
                <w:color w:val="000000" w:themeColor="text1"/>
              </w:rPr>
              <w:t>арешт коштів, зарахованих для розрахунків на ринках, зменшує гарантії розрахунків та  стабільність системи, окрім того, стаття 64 має інше нормативне спрямування</w:t>
            </w:r>
          </w:p>
          <w:p w14:paraId="47DE50A2" w14:textId="081BDB36" w:rsidR="00806997" w:rsidRPr="00286216" w:rsidRDefault="00806997" w:rsidP="00806997">
            <w:pPr>
              <w:pStyle w:val="StyleWisnow"/>
              <w:rPr>
                <w:color w:val="000000" w:themeColor="text1"/>
              </w:rPr>
            </w:pPr>
            <w:r w:rsidRPr="00286216">
              <w:rPr>
                <w:color w:val="000000" w:themeColor="text1"/>
              </w:rPr>
              <w:t>Враховано</w:t>
            </w:r>
          </w:p>
          <w:p w14:paraId="36C826CD" w14:textId="77777777" w:rsidR="00806997" w:rsidRPr="00286216" w:rsidRDefault="00806997" w:rsidP="00806997">
            <w:pPr>
              <w:pStyle w:val="StyleProp"/>
              <w:ind w:firstLine="0"/>
              <w:jc w:val="left"/>
              <w:rPr>
                <w:color w:val="000000" w:themeColor="text1"/>
              </w:rPr>
            </w:pPr>
          </w:p>
        </w:tc>
        <w:tc>
          <w:tcPr>
            <w:tcW w:w="4818" w:type="dxa"/>
          </w:tcPr>
          <w:p w14:paraId="3785590B" w14:textId="31BBFDAC" w:rsidR="00806997" w:rsidRPr="00286216" w:rsidRDefault="00806997" w:rsidP="00806997">
            <w:pPr>
              <w:pStyle w:val="StyleZakonu"/>
              <w:rPr>
                <w:color w:val="000000" w:themeColor="text1"/>
                <w:szCs w:val="18"/>
              </w:rPr>
            </w:pPr>
            <w:r w:rsidRPr="00286216">
              <w:rPr>
                <w:color w:val="000000" w:themeColor="text1"/>
              </w:rPr>
              <w:t>Н</w:t>
            </w:r>
            <w:r w:rsidRPr="00286216">
              <w:rPr>
                <w:color w:val="000000" w:themeColor="text1"/>
                <w:szCs w:val="18"/>
              </w:rPr>
              <w:t xml:space="preserve">е допускається накладення арешту та/або звернення стягнення на кошти на рахунках особи, яка здійснює клірингову діяльність, зараховані для здійснення/забезпечення розрахунків за деривативними контрактами, правочинами щодо фінансових інструментів, </w:t>
            </w:r>
            <w:r w:rsidRPr="00286216">
              <w:rPr>
                <w:color w:val="000000" w:themeColor="text1"/>
              </w:rPr>
              <w:t>щодо валютних цінностей та товарними операціями, укладеними на організованому ринку та поза ним.</w:t>
            </w:r>
          </w:p>
        </w:tc>
      </w:tr>
      <w:tr w:rsidR="00806997" w:rsidRPr="00286216" w14:paraId="19610AA5" w14:textId="77777777" w:rsidTr="00091AA5">
        <w:tc>
          <w:tcPr>
            <w:tcW w:w="576" w:type="dxa"/>
          </w:tcPr>
          <w:p w14:paraId="08AA1C4C" w14:textId="77777777" w:rsidR="00806997" w:rsidRPr="00286216" w:rsidRDefault="00806997" w:rsidP="00806997">
            <w:pPr>
              <w:pStyle w:val="StyleWisnow"/>
              <w:rPr>
                <w:color w:val="000000" w:themeColor="text1"/>
              </w:rPr>
            </w:pPr>
            <w:bookmarkStart w:id="740" w:name="n1025" w:colFirst="0" w:colLast="0"/>
            <w:bookmarkEnd w:id="739"/>
            <w:r w:rsidRPr="00286216">
              <w:rPr>
                <w:color w:val="000000" w:themeColor="text1"/>
              </w:rPr>
              <w:t>1025.</w:t>
            </w:r>
          </w:p>
        </w:tc>
        <w:tc>
          <w:tcPr>
            <w:tcW w:w="4818" w:type="dxa"/>
          </w:tcPr>
          <w:p w14:paraId="010C3980" w14:textId="77777777" w:rsidR="00806997" w:rsidRPr="00286216" w:rsidRDefault="00806997" w:rsidP="00806997">
            <w:pPr>
              <w:pStyle w:val="StyleZakonu"/>
              <w:rPr>
                <w:color w:val="000000" w:themeColor="text1"/>
              </w:rPr>
            </w:pPr>
            <w:r w:rsidRPr="00286216">
              <w:rPr>
                <w:color w:val="000000" w:themeColor="text1"/>
              </w:rPr>
              <w:t>6. Для провадження господарської діяльності особи, що здійснюють клірингову діяльність відкривають рахунки в банках.</w:t>
            </w:r>
          </w:p>
        </w:tc>
        <w:tc>
          <w:tcPr>
            <w:tcW w:w="3686" w:type="dxa"/>
          </w:tcPr>
          <w:p w14:paraId="11199015" w14:textId="369A1350" w:rsidR="00806997" w:rsidRPr="00286216" w:rsidRDefault="00806997" w:rsidP="0080699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567</w:t>
            </w:r>
            <w:r w:rsidRPr="00286216">
              <w:rPr>
                <w:color w:val="000000" w:themeColor="text1"/>
                <w:spacing w:val="-4"/>
              </w:rPr>
              <w:fldChar w:fldCharType="end"/>
            </w:r>
            <w:r w:rsidRPr="00286216">
              <w:rPr>
                <w:color w:val="000000" w:themeColor="text1"/>
                <w:spacing w:val="-4"/>
              </w:rPr>
              <w:t>-Н.д.Бєлькова О.В. (Реєстр.картка №403)</w:t>
            </w:r>
          </w:p>
          <w:p w14:paraId="1CB93518" w14:textId="65DA6318" w:rsidR="00806997" w:rsidRPr="00286216" w:rsidRDefault="00806997" w:rsidP="00806997">
            <w:pPr>
              <w:pStyle w:val="StyleProp"/>
              <w:spacing w:line="180" w:lineRule="exact"/>
              <w:rPr>
                <w:color w:val="000000" w:themeColor="text1"/>
              </w:rPr>
            </w:pPr>
            <w:r w:rsidRPr="00286216">
              <w:rPr>
                <w:color w:val="000000" w:themeColor="text1"/>
              </w:rPr>
              <w:t>Частину 6 статті 54 викласти у редакції:</w:t>
            </w:r>
          </w:p>
          <w:p w14:paraId="4D068538" w14:textId="2B176C94" w:rsidR="00806997" w:rsidRPr="00286216" w:rsidRDefault="00806997" w:rsidP="00806997">
            <w:pPr>
              <w:pStyle w:val="StyleProp"/>
              <w:spacing w:line="180" w:lineRule="exact"/>
              <w:rPr>
                <w:color w:val="000000" w:themeColor="text1"/>
                <w:szCs w:val="18"/>
              </w:rPr>
            </w:pPr>
            <w:r w:rsidRPr="00286216">
              <w:rPr>
                <w:color w:val="000000" w:themeColor="text1"/>
              </w:rPr>
              <w:t xml:space="preserve">"6. Для здійснення операцій інших, ніж зазначені у частині пʼятій цієї статті, особи, </w:t>
            </w:r>
            <w:r w:rsidRPr="00286216">
              <w:rPr>
                <w:color w:val="000000" w:themeColor="text1"/>
              </w:rPr>
              <w:lastRenderedPageBreak/>
              <w:t>які провадять клірингову діяльність, відкривають рахунки в банках".</w:t>
            </w:r>
          </w:p>
        </w:tc>
        <w:tc>
          <w:tcPr>
            <w:tcW w:w="1987" w:type="dxa"/>
          </w:tcPr>
          <w:p w14:paraId="0E318526" w14:textId="34B5F095" w:rsidR="00806997" w:rsidRPr="00286216" w:rsidRDefault="00806997" w:rsidP="00806997">
            <w:pPr>
              <w:pStyle w:val="StyleWisnow"/>
              <w:rPr>
                <w:color w:val="000000" w:themeColor="text1"/>
              </w:rPr>
            </w:pPr>
            <w:r w:rsidRPr="00286216">
              <w:rPr>
                <w:color w:val="000000" w:themeColor="text1"/>
              </w:rPr>
              <w:lastRenderedPageBreak/>
              <w:t>Враховано</w:t>
            </w:r>
          </w:p>
        </w:tc>
        <w:tc>
          <w:tcPr>
            <w:tcW w:w="4818" w:type="dxa"/>
          </w:tcPr>
          <w:p w14:paraId="1CCDAC8B" w14:textId="4B417DF9" w:rsidR="00806997" w:rsidRPr="00286216" w:rsidRDefault="00806997" w:rsidP="00806997">
            <w:pPr>
              <w:pStyle w:val="StyleZakonu"/>
              <w:rPr>
                <w:color w:val="000000" w:themeColor="text1"/>
              </w:rPr>
            </w:pPr>
            <w:r w:rsidRPr="00286216">
              <w:rPr>
                <w:color w:val="000000" w:themeColor="text1"/>
              </w:rPr>
              <w:t>6. Для здійснення операцій, інших, ніж зазначені у частині пʼятій цієї статті, особи, які провадять клірингову діяльність, відкривають рахунки в банках.</w:t>
            </w:r>
          </w:p>
        </w:tc>
      </w:tr>
      <w:tr w:rsidR="00806997" w:rsidRPr="00286216" w14:paraId="687566AC" w14:textId="77777777" w:rsidTr="00091AA5">
        <w:tc>
          <w:tcPr>
            <w:tcW w:w="576" w:type="dxa"/>
          </w:tcPr>
          <w:p w14:paraId="3AE20D9F" w14:textId="77777777" w:rsidR="00806997" w:rsidRPr="00286216" w:rsidRDefault="00806997" w:rsidP="00806997">
            <w:pPr>
              <w:pStyle w:val="StyleWisnow"/>
              <w:rPr>
                <w:color w:val="000000" w:themeColor="text1"/>
              </w:rPr>
            </w:pPr>
            <w:bookmarkStart w:id="741" w:name="n1026" w:colFirst="0" w:colLast="0"/>
            <w:bookmarkEnd w:id="740"/>
            <w:r w:rsidRPr="00286216">
              <w:rPr>
                <w:color w:val="000000" w:themeColor="text1"/>
              </w:rPr>
              <w:t>1026.</w:t>
            </w:r>
          </w:p>
        </w:tc>
        <w:tc>
          <w:tcPr>
            <w:tcW w:w="4818" w:type="dxa"/>
          </w:tcPr>
          <w:p w14:paraId="0D3150A6" w14:textId="77777777" w:rsidR="00806997" w:rsidRPr="00286216" w:rsidRDefault="00806997" w:rsidP="00806997">
            <w:pPr>
              <w:pStyle w:val="StyleZakonu"/>
              <w:rPr>
                <w:color w:val="000000" w:themeColor="text1"/>
              </w:rPr>
            </w:pPr>
            <w:r w:rsidRPr="00286216">
              <w:rPr>
                <w:color w:val="000000" w:themeColor="text1"/>
              </w:rPr>
              <w:t>7. Особи, що здійснюють клірингову діяльність на підставі договору з учасниками клірингу мають право формувати гарантійні та інші фонди з метою забезпечення виконання зобов’язань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та товарними операціями.</w:t>
            </w:r>
          </w:p>
        </w:tc>
        <w:tc>
          <w:tcPr>
            <w:tcW w:w="3686" w:type="dxa"/>
          </w:tcPr>
          <w:p w14:paraId="37EFB983" w14:textId="6B30642C"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568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2AC9BD4" w14:textId="77777777" w:rsidR="00806997" w:rsidRPr="00286216" w:rsidRDefault="00806997" w:rsidP="00806997">
            <w:pPr>
              <w:pStyle w:val="StyleProp"/>
              <w:spacing w:line="190" w:lineRule="exact"/>
              <w:rPr>
                <w:color w:val="000000" w:themeColor="text1"/>
                <w:spacing w:val="-2"/>
                <w:szCs w:val="18"/>
              </w:rPr>
            </w:pPr>
            <w:r w:rsidRPr="00286216">
              <w:rPr>
                <w:color w:val="000000" w:themeColor="text1"/>
                <w:spacing w:val="-2"/>
                <w:szCs w:val="18"/>
              </w:rPr>
              <w:t>Частину сьому і восьму статті 54 замінити трьома новими частинами такого змісту:</w:t>
            </w:r>
          </w:p>
          <w:p w14:paraId="391FC9FB" w14:textId="77777777" w:rsidR="00806997" w:rsidRPr="00286216" w:rsidRDefault="00806997" w:rsidP="00806997">
            <w:pPr>
              <w:pStyle w:val="StyleProp"/>
              <w:spacing w:line="190" w:lineRule="exact"/>
              <w:rPr>
                <w:color w:val="000000" w:themeColor="text1"/>
                <w:spacing w:val="-2"/>
                <w:szCs w:val="18"/>
              </w:rPr>
            </w:pPr>
            <w:r w:rsidRPr="00286216">
              <w:rPr>
                <w:color w:val="000000" w:themeColor="text1"/>
                <w:spacing w:val="-2"/>
                <w:szCs w:val="18"/>
              </w:rPr>
              <w:t>"7. Особи, які провадять клірингову діяльність, для провадження клірингової діяльності щодо цінних паперів зобов’язані протягом трьох місяців з дня отримання ліцензії на провадження клірингової діяльності з визначення зобов’язань укласти договір про проведення розрахунків у цінних паперах за результатами клірингу з Центральним депозитарієм цінних паперів або Національним банком України відповідно до компетенції, визначеної законом.</w:t>
            </w:r>
          </w:p>
          <w:p w14:paraId="13946E50" w14:textId="77777777" w:rsidR="00806997" w:rsidRPr="00286216" w:rsidRDefault="00806997" w:rsidP="00806997">
            <w:pPr>
              <w:pStyle w:val="StyleProp"/>
              <w:spacing w:line="190" w:lineRule="exact"/>
              <w:rPr>
                <w:color w:val="000000" w:themeColor="text1"/>
                <w:spacing w:val="-2"/>
                <w:szCs w:val="18"/>
              </w:rPr>
            </w:pPr>
            <w:r w:rsidRPr="00286216">
              <w:rPr>
                <w:color w:val="000000" w:themeColor="text1"/>
                <w:spacing w:val="-2"/>
                <w:szCs w:val="18"/>
              </w:rPr>
              <w:t>Вимоги до зазначених у цій частині договорів установлюються Національною комісією з цінних паперів та фондового ринку. У разі якщо Національний банк України є стороною зазначених договорів, вимоги до таких договорів встановлюються за погодженням з Національним банком України.</w:t>
            </w:r>
          </w:p>
          <w:p w14:paraId="4058BB85" w14:textId="77777777" w:rsidR="00806997" w:rsidRPr="00286216" w:rsidRDefault="00806997" w:rsidP="00806997">
            <w:pPr>
              <w:pStyle w:val="StyleProp"/>
              <w:spacing w:line="190" w:lineRule="exact"/>
              <w:rPr>
                <w:color w:val="000000" w:themeColor="text1"/>
                <w:spacing w:val="-2"/>
                <w:szCs w:val="18"/>
              </w:rPr>
            </w:pPr>
            <w:r w:rsidRPr="00286216">
              <w:rPr>
                <w:color w:val="000000" w:themeColor="text1"/>
                <w:spacing w:val="-2"/>
                <w:szCs w:val="18"/>
              </w:rPr>
              <w:t>До моменту укладення зазначених у цій частині договорів особи, що провадять клірингову діяльність, не мають права провадити клірингову діяльність щодо цінних паперів.</w:t>
            </w:r>
          </w:p>
          <w:p w14:paraId="43B7B853" w14:textId="271EA998" w:rsidR="00806997" w:rsidRPr="00286216" w:rsidRDefault="00806997" w:rsidP="00806997">
            <w:pPr>
              <w:pStyle w:val="StyleProp"/>
              <w:spacing w:line="190" w:lineRule="exact"/>
              <w:rPr>
                <w:color w:val="000000" w:themeColor="text1"/>
                <w:szCs w:val="18"/>
              </w:rPr>
            </w:pPr>
            <w:r w:rsidRPr="00286216">
              <w:rPr>
                <w:color w:val="000000" w:themeColor="text1"/>
                <w:spacing w:val="-2"/>
                <w:szCs w:val="18"/>
              </w:rPr>
              <w:t>8. Особи, які провадять клірингову діяльність, на підставі договору з учасниками клірингу мають право формувати гарантійні та інші фонди з метою забезпечення виконання зобов’язань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w:t>
            </w:r>
          </w:p>
        </w:tc>
        <w:tc>
          <w:tcPr>
            <w:tcW w:w="1987" w:type="dxa"/>
          </w:tcPr>
          <w:p w14:paraId="7A273000"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2280ADEE" w14:textId="77777777" w:rsidR="00806997" w:rsidRPr="00286216" w:rsidRDefault="00806997" w:rsidP="00806997">
            <w:pPr>
              <w:pStyle w:val="StyleZakonu"/>
              <w:rPr>
                <w:color w:val="000000" w:themeColor="text1"/>
              </w:rPr>
            </w:pPr>
            <w:r w:rsidRPr="00286216">
              <w:rPr>
                <w:color w:val="000000" w:themeColor="text1"/>
              </w:rPr>
              <w:t>7. Особи, які провадять клірингову діяльність, для провадження клірингової діяльності щодо цінних паперів зобов’язані протягом трьох місяців з дня отримання ліцензії на провадження клірингової діяльності з визначення зобов’язань укласти договір про проведення розрахунків у цінних паперах за результатами клірингу з Центральним депозитарієм цінних паперів або Національним банком України відповідно до компетенції, визначеної законом.</w:t>
            </w:r>
          </w:p>
          <w:p w14:paraId="3D9D3969" w14:textId="77777777" w:rsidR="00806997" w:rsidRPr="00286216" w:rsidRDefault="00806997" w:rsidP="00806997">
            <w:pPr>
              <w:pStyle w:val="StyleZakonu"/>
              <w:rPr>
                <w:color w:val="000000" w:themeColor="text1"/>
              </w:rPr>
            </w:pPr>
            <w:r w:rsidRPr="00286216">
              <w:rPr>
                <w:color w:val="000000" w:themeColor="text1"/>
              </w:rPr>
              <w:t>Вимоги до зазначених у цій частині договорів установлюються Національною комісією з цінних паперів та фондового ринку. У разі якщо Національний банк України є стороною зазначених договорів, вимоги до таких договорів встановлюються за погодженням із Національним банком України.</w:t>
            </w:r>
          </w:p>
          <w:p w14:paraId="53B04297" w14:textId="77777777" w:rsidR="00806997" w:rsidRPr="00286216" w:rsidRDefault="00806997" w:rsidP="00806997">
            <w:pPr>
              <w:pStyle w:val="StyleZakonu"/>
              <w:rPr>
                <w:color w:val="000000" w:themeColor="text1"/>
              </w:rPr>
            </w:pPr>
            <w:r w:rsidRPr="00286216">
              <w:rPr>
                <w:color w:val="000000" w:themeColor="text1"/>
              </w:rPr>
              <w:t>До моменту укладення зазначених у цій частині договорів особи, які провадять клірингову діяльність, не мають права провадити клірингову діяльність щодо цінних паперів.</w:t>
            </w:r>
          </w:p>
          <w:p w14:paraId="2F303BDD" w14:textId="2BF785B4" w:rsidR="00806997" w:rsidRPr="00286216" w:rsidRDefault="00806997" w:rsidP="00806997">
            <w:pPr>
              <w:pStyle w:val="StyleZakonu"/>
              <w:rPr>
                <w:color w:val="000000" w:themeColor="text1"/>
              </w:rPr>
            </w:pPr>
            <w:r w:rsidRPr="00286216">
              <w:rPr>
                <w:color w:val="000000" w:themeColor="text1"/>
              </w:rPr>
              <w:t>8. Особи, які провадять клірингову діяльність, на підставі договору з учасниками клірингу мають право формувати гарантійні та інші фонди з метою забезпечення виконання зобов’язань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w:t>
            </w:r>
          </w:p>
        </w:tc>
      </w:tr>
      <w:tr w:rsidR="00806997" w:rsidRPr="00286216" w14:paraId="7AF60614" w14:textId="77777777" w:rsidTr="00091AA5">
        <w:tc>
          <w:tcPr>
            <w:tcW w:w="576" w:type="dxa"/>
          </w:tcPr>
          <w:p w14:paraId="7AF0C912" w14:textId="77777777" w:rsidR="00806997" w:rsidRPr="00286216" w:rsidRDefault="00806997" w:rsidP="00806997">
            <w:pPr>
              <w:pStyle w:val="StyleWisnow"/>
              <w:rPr>
                <w:color w:val="000000" w:themeColor="text1"/>
              </w:rPr>
            </w:pPr>
            <w:bookmarkStart w:id="742" w:name="n1027" w:colFirst="0" w:colLast="0"/>
            <w:bookmarkEnd w:id="741"/>
            <w:r w:rsidRPr="00286216">
              <w:rPr>
                <w:color w:val="000000" w:themeColor="text1"/>
              </w:rPr>
              <w:t>1027.</w:t>
            </w:r>
          </w:p>
        </w:tc>
        <w:tc>
          <w:tcPr>
            <w:tcW w:w="4818" w:type="dxa"/>
          </w:tcPr>
          <w:p w14:paraId="025EA9A9" w14:textId="77777777" w:rsidR="00806997" w:rsidRPr="00286216" w:rsidRDefault="00806997" w:rsidP="00806997">
            <w:pPr>
              <w:pStyle w:val="StyleZakonu"/>
              <w:rPr>
                <w:color w:val="000000" w:themeColor="text1"/>
              </w:rPr>
            </w:pPr>
            <w:r w:rsidRPr="00286216">
              <w:rPr>
                <w:color w:val="000000" w:themeColor="text1"/>
              </w:rPr>
              <w:t>8. Здійснення фізичними або юридичними особами неттінгу поза межами процесу клірингу не є провадженням клірингової діяльності такими особами.</w:t>
            </w:r>
          </w:p>
        </w:tc>
        <w:tc>
          <w:tcPr>
            <w:tcW w:w="3686" w:type="dxa"/>
          </w:tcPr>
          <w:p w14:paraId="049F5E16"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9. Здійснення фізичними або юридичними особами неттінгу за власними зобов’язаннями та за зобов’язаннями перед ними, не потребує отримання ліцензії на провадження клірингової діяльності".</w:t>
            </w:r>
          </w:p>
        </w:tc>
        <w:tc>
          <w:tcPr>
            <w:tcW w:w="1987" w:type="dxa"/>
          </w:tcPr>
          <w:p w14:paraId="70E9337B" w14:textId="77777777" w:rsidR="00806997" w:rsidRPr="00286216" w:rsidRDefault="00806997" w:rsidP="00806997">
            <w:pPr>
              <w:pStyle w:val="StyleWisnow"/>
              <w:rPr>
                <w:color w:val="000000" w:themeColor="text1"/>
              </w:rPr>
            </w:pPr>
          </w:p>
        </w:tc>
        <w:tc>
          <w:tcPr>
            <w:tcW w:w="4818" w:type="dxa"/>
          </w:tcPr>
          <w:p w14:paraId="3D68DD13" w14:textId="5F847BD0" w:rsidR="00806997" w:rsidRPr="00286216" w:rsidRDefault="00806997" w:rsidP="00806997">
            <w:pPr>
              <w:pStyle w:val="StyleZakonu"/>
              <w:rPr>
                <w:color w:val="000000" w:themeColor="text1"/>
              </w:rPr>
            </w:pPr>
            <w:r w:rsidRPr="00286216">
              <w:rPr>
                <w:color w:val="000000" w:themeColor="text1"/>
              </w:rPr>
              <w:t>9. Здійснення фізичними або юридичними особами неттінгу за власними зобов’язаннями та за зобов’язаннями перед ними не потребує отримання ліцензії на провадження клірингової діяльності.</w:t>
            </w:r>
          </w:p>
        </w:tc>
      </w:tr>
      <w:tr w:rsidR="00806997" w:rsidRPr="00286216" w14:paraId="2C2460ED" w14:textId="77777777" w:rsidTr="00091AA5">
        <w:tc>
          <w:tcPr>
            <w:tcW w:w="576" w:type="dxa"/>
          </w:tcPr>
          <w:p w14:paraId="4B5427D9" w14:textId="77777777" w:rsidR="00806997" w:rsidRPr="00286216" w:rsidRDefault="00806997" w:rsidP="00806997">
            <w:pPr>
              <w:pStyle w:val="StyleWisnow"/>
              <w:rPr>
                <w:color w:val="000000" w:themeColor="text1"/>
              </w:rPr>
            </w:pPr>
          </w:p>
        </w:tc>
        <w:tc>
          <w:tcPr>
            <w:tcW w:w="4818" w:type="dxa"/>
          </w:tcPr>
          <w:p w14:paraId="76898FF6" w14:textId="77777777" w:rsidR="00806997" w:rsidRPr="00286216" w:rsidRDefault="00806997" w:rsidP="00806997">
            <w:pPr>
              <w:pStyle w:val="StyleZakonu"/>
              <w:rPr>
                <w:color w:val="000000" w:themeColor="text1"/>
              </w:rPr>
            </w:pPr>
          </w:p>
        </w:tc>
        <w:tc>
          <w:tcPr>
            <w:tcW w:w="3686" w:type="dxa"/>
          </w:tcPr>
          <w:p w14:paraId="1664D24C" w14:textId="53EBD4C7"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569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4E45FE3" w14:textId="77777777" w:rsidR="00806997" w:rsidRPr="00286216" w:rsidRDefault="00806997" w:rsidP="00806997">
            <w:pPr>
              <w:pStyle w:val="StyleProp"/>
              <w:rPr>
                <w:color w:val="000000" w:themeColor="text1"/>
                <w:spacing w:val="-9"/>
              </w:rPr>
            </w:pPr>
            <w:r w:rsidRPr="00286216">
              <w:rPr>
                <w:color w:val="000000" w:themeColor="text1"/>
                <w:spacing w:val="-9"/>
              </w:rPr>
              <w:t>Статтю 54 доповнити частиною 9 такого змісту:</w:t>
            </w:r>
          </w:p>
          <w:p w14:paraId="383F5CBC" w14:textId="62855B3C" w:rsidR="00806997" w:rsidRPr="00286216" w:rsidRDefault="00806997" w:rsidP="00806997">
            <w:pPr>
              <w:pStyle w:val="StyleProp"/>
              <w:spacing w:line="180" w:lineRule="exact"/>
              <w:rPr>
                <w:color w:val="000000" w:themeColor="text1"/>
                <w:spacing w:val="-5"/>
              </w:rPr>
            </w:pPr>
            <w:r w:rsidRPr="00286216">
              <w:rPr>
                <w:color w:val="000000" w:themeColor="text1"/>
                <w:spacing w:val="-5"/>
              </w:rPr>
              <w:t xml:space="preserve">«9. У разі здійснення однією особою, яка провадить клірингову діяльність, клірингу зобов’язань за деривативними контрактами,  правочинами щодо фінансових інструментів, , </w:t>
            </w:r>
            <w:r w:rsidRPr="00286216">
              <w:rPr>
                <w:color w:val="000000" w:themeColor="text1"/>
                <w:spacing w:val="-6"/>
              </w:rPr>
              <w:t xml:space="preserve">щодо валютних цінностей та товарними операціями, укладеними на організованому ринку та поза ним, інші особи, які провадять клірингову діяльність, не можуть здійснювати кліринг зобов’язань за цими самими </w:t>
            </w:r>
            <w:r w:rsidRPr="00286216">
              <w:rPr>
                <w:color w:val="000000" w:themeColor="text1"/>
                <w:spacing w:val="-6"/>
              </w:rPr>
              <w:lastRenderedPageBreak/>
              <w:t>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w:t>
            </w:r>
          </w:p>
        </w:tc>
        <w:tc>
          <w:tcPr>
            <w:tcW w:w="1987" w:type="dxa"/>
          </w:tcPr>
          <w:p w14:paraId="22D94DCA" w14:textId="4FFF1A6B" w:rsidR="00806997" w:rsidRPr="00286216" w:rsidRDefault="00806997" w:rsidP="00806997">
            <w:pPr>
              <w:pStyle w:val="StyleWisnow"/>
              <w:spacing w:line="180" w:lineRule="exact"/>
              <w:rPr>
                <w:color w:val="000000" w:themeColor="text1"/>
              </w:rPr>
            </w:pPr>
            <w:r w:rsidRPr="00286216">
              <w:rPr>
                <w:color w:val="000000" w:themeColor="text1"/>
              </w:rPr>
              <w:lastRenderedPageBreak/>
              <w:t>Враховано</w:t>
            </w:r>
          </w:p>
          <w:p w14:paraId="0589F5C2" w14:textId="77777777" w:rsidR="00806997" w:rsidRPr="00286216" w:rsidRDefault="00806997" w:rsidP="00806997">
            <w:pPr>
              <w:pStyle w:val="StyleWisnow"/>
              <w:spacing w:line="180" w:lineRule="exact"/>
              <w:rPr>
                <w:color w:val="000000" w:themeColor="text1"/>
              </w:rPr>
            </w:pPr>
          </w:p>
        </w:tc>
        <w:tc>
          <w:tcPr>
            <w:tcW w:w="4818" w:type="dxa"/>
          </w:tcPr>
          <w:p w14:paraId="18A5CFDF" w14:textId="152D2AC8" w:rsidR="00806997" w:rsidRPr="00286216" w:rsidRDefault="00806997" w:rsidP="00806997">
            <w:pPr>
              <w:pStyle w:val="StyleZakonu"/>
              <w:rPr>
                <w:color w:val="000000" w:themeColor="text1"/>
              </w:rPr>
            </w:pPr>
            <w:r w:rsidRPr="00286216">
              <w:rPr>
                <w:color w:val="000000" w:themeColor="text1"/>
              </w:rPr>
              <w:t xml:space="preserve">10. У разі здійснення однією особою, яка провадить клірингову діяльність, клірингу зобов’язань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 інші особи, які провадять клірингову діяльність, не можуть здійснювати кліринг зобов’язань за тими самими деривативними контрактами, правочинами </w:t>
            </w:r>
            <w:r w:rsidRPr="00286216">
              <w:rPr>
                <w:color w:val="000000" w:themeColor="text1"/>
              </w:rPr>
              <w:lastRenderedPageBreak/>
              <w:t>щодо фінансових інструментів,  щодо валютних цінностей та товарними операціями, укладеними на організованому ринку та поза ним.</w:t>
            </w:r>
          </w:p>
        </w:tc>
      </w:tr>
      <w:tr w:rsidR="00806997" w:rsidRPr="00286216" w14:paraId="582D95D1" w14:textId="77777777" w:rsidTr="00091AA5">
        <w:tc>
          <w:tcPr>
            <w:tcW w:w="576" w:type="dxa"/>
          </w:tcPr>
          <w:p w14:paraId="0AA71F72" w14:textId="77777777" w:rsidR="00806997" w:rsidRPr="00286216" w:rsidRDefault="00806997" w:rsidP="00806997">
            <w:pPr>
              <w:pStyle w:val="StyleWisnow"/>
              <w:rPr>
                <w:color w:val="000000" w:themeColor="text1"/>
              </w:rPr>
            </w:pPr>
            <w:bookmarkStart w:id="743" w:name="n1028" w:colFirst="0" w:colLast="0"/>
            <w:bookmarkEnd w:id="742"/>
            <w:r w:rsidRPr="00286216">
              <w:rPr>
                <w:color w:val="000000" w:themeColor="text1"/>
              </w:rPr>
              <w:lastRenderedPageBreak/>
              <w:t>1028.</w:t>
            </w:r>
          </w:p>
        </w:tc>
        <w:tc>
          <w:tcPr>
            <w:tcW w:w="4818" w:type="dxa"/>
          </w:tcPr>
          <w:p w14:paraId="486E067F" w14:textId="77777777" w:rsidR="00806997" w:rsidRPr="00286216" w:rsidRDefault="00806997" w:rsidP="00806997">
            <w:pPr>
              <w:pStyle w:val="StyleZakonu"/>
              <w:rPr>
                <w:color w:val="000000" w:themeColor="text1"/>
              </w:rPr>
            </w:pPr>
            <w:r w:rsidRPr="00286216">
              <w:rPr>
                <w:color w:val="000000" w:themeColor="text1"/>
              </w:rPr>
              <w:t>Стаття 55. Провадження клірингової діяльності Центрального контрагента</w:t>
            </w:r>
          </w:p>
        </w:tc>
        <w:tc>
          <w:tcPr>
            <w:tcW w:w="3686" w:type="dxa"/>
          </w:tcPr>
          <w:p w14:paraId="3FFC04D0" w14:textId="7E0C5463"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2516EC3" w14:textId="77777777" w:rsidR="00806997" w:rsidRPr="00286216" w:rsidRDefault="00806997" w:rsidP="00806997">
            <w:pPr>
              <w:pStyle w:val="StyleProp"/>
              <w:rPr>
                <w:color w:val="000000" w:themeColor="text1"/>
              </w:rPr>
            </w:pPr>
            <w:r w:rsidRPr="00286216">
              <w:rPr>
                <w:color w:val="000000" w:themeColor="text1"/>
              </w:rPr>
              <w:t>Текст статті 55 викласти в такій редакції:</w:t>
            </w:r>
          </w:p>
        </w:tc>
        <w:tc>
          <w:tcPr>
            <w:tcW w:w="1987" w:type="dxa"/>
          </w:tcPr>
          <w:p w14:paraId="49130874"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A382D44" w14:textId="21B4306F" w:rsidR="00806997" w:rsidRPr="00286216" w:rsidRDefault="00806997" w:rsidP="00806997">
            <w:pPr>
              <w:pStyle w:val="StyleZakonu"/>
              <w:rPr>
                <w:color w:val="000000" w:themeColor="text1"/>
              </w:rPr>
            </w:pPr>
            <w:r w:rsidRPr="00286216">
              <w:rPr>
                <w:color w:val="000000" w:themeColor="text1"/>
              </w:rPr>
              <w:t>Стаття 60. Провадження клірингової діяльності центрального контрагента</w:t>
            </w:r>
          </w:p>
        </w:tc>
      </w:tr>
      <w:tr w:rsidR="00806997" w:rsidRPr="00286216" w14:paraId="24C1BA5B" w14:textId="77777777" w:rsidTr="00091AA5">
        <w:tc>
          <w:tcPr>
            <w:tcW w:w="576" w:type="dxa"/>
          </w:tcPr>
          <w:p w14:paraId="67D9668A" w14:textId="77777777" w:rsidR="00806997" w:rsidRPr="00286216" w:rsidRDefault="00806997" w:rsidP="00806997">
            <w:pPr>
              <w:pStyle w:val="StyleWisnow"/>
              <w:rPr>
                <w:color w:val="000000" w:themeColor="text1"/>
              </w:rPr>
            </w:pPr>
            <w:bookmarkStart w:id="744" w:name="n1029" w:colFirst="0" w:colLast="0"/>
            <w:bookmarkEnd w:id="743"/>
            <w:r w:rsidRPr="00286216">
              <w:rPr>
                <w:color w:val="000000" w:themeColor="text1"/>
              </w:rPr>
              <w:t>1029.</w:t>
            </w:r>
          </w:p>
        </w:tc>
        <w:tc>
          <w:tcPr>
            <w:tcW w:w="4818" w:type="dxa"/>
          </w:tcPr>
          <w:p w14:paraId="1A3FA064" w14:textId="77777777" w:rsidR="00806997" w:rsidRPr="00286216" w:rsidRDefault="00806997" w:rsidP="00806997">
            <w:pPr>
              <w:pStyle w:val="StyleZakonu"/>
              <w:rPr>
                <w:color w:val="000000" w:themeColor="text1"/>
              </w:rPr>
            </w:pPr>
            <w:r w:rsidRPr="00286216">
              <w:rPr>
                <w:color w:val="000000" w:themeColor="text1"/>
              </w:rPr>
              <w:t>1. Клірингова діяльність Центрального контрагента - діяльність клірингової установи із здійснення клірингу, підготовки документів (інформації) для проведення розрахунків та їх направлення відповідним установам, що проводять розрахунки, а також набуття взаємних прав та обов’язків сторін деривативних контрактів, договорів щодо інших фінансових інструментів, за правочинами щодо активів, допущених до торгів на організованих ринках, зобов’язання за якими допущені до клірингу, та яка стає покупцем для кожного продавця і продавцем для кожного покупця. Особа, що провадить діяльність, передбачену цим абзацом, є Центральним контрагентом.</w:t>
            </w:r>
          </w:p>
        </w:tc>
        <w:tc>
          <w:tcPr>
            <w:tcW w:w="3686" w:type="dxa"/>
          </w:tcPr>
          <w:p w14:paraId="15F8D128" w14:textId="58BD1453" w:rsidR="00806997" w:rsidRPr="00286216" w:rsidRDefault="00806997" w:rsidP="00806997">
            <w:pPr>
              <w:pStyle w:val="StyleProp"/>
              <w:spacing w:line="190" w:lineRule="exact"/>
              <w:rPr>
                <w:color w:val="000000" w:themeColor="text1"/>
                <w:spacing w:val="-2"/>
              </w:rPr>
            </w:pPr>
            <w:r w:rsidRPr="00286216">
              <w:rPr>
                <w:color w:val="000000" w:themeColor="text1"/>
                <w:spacing w:val="-2"/>
              </w:rPr>
              <w:t>«1. Клірингова діяльність центрального контрагента - це діяльність клірингової установи із здійснення клірингу, здійснення розрахунків в системі клірингового обліку та/або організації проведення розрахунків, в тому числі шляхом підготовки документів (інформації) для проведення розрахунків та їх направлення відповідним установам, що проводять розрахунки, а також набуття взаємних прав та обов’язків сторін під час або після укладання (вчинення):</w:t>
            </w:r>
          </w:p>
          <w:p w14:paraId="057CA12F" w14:textId="77777777" w:rsidR="00806997" w:rsidRPr="00286216" w:rsidRDefault="00806997" w:rsidP="00806997">
            <w:pPr>
              <w:pStyle w:val="StyleProp"/>
              <w:spacing w:line="190" w:lineRule="exact"/>
              <w:rPr>
                <w:color w:val="000000" w:themeColor="text1"/>
                <w:spacing w:val="-2"/>
              </w:rPr>
            </w:pPr>
            <w:r w:rsidRPr="00286216">
              <w:rPr>
                <w:color w:val="000000" w:themeColor="text1"/>
                <w:spacing w:val="-2"/>
              </w:rPr>
              <w:t>1) деривативних контрактів,</w:t>
            </w:r>
          </w:p>
          <w:p w14:paraId="19403DA7" w14:textId="77777777" w:rsidR="00806997" w:rsidRPr="00286216" w:rsidRDefault="00806997" w:rsidP="00806997">
            <w:pPr>
              <w:pStyle w:val="StyleProp"/>
              <w:spacing w:line="190" w:lineRule="exact"/>
              <w:rPr>
                <w:color w:val="000000" w:themeColor="text1"/>
                <w:spacing w:val="-2"/>
              </w:rPr>
            </w:pPr>
            <w:r w:rsidRPr="00286216">
              <w:rPr>
                <w:color w:val="000000" w:themeColor="text1"/>
                <w:spacing w:val="-2"/>
              </w:rPr>
              <w:t>2) правочинів щодо фінансових інструментів,</w:t>
            </w:r>
          </w:p>
          <w:p w14:paraId="5089DE46" w14:textId="77777777" w:rsidR="00806997" w:rsidRPr="00286216" w:rsidRDefault="00806997" w:rsidP="00806997">
            <w:pPr>
              <w:pStyle w:val="StyleProp"/>
              <w:spacing w:line="190" w:lineRule="exact"/>
              <w:rPr>
                <w:color w:val="000000" w:themeColor="text1"/>
                <w:spacing w:val="-2"/>
              </w:rPr>
            </w:pPr>
            <w:r w:rsidRPr="00286216">
              <w:rPr>
                <w:color w:val="000000" w:themeColor="text1"/>
                <w:spacing w:val="-2"/>
              </w:rPr>
              <w:t>3) правочинів щодо інших, окрім зазначених у пунктах 1-2 цієї частини, активів, допущених до торгів на організованих ринках (у тому числі, продукції).</w:t>
            </w:r>
          </w:p>
          <w:p w14:paraId="5420FC85" w14:textId="221A2EB0" w:rsidR="00806997" w:rsidRPr="00286216" w:rsidRDefault="00806997" w:rsidP="00806997">
            <w:pPr>
              <w:pStyle w:val="StyleProp"/>
              <w:spacing w:line="190" w:lineRule="exact"/>
              <w:rPr>
                <w:color w:val="000000" w:themeColor="text1"/>
                <w:spacing w:val="-2"/>
              </w:rPr>
            </w:pPr>
            <w:r w:rsidRPr="00286216">
              <w:rPr>
                <w:color w:val="000000" w:themeColor="text1"/>
                <w:spacing w:val="-2"/>
              </w:rPr>
              <w:t>випадках, зазначених у пункті 1 цієї частини, така клірингова установа стає стороною кожного деривативного контракту, а у видпадках, зазначених у пунктмх 2 і 3 цєї частини, - покупцем для кожного продавця і продавцем для кожного покупця.</w:t>
            </w:r>
          </w:p>
          <w:p w14:paraId="10845309" w14:textId="77777777" w:rsidR="00806997" w:rsidRPr="00286216" w:rsidRDefault="00806997" w:rsidP="00806997">
            <w:pPr>
              <w:pStyle w:val="StyleProp"/>
              <w:spacing w:line="190" w:lineRule="exact"/>
              <w:rPr>
                <w:color w:val="000000" w:themeColor="text1"/>
              </w:rPr>
            </w:pPr>
            <w:r w:rsidRPr="00286216">
              <w:rPr>
                <w:color w:val="000000" w:themeColor="text1"/>
                <w:spacing w:val="-2"/>
              </w:rPr>
              <w:t>Особа, яка провадить діяльність, передбачену цією частиною, є Центральним контрагентом.</w:t>
            </w:r>
            <w:r w:rsidRPr="00286216">
              <w:rPr>
                <w:color w:val="000000" w:themeColor="text1"/>
              </w:rPr>
              <w:t xml:space="preserve"> </w:t>
            </w:r>
          </w:p>
        </w:tc>
        <w:tc>
          <w:tcPr>
            <w:tcW w:w="1987" w:type="dxa"/>
          </w:tcPr>
          <w:p w14:paraId="3F723625" w14:textId="77777777" w:rsidR="00806997" w:rsidRPr="00286216" w:rsidRDefault="00806997" w:rsidP="00806997">
            <w:pPr>
              <w:spacing w:line="200" w:lineRule="exact"/>
              <w:ind w:firstLine="227"/>
              <w:rPr>
                <w:color w:val="000000" w:themeColor="text1"/>
                <w:spacing w:val="-2"/>
              </w:rPr>
            </w:pPr>
          </w:p>
        </w:tc>
        <w:tc>
          <w:tcPr>
            <w:tcW w:w="4818" w:type="dxa"/>
          </w:tcPr>
          <w:p w14:paraId="1FFBC863" w14:textId="77777777" w:rsidR="00806997" w:rsidRPr="00286216" w:rsidRDefault="00806997" w:rsidP="00806997">
            <w:pPr>
              <w:pStyle w:val="StyleZakonu"/>
              <w:rPr>
                <w:color w:val="000000" w:themeColor="text1"/>
              </w:rPr>
            </w:pPr>
            <w:r w:rsidRPr="00286216">
              <w:rPr>
                <w:color w:val="000000" w:themeColor="text1"/>
              </w:rPr>
              <w:t xml:space="preserve">1. Клірингова діяльність центрального контрагента - це діяльність клірингової установи із здійснення клірингу, здійснення розрахунків у системі клірингового обліку та/або організації проведення розрахунків, у тому числі шляхом підготовки документів (інформації) для проведення розрахунків та їх направлення відповідним установам, що проводять розрахунки, а також набуття взаємних прав та обов’язків сторін </w:t>
            </w:r>
            <w:r w:rsidRPr="00286216">
              <w:rPr>
                <w:color w:val="000000" w:themeColor="text1"/>
                <w:szCs w:val="18"/>
              </w:rPr>
              <w:t>під час або після укладання (вчинення)</w:t>
            </w:r>
            <w:r w:rsidRPr="00286216">
              <w:rPr>
                <w:color w:val="000000" w:themeColor="text1"/>
              </w:rPr>
              <w:t>:</w:t>
            </w:r>
          </w:p>
          <w:p w14:paraId="19433A66" w14:textId="77777777" w:rsidR="00806997" w:rsidRPr="00286216" w:rsidRDefault="00806997" w:rsidP="00806997">
            <w:pPr>
              <w:pStyle w:val="StyleZakonu"/>
              <w:rPr>
                <w:color w:val="000000" w:themeColor="text1"/>
              </w:rPr>
            </w:pPr>
            <w:r w:rsidRPr="00286216">
              <w:rPr>
                <w:color w:val="000000" w:themeColor="text1"/>
              </w:rPr>
              <w:t>1) деривативних контрактів,</w:t>
            </w:r>
          </w:p>
          <w:p w14:paraId="43240E45" w14:textId="77777777" w:rsidR="00806997" w:rsidRPr="00286216" w:rsidRDefault="00806997" w:rsidP="00806997">
            <w:pPr>
              <w:pStyle w:val="StyleZakonu"/>
              <w:rPr>
                <w:color w:val="000000" w:themeColor="text1"/>
              </w:rPr>
            </w:pPr>
            <w:r w:rsidRPr="00286216">
              <w:rPr>
                <w:color w:val="000000" w:themeColor="text1"/>
              </w:rPr>
              <w:t>2) правочинів щодо фінансових інструментів,</w:t>
            </w:r>
          </w:p>
          <w:p w14:paraId="59443988" w14:textId="77777777" w:rsidR="00806997" w:rsidRPr="00286216" w:rsidRDefault="00806997" w:rsidP="00806997">
            <w:pPr>
              <w:pStyle w:val="StyleZakonu"/>
              <w:rPr>
                <w:color w:val="000000" w:themeColor="text1"/>
              </w:rPr>
            </w:pPr>
            <w:r w:rsidRPr="00286216">
              <w:rPr>
                <w:color w:val="000000" w:themeColor="text1"/>
              </w:rPr>
              <w:t>3) правочинів щодо інших, крім зазначених у пунктах 1-2 цієї частини, активів, допущених до торгів на організованих ринках (у тому числі продукції).</w:t>
            </w:r>
          </w:p>
          <w:p w14:paraId="295FEB14" w14:textId="77777777" w:rsidR="00806997" w:rsidRPr="00286216" w:rsidRDefault="00806997" w:rsidP="00806997">
            <w:pPr>
              <w:pStyle w:val="StyleZakonu"/>
              <w:rPr>
                <w:color w:val="000000" w:themeColor="text1"/>
              </w:rPr>
            </w:pPr>
            <w:r w:rsidRPr="00286216">
              <w:rPr>
                <w:color w:val="000000" w:themeColor="text1"/>
              </w:rPr>
              <w:t xml:space="preserve">У результаті набуття прав та обов’язків у випадках, зазначених у пункті 1 цієї частини, така клірингова установа стає </w:t>
            </w:r>
            <w:r w:rsidRPr="00286216">
              <w:rPr>
                <w:color w:val="000000" w:themeColor="text1"/>
                <w:szCs w:val="18"/>
              </w:rPr>
              <w:t xml:space="preserve">стороною кожного деривативного контракту, а у видпадках, зазначених у пунктах 2 і 3 цієї частини, - </w:t>
            </w:r>
            <w:r w:rsidRPr="00286216">
              <w:rPr>
                <w:color w:val="000000" w:themeColor="text1"/>
              </w:rPr>
              <w:t>покупцем для кожного продавця і продавцем для кожного покупця.</w:t>
            </w:r>
          </w:p>
          <w:p w14:paraId="20D84AFE" w14:textId="5FCA1B7B" w:rsidR="00806997" w:rsidRPr="00286216" w:rsidRDefault="00806997" w:rsidP="00806997">
            <w:pPr>
              <w:pStyle w:val="StyleZakonu"/>
              <w:rPr>
                <w:color w:val="000000" w:themeColor="text1"/>
              </w:rPr>
            </w:pPr>
            <w:r w:rsidRPr="00286216">
              <w:rPr>
                <w:color w:val="000000" w:themeColor="text1"/>
              </w:rPr>
              <w:t xml:space="preserve">Особа, яка провадить діяльність, передбачену цією частиною, є центральним контрагентом. </w:t>
            </w:r>
          </w:p>
        </w:tc>
      </w:tr>
      <w:tr w:rsidR="00806997" w:rsidRPr="00286216" w14:paraId="6D786236" w14:textId="77777777" w:rsidTr="00091AA5">
        <w:tc>
          <w:tcPr>
            <w:tcW w:w="576" w:type="dxa"/>
          </w:tcPr>
          <w:p w14:paraId="371704DC" w14:textId="77777777" w:rsidR="00806997" w:rsidRPr="00286216" w:rsidRDefault="00806997" w:rsidP="00806997">
            <w:pPr>
              <w:pStyle w:val="StyleWisnow"/>
              <w:rPr>
                <w:color w:val="000000" w:themeColor="text1"/>
              </w:rPr>
            </w:pPr>
            <w:bookmarkStart w:id="745" w:name="n1030" w:colFirst="0" w:colLast="0"/>
            <w:bookmarkEnd w:id="744"/>
            <w:r w:rsidRPr="00286216">
              <w:rPr>
                <w:color w:val="000000" w:themeColor="text1"/>
              </w:rPr>
              <w:t>1030.</w:t>
            </w:r>
          </w:p>
        </w:tc>
        <w:tc>
          <w:tcPr>
            <w:tcW w:w="4818" w:type="dxa"/>
          </w:tcPr>
          <w:p w14:paraId="0922308F" w14:textId="77777777" w:rsidR="00806997" w:rsidRPr="00286216" w:rsidRDefault="00806997" w:rsidP="00806997">
            <w:pPr>
              <w:pStyle w:val="StyleZakonu"/>
              <w:rPr>
                <w:color w:val="000000" w:themeColor="text1"/>
              </w:rPr>
            </w:pPr>
            <w:r w:rsidRPr="00286216">
              <w:rPr>
                <w:color w:val="000000" w:themeColor="text1"/>
              </w:rPr>
              <w:t>Центральний контрагент на підставі ліцензії на провадження клірингової діяльності Центрального контрагента має право також провадити клірингову діяльність з визначення зобов’язань.</w:t>
            </w:r>
          </w:p>
        </w:tc>
        <w:tc>
          <w:tcPr>
            <w:tcW w:w="3686" w:type="dxa"/>
          </w:tcPr>
          <w:p w14:paraId="7FADA01B" w14:textId="76531BAB" w:rsidR="00806997" w:rsidRPr="00286216" w:rsidRDefault="00806997" w:rsidP="00806997">
            <w:pPr>
              <w:pStyle w:val="StyleProp"/>
              <w:spacing w:line="190" w:lineRule="exact"/>
              <w:rPr>
                <w:color w:val="000000" w:themeColor="text1"/>
                <w:spacing w:val="-2"/>
              </w:rPr>
            </w:pPr>
            <w:r w:rsidRPr="00286216">
              <w:rPr>
                <w:color w:val="000000" w:themeColor="text1"/>
                <w:spacing w:val="-2"/>
              </w:rPr>
              <w:t>Набуття прав та обов’язків однієї із сторін кожного деривативного контракту, укладеного (що укладається) на регульованому ринку, кожного вчиненого (що вчиняється) на регульованому ринку правочину щодо фінансових інструментів, валютних цінностей, продукції та правочину щодо активу, допущеного до торгів на БТМ, є виключною компетенцією Центрального контрагента та не може здійснюватися іншою особою.</w:t>
            </w:r>
          </w:p>
        </w:tc>
        <w:tc>
          <w:tcPr>
            <w:tcW w:w="1987" w:type="dxa"/>
          </w:tcPr>
          <w:p w14:paraId="42E43AEC" w14:textId="77777777" w:rsidR="00806997" w:rsidRPr="00286216" w:rsidRDefault="00806997" w:rsidP="00806997">
            <w:pPr>
              <w:pStyle w:val="StyleWisnow"/>
              <w:rPr>
                <w:color w:val="000000" w:themeColor="text1"/>
              </w:rPr>
            </w:pPr>
          </w:p>
        </w:tc>
        <w:tc>
          <w:tcPr>
            <w:tcW w:w="4818" w:type="dxa"/>
          </w:tcPr>
          <w:p w14:paraId="48B5472D" w14:textId="2D1986D7" w:rsidR="00806997" w:rsidRPr="00286216" w:rsidRDefault="00806997" w:rsidP="00806997">
            <w:pPr>
              <w:pStyle w:val="StyleZakonu"/>
              <w:rPr>
                <w:color w:val="000000" w:themeColor="text1"/>
              </w:rPr>
            </w:pPr>
            <w:r w:rsidRPr="00286216">
              <w:rPr>
                <w:color w:val="000000" w:themeColor="text1"/>
              </w:rPr>
              <w:t xml:space="preserve">Набуття прав та обов’язків однієї із сторін кожного деривативного контракту, укладеного </w:t>
            </w:r>
            <w:r w:rsidRPr="00286216">
              <w:rPr>
                <w:color w:val="000000" w:themeColor="text1"/>
                <w:szCs w:val="18"/>
              </w:rPr>
              <w:t xml:space="preserve">(що укладається) </w:t>
            </w:r>
            <w:r w:rsidRPr="00286216">
              <w:rPr>
                <w:color w:val="000000" w:themeColor="text1"/>
              </w:rPr>
              <w:t>на регульованому ринку, кожного вчиненого (що вчиняється) на регульованому ринку правочину щодо фінансових інструментів, валютних цінностей, продукції та правочину щодо активу, допущеного до торгів на БТМ, є виключною компетенцією центрального контрагента та не може здійснюватися іншою особою.</w:t>
            </w:r>
          </w:p>
        </w:tc>
      </w:tr>
      <w:tr w:rsidR="00806997" w:rsidRPr="00286216" w14:paraId="3F214597" w14:textId="77777777" w:rsidTr="00091AA5">
        <w:tc>
          <w:tcPr>
            <w:tcW w:w="576" w:type="dxa"/>
          </w:tcPr>
          <w:p w14:paraId="3E5C9BCA" w14:textId="77777777" w:rsidR="00806997" w:rsidRPr="00286216" w:rsidRDefault="00806997" w:rsidP="00806997">
            <w:pPr>
              <w:pStyle w:val="StyleWisnow"/>
              <w:rPr>
                <w:color w:val="000000" w:themeColor="text1"/>
              </w:rPr>
            </w:pPr>
            <w:bookmarkStart w:id="746" w:name="n1031" w:colFirst="0" w:colLast="0"/>
            <w:bookmarkEnd w:id="745"/>
            <w:r w:rsidRPr="00286216">
              <w:rPr>
                <w:color w:val="000000" w:themeColor="text1"/>
              </w:rPr>
              <w:t>1031.</w:t>
            </w:r>
          </w:p>
        </w:tc>
        <w:tc>
          <w:tcPr>
            <w:tcW w:w="4818" w:type="dxa"/>
          </w:tcPr>
          <w:p w14:paraId="01D17D10" w14:textId="77777777" w:rsidR="00806997" w:rsidRPr="00286216" w:rsidRDefault="00806997" w:rsidP="00806997">
            <w:pPr>
              <w:pStyle w:val="StyleZakonu"/>
              <w:rPr>
                <w:color w:val="000000" w:themeColor="text1"/>
              </w:rPr>
            </w:pPr>
            <w:r w:rsidRPr="00286216">
              <w:rPr>
                <w:color w:val="000000" w:themeColor="text1"/>
              </w:rPr>
              <w:t>Центральний контрагент здійснює свою діяльність щодо правочинів, вчинених на регульованих ринках, БТМ, товарних біржах та правочинів, вчинених поза організованими ринками.</w:t>
            </w:r>
          </w:p>
        </w:tc>
        <w:tc>
          <w:tcPr>
            <w:tcW w:w="3686" w:type="dxa"/>
          </w:tcPr>
          <w:p w14:paraId="5CB778C5" w14:textId="4CBE6310" w:rsidR="00806997" w:rsidRPr="00286216" w:rsidRDefault="00806997" w:rsidP="00806997">
            <w:pPr>
              <w:pStyle w:val="StyleProp"/>
              <w:spacing w:line="190" w:lineRule="exact"/>
              <w:rPr>
                <w:color w:val="000000" w:themeColor="text1"/>
              </w:rPr>
            </w:pPr>
            <w:r w:rsidRPr="00286216">
              <w:rPr>
                <w:color w:val="000000" w:themeColor="text1"/>
              </w:rPr>
              <w:t>Центральний контрагент провадить свою діяльність щодо правочинів, вчинених (що вчиняються) на регульованих ринках, БТМ, товарних біржах та правочинів, вчинених (що вчиняються) поза організованими ринками.</w:t>
            </w:r>
          </w:p>
        </w:tc>
        <w:tc>
          <w:tcPr>
            <w:tcW w:w="1987" w:type="dxa"/>
          </w:tcPr>
          <w:p w14:paraId="05A112FC" w14:textId="77777777" w:rsidR="00806997" w:rsidRPr="00286216" w:rsidRDefault="00806997" w:rsidP="00806997">
            <w:pPr>
              <w:pStyle w:val="StyleWisnow"/>
              <w:rPr>
                <w:color w:val="000000" w:themeColor="text1"/>
              </w:rPr>
            </w:pPr>
          </w:p>
        </w:tc>
        <w:tc>
          <w:tcPr>
            <w:tcW w:w="4818" w:type="dxa"/>
          </w:tcPr>
          <w:p w14:paraId="0F6209DE" w14:textId="65DD9AC8" w:rsidR="00806997" w:rsidRPr="00286216" w:rsidRDefault="00806997" w:rsidP="00806997">
            <w:pPr>
              <w:pStyle w:val="StyleZakonu"/>
              <w:rPr>
                <w:color w:val="000000" w:themeColor="text1"/>
              </w:rPr>
            </w:pPr>
            <w:r w:rsidRPr="00286216">
              <w:rPr>
                <w:color w:val="000000" w:themeColor="text1"/>
              </w:rPr>
              <w:t xml:space="preserve">Центральний контрагент провадить свою діяльність щодо правочинів, вчинених (що вчиняються) на регульованих ринках, БТМ, товарних біржах, та правочинів, вчинених </w:t>
            </w:r>
            <w:r w:rsidRPr="00286216">
              <w:rPr>
                <w:color w:val="000000" w:themeColor="text1"/>
                <w:szCs w:val="18"/>
              </w:rPr>
              <w:t>(що вчиняються)</w:t>
            </w:r>
            <w:r w:rsidRPr="00286216">
              <w:rPr>
                <w:color w:val="000000" w:themeColor="text1"/>
              </w:rPr>
              <w:t xml:space="preserve"> поза організованими ринками.</w:t>
            </w:r>
          </w:p>
        </w:tc>
      </w:tr>
      <w:tr w:rsidR="00806997" w:rsidRPr="00286216" w14:paraId="741D723A" w14:textId="77777777" w:rsidTr="00091AA5">
        <w:tc>
          <w:tcPr>
            <w:tcW w:w="576" w:type="dxa"/>
          </w:tcPr>
          <w:p w14:paraId="7A7797AE" w14:textId="77777777" w:rsidR="00806997" w:rsidRPr="00286216" w:rsidRDefault="00806997" w:rsidP="00806997">
            <w:pPr>
              <w:pStyle w:val="StyleWisnow"/>
              <w:rPr>
                <w:color w:val="000000" w:themeColor="text1"/>
              </w:rPr>
            </w:pPr>
            <w:bookmarkStart w:id="747" w:name="n1032" w:colFirst="0" w:colLast="0"/>
            <w:bookmarkEnd w:id="746"/>
            <w:r w:rsidRPr="00286216">
              <w:rPr>
                <w:color w:val="000000" w:themeColor="text1"/>
              </w:rPr>
              <w:lastRenderedPageBreak/>
              <w:t>1032.</w:t>
            </w:r>
          </w:p>
        </w:tc>
        <w:tc>
          <w:tcPr>
            <w:tcW w:w="4818" w:type="dxa"/>
          </w:tcPr>
          <w:p w14:paraId="5902E8A4" w14:textId="77777777" w:rsidR="00806997" w:rsidRPr="00286216" w:rsidRDefault="00806997" w:rsidP="00806997">
            <w:pPr>
              <w:pStyle w:val="StyleZakonu"/>
              <w:rPr>
                <w:color w:val="000000" w:themeColor="text1"/>
              </w:rPr>
            </w:pPr>
            <w:r w:rsidRPr="00286216">
              <w:rPr>
                <w:color w:val="000000" w:themeColor="text1"/>
              </w:rPr>
              <w:t>Особа провадить клірингову діяльність Центрального контрагента з урахуванням вимог статей 54, 56-59 - цього Закону на підставі окремої ліцензії, що видається Національною комісією з цінних паперів та фондового ринку в установленому нею порядку.</w:t>
            </w:r>
          </w:p>
        </w:tc>
        <w:tc>
          <w:tcPr>
            <w:tcW w:w="3686" w:type="dxa"/>
          </w:tcPr>
          <w:p w14:paraId="5FA3D449" w14:textId="77777777" w:rsidR="00806997" w:rsidRPr="00286216" w:rsidRDefault="00806997" w:rsidP="00806997">
            <w:pPr>
              <w:pStyle w:val="StyleProp"/>
              <w:spacing w:line="190" w:lineRule="exact"/>
              <w:rPr>
                <w:color w:val="000000" w:themeColor="text1"/>
              </w:rPr>
            </w:pPr>
            <w:r w:rsidRPr="00286216">
              <w:rPr>
                <w:color w:val="000000" w:themeColor="text1"/>
              </w:rPr>
              <w:t>2. Особа провадить клірингову діяльність Центрального контрагента з урахуванням вимог статей 54, 56-59 цього Закону на підставі ліцензії на провадження клірингової діяльність Центрального контрагента, що видається Національною комісією з цінних паперів та фондового ринку в установленому нею порядку.</w:t>
            </w:r>
          </w:p>
        </w:tc>
        <w:tc>
          <w:tcPr>
            <w:tcW w:w="1987" w:type="dxa"/>
          </w:tcPr>
          <w:p w14:paraId="2B13E643" w14:textId="77777777" w:rsidR="00806997" w:rsidRPr="00286216" w:rsidRDefault="00806997" w:rsidP="00806997">
            <w:pPr>
              <w:pStyle w:val="StyleWisnow"/>
              <w:rPr>
                <w:color w:val="000000" w:themeColor="text1"/>
              </w:rPr>
            </w:pPr>
          </w:p>
        </w:tc>
        <w:tc>
          <w:tcPr>
            <w:tcW w:w="4818" w:type="dxa"/>
          </w:tcPr>
          <w:p w14:paraId="357567D7" w14:textId="5538B7E1" w:rsidR="00806997" w:rsidRPr="00286216" w:rsidRDefault="00806997" w:rsidP="00806997">
            <w:pPr>
              <w:pStyle w:val="StyleZakonu"/>
              <w:rPr>
                <w:color w:val="000000" w:themeColor="text1"/>
              </w:rPr>
            </w:pPr>
            <w:r w:rsidRPr="00286216">
              <w:rPr>
                <w:color w:val="000000" w:themeColor="text1"/>
              </w:rPr>
              <w:t>2. Особа провадить клірингову діяльність центрального контрагента з урахуванням вимог статей 59, 61-64 цього Закону на підставі ліцензії на провадження клірингової діяльності центрального контрагента, виданої Національною комісією з цінних паперів та фондового ринку у встановленому нею порядку.</w:t>
            </w:r>
          </w:p>
        </w:tc>
      </w:tr>
      <w:tr w:rsidR="00806997" w:rsidRPr="00286216" w14:paraId="7FFC5D28" w14:textId="77777777" w:rsidTr="00091AA5">
        <w:tc>
          <w:tcPr>
            <w:tcW w:w="576" w:type="dxa"/>
          </w:tcPr>
          <w:p w14:paraId="28B41415" w14:textId="77777777" w:rsidR="00806997" w:rsidRPr="00286216" w:rsidRDefault="00806997" w:rsidP="00806997">
            <w:pPr>
              <w:pStyle w:val="StyleWisnow"/>
              <w:rPr>
                <w:color w:val="000000" w:themeColor="text1"/>
              </w:rPr>
            </w:pPr>
            <w:bookmarkStart w:id="748" w:name="n1033" w:colFirst="0" w:colLast="0"/>
            <w:bookmarkEnd w:id="747"/>
            <w:r w:rsidRPr="00286216">
              <w:rPr>
                <w:color w:val="000000" w:themeColor="text1"/>
              </w:rPr>
              <w:t>1033.</w:t>
            </w:r>
          </w:p>
        </w:tc>
        <w:tc>
          <w:tcPr>
            <w:tcW w:w="4818" w:type="dxa"/>
          </w:tcPr>
          <w:p w14:paraId="1F732A98" w14:textId="77777777" w:rsidR="00806997" w:rsidRPr="00286216" w:rsidRDefault="00806997" w:rsidP="00806997">
            <w:pPr>
              <w:pStyle w:val="StyleZakonu"/>
              <w:rPr>
                <w:color w:val="000000" w:themeColor="text1"/>
              </w:rPr>
            </w:pPr>
            <w:r w:rsidRPr="00286216">
              <w:rPr>
                <w:color w:val="000000" w:themeColor="text1"/>
              </w:rPr>
              <w:t>Для здійснення своєї діяльності Центральний контрагент використовує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tc>
        <w:tc>
          <w:tcPr>
            <w:tcW w:w="3686" w:type="dxa"/>
          </w:tcPr>
          <w:p w14:paraId="2035CF34" w14:textId="77777777" w:rsidR="00806997" w:rsidRPr="00286216" w:rsidRDefault="00806997" w:rsidP="00806997">
            <w:pPr>
              <w:pStyle w:val="StyleProp"/>
              <w:spacing w:line="190" w:lineRule="exact"/>
              <w:rPr>
                <w:color w:val="000000" w:themeColor="text1"/>
              </w:rPr>
            </w:pPr>
            <w:r w:rsidRPr="00286216">
              <w:rPr>
                <w:color w:val="000000" w:themeColor="text1"/>
              </w:rPr>
              <w:t>Центральний контрагент на підставі ліцензії на провадження клірингової діяльності Центрального контрагента має право також провадити клірингову діяльність з визначення зобов’язань.</w:t>
            </w:r>
          </w:p>
        </w:tc>
        <w:tc>
          <w:tcPr>
            <w:tcW w:w="1987" w:type="dxa"/>
          </w:tcPr>
          <w:p w14:paraId="4B5ACA64" w14:textId="77777777" w:rsidR="00806997" w:rsidRPr="00286216" w:rsidRDefault="00806997" w:rsidP="00806997">
            <w:pPr>
              <w:pStyle w:val="StyleWisnow"/>
              <w:rPr>
                <w:color w:val="000000" w:themeColor="text1"/>
              </w:rPr>
            </w:pPr>
          </w:p>
        </w:tc>
        <w:tc>
          <w:tcPr>
            <w:tcW w:w="4818" w:type="dxa"/>
          </w:tcPr>
          <w:p w14:paraId="7513499F" w14:textId="3752FA19" w:rsidR="00806997" w:rsidRPr="00286216" w:rsidRDefault="00806997" w:rsidP="00806997">
            <w:pPr>
              <w:pStyle w:val="StyleZakonu"/>
              <w:rPr>
                <w:color w:val="000000" w:themeColor="text1"/>
              </w:rPr>
            </w:pPr>
            <w:r w:rsidRPr="00286216">
              <w:rPr>
                <w:color w:val="000000" w:themeColor="text1"/>
              </w:rPr>
              <w:t>Центральний контрагент на підставі ліцензії на провадження клірингової діяльності центрального контрагента має право також провадити клірингову діяльність з визначення зобов’язань.</w:t>
            </w:r>
          </w:p>
        </w:tc>
      </w:tr>
      <w:tr w:rsidR="00806997" w:rsidRPr="00286216" w14:paraId="58315F12" w14:textId="77777777" w:rsidTr="00091AA5">
        <w:tc>
          <w:tcPr>
            <w:tcW w:w="576" w:type="dxa"/>
          </w:tcPr>
          <w:p w14:paraId="0F8EC63D" w14:textId="77777777" w:rsidR="00806997" w:rsidRPr="00286216" w:rsidRDefault="00806997" w:rsidP="00806997">
            <w:pPr>
              <w:pStyle w:val="StyleWisnow"/>
              <w:rPr>
                <w:color w:val="000000" w:themeColor="text1"/>
              </w:rPr>
            </w:pPr>
            <w:bookmarkStart w:id="749" w:name="n1034" w:colFirst="0" w:colLast="0"/>
            <w:bookmarkEnd w:id="748"/>
            <w:r w:rsidRPr="00286216">
              <w:rPr>
                <w:color w:val="000000" w:themeColor="text1"/>
              </w:rPr>
              <w:t>1034.</w:t>
            </w:r>
          </w:p>
        </w:tc>
        <w:tc>
          <w:tcPr>
            <w:tcW w:w="4818" w:type="dxa"/>
          </w:tcPr>
          <w:p w14:paraId="7357CBA1" w14:textId="77777777" w:rsidR="00806997" w:rsidRPr="00286216" w:rsidRDefault="00806997" w:rsidP="00806997">
            <w:pPr>
              <w:pStyle w:val="StyleZakonu"/>
              <w:rPr>
                <w:color w:val="000000" w:themeColor="text1"/>
              </w:rPr>
            </w:pPr>
            <w:r w:rsidRPr="00286216">
              <w:rPr>
                <w:color w:val="000000" w:themeColor="text1"/>
              </w:rPr>
              <w:t>Для забезпечення виконання зобов’язань, допущених до клірингу, Центральний контрагент без ліцензії на провадження діяльності з торгівлі фінансовими інструментами має право виступати стороною деривативних контрактів та правочинів щодо фінансових інструментів, інших активів, допущених до торгів на регульованому ринку та БТМ.</w:t>
            </w:r>
          </w:p>
        </w:tc>
        <w:tc>
          <w:tcPr>
            <w:tcW w:w="3686" w:type="dxa"/>
          </w:tcPr>
          <w:p w14:paraId="0A2BC58B" w14:textId="42AD82C3" w:rsidR="00806997" w:rsidRPr="00286216" w:rsidRDefault="00806997" w:rsidP="00806997">
            <w:pPr>
              <w:pStyle w:val="StyleProp"/>
              <w:spacing w:line="180" w:lineRule="exact"/>
              <w:rPr>
                <w:color w:val="000000" w:themeColor="text1"/>
              </w:rPr>
            </w:pPr>
            <w:r w:rsidRPr="00286216">
              <w:rPr>
                <w:color w:val="000000" w:themeColor="text1"/>
              </w:rPr>
              <w:t>Для забезпечення виконання зобов’язань, допущених до клірингу, Центральний контрагент без ліцензії на провадження відповідного виду діяльності з торгівлі фінансовими інструментами має право виступати стороною деривативних контрактів та правочинів щодо фінансових інструментів, інших активів, допущених до торгів на регульованому ринку та БТМ.</w:t>
            </w:r>
          </w:p>
        </w:tc>
        <w:tc>
          <w:tcPr>
            <w:tcW w:w="1987" w:type="dxa"/>
          </w:tcPr>
          <w:p w14:paraId="4C462842" w14:textId="77777777" w:rsidR="00806997" w:rsidRPr="00286216" w:rsidRDefault="00806997" w:rsidP="00806997">
            <w:pPr>
              <w:pStyle w:val="StyleWisnow"/>
              <w:rPr>
                <w:color w:val="000000" w:themeColor="text1"/>
              </w:rPr>
            </w:pPr>
          </w:p>
        </w:tc>
        <w:tc>
          <w:tcPr>
            <w:tcW w:w="4818" w:type="dxa"/>
          </w:tcPr>
          <w:p w14:paraId="3A833FBF" w14:textId="205A2794" w:rsidR="00806997" w:rsidRPr="00286216" w:rsidRDefault="00806997" w:rsidP="00806997">
            <w:pPr>
              <w:pStyle w:val="StyleZakonu"/>
              <w:spacing w:after="0"/>
              <w:rPr>
                <w:color w:val="000000" w:themeColor="text1"/>
                <w:spacing w:val="-1"/>
              </w:rPr>
            </w:pPr>
            <w:r w:rsidRPr="00286216">
              <w:rPr>
                <w:color w:val="000000" w:themeColor="text1"/>
                <w:spacing w:val="-1"/>
              </w:rPr>
              <w:t>Для забезпечення виконання зобов’язань, допущених до клірингу, центральний контрагент без ліцензії на провадження відповідного виду діяльності з торгівлі фінансовими інструментами має право виступати стороною деривативних контрактів та правочинів щодо фінансових інструментів, інших активів, допущених до торгів на регульованому ринку та БТМ.</w:t>
            </w:r>
          </w:p>
        </w:tc>
      </w:tr>
      <w:tr w:rsidR="00806997" w:rsidRPr="00286216" w14:paraId="07411421" w14:textId="77777777" w:rsidTr="00091AA5">
        <w:tc>
          <w:tcPr>
            <w:tcW w:w="576" w:type="dxa"/>
          </w:tcPr>
          <w:p w14:paraId="791929D3" w14:textId="77777777" w:rsidR="00806997" w:rsidRPr="00286216" w:rsidRDefault="00806997" w:rsidP="00806997">
            <w:pPr>
              <w:pStyle w:val="StyleWisnow"/>
              <w:rPr>
                <w:color w:val="000000" w:themeColor="text1"/>
              </w:rPr>
            </w:pPr>
            <w:bookmarkStart w:id="750" w:name="n1035" w:colFirst="0" w:colLast="0"/>
            <w:bookmarkEnd w:id="749"/>
            <w:r w:rsidRPr="00286216">
              <w:rPr>
                <w:color w:val="000000" w:themeColor="text1"/>
              </w:rPr>
              <w:t>1035.</w:t>
            </w:r>
          </w:p>
        </w:tc>
        <w:tc>
          <w:tcPr>
            <w:tcW w:w="4818" w:type="dxa"/>
          </w:tcPr>
          <w:p w14:paraId="55668042" w14:textId="77777777" w:rsidR="00806997" w:rsidRPr="00286216" w:rsidRDefault="00806997" w:rsidP="00806997">
            <w:pPr>
              <w:pStyle w:val="StyleZakonu"/>
              <w:rPr>
                <w:color w:val="000000" w:themeColor="text1"/>
              </w:rPr>
            </w:pPr>
            <w:r w:rsidRPr="00286216">
              <w:rPr>
                <w:color w:val="000000" w:themeColor="text1"/>
              </w:rPr>
              <w:t>2. Вимоги до мінімального розміру регулятивного капіталу Центрального контрагента, а також інші вимоги до організації його діяльності визначаються Національною комісією з цінних паперів та фондового ринку.</w:t>
            </w:r>
          </w:p>
        </w:tc>
        <w:tc>
          <w:tcPr>
            <w:tcW w:w="3686" w:type="dxa"/>
          </w:tcPr>
          <w:p w14:paraId="58534083" w14:textId="77777777" w:rsidR="00806997" w:rsidRPr="00286216" w:rsidRDefault="00806997" w:rsidP="00806997">
            <w:pPr>
              <w:pStyle w:val="StyleProp"/>
              <w:spacing w:line="180" w:lineRule="exact"/>
              <w:rPr>
                <w:color w:val="000000" w:themeColor="text1"/>
              </w:rPr>
            </w:pPr>
            <w:r w:rsidRPr="00286216">
              <w:rPr>
                <w:color w:val="000000" w:themeColor="text1"/>
              </w:rPr>
              <w:t>3. Вимоги до мінімального розміру регулятивного капіталу Центрального контрагента, а також інші вимоги до організації його діяльності визначаються Національною комісією з цінних паперів та фондового ринку.</w:t>
            </w:r>
          </w:p>
          <w:p w14:paraId="0CDEC7F2" w14:textId="77777777" w:rsidR="00806997" w:rsidRPr="00286216" w:rsidRDefault="00806997" w:rsidP="00806997">
            <w:pPr>
              <w:pStyle w:val="StyleProp"/>
              <w:spacing w:line="180" w:lineRule="exact"/>
              <w:rPr>
                <w:color w:val="000000" w:themeColor="text1"/>
              </w:rPr>
            </w:pPr>
            <w:r w:rsidRPr="00286216">
              <w:rPr>
                <w:color w:val="000000" w:themeColor="text1"/>
              </w:rPr>
              <w:t>Національна комісія з цінних паперів та фондового ринку може встановлювати додаткові вимоги до особи, яка провадить клірингову діяльність та здійснює функції центрального контрагента.</w:t>
            </w:r>
          </w:p>
        </w:tc>
        <w:tc>
          <w:tcPr>
            <w:tcW w:w="1987" w:type="dxa"/>
          </w:tcPr>
          <w:p w14:paraId="59A94709" w14:textId="77777777" w:rsidR="00806997" w:rsidRPr="00286216" w:rsidRDefault="00806997" w:rsidP="00806997">
            <w:pPr>
              <w:pStyle w:val="StyleWisnow"/>
              <w:rPr>
                <w:color w:val="000000" w:themeColor="text1"/>
              </w:rPr>
            </w:pPr>
          </w:p>
        </w:tc>
        <w:tc>
          <w:tcPr>
            <w:tcW w:w="4818" w:type="dxa"/>
          </w:tcPr>
          <w:p w14:paraId="3778819F" w14:textId="77777777" w:rsidR="00806997" w:rsidRPr="00286216" w:rsidRDefault="00806997" w:rsidP="00806997">
            <w:pPr>
              <w:pStyle w:val="StyleZakonu"/>
              <w:rPr>
                <w:color w:val="000000" w:themeColor="text1"/>
              </w:rPr>
            </w:pPr>
            <w:r w:rsidRPr="00286216">
              <w:rPr>
                <w:color w:val="000000" w:themeColor="text1"/>
              </w:rPr>
              <w:t>3. Вимоги до мінімального розміру регулятивного капіталу центрального контрагента, а також інші вимоги до організації його діяльності визначаються Національною комісією з цінних паперів та фондового ринку.</w:t>
            </w:r>
          </w:p>
          <w:p w14:paraId="6367269C" w14:textId="25117D6A" w:rsidR="00806997" w:rsidRPr="00286216" w:rsidRDefault="00806997" w:rsidP="00806997">
            <w:pPr>
              <w:pStyle w:val="StyleZakonu"/>
              <w:rPr>
                <w:color w:val="000000" w:themeColor="text1"/>
              </w:rPr>
            </w:pPr>
            <w:r w:rsidRPr="00286216">
              <w:rPr>
                <w:color w:val="000000" w:themeColor="text1"/>
              </w:rPr>
              <w:t>Національна комісія з цінних паперів та фондового ринку може встановлювати додаткові вимоги до особи, яка провадить клірингову діяльність центрального контрагента.</w:t>
            </w:r>
          </w:p>
        </w:tc>
      </w:tr>
      <w:tr w:rsidR="00806997" w:rsidRPr="00286216" w14:paraId="0F70D404" w14:textId="77777777" w:rsidTr="00091AA5">
        <w:tc>
          <w:tcPr>
            <w:tcW w:w="576" w:type="dxa"/>
          </w:tcPr>
          <w:p w14:paraId="66ADE737" w14:textId="77777777" w:rsidR="00806997" w:rsidRPr="00286216" w:rsidRDefault="00806997" w:rsidP="00806997">
            <w:pPr>
              <w:pStyle w:val="StyleWisnow"/>
              <w:rPr>
                <w:color w:val="000000" w:themeColor="text1"/>
              </w:rPr>
            </w:pPr>
            <w:bookmarkStart w:id="751" w:name="n1036" w:colFirst="0" w:colLast="0"/>
            <w:bookmarkEnd w:id="750"/>
            <w:r w:rsidRPr="00286216">
              <w:rPr>
                <w:color w:val="000000" w:themeColor="text1"/>
              </w:rPr>
              <w:t>1036.</w:t>
            </w:r>
          </w:p>
        </w:tc>
        <w:tc>
          <w:tcPr>
            <w:tcW w:w="4818" w:type="dxa"/>
          </w:tcPr>
          <w:p w14:paraId="388C0FC8" w14:textId="77777777" w:rsidR="00806997" w:rsidRPr="00286216" w:rsidRDefault="00806997" w:rsidP="00806997">
            <w:pPr>
              <w:pStyle w:val="StyleZakonu"/>
              <w:rPr>
                <w:color w:val="000000" w:themeColor="text1"/>
              </w:rPr>
            </w:pPr>
            <w:r w:rsidRPr="00286216">
              <w:rPr>
                <w:color w:val="000000" w:themeColor="text1"/>
              </w:rPr>
              <w:t>Набуття прав та обов’язків однієї із сторін кожного деривативного контракту, укладеного на регульованому ринку, та кожного правочину, укладеного на регульованому ринку щодо фінансових інструментів, а також за правочинами щодо активів, допущених до торгів на БТМ, є виключною компетенцією Центрального контрагента та не може здійснюватися будь-якою іншою особою.</w:t>
            </w:r>
          </w:p>
        </w:tc>
        <w:tc>
          <w:tcPr>
            <w:tcW w:w="3686" w:type="dxa"/>
          </w:tcPr>
          <w:p w14:paraId="70464D96" w14:textId="77777777" w:rsidR="00806997" w:rsidRPr="00286216" w:rsidRDefault="00806997" w:rsidP="00806997">
            <w:pPr>
              <w:pStyle w:val="StyleProp"/>
              <w:spacing w:after="40" w:line="180" w:lineRule="exact"/>
              <w:rPr>
                <w:color w:val="000000" w:themeColor="text1"/>
                <w:spacing w:val="-1"/>
              </w:rPr>
            </w:pPr>
            <w:r w:rsidRPr="00286216">
              <w:rPr>
                <w:color w:val="000000" w:themeColor="text1"/>
                <w:spacing w:val="-1"/>
              </w:rPr>
              <w:t>4. Для здійснення своєї діяльності Центральний контрагент використовує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p w14:paraId="541B5CD7" w14:textId="77777777" w:rsidR="00806997" w:rsidRPr="00286216" w:rsidRDefault="00806997" w:rsidP="00806997">
            <w:pPr>
              <w:pStyle w:val="StyleProp"/>
              <w:spacing w:line="180" w:lineRule="exact"/>
              <w:rPr>
                <w:color w:val="000000" w:themeColor="text1"/>
              </w:rPr>
            </w:pPr>
            <w:r w:rsidRPr="00286216">
              <w:rPr>
                <w:color w:val="000000" w:themeColor="text1"/>
              </w:rPr>
              <w:t>5. Національний банк України має право у визначеному ним порядку підтримувати ліквідність центрального контрагента.</w:t>
            </w:r>
          </w:p>
        </w:tc>
        <w:tc>
          <w:tcPr>
            <w:tcW w:w="1987" w:type="dxa"/>
          </w:tcPr>
          <w:p w14:paraId="38C58CEE" w14:textId="77777777" w:rsidR="00806997" w:rsidRPr="00286216" w:rsidRDefault="00806997" w:rsidP="00806997">
            <w:pPr>
              <w:pStyle w:val="StyleWisnow"/>
              <w:rPr>
                <w:color w:val="000000" w:themeColor="text1"/>
              </w:rPr>
            </w:pPr>
          </w:p>
        </w:tc>
        <w:tc>
          <w:tcPr>
            <w:tcW w:w="4818" w:type="dxa"/>
          </w:tcPr>
          <w:p w14:paraId="0DBC64B9" w14:textId="7E6B4507" w:rsidR="00806997" w:rsidRPr="00286216" w:rsidRDefault="00806997" w:rsidP="00806997">
            <w:pPr>
              <w:pStyle w:val="StyleZakonu"/>
              <w:rPr>
                <w:color w:val="000000" w:themeColor="text1"/>
              </w:rPr>
            </w:pPr>
            <w:r w:rsidRPr="00286216">
              <w:rPr>
                <w:color w:val="000000" w:themeColor="text1"/>
              </w:rPr>
              <w:t>4. Для здійснення своєї діяльності центральний контрагент використовує рахунки, відкриті в Національному банку України, а також рахунки, відкриті в іноземних банках, які відповідають критеріям, встановленим Національним банком України.</w:t>
            </w:r>
          </w:p>
        </w:tc>
      </w:tr>
      <w:tr w:rsidR="00806997" w:rsidRPr="00286216" w14:paraId="67850163" w14:textId="77777777" w:rsidTr="00091AA5">
        <w:tc>
          <w:tcPr>
            <w:tcW w:w="576" w:type="dxa"/>
          </w:tcPr>
          <w:p w14:paraId="768269E1" w14:textId="77777777" w:rsidR="00806997" w:rsidRPr="00286216" w:rsidRDefault="00806997" w:rsidP="00806997">
            <w:pPr>
              <w:pStyle w:val="StyleWisnow"/>
              <w:rPr>
                <w:color w:val="000000" w:themeColor="text1"/>
              </w:rPr>
            </w:pPr>
            <w:bookmarkStart w:id="752" w:name="n1037" w:colFirst="0" w:colLast="0"/>
            <w:bookmarkEnd w:id="751"/>
            <w:r w:rsidRPr="00286216">
              <w:rPr>
                <w:color w:val="000000" w:themeColor="text1"/>
              </w:rPr>
              <w:t>1037.</w:t>
            </w:r>
          </w:p>
        </w:tc>
        <w:tc>
          <w:tcPr>
            <w:tcW w:w="4818" w:type="dxa"/>
          </w:tcPr>
          <w:p w14:paraId="0424C112" w14:textId="77777777" w:rsidR="00806997" w:rsidRPr="00286216" w:rsidRDefault="00806997" w:rsidP="00806997">
            <w:pPr>
              <w:pStyle w:val="StyleZakonu"/>
              <w:spacing w:after="40"/>
              <w:rPr>
                <w:color w:val="000000" w:themeColor="text1"/>
              </w:rPr>
            </w:pPr>
            <w:r w:rsidRPr="00286216">
              <w:rPr>
                <w:color w:val="000000" w:themeColor="text1"/>
              </w:rPr>
              <w:t>Слова "центральний контрагент" та похідні від них дозволяється використовувати лише юридичним особам, які утворені та функціонують відповідно до цього Закону".</w:t>
            </w:r>
          </w:p>
        </w:tc>
        <w:tc>
          <w:tcPr>
            <w:tcW w:w="3686" w:type="dxa"/>
          </w:tcPr>
          <w:p w14:paraId="110F8B69" w14:textId="77777777" w:rsidR="00806997" w:rsidRPr="00286216" w:rsidRDefault="00806997" w:rsidP="00806997">
            <w:pPr>
              <w:pStyle w:val="StyleProp"/>
              <w:spacing w:line="180" w:lineRule="exact"/>
              <w:rPr>
                <w:color w:val="000000" w:themeColor="text1"/>
                <w:spacing w:val="-1"/>
              </w:rPr>
            </w:pPr>
            <w:r w:rsidRPr="00286216">
              <w:rPr>
                <w:color w:val="000000" w:themeColor="text1"/>
                <w:spacing w:val="-1"/>
              </w:rPr>
              <w:t>6. Слова "центральний контрагент" та похідні від них дозволяється використовувати лише юридичним особам, які утворені та функціонують відповідно до цього Закону.».</w:t>
            </w:r>
          </w:p>
        </w:tc>
        <w:tc>
          <w:tcPr>
            <w:tcW w:w="1987" w:type="dxa"/>
          </w:tcPr>
          <w:p w14:paraId="1C63F3A5" w14:textId="77777777" w:rsidR="00806997" w:rsidRPr="00286216" w:rsidRDefault="00806997" w:rsidP="00806997">
            <w:pPr>
              <w:pStyle w:val="StyleWisnow"/>
              <w:rPr>
                <w:color w:val="000000" w:themeColor="text1"/>
              </w:rPr>
            </w:pPr>
          </w:p>
        </w:tc>
        <w:tc>
          <w:tcPr>
            <w:tcW w:w="4818" w:type="dxa"/>
          </w:tcPr>
          <w:p w14:paraId="4186B2C5" w14:textId="74165B7A" w:rsidR="00806997" w:rsidRPr="00286216" w:rsidRDefault="00806997" w:rsidP="00806997">
            <w:pPr>
              <w:pStyle w:val="StyleZakonu"/>
              <w:rPr>
                <w:color w:val="000000" w:themeColor="text1"/>
              </w:rPr>
            </w:pPr>
            <w:r w:rsidRPr="00286216">
              <w:rPr>
                <w:color w:val="000000" w:themeColor="text1"/>
              </w:rPr>
              <w:t>5. Національний банк України має право у визначеному ним порядку підтримувати ліквідність центрального контрагента.</w:t>
            </w:r>
          </w:p>
        </w:tc>
      </w:tr>
      <w:tr w:rsidR="00806997" w:rsidRPr="00286216" w14:paraId="0F0DE94F" w14:textId="77777777" w:rsidTr="00091AA5">
        <w:tc>
          <w:tcPr>
            <w:tcW w:w="576" w:type="dxa"/>
          </w:tcPr>
          <w:p w14:paraId="74931A4A" w14:textId="77777777" w:rsidR="00806997" w:rsidRPr="00286216" w:rsidRDefault="00806997" w:rsidP="00806997">
            <w:pPr>
              <w:pStyle w:val="StyleWisnow"/>
              <w:rPr>
                <w:color w:val="000000" w:themeColor="text1"/>
              </w:rPr>
            </w:pPr>
            <w:bookmarkStart w:id="753" w:name="n1038" w:colFirst="0" w:colLast="0"/>
            <w:bookmarkEnd w:id="752"/>
            <w:r w:rsidRPr="00286216">
              <w:rPr>
                <w:color w:val="000000" w:themeColor="text1"/>
              </w:rPr>
              <w:t>1038.</w:t>
            </w:r>
          </w:p>
        </w:tc>
        <w:tc>
          <w:tcPr>
            <w:tcW w:w="4818" w:type="dxa"/>
          </w:tcPr>
          <w:p w14:paraId="4A64753B" w14:textId="77777777" w:rsidR="00806997" w:rsidRPr="00286216" w:rsidRDefault="00806997" w:rsidP="00806997">
            <w:pPr>
              <w:pStyle w:val="StyleZakonu"/>
              <w:rPr>
                <w:color w:val="000000" w:themeColor="text1"/>
              </w:rPr>
            </w:pPr>
            <w:r w:rsidRPr="00286216">
              <w:rPr>
                <w:color w:val="000000" w:themeColor="text1"/>
              </w:rPr>
              <w:t xml:space="preserve">3. Національна комісія з цінних паперів та фондового ринку може встановлювати додаткові </w:t>
            </w:r>
            <w:r w:rsidRPr="00286216">
              <w:rPr>
                <w:color w:val="000000" w:themeColor="text1"/>
              </w:rPr>
              <w:lastRenderedPageBreak/>
              <w:t>вимоги до особи, яка провадить клірингову діяльність та здійснює функції центрального контрагента.</w:t>
            </w:r>
          </w:p>
        </w:tc>
        <w:tc>
          <w:tcPr>
            <w:tcW w:w="3686" w:type="dxa"/>
          </w:tcPr>
          <w:p w14:paraId="0AF22517" w14:textId="52166745" w:rsidR="00806997" w:rsidRPr="00286216" w:rsidRDefault="00806997" w:rsidP="00806997">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571</w:t>
            </w:r>
            <w:r w:rsidRPr="00286216">
              <w:rPr>
                <w:color w:val="000000" w:themeColor="text1"/>
                <w:spacing w:val="-2"/>
              </w:rPr>
              <w:fldChar w:fldCharType="end"/>
            </w:r>
            <w:r w:rsidRPr="00286216">
              <w:rPr>
                <w:color w:val="000000" w:themeColor="text1"/>
                <w:spacing w:val="-2"/>
              </w:rPr>
              <w:t>-Н.д.Шахов С.В. (Реєстр.картка №114)</w:t>
            </w:r>
          </w:p>
          <w:p w14:paraId="06858FDE"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статтю 55 викласти у такій редакції:</w:t>
            </w:r>
          </w:p>
          <w:p w14:paraId="4CECE714"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lastRenderedPageBreak/>
              <w:t>«Стаття 55. Провадження клірингової діяльності Центрального контрагента</w:t>
            </w:r>
          </w:p>
          <w:p w14:paraId="3769C348"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1. Клірингова діяльність Центрального контрагента – діяльність клірингової установи і у випадках, визначених законом, діяльність оператора організованого ринку (у тому числі, товарної біржі) із здійснення клірингу, підготовки документів (інформації) для проведення розрахунків і поставки фінансових інструментів та інших активів (у тому числі, продукції) та їх направлення відповідним установам, що проводять розрахунки та/або забезпечують виконання поставки фінансових інструментів та інших активів (у тому числі, продукції), а також набуття взаємних прав та обов’язків сторін деривативних контрактів, договорів щодо інших фінансових інструментів, за правочинами щодо активів, допущених до торгів на організованих ринках (у тому числі, продукції), зобов’язання за якими допущені до клірингу, та яка стає покупцем для кожного продавця і продавцем для кожного покупця. Особа, що провадить діяльність, передбачену цим абзацом, є Центральним контрагентом.</w:t>
            </w:r>
          </w:p>
          <w:p w14:paraId="6F7572E7"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Центральний контрагент на підставі ліцензії на провадження клірингової діяльності Центрального контрагента має право також провадити клірингову діяльність з визначення зобов’язань.</w:t>
            </w:r>
          </w:p>
          <w:p w14:paraId="07C5E848"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Клірингова установа на підставі ліцензії на провадження клірингової діяльності центрального контрагента (або на інших підставах, визначених законодавством про товарні ринки) має право здійснювати таку діяльність щодо правочинів, вчинених на організованих ринках капіталу та організованих товарних ринках та правочинів, вчинених поза організованими ринками.</w:t>
            </w:r>
          </w:p>
          <w:p w14:paraId="4E6CB60C"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Для здійснення своєї діяльності Центральний контрагент використовує рахунки (у тому числі, рахунки умовного зберігання (ескроу)), відкриті в Національному банку України та/або у фінансових установах (банках), а також рахунки, відкриті в іноземних банках, які відповідають критеріям, встановленим Національним банком України.</w:t>
            </w:r>
          </w:p>
          <w:p w14:paraId="3B90C46C" w14:textId="77777777" w:rsidR="00806997" w:rsidRPr="00286216" w:rsidRDefault="00806997" w:rsidP="00806997">
            <w:pPr>
              <w:pStyle w:val="StyleProp"/>
              <w:spacing w:line="180" w:lineRule="exact"/>
              <w:rPr>
                <w:color w:val="000000" w:themeColor="text1"/>
              </w:rPr>
            </w:pPr>
            <w:r w:rsidRPr="00286216">
              <w:rPr>
                <w:color w:val="000000" w:themeColor="text1"/>
              </w:rPr>
              <w:t>Для забезпечення виконання зобов’язань, допущених до клірингу, Центральний контрагент без ліцензії на провадження діяльності з торгівлі фінансовими інструментами має право виступати стороною деривативних контрактів та правочинів щодо цінних паперів, а також щодо інших активів, допущених до торгів на регульованому ринку капіталу.</w:t>
            </w:r>
          </w:p>
          <w:p w14:paraId="3BCC49D0"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lastRenderedPageBreak/>
              <w:t>2. Вимоги до мінімального розміру регулятивного капіталу Центрального контрагента, а також інші вимоги до організації його діяльності визначаються Національною комісією з цінних паперів та фондового ринку.</w:t>
            </w:r>
          </w:p>
          <w:p w14:paraId="27387D97"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Набуття прав та обов’язків однієї із сторін кожного деривативного контракту, укладеного на регульованому ринку, та кожного правочину, укладеного на регульованому ринку щодо цінних паперів, а також за правочинами щодо активів, допущених до торгів на БТМ, є виключною компетенцією Центрального контрагента та не може здійснюватися будь-якою іншою особою.</w:t>
            </w:r>
          </w:p>
          <w:p w14:paraId="3D36D934"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Слова «центральний контрагент» та похідні від них дозволяється використовувати лише юридичним особам, які утворені та функціонують відповідно до цього Закону».</w:t>
            </w:r>
          </w:p>
          <w:p w14:paraId="7C378770"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t>3. Регулятори відповідних ринків можуть встановлювати додаткові та/або інші вимоги до особи, яка провадить клірингову діяльність центрального контрагента.».</w:t>
            </w:r>
          </w:p>
        </w:tc>
        <w:tc>
          <w:tcPr>
            <w:tcW w:w="1987" w:type="dxa"/>
          </w:tcPr>
          <w:p w14:paraId="7953D4F0" w14:textId="77777777" w:rsidR="00806997" w:rsidRPr="00286216" w:rsidRDefault="00806997" w:rsidP="00806997">
            <w:pPr>
              <w:pStyle w:val="StyleWisnow"/>
              <w:rPr>
                <w:color w:val="000000" w:themeColor="text1"/>
              </w:rPr>
            </w:pPr>
            <w:r w:rsidRPr="00286216">
              <w:rPr>
                <w:color w:val="000000" w:themeColor="text1"/>
              </w:rPr>
              <w:lastRenderedPageBreak/>
              <w:t>Враховано частково</w:t>
            </w:r>
          </w:p>
        </w:tc>
        <w:tc>
          <w:tcPr>
            <w:tcW w:w="4818" w:type="dxa"/>
          </w:tcPr>
          <w:p w14:paraId="201CE1C4" w14:textId="26E7760C" w:rsidR="00806997" w:rsidRPr="00286216" w:rsidRDefault="00806997" w:rsidP="00806997">
            <w:pPr>
              <w:pStyle w:val="StyleZakonu"/>
              <w:rPr>
                <w:color w:val="000000" w:themeColor="text1"/>
              </w:rPr>
            </w:pPr>
            <w:r w:rsidRPr="00286216">
              <w:rPr>
                <w:color w:val="000000" w:themeColor="text1"/>
              </w:rPr>
              <w:t xml:space="preserve">6. Слова "центральний контрагент" та похідні від них дозволяється використовувати лише юридичним </w:t>
            </w:r>
            <w:r w:rsidRPr="00286216">
              <w:rPr>
                <w:color w:val="000000" w:themeColor="text1"/>
              </w:rPr>
              <w:lastRenderedPageBreak/>
              <w:t>особам, які отримали ліцензію на провадження клірингової діяльності центрального контрагента</w:t>
            </w:r>
            <w:r w:rsidRPr="00286216" w:rsidDel="007802C2">
              <w:rPr>
                <w:color w:val="000000" w:themeColor="text1"/>
              </w:rPr>
              <w:t xml:space="preserve"> </w:t>
            </w:r>
            <w:r w:rsidRPr="00286216">
              <w:rPr>
                <w:color w:val="000000" w:themeColor="text1"/>
              </w:rPr>
              <w:t>відповідно до цього Закону.</w:t>
            </w:r>
          </w:p>
        </w:tc>
      </w:tr>
      <w:tr w:rsidR="00806997" w:rsidRPr="00286216" w14:paraId="5519EC61" w14:textId="77777777" w:rsidTr="00091AA5">
        <w:tc>
          <w:tcPr>
            <w:tcW w:w="576" w:type="dxa"/>
          </w:tcPr>
          <w:p w14:paraId="23BC2BA8" w14:textId="77777777" w:rsidR="00806997" w:rsidRPr="00286216" w:rsidRDefault="00806997" w:rsidP="00806997">
            <w:pPr>
              <w:pStyle w:val="StyleWisnow"/>
              <w:rPr>
                <w:color w:val="000000" w:themeColor="text1"/>
              </w:rPr>
            </w:pPr>
            <w:bookmarkStart w:id="754" w:name="n1039" w:colFirst="0" w:colLast="0"/>
            <w:bookmarkEnd w:id="753"/>
            <w:r w:rsidRPr="00286216">
              <w:rPr>
                <w:color w:val="000000" w:themeColor="text1"/>
              </w:rPr>
              <w:lastRenderedPageBreak/>
              <w:t>1039.</w:t>
            </w:r>
          </w:p>
        </w:tc>
        <w:tc>
          <w:tcPr>
            <w:tcW w:w="4818" w:type="dxa"/>
          </w:tcPr>
          <w:p w14:paraId="04E3891A" w14:textId="77777777" w:rsidR="00806997" w:rsidRPr="00286216" w:rsidRDefault="00806997" w:rsidP="00806997">
            <w:pPr>
              <w:pStyle w:val="StyleZakonu"/>
              <w:rPr>
                <w:color w:val="000000" w:themeColor="text1"/>
              </w:rPr>
            </w:pPr>
            <w:r w:rsidRPr="00286216">
              <w:rPr>
                <w:color w:val="000000" w:themeColor="text1"/>
              </w:rPr>
              <w:t>4. Національний банк України має право у визначеному ним порядку підтримувати ліквідність центрального контрагента.</w:t>
            </w:r>
          </w:p>
        </w:tc>
        <w:tc>
          <w:tcPr>
            <w:tcW w:w="3686" w:type="dxa"/>
          </w:tcPr>
          <w:p w14:paraId="280F5F59" w14:textId="39E80A42" w:rsidR="00806997" w:rsidRPr="00286216" w:rsidRDefault="00806997" w:rsidP="0080699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572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0C995F2" w14:textId="77777777" w:rsidR="00806997" w:rsidRPr="00286216" w:rsidRDefault="00806997" w:rsidP="00806997">
            <w:pPr>
              <w:pStyle w:val="StyleProp"/>
              <w:spacing w:line="180" w:lineRule="exact"/>
              <w:rPr>
                <w:color w:val="000000" w:themeColor="text1"/>
                <w:spacing w:val="-2"/>
                <w:szCs w:val="18"/>
              </w:rPr>
            </w:pPr>
            <w:r w:rsidRPr="00286216">
              <w:rPr>
                <w:color w:val="000000" w:themeColor="text1"/>
                <w:spacing w:val="-2"/>
                <w:szCs w:val="18"/>
              </w:rPr>
              <w:t>В абзаці 3 частини 1 статті 55 слова «Центральний контрагент здійснює» замінити словами «Центральний контрагент може здійснювати» та в абзаці 6 слова «торгівлі фінансовими інструментами» замінити словами «обігу фінансових інструментів».</w:t>
            </w:r>
          </w:p>
        </w:tc>
        <w:tc>
          <w:tcPr>
            <w:tcW w:w="1987" w:type="dxa"/>
          </w:tcPr>
          <w:p w14:paraId="008A6319" w14:textId="77777777" w:rsidR="00806997" w:rsidRPr="00286216" w:rsidRDefault="00806997" w:rsidP="00806997">
            <w:pPr>
              <w:pStyle w:val="StyleWisnow"/>
              <w:rPr>
                <w:color w:val="000000" w:themeColor="text1"/>
              </w:rPr>
            </w:pPr>
            <w:r w:rsidRPr="00286216">
              <w:rPr>
                <w:color w:val="000000" w:themeColor="text1"/>
              </w:rPr>
              <w:t>Враховано редакційно</w:t>
            </w:r>
          </w:p>
        </w:tc>
        <w:tc>
          <w:tcPr>
            <w:tcW w:w="4818" w:type="dxa"/>
          </w:tcPr>
          <w:p w14:paraId="58086510" w14:textId="77777777" w:rsidR="00806997" w:rsidRPr="00286216" w:rsidRDefault="00806997" w:rsidP="00806997">
            <w:pPr>
              <w:pStyle w:val="StyleZakonu"/>
              <w:rPr>
                <w:color w:val="000000" w:themeColor="text1"/>
              </w:rPr>
            </w:pPr>
          </w:p>
        </w:tc>
      </w:tr>
      <w:tr w:rsidR="00806997" w:rsidRPr="00286216" w14:paraId="07256C70" w14:textId="77777777" w:rsidTr="00091AA5">
        <w:tc>
          <w:tcPr>
            <w:tcW w:w="576" w:type="dxa"/>
          </w:tcPr>
          <w:p w14:paraId="5E8E3B2D" w14:textId="77777777" w:rsidR="00806997" w:rsidRPr="00286216" w:rsidRDefault="00806997" w:rsidP="00806997">
            <w:pPr>
              <w:pStyle w:val="StyleWisnow"/>
              <w:rPr>
                <w:color w:val="000000" w:themeColor="text1"/>
              </w:rPr>
            </w:pPr>
            <w:bookmarkStart w:id="755" w:name="n1040" w:colFirst="0" w:colLast="0"/>
            <w:bookmarkEnd w:id="754"/>
            <w:r w:rsidRPr="00286216">
              <w:rPr>
                <w:color w:val="000000" w:themeColor="text1"/>
              </w:rPr>
              <w:t>1040.</w:t>
            </w:r>
          </w:p>
        </w:tc>
        <w:tc>
          <w:tcPr>
            <w:tcW w:w="4818" w:type="dxa"/>
          </w:tcPr>
          <w:p w14:paraId="11810372" w14:textId="77777777" w:rsidR="00806997" w:rsidRPr="00286216" w:rsidRDefault="00806997" w:rsidP="00806997">
            <w:pPr>
              <w:pStyle w:val="StyleZakonu"/>
              <w:rPr>
                <w:color w:val="000000" w:themeColor="text1"/>
              </w:rPr>
            </w:pPr>
            <w:bookmarkStart w:id="756" w:name="_Ref20259893"/>
            <w:r w:rsidRPr="00286216">
              <w:rPr>
                <w:color w:val="000000" w:themeColor="text1"/>
              </w:rPr>
              <w:t>Стаття 56. Набуття статусу клірингової установи</w:t>
            </w:r>
            <w:bookmarkEnd w:id="756"/>
          </w:p>
        </w:tc>
        <w:tc>
          <w:tcPr>
            <w:tcW w:w="3686" w:type="dxa"/>
          </w:tcPr>
          <w:p w14:paraId="1D6DD494" w14:textId="77777777" w:rsidR="00806997" w:rsidRPr="00286216" w:rsidRDefault="00806997" w:rsidP="00806997">
            <w:pPr>
              <w:pStyle w:val="StyleProp"/>
              <w:rPr>
                <w:color w:val="000000" w:themeColor="text1"/>
              </w:rPr>
            </w:pPr>
          </w:p>
        </w:tc>
        <w:tc>
          <w:tcPr>
            <w:tcW w:w="1987" w:type="dxa"/>
          </w:tcPr>
          <w:p w14:paraId="1980F308" w14:textId="77777777" w:rsidR="00806997" w:rsidRPr="00286216" w:rsidRDefault="00806997" w:rsidP="00806997">
            <w:pPr>
              <w:pStyle w:val="StyleWisnow"/>
              <w:rPr>
                <w:color w:val="000000" w:themeColor="text1"/>
              </w:rPr>
            </w:pPr>
          </w:p>
        </w:tc>
        <w:tc>
          <w:tcPr>
            <w:tcW w:w="4818" w:type="dxa"/>
          </w:tcPr>
          <w:p w14:paraId="02F83567" w14:textId="12439CF4" w:rsidR="00806997" w:rsidRPr="00286216" w:rsidRDefault="00806997" w:rsidP="00806997">
            <w:pPr>
              <w:pStyle w:val="StyleZakonu"/>
              <w:rPr>
                <w:color w:val="000000" w:themeColor="text1"/>
              </w:rPr>
            </w:pPr>
            <w:r w:rsidRPr="00286216">
              <w:rPr>
                <w:color w:val="000000" w:themeColor="text1"/>
              </w:rPr>
              <w:t>Стаття 61. Набуття статусу клірингової установи</w:t>
            </w:r>
          </w:p>
        </w:tc>
      </w:tr>
      <w:tr w:rsidR="00806997" w:rsidRPr="00286216" w14:paraId="172CA2B5" w14:textId="77777777" w:rsidTr="00091AA5">
        <w:tc>
          <w:tcPr>
            <w:tcW w:w="576" w:type="dxa"/>
          </w:tcPr>
          <w:p w14:paraId="41BDCB1F" w14:textId="77777777" w:rsidR="00806997" w:rsidRPr="00286216" w:rsidRDefault="00806997" w:rsidP="00806997">
            <w:pPr>
              <w:pStyle w:val="StyleWisnow"/>
              <w:rPr>
                <w:color w:val="000000" w:themeColor="text1"/>
              </w:rPr>
            </w:pPr>
            <w:bookmarkStart w:id="757" w:name="n1041" w:colFirst="0" w:colLast="0"/>
            <w:bookmarkEnd w:id="755"/>
            <w:r w:rsidRPr="00286216">
              <w:rPr>
                <w:color w:val="000000" w:themeColor="text1"/>
              </w:rPr>
              <w:t>1041.</w:t>
            </w:r>
          </w:p>
        </w:tc>
        <w:tc>
          <w:tcPr>
            <w:tcW w:w="4818" w:type="dxa"/>
          </w:tcPr>
          <w:p w14:paraId="29264B35" w14:textId="77777777" w:rsidR="00806997" w:rsidRPr="00286216" w:rsidRDefault="00806997" w:rsidP="00806997">
            <w:pPr>
              <w:pStyle w:val="StyleZakonu"/>
              <w:rPr>
                <w:color w:val="000000" w:themeColor="text1"/>
              </w:rPr>
            </w:pPr>
            <w:r w:rsidRPr="00286216">
              <w:rPr>
                <w:color w:val="000000" w:themeColor="text1"/>
              </w:rPr>
              <w:t>1. Особа набуває статусу клірингової установи з дня отримання ліцензії на провадження діяльності з визначення зобов’язань. Клірингова установа провадить виключно клірингову діяльність.</w:t>
            </w:r>
          </w:p>
        </w:tc>
        <w:tc>
          <w:tcPr>
            <w:tcW w:w="3686" w:type="dxa"/>
          </w:tcPr>
          <w:p w14:paraId="3D1FEA79" w14:textId="0B90AED2"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C7302F8" w14:textId="77777777" w:rsidR="00806997" w:rsidRPr="00286216" w:rsidRDefault="00806997" w:rsidP="00806997">
            <w:pPr>
              <w:pStyle w:val="StyleProp"/>
              <w:rPr>
                <w:color w:val="000000" w:themeColor="text1"/>
                <w:spacing w:val="-2"/>
              </w:rPr>
            </w:pPr>
            <w:r w:rsidRPr="00286216">
              <w:rPr>
                <w:color w:val="000000" w:themeColor="text1"/>
                <w:spacing w:val="-2"/>
              </w:rPr>
              <w:t>Текст статті 56 викласти в такій редакції:</w:t>
            </w:r>
          </w:p>
          <w:p w14:paraId="3345A3DC" w14:textId="77777777" w:rsidR="00806997" w:rsidRPr="00286216" w:rsidRDefault="00806997" w:rsidP="00806997">
            <w:pPr>
              <w:pStyle w:val="StyleProp"/>
              <w:spacing w:line="180" w:lineRule="exact"/>
              <w:rPr>
                <w:color w:val="000000" w:themeColor="text1"/>
                <w:spacing w:val="-5"/>
              </w:rPr>
            </w:pPr>
            <w:r w:rsidRPr="00286216">
              <w:rPr>
                <w:color w:val="000000" w:themeColor="text1"/>
                <w:spacing w:val="-5"/>
              </w:rPr>
              <w:t>"1. Особа набуває статусу клірингової установи з дня отримання ліцензії на провадження клірингової діяльності з визначення зобов’язань або клірингової діяльності Центрального контрагента. Юридична особа, яка провадить виключно клірингову діяльність є кліринговою установою.</w:t>
            </w:r>
          </w:p>
        </w:tc>
        <w:tc>
          <w:tcPr>
            <w:tcW w:w="1987" w:type="dxa"/>
          </w:tcPr>
          <w:p w14:paraId="11ABF881" w14:textId="3D8BBA59"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0D692E94" w14:textId="748F3B31" w:rsidR="00806997" w:rsidRPr="00286216" w:rsidRDefault="00806997" w:rsidP="00806997">
            <w:pPr>
              <w:pStyle w:val="StyleZakonu"/>
              <w:rPr>
                <w:color w:val="000000" w:themeColor="text1"/>
              </w:rPr>
            </w:pPr>
            <w:r w:rsidRPr="00286216">
              <w:rPr>
                <w:color w:val="000000" w:themeColor="text1"/>
              </w:rPr>
              <w:t>1. Особа набуває статусу клірингової установи з дня отримання ліцензії на провадження клірингової діяльності з визначення зобов’язань або клірингової діяльності центрального контрагента. Юридична особа, яка провадить виключно клірингову діяльність, є кліринговою установою.</w:t>
            </w:r>
          </w:p>
        </w:tc>
      </w:tr>
      <w:tr w:rsidR="00806997" w:rsidRPr="00286216" w14:paraId="34AD04EF" w14:textId="77777777" w:rsidTr="00091AA5">
        <w:tc>
          <w:tcPr>
            <w:tcW w:w="576" w:type="dxa"/>
          </w:tcPr>
          <w:p w14:paraId="266AC369" w14:textId="77777777" w:rsidR="00806997" w:rsidRPr="00286216" w:rsidRDefault="00806997" w:rsidP="00806997">
            <w:pPr>
              <w:pStyle w:val="StyleWisnow"/>
              <w:rPr>
                <w:color w:val="000000" w:themeColor="text1"/>
              </w:rPr>
            </w:pPr>
            <w:bookmarkStart w:id="758" w:name="n1042" w:colFirst="0" w:colLast="0"/>
            <w:bookmarkEnd w:id="757"/>
            <w:r w:rsidRPr="00286216">
              <w:rPr>
                <w:color w:val="000000" w:themeColor="text1"/>
              </w:rPr>
              <w:t>1042.</w:t>
            </w:r>
          </w:p>
        </w:tc>
        <w:tc>
          <w:tcPr>
            <w:tcW w:w="4818" w:type="dxa"/>
          </w:tcPr>
          <w:p w14:paraId="68D75BD3" w14:textId="77777777" w:rsidR="00806997" w:rsidRPr="00286216" w:rsidRDefault="00806997" w:rsidP="00806997">
            <w:pPr>
              <w:pStyle w:val="StyleZakonu"/>
              <w:rPr>
                <w:color w:val="000000" w:themeColor="text1"/>
              </w:rPr>
            </w:pPr>
            <w:r w:rsidRPr="00286216">
              <w:rPr>
                <w:color w:val="000000" w:themeColor="text1"/>
              </w:rPr>
              <w:t>Національний банк України з метою виконання своїх функцій, визначених законом, має право бути акціонером (учасником) однієї з клірингових установ.</w:t>
            </w:r>
          </w:p>
        </w:tc>
        <w:tc>
          <w:tcPr>
            <w:tcW w:w="3686" w:type="dxa"/>
          </w:tcPr>
          <w:p w14:paraId="28EA8ED6" w14:textId="77777777" w:rsidR="00806997" w:rsidRPr="00286216" w:rsidRDefault="00806997" w:rsidP="00806997">
            <w:pPr>
              <w:pStyle w:val="StyleProp"/>
              <w:spacing w:line="180" w:lineRule="exact"/>
              <w:rPr>
                <w:color w:val="000000" w:themeColor="text1"/>
              </w:rPr>
            </w:pPr>
            <w:r w:rsidRPr="00286216">
              <w:rPr>
                <w:color w:val="000000" w:themeColor="text1"/>
              </w:rPr>
              <w:t>Національний банк України з метою виконання своїх функцій, визначених законом, має право бути акціонером (учасником) клірингових установ.</w:t>
            </w:r>
          </w:p>
        </w:tc>
        <w:tc>
          <w:tcPr>
            <w:tcW w:w="1987" w:type="dxa"/>
          </w:tcPr>
          <w:p w14:paraId="497671C5" w14:textId="77777777" w:rsidR="00806997" w:rsidRPr="00286216" w:rsidRDefault="00806997" w:rsidP="00806997">
            <w:pPr>
              <w:pStyle w:val="StyleWisnow"/>
              <w:rPr>
                <w:color w:val="000000" w:themeColor="text1"/>
              </w:rPr>
            </w:pPr>
          </w:p>
        </w:tc>
        <w:tc>
          <w:tcPr>
            <w:tcW w:w="4818" w:type="dxa"/>
          </w:tcPr>
          <w:p w14:paraId="5FF77E16" w14:textId="3E31E6F0" w:rsidR="00806997" w:rsidRPr="00286216" w:rsidRDefault="00806997" w:rsidP="00806997">
            <w:pPr>
              <w:pStyle w:val="StyleZakonu"/>
              <w:rPr>
                <w:color w:val="000000" w:themeColor="text1"/>
              </w:rPr>
            </w:pPr>
            <w:r w:rsidRPr="00286216">
              <w:rPr>
                <w:color w:val="000000" w:themeColor="text1"/>
              </w:rPr>
              <w:t>Національний банк України з метою виконання своїх функцій, визначених законом, має право бути акціонером (учасником) клірингових установ.</w:t>
            </w:r>
          </w:p>
        </w:tc>
      </w:tr>
      <w:tr w:rsidR="00806997" w:rsidRPr="00286216" w14:paraId="222393CB" w14:textId="77777777" w:rsidTr="00091AA5">
        <w:tc>
          <w:tcPr>
            <w:tcW w:w="576" w:type="dxa"/>
          </w:tcPr>
          <w:p w14:paraId="6CA310B9" w14:textId="77777777" w:rsidR="00806997" w:rsidRPr="00286216" w:rsidRDefault="00806997" w:rsidP="00806997">
            <w:pPr>
              <w:pStyle w:val="StyleWisnow"/>
              <w:rPr>
                <w:color w:val="000000" w:themeColor="text1"/>
              </w:rPr>
            </w:pPr>
            <w:bookmarkStart w:id="759" w:name="n1043" w:colFirst="0" w:colLast="0"/>
            <w:bookmarkEnd w:id="758"/>
            <w:r w:rsidRPr="00286216">
              <w:rPr>
                <w:color w:val="000000" w:themeColor="text1"/>
              </w:rPr>
              <w:t>1043.</w:t>
            </w:r>
          </w:p>
        </w:tc>
        <w:tc>
          <w:tcPr>
            <w:tcW w:w="4818" w:type="dxa"/>
          </w:tcPr>
          <w:p w14:paraId="46C5897C" w14:textId="77777777" w:rsidR="00806997" w:rsidRPr="00286216" w:rsidRDefault="00806997" w:rsidP="00806997">
            <w:pPr>
              <w:pStyle w:val="StyleZakonu"/>
              <w:rPr>
                <w:color w:val="000000" w:themeColor="text1"/>
              </w:rPr>
            </w:pPr>
            <w:r w:rsidRPr="00286216">
              <w:rPr>
                <w:color w:val="000000" w:themeColor="text1"/>
              </w:rPr>
              <w:t>2. Клірингова установа для провадження клірингової діяльності повинна мати належне обладнання, зокрема комп’ютерну техніку з відповідним програмним забезпеченням, окремі канали зв’язку і приміщення, що відповідають вимогам, установленим Національною комісією з цінних паперів та фондового ринку.</w:t>
            </w:r>
          </w:p>
        </w:tc>
        <w:tc>
          <w:tcPr>
            <w:tcW w:w="3686" w:type="dxa"/>
          </w:tcPr>
          <w:p w14:paraId="233832B0" w14:textId="77777777" w:rsidR="00806997" w:rsidRPr="00286216" w:rsidRDefault="00806997" w:rsidP="00806997">
            <w:pPr>
              <w:pStyle w:val="StyleProp"/>
              <w:spacing w:line="180" w:lineRule="exact"/>
              <w:rPr>
                <w:color w:val="000000" w:themeColor="text1"/>
              </w:rPr>
            </w:pPr>
            <w:r w:rsidRPr="00286216">
              <w:rPr>
                <w:color w:val="000000" w:themeColor="text1"/>
              </w:rPr>
              <w:t>2. Клірингова установа для провадження клірингової діяльності повинна мати належне обладнання, зокрема комп’ютерну техніку з відповідним програмним забезпеченням, канали зв’язку і приміщення, що відповідають вимогам, установленим Національною комісією з цінних паперів та фондового ринку.</w:t>
            </w:r>
          </w:p>
        </w:tc>
        <w:tc>
          <w:tcPr>
            <w:tcW w:w="1987" w:type="dxa"/>
          </w:tcPr>
          <w:p w14:paraId="3DFD5F35" w14:textId="77777777" w:rsidR="00806997" w:rsidRPr="00286216" w:rsidRDefault="00806997" w:rsidP="00806997">
            <w:pPr>
              <w:pStyle w:val="StyleWisnow"/>
              <w:rPr>
                <w:color w:val="000000" w:themeColor="text1"/>
              </w:rPr>
            </w:pPr>
          </w:p>
        </w:tc>
        <w:tc>
          <w:tcPr>
            <w:tcW w:w="4818" w:type="dxa"/>
          </w:tcPr>
          <w:p w14:paraId="3C3A42DB" w14:textId="7DBAA484" w:rsidR="00806997" w:rsidRPr="00286216" w:rsidRDefault="00806997" w:rsidP="00806997">
            <w:pPr>
              <w:pStyle w:val="StyleZakonu"/>
              <w:rPr>
                <w:color w:val="000000" w:themeColor="text1"/>
              </w:rPr>
            </w:pPr>
            <w:r w:rsidRPr="00286216">
              <w:rPr>
                <w:color w:val="000000" w:themeColor="text1"/>
              </w:rPr>
              <w:t>2. Клірингова установа для провадження клірингової діяльності повинна мати належне обладнання, зокрема комп’ютерну техніку з відповідним програмним забезпеченням, канали зв’язку і приміщення, що відповідають вимогам, установленим Національною комісією з цінних паперів та фондового ринку.</w:t>
            </w:r>
          </w:p>
        </w:tc>
      </w:tr>
      <w:tr w:rsidR="00806997" w:rsidRPr="00286216" w14:paraId="7732F295" w14:textId="77777777" w:rsidTr="00091AA5">
        <w:tc>
          <w:tcPr>
            <w:tcW w:w="576" w:type="dxa"/>
          </w:tcPr>
          <w:p w14:paraId="49E98A1E" w14:textId="77777777" w:rsidR="00806997" w:rsidRPr="00286216" w:rsidRDefault="00806997" w:rsidP="00806997">
            <w:pPr>
              <w:pStyle w:val="StyleWisnow"/>
              <w:rPr>
                <w:color w:val="000000" w:themeColor="text1"/>
              </w:rPr>
            </w:pPr>
            <w:bookmarkStart w:id="760" w:name="n1044" w:colFirst="0" w:colLast="0"/>
            <w:bookmarkEnd w:id="759"/>
            <w:r w:rsidRPr="00286216">
              <w:rPr>
                <w:color w:val="000000" w:themeColor="text1"/>
              </w:rPr>
              <w:t>1044.</w:t>
            </w:r>
          </w:p>
        </w:tc>
        <w:tc>
          <w:tcPr>
            <w:tcW w:w="4818" w:type="dxa"/>
          </w:tcPr>
          <w:p w14:paraId="1F6483A8" w14:textId="77777777" w:rsidR="00806997" w:rsidRPr="00286216" w:rsidRDefault="00806997" w:rsidP="00806997">
            <w:pPr>
              <w:pStyle w:val="StyleZakonu"/>
              <w:rPr>
                <w:color w:val="000000" w:themeColor="text1"/>
              </w:rPr>
            </w:pPr>
            <w:r w:rsidRPr="00286216">
              <w:rPr>
                <w:color w:val="000000" w:themeColor="text1"/>
              </w:rPr>
              <w:t xml:space="preserve">3. Клірингова установа для провадження </w:t>
            </w:r>
            <w:r w:rsidRPr="00286216">
              <w:rPr>
                <w:color w:val="000000" w:themeColor="text1"/>
              </w:rPr>
              <w:lastRenderedPageBreak/>
              <w:t>клірингової діяльності щодо цінних паперів зобов’язана протягом трьох місяців з дня отримання ліцензії на провадження клірингової діяльності з визначення зобов’язань укласти договір про проведення розрахунків у цінних паперах за результатами клірингу з Центральним депозитарієм цінних паперів або Національним банком України відповідно до компетенції, визначеної законом.</w:t>
            </w:r>
          </w:p>
        </w:tc>
        <w:tc>
          <w:tcPr>
            <w:tcW w:w="3686" w:type="dxa"/>
          </w:tcPr>
          <w:p w14:paraId="6E1B86F1" w14:textId="77777777" w:rsidR="00806997" w:rsidRPr="00286216" w:rsidRDefault="00806997" w:rsidP="00806997">
            <w:pPr>
              <w:pStyle w:val="StyleProp"/>
              <w:spacing w:line="180" w:lineRule="exact"/>
              <w:rPr>
                <w:color w:val="000000" w:themeColor="text1"/>
                <w:spacing w:val="-2"/>
              </w:rPr>
            </w:pPr>
            <w:r w:rsidRPr="00286216">
              <w:rPr>
                <w:color w:val="000000" w:themeColor="text1"/>
                <w:spacing w:val="-2"/>
              </w:rPr>
              <w:lastRenderedPageBreak/>
              <w:t xml:space="preserve">3. Національна комісія з цінних паперів та фондового ринку може встановлювати </w:t>
            </w:r>
            <w:r w:rsidRPr="00286216">
              <w:rPr>
                <w:color w:val="000000" w:themeColor="text1"/>
                <w:spacing w:val="-2"/>
              </w:rPr>
              <w:lastRenderedPageBreak/>
              <w:t>додаткові вимоги до клірингових установ, що обмежують ризики професійної діяльності на ринках капіталу та організованих товарних ринках.</w:t>
            </w:r>
          </w:p>
          <w:p w14:paraId="3114AD42" w14:textId="5EFD8CE6" w:rsidR="00806997" w:rsidRPr="00286216" w:rsidRDefault="00806997" w:rsidP="00806997">
            <w:pPr>
              <w:pStyle w:val="StyleProp"/>
              <w:spacing w:line="180" w:lineRule="exact"/>
              <w:rPr>
                <w:color w:val="000000" w:themeColor="text1"/>
              </w:rPr>
            </w:pPr>
            <w:r w:rsidRPr="00286216">
              <w:rPr>
                <w:color w:val="000000" w:themeColor="text1"/>
              </w:rPr>
              <w:t>4. Слова «клірингова установа» та похідні від них дозволяється використовувати лише юридичним особам, які отримали ліцензію  на провадження клірингової діяльності, отриману відповідно до вимог цього Закону».</w:t>
            </w:r>
          </w:p>
        </w:tc>
        <w:tc>
          <w:tcPr>
            <w:tcW w:w="1987" w:type="dxa"/>
          </w:tcPr>
          <w:p w14:paraId="0147916D" w14:textId="77777777" w:rsidR="00806997" w:rsidRPr="00286216" w:rsidRDefault="00806997" w:rsidP="00806997">
            <w:pPr>
              <w:pStyle w:val="StyleWisnow"/>
              <w:rPr>
                <w:color w:val="000000" w:themeColor="text1"/>
              </w:rPr>
            </w:pPr>
          </w:p>
        </w:tc>
        <w:tc>
          <w:tcPr>
            <w:tcW w:w="4818" w:type="dxa"/>
          </w:tcPr>
          <w:p w14:paraId="34190762" w14:textId="77777777" w:rsidR="00806997" w:rsidRPr="00286216" w:rsidRDefault="00806997" w:rsidP="00806997">
            <w:pPr>
              <w:pStyle w:val="StyleZakonu"/>
              <w:rPr>
                <w:color w:val="000000" w:themeColor="text1"/>
              </w:rPr>
            </w:pPr>
            <w:r w:rsidRPr="00286216">
              <w:rPr>
                <w:color w:val="000000" w:themeColor="text1"/>
              </w:rPr>
              <w:t xml:space="preserve">3. Національна комісія з цінних паперів та </w:t>
            </w:r>
            <w:r w:rsidRPr="00286216">
              <w:rPr>
                <w:color w:val="000000" w:themeColor="text1"/>
              </w:rPr>
              <w:lastRenderedPageBreak/>
              <w:t>фондового ринку може встановлювати додаткові вимоги до клірингових установ, що обмежують ризики професійної діяльності на ринках капіталу та організованих товарних ринках.</w:t>
            </w:r>
          </w:p>
          <w:p w14:paraId="48837BD8" w14:textId="3F3D08C1" w:rsidR="00806997" w:rsidRPr="00286216" w:rsidRDefault="00806997" w:rsidP="00806997">
            <w:pPr>
              <w:pStyle w:val="StyleZakonu"/>
              <w:rPr>
                <w:color w:val="000000" w:themeColor="text1"/>
              </w:rPr>
            </w:pPr>
            <w:r w:rsidRPr="00286216">
              <w:rPr>
                <w:color w:val="000000" w:themeColor="text1"/>
              </w:rPr>
              <w:t>4. Слова «клірингова установа» та похідні від них дозволяється використовувати лише юридичним особам, які отримали ліцензію  на провадження клірингової діяльності, отриману відповідно до вимог цього Закону.</w:t>
            </w:r>
          </w:p>
        </w:tc>
      </w:tr>
      <w:tr w:rsidR="00806997" w:rsidRPr="00286216" w14:paraId="021B0D97" w14:textId="77777777" w:rsidTr="00091AA5">
        <w:tc>
          <w:tcPr>
            <w:tcW w:w="576" w:type="dxa"/>
          </w:tcPr>
          <w:p w14:paraId="78912FDE" w14:textId="77777777" w:rsidR="00806997" w:rsidRPr="00286216" w:rsidRDefault="00806997" w:rsidP="00806997">
            <w:pPr>
              <w:pStyle w:val="StyleWisnow"/>
              <w:rPr>
                <w:color w:val="000000" w:themeColor="text1"/>
              </w:rPr>
            </w:pPr>
            <w:bookmarkStart w:id="761" w:name="n1045" w:colFirst="0" w:colLast="0"/>
            <w:bookmarkEnd w:id="760"/>
            <w:r w:rsidRPr="00286216">
              <w:rPr>
                <w:color w:val="000000" w:themeColor="text1"/>
              </w:rPr>
              <w:lastRenderedPageBreak/>
              <w:t>1045.</w:t>
            </w:r>
          </w:p>
        </w:tc>
        <w:tc>
          <w:tcPr>
            <w:tcW w:w="4818" w:type="dxa"/>
          </w:tcPr>
          <w:p w14:paraId="74E64DA8" w14:textId="77777777" w:rsidR="00806997" w:rsidRPr="00286216" w:rsidRDefault="00806997" w:rsidP="00806997">
            <w:pPr>
              <w:pStyle w:val="StyleZakonu"/>
              <w:rPr>
                <w:color w:val="000000" w:themeColor="text1"/>
              </w:rPr>
            </w:pPr>
            <w:r w:rsidRPr="00286216">
              <w:rPr>
                <w:color w:val="000000" w:themeColor="text1"/>
              </w:rPr>
              <w:t>Вимоги до зазначених у цій частині договорів установлюються Національною комісією з цінних паперів та фондового ринку.</w:t>
            </w:r>
          </w:p>
        </w:tc>
        <w:tc>
          <w:tcPr>
            <w:tcW w:w="3686" w:type="dxa"/>
          </w:tcPr>
          <w:p w14:paraId="423E2988" w14:textId="77777777" w:rsidR="00806997" w:rsidRPr="00286216" w:rsidRDefault="00806997" w:rsidP="00806997">
            <w:pPr>
              <w:pStyle w:val="StyleProp"/>
              <w:rPr>
                <w:color w:val="000000" w:themeColor="text1"/>
              </w:rPr>
            </w:pPr>
          </w:p>
        </w:tc>
        <w:tc>
          <w:tcPr>
            <w:tcW w:w="1987" w:type="dxa"/>
          </w:tcPr>
          <w:p w14:paraId="65CC17DA" w14:textId="77777777" w:rsidR="00806997" w:rsidRPr="00286216" w:rsidRDefault="00806997" w:rsidP="00806997">
            <w:pPr>
              <w:pStyle w:val="StyleWisnow"/>
              <w:rPr>
                <w:color w:val="000000" w:themeColor="text1"/>
              </w:rPr>
            </w:pPr>
          </w:p>
        </w:tc>
        <w:tc>
          <w:tcPr>
            <w:tcW w:w="4818" w:type="dxa"/>
          </w:tcPr>
          <w:p w14:paraId="61BBF10B" w14:textId="77777777" w:rsidR="00806997" w:rsidRPr="00286216" w:rsidRDefault="00806997" w:rsidP="00806997">
            <w:pPr>
              <w:pStyle w:val="StyleZakonu"/>
              <w:rPr>
                <w:color w:val="000000" w:themeColor="text1"/>
              </w:rPr>
            </w:pPr>
          </w:p>
        </w:tc>
      </w:tr>
      <w:tr w:rsidR="00806997" w:rsidRPr="00286216" w14:paraId="5166D8F0" w14:textId="77777777" w:rsidTr="00091AA5">
        <w:tc>
          <w:tcPr>
            <w:tcW w:w="576" w:type="dxa"/>
          </w:tcPr>
          <w:p w14:paraId="62E4FE1E" w14:textId="77777777" w:rsidR="00806997" w:rsidRPr="00286216" w:rsidRDefault="00806997" w:rsidP="00806997">
            <w:pPr>
              <w:pStyle w:val="StyleWisnow"/>
              <w:rPr>
                <w:color w:val="000000" w:themeColor="text1"/>
              </w:rPr>
            </w:pPr>
            <w:bookmarkStart w:id="762" w:name="n1046" w:colFirst="0" w:colLast="0"/>
            <w:bookmarkEnd w:id="761"/>
            <w:r w:rsidRPr="00286216">
              <w:rPr>
                <w:color w:val="000000" w:themeColor="text1"/>
              </w:rPr>
              <w:t>1046.</w:t>
            </w:r>
          </w:p>
        </w:tc>
        <w:tc>
          <w:tcPr>
            <w:tcW w:w="4818" w:type="dxa"/>
          </w:tcPr>
          <w:p w14:paraId="05F5C1CF" w14:textId="77777777" w:rsidR="00806997" w:rsidRPr="00286216" w:rsidRDefault="00806997" w:rsidP="00806997">
            <w:pPr>
              <w:pStyle w:val="StyleZakonu"/>
              <w:rPr>
                <w:color w:val="000000" w:themeColor="text1"/>
              </w:rPr>
            </w:pPr>
            <w:r w:rsidRPr="00286216">
              <w:rPr>
                <w:color w:val="000000" w:themeColor="text1"/>
              </w:rPr>
              <w:t>До моменту укладення зазначених у цій частині договорів клірингова установа не має права провадити клірингову діяльність щодо цінних паперів.</w:t>
            </w:r>
          </w:p>
        </w:tc>
        <w:tc>
          <w:tcPr>
            <w:tcW w:w="3686" w:type="dxa"/>
          </w:tcPr>
          <w:p w14:paraId="4018E4D0" w14:textId="77777777" w:rsidR="00806997" w:rsidRPr="00286216" w:rsidRDefault="00806997" w:rsidP="00806997">
            <w:pPr>
              <w:pStyle w:val="StyleProp"/>
              <w:rPr>
                <w:color w:val="000000" w:themeColor="text1"/>
              </w:rPr>
            </w:pPr>
          </w:p>
        </w:tc>
        <w:tc>
          <w:tcPr>
            <w:tcW w:w="1987" w:type="dxa"/>
          </w:tcPr>
          <w:p w14:paraId="160EC566" w14:textId="77777777" w:rsidR="00806997" w:rsidRPr="00286216" w:rsidRDefault="00806997" w:rsidP="00806997">
            <w:pPr>
              <w:pStyle w:val="StyleWisnow"/>
              <w:rPr>
                <w:color w:val="000000" w:themeColor="text1"/>
              </w:rPr>
            </w:pPr>
          </w:p>
        </w:tc>
        <w:tc>
          <w:tcPr>
            <w:tcW w:w="4818" w:type="dxa"/>
          </w:tcPr>
          <w:p w14:paraId="4FB7989F" w14:textId="77777777" w:rsidR="00806997" w:rsidRPr="00286216" w:rsidRDefault="00806997" w:rsidP="00806997">
            <w:pPr>
              <w:pStyle w:val="StyleZakonu"/>
              <w:rPr>
                <w:color w:val="000000" w:themeColor="text1"/>
              </w:rPr>
            </w:pPr>
          </w:p>
        </w:tc>
      </w:tr>
      <w:tr w:rsidR="00806997" w:rsidRPr="00286216" w14:paraId="79BBBA2E" w14:textId="77777777" w:rsidTr="00091AA5">
        <w:tc>
          <w:tcPr>
            <w:tcW w:w="576" w:type="dxa"/>
          </w:tcPr>
          <w:p w14:paraId="719D4C78" w14:textId="77777777" w:rsidR="00806997" w:rsidRPr="00286216" w:rsidRDefault="00806997" w:rsidP="00806997">
            <w:pPr>
              <w:pStyle w:val="StyleWisnow"/>
              <w:rPr>
                <w:color w:val="000000" w:themeColor="text1"/>
              </w:rPr>
            </w:pPr>
            <w:bookmarkStart w:id="763" w:name="n1047" w:colFirst="0" w:colLast="0"/>
            <w:bookmarkEnd w:id="762"/>
            <w:r w:rsidRPr="00286216">
              <w:rPr>
                <w:color w:val="000000" w:themeColor="text1"/>
              </w:rPr>
              <w:t>1047.</w:t>
            </w:r>
          </w:p>
        </w:tc>
        <w:tc>
          <w:tcPr>
            <w:tcW w:w="4818" w:type="dxa"/>
          </w:tcPr>
          <w:p w14:paraId="3A8B9D44" w14:textId="77777777" w:rsidR="00806997" w:rsidRPr="00286216" w:rsidRDefault="00806997" w:rsidP="00806997">
            <w:pPr>
              <w:pStyle w:val="StyleZakonu"/>
              <w:rPr>
                <w:color w:val="000000" w:themeColor="text1"/>
              </w:rPr>
            </w:pPr>
            <w:r w:rsidRPr="00286216">
              <w:rPr>
                <w:color w:val="000000" w:themeColor="text1"/>
              </w:rPr>
              <w:t>4. Національна комісія з цінних паперів та фондового ринку може встановлювати додаткові вимоги до клірингових установ, що обмежують ризики професійної діяльності на ринках капіталу та організованих товарних ринках.</w:t>
            </w:r>
          </w:p>
        </w:tc>
        <w:tc>
          <w:tcPr>
            <w:tcW w:w="3686" w:type="dxa"/>
          </w:tcPr>
          <w:p w14:paraId="191D1558" w14:textId="77777777" w:rsidR="00806997" w:rsidRPr="00286216" w:rsidRDefault="00806997" w:rsidP="00806997">
            <w:pPr>
              <w:pStyle w:val="StyleProp"/>
              <w:rPr>
                <w:color w:val="000000" w:themeColor="text1"/>
                <w:szCs w:val="18"/>
              </w:rPr>
            </w:pPr>
          </w:p>
        </w:tc>
        <w:tc>
          <w:tcPr>
            <w:tcW w:w="1987" w:type="dxa"/>
          </w:tcPr>
          <w:p w14:paraId="0BC88A11" w14:textId="77777777" w:rsidR="00806997" w:rsidRPr="00286216" w:rsidRDefault="00806997" w:rsidP="00806997">
            <w:pPr>
              <w:pStyle w:val="StyleWisnow"/>
              <w:rPr>
                <w:color w:val="000000" w:themeColor="text1"/>
              </w:rPr>
            </w:pPr>
          </w:p>
        </w:tc>
        <w:tc>
          <w:tcPr>
            <w:tcW w:w="4818" w:type="dxa"/>
          </w:tcPr>
          <w:p w14:paraId="27657163" w14:textId="77777777" w:rsidR="00806997" w:rsidRPr="00286216" w:rsidRDefault="00806997" w:rsidP="00806997">
            <w:pPr>
              <w:pStyle w:val="StyleZakonu"/>
              <w:rPr>
                <w:color w:val="000000" w:themeColor="text1"/>
              </w:rPr>
            </w:pPr>
          </w:p>
        </w:tc>
      </w:tr>
      <w:tr w:rsidR="00806997" w:rsidRPr="00286216" w14:paraId="0A606A54" w14:textId="77777777" w:rsidTr="00091AA5">
        <w:tc>
          <w:tcPr>
            <w:tcW w:w="576" w:type="dxa"/>
          </w:tcPr>
          <w:p w14:paraId="31E26109" w14:textId="77777777" w:rsidR="00806997" w:rsidRPr="00286216" w:rsidRDefault="00806997" w:rsidP="00806997">
            <w:pPr>
              <w:pStyle w:val="StyleWisnow"/>
              <w:rPr>
                <w:color w:val="000000" w:themeColor="text1"/>
              </w:rPr>
            </w:pPr>
            <w:bookmarkStart w:id="764" w:name="n1048" w:colFirst="0" w:colLast="0"/>
            <w:bookmarkEnd w:id="763"/>
            <w:r w:rsidRPr="00286216">
              <w:rPr>
                <w:color w:val="000000" w:themeColor="text1"/>
              </w:rPr>
              <w:t>1048.</w:t>
            </w:r>
          </w:p>
        </w:tc>
        <w:tc>
          <w:tcPr>
            <w:tcW w:w="4818" w:type="dxa"/>
          </w:tcPr>
          <w:p w14:paraId="54B16684" w14:textId="77777777" w:rsidR="00806997" w:rsidRPr="00286216" w:rsidRDefault="00806997" w:rsidP="00806997">
            <w:pPr>
              <w:pStyle w:val="StyleZakonu"/>
              <w:rPr>
                <w:color w:val="000000" w:themeColor="text1"/>
              </w:rPr>
            </w:pPr>
            <w:r w:rsidRPr="00286216">
              <w:rPr>
                <w:color w:val="000000" w:themeColor="text1"/>
              </w:rPr>
              <w:t>5. Слова "клірингова установа" та похідні від них дозволяється використовувати лише юридичним особам, які утворені та функціонують відповідно до вимог цього Закону.</w:t>
            </w:r>
          </w:p>
        </w:tc>
        <w:tc>
          <w:tcPr>
            <w:tcW w:w="3686" w:type="dxa"/>
          </w:tcPr>
          <w:p w14:paraId="34B6C466" w14:textId="77777777" w:rsidR="00806997" w:rsidRPr="00286216" w:rsidRDefault="00806997" w:rsidP="00806997">
            <w:pPr>
              <w:pStyle w:val="StyleProp"/>
              <w:rPr>
                <w:color w:val="000000" w:themeColor="text1"/>
                <w:szCs w:val="18"/>
              </w:rPr>
            </w:pPr>
          </w:p>
        </w:tc>
        <w:tc>
          <w:tcPr>
            <w:tcW w:w="1987" w:type="dxa"/>
          </w:tcPr>
          <w:p w14:paraId="62994CDA" w14:textId="77777777" w:rsidR="00806997" w:rsidRPr="00286216" w:rsidRDefault="00806997" w:rsidP="00806997">
            <w:pPr>
              <w:pStyle w:val="StyleWisnow"/>
              <w:rPr>
                <w:color w:val="000000" w:themeColor="text1"/>
              </w:rPr>
            </w:pPr>
          </w:p>
        </w:tc>
        <w:tc>
          <w:tcPr>
            <w:tcW w:w="4818" w:type="dxa"/>
          </w:tcPr>
          <w:p w14:paraId="2E263232" w14:textId="77777777" w:rsidR="00806997" w:rsidRPr="00286216" w:rsidRDefault="00806997" w:rsidP="00806997">
            <w:pPr>
              <w:pStyle w:val="StyleZakonu"/>
              <w:rPr>
                <w:color w:val="000000" w:themeColor="text1"/>
              </w:rPr>
            </w:pPr>
          </w:p>
        </w:tc>
      </w:tr>
      <w:tr w:rsidR="00806997" w:rsidRPr="00286216" w14:paraId="01C8598A" w14:textId="77777777" w:rsidTr="00091AA5">
        <w:tc>
          <w:tcPr>
            <w:tcW w:w="576" w:type="dxa"/>
          </w:tcPr>
          <w:p w14:paraId="2FDBDAE7" w14:textId="77777777" w:rsidR="00806997" w:rsidRPr="00286216" w:rsidRDefault="00806997" w:rsidP="00806997">
            <w:pPr>
              <w:pStyle w:val="StyleWisnow"/>
              <w:rPr>
                <w:color w:val="000000" w:themeColor="text1"/>
              </w:rPr>
            </w:pPr>
            <w:bookmarkStart w:id="765" w:name="n1049" w:colFirst="0" w:colLast="0"/>
            <w:bookmarkEnd w:id="764"/>
            <w:r w:rsidRPr="00286216">
              <w:rPr>
                <w:color w:val="000000" w:themeColor="text1"/>
              </w:rPr>
              <w:t>1049.</w:t>
            </w:r>
          </w:p>
        </w:tc>
        <w:tc>
          <w:tcPr>
            <w:tcW w:w="4818" w:type="dxa"/>
          </w:tcPr>
          <w:p w14:paraId="2069A736" w14:textId="77777777" w:rsidR="00806997" w:rsidRPr="00286216" w:rsidRDefault="00806997" w:rsidP="00806997">
            <w:pPr>
              <w:pStyle w:val="StyleZakonu"/>
              <w:rPr>
                <w:color w:val="000000" w:themeColor="text1"/>
              </w:rPr>
            </w:pPr>
            <w:bookmarkStart w:id="766" w:name="_Ref17923924"/>
            <w:r w:rsidRPr="00286216">
              <w:rPr>
                <w:color w:val="000000" w:themeColor="text1"/>
              </w:rPr>
              <w:t>Стаття 57. Правила клірингу</w:t>
            </w:r>
            <w:bookmarkEnd w:id="766"/>
          </w:p>
        </w:tc>
        <w:tc>
          <w:tcPr>
            <w:tcW w:w="3686" w:type="dxa"/>
          </w:tcPr>
          <w:p w14:paraId="10408D8C" w14:textId="77777777" w:rsidR="00806997" w:rsidRPr="00286216" w:rsidRDefault="00806997" w:rsidP="00806997">
            <w:pPr>
              <w:pStyle w:val="StyleProp"/>
              <w:rPr>
                <w:color w:val="000000" w:themeColor="text1"/>
                <w:szCs w:val="18"/>
              </w:rPr>
            </w:pPr>
          </w:p>
        </w:tc>
        <w:tc>
          <w:tcPr>
            <w:tcW w:w="1987" w:type="dxa"/>
          </w:tcPr>
          <w:p w14:paraId="1782FFEA" w14:textId="77777777" w:rsidR="00806997" w:rsidRPr="00286216" w:rsidRDefault="00806997" w:rsidP="00806997">
            <w:pPr>
              <w:pStyle w:val="StyleWisnow"/>
              <w:rPr>
                <w:color w:val="000000" w:themeColor="text1"/>
              </w:rPr>
            </w:pPr>
          </w:p>
        </w:tc>
        <w:tc>
          <w:tcPr>
            <w:tcW w:w="4818" w:type="dxa"/>
          </w:tcPr>
          <w:p w14:paraId="17A0757F" w14:textId="57477FA7" w:rsidR="00806997" w:rsidRPr="00286216" w:rsidRDefault="00806997" w:rsidP="00806997">
            <w:pPr>
              <w:pStyle w:val="StyleZakonu"/>
              <w:rPr>
                <w:color w:val="000000" w:themeColor="text1"/>
              </w:rPr>
            </w:pPr>
            <w:r w:rsidRPr="00286216">
              <w:rPr>
                <w:color w:val="000000" w:themeColor="text1"/>
              </w:rPr>
              <w:t>Стаття 62. Правила клірингу</w:t>
            </w:r>
          </w:p>
        </w:tc>
      </w:tr>
      <w:tr w:rsidR="00806997" w:rsidRPr="00286216" w14:paraId="2CFF6D73" w14:textId="77777777" w:rsidTr="00091AA5">
        <w:tc>
          <w:tcPr>
            <w:tcW w:w="576" w:type="dxa"/>
          </w:tcPr>
          <w:p w14:paraId="7E1FB2C9" w14:textId="77777777" w:rsidR="00806997" w:rsidRPr="00286216" w:rsidRDefault="00806997" w:rsidP="00806997">
            <w:pPr>
              <w:pStyle w:val="StyleWisnow"/>
              <w:rPr>
                <w:color w:val="000000" w:themeColor="text1"/>
              </w:rPr>
            </w:pPr>
            <w:bookmarkStart w:id="767" w:name="n1050" w:colFirst="0" w:colLast="0"/>
            <w:bookmarkEnd w:id="765"/>
            <w:r w:rsidRPr="00286216">
              <w:rPr>
                <w:color w:val="000000" w:themeColor="text1"/>
              </w:rPr>
              <w:t>1050.</w:t>
            </w:r>
          </w:p>
        </w:tc>
        <w:tc>
          <w:tcPr>
            <w:tcW w:w="4818" w:type="dxa"/>
          </w:tcPr>
          <w:p w14:paraId="211AB6F2" w14:textId="77777777" w:rsidR="00806997" w:rsidRPr="00286216" w:rsidRDefault="00806997" w:rsidP="00806997">
            <w:pPr>
              <w:pStyle w:val="StyleZakonu"/>
              <w:rPr>
                <w:color w:val="000000" w:themeColor="text1"/>
              </w:rPr>
            </w:pPr>
            <w:r w:rsidRPr="00286216">
              <w:rPr>
                <w:color w:val="000000" w:themeColor="text1"/>
              </w:rPr>
              <w:t>1. Правила клірингу повинні містити, зокрема:</w:t>
            </w:r>
          </w:p>
        </w:tc>
        <w:tc>
          <w:tcPr>
            <w:tcW w:w="3686" w:type="dxa"/>
          </w:tcPr>
          <w:p w14:paraId="18E917F1" w14:textId="77777777" w:rsidR="00806997" w:rsidRPr="00286216" w:rsidRDefault="00806997" w:rsidP="00806997">
            <w:pPr>
              <w:pStyle w:val="StyleProp"/>
              <w:rPr>
                <w:color w:val="000000" w:themeColor="text1"/>
                <w:szCs w:val="18"/>
              </w:rPr>
            </w:pPr>
          </w:p>
        </w:tc>
        <w:tc>
          <w:tcPr>
            <w:tcW w:w="1987" w:type="dxa"/>
          </w:tcPr>
          <w:p w14:paraId="41482A9A" w14:textId="77777777" w:rsidR="00806997" w:rsidRPr="00286216" w:rsidRDefault="00806997" w:rsidP="00806997">
            <w:pPr>
              <w:pStyle w:val="StyleWisnow"/>
              <w:rPr>
                <w:color w:val="000000" w:themeColor="text1"/>
              </w:rPr>
            </w:pPr>
          </w:p>
        </w:tc>
        <w:tc>
          <w:tcPr>
            <w:tcW w:w="4818" w:type="dxa"/>
          </w:tcPr>
          <w:p w14:paraId="08973CAD" w14:textId="29083864" w:rsidR="00806997" w:rsidRPr="00286216" w:rsidRDefault="00806997" w:rsidP="00806997">
            <w:pPr>
              <w:pStyle w:val="StyleZakonu"/>
              <w:rPr>
                <w:color w:val="000000" w:themeColor="text1"/>
              </w:rPr>
            </w:pPr>
            <w:r w:rsidRPr="00286216">
              <w:rPr>
                <w:color w:val="000000" w:themeColor="text1"/>
              </w:rPr>
              <w:t>1. Правила клірингу повинні містити, зокрема:</w:t>
            </w:r>
          </w:p>
        </w:tc>
      </w:tr>
      <w:tr w:rsidR="00806997" w:rsidRPr="00286216" w14:paraId="3A1E4EAB" w14:textId="77777777" w:rsidTr="00091AA5">
        <w:tc>
          <w:tcPr>
            <w:tcW w:w="576" w:type="dxa"/>
          </w:tcPr>
          <w:p w14:paraId="5E169BE2" w14:textId="77777777" w:rsidR="00806997" w:rsidRPr="00286216" w:rsidRDefault="00806997" w:rsidP="00806997">
            <w:pPr>
              <w:pStyle w:val="StyleWisnow"/>
              <w:rPr>
                <w:color w:val="000000" w:themeColor="text1"/>
              </w:rPr>
            </w:pPr>
            <w:bookmarkStart w:id="768" w:name="n1051" w:colFirst="0" w:colLast="0"/>
            <w:bookmarkEnd w:id="767"/>
            <w:r w:rsidRPr="00286216">
              <w:rPr>
                <w:color w:val="000000" w:themeColor="text1"/>
              </w:rPr>
              <w:t>1051.</w:t>
            </w:r>
          </w:p>
        </w:tc>
        <w:tc>
          <w:tcPr>
            <w:tcW w:w="4818" w:type="dxa"/>
          </w:tcPr>
          <w:p w14:paraId="24671567" w14:textId="77777777" w:rsidR="00806997" w:rsidRPr="00286216" w:rsidRDefault="00806997" w:rsidP="00806997">
            <w:pPr>
              <w:pStyle w:val="StyleZakonu"/>
              <w:rPr>
                <w:color w:val="000000" w:themeColor="text1"/>
              </w:rPr>
            </w:pPr>
            <w:r w:rsidRPr="00286216">
              <w:rPr>
                <w:color w:val="000000" w:themeColor="text1"/>
              </w:rPr>
              <w:t>1) вимоги до учасників клірингу;</w:t>
            </w:r>
          </w:p>
        </w:tc>
        <w:tc>
          <w:tcPr>
            <w:tcW w:w="3686" w:type="dxa"/>
          </w:tcPr>
          <w:p w14:paraId="21ACE444" w14:textId="77777777" w:rsidR="00806997" w:rsidRPr="00286216" w:rsidRDefault="00806997" w:rsidP="00806997">
            <w:pPr>
              <w:pStyle w:val="StyleProp"/>
              <w:rPr>
                <w:color w:val="000000" w:themeColor="text1"/>
                <w:szCs w:val="18"/>
              </w:rPr>
            </w:pPr>
          </w:p>
        </w:tc>
        <w:tc>
          <w:tcPr>
            <w:tcW w:w="1987" w:type="dxa"/>
          </w:tcPr>
          <w:p w14:paraId="00BDC200" w14:textId="77777777" w:rsidR="00806997" w:rsidRPr="00286216" w:rsidRDefault="00806997" w:rsidP="00806997">
            <w:pPr>
              <w:pStyle w:val="StyleWisnow"/>
              <w:rPr>
                <w:color w:val="000000" w:themeColor="text1"/>
              </w:rPr>
            </w:pPr>
          </w:p>
        </w:tc>
        <w:tc>
          <w:tcPr>
            <w:tcW w:w="4818" w:type="dxa"/>
          </w:tcPr>
          <w:p w14:paraId="0AC81D72" w14:textId="23789F0F" w:rsidR="00806997" w:rsidRPr="00286216" w:rsidRDefault="00806997" w:rsidP="00806997">
            <w:pPr>
              <w:pStyle w:val="StyleZakonu"/>
              <w:rPr>
                <w:color w:val="000000" w:themeColor="text1"/>
              </w:rPr>
            </w:pPr>
            <w:r w:rsidRPr="00286216">
              <w:rPr>
                <w:color w:val="000000" w:themeColor="text1"/>
              </w:rPr>
              <w:t>1) вимоги до учасників клірингу;</w:t>
            </w:r>
          </w:p>
        </w:tc>
      </w:tr>
      <w:tr w:rsidR="00806997" w:rsidRPr="00286216" w14:paraId="7DB89D0F" w14:textId="77777777" w:rsidTr="00091AA5">
        <w:tc>
          <w:tcPr>
            <w:tcW w:w="576" w:type="dxa"/>
          </w:tcPr>
          <w:p w14:paraId="37BCDA90" w14:textId="77777777" w:rsidR="00806997" w:rsidRPr="00286216" w:rsidRDefault="00806997" w:rsidP="00806997">
            <w:pPr>
              <w:pStyle w:val="StyleWisnow"/>
              <w:rPr>
                <w:color w:val="000000" w:themeColor="text1"/>
              </w:rPr>
            </w:pPr>
            <w:bookmarkStart w:id="769" w:name="n1052" w:colFirst="0" w:colLast="0"/>
            <w:bookmarkEnd w:id="768"/>
            <w:r w:rsidRPr="00286216">
              <w:rPr>
                <w:color w:val="000000" w:themeColor="text1"/>
              </w:rPr>
              <w:t>1052.</w:t>
            </w:r>
          </w:p>
        </w:tc>
        <w:tc>
          <w:tcPr>
            <w:tcW w:w="4818" w:type="dxa"/>
          </w:tcPr>
          <w:p w14:paraId="63199FC6" w14:textId="77777777" w:rsidR="00806997" w:rsidRPr="00286216" w:rsidRDefault="00806997" w:rsidP="00806997">
            <w:pPr>
              <w:pStyle w:val="StyleZakonu"/>
              <w:rPr>
                <w:color w:val="000000" w:themeColor="text1"/>
              </w:rPr>
            </w:pPr>
            <w:r w:rsidRPr="00286216">
              <w:rPr>
                <w:color w:val="000000" w:themeColor="text1"/>
              </w:rPr>
              <w:t>2) порядок здійснення клірингу за участю та/або без участі центрального контрагента;</w:t>
            </w:r>
          </w:p>
        </w:tc>
        <w:tc>
          <w:tcPr>
            <w:tcW w:w="3686" w:type="dxa"/>
          </w:tcPr>
          <w:p w14:paraId="69136A7C" w14:textId="41EDF39F"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8E9050B" w14:textId="77777777" w:rsidR="00806997" w:rsidRPr="00286216" w:rsidRDefault="00806997" w:rsidP="00806997">
            <w:pPr>
              <w:pStyle w:val="StyleProp"/>
              <w:spacing w:line="180" w:lineRule="exact"/>
              <w:rPr>
                <w:color w:val="000000" w:themeColor="text1"/>
                <w:spacing w:val="-2"/>
                <w:szCs w:val="18"/>
              </w:rPr>
            </w:pPr>
            <w:r w:rsidRPr="00286216">
              <w:rPr>
                <w:color w:val="000000" w:themeColor="text1"/>
                <w:spacing w:val="-2"/>
                <w:szCs w:val="18"/>
              </w:rPr>
              <w:t>Пункт 2 частини 1 статті 57 викласти у такій редакції:</w:t>
            </w:r>
          </w:p>
          <w:p w14:paraId="0E73435A" w14:textId="77777777" w:rsidR="00806997" w:rsidRPr="00286216" w:rsidRDefault="00806997" w:rsidP="00806997">
            <w:pPr>
              <w:pStyle w:val="StyleProp"/>
              <w:spacing w:line="180" w:lineRule="exact"/>
              <w:rPr>
                <w:color w:val="000000" w:themeColor="text1"/>
              </w:rPr>
            </w:pPr>
            <w:r w:rsidRPr="00286216">
              <w:rPr>
                <w:color w:val="000000" w:themeColor="text1"/>
                <w:spacing w:val="-2"/>
              </w:rPr>
              <w:t>"</w:t>
            </w:r>
            <w:r w:rsidRPr="00286216">
              <w:rPr>
                <w:color w:val="000000" w:themeColor="text1"/>
              </w:rPr>
              <w:t>Твердження про провадження кліринговою установою діяльності:</w:t>
            </w:r>
          </w:p>
          <w:p w14:paraId="76EB8AB1" w14:textId="77777777" w:rsidR="00806997" w:rsidRPr="00286216" w:rsidRDefault="00806997" w:rsidP="00806997">
            <w:pPr>
              <w:pStyle w:val="StyleProp"/>
              <w:spacing w:line="180" w:lineRule="exact"/>
              <w:rPr>
                <w:color w:val="000000" w:themeColor="text1"/>
              </w:rPr>
            </w:pPr>
            <w:r w:rsidRPr="00286216">
              <w:rPr>
                <w:color w:val="000000" w:themeColor="text1"/>
              </w:rPr>
              <w:t>а) клірингової діяльності з визначення зобов’язань або</w:t>
            </w:r>
          </w:p>
          <w:p w14:paraId="45348E94" w14:textId="77777777" w:rsidR="00806997" w:rsidRPr="00286216" w:rsidRDefault="00806997" w:rsidP="00806997">
            <w:pPr>
              <w:pStyle w:val="StyleProp"/>
              <w:spacing w:line="180" w:lineRule="exact"/>
              <w:rPr>
                <w:color w:val="000000" w:themeColor="text1"/>
              </w:rPr>
            </w:pPr>
            <w:r w:rsidRPr="00286216">
              <w:rPr>
                <w:color w:val="000000" w:themeColor="text1"/>
              </w:rPr>
              <w:t>б) клірингової діяльності Центрального контрагента".</w:t>
            </w:r>
          </w:p>
          <w:p w14:paraId="0C4E9B5C" w14:textId="276ADD97" w:rsidR="00806997" w:rsidRPr="00286216" w:rsidRDefault="00806997" w:rsidP="0080699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575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EAAD8DC" w14:textId="77777777" w:rsidR="00806997" w:rsidRPr="00286216" w:rsidRDefault="00806997" w:rsidP="00806997">
            <w:pPr>
              <w:pStyle w:val="StyleProp"/>
              <w:spacing w:line="180" w:lineRule="exact"/>
              <w:rPr>
                <w:color w:val="000000" w:themeColor="text1"/>
                <w:spacing w:val="-2"/>
                <w:szCs w:val="18"/>
              </w:rPr>
            </w:pPr>
            <w:r w:rsidRPr="00286216">
              <w:rPr>
                <w:color w:val="000000" w:themeColor="text1"/>
                <w:spacing w:val="-2"/>
                <w:szCs w:val="18"/>
              </w:rPr>
              <w:t>У пункті 2 частини 1 статті 57 слова «за участю та/або без участі» замінити словами «з виконанням та/або без виконання функції».</w:t>
            </w:r>
          </w:p>
        </w:tc>
        <w:tc>
          <w:tcPr>
            <w:tcW w:w="1987" w:type="dxa"/>
          </w:tcPr>
          <w:p w14:paraId="3B4E51DB" w14:textId="77777777" w:rsidR="00806997" w:rsidRPr="00286216" w:rsidRDefault="00806997" w:rsidP="00806997">
            <w:pPr>
              <w:pStyle w:val="StyleWisnow"/>
              <w:rPr>
                <w:color w:val="000000" w:themeColor="text1"/>
              </w:rPr>
            </w:pPr>
            <w:r w:rsidRPr="00286216">
              <w:rPr>
                <w:color w:val="000000" w:themeColor="text1"/>
              </w:rPr>
              <w:t>Враховано</w:t>
            </w:r>
          </w:p>
          <w:p w14:paraId="46A7018B" w14:textId="77777777" w:rsidR="00806997" w:rsidRPr="00286216" w:rsidRDefault="00806997" w:rsidP="00806997">
            <w:pPr>
              <w:pStyle w:val="StyleWisnow"/>
              <w:rPr>
                <w:color w:val="000000" w:themeColor="text1"/>
              </w:rPr>
            </w:pPr>
          </w:p>
          <w:p w14:paraId="0FF31A2D" w14:textId="77777777" w:rsidR="00806997" w:rsidRPr="00286216" w:rsidRDefault="00806997" w:rsidP="00806997">
            <w:pPr>
              <w:pStyle w:val="StyleWisnow"/>
              <w:rPr>
                <w:color w:val="000000" w:themeColor="text1"/>
              </w:rPr>
            </w:pPr>
          </w:p>
          <w:p w14:paraId="7C3FDA4E" w14:textId="77777777" w:rsidR="00806997" w:rsidRPr="00286216" w:rsidRDefault="00806997" w:rsidP="00806997">
            <w:pPr>
              <w:pStyle w:val="StyleWisnow"/>
              <w:rPr>
                <w:color w:val="000000" w:themeColor="text1"/>
              </w:rPr>
            </w:pPr>
          </w:p>
          <w:p w14:paraId="38A6D7C0" w14:textId="77777777" w:rsidR="00806997" w:rsidRPr="00286216" w:rsidRDefault="00806997" w:rsidP="00806997">
            <w:pPr>
              <w:pStyle w:val="StyleWisnow"/>
              <w:rPr>
                <w:color w:val="000000" w:themeColor="text1"/>
              </w:rPr>
            </w:pPr>
          </w:p>
          <w:p w14:paraId="73AFAC80" w14:textId="77777777" w:rsidR="00806997" w:rsidRPr="00286216" w:rsidRDefault="00806997" w:rsidP="00806997">
            <w:pPr>
              <w:pStyle w:val="StyleWisnow"/>
              <w:rPr>
                <w:color w:val="000000" w:themeColor="text1"/>
              </w:rPr>
            </w:pPr>
          </w:p>
          <w:p w14:paraId="35799CD7" w14:textId="77777777" w:rsidR="00806997" w:rsidRPr="00286216" w:rsidRDefault="00806997" w:rsidP="00806997">
            <w:pPr>
              <w:pStyle w:val="StyleWisnow"/>
              <w:rPr>
                <w:color w:val="000000" w:themeColor="text1"/>
              </w:rPr>
            </w:pPr>
          </w:p>
          <w:p w14:paraId="1582C524" w14:textId="77777777" w:rsidR="00806997" w:rsidRPr="00286216" w:rsidRDefault="00806997" w:rsidP="00806997">
            <w:pPr>
              <w:pStyle w:val="StyleWisnow"/>
              <w:rPr>
                <w:color w:val="000000" w:themeColor="text1"/>
              </w:rPr>
            </w:pPr>
          </w:p>
          <w:p w14:paraId="54D1B22B" w14:textId="77777777" w:rsidR="00806997" w:rsidRPr="00286216" w:rsidRDefault="00806997" w:rsidP="00806997">
            <w:pPr>
              <w:pStyle w:val="StyleWisnow"/>
              <w:rPr>
                <w:color w:val="000000" w:themeColor="text1"/>
              </w:rPr>
            </w:pPr>
            <w:r w:rsidRPr="00286216">
              <w:rPr>
                <w:color w:val="000000" w:themeColor="text1"/>
              </w:rPr>
              <w:t>Враховано по суті</w:t>
            </w:r>
          </w:p>
        </w:tc>
        <w:tc>
          <w:tcPr>
            <w:tcW w:w="4818" w:type="dxa"/>
          </w:tcPr>
          <w:p w14:paraId="31AD3F3C" w14:textId="77777777" w:rsidR="00806997" w:rsidRPr="00286216" w:rsidRDefault="00806997" w:rsidP="00806997">
            <w:pPr>
              <w:pStyle w:val="StyleZakonu"/>
              <w:rPr>
                <w:color w:val="000000" w:themeColor="text1"/>
              </w:rPr>
            </w:pPr>
            <w:r w:rsidRPr="00286216">
              <w:rPr>
                <w:color w:val="000000" w:themeColor="text1"/>
              </w:rPr>
              <w:t>2) твердження про провадження кліринговою установою діяльності:</w:t>
            </w:r>
          </w:p>
          <w:p w14:paraId="5E5FA50E" w14:textId="77777777" w:rsidR="00806997" w:rsidRPr="00286216" w:rsidRDefault="00806997" w:rsidP="00806997">
            <w:pPr>
              <w:pStyle w:val="StyleZakonu"/>
              <w:rPr>
                <w:color w:val="000000" w:themeColor="text1"/>
              </w:rPr>
            </w:pPr>
            <w:r w:rsidRPr="00286216">
              <w:rPr>
                <w:color w:val="000000" w:themeColor="text1"/>
              </w:rPr>
              <w:t>а) клірингової діяльності з визначення зобов’язань або</w:t>
            </w:r>
          </w:p>
          <w:p w14:paraId="2E0E82B1" w14:textId="164BF623" w:rsidR="00806997" w:rsidRPr="00286216" w:rsidRDefault="00806997" w:rsidP="00806997">
            <w:pPr>
              <w:pStyle w:val="StyleZakonu"/>
              <w:rPr>
                <w:color w:val="000000" w:themeColor="text1"/>
              </w:rPr>
            </w:pPr>
            <w:r w:rsidRPr="00286216">
              <w:rPr>
                <w:color w:val="000000" w:themeColor="text1"/>
              </w:rPr>
              <w:t>б) клірингової діяльності центрального контрагента;</w:t>
            </w:r>
          </w:p>
        </w:tc>
      </w:tr>
      <w:tr w:rsidR="00806997" w:rsidRPr="00286216" w14:paraId="2F6F8945" w14:textId="77777777" w:rsidTr="00091AA5">
        <w:tc>
          <w:tcPr>
            <w:tcW w:w="576" w:type="dxa"/>
          </w:tcPr>
          <w:p w14:paraId="2E6E43B5" w14:textId="77777777" w:rsidR="00806997" w:rsidRPr="00286216" w:rsidRDefault="00806997" w:rsidP="00806997">
            <w:pPr>
              <w:pStyle w:val="StyleWisnow"/>
              <w:rPr>
                <w:color w:val="000000" w:themeColor="text1"/>
              </w:rPr>
            </w:pPr>
            <w:bookmarkStart w:id="770" w:name="n1053" w:colFirst="0" w:colLast="0"/>
            <w:bookmarkEnd w:id="769"/>
            <w:r w:rsidRPr="00286216">
              <w:rPr>
                <w:color w:val="000000" w:themeColor="text1"/>
              </w:rPr>
              <w:t>1053.</w:t>
            </w:r>
          </w:p>
        </w:tc>
        <w:tc>
          <w:tcPr>
            <w:tcW w:w="4818" w:type="dxa"/>
          </w:tcPr>
          <w:p w14:paraId="572848F3" w14:textId="77777777" w:rsidR="00806997" w:rsidRPr="00286216" w:rsidRDefault="00806997" w:rsidP="00806997">
            <w:pPr>
              <w:pStyle w:val="StyleZakonu"/>
              <w:rPr>
                <w:color w:val="000000" w:themeColor="text1"/>
              </w:rPr>
            </w:pPr>
            <w:r w:rsidRPr="00286216">
              <w:rPr>
                <w:color w:val="000000" w:themeColor="text1"/>
              </w:rPr>
              <w:t>3) порядок, умови допуску зобов’язань до клірингу та вимоги до таких зобов’язань;</w:t>
            </w:r>
          </w:p>
        </w:tc>
        <w:tc>
          <w:tcPr>
            <w:tcW w:w="3686" w:type="dxa"/>
          </w:tcPr>
          <w:p w14:paraId="3F837615" w14:textId="76347576"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155DB5F" w14:textId="77777777" w:rsidR="00806997" w:rsidRPr="00286216" w:rsidRDefault="00806997" w:rsidP="00806997">
            <w:pPr>
              <w:pStyle w:val="StyleProp"/>
              <w:rPr>
                <w:color w:val="000000" w:themeColor="text1"/>
                <w:szCs w:val="18"/>
              </w:rPr>
            </w:pPr>
            <w:r w:rsidRPr="00286216">
              <w:rPr>
                <w:color w:val="000000" w:themeColor="text1"/>
                <w:szCs w:val="18"/>
              </w:rPr>
              <w:t>У пункті 3 частини першої статті 57 слова «та вимоги до таких зобов’язань» виключити.</w:t>
            </w:r>
          </w:p>
        </w:tc>
        <w:tc>
          <w:tcPr>
            <w:tcW w:w="1987" w:type="dxa"/>
          </w:tcPr>
          <w:p w14:paraId="45CD99E3"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B957327" w14:textId="3A59FE63" w:rsidR="00806997" w:rsidRPr="00286216" w:rsidRDefault="00806997" w:rsidP="00806997">
            <w:pPr>
              <w:pStyle w:val="StyleZakonu"/>
              <w:rPr>
                <w:color w:val="000000" w:themeColor="text1"/>
              </w:rPr>
            </w:pPr>
            <w:r w:rsidRPr="00286216">
              <w:rPr>
                <w:color w:val="000000" w:themeColor="text1"/>
              </w:rPr>
              <w:t>3) порядок, умови допуску зобов’язань до клірингу;</w:t>
            </w:r>
          </w:p>
        </w:tc>
      </w:tr>
      <w:tr w:rsidR="00806997" w:rsidRPr="00286216" w14:paraId="2AA85AF6" w14:textId="77777777" w:rsidTr="00091AA5">
        <w:tc>
          <w:tcPr>
            <w:tcW w:w="576" w:type="dxa"/>
          </w:tcPr>
          <w:p w14:paraId="64F1D755" w14:textId="77777777" w:rsidR="00806997" w:rsidRPr="00286216" w:rsidRDefault="00806997" w:rsidP="00806997">
            <w:pPr>
              <w:pStyle w:val="StyleWisnow"/>
              <w:rPr>
                <w:color w:val="000000" w:themeColor="text1"/>
              </w:rPr>
            </w:pPr>
            <w:bookmarkStart w:id="771" w:name="n1054" w:colFirst="0" w:colLast="0"/>
            <w:bookmarkEnd w:id="770"/>
            <w:r w:rsidRPr="00286216">
              <w:rPr>
                <w:color w:val="000000" w:themeColor="text1"/>
              </w:rPr>
              <w:t>1054.</w:t>
            </w:r>
          </w:p>
        </w:tc>
        <w:tc>
          <w:tcPr>
            <w:tcW w:w="4818" w:type="dxa"/>
          </w:tcPr>
          <w:p w14:paraId="2CDECBB8" w14:textId="77777777" w:rsidR="00806997" w:rsidRPr="00286216" w:rsidRDefault="00806997" w:rsidP="00806997">
            <w:pPr>
              <w:pStyle w:val="StyleZakonu"/>
              <w:rPr>
                <w:color w:val="000000" w:themeColor="text1"/>
              </w:rPr>
            </w:pPr>
            <w:r w:rsidRPr="00286216">
              <w:rPr>
                <w:color w:val="000000" w:themeColor="text1"/>
              </w:rPr>
              <w:t xml:space="preserve">4) права і обов’язки особи, яка провадить </w:t>
            </w:r>
            <w:r w:rsidRPr="00286216">
              <w:rPr>
                <w:color w:val="000000" w:themeColor="text1"/>
              </w:rPr>
              <w:lastRenderedPageBreak/>
              <w:t>клірингову діяльність, та учасників клірингу;</w:t>
            </w:r>
          </w:p>
        </w:tc>
        <w:tc>
          <w:tcPr>
            <w:tcW w:w="3686" w:type="dxa"/>
          </w:tcPr>
          <w:p w14:paraId="7A3A24A3" w14:textId="77777777" w:rsidR="00806997" w:rsidRPr="00286216" w:rsidRDefault="00806997" w:rsidP="00806997">
            <w:pPr>
              <w:pStyle w:val="StyleProp"/>
              <w:rPr>
                <w:color w:val="000000" w:themeColor="text1"/>
                <w:szCs w:val="18"/>
              </w:rPr>
            </w:pPr>
          </w:p>
        </w:tc>
        <w:tc>
          <w:tcPr>
            <w:tcW w:w="1987" w:type="dxa"/>
          </w:tcPr>
          <w:p w14:paraId="239C7668" w14:textId="77777777" w:rsidR="00806997" w:rsidRPr="00286216" w:rsidRDefault="00806997" w:rsidP="00806997">
            <w:pPr>
              <w:pStyle w:val="StyleWisnow"/>
              <w:rPr>
                <w:color w:val="000000" w:themeColor="text1"/>
              </w:rPr>
            </w:pPr>
          </w:p>
        </w:tc>
        <w:tc>
          <w:tcPr>
            <w:tcW w:w="4818" w:type="dxa"/>
          </w:tcPr>
          <w:p w14:paraId="44772A8E" w14:textId="53CA2CDA" w:rsidR="00806997" w:rsidRPr="00286216" w:rsidRDefault="00806997" w:rsidP="00806997">
            <w:pPr>
              <w:pStyle w:val="StyleZakonu"/>
              <w:rPr>
                <w:color w:val="000000" w:themeColor="text1"/>
              </w:rPr>
            </w:pPr>
            <w:r w:rsidRPr="00286216">
              <w:rPr>
                <w:color w:val="000000" w:themeColor="text1"/>
              </w:rPr>
              <w:t xml:space="preserve">4) права і обов’язки особи, яка провадить </w:t>
            </w:r>
            <w:r w:rsidRPr="00286216">
              <w:rPr>
                <w:color w:val="000000" w:themeColor="text1"/>
              </w:rPr>
              <w:lastRenderedPageBreak/>
              <w:t>клірингову діяльність, та учасників клірингу;</w:t>
            </w:r>
          </w:p>
        </w:tc>
      </w:tr>
      <w:tr w:rsidR="00806997" w:rsidRPr="00286216" w14:paraId="58BEC3A1" w14:textId="77777777" w:rsidTr="00091AA5">
        <w:tc>
          <w:tcPr>
            <w:tcW w:w="576" w:type="dxa"/>
          </w:tcPr>
          <w:p w14:paraId="17B64CE3" w14:textId="77777777" w:rsidR="00806997" w:rsidRPr="00286216" w:rsidRDefault="00806997" w:rsidP="00806997">
            <w:pPr>
              <w:pStyle w:val="StyleWisnow"/>
              <w:rPr>
                <w:color w:val="000000" w:themeColor="text1"/>
              </w:rPr>
            </w:pPr>
            <w:bookmarkStart w:id="772" w:name="n1055" w:colFirst="0" w:colLast="0"/>
            <w:bookmarkEnd w:id="771"/>
            <w:r w:rsidRPr="00286216">
              <w:rPr>
                <w:color w:val="000000" w:themeColor="text1"/>
              </w:rPr>
              <w:lastRenderedPageBreak/>
              <w:t>1055.</w:t>
            </w:r>
          </w:p>
        </w:tc>
        <w:tc>
          <w:tcPr>
            <w:tcW w:w="4818" w:type="dxa"/>
          </w:tcPr>
          <w:p w14:paraId="47B058D0" w14:textId="77777777" w:rsidR="00806997" w:rsidRPr="00286216" w:rsidRDefault="00806997" w:rsidP="00806997">
            <w:pPr>
              <w:pStyle w:val="StyleZakonu"/>
              <w:rPr>
                <w:color w:val="000000" w:themeColor="text1"/>
              </w:rPr>
            </w:pPr>
            <w:r w:rsidRPr="00286216">
              <w:rPr>
                <w:color w:val="000000" w:themeColor="text1"/>
              </w:rPr>
              <w:t>5) порядок обліку прав та зобов’язань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товарними операціями та їх припинення у системі клірингового обліку;</w:t>
            </w:r>
          </w:p>
        </w:tc>
        <w:tc>
          <w:tcPr>
            <w:tcW w:w="3686" w:type="dxa"/>
          </w:tcPr>
          <w:p w14:paraId="534BEDD1" w14:textId="584CCDDF"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2EF44FE" w14:textId="77777777" w:rsidR="00806997" w:rsidRPr="00286216" w:rsidRDefault="00806997" w:rsidP="00806997">
            <w:pPr>
              <w:pStyle w:val="StyleProp"/>
              <w:rPr>
                <w:color w:val="000000" w:themeColor="text1"/>
                <w:szCs w:val="18"/>
              </w:rPr>
            </w:pPr>
            <w:r w:rsidRPr="00286216">
              <w:rPr>
                <w:color w:val="000000" w:themeColor="text1"/>
                <w:szCs w:val="18"/>
              </w:rPr>
              <w:t>У пункті 5 частини 1 статті 57 слова "правочинами щодо активів" замінити словами "правочинами щодо інших активів"</w:t>
            </w:r>
          </w:p>
          <w:p w14:paraId="56857C6F" w14:textId="57E495E3"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578</w:t>
            </w:r>
            <w:r w:rsidRPr="00286216">
              <w:rPr>
                <w:color w:val="000000" w:themeColor="text1"/>
              </w:rPr>
              <w:fldChar w:fldCharType="end"/>
            </w:r>
            <w:r w:rsidRPr="00286216">
              <w:rPr>
                <w:color w:val="000000" w:themeColor="text1"/>
              </w:rPr>
              <w:t>-Н.д.Шахов С.В. (Реєстр.картка №114)</w:t>
            </w:r>
          </w:p>
          <w:p w14:paraId="5A03A409" w14:textId="77777777" w:rsidR="00806997" w:rsidRPr="00286216" w:rsidRDefault="00806997" w:rsidP="00806997">
            <w:pPr>
              <w:pStyle w:val="StyleProp"/>
              <w:spacing w:line="190" w:lineRule="exact"/>
              <w:rPr>
                <w:color w:val="000000" w:themeColor="text1"/>
              </w:rPr>
            </w:pPr>
            <w:r w:rsidRPr="00286216">
              <w:rPr>
                <w:color w:val="000000" w:themeColor="text1"/>
              </w:rPr>
              <w:t>У пункті 5 частини 1 статті 57 слова "щодо фінансових інструментів" замінити словами "щодо цінних паперів".</w:t>
            </w:r>
          </w:p>
        </w:tc>
        <w:tc>
          <w:tcPr>
            <w:tcW w:w="1987" w:type="dxa"/>
          </w:tcPr>
          <w:p w14:paraId="58B8D4D2" w14:textId="77777777" w:rsidR="00806997" w:rsidRPr="00286216" w:rsidRDefault="00806997" w:rsidP="00806997">
            <w:pPr>
              <w:pStyle w:val="StyleWisnow"/>
              <w:rPr>
                <w:color w:val="000000" w:themeColor="text1"/>
              </w:rPr>
            </w:pPr>
            <w:r w:rsidRPr="00286216">
              <w:rPr>
                <w:color w:val="000000" w:themeColor="text1"/>
              </w:rPr>
              <w:t>Враховано</w:t>
            </w:r>
          </w:p>
          <w:p w14:paraId="45C9572D" w14:textId="77777777" w:rsidR="00806997" w:rsidRPr="00286216" w:rsidRDefault="00806997" w:rsidP="00806997">
            <w:pPr>
              <w:pStyle w:val="StyleWisnow"/>
              <w:rPr>
                <w:color w:val="000000" w:themeColor="text1"/>
              </w:rPr>
            </w:pPr>
          </w:p>
          <w:p w14:paraId="58223FD9" w14:textId="77777777" w:rsidR="00806997" w:rsidRPr="00286216" w:rsidRDefault="00806997" w:rsidP="00806997">
            <w:pPr>
              <w:pStyle w:val="StyleWisnow"/>
              <w:rPr>
                <w:color w:val="000000" w:themeColor="text1"/>
              </w:rPr>
            </w:pPr>
          </w:p>
          <w:p w14:paraId="34F85441" w14:textId="77777777" w:rsidR="00806997" w:rsidRPr="00286216" w:rsidRDefault="00806997" w:rsidP="00806997">
            <w:pPr>
              <w:pStyle w:val="StyleWisnow"/>
              <w:rPr>
                <w:color w:val="000000" w:themeColor="text1"/>
              </w:rPr>
            </w:pPr>
          </w:p>
          <w:p w14:paraId="35C51516" w14:textId="77777777" w:rsidR="00806997" w:rsidRPr="00286216" w:rsidRDefault="00806997" w:rsidP="00806997">
            <w:pPr>
              <w:pStyle w:val="StyleWisnow"/>
              <w:rPr>
                <w:color w:val="000000" w:themeColor="text1"/>
              </w:rPr>
            </w:pPr>
            <w:r w:rsidRPr="00286216">
              <w:rPr>
                <w:color w:val="000000" w:themeColor="text1"/>
              </w:rPr>
              <w:t>Відхилено</w:t>
            </w:r>
          </w:p>
          <w:p w14:paraId="64C6ADCE" w14:textId="77777777" w:rsidR="00806997" w:rsidRPr="00286216" w:rsidRDefault="00806997" w:rsidP="00806997">
            <w:pPr>
              <w:pStyle w:val="StyleWisnow"/>
              <w:spacing w:line="180" w:lineRule="exact"/>
              <w:rPr>
                <w:color w:val="000000" w:themeColor="text1"/>
                <w:spacing w:val="-4"/>
              </w:rPr>
            </w:pPr>
            <w:r w:rsidRPr="00286216">
              <w:rPr>
                <w:color w:val="000000" w:themeColor="text1"/>
                <w:spacing w:val="-4"/>
              </w:rPr>
              <w:t>Кліринг має провадитись не лише щодо цінних паперів, але й щодо усіх інших фінансових інструментів</w:t>
            </w:r>
          </w:p>
        </w:tc>
        <w:tc>
          <w:tcPr>
            <w:tcW w:w="4818" w:type="dxa"/>
          </w:tcPr>
          <w:p w14:paraId="3506963F" w14:textId="1D403FED" w:rsidR="00806997" w:rsidRPr="00286216" w:rsidRDefault="00806997" w:rsidP="00806997">
            <w:pPr>
              <w:pStyle w:val="StyleZakonu"/>
              <w:rPr>
                <w:color w:val="000000" w:themeColor="text1"/>
              </w:rPr>
            </w:pPr>
            <w:r w:rsidRPr="00286216">
              <w:rPr>
                <w:color w:val="000000" w:themeColor="text1"/>
              </w:rPr>
              <w:t>5) порядок обліку прав та зобов’язань за деривативними контрактами та правочинами щодо фінансових інструментів, валютних цінностей та товарними операціями, укладеними на організованому ринку та поза ним, а також припинення таких прав та зобовʼязань у системі клірингового обліку;</w:t>
            </w:r>
          </w:p>
        </w:tc>
      </w:tr>
      <w:tr w:rsidR="00806997" w:rsidRPr="00286216" w14:paraId="22ADF079" w14:textId="77777777" w:rsidTr="00091AA5">
        <w:tc>
          <w:tcPr>
            <w:tcW w:w="576" w:type="dxa"/>
          </w:tcPr>
          <w:p w14:paraId="2963E20A" w14:textId="77777777" w:rsidR="00806997" w:rsidRPr="00286216" w:rsidRDefault="00806997" w:rsidP="00806997">
            <w:pPr>
              <w:pStyle w:val="StyleWisnow"/>
              <w:rPr>
                <w:color w:val="000000" w:themeColor="text1"/>
              </w:rPr>
            </w:pPr>
            <w:bookmarkStart w:id="773" w:name="n1056" w:colFirst="0" w:colLast="0"/>
            <w:bookmarkEnd w:id="772"/>
            <w:r w:rsidRPr="00286216">
              <w:rPr>
                <w:color w:val="000000" w:themeColor="text1"/>
              </w:rPr>
              <w:t>1056.</w:t>
            </w:r>
          </w:p>
        </w:tc>
        <w:tc>
          <w:tcPr>
            <w:tcW w:w="4818" w:type="dxa"/>
          </w:tcPr>
          <w:p w14:paraId="77E35858" w14:textId="77777777" w:rsidR="00806997" w:rsidRPr="00286216" w:rsidRDefault="00806997" w:rsidP="00806997">
            <w:pPr>
              <w:pStyle w:val="StyleZakonu"/>
              <w:rPr>
                <w:color w:val="000000" w:themeColor="text1"/>
              </w:rPr>
            </w:pPr>
            <w:r w:rsidRPr="00286216">
              <w:rPr>
                <w:color w:val="000000" w:themeColor="text1"/>
              </w:rPr>
              <w:t>6) порядок подання особою, яка провадить клірингову діяльність, учасникам клірингу звітів за результатами клірингу та за результатами розрахунків;</w:t>
            </w:r>
          </w:p>
        </w:tc>
        <w:tc>
          <w:tcPr>
            <w:tcW w:w="3686" w:type="dxa"/>
          </w:tcPr>
          <w:p w14:paraId="67C12971" w14:textId="60537C15"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579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85FCF74" w14:textId="77777777" w:rsidR="00806997" w:rsidRPr="00286216" w:rsidRDefault="00806997" w:rsidP="00806997">
            <w:pPr>
              <w:pStyle w:val="StyleProp"/>
              <w:rPr>
                <w:color w:val="000000" w:themeColor="text1"/>
                <w:szCs w:val="18"/>
              </w:rPr>
            </w:pPr>
            <w:r w:rsidRPr="00286216">
              <w:rPr>
                <w:color w:val="000000" w:themeColor="text1"/>
                <w:szCs w:val="18"/>
              </w:rPr>
              <w:t>П.6 част.1 ст.57 викласти в такій редакції:</w:t>
            </w:r>
          </w:p>
          <w:p w14:paraId="0EA69B91" w14:textId="77777777" w:rsidR="00806997" w:rsidRPr="00286216" w:rsidRDefault="00806997" w:rsidP="00806997">
            <w:pPr>
              <w:pStyle w:val="StyleProp"/>
              <w:rPr>
                <w:color w:val="000000" w:themeColor="text1"/>
              </w:rPr>
            </w:pPr>
            <w:r w:rsidRPr="00286216">
              <w:rPr>
                <w:color w:val="000000" w:themeColor="text1"/>
                <w:szCs w:val="18"/>
              </w:rPr>
              <w:t>«6) порядок надання особою, яка провадить клірингову діяльність, учасникам клірингу звітів за результатами клірингу».</w:t>
            </w:r>
          </w:p>
          <w:p w14:paraId="28AAB80F" w14:textId="1B33A5FD"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580</w:t>
            </w:r>
            <w:r w:rsidRPr="00286216">
              <w:rPr>
                <w:color w:val="000000" w:themeColor="text1"/>
              </w:rPr>
              <w:fldChar w:fldCharType="end"/>
            </w:r>
            <w:r w:rsidRPr="00286216">
              <w:rPr>
                <w:color w:val="000000" w:themeColor="text1"/>
              </w:rPr>
              <w:t>-Н.д.Шахов С.В. (Реєстр.картка №114)</w:t>
            </w:r>
          </w:p>
          <w:p w14:paraId="3863DBA2" w14:textId="77777777" w:rsidR="00806997" w:rsidRPr="00286216" w:rsidRDefault="00806997" w:rsidP="00806997">
            <w:pPr>
              <w:pStyle w:val="StyleProp"/>
              <w:spacing w:line="190" w:lineRule="exact"/>
              <w:rPr>
                <w:color w:val="000000" w:themeColor="text1"/>
              </w:rPr>
            </w:pPr>
            <w:r w:rsidRPr="00286216">
              <w:rPr>
                <w:color w:val="000000" w:themeColor="text1"/>
              </w:rPr>
              <w:t>Пункт 6 частини 1 статті 57 доповнити словами "і поставки фінансових інструментів та інших активів (у тому числі, продукції)".</w:t>
            </w:r>
          </w:p>
        </w:tc>
        <w:tc>
          <w:tcPr>
            <w:tcW w:w="1987" w:type="dxa"/>
          </w:tcPr>
          <w:p w14:paraId="2894C31F" w14:textId="735BBA8F" w:rsidR="00806997" w:rsidRPr="00286216" w:rsidRDefault="00806997" w:rsidP="00806997">
            <w:pPr>
              <w:pStyle w:val="StyleWisnow"/>
              <w:spacing w:line="170" w:lineRule="exact"/>
              <w:rPr>
                <w:color w:val="000000" w:themeColor="text1"/>
              </w:rPr>
            </w:pPr>
            <w:r w:rsidRPr="00286216">
              <w:rPr>
                <w:color w:val="000000" w:themeColor="text1"/>
              </w:rPr>
              <w:t>Враховано</w:t>
            </w:r>
          </w:p>
          <w:p w14:paraId="40A9A1E3" w14:textId="77777777" w:rsidR="00806997" w:rsidRPr="00286216" w:rsidRDefault="00806997" w:rsidP="00806997">
            <w:pPr>
              <w:pStyle w:val="StyleWisnow"/>
              <w:spacing w:line="170" w:lineRule="exact"/>
              <w:rPr>
                <w:color w:val="000000" w:themeColor="text1"/>
              </w:rPr>
            </w:pPr>
          </w:p>
          <w:p w14:paraId="4AD95A9B" w14:textId="77777777" w:rsidR="00806997" w:rsidRPr="00286216" w:rsidRDefault="00806997" w:rsidP="00806997">
            <w:pPr>
              <w:pStyle w:val="StyleWisnow"/>
              <w:spacing w:line="170" w:lineRule="exact"/>
              <w:rPr>
                <w:color w:val="000000" w:themeColor="text1"/>
              </w:rPr>
            </w:pPr>
          </w:p>
          <w:p w14:paraId="5DEDB092" w14:textId="5F7A6CC2" w:rsidR="00806997" w:rsidRPr="00286216" w:rsidRDefault="00806997" w:rsidP="00806997">
            <w:pPr>
              <w:pStyle w:val="StyleWisnow"/>
              <w:spacing w:line="170" w:lineRule="exact"/>
              <w:rPr>
                <w:color w:val="000000" w:themeColor="text1"/>
              </w:rPr>
            </w:pPr>
          </w:p>
          <w:p w14:paraId="76AB2D1C" w14:textId="5C62583B" w:rsidR="00806997" w:rsidRPr="00286216" w:rsidRDefault="00806997" w:rsidP="00806997">
            <w:pPr>
              <w:pStyle w:val="StyleWisnow"/>
              <w:spacing w:line="170" w:lineRule="exact"/>
              <w:rPr>
                <w:color w:val="000000" w:themeColor="text1"/>
              </w:rPr>
            </w:pPr>
          </w:p>
          <w:p w14:paraId="43DFB0D7" w14:textId="77777777" w:rsidR="00806997" w:rsidRPr="00286216" w:rsidRDefault="00806997" w:rsidP="00806997">
            <w:pPr>
              <w:pStyle w:val="StyleWisnow"/>
              <w:spacing w:line="170" w:lineRule="exact"/>
              <w:rPr>
                <w:color w:val="000000" w:themeColor="text1"/>
              </w:rPr>
            </w:pPr>
          </w:p>
          <w:p w14:paraId="69EDBAED" w14:textId="02039166" w:rsidR="00806997" w:rsidRPr="00286216" w:rsidRDefault="00806997" w:rsidP="00806997">
            <w:pPr>
              <w:pStyle w:val="StyleWisnow"/>
              <w:spacing w:line="170" w:lineRule="exact"/>
              <w:rPr>
                <w:color w:val="000000" w:themeColor="text1"/>
              </w:rPr>
            </w:pPr>
            <w:r w:rsidRPr="00286216">
              <w:rPr>
                <w:color w:val="000000" w:themeColor="text1"/>
              </w:rPr>
              <w:t>Відхилено</w:t>
            </w:r>
          </w:p>
          <w:p w14:paraId="60291792" w14:textId="77777777" w:rsidR="00806997" w:rsidRPr="00286216" w:rsidRDefault="00806997" w:rsidP="00806997">
            <w:pPr>
              <w:pStyle w:val="StyleWisnow"/>
              <w:spacing w:line="180" w:lineRule="exact"/>
              <w:rPr>
                <w:color w:val="000000" w:themeColor="text1"/>
                <w:spacing w:val="-4"/>
              </w:rPr>
            </w:pPr>
            <w:r w:rsidRPr="00286216">
              <w:rPr>
                <w:color w:val="000000" w:themeColor="text1"/>
                <w:spacing w:val="-4"/>
              </w:rPr>
              <w:t>Поставка активу не є кліринговою діяльністю, а клірингова установа не поставляє продукцію</w:t>
            </w:r>
          </w:p>
        </w:tc>
        <w:tc>
          <w:tcPr>
            <w:tcW w:w="4818" w:type="dxa"/>
          </w:tcPr>
          <w:p w14:paraId="237A3773" w14:textId="0CA8355A" w:rsidR="00806997" w:rsidRPr="00286216" w:rsidRDefault="00806997" w:rsidP="00806997">
            <w:pPr>
              <w:pStyle w:val="StyleZakonu"/>
              <w:rPr>
                <w:color w:val="000000" w:themeColor="text1"/>
              </w:rPr>
            </w:pPr>
            <w:r w:rsidRPr="00286216">
              <w:rPr>
                <w:color w:val="000000" w:themeColor="text1"/>
                <w:szCs w:val="18"/>
              </w:rPr>
              <w:t>6) порядок надання особою, яка провадить клірингову діяльність, учасникам клірингу звітів за результатами клірингу</w:t>
            </w:r>
            <w:r w:rsidRPr="00286216">
              <w:rPr>
                <w:color w:val="000000" w:themeColor="text1"/>
              </w:rPr>
              <w:t>;</w:t>
            </w:r>
          </w:p>
        </w:tc>
      </w:tr>
      <w:tr w:rsidR="00806997" w:rsidRPr="00286216" w14:paraId="30C97086" w14:textId="77777777" w:rsidTr="00091AA5">
        <w:tc>
          <w:tcPr>
            <w:tcW w:w="576" w:type="dxa"/>
          </w:tcPr>
          <w:p w14:paraId="05EF268E" w14:textId="77777777" w:rsidR="00806997" w:rsidRPr="00286216" w:rsidRDefault="00806997" w:rsidP="00806997">
            <w:pPr>
              <w:pStyle w:val="StyleWisnow"/>
              <w:rPr>
                <w:color w:val="000000" w:themeColor="text1"/>
              </w:rPr>
            </w:pPr>
            <w:bookmarkStart w:id="774" w:name="n1057" w:colFirst="0" w:colLast="0"/>
            <w:bookmarkEnd w:id="773"/>
            <w:r w:rsidRPr="00286216">
              <w:rPr>
                <w:color w:val="000000" w:themeColor="text1"/>
              </w:rPr>
              <w:t>1057.</w:t>
            </w:r>
          </w:p>
        </w:tc>
        <w:tc>
          <w:tcPr>
            <w:tcW w:w="4818" w:type="dxa"/>
          </w:tcPr>
          <w:p w14:paraId="42A6CBD6" w14:textId="77777777" w:rsidR="00806997" w:rsidRPr="00286216" w:rsidRDefault="00806997" w:rsidP="00806997">
            <w:pPr>
              <w:pStyle w:val="StyleZakonu"/>
              <w:rPr>
                <w:color w:val="000000" w:themeColor="text1"/>
              </w:rPr>
            </w:pPr>
            <w:r w:rsidRPr="00286216">
              <w:rPr>
                <w:color w:val="000000" w:themeColor="text1"/>
              </w:rPr>
              <w:t>7) порядок підготовки, складення та направлення особою, яка провадить клірингову діяльність, документів для проведення розрахунків;</w:t>
            </w:r>
          </w:p>
        </w:tc>
        <w:tc>
          <w:tcPr>
            <w:tcW w:w="3686" w:type="dxa"/>
          </w:tcPr>
          <w:p w14:paraId="13E697B4" w14:textId="1849B0B5"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581</w:t>
            </w:r>
            <w:r w:rsidRPr="00286216">
              <w:rPr>
                <w:color w:val="000000" w:themeColor="text1"/>
              </w:rPr>
              <w:fldChar w:fldCharType="end"/>
            </w:r>
            <w:r w:rsidRPr="00286216">
              <w:rPr>
                <w:color w:val="000000" w:themeColor="text1"/>
              </w:rPr>
              <w:t>-Н.д.Шахов С.В. (Реєстр.картка №114)</w:t>
            </w:r>
          </w:p>
          <w:p w14:paraId="10568865" w14:textId="77777777" w:rsidR="00806997" w:rsidRPr="00286216" w:rsidRDefault="00806997" w:rsidP="00806997">
            <w:pPr>
              <w:pStyle w:val="StyleProp"/>
              <w:spacing w:line="180" w:lineRule="exact"/>
              <w:rPr>
                <w:color w:val="000000" w:themeColor="text1"/>
              </w:rPr>
            </w:pPr>
            <w:r w:rsidRPr="00286216">
              <w:rPr>
                <w:color w:val="000000" w:themeColor="text1"/>
              </w:rPr>
              <w:t>Пункт 7 частини 1 статті 57 доповнити словами "і поставки фінансових інструментів та інших активів (у тому числі, продукції)".</w:t>
            </w:r>
          </w:p>
        </w:tc>
        <w:tc>
          <w:tcPr>
            <w:tcW w:w="1987" w:type="dxa"/>
          </w:tcPr>
          <w:p w14:paraId="62BB406A" w14:textId="77777777" w:rsidR="00806997" w:rsidRPr="00286216" w:rsidRDefault="00806997" w:rsidP="00806997">
            <w:pPr>
              <w:pStyle w:val="StyleWisnow"/>
              <w:spacing w:line="170" w:lineRule="exact"/>
              <w:rPr>
                <w:color w:val="000000" w:themeColor="text1"/>
              </w:rPr>
            </w:pPr>
            <w:r w:rsidRPr="00286216">
              <w:rPr>
                <w:color w:val="000000" w:themeColor="text1"/>
              </w:rPr>
              <w:t>Відхилено</w:t>
            </w:r>
          </w:p>
          <w:p w14:paraId="44A3056A" w14:textId="77777777" w:rsidR="00806997" w:rsidRPr="00286216" w:rsidRDefault="00806997" w:rsidP="00806997">
            <w:pPr>
              <w:pStyle w:val="StyleWisnow"/>
              <w:spacing w:line="170" w:lineRule="exact"/>
              <w:rPr>
                <w:color w:val="000000" w:themeColor="text1"/>
              </w:rPr>
            </w:pPr>
            <w:r w:rsidRPr="00286216">
              <w:rPr>
                <w:color w:val="000000" w:themeColor="text1"/>
                <w:spacing w:val="-4"/>
              </w:rPr>
              <w:t xml:space="preserve">Поставка активу не є кліринговою діяльністю, </w:t>
            </w:r>
          </w:p>
        </w:tc>
        <w:tc>
          <w:tcPr>
            <w:tcW w:w="4818" w:type="dxa"/>
          </w:tcPr>
          <w:p w14:paraId="3D13845B" w14:textId="00933A8A" w:rsidR="00806997" w:rsidRPr="00286216" w:rsidRDefault="00806997" w:rsidP="00806997">
            <w:pPr>
              <w:pStyle w:val="StyleZakonu"/>
              <w:rPr>
                <w:color w:val="000000" w:themeColor="text1"/>
              </w:rPr>
            </w:pPr>
            <w:r w:rsidRPr="00286216">
              <w:rPr>
                <w:color w:val="000000" w:themeColor="text1"/>
              </w:rPr>
              <w:t>7) порядок підготовки, складення та направлення особою, яка провадить клірингову діяльність, документів для проведення розрахунків;</w:t>
            </w:r>
          </w:p>
        </w:tc>
      </w:tr>
      <w:tr w:rsidR="00806997" w:rsidRPr="00286216" w14:paraId="688CA8DE" w14:textId="77777777" w:rsidTr="00091AA5">
        <w:tc>
          <w:tcPr>
            <w:tcW w:w="576" w:type="dxa"/>
          </w:tcPr>
          <w:p w14:paraId="3AEE99E0" w14:textId="77777777" w:rsidR="00806997" w:rsidRPr="00286216" w:rsidRDefault="00806997" w:rsidP="00806997">
            <w:pPr>
              <w:pStyle w:val="StyleWisnow"/>
              <w:rPr>
                <w:color w:val="000000" w:themeColor="text1"/>
              </w:rPr>
            </w:pPr>
            <w:bookmarkStart w:id="775" w:name="n1058" w:colFirst="0" w:colLast="0"/>
            <w:bookmarkEnd w:id="774"/>
            <w:r w:rsidRPr="00286216">
              <w:rPr>
                <w:color w:val="000000" w:themeColor="text1"/>
              </w:rPr>
              <w:t>1058.</w:t>
            </w:r>
          </w:p>
        </w:tc>
        <w:tc>
          <w:tcPr>
            <w:tcW w:w="4818" w:type="dxa"/>
          </w:tcPr>
          <w:p w14:paraId="6E91EE01" w14:textId="77777777" w:rsidR="00806997" w:rsidRPr="00286216" w:rsidRDefault="00806997" w:rsidP="00806997">
            <w:pPr>
              <w:pStyle w:val="StyleZakonu"/>
              <w:rPr>
                <w:color w:val="000000" w:themeColor="text1"/>
              </w:rPr>
            </w:pPr>
            <w:r w:rsidRPr="00286216">
              <w:rPr>
                <w:color w:val="000000" w:themeColor="text1"/>
              </w:rPr>
              <w:t>8) порядок забезпечення особою, яка провадить клірингову діяльність, проведення грошових розрахунків за результатами клірингу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товарними операціями за результатами кожної торговельної сесії такого ринку та поза організованим ринком, якщо проводяться розрахунки за принципом "поставка проти оплати";</w:t>
            </w:r>
          </w:p>
        </w:tc>
        <w:tc>
          <w:tcPr>
            <w:tcW w:w="3686" w:type="dxa"/>
          </w:tcPr>
          <w:p w14:paraId="6F648F13" w14:textId="2C14AFD0"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582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D1CFB3" w14:textId="77777777" w:rsidR="00806997" w:rsidRPr="00286216" w:rsidRDefault="00806997" w:rsidP="00806997">
            <w:pPr>
              <w:pStyle w:val="StyleProp"/>
              <w:spacing w:line="180" w:lineRule="exact"/>
              <w:rPr>
                <w:color w:val="000000" w:themeColor="text1"/>
                <w:szCs w:val="18"/>
              </w:rPr>
            </w:pPr>
            <w:r w:rsidRPr="00286216">
              <w:rPr>
                <w:color w:val="000000" w:themeColor="text1"/>
                <w:szCs w:val="18"/>
              </w:rPr>
              <w:t>Пункт 8 частини першої статті 57 викласти в такій редакції:</w:t>
            </w:r>
          </w:p>
          <w:p w14:paraId="119977C6" w14:textId="6E82F6DA" w:rsidR="00806997" w:rsidRPr="00286216" w:rsidRDefault="00806997" w:rsidP="00806997">
            <w:pPr>
              <w:pStyle w:val="StyleProp"/>
              <w:spacing w:line="180" w:lineRule="exact"/>
              <w:rPr>
                <w:color w:val="000000" w:themeColor="text1"/>
              </w:rPr>
            </w:pPr>
            <w:r w:rsidRPr="00286216">
              <w:rPr>
                <w:color w:val="000000" w:themeColor="text1"/>
                <w:szCs w:val="18"/>
              </w:rPr>
              <w:t>"8) порядок забезпечення особою, яка провадить клірингову діяльність, проведення грошових розрахунків за результатами клірингу за деривативними контрактами та правочинами щодо фінансових інструментів, а також за правочинами щодо інших активів, що допущені до торгів на організованому ринку, товарними операціями, що вчинені (укладені) на організованому ринку та поза організованим ринком, якщо проводяться розрахунки за принципом "поставка проти оплати";</w:t>
            </w:r>
          </w:p>
          <w:p w14:paraId="4794A39F" w14:textId="72239D4C"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583</w:t>
            </w:r>
            <w:r w:rsidRPr="00286216">
              <w:rPr>
                <w:color w:val="000000" w:themeColor="text1"/>
              </w:rPr>
              <w:fldChar w:fldCharType="end"/>
            </w:r>
            <w:r w:rsidRPr="00286216">
              <w:rPr>
                <w:color w:val="000000" w:themeColor="text1"/>
              </w:rPr>
              <w:t>-Н.д.Шахов С.В. (Реєстр.картка №114)</w:t>
            </w:r>
          </w:p>
          <w:p w14:paraId="2C55E98C" w14:textId="77777777" w:rsidR="00806997" w:rsidRPr="00286216" w:rsidRDefault="00806997" w:rsidP="00806997">
            <w:pPr>
              <w:pStyle w:val="StyleProp"/>
              <w:spacing w:line="180" w:lineRule="exact"/>
              <w:rPr>
                <w:color w:val="000000" w:themeColor="text1"/>
                <w:spacing w:val="-4"/>
              </w:rPr>
            </w:pPr>
            <w:r w:rsidRPr="00286216">
              <w:rPr>
                <w:color w:val="000000" w:themeColor="text1"/>
                <w:spacing w:val="-4"/>
              </w:rPr>
              <w:t>П.8 част.1 ст.57 викласти у такій редакції:</w:t>
            </w:r>
          </w:p>
          <w:p w14:paraId="76ED7114" w14:textId="77777777" w:rsidR="00806997" w:rsidRPr="00286216" w:rsidRDefault="00806997" w:rsidP="00806997">
            <w:pPr>
              <w:pStyle w:val="StyleProp"/>
              <w:spacing w:line="180" w:lineRule="exact"/>
              <w:rPr>
                <w:color w:val="000000" w:themeColor="text1"/>
                <w:spacing w:val="-2"/>
                <w:szCs w:val="18"/>
              </w:rPr>
            </w:pPr>
            <w:r w:rsidRPr="00286216">
              <w:rPr>
                <w:color w:val="000000" w:themeColor="text1"/>
                <w:spacing w:val="-2"/>
              </w:rPr>
              <w:t>"</w:t>
            </w:r>
            <w:r w:rsidRPr="00286216">
              <w:rPr>
                <w:color w:val="000000" w:themeColor="text1"/>
                <w:spacing w:val="-2"/>
                <w:szCs w:val="18"/>
              </w:rPr>
              <w:t>8) порядок забезпечення особою, яка провадить клірингову діяльність, проведення грошових розрахунків та поставки за результатами клірингу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товарними операціями та поза організованим ринком, якщо проводяться розрахунки за принципом "поставка проти оплати".</w:t>
            </w:r>
          </w:p>
        </w:tc>
        <w:tc>
          <w:tcPr>
            <w:tcW w:w="1987" w:type="dxa"/>
          </w:tcPr>
          <w:p w14:paraId="0E180893" w14:textId="77777777" w:rsidR="00806997" w:rsidRPr="00286216" w:rsidRDefault="00806997" w:rsidP="00806997">
            <w:pPr>
              <w:pStyle w:val="StyleWisnow"/>
              <w:rPr>
                <w:color w:val="000000" w:themeColor="text1"/>
              </w:rPr>
            </w:pPr>
            <w:r w:rsidRPr="00286216">
              <w:rPr>
                <w:color w:val="000000" w:themeColor="text1"/>
              </w:rPr>
              <w:t>Враховано</w:t>
            </w:r>
          </w:p>
          <w:p w14:paraId="4B0DB011" w14:textId="77777777" w:rsidR="00806997" w:rsidRPr="00286216" w:rsidRDefault="00806997" w:rsidP="00806997">
            <w:pPr>
              <w:pStyle w:val="StyleWisnow"/>
              <w:rPr>
                <w:color w:val="000000" w:themeColor="text1"/>
              </w:rPr>
            </w:pPr>
          </w:p>
          <w:p w14:paraId="67284CA6" w14:textId="77777777" w:rsidR="00806997" w:rsidRPr="00286216" w:rsidRDefault="00806997" w:rsidP="00806997">
            <w:pPr>
              <w:pStyle w:val="StyleWisnow"/>
              <w:rPr>
                <w:color w:val="000000" w:themeColor="text1"/>
              </w:rPr>
            </w:pPr>
          </w:p>
          <w:p w14:paraId="1011594B" w14:textId="77777777" w:rsidR="00806997" w:rsidRPr="00286216" w:rsidRDefault="00806997" w:rsidP="00806997">
            <w:pPr>
              <w:pStyle w:val="StyleWisnow"/>
              <w:rPr>
                <w:color w:val="000000" w:themeColor="text1"/>
              </w:rPr>
            </w:pPr>
          </w:p>
          <w:p w14:paraId="049B55AF" w14:textId="77777777" w:rsidR="00806997" w:rsidRPr="00286216" w:rsidRDefault="00806997" w:rsidP="00806997">
            <w:pPr>
              <w:pStyle w:val="StyleWisnow"/>
              <w:rPr>
                <w:color w:val="000000" w:themeColor="text1"/>
              </w:rPr>
            </w:pPr>
          </w:p>
          <w:p w14:paraId="5632E055" w14:textId="77777777" w:rsidR="00806997" w:rsidRPr="00286216" w:rsidRDefault="00806997" w:rsidP="00806997">
            <w:pPr>
              <w:pStyle w:val="StyleWisnow"/>
              <w:rPr>
                <w:color w:val="000000" w:themeColor="text1"/>
              </w:rPr>
            </w:pPr>
          </w:p>
          <w:p w14:paraId="78D4FAD6" w14:textId="77777777" w:rsidR="00806997" w:rsidRPr="00286216" w:rsidRDefault="00806997" w:rsidP="00806997">
            <w:pPr>
              <w:pStyle w:val="StyleWisnow"/>
              <w:rPr>
                <w:color w:val="000000" w:themeColor="text1"/>
              </w:rPr>
            </w:pPr>
          </w:p>
          <w:p w14:paraId="1DA7DB68" w14:textId="77777777" w:rsidR="00806997" w:rsidRPr="00286216" w:rsidRDefault="00806997" w:rsidP="00806997">
            <w:pPr>
              <w:pStyle w:val="StyleWisnow"/>
              <w:rPr>
                <w:color w:val="000000" w:themeColor="text1"/>
              </w:rPr>
            </w:pPr>
          </w:p>
          <w:p w14:paraId="4B98DB67" w14:textId="77777777" w:rsidR="00806997" w:rsidRPr="00286216" w:rsidRDefault="00806997" w:rsidP="00806997">
            <w:pPr>
              <w:pStyle w:val="StyleWisnow"/>
              <w:rPr>
                <w:color w:val="000000" w:themeColor="text1"/>
              </w:rPr>
            </w:pPr>
          </w:p>
          <w:p w14:paraId="4225E838" w14:textId="77777777" w:rsidR="00806997" w:rsidRPr="00286216" w:rsidRDefault="00806997" w:rsidP="00806997">
            <w:pPr>
              <w:pStyle w:val="StyleWisnow"/>
              <w:rPr>
                <w:color w:val="000000" w:themeColor="text1"/>
              </w:rPr>
            </w:pPr>
          </w:p>
          <w:p w14:paraId="1A082D68" w14:textId="77777777" w:rsidR="00806997" w:rsidRPr="00286216" w:rsidRDefault="00806997" w:rsidP="00806997">
            <w:pPr>
              <w:pStyle w:val="StyleWisnow"/>
              <w:rPr>
                <w:color w:val="000000" w:themeColor="text1"/>
              </w:rPr>
            </w:pPr>
          </w:p>
          <w:p w14:paraId="46C2C014" w14:textId="77777777" w:rsidR="00806997" w:rsidRPr="00286216" w:rsidRDefault="00806997" w:rsidP="00806997">
            <w:pPr>
              <w:pStyle w:val="StyleWisnow"/>
              <w:rPr>
                <w:color w:val="000000" w:themeColor="text1"/>
              </w:rPr>
            </w:pPr>
          </w:p>
          <w:p w14:paraId="384F9C2D" w14:textId="77777777" w:rsidR="00806997" w:rsidRPr="00286216" w:rsidRDefault="00806997" w:rsidP="00806997">
            <w:pPr>
              <w:pStyle w:val="StyleWisnow"/>
              <w:rPr>
                <w:color w:val="000000" w:themeColor="text1"/>
              </w:rPr>
            </w:pPr>
          </w:p>
          <w:p w14:paraId="61274D2D" w14:textId="77777777" w:rsidR="00806997" w:rsidRPr="00286216" w:rsidRDefault="00806997" w:rsidP="00806997">
            <w:pPr>
              <w:pStyle w:val="StyleWisnow"/>
              <w:rPr>
                <w:color w:val="000000" w:themeColor="text1"/>
              </w:rPr>
            </w:pPr>
            <w:r w:rsidRPr="00286216">
              <w:rPr>
                <w:color w:val="000000" w:themeColor="text1"/>
              </w:rPr>
              <w:t>Відхилено</w:t>
            </w:r>
          </w:p>
          <w:p w14:paraId="3BC8A797" w14:textId="77777777" w:rsidR="00806997" w:rsidRPr="00286216" w:rsidRDefault="00806997" w:rsidP="00806997">
            <w:pPr>
              <w:pStyle w:val="StyleWisnow"/>
              <w:spacing w:line="180" w:lineRule="exact"/>
              <w:rPr>
                <w:color w:val="000000" w:themeColor="text1"/>
                <w:spacing w:val="-4"/>
              </w:rPr>
            </w:pPr>
            <w:r w:rsidRPr="00286216">
              <w:rPr>
                <w:color w:val="000000" w:themeColor="text1"/>
                <w:spacing w:val="-4"/>
              </w:rPr>
              <w:t xml:space="preserve">Поставка активу не є частиною клірингової діяльності, а клірингова установа фізично не має тої продукції, що може бути поставлена, тож немає фізичної можливості провести поставку за </w:t>
            </w:r>
            <w:r w:rsidRPr="00286216">
              <w:rPr>
                <w:color w:val="000000" w:themeColor="text1"/>
                <w:spacing w:val="-8"/>
              </w:rPr>
              <w:t>деривативним контрактом</w:t>
            </w:r>
          </w:p>
        </w:tc>
        <w:tc>
          <w:tcPr>
            <w:tcW w:w="4818" w:type="dxa"/>
          </w:tcPr>
          <w:p w14:paraId="1BD22972" w14:textId="574B6B60" w:rsidR="00806997" w:rsidRPr="00286216" w:rsidRDefault="00806997" w:rsidP="00806997">
            <w:pPr>
              <w:pStyle w:val="StyleZakonu"/>
              <w:rPr>
                <w:color w:val="000000" w:themeColor="text1"/>
              </w:rPr>
            </w:pPr>
            <w:r w:rsidRPr="00286216">
              <w:rPr>
                <w:color w:val="000000" w:themeColor="text1"/>
                <w:szCs w:val="18"/>
              </w:rPr>
              <w:t xml:space="preserve">8) порядок забезпечення особою, яка провадить клірингову діяльність, проведення грошових розрахунків за результатами клірингу за деривативними контрактами, правочинами щодо фінансових інструментів, </w:t>
            </w:r>
            <w:r w:rsidRPr="00286216">
              <w:rPr>
                <w:color w:val="000000" w:themeColor="text1"/>
              </w:rPr>
              <w:t>валютних цінностей</w:t>
            </w:r>
            <w:r w:rsidRPr="00286216">
              <w:rPr>
                <w:color w:val="000000" w:themeColor="text1"/>
                <w:szCs w:val="18"/>
              </w:rPr>
              <w:t xml:space="preserve">,  товарними операціями, </w:t>
            </w:r>
            <w:r w:rsidRPr="00286216">
              <w:rPr>
                <w:color w:val="000000" w:themeColor="text1"/>
              </w:rPr>
              <w:t xml:space="preserve">укладеними </w:t>
            </w:r>
            <w:r w:rsidRPr="00286216">
              <w:rPr>
                <w:color w:val="000000" w:themeColor="text1"/>
                <w:szCs w:val="18"/>
              </w:rPr>
              <w:t>на організованому ринку та поза організованим ринком, якщо проводяться розрахунки за принципом "поставка проти оплати"</w:t>
            </w:r>
            <w:r w:rsidRPr="00286216">
              <w:rPr>
                <w:color w:val="000000" w:themeColor="text1"/>
              </w:rPr>
              <w:t>;</w:t>
            </w:r>
          </w:p>
        </w:tc>
      </w:tr>
      <w:tr w:rsidR="00806997" w:rsidRPr="00286216" w14:paraId="067D5950" w14:textId="77777777" w:rsidTr="00091AA5">
        <w:tc>
          <w:tcPr>
            <w:tcW w:w="576" w:type="dxa"/>
          </w:tcPr>
          <w:p w14:paraId="77373E29" w14:textId="77777777" w:rsidR="00806997" w:rsidRPr="00286216" w:rsidRDefault="00806997" w:rsidP="00806997">
            <w:pPr>
              <w:pStyle w:val="StyleWisnow"/>
              <w:rPr>
                <w:color w:val="000000" w:themeColor="text1"/>
              </w:rPr>
            </w:pPr>
            <w:bookmarkStart w:id="776" w:name="n1059" w:colFirst="0" w:colLast="0"/>
            <w:bookmarkEnd w:id="775"/>
            <w:r w:rsidRPr="00286216">
              <w:rPr>
                <w:color w:val="000000" w:themeColor="text1"/>
              </w:rPr>
              <w:lastRenderedPageBreak/>
              <w:t>1059.</w:t>
            </w:r>
          </w:p>
        </w:tc>
        <w:tc>
          <w:tcPr>
            <w:tcW w:w="4818" w:type="dxa"/>
          </w:tcPr>
          <w:p w14:paraId="1D58B238" w14:textId="77777777" w:rsidR="00806997" w:rsidRPr="00286216" w:rsidRDefault="00806997" w:rsidP="00806997">
            <w:pPr>
              <w:pStyle w:val="StyleZakonu"/>
              <w:rPr>
                <w:color w:val="000000" w:themeColor="text1"/>
              </w:rPr>
            </w:pPr>
            <w:bookmarkStart w:id="777" w:name="_Ref17923869"/>
            <w:r w:rsidRPr="00286216">
              <w:rPr>
                <w:color w:val="000000" w:themeColor="text1"/>
              </w:rPr>
              <w:t>9) опис системи клірингового обліку;</w:t>
            </w:r>
          </w:p>
        </w:tc>
        <w:tc>
          <w:tcPr>
            <w:tcW w:w="3686" w:type="dxa"/>
          </w:tcPr>
          <w:p w14:paraId="6EB9C39E" w14:textId="77777777" w:rsidR="00806997" w:rsidRPr="00286216" w:rsidRDefault="00806997" w:rsidP="00806997">
            <w:pPr>
              <w:pStyle w:val="StyleProp"/>
              <w:rPr>
                <w:color w:val="000000" w:themeColor="text1"/>
                <w:szCs w:val="18"/>
              </w:rPr>
            </w:pPr>
          </w:p>
        </w:tc>
        <w:tc>
          <w:tcPr>
            <w:tcW w:w="1987" w:type="dxa"/>
          </w:tcPr>
          <w:p w14:paraId="679263DB" w14:textId="77777777" w:rsidR="00806997" w:rsidRPr="00286216" w:rsidRDefault="00806997" w:rsidP="00806997">
            <w:pPr>
              <w:pStyle w:val="StyleWisnow"/>
              <w:rPr>
                <w:color w:val="000000" w:themeColor="text1"/>
              </w:rPr>
            </w:pPr>
          </w:p>
        </w:tc>
        <w:tc>
          <w:tcPr>
            <w:tcW w:w="4818" w:type="dxa"/>
          </w:tcPr>
          <w:p w14:paraId="760DB248" w14:textId="101D6FBC" w:rsidR="00806997" w:rsidRPr="00286216" w:rsidRDefault="00806997" w:rsidP="00806997">
            <w:pPr>
              <w:pStyle w:val="StyleZakonu"/>
              <w:rPr>
                <w:color w:val="000000" w:themeColor="text1"/>
              </w:rPr>
            </w:pPr>
            <w:r w:rsidRPr="00286216">
              <w:rPr>
                <w:color w:val="000000" w:themeColor="text1"/>
              </w:rPr>
              <w:t>9) опис системи клірингового обліку;</w:t>
            </w:r>
          </w:p>
        </w:tc>
      </w:tr>
      <w:tr w:rsidR="00806997" w:rsidRPr="00286216" w14:paraId="00F3B35D" w14:textId="77777777" w:rsidTr="00091AA5">
        <w:tc>
          <w:tcPr>
            <w:tcW w:w="576" w:type="dxa"/>
          </w:tcPr>
          <w:p w14:paraId="11D80DEF" w14:textId="77777777" w:rsidR="00806997" w:rsidRPr="00286216" w:rsidRDefault="00806997" w:rsidP="00806997">
            <w:pPr>
              <w:pStyle w:val="StyleWisnow"/>
              <w:rPr>
                <w:color w:val="000000" w:themeColor="text1"/>
              </w:rPr>
            </w:pPr>
            <w:bookmarkStart w:id="778" w:name="n1060" w:colFirst="0" w:colLast="0"/>
            <w:bookmarkEnd w:id="776"/>
            <w:r w:rsidRPr="00286216">
              <w:rPr>
                <w:color w:val="000000" w:themeColor="text1"/>
              </w:rPr>
              <w:t>1060.</w:t>
            </w:r>
          </w:p>
        </w:tc>
        <w:tc>
          <w:tcPr>
            <w:tcW w:w="4818" w:type="dxa"/>
          </w:tcPr>
          <w:p w14:paraId="289B4252" w14:textId="77777777" w:rsidR="00806997" w:rsidRPr="00286216" w:rsidRDefault="00806997" w:rsidP="00806997">
            <w:pPr>
              <w:pStyle w:val="StyleZakonu"/>
              <w:rPr>
                <w:color w:val="000000" w:themeColor="text1"/>
              </w:rPr>
            </w:pPr>
            <w:r w:rsidRPr="00286216">
              <w:rPr>
                <w:color w:val="000000" w:themeColor="text1"/>
              </w:rPr>
              <w:t>10) опис системи управління ризиками та гарантій особи, яка провадить клірингову діяльність;</w:t>
            </w:r>
            <w:bookmarkEnd w:id="777"/>
          </w:p>
        </w:tc>
        <w:tc>
          <w:tcPr>
            <w:tcW w:w="3686" w:type="dxa"/>
          </w:tcPr>
          <w:p w14:paraId="674C1BFA" w14:textId="77777777" w:rsidR="00806997" w:rsidRPr="00286216" w:rsidRDefault="00806997" w:rsidP="00806997">
            <w:pPr>
              <w:pStyle w:val="StyleProp"/>
              <w:rPr>
                <w:color w:val="000000" w:themeColor="text1"/>
                <w:szCs w:val="18"/>
              </w:rPr>
            </w:pPr>
          </w:p>
        </w:tc>
        <w:tc>
          <w:tcPr>
            <w:tcW w:w="1987" w:type="dxa"/>
          </w:tcPr>
          <w:p w14:paraId="6DDA3E01" w14:textId="77777777" w:rsidR="00806997" w:rsidRPr="00286216" w:rsidRDefault="00806997" w:rsidP="00806997">
            <w:pPr>
              <w:pStyle w:val="StyleWisnow"/>
              <w:rPr>
                <w:color w:val="000000" w:themeColor="text1"/>
              </w:rPr>
            </w:pPr>
          </w:p>
        </w:tc>
        <w:tc>
          <w:tcPr>
            <w:tcW w:w="4818" w:type="dxa"/>
          </w:tcPr>
          <w:p w14:paraId="688993B0" w14:textId="3F041264" w:rsidR="00806997" w:rsidRPr="00286216" w:rsidRDefault="00806997" w:rsidP="00806997">
            <w:pPr>
              <w:pStyle w:val="StyleZakonu"/>
              <w:rPr>
                <w:color w:val="000000" w:themeColor="text1"/>
              </w:rPr>
            </w:pPr>
            <w:r w:rsidRPr="00286216">
              <w:rPr>
                <w:color w:val="000000" w:themeColor="text1"/>
              </w:rPr>
              <w:t>10) опис системи управління ризиками та гарантій особи, яка провадить клірингову діяльність;</w:t>
            </w:r>
          </w:p>
        </w:tc>
      </w:tr>
      <w:tr w:rsidR="00806997" w:rsidRPr="00286216" w14:paraId="4800190B" w14:textId="77777777" w:rsidTr="00091AA5">
        <w:tc>
          <w:tcPr>
            <w:tcW w:w="576" w:type="dxa"/>
          </w:tcPr>
          <w:p w14:paraId="2034A3E5" w14:textId="77777777" w:rsidR="00806997" w:rsidRPr="00286216" w:rsidRDefault="00806997" w:rsidP="00806997">
            <w:pPr>
              <w:pStyle w:val="StyleWisnow"/>
              <w:rPr>
                <w:color w:val="000000" w:themeColor="text1"/>
              </w:rPr>
            </w:pPr>
            <w:bookmarkStart w:id="779" w:name="n1061" w:colFirst="0" w:colLast="0"/>
            <w:bookmarkEnd w:id="778"/>
            <w:r w:rsidRPr="00286216">
              <w:rPr>
                <w:color w:val="000000" w:themeColor="text1"/>
              </w:rPr>
              <w:t>1061.</w:t>
            </w:r>
          </w:p>
        </w:tc>
        <w:tc>
          <w:tcPr>
            <w:tcW w:w="4818" w:type="dxa"/>
          </w:tcPr>
          <w:p w14:paraId="1E804902" w14:textId="77777777" w:rsidR="00806997" w:rsidRPr="00286216" w:rsidRDefault="00806997" w:rsidP="00806997">
            <w:pPr>
              <w:pStyle w:val="StyleZakonu"/>
              <w:rPr>
                <w:color w:val="000000" w:themeColor="text1"/>
              </w:rPr>
            </w:pPr>
            <w:r w:rsidRPr="00286216">
              <w:rPr>
                <w:color w:val="000000" w:themeColor="text1"/>
              </w:rPr>
              <w:t>11) опис системи захисту інформації;</w:t>
            </w:r>
          </w:p>
        </w:tc>
        <w:tc>
          <w:tcPr>
            <w:tcW w:w="3686" w:type="dxa"/>
          </w:tcPr>
          <w:p w14:paraId="3A7D9546" w14:textId="77777777" w:rsidR="00806997" w:rsidRPr="00286216" w:rsidRDefault="00806997" w:rsidP="00806997">
            <w:pPr>
              <w:pStyle w:val="StyleProp"/>
              <w:rPr>
                <w:color w:val="000000" w:themeColor="text1"/>
                <w:szCs w:val="18"/>
              </w:rPr>
            </w:pPr>
          </w:p>
        </w:tc>
        <w:tc>
          <w:tcPr>
            <w:tcW w:w="1987" w:type="dxa"/>
          </w:tcPr>
          <w:p w14:paraId="7ED481D2" w14:textId="77777777" w:rsidR="00806997" w:rsidRPr="00286216" w:rsidRDefault="00806997" w:rsidP="00806997">
            <w:pPr>
              <w:pStyle w:val="StyleWisnow"/>
              <w:rPr>
                <w:color w:val="000000" w:themeColor="text1"/>
              </w:rPr>
            </w:pPr>
          </w:p>
        </w:tc>
        <w:tc>
          <w:tcPr>
            <w:tcW w:w="4818" w:type="dxa"/>
          </w:tcPr>
          <w:p w14:paraId="3985404A" w14:textId="01924ABA" w:rsidR="00806997" w:rsidRPr="00286216" w:rsidRDefault="00806997" w:rsidP="00806997">
            <w:pPr>
              <w:pStyle w:val="StyleZakonu"/>
              <w:rPr>
                <w:color w:val="000000" w:themeColor="text1"/>
              </w:rPr>
            </w:pPr>
            <w:r w:rsidRPr="00286216">
              <w:rPr>
                <w:color w:val="000000" w:themeColor="text1"/>
              </w:rPr>
              <w:t>11) опис системи захисту інформації;</w:t>
            </w:r>
          </w:p>
        </w:tc>
      </w:tr>
      <w:tr w:rsidR="00806997" w:rsidRPr="00286216" w14:paraId="29EDE981" w14:textId="77777777" w:rsidTr="00091AA5">
        <w:tc>
          <w:tcPr>
            <w:tcW w:w="576" w:type="dxa"/>
          </w:tcPr>
          <w:p w14:paraId="46CDA3BF" w14:textId="77777777" w:rsidR="00806997" w:rsidRPr="00286216" w:rsidRDefault="00806997" w:rsidP="00806997">
            <w:pPr>
              <w:pStyle w:val="StyleWisnow"/>
              <w:rPr>
                <w:color w:val="000000" w:themeColor="text1"/>
              </w:rPr>
            </w:pPr>
            <w:bookmarkStart w:id="780" w:name="n1062" w:colFirst="0" w:colLast="0"/>
            <w:bookmarkEnd w:id="779"/>
            <w:r w:rsidRPr="00286216">
              <w:rPr>
                <w:color w:val="000000" w:themeColor="text1"/>
              </w:rPr>
              <w:t>1062.</w:t>
            </w:r>
          </w:p>
        </w:tc>
        <w:tc>
          <w:tcPr>
            <w:tcW w:w="4818" w:type="dxa"/>
          </w:tcPr>
          <w:p w14:paraId="5A0FADAD" w14:textId="77777777" w:rsidR="00806997" w:rsidRPr="00286216" w:rsidRDefault="00806997" w:rsidP="00806997">
            <w:pPr>
              <w:pStyle w:val="StyleZakonu"/>
              <w:rPr>
                <w:color w:val="000000" w:themeColor="text1"/>
              </w:rPr>
            </w:pPr>
            <w:r w:rsidRPr="00286216">
              <w:rPr>
                <w:color w:val="000000" w:themeColor="text1"/>
              </w:rPr>
              <w:t>12) випадки застосування процедури ліквідаційного неттінгу;</w:t>
            </w:r>
          </w:p>
        </w:tc>
        <w:tc>
          <w:tcPr>
            <w:tcW w:w="3686" w:type="dxa"/>
          </w:tcPr>
          <w:p w14:paraId="2686B724" w14:textId="77777777" w:rsidR="00806997" w:rsidRPr="00286216" w:rsidRDefault="00806997" w:rsidP="00806997">
            <w:pPr>
              <w:spacing w:line="200" w:lineRule="exact"/>
              <w:ind w:firstLine="227"/>
              <w:jc w:val="both"/>
              <w:rPr>
                <w:color w:val="000000" w:themeColor="text1"/>
                <w:sz w:val="18"/>
              </w:rPr>
            </w:pPr>
          </w:p>
        </w:tc>
        <w:tc>
          <w:tcPr>
            <w:tcW w:w="1987" w:type="dxa"/>
          </w:tcPr>
          <w:p w14:paraId="192CAC22" w14:textId="77777777" w:rsidR="00806997" w:rsidRPr="00286216" w:rsidRDefault="00806997" w:rsidP="00806997">
            <w:pPr>
              <w:pStyle w:val="StyleWisnow"/>
              <w:rPr>
                <w:color w:val="000000" w:themeColor="text1"/>
              </w:rPr>
            </w:pPr>
          </w:p>
        </w:tc>
        <w:tc>
          <w:tcPr>
            <w:tcW w:w="4818" w:type="dxa"/>
          </w:tcPr>
          <w:p w14:paraId="61D455D6" w14:textId="6EAF3AF7" w:rsidR="00806997" w:rsidRPr="00286216" w:rsidRDefault="00806997" w:rsidP="00806997">
            <w:pPr>
              <w:pStyle w:val="StyleZakonu"/>
              <w:rPr>
                <w:color w:val="000000" w:themeColor="text1"/>
              </w:rPr>
            </w:pPr>
            <w:r w:rsidRPr="00286216">
              <w:rPr>
                <w:color w:val="000000" w:themeColor="text1"/>
              </w:rPr>
              <w:t>12) випадки застосування процедури ліквідаційного неттінгу;</w:t>
            </w:r>
          </w:p>
        </w:tc>
      </w:tr>
      <w:tr w:rsidR="00806997" w:rsidRPr="00286216" w14:paraId="14F7CE6B" w14:textId="77777777" w:rsidTr="00091AA5">
        <w:tc>
          <w:tcPr>
            <w:tcW w:w="576" w:type="dxa"/>
          </w:tcPr>
          <w:p w14:paraId="2723CFE2" w14:textId="77777777" w:rsidR="00806997" w:rsidRPr="00286216" w:rsidRDefault="00806997" w:rsidP="00806997">
            <w:pPr>
              <w:pStyle w:val="StyleWisnow"/>
              <w:rPr>
                <w:color w:val="000000" w:themeColor="text1"/>
              </w:rPr>
            </w:pPr>
            <w:bookmarkStart w:id="781" w:name="n1063" w:colFirst="0" w:colLast="0"/>
            <w:bookmarkEnd w:id="780"/>
            <w:r w:rsidRPr="00286216">
              <w:rPr>
                <w:color w:val="000000" w:themeColor="text1"/>
              </w:rPr>
              <w:t>1063.</w:t>
            </w:r>
          </w:p>
        </w:tc>
        <w:tc>
          <w:tcPr>
            <w:tcW w:w="4818" w:type="dxa"/>
          </w:tcPr>
          <w:p w14:paraId="23EAD8A9" w14:textId="77777777" w:rsidR="00806997" w:rsidRPr="00286216" w:rsidRDefault="00806997" w:rsidP="00806997">
            <w:pPr>
              <w:pStyle w:val="StyleZakonu"/>
              <w:rPr>
                <w:color w:val="000000" w:themeColor="text1"/>
              </w:rPr>
            </w:pPr>
            <w:r w:rsidRPr="00286216">
              <w:rPr>
                <w:color w:val="000000" w:themeColor="text1"/>
              </w:rPr>
              <w:t>13) інші положення відповідно до цього Закону та інших законів.</w:t>
            </w:r>
          </w:p>
        </w:tc>
        <w:tc>
          <w:tcPr>
            <w:tcW w:w="3686" w:type="dxa"/>
          </w:tcPr>
          <w:p w14:paraId="038690C8" w14:textId="77777777" w:rsidR="00806997" w:rsidRPr="00286216" w:rsidRDefault="00806997" w:rsidP="00806997">
            <w:pPr>
              <w:pStyle w:val="StyleProp"/>
              <w:rPr>
                <w:color w:val="000000" w:themeColor="text1"/>
                <w:szCs w:val="18"/>
              </w:rPr>
            </w:pPr>
          </w:p>
        </w:tc>
        <w:tc>
          <w:tcPr>
            <w:tcW w:w="1987" w:type="dxa"/>
          </w:tcPr>
          <w:p w14:paraId="5C6D03C6" w14:textId="77777777" w:rsidR="00806997" w:rsidRPr="00286216" w:rsidRDefault="00806997" w:rsidP="00806997">
            <w:pPr>
              <w:pStyle w:val="StyleWisnow"/>
              <w:rPr>
                <w:color w:val="000000" w:themeColor="text1"/>
              </w:rPr>
            </w:pPr>
          </w:p>
        </w:tc>
        <w:tc>
          <w:tcPr>
            <w:tcW w:w="4818" w:type="dxa"/>
          </w:tcPr>
          <w:p w14:paraId="5D36A8D5" w14:textId="71460566" w:rsidR="00806997" w:rsidRPr="00286216" w:rsidRDefault="00806997" w:rsidP="00806997">
            <w:pPr>
              <w:pStyle w:val="StyleZakonu"/>
              <w:rPr>
                <w:color w:val="000000" w:themeColor="text1"/>
              </w:rPr>
            </w:pPr>
            <w:r w:rsidRPr="00286216">
              <w:rPr>
                <w:color w:val="000000" w:themeColor="text1"/>
              </w:rPr>
              <w:t>13) інші положення відповідно до цього Закону та інших законів.</w:t>
            </w:r>
          </w:p>
        </w:tc>
      </w:tr>
      <w:tr w:rsidR="00806997" w:rsidRPr="00286216" w14:paraId="3437B74F" w14:textId="77777777" w:rsidTr="00091AA5">
        <w:tc>
          <w:tcPr>
            <w:tcW w:w="576" w:type="dxa"/>
          </w:tcPr>
          <w:p w14:paraId="01B6ACF3" w14:textId="77777777" w:rsidR="00806997" w:rsidRPr="00286216" w:rsidRDefault="00806997" w:rsidP="00806997">
            <w:pPr>
              <w:pStyle w:val="StyleWisnow"/>
              <w:rPr>
                <w:color w:val="000000" w:themeColor="text1"/>
              </w:rPr>
            </w:pPr>
            <w:bookmarkStart w:id="782" w:name="n1064" w:colFirst="0" w:colLast="0"/>
            <w:bookmarkEnd w:id="781"/>
            <w:r w:rsidRPr="00286216">
              <w:rPr>
                <w:color w:val="000000" w:themeColor="text1"/>
              </w:rPr>
              <w:t>1064.</w:t>
            </w:r>
          </w:p>
        </w:tc>
        <w:tc>
          <w:tcPr>
            <w:tcW w:w="4818" w:type="dxa"/>
          </w:tcPr>
          <w:p w14:paraId="5815A418" w14:textId="77777777" w:rsidR="00806997" w:rsidRPr="00286216" w:rsidRDefault="00806997" w:rsidP="00806997">
            <w:pPr>
              <w:pStyle w:val="StyleZakonu"/>
              <w:rPr>
                <w:color w:val="000000" w:themeColor="text1"/>
                <w:spacing w:val="-2"/>
              </w:rPr>
            </w:pPr>
            <w:r w:rsidRPr="00286216">
              <w:rPr>
                <w:color w:val="000000" w:themeColor="text1"/>
                <w:spacing w:val="-2"/>
              </w:rPr>
              <w:t>Правила клірингу особи, яка провадять клірингову діяльність із визначення зобов’язань за правочинами з цінними паперами додатково повинні передбачати порядок подання особою, яка провадить клірингову діяльність щодо цінних паперів, Центральному депозитарію цінних паперів та Національному банку України відповідно до встановленої Законом України "Про депозитарну систему України" компетенції інформації у розрізі клієнтів Центрального депозитарію цінних паперів та/або Національного банку України та їх депонентів про здійснення переказу цінних паперів за результатами клірингу зобов’язань за правочинами щодо цінних паперів, вчиненими на організованому ринку капіталу за результатами кожної торговельної сесії такого ринку та поза організованим ринком капіталу, якщо проводяться розрахунки за принципом "поставка цінних паперів проти оплати" (крім випадку провадження клірингової діяльності Центральним депозитарієм цінних паперів або Національним банком України).</w:t>
            </w:r>
          </w:p>
        </w:tc>
        <w:tc>
          <w:tcPr>
            <w:tcW w:w="3686" w:type="dxa"/>
          </w:tcPr>
          <w:p w14:paraId="514500F1" w14:textId="77777777" w:rsidR="00806997" w:rsidRPr="00286216" w:rsidRDefault="00806997" w:rsidP="00806997">
            <w:pPr>
              <w:spacing w:line="220" w:lineRule="exact"/>
              <w:rPr>
                <w:b/>
                <w:i/>
                <w:color w:val="000000" w:themeColor="text1"/>
                <w:spacing w:val="-4"/>
                <w:sz w:val="18"/>
                <w:u w:val="single"/>
              </w:rPr>
            </w:pPr>
          </w:p>
          <w:p w14:paraId="5F41EE52" w14:textId="77777777" w:rsidR="00806997" w:rsidRPr="00286216" w:rsidRDefault="00806997" w:rsidP="00806997">
            <w:pPr>
              <w:spacing w:line="220" w:lineRule="exact"/>
              <w:rPr>
                <w:b/>
                <w:i/>
                <w:color w:val="000000" w:themeColor="text1"/>
                <w:spacing w:val="-4"/>
                <w:sz w:val="18"/>
                <w:u w:val="single"/>
              </w:rPr>
            </w:pPr>
          </w:p>
          <w:p w14:paraId="7F60B8A5" w14:textId="77777777" w:rsidR="00806997" w:rsidRPr="00286216" w:rsidRDefault="00806997" w:rsidP="00806997">
            <w:pPr>
              <w:spacing w:line="220" w:lineRule="exact"/>
              <w:rPr>
                <w:b/>
                <w:i/>
                <w:color w:val="000000" w:themeColor="text1"/>
                <w:spacing w:val="-4"/>
                <w:sz w:val="18"/>
                <w:u w:val="single"/>
              </w:rPr>
            </w:pPr>
          </w:p>
          <w:p w14:paraId="3C98919F" w14:textId="77777777" w:rsidR="00806997" w:rsidRPr="00286216" w:rsidRDefault="00806997" w:rsidP="00806997">
            <w:pPr>
              <w:spacing w:line="220" w:lineRule="exact"/>
              <w:rPr>
                <w:b/>
                <w:i/>
                <w:color w:val="000000" w:themeColor="text1"/>
                <w:spacing w:val="-4"/>
                <w:sz w:val="18"/>
                <w:u w:val="single"/>
              </w:rPr>
            </w:pPr>
          </w:p>
          <w:p w14:paraId="44174805" w14:textId="77777777" w:rsidR="00806997" w:rsidRPr="00286216" w:rsidRDefault="00806997" w:rsidP="00806997">
            <w:pPr>
              <w:spacing w:line="220" w:lineRule="exact"/>
              <w:rPr>
                <w:b/>
                <w:i/>
                <w:color w:val="000000" w:themeColor="text1"/>
                <w:spacing w:val="-4"/>
                <w:sz w:val="18"/>
                <w:u w:val="single"/>
              </w:rPr>
            </w:pPr>
          </w:p>
          <w:p w14:paraId="4C32B7B1" w14:textId="77777777" w:rsidR="00806997" w:rsidRPr="00286216" w:rsidRDefault="00806997" w:rsidP="00806997">
            <w:pPr>
              <w:spacing w:line="220" w:lineRule="exact"/>
              <w:rPr>
                <w:b/>
                <w:i/>
                <w:color w:val="000000" w:themeColor="text1"/>
                <w:spacing w:val="-4"/>
                <w:sz w:val="18"/>
                <w:u w:val="single"/>
              </w:rPr>
            </w:pPr>
          </w:p>
          <w:p w14:paraId="50BDCCE7" w14:textId="77777777" w:rsidR="00806997" w:rsidRPr="00286216" w:rsidRDefault="00806997" w:rsidP="00806997">
            <w:pPr>
              <w:spacing w:line="220" w:lineRule="exact"/>
              <w:rPr>
                <w:b/>
                <w:i/>
                <w:color w:val="000000" w:themeColor="text1"/>
                <w:spacing w:val="-4"/>
                <w:sz w:val="18"/>
                <w:u w:val="single"/>
              </w:rPr>
            </w:pPr>
          </w:p>
          <w:p w14:paraId="1C6A9E53" w14:textId="77777777" w:rsidR="00806997" w:rsidRPr="00286216" w:rsidRDefault="00806997" w:rsidP="00806997">
            <w:pPr>
              <w:spacing w:line="220" w:lineRule="exact"/>
              <w:rPr>
                <w:b/>
                <w:i/>
                <w:color w:val="000000" w:themeColor="text1"/>
                <w:spacing w:val="-4"/>
                <w:sz w:val="18"/>
                <w:u w:val="single"/>
              </w:rPr>
            </w:pPr>
          </w:p>
          <w:p w14:paraId="414898EA" w14:textId="77777777" w:rsidR="00806997" w:rsidRPr="00286216" w:rsidRDefault="00806997" w:rsidP="00806997">
            <w:pPr>
              <w:spacing w:line="220" w:lineRule="exact"/>
              <w:rPr>
                <w:b/>
                <w:i/>
                <w:color w:val="000000" w:themeColor="text1"/>
                <w:spacing w:val="-4"/>
                <w:sz w:val="18"/>
                <w:u w:val="single"/>
              </w:rPr>
            </w:pPr>
          </w:p>
          <w:p w14:paraId="191F1CC8" w14:textId="77777777" w:rsidR="00806997" w:rsidRPr="00286216" w:rsidRDefault="00806997" w:rsidP="00806997">
            <w:pPr>
              <w:spacing w:line="220" w:lineRule="exact"/>
              <w:rPr>
                <w:b/>
                <w:i/>
                <w:color w:val="000000" w:themeColor="text1"/>
                <w:spacing w:val="-4"/>
                <w:sz w:val="18"/>
                <w:u w:val="single"/>
              </w:rPr>
            </w:pPr>
          </w:p>
          <w:p w14:paraId="599FDAFA" w14:textId="77777777" w:rsidR="00806997" w:rsidRPr="00286216" w:rsidRDefault="00806997" w:rsidP="00806997">
            <w:pPr>
              <w:spacing w:line="220" w:lineRule="exact"/>
              <w:rPr>
                <w:b/>
                <w:i/>
                <w:color w:val="000000" w:themeColor="text1"/>
                <w:spacing w:val="-4"/>
                <w:sz w:val="18"/>
                <w:u w:val="single"/>
              </w:rPr>
            </w:pPr>
          </w:p>
          <w:p w14:paraId="64A09D1B" w14:textId="77777777" w:rsidR="00806997" w:rsidRPr="00286216" w:rsidRDefault="00806997" w:rsidP="00806997">
            <w:pPr>
              <w:spacing w:line="220" w:lineRule="exact"/>
              <w:rPr>
                <w:b/>
                <w:i/>
                <w:color w:val="000000" w:themeColor="text1"/>
                <w:spacing w:val="-4"/>
                <w:sz w:val="18"/>
                <w:u w:val="single"/>
              </w:rPr>
            </w:pPr>
          </w:p>
          <w:p w14:paraId="00B8116B" w14:textId="1DFAF4EA"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584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080EBF8" w14:textId="77777777" w:rsidR="00806997" w:rsidRPr="00286216" w:rsidRDefault="00806997" w:rsidP="00806997">
            <w:pPr>
              <w:spacing w:line="190" w:lineRule="exact"/>
              <w:ind w:firstLine="227"/>
              <w:jc w:val="both"/>
              <w:rPr>
                <w:color w:val="000000" w:themeColor="text1"/>
                <w:szCs w:val="18"/>
              </w:rPr>
            </w:pPr>
            <w:r w:rsidRPr="00286216">
              <w:rPr>
                <w:color w:val="000000" w:themeColor="text1"/>
                <w:sz w:val="18"/>
              </w:rPr>
              <w:t>У абзаці 15 частини першої статті 57 розділу 1 слова «за результатами кожної торговельної сесії такого ринку» виключити.</w:t>
            </w:r>
          </w:p>
        </w:tc>
        <w:tc>
          <w:tcPr>
            <w:tcW w:w="1987" w:type="dxa"/>
          </w:tcPr>
          <w:p w14:paraId="5CE9687A" w14:textId="77777777" w:rsidR="00806997" w:rsidRPr="00286216" w:rsidRDefault="00806997" w:rsidP="00806997">
            <w:pPr>
              <w:pStyle w:val="StyleWisnow"/>
              <w:rPr>
                <w:color w:val="000000" w:themeColor="text1"/>
              </w:rPr>
            </w:pPr>
          </w:p>
          <w:p w14:paraId="0159FE6E" w14:textId="77777777" w:rsidR="00806997" w:rsidRPr="00286216" w:rsidRDefault="00806997" w:rsidP="00806997">
            <w:pPr>
              <w:pStyle w:val="StyleWisnow"/>
              <w:rPr>
                <w:color w:val="000000" w:themeColor="text1"/>
              </w:rPr>
            </w:pPr>
          </w:p>
          <w:p w14:paraId="7482858B" w14:textId="77777777" w:rsidR="00806997" w:rsidRPr="00286216" w:rsidRDefault="00806997" w:rsidP="00806997">
            <w:pPr>
              <w:pStyle w:val="StyleWisnow"/>
              <w:rPr>
                <w:color w:val="000000" w:themeColor="text1"/>
              </w:rPr>
            </w:pPr>
          </w:p>
          <w:p w14:paraId="4E4A1F8E" w14:textId="77777777" w:rsidR="00806997" w:rsidRPr="00286216" w:rsidRDefault="00806997" w:rsidP="00806997">
            <w:pPr>
              <w:pStyle w:val="StyleWisnow"/>
              <w:rPr>
                <w:color w:val="000000" w:themeColor="text1"/>
              </w:rPr>
            </w:pPr>
          </w:p>
          <w:p w14:paraId="0CA96BEC" w14:textId="77777777" w:rsidR="00806997" w:rsidRPr="00286216" w:rsidRDefault="00806997" w:rsidP="00806997">
            <w:pPr>
              <w:pStyle w:val="StyleWisnow"/>
              <w:rPr>
                <w:color w:val="000000" w:themeColor="text1"/>
              </w:rPr>
            </w:pPr>
          </w:p>
          <w:p w14:paraId="5A9DEE56" w14:textId="77777777" w:rsidR="00806997" w:rsidRPr="00286216" w:rsidRDefault="00806997" w:rsidP="00806997">
            <w:pPr>
              <w:pStyle w:val="StyleWisnow"/>
              <w:rPr>
                <w:color w:val="000000" w:themeColor="text1"/>
              </w:rPr>
            </w:pPr>
          </w:p>
          <w:p w14:paraId="77CD3C85" w14:textId="77777777" w:rsidR="00806997" w:rsidRPr="00286216" w:rsidRDefault="00806997" w:rsidP="00806997">
            <w:pPr>
              <w:pStyle w:val="StyleWisnow"/>
              <w:rPr>
                <w:color w:val="000000" w:themeColor="text1"/>
              </w:rPr>
            </w:pPr>
          </w:p>
          <w:p w14:paraId="1797AE02" w14:textId="77777777" w:rsidR="00806997" w:rsidRPr="00286216" w:rsidRDefault="00806997" w:rsidP="00806997">
            <w:pPr>
              <w:pStyle w:val="StyleWisnow"/>
              <w:rPr>
                <w:color w:val="000000" w:themeColor="text1"/>
              </w:rPr>
            </w:pPr>
          </w:p>
          <w:p w14:paraId="30FB4796" w14:textId="77777777" w:rsidR="00806997" w:rsidRPr="00286216" w:rsidRDefault="00806997" w:rsidP="00806997">
            <w:pPr>
              <w:pStyle w:val="StyleWisnow"/>
              <w:rPr>
                <w:color w:val="000000" w:themeColor="text1"/>
              </w:rPr>
            </w:pPr>
          </w:p>
          <w:p w14:paraId="32F61C8F" w14:textId="77777777" w:rsidR="00806997" w:rsidRPr="00286216" w:rsidRDefault="00806997" w:rsidP="00806997">
            <w:pPr>
              <w:pStyle w:val="StyleWisnow"/>
              <w:rPr>
                <w:color w:val="000000" w:themeColor="text1"/>
              </w:rPr>
            </w:pPr>
          </w:p>
          <w:p w14:paraId="26B27656" w14:textId="77777777" w:rsidR="00806997" w:rsidRPr="00286216" w:rsidRDefault="00806997" w:rsidP="00806997">
            <w:pPr>
              <w:pStyle w:val="StyleWisnow"/>
              <w:rPr>
                <w:color w:val="000000" w:themeColor="text1"/>
              </w:rPr>
            </w:pPr>
          </w:p>
          <w:p w14:paraId="277299A9" w14:textId="77777777" w:rsidR="00806997" w:rsidRPr="00286216" w:rsidRDefault="00806997" w:rsidP="00806997">
            <w:pPr>
              <w:pStyle w:val="StyleWisnow"/>
              <w:rPr>
                <w:color w:val="000000" w:themeColor="text1"/>
              </w:rPr>
            </w:pPr>
          </w:p>
          <w:p w14:paraId="727DA8C1"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59BFF570" w14:textId="005A7048" w:rsidR="00806997" w:rsidRPr="00286216" w:rsidRDefault="00806997" w:rsidP="00806997">
            <w:pPr>
              <w:pStyle w:val="StyleZakonu"/>
              <w:rPr>
                <w:color w:val="000000" w:themeColor="text1"/>
              </w:rPr>
            </w:pPr>
            <w:r w:rsidRPr="00286216">
              <w:rPr>
                <w:color w:val="000000" w:themeColor="text1"/>
              </w:rPr>
              <w:t>Правила клірингу особи, яка провадять клірингову діяльність з визначення зобов’язань за правочинами з цінними паперами додатково повинні передбачати порядок подання особою, яка провадить клірингову діяльність щодо цінних паперів, Центральному депозитарію цінних паперів та Національному банку України відповідно до встановленої Законом України "Про депозитарну систему України" компетенції інформації у розрізі клієнтів Центрального депозитарію цінних паперів та/або Національного банку України та їх депонентів про здійснення переказу цінних паперів за результатами клірингу зобов’язань за правочинами щодо цінних паперів, вчиненими на організованому ринку капіталу та поза організованим ринком капіталу, якщо проводяться розрахунки за принципом "поставка цінних паперів проти оплати" (крім випадку провадження клірингової діяльності Центральним депозитарієм цінних паперів або Національним банком України).</w:t>
            </w:r>
          </w:p>
        </w:tc>
      </w:tr>
      <w:tr w:rsidR="00806997" w:rsidRPr="00286216" w14:paraId="18A1942F" w14:textId="77777777" w:rsidTr="00091AA5">
        <w:tc>
          <w:tcPr>
            <w:tcW w:w="576" w:type="dxa"/>
          </w:tcPr>
          <w:p w14:paraId="58802192" w14:textId="77777777" w:rsidR="00806997" w:rsidRPr="00286216" w:rsidRDefault="00806997" w:rsidP="00806997">
            <w:pPr>
              <w:pStyle w:val="StyleWisnow"/>
              <w:rPr>
                <w:color w:val="000000" w:themeColor="text1"/>
              </w:rPr>
            </w:pPr>
            <w:bookmarkStart w:id="783" w:name="n1065" w:colFirst="0" w:colLast="0"/>
            <w:bookmarkEnd w:id="782"/>
            <w:r w:rsidRPr="00286216">
              <w:rPr>
                <w:color w:val="000000" w:themeColor="text1"/>
              </w:rPr>
              <w:t>1065.</w:t>
            </w:r>
          </w:p>
        </w:tc>
        <w:tc>
          <w:tcPr>
            <w:tcW w:w="4818" w:type="dxa"/>
          </w:tcPr>
          <w:p w14:paraId="4694D001" w14:textId="77777777" w:rsidR="00806997" w:rsidRPr="00286216" w:rsidRDefault="00806997" w:rsidP="00806997">
            <w:pPr>
              <w:pStyle w:val="StyleZakonu"/>
              <w:rPr>
                <w:color w:val="000000" w:themeColor="text1"/>
              </w:rPr>
            </w:pPr>
            <w:r w:rsidRPr="00286216">
              <w:rPr>
                <w:color w:val="000000" w:themeColor="text1"/>
              </w:rPr>
              <w:t>Центральному депозитарію цінних паперів при провадженні ним клірингової діяльності забороняється приймати на себе ризики невиконання або неналежного виконання зобов’язань сторін правочинів щодо цінних паперів або іншим чином гарантувати виконання зобов’язань за правочинами щодо цінних паперів та інших фінансових інструментів за рахунок власних активів.</w:t>
            </w:r>
          </w:p>
        </w:tc>
        <w:tc>
          <w:tcPr>
            <w:tcW w:w="3686" w:type="dxa"/>
          </w:tcPr>
          <w:p w14:paraId="55FC9AC4" w14:textId="71B8EC72" w:rsidR="00806997" w:rsidRPr="00286216" w:rsidRDefault="00806997" w:rsidP="00806997">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585</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56CA3A54" w14:textId="77777777" w:rsidR="00806997" w:rsidRPr="00286216" w:rsidRDefault="00806997" w:rsidP="00806997">
            <w:pPr>
              <w:spacing w:line="200" w:lineRule="exact"/>
              <w:ind w:firstLine="227"/>
              <w:jc w:val="both"/>
              <w:rPr>
                <w:color w:val="000000" w:themeColor="text1"/>
                <w:sz w:val="18"/>
              </w:rPr>
            </w:pPr>
            <w:r w:rsidRPr="00286216">
              <w:rPr>
                <w:color w:val="000000" w:themeColor="text1"/>
                <w:sz w:val="18"/>
              </w:rPr>
              <w:t>Абзац шістнадцятий частини першої статті 57 виключити.</w:t>
            </w:r>
          </w:p>
        </w:tc>
        <w:tc>
          <w:tcPr>
            <w:tcW w:w="1987" w:type="dxa"/>
          </w:tcPr>
          <w:p w14:paraId="272C7C4A"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0A8D934" w14:textId="77777777" w:rsidR="00806997" w:rsidRPr="00286216" w:rsidRDefault="00806997" w:rsidP="00806997">
            <w:pPr>
              <w:pStyle w:val="StyleZakonu"/>
              <w:rPr>
                <w:color w:val="000000" w:themeColor="text1"/>
              </w:rPr>
            </w:pPr>
          </w:p>
        </w:tc>
      </w:tr>
      <w:tr w:rsidR="00806997" w:rsidRPr="00286216" w14:paraId="2E8A3BEC" w14:textId="77777777" w:rsidTr="00091AA5">
        <w:tc>
          <w:tcPr>
            <w:tcW w:w="576" w:type="dxa"/>
          </w:tcPr>
          <w:p w14:paraId="09BE7EF5" w14:textId="77777777" w:rsidR="00806997" w:rsidRPr="00286216" w:rsidRDefault="00806997" w:rsidP="00806997">
            <w:pPr>
              <w:pStyle w:val="StyleWisnow"/>
              <w:rPr>
                <w:color w:val="000000" w:themeColor="text1"/>
              </w:rPr>
            </w:pPr>
            <w:bookmarkStart w:id="784" w:name="n1066" w:colFirst="0" w:colLast="0"/>
            <w:bookmarkEnd w:id="783"/>
            <w:r w:rsidRPr="00286216">
              <w:rPr>
                <w:color w:val="000000" w:themeColor="text1"/>
              </w:rPr>
              <w:t>1066.</w:t>
            </w:r>
          </w:p>
        </w:tc>
        <w:tc>
          <w:tcPr>
            <w:tcW w:w="4818" w:type="dxa"/>
          </w:tcPr>
          <w:p w14:paraId="6C19331A" w14:textId="77777777" w:rsidR="00806997" w:rsidRPr="00286216" w:rsidRDefault="00806997" w:rsidP="00806997">
            <w:pPr>
              <w:pStyle w:val="StyleZakonu"/>
              <w:rPr>
                <w:color w:val="000000" w:themeColor="text1"/>
              </w:rPr>
            </w:pPr>
            <w:r w:rsidRPr="00286216">
              <w:rPr>
                <w:color w:val="000000" w:themeColor="text1"/>
              </w:rPr>
              <w:t>2. Національною комісією з цінних паперів та фондового ринку можуть встановлюватися додаткові вимоги до правил клірингу.</w:t>
            </w:r>
          </w:p>
        </w:tc>
        <w:tc>
          <w:tcPr>
            <w:tcW w:w="3686" w:type="dxa"/>
          </w:tcPr>
          <w:p w14:paraId="1DCA4BD5" w14:textId="77777777" w:rsidR="00806997" w:rsidRPr="00286216" w:rsidRDefault="00806997" w:rsidP="00806997">
            <w:pPr>
              <w:pStyle w:val="StyleProp"/>
              <w:rPr>
                <w:color w:val="000000" w:themeColor="text1"/>
                <w:szCs w:val="18"/>
              </w:rPr>
            </w:pPr>
          </w:p>
        </w:tc>
        <w:tc>
          <w:tcPr>
            <w:tcW w:w="1987" w:type="dxa"/>
          </w:tcPr>
          <w:p w14:paraId="74CBE6B1" w14:textId="77777777" w:rsidR="00806997" w:rsidRPr="00286216" w:rsidRDefault="00806997" w:rsidP="00806997">
            <w:pPr>
              <w:pStyle w:val="StyleWisnow"/>
              <w:rPr>
                <w:color w:val="000000" w:themeColor="text1"/>
              </w:rPr>
            </w:pPr>
          </w:p>
        </w:tc>
        <w:tc>
          <w:tcPr>
            <w:tcW w:w="4818" w:type="dxa"/>
          </w:tcPr>
          <w:p w14:paraId="4D5E1CF8" w14:textId="0AC81336" w:rsidR="00806997" w:rsidRPr="00286216" w:rsidRDefault="00806997" w:rsidP="00806997">
            <w:pPr>
              <w:pStyle w:val="StyleZakonu"/>
              <w:rPr>
                <w:color w:val="000000" w:themeColor="text1"/>
              </w:rPr>
            </w:pPr>
            <w:r w:rsidRPr="00286216">
              <w:rPr>
                <w:color w:val="000000" w:themeColor="text1"/>
              </w:rPr>
              <w:t>2. Національною комісією з цінних паперів та фондового ринку можуть встановлюватися додаткові вимоги до правил клірингу.</w:t>
            </w:r>
          </w:p>
        </w:tc>
      </w:tr>
      <w:tr w:rsidR="00806997" w:rsidRPr="00286216" w14:paraId="4669DF2B" w14:textId="77777777" w:rsidTr="00091AA5">
        <w:tc>
          <w:tcPr>
            <w:tcW w:w="576" w:type="dxa"/>
          </w:tcPr>
          <w:p w14:paraId="0829A0CF" w14:textId="77777777" w:rsidR="00806997" w:rsidRPr="00286216" w:rsidRDefault="00806997" w:rsidP="00806997">
            <w:pPr>
              <w:pStyle w:val="StyleWisnow"/>
              <w:rPr>
                <w:color w:val="000000" w:themeColor="text1"/>
              </w:rPr>
            </w:pPr>
            <w:bookmarkStart w:id="785" w:name="n1067" w:colFirst="0" w:colLast="0"/>
            <w:bookmarkEnd w:id="784"/>
            <w:r w:rsidRPr="00286216">
              <w:rPr>
                <w:color w:val="000000" w:themeColor="text1"/>
              </w:rPr>
              <w:t>1067.</w:t>
            </w:r>
          </w:p>
        </w:tc>
        <w:tc>
          <w:tcPr>
            <w:tcW w:w="4818" w:type="dxa"/>
          </w:tcPr>
          <w:p w14:paraId="400AD108" w14:textId="77777777" w:rsidR="00806997" w:rsidRPr="00286216" w:rsidRDefault="00806997" w:rsidP="00806997">
            <w:pPr>
              <w:pStyle w:val="StyleZakonu"/>
              <w:rPr>
                <w:color w:val="000000" w:themeColor="text1"/>
              </w:rPr>
            </w:pPr>
            <w:bookmarkStart w:id="786" w:name="_Ref17108958"/>
            <w:r w:rsidRPr="00286216">
              <w:rPr>
                <w:color w:val="000000" w:themeColor="text1"/>
              </w:rPr>
              <w:t>Стаття 58. Організація клірингу</w:t>
            </w:r>
            <w:bookmarkEnd w:id="786"/>
          </w:p>
        </w:tc>
        <w:tc>
          <w:tcPr>
            <w:tcW w:w="3686" w:type="dxa"/>
          </w:tcPr>
          <w:p w14:paraId="7A0203B5" w14:textId="77777777" w:rsidR="00806997" w:rsidRPr="00286216" w:rsidRDefault="00806997" w:rsidP="00806997">
            <w:pPr>
              <w:pStyle w:val="StyleProp"/>
              <w:rPr>
                <w:color w:val="000000" w:themeColor="text1"/>
                <w:szCs w:val="18"/>
              </w:rPr>
            </w:pPr>
          </w:p>
        </w:tc>
        <w:tc>
          <w:tcPr>
            <w:tcW w:w="1987" w:type="dxa"/>
          </w:tcPr>
          <w:p w14:paraId="3A5534DC" w14:textId="77777777" w:rsidR="00806997" w:rsidRPr="00286216" w:rsidRDefault="00806997" w:rsidP="00806997">
            <w:pPr>
              <w:pStyle w:val="StyleWisnow"/>
              <w:rPr>
                <w:color w:val="000000" w:themeColor="text1"/>
              </w:rPr>
            </w:pPr>
          </w:p>
        </w:tc>
        <w:tc>
          <w:tcPr>
            <w:tcW w:w="4818" w:type="dxa"/>
          </w:tcPr>
          <w:p w14:paraId="71D9AA5E" w14:textId="607C844C" w:rsidR="00806997" w:rsidRPr="00286216" w:rsidRDefault="00806997" w:rsidP="00806997">
            <w:pPr>
              <w:pStyle w:val="StyleZakonu"/>
              <w:rPr>
                <w:color w:val="000000" w:themeColor="text1"/>
              </w:rPr>
            </w:pPr>
            <w:r w:rsidRPr="00286216">
              <w:rPr>
                <w:color w:val="000000" w:themeColor="text1"/>
              </w:rPr>
              <w:t>Стаття 63. Організація клірингу</w:t>
            </w:r>
          </w:p>
        </w:tc>
      </w:tr>
      <w:tr w:rsidR="00806997" w:rsidRPr="00286216" w14:paraId="7BE11CE6" w14:textId="77777777" w:rsidTr="00091AA5">
        <w:tc>
          <w:tcPr>
            <w:tcW w:w="576" w:type="dxa"/>
          </w:tcPr>
          <w:p w14:paraId="66A35ABF" w14:textId="77777777" w:rsidR="00806997" w:rsidRPr="00286216" w:rsidRDefault="00806997" w:rsidP="00806997">
            <w:pPr>
              <w:pStyle w:val="StyleWisnow"/>
              <w:rPr>
                <w:color w:val="000000" w:themeColor="text1"/>
              </w:rPr>
            </w:pPr>
            <w:bookmarkStart w:id="787" w:name="n1068" w:colFirst="0" w:colLast="0"/>
            <w:bookmarkEnd w:id="785"/>
            <w:r w:rsidRPr="00286216">
              <w:rPr>
                <w:color w:val="000000" w:themeColor="text1"/>
              </w:rPr>
              <w:t>1068.</w:t>
            </w:r>
          </w:p>
        </w:tc>
        <w:tc>
          <w:tcPr>
            <w:tcW w:w="4818" w:type="dxa"/>
          </w:tcPr>
          <w:p w14:paraId="23DD4155" w14:textId="77777777" w:rsidR="00806997" w:rsidRPr="00286216" w:rsidRDefault="00806997" w:rsidP="00806997">
            <w:pPr>
              <w:pStyle w:val="StyleZakonu"/>
              <w:rPr>
                <w:color w:val="000000" w:themeColor="text1"/>
              </w:rPr>
            </w:pPr>
            <w:r w:rsidRPr="00286216">
              <w:rPr>
                <w:color w:val="000000" w:themeColor="text1"/>
              </w:rPr>
              <w:t xml:space="preserve">1. Особа, яка провадить клірингову діяльність, здійснює кліринг тільки тих зобов’язань, які допущені для здійснення клірингу в порядку і на умовах, </w:t>
            </w:r>
            <w:r w:rsidRPr="00286216">
              <w:rPr>
                <w:color w:val="000000" w:themeColor="text1"/>
              </w:rPr>
              <w:lastRenderedPageBreak/>
              <w:t>установлених правилами клірингу.</w:t>
            </w:r>
          </w:p>
        </w:tc>
        <w:tc>
          <w:tcPr>
            <w:tcW w:w="3686" w:type="dxa"/>
          </w:tcPr>
          <w:p w14:paraId="7A201B96" w14:textId="77777777" w:rsidR="00806997" w:rsidRPr="00286216" w:rsidRDefault="00806997" w:rsidP="00806997">
            <w:pPr>
              <w:pStyle w:val="StyleProp"/>
              <w:rPr>
                <w:color w:val="000000" w:themeColor="text1"/>
                <w:szCs w:val="18"/>
              </w:rPr>
            </w:pPr>
          </w:p>
        </w:tc>
        <w:tc>
          <w:tcPr>
            <w:tcW w:w="1987" w:type="dxa"/>
          </w:tcPr>
          <w:p w14:paraId="3CCF5529" w14:textId="77777777" w:rsidR="00806997" w:rsidRPr="00286216" w:rsidRDefault="00806997" w:rsidP="00806997">
            <w:pPr>
              <w:pStyle w:val="StyleWisnow"/>
              <w:rPr>
                <w:color w:val="000000" w:themeColor="text1"/>
              </w:rPr>
            </w:pPr>
          </w:p>
        </w:tc>
        <w:tc>
          <w:tcPr>
            <w:tcW w:w="4818" w:type="dxa"/>
          </w:tcPr>
          <w:p w14:paraId="7902CF8C" w14:textId="3859ED21" w:rsidR="00806997" w:rsidRPr="00286216" w:rsidRDefault="00806997" w:rsidP="00806997">
            <w:pPr>
              <w:pStyle w:val="StyleZakonu"/>
              <w:rPr>
                <w:color w:val="000000" w:themeColor="text1"/>
              </w:rPr>
            </w:pPr>
            <w:r w:rsidRPr="00286216">
              <w:rPr>
                <w:color w:val="000000" w:themeColor="text1"/>
              </w:rPr>
              <w:t xml:space="preserve">1. Особа, яка провадить клірингову діяльність, здійснює кліринг тільки тих зобов’язань, які допущені для здійснення клірингу в порядку і на умовах, </w:t>
            </w:r>
            <w:r w:rsidRPr="00286216">
              <w:rPr>
                <w:color w:val="000000" w:themeColor="text1"/>
              </w:rPr>
              <w:lastRenderedPageBreak/>
              <w:t>установлених правилами клірингу.</w:t>
            </w:r>
          </w:p>
        </w:tc>
      </w:tr>
      <w:tr w:rsidR="00806997" w:rsidRPr="00286216" w14:paraId="0F30C6CA" w14:textId="77777777" w:rsidTr="00091AA5">
        <w:tc>
          <w:tcPr>
            <w:tcW w:w="576" w:type="dxa"/>
          </w:tcPr>
          <w:p w14:paraId="061EAB41" w14:textId="77777777" w:rsidR="00806997" w:rsidRPr="00286216" w:rsidRDefault="00806997" w:rsidP="00806997">
            <w:pPr>
              <w:pStyle w:val="StyleWisnow"/>
              <w:rPr>
                <w:color w:val="000000" w:themeColor="text1"/>
              </w:rPr>
            </w:pPr>
            <w:bookmarkStart w:id="788" w:name="n1069" w:colFirst="0" w:colLast="0"/>
            <w:bookmarkEnd w:id="787"/>
            <w:r w:rsidRPr="00286216">
              <w:rPr>
                <w:color w:val="000000" w:themeColor="text1"/>
              </w:rPr>
              <w:lastRenderedPageBreak/>
              <w:t>1069.</w:t>
            </w:r>
          </w:p>
        </w:tc>
        <w:tc>
          <w:tcPr>
            <w:tcW w:w="4818" w:type="dxa"/>
          </w:tcPr>
          <w:p w14:paraId="619C8E4A" w14:textId="77777777" w:rsidR="00806997" w:rsidRPr="00286216" w:rsidRDefault="00806997" w:rsidP="00806997">
            <w:pPr>
              <w:pStyle w:val="StyleZakonu"/>
              <w:rPr>
                <w:color w:val="000000" w:themeColor="text1"/>
              </w:rPr>
            </w:pPr>
            <w:r w:rsidRPr="00286216">
              <w:rPr>
                <w:color w:val="000000" w:themeColor="text1"/>
              </w:rPr>
              <w:t>2. Порядок здійснення клірингу за договорами щодо фінансових інструментів, а також порядок контролю за провадженням клірингової діяльності встановлюються Національною комісією з цінних паперів та фондового ринку.</w:t>
            </w:r>
          </w:p>
        </w:tc>
        <w:tc>
          <w:tcPr>
            <w:tcW w:w="3686" w:type="dxa"/>
          </w:tcPr>
          <w:p w14:paraId="4E0B9721" w14:textId="4DDD2BE8"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586</w:t>
            </w:r>
            <w:r w:rsidRPr="00286216">
              <w:rPr>
                <w:color w:val="000000" w:themeColor="text1"/>
              </w:rPr>
              <w:fldChar w:fldCharType="end"/>
            </w:r>
            <w:r w:rsidRPr="00286216">
              <w:rPr>
                <w:color w:val="000000" w:themeColor="text1"/>
              </w:rPr>
              <w:t>-Н.д.Шахов С.В. (Реєстр.картка №114)</w:t>
            </w:r>
          </w:p>
          <w:p w14:paraId="2DB1BC8F" w14:textId="77777777" w:rsidR="00806997" w:rsidRPr="00286216" w:rsidRDefault="00806997" w:rsidP="00806997">
            <w:pPr>
              <w:pStyle w:val="StyleProp"/>
              <w:rPr>
                <w:color w:val="000000" w:themeColor="text1"/>
                <w:szCs w:val="18"/>
              </w:rPr>
            </w:pPr>
            <w:r w:rsidRPr="00286216">
              <w:rPr>
                <w:color w:val="000000" w:themeColor="text1"/>
              </w:rPr>
              <w:t>У частини 2 статті 58 слова "Національною комісією з цінних паперів та фондового ринку" замінити словами "регулятором відповідного товарного ринку".</w:t>
            </w:r>
          </w:p>
        </w:tc>
        <w:tc>
          <w:tcPr>
            <w:tcW w:w="1987" w:type="dxa"/>
          </w:tcPr>
          <w:p w14:paraId="169B7F30" w14:textId="77777777" w:rsidR="00806997" w:rsidRPr="00286216" w:rsidRDefault="00806997" w:rsidP="00806997">
            <w:pPr>
              <w:pStyle w:val="StyleWisnow"/>
              <w:rPr>
                <w:color w:val="000000" w:themeColor="text1"/>
              </w:rPr>
            </w:pPr>
            <w:r w:rsidRPr="00286216">
              <w:rPr>
                <w:color w:val="000000" w:themeColor="text1"/>
              </w:rPr>
              <w:t>Відхилено</w:t>
            </w:r>
          </w:p>
          <w:p w14:paraId="666B019E" w14:textId="2C5F95BA" w:rsidR="00806997" w:rsidRPr="00286216" w:rsidRDefault="00806997" w:rsidP="00806997">
            <w:pPr>
              <w:pStyle w:val="StyleWisnow"/>
              <w:spacing w:line="180" w:lineRule="exact"/>
              <w:rPr>
                <w:color w:val="000000" w:themeColor="text1"/>
                <w:spacing w:val="-2"/>
                <w:sz w:val="24"/>
                <w:szCs w:val="24"/>
              </w:rPr>
            </w:pPr>
            <w:r w:rsidRPr="00286216">
              <w:rPr>
                <w:color w:val="000000" w:themeColor="text1"/>
                <w:spacing w:val="-2"/>
              </w:rPr>
              <w:t xml:space="preserve">кліринг як вид діяльності на ринках капіталу належить до виключної </w:t>
            </w:r>
            <w:r w:rsidRPr="00286216">
              <w:rPr>
                <w:color w:val="000000" w:themeColor="text1"/>
                <w:spacing w:val="-4"/>
              </w:rPr>
              <w:t>регуляторної</w:t>
            </w:r>
            <w:r w:rsidRPr="00286216">
              <w:rPr>
                <w:color w:val="000000" w:themeColor="text1"/>
                <w:spacing w:val="-2"/>
              </w:rPr>
              <w:t xml:space="preserve"> </w:t>
            </w:r>
            <w:r w:rsidRPr="00286216">
              <w:rPr>
                <w:color w:val="000000" w:themeColor="text1"/>
                <w:spacing w:val="-4"/>
              </w:rPr>
              <w:t>компетенції</w:t>
            </w:r>
            <w:r w:rsidRPr="00286216">
              <w:rPr>
                <w:color w:val="000000" w:themeColor="text1"/>
                <w:spacing w:val="-2"/>
              </w:rPr>
              <w:t xml:space="preserve"> НКЦПФР</w:t>
            </w:r>
          </w:p>
        </w:tc>
        <w:tc>
          <w:tcPr>
            <w:tcW w:w="4818" w:type="dxa"/>
          </w:tcPr>
          <w:p w14:paraId="3229F88B" w14:textId="09E94FBC" w:rsidR="00806997" w:rsidRPr="00286216" w:rsidRDefault="00806997" w:rsidP="00806997">
            <w:pPr>
              <w:pStyle w:val="StyleZakonu"/>
              <w:rPr>
                <w:color w:val="000000" w:themeColor="text1"/>
              </w:rPr>
            </w:pPr>
            <w:r w:rsidRPr="00286216">
              <w:rPr>
                <w:color w:val="000000" w:themeColor="text1"/>
              </w:rPr>
              <w:t>2. Порядок здійснення клірингу за договорами щодо фінансових інструментів, а також порядок контролю за провадженням клірингової діяльності встановлюються Національною комісією з цінних паперів та фондового ринку.</w:t>
            </w:r>
          </w:p>
        </w:tc>
      </w:tr>
      <w:tr w:rsidR="00806997" w:rsidRPr="00286216" w14:paraId="3DE6C792" w14:textId="77777777" w:rsidTr="00091AA5">
        <w:tc>
          <w:tcPr>
            <w:tcW w:w="576" w:type="dxa"/>
          </w:tcPr>
          <w:p w14:paraId="5D46E223" w14:textId="77777777" w:rsidR="00806997" w:rsidRPr="00286216" w:rsidRDefault="00806997" w:rsidP="00806997">
            <w:pPr>
              <w:pStyle w:val="StyleWisnow"/>
              <w:rPr>
                <w:color w:val="000000" w:themeColor="text1"/>
              </w:rPr>
            </w:pPr>
            <w:bookmarkStart w:id="789" w:name="n1070" w:colFirst="0" w:colLast="0"/>
            <w:bookmarkEnd w:id="788"/>
            <w:r w:rsidRPr="00286216">
              <w:rPr>
                <w:color w:val="000000" w:themeColor="text1"/>
              </w:rPr>
              <w:t>1070.</w:t>
            </w:r>
          </w:p>
        </w:tc>
        <w:tc>
          <w:tcPr>
            <w:tcW w:w="4818" w:type="dxa"/>
          </w:tcPr>
          <w:p w14:paraId="035E3FBF" w14:textId="77777777" w:rsidR="00806997" w:rsidRPr="00286216" w:rsidRDefault="00806997" w:rsidP="00806997">
            <w:pPr>
              <w:pStyle w:val="StyleZakonu"/>
              <w:rPr>
                <w:color w:val="000000" w:themeColor="text1"/>
              </w:rPr>
            </w:pPr>
            <w:r w:rsidRPr="00286216">
              <w:rPr>
                <w:color w:val="000000" w:themeColor="text1"/>
              </w:rPr>
              <w:t>3. Недійсність правочину, зобов’язання за яким припинено за результатами клірингу, не тягне за собою недійсність правочинів, виконаних у процесі клірингу, та результатів клірингу.</w:t>
            </w:r>
          </w:p>
        </w:tc>
        <w:tc>
          <w:tcPr>
            <w:tcW w:w="3686" w:type="dxa"/>
          </w:tcPr>
          <w:p w14:paraId="51C02C7F" w14:textId="77777777" w:rsidR="00806997" w:rsidRPr="00286216" w:rsidRDefault="00806997" w:rsidP="00806997">
            <w:pPr>
              <w:pStyle w:val="StyleProp"/>
              <w:rPr>
                <w:color w:val="000000" w:themeColor="text1"/>
                <w:szCs w:val="18"/>
              </w:rPr>
            </w:pPr>
          </w:p>
        </w:tc>
        <w:tc>
          <w:tcPr>
            <w:tcW w:w="1987" w:type="dxa"/>
          </w:tcPr>
          <w:p w14:paraId="5477E11F" w14:textId="77777777" w:rsidR="00806997" w:rsidRPr="00286216" w:rsidRDefault="00806997" w:rsidP="00806997">
            <w:pPr>
              <w:pStyle w:val="StyleWisnow"/>
              <w:rPr>
                <w:color w:val="000000" w:themeColor="text1"/>
              </w:rPr>
            </w:pPr>
          </w:p>
        </w:tc>
        <w:tc>
          <w:tcPr>
            <w:tcW w:w="4818" w:type="dxa"/>
          </w:tcPr>
          <w:p w14:paraId="16044C10" w14:textId="03A7FBB5" w:rsidR="00806997" w:rsidRPr="00286216" w:rsidRDefault="00806997" w:rsidP="00806997">
            <w:pPr>
              <w:pStyle w:val="StyleZakonu"/>
              <w:rPr>
                <w:color w:val="000000" w:themeColor="text1"/>
              </w:rPr>
            </w:pPr>
            <w:r w:rsidRPr="00286216">
              <w:rPr>
                <w:color w:val="000000" w:themeColor="text1"/>
              </w:rPr>
              <w:t>3. Недійсність правочину, зобов’язання за яким припинено за результатами клірингу, не тягне за собою недійсність правочинів, виконаних у процесі клірингу, та результатів клірингу.</w:t>
            </w:r>
          </w:p>
        </w:tc>
      </w:tr>
      <w:tr w:rsidR="00806997" w:rsidRPr="00286216" w14:paraId="21E00229" w14:textId="77777777" w:rsidTr="00091AA5">
        <w:tc>
          <w:tcPr>
            <w:tcW w:w="576" w:type="dxa"/>
          </w:tcPr>
          <w:p w14:paraId="598309FF" w14:textId="77777777" w:rsidR="00806997" w:rsidRPr="00286216" w:rsidRDefault="00806997" w:rsidP="00806997">
            <w:pPr>
              <w:pStyle w:val="StyleWisnow"/>
              <w:rPr>
                <w:color w:val="000000" w:themeColor="text1"/>
              </w:rPr>
            </w:pPr>
            <w:bookmarkStart w:id="790" w:name="n1071" w:colFirst="0" w:colLast="0"/>
            <w:bookmarkEnd w:id="789"/>
            <w:r w:rsidRPr="00286216">
              <w:rPr>
                <w:color w:val="000000" w:themeColor="text1"/>
              </w:rPr>
              <w:t>1071.</w:t>
            </w:r>
          </w:p>
        </w:tc>
        <w:tc>
          <w:tcPr>
            <w:tcW w:w="4818" w:type="dxa"/>
          </w:tcPr>
          <w:p w14:paraId="1323734D" w14:textId="77777777" w:rsidR="00806997" w:rsidRPr="00286216" w:rsidRDefault="00806997" w:rsidP="00806997">
            <w:pPr>
              <w:pStyle w:val="StyleZakonu"/>
              <w:rPr>
                <w:color w:val="000000" w:themeColor="text1"/>
              </w:rPr>
            </w:pPr>
            <w:r w:rsidRPr="00286216">
              <w:rPr>
                <w:color w:val="000000" w:themeColor="text1"/>
              </w:rPr>
              <w:t>4. Особа, яка провадить клірингову діяльність, в системі клірингового обліку веде облік деривативних контрактів, інших фінансових інструментів та активів, що допущені до торгів на організованому ринку, а також грошових коштів окремо для кожного учасника клірингу та окремо від деривативних контрактів, інших фінансових інструментів та активів, що допущені до торгів на організованому ринку, а також грошових коштів, що перебувають у власності особи, яка провадить клірингову діяльність, відповідно до вимог, установлених Національною комісією з цінних паперів та фондового ринку.</w:t>
            </w:r>
          </w:p>
        </w:tc>
        <w:tc>
          <w:tcPr>
            <w:tcW w:w="3686" w:type="dxa"/>
          </w:tcPr>
          <w:p w14:paraId="520B0785" w14:textId="77777777" w:rsidR="00806997" w:rsidRPr="00286216" w:rsidRDefault="00806997" w:rsidP="00806997">
            <w:pPr>
              <w:pStyle w:val="StyleProp"/>
              <w:rPr>
                <w:color w:val="000000" w:themeColor="text1"/>
                <w:szCs w:val="18"/>
              </w:rPr>
            </w:pPr>
          </w:p>
        </w:tc>
        <w:tc>
          <w:tcPr>
            <w:tcW w:w="1987" w:type="dxa"/>
          </w:tcPr>
          <w:p w14:paraId="0C2C5C26" w14:textId="77777777" w:rsidR="00806997" w:rsidRPr="00286216" w:rsidRDefault="00806997" w:rsidP="00806997">
            <w:pPr>
              <w:pStyle w:val="StyleWisnow"/>
              <w:rPr>
                <w:color w:val="000000" w:themeColor="text1"/>
              </w:rPr>
            </w:pPr>
          </w:p>
        </w:tc>
        <w:tc>
          <w:tcPr>
            <w:tcW w:w="4818" w:type="dxa"/>
          </w:tcPr>
          <w:p w14:paraId="1CD7E7B0" w14:textId="0AAD9C20" w:rsidR="00806997" w:rsidRPr="00286216" w:rsidRDefault="00806997" w:rsidP="00806997">
            <w:pPr>
              <w:pStyle w:val="StyleZakonu"/>
              <w:rPr>
                <w:color w:val="000000" w:themeColor="text1"/>
              </w:rPr>
            </w:pPr>
            <w:r w:rsidRPr="00286216">
              <w:rPr>
                <w:color w:val="000000" w:themeColor="text1"/>
              </w:rPr>
              <w:t>4. Особа, яка провадить клірингову діяльність, у системі клірингового обліку веде облік деривативних контрактів, інших фінансових інструментів та активів, допущених до торгів на організованому ринку, а також грошових коштів окремо для кожного учасника клірингу та окремо від деривативних контрактів, інших фінансових інструментів та активів, допущених до торгів на організованому ринку, а також грошових коштів, що перебувають у власності особи, яка провадить клірингову діяльність, відповідно до вимог, установлених Національною комісією з цінних паперів та фондового ринку.</w:t>
            </w:r>
          </w:p>
        </w:tc>
      </w:tr>
      <w:tr w:rsidR="00806997" w:rsidRPr="00286216" w14:paraId="28888852" w14:textId="77777777" w:rsidTr="00091AA5">
        <w:tc>
          <w:tcPr>
            <w:tcW w:w="576" w:type="dxa"/>
          </w:tcPr>
          <w:p w14:paraId="29BFB3B7" w14:textId="77777777" w:rsidR="00806997" w:rsidRPr="00286216" w:rsidRDefault="00806997" w:rsidP="00806997">
            <w:pPr>
              <w:pStyle w:val="StyleWisnow"/>
              <w:rPr>
                <w:color w:val="000000" w:themeColor="text1"/>
              </w:rPr>
            </w:pPr>
            <w:bookmarkStart w:id="791" w:name="n1072" w:colFirst="0" w:colLast="0"/>
            <w:bookmarkEnd w:id="790"/>
            <w:r w:rsidRPr="00286216">
              <w:rPr>
                <w:color w:val="000000" w:themeColor="text1"/>
              </w:rPr>
              <w:t>1072.</w:t>
            </w:r>
          </w:p>
        </w:tc>
        <w:tc>
          <w:tcPr>
            <w:tcW w:w="4818" w:type="dxa"/>
          </w:tcPr>
          <w:p w14:paraId="3A5E3EA2" w14:textId="77777777" w:rsidR="00806997" w:rsidRPr="00286216" w:rsidRDefault="00806997" w:rsidP="00806997">
            <w:pPr>
              <w:pStyle w:val="StyleZakonu"/>
              <w:rPr>
                <w:color w:val="000000" w:themeColor="text1"/>
              </w:rPr>
            </w:pPr>
            <w:r w:rsidRPr="00286216">
              <w:rPr>
                <w:color w:val="000000" w:themeColor="text1"/>
              </w:rPr>
              <w:t>На деривативні контракти, інші фінансові інструменти та активи, що допущені до торгів на організованому ринку, а також грошові кошти, що належать учасникам клірингу та передаються особі, яка провадить клірингову діяльність, у процесі провадження нею професійної діяльності на ринках капіталу, не накладається арешт та/або не звертається стягнення за зобов’язаннями такої особи.</w:t>
            </w:r>
          </w:p>
        </w:tc>
        <w:tc>
          <w:tcPr>
            <w:tcW w:w="3686" w:type="dxa"/>
          </w:tcPr>
          <w:p w14:paraId="4C95ADCF" w14:textId="77777777" w:rsidR="00806997" w:rsidRPr="00286216" w:rsidRDefault="00806997" w:rsidP="00806997">
            <w:pPr>
              <w:pStyle w:val="StyleProp"/>
              <w:rPr>
                <w:color w:val="000000" w:themeColor="text1"/>
                <w:szCs w:val="18"/>
              </w:rPr>
            </w:pPr>
          </w:p>
        </w:tc>
        <w:tc>
          <w:tcPr>
            <w:tcW w:w="1987" w:type="dxa"/>
          </w:tcPr>
          <w:p w14:paraId="2539B9B0" w14:textId="77777777" w:rsidR="00806997" w:rsidRPr="00286216" w:rsidRDefault="00806997" w:rsidP="00806997">
            <w:pPr>
              <w:pStyle w:val="StyleWisnow"/>
              <w:rPr>
                <w:color w:val="000000" w:themeColor="text1"/>
              </w:rPr>
            </w:pPr>
          </w:p>
        </w:tc>
        <w:tc>
          <w:tcPr>
            <w:tcW w:w="4818" w:type="dxa"/>
          </w:tcPr>
          <w:p w14:paraId="32956676" w14:textId="7CD549B3" w:rsidR="00806997" w:rsidRPr="00286216" w:rsidRDefault="00806997" w:rsidP="00806997">
            <w:pPr>
              <w:pStyle w:val="StyleZakonu"/>
              <w:rPr>
                <w:color w:val="000000" w:themeColor="text1"/>
              </w:rPr>
            </w:pPr>
            <w:r w:rsidRPr="00286216">
              <w:rPr>
                <w:color w:val="000000" w:themeColor="text1"/>
              </w:rPr>
              <w:t>На деривативні контракти, інші фінансові інструменти, валютні цінності, продукцію, а також грошові кошти, що належать учасникам клірингу та передаються особі, яка провадить клірингову діяльність, у процесі провадження нею професійної діяльності на ринках капіталу, не накладається арешт та/або не звертається стягнення за зобов’язаннями такої особи.</w:t>
            </w:r>
          </w:p>
        </w:tc>
      </w:tr>
      <w:tr w:rsidR="00806997" w:rsidRPr="00286216" w14:paraId="355AEB13" w14:textId="77777777" w:rsidTr="00091AA5">
        <w:tc>
          <w:tcPr>
            <w:tcW w:w="576" w:type="dxa"/>
          </w:tcPr>
          <w:p w14:paraId="18E28842" w14:textId="77777777" w:rsidR="00806997" w:rsidRPr="00286216" w:rsidRDefault="00806997" w:rsidP="00806997">
            <w:pPr>
              <w:pStyle w:val="StyleWisnow"/>
              <w:rPr>
                <w:color w:val="000000" w:themeColor="text1"/>
              </w:rPr>
            </w:pPr>
            <w:bookmarkStart w:id="792" w:name="n1073" w:colFirst="0" w:colLast="0"/>
            <w:bookmarkEnd w:id="791"/>
            <w:r w:rsidRPr="00286216">
              <w:rPr>
                <w:color w:val="000000" w:themeColor="text1"/>
              </w:rPr>
              <w:t>1073.</w:t>
            </w:r>
          </w:p>
        </w:tc>
        <w:tc>
          <w:tcPr>
            <w:tcW w:w="4818" w:type="dxa"/>
          </w:tcPr>
          <w:p w14:paraId="459216FB" w14:textId="77777777" w:rsidR="00806997" w:rsidRPr="00286216" w:rsidRDefault="00806997" w:rsidP="00806997">
            <w:pPr>
              <w:pStyle w:val="StyleZakonu"/>
              <w:rPr>
                <w:color w:val="000000" w:themeColor="text1"/>
              </w:rPr>
            </w:pPr>
            <w:r w:rsidRPr="00286216">
              <w:rPr>
                <w:color w:val="000000" w:themeColor="text1"/>
              </w:rPr>
              <w:t xml:space="preserve">5. Виписка з системи клірингового обліку особи, що здійснює клірингову діяльність, є підтвердженням внесення/резервування коштів в якості гарантійного забезпечення для проведення клірингу, отримання коштів внаслідок розрахунків за правочинами або внаслідок виконання інших операцій, передбачених правилами клірингу та документальним підтвердженням факту проведення розрахунків, а також доходів та витрат за деривативними контрактами, іншими фінансовими інструментами та активами, що допущені до торгів на організованому ринку, у випадку використання таких коштів за результатами клірингу за деривативними контрактами, іншими фінансовими інструментами та </w:t>
            </w:r>
            <w:r w:rsidRPr="00286216">
              <w:rPr>
                <w:color w:val="000000" w:themeColor="text1"/>
              </w:rPr>
              <w:lastRenderedPageBreak/>
              <w:t>активами, що допущені до торгів на організованому ринку, для цілей бухгалтерського та податкового обліку.</w:t>
            </w:r>
          </w:p>
        </w:tc>
        <w:tc>
          <w:tcPr>
            <w:tcW w:w="3686" w:type="dxa"/>
          </w:tcPr>
          <w:p w14:paraId="10886E35" w14:textId="0B51D5CB" w:rsidR="00806997" w:rsidRPr="00286216" w:rsidRDefault="00806997" w:rsidP="00806997">
            <w:pPr>
              <w:spacing w:line="220" w:lineRule="exact"/>
              <w:rPr>
                <w:b/>
                <w:i/>
                <w:color w:val="000000" w:themeColor="text1"/>
                <w:spacing w:val="-4"/>
                <w:sz w:val="18"/>
                <w:u w:val="single"/>
              </w:rPr>
            </w:pPr>
            <w:r w:rsidRPr="00286216">
              <w:rPr>
                <w:b/>
                <w:i/>
                <w:color w:val="000000" w:themeColor="text1"/>
                <w:sz w:val="18"/>
                <w:u w:val="single"/>
              </w:rPr>
              <w:lastRenderedPageBreak/>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587</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5CF8A49E" w14:textId="77777777" w:rsidR="00806997" w:rsidRPr="00286216" w:rsidRDefault="00806997" w:rsidP="00806997">
            <w:pPr>
              <w:pStyle w:val="StyleProp"/>
              <w:rPr>
                <w:color w:val="000000" w:themeColor="text1"/>
                <w:szCs w:val="18"/>
              </w:rPr>
            </w:pPr>
            <w:r w:rsidRPr="00286216">
              <w:rPr>
                <w:color w:val="000000" w:themeColor="text1"/>
                <w:szCs w:val="18"/>
              </w:rPr>
              <w:t>Частину п’яту статті 58 викласти в такій редакції:</w:t>
            </w:r>
          </w:p>
          <w:p w14:paraId="49D03889" w14:textId="7C639D4C" w:rsidR="00806997" w:rsidRPr="00286216" w:rsidRDefault="00806997" w:rsidP="00806997">
            <w:pPr>
              <w:pStyle w:val="StyleProp"/>
              <w:rPr>
                <w:color w:val="000000" w:themeColor="text1"/>
                <w:szCs w:val="18"/>
              </w:rPr>
            </w:pPr>
            <w:r w:rsidRPr="00286216">
              <w:rPr>
                <w:color w:val="000000" w:themeColor="text1"/>
                <w:szCs w:val="18"/>
              </w:rPr>
              <w:t xml:space="preserve">«5. Виписка з системи клірингового обліку особи, яка провадить клірингову діяльність, є підтвердженням внесення/резервування коштів в якості гарантійного забезпечення для проведення клірингу, отримання коштів внаслідок розрахунків за правочинами або внаслідок виконання інших операцій, передбачених правилами клірингу та документальним підтвердженням факту проведення розрахунків, а також доходів та витрат за деривативними контрактами, правочинами щодо фінансових інструментів, </w:t>
            </w:r>
            <w:r w:rsidRPr="00286216">
              <w:rPr>
                <w:color w:val="000000" w:themeColor="text1"/>
                <w:szCs w:val="18"/>
              </w:rPr>
              <w:lastRenderedPageBreak/>
              <w:t>валютних цінностей, товарними операціями, укладеними на організованому ринку та поза ним, у випадку використання таких коштів за результатами клірингу зобов’язань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 для цілей бухгалтерського та податкового обліку».</w:t>
            </w:r>
          </w:p>
        </w:tc>
        <w:tc>
          <w:tcPr>
            <w:tcW w:w="1987" w:type="dxa"/>
          </w:tcPr>
          <w:p w14:paraId="5415B244" w14:textId="77777777" w:rsidR="00806997" w:rsidRPr="00286216" w:rsidRDefault="00806997" w:rsidP="00806997">
            <w:pPr>
              <w:pStyle w:val="StyleWisnow"/>
              <w:rPr>
                <w:color w:val="000000" w:themeColor="text1"/>
              </w:rPr>
            </w:pPr>
            <w:r w:rsidRPr="00286216">
              <w:rPr>
                <w:color w:val="000000" w:themeColor="text1"/>
              </w:rPr>
              <w:lastRenderedPageBreak/>
              <w:t>Враховано</w:t>
            </w:r>
          </w:p>
        </w:tc>
        <w:tc>
          <w:tcPr>
            <w:tcW w:w="4818" w:type="dxa"/>
          </w:tcPr>
          <w:p w14:paraId="5F64B404" w14:textId="515D76A6" w:rsidR="00806997" w:rsidRPr="00286216" w:rsidRDefault="00806997" w:rsidP="00806997">
            <w:pPr>
              <w:pStyle w:val="StyleZakonu"/>
              <w:rPr>
                <w:color w:val="000000" w:themeColor="text1"/>
              </w:rPr>
            </w:pPr>
            <w:r w:rsidRPr="00286216">
              <w:rPr>
                <w:color w:val="000000" w:themeColor="text1"/>
                <w:szCs w:val="18"/>
              </w:rPr>
              <w:t xml:space="preserve">5. Виписка з системи клірингового обліку особи, яка провадить клірингову діяльність, є підтвердженням внесення/резервування коштів в якості гарантійного забезпечення для проведення клірингу, отримання коштів внаслідок розрахунків за правочинами або внаслідок виконання інших операцій, передбачених правилами клірингу, та документальним підтвердженням факту проведення розрахунків, а також доходів та витрат за деривативними контрактами, правочинами щодо фінансових інструментів, </w:t>
            </w:r>
            <w:r w:rsidRPr="00286216">
              <w:rPr>
                <w:color w:val="000000" w:themeColor="text1"/>
              </w:rPr>
              <w:t>валютних цінностей, товарними операціями, укладеними на організованому ринку та поза ним</w:t>
            </w:r>
            <w:r w:rsidRPr="00286216">
              <w:rPr>
                <w:color w:val="000000" w:themeColor="text1"/>
                <w:szCs w:val="18"/>
              </w:rPr>
              <w:t xml:space="preserve">, у разі використання таких коштів за результатами клірингу </w:t>
            </w:r>
            <w:r w:rsidRPr="00286216">
              <w:rPr>
                <w:color w:val="000000" w:themeColor="text1"/>
                <w:szCs w:val="18"/>
              </w:rPr>
              <w:lastRenderedPageBreak/>
              <w:t>зобов’язань за деривативними контрактами, правочинами щодо  фінансових інструментів,</w:t>
            </w:r>
            <w:r w:rsidRPr="00286216">
              <w:rPr>
                <w:color w:val="000000" w:themeColor="text1"/>
              </w:rPr>
              <w:t xml:space="preserve"> щодо валютних цінностей та товарними операціями, укладеними на організованому ринку та поза ним</w:t>
            </w:r>
            <w:r w:rsidRPr="00286216">
              <w:rPr>
                <w:color w:val="000000" w:themeColor="text1"/>
                <w:szCs w:val="18"/>
              </w:rPr>
              <w:t>, для цілей бухгалтерського та податкового обліку</w:t>
            </w:r>
            <w:r w:rsidRPr="00286216">
              <w:rPr>
                <w:color w:val="000000" w:themeColor="text1"/>
              </w:rPr>
              <w:t>.</w:t>
            </w:r>
          </w:p>
        </w:tc>
      </w:tr>
      <w:tr w:rsidR="00806997" w:rsidRPr="00286216" w14:paraId="781F6FDD" w14:textId="77777777" w:rsidTr="00091AA5">
        <w:tc>
          <w:tcPr>
            <w:tcW w:w="576" w:type="dxa"/>
          </w:tcPr>
          <w:p w14:paraId="7BF907C6" w14:textId="77777777" w:rsidR="00806997" w:rsidRPr="00286216" w:rsidRDefault="00806997" w:rsidP="00806997">
            <w:pPr>
              <w:pStyle w:val="StyleWisnow"/>
              <w:rPr>
                <w:color w:val="000000" w:themeColor="text1"/>
              </w:rPr>
            </w:pPr>
            <w:bookmarkStart w:id="793" w:name="n1074" w:colFirst="0" w:colLast="0"/>
            <w:bookmarkEnd w:id="792"/>
            <w:r w:rsidRPr="00286216">
              <w:rPr>
                <w:color w:val="000000" w:themeColor="text1"/>
              </w:rPr>
              <w:lastRenderedPageBreak/>
              <w:t>1074.</w:t>
            </w:r>
          </w:p>
        </w:tc>
        <w:tc>
          <w:tcPr>
            <w:tcW w:w="4818" w:type="dxa"/>
          </w:tcPr>
          <w:p w14:paraId="1BAC28E6" w14:textId="77777777" w:rsidR="00806997" w:rsidRPr="00286216" w:rsidRDefault="00806997" w:rsidP="00806997">
            <w:pPr>
              <w:pStyle w:val="StyleZakonu"/>
              <w:rPr>
                <w:color w:val="000000" w:themeColor="text1"/>
              </w:rPr>
            </w:pPr>
            <w:r w:rsidRPr="00286216">
              <w:rPr>
                <w:color w:val="000000" w:themeColor="text1"/>
              </w:rPr>
              <w:t>6. Максимальний строк перебування внесених/зарезервованих коштів в системі клірингового обліку без їх використання в процесі клірингу (крім коштів, що використовуються в якості гарантійного забезпечення для проведення клірингу) встановлюється Національною комісією з цінних паперів та фондового ринку.</w:t>
            </w:r>
          </w:p>
        </w:tc>
        <w:tc>
          <w:tcPr>
            <w:tcW w:w="3686" w:type="dxa"/>
          </w:tcPr>
          <w:p w14:paraId="36A9BDAC" w14:textId="19ACB2F1"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588</w:t>
            </w:r>
            <w:r w:rsidRPr="00286216">
              <w:rPr>
                <w:color w:val="000000" w:themeColor="text1"/>
              </w:rPr>
              <w:fldChar w:fldCharType="end"/>
            </w:r>
            <w:r w:rsidRPr="00286216">
              <w:rPr>
                <w:color w:val="000000" w:themeColor="text1"/>
              </w:rPr>
              <w:t>-Н.д.Шахов С.В. (Реєстр.картка №114)</w:t>
            </w:r>
          </w:p>
          <w:p w14:paraId="28DE3937" w14:textId="77777777" w:rsidR="00806997" w:rsidRPr="00286216" w:rsidRDefault="00806997" w:rsidP="00806997">
            <w:pPr>
              <w:pStyle w:val="StyleProp"/>
              <w:spacing w:line="180" w:lineRule="exact"/>
              <w:rPr>
                <w:color w:val="000000" w:themeColor="text1"/>
                <w:szCs w:val="18"/>
              </w:rPr>
            </w:pPr>
            <w:r w:rsidRPr="00286216">
              <w:rPr>
                <w:color w:val="000000" w:themeColor="text1"/>
              </w:rPr>
              <w:t>Частину 6 статті 58 доповнити словами "при цьому в частині організованих товарних ринків та організованих ринків поставних товарних деривативних контрактів – за погодженням з регулятором відповідного товарного ринку".</w:t>
            </w:r>
          </w:p>
        </w:tc>
        <w:tc>
          <w:tcPr>
            <w:tcW w:w="1987" w:type="dxa"/>
          </w:tcPr>
          <w:p w14:paraId="7045C2A0" w14:textId="77777777" w:rsidR="00806997" w:rsidRPr="00286216" w:rsidRDefault="00806997" w:rsidP="00806997">
            <w:pPr>
              <w:pStyle w:val="StyleWisnow"/>
              <w:spacing w:line="180" w:lineRule="exact"/>
              <w:rPr>
                <w:color w:val="000000" w:themeColor="text1"/>
                <w:spacing w:val="-2"/>
              </w:rPr>
            </w:pPr>
            <w:r w:rsidRPr="00286216">
              <w:rPr>
                <w:color w:val="000000" w:themeColor="text1"/>
                <w:spacing w:val="-2"/>
              </w:rPr>
              <w:t>Відхилено</w:t>
            </w:r>
          </w:p>
          <w:p w14:paraId="3F48778D" w14:textId="69FFBB50" w:rsidR="00806997" w:rsidRPr="00286216" w:rsidRDefault="00806997" w:rsidP="00806997">
            <w:pPr>
              <w:pStyle w:val="StyleWisnow"/>
              <w:spacing w:line="180" w:lineRule="exact"/>
              <w:rPr>
                <w:color w:val="000000" w:themeColor="text1"/>
              </w:rPr>
            </w:pPr>
            <w:r w:rsidRPr="00286216">
              <w:rPr>
                <w:color w:val="000000" w:themeColor="text1"/>
                <w:spacing w:val="-2"/>
              </w:rPr>
              <w:t xml:space="preserve">функціонування системи клірингового обліку, зокрема, та кліринг загалом як вид діяльності на ринках капіталу належать до виключної </w:t>
            </w:r>
            <w:r w:rsidRPr="00286216">
              <w:rPr>
                <w:color w:val="000000" w:themeColor="text1"/>
                <w:spacing w:val="-4"/>
              </w:rPr>
              <w:t>регуляторної</w:t>
            </w:r>
            <w:r w:rsidRPr="00286216">
              <w:rPr>
                <w:color w:val="000000" w:themeColor="text1"/>
                <w:spacing w:val="-2"/>
              </w:rPr>
              <w:t xml:space="preserve"> </w:t>
            </w:r>
            <w:r w:rsidRPr="00286216">
              <w:rPr>
                <w:color w:val="000000" w:themeColor="text1"/>
                <w:spacing w:val="-4"/>
              </w:rPr>
              <w:t>компетенції</w:t>
            </w:r>
            <w:r w:rsidRPr="00286216">
              <w:rPr>
                <w:color w:val="000000" w:themeColor="text1"/>
                <w:spacing w:val="-2"/>
              </w:rPr>
              <w:t xml:space="preserve"> НКЦПФР</w:t>
            </w:r>
          </w:p>
        </w:tc>
        <w:tc>
          <w:tcPr>
            <w:tcW w:w="4818" w:type="dxa"/>
          </w:tcPr>
          <w:p w14:paraId="5A1F26C6" w14:textId="7DE574FB" w:rsidR="00806997" w:rsidRPr="00286216" w:rsidRDefault="00806997" w:rsidP="00806997">
            <w:pPr>
              <w:pStyle w:val="StyleZakonu"/>
              <w:rPr>
                <w:color w:val="000000" w:themeColor="text1"/>
              </w:rPr>
            </w:pPr>
            <w:r w:rsidRPr="00286216">
              <w:rPr>
                <w:color w:val="000000" w:themeColor="text1"/>
              </w:rPr>
              <w:t>6. Максимальний строк перебування внесених/зарезервованих коштів у системі клірингового обліку без їх використання у процесі клірингу (крім коштів, що використовуються в якості гарантійного забезпечення для проведення клірингу) встановлюється Національною комісією з цінних паперів та фондового ринку.</w:t>
            </w:r>
          </w:p>
        </w:tc>
      </w:tr>
      <w:tr w:rsidR="00806997" w:rsidRPr="00286216" w14:paraId="56A57C48" w14:textId="77777777" w:rsidTr="00091AA5">
        <w:tc>
          <w:tcPr>
            <w:tcW w:w="576" w:type="dxa"/>
          </w:tcPr>
          <w:p w14:paraId="69136DBD" w14:textId="77777777" w:rsidR="00806997" w:rsidRPr="00286216" w:rsidRDefault="00806997" w:rsidP="00806997">
            <w:pPr>
              <w:pStyle w:val="StyleWisnow"/>
              <w:rPr>
                <w:color w:val="000000" w:themeColor="text1"/>
              </w:rPr>
            </w:pPr>
            <w:bookmarkStart w:id="794" w:name="n1075" w:colFirst="0" w:colLast="0"/>
            <w:bookmarkEnd w:id="793"/>
            <w:r w:rsidRPr="00286216">
              <w:rPr>
                <w:color w:val="000000" w:themeColor="text1"/>
              </w:rPr>
              <w:t>1075.</w:t>
            </w:r>
          </w:p>
        </w:tc>
        <w:tc>
          <w:tcPr>
            <w:tcW w:w="4818" w:type="dxa"/>
          </w:tcPr>
          <w:p w14:paraId="2965E0A0" w14:textId="77777777" w:rsidR="00806997" w:rsidRPr="00286216" w:rsidRDefault="00806997" w:rsidP="00806997">
            <w:pPr>
              <w:pStyle w:val="StyleZakonu"/>
              <w:rPr>
                <w:color w:val="000000" w:themeColor="text1"/>
              </w:rPr>
            </w:pPr>
            <w:bookmarkStart w:id="795" w:name="_Ref20259905"/>
            <w:r w:rsidRPr="00286216">
              <w:rPr>
                <w:color w:val="000000" w:themeColor="text1"/>
              </w:rPr>
              <w:t xml:space="preserve">Стаття 59. Порядок накладення за судовим рішенням або рішенням уповноваженого державного органу арешту або встановлення іншого обмеження на право розпорядження коштами та іншими активами, призначеними для здійснення/забезпечення розрахунків </w:t>
            </w:r>
            <w:bookmarkEnd w:id="795"/>
            <w:r w:rsidRPr="00286216">
              <w:rPr>
                <w:color w:val="000000" w:themeColor="text1"/>
              </w:rPr>
              <w:t>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w:t>
            </w:r>
          </w:p>
        </w:tc>
        <w:tc>
          <w:tcPr>
            <w:tcW w:w="3686" w:type="dxa"/>
          </w:tcPr>
          <w:p w14:paraId="4467225B" w14:textId="31A92384"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589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39DDACB" w14:textId="77777777" w:rsidR="00806997" w:rsidRPr="00286216" w:rsidRDefault="00806997" w:rsidP="00806997">
            <w:pPr>
              <w:spacing w:line="200" w:lineRule="exact"/>
              <w:ind w:firstLine="227"/>
              <w:jc w:val="both"/>
              <w:rPr>
                <w:color w:val="000000" w:themeColor="text1"/>
                <w:sz w:val="18"/>
              </w:rPr>
            </w:pPr>
            <w:r w:rsidRPr="00286216">
              <w:rPr>
                <w:color w:val="000000" w:themeColor="text1"/>
                <w:sz w:val="18"/>
              </w:rPr>
              <w:t>Назву статті 59 викласти в такій редакції:</w:t>
            </w:r>
          </w:p>
          <w:p w14:paraId="19DF8081" w14:textId="77777777" w:rsidR="00806997" w:rsidRPr="00286216" w:rsidRDefault="00806997" w:rsidP="00806997">
            <w:pPr>
              <w:spacing w:line="190" w:lineRule="exact"/>
              <w:ind w:firstLine="227"/>
              <w:jc w:val="both"/>
              <w:rPr>
                <w:color w:val="000000" w:themeColor="text1"/>
                <w:sz w:val="18"/>
              </w:rPr>
            </w:pPr>
            <w:r w:rsidRPr="00286216">
              <w:rPr>
                <w:color w:val="000000" w:themeColor="text1"/>
                <w:sz w:val="18"/>
              </w:rPr>
              <w:t>«Стаття 59. Порядок накладення арешту або встановлення іншого обмеження на право розпорядження  майновими правами у системі клірингового обліку».</w:t>
            </w:r>
          </w:p>
          <w:p w14:paraId="2E5197C7" w14:textId="472A99F2"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590</w:t>
            </w:r>
            <w:r w:rsidRPr="00286216">
              <w:rPr>
                <w:color w:val="000000" w:themeColor="text1"/>
              </w:rPr>
              <w:fldChar w:fldCharType="end"/>
            </w:r>
            <w:r w:rsidRPr="00286216">
              <w:rPr>
                <w:color w:val="000000" w:themeColor="text1"/>
              </w:rPr>
              <w:t>-Н.д.Шахов С.В. (Реєстр.картка №114)</w:t>
            </w:r>
          </w:p>
          <w:p w14:paraId="0B3868A4" w14:textId="77777777" w:rsidR="00806997" w:rsidRPr="00286216" w:rsidRDefault="00806997" w:rsidP="00806997">
            <w:pPr>
              <w:pStyle w:val="StyleProp"/>
              <w:spacing w:line="180" w:lineRule="exact"/>
              <w:rPr>
                <w:color w:val="000000" w:themeColor="text1"/>
              </w:rPr>
            </w:pPr>
            <w:r w:rsidRPr="00286216">
              <w:rPr>
                <w:color w:val="000000" w:themeColor="text1"/>
              </w:rPr>
              <w:t>У назві статті 59 слово "розрахунків" замінити словами "розрахунків/поставки".</w:t>
            </w:r>
          </w:p>
        </w:tc>
        <w:tc>
          <w:tcPr>
            <w:tcW w:w="1987" w:type="dxa"/>
          </w:tcPr>
          <w:p w14:paraId="0E1309AA" w14:textId="77777777" w:rsidR="00806997" w:rsidRPr="00286216" w:rsidRDefault="00806997" w:rsidP="00806997">
            <w:pPr>
              <w:pStyle w:val="StyleWisnow"/>
              <w:rPr>
                <w:color w:val="000000" w:themeColor="text1"/>
              </w:rPr>
            </w:pPr>
            <w:r w:rsidRPr="00286216">
              <w:rPr>
                <w:color w:val="000000" w:themeColor="text1"/>
              </w:rPr>
              <w:t>Враховано</w:t>
            </w:r>
          </w:p>
          <w:p w14:paraId="0B666713" w14:textId="77777777" w:rsidR="00806997" w:rsidRPr="00286216" w:rsidRDefault="00806997" w:rsidP="00806997">
            <w:pPr>
              <w:pStyle w:val="StyleWisnow"/>
              <w:rPr>
                <w:color w:val="000000" w:themeColor="text1"/>
              </w:rPr>
            </w:pPr>
          </w:p>
          <w:p w14:paraId="728CECBC" w14:textId="77777777" w:rsidR="00806997" w:rsidRPr="00286216" w:rsidRDefault="00806997" w:rsidP="00806997">
            <w:pPr>
              <w:pStyle w:val="StyleWisnow"/>
              <w:rPr>
                <w:color w:val="000000" w:themeColor="text1"/>
              </w:rPr>
            </w:pPr>
          </w:p>
          <w:p w14:paraId="2362E847" w14:textId="77777777" w:rsidR="00806997" w:rsidRPr="00286216" w:rsidRDefault="00806997" w:rsidP="00806997">
            <w:pPr>
              <w:pStyle w:val="StyleWisnow"/>
              <w:rPr>
                <w:color w:val="000000" w:themeColor="text1"/>
              </w:rPr>
            </w:pPr>
          </w:p>
          <w:p w14:paraId="2475A890" w14:textId="77777777" w:rsidR="00806997" w:rsidRPr="00286216" w:rsidRDefault="00806997" w:rsidP="00806997">
            <w:pPr>
              <w:pStyle w:val="StyleWisnow"/>
              <w:rPr>
                <w:color w:val="000000" w:themeColor="text1"/>
              </w:rPr>
            </w:pPr>
          </w:p>
          <w:p w14:paraId="645AD57D" w14:textId="77777777" w:rsidR="00806997" w:rsidRPr="00286216" w:rsidRDefault="00806997" w:rsidP="00806997">
            <w:pPr>
              <w:pStyle w:val="StyleWisnow"/>
              <w:rPr>
                <w:color w:val="000000" w:themeColor="text1"/>
              </w:rPr>
            </w:pPr>
            <w:r w:rsidRPr="00286216">
              <w:rPr>
                <w:color w:val="000000" w:themeColor="text1"/>
              </w:rPr>
              <w:t>Відхилено</w:t>
            </w:r>
          </w:p>
          <w:p w14:paraId="0BBD1918" w14:textId="77777777" w:rsidR="00806997" w:rsidRPr="00286216" w:rsidRDefault="00806997" w:rsidP="00806997">
            <w:pPr>
              <w:pStyle w:val="StyleWisnow"/>
              <w:spacing w:line="180" w:lineRule="exact"/>
              <w:rPr>
                <w:color w:val="000000" w:themeColor="text1"/>
                <w:spacing w:val="-2"/>
              </w:rPr>
            </w:pPr>
            <w:r w:rsidRPr="00286216">
              <w:rPr>
                <w:color w:val="000000" w:themeColor="text1"/>
                <w:spacing w:val="-2"/>
              </w:rPr>
              <w:t>фізична поставка не є кліринговою діяльністю</w:t>
            </w:r>
          </w:p>
        </w:tc>
        <w:tc>
          <w:tcPr>
            <w:tcW w:w="4818" w:type="dxa"/>
          </w:tcPr>
          <w:p w14:paraId="70786AC8" w14:textId="4AE96CAD" w:rsidR="00806997" w:rsidRPr="00286216" w:rsidRDefault="00806997" w:rsidP="00806997">
            <w:pPr>
              <w:pStyle w:val="StyleZakonu"/>
              <w:rPr>
                <w:color w:val="000000" w:themeColor="text1"/>
              </w:rPr>
            </w:pPr>
            <w:r w:rsidRPr="00286216">
              <w:rPr>
                <w:color w:val="000000" w:themeColor="text1"/>
              </w:rPr>
              <w:t>Стаття 64. Порядок накладення арешту або встановлення іншого обмеження на право розпорядження майновими правами у системі клірингового обліку</w:t>
            </w:r>
          </w:p>
        </w:tc>
      </w:tr>
      <w:tr w:rsidR="00806997" w:rsidRPr="00286216" w14:paraId="6D51866B" w14:textId="77777777" w:rsidTr="00091AA5">
        <w:tc>
          <w:tcPr>
            <w:tcW w:w="576" w:type="dxa"/>
          </w:tcPr>
          <w:p w14:paraId="259DB94A" w14:textId="77777777" w:rsidR="00806997" w:rsidRPr="00286216" w:rsidRDefault="00806997" w:rsidP="00806997">
            <w:pPr>
              <w:pStyle w:val="StyleWisnow"/>
              <w:rPr>
                <w:color w:val="000000" w:themeColor="text1"/>
              </w:rPr>
            </w:pPr>
            <w:bookmarkStart w:id="796" w:name="n1076" w:colFirst="0" w:colLast="0"/>
            <w:bookmarkEnd w:id="794"/>
            <w:r w:rsidRPr="00286216">
              <w:rPr>
                <w:color w:val="000000" w:themeColor="text1"/>
              </w:rPr>
              <w:t>1076.</w:t>
            </w:r>
          </w:p>
        </w:tc>
        <w:tc>
          <w:tcPr>
            <w:tcW w:w="4818" w:type="dxa"/>
          </w:tcPr>
          <w:p w14:paraId="2EDA0B46" w14:textId="77777777" w:rsidR="00806997" w:rsidRPr="00286216" w:rsidRDefault="00806997" w:rsidP="00806997">
            <w:pPr>
              <w:pStyle w:val="StyleZakonu"/>
              <w:rPr>
                <w:color w:val="000000" w:themeColor="text1"/>
              </w:rPr>
            </w:pPr>
            <w:r w:rsidRPr="00286216">
              <w:rPr>
                <w:color w:val="000000" w:themeColor="text1"/>
              </w:rPr>
              <w:t>1. Арешт або інше передбачене законом обмеження права розпорядження фізичними та юридичними особами коштами та іншими активами (деривативними контрактами, іншими фінансовими інструментами та активами, що допущені до торгів на організованому ринку), зарахованими у системі обліку відповідного активу на ім’я особи, що провадить клірингову діяльність,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зобов’язання за якими допущені до клірингу (далі - арешт на кошти особи) накладається (встановлюється) та скасовується (знімається) в порядку, встановленому цією статтею, на підставі судового рішення або акту уповноваженого законом державного органу чи його посадової особи (далі - відповідне рішення).</w:t>
            </w:r>
          </w:p>
        </w:tc>
        <w:tc>
          <w:tcPr>
            <w:tcW w:w="3686" w:type="dxa"/>
          </w:tcPr>
          <w:p w14:paraId="7DEF4987" w14:textId="3F439878" w:rsidR="00806997" w:rsidRPr="00286216" w:rsidRDefault="00806997" w:rsidP="00806997">
            <w:pPr>
              <w:spacing w:line="220" w:lineRule="exact"/>
              <w:rPr>
                <w:b/>
                <w:i/>
                <w:color w:val="000000" w:themeColor="text1"/>
                <w:spacing w:val="-4"/>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591</w:t>
            </w:r>
            <w:r w:rsidRPr="00286216">
              <w:rPr>
                <w:b/>
                <w:i/>
                <w:color w:val="000000" w:themeColor="text1"/>
                <w:sz w:val="18"/>
                <w:u w:val="single"/>
              </w:rPr>
              <w:fldChar w:fldCharType="end"/>
            </w:r>
            <w:r w:rsidRPr="00286216">
              <w:rPr>
                <w:b/>
                <w:i/>
                <w:color w:val="000000" w:themeColor="text1"/>
                <w:sz w:val="18"/>
                <w:u w:val="single"/>
              </w:rPr>
              <w:t>-</w:t>
            </w:r>
            <w:r w:rsidRPr="00286216">
              <w:rPr>
                <w:b/>
                <w:i/>
                <w:color w:val="000000" w:themeColor="text1"/>
                <w:spacing w:val="-4"/>
                <w:sz w:val="18"/>
                <w:u w:val="single"/>
              </w:rPr>
              <w:t>Н.д.Бєлькова О.В. (Реєстр.картка №403)</w:t>
            </w:r>
          </w:p>
          <w:p w14:paraId="5FE4BCB9" w14:textId="77777777" w:rsidR="00806997" w:rsidRPr="00286216" w:rsidRDefault="00806997" w:rsidP="00806997">
            <w:pPr>
              <w:pStyle w:val="StyleProp"/>
              <w:spacing w:line="190" w:lineRule="exact"/>
              <w:rPr>
                <w:color w:val="000000" w:themeColor="text1"/>
                <w:spacing w:val="-6"/>
              </w:rPr>
            </w:pPr>
            <w:r w:rsidRPr="00286216">
              <w:rPr>
                <w:color w:val="000000" w:themeColor="text1"/>
                <w:spacing w:val="-6"/>
              </w:rPr>
              <w:t>Частину 1 статті 59 викласти в такій редакції:</w:t>
            </w:r>
          </w:p>
          <w:p w14:paraId="6528E8A3" w14:textId="123E2FA5" w:rsidR="00806997" w:rsidRPr="00286216" w:rsidRDefault="00806997" w:rsidP="00806997">
            <w:pPr>
              <w:pStyle w:val="StyleProp"/>
              <w:spacing w:line="190" w:lineRule="exact"/>
              <w:rPr>
                <w:color w:val="000000" w:themeColor="text1"/>
                <w:spacing w:val="-6"/>
              </w:rPr>
            </w:pPr>
            <w:r w:rsidRPr="00286216">
              <w:rPr>
                <w:color w:val="000000" w:themeColor="text1"/>
                <w:spacing w:val="-2"/>
              </w:rPr>
              <w:t>"1. Арешт або інше передбачене законом обмеження права фізичних та юридичних осіб розпоряджатися майновими правами в системі клірингового обліку (далі – арешт на майнові права) накладається (встановлюється) та скасовується (знімається) в порядку, встановленому цією статтею, на підставі судового рішення або акту уповноваженого законом органу чи особи (далі – відповідне рішення)</w:t>
            </w:r>
            <w:r w:rsidRPr="00286216">
              <w:rPr>
                <w:color w:val="000000" w:themeColor="text1"/>
                <w:spacing w:val="-6"/>
              </w:rPr>
              <w:t>.</w:t>
            </w:r>
          </w:p>
          <w:p w14:paraId="4B4710DD" w14:textId="23EF2C71" w:rsidR="00806997" w:rsidRPr="00286216" w:rsidRDefault="00806997" w:rsidP="00806997">
            <w:pPr>
              <w:pStyle w:val="StyleProp"/>
              <w:spacing w:line="190" w:lineRule="exact"/>
              <w:rPr>
                <w:color w:val="000000" w:themeColor="text1"/>
              </w:rPr>
            </w:pPr>
            <w:r w:rsidRPr="00286216">
              <w:rPr>
                <w:color w:val="000000" w:themeColor="text1"/>
                <w:spacing w:val="-2"/>
              </w:rPr>
              <w:t>У разі накладення або зняття арешту на майнові права особи суд або уповноважений законом орган чи його посадова особа зобов’язані згідно з вимогами закону надіслати відповідне рішення особі, яка провадить клірингову діяльність».</w:t>
            </w:r>
          </w:p>
        </w:tc>
        <w:tc>
          <w:tcPr>
            <w:tcW w:w="1987" w:type="dxa"/>
          </w:tcPr>
          <w:p w14:paraId="381BB93D" w14:textId="744B6200" w:rsidR="00806997" w:rsidRPr="00286216" w:rsidRDefault="00806997" w:rsidP="00806997">
            <w:pPr>
              <w:pStyle w:val="StyleWisnow"/>
              <w:spacing w:line="160" w:lineRule="exact"/>
              <w:rPr>
                <w:color w:val="000000" w:themeColor="text1"/>
                <w:spacing w:val="-6"/>
              </w:rPr>
            </w:pPr>
            <w:r w:rsidRPr="00286216">
              <w:rPr>
                <w:color w:val="000000" w:themeColor="text1"/>
              </w:rPr>
              <w:t>Враховано</w:t>
            </w:r>
          </w:p>
        </w:tc>
        <w:tc>
          <w:tcPr>
            <w:tcW w:w="4818" w:type="dxa"/>
          </w:tcPr>
          <w:p w14:paraId="4208F952" w14:textId="731611F2" w:rsidR="00806997" w:rsidRPr="00286216" w:rsidRDefault="00806997" w:rsidP="00806997">
            <w:pPr>
              <w:pStyle w:val="StyleZakonu"/>
              <w:rPr>
                <w:color w:val="000000" w:themeColor="text1"/>
              </w:rPr>
            </w:pPr>
            <w:r w:rsidRPr="00286216">
              <w:rPr>
                <w:color w:val="000000" w:themeColor="text1"/>
              </w:rPr>
              <w:t>1. Арешт або інше передбачене законом обмеження права фізичних та юридичних осіб розпорядження майновими правами в системі клірингового обліку (далі – арешт на майнові права) накладається (встановлюється) та скасовується (знімається) в порядку, встановленому цією статтею, на підставі судового рішення або акта уповноваженого законом органу чи особи (далі – відповідне рішення).</w:t>
            </w:r>
          </w:p>
        </w:tc>
      </w:tr>
      <w:tr w:rsidR="00806997" w:rsidRPr="00286216" w14:paraId="71B341BF" w14:textId="77777777" w:rsidTr="00091AA5">
        <w:tc>
          <w:tcPr>
            <w:tcW w:w="576" w:type="dxa"/>
          </w:tcPr>
          <w:p w14:paraId="6B9EA995" w14:textId="77777777" w:rsidR="00806997" w:rsidRPr="00286216" w:rsidRDefault="00806997" w:rsidP="00806997">
            <w:pPr>
              <w:pStyle w:val="StyleWisnow"/>
              <w:rPr>
                <w:color w:val="000000" w:themeColor="text1"/>
              </w:rPr>
            </w:pPr>
            <w:bookmarkStart w:id="797" w:name="n1077" w:colFirst="0" w:colLast="0"/>
            <w:bookmarkEnd w:id="796"/>
            <w:r w:rsidRPr="00286216">
              <w:rPr>
                <w:color w:val="000000" w:themeColor="text1"/>
              </w:rPr>
              <w:lastRenderedPageBreak/>
              <w:t>1077.</w:t>
            </w:r>
          </w:p>
        </w:tc>
        <w:tc>
          <w:tcPr>
            <w:tcW w:w="4818" w:type="dxa"/>
          </w:tcPr>
          <w:p w14:paraId="40DCBCEE" w14:textId="77777777" w:rsidR="00806997" w:rsidRPr="00286216" w:rsidRDefault="00806997" w:rsidP="00806997">
            <w:pPr>
              <w:pStyle w:val="StyleZakonu"/>
              <w:rPr>
                <w:color w:val="000000" w:themeColor="text1"/>
              </w:rPr>
            </w:pPr>
            <w:r w:rsidRPr="00286216">
              <w:rPr>
                <w:color w:val="000000" w:themeColor="text1"/>
              </w:rPr>
              <w:t>У разі накладення або зняття арешту на кошти особи суд або уповноважений законом державний орган чи його посадова особа зобов’язані подати відповідне рішення особі, що провадить клірингову діяльність.</w:t>
            </w:r>
          </w:p>
        </w:tc>
        <w:tc>
          <w:tcPr>
            <w:tcW w:w="3686" w:type="dxa"/>
          </w:tcPr>
          <w:p w14:paraId="4DE051A1" w14:textId="03561738"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592</w:t>
            </w:r>
            <w:r w:rsidRPr="00286216">
              <w:rPr>
                <w:color w:val="000000" w:themeColor="text1"/>
              </w:rPr>
              <w:fldChar w:fldCharType="end"/>
            </w:r>
            <w:r w:rsidRPr="00286216">
              <w:rPr>
                <w:color w:val="000000" w:themeColor="text1"/>
              </w:rPr>
              <w:t>-Н.д.Шахов С.В. (Реєстр.картка №114)</w:t>
            </w:r>
          </w:p>
          <w:p w14:paraId="6F48BD6A" w14:textId="31A8684D" w:rsidR="00806997" w:rsidRPr="00286216" w:rsidRDefault="00806997" w:rsidP="00806997">
            <w:pPr>
              <w:pStyle w:val="StyleProp"/>
              <w:rPr>
                <w:color w:val="000000" w:themeColor="text1"/>
                <w:szCs w:val="18"/>
              </w:rPr>
            </w:pPr>
            <w:r w:rsidRPr="00286216">
              <w:rPr>
                <w:color w:val="000000" w:themeColor="text1"/>
              </w:rPr>
              <w:t>У частині 1 статті 59 слово розрахунків замінити словами "розрахунків/поставки".</w:t>
            </w:r>
          </w:p>
        </w:tc>
        <w:tc>
          <w:tcPr>
            <w:tcW w:w="1987" w:type="dxa"/>
          </w:tcPr>
          <w:p w14:paraId="2C1B8D55" w14:textId="77777777" w:rsidR="00806997" w:rsidRPr="00286216" w:rsidRDefault="00806997" w:rsidP="00806997">
            <w:pPr>
              <w:pStyle w:val="StyleWisnow"/>
              <w:rPr>
                <w:color w:val="000000" w:themeColor="text1"/>
              </w:rPr>
            </w:pPr>
            <w:r w:rsidRPr="00286216">
              <w:rPr>
                <w:color w:val="000000" w:themeColor="text1"/>
              </w:rPr>
              <w:t>Відхилено</w:t>
            </w:r>
          </w:p>
          <w:p w14:paraId="54978C3C" w14:textId="3809BBCA" w:rsidR="00806997" w:rsidRPr="00286216" w:rsidRDefault="00806997" w:rsidP="00806997">
            <w:pPr>
              <w:pStyle w:val="StyleWisnow"/>
              <w:rPr>
                <w:color w:val="000000" w:themeColor="text1"/>
              </w:rPr>
            </w:pPr>
            <w:r w:rsidRPr="00286216">
              <w:rPr>
                <w:color w:val="000000" w:themeColor="text1"/>
                <w:spacing w:val="-2"/>
              </w:rPr>
              <w:t>фізична поставка не є кліринговою діяльністю</w:t>
            </w:r>
          </w:p>
        </w:tc>
        <w:tc>
          <w:tcPr>
            <w:tcW w:w="4818" w:type="dxa"/>
          </w:tcPr>
          <w:p w14:paraId="54EBB608" w14:textId="1DA54F0D" w:rsidR="00806997" w:rsidRPr="00286216" w:rsidRDefault="00806997" w:rsidP="00806997">
            <w:pPr>
              <w:pStyle w:val="StyleZakonu"/>
              <w:rPr>
                <w:color w:val="000000" w:themeColor="text1"/>
              </w:rPr>
            </w:pPr>
            <w:r w:rsidRPr="00286216">
              <w:rPr>
                <w:color w:val="000000" w:themeColor="text1"/>
              </w:rPr>
              <w:t>У разі накладення або зняття арешту на майнові права</w:t>
            </w:r>
            <w:r w:rsidRPr="00286216" w:rsidDel="00FF2F6F">
              <w:rPr>
                <w:color w:val="000000" w:themeColor="text1"/>
              </w:rPr>
              <w:t xml:space="preserve"> </w:t>
            </w:r>
            <w:r w:rsidRPr="00286216">
              <w:rPr>
                <w:color w:val="000000" w:themeColor="text1"/>
              </w:rPr>
              <w:t>особи суд або уповноважений законом орган чи його посадова особа зобов’язані згідно з вимогами закону надіслати відповідне рішення особі, яка провадить клірингову діяльність.</w:t>
            </w:r>
          </w:p>
        </w:tc>
      </w:tr>
      <w:tr w:rsidR="00806997" w:rsidRPr="00286216" w14:paraId="3A864260" w14:textId="77777777" w:rsidTr="00091AA5">
        <w:tc>
          <w:tcPr>
            <w:tcW w:w="576" w:type="dxa"/>
          </w:tcPr>
          <w:p w14:paraId="04EE2B5C" w14:textId="77777777" w:rsidR="00806997" w:rsidRPr="00286216" w:rsidRDefault="00806997" w:rsidP="00806997">
            <w:pPr>
              <w:pStyle w:val="StyleWisnow"/>
              <w:rPr>
                <w:color w:val="000000" w:themeColor="text1"/>
              </w:rPr>
            </w:pPr>
            <w:bookmarkStart w:id="798" w:name="n1078" w:colFirst="0" w:colLast="0"/>
            <w:bookmarkEnd w:id="797"/>
            <w:r w:rsidRPr="00286216">
              <w:rPr>
                <w:color w:val="000000" w:themeColor="text1"/>
              </w:rPr>
              <w:t>1078.</w:t>
            </w:r>
          </w:p>
        </w:tc>
        <w:tc>
          <w:tcPr>
            <w:tcW w:w="4818" w:type="dxa"/>
          </w:tcPr>
          <w:p w14:paraId="40021C59" w14:textId="77777777" w:rsidR="00806997" w:rsidRPr="00286216" w:rsidRDefault="00806997" w:rsidP="00806997">
            <w:pPr>
              <w:pStyle w:val="StyleZakonu"/>
              <w:rPr>
                <w:color w:val="000000" w:themeColor="text1"/>
              </w:rPr>
            </w:pPr>
            <w:r w:rsidRPr="00286216">
              <w:rPr>
                <w:color w:val="000000" w:themeColor="text1"/>
              </w:rPr>
              <w:t>2. Особа, що провадить клірингову діяльність, вносить зміни до системи клірингового обліку щодо накладення арешту на кошти особи до завершення робочого дня, коли отримано відповідне рішення, крім випадків, встановлених цією статтею.</w:t>
            </w:r>
          </w:p>
        </w:tc>
        <w:tc>
          <w:tcPr>
            <w:tcW w:w="3686" w:type="dxa"/>
          </w:tcPr>
          <w:p w14:paraId="2C065774" w14:textId="66CD76BF"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A55BDCF" w14:textId="69A7A21F" w:rsidR="00806997" w:rsidRPr="00286216" w:rsidRDefault="00806997" w:rsidP="00806997">
            <w:pPr>
              <w:spacing w:line="180" w:lineRule="exact"/>
              <w:ind w:firstLine="227"/>
              <w:jc w:val="both"/>
              <w:rPr>
                <w:color w:val="000000" w:themeColor="text1"/>
                <w:sz w:val="18"/>
              </w:rPr>
            </w:pPr>
            <w:r w:rsidRPr="00286216">
              <w:rPr>
                <w:color w:val="000000" w:themeColor="text1"/>
                <w:sz w:val="18"/>
              </w:rPr>
              <w:t>У частині 2 статті 59 слова «на кошти" замінити словами "«на майнові права».</w:t>
            </w:r>
          </w:p>
        </w:tc>
        <w:tc>
          <w:tcPr>
            <w:tcW w:w="1987" w:type="dxa"/>
          </w:tcPr>
          <w:p w14:paraId="165F5850"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62CBABAF" w14:textId="60569D9E" w:rsidR="00806997" w:rsidRPr="00286216" w:rsidRDefault="00806997" w:rsidP="00806997">
            <w:pPr>
              <w:pStyle w:val="StyleZakonu"/>
              <w:rPr>
                <w:color w:val="000000" w:themeColor="text1"/>
              </w:rPr>
            </w:pPr>
            <w:r w:rsidRPr="00286216">
              <w:rPr>
                <w:color w:val="000000" w:themeColor="text1"/>
              </w:rPr>
              <w:t>2. Особа, яка провадить клірингову діяльність, вносить зміни до системи клірингового обліку щодо накладення арешту на майнові права особи до завершення робочого дня, коли отримано відповідне рішення, крім випадків, встановлених цією статтею.</w:t>
            </w:r>
          </w:p>
        </w:tc>
      </w:tr>
      <w:tr w:rsidR="00806997" w:rsidRPr="00286216" w14:paraId="533D28CA" w14:textId="77777777" w:rsidTr="00091AA5">
        <w:tc>
          <w:tcPr>
            <w:tcW w:w="576" w:type="dxa"/>
          </w:tcPr>
          <w:p w14:paraId="4BAD22A2" w14:textId="77777777" w:rsidR="00806997" w:rsidRPr="00286216" w:rsidRDefault="00806997" w:rsidP="00806997">
            <w:pPr>
              <w:pStyle w:val="StyleWisnow"/>
              <w:rPr>
                <w:color w:val="000000" w:themeColor="text1"/>
              </w:rPr>
            </w:pPr>
            <w:bookmarkStart w:id="799" w:name="n1079" w:colFirst="0" w:colLast="0"/>
            <w:bookmarkEnd w:id="798"/>
            <w:r w:rsidRPr="00286216">
              <w:rPr>
                <w:color w:val="000000" w:themeColor="text1"/>
              </w:rPr>
              <w:t>1079.</w:t>
            </w:r>
          </w:p>
        </w:tc>
        <w:tc>
          <w:tcPr>
            <w:tcW w:w="4818" w:type="dxa"/>
          </w:tcPr>
          <w:p w14:paraId="4C167ED0" w14:textId="77777777" w:rsidR="00806997" w:rsidRPr="00286216" w:rsidRDefault="00806997" w:rsidP="00806997">
            <w:pPr>
              <w:pStyle w:val="StyleZakonu"/>
              <w:rPr>
                <w:color w:val="000000" w:themeColor="text1"/>
              </w:rPr>
            </w:pPr>
            <w:r w:rsidRPr="00286216">
              <w:rPr>
                <w:color w:val="000000" w:themeColor="text1"/>
              </w:rPr>
              <w:t>3. У разі наявності обмеження прав розпорядження коштами, встановленого за розпорядженням особи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особа, що провадить клірингову діяльність, відкладає внесення змін до системи клірингового обліку щодо арешту на кошти особи до наступного робочого дня.</w:t>
            </w:r>
          </w:p>
        </w:tc>
        <w:tc>
          <w:tcPr>
            <w:tcW w:w="3686" w:type="dxa"/>
          </w:tcPr>
          <w:p w14:paraId="160BC2DD" w14:textId="17A24329" w:rsidR="00806997" w:rsidRPr="00286216" w:rsidRDefault="00806997" w:rsidP="0080699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594</w:t>
            </w:r>
            <w:r w:rsidRPr="00286216">
              <w:rPr>
                <w:color w:val="000000" w:themeColor="text1"/>
              </w:rPr>
              <w:fldChar w:fldCharType="end"/>
            </w:r>
            <w:r w:rsidRPr="00286216">
              <w:rPr>
                <w:color w:val="000000" w:themeColor="text1"/>
              </w:rPr>
              <w:t>-Н.д.Шахов С.В. (Реєстр.картка №114)</w:t>
            </w:r>
          </w:p>
          <w:p w14:paraId="03C02437" w14:textId="5B4DCFAE" w:rsidR="00806997" w:rsidRPr="00286216" w:rsidRDefault="00806997" w:rsidP="00806997">
            <w:pPr>
              <w:pStyle w:val="StyleProp"/>
              <w:spacing w:line="180" w:lineRule="exact"/>
              <w:rPr>
                <w:color w:val="000000" w:themeColor="text1"/>
              </w:rPr>
            </w:pPr>
            <w:r w:rsidRPr="00286216">
              <w:rPr>
                <w:color w:val="000000" w:themeColor="text1"/>
                <w:spacing w:val="-2"/>
              </w:rPr>
              <w:t>У частині 3 статті 59 слово розрахунків замінити словами "розрахунків/поставки".</w:t>
            </w:r>
          </w:p>
          <w:p w14:paraId="7D39F57E" w14:textId="15C40B76"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690449E" w14:textId="4BCFC580" w:rsidR="00806997" w:rsidRPr="00286216" w:rsidRDefault="00806997" w:rsidP="00806997">
            <w:pPr>
              <w:pStyle w:val="StyleProp"/>
              <w:rPr>
                <w:color w:val="000000" w:themeColor="text1"/>
                <w:szCs w:val="18"/>
              </w:rPr>
            </w:pPr>
            <w:r w:rsidRPr="00286216">
              <w:rPr>
                <w:color w:val="000000" w:themeColor="text1"/>
                <w:szCs w:val="18"/>
              </w:rPr>
              <w:t>Частину 3 статті 59 викласти у такій редакції:</w:t>
            </w:r>
          </w:p>
          <w:p w14:paraId="338BE6B9" w14:textId="289722A0" w:rsidR="00806997" w:rsidRPr="00286216" w:rsidRDefault="00806997" w:rsidP="00806997">
            <w:pPr>
              <w:pStyle w:val="StyleProp"/>
              <w:rPr>
                <w:color w:val="000000" w:themeColor="text1"/>
              </w:rPr>
            </w:pPr>
            <w:r w:rsidRPr="00286216">
              <w:rPr>
                <w:color w:val="000000" w:themeColor="text1"/>
              </w:rPr>
              <w:t>"3. У разі наявності обмеження прав розпорядження  майновими правами в системі клірингового обліку, встановленого за розпорядженням особи для здійснення/забезпечення розрахунків за деривативними контрактами, правочинами щодо фінансових інструментів, щодо валютних цінностей та товарними операціями, укладеними на організованому ринку та поза ним,, особа, яка провадить клірингову діяльність, відкладає внесення змін до системи клірингового обліку щодо арешту на майнові права особи до наступного робочого дня".</w:t>
            </w:r>
          </w:p>
        </w:tc>
        <w:tc>
          <w:tcPr>
            <w:tcW w:w="1987" w:type="dxa"/>
          </w:tcPr>
          <w:p w14:paraId="191F1C1A" w14:textId="77777777" w:rsidR="00806997" w:rsidRPr="00286216" w:rsidRDefault="00806997" w:rsidP="00806997">
            <w:pPr>
              <w:pStyle w:val="StyleWisnow"/>
              <w:rPr>
                <w:color w:val="000000" w:themeColor="text1"/>
              </w:rPr>
            </w:pPr>
            <w:r w:rsidRPr="00286216">
              <w:rPr>
                <w:color w:val="000000" w:themeColor="text1"/>
              </w:rPr>
              <w:t>Відхилено</w:t>
            </w:r>
          </w:p>
          <w:p w14:paraId="5985E391" w14:textId="77777777" w:rsidR="00806997" w:rsidRPr="00286216" w:rsidRDefault="00806997" w:rsidP="00806997">
            <w:pPr>
              <w:pStyle w:val="StyleWisnow"/>
              <w:spacing w:line="180" w:lineRule="exact"/>
              <w:rPr>
                <w:color w:val="000000" w:themeColor="text1"/>
              </w:rPr>
            </w:pPr>
            <w:r w:rsidRPr="00286216">
              <w:rPr>
                <w:color w:val="000000" w:themeColor="text1"/>
                <w:spacing w:val="-2"/>
              </w:rPr>
              <w:t>фізична поставка не є кліринговою діяльністю</w:t>
            </w:r>
          </w:p>
          <w:p w14:paraId="00780E84" w14:textId="77777777" w:rsidR="00806997" w:rsidRPr="00286216" w:rsidRDefault="00806997" w:rsidP="00806997">
            <w:pPr>
              <w:pStyle w:val="StyleWisnow"/>
              <w:rPr>
                <w:color w:val="000000" w:themeColor="text1"/>
              </w:rPr>
            </w:pPr>
          </w:p>
          <w:p w14:paraId="18D19374"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3B129725" w14:textId="2062B6E4" w:rsidR="00806997" w:rsidRPr="00286216" w:rsidRDefault="00806997" w:rsidP="00806997">
            <w:pPr>
              <w:pStyle w:val="StyleZakonu"/>
              <w:rPr>
                <w:color w:val="000000" w:themeColor="text1"/>
              </w:rPr>
            </w:pPr>
            <w:r w:rsidRPr="00286216">
              <w:rPr>
                <w:color w:val="000000" w:themeColor="text1"/>
              </w:rPr>
              <w:t>3. У разі наявності обмеження прав розпорядження  майновими правами особи в системі клірингового обліку, встановленого за розпорядженням такої особи для здійснення/забезпечення розрахунків за деривативними контрактами, правочинами щодо фінансових інструментів, валютних цінностей та товарними операціями, укладеними на організованому ринку та поза ним, особа, яка провадить клірингову діяльність, відкладає внесення змін до системи клірингового обліку щодо арешту на такі майнові права особи до наступного робочого дня.</w:t>
            </w:r>
          </w:p>
        </w:tc>
      </w:tr>
      <w:tr w:rsidR="00806997" w:rsidRPr="00286216" w14:paraId="5E30DF36" w14:textId="77777777" w:rsidTr="00091AA5">
        <w:tc>
          <w:tcPr>
            <w:tcW w:w="576" w:type="dxa"/>
          </w:tcPr>
          <w:p w14:paraId="6C52B455" w14:textId="77777777" w:rsidR="00806997" w:rsidRPr="00286216" w:rsidRDefault="00806997" w:rsidP="00806997">
            <w:pPr>
              <w:pStyle w:val="StyleWisnow"/>
              <w:rPr>
                <w:color w:val="000000" w:themeColor="text1"/>
              </w:rPr>
            </w:pPr>
            <w:bookmarkStart w:id="800" w:name="n1080" w:colFirst="0" w:colLast="0"/>
            <w:bookmarkEnd w:id="799"/>
            <w:r w:rsidRPr="00286216">
              <w:rPr>
                <w:color w:val="000000" w:themeColor="text1"/>
              </w:rPr>
              <w:t>1080.</w:t>
            </w:r>
          </w:p>
        </w:tc>
        <w:tc>
          <w:tcPr>
            <w:tcW w:w="4818" w:type="dxa"/>
          </w:tcPr>
          <w:p w14:paraId="3BDD10BF" w14:textId="77777777" w:rsidR="00806997" w:rsidRPr="00286216" w:rsidRDefault="00806997" w:rsidP="00806997">
            <w:pPr>
              <w:pStyle w:val="StyleZakonu"/>
              <w:rPr>
                <w:color w:val="000000" w:themeColor="text1"/>
              </w:rPr>
            </w:pPr>
            <w:r w:rsidRPr="00286216">
              <w:rPr>
                <w:color w:val="000000" w:themeColor="text1"/>
              </w:rPr>
              <w:t>4. Наступного робочого дня особа, що провадить клірингову діяльність, на підставі отриманої від торгового репозиторію, оператора організованого ринку або Центрального депозитарію цінних паперів чи Національного банку України інформації про укладені особою, на кошти якої накладається арешт, деривативні контракти та/або вчинені нею правочини щодо фінансових інструментів та/або правочини щодо активів, що допущені до торгів на організованому ринку:</w:t>
            </w:r>
          </w:p>
        </w:tc>
        <w:tc>
          <w:tcPr>
            <w:tcW w:w="3686" w:type="dxa"/>
          </w:tcPr>
          <w:p w14:paraId="2AD85092" w14:textId="7F650284"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11AB604" w14:textId="41FAA9C2" w:rsidR="00806997" w:rsidRPr="00286216" w:rsidRDefault="00806997" w:rsidP="00806997">
            <w:pPr>
              <w:pStyle w:val="StyleProp"/>
              <w:rPr>
                <w:color w:val="000000" w:themeColor="text1"/>
              </w:rPr>
            </w:pPr>
            <w:r w:rsidRPr="00286216">
              <w:rPr>
                <w:color w:val="000000" w:themeColor="text1"/>
              </w:rPr>
              <w:t>Частину 4 статті 59 викласти у такій редакції:</w:t>
            </w:r>
          </w:p>
          <w:p w14:paraId="4797BB11" w14:textId="077ABDF8" w:rsidR="00806997" w:rsidRPr="00286216" w:rsidRDefault="00806997" w:rsidP="00806997">
            <w:pPr>
              <w:pStyle w:val="StyleProp"/>
              <w:rPr>
                <w:color w:val="000000" w:themeColor="text1"/>
                <w:szCs w:val="18"/>
              </w:rPr>
            </w:pPr>
            <w:r w:rsidRPr="00286216">
              <w:rPr>
                <w:color w:val="000000" w:themeColor="text1"/>
                <w:szCs w:val="18"/>
              </w:rPr>
              <w:t>"4. Наступного робочого дня особа, яка провадить клірингову діяльність, після завершення всіх розрахунків або припинення зобов’язань за деривативними контрактами, правочинами щодо фінансових інструментів, валютних цінностей та товарними операціями, які були укладені особою, на майнові права якої накладається арешт, на організованому ринку та поза ним, до завершення того робочого дня, коли особою, яка провадить клірингову діяльність, було отримано рішення, передбачене частиною першою цієї статті:</w:t>
            </w:r>
          </w:p>
        </w:tc>
        <w:tc>
          <w:tcPr>
            <w:tcW w:w="1987" w:type="dxa"/>
          </w:tcPr>
          <w:p w14:paraId="22F066B3"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BA0AD9A" w14:textId="07EC4E45" w:rsidR="00806997" w:rsidRPr="00286216" w:rsidRDefault="00806997" w:rsidP="00806997">
            <w:pPr>
              <w:pStyle w:val="StyleZakonu"/>
              <w:rPr>
                <w:color w:val="000000" w:themeColor="text1"/>
              </w:rPr>
            </w:pPr>
            <w:r w:rsidRPr="00286216">
              <w:rPr>
                <w:color w:val="000000" w:themeColor="text1"/>
                <w:szCs w:val="18"/>
              </w:rPr>
              <w:t>4. Наступного робочого дня особа, яка провадить клірингову діяльність, після завершення всіх розрахунків або припинення зобов’язань за деривативними контрактами, правочинами щодо фінансових інструментів, валютних цінностей та товарними операціями, які були укладені особою, на майнові права якої накладається арешт, на організованому ринку та поза ним, до завершення того робочого дня, коли особою, яка провадить клірингову діяльність, було отримано рішення, передбачене частиною першою цієї статті:</w:t>
            </w:r>
          </w:p>
        </w:tc>
      </w:tr>
      <w:tr w:rsidR="00806997" w:rsidRPr="00286216" w14:paraId="65A02106" w14:textId="77777777" w:rsidTr="00091AA5">
        <w:tc>
          <w:tcPr>
            <w:tcW w:w="576" w:type="dxa"/>
          </w:tcPr>
          <w:p w14:paraId="13EFF49C" w14:textId="77777777" w:rsidR="00806997" w:rsidRPr="00286216" w:rsidRDefault="00806997" w:rsidP="00806997">
            <w:pPr>
              <w:pStyle w:val="StyleWisnow"/>
              <w:rPr>
                <w:color w:val="000000" w:themeColor="text1"/>
              </w:rPr>
            </w:pPr>
            <w:bookmarkStart w:id="801" w:name="n1081" w:colFirst="0" w:colLast="0"/>
            <w:bookmarkEnd w:id="800"/>
            <w:r w:rsidRPr="00286216">
              <w:rPr>
                <w:color w:val="000000" w:themeColor="text1"/>
              </w:rPr>
              <w:t>1081.</w:t>
            </w:r>
          </w:p>
        </w:tc>
        <w:tc>
          <w:tcPr>
            <w:tcW w:w="4818" w:type="dxa"/>
          </w:tcPr>
          <w:p w14:paraId="7787BDEA" w14:textId="77777777" w:rsidR="00806997" w:rsidRPr="00286216" w:rsidRDefault="00806997" w:rsidP="00806997">
            <w:pPr>
              <w:pStyle w:val="StyleZakonu"/>
              <w:rPr>
                <w:color w:val="000000" w:themeColor="text1"/>
              </w:rPr>
            </w:pPr>
            <w:r w:rsidRPr="00286216">
              <w:rPr>
                <w:color w:val="000000" w:themeColor="text1"/>
              </w:rPr>
              <w:t xml:space="preserve">у разі відсутності в отриманій інформації відомостей про укладені деривативні контракти та/або </w:t>
            </w:r>
            <w:r w:rsidRPr="00286216">
              <w:rPr>
                <w:color w:val="000000" w:themeColor="text1"/>
              </w:rPr>
              <w:lastRenderedPageBreak/>
              <w:t>вчиненні правочини щодо фінансових інструментів та/або правочини щодо активів, що допущені до торгів на організованому ринку - встановлює арешт на кошти особи;</w:t>
            </w:r>
          </w:p>
        </w:tc>
        <w:tc>
          <w:tcPr>
            <w:tcW w:w="3686" w:type="dxa"/>
          </w:tcPr>
          <w:p w14:paraId="2D8DB185" w14:textId="4C21FC2F" w:rsidR="00806997" w:rsidRPr="00286216" w:rsidRDefault="00806997" w:rsidP="00806997">
            <w:pPr>
              <w:pStyle w:val="StyleProp"/>
              <w:rPr>
                <w:color w:val="000000" w:themeColor="text1"/>
                <w:szCs w:val="18"/>
              </w:rPr>
            </w:pPr>
            <w:r w:rsidRPr="00286216">
              <w:rPr>
                <w:color w:val="000000" w:themeColor="text1"/>
                <w:szCs w:val="18"/>
              </w:rPr>
              <w:lastRenderedPageBreak/>
              <w:t xml:space="preserve">вносить змін до системи клірингового обліку щодо арешту на майнові права цієї </w:t>
            </w:r>
            <w:r w:rsidRPr="00286216">
              <w:rPr>
                <w:color w:val="000000" w:themeColor="text1"/>
                <w:szCs w:val="18"/>
              </w:rPr>
              <w:lastRenderedPageBreak/>
              <w:t>особи в межах залишку майнових прав, щодо яких в системі клірингового обліку відсутні обмеження, встановлені для здійснення/забезпечення розрахунків за деривативними контрактами, правочинами щодо фінансових інструментів, щодо валютних цінностей та товарними операціями, укладеними цією особою на організованому ринку та поза ним;</w:t>
            </w:r>
          </w:p>
        </w:tc>
        <w:tc>
          <w:tcPr>
            <w:tcW w:w="1987" w:type="dxa"/>
          </w:tcPr>
          <w:p w14:paraId="2FE00A5E" w14:textId="77777777" w:rsidR="00806997" w:rsidRPr="00286216" w:rsidRDefault="00806997" w:rsidP="00806997">
            <w:pPr>
              <w:pStyle w:val="StyleWisnow"/>
              <w:rPr>
                <w:color w:val="000000" w:themeColor="text1"/>
              </w:rPr>
            </w:pPr>
          </w:p>
        </w:tc>
        <w:tc>
          <w:tcPr>
            <w:tcW w:w="4818" w:type="dxa"/>
          </w:tcPr>
          <w:p w14:paraId="40FA83D4" w14:textId="3F4678B8" w:rsidR="00806997" w:rsidRPr="00286216" w:rsidRDefault="00806997" w:rsidP="00806997">
            <w:pPr>
              <w:pStyle w:val="StyleZakonu"/>
              <w:rPr>
                <w:color w:val="000000" w:themeColor="text1"/>
              </w:rPr>
            </w:pPr>
            <w:r w:rsidRPr="00286216">
              <w:rPr>
                <w:color w:val="000000" w:themeColor="text1"/>
                <w:szCs w:val="18"/>
              </w:rPr>
              <w:t xml:space="preserve">1) вносить змін до системи клірингового обліку щодо арешту на майнові права цієї особи в межах </w:t>
            </w:r>
            <w:r w:rsidRPr="00286216">
              <w:rPr>
                <w:color w:val="000000" w:themeColor="text1"/>
                <w:szCs w:val="18"/>
              </w:rPr>
              <w:lastRenderedPageBreak/>
              <w:t>залишку майнових прав, щодо яких у системі клірингового обліку відсутні обмеження, встановлені для здійснення/забезпечення розрахунків за деривативними контрактами, правочинами щодо фінансових інструментів, щодо валютних цінностей та товарними операціями, укладеними цією особою на організованому ринку та поза ним; або</w:t>
            </w:r>
          </w:p>
        </w:tc>
      </w:tr>
      <w:tr w:rsidR="00806997" w:rsidRPr="00286216" w14:paraId="1A788FB2" w14:textId="77777777" w:rsidTr="00091AA5">
        <w:tc>
          <w:tcPr>
            <w:tcW w:w="576" w:type="dxa"/>
          </w:tcPr>
          <w:p w14:paraId="4B1FC82F" w14:textId="77777777" w:rsidR="00806997" w:rsidRPr="00286216" w:rsidRDefault="00806997" w:rsidP="00806997">
            <w:pPr>
              <w:pStyle w:val="StyleWisnow"/>
              <w:rPr>
                <w:color w:val="000000" w:themeColor="text1"/>
              </w:rPr>
            </w:pPr>
            <w:bookmarkStart w:id="802" w:name="n1082" w:colFirst="0" w:colLast="0"/>
            <w:bookmarkEnd w:id="801"/>
            <w:r w:rsidRPr="00286216">
              <w:rPr>
                <w:color w:val="000000" w:themeColor="text1"/>
              </w:rPr>
              <w:lastRenderedPageBreak/>
              <w:t>1082.</w:t>
            </w:r>
          </w:p>
        </w:tc>
        <w:tc>
          <w:tcPr>
            <w:tcW w:w="4818" w:type="dxa"/>
          </w:tcPr>
          <w:p w14:paraId="1D4F8739" w14:textId="77777777" w:rsidR="00806997" w:rsidRPr="00286216" w:rsidRDefault="00806997" w:rsidP="00806997">
            <w:pPr>
              <w:pStyle w:val="StyleZakonu"/>
              <w:rPr>
                <w:color w:val="000000" w:themeColor="text1"/>
              </w:rPr>
            </w:pPr>
            <w:r w:rsidRPr="00286216">
              <w:rPr>
                <w:color w:val="000000" w:themeColor="text1"/>
              </w:rPr>
              <w:t>у разі наявності в отриманій інформації відомостей про укладені деривативні контракти та/або вчиненні правочини щодо фінансових інструментів та/або правочини щодо активів, що допущені до торгів на організованому ринку - встановлює арешт на кошти особи, які залишились в системі клірингового обліку після проведення клірингу за такими контрактами (правочинами);</w:t>
            </w:r>
          </w:p>
        </w:tc>
        <w:tc>
          <w:tcPr>
            <w:tcW w:w="3686" w:type="dxa"/>
          </w:tcPr>
          <w:p w14:paraId="0F034883" w14:textId="42F84D7A" w:rsidR="00806997" w:rsidRPr="00286216" w:rsidRDefault="00806997" w:rsidP="00806997">
            <w:pPr>
              <w:pStyle w:val="StyleProp"/>
              <w:rPr>
                <w:color w:val="000000" w:themeColor="text1"/>
                <w:szCs w:val="18"/>
              </w:rPr>
            </w:pPr>
            <w:r w:rsidRPr="00286216">
              <w:rPr>
                <w:color w:val="000000" w:themeColor="text1"/>
                <w:szCs w:val="18"/>
              </w:rPr>
              <w:t>або залишає без виконання відповідне судове рішення або відповідне рішення уповноваженого законом державного органу влади чи його посадової особи про накладення арешту на майнові права особи, у разі якщо такий залишок майнових прав дорівнює нулю.</w:t>
            </w:r>
          </w:p>
        </w:tc>
        <w:tc>
          <w:tcPr>
            <w:tcW w:w="1987" w:type="dxa"/>
          </w:tcPr>
          <w:p w14:paraId="0C0182EA" w14:textId="77777777" w:rsidR="00806997" w:rsidRPr="00286216" w:rsidRDefault="00806997" w:rsidP="00806997">
            <w:pPr>
              <w:pStyle w:val="StyleWisnow"/>
              <w:rPr>
                <w:color w:val="000000" w:themeColor="text1"/>
              </w:rPr>
            </w:pPr>
          </w:p>
        </w:tc>
        <w:tc>
          <w:tcPr>
            <w:tcW w:w="4818" w:type="dxa"/>
          </w:tcPr>
          <w:p w14:paraId="3107FCC3" w14:textId="34BC4B67" w:rsidR="00806997" w:rsidRPr="00286216" w:rsidRDefault="00806997" w:rsidP="00806997">
            <w:pPr>
              <w:pStyle w:val="StyleZakonu"/>
              <w:rPr>
                <w:color w:val="000000" w:themeColor="text1"/>
              </w:rPr>
            </w:pPr>
            <w:r w:rsidRPr="00286216">
              <w:rPr>
                <w:color w:val="000000" w:themeColor="text1"/>
                <w:szCs w:val="18"/>
              </w:rPr>
              <w:t>2) залишає без виконання відповідне рішення про накладення арешту на майнові права особи, якщо такий залишок майнових прав дорівнює нулю.</w:t>
            </w:r>
          </w:p>
        </w:tc>
      </w:tr>
      <w:tr w:rsidR="00806997" w:rsidRPr="00286216" w14:paraId="32BAA838" w14:textId="77777777" w:rsidTr="00091AA5">
        <w:tc>
          <w:tcPr>
            <w:tcW w:w="576" w:type="dxa"/>
          </w:tcPr>
          <w:p w14:paraId="1E2D64C0" w14:textId="77777777" w:rsidR="00806997" w:rsidRPr="00286216" w:rsidRDefault="00806997" w:rsidP="00806997">
            <w:pPr>
              <w:pStyle w:val="StyleWisnow"/>
              <w:rPr>
                <w:color w:val="000000" w:themeColor="text1"/>
              </w:rPr>
            </w:pPr>
            <w:bookmarkStart w:id="803" w:name="n1083" w:colFirst="0" w:colLast="0"/>
            <w:bookmarkEnd w:id="802"/>
            <w:r w:rsidRPr="00286216">
              <w:rPr>
                <w:color w:val="000000" w:themeColor="text1"/>
              </w:rPr>
              <w:t>1083.</w:t>
            </w:r>
          </w:p>
        </w:tc>
        <w:tc>
          <w:tcPr>
            <w:tcW w:w="4818" w:type="dxa"/>
          </w:tcPr>
          <w:p w14:paraId="4E7EDF5C" w14:textId="77777777" w:rsidR="00806997" w:rsidRPr="00286216" w:rsidRDefault="00806997" w:rsidP="00806997">
            <w:pPr>
              <w:pStyle w:val="StyleZakonu"/>
              <w:rPr>
                <w:color w:val="000000" w:themeColor="text1"/>
              </w:rPr>
            </w:pPr>
            <w:r w:rsidRPr="00286216">
              <w:rPr>
                <w:color w:val="000000" w:themeColor="text1"/>
              </w:rPr>
              <w:t>у разі наявності в отриманій інформації відомостей про укладені деривативні контракти та/або вчиненні правочини щодо фінансових інструментів та/або правочини щодо активів, що допущені до торгів на організованому ринку - залишає без виконання відповідне рішення, у разі якщо після проведення клірингу зобов’язань за такими контрактами (правочинами) залишок коштів особи в системі клірингового обліку дорівнює нулю.</w:t>
            </w:r>
          </w:p>
        </w:tc>
        <w:tc>
          <w:tcPr>
            <w:tcW w:w="3686" w:type="dxa"/>
          </w:tcPr>
          <w:p w14:paraId="744B9C71" w14:textId="7861720B" w:rsidR="00806997" w:rsidRPr="00286216" w:rsidRDefault="00806997" w:rsidP="00806997">
            <w:pPr>
              <w:pStyle w:val="StyleProp"/>
              <w:rPr>
                <w:color w:val="000000" w:themeColor="text1"/>
                <w:szCs w:val="18"/>
              </w:rPr>
            </w:pPr>
          </w:p>
        </w:tc>
        <w:tc>
          <w:tcPr>
            <w:tcW w:w="1987" w:type="dxa"/>
          </w:tcPr>
          <w:p w14:paraId="13BD9AF5" w14:textId="77777777" w:rsidR="00806997" w:rsidRPr="00286216" w:rsidRDefault="00806997" w:rsidP="00806997">
            <w:pPr>
              <w:pStyle w:val="StyleWisnow"/>
              <w:rPr>
                <w:color w:val="000000" w:themeColor="text1"/>
              </w:rPr>
            </w:pPr>
          </w:p>
        </w:tc>
        <w:tc>
          <w:tcPr>
            <w:tcW w:w="4818" w:type="dxa"/>
          </w:tcPr>
          <w:p w14:paraId="6BEE5EE0" w14:textId="64533085" w:rsidR="00806997" w:rsidRPr="00286216" w:rsidRDefault="00806997" w:rsidP="00806997">
            <w:pPr>
              <w:pStyle w:val="StyleZakonu"/>
              <w:rPr>
                <w:color w:val="000000" w:themeColor="text1"/>
              </w:rPr>
            </w:pPr>
          </w:p>
        </w:tc>
      </w:tr>
      <w:tr w:rsidR="00806997" w:rsidRPr="00286216" w14:paraId="20D2D7B0" w14:textId="77777777" w:rsidTr="00091AA5">
        <w:tc>
          <w:tcPr>
            <w:tcW w:w="576" w:type="dxa"/>
          </w:tcPr>
          <w:p w14:paraId="3DD43519" w14:textId="77777777" w:rsidR="00806997" w:rsidRPr="00286216" w:rsidRDefault="00806997" w:rsidP="00806997">
            <w:pPr>
              <w:pStyle w:val="StyleWisnow"/>
              <w:rPr>
                <w:color w:val="000000" w:themeColor="text1"/>
              </w:rPr>
            </w:pPr>
            <w:bookmarkStart w:id="804" w:name="n1084" w:colFirst="0" w:colLast="0"/>
            <w:bookmarkEnd w:id="803"/>
            <w:r w:rsidRPr="00286216">
              <w:rPr>
                <w:color w:val="000000" w:themeColor="text1"/>
              </w:rPr>
              <w:t>1084.</w:t>
            </w:r>
          </w:p>
        </w:tc>
        <w:tc>
          <w:tcPr>
            <w:tcW w:w="4818" w:type="dxa"/>
          </w:tcPr>
          <w:p w14:paraId="1105E83C" w14:textId="77777777" w:rsidR="00806997" w:rsidRPr="00286216" w:rsidRDefault="00806997" w:rsidP="00806997">
            <w:pPr>
              <w:pStyle w:val="StyleZakonu"/>
              <w:rPr>
                <w:color w:val="000000" w:themeColor="text1"/>
              </w:rPr>
            </w:pPr>
            <w:r w:rsidRPr="00286216">
              <w:rPr>
                <w:color w:val="000000" w:themeColor="text1"/>
              </w:rPr>
              <w:t>5. Особа, що провадить клірингову діяльність, повідомляє суд або уповноважений законом державний орган чи його посадову особу про дії, вчинені за результатами отримання відповідного рішення про накладення арешту на кошти особи, протягом наступного робочого дня після отримання такого відповідного рішення.</w:t>
            </w:r>
          </w:p>
        </w:tc>
        <w:tc>
          <w:tcPr>
            <w:tcW w:w="3686" w:type="dxa"/>
          </w:tcPr>
          <w:p w14:paraId="2AAB0BB5" w14:textId="6BAA7C4F"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EECE449" w14:textId="77777777" w:rsidR="00806997" w:rsidRPr="00286216" w:rsidRDefault="00806997" w:rsidP="00806997">
            <w:pPr>
              <w:spacing w:line="200" w:lineRule="exact"/>
              <w:ind w:firstLine="227"/>
              <w:jc w:val="both"/>
              <w:rPr>
                <w:color w:val="000000" w:themeColor="text1"/>
                <w:spacing w:val="-5"/>
                <w:sz w:val="18"/>
              </w:rPr>
            </w:pPr>
            <w:r w:rsidRPr="00286216">
              <w:rPr>
                <w:color w:val="000000" w:themeColor="text1"/>
                <w:spacing w:val="-5"/>
                <w:sz w:val="18"/>
              </w:rPr>
              <w:t>Частину 5 статті 59 викласти в такій редакції:</w:t>
            </w:r>
          </w:p>
          <w:p w14:paraId="60FEB3F0" w14:textId="77777777" w:rsidR="00806997" w:rsidRPr="00286216" w:rsidRDefault="00806997" w:rsidP="00806997">
            <w:pPr>
              <w:spacing w:line="180" w:lineRule="exact"/>
              <w:ind w:firstLine="227"/>
              <w:jc w:val="both"/>
              <w:rPr>
                <w:color w:val="000000" w:themeColor="text1"/>
                <w:sz w:val="18"/>
              </w:rPr>
            </w:pPr>
            <w:r w:rsidRPr="00286216">
              <w:rPr>
                <w:color w:val="000000" w:themeColor="text1"/>
                <w:sz w:val="18"/>
              </w:rPr>
              <w:t>«5. Особа, яка провадить клірингову діяльність, повідомляє суд або уповноважений законом орган чи посадову особу про дії, вчинені за результатами отримання відповідного рішення про накладення арешту на майнові права особи, протягом наступного робочого дня після отримання такого відповідного рішення».</w:t>
            </w:r>
          </w:p>
        </w:tc>
        <w:tc>
          <w:tcPr>
            <w:tcW w:w="1987" w:type="dxa"/>
          </w:tcPr>
          <w:p w14:paraId="2649DBED"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7A86CF7D" w14:textId="07E797F6" w:rsidR="00806997" w:rsidRPr="00286216" w:rsidRDefault="00806997" w:rsidP="00806997">
            <w:pPr>
              <w:pStyle w:val="StyleZakonu"/>
              <w:rPr>
                <w:color w:val="000000" w:themeColor="text1"/>
              </w:rPr>
            </w:pPr>
            <w:r w:rsidRPr="00286216">
              <w:rPr>
                <w:color w:val="000000" w:themeColor="text1"/>
              </w:rPr>
              <w:t>5. Особа, яка провадить клірингову діяльність, повідомляє суд або уповноважений законом орган чи посадову особу про дії, вчинені за результатами отримання відповідного рішення про накладення арешту на майнові права особи, протягом наступного робочого дня після отримання такого відповідного рішення.</w:t>
            </w:r>
          </w:p>
        </w:tc>
      </w:tr>
      <w:tr w:rsidR="00806997" w:rsidRPr="00286216" w14:paraId="7F757937" w14:textId="77777777" w:rsidTr="00091AA5">
        <w:tc>
          <w:tcPr>
            <w:tcW w:w="576" w:type="dxa"/>
          </w:tcPr>
          <w:p w14:paraId="53A9365B" w14:textId="77777777" w:rsidR="00806997" w:rsidRPr="00286216" w:rsidRDefault="00806997" w:rsidP="00806997">
            <w:pPr>
              <w:pStyle w:val="StyleWisnow"/>
              <w:rPr>
                <w:color w:val="000000" w:themeColor="text1"/>
              </w:rPr>
            </w:pPr>
            <w:bookmarkStart w:id="805" w:name="n1085" w:colFirst="0" w:colLast="0"/>
            <w:bookmarkEnd w:id="804"/>
            <w:r w:rsidRPr="00286216">
              <w:rPr>
                <w:color w:val="000000" w:themeColor="text1"/>
              </w:rPr>
              <w:t>1085.</w:t>
            </w:r>
          </w:p>
        </w:tc>
        <w:tc>
          <w:tcPr>
            <w:tcW w:w="4818" w:type="dxa"/>
          </w:tcPr>
          <w:p w14:paraId="1D971C79" w14:textId="77777777" w:rsidR="00806997" w:rsidRPr="00286216" w:rsidRDefault="00806997" w:rsidP="00806997">
            <w:pPr>
              <w:pStyle w:val="StyleZakonu"/>
              <w:rPr>
                <w:color w:val="000000" w:themeColor="text1"/>
              </w:rPr>
            </w:pPr>
            <w:r w:rsidRPr="00286216">
              <w:rPr>
                <w:color w:val="000000" w:themeColor="text1"/>
              </w:rPr>
              <w:t>Стаття 60. Депозитарна діяльність</w:t>
            </w:r>
          </w:p>
        </w:tc>
        <w:tc>
          <w:tcPr>
            <w:tcW w:w="3686" w:type="dxa"/>
          </w:tcPr>
          <w:p w14:paraId="492C1883" w14:textId="77777777" w:rsidR="00806997" w:rsidRPr="00286216" w:rsidRDefault="00806997" w:rsidP="00806997">
            <w:pPr>
              <w:pStyle w:val="StyleProp"/>
              <w:rPr>
                <w:color w:val="000000" w:themeColor="text1"/>
                <w:szCs w:val="18"/>
              </w:rPr>
            </w:pPr>
          </w:p>
        </w:tc>
        <w:tc>
          <w:tcPr>
            <w:tcW w:w="1987" w:type="dxa"/>
          </w:tcPr>
          <w:p w14:paraId="3BB5292A" w14:textId="77777777" w:rsidR="00806997" w:rsidRPr="00286216" w:rsidRDefault="00806997" w:rsidP="00806997">
            <w:pPr>
              <w:pStyle w:val="StyleWisnow"/>
              <w:rPr>
                <w:color w:val="000000" w:themeColor="text1"/>
              </w:rPr>
            </w:pPr>
          </w:p>
        </w:tc>
        <w:tc>
          <w:tcPr>
            <w:tcW w:w="4818" w:type="dxa"/>
          </w:tcPr>
          <w:p w14:paraId="2FF9065A" w14:textId="31603DD0" w:rsidR="00806997" w:rsidRPr="00286216" w:rsidRDefault="00806997" w:rsidP="00806997">
            <w:pPr>
              <w:pStyle w:val="StyleZakonu"/>
              <w:rPr>
                <w:color w:val="000000" w:themeColor="text1"/>
              </w:rPr>
            </w:pPr>
            <w:r w:rsidRPr="00286216">
              <w:rPr>
                <w:color w:val="000000" w:themeColor="text1"/>
              </w:rPr>
              <w:t>Стаття 65. Депозитарна діяльність</w:t>
            </w:r>
          </w:p>
        </w:tc>
      </w:tr>
      <w:tr w:rsidR="00806997" w:rsidRPr="00286216" w14:paraId="0E8CC9AC" w14:textId="77777777" w:rsidTr="00091AA5">
        <w:tc>
          <w:tcPr>
            <w:tcW w:w="576" w:type="dxa"/>
          </w:tcPr>
          <w:p w14:paraId="58B840F8" w14:textId="77777777" w:rsidR="00806997" w:rsidRPr="00286216" w:rsidRDefault="00806997" w:rsidP="00806997">
            <w:pPr>
              <w:pStyle w:val="StyleWisnow"/>
              <w:rPr>
                <w:color w:val="000000" w:themeColor="text1"/>
              </w:rPr>
            </w:pPr>
            <w:bookmarkStart w:id="806" w:name="n1086" w:colFirst="0" w:colLast="0"/>
            <w:bookmarkEnd w:id="805"/>
            <w:r w:rsidRPr="00286216">
              <w:rPr>
                <w:color w:val="000000" w:themeColor="text1"/>
              </w:rPr>
              <w:t>1086.</w:t>
            </w:r>
          </w:p>
        </w:tc>
        <w:tc>
          <w:tcPr>
            <w:tcW w:w="4818" w:type="dxa"/>
          </w:tcPr>
          <w:p w14:paraId="2FA14C07" w14:textId="77777777" w:rsidR="00806997" w:rsidRPr="00286216" w:rsidRDefault="00806997" w:rsidP="00806997">
            <w:pPr>
              <w:pStyle w:val="StyleZakonu"/>
              <w:rPr>
                <w:color w:val="000000" w:themeColor="text1"/>
              </w:rPr>
            </w:pPr>
            <w:r w:rsidRPr="00286216">
              <w:rPr>
                <w:color w:val="000000" w:themeColor="text1"/>
              </w:rPr>
              <w:t>1. Депозитарна діяльність провадиться учасниками ринків капіталу відповідно до законодавства про депозитарну систему України.</w:t>
            </w:r>
          </w:p>
        </w:tc>
        <w:tc>
          <w:tcPr>
            <w:tcW w:w="3686" w:type="dxa"/>
          </w:tcPr>
          <w:p w14:paraId="59EE6B87" w14:textId="77777777" w:rsidR="00806997" w:rsidRPr="00286216" w:rsidRDefault="00806997" w:rsidP="00806997">
            <w:pPr>
              <w:pStyle w:val="StyleProp"/>
              <w:rPr>
                <w:color w:val="000000" w:themeColor="text1"/>
                <w:szCs w:val="18"/>
              </w:rPr>
            </w:pPr>
          </w:p>
        </w:tc>
        <w:tc>
          <w:tcPr>
            <w:tcW w:w="1987" w:type="dxa"/>
          </w:tcPr>
          <w:p w14:paraId="2AA002B8" w14:textId="77777777" w:rsidR="00806997" w:rsidRPr="00286216" w:rsidRDefault="00806997" w:rsidP="00806997">
            <w:pPr>
              <w:pStyle w:val="StyleWisnow"/>
              <w:rPr>
                <w:color w:val="000000" w:themeColor="text1"/>
              </w:rPr>
            </w:pPr>
          </w:p>
        </w:tc>
        <w:tc>
          <w:tcPr>
            <w:tcW w:w="4818" w:type="dxa"/>
          </w:tcPr>
          <w:p w14:paraId="57951D2A" w14:textId="551B11FD" w:rsidR="00806997" w:rsidRPr="00286216" w:rsidRDefault="00806997" w:rsidP="00806997">
            <w:pPr>
              <w:pStyle w:val="StyleZakonu"/>
              <w:rPr>
                <w:color w:val="000000" w:themeColor="text1"/>
              </w:rPr>
            </w:pPr>
            <w:r w:rsidRPr="00286216">
              <w:rPr>
                <w:color w:val="000000" w:themeColor="text1"/>
              </w:rPr>
              <w:t>1. Депозитарна діяльність провадиться учасниками ринків капіталу відповідно до законодавства про депозитарну систему України.</w:t>
            </w:r>
          </w:p>
        </w:tc>
      </w:tr>
      <w:tr w:rsidR="00806997" w:rsidRPr="00286216" w14:paraId="31D87166" w14:textId="77777777" w:rsidTr="00091AA5">
        <w:tc>
          <w:tcPr>
            <w:tcW w:w="576" w:type="dxa"/>
          </w:tcPr>
          <w:p w14:paraId="4A219729" w14:textId="77777777" w:rsidR="00806997" w:rsidRPr="00286216" w:rsidRDefault="00806997" w:rsidP="00806997">
            <w:pPr>
              <w:pStyle w:val="StyleWisnow"/>
              <w:rPr>
                <w:color w:val="000000" w:themeColor="text1"/>
              </w:rPr>
            </w:pPr>
            <w:bookmarkStart w:id="807" w:name="n1087" w:colFirst="0" w:colLast="0"/>
            <w:bookmarkEnd w:id="806"/>
            <w:r w:rsidRPr="00286216">
              <w:rPr>
                <w:color w:val="000000" w:themeColor="text1"/>
              </w:rPr>
              <w:t>1087.</w:t>
            </w:r>
          </w:p>
        </w:tc>
        <w:tc>
          <w:tcPr>
            <w:tcW w:w="4818" w:type="dxa"/>
          </w:tcPr>
          <w:p w14:paraId="05B0EB45" w14:textId="77777777" w:rsidR="00806997" w:rsidRPr="00286216" w:rsidRDefault="00806997" w:rsidP="00806997">
            <w:pPr>
              <w:pStyle w:val="StyleZakonu"/>
              <w:rPr>
                <w:color w:val="000000" w:themeColor="text1"/>
              </w:rPr>
            </w:pPr>
            <w:r w:rsidRPr="00286216">
              <w:rPr>
                <w:color w:val="000000" w:themeColor="text1"/>
              </w:rPr>
              <w:t>Стаття 61. Діяльність з управління активами інституційних інвесторів</w:t>
            </w:r>
          </w:p>
        </w:tc>
        <w:tc>
          <w:tcPr>
            <w:tcW w:w="3686" w:type="dxa"/>
          </w:tcPr>
          <w:p w14:paraId="6F3E74B4" w14:textId="77777777" w:rsidR="00806997" w:rsidRPr="00286216" w:rsidRDefault="00806997" w:rsidP="00806997">
            <w:pPr>
              <w:pStyle w:val="StyleProp"/>
              <w:rPr>
                <w:color w:val="000000" w:themeColor="text1"/>
                <w:szCs w:val="18"/>
              </w:rPr>
            </w:pPr>
          </w:p>
        </w:tc>
        <w:tc>
          <w:tcPr>
            <w:tcW w:w="1987" w:type="dxa"/>
          </w:tcPr>
          <w:p w14:paraId="4A1017E6" w14:textId="77777777" w:rsidR="00806997" w:rsidRPr="00286216" w:rsidRDefault="00806997" w:rsidP="00806997">
            <w:pPr>
              <w:pStyle w:val="StyleWisnow"/>
              <w:rPr>
                <w:color w:val="000000" w:themeColor="text1"/>
              </w:rPr>
            </w:pPr>
          </w:p>
        </w:tc>
        <w:tc>
          <w:tcPr>
            <w:tcW w:w="4818" w:type="dxa"/>
          </w:tcPr>
          <w:p w14:paraId="6671ABCB" w14:textId="04427171" w:rsidR="00806997" w:rsidRPr="00286216" w:rsidRDefault="00806997" w:rsidP="00806997">
            <w:pPr>
              <w:pStyle w:val="StyleZakonu"/>
              <w:rPr>
                <w:color w:val="000000" w:themeColor="text1"/>
              </w:rPr>
            </w:pPr>
            <w:r w:rsidRPr="00286216">
              <w:rPr>
                <w:color w:val="000000" w:themeColor="text1"/>
              </w:rPr>
              <w:t>Стаття 66. Діяльність з управління активами інституційних інвесторів</w:t>
            </w:r>
          </w:p>
        </w:tc>
      </w:tr>
      <w:tr w:rsidR="00806997" w:rsidRPr="00286216" w14:paraId="2DEB05C7" w14:textId="77777777" w:rsidTr="00091AA5">
        <w:tc>
          <w:tcPr>
            <w:tcW w:w="576" w:type="dxa"/>
          </w:tcPr>
          <w:p w14:paraId="57832A0C" w14:textId="77777777" w:rsidR="00806997" w:rsidRPr="00286216" w:rsidRDefault="00806997" w:rsidP="00806997">
            <w:pPr>
              <w:pStyle w:val="StyleWisnow"/>
              <w:rPr>
                <w:color w:val="000000" w:themeColor="text1"/>
              </w:rPr>
            </w:pPr>
            <w:bookmarkStart w:id="808" w:name="n1088" w:colFirst="0" w:colLast="0"/>
            <w:bookmarkEnd w:id="807"/>
            <w:r w:rsidRPr="00286216">
              <w:rPr>
                <w:color w:val="000000" w:themeColor="text1"/>
              </w:rPr>
              <w:t>1088.</w:t>
            </w:r>
          </w:p>
        </w:tc>
        <w:tc>
          <w:tcPr>
            <w:tcW w:w="4818" w:type="dxa"/>
          </w:tcPr>
          <w:p w14:paraId="5DF0FFF3" w14:textId="77777777" w:rsidR="00806997" w:rsidRPr="00286216" w:rsidRDefault="00806997" w:rsidP="00806997">
            <w:pPr>
              <w:pStyle w:val="StyleZakonu"/>
              <w:rPr>
                <w:color w:val="000000" w:themeColor="text1"/>
              </w:rPr>
            </w:pPr>
            <w:r w:rsidRPr="00286216">
              <w:rPr>
                <w:color w:val="000000" w:themeColor="text1"/>
              </w:rPr>
              <w:t xml:space="preserve">1. Діяльність з управління активами інституційних інвесторів - професійна діяльність учасника ринків капіталу - компанії з управління активами, що провадиться нею за винагороду від свого імені або на </w:t>
            </w:r>
            <w:r w:rsidRPr="00286216">
              <w:rPr>
                <w:color w:val="000000" w:themeColor="text1"/>
                <w:spacing w:val="-4"/>
              </w:rPr>
              <w:lastRenderedPageBreak/>
              <w:t>підставі відповідного договору.</w:t>
            </w:r>
          </w:p>
        </w:tc>
        <w:tc>
          <w:tcPr>
            <w:tcW w:w="3686" w:type="dxa"/>
          </w:tcPr>
          <w:p w14:paraId="0197F535" w14:textId="0AE54653" w:rsidR="00806997" w:rsidRPr="00286216" w:rsidRDefault="00806997" w:rsidP="0080699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598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DA6A342" w14:textId="77777777" w:rsidR="00806997" w:rsidRPr="00286216" w:rsidRDefault="00806997" w:rsidP="00806997">
            <w:pPr>
              <w:pStyle w:val="StyleProp"/>
              <w:spacing w:line="180" w:lineRule="exact"/>
              <w:rPr>
                <w:color w:val="000000" w:themeColor="text1"/>
                <w:spacing w:val="-4"/>
                <w:szCs w:val="18"/>
              </w:rPr>
            </w:pPr>
            <w:r w:rsidRPr="00286216">
              <w:rPr>
                <w:color w:val="000000" w:themeColor="text1"/>
                <w:spacing w:val="-4"/>
                <w:szCs w:val="18"/>
              </w:rPr>
              <w:t xml:space="preserve">Абзац 1 частини 1 статті 61 доповнити словами "з інституційними інвесторами або професійна діяльність учасника ринків капіталу – іншої фінансової установи, що провадиться </w:t>
            </w:r>
            <w:r w:rsidRPr="00286216">
              <w:rPr>
                <w:color w:val="000000" w:themeColor="text1"/>
                <w:spacing w:val="-4"/>
                <w:szCs w:val="18"/>
              </w:rPr>
              <w:lastRenderedPageBreak/>
              <w:t>нею на підставі договору з емітентом іпотечних облігацій".</w:t>
            </w:r>
          </w:p>
        </w:tc>
        <w:tc>
          <w:tcPr>
            <w:tcW w:w="1987" w:type="dxa"/>
          </w:tcPr>
          <w:p w14:paraId="3CD1ECE0" w14:textId="77777777" w:rsidR="00806997" w:rsidRPr="00286216" w:rsidRDefault="00806997" w:rsidP="00806997">
            <w:pPr>
              <w:pStyle w:val="StyleWisnow"/>
              <w:rPr>
                <w:color w:val="000000" w:themeColor="text1"/>
              </w:rPr>
            </w:pPr>
            <w:r w:rsidRPr="00286216">
              <w:rPr>
                <w:color w:val="000000" w:themeColor="text1"/>
              </w:rPr>
              <w:lastRenderedPageBreak/>
              <w:t>Враховано</w:t>
            </w:r>
          </w:p>
        </w:tc>
        <w:tc>
          <w:tcPr>
            <w:tcW w:w="4818" w:type="dxa"/>
          </w:tcPr>
          <w:p w14:paraId="5C7920C5" w14:textId="0DF631D3" w:rsidR="00806997" w:rsidRPr="00286216" w:rsidRDefault="00806997" w:rsidP="00806997">
            <w:pPr>
              <w:pStyle w:val="StyleZakonu"/>
              <w:rPr>
                <w:color w:val="000000" w:themeColor="text1"/>
              </w:rPr>
            </w:pPr>
            <w:r w:rsidRPr="00286216">
              <w:rPr>
                <w:color w:val="000000" w:themeColor="text1"/>
                <w:spacing w:val="-2"/>
              </w:rPr>
              <w:t xml:space="preserve">1. Діяльність з управління активами інституційних інвесторів – це професійна діяльність учасника ринків капіталу - компанії з управління активами, що провадиться нею за винагороду від свого імені або на </w:t>
            </w:r>
            <w:r w:rsidRPr="00286216">
              <w:rPr>
                <w:color w:val="000000" w:themeColor="text1"/>
                <w:spacing w:val="-5"/>
              </w:rPr>
              <w:lastRenderedPageBreak/>
              <w:t xml:space="preserve">підставі відповідного договору </w:t>
            </w:r>
            <w:r w:rsidRPr="00286216">
              <w:rPr>
                <w:color w:val="000000" w:themeColor="text1"/>
                <w:spacing w:val="-6"/>
                <w:szCs w:val="18"/>
              </w:rPr>
              <w:t>з інституційними інвесторами чи професійна діяльність учасника ринків капіталу – іншої фінансової установи, що провадиться нею на підставі договору з емітентом іпотечних облігацій</w:t>
            </w:r>
            <w:r w:rsidRPr="00286216">
              <w:rPr>
                <w:color w:val="000000" w:themeColor="text1"/>
                <w:spacing w:val="-6"/>
              </w:rPr>
              <w:t>.</w:t>
            </w:r>
          </w:p>
        </w:tc>
      </w:tr>
      <w:tr w:rsidR="00806997" w:rsidRPr="00286216" w14:paraId="06364689" w14:textId="77777777" w:rsidTr="00091AA5">
        <w:tc>
          <w:tcPr>
            <w:tcW w:w="576" w:type="dxa"/>
          </w:tcPr>
          <w:p w14:paraId="2C495F76" w14:textId="77777777" w:rsidR="00806997" w:rsidRPr="00286216" w:rsidRDefault="00806997" w:rsidP="00806997">
            <w:pPr>
              <w:pStyle w:val="StyleWisnow"/>
              <w:rPr>
                <w:color w:val="000000" w:themeColor="text1"/>
              </w:rPr>
            </w:pPr>
            <w:bookmarkStart w:id="809" w:name="n1089" w:colFirst="0" w:colLast="0"/>
            <w:bookmarkEnd w:id="808"/>
            <w:r w:rsidRPr="00286216">
              <w:rPr>
                <w:color w:val="000000" w:themeColor="text1"/>
              </w:rPr>
              <w:lastRenderedPageBreak/>
              <w:t>1089.</w:t>
            </w:r>
          </w:p>
        </w:tc>
        <w:tc>
          <w:tcPr>
            <w:tcW w:w="4818" w:type="dxa"/>
          </w:tcPr>
          <w:p w14:paraId="15E0063D" w14:textId="77777777" w:rsidR="00806997" w:rsidRPr="00286216" w:rsidRDefault="00806997" w:rsidP="00806997">
            <w:pPr>
              <w:pStyle w:val="StyleZakonu"/>
              <w:rPr>
                <w:color w:val="000000" w:themeColor="text1"/>
              </w:rPr>
            </w:pPr>
            <w:r w:rsidRPr="00286216">
              <w:rPr>
                <w:color w:val="000000" w:themeColor="text1"/>
              </w:rPr>
              <w:t>Діяльність з управління активами інституційних інвесторів включає:</w:t>
            </w:r>
          </w:p>
        </w:tc>
        <w:tc>
          <w:tcPr>
            <w:tcW w:w="3686" w:type="dxa"/>
          </w:tcPr>
          <w:p w14:paraId="4E5C19DE" w14:textId="77777777" w:rsidR="00806997" w:rsidRPr="00286216" w:rsidRDefault="00806997" w:rsidP="00806997">
            <w:pPr>
              <w:pStyle w:val="StyleProp"/>
              <w:rPr>
                <w:color w:val="000000" w:themeColor="text1"/>
                <w:szCs w:val="18"/>
              </w:rPr>
            </w:pPr>
          </w:p>
        </w:tc>
        <w:tc>
          <w:tcPr>
            <w:tcW w:w="1987" w:type="dxa"/>
          </w:tcPr>
          <w:p w14:paraId="3E592CF8" w14:textId="77777777" w:rsidR="00806997" w:rsidRPr="00286216" w:rsidRDefault="00806997" w:rsidP="00806997">
            <w:pPr>
              <w:pStyle w:val="StyleWisnow"/>
              <w:rPr>
                <w:color w:val="000000" w:themeColor="text1"/>
              </w:rPr>
            </w:pPr>
          </w:p>
        </w:tc>
        <w:tc>
          <w:tcPr>
            <w:tcW w:w="4818" w:type="dxa"/>
          </w:tcPr>
          <w:p w14:paraId="7E1EFF54" w14:textId="55F944D9" w:rsidR="00806997" w:rsidRPr="00286216" w:rsidRDefault="00806997" w:rsidP="00806997">
            <w:pPr>
              <w:pStyle w:val="StyleZakonu"/>
              <w:rPr>
                <w:color w:val="000000" w:themeColor="text1"/>
              </w:rPr>
            </w:pPr>
            <w:r w:rsidRPr="00286216">
              <w:rPr>
                <w:color w:val="000000" w:themeColor="text1"/>
              </w:rPr>
              <w:t>Діяльність з управління активами інституційних інвесторів включає такі види діяльності:</w:t>
            </w:r>
          </w:p>
        </w:tc>
      </w:tr>
      <w:tr w:rsidR="00806997" w:rsidRPr="00286216" w14:paraId="40DDABD8" w14:textId="77777777" w:rsidTr="00091AA5">
        <w:tc>
          <w:tcPr>
            <w:tcW w:w="576" w:type="dxa"/>
          </w:tcPr>
          <w:p w14:paraId="6B3CA38C" w14:textId="77777777" w:rsidR="00806997" w:rsidRPr="00286216" w:rsidRDefault="00806997" w:rsidP="00806997">
            <w:pPr>
              <w:pStyle w:val="StyleWisnow"/>
              <w:rPr>
                <w:color w:val="000000" w:themeColor="text1"/>
              </w:rPr>
            </w:pPr>
            <w:bookmarkStart w:id="810" w:name="n1090" w:colFirst="0" w:colLast="0"/>
            <w:bookmarkEnd w:id="809"/>
            <w:r w:rsidRPr="00286216">
              <w:rPr>
                <w:color w:val="000000" w:themeColor="text1"/>
              </w:rPr>
              <w:t>1090.</w:t>
            </w:r>
          </w:p>
        </w:tc>
        <w:tc>
          <w:tcPr>
            <w:tcW w:w="4818" w:type="dxa"/>
          </w:tcPr>
          <w:p w14:paraId="105B3164" w14:textId="77777777" w:rsidR="00806997" w:rsidRPr="00286216" w:rsidRDefault="00806997" w:rsidP="00806997">
            <w:pPr>
              <w:pStyle w:val="StyleZakonu"/>
              <w:rPr>
                <w:color w:val="000000" w:themeColor="text1"/>
              </w:rPr>
            </w:pPr>
            <w:r w:rsidRPr="00286216">
              <w:rPr>
                <w:color w:val="000000" w:themeColor="text1"/>
              </w:rPr>
              <w:t>1) діяльність з управління активами;</w:t>
            </w:r>
          </w:p>
        </w:tc>
        <w:tc>
          <w:tcPr>
            <w:tcW w:w="3686" w:type="dxa"/>
          </w:tcPr>
          <w:p w14:paraId="158282CD" w14:textId="77777777" w:rsidR="00806997" w:rsidRPr="00286216" w:rsidRDefault="00806997" w:rsidP="00806997">
            <w:pPr>
              <w:pStyle w:val="StyleProp"/>
              <w:rPr>
                <w:color w:val="000000" w:themeColor="text1"/>
                <w:szCs w:val="18"/>
              </w:rPr>
            </w:pPr>
          </w:p>
        </w:tc>
        <w:tc>
          <w:tcPr>
            <w:tcW w:w="1987" w:type="dxa"/>
          </w:tcPr>
          <w:p w14:paraId="4AE0B229" w14:textId="77777777" w:rsidR="00806997" w:rsidRPr="00286216" w:rsidRDefault="00806997" w:rsidP="00806997">
            <w:pPr>
              <w:pStyle w:val="StyleWisnow"/>
              <w:rPr>
                <w:color w:val="000000" w:themeColor="text1"/>
              </w:rPr>
            </w:pPr>
          </w:p>
        </w:tc>
        <w:tc>
          <w:tcPr>
            <w:tcW w:w="4818" w:type="dxa"/>
          </w:tcPr>
          <w:p w14:paraId="291FB7DF" w14:textId="7D490214" w:rsidR="00806997" w:rsidRPr="00286216" w:rsidRDefault="00806997" w:rsidP="00806997">
            <w:pPr>
              <w:pStyle w:val="StyleZakonu"/>
              <w:rPr>
                <w:color w:val="000000" w:themeColor="text1"/>
              </w:rPr>
            </w:pPr>
            <w:r w:rsidRPr="00286216">
              <w:rPr>
                <w:color w:val="000000" w:themeColor="text1"/>
              </w:rPr>
              <w:t>1) діяльність з управління активами;</w:t>
            </w:r>
          </w:p>
        </w:tc>
      </w:tr>
      <w:tr w:rsidR="00806997" w:rsidRPr="00286216" w14:paraId="32F97B4C" w14:textId="77777777" w:rsidTr="00091AA5">
        <w:tc>
          <w:tcPr>
            <w:tcW w:w="576" w:type="dxa"/>
          </w:tcPr>
          <w:p w14:paraId="13166266" w14:textId="77777777" w:rsidR="00806997" w:rsidRPr="00286216" w:rsidRDefault="00806997" w:rsidP="00806997">
            <w:pPr>
              <w:pStyle w:val="StyleWisnow"/>
              <w:rPr>
                <w:color w:val="000000" w:themeColor="text1"/>
              </w:rPr>
            </w:pPr>
            <w:bookmarkStart w:id="811" w:name="n1091" w:colFirst="0" w:colLast="0"/>
            <w:bookmarkEnd w:id="810"/>
            <w:r w:rsidRPr="00286216">
              <w:rPr>
                <w:color w:val="000000" w:themeColor="text1"/>
              </w:rPr>
              <w:t>1091.</w:t>
            </w:r>
          </w:p>
        </w:tc>
        <w:tc>
          <w:tcPr>
            <w:tcW w:w="4818" w:type="dxa"/>
          </w:tcPr>
          <w:p w14:paraId="5CC9B03B" w14:textId="77777777" w:rsidR="00806997" w:rsidRPr="00286216" w:rsidRDefault="00806997" w:rsidP="00806997">
            <w:pPr>
              <w:pStyle w:val="StyleZakonu"/>
              <w:rPr>
                <w:color w:val="000000" w:themeColor="text1"/>
              </w:rPr>
            </w:pPr>
            <w:r w:rsidRPr="00286216">
              <w:rPr>
                <w:color w:val="000000" w:themeColor="text1"/>
              </w:rPr>
              <w:t>2) діяльність з управління іпотечним покриттям.</w:t>
            </w:r>
          </w:p>
        </w:tc>
        <w:tc>
          <w:tcPr>
            <w:tcW w:w="3686" w:type="dxa"/>
          </w:tcPr>
          <w:p w14:paraId="407AA4B8" w14:textId="77777777" w:rsidR="00806997" w:rsidRPr="00286216" w:rsidRDefault="00806997" w:rsidP="00806997">
            <w:pPr>
              <w:pStyle w:val="StyleProp"/>
              <w:rPr>
                <w:color w:val="000000" w:themeColor="text1"/>
                <w:szCs w:val="18"/>
              </w:rPr>
            </w:pPr>
          </w:p>
        </w:tc>
        <w:tc>
          <w:tcPr>
            <w:tcW w:w="1987" w:type="dxa"/>
          </w:tcPr>
          <w:p w14:paraId="3C0E0627" w14:textId="77777777" w:rsidR="00806997" w:rsidRPr="00286216" w:rsidRDefault="00806997" w:rsidP="00806997">
            <w:pPr>
              <w:pStyle w:val="StyleWisnow"/>
              <w:rPr>
                <w:color w:val="000000" w:themeColor="text1"/>
              </w:rPr>
            </w:pPr>
          </w:p>
        </w:tc>
        <w:tc>
          <w:tcPr>
            <w:tcW w:w="4818" w:type="dxa"/>
          </w:tcPr>
          <w:p w14:paraId="010EE1CF" w14:textId="1494AB53" w:rsidR="00806997" w:rsidRPr="00286216" w:rsidRDefault="00806997" w:rsidP="00806997">
            <w:pPr>
              <w:pStyle w:val="StyleZakonu"/>
              <w:rPr>
                <w:color w:val="000000" w:themeColor="text1"/>
              </w:rPr>
            </w:pPr>
            <w:r w:rsidRPr="00286216">
              <w:rPr>
                <w:color w:val="000000" w:themeColor="text1"/>
              </w:rPr>
              <w:t>2) діяльність з управління іпотечним покриттям.</w:t>
            </w:r>
          </w:p>
        </w:tc>
      </w:tr>
      <w:tr w:rsidR="00806997" w:rsidRPr="00286216" w14:paraId="60A38D4D" w14:textId="77777777" w:rsidTr="00091AA5">
        <w:tc>
          <w:tcPr>
            <w:tcW w:w="576" w:type="dxa"/>
          </w:tcPr>
          <w:p w14:paraId="27FBD5D3" w14:textId="77777777" w:rsidR="00806997" w:rsidRPr="00286216" w:rsidRDefault="00806997" w:rsidP="00806997">
            <w:pPr>
              <w:pStyle w:val="StyleWisnow"/>
              <w:rPr>
                <w:color w:val="000000" w:themeColor="text1"/>
              </w:rPr>
            </w:pPr>
            <w:bookmarkStart w:id="812" w:name="n1092" w:colFirst="0" w:colLast="0"/>
            <w:bookmarkEnd w:id="811"/>
            <w:r w:rsidRPr="00286216">
              <w:rPr>
                <w:color w:val="000000" w:themeColor="text1"/>
              </w:rPr>
              <w:t>1092.</w:t>
            </w:r>
          </w:p>
        </w:tc>
        <w:tc>
          <w:tcPr>
            <w:tcW w:w="4818" w:type="dxa"/>
          </w:tcPr>
          <w:p w14:paraId="0346BC03" w14:textId="77777777" w:rsidR="00806997" w:rsidRPr="00286216" w:rsidRDefault="00806997" w:rsidP="00806997">
            <w:pPr>
              <w:pStyle w:val="StyleZakonu"/>
              <w:rPr>
                <w:color w:val="000000" w:themeColor="text1"/>
              </w:rPr>
            </w:pPr>
            <w:r w:rsidRPr="00286216">
              <w:rPr>
                <w:color w:val="000000" w:themeColor="text1"/>
              </w:rPr>
              <w:t>2. Діяльність з управління активами інституційних інвесторів регулюється спеціальним законодавством.</w:t>
            </w:r>
          </w:p>
        </w:tc>
        <w:tc>
          <w:tcPr>
            <w:tcW w:w="3686" w:type="dxa"/>
          </w:tcPr>
          <w:p w14:paraId="4BA76B56" w14:textId="77777777" w:rsidR="00806997" w:rsidRPr="00286216" w:rsidRDefault="00806997" w:rsidP="00806997">
            <w:pPr>
              <w:pStyle w:val="StyleProp"/>
              <w:rPr>
                <w:color w:val="000000" w:themeColor="text1"/>
                <w:szCs w:val="18"/>
              </w:rPr>
            </w:pPr>
          </w:p>
        </w:tc>
        <w:tc>
          <w:tcPr>
            <w:tcW w:w="1987" w:type="dxa"/>
          </w:tcPr>
          <w:p w14:paraId="70CD92D4" w14:textId="77777777" w:rsidR="00806997" w:rsidRPr="00286216" w:rsidRDefault="00806997" w:rsidP="00806997">
            <w:pPr>
              <w:pStyle w:val="StyleWisnow"/>
              <w:rPr>
                <w:color w:val="000000" w:themeColor="text1"/>
              </w:rPr>
            </w:pPr>
          </w:p>
        </w:tc>
        <w:tc>
          <w:tcPr>
            <w:tcW w:w="4818" w:type="dxa"/>
          </w:tcPr>
          <w:p w14:paraId="1986BA3E" w14:textId="2EBCA8CD" w:rsidR="00806997" w:rsidRPr="00286216" w:rsidRDefault="00806997" w:rsidP="00806997">
            <w:pPr>
              <w:pStyle w:val="StyleZakonu"/>
              <w:rPr>
                <w:color w:val="000000" w:themeColor="text1"/>
              </w:rPr>
            </w:pPr>
            <w:r w:rsidRPr="00286216">
              <w:rPr>
                <w:color w:val="000000" w:themeColor="text1"/>
              </w:rPr>
              <w:t>2. Діяльність з управління активами інституційних інвесторів регулюється спеціальним законодавством.</w:t>
            </w:r>
          </w:p>
        </w:tc>
      </w:tr>
      <w:tr w:rsidR="00806997" w:rsidRPr="00286216" w14:paraId="052D62E4" w14:textId="77777777" w:rsidTr="00091AA5">
        <w:tc>
          <w:tcPr>
            <w:tcW w:w="576" w:type="dxa"/>
          </w:tcPr>
          <w:p w14:paraId="7D70A653" w14:textId="77777777" w:rsidR="00806997" w:rsidRPr="00286216" w:rsidRDefault="00806997" w:rsidP="00806997">
            <w:pPr>
              <w:pStyle w:val="StyleWisnow"/>
              <w:rPr>
                <w:color w:val="000000" w:themeColor="text1"/>
              </w:rPr>
            </w:pPr>
            <w:bookmarkStart w:id="813" w:name="n1093" w:colFirst="0" w:colLast="0"/>
            <w:bookmarkEnd w:id="812"/>
            <w:r w:rsidRPr="00286216">
              <w:rPr>
                <w:color w:val="000000" w:themeColor="text1"/>
              </w:rPr>
              <w:t>1093.</w:t>
            </w:r>
          </w:p>
        </w:tc>
        <w:tc>
          <w:tcPr>
            <w:tcW w:w="4818" w:type="dxa"/>
          </w:tcPr>
          <w:p w14:paraId="65A9B8CF" w14:textId="77777777" w:rsidR="00806997" w:rsidRPr="00286216" w:rsidRDefault="00806997" w:rsidP="00806997">
            <w:pPr>
              <w:pStyle w:val="StyleZakonu"/>
              <w:rPr>
                <w:color w:val="000000" w:themeColor="text1"/>
              </w:rPr>
            </w:pPr>
            <w:r w:rsidRPr="00286216">
              <w:rPr>
                <w:color w:val="000000" w:themeColor="text1"/>
              </w:rPr>
              <w:t>Стаття 62. Діяльність з управління майном для фінансування об’єктів будівництва та/або здійснення операцій з нерухомістю</w:t>
            </w:r>
          </w:p>
        </w:tc>
        <w:tc>
          <w:tcPr>
            <w:tcW w:w="3686" w:type="dxa"/>
          </w:tcPr>
          <w:p w14:paraId="3B23C460" w14:textId="77777777" w:rsidR="00806997" w:rsidRPr="00286216" w:rsidRDefault="00806997" w:rsidP="00806997">
            <w:pPr>
              <w:pStyle w:val="StyleProp"/>
              <w:rPr>
                <w:color w:val="000000" w:themeColor="text1"/>
                <w:szCs w:val="18"/>
              </w:rPr>
            </w:pPr>
          </w:p>
        </w:tc>
        <w:tc>
          <w:tcPr>
            <w:tcW w:w="1987" w:type="dxa"/>
          </w:tcPr>
          <w:p w14:paraId="66317548" w14:textId="77777777" w:rsidR="00806997" w:rsidRPr="00286216" w:rsidRDefault="00806997" w:rsidP="00806997">
            <w:pPr>
              <w:pStyle w:val="StyleWisnow"/>
              <w:rPr>
                <w:color w:val="000000" w:themeColor="text1"/>
              </w:rPr>
            </w:pPr>
          </w:p>
        </w:tc>
        <w:tc>
          <w:tcPr>
            <w:tcW w:w="4818" w:type="dxa"/>
          </w:tcPr>
          <w:p w14:paraId="126D4644" w14:textId="3F207604" w:rsidR="00806997" w:rsidRPr="00286216" w:rsidRDefault="00806997" w:rsidP="00806997">
            <w:pPr>
              <w:pStyle w:val="StyleZakonu"/>
              <w:rPr>
                <w:color w:val="000000" w:themeColor="text1"/>
              </w:rPr>
            </w:pPr>
            <w:r w:rsidRPr="00286216">
              <w:rPr>
                <w:color w:val="000000" w:themeColor="text1"/>
              </w:rPr>
              <w:t>Стаття 67. Діяльність з управління майном для фінансування об’єктів будівництва та/або здійснення операцій з нерухомістю</w:t>
            </w:r>
          </w:p>
        </w:tc>
      </w:tr>
      <w:tr w:rsidR="00806997" w:rsidRPr="00286216" w14:paraId="10FED12F" w14:textId="77777777" w:rsidTr="00091AA5">
        <w:tc>
          <w:tcPr>
            <w:tcW w:w="576" w:type="dxa"/>
          </w:tcPr>
          <w:p w14:paraId="3937838B" w14:textId="77777777" w:rsidR="00806997" w:rsidRPr="00286216" w:rsidRDefault="00806997" w:rsidP="00806997">
            <w:pPr>
              <w:pStyle w:val="StyleWisnow"/>
              <w:rPr>
                <w:color w:val="000000" w:themeColor="text1"/>
              </w:rPr>
            </w:pPr>
            <w:bookmarkStart w:id="814" w:name="n1094" w:colFirst="0" w:colLast="0"/>
            <w:bookmarkEnd w:id="813"/>
            <w:r w:rsidRPr="00286216">
              <w:rPr>
                <w:color w:val="000000" w:themeColor="text1"/>
              </w:rPr>
              <w:t>1094.</w:t>
            </w:r>
          </w:p>
        </w:tc>
        <w:tc>
          <w:tcPr>
            <w:tcW w:w="4818" w:type="dxa"/>
          </w:tcPr>
          <w:p w14:paraId="21BE469C" w14:textId="77777777" w:rsidR="00806997" w:rsidRPr="00286216" w:rsidRDefault="00806997" w:rsidP="00806997">
            <w:pPr>
              <w:pStyle w:val="StyleZakonu"/>
              <w:rPr>
                <w:color w:val="000000" w:themeColor="text1"/>
              </w:rPr>
            </w:pPr>
            <w:r w:rsidRPr="00286216">
              <w:rPr>
                <w:color w:val="000000" w:themeColor="text1"/>
              </w:rPr>
              <w:t>1. Діяльність з управління майном для фінансування об’єктів будівництва та/або здійснення операцій з нерухомістю - професійна діяльність учасника фондового ринку - управителя, що провадиться ним за винагороду від свого імені на підставі відповідних договорів (відповідного договору) управління майном з установниками (установником) управління майном.</w:t>
            </w:r>
          </w:p>
        </w:tc>
        <w:tc>
          <w:tcPr>
            <w:tcW w:w="3686" w:type="dxa"/>
          </w:tcPr>
          <w:p w14:paraId="1BA7A3B8" w14:textId="77777777" w:rsidR="00806997" w:rsidRPr="00286216" w:rsidRDefault="00806997" w:rsidP="00806997">
            <w:pPr>
              <w:pStyle w:val="StyleProp"/>
              <w:rPr>
                <w:color w:val="000000" w:themeColor="text1"/>
                <w:szCs w:val="18"/>
              </w:rPr>
            </w:pPr>
          </w:p>
        </w:tc>
        <w:tc>
          <w:tcPr>
            <w:tcW w:w="1987" w:type="dxa"/>
          </w:tcPr>
          <w:p w14:paraId="0940838B" w14:textId="77777777" w:rsidR="00806997" w:rsidRPr="00286216" w:rsidRDefault="00806997" w:rsidP="00806997">
            <w:pPr>
              <w:pStyle w:val="StyleWisnow"/>
              <w:rPr>
                <w:color w:val="000000" w:themeColor="text1"/>
              </w:rPr>
            </w:pPr>
          </w:p>
        </w:tc>
        <w:tc>
          <w:tcPr>
            <w:tcW w:w="4818" w:type="dxa"/>
          </w:tcPr>
          <w:p w14:paraId="0B0319BB" w14:textId="0111ABA1" w:rsidR="00806997" w:rsidRPr="00286216" w:rsidRDefault="00806997" w:rsidP="00806997">
            <w:pPr>
              <w:pStyle w:val="StyleZakonu"/>
              <w:rPr>
                <w:color w:val="000000" w:themeColor="text1"/>
              </w:rPr>
            </w:pPr>
            <w:r w:rsidRPr="00286216">
              <w:rPr>
                <w:color w:val="000000" w:themeColor="text1"/>
              </w:rPr>
              <w:t>1. Діяльність з управління майном для фінансування об’єктів будівництва та/або здійснення операцій з нерухомістю – це професійна діяльність учасника ринків капіталу - управителя, що провадиться ним за винагороду від свого імені на підставі відповідних договорів (відповідного договору) щодо управління майном з установниками (установником) управління майном.</w:t>
            </w:r>
          </w:p>
        </w:tc>
      </w:tr>
      <w:tr w:rsidR="00806997" w:rsidRPr="00286216" w14:paraId="0EF74638" w14:textId="77777777" w:rsidTr="00091AA5">
        <w:tc>
          <w:tcPr>
            <w:tcW w:w="576" w:type="dxa"/>
          </w:tcPr>
          <w:p w14:paraId="1AABBF09" w14:textId="77777777" w:rsidR="00806997" w:rsidRPr="00286216" w:rsidRDefault="00806997" w:rsidP="00806997">
            <w:pPr>
              <w:pStyle w:val="StyleWisnow"/>
              <w:rPr>
                <w:color w:val="000000" w:themeColor="text1"/>
              </w:rPr>
            </w:pPr>
            <w:bookmarkStart w:id="815" w:name="n1095" w:colFirst="0" w:colLast="0"/>
            <w:bookmarkEnd w:id="814"/>
            <w:r w:rsidRPr="00286216">
              <w:rPr>
                <w:color w:val="000000" w:themeColor="text1"/>
              </w:rPr>
              <w:t>1095.</w:t>
            </w:r>
          </w:p>
        </w:tc>
        <w:tc>
          <w:tcPr>
            <w:tcW w:w="4818" w:type="dxa"/>
          </w:tcPr>
          <w:p w14:paraId="49CC7045" w14:textId="77777777" w:rsidR="00806997" w:rsidRPr="00286216" w:rsidRDefault="00806997" w:rsidP="00806997">
            <w:pPr>
              <w:pStyle w:val="StyleZakonu"/>
              <w:rPr>
                <w:color w:val="000000" w:themeColor="text1"/>
              </w:rPr>
            </w:pPr>
            <w:r w:rsidRPr="00286216">
              <w:rPr>
                <w:color w:val="000000" w:themeColor="text1"/>
              </w:rPr>
              <w:t>2. Діяльність з управління майном для фінансування об’єктів будівництва та/або здійснення операцій з нерухомістю регулюється Законом України "Про фінансово-кредитні механізми і управління майном при будівництві житла та операціях з нерухомістю", цим Законом та іншими актами законодавства, якими регулюються фінансові механізми здійснення інвестиції у будівництво.</w:t>
            </w:r>
          </w:p>
        </w:tc>
        <w:tc>
          <w:tcPr>
            <w:tcW w:w="3686" w:type="dxa"/>
          </w:tcPr>
          <w:p w14:paraId="42FBE327" w14:textId="77777777" w:rsidR="00806997" w:rsidRPr="00286216" w:rsidRDefault="00806997" w:rsidP="00806997">
            <w:pPr>
              <w:pStyle w:val="StyleProp"/>
              <w:rPr>
                <w:color w:val="000000" w:themeColor="text1"/>
                <w:szCs w:val="18"/>
              </w:rPr>
            </w:pPr>
          </w:p>
        </w:tc>
        <w:tc>
          <w:tcPr>
            <w:tcW w:w="1987" w:type="dxa"/>
          </w:tcPr>
          <w:p w14:paraId="54463213" w14:textId="77777777" w:rsidR="00806997" w:rsidRPr="00286216" w:rsidRDefault="00806997" w:rsidP="00806997">
            <w:pPr>
              <w:pStyle w:val="StyleWisnow"/>
              <w:rPr>
                <w:color w:val="000000" w:themeColor="text1"/>
              </w:rPr>
            </w:pPr>
          </w:p>
        </w:tc>
        <w:tc>
          <w:tcPr>
            <w:tcW w:w="4818" w:type="dxa"/>
          </w:tcPr>
          <w:p w14:paraId="23FBD3C1" w14:textId="62DDE39D" w:rsidR="00806997" w:rsidRPr="00286216" w:rsidRDefault="00806997" w:rsidP="00806997">
            <w:pPr>
              <w:pStyle w:val="StyleZakonu"/>
              <w:rPr>
                <w:color w:val="000000" w:themeColor="text1"/>
              </w:rPr>
            </w:pPr>
            <w:r w:rsidRPr="00286216">
              <w:rPr>
                <w:color w:val="000000" w:themeColor="text1"/>
              </w:rPr>
              <w:t>2. Діяльність з управління майном для фінансування об’єктів будівництва та/або здійснення операцій з нерухомістю регулюється Законом України "Про фінансово-кредитні механізми і управління майном при будівництві житла та операціях з нерухомістю", цим Законом та іншими актами законодавства, якими регулюються фінансові механізми здійснення інвестиції у будівництво.</w:t>
            </w:r>
          </w:p>
        </w:tc>
      </w:tr>
      <w:tr w:rsidR="00806997" w:rsidRPr="00286216" w14:paraId="245EF339" w14:textId="77777777" w:rsidTr="00091AA5">
        <w:tc>
          <w:tcPr>
            <w:tcW w:w="576" w:type="dxa"/>
          </w:tcPr>
          <w:p w14:paraId="3F4D812D" w14:textId="77777777" w:rsidR="00806997" w:rsidRPr="00286216" w:rsidRDefault="00806997" w:rsidP="00806997">
            <w:pPr>
              <w:pStyle w:val="StyleWisnow"/>
              <w:rPr>
                <w:color w:val="000000" w:themeColor="text1"/>
              </w:rPr>
            </w:pPr>
            <w:bookmarkStart w:id="816" w:name="n1096" w:colFirst="0" w:colLast="0"/>
            <w:bookmarkEnd w:id="815"/>
            <w:r w:rsidRPr="00286216">
              <w:rPr>
                <w:color w:val="000000" w:themeColor="text1"/>
              </w:rPr>
              <w:t>1096.</w:t>
            </w:r>
          </w:p>
        </w:tc>
        <w:tc>
          <w:tcPr>
            <w:tcW w:w="4818" w:type="dxa"/>
          </w:tcPr>
          <w:p w14:paraId="1B6162FB" w14:textId="77777777" w:rsidR="00806997" w:rsidRPr="00286216" w:rsidRDefault="00806997" w:rsidP="00806997">
            <w:pPr>
              <w:pStyle w:val="StyleZakonu"/>
              <w:rPr>
                <w:color w:val="000000" w:themeColor="text1"/>
              </w:rPr>
            </w:pPr>
            <w:r w:rsidRPr="00286216">
              <w:rPr>
                <w:color w:val="000000" w:themeColor="text1"/>
              </w:rPr>
              <w:t>Стаття 63. Діяльність з адміністрування недержавних пенсійних фондів</w:t>
            </w:r>
          </w:p>
        </w:tc>
        <w:tc>
          <w:tcPr>
            <w:tcW w:w="3686" w:type="dxa"/>
          </w:tcPr>
          <w:p w14:paraId="021F038A" w14:textId="77777777" w:rsidR="00806997" w:rsidRPr="00286216" w:rsidRDefault="00806997" w:rsidP="00806997">
            <w:pPr>
              <w:pStyle w:val="StyleProp"/>
              <w:rPr>
                <w:color w:val="000000" w:themeColor="text1"/>
                <w:szCs w:val="18"/>
              </w:rPr>
            </w:pPr>
          </w:p>
        </w:tc>
        <w:tc>
          <w:tcPr>
            <w:tcW w:w="1987" w:type="dxa"/>
          </w:tcPr>
          <w:p w14:paraId="7AD77C20" w14:textId="77777777" w:rsidR="00806997" w:rsidRPr="00286216" w:rsidRDefault="00806997" w:rsidP="00806997">
            <w:pPr>
              <w:pStyle w:val="StyleWisnow"/>
              <w:rPr>
                <w:color w:val="000000" w:themeColor="text1"/>
              </w:rPr>
            </w:pPr>
          </w:p>
        </w:tc>
        <w:tc>
          <w:tcPr>
            <w:tcW w:w="4818" w:type="dxa"/>
          </w:tcPr>
          <w:p w14:paraId="37C1E445" w14:textId="2D8E75D6" w:rsidR="00806997" w:rsidRPr="00286216" w:rsidRDefault="00806997" w:rsidP="00806997">
            <w:pPr>
              <w:pStyle w:val="StyleZakonu"/>
              <w:rPr>
                <w:color w:val="000000" w:themeColor="text1"/>
              </w:rPr>
            </w:pPr>
            <w:r w:rsidRPr="00286216">
              <w:rPr>
                <w:color w:val="000000" w:themeColor="text1"/>
              </w:rPr>
              <w:t>Стаття 68. Діяльність з адміністрування недержавних пенсійних фондів</w:t>
            </w:r>
          </w:p>
        </w:tc>
      </w:tr>
      <w:tr w:rsidR="00806997" w:rsidRPr="00286216" w14:paraId="627DDE73" w14:textId="77777777" w:rsidTr="00091AA5">
        <w:tc>
          <w:tcPr>
            <w:tcW w:w="576" w:type="dxa"/>
          </w:tcPr>
          <w:p w14:paraId="69A5A879" w14:textId="77777777" w:rsidR="00806997" w:rsidRPr="00286216" w:rsidRDefault="00806997" w:rsidP="00806997">
            <w:pPr>
              <w:pStyle w:val="StyleWisnow"/>
              <w:rPr>
                <w:color w:val="000000" w:themeColor="text1"/>
              </w:rPr>
            </w:pPr>
            <w:bookmarkStart w:id="817" w:name="n1097" w:colFirst="0" w:colLast="0"/>
            <w:bookmarkEnd w:id="816"/>
            <w:r w:rsidRPr="00286216">
              <w:rPr>
                <w:color w:val="000000" w:themeColor="text1"/>
              </w:rPr>
              <w:t>1097.</w:t>
            </w:r>
          </w:p>
        </w:tc>
        <w:tc>
          <w:tcPr>
            <w:tcW w:w="4818" w:type="dxa"/>
          </w:tcPr>
          <w:p w14:paraId="133D10D6" w14:textId="77777777" w:rsidR="00806997" w:rsidRPr="00286216" w:rsidRDefault="00806997" w:rsidP="00806997">
            <w:pPr>
              <w:pStyle w:val="StyleZakonu"/>
              <w:rPr>
                <w:color w:val="000000" w:themeColor="text1"/>
              </w:rPr>
            </w:pPr>
            <w:r w:rsidRPr="00286216">
              <w:rPr>
                <w:color w:val="000000" w:themeColor="text1"/>
              </w:rPr>
              <w:t>1. Діяльність з адміністрування недержавних пенсійних фондів - професійна діяльність учасника фондового ринку - адміністратора недержавного пенсійного фонду, що провадиться ним за винагороду від свого імені та на підставі відповідного договору з недержавним пенсійним фондом.</w:t>
            </w:r>
          </w:p>
        </w:tc>
        <w:tc>
          <w:tcPr>
            <w:tcW w:w="3686" w:type="dxa"/>
          </w:tcPr>
          <w:p w14:paraId="28BBA448" w14:textId="77777777" w:rsidR="00806997" w:rsidRPr="00286216" w:rsidRDefault="00806997" w:rsidP="00806997">
            <w:pPr>
              <w:pStyle w:val="StyleProp"/>
              <w:rPr>
                <w:color w:val="000000" w:themeColor="text1"/>
                <w:szCs w:val="18"/>
              </w:rPr>
            </w:pPr>
          </w:p>
        </w:tc>
        <w:tc>
          <w:tcPr>
            <w:tcW w:w="1987" w:type="dxa"/>
          </w:tcPr>
          <w:p w14:paraId="419A1D05" w14:textId="77777777" w:rsidR="00806997" w:rsidRPr="00286216" w:rsidRDefault="00806997" w:rsidP="00806997">
            <w:pPr>
              <w:pStyle w:val="StyleWisnow"/>
              <w:rPr>
                <w:color w:val="000000" w:themeColor="text1"/>
              </w:rPr>
            </w:pPr>
          </w:p>
        </w:tc>
        <w:tc>
          <w:tcPr>
            <w:tcW w:w="4818" w:type="dxa"/>
          </w:tcPr>
          <w:p w14:paraId="505831DD" w14:textId="613565F0" w:rsidR="00806997" w:rsidRPr="00286216" w:rsidRDefault="00806997" w:rsidP="00806997">
            <w:pPr>
              <w:pStyle w:val="StyleZakonu"/>
              <w:rPr>
                <w:color w:val="000000" w:themeColor="text1"/>
              </w:rPr>
            </w:pPr>
            <w:r w:rsidRPr="00286216">
              <w:rPr>
                <w:color w:val="000000" w:themeColor="text1"/>
              </w:rPr>
              <w:t>1. Діяльність з адміністрування недержавних пенсійних фондів – це професійна діяльність учасника фондового ринку - адміністратора недержавного пенсійного фонду, що провадиться ним за винагороду від свого імені та на підставі відповідного договору з недержавним пенсійним фондом.</w:t>
            </w:r>
          </w:p>
        </w:tc>
      </w:tr>
      <w:tr w:rsidR="00806997" w:rsidRPr="00286216" w14:paraId="654AFC93" w14:textId="77777777" w:rsidTr="00091AA5">
        <w:tc>
          <w:tcPr>
            <w:tcW w:w="576" w:type="dxa"/>
          </w:tcPr>
          <w:p w14:paraId="11CBC296" w14:textId="77777777" w:rsidR="00806997" w:rsidRPr="00286216" w:rsidRDefault="00806997" w:rsidP="00806997">
            <w:pPr>
              <w:pStyle w:val="StyleWisnow"/>
              <w:rPr>
                <w:color w:val="000000" w:themeColor="text1"/>
              </w:rPr>
            </w:pPr>
            <w:bookmarkStart w:id="818" w:name="n1098" w:colFirst="0" w:colLast="0"/>
            <w:bookmarkEnd w:id="817"/>
            <w:r w:rsidRPr="00286216">
              <w:rPr>
                <w:color w:val="000000" w:themeColor="text1"/>
              </w:rPr>
              <w:t>1098.</w:t>
            </w:r>
          </w:p>
        </w:tc>
        <w:tc>
          <w:tcPr>
            <w:tcW w:w="4818" w:type="dxa"/>
          </w:tcPr>
          <w:p w14:paraId="50F4C20B" w14:textId="77777777" w:rsidR="00806997" w:rsidRPr="00286216" w:rsidRDefault="00806997" w:rsidP="00806997">
            <w:pPr>
              <w:pStyle w:val="StyleZakonu"/>
              <w:rPr>
                <w:color w:val="000000" w:themeColor="text1"/>
              </w:rPr>
            </w:pPr>
            <w:r w:rsidRPr="00286216">
              <w:rPr>
                <w:color w:val="000000" w:themeColor="text1"/>
              </w:rPr>
              <w:t>2. Діяльність з адміністрування недержавних пенсійних фондів регулюється спеціальним законодавством.</w:t>
            </w:r>
          </w:p>
        </w:tc>
        <w:tc>
          <w:tcPr>
            <w:tcW w:w="3686" w:type="dxa"/>
          </w:tcPr>
          <w:p w14:paraId="58C4F9C2" w14:textId="77777777" w:rsidR="00806997" w:rsidRPr="00286216" w:rsidRDefault="00806997" w:rsidP="00806997">
            <w:pPr>
              <w:pStyle w:val="StyleProp"/>
              <w:rPr>
                <w:color w:val="000000" w:themeColor="text1"/>
                <w:szCs w:val="18"/>
              </w:rPr>
            </w:pPr>
          </w:p>
        </w:tc>
        <w:tc>
          <w:tcPr>
            <w:tcW w:w="1987" w:type="dxa"/>
          </w:tcPr>
          <w:p w14:paraId="17AE788C" w14:textId="77777777" w:rsidR="00806997" w:rsidRPr="00286216" w:rsidRDefault="00806997" w:rsidP="00806997">
            <w:pPr>
              <w:pStyle w:val="StyleWisnow"/>
              <w:rPr>
                <w:color w:val="000000" w:themeColor="text1"/>
              </w:rPr>
            </w:pPr>
          </w:p>
        </w:tc>
        <w:tc>
          <w:tcPr>
            <w:tcW w:w="4818" w:type="dxa"/>
          </w:tcPr>
          <w:p w14:paraId="1B534A02" w14:textId="56BFBC05" w:rsidR="00806997" w:rsidRPr="00286216" w:rsidRDefault="00806997" w:rsidP="00806997">
            <w:pPr>
              <w:pStyle w:val="StyleZakonu"/>
              <w:rPr>
                <w:color w:val="000000" w:themeColor="text1"/>
              </w:rPr>
            </w:pPr>
            <w:r w:rsidRPr="00286216">
              <w:rPr>
                <w:color w:val="000000" w:themeColor="text1"/>
              </w:rPr>
              <w:t>2. Діяльність з адміністрування недержавних пенсійних фондів регулюється спеціальним законодавством.</w:t>
            </w:r>
          </w:p>
        </w:tc>
      </w:tr>
      <w:tr w:rsidR="00806997" w:rsidRPr="00286216" w14:paraId="40CEDFF7" w14:textId="77777777" w:rsidTr="00091AA5">
        <w:tc>
          <w:tcPr>
            <w:tcW w:w="576" w:type="dxa"/>
          </w:tcPr>
          <w:p w14:paraId="08C8890B" w14:textId="77777777" w:rsidR="00806997" w:rsidRPr="00286216" w:rsidRDefault="00806997" w:rsidP="00806997">
            <w:pPr>
              <w:pStyle w:val="StyleWisnow"/>
              <w:rPr>
                <w:color w:val="000000" w:themeColor="text1"/>
              </w:rPr>
            </w:pPr>
            <w:bookmarkStart w:id="819" w:name="n1099" w:colFirst="0" w:colLast="0"/>
            <w:bookmarkEnd w:id="818"/>
            <w:r w:rsidRPr="00286216">
              <w:rPr>
                <w:color w:val="000000" w:themeColor="text1"/>
              </w:rPr>
              <w:t>1099.</w:t>
            </w:r>
          </w:p>
        </w:tc>
        <w:tc>
          <w:tcPr>
            <w:tcW w:w="4818" w:type="dxa"/>
          </w:tcPr>
          <w:p w14:paraId="103E2538" w14:textId="77777777" w:rsidR="00806997" w:rsidRPr="00286216" w:rsidRDefault="00806997" w:rsidP="00806997">
            <w:pPr>
              <w:pStyle w:val="StyleZakonu"/>
              <w:rPr>
                <w:color w:val="000000" w:themeColor="text1"/>
              </w:rPr>
            </w:pPr>
            <w:bookmarkStart w:id="820" w:name="_Ref16415363"/>
            <w:r w:rsidRPr="00286216">
              <w:rPr>
                <w:color w:val="000000" w:themeColor="text1"/>
              </w:rPr>
              <w:t>Стаття 64. Діяльність з організації торгівлі продукцією</w:t>
            </w:r>
            <w:bookmarkEnd w:id="820"/>
            <w:r w:rsidRPr="00286216">
              <w:rPr>
                <w:color w:val="000000" w:themeColor="text1"/>
              </w:rPr>
              <w:t xml:space="preserve"> на регульованому товарному ринку</w:t>
            </w:r>
          </w:p>
        </w:tc>
        <w:tc>
          <w:tcPr>
            <w:tcW w:w="3686" w:type="dxa"/>
          </w:tcPr>
          <w:p w14:paraId="3B268DFD" w14:textId="3BB1B915" w:rsidR="00806997" w:rsidRPr="00286216" w:rsidRDefault="00806997" w:rsidP="0080699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599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1220909" w14:textId="77777777" w:rsidR="00806997" w:rsidRPr="00286216" w:rsidRDefault="00806997" w:rsidP="0080699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21C18E37" w14:textId="607F6602" w:rsidR="00806997" w:rsidRPr="00286216" w:rsidRDefault="00806997" w:rsidP="00806997">
            <w:pPr>
              <w:pStyle w:val="StyleProp"/>
              <w:rPr>
                <w:color w:val="000000" w:themeColor="text1"/>
              </w:rPr>
            </w:pPr>
            <w:r w:rsidRPr="00286216">
              <w:rPr>
                <w:color w:val="000000" w:themeColor="text1"/>
              </w:rPr>
              <w:t>Статтю 64 виключити.</w:t>
            </w:r>
          </w:p>
        </w:tc>
        <w:tc>
          <w:tcPr>
            <w:tcW w:w="1987" w:type="dxa"/>
          </w:tcPr>
          <w:p w14:paraId="197995B2" w14:textId="77777777" w:rsidR="00806997" w:rsidRPr="00286216" w:rsidRDefault="00806997" w:rsidP="00806997">
            <w:pPr>
              <w:pStyle w:val="StyleWisnow"/>
              <w:rPr>
                <w:color w:val="000000" w:themeColor="text1"/>
              </w:rPr>
            </w:pPr>
            <w:r w:rsidRPr="00286216">
              <w:rPr>
                <w:color w:val="000000" w:themeColor="text1"/>
              </w:rPr>
              <w:t>Враховано</w:t>
            </w:r>
          </w:p>
        </w:tc>
        <w:tc>
          <w:tcPr>
            <w:tcW w:w="4818" w:type="dxa"/>
          </w:tcPr>
          <w:p w14:paraId="68708C9A" w14:textId="77777777" w:rsidR="00806997" w:rsidRPr="00286216" w:rsidRDefault="00806997" w:rsidP="00806997">
            <w:pPr>
              <w:pStyle w:val="StyleZakonu"/>
              <w:rPr>
                <w:color w:val="000000" w:themeColor="text1"/>
              </w:rPr>
            </w:pPr>
          </w:p>
        </w:tc>
      </w:tr>
      <w:tr w:rsidR="00291EAB" w:rsidRPr="00286216" w14:paraId="546DA08A" w14:textId="77777777" w:rsidTr="00091AA5">
        <w:tc>
          <w:tcPr>
            <w:tcW w:w="576" w:type="dxa"/>
          </w:tcPr>
          <w:p w14:paraId="5B72CF69" w14:textId="77777777" w:rsidR="00291EAB" w:rsidRPr="00286216" w:rsidRDefault="00291EAB" w:rsidP="00291EAB">
            <w:pPr>
              <w:pStyle w:val="StyleWisnow"/>
              <w:rPr>
                <w:color w:val="000000" w:themeColor="text1"/>
              </w:rPr>
            </w:pPr>
            <w:bookmarkStart w:id="821" w:name="n1100" w:colFirst="0" w:colLast="0"/>
            <w:bookmarkEnd w:id="819"/>
            <w:r w:rsidRPr="00286216">
              <w:rPr>
                <w:color w:val="000000" w:themeColor="text1"/>
              </w:rPr>
              <w:lastRenderedPageBreak/>
              <w:t>1100.</w:t>
            </w:r>
          </w:p>
        </w:tc>
        <w:tc>
          <w:tcPr>
            <w:tcW w:w="4818" w:type="dxa"/>
          </w:tcPr>
          <w:p w14:paraId="5E8BD053" w14:textId="77777777" w:rsidR="00291EAB" w:rsidRPr="00286216" w:rsidRDefault="00291EAB" w:rsidP="00291EAB">
            <w:pPr>
              <w:pStyle w:val="StyleZakonu"/>
              <w:rPr>
                <w:color w:val="000000" w:themeColor="text1"/>
              </w:rPr>
            </w:pPr>
            <w:r w:rsidRPr="00286216">
              <w:rPr>
                <w:color w:val="000000" w:themeColor="text1"/>
              </w:rPr>
              <w:t>1. Діяльність з організації торгівлі продукцією на регульованому товарному ринку здійснюється оператором регульованого товарного ринку на підставі передбаченої статтею 4 Закону України "Про державне регулювання ринків капіталу та організованих товарних ринків" ліцензії, що видається Національною комісією з цінних паперів та фондового ринку.</w:t>
            </w:r>
          </w:p>
        </w:tc>
        <w:tc>
          <w:tcPr>
            <w:tcW w:w="3686" w:type="dxa"/>
          </w:tcPr>
          <w:p w14:paraId="34C3F08C" w14:textId="6A8E9546"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600</w:t>
            </w:r>
            <w:r w:rsidRPr="00286216">
              <w:rPr>
                <w:color w:val="000000" w:themeColor="text1"/>
                <w:spacing w:val="-10"/>
              </w:rPr>
              <w:fldChar w:fldCharType="end"/>
            </w:r>
            <w:r w:rsidRPr="00286216">
              <w:rPr>
                <w:color w:val="000000" w:themeColor="text1"/>
                <w:spacing w:val="-10"/>
              </w:rPr>
              <w:t>-Н.д.Гетманцев Д.О.(Реєстр.картка №245)</w:t>
            </w:r>
          </w:p>
          <w:p w14:paraId="5BEFF004" w14:textId="77777777" w:rsidR="00291EAB" w:rsidRPr="00286216" w:rsidRDefault="00291EAB" w:rsidP="00291EAB">
            <w:pPr>
              <w:pStyle w:val="StyleProp"/>
              <w:rPr>
                <w:color w:val="000000" w:themeColor="text1"/>
              </w:rPr>
            </w:pPr>
            <w:r w:rsidRPr="00286216">
              <w:rPr>
                <w:color w:val="000000" w:themeColor="text1"/>
              </w:rPr>
              <w:t>Частину 1 статті 64 викласти у редакції:</w:t>
            </w:r>
          </w:p>
          <w:p w14:paraId="1ED7BC65" w14:textId="77777777" w:rsidR="00291EAB" w:rsidRPr="00286216" w:rsidRDefault="00291EAB" w:rsidP="00291EAB">
            <w:pPr>
              <w:pStyle w:val="StyleProp"/>
              <w:spacing w:line="190" w:lineRule="exact"/>
              <w:rPr>
                <w:color w:val="000000" w:themeColor="text1"/>
              </w:rPr>
            </w:pPr>
            <w:r w:rsidRPr="00286216">
              <w:rPr>
                <w:color w:val="000000" w:themeColor="text1"/>
              </w:rPr>
              <w:t>«1. Діяльність з організації торгівлі продукцією на регульованому товарному ринку здійснюється оператором регульованого товарного ринку на підставі відповідної ліцензії, що видається Національною комісією з цінних паперів та фондового ринку.»</w:t>
            </w:r>
          </w:p>
        </w:tc>
        <w:tc>
          <w:tcPr>
            <w:tcW w:w="1987" w:type="dxa"/>
          </w:tcPr>
          <w:p w14:paraId="55633A98" w14:textId="77777777" w:rsidR="00291EAB" w:rsidRPr="00286216" w:rsidRDefault="00291EAB" w:rsidP="00291EAB">
            <w:pPr>
              <w:pStyle w:val="StyleWisnow"/>
              <w:rPr>
                <w:color w:val="000000" w:themeColor="text1"/>
              </w:rPr>
            </w:pPr>
            <w:r w:rsidRPr="00286216">
              <w:rPr>
                <w:color w:val="000000" w:themeColor="text1"/>
              </w:rPr>
              <w:t>Відхилено</w:t>
            </w:r>
          </w:p>
          <w:p w14:paraId="5ACBB322" w14:textId="77777777" w:rsidR="00291EAB" w:rsidRPr="00286216" w:rsidRDefault="00291EAB" w:rsidP="00291EAB">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53A3F7FE" w14:textId="77777777" w:rsidR="00291EAB" w:rsidRPr="00286216" w:rsidRDefault="00291EAB" w:rsidP="00291EAB">
            <w:pPr>
              <w:pStyle w:val="StyleZakonu"/>
              <w:rPr>
                <w:color w:val="000000" w:themeColor="text1"/>
              </w:rPr>
            </w:pPr>
          </w:p>
        </w:tc>
      </w:tr>
      <w:tr w:rsidR="00291EAB" w:rsidRPr="00286216" w14:paraId="76F1243F" w14:textId="77777777" w:rsidTr="00091AA5">
        <w:tc>
          <w:tcPr>
            <w:tcW w:w="576" w:type="dxa"/>
          </w:tcPr>
          <w:p w14:paraId="0CB4C319" w14:textId="77777777" w:rsidR="00291EAB" w:rsidRPr="00286216" w:rsidRDefault="00291EAB" w:rsidP="00291EAB">
            <w:pPr>
              <w:pStyle w:val="StyleWisnow"/>
              <w:rPr>
                <w:color w:val="000000" w:themeColor="text1"/>
              </w:rPr>
            </w:pPr>
            <w:bookmarkStart w:id="822" w:name="n1101" w:colFirst="0" w:colLast="0"/>
            <w:bookmarkEnd w:id="821"/>
            <w:r w:rsidRPr="00286216">
              <w:rPr>
                <w:color w:val="000000" w:themeColor="text1"/>
              </w:rPr>
              <w:t>1101.</w:t>
            </w:r>
          </w:p>
        </w:tc>
        <w:tc>
          <w:tcPr>
            <w:tcW w:w="4818" w:type="dxa"/>
          </w:tcPr>
          <w:p w14:paraId="0DAD5E51" w14:textId="77777777" w:rsidR="00291EAB" w:rsidRPr="00286216" w:rsidRDefault="00291EAB" w:rsidP="00291EAB">
            <w:pPr>
              <w:pStyle w:val="StyleZakonu"/>
              <w:rPr>
                <w:color w:val="000000" w:themeColor="text1"/>
              </w:rPr>
            </w:pPr>
            <w:r w:rsidRPr="00286216">
              <w:rPr>
                <w:color w:val="000000" w:themeColor="text1"/>
              </w:rPr>
              <w:t>Оператор регульованого товарного ринку може провадити діяльність з організації торгівлі продукцією на товарних біржах за умови отримання відповідної ліцензії.</w:t>
            </w:r>
          </w:p>
        </w:tc>
        <w:tc>
          <w:tcPr>
            <w:tcW w:w="3686" w:type="dxa"/>
          </w:tcPr>
          <w:p w14:paraId="4F0800CC" w14:textId="04444BA9"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601</w:t>
            </w:r>
            <w:r w:rsidRPr="00286216">
              <w:rPr>
                <w:color w:val="000000" w:themeColor="text1"/>
              </w:rPr>
              <w:fldChar w:fldCharType="end"/>
            </w:r>
            <w:r w:rsidRPr="00286216">
              <w:rPr>
                <w:color w:val="000000" w:themeColor="text1"/>
              </w:rPr>
              <w:t>-Н.д.Шахов С.В. (Реєстр.картка №114)</w:t>
            </w:r>
          </w:p>
          <w:p w14:paraId="011374DE" w14:textId="77777777" w:rsidR="00291EAB" w:rsidRPr="00286216" w:rsidRDefault="00291EAB" w:rsidP="00291EAB">
            <w:pPr>
              <w:pStyle w:val="StyleProp"/>
              <w:rPr>
                <w:color w:val="000000" w:themeColor="text1"/>
                <w:spacing w:val="-5"/>
              </w:rPr>
            </w:pPr>
            <w:r w:rsidRPr="00286216">
              <w:rPr>
                <w:color w:val="000000" w:themeColor="text1"/>
                <w:spacing w:val="-5"/>
              </w:rPr>
              <w:t>Частину 1 статті 64 викласти у такій редакції:</w:t>
            </w:r>
          </w:p>
          <w:p w14:paraId="62772B8F" w14:textId="77777777" w:rsidR="00291EAB" w:rsidRPr="00286216" w:rsidRDefault="00291EAB" w:rsidP="00291EAB">
            <w:pPr>
              <w:pStyle w:val="StyleProp"/>
              <w:spacing w:line="180" w:lineRule="exact"/>
              <w:rPr>
                <w:color w:val="000000" w:themeColor="text1"/>
              </w:rPr>
            </w:pPr>
            <w:r w:rsidRPr="00286216">
              <w:rPr>
                <w:color w:val="000000" w:themeColor="text1"/>
              </w:rPr>
              <w:t>«1. Діяльність з організації торгівлі продукцією на регульованому товарному ринку здійснюється оператором регульованого товарного ринку на підставах, визначених законодавством про товарні ринки, а в разі відсутності таких положень в законодавстві про товарні ринки, на підставі передбаченої статтею 4 Закону України «Про державне регулювання ринків капіталу та організованих товарних ринків» ліцензії, що видається Національною комісією з цінних паперів та фондового ринку.</w:t>
            </w:r>
          </w:p>
          <w:p w14:paraId="10CEEEA9" w14:textId="77777777" w:rsidR="00291EAB" w:rsidRPr="00286216" w:rsidRDefault="00291EAB" w:rsidP="00291EAB">
            <w:pPr>
              <w:pStyle w:val="StyleProp"/>
              <w:spacing w:line="180" w:lineRule="exact"/>
              <w:rPr>
                <w:color w:val="000000" w:themeColor="text1"/>
                <w:szCs w:val="18"/>
              </w:rPr>
            </w:pPr>
            <w:r w:rsidRPr="00286216">
              <w:rPr>
                <w:color w:val="000000" w:themeColor="text1"/>
              </w:rPr>
              <w:t>Оператор регульованого товарного ринку може провадити діяльність з організації торгівлі продукцією на товарних біржах за умови отримання відповідної ліцензії, що видається регулятором відповідного ринку, або на інших підставах, визначених законодавством про товарні ринки».</w:t>
            </w:r>
          </w:p>
        </w:tc>
        <w:tc>
          <w:tcPr>
            <w:tcW w:w="1987" w:type="dxa"/>
          </w:tcPr>
          <w:p w14:paraId="6DA682F0" w14:textId="77777777" w:rsidR="00291EAB" w:rsidRPr="00286216" w:rsidRDefault="00291EAB" w:rsidP="00291EAB">
            <w:pPr>
              <w:pStyle w:val="StyleWisnow"/>
              <w:rPr>
                <w:color w:val="000000" w:themeColor="text1"/>
              </w:rPr>
            </w:pPr>
            <w:r w:rsidRPr="00286216">
              <w:rPr>
                <w:color w:val="000000" w:themeColor="text1"/>
              </w:rPr>
              <w:t>Відхилено</w:t>
            </w:r>
          </w:p>
          <w:p w14:paraId="27FA1E36" w14:textId="77777777" w:rsidR="00291EAB" w:rsidRPr="00286216" w:rsidRDefault="00291EAB" w:rsidP="00291EAB">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4165BC2F" w14:textId="77777777" w:rsidR="00291EAB" w:rsidRPr="00286216" w:rsidRDefault="00291EAB" w:rsidP="00291EAB">
            <w:pPr>
              <w:pStyle w:val="StyleZakonu"/>
              <w:rPr>
                <w:color w:val="000000" w:themeColor="text1"/>
              </w:rPr>
            </w:pPr>
          </w:p>
        </w:tc>
      </w:tr>
      <w:tr w:rsidR="00291EAB" w:rsidRPr="00286216" w14:paraId="689EEC5C" w14:textId="77777777" w:rsidTr="00091AA5">
        <w:tc>
          <w:tcPr>
            <w:tcW w:w="576" w:type="dxa"/>
          </w:tcPr>
          <w:p w14:paraId="1C08888A" w14:textId="77777777" w:rsidR="00291EAB" w:rsidRPr="00286216" w:rsidRDefault="00291EAB" w:rsidP="00291EAB">
            <w:pPr>
              <w:pStyle w:val="StyleWisnow"/>
              <w:rPr>
                <w:color w:val="000000" w:themeColor="text1"/>
              </w:rPr>
            </w:pPr>
            <w:bookmarkStart w:id="823" w:name="n1102" w:colFirst="0" w:colLast="0"/>
            <w:bookmarkEnd w:id="822"/>
            <w:r w:rsidRPr="00286216">
              <w:rPr>
                <w:color w:val="000000" w:themeColor="text1"/>
              </w:rPr>
              <w:t>1102.</w:t>
            </w:r>
          </w:p>
        </w:tc>
        <w:tc>
          <w:tcPr>
            <w:tcW w:w="4818" w:type="dxa"/>
          </w:tcPr>
          <w:p w14:paraId="0E6ACF28" w14:textId="77777777" w:rsidR="00291EAB" w:rsidRPr="00286216" w:rsidRDefault="00291EAB" w:rsidP="00291EAB">
            <w:pPr>
              <w:pStyle w:val="StyleZakonu"/>
              <w:rPr>
                <w:color w:val="000000" w:themeColor="text1"/>
              </w:rPr>
            </w:pPr>
            <w:r w:rsidRPr="00286216">
              <w:rPr>
                <w:color w:val="000000" w:themeColor="text1"/>
              </w:rPr>
              <w:t>2. Актив, допущений до торгів на регульованому товарному ринку, а саме продукція та інше майно, визначене родовими ознаками, є предметом торгівлі на регульованому товарному ринку.</w:t>
            </w:r>
          </w:p>
        </w:tc>
        <w:tc>
          <w:tcPr>
            <w:tcW w:w="3686" w:type="dxa"/>
          </w:tcPr>
          <w:p w14:paraId="3299EDC6" w14:textId="77777777" w:rsidR="00291EAB" w:rsidRPr="00286216" w:rsidRDefault="00291EAB" w:rsidP="00291EAB">
            <w:pPr>
              <w:pStyle w:val="StyleProp"/>
              <w:rPr>
                <w:color w:val="000000" w:themeColor="text1"/>
                <w:szCs w:val="18"/>
              </w:rPr>
            </w:pPr>
          </w:p>
        </w:tc>
        <w:tc>
          <w:tcPr>
            <w:tcW w:w="1987" w:type="dxa"/>
          </w:tcPr>
          <w:p w14:paraId="5643A044" w14:textId="77777777" w:rsidR="00291EAB" w:rsidRPr="00286216" w:rsidRDefault="00291EAB" w:rsidP="00291EAB">
            <w:pPr>
              <w:pStyle w:val="StyleWisnow"/>
              <w:rPr>
                <w:color w:val="000000" w:themeColor="text1"/>
              </w:rPr>
            </w:pPr>
          </w:p>
        </w:tc>
        <w:tc>
          <w:tcPr>
            <w:tcW w:w="4818" w:type="dxa"/>
          </w:tcPr>
          <w:p w14:paraId="7B683AA6" w14:textId="77777777" w:rsidR="00291EAB" w:rsidRPr="00286216" w:rsidRDefault="00291EAB" w:rsidP="00291EAB">
            <w:pPr>
              <w:pStyle w:val="StyleZakonu"/>
              <w:rPr>
                <w:color w:val="000000" w:themeColor="text1"/>
              </w:rPr>
            </w:pPr>
          </w:p>
        </w:tc>
      </w:tr>
      <w:tr w:rsidR="00291EAB" w:rsidRPr="00286216" w14:paraId="67F37712" w14:textId="77777777" w:rsidTr="00091AA5">
        <w:tc>
          <w:tcPr>
            <w:tcW w:w="576" w:type="dxa"/>
          </w:tcPr>
          <w:p w14:paraId="33DE8194" w14:textId="77777777" w:rsidR="00291EAB" w:rsidRPr="00286216" w:rsidRDefault="00291EAB" w:rsidP="00291EAB">
            <w:pPr>
              <w:pStyle w:val="StyleWisnow"/>
              <w:rPr>
                <w:color w:val="000000" w:themeColor="text1"/>
              </w:rPr>
            </w:pPr>
            <w:bookmarkStart w:id="824" w:name="n1103" w:colFirst="0" w:colLast="0"/>
            <w:bookmarkEnd w:id="823"/>
            <w:r w:rsidRPr="00286216">
              <w:rPr>
                <w:color w:val="000000" w:themeColor="text1"/>
              </w:rPr>
              <w:t>1103.</w:t>
            </w:r>
          </w:p>
        </w:tc>
        <w:tc>
          <w:tcPr>
            <w:tcW w:w="4818" w:type="dxa"/>
          </w:tcPr>
          <w:p w14:paraId="7A1DE3C7" w14:textId="77777777" w:rsidR="00291EAB" w:rsidRPr="00286216" w:rsidRDefault="00291EAB" w:rsidP="00291EAB">
            <w:pPr>
              <w:pStyle w:val="StyleZakonu"/>
              <w:rPr>
                <w:color w:val="000000" w:themeColor="text1"/>
              </w:rPr>
            </w:pPr>
            <w:r w:rsidRPr="00286216">
              <w:rPr>
                <w:color w:val="000000" w:themeColor="text1"/>
              </w:rPr>
              <w:t>3. Оператор регульованого товарного ринку:</w:t>
            </w:r>
          </w:p>
        </w:tc>
        <w:tc>
          <w:tcPr>
            <w:tcW w:w="3686" w:type="dxa"/>
          </w:tcPr>
          <w:p w14:paraId="67B84167" w14:textId="77777777" w:rsidR="00291EAB" w:rsidRPr="00286216" w:rsidRDefault="00291EAB" w:rsidP="00291EAB">
            <w:pPr>
              <w:pStyle w:val="StyleProp"/>
              <w:rPr>
                <w:color w:val="000000" w:themeColor="text1"/>
                <w:szCs w:val="18"/>
              </w:rPr>
            </w:pPr>
          </w:p>
        </w:tc>
        <w:tc>
          <w:tcPr>
            <w:tcW w:w="1987" w:type="dxa"/>
          </w:tcPr>
          <w:p w14:paraId="22B1ECDA" w14:textId="77777777" w:rsidR="00291EAB" w:rsidRPr="00286216" w:rsidRDefault="00291EAB" w:rsidP="00291EAB">
            <w:pPr>
              <w:pStyle w:val="StyleWisnow"/>
              <w:rPr>
                <w:color w:val="000000" w:themeColor="text1"/>
              </w:rPr>
            </w:pPr>
          </w:p>
        </w:tc>
        <w:tc>
          <w:tcPr>
            <w:tcW w:w="4818" w:type="dxa"/>
          </w:tcPr>
          <w:p w14:paraId="1ED83845" w14:textId="77777777" w:rsidR="00291EAB" w:rsidRPr="00286216" w:rsidRDefault="00291EAB" w:rsidP="00291EAB">
            <w:pPr>
              <w:pStyle w:val="StyleZakonu"/>
              <w:rPr>
                <w:color w:val="000000" w:themeColor="text1"/>
              </w:rPr>
            </w:pPr>
          </w:p>
        </w:tc>
      </w:tr>
      <w:tr w:rsidR="00291EAB" w:rsidRPr="00286216" w14:paraId="03863E94" w14:textId="77777777" w:rsidTr="00091AA5">
        <w:tc>
          <w:tcPr>
            <w:tcW w:w="576" w:type="dxa"/>
          </w:tcPr>
          <w:p w14:paraId="022BDCBD" w14:textId="77777777" w:rsidR="00291EAB" w:rsidRPr="00286216" w:rsidRDefault="00291EAB" w:rsidP="00291EAB">
            <w:pPr>
              <w:pStyle w:val="StyleWisnow"/>
              <w:rPr>
                <w:color w:val="000000" w:themeColor="text1"/>
              </w:rPr>
            </w:pPr>
            <w:bookmarkStart w:id="825" w:name="n1104" w:colFirst="0" w:colLast="0"/>
            <w:bookmarkEnd w:id="824"/>
            <w:r w:rsidRPr="00286216">
              <w:rPr>
                <w:color w:val="000000" w:themeColor="text1"/>
              </w:rPr>
              <w:t>1104.</w:t>
            </w:r>
          </w:p>
        </w:tc>
        <w:tc>
          <w:tcPr>
            <w:tcW w:w="4818" w:type="dxa"/>
          </w:tcPr>
          <w:p w14:paraId="67BFE10D" w14:textId="77777777" w:rsidR="00291EAB" w:rsidRPr="00286216" w:rsidRDefault="00291EAB" w:rsidP="00291EAB">
            <w:pPr>
              <w:pStyle w:val="StyleZakonu"/>
              <w:rPr>
                <w:color w:val="000000" w:themeColor="text1"/>
              </w:rPr>
            </w:pPr>
            <w:r w:rsidRPr="00286216">
              <w:rPr>
                <w:color w:val="000000" w:themeColor="text1"/>
              </w:rPr>
              <w:t>1) розробляє, забезпечує затвердження та реєстрацію відповідно до законодавства власних недискреційних правил функціонування такого ринку (правила організованого товарного ринку), які є обов’язковими для всіх учасників ринку;</w:t>
            </w:r>
          </w:p>
        </w:tc>
        <w:tc>
          <w:tcPr>
            <w:tcW w:w="3686" w:type="dxa"/>
          </w:tcPr>
          <w:p w14:paraId="472997E0" w14:textId="77777777" w:rsidR="00291EAB" w:rsidRPr="00286216" w:rsidRDefault="00291EAB" w:rsidP="00291EAB">
            <w:pPr>
              <w:pStyle w:val="StyleProp"/>
              <w:rPr>
                <w:b/>
                <w:color w:val="000000" w:themeColor="text1"/>
                <w:szCs w:val="18"/>
              </w:rPr>
            </w:pPr>
          </w:p>
        </w:tc>
        <w:tc>
          <w:tcPr>
            <w:tcW w:w="1987" w:type="dxa"/>
          </w:tcPr>
          <w:p w14:paraId="21B4494A" w14:textId="77777777" w:rsidR="00291EAB" w:rsidRPr="00286216" w:rsidRDefault="00291EAB" w:rsidP="00291EAB">
            <w:pPr>
              <w:pStyle w:val="StyleWisnow"/>
              <w:rPr>
                <w:color w:val="000000" w:themeColor="text1"/>
              </w:rPr>
            </w:pPr>
          </w:p>
        </w:tc>
        <w:tc>
          <w:tcPr>
            <w:tcW w:w="4818" w:type="dxa"/>
          </w:tcPr>
          <w:p w14:paraId="1C6C585A" w14:textId="77777777" w:rsidR="00291EAB" w:rsidRPr="00286216" w:rsidRDefault="00291EAB" w:rsidP="00291EAB">
            <w:pPr>
              <w:pStyle w:val="StyleZakonu"/>
              <w:rPr>
                <w:color w:val="000000" w:themeColor="text1"/>
              </w:rPr>
            </w:pPr>
          </w:p>
        </w:tc>
      </w:tr>
      <w:tr w:rsidR="00291EAB" w:rsidRPr="00286216" w14:paraId="34A922CD" w14:textId="77777777" w:rsidTr="00091AA5">
        <w:tc>
          <w:tcPr>
            <w:tcW w:w="576" w:type="dxa"/>
          </w:tcPr>
          <w:p w14:paraId="501B6AFD" w14:textId="77777777" w:rsidR="00291EAB" w:rsidRPr="00286216" w:rsidRDefault="00291EAB" w:rsidP="00291EAB">
            <w:pPr>
              <w:pStyle w:val="StyleWisnow"/>
              <w:rPr>
                <w:color w:val="000000" w:themeColor="text1"/>
              </w:rPr>
            </w:pPr>
            <w:bookmarkStart w:id="826" w:name="n1105" w:colFirst="0" w:colLast="0"/>
            <w:bookmarkEnd w:id="825"/>
            <w:r w:rsidRPr="00286216">
              <w:rPr>
                <w:color w:val="000000" w:themeColor="text1"/>
              </w:rPr>
              <w:t>1105.</w:t>
            </w:r>
          </w:p>
        </w:tc>
        <w:tc>
          <w:tcPr>
            <w:tcW w:w="4818" w:type="dxa"/>
          </w:tcPr>
          <w:p w14:paraId="46E440BB" w14:textId="77777777" w:rsidR="00291EAB" w:rsidRPr="00286216" w:rsidRDefault="00291EAB" w:rsidP="00291EAB">
            <w:pPr>
              <w:pStyle w:val="StyleZakonu"/>
              <w:rPr>
                <w:color w:val="000000" w:themeColor="text1"/>
              </w:rPr>
            </w:pPr>
            <w:r w:rsidRPr="00286216">
              <w:rPr>
                <w:color w:val="000000" w:themeColor="text1"/>
              </w:rPr>
              <w:t>2) забезпечує створення організаційних, технологічних, інформаційних, правових та інших умов для збирання та поширення інформації стосовно пропозиції щодо активів, допущених до торгів на такому регульованому ринку, та для проведення регулярних торгів такими активами;</w:t>
            </w:r>
          </w:p>
        </w:tc>
        <w:tc>
          <w:tcPr>
            <w:tcW w:w="3686" w:type="dxa"/>
          </w:tcPr>
          <w:p w14:paraId="3D941116" w14:textId="77777777" w:rsidR="00291EAB" w:rsidRPr="00286216" w:rsidRDefault="00291EAB" w:rsidP="00291EAB">
            <w:pPr>
              <w:pStyle w:val="StyleProp"/>
              <w:rPr>
                <w:b/>
                <w:color w:val="000000" w:themeColor="text1"/>
                <w:szCs w:val="18"/>
              </w:rPr>
            </w:pPr>
          </w:p>
        </w:tc>
        <w:tc>
          <w:tcPr>
            <w:tcW w:w="1987" w:type="dxa"/>
          </w:tcPr>
          <w:p w14:paraId="746059F2" w14:textId="77777777" w:rsidR="00291EAB" w:rsidRPr="00286216" w:rsidRDefault="00291EAB" w:rsidP="00291EAB">
            <w:pPr>
              <w:pStyle w:val="StyleWisnow"/>
              <w:rPr>
                <w:color w:val="000000" w:themeColor="text1"/>
              </w:rPr>
            </w:pPr>
          </w:p>
        </w:tc>
        <w:tc>
          <w:tcPr>
            <w:tcW w:w="4818" w:type="dxa"/>
          </w:tcPr>
          <w:p w14:paraId="2F679AC4" w14:textId="77777777" w:rsidR="00291EAB" w:rsidRPr="00286216" w:rsidRDefault="00291EAB" w:rsidP="00291EAB">
            <w:pPr>
              <w:pStyle w:val="StyleZakonu"/>
              <w:rPr>
                <w:color w:val="000000" w:themeColor="text1"/>
              </w:rPr>
            </w:pPr>
          </w:p>
        </w:tc>
      </w:tr>
      <w:tr w:rsidR="00291EAB" w:rsidRPr="00286216" w14:paraId="011D9B55" w14:textId="77777777" w:rsidTr="00091AA5">
        <w:tc>
          <w:tcPr>
            <w:tcW w:w="576" w:type="dxa"/>
          </w:tcPr>
          <w:p w14:paraId="57A8E4E5" w14:textId="77777777" w:rsidR="00291EAB" w:rsidRPr="00286216" w:rsidRDefault="00291EAB" w:rsidP="00291EAB">
            <w:pPr>
              <w:pStyle w:val="StyleWisnow"/>
              <w:rPr>
                <w:color w:val="000000" w:themeColor="text1"/>
              </w:rPr>
            </w:pPr>
            <w:bookmarkStart w:id="827" w:name="n1106" w:colFirst="0" w:colLast="0"/>
            <w:bookmarkEnd w:id="826"/>
            <w:r w:rsidRPr="00286216">
              <w:rPr>
                <w:color w:val="000000" w:themeColor="text1"/>
              </w:rPr>
              <w:t>1106.</w:t>
            </w:r>
          </w:p>
        </w:tc>
        <w:tc>
          <w:tcPr>
            <w:tcW w:w="4818" w:type="dxa"/>
          </w:tcPr>
          <w:p w14:paraId="0561F78B" w14:textId="77777777" w:rsidR="00291EAB" w:rsidRPr="00286216" w:rsidRDefault="00291EAB" w:rsidP="00291EAB">
            <w:pPr>
              <w:pStyle w:val="StyleZakonu"/>
              <w:rPr>
                <w:color w:val="000000" w:themeColor="text1"/>
              </w:rPr>
            </w:pPr>
            <w:r w:rsidRPr="00286216">
              <w:rPr>
                <w:color w:val="000000" w:themeColor="text1"/>
              </w:rPr>
              <w:t xml:space="preserve">3) визначає порядок допуску, реєструє учасників ринку, забезпечує ведення та оприлюднення </w:t>
            </w:r>
            <w:r w:rsidRPr="00286216">
              <w:rPr>
                <w:color w:val="000000" w:themeColor="text1"/>
              </w:rPr>
              <w:lastRenderedPageBreak/>
              <w:t>відповідного реєстру;</w:t>
            </w:r>
          </w:p>
        </w:tc>
        <w:tc>
          <w:tcPr>
            <w:tcW w:w="3686" w:type="dxa"/>
          </w:tcPr>
          <w:p w14:paraId="1A623483" w14:textId="77777777" w:rsidR="00291EAB" w:rsidRPr="00286216" w:rsidRDefault="00291EAB" w:rsidP="00291EAB">
            <w:pPr>
              <w:pStyle w:val="StyleProp"/>
              <w:rPr>
                <w:b/>
                <w:color w:val="000000" w:themeColor="text1"/>
                <w:szCs w:val="18"/>
              </w:rPr>
            </w:pPr>
          </w:p>
        </w:tc>
        <w:tc>
          <w:tcPr>
            <w:tcW w:w="1987" w:type="dxa"/>
          </w:tcPr>
          <w:p w14:paraId="44855517" w14:textId="77777777" w:rsidR="00291EAB" w:rsidRPr="00286216" w:rsidRDefault="00291EAB" w:rsidP="00291EAB">
            <w:pPr>
              <w:pStyle w:val="StyleWisnow"/>
              <w:rPr>
                <w:color w:val="000000" w:themeColor="text1"/>
              </w:rPr>
            </w:pPr>
          </w:p>
        </w:tc>
        <w:tc>
          <w:tcPr>
            <w:tcW w:w="4818" w:type="dxa"/>
          </w:tcPr>
          <w:p w14:paraId="4A1E227B" w14:textId="77777777" w:rsidR="00291EAB" w:rsidRPr="00286216" w:rsidRDefault="00291EAB" w:rsidP="00291EAB">
            <w:pPr>
              <w:pStyle w:val="StyleZakonu"/>
              <w:rPr>
                <w:color w:val="000000" w:themeColor="text1"/>
              </w:rPr>
            </w:pPr>
          </w:p>
        </w:tc>
      </w:tr>
      <w:tr w:rsidR="00291EAB" w:rsidRPr="00286216" w14:paraId="6436BE87" w14:textId="77777777" w:rsidTr="00091AA5">
        <w:tc>
          <w:tcPr>
            <w:tcW w:w="576" w:type="dxa"/>
          </w:tcPr>
          <w:p w14:paraId="67DCCCC4" w14:textId="77777777" w:rsidR="00291EAB" w:rsidRPr="00286216" w:rsidRDefault="00291EAB" w:rsidP="00291EAB">
            <w:pPr>
              <w:pStyle w:val="StyleWisnow"/>
              <w:rPr>
                <w:color w:val="000000" w:themeColor="text1"/>
              </w:rPr>
            </w:pPr>
            <w:bookmarkStart w:id="828" w:name="n1107" w:colFirst="0" w:colLast="0"/>
            <w:bookmarkEnd w:id="827"/>
            <w:r w:rsidRPr="00286216">
              <w:rPr>
                <w:color w:val="000000" w:themeColor="text1"/>
              </w:rPr>
              <w:t>1107.</w:t>
            </w:r>
          </w:p>
        </w:tc>
        <w:tc>
          <w:tcPr>
            <w:tcW w:w="4818" w:type="dxa"/>
          </w:tcPr>
          <w:p w14:paraId="1CA86096" w14:textId="77777777" w:rsidR="00291EAB" w:rsidRPr="00286216" w:rsidRDefault="00291EAB" w:rsidP="00291EAB">
            <w:pPr>
              <w:pStyle w:val="StyleZakonu"/>
              <w:rPr>
                <w:color w:val="000000" w:themeColor="text1"/>
              </w:rPr>
            </w:pPr>
            <w:r w:rsidRPr="00286216">
              <w:rPr>
                <w:color w:val="000000" w:themeColor="text1"/>
              </w:rPr>
              <w:t>4) забезпечує дотримання учасниками ринку вимог правил ринку із застосуванням відповідних заходів впливу;</w:t>
            </w:r>
          </w:p>
        </w:tc>
        <w:tc>
          <w:tcPr>
            <w:tcW w:w="3686" w:type="dxa"/>
          </w:tcPr>
          <w:p w14:paraId="028E1038" w14:textId="77777777" w:rsidR="00291EAB" w:rsidRPr="00286216" w:rsidRDefault="00291EAB" w:rsidP="00291EAB">
            <w:pPr>
              <w:pStyle w:val="StyleProp"/>
              <w:rPr>
                <w:b/>
                <w:color w:val="000000" w:themeColor="text1"/>
                <w:szCs w:val="18"/>
              </w:rPr>
            </w:pPr>
          </w:p>
        </w:tc>
        <w:tc>
          <w:tcPr>
            <w:tcW w:w="1987" w:type="dxa"/>
          </w:tcPr>
          <w:p w14:paraId="1F10F0E3" w14:textId="77777777" w:rsidR="00291EAB" w:rsidRPr="00286216" w:rsidRDefault="00291EAB" w:rsidP="00291EAB">
            <w:pPr>
              <w:pStyle w:val="StyleWisnow"/>
              <w:rPr>
                <w:color w:val="000000" w:themeColor="text1"/>
              </w:rPr>
            </w:pPr>
          </w:p>
        </w:tc>
        <w:tc>
          <w:tcPr>
            <w:tcW w:w="4818" w:type="dxa"/>
          </w:tcPr>
          <w:p w14:paraId="67F60550" w14:textId="77777777" w:rsidR="00291EAB" w:rsidRPr="00286216" w:rsidRDefault="00291EAB" w:rsidP="00291EAB">
            <w:pPr>
              <w:pStyle w:val="StyleZakonu"/>
              <w:rPr>
                <w:color w:val="000000" w:themeColor="text1"/>
              </w:rPr>
            </w:pPr>
          </w:p>
        </w:tc>
      </w:tr>
      <w:tr w:rsidR="00291EAB" w:rsidRPr="00286216" w14:paraId="5F12CC73" w14:textId="77777777" w:rsidTr="00091AA5">
        <w:tc>
          <w:tcPr>
            <w:tcW w:w="576" w:type="dxa"/>
          </w:tcPr>
          <w:p w14:paraId="23383389" w14:textId="77777777" w:rsidR="00291EAB" w:rsidRPr="00286216" w:rsidRDefault="00291EAB" w:rsidP="00291EAB">
            <w:pPr>
              <w:pStyle w:val="StyleWisnow"/>
              <w:rPr>
                <w:color w:val="000000" w:themeColor="text1"/>
              </w:rPr>
            </w:pPr>
            <w:bookmarkStart w:id="829" w:name="n1108" w:colFirst="0" w:colLast="0"/>
            <w:bookmarkEnd w:id="828"/>
            <w:r w:rsidRPr="00286216">
              <w:rPr>
                <w:color w:val="000000" w:themeColor="text1"/>
              </w:rPr>
              <w:t>1108.</w:t>
            </w:r>
          </w:p>
        </w:tc>
        <w:tc>
          <w:tcPr>
            <w:tcW w:w="4818" w:type="dxa"/>
          </w:tcPr>
          <w:p w14:paraId="3E1DD73A" w14:textId="77777777" w:rsidR="00291EAB" w:rsidRPr="00286216" w:rsidRDefault="00291EAB" w:rsidP="00291EAB">
            <w:pPr>
              <w:pStyle w:val="StyleZakonu"/>
              <w:rPr>
                <w:color w:val="000000" w:themeColor="text1"/>
              </w:rPr>
            </w:pPr>
            <w:r w:rsidRPr="00286216">
              <w:rPr>
                <w:color w:val="000000" w:themeColor="text1"/>
              </w:rPr>
              <w:t>5) визначає порядок акредитації та акредитує суб’єктів, що відповідають за зберігання, транспортування продукції та іншого майна, визначеного родовими ознаками, які будуть предметом торгівлі на такому товарному ринку, якщо інше не передбачено законодавством;</w:t>
            </w:r>
          </w:p>
        </w:tc>
        <w:tc>
          <w:tcPr>
            <w:tcW w:w="3686" w:type="dxa"/>
          </w:tcPr>
          <w:p w14:paraId="19D6985A" w14:textId="77777777" w:rsidR="00291EAB" w:rsidRPr="00286216" w:rsidRDefault="00291EAB" w:rsidP="00291EAB">
            <w:pPr>
              <w:pStyle w:val="StyleProp"/>
              <w:rPr>
                <w:b/>
                <w:color w:val="000000" w:themeColor="text1"/>
                <w:szCs w:val="18"/>
              </w:rPr>
            </w:pPr>
          </w:p>
        </w:tc>
        <w:tc>
          <w:tcPr>
            <w:tcW w:w="1987" w:type="dxa"/>
          </w:tcPr>
          <w:p w14:paraId="589F64B9" w14:textId="77777777" w:rsidR="00291EAB" w:rsidRPr="00286216" w:rsidRDefault="00291EAB" w:rsidP="00291EAB">
            <w:pPr>
              <w:pStyle w:val="StyleWisnow"/>
              <w:rPr>
                <w:color w:val="000000" w:themeColor="text1"/>
              </w:rPr>
            </w:pPr>
          </w:p>
        </w:tc>
        <w:tc>
          <w:tcPr>
            <w:tcW w:w="4818" w:type="dxa"/>
          </w:tcPr>
          <w:p w14:paraId="75E7F79A" w14:textId="77777777" w:rsidR="00291EAB" w:rsidRPr="00286216" w:rsidRDefault="00291EAB" w:rsidP="00291EAB">
            <w:pPr>
              <w:pStyle w:val="StyleZakonu"/>
              <w:rPr>
                <w:color w:val="000000" w:themeColor="text1"/>
              </w:rPr>
            </w:pPr>
          </w:p>
        </w:tc>
      </w:tr>
      <w:tr w:rsidR="00291EAB" w:rsidRPr="00286216" w14:paraId="23CA00C9" w14:textId="77777777" w:rsidTr="00091AA5">
        <w:tc>
          <w:tcPr>
            <w:tcW w:w="576" w:type="dxa"/>
          </w:tcPr>
          <w:p w14:paraId="6F3A3B34" w14:textId="77777777" w:rsidR="00291EAB" w:rsidRPr="00286216" w:rsidRDefault="00291EAB" w:rsidP="00291EAB">
            <w:pPr>
              <w:pStyle w:val="StyleWisnow"/>
              <w:rPr>
                <w:color w:val="000000" w:themeColor="text1"/>
              </w:rPr>
            </w:pPr>
            <w:bookmarkStart w:id="830" w:name="n1109" w:colFirst="0" w:colLast="0"/>
            <w:bookmarkEnd w:id="829"/>
            <w:r w:rsidRPr="00286216">
              <w:rPr>
                <w:color w:val="000000" w:themeColor="text1"/>
              </w:rPr>
              <w:t>1109.</w:t>
            </w:r>
          </w:p>
        </w:tc>
        <w:tc>
          <w:tcPr>
            <w:tcW w:w="4818" w:type="dxa"/>
          </w:tcPr>
          <w:p w14:paraId="27FE3B85" w14:textId="77777777" w:rsidR="00291EAB" w:rsidRPr="00286216" w:rsidRDefault="00291EAB" w:rsidP="00291EAB">
            <w:pPr>
              <w:pStyle w:val="StyleZakonu"/>
              <w:rPr>
                <w:color w:val="000000" w:themeColor="text1"/>
              </w:rPr>
            </w:pPr>
            <w:r w:rsidRPr="00286216">
              <w:rPr>
                <w:color w:val="000000" w:themeColor="text1"/>
              </w:rPr>
              <w:t>6) встановлює порядок допуску активів до торгів на організованому товарному ринку;</w:t>
            </w:r>
          </w:p>
        </w:tc>
        <w:tc>
          <w:tcPr>
            <w:tcW w:w="3686" w:type="dxa"/>
          </w:tcPr>
          <w:p w14:paraId="5F3E1A15" w14:textId="77777777" w:rsidR="00291EAB" w:rsidRPr="00286216" w:rsidRDefault="00291EAB" w:rsidP="00291EAB">
            <w:pPr>
              <w:pStyle w:val="StyleProp"/>
              <w:rPr>
                <w:color w:val="000000" w:themeColor="text1"/>
                <w:szCs w:val="18"/>
              </w:rPr>
            </w:pPr>
          </w:p>
        </w:tc>
        <w:tc>
          <w:tcPr>
            <w:tcW w:w="1987" w:type="dxa"/>
          </w:tcPr>
          <w:p w14:paraId="6C7B7D61" w14:textId="77777777" w:rsidR="00291EAB" w:rsidRPr="00286216" w:rsidRDefault="00291EAB" w:rsidP="00291EAB">
            <w:pPr>
              <w:pStyle w:val="StyleWisnow"/>
              <w:rPr>
                <w:color w:val="000000" w:themeColor="text1"/>
              </w:rPr>
            </w:pPr>
          </w:p>
        </w:tc>
        <w:tc>
          <w:tcPr>
            <w:tcW w:w="4818" w:type="dxa"/>
          </w:tcPr>
          <w:p w14:paraId="5885E5B4" w14:textId="77777777" w:rsidR="00291EAB" w:rsidRPr="00286216" w:rsidRDefault="00291EAB" w:rsidP="00291EAB">
            <w:pPr>
              <w:pStyle w:val="StyleZakonu"/>
              <w:rPr>
                <w:color w:val="000000" w:themeColor="text1"/>
              </w:rPr>
            </w:pPr>
          </w:p>
        </w:tc>
      </w:tr>
      <w:tr w:rsidR="00291EAB" w:rsidRPr="00286216" w14:paraId="207AEAD5" w14:textId="77777777" w:rsidTr="00091AA5">
        <w:tc>
          <w:tcPr>
            <w:tcW w:w="576" w:type="dxa"/>
          </w:tcPr>
          <w:p w14:paraId="178CE30F" w14:textId="77777777" w:rsidR="00291EAB" w:rsidRPr="00286216" w:rsidRDefault="00291EAB" w:rsidP="00291EAB">
            <w:pPr>
              <w:pStyle w:val="StyleWisnow"/>
              <w:rPr>
                <w:color w:val="000000" w:themeColor="text1"/>
              </w:rPr>
            </w:pPr>
            <w:bookmarkStart w:id="831" w:name="n1110" w:colFirst="0" w:colLast="0"/>
            <w:bookmarkEnd w:id="830"/>
            <w:r w:rsidRPr="00286216">
              <w:rPr>
                <w:color w:val="000000" w:themeColor="text1"/>
              </w:rPr>
              <w:t>1110.</w:t>
            </w:r>
          </w:p>
        </w:tc>
        <w:tc>
          <w:tcPr>
            <w:tcW w:w="4818" w:type="dxa"/>
          </w:tcPr>
          <w:p w14:paraId="12EF673B" w14:textId="77777777" w:rsidR="00291EAB" w:rsidRPr="00286216" w:rsidRDefault="00291EAB" w:rsidP="00291EAB">
            <w:pPr>
              <w:pStyle w:val="StyleZakonu"/>
              <w:rPr>
                <w:color w:val="000000" w:themeColor="text1"/>
              </w:rPr>
            </w:pPr>
            <w:r w:rsidRPr="00286216">
              <w:rPr>
                <w:color w:val="000000" w:themeColor="text1"/>
              </w:rPr>
              <w:t>7) визначає за результатами торгів на ринку обсяги купівлі-продажу активів, допущених до торгів на такому організованому ринку та розрахункову ціну таких активів;</w:t>
            </w:r>
          </w:p>
        </w:tc>
        <w:tc>
          <w:tcPr>
            <w:tcW w:w="3686" w:type="dxa"/>
          </w:tcPr>
          <w:p w14:paraId="0557FF6E" w14:textId="59A36DDE"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BEECCE5" w14:textId="77777777" w:rsidR="00291EAB" w:rsidRPr="00286216" w:rsidRDefault="00291EAB" w:rsidP="00291EAB">
            <w:pPr>
              <w:pStyle w:val="StyleProp"/>
              <w:rPr>
                <w:color w:val="000000" w:themeColor="text1"/>
                <w:szCs w:val="18"/>
              </w:rPr>
            </w:pPr>
            <w:r w:rsidRPr="00286216">
              <w:rPr>
                <w:color w:val="000000" w:themeColor="text1"/>
                <w:szCs w:val="18"/>
              </w:rPr>
              <w:t>У пункті 7 частини третьої статті 64 слова «та розрахункову ціну таких активів» замінити словами «поточну ціну таких активів та середній курс у порядку, встановленому Національною комісією з цінних паперів та фондового ринку».</w:t>
            </w:r>
          </w:p>
        </w:tc>
        <w:tc>
          <w:tcPr>
            <w:tcW w:w="1987" w:type="dxa"/>
          </w:tcPr>
          <w:p w14:paraId="33372DEE" w14:textId="77777777" w:rsidR="00291EAB" w:rsidRPr="00286216" w:rsidRDefault="00291EAB" w:rsidP="00806997">
            <w:pPr>
              <w:pStyle w:val="StyleWisnow"/>
              <w:spacing w:line="180" w:lineRule="exact"/>
              <w:rPr>
                <w:color w:val="000000" w:themeColor="text1"/>
              </w:rPr>
            </w:pPr>
            <w:r w:rsidRPr="00286216">
              <w:rPr>
                <w:color w:val="000000" w:themeColor="text1"/>
              </w:rPr>
              <w:t>Відхилено</w:t>
            </w:r>
          </w:p>
          <w:p w14:paraId="66E9DAE6" w14:textId="77777777" w:rsidR="00291EAB" w:rsidRPr="00286216" w:rsidRDefault="00291EAB" w:rsidP="00806997">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347FA8C9" w14:textId="77777777" w:rsidR="00291EAB" w:rsidRPr="00286216" w:rsidRDefault="00291EAB" w:rsidP="00291EAB">
            <w:pPr>
              <w:pStyle w:val="StyleZakonu"/>
              <w:rPr>
                <w:color w:val="000000" w:themeColor="text1"/>
              </w:rPr>
            </w:pPr>
          </w:p>
        </w:tc>
      </w:tr>
      <w:tr w:rsidR="00291EAB" w:rsidRPr="00286216" w14:paraId="272DB4F6" w14:textId="77777777" w:rsidTr="00091AA5">
        <w:tc>
          <w:tcPr>
            <w:tcW w:w="576" w:type="dxa"/>
          </w:tcPr>
          <w:p w14:paraId="268FAF9E" w14:textId="77777777" w:rsidR="00291EAB" w:rsidRPr="00286216" w:rsidRDefault="00291EAB" w:rsidP="00291EAB">
            <w:pPr>
              <w:pStyle w:val="StyleWisnow"/>
              <w:rPr>
                <w:color w:val="000000" w:themeColor="text1"/>
              </w:rPr>
            </w:pPr>
            <w:bookmarkStart w:id="832" w:name="n1111" w:colFirst="0" w:colLast="0"/>
            <w:bookmarkEnd w:id="831"/>
            <w:r w:rsidRPr="00286216">
              <w:rPr>
                <w:color w:val="000000" w:themeColor="text1"/>
              </w:rPr>
              <w:t>1111.</w:t>
            </w:r>
          </w:p>
        </w:tc>
        <w:tc>
          <w:tcPr>
            <w:tcW w:w="4818" w:type="dxa"/>
          </w:tcPr>
          <w:p w14:paraId="715109C0" w14:textId="77777777" w:rsidR="00291EAB" w:rsidRPr="00286216" w:rsidRDefault="00291EAB" w:rsidP="00291EAB">
            <w:pPr>
              <w:pStyle w:val="StyleZakonu"/>
              <w:rPr>
                <w:color w:val="000000" w:themeColor="text1"/>
              </w:rPr>
            </w:pPr>
            <w:r w:rsidRPr="00286216">
              <w:rPr>
                <w:color w:val="000000" w:themeColor="text1"/>
              </w:rPr>
              <w:t>8) створює умови для забезпечення розрахунків за результатами торгів;</w:t>
            </w:r>
          </w:p>
        </w:tc>
        <w:tc>
          <w:tcPr>
            <w:tcW w:w="3686" w:type="dxa"/>
          </w:tcPr>
          <w:p w14:paraId="4CF00449" w14:textId="3259E2D6"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603</w:t>
            </w:r>
            <w:r w:rsidRPr="00286216">
              <w:rPr>
                <w:color w:val="000000" w:themeColor="text1"/>
              </w:rPr>
              <w:fldChar w:fldCharType="end"/>
            </w:r>
            <w:r w:rsidRPr="00286216">
              <w:rPr>
                <w:color w:val="000000" w:themeColor="text1"/>
              </w:rPr>
              <w:t>-Н.д.Шахов С.В. (Реєстр.картка №114)</w:t>
            </w:r>
          </w:p>
          <w:p w14:paraId="2EE12FF9" w14:textId="77777777" w:rsidR="00291EAB" w:rsidRPr="00286216" w:rsidRDefault="00291EAB" w:rsidP="00291EAB">
            <w:pPr>
              <w:pStyle w:val="StyleProp"/>
              <w:rPr>
                <w:color w:val="000000" w:themeColor="text1"/>
              </w:rPr>
            </w:pPr>
            <w:r w:rsidRPr="00286216">
              <w:rPr>
                <w:color w:val="000000" w:themeColor="text1"/>
              </w:rPr>
              <w:t>Пункт 8 частини 3 статті 64 після слова "розрахунків" доповнити словами "та поставки".</w:t>
            </w:r>
          </w:p>
        </w:tc>
        <w:tc>
          <w:tcPr>
            <w:tcW w:w="1987" w:type="dxa"/>
          </w:tcPr>
          <w:p w14:paraId="0FFA39ED" w14:textId="77777777" w:rsidR="00291EAB" w:rsidRPr="00286216" w:rsidRDefault="00291EAB" w:rsidP="00806997">
            <w:pPr>
              <w:pStyle w:val="StyleWisnow"/>
              <w:spacing w:line="180" w:lineRule="exact"/>
              <w:rPr>
                <w:color w:val="000000" w:themeColor="text1"/>
              </w:rPr>
            </w:pPr>
            <w:r w:rsidRPr="00286216">
              <w:rPr>
                <w:color w:val="000000" w:themeColor="text1"/>
              </w:rPr>
              <w:t>Відхилено</w:t>
            </w:r>
          </w:p>
          <w:p w14:paraId="0D8D041B" w14:textId="77777777" w:rsidR="00291EAB" w:rsidRPr="00286216" w:rsidRDefault="00291EAB" w:rsidP="00806997">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75E32C77" w14:textId="77777777" w:rsidR="00291EAB" w:rsidRPr="00286216" w:rsidRDefault="00291EAB" w:rsidP="00291EAB">
            <w:pPr>
              <w:pStyle w:val="StyleZakonu"/>
              <w:rPr>
                <w:color w:val="000000" w:themeColor="text1"/>
              </w:rPr>
            </w:pPr>
          </w:p>
        </w:tc>
      </w:tr>
      <w:tr w:rsidR="00291EAB" w:rsidRPr="00286216" w14:paraId="11BAB44D" w14:textId="77777777" w:rsidTr="00091AA5">
        <w:tc>
          <w:tcPr>
            <w:tcW w:w="576" w:type="dxa"/>
          </w:tcPr>
          <w:p w14:paraId="1F841238" w14:textId="77777777" w:rsidR="00291EAB" w:rsidRPr="00286216" w:rsidRDefault="00291EAB" w:rsidP="00291EAB">
            <w:pPr>
              <w:pStyle w:val="StyleWisnow"/>
              <w:rPr>
                <w:color w:val="000000" w:themeColor="text1"/>
              </w:rPr>
            </w:pPr>
            <w:bookmarkStart w:id="833" w:name="n1112" w:colFirst="0" w:colLast="0"/>
            <w:bookmarkEnd w:id="832"/>
            <w:r w:rsidRPr="00286216">
              <w:rPr>
                <w:color w:val="000000" w:themeColor="text1"/>
              </w:rPr>
              <w:t>1112.</w:t>
            </w:r>
          </w:p>
        </w:tc>
        <w:tc>
          <w:tcPr>
            <w:tcW w:w="4818" w:type="dxa"/>
          </w:tcPr>
          <w:p w14:paraId="28BBA172" w14:textId="77777777" w:rsidR="00291EAB" w:rsidRPr="00286216" w:rsidRDefault="00291EAB" w:rsidP="00291EAB">
            <w:pPr>
              <w:pStyle w:val="StyleZakonu"/>
              <w:rPr>
                <w:color w:val="000000" w:themeColor="text1"/>
              </w:rPr>
            </w:pPr>
            <w:r w:rsidRPr="00286216">
              <w:rPr>
                <w:color w:val="000000" w:themeColor="text1"/>
              </w:rPr>
              <w:t>9) створює умови для розв’язання спорів між учасниками регульованого ринку;</w:t>
            </w:r>
          </w:p>
        </w:tc>
        <w:tc>
          <w:tcPr>
            <w:tcW w:w="3686" w:type="dxa"/>
          </w:tcPr>
          <w:p w14:paraId="412D679C" w14:textId="77777777" w:rsidR="00291EAB" w:rsidRPr="00286216" w:rsidRDefault="00291EAB" w:rsidP="00291EAB">
            <w:pPr>
              <w:pStyle w:val="StyleProp"/>
              <w:rPr>
                <w:color w:val="000000" w:themeColor="text1"/>
                <w:szCs w:val="18"/>
              </w:rPr>
            </w:pPr>
          </w:p>
        </w:tc>
        <w:tc>
          <w:tcPr>
            <w:tcW w:w="1987" w:type="dxa"/>
          </w:tcPr>
          <w:p w14:paraId="05EC934F" w14:textId="77777777" w:rsidR="00291EAB" w:rsidRPr="00286216" w:rsidRDefault="00291EAB" w:rsidP="00806997">
            <w:pPr>
              <w:pStyle w:val="StyleWisnow"/>
              <w:spacing w:line="180" w:lineRule="exact"/>
              <w:rPr>
                <w:color w:val="000000" w:themeColor="text1"/>
              </w:rPr>
            </w:pPr>
          </w:p>
        </w:tc>
        <w:tc>
          <w:tcPr>
            <w:tcW w:w="4818" w:type="dxa"/>
          </w:tcPr>
          <w:p w14:paraId="5FDBE3B0" w14:textId="77777777" w:rsidR="00291EAB" w:rsidRPr="00286216" w:rsidRDefault="00291EAB" w:rsidP="00291EAB">
            <w:pPr>
              <w:pStyle w:val="StyleZakonu"/>
              <w:rPr>
                <w:color w:val="000000" w:themeColor="text1"/>
              </w:rPr>
            </w:pPr>
          </w:p>
        </w:tc>
      </w:tr>
      <w:tr w:rsidR="00291EAB" w:rsidRPr="00286216" w14:paraId="1AE242F1" w14:textId="77777777" w:rsidTr="00091AA5">
        <w:tc>
          <w:tcPr>
            <w:tcW w:w="576" w:type="dxa"/>
          </w:tcPr>
          <w:p w14:paraId="42A3ADE3" w14:textId="77777777" w:rsidR="00291EAB" w:rsidRPr="00286216" w:rsidRDefault="00291EAB" w:rsidP="00291EAB">
            <w:pPr>
              <w:pStyle w:val="StyleWisnow"/>
              <w:rPr>
                <w:color w:val="000000" w:themeColor="text1"/>
              </w:rPr>
            </w:pPr>
            <w:bookmarkStart w:id="834" w:name="n1113" w:colFirst="0" w:colLast="0"/>
            <w:bookmarkEnd w:id="833"/>
            <w:r w:rsidRPr="00286216">
              <w:rPr>
                <w:color w:val="000000" w:themeColor="text1"/>
              </w:rPr>
              <w:t>1113.</w:t>
            </w:r>
          </w:p>
        </w:tc>
        <w:tc>
          <w:tcPr>
            <w:tcW w:w="4818" w:type="dxa"/>
          </w:tcPr>
          <w:p w14:paraId="1C52B4FC" w14:textId="77777777" w:rsidR="00291EAB" w:rsidRPr="00286216" w:rsidRDefault="00291EAB" w:rsidP="00291EAB">
            <w:pPr>
              <w:pStyle w:val="StyleZakonu"/>
              <w:rPr>
                <w:color w:val="000000" w:themeColor="text1"/>
              </w:rPr>
            </w:pPr>
            <w:r w:rsidRPr="00286216">
              <w:rPr>
                <w:color w:val="000000" w:themeColor="text1"/>
              </w:rPr>
              <w:t>10) оприлюднює інформацію щодо торгів на ринку;</w:t>
            </w:r>
          </w:p>
        </w:tc>
        <w:tc>
          <w:tcPr>
            <w:tcW w:w="3686" w:type="dxa"/>
          </w:tcPr>
          <w:p w14:paraId="2BF5E105" w14:textId="77777777" w:rsidR="00291EAB" w:rsidRPr="00286216" w:rsidRDefault="00291EAB" w:rsidP="00291EAB">
            <w:pPr>
              <w:pStyle w:val="StyleProp"/>
              <w:rPr>
                <w:color w:val="000000" w:themeColor="text1"/>
                <w:szCs w:val="18"/>
              </w:rPr>
            </w:pPr>
          </w:p>
        </w:tc>
        <w:tc>
          <w:tcPr>
            <w:tcW w:w="1987" w:type="dxa"/>
          </w:tcPr>
          <w:p w14:paraId="12C63C82" w14:textId="77777777" w:rsidR="00291EAB" w:rsidRPr="00286216" w:rsidRDefault="00291EAB" w:rsidP="00806997">
            <w:pPr>
              <w:pStyle w:val="StyleWisnow"/>
              <w:spacing w:line="180" w:lineRule="exact"/>
              <w:rPr>
                <w:color w:val="000000" w:themeColor="text1"/>
              </w:rPr>
            </w:pPr>
          </w:p>
        </w:tc>
        <w:tc>
          <w:tcPr>
            <w:tcW w:w="4818" w:type="dxa"/>
          </w:tcPr>
          <w:p w14:paraId="5A0C09D6" w14:textId="77777777" w:rsidR="00291EAB" w:rsidRPr="00286216" w:rsidRDefault="00291EAB" w:rsidP="00291EAB">
            <w:pPr>
              <w:pStyle w:val="StyleZakonu"/>
              <w:rPr>
                <w:color w:val="000000" w:themeColor="text1"/>
              </w:rPr>
            </w:pPr>
          </w:p>
        </w:tc>
      </w:tr>
      <w:tr w:rsidR="00291EAB" w:rsidRPr="00286216" w14:paraId="5E405D0B" w14:textId="77777777" w:rsidTr="00091AA5">
        <w:tc>
          <w:tcPr>
            <w:tcW w:w="576" w:type="dxa"/>
          </w:tcPr>
          <w:p w14:paraId="752ED61D" w14:textId="77777777" w:rsidR="00291EAB" w:rsidRPr="00286216" w:rsidRDefault="00291EAB" w:rsidP="00291EAB">
            <w:pPr>
              <w:pStyle w:val="StyleWisnow"/>
              <w:rPr>
                <w:color w:val="000000" w:themeColor="text1"/>
              </w:rPr>
            </w:pPr>
            <w:bookmarkStart w:id="835" w:name="n1114" w:colFirst="0" w:colLast="0"/>
            <w:bookmarkEnd w:id="834"/>
            <w:r w:rsidRPr="00286216">
              <w:rPr>
                <w:color w:val="000000" w:themeColor="text1"/>
              </w:rPr>
              <w:t>1114.</w:t>
            </w:r>
          </w:p>
        </w:tc>
        <w:tc>
          <w:tcPr>
            <w:tcW w:w="4818" w:type="dxa"/>
          </w:tcPr>
          <w:p w14:paraId="20D90A14" w14:textId="77777777" w:rsidR="00291EAB" w:rsidRPr="00286216" w:rsidRDefault="00291EAB" w:rsidP="00291EAB">
            <w:pPr>
              <w:pStyle w:val="StyleZakonu"/>
              <w:rPr>
                <w:color w:val="000000" w:themeColor="text1"/>
              </w:rPr>
            </w:pPr>
            <w:r w:rsidRPr="00286216">
              <w:rPr>
                <w:color w:val="000000" w:themeColor="text1"/>
              </w:rPr>
              <w:t>11) здійснює рекламу організованого товарного ринку;</w:t>
            </w:r>
          </w:p>
        </w:tc>
        <w:tc>
          <w:tcPr>
            <w:tcW w:w="3686" w:type="dxa"/>
          </w:tcPr>
          <w:p w14:paraId="41645857" w14:textId="77777777" w:rsidR="00291EAB" w:rsidRPr="00286216" w:rsidRDefault="00291EAB" w:rsidP="00291EAB">
            <w:pPr>
              <w:pStyle w:val="StyleProp"/>
              <w:rPr>
                <w:color w:val="000000" w:themeColor="text1"/>
                <w:szCs w:val="18"/>
              </w:rPr>
            </w:pPr>
          </w:p>
        </w:tc>
        <w:tc>
          <w:tcPr>
            <w:tcW w:w="1987" w:type="dxa"/>
          </w:tcPr>
          <w:p w14:paraId="419DC87D" w14:textId="77777777" w:rsidR="00291EAB" w:rsidRPr="00286216" w:rsidRDefault="00291EAB" w:rsidP="00806997">
            <w:pPr>
              <w:pStyle w:val="StyleWisnow"/>
              <w:spacing w:line="180" w:lineRule="exact"/>
              <w:rPr>
                <w:color w:val="000000" w:themeColor="text1"/>
              </w:rPr>
            </w:pPr>
          </w:p>
        </w:tc>
        <w:tc>
          <w:tcPr>
            <w:tcW w:w="4818" w:type="dxa"/>
          </w:tcPr>
          <w:p w14:paraId="5D2136CE" w14:textId="77777777" w:rsidR="00291EAB" w:rsidRPr="00286216" w:rsidRDefault="00291EAB" w:rsidP="00291EAB">
            <w:pPr>
              <w:pStyle w:val="StyleZakonu"/>
              <w:rPr>
                <w:color w:val="000000" w:themeColor="text1"/>
              </w:rPr>
            </w:pPr>
          </w:p>
        </w:tc>
      </w:tr>
      <w:tr w:rsidR="00291EAB" w:rsidRPr="00286216" w14:paraId="56934629" w14:textId="77777777" w:rsidTr="00091AA5">
        <w:tc>
          <w:tcPr>
            <w:tcW w:w="576" w:type="dxa"/>
          </w:tcPr>
          <w:p w14:paraId="663E5186" w14:textId="77777777" w:rsidR="00291EAB" w:rsidRPr="00286216" w:rsidRDefault="00291EAB" w:rsidP="00291EAB">
            <w:pPr>
              <w:pStyle w:val="StyleWisnow"/>
              <w:rPr>
                <w:color w:val="000000" w:themeColor="text1"/>
              </w:rPr>
            </w:pPr>
            <w:bookmarkStart w:id="836" w:name="n1115" w:colFirst="0" w:colLast="0"/>
            <w:bookmarkEnd w:id="835"/>
            <w:r w:rsidRPr="00286216">
              <w:rPr>
                <w:color w:val="000000" w:themeColor="text1"/>
              </w:rPr>
              <w:t>1115.</w:t>
            </w:r>
          </w:p>
        </w:tc>
        <w:tc>
          <w:tcPr>
            <w:tcW w:w="4818" w:type="dxa"/>
          </w:tcPr>
          <w:p w14:paraId="7FCA7C69" w14:textId="77777777" w:rsidR="00291EAB" w:rsidRPr="00286216" w:rsidRDefault="00291EAB" w:rsidP="00291EAB">
            <w:pPr>
              <w:pStyle w:val="StyleZakonu"/>
              <w:rPr>
                <w:color w:val="000000" w:themeColor="text1"/>
              </w:rPr>
            </w:pPr>
            <w:r w:rsidRPr="00286216">
              <w:rPr>
                <w:color w:val="000000" w:themeColor="text1"/>
              </w:rPr>
              <w:t>12) здійснює інші функції, передбачені цим Законом, правилами ринку та актами законодавства.</w:t>
            </w:r>
          </w:p>
        </w:tc>
        <w:tc>
          <w:tcPr>
            <w:tcW w:w="3686" w:type="dxa"/>
          </w:tcPr>
          <w:p w14:paraId="1613B638" w14:textId="77777777" w:rsidR="00291EAB" w:rsidRPr="00286216" w:rsidRDefault="00291EAB" w:rsidP="00291EAB">
            <w:pPr>
              <w:pStyle w:val="StyleProp"/>
              <w:rPr>
                <w:color w:val="000000" w:themeColor="text1"/>
              </w:rPr>
            </w:pPr>
          </w:p>
        </w:tc>
        <w:tc>
          <w:tcPr>
            <w:tcW w:w="1987" w:type="dxa"/>
          </w:tcPr>
          <w:p w14:paraId="0D422F61" w14:textId="77777777" w:rsidR="00291EAB" w:rsidRPr="00286216" w:rsidRDefault="00291EAB" w:rsidP="00806997">
            <w:pPr>
              <w:pStyle w:val="StyleWisnow"/>
              <w:spacing w:line="180" w:lineRule="exact"/>
              <w:rPr>
                <w:color w:val="000000" w:themeColor="text1"/>
              </w:rPr>
            </w:pPr>
          </w:p>
        </w:tc>
        <w:tc>
          <w:tcPr>
            <w:tcW w:w="4818" w:type="dxa"/>
          </w:tcPr>
          <w:p w14:paraId="3F205615" w14:textId="77777777" w:rsidR="00291EAB" w:rsidRPr="00286216" w:rsidRDefault="00291EAB" w:rsidP="00291EAB">
            <w:pPr>
              <w:pStyle w:val="StyleZakonu"/>
              <w:rPr>
                <w:color w:val="000000" w:themeColor="text1"/>
              </w:rPr>
            </w:pPr>
          </w:p>
        </w:tc>
      </w:tr>
      <w:tr w:rsidR="00291EAB" w:rsidRPr="00286216" w14:paraId="55B81059" w14:textId="77777777" w:rsidTr="00091AA5">
        <w:tc>
          <w:tcPr>
            <w:tcW w:w="576" w:type="dxa"/>
          </w:tcPr>
          <w:p w14:paraId="6AF76743" w14:textId="77777777" w:rsidR="00291EAB" w:rsidRPr="00286216" w:rsidRDefault="00291EAB" w:rsidP="00291EAB">
            <w:pPr>
              <w:pStyle w:val="StyleWisnow"/>
              <w:rPr>
                <w:color w:val="000000" w:themeColor="text1"/>
              </w:rPr>
            </w:pPr>
            <w:bookmarkStart w:id="837" w:name="n1116" w:colFirst="0" w:colLast="0"/>
            <w:bookmarkEnd w:id="836"/>
            <w:r w:rsidRPr="00286216">
              <w:rPr>
                <w:color w:val="000000" w:themeColor="text1"/>
              </w:rPr>
              <w:t>1116.</w:t>
            </w:r>
          </w:p>
        </w:tc>
        <w:tc>
          <w:tcPr>
            <w:tcW w:w="4818" w:type="dxa"/>
          </w:tcPr>
          <w:p w14:paraId="30416369" w14:textId="77777777" w:rsidR="00291EAB" w:rsidRPr="00286216" w:rsidRDefault="00291EAB" w:rsidP="00291EAB">
            <w:pPr>
              <w:pStyle w:val="StyleZakonu"/>
              <w:rPr>
                <w:color w:val="000000" w:themeColor="text1"/>
              </w:rPr>
            </w:pPr>
            <w:r w:rsidRPr="00286216">
              <w:rPr>
                <w:color w:val="000000" w:themeColor="text1"/>
              </w:rPr>
              <w:t>4. Виконання зобов’язань за правочинами, що вчиняються на регульованих товарних ринках, здійснюється після їх обов’язкового клірингу особою, яка провадить клірингову діяльність Центральним контрагентом.</w:t>
            </w:r>
          </w:p>
        </w:tc>
        <w:tc>
          <w:tcPr>
            <w:tcW w:w="3686" w:type="dxa"/>
          </w:tcPr>
          <w:p w14:paraId="578F868A" w14:textId="2813732E" w:rsidR="00291EAB" w:rsidRPr="00286216" w:rsidRDefault="00291EAB" w:rsidP="00291EAB">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604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8293C57" w14:textId="77777777" w:rsidR="00291EAB" w:rsidRPr="00286216" w:rsidRDefault="00291EAB" w:rsidP="00291EAB">
            <w:pPr>
              <w:pStyle w:val="StyleProp"/>
              <w:spacing w:line="190" w:lineRule="exact"/>
              <w:rPr>
                <w:color w:val="000000" w:themeColor="text1"/>
              </w:rPr>
            </w:pPr>
            <w:r w:rsidRPr="00286216">
              <w:rPr>
                <w:color w:val="000000" w:themeColor="text1"/>
              </w:rPr>
              <w:t>У абзаці першому частини четвертої статті 64 розділу 1 слова «Центральним контрагентом» замінити словами «Центрального контрагента».</w:t>
            </w:r>
          </w:p>
        </w:tc>
        <w:tc>
          <w:tcPr>
            <w:tcW w:w="1987" w:type="dxa"/>
          </w:tcPr>
          <w:p w14:paraId="20FCB823" w14:textId="77777777" w:rsidR="00291EAB" w:rsidRPr="00286216" w:rsidRDefault="00291EAB" w:rsidP="00806997">
            <w:pPr>
              <w:pStyle w:val="StyleWisnow"/>
              <w:spacing w:line="180" w:lineRule="exact"/>
              <w:rPr>
                <w:color w:val="000000" w:themeColor="text1"/>
              </w:rPr>
            </w:pPr>
            <w:r w:rsidRPr="00286216">
              <w:rPr>
                <w:color w:val="000000" w:themeColor="text1"/>
              </w:rPr>
              <w:t>Відхилено</w:t>
            </w:r>
          </w:p>
          <w:p w14:paraId="1A30EB16" w14:textId="77777777" w:rsidR="00291EAB" w:rsidRPr="00286216" w:rsidRDefault="00291EAB" w:rsidP="00806997">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61B772B2" w14:textId="77777777" w:rsidR="00291EAB" w:rsidRPr="00286216" w:rsidRDefault="00291EAB" w:rsidP="00291EAB">
            <w:pPr>
              <w:pStyle w:val="StyleZakonu"/>
              <w:rPr>
                <w:color w:val="000000" w:themeColor="text1"/>
              </w:rPr>
            </w:pPr>
          </w:p>
        </w:tc>
      </w:tr>
      <w:tr w:rsidR="00291EAB" w:rsidRPr="00286216" w14:paraId="7B6A659A" w14:textId="77777777" w:rsidTr="00091AA5">
        <w:tc>
          <w:tcPr>
            <w:tcW w:w="576" w:type="dxa"/>
          </w:tcPr>
          <w:p w14:paraId="1157FF93" w14:textId="77777777" w:rsidR="00291EAB" w:rsidRPr="00286216" w:rsidRDefault="00291EAB" w:rsidP="00291EAB">
            <w:pPr>
              <w:pStyle w:val="StyleWisnow"/>
              <w:rPr>
                <w:color w:val="000000" w:themeColor="text1"/>
              </w:rPr>
            </w:pPr>
            <w:bookmarkStart w:id="838" w:name="n1117" w:colFirst="0" w:colLast="0"/>
            <w:bookmarkEnd w:id="837"/>
            <w:r w:rsidRPr="00286216">
              <w:rPr>
                <w:color w:val="000000" w:themeColor="text1"/>
              </w:rPr>
              <w:t>1117.</w:t>
            </w:r>
          </w:p>
        </w:tc>
        <w:tc>
          <w:tcPr>
            <w:tcW w:w="4818" w:type="dxa"/>
          </w:tcPr>
          <w:p w14:paraId="77F46AB0" w14:textId="77777777" w:rsidR="00291EAB" w:rsidRPr="00286216" w:rsidRDefault="00291EAB" w:rsidP="00291EAB">
            <w:pPr>
              <w:pStyle w:val="StyleZakonu"/>
              <w:rPr>
                <w:color w:val="000000" w:themeColor="text1"/>
              </w:rPr>
            </w:pPr>
            <w:r w:rsidRPr="00286216">
              <w:rPr>
                <w:color w:val="000000" w:themeColor="text1"/>
              </w:rPr>
              <w:t>Порядок здійснення грошових розрахунків за договорами, укладеними на організованих товарних ринках встановлюється законодавством.</w:t>
            </w:r>
          </w:p>
        </w:tc>
        <w:tc>
          <w:tcPr>
            <w:tcW w:w="3686" w:type="dxa"/>
          </w:tcPr>
          <w:p w14:paraId="76ADDC4B" w14:textId="7F91852F"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605</w:t>
            </w:r>
            <w:r w:rsidRPr="00286216">
              <w:rPr>
                <w:color w:val="000000" w:themeColor="text1"/>
              </w:rPr>
              <w:fldChar w:fldCharType="end"/>
            </w:r>
            <w:r w:rsidRPr="00286216">
              <w:rPr>
                <w:color w:val="000000" w:themeColor="text1"/>
              </w:rPr>
              <w:t>-Н.д.Шахов С.В. (Реєстр.картка №114)</w:t>
            </w:r>
          </w:p>
          <w:p w14:paraId="06E91AEB" w14:textId="77777777" w:rsidR="00291EAB" w:rsidRPr="00286216" w:rsidRDefault="00291EAB" w:rsidP="008E6BA3">
            <w:pPr>
              <w:pStyle w:val="StyleProp"/>
              <w:spacing w:line="180" w:lineRule="exact"/>
              <w:rPr>
                <w:color w:val="000000" w:themeColor="text1"/>
              </w:rPr>
            </w:pPr>
            <w:r w:rsidRPr="00286216">
              <w:rPr>
                <w:color w:val="000000" w:themeColor="text1"/>
              </w:rPr>
              <w:t>Частину 4 статті 64 викласти у такій редакції:</w:t>
            </w:r>
          </w:p>
          <w:p w14:paraId="37BA4B9D" w14:textId="77777777" w:rsidR="00291EAB" w:rsidRPr="00286216" w:rsidRDefault="00291EAB" w:rsidP="008E6BA3">
            <w:pPr>
              <w:pStyle w:val="StyleProp"/>
              <w:spacing w:line="180" w:lineRule="exact"/>
              <w:rPr>
                <w:color w:val="000000" w:themeColor="text1"/>
              </w:rPr>
            </w:pPr>
            <w:r w:rsidRPr="00286216">
              <w:rPr>
                <w:color w:val="000000" w:themeColor="text1"/>
              </w:rPr>
              <w:t>«4. Виконання зобов’язань за правочинами, що вчиняються на регульованих товарних ринках, здійснюється після їх обов’язкового клірингу особою, яка провадить клірингову діяльність Центрального контрагента.</w:t>
            </w:r>
          </w:p>
          <w:p w14:paraId="00F3A041" w14:textId="77777777" w:rsidR="00291EAB" w:rsidRPr="00286216" w:rsidRDefault="00291EAB" w:rsidP="008E6BA3">
            <w:pPr>
              <w:pStyle w:val="StyleProp"/>
              <w:spacing w:line="180" w:lineRule="exact"/>
              <w:rPr>
                <w:color w:val="000000" w:themeColor="text1"/>
              </w:rPr>
            </w:pPr>
            <w:r w:rsidRPr="00286216">
              <w:rPr>
                <w:color w:val="000000" w:themeColor="text1"/>
              </w:rPr>
              <w:lastRenderedPageBreak/>
              <w:t>Порядок здійснення грошових розрахунків за договорами, укладеними на регульованому товарному ринку, встановлюється законодавством».</w:t>
            </w:r>
          </w:p>
        </w:tc>
        <w:tc>
          <w:tcPr>
            <w:tcW w:w="1987" w:type="dxa"/>
          </w:tcPr>
          <w:p w14:paraId="1D578567" w14:textId="77777777" w:rsidR="00291EAB" w:rsidRPr="00286216" w:rsidRDefault="00291EAB" w:rsidP="008E6BA3">
            <w:pPr>
              <w:pStyle w:val="StyleWisnow"/>
              <w:spacing w:line="180" w:lineRule="exact"/>
              <w:rPr>
                <w:color w:val="000000" w:themeColor="text1"/>
              </w:rPr>
            </w:pPr>
            <w:r w:rsidRPr="00286216">
              <w:rPr>
                <w:color w:val="000000" w:themeColor="text1"/>
              </w:rPr>
              <w:lastRenderedPageBreak/>
              <w:t>Відхилено</w:t>
            </w:r>
          </w:p>
          <w:p w14:paraId="41A58534" w14:textId="77777777" w:rsidR="00291EAB" w:rsidRPr="00286216" w:rsidRDefault="00291EAB" w:rsidP="008E6BA3">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05F3F77F" w14:textId="77777777" w:rsidR="00291EAB" w:rsidRPr="00286216" w:rsidRDefault="00291EAB" w:rsidP="00291EAB">
            <w:pPr>
              <w:pStyle w:val="StyleZakonu"/>
              <w:rPr>
                <w:color w:val="000000" w:themeColor="text1"/>
              </w:rPr>
            </w:pPr>
          </w:p>
        </w:tc>
      </w:tr>
      <w:tr w:rsidR="00291EAB" w:rsidRPr="00286216" w14:paraId="118A8FA7" w14:textId="77777777" w:rsidTr="00091AA5">
        <w:tc>
          <w:tcPr>
            <w:tcW w:w="576" w:type="dxa"/>
          </w:tcPr>
          <w:p w14:paraId="3BC8B411" w14:textId="77777777" w:rsidR="00291EAB" w:rsidRPr="00286216" w:rsidRDefault="00291EAB" w:rsidP="00291EAB">
            <w:pPr>
              <w:pStyle w:val="StyleWisnow"/>
              <w:rPr>
                <w:color w:val="000000" w:themeColor="text1"/>
              </w:rPr>
            </w:pPr>
            <w:bookmarkStart w:id="839" w:name="n1118" w:colFirst="0" w:colLast="0"/>
            <w:bookmarkEnd w:id="838"/>
            <w:r w:rsidRPr="00286216">
              <w:rPr>
                <w:color w:val="000000" w:themeColor="text1"/>
              </w:rPr>
              <w:t>1118.</w:t>
            </w:r>
          </w:p>
        </w:tc>
        <w:tc>
          <w:tcPr>
            <w:tcW w:w="4818" w:type="dxa"/>
          </w:tcPr>
          <w:p w14:paraId="1DB0B20A" w14:textId="77777777" w:rsidR="00291EAB" w:rsidRPr="00286216" w:rsidRDefault="00291EAB" w:rsidP="00291EAB">
            <w:pPr>
              <w:pStyle w:val="StyleZakonu"/>
              <w:rPr>
                <w:color w:val="000000" w:themeColor="text1"/>
              </w:rPr>
            </w:pPr>
            <w:r w:rsidRPr="00286216">
              <w:rPr>
                <w:color w:val="000000" w:themeColor="text1"/>
              </w:rPr>
              <w:t>5. Оператор організованого товарного ринку подає звітні данні та іншу звітність Національній комісії з цінних паперів та фондового ринку та/або регулятору відповідного товарного ринку відповідно до їх компетенції.</w:t>
            </w:r>
          </w:p>
        </w:tc>
        <w:tc>
          <w:tcPr>
            <w:tcW w:w="3686" w:type="dxa"/>
          </w:tcPr>
          <w:p w14:paraId="1EAAF683" w14:textId="3ECFDD67" w:rsidR="00291EAB" w:rsidRPr="00286216" w:rsidRDefault="00291EAB" w:rsidP="00291EAB">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606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FBFC101" w14:textId="77777777" w:rsidR="00291EAB" w:rsidRPr="00286216" w:rsidRDefault="00291EAB" w:rsidP="008E6BA3">
            <w:pPr>
              <w:pStyle w:val="StyleProp"/>
              <w:spacing w:line="180" w:lineRule="exact"/>
              <w:rPr>
                <w:color w:val="000000" w:themeColor="text1"/>
              </w:rPr>
            </w:pPr>
            <w:r w:rsidRPr="00286216">
              <w:rPr>
                <w:color w:val="000000" w:themeColor="text1"/>
              </w:rPr>
              <w:t>В частині 5 статті 64 слова «регулятору відповідного товарного ринку» замінити словами «центральному органу виконавчої влади, що забезпечує формування та реалізує державну політику у відповідних сферах»</w:t>
            </w:r>
          </w:p>
          <w:p w14:paraId="1A5C0CCC" w14:textId="5006F15E"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607</w:t>
            </w:r>
            <w:r w:rsidRPr="00286216">
              <w:rPr>
                <w:color w:val="000000" w:themeColor="text1"/>
              </w:rPr>
              <w:fldChar w:fldCharType="end"/>
            </w:r>
            <w:r w:rsidRPr="00286216">
              <w:rPr>
                <w:color w:val="000000" w:themeColor="text1"/>
              </w:rPr>
              <w:t>-Н.д.Шахов С.В. (Реєстр.картка №114)</w:t>
            </w:r>
          </w:p>
          <w:p w14:paraId="5863A1E2" w14:textId="77777777" w:rsidR="00291EAB" w:rsidRPr="00286216" w:rsidRDefault="00291EAB" w:rsidP="008E6BA3">
            <w:pPr>
              <w:pStyle w:val="StyleProp"/>
              <w:spacing w:line="180" w:lineRule="exact"/>
              <w:rPr>
                <w:color w:val="000000" w:themeColor="text1"/>
              </w:rPr>
            </w:pPr>
            <w:r w:rsidRPr="00286216">
              <w:rPr>
                <w:color w:val="000000" w:themeColor="text1"/>
              </w:rPr>
              <w:t>Частину 5 статті 64 викласти у такій редакції:</w:t>
            </w:r>
          </w:p>
          <w:p w14:paraId="014648A7" w14:textId="77777777" w:rsidR="00291EAB" w:rsidRPr="00286216" w:rsidRDefault="00291EAB" w:rsidP="008E6BA3">
            <w:pPr>
              <w:pStyle w:val="StyleProp"/>
              <w:spacing w:line="180" w:lineRule="exact"/>
              <w:rPr>
                <w:color w:val="000000" w:themeColor="text1"/>
                <w:szCs w:val="18"/>
              </w:rPr>
            </w:pPr>
            <w:r w:rsidRPr="00286216">
              <w:rPr>
                <w:color w:val="000000" w:themeColor="text1"/>
              </w:rPr>
              <w:t xml:space="preserve"> «5. Оператор регульованого товарного ринку подає звітні дані та іншу звітність регулятору відповідного ринку згідно з законодавством».</w:t>
            </w:r>
          </w:p>
        </w:tc>
        <w:tc>
          <w:tcPr>
            <w:tcW w:w="1987" w:type="dxa"/>
          </w:tcPr>
          <w:p w14:paraId="005DD137" w14:textId="77777777" w:rsidR="00291EAB" w:rsidRPr="00286216" w:rsidRDefault="00291EAB" w:rsidP="008E6BA3">
            <w:pPr>
              <w:pStyle w:val="StyleWisnow"/>
              <w:spacing w:line="180" w:lineRule="exact"/>
              <w:rPr>
                <w:color w:val="000000" w:themeColor="text1"/>
              </w:rPr>
            </w:pPr>
            <w:r w:rsidRPr="00286216">
              <w:rPr>
                <w:color w:val="000000" w:themeColor="text1"/>
              </w:rPr>
              <w:t>Відхилено</w:t>
            </w:r>
          </w:p>
          <w:p w14:paraId="2A2FD458" w14:textId="77777777" w:rsidR="00291EAB" w:rsidRPr="00286216" w:rsidRDefault="00291EAB" w:rsidP="008E6BA3">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p w14:paraId="07F1FD23" w14:textId="125EF450" w:rsidR="00291EAB" w:rsidRPr="00286216" w:rsidRDefault="00291EAB" w:rsidP="008E6BA3">
            <w:pPr>
              <w:pStyle w:val="StyleWisnow"/>
              <w:spacing w:line="180" w:lineRule="exact"/>
              <w:rPr>
                <w:color w:val="000000" w:themeColor="text1"/>
              </w:rPr>
            </w:pPr>
          </w:p>
          <w:p w14:paraId="5FCF6DF0" w14:textId="4900C127" w:rsidR="008E6BA3" w:rsidRPr="00286216" w:rsidRDefault="008E6BA3" w:rsidP="008E6BA3">
            <w:pPr>
              <w:pStyle w:val="StyleWisnow"/>
              <w:spacing w:line="180" w:lineRule="exact"/>
              <w:rPr>
                <w:color w:val="000000" w:themeColor="text1"/>
              </w:rPr>
            </w:pPr>
          </w:p>
          <w:p w14:paraId="3CFEC305" w14:textId="77777777" w:rsidR="008E6BA3" w:rsidRPr="00286216" w:rsidRDefault="008E6BA3" w:rsidP="008E6BA3">
            <w:pPr>
              <w:pStyle w:val="StyleWisnow"/>
              <w:spacing w:line="180" w:lineRule="exact"/>
              <w:rPr>
                <w:color w:val="000000" w:themeColor="text1"/>
              </w:rPr>
            </w:pPr>
          </w:p>
          <w:p w14:paraId="62EFCF9C" w14:textId="77777777" w:rsidR="008E6BA3" w:rsidRPr="00286216" w:rsidRDefault="008E6BA3" w:rsidP="008E6BA3">
            <w:pPr>
              <w:pStyle w:val="StyleWisnow"/>
              <w:spacing w:line="180" w:lineRule="exact"/>
              <w:rPr>
                <w:color w:val="000000" w:themeColor="text1"/>
              </w:rPr>
            </w:pPr>
          </w:p>
          <w:p w14:paraId="6988E887" w14:textId="77777777" w:rsidR="00291EAB" w:rsidRPr="00286216" w:rsidRDefault="00291EAB" w:rsidP="008E6BA3">
            <w:pPr>
              <w:pStyle w:val="StyleWisnow"/>
              <w:spacing w:line="180" w:lineRule="exact"/>
              <w:rPr>
                <w:color w:val="000000" w:themeColor="text1"/>
              </w:rPr>
            </w:pPr>
            <w:r w:rsidRPr="00286216">
              <w:rPr>
                <w:color w:val="000000" w:themeColor="text1"/>
              </w:rPr>
              <w:t xml:space="preserve"> Відхилено</w:t>
            </w:r>
          </w:p>
          <w:p w14:paraId="444D6174" w14:textId="77777777" w:rsidR="00291EAB" w:rsidRPr="00286216" w:rsidRDefault="00291EAB" w:rsidP="008E6BA3">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67A073E2" w14:textId="77777777" w:rsidR="00291EAB" w:rsidRPr="00286216" w:rsidRDefault="00291EAB" w:rsidP="00291EAB">
            <w:pPr>
              <w:pStyle w:val="StyleZakonu"/>
              <w:rPr>
                <w:color w:val="000000" w:themeColor="text1"/>
              </w:rPr>
            </w:pPr>
          </w:p>
        </w:tc>
      </w:tr>
      <w:tr w:rsidR="00291EAB" w:rsidRPr="00286216" w14:paraId="08AF8686" w14:textId="77777777" w:rsidTr="00091AA5">
        <w:tc>
          <w:tcPr>
            <w:tcW w:w="576" w:type="dxa"/>
          </w:tcPr>
          <w:p w14:paraId="0BB5B863" w14:textId="77777777" w:rsidR="00291EAB" w:rsidRPr="00286216" w:rsidRDefault="00291EAB" w:rsidP="00291EAB">
            <w:pPr>
              <w:pStyle w:val="StyleWisnow"/>
              <w:rPr>
                <w:color w:val="000000" w:themeColor="text1"/>
              </w:rPr>
            </w:pPr>
            <w:bookmarkStart w:id="840" w:name="n1119" w:colFirst="0" w:colLast="0"/>
            <w:bookmarkEnd w:id="839"/>
            <w:r w:rsidRPr="00286216">
              <w:rPr>
                <w:color w:val="000000" w:themeColor="text1"/>
              </w:rPr>
              <w:t>1119.</w:t>
            </w:r>
          </w:p>
        </w:tc>
        <w:tc>
          <w:tcPr>
            <w:tcW w:w="4818" w:type="dxa"/>
          </w:tcPr>
          <w:p w14:paraId="556F62B7" w14:textId="77777777" w:rsidR="00291EAB" w:rsidRPr="00286216" w:rsidRDefault="00291EAB" w:rsidP="00291EAB">
            <w:pPr>
              <w:pStyle w:val="StyleZakonu"/>
              <w:rPr>
                <w:color w:val="000000" w:themeColor="text1"/>
              </w:rPr>
            </w:pPr>
            <w:r w:rsidRPr="00286216">
              <w:rPr>
                <w:color w:val="000000" w:themeColor="text1"/>
              </w:rPr>
              <w:t>6. Слова "оператор організованого товарного ринку", "оператор ринку", "організований ринок", "регульований товарний ринок" та похідні від них дозволяється використовувати у назві лише юридичним особам, які створені та функціонують відповідно до вимог цього Закону.</w:t>
            </w:r>
          </w:p>
        </w:tc>
        <w:tc>
          <w:tcPr>
            <w:tcW w:w="3686" w:type="dxa"/>
          </w:tcPr>
          <w:p w14:paraId="2D2ADB87" w14:textId="3623BB1C"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608</w:t>
            </w:r>
            <w:r w:rsidRPr="00286216">
              <w:rPr>
                <w:color w:val="000000" w:themeColor="text1"/>
              </w:rPr>
              <w:fldChar w:fldCharType="end"/>
            </w:r>
            <w:r w:rsidRPr="00286216">
              <w:rPr>
                <w:color w:val="000000" w:themeColor="text1"/>
              </w:rPr>
              <w:t>-Н.д.Шахов С.В. (Реєстр.картка №114)</w:t>
            </w:r>
          </w:p>
          <w:p w14:paraId="603483BC" w14:textId="77777777" w:rsidR="00291EAB" w:rsidRPr="00286216" w:rsidRDefault="00291EAB" w:rsidP="008E6BA3">
            <w:pPr>
              <w:pStyle w:val="StyleProp"/>
              <w:spacing w:line="180" w:lineRule="exact"/>
              <w:rPr>
                <w:color w:val="000000" w:themeColor="text1"/>
              </w:rPr>
            </w:pPr>
            <w:r w:rsidRPr="00286216">
              <w:rPr>
                <w:color w:val="000000" w:themeColor="text1"/>
              </w:rPr>
              <w:t>Частину 6 статті 64 викласти у такій редакції:</w:t>
            </w:r>
          </w:p>
          <w:p w14:paraId="59AEBE41" w14:textId="77777777" w:rsidR="00291EAB" w:rsidRPr="00286216" w:rsidRDefault="00291EAB" w:rsidP="008E6BA3">
            <w:pPr>
              <w:pStyle w:val="StyleProp"/>
              <w:spacing w:line="180" w:lineRule="exact"/>
              <w:rPr>
                <w:color w:val="000000" w:themeColor="text1"/>
                <w:szCs w:val="18"/>
              </w:rPr>
            </w:pPr>
            <w:r w:rsidRPr="00286216">
              <w:rPr>
                <w:color w:val="000000" w:themeColor="text1"/>
              </w:rPr>
              <w:t xml:space="preserve"> «6. При провадженні господарської діяльності на товарному ринку слова «оператор організованого товарного ринку», «оператор ринку», «організований товарний ринок», «організований ринок», «регульований товарний ринок», «товарна біржа» та похідні від них дозволяється використовувати у назві лише юридичним особам, які створені та функціонують відповідно до вимог цього Закону та/або Закону України «Про товарну біржу» та/або законодавства про товарні ринки.».</w:t>
            </w:r>
          </w:p>
        </w:tc>
        <w:tc>
          <w:tcPr>
            <w:tcW w:w="1987" w:type="dxa"/>
          </w:tcPr>
          <w:p w14:paraId="1FC5A03A" w14:textId="77777777" w:rsidR="00291EAB" w:rsidRPr="00286216" w:rsidRDefault="00291EAB" w:rsidP="008E6BA3">
            <w:pPr>
              <w:pStyle w:val="StyleWisnow"/>
              <w:spacing w:line="180" w:lineRule="exact"/>
              <w:rPr>
                <w:color w:val="000000" w:themeColor="text1"/>
              </w:rPr>
            </w:pPr>
            <w:r w:rsidRPr="00286216">
              <w:rPr>
                <w:color w:val="000000" w:themeColor="text1"/>
              </w:rPr>
              <w:t>Відхилено</w:t>
            </w:r>
          </w:p>
          <w:p w14:paraId="7BA09806" w14:textId="77777777" w:rsidR="00291EAB" w:rsidRPr="00286216" w:rsidRDefault="00291EAB" w:rsidP="008E6BA3">
            <w:pPr>
              <w:pStyle w:val="StyleWisnow"/>
              <w:spacing w:line="180" w:lineRule="exact"/>
              <w:rPr>
                <w:color w:val="000000" w:themeColor="text1"/>
              </w:rPr>
            </w:pPr>
            <w:r w:rsidRPr="00286216">
              <w:rPr>
                <w:color w:val="000000" w:themeColor="text1"/>
              </w:rPr>
              <w:t>у звʼязку із зміною редакції та виключенням статті</w:t>
            </w:r>
          </w:p>
        </w:tc>
        <w:tc>
          <w:tcPr>
            <w:tcW w:w="4818" w:type="dxa"/>
          </w:tcPr>
          <w:p w14:paraId="5AF51EE8" w14:textId="77777777" w:rsidR="00291EAB" w:rsidRPr="00286216" w:rsidRDefault="00291EAB" w:rsidP="00291EAB">
            <w:pPr>
              <w:pStyle w:val="StyleZakonu"/>
              <w:rPr>
                <w:color w:val="000000" w:themeColor="text1"/>
              </w:rPr>
            </w:pPr>
          </w:p>
        </w:tc>
      </w:tr>
      <w:tr w:rsidR="00F97573" w:rsidRPr="00286216" w14:paraId="5B032437" w14:textId="77777777" w:rsidTr="00091AA5">
        <w:tc>
          <w:tcPr>
            <w:tcW w:w="576" w:type="dxa"/>
          </w:tcPr>
          <w:p w14:paraId="50C866CB" w14:textId="77777777" w:rsidR="00F97573" w:rsidRPr="00286216" w:rsidRDefault="00F97573" w:rsidP="00F97573">
            <w:pPr>
              <w:pStyle w:val="StyleWisnow"/>
              <w:rPr>
                <w:color w:val="000000" w:themeColor="text1"/>
              </w:rPr>
            </w:pPr>
            <w:bookmarkStart w:id="841" w:name="n1120" w:colFirst="0" w:colLast="0"/>
            <w:bookmarkEnd w:id="840"/>
            <w:r w:rsidRPr="00286216">
              <w:rPr>
                <w:color w:val="000000" w:themeColor="text1"/>
              </w:rPr>
              <w:t>1120.</w:t>
            </w:r>
          </w:p>
        </w:tc>
        <w:tc>
          <w:tcPr>
            <w:tcW w:w="4818" w:type="dxa"/>
          </w:tcPr>
          <w:p w14:paraId="331C68B7" w14:textId="77777777" w:rsidR="00F97573" w:rsidRPr="00286216" w:rsidRDefault="00F97573" w:rsidP="00F97573">
            <w:pPr>
              <w:pStyle w:val="StyleZakonu"/>
              <w:rPr>
                <w:color w:val="000000" w:themeColor="text1"/>
              </w:rPr>
            </w:pPr>
            <w:bookmarkStart w:id="842" w:name="_Ref16420010"/>
            <w:r w:rsidRPr="00286216">
              <w:rPr>
                <w:color w:val="000000" w:themeColor="text1"/>
              </w:rPr>
              <w:t>Стаття 65. Поєднання між собою окремих видів професійної діяльності на ринках капіталу</w:t>
            </w:r>
            <w:bookmarkEnd w:id="842"/>
          </w:p>
        </w:tc>
        <w:tc>
          <w:tcPr>
            <w:tcW w:w="3686" w:type="dxa"/>
          </w:tcPr>
          <w:p w14:paraId="63EA0EB1" w14:textId="77777777" w:rsidR="00F97573" w:rsidRPr="00286216" w:rsidRDefault="00F97573" w:rsidP="00F97573">
            <w:pPr>
              <w:pStyle w:val="StyleProp"/>
              <w:rPr>
                <w:color w:val="000000" w:themeColor="text1"/>
                <w:szCs w:val="18"/>
              </w:rPr>
            </w:pPr>
          </w:p>
        </w:tc>
        <w:tc>
          <w:tcPr>
            <w:tcW w:w="1987" w:type="dxa"/>
          </w:tcPr>
          <w:p w14:paraId="254290D1" w14:textId="77777777" w:rsidR="00F97573" w:rsidRPr="00286216" w:rsidRDefault="00F97573" w:rsidP="00F97573">
            <w:pPr>
              <w:pStyle w:val="StyleWisnow"/>
              <w:rPr>
                <w:color w:val="000000" w:themeColor="text1"/>
              </w:rPr>
            </w:pPr>
          </w:p>
        </w:tc>
        <w:tc>
          <w:tcPr>
            <w:tcW w:w="4818" w:type="dxa"/>
          </w:tcPr>
          <w:p w14:paraId="05BA66B7" w14:textId="58A545D8" w:rsidR="00F97573" w:rsidRPr="00286216" w:rsidRDefault="00F97573" w:rsidP="00F97573">
            <w:pPr>
              <w:pStyle w:val="StyleZakonu"/>
              <w:rPr>
                <w:color w:val="000000" w:themeColor="text1"/>
              </w:rPr>
            </w:pPr>
            <w:r w:rsidRPr="00286216">
              <w:rPr>
                <w:color w:val="000000" w:themeColor="text1"/>
              </w:rPr>
              <w:t>Стаття 69. Поєднання між собою окремих видів професійної діяльності на ринках капіталу</w:t>
            </w:r>
          </w:p>
        </w:tc>
      </w:tr>
      <w:tr w:rsidR="00F97573" w:rsidRPr="00286216" w14:paraId="40390118" w14:textId="77777777" w:rsidTr="00091AA5">
        <w:tc>
          <w:tcPr>
            <w:tcW w:w="576" w:type="dxa"/>
          </w:tcPr>
          <w:p w14:paraId="2291327D" w14:textId="77777777" w:rsidR="00F97573" w:rsidRPr="00286216" w:rsidRDefault="00F97573" w:rsidP="00F97573">
            <w:pPr>
              <w:pStyle w:val="StyleWisnow"/>
              <w:rPr>
                <w:color w:val="000000" w:themeColor="text1"/>
              </w:rPr>
            </w:pPr>
            <w:bookmarkStart w:id="843" w:name="n1121" w:colFirst="0" w:colLast="0"/>
            <w:bookmarkEnd w:id="841"/>
            <w:r w:rsidRPr="00286216">
              <w:rPr>
                <w:color w:val="000000" w:themeColor="text1"/>
              </w:rPr>
              <w:t>1121.</w:t>
            </w:r>
          </w:p>
        </w:tc>
        <w:tc>
          <w:tcPr>
            <w:tcW w:w="4818" w:type="dxa"/>
          </w:tcPr>
          <w:p w14:paraId="374ABD74" w14:textId="77777777" w:rsidR="00F97573" w:rsidRPr="00286216" w:rsidRDefault="00F97573" w:rsidP="00F97573">
            <w:pPr>
              <w:pStyle w:val="StyleZakonu"/>
              <w:rPr>
                <w:color w:val="000000" w:themeColor="text1"/>
              </w:rPr>
            </w:pPr>
            <w:r w:rsidRPr="00286216">
              <w:rPr>
                <w:color w:val="000000" w:themeColor="text1"/>
              </w:rPr>
              <w:t>1. Поєднання окремих видів професійної діяльності на ринках капіталу не допускається, крім випадків, передбачених цим Законом та іншими актами законодавства, які регулюють порядок здійснення окремих видів професійної діяльності на ринках капіталу.</w:t>
            </w:r>
          </w:p>
        </w:tc>
        <w:tc>
          <w:tcPr>
            <w:tcW w:w="3686" w:type="dxa"/>
          </w:tcPr>
          <w:p w14:paraId="4952CF07" w14:textId="77777777" w:rsidR="00F97573" w:rsidRPr="00286216" w:rsidRDefault="00F97573" w:rsidP="00F97573">
            <w:pPr>
              <w:pStyle w:val="StyleProp"/>
              <w:rPr>
                <w:color w:val="000000" w:themeColor="text1"/>
                <w:szCs w:val="18"/>
              </w:rPr>
            </w:pPr>
          </w:p>
        </w:tc>
        <w:tc>
          <w:tcPr>
            <w:tcW w:w="1987" w:type="dxa"/>
          </w:tcPr>
          <w:p w14:paraId="08DD08C0" w14:textId="77777777" w:rsidR="00F97573" w:rsidRPr="00286216" w:rsidRDefault="00F97573" w:rsidP="00F97573">
            <w:pPr>
              <w:pStyle w:val="StyleWisnow"/>
              <w:rPr>
                <w:color w:val="000000" w:themeColor="text1"/>
              </w:rPr>
            </w:pPr>
          </w:p>
        </w:tc>
        <w:tc>
          <w:tcPr>
            <w:tcW w:w="4818" w:type="dxa"/>
          </w:tcPr>
          <w:p w14:paraId="22A572FC" w14:textId="4B6757E7" w:rsidR="00F97573" w:rsidRPr="00286216" w:rsidRDefault="00F97573" w:rsidP="00F97573">
            <w:pPr>
              <w:pStyle w:val="StyleZakonu"/>
              <w:rPr>
                <w:color w:val="000000" w:themeColor="text1"/>
              </w:rPr>
            </w:pPr>
            <w:r w:rsidRPr="00286216">
              <w:rPr>
                <w:color w:val="000000" w:themeColor="text1"/>
              </w:rPr>
              <w:t>1. Поєднання окремих видів професійної діяльності на ринках капіталу не допускається, крім випадків, передбачених цим Законом та іншими актами законодавства, що регулюють порядок здійснення окремих видів професійної діяльності на ринках капіталу.</w:t>
            </w:r>
          </w:p>
        </w:tc>
      </w:tr>
      <w:tr w:rsidR="00F97573" w:rsidRPr="00286216" w14:paraId="00138AAC" w14:textId="77777777" w:rsidTr="00091AA5">
        <w:tc>
          <w:tcPr>
            <w:tcW w:w="576" w:type="dxa"/>
          </w:tcPr>
          <w:p w14:paraId="65EBBD80" w14:textId="77777777" w:rsidR="00F97573" w:rsidRPr="00286216" w:rsidRDefault="00F97573" w:rsidP="00F97573">
            <w:pPr>
              <w:pStyle w:val="StyleWisnow"/>
              <w:rPr>
                <w:color w:val="000000" w:themeColor="text1"/>
              </w:rPr>
            </w:pPr>
            <w:bookmarkStart w:id="844" w:name="n1122" w:colFirst="0" w:colLast="0"/>
            <w:bookmarkEnd w:id="843"/>
            <w:r w:rsidRPr="00286216">
              <w:rPr>
                <w:color w:val="000000" w:themeColor="text1"/>
              </w:rPr>
              <w:t>1122.</w:t>
            </w:r>
          </w:p>
        </w:tc>
        <w:tc>
          <w:tcPr>
            <w:tcW w:w="4818" w:type="dxa"/>
          </w:tcPr>
          <w:p w14:paraId="1FD1B1CA" w14:textId="77777777" w:rsidR="00F97573" w:rsidRPr="00286216" w:rsidRDefault="00F97573" w:rsidP="00F97573">
            <w:pPr>
              <w:pStyle w:val="StyleZakonu"/>
              <w:rPr>
                <w:color w:val="000000" w:themeColor="text1"/>
              </w:rPr>
            </w:pPr>
            <w:r w:rsidRPr="00286216">
              <w:rPr>
                <w:color w:val="000000" w:themeColor="text1"/>
              </w:rPr>
              <w:t>2. Інвестиційні фірми можуть провадити діяльність з організації торгівлі на ОТМ та організації торгівлі на БТМ в порядку, передбаченому цим Законом, за умови отримання ними відповідної ліцензії.</w:t>
            </w:r>
          </w:p>
        </w:tc>
        <w:tc>
          <w:tcPr>
            <w:tcW w:w="3686" w:type="dxa"/>
          </w:tcPr>
          <w:p w14:paraId="4A9E6780" w14:textId="615705EC" w:rsidR="00F97573" w:rsidRPr="00286216" w:rsidRDefault="00F97573" w:rsidP="00F9757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609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9F58087" w14:textId="77777777" w:rsidR="00F97573" w:rsidRPr="00286216" w:rsidRDefault="00F97573" w:rsidP="00F97573">
            <w:pPr>
              <w:pStyle w:val="StyleProp"/>
              <w:rPr>
                <w:color w:val="000000" w:themeColor="text1"/>
                <w:szCs w:val="18"/>
              </w:rPr>
            </w:pPr>
            <w:r w:rsidRPr="00286216">
              <w:rPr>
                <w:color w:val="000000" w:themeColor="text1"/>
                <w:szCs w:val="18"/>
              </w:rPr>
              <w:t>У частинах 2 та 4 статті 65 нової редакції Закону слова «організації торгівлі» замінити словами «організації обігу».</w:t>
            </w:r>
          </w:p>
        </w:tc>
        <w:tc>
          <w:tcPr>
            <w:tcW w:w="1987" w:type="dxa"/>
          </w:tcPr>
          <w:p w14:paraId="1A508B85"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1F0523F1" w14:textId="77777777" w:rsidR="00F97573" w:rsidRPr="00286216" w:rsidRDefault="00F97573" w:rsidP="00F97573">
            <w:pPr>
              <w:pStyle w:val="StyleWisnow"/>
              <w:rPr>
                <w:color w:val="000000" w:themeColor="text1"/>
              </w:rPr>
            </w:pPr>
            <w:r w:rsidRPr="00286216">
              <w:rPr>
                <w:color w:val="000000" w:themeColor="text1"/>
              </w:rPr>
              <w:t>обіг - це процес, а не вид професійної діяльності</w:t>
            </w:r>
          </w:p>
        </w:tc>
        <w:tc>
          <w:tcPr>
            <w:tcW w:w="4818" w:type="dxa"/>
          </w:tcPr>
          <w:p w14:paraId="234097FD" w14:textId="705663CD" w:rsidR="00F97573" w:rsidRPr="00286216" w:rsidRDefault="00F97573" w:rsidP="00F97573">
            <w:pPr>
              <w:pStyle w:val="StyleZakonu"/>
              <w:rPr>
                <w:color w:val="000000" w:themeColor="text1"/>
              </w:rPr>
            </w:pPr>
            <w:r w:rsidRPr="00286216">
              <w:rPr>
                <w:color w:val="000000" w:themeColor="text1"/>
              </w:rPr>
              <w:t>2. Інвестиційні фірми можуть провадити діяльність з організації торгівлі на ОТМ та організації торгівлі на БТМ у порядку, передбаченому цим Законом, за умови отримання ними відповідної ліцензії.</w:t>
            </w:r>
          </w:p>
        </w:tc>
      </w:tr>
      <w:tr w:rsidR="00F97573" w:rsidRPr="00286216" w14:paraId="4C4EAAB6" w14:textId="77777777" w:rsidTr="00091AA5">
        <w:tc>
          <w:tcPr>
            <w:tcW w:w="576" w:type="dxa"/>
          </w:tcPr>
          <w:p w14:paraId="08BBA016" w14:textId="77777777" w:rsidR="00F97573" w:rsidRPr="00286216" w:rsidRDefault="00F97573" w:rsidP="00F97573">
            <w:pPr>
              <w:pStyle w:val="StyleWisnow"/>
              <w:rPr>
                <w:color w:val="000000" w:themeColor="text1"/>
              </w:rPr>
            </w:pPr>
            <w:bookmarkStart w:id="845" w:name="n1123" w:colFirst="0" w:colLast="0"/>
            <w:bookmarkEnd w:id="844"/>
            <w:r w:rsidRPr="00286216">
              <w:rPr>
                <w:color w:val="000000" w:themeColor="text1"/>
              </w:rPr>
              <w:t>1123.</w:t>
            </w:r>
          </w:p>
        </w:tc>
        <w:tc>
          <w:tcPr>
            <w:tcW w:w="4818" w:type="dxa"/>
          </w:tcPr>
          <w:p w14:paraId="20F916EE" w14:textId="77777777" w:rsidR="00F97573" w:rsidRPr="00286216" w:rsidRDefault="00F97573" w:rsidP="00F97573">
            <w:pPr>
              <w:pStyle w:val="StyleZakonu"/>
              <w:rPr>
                <w:color w:val="000000" w:themeColor="text1"/>
              </w:rPr>
            </w:pPr>
            <w:r w:rsidRPr="00286216">
              <w:rPr>
                <w:color w:val="000000" w:themeColor="text1"/>
              </w:rPr>
              <w:t xml:space="preserve">3. Оператори БТМ та оператори ОТМ можуть провадити клірингову діяльність з визначення зобов’язань за договорами, які укладаються на організованих ринках, що управляються цими операторами, відповідно до правил таких ринків за </w:t>
            </w:r>
            <w:r w:rsidRPr="00286216">
              <w:rPr>
                <w:color w:val="000000" w:themeColor="text1"/>
              </w:rPr>
              <w:lastRenderedPageBreak/>
              <w:t>умови отримання ними відповідної ліцензії.</w:t>
            </w:r>
          </w:p>
        </w:tc>
        <w:tc>
          <w:tcPr>
            <w:tcW w:w="3686" w:type="dxa"/>
          </w:tcPr>
          <w:p w14:paraId="0EF16CAB" w14:textId="0DAC005C" w:rsidR="00F97573" w:rsidRPr="00286216" w:rsidRDefault="00F97573" w:rsidP="00F97573">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610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EE292F8" w14:textId="77777777" w:rsidR="00F97573" w:rsidRPr="00286216" w:rsidRDefault="00F97573" w:rsidP="00F97573">
            <w:pPr>
              <w:pStyle w:val="StyleProp"/>
              <w:rPr>
                <w:color w:val="000000" w:themeColor="text1"/>
                <w:szCs w:val="18"/>
              </w:rPr>
            </w:pPr>
            <w:r w:rsidRPr="00286216">
              <w:rPr>
                <w:color w:val="000000" w:themeColor="text1"/>
                <w:szCs w:val="18"/>
              </w:rPr>
              <w:t xml:space="preserve">Доповнити частину третю статті 65 після слів «та оператори ОТМ» доповнити словами «(у тому числі ті, що мають ліцензію на провадження діяльності з торгівлі </w:t>
            </w:r>
            <w:r w:rsidRPr="00286216">
              <w:rPr>
                <w:color w:val="000000" w:themeColor="text1"/>
                <w:szCs w:val="18"/>
              </w:rPr>
              <w:lastRenderedPageBreak/>
              <w:t>фінансовими інструментами)».</w:t>
            </w:r>
          </w:p>
        </w:tc>
        <w:tc>
          <w:tcPr>
            <w:tcW w:w="1987" w:type="dxa"/>
          </w:tcPr>
          <w:p w14:paraId="352D0C6F" w14:textId="77777777" w:rsidR="00F97573" w:rsidRPr="00286216" w:rsidRDefault="00F97573" w:rsidP="00F97573">
            <w:pPr>
              <w:pStyle w:val="StyleWisnow"/>
              <w:rPr>
                <w:color w:val="000000" w:themeColor="text1"/>
              </w:rPr>
            </w:pPr>
            <w:r w:rsidRPr="00286216">
              <w:rPr>
                <w:color w:val="000000" w:themeColor="text1"/>
              </w:rPr>
              <w:lastRenderedPageBreak/>
              <w:t>Враховано</w:t>
            </w:r>
          </w:p>
        </w:tc>
        <w:tc>
          <w:tcPr>
            <w:tcW w:w="4818" w:type="dxa"/>
          </w:tcPr>
          <w:p w14:paraId="1C42DE16" w14:textId="4BC839AF" w:rsidR="00F97573" w:rsidRPr="00286216" w:rsidRDefault="00F97573" w:rsidP="00F97573">
            <w:pPr>
              <w:pStyle w:val="StyleZakonu"/>
              <w:rPr>
                <w:color w:val="000000" w:themeColor="text1"/>
              </w:rPr>
            </w:pPr>
            <w:r w:rsidRPr="00286216">
              <w:rPr>
                <w:color w:val="000000" w:themeColor="text1"/>
              </w:rPr>
              <w:t xml:space="preserve">3. Оператори БТМ та оператори ОТМ </w:t>
            </w:r>
            <w:r w:rsidRPr="00286216">
              <w:rPr>
                <w:color w:val="000000" w:themeColor="text1"/>
                <w:szCs w:val="18"/>
              </w:rPr>
              <w:t xml:space="preserve">(у тому числі ті, які мають ліцензію на провадження </w:t>
            </w:r>
            <w:r w:rsidRPr="00286216">
              <w:rPr>
                <w:color w:val="000000" w:themeColor="text1"/>
              </w:rPr>
              <w:t>відповідного виду д</w:t>
            </w:r>
            <w:r w:rsidRPr="00286216">
              <w:rPr>
                <w:color w:val="000000" w:themeColor="text1"/>
                <w:szCs w:val="18"/>
              </w:rPr>
              <w:t xml:space="preserve">іяльності з торгівлі фінансовими інструментами) </w:t>
            </w:r>
            <w:r w:rsidRPr="00286216">
              <w:rPr>
                <w:color w:val="000000" w:themeColor="text1"/>
              </w:rPr>
              <w:t xml:space="preserve">можуть провадити клірингову діяльність з визначення зобов’язань за договорами, </w:t>
            </w:r>
            <w:r w:rsidRPr="00286216">
              <w:rPr>
                <w:color w:val="000000" w:themeColor="text1"/>
              </w:rPr>
              <w:lastRenderedPageBreak/>
              <w:t>які укладаються на організованих ринках, що управляються цими операторами, відповідно до правил таких ринків за умови отримання ними відповідної ліцензії.</w:t>
            </w:r>
          </w:p>
        </w:tc>
      </w:tr>
      <w:tr w:rsidR="00F97573" w:rsidRPr="00286216" w14:paraId="144C1D52" w14:textId="77777777" w:rsidTr="00091AA5">
        <w:tc>
          <w:tcPr>
            <w:tcW w:w="576" w:type="dxa"/>
          </w:tcPr>
          <w:p w14:paraId="00F7F538" w14:textId="77777777" w:rsidR="00F97573" w:rsidRPr="00286216" w:rsidRDefault="00F97573" w:rsidP="00F97573">
            <w:pPr>
              <w:pStyle w:val="StyleWisnow"/>
              <w:rPr>
                <w:color w:val="000000" w:themeColor="text1"/>
              </w:rPr>
            </w:pPr>
          </w:p>
        </w:tc>
        <w:tc>
          <w:tcPr>
            <w:tcW w:w="4818" w:type="dxa"/>
          </w:tcPr>
          <w:p w14:paraId="43870470" w14:textId="77777777" w:rsidR="00F97573" w:rsidRPr="00286216" w:rsidRDefault="00F97573" w:rsidP="00F97573">
            <w:pPr>
              <w:pStyle w:val="StyleZakonu"/>
              <w:rPr>
                <w:color w:val="000000" w:themeColor="text1"/>
              </w:rPr>
            </w:pPr>
          </w:p>
        </w:tc>
        <w:tc>
          <w:tcPr>
            <w:tcW w:w="3686" w:type="dxa"/>
          </w:tcPr>
          <w:p w14:paraId="2DC22524" w14:textId="192B81C6" w:rsidR="00F97573" w:rsidRPr="00286216" w:rsidRDefault="00F97573" w:rsidP="00F97573">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611</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0C179CF7" w14:textId="77777777" w:rsidR="00F97573" w:rsidRPr="00286216" w:rsidRDefault="00F97573" w:rsidP="00F97573">
            <w:pPr>
              <w:spacing w:line="180" w:lineRule="exact"/>
              <w:ind w:firstLine="227"/>
              <w:jc w:val="both"/>
              <w:rPr>
                <w:color w:val="000000" w:themeColor="text1"/>
                <w:sz w:val="18"/>
              </w:rPr>
            </w:pPr>
            <w:r w:rsidRPr="00286216">
              <w:rPr>
                <w:color w:val="000000" w:themeColor="text1"/>
                <w:sz w:val="18"/>
              </w:rPr>
              <w:t>частину 3 статті 65 викласти у такій редакції:</w:t>
            </w:r>
          </w:p>
          <w:p w14:paraId="00ED5CC4" w14:textId="77777777" w:rsidR="00F97573" w:rsidRPr="00286216" w:rsidRDefault="00F97573" w:rsidP="00F97573">
            <w:pPr>
              <w:spacing w:line="180" w:lineRule="exact"/>
              <w:ind w:firstLine="227"/>
              <w:jc w:val="both"/>
              <w:rPr>
                <w:color w:val="000000" w:themeColor="text1"/>
                <w:szCs w:val="18"/>
              </w:rPr>
            </w:pPr>
            <w:r w:rsidRPr="00286216">
              <w:rPr>
                <w:color w:val="000000" w:themeColor="text1"/>
                <w:sz w:val="18"/>
              </w:rPr>
              <w:t>"3. Оператори організованих ринків капіталу можуть провадити клірингову діяльність з визначення зобов’язань за договорами, які укладаються на організованих ринках, що управляються цими операторами, відповідно до правил таких ринків за умови отримання ними відповідної ліцензії (або на інших підставах, визначених законодавством про товарні ринки в частині поставних товарних деривативів), а також клірингову діяльність Центрального контрагента в межах і на умовах, встановлених законом (в частині поставних товарних деривативів – відповідно до законодавства про товарні ринки).".</w:t>
            </w:r>
          </w:p>
        </w:tc>
        <w:tc>
          <w:tcPr>
            <w:tcW w:w="1987" w:type="dxa"/>
          </w:tcPr>
          <w:p w14:paraId="2D0C850D" w14:textId="77777777" w:rsidR="00F97573" w:rsidRPr="00286216" w:rsidRDefault="00F97573" w:rsidP="00F97573">
            <w:pPr>
              <w:pStyle w:val="StyleWisnow"/>
              <w:spacing w:line="180" w:lineRule="exact"/>
              <w:rPr>
                <w:color w:val="000000" w:themeColor="text1"/>
                <w:spacing w:val="-2"/>
              </w:rPr>
            </w:pPr>
            <w:r w:rsidRPr="00286216">
              <w:rPr>
                <w:color w:val="000000" w:themeColor="text1"/>
                <w:spacing w:val="-2"/>
              </w:rPr>
              <w:t>Відхилено</w:t>
            </w:r>
          </w:p>
          <w:p w14:paraId="5458FFE4" w14:textId="77777777" w:rsidR="00F97573" w:rsidRPr="00286216" w:rsidRDefault="00F97573" w:rsidP="00F97573">
            <w:pPr>
              <w:pStyle w:val="StyleWisnow"/>
              <w:spacing w:line="180" w:lineRule="exact"/>
              <w:rPr>
                <w:color w:val="000000" w:themeColor="text1"/>
                <w:spacing w:val="-2"/>
              </w:rPr>
            </w:pPr>
            <w:r w:rsidRPr="00286216">
              <w:rPr>
                <w:color w:val="000000" w:themeColor="text1"/>
                <w:spacing w:val="-2"/>
              </w:rPr>
              <w:t>функціонування організованих ринків капіталу, діяльність їх операторів, а також клірингова діяльність</w:t>
            </w:r>
          </w:p>
          <w:p w14:paraId="755DADB2" w14:textId="77777777" w:rsidR="00F97573" w:rsidRPr="00286216" w:rsidRDefault="00F97573" w:rsidP="00F97573">
            <w:pPr>
              <w:pStyle w:val="StyleWisnow"/>
              <w:spacing w:line="180" w:lineRule="exact"/>
              <w:rPr>
                <w:color w:val="000000" w:themeColor="text1"/>
                <w:spacing w:val="-2"/>
              </w:rPr>
            </w:pPr>
            <w:r w:rsidRPr="00286216">
              <w:rPr>
                <w:color w:val="000000" w:themeColor="text1"/>
                <w:spacing w:val="-2"/>
              </w:rPr>
              <w:t xml:space="preserve">є невід'ємними складовими ринків капіталу, тож  належать до виключної </w:t>
            </w:r>
            <w:r w:rsidRPr="00286216">
              <w:rPr>
                <w:color w:val="000000" w:themeColor="text1"/>
                <w:spacing w:val="-4"/>
              </w:rPr>
              <w:t>регуляторної</w:t>
            </w:r>
            <w:r w:rsidRPr="00286216">
              <w:rPr>
                <w:color w:val="000000" w:themeColor="text1"/>
                <w:spacing w:val="-2"/>
              </w:rPr>
              <w:t xml:space="preserve"> </w:t>
            </w:r>
            <w:r w:rsidRPr="00286216">
              <w:rPr>
                <w:color w:val="000000" w:themeColor="text1"/>
                <w:spacing w:val="-4"/>
              </w:rPr>
              <w:t>компетенції</w:t>
            </w:r>
            <w:r w:rsidRPr="00286216">
              <w:rPr>
                <w:color w:val="000000" w:themeColor="text1"/>
                <w:spacing w:val="-2"/>
              </w:rPr>
              <w:t xml:space="preserve"> НКЦПФР</w:t>
            </w:r>
          </w:p>
          <w:p w14:paraId="25DD8259" w14:textId="77777777" w:rsidR="00F97573" w:rsidRPr="00286216" w:rsidRDefault="00F97573" w:rsidP="00F97573">
            <w:pPr>
              <w:pStyle w:val="StyleWisnow"/>
              <w:rPr>
                <w:color w:val="000000" w:themeColor="text1"/>
              </w:rPr>
            </w:pPr>
          </w:p>
        </w:tc>
        <w:tc>
          <w:tcPr>
            <w:tcW w:w="4818" w:type="dxa"/>
          </w:tcPr>
          <w:p w14:paraId="3DDE4D66" w14:textId="77777777" w:rsidR="00F97573" w:rsidRPr="00286216" w:rsidRDefault="00F97573" w:rsidP="00F97573">
            <w:pPr>
              <w:pStyle w:val="StyleZakonu"/>
              <w:rPr>
                <w:color w:val="000000" w:themeColor="text1"/>
              </w:rPr>
            </w:pPr>
          </w:p>
        </w:tc>
      </w:tr>
      <w:tr w:rsidR="00F97573" w:rsidRPr="00286216" w14:paraId="79D793ED" w14:textId="77777777" w:rsidTr="00091AA5">
        <w:tc>
          <w:tcPr>
            <w:tcW w:w="576" w:type="dxa"/>
          </w:tcPr>
          <w:p w14:paraId="470D8F68" w14:textId="77777777" w:rsidR="00F97573" w:rsidRPr="00286216" w:rsidRDefault="00F97573" w:rsidP="00F97573">
            <w:pPr>
              <w:pStyle w:val="StyleWisnow"/>
              <w:rPr>
                <w:color w:val="000000" w:themeColor="text1"/>
              </w:rPr>
            </w:pPr>
            <w:bookmarkStart w:id="846" w:name="n1124" w:colFirst="0" w:colLast="0"/>
            <w:bookmarkEnd w:id="845"/>
            <w:r w:rsidRPr="00286216">
              <w:rPr>
                <w:color w:val="000000" w:themeColor="text1"/>
              </w:rPr>
              <w:t>1124.</w:t>
            </w:r>
          </w:p>
        </w:tc>
        <w:tc>
          <w:tcPr>
            <w:tcW w:w="4818" w:type="dxa"/>
          </w:tcPr>
          <w:p w14:paraId="6E436098" w14:textId="77777777" w:rsidR="00F97573" w:rsidRPr="00286216" w:rsidRDefault="00F97573" w:rsidP="00F97573">
            <w:pPr>
              <w:pStyle w:val="StyleZakonu"/>
              <w:rPr>
                <w:color w:val="000000" w:themeColor="text1"/>
              </w:rPr>
            </w:pPr>
            <w:r w:rsidRPr="00286216">
              <w:rPr>
                <w:color w:val="000000" w:themeColor="text1"/>
              </w:rPr>
              <w:t>4. Клірингові установи, які провадять клірингову діяльність з визначення зобов’язань, можуть провадити діяльність з організації торгівлі на ринках капіталу за умови отримання ними відповідної ліцензії.</w:t>
            </w:r>
          </w:p>
        </w:tc>
        <w:tc>
          <w:tcPr>
            <w:tcW w:w="3686" w:type="dxa"/>
          </w:tcPr>
          <w:p w14:paraId="29DDA2ED" w14:textId="6658F86C" w:rsidR="00F97573" w:rsidRPr="00286216" w:rsidRDefault="00F97573" w:rsidP="00F9757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612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6C033BE" w14:textId="77777777" w:rsidR="00F97573" w:rsidRPr="00286216" w:rsidRDefault="00F97573" w:rsidP="00F97573">
            <w:pPr>
              <w:pStyle w:val="StyleProp"/>
              <w:rPr>
                <w:color w:val="000000" w:themeColor="text1"/>
                <w:szCs w:val="18"/>
              </w:rPr>
            </w:pPr>
            <w:r w:rsidRPr="00286216">
              <w:rPr>
                <w:color w:val="000000" w:themeColor="text1"/>
                <w:szCs w:val="18"/>
              </w:rPr>
              <w:t>У частинах 2 та 4 статті 65 нової редакції Закону слова «організації торгівлі» замінити словами «організації обігу».</w:t>
            </w:r>
          </w:p>
          <w:p w14:paraId="068DCB1B" w14:textId="59FB2402" w:rsidR="00F97573" w:rsidRPr="00286216" w:rsidRDefault="00F97573" w:rsidP="00F97573">
            <w:pPr>
              <w:spacing w:line="220" w:lineRule="exact"/>
              <w:rPr>
                <w:b/>
                <w:i/>
                <w:color w:val="000000" w:themeColor="text1"/>
                <w:sz w:val="18"/>
                <w:u w:val="single"/>
              </w:rPr>
            </w:pPr>
            <w:r w:rsidRPr="00286216">
              <w:rPr>
                <w:b/>
                <w:i/>
                <w:color w:val="000000" w:themeColor="text1"/>
                <w:sz w:val="18"/>
                <w:u w:val="single"/>
              </w:rPr>
              <w:t>-</w:t>
            </w:r>
            <w:r w:rsidRPr="00286216">
              <w:rPr>
                <w:b/>
                <w:i/>
                <w:color w:val="000000" w:themeColor="text1"/>
                <w:sz w:val="18"/>
                <w:u w:val="single"/>
              </w:rPr>
              <w:fldChar w:fldCharType="begin"/>
            </w:r>
            <w:r w:rsidRPr="00286216">
              <w:rPr>
                <w:b/>
                <w:i/>
                <w:color w:val="000000" w:themeColor="text1"/>
                <w:sz w:val="18"/>
                <w:u w:val="single"/>
              </w:rPr>
              <w:instrText xml:space="preserve"> SEQ aa </w:instrText>
            </w:r>
            <w:r w:rsidRPr="00286216">
              <w:rPr>
                <w:b/>
                <w:i/>
                <w:color w:val="000000" w:themeColor="text1"/>
                <w:sz w:val="18"/>
                <w:u w:val="single"/>
              </w:rPr>
              <w:fldChar w:fldCharType="separate"/>
            </w:r>
            <w:r w:rsidR="00C46B29">
              <w:rPr>
                <w:b/>
                <w:i/>
                <w:noProof/>
                <w:color w:val="000000" w:themeColor="text1"/>
                <w:sz w:val="18"/>
                <w:u w:val="single"/>
              </w:rPr>
              <w:t>613</w:t>
            </w:r>
            <w:r w:rsidRPr="00286216">
              <w:rPr>
                <w:b/>
                <w:i/>
                <w:color w:val="000000" w:themeColor="text1"/>
                <w:sz w:val="18"/>
                <w:u w:val="single"/>
              </w:rPr>
              <w:fldChar w:fldCharType="end"/>
            </w:r>
            <w:r w:rsidRPr="00286216">
              <w:rPr>
                <w:b/>
                <w:i/>
                <w:color w:val="000000" w:themeColor="text1"/>
                <w:sz w:val="18"/>
                <w:u w:val="single"/>
              </w:rPr>
              <w:t>-Н.д.Шахов С.В. (Реєстр.картка №114)</w:t>
            </w:r>
          </w:p>
          <w:p w14:paraId="08B57E70" w14:textId="77777777" w:rsidR="00F97573" w:rsidRPr="00286216" w:rsidRDefault="00F97573" w:rsidP="00F97573">
            <w:pPr>
              <w:pStyle w:val="StyleProp"/>
              <w:rPr>
                <w:color w:val="000000" w:themeColor="text1"/>
              </w:rPr>
            </w:pPr>
            <w:r w:rsidRPr="00286216">
              <w:rPr>
                <w:color w:val="000000" w:themeColor="text1"/>
              </w:rPr>
              <w:t>частину 4 статті 65 виключити.</w:t>
            </w:r>
          </w:p>
          <w:p w14:paraId="35C047EF" w14:textId="77777777" w:rsidR="00F97573" w:rsidRPr="00286216" w:rsidRDefault="00F97573" w:rsidP="00F97573">
            <w:pPr>
              <w:pStyle w:val="StyleProp"/>
              <w:rPr>
                <w:color w:val="000000" w:themeColor="text1"/>
                <w:szCs w:val="18"/>
              </w:rPr>
            </w:pPr>
          </w:p>
        </w:tc>
        <w:tc>
          <w:tcPr>
            <w:tcW w:w="1987" w:type="dxa"/>
          </w:tcPr>
          <w:p w14:paraId="2C946CF9"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55255B6E" w14:textId="77777777" w:rsidR="00F97573" w:rsidRPr="00286216" w:rsidRDefault="00F97573" w:rsidP="00F97573">
            <w:pPr>
              <w:pStyle w:val="StyleWisnow"/>
              <w:spacing w:line="180" w:lineRule="exact"/>
              <w:rPr>
                <w:color w:val="000000" w:themeColor="text1"/>
              </w:rPr>
            </w:pPr>
            <w:r w:rsidRPr="00286216">
              <w:rPr>
                <w:color w:val="000000" w:themeColor="text1"/>
              </w:rPr>
              <w:t>обіг - це процес, а не вид професійної діяльності</w:t>
            </w:r>
          </w:p>
          <w:p w14:paraId="15317609" w14:textId="77777777" w:rsidR="00F97573" w:rsidRPr="00286216" w:rsidRDefault="00F97573" w:rsidP="00F97573">
            <w:pPr>
              <w:pStyle w:val="StyleWisnow"/>
              <w:spacing w:line="180" w:lineRule="exact"/>
              <w:rPr>
                <w:color w:val="000000" w:themeColor="text1"/>
              </w:rPr>
            </w:pPr>
          </w:p>
          <w:p w14:paraId="258A0067" w14:textId="77777777" w:rsidR="00F97573" w:rsidRPr="00286216" w:rsidRDefault="00F97573" w:rsidP="00F97573">
            <w:pPr>
              <w:pStyle w:val="StyleWisnow"/>
              <w:spacing w:line="160" w:lineRule="exact"/>
              <w:rPr>
                <w:color w:val="000000" w:themeColor="text1"/>
              </w:rPr>
            </w:pPr>
            <w:r w:rsidRPr="00286216">
              <w:rPr>
                <w:color w:val="000000" w:themeColor="text1"/>
              </w:rPr>
              <w:t>Відхилено</w:t>
            </w:r>
          </w:p>
          <w:p w14:paraId="3A3E2DAF" w14:textId="77777777" w:rsidR="00F97573" w:rsidRPr="00286216" w:rsidRDefault="00F97573" w:rsidP="00F97573">
            <w:pPr>
              <w:pStyle w:val="StyleWisnow"/>
              <w:spacing w:line="160" w:lineRule="exact"/>
              <w:rPr>
                <w:color w:val="000000" w:themeColor="text1"/>
              </w:rPr>
            </w:pPr>
            <w:r w:rsidRPr="00286216">
              <w:rPr>
                <w:color w:val="000000" w:themeColor="text1"/>
              </w:rPr>
              <w:t xml:space="preserve">оскільки оператори </w:t>
            </w:r>
            <w:r w:rsidRPr="00286216">
              <w:rPr>
                <w:color w:val="000000" w:themeColor="text1"/>
                <w:spacing w:val="-4"/>
              </w:rPr>
              <w:t>ринків мають змогу</w:t>
            </w:r>
            <w:r w:rsidRPr="00286216">
              <w:rPr>
                <w:color w:val="000000" w:themeColor="text1"/>
              </w:rPr>
              <w:t xml:space="preserve"> п</w:t>
            </w:r>
            <w:r w:rsidRPr="00286216">
              <w:rPr>
                <w:color w:val="000000" w:themeColor="text1"/>
                <w:spacing w:val="-2"/>
              </w:rPr>
              <w:t>ровадити кліринг, така</w:t>
            </w:r>
            <w:r w:rsidRPr="00286216">
              <w:rPr>
                <w:color w:val="000000" w:themeColor="text1"/>
              </w:rPr>
              <w:t xml:space="preserve"> ж можливість має бути </w:t>
            </w:r>
            <w:r w:rsidRPr="00286216">
              <w:rPr>
                <w:color w:val="000000" w:themeColor="text1"/>
                <w:spacing w:val="-2"/>
              </w:rPr>
              <w:t>й у зворотному напряму</w:t>
            </w:r>
          </w:p>
        </w:tc>
        <w:tc>
          <w:tcPr>
            <w:tcW w:w="4818" w:type="dxa"/>
          </w:tcPr>
          <w:p w14:paraId="7E6B6A3D" w14:textId="211F1D04" w:rsidR="00F97573" w:rsidRPr="00286216" w:rsidRDefault="00F97573" w:rsidP="00F97573">
            <w:pPr>
              <w:pStyle w:val="StyleZakonu"/>
              <w:rPr>
                <w:color w:val="000000" w:themeColor="text1"/>
              </w:rPr>
            </w:pPr>
            <w:r w:rsidRPr="00286216">
              <w:rPr>
                <w:color w:val="000000" w:themeColor="text1"/>
              </w:rPr>
              <w:t>4. Клірингові установи, які провадять клірингову діяльність з визначення зобов’язань, можуть провадити діяльність з організації торгівлі на ринках капіталу за умови отримання ними відповідної ліцензії.</w:t>
            </w:r>
          </w:p>
        </w:tc>
      </w:tr>
      <w:tr w:rsidR="00F97573" w:rsidRPr="00286216" w14:paraId="5C782B7A" w14:textId="77777777" w:rsidTr="00091AA5">
        <w:tc>
          <w:tcPr>
            <w:tcW w:w="576" w:type="dxa"/>
          </w:tcPr>
          <w:p w14:paraId="5E52EF58" w14:textId="77777777" w:rsidR="00F97573" w:rsidRPr="00286216" w:rsidRDefault="00F97573" w:rsidP="00F97573">
            <w:pPr>
              <w:pStyle w:val="StyleWisnow"/>
              <w:rPr>
                <w:color w:val="000000" w:themeColor="text1"/>
              </w:rPr>
            </w:pPr>
            <w:bookmarkStart w:id="847" w:name="n1125" w:colFirst="0" w:colLast="0"/>
            <w:bookmarkEnd w:id="846"/>
            <w:r w:rsidRPr="00286216">
              <w:rPr>
                <w:color w:val="000000" w:themeColor="text1"/>
              </w:rPr>
              <w:t>1125.</w:t>
            </w:r>
          </w:p>
        </w:tc>
        <w:tc>
          <w:tcPr>
            <w:tcW w:w="4818" w:type="dxa"/>
          </w:tcPr>
          <w:p w14:paraId="2EB4F3BD" w14:textId="77777777" w:rsidR="00F97573" w:rsidRPr="00286216" w:rsidRDefault="00F97573" w:rsidP="00F97573">
            <w:pPr>
              <w:pStyle w:val="StyleZakonu"/>
              <w:rPr>
                <w:color w:val="000000" w:themeColor="text1"/>
              </w:rPr>
            </w:pPr>
            <w:r w:rsidRPr="00286216">
              <w:rPr>
                <w:color w:val="000000" w:themeColor="text1"/>
              </w:rPr>
              <w:t>5. Діяльність з управління активами інституційних інвесторів може поєднуватися з діяльністю з адміністрування недержавних пенсійних фондів відповідно до вимог, встановлених Законом України "Про недержавне пенсійне забезпечення".</w:t>
            </w:r>
          </w:p>
        </w:tc>
        <w:tc>
          <w:tcPr>
            <w:tcW w:w="3686" w:type="dxa"/>
          </w:tcPr>
          <w:p w14:paraId="6EF75B4B" w14:textId="77777777" w:rsidR="00F97573" w:rsidRPr="00286216" w:rsidRDefault="00F97573" w:rsidP="00F97573">
            <w:pPr>
              <w:pStyle w:val="StyleProp"/>
              <w:rPr>
                <w:color w:val="000000" w:themeColor="text1"/>
                <w:szCs w:val="18"/>
              </w:rPr>
            </w:pPr>
          </w:p>
        </w:tc>
        <w:tc>
          <w:tcPr>
            <w:tcW w:w="1987" w:type="dxa"/>
          </w:tcPr>
          <w:p w14:paraId="227650F2" w14:textId="77777777" w:rsidR="00F97573" w:rsidRPr="00286216" w:rsidRDefault="00F97573" w:rsidP="00F97573">
            <w:pPr>
              <w:pStyle w:val="StyleWisnow"/>
              <w:rPr>
                <w:color w:val="000000" w:themeColor="text1"/>
              </w:rPr>
            </w:pPr>
          </w:p>
        </w:tc>
        <w:tc>
          <w:tcPr>
            <w:tcW w:w="4818" w:type="dxa"/>
          </w:tcPr>
          <w:p w14:paraId="300C21C4" w14:textId="05B6768B" w:rsidR="00F97573" w:rsidRPr="00286216" w:rsidRDefault="00F97573" w:rsidP="00F97573">
            <w:pPr>
              <w:pStyle w:val="StyleZakonu"/>
              <w:rPr>
                <w:color w:val="000000" w:themeColor="text1"/>
              </w:rPr>
            </w:pPr>
            <w:r w:rsidRPr="00286216">
              <w:rPr>
                <w:color w:val="000000" w:themeColor="text1"/>
              </w:rPr>
              <w:t>5. Діяльність з управління активами інституційних інвесторів може поєднуватися з діяльністю з адміністрування недержавних пенсійних фондів відповідно до вимог, встановлених Законом України "Про недержавне пенсійне забезпечення".</w:t>
            </w:r>
          </w:p>
        </w:tc>
      </w:tr>
      <w:tr w:rsidR="00F97573" w:rsidRPr="00286216" w14:paraId="5B08D36E" w14:textId="77777777" w:rsidTr="00091AA5">
        <w:tc>
          <w:tcPr>
            <w:tcW w:w="576" w:type="dxa"/>
          </w:tcPr>
          <w:p w14:paraId="0928C7E8" w14:textId="77777777" w:rsidR="00F97573" w:rsidRPr="00286216" w:rsidRDefault="00F97573" w:rsidP="00F97573">
            <w:pPr>
              <w:pStyle w:val="StyleWisnow"/>
              <w:rPr>
                <w:color w:val="000000" w:themeColor="text1"/>
              </w:rPr>
            </w:pPr>
            <w:bookmarkStart w:id="848" w:name="n1126" w:colFirst="0" w:colLast="0"/>
            <w:bookmarkEnd w:id="847"/>
            <w:r w:rsidRPr="00286216">
              <w:rPr>
                <w:color w:val="000000" w:themeColor="text1"/>
              </w:rPr>
              <w:t>1126.</w:t>
            </w:r>
          </w:p>
        </w:tc>
        <w:tc>
          <w:tcPr>
            <w:tcW w:w="4818" w:type="dxa"/>
          </w:tcPr>
          <w:p w14:paraId="7C89C7EC" w14:textId="77777777" w:rsidR="00F97573" w:rsidRPr="00286216" w:rsidRDefault="00F97573" w:rsidP="00F97573">
            <w:pPr>
              <w:pStyle w:val="StyleZakonu"/>
              <w:rPr>
                <w:color w:val="000000" w:themeColor="text1"/>
              </w:rPr>
            </w:pPr>
            <w:r w:rsidRPr="00286216">
              <w:rPr>
                <w:color w:val="000000" w:themeColor="text1"/>
              </w:rPr>
              <w:t>6. Поєднання діяльності з управління активами інституційних інвесторів з іншими видами професійної діяльності на ринках капіталу забороняється, крім випадків, передбачених цим Законом.</w:t>
            </w:r>
          </w:p>
        </w:tc>
        <w:tc>
          <w:tcPr>
            <w:tcW w:w="3686" w:type="dxa"/>
          </w:tcPr>
          <w:p w14:paraId="4CC7B539" w14:textId="77777777" w:rsidR="00F97573" w:rsidRPr="00286216" w:rsidRDefault="00F97573" w:rsidP="00F97573">
            <w:pPr>
              <w:pStyle w:val="StyleProp"/>
              <w:rPr>
                <w:color w:val="000000" w:themeColor="text1"/>
                <w:szCs w:val="18"/>
              </w:rPr>
            </w:pPr>
          </w:p>
        </w:tc>
        <w:tc>
          <w:tcPr>
            <w:tcW w:w="1987" w:type="dxa"/>
          </w:tcPr>
          <w:p w14:paraId="24803BBA" w14:textId="77777777" w:rsidR="00F97573" w:rsidRPr="00286216" w:rsidRDefault="00F97573" w:rsidP="00F97573">
            <w:pPr>
              <w:pStyle w:val="StyleWisnow"/>
              <w:rPr>
                <w:color w:val="000000" w:themeColor="text1"/>
              </w:rPr>
            </w:pPr>
          </w:p>
        </w:tc>
        <w:tc>
          <w:tcPr>
            <w:tcW w:w="4818" w:type="dxa"/>
          </w:tcPr>
          <w:p w14:paraId="66801740" w14:textId="28F95397" w:rsidR="00F97573" w:rsidRPr="00286216" w:rsidRDefault="00F97573" w:rsidP="00F97573">
            <w:pPr>
              <w:pStyle w:val="StyleZakonu"/>
              <w:rPr>
                <w:color w:val="000000" w:themeColor="text1"/>
              </w:rPr>
            </w:pPr>
            <w:r w:rsidRPr="00286216">
              <w:rPr>
                <w:color w:val="000000" w:themeColor="text1"/>
              </w:rPr>
              <w:t>6. Поєднання діяльності з управління активами інституційних інвесторів з іншими видами професійної діяльності на ринках капіталу забороняється, крім випадків, передбачених цим Законом.</w:t>
            </w:r>
          </w:p>
        </w:tc>
      </w:tr>
      <w:tr w:rsidR="00F97573" w:rsidRPr="00286216" w14:paraId="32B285D5" w14:textId="77777777" w:rsidTr="00091AA5">
        <w:tc>
          <w:tcPr>
            <w:tcW w:w="576" w:type="dxa"/>
          </w:tcPr>
          <w:p w14:paraId="7CA4135A" w14:textId="77777777" w:rsidR="00F97573" w:rsidRPr="00286216" w:rsidRDefault="00F97573" w:rsidP="00F97573">
            <w:pPr>
              <w:pStyle w:val="StyleWisnow"/>
              <w:rPr>
                <w:color w:val="000000" w:themeColor="text1"/>
              </w:rPr>
            </w:pPr>
            <w:bookmarkStart w:id="849" w:name="n1127" w:colFirst="0" w:colLast="0"/>
            <w:bookmarkEnd w:id="848"/>
            <w:r w:rsidRPr="00286216">
              <w:rPr>
                <w:color w:val="000000" w:themeColor="text1"/>
              </w:rPr>
              <w:t>1127.</w:t>
            </w:r>
          </w:p>
        </w:tc>
        <w:tc>
          <w:tcPr>
            <w:tcW w:w="4818" w:type="dxa"/>
          </w:tcPr>
          <w:p w14:paraId="3D874F38" w14:textId="77777777" w:rsidR="00F97573" w:rsidRPr="00286216" w:rsidRDefault="00F97573" w:rsidP="00F97573">
            <w:pPr>
              <w:pStyle w:val="StyleZakonu"/>
              <w:rPr>
                <w:color w:val="000000" w:themeColor="text1"/>
              </w:rPr>
            </w:pPr>
            <w:bookmarkStart w:id="850" w:name="_Ref16411415"/>
            <w:r w:rsidRPr="00286216">
              <w:rPr>
                <w:color w:val="000000" w:themeColor="text1"/>
              </w:rPr>
              <w:t>Стаття 66. Вимоги до професійних учасників ринків капіталу та організованих товарних ринків та осіб, які мають у них істотну участь</w:t>
            </w:r>
            <w:bookmarkEnd w:id="850"/>
          </w:p>
        </w:tc>
        <w:tc>
          <w:tcPr>
            <w:tcW w:w="3686" w:type="dxa"/>
          </w:tcPr>
          <w:p w14:paraId="0AF6E400" w14:textId="77777777" w:rsidR="00F97573" w:rsidRPr="00286216" w:rsidRDefault="00F97573" w:rsidP="00F97573">
            <w:pPr>
              <w:pStyle w:val="StyleProp"/>
              <w:rPr>
                <w:color w:val="000000" w:themeColor="text1"/>
                <w:szCs w:val="18"/>
              </w:rPr>
            </w:pPr>
          </w:p>
        </w:tc>
        <w:tc>
          <w:tcPr>
            <w:tcW w:w="1987" w:type="dxa"/>
          </w:tcPr>
          <w:p w14:paraId="3C958082" w14:textId="77777777" w:rsidR="00F97573" w:rsidRPr="00286216" w:rsidRDefault="00F97573" w:rsidP="00F97573">
            <w:pPr>
              <w:pStyle w:val="StyleWisnow"/>
              <w:rPr>
                <w:color w:val="000000" w:themeColor="text1"/>
              </w:rPr>
            </w:pPr>
          </w:p>
        </w:tc>
        <w:tc>
          <w:tcPr>
            <w:tcW w:w="4818" w:type="dxa"/>
          </w:tcPr>
          <w:p w14:paraId="4E6FD105" w14:textId="65E81E91" w:rsidR="00F97573" w:rsidRPr="00286216" w:rsidRDefault="00F97573" w:rsidP="00F97573">
            <w:pPr>
              <w:pStyle w:val="StyleZakonu"/>
              <w:rPr>
                <w:color w:val="000000" w:themeColor="text1"/>
              </w:rPr>
            </w:pPr>
            <w:r w:rsidRPr="00286216">
              <w:rPr>
                <w:color w:val="000000" w:themeColor="text1"/>
              </w:rPr>
              <w:t>Стаття 70. Вимоги до професійних учасників ринків капіталу та організованих товарних ринків, а також осіб, які мають у них істотну участь</w:t>
            </w:r>
          </w:p>
        </w:tc>
      </w:tr>
      <w:tr w:rsidR="00F97573" w:rsidRPr="00286216" w14:paraId="4AB0B846" w14:textId="77777777" w:rsidTr="00091AA5">
        <w:tc>
          <w:tcPr>
            <w:tcW w:w="576" w:type="dxa"/>
          </w:tcPr>
          <w:p w14:paraId="05C50E21" w14:textId="77777777" w:rsidR="00F97573" w:rsidRPr="00286216" w:rsidRDefault="00F97573" w:rsidP="00F97573">
            <w:pPr>
              <w:pStyle w:val="StyleWisnow"/>
              <w:rPr>
                <w:color w:val="000000" w:themeColor="text1"/>
              </w:rPr>
            </w:pPr>
            <w:bookmarkStart w:id="851" w:name="n1128" w:colFirst="0" w:colLast="0"/>
            <w:bookmarkEnd w:id="849"/>
            <w:r w:rsidRPr="00286216">
              <w:rPr>
                <w:color w:val="000000" w:themeColor="text1"/>
              </w:rPr>
              <w:t>1128.</w:t>
            </w:r>
          </w:p>
        </w:tc>
        <w:tc>
          <w:tcPr>
            <w:tcW w:w="4818" w:type="dxa"/>
          </w:tcPr>
          <w:p w14:paraId="73BBC1FB" w14:textId="77777777" w:rsidR="00F97573" w:rsidRPr="00286216" w:rsidRDefault="00F97573" w:rsidP="00F97573">
            <w:pPr>
              <w:pStyle w:val="StyleZakonu"/>
              <w:rPr>
                <w:color w:val="000000" w:themeColor="text1"/>
              </w:rPr>
            </w:pPr>
            <w:r w:rsidRPr="00286216">
              <w:rPr>
                <w:color w:val="000000" w:themeColor="text1"/>
              </w:rPr>
              <w:t xml:space="preserve">1. Професійна діяльність на ринках капіталу здійснюється виключно на підставі ліцензії, що видається Національною комісією з цінних паперів та фондового ринку (крім професійної діяльності </w:t>
            </w:r>
            <w:r w:rsidRPr="00286216">
              <w:rPr>
                <w:color w:val="000000" w:themeColor="text1"/>
              </w:rPr>
              <w:lastRenderedPageBreak/>
              <w:t>Центрального депозитарію цінних паперів та депозитарної діяльності Національного банку України). Перелік документів, необхідних для отримання ліцензії на провадження професійної діяльності на ринках капіталу, порядок її видачі та анулювання встановлюються Національною комісією з цінних паперів та фондового ринку з урахуванням вимог статей 67 – 69 цього Закону.</w:t>
            </w:r>
          </w:p>
        </w:tc>
        <w:tc>
          <w:tcPr>
            <w:tcW w:w="3686" w:type="dxa"/>
          </w:tcPr>
          <w:p w14:paraId="050DAAA8" w14:textId="50E5C09A" w:rsidR="00F97573" w:rsidRPr="00286216" w:rsidRDefault="00F97573" w:rsidP="00F97573">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614</w:t>
            </w:r>
            <w:r w:rsidRPr="00286216">
              <w:rPr>
                <w:color w:val="000000" w:themeColor="text1"/>
              </w:rPr>
              <w:fldChar w:fldCharType="end"/>
            </w:r>
            <w:r w:rsidRPr="00286216">
              <w:rPr>
                <w:color w:val="000000" w:themeColor="text1"/>
              </w:rPr>
              <w:t>-Н.д.Шахов С.В. (Реєстр.картка №114)</w:t>
            </w:r>
          </w:p>
          <w:p w14:paraId="785894DE" w14:textId="77777777" w:rsidR="00F97573" w:rsidRPr="00286216" w:rsidRDefault="00F97573" w:rsidP="00F97573">
            <w:pPr>
              <w:spacing w:line="180" w:lineRule="exact"/>
              <w:ind w:firstLine="227"/>
              <w:jc w:val="both"/>
              <w:rPr>
                <w:color w:val="000000" w:themeColor="text1"/>
                <w:sz w:val="18"/>
              </w:rPr>
            </w:pPr>
            <w:r w:rsidRPr="00286216">
              <w:rPr>
                <w:color w:val="000000" w:themeColor="text1"/>
                <w:sz w:val="18"/>
              </w:rPr>
              <w:t>Абзац перший статті 66 викласти у такій редакції:</w:t>
            </w:r>
          </w:p>
          <w:p w14:paraId="7953FE6F" w14:textId="77777777" w:rsidR="00F97573" w:rsidRPr="00286216" w:rsidRDefault="00F97573" w:rsidP="00F97573">
            <w:pPr>
              <w:spacing w:line="180" w:lineRule="exact"/>
              <w:ind w:firstLine="227"/>
              <w:jc w:val="both"/>
              <w:rPr>
                <w:color w:val="000000" w:themeColor="text1"/>
                <w:spacing w:val="-2"/>
                <w:szCs w:val="18"/>
              </w:rPr>
            </w:pPr>
            <w:r w:rsidRPr="00286216">
              <w:rPr>
                <w:color w:val="000000" w:themeColor="text1"/>
                <w:spacing w:val="-2"/>
                <w:sz w:val="18"/>
              </w:rPr>
              <w:t xml:space="preserve">«1. Професійна діяльність на ринках капіталу (крім як на ринках поставних </w:t>
            </w:r>
            <w:r w:rsidRPr="00286216">
              <w:rPr>
                <w:color w:val="000000" w:themeColor="text1"/>
                <w:spacing w:val="-2"/>
                <w:sz w:val="18"/>
              </w:rPr>
              <w:lastRenderedPageBreak/>
              <w:t>товарних деривативних контрактів) здійснюється виключно на підставі ліцензії, що видається Національною комісією з цінних паперів та фондового ринку (крім професійної діяльності Центрального депозитарію цінних паперів та депозитарної діяльності Національного банку України). Перелік документів, необхідних для отримання ліцензії на провадження професійної діяльності на ринках капіталу (або іншого дозвільного документу, визначеного законодавством про товарні ринки), порядок її видачі та анулювання встановлюються регулятором відповідного ринку з урахуванням вимог статей 67 - 69 цього Закону".</w:t>
            </w:r>
          </w:p>
        </w:tc>
        <w:tc>
          <w:tcPr>
            <w:tcW w:w="1987" w:type="dxa"/>
          </w:tcPr>
          <w:p w14:paraId="2654D6D8" w14:textId="77777777" w:rsidR="00F97573" w:rsidRPr="00286216" w:rsidRDefault="00F97573" w:rsidP="00F97573">
            <w:pPr>
              <w:pStyle w:val="StyleWisnow"/>
              <w:rPr>
                <w:color w:val="000000" w:themeColor="text1"/>
              </w:rPr>
            </w:pPr>
            <w:r w:rsidRPr="00286216">
              <w:rPr>
                <w:color w:val="000000" w:themeColor="text1"/>
              </w:rPr>
              <w:lastRenderedPageBreak/>
              <w:t>Відхилено</w:t>
            </w:r>
          </w:p>
          <w:p w14:paraId="1FC2F350" w14:textId="77777777" w:rsidR="00F97573" w:rsidRPr="00286216" w:rsidRDefault="00F97573" w:rsidP="00F97573">
            <w:pPr>
              <w:pStyle w:val="StyleWisnow"/>
              <w:spacing w:line="180" w:lineRule="exact"/>
              <w:rPr>
                <w:color w:val="000000" w:themeColor="text1"/>
              </w:rPr>
            </w:pPr>
            <w:r w:rsidRPr="00286216">
              <w:rPr>
                <w:color w:val="000000" w:themeColor="text1"/>
              </w:rPr>
              <w:t xml:space="preserve">ринки деривативів, як й інших фінансових інструментів, належать до виключної </w:t>
            </w:r>
            <w:r w:rsidRPr="00286216">
              <w:rPr>
                <w:color w:val="000000" w:themeColor="text1"/>
              </w:rPr>
              <w:lastRenderedPageBreak/>
              <w:t>регуляторної компетенції НКЦПФР, окрім того, запропоноване впровадження інших дозвільних документів, які б замінили ліцензії, суперечить загальним принципам регуляторної політики у фінансовій сфері</w:t>
            </w:r>
          </w:p>
        </w:tc>
        <w:tc>
          <w:tcPr>
            <w:tcW w:w="4818" w:type="dxa"/>
          </w:tcPr>
          <w:p w14:paraId="14FD0B8C" w14:textId="5FEDACA5" w:rsidR="00F97573" w:rsidRPr="00286216" w:rsidRDefault="00F97573" w:rsidP="00F97573">
            <w:pPr>
              <w:pStyle w:val="StyleZakonu"/>
              <w:rPr>
                <w:color w:val="000000" w:themeColor="text1"/>
              </w:rPr>
            </w:pPr>
            <w:r w:rsidRPr="00286216">
              <w:rPr>
                <w:color w:val="000000" w:themeColor="text1"/>
              </w:rPr>
              <w:lastRenderedPageBreak/>
              <w:t xml:space="preserve">1. Професійна діяльність на ринках капіталу здійснюється виключно на підставі ліцензії, що видається Національною комісією з цінних паперів та фондового ринку (крім професійної діяльності </w:t>
            </w:r>
            <w:r w:rsidRPr="00286216">
              <w:rPr>
                <w:color w:val="000000" w:themeColor="text1"/>
              </w:rPr>
              <w:lastRenderedPageBreak/>
              <w:t>Центрального депозитарію цінних паперів та депозитарної діяльності Національного банку України). Перелік документів, необхідних для отримання ліцензії на провадження відповідного виду діяльності на ринках капіталу, порядок її видачі та анулювання встановлюються Національною комісією з цінних паперів та фондового ринку з урахуванням вимог статей 71  - 73 цього Закону.</w:t>
            </w:r>
          </w:p>
        </w:tc>
      </w:tr>
      <w:tr w:rsidR="00F97573" w:rsidRPr="00286216" w14:paraId="4EB9BC66" w14:textId="77777777" w:rsidTr="00091AA5">
        <w:tc>
          <w:tcPr>
            <w:tcW w:w="576" w:type="dxa"/>
          </w:tcPr>
          <w:p w14:paraId="789A3B08" w14:textId="77777777" w:rsidR="00F97573" w:rsidRPr="00286216" w:rsidRDefault="00F97573" w:rsidP="00F97573">
            <w:pPr>
              <w:pStyle w:val="StyleWisnow"/>
              <w:rPr>
                <w:color w:val="000000" w:themeColor="text1"/>
              </w:rPr>
            </w:pPr>
            <w:bookmarkStart w:id="852" w:name="n1129" w:colFirst="0" w:colLast="0"/>
            <w:bookmarkEnd w:id="851"/>
            <w:r w:rsidRPr="00286216">
              <w:rPr>
                <w:color w:val="000000" w:themeColor="text1"/>
              </w:rPr>
              <w:lastRenderedPageBreak/>
              <w:t>1129.</w:t>
            </w:r>
          </w:p>
        </w:tc>
        <w:tc>
          <w:tcPr>
            <w:tcW w:w="4818" w:type="dxa"/>
          </w:tcPr>
          <w:p w14:paraId="4FD7876F" w14:textId="77777777" w:rsidR="00F97573" w:rsidRPr="00286216" w:rsidRDefault="00F97573" w:rsidP="00F97573">
            <w:pPr>
              <w:pStyle w:val="StyleZakonu"/>
              <w:rPr>
                <w:color w:val="000000" w:themeColor="text1"/>
              </w:rPr>
            </w:pPr>
            <w:r w:rsidRPr="00286216">
              <w:rPr>
                <w:color w:val="000000" w:themeColor="text1"/>
              </w:rPr>
              <w:t>Професійна діяльність Центрального депозитарію цінних паперів провадиться на підставі правил Центрального депозитарію цінних паперів, зареєстрованих Національною комісією з цінних паперів та фондового ринку в установленому законодавством порядку.</w:t>
            </w:r>
          </w:p>
        </w:tc>
        <w:tc>
          <w:tcPr>
            <w:tcW w:w="3686" w:type="dxa"/>
          </w:tcPr>
          <w:p w14:paraId="1A738BF6" w14:textId="77777777" w:rsidR="00F97573" w:rsidRPr="00286216" w:rsidRDefault="00F97573" w:rsidP="00F97573">
            <w:pPr>
              <w:pStyle w:val="StyleProp"/>
              <w:rPr>
                <w:color w:val="000000" w:themeColor="text1"/>
                <w:szCs w:val="18"/>
              </w:rPr>
            </w:pPr>
          </w:p>
        </w:tc>
        <w:tc>
          <w:tcPr>
            <w:tcW w:w="1987" w:type="dxa"/>
          </w:tcPr>
          <w:p w14:paraId="5DCD1FA7" w14:textId="77777777" w:rsidR="00F97573" w:rsidRPr="00286216" w:rsidRDefault="00F97573" w:rsidP="00F97573">
            <w:pPr>
              <w:pStyle w:val="StyleWisnow"/>
              <w:rPr>
                <w:color w:val="000000" w:themeColor="text1"/>
              </w:rPr>
            </w:pPr>
          </w:p>
        </w:tc>
        <w:tc>
          <w:tcPr>
            <w:tcW w:w="4818" w:type="dxa"/>
          </w:tcPr>
          <w:p w14:paraId="214427DB" w14:textId="29271E3C" w:rsidR="00F97573" w:rsidRPr="00286216" w:rsidRDefault="00F97573" w:rsidP="00F97573">
            <w:pPr>
              <w:pStyle w:val="StyleZakonu"/>
              <w:rPr>
                <w:color w:val="000000" w:themeColor="text1"/>
              </w:rPr>
            </w:pPr>
            <w:r w:rsidRPr="00286216">
              <w:rPr>
                <w:color w:val="000000" w:themeColor="text1"/>
              </w:rPr>
              <w:t>Професійна діяльність Центрального депозитарію цінних паперів провадиться на підставі правил Центрального депозитарію цінних паперів, зареєстрованих Національною комісією з цінних паперів та фондового ринку в установленому законодавством порядку.</w:t>
            </w:r>
          </w:p>
        </w:tc>
      </w:tr>
      <w:tr w:rsidR="00F97573" w:rsidRPr="00286216" w14:paraId="3009629C" w14:textId="77777777" w:rsidTr="00091AA5">
        <w:tc>
          <w:tcPr>
            <w:tcW w:w="576" w:type="dxa"/>
          </w:tcPr>
          <w:p w14:paraId="467D659A" w14:textId="77777777" w:rsidR="00F97573" w:rsidRPr="00286216" w:rsidRDefault="00F97573" w:rsidP="00F97573">
            <w:pPr>
              <w:pStyle w:val="StyleWisnow"/>
              <w:rPr>
                <w:color w:val="000000" w:themeColor="text1"/>
              </w:rPr>
            </w:pPr>
            <w:bookmarkStart w:id="853" w:name="n1130" w:colFirst="0" w:colLast="0"/>
            <w:bookmarkEnd w:id="852"/>
            <w:r w:rsidRPr="00286216">
              <w:rPr>
                <w:color w:val="000000" w:themeColor="text1"/>
              </w:rPr>
              <w:t>1130.</w:t>
            </w:r>
          </w:p>
        </w:tc>
        <w:tc>
          <w:tcPr>
            <w:tcW w:w="4818" w:type="dxa"/>
          </w:tcPr>
          <w:p w14:paraId="53AFA8E6" w14:textId="77777777" w:rsidR="00F97573" w:rsidRPr="00286216" w:rsidRDefault="00F97573" w:rsidP="00F97573">
            <w:pPr>
              <w:pStyle w:val="StyleZakonu"/>
              <w:rPr>
                <w:color w:val="000000" w:themeColor="text1"/>
              </w:rPr>
            </w:pPr>
            <w:r w:rsidRPr="00286216">
              <w:rPr>
                <w:color w:val="000000" w:themeColor="text1"/>
              </w:rPr>
              <w:t>Депозитарна діяльність Національного банку України провадиться з урахуванням особливостей депозитарної та клірингової діяльності з цінними паперами відповідно до компетенції, встановленої Законом України "Про депозитарну систему України".</w:t>
            </w:r>
          </w:p>
        </w:tc>
        <w:tc>
          <w:tcPr>
            <w:tcW w:w="3686" w:type="dxa"/>
          </w:tcPr>
          <w:p w14:paraId="1A31A013" w14:textId="3127B712" w:rsidR="00F97573" w:rsidRPr="00286216" w:rsidRDefault="00F97573" w:rsidP="00F97573">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615</w:t>
            </w:r>
            <w:r w:rsidRPr="00286216">
              <w:rPr>
                <w:color w:val="000000" w:themeColor="text1"/>
                <w:spacing w:val="-3"/>
              </w:rPr>
              <w:fldChar w:fldCharType="end"/>
            </w:r>
            <w:r w:rsidRPr="00286216">
              <w:rPr>
                <w:color w:val="000000" w:themeColor="text1"/>
                <w:spacing w:val="-3"/>
              </w:rPr>
              <w:t>-Народні депутатиУкраїни – члени Комітету з питань фінансів, податкової та митної політики Гетманцев Д.О. та інші</w:t>
            </w:r>
          </w:p>
          <w:p w14:paraId="747A7E38" w14:textId="6B7F9C4D" w:rsidR="00F97573" w:rsidRPr="00286216" w:rsidRDefault="00F97573" w:rsidP="00F97573">
            <w:pPr>
              <w:pStyle w:val="StyleProp"/>
              <w:spacing w:line="180" w:lineRule="exact"/>
              <w:rPr>
                <w:color w:val="000000" w:themeColor="text1"/>
                <w:szCs w:val="18"/>
              </w:rPr>
            </w:pPr>
            <w:r w:rsidRPr="00286216">
              <w:rPr>
                <w:color w:val="000000" w:themeColor="text1"/>
                <w:szCs w:val="18"/>
              </w:rPr>
              <w:t>Абзац третій частини першої статті 66 викласти у такій редакцї:</w:t>
            </w:r>
          </w:p>
          <w:p w14:paraId="14EF653C" w14:textId="39399DE0" w:rsidR="00F97573" w:rsidRPr="00286216" w:rsidRDefault="00F97573" w:rsidP="00F97573">
            <w:pPr>
              <w:pStyle w:val="StyleProp"/>
              <w:spacing w:line="180" w:lineRule="exact"/>
              <w:rPr>
                <w:color w:val="000000" w:themeColor="text1"/>
              </w:rPr>
            </w:pPr>
            <w:r w:rsidRPr="00286216">
              <w:rPr>
                <w:color w:val="000000" w:themeColor="text1"/>
              </w:rPr>
              <w:t>"Професійна діяльність на ринках капіталу провадиться Національним банком України з урахуванням особливостей та відповідно до компетенції, встановленої Законом України "Про депозитарну систему України".</w:t>
            </w:r>
          </w:p>
        </w:tc>
        <w:tc>
          <w:tcPr>
            <w:tcW w:w="1987" w:type="dxa"/>
          </w:tcPr>
          <w:p w14:paraId="17DEFC9D" w14:textId="77777777" w:rsidR="00F97573" w:rsidRPr="00286216" w:rsidRDefault="00F97573" w:rsidP="00F97573">
            <w:pPr>
              <w:pStyle w:val="StyleWisnow"/>
              <w:rPr>
                <w:color w:val="000000" w:themeColor="text1"/>
              </w:rPr>
            </w:pPr>
            <w:r w:rsidRPr="00286216">
              <w:rPr>
                <w:color w:val="000000" w:themeColor="text1"/>
              </w:rPr>
              <w:t>Враховано</w:t>
            </w:r>
          </w:p>
          <w:p w14:paraId="3F0B74EE" w14:textId="608DD798" w:rsidR="00F97573" w:rsidRPr="00286216" w:rsidRDefault="00F97573" w:rsidP="00F97573">
            <w:pPr>
              <w:pStyle w:val="StyleWisnow"/>
              <w:spacing w:line="180" w:lineRule="exact"/>
              <w:rPr>
                <w:color w:val="000000" w:themeColor="text1"/>
              </w:rPr>
            </w:pPr>
            <w:r w:rsidRPr="00286216">
              <w:rPr>
                <w:color w:val="000000" w:themeColor="text1"/>
              </w:rPr>
              <w:t xml:space="preserve">відповідно до доручення Комітету щодо техніко-юридичного доопрацювання редакції законопроекту </w:t>
            </w:r>
          </w:p>
        </w:tc>
        <w:tc>
          <w:tcPr>
            <w:tcW w:w="4818" w:type="dxa"/>
          </w:tcPr>
          <w:p w14:paraId="3591A8E6" w14:textId="415C9916" w:rsidR="00F97573" w:rsidRPr="00286216" w:rsidRDefault="00F97573" w:rsidP="00F97573">
            <w:pPr>
              <w:pStyle w:val="StyleZakonu"/>
              <w:rPr>
                <w:color w:val="000000" w:themeColor="text1"/>
              </w:rPr>
            </w:pPr>
            <w:r w:rsidRPr="00286216">
              <w:rPr>
                <w:color w:val="000000" w:themeColor="text1"/>
              </w:rPr>
              <w:t>Професійна діяльність на ринках капіталу провадиться Національним банком України з урахуванням особливостей та відповідно до компетенції, встановленої Законом України "Про депозитарну систему України".</w:t>
            </w:r>
          </w:p>
        </w:tc>
      </w:tr>
      <w:tr w:rsidR="00F97573" w:rsidRPr="00286216" w14:paraId="15DE2392" w14:textId="77777777" w:rsidTr="00091AA5">
        <w:tc>
          <w:tcPr>
            <w:tcW w:w="576" w:type="dxa"/>
          </w:tcPr>
          <w:p w14:paraId="7318D974" w14:textId="77777777" w:rsidR="00F97573" w:rsidRPr="00286216" w:rsidRDefault="00F97573" w:rsidP="00F97573">
            <w:pPr>
              <w:pStyle w:val="StyleWisnow"/>
              <w:rPr>
                <w:color w:val="000000" w:themeColor="text1"/>
              </w:rPr>
            </w:pPr>
            <w:bookmarkStart w:id="854" w:name="n1131" w:colFirst="0" w:colLast="0"/>
            <w:bookmarkEnd w:id="853"/>
            <w:r w:rsidRPr="00286216">
              <w:rPr>
                <w:color w:val="000000" w:themeColor="text1"/>
              </w:rPr>
              <w:t>1131.</w:t>
            </w:r>
          </w:p>
        </w:tc>
        <w:tc>
          <w:tcPr>
            <w:tcW w:w="4818" w:type="dxa"/>
          </w:tcPr>
          <w:p w14:paraId="1B5B2EBB" w14:textId="77777777" w:rsidR="00F97573" w:rsidRPr="00286216" w:rsidRDefault="00F97573" w:rsidP="00F97573">
            <w:pPr>
              <w:pStyle w:val="StyleZakonu"/>
              <w:rPr>
                <w:color w:val="000000" w:themeColor="text1"/>
              </w:rPr>
            </w:pPr>
            <w:r w:rsidRPr="00286216">
              <w:rPr>
                <w:color w:val="000000" w:themeColor="text1"/>
              </w:rPr>
              <w:t xml:space="preserve">2. Ліцензійні умови провадження професійної діяльності на ринках капіталу та організованих товарних ринках за її окремими видами, у тому числі організаційні та операційні вимоги, вимоги до розміру початкового і власного капіталу, порядку його визначення, ліквідності, вимоги до осіб, які здійснюють управлінські функції, та інших фахівців професійного учасника ринків капіталу та організованих товарних ринків, вимоги до приміщення, технічного та програмного забезпечення, вимоги щодо джерел походження коштів, за рахунок яких формується початковий капітал професійного учасника ринків капіталу та організованих товарних ринків, інші вимоги та показники, що обмежують ризики професійної діяльності на ринках капіталу та організованих товарних ринках, встановлюються цим Законом, іншими законами України, що регулюють провадження окремих видів професійної діяльності на </w:t>
            </w:r>
            <w:r w:rsidRPr="00286216">
              <w:rPr>
                <w:color w:val="000000" w:themeColor="text1"/>
              </w:rPr>
              <w:lastRenderedPageBreak/>
              <w:t>ринках капіталу та організованих товарних ринках, та нормативно-правовими актами Національної комісії з цінних паперів та фондового ринку.</w:t>
            </w:r>
          </w:p>
        </w:tc>
        <w:tc>
          <w:tcPr>
            <w:tcW w:w="3686" w:type="dxa"/>
          </w:tcPr>
          <w:p w14:paraId="141C6B84" w14:textId="2F0FC5BA" w:rsidR="00F97573" w:rsidRPr="00286216" w:rsidRDefault="00F97573" w:rsidP="00F97573">
            <w:pPr>
              <w:pStyle w:val="StyleAwt"/>
              <w:rPr>
                <w:color w:val="000000" w:themeColor="text1"/>
                <w:spacing w:val="-10"/>
              </w:rPr>
            </w:pPr>
            <w:r w:rsidRPr="00286216">
              <w:rPr>
                <w:color w:val="000000" w:themeColor="text1"/>
                <w:spacing w:val="-10"/>
              </w:rPr>
              <w:lastRenderedPageBreak/>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616</w:t>
            </w:r>
            <w:r w:rsidRPr="00286216">
              <w:rPr>
                <w:color w:val="000000" w:themeColor="text1"/>
                <w:spacing w:val="-10"/>
              </w:rPr>
              <w:fldChar w:fldCharType="end"/>
            </w:r>
            <w:r w:rsidRPr="00286216">
              <w:rPr>
                <w:color w:val="000000" w:themeColor="text1"/>
                <w:spacing w:val="-10"/>
              </w:rPr>
              <w:t>-Н.д.Гетманцев Д.О.(Реєстр.картка №245)</w:t>
            </w:r>
          </w:p>
          <w:p w14:paraId="2155678B" w14:textId="77777777" w:rsidR="00F97573" w:rsidRPr="00286216" w:rsidRDefault="00F97573" w:rsidP="00F97573">
            <w:pPr>
              <w:pStyle w:val="StyleProp"/>
              <w:spacing w:line="180" w:lineRule="exact"/>
              <w:rPr>
                <w:color w:val="000000" w:themeColor="text1"/>
              </w:rPr>
            </w:pPr>
            <w:r w:rsidRPr="00286216">
              <w:rPr>
                <w:color w:val="000000" w:themeColor="text1"/>
              </w:rPr>
              <w:t>У статті 66 в абзаці першому частини 2 слова «за її окремими видами» виключити, слова «встановлюються цим Законом, іншими законами України, що регулюють провадження окремих видів професійної діяльності на ринках капіталу та організованих товарних ринках, та нормативно-правовими актами Національної комісії з цінних паперів та фондового ринку» замінити словами «встановлюються Національною комісію з цінних паперів та фондового ринку з врахуванням вимог, передбачених законом.»</w:t>
            </w:r>
          </w:p>
          <w:p w14:paraId="64720900" w14:textId="13D2169E"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617</w:t>
            </w:r>
            <w:r w:rsidRPr="00286216">
              <w:rPr>
                <w:color w:val="000000" w:themeColor="text1"/>
              </w:rPr>
              <w:fldChar w:fldCharType="end"/>
            </w:r>
            <w:r w:rsidRPr="00286216">
              <w:rPr>
                <w:color w:val="000000" w:themeColor="text1"/>
              </w:rPr>
              <w:t>-Н.д.Шахов С.В. (Реєстр.картка №114)</w:t>
            </w:r>
          </w:p>
          <w:p w14:paraId="05D0261C" w14:textId="77777777" w:rsidR="00F97573" w:rsidRPr="00286216" w:rsidRDefault="00F97573" w:rsidP="00F97573">
            <w:pPr>
              <w:pStyle w:val="StyleProp"/>
              <w:spacing w:line="180" w:lineRule="exact"/>
              <w:rPr>
                <w:color w:val="000000" w:themeColor="text1"/>
              </w:rPr>
            </w:pPr>
            <w:r w:rsidRPr="00286216">
              <w:rPr>
                <w:color w:val="000000" w:themeColor="text1"/>
                <w:spacing w:val="-1"/>
              </w:rPr>
              <w:t xml:space="preserve">Абзац 1 частини 2 статті 66 </w:t>
            </w:r>
            <w:r w:rsidRPr="00286216">
              <w:rPr>
                <w:color w:val="000000" w:themeColor="text1"/>
              </w:rPr>
              <w:t xml:space="preserve">після слів "за її окремими видами" доповнити словами "(або інші підстави, визначені законодавством про товарні ринки)", слова "Національною комісією з цінних паперів та фондового ринку" замінити словами "регуляторів відповідних ринків, прийнятими у </w:t>
            </w:r>
            <w:r w:rsidRPr="00286216">
              <w:rPr>
                <w:color w:val="000000" w:themeColor="text1"/>
              </w:rPr>
              <w:lastRenderedPageBreak/>
              <w:t>відповідності до закону".</w:t>
            </w:r>
          </w:p>
        </w:tc>
        <w:tc>
          <w:tcPr>
            <w:tcW w:w="1987" w:type="dxa"/>
          </w:tcPr>
          <w:p w14:paraId="1D52C33C" w14:textId="77777777" w:rsidR="00F97573" w:rsidRPr="00286216" w:rsidRDefault="00F97573" w:rsidP="00F97573">
            <w:pPr>
              <w:pStyle w:val="StyleWisnow"/>
              <w:rPr>
                <w:color w:val="000000" w:themeColor="text1"/>
              </w:rPr>
            </w:pPr>
            <w:r w:rsidRPr="00286216">
              <w:rPr>
                <w:color w:val="000000" w:themeColor="text1"/>
              </w:rPr>
              <w:lastRenderedPageBreak/>
              <w:t>Враховано частково</w:t>
            </w:r>
          </w:p>
          <w:p w14:paraId="0B189E15" w14:textId="77777777" w:rsidR="00F97573" w:rsidRPr="00286216" w:rsidRDefault="00F97573" w:rsidP="00F97573">
            <w:pPr>
              <w:pStyle w:val="StyleWisnow"/>
              <w:rPr>
                <w:color w:val="000000" w:themeColor="text1"/>
              </w:rPr>
            </w:pPr>
          </w:p>
          <w:p w14:paraId="4A753178" w14:textId="77777777" w:rsidR="00F97573" w:rsidRPr="00286216" w:rsidRDefault="00F97573" w:rsidP="00F97573">
            <w:pPr>
              <w:pStyle w:val="StyleWisnow"/>
              <w:rPr>
                <w:color w:val="000000" w:themeColor="text1"/>
              </w:rPr>
            </w:pPr>
          </w:p>
          <w:p w14:paraId="0CF79805" w14:textId="77777777" w:rsidR="00F97573" w:rsidRPr="00286216" w:rsidRDefault="00F97573" w:rsidP="00F97573">
            <w:pPr>
              <w:pStyle w:val="StyleWisnow"/>
              <w:rPr>
                <w:color w:val="000000" w:themeColor="text1"/>
              </w:rPr>
            </w:pPr>
          </w:p>
          <w:p w14:paraId="118FBFFA" w14:textId="77777777" w:rsidR="00F97573" w:rsidRPr="00286216" w:rsidRDefault="00F97573" w:rsidP="00F97573">
            <w:pPr>
              <w:pStyle w:val="StyleWisnow"/>
              <w:rPr>
                <w:color w:val="000000" w:themeColor="text1"/>
              </w:rPr>
            </w:pPr>
          </w:p>
          <w:p w14:paraId="52C48A39" w14:textId="77777777" w:rsidR="00F97573" w:rsidRPr="00286216" w:rsidRDefault="00F97573" w:rsidP="00F97573">
            <w:pPr>
              <w:pStyle w:val="StyleWisnow"/>
              <w:rPr>
                <w:color w:val="000000" w:themeColor="text1"/>
              </w:rPr>
            </w:pPr>
          </w:p>
          <w:p w14:paraId="58F79395" w14:textId="77777777" w:rsidR="00F97573" w:rsidRPr="00286216" w:rsidRDefault="00F97573" w:rsidP="00F97573">
            <w:pPr>
              <w:pStyle w:val="StyleWisnow"/>
              <w:rPr>
                <w:color w:val="000000" w:themeColor="text1"/>
              </w:rPr>
            </w:pPr>
          </w:p>
          <w:p w14:paraId="2CE5A408" w14:textId="77777777" w:rsidR="00F97573" w:rsidRPr="00286216" w:rsidRDefault="00F97573" w:rsidP="00F97573">
            <w:pPr>
              <w:pStyle w:val="StyleWisnow"/>
              <w:rPr>
                <w:color w:val="000000" w:themeColor="text1"/>
              </w:rPr>
            </w:pPr>
          </w:p>
          <w:p w14:paraId="00D285C6" w14:textId="77777777" w:rsidR="00F97573" w:rsidRPr="00286216" w:rsidRDefault="00F97573" w:rsidP="00F97573">
            <w:pPr>
              <w:pStyle w:val="StyleWisnow"/>
              <w:rPr>
                <w:color w:val="000000" w:themeColor="text1"/>
              </w:rPr>
            </w:pPr>
          </w:p>
          <w:p w14:paraId="2762BF9E" w14:textId="77777777" w:rsidR="00F97573" w:rsidRPr="00286216" w:rsidRDefault="00F97573" w:rsidP="00F97573">
            <w:pPr>
              <w:pStyle w:val="StyleWisnow"/>
              <w:rPr>
                <w:color w:val="000000" w:themeColor="text1"/>
              </w:rPr>
            </w:pPr>
          </w:p>
          <w:p w14:paraId="125DDD34" w14:textId="77777777" w:rsidR="00F97573" w:rsidRPr="00286216" w:rsidRDefault="00F97573" w:rsidP="00F97573">
            <w:pPr>
              <w:pStyle w:val="StyleWisnow"/>
              <w:rPr>
                <w:color w:val="000000" w:themeColor="text1"/>
              </w:rPr>
            </w:pPr>
          </w:p>
          <w:p w14:paraId="35FBD9D6" w14:textId="77777777" w:rsidR="00F97573" w:rsidRPr="00286216" w:rsidRDefault="00F97573" w:rsidP="00F97573">
            <w:pPr>
              <w:pStyle w:val="StyleWisnow"/>
              <w:spacing w:line="200" w:lineRule="exact"/>
              <w:rPr>
                <w:color w:val="000000" w:themeColor="text1"/>
              </w:rPr>
            </w:pPr>
          </w:p>
          <w:p w14:paraId="5EA371C3" w14:textId="77777777" w:rsidR="00F97573" w:rsidRPr="00286216" w:rsidRDefault="00F97573" w:rsidP="00F97573">
            <w:pPr>
              <w:pStyle w:val="StyleWisnow"/>
              <w:rPr>
                <w:color w:val="000000" w:themeColor="text1"/>
              </w:rPr>
            </w:pPr>
            <w:r w:rsidRPr="00286216">
              <w:rPr>
                <w:color w:val="000000" w:themeColor="text1"/>
              </w:rPr>
              <w:t>Відхилено</w:t>
            </w:r>
          </w:p>
          <w:p w14:paraId="3F503A5B" w14:textId="455A5812" w:rsidR="00F97573" w:rsidRPr="00286216" w:rsidRDefault="00F97573" w:rsidP="00F97573">
            <w:pPr>
              <w:pStyle w:val="StyleWisnow"/>
              <w:spacing w:line="180" w:lineRule="exact"/>
              <w:rPr>
                <w:color w:val="000000" w:themeColor="text1"/>
                <w:spacing w:val="-4"/>
              </w:rPr>
            </w:pPr>
            <w:r w:rsidRPr="00286216">
              <w:rPr>
                <w:color w:val="000000" w:themeColor="text1"/>
                <w:spacing w:val="-4"/>
              </w:rPr>
              <w:t>ліцензія та передбачені нею ліцензійні умови не можуть бути замінені іншими підставами, які відсутні у законодавстві</w:t>
            </w:r>
          </w:p>
        </w:tc>
        <w:tc>
          <w:tcPr>
            <w:tcW w:w="4818" w:type="dxa"/>
          </w:tcPr>
          <w:p w14:paraId="03DB79D9" w14:textId="2CC69CD1" w:rsidR="00F97573" w:rsidRPr="00286216" w:rsidRDefault="00F97573" w:rsidP="00F97573">
            <w:pPr>
              <w:pStyle w:val="StyleZakonu"/>
              <w:rPr>
                <w:color w:val="000000" w:themeColor="text1"/>
              </w:rPr>
            </w:pPr>
            <w:r w:rsidRPr="00286216">
              <w:rPr>
                <w:color w:val="000000" w:themeColor="text1"/>
              </w:rPr>
              <w:t>2. Ліцензійні умови провадження професійної діяльності на ринках капіталу та організованих товарних ринках за її окремими видами, у тому числі організаційні та операційні вимоги, вимоги до розміру початкового і власного капіталу, порядку його визначення, ліквідності, вимоги до осіб, які здійснюють управлінські функції, та інших фахівців професійного учасника ринків капіталу та організованих товарних ринків, вимоги до приміщення, технічного та програмного забезпечення, вимоги щодо джерел походження коштів, за рахунок яких формується початковий капітал професійного учасника ринків капіталу та організованих товарних ринків, інші вимоги та показники, що обмежують ризики професійної діяльності на ринках капіталу та організованих товарних ринках, встановлюються Національною комісію з цінних паперів та фондового ринку з урахуванням вимог, передбачених законом.</w:t>
            </w:r>
          </w:p>
        </w:tc>
      </w:tr>
      <w:bookmarkEnd w:id="854"/>
      <w:tr w:rsidR="00F97573" w:rsidRPr="00286216" w14:paraId="15888673" w14:textId="77777777" w:rsidTr="00091AA5">
        <w:tc>
          <w:tcPr>
            <w:tcW w:w="576" w:type="dxa"/>
          </w:tcPr>
          <w:p w14:paraId="06075230" w14:textId="77777777" w:rsidR="00F97573" w:rsidRPr="00286216" w:rsidRDefault="00F97573" w:rsidP="00F97573">
            <w:pPr>
              <w:pStyle w:val="StyleWisnow"/>
              <w:rPr>
                <w:color w:val="000000" w:themeColor="text1"/>
              </w:rPr>
            </w:pPr>
          </w:p>
        </w:tc>
        <w:tc>
          <w:tcPr>
            <w:tcW w:w="4818" w:type="dxa"/>
          </w:tcPr>
          <w:p w14:paraId="61E8AD1D" w14:textId="77777777" w:rsidR="00F97573" w:rsidRPr="00286216" w:rsidRDefault="00F97573" w:rsidP="00F97573">
            <w:pPr>
              <w:pStyle w:val="StyleZakonu"/>
              <w:rPr>
                <w:color w:val="000000" w:themeColor="text1"/>
              </w:rPr>
            </w:pPr>
          </w:p>
        </w:tc>
        <w:tc>
          <w:tcPr>
            <w:tcW w:w="3686" w:type="dxa"/>
          </w:tcPr>
          <w:p w14:paraId="36461BC9" w14:textId="66C74E08" w:rsidR="00F97573" w:rsidRPr="00286216" w:rsidRDefault="00F97573" w:rsidP="00F9757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618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AA4B73A"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У абзаці 1 частини 2 статті 66 нової редакції Закону слова «Ліцензійні умови» замінити словами «Умови отримання ліцензії на» та після слів «інші вимоги та показники,» доповнити словами «в тому числі,».</w:t>
            </w:r>
          </w:p>
        </w:tc>
        <w:tc>
          <w:tcPr>
            <w:tcW w:w="1987" w:type="dxa"/>
          </w:tcPr>
          <w:p w14:paraId="5C15F14D" w14:textId="77777777" w:rsidR="00F97573" w:rsidRPr="00286216" w:rsidRDefault="00F97573" w:rsidP="00F97573">
            <w:pPr>
              <w:pStyle w:val="StyleWisnow"/>
              <w:rPr>
                <w:color w:val="000000" w:themeColor="text1"/>
              </w:rPr>
            </w:pPr>
            <w:r w:rsidRPr="00286216">
              <w:rPr>
                <w:color w:val="000000" w:themeColor="text1"/>
              </w:rPr>
              <w:t>Відхилено</w:t>
            </w:r>
          </w:p>
          <w:p w14:paraId="65AF75E2" w14:textId="4AACD8A6" w:rsidR="00F97573" w:rsidRPr="00286216" w:rsidRDefault="00F97573" w:rsidP="00F97573">
            <w:pPr>
              <w:pStyle w:val="StyleWisnow"/>
              <w:spacing w:line="180" w:lineRule="exact"/>
              <w:rPr>
                <w:color w:val="000000" w:themeColor="text1"/>
                <w:spacing w:val="-4"/>
              </w:rPr>
            </w:pPr>
            <w:r w:rsidRPr="00286216">
              <w:rPr>
                <w:color w:val="000000" w:themeColor="text1"/>
                <w:spacing w:val="-4"/>
              </w:rPr>
              <w:t xml:space="preserve">"ліцензійні умови" це сталий термін, який поширений у </w:t>
            </w:r>
            <w:r w:rsidRPr="00286216">
              <w:rPr>
                <w:color w:val="000000" w:themeColor="text1"/>
                <w:spacing w:val="-6"/>
              </w:rPr>
              <w:t>законодавстві</w:t>
            </w:r>
          </w:p>
        </w:tc>
        <w:tc>
          <w:tcPr>
            <w:tcW w:w="4818" w:type="dxa"/>
          </w:tcPr>
          <w:p w14:paraId="174A3965" w14:textId="77777777" w:rsidR="00F97573" w:rsidRPr="00286216" w:rsidRDefault="00F97573" w:rsidP="00F97573">
            <w:pPr>
              <w:pStyle w:val="StyleZakonu"/>
              <w:rPr>
                <w:color w:val="000000" w:themeColor="text1"/>
              </w:rPr>
            </w:pPr>
          </w:p>
        </w:tc>
      </w:tr>
      <w:tr w:rsidR="00F97573" w:rsidRPr="00286216" w14:paraId="40BA4EC7" w14:textId="77777777" w:rsidTr="00091AA5">
        <w:tc>
          <w:tcPr>
            <w:tcW w:w="576" w:type="dxa"/>
          </w:tcPr>
          <w:p w14:paraId="319AAA71" w14:textId="77777777" w:rsidR="00F97573" w:rsidRPr="00286216" w:rsidRDefault="00F97573" w:rsidP="00F97573">
            <w:pPr>
              <w:pStyle w:val="StyleWisnow"/>
              <w:rPr>
                <w:color w:val="000000" w:themeColor="text1"/>
              </w:rPr>
            </w:pPr>
            <w:bookmarkStart w:id="855" w:name="n1132" w:colFirst="0" w:colLast="0"/>
            <w:r w:rsidRPr="00286216">
              <w:rPr>
                <w:color w:val="000000" w:themeColor="text1"/>
              </w:rPr>
              <w:t>1132.</w:t>
            </w:r>
          </w:p>
        </w:tc>
        <w:tc>
          <w:tcPr>
            <w:tcW w:w="4818" w:type="dxa"/>
          </w:tcPr>
          <w:p w14:paraId="15898187" w14:textId="77777777" w:rsidR="00F97573" w:rsidRPr="00286216" w:rsidRDefault="00F97573" w:rsidP="00F97573">
            <w:pPr>
              <w:pStyle w:val="StyleZakonu"/>
              <w:rPr>
                <w:color w:val="000000" w:themeColor="text1"/>
              </w:rPr>
            </w:pPr>
            <w:r w:rsidRPr="00286216">
              <w:rPr>
                <w:color w:val="000000" w:themeColor="text1"/>
              </w:rPr>
              <w:t>Початковий капітал - це капітал, акумульований юридичною особою, яка має намір провадити професійну діяльність на ринках капіталу та організованих товарних ринках, та який складається з одного або декількох таких елементів:</w:t>
            </w:r>
          </w:p>
        </w:tc>
        <w:tc>
          <w:tcPr>
            <w:tcW w:w="3686" w:type="dxa"/>
          </w:tcPr>
          <w:p w14:paraId="573ACEAA" w14:textId="10B34452" w:rsidR="00F97573" w:rsidRPr="00286216" w:rsidRDefault="00F97573" w:rsidP="00F97573">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619</w:t>
            </w:r>
            <w:r w:rsidRPr="00286216">
              <w:rPr>
                <w:color w:val="000000" w:themeColor="text1"/>
                <w:spacing w:val="-10"/>
              </w:rPr>
              <w:fldChar w:fldCharType="end"/>
            </w:r>
            <w:r w:rsidRPr="00286216">
              <w:rPr>
                <w:color w:val="000000" w:themeColor="text1"/>
                <w:spacing w:val="-10"/>
              </w:rPr>
              <w:t>-Н.д.Гетманцев Д.О.(Реєстр.картка №245)</w:t>
            </w:r>
          </w:p>
          <w:p w14:paraId="0617398F" w14:textId="77777777" w:rsidR="00F97573" w:rsidRPr="00286216" w:rsidRDefault="00F97573" w:rsidP="00F97573">
            <w:pPr>
              <w:pStyle w:val="StyleProp"/>
              <w:spacing w:line="180" w:lineRule="exact"/>
              <w:rPr>
                <w:color w:val="000000" w:themeColor="text1"/>
              </w:rPr>
            </w:pPr>
            <w:r w:rsidRPr="00286216">
              <w:rPr>
                <w:color w:val="000000" w:themeColor="text1"/>
              </w:rPr>
              <w:t>У статті 66 в абзаці 2 частини 2 слова «капіталу та організованих» замінити словами «капіталу та/або організованих»</w:t>
            </w:r>
          </w:p>
        </w:tc>
        <w:tc>
          <w:tcPr>
            <w:tcW w:w="1987" w:type="dxa"/>
          </w:tcPr>
          <w:p w14:paraId="4407E8B5" w14:textId="77777777" w:rsidR="00F97573" w:rsidRPr="00286216" w:rsidRDefault="00F97573" w:rsidP="00F97573">
            <w:pPr>
              <w:pStyle w:val="StyleWisnow"/>
              <w:rPr>
                <w:color w:val="000000" w:themeColor="text1"/>
              </w:rPr>
            </w:pPr>
            <w:r w:rsidRPr="00286216">
              <w:rPr>
                <w:color w:val="000000" w:themeColor="text1"/>
              </w:rPr>
              <w:t>Враховано</w:t>
            </w:r>
          </w:p>
        </w:tc>
        <w:tc>
          <w:tcPr>
            <w:tcW w:w="4818" w:type="dxa"/>
          </w:tcPr>
          <w:p w14:paraId="7E7745B6" w14:textId="34CB765A" w:rsidR="00F97573" w:rsidRPr="00286216" w:rsidRDefault="00F97573" w:rsidP="00F97573">
            <w:pPr>
              <w:pStyle w:val="StyleZakonu"/>
              <w:rPr>
                <w:color w:val="000000" w:themeColor="text1"/>
              </w:rPr>
            </w:pPr>
            <w:r w:rsidRPr="00286216">
              <w:rPr>
                <w:color w:val="000000" w:themeColor="text1"/>
              </w:rPr>
              <w:t>Початковий капітал - це капітал, акумульований юридичною особою, яка має намір провадити професійну діяльність на ринках капіталу та/або організованих товарних ринках, що складається з одного або декількох таких елементів:</w:t>
            </w:r>
          </w:p>
        </w:tc>
      </w:tr>
      <w:tr w:rsidR="00F97573" w:rsidRPr="00286216" w14:paraId="13C0A04C" w14:textId="77777777" w:rsidTr="00091AA5">
        <w:tc>
          <w:tcPr>
            <w:tcW w:w="576" w:type="dxa"/>
          </w:tcPr>
          <w:p w14:paraId="466D0547" w14:textId="77777777" w:rsidR="00F97573" w:rsidRPr="00286216" w:rsidRDefault="00F97573" w:rsidP="00F97573">
            <w:pPr>
              <w:pStyle w:val="StyleWisnow"/>
              <w:rPr>
                <w:color w:val="000000" w:themeColor="text1"/>
              </w:rPr>
            </w:pPr>
            <w:bookmarkStart w:id="856" w:name="n1133" w:colFirst="0" w:colLast="0"/>
            <w:bookmarkEnd w:id="855"/>
            <w:r w:rsidRPr="00286216">
              <w:rPr>
                <w:color w:val="000000" w:themeColor="text1"/>
              </w:rPr>
              <w:t>1133.</w:t>
            </w:r>
          </w:p>
        </w:tc>
        <w:tc>
          <w:tcPr>
            <w:tcW w:w="4818" w:type="dxa"/>
          </w:tcPr>
          <w:p w14:paraId="5F705E97" w14:textId="77777777" w:rsidR="00F97573" w:rsidRPr="00286216" w:rsidRDefault="00F97573" w:rsidP="00F97573">
            <w:pPr>
              <w:pStyle w:val="StyleZakonu"/>
              <w:rPr>
                <w:color w:val="000000" w:themeColor="text1"/>
              </w:rPr>
            </w:pPr>
            <w:r w:rsidRPr="00286216">
              <w:rPr>
                <w:color w:val="000000" w:themeColor="text1"/>
              </w:rPr>
              <w:t>1) інструменти капіталу (акції, облігації або інші цінні папери, а також запозичення та будь-які інші правочини, що мають наслідком збільшення власного капіталу юридичної особи) за умови що вони відповідають вимогам, встановленим Національною комісією з цінних паперів та фондового ринку;</w:t>
            </w:r>
          </w:p>
        </w:tc>
        <w:tc>
          <w:tcPr>
            <w:tcW w:w="3686" w:type="dxa"/>
          </w:tcPr>
          <w:p w14:paraId="74E9B2F9" w14:textId="77777777" w:rsidR="00F97573" w:rsidRPr="00286216" w:rsidRDefault="00F97573" w:rsidP="00F97573">
            <w:pPr>
              <w:pStyle w:val="StyleProp"/>
              <w:rPr>
                <w:color w:val="000000" w:themeColor="text1"/>
                <w:szCs w:val="18"/>
              </w:rPr>
            </w:pPr>
          </w:p>
        </w:tc>
        <w:tc>
          <w:tcPr>
            <w:tcW w:w="1987" w:type="dxa"/>
          </w:tcPr>
          <w:p w14:paraId="4483FEC8" w14:textId="77777777" w:rsidR="00F97573" w:rsidRPr="00286216" w:rsidRDefault="00F97573" w:rsidP="00F97573">
            <w:pPr>
              <w:pStyle w:val="StyleWisnow"/>
              <w:rPr>
                <w:color w:val="000000" w:themeColor="text1"/>
              </w:rPr>
            </w:pPr>
          </w:p>
        </w:tc>
        <w:tc>
          <w:tcPr>
            <w:tcW w:w="4818" w:type="dxa"/>
          </w:tcPr>
          <w:p w14:paraId="16D2101B" w14:textId="0E8B3202" w:rsidR="00F97573" w:rsidRPr="00286216" w:rsidRDefault="00F97573" w:rsidP="00F97573">
            <w:pPr>
              <w:pStyle w:val="StyleZakonu"/>
              <w:rPr>
                <w:color w:val="000000" w:themeColor="text1"/>
              </w:rPr>
            </w:pPr>
            <w:r w:rsidRPr="00286216">
              <w:rPr>
                <w:color w:val="000000" w:themeColor="text1"/>
              </w:rPr>
              <w:t>1) інструменти капіталу (акції, облігації або інші цінні папери, а також запозичення та будь-які інші правочини, що мають наслідком збільшення власного капіталу юридичної особи) за умови, що вони відповідають вимогам, встановленим Національною комісією з цінних паперів та фондового ринку;</w:t>
            </w:r>
          </w:p>
        </w:tc>
      </w:tr>
      <w:tr w:rsidR="00F97573" w:rsidRPr="00286216" w14:paraId="4E5FB970" w14:textId="77777777" w:rsidTr="00091AA5">
        <w:tc>
          <w:tcPr>
            <w:tcW w:w="576" w:type="dxa"/>
          </w:tcPr>
          <w:p w14:paraId="5FD237D5" w14:textId="77777777" w:rsidR="00F97573" w:rsidRPr="00286216" w:rsidRDefault="00F97573" w:rsidP="00F97573">
            <w:pPr>
              <w:pStyle w:val="StyleWisnow"/>
              <w:rPr>
                <w:color w:val="000000" w:themeColor="text1"/>
              </w:rPr>
            </w:pPr>
            <w:bookmarkStart w:id="857" w:name="n1134" w:colFirst="0" w:colLast="0"/>
            <w:bookmarkEnd w:id="856"/>
            <w:r w:rsidRPr="00286216">
              <w:rPr>
                <w:color w:val="000000" w:themeColor="text1"/>
              </w:rPr>
              <w:t>1134.</w:t>
            </w:r>
          </w:p>
        </w:tc>
        <w:tc>
          <w:tcPr>
            <w:tcW w:w="4818" w:type="dxa"/>
          </w:tcPr>
          <w:p w14:paraId="1EB4D760" w14:textId="77777777" w:rsidR="00F97573" w:rsidRPr="00286216" w:rsidRDefault="00F97573" w:rsidP="00F97573">
            <w:pPr>
              <w:pStyle w:val="StyleZakonu"/>
              <w:rPr>
                <w:color w:val="000000" w:themeColor="text1"/>
              </w:rPr>
            </w:pPr>
            <w:r w:rsidRPr="00286216">
              <w:rPr>
                <w:color w:val="000000" w:themeColor="text1"/>
              </w:rPr>
              <w:t>2) емісійний дохід, що відноситься до інструментів капіталу;</w:t>
            </w:r>
          </w:p>
        </w:tc>
        <w:tc>
          <w:tcPr>
            <w:tcW w:w="3686" w:type="dxa"/>
          </w:tcPr>
          <w:p w14:paraId="1AB72E0E" w14:textId="77777777" w:rsidR="00F97573" w:rsidRPr="00286216" w:rsidRDefault="00F97573" w:rsidP="00F97573">
            <w:pPr>
              <w:pStyle w:val="StyleProp"/>
              <w:rPr>
                <w:color w:val="000000" w:themeColor="text1"/>
                <w:szCs w:val="18"/>
              </w:rPr>
            </w:pPr>
          </w:p>
        </w:tc>
        <w:tc>
          <w:tcPr>
            <w:tcW w:w="1987" w:type="dxa"/>
          </w:tcPr>
          <w:p w14:paraId="006EA110" w14:textId="77777777" w:rsidR="00F97573" w:rsidRPr="00286216" w:rsidRDefault="00F97573" w:rsidP="00F97573">
            <w:pPr>
              <w:pStyle w:val="StyleWisnow"/>
              <w:rPr>
                <w:color w:val="000000" w:themeColor="text1"/>
              </w:rPr>
            </w:pPr>
          </w:p>
        </w:tc>
        <w:tc>
          <w:tcPr>
            <w:tcW w:w="4818" w:type="dxa"/>
          </w:tcPr>
          <w:p w14:paraId="2F258B5A" w14:textId="5A6959E8" w:rsidR="00F97573" w:rsidRPr="00286216" w:rsidRDefault="00F97573" w:rsidP="00F97573">
            <w:pPr>
              <w:pStyle w:val="StyleZakonu"/>
              <w:rPr>
                <w:color w:val="000000" w:themeColor="text1"/>
              </w:rPr>
            </w:pPr>
            <w:r w:rsidRPr="00286216">
              <w:rPr>
                <w:color w:val="000000" w:themeColor="text1"/>
              </w:rPr>
              <w:t>2) емісійний дохід, що належить до інструментів капіталу;</w:t>
            </w:r>
          </w:p>
        </w:tc>
      </w:tr>
      <w:tr w:rsidR="00F97573" w:rsidRPr="00286216" w14:paraId="6E174286" w14:textId="77777777" w:rsidTr="00091AA5">
        <w:tc>
          <w:tcPr>
            <w:tcW w:w="576" w:type="dxa"/>
          </w:tcPr>
          <w:p w14:paraId="4959D671" w14:textId="77777777" w:rsidR="00F97573" w:rsidRPr="00286216" w:rsidRDefault="00F97573" w:rsidP="00F97573">
            <w:pPr>
              <w:pStyle w:val="StyleWisnow"/>
              <w:rPr>
                <w:color w:val="000000" w:themeColor="text1"/>
              </w:rPr>
            </w:pPr>
            <w:bookmarkStart w:id="858" w:name="n1135" w:colFirst="0" w:colLast="0"/>
            <w:bookmarkEnd w:id="857"/>
            <w:r w:rsidRPr="00286216">
              <w:rPr>
                <w:color w:val="000000" w:themeColor="text1"/>
              </w:rPr>
              <w:t>1135.</w:t>
            </w:r>
          </w:p>
        </w:tc>
        <w:tc>
          <w:tcPr>
            <w:tcW w:w="4818" w:type="dxa"/>
          </w:tcPr>
          <w:p w14:paraId="168479A1" w14:textId="77777777" w:rsidR="00F97573" w:rsidRPr="00286216" w:rsidRDefault="00F97573" w:rsidP="00F97573">
            <w:pPr>
              <w:pStyle w:val="StyleZakonu"/>
              <w:rPr>
                <w:color w:val="000000" w:themeColor="text1"/>
              </w:rPr>
            </w:pPr>
            <w:r w:rsidRPr="00286216">
              <w:rPr>
                <w:color w:val="000000" w:themeColor="text1"/>
              </w:rPr>
              <w:t>3) накопичені прибутки або збитки;</w:t>
            </w:r>
          </w:p>
        </w:tc>
        <w:tc>
          <w:tcPr>
            <w:tcW w:w="3686" w:type="dxa"/>
          </w:tcPr>
          <w:p w14:paraId="733AE163" w14:textId="77777777" w:rsidR="00F97573" w:rsidRPr="00286216" w:rsidRDefault="00F97573" w:rsidP="00F97573">
            <w:pPr>
              <w:pStyle w:val="StyleProp"/>
              <w:rPr>
                <w:color w:val="000000" w:themeColor="text1"/>
                <w:szCs w:val="18"/>
              </w:rPr>
            </w:pPr>
          </w:p>
        </w:tc>
        <w:tc>
          <w:tcPr>
            <w:tcW w:w="1987" w:type="dxa"/>
          </w:tcPr>
          <w:p w14:paraId="34E5933E" w14:textId="77777777" w:rsidR="00F97573" w:rsidRPr="00286216" w:rsidRDefault="00F97573" w:rsidP="00F97573">
            <w:pPr>
              <w:pStyle w:val="StyleWisnow"/>
              <w:rPr>
                <w:color w:val="000000" w:themeColor="text1"/>
              </w:rPr>
            </w:pPr>
          </w:p>
        </w:tc>
        <w:tc>
          <w:tcPr>
            <w:tcW w:w="4818" w:type="dxa"/>
          </w:tcPr>
          <w:p w14:paraId="664E8A29" w14:textId="37EFF5EB" w:rsidR="00F97573" w:rsidRPr="00286216" w:rsidRDefault="00F97573" w:rsidP="00F97573">
            <w:pPr>
              <w:pStyle w:val="StyleZakonu"/>
              <w:rPr>
                <w:color w:val="000000" w:themeColor="text1"/>
              </w:rPr>
            </w:pPr>
            <w:r w:rsidRPr="00286216">
              <w:rPr>
                <w:color w:val="000000" w:themeColor="text1"/>
              </w:rPr>
              <w:t>3) накопичені прибутки або збитки;</w:t>
            </w:r>
          </w:p>
        </w:tc>
      </w:tr>
      <w:tr w:rsidR="00F97573" w:rsidRPr="00286216" w14:paraId="648957A2" w14:textId="77777777" w:rsidTr="00091AA5">
        <w:tc>
          <w:tcPr>
            <w:tcW w:w="576" w:type="dxa"/>
          </w:tcPr>
          <w:p w14:paraId="0D6003A5" w14:textId="77777777" w:rsidR="00F97573" w:rsidRPr="00286216" w:rsidRDefault="00F97573" w:rsidP="00F97573">
            <w:pPr>
              <w:pStyle w:val="StyleWisnow"/>
              <w:rPr>
                <w:color w:val="000000" w:themeColor="text1"/>
              </w:rPr>
            </w:pPr>
            <w:bookmarkStart w:id="859" w:name="n1136" w:colFirst="0" w:colLast="0"/>
            <w:bookmarkEnd w:id="858"/>
            <w:r w:rsidRPr="00286216">
              <w:rPr>
                <w:color w:val="000000" w:themeColor="text1"/>
              </w:rPr>
              <w:t>1136.</w:t>
            </w:r>
          </w:p>
        </w:tc>
        <w:tc>
          <w:tcPr>
            <w:tcW w:w="4818" w:type="dxa"/>
          </w:tcPr>
          <w:p w14:paraId="37789940" w14:textId="77777777" w:rsidR="00F97573" w:rsidRPr="00286216" w:rsidRDefault="00F97573" w:rsidP="00F97573">
            <w:pPr>
              <w:pStyle w:val="StyleZakonu"/>
              <w:rPr>
                <w:color w:val="000000" w:themeColor="text1"/>
              </w:rPr>
            </w:pPr>
            <w:r w:rsidRPr="00286216">
              <w:rPr>
                <w:color w:val="000000" w:themeColor="text1"/>
              </w:rPr>
              <w:t>4) накопичений інший сукупний дохід;</w:t>
            </w:r>
          </w:p>
        </w:tc>
        <w:tc>
          <w:tcPr>
            <w:tcW w:w="3686" w:type="dxa"/>
          </w:tcPr>
          <w:p w14:paraId="289BEA98" w14:textId="77777777" w:rsidR="00F97573" w:rsidRPr="00286216" w:rsidRDefault="00F97573" w:rsidP="00F97573">
            <w:pPr>
              <w:pStyle w:val="StyleProp"/>
              <w:rPr>
                <w:color w:val="000000" w:themeColor="text1"/>
                <w:szCs w:val="18"/>
              </w:rPr>
            </w:pPr>
          </w:p>
        </w:tc>
        <w:tc>
          <w:tcPr>
            <w:tcW w:w="1987" w:type="dxa"/>
          </w:tcPr>
          <w:p w14:paraId="0083817E" w14:textId="77777777" w:rsidR="00F97573" w:rsidRPr="00286216" w:rsidRDefault="00F97573" w:rsidP="00F97573">
            <w:pPr>
              <w:pStyle w:val="StyleWisnow"/>
              <w:rPr>
                <w:color w:val="000000" w:themeColor="text1"/>
              </w:rPr>
            </w:pPr>
          </w:p>
        </w:tc>
        <w:tc>
          <w:tcPr>
            <w:tcW w:w="4818" w:type="dxa"/>
          </w:tcPr>
          <w:p w14:paraId="500B820F" w14:textId="787C9FC6" w:rsidR="00F97573" w:rsidRPr="00286216" w:rsidRDefault="00F97573" w:rsidP="00F97573">
            <w:pPr>
              <w:pStyle w:val="StyleZakonu"/>
              <w:rPr>
                <w:color w:val="000000" w:themeColor="text1"/>
              </w:rPr>
            </w:pPr>
            <w:r w:rsidRPr="00286216">
              <w:rPr>
                <w:color w:val="000000" w:themeColor="text1"/>
              </w:rPr>
              <w:t>4) накопичений інший сукупний дохід;</w:t>
            </w:r>
          </w:p>
        </w:tc>
      </w:tr>
      <w:tr w:rsidR="00F97573" w:rsidRPr="00286216" w14:paraId="762BD030" w14:textId="77777777" w:rsidTr="00091AA5">
        <w:tc>
          <w:tcPr>
            <w:tcW w:w="576" w:type="dxa"/>
          </w:tcPr>
          <w:p w14:paraId="03F3D386" w14:textId="77777777" w:rsidR="00F97573" w:rsidRPr="00286216" w:rsidRDefault="00F97573" w:rsidP="00F97573">
            <w:pPr>
              <w:pStyle w:val="StyleWisnow"/>
              <w:rPr>
                <w:color w:val="000000" w:themeColor="text1"/>
              </w:rPr>
            </w:pPr>
            <w:bookmarkStart w:id="860" w:name="n1137" w:colFirst="0" w:colLast="0"/>
            <w:bookmarkEnd w:id="859"/>
            <w:r w:rsidRPr="00286216">
              <w:rPr>
                <w:color w:val="000000" w:themeColor="text1"/>
              </w:rPr>
              <w:t>1137.</w:t>
            </w:r>
          </w:p>
        </w:tc>
        <w:tc>
          <w:tcPr>
            <w:tcW w:w="4818" w:type="dxa"/>
          </w:tcPr>
          <w:p w14:paraId="3C065DD9" w14:textId="77777777" w:rsidR="00F97573" w:rsidRPr="00286216" w:rsidRDefault="00F97573" w:rsidP="00F97573">
            <w:pPr>
              <w:pStyle w:val="StyleZakonu"/>
              <w:rPr>
                <w:color w:val="000000" w:themeColor="text1"/>
              </w:rPr>
            </w:pPr>
            <w:r w:rsidRPr="00286216">
              <w:rPr>
                <w:color w:val="000000" w:themeColor="text1"/>
              </w:rPr>
              <w:t>5) інші резерви.</w:t>
            </w:r>
          </w:p>
        </w:tc>
        <w:tc>
          <w:tcPr>
            <w:tcW w:w="3686" w:type="dxa"/>
          </w:tcPr>
          <w:p w14:paraId="5B4B2113" w14:textId="77777777" w:rsidR="00F97573" w:rsidRPr="00286216" w:rsidRDefault="00F97573" w:rsidP="00F97573">
            <w:pPr>
              <w:pStyle w:val="StyleProp"/>
              <w:rPr>
                <w:color w:val="000000" w:themeColor="text1"/>
                <w:szCs w:val="18"/>
              </w:rPr>
            </w:pPr>
          </w:p>
        </w:tc>
        <w:tc>
          <w:tcPr>
            <w:tcW w:w="1987" w:type="dxa"/>
          </w:tcPr>
          <w:p w14:paraId="6C40CE89" w14:textId="77777777" w:rsidR="00F97573" w:rsidRPr="00286216" w:rsidRDefault="00F97573" w:rsidP="00F97573">
            <w:pPr>
              <w:pStyle w:val="StyleWisnow"/>
              <w:rPr>
                <w:color w:val="000000" w:themeColor="text1"/>
              </w:rPr>
            </w:pPr>
          </w:p>
        </w:tc>
        <w:tc>
          <w:tcPr>
            <w:tcW w:w="4818" w:type="dxa"/>
          </w:tcPr>
          <w:p w14:paraId="0D40488C" w14:textId="0B0000FB" w:rsidR="00F97573" w:rsidRPr="00286216" w:rsidRDefault="00F97573" w:rsidP="00F97573">
            <w:pPr>
              <w:pStyle w:val="StyleZakonu"/>
              <w:rPr>
                <w:color w:val="000000" w:themeColor="text1"/>
              </w:rPr>
            </w:pPr>
            <w:r w:rsidRPr="00286216">
              <w:rPr>
                <w:color w:val="000000" w:themeColor="text1"/>
              </w:rPr>
              <w:t>5) інші резерви.</w:t>
            </w:r>
          </w:p>
        </w:tc>
      </w:tr>
      <w:tr w:rsidR="00F97573" w:rsidRPr="00286216" w14:paraId="4A4949FA" w14:textId="77777777" w:rsidTr="00091AA5">
        <w:tc>
          <w:tcPr>
            <w:tcW w:w="576" w:type="dxa"/>
          </w:tcPr>
          <w:p w14:paraId="09DEBD86" w14:textId="77777777" w:rsidR="00F97573" w:rsidRPr="00286216" w:rsidRDefault="00F97573" w:rsidP="00F97573">
            <w:pPr>
              <w:pStyle w:val="StyleWisnow"/>
              <w:rPr>
                <w:color w:val="000000" w:themeColor="text1"/>
              </w:rPr>
            </w:pPr>
            <w:bookmarkStart w:id="861" w:name="n1138" w:colFirst="0" w:colLast="0"/>
            <w:bookmarkEnd w:id="860"/>
            <w:r w:rsidRPr="00286216">
              <w:rPr>
                <w:color w:val="000000" w:themeColor="text1"/>
              </w:rPr>
              <w:t>1138.</w:t>
            </w:r>
          </w:p>
        </w:tc>
        <w:tc>
          <w:tcPr>
            <w:tcW w:w="4818" w:type="dxa"/>
          </w:tcPr>
          <w:p w14:paraId="4119695D" w14:textId="77777777" w:rsidR="00F97573" w:rsidRPr="00286216" w:rsidRDefault="00F97573" w:rsidP="00F97573">
            <w:pPr>
              <w:pStyle w:val="StyleZakonu"/>
              <w:rPr>
                <w:color w:val="000000" w:themeColor="text1"/>
              </w:rPr>
            </w:pPr>
            <w:r w:rsidRPr="00286216">
              <w:rPr>
                <w:color w:val="000000" w:themeColor="text1"/>
              </w:rPr>
              <w:t>Перелік істотних умов правочинів, що пов’язані з безпосереднім провадженням професійної діяльності на ринках капіталу та організованих товарних ринках, встановлюється законами України.</w:t>
            </w:r>
          </w:p>
        </w:tc>
        <w:tc>
          <w:tcPr>
            <w:tcW w:w="3686" w:type="dxa"/>
          </w:tcPr>
          <w:p w14:paraId="06EBEAA8" w14:textId="77777777" w:rsidR="00F97573" w:rsidRPr="00286216" w:rsidRDefault="00F97573" w:rsidP="00F97573">
            <w:pPr>
              <w:pStyle w:val="StyleProp"/>
              <w:rPr>
                <w:color w:val="000000" w:themeColor="text1"/>
                <w:szCs w:val="18"/>
              </w:rPr>
            </w:pPr>
          </w:p>
        </w:tc>
        <w:tc>
          <w:tcPr>
            <w:tcW w:w="1987" w:type="dxa"/>
          </w:tcPr>
          <w:p w14:paraId="2395E8A7" w14:textId="77777777" w:rsidR="00F97573" w:rsidRPr="00286216" w:rsidRDefault="00F97573" w:rsidP="00F97573">
            <w:pPr>
              <w:pStyle w:val="StyleWisnow"/>
              <w:rPr>
                <w:color w:val="000000" w:themeColor="text1"/>
              </w:rPr>
            </w:pPr>
          </w:p>
        </w:tc>
        <w:tc>
          <w:tcPr>
            <w:tcW w:w="4818" w:type="dxa"/>
          </w:tcPr>
          <w:p w14:paraId="490B1C4B" w14:textId="198EFB13" w:rsidR="00F97573" w:rsidRPr="00286216" w:rsidRDefault="00F97573" w:rsidP="00F97573">
            <w:pPr>
              <w:pStyle w:val="StyleZakonu"/>
              <w:rPr>
                <w:color w:val="000000" w:themeColor="text1"/>
              </w:rPr>
            </w:pPr>
            <w:r w:rsidRPr="00286216">
              <w:rPr>
                <w:color w:val="000000" w:themeColor="text1"/>
              </w:rPr>
              <w:t>Перелік істотних умов правочинів, що пов’язані з безпосереднім провадженням професійної діяльності на ринках капіталу та організованих товарних ринках, встановлюється законами України.</w:t>
            </w:r>
          </w:p>
        </w:tc>
      </w:tr>
      <w:tr w:rsidR="00F97573" w:rsidRPr="00286216" w14:paraId="2920E0BF" w14:textId="77777777" w:rsidTr="00091AA5">
        <w:tc>
          <w:tcPr>
            <w:tcW w:w="576" w:type="dxa"/>
          </w:tcPr>
          <w:p w14:paraId="78A7E8C3" w14:textId="77777777" w:rsidR="00F97573" w:rsidRPr="00286216" w:rsidRDefault="00F97573" w:rsidP="00F97573">
            <w:pPr>
              <w:pStyle w:val="StyleWisnow"/>
              <w:rPr>
                <w:color w:val="000000" w:themeColor="text1"/>
              </w:rPr>
            </w:pPr>
            <w:bookmarkStart w:id="862" w:name="n1139" w:colFirst="0" w:colLast="0"/>
            <w:bookmarkEnd w:id="861"/>
            <w:r w:rsidRPr="00286216">
              <w:rPr>
                <w:color w:val="000000" w:themeColor="text1"/>
              </w:rPr>
              <w:t>1139.</w:t>
            </w:r>
          </w:p>
        </w:tc>
        <w:tc>
          <w:tcPr>
            <w:tcW w:w="4818" w:type="dxa"/>
          </w:tcPr>
          <w:p w14:paraId="5C998516" w14:textId="77777777" w:rsidR="00F97573" w:rsidRPr="00286216" w:rsidRDefault="00F97573" w:rsidP="00F97573">
            <w:pPr>
              <w:pStyle w:val="StyleZakonu"/>
              <w:rPr>
                <w:color w:val="000000" w:themeColor="text1"/>
              </w:rPr>
            </w:pPr>
            <w:r w:rsidRPr="00286216">
              <w:rPr>
                <w:color w:val="000000" w:themeColor="text1"/>
              </w:rPr>
              <w:t>Вимоги до правочинів, що пов’язані з безпосереднім провадженням професійної діяльності на ринках капіталу та організованих товарних ринках, встановлюються нормативно-правовими актами Національної комісії з цінних паперів та фондового ринку.</w:t>
            </w:r>
          </w:p>
        </w:tc>
        <w:tc>
          <w:tcPr>
            <w:tcW w:w="3686" w:type="dxa"/>
          </w:tcPr>
          <w:p w14:paraId="08938DC3" w14:textId="5AEF6C66"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620</w:t>
            </w:r>
            <w:r w:rsidRPr="00286216">
              <w:rPr>
                <w:color w:val="000000" w:themeColor="text1"/>
              </w:rPr>
              <w:fldChar w:fldCharType="end"/>
            </w:r>
            <w:r w:rsidRPr="00286216">
              <w:rPr>
                <w:color w:val="000000" w:themeColor="text1"/>
              </w:rPr>
              <w:t>-Н.д.Шахов С.В. (Реєстр.картка №114)</w:t>
            </w:r>
          </w:p>
          <w:p w14:paraId="1FB2337B" w14:textId="77777777" w:rsidR="00F97573" w:rsidRPr="00286216" w:rsidRDefault="00F97573" w:rsidP="00F97573">
            <w:pPr>
              <w:pStyle w:val="StyleProp"/>
              <w:rPr>
                <w:color w:val="000000" w:themeColor="text1"/>
              </w:rPr>
            </w:pPr>
            <w:r w:rsidRPr="00286216">
              <w:rPr>
                <w:color w:val="000000" w:themeColor="text1"/>
                <w:spacing w:val="-1"/>
              </w:rPr>
              <w:t xml:space="preserve">В абзаці 9 частини 2 статті 66 </w:t>
            </w:r>
            <w:r w:rsidRPr="00286216">
              <w:rPr>
                <w:color w:val="000000" w:themeColor="text1"/>
              </w:rPr>
              <w:t>слова "Національної комісії з цінних паперів та фондового ринку" замінити словами "регуляторів відповідних ринків, прийнятими у відповідності до закону".</w:t>
            </w:r>
          </w:p>
          <w:p w14:paraId="126DADA8" w14:textId="61250697" w:rsidR="00F97573" w:rsidRPr="00286216" w:rsidRDefault="00F97573" w:rsidP="00F97573">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621</w:t>
            </w:r>
            <w:r w:rsidRPr="00286216">
              <w:rPr>
                <w:color w:val="000000" w:themeColor="text1"/>
                <w:spacing w:val="-4"/>
              </w:rPr>
              <w:fldChar w:fldCharType="end"/>
            </w:r>
            <w:r w:rsidRPr="00286216">
              <w:rPr>
                <w:color w:val="000000" w:themeColor="text1"/>
                <w:spacing w:val="-4"/>
              </w:rPr>
              <w:t>-Н.д.Бєлькова О.В. (Реєстр.картка №403)</w:t>
            </w:r>
          </w:p>
          <w:p w14:paraId="14ABD3CF" w14:textId="77777777" w:rsidR="00F97573" w:rsidRPr="00286216" w:rsidRDefault="00F97573" w:rsidP="00F97573">
            <w:pPr>
              <w:pStyle w:val="StyleProp"/>
              <w:spacing w:line="180" w:lineRule="exact"/>
              <w:rPr>
                <w:color w:val="000000" w:themeColor="text1"/>
              </w:rPr>
            </w:pPr>
            <w:r w:rsidRPr="00286216">
              <w:rPr>
                <w:color w:val="000000" w:themeColor="text1"/>
              </w:rPr>
              <w:t xml:space="preserve">Статтю 66 розділу 1 після частини другої доповнити двома частинами  такого змісту: </w:t>
            </w:r>
          </w:p>
          <w:p w14:paraId="1EE97482" w14:textId="77777777" w:rsidR="00F97573" w:rsidRPr="00286216" w:rsidRDefault="00F97573" w:rsidP="00F97573">
            <w:pPr>
              <w:pStyle w:val="StyleProp"/>
              <w:spacing w:line="180" w:lineRule="exact"/>
              <w:rPr>
                <w:color w:val="000000" w:themeColor="text1"/>
              </w:rPr>
            </w:pPr>
            <w:r w:rsidRPr="00286216">
              <w:rPr>
                <w:color w:val="000000" w:themeColor="text1"/>
              </w:rPr>
              <w:t xml:space="preserve">“3. Вимоги, передбачені частиною другою цієї статті, для професійних учасників ринків капіталу, які є банками, встановлюються з урахуванням вимог, визначених Законом України “Про банки і банківську діяльність” та нормативно-правовими актами Національного банку України. </w:t>
            </w:r>
          </w:p>
          <w:p w14:paraId="7D275D90" w14:textId="77777777" w:rsidR="00F97573" w:rsidRPr="00286216" w:rsidRDefault="00F97573" w:rsidP="00F97573">
            <w:pPr>
              <w:pStyle w:val="StyleProp"/>
              <w:spacing w:line="180" w:lineRule="exact"/>
              <w:rPr>
                <w:color w:val="000000" w:themeColor="text1"/>
              </w:rPr>
            </w:pPr>
            <w:r w:rsidRPr="00286216">
              <w:rPr>
                <w:color w:val="000000" w:themeColor="text1"/>
              </w:rPr>
              <w:t xml:space="preserve">4. Національна комісія з цінних паперів та фондового ринку та Національний банк </w:t>
            </w:r>
            <w:r w:rsidRPr="00286216">
              <w:rPr>
                <w:color w:val="000000" w:themeColor="text1"/>
              </w:rPr>
              <w:lastRenderedPageBreak/>
              <w:t>України мають право визначити порядок взаємодії при оцінці дотримання  вимог, передбачених частиною другою цієї статті, системно важливими професійними учасниками ринків капіталу та організованих товарних ринків, якими є банки, у разі виникнення розбіжностей між такими вимогами та вимогами, встановленими Законом України “Про банки та банківську діяльність”, а також нормативно-правовими актами Національного банку України.”</w:t>
            </w:r>
          </w:p>
        </w:tc>
        <w:tc>
          <w:tcPr>
            <w:tcW w:w="1987" w:type="dxa"/>
          </w:tcPr>
          <w:p w14:paraId="6A3D624F" w14:textId="77777777" w:rsidR="00F97573" w:rsidRPr="00286216" w:rsidRDefault="00F97573" w:rsidP="00F97573">
            <w:pPr>
              <w:pStyle w:val="StyleWisnow"/>
              <w:spacing w:line="180" w:lineRule="exact"/>
              <w:rPr>
                <w:color w:val="000000" w:themeColor="text1"/>
              </w:rPr>
            </w:pPr>
            <w:r w:rsidRPr="00286216">
              <w:rPr>
                <w:color w:val="000000" w:themeColor="text1"/>
              </w:rPr>
              <w:lastRenderedPageBreak/>
              <w:t>Відхилено</w:t>
            </w:r>
          </w:p>
          <w:p w14:paraId="4FF15A6C" w14:textId="77777777" w:rsidR="00F97573" w:rsidRPr="00286216" w:rsidRDefault="00F97573" w:rsidP="00F97573">
            <w:pPr>
              <w:pStyle w:val="StyleWisnow"/>
              <w:spacing w:line="180" w:lineRule="exact"/>
              <w:rPr>
                <w:color w:val="000000" w:themeColor="text1"/>
              </w:rPr>
            </w:pPr>
            <w:r w:rsidRPr="00286216">
              <w:rPr>
                <w:color w:val="000000" w:themeColor="text1"/>
              </w:rPr>
              <w:t>на ринках капіталу та організованих товарних ринках єдиний регулятор НКЦПФР</w:t>
            </w:r>
          </w:p>
          <w:p w14:paraId="7926C662" w14:textId="77777777" w:rsidR="00F97573" w:rsidRPr="00286216" w:rsidRDefault="00F97573" w:rsidP="00F97573">
            <w:pPr>
              <w:pStyle w:val="StyleWisnow"/>
              <w:spacing w:line="180" w:lineRule="exact"/>
              <w:rPr>
                <w:color w:val="000000" w:themeColor="text1"/>
              </w:rPr>
            </w:pPr>
          </w:p>
          <w:p w14:paraId="5F95A60B" w14:textId="77777777" w:rsidR="00F97573" w:rsidRPr="00286216" w:rsidRDefault="00F97573" w:rsidP="00F97573">
            <w:pPr>
              <w:pStyle w:val="StyleWisnow"/>
              <w:spacing w:line="180" w:lineRule="exact"/>
              <w:rPr>
                <w:color w:val="000000" w:themeColor="text1"/>
              </w:rPr>
            </w:pPr>
          </w:p>
          <w:p w14:paraId="0B0FEB5C"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 по суті</w:t>
            </w:r>
          </w:p>
          <w:p w14:paraId="7CC4E975" w14:textId="77777777" w:rsidR="00F97573" w:rsidRPr="00286216" w:rsidRDefault="00F97573" w:rsidP="00F97573">
            <w:pPr>
              <w:pStyle w:val="StyleWisnow"/>
              <w:spacing w:line="180" w:lineRule="exact"/>
              <w:rPr>
                <w:color w:val="000000" w:themeColor="text1"/>
              </w:rPr>
            </w:pPr>
            <w:r w:rsidRPr="00286216">
              <w:rPr>
                <w:color w:val="000000" w:themeColor="text1"/>
              </w:rPr>
              <w:t>у запропонованій в редакції нової статті 137-2 та у змінах до Закону України «Про державне регулювання ринку цінних паперів в Україні"</w:t>
            </w:r>
          </w:p>
        </w:tc>
        <w:tc>
          <w:tcPr>
            <w:tcW w:w="4818" w:type="dxa"/>
          </w:tcPr>
          <w:p w14:paraId="293D20D2" w14:textId="2662CFA9" w:rsidR="00F97573" w:rsidRPr="00286216" w:rsidRDefault="00F97573" w:rsidP="00F97573">
            <w:pPr>
              <w:pStyle w:val="StyleZakonu"/>
              <w:rPr>
                <w:color w:val="000000" w:themeColor="text1"/>
              </w:rPr>
            </w:pPr>
            <w:r w:rsidRPr="00286216">
              <w:rPr>
                <w:color w:val="000000" w:themeColor="text1"/>
              </w:rPr>
              <w:t>Вимоги до правочинів, що пов’язані з безпосереднім провадженням професійної діяльності на ринках капіталу та організованих товарних ринках, встановлюються нормативно-правовими актами Національної комісії з цінних паперів та фондового ринку.</w:t>
            </w:r>
          </w:p>
        </w:tc>
      </w:tr>
      <w:tr w:rsidR="00F97573" w:rsidRPr="00286216" w14:paraId="60D32E42" w14:textId="77777777" w:rsidTr="00091AA5">
        <w:tc>
          <w:tcPr>
            <w:tcW w:w="576" w:type="dxa"/>
          </w:tcPr>
          <w:p w14:paraId="6D5ACBA9" w14:textId="77777777" w:rsidR="00F97573" w:rsidRPr="00286216" w:rsidRDefault="00F97573" w:rsidP="00F97573">
            <w:pPr>
              <w:pStyle w:val="StyleWisnow"/>
              <w:rPr>
                <w:color w:val="000000" w:themeColor="text1"/>
              </w:rPr>
            </w:pPr>
            <w:bookmarkStart w:id="863" w:name="n1140" w:colFirst="0" w:colLast="0"/>
            <w:bookmarkEnd w:id="862"/>
            <w:r w:rsidRPr="00286216">
              <w:rPr>
                <w:color w:val="000000" w:themeColor="text1"/>
              </w:rPr>
              <w:lastRenderedPageBreak/>
              <w:t>1140.</w:t>
            </w:r>
          </w:p>
        </w:tc>
        <w:tc>
          <w:tcPr>
            <w:tcW w:w="4818" w:type="dxa"/>
          </w:tcPr>
          <w:p w14:paraId="4F440F26" w14:textId="77777777" w:rsidR="00F97573" w:rsidRPr="00286216" w:rsidRDefault="00F97573" w:rsidP="00F97573">
            <w:pPr>
              <w:pStyle w:val="StyleZakonu"/>
              <w:rPr>
                <w:color w:val="000000" w:themeColor="text1"/>
              </w:rPr>
            </w:pPr>
            <w:r w:rsidRPr="00286216">
              <w:rPr>
                <w:color w:val="000000" w:themeColor="text1"/>
              </w:rPr>
              <w:t>3. Умовою отримання ліцензії та провадження професійної діяльності на ринках капіталу та організованих товарних ринках є відсутність серед учасників (акціонерів) юридичної особи (професійного учасника ринків капіталу та організованих товарних ринків) фізичної особи, яка має не погашену або не зняту в установленому порядку судимість за злочини проти власності, у сфері господарської діяльності та/або у сфері службової діяльності та володіє прямо чи опосередковано пакетом акцій (часток) у розмірі 10 і більше відсотків статутного капіталу цієї юридичної особи.</w:t>
            </w:r>
          </w:p>
        </w:tc>
        <w:tc>
          <w:tcPr>
            <w:tcW w:w="3686" w:type="dxa"/>
          </w:tcPr>
          <w:p w14:paraId="01060F48" w14:textId="53A603CE"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622</w:t>
            </w:r>
            <w:r w:rsidRPr="00286216">
              <w:rPr>
                <w:color w:val="000000" w:themeColor="text1"/>
              </w:rPr>
              <w:fldChar w:fldCharType="end"/>
            </w:r>
            <w:r w:rsidRPr="00286216">
              <w:rPr>
                <w:color w:val="000000" w:themeColor="text1"/>
              </w:rPr>
              <w:t>-Н.д.Шахов С.В. (Реєстр.картка №114)</w:t>
            </w:r>
          </w:p>
          <w:p w14:paraId="6084F4E7" w14:textId="77777777" w:rsidR="00F97573" w:rsidRPr="00286216" w:rsidRDefault="00F97573" w:rsidP="00F97573">
            <w:pPr>
              <w:pStyle w:val="StyleProp"/>
              <w:rPr>
                <w:color w:val="000000" w:themeColor="text1"/>
                <w:spacing w:val="-1"/>
              </w:rPr>
            </w:pPr>
            <w:r w:rsidRPr="00286216">
              <w:rPr>
                <w:color w:val="000000" w:themeColor="text1"/>
                <w:spacing w:val="-1"/>
              </w:rPr>
              <w:t xml:space="preserve">Абзац 1 частини 3 статті 66 після </w:t>
            </w:r>
            <w:r w:rsidRPr="00286216">
              <w:rPr>
                <w:color w:val="000000" w:themeColor="text1"/>
              </w:rPr>
              <w:t>слів "</w:t>
            </w:r>
            <w:r w:rsidRPr="00286216">
              <w:rPr>
                <w:color w:val="000000" w:themeColor="text1"/>
                <w:spacing w:val="-1"/>
              </w:rPr>
              <w:t>отримання ліцензії" доповнити словами "(або іншого дозвільного документу, визначеного законодавством про товарні ринки)".</w:t>
            </w:r>
          </w:p>
        </w:tc>
        <w:tc>
          <w:tcPr>
            <w:tcW w:w="1987" w:type="dxa"/>
          </w:tcPr>
          <w:p w14:paraId="67B42127"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0468B54E" w14:textId="6C07014E" w:rsidR="00F97573" w:rsidRPr="00286216" w:rsidRDefault="00F97573" w:rsidP="00F97573">
            <w:pPr>
              <w:pStyle w:val="StyleWisnow"/>
              <w:spacing w:line="180" w:lineRule="exact"/>
              <w:rPr>
                <w:color w:val="000000" w:themeColor="text1"/>
              </w:rPr>
            </w:pPr>
            <w:r w:rsidRPr="00286216">
              <w:rPr>
                <w:color w:val="000000" w:themeColor="text1"/>
                <w:spacing w:val="-4"/>
              </w:rPr>
              <w:t>ліцензія та передбачені нею ліцензійні умови не можуть бути замінені іншими підставами, які відсутні у законодавстві</w:t>
            </w:r>
          </w:p>
        </w:tc>
        <w:tc>
          <w:tcPr>
            <w:tcW w:w="4818" w:type="dxa"/>
          </w:tcPr>
          <w:p w14:paraId="40002689" w14:textId="255545A9" w:rsidR="00F97573" w:rsidRPr="00286216" w:rsidRDefault="00F97573" w:rsidP="00F97573">
            <w:pPr>
              <w:pStyle w:val="StyleZakonu"/>
              <w:rPr>
                <w:color w:val="000000" w:themeColor="text1"/>
              </w:rPr>
            </w:pPr>
            <w:r w:rsidRPr="00286216">
              <w:rPr>
                <w:color w:val="000000" w:themeColor="text1"/>
              </w:rPr>
              <w:t>3. Умовою отримання будь-якої ліцензії на провадження відповідного виду діяльності  та провадження професійної діяльності на ринках капіталу та організованих товарних ринках є відсутність серед учасників (акціонерів) юридичної особи (професійного учасника ринків капіталу та організованих товарних ринків) фізичної особи, яка має не погашену або не зняту у встановленому порядку судимість за злочини проти власності, у сфері господарської діяльності та/або у сфері службової діяльності та володіє прямо чи опосередковано пакетом акцій (часток) у розмірі 10 і більше відсотків статутного капіталу цієї юридичної особи.</w:t>
            </w:r>
          </w:p>
        </w:tc>
      </w:tr>
      <w:tr w:rsidR="00F97573" w:rsidRPr="00286216" w14:paraId="3F073D55" w14:textId="77777777" w:rsidTr="00091AA5">
        <w:tc>
          <w:tcPr>
            <w:tcW w:w="576" w:type="dxa"/>
          </w:tcPr>
          <w:p w14:paraId="20A287AC" w14:textId="77777777" w:rsidR="00F97573" w:rsidRPr="00286216" w:rsidRDefault="00F97573" w:rsidP="00F97573">
            <w:pPr>
              <w:pStyle w:val="StyleWisnow"/>
              <w:rPr>
                <w:color w:val="000000" w:themeColor="text1"/>
              </w:rPr>
            </w:pPr>
            <w:bookmarkStart w:id="864" w:name="n1141" w:colFirst="0" w:colLast="0"/>
            <w:bookmarkEnd w:id="863"/>
            <w:r w:rsidRPr="00286216">
              <w:rPr>
                <w:color w:val="000000" w:themeColor="text1"/>
              </w:rPr>
              <w:t>1141.</w:t>
            </w:r>
          </w:p>
        </w:tc>
        <w:tc>
          <w:tcPr>
            <w:tcW w:w="4818" w:type="dxa"/>
          </w:tcPr>
          <w:p w14:paraId="163BA854" w14:textId="77777777" w:rsidR="00F97573" w:rsidRPr="00286216" w:rsidRDefault="00F97573" w:rsidP="00F97573">
            <w:pPr>
              <w:pStyle w:val="StyleZakonu"/>
              <w:rPr>
                <w:color w:val="000000" w:themeColor="text1"/>
              </w:rPr>
            </w:pPr>
            <w:r w:rsidRPr="00286216">
              <w:rPr>
                <w:color w:val="000000" w:themeColor="text1"/>
              </w:rPr>
              <w:t>Підставою для застосування санкції відповідно до вимог законодавства про ринки капіталу та організовані товарні ринки є встановлення Національною комісією з цінних паперів та фондового ринку факту прямого чи опосередкованого володіння пакетом акцій (часток) у розмірі 10 і більше відсотків статутного капіталу професійного учасника ринків капіталу та організованих товарних ринків фізичною особою, яка має не погашену або не зняту в установленому порядку судимість за злочини проти власності, у сфері господарської діяльності та/або у сфері службової діяльності, після 30 днів з дня такого встановлення, але не раніше 120 днів з дня набрання законної сили обвинувальним вироком стосовно такої фізичної особи за зазначені злочини.</w:t>
            </w:r>
          </w:p>
        </w:tc>
        <w:tc>
          <w:tcPr>
            <w:tcW w:w="3686" w:type="dxa"/>
          </w:tcPr>
          <w:p w14:paraId="09B56600" w14:textId="73AB3D36"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623</w:t>
            </w:r>
            <w:r w:rsidRPr="00286216">
              <w:rPr>
                <w:color w:val="000000" w:themeColor="text1"/>
              </w:rPr>
              <w:fldChar w:fldCharType="end"/>
            </w:r>
            <w:r w:rsidRPr="00286216">
              <w:rPr>
                <w:color w:val="000000" w:themeColor="text1"/>
              </w:rPr>
              <w:t>-Н.д.Шахов С.В. (Реєстр.картка №114)</w:t>
            </w:r>
          </w:p>
          <w:p w14:paraId="0F16CC6B" w14:textId="77777777" w:rsidR="00F97573" w:rsidRPr="00286216" w:rsidRDefault="00F97573" w:rsidP="00F97573">
            <w:pPr>
              <w:pStyle w:val="StyleProp"/>
              <w:rPr>
                <w:color w:val="000000" w:themeColor="text1"/>
              </w:rPr>
            </w:pPr>
            <w:r w:rsidRPr="00286216">
              <w:rPr>
                <w:color w:val="000000" w:themeColor="text1"/>
              </w:rPr>
              <w:t>В абзаці 2 частини 3 статті 66 слова "Національною комісією з цінних паперів та фондового ринку" замінити словами "регулятором відповідного ринку".</w:t>
            </w:r>
          </w:p>
        </w:tc>
        <w:tc>
          <w:tcPr>
            <w:tcW w:w="1987" w:type="dxa"/>
          </w:tcPr>
          <w:p w14:paraId="78ACE41C"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79DA10A9" w14:textId="78D80CDB" w:rsidR="00F97573" w:rsidRPr="00286216" w:rsidRDefault="00F97573" w:rsidP="00F97573">
            <w:pPr>
              <w:pStyle w:val="StyleWisnow"/>
              <w:spacing w:line="180" w:lineRule="exact"/>
              <w:rPr>
                <w:color w:val="000000" w:themeColor="text1"/>
              </w:rPr>
            </w:pPr>
            <w:r w:rsidRPr="00286216">
              <w:rPr>
                <w:color w:val="000000" w:themeColor="text1"/>
              </w:rPr>
              <w:t>ринки капіталу та організовані товарні ринки, відповідно до базової статті 2, якою визначена сфера дії цього Закону, належать до виключної регуляторної компетенції НКЦПФР</w:t>
            </w:r>
          </w:p>
        </w:tc>
        <w:tc>
          <w:tcPr>
            <w:tcW w:w="4818" w:type="dxa"/>
          </w:tcPr>
          <w:p w14:paraId="3DBE0D0B" w14:textId="5BC3B7D0" w:rsidR="00F97573" w:rsidRPr="00286216" w:rsidRDefault="00F97573" w:rsidP="00F97573">
            <w:pPr>
              <w:pStyle w:val="StyleZakonu"/>
              <w:rPr>
                <w:color w:val="000000" w:themeColor="text1"/>
              </w:rPr>
            </w:pPr>
            <w:r w:rsidRPr="00286216">
              <w:rPr>
                <w:color w:val="000000" w:themeColor="text1"/>
              </w:rPr>
              <w:t>Підставою для застосування санкції відповідно до вимог законодавства про ринки капіталу та організовані товарні ринки є встановлення Національною комісією з цінних паперів та фондового ринку факту прямого чи опосередкованого володіння пакетом акцій (часток) у розмірі 10 і більше відсотків статутного капіталу професійного учасника ринків капіталу та організованих товарних ринків фізичною особою, яка має не погашену або не зняту у встановленому порядку судимість за злочини проти власності, у сфері господарської діяльності та/або у сфері службової діяльності, після 30 днів з дня такого встановлення, але не раніше 120 днів з дня набрання законної сили обвинувальним вироком стосовно такої фізичної особи за зазначені злочини.</w:t>
            </w:r>
          </w:p>
        </w:tc>
      </w:tr>
      <w:tr w:rsidR="00F97573" w:rsidRPr="00286216" w14:paraId="4BE07B95" w14:textId="77777777" w:rsidTr="00091AA5">
        <w:tc>
          <w:tcPr>
            <w:tcW w:w="576" w:type="dxa"/>
          </w:tcPr>
          <w:p w14:paraId="13C8B3A8" w14:textId="77777777" w:rsidR="00F97573" w:rsidRPr="00286216" w:rsidRDefault="00F97573" w:rsidP="00F97573">
            <w:pPr>
              <w:pStyle w:val="StyleWisnow"/>
              <w:rPr>
                <w:color w:val="000000" w:themeColor="text1"/>
              </w:rPr>
            </w:pPr>
            <w:bookmarkStart w:id="865" w:name="n1142" w:colFirst="0" w:colLast="0"/>
            <w:bookmarkEnd w:id="864"/>
            <w:r w:rsidRPr="00286216">
              <w:rPr>
                <w:color w:val="000000" w:themeColor="text1"/>
              </w:rPr>
              <w:t>1142.</w:t>
            </w:r>
          </w:p>
        </w:tc>
        <w:tc>
          <w:tcPr>
            <w:tcW w:w="4818" w:type="dxa"/>
          </w:tcPr>
          <w:p w14:paraId="15A0FC57" w14:textId="77777777" w:rsidR="00F97573" w:rsidRPr="00286216" w:rsidRDefault="00F97573" w:rsidP="00F97573">
            <w:pPr>
              <w:pStyle w:val="StyleZakonu"/>
              <w:rPr>
                <w:color w:val="000000" w:themeColor="text1"/>
              </w:rPr>
            </w:pPr>
            <w:r w:rsidRPr="00286216">
              <w:rPr>
                <w:color w:val="000000" w:themeColor="text1"/>
              </w:rPr>
              <w:t xml:space="preserve">Державні органи за письмовим запитом зобов’язані у межах повноважень надавати Національній комісії з цінних паперів та фондового ринку відповідно до закону інформацію про наявність або відсутність у фізичної особи, яка прямо чи опосередковано володіє пакетом акцій (часток) у розмірі 10 і більше відсотків статутного капіталу </w:t>
            </w:r>
            <w:r w:rsidRPr="00286216">
              <w:rPr>
                <w:color w:val="000000" w:themeColor="text1"/>
              </w:rPr>
              <w:lastRenderedPageBreak/>
              <w:t>професійного учасника ринків капіталу та організованих товарних ринків, не погашеної або не знятої в установленому порядку судимості за злочини проти власності, у сфері господарської діяльності та/або у сфері службової діяльності. У разі якщо запит передбачає надання інформації з обмеженим доступом, така інформація надається Національній комісії з цінних паперів та фондового ринку у спосіб, що забезпечує збереження правового режиму доступу до такої інформації.</w:t>
            </w:r>
          </w:p>
        </w:tc>
        <w:tc>
          <w:tcPr>
            <w:tcW w:w="3686" w:type="dxa"/>
          </w:tcPr>
          <w:p w14:paraId="5BFD53F2" w14:textId="5470A1F6" w:rsidR="00F97573" w:rsidRPr="00286216" w:rsidRDefault="00F97573" w:rsidP="00F97573">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624</w:t>
            </w:r>
            <w:r w:rsidRPr="00286216">
              <w:rPr>
                <w:color w:val="000000" w:themeColor="text1"/>
              </w:rPr>
              <w:fldChar w:fldCharType="end"/>
            </w:r>
            <w:r w:rsidRPr="00286216">
              <w:rPr>
                <w:color w:val="000000" w:themeColor="text1"/>
              </w:rPr>
              <w:t>-Н.д.Шахов С.В. (Реєстр.картка №114)</w:t>
            </w:r>
          </w:p>
          <w:p w14:paraId="208A498D" w14:textId="77777777" w:rsidR="00F97573" w:rsidRPr="00286216" w:rsidRDefault="00F97573" w:rsidP="00F97573">
            <w:pPr>
              <w:pStyle w:val="StyleProp"/>
              <w:rPr>
                <w:color w:val="000000" w:themeColor="text1"/>
              </w:rPr>
            </w:pPr>
            <w:r w:rsidRPr="00286216">
              <w:rPr>
                <w:color w:val="000000" w:themeColor="text1"/>
              </w:rPr>
              <w:t xml:space="preserve">В абзаці 3 частини 3 статті 66 слова "надавати Національній комісії з цінних паперів та фондового ринку" замінити словами "надавати регуляторам відповідного ринку", а слова "надається Національній комісії з цінних паперів та фондового ринку" замінити словами "надається регулятору </w:t>
            </w:r>
            <w:r w:rsidRPr="00286216">
              <w:rPr>
                <w:color w:val="000000" w:themeColor="text1"/>
              </w:rPr>
              <w:lastRenderedPageBreak/>
              <w:t>відповідного ринку".</w:t>
            </w:r>
          </w:p>
        </w:tc>
        <w:tc>
          <w:tcPr>
            <w:tcW w:w="1987" w:type="dxa"/>
          </w:tcPr>
          <w:p w14:paraId="74346981" w14:textId="77777777" w:rsidR="00F97573" w:rsidRPr="00286216" w:rsidRDefault="00F97573" w:rsidP="00F97573">
            <w:pPr>
              <w:pStyle w:val="StyleWisnow"/>
              <w:spacing w:line="180" w:lineRule="exact"/>
              <w:rPr>
                <w:color w:val="000000" w:themeColor="text1"/>
              </w:rPr>
            </w:pPr>
            <w:r w:rsidRPr="00286216">
              <w:rPr>
                <w:color w:val="000000" w:themeColor="text1"/>
              </w:rPr>
              <w:lastRenderedPageBreak/>
              <w:t>Відхилено</w:t>
            </w:r>
          </w:p>
          <w:p w14:paraId="08BE686D" w14:textId="07FE7726" w:rsidR="00F97573" w:rsidRPr="00286216" w:rsidRDefault="00F97573" w:rsidP="00F97573">
            <w:pPr>
              <w:pStyle w:val="StyleWisnow"/>
              <w:spacing w:line="180" w:lineRule="exact"/>
              <w:rPr>
                <w:color w:val="000000" w:themeColor="text1"/>
              </w:rPr>
            </w:pPr>
            <w:r w:rsidRPr="00286216">
              <w:rPr>
                <w:color w:val="000000" w:themeColor="text1"/>
              </w:rPr>
              <w:t xml:space="preserve">ринки капіталу та організовані товарні ринки, відповідно до базової статті 2, якою визначена сфера дії цього Закону, належать до виключної регуляторної </w:t>
            </w:r>
            <w:r w:rsidRPr="00286216">
              <w:rPr>
                <w:color w:val="000000" w:themeColor="text1"/>
              </w:rPr>
              <w:lastRenderedPageBreak/>
              <w:t>компетенції НКЦПФР</w:t>
            </w:r>
          </w:p>
        </w:tc>
        <w:tc>
          <w:tcPr>
            <w:tcW w:w="4818" w:type="dxa"/>
          </w:tcPr>
          <w:p w14:paraId="0BB8CEC1" w14:textId="172A9AC1" w:rsidR="00F97573" w:rsidRPr="00286216" w:rsidRDefault="00F97573" w:rsidP="00F97573">
            <w:pPr>
              <w:pStyle w:val="StyleZakonu"/>
              <w:rPr>
                <w:color w:val="000000" w:themeColor="text1"/>
              </w:rPr>
            </w:pPr>
            <w:r w:rsidRPr="00286216">
              <w:rPr>
                <w:color w:val="000000" w:themeColor="text1"/>
              </w:rPr>
              <w:lastRenderedPageBreak/>
              <w:t xml:space="preserve">Державні органи за письмовим запитом зобов’язані у межах повноважень надавати Національній комісії з цінних паперів та фондового ринку відповідно до закону інформацію про наявність або відсутність у фізичної особи, яка прямо чи опосередковано володіє пакетом акцій (часток) у розмірі 10 і більше відсотків статутного капіталу </w:t>
            </w:r>
            <w:r w:rsidRPr="00286216">
              <w:rPr>
                <w:color w:val="000000" w:themeColor="text1"/>
              </w:rPr>
              <w:lastRenderedPageBreak/>
              <w:t>професійного учасника ринків капіталу та організованих товарних ринків, не погашеної або не знятої у встановленому порядку судимості за злочини проти власності, у сфері господарської діяльності та/або у сфері службової діяльності. У разі якщо запит передбачає надання інформації з обмеженим доступом, така інформація надається Національній комісії з цінних паперів та фондового ринку у спосіб, що забезпечує збереження правового режиму доступу до такої інформації.</w:t>
            </w:r>
          </w:p>
        </w:tc>
      </w:tr>
      <w:tr w:rsidR="00F97573" w:rsidRPr="00286216" w14:paraId="5984908D" w14:textId="77777777" w:rsidTr="00091AA5">
        <w:tc>
          <w:tcPr>
            <w:tcW w:w="576" w:type="dxa"/>
          </w:tcPr>
          <w:p w14:paraId="7DF1E92E" w14:textId="77777777" w:rsidR="00F97573" w:rsidRPr="00286216" w:rsidRDefault="00F97573" w:rsidP="00F97573">
            <w:pPr>
              <w:pStyle w:val="StyleWisnow"/>
              <w:rPr>
                <w:color w:val="000000" w:themeColor="text1"/>
              </w:rPr>
            </w:pPr>
            <w:bookmarkStart w:id="866" w:name="n1143" w:colFirst="0" w:colLast="0"/>
            <w:bookmarkEnd w:id="865"/>
            <w:r w:rsidRPr="00286216">
              <w:rPr>
                <w:color w:val="000000" w:themeColor="text1"/>
              </w:rPr>
              <w:lastRenderedPageBreak/>
              <w:t>1143.</w:t>
            </w:r>
          </w:p>
        </w:tc>
        <w:tc>
          <w:tcPr>
            <w:tcW w:w="4818" w:type="dxa"/>
          </w:tcPr>
          <w:p w14:paraId="448B72AF" w14:textId="77777777" w:rsidR="00F97573" w:rsidRPr="00286216" w:rsidRDefault="00F97573" w:rsidP="00F97573">
            <w:pPr>
              <w:pStyle w:val="StyleZakonu"/>
              <w:rPr>
                <w:color w:val="000000" w:themeColor="text1"/>
              </w:rPr>
            </w:pPr>
            <w:r w:rsidRPr="00286216">
              <w:rPr>
                <w:color w:val="000000" w:themeColor="text1"/>
              </w:rPr>
              <w:t>4. Професійні учасники ринків капіталу та організованих товарних ринків зобов’язані:</w:t>
            </w:r>
          </w:p>
        </w:tc>
        <w:tc>
          <w:tcPr>
            <w:tcW w:w="3686" w:type="dxa"/>
          </w:tcPr>
          <w:p w14:paraId="34BB8FD9" w14:textId="77777777" w:rsidR="00F97573" w:rsidRPr="00286216" w:rsidRDefault="00F97573" w:rsidP="00F97573">
            <w:pPr>
              <w:pStyle w:val="StyleProp"/>
              <w:rPr>
                <w:color w:val="000000" w:themeColor="text1"/>
                <w:szCs w:val="18"/>
              </w:rPr>
            </w:pPr>
          </w:p>
        </w:tc>
        <w:tc>
          <w:tcPr>
            <w:tcW w:w="1987" w:type="dxa"/>
          </w:tcPr>
          <w:p w14:paraId="1A8A3D5E" w14:textId="77777777" w:rsidR="00F97573" w:rsidRPr="00286216" w:rsidRDefault="00F97573" w:rsidP="00F97573">
            <w:pPr>
              <w:pStyle w:val="StyleWisnow"/>
              <w:rPr>
                <w:color w:val="000000" w:themeColor="text1"/>
              </w:rPr>
            </w:pPr>
          </w:p>
        </w:tc>
        <w:tc>
          <w:tcPr>
            <w:tcW w:w="4818" w:type="dxa"/>
          </w:tcPr>
          <w:p w14:paraId="44610834" w14:textId="352E6F6B" w:rsidR="00F97573" w:rsidRPr="00286216" w:rsidRDefault="00F97573" w:rsidP="00F97573">
            <w:pPr>
              <w:pStyle w:val="StyleZakonu"/>
              <w:rPr>
                <w:color w:val="000000" w:themeColor="text1"/>
              </w:rPr>
            </w:pPr>
            <w:r w:rsidRPr="00286216">
              <w:rPr>
                <w:color w:val="000000" w:themeColor="text1"/>
              </w:rPr>
              <w:t>4. Професійні учасники ринків капіталу та організованих товарних ринків зобов’язані:</w:t>
            </w:r>
          </w:p>
        </w:tc>
      </w:tr>
      <w:tr w:rsidR="00F97573" w:rsidRPr="00286216" w14:paraId="7DA9D5B7" w14:textId="77777777" w:rsidTr="00091AA5">
        <w:tc>
          <w:tcPr>
            <w:tcW w:w="576" w:type="dxa"/>
          </w:tcPr>
          <w:p w14:paraId="4DAA4D02" w14:textId="77777777" w:rsidR="00F97573" w:rsidRPr="00286216" w:rsidRDefault="00F97573" w:rsidP="00F97573">
            <w:pPr>
              <w:pStyle w:val="StyleWisnow"/>
              <w:rPr>
                <w:color w:val="000000" w:themeColor="text1"/>
              </w:rPr>
            </w:pPr>
            <w:bookmarkStart w:id="867" w:name="n1144" w:colFirst="0" w:colLast="0"/>
            <w:bookmarkEnd w:id="866"/>
            <w:r w:rsidRPr="00286216">
              <w:rPr>
                <w:color w:val="000000" w:themeColor="text1"/>
              </w:rPr>
              <w:t>1144.</w:t>
            </w:r>
          </w:p>
        </w:tc>
        <w:tc>
          <w:tcPr>
            <w:tcW w:w="4818" w:type="dxa"/>
          </w:tcPr>
          <w:p w14:paraId="19593320" w14:textId="77777777" w:rsidR="00F97573" w:rsidRPr="00286216" w:rsidRDefault="00F97573" w:rsidP="00F97573">
            <w:pPr>
              <w:pStyle w:val="StyleZakonu"/>
              <w:rPr>
                <w:color w:val="000000" w:themeColor="text1"/>
              </w:rPr>
            </w:pPr>
            <w:r w:rsidRPr="00286216">
              <w:rPr>
                <w:color w:val="000000" w:themeColor="text1"/>
              </w:rPr>
              <w:t>1) дотримуватися пруденційних нормативів та інших показників та вимог, що обмежують ризики по операціях, пов’язаних з безпосереднім провадженням професійної діяльності, відповідно до отриманої ліцензії, перелік, розміри і методика розрахунку яких встановлюються Національною комісією з цінних паперів та фондового ринку. Пруденційні нормативи та інші показники та вимоги встановлюються щодо кожного виду професійної діяльності на ринках капіталу та організованих товарних ринках;</w:t>
            </w:r>
          </w:p>
        </w:tc>
        <w:tc>
          <w:tcPr>
            <w:tcW w:w="3686" w:type="dxa"/>
          </w:tcPr>
          <w:p w14:paraId="0E0B0D99" w14:textId="72F52041"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625</w:t>
            </w:r>
            <w:r w:rsidRPr="00286216">
              <w:rPr>
                <w:color w:val="000000" w:themeColor="text1"/>
              </w:rPr>
              <w:fldChar w:fldCharType="end"/>
            </w:r>
            <w:r w:rsidRPr="00286216">
              <w:rPr>
                <w:color w:val="000000" w:themeColor="text1"/>
              </w:rPr>
              <w:t>-Н.д.Шахов С.В. (Реєстр.картка №114)</w:t>
            </w:r>
          </w:p>
          <w:p w14:paraId="5915582F" w14:textId="77777777" w:rsidR="00F97573" w:rsidRPr="00286216" w:rsidRDefault="00F97573" w:rsidP="00F97573">
            <w:pPr>
              <w:pStyle w:val="StyleProp"/>
              <w:rPr>
                <w:color w:val="000000" w:themeColor="text1"/>
                <w:szCs w:val="18"/>
              </w:rPr>
            </w:pPr>
            <w:r w:rsidRPr="00286216">
              <w:rPr>
                <w:color w:val="000000" w:themeColor="text1"/>
              </w:rPr>
              <w:t>В абзаці 2 частини 4 статті 66 слова "Національною комісією з цінних паперів та фондового ринку" замінити словами "регуляторами відповідного ринку".</w:t>
            </w:r>
          </w:p>
        </w:tc>
        <w:tc>
          <w:tcPr>
            <w:tcW w:w="1987" w:type="dxa"/>
          </w:tcPr>
          <w:p w14:paraId="22E4E65B"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4265FE63" w14:textId="77777777" w:rsidR="00F97573" w:rsidRPr="00286216" w:rsidRDefault="00F97573" w:rsidP="00F97573">
            <w:pPr>
              <w:pStyle w:val="StyleWisnow"/>
              <w:spacing w:line="180" w:lineRule="exact"/>
              <w:rPr>
                <w:color w:val="000000" w:themeColor="text1"/>
              </w:rPr>
            </w:pPr>
            <w:r w:rsidRPr="00286216">
              <w:rPr>
                <w:color w:val="000000" w:themeColor="text1"/>
              </w:rPr>
              <w:t>ринки капіталу та організовані товарні ринки, відповідно до базової статті 2, якою визначена сфера дії цього Закону, належать до виключної регуляторної компетенції НКЦПФР</w:t>
            </w:r>
          </w:p>
        </w:tc>
        <w:tc>
          <w:tcPr>
            <w:tcW w:w="4818" w:type="dxa"/>
          </w:tcPr>
          <w:p w14:paraId="5DDCE0D3" w14:textId="18C296FB" w:rsidR="00F97573" w:rsidRPr="00286216" w:rsidRDefault="00F97573" w:rsidP="00F97573">
            <w:pPr>
              <w:pStyle w:val="StyleZakonu"/>
              <w:rPr>
                <w:color w:val="000000" w:themeColor="text1"/>
              </w:rPr>
            </w:pPr>
            <w:r w:rsidRPr="00286216">
              <w:rPr>
                <w:color w:val="000000" w:themeColor="text1"/>
              </w:rPr>
              <w:t>1) дотримуватися пруденційних нормативів та інших показників і вимог, що обмежують ризики операцій, пов’язаних з безпосереднім провадженням професійної діяльності, відповідно до отриманої ліцензії, перелік, розміри і методика розрахунку яких встановлюються Національною комісією з цінних паперів та фондового ринку. Пруденційні нормативи та інші показники і вимоги встановлюються щодо кожного виду професійної діяльності на ринках капіталу та організованих товарних ринках;</w:t>
            </w:r>
          </w:p>
        </w:tc>
      </w:tr>
      <w:tr w:rsidR="00F97573" w:rsidRPr="00286216" w14:paraId="7C480834" w14:textId="77777777" w:rsidTr="00091AA5">
        <w:tc>
          <w:tcPr>
            <w:tcW w:w="576" w:type="dxa"/>
          </w:tcPr>
          <w:p w14:paraId="7778D03A" w14:textId="77777777" w:rsidR="00F97573" w:rsidRPr="00286216" w:rsidRDefault="00F97573" w:rsidP="00F97573">
            <w:pPr>
              <w:pStyle w:val="StyleWisnow"/>
              <w:rPr>
                <w:color w:val="000000" w:themeColor="text1"/>
              </w:rPr>
            </w:pPr>
            <w:bookmarkStart w:id="868" w:name="n1145" w:colFirst="0" w:colLast="0"/>
            <w:bookmarkEnd w:id="867"/>
            <w:r w:rsidRPr="00286216">
              <w:rPr>
                <w:color w:val="000000" w:themeColor="text1"/>
              </w:rPr>
              <w:t>1145.</w:t>
            </w:r>
          </w:p>
        </w:tc>
        <w:tc>
          <w:tcPr>
            <w:tcW w:w="4818" w:type="dxa"/>
          </w:tcPr>
          <w:p w14:paraId="70D93FEC" w14:textId="77777777" w:rsidR="00F97573" w:rsidRPr="00286216" w:rsidRDefault="00F97573" w:rsidP="00F97573">
            <w:pPr>
              <w:pStyle w:val="StyleZakonu"/>
              <w:rPr>
                <w:color w:val="000000" w:themeColor="text1"/>
              </w:rPr>
            </w:pPr>
            <w:r w:rsidRPr="00286216">
              <w:rPr>
                <w:color w:val="000000" w:themeColor="text1"/>
              </w:rPr>
              <w:t>2) подавати Національній комісії з цінних паперів та фондового ринку розрахунок показників, що підтверджують виконання встановлених пруденційних нормативів щодо відповідного виду професійної діяльності в порядку та у строки, визначені Національною комісією з цінних паперів та фондового ринку.</w:t>
            </w:r>
          </w:p>
        </w:tc>
        <w:tc>
          <w:tcPr>
            <w:tcW w:w="3686" w:type="dxa"/>
          </w:tcPr>
          <w:p w14:paraId="59762E81" w14:textId="6CD26332"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626</w:t>
            </w:r>
            <w:r w:rsidRPr="00286216">
              <w:rPr>
                <w:color w:val="000000" w:themeColor="text1"/>
              </w:rPr>
              <w:fldChar w:fldCharType="end"/>
            </w:r>
            <w:r w:rsidRPr="00286216">
              <w:rPr>
                <w:color w:val="000000" w:themeColor="text1"/>
              </w:rPr>
              <w:t>-Н.д.Шахов С.В. (Реєстр.картка №114)</w:t>
            </w:r>
          </w:p>
          <w:p w14:paraId="25E2E8C0" w14:textId="77777777" w:rsidR="00F97573" w:rsidRPr="00286216" w:rsidRDefault="00F97573" w:rsidP="00F97573">
            <w:pPr>
              <w:pStyle w:val="StyleProp"/>
              <w:rPr>
                <w:color w:val="000000" w:themeColor="text1"/>
              </w:rPr>
            </w:pPr>
            <w:r w:rsidRPr="00286216">
              <w:rPr>
                <w:color w:val="000000" w:themeColor="text1"/>
              </w:rPr>
              <w:t>Абзац 3 частини 4 статті 66 викласти у такій редакції:</w:t>
            </w:r>
          </w:p>
          <w:p w14:paraId="0D07D815" w14:textId="77777777" w:rsidR="00F97573" w:rsidRPr="00286216" w:rsidRDefault="00F97573" w:rsidP="00F97573">
            <w:pPr>
              <w:pStyle w:val="StyleProp"/>
              <w:rPr>
                <w:color w:val="000000" w:themeColor="text1"/>
                <w:szCs w:val="18"/>
              </w:rPr>
            </w:pPr>
            <w:r w:rsidRPr="00286216">
              <w:rPr>
                <w:color w:val="000000" w:themeColor="text1"/>
              </w:rPr>
              <w:t>"2) подавати регулятору відповідного ринку розрахунок показників, що підтверджують виконання встановлених пруденційних нормативів щодо відповідного виду професійної діяльності в порядку та у строки, визначені регулятором відповідного ринку у відповідності до закону".</w:t>
            </w:r>
          </w:p>
        </w:tc>
        <w:tc>
          <w:tcPr>
            <w:tcW w:w="1987" w:type="dxa"/>
          </w:tcPr>
          <w:p w14:paraId="00F9584D"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 частково</w:t>
            </w:r>
          </w:p>
          <w:p w14:paraId="78BD3E10" w14:textId="77777777" w:rsidR="00F97573" w:rsidRPr="00286216" w:rsidRDefault="00F97573" w:rsidP="00F97573">
            <w:pPr>
              <w:pStyle w:val="StyleWisnow"/>
              <w:spacing w:line="180" w:lineRule="exact"/>
              <w:rPr>
                <w:color w:val="000000" w:themeColor="text1"/>
              </w:rPr>
            </w:pPr>
            <w:r w:rsidRPr="00286216">
              <w:rPr>
                <w:color w:val="000000" w:themeColor="text1"/>
              </w:rPr>
              <w:t>у частині посилання на закон як підставу для провадження пруденційного нагляду</w:t>
            </w:r>
          </w:p>
        </w:tc>
        <w:tc>
          <w:tcPr>
            <w:tcW w:w="4818" w:type="dxa"/>
          </w:tcPr>
          <w:p w14:paraId="0F02DF95" w14:textId="7A9BDAFE" w:rsidR="00F97573" w:rsidRPr="00286216" w:rsidRDefault="00F97573" w:rsidP="00F97573">
            <w:pPr>
              <w:pStyle w:val="StyleZakonu"/>
              <w:rPr>
                <w:color w:val="000000" w:themeColor="text1"/>
              </w:rPr>
            </w:pPr>
            <w:r w:rsidRPr="00286216">
              <w:rPr>
                <w:color w:val="000000" w:themeColor="text1"/>
              </w:rPr>
              <w:t xml:space="preserve">2) подавати до Національної комісії з цінних паперів та фондового ринку розрахунок показників, що підтверджують виконання встановлених пруденційних нормативів щодо відповідного виду професійної діяльності в порядку та строки, визначені Національною комісією з цінних паперів та фондового ринку відповідно до закону. </w:t>
            </w:r>
          </w:p>
        </w:tc>
      </w:tr>
      <w:tr w:rsidR="00F97573" w:rsidRPr="00286216" w14:paraId="08224198" w14:textId="77777777" w:rsidTr="00091AA5">
        <w:tc>
          <w:tcPr>
            <w:tcW w:w="576" w:type="dxa"/>
          </w:tcPr>
          <w:p w14:paraId="726FB21E" w14:textId="77777777" w:rsidR="00F97573" w:rsidRPr="00286216" w:rsidRDefault="00F97573" w:rsidP="00F97573">
            <w:pPr>
              <w:pStyle w:val="StyleWisnow"/>
              <w:rPr>
                <w:color w:val="000000" w:themeColor="text1"/>
              </w:rPr>
            </w:pPr>
            <w:bookmarkStart w:id="869" w:name="n1146" w:colFirst="0" w:colLast="0"/>
            <w:bookmarkEnd w:id="868"/>
            <w:r w:rsidRPr="00286216">
              <w:rPr>
                <w:color w:val="000000" w:themeColor="text1"/>
              </w:rPr>
              <w:t>1146.</w:t>
            </w:r>
          </w:p>
        </w:tc>
        <w:tc>
          <w:tcPr>
            <w:tcW w:w="4818" w:type="dxa"/>
          </w:tcPr>
          <w:p w14:paraId="42111339" w14:textId="77777777" w:rsidR="00F97573" w:rsidRPr="00286216" w:rsidRDefault="00F97573" w:rsidP="00F97573">
            <w:pPr>
              <w:pStyle w:val="StyleZakonu"/>
              <w:rPr>
                <w:color w:val="000000" w:themeColor="text1"/>
              </w:rPr>
            </w:pPr>
            <w:r w:rsidRPr="00286216">
              <w:rPr>
                <w:color w:val="000000" w:themeColor="text1"/>
              </w:rPr>
              <w:t>5. Вимоги до корпоративного управління професійних учасників ринків капіталу та організованих товарних ринків встановлюються статтею 72 цього Закону.</w:t>
            </w:r>
          </w:p>
        </w:tc>
        <w:tc>
          <w:tcPr>
            <w:tcW w:w="3686" w:type="dxa"/>
          </w:tcPr>
          <w:p w14:paraId="241B41F5" w14:textId="1D5C4AC3"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627</w:t>
            </w:r>
            <w:r w:rsidRPr="00286216">
              <w:rPr>
                <w:color w:val="000000" w:themeColor="text1"/>
              </w:rPr>
              <w:fldChar w:fldCharType="end"/>
            </w:r>
            <w:r w:rsidRPr="00286216">
              <w:rPr>
                <w:color w:val="000000" w:themeColor="text1"/>
              </w:rPr>
              <w:t>-Н.д.Шахов С.В. (Реєстр.картка №114)</w:t>
            </w:r>
          </w:p>
          <w:p w14:paraId="44BE1C16" w14:textId="77777777" w:rsidR="00F97573" w:rsidRPr="00286216" w:rsidRDefault="00F97573" w:rsidP="00F97573">
            <w:pPr>
              <w:pStyle w:val="StyleProp"/>
              <w:spacing w:line="180" w:lineRule="exact"/>
              <w:rPr>
                <w:color w:val="000000" w:themeColor="text1"/>
              </w:rPr>
            </w:pPr>
            <w:r w:rsidRPr="00286216">
              <w:rPr>
                <w:color w:val="000000" w:themeColor="text1"/>
              </w:rPr>
              <w:t>У частині 5 статті 66 слова "вимоги до" замінити словами "рекомендації щодо", а слово "встановлюються" – словом "зазначаються".</w:t>
            </w:r>
          </w:p>
        </w:tc>
        <w:tc>
          <w:tcPr>
            <w:tcW w:w="1987" w:type="dxa"/>
          </w:tcPr>
          <w:p w14:paraId="4C4847CA" w14:textId="77777777" w:rsidR="00F97573" w:rsidRPr="00286216" w:rsidRDefault="00F97573" w:rsidP="00F97573">
            <w:pPr>
              <w:pStyle w:val="StyleWisnow"/>
              <w:rPr>
                <w:color w:val="000000" w:themeColor="text1"/>
              </w:rPr>
            </w:pPr>
            <w:r w:rsidRPr="00286216">
              <w:rPr>
                <w:color w:val="000000" w:themeColor="text1"/>
              </w:rPr>
              <w:t>Відхилено</w:t>
            </w:r>
          </w:p>
          <w:p w14:paraId="0BF6FB62" w14:textId="77777777" w:rsidR="00F97573" w:rsidRPr="00286216" w:rsidRDefault="00F97573" w:rsidP="00F97573">
            <w:pPr>
              <w:pStyle w:val="StyleWisnow"/>
              <w:spacing w:line="180" w:lineRule="exact"/>
              <w:rPr>
                <w:color w:val="000000" w:themeColor="text1"/>
              </w:rPr>
            </w:pPr>
            <w:r w:rsidRPr="00286216">
              <w:rPr>
                <w:color w:val="000000" w:themeColor="text1"/>
              </w:rPr>
              <w:t>стаття 72 цього проекту передбачає саме встановлення вимог</w:t>
            </w:r>
          </w:p>
        </w:tc>
        <w:tc>
          <w:tcPr>
            <w:tcW w:w="4818" w:type="dxa"/>
          </w:tcPr>
          <w:p w14:paraId="1D16A0C4" w14:textId="07A1BF02" w:rsidR="00F97573" w:rsidRPr="00286216" w:rsidRDefault="00F97573" w:rsidP="00F97573">
            <w:pPr>
              <w:pStyle w:val="StyleZakonu"/>
              <w:rPr>
                <w:color w:val="000000" w:themeColor="text1"/>
              </w:rPr>
            </w:pPr>
            <w:r w:rsidRPr="00286216">
              <w:rPr>
                <w:color w:val="000000" w:themeColor="text1"/>
              </w:rPr>
              <w:t>5. Вимоги до корпоративного управління професійних учасників ринків капіталу та організованих товарних ринків встановлюються статтею 76 цього Закону.</w:t>
            </w:r>
          </w:p>
        </w:tc>
      </w:tr>
      <w:tr w:rsidR="00F97573" w:rsidRPr="00286216" w14:paraId="070415A0" w14:textId="77777777" w:rsidTr="00091AA5">
        <w:tc>
          <w:tcPr>
            <w:tcW w:w="576" w:type="dxa"/>
          </w:tcPr>
          <w:p w14:paraId="253B1526" w14:textId="77777777" w:rsidR="00F97573" w:rsidRPr="00286216" w:rsidRDefault="00F97573" w:rsidP="00F97573">
            <w:pPr>
              <w:pStyle w:val="StyleWisnow"/>
              <w:rPr>
                <w:color w:val="000000" w:themeColor="text1"/>
              </w:rPr>
            </w:pPr>
          </w:p>
        </w:tc>
        <w:tc>
          <w:tcPr>
            <w:tcW w:w="4818" w:type="dxa"/>
          </w:tcPr>
          <w:p w14:paraId="66A71DBB" w14:textId="77777777" w:rsidR="00F97573" w:rsidRPr="00286216" w:rsidRDefault="00F97573" w:rsidP="00F97573">
            <w:pPr>
              <w:pStyle w:val="StyleZakonu"/>
              <w:rPr>
                <w:color w:val="000000" w:themeColor="text1"/>
              </w:rPr>
            </w:pPr>
          </w:p>
        </w:tc>
        <w:tc>
          <w:tcPr>
            <w:tcW w:w="3686" w:type="dxa"/>
          </w:tcPr>
          <w:p w14:paraId="342C815A" w14:textId="1BE64366" w:rsidR="00F97573" w:rsidRPr="00286216" w:rsidRDefault="00F97573" w:rsidP="00F97573">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628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A6B1B2F" w14:textId="77777777" w:rsidR="00F97573" w:rsidRPr="00286216" w:rsidRDefault="00F97573" w:rsidP="00F97573">
            <w:pPr>
              <w:pStyle w:val="StyleProp"/>
              <w:spacing w:line="180" w:lineRule="exact"/>
              <w:rPr>
                <w:color w:val="000000" w:themeColor="text1"/>
              </w:rPr>
            </w:pPr>
            <w:r w:rsidRPr="00286216">
              <w:rPr>
                <w:color w:val="000000" w:themeColor="text1"/>
              </w:rPr>
              <w:t>статтю 66 доповнити новою частиною такого змісту:</w:t>
            </w:r>
          </w:p>
          <w:p w14:paraId="69FEAA78" w14:textId="5795ED6D" w:rsidR="00F97573" w:rsidRPr="00286216" w:rsidRDefault="00F97573" w:rsidP="00F97573">
            <w:pPr>
              <w:pStyle w:val="StyleProp"/>
              <w:spacing w:line="180" w:lineRule="exact"/>
              <w:rPr>
                <w:color w:val="000000" w:themeColor="text1"/>
                <w:szCs w:val="18"/>
              </w:rPr>
            </w:pPr>
            <w:r w:rsidRPr="00286216">
              <w:rPr>
                <w:color w:val="000000" w:themeColor="text1"/>
              </w:rPr>
              <w:t xml:space="preserve">"Професійні учасники ринків капіталу та організованих товарних ринків під час провадження ними професійної діяльності можуть використовувати аутсорсинг. Професійний учасник ринків капіталу та організованих товарних ринків, який використовує аутсорсинг, несе повну та безумовну відповідальність за дії надавача </w:t>
            </w:r>
            <w:r w:rsidRPr="00286216">
              <w:rPr>
                <w:color w:val="000000" w:themeColor="text1"/>
              </w:rPr>
              <w:lastRenderedPageBreak/>
              <w:t>послуг, що вчиняються таким надавачем послуг на виконання договору про аутсорсинг. Вимоги до використання аутсорсингу встановлюються Національною комісією з цінних паперів та фондового ринку".</w:t>
            </w:r>
          </w:p>
        </w:tc>
        <w:tc>
          <w:tcPr>
            <w:tcW w:w="1987" w:type="dxa"/>
          </w:tcPr>
          <w:p w14:paraId="69DEB9F9" w14:textId="77777777" w:rsidR="00F97573" w:rsidRPr="00286216" w:rsidRDefault="00F97573" w:rsidP="00F97573">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20917361" w14:textId="44DB3E8E" w:rsidR="00F97573" w:rsidRPr="00286216" w:rsidRDefault="00F97573" w:rsidP="00F97573">
            <w:pPr>
              <w:pStyle w:val="StyleZakonu"/>
              <w:rPr>
                <w:color w:val="000000" w:themeColor="text1"/>
              </w:rPr>
            </w:pPr>
            <w:r w:rsidRPr="00286216">
              <w:rPr>
                <w:color w:val="000000" w:themeColor="text1"/>
              </w:rPr>
              <w:t xml:space="preserve">6. Професійні учасники ринків капіталу та організованих товарних ринків під час провадження професійної діяльності можуть використовувати аутсорсинг. Професійний учасник ринків капіталу та організованих товарних ринків, який використовує аутсорсинг, несе повну та безумовну відповідальність за дії надавача послуг, що вчиняються таким надавачем послуг на виконання договору про аутсорсинг. Вимоги до використання аутсорсингу </w:t>
            </w:r>
            <w:r w:rsidRPr="00286216">
              <w:rPr>
                <w:color w:val="000000" w:themeColor="text1"/>
              </w:rPr>
              <w:lastRenderedPageBreak/>
              <w:t>встановлюються Національною комісією з цінних паперів та фондового ринку.</w:t>
            </w:r>
          </w:p>
        </w:tc>
      </w:tr>
      <w:tr w:rsidR="00F97573" w:rsidRPr="00286216" w14:paraId="41D9D613" w14:textId="77777777" w:rsidTr="00091AA5">
        <w:tc>
          <w:tcPr>
            <w:tcW w:w="576" w:type="dxa"/>
          </w:tcPr>
          <w:p w14:paraId="42BE563E" w14:textId="77777777" w:rsidR="00F97573" w:rsidRPr="00286216" w:rsidRDefault="00F97573" w:rsidP="00F97573">
            <w:pPr>
              <w:pStyle w:val="StyleWisnow"/>
              <w:rPr>
                <w:color w:val="000000" w:themeColor="text1"/>
              </w:rPr>
            </w:pPr>
            <w:bookmarkStart w:id="870" w:name="n1147" w:colFirst="0" w:colLast="0"/>
            <w:bookmarkEnd w:id="869"/>
            <w:r w:rsidRPr="00286216">
              <w:rPr>
                <w:color w:val="000000" w:themeColor="text1"/>
              </w:rPr>
              <w:lastRenderedPageBreak/>
              <w:t>1147.</w:t>
            </w:r>
          </w:p>
        </w:tc>
        <w:tc>
          <w:tcPr>
            <w:tcW w:w="4818" w:type="dxa"/>
          </w:tcPr>
          <w:p w14:paraId="1AFF6E6E" w14:textId="77777777" w:rsidR="00F97573" w:rsidRPr="00286216" w:rsidRDefault="00F97573" w:rsidP="00F97573">
            <w:pPr>
              <w:pStyle w:val="StyleZakonu"/>
              <w:rPr>
                <w:color w:val="000000" w:themeColor="text1"/>
              </w:rPr>
            </w:pPr>
            <w:r w:rsidRPr="00286216">
              <w:rPr>
                <w:color w:val="000000" w:themeColor="text1"/>
              </w:rPr>
              <w:t>6. Професійні учасники ринків капіталу можуть утворювати відокремлені підрозділи за межами України за погодженням з Національною комісією з цінних паперів та фондового ринку та у встановленому нею порядку.</w:t>
            </w:r>
          </w:p>
        </w:tc>
        <w:tc>
          <w:tcPr>
            <w:tcW w:w="3686" w:type="dxa"/>
          </w:tcPr>
          <w:p w14:paraId="543C26A2" w14:textId="0006994E" w:rsidR="00F97573" w:rsidRPr="00286216" w:rsidRDefault="00F97573" w:rsidP="00F9757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629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2A3094B"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Частини шосту та сьому статті 66 викласти в такій редакції:</w:t>
            </w:r>
          </w:p>
          <w:p w14:paraId="63A8400F"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«6. Професійні учасники ринків капіталу та організованих товарних ринків, а також їх відокремлені підрозділи зобов’язані дотримуватися вимог щодо організації фінансового моніторингу, встановлених законодавством України у сфері запобігання та протидії легалізації (відмиванню) доходів, одержаних злочинним шляхом, фінансуванню тероризму та розповсюдження зброї масового знищення.</w:t>
            </w:r>
          </w:p>
          <w:p w14:paraId="48AE7A08"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7. Професійні учасники ринків капіталу можуть утворювати відокремлені підрозділи за межами України за погодженням з Національною комісією з цінних паперів та фондового ринку та у встановленому нею порядку.</w:t>
            </w:r>
          </w:p>
          <w:p w14:paraId="688C6509"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У разі якщо здійснення заходів з фінансового моніторингу не  дозволяється законодавством іноземної держави, на території якої утворено відокремлений підрозділ, професійний учасник ринків капіталу та організованих товарних ринків зобов’язаний повідомити Національну комісію з цінних паперів та фондового ринку офіційним каналом зв’язку про відповідні запобіжні заходи, які він буде вживати для обмеження ризиків використання діяльності такого відокремленого підрозділу з метою легалізації (відмивання) доходів, одержаних злочинним шляхом, або фінансування тероризму.</w:t>
            </w:r>
          </w:p>
          <w:p w14:paraId="6D0D0C31"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Професійний учасник ринків капіталу так організованих товарних ринків в установленому законодавством порядку вживає заходів щодо обмеження ділових відносин або фінансових операцій з особами, що діють на території держав, які не виконують або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Перелік таких держав формується в порядку, визначеному Кабінетом Міністрів України».</w:t>
            </w:r>
          </w:p>
        </w:tc>
        <w:tc>
          <w:tcPr>
            <w:tcW w:w="1987" w:type="dxa"/>
          </w:tcPr>
          <w:p w14:paraId="2899B2A8"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2B679E71" w14:textId="77777777" w:rsidR="00F97573" w:rsidRPr="00286216" w:rsidRDefault="00F97573" w:rsidP="00F97573">
            <w:pPr>
              <w:pStyle w:val="StyleWisnow"/>
              <w:spacing w:line="180" w:lineRule="exact"/>
              <w:rPr>
                <w:color w:val="000000" w:themeColor="text1"/>
              </w:rPr>
            </w:pPr>
            <w:r w:rsidRPr="00286216">
              <w:rPr>
                <w:rFonts w:eastAsia="Calibri"/>
                <w:color w:val="000000" w:themeColor="text1"/>
              </w:rPr>
              <w:t>питання вже комплексно врегульовано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у тому числі в новій редакції цього Закону, прийнятого Верховною Радою.</w:t>
            </w:r>
          </w:p>
          <w:p w14:paraId="41360C7F" w14:textId="77777777" w:rsidR="00F97573" w:rsidRPr="00286216" w:rsidRDefault="00F97573" w:rsidP="00F97573">
            <w:pPr>
              <w:pStyle w:val="StyleWisnow"/>
              <w:spacing w:line="180" w:lineRule="exact"/>
              <w:rPr>
                <w:color w:val="000000" w:themeColor="text1"/>
              </w:rPr>
            </w:pPr>
          </w:p>
        </w:tc>
        <w:tc>
          <w:tcPr>
            <w:tcW w:w="4818" w:type="dxa"/>
          </w:tcPr>
          <w:p w14:paraId="518A4DDC" w14:textId="37022A62" w:rsidR="00F97573" w:rsidRPr="00286216" w:rsidRDefault="00F97573" w:rsidP="00F97573">
            <w:pPr>
              <w:pStyle w:val="StyleZakonu"/>
              <w:rPr>
                <w:color w:val="000000" w:themeColor="text1"/>
              </w:rPr>
            </w:pPr>
            <w:r w:rsidRPr="00286216">
              <w:rPr>
                <w:color w:val="000000" w:themeColor="text1"/>
              </w:rPr>
              <w:t>7. Професійні учасники ринків капіталу можуть утворювати відокремлені підрозділи за межами України за погодженням з Національною комісією з цінних паперів та фондового ринку у встановленому нею порядку.</w:t>
            </w:r>
          </w:p>
        </w:tc>
      </w:tr>
      <w:bookmarkEnd w:id="870"/>
      <w:tr w:rsidR="00F97573" w:rsidRPr="00286216" w14:paraId="0CE1EE00" w14:textId="77777777" w:rsidTr="00091AA5">
        <w:tc>
          <w:tcPr>
            <w:tcW w:w="576" w:type="dxa"/>
          </w:tcPr>
          <w:p w14:paraId="5CF678FB" w14:textId="77777777" w:rsidR="00F97573" w:rsidRPr="00286216" w:rsidRDefault="00F97573" w:rsidP="00F97573">
            <w:pPr>
              <w:pStyle w:val="StyleWisnow"/>
              <w:rPr>
                <w:color w:val="000000" w:themeColor="text1"/>
              </w:rPr>
            </w:pPr>
          </w:p>
        </w:tc>
        <w:tc>
          <w:tcPr>
            <w:tcW w:w="4818" w:type="dxa"/>
          </w:tcPr>
          <w:p w14:paraId="768C2C77" w14:textId="77777777" w:rsidR="00F97573" w:rsidRPr="00286216" w:rsidRDefault="00F97573" w:rsidP="00F97573">
            <w:pPr>
              <w:pStyle w:val="StyleZakonu"/>
              <w:rPr>
                <w:color w:val="000000" w:themeColor="text1"/>
              </w:rPr>
            </w:pPr>
          </w:p>
        </w:tc>
        <w:tc>
          <w:tcPr>
            <w:tcW w:w="3686" w:type="dxa"/>
          </w:tcPr>
          <w:p w14:paraId="7A92D806" w14:textId="5E125C0F"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630</w:t>
            </w:r>
            <w:r w:rsidRPr="00286216">
              <w:rPr>
                <w:color w:val="000000" w:themeColor="text1"/>
              </w:rPr>
              <w:fldChar w:fldCharType="end"/>
            </w:r>
            <w:r w:rsidRPr="00286216">
              <w:rPr>
                <w:color w:val="000000" w:themeColor="text1"/>
              </w:rPr>
              <w:t>-Н.д.Шахов С.В. (Реєстр.картка №114)</w:t>
            </w:r>
          </w:p>
          <w:p w14:paraId="6E7655B0" w14:textId="77777777" w:rsidR="00F97573" w:rsidRPr="00286216" w:rsidRDefault="00F97573" w:rsidP="00F97573">
            <w:pPr>
              <w:pStyle w:val="StyleProp"/>
              <w:rPr>
                <w:color w:val="000000" w:themeColor="text1"/>
              </w:rPr>
            </w:pPr>
            <w:r w:rsidRPr="00286216">
              <w:rPr>
                <w:color w:val="000000" w:themeColor="text1"/>
              </w:rPr>
              <w:lastRenderedPageBreak/>
              <w:t>Абзац 1 частини 6 статті 66 доповнити словами "(а в частині поставних товарних деривативів – здійснити заходи, встановлені законодавством про товарні ринки".</w:t>
            </w:r>
          </w:p>
        </w:tc>
        <w:tc>
          <w:tcPr>
            <w:tcW w:w="1987" w:type="dxa"/>
          </w:tcPr>
          <w:p w14:paraId="4CC2365A" w14:textId="77777777" w:rsidR="00F97573" w:rsidRPr="00286216" w:rsidRDefault="00F97573" w:rsidP="00F97573">
            <w:pPr>
              <w:pStyle w:val="StyleWisnow"/>
              <w:rPr>
                <w:color w:val="000000" w:themeColor="text1"/>
              </w:rPr>
            </w:pPr>
            <w:r w:rsidRPr="00286216">
              <w:rPr>
                <w:color w:val="000000" w:themeColor="text1"/>
              </w:rPr>
              <w:lastRenderedPageBreak/>
              <w:t>Відхилено</w:t>
            </w:r>
          </w:p>
          <w:p w14:paraId="51ABE672" w14:textId="77777777" w:rsidR="00F97573" w:rsidRPr="00286216" w:rsidRDefault="00F97573" w:rsidP="00F97573">
            <w:pPr>
              <w:pStyle w:val="StyleWisnow"/>
              <w:spacing w:line="180" w:lineRule="exact"/>
              <w:rPr>
                <w:color w:val="000000" w:themeColor="text1"/>
              </w:rPr>
            </w:pPr>
            <w:r w:rsidRPr="00286216">
              <w:rPr>
                <w:color w:val="000000" w:themeColor="text1"/>
              </w:rPr>
              <w:lastRenderedPageBreak/>
              <w:t>у зв'язку із нечіткістю формулювання норми та неможливістю її однозначного тлумачення</w:t>
            </w:r>
          </w:p>
        </w:tc>
        <w:tc>
          <w:tcPr>
            <w:tcW w:w="4818" w:type="dxa"/>
          </w:tcPr>
          <w:p w14:paraId="4AB495C1" w14:textId="77777777" w:rsidR="00F97573" w:rsidRPr="00286216" w:rsidRDefault="00F97573" w:rsidP="00F97573">
            <w:pPr>
              <w:pStyle w:val="StyleZakonu"/>
              <w:rPr>
                <w:color w:val="000000" w:themeColor="text1"/>
              </w:rPr>
            </w:pPr>
          </w:p>
        </w:tc>
      </w:tr>
      <w:tr w:rsidR="00F97573" w:rsidRPr="00286216" w14:paraId="74031410" w14:textId="77777777" w:rsidTr="00091AA5">
        <w:tc>
          <w:tcPr>
            <w:tcW w:w="576" w:type="dxa"/>
          </w:tcPr>
          <w:p w14:paraId="52742428" w14:textId="77777777" w:rsidR="00F97573" w:rsidRPr="00286216" w:rsidRDefault="00F97573" w:rsidP="00F97573">
            <w:pPr>
              <w:pStyle w:val="StyleWisnow"/>
              <w:rPr>
                <w:color w:val="000000" w:themeColor="text1"/>
              </w:rPr>
            </w:pPr>
            <w:bookmarkStart w:id="871" w:name="n1148" w:colFirst="0" w:colLast="0"/>
            <w:r w:rsidRPr="00286216">
              <w:rPr>
                <w:color w:val="000000" w:themeColor="text1"/>
              </w:rPr>
              <w:t>1148.</w:t>
            </w:r>
          </w:p>
        </w:tc>
        <w:tc>
          <w:tcPr>
            <w:tcW w:w="4818" w:type="dxa"/>
          </w:tcPr>
          <w:p w14:paraId="4C9BE82D" w14:textId="77777777" w:rsidR="00F97573" w:rsidRPr="00286216" w:rsidRDefault="00F97573" w:rsidP="00F97573">
            <w:pPr>
              <w:pStyle w:val="StyleZakonu"/>
              <w:rPr>
                <w:color w:val="000000" w:themeColor="text1"/>
              </w:rPr>
            </w:pPr>
            <w:r w:rsidRPr="00286216">
              <w:rPr>
                <w:color w:val="000000" w:themeColor="text1"/>
              </w:rPr>
              <w:t>Професійні учасники ринків капіталу та їх відокремлені підрозділи, у тому числі ті, що утворені та діють в іноземних державах, повинні дотримуватися вимог щодо організації фінансового моніторингу, встановлених законодавством України у сфері запобігання та протидії легалізації (відмиванню) доходів, одержаних злочинним шляхом, та фінансуванню тероризму.</w:t>
            </w:r>
          </w:p>
        </w:tc>
        <w:tc>
          <w:tcPr>
            <w:tcW w:w="3686" w:type="dxa"/>
          </w:tcPr>
          <w:p w14:paraId="1426D16E" w14:textId="3C91AEB1" w:rsidR="00F97573" w:rsidRPr="00286216" w:rsidRDefault="00F97573" w:rsidP="00F97573">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631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03D1C96" w14:textId="77777777" w:rsidR="00F97573" w:rsidRPr="00286216" w:rsidRDefault="00F97573" w:rsidP="00F97573">
            <w:pPr>
              <w:pStyle w:val="StyleProp"/>
              <w:rPr>
                <w:rFonts w:eastAsia="Calibri"/>
                <w:color w:val="000000" w:themeColor="text1"/>
                <w:szCs w:val="18"/>
              </w:rPr>
            </w:pPr>
            <w:r w:rsidRPr="00286216">
              <w:rPr>
                <w:rFonts w:eastAsia="Calibri"/>
                <w:color w:val="000000" w:themeColor="text1"/>
                <w:szCs w:val="18"/>
              </w:rPr>
              <w:t>Абзаци другий та третій частини шостої статті 66 Закону «Про ринки капіталу та організовані товарні ринки» виключити.</w:t>
            </w:r>
          </w:p>
          <w:p w14:paraId="17EB6498" w14:textId="3E44028B" w:rsidR="00F97573" w:rsidRPr="00286216" w:rsidRDefault="00F97573" w:rsidP="00F97573">
            <w:pPr>
              <w:pStyle w:val="StyleAwt"/>
              <w:rPr>
                <w:color w:val="000000" w:themeColor="text1"/>
                <w:spacing w:val="-10"/>
              </w:rPr>
            </w:pP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632</w:t>
            </w:r>
            <w:r w:rsidRPr="00286216">
              <w:rPr>
                <w:color w:val="000000" w:themeColor="text1"/>
                <w:spacing w:val="-10"/>
              </w:rPr>
              <w:fldChar w:fldCharType="end"/>
            </w:r>
            <w:r w:rsidRPr="00286216">
              <w:rPr>
                <w:color w:val="000000" w:themeColor="text1"/>
                <w:spacing w:val="-10"/>
              </w:rPr>
              <w:t>-Н.д.Гетманцев Д.О.(Реєстр.картка №245)</w:t>
            </w:r>
          </w:p>
          <w:p w14:paraId="3C7EEA32" w14:textId="77777777" w:rsidR="00F97573" w:rsidRPr="00286216" w:rsidRDefault="00F97573" w:rsidP="00F97573">
            <w:pPr>
              <w:pStyle w:val="StyleProp"/>
              <w:rPr>
                <w:rFonts w:eastAsia="Calibri"/>
                <w:color w:val="000000" w:themeColor="text1"/>
                <w:szCs w:val="18"/>
              </w:rPr>
            </w:pPr>
            <w:r w:rsidRPr="00286216">
              <w:rPr>
                <w:color w:val="000000" w:themeColor="text1"/>
              </w:rPr>
              <w:t>У статті 66 абзац другий частини шостої виключити.</w:t>
            </w:r>
          </w:p>
        </w:tc>
        <w:tc>
          <w:tcPr>
            <w:tcW w:w="1987" w:type="dxa"/>
          </w:tcPr>
          <w:p w14:paraId="6BEB44DF"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w:t>
            </w:r>
          </w:p>
          <w:p w14:paraId="3BBE0E81" w14:textId="77777777" w:rsidR="00F97573" w:rsidRPr="00286216" w:rsidRDefault="00F97573" w:rsidP="00F97573">
            <w:pPr>
              <w:pStyle w:val="StyleWisnow"/>
              <w:spacing w:line="180" w:lineRule="exact"/>
              <w:rPr>
                <w:color w:val="000000" w:themeColor="text1"/>
              </w:rPr>
            </w:pPr>
          </w:p>
          <w:p w14:paraId="053F4F7F" w14:textId="77777777" w:rsidR="00F97573" w:rsidRPr="00286216" w:rsidRDefault="00F97573" w:rsidP="00F97573">
            <w:pPr>
              <w:pStyle w:val="StyleWisnow"/>
              <w:spacing w:line="180" w:lineRule="exact"/>
              <w:rPr>
                <w:color w:val="000000" w:themeColor="text1"/>
              </w:rPr>
            </w:pPr>
          </w:p>
          <w:p w14:paraId="68D96C70" w14:textId="77777777" w:rsidR="00F97573" w:rsidRPr="00286216" w:rsidRDefault="00F97573" w:rsidP="00F97573">
            <w:pPr>
              <w:pStyle w:val="StyleWisnow"/>
              <w:spacing w:line="180" w:lineRule="exact"/>
              <w:rPr>
                <w:color w:val="000000" w:themeColor="text1"/>
              </w:rPr>
            </w:pPr>
          </w:p>
          <w:p w14:paraId="495F5050" w14:textId="77777777" w:rsidR="00F97573" w:rsidRPr="00286216" w:rsidRDefault="00F97573" w:rsidP="00F97573">
            <w:pPr>
              <w:pStyle w:val="StyleWisnow"/>
              <w:spacing w:line="180" w:lineRule="exact"/>
              <w:rPr>
                <w:color w:val="000000" w:themeColor="text1"/>
              </w:rPr>
            </w:pPr>
          </w:p>
          <w:p w14:paraId="6898F6C9"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w:t>
            </w:r>
          </w:p>
        </w:tc>
        <w:tc>
          <w:tcPr>
            <w:tcW w:w="4818" w:type="dxa"/>
          </w:tcPr>
          <w:p w14:paraId="4F40622C" w14:textId="77777777" w:rsidR="00F97573" w:rsidRPr="00286216" w:rsidRDefault="00F97573" w:rsidP="00F97573">
            <w:pPr>
              <w:pStyle w:val="StyleZakonu"/>
              <w:rPr>
                <w:color w:val="000000" w:themeColor="text1"/>
              </w:rPr>
            </w:pPr>
          </w:p>
        </w:tc>
      </w:tr>
      <w:tr w:rsidR="00F97573" w:rsidRPr="00286216" w14:paraId="15D2AF7F" w14:textId="77777777" w:rsidTr="00091AA5">
        <w:tc>
          <w:tcPr>
            <w:tcW w:w="576" w:type="dxa"/>
          </w:tcPr>
          <w:p w14:paraId="3525A119" w14:textId="77777777" w:rsidR="00F97573" w:rsidRPr="00286216" w:rsidRDefault="00F97573" w:rsidP="00F97573">
            <w:pPr>
              <w:pStyle w:val="StyleWisnow"/>
              <w:rPr>
                <w:color w:val="000000" w:themeColor="text1"/>
              </w:rPr>
            </w:pPr>
            <w:bookmarkStart w:id="872" w:name="n1149" w:colFirst="0" w:colLast="0"/>
            <w:bookmarkEnd w:id="871"/>
            <w:r w:rsidRPr="00286216">
              <w:rPr>
                <w:color w:val="000000" w:themeColor="text1"/>
              </w:rPr>
              <w:t>1149.</w:t>
            </w:r>
          </w:p>
        </w:tc>
        <w:tc>
          <w:tcPr>
            <w:tcW w:w="4818" w:type="dxa"/>
          </w:tcPr>
          <w:p w14:paraId="7FA21C83" w14:textId="77777777" w:rsidR="00F97573" w:rsidRPr="00286216" w:rsidRDefault="00F97573" w:rsidP="00F97573">
            <w:pPr>
              <w:pStyle w:val="StyleZakonu"/>
              <w:rPr>
                <w:color w:val="000000" w:themeColor="text1"/>
              </w:rPr>
            </w:pPr>
            <w:r w:rsidRPr="00286216">
              <w:rPr>
                <w:color w:val="000000" w:themeColor="text1"/>
              </w:rPr>
              <w:t>У разі якщо вимоги щодо організації фінансового моніторингу суперечать законодавству іноземної держави, на території якої утворено відокремлений підрозділ, професійний учасник ринків капіталу зобов’язаний повідомити спеціально уповноважений орган з питань фінансового моніторингу і Національну комісію з цінних паперів та фондового ринку про неможливість дотримання його відокремленим підрозділом зазначених вимог.</w:t>
            </w:r>
          </w:p>
        </w:tc>
        <w:tc>
          <w:tcPr>
            <w:tcW w:w="3686" w:type="dxa"/>
          </w:tcPr>
          <w:p w14:paraId="092CC507" w14:textId="0B62EFEE" w:rsidR="00F97573" w:rsidRPr="00286216" w:rsidRDefault="00F97573" w:rsidP="00F97573">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633</w:t>
            </w:r>
            <w:r w:rsidRPr="00286216">
              <w:rPr>
                <w:color w:val="000000" w:themeColor="text1"/>
                <w:spacing w:val="-10"/>
              </w:rPr>
              <w:fldChar w:fldCharType="end"/>
            </w:r>
            <w:r w:rsidRPr="00286216">
              <w:rPr>
                <w:color w:val="000000" w:themeColor="text1"/>
                <w:spacing w:val="-10"/>
              </w:rPr>
              <w:t>-Н.д.Гетманцев Д.О.(Реєстр.картка №245)</w:t>
            </w:r>
          </w:p>
          <w:p w14:paraId="158F65B4" w14:textId="7DA0B7C4" w:rsidR="00F97573" w:rsidRPr="00286216" w:rsidRDefault="00F97573" w:rsidP="00F97573">
            <w:pPr>
              <w:pStyle w:val="StyleProp"/>
              <w:rPr>
                <w:color w:val="000000" w:themeColor="text1"/>
              </w:rPr>
            </w:pPr>
            <w:r w:rsidRPr="00286216">
              <w:rPr>
                <w:color w:val="000000" w:themeColor="text1"/>
              </w:rPr>
              <w:t>У статті 66 абзац 3 частини 6 виключити.</w:t>
            </w:r>
          </w:p>
          <w:p w14:paraId="01D104A0" w14:textId="746C6778"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634</w:t>
            </w:r>
            <w:r w:rsidRPr="00286216">
              <w:rPr>
                <w:color w:val="000000" w:themeColor="text1"/>
              </w:rPr>
              <w:fldChar w:fldCharType="end"/>
            </w:r>
            <w:r w:rsidRPr="00286216">
              <w:rPr>
                <w:color w:val="000000" w:themeColor="text1"/>
              </w:rPr>
              <w:t>-Н.д.Шахов С.В. (Реєстр.картка №114)</w:t>
            </w:r>
          </w:p>
          <w:p w14:paraId="4AAB30A9" w14:textId="77777777" w:rsidR="00F97573" w:rsidRPr="00286216" w:rsidRDefault="00F97573" w:rsidP="00F97573">
            <w:pPr>
              <w:pStyle w:val="StyleProp"/>
              <w:spacing w:line="180" w:lineRule="exact"/>
              <w:rPr>
                <w:color w:val="000000" w:themeColor="text1"/>
              </w:rPr>
            </w:pPr>
            <w:r w:rsidRPr="00286216">
              <w:rPr>
                <w:color w:val="000000" w:themeColor="text1"/>
              </w:rPr>
              <w:t>В абзаці 3 частини 6 статті 66 слова "Національну комісію з цінних паперів та фондового ринку про неможливість дотримання його відокремленим підрозділом зазначених вимог" замінити на "регулятора відповідного ринку (якщо це передбачено нормативно-правовими актами такого регулятора) про неможливість дотримання його відокремленим підрозділом зазначених вимог (в частині поставних товарних деривативів</w:t>
            </w:r>
            <w:r w:rsidRPr="00286216">
              <w:rPr>
                <w:color w:val="000000" w:themeColor="text1"/>
                <w:sz w:val="16"/>
                <w:szCs w:val="16"/>
              </w:rPr>
              <w:t xml:space="preserve"> – </w:t>
            </w:r>
            <w:r w:rsidRPr="00286216">
              <w:rPr>
                <w:color w:val="000000" w:themeColor="text1"/>
              </w:rPr>
              <w:t>здійснити заходи, встановлені законодавством про товарні ринки)".</w:t>
            </w:r>
          </w:p>
        </w:tc>
        <w:tc>
          <w:tcPr>
            <w:tcW w:w="1987" w:type="dxa"/>
          </w:tcPr>
          <w:p w14:paraId="2476A8A1" w14:textId="77777777" w:rsidR="00F97573" w:rsidRPr="00286216" w:rsidRDefault="00F97573" w:rsidP="00F97573">
            <w:pPr>
              <w:pStyle w:val="StyleWisnow"/>
              <w:rPr>
                <w:color w:val="000000" w:themeColor="text1"/>
              </w:rPr>
            </w:pPr>
            <w:r w:rsidRPr="00286216">
              <w:rPr>
                <w:color w:val="000000" w:themeColor="text1"/>
              </w:rPr>
              <w:t>Враховано</w:t>
            </w:r>
          </w:p>
          <w:p w14:paraId="772FDBD0" w14:textId="77777777" w:rsidR="00F97573" w:rsidRPr="00286216" w:rsidRDefault="00F97573" w:rsidP="00F97573">
            <w:pPr>
              <w:pStyle w:val="StyleWisnow"/>
              <w:rPr>
                <w:color w:val="000000" w:themeColor="text1"/>
              </w:rPr>
            </w:pPr>
          </w:p>
          <w:p w14:paraId="67F1DF05" w14:textId="77777777" w:rsidR="00F97573" w:rsidRPr="00286216" w:rsidRDefault="00F97573" w:rsidP="00F97573">
            <w:pPr>
              <w:pStyle w:val="StyleWisnow"/>
              <w:rPr>
                <w:color w:val="000000" w:themeColor="text1"/>
              </w:rPr>
            </w:pPr>
            <w:r w:rsidRPr="00286216">
              <w:rPr>
                <w:color w:val="000000" w:themeColor="text1"/>
              </w:rPr>
              <w:t>Відхилено</w:t>
            </w:r>
          </w:p>
          <w:p w14:paraId="4505AC9D" w14:textId="77777777" w:rsidR="00F97573" w:rsidRPr="00286216" w:rsidRDefault="00F97573" w:rsidP="00F97573">
            <w:pPr>
              <w:pStyle w:val="StyleWisnow"/>
              <w:spacing w:line="180" w:lineRule="exact"/>
              <w:rPr>
                <w:color w:val="000000" w:themeColor="text1"/>
              </w:rPr>
            </w:pPr>
            <w:r w:rsidRPr="00286216">
              <w:rPr>
                <w:color w:val="000000" w:themeColor="text1"/>
              </w:rPr>
              <w:t>у зв'язку із зміною редакції та виключенням абзацу</w:t>
            </w:r>
          </w:p>
        </w:tc>
        <w:tc>
          <w:tcPr>
            <w:tcW w:w="4818" w:type="dxa"/>
          </w:tcPr>
          <w:p w14:paraId="05BBEF29" w14:textId="77777777" w:rsidR="00F97573" w:rsidRPr="00286216" w:rsidRDefault="00F97573" w:rsidP="00F97573">
            <w:pPr>
              <w:pStyle w:val="StyleZakonu"/>
              <w:rPr>
                <w:color w:val="000000" w:themeColor="text1"/>
              </w:rPr>
            </w:pPr>
          </w:p>
        </w:tc>
      </w:tr>
      <w:tr w:rsidR="00F97573" w:rsidRPr="00286216" w14:paraId="3DE3AB73" w14:textId="77777777" w:rsidTr="00091AA5">
        <w:tc>
          <w:tcPr>
            <w:tcW w:w="576" w:type="dxa"/>
          </w:tcPr>
          <w:p w14:paraId="4EA34612" w14:textId="77777777" w:rsidR="00F97573" w:rsidRPr="00286216" w:rsidRDefault="00F97573" w:rsidP="00F97573">
            <w:pPr>
              <w:pStyle w:val="StyleWisnow"/>
              <w:rPr>
                <w:color w:val="000000" w:themeColor="text1"/>
              </w:rPr>
            </w:pPr>
            <w:bookmarkStart w:id="873" w:name="n1150" w:colFirst="0" w:colLast="0"/>
            <w:bookmarkEnd w:id="872"/>
            <w:r w:rsidRPr="00286216">
              <w:rPr>
                <w:color w:val="000000" w:themeColor="text1"/>
              </w:rPr>
              <w:t>1150.</w:t>
            </w:r>
          </w:p>
        </w:tc>
        <w:tc>
          <w:tcPr>
            <w:tcW w:w="4818" w:type="dxa"/>
          </w:tcPr>
          <w:p w14:paraId="68C3FD73" w14:textId="77777777" w:rsidR="00F97573" w:rsidRPr="00286216" w:rsidRDefault="00F97573" w:rsidP="00F97573">
            <w:pPr>
              <w:pStyle w:val="StyleZakonu"/>
              <w:rPr>
                <w:color w:val="000000" w:themeColor="text1"/>
              </w:rPr>
            </w:pPr>
            <w:r w:rsidRPr="00286216">
              <w:rPr>
                <w:color w:val="000000" w:themeColor="text1"/>
              </w:rPr>
              <w:t>7. Професійний учасник ринків капіталу в установленому законодавством порядку вживає заходів щодо обмеження ділових відносин або фінансових операцій з особами, що діють на території держав, які не виконують або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w:t>
            </w:r>
          </w:p>
        </w:tc>
        <w:tc>
          <w:tcPr>
            <w:tcW w:w="3686" w:type="dxa"/>
          </w:tcPr>
          <w:p w14:paraId="41DF079C" w14:textId="59942952" w:rsidR="00F97573" w:rsidRPr="00286216" w:rsidRDefault="00F97573" w:rsidP="00F97573">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635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433B58E" w14:textId="77777777" w:rsidR="00F97573" w:rsidRPr="00286216" w:rsidRDefault="00F97573" w:rsidP="00F97573">
            <w:pPr>
              <w:pStyle w:val="StyleProp"/>
              <w:rPr>
                <w:rFonts w:eastAsia="Calibri"/>
                <w:color w:val="000000" w:themeColor="text1"/>
                <w:szCs w:val="18"/>
              </w:rPr>
            </w:pPr>
            <w:r w:rsidRPr="00286216">
              <w:rPr>
                <w:rFonts w:eastAsia="Calibri"/>
                <w:color w:val="000000" w:themeColor="text1"/>
                <w:szCs w:val="18"/>
              </w:rPr>
              <w:t>Частину сьому статті 66 Закону «Про ринки капіталу та організовані товарні ринки» виключити.</w:t>
            </w:r>
          </w:p>
          <w:p w14:paraId="6EC8BFCE" w14:textId="77777777" w:rsidR="00F97573" w:rsidRPr="00286216" w:rsidRDefault="00F97573" w:rsidP="00F97573">
            <w:pPr>
              <w:pStyle w:val="StyleProp"/>
              <w:rPr>
                <w:rFonts w:eastAsia="Calibri"/>
                <w:color w:val="000000" w:themeColor="text1"/>
                <w:szCs w:val="18"/>
              </w:rPr>
            </w:pPr>
          </w:p>
          <w:p w14:paraId="2DF8B3F9" w14:textId="7D8A94BA" w:rsidR="00F97573" w:rsidRPr="00286216" w:rsidRDefault="00F97573" w:rsidP="00F97573">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636</w:t>
            </w:r>
            <w:r w:rsidRPr="00286216">
              <w:rPr>
                <w:color w:val="000000" w:themeColor="text1"/>
                <w:spacing w:val="-10"/>
              </w:rPr>
              <w:fldChar w:fldCharType="end"/>
            </w:r>
            <w:r w:rsidRPr="00286216">
              <w:rPr>
                <w:color w:val="000000" w:themeColor="text1"/>
                <w:spacing w:val="-10"/>
              </w:rPr>
              <w:t>-Н.д.Гетманцев Д.О.(Реєстр.картка №245)</w:t>
            </w:r>
          </w:p>
          <w:p w14:paraId="391D120D" w14:textId="77777777" w:rsidR="00F97573" w:rsidRPr="00286216" w:rsidRDefault="00F97573" w:rsidP="00F97573">
            <w:pPr>
              <w:pStyle w:val="StyleProp"/>
              <w:rPr>
                <w:rFonts w:eastAsia="Calibri"/>
                <w:color w:val="000000" w:themeColor="text1"/>
                <w:szCs w:val="18"/>
              </w:rPr>
            </w:pPr>
            <w:r w:rsidRPr="00286216">
              <w:rPr>
                <w:color w:val="000000" w:themeColor="text1"/>
              </w:rPr>
              <w:t>У статті 66 частину сьому виключити.</w:t>
            </w:r>
          </w:p>
        </w:tc>
        <w:tc>
          <w:tcPr>
            <w:tcW w:w="1987" w:type="dxa"/>
          </w:tcPr>
          <w:p w14:paraId="2B4A5836"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w:t>
            </w:r>
          </w:p>
          <w:p w14:paraId="5E26E123" w14:textId="77777777" w:rsidR="00F97573" w:rsidRPr="00286216" w:rsidRDefault="00F97573" w:rsidP="00F97573">
            <w:pPr>
              <w:pStyle w:val="StyleWisnow"/>
              <w:spacing w:line="180" w:lineRule="exact"/>
              <w:rPr>
                <w:color w:val="000000" w:themeColor="text1"/>
              </w:rPr>
            </w:pPr>
          </w:p>
          <w:p w14:paraId="1497ED89" w14:textId="77777777" w:rsidR="00F97573" w:rsidRPr="00286216" w:rsidRDefault="00F97573" w:rsidP="00F97573">
            <w:pPr>
              <w:pStyle w:val="StyleWisnow"/>
              <w:spacing w:line="180" w:lineRule="exact"/>
              <w:rPr>
                <w:color w:val="000000" w:themeColor="text1"/>
              </w:rPr>
            </w:pPr>
          </w:p>
          <w:p w14:paraId="238050E0" w14:textId="77777777" w:rsidR="00F97573" w:rsidRPr="00286216" w:rsidRDefault="00F97573" w:rsidP="00F97573">
            <w:pPr>
              <w:pStyle w:val="StyleWisnow"/>
              <w:spacing w:line="180" w:lineRule="exact"/>
              <w:rPr>
                <w:color w:val="000000" w:themeColor="text1"/>
              </w:rPr>
            </w:pPr>
          </w:p>
          <w:p w14:paraId="0CAB6C62" w14:textId="77777777" w:rsidR="00F97573" w:rsidRPr="00286216" w:rsidRDefault="00F97573" w:rsidP="00F97573">
            <w:pPr>
              <w:pStyle w:val="StyleWisnow"/>
              <w:spacing w:line="180" w:lineRule="exact"/>
              <w:rPr>
                <w:color w:val="000000" w:themeColor="text1"/>
              </w:rPr>
            </w:pPr>
          </w:p>
          <w:p w14:paraId="1902FFB5" w14:textId="77777777" w:rsidR="00F97573" w:rsidRPr="00286216" w:rsidRDefault="00F97573" w:rsidP="00F97573">
            <w:pPr>
              <w:pStyle w:val="StyleWisnow"/>
              <w:spacing w:line="180" w:lineRule="exact"/>
              <w:rPr>
                <w:color w:val="000000" w:themeColor="text1"/>
              </w:rPr>
            </w:pPr>
          </w:p>
          <w:p w14:paraId="23189387" w14:textId="77777777" w:rsidR="00F97573" w:rsidRPr="00286216" w:rsidRDefault="00F97573" w:rsidP="00F97573">
            <w:pPr>
              <w:pStyle w:val="StyleWisnow"/>
              <w:spacing w:line="180" w:lineRule="exact"/>
              <w:rPr>
                <w:color w:val="000000" w:themeColor="text1"/>
              </w:rPr>
            </w:pPr>
            <w:r w:rsidRPr="00286216">
              <w:rPr>
                <w:color w:val="000000" w:themeColor="text1"/>
              </w:rPr>
              <w:t>Враховано</w:t>
            </w:r>
          </w:p>
        </w:tc>
        <w:tc>
          <w:tcPr>
            <w:tcW w:w="4818" w:type="dxa"/>
          </w:tcPr>
          <w:p w14:paraId="00E0748B" w14:textId="77777777" w:rsidR="00F97573" w:rsidRPr="00286216" w:rsidRDefault="00F97573" w:rsidP="00F97573">
            <w:pPr>
              <w:pStyle w:val="StyleZakonu"/>
              <w:rPr>
                <w:color w:val="000000" w:themeColor="text1"/>
              </w:rPr>
            </w:pPr>
          </w:p>
        </w:tc>
      </w:tr>
      <w:tr w:rsidR="00F97573" w:rsidRPr="00286216" w14:paraId="7DF886C4" w14:textId="77777777" w:rsidTr="00091AA5">
        <w:tc>
          <w:tcPr>
            <w:tcW w:w="576" w:type="dxa"/>
          </w:tcPr>
          <w:p w14:paraId="62352209" w14:textId="77777777" w:rsidR="00F97573" w:rsidRPr="00286216" w:rsidRDefault="00F97573" w:rsidP="00F97573">
            <w:pPr>
              <w:pStyle w:val="StyleWisnow"/>
              <w:rPr>
                <w:color w:val="000000" w:themeColor="text1"/>
              </w:rPr>
            </w:pPr>
          </w:p>
        </w:tc>
        <w:tc>
          <w:tcPr>
            <w:tcW w:w="4818" w:type="dxa"/>
          </w:tcPr>
          <w:p w14:paraId="2B678E9C" w14:textId="77777777" w:rsidR="00F97573" w:rsidRPr="00286216" w:rsidRDefault="00F97573" w:rsidP="00F97573">
            <w:pPr>
              <w:pStyle w:val="StyleZakonu"/>
              <w:rPr>
                <w:color w:val="000000" w:themeColor="text1"/>
              </w:rPr>
            </w:pPr>
          </w:p>
        </w:tc>
        <w:tc>
          <w:tcPr>
            <w:tcW w:w="3686" w:type="dxa"/>
          </w:tcPr>
          <w:p w14:paraId="3ED6BA42" w14:textId="542D5756" w:rsidR="00F97573" w:rsidRPr="00286216" w:rsidRDefault="00F97573" w:rsidP="00F97573">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637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EB449AC" w14:textId="77777777" w:rsidR="00F97573" w:rsidRPr="00286216" w:rsidRDefault="00F97573" w:rsidP="00F97573">
            <w:pPr>
              <w:pStyle w:val="StyleProp"/>
              <w:spacing w:line="180" w:lineRule="exact"/>
              <w:rPr>
                <w:color w:val="000000" w:themeColor="text1"/>
              </w:rPr>
            </w:pPr>
            <w:r w:rsidRPr="00286216">
              <w:rPr>
                <w:color w:val="000000" w:themeColor="text1"/>
              </w:rPr>
              <w:t>Доповнити статтю 66 новою частиною сьомою такого змісту:</w:t>
            </w:r>
          </w:p>
          <w:p w14:paraId="757B2133" w14:textId="77777777" w:rsidR="00F97573" w:rsidRPr="00286216" w:rsidRDefault="00F97573" w:rsidP="00F97573">
            <w:pPr>
              <w:pStyle w:val="StyleProp"/>
              <w:spacing w:line="180" w:lineRule="exact"/>
              <w:rPr>
                <w:color w:val="000000" w:themeColor="text1"/>
                <w:spacing w:val="-2"/>
              </w:rPr>
            </w:pPr>
            <w:r w:rsidRPr="00286216">
              <w:rPr>
                <w:color w:val="000000" w:themeColor="text1"/>
                <w:spacing w:val="-2"/>
              </w:rPr>
              <w:t xml:space="preserve">«7. За умови реєстрації Національною комісією з цінних паперів та фондового ринку об’єднання професійних учасників ринків капіталу як саморегулівної організації за відповідним видом професійної діяльності, членство всіх професійних учасників ринків капіталу, які провадять відповідний вид професійної діяльності на ринках капіталу, в саморегулівній організації, що об’єднує професійних учасників ринків капіталу за цим </w:t>
            </w:r>
            <w:r w:rsidRPr="00286216">
              <w:rPr>
                <w:color w:val="000000" w:themeColor="text1"/>
                <w:spacing w:val="-2"/>
              </w:rPr>
              <w:lastRenderedPageBreak/>
              <w:t>видом професійної діяльності, є обов’язковим.</w:t>
            </w:r>
          </w:p>
          <w:p w14:paraId="0FB599F1" w14:textId="77777777" w:rsidR="00F97573" w:rsidRPr="00286216" w:rsidRDefault="00F97573" w:rsidP="00F97573">
            <w:pPr>
              <w:pStyle w:val="StyleProp"/>
              <w:spacing w:line="180" w:lineRule="exact"/>
              <w:rPr>
                <w:color w:val="000000" w:themeColor="text1"/>
                <w:spacing w:val="-1"/>
              </w:rPr>
            </w:pPr>
            <w:r w:rsidRPr="00286216">
              <w:rPr>
                <w:color w:val="000000" w:themeColor="text1"/>
                <w:spacing w:val="-1"/>
              </w:rPr>
              <w:t>У разі відсутності об’єднання професійних учасників ринків капіталу, зареєстрованого Національною комісією з цінних паперів та фондового ринку як саморегулівна організація за відповідним видом професійної діяльності, членство професійних учасників ринків капіталу в об’єднанні професійних учасників фондового ринку за цим видом діяльності є добровільним».</w:t>
            </w:r>
          </w:p>
          <w:p w14:paraId="44DF6221" w14:textId="77777777" w:rsidR="00F97573" w:rsidRPr="00286216" w:rsidRDefault="00F97573" w:rsidP="00F97573">
            <w:pPr>
              <w:pStyle w:val="StyleProp"/>
              <w:spacing w:line="180" w:lineRule="exact"/>
              <w:rPr>
                <w:color w:val="000000" w:themeColor="text1"/>
                <w:spacing w:val="-1"/>
              </w:rPr>
            </w:pPr>
            <w:r w:rsidRPr="00286216">
              <w:rPr>
                <w:color w:val="000000" w:themeColor="text1"/>
                <w:spacing w:val="-1"/>
              </w:rPr>
              <w:t>Крім того, пропонується доповнити положеннями з належними реєстраційними процедурами щодо забезпечення викладеної вище правки, а саме доповнити підрозділ щодо змісту заяви про отримання ліцензії такими відомостями:</w:t>
            </w:r>
          </w:p>
          <w:p w14:paraId="48C472F1" w14:textId="77777777" w:rsidR="00F97573" w:rsidRPr="00286216" w:rsidRDefault="00F97573" w:rsidP="00F97573">
            <w:pPr>
              <w:pStyle w:val="StyleProp"/>
              <w:spacing w:line="180" w:lineRule="exact"/>
              <w:rPr>
                <w:color w:val="000000" w:themeColor="text1"/>
              </w:rPr>
            </w:pPr>
            <w:r w:rsidRPr="00286216">
              <w:rPr>
                <w:color w:val="000000" w:themeColor="text1"/>
                <w:spacing w:val="-1"/>
              </w:rPr>
              <w:t>"3) реквізити подання саморегулівної організації за відповідним видом професійної діяльності (за умови реєстрації Національною комісією з цінних паперів та фондового ринку об’єднання професійних учасників ринків капіталу як саморегулівної організації за відповідним видом професійної діяльності)".</w:t>
            </w:r>
          </w:p>
        </w:tc>
        <w:tc>
          <w:tcPr>
            <w:tcW w:w="1987" w:type="dxa"/>
          </w:tcPr>
          <w:p w14:paraId="337A510E" w14:textId="77777777" w:rsidR="00F97573" w:rsidRPr="00286216" w:rsidRDefault="00F97573" w:rsidP="00F97573">
            <w:pPr>
              <w:pStyle w:val="StyleWisnow"/>
              <w:spacing w:line="180" w:lineRule="exact"/>
              <w:rPr>
                <w:color w:val="000000" w:themeColor="text1"/>
              </w:rPr>
            </w:pPr>
            <w:r w:rsidRPr="00286216">
              <w:rPr>
                <w:color w:val="000000" w:themeColor="text1"/>
              </w:rPr>
              <w:lastRenderedPageBreak/>
              <w:t>Враховано редакційно</w:t>
            </w:r>
          </w:p>
          <w:p w14:paraId="76846731" w14:textId="77777777" w:rsidR="00F97573" w:rsidRPr="00286216" w:rsidRDefault="00F97573" w:rsidP="00F97573">
            <w:pPr>
              <w:pStyle w:val="StyleWisnow"/>
              <w:spacing w:line="180" w:lineRule="exact"/>
              <w:rPr>
                <w:color w:val="000000" w:themeColor="text1"/>
              </w:rPr>
            </w:pPr>
            <w:r w:rsidRPr="00286216">
              <w:rPr>
                <w:color w:val="000000" w:themeColor="text1"/>
              </w:rPr>
              <w:t>з врахуванням частини поправки в редакції статті 67</w:t>
            </w:r>
          </w:p>
        </w:tc>
        <w:tc>
          <w:tcPr>
            <w:tcW w:w="4818" w:type="dxa"/>
          </w:tcPr>
          <w:p w14:paraId="26EAC51A" w14:textId="77777777" w:rsidR="00F97573" w:rsidRPr="00286216" w:rsidRDefault="00F97573" w:rsidP="00F97573">
            <w:pPr>
              <w:pStyle w:val="StyleZakonu"/>
              <w:rPr>
                <w:color w:val="000000" w:themeColor="text1"/>
              </w:rPr>
            </w:pPr>
            <w:r w:rsidRPr="00286216">
              <w:rPr>
                <w:color w:val="000000" w:themeColor="text1"/>
              </w:rPr>
              <w:t>8. За умови реєстрації Національною комісією з цінних паперів та фондового ринку об’єднання професійних учасників ринків капіталу як саморегулівної організації за відповідним видом професійної діяльності, членство всіх професійних учасників ринків капіталу, які провадять відповідний вид професійної діяльності на ринках капіталу, у саморегулівній організації, що об’єднує професійних учасників ринків капіталу за цим видом професійної діяльності, є обов’язковим.</w:t>
            </w:r>
          </w:p>
          <w:p w14:paraId="1A16F66E" w14:textId="17982B33" w:rsidR="00F97573" w:rsidRPr="00286216" w:rsidRDefault="00F97573" w:rsidP="00F97573">
            <w:pPr>
              <w:pStyle w:val="StyleZakonu"/>
              <w:rPr>
                <w:color w:val="000000" w:themeColor="text1"/>
              </w:rPr>
            </w:pPr>
            <w:r w:rsidRPr="00286216">
              <w:rPr>
                <w:color w:val="000000" w:themeColor="text1"/>
                <w:spacing w:val="-1"/>
              </w:rPr>
              <w:t xml:space="preserve">У разі відсутності об’єднання професійних </w:t>
            </w:r>
            <w:r w:rsidRPr="00286216">
              <w:rPr>
                <w:color w:val="000000" w:themeColor="text1"/>
                <w:spacing w:val="-1"/>
              </w:rPr>
              <w:lastRenderedPageBreak/>
              <w:t>учасників ринків капіталу, зареєстрованого Національною комісією з цінних паперів та фондового ринку як саморегулівна організація за відповідним видом професійної діяльності, членство професійних учасників ринків капіталу в об’єднанні професійних учасників фондового ринку за цим видом діяльності є добровільним.</w:t>
            </w:r>
          </w:p>
        </w:tc>
      </w:tr>
      <w:tr w:rsidR="00F97573" w:rsidRPr="00286216" w14:paraId="083418D5" w14:textId="77777777" w:rsidTr="00091AA5">
        <w:tc>
          <w:tcPr>
            <w:tcW w:w="576" w:type="dxa"/>
          </w:tcPr>
          <w:p w14:paraId="4256FEDF" w14:textId="77777777" w:rsidR="00F97573" w:rsidRPr="00286216" w:rsidRDefault="00F97573" w:rsidP="00F97573">
            <w:pPr>
              <w:pStyle w:val="StyleWisnow"/>
              <w:rPr>
                <w:color w:val="000000" w:themeColor="text1"/>
              </w:rPr>
            </w:pPr>
          </w:p>
        </w:tc>
        <w:tc>
          <w:tcPr>
            <w:tcW w:w="4818" w:type="dxa"/>
          </w:tcPr>
          <w:p w14:paraId="1E7C799F" w14:textId="77777777" w:rsidR="00F97573" w:rsidRPr="00286216" w:rsidRDefault="00F97573" w:rsidP="00F97573">
            <w:pPr>
              <w:pStyle w:val="StyleZakonu"/>
              <w:rPr>
                <w:color w:val="000000" w:themeColor="text1"/>
              </w:rPr>
            </w:pPr>
          </w:p>
        </w:tc>
        <w:tc>
          <w:tcPr>
            <w:tcW w:w="3686" w:type="dxa"/>
          </w:tcPr>
          <w:p w14:paraId="28527C9D" w14:textId="3F0F9204"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638</w:t>
            </w:r>
            <w:r w:rsidRPr="00286216">
              <w:rPr>
                <w:color w:val="000000" w:themeColor="text1"/>
              </w:rPr>
              <w:fldChar w:fldCharType="end"/>
            </w:r>
            <w:r w:rsidRPr="00286216">
              <w:rPr>
                <w:color w:val="000000" w:themeColor="text1"/>
              </w:rPr>
              <w:t>-Н.д.Шахов С.В. (Реєстр.картка №114)</w:t>
            </w:r>
          </w:p>
          <w:p w14:paraId="7F83612F" w14:textId="77777777" w:rsidR="00F97573" w:rsidRPr="00286216" w:rsidRDefault="00F97573" w:rsidP="00F97573">
            <w:pPr>
              <w:pStyle w:val="StyleProp"/>
              <w:rPr>
                <w:color w:val="000000" w:themeColor="text1"/>
              </w:rPr>
            </w:pPr>
            <w:r w:rsidRPr="00286216">
              <w:rPr>
                <w:color w:val="000000" w:themeColor="text1"/>
              </w:rPr>
              <w:t>Статтю 66 доповнити новою частиною такого змісту:</w:t>
            </w:r>
          </w:p>
          <w:p w14:paraId="6E343338"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"8. Вимоги, встановлені у цій статті,  застосовуються до товарних бірж, операторів регульованих товарних ринків, професійних учасників ринків капіталу та до осіб, які мають істотну участь у зазначених суб’єктах господарювання, виключно в межах, що не суперечать Закону України «Про товарну біржу» та законодавству про товарні ринки".</w:t>
            </w:r>
          </w:p>
        </w:tc>
        <w:tc>
          <w:tcPr>
            <w:tcW w:w="1987" w:type="dxa"/>
          </w:tcPr>
          <w:p w14:paraId="639DE1F4" w14:textId="77777777" w:rsidR="00F97573" w:rsidRPr="00286216" w:rsidRDefault="00F97573" w:rsidP="00F97573">
            <w:pPr>
              <w:pStyle w:val="StyleWisnow"/>
              <w:spacing w:line="180" w:lineRule="exact"/>
              <w:rPr>
                <w:color w:val="000000" w:themeColor="text1"/>
              </w:rPr>
            </w:pPr>
            <w:r w:rsidRPr="00286216">
              <w:rPr>
                <w:color w:val="000000" w:themeColor="text1"/>
              </w:rPr>
              <w:t>Відхилено</w:t>
            </w:r>
          </w:p>
          <w:p w14:paraId="24CA8546" w14:textId="5270A52A" w:rsidR="00F97573" w:rsidRPr="00286216" w:rsidRDefault="00F97573" w:rsidP="00F97573">
            <w:pPr>
              <w:pStyle w:val="StyleWisnow"/>
              <w:spacing w:line="180" w:lineRule="exact"/>
              <w:rPr>
                <w:color w:val="000000" w:themeColor="text1"/>
              </w:rPr>
            </w:pPr>
            <w:r w:rsidRPr="00286216">
              <w:rPr>
                <w:color w:val="000000" w:themeColor="text1"/>
              </w:rPr>
              <w:t>ринки капіталу та товарні біржі, відповідно до статті 2, якою визначена сфера дії цього Закону, належать до виключної регуляторної компетенції НКЦПФР, окрім того, ці субʼєкти мають однорівневі вимоги до професійної діяльності</w:t>
            </w:r>
          </w:p>
        </w:tc>
        <w:tc>
          <w:tcPr>
            <w:tcW w:w="4818" w:type="dxa"/>
          </w:tcPr>
          <w:p w14:paraId="0867910B" w14:textId="77777777" w:rsidR="00F97573" w:rsidRPr="00286216" w:rsidRDefault="00F97573" w:rsidP="00F97573">
            <w:pPr>
              <w:pStyle w:val="StyleZakonu"/>
              <w:rPr>
                <w:color w:val="000000" w:themeColor="text1"/>
              </w:rPr>
            </w:pPr>
          </w:p>
        </w:tc>
      </w:tr>
      <w:tr w:rsidR="00F97573" w:rsidRPr="00286216" w14:paraId="51E2DFFA" w14:textId="77777777" w:rsidTr="00091AA5">
        <w:tc>
          <w:tcPr>
            <w:tcW w:w="576" w:type="dxa"/>
          </w:tcPr>
          <w:p w14:paraId="51A961F1" w14:textId="77777777" w:rsidR="00F97573" w:rsidRPr="00286216" w:rsidRDefault="00F97573" w:rsidP="00F97573">
            <w:pPr>
              <w:pStyle w:val="StyleWisnow"/>
              <w:rPr>
                <w:color w:val="000000" w:themeColor="text1"/>
              </w:rPr>
            </w:pPr>
            <w:bookmarkStart w:id="874" w:name="n1151" w:colFirst="0" w:colLast="0"/>
            <w:bookmarkEnd w:id="873"/>
            <w:r w:rsidRPr="00286216">
              <w:rPr>
                <w:color w:val="000000" w:themeColor="text1"/>
              </w:rPr>
              <w:t>1151.</w:t>
            </w:r>
          </w:p>
        </w:tc>
        <w:tc>
          <w:tcPr>
            <w:tcW w:w="4818" w:type="dxa"/>
          </w:tcPr>
          <w:p w14:paraId="6A1F4E17" w14:textId="77777777" w:rsidR="00F97573" w:rsidRPr="00286216" w:rsidRDefault="00F97573" w:rsidP="00F97573">
            <w:pPr>
              <w:pStyle w:val="StyleZakonu"/>
              <w:rPr>
                <w:color w:val="000000" w:themeColor="text1"/>
              </w:rPr>
            </w:pPr>
            <w:bookmarkStart w:id="875" w:name="_Ref18062494"/>
            <w:r w:rsidRPr="00286216">
              <w:rPr>
                <w:color w:val="000000" w:themeColor="text1"/>
              </w:rPr>
              <w:t>Стаття 67. Ліцензування професійної діяльності на ринках капіталу та організованих товарних ринках</w:t>
            </w:r>
            <w:bookmarkEnd w:id="875"/>
          </w:p>
        </w:tc>
        <w:tc>
          <w:tcPr>
            <w:tcW w:w="3686" w:type="dxa"/>
          </w:tcPr>
          <w:p w14:paraId="4E03A5A4" w14:textId="77777777" w:rsidR="00F97573" w:rsidRPr="00286216" w:rsidRDefault="00F97573" w:rsidP="00F97573">
            <w:pPr>
              <w:pStyle w:val="StyleProp"/>
              <w:rPr>
                <w:color w:val="000000" w:themeColor="text1"/>
                <w:szCs w:val="18"/>
              </w:rPr>
            </w:pPr>
          </w:p>
        </w:tc>
        <w:tc>
          <w:tcPr>
            <w:tcW w:w="1987" w:type="dxa"/>
          </w:tcPr>
          <w:p w14:paraId="7CF663E2" w14:textId="77777777" w:rsidR="00F97573" w:rsidRPr="00286216" w:rsidRDefault="00F97573" w:rsidP="00F97573">
            <w:pPr>
              <w:pStyle w:val="StyleWisnow"/>
              <w:spacing w:line="180" w:lineRule="exact"/>
              <w:rPr>
                <w:color w:val="000000" w:themeColor="text1"/>
              </w:rPr>
            </w:pPr>
          </w:p>
        </w:tc>
        <w:tc>
          <w:tcPr>
            <w:tcW w:w="4818" w:type="dxa"/>
          </w:tcPr>
          <w:p w14:paraId="1362D71B" w14:textId="6901BB4F" w:rsidR="00F97573" w:rsidRPr="00286216" w:rsidRDefault="00F97573" w:rsidP="00F97573">
            <w:pPr>
              <w:pStyle w:val="StyleZakonu"/>
              <w:rPr>
                <w:color w:val="000000" w:themeColor="text1"/>
                <w:szCs w:val="18"/>
              </w:rPr>
            </w:pPr>
            <w:r w:rsidRPr="00286216">
              <w:rPr>
                <w:color w:val="000000" w:themeColor="text1"/>
              </w:rPr>
              <w:t>Стаття 71. Ліцензування професійної діяльності на ринках капіталу та організованих товарних ринках</w:t>
            </w:r>
          </w:p>
        </w:tc>
      </w:tr>
      <w:tr w:rsidR="00F97573" w:rsidRPr="00286216" w14:paraId="47253A03" w14:textId="77777777" w:rsidTr="00091AA5">
        <w:tc>
          <w:tcPr>
            <w:tcW w:w="576" w:type="dxa"/>
          </w:tcPr>
          <w:p w14:paraId="07B76A5E" w14:textId="77777777" w:rsidR="00F97573" w:rsidRPr="00286216" w:rsidRDefault="00F97573" w:rsidP="00F97573">
            <w:pPr>
              <w:pStyle w:val="StyleWisnow"/>
              <w:rPr>
                <w:color w:val="000000" w:themeColor="text1"/>
              </w:rPr>
            </w:pPr>
            <w:bookmarkStart w:id="876" w:name="n1152" w:colFirst="0" w:colLast="0"/>
            <w:bookmarkEnd w:id="874"/>
            <w:r w:rsidRPr="00286216">
              <w:rPr>
                <w:color w:val="000000" w:themeColor="text1"/>
              </w:rPr>
              <w:t>1152.</w:t>
            </w:r>
          </w:p>
        </w:tc>
        <w:tc>
          <w:tcPr>
            <w:tcW w:w="4818" w:type="dxa"/>
          </w:tcPr>
          <w:p w14:paraId="227844E2" w14:textId="77777777" w:rsidR="00F97573" w:rsidRPr="00286216" w:rsidRDefault="00F97573" w:rsidP="00F97573">
            <w:pPr>
              <w:pStyle w:val="StyleZakonu"/>
              <w:rPr>
                <w:color w:val="000000" w:themeColor="text1"/>
              </w:rPr>
            </w:pPr>
            <w:r w:rsidRPr="00286216">
              <w:rPr>
                <w:color w:val="000000" w:themeColor="text1"/>
              </w:rPr>
              <w:t>1. Юридична особа набуває статусу професійного учасника ринків капіталу та організованих товарних ринків і права на провадження певного виду професійної діяльності на ринках капіталу та організованих товарних ринках (крім Центрального депозитарію цінних паперів та Національного банку України) виключно після отримання ліцензії на провадження відповідного виду професійної діяльності на ринках капіталу та організованих товарних ринках.</w:t>
            </w:r>
          </w:p>
        </w:tc>
        <w:tc>
          <w:tcPr>
            <w:tcW w:w="3686" w:type="dxa"/>
          </w:tcPr>
          <w:p w14:paraId="7AF7566F" w14:textId="5F77C7C0" w:rsidR="00F97573" w:rsidRPr="00286216" w:rsidRDefault="00F97573" w:rsidP="00F9757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DBBD356" w14:textId="77777777" w:rsidR="00F97573" w:rsidRPr="00286216" w:rsidRDefault="00F97573" w:rsidP="00F97573">
            <w:pPr>
              <w:pStyle w:val="StyleProp"/>
              <w:spacing w:line="190" w:lineRule="exact"/>
              <w:rPr>
                <w:color w:val="000000" w:themeColor="text1"/>
                <w:szCs w:val="18"/>
              </w:rPr>
            </w:pPr>
            <w:r w:rsidRPr="00286216">
              <w:rPr>
                <w:color w:val="000000" w:themeColor="text1"/>
                <w:szCs w:val="18"/>
              </w:rPr>
              <w:t xml:space="preserve">Статтю 67 викласти в такій редакції: </w:t>
            </w:r>
          </w:p>
          <w:p w14:paraId="29A7838E" w14:textId="77777777" w:rsidR="00F97573" w:rsidRPr="00286216" w:rsidRDefault="00F97573" w:rsidP="00F97573">
            <w:pPr>
              <w:pStyle w:val="StyleProp"/>
              <w:spacing w:line="180" w:lineRule="exact"/>
              <w:rPr>
                <w:color w:val="000000" w:themeColor="text1"/>
                <w:szCs w:val="18"/>
              </w:rPr>
            </w:pPr>
            <w:r w:rsidRPr="00286216">
              <w:rPr>
                <w:color w:val="000000" w:themeColor="text1"/>
                <w:szCs w:val="18"/>
              </w:rPr>
              <w:t>«Стаття 67. Ліцензування професійної діяльності на ринках капіталу та організованих товарних ринках</w:t>
            </w:r>
          </w:p>
          <w:p w14:paraId="1A6E951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 Юридична особа набуває статусу професійного учасника ринків капіталу та організованих товарних ринків і права на провадження певного виду професійної діяльності на ринках капіталу та організованих товарних ринках (крім провадження депозитарної діяльності Центрального депозитарію цінних паперів та провадження депозитарної діяльності Національного банку України) виключно після отримання ліцензії на провадження відповідного виду </w:t>
            </w:r>
            <w:r w:rsidRPr="00286216">
              <w:rPr>
                <w:color w:val="000000" w:themeColor="text1"/>
                <w:spacing w:val="-2"/>
                <w:szCs w:val="18"/>
              </w:rPr>
              <w:lastRenderedPageBreak/>
              <w:t>професійної діяльності на ринках капіталу та організованих товарних ринках.</w:t>
            </w:r>
          </w:p>
          <w:p w14:paraId="1F593C50" w14:textId="77777777" w:rsidR="00F97573" w:rsidRPr="00286216" w:rsidRDefault="00F97573" w:rsidP="00F97573">
            <w:pPr>
              <w:pStyle w:val="StyleProp"/>
              <w:spacing w:line="190" w:lineRule="exact"/>
              <w:rPr>
                <w:color w:val="000000" w:themeColor="text1"/>
                <w:spacing w:val="-5"/>
                <w:szCs w:val="18"/>
              </w:rPr>
            </w:pPr>
            <w:r w:rsidRPr="00286216">
              <w:rPr>
                <w:color w:val="000000" w:themeColor="text1"/>
                <w:spacing w:val="-5"/>
                <w:szCs w:val="18"/>
              </w:rPr>
              <w:t>Національна комісія з цінних паперів та фондового ринку вносить інформацію про отримання ліцензії на провадження відповідного виду професійної діяльності на ринках капіталу та організованих товарних ринках до реєстру професійних учасників ринків капіталу та організованих товарних ринків.</w:t>
            </w:r>
          </w:p>
          <w:p w14:paraId="3D6B971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Провадження професійної діяльності на ринках капіталу та організованих товарних ринках без отримання зазначеної ліцензії забороняється, крім здійснення такої діяльності наступними особами:</w:t>
            </w:r>
          </w:p>
          <w:p w14:paraId="638F1E05" w14:textId="77777777" w:rsidR="00F97573" w:rsidRPr="00286216" w:rsidRDefault="00F97573" w:rsidP="00F97573">
            <w:pPr>
              <w:pStyle w:val="StyleProp"/>
              <w:spacing w:line="190" w:lineRule="exact"/>
              <w:rPr>
                <w:color w:val="000000" w:themeColor="text1"/>
                <w:spacing w:val="-4"/>
                <w:szCs w:val="18"/>
              </w:rPr>
            </w:pPr>
            <w:r w:rsidRPr="00286216">
              <w:rPr>
                <w:color w:val="000000" w:themeColor="text1"/>
                <w:spacing w:val="-4"/>
                <w:szCs w:val="18"/>
              </w:rPr>
              <w:t xml:space="preserve">1) особами, що провадять діяльність, передбачену частиною шістнадцять статті 42 цього Закону, </w:t>
            </w:r>
          </w:p>
          <w:p w14:paraId="047FA486" w14:textId="77777777" w:rsidR="00F97573" w:rsidRPr="00286216" w:rsidRDefault="00F97573" w:rsidP="00F97573">
            <w:pPr>
              <w:pStyle w:val="StyleProp"/>
              <w:spacing w:line="190" w:lineRule="exact"/>
              <w:rPr>
                <w:color w:val="000000" w:themeColor="text1"/>
                <w:spacing w:val="-4"/>
                <w:szCs w:val="18"/>
              </w:rPr>
            </w:pPr>
            <w:r w:rsidRPr="00286216">
              <w:rPr>
                <w:color w:val="000000" w:themeColor="text1"/>
                <w:spacing w:val="-4"/>
                <w:szCs w:val="18"/>
              </w:rPr>
              <w:t>2) Центральним депозитарієм цінних паперів при провадженні ним депозитарної діяльності Центрального депозитарію цінних паперів;</w:t>
            </w:r>
          </w:p>
          <w:p w14:paraId="2FD76213" w14:textId="77777777" w:rsidR="00F97573" w:rsidRPr="00286216" w:rsidRDefault="00F97573" w:rsidP="00F97573">
            <w:pPr>
              <w:pStyle w:val="StyleProp"/>
              <w:spacing w:line="190" w:lineRule="exact"/>
              <w:rPr>
                <w:color w:val="000000" w:themeColor="text1"/>
                <w:spacing w:val="-4"/>
                <w:szCs w:val="18"/>
              </w:rPr>
            </w:pPr>
            <w:r w:rsidRPr="00286216">
              <w:rPr>
                <w:color w:val="000000" w:themeColor="text1"/>
                <w:spacing w:val="-4"/>
                <w:szCs w:val="18"/>
              </w:rPr>
              <w:t xml:space="preserve">3) Національним банком України при провадженні ним депозитарної діяльності Національного банку України. </w:t>
            </w:r>
          </w:p>
          <w:p w14:paraId="74DA51FC" w14:textId="77777777" w:rsidR="00F97573" w:rsidRPr="00286216" w:rsidRDefault="00F97573" w:rsidP="00F97573">
            <w:pPr>
              <w:pStyle w:val="StyleProp"/>
              <w:spacing w:line="190" w:lineRule="exact"/>
              <w:rPr>
                <w:color w:val="000000" w:themeColor="text1"/>
                <w:spacing w:val="-4"/>
                <w:szCs w:val="18"/>
              </w:rPr>
            </w:pPr>
            <w:r w:rsidRPr="00286216">
              <w:rPr>
                <w:color w:val="000000" w:themeColor="text1"/>
                <w:spacing w:val="-4"/>
                <w:szCs w:val="18"/>
              </w:rPr>
              <w:t>Особи, винні у порушенні вимог, зазначених у цій частині статті, несуть цивільно-правову, адміністративну або кримінальну відповідальність згідно із законом.</w:t>
            </w:r>
          </w:p>
          <w:p w14:paraId="76881DA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 Юридична особа, яка має намір провадити професійну діяльність на ринках капіталу та організованих товарних ринках (далі – заявник), для отримання ліцензії на провадження такої діяльності подає Національній комісії з цінних паперів та фондового ринку у встановленому нею порядку заяву про видачу ліцензії за формою, встановленою Національною комісією з цінних паперів та фондового ринку разом з документами, що додаються відповідно до вимог, встановлених цим Законом. </w:t>
            </w:r>
          </w:p>
          <w:p w14:paraId="5EE6086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3. Заява про видачу ліцензії повинна містити інформацію про:</w:t>
            </w:r>
          </w:p>
          <w:p w14:paraId="39DD1995"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 заявника: повне найменування, ідентифікаційний код юридичної особи, код LEI (за наявності) місцезнаходження, поштову адресу, номери засобів зв’язку, адресу електронної пошти;</w:t>
            </w:r>
          </w:p>
          <w:p w14:paraId="722B2B8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2) вид професійної діяльності на ринках капіталу та організованих товарних ринках, зазначений у статті 41 цього Закону, на провадження якого заявник має намір одержати ліцензію.</w:t>
            </w:r>
          </w:p>
          <w:p w14:paraId="7D313E3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Заява про видачу ліцензії може містити декілька видів професійної діяльності, на </w:t>
            </w:r>
            <w:r w:rsidRPr="00286216">
              <w:rPr>
                <w:color w:val="000000" w:themeColor="text1"/>
                <w:spacing w:val="-2"/>
                <w:szCs w:val="18"/>
              </w:rPr>
              <w:lastRenderedPageBreak/>
              <w:t>провадження яких заявник має намір одержати ліцензію, за умови, що поєднання видів професійної діяльності, зазначених у заяві, дозволено цим Законом.</w:t>
            </w:r>
          </w:p>
          <w:p w14:paraId="652DC1E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Заява про видачу ліцензії на провадження професійної діяльності з торгівлі фінансовими інструментами повинна містити також перелік видів діяльності з торгівлі фінансовими інструментами,  передбачених частиною першою статті 42 цього Закону, та перелік додаткових послуг, передбачених частиною другою статті 42 цього Закону, які має намір надавати заявник за умови отримання ліцензії, інформацію про наявність філій та/або намір укласти агентський договір відповідно до вимог цього Закону, твердження про наявність/відсутність наміру отримувати на власний рахунок та розпоряджатися коштами та фінансовими інструментами клієнтів.</w:t>
            </w:r>
          </w:p>
          <w:p w14:paraId="27741AED"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4. До заяви про видачу ліцензії (крім заяви про видачу ліцензії на здійснення професійної діяльності з торгівлі фінансовими інструментами) додаються:</w:t>
            </w:r>
          </w:p>
          <w:p w14:paraId="2C39BA6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 копія статуту заявника, засвідчена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у Єдиному державному реєстрі юридичних осіб, фізичних осіб-підприємців та громадських формувань;</w:t>
            </w:r>
          </w:p>
          <w:p w14:paraId="3DB200FA"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2) відомості за формою, визначеною Національною комісією з цінних паперів з цінних паперів та фондового ринку, що містять інформацію про:</w:t>
            </w:r>
          </w:p>
          <w:p w14:paraId="70DC49B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а) схематичне зображення структури власності заявника, яке дозволяє встановити кінцевих бенефіціарних власників заявника або їх відсутність;</w:t>
            </w:r>
          </w:p>
          <w:p w14:paraId="4E03E11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б) інформацію про власників істотної участі у заявнику: ідентифікаційні дані таких осіб, відсоток статутного капіталу чи права голосу, яким володіє кожен такий учасник (акціонер) у заявнику; </w:t>
            </w:r>
          </w:p>
          <w:p w14:paraId="05DF2ED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в) у випадку якщо заявник належить до фінансової групи, – інформацію про таку групу: інформацію про належність групи до банківської або небанківської фінансової групи, державний орган, що здійснює нагляд за групою, перелік учасників фінансової групи та ідентифікаційні дані відповідальної особи фінансової групи; </w:t>
            </w:r>
          </w:p>
          <w:p w14:paraId="5E1393EA"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г) ідентифікаційні дані, ділову репутацію та </w:t>
            </w:r>
            <w:r w:rsidRPr="00286216">
              <w:rPr>
                <w:color w:val="000000" w:themeColor="text1"/>
                <w:spacing w:val="-2"/>
                <w:szCs w:val="18"/>
              </w:rPr>
              <w:lastRenderedPageBreak/>
              <w:t>професійний досвід голови та членів колегіального виконавчого органу (особи, яка здійснює повноваження  одноосібного виконавчого органу), голови та членів  наглядової ради (за наявності) заявника, ділову репутацію заявника;</w:t>
            </w:r>
          </w:p>
          <w:p w14:paraId="301E543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ґ) ідентифікаційні дані, ділову репутацію та професійний досвід контролерів заявника (у випадку, якщо контролером є юридична особа – голови та членів колегіального виконавчого органу (особи, яка здійснює повноваження   одноосібного виконавчого органу), голови та членів  наглядової ради (за наявності) такої юридичної особи);</w:t>
            </w:r>
          </w:p>
          <w:p w14:paraId="1692BF5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д) початковий капітал заявника та джерела його походження; </w:t>
            </w:r>
          </w:p>
          <w:p w14:paraId="16C441C2"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3) річну та проміжну фінансову звітність, наявну станом на останній день кварталу, що передує даті подачі заяви, щодо якої суб’єктом аудиторської діяльності, який відповідає вимогам, установленим законодавством, у аудиторському звіті висловлено незалежну думку про відповідність в усіх суттєвих аспектах вимогам міжнародних стандартів фінансової звітності. Заявник, державна реєстрація якого була проведена у кварталі, в якому подається заява про видачу ліцензії, документи, передбачені цим пунктом, не подає.</w:t>
            </w:r>
          </w:p>
          <w:p w14:paraId="021B6355"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4) документи, що підтверджують здатність власника істотної участі у заявнику виконати обов’язок, передбачений частиною сімнадцятою статті 70 цього Закону. Перелік таких документів визначається заявником самостійно;</w:t>
            </w:r>
          </w:p>
          <w:p w14:paraId="6FBE5BAA"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5) відомості за формою, визначеною Національною комісією з цінних паперів з цінних паперів та фондового ринку, про наявність у заявника організаційної структури, системи внутрішнього контролю (підсистеми комплаєнсу, управління ризиками та внутрішнього аудиту), спеціалістів, обладнання, комп’ютерної техніки, програмного забезпечення та приміщень, системи та засобів, які забезпечують безперервність і постійність надання послуг, які у своїй сукупності є достатніми для забезпечення провадження відповідного виду професійної діяльності на ринках капіталу та організованих товарних ринках згідно з вимогами законодавства;</w:t>
            </w:r>
          </w:p>
          <w:p w14:paraId="74CF73E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6) внутрішні документи, що регламентують запобігання виникненню та врегулювання </w:t>
            </w:r>
            <w:r w:rsidRPr="00286216">
              <w:rPr>
                <w:color w:val="000000" w:themeColor="text1"/>
                <w:spacing w:val="-2"/>
                <w:szCs w:val="18"/>
              </w:rPr>
              <w:lastRenderedPageBreak/>
              <w:t>конфлікту інтересів, що виникає у ході провадження професійної діяльності на ринку капіталу та організованому товарному ринку, а також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559E7275"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7) внутрішні документи заявника, що регламентують провадження відповідного виду професійної діяльності;</w:t>
            </w:r>
          </w:p>
          <w:p w14:paraId="3A99D0FD"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8) копію платіжного документа, що підтверджує внесення плати за видачу ліцензії.</w:t>
            </w:r>
          </w:p>
          <w:p w14:paraId="39F355A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5. Юридична особа до заяви про видачу ліцензії на провадження професійної діяльності з торгівлі фінансовими інструментами, подану відповідно до вимог частини 3 цієї статті, додає у довільній формі, якщо інше прямо не передбачено цією частиною статті:</w:t>
            </w:r>
          </w:p>
          <w:p w14:paraId="47289B3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 копію статуту заявника, засвідчену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у Єдиному державному реєстрі юридичних осіб, фізичних осіб-підприємців та громадських формувань;</w:t>
            </w:r>
          </w:p>
          <w:p w14:paraId="7BD665E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2) відомості за формою, встановленою Національною комісією з цінних паперів з цінних паперів та фондового ринку, що містять інформацію про структуру власності та власників істотної участі у заявнику:</w:t>
            </w:r>
          </w:p>
          <w:p w14:paraId="6B0FB36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а) перелік осіб, що є власниками істотної участі у заявнику, із зазначенням відсотка статутного капіталу чи права голосу, яким володіє кожен такий учасник (акціонер), ідентифікаційних даних таких осіб, відсоток статутного капіталу чи права голосу, яким володіє кожен такий учасник (акціонер) у заявнику, а щодо осіб, які опосередковано володіють 10 і більше відсотками статутного (складеного) капіталу або права голосу придбаних акцій (часток) заявника, також ідентифікаційні дані осіб через яких забезпечується таке опосередковане володіння;</w:t>
            </w:r>
          </w:p>
          <w:p w14:paraId="5462F6B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б) документи, передбачені пунктами 2 - 16 частини дев’ятої статті 70 цього Закону щодо власників істотної участі, які є юридичними особами, та документи, передбачені пунктами 2 – 11 частини дванадцять статті 70 цього Закону щодо фізичних осіб-власників істотної </w:t>
            </w:r>
            <w:r w:rsidRPr="00286216">
              <w:rPr>
                <w:color w:val="000000" w:themeColor="text1"/>
                <w:spacing w:val="-2"/>
                <w:szCs w:val="18"/>
              </w:rPr>
              <w:lastRenderedPageBreak/>
              <w:t>участі у заявнику, а також голови та членів колегіального виконавчого органу (особи, яка здійснює повноваження одноосібного виконавчого органу) юридичної особи, що є власником істотної участі у заявнику;</w:t>
            </w:r>
          </w:p>
          <w:p w14:paraId="73A0E65C"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в) довідку щодо структури власності заявника, яка дозволяє встановити кінцевих бенефіціарних власників заявника або їх відсутність та в якій зазначається, зокрема: для юридичної особи-власника, кінцевого бенефіціарного власника заявника: повне найменування, ідентифікаційний код юридичної особи, код LEI (за наявності), для фізичної особи-власника, кінцевого бенефіціарного власника заявника: прізвище, ім’я, по батькові та реєстраційний номер облікової картки платника податків, КВЕД кожної юридичної особи, що зазначена в довідці, належність таких осіб до суб’єктів господарювання, щодо яких здійснюється державне регулювання їх основного виду економічної діяльності, та назву органу державної влади, що здійснює таке державне регулювання;</w:t>
            </w:r>
          </w:p>
          <w:p w14:paraId="7EB2439D"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г) у випадку якщо заявник належить до фінансової групи, – інформацію про таку групу: інформацію про належність групи до банківської або небанківської фінансової групи, державний орган, що здійснює нагляд за групою, перелік учасників фінансової групи та ідентифікаційні дані відповідальної особи фінансової групи;</w:t>
            </w:r>
          </w:p>
          <w:p w14:paraId="17D8E95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3) відомості за формою, встановленою Національною комісією з цінних паперів та фондового ринку (якщо інше не передбачено цим пунктом), щодо голови та членів колегіального виконавчого органу (особи, яка здійснює повноваження  одноосібного виконавчого органу), голови та членів наглядової ради (за наявності) заявника, контролерів заявника (у випадку, якщо контролером є юридична особа – голови та членів колегіального виконавчого органу (особи, яка здійснює повноваження одноосібного виконавчого органу) та будь-яких представників таких осіб, які мають право від їх імені вчиняти правочини, що пов’язані з провадженням господарської діяльності заявника: </w:t>
            </w:r>
          </w:p>
          <w:p w14:paraId="777C08C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а) ідентифікаційні дані; </w:t>
            </w:r>
          </w:p>
          <w:p w14:paraId="6C692B7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б) інформацію про ділову репутацію фізичної особи та документи, що її підтверджуються. Перелік та форма </w:t>
            </w:r>
            <w:r w:rsidRPr="00286216">
              <w:rPr>
                <w:color w:val="000000" w:themeColor="text1"/>
                <w:spacing w:val="-2"/>
                <w:szCs w:val="18"/>
              </w:rPr>
              <w:lastRenderedPageBreak/>
              <w:t xml:space="preserve">документів, що підтверджують ділову репутацію, визначається фізичною особою самостійно. Національна комісія з цінних паперів та фондового ринку може скласти орієнтовний (невиключний) перелік документів, що можуть підтверджувати репутацію фізичної особи; </w:t>
            </w:r>
          </w:p>
          <w:p w14:paraId="19B502D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в) інформацію про освіту, професійне навчання, професійний досвід роботи із зазначенням всіх організацій, де ця фізична особа працювала, характер посадових обов’язків, які дана фізична особа виконувала та час їх виконання. Щодо діяльності фізичної особи на фондовому ринку (ринку цінних паперів), ринках капіталу та товарному ринку фізична особа описує всі свої посадові обов’язки, які вона виконувала протягом останніх 10 років;</w:t>
            </w:r>
          </w:p>
          <w:p w14:paraId="503ADC2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г) інформацію у довільній формі щодо прийнятих щодо таких осіб рішень суду про позбавлення права обіймати певні посади або займатися певною діяльністю;</w:t>
            </w:r>
          </w:p>
          <w:p w14:paraId="7D1BB8A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ґ) інформацію у довільній формі про звільнення з посади за порушення законодавства про захист прав споживачів фінансових послуг;</w:t>
            </w:r>
          </w:p>
          <w:p w14:paraId="2B87B04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д) інформацію у довільній формі щодо проведення органами державної влади, або Національним банком України оцінки ділової репутації та досвіду в рамках інших передбачених законом процедур і результати такої оцінки (якщо такі відомі заявнику), із зазначенням органу, що проводив оцінку, та дати її проведення (у разі наявності);</w:t>
            </w:r>
          </w:p>
          <w:p w14:paraId="0F81F33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е) інформацію у довільній формі щодо пов’язаності близькими відносинами або спільними фінансовими інтересами (пов’язаність відносинами в рамках кредитного договору, договору гарантії або застави) з членами виконавчого органу, керівниками структурних підрозділів заявника, його материнського та дочірніх підприємств (за наявності таких підприємств), а також власниками істотної участі в статутному капіталі заявника; </w:t>
            </w:r>
          </w:p>
          <w:p w14:paraId="075BC4D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є) результати проведення внутрішньої оцінки таких осіб на предмет відповідності займаній посаді та вимогам, встановленим законодавством (у разі наявності);</w:t>
            </w:r>
          </w:p>
          <w:p w14:paraId="669B59B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ж) інформацію у довільній формі про мінімальний час, який такі особи будуть приділяти виконанню своїх обов’язків у заявнику (у помісячному розрізі та протягом </w:t>
            </w:r>
            <w:r w:rsidRPr="00286216">
              <w:rPr>
                <w:color w:val="000000" w:themeColor="text1"/>
                <w:spacing w:val="-2"/>
                <w:szCs w:val="18"/>
              </w:rPr>
              <w:lastRenderedPageBreak/>
              <w:t>року);</w:t>
            </w:r>
          </w:p>
          <w:p w14:paraId="70CE047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з) інформацію у довільній формі про кадрові та фінансові ресурси, залучені (якщо рішення про таке залучення було прийнято заявником) до професійного навчання та підвищення кваліфікації членів виконавчого органу та членів наглядової ради;</w:t>
            </w:r>
          </w:p>
          <w:p w14:paraId="2A8D5505"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и) інформацію у довільній формі про вироки у справах щодо злочинів проти власності,  у сфері господарської діяльності, у сфері службової діяльності та професійної діяльності, пов’язаної з наданням публічних послуг, у сфері використання електронно-обчислювальних машин (комп’ютерів), систем та комп’ютерних мереж і мереж електрозв’язку (якщо судимість за такі злочини не знята або не погашена в порядку, визначеному законодавством) триваючі розслідування в рамках кримінальних проваджень у таких злочинах, дисциплінарні провадження, включаючи відсторонення від займаної посади керівника юридичної особи, триваючі провадження у справі про неплатоспроможність та інші подобні процедури відносно такої особи.</w:t>
            </w:r>
          </w:p>
          <w:p w14:paraId="0B035EE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4) відомості щодо початкового капіталу заявника та джерел його походження:</w:t>
            </w:r>
          </w:p>
          <w:p w14:paraId="1B5DC08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а) інформацію за формою, встановленою Національною комісією з цінних паперів та фондового ринку, про джерела походження коштів, що внесені до статутного капіталу;</w:t>
            </w:r>
          </w:p>
          <w:p w14:paraId="76B0D73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б) інформацію про залучені кошти відповідно до вимог та за формою, встановленою Національною комісією з цінних паперів та фондового ринку;</w:t>
            </w:r>
          </w:p>
          <w:p w14:paraId="793DF5D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в) інформацію у довільній формі про банки та небанківських надавачів фінансових послуг, послуги щодо переказу коштів яких були використані при формуванні капіталу, передбаченого підпунктами «а» та «б» цього пункту.</w:t>
            </w:r>
          </w:p>
          <w:p w14:paraId="590DC37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5) інформацію щодо фінансового стану:</w:t>
            </w:r>
          </w:p>
          <w:p w14:paraId="0010EEF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а) річну та проміжну фінансову звітність, наявну станом на останній день кварталу, що передує даті подачі заяви, щодо якої суб’єктом аудиторської діяльності, який відповідає вимогам, установленим законодавством, у аудиторському звіті висловлено незалежну думку про відповідність в усіх суттєвих аспектах вимогам міжнародних стандартів фінансової звітності. Заявник, державна реєстрація якого була проведена у кварталі, в якому подається заява про видачу ліцензії, </w:t>
            </w:r>
            <w:r w:rsidRPr="00286216">
              <w:rPr>
                <w:color w:val="000000" w:themeColor="text1"/>
                <w:spacing w:val="-2"/>
                <w:szCs w:val="18"/>
              </w:rPr>
              <w:lastRenderedPageBreak/>
              <w:t>документи, передбачені цим підпунктом, не подає;</w:t>
            </w:r>
          </w:p>
          <w:p w14:paraId="24AC7D2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б) фінансову звітність заявника, консолідовану фінансову звітність (у разі її складання) за три останні фінансові роки, підтверджену аудиторським звітом;</w:t>
            </w:r>
          </w:p>
          <w:p w14:paraId="084A31F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Якщо заявник провадить господарську діяльність протягом строку, недостатнього для виконання вимог цього підпункту, до заяви додається фінансова звітність за повні фінансові роки провадження заявником господарської діяльності та остання проміжна фінансова інформація, складена станом на кінець звітного періоду, що передує даті подання заяви та додатків до неї, підтверджені аудиторським звітом та звітом щодо огляду проміжної фінансової інформації відповідно.</w:t>
            </w:r>
          </w:p>
          <w:p w14:paraId="216A9377"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Якщо заявник провадить господарську діяльність протягом строку, що є меншим одного року, такий заявник подає тільки проміжну фінансову інформацію,  складену станом на кінець звітного періоду, що передує даті подання заяви та додатків до неї, підтверджену звітом щодо огляду проміжної фінансової інформації.</w:t>
            </w:r>
          </w:p>
          <w:p w14:paraId="10A7F67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Заявник, що є членом фінансової групи, зобов’язаний подати також копію консолідованої звітності фінансової групи за той самий період;</w:t>
            </w:r>
          </w:p>
          <w:p w14:paraId="16A678CA"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в) прогнозну фінансову звітність, що включає прогнозний звіт про фінансовий стан та прогнозний звіт про фінансові результати на три роки, наступні за роком подачі заяви;</w:t>
            </w:r>
          </w:p>
          <w:p w14:paraId="0B749D2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г) пояснення показників прогнозної фінансової звітності виходячи з прогнозної кількості клієнтів, обсягів операцій щодо фінансових інструментів та обсягів активів, розпорядження якими здійснюватиме заявник;</w:t>
            </w:r>
          </w:p>
          <w:p w14:paraId="13BD846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ґ) прогнозні показники щодо капіталу та ліквідності, а також прогнозний коефіцієнт платоспроможності у випадках, якщо розрахунок таких показників передбачений нормативно-правовими актами Національної комісії з цінних паперів та фондового ринку, на перший рік діяльності після отримання ліцензії на провадження професійної діяльності на ринках капіталу.</w:t>
            </w:r>
          </w:p>
          <w:p w14:paraId="688C8BAD"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Заявник, що є членом фінансової групи зобов’язаний подати документи, передбачені підпунктами «в» - «ґ» цього пункту щодо групи в цілому. </w:t>
            </w:r>
          </w:p>
          <w:p w14:paraId="72D7512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Національна комісія з цінних паперів та фондового ринку може затвердити </w:t>
            </w:r>
            <w:r w:rsidRPr="00286216">
              <w:rPr>
                <w:color w:val="000000" w:themeColor="text1"/>
                <w:spacing w:val="-2"/>
                <w:szCs w:val="18"/>
              </w:rPr>
              <w:lastRenderedPageBreak/>
              <w:t>методологію формування прогнозної фінансової звітності, у тому числі для випадку коли заявник є членом фінансової групи.</w:t>
            </w:r>
          </w:p>
          <w:p w14:paraId="49510ED2"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д) інформація щодо змін, що спричинить отримання заявником ліцензії у здійсненні нагляду на консолідованій та субконсолідованій основі, що провадиться відповідно до вимог Закону України «Про фінансові послуги та державне регулювання ринків фінансових послуг».</w:t>
            </w:r>
          </w:p>
          <w:p w14:paraId="45B27D6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6) документи, що підтверджують здатність власника істотної участі у заявнику виконати обов’язок, передбачений частиною сімнадцятою статті 70 цього Закону. Перелік таких документів визначається заявником самостійно;</w:t>
            </w:r>
          </w:p>
          <w:p w14:paraId="6B81E6E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7) інформацію щодо внутрішньої організації діяльності заявника у довільній формі, якщо інше не передбачено цим пунктом:</w:t>
            </w:r>
          </w:p>
          <w:p w14:paraId="718524B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а) бізнес-план (бізнес-стратегія) на три роки, включаючи інформацію про заплановане відкриття філій, здійснення діяльності на підставі отриманої ліцензії, а також про інші види запланованої господарської діяльності. Такий план має передбачати інформацію про: місце реєстрації потенційних клієнтів та інвесторів; заплановані заходи з реклами фінансових послуг з зазначенням адміністративних одиниць, де планується розміщення найбільшої кількості реклами; потенційних надавачів послуг з реклами фінансових послуг, із зазначення адміністративно-територіальних одиниць, на території яких такі особи провадять діяльність. Національна комісія з цінних паперів та фондового ринку затверджує рекомендації до змісту бізнес-плану заявника;</w:t>
            </w:r>
          </w:p>
          <w:p w14:paraId="1BDF05E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б) опис ресурсів (кадрових та технічних), що виділені або будуть виділені для провадження діяльності, зазначеної у бізнес-плані;</w:t>
            </w:r>
          </w:p>
          <w:p w14:paraId="55F2656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в) дані про суб’єктів аудиторської діяльності, які надають послуги аудиту фінансової звітності заявнику (якщо відповідні договори укладені на момент подання заяви);</w:t>
            </w:r>
          </w:p>
          <w:p w14:paraId="4F281AB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г) ідентифікаційні дані та інформацію про освіту, підвищення кваліфікації та професійний досвід керівників підрозділів заявника, що забезпечують здійснення діяльності з торгівлі фінансовими інструментами, а також усіх осіб, відповідальних за функціонування системи </w:t>
            </w:r>
            <w:r w:rsidRPr="00286216">
              <w:rPr>
                <w:color w:val="000000" w:themeColor="text1"/>
                <w:spacing w:val="-2"/>
                <w:szCs w:val="18"/>
              </w:rPr>
              <w:lastRenderedPageBreak/>
              <w:t>внутрішнього контролю із зазначенням їх ідентифікаційних даних за формою, встановленою Національною комісією з цінних паперів та фондового ринку;</w:t>
            </w:r>
          </w:p>
          <w:p w14:paraId="5096E96D"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ґ) опис механізму захисту коштів та фінансових інструментів клієнтів, які заявник отримуватиме на власний рахунок та якими розпоряджатиметься (у раз наявності);</w:t>
            </w:r>
          </w:p>
          <w:p w14:paraId="4885E4D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д) пояснення заявника щодо порядку та способу виконання пруденційних нормативів та інших вимог законодавства щодо здійснення професійної діяльності з торгівлі фінансовими інструментами;</w:t>
            </w:r>
          </w:p>
          <w:p w14:paraId="53A9220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8) відомості про наявність у заявника організаційної структури, системи внутрішнього контролю (підсистеми комплаєнсу, управління ризиками та внутрішнього аудиту), спеціалістів, обладнання, комп’ютерної техніки, програмного забезпечення та приміщень, системи та засобів, які забезпечують безперервність і постійність надання послуг, які у своїй сукупності є достатніми для забезпечення провадження відповідного виду професійної діяльності на ринках капіталу та організованих товарних ринках згідно з вимогами законодавства;</w:t>
            </w:r>
          </w:p>
          <w:p w14:paraId="1A8B9ED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9) інформацію щодо функцій, послуг та діяльності, що провадяться, чи планується провадити із залученням третіх осіб та перелік відповідних укладених контрактів (за наявності); </w:t>
            </w:r>
          </w:p>
          <w:p w14:paraId="795A7E3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10) внутрішні документи у довільній формі, що регламентують запобігання виникненню та врегулювання конфлікту інтересів, що виникає у ході провадження професійної діяльності на ринку капіталу та організованому товарному ринку, а також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1FA80BF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11) внутрішні документи у довільній формі, що регулюють діяльність з управління продуктами, вимоги до якої встановлюються Національною комісією з цінних паперів та фондового ринку; </w:t>
            </w:r>
          </w:p>
          <w:p w14:paraId="0CDF1D5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12) опис системи моніторингу діяльності заявника та механізмів збереження інформації у випадку, якщо заявник бажає займатися алгоритмічною торгівлею;</w:t>
            </w:r>
          </w:p>
          <w:p w14:paraId="6675E8C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13) внутрішні документи у довільній формі </w:t>
            </w:r>
            <w:r w:rsidRPr="00286216">
              <w:rPr>
                <w:color w:val="000000" w:themeColor="text1"/>
                <w:spacing w:val="-2"/>
                <w:szCs w:val="18"/>
              </w:rPr>
              <w:lastRenderedPageBreak/>
              <w:t>заявника, що регламентують провадження відповідного виду діяльності;</w:t>
            </w:r>
          </w:p>
          <w:p w14:paraId="546EEC8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14) копію платіжного документа, що підтверджує внесення плати за видачу ліцензії.</w:t>
            </w:r>
          </w:p>
          <w:p w14:paraId="3E7514F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6. Юридична особа, яка подала заяву про видачу ліцензії на провадження діяльності з організації торгівлі фінансовими інструментами додатково до інформації, передбаченої частиною 4 цією статті, подає у довільній формі, якщо інше прямо не передбачено цією частиною статті:</w:t>
            </w:r>
          </w:p>
          <w:p w14:paraId="2CB32A3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 бізнес-план на три роки, включаючи інформацію про заплановане відкриття філій, здійснення діяльності на підставі отриманої ліцензії, а також про інші види запланованої господарської діяльності. Національна комісія з цінних паперів та фондового ринку затверджує рекомендації до змісту бізнес-плану заявника;</w:t>
            </w:r>
          </w:p>
          <w:p w14:paraId="706766E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2) інформацію, що дає змогу зробити висновок про наявність механізмів забезпечення належного опрацювання наказів та/або розпоряджень клієнтів у випадках пікової активності, а також запобігання ситуаціям цінової нестабільності;</w:t>
            </w:r>
          </w:p>
          <w:p w14:paraId="49E4A85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3) інформацію, що дає змогу зробити висновок про  наявність механізмів, функціонування яких забезпечує повне і безумовне виконання операцій, що проходять у багатосторонній системі організованого ринку, діяльність з управління яким має намір здійснювати заявник;</w:t>
            </w:r>
          </w:p>
          <w:p w14:paraId="641A7FB2"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4) інформацію, що дає змогу зробити висновок про  наявність механізмів зупинення торгів;</w:t>
            </w:r>
          </w:p>
          <w:p w14:paraId="67A1C00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5) копії попередніх договорів про виконання функцій маркет-мейкера з інвестиційними фірмами, а також внутрішні документи, що описують принципи та порядок стимулювання діяльності маркет-мейкерів (якщо заявник має намір здійснювати управління діяльністю регульованого ринку);</w:t>
            </w:r>
          </w:p>
          <w:p w14:paraId="4351C49C"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6) проект правил організованого ринку, в тому числі внутрішні документи, що регулюють збільшення кроку ціни торгів;</w:t>
            </w:r>
          </w:p>
          <w:p w14:paraId="32F06140"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7) заяву про синхронізацію ділових годинників відповідно до вимог, встановлених Національною комісією з цінних паперів та фондового ринку.</w:t>
            </w:r>
          </w:p>
          <w:p w14:paraId="4ACFA027"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7. Юридична особа, яка подала заяву про видачу ліцензії на провадження професійної діяльності з торгівлі фінансовими інструментами та ліцензії на провадження </w:t>
            </w:r>
            <w:r w:rsidRPr="00286216">
              <w:rPr>
                <w:color w:val="000000" w:themeColor="text1"/>
                <w:spacing w:val="-2"/>
                <w:szCs w:val="18"/>
              </w:rPr>
              <w:lastRenderedPageBreak/>
              <w:t xml:space="preserve">діяльності з організації торгівлі фінансовими інструментами – діяльності з організації торгівлі на БТМ та/або діяльності з організації торгівлі на ОТМ, додає до заяви документи, передбачені  частиною 5 та 6 цієї статті. </w:t>
            </w:r>
          </w:p>
          <w:p w14:paraId="1A3FD21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8. Юридична особа, яка подала заяву про видачу ліцензії на провадження клірингової діяльності з визначення  зобов’язань подає заяву та документи, що до неї додаються, відповідно до вимог частини 3 та 4 цієї статті. Юридична особа, яка подала заяву про видачу ліцензії на провадження клірингової діяльності Центрального контрагента розкриває у документах, передбачених частиною третьою цієї статті, інформацію та надає додаткові документи відповідно до вимог, встановлених Національною комісією з цінних паперів та фондового ринку.</w:t>
            </w:r>
          </w:p>
          <w:p w14:paraId="1D6B484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9. Юридична особа, яка подала заяву про видачу ліцензії на провадження депозитарної діяльності розкриває у документах, передбачених частиною 4 цієї статті, інформацію та надає додаткові документи відповідно до вимог Закону України «Про депозитарну систему України» (у випадку, якщо обсяг такого розкриття та перелік таких документів встановлений таким законом).</w:t>
            </w:r>
          </w:p>
          <w:p w14:paraId="37C0545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10. Юридична особа, яка подала заяву про видачу ліцензії на провадження діяльності з управління активами інституційних інвесторів, а саме – діяльності з управління іпотечним покриттям розкриває у документах, передбачених частиною 4 цієї статті, інформацію та надає додаткові документи відповідно до вимог Закону України «Про іпотечні облігації» (у випадку, якщо обсяг такого розкриття та перелік таких документів встановлений таким законом).</w:t>
            </w:r>
          </w:p>
          <w:p w14:paraId="687035D7"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11. Юридична особа, яка подала заяву про видачу ліцензії на провадження діяльності з управління активами інституційних інвесторів, а саме – діяльності з управління активами розкриває у документах, передбачених частиною 4 цієї статті, інформацію та надає додаткові документи відповідно до вимог Закону України «Про інститути спільного інвестування» (у випадку, якщо обсяг такого розкриття та перелік таких документів встановлений таким законом), а у разі, якщо діяльність такої юридичної особи буде передбачати здійснення управління активами недержавних пенсійних фондів, також відповідно до вимог Закону України </w:t>
            </w:r>
            <w:r w:rsidRPr="00286216">
              <w:rPr>
                <w:color w:val="000000" w:themeColor="text1"/>
                <w:spacing w:val="-2"/>
                <w:szCs w:val="18"/>
              </w:rPr>
              <w:lastRenderedPageBreak/>
              <w:t>«Про недержавне пенсійне забезпечення» (у випадку, якщо обсяг такого розкриття та перелік таких документів встановлений таким законом).</w:t>
            </w:r>
          </w:p>
          <w:p w14:paraId="33CE67B3"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12. Юридична особа, яка подала заяву про видачу ліцензії на провадження діяльності з управління майном для фінансування об’єктів будівництва та/або здійснення операцій з нерухомістю розкриває у документах, передбачених частиною 4 цієї статті, інформацію та надає додаткові документи відповідно до вимог Закону України «Про фінансово-кредитні механізми і управління майном при будівництві житла та операціях з нерухомістю» (у випадку, якщо обсяг такого розкриття та перелік таких документів встановлений таким законом).</w:t>
            </w:r>
          </w:p>
          <w:p w14:paraId="106D1BC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13. Юридична особа, яка подала заяву про видачу ліцензії на провадження діяльності з адміністрування недержавних пенсійних фондів розкриває у документах, передбачених частиною 4 цієї статті, інформацію та надає додаткові документи відповідно до вимог Закону України «Про недержавне пенсійне забезпечення» (у випадку, якщо обсяг такого розкриття та перелік таких документів встановлений таким законом).</w:t>
            </w:r>
          </w:p>
          <w:p w14:paraId="44CEEA98"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14. Юридична особа у якій іноземним юридичним особам прямо або опосередковано сукупно належить 10 та більше відсотків статутного капіталу (прав голосу), та яка має намір провадити професійну діяльність на ринках капіталу та організованих товарних ринках, для отримання ліцензії на провадження відповідного виду такої діяльності, крім документів, зазначених у частині 3 - 13 цієї статті (відповідно до виду професійної діяльності), подає Національній комісії з цінних паперів та фондового ринку в установленому нею порядку:</w:t>
            </w:r>
          </w:p>
          <w:p w14:paraId="510AB27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 копію рішення уповноваженого органу (особи) управління іноземної юридичної особи про участь у професійному учасникові ринків капіталу та організованих товарних ринків в Україні;</w:t>
            </w:r>
          </w:p>
          <w:p w14:paraId="226E6D7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 письмовий дозвіл на участь іноземної юридичної особи у професійному учасникові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w:t>
            </w:r>
            <w:r w:rsidRPr="00286216">
              <w:rPr>
                <w:color w:val="000000" w:themeColor="text1"/>
                <w:spacing w:val="-2"/>
                <w:szCs w:val="18"/>
              </w:rPr>
              <w:lastRenderedPageBreak/>
              <w:t>дозволу, або письмове запевнення іноземної юридичної особи у відсутності в законодавстві відповідної держави вимог (підстав) щодо отримання такого дозволу;</w:t>
            </w:r>
          </w:p>
          <w:p w14:paraId="016ADC22"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3) витяг із торговельного, банківського, судового реєстру або інший офіційний документ, що підтверджує реєстрацію іноземної юридичної особи в державі, в якій зареєстровано її головний офіс;</w:t>
            </w:r>
          </w:p>
          <w:p w14:paraId="7B8BACA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4) фінансову звітність, консолідовану і субконсолідовану фінансову звітність (у разі складання відповідно до законодавства) іноземної юридичної особи за останні три фінансові роки (з доданням аудиторських звітів у разі їх наявності). </w:t>
            </w:r>
          </w:p>
          <w:p w14:paraId="386BC4F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15. Юридична особа, у якій фізичним особам-іноземцям прямо або опосередковано сукупно належить 10 та більше відсотків статутного капіталу (прав голосу), та яка має намір провадити професійну діяльність на ринках капіталу та організованих товарних ринках, для отримання ліцензії на провадження відповідного виду такої діяльності, крім документів , зазначених у частині 3 - 13 цієї статті (відповідно до виду професійної діяльності), подає Національній комісії з цінних паперів та фондового ринку письмовий дозвіл на участь фізичної особи – іноземця у професійному учасникові ринків капіталу та організованих товарних ринків в Україні, виданий уповноваженим контролюючим органом держави, в якій вона має постійне місце проживання, якщо законодавством такої держави вимагається отримання зазначеного дозволу, або письмове запевнення у відсутності в законодавстві відповідної держави вимог (підстав) щодо отримання такого дозволу.</w:t>
            </w:r>
          </w:p>
          <w:p w14:paraId="196FD03C"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16. Юридична особа, яка має намір провадити професійну діяльність на ринках капіталу та організованих товарних ринках, не додає до заяви на видачу ліцензії документи, які Національна комісія з цінних паперів та фондового ринку може безоплатно отримати з державних реєстрів. Така особа зазначає реєстр, який містить необхідну інформацію.  </w:t>
            </w:r>
          </w:p>
          <w:p w14:paraId="7194507B"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17. Юридична особа, яка має намір провадити професійну діяльність на ринках капіталу та організованих товарних ринках, яка подала будь-яку інформацію, передбаченому цією статтею Національному банку України або Національній комісії з цінних паперів та фондового ринку має право </w:t>
            </w:r>
            <w:r w:rsidRPr="00286216">
              <w:rPr>
                <w:color w:val="000000" w:themeColor="text1"/>
                <w:spacing w:val="-2"/>
                <w:szCs w:val="18"/>
              </w:rPr>
              <w:lastRenderedPageBreak/>
              <w:t xml:space="preserve">не додавати таку інформацію до заяви про видачу ліцензії, зазначивши дату подачі таких документів та ідентифікаційні дані супровідного документа, за умови надання заяви, що раніше подана інформація є актуальною. </w:t>
            </w:r>
          </w:p>
          <w:p w14:paraId="61E071D9"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Національна комісія з цінних паперів та фондового ринку та Національний банк України зобов’язані у визначеному ними порядку обмінюватись інформацією, копіями документів та результатами проведення оцінки ділової репутації щодо осіб, ліцензування діяльності яких вони здійснюють.</w:t>
            </w:r>
          </w:p>
          <w:p w14:paraId="7A7C72B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18. Якщо юридична особа, яка вже має ліценцію на провадження одного з видів професійної діяльності на ринках капіталу та організованих товарних ринках, має намір отримати ліцензію на провадження іншого виду професійної діяльності на ринках капіталу та організованих товарних ринках (крім обмежень поєднання між собою окремих видів професійної діяльності на ринках капіталу, передбачених цим Законом та іншими актами законодавства, які регулюють порядок здійснення окремих видів професійної діяльності на ринках капіталу), то така особа подає до Національної комісії з цінних паперів та фондового ринку заяву про видачу ліцензії відповідно до частини 3 цієї статті та інформацію, передбачену частинами 4 - 15 цієї статті, відповідно до виду професійної діяльності, крім інформації, передбаченої частинами 16 та 17.</w:t>
            </w:r>
          </w:p>
          <w:p w14:paraId="1349AB01"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19. Інформація, передбачена частинами 3-15 цієї статті, також подається до Національної комісії з цінних паперів та фондового ринку в електронному вигляді відповідно до встановлених нею вимог.</w:t>
            </w:r>
          </w:p>
          <w:p w14:paraId="0C31F4A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20. Документи, що подаються іноземною юридичною особою та фізичною особою – іноземцем, повинні відповідати вимогам щодо мови документів, встановленим статтею 136 цього Закону. </w:t>
            </w:r>
          </w:p>
          <w:p w14:paraId="7383290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21. Заявник повідомляє Національну комісію з цінних паперів та фондового ринку офіційним каналом зв’язку про будь-які зміни, що сталися протягом строку розгляду заяви про видачу ліцензії, в частині інформації щодо членів його виконавчого органу, що була зазначена у документах, доданих до заяви про видачу ліцензії, протягом десяти робочих днів з дня набрання чинності такими змінами.  </w:t>
            </w:r>
          </w:p>
          <w:p w14:paraId="09C97EC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lastRenderedPageBreak/>
              <w:t>Форма та порядок подачі повідомлення про зміни у інформації встановлюється Національною комісією з цінних паперів та фондового ринку.</w:t>
            </w:r>
          </w:p>
          <w:p w14:paraId="12128486"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22. Національна комісія з цінних паперів та фондового ринку  протягом п’яти робочих днів з дати отримання документів надає юридичній особі, яка має намір провадити професійну діяльність на ринках капіталу та організованих товарних ринках, підтвердження отримання повного переліку документів, передбачених у цій статті, із зазначенням контактної інформації (прізвище, ім’я, по батькові, посада, номери засобів зв’язку) посадової особи, відповідальної за організацію розгляду заяви та доданих до неї документів Національною комісією з цінних паперів та фондового ринку, або повідомляє офіційним каналом зв’язку про залишення заяви про видачу ліцензії без розгляду у зв’язку з отриманням неповного переліку документів із зазначенням відповідних пояснень. </w:t>
            </w:r>
          </w:p>
          <w:p w14:paraId="6B72BA6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У разі якщо подані документи оформлено з порушенням вимог, установлених Національною комісією з цінних паперів та фондового ринку, такі документи повертаються без розгляду протягом трьох робочих з дня їх отримання.</w:t>
            </w:r>
          </w:p>
          <w:p w14:paraId="2B66FF2E"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23. Протягом строку розгляду заяви про видачу ліцензії, але не пізніше, ніж за тридцять робочих днів до закінчення строку, встановленого частиною 24 цієї статті, Національна комісія з цінних паперів та фондового ринку може одноразово письмово запросити у заявника додаткову інформацію в чіткій та однозначній формі, яка уточнює дані, що надавались разом із заявою про видачу ліцензії. Строк розгляду заяви та доданих до неї документів продовжується з дня отримання додаткової інформації у відповідь на запит.</w:t>
            </w:r>
          </w:p>
          <w:p w14:paraId="29584CDF"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З дати отримання відповіді на запит додаткової інформації та протягом строку, що залишився до закінчення розгляду документів, встановленого частиною 24 цієї статті, але не пізніше, ніж за п’ятнадцять робочих днів до закінчення такого строку, Національна комісія з цінних паперів та фондового ринку може у випадку виникнення необхідності отримання додаткової інформації для обробки та аналізу заяви та доданих до неї документів направити заявнику уточнюючий запит щодо отриманої </w:t>
            </w:r>
            <w:r w:rsidRPr="00286216">
              <w:rPr>
                <w:color w:val="000000" w:themeColor="text1"/>
                <w:spacing w:val="-2"/>
                <w:szCs w:val="18"/>
              </w:rPr>
              <w:lastRenderedPageBreak/>
              <w:t>відповіді, визначивши у чіткій та однозначній формі яку саме уточнюючу інформацію повинен надати заявник. Запит уточнюючої інформації не зупиняє перебігу строку розгляду документів.</w:t>
            </w:r>
          </w:p>
          <w:p w14:paraId="3B89D397"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24. Національна комісія з цінних паперів та фондового ринку в установленому нею порядку приймає рішення про видачу ліцензії на провадження певного виду професійної діяльності на ринках капіталу та організованих товарних ринках чи про відмову в її видачі протягом  шести місяців з дня надходження заяви та доданих до неї документів, передбачених цією статтею. У разі відсутності у структурі власності заявника іноземних юридичних осіб такий строк становить три місяці. Про прийняте рішення Національна комісія з цінних паперів та фондового ринку  повідомляє заявника офіційним каналом зв’язку та/або шляхом направлення відповідного листа. </w:t>
            </w:r>
          </w:p>
          <w:p w14:paraId="318713C2"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Ліцензія видається Національною комісією з цінних паперів та фондового ринку за умови, що заявник відповідає усім встановленим вимогам законодавства та нормативно-правових актів Національної комісії з цінних паперів та фондового ринку. Строк дії ліцензії на провадження певного виду професійної діяльності на ринках капіталу та організованих товарних ринках є необмеженим.</w:t>
            </w:r>
          </w:p>
          <w:p w14:paraId="260DD364"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 xml:space="preserve">25. Професійний учасник ринків капіталу та організованих товарних ринків не має права передавати ліцензію на провадження відповідного виду професійної діяльності на ринках капіталу та організованих товарних ринках. Ці вимоги не поширюються на випадки приєднання, злиття чи поділу ліцензіата. </w:t>
            </w:r>
          </w:p>
          <w:p w14:paraId="7B737BF7" w14:textId="77777777" w:rsidR="00F97573" w:rsidRPr="00286216" w:rsidRDefault="00F97573" w:rsidP="00F97573">
            <w:pPr>
              <w:pStyle w:val="StyleProp"/>
              <w:spacing w:line="190" w:lineRule="exact"/>
              <w:rPr>
                <w:color w:val="000000" w:themeColor="text1"/>
                <w:spacing w:val="-2"/>
                <w:szCs w:val="18"/>
              </w:rPr>
            </w:pPr>
            <w:r w:rsidRPr="00286216">
              <w:rPr>
                <w:color w:val="000000" w:themeColor="text1"/>
                <w:spacing w:val="-2"/>
                <w:szCs w:val="18"/>
              </w:rPr>
              <w:t>Не є передачею ліцензії передача третім особам частини процесів або покладання на третіх осіб частини функцій, які забезпечують діяльність професійного учасника ринків капіталу та організованих товарних ринків на відповідному ринку, здійснена на підставі договору щодо аутсорсингу в порядку, встановленому Національною комісією з цінних паперів та фондового ринку.</w:t>
            </w:r>
          </w:p>
          <w:p w14:paraId="1867AE5D" w14:textId="77777777" w:rsidR="00F97573" w:rsidRPr="00286216" w:rsidRDefault="00F97573" w:rsidP="00F97573">
            <w:pPr>
              <w:pStyle w:val="StyleProp"/>
              <w:spacing w:line="190" w:lineRule="exact"/>
              <w:rPr>
                <w:color w:val="000000" w:themeColor="text1"/>
                <w:spacing w:val="-1"/>
                <w:szCs w:val="18"/>
              </w:rPr>
            </w:pPr>
            <w:r w:rsidRPr="00286216">
              <w:rPr>
                <w:color w:val="000000" w:themeColor="text1"/>
                <w:spacing w:val="-1"/>
                <w:szCs w:val="18"/>
              </w:rPr>
              <w:t xml:space="preserve">26. Посадові особи професійного учасника ринків капіталу та організованих товарних ринків та власники істотної участі у заявнику, зобов’язані протягом усього часу, коли вони зберігають свій статус або мають істотну участь у професійному учасникові ринків </w:t>
            </w:r>
            <w:r w:rsidRPr="00286216">
              <w:rPr>
                <w:color w:val="000000" w:themeColor="text1"/>
                <w:spacing w:val="-1"/>
                <w:szCs w:val="18"/>
              </w:rPr>
              <w:lastRenderedPageBreak/>
              <w:t>капіталу та організованих товарних ринків, відповідати вимогам, установленим законом та нормативно-правовими актами Національної комісії з цінних паперів та фондового ринку.</w:t>
            </w:r>
          </w:p>
          <w:p w14:paraId="180D06A2" w14:textId="77777777" w:rsidR="00F97573" w:rsidRPr="00286216" w:rsidRDefault="00F97573" w:rsidP="00F97573">
            <w:pPr>
              <w:pStyle w:val="StyleProp"/>
              <w:spacing w:line="190" w:lineRule="exact"/>
              <w:rPr>
                <w:color w:val="000000" w:themeColor="text1"/>
                <w:szCs w:val="18"/>
              </w:rPr>
            </w:pPr>
            <w:r w:rsidRPr="00286216">
              <w:rPr>
                <w:color w:val="000000" w:themeColor="text1"/>
                <w:szCs w:val="18"/>
              </w:rPr>
              <w:t>27. Національна комісія з цінних паперів та фондового ринку визначає особливості порядку подачі та вимоги до заяви та оформлення документів, що подаються іноземними юридичними особами для отримання ліцензії на провадження професійної діяльності на ринках капіталу та організованих товарних ринках».</w:t>
            </w:r>
          </w:p>
          <w:p w14:paraId="35E84E3E" w14:textId="060B6F6A" w:rsidR="00F97573" w:rsidRPr="00286216" w:rsidRDefault="00F97573" w:rsidP="00F97573">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640</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5C98F489" w14:textId="2C080B71" w:rsidR="00F97573" w:rsidRPr="00286216" w:rsidRDefault="00F97573" w:rsidP="00F97573">
            <w:pPr>
              <w:pStyle w:val="StyleProp"/>
              <w:rPr>
                <w:color w:val="000000" w:themeColor="text1"/>
                <w:szCs w:val="18"/>
              </w:rPr>
            </w:pPr>
            <w:r w:rsidRPr="00286216">
              <w:rPr>
                <w:color w:val="000000" w:themeColor="text1"/>
              </w:rPr>
              <w:t>Частину сьому статті 71 (щодо порядку ліцензування) доповнити словами  «а також зазначає у такій заяві інформацію про наявність філій та/або намір укласти агентський договір відповідно до вимог цього Закону, твердження про наявність/відсутність наміру отримувати на власний рахунок та розпоряджатися коштами та фінансовими інструментами клієнтів».</w:t>
            </w:r>
          </w:p>
        </w:tc>
        <w:tc>
          <w:tcPr>
            <w:tcW w:w="1987" w:type="dxa"/>
          </w:tcPr>
          <w:p w14:paraId="72EA01EF" w14:textId="77777777" w:rsidR="00F97573" w:rsidRPr="00286216" w:rsidRDefault="00F97573" w:rsidP="00F97573">
            <w:pPr>
              <w:pStyle w:val="StyleWisnow"/>
              <w:rPr>
                <w:color w:val="000000" w:themeColor="text1"/>
              </w:rPr>
            </w:pPr>
            <w:r w:rsidRPr="00286216">
              <w:rPr>
                <w:color w:val="000000" w:themeColor="text1"/>
              </w:rPr>
              <w:lastRenderedPageBreak/>
              <w:t>Враховано частково</w:t>
            </w:r>
          </w:p>
          <w:p w14:paraId="612DA4A7" w14:textId="77777777" w:rsidR="00F97573" w:rsidRPr="00286216" w:rsidRDefault="00F97573" w:rsidP="00F97573">
            <w:pPr>
              <w:pStyle w:val="StyleWisnow"/>
              <w:spacing w:line="180" w:lineRule="exact"/>
              <w:rPr>
                <w:color w:val="000000" w:themeColor="text1"/>
              </w:rPr>
            </w:pPr>
            <w:r w:rsidRPr="00286216">
              <w:rPr>
                <w:color w:val="000000" w:themeColor="text1"/>
              </w:rPr>
              <w:t>з техніко-юридичними уточненнями та редагуванням</w:t>
            </w:r>
          </w:p>
          <w:p w14:paraId="2F1296E7" w14:textId="77777777" w:rsidR="00F97573" w:rsidRPr="00286216" w:rsidRDefault="00F97573" w:rsidP="00F97573">
            <w:pPr>
              <w:pStyle w:val="StyleWisnow"/>
              <w:rPr>
                <w:color w:val="000000" w:themeColor="text1"/>
              </w:rPr>
            </w:pPr>
          </w:p>
          <w:p w14:paraId="7733D589" w14:textId="77777777" w:rsidR="00F97573" w:rsidRPr="00286216" w:rsidRDefault="00F97573" w:rsidP="00F97573">
            <w:pPr>
              <w:pStyle w:val="StyleWisnow"/>
              <w:rPr>
                <w:color w:val="000000" w:themeColor="text1"/>
              </w:rPr>
            </w:pPr>
          </w:p>
          <w:p w14:paraId="1A93DCC3" w14:textId="77777777" w:rsidR="00F97573" w:rsidRPr="00286216" w:rsidRDefault="00F97573" w:rsidP="00F97573">
            <w:pPr>
              <w:pStyle w:val="StyleWisnow"/>
              <w:rPr>
                <w:color w:val="000000" w:themeColor="text1"/>
              </w:rPr>
            </w:pPr>
          </w:p>
          <w:p w14:paraId="3588DF36" w14:textId="77777777" w:rsidR="00F97573" w:rsidRPr="00286216" w:rsidRDefault="00F97573" w:rsidP="00F97573">
            <w:pPr>
              <w:pStyle w:val="StyleWisnow"/>
              <w:rPr>
                <w:color w:val="000000" w:themeColor="text1"/>
              </w:rPr>
            </w:pPr>
          </w:p>
          <w:p w14:paraId="5EE7E133" w14:textId="77777777" w:rsidR="00F97573" w:rsidRPr="00286216" w:rsidRDefault="00F97573" w:rsidP="00F97573">
            <w:pPr>
              <w:pStyle w:val="StyleWisnow"/>
              <w:rPr>
                <w:color w:val="000000" w:themeColor="text1"/>
              </w:rPr>
            </w:pPr>
          </w:p>
          <w:p w14:paraId="00B73F6B" w14:textId="77777777" w:rsidR="00F97573" w:rsidRPr="00286216" w:rsidRDefault="00F97573" w:rsidP="00F97573">
            <w:pPr>
              <w:pStyle w:val="StyleWisnow"/>
              <w:rPr>
                <w:color w:val="000000" w:themeColor="text1"/>
              </w:rPr>
            </w:pPr>
          </w:p>
          <w:p w14:paraId="11088FD7" w14:textId="77777777" w:rsidR="00F97573" w:rsidRPr="00286216" w:rsidRDefault="00F97573" w:rsidP="00F97573">
            <w:pPr>
              <w:pStyle w:val="StyleWisnow"/>
              <w:rPr>
                <w:color w:val="000000" w:themeColor="text1"/>
              </w:rPr>
            </w:pPr>
          </w:p>
          <w:p w14:paraId="01CB10ED" w14:textId="77777777" w:rsidR="00F97573" w:rsidRPr="00286216" w:rsidRDefault="00F97573" w:rsidP="00F97573">
            <w:pPr>
              <w:pStyle w:val="StyleWisnow"/>
              <w:rPr>
                <w:color w:val="000000" w:themeColor="text1"/>
              </w:rPr>
            </w:pPr>
          </w:p>
          <w:p w14:paraId="665514AF" w14:textId="77777777" w:rsidR="00F97573" w:rsidRPr="00286216" w:rsidRDefault="00F97573" w:rsidP="00F97573">
            <w:pPr>
              <w:pStyle w:val="StyleWisnow"/>
              <w:rPr>
                <w:color w:val="000000" w:themeColor="text1"/>
              </w:rPr>
            </w:pPr>
          </w:p>
          <w:p w14:paraId="69076D71" w14:textId="77777777" w:rsidR="00F97573" w:rsidRPr="00286216" w:rsidRDefault="00F97573" w:rsidP="00F97573">
            <w:pPr>
              <w:pStyle w:val="StyleWisnow"/>
              <w:rPr>
                <w:color w:val="000000" w:themeColor="text1"/>
              </w:rPr>
            </w:pPr>
          </w:p>
          <w:p w14:paraId="5CFE8029" w14:textId="77777777" w:rsidR="00F97573" w:rsidRPr="00286216" w:rsidRDefault="00F97573" w:rsidP="00F97573">
            <w:pPr>
              <w:pStyle w:val="StyleWisnow"/>
              <w:rPr>
                <w:color w:val="000000" w:themeColor="text1"/>
              </w:rPr>
            </w:pPr>
          </w:p>
          <w:p w14:paraId="2A878541" w14:textId="77777777" w:rsidR="00F97573" w:rsidRPr="00286216" w:rsidRDefault="00F97573" w:rsidP="00F97573">
            <w:pPr>
              <w:pStyle w:val="StyleWisnow"/>
              <w:rPr>
                <w:color w:val="000000" w:themeColor="text1"/>
              </w:rPr>
            </w:pPr>
          </w:p>
          <w:p w14:paraId="2C0C8086" w14:textId="77777777" w:rsidR="00F97573" w:rsidRPr="00286216" w:rsidRDefault="00F97573" w:rsidP="00F97573">
            <w:pPr>
              <w:pStyle w:val="StyleWisnow"/>
              <w:rPr>
                <w:color w:val="000000" w:themeColor="text1"/>
              </w:rPr>
            </w:pPr>
          </w:p>
          <w:p w14:paraId="30A931C0" w14:textId="77777777" w:rsidR="00F97573" w:rsidRPr="00286216" w:rsidRDefault="00F97573" w:rsidP="00F97573">
            <w:pPr>
              <w:pStyle w:val="StyleWisnow"/>
              <w:rPr>
                <w:color w:val="000000" w:themeColor="text1"/>
              </w:rPr>
            </w:pPr>
          </w:p>
          <w:p w14:paraId="65E65B47" w14:textId="77777777" w:rsidR="00F97573" w:rsidRPr="00286216" w:rsidRDefault="00F97573" w:rsidP="00F97573">
            <w:pPr>
              <w:pStyle w:val="StyleWisnow"/>
              <w:rPr>
                <w:color w:val="000000" w:themeColor="text1"/>
              </w:rPr>
            </w:pPr>
          </w:p>
          <w:p w14:paraId="5148AC67" w14:textId="77777777" w:rsidR="00F97573" w:rsidRPr="00286216" w:rsidRDefault="00F97573" w:rsidP="00F97573">
            <w:pPr>
              <w:pStyle w:val="StyleWisnow"/>
              <w:rPr>
                <w:color w:val="000000" w:themeColor="text1"/>
              </w:rPr>
            </w:pPr>
          </w:p>
          <w:p w14:paraId="6C0ABDB0" w14:textId="77777777" w:rsidR="00F97573" w:rsidRPr="00286216" w:rsidRDefault="00F97573" w:rsidP="00F97573">
            <w:pPr>
              <w:pStyle w:val="StyleWisnow"/>
              <w:rPr>
                <w:color w:val="000000" w:themeColor="text1"/>
              </w:rPr>
            </w:pPr>
          </w:p>
          <w:p w14:paraId="731BF3B5" w14:textId="77777777" w:rsidR="00F97573" w:rsidRPr="00286216" w:rsidRDefault="00F97573" w:rsidP="00F97573">
            <w:pPr>
              <w:pStyle w:val="StyleWisnow"/>
              <w:rPr>
                <w:color w:val="000000" w:themeColor="text1"/>
              </w:rPr>
            </w:pPr>
          </w:p>
          <w:p w14:paraId="126160D1" w14:textId="77777777" w:rsidR="00F97573" w:rsidRPr="00286216" w:rsidRDefault="00F97573" w:rsidP="00F97573">
            <w:pPr>
              <w:pStyle w:val="StyleWisnow"/>
              <w:rPr>
                <w:color w:val="000000" w:themeColor="text1"/>
              </w:rPr>
            </w:pPr>
          </w:p>
          <w:p w14:paraId="3CCBE15B" w14:textId="77777777" w:rsidR="00F97573" w:rsidRPr="00286216" w:rsidRDefault="00F97573" w:rsidP="00F97573">
            <w:pPr>
              <w:pStyle w:val="StyleWisnow"/>
              <w:rPr>
                <w:color w:val="000000" w:themeColor="text1"/>
              </w:rPr>
            </w:pPr>
          </w:p>
          <w:p w14:paraId="74913912" w14:textId="77777777" w:rsidR="00F97573" w:rsidRPr="00286216" w:rsidRDefault="00F97573" w:rsidP="00F97573">
            <w:pPr>
              <w:pStyle w:val="StyleWisnow"/>
              <w:rPr>
                <w:color w:val="000000" w:themeColor="text1"/>
              </w:rPr>
            </w:pPr>
          </w:p>
          <w:p w14:paraId="02475FA7" w14:textId="77777777" w:rsidR="00F97573" w:rsidRPr="00286216" w:rsidRDefault="00F97573" w:rsidP="00F97573">
            <w:pPr>
              <w:pStyle w:val="StyleWisnow"/>
              <w:rPr>
                <w:color w:val="000000" w:themeColor="text1"/>
              </w:rPr>
            </w:pPr>
          </w:p>
          <w:p w14:paraId="072D43BE" w14:textId="77777777" w:rsidR="00F97573" w:rsidRPr="00286216" w:rsidRDefault="00F97573" w:rsidP="00F97573">
            <w:pPr>
              <w:pStyle w:val="StyleWisnow"/>
              <w:rPr>
                <w:color w:val="000000" w:themeColor="text1"/>
              </w:rPr>
            </w:pPr>
          </w:p>
          <w:p w14:paraId="6E8C7ABB" w14:textId="77777777" w:rsidR="00F97573" w:rsidRPr="00286216" w:rsidRDefault="00F97573" w:rsidP="00F97573">
            <w:pPr>
              <w:pStyle w:val="StyleWisnow"/>
              <w:rPr>
                <w:color w:val="000000" w:themeColor="text1"/>
              </w:rPr>
            </w:pPr>
          </w:p>
          <w:p w14:paraId="1E4D5D4D" w14:textId="77777777" w:rsidR="00F97573" w:rsidRPr="00286216" w:rsidRDefault="00F97573" w:rsidP="00F97573">
            <w:pPr>
              <w:pStyle w:val="StyleWisnow"/>
              <w:rPr>
                <w:color w:val="000000" w:themeColor="text1"/>
              </w:rPr>
            </w:pPr>
          </w:p>
          <w:p w14:paraId="1901039B" w14:textId="77777777" w:rsidR="00F97573" w:rsidRPr="00286216" w:rsidRDefault="00F97573" w:rsidP="00F97573">
            <w:pPr>
              <w:pStyle w:val="StyleWisnow"/>
              <w:rPr>
                <w:color w:val="000000" w:themeColor="text1"/>
              </w:rPr>
            </w:pPr>
          </w:p>
          <w:p w14:paraId="56F4005D" w14:textId="77777777" w:rsidR="00F97573" w:rsidRPr="00286216" w:rsidRDefault="00F97573" w:rsidP="00F97573">
            <w:pPr>
              <w:pStyle w:val="StyleWisnow"/>
              <w:rPr>
                <w:color w:val="000000" w:themeColor="text1"/>
              </w:rPr>
            </w:pPr>
          </w:p>
          <w:p w14:paraId="69BECC52" w14:textId="77777777" w:rsidR="00F97573" w:rsidRPr="00286216" w:rsidRDefault="00F97573" w:rsidP="00F97573">
            <w:pPr>
              <w:pStyle w:val="StyleWisnow"/>
              <w:rPr>
                <w:color w:val="000000" w:themeColor="text1"/>
              </w:rPr>
            </w:pPr>
          </w:p>
          <w:p w14:paraId="57B14C24" w14:textId="77777777" w:rsidR="00F97573" w:rsidRPr="00286216" w:rsidRDefault="00F97573" w:rsidP="00F97573">
            <w:pPr>
              <w:pStyle w:val="StyleWisnow"/>
              <w:rPr>
                <w:color w:val="000000" w:themeColor="text1"/>
              </w:rPr>
            </w:pPr>
          </w:p>
          <w:p w14:paraId="47C2DF90" w14:textId="77777777" w:rsidR="00F97573" w:rsidRPr="00286216" w:rsidRDefault="00F97573" w:rsidP="00F97573">
            <w:pPr>
              <w:pStyle w:val="StyleWisnow"/>
              <w:rPr>
                <w:color w:val="000000" w:themeColor="text1"/>
              </w:rPr>
            </w:pPr>
          </w:p>
          <w:p w14:paraId="1A077307" w14:textId="77777777" w:rsidR="00F97573" w:rsidRPr="00286216" w:rsidRDefault="00F97573" w:rsidP="00F97573">
            <w:pPr>
              <w:pStyle w:val="StyleWisnow"/>
              <w:rPr>
                <w:color w:val="000000" w:themeColor="text1"/>
              </w:rPr>
            </w:pPr>
          </w:p>
          <w:p w14:paraId="2AD4939C" w14:textId="77777777" w:rsidR="00F97573" w:rsidRPr="00286216" w:rsidRDefault="00F97573" w:rsidP="00F97573">
            <w:pPr>
              <w:pStyle w:val="StyleWisnow"/>
              <w:rPr>
                <w:color w:val="000000" w:themeColor="text1"/>
              </w:rPr>
            </w:pPr>
          </w:p>
          <w:p w14:paraId="382F86C3" w14:textId="77777777" w:rsidR="00F97573" w:rsidRPr="00286216" w:rsidRDefault="00F97573" w:rsidP="00F97573">
            <w:pPr>
              <w:pStyle w:val="StyleWisnow"/>
              <w:rPr>
                <w:color w:val="000000" w:themeColor="text1"/>
              </w:rPr>
            </w:pPr>
          </w:p>
          <w:p w14:paraId="1251BE6F" w14:textId="77777777" w:rsidR="00F97573" w:rsidRPr="00286216" w:rsidRDefault="00F97573" w:rsidP="00F97573">
            <w:pPr>
              <w:pStyle w:val="StyleWisnow"/>
              <w:rPr>
                <w:color w:val="000000" w:themeColor="text1"/>
              </w:rPr>
            </w:pPr>
          </w:p>
          <w:p w14:paraId="650368C3" w14:textId="77777777" w:rsidR="00F97573" w:rsidRPr="00286216" w:rsidRDefault="00F97573" w:rsidP="00F97573">
            <w:pPr>
              <w:pStyle w:val="StyleWisnow"/>
              <w:rPr>
                <w:color w:val="000000" w:themeColor="text1"/>
              </w:rPr>
            </w:pPr>
          </w:p>
          <w:p w14:paraId="4ED6E2C5" w14:textId="77777777" w:rsidR="00F97573" w:rsidRPr="00286216" w:rsidRDefault="00F97573" w:rsidP="00F97573">
            <w:pPr>
              <w:pStyle w:val="StyleWisnow"/>
              <w:rPr>
                <w:color w:val="000000" w:themeColor="text1"/>
              </w:rPr>
            </w:pPr>
          </w:p>
          <w:p w14:paraId="24C688EB" w14:textId="77777777" w:rsidR="00F97573" w:rsidRPr="00286216" w:rsidRDefault="00F97573" w:rsidP="00F97573">
            <w:pPr>
              <w:pStyle w:val="StyleWisnow"/>
              <w:rPr>
                <w:color w:val="000000" w:themeColor="text1"/>
              </w:rPr>
            </w:pPr>
          </w:p>
          <w:p w14:paraId="6F7F61AE" w14:textId="77777777" w:rsidR="00F97573" w:rsidRPr="00286216" w:rsidRDefault="00F97573" w:rsidP="00F97573">
            <w:pPr>
              <w:pStyle w:val="StyleWisnow"/>
              <w:rPr>
                <w:color w:val="000000" w:themeColor="text1"/>
              </w:rPr>
            </w:pPr>
          </w:p>
          <w:p w14:paraId="04D346E7" w14:textId="77777777" w:rsidR="00F97573" w:rsidRPr="00286216" w:rsidRDefault="00F97573" w:rsidP="00F97573">
            <w:pPr>
              <w:pStyle w:val="StyleWisnow"/>
              <w:rPr>
                <w:color w:val="000000" w:themeColor="text1"/>
              </w:rPr>
            </w:pPr>
          </w:p>
          <w:p w14:paraId="3853B49B" w14:textId="77777777" w:rsidR="00F97573" w:rsidRPr="00286216" w:rsidRDefault="00F97573" w:rsidP="00F97573">
            <w:pPr>
              <w:pStyle w:val="StyleWisnow"/>
              <w:rPr>
                <w:color w:val="000000" w:themeColor="text1"/>
              </w:rPr>
            </w:pPr>
          </w:p>
          <w:p w14:paraId="7E4469FC" w14:textId="77777777" w:rsidR="00F97573" w:rsidRPr="00286216" w:rsidRDefault="00F97573" w:rsidP="00F97573">
            <w:pPr>
              <w:pStyle w:val="StyleWisnow"/>
              <w:rPr>
                <w:color w:val="000000" w:themeColor="text1"/>
              </w:rPr>
            </w:pPr>
          </w:p>
          <w:p w14:paraId="21A2D3EC" w14:textId="77777777" w:rsidR="00F97573" w:rsidRPr="00286216" w:rsidRDefault="00F97573" w:rsidP="00F97573">
            <w:pPr>
              <w:pStyle w:val="StyleWisnow"/>
              <w:rPr>
                <w:color w:val="000000" w:themeColor="text1"/>
              </w:rPr>
            </w:pPr>
          </w:p>
          <w:p w14:paraId="7EA8C372" w14:textId="77777777" w:rsidR="00F97573" w:rsidRPr="00286216" w:rsidRDefault="00F97573" w:rsidP="00F97573">
            <w:pPr>
              <w:pStyle w:val="StyleWisnow"/>
              <w:rPr>
                <w:color w:val="000000" w:themeColor="text1"/>
              </w:rPr>
            </w:pPr>
          </w:p>
          <w:p w14:paraId="2B5EEDE4" w14:textId="77777777" w:rsidR="00F97573" w:rsidRPr="00286216" w:rsidRDefault="00F97573" w:rsidP="00F97573">
            <w:pPr>
              <w:pStyle w:val="StyleWisnow"/>
              <w:rPr>
                <w:color w:val="000000" w:themeColor="text1"/>
              </w:rPr>
            </w:pPr>
          </w:p>
          <w:p w14:paraId="73D918DE" w14:textId="77777777" w:rsidR="00F97573" w:rsidRPr="00286216" w:rsidRDefault="00F97573" w:rsidP="00F97573">
            <w:pPr>
              <w:pStyle w:val="StyleWisnow"/>
              <w:rPr>
                <w:color w:val="000000" w:themeColor="text1"/>
              </w:rPr>
            </w:pPr>
          </w:p>
          <w:p w14:paraId="6A9C0311" w14:textId="77777777" w:rsidR="00F97573" w:rsidRPr="00286216" w:rsidRDefault="00F97573" w:rsidP="00F97573">
            <w:pPr>
              <w:pStyle w:val="StyleWisnow"/>
              <w:rPr>
                <w:color w:val="000000" w:themeColor="text1"/>
              </w:rPr>
            </w:pPr>
          </w:p>
          <w:p w14:paraId="7E2E9E48" w14:textId="77777777" w:rsidR="00F97573" w:rsidRPr="00286216" w:rsidRDefault="00F97573" w:rsidP="00F97573">
            <w:pPr>
              <w:pStyle w:val="StyleWisnow"/>
              <w:rPr>
                <w:color w:val="000000" w:themeColor="text1"/>
              </w:rPr>
            </w:pPr>
          </w:p>
          <w:p w14:paraId="5D7B1AB4" w14:textId="77777777" w:rsidR="00F97573" w:rsidRPr="00286216" w:rsidRDefault="00F97573" w:rsidP="00F97573">
            <w:pPr>
              <w:pStyle w:val="StyleWisnow"/>
              <w:rPr>
                <w:color w:val="000000" w:themeColor="text1"/>
              </w:rPr>
            </w:pPr>
          </w:p>
          <w:p w14:paraId="56BC509E" w14:textId="77777777" w:rsidR="00F97573" w:rsidRPr="00286216" w:rsidRDefault="00F97573" w:rsidP="00F97573">
            <w:pPr>
              <w:pStyle w:val="StyleWisnow"/>
              <w:rPr>
                <w:color w:val="000000" w:themeColor="text1"/>
              </w:rPr>
            </w:pPr>
          </w:p>
          <w:p w14:paraId="116DA673" w14:textId="77777777" w:rsidR="00F97573" w:rsidRPr="00286216" w:rsidRDefault="00F97573" w:rsidP="00F97573">
            <w:pPr>
              <w:pStyle w:val="StyleWisnow"/>
              <w:rPr>
                <w:color w:val="000000" w:themeColor="text1"/>
              </w:rPr>
            </w:pPr>
          </w:p>
          <w:p w14:paraId="36975694" w14:textId="77777777" w:rsidR="00F97573" w:rsidRPr="00286216" w:rsidRDefault="00F97573" w:rsidP="00F97573">
            <w:pPr>
              <w:pStyle w:val="StyleWisnow"/>
              <w:rPr>
                <w:color w:val="000000" w:themeColor="text1"/>
              </w:rPr>
            </w:pPr>
          </w:p>
          <w:p w14:paraId="66E14C92" w14:textId="77777777" w:rsidR="00F97573" w:rsidRPr="00286216" w:rsidRDefault="00F97573" w:rsidP="00F97573">
            <w:pPr>
              <w:pStyle w:val="StyleWisnow"/>
              <w:rPr>
                <w:color w:val="000000" w:themeColor="text1"/>
              </w:rPr>
            </w:pPr>
          </w:p>
          <w:p w14:paraId="6C4370F3" w14:textId="77777777" w:rsidR="00F97573" w:rsidRPr="00286216" w:rsidRDefault="00F97573" w:rsidP="00F97573">
            <w:pPr>
              <w:pStyle w:val="StyleWisnow"/>
              <w:rPr>
                <w:color w:val="000000" w:themeColor="text1"/>
              </w:rPr>
            </w:pPr>
          </w:p>
          <w:p w14:paraId="72511A67" w14:textId="77777777" w:rsidR="00F97573" w:rsidRPr="00286216" w:rsidRDefault="00F97573" w:rsidP="00F97573">
            <w:pPr>
              <w:pStyle w:val="StyleWisnow"/>
              <w:rPr>
                <w:color w:val="000000" w:themeColor="text1"/>
              </w:rPr>
            </w:pPr>
          </w:p>
          <w:p w14:paraId="2C6ED2A3" w14:textId="77777777" w:rsidR="00F97573" w:rsidRPr="00286216" w:rsidRDefault="00F97573" w:rsidP="00F97573">
            <w:pPr>
              <w:pStyle w:val="StyleWisnow"/>
              <w:rPr>
                <w:color w:val="000000" w:themeColor="text1"/>
              </w:rPr>
            </w:pPr>
          </w:p>
          <w:p w14:paraId="32937C60" w14:textId="77777777" w:rsidR="00F97573" w:rsidRPr="00286216" w:rsidRDefault="00F97573" w:rsidP="00F97573">
            <w:pPr>
              <w:pStyle w:val="StyleWisnow"/>
              <w:rPr>
                <w:color w:val="000000" w:themeColor="text1"/>
              </w:rPr>
            </w:pPr>
          </w:p>
          <w:p w14:paraId="5F173B73" w14:textId="77777777" w:rsidR="00F97573" w:rsidRPr="00286216" w:rsidRDefault="00F97573" w:rsidP="00F97573">
            <w:pPr>
              <w:pStyle w:val="StyleWisnow"/>
              <w:rPr>
                <w:color w:val="000000" w:themeColor="text1"/>
              </w:rPr>
            </w:pPr>
          </w:p>
          <w:p w14:paraId="19509D0C" w14:textId="77777777" w:rsidR="00F97573" w:rsidRPr="00286216" w:rsidRDefault="00F97573" w:rsidP="00F97573">
            <w:pPr>
              <w:pStyle w:val="StyleWisnow"/>
              <w:rPr>
                <w:color w:val="000000" w:themeColor="text1"/>
              </w:rPr>
            </w:pPr>
          </w:p>
          <w:p w14:paraId="76AB6DC4" w14:textId="77777777" w:rsidR="00F97573" w:rsidRPr="00286216" w:rsidRDefault="00F97573" w:rsidP="00F97573">
            <w:pPr>
              <w:pStyle w:val="StyleWisnow"/>
              <w:rPr>
                <w:color w:val="000000" w:themeColor="text1"/>
              </w:rPr>
            </w:pPr>
          </w:p>
          <w:p w14:paraId="299EF748" w14:textId="77777777" w:rsidR="00F97573" w:rsidRPr="00286216" w:rsidRDefault="00F97573" w:rsidP="00F97573">
            <w:pPr>
              <w:pStyle w:val="StyleWisnow"/>
              <w:rPr>
                <w:color w:val="000000" w:themeColor="text1"/>
              </w:rPr>
            </w:pPr>
          </w:p>
          <w:p w14:paraId="52816164" w14:textId="77777777" w:rsidR="00F97573" w:rsidRPr="00286216" w:rsidRDefault="00F97573" w:rsidP="00F97573">
            <w:pPr>
              <w:pStyle w:val="StyleWisnow"/>
              <w:rPr>
                <w:color w:val="000000" w:themeColor="text1"/>
              </w:rPr>
            </w:pPr>
          </w:p>
          <w:p w14:paraId="48822A2C" w14:textId="77777777" w:rsidR="00F97573" w:rsidRPr="00286216" w:rsidRDefault="00F97573" w:rsidP="00F97573">
            <w:pPr>
              <w:pStyle w:val="StyleWisnow"/>
              <w:rPr>
                <w:color w:val="000000" w:themeColor="text1"/>
              </w:rPr>
            </w:pPr>
          </w:p>
          <w:p w14:paraId="4498A297" w14:textId="77777777" w:rsidR="00F97573" w:rsidRPr="00286216" w:rsidRDefault="00F97573" w:rsidP="00F97573">
            <w:pPr>
              <w:pStyle w:val="StyleWisnow"/>
              <w:rPr>
                <w:color w:val="000000" w:themeColor="text1"/>
              </w:rPr>
            </w:pPr>
          </w:p>
          <w:p w14:paraId="2EA25512" w14:textId="77777777" w:rsidR="00F97573" w:rsidRPr="00286216" w:rsidRDefault="00F97573" w:rsidP="00F97573">
            <w:pPr>
              <w:pStyle w:val="StyleWisnow"/>
              <w:rPr>
                <w:color w:val="000000" w:themeColor="text1"/>
              </w:rPr>
            </w:pPr>
          </w:p>
          <w:p w14:paraId="24A661B1" w14:textId="77777777" w:rsidR="00F97573" w:rsidRPr="00286216" w:rsidRDefault="00F97573" w:rsidP="00F97573">
            <w:pPr>
              <w:pStyle w:val="StyleWisnow"/>
              <w:rPr>
                <w:color w:val="000000" w:themeColor="text1"/>
              </w:rPr>
            </w:pPr>
          </w:p>
          <w:p w14:paraId="1DFE8816" w14:textId="77777777" w:rsidR="00F97573" w:rsidRPr="00286216" w:rsidRDefault="00F97573" w:rsidP="00F97573">
            <w:pPr>
              <w:pStyle w:val="StyleWisnow"/>
              <w:rPr>
                <w:color w:val="000000" w:themeColor="text1"/>
              </w:rPr>
            </w:pPr>
          </w:p>
          <w:p w14:paraId="48B78417" w14:textId="77777777" w:rsidR="00F97573" w:rsidRPr="00286216" w:rsidRDefault="00F97573" w:rsidP="00F97573">
            <w:pPr>
              <w:pStyle w:val="StyleWisnow"/>
              <w:rPr>
                <w:color w:val="000000" w:themeColor="text1"/>
              </w:rPr>
            </w:pPr>
          </w:p>
          <w:p w14:paraId="435346DD" w14:textId="77777777" w:rsidR="00F97573" w:rsidRPr="00286216" w:rsidRDefault="00F97573" w:rsidP="00F97573">
            <w:pPr>
              <w:pStyle w:val="StyleWisnow"/>
              <w:rPr>
                <w:color w:val="000000" w:themeColor="text1"/>
              </w:rPr>
            </w:pPr>
          </w:p>
          <w:p w14:paraId="6CD26453" w14:textId="77777777" w:rsidR="00F97573" w:rsidRPr="00286216" w:rsidRDefault="00F97573" w:rsidP="00F97573">
            <w:pPr>
              <w:pStyle w:val="StyleWisnow"/>
              <w:rPr>
                <w:color w:val="000000" w:themeColor="text1"/>
              </w:rPr>
            </w:pPr>
          </w:p>
          <w:p w14:paraId="5E5FAE66" w14:textId="77777777" w:rsidR="00F97573" w:rsidRPr="00286216" w:rsidRDefault="00F97573" w:rsidP="00F97573">
            <w:pPr>
              <w:pStyle w:val="StyleWisnow"/>
              <w:rPr>
                <w:color w:val="000000" w:themeColor="text1"/>
              </w:rPr>
            </w:pPr>
          </w:p>
          <w:p w14:paraId="17B26EC7" w14:textId="77777777" w:rsidR="00F97573" w:rsidRPr="00286216" w:rsidRDefault="00F97573" w:rsidP="00F97573">
            <w:pPr>
              <w:pStyle w:val="StyleWisnow"/>
              <w:rPr>
                <w:color w:val="000000" w:themeColor="text1"/>
              </w:rPr>
            </w:pPr>
          </w:p>
          <w:p w14:paraId="3350751A" w14:textId="77777777" w:rsidR="00F97573" w:rsidRPr="00286216" w:rsidRDefault="00F97573" w:rsidP="00F97573">
            <w:pPr>
              <w:pStyle w:val="StyleWisnow"/>
              <w:rPr>
                <w:color w:val="000000" w:themeColor="text1"/>
              </w:rPr>
            </w:pPr>
          </w:p>
          <w:p w14:paraId="44A588E9" w14:textId="77777777" w:rsidR="00F97573" w:rsidRPr="00286216" w:rsidRDefault="00F97573" w:rsidP="00F97573">
            <w:pPr>
              <w:pStyle w:val="StyleWisnow"/>
              <w:rPr>
                <w:color w:val="000000" w:themeColor="text1"/>
              </w:rPr>
            </w:pPr>
          </w:p>
          <w:p w14:paraId="1D822B4A" w14:textId="77777777" w:rsidR="00F97573" w:rsidRPr="00286216" w:rsidRDefault="00F97573" w:rsidP="00F97573">
            <w:pPr>
              <w:pStyle w:val="StyleWisnow"/>
              <w:rPr>
                <w:color w:val="000000" w:themeColor="text1"/>
              </w:rPr>
            </w:pPr>
          </w:p>
          <w:p w14:paraId="25C364CA" w14:textId="77777777" w:rsidR="00F97573" w:rsidRPr="00286216" w:rsidRDefault="00F97573" w:rsidP="00F97573">
            <w:pPr>
              <w:pStyle w:val="StyleWisnow"/>
              <w:rPr>
                <w:color w:val="000000" w:themeColor="text1"/>
              </w:rPr>
            </w:pPr>
          </w:p>
          <w:p w14:paraId="53FE67FB" w14:textId="77777777" w:rsidR="00F97573" w:rsidRPr="00286216" w:rsidRDefault="00F97573" w:rsidP="00F97573">
            <w:pPr>
              <w:pStyle w:val="StyleWisnow"/>
              <w:rPr>
                <w:color w:val="000000" w:themeColor="text1"/>
              </w:rPr>
            </w:pPr>
          </w:p>
          <w:p w14:paraId="61E7F6C7" w14:textId="77777777" w:rsidR="00F97573" w:rsidRPr="00286216" w:rsidRDefault="00F97573" w:rsidP="00F97573">
            <w:pPr>
              <w:pStyle w:val="StyleWisnow"/>
              <w:rPr>
                <w:color w:val="000000" w:themeColor="text1"/>
              </w:rPr>
            </w:pPr>
          </w:p>
          <w:p w14:paraId="1AF30E08" w14:textId="77777777" w:rsidR="00F97573" w:rsidRPr="00286216" w:rsidRDefault="00F97573" w:rsidP="00F97573">
            <w:pPr>
              <w:pStyle w:val="StyleWisnow"/>
              <w:rPr>
                <w:color w:val="000000" w:themeColor="text1"/>
              </w:rPr>
            </w:pPr>
          </w:p>
          <w:p w14:paraId="796E054C" w14:textId="77777777" w:rsidR="00F97573" w:rsidRPr="00286216" w:rsidRDefault="00F97573" w:rsidP="00F97573">
            <w:pPr>
              <w:pStyle w:val="StyleWisnow"/>
              <w:rPr>
                <w:color w:val="000000" w:themeColor="text1"/>
              </w:rPr>
            </w:pPr>
          </w:p>
          <w:p w14:paraId="0CCE1DE3" w14:textId="77777777" w:rsidR="00F97573" w:rsidRPr="00286216" w:rsidRDefault="00F97573" w:rsidP="00F97573">
            <w:pPr>
              <w:pStyle w:val="StyleWisnow"/>
              <w:rPr>
                <w:color w:val="000000" w:themeColor="text1"/>
              </w:rPr>
            </w:pPr>
          </w:p>
          <w:p w14:paraId="5A5D48E2" w14:textId="77777777" w:rsidR="00F97573" w:rsidRPr="00286216" w:rsidRDefault="00F97573" w:rsidP="00F97573">
            <w:pPr>
              <w:pStyle w:val="StyleWisnow"/>
              <w:rPr>
                <w:color w:val="000000" w:themeColor="text1"/>
              </w:rPr>
            </w:pPr>
          </w:p>
          <w:p w14:paraId="47C1E184" w14:textId="77777777" w:rsidR="00F97573" w:rsidRPr="00286216" w:rsidRDefault="00F97573" w:rsidP="00F97573">
            <w:pPr>
              <w:pStyle w:val="StyleWisnow"/>
              <w:rPr>
                <w:color w:val="000000" w:themeColor="text1"/>
              </w:rPr>
            </w:pPr>
          </w:p>
          <w:p w14:paraId="73F54F81" w14:textId="77777777" w:rsidR="00F97573" w:rsidRPr="00286216" w:rsidRDefault="00F97573" w:rsidP="00F97573">
            <w:pPr>
              <w:pStyle w:val="StyleWisnow"/>
              <w:rPr>
                <w:color w:val="000000" w:themeColor="text1"/>
              </w:rPr>
            </w:pPr>
          </w:p>
          <w:p w14:paraId="24F7FDCD" w14:textId="77777777" w:rsidR="00F97573" w:rsidRPr="00286216" w:rsidRDefault="00F97573" w:rsidP="00F97573">
            <w:pPr>
              <w:pStyle w:val="StyleWisnow"/>
              <w:rPr>
                <w:color w:val="000000" w:themeColor="text1"/>
              </w:rPr>
            </w:pPr>
          </w:p>
          <w:p w14:paraId="58D077B7" w14:textId="77777777" w:rsidR="00F97573" w:rsidRPr="00286216" w:rsidRDefault="00F97573" w:rsidP="00F97573">
            <w:pPr>
              <w:pStyle w:val="StyleWisnow"/>
              <w:rPr>
                <w:color w:val="000000" w:themeColor="text1"/>
              </w:rPr>
            </w:pPr>
          </w:p>
          <w:p w14:paraId="508D83F1" w14:textId="77777777" w:rsidR="00F97573" w:rsidRPr="00286216" w:rsidRDefault="00F97573" w:rsidP="00F97573">
            <w:pPr>
              <w:pStyle w:val="StyleWisnow"/>
              <w:rPr>
                <w:color w:val="000000" w:themeColor="text1"/>
              </w:rPr>
            </w:pPr>
          </w:p>
          <w:p w14:paraId="600B93EF" w14:textId="77777777" w:rsidR="00F97573" w:rsidRPr="00286216" w:rsidRDefault="00F97573" w:rsidP="00F97573">
            <w:pPr>
              <w:pStyle w:val="StyleWisnow"/>
              <w:rPr>
                <w:color w:val="000000" w:themeColor="text1"/>
              </w:rPr>
            </w:pPr>
          </w:p>
          <w:p w14:paraId="37371A6E" w14:textId="77777777" w:rsidR="00F97573" w:rsidRPr="00286216" w:rsidRDefault="00F97573" w:rsidP="00F97573">
            <w:pPr>
              <w:pStyle w:val="StyleWisnow"/>
              <w:rPr>
                <w:color w:val="000000" w:themeColor="text1"/>
              </w:rPr>
            </w:pPr>
          </w:p>
          <w:p w14:paraId="57FDC94C" w14:textId="77777777" w:rsidR="00F97573" w:rsidRPr="00286216" w:rsidRDefault="00F97573" w:rsidP="00F97573">
            <w:pPr>
              <w:pStyle w:val="StyleWisnow"/>
              <w:rPr>
                <w:color w:val="000000" w:themeColor="text1"/>
              </w:rPr>
            </w:pPr>
          </w:p>
          <w:p w14:paraId="3E20528F" w14:textId="77777777" w:rsidR="00F97573" w:rsidRPr="00286216" w:rsidRDefault="00F97573" w:rsidP="00F97573">
            <w:pPr>
              <w:pStyle w:val="StyleWisnow"/>
              <w:rPr>
                <w:color w:val="000000" w:themeColor="text1"/>
              </w:rPr>
            </w:pPr>
          </w:p>
          <w:p w14:paraId="790C0BA4" w14:textId="77777777" w:rsidR="00F97573" w:rsidRPr="00286216" w:rsidRDefault="00F97573" w:rsidP="00F97573">
            <w:pPr>
              <w:pStyle w:val="StyleWisnow"/>
              <w:rPr>
                <w:color w:val="000000" w:themeColor="text1"/>
              </w:rPr>
            </w:pPr>
          </w:p>
          <w:p w14:paraId="5E278EA8" w14:textId="77777777" w:rsidR="00F97573" w:rsidRPr="00286216" w:rsidRDefault="00F97573" w:rsidP="00F97573">
            <w:pPr>
              <w:pStyle w:val="StyleWisnow"/>
              <w:rPr>
                <w:color w:val="000000" w:themeColor="text1"/>
              </w:rPr>
            </w:pPr>
          </w:p>
          <w:p w14:paraId="2E98BB71" w14:textId="77777777" w:rsidR="00F97573" w:rsidRPr="00286216" w:rsidRDefault="00F97573" w:rsidP="00F97573">
            <w:pPr>
              <w:pStyle w:val="StyleWisnow"/>
              <w:rPr>
                <w:color w:val="000000" w:themeColor="text1"/>
              </w:rPr>
            </w:pPr>
          </w:p>
          <w:p w14:paraId="345BB3EB" w14:textId="77777777" w:rsidR="00F97573" w:rsidRPr="00286216" w:rsidRDefault="00F97573" w:rsidP="00F97573">
            <w:pPr>
              <w:pStyle w:val="StyleWisnow"/>
              <w:rPr>
                <w:color w:val="000000" w:themeColor="text1"/>
              </w:rPr>
            </w:pPr>
          </w:p>
          <w:p w14:paraId="6B1232A4" w14:textId="77777777" w:rsidR="00F97573" w:rsidRPr="00286216" w:rsidRDefault="00F97573" w:rsidP="00F97573">
            <w:pPr>
              <w:pStyle w:val="StyleWisnow"/>
              <w:rPr>
                <w:color w:val="000000" w:themeColor="text1"/>
              </w:rPr>
            </w:pPr>
          </w:p>
          <w:p w14:paraId="342DA102" w14:textId="77777777" w:rsidR="00F97573" w:rsidRPr="00286216" w:rsidRDefault="00F97573" w:rsidP="00F97573">
            <w:pPr>
              <w:pStyle w:val="StyleWisnow"/>
              <w:rPr>
                <w:color w:val="000000" w:themeColor="text1"/>
              </w:rPr>
            </w:pPr>
          </w:p>
          <w:p w14:paraId="5586A510" w14:textId="77777777" w:rsidR="00F97573" w:rsidRPr="00286216" w:rsidRDefault="00F97573" w:rsidP="00F97573">
            <w:pPr>
              <w:pStyle w:val="StyleWisnow"/>
              <w:rPr>
                <w:color w:val="000000" w:themeColor="text1"/>
              </w:rPr>
            </w:pPr>
          </w:p>
          <w:p w14:paraId="297740C3" w14:textId="77777777" w:rsidR="00F97573" w:rsidRPr="00286216" w:rsidRDefault="00F97573" w:rsidP="00F97573">
            <w:pPr>
              <w:pStyle w:val="StyleWisnow"/>
              <w:rPr>
                <w:color w:val="000000" w:themeColor="text1"/>
              </w:rPr>
            </w:pPr>
          </w:p>
          <w:p w14:paraId="5EFC4C88" w14:textId="77777777" w:rsidR="00F97573" w:rsidRPr="00286216" w:rsidRDefault="00F97573" w:rsidP="00F97573">
            <w:pPr>
              <w:pStyle w:val="StyleWisnow"/>
              <w:rPr>
                <w:color w:val="000000" w:themeColor="text1"/>
              </w:rPr>
            </w:pPr>
          </w:p>
          <w:p w14:paraId="1010F97E" w14:textId="77777777" w:rsidR="00F97573" w:rsidRPr="00286216" w:rsidRDefault="00F97573" w:rsidP="00F97573">
            <w:pPr>
              <w:pStyle w:val="StyleWisnow"/>
              <w:rPr>
                <w:color w:val="000000" w:themeColor="text1"/>
              </w:rPr>
            </w:pPr>
          </w:p>
          <w:p w14:paraId="76400274" w14:textId="77777777" w:rsidR="00F97573" w:rsidRPr="00286216" w:rsidRDefault="00F97573" w:rsidP="00F97573">
            <w:pPr>
              <w:pStyle w:val="StyleWisnow"/>
              <w:rPr>
                <w:color w:val="000000" w:themeColor="text1"/>
              </w:rPr>
            </w:pPr>
          </w:p>
          <w:p w14:paraId="10AB1860" w14:textId="77777777" w:rsidR="00F97573" w:rsidRPr="00286216" w:rsidRDefault="00F97573" w:rsidP="00F97573">
            <w:pPr>
              <w:pStyle w:val="StyleWisnow"/>
              <w:rPr>
                <w:color w:val="000000" w:themeColor="text1"/>
              </w:rPr>
            </w:pPr>
          </w:p>
          <w:p w14:paraId="0ED2D4A6" w14:textId="77777777" w:rsidR="00F97573" w:rsidRPr="00286216" w:rsidRDefault="00F97573" w:rsidP="00F97573">
            <w:pPr>
              <w:pStyle w:val="StyleWisnow"/>
              <w:rPr>
                <w:color w:val="000000" w:themeColor="text1"/>
              </w:rPr>
            </w:pPr>
          </w:p>
          <w:p w14:paraId="49349981" w14:textId="77777777" w:rsidR="00F97573" w:rsidRPr="00286216" w:rsidRDefault="00F97573" w:rsidP="00F97573">
            <w:pPr>
              <w:pStyle w:val="StyleWisnow"/>
              <w:rPr>
                <w:color w:val="000000" w:themeColor="text1"/>
              </w:rPr>
            </w:pPr>
          </w:p>
          <w:p w14:paraId="01F1C25C" w14:textId="77777777" w:rsidR="00F97573" w:rsidRPr="00286216" w:rsidRDefault="00F97573" w:rsidP="00F97573">
            <w:pPr>
              <w:pStyle w:val="StyleWisnow"/>
              <w:rPr>
                <w:color w:val="000000" w:themeColor="text1"/>
              </w:rPr>
            </w:pPr>
          </w:p>
          <w:p w14:paraId="32B9E464" w14:textId="77777777" w:rsidR="00F97573" w:rsidRPr="00286216" w:rsidRDefault="00F97573" w:rsidP="00F97573">
            <w:pPr>
              <w:pStyle w:val="StyleWisnow"/>
              <w:rPr>
                <w:color w:val="000000" w:themeColor="text1"/>
              </w:rPr>
            </w:pPr>
          </w:p>
          <w:p w14:paraId="207BA72D" w14:textId="77777777" w:rsidR="00F97573" w:rsidRPr="00286216" w:rsidRDefault="00F97573" w:rsidP="00F97573">
            <w:pPr>
              <w:pStyle w:val="StyleWisnow"/>
              <w:rPr>
                <w:color w:val="000000" w:themeColor="text1"/>
              </w:rPr>
            </w:pPr>
          </w:p>
          <w:p w14:paraId="42C92178" w14:textId="77777777" w:rsidR="00F97573" w:rsidRPr="00286216" w:rsidRDefault="00F97573" w:rsidP="00F97573">
            <w:pPr>
              <w:pStyle w:val="StyleWisnow"/>
              <w:rPr>
                <w:color w:val="000000" w:themeColor="text1"/>
              </w:rPr>
            </w:pPr>
          </w:p>
          <w:p w14:paraId="3915D44F" w14:textId="77777777" w:rsidR="00F97573" w:rsidRPr="00286216" w:rsidRDefault="00F97573" w:rsidP="00F97573">
            <w:pPr>
              <w:pStyle w:val="StyleWisnow"/>
              <w:rPr>
                <w:color w:val="000000" w:themeColor="text1"/>
              </w:rPr>
            </w:pPr>
          </w:p>
          <w:p w14:paraId="157E9AC4" w14:textId="77777777" w:rsidR="00F97573" w:rsidRPr="00286216" w:rsidRDefault="00F97573" w:rsidP="00F97573">
            <w:pPr>
              <w:pStyle w:val="StyleWisnow"/>
              <w:rPr>
                <w:color w:val="000000" w:themeColor="text1"/>
              </w:rPr>
            </w:pPr>
          </w:p>
          <w:p w14:paraId="3504104B" w14:textId="77777777" w:rsidR="00F97573" w:rsidRPr="00286216" w:rsidRDefault="00F97573" w:rsidP="00F97573">
            <w:pPr>
              <w:pStyle w:val="StyleWisnow"/>
              <w:rPr>
                <w:color w:val="000000" w:themeColor="text1"/>
              </w:rPr>
            </w:pPr>
          </w:p>
          <w:p w14:paraId="77F1E4D6" w14:textId="77777777" w:rsidR="00F97573" w:rsidRPr="00286216" w:rsidRDefault="00F97573" w:rsidP="00F97573">
            <w:pPr>
              <w:pStyle w:val="StyleWisnow"/>
              <w:rPr>
                <w:color w:val="000000" w:themeColor="text1"/>
              </w:rPr>
            </w:pPr>
          </w:p>
          <w:p w14:paraId="15E4CC8C" w14:textId="77777777" w:rsidR="00F97573" w:rsidRPr="00286216" w:rsidRDefault="00F97573" w:rsidP="00F97573">
            <w:pPr>
              <w:pStyle w:val="StyleWisnow"/>
              <w:rPr>
                <w:color w:val="000000" w:themeColor="text1"/>
              </w:rPr>
            </w:pPr>
          </w:p>
          <w:p w14:paraId="0587D26E" w14:textId="77777777" w:rsidR="00F97573" w:rsidRPr="00286216" w:rsidRDefault="00F97573" w:rsidP="00F97573">
            <w:pPr>
              <w:pStyle w:val="StyleWisnow"/>
              <w:rPr>
                <w:color w:val="000000" w:themeColor="text1"/>
              </w:rPr>
            </w:pPr>
          </w:p>
          <w:p w14:paraId="46A088F2" w14:textId="77777777" w:rsidR="00F97573" w:rsidRPr="00286216" w:rsidRDefault="00F97573" w:rsidP="00F97573">
            <w:pPr>
              <w:pStyle w:val="StyleWisnow"/>
              <w:rPr>
                <w:color w:val="000000" w:themeColor="text1"/>
              </w:rPr>
            </w:pPr>
          </w:p>
          <w:p w14:paraId="17B29497" w14:textId="77777777" w:rsidR="00F97573" w:rsidRPr="00286216" w:rsidRDefault="00F97573" w:rsidP="00F97573">
            <w:pPr>
              <w:pStyle w:val="StyleWisnow"/>
              <w:rPr>
                <w:color w:val="000000" w:themeColor="text1"/>
              </w:rPr>
            </w:pPr>
          </w:p>
          <w:p w14:paraId="38FB352E" w14:textId="77777777" w:rsidR="00F97573" w:rsidRPr="00286216" w:rsidRDefault="00F97573" w:rsidP="00F97573">
            <w:pPr>
              <w:pStyle w:val="StyleWisnow"/>
              <w:rPr>
                <w:color w:val="000000" w:themeColor="text1"/>
              </w:rPr>
            </w:pPr>
          </w:p>
          <w:p w14:paraId="1833F4C3" w14:textId="77777777" w:rsidR="00F97573" w:rsidRPr="00286216" w:rsidRDefault="00F97573" w:rsidP="00F97573">
            <w:pPr>
              <w:pStyle w:val="StyleWisnow"/>
              <w:rPr>
                <w:color w:val="000000" w:themeColor="text1"/>
              </w:rPr>
            </w:pPr>
          </w:p>
          <w:p w14:paraId="1C41A885" w14:textId="77777777" w:rsidR="00F97573" w:rsidRPr="00286216" w:rsidRDefault="00F97573" w:rsidP="00F97573">
            <w:pPr>
              <w:pStyle w:val="StyleWisnow"/>
              <w:rPr>
                <w:color w:val="000000" w:themeColor="text1"/>
              </w:rPr>
            </w:pPr>
          </w:p>
          <w:p w14:paraId="1DEABB54" w14:textId="77777777" w:rsidR="00F97573" w:rsidRPr="00286216" w:rsidRDefault="00F97573" w:rsidP="00F97573">
            <w:pPr>
              <w:pStyle w:val="StyleWisnow"/>
              <w:rPr>
                <w:color w:val="000000" w:themeColor="text1"/>
              </w:rPr>
            </w:pPr>
          </w:p>
          <w:p w14:paraId="51214428" w14:textId="77777777" w:rsidR="00F97573" w:rsidRPr="00286216" w:rsidRDefault="00F97573" w:rsidP="00F97573">
            <w:pPr>
              <w:pStyle w:val="StyleWisnow"/>
              <w:rPr>
                <w:color w:val="000000" w:themeColor="text1"/>
              </w:rPr>
            </w:pPr>
          </w:p>
          <w:p w14:paraId="044086AE" w14:textId="77777777" w:rsidR="00F97573" w:rsidRPr="00286216" w:rsidRDefault="00F97573" w:rsidP="00F97573">
            <w:pPr>
              <w:pStyle w:val="StyleWisnow"/>
              <w:rPr>
                <w:color w:val="000000" w:themeColor="text1"/>
              </w:rPr>
            </w:pPr>
          </w:p>
          <w:p w14:paraId="3A7B7403" w14:textId="77777777" w:rsidR="00F97573" w:rsidRPr="00286216" w:rsidRDefault="00F97573" w:rsidP="00F97573">
            <w:pPr>
              <w:pStyle w:val="StyleWisnow"/>
              <w:rPr>
                <w:color w:val="000000" w:themeColor="text1"/>
              </w:rPr>
            </w:pPr>
          </w:p>
          <w:p w14:paraId="2D1E76C6" w14:textId="77777777" w:rsidR="00F97573" w:rsidRPr="00286216" w:rsidRDefault="00F97573" w:rsidP="00F97573">
            <w:pPr>
              <w:pStyle w:val="StyleWisnow"/>
              <w:rPr>
                <w:color w:val="000000" w:themeColor="text1"/>
              </w:rPr>
            </w:pPr>
          </w:p>
          <w:p w14:paraId="04BF620D" w14:textId="77777777" w:rsidR="00F97573" w:rsidRPr="00286216" w:rsidRDefault="00F97573" w:rsidP="00F97573">
            <w:pPr>
              <w:pStyle w:val="StyleWisnow"/>
              <w:rPr>
                <w:color w:val="000000" w:themeColor="text1"/>
              </w:rPr>
            </w:pPr>
          </w:p>
          <w:p w14:paraId="3D213137" w14:textId="77777777" w:rsidR="00F97573" w:rsidRPr="00286216" w:rsidRDefault="00F97573" w:rsidP="00F97573">
            <w:pPr>
              <w:pStyle w:val="StyleWisnow"/>
              <w:rPr>
                <w:color w:val="000000" w:themeColor="text1"/>
              </w:rPr>
            </w:pPr>
          </w:p>
          <w:p w14:paraId="3D69D011" w14:textId="77777777" w:rsidR="00F97573" w:rsidRPr="00286216" w:rsidRDefault="00F97573" w:rsidP="00F97573">
            <w:pPr>
              <w:pStyle w:val="StyleWisnow"/>
              <w:rPr>
                <w:color w:val="000000" w:themeColor="text1"/>
              </w:rPr>
            </w:pPr>
          </w:p>
          <w:p w14:paraId="1F5FE1C9" w14:textId="77777777" w:rsidR="00F97573" w:rsidRPr="00286216" w:rsidRDefault="00F97573" w:rsidP="00F97573">
            <w:pPr>
              <w:pStyle w:val="StyleWisnow"/>
              <w:rPr>
                <w:color w:val="000000" w:themeColor="text1"/>
              </w:rPr>
            </w:pPr>
          </w:p>
          <w:p w14:paraId="3C65AC0B" w14:textId="77777777" w:rsidR="00F97573" w:rsidRPr="00286216" w:rsidRDefault="00F97573" w:rsidP="00F97573">
            <w:pPr>
              <w:pStyle w:val="StyleWisnow"/>
              <w:rPr>
                <w:color w:val="000000" w:themeColor="text1"/>
              </w:rPr>
            </w:pPr>
          </w:p>
          <w:p w14:paraId="2385FB8A" w14:textId="77777777" w:rsidR="00F97573" w:rsidRPr="00286216" w:rsidRDefault="00F97573" w:rsidP="00F97573">
            <w:pPr>
              <w:pStyle w:val="StyleWisnow"/>
              <w:rPr>
                <w:color w:val="000000" w:themeColor="text1"/>
              </w:rPr>
            </w:pPr>
          </w:p>
          <w:p w14:paraId="660F92EE" w14:textId="77777777" w:rsidR="00F97573" w:rsidRPr="00286216" w:rsidRDefault="00F97573" w:rsidP="00F97573">
            <w:pPr>
              <w:pStyle w:val="StyleWisnow"/>
              <w:rPr>
                <w:color w:val="000000" w:themeColor="text1"/>
              </w:rPr>
            </w:pPr>
          </w:p>
          <w:p w14:paraId="7E849E55" w14:textId="77777777" w:rsidR="00F97573" w:rsidRPr="00286216" w:rsidRDefault="00F97573" w:rsidP="00F97573">
            <w:pPr>
              <w:pStyle w:val="StyleWisnow"/>
              <w:rPr>
                <w:color w:val="000000" w:themeColor="text1"/>
              </w:rPr>
            </w:pPr>
          </w:p>
          <w:p w14:paraId="40BB15F8" w14:textId="77777777" w:rsidR="00F97573" w:rsidRPr="00286216" w:rsidRDefault="00F97573" w:rsidP="00F97573">
            <w:pPr>
              <w:pStyle w:val="StyleWisnow"/>
              <w:rPr>
                <w:color w:val="000000" w:themeColor="text1"/>
              </w:rPr>
            </w:pPr>
          </w:p>
          <w:p w14:paraId="6446A4EE" w14:textId="77777777" w:rsidR="00F97573" w:rsidRPr="00286216" w:rsidRDefault="00F97573" w:rsidP="00F97573">
            <w:pPr>
              <w:pStyle w:val="StyleWisnow"/>
              <w:rPr>
                <w:color w:val="000000" w:themeColor="text1"/>
              </w:rPr>
            </w:pPr>
          </w:p>
          <w:p w14:paraId="05323680" w14:textId="77777777" w:rsidR="00F97573" w:rsidRPr="00286216" w:rsidRDefault="00F97573" w:rsidP="00F97573">
            <w:pPr>
              <w:pStyle w:val="StyleWisnow"/>
              <w:rPr>
                <w:color w:val="000000" w:themeColor="text1"/>
              </w:rPr>
            </w:pPr>
          </w:p>
          <w:p w14:paraId="72617F86" w14:textId="77777777" w:rsidR="00F97573" w:rsidRPr="00286216" w:rsidRDefault="00F97573" w:rsidP="00F97573">
            <w:pPr>
              <w:pStyle w:val="StyleWisnow"/>
              <w:rPr>
                <w:color w:val="000000" w:themeColor="text1"/>
              </w:rPr>
            </w:pPr>
          </w:p>
          <w:p w14:paraId="21662C45" w14:textId="77777777" w:rsidR="00F97573" w:rsidRPr="00286216" w:rsidRDefault="00F97573" w:rsidP="00F97573">
            <w:pPr>
              <w:pStyle w:val="StyleWisnow"/>
              <w:rPr>
                <w:color w:val="000000" w:themeColor="text1"/>
              </w:rPr>
            </w:pPr>
          </w:p>
          <w:p w14:paraId="67BD1ED1" w14:textId="77777777" w:rsidR="00F97573" w:rsidRPr="00286216" w:rsidRDefault="00F97573" w:rsidP="00F97573">
            <w:pPr>
              <w:pStyle w:val="StyleWisnow"/>
              <w:rPr>
                <w:color w:val="000000" w:themeColor="text1"/>
              </w:rPr>
            </w:pPr>
          </w:p>
          <w:p w14:paraId="5D542A44" w14:textId="77777777" w:rsidR="00F97573" w:rsidRPr="00286216" w:rsidRDefault="00F97573" w:rsidP="00F97573">
            <w:pPr>
              <w:pStyle w:val="StyleWisnow"/>
              <w:rPr>
                <w:color w:val="000000" w:themeColor="text1"/>
              </w:rPr>
            </w:pPr>
          </w:p>
          <w:p w14:paraId="00E65397" w14:textId="77777777" w:rsidR="00F97573" w:rsidRPr="00286216" w:rsidRDefault="00F97573" w:rsidP="00F97573">
            <w:pPr>
              <w:pStyle w:val="StyleWisnow"/>
              <w:rPr>
                <w:color w:val="000000" w:themeColor="text1"/>
              </w:rPr>
            </w:pPr>
          </w:p>
          <w:p w14:paraId="1F217603" w14:textId="77777777" w:rsidR="00F97573" w:rsidRPr="00286216" w:rsidRDefault="00F97573" w:rsidP="00F97573">
            <w:pPr>
              <w:pStyle w:val="StyleWisnow"/>
              <w:rPr>
                <w:color w:val="000000" w:themeColor="text1"/>
              </w:rPr>
            </w:pPr>
          </w:p>
          <w:p w14:paraId="61B926BB" w14:textId="77777777" w:rsidR="00F97573" w:rsidRPr="00286216" w:rsidRDefault="00F97573" w:rsidP="00F97573">
            <w:pPr>
              <w:pStyle w:val="StyleWisnow"/>
              <w:rPr>
                <w:color w:val="000000" w:themeColor="text1"/>
              </w:rPr>
            </w:pPr>
          </w:p>
          <w:p w14:paraId="170FD0E1" w14:textId="77777777" w:rsidR="00F97573" w:rsidRPr="00286216" w:rsidRDefault="00F97573" w:rsidP="00F97573">
            <w:pPr>
              <w:pStyle w:val="StyleWisnow"/>
              <w:rPr>
                <w:color w:val="000000" w:themeColor="text1"/>
              </w:rPr>
            </w:pPr>
          </w:p>
          <w:p w14:paraId="54CD09F9" w14:textId="77777777" w:rsidR="00F97573" w:rsidRPr="00286216" w:rsidRDefault="00F97573" w:rsidP="00F97573">
            <w:pPr>
              <w:pStyle w:val="StyleWisnow"/>
              <w:rPr>
                <w:color w:val="000000" w:themeColor="text1"/>
              </w:rPr>
            </w:pPr>
          </w:p>
          <w:p w14:paraId="5904852D" w14:textId="77777777" w:rsidR="00F97573" w:rsidRPr="00286216" w:rsidRDefault="00F97573" w:rsidP="00F97573">
            <w:pPr>
              <w:pStyle w:val="StyleWisnow"/>
              <w:rPr>
                <w:color w:val="000000" w:themeColor="text1"/>
              </w:rPr>
            </w:pPr>
          </w:p>
          <w:p w14:paraId="1D75E285" w14:textId="77777777" w:rsidR="00F97573" w:rsidRPr="00286216" w:rsidRDefault="00F97573" w:rsidP="00F97573">
            <w:pPr>
              <w:pStyle w:val="StyleWisnow"/>
              <w:rPr>
                <w:color w:val="000000" w:themeColor="text1"/>
              </w:rPr>
            </w:pPr>
          </w:p>
          <w:p w14:paraId="4E7FD39E" w14:textId="77777777" w:rsidR="00F97573" w:rsidRPr="00286216" w:rsidRDefault="00F97573" w:rsidP="00F97573">
            <w:pPr>
              <w:pStyle w:val="StyleWisnow"/>
              <w:rPr>
                <w:color w:val="000000" w:themeColor="text1"/>
              </w:rPr>
            </w:pPr>
          </w:p>
          <w:p w14:paraId="18E6434C" w14:textId="77777777" w:rsidR="00F97573" w:rsidRPr="00286216" w:rsidRDefault="00F97573" w:rsidP="00F97573">
            <w:pPr>
              <w:pStyle w:val="StyleWisnow"/>
              <w:rPr>
                <w:color w:val="000000" w:themeColor="text1"/>
              </w:rPr>
            </w:pPr>
          </w:p>
          <w:p w14:paraId="54B0677E" w14:textId="77777777" w:rsidR="00F97573" w:rsidRPr="00286216" w:rsidRDefault="00F97573" w:rsidP="00F97573">
            <w:pPr>
              <w:pStyle w:val="StyleWisnow"/>
              <w:rPr>
                <w:color w:val="000000" w:themeColor="text1"/>
              </w:rPr>
            </w:pPr>
          </w:p>
          <w:p w14:paraId="0E7F1F0C" w14:textId="77777777" w:rsidR="00F97573" w:rsidRPr="00286216" w:rsidRDefault="00F97573" w:rsidP="00F97573">
            <w:pPr>
              <w:pStyle w:val="StyleWisnow"/>
              <w:rPr>
                <w:color w:val="000000" w:themeColor="text1"/>
              </w:rPr>
            </w:pPr>
          </w:p>
          <w:p w14:paraId="3DD6D3C5" w14:textId="77777777" w:rsidR="00F97573" w:rsidRPr="00286216" w:rsidRDefault="00F97573" w:rsidP="00F97573">
            <w:pPr>
              <w:pStyle w:val="StyleWisnow"/>
              <w:rPr>
                <w:color w:val="000000" w:themeColor="text1"/>
              </w:rPr>
            </w:pPr>
          </w:p>
          <w:p w14:paraId="7587002F" w14:textId="77777777" w:rsidR="00F97573" w:rsidRPr="00286216" w:rsidRDefault="00F97573" w:rsidP="00F97573">
            <w:pPr>
              <w:pStyle w:val="StyleWisnow"/>
              <w:rPr>
                <w:color w:val="000000" w:themeColor="text1"/>
              </w:rPr>
            </w:pPr>
          </w:p>
          <w:p w14:paraId="571F0030" w14:textId="77777777" w:rsidR="00F97573" w:rsidRPr="00286216" w:rsidRDefault="00F97573" w:rsidP="00F97573">
            <w:pPr>
              <w:pStyle w:val="StyleWisnow"/>
              <w:rPr>
                <w:color w:val="000000" w:themeColor="text1"/>
              </w:rPr>
            </w:pPr>
          </w:p>
          <w:p w14:paraId="5B5707AE" w14:textId="77777777" w:rsidR="00F97573" w:rsidRPr="00286216" w:rsidRDefault="00F97573" w:rsidP="00F97573">
            <w:pPr>
              <w:pStyle w:val="StyleWisnow"/>
              <w:rPr>
                <w:color w:val="000000" w:themeColor="text1"/>
              </w:rPr>
            </w:pPr>
          </w:p>
          <w:p w14:paraId="34CE7AAC" w14:textId="77777777" w:rsidR="00F97573" w:rsidRPr="00286216" w:rsidRDefault="00F97573" w:rsidP="00F97573">
            <w:pPr>
              <w:pStyle w:val="StyleWisnow"/>
              <w:rPr>
                <w:color w:val="000000" w:themeColor="text1"/>
              </w:rPr>
            </w:pPr>
          </w:p>
          <w:p w14:paraId="7044F7DE" w14:textId="77777777" w:rsidR="00F97573" w:rsidRPr="00286216" w:rsidRDefault="00F97573" w:rsidP="00F97573">
            <w:pPr>
              <w:pStyle w:val="StyleWisnow"/>
              <w:rPr>
                <w:color w:val="000000" w:themeColor="text1"/>
              </w:rPr>
            </w:pPr>
          </w:p>
          <w:p w14:paraId="20E5E242" w14:textId="77777777" w:rsidR="00F97573" w:rsidRPr="00286216" w:rsidRDefault="00F97573" w:rsidP="00F97573">
            <w:pPr>
              <w:pStyle w:val="StyleWisnow"/>
              <w:rPr>
                <w:color w:val="000000" w:themeColor="text1"/>
              </w:rPr>
            </w:pPr>
          </w:p>
          <w:p w14:paraId="2E25B2F4" w14:textId="77777777" w:rsidR="00F97573" w:rsidRPr="00286216" w:rsidRDefault="00F97573" w:rsidP="00F97573">
            <w:pPr>
              <w:pStyle w:val="StyleWisnow"/>
              <w:rPr>
                <w:color w:val="000000" w:themeColor="text1"/>
              </w:rPr>
            </w:pPr>
          </w:p>
          <w:p w14:paraId="774EFE39" w14:textId="77777777" w:rsidR="00F97573" w:rsidRPr="00286216" w:rsidRDefault="00F97573" w:rsidP="00F97573">
            <w:pPr>
              <w:pStyle w:val="StyleWisnow"/>
              <w:rPr>
                <w:color w:val="000000" w:themeColor="text1"/>
              </w:rPr>
            </w:pPr>
          </w:p>
          <w:p w14:paraId="2C7BCAC4" w14:textId="77777777" w:rsidR="00F97573" w:rsidRPr="00286216" w:rsidRDefault="00F97573" w:rsidP="00F97573">
            <w:pPr>
              <w:pStyle w:val="StyleWisnow"/>
              <w:rPr>
                <w:color w:val="000000" w:themeColor="text1"/>
              </w:rPr>
            </w:pPr>
          </w:p>
          <w:p w14:paraId="241E9700" w14:textId="77777777" w:rsidR="00F97573" w:rsidRPr="00286216" w:rsidRDefault="00F97573" w:rsidP="00F97573">
            <w:pPr>
              <w:pStyle w:val="StyleWisnow"/>
              <w:rPr>
                <w:color w:val="000000" w:themeColor="text1"/>
              </w:rPr>
            </w:pPr>
          </w:p>
          <w:p w14:paraId="44938DA7" w14:textId="77777777" w:rsidR="00F97573" w:rsidRPr="00286216" w:rsidRDefault="00F97573" w:rsidP="00F97573">
            <w:pPr>
              <w:pStyle w:val="StyleWisnow"/>
              <w:rPr>
                <w:color w:val="000000" w:themeColor="text1"/>
              </w:rPr>
            </w:pPr>
          </w:p>
          <w:p w14:paraId="6BAE116A" w14:textId="77777777" w:rsidR="00F97573" w:rsidRPr="00286216" w:rsidRDefault="00F97573" w:rsidP="00F97573">
            <w:pPr>
              <w:pStyle w:val="StyleWisnow"/>
              <w:rPr>
                <w:color w:val="000000" w:themeColor="text1"/>
              </w:rPr>
            </w:pPr>
          </w:p>
          <w:p w14:paraId="0FDEEFDE" w14:textId="77777777" w:rsidR="00F97573" w:rsidRPr="00286216" w:rsidRDefault="00F97573" w:rsidP="00F97573">
            <w:pPr>
              <w:pStyle w:val="StyleWisnow"/>
              <w:rPr>
                <w:color w:val="000000" w:themeColor="text1"/>
              </w:rPr>
            </w:pPr>
          </w:p>
          <w:p w14:paraId="76A4E1E6" w14:textId="77777777" w:rsidR="00F97573" w:rsidRPr="00286216" w:rsidRDefault="00F97573" w:rsidP="00F97573">
            <w:pPr>
              <w:pStyle w:val="StyleWisnow"/>
              <w:rPr>
                <w:color w:val="000000" w:themeColor="text1"/>
              </w:rPr>
            </w:pPr>
          </w:p>
          <w:p w14:paraId="2E7B34FC" w14:textId="77777777" w:rsidR="00F97573" w:rsidRPr="00286216" w:rsidRDefault="00F97573" w:rsidP="00F97573">
            <w:pPr>
              <w:pStyle w:val="StyleWisnow"/>
              <w:rPr>
                <w:color w:val="000000" w:themeColor="text1"/>
              </w:rPr>
            </w:pPr>
          </w:p>
          <w:p w14:paraId="47AC67E9" w14:textId="77777777" w:rsidR="00F97573" w:rsidRPr="00286216" w:rsidRDefault="00F97573" w:rsidP="00F97573">
            <w:pPr>
              <w:pStyle w:val="StyleWisnow"/>
              <w:rPr>
                <w:color w:val="000000" w:themeColor="text1"/>
              </w:rPr>
            </w:pPr>
          </w:p>
          <w:p w14:paraId="3C1B309C" w14:textId="77777777" w:rsidR="00F97573" w:rsidRPr="00286216" w:rsidRDefault="00F97573" w:rsidP="00F97573">
            <w:pPr>
              <w:pStyle w:val="StyleWisnow"/>
              <w:rPr>
                <w:color w:val="000000" w:themeColor="text1"/>
              </w:rPr>
            </w:pPr>
          </w:p>
          <w:p w14:paraId="7A2497C7" w14:textId="77777777" w:rsidR="00F97573" w:rsidRPr="00286216" w:rsidRDefault="00F97573" w:rsidP="00F97573">
            <w:pPr>
              <w:pStyle w:val="StyleWisnow"/>
              <w:rPr>
                <w:color w:val="000000" w:themeColor="text1"/>
              </w:rPr>
            </w:pPr>
          </w:p>
          <w:p w14:paraId="68DF9597" w14:textId="77777777" w:rsidR="00F97573" w:rsidRPr="00286216" w:rsidRDefault="00F97573" w:rsidP="00F97573">
            <w:pPr>
              <w:pStyle w:val="StyleWisnow"/>
              <w:rPr>
                <w:color w:val="000000" w:themeColor="text1"/>
              </w:rPr>
            </w:pPr>
          </w:p>
          <w:p w14:paraId="647ABC10" w14:textId="77777777" w:rsidR="00F97573" w:rsidRPr="00286216" w:rsidRDefault="00F97573" w:rsidP="00F97573">
            <w:pPr>
              <w:pStyle w:val="StyleWisnow"/>
              <w:rPr>
                <w:color w:val="000000" w:themeColor="text1"/>
              </w:rPr>
            </w:pPr>
          </w:p>
          <w:p w14:paraId="538D9577" w14:textId="77777777" w:rsidR="00F97573" w:rsidRPr="00286216" w:rsidRDefault="00F97573" w:rsidP="00F97573">
            <w:pPr>
              <w:pStyle w:val="StyleWisnow"/>
              <w:rPr>
                <w:color w:val="000000" w:themeColor="text1"/>
              </w:rPr>
            </w:pPr>
          </w:p>
          <w:p w14:paraId="79ABE665" w14:textId="77777777" w:rsidR="00F97573" w:rsidRPr="00286216" w:rsidRDefault="00F97573" w:rsidP="00F97573">
            <w:pPr>
              <w:pStyle w:val="StyleWisnow"/>
              <w:rPr>
                <w:color w:val="000000" w:themeColor="text1"/>
              </w:rPr>
            </w:pPr>
          </w:p>
          <w:p w14:paraId="52B2ADAC" w14:textId="77777777" w:rsidR="00F97573" w:rsidRPr="00286216" w:rsidRDefault="00F97573" w:rsidP="00F97573">
            <w:pPr>
              <w:pStyle w:val="StyleWisnow"/>
              <w:rPr>
                <w:color w:val="000000" w:themeColor="text1"/>
              </w:rPr>
            </w:pPr>
          </w:p>
          <w:p w14:paraId="2BBD786D" w14:textId="77777777" w:rsidR="00F97573" w:rsidRPr="00286216" w:rsidRDefault="00F97573" w:rsidP="00F97573">
            <w:pPr>
              <w:pStyle w:val="StyleWisnow"/>
              <w:rPr>
                <w:color w:val="000000" w:themeColor="text1"/>
              </w:rPr>
            </w:pPr>
          </w:p>
          <w:p w14:paraId="1EC1B861" w14:textId="77777777" w:rsidR="00F97573" w:rsidRPr="00286216" w:rsidRDefault="00F97573" w:rsidP="00F97573">
            <w:pPr>
              <w:pStyle w:val="StyleWisnow"/>
              <w:rPr>
                <w:color w:val="000000" w:themeColor="text1"/>
              </w:rPr>
            </w:pPr>
          </w:p>
          <w:p w14:paraId="08CB1F5C" w14:textId="77777777" w:rsidR="00F97573" w:rsidRPr="00286216" w:rsidRDefault="00F97573" w:rsidP="00F97573">
            <w:pPr>
              <w:pStyle w:val="StyleWisnow"/>
              <w:rPr>
                <w:color w:val="000000" w:themeColor="text1"/>
              </w:rPr>
            </w:pPr>
          </w:p>
          <w:p w14:paraId="737EAFC9" w14:textId="77777777" w:rsidR="00F97573" w:rsidRPr="00286216" w:rsidRDefault="00F97573" w:rsidP="00F97573">
            <w:pPr>
              <w:pStyle w:val="StyleWisnow"/>
              <w:rPr>
                <w:color w:val="000000" w:themeColor="text1"/>
              </w:rPr>
            </w:pPr>
          </w:p>
          <w:p w14:paraId="5E2AA808" w14:textId="77777777" w:rsidR="00F97573" w:rsidRPr="00286216" w:rsidRDefault="00F97573" w:rsidP="00F97573">
            <w:pPr>
              <w:pStyle w:val="StyleWisnow"/>
              <w:rPr>
                <w:color w:val="000000" w:themeColor="text1"/>
              </w:rPr>
            </w:pPr>
          </w:p>
          <w:p w14:paraId="257D180B" w14:textId="77777777" w:rsidR="00F97573" w:rsidRPr="00286216" w:rsidRDefault="00F97573" w:rsidP="00F97573">
            <w:pPr>
              <w:pStyle w:val="StyleWisnow"/>
              <w:rPr>
                <w:color w:val="000000" w:themeColor="text1"/>
              </w:rPr>
            </w:pPr>
          </w:p>
          <w:p w14:paraId="4B102F5E" w14:textId="77777777" w:rsidR="00F97573" w:rsidRPr="00286216" w:rsidRDefault="00F97573" w:rsidP="00F97573">
            <w:pPr>
              <w:pStyle w:val="StyleWisnow"/>
              <w:rPr>
                <w:color w:val="000000" w:themeColor="text1"/>
              </w:rPr>
            </w:pPr>
          </w:p>
          <w:p w14:paraId="46F60D07" w14:textId="77777777" w:rsidR="00F97573" w:rsidRPr="00286216" w:rsidRDefault="00F97573" w:rsidP="00F97573">
            <w:pPr>
              <w:pStyle w:val="StyleWisnow"/>
              <w:rPr>
                <w:color w:val="000000" w:themeColor="text1"/>
              </w:rPr>
            </w:pPr>
          </w:p>
          <w:p w14:paraId="685EA440" w14:textId="77777777" w:rsidR="00F97573" w:rsidRPr="00286216" w:rsidRDefault="00F97573" w:rsidP="00F97573">
            <w:pPr>
              <w:pStyle w:val="StyleWisnow"/>
              <w:rPr>
                <w:color w:val="000000" w:themeColor="text1"/>
              </w:rPr>
            </w:pPr>
          </w:p>
          <w:p w14:paraId="11D01BDF" w14:textId="77777777" w:rsidR="00F97573" w:rsidRPr="00286216" w:rsidRDefault="00F97573" w:rsidP="00F97573">
            <w:pPr>
              <w:pStyle w:val="StyleWisnow"/>
              <w:rPr>
                <w:color w:val="000000" w:themeColor="text1"/>
              </w:rPr>
            </w:pPr>
          </w:p>
          <w:p w14:paraId="77C9EDB6" w14:textId="77777777" w:rsidR="00F97573" w:rsidRPr="00286216" w:rsidRDefault="00F97573" w:rsidP="00F97573">
            <w:pPr>
              <w:pStyle w:val="StyleWisnow"/>
              <w:rPr>
                <w:color w:val="000000" w:themeColor="text1"/>
              </w:rPr>
            </w:pPr>
          </w:p>
          <w:p w14:paraId="18B145B2" w14:textId="77777777" w:rsidR="00F97573" w:rsidRPr="00286216" w:rsidRDefault="00F97573" w:rsidP="00F97573">
            <w:pPr>
              <w:pStyle w:val="StyleWisnow"/>
              <w:rPr>
                <w:color w:val="000000" w:themeColor="text1"/>
              </w:rPr>
            </w:pPr>
          </w:p>
          <w:p w14:paraId="63CB8AC3" w14:textId="77777777" w:rsidR="00F97573" w:rsidRPr="00286216" w:rsidRDefault="00F97573" w:rsidP="00F97573">
            <w:pPr>
              <w:pStyle w:val="StyleWisnow"/>
              <w:rPr>
                <w:color w:val="000000" w:themeColor="text1"/>
              </w:rPr>
            </w:pPr>
          </w:p>
          <w:p w14:paraId="12975786" w14:textId="77777777" w:rsidR="00F97573" w:rsidRPr="00286216" w:rsidRDefault="00F97573" w:rsidP="00F97573">
            <w:pPr>
              <w:pStyle w:val="StyleWisnow"/>
              <w:rPr>
                <w:color w:val="000000" w:themeColor="text1"/>
              </w:rPr>
            </w:pPr>
          </w:p>
          <w:p w14:paraId="53056CBF" w14:textId="77777777" w:rsidR="00F97573" w:rsidRPr="00286216" w:rsidRDefault="00F97573" w:rsidP="00F97573">
            <w:pPr>
              <w:pStyle w:val="StyleWisnow"/>
              <w:rPr>
                <w:color w:val="000000" w:themeColor="text1"/>
              </w:rPr>
            </w:pPr>
          </w:p>
          <w:p w14:paraId="1229B6A7" w14:textId="77777777" w:rsidR="00F97573" w:rsidRPr="00286216" w:rsidRDefault="00F97573" w:rsidP="00F97573">
            <w:pPr>
              <w:pStyle w:val="StyleWisnow"/>
              <w:rPr>
                <w:color w:val="000000" w:themeColor="text1"/>
              </w:rPr>
            </w:pPr>
          </w:p>
          <w:p w14:paraId="6550E148" w14:textId="77777777" w:rsidR="00F97573" w:rsidRPr="00286216" w:rsidRDefault="00F97573" w:rsidP="00F97573">
            <w:pPr>
              <w:pStyle w:val="StyleWisnow"/>
              <w:rPr>
                <w:color w:val="000000" w:themeColor="text1"/>
              </w:rPr>
            </w:pPr>
          </w:p>
          <w:p w14:paraId="6ADF8555" w14:textId="77777777" w:rsidR="00F97573" w:rsidRPr="00286216" w:rsidRDefault="00F97573" w:rsidP="00F97573">
            <w:pPr>
              <w:pStyle w:val="StyleWisnow"/>
              <w:rPr>
                <w:color w:val="000000" w:themeColor="text1"/>
              </w:rPr>
            </w:pPr>
          </w:p>
          <w:p w14:paraId="1C0B0997" w14:textId="77777777" w:rsidR="00F97573" w:rsidRPr="00286216" w:rsidRDefault="00F97573" w:rsidP="00F97573">
            <w:pPr>
              <w:pStyle w:val="StyleWisnow"/>
              <w:rPr>
                <w:color w:val="000000" w:themeColor="text1"/>
              </w:rPr>
            </w:pPr>
          </w:p>
          <w:p w14:paraId="6E7B9522" w14:textId="77777777" w:rsidR="00F97573" w:rsidRPr="00286216" w:rsidRDefault="00F97573" w:rsidP="00F97573">
            <w:pPr>
              <w:pStyle w:val="StyleWisnow"/>
              <w:rPr>
                <w:color w:val="000000" w:themeColor="text1"/>
              </w:rPr>
            </w:pPr>
          </w:p>
          <w:p w14:paraId="16152ACC" w14:textId="77777777" w:rsidR="00F97573" w:rsidRPr="00286216" w:rsidRDefault="00F97573" w:rsidP="00F97573">
            <w:pPr>
              <w:pStyle w:val="StyleWisnow"/>
              <w:rPr>
                <w:color w:val="000000" w:themeColor="text1"/>
              </w:rPr>
            </w:pPr>
          </w:p>
          <w:p w14:paraId="451787E3" w14:textId="77777777" w:rsidR="00F97573" w:rsidRPr="00286216" w:rsidRDefault="00F97573" w:rsidP="00F97573">
            <w:pPr>
              <w:pStyle w:val="StyleWisnow"/>
              <w:rPr>
                <w:color w:val="000000" w:themeColor="text1"/>
              </w:rPr>
            </w:pPr>
          </w:p>
          <w:p w14:paraId="32C4D6A6" w14:textId="77777777" w:rsidR="00F97573" w:rsidRPr="00286216" w:rsidRDefault="00F97573" w:rsidP="00F97573">
            <w:pPr>
              <w:pStyle w:val="StyleWisnow"/>
              <w:rPr>
                <w:color w:val="000000" w:themeColor="text1"/>
              </w:rPr>
            </w:pPr>
          </w:p>
          <w:p w14:paraId="446B6736" w14:textId="77777777" w:rsidR="00F97573" w:rsidRPr="00286216" w:rsidRDefault="00F97573" w:rsidP="00F97573">
            <w:pPr>
              <w:pStyle w:val="StyleWisnow"/>
              <w:rPr>
                <w:color w:val="000000" w:themeColor="text1"/>
              </w:rPr>
            </w:pPr>
          </w:p>
          <w:p w14:paraId="67635257" w14:textId="77777777" w:rsidR="00F97573" w:rsidRPr="00286216" w:rsidRDefault="00F97573" w:rsidP="00F97573">
            <w:pPr>
              <w:pStyle w:val="StyleWisnow"/>
              <w:rPr>
                <w:color w:val="000000" w:themeColor="text1"/>
              </w:rPr>
            </w:pPr>
          </w:p>
          <w:p w14:paraId="685AB7A2" w14:textId="77777777" w:rsidR="00F97573" w:rsidRPr="00286216" w:rsidRDefault="00F97573" w:rsidP="00F97573">
            <w:pPr>
              <w:pStyle w:val="StyleWisnow"/>
              <w:rPr>
                <w:color w:val="000000" w:themeColor="text1"/>
              </w:rPr>
            </w:pPr>
          </w:p>
          <w:p w14:paraId="7B43AE7F" w14:textId="77777777" w:rsidR="00F97573" w:rsidRPr="00286216" w:rsidRDefault="00F97573" w:rsidP="00F97573">
            <w:pPr>
              <w:pStyle w:val="StyleWisnow"/>
              <w:rPr>
                <w:color w:val="000000" w:themeColor="text1"/>
              </w:rPr>
            </w:pPr>
          </w:p>
          <w:p w14:paraId="6E8A2682" w14:textId="77777777" w:rsidR="00F97573" w:rsidRPr="00286216" w:rsidRDefault="00F97573" w:rsidP="00F97573">
            <w:pPr>
              <w:pStyle w:val="StyleWisnow"/>
              <w:rPr>
                <w:color w:val="000000" w:themeColor="text1"/>
              </w:rPr>
            </w:pPr>
          </w:p>
          <w:p w14:paraId="44F44A7A" w14:textId="77777777" w:rsidR="00F97573" w:rsidRPr="00286216" w:rsidRDefault="00F97573" w:rsidP="00F97573">
            <w:pPr>
              <w:pStyle w:val="StyleWisnow"/>
              <w:rPr>
                <w:color w:val="000000" w:themeColor="text1"/>
              </w:rPr>
            </w:pPr>
          </w:p>
          <w:p w14:paraId="6ADA10E5" w14:textId="77777777" w:rsidR="00F97573" w:rsidRPr="00286216" w:rsidRDefault="00F97573" w:rsidP="00F97573">
            <w:pPr>
              <w:pStyle w:val="StyleWisnow"/>
              <w:rPr>
                <w:color w:val="000000" w:themeColor="text1"/>
              </w:rPr>
            </w:pPr>
          </w:p>
          <w:p w14:paraId="4AC71495" w14:textId="77777777" w:rsidR="00F97573" w:rsidRPr="00286216" w:rsidRDefault="00F97573" w:rsidP="00F97573">
            <w:pPr>
              <w:pStyle w:val="StyleWisnow"/>
              <w:rPr>
                <w:color w:val="000000" w:themeColor="text1"/>
              </w:rPr>
            </w:pPr>
          </w:p>
          <w:p w14:paraId="526D677A" w14:textId="77777777" w:rsidR="00F97573" w:rsidRPr="00286216" w:rsidRDefault="00F97573" w:rsidP="00F97573">
            <w:pPr>
              <w:pStyle w:val="StyleWisnow"/>
              <w:rPr>
                <w:color w:val="000000" w:themeColor="text1"/>
              </w:rPr>
            </w:pPr>
          </w:p>
          <w:p w14:paraId="4A279ADF" w14:textId="77777777" w:rsidR="00F97573" w:rsidRPr="00286216" w:rsidRDefault="00F97573" w:rsidP="00F97573">
            <w:pPr>
              <w:pStyle w:val="StyleWisnow"/>
              <w:rPr>
                <w:color w:val="000000" w:themeColor="text1"/>
              </w:rPr>
            </w:pPr>
          </w:p>
          <w:p w14:paraId="6C6D37E6" w14:textId="77777777" w:rsidR="00F97573" w:rsidRPr="00286216" w:rsidRDefault="00F97573" w:rsidP="00F97573">
            <w:pPr>
              <w:pStyle w:val="StyleWisnow"/>
              <w:rPr>
                <w:color w:val="000000" w:themeColor="text1"/>
              </w:rPr>
            </w:pPr>
          </w:p>
          <w:p w14:paraId="3506590F" w14:textId="77777777" w:rsidR="00F97573" w:rsidRPr="00286216" w:rsidRDefault="00F97573" w:rsidP="00F97573">
            <w:pPr>
              <w:pStyle w:val="StyleWisnow"/>
              <w:rPr>
                <w:color w:val="000000" w:themeColor="text1"/>
              </w:rPr>
            </w:pPr>
          </w:p>
          <w:p w14:paraId="4F935A82" w14:textId="77777777" w:rsidR="00F97573" w:rsidRPr="00286216" w:rsidRDefault="00F97573" w:rsidP="00F97573">
            <w:pPr>
              <w:pStyle w:val="StyleWisnow"/>
              <w:rPr>
                <w:color w:val="000000" w:themeColor="text1"/>
              </w:rPr>
            </w:pPr>
          </w:p>
          <w:p w14:paraId="630400B2" w14:textId="77777777" w:rsidR="00F97573" w:rsidRPr="00286216" w:rsidRDefault="00F97573" w:rsidP="00F97573">
            <w:pPr>
              <w:pStyle w:val="StyleWisnow"/>
              <w:rPr>
                <w:color w:val="000000" w:themeColor="text1"/>
              </w:rPr>
            </w:pPr>
          </w:p>
          <w:p w14:paraId="2B9B93D8" w14:textId="77777777" w:rsidR="00F97573" w:rsidRPr="00286216" w:rsidRDefault="00F97573" w:rsidP="00F97573">
            <w:pPr>
              <w:pStyle w:val="StyleWisnow"/>
              <w:rPr>
                <w:color w:val="000000" w:themeColor="text1"/>
              </w:rPr>
            </w:pPr>
          </w:p>
          <w:p w14:paraId="0A837D85" w14:textId="77777777" w:rsidR="00F97573" w:rsidRPr="00286216" w:rsidRDefault="00F97573" w:rsidP="00F97573">
            <w:pPr>
              <w:pStyle w:val="StyleWisnow"/>
              <w:rPr>
                <w:color w:val="000000" w:themeColor="text1"/>
              </w:rPr>
            </w:pPr>
          </w:p>
          <w:p w14:paraId="717305B2" w14:textId="77777777" w:rsidR="00F97573" w:rsidRPr="00286216" w:rsidRDefault="00F97573" w:rsidP="00F97573">
            <w:pPr>
              <w:pStyle w:val="StyleWisnow"/>
              <w:rPr>
                <w:color w:val="000000" w:themeColor="text1"/>
              </w:rPr>
            </w:pPr>
          </w:p>
          <w:p w14:paraId="64AE6836" w14:textId="77777777" w:rsidR="00F97573" w:rsidRPr="00286216" w:rsidRDefault="00F97573" w:rsidP="00F97573">
            <w:pPr>
              <w:pStyle w:val="StyleWisnow"/>
              <w:rPr>
                <w:color w:val="000000" w:themeColor="text1"/>
              </w:rPr>
            </w:pPr>
          </w:p>
          <w:p w14:paraId="11E0C4D9" w14:textId="77777777" w:rsidR="00F97573" w:rsidRPr="00286216" w:rsidRDefault="00F97573" w:rsidP="00F97573">
            <w:pPr>
              <w:pStyle w:val="StyleWisnow"/>
              <w:rPr>
                <w:color w:val="000000" w:themeColor="text1"/>
              </w:rPr>
            </w:pPr>
          </w:p>
          <w:p w14:paraId="76EC7B84" w14:textId="77777777" w:rsidR="00F97573" w:rsidRPr="00286216" w:rsidRDefault="00F97573" w:rsidP="00F97573">
            <w:pPr>
              <w:pStyle w:val="StyleWisnow"/>
              <w:rPr>
                <w:color w:val="000000" w:themeColor="text1"/>
              </w:rPr>
            </w:pPr>
          </w:p>
          <w:p w14:paraId="694B6A1E" w14:textId="77777777" w:rsidR="00F97573" w:rsidRPr="00286216" w:rsidRDefault="00F97573" w:rsidP="00F97573">
            <w:pPr>
              <w:pStyle w:val="StyleWisnow"/>
              <w:rPr>
                <w:color w:val="000000" w:themeColor="text1"/>
              </w:rPr>
            </w:pPr>
          </w:p>
          <w:p w14:paraId="0D32E1C9" w14:textId="77777777" w:rsidR="00F97573" w:rsidRPr="00286216" w:rsidRDefault="00F97573" w:rsidP="00F97573">
            <w:pPr>
              <w:pStyle w:val="StyleWisnow"/>
              <w:rPr>
                <w:color w:val="000000" w:themeColor="text1"/>
              </w:rPr>
            </w:pPr>
          </w:p>
          <w:p w14:paraId="740C8A2C" w14:textId="77777777" w:rsidR="00F97573" w:rsidRPr="00286216" w:rsidRDefault="00F97573" w:rsidP="00F97573">
            <w:pPr>
              <w:pStyle w:val="StyleWisnow"/>
              <w:rPr>
                <w:color w:val="000000" w:themeColor="text1"/>
              </w:rPr>
            </w:pPr>
          </w:p>
          <w:p w14:paraId="201DB5FE" w14:textId="77777777" w:rsidR="00F97573" w:rsidRPr="00286216" w:rsidRDefault="00F97573" w:rsidP="00F97573">
            <w:pPr>
              <w:pStyle w:val="StyleWisnow"/>
              <w:rPr>
                <w:color w:val="000000" w:themeColor="text1"/>
              </w:rPr>
            </w:pPr>
          </w:p>
          <w:p w14:paraId="2EDB9C6E" w14:textId="77777777" w:rsidR="00F97573" w:rsidRPr="00286216" w:rsidRDefault="00F97573" w:rsidP="00F97573">
            <w:pPr>
              <w:pStyle w:val="StyleWisnow"/>
              <w:rPr>
                <w:color w:val="000000" w:themeColor="text1"/>
              </w:rPr>
            </w:pPr>
          </w:p>
          <w:p w14:paraId="3A0CE28E" w14:textId="77777777" w:rsidR="00F97573" w:rsidRPr="00286216" w:rsidRDefault="00F97573" w:rsidP="00F97573">
            <w:pPr>
              <w:pStyle w:val="StyleWisnow"/>
              <w:rPr>
                <w:color w:val="000000" w:themeColor="text1"/>
              </w:rPr>
            </w:pPr>
          </w:p>
          <w:p w14:paraId="1B5C3D13" w14:textId="77777777" w:rsidR="00F97573" w:rsidRPr="00286216" w:rsidRDefault="00F97573" w:rsidP="00F97573">
            <w:pPr>
              <w:pStyle w:val="StyleWisnow"/>
              <w:rPr>
                <w:color w:val="000000" w:themeColor="text1"/>
              </w:rPr>
            </w:pPr>
          </w:p>
          <w:p w14:paraId="3C9FD36D" w14:textId="77777777" w:rsidR="00F97573" w:rsidRPr="00286216" w:rsidRDefault="00F97573" w:rsidP="00F97573">
            <w:pPr>
              <w:pStyle w:val="StyleWisnow"/>
              <w:rPr>
                <w:color w:val="000000" w:themeColor="text1"/>
              </w:rPr>
            </w:pPr>
          </w:p>
          <w:p w14:paraId="5A7EC80D" w14:textId="77777777" w:rsidR="00F97573" w:rsidRPr="00286216" w:rsidRDefault="00F97573" w:rsidP="00F97573">
            <w:pPr>
              <w:pStyle w:val="StyleWisnow"/>
              <w:rPr>
                <w:color w:val="000000" w:themeColor="text1"/>
              </w:rPr>
            </w:pPr>
          </w:p>
          <w:p w14:paraId="4CCD7130" w14:textId="77777777" w:rsidR="00F97573" w:rsidRPr="00286216" w:rsidRDefault="00F97573" w:rsidP="00F97573">
            <w:pPr>
              <w:pStyle w:val="StyleWisnow"/>
              <w:rPr>
                <w:color w:val="000000" w:themeColor="text1"/>
              </w:rPr>
            </w:pPr>
          </w:p>
          <w:p w14:paraId="007C2FCF" w14:textId="77777777" w:rsidR="00F97573" w:rsidRPr="00286216" w:rsidRDefault="00F97573" w:rsidP="00F97573">
            <w:pPr>
              <w:pStyle w:val="StyleWisnow"/>
              <w:rPr>
                <w:color w:val="000000" w:themeColor="text1"/>
              </w:rPr>
            </w:pPr>
          </w:p>
          <w:p w14:paraId="3742C4DB" w14:textId="77777777" w:rsidR="00F97573" w:rsidRPr="00286216" w:rsidRDefault="00F97573" w:rsidP="00F97573">
            <w:pPr>
              <w:pStyle w:val="StyleWisnow"/>
              <w:rPr>
                <w:color w:val="000000" w:themeColor="text1"/>
              </w:rPr>
            </w:pPr>
          </w:p>
          <w:p w14:paraId="1786E94B" w14:textId="77777777" w:rsidR="00F97573" w:rsidRPr="00286216" w:rsidRDefault="00F97573" w:rsidP="00F97573">
            <w:pPr>
              <w:pStyle w:val="StyleWisnow"/>
              <w:rPr>
                <w:color w:val="000000" w:themeColor="text1"/>
              </w:rPr>
            </w:pPr>
          </w:p>
          <w:p w14:paraId="2DB0981F" w14:textId="77777777" w:rsidR="00F97573" w:rsidRPr="00286216" w:rsidRDefault="00F97573" w:rsidP="00F97573">
            <w:pPr>
              <w:pStyle w:val="StyleWisnow"/>
              <w:rPr>
                <w:color w:val="000000" w:themeColor="text1"/>
              </w:rPr>
            </w:pPr>
          </w:p>
          <w:p w14:paraId="6AC8A7BD" w14:textId="77777777" w:rsidR="00F97573" w:rsidRPr="00286216" w:rsidRDefault="00F97573" w:rsidP="00F97573">
            <w:pPr>
              <w:pStyle w:val="StyleWisnow"/>
              <w:rPr>
                <w:color w:val="000000" w:themeColor="text1"/>
              </w:rPr>
            </w:pPr>
          </w:p>
          <w:p w14:paraId="2ED7ECA1" w14:textId="77777777" w:rsidR="00F97573" w:rsidRPr="00286216" w:rsidRDefault="00F97573" w:rsidP="00F97573">
            <w:pPr>
              <w:pStyle w:val="StyleWisnow"/>
              <w:rPr>
                <w:color w:val="000000" w:themeColor="text1"/>
              </w:rPr>
            </w:pPr>
          </w:p>
          <w:p w14:paraId="2C9DB6C7" w14:textId="77777777" w:rsidR="00F97573" w:rsidRPr="00286216" w:rsidRDefault="00F97573" w:rsidP="00F97573">
            <w:pPr>
              <w:pStyle w:val="StyleWisnow"/>
              <w:rPr>
                <w:color w:val="000000" w:themeColor="text1"/>
              </w:rPr>
            </w:pPr>
          </w:p>
          <w:p w14:paraId="3979C56A" w14:textId="77777777" w:rsidR="00F97573" w:rsidRPr="00286216" w:rsidRDefault="00F97573" w:rsidP="00F97573">
            <w:pPr>
              <w:pStyle w:val="StyleWisnow"/>
              <w:rPr>
                <w:color w:val="000000" w:themeColor="text1"/>
              </w:rPr>
            </w:pPr>
          </w:p>
          <w:p w14:paraId="0F97342D" w14:textId="77777777" w:rsidR="00F97573" w:rsidRPr="00286216" w:rsidRDefault="00F97573" w:rsidP="00F97573">
            <w:pPr>
              <w:pStyle w:val="StyleWisnow"/>
              <w:rPr>
                <w:color w:val="000000" w:themeColor="text1"/>
              </w:rPr>
            </w:pPr>
          </w:p>
          <w:p w14:paraId="36B94C75" w14:textId="77777777" w:rsidR="00F97573" w:rsidRPr="00286216" w:rsidRDefault="00F97573" w:rsidP="00F97573">
            <w:pPr>
              <w:pStyle w:val="StyleWisnow"/>
              <w:rPr>
                <w:color w:val="000000" w:themeColor="text1"/>
              </w:rPr>
            </w:pPr>
          </w:p>
          <w:p w14:paraId="7DB7017D" w14:textId="77777777" w:rsidR="00F97573" w:rsidRPr="00286216" w:rsidRDefault="00F97573" w:rsidP="00F97573">
            <w:pPr>
              <w:pStyle w:val="StyleWisnow"/>
              <w:rPr>
                <w:color w:val="000000" w:themeColor="text1"/>
              </w:rPr>
            </w:pPr>
          </w:p>
          <w:p w14:paraId="70C10235" w14:textId="77777777" w:rsidR="00F97573" w:rsidRPr="00286216" w:rsidRDefault="00F97573" w:rsidP="00F97573">
            <w:pPr>
              <w:pStyle w:val="StyleWisnow"/>
              <w:rPr>
                <w:color w:val="000000" w:themeColor="text1"/>
              </w:rPr>
            </w:pPr>
          </w:p>
          <w:p w14:paraId="377E9760" w14:textId="77777777" w:rsidR="00F97573" w:rsidRPr="00286216" w:rsidRDefault="00F97573" w:rsidP="00F97573">
            <w:pPr>
              <w:pStyle w:val="StyleWisnow"/>
              <w:rPr>
                <w:color w:val="000000" w:themeColor="text1"/>
              </w:rPr>
            </w:pPr>
          </w:p>
          <w:p w14:paraId="0E821BEA" w14:textId="77777777" w:rsidR="00F97573" w:rsidRPr="00286216" w:rsidRDefault="00F97573" w:rsidP="00F97573">
            <w:pPr>
              <w:pStyle w:val="StyleWisnow"/>
              <w:rPr>
                <w:color w:val="000000" w:themeColor="text1"/>
              </w:rPr>
            </w:pPr>
          </w:p>
          <w:p w14:paraId="307591E9" w14:textId="77777777" w:rsidR="00F97573" w:rsidRPr="00286216" w:rsidRDefault="00F97573" w:rsidP="00F97573">
            <w:pPr>
              <w:pStyle w:val="StyleWisnow"/>
              <w:rPr>
                <w:color w:val="000000" w:themeColor="text1"/>
              </w:rPr>
            </w:pPr>
          </w:p>
          <w:p w14:paraId="296B7070" w14:textId="77777777" w:rsidR="00F97573" w:rsidRPr="00286216" w:rsidRDefault="00F97573" w:rsidP="00F97573">
            <w:pPr>
              <w:pStyle w:val="StyleWisnow"/>
              <w:rPr>
                <w:color w:val="000000" w:themeColor="text1"/>
              </w:rPr>
            </w:pPr>
          </w:p>
          <w:p w14:paraId="19C53588" w14:textId="77777777" w:rsidR="00F97573" w:rsidRPr="00286216" w:rsidRDefault="00F97573" w:rsidP="00F97573">
            <w:pPr>
              <w:pStyle w:val="StyleWisnow"/>
              <w:rPr>
                <w:color w:val="000000" w:themeColor="text1"/>
              </w:rPr>
            </w:pPr>
          </w:p>
          <w:p w14:paraId="3DA368C4" w14:textId="77777777" w:rsidR="00F97573" w:rsidRPr="00286216" w:rsidRDefault="00F97573" w:rsidP="00F97573">
            <w:pPr>
              <w:pStyle w:val="StyleWisnow"/>
              <w:rPr>
                <w:color w:val="000000" w:themeColor="text1"/>
              </w:rPr>
            </w:pPr>
          </w:p>
          <w:p w14:paraId="40F6F02F" w14:textId="77777777" w:rsidR="00F97573" w:rsidRPr="00286216" w:rsidRDefault="00F97573" w:rsidP="00F97573">
            <w:pPr>
              <w:pStyle w:val="StyleWisnow"/>
              <w:rPr>
                <w:color w:val="000000" w:themeColor="text1"/>
              </w:rPr>
            </w:pPr>
          </w:p>
          <w:p w14:paraId="5C6911C4" w14:textId="77777777" w:rsidR="00F97573" w:rsidRPr="00286216" w:rsidRDefault="00F97573" w:rsidP="00F97573">
            <w:pPr>
              <w:pStyle w:val="StyleWisnow"/>
              <w:rPr>
                <w:color w:val="000000" w:themeColor="text1"/>
              </w:rPr>
            </w:pPr>
          </w:p>
          <w:p w14:paraId="45DB6C1C" w14:textId="77777777" w:rsidR="00F97573" w:rsidRPr="00286216" w:rsidRDefault="00F97573" w:rsidP="00F97573">
            <w:pPr>
              <w:pStyle w:val="StyleWisnow"/>
              <w:rPr>
                <w:color w:val="000000" w:themeColor="text1"/>
              </w:rPr>
            </w:pPr>
          </w:p>
          <w:p w14:paraId="0DCF5B32" w14:textId="77777777" w:rsidR="00F97573" w:rsidRPr="00286216" w:rsidRDefault="00F97573" w:rsidP="00F97573">
            <w:pPr>
              <w:pStyle w:val="StyleWisnow"/>
              <w:rPr>
                <w:color w:val="000000" w:themeColor="text1"/>
              </w:rPr>
            </w:pPr>
          </w:p>
          <w:p w14:paraId="66EA4BA7" w14:textId="77777777" w:rsidR="00F97573" w:rsidRPr="00286216" w:rsidRDefault="00F97573" w:rsidP="00F97573">
            <w:pPr>
              <w:pStyle w:val="StyleWisnow"/>
              <w:rPr>
                <w:color w:val="000000" w:themeColor="text1"/>
              </w:rPr>
            </w:pPr>
          </w:p>
          <w:p w14:paraId="4565323D" w14:textId="77777777" w:rsidR="00F97573" w:rsidRPr="00286216" w:rsidRDefault="00F97573" w:rsidP="00F97573">
            <w:pPr>
              <w:pStyle w:val="StyleWisnow"/>
              <w:rPr>
                <w:color w:val="000000" w:themeColor="text1"/>
              </w:rPr>
            </w:pPr>
          </w:p>
          <w:p w14:paraId="56452F91" w14:textId="77777777" w:rsidR="00F97573" w:rsidRPr="00286216" w:rsidRDefault="00F97573" w:rsidP="00F97573">
            <w:pPr>
              <w:pStyle w:val="StyleWisnow"/>
              <w:rPr>
                <w:color w:val="000000" w:themeColor="text1"/>
              </w:rPr>
            </w:pPr>
          </w:p>
          <w:p w14:paraId="373EAC9C" w14:textId="77777777" w:rsidR="00F97573" w:rsidRPr="00286216" w:rsidRDefault="00F97573" w:rsidP="00F97573">
            <w:pPr>
              <w:pStyle w:val="StyleWisnow"/>
              <w:rPr>
                <w:color w:val="000000" w:themeColor="text1"/>
              </w:rPr>
            </w:pPr>
          </w:p>
          <w:p w14:paraId="7A70BBD4" w14:textId="77777777" w:rsidR="00F97573" w:rsidRPr="00286216" w:rsidRDefault="00F97573" w:rsidP="00F97573">
            <w:pPr>
              <w:pStyle w:val="StyleWisnow"/>
              <w:rPr>
                <w:color w:val="000000" w:themeColor="text1"/>
              </w:rPr>
            </w:pPr>
          </w:p>
          <w:p w14:paraId="51E2A814" w14:textId="77777777" w:rsidR="00F97573" w:rsidRPr="00286216" w:rsidRDefault="00F97573" w:rsidP="00F97573">
            <w:pPr>
              <w:pStyle w:val="StyleWisnow"/>
              <w:rPr>
                <w:color w:val="000000" w:themeColor="text1"/>
              </w:rPr>
            </w:pPr>
          </w:p>
          <w:p w14:paraId="7F56EF0A" w14:textId="77777777" w:rsidR="00F97573" w:rsidRPr="00286216" w:rsidRDefault="00F97573" w:rsidP="00F97573">
            <w:pPr>
              <w:pStyle w:val="StyleWisnow"/>
              <w:rPr>
                <w:color w:val="000000" w:themeColor="text1"/>
              </w:rPr>
            </w:pPr>
          </w:p>
          <w:p w14:paraId="451D426D" w14:textId="77777777" w:rsidR="00F97573" w:rsidRPr="00286216" w:rsidRDefault="00F97573" w:rsidP="00F97573">
            <w:pPr>
              <w:pStyle w:val="StyleWisnow"/>
              <w:rPr>
                <w:color w:val="000000" w:themeColor="text1"/>
              </w:rPr>
            </w:pPr>
          </w:p>
          <w:p w14:paraId="0E8A29BD" w14:textId="77777777" w:rsidR="00F97573" w:rsidRPr="00286216" w:rsidRDefault="00F97573" w:rsidP="00F97573">
            <w:pPr>
              <w:pStyle w:val="StyleWisnow"/>
              <w:rPr>
                <w:color w:val="000000" w:themeColor="text1"/>
              </w:rPr>
            </w:pPr>
          </w:p>
          <w:p w14:paraId="656FFED7" w14:textId="77777777" w:rsidR="00F97573" w:rsidRPr="00286216" w:rsidRDefault="00F97573" w:rsidP="00F97573">
            <w:pPr>
              <w:pStyle w:val="StyleWisnow"/>
              <w:rPr>
                <w:color w:val="000000" w:themeColor="text1"/>
              </w:rPr>
            </w:pPr>
          </w:p>
          <w:p w14:paraId="14906D61" w14:textId="77777777" w:rsidR="00F97573" w:rsidRPr="00286216" w:rsidRDefault="00F97573" w:rsidP="00F97573">
            <w:pPr>
              <w:pStyle w:val="StyleWisnow"/>
              <w:rPr>
                <w:color w:val="000000" w:themeColor="text1"/>
              </w:rPr>
            </w:pPr>
          </w:p>
          <w:p w14:paraId="03C0CB9A" w14:textId="77777777" w:rsidR="00F97573" w:rsidRPr="00286216" w:rsidRDefault="00F97573" w:rsidP="00F97573">
            <w:pPr>
              <w:pStyle w:val="StyleWisnow"/>
              <w:rPr>
                <w:color w:val="000000" w:themeColor="text1"/>
              </w:rPr>
            </w:pPr>
          </w:p>
          <w:p w14:paraId="164F909D" w14:textId="77777777" w:rsidR="00F97573" w:rsidRPr="00286216" w:rsidRDefault="00F97573" w:rsidP="00F97573">
            <w:pPr>
              <w:pStyle w:val="StyleWisnow"/>
              <w:rPr>
                <w:color w:val="000000" w:themeColor="text1"/>
              </w:rPr>
            </w:pPr>
          </w:p>
          <w:p w14:paraId="056B9D52" w14:textId="77777777" w:rsidR="00F97573" w:rsidRPr="00286216" w:rsidRDefault="00F97573" w:rsidP="00F97573">
            <w:pPr>
              <w:pStyle w:val="StyleWisnow"/>
              <w:rPr>
                <w:color w:val="000000" w:themeColor="text1"/>
              </w:rPr>
            </w:pPr>
          </w:p>
          <w:p w14:paraId="0C7F14CE" w14:textId="77777777" w:rsidR="00F97573" w:rsidRPr="00286216" w:rsidRDefault="00F97573" w:rsidP="00F97573">
            <w:pPr>
              <w:pStyle w:val="StyleWisnow"/>
              <w:rPr>
                <w:color w:val="000000" w:themeColor="text1"/>
              </w:rPr>
            </w:pPr>
          </w:p>
          <w:p w14:paraId="024DD74A" w14:textId="77777777" w:rsidR="00F97573" w:rsidRPr="00286216" w:rsidRDefault="00F97573" w:rsidP="00F97573">
            <w:pPr>
              <w:pStyle w:val="StyleWisnow"/>
              <w:rPr>
                <w:color w:val="000000" w:themeColor="text1"/>
              </w:rPr>
            </w:pPr>
          </w:p>
          <w:p w14:paraId="7F48EB0D" w14:textId="77777777" w:rsidR="00F97573" w:rsidRPr="00286216" w:rsidRDefault="00F97573" w:rsidP="00F97573">
            <w:pPr>
              <w:pStyle w:val="StyleWisnow"/>
              <w:rPr>
                <w:color w:val="000000" w:themeColor="text1"/>
              </w:rPr>
            </w:pPr>
          </w:p>
          <w:p w14:paraId="2B6E4245" w14:textId="77777777" w:rsidR="00F97573" w:rsidRPr="00286216" w:rsidRDefault="00F97573" w:rsidP="00F97573">
            <w:pPr>
              <w:pStyle w:val="StyleWisnow"/>
              <w:rPr>
                <w:color w:val="000000" w:themeColor="text1"/>
              </w:rPr>
            </w:pPr>
          </w:p>
          <w:p w14:paraId="3FF114E0" w14:textId="77777777" w:rsidR="00F97573" w:rsidRPr="00286216" w:rsidRDefault="00F97573" w:rsidP="00F97573">
            <w:pPr>
              <w:pStyle w:val="StyleWisnow"/>
              <w:rPr>
                <w:color w:val="000000" w:themeColor="text1"/>
              </w:rPr>
            </w:pPr>
          </w:p>
          <w:p w14:paraId="1EBABDFA" w14:textId="77777777" w:rsidR="00F97573" w:rsidRPr="00286216" w:rsidRDefault="00F97573" w:rsidP="00F97573">
            <w:pPr>
              <w:pStyle w:val="StyleWisnow"/>
              <w:rPr>
                <w:color w:val="000000" w:themeColor="text1"/>
              </w:rPr>
            </w:pPr>
          </w:p>
          <w:p w14:paraId="7D16E92C" w14:textId="77777777" w:rsidR="00F97573" w:rsidRPr="00286216" w:rsidRDefault="00F97573" w:rsidP="00F97573">
            <w:pPr>
              <w:pStyle w:val="StyleWisnow"/>
              <w:rPr>
                <w:color w:val="000000" w:themeColor="text1"/>
              </w:rPr>
            </w:pPr>
          </w:p>
          <w:p w14:paraId="72FC3684" w14:textId="77777777" w:rsidR="00F97573" w:rsidRPr="00286216" w:rsidRDefault="00F97573" w:rsidP="00F97573">
            <w:pPr>
              <w:pStyle w:val="StyleWisnow"/>
              <w:rPr>
                <w:color w:val="000000" w:themeColor="text1"/>
              </w:rPr>
            </w:pPr>
          </w:p>
          <w:p w14:paraId="50C457C5" w14:textId="77777777" w:rsidR="00F97573" w:rsidRPr="00286216" w:rsidRDefault="00F97573" w:rsidP="00F97573">
            <w:pPr>
              <w:pStyle w:val="StyleWisnow"/>
              <w:rPr>
                <w:color w:val="000000" w:themeColor="text1"/>
              </w:rPr>
            </w:pPr>
          </w:p>
          <w:p w14:paraId="1767F71D" w14:textId="77777777" w:rsidR="00F97573" w:rsidRPr="00286216" w:rsidRDefault="00F97573" w:rsidP="00F97573">
            <w:pPr>
              <w:pStyle w:val="StyleWisnow"/>
              <w:rPr>
                <w:color w:val="000000" w:themeColor="text1"/>
              </w:rPr>
            </w:pPr>
          </w:p>
          <w:p w14:paraId="0A7FBF26" w14:textId="77777777" w:rsidR="00F97573" w:rsidRPr="00286216" w:rsidRDefault="00F97573" w:rsidP="00F97573">
            <w:pPr>
              <w:pStyle w:val="StyleWisnow"/>
              <w:rPr>
                <w:color w:val="000000" w:themeColor="text1"/>
              </w:rPr>
            </w:pPr>
          </w:p>
          <w:p w14:paraId="61D4BD57" w14:textId="77777777" w:rsidR="00F97573" w:rsidRPr="00286216" w:rsidRDefault="00F97573" w:rsidP="00F97573">
            <w:pPr>
              <w:pStyle w:val="StyleWisnow"/>
              <w:rPr>
                <w:color w:val="000000" w:themeColor="text1"/>
              </w:rPr>
            </w:pPr>
          </w:p>
          <w:p w14:paraId="397096B6" w14:textId="77777777" w:rsidR="00F97573" w:rsidRPr="00286216" w:rsidRDefault="00F97573" w:rsidP="00F97573">
            <w:pPr>
              <w:pStyle w:val="StyleWisnow"/>
              <w:rPr>
                <w:color w:val="000000" w:themeColor="text1"/>
              </w:rPr>
            </w:pPr>
          </w:p>
          <w:p w14:paraId="2F52915F" w14:textId="77777777" w:rsidR="00F97573" w:rsidRPr="00286216" w:rsidRDefault="00F97573" w:rsidP="00F97573">
            <w:pPr>
              <w:pStyle w:val="StyleWisnow"/>
              <w:rPr>
                <w:color w:val="000000" w:themeColor="text1"/>
              </w:rPr>
            </w:pPr>
          </w:p>
          <w:p w14:paraId="0D9FA768" w14:textId="77777777" w:rsidR="00F97573" w:rsidRPr="00286216" w:rsidRDefault="00F97573" w:rsidP="00F97573">
            <w:pPr>
              <w:pStyle w:val="StyleWisnow"/>
              <w:rPr>
                <w:color w:val="000000" w:themeColor="text1"/>
              </w:rPr>
            </w:pPr>
          </w:p>
          <w:p w14:paraId="40E5F59B" w14:textId="77777777" w:rsidR="00F97573" w:rsidRPr="00286216" w:rsidRDefault="00F97573" w:rsidP="00F97573">
            <w:pPr>
              <w:pStyle w:val="StyleWisnow"/>
              <w:rPr>
                <w:color w:val="000000" w:themeColor="text1"/>
              </w:rPr>
            </w:pPr>
          </w:p>
          <w:p w14:paraId="510C1752" w14:textId="77777777" w:rsidR="00F97573" w:rsidRPr="00286216" w:rsidRDefault="00F97573" w:rsidP="00F97573">
            <w:pPr>
              <w:pStyle w:val="StyleWisnow"/>
              <w:rPr>
                <w:color w:val="000000" w:themeColor="text1"/>
              </w:rPr>
            </w:pPr>
          </w:p>
          <w:p w14:paraId="57E780BA" w14:textId="77777777" w:rsidR="00F97573" w:rsidRPr="00286216" w:rsidRDefault="00F97573" w:rsidP="00F97573">
            <w:pPr>
              <w:pStyle w:val="StyleWisnow"/>
              <w:rPr>
                <w:color w:val="000000" w:themeColor="text1"/>
              </w:rPr>
            </w:pPr>
          </w:p>
          <w:p w14:paraId="67423489" w14:textId="77777777" w:rsidR="00F97573" w:rsidRPr="00286216" w:rsidRDefault="00F97573" w:rsidP="00F97573">
            <w:pPr>
              <w:pStyle w:val="StyleWisnow"/>
              <w:rPr>
                <w:color w:val="000000" w:themeColor="text1"/>
              </w:rPr>
            </w:pPr>
          </w:p>
          <w:p w14:paraId="71E66B38" w14:textId="77777777" w:rsidR="00F97573" w:rsidRPr="00286216" w:rsidRDefault="00F97573" w:rsidP="00F97573">
            <w:pPr>
              <w:pStyle w:val="StyleWisnow"/>
              <w:rPr>
                <w:color w:val="000000" w:themeColor="text1"/>
              </w:rPr>
            </w:pPr>
          </w:p>
          <w:p w14:paraId="2FAC426C" w14:textId="77777777" w:rsidR="00F97573" w:rsidRPr="00286216" w:rsidRDefault="00F97573" w:rsidP="00F97573">
            <w:pPr>
              <w:pStyle w:val="StyleWisnow"/>
              <w:rPr>
                <w:color w:val="000000" w:themeColor="text1"/>
              </w:rPr>
            </w:pPr>
          </w:p>
          <w:p w14:paraId="7E7D0578" w14:textId="77777777" w:rsidR="00F97573" w:rsidRPr="00286216" w:rsidRDefault="00F97573" w:rsidP="00F97573">
            <w:pPr>
              <w:pStyle w:val="StyleWisnow"/>
              <w:rPr>
                <w:color w:val="000000" w:themeColor="text1"/>
              </w:rPr>
            </w:pPr>
          </w:p>
          <w:p w14:paraId="1D47BD70" w14:textId="77777777" w:rsidR="00F97573" w:rsidRPr="00286216" w:rsidRDefault="00F97573" w:rsidP="00F97573">
            <w:pPr>
              <w:pStyle w:val="StyleWisnow"/>
              <w:rPr>
                <w:color w:val="000000" w:themeColor="text1"/>
              </w:rPr>
            </w:pPr>
          </w:p>
          <w:p w14:paraId="643B3A71" w14:textId="77777777" w:rsidR="00F97573" w:rsidRPr="00286216" w:rsidRDefault="00F97573" w:rsidP="00F97573">
            <w:pPr>
              <w:pStyle w:val="StyleWisnow"/>
              <w:rPr>
                <w:color w:val="000000" w:themeColor="text1"/>
              </w:rPr>
            </w:pPr>
          </w:p>
          <w:p w14:paraId="4F3DE933" w14:textId="77777777" w:rsidR="00F97573" w:rsidRPr="00286216" w:rsidRDefault="00F97573" w:rsidP="00F97573">
            <w:pPr>
              <w:pStyle w:val="StyleWisnow"/>
              <w:rPr>
                <w:color w:val="000000" w:themeColor="text1"/>
              </w:rPr>
            </w:pPr>
          </w:p>
          <w:p w14:paraId="152835CD" w14:textId="77777777" w:rsidR="00F97573" w:rsidRPr="00286216" w:rsidRDefault="00F97573" w:rsidP="00F97573">
            <w:pPr>
              <w:pStyle w:val="StyleWisnow"/>
              <w:rPr>
                <w:color w:val="000000" w:themeColor="text1"/>
              </w:rPr>
            </w:pPr>
          </w:p>
          <w:p w14:paraId="42A4BF02" w14:textId="77777777" w:rsidR="00F97573" w:rsidRPr="00286216" w:rsidRDefault="00F97573" w:rsidP="00F97573">
            <w:pPr>
              <w:pStyle w:val="StyleWisnow"/>
              <w:rPr>
                <w:color w:val="000000" w:themeColor="text1"/>
              </w:rPr>
            </w:pPr>
          </w:p>
          <w:p w14:paraId="454078C8" w14:textId="77777777" w:rsidR="00F97573" w:rsidRPr="00286216" w:rsidRDefault="00F97573" w:rsidP="00F97573">
            <w:pPr>
              <w:pStyle w:val="StyleWisnow"/>
              <w:rPr>
                <w:color w:val="000000" w:themeColor="text1"/>
              </w:rPr>
            </w:pPr>
          </w:p>
          <w:p w14:paraId="55666E51" w14:textId="77777777" w:rsidR="00F97573" w:rsidRPr="00286216" w:rsidRDefault="00F97573" w:rsidP="00F97573">
            <w:pPr>
              <w:pStyle w:val="StyleWisnow"/>
              <w:rPr>
                <w:color w:val="000000" w:themeColor="text1"/>
              </w:rPr>
            </w:pPr>
          </w:p>
          <w:p w14:paraId="55A2F536" w14:textId="77777777" w:rsidR="00F97573" w:rsidRPr="00286216" w:rsidRDefault="00F97573" w:rsidP="00F97573">
            <w:pPr>
              <w:pStyle w:val="StyleWisnow"/>
              <w:rPr>
                <w:color w:val="000000" w:themeColor="text1"/>
              </w:rPr>
            </w:pPr>
          </w:p>
          <w:p w14:paraId="67A60603" w14:textId="77777777" w:rsidR="00F97573" w:rsidRPr="00286216" w:rsidRDefault="00F97573" w:rsidP="00F97573">
            <w:pPr>
              <w:pStyle w:val="StyleWisnow"/>
              <w:rPr>
                <w:color w:val="000000" w:themeColor="text1"/>
              </w:rPr>
            </w:pPr>
          </w:p>
          <w:p w14:paraId="6741826B" w14:textId="77777777" w:rsidR="00F97573" w:rsidRPr="00286216" w:rsidRDefault="00F97573" w:rsidP="00F97573">
            <w:pPr>
              <w:pStyle w:val="StyleWisnow"/>
              <w:rPr>
                <w:color w:val="000000" w:themeColor="text1"/>
              </w:rPr>
            </w:pPr>
          </w:p>
          <w:p w14:paraId="57354133" w14:textId="77777777" w:rsidR="00F97573" w:rsidRPr="00286216" w:rsidRDefault="00F97573" w:rsidP="00F97573">
            <w:pPr>
              <w:pStyle w:val="StyleWisnow"/>
              <w:rPr>
                <w:color w:val="000000" w:themeColor="text1"/>
              </w:rPr>
            </w:pPr>
          </w:p>
          <w:p w14:paraId="311324CF" w14:textId="77777777" w:rsidR="00F97573" w:rsidRPr="00286216" w:rsidRDefault="00F97573" w:rsidP="00F97573">
            <w:pPr>
              <w:pStyle w:val="StyleWisnow"/>
              <w:rPr>
                <w:color w:val="000000" w:themeColor="text1"/>
              </w:rPr>
            </w:pPr>
          </w:p>
          <w:p w14:paraId="4677E686" w14:textId="77777777" w:rsidR="00F97573" w:rsidRPr="00286216" w:rsidRDefault="00F97573" w:rsidP="00F97573">
            <w:pPr>
              <w:pStyle w:val="StyleWisnow"/>
              <w:rPr>
                <w:color w:val="000000" w:themeColor="text1"/>
              </w:rPr>
            </w:pPr>
          </w:p>
          <w:p w14:paraId="00D38DE8" w14:textId="77777777" w:rsidR="00F97573" w:rsidRPr="00286216" w:rsidRDefault="00F97573" w:rsidP="00F97573">
            <w:pPr>
              <w:pStyle w:val="StyleWisnow"/>
              <w:rPr>
                <w:color w:val="000000" w:themeColor="text1"/>
              </w:rPr>
            </w:pPr>
          </w:p>
          <w:p w14:paraId="4EF7ADFC" w14:textId="77777777" w:rsidR="00F97573" w:rsidRPr="00286216" w:rsidRDefault="00F97573" w:rsidP="00F97573">
            <w:pPr>
              <w:pStyle w:val="StyleWisnow"/>
              <w:rPr>
                <w:color w:val="000000" w:themeColor="text1"/>
              </w:rPr>
            </w:pPr>
          </w:p>
          <w:p w14:paraId="0EDA78F0" w14:textId="77777777" w:rsidR="00F97573" w:rsidRPr="00286216" w:rsidRDefault="00F97573" w:rsidP="00F97573">
            <w:pPr>
              <w:pStyle w:val="StyleWisnow"/>
              <w:rPr>
                <w:color w:val="000000" w:themeColor="text1"/>
              </w:rPr>
            </w:pPr>
          </w:p>
          <w:p w14:paraId="6E5E4CB3" w14:textId="77777777" w:rsidR="00F97573" w:rsidRPr="00286216" w:rsidRDefault="00F97573" w:rsidP="00F97573">
            <w:pPr>
              <w:pStyle w:val="StyleWisnow"/>
              <w:rPr>
                <w:color w:val="000000" w:themeColor="text1"/>
              </w:rPr>
            </w:pPr>
          </w:p>
          <w:p w14:paraId="32B1741A" w14:textId="77777777" w:rsidR="00F97573" w:rsidRPr="00286216" w:rsidRDefault="00F97573" w:rsidP="00F97573">
            <w:pPr>
              <w:pStyle w:val="StyleWisnow"/>
              <w:rPr>
                <w:color w:val="000000" w:themeColor="text1"/>
              </w:rPr>
            </w:pPr>
          </w:p>
          <w:p w14:paraId="5CBFD3B3" w14:textId="77777777" w:rsidR="00F97573" w:rsidRPr="00286216" w:rsidRDefault="00F97573" w:rsidP="00F97573">
            <w:pPr>
              <w:pStyle w:val="StyleWisnow"/>
              <w:rPr>
                <w:color w:val="000000" w:themeColor="text1"/>
              </w:rPr>
            </w:pPr>
          </w:p>
          <w:p w14:paraId="46295417" w14:textId="77777777" w:rsidR="00F97573" w:rsidRPr="00286216" w:rsidRDefault="00F97573" w:rsidP="00F97573">
            <w:pPr>
              <w:pStyle w:val="StyleWisnow"/>
              <w:rPr>
                <w:color w:val="000000" w:themeColor="text1"/>
              </w:rPr>
            </w:pPr>
          </w:p>
          <w:p w14:paraId="3A8BDCEF" w14:textId="77777777" w:rsidR="00F97573" w:rsidRPr="00286216" w:rsidRDefault="00F97573" w:rsidP="00F97573">
            <w:pPr>
              <w:pStyle w:val="StyleWisnow"/>
              <w:rPr>
                <w:color w:val="000000" w:themeColor="text1"/>
              </w:rPr>
            </w:pPr>
          </w:p>
          <w:p w14:paraId="22A789DA" w14:textId="77777777" w:rsidR="00F97573" w:rsidRPr="00286216" w:rsidRDefault="00F97573" w:rsidP="00F97573">
            <w:pPr>
              <w:pStyle w:val="StyleWisnow"/>
              <w:rPr>
                <w:color w:val="000000" w:themeColor="text1"/>
              </w:rPr>
            </w:pPr>
          </w:p>
          <w:p w14:paraId="10603F8C" w14:textId="77777777" w:rsidR="00F97573" w:rsidRPr="00286216" w:rsidRDefault="00F97573" w:rsidP="00F97573">
            <w:pPr>
              <w:pStyle w:val="StyleWisnow"/>
              <w:rPr>
                <w:color w:val="000000" w:themeColor="text1"/>
              </w:rPr>
            </w:pPr>
          </w:p>
          <w:p w14:paraId="57729F0C" w14:textId="77777777" w:rsidR="00F97573" w:rsidRPr="00286216" w:rsidRDefault="00F97573" w:rsidP="00F97573">
            <w:pPr>
              <w:pStyle w:val="StyleWisnow"/>
              <w:rPr>
                <w:color w:val="000000" w:themeColor="text1"/>
              </w:rPr>
            </w:pPr>
          </w:p>
          <w:p w14:paraId="634C6A3F" w14:textId="77777777" w:rsidR="00F97573" w:rsidRPr="00286216" w:rsidRDefault="00F97573" w:rsidP="00F97573">
            <w:pPr>
              <w:pStyle w:val="StyleWisnow"/>
              <w:rPr>
                <w:color w:val="000000" w:themeColor="text1"/>
              </w:rPr>
            </w:pPr>
          </w:p>
          <w:p w14:paraId="0594D964" w14:textId="77777777" w:rsidR="00F97573" w:rsidRPr="00286216" w:rsidRDefault="00F97573" w:rsidP="00F97573">
            <w:pPr>
              <w:pStyle w:val="StyleWisnow"/>
              <w:rPr>
                <w:color w:val="000000" w:themeColor="text1"/>
              </w:rPr>
            </w:pPr>
          </w:p>
          <w:p w14:paraId="3A649763" w14:textId="77777777" w:rsidR="00F97573" w:rsidRPr="00286216" w:rsidRDefault="00F97573" w:rsidP="00F97573">
            <w:pPr>
              <w:pStyle w:val="StyleWisnow"/>
              <w:rPr>
                <w:color w:val="000000" w:themeColor="text1"/>
              </w:rPr>
            </w:pPr>
          </w:p>
          <w:p w14:paraId="4010846F" w14:textId="77777777" w:rsidR="00F97573" w:rsidRPr="00286216" w:rsidRDefault="00F97573" w:rsidP="00F97573">
            <w:pPr>
              <w:pStyle w:val="StyleWisnow"/>
              <w:rPr>
                <w:color w:val="000000" w:themeColor="text1"/>
              </w:rPr>
            </w:pPr>
          </w:p>
          <w:p w14:paraId="54B57D80" w14:textId="77777777" w:rsidR="00F97573" w:rsidRPr="00286216" w:rsidRDefault="00F97573" w:rsidP="00F97573">
            <w:pPr>
              <w:pStyle w:val="StyleWisnow"/>
              <w:rPr>
                <w:color w:val="000000" w:themeColor="text1"/>
              </w:rPr>
            </w:pPr>
          </w:p>
          <w:p w14:paraId="519C75E9" w14:textId="77777777" w:rsidR="00F97573" w:rsidRPr="00286216" w:rsidRDefault="00F97573" w:rsidP="00F97573">
            <w:pPr>
              <w:pStyle w:val="StyleWisnow"/>
              <w:rPr>
                <w:color w:val="000000" w:themeColor="text1"/>
              </w:rPr>
            </w:pPr>
          </w:p>
          <w:p w14:paraId="7A644063" w14:textId="77777777" w:rsidR="00F97573" w:rsidRPr="00286216" w:rsidRDefault="00F97573" w:rsidP="00F97573">
            <w:pPr>
              <w:pStyle w:val="StyleWisnow"/>
              <w:rPr>
                <w:color w:val="000000" w:themeColor="text1"/>
              </w:rPr>
            </w:pPr>
          </w:p>
          <w:p w14:paraId="73070083" w14:textId="77777777" w:rsidR="00F97573" w:rsidRPr="00286216" w:rsidRDefault="00F97573" w:rsidP="00F97573">
            <w:pPr>
              <w:pStyle w:val="StyleWisnow"/>
              <w:rPr>
                <w:color w:val="000000" w:themeColor="text1"/>
              </w:rPr>
            </w:pPr>
          </w:p>
          <w:p w14:paraId="6EAB86D1" w14:textId="77777777" w:rsidR="00F97573" w:rsidRPr="00286216" w:rsidRDefault="00F97573" w:rsidP="00F97573">
            <w:pPr>
              <w:pStyle w:val="StyleWisnow"/>
              <w:rPr>
                <w:color w:val="000000" w:themeColor="text1"/>
              </w:rPr>
            </w:pPr>
          </w:p>
          <w:p w14:paraId="455FE90D" w14:textId="77777777" w:rsidR="00F97573" w:rsidRPr="00286216" w:rsidRDefault="00F97573" w:rsidP="00F97573">
            <w:pPr>
              <w:pStyle w:val="StyleWisnow"/>
              <w:rPr>
                <w:color w:val="000000" w:themeColor="text1"/>
              </w:rPr>
            </w:pPr>
          </w:p>
          <w:p w14:paraId="0B7C6B92" w14:textId="77777777" w:rsidR="00F97573" w:rsidRPr="00286216" w:rsidRDefault="00F97573" w:rsidP="00F97573">
            <w:pPr>
              <w:pStyle w:val="StyleWisnow"/>
              <w:rPr>
                <w:color w:val="000000" w:themeColor="text1"/>
              </w:rPr>
            </w:pPr>
          </w:p>
          <w:p w14:paraId="3F377D55" w14:textId="77777777" w:rsidR="00F97573" w:rsidRPr="00286216" w:rsidRDefault="00F97573" w:rsidP="00F97573">
            <w:pPr>
              <w:pStyle w:val="StyleWisnow"/>
              <w:rPr>
                <w:color w:val="000000" w:themeColor="text1"/>
              </w:rPr>
            </w:pPr>
          </w:p>
          <w:p w14:paraId="4ECFEFAF" w14:textId="77777777" w:rsidR="00F97573" w:rsidRPr="00286216" w:rsidRDefault="00F97573" w:rsidP="00F97573">
            <w:pPr>
              <w:pStyle w:val="StyleWisnow"/>
              <w:rPr>
                <w:color w:val="000000" w:themeColor="text1"/>
              </w:rPr>
            </w:pPr>
          </w:p>
          <w:p w14:paraId="1A2AE332" w14:textId="77777777" w:rsidR="00F97573" w:rsidRPr="00286216" w:rsidRDefault="00F97573" w:rsidP="00F97573">
            <w:pPr>
              <w:pStyle w:val="StyleWisnow"/>
              <w:rPr>
                <w:color w:val="000000" w:themeColor="text1"/>
              </w:rPr>
            </w:pPr>
          </w:p>
          <w:p w14:paraId="7A5AA7BD" w14:textId="77777777" w:rsidR="00F97573" w:rsidRPr="00286216" w:rsidRDefault="00F97573" w:rsidP="00F97573">
            <w:pPr>
              <w:pStyle w:val="StyleWisnow"/>
              <w:rPr>
                <w:color w:val="000000" w:themeColor="text1"/>
              </w:rPr>
            </w:pPr>
          </w:p>
          <w:p w14:paraId="02E1EECE" w14:textId="77777777" w:rsidR="00F97573" w:rsidRPr="00286216" w:rsidRDefault="00F97573" w:rsidP="00F97573">
            <w:pPr>
              <w:pStyle w:val="StyleWisnow"/>
              <w:rPr>
                <w:color w:val="000000" w:themeColor="text1"/>
              </w:rPr>
            </w:pPr>
          </w:p>
          <w:p w14:paraId="3093131A" w14:textId="77777777" w:rsidR="00F97573" w:rsidRPr="00286216" w:rsidRDefault="00F97573" w:rsidP="00F97573">
            <w:pPr>
              <w:pStyle w:val="StyleWisnow"/>
              <w:rPr>
                <w:color w:val="000000" w:themeColor="text1"/>
              </w:rPr>
            </w:pPr>
          </w:p>
          <w:p w14:paraId="1550A41E" w14:textId="77777777" w:rsidR="00F97573" w:rsidRPr="00286216" w:rsidRDefault="00F97573" w:rsidP="00F97573">
            <w:pPr>
              <w:pStyle w:val="StyleWisnow"/>
              <w:rPr>
                <w:color w:val="000000" w:themeColor="text1"/>
              </w:rPr>
            </w:pPr>
          </w:p>
          <w:p w14:paraId="51B4CAF2" w14:textId="77777777" w:rsidR="00F97573" w:rsidRPr="00286216" w:rsidRDefault="00F97573" w:rsidP="00F97573">
            <w:pPr>
              <w:pStyle w:val="StyleWisnow"/>
              <w:rPr>
                <w:color w:val="000000" w:themeColor="text1"/>
              </w:rPr>
            </w:pPr>
          </w:p>
          <w:p w14:paraId="1FDA7AA9" w14:textId="77777777" w:rsidR="00F97573" w:rsidRPr="00286216" w:rsidRDefault="00F97573" w:rsidP="00F97573">
            <w:pPr>
              <w:pStyle w:val="StyleWisnow"/>
              <w:rPr>
                <w:color w:val="000000" w:themeColor="text1"/>
              </w:rPr>
            </w:pPr>
          </w:p>
          <w:p w14:paraId="1BA06995" w14:textId="77777777" w:rsidR="00F97573" w:rsidRPr="00286216" w:rsidRDefault="00F97573" w:rsidP="00F97573">
            <w:pPr>
              <w:pStyle w:val="StyleWisnow"/>
              <w:rPr>
                <w:color w:val="000000" w:themeColor="text1"/>
              </w:rPr>
            </w:pPr>
          </w:p>
          <w:p w14:paraId="73FF37D7" w14:textId="77777777" w:rsidR="00F97573" w:rsidRPr="00286216" w:rsidRDefault="00F97573" w:rsidP="00F97573">
            <w:pPr>
              <w:pStyle w:val="StyleWisnow"/>
              <w:rPr>
                <w:color w:val="000000" w:themeColor="text1"/>
              </w:rPr>
            </w:pPr>
          </w:p>
          <w:p w14:paraId="210E3495" w14:textId="77777777" w:rsidR="00F97573" w:rsidRPr="00286216" w:rsidRDefault="00F97573" w:rsidP="00F97573">
            <w:pPr>
              <w:pStyle w:val="StyleWisnow"/>
              <w:rPr>
                <w:color w:val="000000" w:themeColor="text1"/>
              </w:rPr>
            </w:pPr>
          </w:p>
          <w:p w14:paraId="39040D2C" w14:textId="77777777" w:rsidR="00F97573" w:rsidRPr="00286216" w:rsidRDefault="00F97573" w:rsidP="00F97573">
            <w:pPr>
              <w:pStyle w:val="StyleWisnow"/>
              <w:rPr>
                <w:color w:val="000000" w:themeColor="text1"/>
              </w:rPr>
            </w:pPr>
          </w:p>
          <w:p w14:paraId="6B7A310A" w14:textId="77777777" w:rsidR="00F97573" w:rsidRPr="00286216" w:rsidRDefault="00F97573" w:rsidP="00F97573">
            <w:pPr>
              <w:pStyle w:val="StyleWisnow"/>
              <w:rPr>
                <w:color w:val="000000" w:themeColor="text1"/>
              </w:rPr>
            </w:pPr>
          </w:p>
          <w:p w14:paraId="49B84797" w14:textId="77777777" w:rsidR="00F97573" w:rsidRPr="00286216" w:rsidRDefault="00F97573" w:rsidP="00F97573">
            <w:pPr>
              <w:pStyle w:val="StyleWisnow"/>
              <w:rPr>
                <w:color w:val="000000" w:themeColor="text1"/>
              </w:rPr>
            </w:pPr>
          </w:p>
          <w:p w14:paraId="3D9F488B" w14:textId="77777777" w:rsidR="00F97573" w:rsidRPr="00286216" w:rsidRDefault="00F97573" w:rsidP="00F97573">
            <w:pPr>
              <w:pStyle w:val="StyleWisnow"/>
              <w:rPr>
                <w:color w:val="000000" w:themeColor="text1"/>
              </w:rPr>
            </w:pPr>
          </w:p>
          <w:p w14:paraId="22AECA6C" w14:textId="77777777" w:rsidR="00F97573" w:rsidRPr="00286216" w:rsidRDefault="00F97573" w:rsidP="00F97573">
            <w:pPr>
              <w:pStyle w:val="StyleWisnow"/>
              <w:rPr>
                <w:color w:val="000000" w:themeColor="text1"/>
              </w:rPr>
            </w:pPr>
          </w:p>
          <w:p w14:paraId="2698677B" w14:textId="77777777" w:rsidR="00F97573" w:rsidRPr="00286216" w:rsidRDefault="00F97573" w:rsidP="00F97573">
            <w:pPr>
              <w:pStyle w:val="StyleWisnow"/>
              <w:rPr>
                <w:color w:val="000000" w:themeColor="text1"/>
              </w:rPr>
            </w:pPr>
          </w:p>
          <w:p w14:paraId="3FC68FC8" w14:textId="77777777" w:rsidR="00F97573" w:rsidRPr="00286216" w:rsidRDefault="00F97573" w:rsidP="00F97573">
            <w:pPr>
              <w:pStyle w:val="StyleWisnow"/>
              <w:rPr>
                <w:color w:val="000000" w:themeColor="text1"/>
              </w:rPr>
            </w:pPr>
          </w:p>
          <w:p w14:paraId="3F86CB0A" w14:textId="77777777" w:rsidR="00F97573" w:rsidRPr="00286216" w:rsidRDefault="00F97573" w:rsidP="00F97573">
            <w:pPr>
              <w:pStyle w:val="StyleWisnow"/>
              <w:rPr>
                <w:color w:val="000000" w:themeColor="text1"/>
              </w:rPr>
            </w:pPr>
          </w:p>
          <w:p w14:paraId="3128213D" w14:textId="77777777" w:rsidR="00F97573" w:rsidRPr="00286216" w:rsidRDefault="00F97573" w:rsidP="00F97573">
            <w:pPr>
              <w:pStyle w:val="StyleWisnow"/>
              <w:rPr>
                <w:color w:val="000000" w:themeColor="text1"/>
              </w:rPr>
            </w:pPr>
          </w:p>
          <w:p w14:paraId="6B8FFC7F" w14:textId="77777777" w:rsidR="00F97573" w:rsidRPr="00286216" w:rsidRDefault="00F97573" w:rsidP="00F97573">
            <w:pPr>
              <w:pStyle w:val="StyleWisnow"/>
              <w:rPr>
                <w:color w:val="000000" w:themeColor="text1"/>
              </w:rPr>
            </w:pPr>
          </w:p>
          <w:p w14:paraId="0DD67E17" w14:textId="77777777" w:rsidR="00F97573" w:rsidRPr="00286216" w:rsidRDefault="00F97573" w:rsidP="00F97573">
            <w:pPr>
              <w:pStyle w:val="StyleWisnow"/>
              <w:rPr>
                <w:color w:val="000000" w:themeColor="text1"/>
              </w:rPr>
            </w:pPr>
          </w:p>
          <w:p w14:paraId="78AFE5D5" w14:textId="77777777" w:rsidR="00F97573" w:rsidRPr="00286216" w:rsidRDefault="00F97573" w:rsidP="00F97573">
            <w:pPr>
              <w:pStyle w:val="StyleWisnow"/>
              <w:rPr>
                <w:color w:val="000000" w:themeColor="text1"/>
              </w:rPr>
            </w:pPr>
          </w:p>
          <w:p w14:paraId="0F112666" w14:textId="77777777" w:rsidR="00F97573" w:rsidRPr="00286216" w:rsidRDefault="00F97573" w:rsidP="00F97573">
            <w:pPr>
              <w:pStyle w:val="StyleWisnow"/>
              <w:rPr>
                <w:color w:val="000000" w:themeColor="text1"/>
              </w:rPr>
            </w:pPr>
          </w:p>
          <w:p w14:paraId="1FFAE103" w14:textId="77777777" w:rsidR="00F97573" w:rsidRPr="00286216" w:rsidRDefault="00F97573" w:rsidP="00F97573">
            <w:pPr>
              <w:pStyle w:val="StyleWisnow"/>
              <w:rPr>
                <w:color w:val="000000" w:themeColor="text1"/>
              </w:rPr>
            </w:pPr>
          </w:p>
          <w:p w14:paraId="7696EE47" w14:textId="77777777" w:rsidR="00F97573" w:rsidRPr="00286216" w:rsidRDefault="00F97573" w:rsidP="00F97573">
            <w:pPr>
              <w:pStyle w:val="StyleWisnow"/>
              <w:rPr>
                <w:color w:val="000000" w:themeColor="text1"/>
              </w:rPr>
            </w:pPr>
          </w:p>
          <w:p w14:paraId="174010DB" w14:textId="77777777" w:rsidR="00F97573" w:rsidRPr="00286216" w:rsidRDefault="00F97573" w:rsidP="00F97573">
            <w:pPr>
              <w:pStyle w:val="StyleWisnow"/>
              <w:rPr>
                <w:color w:val="000000" w:themeColor="text1"/>
              </w:rPr>
            </w:pPr>
          </w:p>
          <w:p w14:paraId="0FD36D2A" w14:textId="77777777" w:rsidR="00F97573" w:rsidRPr="00286216" w:rsidRDefault="00F97573" w:rsidP="00F97573">
            <w:pPr>
              <w:pStyle w:val="StyleWisnow"/>
              <w:rPr>
                <w:color w:val="000000" w:themeColor="text1"/>
              </w:rPr>
            </w:pPr>
          </w:p>
          <w:p w14:paraId="3D0FA24D" w14:textId="77777777" w:rsidR="00F97573" w:rsidRPr="00286216" w:rsidRDefault="00F97573" w:rsidP="00F97573">
            <w:pPr>
              <w:pStyle w:val="StyleWisnow"/>
              <w:rPr>
                <w:color w:val="000000" w:themeColor="text1"/>
              </w:rPr>
            </w:pPr>
          </w:p>
          <w:p w14:paraId="1BD226BC" w14:textId="77777777" w:rsidR="00F97573" w:rsidRPr="00286216" w:rsidRDefault="00F97573" w:rsidP="00F97573">
            <w:pPr>
              <w:pStyle w:val="StyleWisnow"/>
              <w:rPr>
                <w:color w:val="000000" w:themeColor="text1"/>
              </w:rPr>
            </w:pPr>
          </w:p>
          <w:p w14:paraId="6824CE11" w14:textId="77777777" w:rsidR="00F97573" w:rsidRPr="00286216" w:rsidRDefault="00F97573" w:rsidP="00F97573">
            <w:pPr>
              <w:pStyle w:val="StyleWisnow"/>
              <w:rPr>
                <w:color w:val="000000" w:themeColor="text1"/>
              </w:rPr>
            </w:pPr>
          </w:p>
          <w:p w14:paraId="67023EDC" w14:textId="77777777" w:rsidR="00F97573" w:rsidRPr="00286216" w:rsidRDefault="00F97573" w:rsidP="00F97573">
            <w:pPr>
              <w:pStyle w:val="StyleWisnow"/>
              <w:rPr>
                <w:color w:val="000000" w:themeColor="text1"/>
              </w:rPr>
            </w:pPr>
          </w:p>
          <w:p w14:paraId="5C327236" w14:textId="77777777" w:rsidR="00F97573" w:rsidRPr="00286216" w:rsidRDefault="00F97573" w:rsidP="00F97573">
            <w:pPr>
              <w:pStyle w:val="StyleWisnow"/>
              <w:rPr>
                <w:color w:val="000000" w:themeColor="text1"/>
              </w:rPr>
            </w:pPr>
          </w:p>
          <w:p w14:paraId="165457DD" w14:textId="77777777" w:rsidR="00F97573" w:rsidRPr="00286216" w:rsidRDefault="00F97573" w:rsidP="00F97573">
            <w:pPr>
              <w:pStyle w:val="StyleWisnow"/>
              <w:rPr>
                <w:color w:val="000000" w:themeColor="text1"/>
              </w:rPr>
            </w:pPr>
          </w:p>
          <w:p w14:paraId="3CBB6F62" w14:textId="77777777" w:rsidR="00F97573" w:rsidRPr="00286216" w:rsidRDefault="00F97573" w:rsidP="00F97573">
            <w:pPr>
              <w:pStyle w:val="StyleWisnow"/>
              <w:rPr>
                <w:color w:val="000000" w:themeColor="text1"/>
              </w:rPr>
            </w:pPr>
          </w:p>
          <w:p w14:paraId="7DACE1FB" w14:textId="77777777" w:rsidR="00F97573" w:rsidRPr="00286216" w:rsidRDefault="00F97573" w:rsidP="00F97573">
            <w:pPr>
              <w:pStyle w:val="StyleWisnow"/>
              <w:rPr>
                <w:color w:val="000000" w:themeColor="text1"/>
              </w:rPr>
            </w:pPr>
          </w:p>
          <w:p w14:paraId="6C666326" w14:textId="77777777" w:rsidR="00F97573" w:rsidRPr="00286216" w:rsidRDefault="00F97573" w:rsidP="00F97573">
            <w:pPr>
              <w:pStyle w:val="StyleWisnow"/>
              <w:rPr>
                <w:color w:val="000000" w:themeColor="text1"/>
              </w:rPr>
            </w:pPr>
          </w:p>
          <w:p w14:paraId="2EF6AA82" w14:textId="77777777" w:rsidR="00F97573" w:rsidRPr="00286216" w:rsidRDefault="00F97573" w:rsidP="00F97573">
            <w:pPr>
              <w:pStyle w:val="StyleWisnow"/>
              <w:rPr>
                <w:color w:val="000000" w:themeColor="text1"/>
              </w:rPr>
            </w:pPr>
          </w:p>
          <w:p w14:paraId="47F800E3" w14:textId="77777777" w:rsidR="00F97573" w:rsidRPr="00286216" w:rsidRDefault="00F97573" w:rsidP="00F97573">
            <w:pPr>
              <w:pStyle w:val="StyleWisnow"/>
              <w:rPr>
                <w:color w:val="000000" w:themeColor="text1"/>
              </w:rPr>
            </w:pPr>
          </w:p>
          <w:p w14:paraId="1046DF22" w14:textId="77777777" w:rsidR="00F97573" w:rsidRPr="00286216" w:rsidRDefault="00F97573" w:rsidP="00F97573">
            <w:pPr>
              <w:pStyle w:val="StyleWisnow"/>
              <w:rPr>
                <w:color w:val="000000" w:themeColor="text1"/>
              </w:rPr>
            </w:pPr>
          </w:p>
          <w:p w14:paraId="09EAC697" w14:textId="77777777" w:rsidR="00F97573" w:rsidRPr="00286216" w:rsidRDefault="00F97573" w:rsidP="00F97573">
            <w:pPr>
              <w:pStyle w:val="StyleWisnow"/>
              <w:rPr>
                <w:color w:val="000000" w:themeColor="text1"/>
              </w:rPr>
            </w:pPr>
          </w:p>
          <w:p w14:paraId="0ED13AEB" w14:textId="77777777" w:rsidR="00F97573" w:rsidRPr="00286216" w:rsidRDefault="00F97573" w:rsidP="00F97573">
            <w:pPr>
              <w:pStyle w:val="StyleWisnow"/>
              <w:rPr>
                <w:color w:val="000000" w:themeColor="text1"/>
              </w:rPr>
            </w:pPr>
          </w:p>
          <w:p w14:paraId="0BCDF55C" w14:textId="77777777" w:rsidR="00F97573" w:rsidRPr="00286216" w:rsidRDefault="00F97573" w:rsidP="00F97573">
            <w:pPr>
              <w:pStyle w:val="StyleWisnow"/>
              <w:rPr>
                <w:color w:val="000000" w:themeColor="text1"/>
              </w:rPr>
            </w:pPr>
          </w:p>
          <w:p w14:paraId="774A6F6F" w14:textId="77777777" w:rsidR="00F97573" w:rsidRPr="00286216" w:rsidRDefault="00F97573" w:rsidP="00F97573">
            <w:pPr>
              <w:pStyle w:val="StyleWisnow"/>
              <w:rPr>
                <w:color w:val="000000" w:themeColor="text1"/>
              </w:rPr>
            </w:pPr>
          </w:p>
          <w:p w14:paraId="7DA1EB2F" w14:textId="77777777" w:rsidR="00F97573" w:rsidRPr="00286216" w:rsidRDefault="00F97573" w:rsidP="00F97573">
            <w:pPr>
              <w:pStyle w:val="StyleWisnow"/>
              <w:rPr>
                <w:color w:val="000000" w:themeColor="text1"/>
              </w:rPr>
            </w:pPr>
          </w:p>
          <w:p w14:paraId="47C85FA3" w14:textId="77777777" w:rsidR="00F97573" w:rsidRPr="00286216" w:rsidRDefault="00F97573" w:rsidP="00F97573">
            <w:pPr>
              <w:pStyle w:val="StyleWisnow"/>
              <w:rPr>
                <w:color w:val="000000" w:themeColor="text1"/>
              </w:rPr>
            </w:pPr>
          </w:p>
          <w:p w14:paraId="6D09C9E7" w14:textId="77777777" w:rsidR="00F97573" w:rsidRPr="00286216" w:rsidRDefault="00F97573" w:rsidP="00F97573">
            <w:pPr>
              <w:pStyle w:val="StyleWisnow"/>
              <w:rPr>
                <w:color w:val="000000" w:themeColor="text1"/>
              </w:rPr>
            </w:pPr>
          </w:p>
          <w:p w14:paraId="2B938D05" w14:textId="77777777" w:rsidR="00F97573" w:rsidRPr="00286216" w:rsidRDefault="00F97573" w:rsidP="00F97573">
            <w:pPr>
              <w:pStyle w:val="StyleWisnow"/>
              <w:rPr>
                <w:color w:val="000000" w:themeColor="text1"/>
              </w:rPr>
            </w:pPr>
          </w:p>
          <w:p w14:paraId="5695B415" w14:textId="77777777" w:rsidR="00F97573" w:rsidRPr="00286216" w:rsidRDefault="00F97573" w:rsidP="00F97573">
            <w:pPr>
              <w:pStyle w:val="StyleWisnow"/>
              <w:rPr>
                <w:color w:val="000000" w:themeColor="text1"/>
              </w:rPr>
            </w:pPr>
          </w:p>
          <w:p w14:paraId="482A7D78" w14:textId="77777777" w:rsidR="00F97573" w:rsidRPr="00286216" w:rsidRDefault="00F97573" w:rsidP="00F97573">
            <w:pPr>
              <w:pStyle w:val="StyleWisnow"/>
              <w:rPr>
                <w:color w:val="000000" w:themeColor="text1"/>
              </w:rPr>
            </w:pPr>
          </w:p>
          <w:p w14:paraId="211C3764" w14:textId="77777777" w:rsidR="00F97573" w:rsidRPr="00286216" w:rsidRDefault="00F97573" w:rsidP="00F97573">
            <w:pPr>
              <w:pStyle w:val="StyleWisnow"/>
              <w:rPr>
                <w:color w:val="000000" w:themeColor="text1"/>
              </w:rPr>
            </w:pPr>
          </w:p>
          <w:p w14:paraId="5285C627" w14:textId="77777777" w:rsidR="00F97573" w:rsidRPr="00286216" w:rsidRDefault="00F97573" w:rsidP="00F97573">
            <w:pPr>
              <w:pStyle w:val="StyleWisnow"/>
              <w:rPr>
                <w:color w:val="000000" w:themeColor="text1"/>
              </w:rPr>
            </w:pPr>
          </w:p>
          <w:p w14:paraId="710FA34D" w14:textId="77777777" w:rsidR="00F97573" w:rsidRPr="00286216" w:rsidRDefault="00F97573" w:rsidP="00F97573">
            <w:pPr>
              <w:pStyle w:val="StyleWisnow"/>
              <w:rPr>
                <w:color w:val="000000" w:themeColor="text1"/>
              </w:rPr>
            </w:pPr>
          </w:p>
          <w:p w14:paraId="7FF8B8B4" w14:textId="77777777" w:rsidR="00F97573" w:rsidRPr="00286216" w:rsidRDefault="00F97573" w:rsidP="00F97573">
            <w:pPr>
              <w:pStyle w:val="StyleWisnow"/>
              <w:rPr>
                <w:color w:val="000000" w:themeColor="text1"/>
              </w:rPr>
            </w:pPr>
          </w:p>
          <w:p w14:paraId="03D2DBCA" w14:textId="77777777" w:rsidR="00F97573" w:rsidRPr="00286216" w:rsidRDefault="00F97573" w:rsidP="00F97573">
            <w:pPr>
              <w:pStyle w:val="StyleWisnow"/>
              <w:rPr>
                <w:color w:val="000000" w:themeColor="text1"/>
              </w:rPr>
            </w:pPr>
          </w:p>
          <w:p w14:paraId="4B467460" w14:textId="77777777" w:rsidR="00F97573" w:rsidRPr="00286216" w:rsidRDefault="00F97573" w:rsidP="00F97573">
            <w:pPr>
              <w:pStyle w:val="StyleWisnow"/>
              <w:rPr>
                <w:color w:val="000000" w:themeColor="text1"/>
              </w:rPr>
            </w:pPr>
          </w:p>
          <w:p w14:paraId="68EB7637" w14:textId="77777777" w:rsidR="00F97573" w:rsidRPr="00286216" w:rsidRDefault="00F97573" w:rsidP="00F97573">
            <w:pPr>
              <w:pStyle w:val="StyleWisnow"/>
              <w:rPr>
                <w:color w:val="000000" w:themeColor="text1"/>
              </w:rPr>
            </w:pPr>
          </w:p>
          <w:p w14:paraId="2C23190A" w14:textId="77777777" w:rsidR="00F97573" w:rsidRPr="00286216" w:rsidRDefault="00F97573" w:rsidP="00F97573">
            <w:pPr>
              <w:pStyle w:val="StyleWisnow"/>
              <w:rPr>
                <w:color w:val="000000" w:themeColor="text1"/>
              </w:rPr>
            </w:pPr>
          </w:p>
          <w:p w14:paraId="59844E2D" w14:textId="77777777" w:rsidR="00F97573" w:rsidRPr="00286216" w:rsidRDefault="00F97573" w:rsidP="00F97573">
            <w:pPr>
              <w:pStyle w:val="StyleWisnow"/>
              <w:rPr>
                <w:color w:val="000000" w:themeColor="text1"/>
              </w:rPr>
            </w:pPr>
          </w:p>
          <w:p w14:paraId="43B8015E" w14:textId="77777777" w:rsidR="00F97573" w:rsidRPr="00286216" w:rsidRDefault="00F97573" w:rsidP="00F97573">
            <w:pPr>
              <w:pStyle w:val="StyleWisnow"/>
              <w:rPr>
                <w:color w:val="000000" w:themeColor="text1"/>
              </w:rPr>
            </w:pPr>
          </w:p>
          <w:p w14:paraId="05195801" w14:textId="77777777" w:rsidR="00F97573" w:rsidRPr="00286216" w:rsidRDefault="00F97573" w:rsidP="00F97573">
            <w:pPr>
              <w:pStyle w:val="StyleWisnow"/>
              <w:rPr>
                <w:color w:val="000000" w:themeColor="text1"/>
              </w:rPr>
            </w:pPr>
          </w:p>
          <w:p w14:paraId="3851E492" w14:textId="77777777" w:rsidR="00F97573" w:rsidRPr="00286216" w:rsidRDefault="00F97573" w:rsidP="00F97573">
            <w:pPr>
              <w:pStyle w:val="StyleWisnow"/>
              <w:rPr>
                <w:color w:val="000000" w:themeColor="text1"/>
              </w:rPr>
            </w:pPr>
          </w:p>
          <w:p w14:paraId="38BA9672" w14:textId="77777777" w:rsidR="00F97573" w:rsidRPr="00286216" w:rsidRDefault="00F97573" w:rsidP="00F97573">
            <w:pPr>
              <w:pStyle w:val="StyleWisnow"/>
              <w:rPr>
                <w:color w:val="000000" w:themeColor="text1"/>
              </w:rPr>
            </w:pPr>
          </w:p>
          <w:p w14:paraId="692A7259" w14:textId="77777777" w:rsidR="00F97573" w:rsidRPr="00286216" w:rsidRDefault="00F97573" w:rsidP="00F97573">
            <w:pPr>
              <w:pStyle w:val="StyleWisnow"/>
              <w:rPr>
                <w:color w:val="000000" w:themeColor="text1"/>
              </w:rPr>
            </w:pPr>
          </w:p>
          <w:p w14:paraId="1C719F7E" w14:textId="77777777" w:rsidR="00F97573" w:rsidRPr="00286216" w:rsidRDefault="00F97573" w:rsidP="00F97573">
            <w:pPr>
              <w:pStyle w:val="StyleWisnow"/>
              <w:rPr>
                <w:color w:val="000000" w:themeColor="text1"/>
              </w:rPr>
            </w:pPr>
          </w:p>
          <w:p w14:paraId="4E007279" w14:textId="77777777" w:rsidR="00F97573" w:rsidRPr="00286216" w:rsidRDefault="00F97573" w:rsidP="00F97573">
            <w:pPr>
              <w:pStyle w:val="StyleWisnow"/>
              <w:rPr>
                <w:color w:val="000000" w:themeColor="text1"/>
              </w:rPr>
            </w:pPr>
          </w:p>
          <w:p w14:paraId="023473A9" w14:textId="77777777" w:rsidR="00F97573" w:rsidRPr="00286216" w:rsidRDefault="00F97573" w:rsidP="00F97573">
            <w:pPr>
              <w:pStyle w:val="StyleWisnow"/>
              <w:rPr>
                <w:color w:val="000000" w:themeColor="text1"/>
              </w:rPr>
            </w:pPr>
          </w:p>
          <w:p w14:paraId="3145DCDB" w14:textId="77777777" w:rsidR="00F97573" w:rsidRPr="00286216" w:rsidRDefault="00F97573" w:rsidP="00F97573">
            <w:pPr>
              <w:pStyle w:val="StyleWisnow"/>
              <w:rPr>
                <w:color w:val="000000" w:themeColor="text1"/>
              </w:rPr>
            </w:pPr>
          </w:p>
          <w:p w14:paraId="60369BD2" w14:textId="77777777" w:rsidR="00F97573" w:rsidRPr="00286216" w:rsidRDefault="00F97573" w:rsidP="00F97573">
            <w:pPr>
              <w:pStyle w:val="StyleWisnow"/>
              <w:rPr>
                <w:color w:val="000000" w:themeColor="text1"/>
              </w:rPr>
            </w:pPr>
          </w:p>
          <w:p w14:paraId="2A04A51A" w14:textId="77777777" w:rsidR="00F97573" w:rsidRPr="00286216" w:rsidRDefault="00F97573" w:rsidP="00F97573">
            <w:pPr>
              <w:pStyle w:val="StyleWisnow"/>
              <w:rPr>
                <w:color w:val="000000" w:themeColor="text1"/>
              </w:rPr>
            </w:pPr>
          </w:p>
          <w:p w14:paraId="0F3E99CF" w14:textId="77777777" w:rsidR="00F97573" w:rsidRPr="00286216" w:rsidRDefault="00F97573" w:rsidP="00F97573">
            <w:pPr>
              <w:pStyle w:val="StyleWisnow"/>
              <w:rPr>
                <w:color w:val="000000" w:themeColor="text1"/>
              </w:rPr>
            </w:pPr>
          </w:p>
          <w:p w14:paraId="6F9F58FD" w14:textId="77777777" w:rsidR="00F97573" w:rsidRPr="00286216" w:rsidRDefault="00F97573" w:rsidP="00F97573">
            <w:pPr>
              <w:pStyle w:val="StyleWisnow"/>
              <w:rPr>
                <w:color w:val="000000" w:themeColor="text1"/>
              </w:rPr>
            </w:pPr>
          </w:p>
          <w:p w14:paraId="4F25C3FE" w14:textId="77777777" w:rsidR="00F97573" w:rsidRPr="00286216" w:rsidRDefault="00F97573" w:rsidP="00F97573">
            <w:pPr>
              <w:pStyle w:val="StyleWisnow"/>
              <w:rPr>
                <w:color w:val="000000" w:themeColor="text1"/>
              </w:rPr>
            </w:pPr>
          </w:p>
          <w:p w14:paraId="76DCB845" w14:textId="77777777" w:rsidR="00F97573" w:rsidRPr="00286216" w:rsidRDefault="00F97573" w:rsidP="00F97573">
            <w:pPr>
              <w:pStyle w:val="StyleWisnow"/>
              <w:rPr>
                <w:color w:val="000000" w:themeColor="text1"/>
              </w:rPr>
            </w:pPr>
          </w:p>
          <w:p w14:paraId="0C961679" w14:textId="77777777" w:rsidR="00F97573" w:rsidRPr="00286216" w:rsidRDefault="00F97573" w:rsidP="00F97573">
            <w:pPr>
              <w:pStyle w:val="StyleWisnow"/>
              <w:rPr>
                <w:color w:val="000000" w:themeColor="text1"/>
              </w:rPr>
            </w:pPr>
          </w:p>
          <w:p w14:paraId="74E8C68B" w14:textId="77777777" w:rsidR="00F97573" w:rsidRPr="00286216" w:rsidRDefault="00F97573" w:rsidP="00F97573">
            <w:pPr>
              <w:pStyle w:val="StyleWisnow"/>
              <w:rPr>
                <w:color w:val="000000" w:themeColor="text1"/>
              </w:rPr>
            </w:pPr>
          </w:p>
          <w:p w14:paraId="2115B13E" w14:textId="77777777" w:rsidR="00F97573" w:rsidRPr="00286216" w:rsidRDefault="00F97573" w:rsidP="00F97573">
            <w:pPr>
              <w:pStyle w:val="StyleWisnow"/>
              <w:rPr>
                <w:color w:val="000000" w:themeColor="text1"/>
              </w:rPr>
            </w:pPr>
          </w:p>
          <w:p w14:paraId="583D5CFB" w14:textId="77777777" w:rsidR="00F97573" w:rsidRPr="00286216" w:rsidRDefault="00F97573" w:rsidP="00F97573">
            <w:pPr>
              <w:pStyle w:val="StyleWisnow"/>
              <w:rPr>
                <w:color w:val="000000" w:themeColor="text1"/>
              </w:rPr>
            </w:pPr>
          </w:p>
          <w:p w14:paraId="4524F1A2" w14:textId="77777777" w:rsidR="00F97573" w:rsidRPr="00286216" w:rsidRDefault="00F97573" w:rsidP="00F97573">
            <w:pPr>
              <w:pStyle w:val="StyleWisnow"/>
              <w:rPr>
                <w:color w:val="000000" w:themeColor="text1"/>
              </w:rPr>
            </w:pPr>
          </w:p>
          <w:p w14:paraId="3556B5A2" w14:textId="77777777" w:rsidR="00F97573" w:rsidRPr="00286216" w:rsidRDefault="00F97573" w:rsidP="00F97573">
            <w:pPr>
              <w:pStyle w:val="StyleWisnow"/>
              <w:rPr>
                <w:color w:val="000000" w:themeColor="text1"/>
              </w:rPr>
            </w:pPr>
          </w:p>
          <w:p w14:paraId="5A82E343" w14:textId="77777777" w:rsidR="00F97573" w:rsidRPr="00286216" w:rsidRDefault="00F97573" w:rsidP="00F97573">
            <w:pPr>
              <w:pStyle w:val="StyleWisnow"/>
              <w:rPr>
                <w:color w:val="000000" w:themeColor="text1"/>
              </w:rPr>
            </w:pPr>
          </w:p>
          <w:p w14:paraId="6A557241" w14:textId="77777777" w:rsidR="00F97573" w:rsidRPr="00286216" w:rsidRDefault="00F97573" w:rsidP="00F97573">
            <w:pPr>
              <w:pStyle w:val="StyleWisnow"/>
              <w:rPr>
                <w:color w:val="000000" w:themeColor="text1"/>
              </w:rPr>
            </w:pPr>
          </w:p>
          <w:p w14:paraId="6B0D1D8C" w14:textId="77777777" w:rsidR="00F97573" w:rsidRPr="00286216" w:rsidRDefault="00F97573" w:rsidP="00F97573">
            <w:pPr>
              <w:pStyle w:val="StyleWisnow"/>
              <w:rPr>
                <w:color w:val="000000" w:themeColor="text1"/>
              </w:rPr>
            </w:pPr>
          </w:p>
          <w:p w14:paraId="71338050" w14:textId="77777777" w:rsidR="00F97573" w:rsidRPr="00286216" w:rsidRDefault="00F97573" w:rsidP="00F97573">
            <w:pPr>
              <w:pStyle w:val="StyleWisnow"/>
              <w:rPr>
                <w:color w:val="000000" w:themeColor="text1"/>
              </w:rPr>
            </w:pPr>
          </w:p>
          <w:p w14:paraId="5FCE7206" w14:textId="77777777" w:rsidR="00F97573" w:rsidRPr="00286216" w:rsidRDefault="00F97573" w:rsidP="00F97573">
            <w:pPr>
              <w:pStyle w:val="StyleWisnow"/>
              <w:rPr>
                <w:color w:val="000000" w:themeColor="text1"/>
              </w:rPr>
            </w:pPr>
          </w:p>
          <w:p w14:paraId="0DF93EDA" w14:textId="77777777" w:rsidR="00F97573" w:rsidRPr="00286216" w:rsidRDefault="00F97573" w:rsidP="00F97573">
            <w:pPr>
              <w:pStyle w:val="StyleWisnow"/>
              <w:rPr>
                <w:color w:val="000000" w:themeColor="text1"/>
              </w:rPr>
            </w:pPr>
          </w:p>
          <w:p w14:paraId="2DECEF89" w14:textId="77777777" w:rsidR="00F97573" w:rsidRPr="00286216" w:rsidRDefault="00F97573" w:rsidP="00F97573">
            <w:pPr>
              <w:pStyle w:val="StyleWisnow"/>
              <w:rPr>
                <w:color w:val="000000" w:themeColor="text1"/>
              </w:rPr>
            </w:pPr>
          </w:p>
          <w:p w14:paraId="75AE3967" w14:textId="77777777" w:rsidR="00F97573" w:rsidRPr="00286216" w:rsidRDefault="00F97573" w:rsidP="00F97573">
            <w:pPr>
              <w:pStyle w:val="StyleWisnow"/>
              <w:rPr>
                <w:color w:val="000000" w:themeColor="text1"/>
              </w:rPr>
            </w:pPr>
          </w:p>
          <w:p w14:paraId="37DD0E11" w14:textId="77777777" w:rsidR="00F97573" w:rsidRPr="00286216" w:rsidRDefault="00F97573" w:rsidP="00F97573">
            <w:pPr>
              <w:pStyle w:val="StyleWisnow"/>
              <w:rPr>
                <w:color w:val="000000" w:themeColor="text1"/>
              </w:rPr>
            </w:pPr>
          </w:p>
          <w:p w14:paraId="36718083" w14:textId="77777777" w:rsidR="00F97573" w:rsidRPr="00286216" w:rsidRDefault="00F97573" w:rsidP="00F97573">
            <w:pPr>
              <w:pStyle w:val="StyleWisnow"/>
              <w:rPr>
                <w:color w:val="000000" w:themeColor="text1"/>
              </w:rPr>
            </w:pPr>
          </w:p>
          <w:p w14:paraId="3B5BEF5E" w14:textId="77777777" w:rsidR="00F97573" w:rsidRPr="00286216" w:rsidRDefault="00F97573" w:rsidP="00F97573">
            <w:pPr>
              <w:pStyle w:val="StyleWisnow"/>
              <w:rPr>
                <w:color w:val="000000" w:themeColor="text1"/>
              </w:rPr>
            </w:pPr>
          </w:p>
          <w:p w14:paraId="50FAB174" w14:textId="77777777" w:rsidR="00F97573" w:rsidRPr="00286216" w:rsidRDefault="00F97573" w:rsidP="00F97573">
            <w:pPr>
              <w:pStyle w:val="StyleWisnow"/>
              <w:rPr>
                <w:color w:val="000000" w:themeColor="text1"/>
              </w:rPr>
            </w:pPr>
          </w:p>
          <w:p w14:paraId="3C7693D8" w14:textId="77777777" w:rsidR="00F97573" w:rsidRPr="00286216" w:rsidRDefault="00F97573" w:rsidP="00F97573">
            <w:pPr>
              <w:pStyle w:val="StyleWisnow"/>
              <w:rPr>
                <w:color w:val="000000" w:themeColor="text1"/>
              </w:rPr>
            </w:pPr>
          </w:p>
          <w:p w14:paraId="2C12A41B" w14:textId="77777777" w:rsidR="00F97573" w:rsidRPr="00286216" w:rsidRDefault="00F97573" w:rsidP="00F97573">
            <w:pPr>
              <w:pStyle w:val="StyleWisnow"/>
              <w:rPr>
                <w:color w:val="000000" w:themeColor="text1"/>
              </w:rPr>
            </w:pPr>
          </w:p>
          <w:p w14:paraId="622E6318" w14:textId="77777777" w:rsidR="00F97573" w:rsidRPr="00286216" w:rsidRDefault="00F97573" w:rsidP="00F97573">
            <w:pPr>
              <w:pStyle w:val="StyleWisnow"/>
              <w:rPr>
                <w:color w:val="000000" w:themeColor="text1"/>
              </w:rPr>
            </w:pPr>
          </w:p>
          <w:p w14:paraId="289C6DE8" w14:textId="77777777" w:rsidR="00F97573" w:rsidRPr="00286216" w:rsidRDefault="00F97573" w:rsidP="00F97573">
            <w:pPr>
              <w:pStyle w:val="StyleWisnow"/>
              <w:rPr>
                <w:color w:val="000000" w:themeColor="text1"/>
              </w:rPr>
            </w:pPr>
          </w:p>
          <w:p w14:paraId="14311D20" w14:textId="77777777" w:rsidR="00F97573" w:rsidRPr="00286216" w:rsidRDefault="00F97573" w:rsidP="00F97573">
            <w:pPr>
              <w:pStyle w:val="StyleWisnow"/>
              <w:rPr>
                <w:color w:val="000000" w:themeColor="text1"/>
              </w:rPr>
            </w:pPr>
          </w:p>
          <w:p w14:paraId="3B36FECF" w14:textId="77777777" w:rsidR="00F97573" w:rsidRPr="00286216" w:rsidRDefault="00F97573" w:rsidP="00F97573">
            <w:pPr>
              <w:pStyle w:val="StyleWisnow"/>
              <w:rPr>
                <w:color w:val="000000" w:themeColor="text1"/>
              </w:rPr>
            </w:pPr>
          </w:p>
          <w:p w14:paraId="47DA2F27" w14:textId="77777777" w:rsidR="00F97573" w:rsidRPr="00286216" w:rsidRDefault="00F97573" w:rsidP="00F97573">
            <w:pPr>
              <w:pStyle w:val="StyleWisnow"/>
              <w:rPr>
                <w:color w:val="000000" w:themeColor="text1"/>
              </w:rPr>
            </w:pPr>
          </w:p>
          <w:p w14:paraId="184FD0D9" w14:textId="77777777" w:rsidR="00F97573" w:rsidRPr="00286216" w:rsidRDefault="00F97573" w:rsidP="00F97573">
            <w:pPr>
              <w:pStyle w:val="StyleWisnow"/>
              <w:rPr>
                <w:color w:val="000000" w:themeColor="text1"/>
              </w:rPr>
            </w:pPr>
          </w:p>
          <w:p w14:paraId="490BDAF7" w14:textId="77777777" w:rsidR="00F97573" w:rsidRPr="00286216" w:rsidRDefault="00F97573" w:rsidP="00F97573">
            <w:pPr>
              <w:pStyle w:val="StyleWisnow"/>
              <w:rPr>
                <w:color w:val="000000" w:themeColor="text1"/>
              </w:rPr>
            </w:pPr>
          </w:p>
          <w:p w14:paraId="66DC102B" w14:textId="77777777" w:rsidR="00F97573" w:rsidRPr="00286216" w:rsidRDefault="00F97573" w:rsidP="00F97573">
            <w:pPr>
              <w:pStyle w:val="StyleWisnow"/>
              <w:rPr>
                <w:color w:val="000000" w:themeColor="text1"/>
              </w:rPr>
            </w:pPr>
          </w:p>
          <w:p w14:paraId="236524AE" w14:textId="77777777" w:rsidR="00F97573" w:rsidRPr="00286216" w:rsidRDefault="00F97573" w:rsidP="00F97573">
            <w:pPr>
              <w:pStyle w:val="StyleWisnow"/>
              <w:rPr>
                <w:color w:val="000000" w:themeColor="text1"/>
              </w:rPr>
            </w:pPr>
          </w:p>
          <w:p w14:paraId="7A3CDFA1" w14:textId="77777777" w:rsidR="00F97573" w:rsidRPr="00286216" w:rsidRDefault="00F97573" w:rsidP="00F97573">
            <w:pPr>
              <w:pStyle w:val="StyleWisnow"/>
              <w:rPr>
                <w:color w:val="000000" w:themeColor="text1"/>
              </w:rPr>
            </w:pPr>
          </w:p>
          <w:p w14:paraId="0C5C1B14" w14:textId="77777777" w:rsidR="00F97573" w:rsidRPr="00286216" w:rsidRDefault="00F97573" w:rsidP="00F97573">
            <w:pPr>
              <w:pStyle w:val="StyleWisnow"/>
              <w:rPr>
                <w:color w:val="000000" w:themeColor="text1"/>
              </w:rPr>
            </w:pPr>
          </w:p>
          <w:p w14:paraId="44877DD8" w14:textId="77777777" w:rsidR="00F97573" w:rsidRPr="00286216" w:rsidRDefault="00F97573" w:rsidP="00F97573">
            <w:pPr>
              <w:pStyle w:val="StyleWisnow"/>
              <w:rPr>
                <w:color w:val="000000" w:themeColor="text1"/>
              </w:rPr>
            </w:pPr>
          </w:p>
          <w:p w14:paraId="1CF3AE6C" w14:textId="77777777" w:rsidR="00F97573" w:rsidRPr="00286216" w:rsidRDefault="00F97573" w:rsidP="00F97573">
            <w:pPr>
              <w:pStyle w:val="StyleWisnow"/>
              <w:rPr>
                <w:color w:val="000000" w:themeColor="text1"/>
              </w:rPr>
            </w:pPr>
          </w:p>
          <w:p w14:paraId="4B772EBD" w14:textId="77777777" w:rsidR="00F97573" w:rsidRPr="00286216" w:rsidRDefault="00F97573" w:rsidP="00F97573">
            <w:pPr>
              <w:pStyle w:val="StyleWisnow"/>
              <w:rPr>
                <w:color w:val="000000" w:themeColor="text1"/>
              </w:rPr>
            </w:pPr>
          </w:p>
          <w:p w14:paraId="3648E9C5" w14:textId="77777777" w:rsidR="00F97573" w:rsidRPr="00286216" w:rsidRDefault="00F97573" w:rsidP="00F97573">
            <w:pPr>
              <w:pStyle w:val="StyleWisnow"/>
              <w:rPr>
                <w:color w:val="000000" w:themeColor="text1"/>
              </w:rPr>
            </w:pPr>
          </w:p>
          <w:p w14:paraId="263CEDA1" w14:textId="77777777" w:rsidR="00F97573" w:rsidRPr="00286216" w:rsidRDefault="00F97573" w:rsidP="00F97573">
            <w:pPr>
              <w:pStyle w:val="StyleWisnow"/>
              <w:rPr>
                <w:color w:val="000000" w:themeColor="text1"/>
              </w:rPr>
            </w:pPr>
          </w:p>
          <w:p w14:paraId="0A7502C6" w14:textId="77777777" w:rsidR="00F97573" w:rsidRPr="00286216" w:rsidRDefault="00F97573" w:rsidP="00F97573">
            <w:pPr>
              <w:pStyle w:val="StyleWisnow"/>
              <w:rPr>
                <w:color w:val="000000" w:themeColor="text1"/>
              </w:rPr>
            </w:pPr>
          </w:p>
          <w:p w14:paraId="45F80BC5" w14:textId="77777777" w:rsidR="00F97573" w:rsidRPr="00286216" w:rsidRDefault="00F97573" w:rsidP="00F97573">
            <w:pPr>
              <w:pStyle w:val="StyleWisnow"/>
              <w:rPr>
                <w:color w:val="000000" w:themeColor="text1"/>
              </w:rPr>
            </w:pPr>
          </w:p>
          <w:p w14:paraId="57E853FD" w14:textId="77777777" w:rsidR="00F97573" w:rsidRPr="00286216" w:rsidRDefault="00F97573" w:rsidP="00F97573">
            <w:pPr>
              <w:pStyle w:val="StyleWisnow"/>
              <w:rPr>
                <w:color w:val="000000" w:themeColor="text1"/>
              </w:rPr>
            </w:pPr>
          </w:p>
          <w:p w14:paraId="06EAFF6F" w14:textId="77777777" w:rsidR="00F97573" w:rsidRPr="00286216" w:rsidRDefault="00F97573" w:rsidP="00F97573">
            <w:pPr>
              <w:pStyle w:val="StyleWisnow"/>
              <w:rPr>
                <w:color w:val="000000" w:themeColor="text1"/>
              </w:rPr>
            </w:pPr>
          </w:p>
          <w:p w14:paraId="0055F5BB" w14:textId="77777777" w:rsidR="00F97573" w:rsidRPr="00286216" w:rsidRDefault="00F97573" w:rsidP="00F97573">
            <w:pPr>
              <w:pStyle w:val="StyleWisnow"/>
              <w:rPr>
                <w:color w:val="000000" w:themeColor="text1"/>
              </w:rPr>
            </w:pPr>
          </w:p>
          <w:p w14:paraId="7CC0C772" w14:textId="77777777" w:rsidR="00F97573" w:rsidRPr="00286216" w:rsidRDefault="00F97573" w:rsidP="00F97573">
            <w:pPr>
              <w:pStyle w:val="StyleWisnow"/>
              <w:rPr>
                <w:color w:val="000000" w:themeColor="text1"/>
              </w:rPr>
            </w:pPr>
          </w:p>
          <w:p w14:paraId="0AB04952" w14:textId="77777777" w:rsidR="00F97573" w:rsidRPr="00286216" w:rsidRDefault="00F97573" w:rsidP="00F97573">
            <w:pPr>
              <w:pStyle w:val="StyleWisnow"/>
              <w:rPr>
                <w:color w:val="000000" w:themeColor="text1"/>
              </w:rPr>
            </w:pPr>
          </w:p>
          <w:p w14:paraId="27F975AE" w14:textId="77777777" w:rsidR="00F97573" w:rsidRPr="00286216" w:rsidRDefault="00F97573" w:rsidP="00F97573">
            <w:pPr>
              <w:pStyle w:val="StyleWisnow"/>
              <w:rPr>
                <w:color w:val="000000" w:themeColor="text1"/>
              </w:rPr>
            </w:pPr>
          </w:p>
          <w:p w14:paraId="2824521A" w14:textId="77777777" w:rsidR="00F97573" w:rsidRPr="00286216" w:rsidRDefault="00F97573" w:rsidP="00F97573">
            <w:pPr>
              <w:pStyle w:val="StyleWisnow"/>
              <w:rPr>
                <w:color w:val="000000" w:themeColor="text1"/>
              </w:rPr>
            </w:pPr>
          </w:p>
          <w:p w14:paraId="146E8AA3" w14:textId="77777777" w:rsidR="00F97573" w:rsidRPr="00286216" w:rsidRDefault="00F97573" w:rsidP="00F97573">
            <w:pPr>
              <w:pStyle w:val="StyleWisnow"/>
              <w:rPr>
                <w:color w:val="000000" w:themeColor="text1"/>
              </w:rPr>
            </w:pPr>
          </w:p>
          <w:p w14:paraId="6FC944DC" w14:textId="77777777" w:rsidR="00F97573" w:rsidRPr="00286216" w:rsidRDefault="00F97573" w:rsidP="00F97573">
            <w:pPr>
              <w:pStyle w:val="StyleWisnow"/>
              <w:rPr>
                <w:color w:val="000000" w:themeColor="text1"/>
              </w:rPr>
            </w:pPr>
          </w:p>
          <w:p w14:paraId="1763AE3A" w14:textId="77777777" w:rsidR="00F97573" w:rsidRPr="00286216" w:rsidRDefault="00F97573" w:rsidP="00F97573">
            <w:pPr>
              <w:pStyle w:val="StyleWisnow"/>
              <w:rPr>
                <w:color w:val="000000" w:themeColor="text1"/>
              </w:rPr>
            </w:pPr>
          </w:p>
          <w:p w14:paraId="661F95C0" w14:textId="77777777" w:rsidR="00F97573" w:rsidRPr="00286216" w:rsidRDefault="00F97573" w:rsidP="00F97573">
            <w:pPr>
              <w:pStyle w:val="StyleWisnow"/>
              <w:rPr>
                <w:color w:val="000000" w:themeColor="text1"/>
              </w:rPr>
            </w:pPr>
          </w:p>
          <w:p w14:paraId="64C0C6CE" w14:textId="77777777" w:rsidR="00F97573" w:rsidRPr="00286216" w:rsidRDefault="00F97573" w:rsidP="00F97573">
            <w:pPr>
              <w:pStyle w:val="StyleWisnow"/>
              <w:rPr>
                <w:color w:val="000000" w:themeColor="text1"/>
              </w:rPr>
            </w:pPr>
          </w:p>
          <w:p w14:paraId="5297C7CB" w14:textId="77777777" w:rsidR="00F97573" w:rsidRPr="00286216" w:rsidRDefault="00F97573" w:rsidP="00F97573">
            <w:pPr>
              <w:pStyle w:val="StyleWisnow"/>
              <w:rPr>
                <w:color w:val="000000" w:themeColor="text1"/>
              </w:rPr>
            </w:pPr>
          </w:p>
          <w:p w14:paraId="23D8935C" w14:textId="77777777" w:rsidR="00F97573" w:rsidRPr="00286216" w:rsidRDefault="00F97573" w:rsidP="00F97573">
            <w:pPr>
              <w:pStyle w:val="StyleWisnow"/>
              <w:rPr>
                <w:color w:val="000000" w:themeColor="text1"/>
              </w:rPr>
            </w:pPr>
          </w:p>
          <w:p w14:paraId="4699F761" w14:textId="77777777" w:rsidR="00F97573" w:rsidRPr="00286216" w:rsidRDefault="00F97573" w:rsidP="00F97573">
            <w:pPr>
              <w:pStyle w:val="StyleWisnow"/>
              <w:rPr>
                <w:color w:val="000000" w:themeColor="text1"/>
              </w:rPr>
            </w:pPr>
          </w:p>
          <w:p w14:paraId="1BB41E9B" w14:textId="77777777" w:rsidR="00F97573" w:rsidRPr="00286216" w:rsidRDefault="00F97573" w:rsidP="00F97573">
            <w:pPr>
              <w:pStyle w:val="StyleWisnow"/>
              <w:rPr>
                <w:color w:val="000000" w:themeColor="text1"/>
              </w:rPr>
            </w:pPr>
          </w:p>
          <w:p w14:paraId="6806D608" w14:textId="77777777" w:rsidR="00F97573" w:rsidRPr="00286216" w:rsidRDefault="00F97573" w:rsidP="00F97573">
            <w:pPr>
              <w:pStyle w:val="StyleWisnow"/>
              <w:rPr>
                <w:color w:val="000000" w:themeColor="text1"/>
              </w:rPr>
            </w:pPr>
          </w:p>
          <w:p w14:paraId="694DD3CF" w14:textId="77777777" w:rsidR="00F97573" w:rsidRPr="00286216" w:rsidRDefault="00F97573" w:rsidP="00F97573">
            <w:pPr>
              <w:pStyle w:val="StyleWisnow"/>
              <w:rPr>
                <w:color w:val="000000" w:themeColor="text1"/>
              </w:rPr>
            </w:pPr>
          </w:p>
          <w:p w14:paraId="69C3A368" w14:textId="77777777" w:rsidR="00F97573" w:rsidRPr="00286216" w:rsidRDefault="00F97573" w:rsidP="00F97573">
            <w:pPr>
              <w:pStyle w:val="StyleWisnow"/>
              <w:rPr>
                <w:color w:val="000000" w:themeColor="text1"/>
              </w:rPr>
            </w:pPr>
          </w:p>
          <w:p w14:paraId="1160CC9D" w14:textId="77777777" w:rsidR="00F97573" w:rsidRPr="00286216" w:rsidRDefault="00F97573" w:rsidP="00F97573">
            <w:pPr>
              <w:pStyle w:val="StyleWisnow"/>
              <w:rPr>
                <w:color w:val="000000" w:themeColor="text1"/>
              </w:rPr>
            </w:pPr>
          </w:p>
          <w:p w14:paraId="499651DD" w14:textId="77777777" w:rsidR="00F97573" w:rsidRPr="00286216" w:rsidRDefault="00F97573" w:rsidP="00F97573">
            <w:pPr>
              <w:pStyle w:val="StyleWisnow"/>
              <w:rPr>
                <w:color w:val="000000" w:themeColor="text1"/>
              </w:rPr>
            </w:pPr>
          </w:p>
          <w:p w14:paraId="26CF7948" w14:textId="77777777" w:rsidR="00F97573" w:rsidRPr="00286216" w:rsidRDefault="00F97573" w:rsidP="00F97573">
            <w:pPr>
              <w:pStyle w:val="StyleWisnow"/>
              <w:rPr>
                <w:color w:val="000000" w:themeColor="text1"/>
              </w:rPr>
            </w:pPr>
          </w:p>
          <w:p w14:paraId="006C8B83" w14:textId="77777777" w:rsidR="00F97573" w:rsidRPr="00286216" w:rsidRDefault="00F97573" w:rsidP="00F97573">
            <w:pPr>
              <w:pStyle w:val="StyleWisnow"/>
              <w:rPr>
                <w:color w:val="000000" w:themeColor="text1"/>
              </w:rPr>
            </w:pPr>
          </w:p>
          <w:p w14:paraId="5F30D796" w14:textId="77777777" w:rsidR="00F97573" w:rsidRPr="00286216" w:rsidRDefault="00F97573" w:rsidP="00F97573">
            <w:pPr>
              <w:pStyle w:val="StyleWisnow"/>
              <w:rPr>
                <w:color w:val="000000" w:themeColor="text1"/>
              </w:rPr>
            </w:pPr>
          </w:p>
          <w:p w14:paraId="6FCB7BC5" w14:textId="77777777" w:rsidR="00F97573" w:rsidRPr="00286216" w:rsidRDefault="00F97573" w:rsidP="00F97573">
            <w:pPr>
              <w:pStyle w:val="StyleWisnow"/>
              <w:rPr>
                <w:color w:val="000000" w:themeColor="text1"/>
              </w:rPr>
            </w:pPr>
          </w:p>
          <w:p w14:paraId="6C58178B" w14:textId="77777777" w:rsidR="00F97573" w:rsidRPr="00286216" w:rsidRDefault="00F97573" w:rsidP="00F97573">
            <w:pPr>
              <w:pStyle w:val="StyleWisnow"/>
              <w:rPr>
                <w:color w:val="000000" w:themeColor="text1"/>
              </w:rPr>
            </w:pPr>
          </w:p>
          <w:p w14:paraId="0A8C2DC1" w14:textId="77777777" w:rsidR="00F97573" w:rsidRPr="00286216" w:rsidRDefault="00F97573" w:rsidP="00F97573">
            <w:pPr>
              <w:pStyle w:val="StyleWisnow"/>
              <w:rPr>
                <w:color w:val="000000" w:themeColor="text1"/>
              </w:rPr>
            </w:pPr>
          </w:p>
          <w:p w14:paraId="3EC3FB23" w14:textId="77777777" w:rsidR="00F97573" w:rsidRPr="00286216" w:rsidRDefault="00F97573" w:rsidP="00F97573">
            <w:pPr>
              <w:pStyle w:val="StyleWisnow"/>
              <w:rPr>
                <w:color w:val="000000" w:themeColor="text1"/>
              </w:rPr>
            </w:pPr>
          </w:p>
          <w:p w14:paraId="7F864620" w14:textId="77777777" w:rsidR="00F97573" w:rsidRPr="00286216" w:rsidRDefault="00F97573" w:rsidP="00F97573">
            <w:pPr>
              <w:pStyle w:val="StyleWisnow"/>
              <w:rPr>
                <w:color w:val="000000" w:themeColor="text1"/>
              </w:rPr>
            </w:pPr>
          </w:p>
          <w:p w14:paraId="5D3D46B7" w14:textId="77777777" w:rsidR="00F97573" w:rsidRPr="00286216" w:rsidRDefault="00F97573" w:rsidP="00F97573">
            <w:pPr>
              <w:pStyle w:val="StyleWisnow"/>
              <w:rPr>
                <w:color w:val="000000" w:themeColor="text1"/>
              </w:rPr>
            </w:pPr>
          </w:p>
          <w:p w14:paraId="12CEB585" w14:textId="77777777" w:rsidR="00F97573" w:rsidRPr="00286216" w:rsidRDefault="00F97573" w:rsidP="00F97573">
            <w:pPr>
              <w:pStyle w:val="StyleWisnow"/>
              <w:rPr>
                <w:color w:val="000000" w:themeColor="text1"/>
              </w:rPr>
            </w:pPr>
          </w:p>
          <w:p w14:paraId="1F167D65" w14:textId="77777777" w:rsidR="00F97573" w:rsidRPr="00286216" w:rsidRDefault="00F97573" w:rsidP="00F97573">
            <w:pPr>
              <w:pStyle w:val="StyleWisnow"/>
              <w:rPr>
                <w:color w:val="000000" w:themeColor="text1"/>
              </w:rPr>
            </w:pPr>
          </w:p>
          <w:p w14:paraId="3CD54982" w14:textId="77777777" w:rsidR="00F97573" w:rsidRPr="00286216" w:rsidRDefault="00F97573" w:rsidP="00F97573">
            <w:pPr>
              <w:pStyle w:val="StyleWisnow"/>
              <w:rPr>
                <w:color w:val="000000" w:themeColor="text1"/>
              </w:rPr>
            </w:pPr>
          </w:p>
          <w:p w14:paraId="5D71D472" w14:textId="77777777" w:rsidR="00F97573" w:rsidRPr="00286216" w:rsidRDefault="00F97573" w:rsidP="00F97573">
            <w:pPr>
              <w:pStyle w:val="StyleWisnow"/>
              <w:rPr>
                <w:color w:val="000000" w:themeColor="text1"/>
              </w:rPr>
            </w:pPr>
          </w:p>
          <w:p w14:paraId="72EFF98B" w14:textId="77777777" w:rsidR="00F97573" w:rsidRPr="00286216" w:rsidRDefault="00F97573" w:rsidP="00F97573">
            <w:pPr>
              <w:pStyle w:val="StyleWisnow"/>
              <w:rPr>
                <w:color w:val="000000" w:themeColor="text1"/>
              </w:rPr>
            </w:pPr>
          </w:p>
          <w:p w14:paraId="7B454B6B" w14:textId="77777777" w:rsidR="00F97573" w:rsidRPr="00286216" w:rsidRDefault="00F97573" w:rsidP="00F97573">
            <w:pPr>
              <w:pStyle w:val="StyleWisnow"/>
              <w:rPr>
                <w:color w:val="000000" w:themeColor="text1"/>
              </w:rPr>
            </w:pPr>
          </w:p>
          <w:p w14:paraId="2C6B46E0" w14:textId="77777777" w:rsidR="00F97573" w:rsidRPr="00286216" w:rsidRDefault="00F97573" w:rsidP="00F97573">
            <w:pPr>
              <w:pStyle w:val="StyleWisnow"/>
              <w:rPr>
                <w:color w:val="000000" w:themeColor="text1"/>
              </w:rPr>
            </w:pPr>
          </w:p>
          <w:p w14:paraId="2A8AD4B8" w14:textId="77777777" w:rsidR="00F97573" w:rsidRPr="00286216" w:rsidRDefault="00F97573" w:rsidP="00F97573">
            <w:pPr>
              <w:pStyle w:val="StyleWisnow"/>
              <w:rPr>
                <w:color w:val="000000" w:themeColor="text1"/>
              </w:rPr>
            </w:pPr>
          </w:p>
          <w:p w14:paraId="2B0F6C6A" w14:textId="77777777" w:rsidR="00F97573" w:rsidRPr="00286216" w:rsidRDefault="00F97573" w:rsidP="00F97573">
            <w:pPr>
              <w:pStyle w:val="StyleWisnow"/>
              <w:rPr>
                <w:color w:val="000000" w:themeColor="text1"/>
              </w:rPr>
            </w:pPr>
          </w:p>
          <w:p w14:paraId="09BEE29F" w14:textId="77777777" w:rsidR="00F97573" w:rsidRPr="00286216" w:rsidRDefault="00F97573" w:rsidP="00F97573">
            <w:pPr>
              <w:pStyle w:val="StyleWisnow"/>
              <w:rPr>
                <w:color w:val="000000" w:themeColor="text1"/>
              </w:rPr>
            </w:pPr>
          </w:p>
          <w:p w14:paraId="7B08A581" w14:textId="77777777" w:rsidR="00F97573" w:rsidRPr="00286216" w:rsidRDefault="00F97573" w:rsidP="00F97573">
            <w:pPr>
              <w:pStyle w:val="StyleWisnow"/>
              <w:rPr>
                <w:color w:val="000000" w:themeColor="text1"/>
              </w:rPr>
            </w:pPr>
          </w:p>
          <w:p w14:paraId="15C24B77" w14:textId="77777777" w:rsidR="00F97573" w:rsidRPr="00286216" w:rsidRDefault="00F97573" w:rsidP="00F97573">
            <w:pPr>
              <w:pStyle w:val="StyleWisnow"/>
              <w:rPr>
                <w:color w:val="000000" w:themeColor="text1"/>
              </w:rPr>
            </w:pPr>
          </w:p>
          <w:p w14:paraId="59D5C29C" w14:textId="77777777" w:rsidR="00F97573" w:rsidRPr="00286216" w:rsidRDefault="00F97573" w:rsidP="00F97573">
            <w:pPr>
              <w:pStyle w:val="StyleWisnow"/>
              <w:rPr>
                <w:color w:val="000000" w:themeColor="text1"/>
              </w:rPr>
            </w:pPr>
          </w:p>
          <w:p w14:paraId="7897C537" w14:textId="77777777" w:rsidR="00F97573" w:rsidRPr="00286216" w:rsidRDefault="00F97573" w:rsidP="00F97573">
            <w:pPr>
              <w:pStyle w:val="StyleWisnow"/>
              <w:rPr>
                <w:color w:val="000000" w:themeColor="text1"/>
              </w:rPr>
            </w:pPr>
          </w:p>
          <w:p w14:paraId="7175DA6B" w14:textId="77777777" w:rsidR="00F97573" w:rsidRPr="00286216" w:rsidRDefault="00F97573" w:rsidP="00F97573">
            <w:pPr>
              <w:pStyle w:val="StyleWisnow"/>
              <w:rPr>
                <w:color w:val="000000" w:themeColor="text1"/>
              </w:rPr>
            </w:pPr>
          </w:p>
          <w:p w14:paraId="51493C6C" w14:textId="77777777" w:rsidR="00F97573" w:rsidRPr="00286216" w:rsidRDefault="00F97573" w:rsidP="00F97573">
            <w:pPr>
              <w:pStyle w:val="StyleWisnow"/>
              <w:rPr>
                <w:color w:val="000000" w:themeColor="text1"/>
              </w:rPr>
            </w:pPr>
          </w:p>
          <w:p w14:paraId="019FD753" w14:textId="77777777" w:rsidR="00F97573" w:rsidRPr="00286216" w:rsidRDefault="00F97573" w:rsidP="00F97573">
            <w:pPr>
              <w:pStyle w:val="StyleWisnow"/>
              <w:rPr>
                <w:color w:val="000000" w:themeColor="text1"/>
              </w:rPr>
            </w:pPr>
          </w:p>
          <w:p w14:paraId="6C1447B1" w14:textId="77777777" w:rsidR="00F97573" w:rsidRPr="00286216" w:rsidRDefault="00F97573" w:rsidP="00F97573">
            <w:pPr>
              <w:pStyle w:val="StyleWisnow"/>
              <w:rPr>
                <w:color w:val="000000" w:themeColor="text1"/>
              </w:rPr>
            </w:pPr>
          </w:p>
          <w:p w14:paraId="610F4883" w14:textId="77777777" w:rsidR="00F97573" w:rsidRPr="00286216" w:rsidRDefault="00F97573" w:rsidP="00F97573">
            <w:pPr>
              <w:pStyle w:val="StyleWisnow"/>
              <w:rPr>
                <w:color w:val="000000" w:themeColor="text1"/>
              </w:rPr>
            </w:pPr>
          </w:p>
          <w:p w14:paraId="225DAEAC" w14:textId="77777777" w:rsidR="00F97573" w:rsidRPr="00286216" w:rsidRDefault="00F97573" w:rsidP="00F97573">
            <w:pPr>
              <w:pStyle w:val="StyleWisnow"/>
              <w:rPr>
                <w:color w:val="000000" w:themeColor="text1"/>
              </w:rPr>
            </w:pPr>
          </w:p>
          <w:p w14:paraId="7F02B13B" w14:textId="77777777" w:rsidR="00F97573" w:rsidRPr="00286216" w:rsidRDefault="00F97573" w:rsidP="00F97573">
            <w:pPr>
              <w:pStyle w:val="StyleWisnow"/>
              <w:rPr>
                <w:color w:val="000000" w:themeColor="text1"/>
              </w:rPr>
            </w:pPr>
          </w:p>
          <w:p w14:paraId="25561FD8" w14:textId="77777777" w:rsidR="00F97573" w:rsidRPr="00286216" w:rsidRDefault="00F97573" w:rsidP="00F97573">
            <w:pPr>
              <w:pStyle w:val="StyleWisnow"/>
              <w:rPr>
                <w:color w:val="000000" w:themeColor="text1"/>
              </w:rPr>
            </w:pPr>
          </w:p>
          <w:p w14:paraId="74105B3C" w14:textId="77777777" w:rsidR="00F97573" w:rsidRPr="00286216" w:rsidRDefault="00F97573" w:rsidP="00F97573">
            <w:pPr>
              <w:pStyle w:val="StyleWisnow"/>
              <w:rPr>
                <w:color w:val="000000" w:themeColor="text1"/>
              </w:rPr>
            </w:pPr>
          </w:p>
          <w:p w14:paraId="32890EB9" w14:textId="77777777" w:rsidR="00F97573" w:rsidRPr="00286216" w:rsidRDefault="00F97573" w:rsidP="00F97573">
            <w:pPr>
              <w:pStyle w:val="StyleWisnow"/>
              <w:rPr>
                <w:color w:val="000000" w:themeColor="text1"/>
              </w:rPr>
            </w:pPr>
          </w:p>
          <w:p w14:paraId="4F06A7D9" w14:textId="77777777" w:rsidR="00F97573" w:rsidRPr="00286216" w:rsidRDefault="00F97573" w:rsidP="00F97573">
            <w:pPr>
              <w:pStyle w:val="StyleWisnow"/>
              <w:rPr>
                <w:color w:val="000000" w:themeColor="text1"/>
              </w:rPr>
            </w:pPr>
          </w:p>
          <w:p w14:paraId="4D62051A" w14:textId="77777777" w:rsidR="00F97573" w:rsidRPr="00286216" w:rsidRDefault="00F97573" w:rsidP="00F97573">
            <w:pPr>
              <w:pStyle w:val="StyleWisnow"/>
              <w:rPr>
                <w:color w:val="000000" w:themeColor="text1"/>
              </w:rPr>
            </w:pPr>
          </w:p>
          <w:p w14:paraId="446A850C" w14:textId="77777777" w:rsidR="00F97573" w:rsidRPr="00286216" w:rsidRDefault="00F97573" w:rsidP="00F97573">
            <w:pPr>
              <w:pStyle w:val="StyleWisnow"/>
              <w:rPr>
                <w:color w:val="000000" w:themeColor="text1"/>
              </w:rPr>
            </w:pPr>
          </w:p>
          <w:p w14:paraId="457EE597" w14:textId="77777777" w:rsidR="00F97573" w:rsidRPr="00286216" w:rsidRDefault="00F97573" w:rsidP="00F97573">
            <w:pPr>
              <w:pStyle w:val="StyleWisnow"/>
              <w:rPr>
                <w:color w:val="000000" w:themeColor="text1"/>
              </w:rPr>
            </w:pPr>
          </w:p>
          <w:p w14:paraId="303AAF98" w14:textId="77777777" w:rsidR="00F97573" w:rsidRPr="00286216" w:rsidRDefault="00F97573" w:rsidP="00F97573">
            <w:pPr>
              <w:pStyle w:val="StyleWisnow"/>
              <w:rPr>
                <w:color w:val="000000" w:themeColor="text1"/>
              </w:rPr>
            </w:pPr>
          </w:p>
          <w:p w14:paraId="566F169C" w14:textId="77777777" w:rsidR="00F97573" w:rsidRPr="00286216" w:rsidRDefault="00F97573" w:rsidP="00F97573">
            <w:pPr>
              <w:pStyle w:val="StyleWisnow"/>
              <w:rPr>
                <w:color w:val="000000" w:themeColor="text1"/>
              </w:rPr>
            </w:pPr>
          </w:p>
          <w:p w14:paraId="7EC347F1" w14:textId="77777777" w:rsidR="00F97573" w:rsidRPr="00286216" w:rsidRDefault="00F97573" w:rsidP="00F97573">
            <w:pPr>
              <w:pStyle w:val="StyleWisnow"/>
              <w:rPr>
                <w:color w:val="000000" w:themeColor="text1"/>
              </w:rPr>
            </w:pPr>
          </w:p>
          <w:p w14:paraId="24ABF09F" w14:textId="77777777" w:rsidR="00F97573" w:rsidRPr="00286216" w:rsidRDefault="00F97573" w:rsidP="00F97573">
            <w:pPr>
              <w:pStyle w:val="StyleWisnow"/>
              <w:rPr>
                <w:color w:val="000000" w:themeColor="text1"/>
              </w:rPr>
            </w:pPr>
          </w:p>
          <w:p w14:paraId="733AD834" w14:textId="77777777" w:rsidR="00F97573" w:rsidRPr="00286216" w:rsidRDefault="00F97573" w:rsidP="00F97573">
            <w:pPr>
              <w:pStyle w:val="StyleWisnow"/>
              <w:rPr>
                <w:color w:val="000000" w:themeColor="text1"/>
              </w:rPr>
            </w:pPr>
          </w:p>
          <w:p w14:paraId="338537EE" w14:textId="77777777" w:rsidR="00F97573" w:rsidRPr="00286216" w:rsidRDefault="00F97573" w:rsidP="00F97573">
            <w:pPr>
              <w:pStyle w:val="StyleWisnow"/>
              <w:rPr>
                <w:color w:val="000000" w:themeColor="text1"/>
              </w:rPr>
            </w:pPr>
          </w:p>
          <w:p w14:paraId="18BF74D0" w14:textId="77777777" w:rsidR="00F97573" w:rsidRPr="00286216" w:rsidRDefault="00F97573" w:rsidP="00F97573">
            <w:pPr>
              <w:pStyle w:val="StyleWisnow"/>
              <w:rPr>
                <w:color w:val="000000" w:themeColor="text1"/>
              </w:rPr>
            </w:pPr>
          </w:p>
          <w:p w14:paraId="03F110C1" w14:textId="77777777" w:rsidR="00F97573" w:rsidRPr="00286216" w:rsidRDefault="00F97573" w:rsidP="00F97573">
            <w:pPr>
              <w:pStyle w:val="StyleWisnow"/>
              <w:rPr>
                <w:color w:val="000000" w:themeColor="text1"/>
              </w:rPr>
            </w:pPr>
          </w:p>
          <w:p w14:paraId="521C70A3" w14:textId="77777777" w:rsidR="00F97573" w:rsidRPr="00286216" w:rsidRDefault="00F97573" w:rsidP="00F97573">
            <w:pPr>
              <w:pStyle w:val="StyleWisnow"/>
              <w:rPr>
                <w:color w:val="000000" w:themeColor="text1"/>
              </w:rPr>
            </w:pPr>
          </w:p>
          <w:p w14:paraId="281A03B8" w14:textId="77777777" w:rsidR="00F97573" w:rsidRPr="00286216" w:rsidRDefault="00F97573" w:rsidP="00F97573">
            <w:pPr>
              <w:pStyle w:val="StyleWisnow"/>
              <w:rPr>
                <w:color w:val="000000" w:themeColor="text1"/>
              </w:rPr>
            </w:pPr>
          </w:p>
          <w:p w14:paraId="090D6FE8" w14:textId="77777777" w:rsidR="00F97573" w:rsidRPr="00286216" w:rsidRDefault="00F97573" w:rsidP="00F97573">
            <w:pPr>
              <w:pStyle w:val="StyleWisnow"/>
              <w:rPr>
                <w:color w:val="000000" w:themeColor="text1"/>
              </w:rPr>
            </w:pPr>
          </w:p>
          <w:p w14:paraId="638AC463" w14:textId="77777777" w:rsidR="00F97573" w:rsidRPr="00286216" w:rsidRDefault="00F97573" w:rsidP="00F97573">
            <w:pPr>
              <w:pStyle w:val="StyleWisnow"/>
              <w:rPr>
                <w:color w:val="000000" w:themeColor="text1"/>
              </w:rPr>
            </w:pPr>
          </w:p>
          <w:p w14:paraId="5D9CF124" w14:textId="77777777" w:rsidR="00F97573" w:rsidRPr="00286216" w:rsidRDefault="00F97573" w:rsidP="00F97573">
            <w:pPr>
              <w:pStyle w:val="StyleWisnow"/>
              <w:rPr>
                <w:color w:val="000000" w:themeColor="text1"/>
              </w:rPr>
            </w:pPr>
          </w:p>
          <w:p w14:paraId="68DBD07C" w14:textId="77777777" w:rsidR="00F97573" w:rsidRPr="00286216" w:rsidRDefault="00F97573" w:rsidP="00F97573">
            <w:pPr>
              <w:pStyle w:val="StyleWisnow"/>
              <w:rPr>
                <w:color w:val="000000" w:themeColor="text1"/>
              </w:rPr>
            </w:pPr>
          </w:p>
          <w:p w14:paraId="53DA2027" w14:textId="77777777" w:rsidR="00F97573" w:rsidRPr="00286216" w:rsidRDefault="00F97573" w:rsidP="00F97573">
            <w:pPr>
              <w:pStyle w:val="StyleWisnow"/>
              <w:rPr>
                <w:color w:val="000000" w:themeColor="text1"/>
              </w:rPr>
            </w:pPr>
          </w:p>
          <w:p w14:paraId="721062B7" w14:textId="77777777" w:rsidR="00F97573" w:rsidRPr="00286216" w:rsidRDefault="00F97573" w:rsidP="00F97573">
            <w:pPr>
              <w:pStyle w:val="StyleWisnow"/>
              <w:rPr>
                <w:color w:val="000000" w:themeColor="text1"/>
              </w:rPr>
            </w:pPr>
          </w:p>
          <w:p w14:paraId="79A7EB8E" w14:textId="77777777" w:rsidR="00F97573" w:rsidRPr="00286216" w:rsidRDefault="00F97573" w:rsidP="00F97573">
            <w:pPr>
              <w:pStyle w:val="StyleWisnow"/>
              <w:rPr>
                <w:color w:val="000000" w:themeColor="text1"/>
              </w:rPr>
            </w:pPr>
          </w:p>
          <w:p w14:paraId="3A04A823" w14:textId="77777777" w:rsidR="00F97573" w:rsidRPr="00286216" w:rsidRDefault="00F97573" w:rsidP="00F97573">
            <w:pPr>
              <w:pStyle w:val="StyleWisnow"/>
              <w:rPr>
                <w:color w:val="000000" w:themeColor="text1"/>
              </w:rPr>
            </w:pPr>
          </w:p>
          <w:p w14:paraId="5FB322CD" w14:textId="77777777" w:rsidR="00F97573" w:rsidRPr="00286216" w:rsidRDefault="00F97573" w:rsidP="00F97573">
            <w:pPr>
              <w:pStyle w:val="StyleWisnow"/>
              <w:rPr>
                <w:color w:val="000000" w:themeColor="text1"/>
              </w:rPr>
            </w:pPr>
          </w:p>
          <w:p w14:paraId="764AF560" w14:textId="77777777" w:rsidR="00F97573" w:rsidRPr="00286216" w:rsidRDefault="00F97573" w:rsidP="00F97573">
            <w:pPr>
              <w:pStyle w:val="StyleWisnow"/>
              <w:rPr>
                <w:color w:val="000000" w:themeColor="text1"/>
              </w:rPr>
            </w:pPr>
          </w:p>
          <w:p w14:paraId="34B45B16" w14:textId="77777777" w:rsidR="00F97573" w:rsidRPr="00286216" w:rsidRDefault="00F97573" w:rsidP="00F97573">
            <w:pPr>
              <w:pStyle w:val="StyleWisnow"/>
              <w:rPr>
                <w:color w:val="000000" w:themeColor="text1"/>
              </w:rPr>
            </w:pPr>
          </w:p>
          <w:p w14:paraId="06173489" w14:textId="77777777" w:rsidR="00F97573" w:rsidRPr="00286216" w:rsidRDefault="00F97573" w:rsidP="00F97573">
            <w:pPr>
              <w:pStyle w:val="StyleWisnow"/>
              <w:rPr>
                <w:color w:val="000000" w:themeColor="text1"/>
              </w:rPr>
            </w:pPr>
          </w:p>
          <w:p w14:paraId="43472191" w14:textId="77777777" w:rsidR="00F97573" w:rsidRPr="00286216" w:rsidRDefault="00F97573" w:rsidP="00F97573">
            <w:pPr>
              <w:pStyle w:val="StyleWisnow"/>
              <w:rPr>
                <w:color w:val="000000" w:themeColor="text1"/>
              </w:rPr>
            </w:pPr>
          </w:p>
          <w:p w14:paraId="1ADFA18D" w14:textId="77777777" w:rsidR="00F97573" w:rsidRPr="00286216" w:rsidRDefault="00F97573" w:rsidP="00F97573">
            <w:pPr>
              <w:pStyle w:val="StyleWisnow"/>
              <w:rPr>
                <w:color w:val="000000" w:themeColor="text1"/>
              </w:rPr>
            </w:pPr>
          </w:p>
          <w:p w14:paraId="10456AF4" w14:textId="77777777" w:rsidR="00F97573" w:rsidRPr="00286216" w:rsidRDefault="00F97573" w:rsidP="00F97573">
            <w:pPr>
              <w:pStyle w:val="StyleWisnow"/>
              <w:rPr>
                <w:color w:val="000000" w:themeColor="text1"/>
              </w:rPr>
            </w:pPr>
          </w:p>
          <w:p w14:paraId="5224C61E" w14:textId="77777777" w:rsidR="00F97573" w:rsidRPr="00286216" w:rsidRDefault="00F97573" w:rsidP="00F97573">
            <w:pPr>
              <w:pStyle w:val="StyleWisnow"/>
              <w:rPr>
                <w:color w:val="000000" w:themeColor="text1"/>
              </w:rPr>
            </w:pPr>
          </w:p>
          <w:p w14:paraId="67D13E91" w14:textId="77777777" w:rsidR="00F97573" w:rsidRPr="00286216" w:rsidRDefault="00F97573" w:rsidP="00F97573">
            <w:pPr>
              <w:pStyle w:val="StyleWisnow"/>
              <w:rPr>
                <w:color w:val="000000" w:themeColor="text1"/>
              </w:rPr>
            </w:pPr>
          </w:p>
          <w:p w14:paraId="615A406D" w14:textId="77777777" w:rsidR="00F97573" w:rsidRPr="00286216" w:rsidRDefault="00F97573" w:rsidP="00F97573">
            <w:pPr>
              <w:pStyle w:val="StyleWisnow"/>
              <w:rPr>
                <w:color w:val="000000" w:themeColor="text1"/>
              </w:rPr>
            </w:pPr>
          </w:p>
          <w:p w14:paraId="5E668A2F" w14:textId="77777777" w:rsidR="00F97573" w:rsidRPr="00286216" w:rsidRDefault="00F97573" w:rsidP="00F97573">
            <w:pPr>
              <w:pStyle w:val="StyleWisnow"/>
              <w:rPr>
                <w:color w:val="000000" w:themeColor="text1"/>
              </w:rPr>
            </w:pPr>
          </w:p>
          <w:p w14:paraId="1ED01F31" w14:textId="77777777" w:rsidR="00F97573" w:rsidRPr="00286216" w:rsidRDefault="00F97573" w:rsidP="00F97573">
            <w:pPr>
              <w:pStyle w:val="StyleWisnow"/>
              <w:rPr>
                <w:color w:val="000000" w:themeColor="text1"/>
              </w:rPr>
            </w:pPr>
          </w:p>
          <w:p w14:paraId="314966C7" w14:textId="77777777" w:rsidR="00F97573" w:rsidRPr="00286216" w:rsidRDefault="00F97573" w:rsidP="00F97573">
            <w:pPr>
              <w:pStyle w:val="StyleWisnow"/>
              <w:rPr>
                <w:color w:val="000000" w:themeColor="text1"/>
              </w:rPr>
            </w:pPr>
          </w:p>
          <w:p w14:paraId="67F8C12C" w14:textId="77777777" w:rsidR="00F97573" w:rsidRPr="00286216" w:rsidRDefault="00F97573" w:rsidP="00F97573">
            <w:pPr>
              <w:pStyle w:val="StyleWisnow"/>
              <w:rPr>
                <w:color w:val="000000" w:themeColor="text1"/>
              </w:rPr>
            </w:pPr>
          </w:p>
          <w:p w14:paraId="4D17AFDE" w14:textId="77777777" w:rsidR="00F97573" w:rsidRPr="00286216" w:rsidRDefault="00F97573" w:rsidP="00F97573">
            <w:pPr>
              <w:pStyle w:val="StyleWisnow"/>
              <w:rPr>
                <w:color w:val="000000" w:themeColor="text1"/>
              </w:rPr>
            </w:pPr>
          </w:p>
          <w:p w14:paraId="20C2AD4B" w14:textId="77777777" w:rsidR="00F97573" w:rsidRPr="00286216" w:rsidRDefault="00F97573" w:rsidP="00F97573">
            <w:pPr>
              <w:pStyle w:val="StyleWisnow"/>
              <w:rPr>
                <w:color w:val="000000" w:themeColor="text1"/>
              </w:rPr>
            </w:pPr>
          </w:p>
          <w:p w14:paraId="677EE152" w14:textId="77777777" w:rsidR="00F97573" w:rsidRPr="00286216" w:rsidRDefault="00F97573" w:rsidP="00F97573">
            <w:pPr>
              <w:pStyle w:val="StyleWisnow"/>
              <w:rPr>
                <w:color w:val="000000" w:themeColor="text1"/>
              </w:rPr>
            </w:pPr>
          </w:p>
          <w:p w14:paraId="09970725" w14:textId="77777777" w:rsidR="00F97573" w:rsidRPr="00286216" w:rsidRDefault="00F97573" w:rsidP="00F97573">
            <w:pPr>
              <w:pStyle w:val="StyleWisnow"/>
              <w:rPr>
                <w:color w:val="000000" w:themeColor="text1"/>
              </w:rPr>
            </w:pPr>
          </w:p>
          <w:p w14:paraId="01F9CFB1" w14:textId="77777777" w:rsidR="00F97573" w:rsidRPr="00286216" w:rsidRDefault="00F97573" w:rsidP="00F97573">
            <w:pPr>
              <w:pStyle w:val="StyleWisnow"/>
              <w:rPr>
                <w:color w:val="000000" w:themeColor="text1"/>
              </w:rPr>
            </w:pPr>
          </w:p>
          <w:p w14:paraId="67A16415" w14:textId="77777777" w:rsidR="00F97573" w:rsidRPr="00286216" w:rsidRDefault="00F97573" w:rsidP="00F97573">
            <w:pPr>
              <w:pStyle w:val="StyleWisnow"/>
              <w:rPr>
                <w:color w:val="000000" w:themeColor="text1"/>
              </w:rPr>
            </w:pPr>
          </w:p>
          <w:p w14:paraId="35896EF8" w14:textId="77777777" w:rsidR="00F97573" w:rsidRPr="00286216" w:rsidRDefault="00F97573" w:rsidP="00F97573">
            <w:pPr>
              <w:pStyle w:val="StyleWisnow"/>
              <w:rPr>
                <w:color w:val="000000" w:themeColor="text1"/>
              </w:rPr>
            </w:pPr>
          </w:p>
          <w:p w14:paraId="7472FBCE" w14:textId="77777777" w:rsidR="00F97573" w:rsidRPr="00286216" w:rsidRDefault="00F97573" w:rsidP="00F97573">
            <w:pPr>
              <w:pStyle w:val="StyleWisnow"/>
              <w:rPr>
                <w:color w:val="000000" w:themeColor="text1"/>
              </w:rPr>
            </w:pPr>
          </w:p>
          <w:p w14:paraId="7A32F442" w14:textId="77777777" w:rsidR="00F97573" w:rsidRPr="00286216" w:rsidRDefault="00F97573" w:rsidP="00F97573">
            <w:pPr>
              <w:pStyle w:val="StyleWisnow"/>
              <w:rPr>
                <w:color w:val="000000" w:themeColor="text1"/>
              </w:rPr>
            </w:pPr>
          </w:p>
          <w:p w14:paraId="0FD193DF" w14:textId="77777777" w:rsidR="00F97573" w:rsidRPr="00286216" w:rsidRDefault="00F97573" w:rsidP="00F97573">
            <w:pPr>
              <w:pStyle w:val="StyleWisnow"/>
              <w:rPr>
                <w:color w:val="000000" w:themeColor="text1"/>
              </w:rPr>
            </w:pPr>
          </w:p>
          <w:p w14:paraId="76228A48" w14:textId="77777777" w:rsidR="00F97573" w:rsidRPr="00286216" w:rsidRDefault="00F97573" w:rsidP="00F97573">
            <w:pPr>
              <w:pStyle w:val="StyleWisnow"/>
              <w:rPr>
                <w:color w:val="000000" w:themeColor="text1"/>
              </w:rPr>
            </w:pPr>
          </w:p>
          <w:p w14:paraId="261FD5CF" w14:textId="77777777" w:rsidR="00F97573" w:rsidRPr="00286216" w:rsidRDefault="00F97573" w:rsidP="00F97573">
            <w:pPr>
              <w:pStyle w:val="StyleWisnow"/>
              <w:rPr>
                <w:color w:val="000000" w:themeColor="text1"/>
              </w:rPr>
            </w:pPr>
          </w:p>
          <w:p w14:paraId="2E5A1E2C" w14:textId="77777777" w:rsidR="00F97573" w:rsidRPr="00286216" w:rsidRDefault="00F97573" w:rsidP="00F97573">
            <w:pPr>
              <w:pStyle w:val="StyleWisnow"/>
              <w:rPr>
                <w:color w:val="000000" w:themeColor="text1"/>
              </w:rPr>
            </w:pPr>
          </w:p>
          <w:p w14:paraId="52444BC2" w14:textId="77777777" w:rsidR="00F97573" w:rsidRPr="00286216" w:rsidRDefault="00F97573" w:rsidP="00F97573">
            <w:pPr>
              <w:pStyle w:val="StyleWisnow"/>
              <w:rPr>
                <w:color w:val="000000" w:themeColor="text1"/>
              </w:rPr>
            </w:pPr>
          </w:p>
          <w:p w14:paraId="211B4026" w14:textId="77777777" w:rsidR="00F97573" w:rsidRPr="00286216" w:rsidRDefault="00F97573" w:rsidP="00F97573">
            <w:pPr>
              <w:pStyle w:val="StyleWisnow"/>
              <w:rPr>
                <w:color w:val="000000" w:themeColor="text1"/>
              </w:rPr>
            </w:pPr>
          </w:p>
          <w:p w14:paraId="2D78B026" w14:textId="77777777" w:rsidR="00F97573" w:rsidRPr="00286216" w:rsidRDefault="00F97573" w:rsidP="00F97573">
            <w:pPr>
              <w:pStyle w:val="StyleWisnow"/>
              <w:rPr>
                <w:color w:val="000000" w:themeColor="text1"/>
              </w:rPr>
            </w:pPr>
          </w:p>
          <w:p w14:paraId="0A0A5A14" w14:textId="77777777" w:rsidR="00F97573" w:rsidRPr="00286216" w:rsidRDefault="00F97573" w:rsidP="00F97573">
            <w:pPr>
              <w:pStyle w:val="StyleWisnow"/>
              <w:rPr>
                <w:color w:val="000000" w:themeColor="text1"/>
              </w:rPr>
            </w:pPr>
          </w:p>
          <w:p w14:paraId="4A2E748D" w14:textId="77777777" w:rsidR="00F97573" w:rsidRPr="00286216" w:rsidRDefault="00F97573" w:rsidP="00F97573">
            <w:pPr>
              <w:pStyle w:val="StyleWisnow"/>
              <w:rPr>
                <w:color w:val="000000" w:themeColor="text1"/>
              </w:rPr>
            </w:pPr>
          </w:p>
          <w:p w14:paraId="733A2368" w14:textId="77777777" w:rsidR="00F97573" w:rsidRPr="00286216" w:rsidRDefault="00F97573" w:rsidP="00F97573">
            <w:pPr>
              <w:pStyle w:val="StyleWisnow"/>
              <w:rPr>
                <w:color w:val="000000" w:themeColor="text1"/>
              </w:rPr>
            </w:pPr>
          </w:p>
          <w:p w14:paraId="186D32FC" w14:textId="77777777" w:rsidR="00F97573" w:rsidRPr="00286216" w:rsidRDefault="00F97573" w:rsidP="00F97573">
            <w:pPr>
              <w:pStyle w:val="StyleWisnow"/>
              <w:rPr>
                <w:color w:val="000000" w:themeColor="text1"/>
              </w:rPr>
            </w:pPr>
          </w:p>
          <w:p w14:paraId="3049BE19" w14:textId="77777777" w:rsidR="00F97573" w:rsidRPr="00286216" w:rsidRDefault="00F97573" w:rsidP="00F97573">
            <w:pPr>
              <w:pStyle w:val="StyleWisnow"/>
              <w:rPr>
                <w:color w:val="000000" w:themeColor="text1"/>
              </w:rPr>
            </w:pPr>
          </w:p>
          <w:p w14:paraId="180E82AD" w14:textId="77777777" w:rsidR="00F97573" w:rsidRPr="00286216" w:rsidRDefault="00F97573" w:rsidP="00F97573">
            <w:pPr>
              <w:pStyle w:val="StyleWisnow"/>
              <w:rPr>
                <w:color w:val="000000" w:themeColor="text1"/>
              </w:rPr>
            </w:pPr>
          </w:p>
          <w:p w14:paraId="7FB7E629" w14:textId="77777777" w:rsidR="00F97573" w:rsidRPr="00286216" w:rsidRDefault="00F97573" w:rsidP="00F97573">
            <w:pPr>
              <w:pStyle w:val="StyleWisnow"/>
              <w:rPr>
                <w:color w:val="000000" w:themeColor="text1"/>
              </w:rPr>
            </w:pPr>
          </w:p>
          <w:p w14:paraId="4D059F64" w14:textId="77777777" w:rsidR="00F97573" w:rsidRPr="00286216" w:rsidRDefault="00F97573" w:rsidP="00F97573">
            <w:pPr>
              <w:pStyle w:val="StyleWisnow"/>
              <w:rPr>
                <w:color w:val="000000" w:themeColor="text1"/>
              </w:rPr>
            </w:pPr>
          </w:p>
          <w:p w14:paraId="6BC099C4" w14:textId="77777777" w:rsidR="00F97573" w:rsidRPr="00286216" w:rsidRDefault="00F97573" w:rsidP="00F97573">
            <w:pPr>
              <w:pStyle w:val="StyleWisnow"/>
              <w:rPr>
                <w:color w:val="000000" w:themeColor="text1"/>
              </w:rPr>
            </w:pPr>
          </w:p>
          <w:p w14:paraId="56D7D742" w14:textId="77777777" w:rsidR="00F97573" w:rsidRPr="00286216" w:rsidRDefault="00F97573" w:rsidP="00F97573">
            <w:pPr>
              <w:pStyle w:val="StyleWisnow"/>
              <w:rPr>
                <w:color w:val="000000" w:themeColor="text1"/>
              </w:rPr>
            </w:pPr>
          </w:p>
          <w:p w14:paraId="3169DDE9" w14:textId="77777777" w:rsidR="00F97573" w:rsidRPr="00286216" w:rsidRDefault="00F97573" w:rsidP="00F97573">
            <w:pPr>
              <w:pStyle w:val="StyleWisnow"/>
              <w:rPr>
                <w:color w:val="000000" w:themeColor="text1"/>
              </w:rPr>
            </w:pPr>
          </w:p>
          <w:p w14:paraId="457312CE" w14:textId="77777777" w:rsidR="00F97573" w:rsidRPr="00286216" w:rsidRDefault="00F97573" w:rsidP="00F97573">
            <w:pPr>
              <w:pStyle w:val="StyleWisnow"/>
              <w:rPr>
                <w:color w:val="000000" w:themeColor="text1"/>
              </w:rPr>
            </w:pPr>
          </w:p>
          <w:p w14:paraId="6AA53689" w14:textId="77777777" w:rsidR="00F97573" w:rsidRPr="00286216" w:rsidRDefault="00F97573" w:rsidP="00F97573">
            <w:pPr>
              <w:pStyle w:val="StyleWisnow"/>
              <w:rPr>
                <w:color w:val="000000" w:themeColor="text1"/>
              </w:rPr>
            </w:pPr>
          </w:p>
          <w:p w14:paraId="5F2A0D78" w14:textId="77777777" w:rsidR="00F97573" w:rsidRPr="00286216" w:rsidRDefault="00F97573" w:rsidP="00F97573">
            <w:pPr>
              <w:pStyle w:val="StyleWisnow"/>
              <w:rPr>
                <w:color w:val="000000" w:themeColor="text1"/>
              </w:rPr>
            </w:pPr>
          </w:p>
          <w:p w14:paraId="6B539D6B" w14:textId="77777777" w:rsidR="00F97573" w:rsidRPr="00286216" w:rsidRDefault="00F97573" w:rsidP="00F97573">
            <w:pPr>
              <w:pStyle w:val="StyleWisnow"/>
              <w:rPr>
                <w:color w:val="000000" w:themeColor="text1"/>
              </w:rPr>
            </w:pPr>
          </w:p>
          <w:p w14:paraId="01CAF023" w14:textId="77777777" w:rsidR="00F97573" w:rsidRPr="00286216" w:rsidRDefault="00F97573" w:rsidP="00F97573">
            <w:pPr>
              <w:pStyle w:val="StyleWisnow"/>
              <w:rPr>
                <w:color w:val="000000" w:themeColor="text1"/>
              </w:rPr>
            </w:pPr>
          </w:p>
          <w:p w14:paraId="616B0F4F" w14:textId="77777777" w:rsidR="00F97573" w:rsidRPr="00286216" w:rsidRDefault="00F97573" w:rsidP="00F97573">
            <w:pPr>
              <w:pStyle w:val="StyleWisnow"/>
              <w:rPr>
                <w:color w:val="000000" w:themeColor="text1"/>
              </w:rPr>
            </w:pPr>
          </w:p>
          <w:p w14:paraId="63372410" w14:textId="77777777" w:rsidR="00F97573" w:rsidRPr="00286216" w:rsidRDefault="00F97573" w:rsidP="00F97573">
            <w:pPr>
              <w:pStyle w:val="StyleWisnow"/>
              <w:rPr>
                <w:color w:val="000000" w:themeColor="text1"/>
              </w:rPr>
            </w:pPr>
          </w:p>
          <w:p w14:paraId="556F6CE7" w14:textId="77777777" w:rsidR="00F97573" w:rsidRPr="00286216" w:rsidRDefault="00F97573" w:rsidP="00F97573">
            <w:pPr>
              <w:pStyle w:val="StyleWisnow"/>
              <w:rPr>
                <w:color w:val="000000" w:themeColor="text1"/>
              </w:rPr>
            </w:pPr>
          </w:p>
          <w:p w14:paraId="2EB1B3C2" w14:textId="77777777" w:rsidR="00F97573" w:rsidRPr="00286216" w:rsidRDefault="00F97573" w:rsidP="00F97573">
            <w:pPr>
              <w:pStyle w:val="StyleWisnow"/>
              <w:rPr>
                <w:color w:val="000000" w:themeColor="text1"/>
              </w:rPr>
            </w:pPr>
          </w:p>
          <w:p w14:paraId="7249EB25" w14:textId="77777777" w:rsidR="00F97573" w:rsidRPr="00286216" w:rsidRDefault="00F97573" w:rsidP="00F97573">
            <w:pPr>
              <w:pStyle w:val="StyleWisnow"/>
              <w:rPr>
                <w:color w:val="000000" w:themeColor="text1"/>
              </w:rPr>
            </w:pPr>
          </w:p>
          <w:p w14:paraId="18CEEA32" w14:textId="77777777" w:rsidR="00F97573" w:rsidRPr="00286216" w:rsidRDefault="00F97573" w:rsidP="00F97573">
            <w:pPr>
              <w:pStyle w:val="StyleWisnow"/>
              <w:rPr>
                <w:color w:val="000000" w:themeColor="text1"/>
              </w:rPr>
            </w:pPr>
          </w:p>
          <w:p w14:paraId="54FB4E77" w14:textId="77777777" w:rsidR="00F97573" w:rsidRPr="00286216" w:rsidRDefault="00F97573" w:rsidP="00F97573">
            <w:pPr>
              <w:pStyle w:val="StyleWisnow"/>
              <w:rPr>
                <w:color w:val="000000" w:themeColor="text1"/>
              </w:rPr>
            </w:pPr>
          </w:p>
          <w:p w14:paraId="47FDFDF3" w14:textId="77777777" w:rsidR="00F97573" w:rsidRPr="00286216" w:rsidRDefault="00F97573" w:rsidP="00F97573">
            <w:pPr>
              <w:pStyle w:val="StyleWisnow"/>
              <w:rPr>
                <w:color w:val="000000" w:themeColor="text1"/>
              </w:rPr>
            </w:pPr>
          </w:p>
          <w:p w14:paraId="7604417E" w14:textId="77777777" w:rsidR="00F97573" w:rsidRPr="00286216" w:rsidRDefault="00F97573" w:rsidP="00F97573">
            <w:pPr>
              <w:pStyle w:val="StyleWisnow"/>
              <w:rPr>
                <w:color w:val="000000" w:themeColor="text1"/>
              </w:rPr>
            </w:pPr>
          </w:p>
          <w:p w14:paraId="1C518665" w14:textId="77777777" w:rsidR="00F97573" w:rsidRPr="00286216" w:rsidRDefault="00F97573" w:rsidP="00F97573">
            <w:pPr>
              <w:pStyle w:val="StyleWisnow"/>
              <w:rPr>
                <w:color w:val="000000" w:themeColor="text1"/>
              </w:rPr>
            </w:pPr>
          </w:p>
          <w:p w14:paraId="7E9DA1D6" w14:textId="77777777" w:rsidR="00F97573" w:rsidRPr="00286216" w:rsidRDefault="00F97573" w:rsidP="00F97573">
            <w:pPr>
              <w:pStyle w:val="StyleWisnow"/>
              <w:rPr>
                <w:color w:val="000000" w:themeColor="text1"/>
              </w:rPr>
            </w:pPr>
          </w:p>
          <w:p w14:paraId="00568416" w14:textId="77777777" w:rsidR="00F97573" w:rsidRPr="00286216" w:rsidRDefault="00F97573" w:rsidP="00F97573">
            <w:pPr>
              <w:pStyle w:val="StyleWisnow"/>
              <w:rPr>
                <w:color w:val="000000" w:themeColor="text1"/>
              </w:rPr>
            </w:pPr>
          </w:p>
          <w:p w14:paraId="1215DE7E" w14:textId="77777777" w:rsidR="00F97573" w:rsidRPr="00286216" w:rsidRDefault="00F97573" w:rsidP="00F97573">
            <w:pPr>
              <w:pStyle w:val="StyleWisnow"/>
              <w:rPr>
                <w:color w:val="000000" w:themeColor="text1"/>
              </w:rPr>
            </w:pPr>
          </w:p>
          <w:p w14:paraId="6C05387A" w14:textId="77777777" w:rsidR="00F97573" w:rsidRPr="00286216" w:rsidRDefault="00F97573" w:rsidP="00F97573">
            <w:pPr>
              <w:pStyle w:val="StyleWisnow"/>
              <w:rPr>
                <w:color w:val="000000" w:themeColor="text1"/>
              </w:rPr>
            </w:pPr>
          </w:p>
          <w:p w14:paraId="1F548B14" w14:textId="77777777" w:rsidR="00F97573" w:rsidRPr="00286216" w:rsidRDefault="00F97573" w:rsidP="00F97573">
            <w:pPr>
              <w:pStyle w:val="StyleWisnow"/>
              <w:rPr>
                <w:color w:val="000000" w:themeColor="text1"/>
              </w:rPr>
            </w:pPr>
          </w:p>
          <w:p w14:paraId="09683365" w14:textId="77777777" w:rsidR="00F97573" w:rsidRPr="00286216" w:rsidRDefault="00F97573" w:rsidP="00F97573">
            <w:pPr>
              <w:pStyle w:val="StyleWisnow"/>
              <w:rPr>
                <w:color w:val="000000" w:themeColor="text1"/>
              </w:rPr>
            </w:pPr>
          </w:p>
          <w:p w14:paraId="7D8854D9" w14:textId="77777777" w:rsidR="00F97573" w:rsidRPr="00286216" w:rsidRDefault="00F97573" w:rsidP="00F97573">
            <w:pPr>
              <w:pStyle w:val="StyleWisnow"/>
              <w:rPr>
                <w:color w:val="000000" w:themeColor="text1"/>
              </w:rPr>
            </w:pPr>
          </w:p>
          <w:p w14:paraId="722BFAA5" w14:textId="77777777" w:rsidR="00F97573" w:rsidRPr="00286216" w:rsidRDefault="00F97573" w:rsidP="00F97573">
            <w:pPr>
              <w:pStyle w:val="StyleWisnow"/>
              <w:rPr>
                <w:color w:val="000000" w:themeColor="text1"/>
              </w:rPr>
            </w:pPr>
          </w:p>
          <w:p w14:paraId="1C3B88D9" w14:textId="77777777" w:rsidR="00F97573" w:rsidRPr="00286216" w:rsidRDefault="00F97573" w:rsidP="00F97573">
            <w:pPr>
              <w:pStyle w:val="StyleWisnow"/>
              <w:rPr>
                <w:color w:val="000000" w:themeColor="text1"/>
              </w:rPr>
            </w:pPr>
          </w:p>
          <w:p w14:paraId="32FDBEE1" w14:textId="77777777" w:rsidR="00F97573" w:rsidRPr="00286216" w:rsidRDefault="00F97573" w:rsidP="00F97573">
            <w:pPr>
              <w:pStyle w:val="StyleWisnow"/>
              <w:rPr>
                <w:color w:val="000000" w:themeColor="text1"/>
              </w:rPr>
            </w:pPr>
          </w:p>
          <w:p w14:paraId="4B90939B" w14:textId="77777777" w:rsidR="00F97573" w:rsidRPr="00286216" w:rsidRDefault="00F97573" w:rsidP="00F97573">
            <w:pPr>
              <w:pStyle w:val="StyleWisnow"/>
              <w:rPr>
                <w:color w:val="000000" w:themeColor="text1"/>
              </w:rPr>
            </w:pPr>
          </w:p>
          <w:p w14:paraId="047B814C" w14:textId="77777777" w:rsidR="00F97573" w:rsidRPr="00286216" w:rsidRDefault="00F97573" w:rsidP="00F97573">
            <w:pPr>
              <w:pStyle w:val="StyleWisnow"/>
              <w:rPr>
                <w:color w:val="000000" w:themeColor="text1"/>
              </w:rPr>
            </w:pPr>
          </w:p>
          <w:p w14:paraId="111BE7E0" w14:textId="77777777" w:rsidR="00F97573" w:rsidRPr="00286216" w:rsidRDefault="00F97573" w:rsidP="00F97573">
            <w:pPr>
              <w:pStyle w:val="StyleWisnow"/>
              <w:rPr>
                <w:color w:val="000000" w:themeColor="text1"/>
              </w:rPr>
            </w:pPr>
          </w:p>
          <w:p w14:paraId="769B36BE" w14:textId="77777777" w:rsidR="00F97573" w:rsidRPr="00286216" w:rsidRDefault="00F97573" w:rsidP="00F97573">
            <w:pPr>
              <w:pStyle w:val="StyleWisnow"/>
              <w:rPr>
                <w:color w:val="000000" w:themeColor="text1"/>
              </w:rPr>
            </w:pPr>
          </w:p>
          <w:p w14:paraId="3B9003F8" w14:textId="77777777" w:rsidR="00F97573" w:rsidRPr="00286216" w:rsidRDefault="00F97573" w:rsidP="00F97573">
            <w:pPr>
              <w:pStyle w:val="StyleWisnow"/>
              <w:rPr>
                <w:color w:val="000000" w:themeColor="text1"/>
              </w:rPr>
            </w:pPr>
          </w:p>
          <w:p w14:paraId="1EF51F22" w14:textId="77777777" w:rsidR="00F97573" w:rsidRPr="00286216" w:rsidRDefault="00F97573" w:rsidP="00F97573">
            <w:pPr>
              <w:pStyle w:val="StyleWisnow"/>
              <w:rPr>
                <w:color w:val="000000" w:themeColor="text1"/>
              </w:rPr>
            </w:pPr>
          </w:p>
          <w:p w14:paraId="3CB80D41" w14:textId="77777777" w:rsidR="00F97573" w:rsidRPr="00286216" w:rsidRDefault="00F97573" w:rsidP="00F97573">
            <w:pPr>
              <w:pStyle w:val="StyleWisnow"/>
              <w:rPr>
                <w:color w:val="000000" w:themeColor="text1"/>
              </w:rPr>
            </w:pPr>
          </w:p>
          <w:p w14:paraId="7BE14F66" w14:textId="77777777" w:rsidR="00F97573" w:rsidRPr="00286216" w:rsidRDefault="00F97573" w:rsidP="00F97573">
            <w:pPr>
              <w:pStyle w:val="StyleWisnow"/>
              <w:rPr>
                <w:color w:val="000000" w:themeColor="text1"/>
              </w:rPr>
            </w:pPr>
          </w:p>
          <w:p w14:paraId="0DB005A0" w14:textId="77777777" w:rsidR="00F97573" w:rsidRPr="00286216" w:rsidRDefault="00F97573" w:rsidP="00F97573">
            <w:pPr>
              <w:pStyle w:val="StyleWisnow"/>
              <w:rPr>
                <w:color w:val="000000" w:themeColor="text1"/>
              </w:rPr>
            </w:pPr>
          </w:p>
          <w:p w14:paraId="34D4917C" w14:textId="77777777" w:rsidR="00F97573" w:rsidRPr="00286216" w:rsidRDefault="00F97573" w:rsidP="00F97573">
            <w:pPr>
              <w:pStyle w:val="StyleWisnow"/>
              <w:rPr>
                <w:color w:val="000000" w:themeColor="text1"/>
              </w:rPr>
            </w:pPr>
          </w:p>
          <w:p w14:paraId="59DE0B07" w14:textId="77777777" w:rsidR="00F97573" w:rsidRPr="00286216" w:rsidRDefault="00F97573" w:rsidP="00F97573">
            <w:pPr>
              <w:pStyle w:val="StyleWisnow"/>
              <w:rPr>
                <w:color w:val="000000" w:themeColor="text1"/>
              </w:rPr>
            </w:pPr>
          </w:p>
          <w:p w14:paraId="3659E23C" w14:textId="77777777" w:rsidR="00F97573" w:rsidRPr="00286216" w:rsidRDefault="00F97573" w:rsidP="00F97573">
            <w:pPr>
              <w:pStyle w:val="StyleWisnow"/>
              <w:rPr>
                <w:color w:val="000000" w:themeColor="text1"/>
              </w:rPr>
            </w:pPr>
          </w:p>
          <w:p w14:paraId="3148F7B5" w14:textId="77777777" w:rsidR="00F97573" w:rsidRPr="00286216" w:rsidRDefault="00F97573" w:rsidP="00F97573">
            <w:pPr>
              <w:pStyle w:val="StyleWisnow"/>
              <w:rPr>
                <w:color w:val="000000" w:themeColor="text1"/>
              </w:rPr>
            </w:pPr>
          </w:p>
          <w:p w14:paraId="5753A169" w14:textId="77777777" w:rsidR="00F97573" w:rsidRPr="00286216" w:rsidRDefault="00F97573" w:rsidP="00F97573">
            <w:pPr>
              <w:pStyle w:val="StyleWisnow"/>
              <w:rPr>
                <w:color w:val="000000" w:themeColor="text1"/>
              </w:rPr>
            </w:pPr>
          </w:p>
          <w:p w14:paraId="3E641E00" w14:textId="77777777" w:rsidR="00F97573" w:rsidRPr="00286216" w:rsidRDefault="00F97573" w:rsidP="00F97573">
            <w:pPr>
              <w:pStyle w:val="StyleWisnow"/>
              <w:rPr>
                <w:color w:val="000000" w:themeColor="text1"/>
              </w:rPr>
            </w:pPr>
          </w:p>
          <w:p w14:paraId="21DFAC36" w14:textId="77777777" w:rsidR="00F97573" w:rsidRPr="00286216" w:rsidRDefault="00F97573" w:rsidP="00F97573">
            <w:pPr>
              <w:pStyle w:val="StyleWisnow"/>
              <w:rPr>
                <w:color w:val="000000" w:themeColor="text1"/>
              </w:rPr>
            </w:pPr>
          </w:p>
          <w:p w14:paraId="1CDE4EAA" w14:textId="77777777" w:rsidR="00F97573" w:rsidRPr="00286216" w:rsidRDefault="00F97573" w:rsidP="00F97573">
            <w:pPr>
              <w:pStyle w:val="StyleWisnow"/>
              <w:rPr>
                <w:color w:val="000000" w:themeColor="text1"/>
              </w:rPr>
            </w:pPr>
          </w:p>
          <w:p w14:paraId="177C8855" w14:textId="77777777" w:rsidR="00F97573" w:rsidRPr="00286216" w:rsidRDefault="00F97573" w:rsidP="00F97573">
            <w:pPr>
              <w:pStyle w:val="StyleWisnow"/>
              <w:rPr>
                <w:color w:val="000000" w:themeColor="text1"/>
              </w:rPr>
            </w:pPr>
          </w:p>
          <w:p w14:paraId="1F86DDAD" w14:textId="77777777" w:rsidR="00F97573" w:rsidRPr="00286216" w:rsidRDefault="00F97573" w:rsidP="00F97573">
            <w:pPr>
              <w:pStyle w:val="StyleWisnow"/>
              <w:rPr>
                <w:color w:val="000000" w:themeColor="text1"/>
              </w:rPr>
            </w:pPr>
          </w:p>
          <w:p w14:paraId="13F3038D" w14:textId="77777777" w:rsidR="00F97573" w:rsidRPr="00286216" w:rsidRDefault="00F97573" w:rsidP="00F97573">
            <w:pPr>
              <w:pStyle w:val="StyleWisnow"/>
              <w:rPr>
                <w:color w:val="000000" w:themeColor="text1"/>
              </w:rPr>
            </w:pPr>
          </w:p>
          <w:p w14:paraId="6CDBF98F" w14:textId="77777777" w:rsidR="00F97573" w:rsidRPr="00286216" w:rsidRDefault="00F97573" w:rsidP="00F97573">
            <w:pPr>
              <w:pStyle w:val="StyleWisnow"/>
              <w:rPr>
                <w:color w:val="000000" w:themeColor="text1"/>
              </w:rPr>
            </w:pPr>
          </w:p>
          <w:p w14:paraId="4E01CBC6" w14:textId="77777777" w:rsidR="00F97573" w:rsidRPr="00286216" w:rsidRDefault="00F97573" w:rsidP="00F97573">
            <w:pPr>
              <w:pStyle w:val="StyleWisnow"/>
              <w:rPr>
                <w:color w:val="000000" w:themeColor="text1"/>
              </w:rPr>
            </w:pPr>
          </w:p>
          <w:p w14:paraId="35F34944" w14:textId="77777777" w:rsidR="00F97573" w:rsidRPr="00286216" w:rsidRDefault="00F97573" w:rsidP="00F97573">
            <w:pPr>
              <w:pStyle w:val="StyleWisnow"/>
              <w:rPr>
                <w:color w:val="000000" w:themeColor="text1"/>
              </w:rPr>
            </w:pPr>
          </w:p>
          <w:p w14:paraId="514E837A" w14:textId="77777777" w:rsidR="00F97573" w:rsidRPr="00286216" w:rsidRDefault="00F97573" w:rsidP="00F97573">
            <w:pPr>
              <w:pStyle w:val="StyleWisnow"/>
              <w:rPr>
                <w:color w:val="000000" w:themeColor="text1"/>
              </w:rPr>
            </w:pPr>
          </w:p>
          <w:p w14:paraId="4C16CDFD" w14:textId="77777777" w:rsidR="00F97573" w:rsidRPr="00286216" w:rsidRDefault="00F97573" w:rsidP="00F97573">
            <w:pPr>
              <w:pStyle w:val="StyleWisnow"/>
              <w:rPr>
                <w:color w:val="000000" w:themeColor="text1"/>
              </w:rPr>
            </w:pPr>
          </w:p>
          <w:p w14:paraId="21E9479E" w14:textId="77777777" w:rsidR="00F97573" w:rsidRPr="00286216" w:rsidRDefault="00F97573" w:rsidP="00F97573">
            <w:pPr>
              <w:pStyle w:val="StyleWisnow"/>
              <w:rPr>
                <w:color w:val="000000" w:themeColor="text1"/>
              </w:rPr>
            </w:pPr>
          </w:p>
          <w:p w14:paraId="0D6D30AC" w14:textId="77777777" w:rsidR="00F97573" w:rsidRPr="00286216" w:rsidRDefault="00F97573" w:rsidP="00F97573">
            <w:pPr>
              <w:pStyle w:val="StyleWisnow"/>
              <w:rPr>
                <w:color w:val="000000" w:themeColor="text1"/>
              </w:rPr>
            </w:pPr>
          </w:p>
          <w:p w14:paraId="30F0F9C5" w14:textId="77777777" w:rsidR="00F97573" w:rsidRPr="00286216" w:rsidRDefault="00F97573" w:rsidP="00F97573">
            <w:pPr>
              <w:pStyle w:val="StyleWisnow"/>
              <w:rPr>
                <w:color w:val="000000" w:themeColor="text1"/>
              </w:rPr>
            </w:pPr>
          </w:p>
          <w:p w14:paraId="27AAD8C1" w14:textId="77777777" w:rsidR="00F97573" w:rsidRPr="00286216" w:rsidRDefault="00F97573" w:rsidP="00F97573">
            <w:pPr>
              <w:pStyle w:val="StyleWisnow"/>
              <w:rPr>
                <w:color w:val="000000" w:themeColor="text1"/>
              </w:rPr>
            </w:pPr>
          </w:p>
          <w:p w14:paraId="604A23F3" w14:textId="77777777" w:rsidR="00F97573" w:rsidRPr="00286216" w:rsidRDefault="00F97573" w:rsidP="00F97573">
            <w:pPr>
              <w:pStyle w:val="StyleWisnow"/>
              <w:rPr>
                <w:color w:val="000000" w:themeColor="text1"/>
              </w:rPr>
            </w:pPr>
          </w:p>
          <w:p w14:paraId="17521831" w14:textId="77777777" w:rsidR="00F97573" w:rsidRPr="00286216" w:rsidRDefault="00F97573" w:rsidP="00F97573">
            <w:pPr>
              <w:pStyle w:val="StyleWisnow"/>
              <w:rPr>
                <w:color w:val="000000" w:themeColor="text1"/>
              </w:rPr>
            </w:pPr>
          </w:p>
          <w:p w14:paraId="4376CD64" w14:textId="77777777" w:rsidR="00F97573" w:rsidRPr="00286216" w:rsidRDefault="00F97573" w:rsidP="00F97573">
            <w:pPr>
              <w:pStyle w:val="StyleWisnow"/>
              <w:rPr>
                <w:color w:val="000000" w:themeColor="text1"/>
              </w:rPr>
            </w:pPr>
          </w:p>
          <w:p w14:paraId="3FB25B02" w14:textId="77777777" w:rsidR="00F97573" w:rsidRPr="00286216" w:rsidRDefault="00F97573" w:rsidP="00F97573">
            <w:pPr>
              <w:pStyle w:val="StyleWisnow"/>
              <w:rPr>
                <w:color w:val="000000" w:themeColor="text1"/>
              </w:rPr>
            </w:pPr>
          </w:p>
          <w:p w14:paraId="385A21DC" w14:textId="77777777" w:rsidR="00F97573" w:rsidRPr="00286216" w:rsidRDefault="00F97573" w:rsidP="00F97573">
            <w:pPr>
              <w:pStyle w:val="StyleWisnow"/>
              <w:rPr>
                <w:color w:val="000000" w:themeColor="text1"/>
              </w:rPr>
            </w:pPr>
          </w:p>
          <w:p w14:paraId="74D1CF5C" w14:textId="77777777" w:rsidR="00F97573" w:rsidRPr="00286216" w:rsidRDefault="00F97573" w:rsidP="00F97573">
            <w:pPr>
              <w:pStyle w:val="StyleWisnow"/>
              <w:rPr>
                <w:color w:val="000000" w:themeColor="text1"/>
              </w:rPr>
            </w:pPr>
          </w:p>
          <w:p w14:paraId="300CDF7A" w14:textId="77777777" w:rsidR="00F97573" w:rsidRPr="00286216" w:rsidRDefault="00F97573" w:rsidP="00F97573">
            <w:pPr>
              <w:pStyle w:val="StyleWisnow"/>
              <w:rPr>
                <w:color w:val="000000" w:themeColor="text1"/>
              </w:rPr>
            </w:pPr>
          </w:p>
          <w:p w14:paraId="78E62A40" w14:textId="77777777" w:rsidR="00F97573" w:rsidRPr="00286216" w:rsidRDefault="00F97573" w:rsidP="00F97573">
            <w:pPr>
              <w:pStyle w:val="StyleWisnow"/>
              <w:rPr>
                <w:color w:val="000000" w:themeColor="text1"/>
              </w:rPr>
            </w:pPr>
          </w:p>
          <w:p w14:paraId="30EFDEC6" w14:textId="77777777" w:rsidR="00F97573" w:rsidRPr="00286216" w:rsidRDefault="00F97573" w:rsidP="00F97573">
            <w:pPr>
              <w:pStyle w:val="StyleWisnow"/>
              <w:rPr>
                <w:color w:val="000000" w:themeColor="text1"/>
              </w:rPr>
            </w:pPr>
          </w:p>
          <w:p w14:paraId="7D421FC7" w14:textId="77777777" w:rsidR="00F97573" w:rsidRPr="00286216" w:rsidRDefault="00F97573" w:rsidP="00F97573">
            <w:pPr>
              <w:pStyle w:val="StyleWisnow"/>
              <w:rPr>
                <w:color w:val="000000" w:themeColor="text1"/>
              </w:rPr>
            </w:pPr>
          </w:p>
          <w:p w14:paraId="6CCA0AEE" w14:textId="77777777" w:rsidR="00F97573" w:rsidRPr="00286216" w:rsidRDefault="00F97573" w:rsidP="00F97573">
            <w:pPr>
              <w:pStyle w:val="StyleWisnow"/>
              <w:rPr>
                <w:color w:val="000000" w:themeColor="text1"/>
              </w:rPr>
            </w:pPr>
          </w:p>
          <w:p w14:paraId="1E122D32" w14:textId="77777777" w:rsidR="00F97573" w:rsidRPr="00286216" w:rsidRDefault="00F97573" w:rsidP="00F97573">
            <w:pPr>
              <w:pStyle w:val="StyleWisnow"/>
              <w:rPr>
                <w:color w:val="000000" w:themeColor="text1"/>
              </w:rPr>
            </w:pPr>
          </w:p>
          <w:p w14:paraId="3A5C9DD2" w14:textId="77777777" w:rsidR="00F97573" w:rsidRPr="00286216" w:rsidRDefault="00F97573" w:rsidP="00F97573">
            <w:pPr>
              <w:pStyle w:val="StyleWisnow"/>
              <w:rPr>
                <w:color w:val="000000" w:themeColor="text1"/>
              </w:rPr>
            </w:pPr>
          </w:p>
          <w:p w14:paraId="0E1F6625" w14:textId="77777777" w:rsidR="00F97573" w:rsidRPr="00286216" w:rsidRDefault="00F97573" w:rsidP="00F97573">
            <w:pPr>
              <w:pStyle w:val="StyleWisnow"/>
              <w:rPr>
                <w:color w:val="000000" w:themeColor="text1"/>
              </w:rPr>
            </w:pPr>
          </w:p>
          <w:p w14:paraId="659E5FA6" w14:textId="77777777" w:rsidR="00F97573" w:rsidRPr="00286216" w:rsidRDefault="00F97573" w:rsidP="00F97573">
            <w:pPr>
              <w:pStyle w:val="StyleWisnow"/>
              <w:rPr>
                <w:color w:val="000000" w:themeColor="text1"/>
              </w:rPr>
            </w:pPr>
          </w:p>
          <w:p w14:paraId="07C844B7" w14:textId="77777777" w:rsidR="00F97573" w:rsidRPr="00286216" w:rsidRDefault="00F97573" w:rsidP="00F97573">
            <w:pPr>
              <w:pStyle w:val="StyleWisnow"/>
              <w:rPr>
                <w:color w:val="000000" w:themeColor="text1"/>
              </w:rPr>
            </w:pPr>
          </w:p>
          <w:p w14:paraId="2900D90E" w14:textId="77777777" w:rsidR="00F97573" w:rsidRPr="00286216" w:rsidRDefault="00F97573" w:rsidP="00F97573">
            <w:pPr>
              <w:pStyle w:val="StyleWisnow"/>
              <w:rPr>
                <w:color w:val="000000" w:themeColor="text1"/>
              </w:rPr>
            </w:pPr>
          </w:p>
          <w:p w14:paraId="2093A6E2" w14:textId="77777777" w:rsidR="00F97573" w:rsidRPr="00286216" w:rsidRDefault="00F97573" w:rsidP="00F97573">
            <w:pPr>
              <w:pStyle w:val="StyleWisnow"/>
              <w:rPr>
                <w:color w:val="000000" w:themeColor="text1"/>
              </w:rPr>
            </w:pPr>
          </w:p>
          <w:p w14:paraId="5B75F9CD" w14:textId="77777777" w:rsidR="00F97573" w:rsidRPr="00286216" w:rsidRDefault="00F97573" w:rsidP="00F97573">
            <w:pPr>
              <w:pStyle w:val="StyleWisnow"/>
              <w:rPr>
                <w:color w:val="000000" w:themeColor="text1"/>
              </w:rPr>
            </w:pPr>
          </w:p>
          <w:p w14:paraId="57FD152C" w14:textId="77777777" w:rsidR="00F97573" w:rsidRPr="00286216" w:rsidRDefault="00F97573" w:rsidP="00F97573">
            <w:pPr>
              <w:pStyle w:val="StyleWisnow"/>
              <w:rPr>
                <w:color w:val="000000" w:themeColor="text1"/>
              </w:rPr>
            </w:pPr>
          </w:p>
          <w:p w14:paraId="232221D0" w14:textId="77777777" w:rsidR="00F97573" w:rsidRPr="00286216" w:rsidRDefault="00F97573" w:rsidP="00F97573">
            <w:pPr>
              <w:pStyle w:val="StyleWisnow"/>
              <w:rPr>
                <w:color w:val="000000" w:themeColor="text1"/>
              </w:rPr>
            </w:pPr>
          </w:p>
          <w:p w14:paraId="6F77E075" w14:textId="77777777" w:rsidR="00F97573" w:rsidRPr="00286216" w:rsidRDefault="00F97573" w:rsidP="00F97573">
            <w:pPr>
              <w:pStyle w:val="StyleWisnow"/>
              <w:rPr>
                <w:color w:val="000000" w:themeColor="text1"/>
              </w:rPr>
            </w:pPr>
          </w:p>
          <w:p w14:paraId="64EAD5AC" w14:textId="77777777" w:rsidR="00F97573" w:rsidRPr="00286216" w:rsidRDefault="00F97573" w:rsidP="00F97573">
            <w:pPr>
              <w:pStyle w:val="StyleWisnow"/>
              <w:rPr>
                <w:color w:val="000000" w:themeColor="text1"/>
              </w:rPr>
            </w:pPr>
          </w:p>
          <w:p w14:paraId="20141A5A" w14:textId="77777777" w:rsidR="00F97573" w:rsidRPr="00286216" w:rsidRDefault="00F97573" w:rsidP="00F97573">
            <w:pPr>
              <w:pStyle w:val="StyleWisnow"/>
              <w:rPr>
                <w:color w:val="000000" w:themeColor="text1"/>
              </w:rPr>
            </w:pPr>
          </w:p>
          <w:p w14:paraId="3E43B3A1" w14:textId="77777777" w:rsidR="00F97573" w:rsidRPr="00286216" w:rsidRDefault="00F97573" w:rsidP="00F97573">
            <w:pPr>
              <w:pStyle w:val="StyleWisnow"/>
              <w:rPr>
                <w:color w:val="000000" w:themeColor="text1"/>
              </w:rPr>
            </w:pPr>
          </w:p>
          <w:p w14:paraId="464F0586" w14:textId="77777777" w:rsidR="00F97573" w:rsidRPr="00286216" w:rsidRDefault="00F97573" w:rsidP="00F97573">
            <w:pPr>
              <w:pStyle w:val="StyleWisnow"/>
              <w:rPr>
                <w:color w:val="000000" w:themeColor="text1"/>
              </w:rPr>
            </w:pPr>
          </w:p>
          <w:p w14:paraId="6093BDF2" w14:textId="77777777" w:rsidR="00F97573" w:rsidRPr="00286216" w:rsidRDefault="00F97573" w:rsidP="00F97573">
            <w:pPr>
              <w:pStyle w:val="StyleWisnow"/>
              <w:rPr>
                <w:color w:val="000000" w:themeColor="text1"/>
              </w:rPr>
            </w:pPr>
          </w:p>
          <w:p w14:paraId="1EEAC5B5" w14:textId="77777777" w:rsidR="00F97573" w:rsidRPr="00286216" w:rsidRDefault="00F97573" w:rsidP="00F97573">
            <w:pPr>
              <w:pStyle w:val="StyleWisnow"/>
              <w:rPr>
                <w:color w:val="000000" w:themeColor="text1"/>
              </w:rPr>
            </w:pPr>
          </w:p>
          <w:p w14:paraId="2FAF6D99" w14:textId="77777777" w:rsidR="00F97573" w:rsidRPr="00286216" w:rsidRDefault="00F97573" w:rsidP="00F97573">
            <w:pPr>
              <w:pStyle w:val="StyleWisnow"/>
              <w:rPr>
                <w:color w:val="000000" w:themeColor="text1"/>
              </w:rPr>
            </w:pPr>
          </w:p>
          <w:p w14:paraId="780C4CF0" w14:textId="77777777" w:rsidR="00F97573" w:rsidRPr="00286216" w:rsidRDefault="00F97573" w:rsidP="00F97573">
            <w:pPr>
              <w:pStyle w:val="StyleWisnow"/>
              <w:rPr>
                <w:color w:val="000000" w:themeColor="text1"/>
              </w:rPr>
            </w:pPr>
          </w:p>
          <w:p w14:paraId="0AF08289" w14:textId="77777777" w:rsidR="00F97573" w:rsidRPr="00286216" w:rsidRDefault="00F97573" w:rsidP="00F97573">
            <w:pPr>
              <w:pStyle w:val="StyleWisnow"/>
              <w:rPr>
                <w:color w:val="000000" w:themeColor="text1"/>
              </w:rPr>
            </w:pPr>
          </w:p>
          <w:p w14:paraId="47CC723F" w14:textId="77777777" w:rsidR="00F97573" w:rsidRPr="00286216" w:rsidRDefault="00F97573" w:rsidP="00F97573">
            <w:pPr>
              <w:pStyle w:val="StyleWisnow"/>
              <w:rPr>
                <w:color w:val="000000" w:themeColor="text1"/>
              </w:rPr>
            </w:pPr>
          </w:p>
          <w:p w14:paraId="0947C8BC" w14:textId="77777777" w:rsidR="00F97573" w:rsidRPr="00286216" w:rsidRDefault="00F97573" w:rsidP="00F97573">
            <w:pPr>
              <w:pStyle w:val="StyleWisnow"/>
              <w:rPr>
                <w:color w:val="000000" w:themeColor="text1"/>
              </w:rPr>
            </w:pPr>
          </w:p>
          <w:p w14:paraId="21EC92B7" w14:textId="77777777" w:rsidR="00F97573" w:rsidRPr="00286216" w:rsidRDefault="00F97573" w:rsidP="00F97573">
            <w:pPr>
              <w:pStyle w:val="StyleWisnow"/>
              <w:rPr>
                <w:color w:val="000000" w:themeColor="text1"/>
              </w:rPr>
            </w:pPr>
          </w:p>
          <w:p w14:paraId="0BC535B9" w14:textId="77777777" w:rsidR="00F97573" w:rsidRPr="00286216" w:rsidRDefault="00F97573" w:rsidP="00F97573">
            <w:pPr>
              <w:pStyle w:val="StyleWisnow"/>
              <w:rPr>
                <w:color w:val="000000" w:themeColor="text1"/>
              </w:rPr>
            </w:pPr>
          </w:p>
          <w:p w14:paraId="27AAB960" w14:textId="77777777" w:rsidR="00F97573" w:rsidRPr="00286216" w:rsidRDefault="00F97573" w:rsidP="00F97573">
            <w:pPr>
              <w:pStyle w:val="StyleWisnow"/>
              <w:rPr>
                <w:color w:val="000000" w:themeColor="text1"/>
              </w:rPr>
            </w:pPr>
          </w:p>
          <w:p w14:paraId="5B965012" w14:textId="77777777" w:rsidR="00F97573" w:rsidRPr="00286216" w:rsidRDefault="00F97573" w:rsidP="00F97573">
            <w:pPr>
              <w:pStyle w:val="StyleWisnow"/>
              <w:rPr>
                <w:color w:val="000000" w:themeColor="text1"/>
              </w:rPr>
            </w:pPr>
          </w:p>
          <w:p w14:paraId="308AA539" w14:textId="77777777" w:rsidR="00F97573" w:rsidRPr="00286216" w:rsidRDefault="00F97573" w:rsidP="00F97573">
            <w:pPr>
              <w:pStyle w:val="StyleWisnow"/>
              <w:rPr>
                <w:color w:val="000000" w:themeColor="text1"/>
              </w:rPr>
            </w:pPr>
          </w:p>
          <w:p w14:paraId="51F137A6" w14:textId="77777777" w:rsidR="00F97573" w:rsidRPr="00286216" w:rsidRDefault="00F97573" w:rsidP="00F97573">
            <w:pPr>
              <w:pStyle w:val="StyleWisnow"/>
              <w:rPr>
                <w:color w:val="000000" w:themeColor="text1"/>
              </w:rPr>
            </w:pPr>
          </w:p>
          <w:p w14:paraId="2DF0C122" w14:textId="77777777" w:rsidR="00F97573" w:rsidRPr="00286216" w:rsidRDefault="00F97573" w:rsidP="00F97573">
            <w:pPr>
              <w:pStyle w:val="StyleWisnow"/>
              <w:rPr>
                <w:color w:val="000000" w:themeColor="text1"/>
              </w:rPr>
            </w:pPr>
          </w:p>
          <w:p w14:paraId="082E096D" w14:textId="77777777" w:rsidR="00F97573" w:rsidRPr="00286216" w:rsidRDefault="00F97573" w:rsidP="00F97573">
            <w:pPr>
              <w:pStyle w:val="StyleWisnow"/>
              <w:rPr>
                <w:color w:val="000000" w:themeColor="text1"/>
              </w:rPr>
            </w:pPr>
          </w:p>
          <w:p w14:paraId="692C466E" w14:textId="77777777" w:rsidR="00F97573" w:rsidRPr="00286216" w:rsidRDefault="00F97573" w:rsidP="00F97573">
            <w:pPr>
              <w:pStyle w:val="StyleWisnow"/>
              <w:rPr>
                <w:color w:val="000000" w:themeColor="text1"/>
              </w:rPr>
            </w:pPr>
          </w:p>
          <w:p w14:paraId="6296CDC3" w14:textId="77777777" w:rsidR="00F97573" w:rsidRPr="00286216" w:rsidRDefault="00F97573" w:rsidP="00F97573">
            <w:pPr>
              <w:pStyle w:val="StyleWisnow"/>
              <w:rPr>
                <w:color w:val="000000" w:themeColor="text1"/>
              </w:rPr>
            </w:pPr>
          </w:p>
          <w:p w14:paraId="4E60AFF2" w14:textId="77777777" w:rsidR="00F97573" w:rsidRPr="00286216" w:rsidRDefault="00F97573" w:rsidP="00F97573">
            <w:pPr>
              <w:pStyle w:val="StyleWisnow"/>
              <w:rPr>
                <w:color w:val="000000" w:themeColor="text1"/>
              </w:rPr>
            </w:pPr>
          </w:p>
          <w:p w14:paraId="6E4AA549" w14:textId="77777777" w:rsidR="00F97573" w:rsidRPr="00286216" w:rsidRDefault="00F97573" w:rsidP="00F97573">
            <w:pPr>
              <w:pStyle w:val="StyleWisnow"/>
              <w:rPr>
                <w:color w:val="000000" w:themeColor="text1"/>
              </w:rPr>
            </w:pPr>
          </w:p>
          <w:p w14:paraId="40B3E193" w14:textId="77777777" w:rsidR="00F97573" w:rsidRPr="00286216" w:rsidRDefault="00F97573" w:rsidP="00F97573">
            <w:pPr>
              <w:pStyle w:val="StyleWisnow"/>
              <w:rPr>
                <w:color w:val="000000" w:themeColor="text1"/>
              </w:rPr>
            </w:pPr>
          </w:p>
          <w:p w14:paraId="4FE18836" w14:textId="77777777" w:rsidR="00F97573" w:rsidRPr="00286216" w:rsidRDefault="00F97573" w:rsidP="00F97573">
            <w:pPr>
              <w:pStyle w:val="StyleWisnow"/>
              <w:rPr>
                <w:color w:val="000000" w:themeColor="text1"/>
              </w:rPr>
            </w:pPr>
          </w:p>
          <w:p w14:paraId="1A336838" w14:textId="77777777" w:rsidR="00F97573" w:rsidRPr="00286216" w:rsidRDefault="00F97573" w:rsidP="00F97573">
            <w:pPr>
              <w:pStyle w:val="StyleWisnow"/>
              <w:rPr>
                <w:color w:val="000000" w:themeColor="text1"/>
              </w:rPr>
            </w:pPr>
          </w:p>
          <w:p w14:paraId="4131F5B3" w14:textId="77777777" w:rsidR="00F97573" w:rsidRPr="00286216" w:rsidRDefault="00F97573" w:rsidP="00F97573">
            <w:pPr>
              <w:pStyle w:val="StyleWisnow"/>
              <w:rPr>
                <w:color w:val="000000" w:themeColor="text1"/>
              </w:rPr>
            </w:pPr>
          </w:p>
          <w:p w14:paraId="34ABA733" w14:textId="77777777" w:rsidR="00F97573" w:rsidRPr="00286216" w:rsidRDefault="00F97573" w:rsidP="00F97573">
            <w:pPr>
              <w:pStyle w:val="StyleWisnow"/>
              <w:rPr>
                <w:color w:val="000000" w:themeColor="text1"/>
              </w:rPr>
            </w:pPr>
          </w:p>
          <w:p w14:paraId="383A1AD5" w14:textId="77777777" w:rsidR="00F97573" w:rsidRPr="00286216" w:rsidRDefault="00F97573" w:rsidP="00F97573">
            <w:pPr>
              <w:pStyle w:val="StyleWisnow"/>
              <w:rPr>
                <w:color w:val="000000" w:themeColor="text1"/>
              </w:rPr>
            </w:pPr>
          </w:p>
          <w:p w14:paraId="282425E9" w14:textId="77777777" w:rsidR="00F97573" w:rsidRPr="00286216" w:rsidRDefault="00F97573" w:rsidP="00F97573">
            <w:pPr>
              <w:pStyle w:val="StyleWisnow"/>
              <w:rPr>
                <w:color w:val="000000" w:themeColor="text1"/>
              </w:rPr>
            </w:pPr>
          </w:p>
          <w:p w14:paraId="0DCF2EE5" w14:textId="77777777" w:rsidR="00F97573" w:rsidRPr="00286216" w:rsidRDefault="00F97573" w:rsidP="00F97573">
            <w:pPr>
              <w:pStyle w:val="StyleWisnow"/>
              <w:rPr>
                <w:color w:val="000000" w:themeColor="text1"/>
              </w:rPr>
            </w:pPr>
          </w:p>
          <w:p w14:paraId="6046B319" w14:textId="77777777" w:rsidR="00F97573" w:rsidRPr="00286216" w:rsidRDefault="00F97573" w:rsidP="00F97573">
            <w:pPr>
              <w:pStyle w:val="StyleWisnow"/>
              <w:rPr>
                <w:color w:val="000000" w:themeColor="text1"/>
              </w:rPr>
            </w:pPr>
          </w:p>
          <w:p w14:paraId="1351B0DC" w14:textId="77777777" w:rsidR="00F97573" w:rsidRPr="00286216" w:rsidRDefault="00F97573" w:rsidP="00F97573">
            <w:pPr>
              <w:pStyle w:val="StyleWisnow"/>
              <w:rPr>
                <w:color w:val="000000" w:themeColor="text1"/>
              </w:rPr>
            </w:pPr>
          </w:p>
          <w:p w14:paraId="3FFA952E" w14:textId="77777777" w:rsidR="00F97573" w:rsidRPr="00286216" w:rsidRDefault="00F97573" w:rsidP="00F97573">
            <w:pPr>
              <w:pStyle w:val="StyleWisnow"/>
              <w:rPr>
                <w:color w:val="000000" w:themeColor="text1"/>
              </w:rPr>
            </w:pPr>
          </w:p>
          <w:p w14:paraId="0B39D477" w14:textId="77777777" w:rsidR="00F97573" w:rsidRPr="00286216" w:rsidRDefault="00F97573" w:rsidP="00F97573">
            <w:pPr>
              <w:pStyle w:val="StyleWisnow"/>
              <w:rPr>
                <w:color w:val="000000" w:themeColor="text1"/>
              </w:rPr>
            </w:pPr>
          </w:p>
          <w:p w14:paraId="44988909" w14:textId="77777777" w:rsidR="00F97573" w:rsidRPr="00286216" w:rsidRDefault="00F97573" w:rsidP="00F97573">
            <w:pPr>
              <w:pStyle w:val="StyleWisnow"/>
              <w:rPr>
                <w:color w:val="000000" w:themeColor="text1"/>
              </w:rPr>
            </w:pPr>
          </w:p>
          <w:p w14:paraId="2ACDF3C4" w14:textId="77777777" w:rsidR="00F97573" w:rsidRPr="00286216" w:rsidRDefault="00F97573" w:rsidP="00F97573">
            <w:pPr>
              <w:pStyle w:val="StyleWisnow"/>
              <w:rPr>
                <w:color w:val="000000" w:themeColor="text1"/>
              </w:rPr>
            </w:pPr>
          </w:p>
          <w:p w14:paraId="3A0D6358" w14:textId="77777777" w:rsidR="00F97573" w:rsidRPr="00286216" w:rsidRDefault="00F97573" w:rsidP="00F97573">
            <w:pPr>
              <w:pStyle w:val="StyleWisnow"/>
              <w:rPr>
                <w:color w:val="000000" w:themeColor="text1"/>
              </w:rPr>
            </w:pPr>
          </w:p>
          <w:p w14:paraId="2EA90933" w14:textId="77777777" w:rsidR="00F97573" w:rsidRPr="00286216" w:rsidRDefault="00F97573" w:rsidP="00F97573">
            <w:pPr>
              <w:pStyle w:val="StyleWisnow"/>
              <w:rPr>
                <w:color w:val="000000" w:themeColor="text1"/>
              </w:rPr>
            </w:pPr>
          </w:p>
          <w:p w14:paraId="25D2C863" w14:textId="77777777" w:rsidR="00F97573" w:rsidRPr="00286216" w:rsidRDefault="00F97573" w:rsidP="00F97573">
            <w:pPr>
              <w:pStyle w:val="StyleWisnow"/>
              <w:rPr>
                <w:color w:val="000000" w:themeColor="text1"/>
              </w:rPr>
            </w:pPr>
          </w:p>
          <w:p w14:paraId="225E5628" w14:textId="77777777" w:rsidR="00F97573" w:rsidRPr="00286216" w:rsidRDefault="00F97573" w:rsidP="00F97573">
            <w:pPr>
              <w:pStyle w:val="StyleWisnow"/>
              <w:rPr>
                <w:color w:val="000000" w:themeColor="text1"/>
              </w:rPr>
            </w:pPr>
          </w:p>
          <w:p w14:paraId="181C0E5B" w14:textId="77777777" w:rsidR="00F97573" w:rsidRPr="00286216" w:rsidRDefault="00F97573" w:rsidP="00F97573">
            <w:pPr>
              <w:pStyle w:val="StyleWisnow"/>
              <w:rPr>
                <w:color w:val="000000" w:themeColor="text1"/>
              </w:rPr>
            </w:pPr>
          </w:p>
          <w:p w14:paraId="075F7A06" w14:textId="77777777" w:rsidR="00F97573" w:rsidRPr="00286216" w:rsidRDefault="00F97573" w:rsidP="00F97573">
            <w:pPr>
              <w:pStyle w:val="StyleWisnow"/>
              <w:rPr>
                <w:color w:val="000000" w:themeColor="text1"/>
              </w:rPr>
            </w:pPr>
          </w:p>
          <w:p w14:paraId="74D8FE29" w14:textId="77777777" w:rsidR="00F97573" w:rsidRPr="00286216" w:rsidRDefault="00F97573" w:rsidP="00F97573">
            <w:pPr>
              <w:pStyle w:val="StyleWisnow"/>
              <w:rPr>
                <w:color w:val="000000" w:themeColor="text1"/>
              </w:rPr>
            </w:pPr>
          </w:p>
          <w:p w14:paraId="439B5DC2" w14:textId="77777777" w:rsidR="00F97573" w:rsidRPr="00286216" w:rsidRDefault="00F97573" w:rsidP="00F97573">
            <w:pPr>
              <w:pStyle w:val="StyleWisnow"/>
              <w:rPr>
                <w:color w:val="000000" w:themeColor="text1"/>
              </w:rPr>
            </w:pPr>
          </w:p>
          <w:p w14:paraId="3A68C6D9" w14:textId="77777777" w:rsidR="00F97573" w:rsidRPr="00286216" w:rsidRDefault="00F97573" w:rsidP="00F97573">
            <w:pPr>
              <w:pStyle w:val="StyleWisnow"/>
              <w:rPr>
                <w:color w:val="000000" w:themeColor="text1"/>
              </w:rPr>
            </w:pPr>
          </w:p>
          <w:p w14:paraId="60A157D5" w14:textId="77777777" w:rsidR="00F97573" w:rsidRPr="00286216" w:rsidRDefault="00F97573" w:rsidP="00F97573">
            <w:pPr>
              <w:pStyle w:val="StyleWisnow"/>
              <w:rPr>
                <w:color w:val="000000" w:themeColor="text1"/>
              </w:rPr>
            </w:pPr>
          </w:p>
          <w:p w14:paraId="28B380E3" w14:textId="77777777" w:rsidR="00F97573" w:rsidRPr="00286216" w:rsidRDefault="00F97573" w:rsidP="00F97573">
            <w:pPr>
              <w:pStyle w:val="StyleWisnow"/>
              <w:rPr>
                <w:color w:val="000000" w:themeColor="text1"/>
              </w:rPr>
            </w:pPr>
          </w:p>
          <w:p w14:paraId="09645DA2" w14:textId="77777777" w:rsidR="00F97573" w:rsidRPr="00286216" w:rsidRDefault="00F97573" w:rsidP="00F97573">
            <w:pPr>
              <w:pStyle w:val="StyleWisnow"/>
              <w:rPr>
                <w:color w:val="000000" w:themeColor="text1"/>
              </w:rPr>
            </w:pPr>
          </w:p>
          <w:p w14:paraId="6A68C92B" w14:textId="77777777" w:rsidR="00F97573" w:rsidRPr="00286216" w:rsidRDefault="00F97573" w:rsidP="00F97573">
            <w:pPr>
              <w:pStyle w:val="StyleWisnow"/>
              <w:rPr>
                <w:color w:val="000000" w:themeColor="text1"/>
              </w:rPr>
            </w:pPr>
          </w:p>
          <w:p w14:paraId="50FA7519" w14:textId="77777777" w:rsidR="00F97573" w:rsidRPr="00286216" w:rsidRDefault="00F97573" w:rsidP="00F97573">
            <w:pPr>
              <w:pStyle w:val="StyleWisnow"/>
              <w:rPr>
                <w:color w:val="000000" w:themeColor="text1"/>
              </w:rPr>
            </w:pPr>
          </w:p>
          <w:p w14:paraId="336B314D" w14:textId="77777777" w:rsidR="00F97573" w:rsidRPr="00286216" w:rsidRDefault="00F97573" w:rsidP="00F97573">
            <w:pPr>
              <w:pStyle w:val="StyleWisnow"/>
              <w:rPr>
                <w:color w:val="000000" w:themeColor="text1"/>
              </w:rPr>
            </w:pPr>
          </w:p>
          <w:p w14:paraId="324F1C0F" w14:textId="77777777" w:rsidR="00F97573" w:rsidRPr="00286216" w:rsidRDefault="00F97573" w:rsidP="00F97573">
            <w:pPr>
              <w:pStyle w:val="StyleWisnow"/>
              <w:rPr>
                <w:color w:val="000000" w:themeColor="text1"/>
              </w:rPr>
            </w:pPr>
          </w:p>
          <w:p w14:paraId="1FF4310F" w14:textId="77777777" w:rsidR="00F97573" w:rsidRPr="00286216" w:rsidRDefault="00F97573" w:rsidP="00F97573">
            <w:pPr>
              <w:pStyle w:val="StyleWisnow"/>
              <w:rPr>
                <w:color w:val="000000" w:themeColor="text1"/>
              </w:rPr>
            </w:pPr>
          </w:p>
          <w:p w14:paraId="760ADC78" w14:textId="77777777" w:rsidR="00F97573" w:rsidRPr="00286216" w:rsidRDefault="00F97573" w:rsidP="00F97573">
            <w:pPr>
              <w:pStyle w:val="StyleWisnow"/>
              <w:rPr>
                <w:color w:val="000000" w:themeColor="text1"/>
              </w:rPr>
            </w:pPr>
          </w:p>
          <w:p w14:paraId="19B8E780" w14:textId="77777777" w:rsidR="00F97573" w:rsidRPr="00286216" w:rsidRDefault="00F97573" w:rsidP="00F97573">
            <w:pPr>
              <w:pStyle w:val="StyleWisnow"/>
              <w:rPr>
                <w:color w:val="000000" w:themeColor="text1"/>
              </w:rPr>
            </w:pPr>
          </w:p>
          <w:p w14:paraId="6595CF5F" w14:textId="77777777" w:rsidR="00F97573" w:rsidRPr="00286216" w:rsidRDefault="00F97573" w:rsidP="00F97573">
            <w:pPr>
              <w:pStyle w:val="StyleWisnow"/>
              <w:rPr>
                <w:color w:val="000000" w:themeColor="text1"/>
              </w:rPr>
            </w:pPr>
          </w:p>
          <w:p w14:paraId="3F41605B" w14:textId="77777777" w:rsidR="00F97573" w:rsidRPr="00286216" w:rsidRDefault="00F97573" w:rsidP="00F97573">
            <w:pPr>
              <w:pStyle w:val="StyleWisnow"/>
              <w:rPr>
                <w:color w:val="000000" w:themeColor="text1"/>
              </w:rPr>
            </w:pPr>
          </w:p>
          <w:p w14:paraId="4A1A4BAA" w14:textId="77777777" w:rsidR="00F97573" w:rsidRPr="00286216" w:rsidRDefault="00F97573" w:rsidP="00F97573">
            <w:pPr>
              <w:pStyle w:val="StyleWisnow"/>
              <w:rPr>
                <w:color w:val="000000" w:themeColor="text1"/>
              </w:rPr>
            </w:pPr>
          </w:p>
          <w:p w14:paraId="6DD592F8" w14:textId="77777777" w:rsidR="00F97573" w:rsidRPr="00286216" w:rsidRDefault="00F97573" w:rsidP="00F97573">
            <w:pPr>
              <w:pStyle w:val="StyleWisnow"/>
              <w:rPr>
                <w:color w:val="000000" w:themeColor="text1"/>
              </w:rPr>
            </w:pPr>
          </w:p>
          <w:p w14:paraId="3574289C" w14:textId="77777777" w:rsidR="00F97573" w:rsidRPr="00286216" w:rsidRDefault="00F97573" w:rsidP="00F97573">
            <w:pPr>
              <w:pStyle w:val="StyleWisnow"/>
              <w:rPr>
                <w:color w:val="000000" w:themeColor="text1"/>
              </w:rPr>
            </w:pPr>
          </w:p>
          <w:p w14:paraId="4446AD88" w14:textId="77777777" w:rsidR="00F97573" w:rsidRPr="00286216" w:rsidRDefault="00F97573" w:rsidP="00F97573">
            <w:pPr>
              <w:pStyle w:val="StyleWisnow"/>
              <w:rPr>
                <w:color w:val="000000" w:themeColor="text1"/>
              </w:rPr>
            </w:pPr>
          </w:p>
          <w:p w14:paraId="667C1179" w14:textId="77777777" w:rsidR="00F97573" w:rsidRPr="00286216" w:rsidRDefault="00F97573" w:rsidP="00F97573">
            <w:pPr>
              <w:pStyle w:val="StyleWisnow"/>
              <w:rPr>
                <w:color w:val="000000" w:themeColor="text1"/>
              </w:rPr>
            </w:pPr>
          </w:p>
          <w:p w14:paraId="40B72B58" w14:textId="77777777" w:rsidR="00F97573" w:rsidRPr="00286216" w:rsidRDefault="00F97573" w:rsidP="00F97573">
            <w:pPr>
              <w:pStyle w:val="StyleWisnow"/>
              <w:rPr>
                <w:color w:val="000000" w:themeColor="text1"/>
              </w:rPr>
            </w:pPr>
          </w:p>
          <w:p w14:paraId="4E06A762" w14:textId="77777777" w:rsidR="00F97573" w:rsidRPr="00286216" w:rsidRDefault="00F97573" w:rsidP="00F97573">
            <w:pPr>
              <w:pStyle w:val="StyleWisnow"/>
              <w:rPr>
                <w:color w:val="000000" w:themeColor="text1"/>
              </w:rPr>
            </w:pPr>
          </w:p>
          <w:p w14:paraId="70504153" w14:textId="77777777" w:rsidR="00F97573" w:rsidRPr="00286216" w:rsidRDefault="00F97573" w:rsidP="00F97573">
            <w:pPr>
              <w:pStyle w:val="StyleWisnow"/>
              <w:rPr>
                <w:color w:val="000000" w:themeColor="text1"/>
              </w:rPr>
            </w:pPr>
          </w:p>
          <w:p w14:paraId="51E70E7A" w14:textId="77777777" w:rsidR="00F97573" w:rsidRPr="00286216" w:rsidRDefault="00F97573" w:rsidP="00F97573">
            <w:pPr>
              <w:pStyle w:val="StyleWisnow"/>
              <w:rPr>
                <w:color w:val="000000" w:themeColor="text1"/>
              </w:rPr>
            </w:pPr>
          </w:p>
          <w:p w14:paraId="28234BF1" w14:textId="77777777" w:rsidR="00F97573" w:rsidRPr="00286216" w:rsidRDefault="00F97573" w:rsidP="00F97573">
            <w:pPr>
              <w:pStyle w:val="StyleWisnow"/>
              <w:rPr>
                <w:color w:val="000000" w:themeColor="text1"/>
              </w:rPr>
            </w:pPr>
          </w:p>
          <w:p w14:paraId="6D252C6C" w14:textId="77777777" w:rsidR="00F97573" w:rsidRPr="00286216" w:rsidRDefault="00F97573" w:rsidP="00F97573">
            <w:pPr>
              <w:pStyle w:val="StyleWisnow"/>
              <w:rPr>
                <w:color w:val="000000" w:themeColor="text1"/>
              </w:rPr>
            </w:pPr>
          </w:p>
          <w:p w14:paraId="46261D33" w14:textId="77777777" w:rsidR="00F97573" w:rsidRPr="00286216" w:rsidRDefault="00F97573" w:rsidP="00F97573">
            <w:pPr>
              <w:pStyle w:val="StyleWisnow"/>
              <w:rPr>
                <w:color w:val="000000" w:themeColor="text1"/>
              </w:rPr>
            </w:pPr>
          </w:p>
          <w:p w14:paraId="3F3B1202" w14:textId="77777777" w:rsidR="00F97573" w:rsidRPr="00286216" w:rsidRDefault="00F97573" w:rsidP="00F97573">
            <w:pPr>
              <w:pStyle w:val="StyleWisnow"/>
              <w:rPr>
                <w:color w:val="000000" w:themeColor="text1"/>
              </w:rPr>
            </w:pPr>
          </w:p>
          <w:p w14:paraId="582EA074" w14:textId="77777777" w:rsidR="00F97573" w:rsidRPr="00286216" w:rsidRDefault="00F97573" w:rsidP="00F97573">
            <w:pPr>
              <w:pStyle w:val="StyleWisnow"/>
              <w:rPr>
                <w:color w:val="000000" w:themeColor="text1"/>
              </w:rPr>
            </w:pPr>
          </w:p>
          <w:p w14:paraId="0FCE7828" w14:textId="77777777" w:rsidR="00F97573" w:rsidRPr="00286216" w:rsidRDefault="00F97573" w:rsidP="00F97573">
            <w:pPr>
              <w:pStyle w:val="StyleWisnow"/>
              <w:rPr>
                <w:color w:val="000000" w:themeColor="text1"/>
              </w:rPr>
            </w:pPr>
          </w:p>
          <w:p w14:paraId="7EE44D3A" w14:textId="77777777" w:rsidR="00F97573" w:rsidRPr="00286216" w:rsidRDefault="00F97573" w:rsidP="00F97573">
            <w:pPr>
              <w:pStyle w:val="StyleWisnow"/>
              <w:rPr>
                <w:color w:val="000000" w:themeColor="text1"/>
              </w:rPr>
            </w:pPr>
          </w:p>
          <w:p w14:paraId="17739AD7" w14:textId="77777777" w:rsidR="00F97573" w:rsidRPr="00286216" w:rsidRDefault="00F97573" w:rsidP="00F97573">
            <w:pPr>
              <w:pStyle w:val="StyleWisnow"/>
              <w:rPr>
                <w:color w:val="000000" w:themeColor="text1"/>
              </w:rPr>
            </w:pPr>
          </w:p>
          <w:p w14:paraId="4907EBD1" w14:textId="77777777" w:rsidR="00F97573" w:rsidRPr="00286216" w:rsidRDefault="00F97573" w:rsidP="00F97573">
            <w:pPr>
              <w:pStyle w:val="StyleWisnow"/>
              <w:rPr>
                <w:color w:val="000000" w:themeColor="text1"/>
              </w:rPr>
            </w:pPr>
          </w:p>
          <w:p w14:paraId="4FEE963A" w14:textId="77777777" w:rsidR="00F97573" w:rsidRPr="00286216" w:rsidRDefault="00F97573" w:rsidP="00F97573">
            <w:pPr>
              <w:pStyle w:val="StyleWisnow"/>
              <w:rPr>
                <w:color w:val="000000" w:themeColor="text1"/>
              </w:rPr>
            </w:pPr>
          </w:p>
          <w:p w14:paraId="0F061F17" w14:textId="77777777" w:rsidR="00F97573" w:rsidRPr="00286216" w:rsidRDefault="00F97573" w:rsidP="00F97573">
            <w:pPr>
              <w:pStyle w:val="StyleWisnow"/>
              <w:rPr>
                <w:color w:val="000000" w:themeColor="text1"/>
              </w:rPr>
            </w:pPr>
          </w:p>
          <w:p w14:paraId="78E37E08" w14:textId="77777777" w:rsidR="00F97573" w:rsidRPr="00286216" w:rsidRDefault="00F97573" w:rsidP="00F97573">
            <w:pPr>
              <w:pStyle w:val="StyleWisnow"/>
              <w:rPr>
                <w:color w:val="000000" w:themeColor="text1"/>
              </w:rPr>
            </w:pPr>
          </w:p>
          <w:p w14:paraId="4A670074" w14:textId="77777777" w:rsidR="00F97573" w:rsidRPr="00286216" w:rsidRDefault="00F97573" w:rsidP="00F97573">
            <w:pPr>
              <w:pStyle w:val="StyleWisnow"/>
              <w:rPr>
                <w:color w:val="000000" w:themeColor="text1"/>
              </w:rPr>
            </w:pPr>
          </w:p>
          <w:p w14:paraId="6C892C3E" w14:textId="77777777" w:rsidR="00F97573" w:rsidRPr="00286216" w:rsidRDefault="00F97573" w:rsidP="00F97573">
            <w:pPr>
              <w:pStyle w:val="StyleWisnow"/>
              <w:rPr>
                <w:color w:val="000000" w:themeColor="text1"/>
              </w:rPr>
            </w:pPr>
          </w:p>
          <w:p w14:paraId="65733903" w14:textId="77777777" w:rsidR="00F97573" w:rsidRPr="00286216" w:rsidRDefault="00F97573" w:rsidP="00F97573">
            <w:pPr>
              <w:pStyle w:val="StyleWisnow"/>
              <w:rPr>
                <w:color w:val="000000" w:themeColor="text1"/>
              </w:rPr>
            </w:pPr>
          </w:p>
          <w:p w14:paraId="105F16E9" w14:textId="77777777" w:rsidR="00F97573" w:rsidRPr="00286216" w:rsidRDefault="00F97573" w:rsidP="00F97573">
            <w:pPr>
              <w:pStyle w:val="StyleWisnow"/>
              <w:rPr>
                <w:color w:val="000000" w:themeColor="text1"/>
              </w:rPr>
            </w:pPr>
          </w:p>
          <w:p w14:paraId="2AFEB4EC" w14:textId="77777777" w:rsidR="00F97573" w:rsidRPr="00286216" w:rsidRDefault="00F97573" w:rsidP="00F97573">
            <w:pPr>
              <w:pStyle w:val="StyleWisnow"/>
              <w:rPr>
                <w:color w:val="000000" w:themeColor="text1"/>
              </w:rPr>
            </w:pPr>
          </w:p>
          <w:p w14:paraId="086F9821" w14:textId="77777777" w:rsidR="00F97573" w:rsidRPr="00286216" w:rsidRDefault="00F97573" w:rsidP="00F97573">
            <w:pPr>
              <w:pStyle w:val="StyleWisnow"/>
              <w:rPr>
                <w:color w:val="000000" w:themeColor="text1"/>
              </w:rPr>
            </w:pPr>
          </w:p>
          <w:p w14:paraId="3C2BEE06" w14:textId="77777777" w:rsidR="00F97573" w:rsidRPr="00286216" w:rsidRDefault="00F97573" w:rsidP="00F97573">
            <w:pPr>
              <w:pStyle w:val="StyleWisnow"/>
              <w:rPr>
                <w:color w:val="000000" w:themeColor="text1"/>
              </w:rPr>
            </w:pPr>
          </w:p>
          <w:p w14:paraId="7C573351" w14:textId="77777777" w:rsidR="00F97573" w:rsidRPr="00286216" w:rsidRDefault="00F97573" w:rsidP="00F97573">
            <w:pPr>
              <w:pStyle w:val="StyleWisnow"/>
              <w:rPr>
                <w:color w:val="000000" w:themeColor="text1"/>
              </w:rPr>
            </w:pPr>
          </w:p>
          <w:p w14:paraId="3858B425" w14:textId="77777777" w:rsidR="00F97573" w:rsidRPr="00286216" w:rsidRDefault="00F97573" w:rsidP="00F97573">
            <w:pPr>
              <w:pStyle w:val="StyleWisnow"/>
              <w:rPr>
                <w:color w:val="000000" w:themeColor="text1"/>
              </w:rPr>
            </w:pPr>
          </w:p>
          <w:p w14:paraId="3E03C3E3" w14:textId="77777777" w:rsidR="00F97573" w:rsidRPr="00286216" w:rsidRDefault="00F97573" w:rsidP="00F97573">
            <w:pPr>
              <w:pStyle w:val="StyleWisnow"/>
              <w:rPr>
                <w:color w:val="000000" w:themeColor="text1"/>
              </w:rPr>
            </w:pPr>
          </w:p>
          <w:p w14:paraId="317EAA24" w14:textId="77777777" w:rsidR="00F97573" w:rsidRPr="00286216" w:rsidRDefault="00F97573" w:rsidP="00F97573">
            <w:pPr>
              <w:pStyle w:val="StyleWisnow"/>
              <w:rPr>
                <w:color w:val="000000" w:themeColor="text1"/>
              </w:rPr>
            </w:pPr>
          </w:p>
          <w:p w14:paraId="6351F647" w14:textId="77777777" w:rsidR="00F97573" w:rsidRPr="00286216" w:rsidRDefault="00F97573" w:rsidP="00F97573">
            <w:pPr>
              <w:pStyle w:val="StyleWisnow"/>
              <w:rPr>
                <w:color w:val="000000" w:themeColor="text1"/>
              </w:rPr>
            </w:pPr>
          </w:p>
          <w:p w14:paraId="5A61DB68" w14:textId="77777777" w:rsidR="00F97573" w:rsidRPr="00286216" w:rsidRDefault="00F97573" w:rsidP="00F97573">
            <w:pPr>
              <w:pStyle w:val="StyleWisnow"/>
              <w:rPr>
                <w:color w:val="000000" w:themeColor="text1"/>
              </w:rPr>
            </w:pPr>
          </w:p>
          <w:p w14:paraId="772B07E9" w14:textId="77777777" w:rsidR="00F97573" w:rsidRPr="00286216" w:rsidRDefault="00F97573" w:rsidP="00F97573">
            <w:pPr>
              <w:pStyle w:val="StyleWisnow"/>
              <w:rPr>
                <w:color w:val="000000" w:themeColor="text1"/>
              </w:rPr>
            </w:pPr>
          </w:p>
          <w:p w14:paraId="48DB5B66" w14:textId="77777777" w:rsidR="00F97573" w:rsidRPr="00286216" w:rsidRDefault="00F97573" w:rsidP="00F97573">
            <w:pPr>
              <w:pStyle w:val="StyleWisnow"/>
              <w:rPr>
                <w:color w:val="000000" w:themeColor="text1"/>
              </w:rPr>
            </w:pPr>
          </w:p>
          <w:p w14:paraId="224E254F" w14:textId="77777777" w:rsidR="00F97573" w:rsidRPr="00286216" w:rsidRDefault="00F97573" w:rsidP="00F97573">
            <w:pPr>
              <w:pStyle w:val="StyleWisnow"/>
              <w:rPr>
                <w:color w:val="000000" w:themeColor="text1"/>
              </w:rPr>
            </w:pPr>
          </w:p>
          <w:p w14:paraId="2AFA0597" w14:textId="77777777" w:rsidR="00F97573" w:rsidRPr="00286216" w:rsidRDefault="00F97573" w:rsidP="00F97573">
            <w:pPr>
              <w:pStyle w:val="StyleWisnow"/>
              <w:rPr>
                <w:color w:val="000000" w:themeColor="text1"/>
              </w:rPr>
            </w:pPr>
          </w:p>
          <w:p w14:paraId="54B54D0B" w14:textId="77777777" w:rsidR="00F97573" w:rsidRPr="00286216" w:rsidRDefault="00F97573" w:rsidP="00F97573">
            <w:pPr>
              <w:pStyle w:val="StyleWisnow"/>
              <w:rPr>
                <w:color w:val="000000" w:themeColor="text1"/>
              </w:rPr>
            </w:pPr>
          </w:p>
          <w:p w14:paraId="4A597B02" w14:textId="77777777" w:rsidR="00F97573" w:rsidRPr="00286216" w:rsidRDefault="00F97573" w:rsidP="00F97573">
            <w:pPr>
              <w:pStyle w:val="StyleWisnow"/>
              <w:rPr>
                <w:color w:val="000000" w:themeColor="text1"/>
              </w:rPr>
            </w:pPr>
          </w:p>
          <w:p w14:paraId="65D0D7A9" w14:textId="77777777" w:rsidR="00F97573" w:rsidRPr="00286216" w:rsidRDefault="00F97573" w:rsidP="00F97573">
            <w:pPr>
              <w:pStyle w:val="StyleWisnow"/>
              <w:rPr>
                <w:color w:val="000000" w:themeColor="text1"/>
              </w:rPr>
            </w:pPr>
          </w:p>
          <w:p w14:paraId="17EE69BB" w14:textId="77777777" w:rsidR="00F97573" w:rsidRPr="00286216" w:rsidRDefault="00F97573" w:rsidP="00F97573">
            <w:pPr>
              <w:pStyle w:val="StyleWisnow"/>
              <w:rPr>
                <w:color w:val="000000" w:themeColor="text1"/>
              </w:rPr>
            </w:pPr>
          </w:p>
          <w:p w14:paraId="305ADDA9" w14:textId="77777777" w:rsidR="00F97573" w:rsidRPr="00286216" w:rsidRDefault="00F97573" w:rsidP="00F97573">
            <w:pPr>
              <w:pStyle w:val="StyleWisnow"/>
              <w:rPr>
                <w:color w:val="000000" w:themeColor="text1"/>
              </w:rPr>
            </w:pPr>
          </w:p>
          <w:p w14:paraId="28F6751D" w14:textId="77777777" w:rsidR="00F97573" w:rsidRPr="00286216" w:rsidRDefault="00F97573" w:rsidP="00F97573">
            <w:pPr>
              <w:pStyle w:val="StyleWisnow"/>
              <w:rPr>
                <w:color w:val="000000" w:themeColor="text1"/>
              </w:rPr>
            </w:pPr>
          </w:p>
          <w:p w14:paraId="11F78F69" w14:textId="77777777" w:rsidR="00F97573" w:rsidRPr="00286216" w:rsidRDefault="00F97573" w:rsidP="00F97573">
            <w:pPr>
              <w:pStyle w:val="StyleWisnow"/>
              <w:rPr>
                <w:color w:val="000000" w:themeColor="text1"/>
              </w:rPr>
            </w:pPr>
          </w:p>
          <w:p w14:paraId="6145799F" w14:textId="77777777" w:rsidR="00F97573" w:rsidRPr="00286216" w:rsidRDefault="00F97573" w:rsidP="00F97573">
            <w:pPr>
              <w:pStyle w:val="StyleWisnow"/>
              <w:rPr>
                <w:color w:val="000000" w:themeColor="text1"/>
              </w:rPr>
            </w:pPr>
          </w:p>
          <w:p w14:paraId="4157B7BB" w14:textId="77777777" w:rsidR="00F97573" w:rsidRPr="00286216" w:rsidRDefault="00F97573" w:rsidP="00F97573">
            <w:pPr>
              <w:pStyle w:val="StyleWisnow"/>
              <w:rPr>
                <w:color w:val="000000" w:themeColor="text1"/>
              </w:rPr>
            </w:pPr>
          </w:p>
          <w:p w14:paraId="5D305B25" w14:textId="77777777" w:rsidR="00F97573" w:rsidRPr="00286216" w:rsidRDefault="00F97573" w:rsidP="00F97573">
            <w:pPr>
              <w:pStyle w:val="StyleWisnow"/>
              <w:rPr>
                <w:color w:val="000000" w:themeColor="text1"/>
              </w:rPr>
            </w:pPr>
          </w:p>
          <w:p w14:paraId="23258EF5" w14:textId="77777777" w:rsidR="00F97573" w:rsidRPr="00286216" w:rsidRDefault="00F97573" w:rsidP="00F97573">
            <w:pPr>
              <w:pStyle w:val="StyleWisnow"/>
              <w:rPr>
                <w:color w:val="000000" w:themeColor="text1"/>
              </w:rPr>
            </w:pPr>
          </w:p>
          <w:p w14:paraId="72EA11C9" w14:textId="77777777" w:rsidR="00F97573" w:rsidRPr="00286216" w:rsidRDefault="00F97573" w:rsidP="00F97573">
            <w:pPr>
              <w:pStyle w:val="StyleWisnow"/>
              <w:rPr>
                <w:color w:val="000000" w:themeColor="text1"/>
              </w:rPr>
            </w:pPr>
          </w:p>
          <w:p w14:paraId="18B9427C" w14:textId="77777777" w:rsidR="00F97573" w:rsidRPr="00286216" w:rsidRDefault="00F97573" w:rsidP="00F97573">
            <w:pPr>
              <w:pStyle w:val="StyleWisnow"/>
              <w:rPr>
                <w:color w:val="000000" w:themeColor="text1"/>
              </w:rPr>
            </w:pPr>
          </w:p>
          <w:p w14:paraId="16384945" w14:textId="77777777" w:rsidR="00F97573" w:rsidRPr="00286216" w:rsidRDefault="00F97573" w:rsidP="00F97573">
            <w:pPr>
              <w:pStyle w:val="StyleWisnow"/>
              <w:rPr>
                <w:color w:val="000000" w:themeColor="text1"/>
              </w:rPr>
            </w:pPr>
          </w:p>
          <w:p w14:paraId="085F94B7" w14:textId="77777777" w:rsidR="00F97573" w:rsidRPr="00286216" w:rsidRDefault="00F97573" w:rsidP="00F97573">
            <w:pPr>
              <w:pStyle w:val="StyleWisnow"/>
              <w:rPr>
                <w:color w:val="000000" w:themeColor="text1"/>
              </w:rPr>
            </w:pPr>
          </w:p>
          <w:p w14:paraId="55D8F03E" w14:textId="77777777" w:rsidR="00F97573" w:rsidRPr="00286216" w:rsidRDefault="00F97573" w:rsidP="00F97573">
            <w:pPr>
              <w:pStyle w:val="StyleWisnow"/>
              <w:rPr>
                <w:color w:val="000000" w:themeColor="text1"/>
              </w:rPr>
            </w:pPr>
          </w:p>
          <w:p w14:paraId="7E856A76" w14:textId="77777777" w:rsidR="00F97573" w:rsidRPr="00286216" w:rsidRDefault="00F97573" w:rsidP="00F97573">
            <w:pPr>
              <w:pStyle w:val="StyleWisnow"/>
              <w:rPr>
                <w:color w:val="000000" w:themeColor="text1"/>
              </w:rPr>
            </w:pPr>
          </w:p>
          <w:p w14:paraId="5F523F4E" w14:textId="77777777" w:rsidR="00F97573" w:rsidRPr="00286216" w:rsidRDefault="00F97573" w:rsidP="00F97573">
            <w:pPr>
              <w:pStyle w:val="StyleWisnow"/>
              <w:rPr>
                <w:color w:val="000000" w:themeColor="text1"/>
              </w:rPr>
            </w:pPr>
          </w:p>
          <w:p w14:paraId="715378B6" w14:textId="77777777" w:rsidR="00F97573" w:rsidRPr="00286216" w:rsidRDefault="00F97573" w:rsidP="00F97573">
            <w:pPr>
              <w:pStyle w:val="StyleWisnow"/>
              <w:rPr>
                <w:color w:val="000000" w:themeColor="text1"/>
              </w:rPr>
            </w:pPr>
          </w:p>
          <w:p w14:paraId="2A4AD51B" w14:textId="77777777" w:rsidR="00F97573" w:rsidRPr="00286216" w:rsidRDefault="00F97573" w:rsidP="00F97573">
            <w:pPr>
              <w:pStyle w:val="StyleWisnow"/>
              <w:rPr>
                <w:color w:val="000000" w:themeColor="text1"/>
              </w:rPr>
            </w:pPr>
          </w:p>
          <w:p w14:paraId="13DE315F" w14:textId="77777777" w:rsidR="00F97573" w:rsidRPr="00286216" w:rsidRDefault="00F97573" w:rsidP="00F97573">
            <w:pPr>
              <w:pStyle w:val="StyleWisnow"/>
              <w:rPr>
                <w:color w:val="000000" w:themeColor="text1"/>
              </w:rPr>
            </w:pPr>
          </w:p>
          <w:p w14:paraId="4E18C4B4" w14:textId="77777777" w:rsidR="00F97573" w:rsidRPr="00286216" w:rsidRDefault="00F97573" w:rsidP="00F97573">
            <w:pPr>
              <w:pStyle w:val="StyleWisnow"/>
              <w:rPr>
                <w:color w:val="000000" w:themeColor="text1"/>
              </w:rPr>
            </w:pPr>
          </w:p>
          <w:p w14:paraId="273F1A43" w14:textId="77777777" w:rsidR="00F97573" w:rsidRPr="00286216" w:rsidRDefault="00F97573" w:rsidP="00F97573">
            <w:pPr>
              <w:pStyle w:val="StyleWisnow"/>
              <w:rPr>
                <w:color w:val="000000" w:themeColor="text1"/>
              </w:rPr>
            </w:pPr>
          </w:p>
          <w:p w14:paraId="3ADF5342" w14:textId="77777777" w:rsidR="00F97573" w:rsidRPr="00286216" w:rsidRDefault="00F97573" w:rsidP="00F97573">
            <w:pPr>
              <w:pStyle w:val="StyleWisnow"/>
              <w:rPr>
                <w:color w:val="000000" w:themeColor="text1"/>
              </w:rPr>
            </w:pPr>
          </w:p>
          <w:p w14:paraId="2489D96E" w14:textId="77777777" w:rsidR="00F97573" w:rsidRPr="00286216" w:rsidRDefault="00F97573" w:rsidP="00F97573">
            <w:pPr>
              <w:pStyle w:val="StyleWisnow"/>
              <w:rPr>
                <w:color w:val="000000" w:themeColor="text1"/>
              </w:rPr>
            </w:pPr>
          </w:p>
          <w:p w14:paraId="57670B41" w14:textId="77777777" w:rsidR="00F97573" w:rsidRPr="00286216" w:rsidRDefault="00F97573" w:rsidP="00F97573">
            <w:pPr>
              <w:pStyle w:val="StyleWisnow"/>
              <w:rPr>
                <w:color w:val="000000" w:themeColor="text1"/>
              </w:rPr>
            </w:pPr>
          </w:p>
          <w:p w14:paraId="2727A298" w14:textId="77777777" w:rsidR="00F97573" w:rsidRPr="00286216" w:rsidRDefault="00F97573" w:rsidP="00F97573">
            <w:pPr>
              <w:pStyle w:val="StyleWisnow"/>
              <w:rPr>
                <w:color w:val="000000" w:themeColor="text1"/>
              </w:rPr>
            </w:pPr>
          </w:p>
          <w:p w14:paraId="36955CDD" w14:textId="77777777" w:rsidR="00F97573" w:rsidRPr="00286216" w:rsidRDefault="00F97573" w:rsidP="00F97573">
            <w:pPr>
              <w:pStyle w:val="StyleWisnow"/>
              <w:rPr>
                <w:color w:val="000000" w:themeColor="text1"/>
              </w:rPr>
            </w:pPr>
          </w:p>
          <w:p w14:paraId="1B18543E" w14:textId="77777777" w:rsidR="00F97573" w:rsidRPr="00286216" w:rsidRDefault="00F97573" w:rsidP="00F97573">
            <w:pPr>
              <w:pStyle w:val="StyleWisnow"/>
              <w:rPr>
                <w:color w:val="000000" w:themeColor="text1"/>
              </w:rPr>
            </w:pPr>
          </w:p>
          <w:p w14:paraId="0F648CB8" w14:textId="77777777" w:rsidR="00F97573" w:rsidRPr="00286216" w:rsidRDefault="00F97573" w:rsidP="00F97573">
            <w:pPr>
              <w:pStyle w:val="StyleWisnow"/>
              <w:rPr>
                <w:color w:val="000000" w:themeColor="text1"/>
              </w:rPr>
            </w:pPr>
          </w:p>
          <w:p w14:paraId="1F77192E" w14:textId="77777777" w:rsidR="00F97573" w:rsidRPr="00286216" w:rsidRDefault="00F97573" w:rsidP="00F97573">
            <w:pPr>
              <w:pStyle w:val="StyleWisnow"/>
              <w:rPr>
                <w:color w:val="000000" w:themeColor="text1"/>
              </w:rPr>
            </w:pPr>
          </w:p>
          <w:p w14:paraId="370DC53D" w14:textId="77777777" w:rsidR="00F97573" w:rsidRPr="00286216" w:rsidRDefault="00F97573" w:rsidP="00F97573">
            <w:pPr>
              <w:pStyle w:val="StyleWisnow"/>
              <w:rPr>
                <w:color w:val="000000" w:themeColor="text1"/>
              </w:rPr>
            </w:pPr>
          </w:p>
          <w:p w14:paraId="26549299" w14:textId="77777777" w:rsidR="00F97573" w:rsidRPr="00286216" w:rsidRDefault="00F97573" w:rsidP="00F97573">
            <w:pPr>
              <w:pStyle w:val="StyleWisnow"/>
              <w:rPr>
                <w:color w:val="000000" w:themeColor="text1"/>
              </w:rPr>
            </w:pPr>
          </w:p>
          <w:p w14:paraId="1588BE78" w14:textId="77777777" w:rsidR="00F97573" w:rsidRPr="00286216" w:rsidRDefault="00F97573" w:rsidP="00F97573">
            <w:pPr>
              <w:pStyle w:val="StyleWisnow"/>
              <w:rPr>
                <w:color w:val="000000" w:themeColor="text1"/>
              </w:rPr>
            </w:pPr>
          </w:p>
          <w:p w14:paraId="39FFAEA0" w14:textId="77777777" w:rsidR="00F97573" w:rsidRPr="00286216" w:rsidRDefault="00F97573" w:rsidP="00F97573">
            <w:pPr>
              <w:pStyle w:val="StyleWisnow"/>
              <w:rPr>
                <w:color w:val="000000" w:themeColor="text1"/>
              </w:rPr>
            </w:pPr>
          </w:p>
          <w:p w14:paraId="20DB1056" w14:textId="77777777" w:rsidR="00F97573" w:rsidRPr="00286216" w:rsidRDefault="00F97573" w:rsidP="00F97573">
            <w:pPr>
              <w:pStyle w:val="StyleWisnow"/>
              <w:rPr>
                <w:color w:val="000000" w:themeColor="text1"/>
              </w:rPr>
            </w:pPr>
          </w:p>
          <w:p w14:paraId="0F0E6F6A" w14:textId="77777777" w:rsidR="00F97573" w:rsidRPr="00286216" w:rsidRDefault="00F97573" w:rsidP="00F97573">
            <w:pPr>
              <w:pStyle w:val="StyleWisnow"/>
              <w:rPr>
                <w:color w:val="000000" w:themeColor="text1"/>
              </w:rPr>
            </w:pPr>
          </w:p>
          <w:p w14:paraId="37D4E384" w14:textId="77777777" w:rsidR="00F97573" w:rsidRPr="00286216" w:rsidRDefault="00F97573" w:rsidP="00F97573">
            <w:pPr>
              <w:pStyle w:val="StyleWisnow"/>
              <w:rPr>
                <w:color w:val="000000" w:themeColor="text1"/>
              </w:rPr>
            </w:pPr>
          </w:p>
          <w:p w14:paraId="7D2906A8" w14:textId="77777777" w:rsidR="00F97573" w:rsidRPr="00286216" w:rsidRDefault="00F97573" w:rsidP="00F97573">
            <w:pPr>
              <w:pStyle w:val="StyleWisnow"/>
              <w:rPr>
                <w:color w:val="000000" w:themeColor="text1"/>
              </w:rPr>
            </w:pPr>
          </w:p>
          <w:p w14:paraId="29F154B7" w14:textId="77777777" w:rsidR="00F97573" w:rsidRPr="00286216" w:rsidRDefault="00F97573" w:rsidP="00F97573">
            <w:pPr>
              <w:pStyle w:val="StyleWisnow"/>
              <w:rPr>
                <w:color w:val="000000" w:themeColor="text1"/>
              </w:rPr>
            </w:pPr>
          </w:p>
          <w:p w14:paraId="2A4BC9B9" w14:textId="77777777" w:rsidR="00F97573" w:rsidRPr="00286216" w:rsidRDefault="00F97573" w:rsidP="00F97573">
            <w:pPr>
              <w:pStyle w:val="StyleWisnow"/>
              <w:rPr>
                <w:color w:val="000000" w:themeColor="text1"/>
              </w:rPr>
            </w:pPr>
          </w:p>
          <w:p w14:paraId="38867E7F" w14:textId="77777777" w:rsidR="00F97573" w:rsidRPr="00286216" w:rsidRDefault="00F97573" w:rsidP="00F97573">
            <w:pPr>
              <w:pStyle w:val="StyleWisnow"/>
              <w:rPr>
                <w:color w:val="000000" w:themeColor="text1"/>
              </w:rPr>
            </w:pPr>
          </w:p>
          <w:p w14:paraId="1AAFA222" w14:textId="77777777" w:rsidR="00F97573" w:rsidRPr="00286216" w:rsidRDefault="00F97573" w:rsidP="00F97573">
            <w:pPr>
              <w:pStyle w:val="StyleWisnow"/>
              <w:rPr>
                <w:color w:val="000000" w:themeColor="text1"/>
              </w:rPr>
            </w:pPr>
          </w:p>
          <w:p w14:paraId="5EEBBD94" w14:textId="77777777" w:rsidR="00F97573" w:rsidRPr="00286216" w:rsidRDefault="00F97573" w:rsidP="00F97573">
            <w:pPr>
              <w:pStyle w:val="StyleWisnow"/>
              <w:rPr>
                <w:color w:val="000000" w:themeColor="text1"/>
              </w:rPr>
            </w:pPr>
          </w:p>
          <w:p w14:paraId="14D4BEB2" w14:textId="77777777" w:rsidR="00F97573" w:rsidRPr="00286216" w:rsidRDefault="00F97573" w:rsidP="00F97573">
            <w:pPr>
              <w:pStyle w:val="StyleWisnow"/>
              <w:rPr>
                <w:color w:val="000000" w:themeColor="text1"/>
              </w:rPr>
            </w:pPr>
          </w:p>
          <w:p w14:paraId="40A463AB" w14:textId="77777777" w:rsidR="00F97573" w:rsidRPr="00286216" w:rsidRDefault="00F97573" w:rsidP="00F97573">
            <w:pPr>
              <w:pStyle w:val="StyleWisnow"/>
              <w:rPr>
                <w:color w:val="000000" w:themeColor="text1"/>
              </w:rPr>
            </w:pPr>
          </w:p>
          <w:p w14:paraId="7D906904" w14:textId="77777777" w:rsidR="00F97573" w:rsidRPr="00286216" w:rsidRDefault="00F97573" w:rsidP="00F97573">
            <w:pPr>
              <w:pStyle w:val="StyleWisnow"/>
              <w:rPr>
                <w:color w:val="000000" w:themeColor="text1"/>
              </w:rPr>
            </w:pPr>
          </w:p>
          <w:p w14:paraId="2819ACC0" w14:textId="77777777" w:rsidR="00F97573" w:rsidRPr="00286216" w:rsidRDefault="00F97573" w:rsidP="00F97573">
            <w:pPr>
              <w:pStyle w:val="StyleWisnow"/>
              <w:rPr>
                <w:color w:val="000000" w:themeColor="text1"/>
              </w:rPr>
            </w:pPr>
          </w:p>
          <w:p w14:paraId="7C05039C" w14:textId="77777777" w:rsidR="00F97573" w:rsidRPr="00286216" w:rsidRDefault="00F97573" w:rsidP="00F97573">
            <w:pPr>
              <w:pStyle w:val="StyleWisnow"/>
              <w:rPr>
                <w:color w:val="000000" w:themeColor="text1"/>
              </w:rPr>
            </w:pPr>
          </w:p>
          <w:p w14:paraId="67686AE9" w14:textId="77777777" w:rsidR="00F97573" w:rsidRPr="00286216" w:rsidRDefault="00F97573" w:rsidP="00F97573">
            <w:pPr>
              <w:pStyle w:val="StyleWisnow"/>
              <w:rPr>
                <w:color w:val="000000" w:themeColor="text1"/>
              </w:rPr>
            </w:pPr>
          </w:p>
          <w:p w14:paraId="2BDA5492" w14:textId="77777777" w:rsidR="00F97573" w:rsidRPr="00286216" w:rsidRDefault="00F97573" w:rsidP="00F97573">
            <w:pPr>
              <w:pStyle w:val="StyleWisnow"/>
              <w:rPr>
                <w:color w:val="000000" w:themeColor="text1"/>
              </w:rPr>
            </w:pPr>
          </w:p>
          <w:p w14:paraId="71EB3C67" w14:textId="77777777" w:rsidR="00F97573" w:rsidRPr="00286216" w:rsidRDefault="00F97573" w:rsidP="00F97573">
            <w:pPr>
              <w:pStyle w:val="StyleWisnow"/>
              <w:rPr>
                <w:color w:val="000000" w:themeColor="text1"/>
              </w:rPr>
            </w:pPr>
          </w:p>
          <w:p w14:paraId="687933AD" w14:textId="77777777" w:rsidR="00F97573" w:rsidRPr="00286216" w:rsidRDefault="00F97573" w:rsidP="00F97573">
            <w:pPr>
              <w:pStyle w:val="StyleWisnow"/>
              <w:rPr>
                <w:color w:val="000000" w:themeColor="text1"/>
              </w:rPr>
            </w:pPr>
          </w:p>
          <w:p w14:paraId="0CC06238" w14:textId="77777777" w:rsidR="00F97573" w:rsidRPr="00286216" w:rsidRDefault="00F97573" w:rsidP="00F97573">
            <w:pPr>
              <w:pStyle w:val="StyleWisnow"/>
              <w:rPr>
                <w:color w:val="000000" w:themeColor="text1"/>
              </w:rPr>
            </w:pPr>
          </w:p>
          <w:p w14:paraId="4B84C72C" w14:textId="77777777" w:rsidR="00F97573" w:rsidRPr="00286216" w:rsidRDefault="00F97573" w:rsidP="00F97573">
            <w:pPr>
              <w:pStyle w:val="StyleWisnow"/>
              <w:rPr>
                <w:color w:val="000000" w:themeColor="text1"/>
              </w:rPr>
            </w:pPr>
          </w:p>
          <w:p w14:paraId="3FD9D21A" w14:textId="77777777" w:rsidR="00F97573" w:rsidRPr="00286216" w:rsidRDefault="00F97573" w:rsidP="00F97573">
            <w:pPr>
              <w:pStyle w:val="StyleWisnow"/>
              <w:rPr>
                <w:color w:val="000000" w:themeColor="text1"/>
              </w:rPr>
            </w:pPr>
          </w:p>
          <w:p w14:paraId="225E1799" w14:textId="77777777" w:rsidR="00F97573" w:rsidRPr="00286216" w:rsidRDefault="00F97573" w:rsidP="00F97573">
            <w:pPr>
              <w:pStyle w:val="StyleWisnow"/>
              <w:rPr>
                <w:color w:val="000000" w:themeColor="text1"/>
              </w:rPr>
            </w:pPr>
          </w:p>
          <w:p w14:paraId="0EBC0E7E" w14:textId="77777777" w:rsidR="00F97573" w:rsidRPr="00286216" w:rsidRDefault="00F97573" w:rsidP="00F97573">
            <w:pPr>
              <w:pStyle w:val="StyleWisnow"/>
              <w:rPr>
                <w:color w:val="000000" w:themeColor="text1"/>
              </w:rPr>
            </w:pPr>
          </w:p>
          <w:p w14:paraId="5F84BD4E" w14:textId="77777777" w:rsidR="00F97573" w:rsidRPr="00286216" w:rsidRDefault="00F97573" w:rsidP="00F97573">
            <w:pPr>
              <w:pStyle w:val="StyleWisnow"/>
              <w:rPr>
                <w:color w:val="000000" w:themeColor="text1"/>
              </w:rPr>
            </w:pPr>
          </w:p>
          <w:p w14:paraId="025F48C2" w14:textId="77777777" w:rsidR="00F97573" w:rsidRPr="00286216" w:rsidRDefault="00F97573" w:rsidP="00F97573">
            <w:pPr>
              <w:pStyle w:val="StyleWisnow"/>
              <w:rPr>
                <w:color w:val="000000" w:themeColor="text1"/>
              </w:rPr>
            </w:pPr>
          </w:p>
          <w:p w14:paraId="1C76F1C7" w14:textId="77777777" w:rsidR="00F97573" w:rsidRPr="00286216" w:rsidRDefault="00F97573" w:rsidP="00F97573">
            <w:pPr>
              <w:pStyle w:val="StyleWisnow"/>
              <w:rPr>
                <w:color w:val="000000" w:themeColor="text1"/>
              </w:rPr>
            </w:pPr>
          </w:p>
          <w:p w14:paraId="1A2614B9" w14:textId="77777777" w:rsidR="00F97573" w:rsidRPr="00286216" w:rsidRDefault="00F97573" w:rsidP="00F97573">
            <w:pPr>
              <w:pStyle w:val="StyleWisnow"/>
              <w:rPr>
                <w:color w:val="000000" w:themeColor="text1"/>
              </w:rPr>
            </w:pPr>
          </w:p>
          <w:p w14:paraId="41F5B4E1" w14:textId="77777777" w:rsidR="00F97573" w:rsidRPr="00286216" w:rsidRDefault="00F97573" w:rsidP="00F97573">
            <w:pPr>
              <w:pStyle w:val="StyleWisnow"/>
              <w:rPr>
                <w:color w:val="000000" w:themeColor="text1"/>
              </w:rPr>
            </w:pPr>
          </w:p>
          <w:p w14:paraId="6025A327" w14:textId="7A5E545E" w:rsidR="00F97573" w:rsidRPr="00286216" w:rsidRDefault="00F97573" w:rsidP="00F97573">
            <w:pPr>
              <w:pStyle w:val="StyleWisnow"/>
              <w:rPr>
                <w:color w:val="000000" w:themeColor="text1"/>
              </w:rPr>
            </w:pPr>
          </w:p>
          <w:p w14:paraId="0FD7945C" w14:textId="6EF3D5F5" w:rsidR="00F97573" w:rsidRDefault="00F97573" w:rsidP="00F97573">
            <w:pPr>
              <w:pStyle w:val="StyleWisnow"/>
              <w:rPr>
                <w:color w:val="000000" w:themeColor="text1"/>
              </w:rPr>
            </w:pPr>
          </w:p>
          <w:p w14:paraId="1B641BA8" w14:textId="77777777" w:rsidR="00E71C29" w:rsidRPr="00286216" w:rsidRDefault="00E71C29" w:rsidP="00F97573">
            <w:pPr>
              <w:pStyle w:val="StyleWisnow"/>
              <w:rPr>
                <w:color w:val="000000" w:themeColor="text1"/>
              </w:rPr>
            </w:pPr>
          </w:p>
          <w:p w14:paraId="6C5B259F" w14:textId="77777777" w:rsidR="00F97573" w:rsidRPr="00286216" w:rsidRDefault="00F97573" w:rsidP="00F97573">
            <w:pPr>
              <w:pStyle w:val="StyleWisnow"/>
              <w:rPr>
                <w:color w:val="000000" w:themeColor="text1"/>
              </w:rPr>
            </w:pPr>
            <w:r w:rsidRPr="00286216">
              <w:rPr>
                <w:color w:val="000000" w:themeColor="text1"/>
              </w:rPr>
              <w:t>Враховано</w:t>
            </w:r>
          </w:p>
          <w:p w14:paraId="7FBF250B" w14:textId="1660F0EC" w:rsidR="00F97573" w:rsidRPr="00286216" w:rsidRDefault="00F97573" w:rsidP="00F97573">
            <w:pPr>
              <w:pStyle w:val="StyleWisnow"/>
              <w:spacing w:line="180" w:lineRule="exact"/>
              <w:rPr>
                <w:color w:val="000000" w:themeColor="text1"/>
              </w:rPr>
            </w:pPr>
            <w:r w:rsidRPr="00286216">
              <w:rPr>
                <w:color w:val="000000" w:themeColor="text1"/>
              </w:rPr>
              <w:t xml:space="preserve">відповідно до доручення Комітету щодо техніко-юридичного доопрацювання редакції законопроекту з метою узгодження положень статті щодо ліцензування з </w:t>
            </w:r>
          </w:p>
          <w:p w14:paraId="165929AF" w14:textId="77777777" w:rsidR="00F97573" w:rsidRPr="00286216" w:rsidRDefault="00F97573" w:rsidP="00F97573">
            <w:pPr>
              <w:pStyle w:val="StyleWisnow"/>
              <w:rPr>
                <w:color w:val="000000" w:themeColor="text1"/>
              </w:rPr>
            </w:pPr>
          </w:p>
        </w:tc>
        <w:tc>
          <w:tcPr>
            <w:tcW w:w="4818" w:type="dxa"/>
          </w:tcPr>
          <w:p w14:paraId="609AC9A4" w14:textId="77777777" w:rsidR="00F97573" w:rsidRPr="00286216" w:rsidRDefault="00F97573" w:rsidP="00F97573">
            <w:pPr>
              <w:pStyle w:val="StyleZakonu"/>
              <w:spacing w:line="218" w:lineRule="exact"/>
              <w:rPr>
                <w:color w:val="000000" w:themeColor="text1"/>
              </w:rPr>
            </w:pPr>
            <w:r w:rsidRPr="00286216">
              <w:rPr>
                <w:color w:val="000000" w:themeColor="text1"/>
              </w:rPr>
              <w:lastRenderedPageBreak/>
              <w:t>1. Юридична особа набуває статусу професійного учасника ринків капіталу та організованих товарних ринків і права на провадження певного виду професійної діяльності на ринках капіталу та організованих товарних ринках виключно після отримання відповідної ліцензії.</w:t>
            </w:r>
          </w:p>
          <w:p w14:paraId="2D3685E7" w14:textId="77777777" w:rsidR="00F97573" w:rsidRPr="00286216" w:rsidRDefault="00F97573" w:rsidP="00F97573">
            <w:pPr>
              <w:pStyle w:val="StyleZakonu"/>
              <w:spacing w:line="218" w:lineRule="exact"/>
              <w:rPr>
                <w:color w:val="000000" w:themeColor="text1"/>
                <w:spacing w:val="-5"/>
              </w:rPr>
            </w:pPr>
            <w:r w:rsidRPr="00286216">
              <w:rPr>
                <w:color w:val="000000" w:themeColor="text1"/>
                <w:spacing w:val="-5"/>
              </w:rPr>
              <w:t>Національна комісія з цінних паперів та фондового ринку вносить інформацію про отримання ліцензії на провадження відповідного виду діяльності на ринках капіталу та організованих товарних ринках до реєстру професійних учасників ринків капіталу та організованих товарних ринків.</w:t>
            </w:r>
          </w:p>
          <w:p w14:paraId="1FBBB9EC"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Провадження професійної діяльності на ринках </w:t>
            </w:r>
            <w:r w:rsidRPr="00286216">
              <w:rPr>
                <w:color w:val="000000" w:themeColor="text1"/>
              </w:rPr>
              <w:lastRenderedPageBreak/>
              <w:t>капіталу та організованих товарних ринках без отримання зазначеної ліцензії забороняється, крім здійснення такої діяльності:</w:t>
            </w:r>
          </w:p>
          <w:p w14:paraId="7FD865C0" w14:textId="77777777" w:rsidR="00F97573" w:rsidRPr="00286216" w:rsidRDefault="00F97573" w:rsidP="00F97573">
            <w:pPr>
              <w:pStyle w:val="StyleZakonu"/>
              <w:spacing w:line="218" w:lineRule="exact"/>
              <w:rPr>
                <w:color w:val="000000" w:themeColor="text1"/>
                <w:spacing w:val="-4"/>
              </w:rPr>
            </w:pPr>
            <w:r w:rsidRPr="00286216">
              <w:rPr>
                <w:color w:val="000000" w:themeColor="text1"/>
                <w:spacing w:val="-4"/>
              </w:rPr>
              <w:t xml:space="preserve">1) особами, які провадять діяльність, передбачену частиною шістнадцятою статті 44 цього Закону; </w:t>
            </w:r>
          </w:p>
          <w:p w14:paraId="2BC480D8" w14:textId="77777777" w:rsidR="00F97573" w:rsidRPr="00286216" w:rsidRDefault="00F97573" w:rsidP="00F97573">
            <w:pPr>
              <w:pStyle w:val="StyleZakonu"/>
              <w:spacing w:line="218" w:lineRule="exact"/>
              <w:rPr>
                <w:color w:val="000000" w:themeColor="text1"/>
                <w:spacing w:val="-4"/>
              </w:rPr>
            </w:pPr>
            <w:r w:rsidRPr="00286216">
              <w:rPr>
                <w:color w:val="000000" w:themeColor="text1"/>
                <w:spacing w:val="-4"/>
              </w:rPr>
              <w:t>2) Центральним депозитарієм цінних паперів під час провадження ним депозитарної діяльності Центрального депозитарію цінних паперів;</w:t>
            </w:r>
          </w:p>
          <w:p w14:paraId="2C8FAF51" w14:textId="77777777" w:rsidR="00F97573" w:rsidRPr="00286216" w:rsidRDefault="00F97573" w:rsidP="00F97573">
            <w:pPr>
              <w:pStyle w:val="StyleZakonu"/>
              <w:spacing w:line="218" w:lineRule="exact"/>
              <w:rPr>
                <w:color w:val="000000" w:themeColor="text1"/>
                <w:spacing w:val="-4"/>
              </w:rPr>
            </w:pPr>
            <w:r w:rsidRPr="00286216">
              <w:rPr>
                <w:color w:val="000000" w:themeColor="text1"/>
                <w:spacing w:val="-4"/>
              </w:rPr>
              <w:t xml:space="preserve">3) Національним банком України під час провадження ним діяльності або клірингової діяльності у встановлених законом випадках. </w:t>
            </w:r>
          </w:p>
          <w:p w14:paraId="1F458FE4" w14:textId="77777777" w:rsidR="00F97573" w:rsidRPr="00286216" w:rsidRDefault="00F97573" w:rsidP="00F97573">
            <w:pPr>
              <w:pStyle w:val="StyleZakonu"/>
              <w:spacing w:line="218" w:lineRule="exact"/>
              <w:rPr>
                <w:color w:val="000000" w:themeColor="text1"/>
                <w:spacing w:val="-4"/>
              </w:rPr>
            </w:pPr>
            <w:r w:rsidRPr="00286216">
              <w:rPr>
                <w:color w:val="000000" w:themeColor="text1"/>
                <w:spacing w:val="-4"/>
              </w:rPr>
              <w:t>Особи, винні у порушенні вимог, зазначених в абзаці першому цієї частини, несуть цивільно-правову, адміністративну або кримінальну відповідальність згідно із законом.</w:t>
            </w:r>
          </w:p>
          <w:p w14:paraId="4AADF305" w14:textId="77777777" w:rsidR="00F97573" w:rsidRPr="00286216" w:rsidRDefault="00F97573" w:rsidP="00F97573">
            <w:pPr>
              <w:pStyle w:val="StyleZakonu"/>
              <w:spacing w:line="218" w:lineRule="exact"/>
              <w:rPr>
                <w:color w:val="000000" w:themeColor="text1"/>
              </w:rPr>
            </w:pPr>
            <w:r w:rsidRPr="00286216">
              <w:rPr>
                <w:color w:val="000000" w:themeColor="text1"/>
              </w:rPr>
              <w:t>2. Юридична особа, яка має намір провадити професійну діяльність на ринках капіталу та організованих товарних ринках (далі – заявник), для отримання ліцензії на провадження відповідного виду</w:t>
            </w:r>
            <w:r w:rsidRPr="00286216" w:rsidDel="005C4E67">
              <w:rPr>
                <w:color w:val="000000" w:themeColor="text1"/>
              </w:rPr>
              <w:t xml:space="preserve"> </w:t>
            </w:r>
            <w:r w:rsidRPr="00286216">
              <w:rPr>
                <w:color w:val="000000" w:themeColor="text1"/>
              </w:rPr>
              <w:t xml:space="preserve">діяльності подає до Національної комісії з цінних паперів та фондового ринку заяву про видачу ліцензії за формою і в порядку, встановленими Національною комісією з цінних паперів та фондового ринку, разом з документами, що додаються відповідно до вимог, цього Закону. </w:t>
            </w:r>
          </w:p>
          <w:p w14:paraId="0E50F4D1" w14:textId="77777777" w:rsidR="00F97573" w:rsidRPr="00286216" w:rsidRDefault="00F97573" w:rsidP="00F97573">
            <w:pPr>
              <w:pStyle w:val="StyleZakonu"/>
              <w:spacing w:line="218" w:lineRule="exact"/>
              <w:rPr>
                <w:color w:val="000000" w:themeColor="text1"/>
              </w:rPr>
            </w:pPr>
            <w:r w:rsidRPr="00286216">
              <w:rPr>
                <w:color w:val="000000" w:themeColor="text1"/>
              </w:rPr>
              <w:t>3. Заява про видачу ліцензії повинна містити інформацію про:</w:t>
            </w:r>
          </w:p>
          <w:p w14:paraId="52CC9BEA" w14:textId="77777777" w:rsidR="00F97573" w:rsidRPr="00286216" w:rsidRDefault="00F97573" w:rsidP="00F97573">
            <w:pPr>
              <w:pStyle w:val="StyleZakonu"/>
              <w:spacing w:line="218" w:lineRule="exact"/>
              <w:rPr>
                <w:color w:val="000000" w:themeColor="text1"/>
              </w:rPr>
            </w:pPr>
            <w:r w:rsidRPr="00286216">
              <w:rPr>
                <w:color w:val="000000" w:themeColor="text1"/>
              </w:rPr>
              <w:t>1) заявника: повне найменування (у розумінні Цивільного кодексу України), ідентифікаційний код юридичної особи, код LEI (за наявності), місцезнаходження, поштову адресу, номери засобів зв’язку, адресу електронної пошти для офіційного каналу зв’язку;</w:t>
            </w:r>
          </w:p>
          <w:p w14:paraId="0E863D5F" w14:textId="77777777" w:rsidR="00F97573" w:rsidRPr="00286216" w:rsidRDefault="00F97573" w:rsidP="00F97573">
            <w:pPr>
              <w:pStyle w:val="StyleZakonu"/>
              <w:spacing w:line="218" w:lineRule="exact"/>
              <w:rPr>
                <w:color w:val="000000" w:themeColor="text1"/>
              </w:rPr>
            </w:pPr>
            <w:r w:rsidRPr="00286216">
              <w:rPr>
                <w:color w:val="000000" w:themeColor="text1"/>
              </w:rPr>
              <w:t>2) вид професійної діяльності на ринках капіталу та організованих товарних ринках, зазначений у статті 41 цього Закону, із зазначенням виду (видів) діяльності в межах такого виду професійної діяльності, на провадження якого (яких) заявник має намір одержати ліцензію;</w:t>
            </w:r>
          </w:p>
          <w:p w14:paraId="4EED256D" w14:textId="77777777" w:rsidR="00F97573" w:rsidRPr="00286216" w:rsidRDefault="00F97573" w:rsidP="00F97573">
            <w:pPr>
              <w:pStyle w:val="StyleZakonu"/>
              <w:rPr>
                <w:color w:val="000000" w:themeColor="text1"/>
              </w:rPr>
            </w:pPr>
            <w:r w:rsidRPr="00286216">
              <w:rPr>
                <w:color w:val="000000" w:themeColor="text1"/>
              </w:rPr>
              <w:t xml:space="preserve">3) реквізити подання саморегулівної організації за відповідним видом професійної діяльності (за умови реєстрації Національною комісією з цінних паперів та фондового ринку об’єднання професійних учасників </w:t>
            </w:r>
            <w:r w:rsidRPr="00286216">
              <w:rPr>
                <w:color w:val="000000" w:themeColor="text1"/>
              </w:rPr>
              <w:lastRenderedPageBreak/>
              <w:t>ринків капіталу як саморегулівної організації за відповідним видом професійної діяльності).</w:t>
            </w:r>
          </w:p>
          <w:p w14:paraId="7AC19E1C" w14:textId="77777777" w:rsidR="00F97573" w:rsidRPr="00286216" w:rsidRDefault="00F97573" w:rsidP="00F97573">
            <w:pPr>
              <w:pStyle w:val="StyleZakonu"/>
              <w:rPr>
                <w:color w:val="000000" w:themeColor="text1"/>
              </w:rPr>
            </w:pPr>
            <w:r w:rsidRPr="00286216">
              <w:rPr>
                <w:color w:val="000000" w:themeColor="text1"/>
              </w:rPr>
              <w:t>Заява про видачу ліцензії може містити декілька видів професійної діяльності, на провадження яких заявник має намір одержати ліцензію, за умови що поєднання видів професійної діяльності, зазначених у заяві, дозволено цим Законом.</w:t>
            </w:r>
          </w:p>
          <w:p w14:paraId="70DB9E5E" w14:textId="77777777" w:rsidR="00F97573" w:rsidRPr="00286216" w:rsidRDefault="00F97573" w:rsidP="00F97573">
            <w:pPr>
              <w:pStyle w:val="StyleZakonu"/>
              <w:spacing w:line="218" w:lineRule="exact"/>
              <w:rPr>
                <w:color w:val="000000" w:themeColor="text1"/>
              </w:rPr>
            </w:pPr>
            <w:r w:rsidRPr="00286216">
              <w:rPr>
                <w:color w:val="000000" w:themeColor="text1"/>
              </w:rPr>
              <w:t>Заява про видачу ліцензії на провадження відповідного виду (видів) діяльності в межах професійної діяльності з торгівлі фінансовими інструментами може містити</w:t>
            </w:r>
            <w:r w:rsidRPr="00286216" w:rsidDel="00AB30B3">
              <w:rPr>
                <w:color w:val="000000" w:themeColor="text1"/>
              </w:rPr>
              <w:t xml:space="preserve"> </w:t>
            </w:r>
            <w:r w:rsidRPr="00286216">
              <w:rPr>
                <w:color w:val="000000" w:themeColor="text1"/>
              </w:rPr>
              <w:t>перелік додаткових послуг, передбачених частиною другою статті 44 цього Закону, які має намір надавати заявник за умови отримання ліцензії, інформацію про наявність філій та/або намір укласти агентський договір відповідно до вимог цього Закону, твердження про наявність/відсутність наміру отримувати на власний рахунок і розпоряджатися коштами та фінансовими інструментами клієнтів.</w:t>
            </w:r>
          </w:p>
          <w:p w14:paraId="34576247" w14:textId="77777777" w:rsidR="00F97573" w:rsidRPr="00286216" w:rsidRDefault="00F97573" w:rsidP="00F97573">
            <w:pPr>
              <w:pStyle w:val="StyleZakonu"/>
              <w:spacing w:line="218" w:lineRule="exact"/>
              <w:rPr>
                <w:color w:val="000000" w:themeColor="text1"/>
              </w:rPr>
            </w:pPr>
            <w:r w:rsidRPr="00286216">
              <w:rPr>
                <w:color w:val="000000" w:themeColor="text1"/>
              </w:rPr>
              <w:t>4. До заяви про видачу ліцензії (крім заяви про видачу ліцензії на провадження відповідного виду діяльності в межах професійної діяльності з торгівлі фінансовими інструментами, ліцензії на провадження професійної діяльності з організації торгівлі фінансовими інструментами – діяльності з організації торгівлі на БТМ та ліцензії на провадження професійної діяльності з організації торгівлі фінансовими інструментами – діяльності з організації торгівлі на ОТМ) додаються:</w:t>
            </w:r>
          </w:p>
          <w:p w14:paraId="17620773" w14:textId="77777777" w:rsidR="00F97573" w:rsidRPr="00286216" w:rsidRDefault="00F97573" w:rsidP="00F97573">
            <w:pPr>
              <w:pStyle w:val="StyleZakonu"/>
              <w:spacing w:line="218" w:lineRule="exact"/>
              <w:rPr>
                <w:color w:val="000000" w:themeColor="text1"/>
              </w:rPr>
            </w:pPr>
            <w:r w:rsidRPr="00286216">
              <w:rPr>
                <w:color w:val="000000" w:themeColor="text1"/>
              </w:rPr>
              <w:t>1) копія статуту заявника, засвідчена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у Єдиному державному реєстрі юридичних осіб, фізичних осіб – підприємців та громадських формувань;</w:t>
            </w:r>
          </w:p>
          <w:p w14:paraId="26C48F76" w14:textId="77777777" w:rsidR="00F97573" w:rsidRPr="00286216" w:rsidRDefault="00F97573" w:rsidP="00F97573">
            <w:pPr>
              <w:pStyle w:val="StyleZakonu"/>
              <w:spacing w:line="218" w:lineRule="exact"/>
              <w:rPr>
                <w:color w:val="000000" w:themeColor="text1"/>
              </w:rPr>
            </w:pPr>
            <w:r w:rsidRPr="00286216">
              <w:rPr>
                <w:color w:val="000000" w:themeColor="text1"/>
              </w:rPr>
              <w:t>2) відомості за формою, визначеною Національною комісією з цінних паперів та фондового ринку, що містять інформацію про:</w:t>
            </w:r>
          </w:p>
          <w:p w14:paraId="5DC05CAF" w14:textId="77777777" w:rsidR="00F97573" w:rsidRPr="00286216" w:rsidRDefault="00F97573" w:rsidP="00F97573">
            <w:pPr>
              <w:pStyle w:val="StyleZakonu"/>
              <w:spacing w:line="218" w:lineRule="exact"/>
              <w:rPr>
                <w:color w:val="000000" w:themeColor="text1"/>
              </w:rPr>
            </w:pPr>
            <w:r w:rsidRPr="00286216">
              <w:rPr>
                <w:color w:val="000000" w:themeColor="text1"/>
              </w:rPr>
              <w:t>а) схематичне зображення структури власності юридичної особи заявника, що дає змогу встановити кінцевих бенефіціарних власників заявника або їх відсутність;</w:t>
            </w:r>
          </w:p>
          <w:p w14:paraId="37B095F8"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б) власників істотної участі у заявнику: </w:t>
            </w:r>
            <w:r w:rsidRPr="00286216">
              <w:rPr>
                <w:color w:val="000000" w:themeColor="text1"/>
              </w:rPr>
              <w:lastRenderedPageBreak/>
              <w:t xml:space="preserve">ідентифікаційні дані таких осіб, відсоток статутного капіталу чи права голосу, яким володіє кожний такий учасник (акціонер) у заявнику; </w:t>
            </w:r>
          </w:p>
          <w:p w14:paraId="0C761042"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в) у разі якщо заявник належить до фінансової групи – інформацію про належність групи до банківської або небанківської фінансової групи, державний орган, що здійснює нагляд за групою, перелік учасників фінансової групи та ідентифікаційні дані відповідальної особи фінансової групи; </w:t>
            </w:r>
          </w:p>
          <w:p w14:paraId="285A5A31" w14:textId="77777777" w:rsidR="00F97573" w:rsidRPr="00286216" w:rsidRDefault="00F97573" w:rsidP="00F97573">
            <w:pPr>
              <w:pStyle w:val="StyleZakonu"/>
              <w:spacing w:line="218" w:lineRule="exact"/>
              <w:rPr>
                <w:color w:val="000000" w:themeColor="text1"/>
              </w:rPr>
            </w:pPr>
            <w:r w:rsidRPr="00286216">
              <w:rPr>
                <w:color w:val="000000" w:themeColor="text1"/>
              </w:rPr>
              <w:t>г) ідентифікаційні дані, ділову репутацію та професійний досвід голови та членів колегіального виконавчого органу (особи, яка здійснює повноваження  одноосібного виконавчого органу), голови та членів  наглядової ради (або іншого органу</w:t>
            </w:r>
            <w:r w:rsidRPr="00286216">
              <w:rPr>
                <w:color w:val="000000" w:themeColor="text1"/>
                <w:szCs w:val="18"/>
              </w:rPr>
              <w:t>, відповідального за здійснення нагляду</w:t>
            </w:r>
            <w:r w:rsidRPr="00286216">
              <w:rPr>
                <w:color w:val="000000" w:themeColor="text1"/>
              </w:rPr>
              <w:t>) заявника, ділову репутацію заявника;</w:t>
            </w:r>
          </w:p>
          <w:p w14:paraId="2D42D5B4" w14:textId="77777777" w:rsidR="00F97573" w:rsidRPr="00286216" w:rsidRDefault="00F97573" w:rsidP="00F97573">
            <w:pPr>
              <w:pStyle w:val="StyleZakonu"/>
              <w:spacing w:line="218" w:lineRule="exact"/>
              <w:rPr>
                <w:color w:val="000000" w:themeColor="text1"/>
              </w:rPr>
            </w:pPr>
            <w:r w:rsidRPr="00286216">
              <w:rPr>
                <w:color w:val="000000" w:themeColor="text1"/>
              </w:rPr>
              <w:t>ґ) ідентифікаційні дані, ділову репутацію та професійний досвід контролерів заявника (у разі, якщо контролером є юридична особа – голови та членів колегіального виконавчого органу (особи, яка здійснює повноваження одноосібного виконавчого органу), голови та членів  наглядової ради (або іншого органу</w:t>
            </w:r>
            <w:r w:rsidRPr="00286216">
              <w:rPr>
                <w:color w:val="000000" w:themeColor="text1"/>
                <w:szCs w:val="18"/>
              </w:rPr>
              <w:t>, відповідального за здійснення нагляду</w:t>
            </w:r>
            <w:r w:rsidRPr="00286216">
              <w:rPr>
                <w:color w:val="000000" w:themeColor="text1"/>
              </w:rPr>
              <w:t>) такої юридичної особи);</w:t>
            </w:r>
          </w:p>
          <w:p w14:paraId="780D344D"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д) початковий капітал заявника та джерела його походження; </w:t>
            </w:r>
          </w:p>
          <w:p w14:paraId="2D9C6CFA" w14:textId="77777777" w:rsidR="00F97573" w:rsidRPr="00286216" w:rsidRDefault="00F97573" w:rsidP="00F97573">
            <w:pPr>
              <w:pStyle w:val="StyleZakonu"/>
              <w:spacing w:line="218" w:lineRule="exact"/>
              <w:rPr>
                <w:color w:val="000000" w:themeColor="text1"/>
              </w:rPr>
            </w:pPr>
            <w:r w:rsidRPr="00286216">
              <w:rPr>
                <w:color w:val="000000" w:themeColor="text1"/>
              </w:rPr>
              <w:t>3) річна та проміжна фінансова звітність, наявна станом на останній день кварталу, що передує даті подання заяви, щодо якої суб’єктом аудиторської діяльності, який відповідає вимогам, встановленим законодавством, в аудиторському звіті висловлено незалежну думку про відповідність в усіх суттєвих аспектах вимогам міжнародних стандартів фінансової звітності. Заявник, державна реєстрація якого як юридичної особи була проведена у кварталі, в якому подається заява про видачу ліцензії, документи, передбачені цим пунктом, не подає;</w:t>
            </w:r>
          </w:p>
          <w:p w14:paraId="650D8829" w14:textId="77777777" w:rsidR="00F97573" w:rsidRPr="00286216" w:rsidRDefault="00F97573" w:rsidP="00F97573">
            <w:pPr>
              <w:pStyle w:val="StyleZakonu"/>
              <w:spacing w:line="218" w:lineRule="exact"/>
              <w:rPr>
                <w:color w:val="000000" w:themeColor="text1"/>
              </w:rPr>
            </w:pPr>
            <w:r w:rsidRPr="00286216">
              <w:rPr>
                <w:color w:val="000000" w:themeColor="text1"/>
              </w:rPr>
              <w:t>4) документи, що підтверджують здатність власника істотної участі у заявнику виконати обов’язок, передбачений частиною девʼятнадцятою статті 74 цього Закону. Перелік таких документів визначається заявником самостійно;</w:t>
            </w:r>
          </w:p>
          <w:p w14:paraId="532D88D3"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5) відомості за формою, визначеною </w:t>
            </w:r>
            <w:r w:rsidRPr="00286216">
              <w:rPr>
                <w:color w:val="000000" w:themeColor="text1"/>
              </w:rPr>
              <w:lastRenderedPageBreak/>
              <w:t>Національною комісією з цінних паперів та фондового ринку, про наявність у заявника організаційної структури, системи внутрішнього контролю (підсистеми комплаєнсу, управління ризиками та внутрішнього аудиту), спеціалістів, обладнання, комп’ютерної техніки, програмного забезпечення та приміщень, системи та засобів, що забезпечують безперервність і постійність надання послуг, які у своїй сукупності є достатніми для забезпечення провадження відповідного виду професійної діяльності на ринках капіталу та організованих товарних ринках згідно з вимогами законодавства;</w:t>
            </w:r>
          </w:p>
          <w:p w14:paraId="14E6F121" w14:textId="77777777" w:rsidR="00F97573" w:rsidRPr="00286216" w:rsidRDefault="00F97573" w:rsidP="00F97573">
            <w:pPr>
              <w:pStyle w:val="StyleZakonu"/>
              <w:spacing w:line="218" w:lineRule="exact"/>
              <w:rPr>
                <w:color w:val="000000" w:themeColor="text1"/>
              </w:rPr>
            </w:pPr>
            <w:r w:rsidRPr="00286216">
              <w:rPr>
                <w:color w:val="000000" w:themeColor="text1"/>
              </w:rPr>
              <w:t>6) внутрішні документи, що регламентують запобігання виникненню та врегулювання конфлікту інтересів, що виникає під час провадження професійної діяльності на ринках капіталу та організованих товарних ринках, а також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7ABD36BB" w14:textId="77777777" w:rsidR="00F97573" w:rsidRPr="00286216" w:rsidRDefault="00F97573" w:rsidP="00F97573">
            <w:pPr>
              <w:pStyle w:val="StyleZakonu"/>
              <w:spacing w:line="218" w:lineRule="exact"/>
              <w:rPr>
                <w:color w:val="000000" w:themeColor="text1"/>
              </w:rPr>
            </w:pPr>
            <w:r w:rsidRPr="00286216">
              <w:rPr>
                <w:color w:val="000000" w:themeColor="text1"/>
              </w:rPr>
              <w:t>7) внутрішні документи заявника, що регламентують провадження відповідного виду професійної діяльності;</w:t>
            </w:r>
          </w:p>
          <w:p w14:paraId="47E9A988" w14:textId="77777777" w:rsidR="00F97573" w:rsidRPr="00286216" w:rsidRDefault="00F97573" w:rsidP="00F97573">
            <w:pPr>
              <w:pStyle w:val="StyleZakonu"/>
              <w:spacing w:line="218" w:lineRule="exact"/>
              <w:rPr>
                <w:color w:val="000000" w:themeColor="text1"/>
              </w:rPr>
            </w:pPr>
            <w:r w:rsidRPr="00286216">
              <w:rPr>
                <w:color w:val="000000" w:themeColor="text1"/>
              </w:rPr>
              <w:t>8) копія платіжного документа, що підтверджує внесення плати за видачу ліцензії.</w:t>
            </w:r>
          </w:p>
          <w:p w14:paraId="6A199B26" w14:textId="77777777" w:rsidR="00F97573" w:rsidRPr="00286216" w:rsidRDefault="00F97573" w:rsidP="00F97573">
            <w:pPr>
              <w:pStyle w:val="StyleZakonu"/>
              <w:spacing w:line="218" w:lineRule="exact"/>
              <w:rPr>
                <w:color w:val="000000" w:themeColor="text1"/>
              </w:rPr>
            </w:pPr>
            <w:r w:rsidRPr="00286216">
              <w:rPr>
                <w:color w:val="000000" w:themeColor="text1"/>
              </w:rPr>
              <w:t>5. Юридична особа до заяви про видачу ліцензії на провадження відповідного виду діяльності в межах професійної діяльності з торгівлі фінансовими інструментами, подану відповідно до частини третьої цієї статті, додає в довільній формі, якщо інше не передбачено цією частиною:</w:t>
            </w:r>
          </w:p>
          <w:p w14:paraId="7361EB5A" w14:textId="77777777" w:rsidR="00F97573" w:rsidRPr="00286216" w:rsidRDefault="00F97573" w:rsidP="00F97573">
            <w:pPr>
              <w:pStyle w:val="StyleZakonu"/>
              <w:spacing w:line="218" w:lineRule="exact"/>
              <w:rPr>
                <w:color w:val="000000" w:themeColor="text1"/>
              </w:rPr>
            </w:pPr>
            <w:r w:rsidRPr="00286216">
              <w:rPr>
                <w:color w:val="000000" w:themeColor="text1"/>
              </w:rPr>
              <w:t>1) копію статуту заявника, засвідчену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в Єдиному державному реєстрі юридичних осіб, фізичних осіб – підприємців та громадських формувань;</w:t>
            </w:r>
          </w:p>
          <w:p w14:paraId="0E8EC0C7"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2) відомості за формою, встановленою Національною комісією з цінних паперів та фондового ринку, що містять інформацію про структуру власності юридичної особи та власників </w:t>
            </w:r>
            <w:r w:rsidRPr="00286216">
              <w:rPr>
                <w:color w:val="000000" w:themeColor="text1"/>
              </w:rPr>
              <w:lastRenderedPageBreak/>
              <w:t>істотної участі в заявнику:</w:t>
            </w:r>
          </w:p>
          <w:p w14:paraId="1586471F" w14:textId="77777777" w:rsidR="00F97573" w:rsidRPr="00286216" w:rsidRDefault="00F97573" w:rsidP="00F97573">
            <w:pPr>
              <w:pStyle w:val="StyleZakonu"/>
              <w:spacing w:line="218" w:lineRule="exact"/>
              <w:rPr>
                <w:color w:val="000000" w:themeColor="text1"/>
              </w:rPr>
            </w:pPr>
            <w:r w:rsidRPr="00286216">
              <w:rPr>
                <w:color w:val="000000" w:themeColor="text1"/>
              </w:rPr>
              <w:t>а) перелік осіб, які є власниками істотної участі у заявнику, із зазначенням відсотка статутного капіталу чи права голосу, яким володіє кожний такий учасник (акціонер), ідентифікаційних даних таких осіб, відсотка статутного капіталу чи права голосу, яким володіє кожний такий учасник (акціонер) у заявнику, а щодо осіб, які опосередковано володіють 10 і більше відсотками статутного (складеного) капіталу або права голосу придбаних акцій (часток) заявника, - також ідентифікаційні дані осіб, через яких забезпечується таке опосередковане володіння;</w:t>
            </w:r>
          </w:p>
          <w:p w14:paraId="5B6325E9" w14:textId="77777777" w:rsidR="00F97573" w:rsidRPr="00286216" w:rsidRDefault="00F97573" w:rsidP="00F97573">
            <w:pPr>
              <w:pStyle w:val="StyleZakonu"/>
              <w:spacing w:line="218" w:lineRule="exact"/>
              <w:rPr>
                <w:color w:val="000000" w:themeColor="text1"/>
              </w:rPr>
            </w:pPr>
            <w:r w:rsidRPr="00286216">
              <w:rPr>
                <w:color w:val="000000" w:themeColor="text1"/>
              </w:rPr>
              <w:t>б) документи, передбачені пунктами 2 - 17 частини дев’ятої статті 74 цього Закону, щодо власників істотної участі, які є юридичними особами, і документи, передбачені пунктами 2 – 11 частини десятої статті 74 цього Закону, щодо фізичних осіб – власників істотної участі у заявнику, а також голови та членів колегіального виконавчого органу (особи, яка здійснює повноваження одноосібного виконавчого органу) юридичної особи, яка є власником істотної участі у заявнику;</w:t>
            </w:r>
          </w:p>
          <w:p w14:paraId="05B23796" w14:textId="77777777" w:rsidR="00F97573" w:rsidRPr="00286216" w:rsidRDefault="00F97573" w:rsidP="00F97573">
            <w:pPr>
              <w:pStyle w:val="StyleZakonu"/>
              <w:spacing w:line="218" w:lineRule="exact"/>
              <w:rPr>
                <w:color w:val="000000" w:themeColor="text1"/>
              </w:rPr>
            </w:pPr>
            <w:r w:rsidRPr="00286216">
              <w:rPr>
                <w:color w:val="000000" w:themeColor="text1"/>
              </w:rPr>
              <w:t>в) довідку про структуру власності юридичної особи заявника, що дає змогу встановити кінцевих бенефіціарних власників заявника або їх відсутність, в якій зазначаються, зокрема: для юридичної особи – власника, кінцевого бенефіціарного власника заявника - повне найменування, ідентифікаційний код юридичної особи, код LEI (за наявності); для фізичної особи – власника, кінцевого бенефіціарного власника заявника - ім’я (у розумінні Цивільного кодексу України) та реєстраційний номер облікової картки платника податків, КВЕД кожної юридичної особи, зазначеної в довідці, належність таких осіб до суб’єктів господарювання, щодо яких здійснюється державне регулювання їх основного виду економічної діяльності, та назва органу державної влади, що здійснює таке державне регулювання;</w:t>
            </w:r>
          </w:p>
          <w:p w14:paraId="210B241A" w14:textId="77777777" w:rsidR="00F97573" w:rsidRPr="00286216" w:rsidRDefault="00F97573" w:rsidP="00F97573">
            <w:pPr>
              <w:pStyle w:val="StyleZakonu"/>
              <w:spacing w:line="218" w:lineRule="exact"/>
              <w:rPr>
                <w:color w:val="000000" w:themeColor="text1"/>
              </w:rPr>
            </w:pPr>
            <w:r w:rsidRPr="00286216">
              <w:rPr>
                <w:color w:val="000000" w:themeColor="text1"/>
              </w:rPr>
              <w:t>г) у разі якщо заявник належить до фінансової групи – інформацію про належність групи до банківської або небанківської фінансової групи, державний орган, що здійснює нагляд за групою, перелік учасників фінансової групи та ідентифікаційні дані відповідальної особи фінансової групи;</w:t>
            </w:r>
          </w:p>
          <w:p w14:paraId="4374AC2C" w14:textId="77777777" w:rsidR="00F97573" w:rsidRPr="00286216" w:rsidRDefault="00F97573" w:rsidP="00F97573">
            <w:pPr>
              <w:pStyle w:val="StyleZakonu"/>
              <w:spacing w:line="218" w:lineRule="exact"/>
              <w:rPr>
                <w:color w:val="000000" w:themeColor="text1"/>
              </w:rPr>
            </w:pPr>
            <w:r w:rsidRPr="00286216">
              <w:rPr>
                <w:color w:val="000000" w:themeColor="text1"/>
              </w:rPr>
              <w:lastRenderedPageBreak/>
              <w:t>3) відомості за формою, встановленою Національною комісією з цінних паперів та фондового ринку (якщо інше не передбачено цим пунктом), щодо голови та членів колегіального виконавчого органу (особи, яка здійснює повноваження  одноосібного виконавчого органу), голови та членів наглядової ради (або іншого органу</w:t>
            </w:r>
            <w:r w:rsidRPr="00286216">
              <w:rPr>
                <w:color w:val="000000" w:themeColor="text1"/>
                <w:szCs w:val="18"/>
              </w:rPr>
              <w:t>, відповідального за здійснення нагляду</w:t>
            </w:r>
            <w:r w:rsidRPr="00286216">
              <w:rPr>
                <w:color w:val="000000" w:themeColor="text1"/>
              </w:rPr>
              <w:t>) заявника, контролерів заявника (у разі якщо контролером є юридична особа – голови та членів колегіального виконавчого органу (особи, яка здійснює повноваження одноосібного виконавчого органу) і будь-яких представників таких осіб, які мають право від їх імені вчиняти правочини, пов’язані з провадженням господарської діяльності заявника:</w:t>
            </w:r>
          </w:p>
          <w:p w14:paraId="6DFDECB2"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а) ідентифікаційні дані; </w:t>
            </w:r>
          </w:p>
          <w:p w14:paraId="416E6B44"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б) інформацію про ділову репутацію фізичної особи та документи, що її підтверджують. Документи, що підтверджують ділову репутацію, та їх форма визначаються фізичною особою самостійно. Національна комісія з цінних паперів та фондового ринку може скласти орієнтовний (невиключний) перелік документів, що можуть підтверджувати репутацію фізичної особи; </w:t>
            </w:r>
          </w:p>
          <w:p w14:paraId="4415DA42" w14:textId="77777777" w:rsidR="00F97573" w:rsidRPr="00286216" w:rsidRDefault="00F97573" w:rsidP="00F97573">
            <w:pPr>
              <w:pStyle w:val="StyleZakonu"/>
              <w:spacing w:line="218" w:lineRule="exact"/>
              <w:rPr>
                <w:color w:val="000000" w:themeColor="text1"/>
              </w:rPr>
            </w:pPr>
            <w:r w:rsidRPr="00286216">
              <w:rPr>
                <w:color w:val="000000" w:themeColor="text1"/>
              </w:rPr>
              <w:t>в) інформацію про освіту, професійне навчання, професійний досвід роботи із зазначенням всіх підприємств, установ, організацій, у яких фізична особа працювала, посадових обов’язків, які вона виконувала та стррок їх виконання. Щодо діяльності на фондовому ринку (ринку цінних паперів), ринках капіталу та товарному ринку фізична особа надає перелік всіх своїх посадових обов’язків, які вона виконувала протягом останніх 10 років;</w:t>
            </w:r>
          </w:p>
          <w:p w14:paraId="1562E58E" w14:textId="77777777" w:rsidR="00F97573" w:rsidRPr="00286216" w:rsidRDefault="00F97573" w:rsidP="00F97573">
            <w:pPr>
              <w:pStyle w:val="StyleZakonu"/>
              <w:spacing w:line="218" w:lineRule="exact"/>
              <w:rPr>
                <w:color w:val="000000" w:themeColor="text1"/>
              </w:rPr>
            </w:pPr>
            <w:r w:rsidRPr="00286216">
              <w:rPr>
                <w:color w:val="000000" w:themeColor="text1"/>
              </w:rPr>
              <w:t>г) інформацію в довільній формі щодо прийнятих щодо таких осіб рішень суду про позбавлення права обіймати певні посади або займатися певною діяльністю;</w:t>
            </w:r>
          </w:p>
          <w:p w14:paraId="0E0D2852" w14:textId="77777777" w:rsidR="00F97573" w:rsidRPr="00286216" w:rsidRDefault="00F97573" w:rsidP="00F97573">
            <w:pPr>
              <w:pStyle w:val="StyleZakonu"/>
              <w:spacing w:line="218" w:lineRule="exact"/>
              <w:rPr>
                <w:color w:val="000000" w:themeColor="text1"/>
              </w:rPr>
            </w:pPr>
            <w:r w:rsidRPr="00286216">
              <w:rPr>
                <w:color w:val="000000" w:themeColor="text1"/>
              </w:rPr>
              <w:t>ґ) інформацію в довільній формі про звільнення з посади за порушення законодавства про захист прав споживачів фінансових послуг;</w:t>
            </w:r>
          </w:p>
          <w:p w14:paraId="29D079F4"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д) інформацію в довільній формі щодо проведення органами державної влади або Національним банком України оцінки ділової репутації та досвіду в рамках інших передбачених законом процедур і результатів </w:t>
            </w:r>
            <w:r w:rsidRPr="00286216">
              <w:rPr>
                <w:color w:val="000000" w:themeColor="text1"/>
              </w:rPr>
              <w:lastRenderedPageBreak/>
              <w:t>такої оцінки (якщо вони відомі заявнику) із зазначенням органу, що проводив оцінку, та дати її проведення (за наявності);</w:t>
            </w:r>
          </w:p>
          <w:p w14:paraId="3DE346E7"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е) інформацію у довільній формі щодо пов’язаності близькими відносинами або спільними фінансовими інтересами (пов’язаність відносинами в рамках кредитного договору, договору гарантії або застави) з членами виконавчого органу, керівниками структурних підрозділів заявника, його материнського та дочірніх підприємств (за наявності таких підприємств), а також власниками істотної участі в статутному капіталі заявника; </w:t>
            </w:r>
          </w:p>
          <w:p w14:paraId="5323EDC6" w14:textId="77777777" w:rsidR="00F97573" w:rsidRPr="00286216" w:rsidRDefault="00F97573" w:rsidP="00F97573">
            <w:pPr>
              <w:pStyle w:val="StyleZakonu"/>
              <w:spacing w:line="218" w:lineRule="exact"/>
              <w:rPr>
                <w:color w:val="000000" w:themeColor="text1"/>
              </w:rPr>
            </w:pPr>
            <w:r w:rsidRPr="00286216">
              <w:rPr>
                <w:color w:val="000000" w:themeColor="text1"/>
              </w:rPr>
              <w:t>є) результати проведення внутрішньої оцінки таких осіб на предмет відповідності займаній посаді та вимогам, встановленим законодавством (за наявності);</w:t>
            </w:r>
          </w:p>
          <w:p w14:paraId="2465A750" w14:textId="77777777" w:rsidR="00F97573" w:rsidRPr="00286216" w:rsidRDefault="00F97573" w:rsidP="00F97573">
            <w:pPr>
              <w:pStyle w:val="StyleZakonu"/>
              <w:spacing w:line="218" w:lineRule="exact"/>
              <w:rPr>
                <w:color w:val="000000" w:themeColor="text1"/>
              </w:rPr>
            </w:pPr>
            <w:r w:rsidRPr="00286216">
              <w:rPr>
                <w:color w:val="000000" w:themeColor="text1"/>
              </w:rPr>
              <w:t>ж) інформацію в довільній формі про мінімальний час, який такі особи будуть приділяти виконанню своїх обов’язків у заявнику (у помісячному розрізі та протягом року);</w:t>
            </w:r>
          </w:p>
          <w:p w14:paraId="6AD06E7E" w14:textId="77777777" w:rsidR="00F97573" w:rsidRPr="00286216" w:rsidRDefault="00F97573" w:rsidP="00F97573">
            <w:pPr>
              <w:pStyle w:val="StyleZakonu"/>
              <w:spacing w:line="218" w:lineRule="exact"/>
              <w:rPr>
                <w:color w:val="000000" w:themeColor="text1"/>
              </w:rPr>
            </w:pPr>
            <w:r w:rsidRPr="00286216">
              <w:rPr>
                <w:color w:val="000000" w:themeColor="text1"/>
              </w:rPr>
              <w:t>з) інформацію в довільній формі про кадрові та фінансові ресурси, залучені (якщо рішення про таке залучення було прийнято заявником) до професійного навчання та підвищення кваліфікації членів виконавчого органу та членів наглядової ради (або іншого органу</w:t>
            </w:r>
            <w:r w:rsidRPr="00286216">
              <w:rPr>
                <w:color w:val="000000" w:themeColor="text1"/>
                <w:szCs w:val="18"/>
              </w:rPr>
              <w:t>, відповідального за здійснення нагляду)</w:t>
            </w:r>
            <w:r w:rsidRPr="00286216">
              <w:rPr>
                <w:color w:val="000000" w:themeColor="text1"/>
              </w:rPr>
              <w:t>;</w:t>
            </w:r>
          </w:p>
          <w:p w14:paraId="592BCE16" w14:textId="77777777" w:rsidR="00F97573" w:rsidRPr="00286216" w:rsidRDefault="00F97573" w:rsidP="00F97573">
            <w:pPr>
              <w:pStyle w:val="StyleZakonu"/>
              <w:spacing w:line="218" w:lineRule="exact"/>
              <w:rPr>
                <w:color w:val="000000" w:themeColor="text1"/>
              </w:rPr>
            </w:pPr>
            <w:r w:rsidRPr="00286216">
              <w:rPr>
                <w:color w:val="000000" w:themeColor="text1"/>
              </w:rPr>
              <w:t>и) інформацію в довільній формі про вироки (якщо судимість не знята або не погашена в порядку, визначеному законодавством), триваючі розслідування в рамках кримінальних проваджень, дисциплінарні провадження, включаючи відсторонення від займаної посади керівника юридичної особи, триваючі провадження у господарських та адміністративних судах стосовно такої особи;</w:t>
            </w:r>
          </w:p>
          <w:p w14:paraId="008DF4A4" w14:textId="77777777" w:rsidR="00F97573" w:rsidRPr="00286216" w:rsidRDefault="00F97573" w:rsidP="00F97573">
            <w:pPr>
              <w:pStyle w:val="StyleZakonu"/>
              <w:spacing w:line="218" w:lineRule="exact"/>
              <w:rPr>
                <w:color w:val="000000" w:themeColor="text1"/>
              </w:rPr>
            </w:pPr>
            <w:r w:rsidRPr="00286216">
              <w:rPr>
                <w:color w:val="000000" w:themeColor="text1"/>
              </w:rPr>
              <w:t>4) відомості щодо початкового капіталу заявника та джерел його походження:</w:t>
            </w:r>
          </w:p>
          <w:p w14:paraId="60EEF877" w14:textId="77777777" w:rsidR="00F97573" w:rsidRPr="00286216" w:rsidRDefault="00F97573" w:rsidP="00F97573">
            <w:pPr>
              <w:pStyle w:val="StyleZakonu"/>
              <w:spacing w:line="218" w:lineRule="exact"/>
              <w:rPr>
                <w:color w:val="000000" w:themeColor="text1"/>
              </w:rPr>
            </w:pPr>
            <w:r w:rsidRPr="00286216">
              <w:rPr>
                <w:color w:val="000000" w:themeColor="text1"/>
              </w:rPr>
              <w:t>а) інформацію за формою, встановленою Національною комісією з цінних паперів та фондового ринку, про джерела походження коштів, внесених до статутного капіталу;</w:t>
            </w:r>
          </w:p>
          <w:p w14:paraId="4ABED29C"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б) інформацію про залучені кошти відповідно до вимог та за формою, встановленими Національною </w:t>
            </w:r>
            <w:r w:rsidRPr="00286216">
              <w:rPr>
                <w:color w:val="000000" w:themeColor="text1"/>
              </w:rPr>
              <w:lastRenderedPageBreak/>
              <w:t>комісією з цінних паперів та фондового ринку;</w:t>
            </w:r>
          </w:p>
          <w:p w14:paraId="15A286C3" w14:textId="77777777" w:rsidR="00F97573" w:rsidRPr="00286216" w:rsidRDefault="00F97573" w:rsidP="00F97573">
            <w:pPr>
              <w:pStyle w:val="StyleZakonu"/>
              <w:spacing w:line="218" w:lineRule="exact"/>
              <w:rPr>
                <w:color w:val="000000" w:themeColor="text1"/>
              </w:rPr>
            </w:pPr>
            <w:r w:rsidRPr="00286216">
              <w:rPr>
                <w:color w:val="000000" w:themeColor="text1"/>
              </w:rPr>
              <w:t>в) інформацію в довільній формі про банки та небанківських надавачів фінансових послуг, послуги щодо переказу коштів яких були використані при формуванні капіталу, передбаченого підпунктами «а» та «б» цього пункту;</w:t>
            </w:r>
          </w:p>
          <w:p w14:paraId="1718A362" w14:textId="77777777" w:rsidR="00F97573" w:rsidRPr="00286216" w:rsidRDefault="00F97573" w:rsidP="00F97573">
            <w:pPr>
              <w:pStyle w:val="StyleZakonu"/>
              <w:spacing w:line="218" w:lineRule="exact"/>
              <w:rPr>
                <w:color w:val="000000" w:themeColor="text1"/>
              </w:rPr>
            </w:pPr>
            <w:r w:rsidRPr="00286216">
              <w:rPr>
                <w:color w:val="000000" w:themeColor="text1"/>
              </w:rPr>
              <w:t>5) інформацію щодо фінансового стану:</w:t>
            </w:r>
          </w:p>
          <w:p w14:paraId="2740B773" w14:textId="77777777" w:rsidR="00F97573" w:rsidRPr="00286216" w:rsidRDefault="00F97573" w:rsidP="00F97573">
            <w:pPr>
              <w:pStyle w:val="StyleZakonu"/>
              <w:spacing w:line="218" w:lineRule="exact"/>
              <w:rPr>
                <w:color w:val="000000" w:themeColor="text1"/>
              </w:rPr>
            </w:pPr>
            <w:r w:rsidRPr="00286216">
              <w:rPr>
                <w:color w:val="000000" w:themeColor="text1"/>
              </w:rPr>
              <w:t>а) річну та проміжну фінансову звітність, наявну станом на останній день кварталу, що передує даті подачі заяви, щодо якої суб’єкт аудиторської діяльності, який відповідає вимогам, встановленим законодавством, у аудиторському звіті висловив незалежну думку про відповідність в усіх суттєвих аспектах вимогам міжнародних стандартів фінансової звітності. Заявник, державна реєстрація якого була проведена в кварталі, в якому подається заява про видачу ліцензії, документи, передбачені цим підпунктом, не подає;</w:t>
            </w:r>
          </w:p>
          <w:p w14:paraId="78CA903D" w14:textId="77777777" w:rsidR="00F97573" w:rsidRPr="00286216" w:rsidRDefault="00F97573" w:rsidP="00F97573">
            <w:pPr>
              <w:pStyle w:val="StyleZakonu"/>
              <w:spacing w:line="218" w:lineRule="exact"/>
              <w:rPr>
                <w:color w:val="000000" w:themeColor="text1"/>
              </w:rPr>
            </w:pPr>
            <w:r w:rsidRPr="00286216">
              <w:rPr>
                <w:color w:val="000000" w:themeColor="text1"/>
              </w:rPr>
              <w:t>б) фінансову звітність заявника, консолідовану фінансову звітність (у разі її складення) за три останні фінансові роки, підтверджену аудиторським звітом.</w:t>
            </w:r>
          </w:p>
          <w:p w14:paraId="0E0C6FB8" w14:textId="77777777" w:rsidR="00F97573" w:rsidRPr="00286216" w:rsidRDefault="00F97573" w:rsidP="00F97573">
            <w:pPr>
              <w:pStyle w:val="StyleZakonu"/>
              <w:spacing w:line="218" w:lineRule="exact"/>
              <w:rPr>
                <w:color w:val="000000" w:themeColor="text1"/>
              </w:rPr>
            </w:pPr>
            <w:r w:rsidRPr="00286216">
              <w:rPr>
                <w:color w:val="000000" w:themeColor="text1"/>
              </w:rPr>
              <w:t>у разі якщо заявник провадить господарську діяльність протягом строку, недостатнього для виконання вимог цього підпункту, до заяви додається фінансова звітність за повні фінансові роки провадження заявником господарської діяльності та остання проміжна фінансова інформація, складена станом на кінець звітного періоду, що передує даті подання заяви та додатків до неї, підтверджені відповідно аудиторським звітом та звітом про огляд проміжної фінансової інформації.</w:t>
            </w:r>
          </w:p>
          <w:p w14:paraId="0E26AD8E" w14:textId="77777777" w:rsidR="00F97573" w:rsidRPr="00286216" w:rsidRDefault="00F97573" w:rsidP="00F97573">
            <w:pPr>
              <w:pStyle w:val="StyleZakonu"/>
              <w:spacing w:line="218" w:lineRule="exact"/>
              <w:rPr>
                <w:color w:val="000000" w:themeColor="text1"/>
              </w:rPr>
            </w:pPr>
            <w:r w:rsidRPr="00286216">
              <w:rPr>
                <w:color w:val="000000" w:themeColor="text1"/>
              </w:rPr>
              <w:t>У разі якщо заявник провадить господарську діяльність протягом строку, що є меншим за один рік, такий заявник подає тільки проміжну фінансову інформацію,  складену станом на кінець звітного періоду, що передує даті подання заяви та додатків до неї, підтверджену звітом про огляд проміжної фінансової інформації.</w:t>
            </w:r>
          </w:p>
          <w:p w14:paraId="7CDCCD8A" w14:textId="77777777" w:rsidR="00F97573" w:rsidRPr="00286216" w:rsidRDefault="00F97573" w:rsidP="00F97573">
            <w:pPr>
              <w:pStyle w:val="StyleZakonu"/>
              <w:spacing w:line="218" w:lineRule="exact"/>
              <w:rPr>
                <w:color w:val="000000" w:themeColor="text1"/>
              </w:rPr>
            </w:pPr>
            <w:r w:rsidRPr="00286216">
              <w:rPr>
                <w:color w:val="000000" w:themeColor="text1"/>
              </w:rPr>
              <w:t>Заявник, який є членом фінансової групи, зобов’язаний подати також копію консолідованої звітності фінансової групи за той самий період;</w:t>
            </w:r>
          </w:p>
          <w:p w14:paraId="3DC626BC"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в) прогнозну фінансову звітність, що включає прогнозний звіт про фінансовий стан та прогнозний звіт про фінансові результати на три роки, наступні за </w:t>
            </w:r>
            <w:r w:rsidRPr="00286216">
              <w:rPr>
                <w:color w:val="000000" w:themeColor="text1"/>
              </w:rPr>
              <w:lastRenderedPageBreak/>
              <w:t>роком подачі заяви;</w:t>
            </w:r>
          </w:p>
          <w:p w14:paraId="75C8E105" w14:textId="77777777" w:rsidR="00F97573" w:rsidRPr="00286216" w:rsidRDefault="00F97573" w:rsidP="00F97573">
            <w:pPr>
              <w:pStyle w:val="StyleZakonu"/>
              <w:spacing w:line="218" w:lineRule="exact"/>
              <w:rPr>
                <w:color w:val="000000" w:themeColor="text1"/>
              </w:rPr>
            </w:pPr>
            <w:r w:rsidRPr="00286216">
              <w:rPr>
                <w:color w:val="000000" w:themeColor="text1"/>
              </w:rPr>
              <w:t>г) пояснення показників прогнозної фінансової звітності, враховуючи  прогнозну кількість клієнтів, обсягів операцій щодо фінансових інструментів та обсягів активів, розпорядження якими здійснюватиме заявник;</w:t>
            </w:r>
          </w:p>
          <w:p w14:paraId="366D7E25" w14:textId="77777777" w:rsidR="00F97573" w:rsidRPr="00286216" w:rsidRDefault="00F97573" w:rsidP="00F97573">
            <w:pPr>
              <w:pStyle w:val="StyleZakonu"/>
              <w:spacing w:line="218" w:lineRule="exact"/>
              <w:rPr>
                <w:color w:val="000000" w:themeColor="text1"/>
              </w:rPr>
            </w:pPr>
            <w:r w:rsidRPr="00286216">
              <w:rPr>
                <w:color w:val="000000" w:themeColor="text1"/>
              </w:rPr>
              <w:t>ґ) прогнозні показники щодо капіталу та ліквідності, а також прогнозний коефіцієнт платоспроможності у випадках, якщо розрахунок таких показників передбачений нормативно-правовими актами Національної комісії з цінних паперів та фондового ринку, на перший рік діяльності після отримання ліцензії.</w:t>
            </w:r>
          </w:p>
          <w:p w14:paraId="218D18B3" w14:textId="77777777" w:rsidR="00F97573" w:rsidRPr="00286216" w:rsidRDefault="00F97573" w:rsidP="00F97573">
            <w:pPr>
              <w:pStyle w:val="StyleZakonu"/>
              <w:spacing w:line="218" w:lineRule="exact"/>
              <w:rPr>
                <w:color w:val="000000" w:themeColor="text1"/>
              </w:rPr>
            </w:pPr>
            <w:r w:rsidRPr="00286216">
              <w:rPr>
                <w:color w:val="000000" w:themeColor="text1"/>
              </w:rPr>
              <w:t>Заявник, якиц є членом фінансової групи зобов’язаний подати документи, передбачені підпунктами «в» - «ґ» цього пункту, щодо групи в цілому.</w:t>
            </w:r>
          </w:p>
          <w:p w14:paraId="3CF95AE7" w14:textId="77777777" w:rsidR="00F97573" w:rsidRPr="00286216" w:rsidRDefault="00F97573" w:rsidP="00F97573">
            <w:pPr>
              <w:pStyle w:val="StyleZakonu"/>
              <w:spacing w:line="218" w:lineRule="exact"/>
              <w:rPr>
                <w:color w:val="000000" w:themeColor="text1"/>
              </w:rPr>
            </w:pPr>
            <w:r w:rsidRPr="00286216">
              <w:rPr>
                <w:color w:val="000000" w:themeColor="text1"/>
              </w:rPr>
              <w:t>Національна комісія з цінних паперів та фондового ринку може затвердити методологію формування прогнозної фінансової звітності, у тому числі для випадків, якщо заявник є членом фінансової групи;</w:t>
            </w:r>
          </w:p>
          <w:p w14:paraId="45211B85" w14:textId="77777777" w:rsidR="00F97573" w:rsidRPr="00286216" w:rsidRDefault="00F97573" w:rsidP="00F97573">
            <w:pPr>
              <w:pStyle w:val="StyleZakonu"/>
              <w:spacing w:line="218" w:lineRule="exact"/>
              <w:rPr>
                <w:color w:val="000000" w:themeColor="text1"/>
              </w:rPr>
            </w:pPr>
            <w:r w:rsidRPr="00286216">
              <w:rPr>
                <w:color w:val="000000" w:themeColor="text1"/>
              </w:rPr>
              <w:t>д) інформація про зміни, що будуть спричинені внаслідок отримання заявником ліцензії, у здійсненні нагляду на консолідованій та субконсолідованій основі відповідно до Закону України "Про фінансові послуги та державне регулювання ринків фінансових послуг";</w:t>
            </w:r>
          </w:p>
          <w:p w14:paraId="2229A1B9" w14:textId="77777777" w:rsidR="00F97573" w:rsidRPr="00286216" w:rsidRDefault="00F97573" w:rsidP="00F97573">
            <w:pPr>
              <w:pStyle w:val="StyleZakonu"/>
              <w:spacing w:line="218" w:lineRule="exact"/>
              <w:rPr>
                <w:color w:val="000000" w:themeColor="text1"/>
              </w:rPr>
            </w:pPr>
            <w:r w:rsidRPr="00286216">
              <w:rPr>
                <w:color w:val="000000" w:themeColor="text1"/>
              </w:rPr>
              <w:t>6) документи, що підтверджують здатність власника істотної участі у заявнику виконати обов’язок, передбачений частиною девʼятнадцятою статті 74 цього Закону. Перелік таких документів визначається заявником самостійно;</w:t>
            </w:r>
          </w:p>
          <w:p w14:paraId="322DF8F8" w14:textId="77777777" w:rsidR="00F97573" w:rsidRPr="00286216" w:rsidRDefault="00F97573" w:rsidP="00F97573">
            <w:pPr>
              <w:pStyle w:val="StyleZakonu"/>
              <w:spacing w:line="218" w:lineRule="exact"/>
              <w:rPr>
                <w:color w:val="000000" w:themeColor="text1"/>
              </w:rPr>
            </w:pPr>
            <w:r w:rsidRPr="00286216">
              <w:rPr>
                <w:color w:val="000000" w:themeColor="text1"/>
              </w:rPr>
              <w:t>7) інформацію про внутрішню організацію діяльності заявника в довільній формі, якщо інше не передбачено цим пунктом:</w:t>
            </w:r>
          </w:p>
          <w:p w14:paraId="28B515DE"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а) бізнес-план (бізнес-стратегію) на три роки, включаючи інформацію про заплановане відкриття філій, здійснення діяльності на підставі отриманої ліцензії, а також про інші види запланованої господарської діяльності. Такий план має передбачати інформацію про місце реєстрації потенційних клієнтів та інвесторів; заплановані заходи з реклами фінансових послуг з зазначенням адміністративних одиниць, де планується розміщення найбільшої </w:t>
            </w:r>
            <w:r w:rsidRPr="00286216">
              <w:rPr>
                <w:color w:val="000000" w:themeColor="text1"/>
              </w:rPr>
              <w:lastRenderedPageBreak/>
              <w:t>кількості реклами; потенційних надавачів послуг з реклами фінансових послуг із зазначенням адміністративно-територіальних одиниць, на території яких такі особи провадять діяльність. Національна комісія з цінних паперів та фондового ринку затверджує рекомендації до змісту бізнес-плану (бізнес-стратегії), які можуть бути використані заявником при складанні ним бізнес-плану (бізнес-стратегії);</w:t>
            </w:r>
          </w:p>
          <w:p w14:paraId="46149BF9" w14:textId="77777777" w:rsidR="00F97573" w:rsidRPr="00286216" w:rsidRDefault="00F97573" w:rsidP="00F97573">
            <w:pPr>
              <w:pStyle w:val="StyleZakonu"/>
              <w:spacing w:line="218" w:lineRule="exact"/>
              <w:rPr>
                <w:color w:val="000000" w:themeColor="text1"/>
              </w:rPr>
            </w:pPr>
            <w:r w:rsidRPr="00286216">
              <w:rPr>
                <w:color w:val="000000" w:themeColor="text1"/>
              </w:rPr>
              <w:t>б) опис ресурсів (кадрових та технічних), що виділені або будуть виділені для провадження діяльності, зазначеної у бізнес-плані (бізнес-стратегії);</w:t>
            </w:r>
          </w:p>
          <w:p w14:paraId="1FB06D62" w14:textId="77777777" w:rsidR="00F97573" w:rsidRPr="00286216" w:rsidRDefault="00F97573" w:rsidP="00F97573">
            <w:pPr>
              <w:pStyle w:val="StyleZakonu"/>
              <w:spacing w:line="218" w:lineRule="exact"/>
              <w:rPr>
                <w:color w:val="000000" w:themeColor="text1"/>
              </w:rPr>
            </w:pPr>
            <w:r w:rsidRPr="00286216">
              <w:rPr>
                <w:color w:val="000000" w:themeColor="text1"/>
              </w:rPr>
              <w:t>в) дані про суб’єктів аудиторської діяльності, які надають послуги аудиту фінансової звітності заявнику (якщо відповідні договори укладені на момент подання заяви);</w:t>
            </w:r>
          </w:p>
          <w:p w14:paraId="4E611ED8" w14:textId="77777777" w:rsidR="00F97573" w:rsidRPr="00286216" w:rsidRDefault="00F97573" w:rsidP="00F97573">
            <w:pPr>
              <w:pStyle w:val="StyleZakonu"/>
              <w:spacing w:line="218" w:lineRule="exact"/>
              <w:rPr>
                <w:color w:val="000000" w:themeColor="text1"/>
              </w:rPr>
            </w:pPr>
            <w:r w:rsidRPr="00286216">
              <w:rPr>
                <w:color w:val="000000" w:themeColor="text1"/>
              </w:rPr>
              <w:t>г) ідентифікаційні дані та інформація про освіту, підвищення кваліфікації та професійний досвід керівників підрозділів заявника, що забезпечують здійснення діяльності з торгівлі фінансовими інструментами, а також усіх осіб, відповідальних за функціонування системи внутрішнього контролю із зазначенням їх ідентифікаційних даних за формою, встановленою Національною комісією з цінних паперів та фондового ринку;</w:t>
            </w:r>
          </w:p>
          <w:p w14:paraId="7EE920ED" w14:textId="77777777" w:rsidR="00F97573" w:rsidRPr="00286216" w:rsidRDefault="00F97573" w:rsidP="00F97573">
            <w:pPr>
              <w:pStyle w:val="StyleZakonu"/>
              <w:spacing w:line="218" w:lineRule="exact"/>
              <w:rPr>
                <w:color w:val="000000" w:themeColor="text1"/>
              </w:rPr>
            </w:pPr>
            <w:r w:rsidRPr="00286216">
              <w:rPr>
                <w:color w:val="000000" w:themeColor="text1"/>
              </w:rPr>
              <w:t>ґ) опис механізму захисту коштів та фінансових інструментів клієнтів, які заявник отримуватиме на власний рахунок та якими розпоряджатиметься (за наявності);</w:t>
            </w:r>
          </w:p>
          <w:p w14:paraId="50A129D8" w14:textId="77777777" w:rsidR="00F97573" w:rsidRPr="00286216" w:rsidRDefault="00F97573" w:rsidP="00F97573">
            <w:pPr>
              <w:pStyle w:val="StyleZakonu"/>
              <w:spacing w:line="218" w:lineRule="exact"/>
              <w:rPr>
                <w:color w:val="000000" w:themeColor="text1"/>
              </w:rPr>
            </w:pPr>
            <w:r w:rsidRPr="00286216">
              <w:rPr>
                <w:color w:val="000000" w:themeColor="text1"/>
              </w:rPr>
              <w:t>д) пояснення заявника щодо порядку і способу виконання пруденційних нормативів та інших вимог законодавства щодо здійснення професійної діяльності з торгівлі фінансовими інструментами;</w:t>
            </w:r>
          </w:p>
          <w:p w14:paraId="51CF2626"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8) відомості про наявність у заявника організаційної структури, системи внутрішнього контролю (підсистеми комплаєнсу, управління ризиками та внутрішнього аудиту), спеціалістів, обладнання, комп’ютерної техніки, програмного забезпечення та приміщень, системи та засобів, що забезпечують безперервність і постійність надання послуг, які у своїй сукупності є достатніми для забезпечення провадження відповідного виду професійної діяльності на ринках капіталу та </w:t>
            </w:r>
            <w:r w:rsidRPr="00286216">
              <w:rPr>
                <w:color w:val="000000" w:themeColor="text1"/>
              </w:rPr>
              <w:lastRenderedPageBreak/>
              <w:t>організованих товарних ринках згідно з вимогами законодавства;</w:t>
            </w:r>
          </w:p>
          <w:p w14:paraId="12F7621D"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9) інформація щодо функцій, послуг та діяльності, що провадяться чи планується провадити із залученням третіх осіб, та перелік відповідних укладених контрактів (за наявності); </w:t>
            </w:r>
          </w:p>
          <w:p w14:paraId="377BB200" w14:textId="77777777" w:rsidR="00F97573" w:rsidRPr="00286216" w:rsidRDefault="00F97573" w:rsidP="00F97573">
            <w:pPr>
              <w:pStyle w:val="StyleZakonu"/>
              <w:spacing w:line="218" w:lineRule="exact"/>
              <w:rPr>
                <w:color w:val="000000" w:themeColor="text1"/>
              </w:rPr>
            </w:pPr>
            <w:r w:rsidRPr="00286216">
              <w:rPr>
                <w:color w:val="000000" w:themeColor="text1"/>
              </w:rPr>
              <w:t>10) внутрішні документи в довільній формі, що регламентують запобігання виникненню та врегулювання конфлікту інтересів, що виникає у ході провадження професійної діяльності на ринку капіталу та організованому товарному ринку, а також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1F687E12"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11) внутрішні документи у довільній формі, що регулюють діяльність з управління продуктами, вимоги до якої встановлюються Національною комісією з цінних паперів та фондового ринку; </w:t>
            </w:r>
          </w:p>
          <w:p w14:paraId="06B94ABD" w14:textId="77777777" w:rsidR="00F97573" w:rsidRPr="00286216" w:rsidRDefault="00F97573" w:rsidP="00F97573">
            <w:pPr>
              <w:pStyle w:val="StyleZakonu"/>
              <w:spacing w:line="218" w:lineRule="exact"/>
              <w:rPr>
                <w:color w:val="000000" w:themeColor="text1"/>
              </w:rPr>
            </w:pPr>
            <w:r w:rsidRPr="00286216">
              <w:rPr>
                <w:color w:val="000000" w:themeColor="text1"/>
              </w:rPr>
              <w:t>12) опис системи моніторингу діяльності заявника та механізмів збереження інформації у випадку, якщо заявник бажає займатися алгоритмічною торгівлею;</w:t>
            </w:r>
          </w:p>
          <w:p w14:paraId="0D74F21B" w14:textId="77777777" w:rsidR="00F97573" w:rsidRPr="00286216" w:rsidRDefault="00F97573" w:rsidP="00F97573">
            <w:pPr>
              <w:pStyle w:val="StyleZakonu"/>
              <w:spacing w:line="218" w:lineRule="exact"/>
              <w:rPr>
                <w:color w:val="000000" w:themeColor="text1"/>
              </w:rPr>
            </w:pPr>
            <w:r w:rsidRPr="00286216">
              <w:rPr>
                <w:color w:val="000000" w:themeColor="text1"/>
              </w:rPr>
              <w:t>13) внутрішні документи в довільній формі заявника, що регламентують провадження відповідного виду професійної діяльності;</w:t>
            </w:r>
          </w:p>
          <w:p w14:paraId="5A78A72F" w14:textId="77777777" w:rsidR="00F97573" w:rsidRPr="00286216" w:rsidRDefault="00F97573" w:rsidP="00F97573">
            <w:pPr>
              <w:pStyle w:val="StyleZakonu"/>
              <w:spacing w:line="218" w:lineRule="exact"/>
              <w:rPr>
                <w:color w:val="000000" w:themeColor="text1"/>
              </w:rPr>
            </w:pPr>
            <w:r w:rsidRPr="00286216">
              <w:rPr>
                <w:color w:val="000000" w:themeColor="text1"/>
              </w:rPr>
              <w:t>14) копію платіжного документа, що підтверджує внесення плати за видачу ліцензії.</w:t>
            </w:r>
          </w:p>
          <w:p w14:paraId="61B2AAD0" w14:textId="77777777" w:rsidR="00F97573" w:rsidRPr="00286216" w:rsidRDefault="00F97573" w:rsidP="00F97573">
            <w:pPr>
              <w:pStyle w:val="StyleZakonu"/>
              <w:spacing w:line="218" w:lineRule="exact"/>
              <w:rPr>
                <w:color w:val="000000" w:themeColor="text1"/>
              </w:rPr>
            </w:pPr>
            <w:r w:rsidRPr="00286216">
              <w:rPr>
                <w:color w:val="000000" w:themeColor="text1"/>
              </w:rPr>
              <w:t>6. Юридична особа, яка подає заяву про видачу ліцензії на провадження відповідного виду діяльності в межах професійної діяльності з організації торгівлі фінансовими інструментами, додатково до інформації, передбаченої частиною четвертою цією статті, подає в довільній формі, якщо інше не передбачено цією частиною:</w:t>
            </w:r>
          </w:p>
          <w:p w14:paraId="1E4FC741" w14:textId="77777777" w:rsidR="00F97573" w:rsidRPr="00286216" w:rsidRDefault="00F97573" w:rsidP="00F97573">
            <w:pPr>
              <w:pStyle w:val="StyleZakonu"/>
              <w:spacing w:line="218" w:lineRule="exact"/>
              <w:rPr>
                <w:color w:val="000000" w:themeColor="text1"/>
              </w:rPr>
            </w:pPr>
            <w:r w:rsidRPr="00286216">
              <w:rPr>
                <w:color w:val="000000" w:themeColor="text1"/>
              </w:rPr>
              <w:t>1) бізнес-план (бізнес-стратегію) на три роки, включаючи інформацію про заплановане відкриття філій, здійснення діяльності на підставі отриманої ліцензії, а також про інші види запланованої господарської діяльності. Національна комісія з цінних паперів та фондового ринку затверджує рекомендації до змісту бізнес-плану (бізнес-стратегії), які можуть бути використані заявником при складанні ним бізнес-плану (бізнес-стратегії);</w:t>
            </w:r>
          </w:p>
          <w:p w14:paraId="759BCC58" w14:textId="77777777" w:rsidR="00F97573" w:rsidRPr="00286216" w:rsidRDefault="00F97573" w:rsidP="00F97573">
            <w:pPr>
              <w:pStyle w:val="StyleZakonu"/>
              <w:spacing w:line="218" w:lineRule="exact"/>
              <w:rPr>
                <w:color w:val="000000" w:themeColor="text1"/>
              </w:rPr>
            </w:pPr>
            <w:r w:rsidRPr="00286216">
              <w:rPr>
                <w:color w:val="000000" w:themeColor="text1"/>
              </w:rPr>
              <w:lastRenderedPageBreak/>
              <w:t>2) інформацію, що дає змогу зробити висновок про наявність механізмів забезпечення належного опрацювання заявок або котирувань клієнтів у випадках пікової активності, а також запобігання ситуаціям цінової нестабільності;</w:t>
            </w:r>
          </w:p>
          <w:p w14:paraId="74FB53F6" w14:textId="77777777" w:rsidR="00F97573" w:rsidRPr="00286216" w:rsidRDefault="00F97573" w:rsidP="00F97573">
            <w:pPr>
              <w:pStyle w:val="StyleZakonu"/>
              <w:spacing w:line="218" w:lineRule="exact"/>
              <w:rPr>
                <w:color w:val="000000" w:themeColor="text1"/>
              </w:rPr>
            </w:pPr>
            <w:r w:rsidRPr="00286216">
              <w:rPr>
                <w:color w:val="000000" w:themeColor="text1"/>
              </w:rPr>
              <w:t>3) інформацію, що дає змогу зробити висновок про  наявність механізмів, функціонування яких забезпечує повне і безумовне виконання операцій, що проходять у багатосторонній системі організованого ринку, діяльність з управління яким має намір здійснювати заявник;</w:t>
            </w:r>
          </w:p>
          <w:p w14:paraId="68D0F847" w14:textId="77777777" w:rsidR="00F97573" w:rsidRPr="00286216" w:rsidRDefault="00F97573" w:rsidP="00F97573">
            <w:pPr>
              <w:pStyle w:val="StyleZakonu"/>
              <w:spacing w:line="218" w:lineRule="exact"/>
              <w:rPr>
                <w:color w:val="000000" w:themeColor="text1"/>
              </w:rPr>
            </w:pPr>
            <w:r w:rsidRPr="00286216">
              <w:rPr>
                <w:color w:val="000000" w:themeColor="text1"/>
              </w:rPr>
              <w:t>4) інформацію, що дає змогу зробити висновок про  наявність механізмів зупинення торгів;</w:t>
            </w:r>
          </w:p>
          <w:p w14:paraId="33D1BBFF" w14:textId="77777777" w:rsidR="00F97573" w:rsidRPr="00286216" w:rsidRDefault="00F97573" w:rsidP="00F97573">
            <w:pPr>
              <w:pStyle w:val="StyleZakonu"/>
              <w:spacing w:line="218" w:lineRule="exact"/>
              <w:rPr>
                <w:color w:val="000000" w:themeColor="text1"/>
              </w:rPr>
            </w:pPr>
            <w:r w:rsidRPr="00286216">
              <w:rPr>
                <w:color w:val="000000" w:themeColor="text1"/>
              </w:rPr>
              <w:t>5) копію внутрішнього документа, передбаченого частиною першою статтті 56 (у разі якщо заявник має намір здійснювати управління діяльністю регульованого ринку);</w:t>
            </w:r>
          </w:p>
          <w:p w14:paraId="1025F750" w14:textId="77777777" w:rsidR="00F97573" w:rsidRPr="00286216" w:rsidRDefault="00F97573" w:rsidP="00F97573">
            <w:pPr>
              <w:pStyle w:val="StyleZakonu"/>
              <w:spacing w:line="218" w:lineRule="exact"/>
              <w:rPr>
                <w:color w:val="000000" w:themeColor="text1"/>
              </w:rPr>
            </w:pPr>
            <w:r w:rsidRPr="00286216">
              <w:rPr>
                <w:color w:val="000000" w:themeColor="text1"/>
              </w:rPr>
              <w:t>6) проект правил організованого ринку, у тому числі внутрішні документи, що регулюють збільшення кроку ціни торгів;</w:t>
            </w:r>
          </w:p>
          <w:p w14:paraId="1B8D6B17" w14:textId="77777777" w:rsidR="00F97573" w:rsidRPr="00286216" w:rsidRDefault="00F97573" w:rsidP="00F97573">
            <w:pPr>
              <w:pStyle w:val="StyleZakonu"/>
              <w:spacing w:line="218" w:lineRule="exact"/>
              <w:rPr>
                <w:color w:val="000000" w:themeColor="text1"/>
              </w:rPr>
            </w:pPr>
            <w:r w:rsidRPr="00286216">
              <w:rPr>
                <w:color w:val="000000" w:themeColor="text1"/>
              </w:rPr>
              <w:t>7) заяву про синхронізацію систем фіксації дати та часу відповідно до вимог, встановлених Національною комісією з цінних паперів та фондового ринку.</w:t>
            </w:r>
          </w:p>
          <w:p w14:paraId="1B521F95"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7. Юридична особа, яка подає заяву про видачу ліцензії на провадження відповідного виду діяльності у межах професійної діяльності з організації торгівлі фінансовими інструментами – діяльності з організації торгівлі на БТМ та/або діяльності з організації торгівлі на ОТМ, додає до заяви документи, передбачені  частинами п'ятою та шостою цієї статті, а також зазначає у такій заяві інформацію про наявність філій та/або намір укласти агентський договір відповідно до вимог цього Закону, твердження про наявність/відсутність наміру отримувати на власний рахунок та розпоряджатися коштами та фінансовими інструментами клієнтів. </w:t>
            </w:r>
          </w:p>
          <w:p w14:paraId="389262E2"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8. Юридична особа, яка подає заяву про видачу ліцензії на провадження клірингової діяльності з визначення  зобов’язань, подає таку заяву та документи, що до неї додаються, відповідно до частин третьої та четвертої цієї статті. Юридична особа, яка подає заяву про видачу ліцензії на провадження клірингової діяльності центрального контрагента, </w:t>
            </w:r>
            <w:r w:rsidRPr="00286216">
              <w:rPr>
                <w:color w:val="000000" w:themeColor="text1"/>
              </w:rPr>
              <w:lastRenderedPageBreak/>
              <w:t>розкриває в документах, передбачених частиною третьою цієї статті, інформацію та надає додаткові документи відповідно до вимог, встановлених Національною комісією з цінних паперів та фондового ринку.</w:t>
            </w:r>
          </w:p>
          <w:p w14:paraId="62E84414" w14:textId="77777777" w:rsidR="00F97573" w:rsidRPr="00286216" w:rsidRDefault="00F97573" w:rsidP="00F97573">
            <w:pPr>
              <w:pStyle w:val="StyleZakonu"/>
              <w:spacing w:line="218" w:lineRule="exact"/>
              <w:rPr>
                <w:color w:val="000000" w:themeColor="text1"/>
              </w:rPr>
            </w:pPr>
            <w:r w:rsidRPr="00286216">
              <w:rPr>
                <w:color w:val="000000" w:themeColor="text1"/>
              </w:rPr>
              <w:t>9. Юридична особа, яка подає заяву про видачу ліцензії на провадження відповідного виду діяльності в межах депозитарної діяльності, розкриває в документах, передбачених частиною четвертою цієї статті, інформацію та надає додаткові документи відповідно до вимог Закону України "Про депозитарну систему України" (у разі якщо обсяг розкриття та перелік документів встановлений таким законом).</w:t>
            </w:r>
          </w:p>
          <w:p w14:paraId="03889427" w14:textId="77777777" w:rsidR="00F97573" w:rsidRPr="00286216" w:rsidRDefault="00F97573" w:rsidP="00F97573">
            <w:pPr>
              <w:pStyle w:val="StyleZakonu"/>
              <w:spacing w:line="218" w:lineRule="exact"/>
              <w:rPr>
                <w:color w:val="000000" w:themeColor="text1"/>
              </w:rPr>
            </w:pPr>
            <w:r w:rsidRPr="00286216">
              <w:rPr>
                <w:color w:val="000000" w:themeColor="text1"/>
              </w:rPr>
              <w:t>10. Юридична особа, яка подає заяву про видачу ліцензії на провадження діяльності  з управління іпотечним покриттям, розкриває в документах, передбачених частиною четвертою цієї статті, інформацію та надає додаткові документи відповідно до вимог Закону України "Про іпотечні облігації" (у разі якщо обсяг розкриття та перелік документів встановлений таким законом).</w:t>
            </w:r>
          </w:p>
          <w:p w14:paraId="29A84A53" w14:textId="77777777" w:rsidR="00F97573" w:rsidRPr="00286216" w:rsidRDefault="00F97573" w:rsidP="00F97573">
            <w:pPr>
              <w:pStyle w:val="StyleZakonu"/>
              <w:spacing w:line="218" w:lineRule="exact"/>
              <w:rPr>
                <w:color w:val="000000" w:themeColor="text1"/>
              </w:rPr>
            </w:pPr>
            <w:r w:rsidRPr="00286216">
              <w:rPr>
                <w:color w:val="000000" w:themeColor="text1"/>
              </w:rPr>
              <w:t>11. Юридична особа, яка подає заяву про видачу ліцензії на провадження діяльності з управління активами, розкриває в документах, передбачених частиною четвертою цієї статті, інформацію та надає додаткові документи відповідно до вимог Закону України "Про інститути спільного інвестування" (у разі якщо обсяг розкриття та перелік документів встановлений таким законом), а у разі, якщо діяльність такої юридичної особи буде передбачати здійснення управління активами недержавних пенсійних фондів - також відповідно до вимог Закону України "Про недержавне пенсійне забезпечення" (у разі якщо обсяг розкриття та перелік документів встановлений таким законом).</w:t>
            </w:r>
          </w:p>
          <w:p w14:paraId="383827CC"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12. Юридична особа, яка подає заяву про видачу ліцензії на провадження діяльності з управління майном для фінансування об’єктів будівництва та/або здійснення операцій з нерухомістю, розкриває в документах, передбачених частиною четвертою цієї статті, інформацію та надає додаткові документи відповідно до вимог Закону України "Про фінансово-кредитні механізми і управління майном при будівництві житла та операціях з нерухомістю" (у разі </w:t>
            </w:r>
            <w:r w:rsidRPr="00286216">
              <w:rPr>
                <w:color w:val="000000" w:themeColor="text1"/>
              </w:rPr>
              <w:lastRenderedPageBreak/>
              <w:t>якщо обсяг розкриття та перелік документів встановлений таким законом).</w:t>
            </w:r>
          </w:p>
          <w:p w14:paraId="5D5B8830" w14:textId="77777777" w:rsidR="00F97573" w:rsidRPr="00286216" w:rsidRDefault="00F97573" w:rsidP="00F97573">
            <w:pPr>
              <w:pStyle w:val="StyleZakonu"/>
              <w:spacing w:line="218" w:lineRule="exact"/>
              <w:rPr>
                <w:color w:val="000000" w:themeColor="text1"/>
              </w:rPr>
            </w:pPr>
            <w:r w:rsidRPr="00286216">
              <w:rPr>
                <w:color w:val="000000" w:themeColor="text1"/>
              </w:rPr>
              <w:t>13. Юридична особа, яка подає заяву про видачу ліцензії на провадження діяльності з адміністрування недержавних пенсійних фондів, розкриває в документах, передбачених частиною четвертою цієї статті, інформацію та надає додаткові документи відповідно до вимог Закону України "Про недержавне пенсійне забезпечення" (у разі якщо обсяг розкриття та перелік документів встановлений таким законом).</w:t>
            </w:r>
          </w:p>
          <w:p w14:paraId="1B84736E" w14:textId="77777777" w:rsidR="00F97573" w:rsidRPr="00286216" w:rsidRDefault="00F97573" w:rsidP="00F97573">
            <w:pPr>
              <w:pStyle w:val="StyleZakonu"/>
              <w:spacing w:line="218" w:lineRule="exact"/>
              <w:rPr>
                <w:color w:val="000000" w:themeColor="text1"/>
              </w:rPr>
            </w:pPr>
            <w:r w:rsidRPr="00286216">
              <w:rPr>
                <w:color w:val="000000" w:themeColor="text1"/>
              </w:rPr>
              <w:t>14. Юридична особа, у якій іноземним юридичним особам прямо або опосередковано сукупно належить 10 і більше відсотків статутного капіталу (прав голосу) та яка має намір провадити професійну діяльність на ринках капіталу та організованих товарних ринках, для отримання ліцензії на провадження відповідного виду діяльності, крім документів, зазначених у частинах третій – тринадцятій цієї статті (відповідно до виду професійної діяльності), подає Національній комісії з цінних паперів та фондового ринку у встановленому нею порядку:</w:t>
            </w:r>
          </w:p>
          <w:p w14:paraId="434CFC35" w14:textId="77777777" w:rsidR="00F97573" w:rsidRPr="00286216" w:rsidRDefault="00F97573" w:rsidP="00F97573">
            <w:pPr>
              <w:pStyle w:val="StyleZakonu"/>
              <w:spacing w:line="218" w:lineRule="exact"/>
              <w:rPr>
                <w:color w:val="000000" w:themeColor="text1"/>
              </w:rPr>
            </w:pPr>
            <w:r w:rsidRPr="00286216">
              <w:rPr>
                <w:color w:val="000000" w:themeColor="text1"/>
              </w:rPr>
              <w:t>1) копію рішення уповноваженого органу (особи) управління іноземної юридичної особи про участь у заявнику;</w:t>
            </w:r>
          </w:p>
          <w:p w14:paraId="7B744E66" w14:textId="77777777" w:rsidR="00F97573" w:rsidRPr="00286216" w:rsidRDefault="00F97573" w:rsidP="00F97573">
            <w:pPr>
              <w:pStyle w:val="StyleZakonu"/>
              <w:spacing w:line="218" w:lineRule="exact"/>
              <w:rPr>
                <w:color w:val="000000" w:themeColor="text1"/>
              </w:rPr>
            </w:pPr>
            <w:r w:rsidRPr="00286216">
              <w:rPr>
                <w:color w:val="000000" w:themeColor="text1"/>
              </w:rPr>
              <w:t>2) письмовий дозвіл на участь іноземної юридичної особи у професійному учаснику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дозволу, або письмове запевнення іноземної юридичної особи у відсутності в законодавстві відповідної держави вимог (підстав) щодо отримання такого дозволу;</w:t>
            </w:r>
          </w:p>
          <w:p w14:paraId="37F09465" w14:textId="77777777" w:rsidR="00F97573" w:rsidRPr="00286216" w:rsidRDefault="00F97573" w:rsidP="00F97573">
            <w:pPr>
              <w:pStyle w:val="StyleZakonu"/>
              <w:spacing w:line="218" w:lineRule="exact"/>
              <w:rPr>
                <w:color w:val="000000" w:themeColor="text1"/>
              </w:rPr>
            </w:pPr>
            <w:r w:rsidRPr="00286216">
              <w:rPr>
                <w:color w:val="000000" w:themeColor="text1"/>
              </w:rPr>
              <w:t>3) витяг із торговельного, банківського, судового реєстрів або інший офіційний документ, що підтверджує реєстрацію іноземної юридичної особи в державі, в якій зареєстровано її головний офіс;</w:t>
            </w:r>
          </w:p>
          <w:p w14:paraId="2379AB8D"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4) фінансову звітність, консолідовану і субконсолідовану фінансову звітність (у разі її складення) іноземної юридичної особи за останні три фінансові роки (з аудиторськими звітами за </w:t>
            </w:r>
            <w:r w:rsidRPr="00286216">
              <w:rPr>
                <w:color w:val="000000" w:themeColor="text1"/>
              </w:rPr>
              <w:lastRenderedPageBreak/>
              <w:t xml:space="preserve">наявності). </w:t>
            </w:r>
          </w:p>
          <w:p w14:paraId="0DB7174B" w14:textId="77777777" w:rsidR="00F97573" w:rsidRPr="00286216" w:rsidRDefault="00F97573" w:rsidP="00F97573">
            <w:pPr>
              <w:pStyle w:val="StyleZakonu"/>
              <w:spacing w:line="218" w:lineRule="exact"/>
              <w:rPr>
                <w:color w:val="000000" w:themeColor="text1"/>
              </w:rPr>
            </w:pPr>
            <w:r w:rsidRPr="00286216">
              <w:rPr>
                <w:color w:val="000000" w:themeColor="text1"/>
              </w:rPr>
              <w:t>15. Юридична особа, у якій фізичним особам – іноземцям прямо або опосередковано сукупно належить 10 і більше відсотків статутного капіталу (прав голосу) та яка має намір провадити професійну діяльність на ринках капіталу та організованих товарних ринках, для отримання ліцензії на провадження відповідного виду діяльності, крім документів, зазначених у частинах третій - тринадцятій цієї статті (відповідно до виду професійної діяльності), подає Національній комісії з цінних паперів та фондового ринку письмовий дозвіл на участь фізичної особи – іноземця у заявнику в Україні, виданий уповноваженим контролюючим органом держави, в якій вона має постійне місце проживання, якщо законодавством такої держави вимагається отримання зазначеного дозволу, або письмове запевнення у відсутності в законодавстві відповідної держави вимог (підстав) для отримання такого дозволу.</w:t>
            </w:r>
          </w:p>
          <w:p w14:paraId="44054E45" w14:textId="77777777" w:rsidR="00F97573" w:rsidRPr="00286216" w:rsidRDefault="00F97573" w:rsidP="00F97573">
            <w:pPr>
              <w:pStyle w:val="StyleZakonu"/>
              <w:spacing w:line="218" w:lineRule="exact"/>
              <w:rPr>
                <w:color w:val="000000" w:themeColor="text1"/>
              </w:rPr>
            </w:pPr>
            <w:r w:rsidRPr="00286216">
              <w:rPr>
                <w:color w:val="000000" w:themeColor="text1"/>
              </w:rPr>
              <w:t>16. Юридична особа, яка має намір провадити професійну діяльність на ринках капіталу та організованих товарних ринках, не додає до заяви на видачу ліцензії документи, які Національна комісія з цінних паперів та фондового ринку може безоплатно отримати з державних реєстрів. У такому разі юридична особа зазначає реєстр, що містить необхідну інформацію.</w:t>
            </w:r>
          </w:p>
          <w:p w14:paraId="1A98857C" w14:textId="77777777" w:rsidR="00F97573" w:rsidRPr="00286216" w:rsidRDefault="00F97573" w:rsidP="00F97573">
            <w:pPr>
              <w:pStyle w:val="StyleZakonu"/>
              <w:spacing w:line="218" w:lineRule="exact"/>
              <w:rPr>
                <w:color w:val="000000" w:themeColor="text1"/>
              </w:rPr>
            </w:pPr>
            <w:r w:rsidRPr="00286216">
              <w:rPr>
                <w:color w:val="000000" w:themeColor="text1"/>
              </w:rPr>
              <w:t>17. У разі подання юридичною особою, яка має намір провадити професійну діяльність на ринках капіталу та організованих товарних ринках,  заяви про видачу ліцензії на декілька видів діяльності в межах різних видів професійної діяльності, у повному пакеті документів,  передбачених цією статтею, документи, які є однаковими у кожному переліку для кожного окремого виду професійної діяльності, подаються один раз.</w:t>
            </w:r>
          </w:p>
          <w:p w14:paraId="6845A668"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Юридична особа, яка має намір провадити професійну діяльність на ринках капіталу та організованих товарних ринках і подала будь-яку інформацію, передбаченому цією статтею Національному банку України або Національній комісії з цінних паперів та фондового ринку, має право не додавати таку інформацію до заяви про видачу ліцензії, зазначивши дату подачі таких </w:t>
            </w:r>
            <w:r w:rsidRPr="00286216">
              <w:rPr>
                <w:color w:val="000000" w:themeColor="text1"/>
              </w:rPr>
              <w:lastRenderedPageBreak/>
              <w:t xml:space="preserve">документів та ідентифікаційні дані супровідного документа, за умови надання заяви, що раніше подана інформація є актуальною. </w:t>
            </w:r>
          </w:p>
          <w:p w14:paraId="530DE51B"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Національна комісія з цінних паперів та фондового ринку та Національний банк України зобов’язані у визначеному ними порядку здійснювати обмін інформацією, копіями документів та результатами проведення оцінки ділової репутації щодо осіб, ліцензування діяльності яких вони здійснюють. </w:t>
            </w:r>
          </w:p>
          <w:p w14:paraId="571B2A47" w14:textId="77777777" w:rsidR="00F97573" w:rsidRPr="00286216" w:rsidRDefault="00F97573" w:rsidP="00F97573">
            <w:pPr>
              <w:pStyle w:val="StyleZakonu"/>
              <w:spacing w:line="218" w:lineRule="exact"/>
              <w:rPr>
                <w:color w:val="000000" w:themeColor="text1"/>
              </w:rPr>
            </w:pPr>
            <w:r w:rsidRPr="00286216">
              <w:rPr>
                <w:color w:val="000000" w:themeColor="text1"/>
              </w:rPr>
              <w:t>Документи та інформація, що містять банківську таємницю, надаються в порядку та на умовах, визначених Законом України "Про банки і банківську діяльність".</w:t>
            </w:r>
          </w:p>
          <w:p w14:paraId="4831CE18" w14:textId="77777777" w:rsidR="00F97573" w:rsidRPr="00286216" w:rsidRDefault="00F97573" w:rsidP="00F97573">
            <w:pPr>
              <w:pStyle w:val="StyleZakonu"/>
              <w:spacing w:line="218" w:lineRule="exact"/>
              <w:rPr>
                <w:color w:val="000000" w:themeColor="text1"/>
              </w:rPr>
            </w:pPr>
            <w:r w:rsidRPr="00286216">
              <w:rPr>
                <w:color w:val="000000" w:themeColor="text1"/>
              </w:rPr>
              <w:t>18. Якщо юридична особа, яка вже має ліценцію на провадження одного з видів діяльності в межах професійної діяльності на ринках капіталу та організованих товарних ринках, має намір отримати ліцензію на провадження відповідного виду діяльності в межах іншого виду професійної діяльності на ринках капіталу та організованих товарних ринках (крім обмежень поєднання між собою окремих видів професійної діяльності на ринках капіталу, передбачених цим Законом та іншими актами законодавства, що регулюють порядок здійснення окремих видів професійної діяльності на ринках капіталу), така особа подає до Національної комісії з цінних паперів та фондового ринку заяву про видачу ліцензії відповідно до частини третьої цієї статті та інформацію, передбачену частинами четвертою – п'ятнадцятою цієї статті, відповідно до виду професійної діяльності, з урахування особливостей подання інформації, передбачених частинами шістнадцятою та сімнадцятою цієї статті.</w:t>
            </w:r>
          </w:p>
          <w:p w14:paraId="39BC4290" w14:textId="77777777" w:rsidR="00F97573" w:rsidRPr="00286216" w:rsidRDefault="00F97573" w:rsidP="00F97573">
            <w:pPr>
              <w:pStyle w:val="StyleZakonu"/>
              <w:spacing w:line="218" w:lineRule="exact"/>
              <w:rPr>
                <w:color w:val="000000" w:themeColor="text1"/>
              </w:rPr>
            </w:pPr>
            <w:r w:rsidRPr="00286216">
              <w:rPr>
                <w:color w:val="000000" w:themeColor="text1"/>
              </w:rPr>
              <w:t>19. Інформація, передбачена частинами третьою – п'ятнадцятою цієї статті, також подається до Національної комісії з цінних паперів та фондового ринку в електронному вигляді відповідно до встановлених нею вимог.</w:t>
            </w:r>
          </w:p>
          <w:p w14:paraId="065271F9"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20. Документи, що подаються іноземною юридичною особою та фізичною особою – іноземцем, повинні відповідати вимогам щодо мови документів, встановленим статтею 140 цього Закону. </w:t>
            </w:r>
          </w:p>
          <w:p w14:paraId="23EB00E6"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21. Заявник повідомляє Національну комісію з цінних паперів та фондового ринку офіційним </w:t>
            </w:r>
            <w:r w:rsidRPr="00286216">
              <w:rPr>
                <w:color w:val="000000" w:themeColor="text1"/>
              </w:rPr>
              <w:lastRenderedPageBreak/>
              <w:t xml:space="preserve">каналом зв’язку про будь-які зміни, що сталися протягом строку розгляду заяви про видачу ліцензії, у частині інформації щодо членів його виконавчого органу, що була зазначена у документах, доданих до заяви про видачу ліцензії, протягом 10 робочих днів з дня набрання чинності такими змінами.  </w:t>
            </w:r>
          </w:p>
          <w:p w14:paraId="098E4E2D" w14:textId="77777777" w:rsidR="00F97573" w:rsidRPr="00286216" w:rsidRDefault="00F97573" w:rsidP="00F97573">
            <w:pPr>
              <w:pStyle w:val="StyleZakonu"/>
              <w:spacing w:line="218" w:lineRule="exact"/>
              <w:rPr>
                <w:color w:val="000000" w:themeColor="text1"/>
              </w:rPr>
            </w:pPr>
            <w:r w:rsidRPr="00286216">
              <w:rPr>
                <w:color w:val="000000" w:themeColor="text1"/>
              </w:rPr>
              <w:t>Форма та порядок подачі повідомлення про зміни у інформації встановлюються Національною комісією з цінних паперів та фондового ринку.</w:t>
            </w:r>
          </w:p>
          <w:p w14:paraId="3359C6ED"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22. Національна комісія з цінних паперів та фондового ринку  протягом п’яти робочих днів з дня отримання документів надає юридичній особі, яка має намір провадити професійну діяльність на ринках капіталу та організованих товарних ринках, підтвердження отримання повного переліку документів, передбачених цією статтею, із зазначенням контактної інформації (ім’я (у розумінні Цивільного кодексу України), посада, номери засобів зв’язку) посадової особи, відповідальної за організацію розгляду заяви та доданих до неї документів Національною комісією з цінних паперів та фондового ринку, або повідомляє офіційним каналом зв’язку про залишення заяви про видачу ліцензії без розгляду у зв’язку з отриманням неповного переліку документів із зазначенням відповідних пояснень. </w:t>
            </w:r>
          </w:p>
          <w:p w14:paraId="16313CE1" w14:textId="77777777" w:rsidR="00F97573" w:rsidRPr="00286216" w:rsidRDefault="00F97573" w:rsidP="00F97573">
            <w:pPr>
              <w:pStyle w:val="StyleZakonu"/>
              <w:spacing w:line="218" w:lineRule="exact"/>
              <w:rPr>
                <w:color w:val="000000" w:themeColor="text1"/>
              </w:rPr>
            </w:pPr>
            <w:r w:rsidRPr="00286216">
              <w:rPr>
                <w:color w:val="000000" w:themeColor="text1"/>
              </w:rPr>
              <w:t>У разі якщо подані документи оформлено з порушенням вимог, встановлених Національною комісією з цінних паперів та фондового ринку, такі документи повертаються без розгляду протягом трьох робочих днів з дня їх отримання.</w:t>
            </w:r>
          </w:p>
          <w:p w14:paraId="79F941DA" w14:textId="77777777" w:rsidR="00F97573" w:rsidRPr="00286216" w:rsidRDefault="00F97573" w:rsidP="00F97573">
            <w:pPr>
              <w:pStyle w:val="StyleZakonu"/>
              <w:spacing w:line="218" w:lineRule="exact"/>
              <w:rPr>
                <w:color w:val="000000" w:themeColor="text1"/>
              </w:rPr>
            </w:pPr>
            <w:r w:rsidRPr="00286216">
              <w:rPr>
                <w:color w:val="000000" w:themeColor="text1"/>
              </w:rPr>
              <w:t>23. Протягом строку розгляду заяви про видачу ліцензії, але не пізніше ніж за 30 робочих днів до закінчення строку, встановленого частиною двадцять четвертою цієї статті, Національна комісія з цінних паперів та фондового ринку може одноразово письмово витребувати у заявника додаткову інформацію в чіткій та однозначній формі для уточнення данних, наданих разом із заявою про видачу ліцензії. Строк розгляду заяви та доданих до неї документів продовжується з дня отримання додаткової інформації у відповідь на запит.</w:t>
            </w:r>
          </w:p>
          <w:p w14:paraId="6A603849"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З дня отримання відповіді на запит додаткової інформації та протягом строку, що залишився до закінчення розгляду документів, встановленого </w:t>
            </w:r>
            <w:r w:rsidRPr="00286216">
              <w:rPr>
                <w:color w:val="000000" w:themeColor="text1"/>
              </w:rPr>
              <w:lastRenderedPageBreak/>
              <w:t>частиною двадцять четвертою цієї статті, але не пізніше ніж за 15 робочих днів до закінчення такого строку, Національна комісія з цінних паперів та фондового ринку у разі необхідності отримання додаткової інформації для обробки та аналізу заяви та доданих до неї документів може направити заявнику уточнюючий запит щодо отриманої відповіді, визначивши в чіткій та однозначній формі, яку саме уточнюючу інформацію повинен надати заявник. Запит уточнюючої інформації не зупиняє перебігу строку розгляду документів.</w:t>
            </w:r>
          </w:p>
          <w:p w14:paraId="085C3E89" w14:textId="77777777" w:rsidR="00F97573" w:rsidRPr="00286216" w:rsidRDefault="00F97573" w:rsidP="00F97573">
            <w:pPr>
              <w:pStyle w:val="StyleZakonu"/>
              <w:spacing w:line="218" w:lineRule="exact"/>
              <w:rPr>
                <w:color w:val="000000" w:themeColor="text1"/>
              </w:rPr>
            </w:pPr>
            <w:r w:rsidRPr="00286216">
              <w:rPr>
                <w:color w:val="000000" w:themeColor="text1"/>
              </w:rPr>
              <w:t xml:space="preserve">24. Національна комісія з цінних паперів та фондового ринку в установленому нею порядку приймає рішення про видачу ліцензії на провадження певного виду діяльності в межах професійної діяльності на ринках капіталу та організованих товарних ринках чи про відмову в її видачі протягом  шести місяців з дня надходження заяви та доданих до неї документів, передбачених цією статтею. У разі відсутності іноземних юридичних осіб у структурі власності юридичної особи заявника такий строк становить три місяці. Про прийняте рішення Національна комісія з цінних паперів та фондового ринку </w:t>
            </w:r>
            <w:r w:rsidRPr="00286216">
              <w:rPr>
                <w:color w:val="000000" w:themeColor="text1"/>
                <w:spacing w:val="-2"/>
                <w:szCs w:val="18"/>
              </w:rPr>
              <w:t>протягом п’яти робочих днів</w:t>
            </w:r>
            <w:r w:rsidRPr="00286216">
              <w:rPr>
                <w:color w:val="000000" w:themeColor="text1"/>
              </w:rPr>
              <w:t xml:space="preserve"> повідомляє заявника офіційним каналом зв’язку та/або шляхом направлення відповідного листа. </w:t>
            </w:r>
          </w:p>
          <w:p w14:paraId="55D7C477" w14:textId="77777777" w:rsidR="00F97573" w:rsidRPr="00286216" w:rsidRDefault="00F97573" w:rsidP="00F97573">
            <w:pPr>
              <w:pStyle w:val="StyleZakonu"/>
              <w:spacing w:line="218" w:lineRule="exact"/>
              <w:rPr>
                <w:color w:val="000000" w:themeColor="text1"/>
              </w:rPr>
            </w:pPr>
            <w:r w:rsidRPr="00286216">
              <w:rPr>
                <w:color w:val="000000" w:themeColor="text1"/>
              </w:rPr>
              <w:t>Ліцензія видається Національною комісією з цінних паперів та фондового ринку за умови, що заявник відповідає усім вимогам законодавства. Строк дії ліцензії на провадження певного виду діяльності на ринках капіталу та організованих товарних ринках є необмеженим.</w:t>
            </w:r>
          </w:p>
          <w:p w14:paraId="5198F9FF" w14:textId="77777777" w:rsidR="00F97573" w:rsidRPr="00286216" w:rsidRDefault="00F97573" w:rsidP="00F97573">
            <w:pPr>
              <w:pStyle w:val="StyleZakonu"/>
              <w:spacing w:line="218" w:lineRule="exact"/>
              <w:rPr>
                <w:color w:val="000000" w:themeColor="text1"/>
              </w:rPr>
            </w:pPr>
            <w:r w:rsidRPr="00286216">
              <w:rPr>
                <w:color w:val="000000" w:themeColor="text1"/>
              </w:rPr>
              <w:t>25. Професійний учасник ринків капіталу та організованих товарних ринків не має права передавати ліцензію на провадження відповідного виду діяльності на ринках капіталу та організованих товарних ринках третім особам.</w:t>
            </w:r>
          </w:p>
          <w:p w14:paraId="74BB93A2" w14:textId="77777777" w:rsidR="00F97573" w:rsidRPr="00286216" w:rsidRDefault="00F97573" w:rsidP="00F97573">
            <w:pPr>
              <w:pStyle w:val="StyleZakonu"/>
              <w:spacing w:line="218" w:lineRule="exact"/>
              <w:rPr>
                <w:color w:val="000000" w:themeColor="text1"/>
              </w:rPr>
            </w:pPr>
            <w:r w:rsidRPr="00286216">
              <w:rPr>
                <w:color w:val="000000" w:themeColor="text1"/>
              </w:rPr>
              <w:t>Не є передачею ліцензії передача третім особам частини процесів або покладання на третіх осіб частини функцій, що забезпечують діяльність професійного учасника ринків капіталу та організованих товарних ринків на відповідному ринку, здійснена на підставі договору щодо аутсорсингу в порядку, встановленому Національною комісією з цінних паперів та фондового ринку.</w:t>
            </w:r>
          </w:p>
          <w:p w14:paraId="5B1BB28C" w14:textId="77777777" w:rsidR="00F97573" w:rsidRPr="00286216" w:rsidRDefault="00F97573" w:rsidP="00F97573">
            <w:pPr>
              <w:pStyle w:val="StyleZakonu"/>
              <w:spacing w:line="218" w:lineRule="exact"/>
              <w:rPr>
                <w:color w:val="000000" w:themeColor="text1"/>
                <w:spacing w:val="-1"/>
              </w:rPr>
            </w:pPr>
            <w:r w:rsidRPr="00286216">
              <w:rPr>
                <w:color w:val="000000" w:themeColor="text1"/>
                <w:spacing w:val="-1"/>
              </w:rPr>
              <w:lastRenderedPageBreak/>
              <w:t>26. Посадові особи професійного учасника ринків капіталу та організованих товарних ринків та власники істотної участі у заявнику зобов’язані протягом усього часу, коли вони зберігають свій статус або мають істотну участь у професійному учаснику ринків капіталу та організованих товарних ринків, відповідати вимогам, встановленим законом та нормативно-правовими актами Національної комісії з цінних паперів та фондового ринку.</w:t>
            </w:r>
          </w:p>
          <w:p w14:paraId="3BA5150C" w14:textId="509D9913" w:rsidR="00F97573" w:rsidRPr="00286216" w:rsidRDefault="00F97573" w:rsidP="00156F98">
            <w:pPr>
              <w:pStyle w:val="StyleZakonu"/>
              <w:spacing w:after="0" w:line="218" w:lineRule="exact"/>
              <w:rPr>
                <w:color w:val="000000" w:themeColor="text1"/>
              </w:rPr>
            </w:pPr>
            <w:r w:rsidRPr="00286216">
              <w:rPr>
                <w:color w:val="000000" w:themeColor="text1"/>
              </w:rPr>
              <w:t>27. Національна комісія з цінних паперів та фондового ринку визначає особливості порядку подання та вимоги до заяви і оформлення документів, що подаються іноземними юридичними особами для отримання ліцензії на провадження відповідного виду діяльності в межах професійної діяльності на ринках капіталу та організованих товарних ринках.</w:t>
            </w:r>
          </w:p>
        </w:tc>
      </w:tr>
      <w:bookmarkEnd w:id="876"/>
      <w:tr w:rsidR="00F97573" w:rsidRPr="00286216" w14:paraId="05194408" w14:textId="77777777" w:rsidTr="00091AA5">
        <w:tc>
          <w:tcPr>
            <w:tcW w:w="576" w:type="dxa"/>
          </w:tcPr>
          <w:p w14:paraId="7A2F57F5" w14:textId="77777777" w:rsidR="00F97573" w:rsidRPr="00286216" w:rsidRDefault="00F97573" w:rsidP="00F97573">
            <w:pPr>
              <w:pStyle w:val="StyleWisnow"/>
              <w:rPr>
                <w:color w:val="000000" w:themeColor="text1"/>
              </w:rPr>
            </w:pPr>
          </w:p>
        </w:tc>
        <w:tc>
          <w:tcPr>
            <w:tcW w:w="4818" w:type="dxa"/>
          </w:tcPr>
          <w:p w14:paraId="054E4E2A" w14:textId="77777777" w:rsidR="00F97573" w:rsidRPr="00286216" w:rsidRDefault="00F97573" w:rsidP="00F97573">
            <w:pPr>
              <w:pStyle w:val="StyleZakonu"/>
              <w:rPr>
                <w:color w:val="000000" w:themeColor="text1"/>
              </w:rPr>
            </w:pPr>
          </w:p>
        </w:tc>
        <w:tc>
          <w:tcPr>
            <w:tcW w:w="3686" w:type="dxa"/>
          </w:tcPr>
          <w:p w14:paraId="281953FC" w14:textId="17C7775D" w:rsidR="00F97573" w:rsidRPr="00286216" w:rsidRDefault="00F97573" w:rsidP="00F9757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641</w:t>
            </w:r>
            <w:r w:rsidRPr="00286216">
              <w:rPr>
                <w:color w:val="000000" w:themeColor="text1"/>
              </w:rPr>
              <w:fldChar w:fldCharType="end"/>
            </w:r>
            <w:r w:rsidRPr="00286216">
              <w:rPr>
                <w:color w:val="000000" w:themeColor="text1"/>
              </w:rPr>
              <w:t>-Н.д.Шахов С.В. (Реєстр.картка №114)</w:t>
            </w:r>
          </w:p>
          <w:p w14:paraId="6EB7C342" w14:textId="77777777" w:rsidR="00F97573" w:rsidRPr="00286216" w:rsidRDefault="00F97573" w:rsidP="00F97573">
            <w:pPr>
              <w:pStyle w:val="StyleProp"/>
              <w:rPr>
                <w:color w:val="000000" w:themeColor="text1"/>
              </w:rPr>
            </w:pPr>
            <w:r w:rsidRPr="00286216">
              <w:rPr>
                <w:color w:val="000000" w:themeColor="text1"/>
              </w:rPr>
              <w:t>Абзац 1 частини 1 статті 67 доповнити словами "або на інших підставах, визначених законодавством про товарні ринки".</w:t>
            </w:r>
          </w:p>
        </w:tc>
        <w:tc>
          <w:tcPr>
            <w:tcW w:w="1987" w:type="dxa"/>
          </w:tcPr>
          <w:p w14:paraId="1ACABD94" w14:textId="77777777" w:rsidR="00F97573" w:rsidRPr="00286216" w:rsidRDefault="00F97573" w:rsidP="00F97573">
            <w:pPr>
              <w:pStyle w:val="StyleWisnow"/>
              <w:rPr>
                <w:color w:val="000000" w:themeColor="text1"/>
              </w:rPr>
            </w:pPr>
            <w:r w:rsidRPr="00286216">
              <w:rPr>
                <w:color w:val="000000" w:themeColor="text1"/>
              </w:rPr>
              <w:t>Відхилено</w:t>
            </w:r>
          </w:p>
          <w:p w14:paraId="6ED7A151" w14:textId="59753746" w:rsidR="00F97573" w:rsidRPr="00286216" w:rsidRDefault="00F97573" w:rsidP="00F97573">
            <w:pPr>
              <w:pStyle w:val="StyleWisnow"/>
              <w:spacing w:line="180" w:lineRule="exact"/>
              <w:rPr>
                <w:color w:val="000000" w:themeColor="text1"/>
                <w:spacing w:val="-4"/>
              </w:rPr>
            </w:pPr>
            <w:r w:rsidRPr="00286216">
              <w:rPr>
                <w:color w:val="000000" w:themeColor="text1"/>
                <w:spacing w:val="-4"/>
              </w:rPr>
              <w:t xml:space="preserve">інші, окрім ліцензії, </w:t>
            </w:r>
            <w:r w:rsidRPr="00286216">
              <w:rPr>
                <w:color w:val="000000" w:themeColor="text1"/>
                <w:spacing w:val="-3"/>
              </w:rPr>
              <w:t>підстави провадження</w:t>
            </w:r>
            <w:r w:rsidRPr="00286216">
              <w:rPr>
                <w:color w:val="000000" w:themeColor="text1"/>
                <w:spacing w:val="-4"/>
              </w:rPr>
              <w:t xml:space="preserve"> </w:t>
            </w:r>
            <w:r w:rsidRPr="00286216">
              <w:rPr>
                <w:color w:val="000000" w:themeColor="text1"/>
                <w:spacing w:val="-6"/>
              </w:rPr>
              <w:t>діяльності</w:t>
            </w:r>
            <w:r w:rsidRPr="00286216">
              <w:rPr>
                <w:color w:val="000000" w:themeColor="text1"/>
                <w:spacing w:val="-4"/>
              </w:rPr>
              <w:t xml:space="preserve"> </w:t>
            </w:r>
            <w:r w:rsidRPr="00286216">
              <w:rPr>
                <w:color w:val="000000" w:themeColor="text1"/>
                <w:spacing w:val="-6"/>
              </w:rPr>
              <w:t>не передбачені</w:t>
            </w:r>
            <w:r w:rsidRPr="00286216">
              <w:rPr>
                <w:color w:val="000000" w:themeColor="text1"/>
                <w:spacing w:val="-4"/>
              </w:rPr>
              <w:t xml:space="preserve"> законодавством </w:t>
            </w:r>
          </w:p>
        </w:tc>
        <w:tc>
          <w:tcPr>
            <w:tcW w:w="4818" w:type="dxa"/>
          </w:tcPr>
          <w:p w14:paraId="6154965C" w14:textId="77777777" w:rsidR="00F97573" w:rsidRPr="00286216" w:rsidRDefault="00F97573" w:rsidP="00F97573">
            <w:pPr>
              <w:pStyle w:val="StyleZakonu"/>
              <w:rPr>
                <w:color w:val="000000" w:themeColor="text1"/>
              </w:rPr>
            </w:pPr>
          </w:p>
        </w:tc>
      </w:tr>
      <w:tr w:rsidR="00291EAB" w:rsidRPr="00286216" w14:paraId="09218D8A" w14:textId="77777777" w:rsidTr="00091AA5">
        <w:tc>
          <w:tcPr>
            <w:tcW w:w="576" w:type="dxa"/>
          </w:tcPr>
          <w:p w14:paraId="35539D01" w14:textId="77777777" w:rsidR="00291EAB" w:rsidRPr="00286216" w:rsidRDefault="00291EAB" w:rsidP="00291EAB">
            <w:pPr>
              <w:pStyle w:val="StyleWisnow"/>
              <w:rPr>
                <w:color w:val="000000" w:themeColor="text1"/>
              </w:rPr>
            </w:pPr>
            <w:bookmarkStart w:id="877" w:name="n1153" w:colFirst="0" w:colLast="0"/>
            <w:r w:rsidRPr="00286216">
              <w:rPr>
                <w:color w:val="000000" w:themeColor="text1"/>
              </w:rPr>
              <w:t>1153.</w:t>
            </w:r>
          </w:p>
        </w:tc>
        <w:tc>
          <w:tcPr>
            <w:tcW w:w="4818" w:type="dxa"/>
          </w:tcPr>
          <w:p w14:paraId="63BB0EBF" w14:textId="77777777" w:rsidR="00291EAB" w:rsidRPr="00286216" w:rsidRDefault="00291EAB" w:rsidP="00291EAB">
            <w:pPr>
              <w:pStyle w:val="StyleZakonu"/>
              <w:rPr>
                <w:color w:val="000000" w:themeColor="text1"/>
              </w:rPr>
            </w:pPr>
            <w:r w:rsidRPr="00286216">
              <w:rPr>
                <w:color w:val="000000" w:themeColor="text1"/>
              </w:rPr>
              <w:t>Інформація про отримання ліцензії на провадження відповідного виду професійної діяльності на ринках капіталу та організованих товарних ринках вноситься до реєстру професійних учасників ринків капіталу та організованих товарних ринків.</w:t>
            </w:r>
          </w:p>
        </w:tc>
        <w:tc>
          <w:tcPr>
            <w:tcW w:w="3686" w:type="dxa"/>
          </w:tcPr>
          <w:p w14:paraId="1A3197FF" w14:textId="22560085"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642</w:t>
            </w:r>
            <w:r w:rsidRPr="00286216">
              <w:rPr>
                <w:color w:val="000000" w:themeColor="text1"/>
              </w:rPr>
              <w:fldChar w:fldCharType="end"/>
            </w:r>
            <w:r w:rsidRPr="00286216">
              <w:rPr>
                <w:color w:val="000000" w:themeColor="text1"/>
              </w:rPr>
              <w:t>-Н.д.Шахов С.В. (Реєстр.картка №114)</w:t>
            </w:r>
          </w:p>
          <w:p w14:paraId="7BA0C69C" w14:textId="77777777" w:rsidR="00291EAB" w:rsidRPr="00286216" w:rsidRDefault="00291EAB" w:rsidP="00291EAB">
            <w:pPr>
              <w:pStyle w:val="StyleProp"/>
              <w:rPr>
                <w:color w:val="000000" w:themeColor="text1"/>
              </w:rPr>
            </w:pPr>
            <w:r w:rsidRPr="00286216">
              <w:rPr>
                <w:color w:val="000000" w:themeColor="text1"/>
              </w:rPr>
              <w:t>Абзац 2 частини 1 статті 67 доповнити словами "якщо інше не встановлено законодавством про товарні ринки".</w:t>
            </w:r>
          </w:p>
        </w:tc>
        <w:tc>
          <w:tcPr>
            <w:tcW w:w="1987" w:type="dxa"/>
          </w:tcPr>
          <w:p w14:paraId="61F0389E"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57B8FF9B" w14:textId="00D660BC" w:rsidR="00291EAB" w:rsidRPr="00286216" w:rsidRDefault="00291EAB" w:rsidP="00291EAB">
            <w:pPr>
              <w:pStyle w:val="StyleWisnow"/>
              <w:spacing w:line="180" w:lineRule="exact"/>
              <w:rPr>
                <w:color w:val="000000" w:themeColor="text1"/>
              </w:rPr>
            </w:pPr>
            <w:r w:rsidRPr="00286216">
              <w:rPr>
                <w:color w:val="000000" w:themeColor="text1"/>
              </w:rPr>
              <w:t xml:space="preserve">ринки капіталу та організовані товарні ринки регулюються цим Законом та повинні відображатись у даному реєстрі </w:t>
            </w:r>
          </w:p>
        </w:tc>
        <w:tc>
          <w:tcPr>
            <w:tcW w:w="4818" w:type="dxa"/>
          </w:tcPr>
          <w:p w14:paraId="6F32C0F6" w14:textId="77777777" w:rsidR="00291EAB" w:rsidRPr="00286216" w:rsidRDefault="00291EAB" w:rsidP="00291EAB">
            <w:pPr>
              <w:pStyle w:val="StyleZakonu"/>
              <w:rPr>
                <w:color w:val="000000" w:themeColor="text1"/>
              </w:rPr>
            </w:pPr>
          </w:p>
        </w:tc>
      </w:tr>
      <w:tr w:rsidR="00291EAB" w:rsidRPr="00286216" w14:paraId="604C5AFE" w14:textId="77777777" w:rsidTr="00091AA5">
        <w:tc>
          <w:tcPr>
            <w:tcW w:w="576" w:type="dxa"/>
          </w:tcPr>
          <w:p w14:paraId="673F9776" w14:textId="77777777" w:rsidR="00291EAB" w:rsidRPr="00286216" w:rsidRDefault="00291EAB" w:rsidP="00291EAB">
            <w:pPr>
              <w:pStyle w:val="StyleWisnow"/>
              <w:rPr>
                <w:color w:val="000000" w:themeColor="text1"/>
              </w:rPr>
            </w:pPr>
            <w:bookmarkStart w:id="878" w:name="n1154" w:colFirst="0" w:colLast="0"/>
            <w:bookmarkEnd w:id="877"/>
            <w:r w:rsidRPr="00286216">
              <w:rPr>
                <w:color w:val="000000" w:themeColor="text1"/>
              </w:rPr>
              <w:t>1154.</w:t>
            </w:r>
          </w:p>
        </w:tc>
        <w:tc>
          <w:tcPr>
            <w:tcW w:w="4818" w:type="dxa"/>
          </w:tcPr>
          <w:p w14:paraId="0DA269C7" w14:textId="77777777" w:rsidR="00291EAB" w:rsidRPr="00286216" w:rsidRDefault="00291EAB" w:rsidP="00291EAB">
            <w:pPr>
              <w:pStyle w:val="StyleZakonu"/>
              <w:rPr>
                <w:color w:val="000000" w:themeColor="text1"/>
              </w:rPr>
            </w:pPr>
            <w:r w:rsidRPr="00286216">
              <w:rPr>
                <w:color w:val="000000" w:themeColor="text1"/>
              </w:rPr>
              <w:t>Провадження професійної діяльності на ринках капіталу та організованих товарних ринках без отримання зазначеної ліцензії забороняється.</w:t>
            </w:r>
          </w:p>
        </w:tc>
        <w:tc>
          <w:tcPr>
            <w:tcW w:w="3686" w:type="dxa"/>
          </w:tcPr>
          <w:p w14:paraId="2AC0BDF4" w14:textId="42660F6D"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643</w:t>
            </w:r>
            <w:r w:rsidRPr="00286216">
              <w:rPr>
                <w:color w:val="000000" w:themeColor="text1"/>
                <w:spacing w:val="-10"/>
              </w:rPr>
              <w:fldChar w:fldCharType="end"/>
            </w:r>
            <w:r w:rsidRPr="00286216">
              <w:rPr>
                <w:color w:val="000000" w:themeColor="text1"/>
                <w:spacing w:val="-10"/>
              </w:rPr>
              <w:t>-Н.д.Гетманцев Д.О.(Реєстр.картка №245)</w:t>
            </w:r>
          </w:p>
          <w:p w14:paraId="3F43F822" w14:textId="77777777" w:rsidR="00291EAB" w:rsidRPr="00286216" w:rsidRDefault="00291EAB" w:rsidP="00291EAB">
            <w:pPr>
              <w:pStyle w:val="StyleProp"/>
              <w:rPr>
                <w:color w:val="000000" w:themeColor="text1"/>
              </w:rPr>
            </w:pPr>
            <w:r w:rsidRPr="00286216">
              <w:rPr>
                <w:color w:val="000000" w:themeColor="text1"/>
              </w:rPr>
              <w:t>У статті 67 абзац третій частини першої доповнити новим реченням такого змісту: «Провадження виду професійної діяльності на ринках капіталу чи на організованих товарних ринках, який не передбачений відповідною ліцензію Національної комісії з цінних паперів та фондового ринку, забороняється.».</w:t>
            </w:r>
          </w:p>
        </w:tc>
        <w:tc>
          <w:tcPr>
            <w:tcW w:w="1987" w:type="dxa"/>
          </w:tcPr>
          <w:p w14:paraId="2D92F690" w14:textId="628ACFED"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7A09AD5A" w14:textId="77777777" w:rsidR="00291EAB" w:rsidRPr="00286216" w:rsidRDefault="00291EAB" w:rsidP="00291EAB">
            <w:pPr>
              <w:pStyle w:val="StyleZakonu"/>
              <w:rPr>
                <w:color w:val="000000" w:themeColor="text1"/>
              </w:rPr>
            </w:pPr>
          </w:p>
        </w:tc>
      </w:tr>
      <w:bookmarkEnd w:id="878"/>
      <w:tr w:rsidR="00291EAB" w:rsidRPr="00286216" w14:paraId="604F60D3" w14:textId="77777777" w:rsidTr="00091AA5">
        <w:tc>
          <w:tcPr>
            <w:tcW w:w="576" w:type="dxa"/>
          </w:tcPr>
          <w:p w14:paraId="6C4BA181" w14:textId="77777777" w:rsidR="00291EAB" w:rsidRPr="00286216" w:rsidRDefault="00291EAB" w:rsidP="00291EAB">
            <w:pPr>
              <w:pStyle w:val="StyleWisnow"/>
              <w:rPr>
                <w:color w:val="000000" w:themeColor="text1"/>
              </w:rPr>
            </w:pPr>
          </w:p>
        </w:tc>
        <w:tc>
          <w:tcPr>
            <w:tcW w:w="4818" w:type="dxa"/>
          </w:tcPr>
          <w:p w14:paraId="2C7FCCE6" w14:textId="77777777" w:rsidR="00291EAB" w:rsidRPr="00286216" w:rsidRDefault="00291EAB" w:rsidP="00291EAB">
            <w:pPr>
              <w:pStyle w:val="StyleZakonu"/>
              <w:rPr>
                <w:color w:val="000000" w:themeColor="text1"/>
              </w:rPr>
            </w:pPr>
          </w:p>
        </w:tc>
        <w:tc>
          <w:tcPr>
            <w:tcW w:w="3686" w:type="dxa"/>
          </w:tcPr>
          <w:p w14:paraId="3DE450EC" w14:textId="60E09232"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644</w:t>
            </w:r>
            <w:r w:rsidRPr="00286216">
              <w:rPr>
                <w:color w:val="000000" w:themeColor="text1"/>
              </w:rPr>
              <w:fldChar w:fldCharType="end"/>
            </w:r>
            <w:r w:rsidRPr="00286216">
              <w:rPr>
                <w:color w:val="000000" w:themeColor="text1"/>
              </w:rPr>
              <w:t>-Н.д.Шахов С.В. (Реєстр.картка №114)</w:t>
            </w:r>
          </w:p>
          <w:p w14:paraId="7B013E81" w14:textId="77777777" w:rsidR="00291EAB" w:rsidRPr="00286216" w:rsidRDefault="00291EAB" w:rsidP="00291EAB">
            <w:pPr>
              <w:pStyle w:val="StyleProp"/>
              <w:rPr>
                <w:color w:val="000000" w:themeColor="text1"/>
                <w:szCs w:val="18"/>
              </w:rPr>
            </w:pPr>
            <w:r w:rsidRPr="00286216">
              <w:rPr>
                <w:color w:val="000000" w:themeColor="text1"/>
              </w:rPr>
              <w:t>Абзац 3 частини 1 статті 67 доповнити словами "якщо інше не встановлено Законом України «Про товарну біржу» та/або законодавством про товарні ринки".</w:t>
            </w:r>
          </w:p>
        </w:tc>
        <w:tc>
          <w:tcPr>
            <w:tcW w:w="1987" w:type="dxa"/>
          </w:tcPr>
          <w:p w14:paraId="79C7D3B8"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0212399A" w14:textId="77777777" w:rsidR="00291EAB" w:rsidRPr="00286216" w:rsidRDefault="00291EAB" w:rsidP="00291EAB">
            <w:pPr>
              <w:pStyle w:val="StyleWisnow"/>
              <w:spacing w:line="180" w:lineRule="exact"/>
              <w:rPr>
                <w:color w:val="000000" w:themeColor="text1"/>
              </w:rPr>
            </w:pPr>
            <w:r w:rsidRPr="00286216">
              <w:rPr>
                <w:color w:val="000000" w:themeColor="text1"/>
              </w:rPr>
              <w:t>отримання ліцензії є необхідною передумовою професійної діяльності</w:t>
            </w:r>
          </w:p>
        </w:tc>
        <w:tc>
          <w:tcPr>
            <w:tcW w:w="4818" w:type="dxa"/>
          </w:tcPr>
          <w:p w14:paraId="103870E3" w14:textId="77777777" w:rsidR="00291EAB" w:rsidRPr="00286216" w:rsidRDefault="00291EAB" w:rsidP="00291EAB">
            <w:pPr>
              <w:pStyle w:val="StyleZakonu"/>
              <w:rPr>
                <w:color w:val="000000" w:themeColor="text1"/>
              </w:rPr>
            </w:pPr>
          </w:p>
        </w:tc>
      </w:tr>
      <w:tr w:rsidR="00291EAB" w:rsidRPr="00286216" w14:paraId="121856E7" w14:textId="77777777" w:rsidTr="00091AA5">
        <w:tc>
          <w:tcPr>
            <w:tcW w:w="576" w:type="dxa"/>
          </w:tcPr>
          <w:p w14:paraId="60425D83" w14:textId="77777777" w:rsidR="00291EAB" w:rsidRPr="00286216" w:rsidRDefault="00291EAB" w:rsidP="00291EAB">
            <w:pPr>
              <w:pStyle w:val="StyleWisnow"/>
              <w:rPr>
                <w:color w:val="000000" w:themeColor="text1"/>
              </w:rPr>
            </w:pPr>
            <w:bookmarkStart w:id="879" w:name="n1155" w:colFirst="0" w:colLast="0"/>
            <w:r w:rsidRPr="00286216">
              <w:rPr>
                <w:color w:val="000000" w:themeColor="text1"/>
              </w:rPr>
              <w:t>1155.</w:t>
            </w:r>
          </w:p>
        </w:tc>
        <w:tc>
          <w:tcPr>
            <w:tcW w:w="4818" w:type="dxa"/>
          </w:tcPr>
          <w:p w14:paraId="6D0A42C7" w14:textId="77777777" w:rsidR="00291EAB" w:rsidRPr="00286216" w:rsidRDefault="00291EAB" w:rsidP="00291EAB">
            <w:pPr>
              <w:pStyle w:val="StyleZakonu"/>
              <w:rPr>
                <w:color w:val="000000" w:themeColor="text1"/>
              </w:rPr>
            </w:pPr>
            <w:r w:rsidRPr="00286216">
              <w:rPr>
                <w:color w:val="000000" w:themeColor="text1"/>
              </w:rPr>
              <w:t xml:space="preserve">2. Юридична особа, яка має намір провадити професійну діяльність на ринках капіталу та організованих товарних ринках, для отримання ліцензії на провадження відповідного виду такої діяльності подає Національній комісії з цінних паперів та фондового ринку відповідно до вимог, в </w:t>
            </w:r>
            <w:r w:rsidRPr="00286216">
              <w:rPr>
                <w:color w:val="000000" w:themeColor="text1"/>
              </w:rPr>
              <w:lastRenderedPageBreak/>
              <w:t>порядку та за формою, що встановлені Національною комісією з цінних паперів та фондового ринку, наступні документи та інформацію:</w:t>
            </w:r>
          </w:p>
        </w:tc>
        <w:tc>
          <w:tcPr>
            <w:tcW w:w="3686" w:type="dxa"/>
          </w:tcPr>
          <w:p w14:paraId="3DB0C47A" w14:textId="457D19E8" w:rsidR="00291EAB" w:rsidRPr="00286216" w:rsidRDefault="00291EAB" w:rsidP="00291EAB">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645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16E63A6" w14:textId="77777777" w:rsidR="00291EAB" w:rsidRPr="00286216" w:rsidRDefault="00291EAB" w:rsidP="00291EAB">
            <w:pPr>
              <w:pStyle w:val="StyleProp"/>
              <w:rPr>
                <w:color w:val="000000" w:themeColor="text1"/>
                <w:szCs w:val="18"/>
              </w:rPr>
            </w:pPr>
            <w:r w:rsidRPr="00286216">
              <w:rPr>
                <w:color w:val="000000" w:themeColor="text1"/>
                <w:szCs w:val="18"/>
              </w:rPr>
              <w:t xml:space="preserve">В абзаці четвертому статті 67 Закону "Про </w:t>
            </w:r>
            <w:r w:rsidRPr="00286216">
              <w:rPr>
                <w:rFonts w:eastAsia="Calibri"/>
                <w:color w:val="000000" w:themeColor="text1"/>
                <w:szCs w:val="18"/>
              </w:rPr>
              <w:t>ринки капіталу та організовані товарні ринки» слова "</w:t>
            </w:r>
            <w:r w:rsidRPr="00286216">
              <w:rPr>
                <w:color w:val="000000" w:themeColor="text1"/>
                <w:szCs w:val="18"/>
              </w:rPr>
              <w:t xml:space="preserve">відповідно до вимог, в порядку та за формою, що встановлені Національною комісією з цінних паперів та </w:t>
            </w:r>
            <w:r w:rsidRPr="00286216">
              <w:rPr>
                <w:color w:val="000000" w:themeColor="text1"/>
                <w:szCs w:val="18"/>
              </w:rPr>
              <w:lastRenderedPageBreak/>
              <w:t>фондового ринку, наступні документи та інформацію" замінити словами "заяву про видачу ліцензії за формою, встановленою Національною комісією з цінних паперів та фондового ринку".</w:t>
            </w:r>
          </w:p>
        </w:tc>
        <w:tc>
          <w:tcPr>
            <w:tcW w:w="1987" w:type="dxa"/>
          </w:tcPr>
          <w:p w14:paraId="42F19D4A" w14:textId="007C6D66" w:rsidR="00291EAB" w:rsidRPr="00286216" w:rsidRDefault="00291EAB" w:rsidP="00291EAB">
            <w:pPr>
              <w:pStyle w:val="StyleWisnow"/>
              <w:spacing w:line="180" w:lineRule="exact"/>
              <w:rPr>
                <w:color w:val="000000" w:themeColor="text1"/>
              </w:rPr>
            </w:pPr>
            <w:r w:rsidRPr="00286216">
              <w:rPr>
                <w:color w:val="000000" w:themeColor="text1"/>
              </w:rPr>
              <w:lastRenderedPageBreak/>
              <w:t xml:space="preserve">Враховано редакційно у запропонованій редакції статті </w:t>
            </w:r>
            <w:r w:rsidRPr="00286216">
              <w:rPr>
                <w:color w:val="000000" w:themeColor="text1"/>
                <w:lang w:val="ru-RU"/>
              </w:rPr>
              <w:t>71</w:t>
            </w:r>
          </w:p>
        </w:tc>
        <w:tc>
          <w:tcPr>
            <w:tcW w:w="4818" w:type="dxa"/>
          </w:tcPr>
          <w:p w14:paraId="4A2BEC62" w14:textId="77777777" w:rsidR="00291EAB" w:rsidRPr="00286216" w:rsidRDefault="00291EAB" w:rsidP="00291EAB">
            <w:pPr>
              <w:pStyle w:val="StyleZakonu"/>
              <w:rPr>
                <w:color w:val="000000" w:themeColor="text1"/>
              </w:rPr>
            </w:pPr>
          </w:p>
        </w:tc>
      </w:tr>
      <w:bookmarkEnd w:id="879"/>
      <w:tr w:rsidR="00291EAB" w:rsidRPr="00286216" w14:paraId="49BBEF62" w14:textId="77777777" w:rsidTr="00091AA5">
        <w:tc>
          <w:tcPr>
            <w:tcW w:w="576" w:type="dxa"/>
          </w:tcPr>
          <w:p w14:paraId="4ACA9397" w14:textId="77777777" w:rsidR="00291EAB" w:rsidRPr="00286216" w:rsidRDefault="00291EAB" w:rsidP="00291EAB">
            <w:pPr>
              <w:pStyle w:val="StyleWisnow"/>
              <w:rPr>
                <w:color w:val="000000" w:themeColor="text1"/>
              </w:rPr>
            </w:pPr>
          </w:p>
        </w:tc>
        <w:tc>
          <w:tcPr>
            <w:tcW w:w="4818" w:type="dxa"/>
          </w:tcPr>
          <w:p w14:paraId="588CE01F" w14:textId="77777777" w:rsidR="00291EAB" w:rsidRPr="00286216" w:rsidRDefault="00291EAB" w:rsidP="00291EAB">
            <w:pPr>
              <w:pStyle w:val="StyleZakonu"/>
              <w:rPr>
                <w:color w:val="000000" w:themeColor="text1"/>
              </w:rPr>
            </w:pPr>
          </w:p>
        </w:tc>
        <w:tc>
          <w:tcPr>
            <w:tcW w:w="3686" w:type="dxa"/>
          </w:tcPr>
          <w:p w14:paraId="2F7EDE0E" w14:textId="220A0129" w:rsidR="00291EAB" w:rsidRPr="00286216" w:rsidRDefault="00291EAB" w:rsidP="00291EA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646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1197BEE" w14:textId="77777777" w:rsidR="00291EAB" w:rsidRPr="00286216" w:rsidRDefault="00291EAB" w:rsidP="00291EAB">
            <w:pPr>
              <w:pStyle w:val="StyleProp"/>
              <w:rPr>
                <w:color w:val="000000" w:themeColor="text1"/>
                <w:szCs w:val="18"/>
              </w:rPr>
            </w:pPr>
            <w:r w:rsidRPr="00286216">
              <w:rPr>
                <w:color w:val="000000" w:themeColor="text1"/>
                <w:szCs w:val="18"/>
              </w:rPr>
              <w:t>У пункті 1 частини 2 статті 67 нової редакції Закону слова «торгівлі фінансовими інструментами» замінити словами «обігу фінансових інструментів».</w:t>
            </w:r>
          </w:p>
        </w:tc>
        <w:tc>
          <w:tcPr>
            <w:tcW w:w="1987" w:type="dxa"/>
          </w:tcPr>
          <w:p w14:paraId="39B41FD2" w14:textId="77777777" w:rsidR="00291EAB" w:rsidRPr="00286216" w:rsidRDefault="00291EAB" w:rsidP="00291EAB">
            <w:pPr>
              <w:pStyle w:val="StyleWisnow"/>
              <w:rPr>
                <w:color w:val="000000" w:themeColor="text1"/>
              </w:rPr>
            </w:pPr>
            <w:r w:rsidRPr="00286216">
              <w:rPr>
                <w:color w:val="000000" w:themeColor="text1"/>
              </w:rPr>
              <w:t>Відхилено</w:t>
            </w:r>
          </w:p>
          <w:p w14:paraId="4E358445" w14:textId="77777777" w:rsidR="00291EAB" w:rsidRPr="00286216" w:rsidRDefault="00291EAB" w:rsidP="00291EAB">
            <w:pPr>
              <w:pStyle w:val="StyleWisnow"/>
              <w:spacing w:line="180" w:lineRule="exact"/>
              <w:rPr>
                <w:color w:val="000000" w:themeColor="text1"/>
              </w:rPr>
            </w:pPr>
            <w:r w:rsidRPr="00286216">
              <w:rPr>
                <w:color w:val="000000" w:themeColor="text1"/>
              </w:rPr>
              <w:t>обіг - це процес, а не вид професійної діяльності</w:t>
            </w:r>
          </w:p>
        </w:tc>
        <w:tc>
          <w:tcPr>
            <w:tcW w:w="4818" w:type="dxa"/>
          </w:tcPr>
          <w:p w14:paraId="762021C1" w14:textId="77777777" w:rsidR="00291EAB" w:rsidRPr="00286216" w:rsidRDefault="00291EAB" w:rsidP="00291EAB">
            <w:pPr>
              <w:pStyle w:val="StyleZakonu"/>
              <w:rPr>
                <w:color w:val="000000" w:themeColor="text1"/>
              </w:rPr>
            </w:pPr>
          </w:p>
        </w:tc>
      </w:tr>
      <w:tr w:rsidR="00291EAB" w:rsidRPr="00286216" w14:paraId="1FA8F26D" w14:textId="77777777" w:rsidTr="00091AA5">
        <w:tc>
          <w:tcPr>
            <w:tcW w:w="576" w:type="dxa"/>
          </w:tcPr>
          <w:p w14:paraId="49DB6F9F" w14:textId="77777777" w:rsidR="00291EAB" w:rsidRPr="00286216" w:rsidRDefault="00291EAB" w:rsidP="00291EAB">
            <w:pPr>
              <w:pStyle w:val="StyleWisnow"/>
              <w:rPr>
                <w:color w:val="000000" w:themeColor="text1"/>
              </w:rPr>
            </w:pPr>
          </w:p>
        </w:tc>
        <w:tc>
          <w:tcPr>
            <w:tcW w:w="4818" w:type="dxa"/>
          </w:tcPr>
          <w:p w14:paraId="02560B9F" w14:textId="77777777" w:rsidR="00291EAB" w:rsidRPr="00286216" w:rsidRDefault="00291EAB" w:rsidP="00291EAB">
            <w:pPr>
              <w:pStyle w:val="StyleZakonu"/>
              <w:rPr>
                <w:color w:val="000000" w:themeColor="text1"/>
              </w:rPr>
            </w:pPr>
          </w:p>
        </w:tc>
        <w:tc>
          <w:tcPr>
            <w:tcW w:w="3686" w:type="dxa"/>
          </w:tcPr>
          <w:p w14:paraId="3A08729B" w14:textId="1C8961EC"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647</w:t>
            </w:r>
            <w:r w:rsidRPr="00286216">
              <w:rPr>
                <w:color w:val="000000" w:themeColor="text1"/>
              </w:rPr>
              <w:fldChar w:fldCharType="end"/>
            </w:r>
            <w:r w:rsidRPr="00286216">
              <w:rPr>
                <w:color w:val="000000" w:themeColor="text1"/>
              </w:rPr>
              <w:t>-Н.д.Шахов С.В. (Реєстр.картка №114)</w:t>
            </w:r>
          </w:p>
          <w:p w14:paraId="712185B7" w14:textId="77777777" w:rsidR="00291EAB" w:rsidRPr="00286216" w:rsidRDefault="00291EAB" w:rsidP="00291EAB">
            <w:pPr>
              <w:pStyle w:val="StyleProp"/>
              <w:rPr>
                <w:color w:val="000000" w:themeColor="text1"/>
              </w:rPr>
            </w:pPr>
            <w:r w:rsidRPr="00286216">
              <w:rPr>
                <w:color w:val="000000" w:themeColor="text1"/>
              </w:rPr>
              <w:t>Абзац 1 частини 2 статті 67 викласти у такій редакції:</w:t>
            </w:r>
          </w:p>
          <w:p w14:paraId="2E13B36B" w14:textId="77777777" w:rsidR="00291EAB" w:rsidRPr="00286216" w:rsidRDefault="00291EAB" w:rsidP="00291EAB">
            <w:pPr>
              <w:pStyle w:val="StyleProp"/>
              <w:rPr>
                <w:color w:val="000000" w:themeColor="text1"/>
                <w:spacing w:val="-6"/>
                <w:szCs w:val="18"/>
              </w:rPr>
            </w:pPr>
            <w:r w:rsidRPr="00286216">
              <w:rPr>
                <w:color w:val="000000" w:themeColor="text1"/>
              </w:rPr>
              <w:t>"2. Юридична особа, яка має намір провадити професійну діяльність на ринках капіталу та організованих товарних ринках, для отримання ліцензії (або іншого дозвільного документу, визначеного законодавством про товарні ринки) на провадження відповідного виду такої діяльності подає регулятору відповідного ринку відповідно до вимог, в порядку та за формою, що встановлені таким регулятором, наступні документи та інформацію".</w:t>
            </w:r>
          </w:p>
        </w:tc>
        <w:tc>
          <w:tcPr>
            <w:tcW w:w="1987" w:type="dxa"/>
          </w:tcPr>
          <w:p w14:paraId="44D6E61D"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0346C300" w14:textId="77777777" w:rsidR="00291EAB" w:rsidRPr="00286216" w:rsidRDefault="00291EAB" w:rsidP="00291EAB">
            <w:pPr>
              <w:pStyle w:val="StyleWisnow"/>
              <w:spacing w:line="180" w:lineRule="exact"/>
              <w:rPr>
                <w:color w:val="000000" w:themeColor="text1"/>
                <w:spacing w:val="-4"/>
              </w:rPr>
            </w:pPr>
            <w:r w:rsidRPr="00286216">
              <w:rPr>
                <w:color w:val="000000" w:themeColor="text1"/>
                <w:spacing w:val="-4"/>
              </w:rPr>
              <w:t>Не передбачені інші підстави провадження професійної діяльності на ринках капіталу та організованих товарних ринках, окрім отримання ліцензії у регулятора, яким є НКЦПФР</w:t>
            </w:r>
          </w:p>
        </w:tc>
        <w:tc>
          <w:tcPr>
            <w:tcW w:w="4818" w:type="dxa"/>
          </w:tcPr>
          <w:p w14:paraId="4CB39005" w14:textId="77777777" w:rsidR="00291EAB" w:rsidRPr="00286216" w:rsidRDefault="00291EAB" w:rsidP="00291EAB">
            <w:pPr>
              <w:pStyle w:val="StyleZakonu"/>
              <w:rPr>
                <w:color w:val="000000" w:themeColor="text1"/>
              </w:rPr>
            </w:pPr>
          </w:p>
        </w:tc>
      </w:tr>
      <w:tr w:rsidR="00291EAB" w:rsidRPr="00286216" w14:paraId="6848B7A3" w14:textId="77777777" w:rsidTr="00091AA5">
        <w:tc>
          <w:tcPr>
            <w:tcW w:w="576" w:type="dxa"/>
          </w:tcPr>
          <w:p w14:paraId="2F690B94" w14:textId="77777777" w:rsidR="00291EAB" w:rsidRPr="00286216" w:rsidRDefault="00291EAB" w:rsidP="00291EAB">
            <w:pPr>
              <w:pStyle w:val="StyleWisnow"/>
              <w:rPr>
                <w:color w:val="000000" w:themeColor="text1"/>
              </w:rPr>
            </w:pPr>
            <w:bookmarkStart w:id="880" w:name="n1156" w:colFirst="0" w:colLast="0"/>
            <w:r w:rsidRPr="00286216">
              <w:rPr>
                <w:color w:val="000000" w:themeColor="text1"/>
              </w:rPr>
              <w:t>1156.</w:t>
            </w:r>
          </w:p>
        </w:tc>
        <w:tc>
          <w:tcPr>
            <w:tcW w:w="4818" w:type="dxa"/>
          </w:tcPr>
          <w:p w14:paraId="6BEDE748" w14:textId="77777777" w:rsidR="00291EAB" w:rsidRPr="00286216" w:rsidRDefault="00291EAB" w:rsidP="00291EAB">
            <w:pPr>
              <w:pStyle w:val="StyleZakonu"/>
              <w:rPr>
                <w:color w:val="000000" w:themeColor="text1"/>
              </w:rPr>
            </w:pPr>
            <w:r w:rsidRPr="00286216">
              <w:rPr>
                <w:color w:val="000000" w:themeColor="text1"/>
              </w:rPr>
              <w:t>1) заяву про видачу ліцензії. В заяві про видачу ліцензії на провадження професійної діяльності з торгівлі фінансовими інструментами окремо зазначається перелік додаткових фінансових послуг, які має намір надавати юридична особа;</w:t>
            </w:r>
          </w:p>
        </w:tc>
        <w:tc>
          <w:tcPr>
            <w:tcW w:w="3686" w:type="dxa"/>
          </w:tcPr>
          <w:p w14:paraId="20CEB00A" w14:textId="53CA256C"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648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4444547" w14:textId="77777777" w:rsidR="00291EAB" w:rsidRPr="00286216" w:rsidRDefault="00291EAB" w:rsidP="00291EAB">
            <w:pPr>
              <w:pStyle w:val="StyleProp"/>
              <w:rPr>
                <w:color w:val="000000" w:themeColor="text1"/>
                <w:szCs w:val="18"/>
              </w:rPr>
            </w:pPr>
            <w:r w:rsidRPr="00286216">
              <w:rPr>
                <w:color w:val="000000" w:themeColor="text1"/>
                <w:szCs w:val="18"/>
              </w:rPr>
              <w:t>Абзац п'ятий статті 67 замінити чотирма абзацами такого змісту:</w:t>
            </w:r>
          </w:p>
          <w:p w14:paraId="3A227FDF" w14:textId="77777777" w:rsidR="00291EAB" w:rsidRPr="00286216" w:rsidRDefault="00291EAB" w:rsidP="00291EAB">
            <w:pPr>
              <w:pStyle w:val="StyleProp"/>
              <w:rPr>
                <w:color w:val="000000" w:themeColor="text1"/>
                <w:szCs w:val="18"/>
              </w:rPr>
            </w:pPr>
            <w:r w:rsidRPr="00286216">
              <w:rPr>
                <w:color w:val="000000" w:themeColor="text1"/>
                <w:szCs w:val="18"/>
              </w:rPr>
              <w:t>"У заяві про видачу ліцензії повинна міститися інформація про:</w:t>
            </w:r>
          </w:p>
          <w:p w14:paraId="58906800" w14:textId="77777777" w:rsidR="00291EAB" w:rsidRPr="00286216" w:rsidRDefault="00291EAB" w:rsidP="00291EAB">
            <w:pPr>
              <w:pStyle w:val="StyleProp"/>
              <w:rPr>
                <w:color w:val="000000" w:themeColor="text1"/>
                <w:szCs w:val="18"/>
              </w:rPr>
            </w:pPr>
            <w:r w:rsidRPr="00286216">
              <w:rPr>
                <w:color w:val="000000" w:themeColor="text1"/>
                <w:szCs w:val="18"/>
              </w:rPr>
              <w:t>1) юридичну особу - заявника – повне найменування, місцезнаходження, ідентифікаційний код;</w:t>
            </w:r>
          </w:p>
          <w:p w14:paraId="36F2A79C" w14:textId="77777777" w:rsidR="00291EAB" w:rsidRPr="00286216" w:rsidRDefault="00291EAB" w:rsidP="00291EAB">
            <w:pPr>
              <w:pStyle w:val="StyleProp"/>
              <w:rPr>
                <w:color w:val="000000" w:themeColor="text1"/>
                <w:szCs w:val="18"/>
              </w:rPr>
            </w:pPr>
            <w:r w:rsidRPr="00286216">
              <w:rPr>
                <w:color w:val="000000" w:themeColor="text1"/>
                <w:szCs w:val="18"/>
              </w:rPr>
              <w:t>2) вид професійної діяльності на ринках капіталу та організованих товарних ринках, зазначений у статті 41 цього Закону, на провадження якого заявник має намір одержати ліцензію;</w:t>
            </w:r>
          </w:p>
          <w:p w14:paraId="1614DCD2" w14:textId="77777777" w:rsidR="00291EAB" w:rsidRPr="00286216" w:rsidRDefault="00291EAB" w:rsidP="00291EAB">
            <w:pPr>
              <w:pStyle w:val="StyleProp"/>
              <w:rPr>
                <w:color w:val="000000" w:themeColor="text1"/>
                <w:szCs w:val="18"/>
              </w:rPr>
            </w:pPr>
            <w:r w:rsidRPr="00286216">
              <w:rPr>
                <w:color w:val="000000" w:themeColor="text1"/>
                <w:szCs w:val="18"/>
              </w:rPr>
              <w:t>3) перелік додаткових послуг, передбачених частиною другою статті 42 цього Закону, які має намір надавати заявник за умови отримання ліцензії".</w:t>
            </w:r>
          </w:p>
        </w:tc>
        <w:tc>
          <w:tcPr>
            <w:tcW w:w="1987" w:type="dxa"/>
          </w:tcPr>
          <w:p w14:paraId="39683344" w14:textId="687165CC"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6D837C69" w14:textId="77777777" w:rsidR="00291EAB" w:rsidRPr="00286216" w:rsidRDefault="00291EAB" w:rsidP="00291EAB">
            <w:pPr>
              <w:pStyle w:val="StyleZakonu"/>
              <w:rPr>
                <w:color w:val="000000" w:themeColor="text1"/>
              </w:rPr>
            </w:pPr>
          </w:p>
        </w:tc>
      </w:tr>
      <w:bookmarkEnd w:id="880"/>
      <w:tr w:rsidR="00291EAB" w:rsidRPr="00286216" w14:paraId="43B8E21E" w14:textId="77777777" w:rsidTr="00091AA5">
        <w:tc>
          <w:tcPr>
            <w:tcW w:w="576" w:type="dxa"/>
          </w:tcPr>
          <w:p w14:paraId="48B9CCD8" w14:textId="77777777" w:rsidR="00291EAB" w:rsidRPr="00286216" w:rsidRDefault="00291EAB" w:rsidP="00291EAB">
            <w:pPr>
              <w:pStyle w:val="StyleWisnow"/>
              <w:rPr>
                <w:color w:val="000000" w:themeColor="text1"/>
              </w:rPr>
            </w:pPr>
          </w:p>
        </w:tc>
        <w:tc>
          <w:tcPr>
            <w:tcW w:w="4818" w:type="dxa"/>
          </w:tcPr>
          <w:p w14:paraId="1AF45223" w14:textId="77777777" w:rsidR="00291EAB" w:rsidRPr="00286216" w:rsidRDefault="00291EAB" w:rsidP="00291EAB">
            <w:pPr>
              <w:pStyle w:val="StyleZakonu"/>
              <w:rPr>
                <w:color w:val="000000" w:themeColor="text1"/>
              </w:rPr>
            </w:pPr>
          </w:p>
        </w:tc>
        <w:tc>
          <w:tcPr>
            <w:tcW w:w="3686" w:type="dxa"/>
          </w:tcPr>
          <w:p w14:paraId="29FFD020" w14:textId="3EF8AA69"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649</w:t>
            </w:r>
            <w:r w:rsidRPr="00286216">
              <w:rPr>
                <w:color w:val="000000" w:themeColor="text1"/>
                <w:spacing w:val="-10"/>
              </w:rPr>
              <w:fldChar w:fldCharType="end"/>
            </w:r>
            <w:r w:rsidRPr="00286216">
              <w:rPr>
                <w:color w:val="000000" w:themeColor="text1"/>
                <w:spacing w:val="-10"/>
              </w:rPr>
              <w:t>-Н.д.Гетманцев Д.О.(Реєстр.картка №245)</w:t>
            </w:r>
          </w:p>
          <w:p w14:paraId="55E01312" w14:textId="77777777" w:rsidR="00291EAB" w:rsidRPr="00286216" w:rsidRDefault="00291EAB" w:rsidP="00291EAB">
            <w:pPr>
              <w:pStyle w:val="StyleProp"/>
              <w:rPr>
                <w:color w:val="000000" w:themeColor="text1"/>
              </w:rPr>
            </w:pPr>
            <w:r w:rsidRPr="00286216">
              <w:rPr>
                <w:color w:val="000000" w:themeColor="text1"/>
              </w:rPr>
              <w:t>У статті 67 у частині другій пункт перший викласти у редакції:</w:t>
            </w:r>
          </w:p>
          <w:p w14:paraId="10488344" w14:textId="77777777" w:rsidR="00291EAB" w:rsidRPr="00286216" w:rsidRDefault="00291EAB" w:rsidP="00291EAB">
            <w:pPr>
              <w:pStyle w:val="StyleProp"/>
              <w:rPr>
                <w:color w:val="000000" w:themeColor="text1"/>
              </w:rPr>
            </w:pPr>
            <w:r w:rsidRPr="00286216">
              <w:rPr>
                <w:color w:val="000000" w:themeColor="text1"/>
              </w:rPr>
              <w:t xml:space="preserve">«1) заяву про видачу ліцензії. В заяві про видачу ліцензії на провадження професійної діяльності з торгівлі фінансовими інструментами окремо зазначається перелік видів професійної діяльності на ринках капіталу та перелік додаткових фінансових </w:t>
            </w:r>
            <w:r w:rsidRPr="00286216">
              <w:rPr>
                <w:color w:val="000000" w:themeColor="text1"/>
              </w:rPr>
              <w:lastRenderedPageBreak/>
              <w:t>послуг, які має намір здійснювати/надавати юридична особа, яка звертається з такою ліцензію;»</w:t>
            </w:r>
          </w:p>
        </w:tc>
        <w:tc>
          <w:tcPr>
            <w:tcW w:w="1987" w:type="dxa"/>
          </w:tcPr>
          <w:p w14:paraId="48E0867E" w14:textId="77777777" w:rsidR="00291EAB" w:rsidRPr="00286216" w:rsidRDefault="00291EAB" w:rsidP="00291EAB">
            <w:pPr>
              <w:pStyle w:val="StyleWisnow"/>
              <w:rPr>
                <w:color w:val="000000" w:themeColor="text1"/>
              </w:rPr>
            </w:pPr>
            <w:r w:rsidRPr="00286216">
              <w:rPr>
                <w:color w:val="000000" w:themeColor="text1"/>
              </w:rPr>
              <w:lastRenderedPageBreak/>
              <w:t>Враховано по суті</w:t>
            </w:r>
          </w:p>
          <w:p w14:paraId="689471DA" w14:textId="4B5A4DC1" w:rsidR="00291EAB" w:rsidRPr="00286216" w:rsidRDefault="00291EAB" w:rsidP="00291EAB">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21E0AF7C" w14:textId="77777777" w:rsidR="00291EAB" w:rsidRPr="00286216" w:rsidRDefault="00291EAB" w:rsidP="00291EAB">
            <w:pPr>
              <w:pStyle w:val="StyleZakonu"/>
              <w:rPr>
                <w:color w:val="000000" w:themeColor="text1"/>
              </w:rPr>
            </w:pPr>
          </w:p>
        </w:tc>
      </w:tr>
      <w:tr w:rsidR="00291EAB" w:rsidRPr="00286216" w14:paraId="6D5CF1D9" w14:textId="77777777" w:rsidTr="00091AA5">
        <w:tc>
          <w:tcPr>
            <w:tcW w:w="576" w:type="dxa"/>
          </w:tcPr>
          <w:p w14:paraId="26C769F9" w14:textId="77777777" w:rsidR="00291EAB" w:rsidRPr="00286216" w:rsidRDefault="00291EAB" w:rsidP="00291EAB">
            <w:pPr>
              <w:pStyle w:val="StyleWisnow"/>
              <w:rPr>
                <w:color w:val="000000" w:themeColor="text1"/>
              </w:rPr>
            </w:pPr>
          </w:p>
        </w:tc>
        <w:tc>
          <w:tcPr>
            <w:tcW w:w="4818" w:type="dxa"/>
          </w:tcPr>
          <w:p w14:paraId="4B393D76" w14:textId="77777777" w:rsidR="00291EAB" w:rsidRPr="00286216" w:rsidRDefault="00291EAB" w:rsidP="00291EAB">
            <w:pPr>
              <w:pStyle w:val="StyleZakonu"/>
              <w:rPr>
                <w:color w:val="000000" w:themeColor="text1"/>
              </w:rPr>
            </w:pPr>
          </w:p>
        </w:tc>
        <w:tc>
          <w:tcPr>
            <w:tcW w:w="3686" w:type="dxa"/>
          </w:tcPr>
          <w:p w14:paraId="6DF7C70F" w14:textId="0FD10BF4"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650</w:t>
            </w:r>
            <w:r w:rsidRPr="00286216">
              <w:rPr>
                <w:color w:val="000000" w:themeColor="text1"/>
              </w:rPr>
              <w:fldChar w:fldCharType="end"/>
            </w:r>
            <w:r w:rsidRPr="00286216">
              <w:rPr>
                <w:color w:val="000000" w:themeColor="text1"/>
              </w:rPr>
              <w:t>-Н.д.Шахов С.В. (Реєстр.картка №114)</w:t>
            </w:r>
          </w:p>
          <w:p w14:paraId="559C7991" w14:textId="77777777" w:rsidR="00291EAB" w:rsidRPr="00286216" w:rsidRDefault="00291EAB" w:rsidP="00291EAB">
            <w:pPr>
              <w:pStyle w:val="StyleProp"/>
              <w:rPr>
                <w:color w:val="000000" w:themeColor="text1"/>
              </w:rPr>
            </w:pPr>
            <w:r w:rsidRPr="00286216">
              <w:rPr>
                <w:color w:val="000000" w:themeColor="text1"/>
              </w:rPr>
              <w:t>Пункт 1 частини 2 статті 67 після слова "ліцензії" доповнити словами "(або іншого дозвільного документу, визначеного законодавством про товарні ринки)".</w:t>
            </w:r>
          </w:p>
        </w:tc>
        <w:tc>
          <w:tcPr>
            <w:tcW w:w="1987" w:type="dxa"/>
          </w:tcPr>
          <w:p w14:paraId="6EF097E6" w14:textId="77777777" w:rsidR="00291EAB" w:rsidRPr="00286216" w:rsidRDefault="00291EAB" w:rsidP="00291EAB">
            <w:pPr>
              <w:pStyle w:val="StyleWisnow"/>
              <w:rPr>
                <w:color w:val="000000" w:themeColor="text1"/>
              </w:rPr>
            </w:pPr>
            <w:r w:rsidRPr="00286216">
              <w:rPr>
                <w:color w:val="000000" w:themeColor="text1"/>
              </w:rPr>
              <w:t>Відхилено</w:t>
            </w:r>
          </w:p>
          <w:p w14:paraId="1F0045CC" w14:textId="77777777" w:rsidR="00291EAB" w:rsidRPr="00286216" w:rsidRDefault="00291EAB" w:rsidP="00291EAB">
            <w:pPr>
              <w:pStyle w:val="StyleWisnow"/>
              <w:spacing w:line="180" w:lineRule="exact"/>
              <w:rPr>
                <w:color w:val="000000" w:themeColor="text1"/>
              </w:rPr>
            </w:pPr>
            <w:r w:rsidRPr="00286216">
              <w:rPr>
                <w:color w:val="000000" w:themeColor="text1"/>
                <w:spacing w:val="-4"/>
              </w:rPr>
              <w:t>законодавство не передбачає інших дозвільних документів, окрім ліцензії</w:t>
            </w:r>
          </w:p>
        </w:tc>
        <w:tc>
          <w:tcPr>
            <w:tcW w:w="4818" w:type="dxa"/>
          </w:tcPr>
          <w:p w14:paraId="688264AB" w14:textId="77777777" w:rsidR="00291EAB" w:rsidRPr="00286216" w:rsidRDefault="00291EAB" w:rsidP="00291EAB">
            <w:pPr>
              <w:pStyle w:val="StyleZakonu"/>
              <w:rPr>
                <w:color w:val="000000" w:themeColor="text1"/>
              </w:rPr>
            </w:pPr>
          </w:p>
        </w:tc>
      </w:tr>
      <w:tr w:rsidR="00291EAB" w:rsidRPr="00286216" w14:paraId="0108B48D" w14:textId="77777777" w:rsidTr="00091AA5">
        <w:tc>
          <w:tcPr>
            <w:tcW w:w="576" w:type="dxa"/>
          </w:tcPr>
          <w:p w14:paraId="21B70A18" w14:textId="77777777" w:rsidR="00291EAB" w:rsidRPr="00286216" w:rsidRDefault="00291EAB" w:rsidP="00291EAB">
            <w:pPr>
              <w:pStyle w:val="StyleWisnow"/>
              <w:rPr>
                <w:color w:val="000000" w:themeColor="text1"/>
              </w:rPr>
            </w:pPr>
            <w:bookmarkStart w:id="881" w:name="n1157" w:colFirst="0" w:colLast="0"/>
            <w:r w:rsidRPr="00286216">
              <w:rPr>
                <w:color w:val="000000" w:themeColor="text1"/>
              </w:rPr>
              <w:t>1157.</w:t>
            </w:r>
          </w:p>
        </w:tc>
        <w:tc>
          <w:tcPr>
            <w:tcW w:w="4818" w:type="dxa"/>
          </w:tcPr>
          <w:p w14:paraId="060B02BB" w14:textId="77777777" w:rsidR="00291EAB" w:rsidRPr="00286216" w:rsidRDefault="00291EAB" w:rsidP="00291EAB">
            <w:pPr>
              <w:pStyle w:val="StyleZakonu"/>
              <w:rPr>
                <w:color w:val="000000" w:themeColor="text1"/>
              </w:rPr>
            </w:pPr>
            <w:r w:rsidRPr="00286216">
              <w:rPr>
                <w:color w:val="000000" w:themeColor="text1"/>
              </w:rPr>
              <w:t>2) копію статуту юридичної особи, засвідчену такою юридичною особою, та інформацію про дату та номер державної реєстрації статуту, крім випадку наявності такого статуту в повному обсязі та актуальному стані в Єдиному державному реєстрі юридичних осіб, фізичних осіб - підприємців та громадських формувань. Якщо юридична особа здійснює діяльність на підставі модельного статуту - інформацію про розмір статутного (складеного) капіталу;</w:t>
            </w:r>
          </w:p>
        </w:tc>
        <w:tc>
          <w:tcPr>
            <w:tcW w:w="3686" w:type="dxa"/>
          </w:tcPr>
          <w:p w14:paraId="6F746266" w14:textId="43DC2A37"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651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EEFD22C" w14:textId="77777777" w:rsidR="00291EAB" w:rsidRPr="00286216" w:rsidRDefault="00291EAB" w:rsidP="00291EAB">
            <w:pPr>
              <w:pStyle w:val="StyleProp"/>
              <w:rPr>
                <w:color w:val="000000" w:themeColor="text1"/>
                <w:szCs w:val="18"/>
              </w:rPr>
            </w:pPr>
            <w:r w:rsidRPr="00286216">
              <w:rPr>
                <w:color w:val="000000" w:themeColor="text1"/>
                <w:szCs w:val="18"/>
              </w:rPr>
              <w:t>Пропонується змінити структуру статті 67, розділивши частину другу на дві частини. З цією метою пропонується доповнити статтю після абзацу п'ятого редакції першого читання абзацом такого змісту:</w:t>
            </w:r>
          </w:p>
          <w:p w14:paraId="315ECA36" w14:textId="77777777" w:rsidR="00291EAB" w:rsidRPr="00286216" w:rsidRDefault="00291EAB" w:rsidP="00291EAB">
            <w:pPr>
              <w:pStyle w:val="StyleProp"/>
              <w:rPr>
                <w:color w:val="000000" w:themeColor="text1"/>
                <w:szCs w:val="18"/>
              </w:rPr>
            </w:pPr>
            <w:r w:rsidRPr="00286216">
              <w:rPr>
                <w:color w:val="000000" w:themeColor="text1"/>
                <w:szCs w:val="18"/>
              </w:rPr>
              <w:t>"3. До заяви про видачу ліцензії додаються:"</w:t>
            </w:r>
          </w:p>
          <w:p w14:paraId="1C80467F" w14:textId="77777777" w:rsidR="00291EAB" w:rsidRPr="00286216" w:rsidRDefault="00291EAB" w:rsidP="00291EAB">
            <w:pPr>
              <w:pStyle w:val="StyleProp"/>
              <w:rPr>
                <w:color w:val="000000" w:themeColor="text1"/>
                <w:szCs w:val="18"/>
              </w:rPr>
            </w:pPr>
            <w:r w:rsidRPr="00286216">
              <w:rPr>
                <w:color w:val="000000" w:themeColor="text1"/>
                <w:szCs w:val="18"/>
              </w:rPr>
              <w:t>Також пропонується відповідно змінити нумерацію подальших абзаців, починаючи з пункту 2 як пунктів нової частини третьої.</w:t>
            </w:r>
          </w:p>
          <w:p w14:paraId="001D378E" w14:textId="77777777" w:rsidR="00291EAB" w:rsidRPr="00286216" w:rsidRDefault="00291EAB" w:rsidP="00291EAB">
            <w:pPr>
              <w:pStyle w:val="StyleProp"/>
              <w:rPr>
                <w:color w:val="000000" w:themeColor="text1"/>
                <w:szCs w:val="18"/>
              </w:rPr>
            </w:pPr>
            <w:r w:rsidRPr="00286216">
              <w:rPr>
                <w:color w:val="000000" w:themeColor="text1"/>
                <w:szCs w:val="18"/>
              </w:rPr>
              <w:t>Доповнити абзацом такого змісту:</w:t>
            </w:r>
          </w:p>
          <w:p w14:paraId="7BE8E5A6" w14:textId="77777777" w:rsidR="00291EAB" w:rsidRPr="00286216" w:rsidRDefault="00291EAB" w:rsidP="00291EAB">
            <w:pPr>
              <w:pStyle w:val="StyleProp"/>
              <w:rPr>
                <w:color w:val="000000" w:themeColor="text1"/>
                <w:lang w:eastAsia="en-US"/>
              </w:rPr>
            </w:pPr>
            <w:r w:rsidRPr="00286216">
              <w:rPr>
                <w:color w:val="000000" w:themeColor="text1"/>
              </w:rPr>
              <w:t>«У разі подання юридичною особою</w:t>
            </w:r>
            <w:r w:rsidRPr="00286216">
              <w:rPr>
                <w:color w:val="000000" w:themeColor="text1"/>
                <w:spacing w:val="-2"/>
                <w:szCs w:val="18"/>
              </w:rPr>
              <w:t xml:space="preserve">, яка має намір провадити професійну діяльність на ринках капіталу та організованих товарних ринках, </w:t>
            </w:r>
            <w:r w:rsidRPr="00286216">
              <w:rPr>
                <w:color w:val="000000" w:themeColor="text1"/>
              </w:rPr>
              <w:t xml:space="preserve"> заяви про видачу ліцензії на декілька видів професійної діяльності, у повному пакеті документів,  передбачених цією статтею, документи, які є однаковими у кожному переліку для кожного окремого виду професійної діяльності, подаються один раз».</w:t>
            </w:r>
          </w:p>
        </w:tc>
        <w:tc>
          <w:tcPr>
            <w:tcW w:w="1987" w:type="dxa"/>
          </w:tcPr>
          <w:p w14:paraId="30BF11CF" w14:textId="6265D55B"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2D1B07D8" w14:textId="77777777" w:rsidR="00291EAB" w:rsidRPr="00286216" w:rsidRDefault="00291EAB" w:rsidP="00291EAB">
            <w:pPr>
              <w:pStyle w:val="StyleZakonu"/>
              <w:rPr>
                <w:color w:val="000000" w:themeColor="text1"/>
              </w:rPr>
            </w:pPr>
          </w:p>
        </w:tc>
      </w:tr>
      <w:tr w:rsidR="00291EAB" w:rsidRPr="00286216" w14:paraId="7FC30B08" w14:textId="77777777" w:rsidTr="00091AA5">
        <w:tc>
          <w:tcPr>
            <w:tcW w:w="576" w:type="dxa"/>
          </w:tcPr>
          <w:p w14:paraId="460338D9" w14:textId="77777777" w:rsidR="00291EAB" w:rsidRPr="00286216" w:rsidRDefault="00291EAB" w:rsidP="00291EAB">
            <w:pPr>
              <w:pStyle w:val="StyleWisnow"/>
              <w:rPr>
                <w:color w:val="000000" w:themeColor="text1"/>
              </w:rPr>
            </w:pPr>
            <w:bookmarkStart w:id="882" w:name="n1158" w:colFirst="0" w:colLast="0"/>
            <w:bookmarkEnd w:id="881"/>
            <w:r w:rsidRPr="00286216">
              <w:rPr>
                <w:color w:val="000000" w:themeColor="text1"/>
              </w:rPr>
              <w:t>1158.</w:t>
            </w:r>
          </w:p>
        </w:tc>
        <w:tc>
          <w:tcPr>
            <w:tcW w:w="4818" w:type="dxa"/>
          </w:tcPr>
          <w:p w14:paraId="04A8BC72" w14:textId="77777777" w:rsidR="00291EAB" w:rsidRPr="00286216" w:rsidRDefault="00291EAB" w:rsidP="00291EAB">
            <w:pPr>
              <w:pStyle w:val="StyleZakonu"/>
              <w:rPr>
                <w:color w:val="000000" w:themeColor="text1"/>
              </w:rPr>
            </w:pPr>
            <w:r w:rsidRPr="00286216">
              <w:rPr>
                <w:color w:val="000000" w:themeColor="text1"/>
              </w:rPr>
              <w:t>3) відомості про структуру власності, інформацію про учасників (акціонерів) юридичної особи з істотною участю та, у випадку якщо юридична особа належить до небанківської фінансової групи, -інформацію про таку групу;</w:t>
            </w:r>
          </w:p>
        </w:tc>
        <w:tc>
          <w:tcPr>
            <w:tcW w:w="3686" w:type="dxa"/>
          </w:tcPr>
          <w:p w14:paraId="585217A9" w14:textId="39D71937"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652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0629BB7"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zCs w:val="18"/>
              </w:rPr>
              <w:t xml:space="preserve">Абзаци сьомий – вісімнадцятий статті 67 </w:t>
            </w:r>
            <w:r w:rsidRPr="00286216">
              <w:rPr>
                <w:color w:val="000000" w:themeColor="text1"/>
                <w:spacing w:val="-2"/>
                <w:szCs w:val="18"/>
              </w:rPr>
              <w:t>замінити абзацами такого змісту:</w:t>
            </w:r>
          </w:p>
          <w:p w14:paraId="41FC95D8"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"2) відомості за формою, визначеною Національною комісією з цінних паперів та фондового ринку, що містять інформацію про:</w:t>
            </w:r>
          </w:p>
          <w:p w14:paraId="120D5B8F"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 xml:space="preserve">структуру власності, інформацію про учасників (акціонерів) юридичної особи - заявника та осіб, які мають істотну участь в ньому, а у випадку якщо юридична особа - заявник є учасником  фінансової групи, – інформацію про таку групу; </w:t>
            </w:r>
          </w:p>
          <w:p w14:paraId="257E397E"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кількісний склад та ділову репутацію членів виконавчого органу та наглядової ради заявника;</w:t>
            </w:r>
          </w:p>
          <w:p w14:paraId="7670679E"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ділову репутацію власників істотної участі в заявнику;</w:t>
            </w:r>
          </w:p>
          <w:p w14:paraId="5144183A"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 xml:space="preserve">джерела  походження коштів, унесених до капіталу заявника; </w:t>
            </w:r>
          </w:p>
          <w:p w14:paraId="3C623E6A" w14:textId="1554954B"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 xml:space="preserve">3) фінансова звітність, складена відповідно до </w:t>
            </w:r>
            <w:hyperlink r:id="rId11" w:tgtFrame="_blank" w:history="1">
              <w:r w:rsidRPr="00286216">
                <w:rPr>
                  <w:color w:val="000000" w:themeColor="text1"/>
                  <w:spacing w:val="-2"/>
                  <w:szCs w:val="18"/>
                </w:rPr>
                <w:t>Закону України</w:t>
              </w:r>
            </w:hyperlink>
            <w:r w:rsidRPr="00286216">
              <w:rPr>
                <w:color w:val="000000" w:themeColor="text1"/>
                <w:spacing w:val="-2"/>
                <w:szCs w:val="18"/>
              </w:rPr>
              <w:t xml:space="preserve"> "Про бухгалтерський облік та фінансову звітність в Україні" та </w:t>
            </w:r>
            <w:r w:rsidRPr="00286216">
              <w:rPr>
                <w:color w:val="000000" w:themeColor="text1"/>
                <w:spacing w:val="-2"/>
                <w:szCs w:val="18"/>
              </w:rPr>
              <w:lastRenderedPageBreak/>
              <w:t>міжнародних стандартів фінансової звітності, станом на останній день кварталу, що передує даті прийняття Національною  комісією з цінних паперів та фондового ринку відповідної заяви, щодо достовірності та повноти якої аудитором або аудиторською фірмою, які відповідають вимогам, установленим законодавством, висловлено немодифіковану думку або модифіковану думку із застереженням у аудиторському звіті, оформленому відповідно до законодавства та міжнародних стандартів аудиту;</w:t>
            </w:r>
          </w:p>
          <w:p w14:paraId="20013E14"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4) бізнес-план  на три роки, складений згідно з вимогами Національної комісії з цінних паперів та фондового ринку;</w:t>
            </w:r>
          </w:p>
          <w:p w14:paraId="6AB74960"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5) відомості за формою, визначеною Національною комісією з цінних паперів та фондового ринку, що дають змогу зробити висновок про наявність у заявника:</w:t>
            </w:r>
          </w:p>
          <w:p w14:paraId="1486C5FD"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 xml:space="preserve"> організаційної структури та системи внутрішнього контролю (підсистеми комплаєнсу, управління ризиками та внутрішнього аудиту);</w:t>
            </w:r>
          </w:p>
          <w:p w14:paraId="116633C9" w14:textId="77B6E1A4" w:rsidR="00291EAB" w:rsidRPr="00286216" w:rsidRDefault="00291EAB" w:rsidP="00291EAB">
            <w:pPr>
              <w:pStyle w:val="StyleProp"/>
              <w:spacing w:line="180" w:lineRule="exact"/>
              <w:rPr>
                <w:color w:val="000000" w:themeColor="text1"/>
                <w:spacing w:val="-4"/>
                <w:szCs w:val="18"/>
              </w:rPr>
            </w:pPr>
            <w:r w:rsidRPr="00286216">
              <w:rPr>
                <w:color w:val="000000" w:themeColor="text1"/>
                <w:spacing w:val="-4"/>
                <w:szCs w:val="18"/>
              </w:rPr>
              <w:t>відповідних спеціалістів для забезпечення надання заявником фінансових та інших послуг;</w:t>
            </w:r>
          </w:p>
          <w:p w14:paraId="18DD5454" w14:textId="6C9642FE" w:rsidR="00291EAB" w:rsidRPr="00286216" w:rsidRDefault="00291EAB" w:rsidP="00291EAB">
            <w:pPr>
              <w:pStyle w:val="StyleProp"/>
              <w:spacing w:line="180" w:lineRule="exact"/>
              <w:rPr>
                <w:color w:val="000000" w:themeColor="text1"/>
                <w:spacing w:val="-4"/>
                <w:szCs w:val="18"/>
              </w:rPr>
            </w:pPr>
            <w:r w:rsidRPr="00286216">
              <w:rPr>
                <w:color w:val="000000" w:themeColor="text1"/>
                <w:spacing w:val="-4"/>
                <w:szCs w:val="18"/>
              </w:rPr>
              <w:t>комп’ютерної техніки, програмного забезпечення та приміщень, необхідних для провадження професійної діяльності на ринках капіталу та організованих товарних ринках;</w:t>
            </w:r>
          </w:p>
          <w:p w14:paraId="7DF8D7BB" w14:textId="77777777" w:rsidR="00291EAB" w:rsidRPr="00286216" w:rsidRDefault="00291EAB" w:rsidP="00291EAB">
            <w:pPr>
              <w:pStyle w:val="StyleProp"/>
              <w:spacing w:line="180" w:lineRule="exact"/>
              <w:rPr>
                <w:color w:val="000000" w:themeColor="text1"/>
                <w:szCs w:val="18"/>
              </w:rPr>
            </w:pPr>
            <w:r w:rsidRPr="00286216">
              <w:rPr>
                <w:color w:val="000000" w:themeColor="text1"/>
                <w:spacing w:val="-2"/>
                <w:szCs w:val="18"/>
              </w:rPr>
              <w:t>6) внутрішні документи заявника, що регламентують провадження відповідного виду професійної діяльності на ринках капіталу та організованих товарних ринках, на який заявник має намір одержати ліцензію".</w:t>
            </w:r>
          </w:p>
        </w:tc>
        <w:tc>
          <w:tcPr>
            <w:tcW w:w="1987" w:type="dxa"/>
          </w:tcPr>
          <w:p w14:paraId="4E790A22" w14:textId="77777777" w:rsidR="00291EAB" w:rsidRPr="00286216" w:rsidRDefault="00291EAB" w:rsidP="00291EAB">
            <w:pPr>
              <w:pStyle w:val="StyleWisnow"/>
              <w:spacing w:line="180" w:lineRule="exact"/>
              <w:rPr>
                <w:color w:val="000000" w:themeColor="text1"/>
              </w:rPr>
            </w:pPr>
            <w:r w:rsidRPr="00286216">
              <w:rPr>
                <w:color w:val="000000" w:themeColor="text1"/>
              </w:rPr>
              <w:lastRenderedPageBreak/>
              <w:t>Враховано частково</w:t>
            </w:r>
          </w:p>
          <w:p w14:paraId="14869518" w14:textId="5B94EB3B"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0A126BED" w14:textId="77777777" w:rsidR="00291EAB" w:rsidRPr="00286216" w:rsidRDefault="00291EAB" w:rsidP="00291EAB">
            <w:pPr>
              <w:pStyle w:val="StyleZakonu"/>
              <w:rPr>
                <w:color w:val="000000" w:themeColor="text1"/>
              </w:rPr>
            </w:pPr>
          </w:p>
        </w:tc>
      </w:tr>
      <w:tr w:rsidR="00291EAB" w:rsidRPr="00286216" w14:paraId="296704FE" w14:textId="77777777" w:rsidTr="00091AA5">
        <w:tc>
          <w:tcPr>
            <w:tcW w:w="576" w:type="dxa"/>
          </w:tcPr>
          <w:p w14:paraId="788B2AFD" w14:textId="77777777" w:rsidR="00291EAB" w:rsidRPr="00286216" w:rsidRDefault="00291EAB" w:rsidP="00291EAB">
            <w:pPr>
              <w:pStyle w:val="StyleWisnow"/>
              <w:rPr>
                <w:color w:val="000000" w:themeColor="text1"/>
              </w:rPr>
            </w:pPr>
            <w:bookmarkStart w:id="883" w:name="n1159" w:colFirst="0" w:colLast="0"/>
            <w:bookmarkEnd w:id="882"/>
            <w:r w:rsidRPr="00286216">
              <w:rPr>
                <w:color w:val="000000" w:themeColor="text1"/>
              </w:rPr>
              <w:t>1159.</w:t>
            </w:r>
          </w:p>
        </w:tc>
        <w:tc>
          <w:tcPr>
            <w:tcW w:w="4818" w:type="dxa"/>
          </w:tcPr>
          <w:p w14:paraId="0DFD1A22" w14:textId="77777777" w:rsidR="00291EAB" w:rsidRPr="00286216" w:rsidRDefault="00291EAB" w:rsidP="00291EAB">
            <w:pPr>
              <w:pStyle w:val="StyleZakonu"/>
              <w:rPr>
                <w:color w:val="000000" w:themeColor="text1"/>
              </w:rPr>
            </w:pPr>
            <w:r w:rsidRPr="00286216">
              <w:rPr>
                <w:color w:val="000000" w:themeColor="text1"/>
              </w:rPr>
              <w:t>4) інформацію про членів виконавчого органу та наглядової ради;</w:t>
            </w:r>
          </w:p>
        </w:tc>
        <w:tc>
          <w:tcPr>
            <w:tcW w:w="3686" w:type="dxa"/>
          </w:tcPr>
          <w:p w14:paraId="41E04552" w14:textId="706C5368"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653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3D032C1" w14:textId="77777777" w:rsidR="00291EAB" w:rsidRPr="00286216" w:rsidRDefault="00291EAB" w:rsidP="00291EAB">
            <w:pPr>
              <w:pStyle w:val="StyleProp"/>
              <w:rPr>
                <w:color w:val="000000" w:themeColor="text1"/>
                <w:szCs w:val="18"/>
              </w:rPr>
            </w:pPr>
            <w:r w:rsidRPr="00286216">
              <w:rPr>
                <w:color w:val="000000" w:themeColor="text1"/>
                <w:szCs w:val="18"/>
              </w:rPr>
              <w:t>Пункт 4 частини другої статті 67 доповнити словами "(у разі створення)".</w:t>
            </w:r>
          </w:p>
        </w:tc>
        <w:tc>
          <w:tcPr>
            <w:tcW w:w="1987" w:type="dxa"/>
          </w:tcPr>
          <w:p w14:paraId="7537F964"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7F676504" w14:textId="7B111211" w:rsidR="00291EAB" w:rsidRPr="00286216" w:rsidRDefault="00291EAB" w:rsidP="00291EAB">
            <w:pPr>
              <w:pStyle w:val="StyleWisnow"/>
              <w:spacing w:line="20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3C9B35AD" w14:textId="77777777" w:rsidR="00291EAB" w:rsidRPr="00286216" w:rsidRDefault="00291EAB" w:rsidP="00291EAB">
            <w:pPr>
              <w:pStyle w:val="StyleZakonu"/>
              <w:rPr>
                <w:color w:val="000000" w:themeColor="text1"/>
              </w:rPr>
            </w:pPr>
          </w:p>
        </w:tc>
      </w:tr>
      <w:bookmarkEnd w:id="883"/>
      <w:tr w:rsidR="00291EAB" w:rsidRPr="00286216" w14:paraId="3DD90C4C" w14:textId="77777777" w:rsidTr="00091AA5">
        <w:tc>
          <w:tcPr>
            <w:tcW w:w="576" w:type="dxa"/>
          </w:tcPr>
          <w:p w14:paraId="70374143" w14:textId="77777777" w:rsidR="00291EAB" w:rsidRPr="00286216" w:rsidRDefault="00291EAB" w:rsidP="00291EAB">
            <w:pPr>
              <w:pStyle w:val="StyleWisnow"/>
              <w:rPr>
                <w:color w:val="000000" w:themeColor="text1"/>
              </w:rPr>
            </w:pPr>
          </w:p>
        </w:tc>
        <w:tc>
          <w:tcPr>
            <w:tcW w:w="4818" w:type="dxa"/>
          </w:tcPr>
          <w:p w14:paraId="12CFA200" w14:textId="77777777" w:rsidR="00291EAB" w:rsidRPr="00286216" w:rsidRDefault="00291EAB" w:rsidP="00291EAB">
            <w:pPr>
              <w:pStyle w:val="StyleZakonu"/>
              <w:rPr>
                <w:color w:val="000000" w:themeColor="text1"/>
              </w:rPr>
            </w:pPr>
          </w:p>
        </w:tc>
        <w:tc>
          <w:tcPr>
            <w:tcW w:w="3686" w:type="dxa"/>
          </w:tcPr>
          <w:p w14:paraId="42869AD0" w14:textId="4E9148E4"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654</w:t>
            </w:r>
            <w:r w:rsidRPr="00286216">
              <w:rPr>
                <w:color w:val="000000" w:themeColor="text1"/>
              </w:rPr>
              <w:fldChar w:fldCharType="end"/>
            </w:r>
            <w:r w:rsidRPr="00286216">
              <w:rPr>
                <w:color w:val="000000" w:themeColor="text1"/>
              </w:rPr>
              <w:t>-Н.д.Шахов С.В. (Реєстр.картка №114)</w:t>
            </w:r>
          </w:p>
          <w:p w14:paraId="40EDFBF9" w14:textId="77777777" w:rsidR="00291EAB" w:rsidRPr="00286216" w:rsidRDefault="00291EAB" w:rsidP="00291EAB">
            <w:pPr>
              <w:pStyle w:val="StyleProp"/>
              <w:rPr>
                <w:color w:val="000000" w:themeColor="text1"/>
              </w:rPr>
            </w:pPr>
            <w:r w:rsidRPr="00286216">
              <w:rPr>
                <w:color w:val="000000" w:themeColor="text1"/>
              </w:rPr>
              <w:t>Пункт 4 частини 2 статті 67 доповнити словами "(за наявності наглядової ради)".</w:t>
            </w:r>
          </w:p>
        </w:tc>
        <w:tc>
          <w:tcPr>
            <w:tcW w:w="1987" w:type="dxa"/>
          </w:tcPr>
          <w:p w14:paraId="04E85434"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5FF31313" w14:textId="13188194"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0B2FA4FC" w14:textId="77777777" w:rsidR="00291EAB" w:rsidRPr="00286216" w:rsidRDefault="00291EAB" w:rsidP="00291EAB">
            <w:pPr>
              <w:pStyle w:val="StyleZakonu"/>
              <w:rPr>
                <w:color w:val="000000" w:themeColor="text1"/>
              </w:rPr>
            </w:pPr>
          </w:p>
        </w:tc>
      </w:tr>
      <w:tr w:rsidR="00291EAB" w:rsidRPr="00286216" w14:paraId="221905C3" w14:textId="77777777" w:rsidTr="00091AA5">
        <w:tc>
          <w:tcPr>
            <w:tcW w:w="576" w:type="dxa"/>
          </w:tcPr>
          <w:p w14:paraId="4AB994A7" w14:textId="77777777" w:rsidR="00291EAB" w:rsidRPr="00286216" w:rsidRDefault="00291EAB" w:rsidP="00291EAB">
            <w:pPr>
              <w:pStyle w:val="StyleWisnow"/>
              <w:rPr>
                <w:color w:val="000000" w:themeColor="text1"/>
              </w:rPr>
            </w:pPr>
          </w:p>
        </w:tc>
        <w:tc>
          <w:tcPr>
            <w:tcW w:w="4818" w:type="dxa"/>
          </w:tcPr>
          <w:p w14:paraId="4C88AABA" w14:textId="77777777" w:rsidR="00291EAB" w:rsidRPr="00286216" w:rsidRDefault="00291EAB" w:rsidP="00291EAB">
            <w:pPr>
              <w:pStyle w:val="StyleZakonu"/>
              <w:rPr>
                <w:color w:val="000000" w:themeColor="text1"/>
              </w:rPr>
            </w:pPr>
          </w:p>
        </w:tc>
        <w:tc>
          <w:tcPr>
            <w:tcW w:w="3686" w:type="dxa"/>
          </w:tcPr>
          <w:p w14:paraId="320A762A" w14:textId="22F20C6E"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655</w:t>
            </w:r>
            <w:r w:rsidRPr="00286216">
              <w:rPr>
                <w:color w:val="000000" w:themeColor="text1"/>
                <w:spacing w:val="-10"/>
              </w:rPr>
              <w:fldChar w:fldCharType="end"/>
            </w:r>
            <w:r w:rsidRPr="00286216">
              <w:rPr>
                <w:color w:val="000000" w:themeColor="text1"/>
                <w:spacing w:val="-10"/>
              </w:rPr>
              <w:t>-Н.д.Гетманцев Д.О.(Реєстр.картка №245)</w:t>
            </w:r>
          </w:p>
          <w:p w14:paraId="566405DE" w14:textId="77777777" w:rsidR="00291EAB" w:rsidRPr="00286216" w:rsidRDefault="00291EAB" w:rsidP="00291EAB">
            <w:pPr>
              <w:pStyle w:val="StyleProp"/>
              <w:rPr>
                <w:color w:val="000000" w:themeColor="text1"/>
                <w:sz w:val="20"/>
              </w:rPr>
            </w:pPr>
            <w:r w:rsidRPr="00286216">
              <w:rPr>
                <w:color w:val="000000" w:themeColor="text1"/>
              </w:rPr>
              <w:t>У статті 67 у частині другій пункт четвертий після слова «ради» доповнити словами «(а саме інформацію щодо прізвища, імені та (за наявності) по батькові, займаної посади, дати призначення на посаду, строку призначення на посаду, наявності бездоганної ділової репутації, іншої інформації, визначеної законодавством).</w:t>
            </w:r>
          </w:p>
        </w:tc>
        <w:tc>
          <w:tcPr>
            <w:tcW w:w="1987" w:type="dxa"/>
          </w:tcPr>
          <w:p w14:paraId="564202F8"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3D78BE75" w14:textId="2E2FC67C" w:rsidR="00291EAB" w:rsidRPr="00286216" w:rsidRDefault="00291EAB" w:rsidP="00291EAB">
            <w:pPr>
              <w:pStyle w:val="StyleWisnow"/>
              <w:spacing w:line="20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5C2F6A97" w14:textId="77777777" w:rsidR="00291EAB" w:rsidRPr="00286216" w:rsidRDefault="00291EAB" w:rsidP="00291EAB">
            <w:pPr>
              <w:pStyle w:val="StyleZakonu"/>
              <w:rPr>
                <w:color w:val="000000" w:themeColor="text1"/>
              </w:rPr>
            </w:pPr>
          </w:p>
        </w:tc>
      </w:tr>
      <w:tr w:rsidR="00291EAB" w:rsidRPr="00286216" w14:paraId="1ADD2852" w14:textId="77777777" w:rsidTr="00091AA5">
        <w:tc>
          <w:tcPr>
            <w:tcW w:w="576" w:type="dxa"/>
          </w:tcPr>
          <w:p w14:paraId="34FEDAB0" w14:textId="77777777" w:rsidR="00291EAB" w:rsidRPr="00286216" w:rsidRDefault="00291EAB" w:rsidP="00291EAB">
            <w:pPr>
              <w:pStyle w:val="StyleWisnow"/>
              <w:rPr>
                <w:color w:val="000000" w:themeColor="text1"/>
              </w:rPr>
            </w:pPr>
            <w:bookmarkStart w:id="884" w:name="n1160" w:colFirst="0" w:colLast="0"/>
            <w:r w:rsidRPr="00286216">
              <w:rPr>
                <w:color w:val="000000" w:themeColor="text1"/>
              </w:rPr>
              <w:t>1160.</w:t>
            </w:r>
          </w:p>
        </w:tc>
        <w:tc>
          <w:tcPr>
            <w:tcW w:w="4818" w:type="dxa"/>
          </w:tcPr>
          <w:p w14:paraId="30186B67" w14:textId="77777777" w:rsidR="00291EAB" w:rsidRPr="00286216" w:rsidRDefault="00291EAB" w:rsidP="00291EAB">
            <w:pPr>
              <w:pStyle w:val="StyleZakonu"/>
              <w:rPr>
                <w:color w:val="000000" w:themeColor="text1"/>
              </w:rPr>
            </w:pPr>
            <w:r w:rsidRPr="00286216">
              <w:rPr>
                <w:color w:val="000000" w:themeColor="text1"/>
              </w:rPr>
              <w:t>5) інформацію про капітал та про джерела його походження;</w:t>
            </w:r>
          </w:p>
        </w:tc>
        <w:tc>
          <w:tcPr>
            <w:tcW w:w="3686" w:type="dxa"/>
          </w:tcPr>
          <w:p w14:paraId="33DD239D" w14:textId="77777777" w:rsidR="00291EAB" w:rsidRPr="00286216" w:rsidRDefault="00291EAB" w:rsidP="00291EAB">
            <w:pPr>
              <w:pStyle w:val="StyleProp"/>
              <w:rPr>
                <w:color w:val="000000" w:themeColor="text1"/>
                <w:szCs w:val="18"/>
              </w:rPr>
            </w:pPr>
          </w:p>
        </w:tc>
        <w:tc>
          <w:tcPr>
            <w:tcW w:w="1987" w:type="dxa"/>
          </w:tcPr>
          <w:p w14:paraId="45AC05AB" w14:textId="77777777" w:rsidR="00291EAB" w:rsidRPr="00286216" w:rsidRDefault="00291EAB" w:rsidP="00291EAB">
            <w:pPr>
              <w:pStyle w:val="StyleWisnow"/>
              <w:rPr>
                <w:color w:val="000000" w:themeColor="text1"/>
              </w:rPr>
            </w:pPr>
          </w:p>
        </w:tc>
        <w:tc>
          <w:tcPr>
            <w:tcW w:w="4818" w:type="dxa"/>
          </w:tcPr>
          <w:p w14:paraId="73623D78" w14:textId="77777777" w:rsidR="00291EAB" w:rsidRPr="00286216" w:rsidRDefault="00291EAB" w:rsidP="00291EAB">
            <w:pPr>
              <w:pStyle w:val="StyleZakonu"/>
              <w:rPr>
                <w:color w:val="000000" w:themeColor="text1"/>
              </w:rPr>
            </w:pPr>
          </w:p>
        </w:tc>
      </w:tr>
      <w:tr w:rsidR="00291EAB" w:rsidRPr="00286216" w14:paraId="1C7965D6" w14:textId="77777777" w:rsidTr="00091AA5">
        <w:tc>
          <w:tcPr>
            <w:tcW w:w="576" w:type="dxa"/>
          </w:tcPr>
          <w:p w14:paraId="316091DB" w14:textId="77777777" w:rsidR="00291EAB" w:rsidRPr="00286216" w:rsidRDefault="00291EAB" w:rsidP="00291EAB">
            <w:pPr>
              <w:pStyle w:val="StyleWisnow"/>
              <w:rPr>
                <w:color w:val="000000" w:themeColor="text1"/>
              </w:rPr>
            </w:pPr>
            <w:bookmarkStart w:id="885" w:name="n1161" w:colFirst="0" w:colLast="0"/>
            <w:bookmarkEnd w:id="884"/>
            <w:r w:rsidRPr="00286216">
              <w:rPr>
                <w:color w:val="000000" w:themeColor="text1"/>
              </w:rPr>
              <w:lastRenderedPageBreak/>
              <w:t>1161.</w:t>
            </w:r>
          </w:p>
        </w:tc>
        <w:tc>
          <w:tcPr>
            <w:tcW w:w="4818" w:type="dxa"/>
          </w:tcPr>
          <w:p w14:paraId="60C83DA6" w14:textId="77777777" w:rsidR="00291EAB" w:rsidRPr="00286216" w:rsidRDefault="00291EAB" w:rsidP="00291EAB">
            <w:pPr>
              <w:pStyle w:val="StyleZakonu"/>
              <w:rPr>
                <w:color w:val="000000" w:themeColor="text1"/>
              </w:rPr>
            </w:pPr>
            <w:r w:rsidRPr="00286216">
              <w:rPr>
                <w:color w:val="000000" w:themeColor="text1"/>
              </w:rPr>
              <w:t>6) інформацію про фінансовий стан юридичної особи та, у випадку якщо юридична особа належить до небанківської фінансової групи, -інформацію про фінансовий стан такої групи;</w:t>
            </w:r>
          </w:p>
        </w:tc>
        <w:tc>
          <w:tcPr>
            <w:tcW w:w="3686" w:type="dxa"/>
          </w:tcPr>
          <w:p w14:paraId="7CF1E0E4" w14:textId="622B8741"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656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64D97FE" w14:textId="77777777" w:rsidR="00291EAB" w:rsidRPr="00286216" w:rsidRDefault="00291EAB" w:rsidP="00291EAB">
            <w:pPr>
              <w:pStyle w:val="StyleProp"/>
              <w:rPr>
                <w:color w:val="000000" w:themeColor="text1"/>
                <w:spacing w:val="-2"/>
                <w:szCs w:val="18"/>
              </w:rPr>
            </w:pPr>
            <w:r w:rsidRPr="00286216">
              <w:rPr>
                <w:color w:val="000000" w:themeColor="text1"/>
                <w:spacing w:val="-2"/>
                <w:szCs w:val="18"/>
              </w:rPr>
              <w:t xml:space="preserve">Пункт 6 частини 2 статті 67 після слів "юридичної особи" доповнити словами </w:t>
            </w:r>
            <w:r w:rsidRPr="00286216">
              <w:rPr>
                <w:color w:val="000000" w:themeColor="text1"/>
                <w:spacing w:val="-4"/>
                <w:szCs w:val="18"/>
              </w:rPr>
              <w:t>"та учасників (акціонерів) з істотною участю в ній".</w:t>
            </w:r>
          </w:p>
        </w:tc>
        <w:tc>
          <w:tcPr>
            <w:tcW w:w="1987" w:type="dxa"/>
          </w:tcPr>
          <w:p w14:paraId="49CCCD34" w14:textId="79DE53F7"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50E92D3D" w14:textId="77777777" w:rsidR="00291EAB" w:rsidRPr="00286216" w:rsidRDefault="00291EAB" w:rsidP="00291EAB">
            <w:pPr>
              <w:pStyle w:val="StyleZakonu"/>
              <w:rPr>
                <w:color w:val="000000" w:themeColor="text1"/>
              </w:rPr>
            </w:pPr>
          </w:p>
        </w:tc>
      </w:tr>
      <w:tr w:rsidR="00291EAB" w:rsidRPr="00286216" w14:paraId="60FEBFCA" w14:textId="77777777" w:rsidTr="00091AA5">
        <w:tc>
          <w:tcPr>
            <w:tcW w:w="576" w:type="dxa"/>
          </w:tcPr>
          <w:p w14:paraId="78449310" w14:textId="77777777" w:rsidR="00291EAB" w:rsidRPr="00286216" w:rsidRDefault="00291EAB" w:rsidP="00291EAB">
            <w:pPr>
              <w:pStyle w:val="StyleWisnow"/>
              <w:rPr>
                <w:color w:val="000000" w:themeColor="text1"/>
              </w:rPr>
            </w:pPr>
            <w:bookmarkStart w:id="886" w:name="n1162" w:colFirst="0" w:colLast="0"/>
            <w:bookmarkEnd w:id="885"/>
            <w:r w:rsidRPr="00286216">
              <w:rPr>
                <w:color w:val="000000" w:themeColor="text1"/>
              </w:rPr>
              <w:t>1162.</w:t>
            </w:r>
          </w:p>
        </w:tc>
        <w:tc>
          <w:tcPr>
            <w:tcW w:w="4818" w:type="dxa"/>
          </w:tcPr>
          <w:p w14:paraId="79CAC239" w14:textId="77777777" w:rsidR="00291EAB" w:rsidRPr="00286216" w:rsidRDefault="00291EAB" w:rsidP="00291EAB">
            <w:pPr>
              <w:pStyle w:val="StyleZakonu"/>
              <w:rPr>
                <w:color w:val="000000" w:themeColor="text1"/>
              </w:rPr>
            </w:pPr>
            <w:r w:rsidRPr="00286216">
              <w:rPr>
                <w:color w:val="000000" w:themeColor="text1"/>
              </w:rPr>
              <w:t>7) інформацію щодо організації діяльності, зокрема:</w:t>
            </w:r>
          </w:p>
        </w:tc>
        <w:tc>
          <w:tcPr>
            <w:tcW w:w="3686" w:type="dxa"/>
          </w:tcPr>
          <w:p w14:paraId="7289F6D2" w14:textId="77777777" w:rsidR="00291EAB" w:rsidRPr="00286216" w:rsidRDefault="00291EAB" w:rsidP="00291EAB">
            <w:pPr>
              <w:pStyle w:val="StyleProp"/>
              <w:rPr>
                <w:color w:val="000000" w:themeColor="text1"/>
                <w:szCs w:val="18"/>
              </w:rPr>
            </w:pPr>
          </w:p>
        </w:tc>
        <w:tc>
          <w:tcPr>
            <w:tcW w:w="1987" w:type="dxa"/>
          </w:tcPr>
          <w:p w14:paraId="31CEC8B5" w14:textId="77777777" w:rsidR="00291EAB" w:rsidRPr="00286216" w:rsidRDefault="00291EAB" w:rsidP="00291EAB">
            <w:pPr>
              <w:pStyle w:val="StyleWisnow"/>
              <w:rPr>
                <w:color w:val="000000" w:themeColor="text1"/>
              </w:rPr>
            </w:pPr>
          </w:p>
        </w:tc>
        <w:tc>
          <w:tcPr>
            <w:tcW w:w="4818" w:type="dxa"/>
          </w:tcPr>
          <w:p w14:paraId="64F68950" w14:textId="77777777" w:rsidR="00291EAB" w:rsidRPr="00286216" w:rsidRDefault="00291EAB" w:rsidP="00291EAB">
            <w:pPr>
              <w:pStyle w:val="StyleZakonu"/>
              <w:rPr>
                <w:color w:val="000000" w:themeColor="text1"/>
              </w:rPr>
            </w:pPr>
          </w:p>
        </w:tc>
      </w:tr>
      <w:tr w:rsidR="00291EAB" w:rsidRPr="00286216" w14:paraId="45C3CE86" w14:textId="77777777" w:rsidTr="00091AA5">
        <w:tc>
          <w:tcPr>
            <w:tcW w:w="576" w:type="dxa"/>
          </w:tcPr>
          <w:p w14:paraId="2810A0A5" w14:textId="77777777" w:rsidR="00291EAB" w:rsidRPr="00286216" w:rsidRDefault="00291EAB" w:rsidP="00291EAB">
            <w:pPr>
              <w:pStyle w:val="StyleWisnow"/>
              <w:rPr>
                <w:color w:val="000000" w:themeColor="text1"/>
              </w:rPr>
            </w:pPr>
            <w:bookmarkStart w:id="887" w:name="n1163" w:colFirst="0" w:colLast="0"/>
            <w:bookmarkEnd w:id="886"/>
            <w:r w:rsidRPr="00286216">
              <w:rPr>
                <w:color w:val="000000" w:themeColor="text1"/>
              </w:rPr>
              <w:t>1163.</w:t>
            </w:r>
          </w:p>
        </w:tc>
        <w:tc>
          <w:tcPr>
            <w:tcW w:w="4818" w:type="dxa"/>
          </w:tcPr>
          <w:p w14:paraId="20EFA1E0" w14:textId="77777777" w:rsidR="00291EAB" w:rsidRPr="00286216" w:rsidRDefault="00291EAB" w:rsidP="00291EAB">
            <w:pPr>
              <w:pStyle w:val="StyleZakonu"/>
              <w:rPr>
                <w:color w:val="000000" w:themeColor="text1"/>
              </w:rPr>
            </w:pPr>
            <w:r w:rsidRPr="00286216">
              <w:rPr>
                <w:color w:val="000000" w:themeColor="text1"/>
              </w:rPr>
              <w:t>а) інформацію про бізнес-стратегію (бізнес-план) на наступні три роки;</w:t>
            </w:r>
          </w:p>
        </w:tc>
        <w:tc>
          <w:tcPr>
            <w:tcW w:w="3686" w:type="dxa"/>
          </w:tcPr>
          <w:p w14:paraId="2421D03D" w14:textId="3C4A512D"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657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03E8109" w14:textId="77777777" w:rsidR="00291EAB" w:rsidRPr="00286216" w:rsidRDefault="00291EAB" w:rsidP="00291EAB">
            <w:pPr>
              <w:pStyle w:val="StyleProp"/>
              <w:rPr>
                <w:color w:val="000000" w:themeColor="text1"/>
                <w:szCs w:val="18"/>
              </w:rPr>
            </w:pPr>
            <w:r w:rsidRPr="00286216">
              <w:rPr>
                <w:color w:val="000000" w:themeColor="text1"/>
                <w:szCs w:val="18"/>
              </w:rPr>
              <w:t>Підпункт "а" пункту 7 частини другої статті 67 виключити.</w:t>
            </w:r>
          </w:p>
        </w:tc>
        <w:tc>
          <w:tcPr>
            <w:tcW w:w="1987" w:type="dxa"/>
          </w:tcPr>
          <w:p w14:paraId="38E91E0C" w14:textId="61483186"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62327BCA" w14:textId="77777777" w:rsidR="00291EAB" w:rsidRPr="00286216" w:rsidRDefault="00291EAB" w:rsidP="00291EAB">
            <w:pPr>
              <w:pStyle w:val="StyleZakonu"/>
              <w:rPr>
                <w:color w:val="000000" w:themeColor="text1"/>
              </w:rPr>
            </w:pPr>
          </w:p>
        </w:tc>
      </w:tr>
      <w:tr w:rsidR="00291EAB" w:rsidRPr="00286216" w14:paraId="0F707C6F" w14:textId="77777777" w:rsidTr="00091AA5">
        <w:tc>
          <w:tcPr>
            <w:tcW w:w="576" w:type="dxa"/>
          </w:tcPr>
          <w:p w14:paraId="03D6B1DE" w14:textId="77777777" w:rsidR="00291EAB" w:rsidRPr="00286216" w:rsidRDefault="00291EAB" w:rsidP="00291EAB">
            <w:pPr>
              <w:pStyle w:val="StyleWisnow"/>
              <w:rPr>
                <w:color w:val="000000" w:themeColor="text1"/>
              </w:rPr>
            </w:pPr>
            <w:bookmarkStart w:id="888" w:name="n1164" w:colFirst="0" w:colLast="0"/>
            <w:bookmarkEnd w:id="887"/>
            <w:r w:rsidRPr="00286216">
              <w:rPr>
                <w:color w:val="000000" w:themeColor="text1"/>
              </w:rPr>
              <w:t>1164.</w:t>
            </w:r>
          </w:p>
        </w:tc>
        <w:tc>
          <w:tcPr>
            <w:tcW w:w="4818" w:type="dxa"/>
          </w:tcPr>
          <w:p w14:paraId="5E723430" w14:textId="77777777" w:rsidR="00291EAB" w:rsidRPr="00286216" w:rsidRDefault="00291EAB" w:rsidP="00291EAB">
            <w:pPr>
              <w:pStyle w:val="StyleZakonu"/>
              <w:rPr>
                <w:color w:val="000000" w:themeColor="text1"/>
              </w:rPr>
            </w:pPr>
            <w:r w:rsidRPr="00286216">
              <w:rPr>
                <w:color w:val="000000" w:themeColor="text1"/>
              </w:rPr>
              <w:t>б) інформацію про організаційну структуру;</w:t>
            </w:r>
          </w:p>
        </w:tc>
        <w:tc>
          <w:tcPr>
            <w:tcW w:w="3686" w:type="dxa"/>
          </w:tcPr>
          <w:p w14:paraId="5E490B86" w14:textId="77777777" w:rsidR="00291EAB" w:rsidRPr="00286216" w:rsidRDefault="00291EAB" w:rsidP="00291EAB">
            <w:pPr>
              <w:pStyle w:val="StyleProp"/>
              <w:rPr>
                <w:color w:val="000000" w:themeColor="text1"/>
                <w:szCs w:val="18"/>
              </w:rPr>
            </w:pPr>
          </w:p>
        </w:tc>
        <w:tc>
          <w:tcPr>
            <w:tcW w:w="1987" w:type="dxa"/>
          </w:tcPr>
          <w:p w14:paraId="334BF7B6" w14:textId="77777777" w:rsidR="00291EAB" w:rsidRPr="00286216" w:rsidRDefault="00291EAB" w:rsidP="00291EAB">
            <w:pPr>
              <w:pStyle w:val="StyleWisnow"/>
              <w:rPr>
                <w:color w:val="000000" w:themeColor="text1"/>
              </w:rPr>
            </w:pPr>
          </w:p>
        </w:tc>
        <w:tc>
          <w:tcPr>
            <w:tcW w:w="4818" w:type="dxa"/>
          </w:tcPr>
          <w:p w14:paraId="046AC767" w14:textId="77777777" w:rsidR="00291EAB" w:rsidRPr="00286216" w:rsidRDefault="00291EAB" w:rsidP="00291EAB">
            <w:pPr>
              <w:pStyle w:val="StyleZakonu"/>
              <w:rPr>
                <w:color w:val="000000" w:themeColor="text1"/>
              </w:rPr>
            </w:pPr>
          </w:p>
        </w:tc>
      </w:tr>
      <w:tr w:rsidR="00291EAB" w:rsidRPr="00286216" w14:paraId="3D57455B" w14:textId="77777777" w:rsidTr="00091AA5">
        <w:tc>
          <w:tcPr>
            <w:tcW w:w="576" w:type="dxa"/>
          </w:tcPr>
          <w:p w14:paraId="696262C6" w14:textId="77777777" w:rsidR="00291EAB" w:rsidRPr="00286216" w:rsidRDefault="00291EAB" w:rsidP="00291EAB">
            <w:pPr>
              <w:pStyle w:val="StyleWisnow"/>
              <w:rPr>
                <w:color w:val="000000" w:themeColor="text1"/>
              </w:rPr>
            </w:pPr>
            <w:bookmarkStart w:id="889" w:name="n1165" w:colFirst="0" w:colLast="0"/>
            <w:bookmarkEnd w:id="888"/>
            <w:r w:rsidRPr="00286216">
              <w:rPr>
                <w:color w:val="000000" w:themeColor="text1"/>
              </w:rPr>
              <w:t>1165.</w:t>
            </w:r>
          </w:p>
        </w:tc>
        <w:tc>
          <w:tcPr>
            <w:tcW w:w="4818" w:type="dxa"/>
          </w:tcPr>
          <w:p w14:paraId="7E742576" w14:textId="77777777" w:rsidR="00291EAB" w:rsidRPr="00286216" w:rsidRDefault="00291EAB" w:rsidP="00291EAB">
            <w:pPr>
              <w:pStyle w:val="StyleZakonu"/>
              <w:rPr>
                <w:color w:val="000000" w:themeColor="text1"/>
              </w:rPr>
            </w:pPr>
            <w:r w:rsidRPr="00286216">
              <w:rPr>
                <w:color w:val="000000" w:themeColor="text1"/>
              </w:rPr>
              <w:t>в) відомості про систему внутрішнього контролю (підсистеми комплаєнсу, управління ризиками та внутрішнього аудиту);</w:t>
            </w:r>
          </w:p>
        </w:tc>
        <w:tc>
          <w:tcPr>
            <w:tcW w:w="3686" w:type="dxa"/>
          </w:tcPr>
          <w:p w14:paraId="48CE1069" w14:textId="77777777" w:rsidR="00291EAB" w:rsidRPr="00286216" w:rsidRDefault="00291EAB" w:rsidP="00291EAB">
            <w:pPr>
              <w:pStyle w:val="StyleProp"/>
              <w:rPr>
                <w:color w:val="000000" w:themeColor="text1"/>
                <w:szCs w:val="18"/>
              </w:rPr>
            </w:pPr>
          </w:p>
        </w:tc>
        <w:tc>
          <w:tcPr>
            <w:tcW w:w="1987" w:type="dxa"/>
          </w:tcPr>
          <w:p w14:paraId="24585F64" w14:textId="77777777" w:rsidR="00291EAB" w:rsidRPr="00286216" w:rsidRDefault="00291EAB" w:rsidP="00291EAB">
            <w:pPr>
              <w:pStyle w:val="StyleWisnow"/>
              <w:spacing w:line="180" w:lineRule="exact"/>
              <w:rPr>
                <w:color w:val="000000" w:themeColor="text1"/>
              </w:rPr>
            </w:pPr>
          </w:p>
        </w:tc>
        <w:tc>
          <w:tcPr>
            <w:tcW w:w="4818" w:type="dxa"/>
          </w:tcPr>
          <w:p w14:paraId="6D505199" w14:textId="77777777" w:rsidR="00291EAB" w:rsidRPr="00286216" w:rsidRDefault="00291EAB" w:rsidP="00291EAB">
            <w:pPr>
              <w:pStyle w:val="StyleZakonu"/>
              <w:rPr>
                <w:color w:val="000000" w:themeColor="text1"/>
              </w:rPr>
            </w:pPr>
          </w:p>
        </w:tc>
      </w:tr>
      <w:tr w:rsidR="00291EAB" w:rsidRPr="00286216" w14:paraId="375D3EF3" w14:textId="77777777" w:rsidTr="00091AA5">
        <w:tc>
          <w:tcPr>
            <w:tcW w:w="576" w:type="dxa"/>
          </w:tcPr>
          <w:p w14:paraId="580C87C1" w14:textId="77777777" w:rsidR="00291EAB" w:rsidRPr="00286216" w:rsidRDefault="00291EAB" w:rsidP="00291EAB">
            <w:pPr>
              <w:pStyle w:val="StyleWisnow"/>
              <w:rPr>
                <w:color w:val="000000" w:themeColor="text1"/>
              </w:rPr>
            </w:pPr>
            <w:bookmarkStart w:id="890" w:name="n1166" w:colFirst="0" w:colLast="0"/>
            <w:bookmarkEnd w:id="889"/>
            <w:r w:rsidRPr="00286216">
              <w:rPr>
                <w:color w:val="000000" w:themeColor="text1"/>
              </w:rPr>
              <w:t>1166.</w:t>
            </w:r>
          </w:p>
        </w:tc>
        <w:tc>
          <w:tcPr>
            <w:tcW w:w="4818" w:type="dxa"/>
          </w:tcPr>
          <w:p w14:paraId="73C0CCD4" w14:textId="77777777" w:rsidR="00291EAB" w:rsidRPr="00286216" w:rsidRDefault="00291EAB" w:rsidP="00291EAB">
            <w:pPr>
              <w:pStyle w:val="StyleZakonu"/>
              <w:rPr>
                <w:color w:val="000000" w:themeColor="text1"/>
              </w:rPr>
            </w:pPr>
            <w:r w:rsidRPr="00286216">
              <w:rPr>
                <w:color w:val="000000" w:themeColor="text1"/>
              </w:rPr>
              <w:t>г) інформацію щодо функцій, послуг та діяльності, що провадяться, чи планується провадити із залученням третіх осіб;</w:t>
            </w:r>
          </w:p>
        </w:tc>
        <w:tc>
          <w:tcPr>
            <w:tcW w:w="3686" w:type="dxa"/>
          </w:tcPr>
          <w:p w14:paraId="467ED96D" w14:textId="7BA6E297"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658</w:t>
            </w:r>
            <w:r w:rsidRPr="00286216">
              <w:rPr>
                <w:color w:val="000000" w:themeColor="text1"/>
              </w:rPr>
              <w:fldChar w:fldCharType="end"/>
            </w:r>
            <w:r w:rsidRPr="00286216">
              <w:rPr>
                <w:color w:val="000000" w:themeColor="text1"/>
              </w:rPr>
              <w:t>-Н.д.Шахов С.В. (Реєстр.картка №114)</w:t>
            </w:r>
          </w:p>
          <w:p w14:paraId="0B68008B" w14:textId="77777777" w:rsidR="00291EAB" w:rsidRPr="00286216" w:rsidRDefault="00291EAB" w:rsidP="00291EAB">
            <w:pPr>
              <w:pStyle w:val="StyleProp"/>
              <w:spacing w:line="180" w:lineRule="exact"/>
              <w:rPr>
                <w:color w:val="000000" w:themeColor="text1"/>
              </w:rPr>
            </w:pPr>
            <w:r w:rsidRPr="00286216">
              <w:rPr>
                <w:color w:val="000000" w:themeColor="text1"/>
              </w:rPr>
              <w:t>П.п. "г" п.7 ч.2 ст.67 викласти у редакції:</w:t>
            </w:r>
          </w:p>
          <w:p w14:paraId="2FE99516" w14:textId="77777777" w:rsidR="00291EAB" w:rsidRPr="00286216" w:rsidRDefault="00291EAB" w:rsidP="00291EAB">
            <w:pPr>
              <w:pStyle w:val="StyleProp"/>
              <w:spacing w:line="180" w:lineRule="exact"/>
              <w:rPr>
                <w:color w:val="000000" w:themeColor="text1"/>
              </w:rPr>
            </w:pPr>
            <w:r w:rsidRPr="00286216">
              <w:rPr>
                <w:color w:val="000000" w:themeColor="text1"/>
              </w:rPr>
              <w:t>"г) інформацію щодо професійної діяльності на ринках капіталу та організованих товарних ринків, що провадиться(яться), чи планується провадити із залученням третіх осіб".</w:t>
            </w:r>
          </w:p>
        </w:tc>
        <w:tc>
          <w:tcPr>
            <w:tcW w:w="1987" w:type="dxa"/>
          </w:tcPr>
          <w:p w14:paraId="2F093680" w14:textId="29A0D931" w:rsidR="00291EAB" w:rsidRPr="00286216" w:rsidRDefault="00291EAB" w:rsidP="00291EAB">
            <w:pPr>
              <w:pStyle w:val="StyleWisnow"/>
              <w:spacing w:line="180" w:lineRule="exact"/>
              <w:rPr>
                <w:color w:val="000000" w:themeColor="text1"/>
              </w:rPr>
            </w:pPr>
            <w:r w:rsidRPr="00286216">
              <w:rPr>
                <w:color w:val="000000" w:themeColor="text1"/>
              </w:rPr>
              <w:t>Враховано редакційно у запропонованій редакції статті 71</w:t>
            </w:r>
          </w:p>
        </w:tc>
        <w:tc>
          <w:tcPr>
            <w:tcW w:w="4818" w:type="dxa"/>
          </w:tcPr>
          <w:p w14:paraId="0F7C873F" w14:textId="77777777" w:rsidR="00291EAB" w:rsidRPr="00286216" w:rsidRDefault="00291EAB" w:rsidP="00291EAB">
            <w:pPr>
              <w:pStyle w:val="StyleZakonu"/>
              <w:rPr>
                <w:color w:val="000000" w:themeColor="text1"/>
              </w:rPr>
            </w:pPr>
          </w:p>
        </w:tc>
      </w:tr>
      <w:tr w:rsidR="00291EAB" w:rsidRPr="00286216" w14:paraId="656BBBDC" w14:textId="77777777" w:rsidTr="00091AA5">
        <w:tc>
          <w:tcPr>
            <w:tcW w:w="576" w:type="dxa"/>
          </w:tcPr>
          <w:p w14:paraId="0F44B98F" w14:textId="77777777" w:rsidR="00291EAB" w:rsidRPr="00286216" w:rsidRDefault="00291EAB" w:rsidP="00291EAB">
            <w:pPr>
              <w:pStyle w:val="StyleWisnow"/>
              <w:rPr>
                <w:color w:val="000000" w:themeColor="text1"/>
              </w:rPr>
            </w:pPr>
            <w:bookmarkStart w:id="891" w:name="n1167" w:colFirst="0" w:colLast="0"/>
            <w:bookmarkEnd w:id="890"/>
            <w:r w:rsidRPr="00286216">
              <w:rPr>
                <w:color w:val="000000" w:themeColor="text1"/>
              </w:rPr>
              <w:t>1167.</w:t>
            </w:r>
          </w:p>
        </w:tc>
        <w:tc>
          <w:tcPr>
            <w:tcW w:w="4818" w:type="dxa"/>
          </w:tcPr>
          <w:p w14:paraId="5A8F6F26" w14:textId="77777777" w:rsidR="00291EAB" w:rsidRPr="00286216" w:rsidRDefault="00291EAB" w:rsidP="00291EAB">
            <w:pPr>
              <w:pStyle w:val="StyleZakonu"/>
              <w:rPr>
                <w:color w:val="000000" w:themeColor="text1"/>
              </w:rPr>
            </w:pPr>
            <w:r w:rsidRPr="00286216">
              <w:rPr>
                <w:color w:val="000000" w:themeColor="text1"/>
              </w:rPr>
              <w:t>ґ) внутрішні документи щодо провадження професійної діяльності;</w:t>
            </w:r>
          </w:p>
        </w:tc>
        <w:tc>
          <w:tcPr>
            <w:tcW w:w="3686" w:type="dxa"/>
          </w:tcPr>
          <w:p w14:paraId="4BA7FA97" w14:textId="29E4BEE8"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659</w:t>
            </w:r>
            <w:r w:rsidRPr="00286216">
              <w:rPr>
                <w:color w:val="000000" w:themeColor="text1"/>
              </w:rPr>
              <w:fldChar w:fldCharType="end"/>
            </w:r>
            <w:r w:rsidRPr="00286216">
              <w:rPr>
                <w:color w:val="000000" w:themeColor="text1"/>
              </w:rPr>
              <w:t>-Н.д.Шахов С.В. (Реєстр.картка №114)</w:t>
            </w:r>
          </w:p>
          <w:p w14:paraId="06456161" w14:textId="77777777" w:rsidR="00291EAB" w:rsidRPr="00286216" w:rsidRDefault="00291EAB" w:rsidP="00291EAB">
            <w:pPr>
              <w:pStyle w:val="StyleProp"/>
              <w:spacing w:line="180" w:lineRule="exact"/>
              <w:rPr>
                <w:color w:val="000000" w:themeColor="text1"/>
              </w:rPr>
            </w:pPr>
            <w:r w:rsidRPr="00286216">
              <w:rPr>
                <w:color w:val="000000" w:themeColor="text1"/>
              </w:rPr>
              <w:t>П.п. " ґ)" п. 7 ч. 2 ст. 67 виключити.</w:t>
            </w:r>
          </w:p>
        </w:tc>
        <w:tc>
          <w:tcPr>
            <w:tcW w:w="1987" w:type="dxa"/>
          </w:tcPr>
          <w:p w14:paraId="2EB576A5"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02955875" w14:textId="77777777" w:rsidR="00291EAB" w:rsidRPr="00286216" w:rsidRDefault="00291EAB" w:rsidP="00291EAB">
            <w:pPr>
              <w:pStyle w:val="StyleWisnow"/>
              <w:spacing w:line="180" w:lineRule="exact"/>
              <w:rPr>
                <w:color w:val="000000" w:themeColor="text1"/>
              </w:rPr>
            </w:pPr>
            <w:r w:rsidRPr="00286216">
              <w:rPr>
                <w:color w:val="000000" w:themeColor="text1"/>
              </w:rPr>
              <w:t>аналогічні вимоги передбачені Регламентом ЄС для фінустанов, які надають послуги фізичним особам</w:t>
            </w:r>
          </w:p>
        </w:tc>
        <w:tc>
          <w:tcPr>
            <w:tcW w:w="4818" w:type="dxa"/>
          </w:tcPr>
          <w:p w14:paraId="366F430B" w14:textId="77777777" w:rsidR="00291EAB" w:rsidRPr="00286216" w:rsidRDefault="00291EAB" w:rsidP="00291EAB">
            <w:pPr>
              <w:pStyle w:val="StyleZakonu"/>
              <w:rPr>
                <w:color w:val="000000" w:themeColor="text1"/>
              </w:rPr>
            </w:pPr>
          </w:p>
        </w:tc>
      </w:tr>
      <w:tr w:rsidR="00291EAB" w:rsidRPr="00286216" w14:paraId="1654606E" w14:textId="77777777" w:rsidTr="00091AA5">
        <w:tc>
          <w:tcPr>
            <w:tcW w:w="576" w:type="dxa"/>
          </w:tcPr>
          <w:p w14:paraId="7112E6F9" w14:textId="77777777" w:rsidR="00291EAB" w:rsidRPr="00286216" w:rsidRDefault="00291EAB" w:rsidP="00291EAB">
            <w:pPr>
              <w:pStyle w:val="StyleWisnow"/>
              <w:rPr>
                <w:color w:val="000000" w:themeColor="text1"/>
              </w:rPr>
            </w:pPr>
            <w:bookmarkStart w:id="892" w:name="n1168" w:colFirst="0" w:colLast="0"/>
            <w:bookmarkEnd w:id="891"/>
            <w:r w:rsidRPr="00286216">
              <w:rPr>
                <w:color w:val="000000" w:themeColor="text1"/>
              </w:rPr>
              <w:t>1168.</w:t>
            </w:r>
          </w:p>
        </w:tc>
        <w:tc>
          <w:tcPr>
            <w:tcW w:w="4818" w:type="dxa"/>
          </w:tcPr>
          <w:p w14:paraId="7D33C88D" w14:textId="77777777" w:rsidR="00291EAB" w:rsidRPr="00286216" w:rsidRDefault="00291EAB" w:rsidP="00291EAB">
            <w:pPr>
              <w:pStyle w:val="StyleZakonu"/>
              <w:rPr>
                <w:color w:val="000000" w:themeColor="text1"/>
              </w:rPr>
            </w:pPr>
            <w:r w:rsidRPr="00286216">
              <w:rPr>
                <w:color w:val="000000" w:themeColor="text1"/>
              </w:rPr>
              <w:t>д) інформацію про наявність спеціалістів, обладнання, комп’ютерної техніки, програмного забезпечення та приміщень, необхідних для провадження професійної діяльності на ринках капіталу та організованих товарних ринках;</w:t>
            </w:r>
          </w:p>
        </w:tc>
        <w:tc>
          <w:tcPr>
            <w:tcW w:w="3686" w:type="dxa"/>
          </w:tcPr>
          <w:p w14:paraId="46A1D138" w14:textId="0E7E26D1"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660</w:t>
            </w:r>
            <w:r w:rsidRPr="00286216">
              <w:rPr>
                <w:color w:val="000000" w:themeColor="text1"/>
              </w:rPr>
              <w:fldChar w:fldCharType="end"/>
            </w:r>
            <w:r w:rsidRPr="00286216">
              <w:rPr>
                <w:color w:val="000000" w:themeColor="text1"/>
              </w:rPr>
              <w:t>-Н.д.Шахов С.В. (Реєстр.картка №114)</w:t>
            </w:r>
          </w:p>
          <w:p w14:paraId="48E41EE5" w14:textId="77777777" w:rsidR="00291EAB" w:rsidRPr="00286216" w:rsidRDefault="00291EAB" w:rsidP="00291EAB">
            <w:pPr>
              <w:pStyle w:val="StyleProp"/>
              <w:spacing w:line="180" w:lineRule="exact"/>
              <w:rPr>
                <w:color w:val="000000" w:themeColor="text1"/>
              </w:rPr>
            </w:pPr>
            <w:r w:rsidRPr="00286216">
              <w:rPr>
                <w:color w:val="000000" w:themeColor="text1"/>
              </w:rPr>
              <w:t>У п.п. "д" п.7 ч.2 ст.67 слова "та приміщень" виключити.</w:t>
            </w:r>
          </w:p>
        </w:tc>
        <w:tc>
          <w:tcPr>
            <w:tcW w:w="1987" w:type="dxa"/>
          </w:tcPr>
          <w:p w14:paraId="728210F4"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02D151B6" w14:textId="77777777" w:rsidR="00291EAB" w:rsidRPr="00286216" w:rsidRDefault="00291EAB" w:rsidP="00291EAB">
            <w:pPr>
              <w:pStyle w:val="StyleWisnow"/>
              <w:spacing w:line="180" w:lineRule="exact"/>
              <w:rPr>
                <w:color w:val="000000" w:themeColor="text1"/>
              </w:rPr>
            </w:pPr>
            <w:r w:rsidRPr="00286216">
              <w:rPr>
                <w:color w:val="000000" w:themeColor="text1"/>
              </w:rPr>
              <w:t>аналогічні вимоги передбачені Регламентом ЄС для фінустанов, які надають послуги фізичним особам</w:t>
            </w:r>
          </w:p>
        </w:tc>
        <w:tc>
          <w:tcPr>
            <w:tcW w:w="4818" w:type="dxa"/>
          </w:tcPr>
          <w:p w14:paraId="33386A57" w14:textId="77777777" w:rsidR="00291EAB" w:rsidRPr="00286216" w:rsidRDefault="00291EAB" w:rsidP="00291EAB">
            <w:pPr>
              <w:pStyle w:val="StyleZakonu"/>
              <w:rPr>
                <w:color w:val="000000" w:themeColor="text1"/>
              </w:rPr>
            </w:pPr>
          </w:p>
        </w:tc>
      </w:tr>
      <w:tr w:rsidR="00291EAB" w:rsidRPr="00286216" w14:paraId="14EB824F" w14:textId="77777777" w:rsidTr="00091AA5">
        <w:tc>
          <w:tcPr>
            <w:tcW w:w="576" w:type="dxa"/>
          </w:tcPr>
          <w:p w14:paraId="3E0417C1" w14:textId="77777777" w:rsidR="00291EAB" w:rsidRPr="00286216" w:rsidRDefault="00291EAB" w:rsidP="00291EAB">
            <w:pPr>
              <w:pStyle w:val="StyleWisnow"/>
              <w:rPr>
                <w:color w:val="000000" w:themeColor="text1"/>
              </w:rPr>
            </w:pPr>
            <w:bookmarkStart w:id="893" w:name="n1169" w:colFirst="0" w:colLast="0"/>
            <w:bookmarkEnd w:id="892"/>
            <w:r w:rsidRPr="00286216">
              <w:rPr>
                <w:color w:val="000000" w:themeColor="text1"/>
              </w:rPr>
              <w:t>1169.</w:t>
            </w:r>
          </w:p>
        </w:tc>
        <w:tc>
          <w:tcPr>
            <w:tcW w:w="4818" w:type="dxa"/>
          </w:tcPr>
          <w:p w14:paraId="3E101F01" w14:textId="77777777" w:rsidR="00291EAB" w:rsidRPr="00286216" w:rsidRDefault="00291EAB" w:rsidP="00291EAB">
            <w:pPr>
              <w:pStyle w:val="StyleZakonu"/>
              <w:rPr>
                <w:color w:val="000000" w:themeColor="text1"/>
              </w:rPr>
            </w:pPr>
            <w:r w:rsidRPr="00286216">
              <w:rPr>
                <w:color w:val="000000" w:themeColor="text1"/>
              </w:rPr>
              <w:t>е) інформацію про систему та засоби, які забезпечують безперервність, постійність надання послуг.</w:t>
            </w:r>
          </w:p>
        </w:tc>
        <w:tc>
          <w:tcPr>
            <w:tcW w:w="3686" w:type="dxa"/>
          </w:tcPr>
          <w:p w14:paraId="0B8245AE" w14:textId="77777777" w:rsidR="00291EAB" w:rsidRPr="00286216" w:rsidRDefault="00291EAB" w:rsidP="00291EAB">
            <w:pPr>
              <w:pStyle w:val="StyleProp"/>
              <w:rPr>
                <w:color w:val="000000" w:themeColor="text1"/>
                <w:szCs w:val="18"/>
              </w:rPr>
            </w:pPr>
          </w:p>
        </w:tc>
        <w:tc>
          <w:tcPr>
            <w:tcW w:w="1987" w:type="dxa"/>
          </w:tcPr>
          <w:p w14:paraId="1FB7CF4C" w14:textId="77777777" w:rsidR="00291EAB" w:rsidRPr="00286216" w:rsidRDefault="00291EAB" w:rsidP="00291EAB">
            <w:pPr>
              <w:pStyle w:val="StyleWisnow"/>
              <w:spacing w:line="180" w:lineRule="exact"/>
              <w:rPr>
                <w:color w:val="000000" w:themeColor="text1"/>
              </w:rPr>
            </w:pPr>
          </w:p>
        </w:tc>
        <w:tc>
          <w:tcPr>
            <w:tcW w:w="4818" w:type="dxa"/>
          </w:tcPr>
          <w:p w14:paraId="69985B17" w14:textId="77777777" w:rsidR="00291EAB" w:rsidRPr="00286216" w:rsidRDefault="00291EAB" w:rsidP="00291EAB">
            <w:pPr>
              <w:pStyle w:val="StyleZakonu"/>
              <w:rPr>
                <w:color w:val="000000" w:themeColor="text1"/>
              </w:rPr>
            </w:pPr>
          </w:p>
        </w:tc>
      </w:tr>
      <w:tr w:rsidR="00291EAB" w:rsidRPr="00286216" w14:paraId="1ACFE157" w14:textId="77777777" w:rsidTr="00091AA5">
        <w:tc>
          <w:tcPr>
            <w:tcW w:w="576" w:type="dxa"/>
          </w:tcPr>
          <w:p w14:paraId="29F2DB54" w14:textId="77777777" w:rsidR="00291EAB" w:rsidRPr="00286216" w:rsidRDefault="00291EAB" w:rsidP="00291EAB">
            <w:pPr>
              <w:pStyle w:val="StyleWisnow"/>
              <w:rPr>
                <w:color w:val="000000" w:themeColor="text1"/>
              </w:rPr>
            </w:pPr>
            <w:bookmarkStart w:id="894" w:name="n1170" w:colFirst="0" w:colLast="0"/>
            <w:bookmarkEnd w:id="893"/>
            <w:r w:rsidRPr="00286216">
              <w:rPr>
                <w:color w:val="000000" w:themeColor="text1"/>
              </w:rPr>
              <w:t>1170.</w:t>
            </w:r>
          </w:p>
        </w:tc>
        <w:tc>
          <w:tcPr>
            <w:tcW w:w="4818" w:type="dxa"/>
          </w:tcPr>
          <w:p w14:paraId="64D4FC0E" w14:textId="77777777" w:rsidR="00291EAB" w:rsidRPr="00286216" w:rsidRDefault="00291EAB" w:rsidP="00291EAB">
            <w:pPr>
              <w:pStyle w:val="StyleZakonu"/>
              <w:rPr>
                <w:color w:val="000000" w:themeColor="text1"/>
              </w:rPr>
            </w:pPr>
            <w:r w:rsidRPr="00286216">
              <w:rPr>
                <w:color w:val="000000" w:themeColor="text1"/>
              </w:rPr>
              <w:t>8) інші документи, встановлені Національною комісією з цінних паперів та фондового ринку.</w:t>
            </w:r>
          </w:p>
        </w:tc>
        <w:tc>
          <w:tcPr>
            <w:tcW w:w="3686" w:type="dxa"/>
          </w:tcPr>
          <w:p w14:paraId="59D69D6B" w14:textId="5E5C9A53"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661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9620723" w14:textId="77777777" w:rsidR="00291EAB" w:rsidRPr="00286216" w:rsidRDefault="00291EAB" w:rsidP="00291EAB">
            <w:pPr>
              <w:pStyle w:val="StyleProp"/>
              <w:rPr>
                <w:color w:val="000000" w:themeColor="text1"/>
                <w:spacing w:val="-3"/>
                <w:szCs w:val="18"/>
              </w:rPr>
            </w:pPr>
            <w:r w:rsidRPr="00286216">
              <w:rPr>
                <w:color w:val="000000" w:themeColor="text1"/>
                <w:spacing w:val="-3"/>
                <w:szCs w:val="18"/>
              </w:rPr>
              <w:t>Абзац 19 статті 67 викласти у такій редакції:</w:t>
            </w:r>
          </w:p>
          <w:p w14:paraId="60B88774" w14:textId="77777777" w:rsidR="00291EAB" w:rsidRPr="00286216" w:rsidRDefault="00291EAB" w:rsidP="00291EAB">
            <w:pPr>
              <w:pStyle w:val="StyleProp"/>
              <w:rPr>
                <w:color w:val="000000" w:themeColor="text1"/>
                <w:szCs w:val="18"/>
              </w:rPr>
            </w:pPr>
            <w:r w:rsidRPr="00286216">
              <w:rPr>
                <w:color w:val="000000" w:themeColor="text1"/>
                <w:szCs w:val="18"/>
              </w:rPr>
              <w:t>"До заяви про  видачу ліцензії на окремі види професійної діяльності на ринках капіталу та організованих товарних ринках також додаються документи, вимоги до переліку та змісту яких встановлені законами з питань регулювання окремих ринків фінансових послуг, капіталу або організованих товарних ринків".</w:t>
            </w:r>
          </w:p>
        </w:tc>
        <w:tc>
          <w:tcPr>
            <w:tcW w:w="1987" w:type="dxa"/>
          </w:tcPr>
          <w:p w14:paraId="223160C2" w14:textId="1AB8FBC7" w:rsidR="00291EAB" w:rsidRPr="00286216" w:rsidRDefault="00291EAB" w:rsidP="00291EAB">
            <w:pPr>
              <w:pStyle w:val="StyleWisnow"/>
              <w:spacing w:line="180" w:lineRule="exact"/>
              <w:rPr>
                <w:color w:val="000000" w:themeColor="text1"/>
              </w:rPr>
            </w:pPr>
            <w:r w:rsidRPr="00286216">
              <w:rPr>
                <w:color w:val="000000" w:themeColor="text1"/>
              </w:rPr>
              <w:t>Враховано редакційно у запропонованій редакції статті</w:t>
            </w:r>
            <w:r w:rsidRPr="00286216">
              <w:rPr>
                <w:color w:val="000000" w:themeColor="text1"/>
                <w:lang w:val="ru-RU"/>
              </w:rPr>
              <w:t xml:space="preserve"> 71</w:t>
            </w:r>
          </w:p>
        </w:tc>
        <w:tc>
          <w:tcPr>
            <w:tcW w:w="4818" w:type="dxa"/>
          </w:tcPr>
          <w:p w14:paraId="5B59B05E" w14:textId="77777777" w:rsidR="00291EAB" w:rsidRPr="00286216" w:rsidRDefault="00291EAB" w:rsidP="00291EAB">
            <w:pPr>
              <w:pStyle w:val="StyleZakonu"/>
              <w:rPr>
                <w:color w:val="000000" w:themeColor="text1"/>
              </w:rPr>
            </w:pPr>
          </w:p>
        </w:tc>
      </w:tr>
      <w:bookmarkEnd w:id="894"/>
      <w:tr w:rsidR="00291EAB" w:rsidRPr="00286216" w14:paraId="6BFD32AA" w14:textId="77777777" w:rsidTr="00091AA5">
        <w:tc>
          <w:tcPr>
            <w:tcW w:w="576" w:type="dxa"/>
          </w:tcPr>
          <w:p w14:paraId="34047C41" w14:textId="77777777" w:rsidR="00291EAB" w:rsidRPr="00286216" w:rsidRDefault="00291EAB" w:rsidP="00291EAB">
            <w:pPr>
              <w:pStyle w:val="StyleWisnow"/>
              <w:rPr>
                <w:color w:val="000000" w:themeColor="text1"/>
              </w:rPr>
            </w:pPr>
          </w:p>
        </w:tc>
        <w:tc>
          <w:tcPr>
            <w:tcW w:w="4818" w:type="dxa"/>
          </w:tcPr>
          <w:p w14:paraId="2B1FA58D" w14:textId="77777777" w:rsidR="00291EAB" w:rsidRPr="00286216" w:rsidRDefault="00291EAB" w:rsidP="00291EAB">
            <w:pPr>
              <w:pStyle w:val="StyleZakonu"/>
              <w:rPr>
                <w:color w:val="000000" w:themeColor="text1"/>
              </w:rPr>
            </w:pPr>
          </w:p>
        </w:tc>
        <w:tc>
          <w:tcPr>
            <w:tcW w:w="3686" w:type="dxa"/>
          </w:tcPr>
          <w:p w14:paraId="781EE730" w14:textId="4DAB8786"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662</w:t>
            </w:r>
            <w:r w:rsidRPr="00286216">
              <w:rPr>
                <w:color w:val="000000" w:themeColor="text1"/>
              </w:rPr>
              <w:fldChar w:fldCharType="end"/>
            </w:r>
            <w:r w:rsidRPr="00286216">
              <w:rPr>
                <w:color w:val="000000" w:themeColor="text1"/>
              </w:rPr>
              <w:t>-Н.д.Шахов С.В. (Реєстр.картка №114)</w:t>
            </w:r>
          </w:p>
          <w:p w14:paraId="54981BE4" w14:textId="77777777" w:rsidR="00291EAB" w:rsidRPr="00286216" w:rsidRDefault="00291EAB" w:rsidP="00291EAB">
            <w:pPr>
              <w:pStyle w:val="StyleProp"/>
              <w:spacing w:line="180" w:lineRule="exact"/>
              <w:rPr>
                <w:color w:val="000000" w:themeColor="text1"/>
              </w:rPr>
            </w:pPr>
            <w:r w:rsidRPr="00286216">
              <w:rPr>
                <w:color w:val="000000" w:themeColor="text1"/>
              </w:rPr>
              <w:t>П. 8 ч. 2 ст. 67 виключити.</w:t>
            </w:r>
          </w:p>
        </w:tc>
        <w:tc>
          <w:tcPr>
            <w:tcW w:w="1987" w:type="dxa"/>
          </w:tcPr>
          <w:p w14:paraId="6A72D29E" w14:textId="33ED0F67"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w:t>
            </w:r>
            <w:r w:rsidRPr="00286216">
              <w:rPr>
                <w:color w:val="000000" w:themeColor="text1"/>
              </w:rPr>
              <w:lastRenderedPageBreak/>
              <w:t xml:space="preserve">редакції статті </w:t>
            </w:r>
            <w:r w:rsidRPr="00286216">
              <w:rPr>
                <w:color w:val="000000" w:themeColor="text1"/>
                <w:lang w:val="ru-RU"/>
              </w:rPr>
              <w:t>71</w:t>
            </w:r>
          </w:p>
        </w:tc>
        <w:tc>
          <w:tcPr>
            <w:tcW w:w="4818" w:type="dxa"/>
          </w:tcPr>
          <w:p w14:paraId="5206DA9A" w14:textId="77777777" w:rsidR="00291EAB" w:rsidRPr="00286216" w:rsidRDefault="00291EAB" w:rsidP="00291EAB">
            <w:pPr>
              <w:pStyle w:val="StyleZakonu"/>
              <w:rPr>
                <w:color w:val="000000" w:themeColor="text1"/>
              </w:rPr>
            </w:pPr>
          </w:p>
        </w:tc>
      </w:tr>
      <w:tr w:rsidR="00291EAB" w:rsidRPr="00286216" w14:paraId="08F0521B" w14:textId="77777777" w:rsidTr="00091AA5">
        <w:tc>
          <w:tcPr>
            <w:tcW w:w="576" w:type="dxa"/>
          </w:tcPr>
          <w:p w14:paraId="6B8D9319" w14:textId="77777777" w:rsidR="00291EAB" w:rsidRPr="00286216" w:rsidRDefault="00291EAB" w:rsidP="00291EAB">
            <w:pPr>
              <w:pStyle w:val="StyleWisnow"/>
              <w:rPr>
                <w:color w:val="000000" w:themeColor="text1"/>
              </w:rPr>
            </w:pPr>
            <w:bookmarkStart w:id="895" w:name="n1171" w:colFirst="0" w:colLast="0"/>
            <w:r w:rsidRPr="00286216">
              <w:rPr>
                <w:color w:val="000000" w:themeColor="text1"/>
              </w:rPr>
              <w:t>1171.</w:t>
            </w:r>
          </w:p>
        </w:tc>
        <w:tc>
          <w:tcPr>
            <w:tcW w:w="4818" w:type="dxa"/>
          </w:tcPr>
          <w:p w14:paraId="3151234A" w14:textId="77777777" w:rsidR="00291EAB" w:rsidRPr="00286216" w:rsidRDefault="00291EAB" w:rsidP="00291EAB">
            <w:pPr>
              <w:pStyle w:val="StyleZakonu"/>
              <w:rPr>
                <w:color w:val="000000" w:themeColor="text1"/>
              </w:rPr>
            </w:pPr>
            <w:r w:rsidRPr="00286216">
              <w:rPr>
                <w:color w:val="000000" w:themeColor="text1"/>
              </w:rPr>
              <w:t>Інші вимоги до документів та інформації, що подаються Національній комісії з цінних паперів та фондового ринку особою, яка має намір провадити професійну діяльність на ринках капіталу та організованих товарних ринках, для отримання ліцензії можуть встановлюватися Національною комісією з цінних паперів та фондового ринку для кожного виду професійної діяльності, передбаченого статтею 41 цього Закону.</w:t>
            </w:r>
          </w:p>
        </w:tc>
        <w:tc>
          <w:tcPr>
            <w:tcW w:w="3686" w:type="dxa"/>
          </w:tcPr>
          <w:p w14:paraId="10C39571" w14:textId="34160EB5"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663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A48D56F" w14:textId="77777777" w:rsidR="00291EAB" w:rsidRPr="00286216" w:rsidRDefault="00291EAB" w:rsidP="00291EAB">
            <w:pPr>
              <w:pStyle w:val="StyleProp"/>
              <w:rPr>
                <w:color w:val="000000" w:themeColor="text1"/>
                <w:szCs w:val="18"/>
              </w:rPr>
            </w:pPr>
            <w:r w:rsidRPr="00286216">
              <w:rPr>
                <w:color w:val="000000" w:themeColor="text1"/>
                <w:szCs w:val="18"/>
              </w:rPr>
              <w:t>Абзац двадцятий статті 67 викласти у такій редакції:</w:t>
            </w:r>
          </w:p>
          <w:p w14:paraId="1730E4CF" w14:textId="77777777" w:rsidR="00291EAB" w:rsidRPr="00286216" w:rsidRDefault="00291EAB" w:rsidP="00291EAB">
            <w:pPr>
              <w:pStyle w:val="StyleProp"/>
              <w:rPr>
                <w:color w:val="000000" w:themeColor="text1"/>
                <w:szCs w:val="18"/>
              </w:rPr>
            </w:pPr>
            <w:r w:rsidRPr="00286216">
              <w:rPr>
                <w:color w:val="000000" w:themeColor="text1"/>
                <w:szCs w:val="18"/>
              </w:rPr>
              <w:t>"Для вивчення фінансового стану фінансової групи, учасником якої є юридична особа, що звертається за одержанням ліцензії на певний вид  професійної діяльності на ринках капіталу та організованих товарних ринках, Національна комісія з цінних паперів та фондового ринку має право одержувати від Національного банку України, звітність про діяльність фінансової групи, складену, в порядку та на підставі вимог, визначених законодавством".</w:t>
            </w:r>
          </w:p>
        </w:tc>
        <w:tc>
          <w:tcPr>
            <w:tcW w:w="1987" w:type="dxa"/>
          </w:tcPr>
          <w:p w14:paraId="49C698BD" w14:textId="2874BA16" w:rsidR="00291EAB" w:rsidRPr="00286216" w:rsidRDefault="00291EAB" w:rsidP="00291EAB">
            <w:pPr>
              <w:pStyle w:val="StyleWisnow"/>
              <w:spacing w:line="180" w:lineRule="exact"/>
              <w:rPr>
                <w:color w:val="000000" w:themeColor="text1"/>
              </w:rPr>
            </w:pPr>
            <w:r w:rsidRPr="00286216">
              <w:rPr>
                <w:color w:val="000000" w:themeColor="text1"/>
              </w:rPr>
              <w:t xml:space="preserve">Враховано редакційно у запропонованій редакції статті </w:t>
            </w:r>
            <w:r w:rsidRPr="00286216">
              <w:rPr>
                <w:color w:val="000000" w:themeColor="text1"/>
                <w:lang w:val="ru-RU"/>
              </w:rPr>
              <w:t>71</w:t>
            </w:r>
          </w:p>
        </w:tc>
        <w:tc>
          <w:tcPr>
            <w:tcW w:w="4818" w:type="dxa"/>
          </w:tcPr>
          <w:p w14:paraId="62DE65B2" w14:textId="77777777" w:rsidR="00291EAB" w:rsidRPr="00286216" w:rsidRDefault="00291EAB" w:rsidP="00291EAB">
            <w:pPr>
              <w:pStyle w:val="StyleZakonu"/>
              <w:rPr>
                <w:color w:val="000000" w:themeColor="text1"/>
              </w:rPr>
            </w:pPr>
          </w:p>
        </w:tc>
      </w:tr>
      <w:bookmarkEnd w:id="895"/>
      <w:tr w:rsidR="00291EAB" w:rsidRPr="00286216" w14:paraId="6F9E2EC8" w14:textId="77777777" w:rsidTr="00091AA5">
        <w:tc>
          <w:tcPr>
            <w:tcW w:w="576" w:type="dxa"/>
          </w:tcPr>
          <w:p w14:paraId="068A93A1" w14:textId="77777777" w:rsidR="00291EAB" w:rsidRPr="00286216" w:rsidRDefault="00291EAB" w:rsidP="00291EAB">
            <w:pPr>
              <w:pStyle w:val="StyleWisnow"/>
              <w:rPr>
                <w:color w:val="000000" w:themeColor="text1"/>
              </w:rPr>
            </w:pPr>
          </w:p>
        </w:tc>
        <w:tc>
          <w:tcPr>
            <w:tcW w:w="4818" w:type="dxa"/>
          </w:tcPr>
          <w:p w14:paraId="0D4E3559" w14:textId="77777777" w:rsidR="00291EAB" w:rsidRPr="00286216" w:rsidRDefault="00291EAB" w:rsidP="00291EAB">
            <w:pPr>
              <w:pStyle w:val="StyleZakonu"/>
              <w:rPr>
                <w:color w:val="000000" w:themeColor="text1"/>
              </w:rPr>
            </w:pPr>
          </w:p>
        </w:tc>
        <w:tc>
          <w:tcPr>
            <w:tcW w:w="3686" w:type="dxa"/>
          </w:tcPr>
          <w:p w14:paraId="0C61511B" w14:textId="18A8A3F5"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664</w:t>
            </w:r>
            <w:r w:rsidRPr="00286216">
              <w:rPr>
                <w:color w:val="000000" w:themeColor="text1"/>
              </w:rPr>
              <w:fldChar w:fldCharType="end"/>
            </w:r>
            <w:r w:rsidRPr="00286216">
              <w:rPr>
                <w:color w:val="000000" w:themeColor="text1"/>
              </w:rPr>
              <w:t>-Н.д.Шахов С.В. (Реєстр.картка №114)</w:t>
            </w:r>
          </w:p>
          <w:p w14:paraId="0C712E03" w14:textId="77777777" w:rsidR="00291EAB" w:rsidRPr="00286216" w:rsidRDefault="00291EAB" w:rsidP="00291EAB">
            <w:pPr>
              <w:pStyle w:val="StyleProp"/>
              <w:spacing w:line="180" w:lineRule="exact"/>
              <w:rPr>
                <w:color w:val="000000" w:themeColor="text1"/>
              </w:rPr>
            </w:pPr>
            <w:r w:rsidRPr="00286216">
              <w:rPr>
                <w:color w:val="000000" w:themeColor="text1"/>
              </w:rPr>
              <w:t>Абз. 20 ст. 67 виключити.</w:t>
            </w:r>
          </w:p>
        </w:tc>
        <w:tc>
          <w:tcPr>
            <w:tcW w:w="1987" w:type="dxa"/>
          </w:tcPr>
          <w:p w14:paraId="6CFEDB37" w14:textId="77777777" w:rsidR="00291EAB" w:rsidRPr="00286216" w:rsidRDefault="00291EAB" w:rsidP="00291EAB">
            <w:pPr>
              <w:pStyle w:val="StyleWisnow"/>
              <w:spacing w:line="180" w:lineRule="exact"/>
              <w:rPr>
                <w:color w:val="000000" w:themeColor="text1"/>
              </w:rPr>
            </w:pPr>
            <w:r w:rsidRPr="00286216">
              <w:rPr>
                <w:color w:val="000000" w:themeColor="text1"/>
              </w:rPr>
              <w:t>Враховано частково</w:t>
            </w:r>
          </w:p>
          <w:p w14:paraId="082CBAAE" w14:textId="36496303"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370255B1" w14:textId="77777777" w:rsidR="00291EAB" w:rsidRPr="00286216" w:rsidRDefault="00291EAB" w:rsidP="00291EAB">
            <w:pPr>
              <w:pStyle w:val="StyleZakonu"/>
              <w:rPr>
                <w:color w:val="000000" w:themeColor="text1"/>
              </w:rPr>
            </w:pPr>
          </w:p>
        </w:tc>
      </w:tr>
      <w:tr w:rsidR="00291EAB" w:rsidRPr="00286216" w14:paraId="4A527FB3" w14:textId="77777777" w:rsidTr="00091AA5">
        <w:tc>
          <w:tcPr>
            <w:tcW w:w="576" w:type="dxa"/>
          </w:tcPr>
          <w:p w14:paraId="22759370" w14:textId="77777777" w:rsidR="00291EAB" w:rsidRPr="00286216" w:rsidRDefault="00291EAB" w:rsidP="00291EAB">
            <w:pPr>
              <w:pStyle w:val="StyleWisnow"/>
              <w:rPr>
                <w:color w:val="000000" w:themeColor="text1"/>
              </w:rPr>
            </w:pPr>
          </w:p>
        </w:tc>
        <w:tc>
          <w:tcPr>
            <w:tcW w:w="4818" w:type="dxa"/>
          </w:tcPr>
          <w:p w14:paraId="13A5EF01" w14:textId="77777777" w:rsidR="00291EAB" w:rsidRPr="00286216" w:rsidRDefault="00291EAB" w:rsidP="00291EAB">
            <w:pPr>
              <w:pStyle w:val="StyleZakonu"/>
              <w:rPr>
                <w:color w:val="000000" w:themeColor="text1"/>
              </w:rPr>
            </w:pPr>
          </w:p>
        </w:tc>
        <w:tc>
          <w:tcPr>
            <w:tcW w:w="3686" w:type="dxa"/>
          </w:tcPr>
          <w:p w14:paraId="5FCEBF7F" w14:textId="4B909D3A" w:rsidR="00291EAB" w:rsidRPr="00286216" w:rsidRDefault="00291EAB" w:rsidP="00291EAB">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665</w:t>
            </w:r>
            <w:r w:rsidRPr="00286216">
              <w:rPr>
                <w:color w:val="000000" w:themeColor="text1"/>
                <w:spacing w:val="-4"/>
              </w:rPr>
              <w:fldChar w:fldCharType="end"/>
            </w:r>
            <w:r w:rsidRPr="00286216">
              <w:rPr>
                <w:color w:val="000000" w:themeColor="text1"/>
                <w:spacing w:val="-4"/>
              </w:rPr>
              <w:t>-Н.д.Бєлькова О.В. (Реєстр.картка №403)</w:t>
            </w:r>
          </w:p>
          <w:p w14:paraId="19954594" w14:textId="77777777" w:rsidR="00291EAB" w:rsidRPr="00286216" w:rsidRDefault="00291EAB" w:rsidP="00291EAB">
            <w:pPr>
              <w:pStyle w:val="StyleProp"/>
              <w:spacing w:line="190" w:lineRule="exact"/>
              <w:rPr>
                <w:color w:val="000000" w:themeColor="text1"/>
              </w:rPr>
            </w:pPr>
            <w:r w:rsidRPr="00286216">
              <w:rPr>
                <w:color w:val="000000" w:themeColor="text1"/>
              </w:rPr>
              <w:t xml:space="preserve">Частину другу статті 67 після абзацу 17 доповнити новим абзацом такого змісту: </w:t>
            </w:r>
          </w:p>
          <w:p w14:paraId="0E9AFB76" w14:textId="77777777" w:rsidR="00291EAB" w:rsidRPr="00286216" w:rsidRDefault="00291EAB" w:rsidP="00291EAB">
            <w:pPr>
              <w:pStyle w:val="StyleProp"/>
              <w:spacing w:line="190" w:lineRule="exact"/>
              <w:rPr>
                <w:color w:val="000000" w:themeColor="text1"/>
              </w:rPr>
            </w:pPr>
            <w:r w:rsidRPr="00286216">
              <w:rPr>
                <w:color w:val="000000" w:themeColor="text1"/>
              </w:rPr>
              <w:t>“Документи та інформація, які містять банківську таємницю, надаються в порядку та на умовах, визначених Законом України "Про банки і банківську діяльність".</w:t>
            </w:r>
          </w:p>
        </w:tc>
        <w:tc>
          <w:tcPr>
            <w:tcW w:w="1987" w:type="dxa"/>
          </w:tcPr>
          <w:p w14:paraId="6AAD9649" w14:textId="77777777" w:rsidR="00291EAB" w:rsidRPr="00286216" w:rsidRDefault="00291EAB" w:rsidP="00291EAB">
            <w:pPr>
              <w:pStyle w:val="StyleWisnow"/>
              <w:spacing w:line="180" w:lineRule="exact"/>
              <w:rPr>
                <w:color w:val="000000" w:themeColor="text1"/>
              </w:rPr>
            </w:pPr>
            <w:r w:rsidRPr="00286216">
              <w:rPr>
                <w:color w:val="000000" w:themeColor="text1"/>
              </w:rPr>
              <w:t>Враховано</w:t>
            </w:r>
          </w:p>
          <w:p w14:paraId="206B661B" w14:textId="386828E1"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5338EFC0" w14:textId="77777777" w:rsidR="00291EAB" w:rsidRPr="00286216" w:rsidRDefault="00291EAB" w:rsidP="00291EAB">
            <w:pPr>
              <w:pStyle w:val="StyleZakonu"/>
              <w:rPr>
                <w:color w:val="000000" w:themeColor="text1"/>
              </w:rPr>
            </w:pPr>
          </w:p>
        </w:tc>
      </w:tr>
      <w:tr w:rsidR="00291EAB" w:rsidRPr="00286216" w14:paraId="0A32B429" w14:textId="77777777" w:rsidTr="00091AA5">
        <w:tc>
          <w:tcPr>
            <w:tcW w:w="576" w:type="dxa"/>
          </w:tcPr>
          <w:p w14:paraId="59F9E5E5" w14:textId="77777777" w:rsidR="00291EAB" w:rsidRPr="00286216" w:rsidRDefault="00291EAB" w:rsidP="00291EAB">
            <w:pPr>
              <w:pStyle w:val="StyleWisnow"/>
              <w:rPr>
                <w:color w:val="000000" w:themeColor="text1"/>
              </w:rPr>
            </w:pPr>
            <w:bookmarkStart w:id="896" w:name="n1172" w:colFirst="0" w:colLast="0"/>
            <w:r w:rsidRPr="00286216">
              <w:rPr>
                <w:color w:val="000000" w:themeColor="text1"/>
              </w:rPr>
              <w:t>1172.</w:t>
            </w:r>
          </w:p>
        </w:tc>
        <w:tc>
          <w:tcPr>
            <w:tcW w:w="4818" w:type="dxa"/>
          </w:tcPr>
          <w:p w14:paraId="62F5634C" w14:textId="77777777" w:rsidR="00291EAB" w:rsidRPr="00286216" w:rsidRDefault="00291EAB" w:rsidP="00291EAB">
            <w:pPr>
              <w:pStyle w:val="StyleZakonu"/>
              <w:rPr>
                <w:color w:val="000000" w:themeColor="text1"/>
              </w:rPr>
            </w:pPr>
            <w:r w:rsidRPr="00286216">
              <w:rPr>
                <w:color w:val="000000" w:themeColor="text1"/>
              </w:rPr>
              <w:t>Національна комісія з цінних паперів та фондового ринку у місячний строк з дати отримання документів надає юридичній особі, яка має намір провадити професійну діяльність на ринках капіталу та організованих товарних ринках, підтвердження отримання повного переліку документів, передбачених у цій частині статті, або повідомляє про залишення заяви про видачу ліцензії без розгляду у зв’язку з отриманням неповного переліку документів.</w:t>
            </w:r>
          </w:p>
        </w:tc>
        <w:tc>
          <w:tcPr>
            <w:tcW w:w="3686" w:type="dxa"/>
          </w:tcPr>
          <w:p w14:paraId="7AEF4408" w14:textId="5F43CB34"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666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811D68D"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В абзаці двадцять першому статті 67 слова "у місячний строк" замінити словами "протягом  п’яти робочих днів", та доповнити словами "(із зазначенням відсутніх документів) та/або оформленого з порушенням вимог, установлених Національною комісією з цінних паперів та фондового ринку".</w:t>
            </w:r>
          </w:p>
        </w:tc>
        <w:tc>
          <w:tcPr>
            <w:tcW w:w="1987" w:type="dxa"/>
          </w:tcPr>
          <w:p w14:paraId="6F60AB92"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6AA303C3" w14:textId="0EF521D3" w:rsidR="00291EAB" w:rsidRPr="00286216" w:rsidRDefault="00291EAB" w:rsidP="00291EAB">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0AD43645" w14:textId="77777777" w:rsidR="00291EAB" w:rsidRPr="00286216" w:rsidRDefault="00291EAB" w:rsidP="00291EAB">
            <w:pPr>
              <w:pStyle w:val="StyleZakonu"/>
              <w:rPr>
                <w:color w:val="000000" w:themeColor="text1"/>
              </w:rPr>
            </w:pPr>
          </w:p>
        </w:tc>
      </w:tr>
      <w:bookmarkEnd w:id="896"/>
      <w:tr w:rsidR="00291EAB" w:rsidRPr="00286216" w14:paraId="481A00F4" w14:textId="77777777" w:rsidTr="00091AA5">
        <w:tc>
          <w:tcPr>
            <w:tcW w:w="576" w:type="dxa"/>
          </w:tcPr>
          <w:p w14:paraId="56363A1F" w14:textId="77777777" w:rsidR="00291EAB" w:rsidRPr="00286216" w:rsidRDefault="00291EAB" w:rsidP="00291EAB">
            <w:pPr>
              <w:pStyle w:val="StyleWisnow"/>
              <w:rPr>
                <w:color w:val="000000" w:themeColor="text1"/>
              </w:rPr>
            </w:pPr>
          </w:p>
        </w:tc>
        <w:tc>
          <w:tcPr>
            <w:tcW w:w="4818" w:type="dxa"/>
          </w:tcPr>
          <w:p w14:paraId="79609E0F" w14:textId="77777777" w:rsidR="00291EAB" w:rsidRPr="00286216" w:rsidRDefault="00291EAB" w:rsidP="00291EAB">
            <w:pPr>
              <w:pStyle w:val="StyleZakonu"/>
              <w:rPr>
                <w:color w:val="000000" w:themeColor="text1"/>
              </w:rPr>
            </w:pPr>
          </w:p>
        </w:tc>
        <w:tc>
          <w:tcPr>
            <w:tcW w:w="3686" w:type="dxa"/>
          </w:tcPr>
          <w:p w14:paraId="0A9CADBF" w14:textId="28360094"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667</w:t>
            </w:r>
            <w:r w:rsidRPr="00286216">
              <w:rPr>
                <w:color w:val="000000" w:themeColor="text1"/>
                <w:spacing w:val="-10"/>
              </w:rPr>
              <w:fldChar w:fldCharType="end"/>
            </w:r>
            <w:r w:rsidRPr="00286216">
              <w:rPr>
                <w:color w:val="000000" w:themeColor="text1"/>
                <w:spacing w:val="-10"/>
              </w:rPr>
              <w:t>-Н.д.Гетманцев Д.О.(Реєстр.картка №245)</w:t>
            </w:r>
          </w:p>
          <w:p w14:paraId="37C23B73" w14:textId="77777777" w:rsidR="00291EAB" w:rsidRPr="00286216" w:rsidRDefault="00291EAB" w:rsidP="00291EAB">
            <w:pPr>
              <w:pStyle w:val="StyleProp"/>
              <w:spacing w:line="190" w:lineRule="exact"/>
              <w:rPr>
                <w:color w:val="000000" w:themeColor="text1"/>
              </w:rPr>
            </w:pPr>
            <w:r w:rsidRPr="00286216">
              <w:rPr>
                <w:color w:val="000000" w:themeColor="text1"/>
              </w:rPr>
              <w:t>У статті 67 останній абзац частини другої викласти в такій редакції:</w:t>
            </w:r>
          </w:p>
          <w:p w14:paraId="316F740F" w14:textId="77777777" w:rsidR="00291EAB" w:rsidRPr="00286216" w:rsidRDefault="00291EAB" w:rsidP="00291EAB">
            <w:pPr>
              <w:pStyle w:val="StyleProp"/>
              <w:spacing w:line="190" w:lineRule="exact"/>
              <w:rPr>
                <w:color w:val="000000" w:themeColor="text1"/>
              </w:rPr>
            </w:pPr>
            <w:r w:rsidRPr="00286216">
              <w:rPr>
                <w:color w:val="000000" w:themeColor="text1"/>
              </w:rPr>
              <w:t xml:space="preserve">«Національна комісія з цінних паперів та фондового ринку протягом п’яти робочих днів з дня отримання документів, поданих суб’єктом господарювання для отримання ліцензії, надає такому суб’єкту господарювання письмове підтвердження щодо отримання у повному обсязі документів, передбачених у цій статті, або повідомляє про прийняття рішення про залишення заяви про видачу ліцензії без розгляду у зв’язку з поданням суб’єктом господарювання документів не в повному обсязі. До повідомлення Національної комісії </w:t>
            </w:r>
            <w:r w:rsidRPr="00286216">
              <w:rPr>
                <w:color w:val="000000" w:themeColor="text1"/>
              </w:rPr>
              <w:lastRenderedPageBreak/>
              <w:t>з цінних паперів та фондового ринку про прийняття рішення про залишення заяви про видачу ліцензії без розгляду повинна додаватися засвідчена копія такого рішення.</w:t>
            </w:r>
          </w:p>
          <w:p w14:paraId="1BC42FA7" w14:textId="77777777" w:rsidR="00291EAB" w:rsidRPr="00286216" w:rsidRDefault="00291EAB" w:rsidP="00291EAB">
            <w:pPr>
              <w:pStyle w:val="StyleProp"/>
              <w:spacing w:line="190" w:lineRule="exact"/>
              <w:rPr>
                <w:color w:val="000000" w:themeColor="text1"/>
              </w:rPr>
            </w:pPr>
            <w:r w:rsidRPr="00286216">
              <w:rPr>
                <w:color w:val="000000" w:themeColor="text1"/>
              </w:rPr>
              <w:t>Рішення Національної комісії з цінних паперів та фондового ринку про залишення заяви про видачу ліцензії без розгляду повинно бути мотивованим.»</w:t>
            </w:r>
          </w:p>
        </w:tc>
        <w:tc>
          <w:tcPr>
            <w:tcW w:w="1987" w:type="dxa"/>
          </w:tcPr>
          <w:p w14:paraId="5064E917" w14:textId="77777777" w:rsidR="00291EAB" w:rsidRPr="00286216" w:rsidRDefault="00291EAB" w:rsidP="00291EAB">
            <w:pPr>
              <w:pStyle w:val="StyleWisnow"/>
              <w:spacing w:line="180" w:lineRule="exact"/>
              <w:rPr>
                <w:color w:val="000000" w:themeColor="text1"/>
              </w:rPr>
            </w:pPr>
            <w:r w:rsidRPr="00286216">
              <w:rPr>
                <w:color w:val="000000" w:themeColor="text1"/>
              </w:rPr>
              <w:lastRenderedPageBreak/>
              <w:t>Враховано частково</w:t>
            </w:r>
          </w:p>
          <w:p w14:paraId="4A4F05E0" w14:textId="0CB8D1E0"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r w:rsidRPr="00286216">
              <w:rPr>
                <w:color w:val="000000" w:themeColor="text1"/>
              </w:rPr>
              <w:t xml:space="preserve"> у частині 22</w:t>
            </w:r>
          </w:p>
        </w:tc>
        <w:tc>
          <w:tcPr>
            <w:tcW w:w="4818" w:type="dxa"/>
          </w:tcPr>
          <w:p w14:paraId="54A13924" w14:textId="77777777" w:rsidR="00291EAB" w:rsidRPr="00286216" w:rsidRDefault="00291EAB" w:rsidP="00291EAB">
            <w:pPr>
              <w:pStyle w:val="StyleZakonu"/>
              <w:rPr>
                <w:color w:val="000000" w:themeColor="text1"/>
              </w:rPr>
            </w:pPr>
          </w:p>
        </w:tc>
      </w:tr>
      <w:tr w:rsidR="00291EAB" w:rsidRPr="00286216" w14:paraId="6961B0E2" w14:textId="77777777" w:rsidTr="00091AA5">
        <w:tc>
          <w:tcPr>
            <w:tcW w:w="576" w:type="dxa"/>
          </w:tcPr>
          <w:p w14:paraId="28A3798B" w14:textId="77777777" w:rsidR="00291EAB" w:rsidRPr="00286216" w:rsidRDefault="00291EAB" w:rsidP="00291EAB">
            <w:pPr>
              <w:pStyle w:val="StyleWisnow"/>
              <w:rPr>
                <w:color w:val="000000" w:themeColor="text1"/>
              </w:rPr>
            </w:pPr>
          </w:p>
        </w:tc>
        <w:tc>
          <w:tcPr>
            <w:tcW w:w="4818" w:type="dxa"/>
          </w:tcPr>
          <w:p w14:paraId="227A885D" w14:textId="77777777" w:rsidR="00291EAB" w:rsidRPr="00286216" w:rsidRDefault="00291EAB" w:rsidP="00291EAB">
            <w:pPr>
              <w:pStyle w:val="StyleZakonu"/>
              <w:rPr>
                <w:color w:val="000000" w:themeColor="text1"/>
              </w:rPr>
            </w:pPr>
          </w:p>
        </w:tc>
        <w:tc>
          <w:tcPr>
            <w:tcW w:w="3686" w:type="dxa"/>
          </w:tcPr>
          <w:p w14:paraId="51CE1A78" w14:textId="197EA04B"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668</w:t>
            </w:r>
            <w:r w:rsidRPr="00286216">
              <w:rPr>
                <w:color w:val="000000" w:themeColor="text1"/>
              </w:rPr>
              <w:fldChar w:fldCharType="end"/>
            </w:r>
            <w:r w:rsidRPr="00286216">
              <w:rPr>
                <w:color w:val="000000" w:themeColor="text1"/>
              </w:rPr>
              <w:t>-Н.д.Шахов С.В. (Реєстр.картка №114)</w:t>
            </w:r>
          </w:p>
          <w:p w14:paraId="6ADA60C2" w14:textId="77777777" w:rsidR="00291EAB" w:rsidRPr="00286216" w:rsidRDefault="00291EAB" w:rsidP="00291EAB">
            <w:pPr>
              <w:pStyle w:val="StyleProp"/>
              <w:spacing w:line="180" w:lineRule="exact"/>
              <w:rPr>
                <w:color w:val="000000" w:themeColor="text1"/>
              </w:rPr>
            </w:pPr>
            <w:r w:rsidRPr="00286216">
              <w:rPr>
                <w:color w:val="000000" w:themeColor="text1"/>
              </w:rPr>
              <w:t>В останньому абзаці ч. 2 ст. 67 слова "Національна комісія з цінних паперів та фондового ринку у місячний строк" замінити словами "Регулятор відповідного ринку  у десятиденний строк".</w:t>
            </w:r>
          </w:p>
        </w:tc>
        <w:tc>
          <w:tcPr>
            <w:tcW w:w="1987" w:type="dxa"/>
          </w:tcPr>
          <w:p w14:paraId="56BED348"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637E3D4D" w14:textId="1F5C1876" w:rsidR="00291EAB" w:rsidRPr="00286216" w:rsidRDefault="00291EAB" w:rsidP="00291EAB">
            <w:pPr>
              <w:pStyle w:val="StyleWisnow"/>
              <w:spacing w:line="180" w:lineRule="exact"/>
              <w:rPr>
                <w:color w:val="000000" w:themeColor="text1"/>
              </w:rPr>
            </w:pPr>
            <w:r w:rsidRPr="00286216">
              <w:rPr>
                <w:color w:val="000000" w:themeColor="text1"/>
              </w:rPr>
              <w:t>ринки капіталу та організовані товарні ринки, відповідно до базової статті 2</w:t>
            </w:r>
            <w:r w:rsidRPr="00286216">
              <w:rPr>
                <w:color w:val="000000" w:themeColor="text1"/>
                <w:lang w:val="ru-RU"/>
              </w:rPr>
              <w:t xml:space="preserve"> </w:t>
            </w:r>
            <w:r w:rsidRPr="00286216">
              <w:rPr>
                <w:color w:val="000000" w:themeColor="text1"/>
              </w:rPr>
              <w:t xml:space="preserve"> цього Закону, належать до регуляторної компетенції НКЦПФР</w:t>
            </w:r>
          </w:p>
        </w:tc>
        <w:tc>
          <w:tcPr>
            <w:tcW w:w="4818" w:type="dxa"/>
          </w:tcPr>
          <w:p w14:paraId="7D02A430" w14:textId="77777777" w:rsidR="00291EAB" w:rsidRPr="00286216" w:rsidRDefault="00291EAB" w:rsidP="00291EAB">
            <w:pPr>
              <w:pStyle w:val="StyleZakonu"/>
              <w:rPr>
                <w:color w:val="000000" w:themeColor="text1"/>
              </w:rPr>
            </w:pPr>
          </w:p>
        </w:tc>
      </w:tr>
      <w:tr w:rsidR="00291EAB" w:rsidRPr="00286216" w14:paraId="5126C1A9" w14:textId="77777777" w:rsidTr="00091AA5">
        <w:tc>
          <w:tcPr>
            <w:tcW w:w="576" w:type="dxa"/>
          </w:tcPr>
          <w:p w14:paraId="63CBBA39" w14:textId="77777777" w:rsidR="00291EAB" w:rsidRPr="00286216" w:rsidRDefault="00291EAB" w:rsidP="00291EAB">
            <w:pPr>
              <w:pStyle w:val="StyleWisnow"/>
              <w:rPr>
                <w:color w:val="000000" w:themeColor="text1"/>
              </w:rPr>
            </w:pPr>
            <w:bookmarkStart w:id="897" w:name="n1173" w:colFirst="0" w:colLast="0"/>
            <w:r w:rsidRPr="00286216">
              <w:rPr>
                <w:color w:val="000000" w:themeColor="text1"/>
              </w:rPr>
              <w:t>1173.</w:t>
            </w:r>
          </w:p>
        </w:tc>
        <w:tc>
          <w:tcPr>
            <w:tcW w:w="4818" w:type="dxa"/>
          </w:tcPr>
          <w:p w14:paraId="19B3FAAB" w14:textId="77777777" w:rsidR="00291EAB" w:rsidRPr="00286216" w:rsidRDefault="00291EAB" w:rsidP="00291EAB">
            <w:pPr>
              <w:pStyle w:val="StyleZakonu"/>
              <w:rPr>
                <w:color w:val="000000" w:themeColor="text1"/>
              </w:rPr>
            </w:pPr>
            <w:r w:rsidRPr="00286216">
              <w:rPr>
                <w:color w:val="000000" w:themeColor="text1"/>
              </w:rPr>
              <w:t>3. Юридична особа, яка має намір провадити професійну діяльність на ринках капіталу та організованих товарних ринках та учасником якої є іноземна юридична особа, для отримання ліцензії на провадження відповідного виду такої діяльності, крім документів, зазначених у частині другій цієї статті, подає Національній комісії з цінних паперів та фондового ринку в установленому нею порядку:</w:t>
            </w:r>
          </w:p>
        </w:tc>
        <w:tc>
          <w:tcPr>
            <w:tcW w:w="3686" w:type="dxa"/>
          </w:tcPr>
          <w:p w14:paraId="28A4436C" w14:textId="652DEB07"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669</w:t>
            </w:r>
            <w:r w:rsidRPr="00286216">
              <w:rPr>
                <w:color w:val="000000" w:themeColor="text1"/>
              </w:rPr>
              <w:fldChar w:fldCharType="end"/>
            </w:r>
            <w:r w:rsidRPr="00286216">
              <w:rPr>
                <w:color w:val="000000" w:themeColor="text1"/>
              </w:rPr>
              <w:t>-Н.д.Шахов С.В. (Реєстр.картка №114)</w:t>
            </w:r>
          </w:p>
          <w:p w14:paraId="40BB3CC8" w14:textId="77777777" w:rsidR="00291EAB" w:rsidRPr="00286216" w:rsidRDefault="00291EAB" w:rsidP="00291EAB">
            <w:pPr>
              <w:pStyle w:val="StyleProp"/>
              <w:spacing w:line="180" w:lineRule="exact"/>
              <w:rPr>
                <w:color w:val="000000" w:themeColor="text1"/>
              </w:rPr>
            </w:pPr>
            <w:r w:rsidRPr="00286216">
              <w:rPr>
                <w:color w:val="000000" w:themeColor="text1"/>
              </w:rPr>
              <w:t>Абз.1 ч. 3 ст. 67 викласти у редакції:</w:t>
            </w:r>
          </w:p>
          <w:p w14:paraId="6A17A77C" w14:textId="77777777" w:rsidR="00291EAB" w:rsidRPr="00286216" w:rsidRDefault="00291EAB" w:rsidP="00291EAB">
            <w:pPr>
              <w:pStyle w:val="StyleProp"/>
              <w:spacing w:line="180" w:lineRule="exact"/>
              <w:rPr>
                <w:color w:val="000000" w:themeColor="text1"/>
              </w:rPr>
            </w:pPr>
            <w:r w:rsidRPr="00286216">
              <w:rPr>
                <w:color w:val="000000" w:themeColor="text1"/>
              </w:rPr>
              <w:t>"3. Юридична особа, яка має намір провадити професійну діяльність на ринках капіталу та організованих товарних ринках та учасником якої є іноземна юридична особа, для отримання ліцензії на провадження відповідного виду такої діяльності (або іншого дозвільного документу, визначеного законодавством про товарні ринки), крім документів, зазначених у частині другій цієї статті, подає регулятору відповідного ринку в установленому нею порядку".</w:t>
            </w:r>
          </w:p>
        </w:tc>
        <w:tc>
          <w:tcPr>
            <w:tcW w:w="1987" w:type="dxa"/>
          </w:tcPr>
          <w:p w14:paraId="2881304B"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7F266477" w14:textId="77777777" w:rsidR="00291EAB" w:rsidRPr="00286216" w:rsidRDefault="00291EAB" w:rsidP="00291EAB">
            <w:pPr>
              <w:pStyle w:val="StyleWisnow"/>
              <w:spacing w:line="180" w:lineRule="exact"/>
              <w:rPr>
                <w:color w:val="000000" w:themeColor="text1"/>
              </w:rPr>
            </w:pPr>
            <w:r w:rsidRPr="00286216">
              <w:rPr>
                <w:color w:val="000000" w:themeColor="text1"/>
                <w:spacing w:val="-4"/>
              </w:rPr>
              <w:t>Не передбачені інші підстави провадження професійної діяльності на ринках капіталу та організованих товарних ринках, окрім отримання ліцензії у регулятора, яким є НКЦПФР</w:t>
            </w:r>
          </w:p>
        </w:tc>
        <w:tc>
          <w:tcPr>
            <w:tcW w:w="4818" w:type="dxa"/>
          </w:tcPr>
          <w:p w14:paraId="7EE92469" w14:textId="77777777" w:rsidR="00291EAB" w:rsidRPr="00286216" w:rsidRDefault="00291EAB" w:rsidP="00291EAB">
            <w:pPr>
              <w:pStyle w:val="StyleZakonu"/>
              <w:rPr>
                <w:color w:val="000000" w:themeColor="text1"/>
              </w:rPr>
            </w:pPr>
          </w:p>
        </w:tc>
      </w:tr>
      <w:tr w:rsidR="00291EAB" w:rsidRPr="00286216" w14:paraId="46EC3F76" w14:textId="77777777" w:rsidTr="00091AA5">
        <w:tc>
          <w:tcPr>
            <w:tcW w:w="576" w:type="dxa"/>
          </w:tcPr>
          <w:p w14:paraId="56E0516D" w14:textId="77777777" w:rsidR="00291EAB" w:rsidRPr="00286216" w:rsidRDefault="00291EAB" w:rsidP="00291EAB">
            <w:pPr>
              <w:pStyle w:val="StyleWisnow"/>
              <w:rPr>
                <w:color w:val="000000" w:themeColor="text1"/>
              </w:rPr>
            </w:pPr>
            <w:bookmarkStart w:id="898" w:name="n1174" w:colFirst="0" w:colLast="0"/>
            <w:bookmarkEnd w:id="897"/>
            <w:r w:rsidRPr="00286216">
              <w:rPr>
                <w:color w:val="000000" w:themeColor="text1"/>
              </w:rPr>
              <w:t>1174.</w:t>
            </w:r>
          </w:p>
        </w:tc>
        <w:tc>
          <w:tcPr>
            <w:tcW w:w="4818" w:type="dxa"/>
          </w:tcPr>
          <w:p w14:paraId="76A0A50D" w14:textId="77777777" w:rsidR="00291EAB" w:rsidRPr="00286216" w:rsidRDefault="00291EAB" w:rsidP="00291EAB">
            <w:pPr>
              <w:pStyle w:val="StyleZakonu"/>
              <w:rPr>
                <w:color w:val="000000" w:themeColor="text1"/>
              </w:rPr>
            </w:pPr>
            <w:r w:rsidRPr="00286216">
              <w:rPr>
                <w:color w:val="000000" w:themeColor="text1"/>
              </w:rPr>
              <w:t>1) копію рішення уповноваженого органу (особи) управління іноземної юридичної особи про участь у професійному учасникові ринків капіталу та організованих товарних ринків в Україні;</w:t>
            </w:r>
          </w:p>
        </w:tc>
        <w:tc>
          <w:tcPr>
            <w:tcW w:w="3686" w:type="dxa"/>
          </w:tcPr>
          <w:p w14:paraId="0BE8D77E" w14:textId="77777777" w:rsidR="00291EAB" w:rsidRPr="00286216" w:rsidRDefault="00291EAB" w:rsidP="00291EAB">
            <w:pPr>
              <w:pStyle w:val="StyleProp"/>
              <w:rPr>
                <w:color w:val="000000" w:themeColor="text1"/>
                <w:szCs w:val="18"/>
              </w:rPr>
            </w:pPr>
          </w:p>
        </w:tc>
        <w:tc>
          <w:tcPr>
            <w:tcW w:w="1987" w:type="dxa"/>
          </w:tcPr>
          <w:p w14:paraId="7E9FA24F" w14:textId="77777777" w:rsidR="00291EAB" w:rsidRPr="00286216" w:rsidRDefault="00291EAB" w:rsidP="00291EAB">
            <w:pPr>
              <w:pStyle w:val="StyleWisnow"/>
              <w:rPr>
                <w:color w:val="000000" w:themeColor="text1"/>
              </w:rPr>
            </w:pPr>
          </w:p>
        </w:tc>
        <w:tc>
          <w:tcPr>
            <w:tcW w:w="4818" w:type="dxa"/>
          </w:tcPr>
          <w:p w14:paraId="4D22B0FA" w14:textId="77777777" w:rsidR="00291EAB" w:rsidRPr="00286216" w:rsidRDefault="00291EAB" w:rsidP="00291EAB">
            <w:pPr>
              <w:pStyle w:val="StyleZakonu"/>
              <w:rPr>
                <w:color w:val="000000" w:themeColor="text1"/>
              </w:rPr>
            </w:pPr>
          </w:p>
        </w:tc>
      </w:tr>
      <w:tr w:rsidR="00291EAB" w:rsidRPr="00286216" w14:paraId="233BF68F" w14:textId="77777777" w:rsidTr="00091AA5">
        <w:tc>
          <w:tcPr>
            <w:tcW w:w="576" w:type="dxa"/>
          </w:tcPr>
          <w:p w14:paraId="704B6722" w14:textId="77777777" w:rsidR="00291EAB" w:rsidRPr="00286216" w:rsidRDefault="00291EAB" w:rsidP="00291EAB">
            <w:pPr>
              <w:pStyle w:val="StyleWisnow"/>
              <w:rPr>
                <w:color w:val="000000" w:themeColor="text1"/>
              </w:rPr>
            </w:pPr>
            <w:bookmarkStart w:id="899" w:name="n1175" w:colFirst="0" w:colLast="0"/>
            <w:bookmarkEnd w:id="898"/>
            <w:r w:rsidRPr="00286216">
              <w:rPr>
                <w:color w:val="000000" w:themeColor="text1"/>
              </w:rPr>
              <w:t>1175.</w:t>
            </w:r>
          </w:p>
        </w:tc>
        <w:tc>
          <w:tcPr>
            <w:tcW w:w="4818" w:type="dxa"/>
          </w:tcPr>
          <w:p w14:paraId="17C07851" w14:textId="77777777" w:rsidR="00291EAB" w:rsidRPr="00286216" w:rsidRDefault="00291EAB" w:rsidP="00291EAB">
            <w:pPr>
              <w:pStyle w:val="StyleZakonu"/>
              <w:rPr>
                <w:color w:val="000000" w:themeColor="text1"/>
              </w:rPr>
            </w:pPr>
            <w:r w:rsidRPr="00286216">
              <w:rPr>
                <w:color w:val="000000" w:themeColor="text1"/>
              </w:rPr>
              <w:t>2) письмовий дозвіл на участь іноземної юридичної особи у професійному учасникові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дозволу, або письмове запевнення іноземної юридичної особи у відсутності в законодавстві відповідної держави вимог (підстав) щодо отримання такого дозволу;</w:t>
            </w:r>
          </w:p>
        </w:tc>
        <w:tc>
          <w:tcPr>
            <w:tcW w:w="3686" w:type="dxa"/>
          </w:tcPr>
          <w:p w14:paraId="4DD483BB" w14:textId="77777777" w:rsidR="00291EAB" w:rsidRPr="00286216" w:rsidRDefault="00291EAB" w:rsidP="00291EAB">
            <w:pPr>
              <w:pStyle w:val="StyleProp"/>
              <w:rPr>
                <w:color w:val="000000" w:themeColor="text1"/>
                <w:szCs w:val="18"/>
              </w:rPr>
            </w:pPr>
          </w:p>
        </w:tc>
        <w:tc>
          <w:tcPr>
            <w:tcW w:w="1987" w:type="dxa"/>
          </w:tcPr>
          <w:p w14:paraId="6CCE81A3" w14:textId="77777777" w:rsidR="00291EAB" w:rsidRPr="00286216" w:rsidRDefault="00291EAB" w:rsidP="00291EAB">
            <w:pPr>
              <w:pStyle w:val="StyleWisnow"/>
              <w:rPr>
                <w:color w:val="000000" w:themeColor="text1"/>
              </w:rPr>
            </w:pPr>
          </w:p>
        </w:tc>
        <w:tc>
          <w:tcPr>
            <w:tcW w:w="4818" w:type="dxa"/>
          </w:tcPr>
          <w:p w14:paraId="495028D9" w14:textId="77777777" w:rsidR="00291EAB" w:rsidRPr="00286216" w:rsidRDefault="00291EAB" w:rsidP="00291EAB">
            <w:pPr>
              <w:pStyle w:val="StyleZakonu"/>
              <w:rPr>
                <w:color w:val="000000" w:themeColor="text1"/>
              </w:rPr>
            </w:pPr>
          </w:p>
        </w:tc>
      </w:tr>
      <w:tr w:rsidR="00291EAB" w:rsidRPr="00286216" w14:paraId="2015E816" w14:textId="77777777" w:rsidTr="00091AA5">
        <w:tc>
          <w:tcPr>
            <w:tcW w:w="576" w:type="dxa"/>
          </w:tcPr>
          <w:p w14:paraId="4E6E8ABD" w14:textId="77777777" w:rsidR="00291EAB" w:rsidRPr="00286216" w:rsidRDefault="00291EAB" w:rsidP="00291EAB">
            <w:pPr>
              <w:pStyle w:val="StyleWisnow"/>
              <w:rPr>
                <w:color w:val="000000" w:themeColor="text1"/>
              </w:rPr>
            </w:pPr>
            <w:bookmarkStart w:id="900" w:name="n1176" w:colFirst="0" w:colLast="0"/>
            <w:bookmarkEnd w:id="899"/>
            <w:r w:rsidRPr="00286216">
              <w:rPr>
                <w:color w:val="000000" w:themeColor="text1"/>
              </w:rPr>
              <w:t>1176.</w:t>
            </w:r>
          </w:p>
        </w:tc>
        <w:tc>
          <w:tcPr>
            <w:tcW w:w="4818" w:type="dxa"/>
          </w:tcPr>
          <w:p w14:paraId="01CD56BF" w14:textId="77777777" w:rsidR="00291EAB" w:rsidRPr="00286216" w:rsidRDefault="00291EAB" w:rsidP="00291EAB">
            <w:pPr>
              <w:pStyle w:val="StyleZakonu"/>
              <w:rPr>
                <w:color w:val="000000" w:themeColor="text1"/>
              </w:rPr>
            </w:pPr>
            <w:r w:rsidRPr="00286216">
              <w:rPr>
                <w:color w:val="000000" w:themeColor="text1"/>
              </w:rPr>
              <w:t>3) витяг із торговельного, банківського, судового реєстру або інший офіційний документ, що підтверджує реєстрацію іноземної юридичної особи в державі, в якій зареєстровано її головний офіс;</w:t>
            </w:r>
          </w:p>
        </w:tc>
        <w:tc>
          <w:tcPr>
            <w:tcW w:w="3686" w:type="dxa"/>
          </w:tcPr>
          <w:p w14:paraId="3D8587F2" w14:textId="77777777" w:rsidR="00291EAB" w:rsidRPr="00286216" w:rsidRDefault="00291EAB" w:rsidP="00291EAB">
            <w:pPr>
              <w:pStyle w:val="StyleProp"/>
              <w:rPr>
                <w:color w:val="000000" w:themeColor="text1"/>
                <w:szCs w:val="18"/>
              </w:rPr>
            </w:pPr>
          </w:p>
        </w:tc>
        <w:tc>
          <w:tcPr>
            <w:tcW w:w="1987" w:type="dxa"/>
          </w:tcPr>
          <w:p w14:paraId="46BD2F59" w14:textId="77777777" w:rsidR="00291EAB" w:rsidRPr="00286216" w:rsidRDefault="00291EAB" w:rsidP="00291EAB">
            <w:pPr>
              <w:pStyle w:val="StyleWisnow"/>
              <w:rPr>
                <w:color w:val="000000" w:themeColor="text1"/>
              </w:rPr>
            </w:pPr>
          </w:p>
        </w:tc>
        <w:tc>
          <w:tcPr>
            <w:tcW w:w="4818" w:type="dxa"/>
          </w:tcPr>
          <w:p w14:paraId="62CE5168" w14:textId="77777777" w:rsidR="00291EAB" w:rsidRPr="00286216" w:rsidRDefault="00291EAB" w:rsidP="00291EAB">
            <w:pPr>
              <w:pStyle w:val="StyleZakonu"/>
              <w:rPr>
                <w:color w:val="000000" w:themeColor="text1"/>
              </w:rPr>
            </w:pPr>
          </w:p>
        </w:tc>
      </w:tr>
      <w:tr w:rsidR="00291EAB" w:rsidRPr="00286216" w14:paraId="73389B67" w14:textId="77777777" w:rsidTr="00091AA5">
        <w:tc>
          <w:tcPr>
            <w:tcW w:w="576" w:type="dxa"/>
          </w:tcPr>
          <w:p w14:paraId="03755DA7" w14:textId="77777777" w:rsidR="00291EAB" w:rsidRPr="00286216" w:rsidRDefault="00291EAB" w:rsidP="00291EAB">
            <w:pPr>
              <w:pStyle w:val="StyleWisnow"/>
              <w:rPr>
                <w:color w:val="000000" w:themeColor="text1"/>
              </w:rPr>
            </w:pPr>
            <w:bookmarkStart w:id="901" w:name="n1177" w:colFirst="0" w:colLast="0"/>
            <w:bookmarkEnd w:id="900"/>
            <w:r w:rsidRPr="00286216">
              <w:rPr>
                <w:color w:val="000000" w:themeColor="text1"/>
              </w:rPr>
              <w:t>1177.</w:t>
            </w:r>
          </w:p>
        </w:tc>
        <w:tc>
          <w:tcPr>
            <w:tcW w:w="4818" w:type="dxa"/>
          </w:tcPr>
          <w:p w14:paraId="489671FC" w14:textId="77777777" w:rsidR="00291EAB" w:rsidRPr="00286216" w:rsidRDefault="00291EAB" w:rsidP="00291EAB">
            <w:pPr>
              <w:pStyle w:val="StyleZakonu"/>
              <w:rPr>
                <w:color w:val="000000" w:themeColor="text1"/>
              </w:rPr>
            </w:pPr>
            <w:r w:rsidRPr="00286216">
              <w:rPr>
                <w:color w:val="000000" w:themeColor="text1"/>
              </w:rPr>
              <w:t xml:space="preserve">4) фінансову звітність, консолідовану і </w:t>
            </w:r>
            <w:r w:rsidRPr="00286216">
              <w:rPr>
                <w:color w:val="000000" w:themeColor="text1"/>
              </w:rPr>
              <w:lastRenderedPageBreak/>
              <w:t>субконсолідовану фінансову звітність (у разі складання відповідно до законодавства) іноземної юридичної особи за останні три фінансові роки (з доданням аудиторських звітів у разі їх наявності).</w:t>
            </w:r>
          </w:p>
        </w:tc>
        <w:tc>
          <w:tcPr>
            <w:tcW w:w="3686" w:type="dxa"/>
          </w:tcPr>
          <w:p w14:paraId="4E9FB1BA" w14:textId="77777777" w:rsidR="00291EAB" w:rsidRPr="00286216" w:rsidRDefault="00291EAB" w:rsidP="00291EAB">
            <w:pPr>
              <w:pStyle w:val="StyleProp"/>
              <w:rPr>
                <w:color w:val="000000" w:themeColor="text1"/>
                <w:szCs w:val="18"/>
              </w:rPr>
            </w:pPr>
          </w:p>
        </w:tc>
        <w:tc>
          <w:tcPr>
            <w:tcW w:w="1987" w:type="dxa"/>
          </w:tcPr>
          <w:p w14:paraId="5F721CF6" w14:textId="77777777" w:rsidR="00291EAB" w:rsidRPr="00286216" w:rsidRDefault="00291EAB" w:rsidP="00291EAB">
            <w:pPr>
              <w:pStyle w:val="StyleWisnow"/>
              <w:rPr>
                <w:color w:val="000000" w:themeColor="text1"/>
              </w:rPr>
            </w:pPr>
          </w:p>
        </w:tc>
        <w:tc>
          <w:tcPr>
            <w:tcW w:w="4818" w:type="dxa"/>
          </w:tcPr>
          <w:p w14:paraId="37CDF4E4" w14:textId="77777777" w:rsidR="00291EAB" w:rsidRPr="00286216" w:rsidRDefault="00291EAB" w:rsidP="00291EAB">
            <w:pPr>
              <w:pStyle w:val="StyleZakonu"/>
              <w:rPr>
                <w:color w:val="000000" w:themeColor="text1"/>
              </w:rPr>
            </w:pPr>
          </w:p>
        </w:tc>
      </w:tr>
      <w:tr w:rsidR="00291EAB" w:rsidRPr="00286216" w14:paraId="2E49FDE8" w14:textId="77777777" w:rsidTr="00091AA5">
        <w:tc>
          <w:tcPr>
            <w:tcW w:w="576" w:type="dxa"/>
          </w:tcPr>
          <w:p w14:paraId="5DAEB0AF" w14:textId="77777777" w:rsidR="00291EAB" w:rsidRPr="00286216" w:rsidRDefault="00291EAB" w:rsidP="00291EAB">
            <w:pPr>
              <w:pStyle w:val="StyleWisnow"/>
              <w:rPr>
                <w:color w:val="000000" w:themeColor="text1"/>
              </w:rPr>
            </w:pPr>
            <w:bookmarkStart w:id="902" w:name="n1178" w:colFirst="0" w:colLast="0"/>
            <w:bookmarkEnd w:id="901"/>
            <w:r w:rsidRPr="00286216">
              <w:rPr>
                <w:color w:val="000000" w:themeColor="text1"/>
              </w:rPr>
              <w:t>1178.</w:t>
            </w:r>
          </w:p>
        </w:tc>
        <w:tc>
          <w:tcPr>
            <w:tcW w:w="4818" w:type="dxa"/>
          </w:tcPr>
          <w:p w14:paraId="11BD0391" w14:textId="77777777" w:rsidR="00291EAB" w:rsidRPr="00286216" w:rsidRDefault="00291EAB" w:rsidP="00291EAB">
            <w:pPr>
              <w:pStyle w:val="StyleZakonu"/>
              <w:rPr>
                <w:color w:val="000000" w:themeColor="text1"/>
              </w:rPr>
            </w:pPr>
            <w:r w:rsidRPr="00286216">
              <w:rPr>
                <w:color w:val="000000" w:themeColor="text1"/>
              </w:rPr>
              <w:t>4. Юридична особа, яка має намір провадити професійну діяльність на ринках капіталу та організованих товарних ринках та учасником якої є фізична особа - іноземець, для отримання ліцензії на провадження відповідного виду такої діяльності, крім документів, зазначених у частині другій цієї статті, подає Національній комісії з цінних паперів та фондового ринку письмовий дозвіл на участь фізичної особи - іноземця у професійному учасникові ринків капіталу та організованих товарних ринків в Україні, виданий уповноваженим контролюючим органом держави, в якій вона має постійне місце проживання, якщо законодавством такої держави вимагається отримання зазначеного дозволу, або письмове запевнення у відсутності в законодавстві відповідної держави вимог (підстав) щодо отримання такого дозволу.</w:t>
            </w:r>
          </w:p>
        </w:tc>
        <w:tc>
          <w:tcPr>
            <w:tcW w:w="3686" w:type="dxa"/>
          </w:tcPr>
          <w:p w14:paraId="1B3E8AEC" w14:textId="2D3D023D"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670</w:t>
            </w:r>
            <w:r w:rsidRPr="00286216">
              <w:rPr>
                <w:color w:val="000000" w:themeColor="text1"/>
              </w:rPr>
              <w:fldChar w:fldCharType="end"/>
            </w:r>
            <w:r w:rsidRPr="00286216">
              <w:rPr>
                <w:color w:val="000000" w:themeColor="text1"/>
              </w:rPr>
              <w:t>-Н.д.Шахов С.В. (Реєстр.картка №114)</w:t>
            </w:r>
          </w:p>
          <w:p w14:paraId="496450E2" w14:textId="77777777" w:rsidR="00291EAB" w:rsidRPr="00286216" w:rsidRDefault="00291EAB" w:rsidP="00291EAB">
            <w:pPr>
              <w:pStyle w:val="StyleProp"/>
              <w:spacing w:line="180" w:lineRule="exact"/>
              <w:rPr>
                <w:color w:val="000000" w:themeColor="text1"/>
              </w:rPr>
            </w:pPr>
            <w:r w:rsidRPr="00286216">
              <w:rPr>
                <w:color w:val="000000" w:themeColor="text1"/>
              </w:rPr>
              <w:t>У ч.43 ст. 67 слова "крім документів, зазначених у частині другій цієї статті, подає Національній комісії з цінних паперів та фондового ринку" замінити словами "(або іншого дозвільного документу, визначеного законодавством про товарні ринки), крім документів, зазначених у частині другій цієї статті, подає регулятору відповідного ринку".</w:t>
            </w:r>
          </w:p>
        </w:tc>
        <w:tc>
          <w:tcPr>
            <w:tcW w:w="1987" w:type="dxa"/>
          </w:tcPr>
          <w:p w14:paraId="287FBD14"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47856CFA" w14:textId="77777777" w:rsidR="00291EAB" w:rsidRPr="00286216" w:rsidRDefault="00291EAB" w:rsidP="00291EAB">
            <w:pPr>
              <w:pStyle w:val="StyleWisnow"/>
              <w:rPr>
                <w:color w:val="000000" w:themeColor="text1"/>
              </w:rPr>
            </w:pPr>
            <w:r w:rsidRPr="00286216">
              <w:rPr>
                <w:color w:val="000000" w:themeColor="text1"/>
                <w:spacing w:val="-4"/>
              </w:rPr>
              <w:t>Не передбачені інші підстави провадження професійної діяльності на ринках капіталу та організованих товарних ринках, окрім отримання ліцензії у регулятора, яким є НКЦПФР</w:t>
            </w:r>
          </w:p>
        </w:tc>
        <w:tc>
          <w:tcPr>
            <w:tcW w:w="4818" w:type="dxa"/>
          </w:tcPr>
          <w:p w14:paraId="64B27BF3" w14:textId="77777777" w:rsidR="00291EAB" w:rsidRPr="00286216" w:rsidRDefault="00291EAB" w:rsidP="00291EAB">
            <w:pPr>
              <w:pStyle w:val="StyleZakonu"/>
              <w:rPr>
                <w:color w:val="000000" w:themeColor="text1"/>
              </w:rPr>
            </w:pPr>
          </w:p>
        </w:tc>
      </w:tr>
      <w:tr w:rsidR="00291EAB" w:rsidRPr="00286216" w14:paraId="38D63C6B" w14:textId="77777777" w:rsidTr="00091AA5">
        <w:tc>
          <w:tcPr>
            <w:tcW w:w="576" w:type="dxa"/>
          </w:tcPr>
          <w:p w14:paraId="679E84F2" w14:textId="77777777" w:rsidR="00291EAB" w:rsidRPr="00286216" w:rsidRDefault="00291EAB" w:rsidP="00291EAB">
            <w:pPr>
              <w:pStyle w:val="StyleWisnow"/>
              <w:rPr>
                <w:color w:val="000000" w:themeColor="text1"/>
              </w:rPr>
            </w:pPr>
            <w:bookmarkStart w:id="903" w:name="n1179" w:colFirst="0" w:colLast="0"/>
            <w:bookmarkEnd w:id="902"/>
            <w:r w:rsidRPr="00286216">
              <w:rPr>
                <w:color w:val="000000" w:themeColor="text1"/>
              </w:rPr>
              <w:t>1179.</w:t>
            </w:r>
          </w:p>
        </w:tc>
        <w:tc>
          <w:tcPr>
            <w:tcW w:w="4818" w:type="dxa"/>
          </w:tcPr>
          <w:p w14:paraId="475F25AF" w14:textId="77777777" w:rsidR="00291EAB" w:rsidRPr="00286216" w:rsidRDefault="00291EAB" w:rsidP="00291EAB">
            <w:pPr>
              <w:pStyle w:val="StyleZakonu"/>
              <w:rPr>
                <w:color w:val="000000" w:themeColor="text1"/>
              </w:rPr>
            </w:pPr>
            <w:r w:rsidRPr="00286216">
              <w:rPr>
                <w:color w:val="000000" w:themeColor="text1"/>
              </w:rPr>
              <w:t>5. Документи, що подаються іноземною юридичною особою та фізичною особою - іноземцем відповідно до частин третьої і четвертої цієї статті, повинні відповідати вимогам щодо мови документів, встановленим статтею 136 цього Закону.</w:t>
            </w:r>
          </w:p>
        </w:tc>
        <w:tc>
          <w:tcPr>
            <w:tcW w:w="3686" w:type="dxa"/>
          </w:tcPr>
          <w:p w14:paraId="28358863" w14:textId="77777777" w:rsidR="00291EAB" w:rsidRPr="00286216" w:rsidRDefault="00291EAB" w:rsidP="00291EAB">
            <w:pPr>
              <w:pStyle w:val="StyleProp"/>
              <w:rPr>
                <w:color w:val="000000" w:themeColor="text1"/>
                <w:szCs w:val="18"/>
              </w:rPr>
            </w:pPr>
          </w:p>
        </w:tc>
        <w:tc>
          <w:tcPr>
            <w:tcW w:w="1987" w:type="dxa"/>
          </w:tcPr>
          <w:p w14:paraId="28BE0154" w14:textId="77777777" w:rsidR="00291EAB" w:rsidRPr="00286216" w:rsidRDefault="00291EAB" w:rsidP="00291EAB">
            <w:pPr>
              <w:pStyle w:val="StyleWisnow"/>
              <w:rPr>
                <w:color w:val="000000" w:themeColor="text1"/>
              </w:rPr>
            </w:pPr>
          </w:p>
        </w:tc>
        <w:tc>
          <w:tcPr>
            <w:tcW w:w="4818" w:type="dxa"/>
          </w:tcPr>
          <w:p w14:paraId="1C45B24F" w14:textId="77777777" w:rsidR="00291EAB" w:rsidRPr="00286216" w:rsidRDefault="00291EAB" w:rsidP="00291EAB">
            <w:pPr>
              <w:pStyle w:val="StyleZakonu"/>
              <w:rPr>
                <w:color w:val="000000" w:themeColor="text1"/>
              </w:rPr>
            </w:pPr>
          </w:p>
        </w:tc>
      </w:tr>
      <w:tr w:rsidR="00291EAB" w:rsidRPr="00286216" w14:paraId="29D8A5A4" w14:textId="77777777" w:rsidTr="00091AA5">
        <w:tc>
          <w:tcPr>
            <w:tcW w:w="576" w:type="dxa"/>
          </w:tcPr>
          <w:p w14:paraId="0DD8A5CC" w14:textId="77777777" w:rsidR="00291EAB" w:rsidRPr="00286216" w:rsidRDefault="00291EAB" w:rsidP="00291EAB">
            <w:pPr>
              <w:pStyle w:val="StyleWisnow"/>
              <w:rPr>
                <w:color w:val="000000" w:themeColor="text1"/>
              </w:rPr>
            </w:pPr>
            <w:bookmarkStart w:id="904" w:name="n1180" w:colFirst="0" w:colLast="0"/>
            <w:bookmarkEnd w:id="903"/>
            <w:r w:rsidRPr="00286216">
              <w:rPr>
                <w:color w:val="000000" w:themeColor="text1"/>
              </w:rPr>
              <w:t>1180.</w:t>
            </w:r>
          </w:p>
        </w:tc>
        <w:tc>
          <w:tcPr>
            <w:tcW w:w="4818" w:type="dxa"/>
          </w:tcPr>
          <w:p w14:paraId="4B5D3D2E" w14:textId="77777777" w:rsidR="00291EAB" w:rsidRPr="00286216" w:rsidRDefault="00291EAB" w:rsidP="00291EAB">
            <w:pPr>
              <w:pStyle w:val="StyleZakonu"/>
              <w:rPr>
                <w:color w:val="000000" w:themeColor="text1"/>
              </w:rPr>
            </w:pPr>
            <w:r w:rsidRPr="00286216">
              <w:rPr>
                <w:color w:val="000000" w:themeColor="text1"/>
              </w:rPr>
              <w:t>6. Національна комісія з цінних паперів та фондового ринку в установленому нею порядку приймає рішення про видачу ліцензії на провадження певного виду професійної діяльності на ринках капіталу та організованих товарних ринках чи про відмову в її видачі протягом шести місяців з дня надходження повного переліку документів, зазначених у частині другій цієї статті.</w:t>
            </w:r>
          </w:p>
        </w:tc>
        <w:tc>
          <w:tcPr>
            <w:tcW w:w="3686" w:type="dxa"/>
          </w:tcPr>
          <w:p w14:paraId="5300DEC8" w14:textId="4135FFA8"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36F8D06" w14:textId="77777777" w:rsidR="00291EAB" w:rsidRPr="00286216" w:rsidRDefault="00291EAB" w:rsidP="00291EAB">
            <w:pPr>
              <w:pStyle w:val="StyleProp"/>
              <w:rPr>
                <w:color w:val="000000" w:themeColor="text1"/>
                <w:szCs w:val="18"/>
              </w:rPr>
            </w:pPr>
            <w:r w:rsidRPr="00286216">
              <w:rPr>
                <w:color w:val="000000" w:themeColor="text1"/>
                <w:szCs w:val="18"/>
              </w:rPr>
              <w:t>В абзаці двадцять дев'ятому статті 67 слова "протягом шести місяців" замінити словами "протягом трьох місяців".</w:t>
            </w:r>
          </w:p>
        </w:tc>
        <w:tc>
          <w:tcPr>
            <w:tcW w:w="1987" w:type="dxa"/>
          </w:tcPr>
          <w:p w14:paraId="49820E5F" w14:textId="77777777" w:rsidR="00291EAB" w:rsidRPr="00286216" w:rsidRDefault="00291EAB" w:rsidP="00291EAB">
            <w:pPr>
              <w:pStyle w:val="StyleWisnow"/>
              <w:spacing w:line="180" w:lineRule="exact"/>
              <w:rPr>
                <w:color w:val="000000" w:themeColor="text1"/>
              </w:rPr>
            </w:pPr>
            <w:r w:rsidRPr="00286216">
              <w:rPr>
                <w:color w:val="000000" w:themeColor="text1"/>
              </w:rPr>
              <w:t>Враховано редакційно у запропонованій редакції статті 67</w:t>
            </w:r>
          </w:p>
        </w:tc>
        <w:tc>
          <w:tcPr>
            <w:tcW w:w="4818" w:type="dxa"/>
          </w:tcPr>
          <w:p w14:paraId="1D6E41A2" w14:textId="77777777" w:rsidR="00291EAB" w:rsidRPr="00286216" w:rsidRDefault="00291EAB" w:rsidP="00291EAB">
            <w:pPr>
              <w:pStyle w:val="StyleZakonu"/>
              <w:rPr>
                <w:color w:val="000000" w:themeColor="text1"/>
              </w:rPr>
            </w:pPr>
          </w:p>
        </w:tc>
      </w:tr>
      <w:bookmarkEnd w:id="904"/>
      <w:tr w:rsidR="00291EAB" w:rsidRPr="00286216" w14:paraId="2FAC41B4" w14:textId="77777777" w:rsidTr="00091AA5">
        <w:tc>
          <w:tcPr>
            <w:tcW w:w="576" w:type="dxa"/>
          </w:tcPr>
          <w:p w14:paraId="77574A7C" w14:textId="77777777" w:rsidR="00291EAB" w:rsidRPr="00286216" w:rsidRDefault="00291EAB" w:rsidP="00291EAB">
            <w:pPr>
              <w:pStyle w:val="StyleWisnow"/>
              <w:rPr>
                <w:color w:val="000000" w:themeColor="text1"/>
              </w:rPr>
            </w:pPr>
          </w:p>
        </w:tc>
        <w:tc>
          <w:tcPr>
            <w:tcW w:w="4818" w:type="dxa"/>
          </w:tcPr>
          <w:p w14:paraId="6AD162F1" w14:textId="77777777" w:rsidR="00291EAB" w:rsidRPr="00286216" w:rsidRDefault="00291EAB" w:rsidP="00291EAB">
            <w:pPr>
              <w:pStyle w:val="StyleZakonu"/>
              <w:rPr>
                <w:color w:val="000000" w:themeColor="text1"/>
              </w:rPr>
            </w:pPr>
          </w:p>
        </w:tc>
        <w:tc>
          <w:tcPr>
            <w:tcW w:w="3686" w:type="dxa"/>
          </w:tcPr>
          <w:p w14:paraId="7DCDA6F7" w14:textId="733345EE"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58B55D4" w14:textId="77777777" w:rsidR="00291EAB" w:rsidRPr="00286216" w:rsidRDefault="00291EAB" w:rsidP="00291EAB">
            <w:pPr>
              <w:pStyle w:val="StyleProp"/>
              <w:rPr>
                <w:color w:val="000000" w:themeColor="text1"/>
                <w:szCs w:val="18"/>
              </w:rPr>
            </w:pPr>
            <w:r w:rsidRPr="00286216">
              <w:rPr>
                <w:color w:val="000000" w:themeColor="text1"/>
                <w:szCs w:val="18"/>
              </w:rPr>
              <w:t>Абзац двадцять дев'ятий статті 67 доповнити словами "Для перевірки інформації про іноземних юридичних осіб або фізичних осіб – іноземців, включених до структури власності юридичної особи, яка має намір провадити професійну діяльність на ринках капіталу та організованих товарних ринках строк розгляду документів становить шість місяців".</w:t>
            </w:r>
          </w:p>
        </w:tc>
        <w:tc>
          <w:tcPr>
            <w:tcW w:w="1987" w:type="dxa"/>
          </w:tcPr>
          <w:p w14:paraId="5D6888D8" w14:textId="295826FD" w:rsidR="00291EAB" w:rsidRPr="00286216" w:rsidRDefault="00291EAB" w:rsidP="00291EAB">
            <w:pPr>
              <w:pStyle w:val="StyleWisnow"/>
              <w:spacing w:line="180" w:lineRule="exact"/>
              <w:rPr>
                <w:color w:val="000000" w:themeColor="text1"/>
              </w:rPr>
            </w:pPr>
            <w:r w:rsidRPr="00286216">
              <w:rPr>
                <w:color w:val="000000" w:themeColor="text1"/>
              </w:rPr>
              <w:t>Враховано редакційно у запропонованій редакції статті</w:t>
            </w:r>
            <w:r w:rsidRPr="00286216">
              <w:rPr>
                <w:color w:val="000000" w:themeColor="text1"/>
                <w:lang w:val="ru-RU"/>
              </w:rPr>
              <w:t xml:space="preserve"> 71</w:t>
            </w:r>
          </w:p>
        </w:tc>
        <w:tc>
          <w:tcPr>
            <w:tcW w:w="4818" w:type="dxa"/>
          </w:tcPr>
          <w:p w14:paraId="0E56B6B7" w14:textId="77777777" w:rsidR="00291EAB" w:rsidRPr="00286216" w:rsidRDefault="00291EAB" w:rsidP="00291EAB">
            <w:pPr>
              <w:pStyle w:val="StyleZakonu"/>
              <w:rPr>
                <w:color w:val="000000" w:themeColor="text1"/>
              </w:rPr>
            </w:pPr>
          </w:p>
        </w:tc>
      </w:tr>
      <w:tr w:rsidR="00291EAB" w:rsidRPr="00286216" w14:paraId="53C4789B" w14:textId="77777777" w:rsidTr="00091AA5">
        <w:tc>
          <w:tcPr>
            <w:tcW w:w="576" w:type="dxa"/>
          </w:tcPr>
          <w:p w14:paraId="7E616B35" w14:textId="77777777" w:rsidR="00291EAB" w:rsidRPr="00286216" w:rsidRDefault="00291EAB" w:rsidP="00291EAB">
            <w:pPr>
              <w:pStyle w:val="StyleWisnow"/>
              <w:rPr>
                <w:color w:val="000000" w:themeColor="text1"/>
              </w:rPr>
            </w:pPr>
          </w:p>
        </w:tc>
        <w:tc>
          <w:tcPr>
            <w:tcW w:w="4818" w:type="dxa"/>
          </w:tcPr>
          <w:p w14:paraId="7A5AC1C4" w14:textId="77777777" w:rsidR="00291EAB" w:rsidRPr="00286216" w:rsidRDefault="00291EAB" w:rsidP="00291EAB">
            <w:pPr>
              <w:pStyle w:val="StyleZakonu"/>
              <w:rPr>
                <w:color w:val="000000" w:themeColor="text1"/>
              </w:rPr>
            </w:pPr>
          </w:p>
        </w:tc>
        <w:tc>
          <w:tcPr>
            <w:tcW w:w="3686" w:type="dxa"/>
          </w:tcPr>
          <w:p w14:paraId="06C8839A" w14:textId="7D0B9CE2"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673</w:t>
            </w:r>
            <w:r w:rsidRPr="00286216">
              <w:rPr>
                <w:color w:val="000000" w:themeColor="text1"/>
                <w:spacing w:val="-10"/>
              </w:rPr>
              <w:fldChar w:fldCharType="end"/>
            </w:r>
            <w:r w:rsidRPr="00286216">
              <w:rPr>
                <w:color w:val="000000" w:themeColor="text1"/>
                <w:spacing w:val="-10"/>
              </w:rPr>
              <w:t>-Н.д.Гетманцев Д.О.(Реєстр.картка №245)</w:t>
            </w:r>
          </w:p>
          <w:p w14:paraId="556D671D" w14:textId="77777777" w:rsidR="00291EAB" w:rsidRPr="00286216" w:rsidRDefault="00291EAB" w:rsidP="00291EAB">
            <w:pPr>
              <w:pStyle w:val="StyleProp"/>
              <w:spacing w:line="180" w:lineRule="exact"/>
              <w:rPr>
                <w:color w:val="000000" w:themeColor="text1"/>
                <w:spacing w:val="-2"/>
              </w:rPr>
            </w:pPr>
            <w:r w:rsidRPr="00286216">
              <w:rPr>
                <w:color w:val="000000" w:themeColor="text1"/>
              </w:rPr>
              <w:lastRenderedPageBreak/>
              <w:t xml:space="preserve">У статті 67 частину шосту вкласти в такій </w:t>
            </w:r>
            <w:r w:rsidRPr="00286216">
              <w:rPr>
                <w:color w:val="000000" w:themeColor="text1"/>
                <w:spacing w:val="-2"/>
              </w:rPr>
              <w:t>редакції:</w:t>
            </w:r>
          </w:p>
          <w:p w14:paraId="611997E7"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«Національна комісія з цінних паперів та фондового ринку протягом п’яти робочих днів з дня отримання заяви про видачу ліцензії та доданих до неї документів, встановлює наявність чи відсутність підстав для прийняття рішення про залишення заяви про видачу ліцензії без розгляду та у разі їх наявності приймає відповідне рішення.</w:t>
            </w:r>
          </w:p>
          <w:p w14:paraId="2DE566FD"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Рішення про залишення заяви про видачу ліцензії без розгляду набирає чинності з дня його прийняття та може бути оскаржене суб’єктом господарювання в судовому порядку.</w:t>
            </w:r>
          </w:p>
          <w:p w14:paraId="54ACCB3B"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Підставами для прийняття Національною комісією з цінних паперів та фондового ринку рішення про залишення заяви про видачу ліцензії без розгляду є:</w:t>
            </w:r>
          </w:p>
          <w:p w14:paraId="03FD6FAD"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1) подання не в повному обсязі документів, що повинні додаватися до заяви про видачу ліцензії;</w:t>
            </w:r>
          </w:p>
          <w:p w14:paraId="2CB20023"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2) заява про видачу ліцензії або хоча б один з документів, що додається до неї:</w:t>
            </w:r>
          </w:p>
          <w:p w14:paraId="43BC12B6"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підписаний особою, яка не має на це повноважень;</w:t>
            </w:r>
          </w:p>
          <w:p w14:paraId="21269B59"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оформлений із порушенням вимог цього Закону, складений не за встановленою формою або не містить даних, які обов’язково вносяться до них згідно з цим Законом;</w:t>
            </w:r>
          </w:p>
          <w:p w14:paraId="612266E5"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3) відсутність у Єдиному державному реєстрі юридичних осіб, фізичних осіб - підприємців та громадських формувань відомостей про суб’єкта господарювання, який подав заяву про видачу ліцензії, або наявність відомостей про державну реєстрацію його припинення.</w:t>
            </w:r>
          </w:p>
          <w:p w14:paraId="7FD2368E"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Національна комісія з цінних паперів та фондового ринку повідомляє суб’єкта господарювання, відносно якого прийнято рішення про залишення заяви про видачу ліцензії без розгляду, про прийняття такого рішення протягом трьох робочих днів з дня його прийняття. До повідомлення про прийняття рішення про залишення заяви про видачу ліцензії без розгляду Національною комісією з цінних паперів та фондового ринку повинна додаватися засвідчена копія такого рішення. Рішення Національної комісії з цінних паперів та фондового ринку про залишення заяви про видачу ліцензії без розгляду повинно бути мотивовам із зазначення конкретної причини, що зумовила його прийняття.</w:t>
            </w:r>
          </w:p>
          <w:p w14:paraId="3E83DDD9"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 xml:space="preserve">Після усунення причин, що стали підставою для прийняття рішення про </w:t>
            </w:r>
            <w:r w:rsidRPr="00286216">
              <w:rPr>
                <w:color w:val="000000" w:themeColor="text1"/>
                <w:spacing w:val="-2"/>
              </w:rPr>
              <w:lastRenderedPageBreak/>
              <w:t>залишення заяви про видачу ліцензії без розгляду, суб’єкт господарювання  може повторно подати заяву про видачу ліцензії. При повторному поданні до Національної комісії з ціннх паперів та фондового ринку заяви про видачу  ліцензії до такої заяви додаються лише ті документи, що стали підставою для прийняття рішення про залишення заяви без розгляду, за умови, що попередньо подані документи, на момент повторної подачі заяви зберегли свою актуальність.</w:t>
            </w:r>
          </w:p>
          <w:p w14:paraId="63E295D6"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Забороняється залишення заяви про видачу ліцензії без розгляду з підстав, не передбачених цією статтею.</w:t>
            </w:r>
          </w:p>
          <w:p w14:paraId="069B21F1"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Національна комісія з цінних паперів та фондового ринку після встановлення відсутності підстав для прийняття рішення про залишення заяви про видачу ліцензії без розгляду, встановлює відсутність чи наявність підстав для прийняття рішення про відмову у видачі ліцензії.</w:t>
            </w:r>
          </w:p>
          <w:p w14:paraId="0871BCF2"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У разі встановлення наявності підстав для відмови у видачі ліцензії Національна комісія з цінних паперів та фондового ринку зобов’язана прийняти обґрунтоване рішення про відмову у видачі ліцензії, що набирає чинності з дня його прийняття. Рішення про відмову у видачі ліцензії може бути оскаржено у судовому порядку.</w:t>
            </w:r>
          </w:p>
          <w:p w14:paraId="0E6A51B4"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Вичерпний перелік підстав для прийняття Національною комісією з цінних паперів та фондового ринку рішення про відмову у видачі ліцензії визначений у статті 68 цього Закону.</w:t>
            </w:r>
          </w:p>
          <w:p w14:paraId="1FCD2C4D"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Національна комісія з цінних паперів та фондового ринку під час розгляду поданих суб’єктом господарювання документів для отримання ліцензії на предмет встановлення наявності чи відсутності підстав для прийняття рішення про відмову у видачі ліцензії, має право запитувати у відповідного суб’єкта господарювання уточнюючу інформацію. Запит уточнюючої інформації не зупиняє перебігу строку розгляду документів.</w:t>
            </w:r>
          </w:p>
          <w:p w14:paraId="1D294B82"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 xml:space="preserve">Національна комісія з цінних паперів та фондового ринку повідомляє суб’єкта господарювання, відносно якого прийнято рішення про відмову у видачі ліцензії, про прийняття такого рішення протягом трьох робочих днів з дня його прийняття. До повідомлення про прийняття рішення про відмову у видачі ліцензії Національною комісією з цінних паперів та фондового ринку повинна додаватися засвідчена копія такого рішення. Рішення Національної комісії з </w:t>
            </w:r>
            <w:r w:rsidRPr="00286216">
              <w:rPr>
                <w:color w:val="000000" w:themeColor="text1"/>
                <w:spacing w:val="-2"/>
              </w:rPr>
              <w:lastRenderedPageBreak/>
              <w:t>цінних паперів та фондового ринку про відмову у видачі ліцензії повинно бути мотивовам із зазначення конкретної причини, що зумовила його прийняття.</w:t>
            </w:r>
          </w:p>
          <w:p w14:paraId="54428348"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У разі відмови у видачі ліцензії суб’єкт господарювання може подати до Національної комісії з цінних паперів та фондового ринку нову заяву про видачу ліцензії після усунення причин, що стали підставою для прийняття такого рішення, але не раніше ніж через три місяці з дати прийняття відповідного рішення про відмову у видачі ліцензії.</w:t>
            </w:r>
          </w:p>
          <w:p w14:paraId="16B33ED2" w14:textId="77777777" w:rsidR="00291EAB" w:rsidRPr="00286216" w:rsidRDefault="00291EAB" w:rsidP="00291EAB">
            <w:pPr>
              <w:pStyle w:val="StyleProp"/>
              <w:spacing w:line="180" w:lineRule="exact"/>
              <w:rPr>
                <w:color w:val="000000" w:themeColor="text1"/>
                <w:spacing w:val="-4"/>
              </w:rPr>
            </w:pPr>
            <w:r w:rsidRPr="00286216">
              <w:rPr>
                <w:color w:val="000000" w:themeColor="text1"/>
                <w:spacing w:val="-4"/>
              </w:rPr>
              <w:t>У разі встановлення Національною комісію з цінних паперів та фондового ринку під час розгляду документів, поданих суб’єктом господарювання для отримання ліцензії, відсутності підстав для прийняття рішення про відмову у видачі ліцензії, Національна комісія з цінних паперів та фондового ринку зобовязана прийняти рішення про видачу ліцензії.</w:t>
            </w:r>
          </w:p>
          <w:p w14:paraId="757DB3B6"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Рішення про відмову у видачі ліцензії та про видачу ліцензії приймається Національною комісію з цінних паперів та фондового ринку протягом трьох місяців з дня надходження до Національної комісії з цінних паперів та фондового ринку заяви суб’єкта господарювання про видачу ліцензії.</w:t>
            </w:r>
          </w:p>
          <w:p w14:paraId="72643A82" w14:textId="77777777" w:rsidR="00291EAB" w:rsidRPr="00286216" w:rsidRDefault="00291EAB" w:rsidP="00291EAB">
            <w:pPr>
              <w:pStyle w:val="StyleProp"/>
              <w:spacing w:line="180" w:lineRule="exact"/>
              <w:rPr>
                <w:color w:val="000000" w:themeColor="text1"/>
              </w:rPr>
            </w:pPr>
            <w:r w:rsidRPr="00286216">
              <w:rPr>
                <w:color w:val="000000" w:themeColor="text1"/>
                <w:spacing w:val="-2"/>
              </w:rPr>
              <w:t>Ліцензія видається після подання суб’єктом господарювання копії платіжного документа про внесення плати за видачу ліцензії.»</w:t>
            </w:r>
          </w:p>
        </w:tc>
        <w:tc>
          <w:tcPr>
            <w:tcW w:w="1987" w:type="dxa"/>
          </w:tcPr>
          <w:p w14:paraId="0A2594ED" w14:textId="77777777" w:rsidR="00291EAB" w:rsidRPr="00286216" w:rsidRDefault="00291EAB" w:rsidP="00291EAB">
            <w:pPr>
              <w:pStyle w:val="StyleWisnow"/>
              <w:spacing w:line="180" w:lineRule="exact"/>
              <w:rPr>
                <w:color w:val="000000" w:themeColor="text1"/>
              </w:rPr>
            </w:pPr>
            <w:r w:rsidRPr="00286216">
              <w:rPr>
                <w:color w:val="000000" w:themeColor="text1"/>
              </w:rPr>
              <w:lastRenderedPageBreak/>
              <w:t>Враховано частково</w:t>
            </w:r>
          </w:p>
          <w:p w14:paraId="5ECEF9C6" w14:textId="35DC7C9F" w:rsidR="00291EAB" w:rsidRPr="00286216" w:rsidRDefault="00291EAB" w:rsidP="00291EAB">
            <w:pPr>
              <w:pStyle w:val="StyleWisnow"/>
              <w:spacing w:line="180" w:lineRule="exact"/>
              <w:rPr>
                <w:color w:val="000000" w:themeColor="text1"/>
              </w:rPr>
            </w:pPr>
            <w:r w:rsidRPr="00286216">
              <w:rPr>
                <w:color w:val="000000" w:themeColor="text1"/>
              </w:rPr>
              <w:t xml:space="preserve">у запропонованій </w:t>
            </w:r>
            <w:r w:rsidRPr="00286216">
              <w:rPr>
                <w:color w:val="000000" w:themeColor="text1"/>
              </w:rPr>
              <w:lastRenderedPageBreak/>
              <w:t xml:space="preserve">редакції статті </w:t>
            </w:r>
            <w:r w:rsidRPr="00286216">
              <w:rPr>
                <w:color w:val="000000" w:themeColor="text1"/>
                <w:lang w:val="ru-RU"/>
              </w:rPr>
              <w:t>71</w:t>
            </w:r>
          </w:p>
          <w:p w14:paraId="45510B2E" w14:textId="77777777" w:rsidR="00291EAB" w:rsidRPr="00286216" w:rsidRDefault="00291EAB" w:rsidP="00291EAB">
            <w:pPr>
              <w:pStyle w:val="StyleWisnow"/>
              <w:spacing w:line="180" w:lineRule="exact"/>
              <w:rPr>
                <w:color w:val="000000" w:themeColor="text1"/>
              </w:rPr>
            </w:pPr>
            <w:r w:rsidRPr="00286216">
              <w:rPr>
                <w:color w:val="000000" w:themeColor="text1"/>
              </w:rPr>
              <w:t>у частині 22</w:t>
            </w:r>
          </w:p>
        </w:tc>
        <w:tc>
          <w:tcPr>
            <w:tcW w:w="4818" w:type="dxa"/>
          </w:tcPr>
          <w:p w14:paraId="5126ACEA" w14:textId="77777777" w:rsidR="00291EAB" w:rsidRPr="00286216" w:rsidRDefault="00291EAB" w:rsidP="00291EAB">
            <w:pPr>
              <w:pStyle w:val="StyleZakonu"/>
              <w:rPr>
                <w:color w:val="000000" w:themeColor="text1"/>
              </w:rPr>
            </w:pPr>
          </w:p>
        </w:tc>
      </w:tr>
      <w:tr w:rsidR="00291EAB" w:rsidRPr="00286216" w14:paraId="43A4B14E" w14:textId="77777777" w:rsidTr="00091AA5">
        <w:tc>
          <w:tcPr>
            <w:tcW w:w="576" w:type="dxa"/>
          </w:tcPr>
          <w:p w14:paraId="3353A5DB" w14:textId="77777777" w:rsidR="00291EAB" w:rsidRPr="00286216" w:rsidRDefault="00291EAB" w:rsidP="00291EAB">
            <w:pPr>
              <w:pStyle w:val="StyleWisnow"/>
              <w:rPr>
                <w:color w:val="000000" w:themeColor="text1"/>
              </w:rPr>
            </w:pPr>
            <w:bookmarkStart w:id="905" w:name="n1181" w:colFirst="0" w:colLast="0"/>
            <w:r w:rsidRPr="00286216">
              <w:rPr>
                <w:color w:val="000000" w:themeColor="text1"/>
              </w:rPr>
              <w:lastRenderedPageBreak/>
              <w:t>1181.</w:t>
            </w:r>
          </w:p>
        </w:tc>
        <w:tc>
          <w:tcPr>
            <w:tcW w:w="4818" w:type="dxa"/>
          </w:tcPr>
          <w:p w14:paraId="2B0E8A57" w14:textId="77777777" w:rsidR="00291EAB" w:rsidRPr="00286216" w:rsidRDefault="00291EAB" w:rsidP="00291EAB">
            <w:pPr>
              <w:pStyle w:val="StyleZakonu"/>
              <w:rPr>
                <w:color w:val="000000" w:themeColor="text1"/>
              </w:rPr>
            </w:pPr>
            <w:r w:rsidRPr="00286216">
              <w:rPr>
                <w:color w:val="000000" w:themeColor="text1"/>
              </w:rPr>
              <w:t>Протягом періоду розгляду документів Національна комісія з цінних паперів та фондового ринку може письмово витребувати у осіб, зазначених в частині другій цієї статті, додаткові документи, необхідні для прийняття рішення про видачу ліцензії, зазначивши вичерпний перелік необхідної додаткової інформації. У такому випадку розгляд заяви про видачу ліцензії зупиняється до моменту отримання відповіді від осіб, зазначених в частині першій цієї статті, але не більше ніж на двадцять робочих днів для отримання відповіді від юридичних осіб, зареєстрованих на території України, та не більше ніж на тридцять робочих днів для отримання відповіді від юридичних осіб, зареєстрованих на території іноземної держави. У разі неотримання вичерпної відповіді документи, подані для видачі ліцензії, вважаються такими, що містять неповну інформацію.</w:t>
            </w:r>
          </w:p>
        </w:tc>
        <w:tc>
          <w:tcPr>
            <w:tcW w:w="3686" w:type="dxa"/>
          </w:tcPr>
          <w:p w14:paraId="67DE05E4" w14:textId="1487C239"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B94F74F" w14:textId="77777777" w:rsidR="00291EAB" w:rsidRPr="00286216" w:rsidRDefault="00291EAB" w:rsidP="00291EAB">
            <w:pPr>
              <w:pStyle w:val="StyleProp"/>
              <w:rPr>
                <w:color w:val="000000" w:themeColor="text1"/>
                <w:szCs w:val="18"/>
              </w:rPr>
            </w:pPr>
            <w:r w:rsidRPr="00286216">
              <w:rPr>
                <w:color w:val="000000" w:themeColor="text1"/>
                <w:szCs w:val="18"/>
              </w:rPr>
              <w:t>Абзац 30 статті 67 викласти в редакції:</w:t>
            </w:r>
          </w:p>
          <w:p w14:paraId="2CE078BA" w14:textId="77777777" w:rsidR="00291EAB" w:rsidRPr="00286216" w:rsidRDefault="00291EAB" w:rsidP="00291EAB">
            <w:pPr>
              <w:pStyle w:val="StyleProp"/>
              <w:rPr>
                <w:color w:val="000000" w:themeColor="text1"/>
                <w:szCs w:val="18"/>
              </w:rPr>
            </w:pPr>
            <w:r w:rsidRPr="00286216">
              <w:rPr>
                <w:color w:val="000000" w:themeColor="text1"/>
              </w:rPr>
              <w:t>"Протягом періоду розгляду документів, але не пізніше , ніж за тридцять робочих днів до закінчення строку розгляду документів, Національна комісія з цінних паперів та фондового ринку може одноразово письмово витребувати у осіб, зазначених в частині другій цієї статті, додаткові документи, необхідні для прийняття рішення про видачу ліцензії, зазначивши вичерпний перелік необхідної додаткової інформації. У такому випадку розгляд заяви про видачу ліцензії зупиняється до моменту отримання відповіді від осіб, зазначених в частині першій цієї статті, але не більше ніж на двадцять робочих днів для отримання відповіді від юридичних осіб, зареєстрованих на території України, та не більше ніж на тридцять робочих днів для отримання відповіді від юридичних осіб, зареєстрованих на території іноземної держави".</w:t>
            </w:r>
          </w:p>
        </w:tc>
        <w:tc>
          <w:tcPr>
            <w:tcW w:w="1987" w:type="dxa"/>
          </w:tcPr>
          <w:p w14:paraId="3A84480B"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7FCCAAFB" w14:textId="66A5A8E4" w:rsidR="00291EAB" w:rsidRPr="00286216" w:rsidRDefault="00291EAB" w:rsidP="00291EAB">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69C848FB" w14:textId="77777777" w:rsidR="00291EAB" w:rsidRPr="00286216" w:rsidRDefault="00291EAB" w:rsidP="00291EAB">
            <w:pPr>
              <w:pStyle w:val="StyleZakonu"/>
              <w:rPr>
                <w:color w:val="000000" w:themeColor="text1"/>
              </w:rPr>
            </w:pPr>
          </w:p>
        </w:tc>
      </w:tr>
      <w:tr w:rsidR="00291EAB" w:rsidRPr="00286216" w14:paraId="06A9AF08" w14:textId="77777777" w:rsidTr="00091AA5">
        <w:tc>
          <w:tcPr>
            <w:tcW w:w="576" w:type="dxa"/>
          </w:tcPr>
          <w:p w14:paraId="2032DB4C" w14:textId="77777777" w:rsidR="00291EAB" w:rsidRPr="00286216" w:rsidRDefault="00291EAB" w:rsidP="00291EAB">
            <w:pPr>
              <w:pStyle w:val="StyleWisnow"/>
              <w:rPr>
                <w:color w:val="000000" w:themeColor="text1"/>
              </w:rPr>
            </w:pPr>
            <w:bookmarkStart w:id="906" w:name="n1182" w:colFirst="0" w:colLast="0"/>
            <w:bookmarkEnd w:id="905"/>
            <w:r w:rsidRPr="00286216">
              <w:rPr>
                <w:color w:val="000000" w:themeColor="text1"/>
              </w:rPr>
              <w:t>1182.</w:t>
            </w:r>
          </w:p>
        </w:tc>
        <w:tc>
          <w:tcPr>
            <w:tcW w:w="4818" w:type="dxa"/>
          </w:tcPr>
          <w:p w14:paraId="5A13C3E8" w14:textId="77777777" w:rsidR="00291EAB" w:rsidRPr="00286216" w:rsidRDefault="00291EAB" w:rsidP="00291EAB">
            <w:pPr>
              <w:pStyle w:val="StyleZakonu"/>
              <w:rPr>
                <w:color w:val="000000" w:themeColor="text1"/>
              </w:rPr>
            </w:pPr>
            <w:r w:rsidRPr="00286216">
              <w:rPr>
                <w:color w:val="000000" w:themeColor="text1"/>
              </w:rPr>
              <w:t xml:space="preserve">У зв’язку з отриманням витребуваної додаткової </w:t>
            </w:r>
            <w:r w:rsidRPr="00286216">
              <w:rPr>
                <w:color w:val="000000" w:themeColor="text1"/>
              </w:rPr>
              <w:lastRenderedPageBreak/>
              <w:t>інформації Національна комісія з цінних паперів та фондового ринку може, у разі виникнення необхідності, запитувати уточнюючу інформацію. Запит уточнюючої інформації не зупиняє перебігу періоду розгляду документів. Ліцензія видається Національною комісією з цінних паперів та фондового ринку за умови, що заявник відповідає усім встановленим вимогам законодавства та нормативно-правових актів Національної комісії з цінних паперів та фондового ринку.</w:t>
            </w:r>
          </w:p>
        </w:tc>
        <w:tc>
          <w:tcPr>
            <w:tcW w:w="3686" w:type="dxa"/>
          </w:tcPr>
          <w:p w14:paraId="434F7831" w14:textId="2E5265F3" w:rsidR="00291EAB" w:rsidRPr="00286216" w:rsidRDefault="00291EAB" w:rsidP="00291EAB">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AC2D2A1"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lastRenderedPageBreak/>
              <w:t>Абзац тридцять перший замінити чотирма абзацами такого змісту:</w:t>
            </w:r>
          </w:p>
          <w:p w14:paraId="7F175ABA"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може, у разі виникнення необхідності, запитувати уточнюючу інформацію. Запит уточнюючої інформації не зупиняє перебігу періоду розгляду документів. При цьому  посадовим особам Національної комісії з цінних паперів та фондового ринку забороняється вимагати від заявника:</w:t>
            </w:r>
          </w:p>
          <w:p w14:paraId="3E009585"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1) подання оригіналів документів (крім документів, що складаються безпосередньо заявником);</w:t>
            </w:r>
          </w:p>
          <w:p w14:paraId="3774E436"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2) зазначення заявником у документах, що подаються для одержання ліцензії, інформації або подання документів, не передбачених законом;</w:t>
            </w:r>
          </w:p>
          <w:p w14:paraId="1A63BDBE" w14:textId="77777777" w:rsidR="00291EAB" w:rsidRPr="00286216" w:rsidRDefault="00291EAB" w:rsidP="00291EAB">
            <w:pPr>
              <w:pStyle w:val="StyleProp"/>
              <w:spacing w:line="180" w:lineRule="exact"/>
              <w:rPr>
                <w:color w:val="000000" w:themeColor="text1"/>
                <w:szCs w:val="18"/>
              </w:rPr>
            </w:pPr>
            <w:r w:rsidRPr="00286216">
              <w:rPr>
                <w:color w:val="000000" w:themeColor="text1"/>
                <w:szCs w:val="18"/>
              </w:rPr>
              <w:t>3) документи, що підтверджують або спростовують інформацію про нього, які видаються іншими органами державної влади, органами місцевого самоврядування або їх посадовими особами (виписки, витяги, довідки, листи)".</w:t>
            </w:r>
          </w:p>
        </w:tc>
        <w:tc>
          <w:tcPr>
            <w:tcW w:w="1987" w:type="dxa"/>
          </w:tcPr>
          <w:p w14:paraId="7F72D87E" w14:textId="77777777" w:rsidR="00291EAB" w:rsidRPr="00286216" w:rsidRDefault="00291EAB" w:rsidP="00291EAB">
            <w:pPr>
              <w:pStyle w:val="StyleWisnow"/>
              <w:rPr>
                <w:color w:val="000000" w:themeColor="text1"/>
              </w:rPr>
            </w:pPr>
            <w:r w:rsidRPr="00286216">
              <w:rPr>
                <w:color w:val="000000" w:themeColor="text1"/>
              </w:rPr>
              <w:lastRenderedPageBreak/>
              <w:t>Враховано по суті</w:t>
            </w:r>
          </w:p>
          <w:p w14:paraId="73E85BFF" w14:textId="7C4D1774" w:rsidR="00291EAB" w:rsidRPr="00286216" w:rsidRDefault="00291EAB" w:rsidP="00291EAB">
            <w:pPr>
              <w:pStyle w:val="StyleWisnow"/>
              <w:rPr>
                <w:color w:val="000000" w:themeColor="text1"/>
              </w:rPr>
            </w:pPr>
            <w:r w:rsidRPr="00286216">
              <w:rPr>
                <w:color w:val="000000" w:themeColor="text1"/>
              </w:rPr>
              <w:lastRenderedPageBreak/>
              <w:t>у запропонованій редакції статті</w:t>
            </w:r>
            <w:r w:rsidRPr="00286216">
              <w:rPr>
                <w:color w:val="000000" w:themeColor="text1"/>
                <w:lang w:val="ru-RU"/>
              </w:rPr>
              <w:t xml:space="preserve"> 71</w:t>
            </w:r>
          </w:p>
        </w:tc>
        <w:tc>
          <w:tcPr>
            <w:tcW w:w="4818" w:type="dxa"/>
          </w:tcPr>
          <w:p w14:paraId="341E3A27" w14:textId="77777777" w:rsidR="00291EAB" w:rsidRPr="00286216" w:rsidRDefault="00291EAB" w:rsidP="00291EAB">
            <w:pPr>
              <w:pStyle w:val="StyleZakonu"/>
              <w:rPr>
                <w:color w:val="000000" w:themeColor="text1"/>
              </w:rPr>
            </w:pPr>
          </w:p>
        </w:tc>
      </w:tr>
      <w:tr w:rsidR="00291EAB" w:rsidRPr="00286216" w14:paraId="743A6278" w14:textId="77777777" w:rsidTr="00091AA5">
        <w:tc>
          <w:tcPr>
            <w:tcW w:w="576" w:type="dxa"/>
          </w:tcPr>
          <w:p w14:paraId="36AC769C" w14:textId="77777777" w:rsidR="00291EAB" w:rsidRPr="00286216" w:rsidRDefault="00291EAB" w:rsidP="00291EAB">
            <w:pPr>
              <w:pStyle w:val="StyleWisnow"/>
              <w:rPr>
                <w:color w:val="000000" w:themeColor="text1"/>
              </w:rPr>
            </w:pPr>
            <w:bookmarkStart w:id="907" w:name="n1183" w:colFirst="0" w:colLast="0"/>
            <w:bookmarkEnd w:id="906"/>
            <w:r w:rsidRPr="00286216">
              <w:rPr>
                <w:color w:val="000000" w:themeColor="text1"/>
              </w:rPr>
              <w:t>1183.</w:t>
            </w:r>
          </w:p>
        </w:tc>
        <w:tc>
          <w:tcPr>
            <w:tcW w:w="4818" w:type="dxa"/>
          </w:tcPr>
          <w:p w14:paraId="114F1B10" w14:textId="77777777" w:rsidR="00291EAB" w:rsidRPr="00286216" w:rsidRDefault="00291EAB" w:rsidP="00291EAB">
            <w:pPr>
              <w:pStyle w:val="StyleZakonu"/>
              <w:rPr>
                <w:color w:val="000000" w:themeColor="text1"/>
              </w:rPr>
            </w:pPr>
            <w:r w:rsidRPr="00286216">
              <w:rPr>
                <w:color w:val="000000" w:themeColor="text1"/>
              </w:rPr>
              <w:t>Ліцензія видається після подання юридичною особою копії платіжного документа про внесення плати за видачу ліцензії.</w:t>
            </w:r>
          </w:p>
        </w:tc>
        <w:tc>
          <w:tcPr>
            <w:tcW w:w="3686" w:type="dxa"/>
          </w:tcPr>
          <w:p w14:paraId="22CDE6DE" w14:textId="5626E18D"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676</w:t>
            </w:r>
            <w:r w:rsidRPr="00286216">
              <w:rPr>
                <w:color w:val="000000" w:themeColor="text1"/>
              </w:rPr>
              <w:fldChar w:fldCharType="end"/>
            </w:r>
            <w:r w:rsidRPr="00286216">
              <w:rPr>
                <w:color w:val="000000" w:themeColor="text1"/>
              </w:rPr>
              <w:t>-Н.д.Шахов С.В. (Реєстр.картка №114)</w:t>
            </w:r>
          </w:p>
          <w:p w14:paraId="501E9303" w14:textId="77777777" w:rsidR="00291EAB" w:rsidRPr="00286216" w:rsidRDefault="00291EAB" w:rsidP="00291EAB">
            <w:pPr>
              <w:pStyle w:val="StyleProp"/>
              <w:spacing w:line="180" w:lineRule="exact"/>
              <w:rPr>
                <w:color w:val="000000" w:themeColor="text1"/>
                <w:spacing w:val="-2"/>
              </w:rPr>
            </w:pPr>
            <w:r w:rsidRPr="00286216">
              <w:rPr>
                <w:color w:val="000000" w:themeColor="text1"/>
                <w:spacing w:val="-2"/>
              </w:rPr>
              <w:t>Частину 6 ст. 67 викласти у редакції:</w:t>
            </w:r>
          </w:p>
          <w:p w14:paraId="3FFAB50E"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rPr>
              <w:t xml:space="preserve">"6. </w:t>
            </w:r>
            <w:r w:rsidRPr="00286216">
              <w:rPr>
                <w:color w:val="000000" w:themeColor="text1"/>
                <w:spacing w:val="-2"/>
                <w:szCs w:val="18"/>
              </w:rPr>
              <w:t>Регулятор відповідного ринку в установленому нею порядку приймає рішення про видачу ліцензії (іншого дозвільного документу, визначеного законодавством про товарні ринки) на провадження певного виду професійної діяльності на ринках капіталу та організованих товарних ринках (або іншого дозвільного документу, визначеного законодавством про товарні ринки) чи про відмову в її (його) видачі:  в разі відсутності участі іноземних осіб в капіталі – протягом 30 (тридцяти) днів з дня надходження повного переліку документів, зазначених у частині другій цієї статті, в разі участі іноземних осіб в капіталі – протягом 50 (п'ятдесяти) днів з дня надходження повного переліку документів, зазначених у частині другій цієї статті.</w:t>
            </w:r>
          </w:p>
          <w:p w14:paraId="1000A132" w14:textId="77777777" w:rsidR="00291EAB" w:rsidRPr="00286216" w:rsidRDefault="00291EAB" w:rsidP="00291EAB">
            <w:pPr>
              <w:pStyle w:val="StyleProp"/>
              <w:spacing w:line="180" w:lineRule="exact"/>
              <w:rPr>
                <w:color w:val="000000" w:themeColor="text1"/>
                <w:spacing w:val="-5"/>
                <w:szCs w:val="18"/>
              </w:rPr>
            </w:pPr>
            <w:r w:rsidRPr="00286216">
              <w:rPr>
                <w:color w:val="000000" w:themeColor="text1"/>
                <w:spacing w:val="-5"/>
                <w:szCs w:val="18"/>
              </w:rPr>
              <w:t xml:space="preserve">Протягом періоду розгляду документів регулятор відповідного ринку може письмово витребувати у осіб, зазначених в частині другій цієї статті, додаткові документи, що підтверджують та/або уточнюють (деталізують) інформацію, визначену в частині другій цієї статті, та є необхідними  для прийняття рішення про видачу ліцензії (іншого дозвільного документу, визначеного законодавством про товарні ринки), зазначивши вичерпний перелік необхідної додаткової інформації. У такому випадку розгляд заяви про видачу ліцензії </w:t>
            </w:r>
            <w:r w:rsidRPr="00286216">
              <w:rPr>
                <w:color w:val="000000" w:themeColor="text1"/>
                <w:spacing w:val="-5"/>
                <w:szCs w:val="18"/>
              </w:rPr>
              <w:lastRenderedPageBreak/>
              <w:t>(іншого дозвільного документу, визначеного законодавством про товарні ринки) зупиняється до моменту отримання відповіді від осіб, зазначених в частині першій цієї статті, але не більше ніж на двадцять робочих днів для отримання відповіді від юридичних осіб, зареєстрованих на території України, та не більше ніж на тридцять робочих днів для отримання відповіді від юридичних осіб, зареєстрованих на території іноземної держави. У разі неотримання вичерпної відповіді документи, подані для видачі ліцензії (іншого дозвільного документу, визначеного законодавством про товарні ринки), вважаються такими, що містять неповну інформацію.</w:t>
            </w:r>
          </w:p>
          <w:p w14:paraId="0334BD1B"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У зв’язку з отриманням витребуваної додаткової інформації регулятор відповідного ринку може, у разі виникнення необхідності, запитувати уточнюючу інформацію. Запит уточнюючої інформації не зупиняє перебігу періоду розгляду документів. Ліцензія (або інший дозвільний документ, визначений законодавством про товарні ринки) видається регулятором відповідного ринку за умови, що заявник відповідає усім встановленим вимогам законодавства.</w:t>
            </w:r>
          </w:p>
          <w:p w14:paraId="1947624B" w14:textId="77777777" w:rsidR="00291EAB" w:rsidRPr="00286216" w:rsidRDefault="00291EAB" w:rsidP="00291EAB">
            <w:pPr>
              <w:pStyle w:val="StyleProp"/>
              <w:spacing w:line="180" w:lineRule="exact"/>
              <w:rPr>
                <w:color w:val="000000" w:themeColor="text1"/>
                <w:spacing w:val="-2"/>
                <w:szCs w:val="18"/>
              </w:rPr>
            </w:pPr>
            <w:r w:rsidRPr="00286216">
              <w:rPr>
                <w:color w:val="000000" w:themeColor="text1"/>
                <w:spacing w:val="-2"/>
                <w:szCs w:val="18"/>
              </w:rPr>
              <w:t>Ліцензія (або інший дозвільний документ, визначений законодавством про товарні ринки) видається після подання юридичною особою копії платіжного документа про внесення плати за видачу ліцензії (або іншого дозвільного документу, визначеного законодавством про товарні ринки).</w:t>
            </w:r>
          </w:p>
          <w:p w14:paraId="6292948A" w14:textId="77777777" w:rsidR="00291EAB" w:rsidRPr="00286216" w:rsidRDefault="00291EAB" w:rsidP="00291EAB">
            <w:pPr>
              <w:pStyle w:val="StyleProp"/>
              <w:spacing w:line="180" w:lineRule="exact"/>
              <w:rPr>
                <w:color w:val="000000" w:themeColor="text1"/>
                <w:szCs w:val="18"/>
              </w:rPr>
            </w:pPr>
            <w:r w:rsidRPr="00286216">
              <w:rPr>
                <w:color w:val="000000" w:themeColor="text1"/>
                <w:spacing w:val="-2"/>
                <w:szCs w:val="18"/>
              </w:rPr>
              <w:t>У разі якщо документи подано оформлено з порушенням вимог, установлених законодавством, такі документи повертаються без розгляду в десятиденний строк".</w:t>
            </w:r>
          </w:p>
        </w:tc>
        <w:tc>
          <w:tcPr>
            <w:tcW w:w="1987" w:type="dxa"/>
          </w:tcPr>
          <w:p w14:paraId="2C5952F1" w14:textId="77777777" w:rsidR="00291EAB" w:rsidRPr="00286216" w:rsidRDefault="00291EAB" w:rsidP="00291EAB">
            <w:pPr>
              <w:pStyle w:val="StyleWisnow"/>
              <w:rPr>
                <w:color w:val="000000" w:themeColor="text1"/>
                <w:spacing w:val="-4"/>
              </w:rPr>
            </w:pPr>
            <w:r w:rsidRPr="00286216">
              <w:rPr>
                <w:color w:val="000000" w:themeColor="text1"/>
                <w:spacing w:val="-4"/>
              </w:rPr>
              <w:lastRenderedPageBreak/>
              <w:t>Відхилено</w:t>
            </w:r>
          </w:p>
          <w:p w14:paraId="79CFB519" w14:textId="77777777" w:rsidR="00291EAB" w:rsidRPr="00286216" w:rsidRDefault="00291EAB" w:rsidP="00291EAB">
            <w:pPr>
              <w:pStyle w:val="StyleWisnow"/>
              <w:spacing w:line="180" w:lineRule="exact"/>
              <w:rPr>
                <w:color w:val="000000" w:themeColor="text1"/>
              </w:rPr>
            </w:pPr>
            <w:r w:rsidRPr="00286216">
              <w:rPr>
                <w:color w:val="000000" w:themeColor="text1"/>
                <w:spacing w:val="-4"/>
              </w:rPr>
              <w:t>Не передбачені інші дозвільні документи як підстави провадження професійної діяльності на ринках капіталу та організованих товарних ринках, окрім ліцензій, що видаються єдиним регулятором таких ринків - НКЦПФР</w:t>
            </w:r>
          </w:p>
        </w:tc>
        <w:tc>
          <w:tcPr>
            <w:tcW w:w="4818" w:type="dxa"/>
          </w:tcPr>
          <w:p w14:paraId="30638036" w14:textId="77777777" w:rsidR="00291EAB" w:rsidRPr="00286216" w:rsidRDefault="00291EAB" w:rsidP="00291EAB">
            <w:pPr>
              <w:pStyle w:val="StyleZakonu"/>
              <w:rPr>
                <w:color w:val="000000" w:themeColor="text1"/>
              </w:rPr>
            </w:pPr>
          </w:p>
        </w:tc>
      </w:tr>
      <w:tr w:rsidR="00291EAB" w:rsidRPr="00286216" w14:paraId="293012A8" w14:textId="77777777" w:rsidTr="00091AA5">
        <w:tc>
          <w:tcPr>
            <w:tcW w:w="576" w:type="dxa"/>
          </w:tcPr>
          <w:p w14:paraId="7EE0810A" w14:textId="77777777" w:rsidR="00291EAB" w:rsidRPr="00286216" w:rsidRDefault="00291EAB" w:rsidP="00291EAB">
            <w:pPr>
              <w:pStyle w:val="StyleWisnow"/>
              <w:rPr>
                <w:color w:val="000000" w:themeColor="text1"/>
              </w:rPr>
            </w:pPr>
            <w:bookmarkStart w:id="908" w:name="n1184" w:colFirst="0" w:colLast="0"/>
            <w:bookmarkEnd w:id="907"/>
            <w:r w:rsidRPr="00286216">
              <w:rPr>
                <w:color w:val="000000" w:themeColor="text1"/>
              </w:rPr>
              <w:t>1184.</w:t>
            </w:r>
          </w:p>
        </w:tc>
        <w:tc>
          <w:tcPr>
            <w:tcW w:w="4818" w:type="dxa"/>
          </w:tcPr>
          <w:p w14:paraId="05C348C2" w14:textId="77777777" w:rsidR="00291EAB" w:rsidRPr="00286216" w:rsidRDefault="00291EAB" w:rsidP="00291EAB">
            <w:pPr>
              <w:pStyle w:val="StyleZakonu"/>
              <w:rPr>
                <w:color w:val="000000" w:themeColor="text1"/>
              </w:rPr>
            </w:pPr>
            <w:r w:rsidRPr="00286216">
              <w:rPr>
                <w:color w:val="000000" w:themeColor="text1"/>
              </w:rPr>
              <w:t>У разі якщо документи подано оформлено з порушенням вимог, установлених Національною комісією з цінних паперів та фондового ринку, такі документи повертаються без розгляду в місячний строк.</w:t>
            </w:r>
          </w:p>
        </w:tc>
        <w:tc>
          <w:tcPr>
            <w:tcW w:w="3686" w:type="dxa"/>
          </w:tcPr>
          <w:p w14:paraId="2FCAF226" w14:textId="386439F6"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7B87413" w14:textId="77777777" w:rsidR="00291EAB" w:rsidRPr="00286216" w:rsidRDefault="00291EAB" w:rsidP="00291EAB">
            <w:pPr>
              <w:pStyle w:val="StyleProp"/>
              <w:rPr>
                <w:color w:val="000000" w:themeColor="text1"/>
                <w:szCs w:val="18"/>
              </w:rPr>
            </w:pPr>
            <w:r w:rsidRPr="00286216">
              <w:rPr>
                <w:color w:val="000000" w:themeColor="text1"/>
                <w:szCs w:val="18"/>
              </w:rPr>
              <w:t>В абзаці тридцять третьому статті 67 слова "в місячний строк" замінити словами "протягом п’яти робочих днів".</w:t>
            </w:r>
          </w:p>
        </w:tc>
        <w:tc>
          <w:tcPr>
            <w:tcW w:w="1987" w:type="dxa"/>
          </w:tcPr>
          <w:p w14:paraId="1A49AF55" w14:textId="77777777" w:rsidR="00291EAB" w:rsidRPr="00286216" w:rsidRDefault="00291EAB" w:rsidP="00291EAB">
            <w:pPr>
              <w:pStyle w:val="StyleWisnow"/>
              <w:rPr>
                <w:color w:val="000000" w:themeColor="text1"/>
              </w:rPr>
            </w:pPr>
            <w:r w:rsidRPr="00286216">
              <w:rPr>
                <w:color w:val="000000" w:themeColor="text1"/>
              </w:rPr>
              <w:t>Враховано по суті</w:t>
            </w:r>
          </w:p>
          <w:p w14:paraId="17D80CB9" w14:textId="3489BB2C" w:rsidR="00291EAB" w:rsidRPr="00286216" w:rsidRDefault="00291EAB" w:rsidP="00291EAB">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566CDB90" w14:textId="77777777" w:rsidR="00291EAB" w:rsidRPr="00286216" w:rsidRDefault="00291EAB" w:rsidP="00291EAB">
            <w:pPr>
              <w:pStyle w:val="StyleZakonu"/>
              <w:rPr>
                <w:color w:val="000000" w:themeColor="text1"/>
              </w:rPr>
            </w:pPr>
          </w:p>
        </w:tc>
      </w:tr>
      <w:tr w:rsidR="00291EAB" w:rsidRPr="00286216" w14:paraId="44B8DD62" w14:textId="77777777" w:rsidTr="00091AA5">
        <w:tc>
          <w:tcPr>
            <w:tcW w:w="576" w:type="dxa"/>
          </w:tcPr>
          <w:p w14:paraId="34488DB9" w14:textId="77777777" w:rsidR="00291EAB" w:rsidRPr="00286216" w:rsidRDefault="00291EAB" w:rsidP="00291EAB">
            <w:pPr>
              <w:pStyle w:val="StyleWisnow"/>
              <w:rPr>
                <w:color w:val="000000" w:themeColor="text1"/>
              </w:rPr>
            </w:pPr>
            <w:bookmarkStart w:id="909" w:name="n1185" w:colFirst="0" w:colLast="0"/>
            <w:bookmarkEnd w:id="908"/>
            <w:r w:rsidRPr="00286216">
              <w:rPr>
                <w:color w:val="000000" w:themeColor="text1"/>
              </w:rPr>
              <w:t>1185.</w:t>
            </w:r>
          </w:p>
        </w:tc>
        <w:tc>
          <w:tcPr>
            <w:tcW w:w="4818" w:type="dxa"/>
          </w:tcPr>
          <w:p w14:paraId="5E71D21D" w14:textId="77777777" w:rsidR="00291EAB" w:rsidRPr="00286216" w:rsidRDefault="00291EAB" w:rsidP="00291EAB">
            <w:pPr>
              <w:pStyle w:val="StyleZakonu"/>
              <w:rPr>
                <w:color w:val="000000" w:themeColor="text1"/>
              </w:rPr>
            </w:pPr>
            <w:r w:rsidRPr="00286216">
              <w:rPr>
                <w:color w:val="000000" w:themeColor="text1"/>
              </w:rPr>
              <w:t>7. Строк дії ліцензії на провадження певного виду професійної діяльності на ринках капіталу та організованих товарних ринках є необмеженим.</w:t>
            </w:r>
          </w:p>
        </w:tc>
        <w:tc>
          <w:tcPr>
            <w:tcW w:w="3686" w:type="dxa"/>
          </w:tcPr>
          <w:p w14:paraId="4F968F8E" w14:textId="77777777" w:rsidR="00291EAB" w:rsidRPr="00286216" w:rsidRDefault="00291EAB" w:rsidP="00291EAB">
            <w:pPr>
              <w:pStyle w:val="StyleProp"/>
              <w:rPr>
                <w:color w:val="000000" w:themeColor="text1"/>
                <w:szCs w:val="18"/>
              </w:rPr>
            </w:pPr>
          </w:p>
        </w:tc>
        <w:tc>
          <w:tcPr>
            <w:tcW w:w="1987" w:type="dxa"/>
          </w:tcPr>
          <w:p w14:paraId="5E0E1F70" w14:textId="77777777" w:rsidR="00291EAB" w:rsidRPr="00286216" w:rsidRDefault="00291EAB" w:rsidP="00291EAB">
            <w:pPr>
              <w:pStyle w:val="StyleWisnow"/>
              <w:rPr>
                <w:color w:val="000000" w:themeColor="text1"/>
              </w:rPr>
            </w:pPr>
          </w:p>
        </w:tc>
        <w:tc>
          <w:tcPr>
            <w:tcW w:w="4818" w:type="dxa"/>
          </w:tcPr>
          <w:p w14:paraId="5ED8F842" w14:textId="77777777" w:rsidR="00291EAB" w:rsidRPr="00286216" w:rsidRDefault="00291EAB" w:rsidP="00291EAB">
            <w:pPr>
              <w:pStyle w:val="StyleZakonu"/>
              <w:rPr>
                <w:color w:val="000000" w:themeColor="text1"/>
              </w:rPr>
            </w:pPr>
          </w:p>
        </w:tc>
      </w:tr>
      <w:tr w:rsidR="00291EAB" w:rsidRPr="00286216" w14:paraId="2B7058A9" w14:textId="77777777" w:rsidTr="00091AA5">
        <w:tc>
          <w:tcPr>
            <w:tcW w:w="576" w:type="dxa"/>
          </w:tcPr>
          <w:p w14:paraId="0311D78A" w14:textId="77777777" w:rsidR="00291EAB" w:rsidRPr="00286216" w:rsidRDefault="00291EAB" w:rsidP="00291EAB">
            <w:pPr>
              <w:pStyle w:val="StyleWisnow"/>
              <w:rPr>
                <w:color w:val="000000" w:themeColor="text1"/>
              </w:rPr>
            </w:pPr>
            <w:bookmarkStart w:id="910" w:name="n1186" w:colFirst="0" w:colLast="0"/>
            <w:bookmarkEnd w:id="909"/>
            <w:r w:rsidRPr="00286216">
              <w:rPr>
                <w:color w:val="000000" w:themeColor="text1"/>
              </w:rPr>
              <w:t>1186.</w:t>
            </w:r>
          </w:p>
        </w:tc>
        <w:tc>
          <w:tcPr>
            <w:tcW w:w="4818" w:type="dxa"/>
          </w:tcPr>
          <w:p w14:paraId="5E8681ED" w14:textId="77777777" w:rsidR="00291EAB" w:rsidRPr="00286216" w:rsidRDefault="00291EAB" w:rsidP="00291EAB">
            <w:pPr>
              <w:pStyle w:val="StyleZakonu"/>
              <w:rPr>
                <w:color w:val="000000" w:themeColor="text1"/>
              </w:rPr>
            </w:pPr>
            <w:r w:rsidRPr="00286216">
              <w:rPr>
                <w:color w:val="000000" w:themeColor="text1"/>
              </w:rPr>
              <w:t xml:space="preserve">8. Професійний учасник ринків капіталу та організованих товарних ринків не має права передавати ліцензію на провадження відповідного виду професійної діяльності на ринках капіталу та організованих товарних ринках. Ці вимоги не поширюються на випадки приєднання, злиття чи </w:t>
            </w:r>
            <w:r w:rsidRPr="00286216">
              <w:rPr>
                <w:color w:val="000000" w:themeColor="text1"/>
              </w:rPr>
              <w:lastRenderedPageBreak/>
              <w:t>поділу ліцензіата.</w:t>
            </w:r>
          </w:p>
        </w:tc>
        <w:tc>
          <w:tcPr>
            <w:tcW w:w="3686" w:type="dxa"/>
          </w:tcPr>
          <w:p w14:paraId="69335529" w14:textId="274AF37E" w:rsidR="00291EAB" w:rsidRPr="00286216" w:rsidRDefault="00291EAB" w:rsidP="00291EAB">
            <w:pPr>
              <w:pStyle w:val="StyleAwt"/>
              <w:rPr>
                <w:color w:val="000000" w:themeColor="text1"/>
                <w:spacing w:val="-10"/>
              </w:rPr>
            </w:pPr>
            <w:r w:rsidRPr="00286216">
              <w:rPr>
                <w:color w:val="000000" w:themeColor="text1"/>
                <w:spacing w:val="-10"/>
              </w:rPr>
              <w:lastRenderedPageBreak/>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678</w:t>
            </w:r>
            <w:r w:rsidRPr="00286216">
              <w:rPr>
                <w:color w:val="000000" w:themeColor="text1"/>
                <w:spacing w:val="-10"/>
              </w:rPr>
              <w:fldChar w:fldCharType="end"/>
            </w:r>
            <w:r w:rsidRPr="00286216">
              <w:rPr>
                <w:color w:val="000000" w:themeColor="text1"/>
                <w:spacing w:val="-10"/>
              </w:rPr>
              <w:t>-Н.д.Гетманцев Д.О.(Реєстр.картка №245)</w:t>
            </w:r>
          </w:p>
          <w:p w14:paraId="71570498" w14:textId="77777777" w:rsidR="00291EAB" w:rsidRPr="00286216" w:rsidRDefault="00291EAB" w:rsidP="00291EAB">
            <w:pPr>
              <w:pStyle w:val="StyleProp"/>
              <w:rPr>
                <w:color w:val="000000" w:themeColor="text1"/>
              </w:rPr>
            </w:pPr>
            <w:r w:rsidRPr="00286216">
              <w:rPr>
                <w:color w:val="000000" w:themeColor="text1"/>
              </w:rPr>
              <w:t>У статті 67 останнє речення абзацу першого частини восьмої виключити.</w:t>
            </w:r>
          </w:p>
        </w:tc>
        <w:tc>
          <w:tcPr>
            <w:tcW w:w="1987" w:type="dxa"/>
          </w:tcPr>
          <w:p w14:paraId="32584157" w14:textId="77777777" w:rsidR="00291EAB" w:rsidRPr="00286216" w:rsidRDefault="00291EAB" w:rsidP="00291EAB">
            <w:pPr>
              <w:pStyle w:val="StyleWisnow"/>
              <w:rPr>
                <w:color w:val="000000" w:themeColor="text1"/>
              </w:rPr>
            </w:pPr>
            <w:r w:rsidRPr="00286216">
              <w:rPr>
                <w:color w:val="000000" w:themeColor="text1"/>
              </w:rPr>
              <w:t>Враховано</w:t>
            </w:r>
          </w:p>
          <w:p w14:paraId="7ECF85D6" w14:textId="77777777" w:rsidR="00291EAB" w:rsidRPr="00286216" w:rsidRDefault="00291EAB" w:rsidP="00291EAB">
            <w:pPr>
              <w:pStyle w:val="StyleWisnow"/>
              <w:rPr>
                <w:color w:val="000000" w:themeColor="text1"/>
              </w:rPr>
            </w:pPr>
          </w:p>
        </w:tc>
        <w:tc>
          <w:tcPr>
            <w:tcW w:w="4818" w:type="dxa"/>
          </w:tcPr>
          <w:p w14:paraId="7A4E5DC5" w14:textId="77777777" w:rsidR="00291EAB" w:rsidRPr="00286216" w:rsidRDefault="00291EAB" w:rsidP="00291EAB">
            <w:pPr>
              <w:pStyle w:val="StyleZakonu"/>
              <w:rPr>
                <w:color w:val="000000" w:themeColor="text1"/>
              </w:rPr>
            </w:pPr>
          </w:p>
        </w:tc>
      </w:tr>
      <w:tr w:rsidR="00291EAB" w:rsidRPr="00286216" w14:paraId="1A9B704D" w14:textId="77777777" w:rsidTr="00091AA5">
        <w:tc>
          <w:tcPr>
            <w:tcW w:w="576" w:type="dxa"/>
          </w:tcPr>
          <w:p w14:paraId="10061C3F" w14:textId="77777777" w:rsidR="00291EAB" w:rsidRPr="00286216" w:rsidRDefault="00291EAB" w:rsidP="00291EAB">
            <w:pPr>
              <w:pStyle w:val="StyleWisnow"/>
              <w:rPr>
                <w:color w:val="000000" w:themeColor="text1"/>
              </w:rPr>
            </w:pPr>
            <w:bookmarkStart w:id="911" w:name="n1187" w:colFirst="0" w:colLast="0"/>
            <w:bookmarkEnd w:id="910"/>
            <w:r w:rsidRPr="00286216">
              <w:rPr>
                <w:color w:val="000000" w:themeColor="text1"/>
              </w:rPr>
              <w:t>1187.</w:t>
            </w:r>
          </w:p>
        </w:tc>
        <w:tc>
          <w:tcPr>
            <w:tcW w:w="4818" w:type="dxa"/>
          </w:tcPr>
          <w:p w14:paraId="55764FFD" w14:textId="77777777" w:rsidR="00291EAB" w:rsidRPr="00286216" w:rsidRDefault="00291EAB" w:rsidP="00291EAB">
            <w:pPr>
              <w:pStyle w:val="StyleZakonu"/>
              <w:rPr>
                <w:color w:val="000000" w:themeColor="text1"/>
              </w:rPr>
            </w:pPr>
            <w:r w:rsidRPr="00286216">
              <w:rPr>
                <w:color w:val="000000" w:themeColor="text1"/>
              </w:rPr>
              <w:t>Не є передачею ліцензії передача третім особам частини процесів або покладання на третіх осіб частини функцій, які забезпечують діяльність професійного учасника ринків капіталу та організованих товарних ринків на відповідному ринку, здійснена на підставі договору щодо аутсорсингу в порядку, встановленому Національною комісією з цінних паперів та фондового ринку.</w:t>
            </w:r>
          </w:p>
        </w:tc>
        <w:tc>
          <w:tcPr>
            <w:tcW w:w="3686" w:type="dxa"/>
          </w:tcPr>
          <w:p w14:paraId="36E7721B" w14:textId="2254D045" w:rsidR="00291EAB" w:rsidRPr="00286216" w:rsidRDefault="00291EAB" w:rsidP="00291EAB">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679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8113D70" w14:textId="77777777" w:rsidR="00291EAB" w:rsidRPr="00286216" w:rsidRDefault="00291EAB" w:rsidP="00291EAB">
            <w:pPr>
              <w:pStyle w:val="StyleProp"/>
              <w:rPr>
                <w:color w:val="000000" w:themeColor="text1"/>
                <w:szCs w:val="18"/>
              </w:rPr>
            </w:pPr>
            <w:r w:rsidRPr="00286216">
              <w:rPr>
                <w:color w:val="000000" w:themeColor="text1"/>
                <w:szCs w:val="18"/>
              </w:rPr>
              <w:t>В абзаці тридцять шостому статті 67 слова "в порядку, встановленому Національною комісією з цінних паперів та фондового ринку" виключити.</w:t>
            </w:r>
          </w:p>
        </w:tc>
        <w:tc>
          <w:tcPr>
            <w:tcW w:w="1987" w:type="dxa"/>
          </w:tcPr>
          <w:p w14:paraId="786EE466" w14:textId="77777777" w:rsidR="00291EAB" w:rsidRPr="00286216" w:rsidRDefault="00291EAB" w:rsidP="00291EAB">
            <w:pPr>
              <w:pStyle w:val="StyleWisnow"/>
              <w:rPr>
                <w:color w:val="000000" w:themeColor="text1"/>
              </w:rPr>
            </w:pPr>
            <w:r w:rsidRPr="00286216">
              <w:rPr>
                <w:color w:val="000000" w:themeColor="text1"/>
              </w:rPr>
              <w:t>Враховано редакційно</w:t>
            </w:r>
          </w:p>
          <w:p w14:paraId="513D20C7" w14:textId="22DE4E8B" w:rsidR="00291EAB" w:rsidRPr="00286216" w:rsidRDefault="00291EAB" w:rsidP="00291EAB">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71</w:t>
            </w:r>
          </w:p>
        </w:tc>
        <w:tc>
          <w:tcPr>
            <w:tcW w:w="4818" w:type="dxa"/>
          </w:tcPr>
          <w:p w14:paraId="311F58B9" w14:textId="77777777" w:rsidR="00291EAB" w:rsidRPr="00286216" w:rsidRDefault="00291EAB" w:rsidP="00291EAB">
            <w:pPr>
              <w:pStyle w:val="StyleZakonu"/>
              <w:rPr>
                <w:color w:val="000000" w:themeColor="text1"/>
              </w:rPr>
            </w:pPr>
          </w:p>
        </w:tc>
      </w:tr>
      <w:bookmarkEnd w:id="911"/>
      <w:tr w:rsidR="00291EAB" w:rsidRPr="00286216" w14:paraId="00E1E28E" w14:textId="77777777" w:rsidTr="00091AA5">
        <w:tc>
          <w:tcPr>
            <w:tcW w:w="576" w:type="dxa"/>
          </w:tcPr>
          <w:p w14:paraId="582FEB33" w14:textId="77777777" w:rsidR="00291EAB" w:rsidRPr="00286216" w:rsidRDefault="00291EAB" w:rsidP="00291EAB">
            <w:pPr>
              <w:pStyle w:val="StyleWisnow"/>
              <w:rPr>
                <w:color w:val="000000" w:themeColor="text1"/>
              </w:rPr>
            </w:pPr>
          </w:p>
        </w:tc>
        <w:tc>
          <w:tcPr>
            <w:tcW w:w="4818" w:type="dxa"/>
          </w:tcPr>
          <w:p w14:paraId="415EEA54" w14:textId="77777777" w:rsidR="00291EAB" w:rsidRPr="00286216" w:rsidRDefault="00291EAB" w:rsidP="00291EAB">
            <w:pPr>
              <w:pStyle w:val="StyleZakonu"/>
              <w:rPr>
                <w:color w:val="000000" w:themeColor="text1"/>
              </w:rPr>
            </w:pPr>
          </w:p>
        </w:tc>
        <w:tc>
          <w:tcPr>
            <w:tcW w:w="3686" w:type="dxa"/>
          </w:tcPr>
          <w:p w14:paraId="71507A72" w14:textId="68BCA724" w:rsidR="00291EAB" w:rsidRPr="00286216" w:rsidRDefault="00291EAB" w:rsidP="00291EA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680</w:t>
            </w:r>
            <w:r w:rsidRPr="00286216">
              <w:rPr>
                <w:color w:val="000000" w:themeColor="text1"/>
                <w:spacing w:val="-10"/>
              </w:rPr>
              <w:fldChar w:fldCharType="end"/>
            </w:r>
            <w:r w:rsidRPr="00286216">
              <w:rPr>
                <w:color w:val="000000" w:themeColor="text1"/>
                <w:spacing w:val="-10"/>
              </w:rPr>
              <w:t>-Н.д.Гетманцев Д.О.(Реєстр.картка №245)</w:t>
            </w:r>
          </w:p>
          <w:p w14:paraId="377650C4" w14:textId="77777777" w:rsidR="00291EAB" w:rsidRPr="00286216" w:rsidRDefault="00291EAB" w:rsidP="00291EAB">
            <w:pPr>
              <w:pStyle w:val="StyleProp"/>
              <w:rPr>
                <w:color w:val="000000" w:themeColor="text1"/>
                <w:spacing w:val="-2"/>
              </w:rPr>
            </w:pPr>
            <w:r w:rsidRPr="00286216">
              <w:rPr>
                <w:color w:val="000000" w:themeColor="text1"/>
                <w:spacing w:val="-2"/>
              </w:rPr>
              <w:t>У статті 67 абзац другий частини восьмої викласти в такій редакції:</w:t>
            </w:r>
          </w:p>
          <w:p w14:paraId="510531AA" w14:textId="77777777" w:rsidR="00291EAB" w:rsidRPr="00286216" w:rsidRDefault="00291EAB" w:rsidP="00291EAB">
            <w:pPr>
              <w:pStyle w:val="StyleProp"/>
              <w:rPr>
                <w:color w:val="000000" w:themeColor="text1"/>
              </w:rPr>
            </w:pPr>
            <w:r w:rsidRPr="00286216">
              <w:rPr>
                <w:color w:val="000000" w:themeColor="text1"/>
                <w:spacing w:val="-2"/>
              </w:rPr>
              <w:t>«Професійний учасник ринків капіталу або організованих товарних ринків не має права доручати (передоручати) будь-яким третій особам здійснювати, відповідно, професійну діяльність на ринках капіталу чи на організованих товарних ринках (у тому числі виконувати окремі функції в межах відповідної діяльності), окрім випадків, передбачених законодавством.»</w:t>
            </w:r>
          </w:p>
        </w:tc>
        <w:tc>
          <w:tcPr>
            <w:tcW w:w="1987" w:type="dxa"/>
          </w:tcPr>
          <w:p w14:paraId="4F4F2504" w14:textId="77777777" w:rsidR="00291EAB" w:rsidRPr="00286216" w:rsidRDefault="00291EAB" w:rsidP="00291EAB">
            <w:pPr>
              <w:pStyle w:val="StyleWisnow"/>
              <w:rPr>
                <w:color w:val="000000" w:themeColor="text1"/>
              </w:rPr>
            </w:pPr>
            <w:r w:rsidRPr="00286216">
              <w:rPr>
                <w:color w:val="000000" w:themeColor="text1"/>
              </w:rPr>
              <w:t>Відхилено</w:t>
            </w:r>
          </w:p>
          <w:p w14:paraId="2A4BF7A0" w14:textId="77777777" w:rsidR="00291EAB" w:rsidRPr="00286216" w:rsidRDefault="00291EAB" w:rsidP="00291EAB">
            <w:pPr>
              <w:pStyle w:val="StyleWisnow"/>
              <w:spacing w:line="180" w:lineRule="exact"/>
              <w:rPr>
                <w:color w:val="000000" w:themeColor="text1"/>
              </w:rPr>
            </w:pPr>
            <w:r w:rsidRPr="00286216">
              <w:rPr>
                <w:color w:val="000000" w:themeColor="text1"/>
              </w:rPr>
              <w:t>запропоновані проектом механізми провадження діяльності через аутсорсинг відповідають приписам секції 2 Регламенту ЄС № 2017/565 та статті 16 Директиви MiFID II</w:t>
            </w:r>
          </w:p>
        </w:tc>
        <w:tc>
          <w:tcPr>
            <w:tcW w:w="4818" w:type="dxa"/>
          </w:tcPr>
          <w:p w14:paraId="3F67818D" w14:textId="77777777" w:rsidR="00291EAB" w:rsidRPr="00286216" w:rsidRDefault="00291EAB" w:rsidP="00291EAB">
            <w:pPr>
              <w:pStyle w:val="StyleZakonu"/>
              <w:rPr>
                <w:color w:val="000000" w:themeColor="text1"/>
              </w:rPr>
            </w:pPr>
          </w:p>
        </w:tc>
      </w:tr>
      <w:tr w:rsidR="00291EAB" w:rsidRPr="00286216" w14:paraId="4741F516" w14:textId="77777777" w:rsidTr="00091AA5">
        <w:tc>
          <w:tcPr>
            <w:tcW w:w="576" w:type="dxa"/>
          </w:tcPr>
          <w:p w14:paraId="74BD1D60" w14:textId="77777777" w:rsidR="00291EAB" w:rsidRPr="00286216" w:rsidRDefault="00291EAB" w:rsidP="00291EAB">
            <w:pPr>
              <w:pStyle w:val="StyleWisnow"/>
              <w:rPr>
                <w:color w:val="000000" w:themeColor="text1"/>
              </w:rPr>
            </w:pPr>
            <w:bookmarkStart w:id="912" w:name="n1188" w:colFirst="0" w:colLast="0"/>
            <w:r w:rsidRPr="00286216">
              <w:rPr>
                <w:color w:val="000000" w:themeColor="text1"/>
              </w:rPr>
              <w:t>1188.</w:t>
            </w:r>
          </w:p>
        </w:tc>
        <w:tc>
          <w:tcPr>
            <w:tcW w:w="4818" w:type="dxa"/>
          </w:tcPr>
          <w:p w14:paraId="161CEA22" w14:textId="77777777" w:rsidR="00291EAB" w:rsidRPr="00286216" w:rsidRDefault="00291EAB" w:rsidP="00291EAB">
            <w:pPr>
              <w:pStyle w:val="StyleZakonu"/>
              <w:rPr>
                <w:color w:val="000000" w:themeColor="text1"/>
              </w:rPr>
            </w:pPr>
            <w:r w:rsidRPr="00286216">
              <w:rPr>
                <w:color w:val="000000" w:themeColor="text1"/>
              </w:rPr>
              <w:t>9. Посадові особи професійного учасника ринків капіталу та організованих товарних ринків та особи, які мають істотну участь у такому учаснику, зобов’язані протягом усього часу, коли вони зберігають свій статус або мають істотну участь у професійному учасникові ринків капіталу та організованих товарних ринків, відповідати вимогам, установленим законом та нормативно-правовими актами Національної комісії з цінних паперів та фондового ринку.</w:t>
            </w:r>
          </w:p>
        </w:tc>
        <w:tc>
          <w:tcPr>
            <w:tcW w:w="3686" w:type="dxa"/>
          </w:tcPr>
          <w:p w14:paraId="6E4EDBE9" w14:textId="46348297" w:rsidR="00291EAB" w:rsidRPr="00286216" w:rsidRDefault="00291EAB" w:rsidP="00291EA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681</w:t>
            </w:r>
            <w:r w:rsidRPr="00286216">
              <w:rPr>
                <w:color w:val="000000" w:themeColor="text1"/>
              </w:rPr>
              <w:fldChar w:fldCharType="end"/>
            </w:r>
            <w:r w:rsidRPr="00286216">
              <w:rPr>
                <w:color w:val="000000" w:themeColor="text1"/>
              </w:rPr>
              <w:t>-Н.д.Шахов С.В. (Реєстр.картка №114)</w:t>
            </w:r>
          </w:p>
          <w:p w14:paraId="6257775F" w14:textId="77777777" w:rsidR="00291EAB" w:rsidRPr="00286216" w:rsidRDefault="00291EAB" w:rsidP="00291EAB">
            <w:pPr>
              <w:pStyle w:val="StyleProp"/>
              <w:spacing w:line="180" w:lineRule="exact"/>
              <w:rPr>
                <w:color w:val="000000" w:themeColor="text1"/>
                <w:spacing w:val="-4"/>
                <w:szCs w:val="18"/>
              </w:rPr>
            </w:pPr>
            <w:r w:rsidRPr="00286216">
              <w:rPr>
                <w:color w:val="000000" w:themeColor="text1"/>
                <w:spacing w:val="-4"/>
              </w:rPr>
              <w:t>У ч.9 ст. 67 слова "та нормативно-правовими актами Національної комісії з цінних паперів та фондового ринку" виключити.</w:t>
            </w:r>
          </w:p>
        </w:tc>
        <w:tc>
          <w:tcPr>
            <w:tcW w:w="1987" w:type="dxa"/>
          </w:tcPr>
          <w:p w14:paraId="508B6FEC" w14:textId="77777777" w:rsidR="00291EAB" w:rsidRPr="00286216" w:rsidRDefault="00291EAB" w:rsidP="00291EAB">
            <w:pPr>
              <w:pStyle w:val="StyleWisnow"/>
              <w:spacing w:line="180" w:lineRule="exact"/>
              <w:rPr>
                <w:color w:val="000000" w:themeColor="text1"/>
              </w:rPr>
            </w:pPr>
            <w:r w:rsidRPr="00286216">
              <w:rPr>
                <w:color w:val="000000" w:themeColor="text1"/>
              </w:rPr>
              <w:t>Відхилено</w:t>
            </w:r>
          </w:p>
          <w:p w14:paraId="1051869B" w14:textId="77777777" w:rsidR="00291EAB" w:rsidRPr="00286216" w:rsidRDefault="00291EAB" w:rsidP="00291EAB">
            <w:pPr>
              <w:pStyle w:val="StyleWisnow"/>
              <w:spacing w:line="180" w:lineRule="exact"/>
              <w:rPr>
                <w:color w:val="000000" w:themeColor="text1"/>
                <w:spacing w:val="-6"/>
              </w:rPr>
            </w:pPr>
            <w:r w:rsidRPr="00286216">
              <w:rPr>
                <w:color w:val="000000" w:themeColor="text1"/>
                <w:spacing w:val="-2"/>
              </w:rPr>
              <w:t>ліцензії на провадження</w:t>
            </w:r>
            <w:r w:rsidRPr="00286216">
              <w:rPr>
                <w:color w:val="000000" w:themeColor="text1"/>
              </w:rPr>
              <w:t xml:space="preserve"> професійної діяльності є безстроковими</w:t>
            </w:r>
            <w:r w:rsidRPr="00286216">
              <w:rPr>
                <w:color w:val="000000" w:themeColor="text1"/>
                <w:spacing w:val="-12"/>
              </w:rPr>
              <w:t xml:space="preserve">, </w:t>
            </w:r>
            <w:r w:rsidRPr="00286216">
              <w:rPr>
                <w:color w:val="000000" w:themeColor="text1"/>
                <w:spacing w:val="-6"/>
              </w:rPr>
              <w:t>відтак є необхідність довгострокової можливості оперативного регулювання окремих відповідних засад діяльності професійних учасників</w:t>
            </w:r>
          </w:p>
        </w:tc>
        <w:tc>
          <w:tcPr>
            <w:tcW w:w="4818" w:type="dxa"/>
          </w:tcPr>
          <w:p w14:paraId="22A5A1EE" w14:textId="77777777" w:rsidR="00291EAB" w:rsidRPr="00286216" w:rsidRDefault="00291EAB" w:rsidP="00291EAB">
            <w:pPr>
              <w:pStyle w:val="StyleZakonu"/>
              <w:rPr>
                <w:color w:val="000000" w:themeColor="text1"/>
              </w:rPr>
            </w:pPr>
          </w:p>
        </w:tc>
      </w:tr>
      <w:tr w:rsidR="00826C07" w:rsidRPr="00286216" w14:paraId="073EA850" w14:textId="77777777" w:rsidTr="00091AA5">
        <w:tc>
          <w:tcPr>
            <w:tcW w:w="576" w:type="dxa"/>
          </w:tcPr>
          <w:p w14:paraId="48642DB9" w14:textId="77777777" w:rsidR="00826C07" w:rsidRPr="00286216" w:rsidRDefault="00826C07" w:rsidP="00826C07">
            <w:pPr>
              <w:pStyle w:val="StyleWisnow"/>
              <w:rPr>
                <w:color w:val="000000" w:themeColor="text1"/>
              </w:rPr>
            </w:pPr>
            <w:bookmarkStart w:id="913" w:name="n1189" w:colFirst="0" w:colLast="0"/>
            <w:bookmarkEnd w:id="912"/>
            <w:r w:rsidRPr="00286216">
              <w:rPr>
                <w:color w:val="000000" w:themeColor="text1"/>
              </w:rPr>
              <w:t>1189.</w:t>
            </w:r>
          </w:p>
        </w:tc>
        <w:tc>
          <w:tcPr>
            <w:tcW w:w="4818" w:type="dxa"/>
          </w:tcPr>
          <w:p w14:paraId="463AFF27" w14:textId="77777777" w:rsidR="00826C07" w:rsidRPr="00286216" w:rsidRDefault="00826C07" w:rsidP="00826C07">
            <w:pPr>
              <w:pStyle w:val="StyleZakonu"/>
              <w:rPr>
                <w:color w:val="000000" w:themeColor="text1"/>
              </w:rPr>
            </w:pPr>
            <w:r w:rsidRPr="00286216">
              <w:rPr>
                <w:color w:val="000000" w:themeColor="text1"/>
              </w:rPr>
              <w:t>10. Особи, винні у порушенні вимог, зазначених у частині першій цієї статті, несуть цивільно-правову, адміністративну або кримінальну відповідальність згідно із законом.</w:t>
            </w:r>
          </w:p>
        </w:tc>
        <w:tc>
          <w:tcPr>
            <w:tcW w:w="3686" w:type="dxa"/>
          </w:tcPr>
          <w:p w14:paraId="605B590D" w14:textId="1BBFA952"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682</w:t>
            </w:r>
            <w:r w:rsidRPr="00286216">
              <w:rPr>
                <w:color w:val="000000" w:themeColor="text1"/>
              </w:rPr>
              <w:fldChar w:fldCharType="end"/>
            </w:r>
            <w:r w:rsidRPr="00286216">
              <w:rPr>
                <w:color w:val="000000" w:themeColor="text1"/>
              </w:rPr>
              <w:t>-Н.д.Шахов С.В. (Реєстр.картка №114)</w:t>
            </w:r>
          </w:p>
          <w:p w14:paraId="2B74386B" w14:textId="77777777" w:rsidR="00826C07" w:rsidRPr="00286216" w:rsidRDefault="00826C07" w:rsidP="00826C07">
            <w:pPr>
              <w:pStyle w:val="StyleProp"/>
              <w:spacing w:line="180" w:lineRule="exact"/>
              <w:rPr>
                <w:color w:val="000000" w:themeColor="text1"/>
                <w:spacing w:val="-2"/>
              </w:rPr>
            </w:pPr>
            <w:r w:rsidRPr="00286216">
              <w:rPr>
                <w:color w:val="000000" w:themeColor="text1"/>
                <w:spacing w:val="-2"/>
              </w:rPr>
              <w:t>Доповнити ст. 67 частиною такого змісту:</w:t>
            </w:r>
          </w:p>
          <w:p w14:paraId="24A51B8B" w14:textId="77777777" w:rsidR="00826C07" w:rsidRPr="00286216" w:rsidRDefault="00826C07" w:rsidP="00826C07">
            <w:pPr>
              <w:pStyle w:val="StyleProp"/>
              <w:spacing w:line="180" w:lineRule="exact"/>
              <w:rPr>
                <w:color w:val="000000" w:themeColor="text1"/>
                <w:spacing w:val="-4"/>
                <w:szCs w:val="18"/>
              </w:rPr>
            </w:pPr>
            <w:r w:rsidRPr="00286216">
              <w:rPr>
                <w:color w:val="000000" w:themeColor="text1"/>
                <w:spacing w:val="-2"/>
              </w:rPr>
              <w:t>"Вимоги, встановлені у цій статті,  застосовуються до товарних бірж, операторів регульованих товарних ринків та до професійних учасників ринків капіталу виключно в межах, що не суперечать Закону України «Про товарну біржу» та законодавству про товарні ринки".</w:t>
            </w:r>
          </w:p>
        </w:tc>
        <w:tc>
          <w:tcPr>
            <w:tcW w:w="1987" w:type="dxa"/>
          </w:tcPr>
          <w:p w14:paraId="6D1E5F96" w14:textId="7BA758C6" w:rsidR="00826C07" w:rsidRPr="00286216" w:rsidRDefault="00826C07" w:rsidP="005F3B94">
            <w:pPr>
              <w:pStyle w:val="StyleWisnow"/>
              <w:spacing w:line="180" w:lineRule="exact"/>
              <w:rPr>
                <w:color w:val="000000" w:themeColor="text1"/>
              </w:rPr>
            </w:pPr>
            <w:r w:rsidRPr="00286216">
              <w:rPr>
                <w:color w:val="000000" w:themeColor="text1"/>
              </w:rPr>
              <w:t>Відхилено</w:t>
            </w:r>
          </w:p>
          <w:p w14:paraId="33453CE1" w14:textId="50C6F21F" w:rsidR="00826C07" w:rsidRPr="00286216" w:rsidRDefault="00826C07" w:rsidP="005F3B94">
            <w:pPr>
              <w:pStyle w:val="StyleWisnow"/>
              <w:spacing w:line="180" w:lineRule="exact"/>
              <w:rPr>
                <w:color w:val="000000" w:themeColor="text1"/>
              </w:rPr>
            </w:pPr>
            <w:r w:rsidRPr="00286216">
              <w:rPr>
                <w:color w:val="000000" w:themeColor="text1"/>
              </w:rPr>
              <w:t>ринки капіталу та товарні біржі, відповідно до статті 2 належать до виключної регуляторної компетенції НКЦПФР, окрім того, ці субʼєкти мають однорівневі вимоги до професійної діяльності</w:t>
            </w:r>
          </w:p>
        </w:tc>
        <w:tc>
          <w:tcPr>
            <w:tcW w:w="4818" w:type="dxa"/>
          </w:tcPr>
          <w:p w14:paraId="023D5DA8" w14:textId="77777777" w:rsidR="00826C07" w:rsidRPr="00286216" w:rsidRDefault="00826C07" w:rsidP="00826C07">
            <w:pPr>
              <w:pStyle w:val="StyleZakonu"/>
              <w:rPr>
                <w:color w:val="000000" w:themeColor="text1"/>
              </w:rPr>
            </w:pPr>
          </w:p>
        </w:tc>
      </w:tr>
      <w:tr w:rsidR="00826C07" w:rsidRPr="00286216" w14:paraId="0FCA8485" w14:textId="77777777" w:rsidTr="00091AA5">
        <w:tc>
          <w:tcPr>
            <w:tcW w:w="576" w:type="dxa"/>
          </w:tcPr>
          <w:p w14:paraId="09CBB3F9" w14:textId="77777777" w:rsidR="00826C07" w:rsidRPr="00286216" w:rsidRDefault="00826C07" w:rsidP="00826C07">
            <w:pPr>
              <w:pStyle w:val="StyleWisnow"/>
              <w:rPr>
                <w:color w:val="000000" w:themeColor="text1"/>
              </w:rPr>
            </w:pPr>
            <w:bookmarkStart w:id="914" w:name="n1190" w:colFirst="0" w:colLast="0"/>
            <w:bookmarkEnd w:id="913"/>
            <w:r w:rsidRPr="00286216">
              <w:rPr>
                <w:color w:val="000000" w:themeColor="text1"/>
              </w:rPr>
              <w:t>1190.</w:t>
            </w:r>
          </w:p>
        </w:tc>
        <w:tc>
          <w:tcPr>
            <w:tcW w:w="4818" w:type="dxa"/>
          </w:tcPr>
          <w:p w14:paraId="66C416AF" w14:textId="77777777" w:rsidR="00826C07" w:rsidRPr="00286216" w:rsidRDefault="00826C07" w:rsidP="00826C07">
            <w:pPr>
              <w:pStyle w:val="StyleZakonu"/>
              <w:rPr>
                <w:color w:val="000000" w:themeColor="text1"/>
              </w:rPr>
            </w:pPr>
            <w:r w:rsidRPr="00286216">
              <w:rPr>
                <w:color w:val="000000" w:themeColor="text1"/>
              </w:rPr>
              <w:t>Стаття 68. Підстави для відмови у видачі ліцензії на провадження певного виду професійної діяльності на ринках капіталу та організованих товарних ринках</w:t>
            </w:r>
          </w:p>
        </w:tc>
        <w:tc>
          <w:tcPr>
            <w:tcW w:w="3686" w:type="dxa"/>
          </w:tcPr>
          <w:p w14:paraId="0BA73436" w14:textId="0D82E821"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683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88AB923" w14:textId="77777777" w:rsidR="00826C07" w:rsidRPr="00286216" w:rsidRDefault="00826C07" w:rsidP="00826C07">
            <w:pPr>
              <w:pStyle w:val="StyleProp"/>
              <w:spacing w:line="190" w:lineRule="exact"/>
              <w:rPr>
                <w:color w:val="000000" w:themeColor="text1"/>
                <w:spacing w:val="-2"/>
                <w:szCs w:val="18"/>
              </w:rPr>
            </w:pPr>
            <w:r w:rsidRPr="00286216">
              <w:rPr>
                <w:color w:val="000000" w:themeColor="text1"/>
                <w:spacing w:val="-2"/>
                <w:szCs w:val="18"/>
              </w:rPr>
              <w:t>Статтю 68 викласти в такій редакції:</w:t>
            </w:r>
          </w:p>
          <w:p w14:paraId="6CED2C0F" w14:textId="77777777" w:rsidR="00826C07" w:rsidRPr="00286216" w:rsidRDefault="00826C07" w:rsidP="00826C07">
            <w:pPr>
              <w:pStyle w:val="StyleProp"/>
              <w:spacing w:line="190" w:lineRule="exact"/>
              <w:rPr>
                <w:color w:val="000000" w:themeColor="text1"/>
                <w:spacing w:val="-2"/>
                <w:szCs w:val="18"/>
              </w:rPr>
            </w:pPr>
            <w:r w:rsidRPr="00286216">
              <w:rPr>
                <w:color w:val="000000" w:themeColor="text1"/>
                <w:spacing w:val="-2"/>
                <w:szCs w:val="18"/>
              </w:rPr>
              <w:t>«Стаття 68. Підстави для відмови у видачі ліцензії на провадження певного виду професійної діяльності на ринках капіталу та організованих товарних ринках</w:t>
            </w:r>
          </w:p>
          <w:p w14:paraId="61C02C11" w14:textId="77777777" w:rsidR="00826C07" w:rsidRPr="00286216" w:rsidRDefault="00826C07" w:rsidP="00826C07">
            <w:pPr>
              <w:pStyle w:val="StyleProp"/>
              <w:spacing w:line="190" w:lineRule="exact"/>
              <w:rPr>
                <w:color w:val="000000" w:themeColor="text1"/>
                <w:spacing w:val="-2"/>
                <w:szCs w:val="18"/>
              </w:rPr>
            </w:pPr>
            <w:r w:rsidRPr="00286216">
              <w:rPr>
                <w:color w:val="000000" w:themeColor="text1"/>
                <w:spacing w:val="-2"/>
                <w:szCs w:val="18"/>
              </w:rPr>
              <w:lastRenderedPageBreak/>
              <w:t>1. Національна комісія з цінних паперів та фондового ринку відмовляє у видачі ліцензії на провадження певного виду професійної діяльності на ринках капіталу та організованих товарних ринках, якщо:</w:t>
            </w:r>
          </w:p>
          <w:p w14:paraId="24676251" w14:textId="77777777" w:rsidR="00826C07" w:rsidRPr="00286216" w:rsidRDefault="00826C07" w:rsidP="00826C07">
            <w:pPr>
              <w:pStyle w:val="StyleProp"/>
              <w:spacing w:line="190" w:lineRule="exact"/>
              <w:rPr>
                <w:color w:val="000000" w:themeColor="text1"/>
                <w:spacing w:val="-2"/>
                <w:szCs w:val="18"/>
              </w:rPr>
            </w:pPr>
            <w:r w:rsidRPr="00286216">
              <w:rPr>
                <w:color w:val="000000" w:themeColor="text1"/>
                <w:spacing w:val="-2"/>
                <w:szCs w:val="18"/>
              </w:rPr>
              <w:t>1) документи, подані для видачі ліцензії, містять неповну та/або взаємовиключну та/або недостовірну інформацію та/або не відповідають вимогам законодавства. Документи можуть вважатися такими, що містять неповну та/або взаємовиключну інформацію виключно за умови, що Національна комісія з цінних паперів та фондового ринку у ході розгляду документів здійснила заходи, передбачені частиною 23 статті 67, спрямовані на отримання додаткової інформації та відповідних уточнень щодо неї.</w:t>
            </w:r>
          </w:p>
          <w:p w14:paraId="2D33849C" w14:textId="77777777" w:rsidR="00826C07" w:rsidRPr="00286216" w:rsidRDefault="00826C07" w:rsidP="00826C07">
            <w:pPr>
              <w:pStyle w:val="StyleProp"/>
              <w:spacing w:line="190" w:lineRule="exact"/>
              <w:rPr>
                <w:color w:val="000000" w:themeColor="text1"/>
                <w:szCs w:val="18"/>
              </w:rPr>
            </w:pPr>
            <w:r w:rsidRPr="00286216">
              <w:rPr>
                <w:color w:val="000000" w:themeColor="text1"/>
                <w:spacing w:val="-2"/>
                <w:szCs w:val="18"/>
              </w:rPr>
              <w:t>2) юридична особа, яка має намір провадити професійну діяльність на ринках капіталу та організованих товарних ринках, не відповідає вимогам закону та ліцензійним вимогам та/або вимогам до провадження певного виду професійної діяльності на ринках капіталу та організованих товарних ринках, встановленим законодавством».</w:t>
            </w:r>
          </w:p>
        </w:tc>
        <w:tc>
          <w:tcPr>
            <w:tcW w:w="1987" w:type="dxa"/>
          </w:tcPr>
          <w:p w14:paraId="5B62D622" w14:textId="457870D5" w:rsidR="00826C07" w:rsidRPr="00286216" w:rsidRDefault="00826C07" w:rsidP="00826C07">
            <w:pPr>
              <w:pStyle w:val="StyleWisnow"/>
              <w:rPr>
                <w:color w:val="000000" w:themeColor="text1"/>
              </w:rPr>
            </w:pPr>
            <w:r w:rsidRPr="00286216">
              <w:rPr>
                <w:color w:val="000000" w:themeColor="text1"/>
              </w:rPr>
              <w:lastRenderedPageBreak/>
              <w:t>Враховано</w:t>
            </w:r>
          </w:p>
        </w:tc>
        <w:tc>
          <w:tcPr>
            <w:tcW w:w="4818" w:type="dxa"/>
          </w:tcPr>
          <w:p w14:paraId="6120D07D" w14:textId="77777777" w:rsidR="00826C07" w:rsidRPr="00286216" w:rsidRDefault="00826C07" w:rsidP="00826C07">
            <w:pPr>
              <w:pStyle w:val="StyleZakonu"/>
              <w:rPr>
                <w:color w:val="000000" w:themeColor="text1"/>
              </w:rPr>
            </w:pPr>
            <w:r w:rsidRPr="00286216">
              <w:rPr>
                <w:color w:val="000000" w:themeColor="text1"/>
              </w:rPr>
              <w:t>Стаття 72. Підстави для відмови у видачі ліцензії на провадження певного виду діяльності на ринках капіталу та організованих товарних ринках</w:t>
            </w:r>
          </w:p>
          <w:p w14:paraId="42EB29D2" w14:textId="77777777" w:rsidR="00826C07" w:rsidRPr="00286216" w:rsidRDefault="00826C07" w:rsidP="00826C07">
            <w:pPr>
              <w:pStyle w:val="StyleZakonu"/>
              <w:rPr>
                <w:color w:val="000000" w:themeColor="text1"/>
              </w:rPr>
            </w:pPr>
            <w:r w:rsidRPr="00286216">
              <w:rPr>
                <w:color w:val="000000" w:themeColor="text1"/>
              </w:rPr>
              <w:t xml:space="preserve">1. Національна комісія з цінних паперів та фондового ринку відмовляє у видачі ліцензії на </w:t>
            </w:r>
            <w:r w:rsidRPr="00286216">
              <w:rPr>
                <w:color w:val="000000" w:themeColor="text1"/>
              </w:rPr>
              <w:lastRenderedPageBreak/>
              <w:t>провадження певного виду діяльності на ринках капіталу та організованих товарних ринках у разі, якщо:</w:t>
            </w:r>
          </w:p>
          <w:p w14:paraId="52B03208" w14:textId="77777777" w:rsidR="00826C07" w:rsidRPr="00286216" w:rsidRDefault="00826C07" w:rsidP="00826C07">
            <w:pPr>
              <w:pStyle w:val="StyleZakonu"/>
              <w:rPr>
                <w:color w:val="000000" w:themeColor="text1"/>
              </w:rPr>
            </w:pPr>
            <w:r w:rsidRPr="00286216">
              <w:rPr>
                <w:color w:val="000000" w:themeColor="text1"/>
              </w:rPr>
              <w:t>1) документи, подані для отримання ліцензії, містять неповну та/або взаємовиключну та/або недостовірну інформацію та/або не відповідають вимогам законодавства. Документи можуть вважатися такими, що містять неповну та/або взаємовиключну інформацію виключно за умови, що Національна комісія з цінних паперів та фондового ринку протягом строку розгляду таких документів здійснила заходи, передбачені частиною двадцять третьою статті 71 цього Закону, спрямовані на отримання додаткової інформації та відповідних уточнень щодо неї.</w:t>
            </w:r>
          </w:p>
          <w:p w14:paraId="27F226E2" w14:textId="4C7C4774" w:rsidR="00826C07" w:rsidRPr="00286216" w:rsidRDefault="00826C07" w:rsidP="00826C07">
            <w:pPr>
              <w:pStyle w:val="StyleZakonu"/>
              <w:rPr>
                <w:color w:val="000000" w:themeColor="text1"/>
              </w:rPr>
            </w:pPr>
            <w:r w:rsidRPr="00286216">
              <w:rPr>
                <w:color w:val="000000" w:themeColor="text1"/>
              </w:rPr>
              <w:t>2) юридична особа, яка має намір провадити професійну діяльність на ринках капіталу та організованих товарних ринках, не відповідає вимогам закону та ліцензійним вимогам та/або вимогам до провадження певного виду професійної діяльності на ринках капіталу та організованих товарних ринках, встановленим законодавством.</w:t>
            </w:r>
          </w:p>
        </w:tc>
      </w:tr>
      <w:tr w:rsidR="00826C07" w:rsidRPr="00286216" w14:paraId="68262ADC" w14:textId="77777777" w:rsidTr="00091AA5">
        <w:tc>
          <w:tcPr>
            <w:tcW w:w="576" w:type="dxa"/>
          </w:tcPr>
          <w:p w14:paraId="674AA2AE" w14:textId="77777777" w:rsidR="00826C07" w:rsidRPr="00286216" w:rsidRDefault="00826C07" w:rsidP="00826C07">
            <w:pPr>
              <w:pStyle w:val="StyleWisnow"/>
              <w:rPr>
                <w:color w:val="000000" w:themeColor="text1"/>
              </w:rPr>
            </w:pPr>
            <w:bookmarkStart w:id="915" w:name="n1191" w:colFirst="0" w:colLast="0"/>
            <w:bookmarkEnd w:id="914"/>
            <w:r w:rsidRPr="00286216">
              <w:rPr>
                <w:color w:val="000000" w:themeColor="text1"/>
              </w:rPr>
              <w:lastRenderedPageBreak/>
              <w:t>1191.</w:t>
            </w:r>
          </w:p>
        </w:tc>
        <w:tc>
          <w:tcPr>
            <w:tcW w:w="4818" w:type="dxa"/>
          </w:tcPr>
          <w:p w14:paraId="354FC82D" w14:textId="77777777" w:rsidR="00826C07" w:rsidRPr="00286216" w:rsidRDefault="00826C07" w:rsidP="00826C07">
            <w:pPr>
              <w:pStyle w:val="StyleZakonu"/>
              <w:rPr>
                <w:color w:val="000000" w:themeColor="text1"/>
              </w:rPr>
            </w:pPr>
            <w:r w:rsidRPr="00286216">
              <w:rPr>
                <w:color w:val="000000" w:themeColor="text1"/>
              </w:rPr>
              <w:t>1. Національна комісія з цінних паперів та фондового ринку відмовляє у видачі ліцензії на провадження певного виду професійної діяльності на ринках капіталу та організованих товарних ринках, якщо:</w:t>
            </w:r>
          </w:p>
        </w:tc>
        <w:tc>
          <w:tcPr>
            <w:tcW w:w="3686" w:type="dxa"/>
          </w:tcPr>
          <w:p w14:paraId="50BF2D74" w14:textId="6B79D8D8"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684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13FA371" w14:textId="77777777" w:rsidR="00826C07" w:rsidRPr="00286216" w:rsidRDefault="00826C07" w:rsidP="00D879F0">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Текст статті 68 викласти у такій редакції:</w:t>
            </w:r>
          </w:p>
          <w:p w14:paraId="116DF9E6" w14:textId="77777777" w:rsidR="00826C07" w:rsidRPr="00286216" w:rsidRDefault="00826C07" w:rsidP="00D879F0">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"1. Підставами для прийняття Національною комісією з цінних паперів та фондового ринку рішення про  відмову у видачі ліцензії на провадження певного виду професійної діяльності на ринках капіталу та організованих товарних ринках, є:</w:t>
            </w:r>
          </w:p>
          <w:p w14:paraId="4318A9D9" w14:textId="77777777" w:rsidR="00826C07" w:rsidRPr="00286216" w:rsidRDefault="00826C07" w:rsidP="00D879F0">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1) недостовірність поданих заявником відомостей;</w:t>
            </w:r>
          </w:p>
          <w:p w14:paraId="2438B3A3" w14:textId="77777777" w:rsidR="00826C07" w:rsidRPr="00286216" w:rsidRDefault="00826C07" w:rsidP="00D879F0">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2) невідповідність заявника та/або поданих документів вимогам закону та/або ліцензійних умов провадження відповідного виду професійної діяльності на ринках капіталу та організованих товарних ринках.</w:t>
            </w:r>
          </w:p>
          <w:p w14:paraId="2E504AD5" w14:textId="77777777" w:rsidR="00826C07" w:rsidRPr="00286216" w:rsidRDefault="00826C07" w:rsidP="00D879F0">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У разі прийняття рішення про відмову у видачі ліцензії Національна комісія з цінних паперів та фондового ринку повідомляє про це заявника із зазначенням підстав для відмови.</w:t>
            </w:r>
          </w:p>
          <w:p w14:paraId="5953A651" w14:textId="77777777" w:rsidR="00826C07" w:rsidRPr="00286216" w:rsidRDefault="00826C07" w:rsidP="00D879F0">
            <w:pPr>
              <w:pStyle w:val="StyleProp"/>
              <w:spacing w:line="180" w:lineRule="exact"/>
              <w:rPr>
                <w:rFonts w:eastAsia="Calibri"/>
                <w:bCs/>
                <w:color w:val="000000" w:themeColor="text1"/>
                <w:szCs w:val="18"/>
                <w:lang w:eastAsia="en-US"/>
              </w:rPr>
            </w:pPr>
            <w:r w:rsidRPr="00286216">
              <w:rPr>
                <w:rFonts w:eastAsia="Calibri"/>
                <w:bCs/>
                <w:color w:val="000000" w:themeColor="text1"/>
                <w:szCs w:val="18"/>
                <w:lang w:eastAsia="en-US"/>
              </w:rPr>
              <w:t xml:space="preserve">2.При повторному розгляді документів не допускається відмова у видачі ліцензії з причин, раніше не зазначених у рішенні про відмову у видачі ліцензії (крім неусунення чи усунення не в повному обсязі здобувачем ліцензії причин, що стали підставою для попередньої відмови; наявності в новій інформації, поданій здобувачем ліцензії, підстав для прийняття рішення про відмову у </w:t>
            </w:r>
            <w:r w:rsidRPr="00286216">
              <w:rPr>
                <w:rFonts w:eastAsia="Calibri"/>
                <w:bCs/>
                <w:color w:val="000000" w:themeColor="text1"/>
                <w:szCs w:val="18"/>
                <w:lang w:eastAsia="en-US"/>
              </w:rPr>
              <w:lastRenderedPageBreak/>
              <w:t>видачі ліцензії) за умови, що на момент повторного розгляду раніше подані документи зберегли свою актуальність."</w:t>
            </w:r>
          </w:p>
        </w:tc>
        <w:tc>
          <w:tcPr>
            <w:tcW w:w="1987" w:type="dxa"/>
          </w:tcPr>
          <w:p w14:paraId="79206290"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Враховано частково</w:t>
            </w:r>
          </w:p>
          <w:p w14:paraId="6A723927" w14:textId="7F9E6A79" w:rsidR="00826C07" w:rsidRPr="00286216" w:rsidRDefault="00826C07" w:rsidP="00826C07">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p w14:paraId="3B077D56" w14:textId="77777777" w:rsidR="00826C07" w:rsidRPr="00286216" w:rsidRDefault="00826C07" w:rsidP="00826C07">
            <w:pPr>
              <w:pStyle w:val="StyleWisnow"/>
              <w:rPr>
                <w:color w:val="000000" w:themeColor="text1"/>
              </w:rPr>
            </w:pPr>
          </w:p>
        </w:tc>
        <w:tc>
          <w:tcPr>
            <w:tcW w:w="4818" w:type="dxa"/>
          </w:tcPr>
          <w:p w14:paraId="296022DC" w14:textId="56CE1238" w:rsidR="00826C07" w:rsidRPr="00286216" w:rsidRDefault="00826C07" w:rsidP="00826C07">
            <w:pPr>
              <w:pStyle w:val="StyleZakonu"/>
              <w:rPr>
                <w:color w:val="000000" w:themeColor="text1"/>
              </w:rPr>
            </w:pPr>
            <w:r w:rsidRPr="00286216">
              <w:rPr>
                <w:color w:val="000000" w:themeColor="text1"/>
              </w:rPr>
              <w:t>2. Рішення Національної комісії з цінних паперів та фондового ринку про відмову у видачі ліцензії повинно бути мотивованим із зазначення конкретної причини, що зумовила його прийняття.</w:t>
            </w:r>
          </w:p>
        </w:tc>
      </w:tr>
      <w:tr w:rsidR="00826C07" w:rsidRPr="00286216" w14:paraId="2310E530" w14:textId="77777777" w:rsidTr="00091AA5">
        <w:tc>
          <w:tcPr>
            <w:tcW w:w="576" w:type="dxa"/>
          </w:tcPr>
          <w:p w14:paraId="1B472B11" w14:textId="77777777" w:rsidR="00826C07" w:rsidRPr="00286216" w:rsidRDefault="00826C07" w:rsidP="00826C07">
            <w:pPr>
              <w:pStyle w:val="StyleWisnow"/>
              <w:rPr>
                <w:color w:val="000000" w:themeColor="text1"/>
              </w:rPr>
            </w:pPr>
          </w:p>
        </w:tc>
        <w:tc>
          <w:tcPr>
            <w:tcW w:w="4818" w:type="dxa"/>
          </w:tcPr>
          <w:p w14:paraId="144BE94B" w14:textId="77777777" w:rsidR="00826C07" w:rsidRPr="00286216" w:rsidRDefault="00826C07" w:rsidP="00826C07">
            <w:pPr>
              <w:pStyle w:val="StyleZakonu"/>
              <w:rPr>
                <w:color w:val="000000" w:themeColor="text1"/>
              </w:rPr>
            </w:pPr>
          </w:p>
        </w:tc>
        <w:tc>
          <w:tcPr>
            <w:tcW w:w="3686" w:type="dxa"/>
          </w:tcPr>
          <w:p w14:paraId="3F41ABFA" w14:textId="331D743C"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685</w:t>
            </w:r>
            <w:r w:rsidRPr="00286216">
              <w:rPr>
                <w:color w:val="000000" w:themeColor="text1"/>
              </w:rPr>
              <w:fldChar w:fldCharType="end"/>
            </w:r>
            <w:r w:rsidRPr="00286216">
              <w:rPr>
                <w:color w:val="000000" w:themeColor="text1"/>
              </w:rPr>
              <w:t>-Н.д.Шахов С.В. (Реєстр.картка №114)</w:t>
            </w:r>
          </w:p>
          <w:p w14:paraId="556F6578" w14:textId="77777777" w:rsidR="00826C07" w:rsidRPr="00286216" w:rsidRDefault="00826C07" w:rsidP="00826C07">
            <w:pPr>
              <w:pStyle w:val="StyleProp"/>
              <w:spacing w:line="180" w:lineRule="exact"/>
              <w:rPr>
                <w:color w:val="000000" w:themeColor="text1"/>
                <w:spacing w:val="-2"/>
                <w:szCs w:val="18"/>
              </w:rPr>
            </w:pPr>
            <w:r w:rsidRPr="00286216">
              <w:rPr>
                <w:color w:val="000000" w:themeColor="text1"/>
                <w:spacing w:val="-2"/>
                <w:szCs w:val="18"/>
              </w:rPr>
              <w:t>Абз. 1 ст. 68 викласти у редакції:</w:t>
            </w:r>
          </w:p>
          <w:p w14:paraId="2D9489A8" w14:textId="77777777" w:rsidR="00826C07" w:rsidRPr="00286216" w:rsidRDefault="00826C07" w:rsidP="00826C07">
            <w:pPr>
              <w:pStyle w:val="StyleProp"/>
              <w:spacing w:line="180" w:lineRule="exact"/>
              <w:rPr>
                <w:color w:val="000000" w:themeColor="text1"/>
                <w:szCs w:val="18"/>
              </w:rPr>
            </w:pPr>
            <w:r w:rsidRPr="00286216">
              <w:rPr>
                <w:color w:val="000000" w:themeColor="text1"/>
                <w:spacing w:val="-2"/>
                <w:szCs w:val="18"/>
              </w:rPr>
              <w:t>"1. Регулятор відповідного ринку за умови належного обґрунтування та підтвердження фактів відмовляє у видачі ліцензії (або іншого дозвільного документу, визначеного законодавством про товарні ринки) на провадження певного виду професійної діяльності на ринках капіталу та організованих товарних ринках, якщо".</w:t>
            </w:r>
          </w:p>
        </w:tc>
        <w:tc>
          <w:tcPr>
            <w:tcW w:w="1987" w:type="dxa"/>
          </w:tcPr>
          <w:p w14:paraId="3671BC70" w14:textId="77777777" w:rsidR="00826C07" w:rsidRPr="00286216" w:rsidRDefault="00826C07" w:rsidP="00826C07">
            <w:pPr>
              <w:pStyle w:val="StyleWisnow"/>
              <w:spacing w:line="200" w:lineRule="exact"/>
              <w:rPr>
                <w:color w:val="000000" w:themeColor="text1"/>
              </w:rPr>
            </w:pPr>
            <w:r w:rsidRPr="00286216">
              <w:rPr>
                <w:color w:val="000000" w:themeColor="text1"/>
              </w:rPr>
              <w:t>Відхилено</w:t>
            </w:r>
          </w:p>
          <w:p w14:paraId="4456D653" w14:textId="5A1B8AFA" w:rsidR="00826C07" w:rsidRPr="00286216" w:rsidRDefault="00826C07" w:rsidP="00826C07">
            <w:pPr>
              <w:pStyle w:val="StyleWisnow"/>
              <w:spacing w:line="200" w:lineRule="exact"/>
              <w:rPr>
                <w:color w:val="000000" w:themeColor="text1"/>
              </w:rPr>
            </w:pPr>
            <w:r w:rsidRPr="00286216">
              <w:rPr>
                <w:color w:val="000000" w:themeColor="text1"/>
                <w:spacing w:val="-4"/>
              </w:rPr>
              <w:t>не передбачені інші дозвільні документи як підстави провадження професійної діяльності, окрім ліцензій, що видаються єдиним регулятором таких ринків - НКЦПФР</w:t>
            </w:r>
          </w:p>
        </w:tc>
        <w:tc>
          <w:tcPr>
            <w:tcW w:w="4818" w:type="dxa"/>
          </w:tcPr>
          <w:p w14:paraId="52690C7C" w14:textId="77777777" w:rsidR="00826C07" w:rsidRPr="00286216" w:rsidRDefault="00826C07" w:rsidP="00826C07">
            <w:pPr>
              <w:pStyle w:val="StyleZakonu"/>
              <w:rPr>
                <w:color w:val="000000" w:themeColor="text1"/>
              </w:rPr>
            </w:pPr>
          </w:p>
        </w:tc>
      </w:tr>
      <w:tr w:rsidR="00826C07" w:rsidRPr="00286216" w14:paraId="1413F83A" w14:textId="77777777" w:rsidTr="00091AA5">
        <w:tc>
          <w:tcPr>
            <w:tcW w:w="576" w:type="dxa"/>
          </w:tcPr>
          <w:p w14:paraId="5A352ABE" w14:textId="77777777" w:rsidR="00826C07" w:rsidRPr="00286216" w:rsidRDefault="00826C07" w:rsidP="00826C07">
            <w:pPr>
              <w:pStyle w:val="StyleWisnow"/>
              <w:rPr>
                <w:color w:val="000000" w:themeColor="text1"/>
              </w:rPr>
            </w:pPr>
            <w:bookmarkStart w:id="916" w:name="n1192" w:colFirst="0" w:colLast="0"/>
            <w:bookmarkEnd w:id="915"/>
            <w:r w:rsidRPr="00286216">
              <w:rPr>
                <w:color w:val="000000" w:themeColor="text1"/>
              </w:rPr>
              <w:t>1192.</w:t>
            </w:r>
          </w:p>
        </w:tc>
        <w:tc>
          <w:tcPr>
            <w:tcW w:w="4818" w:type="dxa"/>
          </w:tcPr>
          <w:p w14:paraId="44B59FBA" w14:textId="77777777" w:rsidR="00826C07" w:rsidRPr="00286216" w:rsidRDefault="00826C07" w:rsidP="00826C07">
            <w:pPr>
              <w:pStyle w:val="StyleZakonu"/>
              <w:rPr>
                <w:color w:val="000000" w:themeColor="text1"/>
              </w:rPr>
            </w:pPr>
            <w:r w:rsidRPr="00286216">
              <w:rPr>
                <w:color w:val="000000" w:themeColor="text1"/>
              </w:rPr>
              <w:t>1) документи, подані для видачі ліцензії, містять неповну та/або взаємовиключну та/або недостовірну інформацію та/або не відповідають вимогам законодавства;</w:t>
            </w:r>
          </w:p>
        </w:tc>
        <w:tc>
          <w:tcPr>
            <w:tcW w:w="3686" w:type="dxa"/>
          </w:tcPr>
          <w:p w14:paraId="06BD8135" w14:textId="1D4987D0"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686</w:t>
            </w:r>
            <w:r w:rsidRPr="00286216">
              <w:rPr>
                <w:color w:val="000000" w:themeColor="text1"/>
              </w:rPr>
              <w:fldChar w:fldCharType="end"/>
            </w:r>
            <w:r w:rsidRPr="00286216">
              <w:rPr>
                <w:color w:val="000000" w:themeColor="text1"/>
              </w:rPr>
              <w:t>-Н.д.Шахов С.В. (Реєстр.картка №114)</w:t>
            </w:r>
          </w:p>
          <w:p w14:paraId="2F12918A" w14:textId="77777777" w:rsidR="00826C07" w:rsidRPr="00286216" w:rsidRDefault="00826C07" w:rsidP="00826C07">
            <w:pPr>
              <w:pStyle w:val="StyleProp"/>
              <w:spacing w:line="180" w:lineRule="exact"/>
              <w:rPr>
                <w:color w:val="000000" w:themeColor="text1"/>
                <w:spacing w:val="-3"/>
              </w:rPr>
            </w:pPr>
            <w:r w:rsidRPr="00286216">
              <w:rPr>
                <w:color w:val="000000" w:themeColor="text1"/>
                <w:spacing w:val="-3"/>
              </w:rPr>
              <w:t>П.1 ч.1 ст.68 після слова "ліцензії" доповнити словами "(або іншого дозвільного документу, визначеного законодавством про товарні ринки)".</w:t>
            </w:r>
          </w:p>
        </w:tc>
        <w:tc>
          <w:tcPr>
            <w:tcW w:w="1987" w:type="dxa"/>
          </w:tcPr>
          <w:p w14:paraId="76663951" w14:textId="77777777" w:rsidR="00826C07" w:rsidRPr="00286216" w:rsidRDefault="00826C07" w:rsidP="00826C07">
            <w:pPr>
              <w:pStyle w:val="StyleWisnow"/>
              <w:spacing w:line="200" w:lineRule="exact"/>
              <w:rPr>
                <w:color w:val="000000" w:themeColor="text1"/>
                <w:spacing w:val="-4"/>
              </w:rPr>
            </w:pPr>
            <w:r w:rsidRPr="00286216">
              <w:rPr>
                <w:color w:val="000000" w:themeColor="text1"/>
                <w:spacing w:val="-4"/>
              </w:rPr>
              <w:t>Відхилено</w:t>
            </w:r>
          </w:p>
          <w:p w14:paraId="4AB1BEA1" w14:textId="77777777" w:rsidR="00826C07" w:rsidRPr="00286216" w:rsidRDefault="00826C07" w:rsidP="00826C07">
            <w:pPr>
              <w:pStyle w:val="StyleWisnow"/>
              <w:spacing w:line="200" w:lineRule="exact"/>
              <w:rPr>
                <w:color w:val="000000" w:themeColor="text1"/>
                <w:spacing w:val="-6"/>
              </w:rPr>
            </w:pPr>
            <w:r w:rsidRPr="00286216">
              <w:rPr>
                <w:color w:val="000000" w:themeColor="text1"/>
                <w:spacing w:val="-6"/>
              </w:rPr>
              <w:t>інші дозвільні документи законодавством не передбачені</w:t>
            </w:r>
          </w:p>
        </w:tc>
        <w:tc>
          <w:tcPr>
            <w:tcW w:w="4818" w:type="dxa"/>
          </w:tcPr>
          <w:p w14:paraId="1FEAF70A" w14:textId="77777777" w:rsidR="00826C07" w:rsidRPr="00286216" w:rsidRDefault="00826C07" w:rsidP="00826C07">
            <w:pPr>
              <w:pStyle w:val="StyleZakonu"/>
              <w:rPr>
                <w:color w:val="000000" w:themeColor="text1"/>
              </w:rPr>
            </w:pPr>
          </w:p>
        </w:tc>
      </w:tr>
      <w:tr w:rsidR="00826C07" w:rsidRPr="00286216" w14:paraId="527ABCA1" w14:textId="77777777" w:rsidTr="00091AA5">
        <w:tc>
          <w:tcPr>
            <w:tcW w:w="576" w:type="dxa"/>
          </w:tcPr>
          <w:p w14:paraId="5D268862" w14:textId="77777777" w:rsidR="00826C07" w:rsidRPr="00286216" w:rsidRDefault="00826C07" w:rsidP="00826C07">
            <w:pPr>
              <w:pStyle w:val="StyleWisnow"/>
              <w:rPr>
                <w:color w:val="000000" w:themeColor="text1"/>
              </w:rPr>
            </w:pPr>
            <w:bookmarkStart w:id="917" w:name="n1193" w:colFirst="0" w:colLast="0"/>
            <w:bookmarkEnd w:id="916"/>
            <w:r w:rsidRPr="00286216">
              <w:rPr>
                <w:color w:val="000000" w:themeColor="text1"/>
              </w:rPr>
              <w:t>1193.</w:t>
            </w:r>
          </w:p>
        </w:tc>
        <w:tc>
          <w:tcPr>
            <w:tcW w:w="4818" w:type="dxa"/>
          </w:tcPr>
          <w:p w14:paraId="2A4B0419" w14:textId="77777777" w:rsidR="00826C07" w:rsidRPr="00286216" w:rsidRDefault="00826C07" w:rsidP="00826C07">
            <w:pPr>
              <w:pStyle w:val="StyleZakonu"/>
              <w:rPr>
                <w:color w:val="000000" w:themeColor="text1"/>
              </w:rPr>
            </w:pPr>
            <w:r w:rsidRPr="00286216">
              <w:rPr>
                <w:color w:val="000000" w:themeColor="text1"/>
              </w:rPr>
              <w:t>2) ділова репутація хоча б однієї посадової особи юридичної особи, яка має намір провадити професійну діяльність на ринках капіталу та організованих товарних ринках, та/або керівників підрозділів, які входять до підсистем комплаєнсу, управління ризиками або внутрішнього аудиту(осіб, відповідальних за забезпечення виконання функцій комплаєнсу, управління ризиками, внутрішнього аудиту), та/або учасників (акціонерів) з істотною участю такої особи не відповідає вимогам, установленим Національною комісією з цінних паперів та фондового ринку;</w:t>
            </w:r>
          </w:p>
        </w:tc>
        <w:tc>
          <w:tcPr>
            <w:tcW w:w="3686" w:type="dxa"/>
          </w:tcPr>
          <w:p w14:paraId="1AE90D86" w14:textId="7D25374F"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687</w:t>
            </w:r>
            <w:r w:rsidRPr="00286216">
              <w:rPr>
                <w:color w:val="000000" w:themeColor="text1"/>
              </w:rPr>
              <w:fldChar w:fldCharType="end"/>
            </w:r>
            <w:r w:rsidRPr="00286216">
              <w:rPr>
                <w:color w:val="000000" w:themeColor="text1"/>
              </w:rPr>
              <w:t>-Н.д.Шахов С.В. (Реєстр.картка №114)</w:t>
            </w:r>
          </w:p>
          <w:p w14:paraId="79B88A5E" w14:textId="77777777" w:rsidR="00826C07" w:rsidRPr="00286216" w:rsidRDefault="00826C07" w:rsidP="00826C07">
            <w:pPr>
              <w:pStyle w:val="StyleProp"/>
              <w:spacing w:line="190" w:lineRule="exact"/>
              <w:rPr>
                <w:color w:val="000000" w:themeColor="text1"/>
                <w:spacing w:val="-3"/>
              </w:rPr>
            </w:pPr>
            <w:r w:rsidRPr="00286216">
              <w:rPr>
                <w:color w:val="000000" w:themeColor="text1"/>
                <w:spacing w:val="-3"/>
              </w:rPr>
              <w:t>У п.2 ч.1 ст.68 слова "Національною комісією з цінних паперів та фондового ринку" замінити словами "регулятором відповідного ринку".</w:t>
            </w:r>
          </w:p>
        </w:tc>
        <w:tc>
          <w:tcPr>
            <w:tcW w:w="1987" w:type="dxa"/>
          </w:tcPr>
          <w:p w14:paraId="37A13D4C" w14:textId="77777777" w:rsidR="00826C07" w:rsidRPr="00286216" w:rsidRDefault="00826C07" w:rsidP="00826C07">
            <w:pPr>
              <w:pStyle w:val="StyleWisnow"/>
              <w:spacing w:line="200" w:lineRule="exact"/>
              <w:rPr>
                <w:color w:val="000000" w:themeColor="text1"/>
                <w:spacing w:val="-4"/>
              </w:rPr>
            </w:pPr>
            <w:r w:rsidRPr="00286216">
              <w:rPr>
                <w:color w:val="000000" w:themeColor="text1"/>
                <w:spacing w:val="-4"/>
              </w:rPr>
              <w:t>Відхилено</w:t>
            </w:r>
          </w:p>
          <w:p w14:paraId="3FB95DE8" w14:textId="1B1D8850" w:rsidR="00826C07" w:rsidRPr="00286216" w:rsidRDefault="00826C07" w:rsidP="00826C07">
            <w:pPr>
              <w:pStyle w:val="StyleWisnow"/>
              <w:spacing w:line="200" w:lineRule="exact"/>
              <w:rPr>
                <w:color w:val="000000" w:themeColor="text1"/>
              </w:rPr>
            </w:pPr>
            <w:r w:rsidRPr="00286216">
              <w:rPr>
                <w:color w:val="000000" w:themeColor="text1"/>
                <w:spacing w:val="-4"/>
              </w:rPr>
              <w:t>не передбачені інші дозвільні документи як підстави провадження професійної діяльності на ринках капіталу та організованих товарних ринках, окрім ліцензій, що видаються єдиним регулятором таких ринків - НКЦПФР</w:t>
            </w:r>
          </w:p>
        </w:tc>
        <w:tc>
          <w:tcPr>
            <w:tcW w:w="4818" w:type="dxa"/>
          </w:tcPr>
          <w:p w14:paraId="45546A31" w14:textId="77777777" w:rsidR="00826C07" w:rsidRPr="00286216" w:rsidRDefault="00826C07" w:rsidP="00826C07">
            <w:pPr>
              <w:pStyle w:val="StyleZakonu"/>
              <w:rPr>
                <w:color w:val="000000" w:themeColor="text1"/>
              </w:rPr>
            </w:pPr>
          </w:p>
        </w:tc>
      </w:tr>
      <w:tr w:rsidR="00826C07" w:rsidRPr="00286216" w14:paraId="1057ED50" w14:textId="77777777" w:rsidTr="00091AA5">
        <w:tc>
          <w:tcPr>
            <w:tcW w:w="576" w:type="dxa"/>
          </w:tcPr>
          <w:p w14:paraId="49A35CBB" w14:textId="77777777" w:rsidR="00826C07" w:rsidRPr="00286216" w:rsidRDefault="00826C07" w:rsidP="00826C07">
            <w:pPr>
              <w:pStyle w:val="StyleWisnow"/>
              <w:rPr>
                <w:color w:val="000000" w:themeColor="text1"/>
              </w:rPr>
            </w:pPr>
            <w:bookmarkStart w:id="918" w:name="n1194" w:colFirst="0" w:colLast="0"/>
            <w:bookmarkEnd w:id="917"/>
            <w:r w:rsidRPr="00286216">
              <w:rPr>
                <w:color w:val="000000" w:themeColor="text1"/>
              </w:rPr>
              <w:t>1194.</w:t>
            </w:r>
          </w:p>
        </w:tc>
        <w:tc>
          <w:tcPr>
            <w:tcW w:w="4818" w:type="dxa"/>
          </w:tcPr>
          <w:p w14:paraId="1B294F86" w14:textId="77777777" w:rsidR="00826C07" w:rsidRPr="00286216" w:rsidRDefault="00826C07" w:rsidP="00826C07">
            <w:pPr>
              <w:pStyle w:val="StyleZakonu"/>
              <w:rPr>
                <w:color w:val="000000" w:themeColor="text1"/>
              </w:rPr>
            </w:pPr>
            <w:r w:rsidRPr="00286216">
              <w:rPr>
                <w:color w:val="000000" w:themeColor="text1"/>
              </w:rPr>
              <w:t>3) структура власності юридичної особи не відповідає вимогам закону та нормативно-правових актів Національної комісії з цінних паперів та фондового ринку;</w:t>
            </w:r>
          </w:p>
        </w:tc>
        <w:tc>
          <w:tcPr>
            <w:tcW w:w="3686" w:type="dxa"/>
          </w:tcPr>
          <w:p w14:paraId="1ADC7623" w14:textId="69A0E7A8"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688</w:t>
            </w:r>
            <w:r w:rsidRPr="00286216">
              <w:rPr>
                <w:color w:val="000000" w:themeColor="text1"/>
              </w:rPr>
              <w:fldChar w:fldCharType="end"/>
            </w:r>
            <w:r w:rsidRPr="00286216">
              <w:rPr>
                <w:color w:val="000000" w:themeColor="text1"/>
              </w:rPr>
              <w:t>-Н.д.Шахов С.В. (Реєстр.картка №114)</w:t>
            </w:r>
          </w:p>
          <w:p w14:paraId="16ACE7DF" w14:textId="77777777" w:rsidR="00826C07" w:rsidRPr="00286216" w:rsidRDefault="00826C07" w:rsidP="00826C07">
            <w:pPr>
              <w:pStyle w:val="StyleProp"/>
              <w:spacing w:line="190" w:lineRule="exact"/>
              <w:rPr>
                <w:color w:val="000000" w:themeColor="text1"/>
                <w:spacing w:val="-3"/>
              </w:rPr>
            </w:pPr>
            <w:r w:rsidRPr="00286216">
              <w:rPr>
                <w:color w:val="000000" w:themeColor="text1"/>
                <w:spacing w:val="-3"/>
              </w:rPr>
              <w:t>У п.3 ч.1 ст.68 слова "та нормативно-правових актів Національної комісії з цінних паперів та фондового ринку" виключити.</w:t>
            </w:r>
          </w:p>
        </w:tc>
        <w:tc>
          <w:tcPr>
            <w:tcW w:w="1987" w:type="dxa"/>
          </w:tcPr>
          <w:p w14:paraId="0248109C" w14:textId="77777777" w:rsidR="00826C07" w:rsidRPr="00286216" w:rsidRDefault="00826C07" w:rsidP="00826C07">
            <w:pPr>
              <w:pStyle w:val="StyleWisnow"/>
              <w:spacing w:line="200" w:lineRule="exact"/>
              <w:rPr>
                <w:color w:val="000000" w:themeColor="text1"/>
              </w:rPr>
            </w:pPr>
            <w:r w:rsidRPr="00286216">
              <w:rPr>
                <w:color w:val="000000" w:themeColor="text1"/>
              </w:rPr>
              <w:t>Враховано</w:t>
            </w:r>
          </w:p>
          <w:p w14:paraId="21B1E5CC" w14:textId="7B67AA73" w:rsidR="00826C07" w:rsidRPr="00286216" w:rsidRDefault="00826C07" w:rsidP="00826C07">
            <w:pPr>
              <w:pStyle w:val="StyleWisnow"/>
              <w:spacing w:line="20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tc>
        <w:tc>
          <w:tcPr>
            <w:tcW w:w="4818" w:type="dxa"/>
          </w:tcPr>
          <w:p w14:paraId="40C994A2" w14:textId="77777777" w:rsidR="00826C07" w:rsidRPr="00286216" w:rsidRDefault="00826C07" w:rsidP="00826C07">
            <w:pPr>
              <w:pStyle w:val="StyleZakonu"/>
              <w:rPr>
                <w:color w:val="000000" w:themeColor="text1"/>
              </w:rPr>
            </w:pPr>
          </w:p>
        </w:tc>
      </w:tr>
      <w:tr w:rsidR="00826C07" w:rsidRPr="00286216" w14:paraId="408B2A7E" w14:textId="77777777" w:rsidTr="00091AA5">
        <w:tc>
          <w:tcPr>
            <w:tcW w:w="576" w:type="dxa"/>
          </w:tcPr>
          <w:p w14:paraId="1837BD1A" w14:textId="77777777" w:rsidR="00826C07" w:rsidRPr="00286216" w:rsidRDefault="00826C07" w:rsidP="00826C07">
            <w:pPr>
              <w:pStyle w:val="StyleWisnow"/>
              <w:rPr>
                <w:color w:val="000000" w:themeColor="text1"/>
              </w:rPr>
            </w:pPr>
            <w:bookmarkStart w:id="919" w:name="n1195" w:colFirst="0" w:colLast="0"/>
            <w:bookmarkEnd w:id="918"/>
            <w:r w:rsidRPr="00286216">
              <w:rPr>
                <w:color w:val="000000" w:themeColor="text1"/>
              </w:rPr>
              <w:t>1195.</w:t>
            </w:r>
          </w:p>
        </w:tc>
        <w:tc>
          <w:tcPr>
            <w:tcW w:w="4818" w:type="dxa"/>
          </w:tcPr>
          <w:p w14:paraId="2D5E5A46" w14:textId="77777777" w:rsidR="00826C07" w:rsidRPr="00286216" w:rsidRDefault="00826C07" w:rsidP="00826C07">
            <w:pPr>
              <w:pStyle w:val="StyleZakonu"/>
              <w:rPr>
                <w:color w:val="000000" w:themeColor="text1"/>
              </w:rPr>
            </w:pPr>
            <w:r w:rsidRPr="00286216">
              <w:rPr>
                <w:color w:val="000000" w:themeColor="text1"/>
              </w:rPr>
              <w:t>4) структура власності особи, яка має намір провадити професійну діяльність на ринках капіталу та організованих товарних ринках, та структура власності осіб, з якими вона пов’язана тісними зв’язками, перешкоджає здійсненню функцій Національної комісії з цінних паперів та фондового ринку. Структура власності є такою, що перешкоджає здійсненню функцій Національної комісії з цінних паперів та фондового ринку, якщо:</w:t>
            </w:r>
          </w:p>
        </w:tc>
        <w:tc>
          <w:tcPr>
            <w:tcW w:w="3686" w:type="dxa"/>
          </w:tcPr>
          <w:p w14:paraId="17BA0261" w14:textId="3499B1F2"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689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5F9F9A3" w14:textId="77777777" w:rsidR="00826C07" w:rsidRPr="00286216" w:rsidRDefault="00826C07" w:rsidP="00826C07">
            <w:pPr>
              <w:pStyle w:val="StyleProp"/>
              <w:rPr>
                <w:color w:val="000000" w:themeColor="text1"/>
                <w:szCs w:val="18"/>
              </w:rPr>
            </w:pPr>
            <w:r w:rsidRPr="00286216">
              <w:rPr>
                <w:color w:val="000000" w:themeColor="text1"/>
                <w:szCs w:val="18"/>
              </w:rPr>
              <w:t>Пункт 4 частини першої статті 68 виключити.</w:t>
            </w:r>
          </w:p>
        </w:tc>
        <w:tc>
          <w:tcPr>
            <w:tcW w:w="1987" w:type="dxa"/>
          </w:tcPr>
          <w:p w14:paraId="71EAB71B" w14:textId="77777777" w:rsidR="00826C07" w:rsidRPr="00286216" w:rsidRDefault="00826C07" w:rsidP="00826C07">
            <w:pPr>
              <w:pStyle w:val="StyleWisnow"/>
              <w:spacing w:line="200" w:lineRule="exact"/>
              <w:rPr>
                <w:color w:val="000000" w:themeColor="text1"/>
              </w:rPr>
            </w:pPr>
            <w:r w:rsidRPr="00286216">
              <w:rPr>
                <w:color w:val="000000" w:themeColor="text1"/>
              </w:rPr>
              <w:t>Враховано</w:t>
            </w:r>
          </w:p>
          <w:p w14:paraId="547F7F4B" w14:textId="5302FFC7" w:rsidR="00826C07" w:rsidRPr="00286216" w:rsidRDefault="00826C07" w:rsidP="00826C07">
            <w:pPr>
              <w:pStyle w:val="StyleWisnow"/>
              <w:spacing w:line="200" w:lineRule="exact"/>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tc>
        <w:tc>
          <w:tcPr>
            <w:tcW w:w="4818" w:type="dxa"/>
          </w:tcPr>
          <w:p w14:paraId="3A433D15" w14:textId="77777777" w:rsidR="00826C07" w:rsidRPr="00286216" w:rsidRDefault="00826C07" w:rsidP="00826C07">
            <w:pPr>
              <w:pStyle w:val="StyleZakonu"/>
              <w:rPr>
                <w:color w:val="000000" w:themeColor="text1"/>
              </w:rPr>
            </w:pPr>
          </w:p>
        </w:tc>
      </w:tr>
      <w:tr w:rsidR="00826C07" w:rsidRPr="00286216" w14:paraId="21DC6BAD" w14:textId="77777777" w:rsidTr="00091AA5">
        <w:tc>
          <w:tcPr>
            <w:tcW w:w="576" w:type="dxa"/>
          </w:tcPr>
          <w:p w14:paraId="35E9F1C6" w14:textId="77777777" w:rsidR="00826C07" w:rsidRPr="00286216" w:rsidRDefault="00826C07" w:rsidP="00826C07">
            <w:pPr>
              <w:pStyle w:val="StyleWisnow"/>
              <w:rPr>
                <w:color w:val="000000" w:themeColor="text1"/>
              </w:rPr>
            </w:pPr>
            <w:bookmarkStart w:id="920" w:name="n1196" w:colFirst="0" w:colLast="0"/>
            <w:bookmarkEnd w:id="919"/>
            <w:r w:rsidRPr="00286216">
              <w:rPr>
                <w:color w:val="000000" w:themeColor="text1"/>
              </w:rPr>
              <w:t>1196.</w:t>
            </w:r>
          </w:p>
        </w:tc>
        <w:tc>
          <w:tcPr>
            <w:tcW w:w="4818" w:type="dxa"/>
          </w:tcPr>
          <w:p w14:paraId="6AED1623" w14:textId="77777777" w:rsidR="00826C07" w:rsidRPr="00286216" w:rsidRDefault="00826C07" w:rsidP="00826C07">
            <w:pPr>
              <w:pStyle w:val="StyleZakonu"/>
              <w:rPr>
                <w:color w:val="000000" w:themeColor="text1"/>
              </w:rPr>
            </w:pPr>
            <w:r w:rsidRPr="00286216">
              <w:rPr>
                <w:color w:val="000000" w:themeColor="text1"/>
              </w:rPr>
              <w:t>а) така структура є непрозорою;</w:t>
            </w:r>
          </w:p>
        </w:tc>
        <w:tc>
          <w:tcPr>
            <w:tcW w:w="3686" w:type="dxa"/>
          </w:tcPr>
          <w:p w14:paraId="24773B6C" w14:textId="17DF345A"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690</w:t>
            </w:r>
            <w:r w:rsidRPr="00286216">
              <w:rPr>
                <w:color w:val="000000" w:themeColor="text1"/>
              </w:rPr>
              <w:fldChar w:fldCharType="end"/>
            </w:r>
            <w:r w:rsidRPr="00286216">
              <w:rPr>
                <w:color w:val="000000" w:themeColor="text1"/>
              </w:rPr>
              <w:t>-Н.д.Шахов С.В. (Реєстр.картка №114)</w:t>
            </w:r>
          </w:p>
          <w:p w14:paraId="0D2F57B5" w14:textId="77777777" w:rsidR="00826C07" w:rsidRPr="00286216" w:rsidRDefault="00826C07" w:rsidP="00826C07">
            <w:pPr>
              <w:pStyle w:val="StyleProp"/>
              <w:spacing w:line="190" w:lineRule="exact"/>
              <w:rPr>
                <w:color w:val="000000" w:themeColor="text1"/>
                <w:spacing w:val="-3"/>
              </w:rPr>
            </w:pPr>
            <w:r w:rsidRPr="00286216">
              <w:rPr>
                <w:color w:val="000000" w:themeColor="text1"/>
                <w:spacing w:val="-3"/>
              </w:rPr>
              <w:t>П.4 ч.1 ст.68 викласти у такій редакції:</w:t>
            </w:r>
          </w:p>
        </w:tc>
        <w:tc>
          <w:tcPr>
            <w:tcW w:w="1987" w:type="dxa"/>
          </w:tcPr>
          <w:p w14:paraId="6C447A71" w14:textId="77777777" w:rsidR="00826C07" w:rsidRPr="00286216" w:rsidRDefault="00826C07" w:rsidP="00826C07">
            <w:pPr>
              <w:pStyle w:val="StyleWisnow"/>
              <w:spacing w:line="200" w:lineRule="exact"/>
              <w:rPr>
                <w:color w:val="000000" w:themeColor="text1"/>
              </w:rPr>
            </w:pPr>
            <w:r w:rsidRPr="00286216">
              <w:rPr>
                <w:color w:val="000000" w:themeColor="text1"/>
              </w:rPr>
              <w:t>Відхилено</w:t>
            </w:r>
          </w:p>
          <w:p w14:paraId="1A1A2A07" w14:textId="77777777" w:rsidR="00826C07" w:rsidRPr="00286216" w:rsidRDefault="00826C07" w:rsidP="00826C07">
            <w:pPr>
              <w:pStyle w:val="StyleWisnow"/>
              <w:spacing w:line="180" w:lineRule="exact"/>
              <w:rPr>
                <w:color w:val="000000" w:themeColor="text1"/>
              </w:rPr>
            </w:pPr>
            <w:r w:rsidRPr="00286216">
              <w:rPr>
                <w:color w:val="000000" w:themeColor="text1"/>
              </w:rPr>
              <w:t xml:space="preserve">у зв'язку із зміною </w:t>
            </w:r>
          </w:p>
        </w:tc>
        <w:tc>
          <w:tcPr>
            <w:tcW w:w="4818" w:type="dxa"/>
          </w:tcPr>
          <w:p w14:paraId="78CB1473" w14:textId="77777777" w:rsidR="00826C07" w:rsidRPr="00286216" w:rsidRDefault="00826C07" w:rsidP="00826C07">
            <w:pPr>
              <w:pStyle w:val="StyleZakonu"/>
              <w:rPr>
                <w:color w:val="000000" w:themeColor="text1"/>
              </w:rPr>
            </w:pPr>
          </w:p>
        </w:tc>
      </w:tr>
      <w:tr w:rsidR="00826C07" w:rsidRPr="00286216" w14:paraId="58C70DF9" w14:textId="77777777" w:rsidTr="00091AA5">
        <w:tc>
          <w:tcPr>
            <w:tcW w:w="576" w:type="dxa"/>
          </w:tcPr>
          <w:p w14:paraId="201B94E8" w14:textId="77777777" w:rsidR="00826C07" w:rsidRPr="00286216" w:rsidRDefault="00826C07" w:rsidP="00826C07">
            <w:pPr>
              <w:pStyle w:val="StyleWisnow"/>
              <w:rPr>
                <w:color w:val="000000" w:themeColor="text1"/>
              </w:rPr>
            </w:pPr>
            <w:bookmarkStart w:id="921" w:name="n1197" w:colFirst="0" w:colLast="0"/>
            <w:bookmarkEnd w:id="920"/>
            <w:r w:rsidRPr="00286216">
              <w:rPr>
                <w:color w:val="000000" w:themeColor="text1"/>
              </w:rPr>
              <w:t>1197.</w:t>
            </w:r>
          </w:p>
        </w:tc>
        <w:tc>
          <w:tcPr>
            <w:tcW w:w="4818" w:type="dxa"/>
          </w:tcPr>
          <w:p w14:paraId="5D2C3F94" w14:textId="77777777" w:rsidR="00826C07" w:rsidRPr="00286216" w:rsidRDefault="00826C07" w:rsidP="00826C07">
            <w:pPr>
              <w:pStyle w:val="StyleZakonu"/>
              <w:rPr>
                <w:color w:val="000000" w:themeColor="text1"/>
              </w:rPr>
            </w:pPr>
            <w:r w:rsidRPr="00286216">
              <w:rPr>
                <w:color w:val="000000" w:themeColor="text1"/>
              </w:rPr>
              <w:t xml:space="preserve">б) така структура має транскордонний характер, і Національна комісія з цінних паперів та фондового ринку не має угод, що передбачають співробітництво </w:t>
            </w:r>
            <w:r w:rsidRPr="00286216">
              <w:rPr>
                <w:color w:val="000000" w:themeColor="text1"/>
              </w:rPr>
              <w:lastRenderedPageBreak/>
              <w:t>і обмін інформацією з такими органами з метою забезпечення цілісності ринків капіталу та захисту інвесторів, з органами влади, що здійснюють державне регулювання ринків капіталу та організованих товарних ринків у країнах, на території яких зареєстровані юридичні особи, що входять до структури власності юридичної особи, яка має намір провадити професійну діяльність на ринках капіталу та організованих товарних ринках, та до структури власності юридичних осіб, з якими вона пов’язана тісними зв’язками;</w:t>
            </w:r>
          </w:p>
        </w:tc>
        <w:tc>
          <w:tcPr>
            <w:tcW w:w="3686" w:type="dxa"/>
          </w:tcPr>
          <w:p w14:paraId="058FEC8F" w14:textId="77777777" w:rsidR="00826C07" w:rsidRPr="00286216" w:rsidRDefault="00826C07" w:rsidP="00826C07">
            <w:pPr>
              <w:pStyle w:val="StyleProp"/>
              <w:spacing w:line="180" w:lineRule="exact"/>
              <w:rPr>
                <w:color w:val="000000" w:themeColor="text1"/>
              </w:rPr>
            </w:pPr>
            <w:r w:rsidRPr="00286216">
              <w:rPr>
                <w:color w:val="000000" w:themeColor="text1"/>
              </w:rPr>
              <w:lastRenderedPageBreak/>
              <w:t xml:space="preserve">4) структура власності особи, яка має намір провадити професійну діяльність на ринках капіталу та організованих товарних </w:t>
            </w:r>
            <w:r w:rsidRPr="00286216">
              <w:rPr>
                <w:color w:val="000000" w:themeColor="text1"/>
              </w:rPr>
              <w:lastRenderedPageBreak/>
              <w:t>ринках, та структура власності осіб, з якими вона пов’язана тісними зв’язками</w:t>
            </w:r>
            <w:r w:rsidRPr="00286216">
              <w:rPr>
                <w:rFonts w:eastAsia="Calibri"/>
                <w:color w:val="000000" w:themeColor="text1"/>
              </w:rPr>
              <w:t xml:space="preserve"> </w:t>
            </w:r>
            <w:r w:rsidRPr="00286216">
              <w:rPr>
                <w:color w:val="000000" w:themeColor="text1"/>
              </w:rPr>
              <w:t>є непрозорою;</w:t>
            </w:r>
            <w:r w:rsidRPr="00286216">
              <w:rPr>
                <w:rFonts w:eastAsia="Calibri"/>
                <w:color w:val="000000" w:themeColor="text1"/>
              </w:rPr>
              <w:t xml:space="preserve"> </w:t>
            </w:r>
            <w:r w:rsidRPr="00286216">
              <w:rPr>
                <w:color w:val="000000" w:themeColor="text1"/>
              </w:rPr>
              <w:t>має транскордонний характер, і регулятор відповідного ринку не має угод, що передбачають співробітництво і обмін інформацією з такими органами з метою забезпечення цілісності відповідного ринку</w:t>
            </w:r>
            <w:r w:rsidRPr="00286216">
              <w:rPr>
                <w:rFonts w:eastAsia="Calibri"/>
                <w:color w:val="000000" w:themeColor="text1"/>
              </w:rPr>
              <w:t>,</w:t>
            </w:r>
            <w:r w:rsidRPr="00286216" w:rsidDel="00A90B40">
              <w:rPr>
                <w:color w:val="000000" w:themeColor="text1"/>
              </w:rPr>
              <w:t xml:space="preserve"> </w:t>
            </w:r>
            <w:r w:rsidRPr="00286216">
              <w:rPr>
                <w:color w:val="000000" w:themeColor="text1"/>
              </w:rPr>
              <w:t>з органами влади, що здійснюють державне регулювання ринків капіталу та організованих товарних ринків у країнах, на території яких зареєстровані юридичні особи, що входять до структури власності юридичної особи, яка має намір провадити професійну діяльність на ринках капіталу та організованих товарних ринках, та до структури власності юридичних осіб, з якими вона пов’язана тісними зв’язками;</w:t>
            </w:r>
          </w:p>
        </w:tc>
        <w:tc>
          <w:tcPr>
            <w:tcW w:w="1987" w:type="dxa"/>
          </w:tcPr>
          <w:p w14:paraId="7D72CA9D"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 xml:space="preserve">редакції статті та виключенням положень щодо </w:t>
            </w:r>
            <w:r w:rsidRPr="00286216">
              <w:rPr>
                <w:color w:val="000000" w:themeColor="text1"/>
              </w:rPr>
              <w:lastRenderedPageBreak/>
              <w:t>структури власності</w:t>
            </w:r>
          </w:p>
        </w:tc>
        <w:tc>
          <w:tcPr>
            <w:tcW w:w="4818" w:type="dxa"/>
          </w:tcPr>
          <w:p w14:paraId="37D3F0BB" w14:textId="77777777" w:rsidR="00826C07" w:rsidRPr="00286216" w:rsidRDefault="00826C07" w:rsidP="00826C07">
            <w:pPr>
              <w:pStyle w:val="StyleZakonu"/>
              <w:rPr>
                <w:color w:val="000000" w:themeColor="text1"/>
              </w:rPr>
            </w:pPr>
          </w:p>
        </w:tc>
      </w:tr>
      <w:tr w:rsidR="00826C07" w:rsidRPr="00286216" w14:paraId="10CF2D1D" w14:textId="77777777" w:rsidTr="00091AA5">
        <w:tc>
          <w:tcPr>
            <w:tcW w:w="576" w:type="dxa"/>
          </w:tcPr>
          <w:p w14:paraId="676FF3B4" w14:textId="77777777" w:rsidR="00826C07" w:rsidRPr="00286216" w:rsidRDefault="00826C07" w:rsidP="00826C07">
            <w:pPr>
              <w:pStyle w:val="StyleWisnow"/>
              <w:rPr>
                <w:color w:val="000000" w:themeColor="text1"/>
              </w:rPr>
            </w:pPr>
            <w:bookmarkStart w:id="922" w:name="n1198" w:colFirst="0" w:colLast="0"/>
            <w:bookmarkEnd w:id="921"/>
            <w:r w:rsidRPr="00286216">
              <w:rPr>
                <w:color w:val="000000" w:themeColor="text1"/>
              </w:rPr>
              <w:t>1198.</w:t>
            </w:r>
          </w:p>
        </w:tc>
        <w:tc>
          <w:tcPr>
            <w:tcW w:w="4818" w:type="dxa"/>
          </w:tcPr>
          <w:p w14:paraId="4CE52FF5" w14:textId="77777777" w:rsidR="00826C07" w:rsidRPr="00286216" w:rsidRDefault="00826C07" w:rsidP="00826C07">
            <w:pPr>
              <w:pStyle w:val="StyleZakonu"/>
              <w:rPr>
                <w:color w:val="000000" w:themeColor="text1"/>
              </w:rPr>
            </w:pPr>
            <w:r w:rsidRPr="00286216">
              <w:rPr>
                <w:color w:val="000000" w:themeColor="text1"/>
              </w:rPr>
              <w:t>5) юридична особа, яка має намір провадити професійну діяльність на ринках капіталу та організованих товарних ринках, пов’язана тісними зв’язками з юридичними особами, діяльність яких може перешкоджати Національній комісії з цінних паперів та фондового ринку проводити ефективну оцінку відповідності акціонерів (учасників) з істотною участю в юридичній особі, яка має намір провадити професійну діяльність на ринках капіталу та організованих товарних ринках, вимогам законодавства, або оцінку впливу юридичних осіб, з якими юридична особа, яка має намір провадити професійну діяльність на ринках капіталу та організованих товарних ринках, пов’язана тісними зв’язками, на діяльність такої юридичної особи;</w:t>
            </w:r>
          </w:p>
        </w:tc>
        <w:tc>
          <w:tcPr>
            <w:tcW w:w="3686" w:type="dxa"/>
          </w:tcPr>
          <w:p w14:paraId="0F6DB59B" w14:textId="2ABF4922"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691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EDCA87D" w14:textId="77777777" w:rsidR="00826C07" w:rsidRPr="00286216" w:rsidRDefault="00826C07" w:rsidP="00826C07">
            <w:pPr>
              <w:pStyle w:val="StyleProp"/>
              <w:rPr>
                <w:color w:val="000000" w:themeColor="text1"/>
                <w:szCs w:val="18"/>
              </w:rPr>
            </w:pPr>
            <w:r w:rsidRPr="00286216">
              <w:rPr>
                <w:color w:val="000000" w:themeColor="text1"/>
                <w:szCs w:val="18"/>
              </w:rPr>
              <w:t>Пункт 5 частини першої статті 68 виключити.</w:t>
            </w:r>
          </w:p>
          <w:p w14:paraId="7238B18D" w14:textId="77777777" w:rsidR="00826C07" w:rsidRPr="00286216" w:rsidRDefault="00826C07" w:rsidP="00826C07">
            <w:pPr>
              <w:pStyle w:val="StyleProp"/>
              <w:rPr>
                <w:color w:val="000000" w:themeColor="text1"/>
                <w:szCs w:val="18"/>
              </w:rPr>
            </w:pPr>
          </w:p>
          <w:p w14:paraId="04006F07" w14:textId="562AF78E"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692</w:t>
            </w:r>
            <w:r w:rsidRPr="00286216">
              <w:rPr>
                <w:color w:val="000000" w:themeColor="text1"/>
                <w:spacing w:val="-10"/>
              </w:rPr>
              <w:fldChar w:fldCharType="end"/>
            </w:r>
            <w:r w:rsidRPr="00286216">
              <w:rPr>
                <w:color w:val="000000" w:themeColor="text1"/>
                <w:spacing w:val="-10"/>
              </w:rPr>
              <w:t>-Н.д.Гетманцев Д.О.(Реєстр.картка №245)</w:t>
            </w:r>
          </w:p>
          <w:p w14:paraId="1FB01C50" w14:textId="77777777" w:rsidR="00826C07" w:rsidRPr="00286216" w:rsidRDefault="00826C07" w:rsidP="00826C07">
            <w:pPr>
              <w:pStyle w:val="StyleProp"/>
              <w:rPr>
                <w:color w:val="000000" w:themeColor="text1"/>
              </w:rPr>
            </w:pPr>
            <w:r w:rsidRPr="00286216">
              <w:rPr>
                <w:color w:val="000000" w:themeColor="text1"/>
              </w:rPr>
              <w:t>Пункт п’ять частини першої статті 68 виключити.</w:t>
            </w:r>
          </w:p>
          <w:p w14:paraId="423AE874" w14:textId="77777777" w:rsidR="00826C07" w:rsidRPr="00286216" w:rsidRDefault="00826C07" w:rsidP="00826C07">
            <w:pPr>
              <w:pStyle w:val="StyleProp"/>
              <w:rPr>
                <w:color w:val="000000" w:themeColor="text1"/>
                <w:szCs w:val="18"/>
              </w:rPr>
            </w:pPr>
          </w:p>
          <w:p w14:paraId="68F4773D" w14:textId="32EA1777"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693</w:t>
            </w:r>
            <w:r w:rsidRPr="00286216">
              <w:rPr>
                <w:color w:val="000000" w:themeColor="text1"/>
              </w:rPr>
              <w:fldChar w:fldCharType="end"/>
            </w:r>
            <w:r w:rsidRPr="00286216">
              <w:rPr>
                <w:color w:val="000000" w:themeColor="text1"/>
              </w:rPr>
              <w:t>-Н.д.Шахов С.В. (Реєстр.картка №114)</w:t>
            </w:r>
          </w:p>
          <w:p w14:paraId="058F5BD8" w14:textId="77777777" w:rsidR="00826C07" w:rsidRPr="00286216" w:rsidRDefault="00826C07" w:rsidP="00826C07">
            <w:pPr>
              <w:pStyle w:val="StyleProp"/>
              <w:rPr>
                <w:color w:val="000000" w:themeColor="text1"/>
                <w:szCs w:val="18"/>
              </w:rPr>
            </w:pPr>
            <w:r w:rsidRPr="00286216">
              <w:rPr>
                <w:color w:val="000000" w:themeColor="text1"/>
                <w:spacing w:val="-3"/>
              </w:rPr>
              <w:t>П.5 ч.1 ст.68 виключити.</w:t>
            </w:r>
          </w:p>
          <w:p w14:paraId="67C32A89" w14:textId="77777777" w:rsidR="00826C07" w:rsidRPr="00286216" w:rsidRDefault="00826C07" w:rsidP="00826C07">
            <w:pPr>
              <w:pStyle w:val="StyleProp"/>
              <w:rPr>
                <w:color w:val="000000" w:themeColor="text1"/>
                <w:szCs w:val="18"/>
              </w:rPr>
            </w:pPr>
          </w:p>
          <w:p w14:paraId="4543A508" w14:textId="77777777" w:rsidR="00826C07" w:rsidRPr="00286216" w:rsidRDefault="00826C07" w:rsidP="00826C07">
            <w:pPr>
              <w:pStyle w:val="StyleProp"/>
              <w:rPr>
                <w:color w:val="000000" w:themeColor="text1"/>
                <w:szCs w:val="18"/>
              </w:rPr>
            </w:pPr>
          </w:p>
          <w:p w14:paraId="4F1F06E3" w14:textId="78580D52"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694</w:t>
            </w:r>
            <w:r w:rsidRPr="00286216">
              <w:rPr>
                <w:color w:val="000000" w:themeColor="text1"/>
                <w:spacing w:val="-10"/>
              </w:rPr>
              <w:fldChar w:fldCharType="end"/>
            </w:r>
            <w:r w:rsidRPr="00286216">
              <w:rPr>
                <w:color w:val="000000" w:themeColor="text1"/>
                <w:spacing w:val="-10"/>
              </w:rPr>
              <w:t>-Н.д.Гетманцев Д.О.(Реєстр.картка №245)</w:t>
            </w:r>
          </w:p>
          <w:p w14:paraId="74580A47" w14:textId="77777777" w:rsidR="00826C07" w:rsidRPr="00286216" w:rsidRDefault="00826C07" w:rsidP="00826C07">
            <w:pPr>
              <w:pStyle w:val="StyleProp"/>
              <w:rPr>
                <w:color w:val="000000" w:themeColor="text1"/>
                <w:szCs w:val="18"/>
              </w:rPr>
            </w:pPr>
            <w:r w:rsidRPr="00286216">
              <w:rPr>
                <w:color w:val="000000" w:themeColor="text1"/>
              </w:rPr>
              <w:t>Пункт шість частини першої статті 68 виключити.</w:t>
            </w:r>
          </w:p>
        </w:tc>
        <w:tc>
          <w:tcPr>
            <w:tcW w:w="1987" w:type="dxa"/>
          </w:tcPr>
          <w:p w14:paraId="708F417F" w14:textId="77777777" w:rsidR="00826C07" w:rsidRPr="00286216" w:rsidRDefault="00826C07" w:rsidP="00826C07">
            <w:pPr>
              <w:pStyle w:val="StyleWisnow"/>
              <w:rPr>
                <w:color w:val="000000" w:themeColor="text1"/>
              </w:rPr>
            </w:pPr>
            <w:r w:rsidRPr="00286216">
              <w:rPr>
                <w:color w:val="000000" w:themeColor="text1"/>
              </w:rPr>
              <w:t>Враховано</w:t>
            </w:r>
          </w:p>
          <w:p w14:paraId="42D0A125" w14:textId="351B54D4" w:rsidR="00826C07" w:rsidRPr="00286216" w:rsidRDefault="00826C07" w:rsidP="00826C07">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p w14:paraId="58C2D398" w14:textId="77777777" w:rsidR="00826C07" w:rsidRPr="00286216" w:rsidRDefault="00826C07" w:rsidP="00826C07">
            <w:pPr>
              <w:pStyle w:val="StyleWisnow"/>
              <w:spacing w:line="180" w:lineRule="exact"/>
              <w:rPr>
                <w:color w:val="000000" w:themeColor="text1"/>
              </w:rPr>
            </w:pPr>
          </w:p>
          <w:p w14:paraId="453C4F2D" w14:textId="77777777" w:rsidR="00826C07" w:rsidRPr="00286216" w:rsidRDefault="00826C07" w:rsidP="00826C07">
            <w:pPr>
              <w:pStyle w:val="StyleWisnow"/>
              <w:rPr>
                <w:color w:val="000000" w:themeColor="text1"/>
              </w:rPr>
            </w:pPr>
            <w:r w:rsidRPr="00286216">
              <w:rPr>
                <w:color w:val="000000" w:themeColor="text1"/>
              </w:rPr>
              <w:t>Враховано</w:t>
            </w:r>
          </w:p>
          <w:p w14:paraId="35B64CD6" w14:textId="74921331" w:rsidR="00826C07" w:rsidRPr="00286216" w:rsidRDefault="00826C07" w:rsidP="00826C07">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p w14:paraId="2DAE7F44" w14:textId="77777777" w:rsidR="00826C07" w:rsidRPr="00286216" w:rsidRDefault="00826C07" w:rsidP="00826C07">
            <w:pPr>
              <w:pStyle w:val="StyleWisnow"/>
              <w:spacing w:line="180" w:lineRule="exact"/>
              <w:rPr>
                <w:color w:val="000000" w:themeColor="text1"/>
              </w:rPr>
            </w:pPr>
          </w:p>
          <w:p w14:paraId="1A551F29" w14:textId="77777777" w:rsidR="00826C07" w:rsidRPr="00286216" w:rsidRDefault="00826C07" w:rsidP="00826C07">
            <w:pPr>
              <w:pStyle w:val="StyleWisnow"/>
              <w:rPr>
                <w:color w:val="000000" w:themeColor="text1"/>
              </w:rPr>
            </w:pPr>
            <w:r w:rsidRPr="00286216">
              <w:rPr>
                <w:color w:val="000000" w:themeColor="text1"/>
              </w:rPr>
              <w:t>Враховано</w:t>
            </w:r>
          </w:p>
          <w:p w14:paraId="4E9917FF" w14:textId="22F73843" w:rsidR="00826C07" w:rsidRPr="00286216" w:rsidRDefault="00826C07" w:rsidP="00826C07">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p w14:paraId="623A8300" w14:textId="77777777" w:rsidR="00826C07" w:rsidRPr="00286216" w:rsidRDefault="00826C07" w:rsidP="00826C07">
            <w:pPr>
              <w:pStyle w:val="StyleWisnow"/>
              <w:spacing w:line="180" w:lineRule="exact"/>
              <w:rPr>
                <w:color w:val="000000" w:themeColor="text1"/>
              </w:rPr>
            </w:pPr>
          </w:p>
          <w:p w14:paraId="79C09061" w14:textId="77777777" w:rsidR="00826C07" w:rsidRPr="00286216" w:rsidRDefault="00826C07" w:rsidP="00826C07">
            <w:pPr>
              <w:pStyle w:val="StyleWisnow"/>
              <w:rPr>
                <w:color w:val="000000" w:themeColor="text1"/>
              </w:rPr>
            </w:pPr>
            <w:r w:rsidRPr="00286216">
              <w:rPr>
                <w:color w:val="000000" w:themeColor="text1"/>
              </w:rPr>
              <w:t>Враховано</w:t>
            </w:r>
          </w:p>
          <w:p w14:paraId="6B6FE354" w14:textId="013626C1" w:rsidR="00826C07" w:rsidRPr="00286216" w:rsidRDefault="00826C07" w:rsidP="00826C07">
            <w:pPr>
              <w:pStyle w:val="StyleWisnow"/>
              <w:rPr>
                <w:color w:val="000000" w:themeColor="text1"/>
              </w:rPr>
            </w:pPr>
            <w:r w:rsidRPr="00286216">
              <w:rPr>
                <w:color w:val="000000" w:themeColor="text1"/>
              </w:rPr>
              <w:t xml:space="preserve">у запропонованій редакції статті </w:t>
            </w:r>
            <w:r w:rsidRPr="00286216">
              <w:rPr>
                <w:color w:val="000000" w:themeColor="text1"/>
                <w:lang w:val="ru-RU"/>
              </w:rPr>
              <w:t>72</w:t>
            </w:r>
          </w:p>
        </w:tc>
        <w:tc>
          <w:tcPr>
            <w:tcW w:w="4818" w:type="dxa"/>
          </w:tcPr>
          <w:p w14:paraId="3E7104BA" w14:textId="77777777" w:rsidR="00826C07" w:rsidRPr="00286216" w:rsidRDefault="00826C07" w:rsidP="00826C07">
            <w:pPr>
              <w:pStyle w:val="StyleZakonu"/>
              <w:rPr>
                <w:color w:val="000000" w:themeColor="text1"/>
              </w:rPr>
            </w:pPr>
          </w:p>
        </w:tc>
      </w:tr>
      <w:tr w:rsidR="00826C07" w:rsidRPr="00286216" w14:paraId="6C298F41" w14:textId="77777777" w:rsidTr="00091AA5">
        <w:tc>
          <w:tcPr>
            <w:tcW w:w="576" w:type="dxa"/>
          </w:tcPr>
          <w:p w14:paraId="77026755" w14:textId="77777777" w:rsidR="00826C07" w:rsidRPr="00286216" w:rsidRDefault="00826C07" w:rsidP="00826C07">
            <w:pPr>
              <w:pStyle w:val="StyleWisnow"/>
              <w:rPr>
                <w:color w:val="000000" w:themeColor="text1"/>
              </w:rPr>
            </w:pPr>
            <w:bookmarkStart w:id="923" w:name="n1199" w:colFirst="0" w:colLast="0"/>
            <w:bookmarkEnd w:id="922"/>
            <w:r w:rsidRPr="00286216">
              <w:rPr>
                <w:color w:val="000000" w:themeColor="text1"/>
              </w:rPr>
              <w:t>1199.</w:t>
            </w:r>
          </w:p>
        </w:tc>
        <w:tc>
          <w:tcPr>
            <w:tcW w:w="4818" w:type="dxa"/>
          </w:tcPr>
          <w:p w14:paraId="324311C1" w14:textId="77777777" w:rsidR="00826C07" w:rsidRPr="00286216" w:rsidRDefault="00826C07" w:rsidP="00826C07">
            <w:pPr>
              <w:pStyle w:val="StyleZakonu"/>
              <w:rPr>
                <w:color w:val="000000" w:themeColor="text1"/>
              </w:rPr>
            </w:pPr>
            <w:r w:rsidRPr="00286216">
              <w:rPr>
                <w:color w:val="000000" w:themeColor="text1"/>
              </w:rPr>
              <w:t>6) організаційна структура, спеціалісти, необхідні для провадження професійної діяльності на ринках капіталу та організованих товарних ринках, або обладнання, комп’ютерна техніка, програмне забезпечення, приміщення такої юридичної особи не відповідають вимогам, установленим Національною комісією з цінних паперів та фондового ринку</w:t>
            </w:r>
          </w:p>
        </w:tc>
        <w:tc>
          <w:tcPr>
            <w:tcW w:w="3686" w:type="dxa"/>
          </w:tcPr>
          <w:p w14:paraId="520CE5EA" w14:textId="655B42F3"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695</w:t>
            </w:r>
            <w:r w:rsidRPr="00286216">
              <w:rPr>
                <w:color w:val="000000" w:themeColor="text1"/>
              </w:rPr>
              <w:fldChar w:fldCharType="end"/>
            </w:r>
            <w:r w:rsidRPr="00286216">
              <w:rPr>
                <w:color w:val="000000" w:themeColor="text1"/>
              </w:rPr>
              <w:t>-Н.д.Шахов С.В. (Реєстр.картка №114)</w:t>
            </w:r>
          </w:p>
          <w:p w14:paraId="53DD22D0" w14:textId="77777777" w:rsidR="00826C07" w:rsidRPr="00286216" w:rsidRDefault="00826C07" w:rsidP="00826C07">
            <w:pPr>
              <w:pStyle w:val="StyleProp"/>
              <w:spacing w:line="190" w:lineRule="exact"/>
              <w:rPr>
                <w:color w:val="000000" w:themeColor="text1"/>
              </w:rPr>
            </w:pPr>
            <w:r w:rsidRPr="00286216">
              <w:rPr>
                <w:color w:val="000000" w:themeColor="text1"/>
              </w:rPr>
              <w:t xml:space="preserve">Викласти п.6 </w:t>
            </w:r>
            <w:r w:rsidRPr="00286216">
              <w:rPr>
                <w:color w:val="000000" w:themeColor="text1"/>
                <w:spacing w:val="-3"/>
              </w:rPr>
              <w:t xml:space="preserve">ч.1 ст.68 </w:t>
            </w:r>
            <w:r w:rsidRPr="00286216">
              <w:rPr>
                <w:color w:val="000000" w:themeColor="text1"/>
              </w:rPr>
              <w:t>в такій редакції:</w:t>
            </w:r>
          </w:p>
          <w:p w14:paraId="658D7979" w14:textId="77777777" w:rsidR="00826C07" w:rsidRPr="00286216" w:rsidRDefault="00826C07" w:rsidP="00826C07">
            <w:pPr>
              <w:pStyle w:val="StyleProp"/>
              <w:spacing w:line="190" w:lineRule="exact"/>
              <w:rPr>
                <w:color w:val="000000" w:themeColor="text1"/>
                <w:spacing w:val="-2"/>
              </w:rPr>
            </w:pPr>
            <w:r w:rsidRPr="00286216">
              <w:rPr>
                <w:color w:val="000000" w:themeColor="text1"/>
                <w:spacing w:val="-2"/>
              </w:rPr>
              <w:t>"5) організаційна структура, спеціалісти, необхідні для провадження професійної діяльності на ринках капіталу та організованих товарних ринках, або обладнання, комп’ютерна техніка, програмне забезпечення, такої юридичної особи не відповідають вимогам, установленим законом;</w:t>
            </w:r>
          </w:p>
        </w:tc>
        <w:tc>
          <w:tcPr>
            <w:tcW w:w="1987" w:type="dxa"/>
          </w:tcPr>
          <w:p w14:paraId="7F7A1715" w14:textId="77777777" w:rsidR="00826C07" w:rsidRPr="00286216" w:rsidRDefault="00826C07" w:rsidP="00826C07">
            <w:pPr>
              <w:pStyle w:val="StyleWisnow"/>
              <w:spacing w:line="200" w:lineRule="exact"/>
              <w:rPr>
                <w:color w:val="000000" w:themeColor="text1"/>
              </w:rPr>
            </w:pPr>
            <w:r w:rsidRPr="00286216">
              <w:rPr>
                <w:color w:val="000000" w:themeColor="text1"/>
              </w:rPr>
              <w:t>Відхилено</w:t>
            </w:r>
          </w:p>
          <w:p w14:paraId="09D471B3" w14:textId="77777777" w:rsidR="00826C07" w:rsidRPr="00286216" w:rsidRDefault="00826C07" w:rsidP="00826C07">
            <w:pPr>
              <w:pStyle w:val="StyleWisnow"/>
              <w:rPr>
                <w:color w:val="000000" w:themeColor="text1"/>
              </w:rPr>
            </w:pPr>
            <w:r w:rsidRPr="00286216">
              <w:rPr>
                <w:color w:val="000000" w:themeColor="text1"/>
              </w:rPr>
              <w:t>у зв'язку із зміною</w:t>
            </w:r>
          </w:p>
          <w:p w14:paraId="361A9740" w14:textId="77777777" w:rsidR="00826C07" w:rsidRPr="00286216" w:rsidRDefault="00826C07" w:rsidP="00826C07">
            <w:pPr>
              <w:pStyle w:val="StyleWisnow"/>
              <w:rPr>
                <w:color w:val="000000" w:themeColor="text1"/>
              </w:rPr>
            </w:pPr>
            <w:r w:rsidRPr="00286216">
              <w:rPr>
                <w:color w:val="000000" w:themeColor="text1"/>
              </w:rPr>
              <w:t>редакції статті та виключенням положень щодо організаційної структури тощо</w:t>
            </w:r>
          </w:p>
          <w:p w14:paraId="35294712" w14:textId="77777777" w:rsidR="00826C07" w:rsidRPr="00286216" w:rsidRDefault="00826C07" w:rsidP="00826C07">
            <w:pPr>
              <w:pStyle w:val="StyleWisnow"/>
              <w:rPr>
                <w:color w:val="000000" w:themeColor="text1"/>
              </w:rPr>
            </w:pPr>
          </w:p>
        </w:tc>
        <w:tc>
          <w:tcPr>
            <w:tcW w:w="4818" w:type="dxa"/>
          </w:tcPr>
          <w:p w14:paraId="0B9848B2" w14:textId="77777777" w:rsidR="00826C07" w:rsidRPr="00286216" w:rsidRDefault="00826C07" w:rsidP="00826C07">
            <w:pPr>
              <w:pStyle w:val="StyleZakonu"/>
              <w:rPr>
                <w:color w:val="000000" w:themeColor="text1"/>
              </w:rPr>
            </w:pPr>
          </w:p>
        </w:tc>
      </w:tr>
      <w:tr w:rsidR="00826C07" w:rsidRPr="00286216" w14:paraId="1886B9F5" w14:textId="77777777" w:rsidTr="00091AA5">
        <w:tc>
          <w:tcPr>
            <w:tcW w:w="576" w:type="dxa"/>
          </w:tcPr>
          <w:p w14:paraId="1169B278" w14:textId="77777777" w:rsidR="00826C07" w:rsidRPr="00286216" w:rsidRDefault="00826C07" w:rsidP="00826C07">
            <w:pPr>
              <w:pStyle w:val="StyleWisnow"/>
              <w:rPr>
                <w:color w:val="000000" w:themeColor="text1"/>
              </w:rPr>
            </w:pPr>
            <w:bookmarkStart w:id="924" w:name="n1200" w:colFirst="0" w:colLast="0"/>
            <w:bookmarkEnd w:id="923"/>
            <w:r w:rsidRPr="00286216">
              <w:rPr>
                <w:color w:val="000000" w:themeColor="text1"/>
              </w:rPr>
              <w:t>1200.</w:t>
            </w:r>
          </w:p>
        </w:tc>
        <w:tc>
          <w:tcPr>
            <w:tcW w:w="4818" w:type="dxa"/>
          </w:tcPr>
          <w:p w14:paraId="1EF050D4" w14:textId="77777777" w:rsidR="00826C07" w:rsidRPr="00286216" w:rsidRDefault="00826C07" w:rsidP="00826C07">
            <w:pPr>
              <w:pStyle w:val="StyleZakonu"/>
              <w:rPr>
                <w:color w:val="000000" w:themeColor="text1"/>
              </w:rPr>
            </w:pPr>
            <w:r w:rsidRPr="00286216">
              <w:rPr>
                <w:color w:val="000000" w:themeColor="text1"/>
              </w:rPr>
              <w:t>7) початковий капітал юридичної особи, яка має намір провадити професійну діяльність на ринках капіталу та організованих товарних ринках, не відповідає вимогам, встановленим законодавством.</w:t>
            </w:r>
          </w:p>
        </w:tc>
        <w:tc>
          <w:tcPr>
            <w:tcW w:w="3686" w:type="dxa"/>
          </w:tcPr>
          <w:p w14:paraId="0459A771" w14:textId="77777777" w:rsidR="00826C07" w:rsidRPr="00286216" w:rsidRDefault="00826C07" w:rsidP="00826C07">
            <w:pPr>
              <w:pStyle w:val="StyleProp"/>
              <w:spacing w:line="180" w:lineRule="exact"/>
              <w:rPr>
                <w:color w:val="000000" w:themeColor="text1"/>
                <w:spacing w:val="-3"/>
              </w:rPr>
            </w:pPr>
          </w:p>
        </w:tc>
        <w:tc>
          <w:tcPr>
            <w:tcW w:w="1987" w:type="dxa"/>
          </w:tcPr>
          <w:p w14:paraId="7E794608" w14:textId="77777777" w:rsidR="00826C07" w:rsidRPr="00286216" w:rsidRDefault="00826C07" w:rsidP="00826C07">
            <w:pPr>
              <w:pStyle w:val="StyleWisnow"/>
              <w:rPr>
                <w:color w:val="000000" w:themeColor="text1"/>
              </w:rPr>
            </w:pPr>
          </w:p>
        </w:tc>
        <w:tc>
          <w:tcPr>
            <w:tcW w:w="4818" w:type="dxa"/>
          </w:tcPr>
          <w:p w14:paraId="0D8092A7" w14:textId="77777777" w:rsidR="00826C07" w:rsidRPr="00286216" w:rsidRDefault="00826C07" w:rsidP="00826C07">
            <w:pPr>
              <w:pStyle w:val="StyleZakonu"/>
              <w:rPr>
                <w:color w:val="000000" w:themeColor="text1"/>
              </w:rPr>
            </w:pPr>
          </w:p>
        </w:tc>
      </w:tr>
      <w:tr w:rsidR="00480B30" w:rsidRPr="00286216" w14:paraId="01BBAD02" w14:textId="77777777" w:rsidTr="00091AA5">
        <w:tc>
          <w:tcPr>
            <w:tcW w:w="576" w:type="dxa"/>
          </w:tcPr>
          <w:p w14:paraId="0398A2B5" w14:textId="77777777" w:rsidR="00480B30" w:rsidRPr="00286216" w:rsidRDefault="00480B30" w:rsidP="00480B30">
            <w:pPr>
              <w:pStyle w:val="StyleWisnow"/>
              <w:rPr>
                <w:color w:val="000000" w:themeColor="text1"/>
              </w:rPr>
            </w:pPr>
            <w:bookmarkStart w:id="925" w:name="n1201" w:colFirst="0" w:colLast="0"/>
            <w:bookmarkEnd w:id="924"/>
            <w:r w:rsidRPr="00286216">
              <w:rPr>
                <w:color w:val="000000" w:themeColor="text1"/>
              </w:rPr>
              <w:t>1201.</w:t>
            </w:r>
          </w:p>
        </w:tc>
        <w:tc>
          <w:tcPr>
            <w:tcW w:w="4818" w:type="dxa"/>
          </w:tcPr>
          <w:p w14:paraId="11A69DCC" w14:textId="77777777" w:rsidR="00480B30" w:rsidRPr="00286216" w:rsidRDefault="00480B30" w:rsidP="00480B30">
            <w:pPr>
              <w:pStyle w:val="StyleZakonu"/>
              <w:rPr>
                <w:color w:val="000000" w:themeColor="text1"/>
              </w:rPr>
            </w:pPr>
            <w:r w:rsidRPr="00286216">
              <w:rPr>
                <w:color w:val="000000" w:themeColor="text1"/>
              </w:rPr>
              <w:t xml:space="preserve">2. Національна комісія з цінних паперів та фондового ринку відмовляє у видачі ліцензії на провадження певного виду професійної діяльності на ринках капіталу та організованих товарних ринках за </w:t>
            </w:r>
            <w:r w:rsidRPr="00286216">
              <w:rPr>
                <w:color w:val="000000" w:themeColor="text1"/>
              </w:rPr>
              <w:lastRenderedPageBreak/>
              <w:t>умови що є достатньо підстав вважати, що заявник не відповідає всім вимогам встановленим ліцензійними умовами провадження відповідного виду професійної діяльності на ринках капіталу та організованих товарних ринках.</w:t>
            </w:r>
          </w:p>
        </w:tc>
        <w:tc>
          <w:tcPr>
            <w:tcW w:w="3686" w:type="dxa"/>
          </w:tcPr>
          <w:p w14:paraId="40005CBF" w14:textId="7EB1F398" w:rsidR="00480B30" w:rsidRPr="00286216" w:rsidRDefault="00480B30" w:rsidP="00480B30">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696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8F2E9B8" w14:textId="5FDC4F4D" w:rsidR="00480B30" w:rsidRPr="00286216" w:rsidRDefault="00480B30" w:rsidP="00480B30">
            <w:pPr>
              <w:pStyle w:val="StyleProp"/>
              <w:rPr>
                <w:color w:val="000000" w:themeColor="text1"/>
                <w:szCs w:val="18"/>
              </w:rPr>
            </w:pPr>
            <w:r w:rsidRPr="00286216">
              <w:rPr>
                <w:color w:val="000000" w:themeColor="text1"/>
                <w:szCs w:val="18"/>
              </w:rPr>
              <w:t>Частину другу статті 68 виключити.</w:t>
            </w:r>
          </w:p>
          <w:p w14:paraId="21DB2A72" w14:textId="77777777" w:rsidR="00480B30" w:rsidRPr="00286216" w:rsidRDefault="00480B30" w:rsidP="00480B30">
            <w:pPr>
              <w:pStyle w:val="StyleProp"/>
              <w:rPr>
                <w:color w:val="000000" w:themeColor="text1"/>
                <w:szCs w:val="18"/>
              </w:rPr>
            </w:pPr>
          </w:p>
          <w:p w14:paraId="108D2ADB" w14:textId="6B01F6CB" w:rsidR="00480B30" w:rsidRPr="00286216" w:rsidRDefault="00480B30" w:rsidP="00480B3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697</w:t>
            </w:r>
            <w:r w:rsidRPr="00286216">
              <w:rPr>
                <w:color w:val="000000" w:themeColor="text1"/>
              </w:rPr>
              <w:fldChar w:fldCharType="end"/>
            </w:r>
            <w:r w:rsidRPr="00286216">
              <w:rPr>
                <w:color w:val="000000" w:themeColor="text1"/>
              </w:rPr>
              <w:t>-Н.д.Шахов С.В. (Реєстр.картка №114)</w:t>
            </w:r>
          </w:p>
          <w:p w14:paraId="12B1D1E7" w14:textId="77777777" w:rsidR="00480B30" w:rsidRPr="00286216" w:rsidRDefault="00480B30" w:rsidP="00480B30">
            <w:pPr>
              <w:pStyle w:val="StyleProp"/>
              <w:spacing w:line="180" w:lineRule="exact"/>
              <w:rPr>
                <w:color w:val="000000" w:themeColor="text1"/>
                <w:spacing w:val="-3"/>
              </w:rPr>
            </w:pPr>
            <w:r w:rsidRPr="00286216">
              <w:rPr>
                <w:color w:val="000000" w:themeColor="text1"/>
                <w:spacing w:val="-3"/>
              </w:rPr>
              <w:lastRenderedPageBreak/>
              <w:t>Ч. 2 ст. 68 викласти у такій редакції:</w:t>
            </w:r>
          </w:p>
          <w:p w14:paraId="4ACE4330" w14:textId="77777777" w:rsidR="00480B30" w:rsidRPr="00286216" w:rsidRDefault="00480B30" w:rsidP="00480B30">
            <w:pPr>
              <w:pStyle w:val="StyleProp"/>
              <w:spacing w:line="180" w:lineRule="exact"/>
              <w:rPr>
                <w:color w:val="000000" w:themeColor="text1"/>
                <w:spacing w:val="-3"/>
              </w:rPr>
            </w:pPr>
            <w:r w:rsidRPr="00286216">
              <w:rPr>
                <w:color w:val="000000" w:themeColor="text1"/>
                <w:spacing w:val="-2"/>
              </w:rPr>
              <w:t>"2. Регулятор відповідного ринку відмовляє у  видачі ліцензії (або іншого дозвільного документу, визначеного законодавством про товарні ринки) на провадження певного виду професійної діяльності на ринках капіталу та/або організованих товарних ринках за умови, що є достатньо обґрунтованих підстав та доведених фактів вважати, що заявник не відповідає всім вимогам, встановленим ліцензійними умовами провадження відповідного виду професійної діяльності на ринках капіталу та організованих товарних ринках або в частині товарних спот-ринків та поставних товарних деривативів - законодавством про товарні ринки".</w:t>
            </w:r>
          </w:p>
        </w:tc>
        <w:tc>
          <w:tcPr>
            <w:tcW w:w="1987" w:type="dxa"/>
          </w:tcPr>
          <w:p w14:paraId="65F47216" w14:textId="77777777" w:rsidR="00480B30" w:rsidRPr="00286216" w:rsidRDefault="00480B30" w:rsidP="00480B30">
            <w:pPr>
              <w:pStyle w:val="StyleWisnow"/>
              <w:rPr>
                <w:color w:val="000000" w:themeColor="text1"/>
              </w:rPr>
            </w:pPr>
            <w:r w:rsidRPr="00286216">
              <w:rPr>
                <w:color w:val="000000" w:themeColor="text1"/>
              </w:rPr>
              <w:lastRenderedPageBreak/>
              <w:t>Враховано</w:t>
            </w:r>
          </w:p>
          <w:p w14:paraId="6DC9942D" w14:textId="357D7983" w:rsidR="00480B30" w:rsidRPr="00286216" w:rsidRDefault="00480B30" w:rsidP="00480B30">
            <w:pPr>
              <w:pStyle w:val="StyleWisnow"/>
              <w:spacing w:line="180" w:lineRule="exact"/>
              <w:rPr>
                <w:color w:val="000000" w:themeColor="text1"/>
                <w:lang w:val="ru-RU"/>
              </w:rPr>
            </w:pPr>
            <w:r w:rsidRPr="00286216">
              <w:rPr>
                <w:color w:val="000000" w:themeColor="text1"/>
              </w:rPr>
              <w:t xml:space="preserve">у запропонованій редакції статті </w:t>
            </w:r>
            <w:r w:rsidRPr="00286216">
              <w:rPr>
                <w:color w:val="000000" w:themeColor="text1"/>
                <w:lang w:val="ru-RU"/>
              </w:rPr>
              <w:t>72</w:t>
            </w:r>
          </w:p>
          <w:p w14:paraId="29AB7214" w14:textId="77777777" w:rsidR="00480B30" w:rsidRPr="00286216" w:rsidRDefault="00480B30" w:rsidP="00480B30">
            <w:pPr>
              <w:pStyle w:val="StyleWisnow"/>
              <w:spacing w:line="180" w:lineRule="exact"/>
              <w:rPr>
                <w:color w:val="000000" w:themeColor="text1"/>
              </w:rPr>
            </w:pPr>
          </w:p>
          <w:p w14:paraId="6946688C" w14:textId="028A3146" w:rsidR="00480B30" w:rsidRPr="00286216" w:rsidRDefault="00480B30" w:rsidP="00480B30">
            <w:pPr>
              <w:pStyle w:val="StyleWisnow"/>
              <w:spacing w:line="180" w:lineRule="atLeast"/>
              <w:rPr>
                <w:color w:val="000000" w:themeColor="text1"/>
              </w:rPr>
            </w:pPr>
            <w:r w:rsidRPr="00286216">
              <w:rPr>
                <w:color w:val="000000" w:themeColor="text1"/>
              </w:rPr>
              <w:t>Відхилено</w:t>
            </w:r>
          </w:p>
          <w:p w14:paraId="4D25B9C5" w14:textId="77777777" w:rsidR="00480B30" w:rsidRPr="00286216" w:rsidRDefault="00480B30" w:rsidP="00480B30">
            <w:pPr>
              <w:pStyle w:val="StyleWisnow"/>
              <w:spacing w:line="180" w:lineRule="atLeast"/>
              <w:rPr>
                <w:color w:val="000000" w:themeColor="text1"/>
              </w:rPr>
            </w:pPr>
            <w:r w:rsidRPr="00286216">
              <w:rPr>
                <w:color w:val="000000" w:themeColor="text1"/>
              </w:rPr>
              <w:lastRenderedPageBreak/>
              <w:t>у зв'язку із зміною</w:t>
            </w:r>
          </w:p>
          <w:p w14:paraId="3B549E85" w14:textId="77777777" w:rsidR="00480B30" w:rsidRPr="00286216" w:rsidRDefault="00480B30" w:rsidP="00480B30">
            <w:pPr>
              <w:pStyle w:val="StyleWisnow"/>
              <w:spacing w:line="180" w:lineRule="atLeast"/>
              <w:rPr>
                <w:color w:val="000000" w:themeColor="text1"/>
              </w:rPr>
            </w:pPr>
            <w:r w:rsidRPr="00286216">
              <w:rPr>
                <w:color w:val="000000" w:themeColor="text1"/>
              </w:rPr>
              <w:t>редакції статті та виключенням положень частини другої із нечіткими формулюваннями щодо достатньо обґрунтованих  підстав та доведених фактів тощо</w:t>
            </w:r>
          </w:p>
          <w:p w14:paraId="385239FF" w14:textId="77777777" w:rsidR="00480B30" w:rsidRPr="00286216" w:rsidRDefault="00480B30" w:rsidP="00480B30">
            <w:pPr>
              <w:pStyle w:val="StyleWisnow"/>
              <w:rPr>
                <w:color w:val="000000" w:themeColor="text1"/>
              </w:rPr>
            </w:pPr>
          </w:p>
        </w:tc>
        <w:tc>
          <w:tcPr>
            <w:tcW w:w="4818" w:type="dxa"/>
          </w:tcPr>
          <w:p w14:paraId="4587B1C5" w14:textId="77777777" w:rsidR="00480B30" w:rsidRPr="00286216" w:rsidRDefault="00480B30" w:rsidP="00480B30">
            <w:pPr>
              <w:pStyle w:val="StyleZakonu"/>
              <w:rPr>
                <w:color w:val="000000" w:themeColor="text1"/>
              </w:rPr>
            </w:pPr>
          </w:p>
        </w:tc>
      </w:tr>
      <w:tr w:rsidR="00480B30" w:rsidRPr="00286216" w14:paraId="4947A2A7" w14:textId="77777777" w:rsidTr="00091AA5">
        <w:tc>
          <w:tcPr>
            <w:tcW w:w="576" w:type="dxa"/>
          </w:tcPr>
          <w:p w14:paraId="17E8E26C" w14:textId="77777777" w:rsidR="00480B30" w:rsidRPr="00286216" w:rsidRDefault="00480B30" w:rsidP="00480B30">
            <w:pPr>
              <w:pStyle w:val="StyleWisnow"/>
              <w:rPr>
                <w:color w:val="000000" w:themeColor="text1"/>
              </w:rPr>
            </w:pPr>
            <w:bookmarkStart w:id="926" w:name="n1202" w:colFirst="0" w:colLast="0"/>
            <w:bookmarkEnd w:id="925"/>
            <w:r w:rsidRPr="00286216">
              <w:rPr>
                <w:color w:val="000000" w:themeColor="text1"/>
              </w:rPr>
              <w:t>1202.</w:t>
            </w:r>
          </w:p>
        </w:tc>
        <w:tc>
          <w:tcPr>
            <w:tcW w:w="4818" w:type="dxa"/>
          </w:tcPr>
          <w:p w14:paraId="5C4301A8" w14:textId="77777777" w:rsidR="00480B30" w:rsidRPr="00286216" w:rsidRDefault="00480B30" w:rsidP="00480B30">
            <w:pPr>
              <w:pStyle w:val="StyleZakonu"/>
              <w:rPr>
                <w:color w:val="000000" w:themeColor="text1"/>
              </w:rPr>
            </w:pPr>
            <w:bookmarkStart w:id="927" w:name="_Ref18062670"/>
            <w:r w:rsidRPr="00286216">
              <w:rPr>
                <w:color w:val="000000" w:themeColor="text1"/>
              </w:rPr>
              <w:t>Стаття 69. Підстави для анулювання ліцензії на провадження певного виду професійної діяльності на ринках капіталу та організованих товарних ринках</w:t>
            </w:r>
            <w:bookmarkEnd w:id="927"/>
          </w:p>
        </w:tc>
        <w:tc>
          <w:tcPr>
            <w:tcW w:w="3686" w:type="dxa"/>
          </w:tcPr>
          <w:p w14:paraId="11A37242" w14:textId="6AAE3BB8" w:rsidR="00480B30" w:rsidRPr="00286216" w:rsidRDefault="00480B30" w:rsidP="00480B3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698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6631ADA"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Статтю 69 викласти в такій редакції:</w:t>
            </w:r>
          </w:p>
          <w:p w14:paraId="630A04F8"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«Стаття 69. Підстави для анулювання ліцензії на провадження певного виду професійної діяльності на ринках капіталу та організованих товарних ринках</w:t>
            </w:r>
          </w:p>
          <w:p w14:paraId="126D8DE4"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 Національна комісія з цінних паперів та фондового ринку має право анулювати видану ліцензію на провадження певного виду професійної діяльності на ринках капіталу та організованих товарних ринках, якщо:</w:t>
            </w:r>
          </w:p>
          <w:p w14:paraId="0FE9179B"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 професійний учасник ринків капіталу та організованих товарних ринків подав Національній комісії з цінних паперів та фондового ринку письмову заяву з проханням анулювати видану йому ліцензію на провадження певного виду професійної діяльності на ринках капіталу та організованих товарних ринках;</w:t>
            </w:r>
          </w:p>
          <w:p w14:paraId="7C3B5C7D"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2) професійний учасник ринків капіталу та організованих товарних ринків не розпочав провадження професійної діяльність на ринках капіталу та організованих товарних ринках та/або не надавав додаткові послуги, передбачені ліцензією на провадження певного виду професійної діяльності, протягом дванадцяти місяців з дати отримання ліцензії на провадження певного виду професійної діяльності на ринках капіталу та організованих товарних ринках, якщо інший строк не встановлено спеціальним законом, який регулює такий вид професійної діяльності;</w:t>
            </w:r>
          </w:p>
          <w:p w14:paraId="0C5816AF"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3) професійний учасник ринків капіталу та організованих товарних ринків не провадив професійної діяльності на ринках капіталу та організованих товарних ринках та/або не надавав додаткові послуги, передбачені ліцензією на провадження певного виду </w:t>
            </w:r>
            <w:r w:rsidRPr="00286216">
              <w:rPr>
                <w:color w:val="000000" w:themeColor="text1"/>
                <w:spacing w:val="-2"/>
                <w:szCs w:val="18"/>
              </w:rPr>
              <w:lastRenderedPageBreak/>
              <w:t>професійної діяльності, протягом шести календарних місяців поспіль, якщо інший строк не встановлено спеціальним законом, який регулює такий вид професійної діяльності.</w:t>
            </w:r>
          </w:p>
          <w:p w14:paraId="2A6AE103"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4) документи, які було подано професійним учасником ринків капіталу та організованих товарних ринків для видачі ліцензії, містять недостовірну інформацію;</w:t>
            </w:r>
          </w:p>
          <w:p w14:paraId="6146F4B9"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5) професійний учасник ринків капіталу та організованих товарних ринків отримав ліцензію на провадження певного виду професійної діяльності на ринках капіталу та організованих товарних ринках внаслідок вчинення ним протиправних дій;</w:t>
            </w:r>
          </w:p>
          <w:p w14:paraId="7A2745BB"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6) професійний учасник ринків капіталу та організованих товарних ринків вчинив системне та грубе порушення на ринках капіталу та організованих товарних ринках. </w:t>
            </w:r>
          </w:p>
          <w:p w14:paraId="4FAAFFAF"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Порушення на ринках капіталу та організованих товарних ринках вважається вчиненим системно, якщо:</w:t>
            </w:r>
          </w:p>
          <w:p w14:paraId="6E1FB403"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а) таке порушення є повторним протягом року з дня притягнення до відповідальності за попереднє порушення законодавства про ринки капіталу та організовані товарні ринки, або законодавства про захист прав споживачів фінансових послуг, порушенням тих же норм законодавства за умови, що рішення Національної комісія з цінних паперів та фондового ринку, яким було встановлено таке повторне порушення, не скасовано судом або щодо такого рішення судом не розглядається провадження у справі про оскарження його законності та скасування.</w:t>
            </w:r>
          </w:p>
          <w:p w14:paraId="5149D651"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Встановлення судом законності рішення Національної комісії з цінних паперів та фондового ринку про притягнення до відповідальності за повторне порушення після спливу року з дня притягнення до відповідальності за попереднє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на підставі підпункту «а» цього пункту;</w:t>
            </w:r>
          </w:p>
          <w:p w14:paraId="18AFCBC0"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б) таке порушення є третім протягом року з дня притягнення до відповідальності за порушення законодавства про ринки капіталу та організовані товарні ринки, або законодавства про захист прав споживачів фінансових послуг (далі – перше порушення) порушенням будь-яких норм такого законодавства, за умови, що рішення Національної комісія з цінних паперів та </w:t>
            </w:r>
            <w:r w:rsidRPr="00286216">
              <w:rPr>
                <w:color w:val="000000" w:themeColor="text1"/>
                <w:spacing w:val="-2"/>
                <w:szCs w:val="18"/>
              </w:rPr>
              <w:lastRenderedPageBreak/>
              <w:t xml:space="preserve">фондового ринку, яким було встановлено таке третє порушення не скасовано судом або щодо такого рішення судом не розглядається провадження у справі про оскарження його законності та скасування. </w:t>
            </w:r>
          </w:p>
          <w:p w14:paraId="2B2854ED"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Встановлення судом законності рішення Національної комісії з цінних паперів та фондового ринку про притягнення до відповідальності за третє порушення після спливу року з дня притягнення до відповідальності за перше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на підставі підпункту «б» цього пункту.</w:t>
            </w:r>
          </w:p>
          <w:p w14:paraId="454EC936"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Грубим порушенням на ринках капіталу та організованих товарних ринках є порушення вимог законодавства на ринках капіталу та організованих товарних ринках, вчинене з вини професійного учасника ринків капіталу та організованих товарних ринків шляхом дії або бездіяльності такого професійного учасника, якщо таке порушення завдало матеріальної шкоди клієнту/інвестору професійного учасника ринків капіталу та організованих товарних ринків та належить до грубих порушень згідно з класифікацією порушень на ринках капіталу та організованих товарних ринках, встановленою законом. </w:t>
            </w:r>
          </w:p>
          <w:p w14:paraId="7A89F089"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Факт завдання матеріальної шкоди клієнту/інвестору професійного учасника ринків капіталу та організованих товарних ринків та наявність вини у його діях або бездіяльності повинен бути встановленим Національною комісією з цінних паперів та фондового ринку, постійнодіючим третейським судом саморегулівної організації (за умови, що договір між професійним учасником ринків капіталу та організованих товарних ринків та клієнтом передбачає третейське застереження), або судом; </w:t>
            </w:r>
          </w:p>
          <w:p w14:paraId="18DDA265"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7) щодо професійного учасника ринків капіталу та організованих товарних ринків в Єдиному державному реєстрі юридичних осіб, фізичних осіб - підприємців та громадських формувань наявні відомості про державну реєстрацію припинення юридичної особи;</w:t>
            </w:r>
          </w:p>
          <w:p w14:paraId="09ABC274"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8) щодо професійного учасника ринків капіталу, який є банком, Національним банком України  прийнято рішення про відкликання банківської ліцензії та ліквідацію банку;</w:t>
            </w:r>
          </w:p>
          <w:p w14:paraId="1D4F93BD"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9) щодо професійного учасника ринків капіталу, який провадить діяльність із зберігання активів інститутів спільного </w:t>
            </w:r>
            <w:r w:rsidRPr="00286216">
              <w:rPr>
                <w:color w:val="000000" w:themeColor="text1"/>
                <w:spacing w:val="-2"/>
                <w:szCs w:val="18"/>
              </w:rPr>
              <w:lastRenderedPageBreak/>
              <w:t>інвестування та/або діяльність із зберігання активів пенсійних фондів Національною комісією з цінних паперів та фондового ринку прийнято рішення про анулювання ліцензії на провадження професійної діяльності на фондовому ринку - депозитарної діяльності, а саме депозитарної діяльності депозитарної установи;</w:t>
            </w:r>
          </w:p>
          <w:p w14:paraId="10E38AF6"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10) невідкриття рахунку у цінних паперах у Центральному депозитарії депозитарною установою у порядку, встановленому законом;</w:t>
            </w:r>
          </w:p>
          <w:p w14:paraId="0456B5EB"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11) професійного учасника ринків капіталу та організованих товарних ринків виключено з державного реєстру фінансових установ;</w:t>
            </w:r>
          </w:p>
          <w:p w14:paraId="0D8DB4D7"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12) професійний учасник ринків капіталу та організованих товарних ринків відсутній за місцезнаходженням, зазначеним у Єдиному державному реєстрі юридичних осіб та фізичних осіб - підприємців та громадських формувань;</w:t>
            </w:r>
          </w:p>
          <w:p w14:paraId="105F65FD"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13) професійний учасник ринків капіталу та організованих товарних ринків відмовив Національній комісії з цінних паперів та фондового ринку у проведенні перевірки </w:t>
            </w:r>
          </w:p>
          <w:p w14:paraId="36D85222"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14) професійний учасник ринків капіталу та організованих товарних ринків не виконав надіслане, зокрема, офіційним каналом зв’язку  розпорядження Національної комісії з цінних паперів та фондового ринку про усунення порушень законодавства про ринки капіталу та організовані товарні ринки (зокрема щодо порушення ліцензійних умов);</w:t>
            </w:r>
          </w:p>
          <w:p w14:paraId="23D3B72C"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15) професійний учасник ринків капіталу та організованих товарних ринків не вступив протягом строку, установленого законодавством, до саморегулівної організації за відповідним видом професійної діяльності та/або об'єднання професійних учасників, за умови реєстрації Національною комісією з цінних паперів та фондового ринку таких саморегулівних організацій та об’єднань;</w:t>
            </w:r>
          </w:p>
          <w:p w14:paraId="0C26DE24"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16) щодо професійного учасника ринків капіталу та організованих товарних ринків, який є управителем, надійшла вимога власників іпотечних облігацій про дострокове припинення повноважень управителя у зв’язку з вчиненням ним порушення законних прав та інтересів власників іпотечних облігацій, що призвело до збитків, які управитель не в змозі відшкодувати, або щодо яких ухиляється від відшкодування;</w:t>
            </w:r>
          </w:p>
          <w:p w14:paraId="4A24C5AC"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 xml:space="preserve">17) щодо професійного учасника ринків капіталу та організованих товарних ринків встановлено наявність контролерів, які є резидентами держав, що здійснюють збройну агресію проти України, у значенні, </w:t>
            </w:r>
            <w:r w:rsidRPr="00286216">
              <w:rPr>
                <w:color w:val="000000" w:themeColor="text1"/>
                <w:spacing w:val="-2"/>
                <w:szCs w:val="18"/>
              </w:rPr>
              <w:lastRenderedPageBreak/>
              <w:t>наведеному у статті 1 Закону України «Про оборону України»;</w:t>
            </w:r>
          </w:p>
          <w:p w14:paraId="7FC032F8"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18) професійний учасник ринків капіталу та організованих товарних ринків вчинив  дії, що мають ознаки маніпулювання на організованих ринках;</w:t>
            </w:r>
          </w:p>
          <w:p w14:paraId="0B704BFC" w14:textId="77777777" w:rsidR="00480B30" w:rsidRPr="00286216" w:rsidRDefault="00480B30" w:rsidP="00480B30">
            <w:pPr>
              <w:pStyle w:val="StyleProp"/>
              <w:spacing w:line="180" w:lineRule="exact"/>
              <w:rPr>
                <w:color w:val="000000" w:themeColor="text1"/>
                <w:spacing w:val="-2"/>
                <w:szCs w:val="18"/>
              </w:rPr>
            </w:pPr>
            <w:r w:rsidRPr="00286216">
              <w:rPr>
                <w:color w:val="000000" w:themeColor="text1"/>
                <w:spacing w:val="-2"/>
                <w:szCs w:val="18"/>
              </w:rPr>
              <w:t>19) професійний учасник ринків капіталу та організованих товарних ринків порушив заборону використання інсайдерської інформації;</w:t>
            </w:r>
          </w:p>
          <w:p w14:paraId="6E1FA7A2" w14:textId="77777777" w:rsidR="00480B30" w:rsidRPr="00286216" w:rsidRDefault="00480B30" w:rsidP="00480B30">
            <w:pPr>
              <w:pStyle w:val="StyleProp"/>
              <w:spacing w:line="180" w:lineRule="exact"/>
              <w:rPr>
                <w:color w:val="000000" w:themeColor="text1"/>
                <w:szCs w:val="18"/>
              </w:rPr>
            </w:pPr>
            <w:r w:rsidRPr="00286216">
              <w:rPr>
                <w:color w:val="000000" w:themeColor="text1"/>
                <w:spacing w:val="-2"/>
                <w:szCs w:val="18"/>
              </w:rPr>
              <w:t>20) з інших підстав прямо передбачених законом».</w:t>
            </w:r>
          </w:p>
        </w:tc>
        <w:tc>
          <w:tcPr>
            <w:tcW w:w="1987" w:type="dxa"/>
          </w:tcPr>
          <w:p w14:paraId="0B759934" w14:textId="60079A07" w:rsidR="00480B30" w:rsidRPr="00286216" w:rsidRDefault="00480B30" w:rsidP="00480B30">
            <w:pPr>
              <w:pStyle w:val="StyleWisnow"/>
              <w:rPr>
                <w:rFonts w:eastAsia="Calibri"/>
                <w:color w:val="000000" w:themeColor="text1"/>
              </w:rPr>
            </w:pPr>
            <w:r w:rsidRPr="00286216">
              <w:rPr>
                <w:color w:val="000000" w:themeColor="text1"/>
              </w:rPr>
              <w:lastRenderedPageBreak/>
              <w:t>Враховано редакційно</w:t>
            </w:r>
          </w:p>
        </w:tc>
        <w:tc>
          <w:tcPr>
            <w:tcW w:w="4818" w:type="dxa"/>
          </w:tcPr>
          <w:p w14:paraId="27299B1C" w14:textId="77777777" w:rsidR="00480B30" w:rsidRPr="00286216" w:rsidRDefault="00480B30" w:rsidP="00480B30">
            <w:pPr>
              <w:pStyle w:val="StyleZakonu"/>
              <w:rPr>
                <w:color w:val="000000" w:themeColor="text1"/>
              </w:rPr>
            </w:pPr>
            <w:r w:rsidRPr="00286216">
              <w:rPr>
                <w:color w:val="000000" w:themeColor="text1"/>
              </w:rPr>
              <w:t>Стаття 73. Підстави для анулювання ліцензії на провадження певного виду діяльності на ринках капіталу та організованих товарних ринках</w:t>
            </w:r>
          </w:p>
          <w:p w14:paraId="023059BE" w14:textId="77777777" w:rsidR="00480B30" w:rsidRPr="00286216" w:rsidRDefault="00480B30" w:rsidP="00480B30">
            <w:pPr>
              <w:pStyle w:val="StyleZakonu"/>
              <w:rPr>
                <w:color w:val="000000" w:themeColor="text1"/>
              </w:rPr>
            </w:pPr>
            <w:r w:rsidRPr="00286216">
              <w:rPr>
                <w:color w:val="000000" w:themeColor="text1"/>
              </w:rPr>
              <w:t>1. Національна комісія з цінних паперів та фондового ринку має право анулювати видану ліцензію на провадження певного виду діяльності на ринках капіталу та організованих товарних ринках у разі, якщо:</w:t>
            </w:r>
          </w:p>
          <w:p w14:paraId="13EF75F7" w14:textId="77777777" w:rsidR="00480B30" w:rsidRPr="00286216" w:rsidRDefault="00480B30" w:rsidP="00480B30">
            <w:pPr>
              <w:pStyle w:val="StyleZakonu"/>
              <w:rPr>
                <w:color w:val="000000" w:themeColor="text1"/>
              </w:rPr>
            </w:pPr>
            <w:r w:rsidRPr="00286216">
              <w:rPr>
                <w:color w:val="000000" w:themeColor="text1"/>
              </w:rPr>
              <w:t>1) професійний учасник ринків капіталу та організованих товарних ринків подав до Національної комісії з цінних паперів та фондового ринку письмову заяву з проханням анулювати видану йому ліцензію на провадження певного виду діяльності на ринках капіталу та організованих товарних ринках;</w:t>
            </w:r>
          </w:p>
          <w:p w14:paraId="648D3117" w14:textId="77777777" w:rsidR="00480B30" w:rsidRPr="00286216" w:rsidRDefault="00480B30" w:rsidP="00480B30">
            <w:pPr>
              <w:pStyle w:val="StyleZakonu"/>
              <w:rPr>
                <w:color w:val="000000" w:themeColor="text1"/>
              </w:rPr>
            </w:pPr>
            <w:r w:rsidRPr="00286216">
              <w:rPr>
                <w:color w:val="000000" w:themeColor="text1"/>
              </w:rPr>
              <w:t>2) професійний учасник ринків капіталу та організованих товарних ринків не розпочав провадження професійної діяльності на ринках капіталу та організованих товарних ринках та/або не надавав додаткові послуги, передбачені ліцензією на провадження певного виду діяльності, протягом 12 місяців з дати отримання такої ліцензії, якщо інший строк не встановлено спеціальним законом, що регулює такий вид професійної діяльності;</w:t>
            </w:r>
          </w:p>
          <w:p w14:paraId="17A11E38" w14:textId="77777777" w:rsidR="00480B30" w:rsidRPr="00286216" w:rsidRDefault="00480B30" w:rsidP="00480B30">
            <w:pPr>
              <w:pStyle w:val="StyleZakonu"/>
              <w:rPr>
                <w:color w:val="000000" w:themeColor="text1"/>
              </w:rPr>
            </w:pPr>
            <w:r w:rsidRPr="00286216">
              <w:rPr>
                <w:color w:val="000000" w:themeColor="text1"/>
              </w:rPr>
              <w:t xml:space="preserve">3) професійний учасник ринків капіталу та організованих товарних ринків не провадив професійну діяльність на ринках капіталу та організованих товарних ринках та/або не надавав додаткові послуги, передбачені ліцензією на провадження певного виду професійної діяльності, протягом шести місяців поспіль, якщо інший строк не встановлено спеціальним законом, що регулює такий </w:t>
            </w:r>
            <w:r w:rsidRPr="00286216">
              <w:rPr>
                <w:color w:val="000000" w:themeColor="text1"/>
              </w:rPr>
              <w:lastRenderedPageBreak/>
              <w:t>вид професійної діяльності.</w:t>
            </w:r>
          </w:p>
          <w:p w14:paraId="1B10FC2C" w14:textId="77777777" w:rsidR="00480B30" w:rsidRPr="00286216" w:rsidRDefault="00480B30" w:rsidP="00480B30">
            <w:pPr>
              <w:pStyle w:val="StyleZakonu"/>
              <w:rPr>
                <w:color w:val="000000" w:themeColor="text1"/>
              </w:rPr>
            </w:pPr>
            <w:r w:rsidRPr="00286216">
              <w:rPr>
                <w:color w:val="000000" w:themeColor="text1"/>
              </w:rPr>
              <w:t xml:space="preserve">4) документи, подані професійним учасником ринків капіталу та організованих товарних ринків для </w:t>
            </w:r>
            <w:r w:rsidRPr="00286216">
              <w:rPr>
                <w:color w:val="000000" w:themeColor="text1"/>
                <w:spacing w:val="-2"/>
                <w:szCs w:val="18"/>
              </w:rPr>
              <w:t xml:space="preserve">отримання </w:t>
            </w:r>
            <w:r w:rsidRPr="00286216">
              <w:rPr>
                <w:color w:val="000000" w:themeColor="text1"/>
              </w:rPr>
              <w:t>ліцензії, містять недостовірну інформацію;</w:t>
            </w:r>
          </w:p>
          <w:p w14:paraId="75A6F5CE" w14:textId="77777777" w:rsidR="00480B30" w:rsidRPr="00286216" w:rsidRDefault="00480B30" w:rsidP="00480B30">
            <w:pPr>
              <w:pStyle w:val="StyleZakonu"/>
              <w:rPr>
                <w:color w:val="000000" w:themeColor="text1"/>
              </w:rPr>
            </w:pPr>
            <w:r w:rsidRPr="00286216">
              <w:rPr>
                <w:color w:val="000000" w:themeColor="text1"/>
              </w:rPr>
              <w:t>5) професійний учасник ринків капіталу та організованих товарних ринків отримав ліцензію на провадження певного виду діяльності на ринках капіталу та організованих товарних ринках внаслідок вчинення ним протиправних дій;</w:t>
            </w:r>
          </w:p>
          <w:p w14:paraId="2130C72A" w14:textId="77777777" w:rsidR="00480B30" w:rsidRPr="00286216" w:rsidRDefault="00480B30" w:rsidP="00480B30">
            <w:pPr>
              <w:pStyle w:val="StyleZakonu"/>
              <w:rPr>
                <w:color w:val="000000" w:themeColor="text1"/>
              </w:rPr>
            </w:pPr>
            <w:r w:rsidRPr="00286216">
              <w:rPr>
                <w:color w:val="000000" w:themeColor="text1"/>
              </w:rPr>
              <w:t xml:space="preserve">6) професійний учасник ринків капіталу та організованих товарних ринків вчинив системне та грубе порушення на ринках капіталу та організованих товарних ринках. </w:t>
            </w:r>
          </w:p>
          <w:p w14:paraId="67555C50" w14:textId="77777777" w:rsidR="00480B30" w:rsidRPr="00286216" w:rsidRDefault="00480B30" w:rsidP="00480B30">
            <w:pPr>
              <w:pStyle w:val="StyleZakonu"/>
              <w:rPr>
                <w:color w:val="000000" w:themeColor="text1"/>
              </w:rPr>
            </w:pPr>
            <w:r w:rsidRPr="00286216">
              <w:rPr>
                <w:color w:val="000000" w:themeColor="text1"/>
              </w:rPr>
              <w:t>Порушення на ринках капіталу та організованих товарних ринках вважається вчиненим системно, якщо:</w:t>
            </w:r>
          </w:p>
          <w:p w14:paraId="50C362E5" w14:textId="77777777" w:rsidR="00480B30" w:rsidRPr="00286216" w:rsidRDefault="00480B30" w:rsidP="00480B30">
            <w:pPr>
              <w:pStyle w:val="StyleZakonu"/>
              <w:rPr>
                <w:color w:val="000000" w:themeColor="text1"/>
              </w:rPr>
            </w:pPr>
            <w:r w:rsidRPr="00286216">
              <w:rPr>
                <w:color w:val="000000" w:themeColor="text1"/>
              </w:rPr>
              <w:t>а) таке порушення є повторним протягом року з дня притягнення до відповідальності за попереднє порушення законодавства про ринки капіталу та організовані товарні ринки або законодавства про захист прав споживачів фінансових послуг, (далі – перше порушення) порушенням тих же норм такого законодавства, за умови що рішення Національної комісії з цінних паперів та фондового ринку, яким встановлено таке повторне порушення, не скасовано судом або щодо такого рішення судом не розглядається провадження у справі про оскарження його законності та скасування.</w:t>
            </w:r>
          </w:p>
          <w:p w14:paraId="72B5D25D" w14:textId="77777777" w:rsidR="00480B30" w:rsidRPr="00286216" w:rsidRDefault="00480B30" w:rsidP="00480B30">
            <w:pPr>
              <w:pStyle w:val="StyleZakonu"/>
              <w:rPr>
                <w:color w:val="000000" w:themeColor="text1"/>
              </w:rPr>
            </w:pPr>
            <w:r w:rsidRPr="00286216">
              <w:rPr>
                <w:color w:val="000000" w:themeColor="text1"/>
              </w:rPr>
              <w:t>Встановлення судом законності рішення Національної комісії з цінних паперів та фондового ринку про притягнення до відповідальності за повторне порушення після спливу одного року з дня притягнення до відповідальності за перше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відповідно до цього пункту;</w:t>
            </w:r>
          </w:p>
          <w:p w14:paraId="44543E8F" w14:textId="77777777" w:rsidR="00480B30" w:rsidRPr="00286216" w:rsidRDefault="00480B30" w:rsidP="00480B30">
            <w:pPr>
              <w:pStyle w:val="StyleZakonu"/>
              <w:rPr>
                <w:color w:val="000000" w:themeColor="text1"/>
              </w:rPr>
            </w:pPr>
            <w:r w:rsidRPr="00286216">
              <w:rPr>
                <w:color w:val="000000" w:themeColor="text1"/>
              </w:rPr>
              <w:t xml:space="preserve">б) таке порушення є третім протягом року з дня притягнення до відповідальності за перше порушення порушенням будь-яких норм такого законодавства, за умови що рішення Національної комісії з цінних паперів та фондового ринку, яким встановлено таке </w:t>
            </w:r>
            <w:r w:rsidRPr="00286216">
              <w:rPr>
                <w:color w:val="000000" w:themeColor="text1"/>
              </w:rPr>
              <w:lastRenderedPageBreak/>
              <w:t xml:space="preserve">третє порушення, не скасовано судом або щодо такого рішення судом не розглядається провадження у справі про оскарження його законності та скасування. </w:t>
            </w:r>
          </w:p>
          <w:p w14:paraId="6EF0C8B1" w14:textId="77777777" w:rsidR="00480B30" w:rsidRPr="00286216" w:rsidRDefault="00480B30" w:rsidP="00480B30">
            <w:pPr>
              <w:pStyle w:val="StyleZakonu"/>
              <w:rPr>
                <w:color w:val="000000" w:themeColor="text1"/>
              </w:rPr>
            </w:pPr>
            <w:r w:rsidRPr="00286216">
              <w:rPr>
                <w:color w:val="000000" w:themeColor="text1"/>
              </w:rPr>
              <w:t>Встановлення судом законності рішення Національної комісії з цінних паперів та фондового ринку про притягнення до відповідальності за третє порушення після спливу одного року з дня притягнення до відповідальності за перше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відповідно до цього пункту.</w:t>
            </w:r>
          </w:p>
          <w:p w14:paraId="265018DA" w14:textId="77777777" w:rsidR="00480B30" w:rsidRPr="00286216" w:rsidRDefault="00480B30" w:rsidP="00480B30">
            <w:pPr>
              <w:pStyle w:val="StyleZakonu"/>
              <w:rPr>
                <w:color w:val="000000" w:themeColor="text1"/>
              </w:rPr>
            </w:pPr>
            <w:r w:rsidRPr="00286216">
              <w:rPr>
                <w:color w:val="000000" w:themeColor="text1"/>
              </w:rPr>
              <w:t xml:space="preserve">Грубим порушенням на ринках капіталу та організованих товарних ринках є порушення вимог законодавства на ринках капіталу та організованих товарних ринках, вчинене з вини професійного учасника ринків капіталу та організованих товарних ринків шляхом дії або бездіяльності такого професійного учасника, якщо таке порушення завдало матеріальної шкоди клієнту/інвестору професійного учасника ринків капіталу та організованих товарних ринків та належить до грубих порушень згідно з класифікацією порушень на ринках капіталу та організованих товарних ринках, встановленою законом. </w:t>
            </w:r>
          </w:p>
          <w:p w14:paraId="69D6220F" w14:textId="77777777" w:rsidR="00480B30" w:rsidRPr="00286216" w:rsidRDefault="00480B30" w:rsidP="00480B30">
            <w:pPr>
              <w:pStyle w:val="StyleZakonu"/>
              <w:rPr>
                <w:color w:val="000000" w:themeColor="text1"/>
              </w:rPr>
            </w:pPr>
            <w:r w:rsidRPr="00286216">
              <w:rPr>
                <w:color w:val="000000" w:themeColor="text1"/>
              </w:rPr>
              <w:t xml:space="preserve">Факт завдання матеріальної шкоди клієнту/інвестору професійного учасника ринків капіталу та організованих товарних ринків та наявність у його діях вини або бездіяльності повинен бути встановленим судом; </w:t>
            </w:r>
          </w:p>
          <w:p w14:paraId="56E5827F" w14:textId="77777777" w:rsidR="00480B30" w:rsidRPr="00286216" w:rsidRDefault="00480B30" w:rsidP="00480B30">
            <w:pPr>
              <w:pStyle w:val="StyleZakonu"/>
              <w:rPr>
                <w:color w:val="000000" w:themeColor="text1"/>
              </w:rPr>
            </w:pPr>
            <w:r w:rsidRPr="00286216">
              <w:rPr>
                <w:color w:val="000000" w:themeColor="text1"/>
              </w:rPr>
              <w:t>7) щодо професійного учасника ринків капіталу та організованих товарних ринків в Єдиному державному реєстрі юридичних осіб, фізичних осіб - підприємців та громадських формувань наявні відомості про державну реєстрацію припинення юридичної особи;</w:t>
            </w:r>
          </w:p>
          <w:p w14:paraId="3DCC354D" w14:textId="77777777" w:rsidR="00480B30" w:rsidRPr="00286216" w:rsidRDefault="00480B30" w:rsidP="00480B30">
            <w:pPr>
              <w:pStyle w:val="StyleZakonu"/>
              <w:rPr>
                <w:color w:val="000000" w:themeColor="text1"/>
              </w:rPr>
            </w:pPr>
            <w:r w:rsidRPr="00286216">
              <w:rPr>
                <w:color w:val="000000" w:themeColor="text1"/>
              </w:rPr>
              <w:t>8) щодо професійного учасника ринків капіталу, який є банком, Національним банком України  прийнято рішення про відкликання банківської ліцензії та ліквідацію банку;</w:t>
            </w:r>
          </w:p>
          <w:p w14:paraId="5E25ABC7" w14:textId="77777777" w:rsidR="00480B30" w:rsidRPr="00286216" w:rsidRDefault="00480B30" w:rsidP="00480B30">
            <w:pPr>
              <w:pStyle w:val="StyleZakonu"/>
              <w:rPr>
                <w:color w:val="000000" w:themeColor="text1"/>
              </w:rPr>
            </w:pPr>
            <w:r w:rsidRPr="00286216">
              <w:rPr>
                <w:color w:val="000000" w:themeColor="text1"/>
              </w:rPr>
              <w:t xml:space="preserve">9) щодо професійного учасника ринків капіталу, який провадить діяльність із зберігання активів </w:t>
            </w:r>
            <w:r w:rsidRPr="00286216">
              <w:rPr>
                <w:color w:val="000000" w:themeColor="text1"/>
              </w:rPr>
              <w:lastRenderedPageBreak/>
              <w:t>інститутів спільного інвестування та/або діяльність із зберігання активів пенсійних фондів, Національною комісією з цінних паперів та фондового ринку прийнято рішення про анулювання ліцензії на провадження депозитарної діяльності депозитарної установи;</w:t>
            </w:r>
          </w:p>
          <w:p w14:paraId="663BE534" w14:textId="77777777" w:rsidR="00480B30" w:rsidRPr="00286216" w:rsidRDefault="00480B30" w:rsidP="00480B30">
            <w:pPr>
              <w:pStyle w:val="StyleZakonu"/>
              <w:rPr>
                <w:color w:val="000000" w:themeColor="text1"/>
              </w:rPr>
            </w:pPr>
            <w:r w:rsidRPr="00286216">
              <w:rPr>
                <w:color w:val="000000" w:themeColor="text1"/>
              </w:rPr>
              <w:t>10) депозитарною установою не відкрито рахунку у цінних паперах у Центральному депозитарії цінних паперів у порядку, встановленому законом;</w:t>
            </w:r>
          </w:p>
          <w:p w14:paraId="22D4FC05" w14:textId="77777777" w:rsidR="00480B30" w:rsidRPr="00286216" w:rsidRDefault="00480B30" w:rsidP="00480B30">
            <w:pPr>
              <w:pStyle w:val="StyleZakonu"/>
              <w:rPr>
                <w:color w:val="000000" w:themeColor="text1"/>
              </w:rPr>
            </w:pPr>
            <w:r w:rsidRPr="00286216">
              <w:rPr>
                <w:color w:val="000000" w:themeColor="text1"/>
              </w:rPr>
              <w:t>11) професійного учасника ринків капіталу та організованих товарних ринків виключено з державного реєстру фінансових установ;</w:t>
            </w:r>
          </w:p>
          <w:p w14:paraId="5FD51685" w14:textId="77777777" w:rsidR="00480B30" w:rsidRPr="00286216" w:rsidRDefault="00480B30" w:rsidP="00480B30">
            <w:pPr>
              <w:pStyle w:val="StyleZakonu"/>
              <w:rPr>
                <w:color w:val="000000" w:themeColor="text1"/>
              </w:rPr>
            </w:pPr>
            <w:r w:rsidRPr="00286216">
              <w:rPr>
                <w:color w:val="000000" w:themeColor="text1"/>
              </w:rPr>
              <w:t>12) професійний учасник ринків капіталу та організованих товарних ринків відсутній за місцезнаходженням, зазначеним у Єдиному державному реєстрі юридичних осіб, фізичних осіб - підприємців та громадських формувань;</w:t>
            </w:r>
          </w:p>
          <w:p w14:paraId="0CCDC9D5" w14:textId="77777777" w:rsidR="00480B30" w:rsidRPr="00286216" w:rsidRDefault="00480B30" w:rsidP="00480B30">
            <w:pPr>
              <w:pStyle w:val="StyleZakonu"/>
              <w:rPr>
                <w:color w:val="000000" w:themeColor="text1"/>
              </w:rPr>
            </w:pPr>
            <w:r w:rsidRPr="00286216">
              <w:rPr>
                <w:color w:val="000000" w:themeColor="text1"/>
              </w:rPr>
              <w:t>13) професійний учасник ринків капіталу та організованих товарних ринків відмовив Національній комісії з цінних паперів та фондового ринку у проведенні перевірки;</w:t>
            </w:r>
          </w:p>
          <w:p w14:paraId="4DC497DE" w14:textId="77777777" w:rsidR="00480B30" w:rsidRPr="00286216" w:rsidRDefault="00480B30" w:rsidP="00480B30">
            <w:pPr>
              <w:pStyle w:val="StyleZakonu"/>
              <w:rPr>
                <w:color w:val="000000" w:themeColor="text1"/>
              </w:rPr>
            </w:pPr>
            <w:r w:rsidRPr="00286216">
              <w:rPr>
                <w:color w:val="000000" w:themeColor="text1"/>
              </w:rPr>
              <w:t>14) професійний учасник ринків капіталу та організованих товарних ринків не виконав надіслане офіційним каналом зв’язку  розпорядження Національної комісії з цінних паперів та фондового ринку про усунення порушень законодавства про ринки капіталу та організовані товарні ринки (зокрема щодо порушення ліцензійних умов);</w:t>
            </w:r>
          </w:p>
          <w:p w14:paraId="0A02EEED" w14:textId="77777777" w:rsidR="00480B30" w:rsidRPr="00286216" w:rsidRDefault="00480B30" w:rsidP="00480B30">
            <w:pPr>
              <w:pStyle w:val="StyleZakonu"/>
              <w:rPr>
                <w:color w:val="000000" w:themeColor="text1"/>
              </w:rPr>
            </w:pPr>
            <w:r w:rsidRPr="00286216">
              <w:rPr>
                <w:color w:val="000000" w:themeColor="text1"/>
              </w:rPr>
              <w:t>15) професійний учасник ринків капіталу та організованих товарних ринків не вступив протягом строку, встановленого законодавством, до саморегулівної організації за відповідним видом професійної діяльності за умови реєстрації Національною комісією з цінних паперів та фондового ринку такої саморегулівної організації;</w:t>
            </w:r>
          </w:p>
          <w:p w14:paraId="2D94B452" w14:textId="77777777" w:rsidR="00480B30" w:rsidRPr="00286216" w:rsidRDefault="00480B30" w:rsidP="00480B30">
            <w:pPr>
              <w:pStyle w:val="StyleZakonu"/>
              <w:rPr>
                <w:color w:val="000000" w:themeColor="text1"/>
              </w:rPr>
            </w:pPr>
            <w:r w:rsidRPr="00286216">
              <w:rPr>
                <w:color w:val="000000" w:themeColor="text1"/>
              </w:rPr>
              <w:t>16) щодо професійного учасника ринків капіталу та організованих товарних ринків, який є управителем, надійшла вимога власників іпотечних облігацій про дострокове припинення повноважень управителя у зв’язку з вчиненням ним порушення законних прав та інтересів власників іпотечних облігацій, що призвело до збитків, які управитель не в змозі відшкодувати або ухиляється відшкодувати;</w:t>
            </w:r>
          </w:p>
          <w:p w14:paraId="3CD6666F" w14:textId="77777777" w:rsidR="00480B30" w:rsidRPr="00286216" w:rsidRDefault="00480B30" w:rsidP="00480B30">
            <w:pPr>
              <w:pStyle w:val="StyleZakonu"/>
              <w:rPr>
                <w:color w:val="000000" w:themeColor="text1"/>
              </w:rPr>
            </w:pPr>
            <w:r w:rsidRPr="00286216">
              <w:rPr>
                <w:color w:val="000000" w:themeColor="text1"/>
              </w:rPr>
              <w:lastRenderedPageBreak/>
              <w:t>17) щодо професійного учасника ринків капіталу та організованих товарних ринків встановлено наявність контролерів, які є резидентами держав, що здійснюють збройну агресію проти України у значенні, наведеному у статті 1 Закону України «Про оборону України»;</w:t>
            </w:r>
          </w:p>
          <w:p w14:paraId="08249675" w14:textId="77777777" w:rsidR="00480B30" w:rsidRPr="00286216" w:rsidRDefault="00480B30" w:rsidP="00480B30">
            <w:pPr>
              <w:pStyle w:val="StyleZakonu"/>
              <w:rPr>
                <w:color w:val="000000" w:themeColor="text1"/>
              </w:rPr>
            </w:pPr>
            <w:r w:rsidRPr="00286216">
              <w:rPr>
                <w:color w:val="000000" w:themeColor="text1"/>
              </w:rPr>
              <w:t>18) професійний учасник ринків капіталу та організованих товарних ринків вчинив дії, що мають ознаки маніпулювання на організованих ринках;</w:t>
            </w:r>
          </w:p>
          <w:p w14:paraId="7EACA9B7" w14:textId="77777777" w:rsidR="00480B30" w:rsidRPr="00286216" w:rsidRDefault="00480B30" w:rsidP="00480B30">
            <w:pPr>
              <w:pStyle w:val="StyleZakonu"/>
              <w:rPr>
                <w:color w:val="000000" w:themeColor="text1"/>
              </w:rPr>
            </w:pPr>
            <w:r w:rsidRPr="00286216">
              <w:rPr>
                <w:color w:val="000000" w:themeColor="text1"/>
              </w:rPr>
              <w:t>19) професійний учасник ринків капіталу та організованих товарних ринків порушив заборону використання інсайдерської інформації;</w:t>
            </w:r>
          </w:p>
          <w:p w14:paraId="10C3F982" w14:textId="40F7DFEB" w:rsidR="00480B30" w:rsidRPr="00286216" w:rsidRDefault="00480B30" w:rsidP="00480B30">
            <w:pPr>
              <w:pStyle w:val="StyleZakonu"/>
              <w:rPr>
                <w:color w:val="000000" w:themeColor="text1"/>
              </w:rPr>
            </w:pPr>
            <w:r w:rsidRPr="00286216">
              <w:rPr>
                <w:color w:val="000000" w:themeColor="text1"/>
              </w:rPr>
              <w:t>20) з інших підстав, прямо передбачених законом.</w:t>
            </w:r>
          </w:p>
        </w:tc>
      </w:tr>
      <w:tr w:rsidR="00480B30" w:rsidRPr="00286216" w14:paraId="73A3CC6D" w14:textId="77777777" w:rsidTr="00091AA5">
        <w:tc>
          <w:tcPr>
            <w:tcW w:w="576" w:type="dxa"/>
          </w:tcPr>
          <w:p w14:paraId="5C37C3DF" w14:textId="77777777" w:rsidR="00480B30" w:rsidRPr="00286216" w:rsidRDefault="00480B30" w:rsidP="00480B30">
            <w:pPr>
              <w:pStyle w:val="StyleWisnow"/>
              <w:rPr>
                <w:color w:val="000000" w:themeColor="text1"/>
              </w:rPr>
            </w:pPr>
            <w:bookmarkStart w:id="928" w:name="n1203" w:colFirst="0" w:colLast="0"/>
            <w:bookmarkEnd w:id="926"/>
            <w:r w:rsidRPr="00286216">
              <w:rPr>
                <w:color w:val="000000" w:themeColor="text1"/>
              </w:rPr>
              <w:lastRenderedPageBreak/>
              <w:t>1203.</w:t>
            </w:r>
          </w:p>
        </w:tc>
        <w:tc>
          <w:tcPr>
            <w:tcW w:w="4818" w:type="dxa"/>
          </w:tcPr>
          <w:p w14:paraId="62622EBB" w14:textId="77777777" w:rsidR="00480B30" w:rsidRPr="00286216" w:rsidRDefault="00480B30" w:rsidP="00480B30">
            <w:pPr>
              <w:pStyle w:val="StyleZakonu"/>
              <w:rPr>
                <w:color w:val="000000" w:themeColor="text1"/>
              </w:rPr>
            </w:pPr>
            <w:r w:rsidRPr="00286216">
              <w:rPr>
                <w:color w:val="000000" w:themeColor="text1"/>
              </w:rPr>
              <w:t>1. Національна комісія з цінних паперів та фондового ринку має право анулювати видану ліцензію на провадження певного виду професійної діяльності на ринках капіталу та організованих товарних ринках, якщо:</w:t>
            </w:r>
          </w:p>
        </w:tc>
        <w:tc>
          <w:tcPr>
            <w:tcW w:w="3686" w:type="dxa"/>
          </w:tcPr>
          <w:p w14:paraId="6BA7AB46" w14:textId="63842B5F" w:rsidR="00480B30" w:rsidRPr="00286216" w:rsidRDefault="00480B30" w:rsidP="00480B30">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699</w:t>
            </w:r>
            <w:r w:rsidRPr="00286216">
              <w:rPr>
                <w:color w:val="000000" w:themeColor="text1"/>
              </w:rPr>
              <w:fldChar w:fldCharType="end"/>
            </w:r>
            <w:r w:rsidRPr="00286216">
              <w:rPr>
                <w:color w:val="000000" w:themeColor="text1"/>
              </w:rPr>
              <w:t>-Н.д.Шахов С.В. (Реєстр.картка №114)</w:t>
            </w:r>
          </w:p>
          <w:p w14:paraId="1A62997D" w14:textId="77777777" w:rsidR="00480B30" w:rsidRPr="00286216" w:rsidRDefault="00480B30" w:rsidP="00480B30">
            <w:pPr>
              <w:pStyle w:val="StyleProp"/>
              <w:spacing w:line="180" w:lineRule="exact"/>
              <w:rPr>
                <w:color w:val="000000" w:themeColor="text1"/>
                <w:spacing w:val="-3"/>
              </w:rPr>
            </w:pPr>
            <w:r w:rsidRPr="00286216">
              <w:rPr>
                <w:color w:val="000000" w:themeColor="text1"/>
                <w:spacing w:val="-3"/>
              </w:rPr>
              <w:t>Абз.1 ч.1 ст. 69 викласти у такій редакції:</w:t>
            </w:r>
          </w:p>
          <w:p w14:paraId="53A70A07" w14:textId="77777777" w:rsidR="00480B30" w:rsidRPr="00286216" w:rsidRDefault="00480B30" w:rsidP="00480B30">
            <w:pPr>
              <w:pStyle w:val="StyleProp"/>
              <w:rPr>
                <w:color w:val="000000" w:themeColor="text1"/>
                <w:szCs w:val="18"/>
              </w:rPr>
            </w:pPr>
            <w:r w:rsidRPr="00286216">
              <w:rPr>
                <w:color w:val="000000" w:themeColor="text1"/>
                <w:szCs w:val="18"/>
              </w:rPr>
              <w:t>"1. Регулятор відповідного ринку має право анулювати видану ліцензію (інший дозвільний документ, визначений законодавством про товарні ринки)  на провадження певного виду професійної діяльності на ринках капіталу або організованих товарних ринках, якщо:"</w:t>
            </w:r>
          </w:p>
        </w:tc>
        <w:tc>
          <w:tcPr>
            <w:tcW w:w="1987" w:type="dxa"/>
          </w:tcPr>
          <w:p w14:paraId="4A38A288" w14:textId="77777777" w:rsidR="00480B30" w:rsidRPr="00286216" w:rsidRDefault="00480B30" w:rsidP="00480B30">
            <w:pPr>
              <w:pStyle w:val="StyleWisnow"/>
              <w:rPr>
                <w:color w:val="000000" w:themeColor="text1"/>
                <w:spacing w:val="-4"/>
              </w:rPr>
            </w:pPr>
            <w:r w:rsidRPr="00286216">
              <w:rPr>
                <w:color w:val="000000" w:themeColor="text1"/>
                <w:spacing w:val="-4"/>
              </w:rPr>
              <w:t>Відхилено</w:t>
            </w:r>
          </w:p>
          <w:p w14:paraId="79C01C23" w14:textId="77777777" w:rsidR="00480B30" w:rsidRPr="00286216" w:rsidRDefault="00480B30" w:rsidP="00480B30">
            <w:pPr>
              <w:pStyle w:val="StyleWisnow"/>
              <w:spacing w:line="180" w:lineRule="exact"/>
              <w:rPr>
                <w:color w:val="000000" w:themeColor="text1"/>
              </w:rPr>
            </w:pPr>
            <w:r w:rsidRPr="00286216">
              <w:rPr>
                <w:color w:val="000000" w:themeColor="text1"/>
                <w:spacing w:val="-4"/>
              </w:rPr>
              <w:t>Не передбачені інші регулятори, окрім НКЦПФР, або інші дозвільні документи, окрім ліцензій, як підстави провадження професійної діяльності на ринках капіталу та організованих товарних ринках, що видаються єдиним регулятором таких ринків - НКЦПФР</w:t>
            </w:r>
          </w:p>
        </w:tc>
        <w:tc>
          <w:tcPr>
            <w:tcW w:w="4818" w:type="dxa"/>
          </w:tcPr>
          <w:p w14:paraId="5A0457A9" w14:textId="77777777" w:rsidR="00480B30" w:rsidRPr="00286216" w:rsidRDefault="00480B30" w:rsidP="00480B30">
            <w:pPr>
              <w:pStyle w:val="StyleZakonu"/>
              <w:rPr>
                <w:color w:val="000000" w:themeColor="text1"/>
              </w:rPr>
            </w:pPr>
          </w:p>
        </w:tc>
      </w:tr>
      <w:tr w:rsidR="00826C07" w:rsidRPr="00286216" w14:paraId="4CBC5A0D" w14:textId="77777777" w:rsidTr="00091AA5">
        <w:tc>
          <w:tcPr>
            <w:tcW w:w="576" w:type="dxa"/>
          </w:tcPr>
          <w:p w14:paraId="6DE67039" w14:textId="77777777" w:rsidR="00826C07" w:rsidRPr="00286216" w:rsidRDefault="00826C07" w:rsidP="00826C07">
            <w:pPr>
              <w:pStyle w:val="StyleWisnow"/>
              <w:rPr>
                <w:color w:val="000000" w:themeColor="text1"/>
              </w:rPr>
            </w:pPr>
            <w:bookmarkStart w:id="929" w:name="n1204" w:colFirst="0" w:colLast="0"/>
            <w:bookmarkEnd w:id="928"/>
            <w:r w:rsidRPr="00286216">
              <w:rPr>
                <w:color w:val="000000" w:themeColor="text1"/>
              </w:rPr>
              <w:t>1204.</w:t>
            </w:r>
          </w:p>
        </w:tc>
        <w:tc>
          <w:tcPr>
            <w:tcW w:w="4818" w:type="dxa"/>
          </w:tcPr>
          <w:p w14:paraId="3C6C3A03" w14:textId="77777777" w:rsidR="00826C07" w:rsidRPr="00286216" w:rsidRDefault="00826C07" w:rsidP="00826C07">
            <w:pPr>
              <w:pStyle w:val="StyleZakonu"/>
              <w:rPr>
                <w:color w:val="000000" w:themeColor="text1"/>
              </w:rPr>
            </w:pPr>
            <w:r w:rsidRPr="00286216">
              <w:rPr>
                <w:color w:val="000000" w:themeColor="text1"/>
              </w:rPr>
              <w:t>1) професійний учасник ринків капіталу та організованих товарних ринків подав Національній комісії з цінних паперів та фондового ринку письмову заяву з проханням анулювати видану йому ліцензію на провадження певного виду професійної діяльності на ринках капіталу та організованих товарних ринках;</w:t>
            </w:r>
          </w:p>
        </w:tc>
        <w:tc>
          <w:tcPr>
            <w:tcW w:w="3686" w:type="dxa"/>
          </w:tcPr>
          <w:p w14:paraId="1EFA4FF2" w14:textId="48604556"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700</w:t>
            </w:r>
            <w:r w:rsidRPr="00286216">
              <w:rPr>
                <w:color w:val="000000" w:themeColor="text1"/>
              </w:rPr>
              <w:fldChar w:fldCharType="end"/>
            </w:r>
            <w:r w:rsidRPr="00286216">
              <w:rPr>
                <w:color w:val="000000" w:themeColor="text1"/>
              </w:rPr>
              <w:t>-Н.д.Шахов С.В. (Реєстр.картка №114)</w:t>
            </w:r>
          </w:p>
          <w:p w14:paraId="03D9BC00" w14:textId="77777777" w:rsidR="00826C07" w:rsidRPr="00286216" w:rsidRDefault="00826C07" w:rsidP="00826C07">
            <w:pPr>
              <w:pStyle w:val="StyleProp"/>
              <w:rPr>
                <w:color w:val="000000" w:themeColor="text1"/>
              </w:rPr>
            </w:pPr>
            <w:r w:rsidRPr="00286216">
              <w:rPr>
                <w:color w:val="000000" w:themeColor="text1"/>
              </w:rPr>
              <w:t xml:space="preserve">У п.1 </w:t>
            </w:r>
            <w:r w:rsidRPr="00286216">
              <w:rPr>
                <w:color w:val="000000" w:themeColor="text1"/>
                <w:spacing w:val="-3"/>
              </w:rPr>
              <w:t xml:space="preserve">ч.1 ст. 69 </w:t>
            </w:r>
            <w:r w:rsidRPr="00286216">
              <w:rPr>
                <w:color w:val="000000" w:themeColor="text1"/>
              </w:rPr>
              <w:t>слова "ринків капіталу та організованих товарних ринків" замінити словами "ринків капіталу або організованих товарних ринків".</w:t>
            </w:r>
          </w:p>
        </w:tc>
        <w:tc>
          <w:tcPr>
            <w:tcW w:w="1987" w:type="dxa"/>
          </w:tcPr>
          <w:p w14:paraId="530E119C" w14:textId="77777777" w:rsidR="00826C07" w:rsidRPr="00286216" w:rsidRDefault="00826C07" w:rsidP="00826C07">
            <w:pPr>
              <w:pStyle w:val="StyleWisnow"/>
              <w:rPr>
                <w:color w:val="000000" w:themeColor="text1"/>
              </w:rPr>
            </w:pPr>
            <w:r w:rsidRPr="00286216">
              <w:rPr>
                <w:color w:val="000000" w:themeColor="text1"/>
              </w:rPr>
              <w:t>Відхилено</w:t>
            </w:r>
          </w:p>
          <w:p w14:paraId="5DC65DB2" w14:textId="77777777" w:rsidR="00826C07" w:rsidRPr="00286216" w:rsidRDefault="00826C07" w:rsidP="00826C07">
            <w:pPr>
              <w:pStyle w:val="StyleWisnow"/>
              <w:spacing w:line="18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1E054F35" w14:textId="77777777" w:rsidR="00826C07" w:rsidRPr="00286216" w:rsidRDefault="00826C07" w:rsidP="00826C07">
            <w:pPr>
              <w:pStyle w:val="StyleZakonu"/>
              <w:rPr>
                <w:color w:val="000000" w:themeColor="text1"/>
              </w:rPr>
            </w:pPr>
          </w:p>
        </w:tc>
      </w:tr>
      <w:tr w:rsidR="00826C07" w:rsidRPr="00286216" w14:paraId="505A0D09" w14:textId="77777777" w:rsidTr="00091AA5">
        <w:tc>
          <w:tcPr>
            <w:tcW w:w="576" w:type="dxa"/>
          </w:tcPr>
          <w:p w14:paraId="70D78E98" w14:textId="77777777" w:rsidR="00826C07" w:rsidRPr="00286216" w:rsidRDefault="00826C07" w:rsidP="00826C07">
            <w:pPr>
              <w:pStyle w:val="StyleWisnow"/>
              <w:rPr>
                <w:color w:val="000000" w:themeColor="text1"/>
              </w:rPr>
            </w:pPr>
            <w:bookmarkStart w:id="930" w:name="n1205" w:colFirst="0" w:colLast="0"/>
            <w:bookmarkEnd w:id="929"/>
            <w:r w:rsidRPr="00286216">
              <w:rPr>
                <w:color w:val="000000" w:themeColor="text1"/>
              </w:rPr>
              <w:t>1205.</w:t>
            </w:r>
          </w:p>
        </w:tc>
        <w:tc>
          <w:tcPr>
            <w:tcW w:w="4818" w:type="dxa"/>
          </w:tcPr>
          <w:p w14:paraId="18865050" w14:textId="77777777" w:rsidR="00826C07" w:rsidRPr="00286216" w:rsidRDefault="00826C07" w:rsidP="00826C07">
            <w:pPr>
              <w:pStyle w:val="StyleZakonu"/>
              <w:rPr>
                <w:color w:val="000000" w:themeColor="text1"/>
              </w:rPr>
            </w:pPr>
            <w:r w:rsidRPr="00286216">
              <w:rPr>
                <w:color w:val="000000" w:themeColor="text1"/>
              </w:rPr>
              <w:t>2) професійний учасник ринків капіталу та організованих товарних ринків не розпочав провадження професійної діяльність на ринках капіталу та організованих товарних ринках протягом дванадцяти місяців з дати отримання ліцензії на провадження певного виду професійної діяльності на ринках капіталу та організованих товарних ринках;</w:t>
            </w:r>
          </w:p>
        </w:tc>
        <w:tc>
          <w:tcPr>
            <w:tcW w:w="3686" w:type="dxa"/>
          </w:tcPr>
          <w:p w14:paraId="73C3C089" w14:textId="276EE842"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701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7BE3FCE"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Підпункт 2 частини першої статті 69 доповнити словами "якщо інше не встановлено законом".</w:t>
            </w:r>
          </w:p>
          <w:p w14:paraId="18A29B61" w14:textId="40B0E1EB"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702</w:t>
            </w:r>
            <w:r w:rsidRPr="00286216">
              <w:rPr>
                <w:color w:val="000000" w:themeColor="text1"/>
              </w:rPr>
              <w:fldChar w:fldCharType="end"/>
            </w:r>
            <w:r w:rsidRPr="00286216">
              <w:rPr>
                <w:color w:val="000000" w:themeColor="text1"/>
              </w:rPr>
              <w:t>-Н.д.Шахов С.В. (Реєстр.картка №114)</w:t>
            </w:r>
          </w:p>
          <w:p w14:paraId="312F8E0A" w14:textId="77777777" w:rsidR="00826C07" w:rsidRPr="00286216" w:rsidRDefault="00826C07" w:rsidP="00826C07">
            <w:pPr>
              <w:pStyle w:val="StyleProp"/>
              <w:rPr>
                <w:rFonts w:eastAsia="Calibri"/>
                <w:color w:val="000000" w:themeColor="text1"/>
                <w:szCs w:val="18"/>
              </w:rPr>
            </w:pPr>
            <w:r w:rsidRPr="00286216">
              <w:rPr>
                <w:color w:val="000000" w:themeColor="text1"/>
              </w:rPr>
              <w:t xml:space="preserve">У п.2 </w:t>
            </w:r>
            <w:r w:rsidRPr="00286216">
              <w:rPr>
                <w:color w:val="000000" w:themeColor="text1"/>
                <w:spacing w:val="-3"/>
              </w:rPr>
              <w:t xml:space="preserve">ч.1 ст. 69 </w:t>
            </w:r>
            <w:r w:rsidRPr="00286216">
              <w:rPr>
                <w:color w:val="000000" w:themeColor="text1"/>
              </w:rPr>
              <w:t>слова "ринків капіталу та організованих товарних ринків" замінити словами "ринків капіталу або організованих товарних ринків"</w:t>
            </w:r>
            <w:r w:rsidRPr="00286216">
              <w:rPr>
                <w:rFonts w:eastAsia="Calibri"/>
                <w:color w:val="000000" w:themeColor="text1"/>
                <w:szCs w:val="18"/>
              </w:rPr>
              <w:t>.</w:t>
            </w:r>
          </w:p>
        </w:tc>
        <w:tc>
          <w:tcPr>
            <w:tcW w:w="1987" w:type="dxa"/>
          </w:tcPr>
          <w:p w14:paraId="0868D926"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395F2D2B"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69</w:t>
            </w:r>
          </w:p>
          <w:p w14:paraId="1354A477" w14:textId="77777777" w:rsidR="00826C07" w:rsidRPr="00286216" w:rsidRDefault="00826C07" w:rsidP="00826C07">
            <w:pPr>
              <w:pStyle w:val="StyleWisnow"/>
              <w:rPr>
                <w:color w:val="000000" w:themeColor="text1"/>
              </w:rPr>
            </w:pPr>
          </w:p>
          <w:p w14:paraId="3136148A" w14:textId="77777777" w:rsidR="00826C07" w:rsidRPr="00286216" w:rsidRDefault="00826C07" w:rsidP="00826C07">
            <w:pPr>
              <w:pStyle w:val="StyleWisnow"/>
              <w:rPr>
                <w:color w:val="000000" w:themeColor="text1"/>
              </w:rPr>
            </w:pPr>
            <w:r w:rsidRPr="00286216">
              <w:rPr>
                <w:color w:val="000000" w:themeColor="text1"/>
              </w:rPr>
              <w:t>Відхилено</w:t>
            </w:r>
          </w:p>
          <w:p w14:paraId="02BECB87" w14:textId="77777777" w:rsidR="00826C07" w:rsidRPr="00286216" w:rsidRDefault="00826C07" w:rsidP="00826C07">
            <w:pPr>
              <w:pStyle w:val="StyleWisnow"/>
              <w:spacing w:line="18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6C92A1E7" w14:textId="77777777" w:rsidR="00826C07" w:rsidRPr="00286216" w:rsidRDefault="00826C07" w:rsidP="00826C07">
            <w:pPr>
              <w:pStyle w:val="StyleZakonu"/>
              <w:rPr>
                <w:color w:val="000000" w:themeColor="text1"/>
              </w:rPr>
            </w:pPr>
          </w:p>
        </w:tc>
      </w:tr>
      <w:tr w:rsidR="00826C07" w:rsidRPr="00286216" w14:paraId="758639CF" w14:textId="77777777" w:rsidTr="00091AA5">
        <w:tc>
          <w:tcPr>
            <w:tcW w:w="576" w:type="dxa"/>
          </w:tcPr>
          <w:p w14:paraId="29B2F540" w14:textId="77777777" w:rsidR="00826C07" w:rsidRPr="00286216" w:rsidRDefault="00826C07" w:rsidP="00826C07">
            <w:pPr>
              <w:pStyle w:val="StyleWisnow"/>
              <w:rPr>
                <w:color w:val="000000" w:themeColor="text1"/>
              </w:rPr>
            </w:pPr>
            <w:bookmarkStart w:id="931" w:name="n1206" w:colFirst="0" w:colLast="0"/>
            <w:bookmarkEnd w:id="930"/>
            <w:r w:rsidRPr="00286216">
              <w:rPr>
                <w:color w:val="000000" w:themeColor="text1"/>
              </w:rPr>
              <w:t>1206.</w:t>
            </w:r>
          </w:p>
        </w:tc>
        <w:tc>
          <w:tcPr>
            <w:tcW w:w="4818" w:type="dxa"/>
          </w:tcPr>
          <w:p w14:paraId="51777011" w14:textId="77777777" w:rsidR="00826C07" w:rsidRPr="00286216" w:rsidRDefault="00826C07" w:rsidP="00826C07">
            <w:pPr>
              <w:pStyle w:val="StyleZakonu"/>
              <w:rPr>
                <w:color w:val="000000" w:themeColor="text1"/>
              </w:rPr>
            </w:pPr>
            <w:r w:rsidRPr="00286216">
              <w:rPr>
                <w:color w:val="000000" w:themeColor="text1"/>
              </w:rPr>
              <w:t xml:space="preserve">3) професійний учасник ринків капіталу та організованих товарних ринків не провадить професійної діяльності на ринках капіталу та організованих товарних ринках та не провадив таку професійну діяльність протягом шести календарних </w:t>
            </w:r>
            <w:r w:rsidRPr="00286216">
              <w:rPr>
                <w:color w:val="000000" w:themeColor="text1"/>
              </w:rPr>
              <w:lastRenderedPageBreak/>
              <w:t>місяців поспіль;</w:t>
            </w:r>
          </w:p>
        </w:tc>
        <w:tc>
          <w:tcPr>
            <w:tcW w:w="3686" w:type="dxa"/>
          </w:tcPr>
          <w:p w14:paraId="6E131184" w14:textId="5E5C5BCC" w:rsidR="00826C07" w:rsidRPr="00286216" w:rsidRDefault="00826C07" w:rsidP="00826C0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703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C93F0E2"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У підпункті 3) статті 69 розділу 1 проекту слово «шести» замінити словом «дванадцяти» та доповнити підпункт словами "якщо інше не встановлено законом".</w:t>
            </w:r>
          </w:p>
          <w:p w14:paraId="028CF8BB" w14:textId="170CE822" w:rsidR="00826C07" w:rsidRPr="00286216" w:rsidRDefault="00826C07" w:rsidP="00826C07">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704</w:t>
            </w:r>
            <w:r w:rsidRPr="00286216">
              <w:rPr>
                <w:color w:val="000000" w:themeColor="text1"/>
              </w:rPr>
              <w:fldChar w:fldCharType="end"/>
            </w:r>
            <w:r w:rsidRPr="00286216">
              <w:rPr>
                <w:color w:val="000000" w:themeColor="text1"/>
              </w:rPr>
              <w:t>-Н.д.Шахов С.В. (Реєстр.картка №114)</w:t>
            </w:r>
          </w:p>
          <w:p w14:paraId="752EBD53" w14:textId="77777777" w:rsidR="00826C07" w:rsidRPr="00286216" w:rsidRDefault="00826C07" w:rsidP="00826C07">
            <w:pPr>
              <w:pStyle w:val="StyleProp"/>
              <w:rPr>
                <w:color w:val="000000" w:themeColor="text1"/>
                <w:szCs w:val="18"/>
              </w:rPr>
            </w:pPr>
            <w:r w:rsidRPr="00286216">
              <w:rPr>
                <w:color w:val="000000" w:themeColor="text1"/>
              </w:rPr>
              <w:t xml:space="preserve">У п.3 </w:t>
            </w:r>
            <w:r w:rsidRPr="00286216">
              <w:rPr>
                <w:color w:val="000000" w:themeColor="text1"/>
                <w:spacing w:val="-3"/>
              </w:rPr>
              <w:t xml:space="preserve">ч.1 ст. 69 </w:t>
            </w:r>
            <w:r w:rsidRPr="00286216">
              <w:rPr>
                <w:color w:val="000000" w:themeColor="text1"/>
              </w:rPr>
              <w:t>слова "ринків капіталу та організованих товарних ринків" замінити словами "ринків капіталу або організованих товарних ринків".</w:t>
            </w:r>
          </w:p>
        </w:tc>
        <w:tc>
          <w:tcPr>
            <w:tcW w:w="1987" w:type="dxa"/>
          </w:tcPr>
          <w:p w14:paraId="1D221D7B" w14:textId="5F32179A" w:rsidR="00826C07" w:rsidRPr="00286216" w:rsidRDefault="00826C07" w:rsidP="00826C07">
            <w:pPr>
              <w:pStyle w:val="StyleWisnow"/>
              <w:rPr>
                <w:color w:val="000000" w:themeColor="text1"/>
              </w:rPr>
            </w:pPr>
            <w:r w:rsidRPr="00286216">
              <w:rPr>
                <w:color w:val="000000" w:themeColor="text1"/>
              </w:rPr>
              <w:lastRenderedPageBreak/>
              <w:t>Враховано частково</w:t>
            </w:r>
          </w:p>
          <w:p w14:paraId="40D1B9B2"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пункту «а» статті 8 Директиви MiFID II</w:t>
            </w:r>
          </w:p>
          <w:p w14:paraId="48CDBC7A" w14:textId="77777777" w:rsidR="00826C07" w:rsidRPr="00286216" w:rsidRDefault="00826C07" w:rsidP="00826C07">
            <w:pPr>
              <w:pStyle w:val="StyleWisnow"/>
              <w:rPr>
                <w:color w:val="000000" w:themeColor="text1"/>
              </w:rPr>
            </w:pPr>
          </w:p>
          <w:p w14:paraId="17C473DB" w14:textId="77777777" w:rsidR="00826C07" w:rsidRPr="00286216" w:rsidRDefault="00826C07" w:rsidP="00826C07">
            <w:pPr>
              <w:pStyle w:val="StyleWisnow"/>
              <w:rPr>
                <w:color w:val="000000" w:themeColor="text1"/>
              </w:rPr>
            </w:pPr>
            <w:r w:rsidRPr="00286216">
              <w:rPr>
                <w:color w:val="000000" w:themeColor="text1"/>
              </w:rPr>
              <w:lastRenderedPageBreak/>
              <w:t>Відхилено</w:t>
            </w:r>
          </w:p>
          <w:p w14:paraId="669D62BC" w14:textId="77777777" w:rsidR="00826C07" w:rsidRPr="00286216" w:rsidRDefault="00826C07" w:rsidP="00826C07">
            <w:pPr>
              <w:pStyle w:val="StyleWisnow"/>
              <w:spacing w:line="18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3EE1BFC2" w14:textId="77777777" w:rsidR="00826C07" w:rsidRPr="00286216" w:rsidRDefault="00826C07" w:rsidP="00826C07">
            <w:pPr>
              <w:pStyle w:val="StyleZakonu"/>
              <w:rPr>
                <w:color w:val="000000" w:themeColor="text1"/>
              </w:rPr>
            </w:pPr>
          </w:p>
        </w:tc>
      </w:tr>
      <w:tr w:rsidR="00826C07" w:rsidRPr="00286216" w14:paraId="32E7D318" w14:textId="77777777" w:rsidTr="00091AA5">
        <w:tc>
          <w:tcPr>
            <w:tcW w:w="576" w:type="dxa"/>
          </w:tcPr>
          <w:p w14:paraId="3964AD37" w14:textId="77777777" w:rsidR="00826C07" w:rsidRPr="00286216" w:rsidRDefault="00826C07" w:rsidP="00826C07">
            <w:pPr>
              <w:pStyle w:val="StyleWisnow"/>
              <w:rPr>
                <w:color w:val="000000" w:themeColor="text1"/>
              </w:rPr>
            </w:pPr>
            <w:bookmarkStart w:id="932" w:name="n1207" w:colFirst="0" w:colLast="0"/>
            <w:bookmarkEnd w:id="931"/>
            <w:r w:rsidRPr="00286216">
              <w:rPr>
                <w:color w:val="000000" w:themeColor="text1"/>
              </w:rPr>
              <w:t>1207.</w:t>
            </w:r>
          </w:p>
        </w:tc>
        <w:tc>
          <w:tcPr>
            <w:tcW w:w="4818" w:type="dxa"/>
          </w:tcPr>
          <w:p w14:paraId="6655E9ED" w14:textId="77777777" w:rsidR="00826C07" w:rsidRPr="00286216" w:rsidRDefault="00826C07" w:rsidP="00826C07">
            <w:pPr>
              <w:pStyle w:val="StyleZakonu"/>
              <w:rPr>
                <w:color w:val="000000" w:themeColor="text1"/>
              </w:rPr>
            </w:pPr>
            <w:r w:rsidRPr="00286216">
              <w:rPr>
                <w:color w:val="000000" w:themeColor="text1"/>
              </w:rPr>
              <w:t>4) професійний учасник ринків капіталу та організованих товарних ринків не відповідає ліцензійним вимогам та/або вимогам до провадження певного виду професійної діяльності на ринках капіталу та організованих товарних ринках, встановленим законодавством;</w:t>
            </w:r>
          </w:p>
        </w:tc>
        <w:tc>
          <w:tcPr>
            <w:tcW w:w="3686" w:type="dxa"/>
          </w:tcPr>
          <w:p w14:paraId="08FC05DD" w14:textId="4E129378"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705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7799DD1"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Пункт 4 частини першої статті 69 викласти у такій редакції:</w:t>
            </w:r>
          </w:p>
          <w:p w14:paraId="1FA82D0D"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 xml:space="preserve">"4) повторне порушення учасником ринків капіталу та організованих товарних ринків ліцензійних умов. Повторним порушенням ліцензійних умов вважається вчинення протягом двох років з дня видання </w:t>
            </w:r>
            <w:r w:rsidRPr="00286216">
              <w:rPr>
                <w:color w:val="000000" w:themeColor="text1"/>
                <w:szCs w:val="18"/>
              </w:rPr>
              <w:t>Національною</w:t>
            </w:r>
            <w:r w:rsidRPr="00286216">
              <w:rPr>
                <w:rFonts w:eastAsia="Calibri"/>
                <w:color w:val="000000" w:themeColor="text1"/>
                <w:szCs w:val="18"/>
              </w:rPr>
              <w:t xml:space="preserve"> комісією з цінних паперів та фондового ринку  рішення про усунення порушень ліцензійних умов нового порушення хоча б однієї з ліцензійних умов, щодо якої видавалося таке рішення".</w:t>
            </w:r>
          </w:p>
        </w:tc>
        <w:tc>
          <w:tcPr>
            <w:tcW w:w="1987" w:type="dxa"/>
          </w:tcPr>
          <w:p w14:paraId="11D50233" w14:textId="77777777" w:rsidR="00826C07" w:rsidRPr="00286216" w:rsidRDefault="00826C07" w:rsidP="00826C07">
            <w:pPr>
              <w:pStyle w:val="StyleWisnow"/>
              <w:rPr>
                <w:color w:val="000000" w:themeColor="text1"/>
              </w:rPr>
            </w:pPr>
            <w:r w:rsidRPr="00286216">
              <w:rPr>
                <w:color w:val="000000" w:themeColor="text1"/>
              </w:rPr>
              <w:t>Враховано частково</w:t>
            </w:r>
          </w:p>
          <w:p w14:paraId="37871E8B" w14:textId="3F1BA3C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69</w:t>
            </w:r>
          </w:p>
        </w:tc>
        <w:tc>
          <w:tcPr>
            <w:tcW w:w="4818" w:type="dxa"/>
          </w:tcPr>
          <w:p w14:paraId="55AB97B5" w14:textId="77777777" w:rsidR="00826C07" w:rsidRPr="00286216" w:rsidRDefault="00826C07" w:rsidP="00826C07">
            <w:pPr>
              <w:pStyle w:val="StyleZakonu"/>
              <w:rPr>
                <w:color w:val="000000" w:themeColor="text1"/>
              </w:rPr>
            </w:pPr>
          </w:p>
        </w:tc>
      </w:tr>
      <w:bookmarkEnd w:id="932"/>
      <w:tr w:rsidR="00826C07" w:rsidRPr="00286216" w14:paraId="7050E1B6" w14:textId="77777777" w:rsidTr="00091AA5">
        <w:tc>
          <w:tcPr>
            <w:tcW w:w="576" w:type="dxa"/>
          </w:tcPr>
          <w:p w14:paraId="029A1F7B" w14:textId="77777777" w:rsidR="00826C07" w:rsidRPr="00286216" w:rsidRDefault="00826C07" w:rsidP="00826C07">
            <w:pPr>
              <w:pStyle w:val="StyleWisnow"/>
              <w:rPr>
                <w:color w:val="000000" w:themeColor="text1"/>
              </w:rPr>
            </w:pPr>
          </w:p>
        </w:tc>
        <w:tc>
          <w:tcPr>
            <w:tcW w:w="4818" w:type="dxa"/>
          </w:tcPr>
          <w:p w14:paraId="6DB66A67" w14:textId="77777777" w:rsidR="00826C07" w:rsidRPr="00286216" w:rsidRDefault="00826C07" w:rsidP="00826C07">
            <w:pPr>
              <w:pStyle w:val="StyleZakonu"/>
              <w:rPr>
                <w:color w:val="000000" w:themeColor="text1"/>
              </w:rPr>
            </w:pPr>
          </w:p>
        </w:tc>
        <w:tc>
          <w:tcPr>
            <w:tcW w:w="3686" w:type="dxa"/>
          </w:tcPr>
          <w:p w14:paraId="0A1CDE85" w14:textId="765E8426"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706</w:t>
            </w:r>
            <w:r w:rsidRPr="00286216">
              <w:rPr>
                <w:color w:val="000000" w:themeColor="text1"/>
              </w:rPr>
              <w:fldChar w:fldCharType="end"/>
            </w:r>
            <w:r w:rsidRPr="00286216">
              <w:rPr>
                <w:color w:val="000000" w:themeColor="text1"/>
              </w:rPr>
              <w:t>-Н.д.Шахов С.В. (Реєстр.картка №114)</w:t>
            </w:r>
          </w:p>
          <w:p w14:paraId="10914A7E" w14:textId="77777777" w:rsidR="00826C07" w:rsidRPr="00286216" w:rsidRDefault="00826C07" w:rsidP="00826C07">
            <w:pPr>
              <w:pStyle w:val="StyleProp"/>
              <w:spacing w:line="180" w:lineRule="exact"/>
              <w:rPr>
                <w:color w:val="000000" w:themeColor="text1"/>
              </w:rPr>
            </w:pPr>
            <w:r w:rsidRPr="00286216">
              <w:rPr>
                <w:color w:val="000000" w:themeColor="text1"/>
              </w:rPr>
              <w:t>У п. 4 ч.1 ст. 69 слова "ринків капіталу та організованих товарних ринків" замінити словами "ринків капіталу або організованих товарних ринків".</w:t>
            </w:r>
          </w:p>
        </w:tc>
        <w:tc>
          <w:tcPr>
            <w:tcW w:w="1987" w:type="dxa"/>
          </w:tcPr>
          <w:p w14:paraId="30E383C3" w14:textId="77777777" w:rsidR="00826C07" w:rsidRPr="00286216" w:rsidRDefault="00826C07" w:rsidP="00826C07">
            <w:pPr>
              <w:pStyle w:val="StyleWisnow"/>
              <w:rPr>
                <w:color w:val="000000" w:themeColor="text1"/>
              </w:rPr>
            </w:pPr>
            <w:r w:rsidRPr="00286216">
              <w:rPr>
                <w:color w:val="000000" w:themeColor="text1"/>
              </w:rPr>
              <w:t>Відхилено</w:t>
            </w:r>
          </w:p>
          <w:p w14:paraId="2342AE54" w14:textId="77777777" w:rsidR="00826C07" w:rsidRPr="00286216" w:rsidRDefault="00826C07" w:rsidP="00826C07">
            <w:pPr>
              <w:pStyle w:val="StyleWisnow"/>
              <w:spacing w:line="16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502681DD" w14:textId="77777777" w:rsidR="00826C07" w:rsidRPr="00286216" w:rsidRDefault="00826C07" w:rsidP="00826C07">
            <w:pPr>
              <w:pStyle w:val="StyleZakonu"/>
              <w:rPr>
                <w:color w:val="000000" w:themeColor="text1"/>
              </w:rPr>
            </w:pPr>
          </w:p>
        </w:tc>
      </w:tr>
      <w:tr w:rsidR="00826C07" w:rsidRPr="00286216" w14:paraId="6E651853" w14:textId="77777777" w:rsidTr="00091AA5">
        <w:tc>
          <w:tcPr>
            <w:tcW w:w="576" w:type="dxa"/>
          </w:tcPr>
          <w:p w14:paraId="69EFE891" w14:textId="77777777" w:rsidR="00826C07" w:rsidRPr="00286216" w:rsidRDefault="00826C07" w:rsidP="00826C07">
            <w:pPr>
              <w:pStyle w:val="StyleWisnow"/>
              <w:rPr>
                <w:color w:val="000000" w:themeColor="text1"/>
              </w:rPr>
            </w:pPr>
            <w:bookmarkStart w:id="933" w:name="n1208" w:colFirst="0" w:colLast="0"/>
            <w:r w:rsidRPr="00286216">
              <w:rPr>
                <w:color w:val="000000" w:themeColor="text1"/>
              </w:rPr>
              <w:t>1208.</w:t>
            </w:r>
          </w:p>
        </w:tc>
        <w:tc>
          <w:tcPr>
            <w:tcW w:w="4818" w:type="dxa"/>
          </w:tcPr>
          <w:p w14:paraId="33BA00C8" w14:textId="77777777" w:rsidR="00826C07" w:rsidRPr="00286216" w:rsidRDefault="00826C07" w:rsidP="00826C07">
            <w:pPr>
              <w:pStyle w:val="StyleZakonu"/>
              <w:rPr>
                <w:color w:val="000000" w:themeColor="text1"/>
              </w:rPr>
            </w:pPr>
            <w:r w:rsidRPr="00286216">
              <w:rPr>
                <w:color w:val="000000" w:themeColor="text1"/>
              </w:rPr>
              <w:t>5) документи, які було подано професійним учасником ринків капіталу та організованих товарних ринків для видачі ліцензії, містять недостовірну інформацію;</w:t>
            </w:r>
          </w:p>
        </w:tc>
        <w:tc>
          <w:tcPr>
            <w:tcW w:w="3686" w:type="dxa"/>
          </w:tcPr>
          <w:p w14:paraId="01BCC709" w14:textId="68A306DB"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707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22C5798" w14:textId="77777777" w:rsidR="00826C07" w:rsidRPr="00286216" w:rsidRDefault="00826C07" w:rsidP="00826C07">
            <w:pPr>
              <w:pStyle w:val="StyleProp"/>
              <w:rPr>
                <w:i/>
                <w:color w:val="000000" w:themeColor="text1"/>
                <w:szCs w:val="18"/>
              </w:rPr>
            </w:pPr>
            <w:r w:rsidRPr="00286216">
              <w:rPr>
                <w:rFonts w:eastAsia="Calibri"/>
                <w:color w:val="000000" w:themeColor="text1"/>
                <w:szCs w:val="18"/>
              </w:rPr>
              <w:t>Пункт 5 частини першої статті 69 виключити.</w:t>
            </w:r>
          </w:p>
        </w:tc>
        <w:tc>
          <w:tcPr>
            <w:tcW w:w="1987" w:type="dxa"/>
          </w:tcPr>
          <w:p w14:paraId="3A294C52"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5D61B80F" w14:textId="77777777" w:rsidR="00826C07" w:rsidRPr="00286216" w:rsidRDefault="00826C07" w:rsidP="00826C07">
            <w:pPr>
              <w:pStyle w:val="StyleWisnow"/>
              <w:spacing w:line="180" w:lineRule="exact"/>
              <w:rPr>
                <w:color w:val="000000" w:themeColor="text1"/>
              </w:rPr>
            </w:pPr>
            <w:r w:rsidRPr="00286216">
              <w:rPr>
                <w:color w:val="000000" w:themeColor="text1"/>
                <w:spacing w:val="-4"/>
              </w:rPr>
              <w:t>виявлення недостовірної</w:t>
            </w:r>
            <w:r w:rsidRPr="00286216">
              <w:rPr>
                <w:color w:val="000000" w:themeColor="text1"/>
              </w:rPr>
              <w:t xml:space="preserve"> </w:t>
            </w:r>
            <w:r w:rsidRPr="00286216">
              <w:rPr>
                <w:color w:val="000000" w:themeColor="text1"/>
                <w:spacing w:val="-2"/>
              </w:rPr>
              <w:t>інформації постфактум має призводити до анулювання ліцензії</w:t>
            </w:r>
          </w:p>
        </w:tc>
        <w:tc>
          <w:tcPr>
            <w:tcW w:w="4818" w:type="dxa"/>
          </w:tcPr>
          <w:p w14:paraId="08DF023A" w14:textId="77777777" w:rsidR="00826C07" w:rsidRPr="00286216" w:rsidRDefault="00826C07" w:rsidP="00826C07">
            <w:pPr>
              <w:pStyle w:val="StyleZakonu"/>
              <w:rPr>
                <w:color w:val="000000" w:themeColor="text1"/>
              </w:rPr>
            </w:pPr>
          </w:p>
        </w:tc>
      </w:tr>
      <w:bookmarkEnd w:id="933"/>
      <w:tr w:rsidR="00826C07" w:rsidRPr="00286216" w14:paraId="3ED9DBED" w14:textId="77777777" w:rsidTr="00091AA5">
        <w:tc>
          <w:tcPr>
            <w:tcW w:w="576" w:type="dxa"/>
          </w:tcPr>
          <w:p w14:paraId="37631D44" w14:textId="77777777" w:rsidR="00826C07" w:rsidRPr="00286216" w:rsidRDefault="00826C07" w:rsidP="00826C07">
            <w:pPr>
              <w:pStyle w:val="StyleWisnow"/>
              <w:rPr>
                <w:color w:val="000000" w:themeColor="text1"/>
              </w:rPr>
            </w:pPr>
          </w:p>
        </w:tc>
        <w:tc>
          <w:tcPr>
            <w:tcW w:w="4818" w:type="dxa"/>
          </w:tcPr>
          <w:p w14:paraId="70668FF1" w14:textId="77777777" w:rsidR="00826C07" w:rsidRPr="00286216" w:rsidRDefault="00826C07" w:rsidP="00826C07">
            <w:pPr>
              <w:pStyle w:val="StyleZakonu"/>
              <w:rPr>
                <w:color w:val="000000" w:themeColor="text1"/>
              </w:rPr>
            </w:pPr>
          </w:p>
        </w:tc>
        <w:tc>
          <w:tcPr>
            <w:tcW w:w="3686" w:type="dxa"/>
          </w:tcPr>
          <w:p w14:paraId="29AD1361" w14:textId="28AC01D7"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708</w:t>
            </w:r>
            <w:r w:rsidRPr="00286216">
              <w:rPr>
                <w:color w:val="000000" w:themeColor="text1"/>
              </w:rPr>
              <w:fldChar w:fldCharType="end"/>
            </w:r>
            <w:r w:rsidRPr="00286216">
              <w:rPr>
                <w:color w:val="000000" w:themeColor="text1"/>
              </w:rPr>
              <w:t>-Н.д.Шахов С.В. (Реєстр.картка №114)</w:t>
            </w:r>
          </w:p>
          <w:p w14:paraId="6FCD2968" w14:textId="77777777" w:rsidR="00826C07" w:rsidRPr="00286216" w:rsidRDefault="00826C07" w:rsidP="00826C07">
            <w:pPr>
              <w:pStyle w:val="StyleProp"/>
              <w:spacing w:line="180" w:lineRule="exact"/>
              <w:rPr>
                <w:color w:val="000000" w:themeColor="text1"/>
              </w:rPr>
            </w:pPr>
            <w:r w:rsidRPr="00286216">
              <w:rPr>
                <w:color w:val="000000" w:themeColor="text1"/>
              </w:rPr>
              <w:t>У п. 5 ч.1 ст. 69 слова "ринків капіталу та організованих товарних ринків" замінити словами "ринків капіталу або організованих товарних ринків"</w:t>
            </w:r>
          </w:p>
        </w:tc>
        <w:tc>
          <w:tcPr>
            <w:tcW w:w="1987" w:type="dxa"/>
          </w:tcPr>
          <w:p w14:paraId="2CBA6B53" w14:textId="77777777" w:rsidR="00826C07" w:rsidRPr="00286216" w:rsidRDefault="00826C07" w:rsidP="00826C07">
            <w:pPr>
              <w:pStyle w:val="StyleWisnow"/>
              <w:rPr>
                <w:color w:val="000000" w:themeColor="text1"/>
              </w:rPr>
            </w:pPr>
            <w:r w:rsidRPr="00286216">
              <w:rPr>
                <w:color w:val="000000" w:themeColor="text1"/>
              </w:rPr>
              <w:t>Відхилено</w:t>
            </w:r>
          </w:p>
          <w:p w14:paraId="06B42267" w14:textId="77777777" w:rsidR="00826C07" w:rsidRPr="00286216" w:rsidRDefault="00826C07" w:rsidP="00826C07">
            <w:pPr>
              <w:pStyle w:val="StyleWisnow"/>
              <w:spacing w:line="16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47987553" w14:textId="77777777" w:rsidR="00826C07" w:rsidRPr="00286216" w:rsidRDefault="00826C07" w:rsidP="00826C07">
            <w:pPr>
              <w:pStyle w:val="StyleZakonu"/>
              <w:rPr>
                <w:color w:val="000000" w:themeColor="text1"/>
              </w:rPr>
            </w:pPr>
          </w:p>
        </w:tc>
      </w:tr>
      <w:tr w:rsidR="00826C07" w:rsidRPr="00286216" w14:paraId="5C71C624" w14:textId="77777777" w:rsidTr="00091AA5">
        <w:tc>
          <w:tcPr>
            <w:tcW w:w="576" w:type="dxa"/>
          </w:tcPr>
          <w:p w14:paraId="46D6E6B8" w14:textId="77777777" w:rsidR="00826C07" w:rsidRPr="00286216" w:rsidRDefault="00826C07" w:rsidP="00826C07">
            <w:pPr>
              <w:pStyle w:val="StyleWisnow"/>
              <w:rPr>
                <w:color w:val="000000" w:themeColor="text1"/>
              </w:rPr>
            </w:pPr>
            <w:bookmarkStart w:id="934" w:name="n1209" w:colFirst="0" w:colLast="0"/>
            <w:r w:rsidRPr="00286216">
              <w:rPr>
                <w:color w:val="000000" w:themeColor="text1"/>
              </w:rPr>
              <w:t>1209.</w:t>
            </w:r>
          </w:p>
        </w:tc>
        <w:tc>
          <w:tcPr>
            <w:tcW w:w="4818" w:type="dxa"/>
          </w:tcPr>
          <w:p w14:paraId="3D5DEF98" w14:textId="77777777" w:rsidR="00826C07" w:rsidRPr="00286216" w:rsidRDefault="00826C07" w:rsidP="00826C07">
            <w:pPr>
              <w:pStyle w:val="StyleZakonu"/>
              <w:rPr>
                <w:color w:val="000000" w:themeColor="text1"/>
              </w:rPr>
            </w:pPr>
            <w:r w:rsidRPr="00286216">
              <w:rPr>
                <w:color w:val="000000" w:themeColor="text1"/>
              </w:rPr>
              <w:t>6) професійний учасник ринків капіталу та організованих товарних ринків отримав ліцензію на провадження певного виду професійної діяльності на ринках капіталу та організованих товарних ринках в наслідок вчинення ним протиправних дій;</w:t>
            </w:r>
          </w:p>
        </w:tc>
        <w:tc>
          <w:tcPr>
            <w:tcW w:w="3686" w:type="dxa"/>
          </w:tcPr>
          <w:p w14:paraId="57BD7063" w14:textId="53452997"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709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EFA7B02" w14:textId="084A0E9B" w:rsidR="00826C07" w:rsidRPr="00286216" w:rsidRDefault="00826C07" w:rsidP="00826C07">
            <w:pPr>
              <w:pStyle w:val="StyleProp"/>
              <w:rPr>
                <w:i/>
                <w:color w:val="000000" w:themeColor="text1"/>
                <w:szCs w:val="18"/>
              </w:rPr>
            </w:pPr>
            <w:r w:rsidRPr="00286216">
              <w:rPr>
                <w:rFonts w:eastAsia="Calibri"/>
                <w:color w:val="000000" w:themeColor="text1"/>
                <w:szCs w:val="18"/>
              </w:rPr>
              <w:t>Пункт 6 частини першої статті 69 виключити.</w:t>
            </w:r>
          </w:p>
        </w:tc>
        <w:tc>
          <w:tcPr>
            <w:tcW w:w="1987" w:type="dxa"/>
          </w:tcPr>
          <w:p w14:paraId="4A4DDDF5"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848DEDD" w14:textId="7ABDFD17" w:rsidR="00826C07" w:rsidRPr="00286216" w:rsidRDefault="00826C07" w:rsidP="00826C07">
            <w:pPr>
              <w:pStyle w:val="StyleWisnow"/>
              <w:spacing w:line="180" w:lineRule="exact"/>
              <w:rPr>
                <w:color w:val="000000" w:themeColor="text1"/>
              </w:rPr>
            </w:pPr>
            <w:r w:rsidRPr="00286216">
              <w:rPr>
                <w:color w:val="000000" w:themeColor="text1"/>
              </w:rPr>
              <w:t>суперечить пункту “b” статті 8 Директиви MiFID II</w:t>
            </w:r>
          </w:p>
        </w:tc>
        <w:tc>
          <w:tcPr>
            <w:tcW w:w="4818" w:type="dxa"/>
          </w:tcPr>
          <w:p w14:paraId="0E9A9C7B" w14:textId="77777777" w:rsidR="00826C07" w:rsidRPr="00286216" w:rsidRDefault="00826C07" w:rsidP="00826C07">
            <w:pPr>
              <w:pStyle w:val="StyleZakonu"/>
              <w:rPr>
                <w:color w:val="000000" w:themeColor="text1"/>
              </w:rPr>
            </w:pPr>
          </w:p>
        </w:tc>
      </w:tr>
      <w:bookmarkEnd w:id="934"/>
      <w:tr w:rsidR="00826C07" w:rsidRPr="00286216" w14:paraId="129DCF5D" w14:textId="77777777" w:rsidTr="00091AA5">
        <w:tc>
          <w:tcPr>
            <w:tcW w:w="576" w:type="dxa"/>
          </w:tcPr>
          <w:p w14:paraId="13CB3A68" w14:textId="77777777" w:rsidR="00826C07" w:rsidRPr="00286216" w:rsidRDefault="00826C07" w:rsidP="00826C07">
            <w:pPr>
              <w:pStyle w:val="StyleWisnow"/>
              <w:rPr>
                <w:color w:val="000000" w:themeColor="text1"/>
              </w:rPr>
            </w:pPr>
          </w:p>
        </w:tc>
        <w:tc>
          <w:tcPr>
            <w:tcW w:w="4818" w:type="dxa"/>
          </w:tcPr>
          <w:p w14:paraId="768C6DC3" w14:textId="77777777" w:rsidR="00826C07" w:rsidRPr="00286216" w:rsidRDefault="00826C07" w:rsidP="00826C07">
            <w:pPr>
              <w:pStyle w:val="StyleZakonu"/>
              <w:rPr>
                <w:color w:val="000000" w:themeColor="text1"/>
              </w:rPr>
            </w:pPr>
          </w:p>
        </w:tc>
        <w:tc>
          <w:tcPr>
            <w:tcW w:w="3686" w:type="dxa"/>
          </w:tcPr>
          <w:p w14:paraId="045BC4B5" w14:textId="7C255A31"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710</w:t>
            </w:r>
            <w:r w:rsidRPr="00286216">
              <w:rPr>
                <w:color w:val="000000" w:themeColor="text1"/>
              </w:rPr>
              <w:fldChar w:fldCharType="end"/>
            </w:r>
            <w:r w:rsidRPr="00286216">
              <w:rPr>
                <w:color w:val="000000" w:themeColor="text1"/>
              </w:rPr>
              <w:t>-Н.д.Шахов С.В. (Реєстр.картка №114)</w:t>
            </w:r>
          </w:p>
          <w:p w14:paraId="4F9618C3" w14:textId="77777777" w:rsidR="00826C07" w:rsidRPr="00286216" w:rsidRDefault="00826C07" w:rsidP="00826C07">
            <w:pPr>
              <w:pStyle w:val="StyleProp"/>
              <w:spacing w:line="180" w:lineRule="exact"/>
              <w:rPr>
                <w:color w:val="000000" w:themeColor="text1"/>
              </w:rPr>
            </w:pPr>
            <w:r w:rsidRPr="00286216">
              <w:rPr>
                <w:color w:val="000000" w:themeColor="text1"/>
              </w:rPr>
              <w:t>У п. 6 ч.1 ст. 69 слова "ринків капіталу та організованих товарних ринків" замінити словами "ринків капіталу або організованих товарних ринків".</w:t>
            </w:r>
          </w:p>
        </w:tc>
        <w:tc>
          <w:tcPr>
            <w:tcW w:w="1987" w:type="dxa"/>
          </w:tcPr>
          <w:p w14:paraId="4C40D5D8" w14:textId="77777777" w:rsidR="00826C07" w:rsidRPr="00286216" w:rsidRDefault="00826C07" w:rsidP="00826C07">
            <w:pPr>
              <w:pStyle w:val="StyleWisnow"/>
              <w:rPr>
                <w:color w:val="000000" w:themeColor="text1"/>
              </w:rPr>
            </w:pPr>
            <w:r w:rsidRPr="00286216">
              <w:rPr>
                <w:color w:val="000000" w:themeColor="text1"/>
              </w:rPr>
              <w:t>Відхилено</w:t>
            </w:r>
          </w:p>
          <w:p w14:paraId="6E58939C" w14:textId="77777777" w:rsidR="00826C07" w:rsidRPr="00286216" w:rsidRDefault="00826C07" w:rsidP="00826C07">
            <w:pPr>
              <w:pStyle w:val="StyleWisnow"/>
              <w:spacing w:line="180" w:lineRule="exact"/>
              <w:rPr>
                <w:color w:val="000000" w:themeColor="text1"/>
              </w:rPr>
            </w:pPr>
            <w:r w:rsidRPr="00286216">
              <w:rPr>
                <w:color w:val="000000" w:themeColor="text1"/>
              </w:rPr>
              <w:t>з метою збереження редакційної єдності нормативного викладу з іншими положеннями проекту, де вживається сполучник "та"</w:t>
            </w:r>
          </w:p>
        </w:tc>
        <w:tc>
          <w:tcPr>
            <w:tcW w:w="4818" w:type="dxa"/>
          </w:tcPr>
          <w:p w14:paraId="5723C733" w14:textId="77777777" w:rsidR="00826C07" w:rsidRPr="00286216" w:rsidRDefault="00826C07" w:rsidP="00826C07">
            <w:pPr>
              <w:pStyle w:val="StyleZakonu"/>
              <w:rPr>
                <w:color w:val="000000" w:themeColor="text1"/>
              </w:rPr>
            </w:pPr>
          </w:p>
        </w:tc>
      </w:tr>
      <w:tr w:rsidR="00826C07" w:rsidRPr="00286216" w14:paraId="45E3885E" w14:textId="77777777" w:rsidTr="00091AA5">
        <w:tc>
          <w:tcPr>
            <w:tcW w:w="576" w:type="dxa"/>
          </w:tcPr>
          <w:p w14:paraId="4B28E279" w14:textId="77777777" w:rsidR="00826C07" w:rsidRPr="00286216" w:rsidRDefault="00826C07" w:rsidP="00826C07">
            <w:pPr>
              <w:pStyle w:val="StyleWisnow"/>
              <w:rPr>
                <w:color w:val="000000" w:themeColor="text1"/>
              </w:rPr>
            </w:pPr>
            <w:bookmarkStart w:id="935" w:name="n1210" w:colFirst="0" w:colLast="0"/>
            <w:r w:rsidRPr="00286216">
              <w:rPr>
                <w:color w:val="000000" w:themeColor="text1"/>
              </w:rPr>
              <w:t>1210.</w:t>
            </w:r>
          </w:p>
        </w:tc>
        <w:tc>
          <w:tcPr>
            <w:tcW w:w="4818" w:type="dxa"/>
          </w:tcPr>
          <w:p w14:paraId="7A8524EE" w14:textId="77777777" w:rsidR="00826C07" w:rsidRPr="00286216" w:rsidRDefault="00826C07" w:rsidP="00826C07">
            <w:pPr>
              <w:pStyle w:val="StyleZakonu"/>
              <w:rPr>
                <w:color w:val="000000" w:themeColor="text1"/>
              </w:rPr>
            </w:pPr>
            <w:r w:rsidRPr="00286216">
              <w:rPr>
                <w:color w:val="000000" w:themeColor="text1"/>
              </w:rPr>
              <w:t xml:space="preserve">7) професійний учасник ринків капіталу та організованих товарних ринків здійснив неодноразове </w:t>
            </w:r>
            <w:r w:rsidRPr="00286216">
              <w:rPr>
                <w:color w:val="000000" w:themeColor="text1"/>
              </w:rPr>
              <w:lastRenderedPageBreak/>
              <w:t>та/або грубе правопорушення;</w:t>
            </w:r>
          </w:p>
        </w:tc>
        <w:tc>
          <w:tcPr>
            <w:tcW w:w="3686" w:type="dxa"/>
          </w:tcPr>
          <w:p w14:paraId="60E6AAA8" w14:textId="279A4D75" w:rsidR="00826C07" w:rsidRPr="00286216" w:rsidRDefault="00826C07" w:rsidP="00826C0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711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C2DD3F7" w14:textId="77777777" w:rsidR="00826C07" w:rsidRPr="00286216" w:rsidRDefault="00826C07" w:rsidP="00826C07">
            <w:pPr>
              <w:pStyle w:val="StyleProp"/>
              <w:rPr>
                <w:color w:val="000000" w:themeColor="text1"/>
                <w:szCs w:val="18"/>
              </w:rPr>
            </w:pPr>
            <w:r w:rsidRPr="00286216">
              <w:rPr>
                <w:rFonts w:eastAsia="Calibri"/>
                <w:color w:val="000000" w:themeColor="text1"/>
                <w:szCs w:val="18"/>
              </w:rPr>
              <w:t>Пункт 7 частини першої статті 69 виключити.</w:t>
            </w:r>
          </w:p>
        </w:tc>
        <w:tc>
          <w:tcPr>
            <w:tcW w:w="1987" w:type="dxa"/>
          </w:tcPr>
          <w:p w14:paraId="5529518B"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D2A1EC9" w14:textId="3931F18D" w:rsidR="00826C07" w:rsidRPr="00286216" w:rsidRDefault="00826C07" w:rsidP="00826C07">
            <w:pPr>
              <w:pStyle w:val="StyleWisnow"/>
              <w:spacing w:line="160" w:lineRule="exact"/>
              <w:rPr>
                <w:color w:val="000000" w:themeColor="text1"/>
              </w:rPr>
            </w:pPr>
            <w:r w:rsidRPr="00286216">
              <w:rPr>
                <w:color w:val="000000" w:themeColor="text1"/>
              </w:rPr>
              <w:t>суперечить пункту d статті 8 Директиви MiFID II</w:t>
            </w:r>
          </w:p>
        </w:tc>
        <w:tc>
          <w:tcPr>
            <w:tcW w:w="4818" w:type="dxa"/>
          </w:tcPr>
          <w:p w14:paraId="43EBBDF7" w14:textId="77777777" w:rsidR="00826C07" w:rsidRPr="00286216" w:rsidRDefault="00826C07" w:rsidP="00826C07">
            <w:pPr>
              <w:pStyle w:val="StyleZakonu"/>
              <w:rPr>
                <w:color w:val="000000" w:themeColor="text1"/>
              </w:rPr>
            </w:pPr>
          </w:p>
        </w:tc>
      </w:tr>
      <w:bookmarkEnd w:id="935"/>
      <w:tr w:rsidR="00826C07" w:rsidRPr="00286216" w14:paraId="747EC691" w14:textId="77777777" w:rsidTr="00091AA5">
        <w:tc>
          <w:tcPr>
            <w:tcW w:w="576" w:type="dxa"/>
          </w:tcPr>
          <w:p w14:paraId="44F35D9B" w14:textId="77777777" w:rsidR="00826C07" w:rsidRPr="00286216" w:rsidRDefault="00826C07" w:rsidP="00826C07">
            <w:pPr>
              <w:pStyle w:val="StyleWisnow"/>
              <w:rPr>
                <w:color w:val="000000" w:themeColor="text1"/>
              </w:rPr>
            </w:pPr>
          </w:p>
        </w:tc>
        <w:tc>
          <w:tcPr>
            <w:tcW w:w="4818" w:type="dxa"/>
          </w:tcPr>
          <w:p w14:paraId="475AECE2" w14:textId="77777777" w:rsidR="00826C07" w:rsidRPr="00286216" w:rsidRDefault="00826C07" w:rsidP="00826C07">
            <w:pPr>
              <w:pStyle w:val="StyleZakonu"/>
              <w:rPr>
                <w:color w:val="000000" w:themeColor="text1"/>
              </w:rPr>
            </w:pPr>
          </w:p>
        </w:tc>
        <w:tc>
          <w:tcPr>
            <w:tcW w:w="3686" w:type="dxa"/>
          </w:tcPr>
          <w:p w14:paraId="063E7152" w14:textId="00648125"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712</w:t>
            </w:r>
            <w:r w:rsidRPr="00286216">
              <w:rPr>
                <w:color w:val="000000" w:themeColor="text1"/>
                <w:spacing w:val="-10"/>
              </w:rPr>
              <w:fldChar w:fldCharType="end"/>
            </w:r>
            <w:r w:rsidRPr="00286216">
              <w:rPr>
                <w:color w:val="000000" w:themeColor="text1"/>
                <w:spacing w:val="-10"/>
              </w:rPr>
              <w:t>-Н.д.Гетманцев Д.О.(Реєстр.картка №245)</w:t>
            </w:r>
          </w:p>
          <w:p w14:paraId="248E1AC0" w14:textId="77777777" w:rsidR="00826C07" w:rsidRPr="00286216" w:rsidRDefault="00826C07" w:rsidP="00826C07">
            <w:pPr>
              <w:pStyle w:val="StyleProp"/>
              <w:spacing w:line="190" w:lineRule="exact"/>
              <w:rPr>
                <w:color w:val="000000" w:themeColor="text1"/>
              </w:rPr>
            </w:pPr>
            <w:r w:rsidRPr="00286216">
              <w:rPr>
                <w:color w:val="000000" w:themeColor="text1"/>
              </w:rPr>
              <w:t xml:space="preserve">У статті 69 у частині першій пункт сьомий викласти в редакції: </w:t>
            </w:r>
          </w:p>
          <w:p w14:paraId="7AA507EC" w14:textId="77777777" w:rsidR="00826C07" w:rsidRPr="00286216" w:rsidRDefault="00826C07" w:rsidP="00826C07">
            <w:pPr>
              <w:pStyle w:val="StyleProp"/>
              <w:spacing w:line="190" w:lineRule="exact"/>
              <w:rPr>
                <w:color w:val="000000" w:themeColor="text1"/>
              </w:rPr>
            </w:pPr>
            <w:r w:rsidRPr="00286216">
              <w:rPr>
                <w:color w:val="000000" w:themeColor="text1"/>
              </w:rPr>
              <w:t>«7) акт Національної комісії з цінних паперів та фондового ринку про вчинення суб’єктом господарювання повторного порушення законодавства. Повторним порушенням суб’єктом господарювання законодавства вважається вчинення таким суб’єктом господарювання протягом року з дня видання Національною комісією з цінних паперів та фондового ринку розпорядження про усунення порушень законодавства нового порушення, щодо якого видавалося таке розпорядження.</w:t>
            </w:r>
          </w:p>
        </w:tc>
        <w:tc>
          <w:tcPr>
            <w:tcW w:w="1987" w:type="dxa"/>
          </w:tcPr>
          <w:p w14:paraId="282DD036"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00997B9E" w14:textId="26C43D00"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73</w:t>
            </w:r>
          </w:p>
          <w:p w14:paraId="1B280144" w14:textId="77777777" w:rsidR="00826C07" w:rsidRPr="00286216" w:rsidRDefault="00826C07" w:rsidP="00826C07">
            <w:pPr>
              <w:pStyle w:val="StyleWisnow"/>
              <w:rPr>
                <w:color w:val="000000" w:themeColor="text1"/>
              </w:rPr>
            </w:pPr>
          </w:p>
        </w:tc>
        <w:tc>
          <w:tcPr>
            <w:tcW w:w="4818" w:type="dxa"/>
          </w:tcPr>
          <w:p w14:paraId="68C54F44" w14:textId="77777777" w:rsidR="00826C07" w:rsidRPr="00286216" w:rsidRDefault="00826C07" w:rsidP="00826C07">
            <w:pPr>
              <w:pStyle w:val="StyleZakonu"/>
              <w:rPr>
                <w:color w:val="000000" w:themeColor="text1"/>
              </w:rPr>
            </w:pPr>
          </w:p>
        </w:tc>
      </w:tr>
      <w:tr w:rsidR="00826C07" w:rsidRPr="00286216" w14:paraId="4435BBD5" w14:textId="77777777" w:rsidTr="00091AA5">
        <w:tc>
          <w:tcPr>
            <w:tcW w:w="576" w:type="dxa"/>
          </w:tcPr>
          <w:p w14:paraId="3E94AF8C" w14:textId="77777777" w:rsidR="00826C07" w:rsidRPr="00286216" w:rsidRDefault="00826C07" w:rsidP="00826C07">
            <w:pPr>
              <w:pStyle w:val="StyleWisnow"/>
              <w:rPr>
                <w:color w:val="000000" w:themeColor="text1"/>
              </w:rPr>
            </w:pPr>
          </w:p>
        </w:tc>
        <w:tc>
          <w:tcPr>
            <w:tcW w:w="4818" w:type="dxa"/>
          </w:tcPr>
          <w:p w14:paraId="691F65E6" w14:textId="77777777" w:rsidR="00826C07" w:rsidRPr="00286216" w:rsidRDefault="00826C07" w:rsidP="00826C07">
            <w:pPr>
              <w:pStyle w:val="StyleZakonu"/>
              <w:rPr>
                <w:color w:val="000000" w:themeColor="text1"/>
              </w:rPr>
            </w:pPr>
          </w:p>
        </w:tc>
        <w:tc>
          <w:tcPr>
            <w:tcW w:w="3686" w:type="dxa"/>
          </w:tcPr>
          <w:p w14:paraId="749512CD" w14:textId="692A8106"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713</w:t>
            </w:r>
            <w:r w:rsidRPr="00286216">
              <w:rPr>
                <w:color w:val="000000" w:themeColor="text1"/>
              </w:rPr>
              <w:fldChar w:fldCharType="end"/>
            </w:r>
            <w:r w:rsidRPr="00286216">
              <w:rPr>
                <w:color w:val="000000" w:themeColor="text1"/>
              </w:rPr>
              <w:t>-Н.д.Шахов С.В. (Реєстр.картка №114)</w:t>
            </w:r>
          </w:p>
          <w:p w14:paraId="15FF320B" w14:textId="77777777" w:rsidR="00826C07" w:rsidRPr="00286216" w:rsidRDefault="00826C07" w:rsidP="00826C07">
            <w:pPr>
              <w:pStyle w:val="StyleProp"/>
              <w:rPr>
                <w:color w:val="000000" w:themeColor="text1"/>
              </w:rPr>
            </w:pPr>
            <w:r w:rsidRPr="00286216">
              <w:rPr>
                <w:color w:val="000000" w:themeColor="text1"/>
              </w:rPr>
              <w:t>П.7 ч. 1 ст. 69 викласти у такій редакції:</w:t>
            </w:r>
          </w:p>
          <w:p w14:paraId="7A2F954D" w14:textId="77777777" w:rsidR="00826C07" w:rsidRPr="00286216" w:rsidRDefault="00826C07" w:rsidP="00826C07">
            <w:pPr>
              <w:pStyle w:val="StyleProp"/>
              <w:rPr>
                <w:color w:val="000000" w:themeColor="text1"/>
              </w:rPr>
            </w:pPr>
            <w:r w:rsidRPr="00286216">
              <w:rPr>
                <w:color w:val="000000" w:themeColor="text1"/>
              </w:rPr>
              <w:t>"7) професійний учасник ринків капіталу та/або організованих товарних ринків здійснив неодноразове та/або грубе правопорушення при провадженні професійної діяльності, щодо якої анулюється ліцензія (або інший дозвільний документ, визначений законодавством про товарні ринки)".</w:t>
            </w:r>
          </w:p>
        </w:tc>
        <w:tc>
          <w:tcPr>
            <w:tcW w:w="1987" w:type="dxa"/>
          </w:tcPr>
          <w:p w14:paraId="5324E445"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4955FC23"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73</w:t>
            </w:r>
          </w:p>
          <w:p w14:paraId="717EE538" w14:textId="77777777" w:rsidR="00826C07" w:rsidRPr="00286216" w:rsidRDefault="00826C07" w:rsidP="00826C07">
            <w:pPr>
              <w:pStyle w:val="StyleWisnow"/>
              <w:spacing w:line="180" w:lineRule="exact"/>
              <w:rPr>
                <w:color w:val="000000" w:themeColor="text1"/>
              </w:rPr>
            </w:pPr>
          </w:p>
        </w:tc>
        <w:tc>
          <w:tcPr>
            <w:tcW w:w="4818" w:type="dxa"/>
          </w:tcPr>
          <w:p w14:paraId="2C2C8D4E" w14:textId="77777777" w:rsidR="00826C07" w:rsidRPr="00286216" w:rsidRDefault="00826C07" w:rsidP="00826C07">
            <w:pPr>
              <w:pStyle w:val="StyleZakonu"/>
              <w:rPr>
                <w:color w:val="000000" w:themeColor="text1"/>
              </w:rPr>
            </w:pPr>
          </w:p>
        </w:tc>
      </w:tr>
      <w:tr w:rsidR="00826C07" w:rsidRPr="00286216" w14:paraId="6B03FCB0" w14:textId="77777777" w:rsidTr="00091AA5">
        <w:tc>
          <w:tcPr>
            <w:tcW w:w="576" w:type="dxa"/>
          </w:tcPr>
          <w:p w14:paraId="5C73B3B1" w14:textId="77777777" w:rsidR="00826C07" w:rsidRPr="00286216" w:rsidRDefault="00826C07" w:rsidP="00826C07">
            <w:pPr>
              <w:pStyle w:val="StyleWisnow"/>
              <w:rPr>
                <w:color w:val="000000" w:themeColor="text1"/>
              </w:rPr>
            </w:pPr>
            <w:bookmarkStart w:id="936" w:name="n1211" w:colFirst="0" w:colLast="0"/>
            <w:r w:rsidRPr="00286216">
              <w:rPr>
                <w:color w:val="000000" w:themeColor="text1"/>
              </w:rPr>
              <w:t>1211.</w:t>
            </w:r>
          </w:p>
        </w:tc>
        <w:tc>
          <w:tcPr>
            <w:tcW w:w="4818" w:type="dxa"/>
          </w:tcPr>
          <w:p w14:paraId="5DC17AEB" w14:textId="77777777" w:rsidR="00826C07" w:rsidRPr="00286216" w:rsidRDefault="00826C07" w:rsidP="00826C07">
            <w:pPr>
              <w:pStyle w:val="StyleZakonu"/>
              <w:rPr>
                <w:color w:val="000000" w:themeColor="text1"/>
              </w:rPr>
            </w:pPr>
            <w:r w:rsidRPr="00286216">
              <w:rPr>
                <w:color w:val="000000" w:themeColor="text1"/>
              </w:rPr>
              <w:t>8) з інших підстав, передбачених нормативно-правовими актами Національної комісії з цінних паперів та фондового ринку.</w:t>
            </w:r>
          </w:p>
        </w:tc>
        <w:tc>
          <w:tcPr>
            <w:tcW w:w="3686" w:type="dxa"/>
          </w:tcPr>
          <w:p w14:paraId="62957F9B" w14:textId="2D8D0A74"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714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C4D4F47"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8 частини 4 статті 69 викласти в такій редакції:</w:t>
            </w:r>
          </w:p>
          <w:p w14:paraId="5CE714D5" w14:textId="77777777" w:rsidR="00826C07" w:rsidRPr="00286216" w:rsidRDefault="00826C07" w:rsidP="00826C07">
            <w:pPr>
              <w:pStyle w:val="StyleProp"/>
              <w:rPr>
                <w:color w:val="000000" w:themeColor="text1"/>
                <w:szCs w:val="18"/>
              </w:rPr>
            </w:pPr>
            <w:r w:rsidRPr="00286216">
              <w:rPr>
                <w:rFonts w:eastAsia="Calibri"/>
                <w:color w:val="000000" w:themeColor="text1"/>
                <w:szCs w:val="18"/>
              </w:rPr>
              <w:t>"8) з інших підстав, прямо передбачених законом".</w:t>
            </w:r>
          </w:p>
        </w:tc>
        <w:tc>
          <w:tcPr>
            <w:tcW w:w="1987" w:type="dxa"/>
          </w:tcPr>
          <w:p w14:paraId="6207EC69"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650550EF"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73</w:t>
            </w:r>
          </w:p>
          <w:p w14:paraId="2A9D838A" w14:textId="77777777" w:rsidR="00826C07" w:rsidRPr="00286216" w:rsidRDefault="00826C07" w:rsidP="00826C07">
            <w:pPr>
              <w:pStyle w:val="StyleWisnow"/>
              <w:spacing w:line="180" w:lineRule="exact"/>
              <w:rPr>
                <w:color w:val="000000" w:themeColor="text1"/>
              </w:rPr>
            </w:pPr>
          </w:p>
        </w:tc>
        <w:tc>
          <w:tcPr>
            <w:tcW w:w="4818" w:type="dxa"/>
          </w:tcPr>
          <w:p w14:paraId="77CC130E" w14:textId="77777777" w:rsidR="00826C07" w:rsidRPr="00286216" w:rsidRDefault="00826C07" w:rsidP="00826C07">
            <w:pPr>
              <w:pStyle w:val="StyleZakonu"/>
              <w:rPr>
                <w:color w:val="000000" w:themeColor="text1"/>
              </w:rPr>
            </w:pPr>
          </w:p>
        </w:tc>
      </w:tr>
      <w:bookmarkEnd w:id="936"/>
      <w:tr w:rsidR="00826C07" w:rsidRPr="00286216" w14:paraId="0215A92C" w14:textId="77777777" w:rsidTr="00091AA5">
        <w:tc>
          <w:tcPr>
            <w:tcW w:w="576" w:type="dxa"/>
          </w:tcPr>
          <w:p w14:paraId="1301EED7" w14:textId="77777777" w:rsidR="00826C07" w:rsidRPr="00286216" w:rsidRDefault="00826C07" w:rsidP="00826C07">
            <w:pPr>
              <w:pStyle w:val="StyleWisnow"/>
              <w:rPr>
                <w:color w:val="000000" w:themeColor="text1"/>
              </w:rPr>
            </w:pPr>
          </w:p>
        </w:tc>
        <w:tc>
          <w:tcPr>
            <w:tcW w:w="4818" w:type="dxa"/>
          </w:tcPr>
          <w:p w14:paraId="4C346E2B" w14:textId="77777777" w:rsidR="00826C07" w:rsidRPr="00286216" w:rsidRDefault="00826C07" w:rsidP="00826C07">
            <w:pPr>
              <w:pStyle w:val="StyleZakonu"/>
              <w:rPr>
                <w:color w:val="000000" w:themeColor="text1"/>
              </w:rPr>
            </w:pPr>
          </w:p>
        </w:tc>
        <w:tc>
          <w:tcPr>
            <w:tcW w:w="3686" w:type="dxa"/>
          </w:tcPr>
          <w:p w14:paraId="12734D14" w14:textId="172080E4"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715</w:t>
            </w:r>
            <w:r w:rsidRPr="00286216">
              <w:rPr>
                <w:color w:val="000000" w:themeColor="text1"/>
                <w:spacing w:val="-10"/>
              </w:rPr>
              <w:fldChar w:fldCharType="end"/>
            </w:r>
            <w:r w:rsidRPr="00286216">
              <w:rPr>
                <w:color w:val="000000" w:themeColor="text1"/>
                <w:spacing w:val="-10"/>
              </w:rPr>
              <w:t>-Н.д.Гетманцев Д.О.(Реєстр.картка №245)</w:t>
            </w:r>
          </w:p>
          <w:p w14:paraId="6C60A97E" w14:textId="77777777" w:rsidR="00826C07" w:rsidRPr="00286216" w:rsidRDefault="00826C07" w:rsidP="00826C07">
            <w:pPr>
              <w:pStyle w:val="StyleProp"/>
              <w:rPr>
                <w:color w:val="000000" w:themeColor="text1"/>
              </w:rPr>
            </w:pPr>
            <w:r w:rsidRPr="00286216">
              <w:rPr>
                <w:color w:val="000000" w:themeColor="text1"/>
              </w:rPr>
              <w:t>У статті 69 у частині 1 пункт 8 викласти в такій редакції:</w:t>
            </w:r>
          </w:p>
          <w:p w14:paraId="53532D93" w14:textId="77777777" w:rsidR="00826C07" w:rsidRPr="00286216" w:rsidRDefault="00826C07" w:rsidP="00826C07">
            <w:pPr>
              <w:pStyle w:val="StyleProp"/>
              <w:spacing w:line="180" w:lineRule="exact"/>
              <w:rPr>
                <w:color w:val="000000" w:themeColor="text1"/>
              </w:rPr>
            </w:pPr>
            <w:r w:rsidRPr="00286216">
              <w:rPr>
                <w:color w:val="000000" w:themeColor="text1"/>
              </w:rPr>
              <w:t>«8. Акт Національної комісії з цінних паперів та фондового ринку про відмову суб’єкта господарювання у допуску зазначеного державного органу до проведення перевірки діяльності такого суб’єкта господарювання;»;</w:t>
            </w:r>
          </w:p>
        </w:tc>
        <w:tc>
          <w:tcPr>
            <w:tcW w:w="1987" w:type="dxa"/>
          </w:tcPr>
          <w:p w14:paraId="2BDC52AF"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3E5CDA44"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73</w:t>
            </w:r>
          </w:p>
          <w:p w14:paraId="6040B9BE" w14:textId="77777777" w:rsidR="00826C07" w:rsidRPr="00286216" w:rsidRDefault="00826C07" w:rsidP="00826C07">
            <w:pPr>
              <w:pStyle w:val="StyleWisnow"/>
              <w:rPr>
                <w:color w:val="000000" w:themeColor="text1"/>
              </w:rPr>
            </w:pPr>
          </w:p>
        </w:tc>
        <w:tc>
          <w:tcPr>
            <w:tcW w:w="4818" w:type="dxa"/>
          </w:tcPr>
          <w:p w14:paraId="2E22A4B6" w14:textId="77777777" w:rsidR="00826C07" w:rsidRPr="00286216" w:rsidRDefault="00826C07" w:rsidP="00826C07">
            <w:pPr>
              <w:pStyle w:val="StyleZakonu"/>
              <w:rPr>
                <w:color w:val="000000" w:themeColor="text1"/>
              </w:rPr>
            </w:pPr>
          </w:p>
        </w:tc>
      </w:tr>
      <w:tr w:rsidR="00826C07" w:rsidRPr="00286216" w14:paraId="4419F622" w14:textId="77777777" w:rsidTr="00091AA5">
        <w:tc>
          <w:tcPr>
            <w:tcW w:w="576" w:type="dxa"/>
          </w:tcPr>
          <w:p w14:paraId="1407A24D" w14:textId="77777777" w:rsidR="00826C07" w:rsidRPr="00286216" w:rsidRDefault="00826C07" w:rsidP="00826C07">
            <w:pPr>
              <w:pStyle w:val="StyleWisnow"/>
              <w:rPr>
                <w:color w:val="000000" w:themeColor="text1"/>
              </w:rPr>
            </w:pPr>
          </w:p>
        </w:tc>
        <w:tc>
          <w:tcPr>
            <w:tcW w:w="4818" w:type="dxa"/>
          </w:tcPr>
          <w:p w14:paraId="03EA28FD" w14:textId="77777777" w:rsidR="00826C07" w:rsidRPr="00286216" w:rsidRDefault="00826C07" w:rsidP="00826C07">
            <w:pPr>
              <w:pStyle w:val="StyleZakonu"/>
              <w:rPr>
                <w:color w:val="000000" w:themeColor="text1"/>
              </w:rPr>
            </w:pPr>
          </w:p>
        </w:tc>
        <w:tc>
          <w:tcPr>
            <w:tcW w:w="3686" w:type="dxa"/>
          </w:tcPr>
          <w:p w14:paraId="49332131" w14:textId="16CA0B81"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716</w:t>
            </w:r>
            <w:r w:rsidRPr="00286216">
              <w:rPr>
                <w:color w:val="000000" w:themeColor="text1"/>
                <w:spacing w:val="-10"/>
              </w:rPr>
              <w:fldChar w:fldCharType="end"/>
            </w:r>
            <w:r w:rsidRPr="00286216">
              <w:rPr>
                <w:color w:val="000000" w:themeColor="text1"/>
                <w:spacing w:val="-10"/>
              </w:rPr>
              <w:t>-Н.д.Гетманцев Д.О.(Реєстр.картка №245)</w:t>
            </w:r>
          </w:p>
          <w:p w14:paraId="498D1FE1" w14:textId="77777777" w:rsidR="00826C07" w:rsidRPr="00286216" w:rsidRDefault="00826C07" w:rsidP="00826C07">
            <w:pPr>
              <w:pStyle w:val="StyleProp"/>
              <w:rPr>
                <w:color w:val="000000" w:themeColor="text1"/>
              </w:rPr>
            </w:pPr>
            <w:r w:rsidRPr="00286216">
              <w:rPr>
                <w:color w:val="000000" w:themeColor="text1"/>
              </w:rPr>
              <w:t>У статті 69 у частині першій доповнити пунктом 9 такого змісту:</w:t>
            </w:r>
          </w:p>
          <w:p w14:paraId="460CD4BA" w14:textId="77777777" w:rsidR="00826C07" w:rsidRPr="00286216" w:rsidRDefault="00826C07" w:rsidP="00826C07">
            <w:pPr>
              <w:pStyle w:val="StyleProp"/>
              <w:spacing w:line="180" w:lineRule="exact"/>
              <w:rPr>
                <w:color w:val="000000" w:themeColor="text1"/>
              </w:rPr>
            </w:pPr>
            <w:r w:rsidRPr="00286216">
              <w:rPr>
                <w:color w:val="000000" w:themeColor="text1"/>
              </w:rPr>
              <w:t>«9. Акт про ненадання суб’єктом господарювання Національній комісії з ціннх паперів та фондового ринку документів, інформації про предмет перевірки на письмову вимогу посадових осіб зазначеного державного органу під час перевірки.</w:t>
            </w:r>
          </w:p>
        </w:tc>
        <w:tc>
          <w:tcPr>
            <w:tcW w:w="1987" w:type="dxa"/>
          </w:tcPr>
          <w:p w14:paraId="06D13628"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231762BE"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73</w:t>
            </w:r>
          </w:p>
          <w:p w14:paraId="29D18CDC" w14:textId="2EE0A981" w:rsidR="00826C07" w:rsidRPr="00286216" w:rsidRDefault="00826C07" w:rsidP="00826C07">
            <w:pPr>
              <w:pStyle w:val="StyleWisnow"/>
              <w:rPr>
                <w:color w:val="000000" w:themeColor="text1"/>
              </w:rPr>
            </w:pPr>
          </w:p>
        </w:tc>
        <w:tc>
          <w:tcPr>
            <w:tcW w:w="4818" w:type="dxa"/>
          </w:tcPr>
          <w:p w14:paraId="6715A2F8" w14:textId="77777777" w:rsidR="00826C07" w:rsidRPr="00286216" w:rsidRDefault="00826C07" w:rsidP="00826C07">
            <w:pPr>
              <w:pStyle w:val="StyleZakonu"/>
              <w:rPr>
                <w:color w:val="000000" w:themeColor="text1"/>
              </w:rPr>
            </w:pPr>
          </w:p>
        </w:tc>
      </w:tr>
      <w:tr w:rsidR="00826C07" w:rsidRPr="00286216" w14:paraId="3C5D97EF" w14:textId="77777777" w:rsidTr="00091AA5">
        <w:tc>
          <w:tcPr>
            <w:tcW w:w="576" w:type="dxa"/>
          </w:tcPr>
          <w:p w14:paraId="330461BA" w14:textId="77777777" w:rsidR="00826C07" w:rsidRPr="00286216" w:rsidRDefault="00826C07" w:rsidP="00826C07">
            <w:pPr>
              <w:pStyle w:val="StyleWisnow"/>
              <w:rPr>
                <w:color w:val="000000" w:themeColor="text1"/>
              </w:rPr>
            </w:pPr>
          </w:p>
        </w:tc>
        <w:tc>
          <w:tcPr>
            <w:tcW w:w="4818" w:type="dxa"/>
          </w:tcPr>
          <w:p w14:paraId="4A25DB36" w14:textId="77777777" w:rsidR="00826C07" w:rsidRPr="00286216" w:rsidRDefault="00826C07" w:rsidP="00826C07">
            <w:pPr>
              <w:pStyle w:val="StyleZakonu"/>
              <w:rPr>
                <w:color w:val="000000" w:themeColor="text1"/>
              </w:rPr>
            </w:pPr>
          </w:p>
        </w:tc>
        <w:tc>
          <w:tcPr>
            <w:tcW w:w="3686" w:type="dxa"/>
          </w:tcPr>
          <w:p w14:paraId="29577AC3" w14:textId="7A0A8DA5"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717</w:t>
            </w:r>
            <w:r w:rsidRPr="00286216">
              <w:rPr>
                <w:color w:val="000000" w:themeColor="text1"/>
                <w:spacing w:val="-10"/>
              </w:rPr>
              <w:fldChar w:fldCharType="end"/>
            </w:r>
            <w:r w:rsidRPr="00286216">
              <w:rPr>
                <w:color w:val="000000" w:themeColor="text1"/>
                <w:spacing w:val="-10"/>
              </w:rPr>
              <w:t>-Н.д.Гетманцев Д.О.(Реєстр.картка №245)</w:t>
            </w:r>
          </w:p>
          <w:p w14:paraId="1C0D6402" w14:textId="77777777" w:rsidR="00826C07" w:rsidRPr="00286216" w:rsidRDefault="00826C07" w:rsidP="00826C07">
            <w:pPr>
              <w:pStyle w:val="StyleProp"/>
              <w:rPr>
                <w:color w:val="000000" w:themeColor="text1"/>
              </w:rPr>
            </w:pPr>
            <w:r w:rsidRPr="00286216">
              <w:rPr>
                <w:color w:val="000000" w:themeColor="text1"/>
              </w:rPr>
              <w:t xml:space="preserve">У статті 69 доповнити частиною другою </w:t>
            </w:r>
            <w:r w:rsidRPr="00286216">
              <w:rPr>
                <w:color w:val="000000" w:themeColor="text1"/>
              </w:rPr>
              <w:lastRenderedPageBreak/>
              <w:t>такого змісту:</w:t>
            </w:r>
          </w:p>
          <w:p w14:paraId="48C25A0C" w14:textId="71A204FA" w:rsidR="00826C07" w:rsidRPr="00286216" w:rsidRDefault="00826C07" w:rsidP="00826C07">
            <w:pPr>
              <w:pStyle w:val="StyleProp"/>
              <w:spacing w:line="180" w:lineRule="exact"/>
              <w:rPr>
                <w:color w:val="000000" w:themeColor="text1"/>
              </w:rPr>
            </w:pPr>
            <w:r w:rsidRPr="00286216">
              <w:rPr>
                <w:color w:val="000000" w:themeColor="text1"/>
              </w:rPr>
              <w:t xml:space="preserve">«Анулювання ліцензії може бути застосовано як санкція відповідно до законів України </w:t>
            </w:r>
            <w:hyperlink r:id="rId12" w:tgtFrame="_blank" w:history="1">
              <w:r w:rsidRPr="00286216">
                <w:rPr>
                  <w:color w:val="000000" w:themeColor="text1"/>
                </w:rPr>
                <w:t>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hyperlink>
            <w:r w:rsidRPr="00286216">
              <w:rPr>
                <w:color w:val="000000" w:themeColor="text1"/>
              </w:rPr>
              <w:t>,</w:t>
            </w:r>
            <w:hyperlink r:id="rId13" w:tgtFrame="_blank" w:history="1">
              <w:r w:rsidRPr="00286216">
                <w:rPr>
                  <w:color w:val="000000" w:themeColor="text1"/>
                </w:rPr>
                <w:t> "Про санкції"</w:t>
              </w:r>
            </w:hyperlink>
            <w:r w:rsidRPr="00286216">
              <w:rPr>
                <w:color w:val="000000" w:themeColor="text1"/>
              </w:rPr>
              <w:t>.</w:t>
            </w:r>
          </w:p>
        </w:tc>
        <w:tc>
          <w:tcPr>
            <w:tcW w:w="1987" w:type="dxa"/>
          </w:tcPr>
          <w:p w14:paraId="51DFC094"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Враховано частково</w:t>
            </w:r>
          </w:p>
          <w:p w14:paraId="0FEBD58B" w14:textId="77777777" w:rsidR="00826C07" w:rsidRPr="00286216" w:rsidRDefault="00826C07" w:rsidP="00826C07">
            <w:pPr>
              <w:pStyle w:val="StyleWisnow"/>
              <w:spacing w:line="180" w:lineRule="exact"/>
              <w:rPr>
                <w:color w:val="000000" w:themeColor="text1"/>
              </w:rPr>
            </w:pPr>
            <w:r w:rsidRPr="00286216">
              <w:rPr>
                <w:color w:val="000000" w:themeColor="text1"/>
              </w:rPr>
              <w:t xml:space="preserve">у запропонованій </w:t>
            </w:r>
            <w:r w:rsidRPr="00286216">
              <w:rPr>
                <w:color w:val="000000" w:themeColor="text1"/>
              </w:rPr>
              <w:lastRenderedPageBreak/>
              <w:t>редакції статті 73</w:t>
            </w:r>
          </w:p>
          <w:p w14:paraId="5ED3512C" w14:textId="7DB6BEFE" w:rsidR="00826C07" w:rsidRPr="00286216" w:rsidRDefault="00826C07" w:rsidP="00826C07">
            <w:pPr>
              <w:pStyle w:val="StyleWisnow"/>
              <w:rPr>
                <w:color w:val="000000" w:themeColor="text1"/>
              </w:rPr>
            </w:pPr>
          </w:p>
        </w:tc>
        <w:tc>
          <w:tcPr>
            <w:tcW w:w="4818" w:type="dxa"/>
          </w:tcPr>
          <w:p w14:paraId="6BDDF06E" w14:textId="77777777" w:rsidR="00826C07" w:rsidRPr="00286216" w:rsidRDefault="00826C07" w:rsidP="00826C07">
            <w:pPr>
              <w:pStyle w:val="StyleZakonu"/>
              <w:rPr>
                <w:color w:val="000000" w:themeColor="text1"/>
              </w:rPr>
            </w:pPr>
          </w:p>
        </w:tc>
      </w:tr>
      <w:tr w:rsidR="00480B30" w:rsidRPr="00286216" w14:paraId="78C428B5" w14:textId="77777777" w:rsidTr="00091AA5">
        <w:tc>
          <w:tcPr>
            <w:tcW w:w="576" w:type="dxa"/>
          </w:tcPr>
          <w:p w14:paraId="6D9A7BEC" w14:textId="77777777" w:rsidR="00480B30" w:rsidRPr="00286216" w:rsidRDefault="00480B30" w:rsidP="00480B30">
            <w:pPr>
              <w:pStyle w:val="StyleWisnow"/>
              <w:rPr>
                <w:color w:val="000000" w:themeColor="text1"/>
              </w:rPr>
            </w:pPr>
          </w:p>
        </w:tc>
        <w:tc>
          <w:tcPr>
            <w:tcW w:w="4818" w:type="dxa"/>
          </w:tcPr>
          <w:p w14:paraId="5A90ED3E" w14:textId="77777777" w:rsidR="00480B30" w:rsidRPr="00286216" w:rsidRDefault="00480B30" w:rsidP="00480B30">
            <w:pPr>
              <w:pStyle w:val="StyleZakonu"/>
              <w:rPr>
                <w:color w:val="000000" w:themeColor="text1"/>
              </w:rPr>
            </w:pPr>
          </w:p>
        </w:tc>
        <w:tc>
          <w:tcPr>
            <w:tcW w:w="3686" w:type="dxa"/>
          </w:tcPr>
          <w:p w14:paraId="04EA3B91" w14:textId="61687CBD" w:rsidR="00480B30" w:rsidRPr="00286216" w:rsidRDefault="00480B30" w:rsidP="00480B30">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718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8FBED90" w14:textId="77777777" w:rsidR="00480B30" w:rsidRPr="00286216" w:rsidRDefault="00480B30" w:rsidP="00480B30">
            <w:pPr>
              <w:pStyle w:val="StyleProp"/>
              <w:rPr>
                <w:color w:val="000000" w:themeColor="text1"/>
              </w:rPr>
            </w:pPr>
            <w:r w:rsidRPr="00286216">
              <w:rPr>
                <w:color w:val="000000" w:themeColor="text1"/>
              </w:rPr>
              <w:t>Доповнити статтю 69 новим абзацом такого змісту:</w:t>
            </w:r>
          </w:p>
          <w:p w14:paraId="63D57684" w14:textId="77777777" w:rsidR="00480B30" w:rsidRPr="00286216" w:rsidRDefault="00480B30" w:rsidP="00480B30">
            <w:pPr>
              <w:pStyle w:val="StyleProp"/>
              <w:spacing w:line="180" w:lineRule="exact"/>
              <w:rPr>
                <w:color w:val="000000" w:themeColor="text1"/>
              </w:rPr>
            </w:pPr>
            <w:r w:rsidRPr="00286216">
              <w:rPr>
                <w:color w:val="000000" w:themeColor="text1"/>
              </w:rPr>
              <w:t>«Копія рішення Національної комісії з цінних паперів та фондового ринку про анулювання ліцензії професійного учасника ринків капіталу та організованих товарних ринків, який є стороною правочину щодо фінансових інструментів,  валютних цінностей або сторони деривативного контракту чи товарної операції,  надсилається особі, яка провадить клірингову діяльність офіційним каналом зв'язку».</w:t>
            </w:r>
          </w:p>
        </w:tc>
        <w:tc>
          <w:tcPr>
            <w:tcW w:w="1987" w:type="dxa"/>
          </w:tcPr>
          <w:p w14:paraId="07EC7F59" w14:textId="77777777" w:rsidR="00480B30" w:rsidRPr="00286216" w:rsidRDefault="00480B30" w:rsidP="00480B30">
            <w:pPr>
              <w:pStyle w:val="StyleWisnow"/>
              <w:spacing w:line="180" w:lineRule="exact"/>
              <w:rPr>
                <w:color w:val="000000" w:themeColor="text1"/>
              </w:rPr>
            </w:pPr>
            <w:r w:rsidRPr="00286216">
              <w:rPr>
                <w:color w:val="000000" w:themeColor="text1"/>
              </w:rPr>
              <w:t>Враховано частково</w:t>
            </w:r>
          </w:p>
          <w:p w14:paraId="77E6CA58" w14:textId="45CA9D52" w:rsidR="00480B30" w:rsidRPr="00286216" w:rsidRDefault="00480B30" w:rsidP="00480B30">
            <w:pPr>
              <w:pStyle w:val="StyleWisnow"/>
              <w:spacing w:line="180" w:lineRule="exact"/>
              <w:rPr>
                <w:color w:val="000000" w:themeColor="text1"/>
              </w:rPr>
            </w:pPr>
            <w:r w:rsidRPr="00286216">
              <w:rPr>
                <w:color w:val="000000" w:themeColor="text1"/>
              </w:rPr>
              <w:t>у запропонованій редакції статті 73</w:t>
            </w:r>
          </w:p>
          <w:p w14:paraId="6BED929E" w14:textId="77777777" w:rsidR="00480B30" w:rsidRPr="00286216" w:rsidRDefault="00480B30" w:rsidP="00480B30">
            <w:pPr>
              <w:pStyle w:val="StyleWisnow"/>
              <w:spacing w:line="180" w:lineRule="exact"/>
              <w:rPr>
                <w:color w:val="000000" w:themeColor="text1"/>
              </w:rPr>
            </w:pPr>
          </w:p>
        </w:tc>
        <w:tc>
          <w:tcPr>
            <w:tcW w:w="4818" w:type="dxa"/>
          </w:tcPr>
          <w:p w14:paraId="141EB2F5" w14:textId="1ECEB260" w:rsidR="00480B30" w:rsidRPr="00286216" w:rsidRDefault="00480B30" w:rsidP="00480B30">
            <w:pPr>
              <w:pStyle w:val="StyleZakonu"/>
              <w:rPr>
                <w:color w:val="000000" w:themeColor="text1"/>
              </w:rPr>
            </w:pPr>
            <w:r w:rsidRPr="00286216">
              <w:rPr>
                <w:color w:val="000000" w:themeColor="text1"/>
              </w:rPr>
              <w:t>2. Копія рішення Національної комісії з цінних паперів та фондового ринку про анулювання ліцензії професійного учасника ринків капіталу та організованих товарних ринків, який є стороною правочину щодо фінансових інструментів,  валютних цінностей або стороною деривативного контракту чи товарної операції,  надсилається особі, яка провадить клірингову діяльність, офіційним каналом зв'язку.</w:t>
            </w:r>
          </w:p>
        </w:tc>
      </w:tr>
      <w:tr w:rsidR="00480B30" w:rsidRPr="00286216" w14:paraId="3F66B90A" w14:textId="77777777" w:rsidTr="00091AA5">
        <w:tc>
          <w:tcPr>
            <w:tcW w:w="576" w:type="dxa"/>
          </w:tcPr>
          <w:p w14:paraId="185AA171" w14:textId="77777777" w:rsidR="00480B30" w:rsidRPr="00286216" w:rsidRDefault="00480B30" w:rsidP="00480B30">
            <w:pPr>
              <w:pStyle w:val="StyleWisnow"/>
              <w:rPr>
                <w:color w:val="000000" w:themeColor="text1"/>
              </w:rPr>
            </w:pPr>
            <w:bookmarkStart w:id="937" w:name="n1212" w:colFirst="0" w:colLast="0"/>
            <w:r w:rsidRPr="00286216">
              <w:rPr>
                <w:color w:val="000000" w:themeColor="text1"/>
              </w:rPr>
              <w:t>1212.</w:t>
            </w:r>
          </w:p>
        </w:tc>
        <w:tc>
          <w:tcPr>
            <w:tcW w:w="4818" w:type="dxa"/>
          </w:tcPr>
          <w:p w14:paraId="67F01EED" w14:textId="77777777" w:rsidR="00480B30" w:rsidRPr="00286216" w:rsidRDefault="00480B30" w:rsidP="00480B30">
            <w:pPr>
              <w:pStyle w:val="StyleZakonu"/>
              <w:rPr>
                <w:color w:val="000000" w:themeColor="text1"/>
              </w:rPr>
            </w:pPr>
            <w:bookmarkStart w:id="938" w:name="_Ref16415682"/>
            <w:bookmarkStart w:id="939" w:name="_Ref18063493"/>
            <w:r w:rsidRPr="00286216">
              <w:rPr>
                <w:color w:val="000000" w:themeColor="text1"/>
              </w:rPr>
              <w:t>Стаття 70. Участь у професійних учасниках ринків капіталу та організованих товарних ринків</w:t>
            </w:r>
            <w:bookmarkEnd w:id="938"/>
            <w:bookmarkEnd w:id="939"/>
          </w:p>
        </w:tc>
        <w:tc>
          <w:tcPr>
            <w:tcW w:w="3686" w:type="dxa"/>
          </w:tcPr>
          <w:p w14:paraId="01DF50C1" w14:textId="77777777" w:rsidR="00480B30" w:rsidRPr="00286216" w:rsidRDefault="00480B30" w:rsidP="00480B30">
            <w:pPr>
              <w:pStyle w:val="StyleProp"/>
              <w:rPr>
                <w:color w:val="000000" w:themeColor="text1"/>
                <w:szCs w:val="18"/>
              </w:rPr>
            </w:pPr>
          </w:p>
        </w:tc>
        <w:tc>
          <w:tcPr>
            <w:tcW w:w="1987" w:type="dxa"/>
          </w:tcPr>
          <w:p w14:paraId="6F29A9BE" w14:textId="77777777" w:rsidR="00480B30" w:rsidRPr="00286216" w:rsidRDefault="00480B30" w:rsidP="00480B30">
            <w:pPr>
              <w:pStyle w:val="StyleWisnow"/>
              <w:rPr>
                <w:color w:val="000000" w:themeColor="text1"/>
              </w:rPr>
            </w:pPr>
          </w:p>
        </w:tc>
        <w:tc>
          <w:tcPr>
            <w:tcW w:w="4818" w:type="dxa"/>
          </w:tcPr>
          <w:p w14:paraId="2C61CF9E" w14:textId="77777777" w:rsidR="00480B30" w:rsidRPr="00286216" w:rsidRDefault="00480B30" w:rsidP="00480B30">
            <w:pPr>
              <w:pStyle w:val="StyleZakonu"/>
              <w:rPr>
                <w:color w:val="000000" w:themeColor="text1"/>
              </w:rPr>
            </w:pPr>
          </w:p>
        </w:tc>
      </w:tr>
      <w:bookmarkEnd w:id="937"/>
      <w:tr w:rsidR="00480B30" w:rsidRPr="00286216" w14:paraId="1839A078" w14:textId="77777777" w:rsidTr="00091AA5">
        <w:tc>
          <w:tcPr>
            <w:tcW w:w="576" w:type="dxa"/>
          </w:tcPr>
          <w:p w14:paraId="62D589E6" w14:textId="77777777" w:rsidR="00480B30" w:rsidRPr="00286216" w:rsidRDefault="00480B30" w:rsidP="00480B30">
            <w:pPr>
              <w:pStyle w:val="StyleWisnow"/>
              <w:rPr>
                <w:color w:val="000000" w:themeColor="text1"/>
              </w:rPr>
            </w:pPr>
            <w:r w:rsidRPr="00286216">
              <w:rPr>
                <w:color w:val="000000" w:themeColor="text1"/>
              </w:rPr>
              <w:t>1213.</w:t>
            </w:r>
          </w:p>
        </w:tc>
        <w:tc>
          <w:tcPr>
            <w:tcW w:w="4818" w:type="dxa"/>
          </w:tcPr>
          <w:p w14:paraId="35183185" w14:textId="77777777" w:rsidR="00480B30" w:rsidRPr="00286216" w:rsidRDefault="00480B30" w:rsidP="00480B30">
            <w:pPr>
              <w:pStyle w:val="StyleZakonu"/>
              <w:rPr>
                <w:color w:val="000000" w:themeColor="text1"/>
              </w:rPr>
            </w:pPr>
            <w:r w:rsidRPr="00286216">
              <w:rPr>
                <w:color w:val="000000" w:themeColor="text1"/>
              </w:rPr>
              <w:t>1. Юридична або фізична особа, яка має намір набути участь у професійному учаснику ринків капіталу та організованих товарних ринків (крім банків) або збільшити її таким чином, що така особа буде прямо та/або опосередковано, самостійно чи спільно з іншими особами володіти 10, 25, 50 та 75 і більше відсотками статутного капіталу професійного учасника ринків капіталу та організованих товарних ринків чи правом голосу акцій (часток, паїв) у статутному капіталі професійного учасника ринків капіталу та організованих товарних ринків та/або незалежно від формального володіння справляти значний вплив на управління або діяльність професійного учасника ринків капіталу та організованих товарних ринків, зобов’язана повідомити про свої наміри цього професійного учасника ринків капіталу та організованих товарних ринків та погодити намір такого набуття (далі - набуття) в Національній комісії з цінних паперів та фондового ринку у встановлених нею випадках та порядку до набуття такої участі або її збільшення.</w:t>
            </w:r>
          </w:p>
        </w:tc>
        <w:tc>
          <w:tcPr>
            <w:tcW w:w="3686" w:type="dxa"/>
          </w:tcPr>
          <w:p w14:paraId="7C30838B" w14:textId="3D2BD5E2" w:rsidR="00480B30" w:rsidRPr="00286216" w:rsidRDefault="00480B30" w:rsidP="00480B30">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719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C336F98"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Статтю 70 викласти в такій редакції:</w:t>
            </w:r>
          </w:p>
          <w:p w14:paraId="0C4CFD0D"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«Стаття 70. Участь у професійних учасниках ринків капіталу та організованих товарних ринків</w:t>
            </w:r>
          </w:p>
          <w:p w14:paraId="0094A5AE"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1. Юридична або фізична особа, яка має намір набути участь у професійному учаснику ринків капіталу та організованих товарних ринків (крім банків) або збільшити її таким чином, що така особа буде прямо та/або опосередковано, самостійно чи спільно з іншими особами володіти 10, 25, 50 та 75 і більше відсотками статутного капіталу професійного учасника ринків капіталу та організованих товарних ринків чи правом голосу акцій (часток, паїв) у статутному капіталі професійного учасника ринків капіталу та організованих товарних ринків та/або незалежно від формального володіння справляти значний вплив на управління або діяльність професійного учасника ринків капіталу та організованих товарних ринків (далі – набуття), зобов’язана повідомити про свої наміри цього професійного учасника ринків капіталу та організованих товарних ринків та погодити намір такого набуття  в Національній комісії з цінних паперів та фондового ринку у встановленому нею порядку до набуття такої участі або її збільшення.</w:t>
            </w:r>
          </w:p>
          <w:p w14:paraId="61A4C266"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lastRenderedPageBreak/>
              <w:t xml:space="preserve">2. Особи, зазначені в частині першій цієї статті, зобов’язані подати Національній комісії з цінних паперів та фондового ринку разом з заявою про отримання погодження наміру набуття або збільшення істотної участі у професійному учаснику ринків капіталу та організованих товарних ринків повний перелік документів, визначених цим Законом і нормативно-правовими актами Національної комісії з цінних паперів та фондового ринку. </w:t>
            </w:r>
          </w:p>
          <w:p w14:paraId="08C2BA1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Особи, зазначені в частині першій цієї статті, не подають документи, які Національна комісія з цінних паперів та фондового ринку може безоплатно отримати з державних реєстрів. Такі особи зазначають державний реєстр, який містить необхідну інформацію.  </w:t>
            </w:r>
          </w:p>
          <w:p w14:paraId="316AE7E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Особи, зазначені в частині першій цієї статті, які подали будь-яку інформацію, передбаченому цією статтею, Національному банку України або Національній комісії з цінних паперів та фондового ринку на виконання вимог цього або іншого закону, мають право не подавати інформацію повторно, зазначивши дату подачі такої інформації та ідентифікаційні дані супровідного документа, за умови надання заяви, що раніше подана інформація є актуальною станом на дату подачі заяви про отримання погодження наміру набуття або збільшення істотної участі у професійному учаснику ринків капіталу та організованих товарних ринків.</w:t>
            </w:r>
          </w:p>
          <w:p w14:paraId="6D4EEB3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та Національний банк України зобов’язані у визначеному ними порядку обмінюватись інформацією, копіями документів та результатами проведення оцінки ділової репутації щодо осіб, державне регулювання діяльності яких вони здійснюють.</w:t>
            </w:r>
          </w:p>
          <w:p w14:paraId="07A3AC6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3. Національна комісія з цінних паперів та фондового ринку протягом двох робочих днів з дати отримання документів, передбачених частиною 9, 10, 12 цієї статті, письмово повідомляє особу, яка має намір набути або збільшити участь у професійному учаснику ринків капіталу та організованих товарних ринків, про отримання повного переліку документів із зазначенням дати закінчення розгляду документів, або повідомляє про залишення документів без розгляду у зв’язку з отриманням неповного переліку документів.</w:t>
            </w:r>
          </w:p>
          <w:p w14:paraId="2D1A91A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lastRenderedPageBreak/>
              <w:t>4. Національна комісія з цінних паперів та фондового ринку розглядає документи, визначені у цій статті, протягом шістдесяти робочих днів з дня направлення повідомлення передбаченого частиною 3 цієї статті.</w:t>
            </w:r>
          </w:p>
          <w:p w14:paraId="6F52E5D8"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Протягом періоду розгляду документів, але не пізніше, ніж на п’ятдесятий робочий день з дня отримання повного переліку відповідних документів, Національна комісія з цінних паперів та фондового ринку може одноразово письмово витребувати у осіб, зазначених в частині першій цієї статті, додаткові документи, необхідні для прийняття рішення про погодження набуття участі або її збільшення, зазначивши вичерпний перелік необхідної додаткової інформації. У такому випадку розгляд документів зупиняється до моменту отримання відповіді від осіб, зазначених в частині першій цієї статті, але не більше, ніж на двадцять робочих днів для отримання відповіді від осіб, зареєстрованих на території України та тридцять робочих днів, для отримання відповіді від осіб, зареєстрованих на території іноземної держави, а також для юридичних осіб, які мають намір набути участь у професійному учаснику ринків капіталу та організованих товарних ринків або збільшити її та не є фінансовими установами. </w:t>
            </w:r>
          </w:p>
          <w:p w14:paraId="5A488D6C"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Неотримання вичерпної відповіді є підставою для прийняття Національною комісією з цінних паперів та фондового ринку рішення про відмову в погодженні наміру набуття або збільшення істотної участі у професійному учаснику ринків капіталу та організованих товарних ринків.</w:t>
            </w:r>
          </w:p>
          <w:p w14:paraId="2C664F1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Національна комісія з цінних паперів та фондового ринку протягом двох робочих днів з дати отримання додаткових документів, передбачених цією частиною, письмово повідомляє особу, яка має намір набути або збільшити участь у професійному учаснику ринків капіталу та організованих товарних ринків, про отримання таких документів. </w:t>
            </w:r>
          </w:p>
          <w:p w14:paraId="6BF5CE1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 У зв’язку з отриманням витребуваної додаткової інформації Національна комісія з цінних паперів та фондового ринку може, у разі виникнення необхідності, запитувати уточнюючу інформацію. Запит уточнюючої інформації не зупиняє перебігу періоду розгляду документів. </w:t>
            </w:r>
          </w:p>
          <w:p w14:paraId="4FEF6DC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Національна комісія з цінних паперів та фондового ринку не може витребувати інформацію, що не стосується прийняття </w:t>
            </w:r>
            <w:r w:rsidRPr="00286216">
              <w:rPr>
                <w:color w:val="000000" w:themeColor="text1"/>
                <w:szCs w:val="18"/>
              </w:rPr>
              <w:lastRenderedPageBreak/>
              <w:t>рішення про погодження набуття участі або її збільшення або про відмову в погодженні наміру набуття або збільшення істотної участі у професійному учаснику.</w:t>
            </w:r>
          </w:p>
          <w:p w14:paraId="2F52E15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5. За результатами розгляду документів Національна комісія з цінних паперів та фондового ринку приймає рішення про погодження набуття участі або її збільшення або про відмову в погодженні наміру набуття або збільшення істотної участі у професійному учаснику ринків капіталу та організованих товарних ринків. </w:t>
            </w:r>
          </w:p>
          <w:p w14:paraId="199B274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Рішення про погодження набуття участі або її збільшення повинно включати строк дії такого погодження. За заявою особи, якій погоджено набуття або збільшення істотної участі у професійному учаснику, строк дії такого погодження може бути подовжено за відповідним рішенням Національної комісії з цінних паперів та фондового ринку.  </w:t>
            </w:r>
          </w:p>
          <w:p w14:paraId="703EF83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приймає рішення про відмову в погодженні наміру набуття або збільшення істотної участі у професійному учаснику ринків капіталу та організованих товарних ринків та повідомляє відповідну особу про прийняте рішення із зазначенням підстав такої заборони у порядку та строки, встановлені Національною комісією з цінних паперів та фондового ринку.</w:t>
            </w:r>
          </w:p>
          <w:p w14:paraId="3AC4D72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6. Інформація про погодження Національною комісією з цінних паперів та фондового ринку набуття участі у професійному учаснику ринків капіталу та організованих товарних ринків (крім банків) або її збільшення або про відмову в погодженні наміру набуття або збільшення істотної участі у професійному учаснику ринків капіталу та організованих товарних ринків оприлюднюється у порядку, встановленому Національною комісією з цінних паперів та фондового ринку.</w:t>
            </w:r>
          </w:p>
          <w:p w14:paraId="2C7FD5F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У разі якщо Національна комісія з цінних паперів та фондового ринку у строк, визначений частиною 4 цієї статті, не прийняла рішення про відмову в погодженні наміру набуття або збільшення істотної участі у професійному учаснику ринків капіталу та організованих товарних ринків, таке набуття або збільшення вважається погодженим.</w:t>
            </w:r>
          </w:p>
          <w:p w14:paraId="3F3FCE1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7. У випадку якщо повний перелік документів для погодження набуття участі в одному і тому самому професійному учаснику ринків капіталу та організованих товарних ринків або її збільшення подали дві </w:t>
            </w:r>
            <w:r w:rsidRPr="00286216">
              <w:rPr>
                <w:color w:val="000000" w:themeColor="text1"/>
                <w:szCs w:val="18"/>
              </w:rPr>
              <w:lastRenderedPageBreak/>
              <w:t>та більше осіб, Національна комісія з цінних паперів та фондового ринку здійснює розгляд документів на засадах недискримінації, забезпечуючи таким особам рівні можливості.</w:t>
            </w:r>
          </w:p>
          <w:p w14:paraId="0DD29AD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8. Особи, зазначені в частині першій цієї статті, зобов’язані повідомити професійного учасника ринків капіталу та організованих товарних ринків про погодження Національною комісією з цінних паперів та фондового ринку набуття або збільшення участі у професійному учаснику ринків капіталу та організованих товарних ринків та надати такому учаснику інформацію про свою структуру власності та розмір частки участі у професійному учаснику ринків капіталу та організованих товарних ринків. </w:t>
            </w:r>
          </w:p>
          <w:p w14:paraId="638A999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9. Юридична особа, яка відповідно до частини першої цієї статті має намір набути або збільшити участь у професійному учаснику ринків капіталу та організованих товарних ринків, зобов’язана подати Національній комісії з цінних паперів та фондового ринку за формою, що встановлена Національною комісією з цінних паперів та фондового ринку (якщо інше не передбачено цим пунктом), наступні документи та інформацію: </w:t>
            </w:r>
          </w:p>
          <w:p w14:paraId="57344419"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 заяву про отримання погодження наміру набуття або збільшення істотної участі у професійному учаснику ринків капіталу та організованих товарних ринків;</w:t>
            </w:r>
          </w:p>
          <w:p w14:paraId="0B255D09"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2) ідентифікаційні дані особи, яка має намір набути або збільшити участь у професійному учаснику ринків капіталу та організованих товарних ринків: повне найменування, ідентифікаційний код юридичної особи, код LEI (за наявності), місцезнаходження, поштову адресу, електронну адресу, номери засобів зв’язку;</w:t>
            </w:r>
          </w:p>
          <w:p w14:paraId="336ECF9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3) копія статуту юридичної особи, засвідчена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у Єдиному державному реєстрі юридичних осіб, фізичних осіб-підприємців та громадських формувань;</w:t>
            </w:r>
          </w:p>
          <w:p w14:paraId="3D1F1CA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4) перелік операцій, які здійснює така особа в рамках провадження господарської діяльності;</w:t>
            </w:r>
          </w:p>
          <w:p w14:paraId="6D9B77C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5) повний перелік контролерів, осіб, що здійснюють управлінські функції в  такій юридичній особі із зазначенням наступної інформації щодо таких осіб: </w:t>
            </w:r>
          </w:p>
          <w:p w14:paraId="004FEFB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а) прізвище, ім’я, по батькові; </w:t>
            </w:r>
          </w:p>
          <w:p w14:paraId="15ABAC8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lastRenderedPageBreak/>
              <w:t>б) дата та місце народження;</w:t>
            </w:r>
          </w:p>
          <w:p w14:paraId="76066C3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в)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в паспорті) або унікальний номер запису в Єдиному державному демографічному реєстрі;</w:t>
            </w:r>
          </w:p>
          <w:p w14:paraId="6F736D6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г) адреса реєстрації, поштова адреса, електронна адреса, номери засобів зв’язку; </w:t>
            </w:r>
          </w:p>
          <w:p w14:paraId="3A38130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ґ) інформація про освіту, професійне навчання, досвід роботи, які стосуються  фондового ринку (ринку цінних паперів), ринків капіталу та товарного ринку, із зазначенням організацій, де ця фізична особа працювала, характеру посадових обов’язків, які вона виконувала та часу їх виконання;</w:t>
            </w:r>
          </w:p>
          <w:p w14:paraId="143DF57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6) інформацію щодо кінцевих бенефіціарних власників юридичної особи, яка має намір набути або збільшити участь у професійному учаснику ринків капіталу та організованих товарних ринків: </w:t>
            </w:r>
          </w:p>
          <w:p w14:paraId="27FDAEF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а) прізвище, ім’я, по батькові; </w:t>
            </w:r>
          </w:p>
          <w:p w14:paraId="4A2F0FE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б) дата та місце народження;</w:t>
            </w:r>
          </w:p>
          <w:p w14:paraId="0A82E62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в)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в паспорті) або унікальний номер запису в Єдиному державному демографічному реєстрі;</w:t>
            </w:r>
          </w:p>
          <w:p w14:paraId="5AC3D44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7) наступну інформацію про юридичну особу, яка відповідно до частини першої цієї статті має намір набути або збільшити участь, будь-яких її контролерів, осіб, що здійснюють в ній управлінські функції, а також осіб, щодо яких вона здійснює контроль:</w:t>
            </w:r>
          </w:p>
          <w:p w14:paraId="25B2D85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а) інформацію, підтверджену копіями відповідних документів, про вироки у справах щодо злочинів у сфері господарської діяльності, триваючі досудові розслідування в рамках кримінальних проваджень у таких злочинах, спори, пов’язані з господарською діяльністю, стороною яких у порядку адміністративного, господарського або цивільного судочинства виступає така особа, дисциплінарні провадження, включаючи відсторонення від займаної посади керівника юридичної особи, триваючі провадження у </w:t>
            </w:r>
            <w:r w:rsidRPr="00286216">
              <w:rPr>
                <w:color w:val="000000" w:themeColor="text1"/>
                <w:szCs w:val="18"/>
              </w:rPr>
              <w:lastRenderedPageBreak/>
              <w:t>справі про банкрутство або неплатоспроможність та інші подобні процедури відносно такої особи (таких осіб);</w:t>
            </w:r>
          </w:p>
          <w:p w14:paraId="592379A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б) інформацію в довільній формі про триваючі на дату подачі заяви провадження будь-яких контролюючих органів у справах щодо такої особи (таких осіб), виконавчі провадження, процедури застосування санкцій за порушення, пов’язанні з наданням фінансових послуг;</w:t>
            </w:r>
          </w:p>
          <w:p w14:paraId="40FF8810"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в) інформацію у довільній формі про: відмови у видачі ліцензії, дозволу, авторизації, наданні членства, видачі документів (сертифікату, свідоцтва тощо), що надають право провадити діяльність на ринках капіталу; відкликання, анулювання чи припинення таких ліцензій, дозволів, авторизації, членства, чи дії документів; виключення зі складу об’єднань професійних учасників ринків капіталу, професійних об’єднань та асоціацій;</w:t>
            </w:r>
          </w:p>
          <w:p w14:paraId="261399B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г) інформацію у довільній формі про звільнення з посади за порушення законодавства про захист прав споживачів фінансових послуг, звільнення від виконання функцій повіреного (управителя) траста або інших фідуціарних обов’язків (обов’язків діяти якнайкраще в інтересах третіх осіб) або будь-яких інших аналогічних відносин на ринках капіталу щодо осіб, які є контролерами такої особи, або здійснюють в ній управлінські функції;</w:t>
            </w:r>
          </w:p>
          <w:p w14:paraId="58FCDB6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8) інформацію щодо проведення органами державної влади, або Національним банок України оцінки ділової репутації такої особи в рамках інших передбачених законом процедур і результати такої оцінки (якщо такі відомі), із зазначенням органу, що проводив оцінку, та дати її проведення;</w:t>
            </w:r>
          </w:p>
          <w:p w14:paraId="77798A5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9) опис фінансових інтересів (пов’язаність відносинами в рамках кредитного договору, договору гарантії або застави), а також наявність родинних зв’язків у такої особи, членів фінансової групи, до якої вона належить, а також її контролерів та осіб, які здійснюють в ній управлінські функції з:</w:t>
            </w:r>
          </w:p>
          <w:p w14:paraId="0CBCB42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а) власниками акцій (часток) у статутному капіталі професійного учасника ринків капіталу та організованих товарних ринків, у якому така юридична особа має намір набути або збільшити істотну участь; </w:t>
            </w:r>
          </w:p>
          <w:p w14:paraId="3E57E48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б) особами, які мають право голосу (мають право здійснювати право голосу від імені третіх осіб) в органах такого професійного учасника ринків капіталу та організованих товарних ринків, у випадках, </w:t>
            </w:r>
            <w:r w:rsidRPr="00286216">
              <w:rPr>
                <w:color w:val="000000" w:themeColor="text1"/>
                <w:szCs w:val="18"/>
              </w:rPr>
              <w:lastRenderedPageBreak/>
              <w:t>встановлених Національною комісією з цінних паперів та фондового ринку;</w:t>
            </w:r>
          </w:p>
          <w:p w14:paraId="4CE7F1C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в) особами, які здійснюють управлінські функції у професійному учаснику ринків капіталу та організованих товарних ринків;</w:t>
            </w:r>
          </w:p>
          <w:p w14:paraId="79324E9A"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г) професійним учасником ринків капіталу та організованих товарних ринків в цілому, або членами фінансової групи, до якої він належить;</w:t>
            </w:r>
          </w:p>
          <w:p w14:paraId="19FE73D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10) інформацію про інтереси або діяльність, які можуть суперечити тим, що стосуються професійного учасника ринків капіталу та організованих товарних ринків, у якому фізична особа має намір набути або збільшити істотну участь, а також про можливі рішення для управління цими конфліктами інтересів;</w:t>
            </w:r>
          </w:p>
          <w:p w14:paraId="51ADD4C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11) схематичне зображення структури власності такої юридичної особи із зазначенням ідентифікаційних даних усіх акціонерів (учасників), які здійснюють вирішальний вплив на діяльність такої особи, розміру їх частки в статутному капіталі (прав голосу), а також інформацію про наявність у таких осіб статусу сторони засновницького договору;</w:t>
            </w:r>
          </w:p>
          <w:p w14:paraId="14C94E9C"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12) схематичне зображення структури фінансової групи, до якої належить така юридична особа, із зазначенням розміру часток у статутному капіталі (прав голосу) учасників групи, які є контролерами щодо інших учасників, а також їх КВЕД;</w:t>
            </w:r>
          </w:p>
          <w:p w14:paraId="09D9688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13) якщо така особа є материнським, або дочірнім підприємством, що входить до складу фінансової групи – інформацію про відносини між суб’єктами господарювання-учасниками групи, які є та тими, які не є фінансовими установами;</w:t>
            </w:r>
          </w:p>
          <w:p w14:paraId="748AC85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14) ідентифікаційні дані будь-яких банків, кредитних установ, страховиків, перестраховиків, інститутів спільного інвестування і осіб, що здійснюють управління їх активами, а також інвестиційних фірм, що входять до фінансової групи із зазначенням органів, що здійснюють державне регулювання основного виду їх економічної діяльності;</w:t>
            </w:r>
          </w:p>
          <w:p w14:paraId="0B33D91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15) фінансову звітність, консолідовану і субконсолідовану фінансову звітність (у разі складання відповідно до законодавства) іноземної юридичної особи за останні три фінансові роки (з доданням аудиторських звітів у разі їх наявності).</w:t>
            </w:r>
          </w:p>
          <w:p w14:paraId="5F1D19F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Якщо така юридична особа провадить господарську діяльність протягом строку, недостатнього для виконання вимог цього </w:t>
            </w:r>
            <w:r w:rsidRPr="00286216">
              <w:rPr>
                <w:color w:val="000000" w:themeColor="text1"/>
                <w:szCs w:val="18"/>
              </w:rPr>
              <w:lastRenderedPageBreak/>
              <w:t>пункту, подається фінансова звітність за повні фінансові роки провадження нею господарської діяльності та остання проміжна фінансова інформація, складена станом на кінець звітного періоду, що передує даті подання заяви, підтверджені аудиторським звітом та звітом щодо огляду проміжної фінансової інформації відповідно.</w:t>
            </w:r>
          </w:p>
          <w:p w14:paraId="7A799F79"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Якщо така юридична особа провадить господарську діяльність протягом строку, що є меншим одного року, подається тільки проміжна фінансова інформація,  складена станом на кінець звітного періоду, що передує даті подання заяви, підтверджена звітом щодо огляду проміжної фінансової інформації.</w:t>
            </w:r>
          </w:p>
          <w:p w14:paraId="26E7CC23"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16) інформацію про кредитний рейтинг такої особи та фінансової групи, до якої вона належить (за наявності такої інформації);</w:t>
            </w:r>
          </w:p>
          <w:p w14:paraId="258F12D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17) інші документи, встановлені Національною комісією з цінних паперів та фондового ринку.</w:t>
            </w:r>
          </w:p>
          <w:p w14:paraId="7CD27773"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10. Іноземна юридична особа, яка має намір набути або збільшити участь у професійному учаснику ринків капіталу та організованих товарних ринків відповідно до частини першої цієї статті, додатково до інформації та документів, передбачених частиною сьомою цієї статті, подає Національній комісії з цінних паперів та фондового ринку в установленому нею порядку такі документи: </w:t>
            </w:r>
          </w:p>
          <w:p w14:paraId="313D839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 письмовий дозвіл на участь іноземної юридичної особи у професійному учаснику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дозволу, або письмове запевнення іноземної юридичної особи про відсутність у законодавстві відповідної держави вимог (підстав) щодо отримання такого дозволу; </w:t>
            </w:r>
          </w:p>
          <w:p w14:paraId="1FED373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2) витяг із торговельного, судового реєстру або інший офіційний документ, що підтверджує реєстрацію іноземної юридичної особи в державі, в якій зареєстровано її головний офіс; </w:t>
            </w:r>
          </w:p>
          <w:p w14:paraId="6A6BA473"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3) письмовий дозвіл на участь юридичної особи – нерезидента у професійному учаснику фондового ринку в Україні, виданий уповноваженим контролюючим органом країни, в якій зареєстровано головний офіс юридичної особи – нерезидента, якщо законодавством такої </w:t>
            </w:r>
            <w:r w:rsidRPr="00286216">
              <w:rPr>
                <w:color w:val="000000" w:themeColor="text1"/>
                <w:szCs w:val="18"/>
              </w:rPr>
              <w:lastRenderedPageBreak/>
              <w:t>країни вимагається отримання зазначеного дозволу, або письмове запевнення про те, що надання такого дозволу в законодавстві країни його походження не передбачено;</w:t>
            </w:r>
          </w:p>
          <w:p w14:paraId="3E90B27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4) документ про ділову репутацію заявника від відповідних іноземних компетентних органів (за наявності);</w:t>
            </w:r>
          </w:p>
          <w:p w14:paraId="501B14C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5) загальну інформацію про компетентні органи іноземної країни, які мають наглядові повноваження щодо юридичної особи – нерезидента;</w:t>
            </w:r>
          </w:p>
          <w:p w14:paraId="39FA2F0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6) інші документи, встановлені Національною комісією з цінних паперів та фондового ринку.</w:t>
            </w:r>
          </w:p>
          <w:p w14:paraId="4DEAF39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Іноземна юридична особа, яка має намір набути або збільшити участь у професійному учаснику ринків капіталу та організованих товарних ринків відповідно до частини першої цієї статті, та є фондом національного добробуту (sovereign wealth fund), додатково до інформації та документів, передбачених частиною дев’ятою та цієї частиною статті, подає Національній комісії з цінних паперів та фондового ринку в установленому нею порядку такі документи: </w:t>
            </w:r>
          </w:p>
          <w:p w14:paraId="4990A03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 найменування міністерства або урядового відомства, відповідального за визначення інвестиційної політики фонду;</w:t>
            </w:r>
          </w:p>
          <w:p w14:paraId="4C5FDB3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2) подробиці інвестиційної політики та будь-які обмеження на інвестиції;</w:t>
            </w:r>
          </w:p>
          <w:p w14:paraId="146A8AE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3) найменування та посада осіб, відповідальних за прийняття інвестиційних рішень для фонду, а також відомості про істотну участь або про значний вплив, що здійснюється визначеним міністерством або урядовим відомством на щоденні операції фонду та професійного учасника фондового ринку.</w:t>
            </w:r>
          </w:p>
          <w:p w14:paraId="565F8E4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11. Національна комісія з цінних паперів та фондового ринку може встановити особливості документів, що подаються для погодження наміру набуття або збільшення істотної участі відповідно до частини першої цієї статті окремими категоріями осіб (зокрема, трастами, фондами національного добробуту, фінансовими установами).</w:t>
            </w:r>
          </w:p>
          <w:p w14:paraId="2AE2ACF0"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12. Фізична особа, яка відповідно до частини першої цієї статті має намір набути або збільшити участь у професійному учаснику ринків капіталу та організованих товарних ринків, зобов’язана подати Національній комісії з цінних паперів та фондового ринку за формою, що встановлена Національною комісією з цінних паперів та фондового ринку (якщо інше не передбачено цим пунктом), наступні документи та </w:t>
            </w:r>
            <w:r w:rsidRPr="00286216">
              <w:rPr>
                <w:color w:val="000000" w:themeColor="text1"/>
                <w:szCs w:val="18"/>
              </w:rPr>
              <w:lastRenderedPageBreak/>
              <w:t>інформацію:</w:t>
            </w:r>
          </w:p>
          <w:p w14:paraId="551136EC"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 заяву про отримання погодження наміру набуття або збільшення істотної участі у професійному учаснику ринків капіталу та організованих товарних ринків;</w:t>
            </w:r>
          </w:p>
          <w:p w14:paraId="1074DD5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2) ідентифікаційні дані особи, яка має намір набути або збільшити участь у професійному учаснику ринків капіталу та організованих товарних ринків: прізвище, ім’я, по батькові, дата та місце народження,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в паспорті) або унікальний номер запису в Єдиному державному демографічному реєстрі, адреса реєстрації, поштова адреса, електронна адреса, номери засобів зв’язку;</w:t>
            </w:r>
          </w:p>
          <w:p w14:paraId="6E5D2C9F"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3) інформацію про освіту, професійне навчання, досвід роботи, які стосуються  фондового ринку (ринку цінних паперів), ринків капіталу та товарного ринку, із зазначенням організацій, де ця фізична особа працювала, характеру посадових обов’язків, які вона виконувала та часу їх виконання. </w:t>
            </w:r>
          </w:p>
          <w:p w14:paraId="0785C8E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4) наступну інформацію щодо фізичної особи, яка має намір набути або збільшити участь у професійному учаснику ринків капіталу та організованих товарних ринків, та будь-якого суб’єкта господарювання контролером або членом виконавчого органу якого була така особа протягом останніх 10 років:</w:t>
            </w:r>
          </w:p>
          <w:p w14:paraId="3279D4A3"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а) інформацію, підтверджену копіями відповідних документів, про вироки у справах щодо злочинів у сфері господарської діяльності, триваючі досудові розслідування в рамках кримінальних проваджень у таких злочинах, спори, пов’язані з господарською діяльністю, стороною яких у порядку адміністративного або цивільного судочинства виступає така особа, дисциплінарні провадження, включаючи відсторонення від займаної посади керівника юридичної особи, триваючі провадження у справі про банкрутство або неплатоспроможність та інші подобні процедури відносно такої особи;</w:t>
            </w:r>
          </w:p>
          <w:p w14:paraId="06DF2EF6"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б) інформацію в довільній формі про триваючі на дату подачі заяви провадження будь-яких контролюючих органів у справах щодо заявника, виконавчі провадження, </w:t>
            </w:r>
            <w:r w:rsidRPr="00286216">
              <w:rPr>
                <w:color w:val="000000" w:themeColor="text1"/>
                <w:szCs w:val="18"/>
              </w:rPr>
              <w:lastRenderedPageBreak/>
              <w:t>процедури застосування санкцій за порушення, пов’язанні з наданням фінансових послуг;</w:t>
            </w:r>
          </w:p>
          <w:p w14:paraId="3B193A4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в) інформацію у довільній формі про: відмови у видачі ліцензії, дозволу, авторизації, наданні членства, видачі документів (сертифікатів, свідоцтва тощо), що надають право провадити діяльність на ринках капіталу; відкликання, анулювання чи припинення таких ліцензій, дозволів, авторизації, членства, чи дії документів; виключення зі складу об’єднань професійних учасників ринків капіталу, професійних об’єднань та асоціацій;</w:t>
            </w:r>
          </w:p>
          <w:p w14:paraId="51DCB3D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г) інформацію у довільній формі про звільнення з посади за порушення законодавства про захист прав споживачів фінансових послуг, звільнення від виконання функцій повіреного (управителя) траста або інших фідуціарних обов’язків (обов’язків діяти якнайкраще в інтересах третіх осіб) або будь-яких інших аналогічних відносин на ринках капіталу;</w:t>
            </w:r>
          </w:p>
          <w:p w14:paraId="1AED26D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5) інформацію щодо проведення органами державної влади, або Національним банок України оцінки ділової репутації та досвіду такої особи в рамках інших передбачених законом процедур і результати такої оцінки (якщо такі відомі), із зазначенням органу, що проводив оцінку, та дати її проведення;</w:t>
            </w:r>
          </w:p>
          <w:p w14:paraId="16F7BBC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6) документи, що дають змогу зробити висновок про фінансовий стан особи, включаючи інформацію про джерела походження коштів, активів та зобов’язань, а також інформацію про відносини застави, іпотеки, гарантії, стороною яких є особа;</w:t>
            </w:r>
          </w:p>
          <w:p w14:paraId="38EAB70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7) перелік операцій, які здійснює така особа в рамках провадження господарської діяльності;</w:t>
            </w:r>
          </w:p>
          <w:p w14:paraId="1F7D42B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8) інформацію про фінансовий стан заявника, включаючи інформацію про кредитний рейтинг та опубліковану фінансову звітність суб’єктів господарювання у яких така особа була контролером або членом виконавчого органу, а також щодо такої особи (за наявності такої інформації);</w:t>
            </w:r>
          </w:p>
          <w:p w14:paraId="2374596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9) інформацію щодо наявності у таких осіб родинних зв’язків або спільних фінансових інтересів (пов’язаність відносинами в рамках кредитного договору, договору гарантії або застави) з:</w:t>
            </w:r>
          </w:p>
          <w:p w14:paraId="41962A0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а) власниками акцій (часток) у статутному капіталі професійного учасника ринків капіталу та організованих товарних ринків, у якому фізична особа має намір набути або </w:t>
            </w:r>
            <w:r w:rsidRPr="00286216">
              <w:rPr>
                <w:color w:val="000000" w:themeColor="text1"/>
                <w:szCs w:val="18"/>
              </w:rPr>
              <w:lastRenderedPageBreak/>
              <w:t xml:space="preserve">збільшити істотну участь, </w:t>
            </w:r>
          </w:p>
          <w:p w14:paraId="38D7C43C"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б) особами, які мають право голосу (мають право здійснювати право голосу від імені третіх осіб) в органах такого професійного учасника ринків капіталу та організованих товарних ринків, у випадках, встановлених Національною комісією з цінних паперів та фондового ринку,  </w:t>
            </w:r>
          </w:p>
          <w:p w14:paraId="488FFC4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в) особами, які здійснюють управлінські функції у професійному учаснику ринків капіталу та організованих товарних ринків, </w:t>
            </w:r>
          </w:p>
          <w:p w14:paraId="56CDF866"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г) професійним учасником ринків капіталу та організованих товарних ринків в цілому, або членами фінансової групи, до якої він належить;</w:t>
            </w:r>
          </w:p>
          <w:p w14:paraId="36BF3B45"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10) інформацію про інтереси або діяльність, які можуть суперечити тим, що стосуються професійного учасника ринків капіталу та організованих товарних ринків, у якому фізична особа має намір набути або збільшити істотну участь;</w:t>
            </w:r>
          </w:p>
          <w:p w14:paraId="6151943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11) копію попередніх висновків або рішення Антимонопольного комітету України у випадках, передбачених законодавством;</w:t>
            </w:r>
          </w:p>
          <w:p w14:paraId="11AFED22"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12) інші документи, встановлені Національною комісією з цінних паперів та фондового ринку.</w:t>
            </w:r>
          </w:p>
          <w:p w14:paraId="2528DB17"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13.  Документи, зазначені в цій статті, що подаються іноземною юридичною особою та фізичною особою – іноземцем, повинні відповідати вимогам до мови документу, передбаченим статтею 136 цього Закону. </w:t>
            </w:r>
          </w:p>
          <w:p w14:paraId="2B69BB80"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14. Національна комісія з цінних паперів та фондового ринку має право прийняти рішення про відмову в погодженні наміру набуття або збільшення істотної участі у професійному учаснику ринків капіталу та організованих товарних ринків, у разі якщо: </w:t>
            </w:r>
          </w:p>
          <w:p w14:paraId="124AF58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 документи містять недостовірну інформацію або не відповідають вимогам законів України чи нормативно-правових актів Національної комісії з цінних паперів та фондового ринку; </w:t>
            </w:r>
          </w:p>
          <w:p w14:paraId="60BA9961"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2) ділова репутація фізичної або юридичної особи – заявника, не відповідає вимогам щодо її бездоганності, установленим Національною комісією з цінних паперів та фондового ринку; </w:t>
            </w:r>
          </w:p>
          <w:p w14:paraId="719B0DC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3) ділова репутація особи-контролера заявника, ділова репутація осіб, які здійснюють управлінські функції в юридичній особі – заявнику, а також ділова репутація осіб, які здійснюють управлінські функції в юридичній особі, що знаходиться під контролем юридичної особи – заявника, </w:t>
            </w:r>
            <w:r w:rsidRPr="00286216">
              <w:rPr>
                <w:color w:val="000000" w:themeColor="text1"/>
                <w:szCs w:val="18"/>
              </w:rPr>
              <w:lastRenderedPageBreak/>
              <w:t xml:space="preserve">не відповідає вимогам щодо її бездоганності, установленим Національною комісією з цінних паперів та фондового ринку; </w:t>
            </w:r>
          </w:p>
          <w:p w14:paraId="646D836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4) фінансовий стан юридичної особи-заявника та/або майновий стан фізичної особи-заявника не відповідають вимогам, установленим Національною комісією з цінних паперів та фондового ринку; </w:t>
            </w:r>
          </w:p>
          <w:p w14:paraId="58580CDE"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5) особа не має власних коштів для набуття або збільшення участі у професійному учаснику ринків капіталу та організованих товарних ринків; </w:t>
            </w:r>
          </w:p>
          <w:p w14:paraId="44F28ECB"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6) набуття або збільшення особою участі у професійному учаснику ринків капіталу та організованих товарних ринків загрожуватиме інтересам клієнтів професійного учасника ринків капіталу та організованих товарних ринків або суперечитиме антимонопольному законодавству України; </w:t>
            </w:r>
          </w:p>
          <w:p w14:paraId="285CDC09"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7) структура власності заявника не відповідає вимогам щодо її прозорості, встановленим Національною комісією з цінних паперів та фондового ринку. </w:t>
            </w:r>
          </w:p>
          <w:p w14:paraId="0D721A6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15. Юридична особа, яка має участь у професійному учаснику ринків капіталу та організованих товарних ринків, зобов’язана повідомляти такого професійного учасника ринків капіталу та організованих товарних і Національну комісію з цінних паперів та фондового ринку у встановленому нею порядку про всі зміни структури її власності, а також надавати інформацію про ділову репутацію новопризначених керівників у місячний строк з дня настання відповідних змін. </w:t>
            </w:r>
          </w:p>
          <w:p w14:paraId="6D6B2EFD"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 xml:space="preserve">Фізична особа, яка має участь у професійному учаснику ринків капіталу та організованих товарних ринків, зобов’язана повідомляти такого професійного учасника ринків капіталу та організованих товарних ринків та Національну комісію з цінних паперів та фондового ринку у встановленому нею порядку про всі зміни в інформації, яку вона подала згідно з вимогами цієї статті. </w:t>
            </w:r>
          </w:p>
          <w:p w14:paraId="43F696BF" w14:textId="77777777" w:rsidR="00480B30" w:rsidRPr="00286216" w:rsidRDefault="00480B30" w:rsidP="00480B30">
            <w:pPr>
              <w:pStyle w:val="StyleProp"/>
              <w:spacing w:line="180" w:lineRule="exact"/>
              <w:rPr>
                <w:color w:val="000000" w:themeColor="text1"/>
                <w:szCs w:val="18"/>
              </w:rPr>
            </w:pPr>
            <w:r w:rsidRPr="00286216">
              <w:rPr>
                <w:color w:val="000000" w:themeColor="text1"/>
              </w:rPr>
              <w:t>16. Юридична чи фізична особа, яка має намір передати участь у професійному учаснику ринків капіталу та організованих товарних ринків будь-якій</w:t>
            </w:r>
            <w:r w:rsidRPr="00286216">
              <w:rPr>
                <w:color w:val="000000" w:themeColor="text1"/>
                <w:szCs w:val="18"/>
              </w:rPr>
              <w:t xml:space="preserve"> іншій особі, зменшити таку участь або передати контроль над професійним учасником ринків капіталу та організованих товарних ринків іншій особі, має повідомити про це професійного учасника ринків капіталу та організованих товарних ринків і Національну комісію з цінних паперів та фондового ринку в </w:t>
            </w:r>
            <w:r w:rsidRPr="00286216">
              <w:rPr>
                <w:color w:val="000000" w:themeColor="text1"/>
                <w:szCs w:val="18"/>
              </w:rPr>
              <w:lastRenderedPageBreak/>
              <w:t>установленому нею порядку.</w:t>
            </w:r>
          </w:p>
          <w:p w14:paraId="6601FA85"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17. У разі зменшення показників діяльності професійного учасника ринків капіталу та організованих товарних ринків, що використовуються для вимірювання та оцінки ризиків його діяльності, таким чином, що існує ризик невиконання ним пруденційних нормативів, встановлених Національною комісією з цінних паперів та фондового ринку, або виникнення ризику неспроможності виконання професійним учасником ринків капіталу та організованих товарних ринків своїх фінансових зобов’язань, строк виконання яких настав, особа, яка має істотну участь у такому професійному учаснику ринків капіталу та організованих товарних ринків, зобов’язана:</w:t>
            </w:r>
          </w:p>
          <w:p w14:paraId="74F4B80D"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 xml:space="preserve">1) надати фінансову допомогу такому професійному учаснику в рамках вжиття заходів з метою приведення його діяльності у відповідність із вимогами законодавства або з метою виконання таким учасником своїх фінансових зобов’язань у розмірі, пропорційному розміру її участі, або </w:t>
            </w:r>
          </w:p>
          <w:p w14:paraId="6B45AE9A"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2) ініціювати розгляд загальними зборами учасників (акціонерів) питання про ліквідацію такого професійного учасника. У випадку, якщо загальними зборами не підтримано пропозицію особи, яка має істотну участь у такому професійному учаснику ринків капіталу та організованих товарних ринків, прийняти рішення про ліквідацію професійного учасника, така особа зобов’язана виконати дії, передбачені пунктом першим цієї частини статті.</w:t>
            </w:r>
          </w:p>
          <w:p w14:paraId="00D9BF5F" w14:textId="77777777" w:rsidR="00480B30" w:rsidRPr="00286216" w:rsidRDefault="00480B30" w:rsidP="00480B30">
            <w:pPr>
              <w:pStyle w:val="StyleProp"/>
              <w:spacing w:line="190" w:lineRule="exact"/>
              <w:rPr>
                <w:color w:val="000000" w:themeColor="text1"/>
                <w:szCs w:val="18"/>
              </w:rPr>
            </w:pPr>
            <w:r w:rsidRPr="00286216">
              <w:rPr>
                <w:color w:val="000000" w:themeColor="text1"/>
                <w:szCs w:val="18"/>
              </w:rPr>
              <w:t>18. Особа, яка набула участь у професійному учаснику ринків капіталу та організованих товарних ринків (крім банків) або збільшила її з порушенням вимог цієї статті не має права користуватися правом голосу за акціями (частками), які вона набула з порушенням вимог цієї статті».</w:t>
            </w:r>
          </w:p>
          <w:p w14:paraId="12CBD6A1" w14:textId="77777777" w:rsidR="00480B30" w:rsidRPr="00286216" w:rsidRDefault="00480B30" w:rsidP="00480B30">
            <w:pPr>
              <w:pStyle w:val="StyleProp"/>
              <w:spacing w:line="190" w:lineRule="exact"/>
              <w:rPr>
                <w:color w:val="000000" w:themeColor="text1"/>
                <w:szCs w:val="18"/>
              </w:rPr>
            </w:pPr>
          </w:p>
          <w:p w14:paraId="2C1161A5" w14:textId="39F027D3" w:rsidR="00480B30" w:rsidRPr="00286216" w:rsidRDefault="00480B30" w:rsidP="00480B30">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720</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59C4B7F4" w14:textId="77777777" w:rsidR="00480B30" w:rsidRPr="00286216" w:rsidRDefault="00480B30" w:rsidP="00480B30">
            <w:pPr>
              <w:pStyle w:val="StyleProp"/>
              <w:spacing w:line="180" w:lineRule="exact"/>
              <w:rPr>
                <w:color w:val="000000" w:themeColor="text1"/>
                <w:szCs w:val="18"/>
              </w:rPr>
            </w:pPr>
            <w:r w:rsidRPr="00286216">
              <w:rPr>
                <w:color w:val="000000" w:themeColor="text1"/>
                <w:szCs w:val="18"/>
              </w:rPr>
              <w:t>У звʼязку з врахуванням поправок про виключення положень щодо відкритого переліку документів для отримання погодження про набуття чи збільшення істотної участі, пропонується доповнити статтю щодо порядку такого погодження абзацами такого змісту:</w:t>
            </w:r>
          </w:p>
          <w:p w14:paraId="415B61E5" w14:textId="5F34ABD8" w:rsidR="00480B30" w:rsidRPr="00286216" w:rsidRDefault="00480B30" w:rsidP="00480B30">
            <w:pPr>
              <w:pStyle w:val="StyleProp"/>
              <w:spacing w:line="180" w:lineRule="exact"/>
              <w:rPr>
                <w:color w:val="000000" w:themeColor="text1"/>
                <w:szCs w:val="18"/>
              </w:rPr>
            </w:pPr>
            <w:r w:rsidRPr="00286216">
              <w:rPr>
                <w:color w:val="000000" w:themeColor="text1"/>
                <w:szCs w:val="18"/>
              </w:rPr>
              <w:lastRenderedPageBreak/>
              <w:t>(до частини десятої):</w:t>
            </w:r>
          </w:p>
          <w:p w14:paraId="4171E69F" w14:textId="1004C162" w:rsidR="00480B30" w:rsidRPr="00286216" w:rsidRDefault="00480B30" w:rsidP="00480B30">
            <w:pPr>
              <w:pStyle w:val="StyleProp"/>
              <w:spacing w:line="180" w:lineRule="exact"/>
              <w:rPr>
                <w:color w:val="000000" w:themeColor="text1"/>
              </w:rPr>
            </w:pPr>
            <w:r w:rsidRPr="00286216">
              <w:rPr>
                <w:color w:val="000000" w:themeColor="text1"/>
              </w:rPr>
              <w:t>"Фізична особа – іноземець (особа без громадянства), яка має намір набути або збільшити участь, додатково до інформації та документів, передбачених частиною десятою цієї статті, подає Національній комісії з цінних паперів та фондового ринку в установленому нею порядку документи, передбачені пунктами 1 та  3 цієї частини";</w:t>
            </w:r>
          </w:p>
          <w:p w14:paraId="217B748A" w14:textId="49BD7BA4" w:rsidR="00480B30" w:rsidRPr="00286216" w:rsidRDefault="00480B30" w:rsidP="00480B30">
            <w:pPr>
              <w:pStyle w:val="StyleProp"/>
              <w:spacing w:line="180" w:lineRule="exact"/>
              <w:rPr>
                <w:color w:val="000000" w:themeColor="text1"/>
                <w:szCs w:val="18"/>
              </w:rPr>
            </w:pPr>
            <w:r w:rsidRPr="00286216">
              <w:rPr>
                <w:color w:val="000000" w:themeColor="text1"/>
                <w:szCs w:val="18"/>
              </w:rPr>
              <w:t>(після частини дванадцятої):</w:t>
            </w:r>
          </w:p>
          <w:p w14:paraId="67EF9C65" w14:textId="79E27C20" w:rsidR="00480B30" w:rsidRPr="00286216" w:rsidRDefault="00480B30" w:rsidP="00480B30">
            <w:pPr>
              <w:pStyle w:val="StyleProp"/>
              <w:spacing w:line="180" w:lineRule="exact"/>
              <w:rPr>
                <w:color w:val="000000" w:themeColor="text1"/>
              </w:rPr>
            </w:pPr>
            <w:r w:rsidRPr="00286216">
              <w:rPr>
                <w:color w:val="000000" w:themeColor="text1"/>
              </w:rPr>
              <w:t>"Особа, яка має намір набути або збільшити участь, додатково до інформації та документів, передбачених частинами дев’ятою – одинадцятою цієї статті, подає Національній комісії з цінних паперів та фондового ринку відповідно до вимог, за формою та у  порядку, установленими Національною комісією з цінних паперів та фондового ринку, таку інформацію:</w:t>
            </w:r>
          </w:p>
          <w:p w14:paraId="6E4FBF62" w14:textId="77777777" w:rsidR="00480B30" w:rsidRPr="00286216" w:rsidRDefault="00480B30" w:rsidP="00480B30">
            <w:pPr>
              <w:pStyle w:val="StyleProp"/>
              <w:spacing w:line="180" w:lineRule="exact"/>
              <w:rPr>
                <w:color w:val="000000" w:themeColor="text1"/>
              </w:rPr>
            </w:pPr>
            <w:r w:rsidRPr="00286216">
              <w:rPr>
                <w:color w:val="000000" w:themeColor="text1"/>
              </w:rPr>
              <w:t>1) про осіб, яких така особа у разі набуття участі або її збільшення має намір призначити особами, які здійснюють виконавчі  функції в професійному учаснику ринків капіталу та організованих товарних ринків;</w:t>
            </w:r>
          </w:p>
          <w:p w14:paraId="046DF3A3" w14:textId="77777777" w:rsidR="00480B30" w:rsidRPr="00286216" w:rsidRDefault="00480B30" w:rsidP="00480B30">
            <w:pPr>
              <w:pStyle w:val="StyleProp"/>
              <w:spacing w:line="180" w:lineRule="exact"/>
              <w:rPr>
                <w:color w:val="000000" w:themeColor="text1"/>
              </w:rPr>
            </w:pPr>
            <w:r w:rsidRPr="00286216">
              <w:rPr>
                <w:color w:val="000000" w:themeColor="text1"/>
              </w:rPr>
              <w:t>2) щодо мети, способу, обсягу, вартості набуття участі або її збільшення;</w:t>
            </w:r>
          </w:p>
          <w:p w14:paraId="09287063" w14:textId="77777777" w:rsidR="00480B30" w:rsidRPr="00286216" w:rsidRDefault="00480B30" w:rsidP="00480B30">
            <w:pPr>
              <w:pStyle w:val="StyleProp"/>
              <w:spacing w:line="180" w:lineRule="exact"/>
              <w:rPr>
                <w:color w:val="000000" w:themeColor="text1"/>
              </w:rPr>
            </w:pPr>
            <w:r w:rsidRPr="00286216">
              <w:rPr>
                <w:color w:val="000000" w:themeColor="text1"/>
              </w:rPr>
              <w:t>3) щодо фінансування набуття участі або її збільшення;</w:t>
            </w:r>
          </w:p>
          <w:p w14:paraId="6F6C33F8" w14:textId="77777777" w:rsidR="00480B30" w:rsidRPr="00286216" w:rsidRDefault="00480B30" w:rsidP="00480B30">
            <w:pPr>
              <w:pStyle w:val="StyleProp"/>
              <w:spacing w:line="180" w:lineRule="exact"/>
              <w:rPr>
                <w:color w:val="000000" w:themeColor="text1"/>
              </w:rPr>
            </w:pPr>
            <w:r w:rsidRPr="00286216">
              <w:rPr>
                <w:color w:val="000000" w:themeColor="text1"/>
              </w:rPr>
              <w:t>4) про групу, до якої належатиме професійний учасник ринків капіталу та організованих товарних ринків у результаті набуття участі або її збільшення, а також про наслідки такого набуття участі або її збільшення для цілей здійснення консолідованого та субконсолідованого нагляду за професійним учасником ринків капіталу та організованих товарних ринків;</w:t>
            </w:r>
          </w:p>
          <w:p w14:paraId="6B4828BA" w14:textId="68EE5E12" w:rsidR="00480B30" w:rsidRPr="00286216" w:rsidRDefault="00480B30" w:rsidP="00480B30">
            <w:pPr>
              <w:pStyle w:val="StyleProp"/>
              <w:spacing w:line="180" w:lineRule="exact"/>
              <w:rPr>
                <w:color w:val="000000" w:themeColor="text1"/>
                <w:szCs w:val="18"/>
              </w:rPr>
            </w:pPr>
            <w:r w:rsidRPr="00286216">
              <w:rPr>
                <w:color w:val="000000" w:themeColor="text1"/>
              </w:rPr>
              <w:t>5) щодо бізнес-плану (бізнес-стратегії) подальшої діяльності професійного учасника ринків капіталу та організованих товарних ринків".</w:t>
            </w:r>
          </w:p>
        </w:tc>
        <w:tc>
          <w:tcPr>
            <w:tcW w:w="1987" w:type="dxa"/>
          </w:tcPr>
          <w:p w14:paraId="500037CF" w14:textId="77777777" w:rsidR="00480B30" w:rsidRPr="00286216" w:rsidRDefault="00480B30" w:rsidP="00480B30">
            <w:pPr>
              <w:pStyle w:val="StyleWisnow"/>
              <w:rPr>
                <w:color w:val="000000" w:themeColor="text1"/>
              </w:rPr>
            </w:pPr>
            <w:r w:rsidRPr="00286216">
              <w:rPr>
                <w:color w:val="000000" w:themeColor="text1"/>
              </w:rPr>
              <w:lastRenderedPageBreak/>
              <w:t>Враховано редакційно</w:t>
            </w:r>
          </w:p>
          <w:p w14:paraId="46CFCF39" w14:textId="77777777" w:rsidR="00480B30" w:rsidRPr="00286216" w:rsidRDefault="00480B30" w:rsidP="00480B30">
            <w:pPr>
              <w:pStyle w:val="StyleWisnow"/>
              <w:rPr>
                <w:color w:val="000000" w:themeColor="text1"/>
              </w:rPr>
            </w:pPr>
            <w:r w:rsidRPr="00286216">
              <w:rPr>
                <w:color w:val="000000" w:themeColor="text1"/>
              </w:rPr>
              <w:t>з урахуванням вимог нормопроектувальної техніки</w:t>
            </w:r>
          </w:p>
          <w:p w14:paraId="29D916B9" w14:textId="77777777" w:rsidR="00480B30" w:rsidRPr="00286216" w:rsidRDefault="00480B30" w:rsidP="00480B30">
            <w:pPr>
              <w:pStyle w:val="StyleWisnow"/>
              <w:rPr>
                <w:color w:val="000000" w:themeColor="text1"/>
              </w:rPr>
            </w:pPr>
          </w:p>
          <w:p w14:paraId="700B85A7" w14:textId="77777777" w:rsidR="00480B30" w:rsidRPr="00286216" w:rsidRDefault="00480B30" w:rsidP="00480B30">
            <w:pPr>
              <w:pStyle w:val="StyleWisnow"/>
              <w:rPr>
                <w:color w:val="000000" w:themeColor="text1"/>
              </w:rPr>
            </w:pPr>
          </w:p>
          <w:p w14:paraId="67F1926C" w14:textId="77777777" w:rsidR="00480B30" w:rsidRPr="00286216" w:rsidRDefault="00480B30" w:rsidP="00480B30">
            <w:pPr>
              <w:pStyle w:val="StyleWisnow"/>
              <w:rPr>
                <w:color w:val="000000" w:themeColor="text1"/>
              </w:rPr>
            </w:pPr>
          </w:p>
          <w:p w14:paraId="54F54548" w14:textId="77777777" w:rsidR="00480B30" w:rsidRPr="00286216" w:rsidRDefault="00480B30" w:rsidP="00480B30">
            <w:pPr>
              <w:pStyle w:val="StyleWisnow"/>
              <w:rPr>
                <w:color w:val="000000" w:themeColor="text1"/>
              </w:rPr>
            </w:pPr>
          </w:p>
          <w:p w14:paraId="4C670E38" w14:textId="77777777" w:rsidR="00480B30" w:rsidRPr="00286216" w:rsidRDefault="00480B30" w:rsidP="00480B30">
            <w:pPr>
              <w:pStyle w:val="StyleWisnow"/>
              <w:rPr>
                <w:color w:val="000000" w:themeColor="text1"/>
              </w:rPr>
            </w:pPr>
          </w:p>
          <w:p w14:paraId="227EA57F" w14:textId="77777777" w:rsidR="00480B30" w:rsidRPr="00286216" w:rsidRDefault="00480B30" w:rsidP="00480B30">
            <w:pPr>
              <w:pStyle w:val="StyleWisnow"/>
              <w:rPr>
                <w:color w:val="000000" w:themeColor="text1"/>
              </w:rPr>
            </w:pPr>
          </w:p>
          <w:p w14:paraId="7EBE5FE5" w14:textId="77777777" w:rsidR="00480B30" w:rsidRPr="00286216" w:rsidRDefault="00480B30" w:rsidP="00480B30">
            <w:pPr>
              <w:pStyle w:val="StyleWisnow"/>
              <w:rPr>
                <w:color w:val="000000" w:themeColor="text1"/>
              </w:rPr>
            </w:pPr>
          </w:p>
          <w:p w14:paraId="3F6E0467" w14:textId="77777777" w:rsidR="00480B30" w:rsidRPr="00286216" w:rsidRDefault="00480B30" w:rsidP="00480B30">
            <w:pPr>
              <w:pStyle w:val="StyleWisnow"/>
              <w:rPr>
                <w:color w:val="000000" w:themeColor="text1"/>
              </w:rPr>
            </w:pPr>
          </w:p>
          <w:p w14:paraId="768BF7F1" w14:textId="77777777" w:rsidR="00480B30" w:rsidRPr="00286216" w:rsidRDefault="00480B30" w:rsidP="00480B30">
            <w:pPr>
              <w:pStyle w:val="StyleWisnow"/>
              <w:rPr>
                <w:color w:val="000000" w:themeColor="text1"/>
              </w:rPr>
            </w:pPr>
          </w:p>
          <w:p w14:paraId="47050E39" w14:textId="77777777" w:rsidR="00480B30" w:rsidRPr="00286216" w:rsidRDefault="00480B30" w:rsidP="00480B30">
            <w:pPr>
              <w:pStyle w:val="StyleWisnow"/>
              <w:rPr>
                <w:color w:val="000000" w:themeColor="text1"/>
              </w:rPr>
            </w:pPr>
          </w:p>
          <w:p w14:paraId="5BB08816" w14:textId="77777777" w:rsidR="00480B30" w:rsidRPr="00286216" w:rsidRDefault="00480B30" w:rsidP="00480B30">
            <w:pPr>
              <w:pStyle w:val="StyleWisnow"/>
              <w:rPr>
                <w:color w:val="000000" w:themeColor="text1"/>
              </w:rPr>
            </w:pPr>
          </w:p>
          <w:p w14:paraId="339F6882" w14:textId="77777777" w:rsidR="00480B30" w:rsidRPr="00286216" w:rsidRDefault="00480B30" w:rsidP="00480B30">
            <w:pPr>
              <w:pStyle w:val="StyleWisnow"/>
              <w:rPr>
                <w:color w:val="000000" w:themeColor="text1"/>
              </w:rPr>
            </w:pPr>
          </w:p>
          <w:p w14:paraId="7FC44A5B" w14:textId="77777777" w:rsidR="00480B30" w:rsidRPr="00286216" w:rsidRDefault="00480B30" w:rsidP="00480B30">
            <w:pPr>
              <w:pStyle w:val="StyleWisnow"/>
              <w:rPr>
                <w:color w:val="000000" w:themeColor="text1"/>
              </w:rPr>
            </w:pPr>
          </w:p>
          <w:p w14:paraId="647D1FC9" w14:textId="77777777" w:rsidR="00480B30" w:rsidRPr="00286216" w:rsidRDefault="00480B30" w:rsidP="00480B30">
            <w:pPr>
              <w:pStyle w:val="StyleWisnow"/>
              <w:rPr>
                <w:color w:val="000000" w:themeColor="text1"/>
              </w:rPr>
            </w:pPr>
          </w:p>
          <w:p w14:paraId="3B9EFD00" w14:textId="77777777" w:rsidR="00480B30" w:rsidRPr="00286216" w:rsidRDefault="00480B30" w:rsidP="00480B30">
            <w:pPr>
              <w:pStyle w:val="StyleWisnow"/>
              <w:rPr>
                <w:color w:val="000000" w:themeColor="text1"/>
              </w:rPr>
            </w:pPr>
          </w:p>
          <w:p w14:paraId="5D5CB8DF" w14:textId="77777777" w:rsidR="00480B30" w:rsidRPr="00286216" w:rsidRDefault="00480B30" w:rsidP="00480B30">
            <w:pPr>
              <w:pStyle w:val="StyleWisnow"/>
              <w:rPr>
                <w:color w:val="000000" w:themeColor="text1"/>
              </w:rPr>
            </w:pPr>
          </w:p>
          <w:p w14:paraId="492D34FA" w14:textId="77777777" w:rsidR="00480B30" w:rsidRPr="00286216" w:rsidRDefault="00480B30" w:rsidP="00480B30">
            <w:pPr>
              <w:pStyle w:val="StyleWisnow"/>
              <w:rPr>
                <w:color w:val="000000" w:themeColor="text1"/>
              </w:rPr>
            </w:pPr>
          </w:p>
          <w:p w14:paraId="66563F39" w14:textId="77777777" w:rsidR="00480B30" w:rsidRPr="00286216" w:rsidRDefault="00480B30" w:rsidP="00480B30">
            <w:pPr>
              <w:pStyle w:val="StyleWisnow"/>
              <w:rPr>
                <w:color w:val="000000" w:themeColor="text1"/>
              </w:rPr>
            </w:pPr>
          </w:p>
          <w:p w14:paraId="15C456D6" w14:textId="77777777" w:rsidR="00480B30" w:rsidRPr="00286216" w:rsidRDefault="00480B30" w:rsidP="00480B30">
            <w:pPr>
              <w:pStyle w:val="StyleWisnow"/>
              <w:rPr>
                <w:color w:val="000000" w:themeColor="text1"/>
              </w:rPr>
            </w:pPr>
          </w:p>
          <w:p w14:paraId="2843FD27" w14:textId="77777777" w:rsidR="00480B30" w:rsidRPr="00286216" w:rsidRDefault="00480B30" w:rsidP="00480B30">
            <w:pPr>
              <w:pStyle w:val="StyleWisnow"/>
              <w:rPr>
                <w:color w:val="000000" w:themeColor="text1"/>
              </w:rPr>
            </w:pPr>
          </w:p>
          <w:p w14:paraId="5353777D" w14:textId="77777777" w:rsidR="00480B30" w:rsidRPr="00286216" w:rsidRDefault="00480B30" w:rsidP="00480B30">
            <w:pPr>
              <w:pStyle w:val="StyleWisnow"/>
              <w:rPr>
                <w:color w:val="000000" w:themeColor="text1"/>
              </w:rPr>
            </w:pPr>
          </w:p>
          <w:p w14:paraId="441BEAB3" w14:textId="77777777" w:rsidR="00480B30" w:rsidRPr="00286216" w:rsidRDefault="00480B30" w:rsidP="00480B30">
            <w:pPr>
              <w:pStyle w:val="StyleWisnow"/>
              <w:rPr>
                <w:color w:val="000000" w:themeColor="text1"/>
              </w:rPr>
            </w:pPr>
          </w:p>
          <w:p w14:paraId="7E07AB44" w14:textId="77777777" w:rsidR="00480B30" w:rsidRPr="00286216" w:rsidRDefault="00480B30" w:rsidP="00480B30">
            <w:pPr>
              <w:pStyle w:val="StyleWisnow"/>
              <w:rPr>
                <w:color w:val="000000" w:themeColor="text1"/>
              </w:rPr>
            </w:pPr>
          </w:p>
          <w:p w14:paraId="07425288" w14:textId="77777777" w:rsidR="00480B30" w:rsidRPr="00286216" w:rsidRDefault="00480B30" w:rsidP="00480B30">
            <w:pPr>
              <w:pStyle w:val="StyleWisnow"/>
              <w:rPr>
                <w:color w:val="000000" w:themeColor="text1"/>
              </w:rPr>
            </w:pPr>
          </w:p>
          <w:p w14:paraId="1664E494" w14:textId="77777777" w:rsidR="00480B30" w:rsidRPr="00286216" w:rsidRDefault="00480B30" w:rsidP="00480B30">
            <w:pPr>
              <w:pStyle w:val="StyleWisnow"/>
              <w:rPr>
                <w:color w:val="000000" w:themeColor="text1"/>
              </w:rPr>
            </w:pPr>
          </w:p>
          <w:p w14:paraId="37A1CBF2" w14:textId="77777777" w:rsidR="00480B30" w:rsidRPr="00286216" w:rsidRDefault="00480B30" w:rsidP="00480B30">
            <w:pPr>
              <w:pStyle w:val="StyleWisnow"/>
              <w:rPr>
                <w:color w:val="000000" w:themeColor="text1"/>
              </w:rPr>
            </w:pPr>
          </w:p>
          <w:p w14:paraId="5519D602" w14:textId="77777777" w:rsidR="00480B30" w:rsidRPr="00286216" w:rsidRDefault="00480B30" w:rsidP="00480B30">
            <w:pPr>
              <w:pStyle w:val="StyleWisnow"/>
              <w:rPr>
                <w:color w:val="000000" w:themeColor="text1"/>
              </w:rPr>
            </w:pPr>
          </w:p>
          <w:p w14:paraId="5B33F56C" w14:textId="77777777" w:rsidR="00480B30" w:rsidRPr="00286216" w:rsidRDefault="00480B30" w:rsidP="00480B30">
            <w:pPr>
              <w:pStyle w:val="StyleWisnow"/>
              <w:rPr>
                <w:color w:val="000000" w:themeColor="text1"/>
              </w:rPr>
            </w:pPr>
          </w:p>
          <w:p w14:paraId="1FD8A0A2" w14:textId="77777777" w:rsidR="00480B30" w:rsidRPr="00286216" w:rsidRDefault="00480B30" w:rsidP="00480B30">
            <w:pPr>
              <w:pStyle w:val="StyleWisnow"/>
              <w:rPr>
                <w:color w:val="000000" w:themeColor="text1"/>
              </w:rPr>
            </w:pPr>
          </w:p>
          <w:p w14:paraId="54972365" w14:textId="77777777" w:rsidR="00480B30" w:rsidRPr="00286216" w:rsidRDefault="00480B30" w:rsidP="00480B30">
            <w:pPr>
              <w:pStyle w:val="StyleWisnow"/>
              <w:rPr>
                <w:color w:val="000000" w:themeColor="text1"/>
              </w:rPr>
            </w:pPr>
          </w:p>
          <w:p w14:paraId="4535AA8A" w14:textId="77777777" w:rsidR="00480B30" w:rsidRPr="00286216" w:rsidRDefault="00480B30" w:rsidP="00480B30">
            <w:pPr>
              <w:pStyle w:val="StyleWisnow"/>
              <w:rPr>
                <w:color w:val="000000" w:themeColor="text1"/>
              </w:rPr>
            </w:pPr>
          </w:p>
          <w:p w14:paraId="36DC4999" w14:textId="77777777" w:rsidR="00480B30" w:rsidRPr="00286216" w:rsidRDefault="00480B30" w:rsidP="00480B30">
            <w:pPr>
              <w:pStyle w:val="StyleWisnow"/>
              <w:rPr>
                <w:color w:val="000000" w:themeColor="text1"/>
              </w:rPr>
            </w:pPr>
          </w:p>
          <w:p w14:paraId="3C0047C7" w14:textId="77777777" w:rsidR="00480B30" w:rsidRPr="00286216" w:rsidRDefault="00480B30" w:rsidP="00480B30">
            <w:pPr>
              <w:pStyle w:val="StyleWisnow"/>
              <w:rPr>
                <w:color w:val="000000" w:themeColor="text1"/>
              </w:rPr>
            </w:pPr>
          </w:p>
          <w:p w14:paraId="71CE64EC" w14:textId="77777777" w:rsidR="00480B30" w:rsidRPr="00286216" w:rsidRDefault="00480B30" w:rsidP="00480B30">
            <w:pPr>
              <w:pStyle w:val="StyleWisnow"/>
              <w:rPr>
                <w:color w:val="000000" w:themeColor="text1"/>
              </w:rPr>
            </w:pPr>
          </w:p>
          <w:p w14:paraId="1602A474" w14:textId="77777777" w:rsidR="00480B30" w:rsidRPr="00286216" w:rsidRDefault="00480B30" w:rsidP="00480B30">
            <w:pPr>
              <w:pStyle w:val="StyleWisnow"/>
              <w:rPr>
                <w:color w:val="000000" w:themeColor="text1"/>
              </w:rPr>
            </w:pPr>
          </w:p>
          <w:p w14:paraId="7E6BAD36" w14:textId="77777777" w:rsidR="00480B30" w:rsidRPr="00286216" w:rsidRDefault="00480B30" w:rsidP="00480B30">
            <w:pPr>
              <w:pStyle w:val="StyleWisnow"/>
              <w:rPr>
                <w:color w:val="000000" w:themeColor="text1"/>
              </w:rPr>
            </w:pPr>
          </w:p>
          <w:p w14:paraId="03E0DDDE" w14:textId="77777777" w:rsidR="00480B30" w:rsidRPr="00286216" w:rsidRDefault="00480B30" w:rsidP="00480B30">
            <w:pPr>
              <w:pStyle w:val="StyleWisnow"/>
              <w:rPr>
                <w:color w:val="000000" w:themeColor="text1"/>
              </w:rPr>
            </w:pPr>
          </w:p>
          <w:p w14:paraId="64AC3AD4" w14:textId="77777777" w:rsidR="00480B30" w:rsidRPr="00286216" w:rsidRDefault="00480B30" w:rsidP="00480B30">
            <w:pPr>
              <w:pStyle w:val="StyleWisnow"/>
              <w:rPr>
                <w:color w:val="000000" w:themeColor="text1"/>
              </w:rPr>
            </w:pPr>
          </w:p>
          <w:p w14:paraId="3E59C529" w14:textId="77777777" w:rsidR="00480B30" w:rsidRPr="00286216" w:rsidRDefault="00480B30" w:rsidP="00480B30">
            <w:pPr>
              <w:pStyle w:val="StyleWisnow"/>
              <w:rPr>
                <w:color w:val="000000" w:themeColor="text1"/>
              </w:rPr>
            </w:pPr>
          </w:p>
          <w:p w14:paraId="14ED9030" w14:textId="77777777" w:rsidR="00480B30" w:rsidRPr="00286216" w:rsidRDefault="00480B30" w:rsidP="00480B30">
            <w:pPr>
              <w:pStyle w:val="StyleWisnow"/>
              <w:rPr>
                <w:color w:val="000000" w:themeColor="text1"/>
              </w:rPr>
            </w:pPr>
          </w:p>
          <w:p w14:paraId="78C13031" w14:textId="77777777" w:rsidR="00480B30" w:rsidRPr="00286216" w:rsidRDefault="00480B30" w:rsidP="00480B30">
            <w:pPr>
              <w:pStyle w:val="StyleWisnow"/>
              <w:rPr>
                <w:color w:val="000000" w:themeColor="text1"/>
              </w:rPr>
            </w:pPr>
          </w:p>
          <w:p w14:paraId="2662AED4" w14:textId="77777777" w:rsidR="00480B30" w:rsidRPr="00286216" w:rsidRDefault="00480B30" w:rsidP="00480B30">
            <w:pPr>
              <w:pStyle w:val="StyleWisnow"/>
              <w:rPr>
                <w:color w:val="000000" w:themeColor="text1"/>
              </w:rPr>
            </w:pPr>
          </w:p>
          <w:p w14:paraId="531B5C30" w14:textId="77777777" w:rsidR="00480B30" w:rsidRPr="00286216" w:rsidRDefault="00480B30" w:rsidP="00480B30">
            <w:pPr>
              <w:pStyle w:val="StyleWisnow"/>
              <w:rPr>
                <w:color w:val="000000" w:themeColor="text1"/>
              </w:rPr>
            </w:pPr>
          </w:p>
          <w:p w14:paraId="5BAC83F0" w14:textId="77777777" w:rsidR="00480B30" w:rsidRPr="00286216" w:rsidRDefault="00480B30" w:rsidP="00480B30">
            <w:pPr>
              <w:pStyle w:val="StyleWisnow"/>
              <w:rPr>
                <w:color w:val="000000" w:themeColor="text1"/>
              </w:rPr>
            </w:pPr>
          </w:p>
          <w:p w14:paraId="044E7A9D" w14:textId="77777777" w:rsidR="00480B30" w:rsidRPr="00286216" w:rsidRDefault="00480B30" w:rsidP="00480B30">
            <w:pPr>
              <w:pStyle w:val="StyleWisnow"/>
              <w:rPr>
                <w:color w:val="000000" w:themeColor="text1"/>
              </w:rPr>
            </w:pPr>
          </w:p>
          <w:p w14:paraId="51C28624" w14:textId="77777777" w:rsidR="00480B30" w:rsidRPr="00286216" w:rsidRDefault="00480B30" w:rsidP="00480B30">
            <w:pPr>
              <w:pStyle w:val="StyleWisnow"/>
              <w:rPr>
                <w:color w:val="000000" w:themeColor="text1"/>
              </w:rPr>
            </w:pPr>
          </w:p>
          <w:p w14:paraId="2EA0FA41" w14:textId="77777777" w:rsidR="00480B30" w:rsidRPr="00286216" w:rsidRDefault="00480B30" w:rsidP="00480B30">
            <w:pPr>
              <w:pStyle w:val="StyleWisnow"/>
              <w:rPr>
                <w:color w:val="000000" w:themeColor="text1"/>
              </w:rPr>
            </w:pPr>
          </w:p>
          <w:p w14:paraId="70AD6E05" w14:textId="77777777" w:rsidR="00480B30" w:rsidRPr="00286216" w:rsidRDefault="00480B30" w:rsidP="00480B30">
            <w:pPr>
              <w:pStyle w:val="StyleWisnow"/>
              <w:rPr>
                <w:color w:val="000000" w:themeColor="text1"/>
              </w:rPr>
            </w:pPr>
          </w:p>
          <w:p w14:paraId="4862B0EC" w14:textId="77777777" w:rsidR="00480B30" w:rsidRPr="00286216" w:rsidRDefault="00480B30" w:rsidP="00480B30">
            <w:pPr>
              <w:pStyle w:val="StyleWisnow"/>
              <w:rPr>
                <w:color w:val="000000" w:themeColor="text1"/>
              </w:rPr>
            </w:pPr>
          </w:p>
          <w:p w14:paraId="0D2A385C" w14:textId="77777777" w:rsidR="00480B30" w:rsidRPr="00286216" w:rsidRDefault="00480B30" w:rsidP="00480B30">
            <w:pPr>
              <w:pStyle w:val="StyleWisnow"/>
              <w:rPr>
                <w:color w:val="000000" w:themeColor="text1"/>
              </w:rPr>
            </w:pPr>
          </w:p>
          <w:p w14:paraId="27C0E71B" w14:textId="77777777" w:rsidR="00480B30" w:rsidRPr="00286216" w:rsidRDefault="00480B30" w:rsidP="00480B30">
            <w:pPr>
              <w:pStyle w:val="StyleWisnow"/>
              <w:rPr>
                <w:color w:val="000000" w:themeColor="text1"/>
              </w:rPr>
            </w:pPr>
          </w:p>
          <w:p w14:paraId="2E6ECDCD" w14:textId="77777777" w:rsidR="00480B30" w:rsidRPr="00286216" w:rsidRDefault="00480B30" w:rsidP="00480B30">
            <w:pPr>
              <w:pStyle w:val="StyleWisnow"/>
              <w:rPr>
                <w:color w:val="000000" w:themeColor="text1"/>
              </w:rPr>
            </w:pPr>
          </w:p>
          <w:p w14:paraId="6BDA06E3" w14:textId="77777777" w:rsidR="00480B30" w:rsidRPr="00286216" w:rsidRDefault="00480B30" w:rsidP="00480B30">
            <w:pPr>
              <w:pStyle w:val="StyleWisnow"/>
              <w:rPr>
                <w:color w:val="000000" w:themeColor="text1"/>
              </w:rPr>
            </w:pPr>
          </w:p>
          <w:p w14:paraId="2647355E" w14:textId="77777777" w:rsidR="00480B30" w:rsidRPr="00286216" w:rsidRDefault="00480B30" w:rsidP="00480B30">
            <w:pPr>
              <w:pStyle w:val="StyleWisnow"/>
              <w:rPr>
                <w:color w:val="000000" w:themeColor="text1"/>
              </w:rPr>
            </w:pPr>
          </w:p>
          <w:p w14:paraId="14D71737" w14:textId="77777777" w:rsidR="00480B30" w:rsidRPr="00286216" w:rsidRDefault="00480B30" w:rsidP="00480B30">
            <w:pPr>
              <w:pStyle w:val="StyleWisnow"/>
              <w:rPr>
                <w:color w:val="000000" w:themeColor="text1"/>
              </w:rPr>
            </w:pPr>
          </w:p>
          <w:p w14:paraId="1AA25813" w14:textId="77777777" w:rsidR="00480B30" w:rsidRPr="00286216" w:rsidRDefault="00480B30" w:rsidP="00480B30">
            <w:pPr>
              <w:pStyle w:val="StyleWisnow"/>
              <w:rPr>
                <w:color w:val="000000" w:themeColor="text1"/>
              </w:rPr>
            </w:pPr>
          </w:p>
          <w:p w14:paraId="7A25B252" w14:textId="77777777" w:rsidR="00480B30" w:rsidRPr="00286216" w:rsidRDefault="00480B30" w:rsidP="00480B30">
            <w:pPr>
              <w:pStyle w:val="StyleWisnow"/>
              <w:rPr>
                <w:color w:val="000000" w:themeColor="text1"/>
              </w:rPr>
            </w:pPr>
          </w:p>
          <w:p w14:paraId="1336F172" w14:textId="77777777" w:rsidR="00480B30" w:rsidRPr="00286216" w:rsidRDefault="00480B30" w:rsidP="00480B30">
            <w:pPr>
              <w:pStyle w:val="StyleWisnow"/>
              <w:rPr>
                <w:color w:val="000000" w:themeColor="text1"/>
              </w:rPr>
            </w:pPr>
          </w:p>
          <w:p w14:paraId="3DD96D6B" w14:textId="77777777" w:rsidR="00480B30" w:rsidRPr="00286216" w:rsidRDefault="00480B30" w:rsidP="00480B30">
            <w:pPr>
              <w:pStyle w:val="StyleWisnow"/>
              <w:rPr>
                <w:color w:val="000000" w:themeColor="text1"/>
              </w:rPr>
            </w:pPr>
          </w:p>
          <w:p w14:paraId="594774E4" w14:textId="77777777" w:rsidR="00480B30" w:rsidRPr="00286216" w:rsidRDefault="00480B30" w:rsidP="00480B30">
            <w:pPr>
              <w:pStyle w:val="StyleWisnow"/>
              <w:rPr>
                <w:color w:val="000000" w:themeColor="text1"/>
              </w:rPr>
            </w:pPr>
          </w:p>
          <w:p w14:paraId="255C328F" w14:textId="77777777" w:rsidR="00480B30" w:rsidRPr="00286216" w:rsidRDefault="00480B30" w:rsidP="00480B30">
            <w:pPr>
              <w:pStyle w:val="StyleWisnow"/>
              <w:rPr>
                <w:color w:val="000000" w:themeColor="text1"/>
              </w:rPr>
            </w:pPr>
          </w:p>
          <w:p w14:paraId="5D0C68B8" w14:textId="77777777" w:rsidR="00480B30" w:rsidRPr="00286216" w:rsidRDefault="00480B30" w:rsidP="00480B30">
            <w:pPr>
              <w:pStyle w:val="StyleWisnow"/>
              <w:rPr>
                <w:color w:val="000000" w:themeColor="text1"/>
              </w:rPr>
            </w:pPr>
          </w:p>
          <w:p w14:paraId="401A53B4" w14:textId="77777777" w:rsidR="00480B30" w:rsidRPr="00286216" w:rsidRDefault="00480B30" w:rsidP="00480B30">
            <w:pPr>
              <w:pStyle w:val="StyleWisnow"/>
              <w:rPr>
                <w:color w:val="000000" w:themeColor="text1"/>
              </w:rPr>
            </w:pPr>
          </w:p>
          <w:p w14:paraId="4D09F9B4" w14:textId="77777777" w:rsidR="00480B30" w:rsidRPr="00286216" w:rsidRDefault="00480B30" w:rsidP="00480B30">
            <w:pPr>
              <w:pStyle w:val="StyleWisnow"/>
              <w:rPr>
                <w:color w:val="000000" w:themeColor="text1"/>
              </w:rPr>
            </w:pPr>
          </w:p>
          <w:p w14:paraId="12BD5C04" w14:textId="77777777" w:rsidR="00480B30" w:rsidRPr="00286216" w:rsidRDefault="00480B30" w:rsidP="00480B30">
            <w:pPr>
              <w:pStyle w:val="StyleWisnow"/>
              <w:rPr>
                <w:color w:val="000000" w:themeColor="text1"/>
              </w:rPr>
            </w:pPr>
          </w:p>
          <w:p w14:paraId="057FAEF8" w14:textId="77777777" w:rsidR="00480B30" w:rsidRPr="00286216" w:rsidRDefault="00480B30" w:rsidP="00480B30">
            <w:pPr>
              <w:pStyle w:val="StyleWisnow"/>
              <w:rPr>
                <w:color w:val="000000" w:themeColor="text1"/>
              </w:rPr>
            </w:pPr>
          </w:p>
          <w:p w14:paraId="0E680556" w14:textId="77777777" w:rsidR="00480B30" w:rsidRPr="00286216" w:rsidRDefault="00480B30" w:rsidP="00480B30">
            <w:pPr>
              <w:pStyle w:val="StyleWisnow"/>
              <w:rPr>
                <w:color w:val="000000" w:themeColor="text1"/>
              </w:rPr>
            </w:pPr>
          </w:p>
          <w:p w14:paraId="47A17248" w14:textId="77777777" w:rsidR="00480B30" w:rsidRPr="00286216" w:rsidRDefault="00480B30" w:rsidP="00480B30">
            <w:pPr>
              <w:pStyle w:val="StyleWisnow"/>
              <w:rPr>
                <w:color w:val="000000" w:themeColor="text1"/>
              </w:rPr>
            </w:pPr>
          </w:p>
          <w:p w14:paraId="17AA1D49" w14:textId="77777777" w:rsidR="00480B30" w:rsidRPr="00286216" w:rsidRDefault="00480B30" w:rsidP="00480B30">
            <w:pPr>
              <w:pStyle w:val="StyleWisnow"/>
              <w:rPr>
                <w:color w:val="000000" w:themeColor="text1"/>
              </w:rPr>
            </w:pPr>
          </w:p>
          <w:p w14:paraId="743226EC" w14:textId="77777777" w:rsidR="00480B30" w:rsidRPr="00286216" w:rsidRDefault="00480B30" w:rsidP="00480B30">
            <w:pPr>
              <w:pStyle w:val="StyleWisnow"/>
              <w:rPr>
                <w:color w:val="000000" w:themeColor="text1"/>
              </w:rPr>
            </w:pPr>
          </w:p>
          <w:p w14:paraId="27EB3722" w14:textId="77777777" w:rsidR="00480B30" w:rsidRPr="00286216" w:rsidRDefault="00480B30" w:rsidP="00480B30">
            <w:pPr>
              <w:pStyle w:val="StyleWisnow"/>
              <w:rPr>
                <w:color w:val="000000" w:themeColor="text1"/>
              </w:rPr>
            </w:pPr>
          </w:p>
          <w:p w14:paraId="1FBE3799" w14:textId="77777777" w:rsidR="00480B30" w:rsidRPr="00286216" w:rsidRDefault="00480B30" w:rsidP="00480B30">
            <w:pPr>
              <w:pStyle w:val="StyleWisnow"/>
              <w:rPr>
                <w:color w:val="000000" w:themeColor="text1"/>
              </w:rPr>
            </w:pPr>
          </w:p>
          <w:p w14:paraId="59590631" w14:textId="77777777" w:rsidR="00480B30" w:rsidRPr="00286216" w:rsidRDefault="00480B30" w:rsidP="00480B30">
            <w:pPr>
              <w:pStyle w:val="StyleWisnow"/>
              <w:rPr>
                <w:color w:val="000000" w:themeColor="text1"/>
              </w:rPr>
            </w:pPr>
          </w:p>
          <w:p w14:paraId="1AD30F26" w14:textId="77777777" w:rsidR="00480B30" w:rsidRPr="00286216" w:rsidRDefault="00480B30" w:rsidP="00480B30">
            <w:pPr>
              <w:pStyle w:val="StyleWisnow"/>
              <w:rPr>
                <w:color w:val="000000" w:themeColor="text1"/>
              </w:rPr>
            </w:pPr>
          </w:p>
          <w:p w14:paraId="68BBCFC0" w14:textId="77777777" w:rsidR="00480B30" w:rsidRPr="00286216" w:rsidRDefault="00480B30" w:rsidP="00480B30">
            <w:pPr>
              <w:pStyle w:val="StyleWisnow"/>
              <w:rPr>
                <w:color w:val="000000" w:themeColor="text1"/>
              </w:rPr>
            </w:pPr>
          </w:p>
          <w:p w14:paraId="081DF5CF" w14:textId="77777777" w:rsidR="00480B30" w:rsidRPr="00286216" w:rsidRDefault="00480B30" w:rsidP="00480B30">
            <w:pPr>
              <w:pStyle w:val="StyleWisnow"/>
              <w:rPr>
                <w:color w:val="000000" w:themeColor="text1"/>
              </w:rPr>
            </w:pPr>
          </w:p>
          <w:p w14:paraId="006BBFC0" w14:textId="77777777" w:rsidR="00480B30" w:rsidRPr="00286216" w:rsidRDefault="00480B30" w:rsidP="00480B30">
            <w:pPr>
              <w:pStyle w:val="StyleWisnow"/>
              <w:rPr>
                <w:color w:val="000000" w:themeColor="text1"/>
              </w:rPr>
            </w:pPr>
          </w:p>
          <w:p w14:paraId="56EA54DC" w14:textId="77777777" w:rsidR="00480B30" w:rsidRPr="00286216" w:rsidRDefault="00480B30" w:rsidP="00480B30">
            <w:pPr>
              <w:pStyle w:val="StyleWisnow"/>
              <w:rPr>
                <w:color w:val="000000" w:themeColor="text1"/>
              </w:rPr>
            </w:pPr>
          </w:p>
          <w:p w14:paraId="76C669EA" w14:textId="77777777" w:rsidR="00480B30" w:rsidRPr="00286216" w:rsidRDefault="00480B30" w:rsidP="00480B30">
            <w:pPr>
              <w:pStyle w:val="StyleWisnow"/>
              <w:rPr>
                <w:color w:val="000000" w:themeColor="text1"/>
              </w:rPr>
            </w:pPr>
          </w:p>
          <w:p w14:paraId="34DA28B9" w14:textId="77777777" w:rsidR="00480B30" w:rsidRPr="00286216" w:rsidRDefault="00480B30" w:rsidP="00480B30">
            <w:pPr>
              <w:pStyle w:val="StyleWisnow"/>
              <w:rPr>
                <w:color w:val="000000" w:themeColor="text1"/>
              </w:rPr>
            </w:pPr>
          </w:p>
          <w:p w14:paraId="30591EA5" w14:textId="77777777" w:rsidR="00480B30" w:rsidRPr="00286216" w:rsidRDefault="00480B30" w:rsidP="00480B30">
            <w:pPr>
              <w:pStyle w:val="StyleWisnow"/>
              <w:rPr>
                <w:color w:val="000000" w:themeColor="text1"/>
              </w:rPr>
            </w:pPr>
          </w:p>
          <w:p w14:paraId="65F966D2" w14:textId="77777777" w:rsidR="00480B30" w:rsidRPr="00286216" w:rsidRDefault="00480B30" w:rsidP="00480B30">
            <w:pPr>
              <w:pStyle w:val="StyleWisnow"/>
              <w:rPr>
                <w:color w:val="000000" w:themeColor="text1"/>
              </w:rPr>
            </w:pPr>
          </w:p>
          <w:p w14:paraId="2BEA800D" w14:textId="77777777" w:rsidR="00480B30" w:rsidRPr="00286216" w:rsidRDefault="00480B30" w:rsidP="00480B30">
            <w:pPr>
              <w:pStyle w:val="StyleWisnow"/>
              <w:rPr>
                <w:color w:val="000000" w:themeColor="text1"/>
              </w:rPr>
            </w:pPr>
          </w:p>
          <w:p w14:paraId="5E3F2C91" w14:textId="77777777" w:rsidR="00480B30" w:rsidRPr="00286216" w:rsidRDefault="00480B30" w:rsidP="00480B30">
            <w:pPr>
              <w:pStyle w:val="StyleWisnow"/>
              <w:rPr>
                <w:color w:val="000000" w:themeColor="text1"/>
              </w:rPr>
            </w:pPr>
          </w:p>
          <w:p w14:paraId="389D9935" w14:textId="77777777" w:rsidR="00480B30" w:rsidRPr="00286216" w:rsidRDefault="00480B30" w:rsidP="00480B30">
            <w:pPr>
              <w:pStyle w:val="StyleWisnow"/>
              <w:rPr>
                <w:color w:val="000000" w:themeColor="text1"/>
              </w:rPr>
            </w:pPr>
          </w:p>
          <w:p w14:paraId="110B5AA0" w14:textId="77777777" w:rsidR="00480B30" w:rsidRPr="00286216" w:rsidRDefault="00480B30" w:rsidP="00480B30">
            <w:pPr>
              <w:pStyle w:val="StyleWisnow"/>
              <w:rPr>
                <w:color w:val="000000" w:themeColor="text1"/>
              </w:rPr>
            </w:pPr>
          </w:p>
          <w:p w14:paraId="7BA073D4" w14:textId="77777777" w:rsidR="00480B30" w:rsidRPr="00286216" w:rsidRDefault="00480B30" w:rsidP="00480B30">
            <w:pPr>
              <w:pStyle w:val="StyleWisnow"/>
              <w:rPr>
                <w:color w:val="000000" w:themeColor="text1"/>
              </w:rPr>
            </w:pPr>
          </w:p>
          <w:p w14:paraId="558885B3" w14:textId="77777777" w:rsidR="00480B30" w:rsidRPr="00286216" w:rsidRDefault="00480B30" w:rsidP="00480B30">
            <w:pPr>
              <w:pStyle w:val="StyleWisnow"/>
              <w:rPr>
                <w:color w:val="000000" w:themeColor="text1"/>
              </w:rPr>
            </w:pPr>
          </w:p>
          <w:p w14:paraId="717DFD44" w14:textId="77777777" w:rsidR="00480B30" w:rsidRPr="00286216" w:rsidRDefault="00480B30" w:rsidP="00480B30">
            <w:pPr>
              <w:pStyle w:val="StyleWisnow"/>
              <w:rPr>
                <w:color w:val="000000" w:themeColor="text1"/>
              </w:rPr>
            </w:pPr>
          </w:p>
          <w:p w14:paraId="096A005C" w14:textId="77777777" w:rsidR="00480B30" w:rsidRPr="00286216" w:rsidRDefault="00480B30" w:rsidP="00480B30">
            <w:pPr>
              <w:pStyle w:val="StyleWisnow"/>
              <w:rPr>
                <w:color w:val="000000" w:themeColor="text1"/>
              </w:rPr>
            </w:pPr>
          </w:p>
          <w:p w14:paraId="429C7734" w14:textId="77777777" w:rsidR="00480B30" w:rsidRPr="00286216" w:rsidRDefault="00480B30" w:rsidP="00480B30">
            <w:pPr>
              <w:pStyle w:val="StyleWisnow"/>
              <w:rPr>
                <w:color w:val="000000" w:themeColor="text1"/>
              </w:rPr>
            </w:pPr>
          </w:p>
          <w:p w14:paraId="0096509F" w14:textId="77777777" w:rsidR="00480B30" w:rsidRPr="00286216" w:rsidRDefault="00480B30" w:rsidP="00480B30">
            <w:pPr>
              <w:pStyle w:val="StyleWisnow"/>
              <w:rPr>
                <w:color w:val="000000" w:themeColor="text1"/>
              </w:rPr>
            </w:pPr>
          </w:p>
          <w:p w14:paraId="219F9D29" w14:textId="77777777" w:rsidR="00480B30" w:rsidRPr="00286216" w:rsidRDefault="00480B30" w:rsidP="00480B30">
            <w:pPr>
              <w:pStyle w:val="StyleWisnow"/>
              <w:rPr>
                <w:color w:val="000000" w:themeColor="text1"/>
              </w:rPr>
            </w:pPr>
          </w:p>
          <w:p w14:paraId="035CE69F" w14:textId="77777777" w:rsidR="00480B30" w:rsidRPr="00286216" w:rsidRDefault="00480B30" w:rsidP="00480B30">
            <w:pPr>
              <w:pStyle w:val="StyleWisnow"/>
              <w:rPr>
                <w:color w:val="000000" w:themeColor="text1"/>
              </w:rPr>
            </w:pPr>
          </w:p>
          <w:p w14:paraId="1E080DA2" w14:textId="77777777" w:rsidR="00480B30" w:rsidRPr="00286216" w:rsidRDefault="00480B30" w:rsidP="00480B30">
            <w:pPr>
              <w:pStyle w:val="StyleWisnow"/>
              <w:rPr>
                <w:color w:val="000000" w:themeColor="text1"/>
              </w:rPr>
            </w:pPr>
          </w:p>
          <w:p w14:paraId="35FFD3F6" w14:textId="77777777" w:rsidR="00480B30" w:rsidRPr="00286216" w:rsidRDefault="00480B30" w:rsidP="00480B30">
            <w:pPr>
              <w:pStyle w:val="StyleWisnow"/>
              <w:rPr>
                <w:color w:val="000000" w:themeColor="text1"/>
              </w:rPr>
            </w:pPr>
          </w:p>
          <w:p w14:paraId="327346DE" w14:textId="77777777" w:rsidR="00480B30" w:rsidRPr="00286216" w:rsidRDefault="00480B30" w:rsidP="00480B30">
            <w:pPr>
              <w:pStyle w:val="StyleWisnow"/>
              <w:rPr>
                <w:color w:val="000000" w:themeColor="text1"/>
              </w:rPr>
            </w:pPr>
          </w:p>
          <w:p w14:paraId="0B72812D" w14:textId="77777777" w:rsidR="00480B30" w:rsidRPr="00286216" w:rsidRDefault="00480B30" w:rsidP="00480B30">
            <w:pPr>
              <w:pStyle w:val="StyleWisnow"/>
              <w:rPr>
                <w:color w:val="000000" w:themeColor="text1"/>
              </w:rPr>
            </w:pPr>
          </w:p>
          <w:p w14:paraId="42D25C9C" w14:textId="77777777" w:rsidR="00480B30" w:rsidRPr="00286216" w:rsidRDefault="00480B30" w:rsidP="00480B30">
            <w:pPr>
              <w:pStyle w:val="StyleWisnow"/>
              <w:rPr>
                <w:color w:val="000000" w:themeColor="text1"/>
              </w:rPr>
            </w:pPr>
          </w:p>
          <w:p w14:paraId="1B37AE88" w14:textId="77777777" w:rsidR="00480B30" w:rsidRPr="00286216" w:rsidRDefault="00480B30" w:rsidP="00480B30">
            <w:pPr>
              <w:pStyle w:val="StyleWisnow"/>
              <w:rPr>
                <w:color w:val="000000" w:themeColor="text1"/>
              </w:rPr>
            </w:pPr>
          </w:p>
          <w:p w14:paraId="422F536D" w14:textId="77777777" w:rsidR="00480B30" w:rsidRPr="00286216" w:rsidRDefault="00480B30" w:rsidP="00480B30">
            <w:pPr>
              <w:pStyle w:val="StyleWisnow"/>
              <w:rPr>
                <w:color w:val="000000" w:themeColor="text1"/>
              </w:rPr>
            </w:pPr>
          </w:p>
          <w:p w14:paraId="2CA04308" w14:textId="77777777" w:rsidR="00480B30" w:rsidRPr="00286216" w:rsidRDefault="00480B30" w:rsidP="00480B30">
            <w:pPr>
              <w:pStyle w:val="StyleWisnow"/>
              <w:rPr>
                <w:color w:val="000000" w:themeColor="text1"/>
              </w:rPr>
            </w:pPr>
          </w:p>
          <w:p w14:paraId="1B3859DB" w14:textId="77777777" w:rsidR="00480B30" w:rsidRPr="00286216" w:rsidRDefault="00480B30" w:rsidP="00480B30">
            <w:pPr>
              <w:pStyle w:val="StyleWisnow"/>
              <w:rPr>
                <w:color w:val="000000" w:themeColor="text1"/>
              </w:rPr>
            </w:pPr>
          </w:p>
          <w:p w14:paraId="5BDBF921" w14:textId="77777777" w:rsidR="00480B30" w:rsidRPr="00286216" w:rsidRDefault="00480B30" w:rsidP="00480B30">
            <w:pPr>
              <w:pStyle w:val="StyleWisnow"/>
              <w:rPr>
                <w:color w:val="000000" w:themeColor="text1"/>
              </w:rPr>
            </w:pPr>
          </w:p>
          <w:p w14:paraId="20F14746" w14:textId="77777777" w:rsidR="00480B30" w:rsidRPr="00286216" w:rsidRDefault="00480B30" w:rsidP="00480B30">
            <w:pPr>
              <w:pStyle w:val="StyleWisnow"/>
              <w:rPr>
                <w:color w:val="000000" w:themeColor="text1"/>
              </w:rPr>
            </w:pPr>
          </w:p>
          <w:p w14:paraId="40A7C90B" w14:textId="77777777" w:rsidR="00480B30" w:rsidRPr="00286216" w:rsidRDefault="00480B30" w:rsidP="00480B30">
            <w:pPr>
              <w:pStyle w:val="StyleWisnow"/>
              <w:rPr>
                <w:color w:val="000000" w:themeColor="text1"/>
              </w:rPr>
            </w:pPr>
          </w:p>
          <w:p w14:paraId="7FD88FD9" w14:textId="77777777" w:rsidR="00480B30" w:rsidRPr="00286216" w:rsidRDefault="00480B30" w:rsidP="00480B30">
            <w:pPr>
              <w:pStyle w:val="StyleWisnow"/>
              <w:rPr>
                <w:color w:val="000000" w:themeColor="text1"/>
              </w:rPr>
            </w:pPr>
          </w:p>
          <w:p w14:paraId="32136FDE" w14:textId="77777777" w:rsidR="00480B30" w:rsidRPr="00286216" w:rsidRDefault="00480B30" w:rsidP="00480B30">
            <w:pPr>
              <w:pStyle w:val="StyleWisnow"/>
              <w:rPr>
                <w:color w:val="000000" w:themeColor="text1"/>
              </w:rPr>
            </w:pPr>
          </w:p>
          <w:p w14:paraId="2EB77130" w14:textId="77777777" w:rsidR="00480B30" w:rsidRPr="00286216" w:rsidRDefault="00480B30" w:rsidP="00480B30">
            <w:pPr>
              <w:pStyle w:val="StyleWisnow"/>
              <w:rPr>
                <w:color w:val="000000" w:themeColor="text1"/>
              </w:rPr>
            </w:pPr>
          </w:p>
          <w:p w14:paraId="4E7E1A99" w14:textId="77777777" w:rsidR="00480B30" w:rsidRPr="00286216" w:rsidRDefault="00480B30" w:rsidP="00480B30">
            <w:pPr>
              <w:pStyle w:val="StyleWisnow"/>
              <w:rPr>
                <w:color w:val="000000" w:themeColor="text1"/>
              </w:rPr>
            </w:pPr>
          </w:p>
          <w:p w14:paraId="56CF4974" w14:textId="77777777" w:rsidR="00480B30" w:rsidRPr="00286216" w:rsidRDefault="00480B30" w:rsidP="00480B30">
            <w:pPr>
              <w:pStyle w:val="StyleWisnow"/>
              <w:rPr>
                <w:color w:val="000000" w:themeColor="text1"/>
              </w:rPr>
            </w:pPr>
          </w:p>
          <w:p w14:paraId="6941DA3A" w14:textId="77777777" w:rsidR="00480B30" w:rsidRPr="00286216" w:rsidRDefault="00480B30" w:rsidP="00480B30">
            <w:pPr>
              <w:pStyle w:val="StyleWisnow"/>
              <w:rPr>
                <w:color w:val="000000" w:themeColor="text1"/>
              </w:rPr>
            </w:pPr>
          </w:p>
          <w:p w14:paraId="1E5DE346" w14:textId="77777777" w:rsidR="00480B30" w:rsidRPr="00286216" w:rsidRDefault="00480B30" w:rsidP="00480B30">
            <w:pPr>
              <w:pStyle w:val="StyleWisnow"/>
              <w:rPr>
                <w:color w:val="000000" w:themeColor="text1"/>
              </w:rPr>
            </w:pPr>
          </w:p>
          <w:p w14:paraId="12E4C61B" w14:textId="77777777" w:rsidR="00480B30" w:rsidRPr="00286216" w:rsidRDefault="00480B30" w:rsidP="00480B30">
            <w:pPr>
              <w:pStyle w:val="StyleWisnow"/>
              <w:rPr>
                <w:color w:val="000000" w:themeColor="text1"/>
              </w:rPr>
            </w:pPr>
          </w:p>
          <w:p w14:paraId="6D90ACD5" w14:textId="77777777" w:rsidR="00480B30" w:rsidRPr="00286216" w:rsidRDefault="00480B30" w:rsidP="00480B30">
            <w:pPr>
              <w:pStyle w:val="StyleWisnow"/>
              <w:rPr>
                <w:color w:val="000000" w:themeColor="text1"/>
              </w:rPr>
            </w:pPr>
          </w:p>
          <w:p w14:paraId="62435BF7" w14:textId="77777777" w:rsidR="00480B30" w:rsidRPr="00286216" w:rsidRDefault="00480B30" w:rsidP="00480B30">
            <w:pPr>
              <w:pStyle w:val="StyleWisnow"/>
              <w:rPr>
                <w:color w:val="000000" w:themeColor="text1"/>
              </w:rPr>
            </w:pPr>
          </w:p>
          <w:p w14:paraId="786D1E29" w14:textId="77777777" w:rsidR="00480B30" w:rsidRPr="00286216" w:rsidRDefault="00480B30" w:rsidP="00480B30">
            <w:pPr>
              <w:pStyle w:val="StyleWisnow"/>
              <w:rPr>
                <w:color w:val="000000" w:themeColor="text1"/>
              </w:rPr>
            </w:pPr>
          </w:p>
          <w:p w14:paraId="48E547EE" w14:textId="77777777" w:rsidR="00480B30" w:rsidRPr="00286216" w:rsidRDefault="00480B30" w:rsidP="00480B30">
            <w:pPr>
              <w:pStyle w:val="StyleWisnow"/>
              <w:rPr>
                <w:color w:val="000000" w:themeColor="text1"/>
              </w:rPr>
            </w:pPr>
          </w:p>
          <w:p w14:paraId="29CA618A" w14:textId="77777777" w:rsidR="00480B30" w:rsidRPr="00286216" w:rsidRDefault="00480B30" w:rsidP="00480B30">
            <w:pPr>
              <w:pStyle w:val="StyleWisnow"/>
              <w:rPr>
                <w:color w:val="000000" w:themeColor="text1"/>
              </w:rPr>
            </w:pPr>
          </w:p>
          <w:p w14:paraId="45ED287E" w14:textId="77777777" w:rsidR="00480B30" w:rsidRPr="00286216" w:rsidRDefault="00480B30" w:rsidP="00480B30">
            <w:pPr>
              <w:pStyle w:val="StyleWisnow"/>
              <w:rPr>
                <w:color w:val="000000" w:themeColor="text1"/>
              </w:rPr>
            </w:pPr>
          </w:p>
          <w:p w14:paraId="36373680" w14:textId="77777777" w:rsidR="00480B30" w:rsidRPr="00286216" w:rsidRDefault="00480B30" w:rsidP="00480B30">
            <w:pPr>
              <w:pStyle w:val="StyleWisnow"/>
              <w:rPr>
                <w:color w:val="000000" w:themeColor="text1"/>
              </w:rPr>
            </w:pPr>
          </w:p>
          <w:p w14:paraId="7F32A656" w14:textId="77777777" w:rsidR="00480B30" w:rsidRPr="00286216" w:rsidRDefault="00480B30" w:rsidP="00480B30">
            <w:pPr>
              <w:pStyle w:val="StyleWisnow"/>
              <w:rPr>
                <w:color w:val="000000" w:themeColor="text1"/>
              </w:rPr>
            </w:pPr>
          </w:p>
          <w:p w14:paraId="55242947" w14:textId="77777777" w:rsidR="00480B30" w:rsidRPr="00286216" w:rsidRDefault="00480B30" w:rsidP="00480B30">
            <w:pPr>
              <w:pStyle w:val="StyleWisnow"/>
              <w:rPr>
                <w:color w:val="000000" w:themeColor="text1"/>
              </w:rPr>
            </w:pPr>
          </w:p>
          <w:p w14:paraId="67506255" w14:textId="77777777" w:rsidR="00480B30" w:rsidRPr="00286216" w:rsidRDefault="00480B30" w:rsidP="00480B30">
            <w:pPr>
              <w:pStyle w:val="StyleWisnow"/>
              <w:rPr>
                <w:color w:val="000000" w:themeColor="text1"/>
              </w:rPr>
            </w:pPr>
          </w:p>
          <w:p w14:paraId="11D9330B" w14:textId="77777777" w:rsidR="00480B30" w:rsidRPr="00286216" w:rsidRDefault="00480B30" w:rsidP="00480B30">
            <w:pPr>
              <w:pStyle w:val="StyleWisnow"/>
              <w:rPr>
                <w:color w:val="000000" w:themeColor="text1"/>
              </w:rPr>
            </w:pPr>
          </w:p>
          <w:p w14:paraId="5487F081" w14:textId="77777777" w:rsidR="00480B30" w:rsidRPr="00286216" w:rsidRDefault="00480B30" w:rsidP="00480B30">
            <w:pPr>
              <w:pStyle w:val="StyleWisnow"/>
              <w:rPr>
                <w:color w:val="000000" w:themeColor="text1"/>
              </w:rPr>
            </w:pPr>
          </w:p>
          <w:p w14:paraId="7E2277F3" w14:textId="77777777" w:rsidR="00480B30" w:rsidRPr="00286216" w:rsidRDefault="00480B30" w:rsidP="00480B30">
            <w:pPr>
              <w:pStyle w:val="StyleWisnow"/>
              <w:rPr>
                <w:color w:val="000000" w:themeColor="text1"/>
              </w:rPr>
            </w:pPr>
          </w:p>
          <w:p w14:paraId="0B60A57C" w14:textId="77777777" w:rsidR="00480B30" w:rsidRPr="00286216" w:rsidRDefault="00480B30" w:rsidP="00480B30">
            <w:pPr>
              <w:pStyle w:val="StyleWisnow"/>
              <w:rPr>
                <w:color w:val="000000" w:themeColor="text1"/>
              </w:rPr>
            </w:pPr>
          </w:p>
          <w:p w14:paraId="15B9316F" w14:textId="77777777" w:rsidR="00480B30" w:rsidRPr="00286216" w:rsidRDefault="00480B30" w:rsidP="00480B30">
            <w:pPr>
              <w:pStyle w:val="StyleWisnow"/>
              <w:rPr>
                <w:color w:val="000000" w:themeColor="text1"/>
              </w:rPr>
            </w:pPr>
          </w:p>
          <w:p w14:paraId="7CAA2951" w14:textId="77777777" w:rsidR="00480B30" w:rsidRPr="00286216" w:rsidRDefault="00480B30" w:rsidP="00480B30">
            <w:pPr>
              <w:pStyle w:val="StyleWisnow"/>
              <w:rPr>
                <w:color w:val="000000" w:themeColor="text1"/>
              </w:rPr>
            </w:pPr>
          </w:p>
          <w:p w14:paraId="26FFF8E5" w14:textId="77777777" w:rsidR="00480B30" w:rsidRPr="00286216" w:rsidRDefault="00480B30" w:rsidP="00480B30">
            <w:pPr>
              <w:pStyle w:val="StyleWisnow"/>
              <w:rPr>
                <w:color w:val="000000" w:themeColor="text1"/>
              </w:rPr>
            </w:pPr>
          </w:p>
          <w:p w14:paraId="44FC3565" w14:textId="77777777" w:rsidR="00480B30" w:rsidRPr="00286216" w:rsidRDefault="00480B30" w:rsidP="00480B30">
            <w:pPr>
              <w:pStyle w:val="StyleWisnow"/>
              <w:rPr>
                <w:color w:val="000000" w:themeColor="text1"/>
              </w:rPr>
            </w:pPr>
          </w:p>
          <w:p w14:paraId="1A99331E" w14:textId="77777777" w:rsidR="00480B30" w:rsidRPr="00286216" w:rsidRDefault="00480B30" w:rsidP="00480B30">
            <w:pPr>
              <w:pStyle w:val="StyleWisnow"/>
              <w:rPr>
                <w:color w:val="000000" w:themeColor="text1"/>
              </w:rPr>
            </w:pPr>
          </w:p>
          <w:p w14:paraId="522886DB" w14:textId="77777777" w:rsidR="00480B30" w:rsidRPr="00286216" w:rsidRDefault="00480B30" w:rsidP="00480B30">
            <w:pPr>
              <w:pStyle w:val="StyleWisnow"/>
              <w:rPr>
                <w:color w:val="000000" w:themeColor="text1"/>
              </w:rPr>
            </w:pPr>
          </w:p>
          <w:p w14:paraId="57E76C60" w14:textId="77777777" w:rsidR="00480B30" w:rsidRPr="00286216" w:rsidRDefault="00480B30" w:rsidP="00480B30">
            <w:pPr>
              <w:pStyle w:val="StyleWisnow"/>
              <w:rPr>
                <w:color w:val="000000" w:themeColor="text1"/>
              </w:rPr>
            </w:pPr>
          </w:p>
          <w:p w14:paraId="0504DAA9" w14:textId="77777777" w:rsidR="00480B30" w:rsidRPr="00286216" w:rsidRDefault="00480B30" w:rsidP="00480B30">
            <w:pPr>
              <w:pStyle w:val="StyleWisnow"/>
              <w:rPr>
                <w:color w:val="000000" w:themeColor="text1"/>
              </w:rPr>
            </w:pPr>
          </w:p>
          <w:p w14:paraId="2645416A" w14:textId="77777777" w:rsidR="00480B30" w:rsidRPr="00286216" w:rsidRDefault="00480B30" w:rsidP="00480B30">
            <w:pPr>
              <w:pStyle w:val="StyleWisnow"/>
              <w:rPr>
                <w:color w:val="000000" w:themeColor="text1"/>
              </w:rPr>
            </w:pPr>
          </w:p>
          <w:p w14:paraId="49EB45F1" w14:textId="77777777" w:rsidR="00480B30" w:rsidRPr="00286216" w:rsidRDefault="00480B30" w:rsidP="00480B30">
            <w:pPr>
              <w:pStyle w:val="StyleWisnow"/>
              <w:rPr>
                <w:color w:val="000000" w:themeColor="text1"/>
              </w:rPr>
            </w:pPr>
          </w:p>
          <w:p w14:paraId="61E6FE7F" w14:textId="77777777" w:rsidR="00480B30" w:rsidRPr="00286216" w:rsidRDefault="00480B30" w:rsidP="00480B30">
            <w:pPr>
              <w:pStyle w:val="StyleWisnow"/>
              <w:rPr>
                <w:color w:val="000000" w:themeColor="text1"/>
              </w:rPr>
            </w:pPr>
          </w:p>
          <w:p w14:paraId="75BE4711" w14:textId="77777777" w:rsidR="00480B30" w:rsidRPr="00286216" w:rsidRDefault="00480B30" w:rsidP="00480B30">
            <w:pPr>
              <w:pStyle w:val="StyleWisnow"/>
              <w:rPr>
                <w:color w:val="000000" w:themeColor="text1"/>
              </w:rPr>
            </w:pPr>
          </w:p>
          <w:p w14:paraId="1FB95DD3" w14:textId="77777777" w:rsidR="00480B30" w:rsidRPr="00286216" w:rsidRDefault="00480B30" w:rsidP="00480B30">
            <w:pPr>
              <w:pStyle w:val="StyleWisnow"/>
              <w:rPr>
                <w:color w:val="000000" w:themeColor="text1"/>
              </w:rPr>
            </w:pPr>
          </w:p>
          <w:p w14:paraId="25512ADD" w14:textId="77777777" w:rsidR="00480B30" w:rsidRPr="00286216" w:rsidRDefault="00480B30" w:rsidP="00480B30">
            <w:pPr>
              <w:pStyle w:val="StyleWisnow"/>
              <w:rPr>
                <w:color w:val="000000" w:themeColor="text1"/>
              </w:rPr>
            </w:pPr>
          </w:p>
          <w:p w14:paraId="35E63781" w14:textId="77777777" w:rsidR="00480B30" w:rsidRPr="00286216" w:rsidRDefault="00480B30" w:rsidP="00480B30">
            <w:pPr>
              <w:pStyle w:val="StyleWisnow"/>
              <w:rPr>
                <w:color w:val="000000" w:themeColor="text1"/>
              </w:rPr>
            </w:pPr>
          </w:p>
          <w:p w14:paraId="5BEC13D2" w14:textId="77777777" w:rsidR="00480B30" w:rsidRPr="00286216" w:rsidRDefault="00480B30" w:rsidP="00480B30">
            <w:pPr>
              <w:pStyle w:val="StyleWisnow"/>
              <w:rPr>
                <w:color w:val="000000" w:themeColor="text1"/>
              </w:rPr>
            </w:pPr>
          </w:p>
          <w:p w14:paraId="0AC155D4" w14:textId="77777777" w:rsidR="00480B30" w:rsidRPr="00286216" w:rsidRDefault="00480B30" w:rsidP="00480B30">
            <w:pPr>
              <w:pStyle w:val="StyleWisnow"/>
              <w:rPr>
                <w:color w:val="000000" w:themeColor="text1"/>
              </w:rPr>
            </w:pPr>
          </w:p>
          <w:p w14:paraId="36066721" w14:textId="77777777" w:rsidR="00480B30" w:rsidRPr="00286216" w:rsidRDefault="00480B30" w:rsidP="00480B30">
            <w:pPr>
              <w:pStyle w:val="StyleWisnow"/>
              <w:rPr>
                <w:color w:val="000000" w:themeColor="text1"/>
              </w:rPr>
            </w:pPr>
          </w:p>
          <w:p w14:paraId="2EAF30E9" w14:textId="77777777" w:rsidR="00480B30" w:rsidRPr="00286216" w:rsidRDefault="00480B30" w:rsidP="00480B30">
            <w:pPr>
              <w:pStyle w:val="StyleWisnow"/>
              <w:rPr>
                <w:color w:val="000000" w:themeColor="text1"/>
              </w:rPr>
            </w:pPr>
          </w:p>
          <w:p w14:paraId="20F56966" w14:textId="77777777" w:rsidR="00480B30" w:rsidRPr="00286216" w:rsidRDefault="00480B30" w:rsidP="00480B30">
            <w:pPr>
              <w:pStyle w:val="StyleWisnow"/>
              <w:rPr>
                <w:color w:val="000000" w:themeColor="text1"/>
              </w:rPr>
            </w:pPr>
          </w:p>
          <w:p w14:paraId="01D94503" w14:textId="77777777" w:rsidR="00480B30" w:rsidRPr="00286216" w:rsidRDefault="00480B30" w:rsidP="00480B30">
            <w:pPr>
              <w:pStyle w:val="StyleWisnow"/>
              <w:rPr>
                <w:color w:val="000000" w:themeColor="text1"/>
              </w:rPr>
            </w:pPr>
          </w:p>
          <w:p w14:paraId="073942D9" w14:textId="77777777" w:rsidR="00480B30" w:rsidRPr="00286216" w:rsidRDefault="00480B30" w:rsidP="00480B30">
            <w:pPr>
              <w:pStyle w:val="StyleWisnow"/>
              <w:rPr>
                <w:color w:val="000000" w:themeColor="text1"/>
              </w:rPr>
            </w:pPr>
          </w:p>
          <w:p w14:paraId="3AC623E3" w14:textId="77777777" w:rsidR="00480B30" w:rsidRPr="00286216" w:rsidRDefault="00480B30" w:rsidP="00480B30">
            <w:pPr>
              <w:pStyle w:val="StyleWisnow"/>
              <w:rPr>
                <w:color w:val="000000" w:themeColor="text1"/>
              </w:rPr>
            </w:pPr>
          </w:p>
          <w:p w14:paraId="5E5B9242" w14:textId="77777777" w:rsidR="00480B30" w:rsidRPr="00286216" w:rsidRDefault="00480B30" w:rsidP="00480B30">
            <w:pPr>
              <w:pStyle w:val="StyleWisnow"/>
              <w:rPr>
                <w:color w:val="000000" w:themeColor="text1"/>
              </w:rPr>
            </w:pPr>
          </w:p>
          <w:p w14:paraId="7A06DC45" w14:textId="77777777" w:rsidR="00480B30" w:rsidRPr="00286216" w:rsidRDefault="00480B30" w:rsidP="00480B30">
            <w:pPr>
              <w:pStyle w:val="StyleWisnow"/>
              <w:rPr>
                <w:color w:val="000000" w:themeColor="text1"/>
              </w:rPr>
            </w:pPr>
          </w:p>
          <w:p w14:paraId="743D2B4A" w14:textId="77777777" w:rsidR="00480B30" w:rsidRPr="00286216" w:rsidRDefault="00480B30" w:rsidP="00480B30">
            <w:pPr>
              <w:pStyle w:val="StyleWisnow"/>
              <w:rPr>
                <w:color w:val="000000" w:themeColor="text1"/>
              </w:rPr>
            </w:pPr>
          </w:p>
          <w:p w14:paraId="67D85B13" w14:textId="77777777" w:rsidR="00480B30" w:rsidRPr="00286216" w:rsidRDefault="00480B30" w:rsidP="00480B30">
            <w:pPr>
              <w:pStyle w:val="StyleWisnow"/>
              <w:rPr>
                <w:color w:val="000000" w:themeColor="text1"/>
              </w:rPr>
            </w:pPr>
          </w:p>
          <w:p w14:paraId="722AD9A4" w14:textId="77777777" w:rsidR="00480B30" w:rsidRPr="00286216" w:rsidRDefault="00480B30" w:rsidP="00480B30">
            <w:pPr>
              <w:pStyle w:val="StyleWisnow"/>
              <w:rPr>
                <w:color w:val="000000" w:themeColor="text1"/>
              </w:rPr>
            </w:pPr>
          </w:p>
          <w:p w14:paraId="70EC69E7" w14:textId="77777777" w:rsidR="00480B30" w:rsidRPr="00286216" w:rsidRDefault="00480B30" w:rsidP="00480B30">
            <w:pPr>
              <w:pStyle w:val="StyleWisnow"/>
              <w:rPr>
                <w:color w:val="000000" w:themeColor="text1"/>
              </w:rPr>
            </w:pPr>
          </w:p>
          <w:p w14:paraId="38A7B08A" w14:textId="77777777" w:rsidR="00480B30" w:rsidRPr="00286216" w:rsidRDefault="00480B30" w:rsidP="00480B30">
            <w:pPr>
              <w:pStyle w:val="StyleWisnow"/>
              <w:rPr>
                <w:color w:val="000000" w:themeColor="text1"/>
              </w:rPr>
            </w:pPr>
          </w:p>
          <w:p w14:paraId="142C6E16" w14:textId="77777777" w:rsidR="00480B30" w:rsidRPr="00286216" w:rsidRDefault="00480B30" w:rsidP="00480B30">
            <w:pPr>
              <w:pStyle w:val="StyleWisnow"/>
              <w:rPr>
                <w:color w:val="000000" w:themeColor="text1"/>
              </w:rPr>
            </w:pPr>
          </w:p>
          <w:p w14:paraId="0787EE34" w14:textId="77777777" w:rsidR="00480B30" w:rsidRPr="00286216" w:rsidRDefault="00480B30" w:rsidP="00480B30">
            <w:pPr>
              <w:pStyle w:val="StyleWisnow"/>
              <w:rPr>
                <w:color w:val="000000" w:themeColor="text1"/>
              </w:rPr>
            </w:pPr>
          </w:p>
          <w:p w14:paraId="04C9FAD0" w14:textId="77777777" w:rsidR="00480B30" w:rsidRPr="00286216" w:rsidRDefault="00480B30" w:rsidP="00480B30">
            <w:pPr>
              <w:pStyle w:val="StyleWisnow"/>
              <w:rPr>
                <w:color w:val="000000" w:themeColor="text1"/>
              </w:rPr>
            </w:pPr>
          </w:p>
          <w:p w14:paraId="53A7C0B3" w14:textId="77777777" w:rsidR="00480B30" w:rsidRPr="00286216" w:rsidRDefault="00480B30" w:rsidP="00480B30">
            <w:pPr>
              <w:pStyle w:val="StyleWisnow"/>
              <w:rPr>
                <w:color w:val="000000" w:themeColor="text1"/>
              </w:rPr>
            </w:pPr>
          </w:p>
          <w:p w14:paraId="65986346" w14:textId="77777777" w:rsidR="00480B30" w:rsidRPr="00286216" w:rsidRDefault="00480B30" w:rsidP="00480B30">
            <w:pPr>
              <w:pStyle w:val="StyleWisnow"/>
              <w:rPr>
                <w:color w:val="000000" w:themeColor="text1"/>
              </w:rPr>
            </w:pPr>
          </w:p>
          <w:p w14:paraId="222562E0" w14:textId="77777777" w:rsidR="00480B30" w:rsidRPr="00286216" w:rsidRDefault="00480B30" w:rsidP="00480B30">
            <w:pPr>
              <w:pStyle w:val="StyleWisnow"/>
              <w:rPr>
                <w:color w:val="000000" w:themeColor="text1"/>
              </w:rPr>
            </w:pPr>
          </w:p>
          <w:p w14:paraId="0F4EFB2D" w14:textId="77777777" w:rsidR="00480B30" w:rsidRPr="00286216" w:rsidRDefault="00480B30" w:rsidP="00480B30">
            <w:pPr>
              <w:pStyle w:val="StyleWisnow"/>
              <w:rPr>
                <w:color w:val="000000" w:themeColor="text1"/>
              </w:rPr>
            </w:pPr>
          </w:p>
          <w:p w14:paraId="6406B1FB" w14:textId="77777777" w:rsidR="00480B30" w:rsidRPr="00286216" w:rsidRDefault="00480B30" w:rsidP="00480B30">
            <w:pPr>
              <w:pStyle w:val="StyleWisnow"/>
              <w:rPr>
                <w:color w:val="000000" w:themeColor="text1"/>
              </w:rPr>
            </w:pPr>
          </w:p>
          <w:p w14:paraId="6FE6D2B5" w14:textId="77777777" w:rsidR="00480B30" w:rsidRPr="00286216" w:rsidRDefault="00480B30" w:rsidP="00480B30">
            <w:pPr>
              <w:pStyle w:val="StyleWisnow"/>
              <w:rPr>
                <w:color w:val="000000" w:themeColor="text1"/>
              </w:rPr>
            </w:pPr>
          </w:p>
          <w:p w14:paraId="052E5282" w14:textId="77777777" w:rsidR="00480B30" w:rsidRPr="00286216" w:rsidRDefault="00480B30" w:rsidP="00480B30">
            <w:pPr>
              <w:pStyle w:val="StyleWisnow"/>
              <w:rPr>
                <w:color w:val="000000" w:themeColor="text1"/>
              </w:rPr>
            </w:pPr>
          </w:p>
          <w:p w14:paraId="69B2A932" w14:textId="77777777" w:rsidR="00480B30" w:rsidRPr="00286216" w:rsidRDefault="00480B30" w:rsidP="00480B30">
            <w:pPr>
              <w:pStyle w:val="StyleWisnow"/>
              <w:rPr>
                <w:color w:val="000000" w:themeColor="text1"/>
              </w:rPr>
            </w:pPr>
          </w:p>
          <w:p w14:paraId="0611D1FD" w14:textId="77777777" w:rsidR="00480B30" w:rsidRPr="00286216" w:rsidRDefault="00480B30" w:rsidP="00480B30">
            <w:pPr>
              <w:pStyle w:val="StyleWisnow"/>
              <w:rPr>
                <w:color w:val="000000" w:themeColor="text1"/>
              </w:rPr>
            </w:pPr>
          </w:p>
          <w:p w14:paraId="74B17CD2" w14:textId="77777777" w:rsidR="00480B30" w:rsidRPr="00286216" w:rsidRDefault="00480B30" w:rsidP="00480B30">
            <w:pPr>
              <w:pStyle w:val="StyleWisnow"/>
              <w:rPr>
                <w:color w:val="000000" w:themeColor="text1"/>
              </w:rPr>
            </w:pPr>
          </w:p>
          <w:p w14:paraId="580E810B" w14:textId="77777777" w:rsidR="00480B30" w:rsidRPr="00286216" w:rsidRDefault="00480B30" w:rsidP="00480B30">
            <w:pPr>
              <w:pStyle w:val="StyleWisnow"/>
              <w:rPr>
                <w:color w:val="000000" w:themeColor="text1"/>
              </w:rPr>
            </w:pPr>
          </w:p>
          <w:p w14:paraId="3F796D78" w14:textId="77777777" w:rsidR="00480B30" w:rsidRPr="00286216" w:rsidRDefault="00480B30" w:rsidP="00480B30">
            <w:pPr>
              <w:pStyle w:val="StyleWisnow"/>
              <w:rPr>
                <w:color w:val="000000" w:themeColor="text1"/>
              </w:rPr>
            </w:pPr>
          </w:p>
          <w:p w14:paraId="306972B4" w14:textId="77777777" w:rsidR="00480B30" w:rsidRPr="00286216" w:rsidRDefault="00480B30" w:rsidP="00480B30">
            <w:pPr>
              <w:pStyle w:val="StyleWisnow"/>
              <w:rPr>
                <w:color w:val="000000" w:themeColor="text1"/>
              </w:rPr>
            </w:pPr>
          </w:p>
          <w:p w14:paraId="0CB324D7" w14:textId="77777777" w:rsidR="00480B30" w:rsidRPr="00286216" w:rsidRDefault="00480B30" w:rsidP="00480B30">
            <w:pPr>
              <w:pStyle w:val="StyleWisnow"/>
              <w:rPr>
                <w:color w:val="000000" w:themeColor="text1"/>
              </w:rPr>
            </w:pPr>
          </w:p>
          <w:p w14:paraId="4F98FDDB" w14:textId="77777777" w:rsidR="00480B30" w:rsidRPr="00286216" w:rsidRDefault="00480B30" w:rsidP="00480B30">
            <w:pPr>
              <w:pStyle w:val="StyleWisnow"/>
              <w:rPr>
                <w:color w:val="000000" w:themeColor="text1"/>
              </w:rPr>
            </w:pPr>
          </w:p>
          <w:p w14:paraId="3B4FABC7" w14:textId="77777777" w:rsidR="00480B30" w:rsidRPr="00286216" w:rsidRDefault="00480B30" w:rsidP="00480B30">
            <w:pPr>
              <w:pStyle w:val="StyleWisnow"/>
              <w:rPr>
                <w:color w:val="000000" w:themeColor="text1"/>
              </w:rPr>
            </w:pPr>
          </w:p>
          <w:p w14:paraId="7A7DB660" w14:textId="77777777" w:rsidR="00480B30" w:rsidRPr="00286216" w:rsidRDefault="00480B30" w:rsidP="00480B30">
            <w:pPr>
              <w:pStyle w:val="StyleWisnow"/>
              <w:rPr>
                <w:color w:val="000000" w:themeColor="text1"/>
              </w:rPr>
            </w:pPr>
          </w:p>
          <w:p w14:paraId="43CA6CD9" w14:textId="77777777" w:rsidR="00480B30" w:rsidRPr="00286216" w:rsidRDefault="00480B30" w:rsidP="00480B30">
            <w:pPr>
              <w:pStyle w:val="StyleWisnow"/>
              <w:rPr>
                <w:color w:val="000000" w:themeColor="text1"/>
              </w:rPr>
            </w:pPr>
          </w:p>
          <w:p w14:paraId="47BE90EE" w14:textId="77777777" w:rsidR="00480B30" w:rsidRPr="00286216" w:rsidRDefault="00480B30" w:rsidP="00480B30">
            <w:pPr>
              <w:pStyle w:val="StyleWisnow"/>
              <w:rPr>
                <w:color w:val="000000" w:themeColor="text1"/>
              </w:rPr>
            </w:pPr>
          </w:p>
          <w:p w14:paraId="74CADAF7" w14:textId="77777777" w:rsidR="00480B30" w:rsidRPr="00286216" w:rsidRDefault="00480B30" w:rsidP="00480B30">
            <w:pPr>
              <w:pStyle w:val="StyleWisnow"/>
              <w:rPr>
                <w:color w:val="000000" w:themeColor="text1"/>
              </w:rPr>
            </w:pPr>
          </w:p>
          <w:p w14:paraId="79A698C3" w14:textId="77777777" w:rsidR="00480B30" w:rsidRPr="00286216" w:rsidRDefault="00480B30" w:rsidP="00480B30">
            <w:pPr>
              <w:pStyle w:val="StyleWisnow"/>
              <w:rPr>
                <w:color w:val="000000" w:themeColor="text1"/>
              </w:rPr>
            </w:pPr>
          </w:p>
          <w:p w14:paraId="073F6967" w14:textId="77777777" w:rsidR="00480B30" w:rsidRPr="00286216" w:rsidRDefault="00480B30" w:rsidP="00480B30">
            <w:pPr>
              <w:pStyle w:val="StyleWisnow"/>
              <w:rPr>
                <w:color w:val="000000" w:themeColor="text1"/>
              </w:rPr>
            </w:pPr>
          </w:p>
          <w:p w14:paraId="26BB51F0" w14:textId="77777777" w:rsidR="00480B30" w:rsidRPr="00286216" w:rsidRDefault="00480B30" w:rsidP="00480B30">
            <w:pPr>
              <w:pStyle w:val="StyleWisnow"/>
              <w:rPr>
                <w:color w:val="000000" w:themeColor="text1"/>
              </w:rPr>
            </w:pPr>
          </w:p>
          <w:p w14:paraId="7B431C88" w14:textId="77777777" w:rsidR="00480B30" w:rsidRPr="00286216" w:rsidRDefault="00480B30" w:rsidP="00480B30">
            <w:pPr>
              <w:pStyle w:val="StyleWisnow"/>
              <w:rPr>
                <w:color w:val="000000" w:themeColor="text1"/>
              </w:rPr>
            </w:pPr>
          </w:p>
          <w:p w14:paraId="58AA7E06" w14:textId="77777777" w:rsidR="00480B30" w:rsidRPr="00286216" w:rsidRDefault="00480B30" w:rsidP="00480B30">
            <w:pPr>
              <w:pStyle w:val="StyleWisnow"/>
              <w:rPr>
                <w:color w:val="000000" w:themeColor="text1"/>
              </w:rPr>
            </w:pPr>
          </w:p>
          <w:p w14:paraId="1FB18652" w14:textId="77777777" w:rsidR="00480B30" w:rsidRPr="00286216" w:rsidRDefault="00480B30" w:rsidP="00480B30">
            <w:pPr>
              <w:pStyle w:val="StyleWisnow"/>
              <w:rPr>
                <w:color w:val="000000" w:themeColor="text1"/>
              </w:rPr>
            </w:pPr>
          </w:p>
          <w:p w14:paraId="787ABEF8" w14:textId="77777777" w:rsidR="00480B30" w:rsidRPr="00286216" w:rsidRDefault="00480B30" w:rsidP="00480B30">
            <w:pPr>
              <w:pStyle w:val="StyleWisnow"/>
              <w:rPr>
                <w:color w:val="000000" w:themeColor="text1"/>
              </w:rPr>
            </w:pPr>
          </w:p>
          <w:p w14:paraId="17FD1F5D" w14:textId="77777777" w:rsidR="00480B30" w:rsidRPr="00286216" w:rsidRDefault="00480B30" w:rsidP="00480B30">
            <w:pPr>
              <w:pStyle w:val="StyleWisnow"/>
              <w:rPr>
                <w:color w:val="000000" w:themeColor="text1"/>
              </w:rPr>
            </w:pPr>
          </w:p>
          <w:p w14:paraId="64A90295" w14:textId="77777777" w:rsidR="00480B30" w:rsidRPr="00286216" w:rsidRDefault="00480B30" w:rsidP="00480B30">
            <w:pPr>
              <w:pStyle w:val="StyleWisnow"/>
              <w:rPr>
                <w:color w:val="000000" w:themeColor="text1"/>
              </w:rPr>
            </w:pPr>
          </w:p>
          <w:p w14:paraId="42D4F920" w14:textId="77777777" w:rsidR="00480B30" w:rsidRPr="00286216" w:rsidRDefault="00480B30" w:rsidP="00480B30">
            <w:pPr>
              <w:pStyle w:val="StyleWisnow"/>
              <w:rPr>
                <w:color w:val="000000" w:themeColor="text1"/>
              </w:rPr>
            </w:pPr>
          </w:p>
          <w:p w14:paraId="7F662925" w14:textId="77777777" w:rsidR="00480B30" w:rsidRPr="00286216" w:rsidRDefault="00480B30" w:rsidP="00480B30">
            <w:pPr>
              <w:pStyle w:val="StyleWisnow"/>
              <w:rPr>
                <w:color w:val="000000" w:themeColor="text1"/>
              </w:rPr>
            </w:pPr>
          </w:p>
          <w:p w14:paraId="1F24CABC" w14:textId="77777777" w:rsidR="00480B30" w:rsidRPr="00286216" w:rsidRDefault="00480B30" w:rsidP="00480B30">
            <w:pPr>
              <w:pStyle w:val="StyleWisnow"/>
              <w:rPr>
                <w:color w:val="000000" w:themeColor="text1"/>
              </w:rPr>
            </w:pPr>
          </w:p>
          <w:p w14:paraId="6182540E" w14:textId="77777777" w:rsidR="00480B30" w:rsidRPr="00286216" w:rsidRDefault="00480B30" w:rsidP="00480B30">
            <w:pPr>
              <w:pStyle w:val="StyleWisnow"/>
              <w:rPr>
                <w:color w:val="000000" w:themeColor="text1"/>
              </w:rPr>
            </w:pPr>
          </w:p>
          <w:p w14:paraId="5FDF7B0B" w14:textId="77777777" w:rsidR="00480B30" w:rsidRPr="00286216" w:rsidRDefault="00480B30" w:rsidP="00480B30">
            <w:pPr>
              <w:pStyle w:val="StyleWisnow"/>
              <w:rPr>
                <w:color w:val="000000" w:themeColor="text1"/>
              </w:rPr>
            </w:pPr>
          </w:p>
          <w:p w14:paraId="1B804CA9" w14:textId="77777777" w:rsidR="00480B30" w:rsidRPr="00286216" w:rsidRDefault="00480B30" w:rsidP="00480B30">
            <w:pPr>
              <w:pStyle w:val="StyleWisnow"/>
              <w:rPr>
                <w:color w:val="000000" w:themeColor="text1"/>
              </w:rPr>
            </w:pPr>
          </w:p>
          <w:p w14:paraId="2409A5F2" w14:textId="77777777" w:rsidR="00480B30" w:rsidRPr="00286216" w:rsidRDefault="00480B30" w:rsidP="00480B30">
            <w:pPr>
              <w:pStyle w:val="StyleWisnow"/>
              <w:rPr>
                <w:color w:val="000000" w:themeColor="text1"/>
              </w:rPr>
            </w:pPr>
          </w:p>
          <w:p w14:paraId="212FF162" w14:textId="77777777" w:rsidR="00480B30" w:rsidRPr="00286216" w:rsidRDefault="00480B30" w:rsidP="00480B30">
            <w:pPr>
              <w:pStyle w:val="StyleWisnow"/>
              <w:rPr>
                <w:color w:val="000000" w:themeColor="text1"/>
              </w:rPr>
            </w:pPr>
          </w:p>
          <w:p w14:paraId="474C067B" w14:textId="77777777" w:rsidR="00480B30" w:rsidRPr="00286216" w:rsidRDefault="00480B30" w:rsidP="00480B30">
            <w:pPr>
              <w:pStyle w:val="StyleWisnow"/>
              <w:rPr>
                <w:color w:val="000000" w:themeColor="text1"/>
              </w:rPr>
            </w:pPr>
          </w:p>
          <w:p w14:paraId="4AA17A45" w14:textId="77777777" w:rsidR="00480B30" w:rsidRPr="00286216" w:rsidRDefault="00480B30" w:rsidP="00480B30">
            <w:pPr>
              <w:pStyle w:val="StyleWisnow"/>
              <w:rPr>
                <w:color w:val="000000" w:themeColor="text1"/>
              </w:rPr>
            </w:pPr>
          </w:p>
          <w:p w14:paraId="2FDC7DE3" w14:textId="77777777" w:rsidR="00480B30" w:rsidRPr="00286216" w:rsidRDefault="00480B30" w:rsidP="00480B30">
            <w:pPr>
              <w:pStyle w:val="StyleWisnow"/>
              <w:rPr>
                <w:color w:val="000000" w:themeColor="text1"/>
              </w:rPr>
            </w:pPr>
          </w:p>
          <w:p w14:paraId="38D6389E" w14:textId="77777777" w:rsidR="00480B30" w:rsidRPr="00286216" w:rsidRDefault="00480B30" w:rsidP="00480B30">
            <w:pPr>
              <w:pStyle w:val="StyleWisnow"/>
              <w:rPr>
                <w:color w:val="000000" w:themeColor="text1"/>
              </w:rPr>
            </w:pPr>
          </w:p>
          <w:p w14:paraId="0D46E65C" w14:textId="77777777" w:rsidR="00480B30" w:rsidRPr="00286216" w:rsidRDefault="00480B30" w:rsidP="00480B30">
            <w:pPr>
              <w:pStyle w:val="StyleWisnow"/>
              <w:rPr>
                <w:color w:val="000000" w:themeColor="text1"/>
              </w:rPr>
            </w:pPr>
          </w:p>
          <w:p w14:paraId="74000C8B" w14:textId="77777777" w:rsidR="00480B30" w:rsidRPr="00286216" w:rsidRDefault="00480B30" w:rsidP="00480B30">
            <w:pPr>
              <w:pStyle w:val="StyleWisnow"/>
              <w:rPr>
                <w:color w:val="000000" w:themeColor="text1"/>
              </w:rPr>
            </w:pPr>
          </w:p>
          <w:p w14:paraId="40EE2862" w14:textId="77777777" w:rsidR="00480B30" w:rsidRPr="00286216" w:rsidRDefault="00480B30" w:rsidP="00480B30">
            <w:pPr>
              <w:pStyle w:val="StyleWisnow"/>
              <w:rPr>
                <w:color w:val="000000" w:themeColor="text1"/>
              </w:rPr>
            </w:pPr>
          </w:p>
          <w:p w14:paraId="0B90030F" w14:textId="77777777" w:rsidR="00480B30" w:rsidRPr="00286216" w:rsidRDefault="00480B30" w:rsidP="00480B30">
            <w:pPr>
              <w:pStyle w:val="StyleWisnow"/>
              <w:rPr>
                <w:color w:val="000000" w:themeColor="text1"/>
              </w:rPr>
            </w:pPr>
          </w:p>
          <w:p w14:paraId="1991E65C" w14:textId="77777777" w:rsidR="00480B30" w:rsidRPr="00286216" w:rsidRDefault="00480B30" w:rsidP="00480B30">
            <w:pPr>
              <w:pStyle w:val="StyleWisnow"/>
              <w:rPr>
                <w:color w:val="000000" w:themeColor="text1"/>
              </w:rPr>
            </w:pPr>
          </w:p>
          <w:p w14:paraId="0D3F0655" w14:textId="77777777" w:rsidR="00480B30" w:rsidRPr="00286216" w:rsidRDefault="00480B30" w:rsidP="00480B30">
            <w:pPr>
              <w:pStyle w:val="StyleWisnow"/>
              <w:rPr>
                <w:color w:val="000000" w:themeColor="text1"/>
              </w:rPr>
            </w:pPr>
          </w:p>
          <w:p w14:paraId="45E2931E" w14:textId="77777777" w:rsidR="00480B30" w:rsidRPr="00286216" w:rsidRDefault="00480B30" w:rsidP="00480B30">
            <w:pPr>
              <w:pStyle w:val="StyleWisnow"/>
              <w:rPr>
                <w:color w:val="000000" w:themeColor="text1"/>
              </w:rPr>
            </w:pPr>
          </w:p>
          <w:p w14:paraId="2032AE22" w14:textId="77777777" w:rsidR="00480B30" w:rsidRPr="00286216" w:rsidRDefault="00480B30" w:rsidP="00480B30">
            <w:pPr>
              <w:pStyle w:val="StyleWisnow"/>
              <w:rPr>
                <w:color w:val="000000" w:themeColor="text1"/>
              </w:rPr>
            </w:pPr>
          </w:p>
          <w:p w14:paraId="534F05B9" w14:textId="77777777" w:rsidR="00480B30" w:rsidRPr="00286216" w:rsidRDefault="00480B30" w:rsidP="00480B30">
            <w:pPr>
              <w:pStyle w:val="StyleWisnow"/>
              <w:rPr>
                <w:color w:val="000000" w:themeColor="text1"/>
              </w:rPr>
            </w:pPr>
          </w:p>
          <w:p w14:paraId="199B6CF7" w14:textId="77777777" w:rsidR="00480B30" w:rsidRPr="00286216" w:rsidRDefault="00480B30" w:rsidP="00480B30">
            <w:pPr>
              <w:pStyle w:val="StyleWisnow"/>
              <w:rPr>
                <w:color w:val="000000" w:themeColor="text1"/>
              </w:rPr>
            </w:pPr>
          </w:p>
          <w:p w14:paraId="7AB002A3" w14:textId="77777777" w:rsidR="00480B30" w:rsidRPr="00286216" w:rsidRDefault="00480B30" w:rsidP="00480B30">
            <w:pPr>
              <w:pStyle w:val="StyleWisnow"/>
              <w:rPr>
                <w:color w:val="000000" w:themeColor="text1"/>
              </w:rPr>
            </w:pPr>
          </w:p>
          <w:p w14:paraId="4D622F49" w14:textId="77777777" w:rsidR="00480B30" w:rsidRPr="00286216" w:rsidRDefault="00480B30" w:rsidP="00480B30">
            <w:pPr>
              <w:pStyle w:val="StyleWisnow"/>
              <w:rPr>
                <w:color w:val="000000" w:themeColor="text1"/>
              </w:rPr>
            </w:pPr>
          </w:p>
          <w:p w14:paraId="4ABCD7F7" w14:textId="77777777" w:rsidR="00480B30" w:rsidRPr="00286216" w:rsidRDefault="00480B30" w:rsidP="00480B30">
            <w:pPr>
              <w:pStyle w:val="StyleWisnow"/>
              <w:rPr>
                <w:color w:val="000000" w:themeColor="text1"/>
              </w:rPr>
            </w:pPr>
          </w:p>
          <w:p w14:paraId="49B5ED68" w14:textId="77777777" w:rsidR="00480B30" w:rsidRPr="00286216" w:rsidRDefault="00480B30" w:rsidP="00480B30">
            <w:pPr>
              <w:pStyle w:val="StyleWisnow"/>
              <w:rPr>
                <w:color w:val="000000" w:themeColor="text1"/>
              </w:rPr>
            </w:pPr>
          </w:p>
          <w:p w14:paraId="63617DFB" w14:textId="77777777" w:rsidR="00480B30" w:rsidRPr="00286216" w:rsidRDefault="00480B30" w:rsidP="00480B30">
            <w:pPr>
              <w:pStyle w:val="StyleWisnow"/>
              <w:rPr>
                <w:color w:val="000000" w:themeColor="text1"/>
              </w:rPr>
            </w:pPr>
          </w:p>
          <w:p w14:paraId="2E2ADFCD" w14:textId="77777777" w:rsidR="00480B30" w:rsidRPr="00286216" w:rsidRDefault="00480B30" w:rsidP="00480B30">
            <w:pPr>
              <w:pStyle w:val="StyleWisnow"/>
              <w:rPr>
                <w:color w:val="000000" w:themeColor="text1"/>
              </w:rPr>
            </w:pPr>
          </w:p>
          <w:p w14:paraId="3DD8783D" w14:textId="77777777" w:rsidR="00480B30" w:rsidRPr="00286216" w:rsidRDefault="00480B30" w:rsidP="00480B30">
            <w:pPr>
              <w:pStyle w:val="StyleWisnow"/>
              <w:rPr>
                <w:color w:val="000000" w:themeColor="text1"/>
              </w:rPr>
            </w:pPr>
          </w:p>
          <w:p w14:paraId="3489A1EA" w14:textId="77777777" w:rsidR="00480B30" w:rsidRPr="00286216" w:rsidRDefault="00480B30" w:rsidP="00480B30">
            <w:pPr>
              <w:pStyle w:val="StyleWisnow"/>
              <w:rPr>
                <w:color w:val="000000" w:themeColor="text1"/>
              </w:rPr>
            </w:pPr>
          </w:p>
          <w:p w14:paraId="0D457F8F" w14:textId="77777777" w:rsidR="00480B30" w:rsidRPr="00286216" w:rsidRDefault="00480B30" w:rsidP="00480B30">
            <w:pPr>
              <w:pStyle w:val="StyleWisnow"/>
              <w:rPr>
                <w:color w:val="000000" w:themeColor="text1"/>
              </w:rPr>
            </w:pPr>
          </w:p>
          <w:p w14:paraId="3E3B4207" w14:textId="77777777" w:rsidR="00480B30" w:rsidRPr="00286216" w:rsidRDefault="00480B30" w:rsidP="00480B30">
            <w:pPr>
              <w:pStyle w:val="StyleWisnow"/>
              <w:rPr>
                <w:color w:val="000000" w:themeColor="text1"/>
              </w:rPr>
            </w:pPr>
          </w:p>
          <w:p w14:paraId="0260DF69" w14:textId="77777777" w:rsidR="00480B30" w:rsidRPr="00286216" w:rsidRDefault="00480B30" w:rsidP="00480B30">
            <w:pPr>
              <w:pStyle w:val="StyleWisnow"/>
              <w:rPr>
                <w:color w:val="000000" w:themeColor="text1"/>
              </w:rPr>
            </w:pPr>
          </w:p>
          <w:p w14:paraId="253F3423" w14:textId="77777777" w:rsidR="00480B30" w:rsidRPr="00286216" w:rsidRDefault="00480B30" w:rsidP="00480B30">
            <w:pPr>
              <w:pStyle w:val="StyleWisnow"/>
              <w:rPr>
                <w:color w:val="000000" w:themeColor="text1"/>
              </w:rPr>
            </w:pPr>
          </w:p>
          <w:p w14:paraId="04BFE6AE" w14:textId="77777777" w:rsidR="00480B30" w:rsidRPr="00286216" w:rsidRDefault="00480B30" w:rsidP="00480B30">
            <w:pPr>
              <w:pStyle w:val="StyleWisnow"/>
              <w:rPr>
                <w:color w:val="000000" w:themeColor="text1"/>
              </w:rPr>
            </w:pPr>
          </w:p>
          <w:p w14:paraId="51014B05" w14:textId="77777777" w:rsidR="00480B30" w:rsidRPr="00286216" w:rsidRDefault="00480B30" w:rsidP="00480B30">
            <w:pPr>
              <w:pStyle w:val="StyleWisnow"/>
              <w:rPr>
                <w:color w:val="000000" w:themeColor="text1"/>
              </w:rPr>
            </w:pPr>
          </w:p>
          <w:p w14:paraId="39A7E64B" w14:textId="77777777" w:rsidR="00480B30" w:rsidRPr="00286216" w:rsidRDefault="00480B30" w:rsidP="00480B30">
            <w:pPr>
              <w:pStyle w:val="StyleWisnow"/>
              <w:rPr>
                <w:color w:val="000000" w:themeColor="text1"/>
              </w:rPr>
            </w:pPr>
          </w:p>
          <w:p w14:paraId="3D190012" w14:textId="77777777" w:rsidR="00480B30" w:rsidRPr="00286216" w:rsidRDefault="00480B30" w:rsidP="00480B30">
            <w:pPr>
              <w:pStyle w:val="StyleWisnow"/>
              <w:rPr>
                <w:color w:val="000000" w:themeColor="text1"/>
              </w:rPr>
            </w:pPr>
          </w:p>
          <w:p w14:paraId="03248171" w14:textId="77777777" w:rsidR="00480B30" w:rsidRPr="00286216" w:rsidRDefault="00480B30" w:rsidP="00480B30">
            <w:pPr>
              <w:pStyle w:val="StyleWisnow"/>
              <w:rPr>
                <w:color w:val="000000" w:themeColor="text1"/>
              </w:rPr>
            </w:pPr>
          </w:p>
          <w:p w14:paraId="2A8689CB" w14:textId="77777777" w:rsidR="00480B30" w:rsidRPr="00286216" w:rsidRDefault="00480B30" w:rsidP="00480B30">
            <w:pPr>
              <w:pStyle w:val="StyleWisnow"/>
              <w:rPr>
                <w:color w:val="000000" w:themeColor="text1"/>
              </w:rPr>
            </w:pPr>
          </w:p>
          <w:p w14:paraId="0660FE01" w14:textId="77777777" w:rsidR="00480B30" w:rsidRPr="00286216" w:rsidRDefault="00480B30" w:rsidP="00480B30">
            <w:pPr>
              <w:pStyle w:val="StyleWisnow"/>
              <w:rPr>
                <w:color w:val="000000" w:themeColor="text1"/>
              </w:rPr>
            </w:pPr>
          </w:p>
          <w:p w14:paraId="51FD1AE5" w14:textId="77777777" w:rsidR="00480B30" w:rsidRPr="00286216" w:rsidRDefault="00480B30" w:rsidP="00480B30">
            <w:pPr>
              <w:pStyle w:val="StyleWisnow"/>
              <w:rPr>
                <w:color w:val="000000" w:themeColor="text1"/>
              </w:rPr>
            </w:pPr>
          </w:p>
          <w:p w14:paraId="75FD954F" w14:textId="77777777" w:rsidR="00480B30" w:rsidRPr="00286216" w:rsidRDefault="00480B30" w:rsidP="00480B30">
            <w:pPr>
              <w:pStyle w:val="StyleWisnow"/>
              <w:rPr>
                <w:color w:val="000000" w:themeColor="text1"/>
              </w:rPr>
            </w:pPr>
          </w:p>
          <w:p w14:paraId="1C55FAE7" w14:textId="77777777" w:rsidR="00480B30" w:rsidRPr="00286216" w:rsidRDefault="00480B30" w:rsidP="00480B30">
            <w:pPr>
              <w:pStyle w:val="StyleWisnow"/>
              <w:rPr>
                <w:color w:val="000000" w:themeColor="text1"/>
              </w:rPr>
            </w:pPr>
          </w:p>
          <w:p w14:paraId="2987257E" w14:textId="77777777" w:rsidR="00480B30" w:rsidRPr="00286216" w:rsidRDefault="00480B30" w:rsidP="00480B30">
            <w:pPr>
              <w:pStyle w:val="StyleWisnow"/>
              <w:rPr>
                <w:color w:val="000000" w:themeColor="text1"/>
              </w:rPr>
            </w:pPr>
          </w:p>
          <w:p w14:paraId="40B627BE" w14:textId="77777777" w:rsidR="00480B30" w:rsidRPr="00286216" w:rsidRDefault="00480B30" w:rsidP="00480B30">
            <w:pPr>
              <w:pStyle w:val="StyleWisnow"/>
              <w:rPr>
                <w:color w:val="000000" w:themeColor="text1"/>
              </w:rPr>
            </w:pPr>
          </w:p>
          <w:p w14:paraId="271F7D1D" w14:textId="77777777" w:rsidR="00480B30" w:rsidRPr="00286216" w:rsidRDefault="00480B30" w:rsidP="00480B30">
            <w:pPr>
              <w:pStyle w:val="StyleWisnow"/>
              <w:rPr>
                <w:color w:val="000000" w:themeColor="text1"/>
              </w:rPr>
            </w:pPr>
          </w:p>
          <w:p w14:paraId="396D4E25" w14:textId="77777777" w:rsidR="00480B30" w:rsidRPr="00286216" w:rsidRDefault="00480B30" w:rsidP="00480B30">
            <w:pPr>
              <w:pStyle w:val="StyleWisnow"/>
              <w:rPr>
                <w:color w:val="000000" w:themeColor="text1"/>
              </w:rPr>
            </w:pPr>
          </w:p>
          <w:p w14:paraId="315BBAFB" w14:textId="77777777" w:rsidR="00480B30" w:rsidRPr="00286216" w:rsidRDefault="00480B30" w:rsidP="00480B30">
            <w:pPr>
              <w:pStyle w:val="StyleWisnow"/>
              <w:rPr>
                <w:color w:val="000000" w:themeColor="text1"/>
              </w:rPr>
            </w:pPr>
          </w:p>
          <w:p w14:paraId="27210B59" w14:textId="77777777" w:rsidR="00480B30" w:rsidRPr="00286216" w:rsidRDefault="00480B30" w:rsidP="00480B30">
            <w:pPr>
              <w:pStyle w:val="StyleWisnow"/>
              <w:rPr>
                <w:color w:val="000000" w:themeColor="text1"/>
              </w:rPr>
            </w:pPr>
          </w:p>
          <w:p w14:paraId="39BD18D8" w14:textId="77777777" w:rsidR="00480B30" w:rsidRPr="00286216" w:rsidRDefault="00480B30" w:rsidP="00480B30">
            <w:pPr>
              <w:pStyle w:val="StyleWisnow"/>
              <w:rPr>
                <w:color w:val="000000" w:themeColor="text1"/>
              </w:rPr>
            </w:pPr>
          </w:p>
          <w:p w14:paraId="266EE332" w14:textId="77777777" w:rsidR="00480B30" w:rsidRPr="00286216" w:rsidRDefault="00480B30" w:rsidP="00480B30">
            <w:pPr>
              <w:pStyle w:val="StyleWisnow"/>
              <w:rPr>
                <w:color w:val="000000" w:themeColor="text1"/>
              </w:rPr>
            </w:pPr>
          </w:p>
          <w:p w14:paraId="070ECF02" w14:textId="77777777" w:rsidR="00480B30" w:rsidRPr="00286216" w:rsidRDefault="00480B30" w:rsidP="00480B30">
            <w:pPr>
              <w:pStyle w:val="StyleWisnow"/>
              <w:rPr>
                <w:color w:val="000000" w:themeColor="text1"/>
              </w:rPr>
            </w:pPr>
          </w:p>
          <w:p w14:paraId="5E282B09" w14:textId="77777777" w:rsidR="00480B30" w:rsidRPr="00286216" w:rsidRDefault="00480B30" w:rsidP="00480B30">
            <w:pPr>
              <w:pStyle w:val="StyleWisnow"/>
              <w:rPr>
                <w:color w:val="000000" w:themeColor="text1"/>
              </w:rPr>
            </w:pPr>
          </w:p>
          <w:p w14:paraId="4607D1A9" w14:textId="77777777" w:rsidR="00480B30" w:rsidRPr="00286216" w:rsidRDefault="00480B30" w:rsidP="00480B30">
            <w:pPr>
              <w:pStyle w:val="StyleWisnow"/>
              <w:rPr>
                <w:color w:val="000000" w:themeColor="text1"/>
              </w:rPr>
            </w:pPr>
          </w:p>
          <w:p w14:paraId="35030E9F" w14:textId="77777777" w:rsidR="00480B30" w:rsidRPr="00286216" w:rsidRDefault="00480B30" w:rsidP="00480B30">
            <w:pPr>
              <w:pStyle w:val="StyleWisnow"/>
              <w:rPr>
                <w:color w:val="000000" w:themeColor="text1"/>
              </w:rPr>
            </w:pPr>
          </w:p>
          <w:p w14:paraId="5154B583" w14:textId="77777777" w:rsidR="00480B30" w:rsidRPr="00286216" w:rsidRDefault="00480B30" w:rsidP="00480B30">
            <w:pPr>
              <w:pStyle w:val="StyleWisnow"/>
              <w:rPr>
                <w:color w:val="000000" w:themeColor="text1"/>
              </w:rPr>
            </w:pPr>
          </w:p>
          <w:p w14:paraId="39C454EE" w14:textId="77777777" w:rsidR="00480B30" w:rsidRPr="00286216" w:rsidRDefault="00480B30" w:rsidP="00480B30">
            <w:pPr>
              <w:pStyle w:val="StyleWisnow"/>
              <w:rPr>
                <w:color w:val="000000" w:themeColor="text1"/>
              </w:rPr>
            </w:pPr>
          </w:p>
          <w:p w14:paraId="3BFB0F58" w14:textId="77777777" w:rsidR="00480B30" w:rsidRPr="00286216" w:rsidRDefault="00480B30" w:rsidP="00480B30">
            <w:pPr>
              <w:pStyle w:val="StyleWisnow"/>
              <w:rPr>
                <w:color w:val="000000" w:themeColor="text1"/>
              </w:rPr>
            </w:pPr>
          </w:p>
          <w:p w14:paraId="2988777D" w14:textId="77777777" w:rsidR="00480B30" w:rsidRPr="00286216" w:rsidRDefault="00480B30" w:rsidP="00480B30">
            <w:pPr>
              <w:pStyle w:val="StyleWisnow"/>
              <w:rPr>
                <w:color w:val="000000" w:themeColor="text1"/>
              </w:rPr>
            </w:pPr>
          </w:p>
          <w:p w14:paraId="735CCC0D" w14:textId="77777777" w:rsidR="00480B30" w:rsidRPr="00286216" w:rsidRDefault="00480B30" w:rsidP="00480B30">
            <w:pPr>
              <w:pStyle w:val="StyleWisnow"/>
              <w:rPr>
                <w:color w:val="000000" w:themeColor="text1"/>
              </w:rPr>
            </w:pPr>
          </w:p>
          <w:p w14:paraId="4E6BB83E" w14:textId="77777777" w:rsidR="00480B30" w:rsidRPr="00286216" w:rsidRDefault="00480B30" w:rsidP="00480B30">
            <w:pPr>
              <w:pStyle w:val="StyleWisnow"/>
              <w:rPr>
                <w:color w:val="000000" w:themeColor="text1"/>
              </w:rPr>
            </w:pPr>
          </w:p>
          <w:p w14:paraId="1587F7CB" w14:textId="77777777" w:rsidR="00480B30" w:rsidRPr="00286216" w:rsidRDefault="00480B30" w:rsidP="00480B30">
            <w:pPr>
              <w:pStyle w:val="StyleWisnow"/>
              <w:rPr>
                <w:color w:val="000000" w:themeColor="text1"/>
              </w:rPr>
            </w:pPr>
          </w:p>
          <w:p w14:paraId="1C39F559" w14:textId="77777777" w:rsidR="00480B30" w:rsidRPr="00286216" w:rsidRDefault="00480B30" w:rsidP="00480B30">
            <w:pPr>
              <w:pStyle w:val="StyleWisnow"/>
              <w:rPr>
                <w:color w:val="000000" w:themeColor="text1"/>
              </w:rPr>
            </w:pPr>
          </w:p>
          <w:p w14:paraId="76861F8F" w14:textId="77777777" w:rsidR="00480B30" w:rsidRPr="00286216" w:rsidRDefault="00480B30" w:rsidP="00480B30">
            <w:pPr>
              <w:pStyle w:val="StyleWisnow"/>
              <w:rPr>
                <w:color w:val="000000" w:themeColor="text1"/>
              </w:rPr>
            </w:pPr>
          </w:p>
          <w:p w14:paraId="1275B50D" w14:textId="77777777" w:rsidR="00480B30" w:rsidRPr="00286216" w:rsidRDefault="00480B30" w:rsidP="00480B30">
            <w:pPr>
              <w:pStyle w:val="StyleWisnow"/>
              <w:rPr>
                <w:color w:val="000000" w:themeColor="text1"/>
              </w:rPr>
            </w:pPr>
          </w:p>
          <w:p w14:paraId="48AF7031" w14:textId="77777777" w:rsidR="00480B30" w:rsidRPr="00286216" w:rsidRDefault="00480B30" w:rsidP="00480B30">
            <w:pPr>
              <w:pStyle w:val="StyleWisnow"/>
              <w:rPr>
                <w:color w:val="000000" w:themeColor="text1"/>
              </w:rPr>
            </w:pPr>
          </w:p>
          <w:p w14:paraId="0D6FD1AF" w14:textId="77777777" w:rsidR="00480B30" w:rsidRPr="00286216" w:rsidRDefault="00480B30" w:rsidP="00480B30">
            <w:pPr>
              <w:pStyle w:val="StyleWisnow"/>
              <w:rPr>
                <w:color w:val="000000" w:themeColor="text1"/>
              </w:rPr>
            </w:pPr>
          </w:p>
          <w:p w14:paraId="15CBDDCD" w14:textId="77777777" w:rsidR="00480B30" w:rsidRPr="00286216" w:rsidRDefault="00480B30" w:rsidP="00480B30">
            <w:pPr>
              <w:pStyle w:val="StyleWisnow"/>
              <w:rPr>
                <w:color w:val="000000" w:themeColor="text1"/>
              </w:rPr>
            </w:pPr>
          </w:p>
          <w:p w14:paraId="4908AFEE" w14:textId="77777777" w:rsidR="00480B30" w:rsidRPr="00286216" w:rsidRDefault="00480B30" w:rsidP="00480B30">
            <w:pPr>
              <w:pStyle w:val="StyleWisnow"/>
              <w:rPr>
                <w:color w:val="000000" w:themeColor="text1"/>
              </w:rPr>
            </w:pPr>
          </w:p>
          <w:p w14:paraId="6D52089D" w14:textId="77777777" w:rsidR="00480B30" w:rsidRPr="00286216" w:rsidRDefault="00480B30" w:rsidP="00480B30">
            <w:pPr>
              <w:pStyle w:val="StyleWisnow"/>
              <w:rPr>
                <w:color w:val="000000" w:themeColor="text1"/>
              </w:rPr>
            </w:pPr>
          </w:p>
          <w:p w14:paraId="7F214FFD" w14:textId="77777777" w:rsidR="00480B30" w:rsidRPr="00286216" w:rsidRDefault="00480B30" w:rsidP="00480B30">
            <w:pPr>
              <w:pStyle w:val="StyleWisnow"/>
              <w:rPr>
                <w:color w:val="000000" w:themeColor="text1"/>
              </w:rPr>
            </w:pPr>
          </w:p>
          <w:p w14:paraId="3C069EE9" w14:textId="77777777" w:rsidR="00480B30" w:rsidRPr="00286216" w:rsidRDefault="00480B30" w:rsidP="00480B30">
            <w:pPr>
              <w:pStyle w:val="StyleWisnow"/>
              <w:rPr>
                <w:color w:val="000000" w:themeColor="text1"/>
              </w:rPr>
            </w:pPr>
          </w:p>
          <w:p w14:paraId="650B302D" w14:textId="77777777" w:rsidR="00480B30" w:rsidRPr="00286216" w:rsidRDefault="00480B30" w:rsidP="00480B30">
            <w:pPr>
              <w:pStyle w:val="StyleWisnow"/>
              <w:rPr>
                <w:color w:val="000000" w:themeColor="text1"/>
              </w:rPr>
            </w:pPr>
          </w:p>
          <w:p w14:paraId="79441EE3" w14:textId="77777777" w:rsidR="00480B30" w:rsidRPr="00286216" w:rsidRDefault="00480B30" w:rsidP="00480B30">
            <w:pPr>
              <w:pStyle w:val="StyleWisnow"/>
              <w:rPr>
                <w:color w:val="000000" w:themeColor="text1"/>
              </w:rPr>
            </w:pPr>
          </w:p>
          <w:p w14:paraId="7E0F9A3F" w14:textId="77777777" w:rsidR="00480B30" w:rsidRPr="00286216" w:rsidRDefault="00480B30" w:rsidP="00480B30">
            <w:pPr>
              <w:pStyle w:val="StyleWisnow"/>
              <w:rPr>
                <w:color w:val="000000" w:themeColor="text1"/>
              </w:rPr>
            </w:pPr>
          </w:p>
          <w:p w14:paraId="379D657D" w14:textId="77777777" w:rsidR="00480B30" w:rsidRPr="00286216" w:rsidRDefault="00480B30" w:rsidP="00480B30">
            <w:pPr>
              <w:pStyle w:val="StyleWisnow"/>
              <w:rPr>
                <w:color w:val="000000" w:themeColor="text1"/>
              </w:rPr>
            </w:pPr>
          </w:p>
          <w:p w14:paraId="2C4B36F7" w14:textId="77777777" w:rsidR="00480B30" w:rsidRPr="00286216" w:rsidRDefault="00480B30" w:rsidP="00480B30">
            <w:pPr>
              <w:pStyle w:val="StyleWisnow"/>
              <w:rPr>
                <w:color w:val="000000" w:themeColor="text1"/>
              </w:rPr>
            </w:pPr>
          </w:p>
          <w:p w14:paraId="5C88714E" w14:textId="77777777" w:rsidR="00480B30" w:rsidRPr="00286216" w:rsidRDefault="00480B30" w:rsidP="00480B30">
            <w:pPr>
              <w:pStyle w:val="StyleWisnow"/>
              <w:rPr>
                <w:color w:val="000000" w:themeColor="text1"/>
              </w:rPr>
            </w:pPr>
          </w:p>
          <w:p w14:paraId="793A9F2A" w14:textId="77777777" w:rsidR="00480B30" w:rsidRPr="00286216" w:rsidRDefault="00480B30" w:rsidP="00480B30">
            <w:pPr>
              <w:pStyle w:val="StyleWisnow"/>
              <w:rPr>
                <w:color w:val="000000" w:themeColor="text1"/>
              </w:rPr>
            </w:pPr>
          </w:p>
          <w:p w14:paraId="58F8F8E1" w14:textId="77777777" w:rsidR="00480B30" w:rsidRPr="00286216" w:rsidRDefault="00480B30" w:rsidP="00480B30">
            <w:pPr>
              <w:pStyle w:val="StyleWisnow"/>
              <w:rPr>
                <w:color w:val="000000" w:themeColor="text1"/>
              </w:rPr>
            </w:pPr>
          </w:p>
          <w:p w14:paraId="6270BBDC" w14:textId="77777777" w:rsidR="00480B30" w:rsidRPr="00286216" w:rsidRDefault="00480B30" w:rsidP="00480B30">
            <w:pPr>
              <w:pStyle w:val="StyleWisnow"/>
              <w:rPr>
                <w:color w:val="000000" w:themeColor="text1"/>
              </w:rPr>
            </w:pPr>
          </w:p>
          <w:p w14:paraId="7A3BF94E" w14:textId="77777777" w:rsidR="00480B30" w:rsidRPr="00286216" w:rsidRDefault="00480B30" w:rsidP="00480B30">
            <w:pPr>
              <w:pStyle w:val="StyleWisnow"/>
              <w:rPr>
                <w:color w:val="000000" w:themeColor="text1"/>
              </w:rPr>
            </w:pPr>
          </w:p>
          <w:p w14:paraId="69D8283C" w14:textId="77777777" w:rsidR="00480B30" w:rsidRPr="00286216" w:rsidRDefault="00480B30" w:rsidP="00480B30">
            <w:pPr>
              <w:pStyle w:val="StyleWisnow"/>
              <w:rPr>
                <w:color w:val="000000" w:themeColor="text1"/>
              </w:rPr>
            </w:pPr>
          </w:p>
          <w:p w14:paraId="248C6C3A" w14:textId="77777777" w:rsidR="00480B30" w:rsidRPr="00286216" w:rsidRDefault="00480B30" w:rsidP="00480B30">
            <w:pPr>
              <w:pStyle w:val="StyleWisnow"/>
              <w:rPr>
                <w:color w:val="000000" w:themeColor="text1"/>
              </w:rPr>
            </w:pPr>
          </w:p>
          <w:p w14:paraId="3A20AC29" w14:textId="77777777" w:rsidR="00480B30" w:rsidRPr="00286216" w:rsidRDefault="00480B30" w:rsidP="00480B30">
            <w:pPr>
              <w:pStyle w:val="StyleWisnow"/>
              <w:rPr>
                <w:color w:val="000000" w:themeColor="text1"/>
              </w:rPr>
            </w:pPr>
          </w:p>
          <w:p w14:paraId="1279787D" w14:textId="77777777" w:rsidR="00480B30" w:rsidRPr="00286216" w:rsidRDefault="00480B30" w:rsidP="00480B30">
            <w:pPr>
              <w:pStyle w:val="StyleWisnow"/>
              <w:rPr>
                <w:color w:val="000000" w:themeColor="text1"/>
              </w:rPr>
            </w:pPr>
          </w:p>
          <w:p w14:paraId="591013D9" w14:textId="77777777" w:rsidR="00480B30" w:rsidRPr="00286216" w:rsidRDefault="00480B30" w:rsidP="00480B30">
            <w:pPr>
              <w:pStyle w:val="StyleWisnow"/>
              <w:rPr>
                <w:color w:val="000000" w:themeColor="text1"/>
              </w:rPr>
            </w:pPr>
          </w:p>
          <w:p w14:paraId="58D64DC3" w14:textId="77777777" w:rsidR="00480B30" w:rsidRPr="00286216" w:rsidRDefault="00480B30" w:rsidP="00480B30">
            <w:pPr>
              <w:pStyle w:val="StyleWisnow"/>
              <w:rPr>
                <w:color w:val="000000" w:themeColor="text1"/>
              </w:rPr>
            </w:pPr>
          </w:p>
          <w:p w14:paraId="30721B31" w14:textId="77777777" w:rsidR="00480B30" w:rsidRPr="00286216" w:rsidRDefault="00480B30" w:rsidP="00480B30">
            <w:pPr>
              <w:pStyle w:val="StyleWisnow"/>
              <w:rPr>
                <w:color w:val="000000" w:themeColor="text1"/>
              </w:rPr>
            </w:pPr>
          </w:p>
          <w:p w14:paraId="2489E91D" w14:textId="77777777" w:rsidR="00480B30" w:rsidRPr="00286216" w:rsidRDefault="00480B30" w:rsidP="00480B30">
            <w:pPr>
              <w:pStyle w:val="StyleWisnow"/>
              <w:rPr>
                <w:color w:val="000000" w:themeColor="text1"/>
              </w:rPr>
            </w:pPr>
          </w:p>
          <w:p w14:paraId="59C0CDDB" w14:textId="77777777" w:rsidR="00480B30" w:rsidRPr="00286216" w:rsidRDefault="00480B30" w:rsidP="00480B30">
            <w:pPr>
              <w:pStyle w:val="StyleWisnow"/>
              <w:rPr>
                <w:color w:val="000000" w:themeColor="text1"/>
              </w:rPr>
            </w:pPr>
          </w:p>
          <w:p w14:paraId="54A63FF8" w14:textId="77777777" w:rsidR="00480B30" w:rsidRPr="00286216" w:rsidRDefault="00480B30" w:rsidP="00480B30">
            <w:pPr>
              <w:pStyle w:val="StyleWisnow"/>
              <w:rPr>
                <w:color w:val="000000" w:themeColor="text1"/>
              </w:rPr>
            </w:pPr>
          </w:p>
          <w:p w14:paraId="08F0FF23" w14:textId="77777777" w:rsidR="00480B30" w:rsidRPr="00286216" w:rsidRDefault="00480B30" w:rsidP="00480B30">
            <w:pPr>
              <w:pStyle w:val="StyleWisnow"/>
              <w:rPr>
                <w:color w:val="000000" w:themeColor="text1"/>
              </w:rPr>
            </w:pPr>
          </w:p>
          <w:p w14:paraId="2078A6BA" w14:textId="77777777" w:rsidR="00480B30" w:rsidRPr="00286216" w:rsidRDefault="00480B30" w:rsidP="00480B30">
            <w:pPr>
              <w:pStyle w:val="StyleWisnow"/>
              <w:rPr>
                <w:color w:val="000000" w:themeColor="text1"/>
              </w:rPr>
            </w:pPr>
          </w:p>
          <w:p w14:paraId="4FA0EC36" w14:textId="77777777" w:rsidR="00480B30" w:rsidRPr="00286216" w:rsidRDefault="00480B30" w:rsidP="00480B30">
            <w:pPr>
              <w:pStyle w:val="StyleWisnow"/>
              <w:rPr>
                <w:color w:val="000000" w:themeColor="text1"/>
              </w:rPr>
            </w:pPr>
          </w:p>
          <w:p w14:paraId="6BA2F417" w14:textId="77777777" w:rsidR="00480B30" w:rsidRPr="00286216" w:rsidRDefault="00480B30" w:rsidP="00480B30">
            <w:pPr>
              <w:pStyle w:val="StyleWisnow"/>
              <w:rPr>
                <w:color w:val="000000" w:themeColor="text1"/>
              </w:rPr>
            </w:pPr>
          </w:p>
          <w:p w14:paraId="657B0F4A" w14:textId="77777777" w:rsidR="00480B30" w:rsidRPr="00286216" w:rsidRDefault="00480B30" w:rsidP="00480B30">
            <w:pPr>
              <w:pStyle w:val="StyleWisnow"/>
              <w:rPr>
                <w:color w:val="000000" w:themeColor="text1"/>
              </w:rPr>
            </w:pPr>
          </w:p>
          <w:p w14:paraId="3D06788D" w14:textId="77777777" w:rsidR="00480B30" w:rsidRPr="00286216" w:rsidRDefault="00480B30" w:rsidP="00480B30">
            <w:pPr>
              <w:pStyle w:val="StyleWisnow"/>
              <w:rPr>
                <w:color w:val="000000" w:themeColor="text1"/>
              </w:rPr>
            </w:pPr>
          </w:p>
          <w:p w14:paraId="3C4B9DED" w14:textId="77777777" w:rsidR="00480B30" w:rsidRPr="00286216" w:rsidRDefault="00480B30" w:rsidP="00480B30">
            <w:pPr>
              <w:pStyle w:val="StyleWisnow"/>
              <w:rPr>
                <w:color w:val="000000" w:themeColor="text1"/>
              </w:rPr>
            </w:pPr>
          </w:p>
          <w:p w14:paraId="3BF66BBC" w14:textId="77777777" w:rsidR="00480B30" w:rsidRPr="00286216" w:rsidRDefault="00480B30" w:rsidP="00480B30">
            <w:pPr>
              <w:pStyle w:val="StyleWisnow"/>
              <w:rPr>
                <w:color w:val="000000" w:themeColor="text1"/>
              </w:rPr>
            </w:pPr>
          </w:p>
          <w:p w14:paraId="778FCE94" w14:textId="77777777" w:rsidR="00480B30" w:rsidRPr="00286216" w:rsidRDefault="00480B30" w:rsidP="00480B30">
            <w:pPr>
              <w:pStyle w:val="StyleWisnow"/>
              <w:rPr>
                <w:color w:val="000000" w:themeColor="text1"/>
              </w:rPr>
            </w:pPr>
          </w:p>
          <w:p w14:paraId="62F50850" w14:textId="77777777" w:rsidR="00480B30" w:rsidRPr="00286216" w:rsidRDefault="00480B30" w:rsidP="00480B30">
            <w:pPr>
              <w:pStyle w:val="StyleWisnow"/>
              <w:rPr>
                <w:color w:val="000000" w:themeColor="text1"/>
              </w:rPr>
            </w:pPr>
          </w:p>
          <w:p w14:paraId="6D4CCB56" w14:textId="77777777" w:rsidR="00480B30" w:rsidRPr="00286216" w:rsidRDefault="00480B30" w:rsidP="00480B30">
            <w:pPr>
              <w:pStyle w:val="StyleWisnow"/>
              <w:rPr>
                <w:color w:val="000000" w:themeColor="text1"/>
              </w:rPr>
            </w:pPr>
          </w:p>
          <w:p w14:paraId="3621A01F" w14:textId="77777777" w:rsidR="00480B30" w:rsidRPr="00286216" w:rsidRDefault="00480B30" w:rsidP="00480B30">
            <w:pPr>
              <w:pStyle w:val="StyleWisnow"/>
              <w:rPr>
                <w:color w:val="000000" w:themeColor="text1"/>
              </w:rPr>
            </w:pPr>
          </w:p>
          <w:p w14:paraId="4308A518" w14:textId="77777777" w:rsidR="00480B30" w:rsidRPr="00286216" w:rsidRDefault="00480B30" w:rsidP="00480B30">
            <w:pPr>
              <w:pStyle w:val="StyleWisnow"/>
              <w:rPr>
                <w:color w:val="000000" w:themeColor="text1"/>
              </w:rPr>
            </w:pPr>
          </w:p>
          <w:p w14:paraId="3DB26FC6" w14:textId="77777777" w:rsidR="00480B30" w:rsidRPr="00286216" w:rsidRDefault="00480B30" w:rsidP="00480B30">
            <w:pPr>
              <w:pStyle w:val="StyleWisnow"/>
              <w:rPr>
                <w:color w:val="000000" w:themeColor="text1"/>
              </w:rPr>
            </w:pPr>
          </w:p>
          <w:p w14:paraId="0176C18C" w14:textId="77777777" w:rsidR="00480B30" w:rsidRPr="00286216" w:rsidRDefault="00480B30" w:rsidP="00480B30">
            <w:pPr>
              <w:pStyle w:val="StyleWisnow"/>
              <w:rPr>
                <w:color w:val="000000" w:themeColor="text1"/>
              </w:rPr>
            </w:pPr>
          </w:p>
          <w:p w14:paraId="43EBB754" w14:textId="77777777" w:rsidR="00480B30" w:rsidRPr="00286216" w:rsidRDefault="00480B30" w:rsidP="00480B30">
            <w:pPr>
              <w:pStyle w:val="StyleWisnow"/>
              <w:rPr>
                <w:color w:val="000000" w:themeColor="text1"/>
              </w:rPr>
            </w:pPr>
          </w:p>
          <w:p w14:paraId="44E4F672" w14:textId="77777777" w:rsidR="00480B30" w:rsidRPr="00286216" w:rsidRDefault="00480B30" w:rsidP="00480B30">
            <w:pPr>
              <w:pStyle w:val="StyleWisnow"/>
              <w:rPr>
                <w:color w:val="000000" w:themeColor="text1"/>
              </w:rPr>
            </w:pPr>
          </w:p>
          <w:p w14:paraId="26F536D3" w14:textId="77777777" w:rsidR="00480B30" w:rsidRPr="00286216" w:rsidRDefault="00480B30" w:rsidP="00480B30">
            <w:pPr>
              <w:pStyle w:val="StyleWisnow"/>
              <w:rPr>
                <w:color w:val="000000" w:themeColor="text1"/>
              </w:rPr>
            </w:pPr>
          </w:p>
          <w:p w14:paraId="284504F6" w14:textId="77777777" w:rsidR="00480B30" w:rsidRPr="00286216" w:rsidRDefault="00480B30" w:rsidP="00480B30">
            <w:pPr>
              <w:pStyle w:val="StyleWisnow"/>
              <w:rPr>
                <w:color w:val="000000" w:themeColor="text1"/>
              </w:rPr>
            </w:pPr>
          </w:p>
          <w:p w14:paraId="7ADC0FB4" w14:textId="77777777" w:rsidR="00480B30" w:rsidRPr="00286216" w:rsidRDefault="00480B30" w:rsidP="00480B30">
            <w:pPr>
              <w:pStyle w:val="StyleWisnow"/>
              <w:rPr>
                <w:color w:val="000000" w:themeColor="text1"/>
              </w:rPr>
            </w:pPr>
          </w:p>
          <w:p w14:paraId="67537163" w14:textId="77777777" w:rsidR="00480B30" w:rsidRPr="00286216" w:rsidRDefault="00480B30" w:rsidP="00480B30">
            <w:pPr>
              <w:pStyle w:val="StyleWisnow"/>
              <w:rPr>
                <w:color w:val="000000" w:themeColor="text1"/>
              </w:rPr>
            </w:pPr>
          </w:p>
          <w:p w14:paraId="0731CCB1" w14:textId="77777777" w:rsidR="00480B30" w:rsidRPr="00286216" w:rsidRDefault="00480B30" w:rsidP="00480B30">
            <w:pPr>
              <w:pStyle w:val="StyleWisnow"/>
              <w:rPr>
                <w:color w:val="000000" w:themeColor="text1"/>
              </w:rPr>
            </w:pPr>
          </w:p>
          <w:p w14:paraId="1C866118" w14:textId="77777777" w:rsidR="00480B30" w:rsidRPr="00286216" w:rsidRDefault="00480B30" w:rsidP="00480B30">
            <w:pPr>
              <w:pStyle w:val="StyleWisnow"/>
              <w:rPr>
                <w:color w:val="000000" w:themeColor="text1"/>
              </w:rPr>
            </w:pPr>
          </w:p>
          <w:p w14:paraId="6A47916F" w14:textId="77777777" w:rsidR="00480B30" w:rsidRPr="00286216" w:rsidRDefault="00480B30" w:rsidP="00480B30">
            <w:pPr>
              <w:pStyle w:val="StyleWisnow"/>
              <w:rPr>
                <w:color w:val="000000" w:themeColor="text1"/>
              </w:rPr>
            </w:pPr>
          </w:p>
          <w:p w14:paraId="56A3469C" w14:textId="77777777" w:rsidR="00480B30" w:rsidRPr="00286216" w:rsidRDefault="00480B30" w:rsidP="00480B30">
            <w:pPr>
              <w:pStyle w:val="StyleWisnow"/>
              <w:rPr>
                <w:color w:val="000000" w:themeColor="text1"/>
              </w:rPr>
            </w:pPr>
          </w:p>
          <w:p w14:paraId="50D8AF1B" w14:textId="77777777" w:rsidR="00480B30" w:rsidRPr="00286216" w:rsidRDefault="00480B30" w:rsidP="00480B30">
            <w:pPr>
              <w:pStyle w:val="StyleWisnow"/>
              <w:rPr>
                <w:color w:val="000000" w:themeColor="text1"/>
              </w:rPr>
            </w:pPr>
          </w:p>
          <w:p w14:paraId="23C26FE2" w14:textId="77777777" w:rsidR="00480B30" w:rsidRPr="00286216" w:rsidRDefault="00480B30" w:rsidP="00480B30">
            <w:pPr>
              <w:pStyle w:val="StyleWisnow"/>
              <w:rPr>
                <w:color w:val="000000" w:themeColor="text1"/>
              </w:rPr>
            </w:pPr>
          </w:p>
          <w:p w14:paraId="754AF91B" w14:textId="77777777" w:rsidR="00480B30" w:rsidRPr="00286216" w:rsidRDefault="00480B30" w:rsidP="00480B30">
            <w:pPr>
              <w:pStyle w:val="StyleWisnow"/>
              <w:rPr>
                <w:color w:val="000000" w:themeColor="text1"/>
              </w:rPr>
            </w:pPr>
          </w:p>
          <w:p w14:paraId="58437000" w14:textId="77777777" w:rsidR="00480B30" w:rsidRPr="00286216" w:rsidRDefault="00480B30" w:rsidP="00480B30">
            <w:pPr>
              <w:pStyle w:val="StyleWisnow"/>
              <w:rPr>
                <w:color w:val="000000" w:themeColor="text1"/>
              </w:rPr>
            </w:pPr>
          </w:p>
          <w:p w14:paraId="2E2C9F1F" w14:textId="77777777" w:rsidR="00480B30" w:rsidRPr="00286216" w:rsidRDefault="00480B30" w:rsidP="00480B30">
            <w:pPr>
              <w:pStyle w:val="StyleWisnow"/>
              <w:rPr>
                <w:color w:val="000000" w:themeColor="text1"/>
              </w:rPr>
            </w:pPr>
          </w:p>
          <w:p w14:paraId="00E12A0E" w14:textId="77777777" w:rsidR="00480B30" w:rsidRPr="00286216" w:rsidRDefault="00480B30" w:rsidP="00480B30">
            <w:pPr>
              <w:pStyle w:val="StyleWisnow"/>
              <w:rPr>
                <w:color w:val="000000" w:themeColor="text1"/>
              </w:rPr>
            </w:pPr>
          </w:p>
          <w:p w14:paraId="764C4D77" w14:textId="77777777" w:rsidR="00480B30" w:rsidRPr="00286216" w:rsidRDefault="00480B30" w:rsidP="00480B30">
            <w:pPr>
              <w:pStyle w:val="StyleWisnow"/>
              <w:rPr>
                <w:color w:val="000000" w:themeColor="text1"/>
              </w:rPr>
            </w:pPr>
          </w:p>
          <w:p w14:paraId="6844C524" w14:textId="77777777" w:rsidR="00480B30" w:rsidRPr="00286216" w:rsidRDefault="00480B30" w:rsidP="00480B30">
            <w:pPr>
              <w:pStyle w:val="StyleWisnow"/>
              <w:rPr>
                <w:color w:val="000000" w:themeColor="text1"/>
              </w:rPr>
            </w:pPr>
          </w:p>
          <w:p w14:paraId="314BDA1C" w14:textId="77777777" w:rsidR="00480B30" w:rsidRPr="00286216" w:rsidRDefault="00480B30" w:rsidP="00480B30">
            <w:pPr>
              <w:pStyle w:val="StyleWisnow"/>
              <w:rPr>
                <w:color w:val="000000" w:themeColor="text1"/>
              </w:rPr>
            </w:pPr>
          </w:p>
          <w:p w14:paraId="45FB2A74" w14:textId="77777777" w:rsidR="00480B30" w:rsidRPr="00286216" w:rsidRDefault="00480B30" w:rsidP="00480B30">
            <w:pPr>
              <w:pStyle w:val="StyleWisnow"/>
              <w:rPr>
                <w:color w:val="000000" w:themeColor="text1"/>
              </w:rPr>
            </w:pPr>
          </w:p>
          <w:p w14:paraId="4F988C84" w14:textId="77777777" w:rsidR="00480B30" w:rsidRPr="00286216" w:rsidRDefault="00480B30" w:rsidP="00480B30">
            <w:pPr>
              <w:pStyle w:val="StyleWisnow"/>
              <w:rPr>
                <w:color w:val="000000" w:themeColor="text1"/>
              </w:rPr>
            </w:pPr>
          </w:p>
          <w:p w14:paraId="2A537EC5" w14:textId="77777777" w:rsidR="00480B30" w:rsidRPr="00286216" w:rsidRDefault="00480B30" w:rsidP="00480B30">
            <w:pPr>
              <w:pStyle w:val="StyleWisnow"/>
              <w:rPr>
                <w:color w:val="000000" w:themeColor="text1"/>
              </w:rPr>
            </w:pPr>
          </w:p>
          <w:p w14:paraId="603304BC" w14:textId="77777777" w:rsidR="00480B30" w:rsidRPr="00286216" w:rsidRDefault="00480B30" w:rsidP="00480B30">
            <w:pPr>
              <w:pStyle w:val="StyleWisnow"/>
              <w:rPr>
                <w:color w:val="000000" w:themeColor="text1"/>
              </w:rPr>
            </w:pPr>
          </w:p>
          <w:p w14:paraId="204990D7" w14:textId="77777777" w:rsidR="00480B30" w:rsidRPr="00286216" w:rsidRDefault="00480B30" w:rsidP="00480B30">
            <w:pPr>
              <w:pStyle w:val="StyleWisnow"/>
              <w:rPr>
                <w:color w:val="000000" w:themeColor="text1"/>
              </w:rPr>
            </w:pPr>
          </w:p>
          <w:p w14:paraId="41465B34" w14:textId="77777777" w:rsidR="00480B30" w:rsidRPr="00286216" w:rsidRDefault="00480B30" w:rsidP="00480B30">
            <w:pPr>
              <w:pStyle w:val="StyleWisnow"/>
              <w:rPr>
                <w:color w:val="000000" w:themeColor="text1"/>
              </w:rPr>
            </w:pPr>
          </w:p>
          <w:p w14:paraId="43259E3A" w14:textId="77777777" w:rsidR="00480B30" w:rsidRPr="00286216" w:rsidRDefault="00480B30" w:rsidP="00480B30">
            <w:pPr>
              <w:pStyle w:val="StyleWisnow"/>
              <w:rPr>
                <w:color w:val="000000" w:themeColor="text1"/>
              </w:rPr>
            </w:pPr>
          </w:p>
          <w:p w14:paraId="1533E3BA" w14:textId="77777777" w:rsidR="00480B30" w:rsidRPr="00286216" w:rsidRDefault="00480B30" w:rsidP="00480B30">
            <w:pPr>
              <w:pStyle w:val="StyleWisnow"/>
              <w:rPr>
                <w:color w:val="000000" w:themeColor="text1"/>
              </w:rPr>
            </w:pPr>
          </w:p>
          <w:p w14:paraId="02B40315" w14:textId="77777777" w:rsidR="00480B30" w:rsidRPr="00286216" w:rsidRDefault="00480B30" w:rsidP="00480B30">
            <w:pPr>
              <w:pStyle w:val="StyleWisnow"/>
              <w:rPr>
                <w:color w:val="000000" w:themeColor="text1"/>
              </w:rPr>
            </w:pPr>
          </w:p>
          <w:p w14:paraId="4EE6EC0F" w14:textId="77777777" w:rsidR="00480B30" w:rsidRPr="00286216" w:rsidRDefault="00480B30" w:rsidP="00480B30">
            <w:pPr>
              <w:pStyle w:val="StyleWisnow"/>
              <w:rPr>
                <w:color w:val="000000" w:themeColor="text1"/>
              </w:rPr>
            </w:pPr>
          </w:p>
          <w:p w14:paraId="0BFAD478" w14:textId="77777777" w:rsidR="00480B30" w:rsidRPr="00286216" w:rsidRDefault="00480B30" w:rsidP="00480B30">
            <w:pPr>
              <w:pStyle w:val="StyleWisnow"/>
              <w:rPr>
                <w:color w:val="000000" w:themeColor="text1"/>
              </w:rPr>
            </w:pPr>
          </w:p>
          <w:p w14:paraId="39CB886B" w14:textId="77777777" w:rsidR="00480B30" w:rsidRPr="00286216" w:rsidRDefault="00480B30" w:rsidP="00480B30">
            <w:pPr>
              <w:pStyle w:val="StyleWisnow"/>
              <w:rPr>
                <w:color w:val="000000" w:themeColor="text1"/>
              </w:rPr>
            </w:pPr>
          </w:p>
          <w:p w14:paraId="503D49F6" w14:textId="77777777" w:rsidR="00480B30" w:rsidRPr="00286216" w:rsidRDefault="00480B30" w:rsidP="00480B30">
            <w:pPr>
              <w:pStyle w:val="StyleWisnow"/>
              <w:rPr>
                <w:color w:val="000000" w:themeColor="text1"/>
              </w:rPr>
            </w:pPr>
          </w:p>
          <w:p w14:paraId="5A4B3B15" w14:textId="77777777" w:rsidR="00480B30" w:rsidRPr="00286216" w:rsidRDefault="00480B30" w:rsidP="00480B30">
            <w:pPr>
              <w:pStyle w:val="StyleWisnow"/>
              <w:rPr>
                <w:color w:val="000000" w:themeColor="text1"/>
              </w:rPr>
            </w:pPr>
          </w:p>
          <w:p w14:paraId="132670DE" w14:textId="77777777" w:rsidR="00480B30" w:rsidRPr="00286216" w:rsidRDefault="00480B30" w:rsidP="00480B30">
            <w:pPr>
              <w:pStyle w:val="StyleWisnow"/>
              <w:rPr>
                <w:color w:val="000000" w:themeColor="text1"/>
              </w:rPr>
            </w:pPr>
          </w:p>
          <w:p w14:paraId="44C4BF21" w14:textId="77777777" w:rsidR="00480B30" w:rsidRPr="00286216" w:rsidRDefault="00480B30" w:rsidP="00480B30">
            <w:pPr>
              <w:pStyle w:val="StyleWisnow"/>
              <w:rPr>
                <w:color w:val="000000" w:themeColor="text1"/>
              </w:rPr>
            </w:pPr>
          </w:p>
          <w:p w14:paraId="4AE51D98" w14:textId="77777777" w:rsidR="00480B30" w:rsidRPr="00286216" w:rsidRDefault="00480B30" w:rsidP="00480B30">
            <w:pPr>
              <w:pStyle w:val="StyleWisnow"/>
              <w:rPr>
                <w:color w:val="000000" w:themeColor="text1"/>
              </w:rPr>
            </w:pPr>
          </w:p>
          <w:p w14:paraId="52AD2A6E" w14:textId="77777777" w:rsidR="00480B30" w:rsidRPr="00286216" w:rsidRDefault="00480B30" w:rsidP="00480B30">
            <w:pPr>
              <w:pStyle w:val="StyleWisnow"/>
              <w:rPr>
                <w:color w:val="000000" w:themeColor="text1"/>
              </w:rPr>
            </w:pPr>
          </w:p>
          <w:p w14:paraId="5841B279" w14:textId="77777777" w:rsidR="00480B30" w:rsidRPr="00286216" w:rsidRDefault="00480B30" w:rsidP="00480B30">
            <w:pPr>
              <w:pStyle w:val="StyleWisnow"/>
              <w:rPr>
                <w:color w:val="000000" w:themeColor="text1"/>
              </w:rPr>
            </w:pPr>
          </w:p>
          <w:p w14:paraId="6B68B71A" w14:textId="77777777" w:rsidR="00480B30" w:rsidRPr="00286216" w:rsidRDefault="00480B30" w:rsidP="00480B30">
            <w:pPr>
              <w:pStyle w:val="StyleWisnow"/>
              <w:rPr>
                <w:color w:val="000000" w:themeColor="text1"/>
              </w:rPr>
            </w:pPr>
          </w:p>
          <w:p w14:paraId="2B4556E9" w14:textId="77777777" w:rsidR="00480B30" w:rsidRPr="00286216" w:rsidRDefault="00480B30" w:rsidP="00480B30">
            <w:pPr>
              <w:pStyle w:val="StyleWisnow"/>
              <w:rPr>
                <w:color w:val="000000" w:themeColor="text1"/>
              </w:rPr>
            </w:pPr>
          </w:p>
          <w:p w14:paraId="1E23E2DE" w14:textId="77777777" w:rsidR="00480B30" w:rsidRPr="00286216" w:rsidRDefault="00480B30" w:rsidP="00480B30">
            <w:pPr>
              <w:pStyle w:val="StyleWisnow"/>
              <w:rPr>
                <w:color w:val="000000" w:themeColor="text1"/>
              </w:rPr>
            </w:pPr>
          </w:p>
          <w:p w14:paraId="61C3174B" w14:textId="77777777" w:rsidR="00480B30" w:rsidRPr="00286216" w:rsidRDefault="00480B30" w:rsidP="00480B30">
            <w:pPr>
              <w:pStyle w:val="StyleWisnow"/>
              <w:rPr>
                <w:color w:val="000000" w:themeColor="text1"/>
              </w:rPr>
            </w:pPr>
          </w:p>
          <w:p w14:paraId="14617E60" w14:textId="77777777" w:rsidR="00480B30" w:rsidRPr="00286216" w:rsidRDefault="00480B30" w:rsidP="00480B30">
            <w:pPr>
              <w:pStyle w:val="StyleWisnow"/>
              <w:rPr>
                <w:color w:val="000000" w:themeColor="text1"/>
              </w:rPr>
            </w:pPr>
          </w:p>
          <w:p w14:paraId="7B39F274" w14:textId="77777777" w:rsidR="00480B30" w:rsidRPr="00286216" w:rsidRDefault="00480B30" w:rsidP="00480B30">
            <w:pPr>
              <w:pStyle w:val="StyleWisnow"/>
              <w:rPr>
                <w:color w:val="000000" w:themeColor="text1"/>
              </w:rPr>
            </w:pPr>
          </w:p>
          <w:p w14:paraId="07338B89" w14:textId="77777777" w:rsidR="00480B30" w:rsidRPr="00286216" w:rsidRDefault="00480B30" w:rsidP="00480B30">
            <w:pPr>
              <w:pStyle w:val="StyleWisnow"/>
              <w:rPr>
                <w:color w:val="000000" w:themeColor="text1"/>
              </w:rPr>
            </w:pPr>
          </w:p>
          <w:p w14:paraId="5F7CAB1C" w14:textId="77777777" w:rsidR="00480B30" w:rsidRPr="00286216" w:rsidRDefault="00480B30" w:rsidP="00480B30">
            <w:pPr>
              <w:pStyle w:val="StyleWisnow"/>
              <w:rPr>
                <w:color w:val="000000" w:themeColor="text1"/>
              </w:rPr>
            </w:pPr>
          </w:p>
          <w:p w14:paraId="4CBD2EAF" w14:textId="77777777" w:rsidR="00480B30" w:rsidRPr="00286216" w:rsidRDefault="00480B30" w:rsidP="00480B30">
            <w:pPr>
              <w:pStyle w:val="StyleWisnow"/>
              <w:rPr>
                <w:color w:val="000000" w:themeColor="text1"/>
              </w:rPr>
            </w:pPr>
          </w:p>
          <w:p w14:paraId="10B4BD6E" w14:textId="77777777" w:rsidR="00480B30" w:rsidRPr="00286216" w:rsidRDefault="00480B30" w:rsidP="00480B30">
            <w:pPr>
              <w:pStyle w:val="StyleWisnow"/>
              <w:rPr>
                <w:color w:val="000000" w:themeColor="text1"/>
              </w:rPr>
            </w:pPr>
          </w:p>
          <w:p w14:paraId="00D3CDE0" w14:textId="77777777" w:rsidR="00480B30" w:rsidRPr="00286216" w:rsidRDefault="00480B30" w:rsidP="00480B30">
            <w:pPr>
              <w:pStyle w:val="StyleWisnow"/>
              <w:rPr>
                <w:color w:val="000000" w:themeColor="text1"/>
              </w:rPr>
            </w:pPr>
          </w:p>
          <w:p w14:paraId="588DC498" w14:textId="77777777" w:rsidR="00480B30" w:rsidRPr="00286216" w:rsidRDefault="00480B30" w:rsidP="00480B30">
            <w:pPr>
              <w:pStyle w:val="StyleWisnow"/>
              <w:rPr>
                <w:color w:val="000000" w:themeColor="text1"/>
              </w:rPr>
            </w:pPr>
          </w:p>
          <w:p w14:paraId="51BBDA3A" w14:textId="77777777" w:rsidR="00480B30" w:rsidRPr="00286216" w:rsidRDefault="00480B30" w:rsidP="00480B30">
            <w:pPr>
              <w:pStyle w:val="StyleWisnow"/>
              <w:rPr>
                <w:color w:val="000000" w:themeColor="text1"/>
              </w:rPr>
            </w:pPr>
          </w:p>
          <w:p w14:paraId="2EAFD4AA" w14:textId="77777777" w:rsidR="00480B30" w:rsidRPr="00286216" w:rsidRDefault="00480B30" w:rsidP="00480B30">
            <w:pPr>
              <w:pStyle w:val="StyleWisnow"/>
              <w:rPr>
                <w:color w:val="000000" w:themeColor="text1"/>
              </w:rPr>
            </w:pPr>
          </w:p>
          <w:p w14:paraId="2A7E3F52" w14:textId="77777777" w:rsidR="00480B30" w:rsidRPr="00286216" w:rsidRDefault="00480B30" w:rsidP="00480B30">
            <w:pPr>
              <w:pStyle w:val="StyleWisnow"/>
              <w:rPr>
                <w:color w:val="000000" w:themeColor="text1"/>
              </w:rPr>
            </w:pPr>
          </w:p>
          <w:p w14:paraId="48500428" w14:textId="77777777" w:rsidR="00480B30" w:rsidRPr="00286216" w:rsidRDefault="00480B30" w:rsidP="00480B30">
            <w:pPr>
              <w:pStyle w:val="StyleWisnow"/>
              <w:rPr>
                <w:color w:val="000000" w:themeColor="text1"/>
              </w:rPr>
            </w:pPr>
          </w:p>
          <w:p w14:paraId="40BC446E" w14:textId="77777777" w:rsidR="00480B30" w:rsidRPr="00286216" w:rsidRDefault="00480B30" w:rsidP="00480B30">
            <w:pPr>
              <w:pStyle w:val="StyleWisnow"/>
              <w:rPr>
                <w:color w:val="000000" w:themeColor="text1"/>
              </w:rPr>
            </w:pPr>
          </w:p>
          <w:p w14:paraId="1199F7E5" w14:textId="77777777" w:rsidR="00480B30" w:rsidRPr="00286216" w:rsidRDefault="00480B30" w:rsidP="00480B30">
            <w:pPr>
              <w:pStyle w:val="StyleWisnow"/>
              <w:rPr>
                <w:color w:val="000000" w:themeColor="text1"/>
              </w:rPr>
            </w:pPr>
          </w:p>
          <w:p w14:paraId="5AC7CE0D" w14:textId="77777777" w:rsidR="00480B30" w:rsidRPr="00286216" w:rsidRDefault="00480B30" w:rsidP="00480B30">
            <w:pPr>
              <w:pStyle w:val="StyleWisnow"/>
              <w:rPr>
                <w:color w:val="000000" w:themeColor="text1"/>
              </w:rPr>
            </w:pPr>
          </w:p>
          <w:p w14:paraId="3E38BBF6" w14:textId="77777777" w:rsidR="00480B30" w:rsidRPr="00286216" w:rsidRDefault="00480B30" w:rsidP="00480B30">
            <w:pPr>
              <w:pStyle w:val="StyleWisnow"/>
              <w:rPr>
                <w:color w:val="000000" w:themeColor="text1"/>
              </w:rPr>
            </w:pPr>
          </w:p>
          <w:p w14:paraId="48A8FE2C" w14:textId="77777777" w:rsidR="00480B30" w:rsidRPr="00286216" w:rsidRDefault="00480B30" w:rsidP="00480B30">
            <w:pPr>
              <w:pStyle w:val="StyleWisnow"/>
              <w:rPr>
                <w:color w:val="000000" w:themeColor="text1"/>
              </w:rPr>
            </w:pPr>
          </w:p>
          <w:p w14:paraId="162BACE3" w14:textId="77777777" w:rsidR="00480B30" w:rsidRPr="00286216" w:rsidRDefault="00480B30" w:rsidP="00480B30">
            <w:pPr>
              <w:pStyle w:val="StyleWisnow"/>
              <w:rPr>
                <w:color w:val="000000" w:themeColor="text1"/>
              </w:rPr>
            </w:pPr>
          </w:p>
          <w:p w14:paraId="24943E35" w14:textId="77777777" w:rsidR="00480B30" w:rsidRPr="00286216" w:rsidRDefault="00480B30" w:rsidP="00480B30">
            <w:pPr>
              <w:pStyle w:val="StyleWisnow"/>
              <w:rPr>
                <w:color w:val="000000" w:themeColor="text1"/>
              </w:rPr>
            </w:pPr>
          </w:p>
          <w:p w14:paraId="66234481" w14:textId="77777777" w:rsidR="00480B30" w:rsidRPr="00286216" w:rsidRDefault="00480B30" w:rsidP="00480B30">
            <w:pPr>
              <w:pStyle w:val="StyleWisnow"/>
              <w:rPr>
                <w:color w:val="000000" w:themeColor="text1"/>
              </w:rPr>
            </w:pPr>
          </w:p>
          <w:p w14:paraId="7207ED1D" w14:textId="77777777" w:rsidR="00480B30" w:rsidRPr="00286216" w:rsidRDefault="00480B30" w:rsidP="00480B30">
            <w:pPr>
              <w:pStyle w:val="StyleWisnow"/>
              <w:rPr>
                <w:color w:val="000000" w:themeColor="text1"/>
              </w:rPr>
            </w:pPr>
          </w:p>
          <w:p w14:paraId="35207316" w14:textId="77777777" w:rsidR="00480B30" w:rsidRPr="00286216" w:rsidRDefault="00480B30" w:rsidP="00480B30">
            <w:pPr>
              <w:pStyle w:val="StyleWisnow"/>
              <w:rPr>
                <w:color w:val="000000" w:themeColor="text1"/>
              </w:rPr>
            </w:pPr>
          </w:p>
          <w:p w14:paraId="38EBEF14" w14:textId="77777777" w:rsidR="00480B30" w:rsidRPr="00286216" w:rsidRDefault="00480B30" w:rsidP="00480B30">
            <w:pPr>
              <w:pStyle w:val="StyleWisnow"/>
              <w:rPr>
                <w:color w:val="000000" w:themeColor="text1"/>
              </w:rPr>
            </w:pPr>
          </w:p>
          <w:p w14:paraId="4E3FB52C" w14:textId="77777777" w:rsidR="00480B30" w:rsidRPr="00286216" w:rsidRDefault="00480B30" w:rsidP="00480B30">
            <w:pPr>
              <w:pStyle w:val="StyleWisnow"/>
              <w:rPr>
                <w:color w:val="000000" w:themeColor="text1"/>
              </w:rPr>
            </w:pPr>
          </w:p>
          <w:p w14:paraId="7D1629D4" w14:textId="77777777" w:rsidR="00480B30" w:rsidRPr="00286216" w:rsidRDefault="00480B30" w:rsidP="00480B30">
            <w:pPr>
              <w:pStyle w:val="StyleWisnow"/>
              <w:rPr>
                <w:color w:val="000000" w:themeColor="text1"/>
              </w:rPr>
            </w:pPr>
          </w:p>
          <w:p w14:paraId="564FA9D8" w14:textId="77777777" w:rsidR="00480B30" w:rsidRPr="00286216" w:rsidRDefault="00480B30" w:rsidP="00480B30">
            <w:pPr>
              <w:pStyle w:val="StyleWisnow"/>
              <w:rPr>
                <w:color w:val="000000" w:themeColor="text1"/>
              </w:rPr>
            </w:pPr>
          </w:p>
          <w:p w14:paraId="493398D0" w14:textId="77777777" w:rsidR="00480B30" w:rsidRPr="00286216" w:rsidRDefault="00480B30" w:rsidP="00480B30">
            <w:pPr>
              <w:pStyle w:val="StyleWisnow"/>
              <w:rPr>
                <w:color w:val="000000" w:themeColor="text1"/>
              </w:rPr>
            </w:pPr>
          </w:p>
          <w:p w14:paraId="5B7A3921" w14:textId="77777777" w:rsidR="00480B30" w:rsidRPr="00286216" w:rsidRDefault="00480B30" w:rsidP="00480B30">
            <w:pPr>
              <w:pStyle w:val="StyleWisnow"/>
              <w:rPr>
                <w:color w:val="000000" w:themeColor="text1"/>
              </w:rPr>
            </w:pPr>
          </w:p>
          <w:p w14:paraId="7AEE9175" w14:textId="77777777" w:rsidR="00480B30" w:rsidRPr="00286216" w:rsidRDefault="00480B30" w:rsidP="00480B30">
            <w:pPr>
              <w:pStyle w:val="StyleWisnow"/>
              <w:rPr>
                <w:color w:val="000000" w:themeColor="text1"/>
              </w:rPr>
            </w:pPr>
          </w:p>
          <w:p w14:paraId="2D4F39FB" w14:textId="77777777" w:rsidR="00480B30" w:rsidRPr="00286216" w:rsidRDefault="00480B30" w:rsidP="00480B30">
            <w:pPr>
              <w:pStyle w:val="StyleWisnow"/>
              <w:rPr>
                <w:color w:val="000000" w:themeColor="text1"/>
              </w:rPr>
            </w:pPr>
          </w:p>
          <w:p w14:paraId="63D0FC0A" w14:textId="77777777" w:rsidR="00480B30" w:rsidRPr="00286216" w:rsidRDefault="00480B30" w:rsidP="00480B30">
            <w:pPr>
              <w:pStyle w:val="StyleWisnow"/>
              <w:rPr>
                <w:color w:val="000000" w:themeColor="text1"/>
              </w:rPr>
            </w:pPr>
          </w:p>
          <w:p w14:paraId="6361EF10" w14:textId="77777777" w:rsidR="00480B30" w:rsidRPr="00286216" w:rsidRDefault="00480B30" w:rsidP="00480B30">
            <w:pPr>
              <w:pStyle w:val="StyleWisnow"/>
              <w:rPr>
                <w:color w:val="000000" w:themeColor="text1"/>
              </w:rPr>
            </w:pPr>
          </w:p>
          <w:p w14:paraId="3F1D1413" w14:textId="77777777" w:rsidR="00480B30" w:rsidRPr="00286216" w:rsidRDefault="00480B30" w:rsidP="00480B30">
            <w:pPr>
              <w:pStyle w:val="StyleWisnow"/>
              <w:rPr>
                <w:color w:val="000000" w:themeColor="text1"/>
              </w:rPr>
            </w:pPr>
          </w:p>
          <w:p w14:paraId="5997FFE2" w14:textId="77777777" w:rsidR="00480B30" w:rsidRPr="00286216" w:rsidRDefault="00480B30" w:rsidP="00480B30">
            <w:pPr>
              <w:pStyle w:val="StyleWisnow"/>
              <w:rPr>
                <w:color w:val="000000" w:themeColor="text1"/>
              </w:rPr>
            </w:pPr>
          </w:p>
          <w:p w14:paraId="50D009E1" w14:textId="77777777" w:rsidR="00480B30" w:rsidRPr="00286216" w:rsidRDefault="00480B30" w:rsidP="00480B30">
            <w:pPr>
              <w:pStyle w:val="StyleWisnow"/>
              <w:rPr>
                <w:color w:val="000000" w:themeColor="text1"/>
              </w:rPr>
            </w:pPr>
          </w:p>
          <w:p w14:paraId="5817D321" w14:textId="77777777" w:rsidR="00480B30" w:rsidRPr="00286216" w:rsidRDefault="00480B30" w:rsidP="00480B30">
            <w:pPr>
              <w:pStyle w:val="StyleWisnow"/>
              <w:rPr>
                <w:color w:val="000000" w:themeColor="text1"/>
              </w:rPr>
            </w:pPr>
          </w:p>
          <w:p w14:paraId="250B8363" w14:textId="77777777" w:rsidR="00480B30" w:rsidRPr="00286216" w:rsidRDefault="00480B30" w:rsidP="00480B30">
            <w:pPr>
              <w:pStyle w:val="StyleWisnow"/>
              <w:rPr>
                <w:color w:val="000000" w:themeColor="text1"/>
              </w:rPr>
            </w:pPr>
          </w:p>
          <w:p w14:paraId="45BC441B" w14:textId="77777777" w:rsidR="00480B30" w:rsidRPr="00286216" w:rsidRDefault="00480B30" w:rsidP="00480B30">
            <w:pPr>
              <w:pStyle w:val="StyleWisnow"/>
              <w:rPr>
                <w:color w:val="000000" w:themeColor="text1"/>
              </w:rPr>
            </w:pPr>
          </w:p>
          <w:p w14:paraId="628DA329" w14:textId="77777777" w:rsidR="00480B30" w:rsidRPr="00286216" w:rsidRDefault="00480B30" w:rsidP="00480B30">
            <w:pPr>
              <w:pStyle w:val="StyleWisnow"/>
              <w:rPr>
                <w:color w:val="000000" w:themeColor="text1"/>
              </w:rPr>
            </w:pPr>
          </w:p>
          <w:p w14:paraId="6EB9568D" w14:textId="77777777" w:rsidR="00480B30" w:rsidRPr="00286216" w:rsidRDefault="00480B30" w:rsidP="00480B30">
            <w:pPr>
              <w:pStyle w:val="StyleWisnow"/>
              <w:rPr>
                <w:color w:val="000000" w:themeColor="text1"/>
              </w:rPr>
            </w:pPr>
          </w:p>
          <w:p w14:paraId="573A4653" w14:textId="77777777" w:rsidR="00480B30" w:rsidRPr="00286216" w:rsidRDefault="00480B30" w:rsidP="00480B30">
            <w:pPr>
              <w:pStyle w:val="StyleWisnow"/>
              <w:rPr>
                <w:color w:val="000000" w:themeColor="text1"/>
              </w:rPr>
            </w:pPr>
          </w:p>
          <w:p w14:paraId="71A8B597" w14:textId="77777777" w:rsidR="00480B30" w:rsidRPr="00286216" w:rsidRDefault="00480B30" w:rsidP="00480B30">
            <w:pPr>
              <w:pStyle w:val="StyleWisnow"/>
              <w:rPr>
                <w:color w:val="000000" w:themeColor="text1"/>
              </w:rPr>
            </w:pPr>
          </w:p>
          <w:p w14:paraId="704B6115" w14:textId="77777777" w:rsidR="00480B30" w:rsidRPr="00286216" w:rsidRDefault="00480B30" w:rsidP="00480B30">
            <w:pPr>
              <w:pStyle w:val="StyleWisnow"/>
              <w:rPr>
                <w:color w:val="000000" w:themeColor="text1"/>
              </w:rPr>
            </w:pPr>
          </w:p>
          <w:p w14:paraId="16D84CF4" w14:textId="77777777" w:rsidR="00480B30" w:rsidRPr="00286216" w:rsidRDefault="00480B30" w:rsidP="00480B30">
            <w:pPr>
              <w:pStyle w:val="StyleWisnow"/>
              <w:rPr>
                <w:color w:val="000000" w:themeColor="text1"/>
              </w:rPr>
            </w:pPr>
          </w:p>
          <w:p w14:paraId="030CFCE5" w14:textId="77777777" w:rsidR="00480B30" w:rsidRPr="00286216" w:rsidRDefault="00480B30" w:rsidP="00480B30">
            <w:pPr>
              <w:pStyle w:val="StyleWisnow"/>
              <w:rPr>
                <w:color w:val="000000" w:themeColor="text1"/>
              </w:rPr>
            </w:pPr>
          </w:p>
          <w:p w14:paraId="244E7EE9" w14:textId="77777777" w:rsidR="00480B30" w:rsidRPr="00286216" w:rsidRDefault="00480B30" w:rsidP="00480B30">
            <w:pPr>
              <w:pStyle w:val="StyleWisnow"/>
              <w:rPr>
                <w:color w:val="000000" w:themeColor="text1"/>
              </w:rPr>
            </w:pPr>
          </w:p>
          <w:p w14:paraId="72678071" w14:textId="77777777" w:rsidR="00480B30" w:rsidRPr="00286216" w:rsidRDefault="00480B30" w:rsidP="00480B30">
            <w:pPr>
              <w:pStyle w:val="StyleWisnow"/>
              <w:rPr>
                <w:color w:val="000000" w:themeColor="text1"/>
              </w:rPr>
            </w:pPr>
          </w:p>
          <w:p w14:paraId="07B7710E" w14:textId="77777777" w:rsidR="00480B30" w:rsidRPr="00286216" w:rsidRDefault="00480B30" w:rsidP="00480B30">
            <w:pPr>
              <w:pStyle w:val="StyleWisnow"/>
              <w:rPr>
                <w:color w:val="000000" w:themeColor="text1"/>
              </w:rPr>
            </w:pPr>
          </w:p>
          <w:p w14:paraId="565371DF" w14:textId="77777777" w:rsidR="00480B30" w:rsidRPr="00286216" w:rsidRDefault="00480B30" w:rsidP="00480B30">
            <w:pPr>
              <w:pStyle w:val="StyleWisnow"/>
              <w:rPr>
                <w:color w:val="000000" w:themeColor="text1"/>
              </w:rPr>
            </w:pPr>
          </w:p>
          <w:p w14:paraId="5A446735" w14:textId="77777777" w:rsidR="00480B30" w:rsidRPr="00286216" w:rsidRDefault="00480B30" w:rsidP="00480B30">
            <w:pPr>
              <w:pStyle w:val="StyleWisnow"/>
              <w:rPr>
                <w:color w:val="000000" w:themeColor="text1"/>
              </w:rPr>
            </w:pPr>
          </w:p>
          <w:p w14:paraId="0D38307A" w14:textId="77777777" w:rsidR="00480B30" w:rsidRPr="00286216" w:rsidRDefault="00480B30" w:rsidP="00480B30">
            <w:pPr>
              <w:pStyle w:val="StyleWisnow"/>
              <w:rPr>
                <w:color w:val="000000" w:themeColor="text1"/>
              </w:rPr>
            </w:pPr>
          </w:p>
          <w:p w14:paraId="3FA87217" w14:textId="77777777" w:rsidR="00480B30" w:rsidRPr="00286216" w:rsidRDefault="00480B30" w:rsidP="00480B30">
            <w:pPr>
              <w:pStyle w:val="StyleWisnow"/>
              <w:rPr>
                <w:color w:val="000000" w:themeColor="text1"/>
              </w:rPr>
            </w:pPr>
          </w:p>
          <w:p w14:paraId="3C2DB7EB" w14:textId="77777777" w:rsidR="00480B30" w:rsidRPr="00286216" w:rsidRDefault="00480B30" w:rsidP="00480B30">
            <w:pPr>
              <w:pStyle w:val="StyleWisnow"/>
              <w:rPr>
                <w:color w:val="000000" w:themeColor="text1"/>
              </w:rPr>
            </w:pPr>
          </w:p>
          <w:p w14:paraId="40F58ADD" w14:textId="77777777" w:rsidR="00480B30" w:rsidRPr="00286216" w:rsidRDefault="00480B30" w:rsidP="00480B30">
            <w:pPr>
              <w:pStyle w:val="StyleWisnow"/>
              <w:rPr>
                <w:color w:val="000000" w:themeColor="text1"/>
              </w:rPr>
            </w:pPr>
          </w:p>
          <w:p w14:paraId="26DD079E" w14:textId="77777777" w:rsidR="00480B30" w:rsidRPr="00286216" w:rsidRDefault="00480B30" w:rsidP="00480B30">
            <w:pPr>
              <w:pStyle w:val="StyleWisnow"/>
              <w:rPr>
                <w:color w:val="000000" w:themeColor="text1"/>
              </w:rPr>
            </w:pPr>
          </w:p>
          <w:p w14:paraId="087A0F3E" w14:textId="77777777" w:rsidR="00480B30" w:rsidRPr="00286216" w:rsidRDefault="00480B30" w:rsidP="00480B30">
            <w:pPr>
              <w:pStyle w:val="StyleWisnow"/>
              <w:rPr>
                <w:color w:val="000000" w:themeColor="text1"/>
              </w:rPr>
            </w:pPr>
          </w:p>
          <w:p w14:paraId="4DA78501" w14:textId="77777777" w:rsidR="00480B30" w:rsidRPr="00286216" w:rsidRDefault="00480B30" w:rsidP="00480B30">
            <w:pPr>
              <w:pStyle w:val="StyleWisnow"/>
              <w:rPr>
                <w:color w:val="000000" w:themeColor="text1"/>
              </w:rPr>
            </w:pPr>
          </w:p>
          <w:p w14:paraId="2EA65C25" w14:textId="77777777" w:rsidR="00480B30" w:rsidRPr="00286216" w:rsidRDefault="00480B30" w:rsidP="00480B30">
            <w:pPr>
              <w:pStyle w:val="StyleWisnow"/>
              <w:rPr>
                <w:color w:val="000000" w:themeColor="text1"/>
              </w:rPr>
            </w:pPr>
          </w:p>
          <w:p w14:paraId="3F29B6AE" w14:textId="77777777" w:rsidR="00480B30" w:rsidRPr="00286216" w:rsidRDefault="00480B30" w:rsidP="00480B30">
            <w:pPr>
              <w:pStyle w:val="StyleWisnow"/>
              <w:rPr>
                <w:color w:val="000000" w:themeColor="text1"/>
              </w:rPr>
            </w:pPr>
          </w:p>
          <w:p w14:paraId="3E5216BD" w14:textId="77777777" w:rsidR="00480B30" w:rsidRPr="00286216" w:rsidRDefault="00480B30" w:rsidP="00480B30">
            <w:pPr>
              <w:pStyle w:val="StyleWisnow"/>
              <w:rPr>
                <w:color w:val="000000" w:themeColor="text1"/>
              </w:rPr>
            </w:pPr>
          </w:p>
          <w:p w14:paraId="6E3F2F38" w14:textId="77777777" w:rsidR="00480B30" w:rsidRPr="00286216" w:rsidRDefault="00480B30" w:rsidP="00480B30">
            <w:pPr>
              <w:pStyle w:val="StyleWisnow"/>
              <w:rPr>
                <w:color w:val="000000" w:themeColor="text1"/>
              </w:rPr>
            </w:pPr>
          </w:p>
          <w:p w14:paraId="09035A07" w14:textId="77777777" w:rsidR="00480B30" w:rsidRPr="00286216" w:rsidRDefault="00480B30" w:rsidP="00480B30">
            <w:pPr>
              <w:pStyle w:val="StyleWisnow"/>
              <w:rPr>
                <w:color w:val="000000" w:themeColor="text1"/>
              </w:rPr>
            </w:pPr>
          </w:p>
          <w:p w14:paraId="374058EB" w14:textId="77777777" w:rsidR="00480B30" w:rsidRPr="00286216" w:rsidRDefault="00480B30" w:rsidP="00480B30">
            <w:pPr>
              <w:pStyle w:val="StyleWisnow"/>
              <w:rPr>
                <w:color w:val="000000" w:themeColor="text1"/>
              </w:rPr>
            </w:pPr>
          </w:p>
          <w:p w14:paraId="3AA004B7" w14:textId="77777777" w:rsidR="00480B30" w:rsidRPr="00286216" w:rsidRDefault="00480B30" w:rsidP="00480B30">
            <w:pPr>
              <w:pStyle w:val="StyleWisnow"/>
              <w:rPr>
                <w:color w:val="000000" w:themeColor="text1"/>
              </w:rPr>
            </w:pPr>
          </w:p>
          <w:p w14:paraId="27E1B60D" w14:textId="77777777" w:rsidR="00480B30" w:rsidRPr="00286216" w:rsidRDefault="00480B30" w:rsidP="00480B30">
            <w:pPr>
              <w:pStyle w:val="StyleWisnow"/>
              <w:rPr>
                <w:color w:val="000000" w:themeColor="text1"/>
              </w:rPr>
            </w:pPr>
          </w:p>
          <w:p w14:paraId="1911D4D6" w14:textId="77777777" w:rsidR="00480B30" w:rsidRPr="00286216" w:rsidRDefault="00480B30" w:rsidP="00480B30">
            <w:pPr>
              <w:pStyle w:val="StyleWisnow"/>
              <w:rPr>
                <w:color w:val="000000" w:themeColor="text1"/>
              </w:rPr>
            </w:pPr>
          </w:p>
          <w:p w14:paraId="5C1ECD7D" w14:textId="77777777" w:rsidR="00480B30" w:rsidRPr="00286216" w:rsidRDefault="00480B30" w:rsidP="00480B30">
            <w:pPr>
              <w:pStyle w:val="StyleWisnow"/>
              <w:rPr>
                <w:color w:val="000000" w:themeColor="text1"/>
              </w:rPr>
            </w:pPr>
          </w:p>
          <w:p w14:paraId="24BE13A5" w14:textId="77777777" w:rsidR="00480B30" w:rsidRPr="00286216" w:rsidRDefault="00480B30" w:rsidP="00480B30">
            <w:pPr>
              <w:pStyle w:val="StyleWisnow"/>
              <w:rPr>
                <w:color w:val="000000" w:themeColor="text1"/>
              </w:rPr>
            </w:pPr>
          </w:p>
          <w:p w14:paraId="2B04759D" w14:textId="77777777" w:rsidR="00480B30" w:rsidRPr="00286216" w:rsidRDefault="00480B30" w:rsidP="00480B30">
            <w:pPr>
              <w:pStyle w:val="StyleWisnow"/>
              <w:rPr>
                <w:color w:val="000000" w:themeColor="text1"/>
              </w:rPr>
            </w:pPr>
          </w:p>
          <w:p w14:paraId="6520C540" w14:textId="77777777" w:rsidR="00480B30" w:rsidRPr="00286216" w:rsidRDefault="00480B30" w:rsidP="00480B30">
            <w:pPr>
              <w:pStyle w:val="StyleWisnow"/>
              <w:rPr>
                <w:color w:val="000000" w:themeColor="text1"/>
              </w:rPr>
            </w:pPr>
          </w:p>
          <w:p w14:paraId="353C1173" w14:textId="77777777" w:rsidR="00480B30" w:rsidRPr="00286216" w:rsidRDefault="00480B30" w:rsidP="00480B30">
            <w:pPr>
              <w:pStyle w:val="StyleWisnow"/>
              <w:rPr>
                <w:color w:val="000000" w:themeColor="text1"/>
              </w:rPr>
            </w:pPr>
          </w:p>
          <w:p w14:paraId="5C764384" w14:textId="77777777" w:rsidR="00480B30" w:rsidRPr="00286216" w:rsidRDefault="00480B30" w:rsidP="00480B30">
            <w:pPr>
              <w:pStyle w:val="StyleWisnow"/>
              <w:rPr>
                <w:color w:val="000000" w:themeColor="text1"/>
              </w:rPr>
            </w:pPr>
          </w:p>
          <w:p w14:paraId="586242A0" w14:textId="77777777" w:rsidR="00480B30" w:rsidRPr="00286216" w:rsidRDefault="00480B30" w:rsidP="00480B30">
            <w:pPr>
              <w:pStyle w:val="StyleWisnow"/>
              <w:rPr>
                <w:color w:val="000000" w:themeColor="text1"/>
              </w:rPr>
            </w:pPr>
          </w:p>
          <w:p w14:paraId="11F41EE8" w14:textId="77777777" w:rsidR="00480B30" w:rsidRPr="00286216" w:rsidRDefault="00480B30" w:rsidP="00480B30">
            <w:pPr>
              <w:pStyle w:val="StyleWisnow"/>
              <w:rPr>
                <w:color w:val="000000" w:themeColor="text1"/>
              </w:rPr>
            </w:pPr>
          </w:p>
          <w:p w14:paraId="5D526FF7" w14:textId="77777777" w:rsidR="00480B30" w:rsidRPr="00286216" w:rsidRDefault="00480B30" w:rsidP="00480B30">
            <w:pPr>
              <w:pStyle w:val="StyleWisnow"/>
              <w:rPr>
                <w:color w:val="000000" w:themeColor="text1"/>
              </w:rPr>
            </w:pPr>
          </w:p>
          <w:p w14:paraId="0F26396A" w14:textId="77777777" w:rsidR="00480B30" w:rsidRPr="00286216" w:rsidRDefault="00480B30" w:rsidP="00480B30">
            <w:pPr>
              <w:pStyle w:val="StyleWisnow"/>
              <w:rPr>
                <w:color w:val="000000" w:themeColor="text1"/>
              </w:rPr>
            </w:pPr>
          </w:p>
          <w:p w14:paraId="0215152D" w14:textId="77777777" w:rsidR="00480B30" w:rsidRPr="00286216" w:rsidRDefault="00480B30" w:rsidP="00480B30">
            <w:pPr>
              <w:pStyle w:val="StyleWisnow"/>
              <w:rPr>
                <w:color w:val="000000" w:themeColor="text1"/>
              </w:rPr>
            </w:pPr>
          </w:p>
          <w:p w14:paraId="5E434D2F" w14:textId="77777777" w:rsidR="00480B30" w:rsidRPr="00286216" w:rsidRDefault="00480B30" w:rsidP="00480B30">
            <w:pPr>
              <w:pStyle w:val="StyleWisnow"/>
              <w:rPr>
                <w:color w:val="000000" w:themeColor="text1"/>
              </w:rPr>
            </w:pPr>
          </w:p>
          <w:p w14:paraId="41B59B70" w14:textId="77777777" w:rsidR="00480B30" w:rsidRPr="00286216" w:rsidRDefault="00480B30" w:rsidP="00480B30">
            <w:pPr>
              <w:pStyle w:val="StyleWisnow"/>
              <w:rPr>
                <w:color w:val="000000" w:themeColor="text1"/>
              </w:rPr>
            </w:pPr>
          </w:p>
          <w:p w14:paraId="4D224C22" w14:textId="77777777" w:rsidR="00480B30" w:rsidRPr="00286216" w:rsidRDefault="00480B30" w:rsidP="00480B30">
            <w:pPr>
              <w:pStyle w:val="StyleWisnow"/>
              <w:rPr>
                <w:color w:val="000000" w:themeColor="text1"/>
              </w:rPr>
            </w:pPr>
          </w:p>
          <w:p w14:paraId="37CFA113" w14:textId="77777777" w:rsidR="00480B30" w:rsidRPr="00286216" w:rsidRDefault="00480B30" w:rsidP="00480B30">
            <w:pPr>
              <w:pStyle w:val="StyleWisnow"/>
              <w:rPr>
                <w:color w:val="000000" w:themeColor="text1"/>
              </w:rPr>
            </w:pPr>
          </w:p>
          <w:p w14:paraId="33631EE2" w14:textId="77777777" w:rsidR="00480B30" w:rsidRPr="00286216" w:rsidRDefault="00480B30" w:rsidP="00480B30">
            <w:pPr>
              <w:pStyle w:val="StyleWisnow"/>
              <w:rPr>
                <w:color w:val="000000" w:themeColor="text1"/>
              </w:rPr>
            </w:pPr>
          </w:p>
          <w:p w14:paraId="7CA49ACA" w14:textId="77777777" w:rsidR="00480B30" w:rsidRPr="00286216" w:rsidRDefault="00480B30" w:rsidP="00480B30">
            <w:pPr>
              <w:pStyle w:val="StyleWisnow"/>
              <w:rPr>
                <w:color w:val="000000" w:themeColor="text1"/>
              </w:rPr>
            </w:pPr>
          </w:p>
          <w:p w14:paraId="51D33DA7" w14:textId="77777777" w:rsidR="00480B30" w:rsidRPr="00286216" w:rsidRDefault="00480B30" w:rsidP="00480B30">
            <w:pPr>
              <w:pStyle w:val="StyleWisnow"/>
              <w:rPr>
                <w:color w:val="000000" w:themeColor="text1"/>
              </w:rPr>
            </w:pPr>
          </w:p>
          <w:p w14:paraId="2FF11CB1" w14:textId="77777777" w:rsidR="00480B30" w:rsidRPr="00286216" w:rsidRDefault="00480B30" w:rsidP="00480B30">
            <w:pPr>
              <w:pStyle w:val="StyleWisnow"/>
              <w:rPr>
                <w:color w:val="000000" w:themeColor="text1"/>
              </w:rPr>
            </w:pPr>
          </w:p>
          <w:p w14:paraId="4FE670CA" w14:textId="77777777" w:rsidR="00480B30" w:rsidRPr="00286216" w:rsidRDefault="00480B30" w:rsidP="00480B30">
            <w:pPr>
              <w:pStyle w:val="StyleWisnow"/>
              <w:rPr>
                <w:color w:val="000000" w:themeColor="text1"/>
              </w:rPr>
            </w:pPr>
          </w:p>
          <w:p w14:paraId="5681E1F4" w14:textId="77777777" w:rsidR="00480B30" w:rsidRPr="00286216" w:rsidRDefault="00480B30" w:rsidP="00480B30">
            <w:pPr>
              <w:pStyle w:val="StyleWisnow"/>
              <w:rPr>
                <w:color w:val="000000" w:themeColor="text1"/>
              </w:rPr>
            </w:pPr>
          </w:p>
          <w:p w14:paraId="4FC62F0C" w14:textId="77777777" w:rsidR="00480B30" w:rsidRPr="00286216" w:rsidRDefault="00480B30" w:rsidP="00480B30">
            <w:pPr>
              <w:pStyle w:val="StyleWisnow"/>
              <w:rPr>
                <w:color w:val="000000" w:themeColor="text1"/>
              </w:rPr>
            </w:pPr>
          </w:p>
          <w:p w14:paraId="0107BE4C" w14:textId="77777777" w:rsidR="00480B30" w:rsidRPr="00286216" w:rsidRDefault="00480B30" w:rsidP="00480B30">
            <w:pPr>
              <w:pStyle w:val="StyleWisnow"/>
              <w:rPr>
                <w:color w:val="000000" w:themeColor="text1"/>
              </w:rPr>
            </w:pPr>
          </w:p>
          <w:p w14:paraId="211C2268" w14:textId="77777777" w:rsidR="00480B30" w:rsidRPr="00286216" w:rsidRDefault="00480B30" w:rsidP="00480B30">
            <w:pPr>
              <w:pStyle w:val="StyleWisnow"/>
              <w:rPr>
                <w:color w:val="000000" w:themeColor="text1"/>
              </w:rPr>
            </w:pPr>
          </w:p>
          <w:p w14:paraId="4F60BD7C" w14:textId="77777777" w:rsidR="00480B30" w:rsidRPr="00286216" w:rsidRDefault="00480B30" w:rsidP="00480B30">
            <w:pPr>
              <w:pStyle w:val="StyleWisnow"/>
              <w:rPr>
                <w:color w:val="000000" w:themeColor="text1"/>
              </w:rPr>
            </w:pPr>
          </w:p>
          <w:p w14:paraId="4D520AE3" w14:textId="77777777" w:rsidR="00480B30" w:rsidRPr="00286216" w:rsidRDefault="00480B30" w:rsidP="00480B30">
            <w:pPr>
              <w:pStyle w:val="StyleWisnow"/>
              <w:rPr>
                <w:color w:val="000000" w:themeColor="text1"/>
              </w:rPr>
            </w:pPr>
          </w:p>
          <w:p w14:paraId="5F787789" w14:textId="77777777" w:rsidR="00480B30" w:rsidRPr="00286216" w:rsidRDefault="00480B30" w:rsidP="00480B30">
            <w:pPr>
              <w:pStyle w:val="StyleWisnow"/>
              <w:rPr>
                <w:color w:val="000000" w:themeColor="text1"/>
              </w:rPr>
            </w:pPr>
          </w:p>
          <w:p w14:paraId="2B8EB124" w14:textId="77777777" w:rsidR="00480B30" w:rsidRPr="00286216" w:rsidRDefault="00480B30" w:rsidP="00480B30">
            <w:pPr>
              <w:pStyle w:val="StyleWisnow"/>
              <w:rPr>
                <w:color w:val="000000" w:themeColor="text1"/>
              </w:rPr>
            </w:pPr>
          </w:p>
          <w:p w14:paraId="1C2E7AE9" w14:textId="77777777" w:rsidR="00480B30" w:rsidRPr="00286216" w:rsidRDefault="00480B30" w:rsidP="00480B30">
            <w:pPr>
              <w:pStyle w:val="StyleWisnow"/>
              <w:rPr>
                <w:color w:val="000000" w:themeColor="text1"/>
              </w:rPr>
            </w:pPr>
          </w:p>
          <w:p w14:paraId="3E2E0566" w14:textId="77777777" w:rsidR="00480B30" w:rsidRPr="00286216" w:rsidRDefault="00480B30" w:rsidP="00480B30">
            <w:pPr>
              <w:pStyle w:val="StyleWisnow"/>
              <w:rPr>
                <w:color w:val="000000" w:themeColor="text1"/>
              </w:rPr>
            </w:pPr>
          </w:p>
          <w:p w14:paraId="06920235" w14:textId="77777777" w:rsidR="00480B30" w:rsidRPr="00286216" w:rsidRDefault="00480B30" w:rsidP="00480B30">
            <w:pPr>
              <w:pStyle w:val="StyleWisnow"/>
              <w:rPr>
                <w:color w:val="000000" w:themeColor="text1"/>
              </w:rPr>
            </w:pPr>
          </w:p>
          <w:p w14:paraId="2A6B712A" w14:textId="77777777" w:rsidR="00480B30" w:rsidRPr="00286216" w:rsidRDefault="00480B30" w:rsidP="00480B30">
            <w:pPr>
              <w:pStyle w:val="StyleWisnow"/>
              <w:rPr>
                <w:color w:val="000000" w:themeColor="text1"/>
              </w:rPr>
            </w:pPr>
          </w:p>
          <w:p w14:paraId="76E11DCA" w14:textId="77777777" w:rsidR="00480B30" w:rsidRPr="00286216" w:rsidRDefault="00480B30" w:rsidP="00480B30">
            <w:pPr>
              <w:pStyle w:val="StyleWisnow"/>
              <w:rPr>
                <w:color w:val="000000" w:themeColor="text1"/>
              </w:rPr>
            </w:pPr>
          </w:p>
          <w:p w14:paraId="3540BDCD" w14:textId="77777777" w:rsidR="00480B30" w:rsidRPr="00286216" w:rsidRDefault="00480B30" w:rsidP="00480B30">
            <w:pPr>
              <w:pStyle w:val="StyleWisnow"/>
              <w:rPr>
                <w:color w:val="000000" w:themeColor="text1"/>
              </w:rPr>
            </w:pPr>
          </w:p>
          <w:p w14:paraId="0FBE3F36" w14:textId="77777777" w:rsidR="00480B30" w:rsidRPr="00286216" w:rsidRDefault="00480B30" w:rsidP="00480B30">
            <w:pPr>
              <w:pStyle w:val="StyleWisnow"/>
              <w:rPr>
                <w:color w:val="000000" w:themeColor="text1"/>
              </w:rPr>
            </w:pPr>
          </w:p>
          <w:p w14:paraId="108BB703" w14:textId="77777777" w:rsidR="00480B30" w:rsidRPr="00286216" w:rsidRDefault="00480B30" w:rsidP="00480B30">
            <w:pPr>
              <w:pStyle w:val="StyleWisnow"/>
              <w:rPr>
                <w:color w:val="000000" w:themeColor="text1"/>
              </w:rPr>
            </w:pPr>
          </w:p>
          <w:p w14:paraId="2A810718" w14:textId="77777777" w:rsidR="00480B30" w:rsidRPr="00286216" w:rsidRDefault="00480B30" w:rsidP="00480B30">
            <w:pPr>
              <w:pStyle w:val="StyleWisnow"/>
              <w:rPr>
                <w:color w:val="000000" w:themeColor="text1"/>
              </w:rPr>
            </w:pPr>
          </w:p>
          <w:p w14:paraId="32F9F88A" w14:textId="77777777" w:rsidR="00480B30" w:rsidRPr="00286216" w:rsidRDefault="00480B30" w:rsidP="00480B30">
            <w:pPr>
              <w:pStyle w:val="StyleWisnow"/>
              <w:rPr>
                <w:color w:val="000000" w:themeColor="text1"/>
              </w:rPr>
            </w:pPr>
          </w:p>
          <w:p w14:paraId="3AC09149" w14:textId="77777777" w:rsidR="00480B30" w:rsidRPr="00286216" w:rsidRDefault="00480B30" w:rsidP="00480B30">
            <w:pPr>
              <w:pStyle w:val="StyleWisnow"/>
              <w:rPr>
                <w:color w:val="000000" w:themeColor="text1"/>
              </w:rPr>
            </w:pPr>
          </w:p>
          <w:p w14:paraId="08927E7B" w14:textId="77777777" w:rsidR="00480B30" w:rsidRPr="00286216" w:rsidRDefault="00480B30" w:rsidP="00480B30">
            <w:pPr>
              <w:pStyle w:val="StyleWisnow"/>
              <w:rPr>
                <w:color w:val="000000" w:themeColor="text1"/>
              </w:rPr>
            </w:pPr>
          </w:p>
          <w:p w14:paraId="770AE9CE" w14:textId="77777777" w:rsidR="00480B30" w:rsidRPr="00286216" w:rsidRDefault="00480B30" w:rsidP="00480B30">
            <w:pPr>
              <w:pStyle w:val="StyleWisnow"/>
              <w:rPr>
                <w:color w:val="000000" w:themeColor="text1"/>
              </w:rPr>
            </w:pPr>
          </w:p>
          <w:p w14:paraId="78B87BB8" w14:textId="77777777" w:rsidR="00480B30" w:rsidRPr="00286216" w:rsidRDefault="00480B30" w:rsidP="00480B30">
            <w:pPr>
              <w:pStyle w:val="StyleWisnow"/>
              <w:rPr>
                <w:color w:val="000000" w:themeColor="text1"/>
              </w:rPr>
            </w:pPr>
          </w:p>
          <w:p w14:paraId="586F33A9" w14:textId="77777777" w:rsidR="00480B30" w:rsidRPr="00286216" w:rsidRDefault="00480B30" w:rsidP="00480B30">
            <w:pPr>
              <w:pStyle w:val="StyleWisnow"/>
              <w:rPr>
                <w:color w:val="000000" w:themeColor="text1"/>
              </w:rPr>
            </w:pPr>
          </w:p>
          <w:p w14:paraId="3D1DB0F0" w14:textId="77777777" w:rsidR="00480B30" w:rsidRPr="00286216" w:rsidRDefault="00480B30" w:rsidP="00480B30">
            <w:pPr>
              <w:pStyle w:val="StyleWisnow"/>
              <w:rPr>
                <w:color w:val="000000" w:themeColor="text1"/>
              </w:rPr>
            </w:pPr>
          </w:p>
          <w:p w14:paraId="3719B929" w14:textId="77777777" w:rsidR="00480B30" w:rsidRPr="00286216" w:rsidRDefault="00480B30" w:rsidP="00480B30">
            <w:pPr>
              <w:pStyle w:val="StyleWisnow"/>
              <w:rPr>
                <w:color w:val="000000" w:themeColor="text1"/>
              </w:rPr>
            </w:pPr>
          </w:p>
          <w:p w14:paraId="70E128CB" w14:textId="77777777" w:rsidR="00480B30" w:rsidRPr="00286216" w:rsidRDefault="00480B30" w:rsidP="00480B30">
            <w:pPr>
              <w:pStyle w:val="StyleWisnow"/>
              <w:rPr>
                <w:color w:val="000000" w:themeColor="text1"/>
              </w:rPr>
            </w:pPr>
          </w:p>
          <w:p w14:paraId="08E6D7DB" w14:textId="77777777" w:rsidR="00480B30" w:rsidRPr="00286216" w:rsidRDefault="00480B30" w:rsidP="00480B30">
            <w:pPr>
              <w:pStyle w:val="StyleWisnow"/>
              <w:rPr>
                <w:color w:val="000000" w:themeColor="text1"/>
              </w:rPr>
            </w:pPr>
          </w:p>
          <w:p w14:paraId="1AF39373" w14:textId="77777777" w:rsidR="00480B30" w:rsidRPr="00286216" w:rsidRDefault="00480B30" w:rsidP="00480B30">
            <w:pPr>
              <w:pStyle w:val="StyleWisnow"/>
              <w:rPr>
                <w:color w:val="000000" w:themeColor="text1"/>
              </w:rPr>
            </w:pPr>
          </w:p>
          <w:p w14:paraId="0D6C60AC" w14:textId="77777777" w:rsidR="00480B30" w:rsidRPr="00286216" w:rsidRDefault="00480B30" w:rsidP="00480B30">
            <w:pPr>
              <w:pStyle w:val="StyleWisnow"/>
              <w:rPr>
                <w:color w:val="000000" w:themeColor="text1"/>
              </w:rPr>
            </w:pPr>
          </w:p>
          <w:p w14:paraId="11C55B50" w14:textId="77777777" w:rsidR="00480B30" w:rsidRPr="00286216" w:rsidRDefault="00480B30" w:rsidP="00480B30">
            <w:pPr>
              <w:pStyle w:val="StyleWisnow"/>
              <w:rPr>
                <w:color w:val="000000" w:themeColor="text1"/>
              </w:rPr>
            </w:pPr>
          </w:p>
          <w:p w14:paraId="5B4CC1B6" w14:textId="77777777" w:rsidR="00480B30" w:rsidRPr="00286216" w:rsidRDefault="00480B30" w:rsidP="00480B30">
            <w:pPr>
              <w:pStyle w:val="StyleWisnow"/>
              <w:rPr>
                <w:color w:val="000000" w:themeColor="text1"/>
              </w:rPr>
            </w:pPr>
          </w:p>
          <w:p w14:paraId="2AB03F0E" w14:textId="77777777" w:rsidR="00480B30" w:rsidRPr="00286216" w:rsidRDefault="00480B30" w:rsidP="00480B30">
            <w:pPr>
              <w:pStyle w:val="StyleWisnow"/>
              <w:rPr>
                <w:color w:val="000000" w:themeColor="text1"/>
              </w:rPr>
            </w:pPr>
          </w:p>
          <w:p w14:paraId="466FD10E" w14:textId="77777777" w:rsidR="00480B30" w:rsidRPr="00286216" w:rsidRDefault="00480B30" w:rsidP="00480B30">
            <w:pPr>
              <w:pStyle w:val="StyleWisnow"/>
              <w:rPr>
                <w:color w:val="000000" w:themeColor="text1"/>
              </w:rPr>
            </w:pPr>
          </w:p>
          <w:p w14:paraId="4AB3DF2D" w14:textId="77777777" w:rsidR="00480B30" w:rsidRPr="00286216" w:rsidRDefault="00480B30" w:rsidP="00480B30">
            <w:pPr>
              <w:pStyle w:val="StyleWisnow"/>
              <w:rPr>
                <w:color w:val="000000" w:themeColor="text1"/>
              </w:rPr>
            </w:pPr>
          </w:p>
          <w:p w14:paraId="71859A0F" w14:textId="77777777" w:rsidR="00480B30" w:rsidRPr="00286216" w:rsidRDefault="00480B30" w:rsidP="00480B30">
            <w:pPr>
              <w:pStyle w:val="StyleWisnow"/>
              <w:rPr>
                <w:color w:val="000000" w:themeColor="text1"/>
              </w:rPr>
            </w:pPr>
          </w:p>
          <w:p w14:paraId="2D74340D" w14:textId="77777777" w:rsidR="00480B30" w:rsidRPr="00286216" w:rsidRDefault="00480B30" w:rsidP="00480B30">
            <w:pPr>
              <w:pStyle w:val="StyleWisnow"/>
              <w:rPr>
                <w:color w:val="000000" w:themeColor="text1"/>
              </w:rPr>
            </w:pPr>
          </w:p>
          <w:p w14:paraId="5DFDA146" w14:textId="77777777" w:rsidR="00480B30" w:rsidRPr="00286216" w:rsidRDefault="00480B30" w:rsidP="00480B30">
            <w:pPr>
              <w:pStyle w:val="StyleWisnow"/>
              <w:rPr>
                <w:color w:val="000000" w:themeColor="text1"/>
              </w:rPr>
            </w:pPr>
          </w:p>
          <w:p w14:paraId="6620F05D" w14:textId="77777777" w:rsidR="00480B30" w:rsidRPr="00286216" w:rsidRDefault="00480B30" w:rsidP="00480B30">
            <w:pPr>
              <w:pStyle w:val="StyleWisnow"/>
              <w:rPr>
                <w:color w:val="000000" w:themeColor="text1"/>
              </w:rPr>
            </w:pPr>
          </w:p>
          <w:p w14:paraId="18B21C3E" w14:textId="77777777" w:rsidR="00480B30" w:rsidRPr="00286216" w:rsidRDefault="00480B30" w:rsidP="00480B30">
            <w:pPr>
              <w:pStyle w:val="StyleWisnow"/>
              <w:rPr>
                <w:color w:val="000000" w:themeColor="text1"/>
              </w:rPr>
            </w:pPr>
          </w:p>
          <w:p w14:paraId="3CE92A84" w14:textId="77777777" w:rsidR="00480B30" w:rsidRPr="00286216" w:rsidRDefault="00480B30" w:rsidP="00480B30">
            <w:pPr>
              <w:pStyle w:val="StyleWisnow"/>
              <w:rPr>
                <w:color w:val="000000" w:themeColor="text1"/>
              </w:rPr>
            </w:pPr>
          </w:p>
          <w:p w14:paraId="5810E451" w14:textId="77777777" w:rsidR="00480B30" w:rsidRPr="00286216" w:rsidRDefault="00480B30" w:rsidP="00480B30">
            <w:pPr>
              <w:pStyle w:val="StyleWisnow"/>
              <w:rPr>
                <w:color w:val="000000" w:themeColor="text1"/>
              </w:rPr>
            </w:pPr>
          </w:p>
          <w:p w14:paraId="1B13D384" w14:textId="77777777" w:rsidR="00480B30" w:rsidRPr="00286216" w:rsidRDefault="00480B30" w:rsidP="00480B30">
            <w:pPr>
              <w:pStyle w:val="StyleWisnow"/>
              <w:rPr>
                <w:color w:val="000000" w:themeColor="text1"/>
              </w:rPr>
            </w:pPr>
          </w:p>
          <w:p w14:paraId="62A62B7E" w14:textId="77777777" w:rsidR="00480B30" w:rsidRPr="00286216" w:rsidRDefault="00480B30" w:rsidP="00480B30">
            <w:pPr>
              <w:pStyle w:val="StyleWisnow"/>
              <w:rPr>
                <w:color w:val="000000" w:themeColor="text1"/>
              </w:rPr>
            </w:pPr>
          </w:p>
          <w:p w14:paraId="1BDF77FD" w14:textId="77777777" w:rsidR="00480B30" w:rsidRPr="00286216" w:rsidRDefault="00480B30" w:rsidP="00480B30">
            <w:pPr>
              <w:pStyle w:val="StyleWisnow"/>
              <w:rPr>
                <w:color w:val="000000" w:themeColor="text1"/>
              </w:rPr>
            </w:pPr>
          </w:p>
          <w:p w14:paraId="670AD802" w14:textId="77777777" w:rsidR="00480B30" w:rsidRPr="00286216" w:rsidRDefault="00480B30" w:rsidP="00480B30">
            <w:pPr>
              <w:pStyle w:val="StyleWisnow"/>
              <w:rPr>
                <w:color w:val="000000" w:themeColor="text1"/>
              </w:rPr>
            </w:pPr>
          </w:p>
          <w:p w14:paraId="260DC049" w14:textId="77777777" w:rsidR="00480B30" w:rsidRPr="00286216" w:rsidRDefault="00480B30" w:rsidP="00480B30">
            <w:pPr>
              <w:pStyle w:val="StyleWisnow"/>
              <w:rPr>
                <w:color w:val="000000" w:themeColor="text1"/>
              </w:rPr>
            </w:pPr>
          </w:p>
          <w:p w14:paraId="78967826" w14:textId="77777777" w:rsidR="00480B30" w:rsidRPr="00286216" w:rsidRDefault="00480B30" w:rsidP="00480B30">
            <w:pPr>
              <w:pStyle w:val="StyleWisnow"/>
              <w:rPr>
                <w:color w:val="000000" w:themeColor="text1"/>
              </w:rPr>
            </w:pPr>
          </w:p>
          <w:p w14:paraId="3F8C3C85" w14:textId="77777777" w:rsidR="00480B30" w:rsidRPr="00286216" w:rsidRDefault="00480B30" w:rsidP="00480B30">
            <w:pPr>
              <w:pStyle w:val="StyleWisnow"/>
              <w:rPr>
                <w:color w:val="000000" w:themeColor="text1"/>
              </w:rPr>
            </w:pPr>
          </w:p>
          <w:p w14:paraId="01FA97C2" w14:textId="77777777" w:rsidR="00480B30" w:rsidRPr="00286216" w:rsidRDefault="00480B30" w:rsidP="00480B30">
            <w:pPr>
              <w:pStyle w:val="StyleWisnow"/>
              <w:rPr>
                <w:color w:val="000000" w:themeColor="text1"/>
              </w:rPr>
            </w:pPr>
          </w:p>
          <w:p w14:paraId="059C8E00" w14:textId="77777777" w:rsidR="00480B30" w:rsidRPr="00286216" w:rsidRDefault="00480B30" w:rsidP="00480B30">
            <w:pPr>
              <w:pStyle w:val="StyleWisnow"/>
              <w:rPr>
                <w:color w:val="000000" w:themeColor="text1"/>
              </w:rPr>
            </w:pPr>
          </w:p>
          <w:p w14:paraId="62004308" w14:textId="77777777" w:rsidR="00480B30" w:rsidRPr="00286216" w:rsidRDefault="00480B30" w:rsidP="00480B30">
            <w:pPr>
              <w:pStyle w:val="StyleWisnow"/>
              <w:rPr>
                <w:color w:val="000000" w:themeColor="text1"/>
              </w:rPr>
            </w:pPr>
          </w:p>
          <w:p w14:paraId="3F18811C" w14:textId="77777777" w:rsidR="00480B30" w:rsidRPr="00286216" w:rsidRDefault="00480B30" w:rsidP="00480B30">
            <w:pPr>
              <w:pStyle w:val="StyleWisnow"/>
              <w:rPr>
                <w:color w:val="000000" w:themeColor="text1"/>
              </w:rPr>
            </w:pPr>
          </w:p>
          <w:p w14:paraId="2A1DD95A" w14:textId="77777777" w:rsidR="00480B30" w:rsidRPr="00286216" w:rsidRDefault="00480B30" w:rsidP="00480B30">
            <w:pPr>
              <w:pStyle w:val="StyleWisnow"/>
              <w:rPr>
                <w:color w:val="000000" w:themeColor="text1"/>
              </w:rPr>
            </w:pPr>
          </w:p>
          <w:p w14:paraId="562824CA" w14:textId="77777777" w:rsidR="00480B30" w:rsidRPr="00286216" w:rsidRDefault="00480B30" w:rsidP="00480B30">
            <w:pPr>
              <w:pStyle w:val="StyleWisnow"/>
              <w:rPr>
                <w:color w:val="000000" w:themeColor="text1"/>
              </w:rPr>
            </w:pPr>
          </w:p>
          <w:p w14:paraId="5D184414" w14:textId="77777777" w:rsidR="00480B30" w:rsidRPr="00286216" w:rsidRDefault="00480B30" w:rsidP="00480B30">
            <w:pPr>
              <w:pStyle w:val="StyleWisnow"/>
              <w:rPr>
                <w:color w:val="000000" w:themeColor="text1"/>
              </w:rPr>
            </w:pPr>
          </w:p>
          <w:p w14:paraId="06F8A649" w14:textId="77777777" w:rsidR="00480B30" w:rsidRPr="00286216" w:rsidRDefault="00480B30" w:rsidP="00480B30">
            <w:pPr>
              <w:pStyle w:val="StyleWisnow"/>
              <w:rPr>
                <w:color w:val="000000" w:themeColor="text1"/>
              </w:rPr>
            </w:pPr>
          </w:p>
          <w:p w14:paraId="0C0FEB08" w14:textId="77777777" w:rsidR="00480B30" w:rsidRPr="00286216" w:rsidRDefault="00480B30" w:rsidP="00480B30">
            <w:pPr>
              <w:pStyle w:val="StyleWisnow"/>
              <w:rPr>
                <w:color w:val="000000" w:themeColor="text1"/>
              </w:rPr>
            </w:pPr>
          </w:p>
          <w:p w14:paraId="59B84156" w14:textId="77777777" w:rsidR="00480B30" w:rsidRPr="00286216" w:rsidRDefault="00480B30" w:rsidP="00480B30">
            <w:pPr>
              <w:pStyle w:val="StyleWisnow"/>
              <w:rPr>
                <w:color w:val="000000" w:themeColor="text1"/>
              </w:rPr>
            </w:pPr>
          </w:p>
          <w:p w14:paraId="0CAF5943" w14:textId="77777777" w:rsidR="00480B30" w:rsidRPr="00286216" w:rsidRDefault="00480B30" w:rsidP="00480B30">
            <w:pPr>
              <w:pStyle w:val="StyleWisnow"/>
              <w:rPr>
                <w:color w:val="000000" w:themeColor="text1"/>
              </w:rPr>
            </w:pPr>
          </w:p>
          <w:p w14:paraId="3E000AB9" w14:textId="77777777" w:rsidR="00480B30" w:rsidRPr="00286216" w:rsidRDefault="00480B30" w:rsidP="00480B30">
            <w:pPr>
              <w:pStyle w:val="StyleWisnow"/>
              <w:rPr>
                <w:color w:val="000000" w:themeColor="text1"/>
              </w:rPr>
            </w:pPr>
          </w:p>
          <w:p w14:paraId="22A83B91" w14:textId="77777777" w:rsidR="00480B30" w:rsidRPr="00286216" w:rsidRDefault="00480B30" w:rsidP="00480B30">
            <w:pPr>
              <w:pStyle w:val="StyleWisnow"/>
              <w:rPr>
                <w:color w:val="000000" w:themeColor="text1"/>
              </w:rPr>
            </w:pPr>
          </w:p>
          <w:p w14:paraId="2B01F3C8" w14:textId="77777777" w:rsidR="00480B30" w:rsidRPr="00286216" w:rsidRDefault="00480B30" w:rsidP="00480B30">
            <w:pPr>
              <w:pStyle w:val="StyleWisnow"/>
              <w:rPr>
                <w:color w:val="000000" w:themeColor="text1"/>
              </w:rPr>
            </w:pPr>
          </w:p>
          <w:p w14:paraId="4A50EF18" w14:textId="77777777" w:rsidR="00480B30" w:rsidRPr="00286216" w:rsidRDefault="00480B30" w:rsidP="00480B30">
            <w:pPr>
              <w:pStyle w:val="StyleWisnow"/>
              <w:rPr>
                <w:color w:val="000000" w:themeColor="text1"/>
              </w:rPr>
            </w:pPr>
          </w:p>
          <w:p w14:paraId="1DF1439D" w14:textId="77777777" w:rsidR="00480B30" w:rsidRPr="00286216" w:rsidRDefault="00480B30" w:rsidP="00480B30">
            <w:pPr>
              <w:pStyle w:val="StyleWisnow"/>
              <w:rPr>
                <w:color w:val="000000" w:themeColor="text1"/>
              </w:rPr>
            </w:pPr>
          </w:p>
          <w:p w14:paraId="4BBB93FC" w14:textId="77777777" w:rsidR="00480B30" w:rsidRPr="00286216" w:rsidRDefault="00480B30" w:rsidP="00480B30">
            <w:pPr>
              <w:pStyle w:val="StyleWisnow"/>
              <w:rPr>
                <w:color w:val="000000" w:themeColor="text1"/>
              </w:rPr>
            </w:pPr>
          </w:p>
          <w:p w14:paraId="7628FBFE" w14:textId="77777777" w:rsidR="00480B30" w:rsidRPr="00286216" w:rsidRDefault="00480B30" w:rsidP="00480B30">
            <w:pPr>
              <w:pStyle w:val="StyleWisnow"/>
              <w:rPr>
                <w:color w:val="000000" w:themeColor="text1"/>
              </w:rPr>
            </w:pPr>
          </w:p>
          <w:p w14:paraId="1D582A20" w14:textId="77777777" w:rsidR="00480B30" w:rsidRPr="00286216" w:rsidRDefault="00480B30" w:rsidP="00480B30">
            <w:pPr>
              <w:pStyle w:val="StyleWisnow"/>
              <w:rPr>
                <w:color w:val="000000" w:themeColor="text1"/>
              </w:rPr>
            </w:pPr>
          </w:p>
          <w:p w14:paraId="5A54C200" w14:textId="77777777" w:rsidR="00480B30" w:rsidRPr="00286216" w:rsidRDefault="00480B30" w:rsidP="00480B30">
            <w:pPr>
              <w:pStyle w:val="StyleWisnow"/>
              <w:rPr>
                <w:color w:val="000000" w:themeColor="text1"/>
              </w:rPr>
            </w:pPr>
          </w:p>
          <w:p w14:paraId="00A35292" w14:textId="77777777" w:rsidR="00480B30" w:rsidRPr="00286216" w:rsidRDefault="00480B30" w:rsidP="00480B30">
            <w:pPr>
              <w:pStyle w:val="StyleWisnow"/>
              <w:rPr>
                <w:color w:val="000000" w:themeColor="text1"/>
              </w:rPr>
            </w:pPr>
          </w:p>
          <w:p w14:paraId="14A352FB" w14:textId="77777777" w:rsidR="00480B30" w:rsidRPr="00286216" w:rsidRDefault="00480B30" w:rsidP="00480B30">
            <w:pPr>
              <w:pStyle w:val="StyleWisnow"/>
              <w:rPr>
                <w:color w:val="000000" w:themeColor="text1"/>
              </w:rPr>
            </w:pPr>
          </w:p>
          <w:p w14:paraId="58B3138B" w14:textId="77777777" w:rsidR="00480B30" w:rsidRPr="00286216" w:rsidRDefault="00480B30" w:rsidP="00480B30">
            <w:pPr>
              <w:pStyle w:val="StyleWisnow"/>
              <w:rPr>
                <w:color w:val="000000" w:themeColor="text1"/>
              </w:rPr>
            </w:pPr>
          </w:p>
          <w:p w14:paraId="69018EDA" w14:textId="77777777" w:rsidR="00480B30" w:rsidRPr="00286216" w:rsidRDefault="00480B30" w:rsidP="00480B30">
            <w:pPr>
              <w:pStyle w:val="StyleWisnow"/>
              <w:rPr>
                <w:color w:val="000000" w:themeColor="text1"/>
              </w:rPr>
            </w:pPr>
          </w:p>
          <w:p w14:paraId="7BD23123" w14:textId="77777777" w:rsidR="00480B30" w:rsidRPr="00286216" w:rsidRDefault="00480B30" w:rsidP="00480B30">
            <w:pPr>
              <w:pStyle w:val="StyleWisnow"/>
              <w:rPr>
                <w:color w:val="000000" w:themeColor="text1"/>
              </w:rPr>
            </w:pPr>
          </w:p>
          <w:p w14:paraId="49B3F3CA" w14:textId="77777777" w:rsidR="00480B30" w:rsidRPr="00286216" w:rsidRDefault="00480B30" w:rsidP="00480B30">
            <w:pPr>
              <w:pStyle w:val="StyleWisnow"/>
              <w:rPr>
                <w:color w:val="000000" w:themeColor="text1"/>
              </w:rPr>
            </w:pPr>
          </w:p>
          <w:p w14:paraId="179C71C3" w14:textId="77777777" w:rsidR="00480B30" w:rsidRPr="00286216" w:rsidRDefault="00480B30" w:rsidP="00480B30">
            <w:pPr>
              <w:pStyle w:val="StyleWisnow"/>
              <w:rPr>
                <w:color w:val="000000" w:themeColor="text1"/>
              </w:rPr>
            </w:pPr>
          </w:p>
          <w:p w14:paraId="67C51676" w14:textId="77777777" w:rsidR="00480B30" w:rsidRPr="00286216" w:rsidRDefault="00480B30" w:rsidP="00480B30">
            <w:pPr>
              <w:pStyle w:val="StyleWisnow"/>
              <w:rPr>
                <w:color w:val="000000" w:themeColor="text1"/>
              </w:rPr>
            </w:pPr>
          </w:p>
          <w:p w14:paraId="0EFB97CB" w14:textId="77777777" w:rsidR="00480B30" w:rsidRPr="00286216" w:rsidRDefault="00480B30" w:rsidP="00480B30">
            <w:pPr>
              <w:pStyle w:val="StyleWisnow"/>
              <w:rPr>
                <w:color w:val="000000" w:themeColor="text1"/>
              </w:rPr>
            </w:pPr>
          </w:p>
          <w:p w14:paraId="64FB01F0" w14:textId="77777777" w:rsidR="00480B30" w:rsidRPr="00286216" w:rsidRDefault="00480B30" w:rsidP="00480B30">
            <w:pPr>
              <w:pStyle w:val="StyleWisnow"/>
              <w:rPr>
                <w:color w:val="000000" w:themeColor="text1"/>
              </w:rPr>
            </w:pPr>
          </w:p>
          <w:p w14:paraId="0C864110" w14:textId="77777777" w:rsidR="00480B30" w:rsidRPr="00286216" w:rsidRDefault="00480B30" w:rsidP="00480B30">
            <w:pPr>
              <w:pStyle w:val="StyleWisnow"/>
              <w:rPr>
                <w:color w:val="000000" w:themeColor="text1"/>
              </w:rPr>
            </w:pPr>
          </w:p>
          <w:p w14:paraId="157AB35E" w14:textId="77777777" w:rsidR="00480B30" w:rsidRPr="00286216" w:rsidRDefault="00480B30" w:rsidP="00480B30">
            <w:pPr>
              <w:pStyle w:val="StyleWisnow"/>
              <w:rPr>
                <w:color w:val="000000" w:themeColor="text1"/>
              </w:rPr>
            </w:pPr>
          </w:p>
          <w:p w14:paraId="1F3FEB9A" w14:textId="77777777" w:rsidR="00480B30" w:rsidRPr="00286216" w:rsidRDefault="00480B30" w:rsidP="00480B30">
            <w:pPr>
              <w:pStyle w:val="StyleWisnow"/>
              <w:rPr>
                <w:color w:val="000000" w:themeColor="text1"/>
              </w:rPr>
            </w:pPr>
          </w:p>
          <w:p w14:paraId="723E2D3D" w14:textId="77777777" w:rsidR="00480B30" w:rsidRPr="00286216" w:rsidRDefault="00480B30" w:rsidP="00480B30">
            <w:pPr>
              <w:pStyle w:val="StyleWisnow"/>
              <w:rPr>
                <w:color w:val="000000" w:themeColor="text1"/>
              </w:rPr>
            </w:pPr>
          </w:p>
          <w:p w14:paraId="565A6323" w14:textId="77777777" w:rsidR="00480B30" w:rsidRPr="00286216" w:rsidRDefault="00480B30" w:rsidP="00480B30">
            <w:pPr>
              <w:pStyle w:val="StyleWisnow"/>
              <w:rPr>
                <w:color w:val="000000" w:themeColor="text1"/>
              </w:rPr>
            </w:pPr>
          </w:p>
          <w:p w14:paraId="649A17CB" w14:textId="77777777" w:rsidR="00480B30" w:rsidRPr="00286216" w:rsidRDefault="00480B30" w:rsidP="00480B30">
            <w:pPr>
              <w:pStyle w:val="StyleWisnow"/>
              <w:rPr>
                <w:color w:val="000000" w:themeColor="text1"/>
              </w:rPr>
            </w:pPr>
          </w:p>
          <w:p w14:paraId="068FBE09" w14:textId="77777777" w:rsidR="00480B30" w:rsidRPr="00286216" w:rsidRDefault="00480B30" w:rsidP="00480B30">
            <w:pPr>
              <w:pStyle w:val="StyleWisnow"/>
              <w:rPr>
                <w:color w:val="000000" w:themeColor="text1"/>
              </w:rPr>
            </w:pPr>
          </w:p>
          <w:p w14:paraId="5073548D" w14:textId="77777777" w:rsidR="00480B30" w:rsidRPr="00286216" w:rsidRDefault="00480B30" w:rsidP="00480B30">
            <w:pPr>
              <w:pStyle w:val="StyleWisnow"/>
              <w:rPr>
                <w:color w:val="000000" w:themeColor="text1"/>
              </w:rPr>
            </w:pPr>
          </w:p>
          <w:p w14:paraId="737F91CA" w14:textId="77777777" w:rsidR="00480B30" w:rsidRPr="00286216" w:rsidRDefault="00480B30" w:rsidP="00480B30">
            <w:pPr>
              <w:pStyle w:val="StyleWisnow"/>
              <w:rPr>
                <w:color w:val="000000" w:themeColor="text1"/>
              </w:rPr>
            </w:pPr>
          </w:p>
          <w:p w14:paraId="0008FA28" w14:textId="77777777" w:rsidR="00480B30" w:rsidRPr="00286216" w:rsidRDefault="00480B30" w:rsidP="00480B30">
            <w:pPr>
              <w:pStyle w:val="StyleWisnow"/>
              <w:rPr>
                <w:color w:val="000000" w:themeColor="text1"/>
              </w:rPr>
            </w:pPr>
          </w:p>
          <w:p w14:paraId="73718919" w14:textId="77777777" w:rsidR="00480B30" w:rsidRPr="00286216" w:rsidRDefault="00480B30" w:rsidP="00480B30">
            <w:pPr>
              <w:pStyle w:val="StyleWisnow"/>
              <w:rPr>
                <w:color w:val="000000" w:themeColor="text1"/>
              </w:rPr>
            </w:pPr>
          </w:p>
          <w:p w14:paraId="65A5899B" w14:textId="77777777" w:rsidR="00480B30" w:rsidRPr="00286216" w:rsidRDefault="00480B30" w:rsidP="00480B30">
            <w:pPr>
              <w:pStyle w:val="StyleWisnow"/>
              <w:rPr>
                <w:color w:val="000000" w:themeColor="text1"/>
              </w:rPr>
            </w:pPr>
          </w:p>
          <w:p w14:paraId="1A9CDACC" w14:textId="77777777" w:rsidR="00480B30" w:rsidRPr="00286216" w:rsidRDefault="00480B30" w:rsidP="00480B30">
            <w:pPr>
              <w:pStyle w:val="StyleWisnow"/>
              <w:rPr>
                <w:color w:val="000000" w:themeColor="text1"/>
              </w:rPr>
            </w:pPr>
          </w:p>
          <w:p w14:paraId="0E8295A2" w14:textId="77777777" w:rsidR="00480B30" w:rsidRPr="00286216" w:rsidRDefault="00480B30" w:rsidP="00480B30">
            <w:pPr>
              <w:pStyle w:val="StyleWisnow"/>
              <w:rPr>
                <w:color w:val="000000" w:themeColor="text1"/>
              </w:rPr>
            </w:pPr>
          </w:p>
          <w:p w14:paraId="42B3334E" w14:textId="77777777" w:rsidR="00480B30" w:rsidRPr="00286216" w:rsidRDefault="00480B30" w:rsidP="00480B30">
            <w:pPr>
              <w:pStyle w:val="StyleWisnow"/>
              <w:rPr>
                <w:color w:val="000000" w:themeColor="text1"/>
              </w:rPr>
            </w:pPr>
          </w:p>
          <w:p w14:paraId="6FC40DCD" w14:textId="77777777" w:rsidR="00480B30" w:rsidRPr="00286216" w:rsidRDefault="00480B30" w:rsidP="00480B30">
            <w:pPr>
              <w:pStyle w:val="StyleWisnow"/>
              <w:rPr>
                <w:color w:val="000000" w:themeColor="text1"/>
              </w:rPr>
            </w:pPr>
          </w:p>
          <w:p w14:paraId="4F5262D7" w14:textId="77777777" w:rsidR="00480B30" w:rsidRPr="00286216" w:rsidRDefault="00480B30" w:rsidP="00480B30">
            <w:pPr>
              <w:pStyle w:val="StyleWisnow"/>
              <w:rPr>
                <w:color w:val="000000" w:themeColor="text1"/>
              </w:rPr>
            </w:pPr>
          </w:p>
          <w:p w14:paraId="26A6A534" w14:textId="77777777" w:rsidR="00480B30" w:rsidRPr="00286216" w:rsidRDefault="00480B30" w:rsidP="00480B30">
            <w:pPr>
              <w:pStyle w:val="StyleWisnow"/>
              <w:rPr>
                <w:color w:val="000000" w:themeColor="text1"/>
              </w:rPr>
            </w:pPr>
          </w:p>
          <w:p w14:paraId="621C8039" w14:textId="77777777" w:rsidR="00480B30" w:rsidRPr="00286216" w:rsidRDefault="00480B30" w:rsidP="00480B30">
            <w:pPr>
              <w:pStyle w:val="StyleWisnow"/>
              <w:rPr>
                <w:color w:val="000000" w:themeColor="text1"/>
              </w:rPr>
            </w:pPr>
          </w:p>
          <w:p w14:paraId="7A6FFDB8" w14:textId="77777777" w:rsidR="00480B30" w:rsidRPr="00286216" w:rsidRDefault="00480B30" w:rsidP="00480B30">
            <w:pPr>
              <w:pStyle w:val="StyleWisnow"/>
              <w:rPr>
                <w:color w:val="000000" w:themeColor="text1"/>
              </w:rPr>
            </w:pPr>
          </w:p>
          <w:p w14:paraId="35657514" w14:textId="77777777" w:rsidR="00480B30" w:rsidRPr="00286216" w:rsidRDefault="00480B30" w:rsidP="00480B30">
            <w:pPr>
              <w:pStyle w:val="StyleWisnow"/>
              <w:rPr>
                <w:color w:val="000000" w:themeColor="text1"/>
              </w:rPr>
            </w:pPr>
          </w:p>
          <w:p w14:paraId="10495636" w14:textId="77777777" w:rsidR="00480B30" w:rsidRPr="00286216" w:rsidRDefault="00480B30" w:rsidP="00480B30">
            <w:pPr>
              <w:pStyle w:val="StyleWisnow"/>
              <w:rPr>
                <w:color w:val="000000" w:themeColor="text1"/>
              </w:rPr>
            </w:pPr>
          </w:p>
          <w:p w14:paraId="687D1634" w14:textId="77777777" w:rsidR="00480B30" w:rsidRPr="00286216" w:rsidRDefault="00480B30" w:rsidP="00480B30">
            <w:pPr>
              <w:pStyle w:val="StyleWisnow"/>
              <w:rPr>
                <w:color w:val="000000" w:themeColor="text1"/>
              </w:rPr>
            </w:pPr>
          </w:p>
          <w:p w14:paraId="21C9B8C3" w14:textId="77777777" w:rsidR="00480B30" w:rsidRPr="00286216" w:rsidRDefault="00480B30" w:rsidP="00480B30">
            <w:pPr>
              <w:pStyle w:val="StyleWisnow"/>
              <w:rPr>
                <w:color w:val="000000" w:themeColor="text1"/>
              </w:rPr>
            </w:pPr>
          </w:p>
          <w:p w14:paraId="52C1CB95" w14:textId="77777777" w:rsidR="00480B30" w:rsidRPr="00286216" w:rsidRDefault="00480B30" w:rsidP="00480B30">
            <w:pPr>
              <w:pStyle w:val="StyleWisnow"/>
              <w:rPr>
                <w:color w:val="000000" w:themeColor="text1"/>
              </w:rPr>
            </w:pPr>
          </w:p>
          <w:p w14:paraId="6FABFC8D" w14:textId="77777777" w:rsidR="00480B30" w:rsidRPr="00286216" w:rsidRDefault="00480B30" w:rsidP="00480B30">
            <w:pPr>
              <w:pStyle w:val="StyleWisnow"/>
              <w:rPr>
                <w:color w:val="000000" w:themeColor="text1"/>
              </w:rPr>
            </w:pPr>
          </w:p>
          <w:p w14:paraId="2C0D99F6" w14:textId="77777777" w:rsidR="00480B30" w:rsidRPr="00286216" w:rsidRDefault="00480B30" w:rsidP="00480B30">
            <w:pPr>
              <w:pStyle w:val="StyleWisnow"/>
              <w:rPr>
                <w:color w:val="000000" w:themeColor="text1"/>
              </w:rPr>
            </w:pPr>
          </w:p>
          <w:p w14:paraId="20D8362E" w14:textId="77777777" w:rsidR="00480B30" w:rsidRPr="00286216" w:rsidRDefault="00480B30" w:rsidP="00480B30">
            <w:pPr>
              <w:pStyle w:val="StyleWisnow"/>
              <w:rPr>
                <w:color w:val="000000" w:themeColor="text1"/>
              </w:rPr>
            </w:pPr>
          </w:p>
          <w:p w14:paraId="21A344F3" w14:textId="77777777" w:rsidR="00480B30" w:rsidRPr="00286216" w:rsidRDefault="00480B30" w:rsidP="00480B30">
            <w:pPr>
              <w:pStyle w:val="StyleWisnow"/>
              <w:rPr>
                <w:color w:val="000000" w:themeColor="text1"/>
              </w:rPr>
            </w:pPr>
          </w:p>
          <w:p w14:paraId="0F98E7A3" w14:textId="77777777" w:rsidR="00480B30" w:rsidRPr="00286216" w:rsidRDefault="00480B30" w:rsidP="00480B30">
            <w:pPr>
              <w:pStyle w:val="StyleWisnow"/>
              <w:rPr>
                <w:color w:val="000000" w:themeColor="text1"/>
              </w:rPr>
            </w:pPr>
          </w:p>
          <w:p w14:paraId="77FB0505" w14:textId="77777777" w:rsidR="00480B30" w:rsidRPr="00286216" w:rsidRDefault="00480B30" w:rsidP="00480B30">
            <w:pPr>
              <w:pStyle w:val="StyleWisnow"/>
              <w:rPr>
                <w:color w:val="000000" w:themeColor="text1"/>
              </w:rPr>
            </w:pPr>
          </w:p>
          <w:p w14:paraId="73FC827B" w14:textId="77777777" w:rsidR="00480B30" w:rsidRPr="00286216" w:rsidRDefault="00480B30" w:rsidP="00480B30">
            <w:pPr>
              <w:pStyle w:val="StyleWisnow"/>
              <w:rPr>
                <w:color w:val="000000" w:themeColor="text1"/>
              </w:rPr>
            </w:pPr>
          </w:p>
          <w:p w14:paraId="392697A7" w14:textId="77777777" w:rsidR="00480B30" w:rsidRPr="00286216" w:rsidRDefault="00480B30" w:rsidP="00480B30">
            <w:pPr>
              <w:pStyle w:val="StyleWisnow"/>
              <w:rPr>
                <w:color w:val="000000" w:themeColor="text1"/>
              </w:rPr>
            </w:pPr>
          </w:p>
          <w:p w14:paraId="1894BBF6" w14:textId="77777777" w:rsidR="00480B30" w:rsidRPr="00286216" w:rsidRDefault="00480B30" w:rsidP="00480B30">
            <w:pPr>
              <w:pStyle w:val="StyleWisnow"/>
              <w:rPr>
                <w:color w:val="000000" w:themeColor="text1"/>
              </w:rPr>
            </w:pPr>
          </w:p>
          <w:p w14:paraId="1CFB7B20" w14:textId="77777777" w:rsidR="00480B30" w:rsidRPr="00286216" w:rsidRDefault="00480B30" w:rsidP="00480B30">
            <w:pPr>
              <w:pStyle w:val="StyleWisnow"/>
              <w:rPr>
                <w:color w:val="000000" w:themeColor="text1"/>
              </w:rPr>
            </w:pPr>
          </w:p>
          <w:p w14:paraId="76AF3B49" w14:textId="77777777" w:rsidR="00480B30" w:rsidRPr="00286216" w:rsidRDefault="00480B30" w:rsidP="00480B30">
            <w:pPr>
              <w:pStyle w:val="StyleWisnow"/>
              <w:rPr>
                <w:color w:val="000000" w:themeColor="text1"/>
              </w:rPr>
            </w:pPr>
          </w:p>
          <w:p w14:paraId="3B82565B" w14:textId="77777777" w:rsidR="00480B30" w:rsidRPr="00286216" w:rsidRDefault="00480B30" w:rsidP="00480B30">
            <w:pPr>
              <w:pStyle w:val="StyleWisnow"/>
              <w:rPr>
                <w:color w:val="000000" w:themeColor="text1"/>
              </w:rPr>
            </w:pPr>
          </w:p>
          <w:p w14:paraId="1237BE33" w14:textId="77777777" w:rsidR="00480B30" w:rsidRPr="00286216" w:rsidRDefault="00480B30" w:rsidP="00480B30">
            <w:pPr>
              <w:pStyle w:val="StyleWisnow"/>
              <w:rPr>
                <w:color w:val="000000" w:themeColor="text1"/>
              </w:rPr>
            </w:pPr>
          </w:p>
          <w:p w14:paraId="7F885588" w14:textId="77777777" w:rsidR="00480B30" w:rsidRPr="00286216" w:rsidRDefault="00480B30" w:rsidP="00480B30">
            <w:pPr>
              <w:pStyle w:val="StyleWisnow"/>
              <w:rPr>
                <w:color w:val="000000" w:themeColor="text1"/>
              </w:rPr>
            </w:pPr>
          </w:p>
          <w:p w14:paraId="2C464CA7" w14:textId="77777777" w:rsidR="00480B30" w:rsidRPr="00286216" w:rsidRDefault="00480B30" w:rsidP="00480B30">
            <w:pPr>
              <w:pStyle w:val="StyleWisnow"/>
              <w:rPr>
                <w:color w:val="000000" w:themeColor="text1"/>
              </w:rPr>
            </w:pPr>
          </w:p>
          <w:p w14:paraId="1FF75B17" w14:textId="77777777" w:rsidR="00480B30" w:rsidRPr="00286216" w:rsidRDefault="00480B30" w:rsidP="00480B30">
            <w:pPr>
              <w:pStyle w:val="StyleWisnow"/>
              <w:rPr>
                <w:color w:val="000000" w:themeColor="text1"/>
              </w:rPr>
            </w:pPr>
          </w:p>
          <w:p w14:paraId="6F6E5293" w14:textId="77777777" w:rsidR="00480B30" w:rsidRPr="00286216" w:rsidRDefault="00480B30" w:rsidP="00480B30">
            <w:pPr>
              <w:pStyle w:val="StyleWisnow"/>
              <w:rPr>
                <w:color w:val="000000" w:themeColor="text1"/>
              </w:rPr>
            </w:pPr>
          </w:p>
          <w:p w14:paraId="7662CDB5" w14:textId="77777777" w:rsidR="00480B30" w:rsidRPr="00286216" w:rsidRDefault="00480B30" w:rsidP="00480B30">
            <w:pPr>
              <w:pStyle w:val="StyleWisnow"/>
              <w:rPr>
                <w:color w:val="000000" w:themeColor="text1"/>
              </w:rPr>
            </w:pPr>
          </w:p>
          <w:p w14:paraId="477A7FC8" w14:textId="77777777" w:rsidR="00480B30" w:rsidRPr="00286216" w:rsidRDefault="00480B30" w:rsidP="00480B30">
            <w:pPr>
              <w:pStyle w:val="StyleWisnow"/>
              <w:rPr>
                <w:color w:val="000000" w:themeColor="text1"/>
              </w:rPr>
            </w:pPr>
          </w:p>
          <w:p w14:paraId="4184EC34" w14:textId="77777777" w:rsidR="00480B30" w:rsidRPr="00286216" w:rsidRDefault="00480B30" w:rsidP="00480B30">
            <w:pPr>
              <w:pStyle w:val="StyleWisnow"/>
              <w:rPr>
                <w:color w:val="000000" w:themeColor="text1"/>
              </w:rPr>
            </w:pPr>
          </w:p>
          <w:p w14:paraId="23666AD9" w14:textId="77777777" w:rsidR="00480B30" w:rsidRPr="00286216" w:rsidRDefault="00480B30" w:rsidP="00480B30">
            <w:pPr>
              <w:pStyle w:val="StyleWisnow"/>
              <w:rPr>
                <w:color w:val="000000" w:themeColor="text1"/>
              </w:rPr>
            </w:pPr>
          </w:p>
          <w:p w14:paraId="2B1DC626" w14:textId="77777777" w:rsidR="00480B30" w:rsidRPr="00286216" w:rsidRDefault="00480B30" w:rsidP="00480B30">
            <w:pPr>
              <w:pStyle w:val="StyleWisnow"/>
              <w:rPr>
                <w:color w:val="000000" w:themeColor="text1"/>
              </w:rPr>
            </w:pPr>
          </w:p>
          <w:p w14:paraId="304765F0" w14:textId="77777777" w:rsidR="00480B30" w:rsidRPr="00286216" w:rsidRDefault="00480B30" w:rsidP="00480B30">
            <w:pPr>
              <w:pStyle w:val="StyleWisnow"/>
              <w:rPr>
                <w:color w:val="000000" w:themeColor="text1"/>
              </w:rPr>
            </w:pPr>
          </w:p>
          <w:p w14:paraId="3E1E82A0" w14:textId="77777777" w:rsidR="00480B30" w:rsidRPr="00286216" w:rsidRDefault="00480B30" w:rsidP="00480B30">
            <w:pPr>
              <w:pStyle w:val="StyleWisnow"/>
              <w:rPr>
                <w:color w:val="000000" w:themeColor="text1"/>
              </w:rPr>
            </w:pPr>
          </w:p>
          <w:p w14:paraId="6E92D182" w14:textId="77777777" w:rsidR="00480B30" w:rsidRPr="00286216" w:rsidRDefault="00480B30" w:rsidP="00480B30">
            <w:pPr>
              <w:pStyle w:val="StyleWisnow"/>
              <w:rPr>
                <w:color w:val="000000" w:themeColor="text1"/>
              </w:rPr>
            </w:pPr>
          </w:p>
          <w:p w14:paraId="117C6343" w14:textId="77777777" w:rsidR="00480B30" w:rsidRPr="00286216" w:rsidRDefault="00480B30" w:rsidP="00480B30">
            <w:pPr>
              <w:pStyle w:val="StyleWisnow"/>
              <w:rPr>
                <w:color w:val="000000" w:themeColor="text1"/>
              </w:rPr>
            </w:pPr>
          </w:p>
          <w:p w14:paraId="6BF8BEB4" w14:textId="77777777" w:rsidR="00480B30" w:rsidRPr="00286216" w:rsidRDefault="00480B30" w:rsidP="00480B30">
            <w:pPr>
              <w:pStyle w:val="StyleWisnow"/>
              <w:rPr>
                <w:color w:val="000000" w:themeColor="text1"/>
              </w:rPr>
            </w:pPr>
          </w:p>
          <w:p w14:paraId="40B8F687" w14:textId="77777777" w:rsidR="00480B30" w:rsidRPr="00286216" w:rsidRDefault="00480B30" w:rsidP="00480B30">
            <w:pPr>
              <w:pStyle w:val="StyleWisnow"/>
              <w:rPr>
                <w:color w:val="000000" w:themeColor="text1"/>
              </w:rPr>
            </w:pPr>
          </w:p>
          <w:p w14:paraId="12D66BB1" w14:textId="77777777" w:rsidR="00480B30" w:rsidRPr="00286216" w:rsidRDefault="00480B30" w:rsidP="00480B30">
            <w:pPr>
              <w:pStyle w:val="StyleWisnow"/>
              <w:rPr>
                <w:color w:val="000000" w:themeColor="text1"/>
              </w:rPr>
            </w:pPr>
          </w:p>
          <w:p w14:paraId="46EE2630" w14:textId="77777777" w:rsidR="00480B30" w:rsidRPr="00286216" w:rsidRDefault="00480B30" w:rsidP="00480B30">
            <w:pPr>
              <w:pStyle w:val="StyleWisnow"/>
              <w:rPr>
                <w:color w:val="000000" w:themeColor="text1"/>
              </w:rPr>
            </w:pPr>
          </w:p>
          <w:p w14:paraId="393BE4D1" w14:textId="77777777" w:rsidR="00480B30" w:rsidRPr="00286216" w:rsidRDefault="00480B30" w:rsidP="00480B30">
            <w:pPr>
              <w:pStyle w:val="StyleWisnow"/>
              <w:rPr>
                <w:color w:val="000000" w:themeColor="text1"/>
              </w:rPr>
            </w:pPr>
          </w:p>
          <w:p w14:paraId="49C5F68C" w14:textId="77777777" w:rsidR="00480B30" w:rsidRPr="00286216" w:rsidRDefault="00480B30" w:rsidP="00480B30">
            <w:pPr>
              <w:pStyle w:val="StyleWisnow"/>
              <w:rPr>
                <w:color w:val="000000" w:themeColor="text1"/>
              </w:rPr>
            </w:pPr>
          </w:p>
          <w:p w14:paraId="4A9043C8" w14:textId="77777777" w:rsidR="00480B30" w:rsidRPr="00286216" w:rsidRDefault="00480B30" w:rsidP="00480B30">
            <w:pPr>
              <w:pStyle w:val="StyleWisnow"/>
              <w:rPr>
                <w:color w:val="000000" w:themeColor="text1"/>
              </w:rPr>
            </w:pPr>
          </w:p>
          <w:p w14:paraId="1B853137" w14:textId="77777777" w:rsidR="00480B30" w:rsidRPr="00286216" w:rsidRDefault="00480B30" w:rsidP="00480B30">
            <w:pPr>
              <w:pStyle w:val="StyleWisnow"/>
              <w:rPr>
                <w:color w:val="000000" w:themeColor="text1"/>
              </w:rPr>
            </w:pPr>
          </w:p>
          <w:p w14:paraId="5FBDD17D" w14:textId="77777777" w:rsidR="00480B30" w:rsidRPr="00286216" w:rsidRDefault="00480B30" w:rsidP="00480B30">
            <w:pPr>
              <w:pStyle w:val="StyleWisnow"/>
              <w:rPr>
                <w:color w:val="000000" w:themeColor="text1"/>
              </w:rPr>
            </w:pPr>
          </w:p>
          <w:p w14:paraId="101A7F55" w14:textId="77777777" w:rsidR="00480B30" w:rsidRPr="00286216" w:rsidRDefault="00480B30" w:rsidP="00480B30">
            <w:pPr>
              <w:pStyle w:val="StyleWisnow"/>
              <w:rPr>
                <w:color w:val="000000" w:themeColor="text1"/>
              </w:rPr>
            </w:pPr>
          </w:p>
          <w:p w14:paraId="639387F7" w14:textId="77777777" w:rsidR="00480B30" w:rsidRPr="00286216" w:rsidRDefault="00480B30" w:rsidP="00480B30">
            <w:pPr>
              <w:pStyle w:val="StyleWisnow"/>
              <w:rPr>
                <w:color w:val="000000" w:themeColor="text1"/>
              </w:rPr>
            </w:pPr>
          </w:p>
          <w:p w14:paraId="2DD3EF64" w14:textId="77777777" w:rsidR="00480B30" w:rsidRPr="00286216" w:rsidRDefault="00480B30" w:rsidP="00480B30">
            <w:pPr>
              <w:pStyle w:val="StyleWisnow"/>
              <w:rPr>
                <w:color w:val="000000" w:themeColor="text1"/>
              </w:rPr>
            </w:pPr>
          </w:p>
          <w:p w14:paraId="36938EF1" w14:textId="77777777" w:rsidR="00480B30" w:rsidRPr="00286216" w:rsidRDefault="00480B30" w:rsidP="00480B30">
            <w:pPr>
              <w:pStyle w:val="StyleWisnow"/>
              <w:rPr>
                <w:color w:val="000000" w:themeColor="text1"/>
              </w:rPr>
            </w:pPr>
          </w:p>
          <w:p w14:paraId="55DF958E" w14:textId="77777777" w:rsidR="00480B30" w:rsidRPr="00286216" w:rsidRDefault="00480B30" w:rsidP="00480B30">
            <w:pPr>
              <w:pStyle w:val="StyleWisnow"/>
              <w:rPr>
                <w:color w:val="000000" w:themeColor="text1"/>
              </w:rPr>
            </w:pPr>
          </w:p>
          <w:p w14:paraId="7D7958E6" w14:textId="77777777" w:rsidR="00480B30" w:rsidRPr="00286216" w:rsidRDefault="00480B30" w:rsidP="00480B30">
            <w:pPr>
              <w:pStyle w:val="StyleWisnow"/>
              <w:rPr>
                <w:color w:val="000000" w:themeColor="text1"/>
              </w:rPr>
            </w:pPr>
          </w:p>
          <w:p w14:paraId="33547A79" w14:textId="77777777" w:rsidR="00480B30" w:rsidRPr="00286216" w:rsidRDefault="00480B30" w:rsidP="00480B30">
            <w:pPr>
              <w:pStyle w:val="StyleWisnow"/>
              <w:rPr>
                <w:color w:val="000000" w:themeColor="text1"/>
              </w:rPr>
            </w:pPr>
          </w:p>
          <w:p w14:paraId="4AEB44CE" w14:textId="77777777" w:rsidR="00480B30" w:rsidRPr="00286216" w:rsidRDefault="00480B30" w:rsidP="00480B30">
            <w:pPr>
              <w:pStyle w:val="StyleWisnow"/>
              <w:rPr>
                <w:color w:val="000000" w:themeColor="text1"/>
              </w:rPr>
            </w:pPr>
          </w:p>
          <w:p w14:paraId="3EBB6C4D" w14:textId="77777777" w:rsidR="00480B30" w:rsidRPr="00286216" w:rsidRDefault="00480B30" w:rsidP="00480B30">
            <w:pPr>
              <w:pStyle w:val="StyleWisnow"/>
              <w:rPr>
                <w:color w:val="000000" w:themeColor="text1"/>
              </w:rPr>
            </w:pPr>
          </w:p>
          <w:p w14:paraId="37369B2B" w14:textId="77777777" w:rsidR="00480B30" w:rsidRPr="00286216" w:rsidRDefault="00480B30" w:rsidP="00480B30">
            <w:pPr>
              <w:pStyle w:val="StyleWisnow"/>
              <w:rPr>
                <w:color w:val="000000" w:themeColor="text1"/>
              </w:rPr>
            </w:pPr>
          </w:p>
          <w:p w14:paraId="44EB8841" w14:textId="77777777" w:rsidR="00480B30" w:rsidRPr="00286216" w:rsidRDefault="00480B30" w:rsidP="00480B30">
            <w:pPr>
              <w:pStyle w:val="StyleWisnow"/>
              <w:rPr>
                <w:color w:val="000000" w:themeColor="text1"/>
              </w:rPr>
            </w:pPr>
          </w:p>
          <w:p w14:paraId="1AD6F1F8" w14:textId="77777777" w:rsidR="00480B30" w:rsidRPr="00286216" w:rsidRDefault="00480B30" w:rsidP="00480B30">
            <w:pPr>
              <w:pStyle w:val="StyleWisnow"/>
              <w:rPr>
                <w:color w:val="000000" w:themeColor="text1"/>
              </w:rPr>
            </w:pPr>
          </w:p>
          <w:p w14:paraId="4DEA0D0D" w14:textId="77777777" w:rsidR="00480B30" w:rsidRPr="00286216" w:rsidRDefault="00480B30" w:rsidP="00480B30">
            <w:pPr>
              <w:pStyle w:val="StyleWisnow"/>
              <w:rPr>
                <w:color w:val="000000" w:themeColor="text1"/>
              </w:rPr>
            </w:pPr>
          </w:p>
          <w:p w14:paraId="2703803E" w14:textId="77777777" w:rsidR="00480B30" w:rsidRPr="00286216" w:rsidRDefault="00480B30" w:rsidP="00480B30">
            <w:pPr>
              <w:pStyle w:val="StyleWisnow"/>
              <w:rPr>
                <w:color w:val="000000" w:themeColor="text1"/>
              </w:rPr>
            </w:pPr>
          </w:p>
          <w:p w14:paraId="4C5BA02B" w14:textId="77777777" w:rsidR="00480B30" w:rsidRPr="00286216" w:rsidRDefault="00480B30" w:rsidP="00480B30">
            <w:pPr>
              <w:pStyle w:val="StyleWisnow"/>
              <w:rPr>
                <w:color w:val="000000" w:themeColor="text1"/>
              </w:rPr>
            </w:pPr>
          </w:p>
          <w:p w14:paraId="721C5CB2" w14:textId="77777777" w:rsidR="00480B30" w:rsidRPr="00286216" w:rsidRDefault="00480B30" w:rsidP="00480B30">
            <w:pPr>
              <w:pStyle w:val="StyleWisnow"/>
              <w:rPr>
                <w:color w:val="000000" w:themeColor="text1"/>
              </w:rPr>
            </w:pPr>
          </w:p>
          <w:p w14:paraId="451D1904" w14:textId="77777777" w:rsidR="00480B30" w:rsidRPr="00286216" w:rsidRDefault="00480B30" w:rsidP="00480B30">
            <w:pPr>
              <w:pStyle w:val="StyleWisnow"/>
              <w:rPr>
                <w:color w:val="000000" w:themeColor="text1"/>
              </w:rPr>
            </w:pPr>
          </w:p>
          <w:p w14:paraId="08558E24" w14:textId="77777777" w:rsidR="00480B30" w:rsidRPr="00286216" w:rsidRDefault="00480B30" w:rsidP="00480B30">
            <w:pPr>
              <w:pStyle w:val="StyleWisnow"/>
              <w:rPr>
                <w:color w:val="000000" w:themeColor="text1"/>
              </w:rPr>
            </w:pPr>
          </w:p>
          <w:p w14:paraId="553AACD4" w14:textId="77777777" w:rsidR="00480B30" w:rsidRPr="00286216" w:rsidRDefault="00480B30" w:rsidP="00480B30">
            <w:pPr>
              <w:pStyle w:val="StyleWisnow"/>
              <w:rPr>
                <w:color w:val="000000" w:themeColor="text1"/>
              </w:rPr>
            </w:pPr>
          </w:p>
          <w:p w14:paraId="4705323B" w14:textId="77777777" w:rsidR="00480B30" w:rsidRPr="00286216" w:rsidRDefault="00480B30" w:rsidP="00480B30">
            <w:pPr>
              <w:pStyle w:val="StyleWisnow"/>
              <w:rPr>
                <w:color w:val="000000" w:themeColor="text1"/>
              </w:rPr>
            </w:pPr>
          </w:p>
          <w:p w14:paraId="2D64ECE2" w14:textId="77777777" w:rsidR="00480B30" w:rsidRPr="00286216" w:rsidRDefault="00480B30" w:rsidP="00480B30">
            <w:pPr>
              <w:pStyle w:val="StyleWisnow"/>
              <w:rPr>
                <w:color w:val="000000" w:themeColor="text1"/>
              </w:rPr>
            </w:pPr>
          </w:p>
          <w:p w14:paraId="13E05FB7" w14:textId="77777777" w:rsidR="00480B30" w:rsidRPr="00286216" w:rsidRDefault="00480B30" w:rsidP="00480B30">
            <w:pPr>
              <w:pStyle w:val="StyleWisnow"/>
              <w:rPr>
                <w:color w:val="000000" w:themeColor="text1"/>
              </w:rPr>
            </w:pPr>
          </w:p>
          <w:p w14:paraId="21C49925" w14:textId="77777777" w:rsidR="00480B30" w:rsidRPr="00286216" w:rsidRDefault="00480B30" w:rsidP="00480B30">
            <w:pPr>
              <w:pStyle w:val="StyleWisnow"/>
              <w:rPr>
                <w:color w:val="000000" w:themeColor="text1"/>
              </w:rPr>
            </w:pPr>
          </w:p>
          <w:p w14:paraId="0E33D39F" w14:textId="77777777" w:rsidR="00480B30" w:rsidRPr="00286216" w:rsidRDefault="00480B30" w:rsidP="00480B30">
            <w:pPr>
              <w:pStyle w:val="StyleWisnow"/>
              <w:rPr>
                <w:color w:val="000000" w:themeColor="text1"/>
              </w:rPr>
            </w:pPr>
          </w:p>
          <w:p w14:paraId="754A308F" w14:textId="77777777" w:rsidR="00480B30" w:rsidRPr="00286216" w:rsidRDefault="00480B30" w:rsidP="00480B30">
            <w:pPr>
              <w:pStyle w:val="StyleWisnow"/>
              <w:rPr>
                <w:color w:val="000000" w:themeColor="text1"/>
              </w:rPr>
            </w:pPr>
          </w:p>
          <w:p w14:paraId="3A35C7D3" w14:textId="77777777" w:rsidR="00480B30" w:rsidRPr="00286216" w:rsidRDefault="00480B30" w:rsidP="00480B30">
            <w:pPr>
              <w:pStyle w:val="StyleWisnow"/>
              <w:rPr>
                <w:color w:val="000000" w:themeColor="text1"/>
              </w:rPr>
            </w:pPr>
          </w:p>
          <w:p w14:paraId="3C3FB674" w14:textId="77777777" w:rsidR="00480B30" w:rsidRPr="00286216" w:rsidRDefault="00480B30" w:rsidP="00480B30">
            <w:pPr>
              <w:pStyle w:val="StyleWisnow"/>
              <w:rPr>
                <w:color w:val="000000" w:themeColor="text1"/>
              </w:rPr>
            </w:pPr>
          </w:p>
          <w:p w14:paraId="734760F2" w14:textId="77777777" w:rsidR="00480B30" w:rsidRPr="00286216" w:rsidRDefault="00480B30" w:rsidP="00480B30">
            <w:pPr>
              <w:pStyle w:val="StyleWisnow"/>
              <w:rPr>
                <w:color w:val="000000" w:themeColor="text1"/>
              </w:rPr>
            </w:pPr>
          </w:p>
          <w:p w14:paraId="145F17D5" w14:textId="77777777" w:rsidR="00480B30" w:rsidRPr="00286216" w:rsidRDefault="00480B30" w:rsidP="00480B30">
            <w:pPr>
              <w:pStyle w:val="StyleWisnow"/>
              <w:rPr>
                <w:color w:val="000000" w:themeColor="text1"/>
              </w:rPr>
            </w:pPr>
          </w:p>
          <w:p w14:paraId="1F21F9DB" w14:textId="77777777" w:rsidR="00480B30" w:rsidRPr="00286216" w:rsidRDefault="00480B30" w:rsidP="00480B30">
            <w:pPr>
              <w:pStyle w:val="StyleWisnow"/>
              <w:rPr>
                <w:color w:val="000000" w:themeColor="text1"/>
              </w:rPr>
            </w:pPr>
          </w:p>
          <w:p w14:paraId="757B183A" w14:textId="77777777" w:rsidR="00480B30" w:rsidRPr="00286216" w:rsidRDefault="00480B30" w:rsidP="00480B30">
            <w:pPr>
              <w:pStyle w:val="StyleWisnow"/>
              <w:rPr>
                <w:color w:val="000000" w:themeColor="text1"/>
              </w:rPr>
            </w:pPr>
          </w:p>
          <w:p w14:paraId="0E5D68D4" w14:textId="77777777" w:rsidR="00480B30" w:rsidRPr="00286216" w:rsidRDefault="00480B30" w:rsidP="00480B30">
            <w:pPr>
              <w:pStyle w:val="StyleWisnow"/>
              <w:rPr>
                <w:color w:val="000000" w:themeColor="text1"/>
              </w:rPr>
            </w:pPr>
          </w:p>
          <w:p w14:paraId="308B34F4" w14:textId="77777777" w:rsidR="00480B30" w:rsidRPr="00286216" w:rsidRDefault="00480B30" w:rsidP="00480B30">
            <w:pPr>
              <w:pStyle w:val="StyleWisnow"/>
              <w:rPr>
                <w:color w:val="000000" w:themeColor="text1"/>
              </w:rPr>
            </w:pPr>
          </w:p>
          <w:p w14:paraId="677B475C" w14:textId="77777777" w:rsidR="00480B30" w:rsidRPr="00286216" w:rsidRDefault="00480B30" w:rsidP="00480B30">
            <w:pPr>
              <w:pStyle w:val="StyleWisnow"/>
              <w:rPr>
                <w:color w:val="000000" w:themeColor="text1"/>
              </w:rPr>
            </w:pPr>
          </w:p>
          <w:p w14:paraId="7F6D82A3" w14:textId="77777777" w:rsidR="00480B30" w:rsidRPr="00286216" w:rsidRDefault="00480B30" w:rsidP="00480B30">
            <w:pPr>
              <w:pStyle w:val="StyleWisnow"/>
              <w:rPr>
                <w:color w:val="000000" w:themeColor="text1"/>
              </w:rPr>
            </w:pPr>
          </w:p>
          <w:p w14:paraId="672DEC56" w14:textId="77777777" w:rsidR="00480B30" w:rsidRPr="00286216" w:rsidRDefault="00480B30" w:rsidP="00480B30">
            <w:pPr>
              <w:pStyle w:val="StyleWisnow"/>
              <w:rPr>
                <w:color w:val="000000" w:themeColor="text1"/>
              </w:rPr>
            </w:pPr>
          </w:p>
          <w:p w14:paraId="67D08EBC" w14:textId="77777777" w:rsidR="00480B30" w:rsidRPr="00286216" w:rsidRDefault="00480B30" w:rsidP="00480B30">
            <w:pPr>
              <w:pStyle w:val="StyleWisnow"/>
              <w:rPr>
                <w:color w:val="000000" w:themeColor="text1"/>
              </w:rPr>
            </w:pPr>
          </w:p>
          <w:p w14:paraId="4700BDEE" w14:textId="77777777" w:rsidR="00480B30" w:rsidRPr="00286216" w:rsidRDefault="00480B30" w:rsidP="00480B30">
            <w:pPr>
              <w:pStyle w:val="StyleWisnow"/>
              <w:rPr>
                <w:color w:val="000000" w:themeColor="text1"/>
              </w:rPr>
            </w:pPr>
          </w:p>
          <w:p w14:paraId="02832211" w14:textId="77777777" w:rsidR="00480B30" w:rsidRPr="00286216" w:rsidRDefault="00480B30" w:rsidP="00480B30">
            <w:pPr>
              <w:pStyle w:val="StyleWisnow"/>
              <w:rPr>
                <w:color w:val="000000" w:themeColor="text1"/>
              </w:rPr>
            </w:pPr>
          </w:p>
          <w:p w14:paraId="7BBE880A" w14:textId="77777777" w:rsidR="00480B30" w:rsidRPr="00286216" w:rsidRDefault="00480B30" w:rsidP="00480B30">
            <w:pPr>
              <w:pStyle w:val="StyleWisnow"/>
              <w:rPr>
                <w:color w:val="000000" w:themeColor="text1"/>
              </w:rPr>
            </w:pPr>
          </w:p>
          <w:p w14:paraId="5775EBBC" w14:textId="77777777" w:rsidR="00480B30" w:rsidRPr="00286216" w:rsidRDefault="00480B30" w:rsidP="00480B30">
            <w:pPr>
              <w:pStyle w:val="StyleWisnow"/>
              <w:rPr>
                <w:color w:val="000000" w:themeColor="text1"/>
              </w:rPr>
            </w:pPr>
          </w:p>
          <w:p w14:paraId="61E15EB1" w14:textId="77777777" w:rsidR="00480B30" w:rsidRPr="00286216" w:rsidRDefault="00480B30" w:rsidP="00480B30">
            <w:pPr>
              <w:pStyle w:val="StyleWisnow"/>
              <w:rPr>
                <w:color w:val="000000" w:themeColor="text1"/>
              </w:rPr>
            </w:pPr>
          </w:p>
          <w:p w14:paraId="1DFA8C83" w14:textId="77777777" w:rsidR="00480B30" w:rsidRPr="00286216" w:rsidRDefault="00480B30" w:rsidP="00480B30">
            <w:pPr>
              <w:pStyle w:val="StyleWisnow"/>
              <w:rPr>
                <w:color w:val="000000" w:themeColor="text1"/>
              </w:rPr>
            </w:pPr>
          </w:p>
          <w:p w14:paraId="2FED39C2" w14:textId="77777777" w:rsidR="00480B30" w:rsidRPr="00286216" w:rsidRDefault="00480B30" w:rsidP="00480B30">
            <w:pPr>
              <w:pStyle w:val="StyleWisnow"/>
              <w:rPr>
                <w:color w:val="000000" w:themeColor="text1"/>
              </w:rPr>
            </w:pPr>
          </w:p>
          <w:p w14:paraId="3ACD9BD9" w14:textId="77777777" w:rsidR="00480B30" w:rsidRPr="00286216" w:rsidRDefault="00480B30" w:rsidP="00480B30">
            <w:pPr>
              <w:pStyle w:val="StyleWisnow"/>
              <w:rPr>
                <w:color w:val="000000" w:themeColor="text1"/>
              </w:rPr>
            </w:pPr>
          </w:p>
          <w:p w14:paraId="7CE09B89" w14:textId="77777777" w:rsidR="00480B30" w:rsidRPr="00286216" w:rsidRDefault="00480B30" w:rsidP="00480B30">
            <w:pPr>
              <w:pStyle w:val="StyleWisnow"/>
              <w:rPr>
                <w:color w:val="000000" w:themeColor="text1"/>
              </w:rPr>
            </w:pPr>
          </w:p>
          <w:p w14:paraId="4FBBD074" w14:textId="77777777" w:rsidR="00480B30" w:rsidRPr="00286216" w:rsidRDefault="00480B30" w:rsidP="00480B30">
            <w:pPr>
              <w:pStyle w:val="StyleWisnow"/>
              <w:rPr>
                <w:color w:val="000000" w:themeColor="text1"/>
              </w:rPr>
            </w:pPr>
          </w:p>
          <w:p w14:paraId="7338CB61" w14:textId="77777777" w:rsidR="00480B30" w:rsidRPr="00286216" w:rsidRDefault="00480B30" w:rsidP="00480B30">
            <w:pPr>
              <w:pStyle w:val="StyleWisnow"/>
              <w:rPr>
                <w:color w:val="000000" w:themeColor="text1"/>
              </w:rPr>
            </w:pPr>
          </w:p>
          <w:p w14:paraId="64DF2EE3" w14:textId="77777777" w:rsidR="00480B30" w:rsidRPr="00286216" w:rsidRDefault="00480B30" w:rsidP="00480B30">
            <w:pPr>
              <w:pStyle w:val="StyleWisnow"/>
              <w:rPr>
                <w:color w:val="000000" w:themeColor="text1"/>
              </w:rPr>
            </w:pPr>
          </w:p>
          <w:p w14:paraId="6116B4F9" w14:textId="77777777" w:rsidR="00480B30" w:rsidRPr="00286216" w:rsidRDefault="00480B30" w:rsidP="00480B30">
            <w:pPr>
              <w:pStyle w:val="StyleWisnow"/>
              <w:rPr>
                <w:color w:val="000000" w:themeColor="text1"/>
              </w:rPr>
            </w:pPr>
          </w:p>
          <w:p w14:paraId="3F298D9F" w14:textId="77777777" w:rsidR="00480B30" w:rsidRPr="00286216" w:rsidRDefault="00480B30" w:rsidP="00480B30">
            <w:pPr>
              <w:pStyle w:val="StyleWisnow"/>
              <w:rPr>
                <w:color w:val="000000" w:themeColor="text1"/>
              </w:rPr>
            </w:pPr>
          </w:p>
          <w:p w14:paraId="382AEC72" w14:textId="77777777" w:rsidR="00480B30" w:rsidRPr="00286216" w:rsidRDefault="00480B30" w:rsidP="00480B30">
            <w:pPr>
              <w:pStyle w:val="StyleWisnow"/>
              <w:rPr>
                <w:color w:val="000000" w:themeColor="text1"/>
              </w:rPr>
            </w:pPr>
          </w:p>
          <w:p w14:paraId="61BDA987" w14:textId="77777777" w:rsidR="00480B30" w:rsidRPr="00286216" w:rsidRDefault="00480B30" w:rsidP="00480B30">
            <w:pPr>
              <w:pStyle w:val="StyleWisnow"/>
              <w:rPr>
                <w:color w:val="000000" w:themeColor="text1"/>
              </w:rPr>
            </w:pPr>
          </w:p>
          <w:p w14:paraId="441D9142" w14:textId="77777777" w:rsidR="00480B30" w:rsidRPr="00286216" w:rsidRDefault="00480B30" w:rsidP="00480B30">
            <w:pPr>
              <w:pStyle w:val="StyleWisnow"/>
              <w:rPr>
                <w:color w:val="000000" w:themeColor="text1"/>
              </w:rPr>
            </w:pPr>
          </w:p>
          <w:p w14:paraId="3D5A7C6D" w14:textId="77777777" w:rsidR="00480B30" w:rsidRPr="00286216" w:rsidRDefault="00480B30" w:rsidP="00480B30">
            <w:pPr>
              <w:pStyle w:val="StyleWisnow"/>
              <w:rPr>
                <w:color w:val="000000" w:themeColor="text1"/>
              </w:rPr>
            </w:pPr>
          </w:p>
          <w:p w14:paraId="53642735" w14:textId="77777777" w:rsidR="00480B30" w:rsidRPr="00286216" w:rsidRDefault="00480B30" w:rsidP="00480B30">
            <w:pPr>
              <w:pStyle w:val="StyleWisnow"/>
              <w:rPr>
                <w:color w:val="000000" w:themeColor="text1"/>
              </w:rPr>
            </w:pPr>
          </w:p>
          <w:p w14:paraId="008458BC" w14:textId="77777777" w:rsidR="00480B30" w:rsidRPr="00286216" w:rsidRDefault="00480B30" w:rsidP="00480B30">
            <w:pPr>
              <w:pStyle w:val="StyleWisnow"/>
              <w:rPr>
                <w:color w:val="000000" w:themeColor="text1"/>
              </w:rPr>
            </w:pPr>
          </w:p>
          <w:p w14:paraId="704CC6FC" w14:textId="77777777" w:rsidR="00480B30" w:rsidRPr="00286216" w:rsidRDefault="00480B30" w:rsidP="00480B30">
            <w:pPr>
              <w:pStyle w:val="StyleWisnow"/>
              <w:rPr>
                <w:color w:val="000000" w:themeColor="text1"/>
              </w:rPr>
            </w:pPr>
          </w:p>
          <w:p w14:paraId="4C7AB592" w14:textId="77777777" w:rsidR="00480B30" w:rsidRPr="00286216" w:rsidRDefault="00480B30" w:rsidP="00480B30">
            <w:pPr>
              <w:pStyle w:val="StyleWisnow"/>
              <w:rPr>
                <w:color w:val="000000" w:themeColor="text1"/>
              </w:rPr>
            </w:pPr>
          </w:p>
          <w:p w14:paraId="1A94895E" w14:textId="77777777" w:rsidR="00480B30" w:rsidRPr="00286216" w:rsidRDefault="00480B30" w:rsidP="00480B30">
            <w:pPr>
              <w:pStyle w:val="StyleWisnow"/>
              <w:rPr>
                <w:color w:val="000000" w:themeColor="text1"/>
              </w:rPr>
            </w:pPr>
          </w:p>
          <w:p w14:paraId="4F66A121" w14:textId="77777777" w:rsidR="00480B30" w:rsidRPr="00286216" w:rsidRDefault="00480B30" w:rsidP="00480B30">
            <w:pPr>
              <w:pStyle w:val="StyleWisnow"/>
              <w:rPr>
                <w:color w:val="000000" w:themeColor="text1"/>
              </w:rPr>
            </w:pPr>
          </w:p>
          <w:p w14:paraId="2F4061DB" w14:textId="77777777" w:rsidR="00480B30" w:rsidRPr="00286216" w:rsidRDefault="00480B30" w:rsidP="00480B30">
            <w:pPr>
              <w:pStyle w:val="StyleWisnow"/>
              <w:rPr>
                <w:color w:val="000000" w:themeColor="text1"/>
              </w:rPr>
            </w:pPr>
          </w:p>
          <w:p w14:paraId="53F6D37E" w14:textId="77777777" w:rsidR="00480B30" w:rsidRPr="00286216" w:rsidRDefault="00480B30" w:rsidP="00480B30">
            <w:pPr>
              <w:pStyle w:val="StyleWisnow"/>
              <w:rPr>
                <w:color w:val="000000" w:themeColor="text1"/>
              </w:rPr>
            </w:pPr>
          </w:p>
          <w:p w14:paraId="3F1C66CF" w14:textId="77777777" w:rsidR="00480B30" w:rsidRPr="00286216" w:rsidRDefault="00480B30" w:rsidP="00480B30">
            <w:pPr>
              <w:pStyle w:val="StyleWisnow"/>
              <w:rPr>
                <w:color w:val="000000" w:themeColor="text1"/>
              </w:rPr>
            </w:pPr>
          </w:p>
          <w:p w14:paraId="3FA0EB77" w14:textId="77777777" w:rsidR="00480B30" w:rsidRPr="00286216" w:rsidRDefault="00480B30" w:rsidP="00480B30">
            <w:pPr>
              <w:pStyle w:val="StyleWisnow"/>
              <w:rPr>
                <w:color w:val="000000" w:themeColor="text1"/>
              </w:rPr>
            </w:pPr>
          </w:p>
          <w:p w14:paraId="1B760D06" w14:textId="77777777" w:rsidR="00480B30" w:rsidRPr="00286216" w:rsidRDefault="00480B30" w:rsidP="00480B30">
            <w:pPr>
              <w:pStyle w:val="StyleWisnow"/>
              <w:rPr>
                <w:color w:val="000000" w:themeColor="text1"/>
              </w:rPr>
            </w:pPr>
          </w:p>
          <w:p w14:paraId="1ADE5C06" w14:textId="77777777" w:rsidR="00480B30" w:rsidRPr="00286216" w:rsidRDefault="00480B30" w:rsidP="00480B30">
            <w:pPr>
              <w:pStyle w:val="StyleWisnow"/>
              <w:rPr>
                <w:color w:val="000000" w:themeColor="text1"/>
              </w:rPr>
            </w:pPr>
          </w:p>
          <w:p w14:paraId="5F7D1889" w14:textId="77777777" w:rsidR="00480B30" w:rsidRPr="00286216" w:rsidRDefault="00480B30" w:rsidP="00480B30">
            <w:pPr>
              <w:pStyle w:val="StyleWisnow"/>
              <w:rPr>
                <w:color w:val="000000" w:themeColor="text1"/>
              </w:rPr>
            </w:pPr>
          </w:p>
          <w:p w14:paraId="5D232F1D" w14:textId="77777777" w:rsidR="00480B30" w:rsidRPr="00286216" w:rsidRDefault="00480B30" w:rsidP="00480B30">
            <w:pPr>
              <w:pStyle w:val="StyleWisnow"/>
              <w:rPr>
                <w:color w:val="000000" w:themeColor="text1"/>
              </w:rPr>
            </w:pPr>
          </w:p>
          <w:p w14:paraId="29D3423B" w14:textId="77777777" w:rsidR="00480B30" w:rsidRPr="00286216" w:rsidRDefault="00480B30" w:rsidP="00480B30">
            <w:pPr>
              <w:pStyle w:val="StyleWisnow"/>
              <w:rPr>
                <w:color w:val="000000" w:themeColor="text1"/>
              </w:rPr>
            </w:pPr>
          </w:p>
          <w:p w14:paraId="28A08AFB" w14:textId="77777777" w:rsidR="00480B30" w:rsidRPr="00286216" w:rsidRDefault="00480B30" w:rsidP="00480B30">
            <w:pPr>
              <w:pStyle w:val="StyleWisnow"/>
              <w:rPr>
                <w:color w:val="000000" w:themeColor="text1"/>
              </w:rPr>
            </w:pPr>
          </w:p>
          <w:p w14:paraId="320085D8" w14:textId="77777777" w:rsidR="00480B30" w:rsidRPr="00286216" w:rsidRDefault="00480B30" w:rsidP="00480B30">
            <w:pPr>
              <w:pStyle w:val="StyleWisnow"/>
              <w:rPr>
                <w:color w:val="000000" w:themeColor="text1"/>
              </w:rPr>
            </w:pPr>
          </w:p>
          <w:p w14:paraId="591B6DF5" w14:textId="77777777" w:rsidR="00480B30" w:rsidRPr="00286216" w:rsidRDefault="00480B30" w:rsidP="00480B30">
            <w:pPr>
              <w:pStyle w:val="StyleWisnow"/>
              <w:rPr>
                <w:color w:val="000000" w:themeColor="text1"/>
              </w:rPr>
            </w:pPr>
          </w:p>
          <w:p w14:paraId="0C563C94" w14:textId="77777777" w:rsidR="00480B30" w:rsidRPr="00286216" w:rsidRDefault="00480B30" w:rsidP="00480B30">
            <w:pPr>
              <w:pStyle w:val="StyleWisnow"/>
              <w:rPr>
                <w:color w:val="000000" w:themeColor="text1"/>
              </w:rPr>
            </w:pPr>
          </w:p>
          <w:p w14:paraId="635EB4CF" w14:textId="77777777" w:rsidR="00480B30" w:rsidRPr="00286216" w:rsidRDefault="00480B30" w:rsidP="00480B30">
            <w:pPr>
              <w:pStyle w:val="StyleWisnow"/>
              <w:rPr>
                <w:color w:val="000000" w:themeColor="text1"/>
              </w:rPr>
            </w:pPr>
          </w:p>
          <w:p w14:paraId="434B4822" w14:textId="29CD293A" w:rsidR="00480B30" w:rsidRPr="00286216" w:rsidRDefault="00480B30" w:rsidP="00480B30">
            <w:pPr>
              <w:pStyle w:val="StyleWisnow"/>
              <w:rPr>
                <w:color w:val="000000" w:themeColor="text1"/>
              </w:rPr>
            </w:pPr>
          </w:p>
          <w:p w14:paraId="3EB34DE4" w14:textId="77777777" w:rsidR="00480B30" w:rsidRPr="00286216" w:rsidRDefault="00480B30" w:rsidP="00480B30">
            <w:pPr>
              <w:pStyle w:val="StyleWisnow"/>
              <w:rPr>
                <w:color w:val="000000" w:themeColor="text1"/>
              </w:rPr>
            </w:pPr>
          </w:p>
          <w:p w14:paraId="3A1B1F83" w14:textId="77777777" w:rsidR="00480B30" w:rsidRPr="00286216" w:rsidRDefault="00480B30" w:rsidP="00480B30">
            <w:pPr>
              <w:pStyle w:val="StyleWisnow"/>
              <w:rPr>
                <w:color w:val="000000" w:themeColor="text1"/>
              </w:rPr>
            </w:pPr>
          </w:p>
          <w:p w14:paraId="3D94B24A" w14:textId="77777777" w:rsidR="00480B30" w:rsidRPr="00286216" w:rsidRDefault="00480B30" w:rsidP="00480B30">
            <w:pPr>
              <w:pStyle w:val="StyleWisnow"/>
              <w:rPr>
                <w:color w:val="000000" w:themeColor="text1"/>
              </w:rPr>
            </w:pPr>
          </w:p>
          <w:p w14:paraId="0C88A896" w14:textId="5DC6B6EB" w:rsidR="00480B30" w:rsidRPr="00286216" w:rsidRDefault="00480B30" w:rsidP="00480B30">
            <w:pPr>
              <w:pStyle w:val="StyleWisnow"/>
              <w:rPr>
                <w:color w:val="000000" w:themeColor="text1"/>
              </w:rPr>
            </w:pPr>
          </w:p>
          <w:p w14:paraId="2B644145" w14:textId="77777777" w:rsidR="00480B30" w:rsidRPr="00286216" w:rsidRDefault="00480B30" w:rsidP="00480B30">
            <w:pPr>
              <w:pStyle w:val="StyleWisnow"/>
              <w:rPr>
                <w:color w:val="000000" w:themeColor="text1"/>
              </w:rPr>
            </w:pPr>
          </w:p>
          <w:p w14:paraId="1CF500FC" w14:textId="0B85AE90" w:rsidR="00480B30" w:rsidRPr="00286216" w:rsidRDefault="00480B30" w:rsidP="00480B30">
            <w:pPr>
              <w:pStyle w:val="StyleWisnow"/>
              <w:spacing w:line="200" w:lineRule="exact"/>
              <w:rPr>
                <w:color w:val="000000" w:themeColor="text1"/>
              </w:rPr>
            </w:pPr>
            <w:r w:rsidRPr="00286216">
              <w:rPr>
                <w:color w:val="000000" w:themeColor="text1"/>
              </w:rPr>
              <w:t>Враховано</w:t>
            </w:r>
          </w:p>
          <w:p w14:paraId="3955198F" w14:textId="07316DFA" w:rsidR="00480B30" w:rsidRPr="00286216" w:rsidRDefault="00480B30" w:rsidP="00480B30">
            <w:pPr>
              <w:pStyle w:val="StyleWisnow"/>
              <w:spacing w:line="180" w:lineRule="exact"/>
              <w:rPr>
                <w:color w:val="000000" w:themeColor="text1"/>
              </w:rPr>
            </w:pPr>
            <w:r w:rsidRPr="00286216">
              <w:rPr>
                <w:color w:val="000000" w:themeColor="text1"/>
              </w:rPr>
              <w:t xml:space="preserve">згідно з погодженою позицією щодо переліку документів для отримання погодження на придбання (збільшення) істотної участі в професійному </w:t>
            </w:r>
            <w:r w:rsidRPr="00286216">
              <w:rPr>
                <w:color w:val="000000" w:themeColor="text1"/>
              </w:rPr>
              <w:lastRenderedPageBreak/>
              <w:t>учаснику</w:t>
            </w:r>
          </w:p>
        </w:tc>
        <w:tc>
          <w:tcPr>
            <w:tcW w:w="4818" w:type="dxa"/>
          </w:tcPr>
          <w:p w14:paraId="11450A3B" w14:textId="77777777" w:rsidR="00480B30" w:rsidRPr="00286216" w:rsidRDefault="00480B30" w:rsidP="00480B30">
            <w:pPr>
              <w:pStyle w:val="StyleZakonu"/>
              <w:rPr>
                <w:color w:val="000000" w:themeColor="text1"/>
              </w:rPr>
            </w:pPr>
            <w:r w:rsidRPr="00286216">
              <w:rPr>
                <w:color w:val="000000" w:themeColor="text1"/>
              </w:rPr>
              <w:lastRenderedPageBreak/>
              <w:t>Стаття 74. Участь у професійних учасниках ринків капіталу та організованих товарних ринків</w:t>
            </w:r>
          </w:p>
          <w:p w14:paraId="20A64231" w14:textId="77777777" w:rsidR="00480B30" w:rsidRPr="00286216" w:rsidRDefault="00480B30" w:rsidP="00480B30">
            <w:pPr>
              <w:pStyle w:val="StyleZakonu"/>
              <w:rPr>
                <w:color w:val="000000" w:themeColor="text1"/>
              </w:rPr>
            </w:pPr>
            <w:r w:rsidRPr="00286216">
              <w:rPr>
                <w:color w:val="000000" w:themeColor="text1"/>
              </w:rPr>
              <w:t>1. Юридична або фізична особа, яка має намір набути участь у професійному учаснику ринків капіталу та організованих товарних ринків (крім банків) або збільшити її таким чином, щоб прямо та/або опосередковано, самостійно чи спільно з іншими особами володіти 10, 25, 50, 75 і більше відсотками статутного капіталу професійного учасника ринків капіталу та організованих товарних ринків чи правом голосу акцій (часток) у статутному капіталі професійного учасника ринків капіталу та організованих товарних ринків, та/або яка має намір незалежно від формального володіння набути право справляти значний вплив на управління або діяльність професійного учасника ринків капіталу та організованих товарних ринків (далі – намір набути  або збільшити участь), зобов’язана до набуття такої участі або її збільшення повідомити про свої наміри цього професійного учасника ринків капіталу та організованих товарних ринків і погодити намір такого набуття з Національною комісією з цінних паперів та фондового ринку у встановленому нею порядку.</w:t>
            </w:r>
          </w:p>
          <w:p w14:paraId="25461397" w14:textId="77777777" w:rsidR="00480B30" w:rsidRPr="00286216" w:rsidRDefault="00480B30" w:rsidP="00480B30">
            <w:pPr>
              <w:pStyle w:val="StyleZakonu"/>
              <w:rPr>
                <w:color w:val="000000" w:themeColor="text1"/>
              </w:rPr>
            </w:pPr>
            <w:r w:rsidRPr="00286216">
              <w:rPr>
                <w:color w:val="000000" w:themeColor="text1"/>
              </w:rPr>
              <w:t xml:space="preserve">2. Особи, зазначені в частині першій цієї статті, </w:t>
            </w:r>
            <w:r w:rsidRPr="00286216">
              <w:rPr>
                <w:color w:val="000000" w:themeColor="text1"/>
              </w:rPr>
              <w:lastRenderedPageBreak/>
              <w:t>зобов’язані подати Національній комісії з цінних паперів та фондового ринку заяву про отримання погодження наміру набути або збільшити</w:t>
            </w:r>
            <w:r w:rsidRPr="00286216" w:rsidDel="007628CA">
              <w:rPr>
                <w:color w:val="000000" w:themeColor="text1"/>
              </w:rPr>
              <w:t xml:space="preserve"> </w:t>
            </w:r>
            <w:r w:rsidRPr="00286216">
              <w:rPr>
                <w:color w:val="000000" w:themeColor="text1"/>
              </w:rPr>
              <w:t>участь (далі – заява про намір) разом з повним переліком документів (у тому числі документів, що містять інформацію з обмеженим доступом), визначених цим Законом і нормативно-правовими актами Національної комісії з цінних паперів та фондового ринку.</w:t>
            </w:r>
          </w:p>
          <w:p w14:paraId="0C6A4DC4" w14:textId="77777777" w:rsidR="00480B30" w:rsidRPr="00286216" w:rsidRDefault="00480B30" w:rsidP="00480B30">
            <w:pPr>
              <w:pStyle w:val="StyleZakonu"/>
              <w:rPr>
                <w:color w:val="000000" w:themeColor="text1"/>
              </w:rPr>
            </w:pPr>
            <w:r w:rsidRPr="00286216">
              <w:rPr>
                <w:color w:val="000000" w:themeColor="text1"/>
              </w:rPr>
              <w:t xml:space="preserve">Особи, зазначені в частині першій цієї статті, не подають документів, які Національна комісія з цінних паперів та фондового ринку може безоплатно отримати з державних реєстрів. У такому разі юридична або фізична особа зазначає державний реєстр, що містить необхідну інформацію.  </w:t>
            </w:r>
          </w:p>
          <w:p w14:paraId="65361DBC" w14:textId="77777777" w:rsidR="00480B30" w:rsidRPr="00286216" w:rsidRDefault="00480B30" w:rsidP="00480B30">
            <w:pPr>
              <w:pStyle w:val="StyleZakonu"/>
              <w:rPr>
                <w:color w:val="000000" w:themeColor="text1"/>
              </w:rPr>
            </w:pPr>
            <w:r w:rsidRPr="00286216">
              <w:rPr>
                <w:color w:val="000000" w:themeColor="text1"/>
              </w:rPr>
              <w:t xml:space="preserve">Особи, зазначені в частині першій цієї статті, які подали будь-яку інформацію, передбачену цією статтею, Національному банку України або Національній комісії з цінних паперів та фондового ринку на виконання вимог цього або іншого закону, мають право не подавати інформацію повторно, зазначивши дату подачі такої інформації та ідентифікаційні дані супровідного документа, за умови надання заяви, що раніше подана інформація є актуальною станом на дату подачі заяви про намір. </w:t>
            </w:r>
          </w:p>
          <w:p w14:paraId="681FA4B7" w14:textId="77777777" w:rsidR="00480B30" w:rsidRPr="00286216" w:rsidRDefault="00480B30" w:rsidP="00480B30">
            <w:pPr>
              <w:pStyle w:val="StyleZakonu"/>
              <w:rPr>
                <w:color w:val="000000" w:themeColor="text1"/>
              </w:rPr>
            </w:pPr>
            <w:r w:rsidRPr="00286216">
              <w:rPr>
                <w:color w:val="000000" w:themeColor="text1"/>
              </w:rPr>
              <w:t>Національна комісія з цінних паперів та фондового ринку та Національний банк України зобов’язані у визначеному ними порядку здійснювати обмін інформацією, копіями документів та результатами проведення оцінки ділової репутації щодо осіб, державне регулювання діяльності яких вони здійснюють.</w:t>
            </w:r>
          </w:p>
          <w:p w14:paraId="20FEDE25" w14:textId="77777777" w:rsidR="00480B30" w:rsidRPr="00286216" w:rsidRDefault="00480B30" w:rsidP="00480B30">
            <w:pPr>
              <w:pStyle w:val="StyleZakonu"/>
              <w:rPr>
                <w:color w:val="000000" w:themeColor="text1"/>
                <w:spacing w:val="-2"/>
              </w:rPr>
            </w:pPr>
            <w:r w:rsidRPr="00286216">
              <w:rPr>
                <w:color w:val="000000" w:themeColor="text1"/>
              </w:rPr>
              <w:t>Документи та інформація, що містять банківську таємницю, надаються в порядку та на умовах, визначених Законом України "Про банки і банківську діяльність".</w:t>
            </w:r>
          </w:p>
          <w:p w14:paraId="6C9CE6DD" w14:textId="77777777" w:rsidR="00480B30" w:rsidRPr="00286216" w:rsidRDefault="00480B30" w:rsidP="00480B30">
            <w:pPr>
              <w:pStyle w:val="StyleZakonu"/>
              <w:rPr>
                <w:color w:val="000000" w:themeColor="text1"/>
              </w:rPr>
            </w:pPr>
            <w:r w:rsidRPr="00286216">
              <w:rPr>
                <w:color w:val="000000" w:themeColor="text1"/>
              </w:rPr>
              <w:t xml:space="preserve">3. Національна комісія з цінних паперів та фондового ринку протягом двох робочих днів з дня отримання документів, передбачених частинами дев’ятою – одинадцятою і тринадцятою цієї статті, письмово повідомляє особу, яка має намір набути або  збільшити участь, про отримання повного переліку документів із зазначенням дати закінчення розгляду документів або про залишення документів без </w:t>
            </w:r>
            <w:r w:rsidRPr="00286216">
              <w:rPr>
                <w:color w:val="000000" w:themeColor="text1"/>
              </w:rPr>
              <w:lastRenderedPageBreak/>
              <w:t>розгляду у зв’язку з отриманням неповного переліку документів.</w:t>
            </w:r>
          </w:p>
          <w:p w14:paraId="5A5199AE" w14:textId="77777777" w:rsidR="00480B30" w:rsidRPr="00286216" w:rsidRDefault="00480B30" w:rsidP="00480B30">
            <w:pPr>
              <w:pStyle w:val="StyleZakonu"/>
              <w:rPr>
                <w:color w:val="000000" w:themeColor="text1"/>
              </w:rPr>
            </w:pPr>
            <w:r w:rsidRPr="00286216">
              <w:rPr>
                <w:color w:val="000000" w:themeColor="text1"/>
              </w:rPr>
              <w:t xml:space="preserve">Повідомлення про залишення документів без розгляду має містити перелік документів, не поданих особою, яка має намір набути або  збільшити участь, до Національної комісії з цінних паперів та фондового ринку. </w:t>
            </w:r>
          </w:p>
          <w:p w14:paraId="0781898C" w14:textId="77777777" w:rsidR="00480B30" w:rsidRPr="00286216" w:rsidRDefault="00480B30" w:rsidP="00480B30">
            <w:pPr>
              <w:pStyle w:val="StyleZakonu"/>
              <w:rPr>
                <w:color w:val="000000" w:themeColor="text1"/>
              </w:rPr>
            </w:pPr>
            <w:r w:rsidRPr="00286216">
              <w:rPr>
                <w:color w:val="000000" w:themeColor="text1"/>
              </w:rPr>
              <w:t>4. Національна комісія з цінних паперів та фондового ринку розглядає документи, визначені цією статтею, протягом 60 робочих днів з дня направлення передбаченого частиною третьою цієї статті повідомлення про отримання повного переліку документів.</w:t>
            </w:r>
          </w:p>
          <w:p w14:paraId="0F867177" w14:textId="77777777" w:rsidR="00480B30" w:rsidRPr="00286216" w:rsidRDefault="00480B30" w:rsidP="00480B30">
            <w:pPr>
              <w:pStyle w:val="StyleZakonu"/>
              <w:rPr>
                <w:color w:val="000000" w:themeColor="text1"/>
              </w:rPr>
            </w:pPr>
            <w:r w:rsidRPr="00286216">
              <w:rPr>
                <w:color w:val="000000" w:themeColor="text1"/>
              </w:rPr>
              <w:t xml:space="preserve">Протягом строку розгляду документів, але не пізніше ніж на 50 робочий день з дня отримання повного переліку відповідних документів, Національна комісія з цінних паперів та фондового ринку може одноразово письмово витребувати у осіб, зазначених у частині першій цієї статті, додаткові документи, необхідні для прийняття рішення про погодження наміру набути або збільшити участь, зазначивши вичерпний перелік необхідної додаткової інформації. У такому разі розгляд документів зупиняється до моменту отримання відповіді від осіб, зазначених у частині першій цієї статті, але не більше ніж на 20 робочих днів для отримання відповіді від осіб, зареєстрованих на території України, та на 30 робочих днів для отримання відповіді від осіб, зареєстрованих на території іноземної держави, а також для юридичних осіб, які мають намір набути або збільшити участь та не є фінансовими установами. </w:t>
            </w:r>
          </w:p>
          <w:p w14:paraId="33BB9F26" w14:textId="77777777" w:rsidR="00480B30" w:rsidRPr="00286216" w:rsidRDefault="00480B30" w:rsidP="00480B30">
            <w:pPr>
              <w:pStyle w:val="StyleZakonu"/>
              <w:rPr>
                <w:color w:val="000000" w:themeColor="text1"/>
              </w:rPr>
            </w:pPr>
            <w:r w:rsidRPr="00286216">
              <w:rPr>
                <w:color w:val="000000" w:themeColor="text1"/>
              </w:rPr>
              <w:t>Неотримання документів, що містять усю інформацію, зазначену в запиті, передбаченому абзацом другим цієї частини, є підставою для прийняття Національною комісією з цінних паперів та фондового ринку рішення про відмову в погодженні наміру набути або збільшити участь.</w:t>
            </w:r>
          </w:p>
          <w:p w14:paraId="3FD54222" w14:textId="77777777" w:rsidR="00480B30" w:rsidRPr="00286216" w:rsidRDefault="00480B30" w:rsidP="00480B30">
            <w:pPr>
              <w:pStyle w:val="StyleZakonu"/>
              <w:rPr>
                <w:color w:val="000000" w:themeColor="text1"/>
              </w:rPr>
            </w:pPr>
            <w:r w:rsidRPr="00286216">
              <w:rPr>
                <w:color w:val="000000" w:themeColor="text1"/>
              </w:rPr>
              <w:t xml:space="preserve">Національна комісія з цінних паперів та фондового ринку протягом двох робочих днів з дня отримання додаткових документів, передбачених цією частиною, письмово повідомляє особу, яка має намір набути або збільшити участь, про отримання таких документів. </w:t>
            </w:r>
          </w:p>
          <w:p w14:paraId="7356D735" w14:textId="77777777" w:rsidR="00480B30" w:rsidRPr="00286216" w:rsidRDefault="00480B30" w:rsidP="00480B30">
            <w:pPr>
              <w:pStyle w:val="StyleZakonu"/>
              <w:rPr>
                <w:color w:val="000000" w:themeColor="text1"/>
              </w:rPr>
            </w:pPr>
            <w:r w:rsidRPr="00286216">
              <w:rPr>
                <w:color w:val="000000" w:themeColor="text1"/>
              </w:rPr>
              <w:t xml:space="preserve"> У зв’язку з отриманням витребуваної додаткової </w:t>
            </w:r>
            <w:r w:rsidRPr="00286216">
              <w:rPr>
                <w:color w:val="000000" w:themeColor="text1"/>
              </w:rPr>
              <w:lastRenderedPageBreak/>
              <w:t xml:space="preserve">інформації Національна комісія з цінних паперів та фондового ринку може у разі виникнення необхідності запитувати уточнюючу інформацію. Запит уточнюючої інформації не зупиняє перебігу строку розгляду документів. </w:t>
            </w:r>
          </w:p>
          <w:p w14:paraId="658B09AF" w14:textId="77777777" w:rsidR="00480B30" w:rsidRPr="00286216" w:rsidRDefault="00480B30" w:rsidP="00480B30">
            <w:pPr>
              <w:pStyle w:val="StyleZakonu"/>
              <w:rPr>
                <w:color w:val="000000" w:themeColor="text1"/>
              </w:rPr>
            </w:pPr>
            <w:r w:rsidRPr="00286216">
              <w:rPr>
                <w:color w:val="000000" w:themeColor="text1"/>
              </w:rPr>
              <w:t>Національна комісія з цінних паперів та фондового ринку не може витребувати інформацію, що не стосується прийняття рішення про погодження наміру набути або збільшити участь  або про відмову в погодженні наміру набути або збільшити участь.</w:t>
            </w:r>
          </w:p>
          <w:p w14:paraId="21FF5B1D" w14:textId="77777777" w:rsidR="00480B30" w:rsidRPr="00286216" w:rsidRDefault="00480B30" w:rsidP="00480B30">
            <w:pPr>
              <w:pStyle w:val="StyleZakonu"/>
              <w:rPr>
                <w:color w:val="000000" w:themeColor="text1"/>
              </w:rPr>
            </w:pPr>
            <w:r w:rsidRPr="00286216">
              <w:rPr>
                <w:color w:val="000000" w:themeColor="text1"/>
              </w:rPr>
              <w:t>5. За результатами розгляду документів Національна комісія з цінних паперів та фондового ринку приймає рішення про погодження наміру набути або збільшити участь  або про відмову в погодженні наміру набути або збільшити участь.</w:t>
            </w:r>
          </w:p>
          <w:p w14:paraId="5C572786" w14:textId="77777777" w:rsidR="00480B30" w:rsidRPr="00286216" w:rsidRDefault="00480B30" w:rsidP="00480B30">
            <w:pPr>
              <w:pStyle w:val="StyleZakonu"/>
              <w:rPr>
                <w:color w:val="000000" w:themeColor="text1"/>
              </w:rPr>
            </w:pPr>
            <w:r w:rsidRPr="00286216">
              <w:rPr>
                <w:color w:val="000000" w:themeColor="text1"/>
              </w:rPr>
              <w:t xml:space="preserve">Рішення про погодження наміру набути або збільшити участь має включати строк дії такого погодження. За заявою особи, якій погоджено намір набути або збільшити участь, строк дії такого погодження може бути подовжено за відповідним рішенням Національної комісії з цінних паперів та фондового ринку.  </w:t>
            </w:r>
          </w:p>
          <w:p w14:paraId="16941E2B" w14:textId="77777777" w:rsidR="00480B30" w:rsidRPr="00286216" w:rsidRDefault="00480B30" w:rsidP="00480B30">
            <w:pPr>
              <w:pStyle w:val="StyleZakonu"/>
              <w:rPr>
                <w:color w:val="000000" w:themeColor="text1"/>
              </w:rPr>
            </w:pPr>
            <w:r w:rsidRPr="00286216">
              <w:rPr>
                <w:color w:val="000000" w:themeColor="text1"/>
              </w:rPr>
              <w:t>Національна комісія з цінних паперів та фондового ринку приймає рішення про відмову в погодженні наміру набути або збільшити участь  та повідомляє відповідну особу про прийняте рішення із зазначенням підстав такої заборони у порядку та строки, встановлені Національною комісією з цінних паперів та фондового ринку.</w:t>
            </w:r>
          </w:p>
          <w:p w14:paraId="4B560CF8" w14:textId="77777777" w:rsidR="00480B30" w:rsidRPr="00286216" w:rsidRDefault="00480B30" w:rsidP="00480B30">
            <w:pPr>
              <w:pStyle w:val="StyleZakonu"/>
              <w:rPr>
                <w:color w:val="000000" w:themeColor="text1"/>
              </w:rPr>
            </w:pPr>
            <w:r w:rsidRPr="00286216">
              <w:rPr>
                <w:color w:val="000000" w:themeColor="text1"/>
                <w:spacing w:val="-2"/>
              </w:rPr>
              <w:t>Про прийняте рішення Національна комісія з цінних паперів та фондового ринку повідомляє заявника офіційним каналом зв’язку та/або шляхом направлення листа протягом трьох робочих днів з дня прийняття рішення.</w:t>
            </w:r>
          </w:p>
          <w:p w14:paraId="3F3C6C85" w14:textId="77777777" w:rsidR="00480B30" w:rsidRPr="00286216" w:rsidRDefault="00480B30" w:rsidP="00480B30">
            <w:pPr>
              <w:pStyle w:val="StyleZakonu"/>
              <w:rPr>
                <w:color w:val="000000" w:themeColor="text1"/>
              </w:rPr>
            </w:pPr>
            <w:r w:rsidRPr="00286216">
              <w:rPr>
                <w:color w:val="000000" w:themeColor="text1"/>
              </w:rPr>
              <w:t>6. Інформація про погодження Національною комісією з цінних паперів та фондового ринку наміру набути або збільшити участь  або про відмову в погодженні наміру набути або збільшити участь  оприлюднюється у порядку, встановленому Національною комісією з цінних паперів та фондового ринку.</w:t>
            </w:r>
          </w:p>
          <w:p w14:paraId="0C1C0FC6" w14:textId="77777777" w:rsidR="00480B30" w:rsidRPr="00286216" w:rsidRDefault="00480B30" w:rsidP="00480B30">
            <w:pPr>
              <w:pStyle w:val="StyleZakonu"/>
              <w:rPr>
                <w:color w:val="000000" w:themeColor="text1"/>
              </w:rPr>
            </w:pPr>
            <w:r w:rsidRPr="00286216">
              <w:rPr>
                <w:color w:val="000000" w:themeColor="text1"/>
              </w:rPr>
              <w:t xml:space="preserve">У разі якщо Національна комісія з цінних паперів та фондового ринку у строк, визначений частиною четвертою цієї статті, не прийняла рішення про </w:t>
            </w:r>
            <w:r w:rsidRPr="00286216">
              <w:rPr>
                <w:color w:val="000000" w:themeColor="text1"/>
              </w:rPr>
              <w:lastRenderedPageBreak/>
              <w:t>відмову в погодженні наміру набути або збільшити участь , такий намір вважається погодженим.</w:t>
            </w:r>
          </w:p>
          <w:p w14:paraId="2B95D029" w14:textId="77777777" w:rsidR="00480B30" w:rsidRPr="00286216" w:rsidRDefault="00480B30" w:rsidP="00480B30">
            <w:pPr>
              <w:pStyle w:val="StyleZakonu"/>
              <w:rPr>
                <w:color w:val="000000" w:themeColor="text1"/>
              </w:rPr>
            </w:pPr>
            <w:r w:rsidRPr="00286216">
              <w:rPr>
                <w:color w:val="000000" w:themeColor="text1"/>
              </w:rPr>
              <w:t>7. У разі якщо повний перелік документів для погодження наміру набути або збільшити участь подали дві та більше осіб, Національна комісія з цінних паперів та фондового ринку здійснює розгляд документів послідовно відповідно до порядку, в якому їх було отримано, на засадах недискримінації, забезпечуючи таким особам рівні можливості.</w:t>
            </w:r>
          </w:p>
          <w:p w14:paraId="2D5F7556" w14:textId="77777777" w:rsidR="00480B30" w:rsidRPr="00286216" w:rsidRDefault="00480B30" w:rsidP="00480B30">
            <w:pPr>
              <w:pStyle w:val="StyleZakonu"/>
              <w:rPr>
                <w:color w:val="000000" w:themeColor="text1"/>
              </w:rPr>
            </w:pPr>
            <w:r w:rsidRPr="00286216">
              <w:rPr>
                <w:color w:val="000000" w:themeColor="text1"/>
              </w:rPr>
              <w:t xml:space="preserve">8. Особи, зазначені в частині першій цієї статті, зобов’язані повідомити професійного учасника ринків капіталу та організованих товарних ринків про погодження Національною комісією з цінних паперів та фондового ринку наміру набути або збільшити участь  та надати такому учаснику інформацію про свою структуру власності юридичної особи та розмір частки участі у професійному учаснику ринків капіталу та організованих товарних ринків. </w:t>
            </w:r>
          </w:p>
          <w:p w14:paraId="42251FCF" w14:textId="77777777" w:rsidR="00480B30" w:rsidRPr="00286216" w:rsidRDefault="00480B30" w:rsidP="00480B30">
            <w:pPr>
              <w:pStyle w:val="StyleZakonu"/>
              <w:rPr>
                <w:color w:val="000000" w:themeColor="text1"/>
              </w:rPr>
            </w:pPr>
            <w:r w:rsidRPr="00286216">
              <w:rPr>
                <w:color w:val="000000" w:themeColor="text1"/>
              </w:rPr>
              <w:t xml:space="preserve">9. Юридична особа, яка відповідно до частини першої цієї статті має намір набути або збільшити участь, зобов’язана подати до Національної комісії з цінних паперів та фондового ринку за формою, встановленою Національною комісією з цінних паперів та фондового ринку (якщо інше не передбачено цією частиною), такі документи та інформацію: </w:t>
            </w:r>
          </w:p>
          <w:p w14:paraId="2542318D" w14:textId="77777777" w:rsidR="00480B30" w:rsidRPr="00286216" w:rsidRDefault="00480B30" w:rsidP="00480B30">
            <w:pPr>
              <w:pStyle w:val="StyleZakonu"/>
              <w:rPr>
                <w:color w:val="000000" w:themeColor="text1"/>
              </w:rPr>
            </w:pPr>
            <w:r w:rsidRPr="00286216">
              <w:rPr>
                <w:color w:val="000000" w:themeColor="text1"/>
              </w:rPr>
              <w:t>1) заяву про намір;</w:t>
            </w:r>
          </w:p>
          <w:p w14:paraId="7773B088" w14:textId="77777777" w:rsidR="00480B30" w:rsidRPr="00286216" w:rsidRDefault="00480B30" w:rsidP="00480B30">
            <w:pPr>
              <w:pStyle w:val="StyleZakonu"/>
              <w:rPr>
                <w:color w:val="000000" w:themeColor="text1"/>
              </w:rPr>
            </w:pPr>
            <w:r w:rsidRPr="00286216">
              <w:rPr>
                <w:color w:val="000000" w:themeColor="text1"/>
              </w:rPr>
              <w:t>2) ідентифікаційні дані особи, яка має намір набути або збільшити участь: повне найменування (у розумінні Цивільного кодексу України), ідентифікаційний код юридичної особи, код LEI (за наявності), місцезнаходження, поштову адресу, адресу електронної пошти для офіційного каналу зв’язку, номери засобів зв’язку;</w:t>
            </w:r>
          </w:p>
          <w:p w14:paraId="2C484818" w14:textId="77777777" w:rsidR="00480B30" w:rsidRPr="00286216" w:rsidRDefault="00480B30" w:rsidP="00480B30">
            <w:pPr>
              <w:pStyle w:val="StyleZakonu"/>
              <w:rPr>
                <w:color w:val="000000" w:themeColor="text1"/>
              </w:rPr>
            </w:pPr>
            <w:r w:rsidRPr="00286216">
              <w:rPr>
                <w:color w:val="000000" w:themeColor="text1"/>
              </w:rPr>
              <w:t>3) копію статуту юридичної особи, засвідчену такою юридичною особою, або код доступу до результатів надання адміністративних послуг у сфері державної реєстрації, що надає доступ до копії статуту в електронній формі в Єдиному державному реєстрі юридичних осіб, фізичних осіб – підприємців та громадських формувань;</w:t>
            </w:r>
          </w:p>
          <w:p w14:paraId="6C028FC4" w14:textId="77777777" w:rsidR="00480B30" w:rsidRPr="00286216" w:rsidRDefault="00480B30" w:rsidP="00480B30">
            <w:pPr>
              <w:pStyle w:val="StyleZakonu"/>
              <w:rPr>
                <w:color w:val="000000" w:themeColor="text1"/>
              </w:rPr>
            </w:pPr>
            <w:r w:rsidRPr="00286216">
              <w:rPr>
                <w:color w:val="000000" w:themeColor="text1"/>
              </w:rPr>
              <w:t>4) перелік операцій, які здійснює така особа в рамках провадження господарської діяльності;</w:t>
            </w:r>
          </w:p>
          <w:p w14:paraId="3952443F" w14:textId="77777777" w:rsidR="00480B30" w:rsidRPr="00286216" w:rsidRDefault="00480B30" w:rsidP="00480B30">
            <w:pPr>
              <w:pStyle w:val="StyleZakonu"/>
              <w:rPr>
                <w:color w:val="000000" w:themeColor="text1"/>
              </w:rPr>
            </w:pPr>
            <w:r w:rsidRPr="00286216">
              <w:rPr>
                <w:color w:val="000000" w:themeColor="text1"/>
              </w:rPr>
              <w:lastRenderedPageBreak/>
              <w:t>5) повний перелік контролерів, осіб, які здійснюють управлінські функції в  такій юридичній особі, із зазначенням щодо таких осіб</w:t>
            </w:r>
            <w:r w:rsidRPr="00286216" w:rsidDel="003A054E">
              <w:rPr>
                <w:color w:val="000000" w:themeColor="text1"/>
              </w:rPr>
              <w:t xml:space="preserve"> </w:t>
            </w:r>
            <w:r w:rsidRPr="00286216">
              <w:rPr>
                <w:color w:val="000000" w:themeColor="text1"/>
              </w:rPr>
              <w:t>такої інформації про:</w:t>
            </w:r>
          </w:p>
          <w:p w14:paraId="2410EA0C" w14:textId="77777777" w:rsidR="00480B30" w:rsidRPr="00286216" w:rsidRDefault="00480B30" w:rsidP="00480B30">
            <w:pPr>
              <w:pStyle w:val="StyleZakonu"/>
              <w:rPr>
                <w:color w:val="000000" w:themeColor="text1"/>
              </w:rPr>
            </w:pPr>
            <w:r w:rsidRPr="00286216">
              <w:rPr>
                <w:color w:val="000000" w:themeColor="text1"/>
              </w:rPr>
              <w:t>а) ім’я (у розумінні Цивільного кодексу України);</w:t>
            </w:r>
          </w:p>
          <w:p w14:paraId="37EF9AF0" w14:textId="77777777" w:rsidR="00480B30" w:rsidRPr="00286216" w:rsidRDefault="00480B30" w:rsidP="00480B30">
            <w:pPr>
              <w:pStyle w:val="StyleZakonu"/>
              <w:rPr>
                <w:color w:val="000000" w:themeColor="text1"/>
              </w:rPr>
            </w:pPr>
            <w:r w:rsidRPr="00286216">
              <w:rPr>
                <w:color w:val="000000" w:themeColor="text1"/>
              </w:rPr>
              <w:t>б) дату та місце народження;</w:t>
            </w:r>
          </w:p>
          <w:p w14:paraId="7E17B516" w14:textId="77777777" w:rsidR="00480B30" w:rsidRPr="00286216" w:rsidRDefault="00480B30" w:rsidP="00480B30">
            <w:pPr>
              <w:pStyle w:val="StyleZakonu"/>
              <w:rPr>
                <w:color w:val="000000" w:themeColor="text1"/>
              </w:rPr>
            </w:pPr>
            <w:r w:rsidRPr="00286216">
              <w:rPr>
                <w:color w:val="000000" w:themeColor="text1"/>
              </w:rPr>
              <w:t>в)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в паспорті) або унікальний номер запису в Єдиному державному демографічному реєстрі;</w:t>
            </w:r>
          </w:p>
          <w:p w14:paraId="6E8B0D44" w14:textId="77777777" w:rsidR="00480B30" w:rsidRPr="00286216" w:rsidRDefault="00480B30" w:rsidP="00480B30">
            <w:pPr>
              <w:pStyle w:val="StyleZakonu"/>
              <w:rPr>
                <w:color w:val="000000" w:themeColor="text1"/>
              </w:rPr>
            </w:pPr>
            <w:r w:rsidRPr="00286216">
              <w:rPr>
                <w:color w:val="000000" w:themeColor="text1"/>
              </w:rPr>
              <w:t xml:space="preserve">г) адресу реєстрації, поштову адресу, адресу електронної пошти для офіційного каналу звʼязку, номери засобів зв’язку; </w:t>
            </w:r>
          </w:p>
          <w:p w14:paraId="6788E8B4" w14:textId="77777777" w:rsidR="00480B30" w:rsidRPr="00286216" w:rsidRDefault="00480B30" w:rsidP="00480B30">
            <w:pPr>
              <w:pStyle w:val="StyleZakonu"/>
              <w:rPr>
                <w:color w:val="000000" w:themeColor="text1"/>
              </w:rPr>
            </w:pPr>
            <w:r w:rsidRPr="00286216">
              <w:rPr>
                <w:color w:val="000000" w:themeColor="text1"/>
              </w:rPr>
              <w:t>ґ) освіту, професійне навчання, досвід роботи, які стосуються  фондового ринку (ринку цінних паперів), ринків капіталу та товарного ринку із зазначенням підприємств, установ, організацій, де ця фізична особа працювала, і посадових обов’язків, які вона виконувала, та строку їх виконання;</w:t>
            </w:r>
          </w:p>
          <w:p w14:paraId="0A543D1A" w14:textId="77777777" w:rsidR="00480B30" w:rsidRPr="00286216" w:rsidRDefault="00480B30" w:rsidP="00480B30">
            <w:pPr>
              <w:pStyle w:val="StyleZakonu"/>
              <w:rPr>
                <w:color w:val="000000" w:themeColor="text1"/>
              </w:rPr>
            </w:pPr>
            <w:r w:rsidRPr="00286216">
              <w:rPr>
                <w:color w:val="000000" w:themeColor="text1"/>
              </w:rPr>
              <w:t>6) інформацію щодо кінцевих бенефіціарних власників юридичної особи, яка має намір набути або збільшити участь:</w:t>
            </w:r>
          </w:p>
          <w:p w14:paraId="5CB8BDA6" w14:textId="77777777" w:rsidR="00480B30" w:rsidRPr="00286216" w:rsidRDefault="00480B30" w:rsidP="00480B30">
            <w:pPr>
              <w:pStyle w:val="StyleZakonu"/>
              <w:rPr>
                <w:color w:val="000000" w:themeColor="text1"/>
              </w:rPr>
            </w:pPr>
            <w:r w:rsidRPr="00286216">
              <w:rPr>
                <w:color w:val="000000" w:themeColor="text1"/>
              </w:rPr>
              <w:t>а) ім’я (у розумінні Цивільного кодексу України);</w:t>
            </w:r>
          </w:p>
          <w:p w14:paraId="365073C7" w14:textId="77777777" w:rsidR="00480B30" w:rsidRPr="00286216" w:rsidRDefault="00480B30" w:rsidP="00480B30">
            <w:pPr>
              <w:pStyle w:val="StyleZakonu"/>
              <w:rPr>
                <w:color w:val="000000" w:themeColor="text1"/>
              </w:rPr>
            </w:pPr>
            <w:r w:rsidRPr="00286216">
              <w:rPr>
                <w:color w:val="000000" w:themeColor="text1"/>
              </w:rPr>
              <w:t>б) дату та місце народження;</w:t>
            </w:r>
          </w:p>
          <w:p w14:paraId="47767767" w14:textId="77777777" w:rsidR="00480B30" w:rsidRPr="00286216" w:rsidRDefault="00480B30" w:rsidP="00480B30">
            <w:pPr>
              <w:pStyle w:val="StyleZakonu"/>
              <w:rPr>
                <w:color w:val="000000" w:themeColor="text1"/>
              </w:rPr>
            </w:pPr>
            <w:r w:rsidRPr="00286216">
              <w:rPr>
                <w:color w:val="000000" w:themeColor="text1"/>
              </w:rPr>
              <w:t>в)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в паспорті) чи унікальний номер запису в Єдиному державному демографічному реєстрі;</w:t>
            </w:r>
          </w:p>
          <w:p w14:paraId="26CF89A7" w14:textId="77777777" w:rsidR="00480B30" w:rsidRPr="00286216" w:rsidRDefault="00480B30" w:rsidP="00480B30">
            <w:pPr>
              <w:pStyle w:val="StyleZakonu"/>
              <w:rPr>
                <w:color w:val="000000" w:themeColor="text1"/>
              </w:rPr>
            </w:pPr>
            <w:r w:rsidRPr="00286216">
              <w:rPr>
                <w:color w:val="000000" w:themeColor="text1"/>
              </w:rPr>
              <w:t>г) адресу реєстрації, поштову адресу, адресу електроної пошти для офіційного каналу звʼязку, номери засобів зв’язку;</w:t>
            </w:r>
          </w:p>
          <w:p w14:paraId="02E0A057" w14:textId="77777777" w:rsidR="00480B30" w:rsidRPr="00286216" w:rsidRDefault="00480B30" w:rsidP="00480B30">
            <w:pPr>
              <w:pStyle w:val="StyleZakonu"/>
              <w:rPr>
                <w:color w:val="000000" w:themeColor="text1"/>
              </w:rPr>
            </w:pPr>
            <w:r w:rsidRPr="00286216">
              <w:rPr>
                <w:color w:val="000000" w:themeColor="text1"/>
              </w:rPr>
              <w:t xml:space="preserve">7) інформацію про юридичну особу, яка </w:t>
            </w:r>
            <w:r w:rsidRPr="00286216">
              <w:rPr>
                <w:color w:val="000000" w:themeColor="text1"/>
              </w:rPr>
              <w:lastRenderedPageBreak/>
              <w:t>відповідно до частини першої цієї статті має намір набути або збільшити участь, будь-яких її контролерів, осіб, які здійснюють в ній управлінські функції, а також осіб, щодо яких вона здійснює контроль, а саме:</w:t>
            </w:r>
          </w:p>
          <w:p w14:paraId="7E73E6D2" w14:textId="77777777" w:rsidR="00480B30" w:rsidRPr="00286216" w:rsidRDefault="00480B30" w:rsidP="00480B30">
            <w:pPr>
              <w:pStyle w:val="StyleZakonu"/>
              <w:rPr>
                <w:color w:val="000000" w:themeColor="text1"/>
              </w:rPr>
            </w:pPr>
            <w:r w:rsidRPr="00286216">
              <w:rPr>
                <w:color w:val="000000" w:themeColor="text1"/>
              </w:rPr>
              <w:t>а) інформацію, підтверджену копіями відповідних документів, про вироки у справах щодо злочинів проти власності,  у сфері господарської діяльності, у сфері службової діяльності та професійної діяльності, пов’язаної з наданням публічних послуг, у сфері використання електронно-обчислювальних машин (комп’ютерів), систем та комп’ютерних мереж і мереж електрозв’язку (якщо судимість за такі злочини не знята або не погашена в порядку, визначеному законодавством), про триваючі досудові розслідування в рамках кримінальних проваджень у таких злочинах, спори, пов’язані з господарською діяльністю, стороною яких у порядку адміністративного, господарського або цивільного судочинства виступає така особа, дисциплінарні провадження, включаючи відсторонення від займаної посади керівника юридичної особи, триваючі провадження у справі про банкрутство або неплатоспроможність та інші подобні процедури стосовно такої особи (таких осіб);</w:t>
            </w:r>
          </w:p>
          <w:p w14:paraId="3F6AEF7E" w14:textId="77777777" w:rsidR="00480B30" w:rsidRPr="00286216" w:rsidRDefault="00480B30" w:rsidP="00480B30">
            <w:pPr>
              <w:pStyle w:val="StyleZakonu"/>
              <w:rPr>
                <w:color w:val="000000" w:themeColor="text1"/>
              </w:rPr>
            </w:pPr>
            <w:r w:rsidRPr="00286216">
              <w:rPr>
                <w:color w:val="000000" w:themeColor="text1"/>
              </w:rPr>
              <w:t>б) інформацію в довільній формі про триваючі на дату подання заяви про намір провадження будь-яких контролюючих органів у справах щодо такої особи (таких осіб), виконавчі провадження, процедури застосування санкцій за порушення, пов’язані з наданням фінансових послуг;</w:t>
            </w:r>
          </w:p>
          <w:p w14:paraId="0472803B" w14:textId="77777777" w:rsidR="00480B30" w:rsidRPr="00286216" w:rsidRDefault="00480B30" w:rsidP="00480B30">
            <w:pPr>
              <w:pStyle w:val="StyleZakonu"/>
              <w:rPr>
                <w:color w:val="000000" w:themeColor="text1"/>
              </w:rPr>
            </w:pPr>
            <w:r w:rsidRPr="00286216">
              <w:rPr>
                <w:color w:val="000000" w:themeColor="text1"/>
              </w:rPr>
              <w:t>в) інформацію в довільній формі про відмову у видачі ліцензії, дозволу, авторизації, наданні членства, видачі документів (сертифіката, свідоцтва тощо), що надають право провадити діяльність на ринках капіталу та організованих товарних ринках; відкликання, анулювання чи припинення таких ліцензій, дозволів, авторизації, членства чи дії документів; виключення із складу об’єднань професійних учасників ринків капіталу, професійних об’єднань та асоціацій;</w:t>
            </w:r>
          </w:p>
          <w:p w14:paraId="37AE078A" w14:textId="77777777" w:rsidR="00480B30" w:rsidRPr="00286216" w:rsidRDefault="00480B30" w:rsidP="00480B30">
            <w:pPr>
              <w:pStyle w:val="StyleZakonu"/>
              <w:rPr>
                <w:color w:val="000000" w:themeColor="text1"/>
              </w:rPr>
            </w:pPr>
            <w:r w:rsidRPr="00286216">
              <w:rPr>
                <w:color w:val="000000" w:themeColor="text1"/>
              </w:rPr>
              <w:t xml:space="preserve">г) інформацію в довільній формі про звільнення з посади за порушення законодавства про захист прав споживачів фінансових послуг, звільнення від </w:t>
            </w:r>
            <w:r w:rsidRPr="00286216">
              <w:rPr>
                <w:color w:val="000000" w:themeColor="text1"/>
              </w:rPr>
              <w:lastRenderedPageBreak/>
              <w:t>виконання функцій повіреного (управителя) траста або інших фідуціарних обов’язків (обов’язків діяти якнайкраще в інтересах третіх осіб) чи будь-яких інших аналогічних відносин на ринках капіталу щодо осіб, які є контролерами такої особи, або здійснюють в ній управлінські функції;</w:t>
            </w:r>
          </w:p>
          <w:p w14:paraId="2A640423" w14:textId="77777777" w:rsidR="00480B30" w:rsidRPr="00286216" w:rsidRDefault="00480B30" w:rsidP="00480B30">
            <w:pPr>
              <w:pStyle w:val="StyleZakonu"/>
              <w:rPr>
                <w:color w:val="000000" w:themeColor="text1"/>
              </w:rPr>
            </w:pPr>
            <w:r w:rsidRPr="00286216">
              <w:rPr>
                <w:color w:val="000000" w:themeColor="text1"/>
              </w:rPr>
              <w:t>8) інформацію щодо проведення органами державної влади або Національним банком України оцінки ділової репутації такої особи відповідно до  інших процедур, передбачених законом, та її результати (якщо вони відомі), із зазначенням органу, що проводив таку оцінку, і дати її проведення;</w:t>
            </w:r>
          </w:p>
          <w:p w14:paraId="59FF85BC" w14:textId="77777777" w:rsidR="00480B30" w:rsidRPr="00286216" w:rsidRDefault="00480B30" w:rsidP="00480B30">
            <w:pPr>
              <w:pStyle w:val="StyleZakonu"/>
              <w:rPr>
                <w:color w:val="000000" w:themeColor="text1"/>
              </w:rPr>
            </w:pPr>
            <w:r w:rsidRPr="00286216">
              <w:rPr>
                <w:color w:val="000000" w:themeColor="text1"/>
              </w:rPr>
              <w:t>9) опис фінансових інтересів (пов’язаність відносинами в рамках кредитного договору, договору гарантії або застави), а також наявність родинних зв’язків у такої особи, а в разі якщо така особа є членом групи компаній (материнської компанії та її дочірніх компаній) – також членів групи компаній, до якої вона належить та її контролерів і осіб, які здійснюють в ній управлінські функції з:</w:t>
            </w:r>
          </w:p>
          <w:p w14:paraId="3ABA6107" w14:textId="77777777" w:rsidR="00480B30" w:rsidRPr="00286216" w:rsidRDefault="00480B30" w:rsidP="00480B30">
            <w:pPr>
              <w:pStyle w:val="StyleZakonu"/>
              <w:rPr>
                <w:color w:val="000000" w:themeColor="text1"/>
              </w:rPr>
            </w:pPr>
            <w:r w:rsidRPr="00286216">
              <w:rPr>
                <w:color w:val="000000" w:themeColor="text1"/>
              </w:rPr>
              <w:t>а) власниками акцій (часток) у статутному капіталі професійного учасника ринків капіталу та організованих товарних ринків, у якому така юридична особа має намір набути або збільшити участь;</w:t>
            </w:r>
          </w:p>
          <w:p w14:paraId="1B291A51" w14:textId="77777777" w:rsidR="00480B30" w:rsidRPr="00286216" w:rsidRDefault="00480B30" w:rsidP="00480B30">
            <w:pPr>
              <w:pStyle w:val="StyleZakonu"/>
              <w:rPr>
                <w:color w:val="000000" w:themeColor="text1"/>
              </w:rPr>
            </w:pPr>
            <w:r w:rsidRPr="00286216">
              <w:rPr>
                <w:color w:val="000000" w:themeColor="text1"/>
              </w:rPr>
              <w:t>б) особами, які мають право голосу (мають право здійснювати право голосу від імені третіх осіб) в органах такого професійного учасника ринків капіталу та організованих товарних ринків, у випадках, встановлених Національною комісією з цінних паперів та фондового ринку;</w:t>
            </w:r>
          </w:p>
          <w:p w14:paraId="12E367ED" w14:textId="77777777" w:rsidR="00480B30" w:rsidRPr="00286216" w:rsidRDefault="00480B30" w:rsidP="00480B30">
            <w:pPr>
              <w:pStyle w:val="StyleZakonu"/>
              <w:rPr>
                <w:color w:val="000000" w:themeColor="text1"/>
              </w:rPr>
            </w:pPr>
            <w:r w:rsidRPr="00286216">
              <w:rPr>
                <w:color w:val="000000" w:themeColor="text1"/>
              </w:rPr>
              <w:t>в) особами, які здійснюють управлінські функції у професійному учаснику ринків капіталу та організованих товарних ринків;</w:t>
            </w:r>
          </w:p>
          <w:p w14:paraId="3916A20D" w14:textId="77777777" w:rsidR="00480B30" w:rsidRPr="00286216" w:rsidRDefault="00480B30" w:rsidP="00480B30">
            <w:pPr>
              <w:pStyle w:val="StyleZakonu"/>
              <w:rPr>
                <w:color w:val="000000" w:themeColor="text1"/>
              </w:rPr>
            </w:pPr>
            <w:r w:rsidRPr="00286216">
              <w:rPr>
                <w:color w:val="000000" w:themeColor="text1"/>
              </w:rPr>
              <w:t>г) професійним учасником ринків капіталу та організованих товарних ринків у цілому або з членами групи компаній, до якої він належить;</w:t>
            </w:r>
          </w:p>
          <w:p w14:paraId="345393FB" w14:textId="77777777" w:rsidR="00480B30" w:rsidRPr="00286216" w:rsidRDefault="00480B30" w:rsidP="00480B30">
            <w:pPr>
              <w:pStyle w:val="StyleZakonu"/>
              <w:rPr>
                <w:color w:val="000000" w:themeColor="text1"/>
              </w:rPr>
            </w:pPr>
            <w:r w:rsidRPr="00286216">
              <w:rPr>
                <w:color w:val="000000" w:themeColor="text1"/>
              </w:rPr>
              <w:t>10) інформацію про інтереси або діяльність, що можуть суперечити інтересам стосовно професійного учасника ринків капіталу та організованих товарних ринків, у якому фізична особа має намір набути або збільшити участь, а також про можливі рішення для управління такими конфліктами інтересів;</w:t>
            </w:r>
          </w:p>
          <w:p w14:paraId="0560D410" w14:textId="77777777" w:rsidR="00480B30" w:rsidRPr="00286216" w:rsidRDefault="00480B30" w:rsidP="00480B30">
            <w:pPr>
              <w:pStyle w:val="StyleZakonu"/>
              <w:rPr>
                <w:color w:val="000000" w:themeColor="text1"/>
              </w:rPr>
            </w:pPr>
            <w:r w:rsidRPr="00286216">
              <w:rPr>
                <w:color w:val="000000" w:themeColor="text1"/>
              </w:rPr>
              <w:lastRenderedPageBreak/>
              <w:t>11) схематичне зображення структури власності юридичної особи із зазначенням ідентифікаційних даних усіх акціонерів (учасників), які здійснюють вирішальний вплив на діяльність такої особи, розміру їх частки у статутному капіталі (прав голосу), а також копію корпоративного договору (договору між акціонерами);</w:t>
            </w:r>
          </w:p>
          <w:p w14:paraId="6EB40F0D" w14:textId="77777777" w:rsidR="00480B30" w:rsidRPr="00286216" w:rsidRDefault="00480B30" w:rsidP="00480B30">
            <w:pPr>
              <w:pStyle w:val="StyleZakonu"/>
              <w:rPr>
                <w:color w:val="000000" w:themeColor="text1"/>
              </w:rPr>
            </w:pPr>
            <w:r w:rsidRPr="00286216">
              <w:rPr>
                <w:color w:val="000000" w:themeColor="text1"/>
              </w:rPr>
              <w:t>12) схематичне зображення структури фінансової групи, до якої належить така юридична особа, із зазначенням розміру часток у статутному капіталі (прав голосу) учасників групи, які є контролерами щодо інших учасників, а також їх КВЕД;</w:t>
            </w:r>
          </w:p>
          <w:p w14:paraId="0CB24A21" w14:textId="77777777" w:rsidR="00480B30" w:rsidRPr="00286216" w:rsidRDefault="00480B30" w:rsidP="00480B30">
            <w:pPr>
              <w:pStyle w:val="StyleZakonu"/>
              <w:rPr>
                <w:color w:val="000000" w:themeColor="text1"/>
              </w:rPr>
            </w:pPr>
            <w:r w:rsidRPr="00286216">
              <w:rPr>
                <w:color w:val="000000" w:themeColor="text1"/>
              </w:rPr>
              <w:t>13) у разі якщо така особа є материнським або дочірнім підприємством, що входить до складу фінансової групи, – інформацію про відносини між суб’єктами господарювання – учасниками групи, які є фінансовими установами та тими, які не є фінансовими установами;</w:t>
            </w:r>
          </w:p>
          <w:p w14:paraId="2ED296C0" w14:textId="77777777" w:rsidR="00480B30" w:rsidRPr="00286216" w:rsidRDefault="00480B30" w:rsidP="00480B30">
            <w:pPr>
              <w:pStyle w:val="StyleZakonu"/>
              <w:rPr>
                <w:color w:val="000000" w:themeColor="text1"/>
              </w:rPr>
            </w:pPr>
            <w:r w:rsidRPr="00286216">
              <w:rPr>
                <w:color w:val="000000" w:themeColor="text1"/>
              </w:rPr>
              <w:t>14) ідентифікаційні дані будь-яких банків, кредитних установ, страховиків, перестраховиків, інститутів спільного інвестування та осіб, що здійснюють управління їх активами, а також інвестиційних фірм, що входять до фінансової групи. із зазначенням органів, що здійснюють державне регулювання основного виду їх економічної діяльності;</w:t>
            </w:r>
          </w:p>
          <w:p w14:paraId="5FEE1785" w14:textId="77777777" w:rsidR="00480B30" w:rsidRPr="00286216" w:rsidRDefault="00480B30" w:rsidP="00480B30">
            <w:pPr>
              <w:pStyle w:val="StyleZakonu"/>
              <w:rPr>
                <w:color w:val="000000" w:themeColor="text1"/>
              </w:rPr>
            </w:pPr>
            <w:r w:rsidRPr="00286216">
              <w:rPr>
                <w:color w:val="000000" w:themeColor="text1"/>
              </w:rPr>
              <w:t>15) фінансову звітність, консолідовану і субконсолідовану фінансову звітність (у разі складання відповідно до законодавства) юридичної особи за останні три фінансові роки з аудиторськими звітами  (за наявності).</w:t>
            </w:r>
          </w:p>
          <w:p w14:paraId="4C092601" w14:textId="77777777" w:rsidR="00480B30" w:rsidRPr="00286216" w:rsidRDefault="00480B30" w:rsidP="00480B30">
            <w:pPr>
              <w:pStyle w:val="StyleZakonu"/>
              <w:rPr>
                <w:color w:val="000000" w:themeColor="text1"/>
              </w:rPr>
            </w:pPr>
            <w:r w:rsidRPr="00286216">
              <w:rPr>
                <w:color w:val="000000" w:themeColor="text1"/>
              </w:rPr>
              <w:t>Якщо така юридична особа провадить господарську діяльність протягом строку, недостатнього для виконання вимог цього пункту, подається фінансова звітність за повні фінансові роки провадження такою особою господарської діяльності та остання проміжна фінансова інформація, складена станом на кінець звітного періоду, що передує даті подання заяви про намір, підтверджені відповідно аудиторським звітом та звітом щодо огляду проміжної фінансової інформації.</w:t>
            </w:r>
          </w:p>
          <w:p w14:paraId="1603C24B" w14:textId="77777777" w:rsidR="00480B30" w:rsidRPr="00286216" w:rsidRDefault="00480B30" w:rsidP="00480B30">
            <w:pPr>
              <w:pStyle w:val="StyleZakonu"/>
              <w:rPr>
                <w:color w:val="000000" w:themeColor="text1"/>
              </w:rPr>
            </w:pPr>
            <w:r w:rsidRPr="00286216">
              <w:rPr>
                <w:color w:val="000000" w:themeColor="text1"/>
              </w:rPr>
              <w:t xml:space="preserve">Якщо така юридична особа провадить господарську діяльність протягом строку, що є меншим за один рік, подається прогнозна фінансова </w:t>
            </w:r>
            <w:r w:rsidRPr="00286216">
              <w:rPr>
                <w:color w:val="000000" w:themeColor="text1"/>
              </w:rPr>
              <w:lastRenderedPageBreak/>
              <w:t>звітність, що включає прогнозний звіт про фінансовий стан та прогнозний звіт про фінансові результати на три роки, наступні за роком подачі заяви про намір, і пояснення показників прогнозної фінансової звітності;</w:t>
            </w:r>
          </w:p>
          <w:p w14:paraId="29416721" w14:textId="77777777" w:rsidR="00480B30" w:rsidRPr="00286216" w:rsidRDefault="00480B30" w:rsidP="00480B30">
            <w:pPr>
              <w:pStyle w:val="StyleZakonu"/>
              <w:rPr>
                <w:color w:val="000000" w:themeColor="text1"/>
              </w:rPr>
            </w:pPr>
            <w:r w:rsidRPr="00286216">
              <w:rPr>
                <w:color w:val="000000" w:themeColor="text1"/>
              </w:rPr>
              <w:t>16) інформацію про кредитний рейтинг такої особи та фінансової групи, до якої вона належить (за наявності);</w:t>
            </w:r>
          </w:p>
          <w:p w14:paraId="4D1E1316" w14:textId="77777777" w:rsidR="00480B30" w:rsidRPr="00286216" w:rsidRDefault="00480B30" w:rsidP="00480B30">
            <w:pPr>
              <w:pStyle w:val="StyleZakonu"/>
              <w:rPr>
                <w:color w:val="000000" w:themeColor="text1"/>
              </w:rPr>
            </w:pPr>
            <w:r w:rsidRPr="00286216">
              <w:rPr>
                <w:color w:val="000000" w:themeColor="text1"/>
              </w:rPr>
              <w:t>17) копію попередніх висновків або рішення Антимонопольного комітету України у випадках, передбачених законодавством.</w:t>
            </w:r>
          </w:p>
          <w:p w14:paraId="15CF1261" w14:textId="77777777" w:rsidR="00480B30" w:rsidRPr="00286216" w:rsidRDefault="00480B30" w:rsidP="00480B30">
            <w:pPr>
              <w:pStyle w:val="StyleZakonu"/>
              <w:rPr>
                <w:color w:val="000000" w:themeColor="text1"/>
              </w:rPr>
            </w:pPr>
            <w:r w:rsidRPr="00286216">
              <w:rPr>
                <w:color w:val="000000" w:themeColor="text1"/>
              </w:rPr>
              <w:t>10. Фізична особа, яка відповідно до частини першої цієї статті має намір набути або збільшити участь, зобов’язана подати до Національної комісії з цінних паперів та фондового ринку за формою, встановленою Національною комісією з цінних паперів та фондового ринку (якщо інше не передбачено цією частиною), такі документи та інформацію:</w:t>
            </w:r>
          </w:p>
          <w:p w14:paraId="4400CF7B" w14:textId="77777777" w:rsidR="00480B30" w:rsidRPr="00286216" w:rsidRDefault="00480B30" w:rsidP="00480B30">
            <w:pPr>
              <w:pStyle w:val="StyleZakonu"/>
              <w:rPr>
                <w:color w:val="000000" w:themeColor="text1"/>
              </w:rPr>
            </w:pPr>
            <w:r w:rsidRPr="00286216">
              <w:rPr>
                <w:color w:val="000000" w:themeColor="text1"/>
              </w:rPr>
              <w:t>1) заяву про намір;</w:t>
            </w:r>
          </w:p>
          <w:p w14:paraId="6E247D05" w14:textId="77777777" w:rsidR="00480B30" w:rsidRPr="00286216" w:rsidRDefault="00480B30" w:rsidP="00480B30">
            <w:pPr>
              <w:pStyle w:val="StyleZakonu"/>
              <w:rPr>
                <w:color w:val="000000" w:themeColor="text1"/>
              </w:rPr>
            </w:pPr>
            <w:r w:rsidRPr="00286216">
              <w:rPr>
                <w:color w:val="000000" w:themeColor="text1"/>
              </w:rPr>
              <w:t>2) ідентифікаційні дані особи, яка має намір набути або збільшити участь: ім’я (у розумінні Цивільного кодексу України), дату та місце народження, серію та номер паспорта (іншого документа, що посвідчує особу та відповідно до законодавства України може бути використаний на території України для вчинення правочинів) та реєстраційний номер облікової картки платника податків (крім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відповідну відмітку в паспорті) або унікальний номер запису в Єдиному державному демографічному реєстрі, адресу реєстрації, поштову адресу, адресуа електронної пошти для офіційного каналу зв’язку, номери засобів зв’язку;</w:t>
            </w:r>
          </w:p>
          <w:p w14:paraId="08DD12C5" w14:textId="77777777" w:rsidR="00480B30" w:rsidRPr="00286216" w:rsidRDefault="00480B30" w:rsidP="00480B30">
            <w:pPr>
              <w:pStyle w:val="StyleZakonu"/>
              <w:rPr>
                <w:color w:val="000000" w:themeColor="text1"/>
              </w:rPr>
            </w:pPr>
            <w:r w:rsidRPr="00286216">
              <w:rPr>
                <w:color w:val="000000" w:themeColor="text1"/>
              </w:rPr>
              <w:t xml:space="preserve">3) інформацію про освіту, професійне навчання, досвід роботи, які стосуються фондового ринку (ринку цінних паперів), ринків капіталу та товарного ринку із зазначенням посади, що обіймає особа станом на дату подання заяви про намір підприємств, установ, організацій, в яких ця фізична особа </w:t>
            </w:r>
            <w:r w:rsidRPr="00286216">
              <w:rPr>
                <w:color w:val="000000" w:themeColor="text1"/>
              </w:rPr>
              <w:lastRenderedPageBreak/>
              <w:t xml:space="preserve">працювала, і посадових обов’язків, які вона виконувала, та строку їх виконання. </w:t>
            </w:r>
          </w:p>
          <w:p w14:paraId="2425BD0D" w14:textId="77777777" w:rsidR="00480B30" w:rsidRPr="00286216" w:rsidRDefault="00480B30" w:rsidP="00480B30">
            <w:pPr>
              <w:pStyle w:val="StyleZakonu"/>
              <w:rPr>
                <w:color w:val="000000" w:themeColor="text1"/>
              </w:rPr>
            </w:pPr>
            <w:r w:rsidRPr="00286216">
              <w:rPr>
                <w:color w:val="000000" w:themeColor="text1"/>
              </w:rPr>
              <w:t>4) інформацію щодо себе  та будь-якої юридичної особи, контролером або членом виконавчого органу якого була така особа в будь-який період часу протягом останніх 10 років (включаючи день подачі заяви про намір), а саме:</w:t>
            </w:r>
          </w:p>
          <w:p w14:paraId="56D25903" w14:textId="77777777" w:rsidR="00480B30" w:rsidRPr="00286216" w:rsidRDefault="00480B30" w:rsidP="00480B30">
            <w:pPr>
              <w:pStyle w:val="StyleZakonu"/>
              <w:rPr>
                <w:color w:val="000000" w:themeColor="text1"/>
              </w:rPr>
            </w:pPr>
            <w:r w:rsidRPr="00286216">
              <w:rPr>
                <w:color w:val="000000" w:themeColor="text1"/>
              </w:rPr>
              <w:t>а) інформацію, підтверджену копіями відповідних документів, про вироки у справах щодо злочинів у сфері господарської діяльності, триваючі досудові розслідування в рамках кримінальних проваджень у таких злочинах, спори, пов’язані з господарською діяльністю, стороною яких у порядку адміністративного або цивільного судочинства виступає така особа, дисциплінарні провадження, включаючи відсторонення від займаної посади керівника юридичної особи, триваючі провадження у справі про банкрутство або неплатоспроможність та інші подобні процедури стосовно такої особи;</w:t>
            </w:r>
          </w:p>
          <w:p w14:paraId="5EADB842" w14:textId="77777777" w:rsidR="00480B30" w:rsidRPr="00286216" w:rsidRDefault="00480B30" w:rsidP="00480B30">
            <w:pPr>
              <w:pStyle w:val="StyleZakonu"/>
              <w:rPr>
                <w:color w:val="000000" w:themeColor="text1"/>
              </w:rPr>
            </w:pPr>
            <w:r w:rsidRPr="00286216">
              <w:rPr>
                <w:color w:val="000000" w:themeColor="text1"/>
              </w:rPr>
              <w:t>б) інформацію в довільній формі про триваючі на дату подання заяви про намір провадження будь-яких контролюючих органів у справах щодо заявника, виконавчі провадження, процедури застосування санкцій за порушення, пов’язані з наданням фінансових послуг;</w:t>
            </w:r>
          </w:p>
          <w:p w14:paraId="49829298" w14:textId="77777777" w:rsidR="00480B30" w:rsidRPr="00286216" w:rsidRDefault="00480B30" w:rsidP="00480B30">
            <w:pPr>
              <w:pStyle w:val="StyleZakonu"/>
              <w:rPr>
                <w:color w:val="000000" w:themeColor="text1"/>
              </w:rPr>
            </w:pPr>
            <w:r w:rsidRPr="00286216">
              <w:rPr>
                <w:color w:val="000000" w:themeColor="text1"/>
              </w:rPr>
              <w:t>в) інформацію в довільній формі про відмову у видачі ліцензії, дозволу, авторизації, наданні членства, видачі документів (сертифіката, свідоцтва тощо), що надають право провадити діяльність на ринках капіталу; відкликання, анулювання чи припинення ліцензій, дозволів, авторизації, членства чи дії документів; виключення із складу об’єднань професійних учасників ринків капіталу, професійних об’єднань та асоціацій;</w:t>
            </w:r>
          </w:p>
          <w:p w14:paraId="313EAA29" w14:textId="77777777" w:rsidR="00480B30" w:rsidRPr="00286216" w:rsidRDefault="00480B30" w:rsidP="00480B30">
            <w:pPr>
              <w:pStyle w:val="StyleZakonu"/>
              <w:rPr>
                <w:color w:val="000000" w:themeColor="text1"/>
              </w:rPr>
            </w:pPr>
            <w:r w:rsidRPr="00286216">
              <w:rPr>
                <w:color w:val="000000" w:themeColor="text1"/>
              </w:rPr>
              <w:t>г) інформацію в довільній формі про звільнення з посади за порушення законодавства про захист прав споживачів фінансових послуг, звільнення від виконання функцій повіреного (управителя) траста або інших фідуціарних обов’язків (обов’язків діяти якнайкраще в інтересах третіх осіб) чи будь-яких інших аналогічних відносин на ринках капіталу;</w:t>
            </w:r>
          </w:p>
          <w:p w14:paraId="4C12B1AC" w14:textId="77777777" w:rsidR="00480B30" w:rsidRPr="00286216" w:rsidRDefault="00480B30" w:rsidP="00480B30">
            <w:pPr>
              <w:pStyle w:val="StyleZakonu"/>
              <w:rPr>
                <w:color w:val="000000" w:themeColor="text1"/>
              </w:rPr>
            </w:pPr>
            <w:r w:rsidRPr="00286216">
              <w:rPr>
                <w:color w:val="000000" w:themeColor="text1"/>
              </w:rPr>
              <w:t xml:space="preserve">5) інформацію щодо проведення органами державної влади або Національним банком України оцінки ділової репутації та досвіду такої особи в </w:t>
            </w:r>
            <w:r w:rsidRPr="00286216">
              <w:rPr>
                <w:color w:val="000000" w:themeColor="text1"/>
              </w:rPr>
              <w:lastRenderedPageBreak/>
              <w:t>рамках інших передбачених законом процедур і її результати (якщо такі відомі) із зазначенням органу, що проводив таку оцінку, і дати її проведення;</w:t>
            </w:r>
          </w:p>
          <w:p w14:paraId="0436F7F8" w14:textId="77777777" w:rsidR="00480B30" w:rsidRPr="00286216" w:rsidRDefault="00480B30" w:rsidP="00480B30">
            <w:pPr>
              <w:pStyle w:val="StyleZakonu"/>
              <w:rPr>
                <w:color w:val="000000" w:themeColor="text1"/>
              </w:rPr>
            </w:pPr>
            <w:r w:rsidRPr="00286216">
              <w:rPr>
                <w:color w:val="000000" w:themeColor="text1"/>
              </w:rPr>
              <w:t>6) документи, що дають змогу зробити висновок про фінансовий стан особи, включаючи інформацію про джерела походження коштів, активів та зобов’язань, а також інформацію про відносини застави, іпотеки, гарантії, стороною яких є особа;</w:t>
            </w:r>
          </w:p>
          <w:p w14:paraId="4BD38876" w14:textId="77777777" w:rsidR="00480B30" w:rsidRPr="00286216" w:rsidRDefault="00480B30" w:rsidP="00480B30">
            <w:pPr>
              <w:pStyle w:val="StyleZakonu"/>
              <w:rPr>
                <w:color w:val="000000" w:themeColor="text1"/>
              </w:rPr>
            </w:pPr>
            <w:r w:rsidRPr="00286216">
              <w:rPr>
                <w:color w:val="000000" w:themeColor="text1"/>
              </w:rPr>
              <w:t>7) перелік операцій, які здійснює така особа в рамках провадження господарської діяльності;</w:t>
            </w:r>
          </w:p>
          <w:p w14:paraId="0D26E685" w14:textId="77777777" w:rsidR="00480B30" w:rsidRPr="00286216" w:rsidRDefault="00480B30" w:rsidP="00480B30">
            <w:pPr>
              <w:pStyle w:val="StyleZakonu"/>
              <w:rPr>
                <w:color w:val="000000" w:themeColor="text1"/>
              </w:rPr>
            </w:pPr>
            <w:r w:rsidRPr="00286216">
              <w:rPr>
                <w:color w:val="000000" w:themeColor="text1"/>
              </w:rPr>
              <w:t>8) інформацію про фінансовий стан заявника, включаючи інформацію про кредитний рейтинг та опубліковану фінансову звітність суб’єктів господарювання у яких така особа була контролером або членом виконавчого органу, а також інформацію щодо такої особи (за наявності);</w:t>
            </w:r>
          </w:p>
          <w:p w14:paraId="28663304" w14:textId="77777777" w:rsidR="00480B30" w:rsidRPr="00286216" w:rsidRDefault="00480B30" w:rsidP="00480B30">
            <w:pPr>
              <w:pStyle w:val="StyleZakonu"/>
              <w:rPr>
                <w:color w:val="000000" w:themeColor="text1"/>
              </w:rPr>
            </w:pPr>
            <w:r w:rsidRPr="00286216">
              <w:rPr>
                <w:color w:val="000000" w:themeColor="text1"/>
              </w:rPr>
              <w:t>9) інформацію щодо наявності у таких осіб родинних зв’язків або спільних фінансових інтересів (пов’язаність відносинами в рамках кредитного договору, договору гарантії або застави) з:</w:t>
            </w:r>
          </w:p>
          <w:p w14:paraId="73BFEADB" w14:textId="77777777" w:rsidR="00480B30" w:rsidRPr="00286216" w:rsidRDefault="00480B30" w:rsidP="00480B30">
            <w:pPr>
              <w:pStyle w:val="StyleZakonu"/>
              <w:rPr>
                <w:color w:val="000000" w:themeColor="text1"/>
              </w:rPr>
            </w:pPr>
            <w:r w:rsidRPr="00286216">
              <w:rPr>
                <w:color w:val="000000" w:themeColor="text1"/>
              </w:rPr>
              <w:t xml:space="preserve">а) власниками акцій (часток) у статутному капіталі професійного учасника ринків капіталу та організованих товарних ринків, у якому фізична особа має намір набути або збільшити участь; </w:t>
            </w:r>
          </w:p>
          <w:p w14:paraId="24A1BB90" w14:textId="77777777" w:rsidR="00480B30" w:rsidRPr="00286216" w:rsidRDefault="00480B30" w:rsidP="00480B30">
            <w:pPr>
              <w:pStyle w:val="StyleZakonu"/>
              <w:rPr>
                <w:color w:val="000000" w:themeColor="text1"/>
              </w:rPr>
            </w:pPr>
            <w:r w:rsidRPr="00286216">
              <w:rPr>
                <w:color w:val="000000" w:themeColor="text1"/>
              </w:rPr>
              <w:t xml:space="preserve">б) особами, які мають право голосу (мають право здійснювати право голосу від імені третіх осіб) в органах такого професійного учасника ринків капіталу та організованих товарних ринків, у випадках, встановлених Національною комісією з цінних паперів та фондового ринку;  </w:t>
            </w:r>
          </w:p>
          <w:p w14:paraId="6BA53B48" w14:textId="77777777" w:rsidR="00480B30" w:rsidRPr="00286216" w:rsidRDefault="00480B30" w:rsidP="00480B30">
            <w:pPr>
              <w:pStyle w:val="StyleZakonu"/>
              <w:rPr>
                <w:color w:val="000000" w:themeColor="text1"/>
              </w:rPr>
            </w:pPr>
            <w:r w:rsidRPr="00286216">
              <w:rPr>
                <w:color w:val="000000" w:themeColor="text1"/>
              </w:rPr>
              <w:t xml:space="preserve">в) особами, які здійснюють управлінські функції у професійному учаснику ринків капіталу та організованих товарних ринків; </w:t>
            </w:r>
          </w:p>
          <w:p w14:paraId="3CE02D4C" w14:textId="77777777" w:rsidR="00480B30" w:rsidRPr="00286216" w:rsidRDefault="00480B30" w:rsidP="00480B30">
            <w:pPr>
              <w:pStyle w:val="StyleZakonu"/>
              <w:rPr>
                <w:color w:val="000000" w:themeColor="text1"/>
              </w:rPr>
            </w:pPr>
            <w:r w:rsidRPr="00286216">
              <w:rPr>
                <w:color w:val="000000" w:themeColor="text1"/>
              </w:rPr>
              <w:t>г) професійним учасником ринків капіталу та організованих товарних ринків у цілому або з членами фінансової групи, до якої він належить;</w:t>
            </w:r>
          </w:p>
          <w:p w14:paraId="7F368510" w14:textId="77777777" w:rsidR="00480B30" w:rsidRPr="00286216" w:rsidRDefault="00480B30" w:rsidP="00480B30">
            <w:pPr>
              <w:pStyle w:val="StyleZakonu"/>
              <w:rPr>
                <w:color w:val="000000" w:themeColor="text1"/>
              </w:rPr>
            </w:pPr>
            <w:r w:rsidRPr="00286216">
              <w:rPr>
                <w:color w:val="000000" w:themeColor="text1"/>
              </w:rPr>
              <w:t>10) інформацію про інтереси або діяльність, що можуть суперечити інтересам професійного учасника ринків капіталу та організованих товарних ринків, у якому фізична особа має намір набути або збільшити участь;</w:t>
            </w:r>
          </w:p>
          <w:p w14:paraId="699BA973" w14:textId="77777777" w:rsidR="00480B30" w:rsidRPr="00286216" w:rsidRDefault="00480B30" w:rsidP="00480B30">
            <w:pPr>
              <w:pStyle w:val="StyleZakonu"/>
              <w:rPr>
                <w:strike/>
                <w:color w:val="000000" w:themeColor="text1"/>
              </w:rPr>
            </w:pPr>
            <w:r w:rsidRPr="00286216">
              <w:rPr>
                <w:color w:val="000000" w:themeColor="text1"/>
              </w:rPr>
              <w:t xml:space="preserve">11) копію попередніх висновків або рішення Антимонопольного комітету України у випадках, </w:t>
            </w:r>
            <w:r w:rsidRPr="00286216">
              <w:rPr>
                <w:color w:val="000000" w:themeColor="text1"/>
              </w:rPr>
              <w:lastRenderedPageBreak/>
              <w:t>передбачених законодавством.</w:t>
            </w:r>
          </w:p>
          <w:p w14:paraId="13C09DB0" w14:textId="77777777" w:rsidR="00480B30" w:rsidRPr="00286216" w:rsidRDefault="00480B30" w:rsidP="00480B30">
            <w:pPr>
              <w:pStyle w:val="StyleZakonu"/>
              <w:rPr>
                <w:color w:val="000000" w:themeColor="text1"/>
              </w:rPr>
            </w:pPr>
            <w:r w:rsidRPr="00286216">
              <w:rPr>
                <w:color w:val="000000" w:themeColor="text1"/>
              </w:rPr>
              <w:t xml:space="preserve">11. Іноземна юридична особа, яка має намір набути або збільшити участь, додатково до інформації та документів, передбачених частиною дев’ятою цієї статті, подає до Національної комісії з цінних паперів та фондового ринку в установленому нею порядку такі документи: </w:t>
            </w:r>
          </w:p>
          <w:p w14:paraId="5F6E148B" w14:textId="77777777" w:rsidR="00480B30" w:rsidRPr="00286216" w:rsidRDefault="00480B30" w:rsidP="00480B30">
            <w:pPr>
              <w:pStyle w:val="StyleZakonu"/>
              <w:rPr>
                <w:color w:val="000000" w:themeColor="text1"/>
              </w:rPr>
            </w:pPr>
            <w:r w:rsidRPr="00286216">
              <w:rPr>
                <w:color w:val="000000" w:themeColor="text1"/>
              </w:rPr>
              <w:t xml:space="preserve">1) письмовий дозвіл на участь іноземної юридичної особи у професійному учаснику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дозволу, або письмове запевнення іноземної юридичної особи про відсутність у законодавстві відповідної держави вимог (підстав) для отримання такого дозволу; </w:t>
            </w:r>
          </w:p>
          <w:p w14:paraId="1D170DC3" w14:textId="77777777" w:rsidR="00480B30" w:rsidRPr="00286216" w:rsidRDefault="00480B30" w:rsidP="00480B30">
            <w:pPr>
              <w:pStyle w:val="StyleZakonu"/>
              <w:rPr>
                <w:color w:val="000000" w:themeColor="text1"/>
              </w:rPr>
            </w:pPr>
            <w:r w:rsidRPr="00286216">
              <w:rPr>
                <w:color w:val="000000" w:themeColor="text1"/>
              </w:rPr>
              <w:t xml:space="preserve">2) витяг із торговельного, судового реєстрів або інший офіційний документ, що підтверджує реєстрацію іноземної юридичної особи в державі, в якій зареєстровано її головний офіс; </w:t>
            </w:r>
          </w:p>
          <w:p w14:paraId="1877AF95" w14:textId="77777777" w:rsidR="00480B30" w:rsidRPr="00286216" w:rsidRDefault="00480B30" w:rsidP="00480B30">
            <w:pPr>
              <w:pStyle w:val="StyleZakonu"/>
              <w:rPr>
                <w:color w:val="000000" w:themeColor="text1"/>
              </w:rPr>
            </w:pPr>
            <w:r w:rsidRPr="00286216">
              <w:rPr>
                <w:color w:val="000000" w:themeColor="text1"/>
              </w:rPr>
              <w:t>3) документ про ділову репутацію заявника від відповідних іноземних компетентних органів (за наявності);</w:t>
            </w:r>
          </w:p>
          <w:p w14:paraId="4297B461" w14:textId="77777777" w:rsidR="00480B30" w:rsidRPr="00286216" w:rsidRDefault="00480B30" w:rsidP="00480B30">
            <w:pPr>
              <w:pStyle w:val="StyleZakonu"/>
              <w:rPr>
                <w:color w:val="000000" w:themeColor="text1"/>
              </w:rPr>
            </w:pPr>
            <w:r w:rsidRPr="00286216">
              <w:rPr>
                <w:color w:val="000000" w:themeColor="text1"/>
              </w:rPr>
              <w:t xml:space="preserve">4) загальну інформацію про компетентні органи іноземної держави, що мають наглядові повноваження щодо іноземної юридичної особи. </w:t>
            </w:r>
          </w:p>
          <w:p w14:paraId="50EFD17E" w14:textId="77777777" w:rsidR="00480B30" w:rsidRPr="00286216" w:rsidRDefault="00480B30" w:rsidP="00480B30">
            <w:pPr>
              <w:pStyle w:val="StyleZakonu"/>
              <w:rPr>
                <w:color w:val="000000" w:themeColor="text1"/>
              </w:rPr>
            </w:pPr>
            <w:r w:rsidRPr="00286216">
              <w:rPr>
                <w:color w:val="000000" w:themeColor="text1"/>
              </w:rPr>
              <w:t>Фізична особа – іноземець (особа без громадянства), яка має намір набути або збільшити участь, додатково до інформації та документів, передбачених частиною десятою цієї статті, подає до Національної комісії з цінних паперів та фондового ринку в установленому нею порядку документи, передбачені пунктами 1 і  3 цієї частини.</w:t>
            </w:r>
          </w:p>
          <w:p w14:paraId="1B44A9F7" w14:textId="77777777" w:rsidR="00480B30" w:rsidRPr="00286216" w:rsidRDefault="00480B30" w:rsidP="00480B30">
            <w:pPr>
              <w:pStyle w:val="StyleZakonu"/>
              <w:rPr>
                <w:color w:val="000000" w:themeColor="text1"/>
              </w:rPr>
            </w:pPr>
            <w:r w:rsidRPr="00286216">
              <w:rPr>
                <w:color w:val="000000" w:themeColor="text1"/>
              </w:rPr>
              <w:t>12. Національна комісія з цінних паперів та фондового ринку може встановити особливості документів, що подаються для погодження наміру набути або збільшити участь окремими категоріями осіб (зокрема трастами, іншими подібними правовими утвореннями, фондами національного добробуту, фінансовими установами).</w:t>
            </w:r>
          </w:p>
          <w:p w14:paraId="34391E61" w14:textId="77777777" w:rsidR="00480B30" w:rsidRPr="00286216" w:rsidRDefault="00480B30" w:rsidP="00480B30">
            <w:pPr>
              <w:pStyle w:val="StyleZakonu"/>
              <w:rPr>
                <w:color w:val="000000" w:themeColor="text1"/>
              </w:rPr>
            </w:pPr>
            <w:r w:rsidRPr="00286216">
              <w:rPr>
                <w:color w:val="000000" w:themeColor="text1"/>
              </w:rPr>
              <w:t xml:space="preserve">13. Особа, яка має намір набути або збільшити </w:t>
            </w:r>
            <w:r w:rsidRPr="00286216">
              <w:rPr>
                <w:color w:val="000000" w:themeColor="text1"/>
              </w:rPr>
              <w:lastRenderedPageBreak/>
              <w:t>участь, додатково до інформації та документів, передбачених частинами дев’ятою – одинадцятою цієї статті, подає до Національної комісії з цінних паперів та фондового ринку відповідно до вимог, за формою та в  порядку, встановленими Національною комісією з цінних паперів та фондового ринку, інформацію про:</w:t>
            </w:r>
          </w:p>
          <w:p w14:paraId="0E4F4B2E" w14:textId="77777777" w:rsidR="00480B30" w:rsidRPr="00286216" w:rsidRDefault="00480B30" w:rsidP="00480B30">
            <w:pPr>
              <w:pStyle w:val="StyleZakonu"/>
              <w:rPr>
                <w:color w:val="000000" w:themeColor="text1"/>
              </w:rPr>
            </w:pPr>
            <w:r w:rsidRPr="00286216">
              <w:rPr>
                <w:color w:val="000000" w:themeColor="text1"/>
              </w:rPr>
              <w:t>1) осіб, яких така особа у разі набуття участі або її збільшення має намір призначити особами, які здійснюють виконавчі  функції у професійному учаснику ринків капіталу та організованих товарних ринків;</w:t>
            </w:r>
          </w:p>
          <w:p w14:paraId="1303D252" w14:textId="77777777" w:rsidR="00480B30" w:rsidRPr="00286216" w:rsidRDefault="00480B30" w:rsidP="00480B30">
            <w:pPr>
              <w:pStyle w:val="StyleZakonu"/>
              <w:rPr>
                <w:color w:val="000000" w:themeColor="text1"/>
              </w:rPr>
            </w:pPr>
            <w:r w:rsidRPr="00286216">
              <w:rPr>
                <w:color w:val="000000" w:themeColor="text1"/>
              </w:rPr>
              <w:t>2) мету, спосіб, обсяг, вартість набуття участі або її збільшення;</w:t>
            </w:r>
          </w:p>
          <w:p w14:paraId="14A84685" w14:textId="77777777" w:rsidR="00480B30" w:rsidRPr="00286216" w:rsidRDefault="00480B30" w:rsidP="00480B30">
            <w:pPr>
              <w:pStyle w:val="StyleZakonu"/>
              <w:rPr>
                <w:color w:val="000000" w:themeColor="text1"/>
              </w:rPr>
            </w:pPr>
            <w:r w:rsidRPr="00286216">
              <w:rPr>
                <w:color w:val="000000" w:themeColor="text1"/>
              </w:rPr>
              <w:t>3) фінансування набуття участі або її збільшення;</w:t>
            </w:r>
          </w:p>
          <w:p w14:paraId="16A60EAC" w14:textId="77777777" w:rsidR="00480B30" w:rsidRPr="00286216" w:rsidRDefault="00480B30" w:rsidP="00480B30">
            <w:pPr>
              <w:pStyle w:val="StyleZakonu"/>
              <w:rPr>
                <w:color w:val="000000" w:themeColor="text1"/>
              </w:rPr>
            </w:pPr>
            <w:r w:rsidRPr="00286216">
              <w:rPr>
                <w:color w:val="000000" w:themeColor="text1"/>
              </w:rPr>
              <w:t>4) групу, до якої належатиме професійний учасник ринків капіталу та організованих товарних ринків у результаті набуття участі або її збільшення, а також про наслідки такого набуття участі або її збільшення для цілей здійснення консолідованого та субконсолідованого нагляду за професійним учасником ринків капіталу та організованих товарних ринків;</w:t>
            </w:r>
          </w:p>
          <w:p w14:paraId="7B8D925B" w14:textId="77777777" w:rsidR="00480B30" w:rsidRPr="00286216" w:rsidRDefault="00480B30" w:rsidP="00480B30">
            <w:pPr>
              <w:pStyle w:val="StyleZakonu"/>
              <w:rPr>
                <w:color w:val="000000" w:themeColor="text1"/>
              </w:rPr>
            </w:pPr>
            <w:r w:rsidRPr="00286216">
              <w:rPr>
                <w:color w:val="000000" w:themeColor="text1"/>
              </w:rPr>
              <w:t>5) бізнес-план (бізнес-стратегію) подальшої діяльності професійного учасника ринків капіталу та організованих товарних ринків.</w:t>
            </w:r>
          </w:p>
          <w:p w14:paraId="01349DE8" w14:textId="77777777" w:rsidR="00480B30" w:rsidRPr="00286216" w:rsidRDefault="00480B30" w:rsidP="00480B30">
            <w:pPr>
              <w:pStyle w:val="StyleZakonu"/>
              <w:rPr>
                <w:color w:val="000000" w:themeColor="text1"/>
              </w:rPr>
            </w:pPr>
            <w:r w:rsidRPr="00286216">
              <w:rPr>
                <w:color w:val="000000" w:themeColor="text1"/>
              </w:rPr>
              <w:t>14. Документи, зазначені в цій статті, що подаються іноземною юридичною особою та фізичною особою – іноземцем, повинні відповідати вимогам до мови документів, передбаченим статтею 140 цього Закону.</w:t>
            </w:r>
          </w:p>
          <w:p w14:paraId="5A9A6FAC" w14:textId="77777777" w:rsidR="00480B30" w:rsidRPr="00286216" w:rsidRDefault="00480B30" w:rsidP="00480B30">
            <w:pPr>
              <w:pStyle w:val="StyleZakonu"/>
              <w:rPr>
                <w:color w:val="000000" w:themeColor="text1"/>
              </w:rPr>
            </w:pPr>
            <w:r w:rsidRPr="00286216">
              <w:rPr>
                <w:color w:val="000000" w:themeColor="text1"/>
              </w:rPr>
              <w:t xml:space="preserve">15. Національна комісія з цінних паперів та фондового ринку має право прийняти рішення про відмову в погодженні наміру набути або збільшити участь у разі, якщо: </w:t>
            </w:r>
          </w:p>
          <w:p w14:paraId="71BB01A2" w14:textId="77777777" w:rsidR="00480B30" w:rsidRPr="00286216" w:rsidRDefault="00480B30" w:rsidP="00480B30">
            <w:pPr>
              <w:pStyle w:val="StyleZakonu"/>
              <w:rPr>
                <w:color w:val="000000" w:themeColor="text1"/>
              </w:rPr>
            </w:pPr>
            <w:r w:rsidRPr="00286216">
              <w:rPr>
                <w:color w:val="000000" w:themeColor="text1"/>
              </w:rPr>
              <w:t xml:space="preserve">1) документи містять недостовірну інформацію або не відповідають вимогам законів України чи нормативно-правових актів Національної комісії з цінних паперів та фондового ринку; </w:t>
            </w:r>
          </w:p>
          <w:p w14:paraId="2E3A9B97" w14:textId="77777777" w:rsidR="00480B30" w:rsidRPr="00286216" w:rsidRDefault="00480B30" w:rsidP="00480B30">
            <w:pPr>
              <w:pStyle w:val="StyleZakonu"/>
              <w:rPr>
                <w:color w:val="000000" w:themeColor="text1"/>
              </w:rPr>
            </w:pPr>
            <w:r w:rsidRPr="00286216">
              <w:rPr>
                <w:color w:val="000000" w:themeColor="text1"/>
              </w:rPr>
              <w:t>2) ділова репутація особи, яка має намір набути або збільшити участь, не відповідає вимогам, встановленим Національною комісією з цінних паперів та фондового ринку;</w:t>
            </w:r>
          </w:p>
          <w:p w14:paraId="196FAD86" w14:textId="77777777" w:rsidR="00480B30" w:rsidRPr="00286216" w:rsidRDefault="00480B30" w:rsidP="00480B30">
            <w:pPr>
              <w:pStyle w:val="StyleZakonu"/>
              <w:rPr>
                <w:color w:val="000000" w:themeColor="text1"/>
              </w:rPr>
            </w:pPr>
            <w:r w:rsidRPr="00286216">
              <w:rPr>
                <w:color w:val="000000" w:themeColor="text1"/>
              </w:rPr>
              <w:lastRenderedPageBreak/>
              <w:t>3) ділова репутація особи – контролера заявника, ділова репутація осіб, які здійснюють управлінські функції в юридичній особі – заявнику, а також ділова репутація осіб, які здійснюють управлінські функції в юридичній особі, що знаходиться під контролем юридичної особи – заявника, не відповідають вимогам, встановленим Національною комісією з цінних паперів та фондового ринку;</w:t>
            </w:r>
          </w:p>
          <w:p w14:paraId="6C60B3F6" w14:textId="77777777" w:rsidR="00480B30" w:rsidRPr="00286216" w:rsidRDefault="00480B30" w:rsidP="00480B30">
            <w:pPr>
              <w:pStyle w:val="StyleZakonu"/>
              <w:rPr>
                <w:color w:val="000000" w:themeColor="text1"/>
              </w:rPr>
            </w:pPr>
            <w:r w:rsidRPr="00286216">
              <w:rPr>
                <w:color w:val="000000" w:themeColor="text1"/>
              </w:rPr>
              <w:t>4) фінансовий стан юридичної особи – заявника та/або майновий стан фізичної особи-заявника не відповідають вимогам, встановленим Національною комісією з цінних паперів та фондового ринку;</w:t>
            </w:r>
          </w:p>
          <w:p w14:paraId="54E4CCBE" w14:textId="77777777" w:rsidR="00480B30" w:rsidRPr="00286216" w:rsidRDefault="00480B30" w:rsidP="00480B30">
            <w:pPr>
              <w:pStyle w:val="StyleZakonu"/>
              <w:rPr>
                <w:color w:val="000000" w:themeColor="text1"/>
              </w:rPr>
            </w:pPr>
            <w:r w:rsidRPr="00286216">
              <w:rPr>
                <w:color w:val="000000" w:themeColor="text1"/>
              </w:rPr>
              <w:t>5) особа не має власних коштів для набуття або збільшення участі у професійному учаснику ринків капіталу та організованих товарних ринків;</w:t>
            </w:r>
          </w:p>
          <w:p w14:paraId="688F6FE9" w14:textId="77777777" w:rsidR="00480B30" w:rsidRPr="00286216" w:rsidRDefault="00480B30" w:rsidP="00480B30">
            <w:pPr>
              <w:pStyle w:val="StyleZakonu"/>
              <w:rPr>
                <w:color w:val="000000" w:themeColor="text1"/>
              </w:rPr>
            </w:pPr>
            <w:r w:rsidRPr="00286216">
              <w:rPr>
                <w:color w:val="000000" w:themeColor="text1"/>
              </w:rPr>
              <w:t xml:space="preserve">6) набуття або збільшення особою участі у професійному учаснику ринків капіталу та організованих товарних ринків загрожуватиме інтересам клієнтів професійного учасника ринків капіталу та організованих товарних ринків або суперечитиме антимонопольному законодавству України; </w:t>
            </w:r>
          </w:p>
          <w:p w14:paraId="61C52425" w14:textId="77777777" w:rsidR="00480B30" w:rsidRPr="00286216" w:rsidRDefault="00480B30" w:rsidP="00480B30">
            <w:pPr>
              <w:pStyle w:val="StyleZakonu"/>
              <w:rPr>
                <w:color w:val="000000" w:themeColor="text1"/>
              </w:rPr>
            </w:pPr>
            <w:r w:rsidRPr="00286216">
              <w:rPr>
                <w:color w:val="000000" w:themeColor="text1"/>
              </w:rPr>
              <w:t>7) структура власності юридичної особи заявника не відповідає вимогам щодо її прозорості, встановленим Національною комісією з цінних паперів та фондового ринку;</w:t>
            </w:r>
          </w:p>
          <w:p w14:paraId="63088BDC" w14:textId="77777777" w:rsidR="00480B30" w:rsidRPr="00286216" w:rsidRDefault="00480B30" w:rsidP="00480B30">
            <w:pPr>
              <w:pStyle w:val="StyleZakonu"/>
              <w:rPr>
                <w:color w:val="000000" w:themeColor="text1"/>
              </w:rPr>
            </w:pPr>
            <w:r w:rsidRPr="00286216">
              <w:rPr>
                <w:color w:val="000000" w:themeColor="text1"/>
              </w:rPr>
              <w:t>8) особа, яка має намір набути або збільшити участь, не відповідає вимогам закону.</w:t>
            </w:r>
          </w:p>
          <w:p w14:paraId="59EA70C1" w14:textId="77777777" w:rsidR="00480B30" w:rsidRPr="00286216" w:rsidRDefault="00480B30" w:rsidP="00480B30">
            <w:pPr>
              <w:pStyle w:val="StyleZakonu"/>
              <w:rPr>
                <w:color w:val="000000" w:themeColor="text1"/>
              </w:rPr>
            </w:pPr>
            <w:r w:rsidRPr="00286216">
              <w:rPr>
                <w:color w:val="000000" w:themeColor="text1"/>
              </w:rPr>
              <w:t xml:space="preserve">16. Юридична особа, яка набула участь у професійному учаснику ринків капіталу та організованих товарних ринків, зобов’язана у встановленому Національною комісією з цінних паперів та фондового ринку порядку повідомляти такого професійного учасника ринків капіталу та організованих товарних ринків і Національну комісію з цінних паперів та фондового ринку про всі зміни її структури  власності юридичної особи у місячний строк з дня настання таких змін, а також протягом місяця надавати інформацію про зміни ділової репутації керівників та/або про ділову репутацію новопризначених керівників. </w:t>
            </w:r>
          </w:p>
          <w:p w14:paraId="11F4834B" w14:textId="77777777" w:rsidR="00480B30" w:rsidRPr="00286216" w:rsidRDefault="00480B30" w:rsidP="00480B30">
            <w:pPr>
              <w:pStyle w:val="StyleZakonu"/>
              <w:rPr>
                <w:color w:val="000000" w:themeColor="text1"/>
              </w:rPr>
            </w:pPr>
            <w:r w:rsidRPr="00286216">
              <w:rPr>
                <w:color w:val="000000" w:themeColor="text1"/>
              </w:rPr>
              <w:t xml:space="preserve">Фізична особа, яка набула участь у професійному учаснику ринків капіталу та організованих товарних ринків, зобов’язана у встановленому Національною </w:t>
            </w:r>
            <w:r w:rsidRPr="00286216">
              <w:rPr>
                <w:color w:val="000000" w:themeColor="text1"/>
              </w:rPr>
              <w:lastRenderedPageBreak/>
              <w:t xml:space="preserve">комісією з цінних паперів та фондового ринку порядку повідомляти такого професійного учасника ринків капіталу та організованих товарних ринків та Національну комісію з цінних паперів та фондового ринку про всі зміни в інформації, яку така фізична особа подала згідно з вимогами цієї статті. </w:t>
            </w:r>
          </w:p>
          <w:p w14:paraId="61B28232" w14:textId="6C5D8C4A" w:rsidR="00480B30" w:rsidRPr="00286216" w:rsidRDefault="00480B30" w:rsidP="00480B30">
            <w:pPr>
              <w:pStyle w:val="StyleZakonu"/>
              <w:rPr>
                <w:color w:val="000000" w:themeColor="text1"/>
              </w:rPr>
            </w:pPr>
            <w:r w:rsidRPr="00286216">
              <w:rPr>
                <w:color w:val="000000" w:themeColor="text1"/>
              </w:rPr>
              <w:t>17. Юридична чи фізична особа, яка має намір передати участь у професійному учаснику ринків капіталу та організованих товарних ринків будь-якій іншій особі, зменшити таку участь або передати контроль над професійним учасником ринків капіталу та організованих товарних ринків іншій особі, має повідомити про це професійного учасника ринків капіталу та організованих товарних ринків і Національну комісію з цінних паперів та фондового ринку в установленому нею порядку.</w:t>
            </w:r>
          </w:p>
        </w:tc>
      </w:tr>
      <w:tr w:rsidR="00B352CE" w:rsidRPr="00286216" w14:paraId="108F5D83" w14:textId="77777777" w:rsidTr="00091AA5">
        <w:tc>
          <w:tcPr>
            <w:tcW w:w="576" w:type="dxa"/>
          </w:tcPr>
          <w:p w14:paraId="75CDC913" w14:textId="77777777" w:rsidR="00B352CE" w:rsidRPr="00286216" w:rsidRDefault="00B352CE" w:rsidP="00B352CE">
            <w:pPr>
              <w:pStyle w:val="StyleWisnow"/>
              <w:rPr>
                <w:color w:val="000000" w:themeColor="text1"/>
              </w:rPr>
            </w:pPr>
            <w:bookmarkStart w:id="940" w:name="n1213" w:colFirst="0" w:colLast="0"/>
          </w:p>
        </w:tc>
        <w:tc>
          <w:tcPr>
            <w:tcW w:w="4818" w:type="dxa"/>
          </w:tcPr>
          <w:p w14:paraId="72A7C18E" w14:textId="77777777" w:rsidR="00B352CE" w:rsidRPr="00286216" w:rsidRDefault="00B352CE" w:rsidP="00B352CE">
            <w:pPr>
              <w:pStyle w:val="StyleZakonu"/>
              <w:rPr>
                <w:color w:val="000000" w:themeColor="text1"/>
              </w:rPr>
            </w:pPr>
          </w:p>
        </w:tc>
        <w:tc>
          <w:tcPr>
            <w:tcW w:w="3686" w:type="dxa"/>
          </w:tcPr>
          <w:p w14:paraId="28B954E8" w14:textId="76099A9C" w:rsidR="00B352CE" w:rsidRPr="00286216" w:rsidRDefault="00B352CE" w:rsidP="00B352C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721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8FB068B"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zCs w:val="18"/>
              </w:rPr>
              <w:t xml:space="preserve"> «Доповнити статтю 70 новою частиною </w:t>
            </w:r>
            <w:r w:rsidRPr="00286216">
              <w:rPr>
                <w:color w:val="000000" w:themeColor="text1"/>
                <w:spacing w:val="-2"/>
                <w:szCs w:val="18"/>
              </w:rPr>
              <w:t>другою:</w:t>
            </w:r>
          </w:p>
          <w:p w14:paraId="01370088"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"2. Власником істотної участі в професійному учаснику ринків капіталу та організованих товарних ринків не може бути юридична або фізична особа, яка відповідає хоча б одному із таких критеріїв:</w:t>
            </w:r>
          </w:p>
          <w:p w14:paraId="361C0273"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1) є резидентом держави, що здійснює збройну агресію проти України у значенні, наведеному у статті 1 Закону України «Про оборону України»;</w:t>
            </w:r>
          </w:p>
          <w:p w14:paraId="6B96D396"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 xml:space="preserve">2)  до особи або до її посадових осіб </w:t>
            </w:r>
            <w:r w:rsidRPr="00286216">
              <w:rPr>
                <w:color w:val="000000" w:themeColor="text1"/>
                <w:spacing w:val="-2"/>
                <w:szCs w:val="18"/>
              </w:rPr>
              <w:lastRenderedPageBreak/>
              <w:t>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p w14:paraId="144016AF"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3) до особи або до її посадових осіб застосовані санкції відповідно до Закону України "Про санкції";</w:t>
            </w:r>
          </w:p>
          <w:p w14:paraId="79B2EE58"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4) особа або її посадові особи включені до переліку осіб, пов'язаних з провадженням терористичної діяльності, або стосовно яких застосовано міжнародні санкції;</w:t>
            </w:r>
          </w:p>
          <w:p w14:paraId="606E9DB4" w14:textId="77777777" w:rsidR="00B352CE" w:rsidRPr="00286216" w:rsidRDefault="00B352CE" w:rsidP="00B352CE">
            <w:pPr>
              <w:pStyle w:val="StyleProp"/>
              <w:spacing w:line="180" w:lineRule="exact"/>
              <w:rPr>
                <w:color w:val="000000" w:themeColor="text1"/>
                <w:spacing w:val="-2"/>
                <w:szCs w:val="18"/>
              </w:rPr>
            </w:pPr>
            <w:r w:rsidRPr="00286216">
              <w:rPr>
                <w:color w:val="000000" w:themeColor="text1"/>
                <w:spacing w:val="-2"/>
                <w:szCs w:val="18"/>
              </w:rPr>
              <w:t xml:space="preserve">5) особа, підконтрольна особам, зазначеним в пунктах 1-4 цієї частини, або має таких осіб у своїй структурі власності; </w:t>
            </w:r>
          </w:p>
          <w:p w14:paraId="0EA4E66C" w14:textId="77777777" w:rsidR="00B352CE" w:rsidRPr="00286216" w:rsidRDefault="00B352CE" w:rsidP="00B352CE">
            <w:pPr>
              <w:pStyle w:val="StyleProp"/>
              <w:spacing w:line="180" w:lineRule="exact"/>
              <w:rPr>
                <w:color w:val="000000" w:themeColor="text1"/>
              </w:rPr>
            </w:pPr>
            <w:r w:rsidRPr="00286216">
              <w:rPr>
                <w:color w:val="000000" w:themeColor="text1"/>
                <w:spacing w:val="-2"/>
                <w:szCs w:val="18"/>
              </w:rPr>
              <w:t>6) не відповідає вимогам, передбаченим</w:t>
            </w:r>
            <w:r w:rsidRPr="00286216">
              <w:rPr>
                <w:color w:val="000000" w:themeColor="text1"/>
                <w:szCs w:val="18"/>
              </w:rPr>
              <w:t xml:space="preserve"> законодавством.»</w:t>
            </w:r>
          </w:p>
        </w:tc>
        <w:tc>
          <w:tcPr>
            <w:tcW w:w="1987" w:type="dxa"/>
          </w:tcPr>
          <w:p w14:paraId="67288384" w14:textId="6E576E1B" w:rsidR="00B352CE" w:rsidRPr="00286216" w:rsidRDefault="00B352CE" w:rsidP="00B352CE">
            <w:pPr>
              <w:pStyle w:val="StyleWisnow"/>
              <w:spacing w:line="180" w:lineRule="exact"/>
              <w:rPr>
                <w:color w:val="000000" w:themeColor="text1"/>
              </w:rPr>
            </w:pPr>
            <w:r w:rsidRPr="00286216">
              <w:rPr>
                <w:color w:val="000000" w:themeColor="text1"/>
              </w:rPr>
              <w:lastRenderedPageBreak/>
              <w:t>Враховано редакційно</w:t>
            </w:r>
          </w:p>
        </w:tc>
        <w:tc>
          <w:tcPr>
            <w:tcW w:w="4818" w:type="dxa"/>
          </w:tcPr>
          <w:p w14:paraId="436FCC61" w14:textId="77777777" w:rsidR="00B352CE" w:rsidRPr="00286216" w:rsidRDefault="00B352CE" w:rsidP="00B352CE">
            <w:pPr>
              <w:pStyle w:val="StyleZakonu"/>
              <w:rPr>
                <w:color w:val="000000" w:themeColor="text1"/>
              </w:rPr>
            </w:pPr>
            <w:r w:rsidRPr="00286216">
              <w:rPr>
                <w:color w:val="000000" w:themeColor="text1"/>
              </w:rPr>
              <w:t>18. Власником істотної участі у професійному учаснику ринків капіталу та організованих товарних ринків не може бути юридична або фізична особа, яка відповідає хоча б одному з таких критеріїв:</w:t>
            </w:r>
          </w:p>
          <w:p w14:paraId="33006C6C" w14:textId="77777777" w:rsidR="00B352CE" w:rsidRPr="00286216" w:rsidRDefault="00B352CE" w:rsidP="00B352CE">
            <w:pPr>
              <w:pStyle w:val="StyleZakonu"/>
              <w:rPr>
                <w:color w:val="000000" w:themeColor="text1"/>
              </w:rPr>
            </w:pPr>
            <w:r w:rsidRPr="00286216">
              <w:rPr>
                <w:color w:val="000000" w:themeColor="text1"/>
              </w:rPr>
              <w:t>1) є резидентом держави, що здійснює збройну агресію проти України у значенні, наведеному у статті 1 Закону України «Про оборону України»;</w:t>
            </w:r>
          </w:p>
          <w:p w14:paraId="324C3424" w14:textId="77777777" w:rsidR="00B352CE" w:rsidRPr="00286216" w:rsidRDefault="00B352CE" w:rsidP="00B352CE">
            <w:pPr>
              <w:pStyle w:val="StyleZakonu"/>
              <w:rPr>
                <w:color w:val="000000" w:themeColor="text1"/>
              </w:rPr>
            </w:pPr>
            <w:r w:rsidRPr="00286216">
              <w:rPr>
                <w:color w:val="000000" w:themeColor="text1"/>
              </w:rPr>
              <w:t xml:space="preserve">2)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рішеннями Ради Європейського Союзу, інших </w:t>
            </w:r>
            <w:r w:rsidRPr="00286216">
              <w:rPr>
                <w:color w:val="000000" w:themeColor="text1"/>
              </w:rPr>
              <w:lastRenderedPageBreak/>
              <w:t>міждержавних об’єднань, членом (учасником) яких є Україна, що передбачають обмеження або заборону торговельних та/або фінансових операцій;</w:t>
            </w:r>
          </w:p>
          <w:p w14:paraId="307918CE" w14:textId="77777777" w:rsidR="00B352CE" w:rsidRPr="00286216" w:rsidRDefault="00B352CE" w:rsidP="00B352CE">
            <w:pPr>
              <w:pStyle w:val="StyleZakonu"/>
              <w:rPr>
                <w:color w:val="000000" w:themeColor="text1"/>
              </w:rPr>
            </w:pPr>
            <w:r w:rsidRPr="00286216">
              <w:rPr>
                <w:color w:val="000000" w:themeColor="text1"/>
              </w:rPr>
              <w:t>3) до особи або до її посадових осіб застосовані санкції відповідно до Закону України "Про санкції";</w:t>
            </w:r>
          </w:p>
          <w:p w14:paraId="30B95481" w14:textId="77777777" w:rsidR="00B352CE" w:rsidRPr="00286216" w:rsidRDefault="00B352CE" w:rsidP="00B352CE">
            <w:pPr>
              <w:pStyle w:val="StyleZakonu"/>
              <w:rPr>
                <w:color w:val="000000" w:themeColor="text1"/>
              </w:rPr>
            </w:pPr>
            <w:r w:rsidRPr="00286216">
              <w:rPr>
                <w:color w:val="000000" w:themeColor="text1"/>
              </w:rPr>
              <w:t>4) особа або її посадові особи включені до переліку осіб, пов'язаних з провадженням терористичної діяльності або стосовно яких застосовано міжнародні санкції;</w:t>
            </w:r>
          </w:p>
          <w:p w14:paraId="50EB9F25" w14:textId="77777777" w:rsidR="00B352CE" w:rsidRPr="00286216" w:rsidRDefault="00B352CE" w:rsidP="00B352CE">
            <w:pPr>
              <w:pStyle w:val="StyleZakonu"/>
              <w:rPr>
                <w:color w:val="000000" w:themeColor="text1"/>
              </w:rPr>
            </w:pPr>
            <w:r w:rsidRPr="00286216">
              <w:rPr>
                <w:color w:val="000000" w:themeColor="text1"/>
              </w:rPr>
              <w:t xml:space="preserve">5) особа підконтрольна особам, зазначеним у пунктах 1-4 цієї частини, або має таких осіб у своїй структурі власності юридичної особи; </w:t>
            </w:r>
          </w:p>
          <w:p w14:paraId="7A4536D0" w14:textId="77777777" w:rsidR="00B352CE" w:rsidRPr="00286216" w:rsidRDefault="00B352CE" w:rsidP="00B352CE">
            <w:pPr>
              <w:pStyle w:val="StyleZakonu"/>
              <w:rPr>
                <w:color w:val="000000" w:themeColor="text1"/>
              </w:rPr>
            </w:pPr>
            <w:r w:rsidRPr="00286216">
              <w:rPr>
                <w:color w:val="000000" w:themeColor="text1"/>
              </w:rPr>
              <w:t>6) не відповідає вимогам законодавства.</w:t>
            </w:r>
          </w:p>
          <w:p w14:paraId="4C54CABD" w14:textId="77777777" w:rsidR="00B352CE" w:rsidRPr="00286216" w:rsidRDefault="00B352CE" w:rsidP="00B352CE">
            <w:pPr>
              <w:pStyle w:val="StyleZakonu"/>
              <w:rPr>
                <w:color w:val="000000" w:themeColor="text1"/>
              </w:rPr>
            </w:pPr>
            <w:r w:rsidRPr="00286216">
              <w:rPr>
                <w:color w:val="000000" w:themeColor="text1"/>
              </w:rPr>
              <w:t xml:space="preserve">19. У разі зменшення показників діяльності професійного учасника ринків капіталу та організованих товарних ринків, що використовуються для вимірювання та оцінки ризиків його діяльності, таким чином, що існує ризик невиконання ним пруденційних нормативів, встановлених Національною комісією з цінних паперів та фондового ринку, або виникає ризик неспроможності виконання професійним учасником ринків капіталу та організованих товарних ринків своїх фінансових зобов’язань, строк виконання яких настав, особа, яка має істотну участь у такому професійному учаснику ринків капіталу та організованих товарних ринків, зобов’язана: </w:t>
            </w:r>
          </w:p>
          <w:p w14:paraId="6BF29431" w14:textId="77777777" w:rsidR="00B352CE" w:rsidRPr="00286216" w:rsidRDefault="00B352CE" w:rsidP="00B352CE">
            <w:pPr>
              <w:pStyle w:val="StyleZakonu"/>
              <w:rPr>
                <w:color w:val="000000" w:themeColor="text1"/>
              </w:rPr>
            </w:pPr>
            <w:r w:rsidRPr="00286216">
              <w:rPr>
                <w:color w:val="000000" w:themeColor="text1"/>
              </w:rPr>
              <w:t>1) надати фінансову допомогу такому професійному учаснику в рамках вжиття заходів з метою приведення його діяльності у відповідність із вимогами законодавства або з метою виконання таким учасником своїх фінансових зобов’язань у розмірі, пропорційному до розміру його участі; або</w:t>
            </w:r>
          </w:p>
          <w:p w14:paraId="67B4723C" w14:textId="542C0C58" w:rsidR="00B352CE" w:rsidRPr="00286216" w:rsidRDefault="00B352CE" w:rsidP="00B352CE">
            <w:pPr>
              <w:pStyle w:val="StyleZakonu"/>
              <w:rPr>
                <w:color w:val="000000" w:themeColor="text1"/>
              </w:rPr>
            </w:pPr>
            <w:r w:rsidRPr="00286216">
              <w:rPr>
                <w:color w:val="000000" w:themeColor="text1"/>
              </w:rPr>
              <w:t>2) ініціювати розгляд загальними зборами учасників (акціонерів) питання про ліквідацію такого професійного учасника. У разі, якщо загальними зборами не підтримано пропозицію особи, яка має істотну участь у професійному учаснику ринків капіталу та організованих товарних ринків, прийняти рішення про ліквідацію професійного учасника, така особа зобов’язана виконати дії, передбачені пунктом 1 цієї частини.</w:t>
            </w:r>
          </w:p>
        </w:tc>
      </w:tr>
      <w:tr w:rsidR="00B352CE" w:rsidRPr="00286216" w14:paraId="2D2D80BB" w14:textId="77777777" w:rsidTr="00091AA5">
        <w:tc>
          <w:tcPr>
            <w:tcW w:w="576" w:type="dxa"/>
          </w:tcPr>
          <w:p w14:paraId="67032BC7" w14:textId="77777777" w:rsidR="00B352CE" w:rsidRPr="00286216" w:rsidRDefault="00B352CE" w:rsidP="00B352CE">
            <w:pPr>
              <w:pStyle w:val="StyleWisnow"/>
              <w:rPr>
                <w:color w:val="000000" w:themeColor="text1"/>
              </w:rPr>
            </w:pPr>
          </w:p>
        </w:tc>
        <w:tc>
          <w:tcPr>
            <w:tcW w:w="4818" w:type="dxa"/>
          </w:tcPr>
          <w:p w14:paraId="7FB34C2D" w14:textId="77777777" w:rsidR="00B352CE" w:rsidRPr="00286216" w:rsidRDefault="00B352CE" w:rsidP="00B352CE">
            <w:pPr>
              <w:pStyle w:val="StyleZakonu"/>
              <w:rPr>
                <w:color w:val="000000" w:themeColor="text1"/>
              </w:rPr>
            </w:pPr>
          </w:p>
        </w:tc>
        <w:tc>
          <w:tcPr>
            <w:tcW w:w="3686" w:type="dxa"/>
          </w:tcPr>
          <w:p w14:paraId="1C7E6737" w14:textId="0485B3B8" w:rsidR="00B352CE" w:rsidRPr="00286216" w:rsidRDefault="00B352CE" w:rsidP="00B352CE">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722</w:t>
            </w:r>
            <w:r w:rsidRPr="00286216">
              <w:rPr>
                <w:color w:val="000000" w:themeColor="text1"/>
              </w:rPr>
              <w:fldChar w:fldCharType="end"/>
            </w:r>
            <w:r w:rsidRPr="00286216">
              <w:rPr>
                <w:color w:val="000000" w:themeColor="text1"/>
              </w:rPr>
              <w:t>-Н.д.Шахов С.В. (Реєстр.картка №114)</w:t>
            </w:r>
          </w:p>
          <w:p w14:paraId="384A6F0A" w14:textId="77777777" w:rsidR="00B352CE" w:rsidRPr="00286216" w:rsidRDefault="00B352CE" w:rsidP="00B352CE">
            <w:pPr>
              <w:pStyle w:val="StyleProp"/>
              <w:spacing w:line="180" w:lineRule="exact"/>
              <w:rPr>
                <w:color w:val="000000" w:themeColor="text1"/>
              </w:rPr>
            </w:pPr>
            <w:r w:rsidRPr="00286216">
              <w:rPr>
                <w:color w:val="000000" w:themeColor="text1"/>
              </w:rPr>
              <w:lastRenderedPageBreak/>
              <w:t>У ч. 1 ст. 70 слова "в Національній комісії з цінних паперів та фондового ринку у встановлених нею" замінити словами "у регулятора відповідного ринку у встановлених ним".</w:t>
            </w:r>
          </w:p>
        </w:tc>
        <w:tc>
          <w:tcPr>
            <w:tcW w:w="1987" w:type="dxa"/>
          </w:tcPr>
          <w:p w14:paraId="1A92A61B" w14:textId="77777777" w:rsidR="00B352CE" w:rsidRPr="00286216" w:rsidRDefault="00B352CE" w:rsidP="00B352CE">
            <w:pPr>
              <w:pStyle w:val="StyleWisnow"/>
              <w:spacing w:line="180" w:lineRule="exact"/>
              <w:rPr>
                <w:color w:val="000000" w:themeColor="text1"/>
              </w:rPr>
            </w:pPr>
            <w:r w:rsidRPr="00286216">
              <w:rPr>
                <w:color w:val="000000" w:themeColor="text1"/>
              </w:rPr>
              <w:lastRenderedPageBreak/>
              <w:t>Відхилено</w:t>
            </w:r>
          </w:p>
          <w:p w14:paraId="06FB1AA0" w14:textId="77777777" w:rsidR="00B352CE" w:rsidRPr="00286216" w:rsidRDefault="00B352CE" w:rsidP="00B352CE">
            <w:pPr>
              <w:pStyle w:val="StyleWisnow"/>
              <w:spacing w:line="180" w:lineRule="exact"/>
              <w:rPr>
                <w:color w:val="000000" w:themeColor="text1"/>
              </w:rPr>
            </w:pPr>
            <w:r w:rsidRPr="00286216">
              <w:rPr>
                <w:color w:val="000000" w:themeColor="text1"/>
                <w:spacing w:val="-3"/>
              </w:rPr>
              <w:t xml:space="preserve">єдиний регулятор для </w:t>
            </w:r>
            <w:r w:rsidRPr="00286216">
              <w:rPr>
                <w:color w:val="000000" w:themeColor="text1"/>
                <w:spacing w:val="-3"/>
              </w:rPr>
              <w:lastRenderedPageBreak/>
              <w:t>ринків капіталу та організованих товарних ринків  – НКЦПФР</w:t>
            </w:r>
          </w:p>
        </w:tc>
        <w:tc>
          <w:tcPr>
            <w:tcW w:w="4818" w:type="dxa"/>
          </w:tcPr>
          <w:p w14:paraId="6A39242B" w14:textId="77777777" w:rsidR="00B352CE" w:rsidRPr="00286216" w:rsidRDefault="00B352CE" w:rsidP="00B352CE">
            <w:pPr>
              <w:pStyle w:val="StyleZakonu"/>
              <w:rPr>
                <w:color w:val="000000" w:themeColor="text1"/>
              </w:rPr>
            </w:pPr>
          </w:p>
        </w:tc>
      </w:tr>
      <w:tr w:rsidR="00826C07" w:rsidRPr="00286216" w14:paraId="37D39F86" w14:textId="77777777" w:rsidTr="00091AA5">
        <w:tc>
          <w:tcPr>
            <w:tcW w:w="576" w:type="dxa"/>
          </w:tcPr>
          <w:p w14:paraId="45B04A1E" w14:textId="77777777" w:rsidR="00826C07" w:rsidRPr="00286216" w:rsidRDefault="00826C07" w:rsidP="00826C07">
            <w:pPr>
              <w:pStyle w:val="StyleWisnow"/>
              <w:rPr>
                <w:color w:val="000000" w:themeColor="text1"/>
              </w:rPr>
            </w:pPr>
            <w:bookmarkStart w:id="941" w:name="n1214" w:colFirst="0" w:colLast="0"/>
            <w:bookmarkEnd w:id="940"/>
            <w:r w:rsidRPr="00286216">
              <w:rPr>
                <w:color w:val="000000" w:themeColor="text1"/>
              </w:rPr>
              <w:t>1214.</w:t>
            </w:r>
          </w:p>
        </w:tc>
        <w:tc>
          <w:tcPr>
            <w:tcW w:w="4818" w:type="dxa"/>
          </w:tcPr>
          <w:p w14:paraId="171845FB" w14:textId="77777777" w:rsidR="00826C07" w:rsidRPr="00286216" w:rsidRDefault="00826C07" w:rsidP="00826C07">
            <w:pPr>
              <w:pStyle w:val="StyleZakonu"/>
              <w:rPr>
                <w:color w:val="000000" w:themeColor="text1"/>
              </w:rPr>
            </w:pPr>
            <w:bookmarkStart w:id="942" w:name="_Ref20927740"/>
            <w:r w:rsidRPr="00286216">
              <w:rPr>
                <w:color w:val="000000" w:themeColor="text1"/>
              </w:rPr>
              <w:t>2. Особи, зазначені в частині першій цієї статті, зобов’язані подати Національній комісії з цінних паперів та фондового ринку разом з повідомленням повний перелік документів, визначених цим Законом і нормативно-правовими актами Національної комісії з цінних паперів та фондового ринку.</w:t>
            </w:r>
            <w:bookmarkEnd w:id="942"/>
          </w:p>
        </w:tc>
        <w:tc>
          <w:tcPr>
            <w:tcW w:w="3686" w:type="dxa"/>
          </w:tcPr>
          <w:p w14:paraId="194162F0" w14:textId="42DD2D59"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723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C7D3FDD" w14:textId="77777777" w:rsidR="00826C07" w:rsidRPr="00286216" w:rsidRDefault="00826C07" w:rsidP="00826C07">
            <w:pPr>
              <w:pStyle w:val="StyleProp"/>
              <w:rPr>
                <w:color w:val="000000" w:themeColor="text1"/>
                <w:szCs w:val="18"/>
              </w:rPr>
            </w:pPr>
            <w:r w:rsidRPr="00286216">
              <w:rPr>
                <w:rFonts w:eastAsia="Calibri"/>
                <w:color w:val="000000" w:themeColor="text1"/>
                <w:szCs w:val="18"/>
              </w:rPr>
              <w:t>В абзаці першому частини другої статті 70 слова "</w:t>
            </w:r>
            <w:r w:rsidRPr="00286216">
              <w:rPr>
                <w:color w:val="000000" w:themeColor="text1"/>
                <w:szCs w:val="18"/>
              </w:rPr>
              <w:t>і нормативно-правовими актами Національної комісії з цінних паперів та фондового ринку"</w:t>
            </w:r>
            <w:r w:rsidRPr="00286216">
              <w:rPr>
                <w:rFonts w:eastAsia="Calibri"/>
                <w:color w:val="000000" w:themeColor="text1"/>
                <w:szCs w:val="18"/>
              </w:rPr>
              <w:t xml:space="preserve"> виключити.</w:t>
            </w:r>
          </w:p>
        </w:tc>
        <w:tc>
          <w:tcPr>
            <w:tcW w:w="1987" w:type="dxa"/>
          </w:tcPr>
          <w:p w14:paraId="6C0807B4"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0B1C7F80" w14:textId="3D2021D0" w:rsidR="00826C07" w:rsidRPr="00286216" w:rsidRDefault="00826C07" w:rsidP="00826C07">
            <w:pPr>
              <w:pStyle w:val="StyleWisnow"/>
              <w:spacing w:line="240" w:lineRule="auto"/>
              <w:rPr>
                <w:color w:val="000000" w:themeColor="text1"/>
                <w:szCs w:val="18"/>
              </w:rPr>
            </w:pPr>
            <w:r w:rsidRPr="00286216">
              <w:rPr>
                <w:color w:val="000000" w:themeColor="text1"/>
                <w:szCs w:val="18"/>
              </w:rPr>
              <w:t>зміна редакції</w:t>
            </w:r>
          </w:p>
        </w:tc>
        <w:tc>
          <w:tcPr>
            <w:tcW w:w="4818" w:type="dxa"/>
          </w:tcPr>
          <w:p w14:paraId="5F5415C2" w14:textId="77777777" w:rsidR="00826C07" w:rsidRPr="00286216" w:rsidRDefault="00826C07" w:rsidP="00826C07">
            <w:pPr>
              <w:pStyle w:val="StyleZakonu"/>
              <w:rPr>
                <w:color w:val="000000" w:themeColor="text1"/>
              </w:rPr>
            </w:pPr>
          </w:p>
        </w:tc>
      </w:tr>
      <w:bookmarkEnd w:id="941"/>
      <w:tr w:rsidR="00826C07" w:rsidRPr="00286216" w14:paraId="2E3084C1" w14:textId="77777777" w:rsidTr="00091AA5">
        <w:tc>
          <w:tcPr>
            <w:tcW w:w="576" w:type="dxa"/>
          </w:tcPr>
          <w:p w14:paraId="4C9BAEAC" w14:textId="77777777" w:rsidR="00826C07" w:rsidRPr="00286216" w:rsidRDefault="00826C07" w:rsidP="00826C07">
            <w:pPr>
              <w:pStyle w:val="StyleWisnow"/>
              <w:rPr>
                <w:color w:val="000000" w:themeColor="text1"/>
              </w:rPr>
            </w:pPr>
          </w:p>
        </w:tc>
        <w:tc>
          <w:tcPr>
            <w:tcW w:w="4818" w:type="dxa"/>
          </w:tcPr>
          <w:p w14:paraId="0B88D1E8" w14:textId="77777777" w:rsidR="00826C07" w:rsidRPr="00286216" w:rsidRDefault="00826C07" w:rsidP="00826C07">
            <w:pPr>
              <w:pStyle w:val="StyleZakonu"/>
              <w:rPr>
                <w:color w:val="000000" w:themeColor="text1"/>
              </w:rPr>
            </w:pPr>
          </w:p>
        </w:tc>
        <w:tc>
          <w:tcPr>
            <w:tcW w:w="3686" w:type="dxa"/>
          </w:tcPr>
          <w:p w14:paraId="1AE96775" w14:textId="7F287DBF"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724</w:t>
            </w:r>
            <w:r w:rsidRPr="00286216">
              <w:rPr>
                <w:color w:val="000000" w:themeColor="text1"/>
              </w:rPr>
              <w:fldChar w:fldCharType="end"/>
            </w:r>
            <w:r w:rsidRPr="00286216">
              <w:rPr>
                <w:color w:val="000000" w:themeColor="text1"/>
              </w:rPr>
              <w:t>-Н.д.Шахов С.В. (Реєстр.картка №114)</w:t>
            </w:r>
          </w:p>
          <w:p w14:paraId="0732B37F" w14:textId="77777777" w:rsidR="00826C07" w:rsidRPr="00286216" w:rsidRDefault="00826C07" w:rsidP="00826C07">
            <w:pPr>
              <w:pStyle w:val="StyleProp"/>
              <w:rPr>
                <w:color w:val="000000" w:themeColor="text1"/>
              </w:rPr>
            </w:pPr>
            <w:r w:rsidRPr="00286216">
              <w:rPr>
                <w:color w:val="000000" w:themeColor="text1"/>
              </w:rPr>
              <w:t>Абз. 1 ч. 2 ст. 70 викласти у такій редакції:</w:t>
            </w:r>
          </w:p>
          <w:p w14:paraId="3F1CC742" w14:textId="77777777" w:rsidR="00826C07" w:rsidRPr="00286216" w:rsidRDefault="00826C07" w:rsidP="00826C07">
            <w:pPr>
              <w:pStyle w:val="StyleProp"/>
              <w:rPr>
                <w:color w:val="000000" w:themeColor="text1"/>
              </w:rPr>
            </w:pPr>
            <w:r w:rsidRPr="00286216">
              <w:rPr>
                <w:color w:val="000000" w:themeColor="text1"/>
              </w:rPr>
              <w:t>"2. Особи, зазначені в частині першій цієї статті, зобов’язані подати регулятору відповідного ринку разом з повідомленням повний перелік документів, визначених цим Законом і нормативно-правовими актами регулятора відповідного ринку."</w:t>
            </w:r>
          </w:p>
        </w:tc>
        <w:tc>
          <w:tcPr>
            <w:tcW w:w="1987" w:type="dxa"/>
          </w:tcPr>
          <w:p w14:paraId="4E150AB0"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1847E85E"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19AA1D3E" w14:textId="77777777" w:rsidR="00826C07" w:rsidRPr="00286216" w:rsidRDefault="00826C07" w:rsidP="00826C07">
            <w:pPr>
              <w:pStyle w:val="StyleProp"/>
              <w:rPr>
                <w:rFonts w:eastAsia="Calibri"/>
                <w:color w:val="000000" w:themeColor="text1"/>
              </w:rPr>
            </w:pPr>
          </w:p>
        </w:tc>
      </w:tr>
      <w:tr w:rsidR="00826C07" w:rsidRPr="00286216" w14:paraId="6EAB3BA7" w14:textId="77777777" w:rsidTr="00091AA5">
        <w:tc>
          <w:tcPr>
            <w:tcW w:w="576" w:type="dxa"/>
          </w:tcPr>
          <w:p w14:paraId="1661A08E" w14:textId="77777777" w:rsidR="00826C07" w:rsidRPr="00286216" w:rsidRDefault="00826C07" w:rsidP="00826C07">
            <w:pPr>
              <w:pStyle w:val="StyleWisnow"/>
              <w:rPr>
                <w:color w:val="000000" w:themeColor="text1"/>
              </w:rPr>
            </w:pPr>
            <w:bookmarkStart w:id="943" w:name="n1215" w:colFirst="0" w:colLast="0"/>
            <w:r w:rsidRPr="00286216">
              <w:rPr>
                <w:color w:val="000000" w:themeColor="text1"/>
              </w:rPr>
              <w:t>1215.</w:t>
            </w:r>
          </w:p>
        </w:tc>
        <w:tc>
          <w:tcPr>
            <w:tcW w:w="4818" w:type="dxa"/>
          </w:tcPr>
          <w:p w14:paraId="3A592328" w14:textId="77777777" w:rsidR="00826C07" w:rsidRPr="00286216" w:rsidRDefault="00826C07" w:rsidP="00826C07">
            <w:pPr>
              <w:pStyle w:val="StyleZakonu"/>
              <w:rPr>
                <w:color w:val="000000" w:themeColor="text1"/>
              </w:rPr>
            </w:pPr>
            <w:r w:rsidRPr="00286216">
              <w:rPr>
                <w:color w:val="000000" w:themeColor="text1"/>
              </w:rPr>
              <w:t>Національна комісія з цінних паперів та фондового ринку протягом двох робочих днів з дати отримання документів, передбачених частиною 9, 10 та/або 12 цієї статті, письмово повідомляє особу, яка має намір набути або збільшити участь у професійному учаснику ринків капіталу та організованих товарних ринків, про отримання таких документів.</w:t>
            </w:r>
          </w:p>
        </w:tc>
        <w:tc>
          <w:tcPr>
            <w:tcW w:w="3686" w:type="dxa"/>
          </w:tcPr>
          <w:p w14:paraId="08A67885" w14:textId="22BBF3F4"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725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56A48A0"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другий частини другої статті 70 викласти у такій редакції:</w:t>
            </w:r>
          </w:p>
          <w:p w14:paraId="097118D1" w14:textId="77777777" w:rsidR="00826C07" w:rsidRPr="00286216" w:rsidRDefault="00826C07" w:rsidP="00826C07">
            <w:pPr>
              <w:pStyle w:val="StyleProp"/>
              <w:rPr>
                <w:color w:val="000000" w:themeColor="text1"/>
                <w:szCs w:val="18"/>
              </w:rPr>
            </w:pPr>
            <w:r w:rsidRPr="00286216">
              <w:rPr>
                <w:rFonts w:eastAsia="Calibri"/>
                <w:color w:val="000000" w:themeColor="text1"/>
                <w:szCs w:val="18"/>
              </w:rPr>
              <w:t>"Національна комісія з цінних паперів та фондового ринку протягом 5 робочих днів з дати отримання пакету документів надає особі, яка має намір набути або збільшити участь у професійному учаснику ринків капіталу та організованих товарних ринків, підтвердження отримання повного переліку документів, передбачених частинами сьомою-десятою цієї статті, або повідомляє про залишення таких документів без розгляду у зв’язку з отриманням неповного переліку документів (із зазначенням відсутніх документів)".</w:t>
            </w:r>
          </w:p>
        </w:tc>
        <w:tc>
          <w:tcPr>
            <w:tcW w:w="1987" w:type="dxa"/>
          </w:tcPr>
          <w:p w14:paraId="52D1B29C"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51BDFCB6"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70</w:t>
            </w:r>
          </w:p>
          <w:p w14:paraId="0094BD7E" w14:textId="77777777" w:rsidR="00826C07" w:rsidRPr="00286216" w:rsidRDefault="00826C07" w:rsidP="00826C07">
            <w:pPr>
              <w:pStyle w:val="StyleWisnow"/>
              <w:rPr>
                <w:color w:val="000000" w:themeColor="text1"/>
              </w:rPr>
            </w:pPr>
          </w:p>
        </w:tc>
        <w:tc>
          <w:tcPr>
            <w:tcW w:w="4818" w:type="dxa"/>
          </w:tcPr>
          <w:p w14:paraId="65364969" w14:textId="77777777" w:rsidR="00826C07" w:rsidRPr="00286216" w:rsidRDefault="00826C07" w:rsidP="00826C07">
            <w:pPr>
              <w:pStyle w:val="StyleZakonu"/>
              <w:rPr>
                <w:color w:val="000000" w:themeColor="text1"/>
              </w:rPr>
            </w:pPr>
          </w:p>
        </w:tc>
      </w:tr>
      <w:bookmarkEnd w:id="943"/>
      <w:tr w:rsidR="00826C07" w:rsidRPr="00286216" w14:paraId="311AB41C" w14:textId="77777777" w:rsidTr="00091AA5">
        <w:tc>
          <w:tcPr>
            <w:tcW w:w="576" w:type="dxa"/>
          </w:tcPr>
          <w:p w14:paraId="3A1C5A4C" w14:textId="77777777" w:rsidR="00826C07" w:rsidRPr="00286216" w:rsidRDefault="00826C07" w:rsidP="00826C07">
            <w:pPr>
              <w:pStyle w:val="StyleWisnow"/>
              <w:rPr>
                <w:color w:val="000000" w:themeColor="text1"/>
              </w:rPr>
            </w:pPr>
          </w:p>
        </w:tc>
        <w:tc>
          <w:tcPr>
            <w:tcW w:w="4818" w:type="dxa"/>
          </w:tcPr>
          <w:p w14:paraId="6CC0ED59" w14:textId="77777777" w:rsidR="00826C07" w:rsidRPr="00286216" w:rsidRDefault="00826C07" w:rsidP="00826C07">
            <w:pPr>
              <w:pStyle w:val="StyleZakonu"/>
              <w:rPr>
                <w:color w:val="000000" w:themeColor="text1"/>
              </w:rPr>
            </w:pPr>
          </w:p>
        </w:tc>
        <w:tc>
          <w:tcPr>
            <w:tcW w:w="3686" w:type="dxa"/>
          </w:tcPr>
          <w:p w14:paraId="405E6412" w14:textId="5B69B3A0"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726</w:t>
            </w:r>
            <w:r w:rsidRPr="00286216">
              <w:rPr>
                <w:color w:val="000000" w:themeColor="text1"/>
              </w:rPr>
              <w:fldChar w:fldCharType="end"/>
            </w:r>
            <w:r w:rsidRPr="00286216">
              <w:rPr>
                <w:color w:val="000000" w:themeColor="text1"/>
              </w:rPr>
              <w:t>-Н.д.Шахов С.В. (Реєстр.картка №114)</w:t>
            </w:r>
          </w:p>
          <w:p w14:paraId="0031E062" w14:textId="77777777" w:rsidR="00826C07" w:rsidRPr="00286216" w:rsidRDefault="00826C07" w:rsidP="00826C07">
            <w:pPr>
              <w:pStyle w:val="StyleProp"/>
              <w:rPr>
                <w:color w:val="000000" w:themeColor="text1"/>
                <w:spacing w:val="-3"/>
              </w:rPr>
            </w:pPr>
            <w:r w:rsidRPr="00286216">
              <w:rPr>
                <w:color w:val="000000" w:themeColor="text1"/>
                <w:spacing w:val="-3"/>
              </w:rPr>
              <w:t>В абз.2 ч.2 ст.70 слова "Національна комісія з цінних паперів та фондового ринку" замінити словами "Регулятор відповідного ринку".</w:t>
            </w:r>
          </w:p>
        </w:tc>
        <w:tc>
          <w:tcPr>
            <w:tcW w:w="1987" w:type="dxa"/>
          </w:tcPr>
          <w:p w14:paraId="1479BAEA"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1D04560A"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4A6573DD" w14:textId="77777777" w:rsidR="00826C07" w:rsidRPr="00286216" w:rsidRDefault="00826C07" w:rsidP="00826C07">
            <w:pPr>
              <w:pStyle w:val="StyleZakonu"/>
              <w:rPr>
                <w:color w:val="000000" w:themeColor="text1"/>
              </w:rPr>
            </w:pPr>
          </w:p>
        </w:tc>
      </w:tr>
      <w:tr w:rsidR="00826C07" w:rsidRPr="00286216" w14:paraId="7D5F1132" w14:textId="77777777" w:rsidTr="00091AA5">
        <w:tc>
          <w:tcPr>
            <w:tcW w:w="576" w:type="dxa"/>
          </w:tcPr>
          <w:p w14:paraId="687C734E" w14:textId="77777777" w:rsidR="00826C07" w:rsidRPr="00286216" w:rsidRDefault="00826C07" w:rsidP="00826C07">
            <w:pPr>
              <w:pStyle w:val="StyleWisnow"/>
              <w:rPr>
                <w:color w:val="000000" w:themeColor="text1"/>
              </w:rPr>
            </w:pPr>
            <w:bookmarkStart w:id="944" w:name="n1216" w:colFirst="0" w:colLast="0"/>
            <w:r w:rsidRPr="00286216">
              <w:rPr>
                <w:color w:val="000000" w:themeColor="text1"/>
              </w:rPr>
              <w:t>1216.</w:t>
            </w:r>
          </w:p>
        </w:tc>
        <w:tc>
          <w:tcPr>
            <w:tcW w:w="4818" w:type="dxa"/>
          </w:tcPr>
          <w:p w14:paraId="09606F13" w14:textId="77777777" w:rsidR="00826C07" w:rsidRPr="00286216" w:rsidRDefault="00826C07" w:rsidP="00826C07">
            <w:pPr>
              <w:pStyle w:val="StyleZakonu"/>
              <w:rPr>
                <w:color w:val="000000" w:themeColor="text1"/>
              </w:rPr>
            </w:pPr>
            <w:r w:rsidRPr="00286216">
              <w:rPr>
                <w:color w:val="000000" w:themeColor="text1"/>
              </w:rPr>
              <w:t>Національна комісія з цінних паперів та фондового ринку у місячний термін надає особі, яка має намір набути або збільшити участь у професійному учаснику ринків капіталу та організованих товарних ринків, підтвердження отримання повного переліку документів, передбачених частинами сьомою-десятою цієї статті, або повідомляє про залишення таких документів без розгляду у зв’язку з отриманням неповного переліку документів.</w:t>
            </w:r>
          </w:p>
        </w:tc>
        <w:tc>
          <w:tcPr>
            <w:tcW w:w="3686" w:type="dxa"/>
          </w:tcPr>
          <w:p w14:paraId="5391E96B" w14:textId="4A4B4FF0"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727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FB48C95"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Третій абзац частини другої статті 70 викласти у такій редакції:</w:t>
            </w:r>
          </w:p>
          <w:p w14:paraId="6C81FA61"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 xml:space="preserve">"3.  Про подання неповного пакета документів та/або невідповідність вимогам цього Закону та нормативно-правових актів  Національної комісії з цінних паперів та фондового ринку, зазначена комісія повідомляє заявнику (його уповноваженій особі) не пізніше ніж протягом місяця з дня </w:t>
            </w:r>
            <w:r w:rsidRPr="00286216">
              <w:rPr>
                <w:rFonts w:eastAsia="Calibri"/>
                <w:color w:val="000000" w:themeColor="text1"/>
                <w:szCs w:val="18"/>
              </w:rPr>
              <w:lastRenderedPageBreak/>
              <w:t>подання пакета документів".</w:t>
            </w:r>
          </w:p>
        </w:tc>
        <w:tc>
          <w:tcPr>
            <w:tcW w:w="1987" w:type="dxa"/>
          </w:tcPr>
          <w:p w14:paraId="516F5BAA" w14:textId="77777777" w:rsidR="00826C07" w:rsidRPr="00286216" w:rsidRDefault="00826C07" w:rsidP="00B352CE">
            <w:pPr>
              <w:pStyle w:val="StyleWisnow"/>
              <w:spacing w:line="180" w:lineRule="exact"/>
              <w:rPr>
                <w:color w:val="000000" w:themeColor="text1"/>
              </w:rPr>
            </w:pPr>
            <w:r w:rsidRPr="00286216">
              <w:rPr>
                <w:color w:val="000000" w:themeColor="text1"/>
              </w:rPr>
              <w:lastRenderedPageBreak/>
              <w:t>Враховано по суті</w:t>
            </w:r>
          </w:p>
          <w:p w14:paraId="381C6F7C" w14:textId="6E948216" w:rsidR="00826C07" w:rsidRPr="00286216" w:rsidRDefault="00826C07" w:rsidP="00B352CE">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35EDC303" w14:textId="77777777" w:rsidR="00826C07" w:rsidRPr="00286216" w:rsidRDefault="00826C07" w:rsidP="00826C07">
            <w:pPr>
              <w:pStyle w:val="StyleZakonu"/>
              <w:rPr>
                <w:color w:val="000000" w:themeColor="text1"/>
              </w:rPr>
            </w:pPr>
          </w:p>
        </w:tc>
      </w:tr>
      <w:bookmarkEnd w:id="944"/>
      <w:tr w:rsidR="00826C07" w:rsidRPr="00286216" w14:paraId="6163BCCD" w14:textId="77777777" w:rsidTr="00091AA5">
        <w:tc>
          <w:tcPr>
            <w:tcW w:w="576" w:type="dxa"/>
          </w:tcPr>
          <w:p w14:paraId="43239377" w14:textId="77777777" w:rsidR="00826C07" w:rsidRPr="00286216" w:rsidRDefault="00826C07" w:rsidP="00826C07">
            <w:pPr>
              <w:pStyle w:val="StyleWisnow"/>
              <w:rPr>
                <w:color w:val="000000" w:themeColor="text1"/>
              </w:rPr>
            </w:pPr>
          </w:p>
        </w:tc>
        <w:tc>
          <w:tcPr>
            <w:tcW w:w="4818" w:type="dxa"/>
          </w:tcPr>
          <w:p w14:paraId="46DD1013" w14:textId="77777777" w:rsidR="00826C07" w:rsidRPr="00286216" w:rsidRDefault="00826C07" w:rsidP="00826C07">
            <w:pPr>
              <w:pStyle w:val="StyleZakonu"/>
              <w:rPr>
                <w:color w:val="000000" w:themeColor="text1"/>
              </w:rPr>
            </w:pPr>
          </w:p>
        </w:tc>
        <w:tc>
          <w:tcPr>
            <w:tcW w:w="3686" w:type="dxa"/>
          </w:tcPr>
          <w:p w14:paraId="29BE8C8F" w14:textId="0D227F46"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728</w:t>
            </w:r>
            <w:r w:rsidRPr="00286216">
              <w:rPr>
                <w:color w:val="000000" w:themeColor="text1"/>
                <w:spacing w:val="-10"/>
              </w:rPr>
              <w:fldChar w:fldCharType="end"/>
            </w:r>
            <w:r w:rsidRPr="00286216">
              <w:rPr>
                <w:color w:val="000000" w:themeColor="text1"/>
                <w:spacing w:val="-10"/>
              </w:rPr>
              <w:t>-Н.д.Гетманцев Д.О.(Реєстр.картка №245)</w:t>
            </w:r>
          </w:p>
          <w:p w14:paraId="0E2313C2" w14:textId="77777777" w:rsidR="00826C07" w:rsidRPr="00286216" w:rsidRDefault="00826C07" w:rsidP="00826C07">
            <w:pPr>
              <w:pStyle w:val="StyleProp"/>
              <w:spacing w:line="180" w:lineRule="exact"/>
              <w:rPr>
                <w:color w:val="000000" w:themeColor="text1"/>
              </w:rPr>
            </w:pPr>
            <w:r w:rsidRPr="00286216">
              <w:rPr>
                <w:color w:val="000000" w:themeColor="text1"/>
              </w:rPr>
              <w:t>У статті 70 абзац третій частини другої викласти в такій редакції:</w:t>
            </w:r>
          </w:p>
          <w:p w14:paraId="72B9A9BA" w14:textId="77777777" w:rsidR="00826C07" w:rsidRPr="00286216" w:rsidRDefault="00826C07" w:rsidP="00826C07">
            <w:pPr>
              <w:pStyle w:val="StyleProp"/>
              <w:spacing w:line="180" w:lineRule="exact"/>
              <w:rPr>
                <w:color w:val="000000" w:themeColor="text1"/>
              </w:rPr>
            </w:pPr>
            <w:r w:rsidRPr="00286216">
              <w:rPr>
                <w:color w:val="000000" w:themeColor="text1"/>
              </w:rPr>
              <w:t>«Національна комісія з цінних паперів та фондового ринку протягом двох робочих днів з дня отримання документів від особи, зазначеної в частині першій цієї статті, надає особі, яка має намір набути або збільшити участь у професійному учаснику ринків капіталу та організованих товарних ринків, підтвердження отримання повного переліку документів, передбачених частинами сьомою-десятою цієї статті, або повідомляє про залишення таких документів без розгляду у зв’язку з отриманням неповного переліку документів. Повідомлення про залишення документів без розгляду повинно містити перелік документів, які не було подано особою, яка має намір набути чи збільшити участь в професійному учаснику ринків капіталу чи організованих товарних ринків, до Національної комісії з цінних паперів та фондового ринку.»</w:t>
            </w:r>
          </w:p>
        </w:tc>
        <w:tc>
          <w:tcPr>
            <w:tcW w:w="1987" w:type="dxa"/>
          </w:tcPr>
          <w:p w14:paraId="57B143DF" w14:textId="77777777" w:rsidR="00826C07" w:rsidRPr="00286216" w:rsidRDefault="00826C07" w:rsidP="00826C07">
            <w:pPr>
              <w:pStyle w:val="StyleWisnow"/>
              <w:rPr>
                <w:color w:val="000000" w:themeColor="text1"/>
              </w:rPr>
            </w:pPr>
            <w:r w:rsidRPr="00286216">
              <w:rPr>
                <w:color w:val="000000" w:themeColor="text1"/>
              </w:rPr>
              <w:t>Враховано частково</w:t>
            </w:r>
          </w:p>
          <w:p w14:paraId="4685B33A" w14:textId="1C42A161" w:rsidR="00826C07" w:rsidRPr="00286216" w:rsidRDefault="00826C07" w:rsidP="00826C07">
            <w:pPr>
              <w:pStyle w:val="StyleWisnow"/>
              <w:rPr>
                <w:color w:val="000000" w:themeColor="text1"/>
              </w:rPr>
            </w:pPr>
            <w:r w:rsidRPr="00286216">
              <w:rPr>
                <w:color w:val="000000" w:themeColor="text1"/>
              </w:rPr>
              <w:t>у запропонованій редакції статті 74 (ч.3)</w:t>
            </w:r>
          </w:p>
          <w:p w14:paraId="1239A385" w14:textId="77777777" w:rsidR="00826C07" w:rsidRPr="00286216" w:rsidRDefault="00826C07" w:rsidP="00826C07">
            <w:pPr>
              <w:pStyle w:val="StyleWisnow"/>
              <w:rPr>
                <w:color w:val="000000" w:themeColor="text1"/>
              </w:rPr>
            </w:pPr>
            <w:r w:rsidRPr="00286216">
              <w:rPr>
                <w:color w:val="000000" w:themeColor="text1"/>
              </w:rPr>
              <w:t>щодо повідомлення про  неповний перелік документів</w:t>
            </w:r>
          </w:p>
        </w:tc>
        <w:tc>
          <w:tcPr>
            <w:tcW w:w="4818" w:type="dxa"/>
          </w:tcPr>
          <w:p w14:paraId="4A3B561F" w14:textId="72795A00" w:rsidR="00826C07" w:rsidRPr="00286216" w:rsidRDefault="00826C07" w:rsidP="00826C07">
            <w:pPr>
              <w:pStyle w:val="StyleZakonu"/>
              <w:rPr>
                <w:color w:val="000000" w:themeColor="text1"/>
              </w:rPr>
            </w:pPr>
          </w:p>
        </w:tc>
      </w:tr>
      <w:tr w:rsidR="00826C07" w:rsidRPr="00286216" w14:paraId="57E90A95" w14:textId="77777777" w:rsidTr="00091AA5">
        <w:tc>
          <w:tcPr>
            <w:tcW w:w="576" w:type="dxa"/>
          </w:tcPr>
          <w:p w14:paraId="4A4EE0A2" w14:textId="77777777" w:rsidR="00826C07" w:rsidRPr="00286216" w:rsidRDefault="00826C07" w:rsidP="00826C07">
            <w:pPr>
              <w:pStyle w:val="StyleWisnow"/>
              <w:rPr>
                <w:color w:val="000000" w:themeColor="text1"/>
              </w:rPr>
            </w:pPr>
          </w:p>
        </w:tc>
        <w:tc>
          <w:tcPr>
            <w:tcW w:w="4818" w:type="dxa"/>
          </w:tcPr>
          <w:p w14:paraId="4F0C90BA" w14:textId="77777777" w:rsidR="00826C07" w:rsidRPr="00286216" w:rsidRDefault="00826C07" w:rsidP="00826C07">
            <w:pPr>
              <w:pStyle w:val="StyleZakonu"/>
              <w:rPr>
                <w:color w:val="000000" w:themeColor="text1"/>
              </w:rPr>
            </w:pPr>
          </w:p>
        </w:tc>
        <w:tc>
          <w:tcPr>
            <w:tcW w:w="3686" w:type="dxa"/>
          </w:tcPr>
          <w:p w14:paraId="3018FC4C" w14:textId="6E4109AE"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729</w:t>
            </w:r>
            <w:r w:rsidRPr="00286216">
              <w:rPr>
                <w:color w:val="000000" w:themeColor="text1"/>
              </w:rPr>
              <w:fldChar w:fldCharType="end"/>
            </w:r>
            <w:r w:rsidRPr="00286216">
              <w:rPr>
                <w:color w:val="000000" w:themeColor="text1"/>
              </w:rPr>
              <w:t>-Н.д.Шахов С.В. (Реєстр.картка №114)</w:t>
            </w:r>
          </w:p>
          <w:p w14:paraId="4993C973" w14:textId="77777777" w:rsidR="00826C07" w:rsidRPr="00286216" w:rsidRDefault="00826C07" w:rsidP="00826C07">
            <w:pPr>
              <w:pStyle w:val="StyleProp"/>
              <w:rPr>
                <w:color w:val="000000" w:themeColor="text1"/>
                <w:spacing w:val="-3"/>
              </w:rPr>
            </w:pPr>
            <w:r w:rsidRPr="00286216">
              <w:rPr>
                <w:color w:val="000000" w:themeColor="text1"/>
                <w:spacing w:val="-3"/>
              </w:rPr>
              <w:t>В абз.3 ч.2 ст.70 слова "</w:t>
            </w:r>
            <w:r w:rsidRPr="00286216">
              <w:rPr>
                <w:color w:val="000000" w:themeColor="text1"/>
              </w:rPr>
              <w:t xml:space="preserve"> </w:t>
            </w:r>
            <w:r w:rsidRPr="00286216">
              <w:rPr>
                <w:color w:val="000000" w:themeColor="text1"/>
                <w:spacing w:val="-3"/>
              </w:rPr>
              <w:t>Національна комісія з цінних паперів та фондового ринку у місячний термін" замінити словами "Регулятор відповідного ринку у десятиденний строк".</w:t>
            </w:r>
          </w:p>
        </w:tc>
        <w:tc>
          <w:tcPr>
            <w:tcW w:w="1987" w:type="dxa"/>
          </w:tcPr>
          <w:p w14:paraId="45A41273"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2649F2B"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293B02D9" w14:textId="77777777" w:rsidR="00826C07" w:rsidRPr="00286216" w:rsidRDefault="00826C07" w:rsidP="00826C07">
            <w:pPr>
              <w:pStyle w:val="StyleZakonu"/>
              <w:rPr>
                <w:color w:val="000000" w:themeColor="text1"/>
              </w:rPr>
            </w:pPr>
          </w:p>
        </w:tc>
      </w:tr>
      <w:tr w:rsidR="00826C07" w:rsidRPr="00286216" w14:paraId="088F5749" w14:textId="77777777" w:rsidTr="00091AA5">
        <w:tc>
          <w:tcPr>
            <w:tcW w:w="576" w:type="dxa"/>
          </w:tcPr>
          <w:p w14:paraId="2247E879" w14:textId="77777777" w:rsidR="00826C07" w:rsidRPr="00286216" w:rsidRDefault="00826C07" w:rsidP="00826C07">
            <w:pPr>
              <w:pStyle w:val="StyleWisnow"/>
              <w:rPr>
                <w:color w:val="000000" w:themeColor="text1"/>
              </w:rPr>
            </w:pPr>
            <w:bookmarkStart w:id="945" w:name="n1217" w:colFirst="0" w:colLast="0"/>
            <w:r w:rsidRPr="00286216">
              <w:rPr>
                <w:color w:val="000000" w:themeColor="text1"/>
              </w:rPr>
              <w:t>1217.</w:t>
            </w:r>
          </w:p>
        </w:tc>
        <w:tc>
          <w:tcPr>
            <w:tcW w:w="4818" w:type="dxa"/>
          </w:tcPr>
          <w:p w14:paraId="3BAE247A" w14:textId="77777777" w:rsidR="00826C07" w:rsidRPr="00286216" w:rsidRDefault="00826C07" w:rsidP="00826C07">
            <w:pPr>
              <w:pStyle w:val="StyleZakonu"/>
              <w:rPr>
                <w:color w:val="000000" w:themeColor="text1"/>
              </w:rPr>
            </w:pPr>
            <w:r w:rsidRPr="00286216">
              <w:rPr>
                <w:color w:val="000000" w:themeColor="text1"/>
              </w:rPr>
              <w:t>3. Національна комісія з цінних паперів та фондового ринку розглядає документи, визначені у цій статті, протягом шістдесяти робочих днів з дня направлення повідомлення передбаченого частиною 2 цієї статті.</w:t>
            </w:r>
          </w:p>
        </w:tc>
        <w:tc>
          <w:tcPr>
            <w:tcW w:w="3686" w:type="dxa"/>
          </w:tcPr>
          <w:p w14:paraId="22BA30D7" w14:textId="10BEAD4B"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730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BF07DBF"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перший частини третьої статті 70 викласти у такій редакції:</w:t>
            </w:r>
          </w:p>
          <w:p w14:paraId="3414F9D4"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"3. Національна комісія з цінних паперів та фондового ринку розглядає документи, визначені у цій статті, протягом шістдесяти робочих днів з дня отримання повного пакету відповідних документів".</w:t>
            </w:r>
          </w:p>
        </w:tc>
        <w:tc>
          <w:tcPr>
            <w:tcW w:w="1987" w:type="dxa"/>
          </w:tcPr>
          <w:p w14:paraId="23C11402"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412949F9" w14:textId="4335D955"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6807A69A" w14:textId="77777777" w:rsidR="00826C07" w:rsidRPr="00286216" w:rsidRDefault="00826C07" w:rsidP="00826C07">
            <w:pPr>
              <w:pStyle w:val="StyleZakonu"/>
              <w:rPr>
                <w:color w:val="000000" w:themeColor="text1"/>
              </w:rPr>
            </w:pPr>
          </w:p>
        </w:tc>
      </w:tr>
      <w:bookmarkEnd w:id="945"/>
      <w:tr w:rsidR="00826C07" w:rsidRPr="00286216" w14:paraId="1209FF79" w14:textId="77777777" w:rsidTr="00091AA5">
        <w:tc>
          <w:tcPr>
            <w:tcW w:w="576" w:type="dxa"/>
          </w:tcPr>
          <w:p w14:paraId="7E14503A" w14:textId="77777777" w:rsidR="00826C07" w:rsidRPr="00286216" w:rsidRDefault="00826C07" w:rsidP="00826C07">
            <w:pPr>
              <w:pStyle w:val="StyleWisnow"/>
              <w:rPr>
                <w:color w:val="000000" w:themeColor="text1"/>
              </w:rPr>
            </w:pPr>
          </w:p>
        </w:tc>
        <w:tc>
          <w:tcPr>
            <w:tcW w:w="4818" w:type="dxa"/>
          </w:tcPr>
          <w:p w14:paraId="6C56B090" w14:textId="77777777" w:rsidR="00826C07" w:rsidRPr="00286216" w:rsidRDefault="00826C07" w:rsidP="00826C07">
            <w:pPr>
              <w:pStyle w:val="StyleZakonu"/>
              <w:rPr>
                <w:color w:val="000000" w:themeColor="text1"/>
              </w:rPr>
            </w:pPr>
          </w:p>
        </w:tc>
        <w:tc>
          <w:tcPr>
            <w:tcW w:w="3686" w:type="dxa"/>
          </w:tcPr>
          <w:p w14:paraId="54C068F1" w14:textId="1BA25608"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731</w:t>
            </w:r>
            <w:r w:rsidRPr="00286216">
              <w:rPr>
                <w:color w:val="000000" w:themeColor="text1"/>
                <w:spacing w:val="-10"/>
              </w:rPr>
              <w:fldChar w:fldCharType="end"/>
            </w:r>
            <w:r w:rsidRPr="00286216">
              <w:rPr>
                <w:color w:val="000000" w:themeColor="text1"/>
                <w:spacing w:val="-10"/>
              </w:rPr>
              <w:t>-Н.д.Гетманцев Д.О.(Реєстр.картка №245)</w:t>
            </w:r>
          </w:p>
          <w:p w14:paraId="7486BD4A" w14:textId="77777777" w:rsidR="00826C07" w:rsidRPr="00286216" w:rsidRDefault="00826C07" w:rsidP="00826C07">
            <w:pPr>
              <w:pStyle w:val="StyleProp"/>
              <w:spacing w:line="180" w:lineRule="exact"/>
              <w:rPr>
                <w:color w:val="000000" w:themeColor="text1"/>
                <w:spacing w:val="-7"/>
              </w:rPr>
            </w:pPr>
            <w:r w:rsidRPr="00286216">
              <w:rPr>
                <w:color w:val="000000" w:themeColor="text1"/>
                <w:spacing w:val="-7"/>
              </w:rPr>
              <w:t>У</w:t>
            </w:r>
            <w:r w:rsidRPr="00286216">
              <w:rPr>
                <w:color w:val="000000" w:themeColor="text1"/>
                <w:spacing w:val="-7"/>
                <w:sz w:val="16"/>
                <w:szCs w:val="16"/>
              </w:rPr>
              <w:t xml:space="preserve"> </w:t>
            </w:r>
            <w:r w:rsidRPr="00286216">
              <w:rPr>
                <w:color w:val="000000" w:themeColor="text1"/>
                <w:spacing w:val="-7"/>
              </w:rPr>
              <w:t>статті</w:t>
            </w:r>
            <w:r w:rsidRPr="00286216">
              <w:rPr>
                <w:color w:val="000000" w:themeColor="text1"/>
                <w:spacing w:val="-7"/>
                <w:sz w:val="10"/>
                <w:szCs w:val="10"/>
              </w:rPr>
              <w:t xml:space="preserve"> </w:t>
            </w:r>
            <w:r w:rsidRPr="00286216">
              <w:rPr>
                <w:color w:val="000000" w:themeColor="text1"/>
                <w:spacing w:val="-7"/>
              </w:rPr>
              <w:t>70</w:t>
            </w:r>
            <w:r w:rsidRPr="00286216">
              <w:rPr>
                <w:color w:val="000000" w:themeColor="text1"/>
                <w:spacing w:val="-7"/>
                <w:sz w:val="16"/>
                <w:szCs w:val="16"/>
              </w:rPr>
              <w:t xml:space="preserve"> </w:t>
            </w:r>
            <w:r w:rsidRPr="00286216">
              <w:rPr>
                <w:color w:val="000000" w:themeColor="text1"/>
                <w:spacing w:val="-7"/>
              </w:rPr>
              <w:t>частину</w:t>
            </w:r>
            <w:r w:rsidRPr="00286216">
              <w:rPr>
                <w:color w:val="000000" w:themeColor="text1"/>
                <w:spacing w:val="-7"/>
                <w:sz w:val="14"/>
                <w:szCs w:val="14"/>
              </w:rPr>
              <w:t xml:space="preserve"> </w:t>
            </w:r>
            <w:r w:rsidRPr="00286216">
              <w:rPr>
                <w:color w:val="000000" w:themeColor="text1"/>
                <w:spacing w:val="-7"/>
              </w:rPr>
              <w:t>3</w:t>
            </w:r>
            <w:r w:rsidRPr="00286216">
              <w:rPr>
                <w:color w:val="000000" w:themeColor="text1"/>
                <w:spacing w:val="-7"/>
                <w:sz w:val="16"/>
                <w:szCs w:val="16"/>
              </w:rPr>
              <w:t xml:space="preserve"> </w:t>
            </w:r>
            <w:r w:rsidRPr="00286216">
              <w:rPr>
                <w:color w:val="000000" w:themeColor="text1"/>
                <w:spacing w:val="-7"/>
              </w:rPr>
              <w:t>викласти</w:t>
            </w:r>
            <w:r w:rsidRPr="00286216">
              <w:rPr>
                <w:color w:val="000000" w:themeColor="text1"/>
                <w:spacing w:val="-7"/>
                <w:sz w:val="16"/>
                <w:szCs w:val="16"/>
              </w:rPr>
              <w:t xml:space="preserve"> </w:t>
            </w:r>
            <w:r w:rsidRPr="00286216">
              <w:rPr>
                <w:color w:val="000000" w:themeColor="text1"/>
                <w:spacing w:val="-7"/>
              </w:rPr>
              <w:t>у</w:t>
            </w:r>
            <w:r w:rsidRPr="00286216">
              <w:rPr>
                <w:color w:val="000000" w:themeColor="text1"/>
                <w:spacing w:val="-7"/>
                <w:sz w:val="16"/>
                <w:szCs w:val="16"/>
              </w:rPr>
              <w:t xml:space="preserve"> </w:t>
            </w:r>
            <w:r w:rsidRPr="00286216">
              <w:rPr>
                <w:color w:val="000000" w:themeColor="text1"/>
                <w:spacing w:val="-7"/>
              </w:rPr>
              <w:t>такій</w:t>
            </w:r>
            <w:r w:rsidRPr="00286216">
              <w:rPr>
                <w:color w:val="000000" w:themeColor="text1"/>
                <w:spacing w:val="-7"/>
                <w:sz w:val="16"/>
                <w:szCs w:val="16"/>
              </w:rPr>
              <w:t xml:space="preserve"> </w:t>
            </w:r>
            <w:r w:rsidRPr="00286216">
              <w:rPr>
                <w:color w:val="000000" w:themeColor="text1"/>
                <w:spacing w:val="-7"/>
              </w:rPr>
              <w:t>редакції:</w:t>
            </w:r>
          </w:p>
          <w:p w14:paraId="7018B49E" w14:textId="77777777" w:rsidR="00826C07" w:rsidRPr="00286216" w:rsidRDefault="00826C07" w:rsidP="00826C07">
            <w:pPr>
              <w:pStyle w:val="StyleProp"/>
              <w:spacing w:line="180" w:lineRule="exact"/>
              <w:rPr>
                <w:color w:val="000000" w:themeColor="text1"/>
              </w:rPr>
            </w:pPr>
            <w:r w:rsidRPr="00286216">
              <w:rPr>
                <w:color w:val="000000" w:themeColor="text1"/>
                <w:spacing w:val="-2"/>
              </w:rPr>
              <w:t>«3. Національна комісія з цінних паперів та фондового ринку у разі подання особою, передбаченою частиною першою цієї статті, документів, визначених у цій статті, у  повному обсязі розглядає такі документи протягом одного місяця з дня направлення повідомлення передбаченого частиною 2 цієї статті.»</w:t>
            </w:r>
          </w:p>
        </w:tc>
        <w:tc>
          <w:tcPr>
            <w:tcW w:w="1987" w:type="dxa"/>
          </w:tcPr>
          <w:p w14:paraId="36532D72"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0756EA0B" w14:textId="390BA4F8" w:rsidR="00826C07" w:rsidRPr="00286216" w:rsidRDefault="00826C07" w:rsidP="00826C07">
            <w:pPr>
              <w:pStyle w:val="StyleWisnow"/>
              <w:rPr>
                <w:color w:val="000000" w:themeColor="text1"/>
              </w:rPr>
            </w:pPr>
            <w:r w:rsidRPr="00286216">
              <w:rPr>
                <w:color w:val="000000" w:themeColor="text1"/>
              </w:rPr>
              <w:t>у запропонованій редакції статті 74</w:t>
            </w:r>
          </w:p>
        </w:tc>
        <w:tc>
          <w:tcPr>
            <w:tcW w:w="4818" w:type="dxa"/>
          </w:tcPr>
          <w:p w14:paraId="2C5D4AC4" w14:textId="77777777" w:rsidR="00826C07" w:rsidRPr="00286216" w:rsidRDefault="00826C07" w:rsidP="00826C07">
            <w:pPr>
              <w:pStyle w:val="StyleZakonu"/>
              <w:rPr>
                <w:color w:val="000000" w:themeColor="text1"/>
              </w:rPr>
            </w:pPr>
          </w:p>
        </w:tc>
      </w:tr>
      <w:tr w:rsidR="00826C07" w:rsidRPr="00286216" w14:paraId="55DF2218" w14:textId="77777777" w:rsidTr="00091AA5">
        <w:tc>
          <w:tcPr>
            <w:tcW w:w="576" w:type="dxa"/>
          </w:tcPr>
          <w:p w14:paraId="249A7643" w14:textId="77777777" w:rsidR="00826C07" w:rsidRPr="00286216" w:rsidRDefault="00826C07" w:rsidP="00826C07">
            <w:pPr>
              <w:pStyle w:val="StyleWisnow"/>
              <w:rPr>
                <w:color w:val="000000" w:themeColor="text1"/>
              </w:rPr>
            </w:pPr>
          </w:p>
        </w:tc>
        <w:tc>
          <w:tcPr>
            <w:tcW w:w="4818" w:type="dxa"/>
          </w:tcPr>
          <w:p w14:paraId="54B7AFBF" w14:textId="77777777" w:rsidR="00826C07" w:rsidRPr="00286216" w:rsidRDefault="00826C07" w:rsidP="00826C07">
            <w:pPr>
              <w:pStyle w:val="StyleZakonu"/>
              <w:rPr>
                <w:color w:val="000000" w:themeColor="text1"/>
              </w:rPr>
            </w:pPr>
          </w:p>
        </w:tc>
        <w:tc>
          <w:tcPr>
            <w:tcW w:w="3686" w:type="dxa"/>
          </w:tcPr>
          <w:p w14:paraId="25DE1033" w14:textId="38087534"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732</w:t>
            </w:r>
            <w:r w:rsidRPr="00286216">
              <w:rPr>
                <w:color w:val="000000" w:themeColor="text1"/>
              </w:rPr>
              <w:fldChar w:fldCharType="end"/>
            </w:r>
            <w:r w:rsidRPr="00286216">
              <w:rPr>
                <w:color w:val="000000" w:themeColor="text1"/>
              </w:rPr>
              <w:t>-Н.д.Шахов С.В. (Реєстр.картка №114)</w:t>
            </w:r>
          </w:p>
          <w:p w14:paraId="532037E3"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Ч.3 статті 70 викласти у такій редакції:</w:t>
            </w:r>
          </w:p>
          <w:p w14:paraId="160CE49F" w14:textId="77777777" w:rsidR="00826C07" w:rsidRPr="00286216" w:rsidRDefault="00826C07" w:rsidP="00826C07">
            <w:pPr>
              <w:pStyle w:val="StyleProp"/>
              <w:spacing w:line="180" w:lineRule="exact"/>
              <w:rPr>
                <w:color w:val="000000" w:themeColor="text1"/>
              </w:rPr>
            </w:pPr>
            <w:r w:rsidRPr="00286216">
              <w:rPr>
                <w:color w:val="000000" w:themeColor="text1"/>
              </w:rPr>
              <w:t xml:space="preserve">"3. Регулятор відповідного ринку розглядає документи, визначені у цій статті, протягом тридцяти робочих днів з дня направлення повідомлення передбаченого </w:t>
            </w:r>
            <w:r w:rsidRPr="00286216">
              <w:rPr>
                <w:color w:val="000000" w:themeColor="text1"/>
              </w:rPr>
              <w:lastRenderedPageBreak/>
              <w:t>частиною 2 цієї статті."</w:t>
            </w:r>
          </w:p>
        </w:tc>
        <w:tc>
          <w:tcPr>
            <w:tcW w:w="1987" w:type="dxa"/>
          </w:tcPr>
          <w:p w14:paraId="07AB637C"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Відхилено</w:t>
            </w:r>
          </w:p>
          <w:p w14:paraId="5514369B"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37FB8BF" w14:textId="77777777" w:rsidR="00826C07" w:rsidRPr="00286216" w:rsidRDefault="00826C07" w:rsidP="00826C07">
            <w:pPr>
              <w:pStyle w:val="StyleZakonu"/>
              <w:rPr>
                <w:color w:val="000000" w:themeColor="text1"/>
              </w:rPr>
            </w:pPr>
          </w:p>
        </w:tc>
      </w:tr>
      <w:tr w:rsidR="00826C07" w:rsidRPr="00286216" w14:paraId="12B458C2" w14:textId="77777777" w:rsidTr="00091AA5">
        <w:tc>
          <w:tcPr>
            <w:tcW w:w="576" w:type="dxa"/>
          </w:tcPr>
          <w:p w14:paraId="6C2BE116" w14:textId="77777777" w:rsidR="00826C07" w:rsidRPr="00286216" w:rsidRDefault="00826C07" w:rsidP="00826C07">
            <w:pPr>
              <w:pStyle w:val="StyleWisnow"/>
              <w:rPr>
                <w:color w:val="000000" w:themeColor="text1"/>
              </w:rPr>
            </w:pPr>
            <w:bookmarkStart w:id="946" w:name="n1218" w:colFirst="0" w:colLast="0"/>
            <w:r w:rsidRPr="00286216">
              <w:rPr>
                <w:color w:val="000000" w:themeColor="text1"/>
              </w:rPr>
              <w:t>1218.</w:t>
            </w:r>
          </w:p>
        </w:tc>
        <w:tc>
          <w:tcPr>
            <w:tcW w:w="4818" w:type="dxa"/>
          </w:tcPr>
          <w:p w14:paraId="6A66F82F" w14:textId="77777777" w:rsidR="00826C07" w:rsidRPr="00286216" w:rsidRDefault="00826C07" w:rsidP="00826C07">
            <w:pPr>
              <w:pStyle w:val="StyleZakonu"/>
              <w:rPr>
                <w:color w:val="000000" w:themeColor="text1"/>
              </w:rPr>
            </w:pPr>
            <w:r w:rsidRPr="00286216">
              <w:rPr>
                <w:color w:val="000000" w:themeColor="text1"/>
              </w:rPr>
              <w:t>4. Протягом періоду розгляду документів, але не пізніше, ніж на п’ятдесятий робочий день з дня отримання повного переліку відповідних документів, Національна комісія з цінних паперів та фондового ринку може одноразово письмово витребувати у осіб, зазначених в частині першій цієї статті, додаткові документи, необхідні для прийняття рішення про погодження набуття участі або її збільшення, зазначивши вичерпний перелік необхідної додаткової інформації. У такому випадку розгляд документів зупиняється до моменту отримання відповіді від осіб, зазначених в частині першій цієї статті, але не більше, ніж на двадцять робочих днів для отримання відповіді від осіб, зареєстрованих на території України та тридцять робочих днів, для отримання відповіді від осіб, зареєстрованих на території іноземної держави, а також для юридичних осіб, які мають намір набути участь у професійному учаснику ринків капіталу та організованих товарних ринків або збільшити її та не є фінансовими установами.</w:t>
            </w:r>
          </w:p>
        </w:tc>
        <w:tc>
          <w:tcPr>
            <w:tcW w:w="3686" w:type="dxa"/>
          </w:tcPr>
          <w:p w14:paraId="0B4C1232" w14:textId="064533CE"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733</w:t>
            </w:r>
            <w:r w:rsidRPr="00286216">
              <w:rPr>
                <w:color w:val="000000" w:themeColor="text1"/>
                <w:spacing w:val="-10"/>
              </w:rPr>
              <w:fldChar w:fldCharType="end"/>
            </w:r>
            <w:r w:rsidRPr="00286216">
              <w:rPr>
                <w:color w:val="000000" w:themeColor="text1"/>
                <w:spacing w:val="-10"/>
              </w:rPr>
              <w:t>-Н.д.Гетманцев Д.О.(Реєстр.картка №245)</w:t>
            </w:r>
          </w:p>
          <w:p w14:paraId="0062C9F5" w14:textId="77777777" w:rsidR="00826C07" w:rsidRPr="00286216" w:rsidRDefault="00826C07" w:rsidP="00826C07">
            <w:pPr>
              <w:pStyle w:val="StyleProp"/>
              <w:rPr>
                <w:color w:val="000000" w:themeColor="text1"/>
              </w:rPr>
            </w:pPr>
            <w:r w:rsidRPr="00286216">
              <w:rPr>
                <w:color w:val="000000" w:themeColor="text1"/>
              </w:rPr>
              <w:t>У статті 70 у частині четвертій абзаци перший-третій виключити.</w:t>
            </w:r>
          </w:p>
          <w:p w14:paraId="68EA5B8C" w14:textId="77777777" w:rsidR="00826C07" w:rsidRPr="00286216" w:rsidRDefault="00826C07" w:rsidP="00826C07">
            <w:pPr>
              <w:pStyle w:val="StyleProp"/>
              <w:rPr>
                <w:color w:val="000000" w:themeColor="text1"/>
              </w:rPr>
            </w:pPr>
          </w:p>
          <w:p w14:paraId="01C6F5C3" w14:textId="77777777" w:rsidR="00826C07" w:rsidRPr="00286216" w:rsidRDefault="00826C07" w:rsidP="00826C07">
            <w:pPr>
              <w:pStyle w:val="StyleProp"/>
              <w:rPr>
                <w:color w:val="000000" w:themeColor="text1"/>
              </w:rPr>
            </w:pPr>
          </w:p>
          <w:p w14:paraId="48CEEAEB" w14:textId="77777777" w:rsidR="00826C07" w:rsidRPr="00286216" w:rsidRDefault="00826C07" w:rsidP="00826C07">
            <w:pPr>
              <w:pStyle w:val="StyleProp"/>
              <w:rPr>
                <w:color w:val="000000" w:themeColor="text1"/>
              </w:rPr>
            </w:pPr>
          </w:p>
          <w:p w14:paraId="4517123D" w14:textId="77777777" w:rsidR="00826C07" w:rsidRPr="00286216" w:rsidRDefault="00826C07" w:rsidP="00826C07">
            <w:pPr>
              <w:pStyle w:val="StyleProp"/>
              <w:rPr>
                <w:color w:val="000000" w:themeColor="text1"/>
              </w:rPr>
            </w:pPr>
          </w:p>
          <w:p w14:paraId="212388FA" w14:textId="77777777" w:rsidR="00826C07" w:rsidRPr="00286216" w:rsidRDefault="00826C07" w:rsidP="00826C07">
            <w:pPr>
              <w:pStyle w:val="StyleProp"/>
              <w:rPr>
                <w:color w:val="000000" w:themeColor="text1"/>
              </w:rPr>
            </w:pPr>
          </w:p>
          <w:p w14:paraId="6B4A97FD" w14:textId="77777777" w:rsidR="00826C07" w:rsidRPr="00286216" w:rsidRDefault="00826C07" w:rsidP="00826C07">
            <w:pPr>
              <w:pStyle w:val="StyleProp"/>
              <w:rPr>
                <w:color w:val="000000" w:themeColor="text1"/>
              </w:rPr>
            </w:pPr>
          </w:p>
          <w:p w14:paraId="27B5B574" w14:textId="77777777" w:rsidR="00826C07" w:rsidRPr="00286216" w:rsidRDefault="00826C07" w:rsidP="00826C07">
            <w:pPr>
              <w:pStyle w:val="StyleProp"/>
              <w:rPr>
                <w:color w:val="000000" w:themeColor="text1"/>
              </w:rPr>
            </w:pPr>
          </w:p>
          <w:p w14:paraId="00FEF664" w14:textId="77777777" w:rsidR="00826C07" w:rsidRPr="00286216" w:rsidRDefault="00826C07" w:rsidP="00826C07">
            <w:pPr>
              <w:pStyle w:val="StyleProp"/>
              <w:rPr>
                <w:color w:val="000000" w:themeColor="text1"/>
              </w:rPr>
            </w:pPr>
          </w:p>
          <w:p w14:paraId="503F063C" w14:textId="77777777" w:rsidR="00826C07" w:rsidRPr="00286216" w:rsidRDefault="00826C07" w:rsidP="00826C07">
            <w:pPr>
              <w:pStyle w:val="StyleProp"/>
              <w:rPr>
                <w:color w:val="000000" w:themeColor="text1"/>
              </w:rPr>
            </w:pPr>
          </w:p>
          <w:p w14:paraId="1CDF1693" w14:textId="77777777" w:rsidR="00826C07" w:rsidRPr="00286216" w:rsidRDefault="00826C07" w:rsidP="00826C07">
            <w:pPr>
              <w:pStyle w:val="StyleProp"/>
              <w:rPr>
                <w:color w:val="000000" w:themeColor="text1"/>
              </w:rPr>
            </w:pPr>
          </w:p>
          <w:p w14:paraId="3571BE20" w14:textId="77777777" w:rsidR="00826C07" w:rsidRPr="00286216" w:rsidRDefault="00826C07" w:rsidP="00826C07">
            <w:pPr>
              <w:pStyle w:val="StyleProp"/>
              <w:rPr>
                <w:color w:val="000000" w:themeColor="text1"/>
              </w:rPr>
            </w:pPr>
          </w:p>
          <w:p w14:paraId="6797985B" w14:textId="77777777" w:rsidR="00826C07" w:rsidRPr="00286216" w:rsidRDefault="00826C07" w:rsidP="00826C07">
            <w:pPr>
              <w:pStyle w:val="StyleProp"/>
              <w:rPr>
                <w:color w:val="000000" w:themeColor="text1"/>
              </w:rPr>
            </w:pPr>
          </w:p>
          <w:p w14:paraId="3DBCC6E2" w14:textId="00D16C88"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734</w:t>
            </w:r>
            <w:r w:rsidRPr="00286216">
              <w:rPr>
                <w:color w:val="000000" w:themeColor="text1"/>
              </w:rPr>
              <w:fldChar w:fldCharType="end"/>
            </w:r>
            <w:r w:rsidRPr="00286216">
              <w:rPr>
                <w:color w:val="000000" w:themeColor="text1"/>
              </w:rPr>
              <w:t>-Н.д.Шахов С.В. (Реєстр.картка №114)</w:t>
            </w:r>
          </w:p>
          <w:p w14:paraId="0E268E31" w14:textId="77777777" w:rsidR="00826C07" w:rsidRPr="00286216" w:rsidRDefault="00826C07" w:rsidP="00826C07">
            <w:pPr>
              <w:pStyle w:val="StyleProp"/>
              <w:rPr>
                <w:color w:val="000000" w:themeColor="text1"/>
              </w:rPr>
            </w:pPr>
            <w:r w:rsidRPr="00286216">
              <w:rPr>
                <w:rFonts w:eastAsia="Calibri"/>
                <w:color w:val="000000" w:themeColor="text1"/>
                <w:szCs w:val="18"/>
              </w:rPr>
              <w:t>В абз.1 ч. 4 статті 70 слово "</w:t>
            </w:r>
            <w:r w:rsidRPr="00286216">
              <w:rPr>
                <w:color w:val="000000" w:themeColor="text1"/>
              </w:rPr>
              <w:t>п'ятдесятий" замінити словом "двадцятий".</w:t>
            </w:r>
          </w:p>
        </w:tc>
        <w:tc>
          <w:tcPr>
            <w:tcW w:w="1987" w:type="dxa"/>
          </w:tcPr>
          <w:p w14:paraId="7829A937"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714DA4C1"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нормам Директиви 2014/65/ЄС та Делегованого Регламенту Єврокомісії 2017/1946 щодо вичерпного переліку інформації, яка повинна бути включена потенційними набувачами в повідомлення про потенційне набуття істотної участі (далі – Директива 2014/65 та Регламент 2017/1946)</w:t>
            </w:r>
          </w:p>
          <w:p w14:paraId="4AB67108" w14:textId="77777777" w:rsidR="00826C07" w:rsidRPr="00286216" w:rsidRDefault="00826C07" w:rsidP="00826C07">
            <w:pPr>
              <w:pStyle w:val="StyleWisnow"/>
              <w:spacing w:line="180" w:lineRule="exact"/>
              <w:rPr>
                <w:color w:val="000000" w:themeColor="text1"/>
              </w:rPr>
            </w:pPr>
          </w:p>
          <w:p w14:paraId="541B0F8E"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D3097A6"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3C3685B6" w14:textId="77777777" w:rsidR="00826C07" w:rsidRPr="00286216" w:rsidRDefault="00826C07" w:rsidP="00826C07">
            <w:pPr>
              <w:pStyle w:val="StyleZakonu"/>
              <w:rPr>
                <w:color w:val="000000" w:themeColor="text1"/>
              </w:rPr>
            </w:pPr>
          </w:p>
        </w:tc>
      </w:tr>
      <w:tr w:rsidR="00826C07" w:rsidRPr="00286216" w14:paraId="23CB95CF" w14:textId="77777777" w:rsidTr="00091AA5">
        <w:tc>
          <w:tcPr>
            <w:tcW w:w="576" w:type="dxa"/>
          </w:tcPr>
          <w:p w14:paraId="2BBDC273" w14:textId="77777777" w:rsidR="00826C07" w:rsidRPr="00286216" w:rsidRDefault="00826C07" w:rsidP="00826C07">
            <w:pPr>
              <w:pStyle w:val="StyleWisnow"/>
              <w:rPr>
                <w:color w:val="000000" w:themeColor="text1"/>
              </w:rPr>
            </w:pPr>
            <w:bookmarkStart w:id="947" w:name="n1219" w:colFirst="0" w:colLast="0"/>
            <w:bookmarkEnd w:id="946"/>
            <w:r w:rsidRPr="00286216">
              <w:rPr>
                <w:color w:val="000000" w:themeColor="text1"/>
              </w:rPr>
              <w:t>1219.</w:t>
            </w:r>
          </w:p>
        </w:tc>
        <w:tc>
          <w:tcPr>
            <w:tcW w:w="4818" w:type="dxa"/>
          </w:tcPr>
          <w:p w14:paraId="29D9838E" w14:textId="77777777" w:rsidR="00826C07" w:rsidRPr="00286216" w:rsidRDefault="00826C07" w:rsidP="00826C07">
            <w:pPr>
              <w:pStyle w:val="StyleZakonu"/>
              <w:rPr>
                <w:color w:val="000000" w:themeColor="text1"/>
              </w:rPr>
            </w:pPr>
            <w:r w:rsidRPr="00286216">
              <w:rPr>
                <w:color w:val="000000" w:themeColor="text1"/>
              </w:rPr>
              <w:t>Неотримання вичерпної відповіді є підставою для заборони юридичній або фізичній особі набувати або збільшувати участь у професійному учаснику ринків капіталу та організованих товарних ринків.</w:t>
            </w:r>
          </w:p>
        </w:tc>
        <w:tc>
          <w:tcPr>
            <w:tcW w:w="3686" w:type="dxa"/>
          </w:tcPr>
          <w:p w14:paraId="1898A6E5" w14:textId="3603EC60"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735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3475D88"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другий частини четвертої статті 70 виключити.</w:t>
            </w:r>
          </w:p>
        </w:tc>
        <w:tc>
          <w:tcPr>
            <w:tcW w:w="1987" w:type="dxa"/>
          </w:tcPr>
          <w:p w14:paraId="53DC090A"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B53AE48"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1451DE58" w14:textId="77777777" w:rsidR="00826C07" w:rsidRPr="00286216" w:rsidRDefault="00826C07" w:rsidP="00826C07">
            <w:pPr>
              <w:pStyle w:val="StyleZakonu"/>
              <w:rPr>
                <w:color w:val="000000" w:themeColor="text1"/>
              </w:rPr>
            </w:pPr>
          </w:p>
        </w:tc>
      </w:tr>
      <w:bookmarkEnd w:id="947"/>
      <w:tr w:rsidR="00826C07" w:rsidRPr="00286216" w14:paraId="77868D42" w14:textId="77777777" w:rsidTr="00091AA5">
        <w:tc>
          <w:tcPr>
            <w:tcW w:w="576" w:type="dxa"/>
          </w:tcPr>
          <w:p w14:paraId="543EF6BF" w14:textId="77777777" w:rsidR="00826C07" w:rsidRPr="00286216" w:rsidRDefault="00826C07" w:rsidP="00826C07">
            <w:pPr>
              <w:pStyle w:val="StyleWisnow"/>
              <w:rPr>
                <w:color w:val="000000" w:themeColor="text1"/>
              </w:rPr>
            </w:pPr>
          </w:p>
        </w:tc>
        <w:tc>
          <w:tcPr>
            <w:tcW w:w="4818" w:type="dxa"/>
          </w:tcPr>
          <w:p w14:paraId="0E8CE158" w14:textId="77777777" w:rsidR="00826C07" w:rsidRPr="00286216" w:rsidRDefault="00826C07" w:rsidP="00826C07">
            <w:pPr>
              <w:pStyle w:val="StyleZakonu"/>
              <w:rPr>
                <w:color w:val="000000" w:themeColor="text1"/>
              </w:rPr>
            </w:pPr>
          </w:p>
        </w:tc>
        <w:tc>
          <w:tcPr>
            <w:tcW w:w="3686" w:type="dxa"/>
          </w:tcPr>
          <w:p w14:paraId="4DADAC48" w14:textId="70DBB44F"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736</w:t>
            </w:r>
            <w:r w:rsidRPr="00286216">
              <w:rPr>
                <w:color w:val="000000" w:themeColor="text1"/>
                <w:spacing w:val="-10"/>
              </w:rPr>
              <w:fldChar w:fldCharType="end"/>
            </w:r>
            <w:r w:rsidRPr="00286216">
              <w:rPr>
                <w:color w:val="000000" w:themeColor="text1"/>
                <w:spacing w:val="-10"/>
              </w:rPr>
              <w:t>-Н.д.Гетманцев Д.О.(Реєстр.картка №245)</w:t>
            </w:r>
          </w:p>
          <w:p w14:paraId="1AB732A8" w14:textId="77777777" w:rsidR="00826C07" w:rsidRPr="00286216" w:rsidRDefault="00826C07" w:rsidP="00826C07">
            <w:pPr>
              <w:pStyle w:val="StyleProp"/>
              <w:rPr>
                <w:color w:val="000000" w:themeColor="text1"/>
              </w:rPr>
            </w:pPr>
            <w:r w:rsidRPr="00286216">
              <w:rPr>
                <w:color w:val="000000" w:themeColor="text1"/>
              </w:rPr>
              <w:t>У статті 70 у частині четвертій абзаци перший-третій виключити.</w:t>
            </w:r>
          </w:p>
        </w:tc>
        <w:tc>
          <w:tcPr>
            <w:tcW w:w="1987" w:type="dxa"/>
          </w:tcPr>
          <w:p w14:paraId="011F0B1C"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1EF9EDDE"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75271611" w14:textId="77777777" w:rsidR="00826C07" w:rsidRPr="00286216" w:rsidRDefault="00826C07" w:rsidP="00826C07">
            <w:pPr>
              <w:pStyle w:val="StyleZakonu"/>
              <w:rPr>
                <w:color w:val="000000" w:themeColor="text1"/>
              </w:rPr>
            </w:pPr>
          </w:p>
        </w:tc>
      </w:tr>
      <w:tr w:rsidR="00826C07" w:rsidRPr="00286216" w14:paraId="4D6D8BC1" w14:textId="77777777" w:rsidTr="00091AA5">
        <w:tc>
          <w:tcPr>
            <w:tcW w:w="576" w:type="dxa"/>
          </w:tcPr>
          <w:p w14:paraId="7FE627F7" w14:textId="77777777" w:rsidR="00826C07" w:rsidRPr="00286216" w:rsidRDefault="00826C07" w:rsidP="00826C07">
            <w:pPr>
              <w:pStyle w:val="StyleWisnow"/>
              <w:rPr>
                <w:color w:val="000000" w:themeColor="text1"/>
              </w:rPr>
            </w:pPr>
            <w:bookmarkStart w:id="948" w:name="n1220" w:colFirst="0" w:colLast="0"/>
            <w:r w:rsidRPr="00286216">
              <w:rPr>
                <w:color w:val="000000" w:themeColor="text1"/>
              </w:rPr>
              <w:t>1220.</w:t>
            </w:r>
          </w:p>
        </w:tc>
        <w:tc>
          <w:tcPr>
            <w:tcW w:w="4818" w:type="dxa"/>
          </w:tcPr>
          <w:p w14:paraId="3B982CD6" w14:textId="77777777" w:rsidR="00826C07" w:rsidRPr="00286216" w:rsidRDefault="00826C07" w:rsidP="00826C07">
            <w:pPr>
              <w:pStyle w:val="StyleZakonu"/>
              <w:rPr>
                <w:color w:val="000000" w:themeColor="text1"/>
              </w:rPr>
            </w:pPr>
            <w:r w:rsidRPr="00286216">
              <w:rPr>
                <w:color w:val="000000" w:themeColor="text1"/>
              </w:rPr>
              <w:t>Національна комісія з цінних паперів та фондового ринку протягом двох робочих днів з дати отримання додаткових документів, передбачених цією частиною, письмово повідомляє особу, яка має намір набути або збільшити участь у професійному учаснику ринків капіталу та організованих товарних ринків, про отримання таких документів.</w:t>
            </w:r>
          </w:p>
        </w:tc>
        <w:tc>
          <w:tcPr>
            <w:tcW w:w="3686" w:type="dxa"/>
          </w:tcPr>
          <w:p w14:paraId="57FCDC31" w14:textId="3D0ECC34"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737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A982476"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третій частини четвертої статті 70 виключити.</w:t>
            </w:r>
          </w:p>
          <w:p w14:paraId="09898AB2" w14:textId="141DAD64"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738</w:t>
            </w:r>
            <w:r w:rsidRPr="00286216">
              <w:rPr>
                <w:color w:val="000000" w:themeColor="text1"/>
              </w:rPr>
              <w:fldChar w:fldCharType="end"/>
            </w:r>
            <w:r w:rsidRPr="00286216">
              <w:rPr>
                <w:color w:val="000000" w:themeColor="text1"/>
              </w:rPr>
              <w:t>-Н.д.Шахов С.В. (Реєстр.картка №114)</w:t>
            </w:r>
          </w:p>
          <w:p w14:paraId="7C9A7240" w14:textId="77777777" w:rsidR="00826C07" w:rsidRPr="00286216" w:rsidRDefault="00826C07" w:rsidP="00826C07">
            <w:pPr>
              <w:pStyle w:val="StyleProp"/>
              <w:rPr>
                <w:rFonts w:eastAsia="Calibri"/>
                <w:color w:val="000000" w:themeColor="text1"/>
                <w:spacing w:val="-2"/>
                <w:szCs w:val="18"/>
              </w:rPr>
            </w:pPr>
            <w:r w:rsidRPr="00286216">
              <w:rPr>
                <w:rFonts w:eastAsia="Calibri"/>
                <w:color w:val="000000" w:themeColor="text1"/>
                <w:spacing w:val="-2"/>
                <w:szCs w:val="18"/>
              </w:rPr>
              <w:t xml:space="preserve">В абз.3 ч.4 ст.70 слова "Національна комісія </w:t>
            </w:r>
            <w:r w:rsidRPr="00286216">
              <w:rPr>
                <w:rFonts w:eastAsia="Calibri"/>
                <w:color w:val="000000" w:themeColor="text1"/>
                <w:spacing w:val="-3"/>
                <w:szCs w:val="18"/>
              </w:rPr>
              <w:t xml:space="preserve">з цінних паперів та фондового ринку" </w:t>
            </w:r>
            <w:r w:rsidRPr="00286216">
              <w:rPr>
                <w:color w:val="000000" w:themeColor="text1"/>
                <w:spacing w:val="-3"/>
              </w:rPr>
              <w:t>замінити</w:t>
            </w:r>
            <w:r w:rsidRPr="00286216">
              <w:rPr>
                <w:color w:val="000000" w:themeColor="text1"/>
                <w:spacing w:val="-3"/>
                <w:sz w:val="16"/>
                <w:szCs w:val="16"/>
              </w:rPr>
              <w:t xml:space="preserve"> </w:t>
            </w:r>
            <w:r w:rsidRPr="00286216">
              <w:rPr>
                <w:color w:val="000000" w:themeColor="text1"/>
                <w:spacing w:val="-3"/>
              </w:rPr>
              <w:t>словами</w:t>
            </w:r>
            <w:r w:rsidRPr="00286216">
              <w:rPr>
                <w:color w:val="000000" w:themeColor="text1"/>
                <w:spacing w:val="-3"/>
                <w:sz w:val="10"/>
                <w:szCs w:val="10"/>
              </w:rPr>
              <w:t xml:space="preserve"> </w:t>
            </w:r>
            <w:r w:rsidRPr="00286216">
              <w:rPr>
                <w:color w:val="000000" w:themeColor="text1"/>
                <w:spacing w:val="-3"/>
              </w:rPr>
              <w:t>"Регулятор</w:t>
            </w:r>
            <w:r w:rsidRPr="00286216">
              <w:rPr>
                <w:color w:val="000000" w:themeColor="text1"/>
                <w:spacing w:val="-3"/>
                <w:sz w:val="10"/>
                <w:szCs w:val="10"/>
              </w:rPr>
              <w:t xml:space="preserve"> </w:t>
            </w:r>
            <w:r w:rsidRPr="00286216">
              <w:rPr>
                <w:color w:val="000000" w:themeColor="text1"/>
                <w:spacing w:val="-3"/>
              </w:rPr>
              <w:t>відповідного ринку".</w:t>
            </w:r>
          </w:p>
        </w:tc>
        <w:tc>
          <w:tcPr>
            <w:tcW w:w="1987" w:type="dxa"/>
          </w:tcPr>
          <w:p w14:paraId="4C1E0C2B"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7C59E78"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p w14:paraId="335D3B0F"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1AAF83A5"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5A5A1892" w14:textId="77777777" w:rsidR="00826C07" w:rsidRPr="00286216" w:rsidRDefault="00826C07" w:rsidP="00826C07">
            <w:pPr>
              <w:pStyle w:val="StyleZakonu"/>
              <w:rPr>
                <w:color w:val="000000" w:themeColor="text1"/>
              </w:rPr>
            </w:pPr>
          </w:p>
        </w:tc>
      </w:tr>
      <w:bookmarkEnd w:id="948"/>
      <w:tr w:rsidR="00826C07" w:rsidRPr="00286216" w14:paraId="08ECE375" w14:textId="77777777" w:rsidTr="00091AA5">
        <w:tc>
          <w:tcPr>
            <w:tcW w:w="576" w:type="dxa"/>
          </w:tcPr>
          <w:p w14:paraId="7E974878" w14:textId="77777777" w:rsidR="00826C07" w:rsidRPr="00286216" w:rsidRDefault="00826C07" w:rsidP="00826C07">
            <w:pPr>
              <w:pStyle w:val="StyleWisnow"/>
              <w:rPr>
                <w:color w:val="000000" w:themeColor="text1"/>
              </w:rPr>
            </w:pPr>
          </w:p>
        </w:tc>
        <w:tc>
          <w:tcPr>
            <w:tcW w:w="4818" w:type="dxa"/>
          </w:tcPr>
          <w:p w14:paraId="0CC4303D" w14:textId="77777777" w:rsidR="00826C07" w:rsidRPr="00286216" w:rsidRDefault="00826C07" w:rsidP="00826C07">
            <w:pPr>
              <w:pStyle w:val="StyleZakonu"/>
              <w:rPr>
                <w:color w:val="000000" w:themeColor="text1"/>
              </w:rPr>
            </w:pPr>
          </w:p>
        </w:tc>
        <w:tc>
          <w:tcPr>
            <w:tcW w:w="3686" w:type="dxa"/>
          </w:tcPr>
          <w:p w14:paraId="5D7B4563" w14:textId="4508EE14"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739</w:t>
            </w:r>
            <w:r w:rsidRPr="00286216">
              <w:rPr>
                <w:color w:val="000000" w:themeColor="text1"/>
                <w:spacing w:val="-10"/>
              </w:rPr>
              <w:fldChar w:fldCharType="end"/>
            </w:r>
            <w:r w:rsidRPr="00286216">
              <w:rPr>
                <w:color w:val="000000" w:themeColor="text1"/>
                <w:spacing w:val="-10"/>
              </w:rPr>
              <w:t>-Н.д.Гетманцев Д.О.(Реєстр.картка №245)</w:t>
            </w:r>
          </w:p>
          <w:p w14:paraId="5D21CDC4" w14:textId="77777777" w:rsidR="00826C07" w:rsidRPr="00286216" w:rsidRDefault="00826C07" w:rsidP="00826C07">
            <w:pPr>
              <w:pStyle w:val="StyleProp"/>
              <w:rPr>
                <w:color w:val="000000" w:themeColor="text1"/>
              </w:rPr>
            </w:pPr>
            <w:r w:rsidRPr="00286216">
              <w:rPr>
                <w:color w:val="000000" w:themeColor="text1"/>
              </w:rPr>
              <w:t>У статті 70 у частині четвертій абзаци перший-третій виключити.</w:t>
            </w:r>
          </w:p>
        </w:tc>
        <w:tc>
          <w:tcPr>
            <w:tcW w:w="1987" w:type="dxa"/>
          </w:tcPr>
          <w:p w14:paraId="74DFBA22"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5F493B3"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52D322DA" w14:textId="77777777" w:rsidR="00826C07" w:rsidRPr="00286216" w:rsidRDefault="00826C07" w:rsidP="00826C07">
            <w:pPr>
              <w:pStyle w:val="StyleZakonu"/>
              <w:rPr>
                <w:color w:val="000000" w:themeColor="text1"/>
              </w:rPr>
            </w:pPr>
          </w:p>
        </w:tc>
      </w:tr>
      <w:tr w:rsidR="00826C07" w:rsidRPr="00286216" w14:paraId="27F321E8" w14:textId="77777777" w:rsidTr="00091AA5">
        <w:tc>
          <w:tcPr>
            <w:tcW w:w="576" w:type="dxa"/>
          </w:tcPr>
          <w:p w14:paraId="02DEC651" w14:textId="77777777" w:rsidR="00826C07" w:rsidRPr="00286216" w:rsidRDefault="00826C07" w:rsidP="00826C07">
            <w:pPr>
              <w:pStyle w:val="StyleWisnow"/>
              <w:rPr>
                <w:color w:val="000000" w:themeColor="text1"/>
              </w:rPr>
            </w:pPr>
            <w:bookmarkStart w:id="949" w:name="n1221" w:colFirst="0" w:colLast="0"/>
            <w:r w:rsidRPr="00286216">
              <w:rPr>
                <w:color w:val="000000" w:themeColor="text1"/>
              </w:rPr>
              <w:t>1221.</w:t>
            </w:r>
          </w:p>
        </w:tc>
        <w:tc>
          <w:tcPr>
            <w:tcW w:w="4818" w:type="dxa"/>
          </w:tcPr>
          <w:p w14:paraId="376AB77D" w14:textId="77777777" w:rsidR="00826C07" w:rsidRPr="00286216" w:rsidRDefault="00826C07" w:rsidP="00826C07">
            <w:pPr>
              <w:pStyle w:val="StyleZakonu"/>
              <w:rPr>
                <w:color w:val="000000" w:themeColor="text1"/>
              </w:rPr>
            </w:pPr>
            <w:r w:rsidRPr="00286216">
              <w:rPr>
                <w:color w:val="000000" w:themeColor="text1"/>
              </w:rPr>
              <w:t>У зв’язку з отриманням витребуваної додаткової інформації Національна комісія з цінних паперів та фондового ринку може, у разі виникнення необхідності, запитувати уточнюючу інформацію. Запит уточнюючої інформації не зупиняє перебігу періоду розгляду документів.</w:t>
            </w:r>
          </w:p>
        </w:tc>
        <w:tc>
          <w:tcPr>
            <w:tcW w:w="3686" w:type="dxa"/>
          </w:tcPr>
          <w:p w14:paraId="140E1ABF" w14:textId="28206C37"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740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C24BDD1"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четвертий частини четвертої статті 70 виключити.</w:t>
            </w:r>
          </w:p>
          <w:p w14:paraId="281265AC" w14:textId="153D4CD3"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741</w:t>
            </w:r>
            <w:r w:rsidRPr="00286216">
              <w:rPr>
                <w:color w:val="000000" w:themeColor="text1"/>
              </w:rPr>
              <w:fldChar w:fldCharType="end"/>
            </w:r>
            <w:r w:rsidRPr="00286216">
              <w:rPr>
                <w:color w:val="000000" w:themeColor="text1"/>
              </w:rPr>
              <w:t>-Н.д.Шахов С.В. (Реєстр.картка №114)</w:t>
            </w:r>
          </w:p>
          <w:p w14:paraId="64D348DB"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pacing w:val="-2"/>
                <w:szCs w:val="18"/>
              </w:rPr>
              <w:t xml:space="preserve">В абз.4 ч.4 ст.70 слова "Національна комісія </w:t>
            </w:r>
            <w:r w:rsidRPr="00286216">
              <w:rPr>
                <w:rFonts w:eastAsia="Calibri"/>
                <w:color w:val="000000" w:themeColor="text1"/>
                <w:spacing w:val="-3"/>
                <w:szCs w:val="18"/>
              </w:rPr>
              <w:t xml:space="preserve">з цінних паперів та фондового ринку" </w:t>
            </w:r>
            <w:r w:rsidRPr="00286216">
              <w:rPr>
                <w:color w:val="000000" w:themeColor="text1"/>
                <w:spacing w:val="-3"/>
              </w:rPr>
              <w:t>замінити</w:t>
            </w:r>
            <w:r w:rsidRPr="00286216">
              <w:rPr>
                <w:color w:val="000000" w:themeColor="text1"/>
                <w:spacing w:val="-3"/>
                <w:sz w:val="16"/>
                <w:szCs w:val="16"/>
              </w:rPr>
              <w:t xml:space="preserve"> </w:t>
            </w:r>
            <w:r w:rsidRPr="00286216">
              <w:rPr>
                <w:color w:val="000000" w:themeColor="text1"/>
                <w:spacing w:val="-3"/>
              </w:rPr>
              <w:t>словами</w:t>
            </w:r>
            <w:r w:rsidRPr="00286216">
              <w:rPr>
                <w:color w:val="000000" w:themeColor="text1"/>
                <w:spacing w:val="-3"/>
                <w:sz w:val="10"/>
                <w:szCs w:val="10"/>
              </w:rPr>
              <w:t xml:space="preserve"> </w:t>
            </w:r>
            <w:r w:rsidRPr="00286216">
              <w:rPr>
                <w:color w:val="000000" w:themeColor="text1"/>
                <w:spacing w:val="-3"/>
              </w:rPr>
              <w:t>"регулятор</w:t>
            </w:r>
            <w:r w:rsidRPr="00286216">
              <w:rPr>
                <w:color w:val="000000" w:themeColor="text1"/>
                <w:spacing w:val="-3"/>
                <w:sz w:val="10"/>
                <w:szCs w:val="10"/>
              </w:rPr>
              <w:t xml:space="preserve"> </w:t>
            </w:r>
            <w:r w:rsidRPr="00286216">
              <w:rPr>
                <w:color w:val="000000" w:themeColor="text1"/>
                <w:spacing w:val="-3"/>
              </w:rPr>
              <w:t>відповідного ринку".</w:t>
            </w:r>
          </w:p>
        </w:tc>
        <w:tc>
          <w:tcPr>
            <w:tcW w:w="1987" w:type="dxa"/>
          </w:tcPr>
          <w:p w14:paraId="189EDD71"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1A1F066"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p w14:paraId="257307C4"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8FDAA6B"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 xml:space="preserve">єдиний регулятор для ринків капіталу та організованих товарних </w:t>
            </w:r>
            <w:r w:rsidRPr="00286216">
              <w:rPr>
                <w:color w:val="000000" w:themeColor="text1"/>
                <w:spacing w:val="-3"/>
              </w:rPr>
              <w:lastRenderedPageBreak/>
              <w:t>ринків  – НКЦПФР</w:t>
            </w:r>
          </w:p>
        </w:tc>
        <w:tc>
          <w:tcPr>
            <w:tcW w:w="4818" w:type="dxa"/>
          </w:tcPr>
          <w:p w14:paraId="467F97E6" w14:textId="77777777" w:rsidR="00826C07" w:rsidRPr="00286216" w:rsidRDefault="00826C07" w:rsidP="00826C07">
            <w:pPr>
              <w:pStyle w:val="StyleZakonu"/>
              <w:rPr>
                <w:color w:val="000000" w:themeColor="text1"/>
              </w:rPr>
            </w:pPr>
          </w:p>
        </w:tc>
      </w:tr>
      <w:bookmarkEnd w:id="949"/>
      <w:tr w:rsidR="00826C07" w:rsidRPr="00286216" w14:paraId="12BE3C40" w14:textId="77777777" w:rsidTr="00091AA5">
        <w:tc>
          <w:tcPr>
            <w:tcW w:w="576" w:type="dxa"/>
          </w:tcPr>
          <w:p w14:paraId="35688278" w14:textId="77777777" w:rsidR="00826C07" w:rsidRPr="00286216" w:rsidRDefault="00826C07" w:rsidP="00826C07">
            <w:pPr>
              <w:pStyle w:val="StyleWisnow"/>
              <w:rPr>
                <w:color w:val="000000" w:themeColor="text1"/>
              </w:rPr>
            </w:pPr>
          </w:p>
        </w:tc>
        <w:tc>
          <w:tcPr>
            <w:tcW w:w="4818" w:type="dxa"/>
          </w:tcPr>
          <w:p w14:paraId="0562107C" w14:textId="77777777" w:rsidR="00826C07" w:rsidRPr="00286216" w:rsidRDefault="00826C07" w:rsidP="00826C07">
            <w:pPr>
              <w:pStyle w:val="StyleZakonu"/>
              <w:rPr>
                <w:color w:val="000000" w:themeColor="text1"/>
              </w:rPr>
            </w:pPr>
          </w:p>
        </w:tc>
        <w:tc>
          <w:tcPr>
            <w:tcW w:w="3686" w:type="dxa"/>
          </w:tcPr>
          <w:p w14:paraId="1E1F2530" w14:textId="2168FBCB"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742</w:t>
            </w:r>
            <w:r w:rsidRPr="00286216">
              <w:rPr>
                <w:color w:val="000000" w:themeColor="text1"/>
                <w:spacing w:val="-10"/>
              </w:rPr>
              <w:fldChar w:fldCharType="end"/>
            </w:r>
            <w:r w:rsidRPr="00286216">
              <w:rPr>
                <w:color w:val="000000" w:themeColor="text1"/>
                <w:spacing w:val="-10"/>
              </w:rPr>
              <w:t>-Н.д.Гетманцев Д.О.(Реєстр.картка №245)</w:t>
            </w:r>
          </w:p>
          <w:p w14:paraId="2BE2687F" w14:textId="77777777" w:rsidR="00826C07" w:rsidRPr="00286216" w:rsidRDefault="00826C07" w:rsidP="00826C07">
            <w:pPr>
              <w:pStyle w:val="StyleProp"/>
              <w:spacing w:line="190" w:lineRule="exact"/>
              <w:rPr>
                <w:color w:val="000000" w:themeColor="text1"/>
                <w:spacing w:val="-2"/>
              </w:rPr>
            </w:pPr>
            <w:r w:rsidRPr="00286216">
              <w:rPr>
                <w:color w:val="000000" w:themeColor="text1"/>
                <w:spacing w:val="-2"/>
              </w:rPr>
              <w:t>У статті 70 у частині четвертій в абзаці 4 слова «У зв’язку з отриманням витребуваної додаткової інформації» виключити.</w:t>
            </w:r>
          </w:p>
        </w:tc>
        <w:tc>
          <w:tcPr>
            <w:tcW w:w="1987" w:type="dxa"/>
          </w:tcPr>
          <w:p w14:paraId="27CFA39C"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63C4587C"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7E836B74" w14:textId="77777777" w:rsidR="00826C07" w:rsidRPr="00286216" w:rsidRDefault="00826C07" w:rsidP="00826C07">
            <w:pPr>
              <w:pStyle w:val="StyleZakonu"/>
              <w:rPr>
                <w:color w:val="000000" w:themeColor="text1"/>
              </w:rPr>
            </w:pPr>
          </w:p>
        </w:tc>
      </w:tr>
      <w:tr w:rsidR="00826C07" w:rsidRPr="00286216" w14:paraId="70D47F2D" w14:textId="77777777" w:rsidTr="00091AA5">
        <w:tc>
          <w:tcPr>
            <w:tcW w:w="576" w:type="dxa"/>
          </w:tcPr>
          <w:p w14:paraId="271A2783" w14:textId="77777777" w:rsidR="00826C07" w:rsidRPr="00286216" w:rsidRDefault="00826C07" w:rsidP="00826C07">
            <w:pPr>
              <w:pStyle w:val="StyleWisnow"/>
              <w:rPr>
                <w:color w:val="000000" w:themeColor="text1"/>
              </w:rPr>
            </w:pPr>
            <w:bookmarkStart w:id="950" w:name="n1222" w:colFirst="0" w:colLast="0"/>
            <w:r w:rsidRPr="00286216">
              <w:rPr>
                <w:color w:val="000000" w:themeColor="text1"/>
              </w:rPr>
              <w:t>1222.</w:t>
            </w:r>
          </w:p>
        </w:tc>
        <w:tc>
          <w:tcPr>
            <w:tcW w:w="4818" w:type="dxa"/>
          </w:tcPr>
          <w:p w14:paraId="316A9246" w14:textId="77777777" w:rsidR="00826C07" w:rsidRPr="00286216" w:rsidRDefault="00826C07" w:rsidP="00826C07">
            <w:pPr>
              <w:pStyle w:val="StyleZakonu"/>
              <w:rPr>
                <w:color w:val="000000" w:themeColor="text1"/>
              </w:rPr>
            </w:pPr>
            <w:r w:rsidRPr="00286216">
              <w:rPr>
                <w:color w:val="000000" w:themeColor="text1"/>
              </w:rPr>
              <w:t>Національна комісія з цінних паперів та фондового ринку не може витребувати інформацію, що не стосується прийняття рішення про погодження набуття участі або її збільшення або про заборону набуття або збільшення участі.</w:t>
            </w:r>
          </w:p>
        </w:tc>
        <w:tc>
          <w:tcPr>
            <w:tcW w:w="3686" w:type="dxa"/>
          </w:tcPr>
          <w:p w14:paraId="607A5E6B" w14:textId="6600E53E"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743</w:t>
            </w:r>
            <w:r w:rsidRPr="00286216">
              <w:rPr>
                <w:color w:val="000000" w:themeColor="text1"/>
              </w:rPr>
              <w:fldChar w:fldCharType="end"/>
            </w:r>
            <w:r w:rsidRPr="00286216">
              <w:rPr>
                <w:color w:val="000000" w:themeColor="text1"/>
              </w:rPr>
              <w:t>-Н.д.Шахов С.В. (Реєстр.картка №114)</w:t>
            </w:r>
          </w:p>
          <w:p w14:paraId="51852AA7"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 5 ч.4 ст. 70 слова "Національна комісія з цінних паперів та фондового ринку" </w:t>
            </w:r>
            <w:r w:rsidRPr="00286216">
              <w:rPr>
                <w:color w:val="000000" w:themeColor="text1"/>
                <w:spacing w:val="-2"/>
              </w:rPr>
              <w:t>замінити</w:t>
            </w:r>
            <w:r w:rsidRPr="00286216">
              <w:rPr>
                <w:color w:val="000000" w:themeColor="text1"/>
                <w:spacing w:val="-2"/>
                <w:sz w:val="16"/>
                <w:szCs w:val="16"/>
              </w:rPr>
              <w:t xml:space="preserve"> </w:t>
            </w:r>
            <w:r w:rsidRPr="00286216">
              <w:rPr>
                <w:color w:val="000000" w:themeColor="text1"/>
                <w:spacing w:val="-2"/>
              </w:rPr>
              <w:t>словами</w:t>
            </w:r>
            <w:r w:rsidRPr="00286216">
              <w:rPr>
                <w:color w:val="000000" w:themeColor="text1"/>
                <w:spacing w:val="-2"/>
                <w:sz w:val="10"/>
                <w:szCs w:val="10"/>
              </w:rPr>
              <w:t xml:space="preserve"> </w:t>
            </w:r>
            <w:r w:rsidRPr="00286216">
              <w:rPr>
                <w:color w:val="000000" w:themeColor="text1"/>
                <w:spacing w:val="-2"/>
              </w:rPr>
              <w:t>"Регулятор</w:t>
            </w:r>
            <w:r w:rsidRPr="00286216">
              <w:rPr>
                <w:color w:val="000000" w:themeColor="text1"/>
                <w:spacing w:val="-2"/>
                <w:sz w:val="10"/>
                <w:szCs w:val="10"/>
              </w:rPr>
              <w:t xml:space="preserve"> </w:t>
            </w:r>
            <w:r w:rsidRPr="00286216">
              <w:rPr>
                <w:color w:val="000000" w:themeColor="text1"/>
                <w:spacing w:val="-2"/>
              </w:rPr>
              <w:t>відповідного ринку".</w:t>
            </w:r>
          </w:p>
        </w:tc>
        <w:tc>
          <w:tcPr>
            <w:tcW w:w="1987" w:type="dxa"/>
          </w:tcPr>
          <w:p w14:paraId="7CC22533"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F1A223E"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68A08328" w14:textId="77777777" w:rsidR="00826C07" w:rsidRPr="00286216" w:rsidRDefault="00826C07" w:rsidP="00826C07">
            <w:pPr>
              <w:pStyle w:val="StyleZakonu"/>
              <w:rPr>
                <w:color w:val="000000" w:themeColor="text1"/>
              </w:rPr>
            </w:pPr>
          </w:p>
        </w:tc>
      </w:tr>
      <w:tr w:rsidR="00826C07" w:rsidRPr="00286216" w14:paraId="6D966EDE" w14:textId="77777777" w:rsidTr="00091AA5">
        <w:tc>
          <w:tcPr>
            <w:tcW w:w="576" w:type="dxa"/>
          </w:tcPr>
          <w:p w14:paraId="231FE5E6" w14:textId="77777777" w:rsidR="00826C07" w:rsidRPr="00286216" w:rsidRDefault="00826C07" w:rsidP="00826C07">
            <w:pPr>
              <w:pStyle w:val="StyleWisnow"/>
              <w:rPr>
                <w:color w:val="000000" w:themeColor="text1"/>
              </w:rPr>
            </w:pPr>
            <w:bookmarkStart w:id="951" w:name="n1223" w:colFirst="0" w:colLast="0"/>
            <w:bookmarkEnd w:id="950"/>
            <w:r w:rsidRPr="00286216">
              <w:rPr>
                <w:color w:val="000000" w:themeColor="text1"/>
              </w:rPr>
              <w:t>1223.</w:t>
            </w:r>
          </w:p>
        </w:tc>
        <w:tc>
          <w:tcPr>
            <w:tcW w:w="4818" w:type="dxa"/>
          </w:tcPr>
          <w:p w14:paraId="19C36879" w14:textId="77777777" w:rsidR="00826C07" w:rsidRPr="00286216" w:rsidRDefault="00826C07" w:rsidP="00826C07">
            <w:pPr>
              <w:pStyle w:val="StyleZakonu"/>
              <w:rPr>
                <w:color w:val="000000" w:themeColor="text1"/>
              </w:rPr>
            </w:pPr>
            <w:r w:rsidRPr="00286216">
              <w:rPr>
                <w:color w:val="000000" w:themeColor="text1"/>
              </w:rPr>
              <w:t>5. За результатами розгляду документів Національна комісія з цінних паперів та фондового ринку приймає рішення про погодження набуття участі або її збільшення або про заборону набуття або збільшення участі. Рішення про погодження набуття участі або її збільшення повинно включати строк дії такого погодження. За заявою особи, які погоджено набуття істотної участі, строк дії такого погодження може бути подовжено за відповідним рішенням Національної комісії з цінних паперів та фондового ринку.</w:t>
            </w:r>
          </w:p>
        </w:tc>
        <w:tc>
          <w:tcPr>
            <w:tcW w:w="3686" w:type="dxa"/>
          </w:tcPr>
          <w:p w14:paraId="788B9B1B" w14:textId="591FA17A"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744</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ECA6102"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В абзаці першому частини п'ятої статті 70 слова "</w:t>
            </w:r>
            <w:r w:rsidRPr="00286216">
              <w:rPr>
                <w:color w:val="000000" w:themeColor="text1"/>
                <w:szCs w:val="18"/>
              </w:rPr>
              <w:t>про заборону набуття або збільшення участі" замінити словами "</w:t>
            </w:r>
            <w:r w:rsidRPr="00286216">
              <w:rPr>
                <w:rFonts w:eastAsia="Calibri"/>
                <w:color w:val="000000" w:themeColor="text1"/>
                <w:szCs w:val="18"/>
              </w:rPr>
              <w:t>про відмову у видачі письмового погодження набуття або збільшення істотної участі", а після слів "такого погодження" доповнити словами "який не може бути меншим дванадцяти місяців".</w:t>
            </w:r>
          </w:p>
        </w:tc>
        <w:tc>
          <w:tcPr>
            <w:tcW w:w="1987" w:type="dxa"/>
          </w:tcPr>
          <w:p w14:paraId="54F8497D"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5428305A" w14:textId="34F209BE"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24D3D4C6" w14:textId="77777777" w:rsidR="00826C07" w:rsidRPr="00286216" w:rsidRDefault="00826C07" w:rsidP="00826C07">
            <w:pPr>
              <w:pStyle w:val="StyleZakonu"/>
              <w:rPr>
                <w:color w:val="000000" w:themeColor="text1"/>
              </w:rPr>
            </w:pPr>
          </w:p>
        </w:tc>
      </w:tr>
      <w:bookmarkEnd w:id="951"/>
      <w:tr w:rsidR="00826C07" w:rsidRPr="00286216" w14:paraId="2359C667" w14:textId="77777777" w:rsidTr="00091AA5">
        <w:tc>
          <w:tcPr>
            <w:tcW w:w="576" w:type="dxa"/>
          </w:tcPr>
          <w:p w14:paraId="3F282AAB" w14:textId="77777777" w:rsidR="00826C07" w:rsidRPr="00286216" w:rsidRDefault="00826C07" w:rsidP="00826C07">
            <w:pPr>
              <w:pStyle w:val="StyleWisnow"/>
              <w:rPr>
                <w:color w:val="000000" w:themeColor="text1"/>
              </w:rPr>
            </w:pPr>
          </w:p>
        </w:tc>
        <w:tc>
          <w:tcPr>
            <w:tcW w:w="4818" w:type="dxa"/>
          </w:tcPr>
          <w:p w14:paraId="02F9AAE1" w14:textId="77777777" w:rsidR="00826C07" w:rsidRPr="00286216" w:rsidRDefault="00826C07" w:rsidP="00826C07">
            <w:pPr>
              <w:pStyle w:val="StyleZakonu"/>
              <w:rPr>
                <w:color w:val="000000" w:themeColor="text1"/>
              </w:rPr>
            </w:pPr>
          </w:p>
        </w:tc>
        <w:tc>
          <w:tcPr>
            <w:tcW w:w="3686" w:type="dxa"/>
          </w:tcPr>
          <w:p w14:paraId="3F1D3B87" w14:textId="0D4255CB"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745</w:t>
            </w:r>
            <w:r w:rsidRPr="00286216">
              <w:rPr>
                <w:color w:val="000000" w:themeColor="text1"/>
                <w:spacing w:val="-10"/>
              </w:rPr>
              <w:fldChar w:fldCharType="end"/>
            </w:r>
            <w:r w:rsidRPr="00286216">
              <w:rPr>
                <w:color w:val="000000" w:themeColor="text1"/>
                <w:spacing w:val="-10"/>
              </w:rPr>
              <w:t>-Н.д.Гетманцев Д.О.(Реєстр.картка №245)</w:t>
            </w:r>
          </w:p>
          <w:p w14:paraId="5F816FF4" w14:textId="77777777" w:rsidR="00826C07" w:rsidRPr="00286216" w:rsidRDefault="00826C07" w:rsidP="00826C07">
            <w:pPr>
              <w:pStyle w:val="StyleProp"/>
              <w:spacing w:line="180" w:lineRule="exact"/>
              <w:rPr>
                <w:color w:val="000000" w:themeColor="text1"/>
              </w:rPr>
            </w:pPr>
            <w:r w:rsidRPr="00286216">
              <w:rPr>
                <w:color w:val="000000" w:themeColor="text1"/>
              </w:rPr>
              <w:t>У статті 70 у частині п’ятій слово «заборону» замінити словами «відмову у видачі письмового погодження».</w:t>
            </w:r>
          </w:p>
        </w:tc>
        <w:tc>
          <w:tcPr>
            <w:tcW w:w="1987" w:type="dxa"/>
          </w:tcPr>
          <w:p w14:paraId="03B0C02E"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7F290582" w14:textId="57FEEFF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74</w:t>
            </w:r>
          </w:p>
        </w:tc>
        <w:tc>
          <w:tcPr>
            <w:tcW w:w="4818" w:type="dxa"/>
          </w:tcPr>
          <w:p w14:paraId="63C54E4D" w14:textId="77777777" w:rsidR="00826C07" w:rsidRPr="00286216" w:rsidRDefault="00826C07" w:rsidP="00826C07">
            <w:pPr>
              <w:pStyle w:val="StyleZakonu"/>
              <w:rPr>
                <w:color w:val="000000" w:themeColor="text1"/>
              </w:rPr>
            </w:pPr>
          </w:p>
        </w:tc>
      </w:tr>
      <w:tr w:rsidR="00826C07" w:rsidRPr="00286216" w14:paraId="676FBF2E" w14:textId="77777777" w:rsidTr="00091AA5">
        <w:tc>
          <w:tcPr>
            <w:tcW w:w="576" w:type="dxa"/>
          </w:tcPr>
          <w:p w14:paraId="461D1C82" w14:textId="77777777" w:rsidR="00826C07" w:rsidRPr="00286216" w:rsidRDefault="00826C07" w:rsidP="00826C07">
            <w:pPr>
              <w:pStyle w:val="StyleWisnow"/>
              <w:rPr>
                <w:color w:val="000000" w:themeColor="text1"/>
              </w:rPr>
            </w:pPr>
          </w:p>
        </w:tc>
        <w:tc>
          <w:tcPr>
            <w:tcW w:w="4818" w:type="dxa"/>
          </w:tcPr>
          <w:p w14:paraId="65DB7ED1" w14:textId="77777777" w:rsidR="00826C07" w:rsidRPr="00286216" w:rsidRDefault="00826C07" w:rsidP="00826C07">
            <w:pPr>
              <w:pStyle w:val="StyleZakonu"/>
              <w:rPr>
                <w:color w:val="000000" w:themeColor="text1"/>
              </w:rPr>
            </w:pPr>
          </w:p>
        </w:tc>
        <w:tc>
          <w:tcPr>
            <w:tcW w:w="3686" w:type="dxa"/>
          </w:tcPr>
          <w:p w14:paraId="309CFEBB" w14:textId="2D323C40"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746</w:t>
            </w:r>
            <w:r w:rsidRPr="00286216">
              <w:rPr>
                <w:color w:val="000000" w:themeColor="text1"/>
              </w:rPr>
              <w:fldChar w:fldCharType="end"/>
            </w:r>
            <w:r w:rsidRPr="00286216">
              <w:rPr>
                <w:color w:val="000000" w:themeColor="text1"/>
              </w:rPr>
              <w:t>-Н.д.Шахов С.В. (Реєстр.картка №114)</w:t>
            </w:r>
          </w:p>
          <w:p w14:paraId="11E50781" w14:textId="77777777" w:rsidR="00826C07" w:rsidRPr="00286216" w:rsidRDefault="00826C07" w:rsidP="00826C07">
            <w:pPr>
              <w:pStyle w:val="StyleProp"/>
              <w:spacing w:line="180" w:lineRule="exact"/>
              <w:rPr>
                <w:color w:val="000000" w:themeColor="text1"/>
              </w:rPr>
            </w:pPr>
            <w:r w:rsidRPr="00286216">
              <w:rPr>
                <w:color w:val="000000" w:themeColor="text1"/>
              </w:rPr>
              <w:t>Ч. 5 ст. 70 викласти у такій редакції:</w:t>
            </w:r>
          </w:p>
          <w:p w14:paraId="1A5DA2DA" w14:textId="77777777" w:rsidR="00826C07" w:rsidRPr="00286216" w:rsidRDefault="00826C07" w:rsidP="00826C07">
            <w:pPr>
              <w:pStyle w:val="StyleProp"/>
              <w:spacing w:line="180" w:lineRule="exact"/>
              <w:rPr>
                <w:color w:val="000000" w:themeColor="text1"/>
                <w:spacing w:val="-4"/>
              </w:rPr>
            </w:pPr>
            <w:r w:rsidRPr="00286216">
              <w:rPr>
                <w:color w:val="000000" w:themeColor="text1"/>
              </w:rPr>
              <w:t>"5. За результатами розгляду</w:t>
            </w:r>
            <w:r w:rsidRPr="00286216">
              <w:rPr>
                <w:color w:val="000000" w:themeColor="text1"/>
                <w:spacing w:val="-4"/>
              </w:rPr>
              <w:t xml:space="preserve"> документів Регулятор відповідного ринку приймає рішення </w:t>
            </w:r>
            <w:r w:rsidRPr="00286216">
              <w:rPr>
                <w:color w:val="000000" w:themeColor="text1"/>
                <w:spacing w:val="-5"/>
              </w:rPr>
              <w:t>про погодження набуття участі або її збільшення</w:t>
            </w:r>
            <w:r w:rsidRPr="00286216">
              <w:rPr>
                <w:color w:val="000000" w:themeColor="text1"/>
                <w:spacing w:val="-4"/>
              </w:rPr>
              <w:t xml:space="preserve"> або про заборону набуття або збільшення </w:t>
            </w:r>
            <w:r w:rsidRPr="00286216">
              <w:rPr>
                <w:color w:val="000000" w:themeColor="text1"/>
                <w:spacing w:val="-2"/>
              </w:rPr>
              <w:t>участі. Рішення про погодження набуття участі або її збільшення є безстроковим".</w:t>
            </w:r>
          </w:p>
        </w:tc>
        <w:tc>
          <w:tcPr>
            <w:tcW w:w="1987" w:type="dxa"/>
          </w:tcPr>
          <w:p w14:paraId="153D4783"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6AED168C"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 xml:space="preserve">єдиний регулятор для ринків капіталу та організованих товарних ринків  – НКЦПФР, а в частині безстроковості рішення </w:t>
            </w:r>
            <w:r w:rsidRPr="00286216">
              <w:rPr>
                <w:color w:val="000000" w:themeColor="text1"/>
              </w:rPr>
              <w:t>суперечить ч.6 ст. 12 Директиви MiFID II</w:t>
            </w:r>
          </w:p>
        </w:tc>
        <w:tc>
          <w:tcPr>
            <w:tcW w:w="4818" w:type="dxa"/>
          </w:tcPr>
          <w:p w14:paraId="2486EE46" w14:textId="77777777" w:rsidR="00826C07" w:rsidRPr="00286216" w:rsidRDefault="00826C07" w:rsidP="00826C07">
            <w:pPr>
              <w:pStyle w:val="StyleZakonu"/>
              <w:rPr>
                <w:color w:val="000000" w:themeColor="text1"/>
              </w:rPr>
            </w:pPr>
          </w:p>
        </w:tc>
      </w:tr>
      <w:tr w:rsidR="00826C07" w:rsidRPr="00286216" w14:paraId="00DE269D" w14:textId="77777777" w:rsidTr="00091AA5">
        <w:tc>
          <w:tcPr>
            <w:tcW w:w="576" w:type="dxa"/>
          </w:tcPr>
          <w:p w14:paraId="45063A0D" w14:textId="77777777" w:rsidR="00826C07" w:rsidRPr="00286216" w:rsidRDefault="00826C07" w:rsidP="00826C07">
            <w:pPr>
              <w:pStyle w:val="StyleWisnow"/>
              <w:rPr>
                <w:color w:val="000000" w:themeColor="text1"/>
              </w:rPr>
            </w:pPr>
            <w:bookmarkStart w:id="952" w:name="n1224" w:colFirst="0" w:colLast="0"/>
            <w:r w:rsidRPr="00286216">
              <w:rPr>
                <w:color w:val="000000" w:themeColor="text1"/>
              </w:rPr>
              <w:t>1224.</w:t>
            </w:r>
          </w:p>
        </w:tc>
        <w:tc>
          <w:tcPr>
            <w:tcW w:w="4818" w:type="dxa"/>
          </w:tcPr>
          <w:p w14:paraId="1AEDE59C" w14:textId="77777777" w:rsidR="00826C07" w:rsidRPr="00286216" w:rsidRDefault="00826C07" w:rsidP="00826C07">
            <w:pPr>
              <w:pStyle w:val="StyleZakonu"/>
              <w:rPr>
                <w:color w:val="000000" w:themeColor="text1"/>
              </w:rPr>
            </w:pPr>
            <w:r w:rsidRPr="00286216">
              <w:rPr>
                <w:color w:val="000000" w:themeColor="text1"/>
              </w:rPr>
              <w:t>6. Національна комісія з цінних паперів та фондового ринку приймає рішення про заборону набуття або збільшення участі у професійному учаснику ринків капіталу та організованих товарних ринків та повідомляє відповідну особу про прийняте рішення із зазначенням підстав такої заборони у порядку та строки, встановлені Національною комісією з цінних паперів та фондового ринку.</w:t>
            </w:r>
          </w:p>
        </w:tc>
        <w:tc>
          <w:tcPr>
            <w:tcW w:w="3686" w:type="dxa"/>
          </w:tcPr>
          <w:p w14:paraId="338E3FD4" w14:textId="1D0B14EB"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747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3337DA8"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В абзаці першому частини шостої статті 70 слова "</w:t>
            </w:r>
            <w:r w:rsidRPr="00286216">
              <w:rPr>
                <w:color w:val="000000" w:themeColor="text1"/>
                <w:szCs w:val="18"/>
              </w:rPr>
              <w:t>про заборону набуття або збільшення участі" замінити словами "</w:t>
            </w:r>
            <w:r w:rsidRPr="00286216">
              <w:rPr>
                <w:rFonts w:eastAsia="Calibri"/>
                <w:color w:val="000000" w:themeColor="text1"/>
                <w:szCs w:val="18"/>
              </w:rPr>
              <w:t>про відмову у видачі письмового погодження набуття або збільшення істотної участі", а слова "такої заборони у порядку та строки, встановлені" замінити словами "такої відмови у порядку, встановленому".</w:t>
            </w:r>
          </w:p>
        </w:tc>
        <w:tc>
          <w:tcPr>
            <w:tcW w:w="1987" w:type="dxa"/>
          </w:tcPr>
          <w:p w14:paraId="1968877A"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5A220718" w14:textId="6A48C732"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66771143" w14:textId="77777777" w:rsidR="00826C07" w:rsidRPr="00286216" w:rsidRDefault="00826C07" w:rsidP="00826C07">
            <w:pPr>
              <w:pStyle w:val="StyleZakonu"/>
              <w:rPr>
                <w:color w:val="000000" w:themeColor="text1"/>
              </w:rPr>
            </w:pPr>
          </w:p>
        </w:tc>
      </w:tr>
      <w:bookmarkEnd w:id="952"/>
      <w:tr w:rsidR="00826C07" w:rsidRPr="00286216" w14:paraId="311D2A31" w14:textId="77777777" w:rsidTr="00091AA5">
        <w:tc>
          <w:tcPr>
            <w:tcW w:w="576" w:type="dxa"/>
          </w:tcPr>
          <w:p w14:paraId="657BFE65" w14:textId="77777777" w:rsidR="00826C07" w:rsidRPr="00286216" w:rsidRDefault="00826C07" w:rsidP="00826C07">
            <w:pPr>
              <w:pStyle w:val="StyleWisnow"/>
              <w:rPr>
                <w:color w:val="000000" w:themeColor="text1"/>
              </w:rPr>
            </w:pPr>
          </w:p>
        </w:tc>
        <w:tc>
          <w:tcPr>
            <w:tcW w:w="4818" w:type="dxa"/>
          </w:tcPr>
          <w:p w14:paraId="60DB4CB8" w14:textId="77777777" w:rsidR="00826C07" w:rsidRPr="00286216" w:rsidRDefault="00826C07" w:rsidP="00826C07">
            <w:pPr>
              <w:pStyle w:val="StyleZakonu"/>
              <w:rPr>
                <w:color w:val="000000" w:themeColor="text1"/>
              </w:rPr>
            </w:pPr>
          </w:p>
        </w:tc>
        <w:tc>
          <w:tcPr>
            <w:tcW w:w="3686" w:type="dxa"/>
          </w:tcPr>
          <w:p w14:paraId="581B26F4" w14:textId="0A2BD485"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748</w:t>
            </w:r>
            <w:r w:rsidRPr="00286216">
              <w:rPr>
                <w:color w:val="000000" w:themeColor="text1"/>
                <w:spacing w:val="-10"/>
              </w:rPr>
              <w:fldChar w:fldCharType="end"/>
            </w:r>
            <w:r w:rsidRPr="00286216">
              <w:rPr>
                <w:color w:val="000000" w:themeColor="text1"/>
                <w:spacing w:val="-10"/>
              </w:rPr>
              <w:t>-Н.д.Гетманцев Д.О.(Реєстр.картка №245)</w:t>
            </w:r>
          </w:p>
          <w:p w14:paraId="60171937" w14:textId="441CB1CB" w:rsidR="00826C07" w:rsidRPr="00286216" w:rsidRDefault="00826C07" w:rsidP="00826C07">
            <w:pPr>
              <w:pStyle w:val="StyleProp"/>
              <w:spacing w:line="180" w:lineRule="exact"/>
              <w:rPr>
                <w:color w:val="000000" w:themeColor="text1"/>
                <w:sz w:val="20"/>
              </w:rPr>
            </w:pPr>
            <w:r w:rsidRPr="00286216">
              <w:rPr>
                <w:color w:val="000000" w:themeColor="text1"/>
              </w:rPr>
              <w:t xml:space="preserve">У статті 70 у частині шостій в абзаці першому: словосполучення «рішення про заборону» замінити словосполученням «рішення про відмову у видачі письмового погодження»; слово «заборони» замінити словом «відмови»; слова «та строки» </w:t>
            </w:r>
            <w:r w:rsidRPr="00286216">
              <w:rPr>
                <w:color w:val="000000" w:themeColor="text1"/>
              </w:rPr>
              <w:lastRenderedPageBreak/>
              <w:t>виключити; слово «встановлені» замінити словом «встановленому»;</w:t>
            </w:r>
          </w:p>
        </w:tc>
        <w:tc>
          <w:tcPr>
            <w:tcW w:w="1987" w:type="dxa"/>
          </w:tcPr>
          <w:p w14:paraId="712F4FBC" w14:textId="77777777" w:rsidR="00826C07" w:rsidRPr="00286216" w:rsidRDefault="00826C07" w:rsidP="00826C07">
            <w:pPr>
              <w:pStyle w:val="StyleWisnow"/>
              <w:rPr>
                <w:color w:val="000000" w:themeColor="text1"/>
              </w:rPr>
            </w:pPr>
            <w:r w:rsidRPr="00286216">
              <w:rPr>
                <w:color w:val="000000" w:themeColor="text1"/>
              </w:rPr>
              <w:lastRenderedPageBreak/>
              <w:t>Враховано частково</w:t>
            </w:r>
          </w:p>
          <w:p w14:paraId="3F12C9B2" w14:textId="77E75BAF"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 (ч.5)</w:t>
            </w:r>
          </w:p>
        </w:tc>
        <w:tc>
          <w:tcPr>
            <w:tcW w:w="4818" w:type="dxa"/>
          </w:tcPr>
          <w:p w14:paraId="4ED088CE" w14:textId="77777777" w:rsidR="00826C07" w:rsidRPr="00286216" w:rsidRDefault="00826C07" w:rsidP="00826C07">
            <w:pPr>
              <w:pStyle w:val="StyleZakonu"/>
              <w:rPr>
                <w:color w:val="000000" w:themeColor="text1"/>
              </w:rPr>
            </w:pPr>
          </w:p>
        </w:tc>
      </w:tr>
      <w:tr w:rsidR="00826C07" w:rsidRPr="00286216" w14:paraId="4A29498D" w14:textId="77777777" w:rsidTr="00091AA5">
        <w:tc>
          <w:tcPr>
            <w:tcW w:w="576" w:type="dxa"/>
          </w:tcPr>
          <w:p w14:paraId="46E86E18" w14:textId="77777777" w:rsidR="00826C07" w:rsidRPr="00286216" w:rsidRDefault="00826C07" w:rsidP="00826C07">
            <w:pPr>
              <w:pStyle w:val="StyleWisnow"/>
              <w:rPr>
                <w:color w:val="000000" w:themeColor="text1"/>
              </w:rPr>
            </w:pPr>
          </w:p>
        </w:tc>
        <w:tc>
          <w:tcPr>
            <w:tcW w:w="4818" w:type="dxa"/>
          </w:tcPr>
          <w:p w14:paraId="5DD475D2" w14:textId="77777777" w:rsidR="00826C07" w:rsidRPr="00286216" w:rsidRDefault="00826C07" w:rsidP="00826C07">
            <w:pPr>
              <w:pStyle w:val="StyleZakonu"/>
              <w:rPr>
                <w:color w:val="000000" w:themeColor="text1"/>
              </w:rPr>
            </w:pPr>
          </w:p>
        </w:tc>
        <w:tc>
          <w:tcPr>
            <w:tcW w:w="3686" w:type="dxa"/>
          </w:tcPr>
          <w:p w14:paraId="3AB8D0BB" w14:textId="5362FCB3"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749</w:t>
            </w:r>
            <w:r w:rsidRPr="00286216">
              <w:rPr>
                <w:color w:val="000000" w:themeColor="text1"/>
              </w:rPr>
              <w:fldChar w:fldCharType="end"/>
            </w:r>
            <w:r w:rsidRPr="00286216">
              <w:rPr>
                <w:color w:val="000000" w:themeColor="text1"/>
              </w:rPr>
              <w:t>-Н.д.Шахов С.В. (Реєстр.картка №114)</w:t>
            </w:r>
          </w:p>
          <w:p w14:paraId="5F2C6ECC"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 1 ч. 6 ст. 70 слова "Національна комісія з цінних паперів та фондового ринку" </w:t>
            </w:r>
            <w:r w:rsidRPr="00286216">
              <w:rPr>
                <w:color w:val="000000" w:themeColor="text1"/>
                <w:spacing w:val="-2"/>
              </w:rPr>
              <w:t>замінити</w:t>
            </w:r>
            <w:r w:rsidRPr="00286216">
              <w:rPr>
                <w:color w:val="000000" w:themeColor="text1"/>
                <w:spacing w:val="-2"/>
                <w:sz w:val="16"/>
                <w:szCs w:val="16"/>
              </w:rPr>
              <w:t xml:space="preserve"> </w:t>
            </w:r>
            <w:r w:rsidRPr="00286216">
              <w:rPr>
                <w:color w:val="000000" w:themeColor="text1"/>
                <w:spacing w:val="-2"/>
              </w:rPr>
              <w:t>словами</w:t>
            </w:r>
            <w:r w:rsidRPr="00286216">
              <w:rPr>
                <w:color w:val="000000" w:themeColor="text1"/>
                <w:spacing w:val="-2"/>
                <w:sz w:val="10"/>
                <w:szCs w:val="10"/>
              </w:rPr>
              <w:t xml:space="preserve"> </w:t>
            </w:r>
            <w:r w:rsidRPr="00286216">
              <w:rPr>
                <w:color w:val="000000" w:themeColor="text1"/>
                <w:spacing w:val="-2"/>
              </w:rPr>
              <w:t>"Регулятор</w:t>
            </w:r>
            <w:r w:rsidRPr="00286216">
              <w:rPr>
                <w:color w:val="000000" w:themeColor="text1"/>
                <w:spacing w:val="-2"/>
                <w:sz w:val="10"/>
                <w:szCs w:val="10"/>
              </w:rPr>
              <w:t xml:space="preserve"> </w:t>
            </w:r>
            <w:r w:rsidRPr="00286216">
              <w:rPr>
                <w:color w:val="000000" w:themeColor="text1"/>
                <w:spacing w:val="-2"/>
              </w:rPr>
              <w:t>відповідного ринку", а слова "</w:t>
            </w:r>
            <w:r w:rsidRPr="00286216">
              <w:rPr>
                <w:color w:val="000000" w:themeColor="text1"/>
              </w:rPr>
              <w:t>Національною комісією з цінних паперів та фондового ринку" – словами "регулятором відповідного ринку"</w:t>
            </w:r>
            <w:r w:rsidRPr="00286216">
              <w:rPr>
                <w:color w:val="000000" w:themeColor="text1"/>
                <w:spacing w:val="-2"/>
              </w:rPr>
              <w:t>.</w:t>
            </w:r>
          </w:p>
        </w:tc>
        <w:tc>
          <w:tcPr>
            <w:tcW w:w="1987" w:type="dxa"/>
          </w:tcPr>
          <w:p w14:paraId="46A37248"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07641CC3" w14:textId="01B54555"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26B007D5" w14:textId="77777777" w:rsidR="00826C07" w:rsidRPr="00286216" w:rsidRDefault="00826C07" w:rsidP="00826C07">
            <w:pPr>
              <w:pStyle w:val="StyleZakonu"/>
              <w:rPr>
                <w:color w:val="000000" w:themeColor="text1"/>
              </w:rPr>
            </w:pPr>
          </w:p>
        </w:tc>
      </w:tr>
      <w:tr w:rsidR="00826C07" w:rsidRPr="00286216" w14:paraId="20E193B7" w14:textId="77777777" w:rsidTr="00091AA5">
        <w:tc>
          <w:tcPr>
            <w:tcW w:w="576" w:type="dxa"/>
          </w:tcPr>
          <w:p w14:paraId="2CF77187" w14:textId="77777777" w:rsidR="00826C07" w:rsidRPr="00286216" w:rsidRDefault="00826C07" w:rsidP="00826C07">
            <w:pPr>
              <w:pStyle w:val="StyleWisnow"/>
              <w:rPr>
                <w:color w:val="000000" w:themeColor="text1"/>
              </w:rPr>
            </w:pPr>
            <w:bookmarkStart w:id="953" w:name="n1225" w:colFirst="0" w:colLast="0"/>
            <w:r w:rsidRPr="00286216">
              <w:rPr>
                <w:color w:val="000000" w:themeColor="text1"/>
              </w:rPr>
              <w:t>1225.</w:t>
            </w:r>
          </w:p>
        </w:tc>
        <w:tc>
          <w:tcPr>
            <w:tcW w:w="4818" w:type="dxa"/>
          </w:tcPr>
          <w:p w14:paraId="2BCB1093" w14:textId="77777777" w:rsidR="00826C07" w:rsidRPr="00286216" w:rsidRDefault="00826C07" w:rsidP="00826C07">
            <w:pPr>
              <w:pStyle w:val="StyleZakonu"/>
              <w:rPr>
                <w:color w:val="000000" w:themeColor="text1"/>
              </w:rPr>
            </w:pPr>
            <w:r w:rsidRPr="00286216">
              <w:rPr>
                <w:color w:val="000000" w:themeColor="text1"/>
              </w:rPr>
              <w:t>Інформація про погодження набуття участі у професійному учаснику ринків капіталу та організованих товарних ринків (крім банків) або її збільшення або про заборону набуття або збільшення такої участі оприлюднюється у порядку, встановленому Національною комісією з цінних паперів та фондового ринку.</w:t>
            </w:r>
          </w:p>
        </w:tc>
        <w:tc>
          <w:tcPr>
            <w:tcW w:w="3686" w:type="dxa"/>
          </w:tcPr>
          <w:p w14:paraId="2847AAA6" w14:textId="6E72FC57"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750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06A7493"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В абзаці другому частини шостої статті 70 слова "</w:t>
            </w:r>
            <w:r w:rsidRPr="00286216">
              <w:rPr>
                <w:color w:val="000000" w:themeColor="text1"/>
                <w:szCs w:val="18"/>
              </w:rPr>
              <w:t>про заборону набуття або збільшення участі" замінити словами "</w:t>
            </w:r>
            <w:r w:rsidRPr="00286216">
              <w:rPr>
                <w:rFonts w:eastAsia="Calibri"/>
                <w:color w:val="000000" w:themeColor="text1"/>
                <w:szCs w:val="18"/>
              </w:rPr>
              <w:t>про відмову у погодженні набуття або збільшення істотної участі".</w:t>
            </w:r>
          </w:p>
        </w:tc>
        <w:tc>
          <w:tcPr>
            <w:tcW w:w="1987" w:type="dxa"/>
          </w:tcPr>
          <w:p w14:paraId="6F07162C"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редакційно</w:t>
            </w:r>
          </w:p>
          <w:p w14:paraId="7DEA8FF7" w14:textId="223191FE"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2AA1EBD8" w14:textId="77777777" w:rsidR="00826C07" w:rsidRPr="00286216" w:rsidRDefault="00826C07" w:rsidP="00826C07">
            <w:pPr>
              <w:pStyle w:val="StyleZakonu"/>
              <w:rPr>
                <w:color w:val="000000" w:themeColor="text1"/>
              </w:rPr>
            </w:pPr>
          </w:p>
        </w:tc>
      </w:tr>
      <w:bookmarkEnd w:id="953"/>
      <w:tr w:rsidR="00826C07" w:rsidRPr="00286216" w14:paraId="6A2E5297" w14:textId="77777777" w:rsidTr="00091AA5">
        <w:tc>
          <w:tcPr>
            <w:tcW w:w="576" w:type="dxa"/>
          </w:tcPr>
          <w:p w14:paraId="08EC8995" w14:textId="77777777" w:rsidR="00826C07" w:rsidRPr="00286216" w:rsidRDefault="00826C07" w:rsidP="00826C07">
            <w:pPr>
              <w:pStyle w:val="StyleWisnow"/>
              <w:rPr>
                <w:color w:val="000000" w:themeColor="text1"/>
              </w:rPr>
            </w:pPr>
          </w:p>
        </w:tc>
        <w:tc>
          <w:tcPr>
            <w:tcW w:w="4818" w:type="dxa"/>
          </w:tcPr>
          <w:p w14:paraId="7566D225" w14:textId="77777777" w:rsidR="00826C07" w:rsidRPr="00286216" w:rsidRDefault="00826C07" w:rsidP="00826C07">
            <w:pPr>
              <w:pStyle w:val="StyleZakonu"/>
              <w:rPr>
                <w:color w:val="000000" w:themeColor="text1"/>
              </w:rPr>
            </w:pPr>
          </w:p>
        </w:tc>
        <w:tc>
          <w:tcPr>
            <w:tcW w:w="3686" w:type="dxa"/>
          </w:tcPr>
          <w:p w14:paraId="0498DE6A" w14:textId="7DAA0B22"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751</w:t>
            </w:r>
            <w:r w:rsidRPr="00286216">
              <w:rPr>
                <w:color w:val="000000" w:themeColor="text1"/>
              </w:rPr>
              <w:fldChar w:fldCharType="end"/>
            </w:r>
            <w:r w:rsidRPr="00286216">
              <w:rPr>
                <w:color w:val="000000" w:themeColor="text1"/>
              </w:rPr>
              <w:t>-Н.д.Шахов С.В. (Реєстр.картка №114)</w:t>
            </w:r>
          </w:p>
          <w:p w14:paraId="77993D7B"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абз.2 ч.6 ст.70 слова </w:t>
            </w:r>
            <w:r w:rsidRPr="00286216">
              <w:rPr>
                <w:color w:val="000000" w:themeColor="text1"/>
                <w:spacing w:val="-2"/>
              </w:rPr>
              <w:t>"Національною комісією з цінних паперів та фондового ринку" замінити словами "регулятором відповідного ринку".</w:t>
            </w:r>
          </w:p>
        </w:tc>
        <w:tc>
          <w:tcPr>
            <w:tcW w:w="1987" w:type="dxa"/>
          </w:tcPr>
          <w:p w14:paraId="4CD881A2"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8F1F7B3" w14:textId="6FD4DFB0"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65B84B51" w14:textId="77777777" w:rsidR="00826C07" w:rsidRPr="00286216" w:rsidRDefault="00826C07" w:rsidP="00826C07">
            <w:pPr>
              <w:pStyle w:val="StyleZakonu"/>
              <w:rPr>
                <w:color w:val="000000" w:themeColor="text1"/>
              </w:rPr>
            </w:pPr>
          </w:p>
        </w:tc>
      </w:tr>
      <w:tr w:rsidR="00826C07" w:rsidRPr="00286216" w14:paraId="510139AE" w14:textId="77777777" w:rsidTr="00091AA5">
        <w:tc>
          <w:tcPr>
            <w:tcW w:w="576" w:type="dxa"/>
          </w:tcPr>
          <w:p w14:paraId="0E2367D7" w14:textId="77777777" w:rsidR="00826C07" w:rsidRPr="00286216" w:rsidRDefault="00826C07" w:rsidP="00826C07">
            <w:pPr>
              <w:pStyle w:val="StyleWisnow"/>
              <w:rPr>
                <w:color w:val="000000" w:themeColor="text1"/>
              </w:rPr>
            </w:pPr>
            <w:bookmarkStart w:id="954" w:name="n1226" w:colFirst="0" w:colLast="0"/>
            <w:r w:rsidRPr="00286216">
              <w:rPr>
                <w:color w:val="000000" w:themeColor="text1"/>
              </w:rPr>
              <w:t>1226.</w:t>
            </w:r>
          </w:p>
        </w:tc>
        <w:tc>
          <w:tcPr>
            <w:tcW w:w="4818" w:type="dxa"/>
          </w:tcPr>
          <w:p w14:paraId="7F5355AE" w14:textId="77777777" w:rsidR="00826C07" w:rsidRPr="00286216" w:rsidRDefault="00826C07" w:rsidP="00826C07">
            <w:pPr>
              <w:pStyle w:val="StyleZakonu"/>
              <w:rPr>
                <w:color w:val="000000" w:themeColor="text1"/>
              </w:rPr>
            </w:pPr>
            <w:r w:rsidRPr="00286216">
              <w:rPr>
                <w:color w:val="000000" w:themeColor="text1"/>
              </w:rPr>
              <w:t>У разі якщо Національна комісія з цінних паперів та фондового ринку у строк, визначений частиною третьою цієї статті, не прийняла рішення про заборону набувати або збільшувати участь у професійному учаснику ринків капіталу та регульованих ринків, таке набуття або збільшення вважається погодженим.</w:t>
            </w:r>
          </w:p>
        </w:tc>
        <w:tc>
          <w:tcPr>
            <w:tcW w:w="3686" w:type="dxa"/>
          </w:tcPr>
          <w:p w14:paraId="3B0AE55A" w14:textId="09063E6C"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752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C0D9253"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В абзаці третьому частини шостої статті 70 слова "</w:t>
            </w:r>
            <w:r w:rsidRPr="00286216">
              <w:rPr>
                <w:color w:val="000000" w:themeColor="text1"/>
                <w:szCs w:val="18"/>
              </w:rPr>
              <w:t>про заборону набувати або збільшувати участь" замінити словами "</w:t>
            </w:r>
            <w:r w:rsidRPr="00286216">
              <w:rPr>
                <w:rFonts w:eastAsia="Calibri"/>
                <w:color w:val="000000" w:themeColor="text1"/>
                <w:szCs w:val="18"/>
              </w:rPr>
              <w:t>про відмову у видачі письмового погодження набуття або збільшення істотної участі".</w:t>
            </w:r>
          </w:p>
        </w:tc>
        <w:tc>
          <w:tcPr>
            <w:tcW w:w="1987" w:type="dxa"/>
          </w:tcPr>
          <w:p w14:paraId="1FB351D2"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редакційно</w:t>
            </w:r>
          </w:p>
          <w:p w14:paraId="3D56ACB2" w14:textId="5496475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w:t>
            </w:r>
          </w:p>
        </w:tc>
        <w:tc>
          <w:tcPr>
            <w:tcW w:w="4818" w:type="dxa"/>
          </w:tcPr>
          <w:p w14:paraId="412C0679" w14:textId="77777777" w:rsidR="00826C07" w:rsidRPr="00286216" w:rsidRDefault="00826C07" w:rsidP="00826C07">
            <w:pPr>
              <w:pStyle w:val="StyleZakonu"/>
              <w:rPr>
                <w:color w:val="000000" w:themeColor="text1"/>
              </w:rPr>
            </w:pPr>
          </w:p>
        </w:tc>
      </w:tr>
      <w:bookmarkEnd w:id="954"/>
      <w:tr w:rsidR="00826C07" w:rsidRPr="00286216" w14:paraId="20714EA5" w14:textId="77777777" w:rsidTr="00091AA5">
        <w:tc>
          <w:tcPr>
            <w:tcW w:w="576" w:type="dxa"/>
          </w:tcPr>
          <w:p w14:paraId="370EAD5D" w14:textId="77777777" w:rsidR="00826C07" w:rsidRPr="00286216" w:rsidRDefault="00826C07" w:rsidP="00826C07">
            <w:pPr>
              <w:pStyle w:val="StyleWisnow"/>
              <w:rPr>
                <w:color w:val="000000" w:themeColor="text1"/>
              </w:rPr>
            </w:pPr>
          </w:p>
        </w:tc>
        <w:tc>
          <w:tcPr>
            <w:tcW w:w="4818" w:type="dxa"/>
          </w:tcPr>
          <w:p w14:paraId="491DAADE" w14:textId="77777777" w:rsidR="00826C07" w:rsidRPr="00286216" w:rsidRDefault="00826C07" w:rsidP="00826C07">
            <w:pPr>
              <w:pStyle w:val="StyleZakonu"/>
              <w:rPr>
                <w:color w:val="000000" w:themeColor="text1"/>
              </w:rPr>
            </w:pPr>
          </w:p>
        </w:tc>
        <w:tc>
          <w:tcPr>
            <w:tcW w:w="3686" w:type="dxa"/>
          </w:tcPr>
          <w:p w14:paraId="1230D793" w14:textId="055D4358"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753</w:t>
            </w:r>
            <w:r w:rsidRPr="00286216">
              <w:rPr>
                <w:color w:val="000000" w:themeColor="text1"/>
                <w:spacing w:val="-10"/>
              </w:rPr>
              <w:fldChar w:fldCharType="end"/>
            </w:r>
            <w:r w:rsidRPr="00286216">
              <w:rPr>
                <w:color w:val="000000" w:themeColor="text1"/>
                <w:spacing w:val="-10"/>
              </w:rPr>
              <w:t>-Н.д.Гетманцев Д.О.(Реєстр.картка №245)</w:t>
            </w:r>
          </w:p>
          <w:p w14:paraId="76CADC78" w14:textId="77777777" w:rsidR="00826C07" w:rsidRPr="00286216" w:rsidRDefault="00826C07" w:rsidP="00826C07">
            <w:pPr>
              <w:pStyle w:val="StyleProp"/>
              <w:rPr>
                <w:color w:val="000000" w:themeColor="text1"/>
              </w:rPr>
            </w:pPr>
            <w:r w:rsidRPr="00286216">
              <w:rPr>
                <w:color w:val="000000" w:themeColor="text1"/>
              </w:rPr>
              <w:t>У статті 70 у частині шостій в абзаці третьому словосполучення «заборону набувати або збільшувати участь» замінити словосполученням «відмову у видачі письмового погодження набуття або збільшення участі»</w:t>
            </w:r>
          </w:p>
        </w:tc>
        <w:tc>
          <w:tcPr>
            <w:tcW w:w="1987" w:type="dxa"/>
          </w:tcPr>
          <w:p w14:paraId="5F78DF07"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редакційно</w:t>
            </w:r>
          </w:p>
          <w:p w14:paraId="3B10FE10" w14:textId="19A51014"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tc>
        <w:tc>
          <w:tcPr>
            <w:tcW w:w="4818" w:type="dxa"/>
          </w:tcPr>
          <w:p w14:paraId="15EF8295" w14:textId="77777777" w:rsidR="00826C07" w:rsidRPr="00286216" w:rsidRDefault="00826C07" w:rsidP="00826C07">
            <w:pPr>
              <w:pStyle w:val="StyleZakonu"/>
              <w:rPr>
                <w:color w:val="000000" w:themeColor="text1"/>
              </w:rPr>
            </w:pPr>
          </w:p>
        </w:tc>
      </w:tr>
      <w:tr w:rsidR="00826C07" w:rsidRPr="00286216" w14:paraId="07A6FFBB" w14:textId="77777777" w:rsidTr="00091AA5">
        <w:tc>
          <w:tcPr>
            <w:tcW w:w="576" w:type="dxa"/>
          </w:tcPr>
          <w:p w14:paraId="35E2D27B" w14:textId="77777777" w:rsidR="00826C07" w:rsidRPr="00286216" w:rsidRDefault="00826C07" w:rsidP="00826C07">
            <w:pPr>
              <w:pStyle w:val="StyleWisnow"/>
              <w:rPr>
                <w:color w:val="000000" w:themeColor="text1"/>
              </w:rPr>
            </w:pPr>
          </w:p>
        </w:tc>
        <w:tc>
          <w:tcPr>
            <w:tcW w:w="4818" w:type="dxa"/>
          </w:tcPr>
          <w:p w14:paraId="59B1778C" w14:textId="77777777" w:rsidR="00826C07" w:rsidRPr="00286216" w:rsidRDefault="00826C07" w:rsidP="00826C07">
            <w:pPr>
              <w:pStyle w:val="StyleZakonu"/>
              <w:rPr>
                <w:color w:val="000000" w:themeColor="text1"/>
              </w:rPr>
            </w:pPr>
          </w:p>
        </w:tc>
        <w:tc>
          <w:tcPr>
            <w:tcW w:w="3686" w:type="dxa"/>
          </w:tcPr>
          <w:p w14:paraId="08441EEA" w14:textId="59E7CD93"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754</w:t>
            </w:r>
            <w:r w:rsidRPr="00286216">
              <w:rPr>
                <w:color w:val="000000" w:themeColor="text1"/>
              </w:rPr>
              <w:fldChar w:fldCharType="end"/>
            </w:r>
            <w:r w:rsidRPr="00286216">
              <w:rPr>
                <w:color w:val="000000" w:themeColor="text1"/>
              </w:rPr>
              <w:t>-Н.д.Шахов С.В. (Реєстр.картка №114)</w:t>
            </w:r>
          </w:p>
          <w:p w14:paraId="38629D72"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абз.3 ч.6 ст.70 слова "Національна комісія </w:t>
            </w:r>
            <w:r w:rsidRPr="00286216">
              <w:rPr>
                <w:rFonts w:eastAsia="Calibri"/>
                <w:color w:val="000000" w:themeColor="text1"/>
                <w:spacing w:val="-3"/>
                <w:szCs w:val="18"/>
              </w:rPr>
              <w:t xml:space="preserve">з цінних паперів та фондового ринку" </w:t>
            </w:r>
            <w:r w:rsidRPr="00286216">
              <w:rPr>
                <w:color w:val="000000" w:themeColor="text1"/>
                <w:spacing w:val="-3"/>
              </w:rPr>
              <w:t>замінити</w:t>
            </w:r>
            <w:r w:rsidRPr="00286216">
              <w:rPr>
                <w:color w:val="000000" w:themeColor="text1"/>
                <w:spacing w:val="-3"/>
                <w:sz w:val="16"/>
                <w:szCs w:val="16"/>
              </w:rPr>
              <w:t xml:space="preserve"> </w:t>
            </w:r>
            <w:r w:rsidRPr="00286216">
              <w:rPr>
                <w:color w:val="000000" w:themeColor="text1"/>
                <w:spacing w:val="-3"/>
              </w:rPr>
              <w:t>словами</w:t>
            </w:r>
            <w:r w:rsidRPr="00286216">
              <w:rPr>
                <w:color w:val="000000" w:themeColor="text1"/>
                <w:spacing w:val="-3"/>
                <w:sz w:val="10"/>
                <w:szCs w:val="10"/>
              </w:rPr>
              <w:t xml:space="preserve"> </w:t>
            </w:r>
            <w:r w:rsidRPr="00286216">
              <w:rPr>
                <w:color w:val="000000" w:themeColor="text1"/>
                <w:spacing w:val="-3"/>
              </w:rPr>
              <w:t>"регулятор</w:t>
            </w:r>
            <w:r w:rsidRPr="00286216">
              <w:rPr>
                <w:color w:val="000000" w:themeColor="text1"/>
                <w:spacing w:val="-3"/>
                <w:sz w:val="10"/>
                <w:szCs w:val="10"/>
              </w:rPr>
              <w:t xml:space="preserve"> </w:t>
            </w:r>
            <w:r w:rsidRPr="00286216">
              <w:rPr>
                <w:color w:val="000000" w:themeColor="text1"/>
                <w:spacing w:val="-3"/>
              </w:rPr>
              <w:t>відповідного ринку".</w:t>
            </w:r>
          </w:p>
        </w:tc>
        <w:tc>
          <w:tcPr>
            <w:tcW w:w="1987" w:type="dxa"/>
          </w:tcPr>
          <w:p w14:paraId="3A3EFF39"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1DD1FB43" w14:textId="6C669D30"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1BA0ECBE" w14:textId="77777777" w:rsidR="00826C07" w:rsidRPr="00286216" w:rsidRDefault="00826C07" w:rsidP="00826C07">
            <w:pPr>
              <w:pStyle w:val="StyleZakonu"/>
              <w:rPr>
                <w:color w:val="000000" w:themeColor="text1"/>
              </w:rPr>
            </w:pPr>
          </w:p>
        </w:tc>
      </w:tr>
      <w:tr w:rsidR="00826C07" w:rsidRPr="00286216" w14:paraId="259E3EB0" w14:textId="77777777" w:rsidTr="00091AA5">
        <w:tc>
          <w:tcPr>
            <w:tcW w:w="576" w:type="dxa"/>
          </w:tcPr>
          <w:p w14:paraId="2CAD6015" w14:textId="77777777" w:rsidR="00826C07" w:rsidRPr="00286216" w:rsidRDefault="00826C07" w:rsidP="00826C07">
            <w:pPr>
              <w:pStyle w:val="StyleWisnow"/>
              <w:rPr>
                <w:color w:val="000000" w:themeColor="text1"/>
              </w:rPr>
            </w:pPr>
            <w:bookmarkStart w:id="955" w:name="n1227" w:colFirst="0" w:colLast="0"/>
            <w:r w:rsidRPr="00286216">
              <w:rPr>
                <w:color w:val="000000" w:themeColor="text1"/>
              </w:rPr>
              <w:t>1227.</w:t>
            </w:r>
          </w:p>
        </w:tc>
        <w:tc>
          <w:tcPr>
            <w:tcW w:w="4818" w:type="dxa"/>
          </w:tcPr>
          <w:p w14:paraId="124BD37C" w14:textId="77777777" w:rsidR="00826C07" w:rsidRPr="00286216" w:rsidRDefault="00826C07" w:rsidP="00826C07">
            <w:pPr>
              <w:pStyle w:val="StyleZakonu"/>
              <w:rPr>
                <w:color w:val="000000" w:themeColor="text1"/>
              </w:rPr>
            </w:pPr>
            <w:r w:rsidRPr="00286216">
              <w:rPr>
                <w:color w:val="000000" w:themeColor="text1"/>
              </w:rPr>
              <w:t>7. У випадку якщо повний перелік документів для погодження набуття участі або її збільшення подали дві та більше юридичних осіб, Національна комісія з цінних паперів та фондового ринку здійснює розгляд документів на засадах недискримінації, забезпечуючи таким юридичним особам рівні можливості.</w:t>
            </w:r>
          </w:p>
        </w:tc>
        <w:tc>
          <w:tcPr>
            <w:tcW w:w="3686" w:type="dxa"/>
          </w:tcPr>
          <w:p w14:paraId="01FCE4F6" w14:textId="52F651DF"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755</w:t>
            </w:r>
            <w:r w:rsidRPr="00286216">
              <w:rPr>
                <w:color w:val="000000" w:themeColor="text1"/>
                <w:spacing w:val="-10"/>
              </w:rPr>
              <w:fldChar w:fldCharType="end"/>
            </w:r>
            <w:r w:rsidRPr="00286216">
              <w:rPr>
                <w:color w:val="000000" w:themeColor="text1"/>
                <w:spacing w:val="-10"/>
              </w:rPr>
              <w:t>-Н.д.Гетманцев Д.О.(Реєстр.картка №245)</w:t>
            </w:r>
          </w:p>
          <w:p w14:paraId="5DE86B96" w14:textId="77777777" w:rsidR="00826C07" w:rsidRPr="00286216" w:rsidRDefault="00826C07" w:rsidP="00826C07">
            <w:pPr>
              <w:pStyle w:val="StyleProp"/>
              <w:spacing w:line="190" w:lineRule="exact"/>
              <w:rPr>
                <w:color w:val="000000" w:themeColor="text1"/>
              </w:rPr>
            </w:pPr>
            <w:r w:rsidRPr="00286216">
              <w:rPr>
                <w:color w:val="000000" w:themeColor="text1"/>
              </w:rPr>
              <w:t>У статті 70 у частині сьомій слова «на засадах недискримінації, забезпечуючи таким юридичним особам рівні можливості» замінити словами «послідовно відповідно до порядку, в якому їх було отримано»</w:t>
            </w:r>
          </w:p>
        </w:tc>
        <w:tc>
          <w:tcPr>
            <w:tcW w:w="1987" w:type="dxa"/>
          </w:tcPr>
          <w:p w14:paraId="38743881" w14:textId="77777777" w:rsidR="00826C07" w:rsidRPr="00286216" w:rsidRDefault="00826C07" w:rsidP="00826C07">
            <w:pPr>
              <w:pStyle w:val="StyleWisnow"/>
              <w:rPr>
                <w:color w:val="000000" w:themeColor="text1"/>
              </w:rPr>
            </w:pPr>
            <w:r w:rsidRPr="00286216">
              <w:rPr>
                <w:color w:val="000000" w:themeColor="text1"/>
              </w:rPr>
              <w:t>Враховано частково</w:t>
            </w:r>
          </w:p>
          <w:p w14:paraId="5DA883A1" w14:textId="71B17D88" w:rsidR="00826C07" w:rsidRPr="00286216" w:rsidRDefault="00826C07" w:rsidP="00826C07">
            <w:pPr>
              <w:pStyle w:val="StyleWisnow"/>
              <w:rPr>
                <w:color w:val="000000" w:themeColor="text1"/>
              </w:rPr>
            </w:pPr>
            <w:r w:rsidRPr="00286216">
              <w:rPr>
                <w:color w:val="000000" w:themeColor="text1"/>
              </w:rPr>
              <w:t>у запропонованій  редакції статті 74 (ч.7)</w:t>
            </w:r>
          </w:p>
        </w:tc>
        <w:tc>
          <w:tcPr>
            <w:tcW w:w="4818" w:type="dxa"/>
          </w:tcPr>
          <w:p w14:paraId="24CE9E5E" w14:textId="77777777" w:rsidR="00826C07" w:rsidRPr="00286216" w:rsidRDefault="00826C07" w:rsidP="00826C07">
            <w:pPr>
              <w:pStyle w:val="StyleZakonu"/>
              <w:rPr>
                <w:color w:val="000000" w:themeColor="text1"/>
              </w:rPr>
            </w:pPr>
          </w:p>
        </w:tc>
      </w:tr>
      <w:bookmarkEnd w:id="955"/>
      <w:tr w:rsidR="00826C07" w:rsidRPr="00286216" w14:paraId="0C8C8F4F" w14:textId="77777777" w:rsidTr="00091AA5">
        <w:tc>
          <w:tcPr>
            <w:tcW w:w="576" w:type="dxa"/>
          </w:tcPr>
          <w:p w14:paraId="42D7A4CD" w14:textId="77777777" w:rsidR="00826C07" w:rsidRPr="00286216" w:rsidRDefault="00826C07" w:rsidP="00826C07">
            <w:pPr>
              <w:pStyle w:val="StyleWisnow"/>
              <w:rPr>
                <w:color w:val="000000" w:themeColor="text1"/>
              </w:rPr>
            </w:pPr>
          </w:p>
        </w:tc>
        <w:tc>
          <w:tcPr>
            <w:tcW w:w="4818" w:type="dxa"/>
          </w:tcPr>
          <w:p w14:paraId="65DA3585" w14:textId="77777777" w:rsidR="00826C07" w:rsidRPr="00286216" w:rsidRDefault="00826C07" w:rsidP="00826C07">
            <w:pPr>
              <w:pStyle w:val="StyleZakonu"/>
              <w:rPr>
                <w:color w:val="000000" w:themeColor="text1"/>
              </w:rPr>
            </w:pPr>
          </w:p>
        </w:tc>
        <w:tc>
          <w:tcPr>
            <w:tcW w:w="3686" w:type="dxa"/>
          </w:tcPr>
          <w:p w14:paraId="7F44227A" w14:textId="497A9A20"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756</w:t>
            </w:r>
            <w:r w:rsidRPr="00286216">
              <w:rPr>
                <w:color w:val="000000" w:themeColor="text1"/>
              </w:rPr>
              <w:fldChar w:fldCharType="end"/>
            </w:r>
            <w:r w:rsidRPr="00286216">
              <w:rPr>
                <w:color w:val="000000" w:themeColor="text1"/>
              </w:rPr>
              <w:t>-Н.д.Шахов С.В. (Реєстр.картка №114)</w:t>
            </w:r>
          </w:p>
          <w:p w14:paraId="73EBA97D"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У ч.7 ст.70 слова "Національна комісія </w:t>
            </w:r>
            <w:r w:rsidRPr="00286216">
              <w:rPr>
                <w:rFonts w:eastAsia="Calibri"/>
                <w:color w:val="000000" w:themeColor="text1"/>
                <w:spacing w:val="-3"/>
                <w:szCs w:val="18"/>
              </w:rPr>
              <w:t xml:space="preserve">з цінних паперів та фондового ринку" </w:t>
            </w:r>
            <w:r w:rsidRPr="00286216">
              <w:rPr>
                <w:color w:val="000000" w:themeColor="text1"/>
                <w:spacing w:val="-3"/>
              </w:rPr>
              <w:t>замінити</w:t>
            </w:r>
            <w:r w:rsidRPr="00286216">
              <w:rPr>
                <w:color w:val="000000" w:themeColor="text1"/>
                <w:spacing w:val="-3"/>
                <w:sz w:val="16"/>
                <w:szCs w:val="16"/>
              </w:rPr>
              <w:t xml:space="preserve"> </w:t>
            </w:r>
            <w:r w:rsidRPr="00286216">
              <w:rPr>
                <w:color w:val="000000" w:themeColor="text1"/>
                <w:spacing w:val="-3"/>
              </w:rPr>
              <w:lastRenderedPageBreak/>
              <w:t>словами</w:t>
            </w:r>
            <w:r w:rsidRPr="00286216">
              <w:rPr>
                <w:color w:val="000000" w:themeColor="text1"/>
                <w:spacing w:val="-3"/>
                <w:sz w:val="10"/>
                <w:szCs w:val="10"/>
              </w:rPr>
              <w:t xml:space="preserve"> </w:t>
            </w:r>
            <w:r w:rsidRPr="00286216">
              <w:rPr>
                <w:color w:val="000000" w:themeColor="text1"/>
                <w:spacing w:val="-3"/>
              </w:rPr>
              <w:t>"регулятор</w:t>
            </w:r>
            <w:r w:rsidRPr="00286216">
              <w:rPr>
                <w:color w:val="000000" w:themeColor="text1"/>
                <w:spacing w:val="-3"/>
                <w:sz w:val="10"/>
                <w:szCs w:val="10"/>
              </w:rPr>
              <w:t xml:space="preserve"> </w:t>
            </w:r>
            <w:r w:rsidRPr="00286216">
              <w:rPr>
                <w:color w:val="000000" w:themeColor="text1"/>
                <w:spacing w:val="-3"/>
              </w:rPr>
              <w:t>відповідного ринку".</w:t>
            </w:r>
          </w:p>
        </w:tc>
        <w:tc>
          <w:tcPr>
            <w:tcW w:w="1987" w:type="dxa"/>
          </w:tcPr>
          <w:p w14:paraId="32D21453"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Відхилено</w:t>
            </w:r>
          </w:p>
          <w:p w14:paraId="40628DFE" w14:textId="73BED8D1" w:rsidR="00826C07" w:rsidRPr="00286216" w:rsidRDefault="00826C07" w:rsidP="00826C07">
            <w:pPr>
              <w:pStyle w:val="StyleWisnow"/>
              <w:spacing w:line="180" w:lineRule="exact"/>
              <w:rPr>
                <w:color w:val="000000" w:themeColor="text1"/>
              </w:rPr>
            </w:pPr>
            <w:r w:rsidRPr="00286216">
              <w:rPr>
                <w:color w:val="000000" w:themeColor="text1"/>
                <w:spacing w:val="-3"/>
              </w:rPr>
              <w:t xml:space="preserve">єдиний регулятор для ринків капіталу та </w:t>
            </w:r>
            <w:r w:rsidRPr="00286216">
              <w:rPr>
                <w:color w:val="000000" w:themeColor="text1"/>
                <w:spacing w:val="-3"/>
              </w:rPr>
              <w:lastRenderedPageBreak/>
              <w:t>організованих товарних ринків  – НКЦПФР</w:t>
            </w:r>
          </w:p>
        </w:tc>
        <w:tc>
          <w:tcPr>
            <w:tcW w:w="4818" w:type="dxa"/>
          </w:tcPr>
          <w:p w14:paraId="1FEE1AF3" w14:textId="77777777" w:rsidR="00826C07" w:rsidRPr="00286216" w:rsidRDefault="00826C07" w:rsidP="00826C07">
            <w:pPr>
              <w:pStyle w:val="StyleZakonu"/>
              <w:rPr>
                <w:color w:val="000000" w:themeColor="text1"/>
              </w:rPr>
            </w:pPr>
          </w:p>
        </w:tc>
      </w:tr>
      <w:tr w:rsidR="00826C07" w:rsidRPr="00286216" w14:paraId="32A7A204" w14:textId="77777777" w:rsidTr="00091AA5">
        <w:tc>
          <w:tcPr>
            <w:tcW w:w="576" w:type="dxa"/>
          </w:tcPr>
          <w:p w14:paraId="07627191" w14:textId="77777777" w:rsidR="00826C07" w:rsidRPr="00286216" w:rsidRDefault="00826C07" w:rsidP="00826C07">
            <w:pPr>
              <w:pStyle w:val="StyleWisnow"/>
              <w:rPr>
                <w:color w:val="000000" w:themeColor="text1"/>
              </w:rPr>
            </w:pPr>
            <w:bookmarkStart w:id="956" w:name="n1228" w:colFirst="0" w:colLast="0"/>
            <w:r w:rsidRPr="00286216">
              <w:rPr>
                <w:color w:val="000000" w:themeColor="text1"/>
              </w:rPr>
              <w:t>1228.</w:t>
            </w:r>
          </w:p>
        </w:tc>
        <w:tc>
          <w:tcPr>
            <w:tcW w:w="4818" w:type="dxa"/>
          </w:tcPr>
          <w:p w14:paraId="66AB6D10" w14:textId="77777777" w:rsidR="00826C07" w:rsidRPr="00286216" w:rsidRDefault="00826C07" w:rsidP="00826C07">
            <w:pPr>
              <w:pStyle w:val="StyleZakonu"/>
              <w:rPr>
                <w:color w:val="000000" w:themeColor="text1"/>
              </w:rPr>
            </w:pPr>
            <w:r w:rsidRPr="00286216">
              <w:rPr>
                <w:color w:val="000000" w:themeColor="text1"/>
              </w:rPr>
              <w:t>8. Особи, зазначені в частині першій цієї статті, зобов’язані повідомити професійного учасника ринків капіталу та організованих товарних ринків про погодження Національною комісією з цінних паперів та фондового ринку набуття або збільшення участі у професійному учаснику ринків капіталу та організованих товарних ринків та надати інформацію про свою структуру власності та розмір частки участі у професійному учаснику ринків капіталу та організованих товарних ринків.</w:t>
            </w:r>
          </w:p>
        </w:tc>
        <w:tc>
          <w:tcPr>
            <w:tcW w:w="3686" w:type="dxa"/>
          </w:tcPr>
          <w:p w14:paraId="5983F127" w14:textId="2BF46B24"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757</w:t>
            </w:r>
            <w:r w:rsidRPr="00286216">
              <w:rPr>
                <w:color w:val="000000" w:themeColor="text1"/>
              </w:rPr>
              <w:fldChar w:fldCharType="end"/>
            </w:r>
            <w:r w:rsidRPr="00286216">
              <w:rPr>
                <w:color w:val="000000" w:themeColor="text1"/>
              </w:rPr>
              <w:t>-Н.д.Шахов С.В. (Реєстр.картка №114)</w:t>
            </w:r>
          </w:p>
          <w:p w14:paraId="35C7460D"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У ч.8 ст.70 слова </w:t>
            </w:r>
            <w:r w:rsidRPr="00286216">
              <w:rPr>
                <w:color w:val="000000" w:themeColor="text1"/>
                <w:spacing w:val="-2"/>
              </w:rPr>
              <w:t>"Національною комісією з цінних паперів та фондового ринку" замінити словами "регулятором відповідного ринку".</w:t>
            </w:r>
          </w:p>
        </w:tc>
        <w:tc>
          <w:tcPr>
            <w:tcW w:w="1987" w:type="dxa"/>
          </w:tcPr>
          <w:p w14:paraId="38D7353E"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322612B" w14:textId="7B90CE9F"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48F679B3" w14:textId="77777777" w:rsidR="00826C07" w:rsidRPr="00286216" w:rsidRDefault="00826C07" w:rsidP="00826C07">
            <w:pPr>
              <w:pStyle w:val="StyleZakonu"/>
              <w:rPr>
                <w:color w:val="000000" w:themeColor="text1"/>
              </w:rPr>
            </w:pPr>
          </w:p>
        </w:tc>
      </w:tr>
      <w:tr w:rsidR="00826C07" w:rsidRPr="00286216" w14:paraId="12F2ACA4" w14:textId="77777777" w:rsidTr="00091AA5">
        <w:tc>
          <w:tcPr>
            <w:tcW w:w="576" w:type="dxa"/>
          </w:tcPr>
          <w:p w14:paraId="63FF530F" w14:textId="77777777" w:rsidR="00826C07" w:rsidRPr="00286216" w:rsidRDefault="00826C07" w:rsidP="00826C07">
            <w:pPr>
              <w:pStyle w:val="StyleWisnow"/>
              <w:rPr>
                <w:color w:val="000000" w:themeColor="text1"/>
              </w:rPr>
            </w:pPr>
            <w:bookmarkStart w:id="957" w:name="n1229" w:colFirst="0" w:colLast="0"/>
            <w:bookmarkEnd w:id="956"/>
            <w:r w:rsidRPr="00286216">
              <w:rPr>
                <w:color w:val="000000" w:themeColor="text1"/>
              </w:rPr>
              <w:t>1229.</w:t>
            </w:r>
          </w:p>
        </w:tc>
        <w:tc>
          <w:tcPr>
            <w:tcW w:w="4818" w:type="dxa"/>
          </w:tcPr>
          <w:p w14:paraId="55225DF5" w14:textId="77777777" w:rsidR="00826C07" w:rsidRPr="00286216" w:rsidRDefault="00826C07" w:rsidP="00826C07">
            <w:pPr>
              <w:pStyle w:val="StyleZakonu"/>
              <w:rPr>
                <w:color w:val="000000" w:themeColor="text1"/>
              </w:rPr>
            </w:pPr>
            <w:bookmarkStart w:id="958" w:name="_Ref20921221"/>
            <w:r w:rsidRPr="00286216">
              <w:rPr>
                <w:color w:val="000000" w:themeColor="text1"/>
              </w:rPr>
              <w:t>9. Юридична особа, яка має намір набути або збільшити участь у професійному учаснику ринків капіталу та організованих товарних ринків відповідно до частини першої цієї статті, зобов’язана подати Національній комісії з цінних паперів та фондового ринку відповідно до вимог, в порядку та за формою, що встановлені Національною комісією з цінних паперів та фондового ринку, наступні документи та інформацію:</w:t>
            </w:r>
            <w:bookmarkEnd w:id="958"/>
          </w:p>
        </w:tc>
        <w:tc>
          <w:tcPr>
            <w:tcW w:w="3686" w:type="dxa"/>
          </w:tcPr>
          <w:p w14:paraId="227B7558" w14:textId="716A0C5A"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758</w:t>
            </w:r>
            <w:r w:rsidRPr="00286216">
              <w:rPr>
                <w:color w:val="000000" w:themeColor="text1"/>
              </w:rPr>
              <w:fldChar w:fldCharType="end"/>
            </w:r>
            <w:r w:rsidRPr="00286216">
              <w:rPr>
                <w:color w:val="000000" w:themeColor="text1"/>
              </w:rPr>
              <w:t>-Н.д.Шахов С.В. (Реєстр.картка №114)</w:t>
            </w:r>
          </w:p>
          <w:p w14:paraId="755175AD"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 1 ч. 9 ст. 70 слова "Національній комісії з цінних паперів та фондового ринку" </w:t>
            </w:r>
            <w:r w:rsidRPr="00286216">
              <w:rPr>
                <w:color w:val="000000" w:themeColor="text1"/>
                <w:spacing w:val="-2"/>
              </w:rPr>
              <w:t>замінити</w:t>
            </w:r>
            <w:r w:rsidRPr="00286216">
              <w:rPr>
                <w:color w:val="000000" w:themeColor="text1"/>
                <w:spacing w:val="-2"/>
                <w:sz w:val="16"/>
                <w:szCs w:val="16"/>
              </w:rPr>
              <w:t xml:space="preserve"> </w:t>
            </w:r>
            <w:r w:rsidRPr="00286216">
              <w:rPr>
                <w:color w:val="000000" w:themeColor="text1"/>
                <w:spacing w:val="-2"/>
              </w:rPr>
              <w:t>словами</w:t>
            </w:r>
            <w:r w:rsidRPr="00286216">
              <w:rPr>
                <w:color w:val="000000" w:themeColor="text1"/>
                <w:spacing w:val="-2"/>
                <w:sz w:val="10"/>
                <w:szCs w:val="10"/>
              </w:rPr>
              <w:t xml:space="preserve"> </w:t>
            </w:r>
            <w:r w:rsidRPr="00286216">
              <w:rPr>
                <w:color w:val="000000" w:themeColor="text1"/>
                <w:spacing w:val="-2"/>
              </w:rPr>
              <w:t>"регулятору</w:t>
            </w:r>
            <w:r w:rsidRPr="00286216">
              <w:rPr>
                <w:color w:val="000000" w:themeColor="text1"/>
                <w:spacing w:val="-2"/>
                <w:sz w:val="10"/>
                <w:szCs w:val="10"/>
              </w:rPr>
              <w:t xml:space="preserve"> </w:t>
            </w:r>
            <w:r w:rsidRPr="00286216">
              <w:rPr>
                <w:color w:val="000000" w:themeColor="text1"/>
                <w:spacing w:val="-2"/>
              </w:rPr>
              <w:t>відповідного ринку", а слова "</w:t>
            </w:r>
            <w:r w:rsidRPr="00286216">
              <w:rPr>
                <w:color w:val="000000" w:themeColor="text1"/>
              </w:rPr>
              <w:t>Національною комісією з цінних паперів та фондового ринку" – словами "таким регулятором"</w:t>
            </w:r>
            <w:r w:rsidRPr="00286216">
              <w:rPr>
                <w:color w:val="000000" w:themeColor="text1"/>
                <w:spacing w:val="-2"/>
              </w:rPr>
              <w:t>.</w:t>
            </w:r>
          </w:p>
        </w:tc>
        <w:tc>
          <w:tcPr>
            <w:tcW w:w="1987" w:type="dxa"/>
          </w:tcPr>
          <w:p w14:paraId="511C5D57"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835B73C" w14:textId="7D539DF9"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4FC35076" w14:textId="77777777" w:rsidR="00826C07" w:rsidRPr="00286216" w:rsidRDefault="00826C07" w:rsidP="00826C07">
            <w:pPr>
              <w:pStyle w:val="StyleZakonu"/>
              <w:rPr>
                <w:color w:val="000000" w:themeColor="text1"/>
              </w:rPr>
            </w:pPr>
          </w:p>
        </w:tc>
      </w:tr>
      <w:tr w:rsidR="00826C07" w:rsidRPr="00286216" w14:paraId="55A0BE70" w14:textId="77777777" w:rsidTr="00091AA5">
        <w:tc>
          <w:tcPr>
            <w:tcW w:w="576" w:type="dxa"/>
          </w:tcPr>
          <w:p w14:paraId="02D5C707" w14:textId="77777777" w:rsidR="00826C07" w:rsidRPr="00286216" w:rsidRDefault="00826C07" w:rsidP="00826C07">
            <w:pPr>
              <w:pStyle w:val="StyleWisnow"/>
              <w:rPr>
                <w:color w:val="000000" w:themeColor="text1"/>
              </w:rPr>
            </w:pPr>
            <w:bookmarkStart w:id="959" w:name="n1230" w:colFirst="0" w:colLast="0"/>
            <w:bookmarkEnd w:id="957"/>
            <w:r w:rsidRPr="00286216">
              <w:rPr>
                <w:color w:val="000000" w:themeColor="text1"/>
              </w:rPr>
              <w:t>1230.</w:t>
            </w:r>
          </w:p>
        </w:tc>
        <w:tc>
          <w:tcPr>
            <w:tcW w:w="4818" w:type="dxa"/>
          </w:tcPr>
          <w:p w14:paraId="5E411AE7" w14:textId="77777777" w:rsidR="00826C07" w:rsidRPr="00286216" w:rsidRDefault="00826C07" w:rsidP="00826C07">
            <w:pPr>
              <w:pStyle w:val="StyleZakonu"/>
              <w:rPr>
                <w:color w:val="000000" w:themeColor="text1"/>
              </w:rPr>
            </w:pPr>
            <w:r w:rsidRPr="00286216">
              <w:rPr>
                <w:color w:val="000000" w:themeColor="text1"/>
              </w:rPr>
              <w:t>1) заяву про отримання погодження наміру набуття або збільшення істотної участі у професійному учаснику ринків капіталу та організованих товарних ринків;</w:t>
            </w:r>
          </w:p>
        </w:tc>
        <w:tc>
          <w:tcPr>
            <w:tcW w:w="3686" w:type="dxa"/>
          </w:tcPr>
          <w:p w14:paraId="02B1F514" w14:textId="77777777" w:rsidR="00826C07" w:rsidRPr="00286216" w:rsidRDefault="00826C07" w:rsidP="00826C07">
            <w:pPr>
              <w:pStyle w:val="StyleProp"/>
              <w:rPr>
                <w:color w:val="000000" w:themeColor="text1"/>
                <w:szCs w:val="18"/>
              </w:rPr>
            </w:pPr>
          </w:p>
        </w:tc>
        <w:tc>
          <w:tcPr>
            <w:tcW w:w="1987" w:type="dxa"/>
          </w:tcPr>
          <w:p w14:paraId="0013ACA1" w14:textId="77777777" w:rsidR="00826C07" w:rsidRPr="00286216" w:rsidRDefault="00826C07" w:rsidP="00826C07">
            <w:pPr>
              <w:pStyle w:val="StyleWisnow"/>
              <w:rPr>
                <w:color w:val="000000" w:themeColor="text1"/>
              </w:rPr>
            </w:pPr>
          </w:p>
        </w:tc>
        <w:tc>
          <w:tcPr>
            <w:tcW w:w="4818" w:type="dxa"/>
          </w:tcPr>
          <w:p w14:paraId="0DD23DFD" w14:textId="77777777" w:rsidR="00826C07" w:rsidRPr="00286216" w:rsidRDefault="00826C07" w:rsidP="00826C07">
            <w:pPr>
              <w:pStyle w:val="StyleZakonu"/>
              <w:rPr>
                <w:color w:val="000000" w:themeColor="text1"/>
              </w:rPr>
            </w:pPr>
          </w:p>
        </w:tc>
      </w:tr>
      <w:tr w:rsidR="00826C07" w:rsidRPr="00286216" w14:paraId="4A3DD973" w14:textId="77777777" w:rsidTr="00091AA5">
        <w:tc>
          <w:tcPr>
            <w:tcW w:w="576" w:type="dxa"/>
          </w:tcPr>
          <w:p w14:paraId="12B6AC04" w14:textId="77777777" w:rsidR="00826C07" w:rsidRPr="00286216" w:rsidRDefault="00826C07" w:rsidP="00826C07">
            <w:pPr>
              <w:pStyle w:val="StyleWisnow"/>
              <w:rPr>
                <w:color w:val="000000" w:themeColor="text1"/>
              </w:rPr>
            </w:pPr>
            <w:bookmarkStart w:id="960" w:name="n1231" w:colFirst="0" w:colLast="0"/>
            <w:bookmarkEnd w:id="959"/>
            <w:r w:rsidRPr="00286216">
              <w:rPr>
                <w:color w:val="000000" w:themeColor="text1"/>
              </w:rPr>
              <w:t>1231.</w:t>
            </w:r>
          </w:p>
        </w:tc>
        <w:tc>
          <w:tcPr>
            <w:tcW w:w="4818" w:type="dxa"/>
          </w:tcPr>
          <w:p w14:paraId="04F1BEAB" w14:textId="77777777" w:rsidR="00826C07" w:rsidRPr="00286216" w:rsidRDefault="00826C07" w:rsidP="00826C07">
            <w:pPr>
              <w:pStyle w:val="StyleZakonu"/>
              <w:rPr>
                <w:color w:val="000000" w:themeColor="text1"/>
              </w:rPr>
            </w:pPr>
            <w:r w:rsidRPr="00286216">
              <w:rPr>
                <w:color w:val="000000" w:themeColor="text1"/>
              </w:rPr>
              <w:t>2) документи, що надають змогу ідентифікувати юридичну особу;</w:t>
            </w:r>
          </w:p>
        </w:tc>
        <w:tc>
          <w:tcPr>
            <w:tcW w:w="3686" w:type="dxa"/>
          </w:tcPr>
          <w:p w14:paraId="492C55DA" w14:textId="77777777" w:rsidR="00826C07" w:rsidRPr="00286216" w:rsidRDefault="00826C07" w:rsidP="00826C07">
            <w:pPr>
              <w:pStyle w:val="StyleProp"/>
              <w:rPr>
                <w:color w:val="000000" w:themeColor="text1"/>
                <w:szCs w:val="18"/>
              </w:rPr>
            </w:pPr>
          </w:p>
        </w:tc>
        <w:tc>
          <w:tcPr>
            <w:tcW w:w="1987" w:type="dxa"/>
          </w:tcPr>
          <w:p w14:paraId="44E65AB8" w14:textId="77777777" w:rsidR="00826C07" w:rsidRPr="00286216" w:rsidRDefault="00826C07" w:rsidP="00826C07">
            <w:pPr>
              <w:pStyle w:val="StyleWisnow"/>
              <w:rPr>
                <w:color w:val="000000" w:themeColor="text1"/>
              </w:rPr>
            </w:pPr>
          </w:p>
        </w:tc>
        <w:tc>
          <w:tcPr>
            <w:tcW w:w="4818" w:type="dxa"/>
          </w:tcPr>
          <w:p w14:paraId="54332C78" w14:textId="77777777" w:rsidR="00826C07" w:rsidRPr="00286216" w:rsidRDefault="00826C07" w:rsidP="00826C07">
            <w:pPr>
              <w:pStyle w:val="StyleZakonu"/>
              <w:rPr>
                <w:color w:val="000000" w:themeColor="text1"/>
              </w:rPr>
            </w:pPr>
          </w:p>
        </w:tc>
      </w:tr>
      <w:tr w:rsidR="00826C07" w:rsidRPr="00286216" w14:paraId="5A5DFC9C" w14:textId="77777777" w:rsidTr="00091AA5">
        <w:tc>
          <w:tcPr>
            <w:tcW w:w="576" w:type="dxa"/>
          </w:tcPr>
          <w:p w14:paraId="41CBF329" w14:textId="77777777" w:rsidR="00826C07" w:rsidRPr="00286216" w:rsidRDefault="00826C07" w:rsidP="00826C07">
            <w:pPr>
              <w:pStyle w:val="StyleWisnow"/>
              <w:rPr>
                <w:color w:val="000000" w:themeColor="text1"/>
              </w:rPr>
            </w:pPr>
            <w:bookmarkStart w:id="961" w:name="n1232" w:colFirst="0" w:colLast="0"/>
            <w:bookmarkEnd w:id="960"/>
            <w:r w:rsidRPr="00286216">
              <w:rPr>
                <w:color w:val="000000" w:themeColor="text1"/>
              </w:rPr>
              <w:t>1232.</w:t>
            </w:r>
          </w:p>
        </w:tc>
        <w:tc>
          <w:tcPr>
            <w:tcW w:w="4818" w:type="dxa"/>
          </w:tcPr>
          <w:p w14:paraId="483C3254" w14:textId="77777777" w:rsidR="00826C07" w:rsidRPr="00286216" w:rsidRDefault="00826C07" w:rsidP="00826C07">
            <w:pPr>
              <w:pStyle w:val="StyleZakonu"/>
              <w:rPr>
                <w:color w:val="000000" w:themeColor="text1"/>
              </w:rPr>
            </w:pPr>
            <w:r w:rsidRPr="00286216">
              <w:rPr>
                <w:color w:val="000000" w:themeColor="text1"/>
              </w:rPr>
              <w:t>3) документи, що підтверджують намір набуття або збільшення участі у професійному учаснику ринків капіталу та організованих товарних ринків;</w:t>
            </w:r>
          </w:p>
        </w:tc>
        <w:tc>
          <w:tcPr>
            <w:tcW w:w="3686" w:type="dxa"/>
          </w:tcPr>
          <w:p w14:paraId="48639077" w14:textId="77777777" w:rsidR="00826C07" w:rsidRPr="00286216" w:rsidRDefault="00826C07" w:rsidP="00826C07">
            <w:pPr>
              <w:pStyle w:val="StyleProp"/>
              <w:rPr>
                <w:color w:val="000000" w:themeColor="text1"/>
                <w:szCs w:val="18"/>
              </w:rPr>
            </w:pPr>
          </w:p>
        </w:tc>
        <w:tc>
          <w:tcPr>
            <w:tcW w:w="1987" w:type="dxa"/>
          </w:tcPr>
          <w:p w14:paraId="2EA9F7CE" w14:textId="77777777" w:rsidR="00826C07" w:rsidRPr="00286216" w:rsidRDefault="00826C07" w:rsidP="00826C07">
            <w:pPr>
              <w:pStyle w:val="StyleWisnow"/>
              <w:rPr>
                <w:color w:val="000000" w:themeColor="text1"/>
              </w:rPr>
            </w:pPr>
          </w:p>
        </w:tc>
        <w:tc>
          <w:tcPr>
            <w:tcW w:w="4818" w:type="dxa"/>
          </w:tcPr>
          <w:p w14:paraId="499453C1" w14:textId="77777777" w:rsidR="00826C07" w:rsidRPr="00286216" w:rsidRDefault="00826C07" w:rsidP="00826C07">
            <w:pPr>
              <w:pStyle w:val="StyleZakonu"/>
              <w:rPr>
                <w:color w:val="000000" w:themeColor="text1"/>
              </w:rPr>
            </w:pPr>
          </w:p>
        </w:tc>
      </w:tr>
      <w:tr w:rsidR="00826C07" w:rsidRPr="00286216" w14:paraId="563A4C5B" w14:textId="77777777" w:rsidTr="00091AA5">
        <w:tc>
          <w:tcPr>
            <w:tcW w:w="576" w:type="dxa"/>
          </w:tcPr>
          <w:p w14:paraId="62B0E348" w14:textId="77777777" w:rsidR="00826C07" w:rsidRPr="00286216" w:rsidRDefault="00826C07" w:rsidP="00826C07">
            <w:pPr>
              <w:pStyle w:val="StyleWisnow"/>
              <w:rPr>
                <w:color w:val="000000" w:themeColor="text1"/>
              </w:rPr>
            </w:pPr>
            <w:bookmarkStart w:id="962" w:name="n1233" w:colFirst="0" w:colLast="0"/>
            <w:bookmarkEnd w:id="961"/>
            <w:r w:rsidRPr="00286216">
              <w:rPr>
                <w:color w:val="000000" w:themeColor="text1"/>
              </w:rPr>
              <w:t>1233.</w:t>
            </w:r>
          </w:p>
        </w:tc>
        <w:tc>
          <w:tcPr>
            <w:tcW w:w="4818" w:type="dxa"/>
          </w:tcPr>
          <w:p w14:paraId="370C2F9A" w14:textId="77777777" w:rsidR="00826C07" w:rsidRPr="00286216" w:rsidRDefault="00826C07" w:rsidP="00826C07">
            <w:pPr>
              <w:pStyle w:val="StyleZakonu"/>
              <w:rPr>
                <w:color w:val="000000" w:themeColor="text1"/>
              </w:rPr>
            </w:pPr>
            <w:r w:rsidRPr="00286216">
              <w:rPr>
                <w:color w:val="000000" w:themeColor="text1"/>
              </w:rPr>
              <w:t>4) документи, що дають змогу зробити висновок про:</w:t>
            </w:r>
          </w:p>
        </w:tc>
        <w:tc>
          <w:tcPr>
            <w:tcW w:w="3686" w:type="dxa"/>
          </w:tcPr>
          <w:p w14:paraId="698AF6BE" w14:textId="77777777" w:rsidR="00826C07" w:rsidRPr="00286216" w:rsidRDefault="00826C07" w:rsidP="00826C07">
            <w:pPr>
              <w:pStyle w:val="StyleProp"/>
              <w:rPr>
                <w:color w:val="000000" w:themeColor="text1"/>
                <w:szCs w:val="18"/>
              </w:rPr>
            </w:pPr>
          </w:p>
        </w:tc>
        <w:tc>
          <w:tcPr>
            <w:tcW w:w="1987" w:type="dxa"/>
          </w:tcPr>
          <w:p w14:paraId="1328C206" w14:textId="77777777" w:rsidR="00826C07" w:rsidRPr="00286216" w:rsidRDefault="00826C07" w:rsidP="00826C07">
            <w:pPr>
              <w:pStyle w:val="StyleWisnow"/>
              <w:rPr>
                <w:color w:val="000000" w:themeColor="text1"/>
              </w:rPr>
            </w:pPr>
          </w:p>
        </w:tc>
        <w:tc>
          <w:tcPr>
            <w:tcW w:w="4818" w:type="dxa"/>
          </w:tcPr>
          <w:p w14:paraId="1DA82258" w14:textId="77777777" w:rsidR="00826C07" w:rsidRPr="00286216" w:rsidRDefault="00826C07" w:rsidP="00826C07">
            <w:pPr>
              <w:pStyle w:val="StyleZakonu"/>
              <w:rPr>
                <w:color w:val="000000" w:themeColor="text1"/>
              </w:rPr>
            </w:pPr>
          </w:p>
        </w:tc>
      </w:tr>
      <w:tr w:rsidR="00826C07" w:rsidRPr="00286216" w14:paraId="584BF7F2" w14:textId="77777777" w:rsidTr="00091AA5">
        <w:tc>
          <w:tcPr>
            <w:tcW w:w="576" w:type="dxa"/>
          </w:tcPr>
          <w:p w14:paraId="1590165A" w14:textId="77777777" w:rsidR="00826C07" w:rsidRPr="00286216" w:rsidRDefault="00826C07" w:rsidP="00826C07">
            <w:pPr>
              <w:pStyle w:val="StyleWisnow"/>
              <w:rPr>
                <w:color w:val="000000" w:themeColor="text1"/>
              </w:rPr>
            </w:pPr>
            <w:bookmarkStart w:id="963" w:name="n1234" w:colFirst="0" w:colLast="0"/>
            <w:bookmarkEnd w:id="962"/>
            <w:r w:rsidRPr="00286216">
              <w:rPr>
                <w:color w:val="000000" w:themeColor="text1"/>
              </w:rPr>
              <w:t>1234.</w:t>
            </w:r>
          </w:p>
        </w:tc>
        <w:tc>
          <w:tcPr>
            <w:tcW w:w="4818" w:type="dxa"/>
          </w:tcPr>
          <w:p w14:paraId="53B6459F" w14:textId="77777777" w:rsidR="00826C07" w:rsidRPr="00286216" w:rsidRDefault="00826C07" w:rsidP="00826C07">
            <w:pPr>
              <w:pStyle w:val="StyleZakonu"/>
              <w:rPr>
                <w:color w:val="000000" w:themeColor="text1"/>
              </w:rPr>
            </w:pPr>
            <w:r w:rsidRPr="00286216">
              <w:rPr>
                <w:color w:val="000000" w:themeColor="text1"/>
              </w:rPr>
              <w:t>а) ділову репутацію юридичної особи, яка має намір збільшити участь у професійному учаснику ринків капіталу та організованих товарних ринків, власника акцій (часток) в статутному капіталі такої юридичної особи, який здійснює значний вплив на управління або діяльність такої юридичної особи, осіб, які здійснюють в ній управлінські функції, та осіб, які здійснюють управлінські функції в юридичній особі, що знаходиться під контролем особи, яка має намір збільшити участь в професійному учаснику ринків капіталу та організованих товарних ринків;</w:t>
            </w:r>
          </w:p>
        </w:tc>
        <w:tc>
          <w:tcPr>
            <w:tcW w:w="3686" w:type="dxa"/>
          </w:tcPr>
          <w:p w14:paraId="1299D72E" w14:textId="29173230"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759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2E0C133"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У підпункті "а" пункту 4 частини дев'ятої  статті 70 слова "</w:t>
            </w:r>
            <w:r w:rsidRPr="00286216">
              <w:rPr>
                <w:color w:val="000000" w:themeColor="text1"/>
                <w:szCs w:val="18"/>
              </w:rPr>
              <w:t>та осіб, які здійснюють управлінські функції в юридичній особі, що знаходиться під контролем особи, яка має намір збільшити участь в професійному учаснику ринків капіталу та організованих товарних ринків</w:t>
            </w:r>
            <w:r w:rsidRPr="00286216">
              <w:rPr>
                <w:rFonts w:eastAsia="Calibri"/>
                <w:color w:val="000000" w:themeColor="text1"/>
                <w:szCs w:val="18"/>
              </w:rPr>
              <w:t>" виключити.</w:t>
            </w:r>
          </w:p>
          <w:p w14:paraId="736091EC" w14:textId="77777777" w:rsidR="00826C07" w:rsidRPr="00286216" w:rsidRDefault="00826C07" w:rsidP="00826C07">
            <w:pPr>
              <w:pStyle w:val="StyleProp"/>
              <w:rPr>
                <w:rFonts w:eastAsia="Calibri"/>
                <w:color w:val="000000" w:themeColor="text1"/>
                <w:szCs w:val="18"/>
              </w:rPr>
            </w:pPr>
          </w:p>
        </w:tc>
        <w:tc>
          <w:tcPr>
            <w:tcW w:w="1987" w:type="dxa"/>
          </w:tcPr>
          <w:p w14:paraId="5ACB071D"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9DCD175"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675C3AE3" w14:textId="77777777" w:rsidR="00826C07" w:rsidRPr="00286216" w:rsidRDefault="00826C07" w:rsidP="00826C07">
            <w:pPr>
              <w:pStyle w:val="StyleZakonu"/>
              <w:rPr>
                <w:color w:val="000000" w:themeColor="text1"/>
              </w:rPr>
            </w:pPr>
          </w:p>
        </w:tc>
      </w:tr>
      <w:tr w:rsidR="00826C07" w:rsidRPr="00286216" w14:paraId="7ADD0994" w14:textId="77777777" w:rsidTr="00091AA5">
        <w:tc>
          <w:tcPr>
            <w:tcW w:w="576" w:type="dxa"/>
          </w:tcPr>
          <w:p w14:paraId="7573E4D0" w14:textId="77777777" w:rsidR="00826C07" w:rsidRPr="00286216" w:rsidRDefault="00826C07" w:rsidP="00826C07">
            <w:pPr>
              <w:pStyle w:val="StyleWisnow"/>
              <w:rPr>
                <w:color w:val="000000" w:themeColor="text1"/>
              </w:rPr>
            </w:pPr>
            <w:bookmarkStart w:id="964" w:name="n1235" w:colFirst="0" w:colLast="0"/>
            <w:bookmarkEnd w:id="963"/>
            <w:r w:rsidRPr="00286216">
              <w:rPr>
                <w:color w:val="000000" w:themeColor="text1"/>
              </w:rPr>
              <w:lastRenderedPageBreak/>
              <w:t>1235.</w:t>
            </w:r>
          </w:p>
        </w:tc>
        <w:tc>
          <w:tcPr>
            <w:tcW w:w="4818" w:type="dxa"/>
          </w:tcPr>
          <w:p w14:paraId="7A1E00F6" w14:textId="77777777" w:rsidR="00826C07" w:rsidRPr="00286216" w:rsidRDefault="00826C07" w:rsidP="00826C07">
            <w:pPr>
              <w:pStyle w:val="StyleZakonu"/>
              <w:rPr>
                <w:color w:val="000000" w:themeColor="text1"/>
              </w:rPr>
            </w:pPr>
            <w:r w:rsidRPr="00286216">
              <w:rPr>
                <w:color w:val="000000" w:themeColor="text1"/>
              </w:rPr>
              <w:t>б) фінансовий стан особи, яка має намір збільшити участь у професійному учаснику ринків капіталу та організованих товарних ринків;</w:t>
            </w:r>
          </w:p>
        </w:tc>
        <w:tc>
          <w:tcPr>
            <w:tcW w:w="3686" w:type="dxa"/>
          </w:tcPr>
          <w:p w14:paraId="6C17D1E1" w14:textId="77777777" w:rsidR="00826C07" w:rsidRPr="00286216" w:rsidRDefault="00826C07" w:rsidP="00826C07">
            <w:pPr>
              <w:pStyle w:val="StyleProp"/>
              <w:rPr>
                <w:color w:val="000000" w:themeColor="text1"/>
                <w:szCs w:val="18"/>
              </w:rPr>
            </w:pPr>
          </w:p>
        </w:tc>
        <w:tc>
          <w:tcPr>
            <w:tcW w:w="1987" w:type="dxa"/>
          </w:tcPr>
          <w:p w14:paraId="68DB8FF5" w14:textId="77777777" w:rsidR="00826C07" w:rsidRPr="00286216" w:rsidRDefault="00826C07" w:rsidP="00826C07">
            <w:pPr>
              <w:pStyle w:val="StyleWisnow"/>
              <w:rPr>
                <w:color w:val="000000" w:themeColor="text1"/>
              </w:rPr>
            </w:pPr>
          </w:p>
        </w:tc>
        <w:tc>
          <w:tcPr>
            <w:tcW w:w="4818" w:type="dxa"/>
          </w:tcPr>
          <w:p w14:paraId="4A2EA782" w14:textId="77777777" w:rsidR="00826C07" w:rsidRPr="00286216" w:rsidRDefault="00826C07" w:rsidP="00826C07">
            <w:pPr>
              <w:pStyle w:val="StyleZakonu"/>
              <w:rPr>
                <w:color w:val="000000" w:themeColor="text1"/>
              </w:rPr>
            </w:pPr>
          </w:p>
        </w:tc>
      </w:tr>
      <w:tr w:rsidR="00826C07" w:rsidRPr="00286216" w14:paraId="4FA69247" w14:textId="77777777" w:rsidTr="00091AA5">
        <w:tc>
          <w:tcPr>
            <w:tcW w:w="576" w:type="dxa"/>
          </w:tcPr>
          <w:p w14:paraId="0CC56D6D" w14:textId="77777777" w:rsidR="00826C07" w:rsidRPr="00286216" w:rsidRDefault="00826C07" w:rsidP="00826C07">
            <w:pPr>
              <w:pStyle w:val="StyleWisnow"/>
              <w:rPr>
                <w:color w:val="000000" w:themeColor="text1"/>
              </w:rPr>
            </w:pPr>
            <w:bookmarkStart w:id="965" w:name="n1236" w:colFirst="0" w:colLast="0"/>
            <w:bookmarkEnd w:id="964"/>
            <w:r w:rsidRPr="00286216">
              <w:rPr>
                <w:color w:val="000000" w:themeColor="text1"/>
              </w:rPr>
              <w:t>1236.</w:t>
            </w:r>
          </w:p>
        </w:tc>
        <w:tc>
          <w:tcPr>
            <w:tcW w:w="4818" w:type="dxa"/>
          </w:tcPr>
          <w:p w14:paraId="0D03AF6A" w14:textId="77777777" w:rsidR="00826C07" w:rsidRPr="00286216" w:rsidRDefault="00826C07" w:rsidP="00826C07">
            <w:pPr>
              <w:pStyle w:val="StyleZakonu"/>
              <w:rPr>
                <w:color w:val="000000" w:themeColor="text1"/>
              </w:rPr>
            </w:pPr>
            <w:r w:rsidRPr="00286216">
              <w:rPr>
                <w:color w:val="000000" w:themeColor="text1"/>
              </w:rPr>
              <w:t>5) документи, необхідні для ідентифікації учасників групи, до якої належить така юридична особа;</w:t>
            </w:r>
          </w:p>
        </w:tc>
        <w:tc>
          <w:tcPr>
            <w:tcW w:w="3686" w:type="dxa"/>
          </w:tcPr>
          <w:p w14:paraId="616D2D8D" w14:textId="1AD72557"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760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4797555"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5 частини 9 статті 70 викласти у такій редакції:</w:t>
            </w:r>
          </w:p>
          <w:p w14:paraId="32970211"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 xml:space="preserve">"5) документи, необхідні для ідентифікації учасників </w:t>
            </w:r>
            <w:r w:rsidRPr="00286216">
              <w:rPr>
                <w:color w:val="000000" w:themeColor="text1"/>
              </w:rPr>
              <w:t xml:space="preserve">групи компаній </w:t>
            </w:r>
            <w:r w:rsidRPr="00286216">
              <w:rPr>
                <w:rFonts w:eastAsia="Calibri"/>
                <w:color w:val="000000" w:themeColor="text1"/>
                <w:szCs w:val="18"/>
              </w:rPr>
              <w:t>у разі якщо юридична особа належить до такої групи".</w:t>
            </w:r>
          </w:p>
        </w:tc>
        <w:tc>
          <w:tcPr>
            <w:tcW w:w="1987" w:type="dxa"/>
          </w:tcPr>
          <w:p w14:paraId="663704E4"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67C379F0" w14:textId="77777777" w:rsidR="00826C07" w:rsidRPr="00286216" w:rsidRDefault="00826C07" w:rsidP="00826C07">
            <w:pPr>
              <w:pStyle w:val="StyleWisnow"/>
              <w:spacing w:line="180" w:lineRule="exact"/>
              <w:rPr>
                <w:color w:val="000000" w:themeColor="text1"/>
              </w:rPr>
            </w:pPr>
            <w:r w:rsidRPr="00286216">
              <w:rPr>
                <w:color w:val="000000" w:themeColor="text1"/>
              </w:rPr>
              <w:t>суперечить Директиві 2014/65 та Регламенту 2017/1946</w:t>
            </w:r>
          </w:p>
        </w:tc>
        <w:tc>
          <w:tcPr>
            <w:tcW w:w="4818" w:type="dxa"/>
          </w:tcPr>
          <w:p w14:paraId="5129E798" w14:textId="77777777" w:rsidR="00826C07" w:rsidRPr="00286216" w:rsidRDefault="00826C07" w:rsidP="00826C07">
            <w:pPr>
              <w:pStyle w:val="StyleZakonu"/>
              <w:rPr>
                <w:color w:val="000000" w:themeColor="text1"/>
              </w:rPr>
            </w:pPr>
          </w:p>
        </w:tc>
      </w:tr>
      <w:tr w:rsidR="00826C07" w:rsidRPr="00286216" w14:paraId="64683287" w14:textId="77777777" w:rsidTr="00091AA5">
        <w:tc>
          <w:tcPr>
            <w:tcW w:w="576" w:type="dxa"/>
          </w:tcPr>
          <w:p w14:paraId="44468263" w14:textId="77777777" w:rsidR="00826C07" w:rsidRPr="00286216" w:rsidRDefault="00826C07" w:rsidP="00826C07">
            <w:pPr>
              <w:pStyle w:val="StyleWisnow"/>
              <w:rPr>
                <w:color w:val="000000" w:themeColor="text1"/>
              </w:rPr>
            </w:pPr>
            <w:bookmarkStart w:id="966" w:name="n1237" w:colFirst="0" w:colLast="0"/>
            <w:bookmarkEnd w:id="965"/>
            <w:r w:rsidRPr="00286216">
              <w:rPr>
                <w:color w:val="000000" w:themeColor="text1"/>
              </w:rPr>
              <w:t>1237.</w:t>
            </w:r>
          </w:p>
        </w:tc>
        <w:tc>
          <w:tcPr>
            <w:tcW w:w="4818" w:type="dxa"/>
          </w:tcPr>
          <w:p w14:paraId="6004EC93" w14:textId="77777777" w:rsidR="00826C07" w:rsidRPr="00286216" w:rsidRDefault="00826C07" w:rsidP="00826C07">
            <w:pPr>
              <w:pStyle w:val="StyleZakonu"/>
              <w:rPr>
                <w:color w:val="000000" w:themeColor="text1"/>
              </w:rPr>
            </w:pPr>
            <w:r w:rsidRPr="00286216">
              <w:rPr>
                <w:color w:val="000000" w:themeColor="text1"/>
              </w:rPr>
              <w:t>6) відомості про структуру власності;</w:t>
            </w:r>
          </w:p>
        </w:tc>
        <w:tc>
          <w:tcPr>
            <w:tcW w:w="3686" w:type="dxa"/>
          </w:tcPr>
          <w:p w14:paraId="37F4B0B9" w14:textId="77777777" w:rsidR="00826C07" w:rsidRPr="00286216" w:rsidRDefault="00826C07" w:rsidP="00826C07">
            <w:pPr>
              <w:pStyle w:val="StyleProp"/>
              <w:rPr>
                <w:color w:val="000000" w:themeColor="text1"/>
                <w:szCs w:val="18"/>
              </w:rPr>
            </w:pPr>
          </w:p>
        </w:tc>
        <w:tc>
          <w:tcPr>
            <w:tcW w:w="1987" w:type="dxa"/>
          </w:tcPr>
          <w:p w14:paraId="412C8392" w14:textId="77777777" w:rsidR="00826C07" w:rsidRPr="00286216" w:rsidRDefault="00826C07" w:rsidP="00826C07">
            <w:pPr>
              <w:pStyle w:val="StyleWisnow"/>
              <w:rPr>
                <w:color w:val="000000" w:themeColor="text1"/>
              </w:rPr>
            </w:pPr>
          </w:p>
        </w:tc>
        <w:tc>
          <w:tcPr>
            <w:tcW w:w="4818" w:type="dxa"/>
          </w:tcPr>
          <w:p w14:paraId="63C05420" w14:textId="77777777" w:rsidR="00826C07" w:rsidRPr="00286216" w:rsidRDefault="00826C07" w:rsidP="00826C07">
            <w:pPr>
              <w:pStyle w:val="StyleZakonu"/>
              <w:rPr>
                <w:color w:val="000000" w:themeColor="text1"/>
              </w:rPr>
            </w:pPr>
          </w:p>
        </w:tc>
      </w:tr>
      <w:tr w:rsidR="00826C07" w:rsidRPr="00286216" w14:paraId="159AE152" w14:textId="77777777" w:rsidTr="00091AA5">
        <w:tc>
          <w:tcPr>
            <w:tcW w:w="576" w:type="dxa"/>
          </w:tcPr>
          <w:p w14:paraId="0C675C42" w14:textId="77777777" w:rsidR="00826C07" w:rsidRPr="00286216" w:rsidRDefault="00826C07" w:rsidP="00826C07">
            <w:pPr>
              <w:pStyle w:val="StyleWisnow"/>
              <w:rPr>
                <w:color w:val="000000" w:themeColor="text1"/>
              </w:rPr>
            </w:pPr>
            <w:bookmarkStart w:id="967" w:name="n1238" w:colFirst="0" w:colLast="0"/>
            <w:bookmarkEnd w:id="966"/>
            <w:r w:rsidRPr="00286216">
              <w:rPr>
                <w:color w:val="000000" w:themeColor="text1"/>
              </w:rPr>
              <w:t>1238.</w:t>
            </w:r>
          </w:p>
        </w:tc>
        <w:tc>
          <w:tcPr>
            <w:tcW w:w="4818" w:type="dxa"/>
          </w:tcPr>
          <w:p w14:paraId="744B0313" w14:textId="77777777" w:rsidR="00826C07" w:rsidRPr="00286216" w:rsidRDefault="00826C07" w:rsidP="00826C07">
            <w:pPr>
              <w:pStyle w:val="StyleZakonu"/>
              <w:rPr>
                <w:color w:val="000000" w:themeColor="text1"/>
              </w:rPr>
            </w:pPr>
            <w:r w:rsidRPr="00286216">
              <w:rPr>
                <w:color w:val="000000" w:themeColor="text1"/>
              </w:rPr>
              <w:t>7) копію попередніх висновків або рішення Антимонопольного комітету України у випадках, передбачених законодавством;</w:t>
            </w:r>
          </w:p>
        </w:tc>
        <w:tc>
          <w:tcPr>
            <w:tcW w:w="3686" w:type="dxa"/>
          </w:tcPr>
          <w:p w14:paraId="7CC1EB75" w14:textId="77777777" w:rsidR="00826C07" w:rsidRPr="00286216" w:rsidRDefault="00826C07" w:rsidP="00826C07">
            <w:pPr>
              <w:pStyle w:val="StyleProp"/>
              <w:rPr>
                <w:color w:val="000000" w:themeColor="text1"/>
                <w:szCs w:val="18"/>
              </w:rPr>
            </w:pPr>
          </w:p>
        </w:tc>
        <w:tc>
          <w:tcPr>
            <w:tcW w:w="1987" w:type="dxa"/>
          </w:tcPr>
          <w:p w14:paraId="3672D593" w14:textId="77777777" w:rsidR="00826C07" w:rsidRPr="00286216" w:rsidRDefault="00826C07" w:rsidP="00826C07">
            <w:pPr>
              <w:pStyle w:val="StyleWisnow"/>
              <w:rPr>
                <w:color w:val="000000" w:themeColor="text1"/>
              </w:rPr>
            </w:pPr>
          </w:p>
        </w:tc>
        <w:tc>
          <w:tcPr>
            <w:tcW w:w="4818" w:type="dxa"/>
          </w:tcPr>
          <w:p w14:paraId="6E783BCC" w14:textId="77777777" w:rsidR="00826C07" w:rsidRPr="00286216" w:rsidRDefault="00826C07" w:rsidP="00826C07">
            <w:pPr>
              <w:pStyle w:val="StyleZakonu"/>
              <w:rPr>
                <w:color w:val="000000" w:themeColor="text1"/>
              </w:rPr>
            </w:pPr>
          </w:p>
        </w:tc>
      </w:tr>
      <w:tr w:rsidR="00826C07" w:rsidRPr="00286216" w14:paraId="6E84F224" w14:textId="77777777" w:rsidTr="00091AA5">
        <w:tc>
          <w:tcPr>
            <w:tcW w:w="576" w:type="dxa"/>
          </w:tcPr>
          <w:p w14:paraId="71C2C2F4" w14:textId="77777777" w:rsidR="00826C07" w:rsidRPr="00286216" w:rsidRDefault="00826C07" w:rsidP="00826C07">
            <w:pPr>
              <w:pStyle w:val="StyleWisnow"/>
              <w:rPr>
                <w:color w:val="000000" w:themeColor="text1"/>
              </w:rPr>
            </w:pPr>
            <w:bookmarkStart w:id="968" w:name="n1239" w:colFirst="0" w:colLast="0"/>
            <w:bookmarkEnd w:id="967"/>
            <w:r w:rsidRPr="00286216">
              <w:rPr>
                <w:color w:val="000000" w:themeColor="text1"/>
              </w:rPr>
              <w:t>1239.</w:t>
            </w:r>
          </w:p>
        </w:tc>
        <w:tc>
          <w:tcPr>
            <w:tcW w:w="4818" w:type="dxa"/>
          </w:tcPr>
          <w:p w14:paraId="57BE055F" w14:textId="77777777" w:rsidR="00826C07" w:rsidRPr="00286216" w:rsidRDefault="00826C07" w:rsidP="00826C07">
            <w:pPr>
              <w:pStyle w:val="StyleZakonu"/>
              <w:rPr>
                <w:color w:val="000000" w:themeColor="text1"/>
              </w:rPr>
            </w:pPr>
            <w:r w:rsidRPr="00286216">
              <w:rPr>
                <w:color w:val="000000" w:themeColor="text1"/>
              </w:rPr>
              <w:t>8) інші документи, встановлені Національною комісією з цінних паперів та фондового ринку.</w:t>
            </w:r>
          </w:p>
        </w:tc>
        <w:tc>
          <w:tcPr>
            <w:tcW w:w="3686" w:type="dxa"/>
          </w:tcPr>
          <w:p w14:paraId="2FE0FBBC" w14:textId="4BAE968A"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761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5261630"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8 частини дев'ятої статті 70 виключити.</w:t>
            </w:r>
          </w:p>
        </w:tc>
        <w:tc>
          <w:tcPr>
            <w:tcW w:w="1987" w:type="dxa"/>
          </w:tcPr>
          <w:p w14:paraId="604B5D57" w14:textId="44CE90D6"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4648B643" w14:textId="77777777" w:rsidR="00826C07" w:rsidRPr="00286216" w:rsidRDefault="00826C07" w:rsidP="00826C07">
            <w:pPr>
              <w:pStyle w:val="StyleZakonu"/>
              <w:rPr>
                <w:color w:val="000000" w:themeColor="text1"/>
              </w:rPr>
            </w:pPr>
          </w:p>
        </w:tc>
      </w:tr>
      <w:bookmarkEnd w:id="968"/>
      <w:tr w:rsidR="00826C07" w:rsidRPr="00286216" w14:paraId="0FE4C86F" w14:textId="77777777" w:rsidTr="00091AA5">
        <w:tc>
          <w:tcPr>
            <w:tcW w:w="576" w:type="dxa"/>
          </w:tcPr>
          <w:p w14:paraId="7D4A4C0E" w14:textId="77777777" w:rsidR="00826C07" w:rsidRPr="00286216" w:rsidRDefault="00826C07" w:rsidP="00826C07">
            <w:pPr>
              <w:pStyle w:val="StyleWisnow"/>
              <w:rPr>
                <w:color w:val="000000" w:themeColor="text1"/>
              </w:rPr>
            </w:pPr>
          </w:p>
        </w:tc>
        <w:tc>
          <w:tcPr>
            <w:tcW w:w="4818" w:type="dxa"/>
          </w:tcPr>
          <w:p w14:paraId="2654B464" w14:textId="77777777" w:rsidR="00826C07" w:rsidRPr="00286216" w:rsidRDefault="00826C07" w:rsidP="00826C07">
            <w:pPr>
              <w:pStyle w:val="StyleZakonu"/>
              <w:rPr>
                <w:color w:val="000000" w:themeColor="text1"/>
              </w:rPr>
            </w:pPr>
          </w:p>
        </w:tc>
        <w:tc>
          <w:tcPr>
            <w:tcW w:w="3686" w:type="dxa"/>
          </w:tcPr>
          <w:p w14:paraId="1A992B2F" w14:textId="6935B37B"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762</w:t>
            </w:r>
            <w:r w:rsidRPr="00286216">
              <w:rPr>
                <w:color w:val="000000" w:themeColor="text1"/>
                <w:spacing w:val="-10"/>
              </w:rPr>
              <w:fldChar w:fldCharType="end"/>
            </w:r>
            <w:r w:rsidRPr="00286216">
              <w:rPr>
                <w:color w:val="000000" w:themeColor="text1"/>
                <w:spacing w:val="-10"/>
              </w:rPr>
              <w:t>-Н.д.Гетманцев Д.О.(Реєстр.картка №245)</w:t>
            </w:r>
          </w:p>
          <w:p w14:paraId="011A6F2A" w14:textId="77777777" w:rsidR="00826C07" w:rsidRPr="00286216" w:rsidRDefault="00826C07" w:rsidP="00826C07">
            <w:pPr>
              <w:pStyle w:val="StyleProp"/>
              <w:rPr>
                <w:color w:val="000000" w:themeColor="text1"/>
                <w:sz w:val="20"/>
              </w:rPr>
            </w:pPr>
            <w:r w:rsidRPr="00286216">
              <w:rPr>
                <w:color w:val="000000" w:themeColor="text1"/>
              </w:rPr>
              <w:t>У статті 70 пункт восьмий частини дев’ятої виключити.</w:t>
            </w:r>
          </w:p>
        </w:tc>
        <w:tc>
          <w:tcPr>
            <w:tcW w:w="1987" w:type="dxa"/>
          </w:tcPr>
          <w:p w14:paraId="69FEC9AE" w14:textId="5D22CE3C"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6E8C1A95" w14:textId="0DA89639" w:rsidR="00826C07" w:rsidRPr="00286216" w:rsidRDefault="00826C07" w:rsidP="00826C07">
            <w:pPr>
              <w:pStyle w:val="StyleZakonu"/>
              <w:rPr>
                <w:color w:val="000000" w:themeColor="text1"/>
              </w:rPr>
            </w:pPr>
          </w:p>
        </w:tc>
      </w:tr>
      <w:tr w:rsidR="00826C07" w:rsidRPr="00286216" w14:paraId="28090725" w14:textId="77777777" w:rsidTr="00091AA5">
        <w:tc>
          <w:tcPr>
            <w:tcW w:w="576" w:type="dxa"/>
          </w:tcPr>
          <w:p w14:paraId="56E9F901" w14:textId="77777777" w:rsidR="00826C07" w:rsidRPr="00286216" w:rsidRDefault="00826C07" w:rsidP="00826C07">
            <w:pPr>
              <w:pStyle w:val="StyleWisnow"/>
              <w:rPr>
                <w:color w:val="000000" w:themeColor="text1"/>
              </w:rPr>
            </w:pPr>
          </w:p>
        </w:tc>
        <w:tc>
          <w:tcPr>
            <w:tcW w:w="4818" w:type="dxa"/>
          </w:tcPr>
          <w:p w14:paraId="69027B6B" w14:textId="77777777" w:rsidR="00826C07" w:rsidRPr="00286216" w:rsidRDefault="00826C07" w:rsidP="00826C07">
            <w:pPr>
              <w:pStyle w:val="StyleZakonu"/>
              <w:rPr>
                <w:color w:val="000000" w:themeColor="text1"/>
              </w:rPr>
            </w:pPr>
          </w:p>
        </w:tc>
        <w:tc>
          <w:tcPr>
            <w:tcW w:w="3686" w:type="dxa"/>
          </w:tcPr>
          <w:p w14:paraId="1F45B2D5" w14:textId="67F4740C"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763</w:t>
            </w:r>
            <w:r w:rsidRPr="00286216">
              <w:rPr>
                <w:color w:val="000000" w:themeColor="text1"/>
              </w:rPr>
              <w:fldChar w:fldCharType="end"/>
            </w:r>
            <w:r w:rsidRPr="00286216">
              <w:rPr>
                <w:color w:val="000000" w:themeColor="text1"/>
              </w:rPr>
              <w:t>-Н.д.Шахов С.В. (Реєстр.картка №114)</w:t>
            </w:r>
          </w:p>
          <w:p w14:paraId="4FEA4BA0"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 xml:space="preserve">У п.8 ч. 9 ст. 70 слова "встановлені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color w:val="000000" w:themeColor="text1"/>
                <w:sz w:val="10"/>
                <w:szCs w:val="10"/>
              </w:rPr>
              <w:t xml:space="preserve"> </w:t>
            </w:r>
            <w:r w:rsidRPr="00286216">
              <w:rPr>
                <w:color w:val="000000" w:themeColor="text1"/>
              </w:rPr>
              <w:t>"визначені законом".</w:t>
            </w:r>
          </w:p>
        </w:tc>
        <w:tc>
          <w:tcPr>
            <w:tcW w:w="1987" w:type="dxa"/>
          </w:tcPr>
          <w:p w14:paraId="1F23BDC8" w14:textId="7C40B310" w:rsidR="00826C07" w:rsidRPr="00286216" w:rsidRDefault="00826C07" w:rsidP="00826C07">
            <w:pPr>
              <w:pStyle w:val="StyleWisnow"/>
              <w:rPr>
                <w:color w:val="000000" w:themeColor="text1"/>
              </w:rPr>
            </w:pPr>
            <w:r w:rsidRPr="00286216">
              <w:rPr>
                <w:color w:val="000000" w:themeColor="text1"/>
              </w:rPr>
              <w:t>Враховано по суті</w:t>
            </w:r>
          </w:p>
        </w:tc>
        <w:tc>
          <w:tcPr>
            <w:tcW w:w="4818" w:type="dxa"/>
          </w:tcPr>
          <w:p w14:paraId="39345761" w14:textId="77777777" w:rsidR="00826C07" w:rsidRPr="00286216" w:rsidRDefault="00826C07" w:rsidP="00826C07">
            <w:pPr>
              <w:pStyle w:val="StyleZakonu"/>
              <w:rPr>
                <w:color w:val="000000" w:themeColor="text1"/>
              </w:rPr>
            </w:pPr>
          </w:p>
        </w:tc>
      </w:tr>
      <w:tr w:rsidR="00826C07" w:rsidRPr="00286216" w14:paraId="0E5D69BA" w14:textId="77777777" w:rsidTr="00091AA5">
        <w:tc>
          <w:tcPr>
            <w:tcW w:w="576" w:type="dxa"/>
          </w:tcPr>
          <w:p w14:paraId="7D63E749" w14:textId="77777777" w:rsidR="00826C07" w:rsidRPr="00286216" w:rsidRDefault="00826C07" w:rsidP="00826C07">
            <w:pPr>
              <w:pStyle w:val="StyleWisnow"/>
              <w:rPr>
                <w:color w:val="000000" w:themeColor="text1"/>
              </w:rPr>
            </w:pPr>
            <w:bookmarkStart w:id="969" w:name="n1240" w:colFirst="0" w:colLast="0"/>
            <w:r w:rsidRPr="00286216">
              <w:rPr>
                <w:color w:val="000000" w:themeColor="text1"/>
              </w:rPr>
              <w:t>1240.</w:t>
            </w:r>
          </w:p>
        </w:tc>
        <w:tc>
          <w:tcPr>
            <w:tcW w:w="4818" w:type="dxa"/>
          </w:tcPr>
          <w:p w14:paraId="7CACDB58" w14:textId="77777777" w:rsidR="00826C07" w:rsidRPr="00286216" w:rsidRDefault="00826C07" w:rsidP="00826C07">
            <w:pPr>
              <w:pStyle w:val="StyleZakonu"/>
              <w:rPr>
                <w:color w:val="000000" w:themeColor="text1"/>
              </w:rPr>
            </w:pPr>
            <w:bookmarkStart w:id="970" w:name="_Ref20921376"/>
            <w:r w:rsidRPr="00286216">
              <w:rPr>
                <w:color w:val="000000" w:themeColor="text1"/>
              </w:rPr>
              <w:t>10. Іноземна юридична особа, яка має намір набути або збільшити участь у професійному учаснику ринків капіталу та організованих товарних ринків відповідно до частини першої цієї статті, додатково до інформації та документів, передбачених частиною сьомою цієї статті, подає Національній комісії з цінних паперів та фондового ринку в установленому нею порядку такі документи:</w:t>
            </w:r>
            <w:bookmarkEnd w:id="970"/>
          </w:p>
        </w:tc>
        <w:tc>
          <w:tcPr>
            <w:tcW w:w="3686" w:type="dxa"/>
          </w:tcPr>
          <w:p w14:paraId="0E67BAAE" w14:textId="43F95188"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764</w:t>
            </w:r>
            <w:r w:rsidRPr="00286216">
              <w:rPr>
                <w:color w:val="000000" w:themeColor="text1"/>
              </w:rPr>
              <w:fldChar w:fldCharType="end"/>
            </w:r>
            <w:r w:rsidRPr="00286216">
              <w:rPr>
                <w:color w:val="000000" w:themeColor="text1"/>
              </w:rPr>
              <w:t>-Н.д.Шахов С.В. (Реєстр.картка №114)</w:t>
            </w:r>
          </w:p>
          <w:p w14:paraId="3C71547E"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В абз. 1 ч. 10 ст. 70 слова "Національній комісії з цінних паперів та фондового ринку в установленому нею"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color w:val="000000" w:themeColor="text1"/>
                <w:sz w:val="10"/>
                <w:szCs w:val="10"/>
              </w:rPr>
              <w:t xml:space="preserve"> </w:t>
            </w:r>
            <w:r w:rsidRPr="00286216">
              <w:rPr>
                <w:color w:val="000000" w:themeColor="text1"/>
              </w:rPr>
              <w:t>"регулятору відповідного ринку в установленому ним".</w:t>
            </w:r>
          </w:p>
        </w:tc>
        <w:tc>
          <w:tcPr>
            <w:tcW w:w="1987" w:type="dxa"/>
          </w:tcPr>
          <w:p w14:paraId="62C330DA"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7535F52E"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320BEBAF" w14:textId="77777777" w:rsidR="00826C07" w:rsidRPr="00286216" w:rsidRDefault="00826C07" w:rsidP="00826C07">
            <w:pPr>
              <w:pStyle w:val="StyleZakonu"/>
              <w:rPr>
                <w:color w:val="000000" w:themeColor="text1"/>
              </w:rPr>
            </w:pPr>
          </w:p>
        </w:tc>
      </w:tr>
      <w:tr w:rsidR="00826C07" w:rsidRPr="00286216" w14:paraId="239442AF" w14:textId="77777777" w:rsidTr="00091AA5">
        <w:tc>
          <w:tcPr>
            <w:tcW w:w="576" w:type="dxa"/>
          </w:tcPr>
          <w:p w14:paraId="30ADAD2F" w14:textId="77777777" w:rsidR="00826C07" w:rsidRPr="00286216" w:rsidRDefault="00826C07" w:rsidP="00826C07">
            <w:pPr>
              <w:pStyle w:val="StyleWisnow"/>
              <w:rPr>
                <w:color w:val="000000" w:themeColor="text1"/>
              </w:rPr>
            </w:pPr>
            <w:bookmarkStart w:id="971" w:name="n1241" w:colFirst="0" w:colLast="0"/>
            <w:bookmarkEnd w:id="969"/>
            <w:r w:rsidRPr="00286216">
              <w:rPr>
                <w:color w:val="000000" w:themeColor="text1"/>
              </w:rPr>
              <w:t>1241.</w:t>
            </w:r>
          </w:p>
        </w:tc>
        <w:tc>
          <w:tcPr>
            <w:tcW w:w="4818" w:type="dxa"/>
          </w:tcPr>
          <w:p w14:paraId="11D9A8C9" w14:textId="77777777" w:rsidR="00826C07" w:rsidRPr="00286216" w:rsidRDefault="00826C07" w:rsidP="00826C07">
            <w:pPr>
              <w:pStyle w:val="StyleZakonu"/>
              <w:rPr>
                <w:color w:val="000000" w:themeColor="text1"/>
              </w:rPr>
            </w:pPr>
            <w:r w:rsidRPr="00286216">
              <w:rPr>
                <w:color w:val="000000" w:themeColor="text1"/>
              </w:rPr>
              <w:t>1) письмовий дозвіл на участь іноземної юридичної особи у професійному учаснику ринків капіталу та організованих товарних ринків в Україні, виданий уповноваженим контролюючим органом держави, в якій зареєстровано головний офіс іноземної юридичної особи, якщо законодавством такої держави вимагається отримання зазначеного дозволу, або письмове запевнення іноземної юридичної особи про відсутність у законодавстві відповідної держави вимог (підстав) щодо отримання такого дозволу;</w:t>
            </w:r>
          </w:p>
        </w:tc>
        <w:tc>
          <w:tcPr>
            <w:tcW w:w="3686" w:type="dxa"/>
          </w:tcPr>
          <w:p w14:paraId="662CF026" w14:textId="77777777" w:rsidR="00826C07" w:rsidRPr="00286216" w:rsidRDefault="00826C07" w:rsidP="00826C07">
            <w:pPr>
              <w:pStyle w:val="StyleProp"/>
              <w:rPr>
                <w:color w:val="000000" w:themeColor="text1"/>
                <w:szCs w:val="18"/>
              </w:rPr>
            </w:pPr>
          </w:p>
        </w:tc>
        <w:tc>
          <w:tcPr>
            <w:tcW w:w="1987" w:type="dxa"/>
          </w:tcPr>
          <w:p w14:paraId="6505C66E" w14:textId="77777777" w:rsidR="00826C07" w:rsidRPr="00286216" w:rsidRDefault="00826C07" w:rsidP="00826C07">
            <w:pPr>
              <w:pStyle w:val="StyleWisnow"/>
              <w:rPr>
                <w:color w:val="000000" w:themeColor="text1"/>
              </w:rPr>
            </w:pPr>
          </w:p>
        </w:tc>
        <w:tc>
          <w:tcPr>
            <w:tcW w:w="4818" w:type="dxa"/>
          </w:tcPr>
          <w:p w14:paraId="299A67FE" w14:textId="77777777" w:rsidR="00826C07" w:rsidRPr="00286216" w:rsidRDefault="00826C07" w:rsidP="00826C07">
            <w:pPr>
              <w:pStyle w:val="StyleZakonu"/>
              <w:rPr>
                <w:color w:val="000000" w:themeColor="text1"/>
              </w:rPr>
            </w:pPr>
          </w:p>
        </w:tc>
      </w:tr>
      <w:tr w:rsidR="00826C07" w:rsidRPr="00286216" w14:paraId="38974215" w14:textId="77777777" w:rsidTr="00091AA5">
        <w:tc>
          <w:tcPr>
            <w:tcW w:w="576" w:type="dxa"/>
          </w:tcPr>
          <w:p w14:paraId="09CEEB06" w14:textId="77777777" w:rsidR="00826C07" w:rsidRPr="00286216" w:rsidRDefault="00826C07" w:rsidP="00826C07">
            <w:pPr>
              <w:pStyle w:val="StyleWisnow"/>
              <w:rPr>
                <w:color w:val="000000" w:themeColor="text1"/>
              </w:rPr>
            </w:pPr>
            <w:bookmarkStart w:id="972" w:name="n1242" w:colFirst="0" w:colLast="0"/>
            <w:bookmarkEnd w:id="971"/>
            <w:r w:rsidRPr="00286216">
              <w:rPr>
                <w:color w:val="000000" w:themeColor="text1"/>
              </w:rPr>
              <w:t>1242.</w:t>
            </w:r>
          </w:p>
        </w:tc>
        <w:tc>
          <w:tcPr>
            <w:tcW w:w="4818" w:type="dxa"/>
          </w:tcPr>
          <w:p w14:paraId="621B088A" w14:textId="77777777" w:rsidR="00826C07" w:rsidRPr="00286216" w:rsidRDefault="00826C07" w:rsidP="00826C07">
            <w:pPr>
              <w:pStyle w:val="StyleZakonu"/>
              <w:rPr>
                <w:color w:val="000000" w:themeColor="text1"/>
              </w:rPr>
            </w:pPr>
            <w:r w:rsidRPr="00286216">
              <w:rPr>
                <w:color w:val="000000" w:themeColor="text1"/>
              </w:rPr>
              <w:t xml:space="preserve">2) витяг із торговельного, судового реєстру або інший офіційний документ, що підтверджує реєстрацію іноземної юридичної особи в державі, в </w:t>
            </w:r>
            <w:r w:rsidRPr="00286216">
              <w:rPr>
                <w:color w:val="000000" w:themeColor="text1"/>
              </w:rPr>
              <w:lastRenderedPageBreak/>
              <w:t>якій зареєстровано її головний офіс;</w:t>
            </w:r>
          </w:p>
        </w:tc>
        <w:tc>
          <w:tcPr>
            <w:tcW w:w="3686" w:type="dxa"/>
          </w:tcPr>
          <w:p w14:paraId="42237B49" w14:textId="77777777" w:rsidR="00826C07" w:rsidRPr="00286216" w:rsidRDefault="00826C07" w:rsidP="00826C07">
            <w:pPr>
              <w:pStyle w:val="StyleProp"/>
              <w:rPr>
                <w:color w:val="000000" w:themeColor="text1"/>
                <w:szCs w:val="18"/>
              </w:rPr>
            </w:pPr>
          </w:p>
        </w:tc>
        <w:tc>
          <w:tcPr>
            <w:tcW w:w="1987" w:type="dxa"/>
          </w:tcPr>
          <w:p w14:paraId="663D8199" w14:textId="77777777" w:rsidR="00826C07" w:rsidRPr="00286216" w:rsidRDefault="00826C07" w:rsidP="00826C07">
            <w:pPr>
              <w:pStyle w:val="StyleWisnow"/>
              <w:rPr>
                <w:color w:val="000000" w:themeColor="text1"/>
              </w:rPr>
            </w:pPr>
          </w:p>
        </w:tc>
        <w:tc>
          <w:tcPr>
            <w:tcW w:w="4818" w:type="dxa"/>
          </w:tcPr>
          <w:p w14:paraId="60A1C1DE" w14:textId="77777777" w:rsidR="00826C07" w:rsidRPr="00286216" w:rsidRDefault="00826C07" w:rsidP="00826C07">
            <w:pPr>
              <w:pStyle w:val="StyleZakonu"/>
              <w:rPr>
                <w:color w:val="000000" w:themeColor="text1"/>
              </w:rPr>
            </w:pPr>
          </w:p>
        </w:tc>
      </w:tr>
      <w:tr w:rsidR="00826C07" w:rsidRPr="00286216" w14:paraId="6FF5E28B" w14:textId="77777777" w:rsidTr="00091AA5">
        <w:tc>
          <w:tcPr>
            <w:tcW w:w="576" w:type="dxa"/>
          </w:tcPr>
          <w:p w14:paraId="1DCEF0B4" w14:textId="77777777" w:rsidR="00826C07" w:rsidRPr="00286216" w:rsidRDefault="00826C07" w:rsidP="00826C07">
            <w:pPr>
              <w:pStyle w:val="StyleWisnow"/>
              <w:rPr>
                <w:color w:val="000000" w:themeColor="text1"/>
              </w:rPr>
            </w:pPr>
            <w:bookmarkStart w:id="973" w:name="n1243" w:colFirst="0" w:colLast="0"/>
            <w:bookmarkEnd w:id="972"/>
            <w:r w:rsidRPr="00286216">
              <w:rPr>
                <w:color w:val="000000" w:themeColor="text1"/>
              </w:rPr>
              <w:t>1243.</w:t>
            </w:r>
          </w:p>
        </w:tc>
        <w:tc>
          <w:tcPr>
            <w:tcW w:w="4818" w:type="dxa"/>
          </w:tcPr>
          <w:p w14:paraId="26F4F166" w14:textId="77777777" w:rsidR="00826C07" w:rsidRPr="00286216" w:rsidRDefault="00826C07" w:rsidP="00826C07">
            <w:pPr>
              <w:pStyle w:val="StyleZakonu"/>
              <w:rPr>
                <w:color w:val="000000" w:themeColor="text1"/>
              </w:rPr>
            </w:pPr>
            <w:r w:rsidRPr="00286216">
              <w:rPr>
                <w:color w:val="000000" w:themeColor="text1"/>
              </w:rPr>
              <w:t>3) інші документи, встановлені Національною комісією з цінних паперів та фондового ринку.</w:t>
            </w:r>
          </w:p>
        </w:tc>
        <w:tc>
          <w:tcPr>
            <w:tcW w:w="3686" w:type="dxa"/>
          </w:tcPr>
          <w:p w14:paraId="1DDD9EE3" w14:textId="42B7B339"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765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A253338"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3 частини десятої статті 70 виключити.</w:t>
            </w:r>
          </w:p>
        </w:tc>
        <w:tc>
          <w:tcPr>
            <w:tcW w:w="1987" w:type="dxa"/>
          </w:tcPr>
          <w:p w14:paraId="3A9712E5" w14:textId="05BF6CF8"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50BCA43F" w14:textId="77777777" w:rsidR="00826C07" w:rsidRPr="00286216" w:rsidRDefault="00826C07" w:rsidP="00826C07">
            <w:pPr>
              <w:pStyle w:val="StyleZakonu"/>
              <w:rPr>
                <w:color w:val="000000" w:themeColor="text1"/>
              </w:rPr>
            </w:pPr>
          </w:p>
        </w:tc>
      </w:tr>
      <w:bookmarkEnd w:id="973"/>
      <w:tr w:rsidR="00826C07" w:rsidRPr="00286216" w14:paraId="4CC1EEAA" w14:textId="77777777" w:rsidTr="00091AA5">
        <w:tc>
          <w:tcPr>
            <w:tcW w:w="576" w:type="dxa"/>
          </w:tcPr>
          <w:p w14:paraId="4700F0A5" w14:textId="77777777" w:rsidR="00826C07" w:rsidRPr="00286216" w:rsidRDefault="00826C07" w:rsidP="00826C07">
            <w:pPr>
              <w:pStyle w:val="StyleWisnow"/>
              <w:rPr>
                <w:color w:val="000000" w:themeColor="text1"/>
              </w:rPr>
            </w:pPr>
          </w:p>
        </w:tc>
        <w:tc>
          <w:tcPr>
            <w:tcW w:w="4818" w:type="dxa"/>
          </w:tcPr>
          <w:p w14:paraId="0A1CD76A" w14:textId="77777777" w:rsidR="00826C07" w:rsidRPr="00286216" w:rsidRDefault="00826C07" w:rsidP="00826C07">
            <w:pPr>
              <w:pStyle w:val="StyleZakonu"/>
              <w:rPr>
                <w:color w:val="000000" w:themeColor="text1"/>
              </w:rPr>
            </w:pPr>
          </w:p>
        </w:tc>
        <w:tc>
          <w:tcPr>
            <w:tcW w:w="3686" w:type="dxa"/>
          </w:tcPr>
          <w:p w14:paraId="0F80BF73" w14:textId="1AF45C20"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766</w:t>
            </w:r>
            <w:r w:rsidRPr="00286216">
              <w:rPr>
                <w:color w:val="000000" w:themeColor="text1"/>
                <w:spacing w:val="-10"/>
              </w:rPr>
              <w:fldChar w:fldCharType="end"/>
            </w:r>
            <w:r w:rsidRPr="00286216">
              <w:rPr>
                <w:color w:val="000000" w:themeColor="text1"/>
                <w:spacing w:val="-10"/>
              </w:rPr>
              <w:t>-Н.д.Гетманцев Д.О.(Реєстр.картка №245)</w:t>
            </w:r>
          </w:p>
          <w:p w14:paraId="593D4C42" w14:textId="77777777" w:rsidR="00826C07" w:rsidRPr="00286216" w:rsidRDefault="00826C07" w:rsidP="00826C07">
            <w:pPr>
              <w:pStyle w:val="StyleProp"/>
              <w:rPr>
                <w:color w:val="000000" w:themeColor="text1"/>
                <w:sz w:val="20"/>
              </w:rPr>
            </w:pPr>
            <w:r w:rsidRPr="00286216">
              <w:rPr>
                <w:color w:val="000000" w:themeColor="text1"/>
              </w:rPr>
              <w:t>У статті 70 пункт третій частини десятої виключити.</w:t>
            </w:r>
          </w:p>
        </w:tc>
        <w:tc>
          <w:tcPr>
            <w:tcW w:w="1987" w:type="dxa"/>
          </w:tcPr>
          <w:p w14:paraId="4C5C8EA6" w14:textId="2D97B944"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15D94F3F" w14:textId="77777777" w:rsidR="00826C07" w:rsidRPr="00286216" w:rsidRDefault="00826C07" w:rsidP="00826C07">
            <w:pPr>
              <w:pStyle w:val="StyleZakonu"/>
              <w:rPr>
                <w:color w:val="000000" w:themeColor="text1"/>
              </w:rPr>
            </w:pPr>
          </w:p>
        </w:tc>
      </w:tr>
      <w:tr w:rsidR="00826C07" w:rsidRPr="00286216" w14:paraId="7CD9D909" w14:textId="77777777" w:rsidTr="00091AA5">
        <w:tc>
          <w:tcPr>
            <w:tcW w:w="576" w:type="dxa"/>
          </w:tcPr>
          <w:p w14:paraId="46EDD43D" w14:textId="77777777" w:rsidR="00826C07" w:rsidRPr="00286216" w:rsidRDefault="00826C07" w:rsidP="00826C07">
            <w:pPr>
              <w:pStyle w:val="StyleWisnow"/>
              <w:rPr>
                <w:color w:val="000000" w:themeColor="text1"/>
              </w:rPr>
            </w:pPr>
          </w:p>
        </w:tc>
        <w:tc>
          <w:tcPr>
            <w:tcW w:w="4818" w:type="dxa"/>
          </w:tcPr>
          <w:p w14:paraId="2CF3F1E4" w14:textId="77777777" w:rsidR="00826C07" w:rsidRPr="00286216" w:rsidRDefault="00826C07" w:rsidP="00826C07">
            <w:pPr>
              <w:pStyle w:val="StyleZakonu"/>
              <w:rPr>
                <w:color w:val="000000" w:themeColor="text1"/>
              </w:rPr>
            </w:pPr>
          </w:p>
        </w:tc>
        <w:tc>
          <w:tcPr>
            <w:tcW w:w="3686" w:type="dxa"/>
          </w:tcPr>
          <w:p w14:paraId="2593877B" w14:textId="43A2E15A"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767</w:t>
            </w:r>
            <w:r w:rsidRPr="00286216">
              <w:rPr>
                <w:color w:val="000000" w:themeColor="text1"/>
              </w:rPr>
              <w:fldChar w:fldCharType="end"/>
            </w:r>
            <w:r w:rsidRPr="00286216">
              <w:rPr>
                <w:color w:val="000000" w:themeColor="text1"/>
              </w:rPr>
              <w:t>-Н.д.Шахов С.В. (Реєстр.картка №114)</w:t>
            </w:r>
          </w:p>
          <w:p w14:paraId="27C13062"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п.3 ч. 10 ст. 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3969EA02"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F43105D"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3AD79E1F" w14:textId="77777777" w:rsidR="00826C07" w:rsidRPr="00286216" w:rsidRDefault="00826C07" w:rsidP="00826C07">
            <w:pPr>
              <w:pStyle w:val="StyleZakonu"/>
              <w:rPr>
                <w:color w:val="000000" w:themeColor="text1"/>
              </w:rPr>
            </w:pPr>
          </w:p>
        </w:tc>
      </w:tr>
      <w:tr w:rsidR="00826C07" w:rsidRPr="00286216" w14:paraId="446054AF" w14:textId="77777777" w:rsidTr="00091AA5">
        <w:tc>
          <w:tcPr>
            <w:tcW w:w="576" w:type="dxa"/>
          </w:tcPr>
          <w:p w14:paraId="4C681CF0" w14:textId="77777777" w:rsidR="00826C07" w:rsidRPr="00286216" w:rsidRDefault="00826C07" w:rsidP="00826C07">
            <w:pPr>
              <w:pStyle w:val="StyleWisnow"/>
              <w:rPr>
                <w:color w:val="000000" w:themeColor="text1"/>
              </w:rPr>
            </w:pPr>
            <w:bookmarkStart w:id="974" w:name="n1244" w:colFirst="0" w:colLast="0"/>
            <w:r w:rsidRPr="00286216">
              <w:rPr>
                <w:color w:val="000000" w:themeColor="text1"/>
              </w:rPr>
              <w:t>1244.</w:t>
            </w:r>
          </w:p>
        </w:tc>
        <w:tc>
          <w:tcPr>
            <w:tcW w:w="4818" w:type="dxa"/>
          </w:tcPr>
          <w:p w14:paraId="512B07F7" w14:textId="77777777" w:rsidR="00826C07" w:rsidRPr="00286216" w:rsidRDefault="00826C07" w:rsidP="00826C07">
            <w:pPr>
              <w:pStyle w:val="StyleZakonu"/>
              <w:rPr>
                <w:color w:val="000000" w:themeColor="text1"/>
              </w:rPr>
            </w:pPr>
            <w:r w:rsidRPr="00286216">
              <w:rPr>
                <w:color w:val="000000" w:themeColor="text1"/>
              </w:rPr>
              <w:t>11. Національна комісія з цінних паперів та фондового ринку може встановити особливості документів, що подаються для погодження наміру набуття або збільшення істотної участі відповідно до частини першої цієї статті окремими категоріями осіб (зокрема, трастами, фондами національного добробуту, фінансовими установами).</w:t>
            </w:r>
          </w:p>
        </w:tc>
        <w:tc>
          <w:tcPr>
            <w:tcW w:w="3686" w:type="dxa"/>
          </w:tcPr>
          <w:p w14:paraId="7ADD7454" w14:textId="1761F5D7"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768</w:t>
            </w:r>
            <w:r w:rsidRPr="00286216">
              <w:rPr>
                <w:color w:val="000000" w:themeColor="text1"/>
              </w:rPr>
              <w:fldChar w:fldCharType="end"/>
            </w:r>
            <w:r w:rsidRPr="00286216">
              <w:rPr>
                <w:color w:val="000000" w:themeColor="text1"/>
              </w:rPr>
              <w:t>-Н.д.Шахов С.В. (Реєстр.картка №114)</w:t>
            </w:r>
          </w:p>
          <w:p w14:paraId="1CC4C669" w14:textId="77777777" w:rsidR="00826C07" w:rsidRPr="00286216" w:rsidRDefault="00826C07" w:rsidP="00826C07">
            <w:pPr>
              <w:pStyle w:val="StyleProp"/>
              <w:spacing w:line="180" w:lineRule="exact"/>
              <w:rPr>
                <w:rFonts w:eastAsia="Calibri"/>
                <w:color w:val="000000" w:themeColor="text1"/>
                <w:szCs w:val="18"/>
              </w:rPr>
            </w:pPr>
            <w:r w:rsidRPr="00286216">
              <w:rPr>
                <w:rFonts w:eastAsia="Calibri"/>
                <w:color w:val="000000" w:themeColor="text1"/>
                <w:szCs w:val="18"/>
              </w:rPr>
              <w:t xml:space="preserve">У ч. 11 ст. 70 слова "Національна комісія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color w:val="000000" w:themeColor="text1"/>
                <w:sz w:val="10"/>
                <w:szCs w:val="10"/>
              </w:rPr>
              <w:t xml:space="preserve"> </w:t>
            </w:r>
            <w:r w:rsidRPr="00286216">
              <w:rPr>
                <w:color w:val="000000" w:themeColor="text1"/>
              </w:rPr>
              <w:t>"регулятор</w:t>
            </w:r>
            <w:r w:rsidRPr="00286216">
              <w:rPr>
                <w:color w:val="000000" w:themeColor="text1"/>
                <w:sz w:val="10"/>
                <w:szCs w:val="10"/>
              </w:rPr>
              <w:t xml:space="preserve"> </w:t>
            </w:r>
            <w:r w:rsidRPr="00286216">
              <w:rPr>
                <w:color w:val="000000" w:themeColor="text1"/>
              </w:rPr>
              <w:t>відповідного ринку".</w:t>
            </w:r>
          </w:p>
        </w:tc>
        <w:tc>
          <w:tcPr>
            <w:tcW w:w="1987" w:type="dxa"/>
          </w:tcPr>
          <w:p w14:paraId="43FC626A"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4586628"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E53EAB8" w14:textId="77777777" w:rsidR="00826C07" w:rsidRPr="00286216" w:rsidRDefault="00826C07" w:rsidP="00826C07">
            <w:pPr>
              <w:pStyle w:val="StyleZakonu"/>
              <w:rPr>
                <w:color w:val="000000" w:themeColor="text1"/>
              </w:rPr>
            </w:pPr>
          </w:p>
        </w:tc>
      </w:tr>
      <w:tr w:rsidR="00826C07" w:rsidRPr="00286216" w14:paraId="71FFA3A3" w14:textId="77777777" w:rsidTr="00091AA5">
        <w:tc>
          <w:tcPr>
            <w:tcW w:w="576" w:type="dxa"/>
          </w:tcPr>
          <w:p w14:paraId="3E9D8E1F" w14:textId="77777777" w:rsidR="00826C07" w:rsidRPr="00286216" w:rsidRDefault="00826C07" w:rsidP="00826C07">
            <w:pPr>
              <w:pStyle w:val="StyleWisnow"/>
              <w:rPr>
                <w:color w:val="000000" w:themeColor="text1"/>
              </w:rPr>
            </w:pPr>
            <w:bookmarkStart w:id="975" w:name="n1245" w:colFirst="0" w:colLast="0"/>
            <w:bookmarkEnd w:id="974"/>
            <w:r w:rsidRPr="00286216">
              <w:rPr>
                <w:color w:val="000000" w:themeColor="text1"/>
              </w:rPr>
              <w:t>1245.</w:t>
            </w:r>
          </w:p>
        </w:tc>
        <w:tc>
          <w:tcPr>
            <w:tcW w:w="4818" w:type="dxa"/>
          </w:tcPr>
          <w:p w14:paraId="3D621F37" w14:textId="77777777" w:rsidR="00826C07" w:rsidRPr="00286216" w:rsidRDefault="00826C07" w:rsidP="00826C07">
            <w:pPr>
              <w:pStyle w:val="StyleZakonu"/>
              <w:rPr>
                <w:color w:val="000000" w:themeColor="text1"/>
              </w:rPr>
            </w:pPr>
            <w:bookmarkStart w:id="976" w:name="_Ref20921382"/>
            <w:r w:rsidRPr="00286216">
              <w:rPr>
                <w:color w:val="000000" w:themeColor="text1"/>
              </w:rPr>
              <w:t>12. Фізична особа, яка має намір набути або збільшити участь у професійному учаснику ринків капіталу та організованих товарних ринків відповідно до частини першої цієї статті, зобов’язана подати Національній комісії з цінних паперів та фондового ринку відповідно до вимог, в порядку та за формою, що встановлені Національною комісією з цінних паперів та фондового ринку, наступні документи та інформацію:</w:t>
            </w:r>
            <w:bookmarkEnd w:id="976"/>
          </w:p>
        </w:tc>
        <w:tc>
          <w:tcPr>
            <w:tcW w:w="3686" w:type="dxa"/>
          </w:tcPr>
          <w:p w14:paraId="785466A8" w14:textId="1F2955E8"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769</w:t>
            </w:r>
            <w:r w:rsidRPr="00286216">
              <w:rPr>
                <w:color w:val="000000" w:themeColor="text1"/>
              </w:rPr>
              <w:fldChar w:fldCharType="end"/>
            </w:r>
            <w:r w:rsidRPr="00286216">
              <w:rPr>
                <w:color w:val="000000" w:themeColor="text1"/>
              </w:rPr>
              <w:t>-Н.д.Шахов С.В. (Реєстр.картка №114)</w:t>
            </w:r>
          </w:p>
          <w:p w14:paraId="58F32787" w14:textId="77777777" w:rsidR="00826C07" w:rsidRPr="00286216" w:rsidRDefault="00826C07" w:rsidP="00826C07">
            <w:pPr>
              <w:pStyle w:val="StyleProp"/>
              <w:spacing w:line="180" w:lineRule="exact"/>
              <w:rPr>
                <w:rFonts w:eastAsia="Calibri"/>
                <w:color w:val="000000" w:themeColor="text1"/>
                <w:spacing w:val="-2"/>
                <w:szCs w:val="18"/>
              </w:rPr>
            </w:pPr>
            <w:r w:rsidRPr="00286216">
              <w:rPr>
                <w:rFonts w:eastAsia="Calibri"/>
                <w:color w:val="000000" w:themeColor="text1"/>
                <w:spacing w:val="-2"/>
                <w:szCs w:val="18"/>
              </w:rPr>
              <w:t xml:space="preserve">В абз. 1 ч. 12 ст. 70 слова "Національній комісії з цінних паперів та фондового ринку" </w:t>
            </w:r>
            <w:r w:rsidRPr="00286216">
              <w:rPr>
                <w:color w:val="000000" w:themeColor="text1"/>
                <w:spacing w:val="-2"/>
              </w:rPr>
              <w:t>замінити</w:t>
            </w:r>
            <w:r w:rsidRPr="00286216">
              <w:rPr>
                <w:color w:val="000000" w:themeColor="text1"/>
                <w:spacing w:val="-2"/>
                <w:sz w:val="16"/>
                <w:szCs w:val="16"/>
              </w:rPr>
              <w:t xml:space="preserve"> </w:t>
            </w:r>
            <w:r w:rsidRPr="00286216">
              <w:rPr>
                <w:color w:val="000000" w:themeColor="text1"/>
                <w:spacing w:val="-2"/>
              </w:rPr>
              <w:t>словами</w:t>
            </w:r>
            <w:r w:rsidRPr="00286216">
              <w:rPr>
                <w:color w:val="000000" w:themeColor="text1"/>
                <w:spacing w:val="-2"/>
                <w:sz w:val="10"/>
                <w:szCs w:val="10"/>
              </w:rPr>
              <w:t xml:space="preserve"> </w:t>
            </w:r>
            <w:r w:rsidRPr="00286216">
              <w:rPr>
                <w:color w:val="000000" w:themeColor="text1"/>
                <w:spacing w:val="-2"/>
              </w:rPr>
              <w:t>"регулятору</w:t>
            </w:r>
            <w:r w:rsidRPr="00286216">
              <w:rPr>
                <w:color w:val="000000" w:themeColor="text1"/>
                <w:spacing w:val="-2"/>
                <w:sz w:val="10"/>
                <w:szCs w:val="10"/>
              </w:rPr>
              <w:t xml:space="preserve"> </w:t>
            </w:r>
            <w:r w:rsidRPr="00286216">
              <w:rPr>
                <w:color w:val="000000" w:themeColor="text1"/>
                <w:spacing w:val="-2"/>
              </w:rPr>
              <w:t>відповідного ринку", а слова "</w:t>
            </w:r>
            <w:r w:rsidRPr="00286216">
              <w:rPr>
                <w:color w:val="000000" w:themeColor="text1"/>
              </w:rPr>
              <w:t>Національною комісією з цінних паперів та фондового ринку" – словами "таким регулятором"</w:t>
            </w:r>
            <w:r w:rsidRPr="00286216">
              <w:rPr>
                <w:color w:val="000000" w:themeColor="text1"/>
                <w:spacing w:val="-2"/>
              </w:rPr>
              <w:t>.</w:t>
            </w:r>
          </w:p>
        </w:tc>
        <w:tc>
          <w:tcPr>
            <w:tcW w:w="1987" w:type="dxa"/>
          </w:tcPr>
          <w:p w14:paraId="0340407C"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52F691BD"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5841DE72" w14:textId="77777777" w:rsidR="00826C07" w:rsidRPr="00286216" w:rsidRDefault="00826C07" w:rsidP="00826C07">
            <w:pPr>
              <w:pStyle w:val="StyleZakonu"/>
              <w:rPr>
                <w:color w:val="000000" w:themeColor="text1"/>
              </w:rPr>
            </w:pPr>
          </w:p>
        </w:tc>
      </w:tr>
      <w:tr w:rsidR="00826C07" w:rsidRPr="00286216" w14:paraId="2DF08831" w14:textId="77777777" w:rsidTr="00091AA5">
        <w:tc>
          <w:tcPr>
            <w:tcW w:w="576" w:type="dxa"/>
          </w:tcPr>
          <w:p w14:paraId="77359774" w14:textId="77777777" w:rsidR="00826C07" w:rsidRPr="00286216" w:rsidRDefault="00826C07" w:rsidP="00826C07">
            <w:pPr>
              <w:pStyle w:val="StyleWisnow"/>
              <w:rPr>
                <w:color w:val="000000" w:themeColor="text1"/>
              </w:rPr>
            </w:pPr>
            <w:bookmarkStart w:id="977" w:name="n1246" w:colFirst="0" w:colLast="0"/>
            <w:bookmarkEnd w:id="975"/>
            <w:r w:rsidRPr="00286216">
              <w:rPr>
                <w:color w:val="000000" w:themeColor="text1"/>
              </w:rPr>
              <w:t>1246.</w:t>
            </w:r>
          </w:p>
        </w:tc>
        <w:tc>
          <w:tcPr>
            <w:tcW w:w="4818" w:type="dxa"/>
          </w:tcPr>
          <w:p w14:paraId="5E002511" w14:textId="77777777" w:rsidR="00826C07" w:rsidRPr="00286216" w:rsidRDefault="00826C07" w:rsidP="00826C07">
            <w:pPr>
              <w:pStyle w:val="StyleZakonu"/>
              <w:rPr>
                <w:color w:val="000000" w:themeColor="text1"/>
              </w:rPr>
            </w:pPr>
            <w:r w:rsidRPr="00286216">
              <w:rPr>
                <w:color w:val="000000" w:themeColor="text1"/>
              </w:rPr>
              <w:t>1) заяву про отримання погодження наміру набуття або збільшення істотної участі у професійному учаснику ринків капіталу та організованих товарних ринків;</w:t>
            </w:r>
          </w:p>
        </w:tc>
        <w:tc>
          <w:tcPr>
            <w:tcW w:w="3686" w:type="dxa"/>
          </w:tcPr>
          <w:p w14:paraId="469AD49E" w14:textId="77777777" w:rsidR="00826C07" w:rsidRPr="00286216" w:rsidRDefault="00826C07" w:rsidP="00826C07">
            <w:pPr>
              <w:pStyle w:val="StyleProp"/>
              <w:rPr>
                <w:color w:val="000000" w:themeColor="text1"/>
                <w:szCs w:val="18"/>
              </w:rPr>
            </w:pPr>
          </w:p>
        </w:tc>
        <w:tc>
          <w:tcPr>
            <w:tcW w:w="1987" w:type="dxa"/>
          </w:tcPr>
          <w:p w14:paraId="3CDB8A44" w14:textId="77777777" w:rsidR="00826C07" w:rsidRPr="00286216" w:rsidRDefault="00826C07" w:rsidP="00826C07">
            <w:pPr>
              <w:pStyle w:val="StyleWisnow"/>
              <w:rPr>
                <w:color w:val="000000" w:themeColor="text1"/>
              </w:rPr>
            </w:pPr>
          </w:p>
        </w:tc>
        <w:tc>
          <w:tcPr>
            <w:tcW w:w="4818" w:type="dxa"/>
          </w:tcPr>
          <w:p w14:paraId="4D541683" w14:textId="77777777" w:rsidR="00826C07" w:rsidRPr="00286216" w:rsidRDefault="00826C07" w:rsidP="00826C07">
            <w:pPr>
              <w:pStyle w:val="StyleZakonu"/>
              <w:rPr>
                <w:color w:val="000000" w:themeColor="text1"/>
              </w:rPr>
            </w:pPr>
          </w:p>
        </w:tc>
      </w:tr>
      <w:tr w:rsidR="00826C07" w:rsidRPr="00286216" w14:paraId="06AEC2D3" w14:textId="77777777" w:rsidTr="00091AA5">
        <w:tc>
          <w:tcPr>
            <w:tcW w:w="576" w:type="dxa"/>
          </w:tcPr>
          <w:p w14:paraId="7FA58927" w14:textId="77777777" w:rsidR="00826C07" w:rsidRPr="00286216" w:rsidRDefault="00826C07" w:rsidP="00826C07">
            <w:pPr>
              <w:pStyle w:val="StyleWisnow"/>
              <w:rPr>
                <w:color w:val="000000" w:themeColor="text1"/>
              </w:rPr>
            </w:pPr>
            <w:bookmarkStart w:id="978" w:name="n1247" w:colFirst="0" w:colLast="0"/>
            <w:bookmarkEnd w:id="977"/>
            <w:r w:rsidRPr="00286216">
              <w:rPr>
                <w:color w:val="000000" w:themeColor="text1"/>
              </w:rPr>
              <w:t>1247.</w:t>
            </w:r>
          </w:p>
        </w:tc>
        <w:tc>
          <w:tcPr>
            <w:tcW w:w="4818" w:type="dxa"/>
          </w:tcPr>
          <w:p w14:paraId="0C8B96B5" w14:textId="77777777" w:rsidR="00826C07" w:rsidRPr="00286216" w:rsidRDefault="00826C07" w:rsidP="00826C07">
            <w:pPr>
              <w:pStyle w:val="StyleZakonu"/>
              <w:rPr>
                <w:color w:val="000000" w:themeColor="text1"/>
              </w:rPr>
            </w:pPr>
            <w:r w:rsidRPr="00286216">
              <w:rPr>
                <w:color w:val="000000" w:themeColor="text1"/>
              </w:rPr>
              <w:t>2) документи, що дають змогу ідентифікувати таку фізичну особу;</w:t>
            </w:r>
          </w:p>
        </w:tc>
        <w:tc>
          <w:tcPr>
            <w:tcW w:w="3686" w:type="dxa"/>
          </w:tcPr>
          <w:p w14:paraId="622142D7" w14:textId="77777777" w:rsidR="00826C07" w:rsidRPr="00286216" w:rsidRDefault="00826C07" w:rsidP="00826C07">
            <w:pPr>
              <w:pStyle w:val="StyleProp"/>
              <w:rPr>
                <w:color w:val="000000" w:themeColor="text1"/>
                <w:szCs w:val="18"/>
              </w:rPr>
            </w:pPr>
          </w:p>
        </w:tc>
        <w:tc>
          <w:tcPr>
            <w:tcW w:w="1987" w:type="dxa"/>
          </w:tcPr>
          <w:p w14:paraId="310E2EF0" w14:textId="77777777" w:rsidR="00826C07" w:rsidRPr="00286216" w:rsidRDefault="00826C07" w:rsidP="00826C07">
            <w:pPr>
              <w:pStyle w:val="StyleWisnow"/>
              <w:rPr>
                <w:color w:val="000000" w:themeColor="text1"/>
              </w:rPr>
            </w:pPr>
          </w:p>
        </w:tc>
        <w:tc>
          <w:tcPr>
            <w:tcW w:w="4818" w:type="dxa"/>
          </w:tcPr>
          <w:p w14:paraId="082B7832" w14:textId="77777777" w:rsidR="00826C07" w:rsidRPr="00286216" w:rsidRDefault="00826C07" w:rsidP="00826C07">
            <w:pPr>
              <w:pStyle w:val="StyleZakonu"/>
              <w:rPr>
                <w:color w:val="000000" w:themeColor="text1"/>
              </w:rPr>
            </w:pPr>
          </w:p>
        </w:tc>
      </w:tr>
      <w:tr w:rsidR="00826C07" w:rsidRPr="00286216" w14:paraId="0F264BB0" w14:textId="77777777" w:rsidTr="00091AA5">
        <w:tc>
          <w:tcPr>
            <w:tcW w:w="576" w:type="dxa"/>
          </w:tcPr>
          <w:p w14:paraId="7974D604" w14:textId="77777777" w:rsidR="00826C07" w:rsidRPr="00286216" w:rsidRDefault="00826C07" w:rsidP="00826C07">
            <w:pPr>
              <w:pStyle w:val="StyleWisnow"/>
              <w:rPr>
                <w:color w:val="000000" w:themeColor="text1"/>
              </w:rPr>
            </w:pPr>
            <w:bookmarkStart w:id="979" w:name="n1248" w:colFirst="0" w:colLast="0"/>
            <w:bookmarkEnd w:id="978"/>
            <w:r w:rsidRPr="00286216">
              <w:rPr>
                <w:color w:val="000000" w:themeColor="text1"/>
              </w:rPr>
              <w:t>1248.</w:t>
            </w:r>
          </w:p>
        </w:tc>
        <w:tc>
          <w:tcPr>
            <w:tcW w:w="4818" w:type="dxa"/>
          </w:tcPr>
          <w:p w14:paraId="12434E98" w14:textId="77777777" w:rsidR="00826C07" w:rsidRPr="00286216" w:rsidRDefault="00826C07" w:rsidP="00826C07">
            <w:pPr>
              <w:pStyle w:val="StyleZakonu"/>
              <w:rPr>
                <w:color w:val="000000" w:themeColor="text1"/>
              </w:rPr>
            </w:pPr>
            <w:r w:rsidRPr="00286216">
              <w:rPr>
                <w:color w:val="000000" w:themeColor="text1"/>
              </w:rPr>
              <w:t>3) документи, що підтверджують намір набуття або збільшення істотної участі у професійному учаснику ринків капіталу та організованих товарних ринків;</w:t>
            </w:r>
          </w:p>
        </w:tc>
        <w:tc>
          <w:tcPr>
            <w:tcW w:w="3686" w:type="dxa"/>
          </w:tcPr>
          <w:p w14:paraId="3B2AC981" w14:textId="77777777" w:rsidR="00826C07" w:rsidRPr="00286216" w:rsidRDefault="00826C07" w:rsidP="00826C07">
            <w:pPr>
              <w:pStyle w:val="StyleProp"/>
              <w:rPr>
                <w:color w:val="000000" w:themeColor="text1"/>
                <w:szCs w:val="18"/>
              </w:rPr>
            </w:pPr>
          </w:p>
        </w:tc>
        <w:tc>
          <w:tcPr>
            <w:tcW w:w="1987" w:type="dxa"/>
          </w:tcPr>
          <w:p w14:paraId="73811AC0" w14:textId="77777777" w:rsidR="00826C07" w:rsidRPr="00286216" w:rsidRDefault="00826C07" w:rsidP="00826C07">
            <w:pPr>
              <w:pStyle w:val="StyleWisnow"/>
              <w:rPr>
                <w:color w:val="000000" w:themeColor="text1"/>
              </w:rPr>
            </w:pPr>
          </w:p>
        </w:tc>
        <w:tc>
          <w:tcPr>
            <w:tcW w:w="4818" w:type="dxa"/>
          </w:tcPr>
          <w:p w14:paraId="3AEC1D21" w14:textId="77777777" w:rsidR="00826C07" w:rsidRPr="00286216" w:rsidRDefault="00826C07" w:rsidP="00826C07">
            <w:pPr>
              <w:pStyle w:val="StyleZakonu"/>
              <w:rPr>
                <w:color w:val="000000" w:themeColor="text1"/>
              </w:rPr>
            </w:pPr>
          </w:p>
        </w:tc>
      </w:tr>
      <w:tr w:rsidR="00826C07" w:rsidRPr="00286216" w14:paraId="25BDFE1B" w14:textId="77777777" w:rsidTr="00091AA5">
        <w:tc>
          <w:tcPr>
            <w:tcW w:w="576" w:type="dxa"/>
          </w:tcPr>
          <w:p w14:paraId="4B326A77" w14:textId="77777777" w:rsidR="00826C07" w:rsidRPr="00286216" w:rsidRDefault="00826C07" w:rsidP="00826C07">
            <w:pPr>
              <w:pStyle w:val="StyleWisnow"/>
              <w:rPr>
                <w:color w:val="000000" w:themeColor="text1"/>
              </w:rPr>
            </w:pPr>
            <w:bookmarkStart w:id="980" w:name="n1249" w:colFirst="0" w:colLast="0"/>
            <w:bookmarkEnd w:id="979"/>
            <w:r w:rsidRPr="00286216">
              <w:rPr>
                <w:color w:val="000000" w:themeColor="text1"/>
              </w:rPr>
              <w:t>1249.</w:t>
            </w:r>
          </w:p>
        </w:tc>
        <w:tc>
          <w:tcPr>
            <w:tcW w:w="4818" w:type="dxa"/>
          </w:tcPr>
          <w:p w14:paraId="682B34AA" w14:textId="77777777" w:rsidR="00826C07" w:rsidRPr="00286216" w:rsidRDefault="00826C07" w:rsidP="00826C07">
            <w:pPr>
              <w:pStyle w:val="StyleZakonu"/>
              <w:rPr>
                <w:color w:val="000000" w:themeColor="text1"/>
              </w:rPr>
            </w:pPr>
            <w:r w:rsidRPr="00286216">
              <w:rPr>
                <w:color w:val="000000" w:themeColor="text1"/>
              </w:rPr>
              <w:t>4) документи, що дають змогу зробити висновок про ділову репутацію особи;</w:t>
            </w:r>
          </w:p>
        </w:tc>
        <w:tc>
          <w:tcPr>
            <w:tcW w:w="3686" w:type="dxa"/>
          </w:tcPr>
          <w:p w14:paraId="5C904B00" w14:textId="77777777" w:rsidR="00826C07" w:rsidRPr="00286216" w:rsidRDefault="00826C07" w:rsidP="00826C07">
            <w:pPr>
              <w:pStyle w:val="StyleProp"/>
              <w:rPr>
                <w:color w:val="000000" w:themeColor="text1"/>
                <w:szCs w:val="18"/>
              </w:rPr>
            </w:pPr>
          </w:p>
        </w:tc>
        <w:tc>
          <w:tcPr>
            <w:tcW w:w="1987" w:type="dxa"/>
          </w:tcPr>
          <w:p w14:paraId="269A38C3" w14:textId="77777777" w:rsidR="00826C07" w:rsidRPr="00286216" w:rsidRDefault="00826C07" w:rsidP="00826C07">
            <w:pPr>
              <w:pStyle w:val="StyleWisnow"/>
              <w:rPr>
                <w:color w:val="000000" w:themeColor="text1"/>
              </w:rPr>
            </w:pPr>
          </w:p>
        </w:tc>
        <w:tc>
          <w:tcPr>
            <w:tcW w:w="4818" w:type="dxa"/>
          </w:tcPr>
          <w:p w14:paraId="05804AB0" w14:textId="77777777" w:rsidR="00826C07" w:rsidRPr="00286216" w:rsidRDefault="00826C07" w:rsidP="00826C07">
            <w:pPr>
              <w:pStyle w:val="StyleZakonu"/>
              <w:rPr>
                <w:color w:val="000000" w:themeColor="text1"/>
              </w:rPr>
            </w:pPr>
          </w:p>
        </w:tc>
      </w:tr>
      <w:tr w:rsidR="00826C07" w:rsidRPr="00286216" w14:paraId="703F3183" w14:textId="77777777" w:rsidTr="00091AA5">
        <w:tc>
          <w:tcPr>
            <w:tcW w:w="576" w:type="dxa"/>
          </w:tcPr>
          <w:p w14:paraId="04CA262F" w14:textId="77777777" w:rsidR="00826C07" w:rsidRPr="00286216" w:rsidRDefault="00826C07" w:rsidP="00826C07">
            <w:pPr>
              <w:pStyle w:val="StyleWisnow"/>
              <w:rPr>
                <w:color w:val="000000" w:themeColor="text1"/>
              </w:rPr>
            </w:pPr>
            <w:bookmarkStart w:id="981" w:name="n1250" w:colFirst="0" w:colLast="0"/>
            <w:bookmarkEnd w:id="980"/>
            <w:r w:rsidRPr="00286216">
              <w:rPr>
                <w:color w:val="000000" w:themeColor="text1"/>
              </w:rPr>
              <w:t>1250.</w:t>
            </w:r>
          </w:p>
        </w:tc>
        <w:tc>
          <w:tcPr>
            <w:tcW w:w="4818" w:type="dxa"/>
          </w:tcPr>
          <w:p w14:paraId="5A277A6B" w14:textId="77777777" w:rsidR="00826C07" w:rsidRPr="00286216" w:rsidRDefault="00826C07" w:rsidP="00826C07">
            <w:pPr>
              <w:pStyle w:val="StyleZakonu"/>
              <w:rPr>
                <w:color w:val="000000" w:themeColor="text1"/>
              </w:rPr>
            </w:pPr>
            <w:r w:rsidRPr="00286216">
              <w:rPr>
                <w:color w:val="000000" w:themeColor="text1"/>
              </w:rPr>
              <w:t>5) документи, що дають змогу зробити висновок про майновий стан особи;</w:t>
            </w:r>
          </w:p>
        </w:tc>
        <w:tc>
          <w:tcPr>
            <w:tcW w:w="3686" w:type="dxa"/>
          </w:tcPr>
          <w:p w14:paraId="37902E31" w14:textId="77777777" w:rsidR="00826C07" w:rsidRPr="00286216" w:rsidRDefault="00826C07" w:rsidP="00826C07">
            <w:pPr>
              <w:pStyle w:val="StyleProp"/>
              <w:rPr>
                <w:color w:val="000000" w:themeColor="text1"/>
                <w:szCs w:val="18"/>
              </w:rPr>
            </w:pPr>
          </w:p>
        </w:tc>
        <w:tc>
          <w:tcPr>
            <w:tcW w:w="1987" w:type="dxa"/>
          </w:tcPr>
          <w:p w14:paraId="3148E70B" w14:textId="77777777" w:rsidR="00826C07" w:rsidRPr="00286216" w:rsidRDefault="00826C07" w:rsidP="00826C07">
            <w:pPr>
              <w:pStyle w:val="StyleWisnow"/>
              <w:rPr>
                <w:color w:val="000000" w:themeColor="text1"/>
              </w:rPr>
            </w:pPr>
          </w:p>
        </w:tc>
        <w:tc>
          <w:tcPr>
            <w:tcW w:w="4818" w:type="dxa"/>
          </w:tcPr>
          <w:p w14:paraId="54D45149" w14:textId="77777777" w:rsidR="00826C07" w:rsidRPr="00286216" w:rsidRDefault="00826C07" w:rsidP="00826C07">
            <w:pPr>
              <w:pStyle w:val="StyleZakonu"/>
              <w:rPr>
                <w:color w:val="000000" w:themeColor="text1"/>
              </w:rPr>
            </w:pPr>
          </w:p>
        </w:tc>
      </w:tr>
      <w:tr w:rsidR="00826C07" w:rsidRPr="00286216" w14:paraId="1173A42F" w14:textId="77777777" w:rsidTr="00091AA5">
        <w:tc>
          <w:tcPr>
            <w:tcW w:w="576" w:type="dxa"/>
          </w:tcPr>
          <w:p w14:paraId="435B602E" w14:textId="77777777" w:rsidR="00826C07" w:rsidRPr="00286216" w:rsidRDefault="00826C07" w:rsidP="00826C07">
            <w:pPr>
              <w:pStyle w:val="StyleWisnow"/>
              <w:rPr>
                <w:color w:val="000000" w:themeColor="text1"/>
              </w:rPr>
            </w:pPr>
            <w:bookmarkStart w:id="982" w:name="n1251" w:colFirst="0" w:colLast="0"/>
            <w:bookmarkEnd w:id="981"/>
            <w:r w:rsidRPr="00286216">
              <w:rPr>
                <w:color w:val="000000" w:themeColor="text1"/>
              </w:rPr>
              <w:t>1251.</w:t>
            </w:r>
          </w:p>
        </w:tc>
        <w:tc>
          <w:tcPr>
            <w:tcW w:w="4818" w:type="dxa"/>
          </w:tcPr>
          <w:p w14:paraId="2385ACA3" w14:textId="77777777" w:rsidR="00826C07" w:rsidRPr="00286216" w:rsidRDefault="00826C07" w:rsidP="00826C07">
            <w:pPr>
              <w:pStyle w:val="StyleZakonu"/>
              <w:rPr>
                <w:color w:val="000000" w:themeColor="text1"/>
              </w:rPr>
            </w:pPr>
            <w:r w:rsidRPr="00286216">
              <w:rPr>
                <w:color w:val="000000" w:themeColor="text1"/>
              </w:rPr>
              <w:t xml:space="preserve">6) документи, що дають змогу зробити висновок про фінансування наміру набуття або збільшення </w:t>
            </w:r>
            <w:r w:rsidRPr="00286216">
              <w:rPr>
                <w:color w:val="000000" w:themeColor="text1"/>
              </w:rPr>
              <w:lastRenderedPageBreak/>
              <w:t>істотної участі (в тому числі про джерела походження коштів, які використовуватимуться фізичною особою для набуття або збільшення участі у професійному учаснику ринків капіталу та організованих товарних ринків);</w:t>
            </w:r>
          </w:p>
        </w:tc>
        <w:tc>
          <w:tcPr>
            <w:tcW w:w="3686" w:type="dxa"/>
          </w:tcPr>
          <w:p w14:paraId="5A3CC094" w14:textId="77777777" w:rsidR="00826C07" w:rsidRPr="00286216" w:rsidRDefault="00826C07" w:rsidP="00826C07">
            <w:pPr>
              <w:pStyle w:val="StyleProp"/>
              <w:rPr>
                <w:color w:val="000000" w:themeColor="text1"/>
                <w:szCs w:val="18"/>
              </w:rPr>
            </w:pPr>
          </w:p>
        </w:tc>
        <w:tc>
          <w:tcPr>
            <w:tcW w:w="1987" w:type="dxa"/>
          </w:tcPr>
          <w:p w14:paraId="67B4E606" w14:textId="77777777" w:rsidR="00826C07" w:rsidRPr="00286216" w:rsidRDefault="00826C07" w:rsidP="00826C07">
            <w:pPr>
              <w:pStyle w:val="StyleWisnow"/>
              <w:rPr>
                <w:color w:val="000000" w:themeColor="text1"/>
              </w:rPr>
            </w:pPr>
          </w:p>
        </w:tc>
        <w:tc>
          <w:tcPr>
            <w:tcW w:w="4818" w:type="dxa"/>
          </w:tcPr>
          <w:p w14:paraId="21E9627A" w14:textId="77777777" w:rsidR="00826C07" w:rsidRPr="00286216" w:rsidRDefault="00826C07" w:rsidP="00826C07">
            <w:pPr>
              <w:pStyle w:val="StyleZakonu"/>
              <w:rPr>
                <w:color w:val="000000" w:themeColor="text1"/>
              </w:rPr>
            </w:pPr>
          </w:p>
        </w:tc>
      </w:tr>
      <w:tr w:rsidR="00826C07" w:rsidRPr="00286216" w14:paraId="7456EB2E" w14:textId="77777777" w:rsidTr="00091AA5">
        <w:tc>
          <w:tcPr>
            <w:tcW w:w="576" w:type="dxa"/>
          </w:tcPr>
          <w:p w14:paraId="1C6E6BF4" w14:textId="77777777" w:rsidR="00826C07" w:rsidRPr="00286216" w:rsidRDefault="00826C07" w:rsidP="00826C07">
            <w:pPr>
              <w:pStyle w:val="StyleWisnow"/>
              <w:rPr>
                <w:color w:val="000000" w:themeColor="text1"/>
              </w:rPr>
            </w:pPr>
            <w:bookmarkStart w:id="983" w:name="n1252" w:colFirst="0" w:colLast="0"/>
            <w:bookmarkEnd w:id="982"/>
            <w:r w:rsidRPr="00286216">
              <w:rPr>
                <w:color w:val="000000" w:themeColor="text1"/>
              </w:rPr>
              <w:t>1252.</w:t>
            </w:r>
          </w:p>
        </w:tc>
        <w:tc>
          <w:tcPr>
            <w:tcW w:w="4818" w:type="dxa"/>
          </w:tcPr>
          <w:p w14:paraId="5330310D" w14:textId="77777777" w:rsidR="00826C07" w:rsidRPr="00286216" w:rsidRDefault="00826C07" w:rsidP="00826C07">
            <w:pPr>
              <w:pStyle w:val="StyleZakonu"/>
              <w:rPr>
                <w:color w:val="000000" w:themeColor="text1"/>
              </w:rPr>
            </w:pPr>
            <w:r w:rsidRPr="00286216">
              <w:rPr>
                <w:color w:val="000000" w:themeColor="text1"/>
              </w:rPr>
              <w:t>7) відомості про юридичних осіб, у яких фізична особа протягом останніх 10 років була та/або є керівником та/або контролером;</w:t>
            </w:r>
          </w:p>
        </w:tc>
        <w:tc>
          <w:tcPr>
            <w:tcW w:w="3686" w:type="dxa"/>
          </w:tcPr>
          <w:p w14:paraId="7AD6AF83" w14:textId="6DE2152A"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770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9183518" w14:textId="77777777" w:rsidR="00826C07" w:rsidRPr="00286216" w:rsidRDefault="00826C07" w:rsidP="00826C07">
            <w:pPr>
              <w:pStyle w:val="StyleProp"/>
              <w:rPr>
                <w:rFonts w:eastAsia="Calibri"/>
                <w:i/>
                <w:color w:val="000000" w:themeColor="text1"/>
                <w:szCs w:val="18"/>
              </w:rPr>
            </w:pPr>
            <w:r w:rsidRPr="00286216">
              <w:rPr>
                <w:rFonts w:eastAsia="Calibri"/>
                <w:color w:val="000000" w:themeColor="text1"/>
                <w:szCs w:val="18"/>
              </w:rPr>
              <w:t>У пункті 7 частини дванадцятої статті 70 слова "</w:t>
            </w:r>
            <w:r w:rsidRPr="00286216">
              <w:rPr>
                <w:color w:val="000000" w:themeColor="text1"/>
                <w:szCs w:val="18"/>
              </w:rPr>
              <w:t xml:space="preserve"> була та/або є" замінити словом "є".</w:t>
            </w:r>
          </w:p>
        </w:tc>
        <w:tc>
          <w:tcPr>
            <w:tcW w:w="1987" w:type="dxa"/>
          </w:tcPr>
          <w:p w14:paraId="74C0ABCD" w14:textId="1ADD4950" w:rsidR="00826C07" w:rsidRPr="00286216" w:rsidRDefault="00826C07" w:rsidP="00826C07">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1E8BCD7D" w14:textId="77777777" w:rsidR="00826C07" w:rsidRPr="00286216" w:rsidRDefault="00826C07" w:rsidP="00826C07">
            <w:pPr>
              <w:pStyle w:val="StyleZakonu"/>
              <w:rPr>
                <w:color w:val="000000" w:themeColor="text1"/>
              </w:rPr>
            </w:pPr>
          </w:p>
        </w:tc>
      </w:tr>
      <w:tr w:rsidR="00826C07" w:rsidRPr="00286216" w14:paraId="73BCD7AD" w14:textId="77777777" w:rsidTr="00091AA5">
        <w:tc>
          <w:tcPr>
            <w:tcW w:w="576" w:type="dxa"/>
          </w:tcPr>
          <w:p w14:paraId="45893B72" w14:textId="77777777" w:rsidR="00826C07" w:rsidRPr="00286216" w:rsidRDefault="00826C07" w:rsidP="00826C07">
            <w:pPr>
              <w:pStyle w:val="StyleWisnow"/>
              <w:rPr>
                <w:color w:val="000000" w:themeColor="text1"/>
              </w:rPr>
            </w:pPr>
            <w:bookmarkStart w:id="984" w:name="n1253" w:colFirst="0" w:colLast="0"/>
            <w:bookmarkEnd w:id="983"/>
            <w:r w:rsidRPr="00286216">
              <w:rPr>
                <w:color w:val="000000" w:themeColor="text1"/>
              </w:rPr>
              <w:t>1253.</w:t>
            </w:r>
          </w:p>
        </w:tc>
        <w:tc>
          <w:tcPr>
            <w:tcW w:w="4818" w:type="dxa"/>
          </w:tcPr>
          <w:p w14:paraId="3CBA6872" w14:textId="77777777" w:rsidR="00826C07" w:rsidRPr="00286216" w:rsidRDefault="00826C07" w:rsidP="00826C07">
            <w:pPr>
              <w:pStyle w:val="StyleZakonu"/>
              <w:rPr>
                <w:color w:val="000000" w:themeColor="text1"/>
              </w:rPr>
            </w:pPr>
            <w:r w:rsidRPr="00286216">
              <w:rPr>
                <w:color w:val="000000" w:themeColor="text1"/>
              </w:rPr>
              <w:t>8) інші документи, встановлені Національною комісією з цінних паперів та фондового ринку.</w:t>
            </w:r>
          </w:p>
        </w:tc>
        <w:tc>
          <w:tcPr>
            <w:tcW w:w="3686" w:type="dxa"/>
          </w:tcPr>
          <w:p w14:paraId="5645A3B2" w14:textId="249A726A"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771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8A5CC0A"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8 частини дванадцятої статті 70 виключити.</w:t>
            </w:r>
          </w:p>
          <w:p w14:paraId="1B917673" w14:textId="77777777" w:rsidR="00826C07" w:rsidRPr="00286216" w:rsidRDefault="00826C07" w:rsidP="00826C07">
            <w:pPr>
              <w:pStyle w:val="StyleProp"/>
              <w:ind w:firstLine="0"/>
              <w:rPr>
                <w:rFonts w:eastAsia="Calibri"/>
                <w:i/>
                <w:color w:val="000000" w:themeColor="text1"/>
                <w:szCs w:val="18"/>
              </w:rPr>
            </w:pPr>
          </w:p>
        </w:tc>
        <w:tc>
          <w:tcPr>
            <w:tcW w:w="1987" w:type="dxa"/>
          </w:tcPr>
          <w:p w14:paraId="2D66219A" w14:textId="6244D88C" w:rsidR="00826C07" w:rsidRPr="00286216" w:rsidRDefault="00826C07" w:rsidP="00826C07">
            <w:pPr>
              <w:pStyle w:val="StyleWisnow"/>
              <w:spacing w:line="180" w:lineRule="exact"/>
              <w:rPr>
                <w:color w:val="000000" w:themeColor="text1"/>
              </w:rPr>
            </w:pPr>
            <w:r w:rsidRPr="00286216">
              <w:rPr>
                <w:color w:val="000000" w:themeColor="text1"/>
              </w:rPr>
              <w:t>Враховано</w:t>
            </w:r>
          </w:p>
        </w:tc>
        <w:tc>
          <w:tcPr>
            <w:tcW w:w="4818" w:type="dxa"/>
          </w:tcPr>
          <w:p w14:paraId="4223D55B" w14:textId="77777777" w:rsidR="00826C07" w:rsidRPr="00286216" w:rsidRDefault="00826C07" w:rsidP="00826C07">
            <w:pPr>
              <w:pStyle w:val="StyleZakonu"/>
              <w:rPr>
                <w:color w:val="000000" w:themeColor="text1"/>
              </w:rPr>
            </w:pPr>
          </w:p>
        </w:tc>
      </w:tr>
      <w:bookmarkEnd w:id="984"/>
      <w:tr w:rsidR="00826C07" w:rsidRPr="00286216" w14:paraId="2A5B6F05" w14:textId="77777777" w:rsidTr="00091AA5">
        <w:tc>
          <w:tcPr>
            <w:tcW w:w="576" w:type="dxa"/>
          </w:tcPr>
          <w:p w14:paraId="2EAAFCF6" w14:textId="77777777" w:rsidR="00826C07" w:rsidRPr="00286216" w:rsidRDefault="00826C07" w:rsidP="00826C07">
            <w:pPr>
              <w:pStyle w:val="StyleWisnow"/>
              <w:rPr>
                <w:color w:val="000000" w:themeColor="text1"/>
              </w:rPr>
            </w:pPr>
          </w:p>
        </w:tc>
        <w:tc>
          <w:tcPr>
            <w:tcW w:w="4818" w:type="dxa"/>
          </w:tcPr>
          <w:p w14:paraId="70B73F9B" w14:textId="77777777" w:rsidR="00826C07" w:rsidRPr="00286216" w:rsidRDefault="00826C07" w:rsidP="00826C07">
            <w:pPr>
              <w:pStyle w:val="StyleZakonu"/>
              <w:rPr>
                <w:color w:val="000000" w:themeColor="text1"/>
              </w:rPr>
            </w:pPr>
          </w:p>
        </w:tc>
        <w:tc>
          <w:tcPr>
            <w:tcW w:w="3686" w:type="dxa"/>
          </w:tcPr>
          <w:p w14:paraId="41102022" w14:textId="4908027F"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772</w:t>
            </w:r>
            <w:r w:rsidRPr="00286216">
              <w:rPr>
                <w:color w:val="000000" w:themeColor="text1"/>
                <w:spacing w:val="-10"/>
              </w:rPr>
              <w:fldChar w:fldCharType="end"/>
            </w:r>
            <w:r w:rsidRPr="00286216">
              <w:rPr>
                <w:color w:val="000000" w:themeColor="text1"/>
                <w:spacing w:val="-10"/>
              </w:rPr>
              <w:t>-Н.д.Гетманцев Д.О.(Реєстр.картка №245)</w:t>
            </w:r>
          </w:p>
          <w:p w14:paraId="22AD97E3" w14:textId="77777777" w:rsidR="00826C07" w:rsidRPr="00286216" w:rsidRDefault="00826C07" w:rsidP="00826C07">
            <w:pPr>
              <w:pStyle w:val="StyleProp"/>
              <w:rPr>
                <w:color w:val="000000" w:themeColor="text1"/>
                <w:sz w:val="20"/>
              </w:rPr>
            </w:pPr>
            <w:r w:rsidRPr="00286216">
              <w:rPr>
                <w:color w:val="000000" w:themeColor="text1"/>
              </w:rPr>
              <w:t>У статті 70 пункт восьмий частини дванадцятої виключити.</w:t>
            </w:r>
          </w:p>
        </w:tc>
        <w:tc>
          <w:tcPr>
            <w:tcW w:w="1987" w:type="dxa"/>
          </w:tcPr>
          <w:p w14:paraId="62D22E0A" w14:textId="361A7E0E"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343D2FB1" w14:textId="77777777" w:rsidR="00826C07" w:rsidRPr="00286216" w:rsidRDefault="00826C07" w:rsidP="00826C07">
            <w:pPr>
              <w:pStyle w:val="StyleZakonu"/>
              <w:rPr>
                <w:color w:val="000000" w:themeColor="text1"/>
              </w:rPr>
            </w:pPr>
          </w:p>
        </w:tc>
      </w:tr>
      <w:tr w:rsidR="00826C07" w:rsidRPr="00286216" w14:paraId="62432F2F" w14:textId="77777777" w:rsidTr="00091AA5">
        <w:tc>
          <w:tcPr>
            <w:tcW w:w="576" w:type="dxa"/>
          </w:tcPr>
          <w:p w14:paraId="10BEE4DE" w14:textId="77777777" w:rsidR="00826C07" w:rsidRPr="00286216" w:rsidRDefault="00826C07" w:rsidP="00826C07">
            <w:pPr>
              <w:pStyle w:val="StyleWisnow"/>
              <w:rPr>
                <w:color w:val="000000" w:themeColor="text1"/>
              </w:rPr>
            </w:pPr>
          </w:p>
        </w:tc>
        <w:tc>
          <w:tcPr>
            <w:tcW w:w="4818" w:type="dxa"/>
          </w:tcPr>
          <w:p w14:paraId="065EC828" w14:textId="77777777" w:rsidR="00826C07" w:rsidRPr="00286216" w:rsidRDefault="00826C07" w:rsidP="00826C07">
            <w:pPr>
              <w:pStyle w:val="StyleZakonu"/>
              <w:rPr>
                <w:color w:val="000000" w:themeColor="text1"/>
              </w:rPr>
            </w:pPr>
          </w:p>
        </w:tc>
        <w:tc>
          <w:tcPr>
            <w:tcW w:w="3686" w:type="dxa"/>
          </w:tcPr>
          <w:p w14:paraId="7D316026" w14:textId="701BB58D"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773</w:t>
            </w:r>
            <w:r w:rsidRPr="00286216">
              <w:rPr>
                <w:color w:val="000000" w:themeColor="text1"/>
              </w:rPr>
              <w:fldChar w:fldCharType="end"/>
            </w:r>
            <w:r w:rsidRPr="00286216">
              <w:rPr>
                <w:color w:val="000000" w:themeColor="text1"/>
              </w:rPr>
              <w:t>-Н.д.Шахов С.В. (Реєстр.картка №114)</w:t>
            </w:r>
          </w:p>
          <w:p w14:paraId="6A4285CB"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п.8 ч. 12 ст. 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15139D7B"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C8D3E44" w14:textId="1797CB3F"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419A9497" w14:textId="77777777" w:rsidR="00826C07" w:rsidRPr="00286216" w:rsidRDefault="00826C07" w:rsidP="00826C07">
            <w:pPr>
              <w:pStyle w:val="StyleZakonu"/>
              <w:rPr>
                <w:color w:val="000000" w:themeColor="text1"/>
              </w:rPr>
            </w:pPr>
          </w:p>
        </w:tc>
      </w:tr>
      <w:tr w:rsidR="00826C07" w:rsidRPr="00286216" w14:paraId="4C0767A8" w14:textId="77777777" w:rsidTr="00091AA5">
        <w:tc>
          <w:tcPr>
            <w:tcW w:w="576" w:type="dxa"/>
          </w:tcPr>
          <w:p w14:paraId="4675FF1B" w14:textId="77777777" w:rsidR="00826C07" w:rsidRPr="00286216" w:rsidRDefault="00826C07" w:rsidP="00826C07">
            <w:pPr>
              <w:pStyle w:val="StyleWisnow"/>
              <w:rPr>
                <w:color w:val="000000" w:themeColor="text1"/>
              </w:rPr>
            </w:pPr>
            <w:bookmarkStart w:id="985" w:name="n1254" w:colFirst="0" w:colLast="0"/>
            <w:r w:rsidRPr="00286216">
              <w:rPr>
                <w:color w:val="000000" w:themeColor="text1"/>
              </w:rPr>
              <w:t>1254.</w:t>
            </w:r>
          </w:p>
        </w:tc>
        <w:tc>
          <w:tcPr>
            <w:tcW w:w="4818" w:type="dxa"/>
          </w:tcPr>
          <w:p w14:paraId="37C89144" w14:textId="77777777" w:rsidR="00826C07" w:rsidRPr="00286216" w:rsidRDefault="00826C07" w:rsidP="00826C07">
            <w:pPr>
              <w:pStyle w:val="StyleZakonu"/>
              <w:rPr>
                <w:color w:val="000000" w:themeColor="text1"/>
              </w:rPr>
            </w:pPr>
            <w:r w:rsidRPr="00286216">
              <w:rPr>
                <w:color w:val="000000" w:themeColor="text1"/>
              </w:rPr>
              <w:t>13. Документи, зазначені в цій статті, що подаються іноземною юридичною особою та фізичною особою - іноземцем, повинні відповідати вимогам до мови документу, передбаченим статтею 136 цього Закону.</w:t>
            </w:r>
          </w:p>
        </w:tc>
        <w:tc>
          <w:tcPr>
            <w:tcW w:w="3686" w:type="dxa"/>
          </w:tcPr>
          <w:p w14:paraId="2479AB1B" w14:textId="77777777" w:rsidR="00826C07" w:rsidRPr="00286216" w:rsidRDefault="00826C07" w:rsidP="00826C07">
            <w:pPr>
              <w:pStyle w:val="StyleProp"/>
              <w:spacing w:line="190" w:lineRule="exact"/>
              <w:rPr>
                <w:rFonts w:eastAsia="Calibri"/>
                <w:color w:val="000000" w:themeColor="text1"/>
                <w:szCs w:val="18"/>
              </w:rPr>
            </w:pPr>
          </w:p>
        </w:tc>
        <w:tc>
          <w:tcPr>
            <w:tcW w:w="1987" w:type="dxa"/>
          </w:tcPr>
          <w:p w14:paraId="6AA5F6A2" w14:textId="77777777" w:rsidR="00826C07" w:rsidRPr="00286216" w:rsidRDefault="00826C07" w:rsidP="00826C07">
            <w:pPr>
              <w:pStyle w:val="StyleWisnow"/>
              <w:spacing w:line="180" w:lineRule="exact"/>
              <w:rPr>
                <w:color w:val="000000" w:themeColor="text1"/>
              </w:rPr>
            </w:pPr>
          </w:p>
        </w:tc>
        <w:tc>
          <w:tcPr>
            <w:tcW w:w="4818" w:type="dxa"/>
          </w:tcPr>
          <w:p w14:paraId="7BF39E28" w14:textId="77777777" w:rsidR="00826C07" w:rsidRPr="00286216" w:rsidRDefault="00826C07" w:rsidP="00826C07">
            <w:pPr>
              <w:pStyle w:val="StyleZakonu"/>
              <w:rPr>
                <w:color w:val="000000" w:themeColor="text1"/>
              </w:rPr>
            </w:pPr>
          </w:p>
        </w:tc>
      </w:tr>
      <w:tr w:rsidR="00826C07" w:rsidRPr="00286216" w14:paraId="44F71717" w14:textId="77777777" w:rsidTr="00091AA5">
        <w:tc>
          <w:tcPr>
            <w:tcW w:w="576" w:type="dxa"/>
          </w:tcPr>
          <w:p w14:paraId="53206D13" w14:textId="77777777" w:rsidR="00826C07" w:rsidRPr="00286216" w:rsidRDefault="00826C07" w:rsidP="00826C07">
            <w:pPr>
              <w:pStyle w:val="StyleWisnow"/>
              <w:rPr>
                <w:color w:val="000000" w:themeColor="text1"/>
              </w:rPr>
            </w:pPr>
            <w:bookmarkStart w:id="986" w:name="n1255" w:colFirst="0" w:colLast="0"/>
            <w:bookmarkEnd w:id="985"/>
            <w:r w:rsidRPr="00286216">
              <w:rPr>
                <w:color w:val="000000" w:themeColor="text1"/>
              </w:rPr>
              <w:t>1255.</w:t>
            </w:r>
          </w:p>
        </w:tc>
        <w:tc>
          <w:tcPr>
            <w:tcW w:w="4818" w:type="dxa"/>
          </w:tcPr>
          <w:p w14:paraId="1E0551F6" w14:textId="77777777" w:rsidR="00826C07" w:rsidRPr="00286216" w:rsidRDefault="00826C07" w:rsidP="00826C07">
            <w:pPr>
              <w:pStyle w:val="StyleZakonu"/>
              <w:rPr>
                <w:color w:val="000000" w:themeColor="text1"/>
              </w:rPr>
            </w:pPr>
            <w:r w:rsidRPr="00286216">
              <w:rPr>
                <w:color w:val="000000" w:themeColor="text1"/>
              </w:rPr>
              <w:t>14. У разі надходження кількох заяв щодо погодження наміру набуття або збільшення істотної участі в одному й тому професійному учаснику ринків капіталу та організованих товарних ринків Національна комісія з цінних паперів та фондового ринку має здійснювати розгляд таких заяв на недискримінаційній основі.</w:t>
            </w:r>
          </w:p>
        </w:tc>
        <w:tc>
          <w:tcPr>
            <w:tcW w:w="3686" w:type="dxa"/>
          </w:tcPr>
          <w:p w14:paraId="4D261EF6" w14:textId="09364A87"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774</w:t>
            </w:r>
            <w:r w:rsidRPr="00286216">
              <w:rPr>
                <w:color w:val="000000" w:themeColor="text1"/>
                <w:spacing w:val="-10"/>
              </w:rPr>
              <w:fldChar w:fldCharType="end"/>
            </w:r>
            <w:r w:rsidRPr="00286216">
              <w:rPr>
                <w:color w:val="000000" w:themeColor="text1"/>
                <w:spacing w:val="-10"/>
              </w:rPr>
              <w:t>-Н.д.Гетманцев Д.О.(Реєстр.картка №245)</w:t>
            </w:r>
          </w:p>
          <w:p w14:paraId="4A7E9FFA" w14:textId="77777777" w:rsidR="00826C07" w:rsidRPr="00286216" w:rsidRDefault="00826C07" w:rsidP="00826C07">
            <w:pPr>
              <w:pStyle w:val="StyleProp"/>
              <w:rPr>
                <w:color w:val="000000" w:themeColor="text1"/>
              </w:rPr>
            </w:pPr>
            <w:r w:rsidRPr="00286216">
              <w:rPr>
                <w:color w:val="000000" w:themeColor="text1"/>
              </w:rPr>
              <w:t>У статті 70 частину чотирнадцяту виключити.</w:t>
            </w:r>
          </w:p>
          <w:p w14:paraId="76CC2723" w14:textId="6128BEEA"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775</w:t>
            </w:r>
            <w:r w:rsidRPr="00286216">
              <w:rPr>
                <w:color w:val="000000" w:themeColor="text1"/>
              </w:rPr>
              <w:fldChar w:fldCharType="end"/>
            </w:r>
            <w:r w:rsidRPr="00286216">
              <w:rPr>
                <w:color w:val="000000" w:themeColor="text1"/>
              </w:rPr>
              <w:t>-Н.д.Шахов С.В. (Реєстр.картка №114)</w:t>
            </w:r>
          </w:p>
          <w:p w14:paraId="11066A72" w14:textId="77777777" w:rsidR="00826C07" w:rsidRPr="00286216" w:rsidRDefault="00826C07" w:rsidP="00826C07">
            <w:pPr>
              <w:pStyle w:val="StyleProp"/>
              <w:rPr>
                <w:color w:val="000000" w:themeColor="text1"/>
                <w:sz w:val="20"/>
              </w:rPr>
            </w:pPr>
            <w:r w:rsidRPr="00286216">
              <w:rPr>
                <w:rFonts w:eastAsia="Calibri"/>
                <w:color w:val="000000" w:themeColor="text1"/>
                <w:szCs w:val="18"/>
              </w:rPr>
              <w:t>У ч. 14 ст. 70 слова "</w:t>
            </w:r>
            <w:r w:rsidRPr="00286216">
              <w:rPr>
                <w:color w:val="000000" w:themeColor="text1"/>
              </w:rPr>
              <w:t>Національна комісія з цінних паперів та фондового ринку має</w:t>
            </w:r>
            <w:r w:rsidRPr="00286216">
              <w:rPr>
                <w:rFonts w:eastAsia="Calibri"/>
                <w:color w:val="000000" w:themeColor="text1"/>
                <w:szCs w:val="18"/>
              </w:rPr>
              <w:t xml:space="preserve">"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 відповідного ринку зобов’язаний".</w:t>
            </w:r>
          </w:p>
        </w:tc>
        <w:tc>
          <w:tcPr>
            <w:tcW w:w="1987" w:type="dxa"/>
          </w:tcPr>
          <w:p w14:paraId="3E2E4D4A"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7260EA63" w14:textId="679B3540" w:rsidR="00826C07" w:rsidRPr="00286216" w:rsidRDefault="00826C07" w:rsidP="00826C07">
            <w:pPr>
              <w:pStyle w:val="StyleWisnow"/>
              <w:rPr>
                <w:color w:val="000000" w:themeColor="text1"/>
              </w:rPr>
            </w:pPr>
          </w:p>
          <w:p w14:paraId="4856BFA7" w14:textId="77777777" w:rsidR="00826C07" w:rsidRPr="00286216" w:rsidRDefault="00826C07" w:rsidP="00826C07">
            <w:pPr>
              <w:pStyle w:val="StyleWisnow"/>
              <w:rPr>
                <w:color w:val="000000" w:themeColor="text1"/>
              </w:rPr>
            </w:pPr>
          </w:p>
          <w:p w14:paraId="03C41E0A" w14:textId="77777777" w:rsidR="00826C07" w:rsidRPr="00286216" w:rsidRDefault="00826C07" w:rsidP="00826C07">
            <w:pPr>
              <w:pStyle w:val="StyleWisnow"/>
              <w:rPr>
                <w:color w:val="000000" w:themeColor="text1"/>
              </w:rPr>
            </w:pPr>
            <w:r w:rsidRPr="00286216">
              <w:rPr>
                <w:color w:val="000000" w:themeColor="text1"/>
              </w:rPr>
              <w:t>Відхилено</w:t>
            </w:r>
          </w:p>
          <w:p w14:paraId="0B0CD88C" w14:textId="4D1744DA"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6DC1AA6" w14:textId="77777777" w:rsidR="00826C07" w:rsidRPr="00286216" w:rsidRDefault="00826C07" w:rsidP="00826C07">
            <w:pPr>
              <w:pStyle w:val="StyleZakonu"/>
              <w:rPr>
                <w:color w:val="000000" w:themeColor="text1"/>
              </w:rPr>
            </w:pPr>
          </w:p>
        </w:tc>
      </w:tr>
      <w:tr w:rsidR="00826C07" w:rsidRPr="00286216" w14:paraId="5D41017D" w14:textId="77777777" w:rsidTr="00091AA5">
        <w:tc>
          <w:tcPr>
            <w:tcW w:w="576" w:type="dxa"/>
          </w:tcPr>
          <w:p w14:paraId="563D9D74" w14:textId="77777777" w:rsidR="00826C07" w:rsidRPr="00286216" w:rsidRDefault="00826C07" w:rsidP="00826C07">
            <w:pPr>
              <w:pStyle w:val="StyleWisnow"/>
              <w:rPr>
                <w:color w:val="000000" w:themeColor="text1"/>
              </w:rPr>
            </w:pPr>
            <w:bookmarkStart w:id="987" w:name="n1256" w:colFirst="0" w:colLast="0"/>
            <w:bookmarkEnd w:id="986"/>
            <w:r w:rsidRPr="00286216">
              <w:rPr>
                <w:color w:val="000000" w:themeColor="text1"/>
              </w:rPr>
              <w:t>1256.</w:t>
            </w:r>
          </w:p>
        </w:tc>
        <w:tc>
          <w:tcPr>
            <w:tcW w:w="4818" w:type="dxa"/>
          </w:tcPr>
          <w:p w14:paraId="14CE4BA7" w14:textId="77777777" w:rsidR="00826C07" w:rsidRPr="00286216" w:rsidRDefault="00826C07" w:rsidP="00826C07">
            <w:pPr>
              <w:pStyle w:val="StyleZakonu"/>
              <w:rPr>
                <w:color w:val="000000" w:themeColor="text1"/>
              </w:rPr>
            </w:pPr>
            <w:r w:rsidRPr="00286216">
              <w:rPr>
                <w:color w:val="000000" w:themeColor="text1"/>
              </w:rPr>
              <w:t>15. Національна комісія з цінних паперів та фондового ринку має право заборонити юридичній або фізичній особі набувати або збільшувати участь у професійному учаснику ринків капіталу та організованих товарних ринків, у разі якщо:</w:t>
            </w:r>
          </w:p>
        </w:tc>
        <w:tc>
          <w:tcPr>
            <w:tcW w:w="3686" w:type="dxa"/>
          </w:tcPr>
          <w:p w14:paraId="4938F758" w14:textId="3C3AA7F7"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776</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975D538"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Частину п'ятнадцяту статті 70 викласти у такій редакції:</w:t>
            </w:r>
          </w:p>
          <w:p w14:paraId="28818E8D"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"15. Національна комісія з цінних паперів та фондового ринку  відмовляє у видачі письмового погодження набуття або збільшення істотної участі у  професійному учаснику ринків капіталу та організованих товарних ринків, у разі наявності підстав, визначених  частиною шостою статті 9 Закону України "Про фінансові послуги та державне регулювання ринків фінансових послуг".</w:t>
            </w:r>
          </w:p>
        </w:tc>
        <w:tc>
          <w:tcPr>
            <w:tcW w:w="1987" w:type="dxa"/>
          </w:tcPr>
          <w:p w14:paraId="0D467C76"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6421680C"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70</w:t>
            </w:r>
          </w:p>
          <w:p w14:paraId="7F186926" w14:textId="76F212C6" w:rsidR="00826C07" w:rsidRPr="00286216" w:rsidRDefault="00826C07" w:rsidP="00826C07">
            <w:pPr>
              <w:pStyle w:val="StyleWisnow"/>
              <w:rPr>
                <w:color w:val="000000" w:themeColor="text1"/>
              </w:rPr>
            </w:pPr>
          </w:p>
        </w:tc>
        <w:tc>
          <w:tcPr>
            <w:tcW w:w="4818" w:type="dxa"/>
          </w:tcPr>
          <w:p w14:paraId="6686D25C" w14:textId="77777777" w:rsidR="00826C07" w:rsidRPr="00286216" w:rsidRDefault="00826C07" w:rsidP="00826C07">
            <w:pPr>
              <w:pStyle w:val="StyleZakonu"/>
              <w:rPr>
                <w:color w:val="000000" w:themeColor="text1"/>
              </w:rPr>
            </w:pPr>
          </w:p>
        </w:tc>
      </w:tr>
      <w:bookmarkEnd w:id="987"/>
      <w:tr w:rsidR="00826C07" w:rsidRPr="00286216" w14:paraId="07227A4E" w14:textId="77777777" w:rsidTr="00091AA5">
        <w:tc>
          <w:tcPr>
            <w:tcW w:w="576" w:type="dxa"/>
          </w:tcPr>
          <w:p w14:paraId="21E31219" w14:textId="77777777" w:rsidR="00826C07" w:rsidRPr="00286216" w:rsidRDefault="00826C07" w:rsidP="00826C07">
            <w:pPr>
              <w:pStyle w:val="StyleWisnow"/>
              <w:rPr>
                <w:color w:val="000000" w:themeColor="text1"/>
              </w:rPr>
            </w:pPr>
          </w:p>
        </w:tc>
        <w:tc>
          <w:tcPr>
            <w:tcW w:w="4818" w:type="dxa"/>
          </w:tcPr>
          <w:p w14:paraId="1F39FBF6" w14:textId="77777777" w:rsidR="00826C07" w:rsidRPr="00286216" w:rsidRDefault="00826C07" w:rsidP="00826C07">
            <w:pPr>
              <w:pStyle w:val="StyleZakonu"/>
              <w:rPr>
                <w:color w:val="000000" w:themeColor="text1"/>
              </w:rPr>
            </w:pPr>
          </w:p>
        </w:tc>
        <w:tc>
          <w:tcPr>
            <w:tcW w:w="3686" w:type="dxa"/>
          </w:tcPr>
          <w:p w14:paraId="0E83CCA9" w14:textId="20D9B108"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777</w:t>
            </w:r>
            <w:r w:rsidRPr="00286216">
              <w:rPr>
                <w:color w:val="000000" w:themeColor="text1"/>
                <w:spacing w:val="-10"/>
              </w:rPr>
              <w:fldChar w:fldCharType="end"/>
            </w:r>
            <w:r w:rsidRPr="00286216">
              <w:rPr>
                <w:color w:val="000000" w:themeColor="text1"/>
                <w:spacing w:val="-10"/>
              </w:rPr>
              <w:t>-Н.д.Гетманцев Д.О.(Реєстр.картка №245)</w:t>
            </w:r>
          </w:p>
          <w:p w14:paraId="714F1D06" w14:textId="77777777" w:rsidR="00826C07" w:rsidRPr="00286216" w:rsidRDefault="00826C07" w:rsidP="00826C07">
            <w:pPr>
              <w:pStyle w:val="StyleProp"/>
              <w:rPr>
                <w:color w:val="000000" w:themeColor="text1"/>
                <w:sz w:val="20"/>
              </w:rPr>
            </w:pPr>
            <w:r w:rsidRPr="00286216">
              <w:rPr>
                <w:color w:val="000000" w:themeColor="text1"/>
              </w:rPr>
              <w:lastRenderedPageBreak/>
              <w:t>У статті 70 у частині п’ятнадцятій слово «заборонити» замінити словом «відмовити», а слова «набувати або збільшуваит участь» замінити словами «у видачі письмового погодження набуття або збільшення участі».</w:t>
            </w:r>
          </w:p>
        </w:tc>
        <w:tc>
          <w:tcPr>
            <w:tcW w:w="1987" w:type="dxa"/>
          </w:tcPr>
          <w:p w14:paraId="031960C6" w14:textId="77777777"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p w14:paraId="7FA24D7D" w14:textId="77777777" w:rsidR="00826C07" w:rsidRPr="00286216" w:rsidRDefault="00826C07" w:rsidP="00826C07">
            <w:pPr>
              <w:pStyle w:val="StyleWisnow"/>
              <w:rPr>
                <w:color w:val="000000" w:themeColor="text1"/>
              </w:rPr>
            </w:pPr>
            <w:r w:rsidRPr="00286216">
              <w:rPr>
                <w:color w:val="000000" w:themeColor="text1"/>
              </w:rPr>
              <w:lastRenderedPageBreak/>
              <w:t>у запропонованій  редакції статті 70 (ч. 7)</w:t>
            </w:r>
          </w:p>
          <w:p w14:paraId="2755F80E" w14:textId="18711173" w:rsidR="00826C07" w:rsidRPr="00286216" w:rsidRDefault="00826C07" w:rsidP="00826C07">
            <w:pPr>
              <w:pStyle w:val="StyleWisnow"/>
              <w:rPr>
                <w:color w:val="000000" w:themeColor="text1"/>
              </w:rPr>
            </w:pPr>
          </w:p>
        </w:tc>
        <w:tc>
          <w:tcPr>
            <w:tcW w:w="4818" w:type="dxa"/>
          </w:tcPr>
          <w:p w14:paraId="2819F6EC" w14:textId="77777777" w:rsidR="00826C07" w:rsidRPr="00286216" w:rsidRDefault="00826C07" w:rsidP="00826C07">
            <w:pPr>
              <w:pStyle w:val="StyleZakonu"/>
              <w:rPr>
                <w:color w:val="000000" w:themeColor="text1"/>
              </w:rPr>
            </w:pPr>
          </w:p>
        </w:tc>
      </w:tr>
      <w:tr w:rsidR="00826C07" w:rsidRPr="00286216" w14:paraId="454F6FAB" w14:textId="77777777" w:rsidTr="00091AA5">
        <w:tc>
          <w:tcPr>
            <w:tcW w:w="576" w:type="dxa"/>
          </w:tcPr>
          <w:p w14:paraId="50BAA926" w14:textId="77777777" w:rsidR="00826C07" w:rsidRPr="00286216" w:rsidRDefault="00826C07" w:rsidP="00826C07">
            <w:pPr>
              <w:pStyle w:val="StyleWisnow"/>
              <w:rPr>
                <w:color w:val="000000" w:themeColor="text1"/>
              </w:rPr>
            </w:pPr>
          </w:p>
        </w:tc>
        <w:tc>
          <w:tcPr>
            <w:tcW w:w="4818" w:type="dxa"/>
          </w:tcPr>
          <w:p w14:paraId="23F7F418" w14:textId="77777777" w:rsidR="00826C07" w:rsidRPr="00286216" w:rsidRDefault="00826C07" w:rsidP="00826C07">
            <w:pPr>
              <w:pStyle w:val="StyleZakonu"/>
              <w:rPr>
                <w:color w:val="000000" w:themeColor="text1"/>
              </w:rPr>
            </w:pPr>
          </w:p>
        </w:tc>
        <w:tc>
          <w:tcPr>
            <w:tcW w:w="3686" w:type="dxa"/>
          </w:tcPr>
          <w:p w14:paraId="7A5BF5A9" w14:textId="129714C0"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778</w:t>
            </w:r>
            <w:r w:rsidRPr="00286216">
              <w:rPr>
                <w:color w:val="000000" w:themeColor="text1"/>
              </w:rPr>
              <w:fldChar w:fldCharType="end"/>
            </w:r>
            <w:r w:rsidRPr="00286216">
              <w:rPr>
                <w:color w:val="000000" w:themeColor="text1"/>
              </w:rPr>
              <w:t>-Н.д.Шахов С.В. (Реєстр.картка №114)</w:t>
            </w:r>
          </w:p>
          <w:p w14:paraId="34EC5665"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В абз. 1 ч. 15 ст. 70 слова "Національна комісія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 відповідного ринку, за наявності належного обґрунтування та доведених фактів".</w:t>
            </w:r>
          </w:p>
        </w:tc>
        <w:tc>
          <w:tcPr>
            <w:tcW w:w="1987" w:type="dxa"/>
          </w:tcPr>
          <w:p w14:paraId="69BB4039"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F9BBB40"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246B5959" w14:textId="77777777" w:rsidR="00826C07" w:rsidRPr="00286216" w:rsidRDefault="00826C07" w:rsidP="00826C07">
            <w:pPr>
              <w:pStyle w:val="StyleZakonu"/>
              <w:rPr>
                <w:color w:val="000000" w:themeColor="text1"/>
              </w:rPr>
            </w:pPr>
          </w:p>
        </w:tc>
      </w:tr>
      <w:tr w:rsidR="00826C07" w:rsidRPr="00286216" w14:paraId="6D96C4DC" w14:textId="77777777" w:rsidTr="00091AA5">
        <w:tc>
          <w:tcPr>
            <w:tcW w:w="576" w:type="dxa"/>
          </w:tcPr>
          <w:p w14:paraId="137BBFC7" w14:textId="77777777" w:rsidR="00826C07" w:rsidRPr="00286216" w:rsidRDefault="00826C07" w:rsidP="00826C07">
            <w:pPr>
              <w:pStyle w:val="StyleWisnow"/>
              <w:rPr>
                <w:color w:val="000000" w:themeColor="text1"/>
              </w:rPr>
            </w:pPr>
            <w:bookmarkStart w:id="988" w:name="n1257" w:colFirst="0" w:colLast="0"/>
            <w:r w:rsidRPr="00286216">
              <w:rPr>
                <w:color w:val="000000" w:themeColor="text1"/>
              </w:rPr>
              <w:t>1257.</w:t>
            </w:r>
          </w:p>
        </w:tc>
        <w:tc>
          <w:tcPr>
            <w:tcW w:w="4818" w:type="dxa"/>
          </w:tcPr>
          <w:p w14:paraId="0D78E1CE" w14:textId="77777777" w:rsidR="00826C07" w:rsidRPr="00286216" w:rsidRDefault="00826C07" w:rsidP="00826C07">
            <w:pPr>
              <w:pStyle w:val="StyleZakonu"/>
              <w:rPr>
                <w:color w:val="000000" w:themeColor="text1"/>
              </w:rPr>
            </w:pPr>
            <w:r w:rsidRPr="00286216">
              <w:rPr>
                <w:color w:val="000000" w:themeColor="text1"/>
              </w:rPr>
              <w:t>1) документи містять недостовірну інформацію або не відповідають вимогам законів України чи нормативно-правових актів Національної комісії з цінних паперів та фондового ринку;</w:t>
            </w:r>
          </w:p>
        </w:tc>
        <w:tc>
          <w:tcPr>
            <w:tcW w:w="3686" w:type="dxa"/>
          </w:tcPr>
          <w:p w14:paraId="717B4B43" w14:textId="2E291B22"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779</w:t>
            </w:r>
            <w:r w:rsidRPr="00286216">
              <w:rPr>
                <w:color w:val="000000" w:themeColor="text1"/>
              </w:rPr>
              <w:fldChar w:fldCharType="end"/>
            </w:r>
            <w:r w:rsidRPr="00286216">
              <w:rPr>
                <w:color w:val="000000" w:themeColor="text1"/>
              </w:rPr>
              <w:t>-Н.д.Шахов С.В. (Реєстр.картка №114)</w:t>
            </w:r>
          </w:p>
          <w:p w14:paraId="220348B8" w14:textId="77777777" w:rsidR="00826C07" w:rsidRPr="00286216" w:rsidRDefault="00826C07" w:rsidP="00826C07">
            <w:pPr>
              <w:pStyle w:val="StyleProp"/>
              <w:spacing w:line="190" w:lineRule="exact"/>
              <w:rPr>
                <w:rFonts w:eastAsia="Calibri"/>
                <w:color w:val="000000" w:themeColor="text1"/>
                <w:spacing w:val="-2"/>
                <w:szCs w:val="18"/>
              </w:rPr>
            </w:pPr>
            <w:r w:rsidRPr="00286216">
              <w:rPr>
                <w:rFonts w:eastAsia="Calibri"/>
                <w:color w:val="000000" w:themeColor="text1"/>
                <w:spacing w:val="-4"/>
                <w:szCs w:val="18"/>
              </w:rPr>
              <w:t>У п.1 ч. 15 ст.70 слова "Національної комісії</w:t>
            </w:r>
            <w:r w:rsidRPr="00286216">
              <w:rPr>
                <w:rFonts w:eastAsia="Calibri"/>
                <w:color w:val="000000" w:themeColor="text1"/>
                <w:spacing w:val="-2"/>
                <w:szCs w:val="18"/>
              </w:rPr>
              <w:t xml:space="preserve"> </w:t>
            </w:r>
            <w:r w:rsidRPr="00286216">
              <w:rPr>
                <w:rFonts w:eastAsia="Calibri"/>
                <w:color w:val="000000" w:themeColor="text1"/>
                <w:spacing w:val="-3"/>
                <w:szCs w:val="18"/>
              </w:rPr>
              <w:t xml:space="preserve">з цінних паперів та фондового ринку" </w:t>
            </w:r>
            <w:r w:rsidRPr="00286216">
              <w:rPr>
                <w:color w:val="000000" w:themeColor="text1"/>
                <w:spacing w:val="-3"/>
              </w:rPr>
              <w:t>замінити</w:t>
            </w:r>
            <w:r w:rsidRPr="00286216">
              <w:rPr>
                <w:color w:val="000000" w:themeColor="text1"/>
                <w:spacing w:val="-2"/>
                <w:sz w:val="16"/>
                <w:szCs w:val="16"/>
              </w:rPr>
              <w:t xml:space="preserve"> </w:t>
            </w:r>
            <w:r w:rsidRPr="00286216">
              <w:rPr>
                <w:color w:val="000000" w:themeColor="text1"/>
                <w:spacing w:val="-2"/>
              </w:rPr>
              <w:t>словами</w:t>
            </w:r>
            <w:r w:rsidRPr="00286216">
              <w:rPr>
                <w:rFonts w:eastAsia="Calibri"/>
                <w:color w:val="000000" w:themeColor="text1"/>
                <w:spacing w:val="-2"/>
                <w:szCs w:val="18"/>
              </w:rPr>
              <w:t xml:space="preserve"> "регулятора відповідного ринку".</w:t>
            </w:r>
          </w:p>
        </w:tc>
        <w:tc>
          <w:tcPr>
            <w:tcW w:w="1987" w:type="dxa"/>
          </w:tcPr>
          <w:p w14:paraId="73098C96"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50635D36"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EFBD13D" w14:textId="77777777" w:rsidR="00826C07" w:rsidRPr="00286216" w:rsidRDefault="00826C07" w:rsidP="00826C07">
            <w:pPr>
              <w:pStyle w:val="StyleZakonu"/>
              <w:rPr>
                <w:color w:val="000000" w:themeColor="text1"/>
              </w:rPr>
            </w:pPr>
          </w:p>
        </w:tc>
      </w:tr>
      <w:tr w:rsidR="00826C07" w:rsidRPr="00286216" w14:paraId="4A2C1C23" w14:textId="77777777" w:rsidTr="00091AA5">
        <w:tc>
          <w:tcPr>
            <w:tcW w:w="576" w:type="dxa"/>
          </w:tcPr>
          <w:p w14:paraId="4C0B1280" w14:textId="77777777" w:rsidR="00826C07" w:rsidRPr="00286216" w:rsidRDefault="00826C07" w:rsidP="00826C07">
            <w:pPr>
              <w:pStyle w:val="StyleWisnow"/>
              <w:rPr>
                <w:color w:val="000000" w:themeColor="text1"/>
              </w:rPr>
            </w:pPr>
            <w:bookmarkStart w:id="989" w:name="n1258" w:colFirst="0" w:colLast="0"/>
            <w:bookmarkEnd w:id="988"/>
            <w:r w:rsidRPr="00286216">
              <w:rPr>
                <w:color w:val="000000" w:themeColor="text1"/>
              </w:rPr>
              <w:t>1258.</w:t>
            </w:r>
          </w:p>
        </w:tc>
        <w:tc>
          <w:tcPr>
            <w:tcW w:w="4818" w:type="dxa"/>
          </w:tcPr>
          <w:p w14:paraId="5FD18599" w14:textId="77777777" w:rsidR="00826C07" w:rsidRPr="00286216" w:rsidRDefault="00826C07" w:rsidP="00826C07">
            <w:pPr>
              <w:pStyle w:val="StyleZakonu"/>
              <w:rPr>
                <w:color w:val="000000" w:themeColor="text1"/>
              </w:rPr>
            </w:pPr>
            <w:r w:rsidRPr="00286216">
              <w:rPr>
                <w:color w:val="000000" w:themeColor="text1"/>
              </w:rPr>
              <w:t>2) ділова репутація фізичної або юридичної особи - заявника, не відповідає вимогам щодо її бездоганності, установленим Національною комісією з цінних паперів та фондового ринку;</w:t>
            </w:r>
          </w:p>
        </w:tc>
        <w:tc>
          <w:tcPr>
            <w:tcW w:w="3686" w:type="dxa"/>
          </w:tcPr>
          <w:p w14:paraId="03FF3B44" w14:textId="5569F59A"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780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1915CC4" w14:textId="77777777" w:rsidR="00826C07" w:rsidRPr="00286216" w:rsidRDefault="00826C07" w:rsidP="00826C07">
            <w:pPr>
              <w:pStyle w:val="StyleProp"/>
              <w:rPr>
                <w:rFonts w:eastAsia="Calibri"/>
                <w:i/>
                <w:color w:val="000000" w:themeColor="text1"/>
                <w:szCs w:val="18"/>
              </w:rPr>
            </w:pPr>
            <w:r w:rsidRPr="00286216">
              <w:rPr>
                <w:rFonts w:eastAsia="Calibri"/>
                <w:color w:val="000000" w:themeColor="text1"/>
                <w:szCs w:val="18"/>
              </w:rPr>
              <w:t>У пункті 2 частини п'ятнадцятої статті 70 слова "</w:t>
            </w:r>
            <w:r w:rsidRPr="00286216">
              <w:rPr>
                <w:color w:val="000000" w:themeColor="text1"/>
                <w:szCs w:val="18"/>
              </w:rPr>
              <w:t>фізичної або юридичної особи - заявника" замінити словами "</w:t>
            </w:r>
            <w:r w:rsidRPr="00286216">
              <w:rPr>
                <w:rFonts w:eastAsia="Calibri"/>
                <w:color w:val="000000" w:themeColor="text1"/>
                <w:szCs w:val="18"/>
              </w:rPr>
              <w:t>особи, яка має намір набути або збільшити участь"</w:t>
            </w:r>
            <w:r w:rsidRPr="00286216">
              <w:rPr>
                <w:color w:val="000000" w:themeColor="text1"/>
                <w:szCs w:val="18"/>
              </w:rPr>
              <w:t>.</w:t>
            </w:r>
          </w:p>
        </w:tc>
        <w:tc>
          <w:tcPr>
            <w:tcW w:w="1987" w:type="dxa"/>
          </w:tcPr>
          <w:p w14:paraId="70A0CCD4"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63DEC425"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70</w:t>
            </w:r>
          </w:p>
        </w:tc>
        <w:tc>
          <w:tcPr>
            <w:tcW w:w="4818" w:type="dxa"/>
          </w:tcPr>
          <w:p w14:paraId="7417A544" w14:textId="77777777" w:rsidR="00826C07" w:rsidRPr="00286216" w:rsidRDefault="00826C07" w:rsidP="00826C07">
            <w:pPr>
              <w:pStyle w:val="StyleZakonu"/>
              <w:rPr>
                <w:color w:val="000000" w:themeColor="text1"/>
              </w:rPr>
            </w:pPr>
          </w:p>
        </w:tc>
      </w:tr>
      <w:bookmarkEnd w:id="989"/>
      <w:tr w:rsidR="00826C07" w:rsidRPr="00286216" w14:paraId="743E12BE" w14:textId="77777777" w:rsidTr="00091AA5">
        <w:tc>
          <w:tcPr>
            <w:tcW w:w="576" w:type="dxa"/>
          </w:tcPr>
          <w:p w14:paraId="19403D10" w14:textId="77777777" w:rsidR="00826C07" w:rsidRPr="00286216" w:rsidRDefault="00826C07" w:rsidP="00826C07">
            <w:pPr>
              <w:pStyle w:val="StyleWisnow"/>
              <w:rPr>
                <w:color w:val="000000" w:themeColor="text1"/>
              </w:rPr>
            </w:pPr>
          </w:p>
        </w:tc>
        <w:tc>
          <w:tcPr>
            <w:tcW w:w="4818" w:type="dxa"/>
          </w:tcPr>
          <w:p w14:paraId="50735A31" w14:textId="77777777" w:rsidR="00826C07" w:rsidRPr="00286216" w:rsidRDefault="00826C07" w:rsidP="00826C07">
            <w:pPr>
              <w:pStyle w:val="StyleZakonu"/>
              <w:rPr>
                <w:color w:val="000000" w:themeColor="text1"/>
              </w:rPr>
            </w:pPr>
          </w:p>
        </w:tc>
        <w:tc>
          <w:tcPr>
            <w:tcW w:w="3686" w:type="dxa"/>
          </w:tcPr>
          <w:p w14:paraId="7457D94C" w14:textId="03A9BB55"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781</w:t>
            </w:r>
            <w:r w:rsidRPr="00286216">
              <w:rPr>
                <w:color w:val="000000" w:themeColor="text1"/>
              </w:rPr>
              <w:fldChar w:fldCharType="end"/>
            </w:r>
            <w:r w:rsidRPr="00286216">
              <w:rPr>
                <w:color w:val="000000" w:themeColor="text1"/>
              </w:rPr>
              <w:t>-Н.д.Шахов С.В. (Реєстр.картка №114)</w:t>
            </w:r>
          </w:p>
          <w:p w14:paraId="69382E18"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п.2 ч.15 ст.70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2B4D47BB"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4EC591D2"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C780AAC" w14:textId="77777777" w:rsidR="00826C07" w:rsidRPr="00286216" w:rsidRDefault="00826C07" w:rsidP="00826C07">
            <w:pPr>
              <w:pStyle w:val="StyleZakonu"/>
              <w:rPr>
                <w:color w:val="000000" w:themeColor="text1"/>
              </w:rPr>
            </w:pPr>
          </w:p>
        </w:tc>
      </w:tr>
      <w:tr w:rsidR="00826C07" w:rsidRPr="00286216" w14:paraId="11F53A90" w14:textId="77777777" w:rsidTr="00091AA5">
        <w:tc>
          <w:tcPr>
            <w:tcW w:w="576" w:type="dxa"/>
          </w:tcPr>
          <w:p w14:paraId="0C61EDF3" w14:textId="77777777" w:rsidR="00826C07" w:rsidRPr="00286216" w:rsidRDefault="00826C07" w:rsidP="00826C07">
            <w:pPr>
              <w:pStyle w:val="StyleWisnow"/>
              <w:rPr>
                <w:color w:val="000000" w:themeColor="text1"/>
              </w:rPr>
            </w:pPr>
            <w:bookmarkStart w:id="990" w:name="n1259" w:colFirst="0" w:colLast="0"/>
            <w:r w:rsidRPr="00286216">
              <w:rPr>
                <w:color w:val="000000" w:themeColor="text1"/>
              </w:rPr>
              <w:t>1259.</w:t>
            </w:r>
          </w:p>
        </w:tc>
        <w:tc>
          <w:tcPr>
            <w:tcW w:w="4818" w:type="dxa"/>
          </w:tcPr>
          <w:p w14:paraId="23F23E8C" w14:textId="77777777" w:rsidR="00826C07" w:rsidRPr="00286216" w:rsidRDefault="00826C07" w:rsidP="00826C07">
            <w:pPr>
              <w:pStyle w:val="StyleZakonu"/>
              <w:rPr>
                <w:color w:val="000000" w:themeColor="text1"/>
              </w:rPr>
            </w:pPr>
            <w:r w:rsidRPr="00286216">
              <w:rPr>
                <w:color w:val="000000" w:themeColor="text1"/>
              </w:rPr>
              <w:t>3) ділова репутація особи яка, здійснює значний вплив на управління або діяльність юридичної особи - заявника, ділова репутація осіб, які здійснюють управлінські функції в юридичній особі - заявнику, а також ділова репутація осіб, які здійснюють управлінські функції в юридичній особі, що знаходиться під контролем юридичної особи - заявника, не відповідає вимогам щодо її бездоганності, установленим Національною комісією з цінних паперів та фондового ринку;</w:t>
            </w:r>
          </w:p>
        </w:tc>
        <w:tc>
          <w:tcPr>
            <w:tcW w:w="3686" w:type="dxa"/>
          </w:tcPr>
          <w:p w14:paraId="1F564E56" w14:textId="6E70560C"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782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D080C0A"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Пункт 3 частини п'ятнадцятої статті 70 викласти у такій редакції:</w:t>
            </w:r>
          </w:p>
          <w:p w14:paraId="48C2AA75" w14:textId="77777777" w:rsidR="00826C07" w:rsidRPr="00286216" w:rsidRDefault="00826C07" w:rsidP="00826C07">
            <w:pPr>
              <w:pStyle w:val="StyleProp"/>
              <w:rPr>
                <w:rFonts w:eastAsia="Calibri"/>
                <w:i/>
                <w:color w:val="000000" w:themeColor="text1"/>
                <w:szCs w:val="18"/>
              </w:rPr>
            </w:pPr>
            <w:r w:rsidRPr="00286216">
              <w:rPr>
                <w:rFonts w:eastAsia="Calibri"/>
                <w:color w:val="000000" w:themeColor="text1"/>
                <w:szCs w:val="18"/>
              </w:rPr>
              <w:t>"3) ділова репутація особи – власника акцій (часток) в статутному капіталі юридичної особи, яка має намір набути або збільшити участь в професійному учаснику ринків капіталу та організованих товарних ринків, яка здійснює контроль за діяльністю такої юридичної особи та  осіб, які здійснюють в ній управлінські функції, не відповідає вимогам щодо її бездоганності, установленим Національною комісією з цінних паперів та фондового ринку".</w:t>
            </w:r>
          </w:p>
        </w:tc>
        <w:tc>
          <w:tcPr>
            <w:tcW w:w="1987" w:type="dxa"/>
          </w:tcPr>
          <w:p w14:paraId="6F1227A3"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26878FF4"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70</w:t>
            </w:r>
          </w:p>
          <w:p w14:paraId="39AA414F" w14:textId="77777777" w:rsidR="00826C07" w:rsidRPr="00286216" w:rsidRDefault="00826C07" w:rsidP="00826C07">
            <w:pPr>
              <w:pStyle w:val="StyleWisnow"/>
              <w:rPr>
                <w:color w:val="000000" w:themeColor="text1"/>
              </w:rPr>
            </w:pPr>
          </w:p>
        </w:tc>
        <w:tc>
          <w:tcPr>
            <w:tcW w:w="4818" w:type="dxa"/>
          </w:tcPr>
          <w:p w14:paraId="539839FB" w14:textId="77777777" w:rsidR="00826C07" w:rsidRPr="00286216" w:rsidRDefault="00826C07" w:rsidP="00826C07">
            <w:pPr>
              <w:pStyle w:val="StyleZakonu"/>
              <w:rPr>
                <w:color w:val="000000" w:themeColor="text1"/>
              </w:rPr>
            </w:pPr>
          </w:p>
        </w:tc>
      </w:tr>
      <w:bookmarkEnd w:id="990"/>
      <w:tr w:rsidR="00826C07" w:rsidRPr="00286216" w14:paraId="221E57B7" w14:textId="77777777" w:rsidTr="00091AA5">
        <w:tc>
          <w:tcPr>
            <w:tcW w:w="576" w:type="dxa"/>
          </w:tcPr>
          <w:p w14:paraId="07D45AC4" w14:textId="77777777" w:rsidR="00826C07" w:rsidRPr="00286216" w:rsidRDefault="00826C07" w:rsidP="00826C07">
            <w:pPr>
              <w:pStyle w:val="StyleWisnow"/>
              <w:rPr>
                <w:color w:val="000000" w:themeColor="text1"/>
              </w:rPr>
            </w:pPr>
          </w:p>
        </w:tc>
        <w:tc>
          <w:tcPr>
            <w:tcW w:w="4818" w:type="dxa"/>
          </w:tcPr>
          <w:p w14:paraId="78AACA5F" w14:textId="77777777" w:rsidR="00826C07" w:rsidRPr="00286216" w:rsidRDefault="00826C07" w:rsidP="00826C07">
            <w:pPr>
              <w:pStyle w:val="StyleZakonu"/>
              <w:rPr>
                <w:color w:val="000000" w:themeColor="text1"/>
              </w:rPr>
            </w:pPr>
          </w:p>
        </w:tc>
        <w:tc>
          <w:tcPr>
            <w:tcW w:w="3686" w:type="dxa"/>
          </w:tcPr>
          <w:p w14:paraId="4B228F0E" w14:textId="542D6A49"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783</w:t>
            </w:r>
            <w:r w:rsidRPr="00286216">
              <w:rPr>
                <w:color w:val="000000" w:themeColor="text1"/>
              </w:rPr>
              <w:fldChar w:fldCharType="end"/>
            </w:r>
            <w:r w:rsidRPr="00286216">
              <w:rPr>
                <w:color w:val="000000" w:themeColor="text1"/>
              </w:rPr>
              <w:t>-Н.д.Шахов С.В. (Реєстр.картка №114)</w:t>
            </w:r>
          </w:p>
          <w:p w14:paraId="07D6DF56"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п.3 ч.15 ст.70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59429226"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69EDA693"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5D1C4F62" w14:textId="77777777" w:rsidR="00826C07" w:rsidRPr="00286216" w:rsidRDefault="00826C07" w:rsidP="00826C07">
            <w:pPr>
              <w:pStyle w:val="StyleZakonu"/>
              <w:rPr>
                <w:color w:val="000000" w:themeColor="text1"/>
              </w:rPr>
            </w:pPr>
          </w:p>
        </w:tc>
      </w:tr>
      <w:tr w:rsidR="00826C07" w:rsidRPr="00286216" w14:paraId="6917E33C" w14:textId="77777777" w:rsidTr="00091AA5">
        <w:tc>
          <w:tcPr>
            <w:tcW w:w="576" w:type="dxa"/>
          </w:tcPr>
          <w:p w14:paraId="0117DDA7" w14:textId="77777777" w:rsidR="00826C07" w:rsidRPr="00286216" w:rsidRDefault="00826C07" w:rsidP="00826C07">
            <w:pPr>
              <w:pStyle w:val="StyleWisnow"/>
              <w:rPr>
                <w:color w:val="000000" w:themeColor="text1"/>
              </w:rPr>
            </w:pPr>
            <w:bookmarkStart w:id="991" w:name="n1260" w:colFirst="0" w:colLast="0"/>
            <w:r w:rsidRPr="00286216">
              <w:rPr>
                <w:color w:val="000000" w:themeColor="text1"/>
              </w:rPr>
              <w:t>1260.</w:t>
            </w:r>
          </w:p>
        </w:tc>
        <w:tc>
          <w:tcPr>
            <w:tcW w:w="4818" w:type="dxa"/>
          </w:tcPr>
          <w:p w14:paraId="0B9EFECD" w14:textId="77777777" w:rsidR="00826C07" w:rsidRPr="00286216" w:rsidRDefault="00826C07" w:rsidP="00826C07">
            <w:pPr>
              <w:pStyle w:val="StyleZakonu"/>
              <w:rPr>
                <w:color w:val="000000" w:themeColor="text1"/>
              </w:rPr>
            </w:pPr>
            <w:r w:rsidRPr="00286216">
              <w:rPr>
                <w:color w:val="000000" w:themeColor="text1"/>
              </w:rPr>
              <w:t>4) фінансовий стан юридичної особи та/або майновий стан фізичної особи не відповідають вимогам, установленим Національною комісією з цінних паперів та фондового ринку;</w:t>
            </w:r>
          </w:p>
        </w:tc>
        <w:tc>
          <w:tcPr>
            <w:tcW w:w="3686" w:type="dxa"/>
          </w:tcPr>
          <w:p w14:paraId="6DA1BB9D" w14:textId="327F563F"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784</w:t>
            </w:r>
            <w:r w:rsidRPr="00286216">
              <w:rPr>
                <w:color w:val="000000" w:themeColor="text1"/>
              </w:rPr>
              <w:fldChar w:fldCharType="end"/>
            </w:r>
            <w:r w:rsidRPr="00286216">
              <w:rPr>
                <w:color w:val="000000" w:themeColor="text1"/>
              </w:rPr>
              <w:t>-Н.д.Шахов С.В. (Реєстр.картка №114)</w:t>
            </w:r>
          </w:p>
          <w:p w14:paraId="70A763C4"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п.4 ч.15 ст.70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60AB43D2"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2555C59A"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668A7784" w14:textId="77777777" w:rsidR="00826C07" w:rsidRPr="00286216" w:rsidRDefault="00826C07" w:rsidP="00826C07">
            <w:pPr>
              <w:pStyle w:val="StyleZakonu"/>
              <w:rPr>
                <w:color w:val="000000" w:themeColor="text1"/>
              </w:rPr>
            </w:pPr>
          </w:p>
        </w:tc>
      </w:tr>
      <w:tr w:rsidR="00826C07" w:rsidRPr="00286216" w14:paraId="24FC155B" w14:textId="77777777" w:rsidTr="00091AA5">
        <w:tc>
          <w:tcPr>
            <w:tcW w:w="576" w:type="dxa"/>
          </w:tcPr>
          <w:p w14:paraId="54755E4C" w14:textId="77777777" w:rsidR="00826C07" w:rsidRPr="00286216" w:rsidRDefault="00826C07" w:rsidP="00826C07">
            <w:pPr>
              <w:pStyle w:val="StyleWisnow"/>
              <w:rPr>
                <w:color w:val="000000" w:themeColor="text1"/>
              </w:rPr>
            </w:pPr>
            <w:bookmarkStart w:id="992" w:name="n1261" w:colFirst="0" w:colLast="0"/>
            <w:bookmarkEnd w:id="991"/>
            <w:r w:rsidRPr="00286216">
              <w:rPr>
                <w:color w:val="000000" w:themeColor="text1"/>
              </w:rPr>
              <w:lastRenderedPageBreak/>
              <w:t>1261.</w:t>
            </w:r>
          </w:p>
        </w:tc>
        <w:tc>
          <w:tcPr>
            <w:tcW w:w="4818" w:type="dxa"/>
          </w:tcPr>
          <w:p w14:paraId="35AF59DC" w14:textId="77777777" w:rsidR="00826C07" w:rsidRPr="00286216" w:rsidRDefault="00826C07" w:rsidP="00826C07">
            <w:pPr>
              <w:pStyle w:val="StyleZakonu"/>
              <w:rPr>
                <w:color w:val="000000" w:themeColor="text1"/>
              </w:rPr>
            </w:pPr>
            <w:r w:rsidRPr="00286216">
              <w:rPr>
                <w:color w:val="000000" w:themeColor="text1"/>
              </w:rPr>
              <w:t>5) особа не має власних коштів для набуття або збільшення участі у професійному учаснику ринків капіталу та організованих товарних ринків;</w:t>
            </w:r>
          </w:p>
        </w:tc>
        <w:tc>
          <w:tcPr>
            <w:tcW w:w="3686" w:type="dxa"/>
          </w:tcPr>
          <w:p w14:paraId="23171501" w14:textId="77777777" w:rsidR="00826C07" w:rsidRPr="00286216" w:rsidRDefault="00826C07" w:rsidP="00826C07">
            <w:pPr>
              <w:pStyle w:val="StyleProp"/>
              <w:rPr>
                <w:color w:val="000000" w:themeColor="text1"/>
                <w:szCs w:val="18"/>
              </w:rPr>
            </w:pPr>
          </w:p>
        </w:tc>
        <w:tc>
          <w:tcPr>
            <w:tcW w:w="1987" w:type="dxa"/>
          </w:tcPr>
          <w:p w14:paraId="478D9729" w14:textId="77777777" w:rsidR="00826C07" w:rsidRPr="00286216" w:rsidRDefault="00826C07" w:rsidP="00826C07">
            <w:pPr>
              <w:pStyle w:val="StyleWisnow"/>
              <w:rPr>
                <w:color w:val="000000" w:themeColor="text1"/>
              </w:rPr>
            </w:pPr>
          </w:p>
        </w:tc>
        <w:tc>
          <w:tcPr>
            <w:tcW w:w="4818" w:type="dxa"/>
          </w:tcPr>
          <w:p w14:paraId="1DECEAE5" w14:textId="77777777" w:rsidR="00826C07" w:rsidRPr="00286216" w:rsidRDefault="00826C07" w:rsidP="00826C07">
            <w:pPr>
              <w:pStyle w:val="StyleZakonu"/>
              <w:rPr>
                <w:color w:val="000000" w:themeColor="text1"/>
              </w:rPr>
            </w:pPr>
          </w:p>
        </w:tc>
      </w:tr>
      <w:tr w:rsidR="00826C07" w:rsidRPr="00286216" w14:paraId="07E10D80" w14:textId="77777777" w:rsidTr="00091AA5">
        <w:tc>
          <w:tcPr>
            <w:tcW w:w="576" w:type="dxa"/>
          </w:tcPr>
          <w:p w14:paraId="75CC0671" w14:textId="77777777" w:rsidR="00826C07" w:rsidRPr="00286216" w:rsidRDefault="00826C07" w:rsidP="00826C07">
            <w:pPr>
              <w:pStyle w:val="StyleWisnow"/>
              <w:rPr>
                <w:color w:val="000000" w:themeColor="text1"/>
              </w:rPr>
            </w:pPr>
            <w:bookmarkStart w:id="993" w:name="n1262" w:colFirst="0" w:colLast="0"/>
            <w:bookmarkEnd w:id="992"/>
            <w:r w:rsidRPr="00286216">
              <w:rPr>
                <w:color w:val="000000" w:themeColor="text1"/>
              </w:rPr>
              <w:t>1262.</w:t>
            </w:r>
          </w:p>
        </w:tc>
        <w:tc>
          <w:tcPr>
            <w:tcW w:w="4818" w:type="dxa"/>
          </w:tcPr>
          <w:p w14:paraId="2F201AB5" w14:textId="77777777" w:rsidR="00826C07" w:rsidRPr="00286216" w:rsidRDefault="00826C07" w:rsidP="00826C07">
            <w:pPr>
              <w:pStyle w:val="StyleZakonu"/>
              <w:rPr>
                <w:color w:val="000000" w:themeColor="text1"/>
              </w:rPr>
            </w:pPr>
            <w:r w:rsidRPr="00286216">
              <w:rPr>
                <w:color w:val="000000" w:themeColor="text1"/>
              </w:rPr>
              <w:t>6) набуття або збільшення особою участі у професійному учаснику ринків капіталу та організованих товарних ринків загрожуватиме інтересам клієнтів професійного учасника ринків капіталу та організованих товарних ринків або суперечитиме антимонопольному законодавству України;</w:t>
            </w:r>
          </w:p>
        </w:tc>
        <w:tc>
          <w:tcPr>
            <w:tcW w:w="3686" w:type="dxa"/>
          </w:tcPr>
          <w:p w14:paraId="7DAD5CC1" w14:textId="77777777" w:rsidR="00826C07" w:rsidRPr="00286216" w:rsidRDefault="00826C07" w:rsidP="00826C07">
            <w:pPr>
              <w:pStyle w:val="StyleProp"/>
              <w:rPr>
                <w:color w:val="000000" w:themeColor="text1"/>
                <w:szCs w:val="18"/>
              </w:rPr>
            </w:pPr>
          </w:p>
        </w:tc>
        <w:tc>
          <w:tcPr>
            <w:tcW w:w="1987" w:type="dxa"/>
          </w:tcPr>
          <w:p w14:paraId="7ECC517E" w14:textId="77777777" w:rsidR="00826C07" w:rsidRPr="00286216" w:rsidRDefault="00826C07" w:rsidP="00826C07">
            <w:pPr>
              <w:pStyle w:val="StyleWisnow"/>
              <w:rPr>
                <w:color w:val="000000" w:themeColor="text1"/>
              </w:rPr>
            </w:pPr>
          </w:p>
        </w:tc>
        <w:tc>
          <w:tcPr>
            <w:tcW w:w="4818" w:type="dxa"/>
          </w:tcPr>
          <w:p w14:paraId="7F5F58DD" w14:textId="77777777" w:rsidR="00826C07" w:rsidRPr="00286216" w:rsidRDefault="00826C07" w:rsidP="00826C07">
            <w:pPr>
              <w:pStyle w:val="StyleZakonu"/>
              <w:rPr>
                <w:color w:val="000000" w:themeColor="text1"/>
              </w:rPr>
            </w:pPr>
          </w:p>
        </w:tc>
      </w:tr>
      <w:tr w:rsidR="00826C07" w:rsidRPr="00286216" w14:paraId="218C5639" w14:textId="77777777" w:rsidTr="00091AA5">
        <w:tc>
          <w:tcPr>
            <w:tcW w:w="576" w:type="dxa"/>
          </w:tcPr>
          <w:p w14:paraId="5FCF9AAD" w14:textId="77777777" w:rsidR="00826C07" w:rsidRPr="00286216" w:rsidRDefault="00826C07" w:rsidP="00826C07">
            <w:pPr>
              <w:pStyle w:val="StyleWisnow"/>
              <w:rPr>
                <w:color w:val="000000" w:themeColor="text1"/>
              </w:rPr>
            </w:pPr>
            <w:bookmarkStart w:id="994" w:name="n1263" w:colFirst="0" w:colLast="0"/>
            <w:bookmarkEnd w:id="993"/>
            <w:r w:rsidRPr="00286216">
              <w:rPr>
                <w:color w:val="000000" w:themeColor="text1"/>
              </w:rPr>
              <w:t>1263.</w:t>
            </w:r>
          </w:p>
        </w:tc>
        <w:tc>
          <w:tcPr>
            <w:tcW w:w="4818" w:type="dxa"/>
          </w:tcPr>
          <w:p w14:paraId="3A6DBB03" w14:textId="77777777" w:rsidR="00826C07" w:rsidRPr="00286216" w:rsidRDefault="00826C07" w:rsidP="00826C07">
            <w:pPr>
              <w:pStyle w:val="StyleZakonu"/>
              <w:rPr>
                <w:color w:val="000000" w:themeColor="text1"/>
              </w:rPr>
            </w:pPr>
            <w:r w:rsidRPr="00286216">
              <w:rPr>
                <w:color w:val="000000" w:themeColor="text1"/>
              </w:rPr>
              <w:t>7) структура власності юридичної особи не відповідає вимогам щодо її прозорості, встановленим Національною комісією з цінних паперів та фондового ринку.</w:t>
            </w:r>
          </w:p>
        </w:tc>
        <w:tc>
          <w:tcPr>
            <w:tcW w:w="3686" w:type="dxa"/>
          </w:tcPr>
          <w:p w14:paraId="1EAC259A" w14:textId="12012CE7"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785</w:t>
            </w:r>
            <w:r w:rsidRPr="00286216">
              <w:rPr>
                <w:color w:val="000000" w:themeColor="text1"/>
              </w:rPr>
              <w:fldChar w:fldCharType="end"/>
            </w:r>
            <w:r w:rsidRPr="00286216">
              <w:rPr>
                <w:color w:val="000000" w:themeColor="text1"/>
              </w:rPr>
              <w:t>-Н.д.Шахов С.В. (Реєстр.картка №114)</w:t>
            </w:r>
          </w:p>
          <w:p w14:paraId="4D2B51AC" w14:textId="77777777" w:rsidR="00826C07" w:rsidRPr="00286216" w:rsidRDefault="00826C07" w:rsidP="00826C07">
            <w:pPr>
              <w:pStyle w:val="StyleProp"/>
              <w:spacing w:line="190" w:lineRule="exact"/>
              <w:rPr>
                <w:rFonts w:eastAsia="Calibri"/>
                <w:color w:val="000000" w:themeColor="text1"/>
                <w:szCs w:val="18"/>
              </w:rPr>
            </w:pPr>
            <w:r w:rsidRPr="00286216">
              <w:rPr>
                <w:rFonts w:eastAsia="Calibri"/>
                <w:color w:val="000000" w:themeColor="text1"/>
                <w:szCs w:val="18"/>
              </w:rPr>
              <w:t xml:space="preserve">У п.7 ч.15 ст.70 слова "Національною комісією з цінних паперів та фондового ринку" </w:t>
            </w:r>
            <w:r w:rsidRPr="00286216">
              <w:rPr>
                <w:color w:val="000000" w:themeColor="text1"/>
              </w:rPr>
              <w:t>замінити</w:t>
            </w:r>
            <w:r w:rsidRPr="00286216">
              <w:rPr>
                <w:color w:val="000000" w:themeColor="text1"/>
                <w:sz w:val="16"/>
                <w:szCs w:val="16"/>
              </w:rPr>
              <w:t xml:space="preserve"> </w:t>
            </w:r>
            <w:r w:rsidRPr="00286216">
              <w:rPr>
                <w:color w:val="000000" w:themeColor="text1"/>
              </w:rPr>
              <w:t>словами</w:t>
            </w:r>
            <w:r w:rsidRPr="00286216">
              <w:rPr>
                <w:rFonts w:eastAsia="Calibri"/>
                <w:color w:val="000000" w:themeColor="text1"/>
                <w:szCs w:val="18"/>
              </w:rPr>
              <w:t xml:space="preserve"> "регулятором відповідного ринку".</w:t>
            </w:r>
          </w:p>
        </w:tc>
        <w:tc>
          <w:tcPr>
            <w:tcW w:w="1987" w:type="dxa"/>
          </w:tcPr>
          <w:p w14:paraId="11E90D54" w14:textId="77777777" w:rsidR="00826C07" w:rsidRPr="00286216" w:rsidRDefault="00826C07" w:rsidP="00826C07">
            <w:pPr>
              <w:pStyle w:val="StyleWisnow"/>
              <w:spacing w:line="180" w:lineRule="exact"/>
              <w:rPr>
                <w:color w:val="000000" w:themeColor="text1"/>
              </w:rPr>
            </w:pPr>
            <w:r w:rsidRPr="00286216">
              <w:rPr>
                <w:color w:val="000000" w:themeColor="text1"/>
              </w:rPr>
              <w:t>Відхилено</w:t>
            </w:r>
          </w:p>
          <w:p w14:paraId="34B0FAD3" w14:textId="77777777" w:rsidR="00826C07" w:rsidRPr="00286216" w:rsidRDefault="00826C07" w:rsidP="00826C07">
            <w:pPr>
              <w:pStyle w:val="StyleWisnow"/>
              <w:spacing w:line="180" w:lineRule="exact"/>
              <w:rPr>
                <w:color w:val="000000" w:themeColor="text1"/>
              </w:rPr>
            </w:pPr>
            <w:r w:rsidRPr="00286216">
              <w:rPr>
                <w:color w:val="000000" w:themeColor="text1"/>
                <w:spacing w:val="-3"/>
              </w:rPr>
              <w:t>єдиний регулятор для ринків капіталу та організованих товарних ринків  – НКЦПФР,</w:t>
            </w:r>
          </w:p>
        </w:tc>
        <w:tc>
          <w:tcPr>
            <w:tcW w:w="4818" w:type="dxa"/>
          </w:tcPr>
          <w:p w14:paraId="04934A0C" w14:textId="77777777" w:rsidR="00826C07" w:rsidRPr="00286216" w:rsidRDefault="00826C07" w:rsidP="00826C07">
            <w:pPr>
              <w:pStyle w:val="StyleZakonu"/>
              <w:rPr>
                <w:color w:val="000000" w:themeColor="text1"/>
              </w:rPr>
            </w:pPr>
          </w:p>
        </w:tc>
      </w:tr>
      <w:tr w:rsidR="00826C07" w:rsidRPr="00286216" w14:paraId="0CF5465E" w14:textId="77777777" w:rsidTr="00091AA5">
        <w:tc>
          <w:tcPr>
            <w:tcW w:w="576" w:type="dxa"/>
          </w:tcPr>
          <w:p w14:paraId="1FD49476" w14:textId="77777777" w:rsidR="00826C07" w:rsidRPr="00286216" w:rsidRDefault="00826C07" w:rsidP="00826C07">
            <w:pPr>
              <w:pStyle w:val="StyleWisnow"/>
              <w:rPr>
                <w:color w:val="000000" w:themeColor="text1"/>
              </w:rPr>
            </w:pPr>
            <w:bookmarkStart w:id="995" w:name="n1264" w:colFirst="0" w:colLast="0"/>
            <w:bookmarkEnd w:id="994"/>
            <w:r w:rsidRPr="00286216">
              <w:rPr>
                <w:color w:val="000000" w:themeColor="text1"/>
              </w:rPr>
              <w:t>1264.</w:t>
            </w:r>
          </w:p>
        </w:tc>
        <w:tc>
          <w:tcPr>
            <w:tcW w:w="4818" w:type="dxa"/>
          </w:tcPr>
          <w:p w14:paraId="39503ED8" w14:textId="77777777" w:rsidR="00826C07" w:rsidRPr="00286216" w:rsidRDefault="00826C07" w:rsidP="00826C07">
            <w:pPr>
              <w:pStyle w:val="StyleZakonu"/>
              <w:rPr>
                <w:color w:val="000000" w:themeColor="text1"/>
              </w:rPr>
            </w:pPr>
            <w:r w:rsidRPr="00286216">
              <w:rPr>
                <w:color w:val="000000" w:themeColor="text1"/>
              </w:rPr>
              <w:t>16. Юридична особа, яка має участь у професійному учаснику ринків капіталу та організованих товарних ринків, зобов’язана повідомляти такого професійного учасника ринків капіталу та організованих товарних і Національну комісію з цінних паперів та фондового ринку у встановленому нею порядку про всі зміни структури її власності, а також надавати інформацію про ділову репутацію новопризначених керівників у місячний строк з дня настання відповідних змін.</w:t>
            </w:r>
          </w:p>
        </w:tc>
        <w:tc>
          <w:tcPr>
            <w:tcW w:w="3686" w:type="dxa"/>
          </w:tcPr>
          <w:p w14:paraId="58A41E34" w14:textId="578B9869"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786</w:t>
            </w:r>
            <w:r w:rsidRPr="00286216">
              <w:rPr>
                <w:color w:val="000000" w:themeColor="text1"/>
                <w:spacing w:val="-10"/>
              </w:rPr>
              <w:fldChar w:fldCharType="end"/>
            </w:r>
            <w:r w:rsidRPr="00286216">
              <w:rPr>
                <w:color w:val="000000" w:themeColor="text1"/>
                <w:spacing w:val="-10"/>
              </w:rPr>
              <w:t>-Н.д.Гетманцев Д.О.(Реєстр.картка №245)</w:t>
            </w:r>
          </w:p>
          <w:p w14:paraId="2B278AE2" w14:textId="77777777" w:rsidR="00826C07" w:rsidRPr="00286216" w:rsidRDefault="00826C07" w:rsidP="00826C07">
            <w:pPr>
              <w:pStyle w:val="StyleProp"/>
              <w:rPr>
                <w:rFonts w:eastAsia="Calibri"/>
                <w:color w:val="000000" w:themeColor="text1"/>
                <w:szCs w:val="18"/>
              </w:rPr>
            </w:pPr>
            <w:r w:rsidRPr="00286216">
              <w:rPr>
                <w:color w:val="000000" w:themeColor="text1"/>
              </w:rPr>
              <w:t>У статті 70 у частині шістнадцятій слова «організованих товарних і» замінити словами «організованих товарних ринків і»</w:t>
            </w:r>
          </w:p>
        </w:tc>
        <w:tc>
          <w:tcPr>
            <w:tcW w:w="1987" w:type="dxa"/>
          </w:tcPr>
          <w:p w14:paraId="31C4FDAE" w14:textId="77777777" w:rsidR="00826C07" w:rsidRPr="00286216" w:rsidRDefault="00826C07" w:rsidP="00826C07">
            <w:pPr>
              <w:pStyle w:val="StyleWisnow"/>
              <w:rPr>
                <w:color w:val="000000" w:themeColor="text1"/>
              </w:rPr>
            </w:pPr>
            <w:r w:rsidRPr="00286216">
              <w:rPr>
                <w:color w:val="000000" w:themeColor="text1"/>
              </w:rPr>
              <w:t>Враховано</w:t>
            </w:r>
          </w:p>
          <w:p w14:paraId="6D44D898" w14:textId="5228B89B" w:rsidR="00826C07" w:rsidRPr="00286216" w:rsidRDefault="00826C07" w:rsidP="00826C07">
            <w:pPr>
              <w:pStyle w:val="StyleWisnow"/>
              <w:rPr>
                <w:color w:val="000000" w:themeColor="text1"/>
              </w:rPr>
            </w:pPr>
            <w:r w:rsidRPr="00286216">
              <w:rPr>
                <w:color w:val="000000" w:themeColor="text1"/>
              </w:rPr>
              <w:t>у запропонованій  редакції статті 74</w:t>
            </w:r>
          </w:p>
        </w:tc>
        <w:tc>
          <w:tcPr>
            <w:tcW w:w="4818" w:type="dxa"/>
          </w:tcPr>
          <w:p w14:paraId="05363E00" w14:textId="77777777" w:rsidR="00826C07" w:rsidRPr="00286216" w:rsidRDefault="00826C07" w:rsidP="00826C07">
            <w:pPr>
              <w:pStyle w:val="StyleZakonu"/>
              <w:rPr>
                <w:color w:val="000000" w:themeColor="text1"/>
              </w:rPr>
            </w:pPr>
          </w:p>
        </w:tc>
      </w:tr>
      <w:tr w:rsidR="00826C07" w:rsidRPr="00286216" w14:paraId="3A992314" w14:textId="77777777" w:rsidTr="00091AA5">
        <w:tc>
          <w:tcPr>
            <w:tcW w:w="576" w:type="dxa"/>
          </w:tcPr>
          <w:p w14:paraId="389938C0" w14:textId="77777777" w:rsidR="00826C07" w:rsidRPr="00286216" w:rsidRDefault="00826C07" w:rsidP="00826C07">
            <w:pPr>
              <w:pStyle w:val="StyleWisnow"/>
              <w:rPr>
                <w:color w:val="000000" w:themeColor="text1"/>
              </w:rPr>
            </w:pPr>
            <w:bookmarkStart w:id="996" w:name="n1265" w:colFirst="0" w:colLast="0"/>
            <w:bookmarkEnd w:id="995"/>
            <w:r w:rsidRPr="00286216">
              <w:rPr>
                <w:color w:val="000000" w:themeColor="text1"/>
              </w:rPr>
              <w:t>1265.</w:t>
            </w:r>
          </w:p>
        </w:tc>
        <w:tc>
          <w:tcPr>
            <w:tcW w:w="4818" w:type="dxa"/>
          </w:tcPr>
          <w:p w14:paraId="6922E4DB" w14:textId="77777777" w:rsidR="00826C07" w:rsidRPr="00286216" w:rsidRDefault="00826C07" w:rsidP="00826C07">
            <w:pPr>
              <w:pStyle w:val="StyleZakonu"/>
              <w:rPr>
                <w:color w:val="000000" w:themeColor="text1"/>
              </w:rPr>
            </w:pPr>
            <w:r w:rsidRPr="00286216">
              <w:rPr>
                <w:color w:val="000000" w:themeColor="text1"/>
              </w:rPr>
              <w:t>Фізична особа, яка має участь у професійному учаснику ринків капіталу та організованих товарних ринків, зобов’язана повідомляти такого професійного учасника ринків капіталу та організованих товарних ринків та Національну комісію з цінних паперів та фондового ринку у встановленому нею порядку про всі зміни в інформації, яку вона подала згідно з вимогами цієї статті.</w:t>
            </w:r>
          </w:p>
        </w:tc>
        <w:tc>
          <w:tcPr>
            <w:tcW w:w="3686" w:type="dxa"/>
          </w:tcPr>
          <w:p w14:paraId="7AB28DDB" w14:textId="77777777" w:rsidR="00826C07" w:rsidRPr="00286216" w:rsidRDefault="00826C07" w:rsidP="00826C07">
            <w:pPr>
              <w:pStyle w:val="StyleProp"/>
              <w:rPr>
                <w:rFonts w:eastAsia="Calibri"/>
                <w:color w:val="000000" w:themeColor="text1"/>
                <w:szCs w:val="18"/>
              </w:rPr>
            </w:pPr>
          </w:p>
        </w:tc>
        <w:tc>
          <w:tcPr>
            <w:tcW w:w="1987" w:type="dxa"/>
          </w:tcPr>
          <w:p w14:paraId="2238B6EF" w14:textId="77777777" w:rsidR="00826C07" w:rsidRPr="00286216" w:rsidRDefault="00826C07" w:rsidP="00826C07">
            <w:pPr>
              <w:pStyle w:val="StyleWisnow"/>
              <w:spacing w:line="180" w:lineRule="exact"/>
              <w:rPr>
                <w:color w:val="000000" w:themeColor="text1"/>
              </w:rPr>
            </w:pPr>
          </w:p>
        </w:tc>
        <w:tc>
          <w:tcPr>
            <w:tcW w:w="4818" w:type="dxa"/>
          </w:tcPr>
          <w:p w14:paraId="74CEBF98" w14:textId="77777777" w:rsidR="00826C07" w:rsidRPr="00286216" w:rsidRDefault="00826C07" w:rsidP="00826C07">
            <w:pPr>
              <w:pStyle w:val="StyleZakonu"/>
              <w:rPr>
                <w:color w:val="000000" w:themeColor="text1"/>
              </w:rPr>
            </w:pPr>
          </w:p>
        </w:tc>
      </w:tr>
      <w:tr w:rsidR="00826C07" w:rsidRPr="00286216" w14:paraId="4A22AF29" w14:textId="77777777" w:rsidTr="00091AA5">
        <w:tc>
          <w:tcPr>
            <w:tcW w:w="576" w:type="dxa"/>
          </w:tcPr>
          <w:p w14:paraId="1FE38FA8" w14:textId="77777777" w:rsidR="00826C07" w:rsidRPr="00286216" w:rsidRDefault="00826C07" w:rsidP="00826C07">
            <w:pPr>
              <w:pStyle w:val="StyleWisnow"/>
              <w:rPr>
                <w:color w:val="000000" w:themeColor="text1"/>
              </w:rPr>
            </w:pPr>
            <w:bookmarkStart w:id="997" w:name="n1266" w:colFirst="0" w:colLast="0"/>
            <w:bookmarkEnd w:id="996"/>
            <w:r w:rsidRPr="00286216">
              <w:rPr>
                <w:color w:val="000000" w:themeColor="text1"/>
              </w:rPr>
              <w:t>1266.</w:t>
            </w:r>
          </w:p>
        </w:tc>
        <w:tc>
          <w:tcPr>
            <w:tcW w:w="4818" w:type="dxa"/>
          </w:tcPr>
          <w:p w14:paraId="780AEE41" w14:textId="77777777" w:rsidR="00826C07" w:rsidRPr="00286216" w:rsidRDefault="00826C07" w:rsidP="00826C07">
            <w:pPr>
              <w:pStyle w:val="StyleZakonu"/>
              <w:rPr>
                <w:color w:val="000000" w:themeColor="text1"/>
              </w:rPr>
            </w:pPr>
            <w:r w:rsidRPr="00286216">
              <w:rPr>
                <w:color w:val="000000" w:themeColor="text1"/>
              </w:rPr>
              <w:t>Юридична чи фізична особа, яка має намір передати участь у професійному учаснику ринків капіталу та організованих товарних ринків будь-якій іншій особі, зменшити таку участь або передати контроль над професійним учасником ринків капіталу та організованих товарних ринків іншій особі, має повідомити про це професійного учасника ринків капіталу та організованих товарних ринків і Національну комісію з цінних паперів та фондового ринку в установленому нею порядку.</w:t>
            </w:r>
          </w:p>
        </w:tc>
        <w:tc>
          <w:tcPr>
            <w:tcW w:w="3686" w:type="dxa"/>
          </w:tcPr>
          <w:p w14:paraId="566325BA" w14:textId="69E3676B"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787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4AB42FD" w14:textId="77777777" w:rsidR="00826C07" w:rsidRPr="00286216" w:rsidRDefault="00826C07" w:rsidP="00826C07">
            <w:pPr>
              <w:pStyle w:val="StyleProp"/>
              <w:rPr>
                <w:color w:val="000000" w:themeColor="text1"/>
                <w:szCs w:val="18"/>
              </w:rPr>
            </w:pPr>
            <w:r w:rsidRPr="00286216">
              <w:rPr>
                <w:color w:val="000000" w:themeColor="text1"/>
                <w:szCs w:val="18"/>
              </w:rPr>
              <w:t>Статтю 70 нової редакції Закону доповнити новою частиною такого змісту:</w:t>
            </w:r>
          </w:p>
          <w:p w14:paraId="2935A566"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 xml:space="preserve">«17. У разі зменшення показників діяльності професійного учасника ринків капіталу та організованих товарних ринків, що використовуються для вимірювання та оцінки ризиків його діяльності таким чином, що існує ризик невиконання ним пруденційних нормативів, встановлених Національною комісією з цінних паперів та фондового ринку, особа, яка має участь у такому професійному учаснику ринків капіталу та організованих товарних ринків, та </w:t>
            </w:r>
            <w:r w:rsidRPr="00286216">
              <w:rPr>
                <w:color w:val="000000" w:themeColor="text1"/>
                <w:szCs w:val="18"/>
              </w:rPr>
              <w:lastRenderedPageBreak/>
              <w:t>є його контролером зобов’язана надати необхідну фінансову допомогу такому професійному учаснику в рамках вжиття заходів з метою приведення діяльності професійного учасника ринків капіталу та організованих товарних ринків у відповідність із вимогами законодавства.».</w:t>
            </w:r>
          </w:p>
        </w:tc>
        <w:tc>
          <w:tcPr>
            <w:tcW w:w="1987" w:type="dxa"/>
          </w:tcPr>
          <w:p w14:paraId="0A170A75" w14:textId="77777777"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p w14:paraId="30F8DA29" w14:textId="4CCCC0F0"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74</w:t>
            </w:r>
          </w:p>
          <w:p w14:paraId="55D61E73" w14:textId="77777777" w:rsidR="00826C07" w:rsidRPr="00286216" w:rsidRDefault="00826C07" w:rsidP="00826C07">
            <w:pPr>
              <w:pStyle w:val="StyleWisnow"/>
              <w:rPr>
                <w:color w:val="000000" w:themeColor="text1"/>
              </w:rPr>
            </w:pPr>
          </w:p>
        </w:tc>
        <w:tc>
          <w:tcPr>
            <w:tcW w:w="4818" w:type="dxa"/>
          </w:tcPr>
          <w:p w14:paraId="125B0D87" w14:textId="77777777" w:rsidR="00826C07" w:rsidRPr="00286216" w:rsidRDefault="00826C07" w:rsidP="00826C07">
            <w:pPr>
              <w:pStyle w:val="StyleZakonu"/>
              <w:rPr>
                <w:color w:val="000000" w:themeColor="text1"/>
              </w:rPr>
            </w:pPr>
          </w:p>
        </w:tc>
      </w:tr>
      <w:tr w:rsidR="00826C07" w:rsidRPr="00286216" w14:paraId="5BBB36A6" w14:textId="77777777" w:rsidTr="00091AA5">
        <w:tc>
          <w:tcPr>
            <w:tcW w:w="576" w:type="dxa"/>
          </w:tcPr>
          <w:p w14:paraId="2FA69DCC" w14:textId="77777777" w:rsidR="00826C07" w:rsidRPr="00286216" w:rsidRDefault="00826C07" w:rsidP="00826C07">
            <w:pPr>
              <w:pStyle w:val="StyleWisnow"/>
              <w:rPr>
                <w:color w:val="000000" w:themeColor="text1"/>
              </w:rPr>
            </w:pPr>
            <w:bookmarkStart w:id="998" w:name="n1267" w:colFirst="0" w:colLast="0"/>
            <w:bookmarkEnd w:id="997"/>
            <w:r w:rsidRPr="00286216">
              <w:rPr>
                <w:color w:val="000000" w:themeColor="text1"/>
              </w:rPr>
              <w:t>1267.</w:t>
            </w:r>
          </w:p>
        </w:tc>
        <w:tc>
          <w:tcPr>
            <w:tcW w:w="4818" w:type="dxa"/>
          </w:tcPr>
          <w:p w14:paraId="26007626" w14:textId="77777777" w:rsidR="00826C07" w:rsidRPr="00286216" w:rsidRDefault="00826C07" w:rsidP="00826C07">
            <w:pPr>
              <w:pStyle w:val="StyleZakonu"/>
              <w:rPr>
                <w:color w:val="000000" w:themeColor="text1"/>
              </w:rPr>
            </w:pPr>
            <w:r w:rsidRPr="00286216">
              <w:rPr>
                <w:color w:val="000000" w:themeColor="text1"/>
              </w:rPr>
              <w:t>17. Національна комісія з цінних паперів та фондового ринку має право визначати наявність значного впливу на управління або діяльність юридичної особи.</w:t>
            </w:r>
          </w:p>
        </w:tc>
        <w:tc>
          <w:tcPr>
            <w:tcW w:w="3686" w:type="dxa"/>
          </w:tcPr>
          <w:p w14:paraId="7AC15DE0" w14:textId="222A1E5B"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788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73B64EA" w14:textId="77777777" w:rsidR="00826C07" w:rsidRPr="00286216" w:rsidRDefault="00826C07" w:rsidP="00826C07">
            <w:pPr>
              <w:pStyle w:val="StyleProp"/>
              <w:spacing w:line="180" w:lineRule="exact"/>
              <w:rPr>
                <w:rFonts w:eastAsia="Calibri"/>
                <w:i/>
                <w:color w:val="000000" w:themeColor="text1"/>
                <w:szCs w:val="18"/>
              </w:rPr>
            </w:pPr>
            <w:r w:rsidRPr="00286216">
              <w:rPr>
                <w:rFonts w:eastAsia="Calibri"/>
                <w:color w:val="000000" w:themeColor="text1"/>
                <w:szCs w:val="18"/>
              </w:rPr>
              <w:t xml:space="preserve">Частину 17 статті 70 виключити та передбачити відповідні зміни до статті 7 Закону України Про </w:t>
            </w:r>
            <w:r w:rsidRPr="00286216">
              <w:rPr>
                <w:rStyle w:val="rvts23"/>
                <w:color w:val="000000" w:themeColor="text1"/>
              </w:rPr>
              <w:t>державне регулювання ринку цінних паперів в Україні".</w:t>
            </w:r>
          </w:p>
        </w:tc>
        <w:tc>
          <w:tcPr>
            <w:tcW w:w="1987" w:type="dxa"/>
          </w:tcPr>
          <w:p w14:paraId="1FB1E3DD" w14:textId="6FE29BC4" w:rsidR="00826C07" w:rsidRPr="00286216" w:rsidRDefault="00826C07" w:rsidP="00826C07">
            <w:pPr>
              <w:pStyle w:val="StyleWisnow"/>
              <w:spacing w:line="180" w:lineRule="exact"/>
              <w:rPr>
                <w:color w:val="000000" w:themeColor="text1"/>
              </w:rPr>
            </w:pPr>
            <w:r w:rsidRPr="00286216">
              <w:rPr>
                <w:color w:val="000000" w:themeColor="text1"/>
              </w:rPr>
              <w:t>Враховано</w:t>
            </w:r>
          </w:p>
        </w:tc>
        <w:tc>
          <w:tcPr>
            <w:tcW w:w="4818" w:type="dxa"/>
          </w:tcPr>
          <w:p w14:paraId="067F465E" w14:textId="77777777" w:rsidR="00826C07" w:rsidRPr="00286216" w:rsidRDefault="00826C07" w:rsidP="00826C07">
            <w:pPr>
              <w:pStyle w:val="StyleZakonu"/>
              <w:rPr>
                <w:color w:val="000000" w:themeColor="text1"/>
              </w:rPr>
            </w:pPr>
          </w:p>
        </w:tc>
      </w:tr>
      <w:tr w:rsidR="00826C07" w:rsidRPr="00286216" w14:paraId="1B9E7662" w14:textId="77777777" w:rsidTr="00091AA5">
        <w:tc>
          <w:tcPr>
            <w:tcW w:w="576" w:type="dxa"/>
          </w:tcPr>
          <w:p w14:paraId="382C687B" w14:textId="77777777" w:rsidR="00826C07" w:rsidRPr="00286216" w:rsidRDefault="00826C07" w:rsidP="00826C07">
            <w:pPr>
              <w:pStyle w:val="StyleWisnow"/>
              <w:rPr>
                <w:color w:val="000000" w:themeColor="text1"/>
              </w:rPr>
            </w:pPr>
            <w:bookmarkStart w:id="999" w:name="n1268" w:colFirst="0" w:colLast="0"/>
            <w:bookmarkEnd w:id="998"/>
            <w:r w:rsidRPr="00286216">
              <w:rPr>
                <w:color w:val="000000" w:themeColor="text1"/>
              </w:rPr>
              <w:t>1268.</w:t>
            </w:r>
          </w:p>
        </w:tc>
        <w:tc>
          <w:tcPr>
            <w:tcW w:w="4818" w:type="dxa"/>
          </w:tcPr>
          <w:p w14:paraId="1AB0F8EC" w14:textId="77777777" w:rsidR="00826C07" w:rsidRPr="00286216" w:rsidRDefault="00826C07" w:rsidP="00826C07">
            <w:pPr>
              <w:pStyle w:val="StyleZakonu"/>
              <w:rPr>
                <w:color w:val="000000" w:themeColor="text1"/>
              </w:rPr>
            </w:pPr>
            <w:r w:rsidRPr="00286216">
              <w:rPr>
                <w:color w:val="000000" w:themeColor="text1"/>
              </w:rPr>
              <w:t>18. Особа, яка набула участь у професійному учаснику ринків капіталу та організованих товарних ринків (крім банків) або збільшила її з порушенням вимог цієї статті не має права користуватися правом голосу за акціями (частками), які вона набула з порушенням вимог цієї статті.</w:t>
            </w:r>
          </w:p>
        </w:tc>
        <w:tc>
          <w:tcPr>
            <w:tcW w:w="3686" w:type="dxa"/>
          </w:tcPr>
          <w:p w14:paraId="124A3F18" w14:textId="2A381F3C"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789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5632887" w14:textId="77777777" w:rsidR="00826C07" w:rsidRPr="00286216" w:rsidRDefault="00826C07" w:rsidP="00826C07">
            <w:pPr>
              <w:pStyle w:val="StyleProp"/>
              <w:rPr>
                <w:rFonts w:eastAsia="Calibri"/>
                <w:i/>
                <w:color w:val="000000" w:themeColor="text1"/>
                <w:szCs w:val="18"/>
              </w:rPr>
            </w:pPr>
            <w:r w:rsidRPr="00286216">
              <w:rPr>
                <w:rFonts w:eastAsia="Calibri"/>
                <w:color w:val="000000" w:themeColor="text1"/>
                <w:szCs w:val="18"/>
              </w:rPr>
              <w:t>Частину вісімнадцяту статті 70 виключити.</w:t>
            </w:r>
          </w:p>
        </w:tc>
        <w:tc>
          <w:tcPr>
            <w:tcW w:w="1987" w:type="dxa"/>
          </w:tcPr>
          <w:p w14:paraId="52DE07EF" w14:textId="62C60522" w:rsidR="00826C07" w:rsidRPr="00286216" w:rsidRDefault="00826C07" w:rsidP="00826C07">
            <w:pPr>
              <w:pStyle w:val="StyleWisnow"/>
              <w:spacing w:line="180" w:lineRule="exact"/>
              <w:rPr>
                <w:color w:val="000000" w:themeColor="text1"/>
              </w:rPr>
            </w:pPr>
            <w:r w:rsidRPr="00286216">
              <w:rPr>
                <w:color w:val="000000" w:themeColor="text1"/>
                <w:lang w:val="ru-RU"/>
              </w:rPr>
              <w:t>Враховано редакційно</w:t>
            </w:r>
          </w:p>
          <w:p w14:paraId="0FA014AE" w14:textId="77777777" w:rsidR="00826C07" w:rsidRPr="00286216" w:rsidRDefault="00826C07" w:rsidP="00826C07">
            <w:pPr>
              <w:pStyle w:val="StyleWisnow"/>
              <w:spacing w:line="180" w:lineRule="exact"/>
              <w:rPr>
                <w:color w:val="000000" w:themeColor="text1"/>
              </w:rPr>
            </w:pPr>
          </w:p>
        </w:tc>
        <w:tc>
          <w:tcPr>
            <w:tcW w:w="4818" w:type="dxa"/>
          </w:tcPr>
          <w:p w14:paraId="0B461BA0" w14:textId="77777777" w:rsidR="00826C07" w:rsidRPr="00286216" w:rsidRDefault="00826C07" w:rsidP="00826C07">
            <w:pPr>
              <w:pStyle w:val="StyleZakonu"/>
              <w:rPr>
                <w:color w:val="000000" w:themeColor="text1"/>
              </w:rPr>
            </w:pPr>
          </w:p>
        </w:tc>
      </w:tr>
      <w:bookmarkEnd w:id="999"/>
      <w:tr w:rsidR="00826C07" w:rsidRPr="00286216" w14:paraId="3C57506A" w14:textId="77777777" w:rsidTr="00091AA5">
        <w:tc>
          <w:tcPr>
            <w:tcW w:w="576" w:type="dxa"/>
          </w:tcPr>
          <w:p w14:paraId="29305C5A" w14:textId="77777777" w:rsidR="00826C07" w:rsidRPr="00286216" w:rsidRDefault="00826C07" w:rsidP="00826C07">
            <w:pPr>
              <w:pStyle w:val="StyleWisnow"/>
              <w:rPr>
                <w:color w:val="000000" w:themeColor="text1"/>
              </w:rPr>
            </w:pPr>
          </w:p>
        </w:tc>
        <w:tc>
          <w:tcPr>
            <w:tcW w:w="4818" w:type="dxa"/>
          </w:tcPr>
          <w:p w14:paraId="3F53BEDD" w14:textId="77777777" w:rsidR="00826C07" w:rsidRPr="00286216" w:rsidRDefault="00826C07" w:rsidP="00826C07">
            <w:pPr>
              <w:pStyle w:val="StyleZakonu"/>
              <w:rPr>
                <w:color w:val="000000" w:themeColor="text1"/>
              </w:rPr>
            </w:pPr>
          </w:p>
        </w:tc>
        <w:tc>
          <w:tcPr>
            <w:tcW w:w="3686" w:type="dxa"/>
          </w:tcPr>
          <w:p w14:paraId="0ACDF9C8" w14:textId="397C4930"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790</w:t>
            </w:r>
            <w:r w:rsidRPr="00286216">
              <w:rPr>
                <w:color w:val="000000" w:themeColor="text1"/>
                <w:spacing w:val="-10"/>
              </w:rPr>
              <w:fldChar w:fldCharType="end"/>
            </w:r>
            <w:r w:rsidRPr="00286216">
              <w:rPr>
                <w:color w:val="000000" w:themeColor="text1"/>
                <w:spacing w:val="-10"/>
              </w:rPr>
              <w:t>-Н.д.Гетманцев Д.О.(Реєстр.картка №245)</w:t>
            </w:r>
          </w:p>
          <w:p w14:paraId="1AF42ACD" w14:textId="77777777" w:rsidR="00826C07" w:rsidRPr="00286216" w:rsidRDefault="00826C07" w:rsidP="00826C07">
            <w:pPr>
              <w:pStyle w:val="StyleProp"/>
              <w:rPr>
                <w:color w:val="000000" w:themeColor="text1"/>
                <w:spacing w:val="-2"/>
              </w:rPr>
            </w:pPr>
            <w:r w:rsidRPr="00286216">
              <w:rPr>
                <w:color w:val="000000" w:themeColor="text1"/>
                <w:spacing w:val="-2"/>
              </w:rPr>
              <w:t>У статті 70 доповнити новою частиною наступного змісту:</w:t>
            </w:r>
          </w:p>
          <w:p w14:paraId="241AB658" w14:textId="77777777" w:rsidR="00826C07" w:rsidRPr="00286216" w:rsidRDefault="00826C07" w:rsidP="00826C07">
            <w:pPr>
              <w:pStyle w:val="StyleProp"/>
              <w:rPr>
                <w:color w:val="000000" w:themeColor="text1"/>
                <w:spacing w:val="-3"/>
                <w:sz w:val="20"/>
              </w:rPr>
            </w:pPr>
            <w:r w:rsidRPr="00286216">
              <w:rPr>
                <w:color w:val="000000" w:themeColor="text1"/>
                <w:spacing w:val="-4"/>
              </w:rPr>
              <w:t>"18. Професійний учасник ринків капіталу та</w:t>
            </w:r>
            <w:r w:rsidRPr="00286216">
              <w:rPr>
                <w:color w:val="000000" w:themeColor="text1"/>
                <w:spacing w:val="-3"/>
              </w:rPr>
              <w:t xml:space="preserve"> організованих товарних ринків щороку подає Національній комісії з цінних паперів та фондового ринку інформацію про свою структуру власності у строки, порядку та за формою, що встановлюються Національною </w:t>
            </w:r>
            <w:r w:rsidRPr="00286216">
              <w:rPr>
                <w:color w:val="000000" w:themeColor="text1"/>
                <w:spacing w:val="-4"/>
              </w:rPr>
              <w:t>комісією з цінних паперів та фондового ринку".</w:t>
            </w:r>
          </w:p>
        </w:tc>
        <w:tc>
          <w:tcPr>
            <w:tcW w:w="1987" w:type="dxa"/>
          </w:tcPr>
          <w:p w14:paraId="2FD20677" w14:textId="77777777" w:rsidR="00826C07" w:rsidRPr="00286216" w:rsidRDefault="00826C07" w:rsidP="00826C07">
            <w:pPr>
              <w:pStyle w:val="StyleWisnow"/>
              <w:rPr>
                <w:color w:val="000000" w:themeColor="text1"/>
              </w:rPr>
            </w:pPr>
            <w:r w:rsidRPr="00286216">
              <w:rPr>
                <w:color w:val="000000" w:themeColor="text1"/>
              </w:rPr>
              <w:t xml:space="preserve">Враховано по суті </w:t>
            </w:r>
          </w:p>
          <w:p w14:paraId="274EDB6C" w14:textId="69CDB70D" w:rsidR="00826C07" w:rsidRPr="00286216" w:rsidRDefault="00826C07" w:rsidP="00826C07">
            <w:pPr>
              <w:pStyle w:val="StyleWisnow"/>
              <w:spacing w:line="180" w:lineRule="exact"/>
              <w:rPr>
                <w:color w:val="000000" w:themeColor="text1"/>
              </w:rPr>
            </w:pPr>
            <w:r w:rsidRPr="00286216">
              <w:rPr>
                <w:color w:val="000000" w:themeColor="text1"/>
              </w:rPr>
              <w:t>в запропонованій редакції статті 131</w:t>
            </w:r>
          </w:p>
        </w:tc>
        <w:tc>
          <w:tcPr>
            <w:tcW w:w="4818" w:type="dxa"/>
          </w:tcPr>
          <w:p w14:paraId="1744900F" w14:textId="77777777" w:rsidR="00826C07" w:rsidRPr="00286216" w:rsidRDefault="00826C07" w:rsidP="00826C07">
            <w:pPr>
              <w:pStyle w:val="StyleZakonu"/>
              <w:rPr>
                <w:color w:val="000000" w:themeColor="text1"/>
              </w:rPr>
            </w:pPr>
          </w:p>
        </w:tc>
      </w:tr>
      <w:tr w:rsidR="00826C07" w:rsidRPr="00286216" w14:paraId="18D159AA" w14:textId="77777777" w:rsidTr="00091AA5">
        <w:tc>
          <w:tcPr>
            <w:tcW w:w="576" w:type="dxa"/>
          </w:tcPr>
          <w:p w14:paraId="7CB4B87D" w14:textId="77777777" w:rsidR="00826C07" w:rsidRPr="00286216" w:rsidRDefault="00826C07" w:rsidP="00826C07">
            <w:pPr>
              <w:pStyle w:val="StyleWisnow"/>
              <w:rPr>
                <w:color w:val="000000" w:themeColor="text1"/>
              </w:rPr>
            </w:pPr>
          </w:p>
        </w:tc>
        <w:tc>
          <w:tcPr>
            <w:tcW w:w="4818" w:type="dxa"/>
          </w:tcPr>
          <w:p w14:paraId="3C168647" w14:textId="77777777" w:rsidR="00826C07" w:rsidRPr="00286216" w:rsidRDefault="00826C07" w:rsidP="00826C07">
            <w:pPr>
              <w:pStyle w:val="StyleZakonu"/>
              <w:rPr>
                <w:color w:val="000000" w:themeColor="text1"/>
              </w:rPr>
            </w:pPr>
          </w:p>
        </w:tc>
        <w:tc>
          <w:tcPr>
            <w:tcW w:w="3686" w:type="dxa"/>
          </w:tcPr>
          <w:p w14:paraId="472A16CD" w14:textId="479858A9"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791</w:t>
            </w:r>
            <w:r w:rsidRPr="00286216">
              <w:rPr>
                <w:color w:val="000000" w:themeColor="text1"/>
              </w:rPr>
              <w:fldChar w:fldCharType="end"/>
            </w:r>
            <w:r w:rsidRPr="00286216">
              <w:rPr>
                <w:color w:val="000000" w:themeColor="text1"/>
              </w:rPr>
              <w:t>-Н.д.Шахов С.В. (Реєстр.картка №114)</w:t>
            </w:r>
          </w:p>
          <w:p w14:paraId="34B99B7A" w14:textId="77777777" w:rsidR="00826C07" w:rsidRPr="00286216" w:rsidRDefault="00826C07" w:rsidP="00826C07">
            <w:pPr>
              <w:pStyle w:val="StyleProp"/>
              <w:rPr>
                <w:color w:val="000000" w:themeColor="text1"/>
                <w:spacing w:val="-2"/>
              </w:rPr>
            </w:pPr>
            <w:r w:rsidRPr="00286216">
              <w:rPr>
                <w:color w:val="000000" w:themeColor="text1"/>
                <w:spacing w:val="-2"/>
              </w:rPr>
              <w:t>Ст.70 доповнити частиною такого змісту:</w:t>
            </w:r>
          </w:p>
          <w:p w14:paraId="4F8E6B77" w14:textId="77777777" w:rsidR="00826C07" w:rsidRPr="00286216" w:rsidRDefault="00826C07" w:rsidP="00826C07">
            <w:pPr>
              <w:pStyle w:val="StyleProp"/>
              <w:rPr>
                <w:color w:val="000000" w:themeColor="text1"/>
                <w:spacing w:val="-2"/>
                <w:szCs w:val="18"/>
              </w:rPr>
            </w:pPr>
            <w:r w:rsidRPr="00286216">
              <w:rPr>
                <w:color w:val="000000" w:themeColor="text1"/>
                <w:spacing w:val="-2"/>
                <w:szCs w:val="18"/>
              </w:rPr>
              <w:t>"19. Участь у товарній біржі як у професійному учаснику організованих товарних ринків регулюється виключно Законом України "Про товарну біржу" та законодавством про товарні ринки.</w:t>
            </w:r>
          </w:p>
          <w:p w14:paraId="25BD8D66" w14:textId="77777777" w:rsidR="00826C07" w:rsidRPr="00286216" w:rsidRDefault="00826C07" w:rsidP="00826C07">
            <w:pPr>
              <w:pStyle w:val="StyleProp"/>
              <w:rPr>
                <w:color w:val="000000" w:themeColor="text1"/>
                <w:szCs w:val="18"/>
              </w:rPr>
            </w:pPr>
            <w:r w:rsidRPr="00286216">
              <w:rPr>
                <w:color w:val="000000" w:themeColor="text1"/>
                <w:spacing w:val="-2"/>
                <w:szCs w:val="18"/>
              </w:rPr>
              <w:t>Участь у операторі регульованого товарного ринку, операторі організованого ринку поставних товарних деривативних контрактів, особі, що провадить клірингову діяльність (у тому числі, клірингову діяльність центрального контрагента), регулюється законодавством про товарні ринки".</w:t>
            </w:r>
          </w:p>
        </w:tc>
        <w:tc>
          <w:tcPr>
            <w:tcW w:w="1987" w:type="dxa"/>
          </w:tcPr>
          <w:p w14:paraId="73E63B5F" w14:textId="77777777" w:rsidR="00826C07" w:rsidRPr="00286216" w:rsidRDefault="00826C07" w:rsidP="00826C07">
            <w:pPr>
              <w:pStyle w:val="StyleWisnow"/>
              <w:rPr>
                <w:color w:val="000000" w:themeColor="text1"/>
              </w:rPr>
            </w:pPr>
            <w:r w:rsidRPr="00286216">
              <w:rPr>
                <w:color w:val="000000" w:themeColor="text1"/>
              </w:rPr>
              <w:t>Відхилено</w:t>
            </w:r>
          </w:p>
          <w:p w14:paraId="7D064020" w14:textId="13F4525B" w:rsidR="00826C07" w:rsidRPr="00286216" w:rsidRDefault="00826C07" w:rsidP="00826C07">
            <w:pPr>
              <w:pStyle w:val="StyleWisnow"/>
              <w:rPr>
                <w:color w:val="000000" w:themeColor="text1"/>
              </w:rPr>
            </w:pPr>
          </w:p>
        </w:tc>
        <w:tc>
          <w:tcPr>
            <w:tcW w:w="4818" w:type="dxa"/>
          </w:tcPr>
          <w:p w14:paraId="73D6F712" w14:textId="77777777" w:rsidR="00826C07" w:rsidRPr="00286216" w:rsidRDefault="00826C07" w:rsidP="00826C07">
            <w:pPr>
              <w:pStyle w:val="StyleZakonu"/>
              <w:rPr>
                <w:color w:val="000000" w:themeColor="text1"/>
              </w:rPr>
            </w:pPr>
          </w:p>
        </w:tc>
      </w:tr>
      <w:tr w:rsidR="00B352CE" w:rsidRPr="00286216" w14:paraId="1BD43951" w14:textId="77777777" w:rsidTr="00091AA5">
        <w:tc>
          <w:tcPr>
            <w:tcW w:w="576" w:type="dxa"/>
          </w:tcPr>
          <w:p w14:paraId="3269866E" w14:textId="77777777" w:rsidR="00B352CE" w:rsidRPr="00286216" w:rsidRDefault="00B352CE" w:rsidP="00B352CE">
            <w:pPr>
              <w:pStyle w:val="StyleWisnow"/>
              <w:rPr>
                <w:color w:val="000000" w:themeColor="text1"/>
              </w:rPr>
            </w:pPr>
            <w:bookmarkStart w:id="1000" w:name="n1269" w:colFirst="0" w:colLast="0"/>
            <w:r w:rsidRPr="00286216">
              <w:rPr>
                <w:color w:val="000000" w:themeColor="text1"/>
              </w:rPr>
              <w:t>1269.</w:t>
            </w:r>
          </w:p>
        </w:tc>
        <w:tc>
          <w:tcPr>
            <w:tcW w:w="4818" w:type="dxa"/>
          </w:tcPr>
          <w:p w14:paraId="1557023B" w14:textId="77777777" w:rsidR="00B352CE" w:rsidRPr="00286216" w:rsidRDefault="00B352CE" w:rsidP="00B352CE">
            <w:pPr>
              <w:pStyle w:val="StyleZakonu"/>
              <w:rPr>
                <w:color w:val="000000" w:themeColor="text1"/>
              </w:rPr>
            </w:pPr>
            <w:bookmarkStart w:id="1001" w:name="_Ref18063511"/>
            <w:r w:rsidRPr="00286216">
              <w:rPr>
                <w:color w:val="000000" w:themeColor="text1"/>
              </w:rPr>
              <w:t>Стаття 71. Наслідки недотримання вимог щодо набуття або збільшення участі у професійному учаснику ринків капіталу та організованих товарних ринків</w:t>
            </w:r>
            <w:bookmarkEnd w:id="1001"/>
          </w:p>
        </w:tc>
        <w:tc>
          <w:tcPr>
            <w:tcW w:w="3686" w:type="dxa"/>
          </w:tcPr>
          <w:p w14:paraId="45FD43DC" w14:textId="77777777" w:rsidR="00B352CE" w:rsidRPr="00286216" w:rsidRDefault="00B352CE" w:rsidP="00B352CE">
            <w:pPr>
              <w:pStyle w:val="StyleProp"/>
              <w:rPr>
                <w:color w:val="000000" w:themeColor="text1"/>
                <w:szCs w:val="18"/>
              </w:rPr>
            </w:pPr>
          </w:p>
        </w:tc>
        <w:tc>
          <w:tcPr>
            <w:tcW w:w="1987" w:type="dxa"/>
          </w:tcPr>
          <w:p w14:paraId="20213221" w14:textId="77777777" w:rsidR="00B352CE" w:rsidRPr="00286216" w:rsidRDefault="00B352CE" w:rsidP="00B352CE">
            <w:pPr>
              <w:pStyle w:val="StyleWisnow"/>
              <w:rPr>
                <w:color w:val="000000" w:themeColor="text1"/>
              </w:rPr>
            </w:pPr>
          </w:p>
        </w:tc>
        <w:tc>
          <w:tcPr>
            <w:tcW w:w="4818" w:type="dxa"/>
          </w:tcPr>
          <w:p w14:paraId="348CE259" w14:textId="19529A91" w:rsidR="00B352CE" w:rsidRPr="00286216" w:rsidRDefault="00B352CE" w:rsidP="00B352CE">
            <w:pPr>
              <w:pStyle w:val="StyleZakonu"/>
              <w:rPr>
                <w:color w:val="000000" w:themeColor="text1"/>
              </w:rPr>
            </w:pPr>
            <w:r w:rsidRPr="00286216">
              <w:rPr>
                <w:color w:val="000000" w:themeColor="text1"/>
              </w:rPr>
              <w:t>Стаття 75. Наслідки недотримання вимог щодо набуття або збільшення участі у професійному учаснику ринків капіталу та організованих товарних ринків</w:t>
            </w:r>
          </w:p>
        </w:tc>
      </w:tr>
      <w:tr w:rsidR="00B352CE" w:rsidRPr="00286216" w14:paraId="4E76DB51" w14:textId="77777777" w:rsidTr="00091AA5">
        <w:tc>
          <w:tcPr>
            <w:tcW w:w="576" w:type="dxa"/>
          </w:tcPr>
          <w:p w14:paraId="37A788C1" w14:textId="77777777" w:rsidR="00B352CE" w:rsidRPr="00286216" w:rsidRDefault="00B352CE" w:rsidP="00B352CE">
            <w:pPr>
              <w:pStyle w:val="StyleWisnow"/>
              <w:rPr>
                <w:color w:val="000000" w:themeColor="text1"/>
              </w:rPr>
            </w:pPr>
            <w:bookmarkStart w:id="1002" w:name="n1270" w:colFirst="0" w:colLast="0"/>
            <w:bookmarkEnd w:id="1000"/>
            <w:r w:rsidRPr="00286216">
              <w:rPr>
                <w:color w:val="000000" w:themeColor="text1"/>
              </w:rPr>
              <w:t>1270.</w:t>
            </w:r>
          </w:p>
        </w:tc>
        <w:tc>
          <w:tcPr>
            <w:tcW w:w="4818" w:type="dxa"/>
          </w:tcPr>
          <w:p w14:paraId="31363406" w14:textId="77777777" w:rsidR="00B352CE" w:rsidRPr="00286216" w:rsidRDefault="00B352CE" w:rsidP="00B352CE">
            <w:pPr>
              <w:pStyle w:val="StyleZakonu"/>
              <w:rPr>
                <w:color w:val="000000" w:themeColor="text1"/>
              </w:rPr>
            </w:pPr>
            <w:r w:rsidRPr="00286216">
              <w:rPr>
                <w:color w:val="000000" w:themeColor="text1"/>
              </w:rPr>
              <w:t xml:space="preserve">1. Юридична або фізична особа, яка набула участь у професійному учаснику ринків капіталу та організованих товарних ринків таким чином, що стала </w:t>
            </w:r>
            <w:r w:rsidRPr="00286216">
              <w:rPr>
                <w:color w:val="000000" w:themeColor="text1"/>
              </w:rPr>
              <w:lastRenderedPageBreak/>
              <w:t>прямо та/або опосередковано, самостійно чи спільно з іншими особами володіти 10, 25, 50 та 75 і більше відсотками статутного капіталу професійного учасника ринків капіталу та організованих товарних ринків чи правом голосу акцій (часток, паїв) у статутному капіталі професійного учасника ринків капіталу та організованих товарних ринків та/або незалежно від формального володіння почала справляти значний вплив на управління або діяльність професійного учасника ринків капіталу та організованих товарних ринків без отримання рішення Національної комісії з цінних паперів та фондового ринку про погодження набуття участі не має права голосу за такими акціями до моменту виконання вимог статті 70 цього Закону.</w:t>
            </w:r>
          </w:p>
        </w:tc>
        <w:tc>
          <w:tcPr>
            <w:tcW w:w="3686" w:type="dxa"/>
          </w:tcPr>
          <w:p w14:paraId="077690D7" w14:textId="7C4268EE" w:rsidR="00B352CE" w:rsidRPr="00286216" w:rsidRDefault="00B352CE" w:rsidP="00B352CE">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792</w:t>
            </w:r>
            <w:r w:rsidRPr="00286216">
              <w:rPr>
                <w:color w:val="000000" w:themeColor="text1"/>
                <w:spacing w:val="-4"/>
              </w:rPr>
              <w:fldChar w:fldCharType="end"/>
            </w:r>
            <w:r w:rsidRPr="00286216">
              <w:rPr>
                <w:color w:val="000000" w:themeColor="text1"/>
                <w:spacing w:val="-4"/>
              </w:rPr>
              <w:t>-Н.д.Бєлькова О.В. (Реєстр.картка №403)</w:t>
            </w:r>
          </w:p>
          <w:p w14:paraId="6A9F4698" w14:textId="77777777" w:rsidR="00B352CE" w:rsidRPr="00286216" w:rsidRDefault="00B352CE" w:rsidP="00B352CE">
            <w:pPr>
              <w:pStyle w:val="StyleProp"/>
              <w:rPr>
                <w:color w:val="000000" w:themeColor="text1"/>
              </w:rPr>
            </w:pPr>
            <w:r w:rsidRPr="00286216">
              <w:rPr>
                <w:color w:val="000000" w:themeColor="text1"/>
              </w:rPr>
              <w:t xml:space="preserve">Частину першу статті 71 розділу 1 після слів “участь у професійному учаснику ринків </w:t>
            </w:r>
            <w:r w:rsidRPr="00286216">
              <w:rPr>
                <w:color w:val="000000" w:themeColor="text1"/>
              </w:rPr>
              <w:lastRenderedPageBreak/>
              <w:t>капіталу та організованих товарних ринків” доповнити словами  “(крім банків)”.</w:t>
            </w:r>
          </w:p>
        </w:tc>
        <w:tc>
          <w:tcPr>
            <w:tcW w:w="1987" w:type="dxa"/>
          </w:tcPr>
          <w:p w14:paraId="7B6421C9" w14:textId="77777777" w:rsidR="00B352CE" w:rsidRPr="00286216" w:rsidRDefault="00B352CE" w:rsidP="00B352CE">
            <w:pPr>
              <w:pStyle w:val="StyleWisnow"/>
              <w:rPr>
                <w:color w:val="000000" w:themeColor="text1"/>
              </w:rPr>
            </w:pPr>
            <w:r w:rsidRPr="00286216">
              <w:rPr>
                <w:color w:val="000000" w:themeColor="text1"/>
              </w:rPr>
              <w:lastRenderedPageBreak/>
              <w:t>Враховано</w:t>
            </w:r>
          </w:p>
        </w:tc>
        <w:tc>
          <w:tcPr>
            <w:tcW w:w="4818" w:type="dxa"/>
          </w:tcPr>
          <w:p w14:paraId="4B7123CA" w14:textId="5A217F8D" w:rsidR="00B352CE" w:rsidRPr="00286216" w:rsidRDefault="00B352CE" w:rsidP="00B352CE">
            <w:pPr>
              <w:pStyle w:val="StyleZakonu"/>
              <w:rPr>
                <w:color w:val="000000" w:themeColor="text1"/>
              </w:rPr>
            </w:pPr>
            <w:r w:rsidRPr="00286216">
              <w:rPr>
                <w:color w:val="000000" w:themeColor="text1"/>
              </w:rPr>
              <w:t xml:space="preserve">1. Юридична або фізична особа, яка набула участь у професійному учаснику ринків капіталу та організованих товарних ринків (крім банків) таким </w:t>
            </w:r>
            <w:r w:rsidRPr="00286216">
              <w:rPr>
                <w:color w:val="000000" w:themeColor="text1"/>
              </w:rPr>
              <w:lastRenderedPageBreak/>
              <w:t>чином, що стала прямо та/або опосередковано, самостійно чи спільно з іншими особами володіти 10, 25, 50, 75 і більше відсотками статутного капіталу професійного учасника ринків капіталу та організованих товарних ринків чи правом голосу акцій (часток) у статутному капіталі професійного учасника ринків капіталу та організованих товарних ринків та/або незалежно від формального володіння почала справляти значний вплив на управління або діяльність професійного учасника ринків капіталу та організованих товарних ринків без отримання рішення Національної комісії з цінних паперів та фондового ринку про погодження набуття участі, не має права голосу за такими акціями до моменту виконання вимог статті 74 цього Закону.</w:t>
            </w:r>
          </w:p>
        </w:tc>
      </w:tr>
      <w:tr w:rsidR="00B352CE" w:rsidRPr="00286216" w14:paraId="237B0599" w14:textId="77777777" w:rsidTr="00091AA5">
        <w:tc>
          <w:tcPr>
            <w:tcW w:w="576" w:type="dxa"/>
          </w:tcPr>
          <w:p w14:paraId="40C89196" w14:textId="77777777" w:rsidR="00B352CE" w:rsidRPr="00286216" w:rsidRDefault="00B352CE" w:rsidP="00B352CE">
            <w:pPr>
              <w:pStyle w:val="StyleWisnow"/>
              <w:rPr>
                <w:color w:val="000000" w:themeColor="text1"/>
              </w:rPr>
            </w:pPr>
            <w:bookmarkStart w:id="1003" w:name="n1271" w:colFirst="0" w:colLast="0"/>
            <w:bookmarkEnd w:id="1002"/>
            <w:r w:rsidRPr="00286216">
              <w:rPr>
                <w:color w:val="000000" w:themeColor="text1"/>
              </w:rPr>
              <w:lastRenderedPageBreak/>
              <w:t>1271.</w:t>
            </w:r>
          </w:p>
        </w:tc>
        <w:tc>
          <w:tcPr>
            <w:tcW w:w="4818" w:type="dxa"/>
          </w:tcPr>
          <w:p w14:paraId="6985F531" w14:textId="77777777" w:rsidR="00B352CE" w:rsidRPr="00286216" w:rsidRDefault="00B352CE" w:rsidP="00B352CE">
            <w:pPr>
              <w:pStyle w:val="StyleZakonu"/>
              <w:rPr>
                <w:color w:val="000000" w:themeColor="text1"/>
              </w:rPr>
            </w:pPr>
            <w:r w:rsidRPr="00286216">
              <w:rPr>
                <w:color w:val="000000" w:themeColor="text1"/>
              </w:rPr>
              <w:t>2. Юридична або фізична особа, яка збільшила участь у професійному учаснику ринків капіталу та організованих товарних ринків таким чином, що стала прямо та/або опосередковано, самостійно чи спільно з іншими особами володіти 10, 25, 50 та 75 і більше відсотками статутного капіталу професійного учасника ринків капіталу та організованих товарних ринків чи правом голосу акцій (часток, паїв) у статутному капіталі професійного учасника ринків капіталу та організованих товарних ринків та/або незалежно від формального володіння почала справляти значний вплив на управління або діяльність професійного учасника ринків капіталу та організованих товарних ринків без отримання рішення Національної комісії з цінних паперів та фондового ринку про погодження збільшення участі має право голосу лише за акціями, які належали їй до такого збільшення. При цьому інші акції або частки у статутному капіталі такої юридичної особи не дають права голосу до моменту виконання вимог статті 70 цього Закону.</w:t>
            </w:r>
          </w:p>
        </w:tc>
        <w:tc>
          <w:tcPr>
            <w:tcW w:w="3686" w:type="dxa"/>
          </w:tcPr>
          <w:p w14:paraId="531C4080" w14:textId="60BFDAC0" w:rsidR="00B352CE" w:rsidRPr="00286216" w:rsidRDefault="00B352CE" w:rsidP="00B352C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793</w:t>
            </w:r>
            <w:r w:rsidRPr="00286216">
              <w:rPr>
                <w:color w:val="000000" w:themeColor="text1"/>
                <w:spacing w:val="-4"/>
              </w:rPr>
              <w:fldChar w:fldCharType="end"/>
            </w:r>
            <w:r w:rsidRPr="00286216">
              <w:rPr>
                <w:color w:val="000000" w:themeColor="text1"/>
                <w:spacing w:val="-4"/>
              </w:rPr>
              <w:t>-Н.д.Бєлькова О.В. (Реєстр.картка №403)</w:t>
            </w:r>
          </w:p>
          <w:p w14:paraId="7DE35752" w14:textId="77777777" w:rsidR="00B352CE" w:rsidRPr="00286216" w:rsidRDefault="00B352CE" w:rsidP="00B352CE">
            <w:pPr>
              <w:pStyle w:val="StyleProp"/>
              <w:rPr>
                <w:color w:val="000000" w:themeColor="text1"/>
              </w:rPr>
            </w:pPr>
            <w:r w:rsidRPr="00286216">
              <w:rPr>
                <w:color w:val="000000" w:themeColor="text1"/>
              </w:rPr>
              <w:t>Частину другу статті 71 розділу 1 після слів “участь у професійному учаснику ринків капіталу та організованих товарних ринків” доповнити словами “(крім банків)”.</w:t>
            </w:r>
          </w:p>
        </w:tc>
        <w:tc>
          <w:tcPr>
            <w:tcW w:w="1987" w:type="dxa"/>
          </w:tcPr>
          <w:p w14:paraId="1599E96A" w14:textId="77777777" w:rsidR="00B352CE" w:rsidRPr="00286216" w:rsidRDefault="00B352CE" w:rsidP="00B352CE">
            <w:pPr>
              <w:pStyle w:val="StyleWisnow"/>
              <w:rPr>
                <w:color w:val="000000" w:themeColor="text1"/>
              </w:rPr>
            </w:pPr>
            <w:r w:rsidRPr="00286216">
              <w:rPr>
                <w:color w:val="000000" w:themeColor="text1"/>
              </w:rPr>
              <w:t>Враховано</w:t>
            </w:r>
          </w:p>
        </w:tc>
        <w:tc>
          <w:tcPr>
            <w:tcW w:w="4818" w:type="dxa"/>
          </w:tcPr>
          <w:p w14:paraId="4C9C4E77" w14:textId="5BC3781B" w:rsidR="00B352CE" w:rsidRPr="00286216" w:rsidRDefault="00B352CE" w:rsidP="00B352CE">
            <w:pPr>
              <w:pStyle w:val="StyleZakonu"/>
              <w:rPr>
                <w:color w:val="000000" w:themeColor="text1"/>
              </w:rPr>
            </w:pPr>
            <w:r w:rsidRPr="00286216">
              <w:rPr>
                <w:color w:val="000000" w:themeColor="text1"/>
              </w:rPr>
              <w:t>2. Юридична або фізична особа, яка збільшила участь у професійному учаснику ринків капіталу та організованих товарних ринків (крім банків) таким чином, що стала прямо та/або опосередковано, самостійно чи спільно з іншими особами володіти 10, 25, 50, 75 і більше відсотками статутного капіталу професійного учасника ринків капіталу та організованих товарних ринків чи правом голосу акцій (часток) у статутному капіталі професійного учасника ринків капіталу та організованих товарних ринків та/або незалежно від формального володіння почала справляти значний вплив на управління або діяльність професійного учасника ринків капіталу та організованих товарних ринків без отримання рішення Національної комісії з цінних паперів та фондового ринку про погодження збільшення участі має право голосу лише за акціями, що належали їй до такого збільшення. При цьому інші акції або частки у статутному капіталі такої юридичної особи не дають права голосу до моменту виконання вимог статті 74 цього Закону.</w:t>
            </w:r>
          </w:p>
        </w:tc>
      </w:tr>
      <w:tr w:rsidR="00B352CE" w:rsidRPr="00286216" w14:paraId="6EE06815" w14:textId="77777777" w:rsidTr="00091AA5">
        <w:tc>
          <w:tcPr>
            <w:tcW w:w="576" w:type="dxa"/>
          </w:tcPr>
          <w:p w14:paraId="4192744E" w14:textId="77777777" w:rsidR="00B352CE" w:rsidRPr="00286216" w:rsidRDefault="00B352CE" w:rsidP="00B352CE">
            <w:pPr>
              <w:pStyle w:val="StyleWisnow"/>
              <w:rPr>
                <w:color w:val="000000" w:themeColor="text1"/>
              </w:rPr>
            </w:pPr>
            <w:bookmarkStart w:id="1004" w:name="n1272" w:colFirst="0" w:colLast="0"/>
            <w:bookmarkEnd w:id="1003"/>
            <w:r w:rsidRPr="00286216">
              <w:rPr>
                <w:color w:val="000000" w:themeColor="text1"/>
              </w:rPr>
              <w:t>1272.</w:t>
            </w:r>
          </w:p>
        </w:tc>
        <w:tc>
          <w:tcPr>
            <w:tcW w:w="4818" w:type="dxa"/>
          </w:tcPr>
          <w:p w14:paraId="2A84B73E" w14:textId="77777777" w:rsidR="00B352CE" w:rsidRPr="00286216" w:rsidRDefault="00B352CE" w:rsidP="00B352CE">
            <w:pPr>
              <w:pStyle w:val="StyleZakonu"/>
              <w:rPr>
                <w:color w:val="000000" w:themeColor="text1"/>
              </w:rPr>
            </w:pPr>
            <w:r w:rsidRPr="00286216">
              <w:rPr>
                <w:color w:val="000000" w:themeColor="text1"/>
              </w:rPr>
              <w:t>3. Рішення загальних зборів, прийняті з використанням акцій та часток у капіталі, що відповідно до частини першої цієї статті не дають права голосу, та за умови невикористання яких рішення загальних зборів були б іншими, не мають юридичної сили.</w:t>
            </w:r>
          </w:p>
        </w:tc>
        <w:tc>
          <w:tcPr>
            <w:tcW w:w="3686" w:type="dxa"/>
          </w:tcPr>
          <w:p w14:paraId="4076965F" w14:textId="77777777" w:rsidR="00B352CE" w:rsidRPr="00286216" w:rsidRDefault="00B352CE" w:rsidP="00B352CE">
            <w:pPr>
              <w:pStyle w:val="StyleProp"/>
              <w:rPr>
                <w:i/>
                <w:color w:val="000000" w:themeColor="text1"/>
                <w:sz w:val="22"/>
                <w:szCs w:val="22"/>
              </w:rPr>
            </w:pPr>
          </w:p>
        </w:tc>
        <w:tc>
          <w:tcPr>
            <w:tcW w:w="1987" w:type="dxa"/>
          </w:tcPr>
          <w:p w14:paraId="207393FA" w14:textId="77777777" w:rsidR="00B352CE" w:rsidRPr="00286216" w:rsidRDefault="00B352CE" w:rsidP="00B352CE">
            <w:pPr>
              <w:pStyle w:val="StyleWisnow"/>
              <w:rPr>
                <w:color w:val="000000" w:themeColor="text1"/>
              </w:rPr>
            </w:pPr>
          </w:p>
        </w:tc>
        <w:tc>
          <w:tcPr>
            <w:tcW w:w="4818" w:type="dxa"/>
          </w:tcPr>
          <w:p w14:paraId="0D00B304" w14:textId="58382561" w:rsidR="00B352CE" w:rsidRPr="00286216" w:rsidRDefault="00B352CE" w:rsidP="00B352CE">
            <w:pPr>
              <w:pStyle w:val="StyleZakonu"/>
              <w:rPr>
                <w:color w:val="000000" w:themeColor="text1"/>
              </w:rPr>
            </w:pPr>
            <w:r w:rsidRPr="00286216">
              <w:rPr>
                <w:color w:val="000000" w:themeColor="text1"/>
              </w:rPr>
              <w:t>3. Рішення загальних зборів, прийняті з використанням акцій (часток) у капіталі, що відповідно до частини першої цієї статті не дають права голосу, та за умови невикористання яких рішення загальних зборів були б іншими, не мають юридичної сили.</w:t>
            </w:r>
          </w:p>
        </w:tc>
      </w:tr>
      <w:tr w:rsidR="00B352CE" w:rsidRPr="00286216" w14:paraId="54DB9A8F" w14:textId="77777777" w:rsidTr="00091AA5">
        <w:tc>
          <w:tcPr>
            <w:tcW w:w="576" w:type="dxa"/>
          </w:tcPr>
          <w:p w14:paraId="3205E058" w14:textId="77777777" w:rsidR="00B352CE" w:rsidRPr="00286216" w:rsidRDefault="00B352CE" w:rsidP="00B352CE">
            <w:pPr>
              <w:pStyle w:val="StyleWisnow"/>
              <w:rPr>
                <w:color w:val="000000" w:themeColor="text1"/>
              </w:rPr>
            </w:pPr>
            <w:bookmarkStart w:id="1005" w:name="n1273" w:colFirst="0" w:colLast="0"/>
            <w:bookmarkEnd w:id="1004"/>
            <w:r w:rsidRPr="00286216">
              <w:rPr>
                <w:color w:val="000000" w:themeColor="text1"/>
              </w:rPr>
              <w:t>1273.</w:t>
            </w:r>
          </w:p>
        </w:tc>
        <w:tc>
          <w:tcPr>
            <w:tcW w:w="4818" w:type="dxa"/>
          </w:tcPr>
          <w:p w14:paraId="267C6D68" w14:textId="77777777" w:rsidR="00B352CE" w:rsidRPr="00286216" w:rsidRDefault="00B352CE" w:rsidP="00B352CE">
            <w:pPr>
              <w:pStyle w:val="StyleZakonu"/>
              <w:rPr>
                <w:color w:val="000000" w:themeColor="text1"/>
              </w:rPr>
            </w:pPr>
            <w:bookmarkStart w:id="1006" w:name="_Ref18839339"/>
            <w:r w:rsidRPr="00286216">
              <w:rPr>
                <w:color w:val="000000" w:themeColor="text1"/>
              </w:rPr>
              <w:t xml:space="preserve">Стаття 72. Корпоративне управління в професійних учасниках ринків капіталу та </w:t>
            </w:r>
            <w:r w:rsidRPr="00286216">
              <w:rPr>
                <w:color w:val="000000" w:themeColor="text1"/>
              </w:rPr>
              <w:lastRenderedPageBreak/>
              <w:t>організованих товарних ринків</w:t>
            </w:r>
            <w:bookmarkEnd w:id="1006"/>
          </w:p>
        </w:tc>
        <w:tc>
          <w:tcPr>
            <w:tcW w:w="3686" w:type="dxa"/>
          </w:tcPr>
          <w:p w14:paraId="0E7DF5AB" w14:textId="680E786A" w:rsidR="00B352CE" w:rsidRPr="00286216" w:rsidRDefault="00B352CE" w:rsidP="00B352CE">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794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1464E28" w14:textId="77777777" w:rsidR="00B352CE" w:rsidRPr="00286216" w:rsidRDefault="00B352CE" w:rsidP="00B352CE">
            <w:pPr>
              <w:pStyle w:val="StyleProp"/>
              <w:rPr>
                <w:color w:val="000000" w:themeColor="text1"/>
              </w:rPr>
            </w:pPr>
            <w:r w:rsidRPr="00286216">
              <w:rPr>
                <w:color w:val="000000" w:themeColor="text1"/>
              </w:rPr>
              <w:t>Статтю 72 розділу І законопроекту викласти в новій редакції:</w:t>
            </w:r>
          </w:p>
          <w:p w14:paraId="51310E60" w14:textId="77777777" w:rsidR="00B352CE" w:rsidRPr="00286216" w:rsidRDefault="00B352CE" w:rsidP="00B352CE">
            <w:pPr>
              <w:pStyle w:val="StyleProp"/>
              <w:rPr>
                <w:color w:val="000000" w:themeColor="text1"/>
              </w:rPr>
            </w:pPr>
            <w:r w:rsidRPr="00286216">
              <w:rPr>
                <w:color w:val="000000" w:themeColor="text1"/>
              </w:rPr>
              <w:lastRenderedPageBreak/>
              <w:t>«Стаття 72. Корпоративне управління в професійних учасниках ринків капіталу та організованих товарних ринків</w:t>
            </w:r>
          </w:p>
          <w:p w14:paraId="62015B67" w14:textId="77777777" w:rsidR="00B352CE" w:rsidRPr="00286216" w:rsidRDefault="00B352CE" w:rsidP="00B352CE">
            <w:pPr>
              <w:pStyle w:val="StyleProp"/>
              <w:rPr>
                <w:color w:val="000000" w:themeColor="text1"/>
              </w:rPr>
            </w:pPr>
            <w:r w:rsidRPr="00286216">
              <w:rPr>
                <w:color w:val="000000" w:themeColor="text1"/>
              </w:rPr>
              <w:t xml:space="preserve">1. Метою організації корпоративного управління в професійних учасниках  ринків капіталу та організованих товарних ринків є забезпечення недопущення завдання шкоди клієнтам такого професійного учасника або створення загрози інвестиціям, запобігання невиконанню професійним учасником вимог законодавства про ринки капіталу та організовані товарні ринки та попередження прийняття професійним учасником ризиків, реалізація яких створює загрозу цілісності ринків капіталу та організованих товарних ринків і стабільності їх функціонування. </w:t>
            </w:r>
          </w:p>
          <w:p w14:paraId="691C7926" w14:textId="77777777" w:rsidR="00B352CE" w:rsidRPr="00286216" w:rsidRDefault="00B352CE" w:rsidP="00B352CE">
            <w:pPr>
              <w:pStyle w:val="StyleProp"/>
              <w:rPr>
                <w:color w:val="000000" w:themeColor="text1"/>
              </w:rPr>
            </w:pPr>
            <w:r w:rsidRPr="00286216">
              <w:rPr>
                <w:color w:val="000000" w:themeColor="text1"/>
              </w:rPr>
              <w:t>2. Принципи організації внутрішньої структури професійних учасників ринків капіталу та організованих товарних ринків:</w:t>
            </w:r>
          </w:p>
          <w:p w14:paraId="046094E1" w14:textId="77777777" w:rsidR="00B352CE" w:rsidRPr="00286216" w:rsidRDefault="00B352CE" w:rsidP="00B352CE">
            <w:pPr>
              <w:pStyle w:val="StyleProp"/>
              <w:rPr>
                <w:color w:val="000000" w:themeColor="text1"/>
              </w:rPr>
            </w:pPr>
            <w:r w:rsidRPr="00286216">
              <w:rPr>
                <w:color w:val="000000" w:themeColor="text1"/>
              </w:rPr>
              <w:t xml:space="preserve">1) ефективне управління професійним учасником, у тому числі шляхом відповідного розподілу обов’язків; </w:t>
            </w:r>
          </w:p>
          <w:p w14:paraId="083C28B3" w14:textId="77777777" w:rsidR="00B352CE" w:rsidRPr="00286216" w:rsidRDefault="00B352CE" w:rsidP="00B352CE">
            <w:pPr>
              <w:pStyle w:val="StyleProp"/>
              <w:rPr>
                <w:color w:val="000000" w:themeColor="text1"/>
              </w:rPr>
            </w:pPr>
            <w:r w:rsidRPr="00286216">
              <w:rPr>
                <w:color w:val="000000" w:themeColor="text1"/>
              </w:rPr>
              <w:t>2) здійснення нагляду за операційною діяльністю професійного учасника;</w:t>
            </w:r>
          </w:p>
          <w:p w14:paraId="06F20DE8" w14:textId="77777777" w:rsidR="00B352CE" w:rsidRPr="00286216" w:rsidRDefault="00B352CE" w:rsidP="00B352CE">
            <w:pPr>
              <w:pStyle w:val="StyleProp"/>
              <w:rPr>
                <w:color w:val="000000" w:themeColor="text1"/>
              </w:rPr>
            </w:pPr>
            <w:r w:rsidRPr="00286216">
              <w:rPr>
                <w:color w:val="000000" w:themeColor="text1"/>
              </w:rPr>
              <w:t>3) запобігання та врегулювання конфліктів інтересів;</w:t>
            </w:r>
          </w:p>
          <w:p w14:paraId="0F0C3D93" w14:textId="77777777" w:rsidR="00B352CE" w:rsidRPr="00286216" w:rsidRDefault="00B352CE" w:rsidP="00B352CE">
            <w:pPr>
              <w:pStyle w:val="StyleProp"/>
              <w:rPr>
                <w:color w:val="000000" w:themeColor="text1"/>
              </w:rPr>
            </w:pPr>
            <w:r w:rsidRPr="00286216">
              <w:rPr>
                <w:color w:val="000000" w:themeColor="text1"/>
              </w:rPr>
              <w:t>4) відповідальність за неналежну організацію корпоративного управління.</w:t>
            </w:r>
          </w:p>
          <w:p w14:paraId="63A2DE08" w14:textId="77777777" w:rsidR="00B352CE" w:rsidRPr="00286216" w:rsidRDefault="00B352CE" w:rsidP="00B352CE">
            <w:pPr>
              <w:pStyle w:val="StyleProp"/>
              <w:rPr>
                <w:color w:val="000000" w:themeColor="text1"/>
              </w:rPr>
            </w:pPr>
            <w:r w:rsidRPr="00286216">
              <w:rPr>
                <w:color w:val="000000" w:themeColor="text1"/>
              </w:rPr>
              <w:t xml:space="preserve">3. Вимоги до корпоративного управління професійних учасників ринків капіталу та організованих товарних ринків, зазначених у пункті 3 частини першої статті 41-1 цього Закону встановлюються частинами 1-2, 4 – 7 цієї статті. </w:t>
            </w:r>
          </w:p>
          <w:p w14:paraId="7A2CCA7F" w14:textId="77777777" w:rsidR="00B352CE" w:rsidRPr="00286216" w:rsidRDefault="00B352CE" w:rsidP="00B352CE">
            <w:pPr>
              <w:pStyle w:val="StyleProp"/>
              <w:rPr>
                <w:color w:val="000000" w:themeColor="text1"/>
              </w:rPr>
            </w:pPr>
            <w:r w:rsidRPr="00286216">
              <w:rPr>
                <w:color w:val="000000" w:themeColor="text1"/>
              </w:rPr>
              <w:t xml:space="preserve">Вимоги до корпоративного управління професійних учасників ринків капіталу, зазначених у пункті 1 та 2 частини першої статті 41-1 цього Закону, які не є банками встановлюються частинами 1-2, 4 –  8 цієї статті. </w:t>
            </w:r>
          </w:p>
          <w:p w14:paraId="23615210" w14:textId="77777777" w:rsidR="00B352CE" w:rsidRPr="00286216" w:rsidRDefault="00B352CE" w:rsidP="00B352CE">
            <w:pPr>
              <w:pStyle w:val="StyleProp"/>
              <w:rPr>
                <w:color w:val="000000" w:themeColor="text1"/>
              </w:rPr>
            </w:pPr>
            <w:r w:rsidRPr="00286216">
              <w:rPr>
                <w:color w:val="000000" w:themeColor="text1"/>
              </w:rPr>
              <w:t xml:space="preserve">Вимоги до корпоративного управління професійних учасників ринків капіталу, зазначених у пункті 2 частини першої статті 41-1 цього Закону, які є банками встановлюються законодавством про банки та банківську діяльність, а також частиною 9 цієї статті. </w:t>
            </w:r>
          </w:p>
          <w:p w14:paraId="67960740" w14:textId="77777777" w:rsidR="00B352CE" w:rsidRPr="00286216" w:rsidRDefault="00B352CE" w:rsidP="00B352CE">
            <w:pPr>
              <w:pStyle w:val="StyleProp"/>
              <w:rPr>
                <w:color w:val="000000" w:themeColor="text1"/>
              </w:rPr>
            </w:pPr>
            <w:r w:rsidRPr="00286216">
              <w:rPr>
                <w:color w:val="000000" w:themeColor="text1"/>
              </w:rPr>
              <w:t xml:space="preserve">4. Всі професійні учасники ринків капіталу та організованих товарних ринків зобов’язані створити комплексну, ефективну </w:t>
            </w:r>
            <w:r w:rsidRPr="00286216">
              <w:rPr>
                <w:color w:val="000000" w:themeColor="text1"/>
              </w:rPr>
              <w:lastRenderedPageBreak/>
              <w:t>систему внутрішнього контролю, яка включає підсистеми комплаєнсу, управління ризиками та внутрішнього аудиту. Така система створюється з урахуванням особливостей  виду професійної діяльності на ринках капіталу та організованих товарних ринках, характеру та обсягів операцій, що здійснюються ними в ході провадження такої діяльності, та ризиків, які властиві такій діяльності. Професійні учасники ринків капіталу та організованих товарних ринків  зобов’язані здійснювати контроль за функціонуванням такої системи.</w:t>
            </w:r>
          </w:p>
          <w:p w14:paraId="01A1217B" w14:textId="77777777" w:rsidR="00B352CE" w:rsidRPr="00286216" w:rsidRDefault="00B352CE" w:rsidP="00B352CE">
            <w:pPr>
              <w:pStyle w:val="StyleProp"/>
              <w:rPr>
                <w:color w:val="000000" w:themeColor="text1"/>
              </w:rPr>
            </w:pPr>
            <w:r w:rsidRPr="00286216">
              <w:rPr>
                <w:color w:val="000000" w:themeColor="text1"/>
              </w:rPr>
              <w:t>Структурні підрозділи або окремі посадові особи, що входять до системи внутрішнього контролю, підпорядковуються органу, відповідальному за здійснення нагляду, та звітують перед ним.</w:t>
            </w:r>
          </w:p>
          <w:p w14:paraId="1D8E2F7F" w14:textId="424F1B8D" w:rsidR="00B352CE" w:rsidRPr="00286216" w:rsidRDefault="00B352CE" w:rsidP="00B352CE">
            <w:pPr>
              <w:pStyle w:val="StyleProp"/>
              <w:rPr>
                <w:color w:val="000000" w:themeColor="text1"/>
              </w:rPr>
            </w:pPr>
            <w:r w:rsidRPr="00286216">
              <w:rPr>
                <w:color w:val="000000" w:themeColor="text1"/>
              </w:rPr>
              <w:t xml:space="preserve">5. Професійні учасники ринків капіталу та організованих товарних ринків зобов’язані регулярно, але не рідше одного разу на рік, якщо інше не передбачено законодавством, переглядати внутрішні політики, що регламентують провадження професійної діяльності.  </w:t>
            </w:r>
          </w:p>
          <w:p w14:paraId="72C0DD5F" w14:textId="77777777" w:rsidR="00B352CE" w:rsidRPr="00286216" w:rsidRDefault="00B352CE" w:rsidP="00B352CE">
            <w:pPr>
              <w:pStyle w:val="StyleProp"/>
              <w:rPr>
                <w:color w:val="000000" w:themeColor="text1"/>
              </w:rPr>
            </w:pPr>
            <w:r w:rsidRPr="00286216">
              <w:rPr>
                <w:color w:val="000000" w:themeColor="text1"/>
              </w:rPr>
              <w:t>6. Вимоги до системи корпоративного управління професійних учасників ринків капіталу та організованих товарних ринків, що обмежують ризики професійної діяльності на ринках капіталу та організованих товарних ринках, встановлюються нормативно-правовими актами Національної комісії з цінних паперів та фондового ринку.</w:t>
            </w:r>
          </w:p>
          <w:p w14:paraId="6BF980BB" w14:textId="77777777" w:rsidR="00B352CE" w:rsidRPr="00286216" w:rsidRDefault="00B352CE" w:rsidP="00B352CE">
            <w:pPr>
              <w:pStyle w:val="StyleProp"/>
              <w:rPr>
                <w:color w:val="000000" w:themeColor="text1"/>
              </w:rPr>
            </w:pPr>
            <w:r w:rsidRPr="00286216">
              <w:rPr>
                <w:color w:val="000000" w:themeColor="text1"/>
              </w:rPr>
              <w:t>7. В усіх професійних учасниках ринків капіталу та організованих товарних ринків, незалежно від організаційно-правової форми, створюється орган, відповідальний за здійснення нагляду. Члени органу, відповідального за здійснення нагляду, повинні відповідати кваліфікаційним вимогам щодо ділової репутації та професійної придатності, встановленим Національною комісією з цінних паперів та фондового ринку.</w:t>
            </w:r>
          </w:p>
          <w:p w14:paraId="5DCC67DD" w14:textId="77777777" w:rsidR="00B352CE" w:rsidRPr="00286216" w:rsidRDefault="00B352CE" w:rsidP="00B352CE">
            <w:pPr>
              <w:pStyle w:val="StyleProp"/>
              <w:rPr>
                <w:color w:val="000000" w:themeColor="text1"/>
              </w:rPr>
            </w:pPr>
            <w:r w:rsidRPr="00286216">
              <w:rPr>
                <w:color w:val="000000" w:themeColor="text1"/>
              </w:rPr>
              <w:t xml:space="preserve">Професійна придатність члена органу, відповідального за здійснення нагляду, визначається як сукупність знань, професійного та управлінського досвіду особи, необхідних для належного виконання </w:t>
            </w:r>
            <w:r w:rsidRPr="00286216">
              <w:rPr>
                <w:color w:val="000000" w:themeColor="text1"/>
              </w:rPr>
              <w:lastRenderedPageBreak/>
              <w:t xml:space="preserve">посадових обов’язків з урахуванням бізнес-плану (бізнес-стратегії) професійного учасника ринків капіталу та організованих товарних ринків. </w:t>
            </w:r>
          </w:p>
          <w:p w14:paraId="05B972B7" w14:textId="77777777" w:rsidR="00B352CE" w:rsidRPr="00286216" w:rsidRDefault="00B352CE" w:rsidP="00B352CE">
            <w:pPr>
              <w:pStyle w:val="StyleProp"/>
              <w:rPr>
                <w:color w:val="000000" w:themeColor="text1"/>
              </w:rPr>
            </w:pPr>
            <w:r w:rsidRPr="00286216">
              <w:rPr>
                <w:color w:val="000000" w:themeColor="text1"/>
              </w:rPr>
              <w:t xml:space="preserve">Порядок формування органу, відповідального за здійснення нагляду, встановлюється статутом професійного учасника ринків капіталу та організованих товарних ринків. </w:t>
            </w:r>
          </w:p>
          <w:p w14:paraId="36727966" w14:textId="1C5E88E0" w:rsidR="00B352CE" w:rsidRPr="00286216" w:rsidRDefault="00B352CE" w:rsidP="00B352CE">
            <w:pPr>
              <w:pStyle w:val="StyleProp"/>
              <w:rPr>
                <w:color w:val="000000" w:themeColor="text1"/>
              </w:rPr>
            </w:pPr>
            <w:r w:rsidRPr="00286216">
              <w:rPr>
                <w:color w:val="000000" w:themeColor="text1"/>
              </w:rPr>
              <w:t>Орган, відповідальний за здійснення нагляду, повинен встановлювати стратегічні цілі професійного учасника ринків капіталу та організованих товарних ринків, контролювати актуальність таких цілей та періодично оцінювати прогрес у їх досягненні. Орган, відповідальний за здійснення нагляду, повинен затверджувати внутрішні положення, що регулюють діяльність органів управління професійного учасника (крім тих, що віднесені до виключної компетенції загальних зборів акціонерів (учасників) такого професійного учасника), функціонування системи внутрішнього контролю, а також внутрішні політики щодо надання послуг клієнтам, (крім документів нормативно-технічного характеру), контролювати адекватність та ефективність виконання їхніх вимог. Орган, відповідальний за здійснення нагляду, повинен вживати відповідні заходи для усунення будь-яких недоліків, виявлених під час контролю.</w:t>
            </w:r>
          </w:p>
          <w:p w14:paraId="60A80A41" w14:textId="0BA802E5" w:rsidR="00B352CE" w:rsidRPr="00286216" w:rsidRDefault="00B352CE" w:rsidP="00B352CE">
            <w:pPr>
              <w:pStyle w:val="StyleProp"/>
              <w:rPr>
                <w:color w:val="000000" w:themeColor="text1"/>
              </w:rPr>
            </w:pPr>
            <w:r w:rsidRPr="00286216">
              <w:rPr>
                <w:color w:val="000000" w:themeColor="text1"/>
              </w:rPr>
              <w:t>Положення внутрішніх політик професійного учасника ринків капіталу та організованих товарних ринків повинні передбачати такі повноваження органу, відповідального за здійснення нагляду:</w:t>
            </w:r>
          </w:p>
          <w:p w14:paraId="299E5567" w14:textId="4783BBE5" w:rsidR="00B352CE" w:rsidRPr="00286216" w:rsidRDefault="00B352CE" w:rsidP="00B352CE">
            <w:pPr>
              <w:pStyle w:val="StyleProp"/>
              <w:rPr>
                <w:color w:val="000000" w:themeColor="text1"/>
              </w:rPr>
            </w:pPr>
            <w:r w:rsidRPr="00286216">
              <w:rPr>
                <w:color w:val="000000" w:themeColor="text1"/>
              </w:rPr>
              <w:t>1) контролювати здійснення професійним учасником професійної діяльності в рамках отриманої ним ліцензії на провадження професійної діяльності, включаючи  професійні компетентності, загальні та спеціальні знання та досвід працівників професійного учасника, а також ресурси, процедури та механізми, необхідні для надання послуг та здійснення професійної діяльності, з урахуванням характеру, масштабу і складності діяльності професійного учасника та всіх вимог законодавства, яким він повинен відповідати;</w:t>
            </w:r>
          </w:p>
          <w:p w14:paraId="3A3F1893" w14:textId="23CC1C94" w:rsidR="00B352CE" w:rsidRPr="00286216" w:rsidRDefault="00B352CE" w:rsidP="00B352CE">
            <w:pPr>
              <w:pStyle w:val="StyleProp"/>
              <w:rPr>
                <w:color w:val="000000" w:themeColor="text1"/>
              </w:rPr>
            </w:pPr>
            <w:r w:rsidRPr="00286216">
              <w:rPr>
                <w:color w:val="000000" w:themeColor="text1"/>
              </w:rPr>
              <w:lastRenderedPageBreak/>
              <w:t>2) внутрішні політики щодо продуктів та послуг, що пропонуються або надаються з урахуванням положення про управління ризиками та відповідно до характеристик та потреб клієнтів фірми, яким такі продукти та послуги пропонуються чи надаються;</w:t>
            </w:r>
          </w:p>
          <w:p w14:paraId="219E962C" w14:textId="599EF570" w:rsidR="00B352CE" w:rsidRPr="00286216" w:rsidRDefault="00B352CE" w:rsidP="00B352CE">
            <w:pPr>
              <w:pStyle w:val="StyleProp"/>
              <w:rPr>
                <w:color w:val="000000" w:themeColor="text1"/>
              </w:rPr>
            </w:pPr>
            <w:r w:rsidRPr="00286216">
              <w:rPr>
                <w:color w:val="000000" w:themeColor="text1"/>
              </w:rPr>
              <w:t>3) внутрішні політики щодо проведення відповідного стрес-тестування, у випадках, визначених законодавством;</w:t>
            </w:r>
          </w:p>
          <w:p w14:paraId="5BF3D67F" w14:textId="77777777" w:rsidR="00B352CE" w:rsidRPr="00286216" w:rsidRDefault="00B352CE" w:rsidP="00B352CE">
            <w:pPr>
              <w:pStyle w:val="StyleProp"/>
              <w:rPr>
                <w:color w:val="000000" w:themeColor="text1"/>
              </w:rPr>
            </w:pPr>
            <w:r w:rsidRPr="00286216">
              <w:rPr>
                <w:color w:val="000000" w:themeColor="text1"/>
              </w:rPr>
              <w:t xml:space="preserve">4) політику (положення) з питань винагороди осіб, які беруть участь у наданні послуг клієнтам, спрямовану на заохочення відповідального надання послуг, справедливого поводження з клієнтами, а також уникнення конфлікту інтересів у відносинах з клієнтами; </w:t>
            </w:r>
          </w:p>
          <w:p w14:paraId="3478AF0A" w14:textId="77777777" w:rsidR="00B352CE" w:rsidRPr="00286216" w:rsidRDefault="00B352CE" w:rsidP="00B352CE">
            <w:pPr>
              <w:pStyle w:val="StyleProp"/>
              <w:rPr>
                <w:color w:val="000000" w:themeColor="text1"/>
              </w:rPr>
            </w:pPr>
            <w:r w:rsidRPr="00286216">
              <w:rPr>
                <w:color w:val="000000" w:themeColor="text1"/>
              </w:rPr>
              <w:t>5) цілісність фінансової звітності та системи подання звітності, в тому числі шляхом здійснення фінансового і операційного контролю;</w:t>
            </w:r>
          </w:p>
          <w:p w14:paraId="14DFD180" w14:textId="77777777" w:rsidR="00B352CE" w:rsidRPr="00286216" w:rsidRDefault="00B352CE" w:rsidP="00B352CE">
            <w:pPr>
              <w:pStyle w:val="StyleProp"/>
              <w:rPr>
                <w:color w:val="000000" w:themeColor="text1"/>
              </w:rPr>
            </w:pPr>
            <w:r w:rsidRPr="00286216">
              <w:rPr>
                <w:color w:val="000000" w:themeColor="text1"/>
              </w:rPr>
              <w:t>6) організацію комплаєнсу, управління ризиками та внутрішнього аудиту;</w:t>
            </w:r>
          </w:p>
          <w:p w14:paraId="6974DE2F" w14:textId="77777777" w:rsidR="00B352CE" w:rsidRPr="00286216" w:rsidRDefault="00B352CE" w:rsidP="00B352CE">
            <w:pPr>
              <w:pStyle w:val="StyleProp"/>
              <w:rPr>
                <w:color w:val="000000" w:themeColor="text1"/>
              </w:rPr>
            </w:pPr>
            <w:r w:rsidRPr="00286216">
              <w:rPr>
                <w:color w:val="000000" w:themeColor="text1"/>
              </w:rPr>
              <w:t xml:space="preserve">7) розкриття інформації відповідно до вимог цього Закону та надання інформації клієнтам; </w:t>
            </w:r>
          </w:p>
          <w:p w14:paraId="437CA43D" w14:textId="77777777" w:rsidR="00B352CE" w:rsidRPr="00286216" w:rsidRDefault="00B352CE" w:rsidP="00B352CE">
            <w:pPr>
              <w:pStyle w:val="StyleProp"/>
              <w:rPr>
                <w:color w:val="000000" w:themeColor="text1"/>
              </w:rPr>
            </w:pPr>
            <w:r w:rsidRPr="00286216">
              <w:rPr>
                <w:color w:val="000000" w:themeColor="text1"/>
              </w:rPr>
              <w:t>8) діяльність осіб, які здійснюють виконавчі функції, та керівників підрозділів системи внутрішнього контролю.</w:t>
            </w:r>
          </w:p>
          <w:p w14:paraId="1FB598F8" w14:textId="77777777" w:rsidR="00B352CE" w:rsidRPr="00286216" w:rsidRDefault="00B352CE" w:rsidP="00B352CE">
            <w:pPr>
              <w:pStyle w:val="StyleProp"/>
              <w:rPr>
                <w:color w:val="000000" w:themeColor="text1"/>
              </w:rPr>
            </w:pPr>
            <w:r w:rsidRPr="00286216">
              <w:rPr>
                <w:color w:val="000000" w:themeColor="text1"/>
              </w:rPr>
              <w:t>Члени органу, відповідального за здійснення нагляду,  повинні мати повний та безумовний доступ до всієї інформації та документів, необхідних для здійснення нагляду за прийняттям управлінських рішень особами, які здійснюють виконавчі функції.</w:t>
            </w:r>
          </w:p>
          <w:p w14:paraId="14BA2FA6" w14:textId="77777777" w:rsidR="00B352CE" w:rsidRPr="00286216" w:rsidRDefault="00B352CE" w:rsidP="00B352CE">
            <w:pPr>
              <w:pStyle w:val="StyleProp"/>
              <w:rPr>
                <w:color w:val="000000" w:themeColor="text1"/>
              </w:rPr>
            </w:pPr>
            <w:r w:rsidRPr="00286216">
              <w:rPr>
                <w:color w:val="000000" w:themeColor="text1"/>
              </w:rPr>
              <w:t xml:space="preserve">Орган відповідальний за здійснення нагляду, створює постійно діючий комітет з управління ризиками. </w:t>
            </w:r>
          </w:p>
          <w:p w14:paraId="45C2A6B5" w14:textId="3DA794CE" w:rsidR="00B352CE" w:rsidRPr="00286216" w:rsidRDefault="00B352CE" w:rsidP="00B352CE">
            <w:pPr>
              <w:pStyle w:val="StyleProp"/>
              <w:rPr>
                <w:color w:val="000000" w:themeColor="text1"/>
              </w:rPr>
            </w:pPr>
            <w:r w:rsidRPr="00286216">
              <w:rPr>
                <w:color w:val="000000" w:themeColor="text1"/>
              </w:rPr>
              <w:t>8. До професійних учасників ринків капіталу та організованих товарних ринків, які є підприємствами, що становлять суспільний інтерес, або є системно-важливими професійними учасниками (крім банків) встановлюються такі додаткові вимоги щодо корпоративного управління:</w:t>
            </w:r>
          </w:p>
          <w:p w14:paraId="57823875" w14:textId="77777777" w:rsidR="00B352CE" w:rsidRPr="00286216" w:rsidRDefault="00B352CE" w:rsidP="00B352CE">
            <w:pPr>
              <w:pStyle w:val="StyleProp"/>
              <w:rPr>
                <w:color w:val="000000" w:themeColor="text1"/>
              </w:rPr>
            </w:pPr>
            <w:r w:rsidRPr="00286216">
              <w:rPr>
                <w:color w:val="000000" w:themeColor="text1"/>
              </w:rPr>
              <w:t>1) Органом, відповідальним за здійснення нагляду, є наглядова рада. Склад наглядової ради такого професійного учасника повинен становити не менше п’яти осіб, якщо більша кількість не встановлена законом;</w:t>
            </w:r>
          </w:p>
          <w:p w14:paraId="39BCBE04" w14:textId="77777777" w:rsidR="00B352CE" w:rsidRPr="00286216" w:rsidRDefault="00B352CE" w:rsidP="00B352CE">
            <w:pPr>
              <w:pStyle w:val="StyleProp"/>
              <w:rPr>
                <w:color w:val="000000" w:themeColor="text1"/>
              </w:rPr>
            </w:pPr>
            <w:r w:rsidRPr="00286216">
              <w:rPr>
                <w:color w:val="000000" w:themeColor="text1"/>
              </w:rPr>
              <w:t xml:space="preserve">2) Наглядова рада створює постійно діючі </w:t>
            </w:r>
            <w:r w:rsidRPr="00286216">
              <w:rPr>
                <w:color w:val="000000" w:themeColor="text1"/>
              </w:rPr>
              <w:lastRenderedPageBreak/>
              <w:t>комітети:</w:t>
            </w:r>
          </w:p>
          <w:p w14:paraId="18D26D4E" w14:textId="77777777" w:rsidR="00B352CE" w:rsidRPr="00286216" w:rsidRDefault="00B352CE" w:rsidP="00B352CE">
            <w:pPr>
              <w:pStyle w:val="StyleProp"/>
              <w:rPr>
                <w:color w:val="000000" w:themeColor="text1"/>
              </w:rPr>
            </w:pPr>
            <w:r w:rsidRPr="00286216">
              <w:rPr>
                <w:color w:val="000000" w:themeColor="text1"/>
              </w:rPr>
              <w:t>а) комітет з питань аудиту (аудиторський комітет);</w:t>
            </w:r>
          </w:p>
          <w:p w14:paraId="5BB8189C" w14:textId="77777777" w:rsidR="00B352CE" w:rsidRPr="00286216" w:rsidRDefault="00B352CE" w:rsidP="00B352CE">
            <w:pPr>
              <w:pStyle w:val="StyleProp"/>
              <w:rPr>
                <w:color w:val="000000" w:themeColor="text1"/>
              </w:rPr>
            </w:pPr>
            <w:r w:rsidRPr="00286216">
              <w:rPr>
                <w:color w:val="000000" w:themeColor="text1"/>
              </w:rPr>
              <w:t>б) комітет з питань визначення винагороди посадовим особам професійного учасника (комітет з винагород);</w:t>
            </w:r>
          </w:p>
          <w:p w14:paraId="4094F941" w14:textId="77777777" w:rsidR="00B352CE" w:rsidRPr="00286216" w:rsidRDefault="00B352CE" w:rsidP="00B352CE">
            <w:pPr>
              <w:pStyle w:val="StyleProp"/>
              <w:rPr>
                <w:color w:val="000000" w:themeColor="text1"/>
              </w:rPr>
            </w:pPr>
            <w:r w:rsidRPr="00286216">
              <w:rPr>
                <w:color w:val="000000" w:themeColor="text1"/>
              </w:rPr>
              <w:t>в) комітет з питань призначень;</w:t>
            </w:r>
          </w:p>
          <w:p w14:paraId="2E2B11A0" w14:textId="77777777" w:rsidR="00B352CE" w:rsidRPr="00286216" w:rsidRDefault="00B352CE" w:rsidP="00B352CE">
            <w:pPr>
              <w:pStyle w:val="StyleProp"/>
              <w:rPr>
                <w:color w:val="000000" w:themeColor="text1"/>
              </w:rPr>
            </w:pPr>
            <w:r w:rsidRPr="00286216">
              <w:rPr>
                <w:color w:val="000000" w:themeColor="text1"/>
              </w:rPr>
              <w:t xml:space="preserve">г) комітет з управління ризиками. </w:t>
            </w:r>
          </w:p>
          <w:p w14:paraId="454FE6E4" w14:textId="77777777" w:rsidR="00B352CE" w:rsidRPr="00286216" w:rsidRDefault="00B352CE" w:rsidP="00B352CE">
            <w:pPr>
              <w:pStyle w:val="StyleProp"/>
              <w:rPr>
                <w:color w:val="000000" w:themeColor="text1"/>
              </w:rPr>
            </w:pPr>
            <w:r w:rsidRPr="00286216">
              <w:rPr>
                <w:color w:val="000000" w:themeColor="text1"/>
              </w:rPr>
              <w:t>Наглядова рада може створювати інші постійно діючі та тимчасові комітети.</w:t>
            </w:r>
          </w:p>
          <w:p w14:paraId="25598269" w14:textId="77777777" w:rsidR="00B352CE" w:rsidRPr="00286216" w:rsidRDefault="00B352CE" w:rsidP="00B352CE">
            <w:pPr>
              <w:pStyle w:val="StyleProp"/>
              <w:rPr>
                <w:color w:val="000000" w:themeColor="text1"/>
              </w:rPr>
            </w:pPr>
            <w:r w:rsidRPr="00286216">
              <w:rPr>
                <w:color w:val="000000" w:themeColor="text1"/>
              </w:rPr>
              <w:t>3) Наглядова рада обов’язково визначає з числа членів наглядової ради відповідальну особу, на яку покладені завдання із забезпечення реалізації функції комплаєнсу.</w:t>
            </w:r>
          </w:p>
          <w:p w14:paraId="75ECB7DB" w14:textId="77777777" w:rsidR="00B352CE" w:rsidRPr="00286216" w:rsidRDefault="00B352CE" w:rsidP="00B352CE">
            <w:pPr>
              <w:pStyle w:val="StyleProp"/>
              <w:rPr>
                <w:color w:val="000000" w:themeColor="text1"/>
              </w:rPr>
            </w:pPr>
            <w:r w:rsidRPr="00286216">
              <w:rPr>
                <w:color w:val="000000" w:themeColor="text1"/>
              </w:rPr>
              <w:t>Комітети з питань аудиту та комітет з управління ризиками можуть бути об’єднаними.</w:t>
            </w:r>
          </w:p>
          <w:p w14:paraId="155631DD" w14:textId="77777777" w:rsidR="00B352CE" w:rsidRPr="00286216" w:rsidRDefault="00B352CE" w:rsidP="00B352CE">
            <w:pPr>
              <w:pStyle w:val="StyleProp"/>
              <w:rPr>
                <w:color w:val="000000" w:themeColor="text1"/>
              </w:rPr>
            </w:pPr>
            <w:r w:rsidRPr="00286216">
              <w:rPr>
                <w:color w:val="000000" w:themeColor="text1"/>
              </w:rPr>
              <w:t>Комітет з питань призначень та комітет з винагород можуть бути об’єднаними.</w:t>
            </w:r>
          </w:p>
          <w:p w14:paraId="26C3B4F1" w14:textId="77777777" w:rsidR="00B352CE" w:rsidRPr="00286216" w:rsidRDefault="00B352CE" w:rsidP="00B352CE">
            <w:pPr>
              <w:pStyle w:val="StyleProp"/>
              <w:rPr>
                <w:color w:val="000000" w:themeColor="text1"/>
              </w:rPr>
            </w:pPr>
            <w:r w:rsidRPr="00286216">
              <w:rPr>
                <w:color w:val="000000" w:themeColor="text1"/>
              </w:rPr>
              <w:t>До складу кожного комітету входить не менше трьох членів наглядової ради.</w:t>
            </w:r>
          </w:p>
          <w:p w14:paraId="3D014A3B" w14:textId="77777777" w:rsidR="00B352CE" w:rsidRPr="00286216" w:rsidRDefault="00B352CE" w:rsidP="00B352CE">
            <w:pPr>
              <w:pStyle w:val="StyleProp"/>
              <w:rPr>
                <w:color w:val="000000" w:themeColor="text1"/>
              </w:rPr>
            </w:pPr>
            <w:r w:rsidRPr="00286216">
              <w:rPr>
                <w:color w:val="000000" w:themeColor="text1"/>
              </w:rPr>
              <w:t>Комітет з питань аудиту, комітет з винагород і комітет з питань призначень очолюють члени наглядової ради товариства, які є незалежними членами. Більшість членів зазначених комітетів повинні становити незалежні члени.</w:t>
            </w:r>
          </w:p>
          <w:p w14:paraId="75899A9D" w14:textId="77777777" w:rsidR="00B352CE" w:rsidRPr="00286216" w:rsidRDefault="00B352CE" w:rsidP="00B352CE">
            <w:pPr>
              <w:pStyle w:val="StyleProp"/>
              <w:rPr>
                <w:color w:val="000000" w:themeColor="text1"/>
              </w:rPr>
            </w:pPr>
            <w:r w:rsidRPr="00286216">
              <w:rPr>
                <w:color w:val="000000" w:themeColor="text1"/>
              </w:rPr>
              <w:t xml:space="preserve">9. Додаткові вимоги з корпоративного управління для системно-важливих професійних учасників ринків капіталу, які є банками: </w:t>
            </w:r>
          </w:p>
          <w:p w14:paraId="3AFD696E" w14:textId="77777777" w:rsidR="00B352CE" w:rsidRPr="00286216" w:rsidRDefault="00B352CE" w:rsidP="00B352CE">
            <w:pPr>
              <w:pStyle w:val="StyleProp"/>
              <w:rPr>
                <w:color w:val="000000" w:themeColor="text1"/>
              </w:rPr>
            </w:pPr>
            <w:r w:rsidRPr="00286216">
              <w:rPr>
                <w:color w:val="000000" w:themeColor="text1"/>
              </w:rPr>
              <w:t>1) Органом, відповідальним за здійснення нагляду, є наглядова рада;</w:t>
            </w:r>
          </w:p>
          <w:p w14:paraId="26C2661F" w14:textId="77777777" w:rsidR="00B352CE" w:rsidRPr="00286216" w:rsidRDefault="00B352CE" w:rsidP="00B352CE">
            <w:pPr>
              <w:pStyle w:val="StyleProp"/>
              <w:rPr>
                <w:color w:val="000000" w:themeColor="text1"/>
              </w:rPr>
            </w:pPr>
            <w:r w:rsidRPr="00286216">
              <w:rPr>
                <w:color w:val="000000" w:themeColor="text1"/>
              </w:rPr>
              <w:t>2) Наглядова рада створює постійно діючі комітети:</w:t>
            </w:r>
          </w:p>
          <w:p w14:paraId="0AD47FD8" w14:textId="77777777" w:rsidR="00B352CE" w:rsidRPr="00286216" w:rsidRDefault="00B352CE" w:rsidP="00B352CE">
            <w:pPr>
              <w:pStyle w:val="StyleProp"/>
              <w:rPr>
                <w:color w:val="000000" w:themeColor="text1"/>
              </w:rPr>
            </w:pPr>
            <w:r w:rsidRPr="00286216">
              <w:rPr>
                <w:color w:val="000000" w:themeColor="text1"/>
              </w:rPr>
              <w:t>а) комітет з питань аудиту (аудиторський комітет);</w:t>
            </w:r>
          </w:p>
          <w:p w14:paraId="15392703" w14:textId="77777777" w:rsidR="00B352CE" w:rsidRPr="00286216" w:rsidRDefault="00B352CE" w:rsidP="00B352CE">
            <w:pPr>
              <w:pStyle w:val="StyleProp"/>
              <w:rPr>
                <w:color w:val="000000" w:themeColor="text1"/>
              </w:rPr>
            </w:pPr>
            <w:r w:rsidRPr="00286216">
              <w:rPr>
                <w:color w:val="000000" w:themeColor="text1"/>
              </w:rPr>
              <w:t>б) комітет з питань визначення винагороди посадовим особам професійного учасника (комітет з винагород);</w:t>
            </w:r>
          </w:p>
          <w:p w14:paraId="4C9A51A4" w14:textId="77777777" w:rsidR="00B352CE" w:rsidRPr="00286216" w:rsidRDefault="00B352CE" w:rsidP="00B352CE">
            <w:pPr>
              <w:pStyle w:val="StyleProp"/>
              <w:rPr>
                <w:color w:val="000000" w:themeColor="text1"/>
              </w:rPr>
            </w:pPr>
            <w:r w:rsidRPr="00286216">
              <w:rPr>
                <w:color w:val="000000" w:themeColor="text1"/>
              </w:rPr>
              <w:t>в) комітет з питань призначень;</w:t>
            </w:r>
          </w:p>
          <w:p w14:paraId="573AD938" w14:textId="77777777" w:rsidR="00B352CE" w:rsidRPr="00286216" w:rsidRDefault="00B352CE" w:rsidP="00B352CE">
            <w:pPr>
              <w:pStyle w:val="StyleProp"/>
              <w:rPr>
                <w:color w:val="000000" w:themeColor="text1"/>
              </w:rPr>
            </w:pPr>
            <w:r w:rsidRPr="00286216">
              <w:rPr>
                <w:color w:val="000000" w:themeColor="text1"/>
              </w:rPr>
              <w:t xml:space="preserve">г) комітет з управління ризиками. </w:t>
            </w:r>
          </w:p>
          <w:p w14:paraId="07AC0E9E" w14:textId="77777777" w:rsidR="00B352CE" w:rsidRPr="00286216" w:rsidRDefault="00B352CE" w:rsidP="00B352CE">
            <w:pPr>
              <w:pStyle w:val="StyleProp"/>
              <w:rPr>
                <w:color w:val="000000" w:themeColor="text1"/>
              </w:rPr>
            </w:pPr>
            <w:r w:rsidRPr="00286216">
              <w:rPr>
                <w:color w:val="000000" w:themeColor="text1"/>
              </w:rPr>
              <w:t>Наглядова рада може створювати інші постійно діючі та тимчасові комітети.</w:t>
            </w:r>
          </w:p>
          <w:p w14:paraId="6EB96BA2" w14:textId="77777777" w:rsidR="00B352CE" w:rsidRPr="00286216" w:rsidRDefault="00B352CE" w:rsidP="00B352CE">
            <w:pPr>
              <w:pStyle w:val="StyleProp"/>
              <w:rPr>
                <w:color w:val="000000" w:themeColor="text1"/>
              </w:rPr>
            </w:pPr>
            <w:r w:rsidRPr="00286216">
              <w:rPr>
                <w:color w:val="000000" w:themeColor="text1"/>
              </w:rPr>
              <w:t>3) Наглядова рада обов’язково визначає з числа членів наглядової ради відповідальну особу, на яку покладені завдання із забезпечення реалізації функції комплаєнсу або створює комітет з питань комплаєнсу.</w:t>
            </w:r>
          </w:p>
          <w:p w14:paraId="5A631472" w14:textId="77777777" w:rsidR="00B352CE" w:rsidRPr="00286216" w:rsidRDefault="00B352CE" w:rsidP="00B352CE">
            <w:pPr>
              <w:pStyle w:val="StyleProp"/>
              <w:rPr>
                <w:color w:val="000000" w:themeColor="text1"/>
              </w:rPr>
            </w:pPr>
            <w:r w:rsidRPr="00286216">
              <w:rPr>
                <w:color w:val="000000" w:themeColor="text1"/>
              </w:rPr>
              <w:t xml:space="preserve">Комітет з винагород та комітет з питань </w:t>
            </w:r>
            <w:r w:rsidRPr="00286216">
              <w:rPr>
                <w:color w:val="000000" w:themeColor="text1"/>
              </w:rPr>
              <w:lastRenderedPageBreak/>
              <w:t xml:space="preserve">призначень можуть бути об’єднаними. </w:t>
            </w:r>
          </w:p>
          <w:p w14:paraId="26143727" w14:textId="77777777" w:rsidR="00B352CE" w:rsidRPr="00286216" w:rsidRDefault="00B352CE" w:rsidP="00B352CE">
            <w:pPr>
              <w:pStyle w:val="StyleProp"/>
              <w:rPr>
                <w:color w:val="000000" w:themeColor="text1"/>
              </w:rPr>
            </w:pPr>
            <w:r w:rsidRPr="00286216">
              <w:rPr>
                <w:color w:val="000000" w:themeColor="text1"/>
              </w:rPr>
              <w:t>До складу кожного комітету входить не менше трьох членів наглядової ради.</w:t>
            </w:r>
          </w:p>
          <w:p w14:paraId="70948F8F" w14:textId="77777777" w:rsidR="00B352CE" w:rsidRPr="00286216" w:rsidRDefault="00B352CE" w:rsidP="00B352CE">
            <w:pPr>
              <w:pStyle w:val="StyleProp"/>
              <w:rPr>
                <w:color w:val="000000" w:themeColor="text1"/>
              </w:rPr>
            </w:pPr>
            <w:r w:rsidRPr="00286216">
              <w:rPr>
                <w:color w:val="000000" w:themeColor="text1"/>
              </w:rPr>
              <w:t>Комітети очолюють члени наглядової ради товариства, які є незалежними членами. Більшість членів зазначених комітетів повинні становити незалежні члени.</w:t>
            </w:r>
          </w:p>
          <w:p w14:paraId="0E544A3A" w14:textId="77777777" w:rsidR="00B352CE" w:rsidRPr="00286216" w:rsidRDefault="00B352CE" w:rsidP="00B352CE">
            <w:pPr>
              <w:pStyle w:val="StyleProp"/>
              <w:rPr>
                <w:color w:val="000000" w:themeColor="text1"/>
              </w:rPr>
            </w:pPr>
            <w:r w:rsidRPr="00286216">
              <w:rPr>
                <w:color w:val="000000" w:themeColor="text1"/>
              </w:rPr>
              <w:t xml:space="preserve"> Національна комісія з цінних паперів та фондового ринку має право за погодженням з Національним банком України встановлювати до системно важливих професійних учасників ринків капіталу, які є банками:</w:t>
            </w:r>
          </w:p>
          <w:p w14:paraId="52B04E7D" w14:textId="77777777" w:rsidR="00B352CE" w:rsidRPr="00286216" w:rsidRDefault="00B352CE" w:rsidP="00B352CE">
            <w:pPr>
              <w:pStyle w:val="StyleProp"/>
              <w:rPr>
                <w:color w:val="000000" w:themeColor="text1"/>
              </w:rPr>
            </w:pPr>
            <w:r w:rsidRPr="00286216">
              <w:rPr>
                <w:color w:val="000000" w:themeColor="text1"/>
              </w:rPr>
              <w:t>1) додаткові вимоги до системи корпоративного управління, що обмежують ризики їх професійної діяльності на ринках капіталу;</w:t>
            </w:r>
          </w:p>
          <w:p w14:paraId="6DED2534" w14:textId="423AA4A7" w:rsidR="00B352CE" w:rsidRPr="00286216" w:rsidRDefault="00B352CE" w:rsidP="00B352CE">
            <w:pPr>
              <w:pStyle w:val="StyleProp"/>
              <w:rPr>
                <w:color w:val="000000" w:themeColor="text1"/>
              </w:rPr>
            </w:pPr>
            <w:r w:rsidRPr="00286216">
              <w:rPr>
                <w:color w:val="000000" w:themeColor="text1"/>
              </w:rPr>
              <w:t>2) додаткові кваліфікаційні вимоги до членів наглядової ради щодо їх професійної придатності".</w:t>
            </w:r>
          </w:p>
        </w:tc>
        <w:tc>
          <w:tcPr>
            <w:tcW w:w="1987" w:type="dxa"/>
          </w:tcPr>
          <w:p w14:paraId="3DB931D4" w14:textId="77777777" w:rsidR="00B352CE" w:rsidRPr="00286216" w:rsidRDefault="00B352CE" w:rsidP="00B352CE">
            <w:pPr>
              <w:pStyle w:val="StyleWisnow"/>
              <w:spacing w:line="180" w:lineRule="exact"/>
              <w:rPr>
                <w:color w:val="000000" w:themeColor="text1"/>
              </w:rPr>
            </w:pPr>
            <w:r w:rsidRPr="00286216">
              <w:rPr>
                <w:color w:val="000000" w:themeColor="text1"/>
              </w:rPr>
              <w:lastRenderedPageBreak/>
              <w:t>Враховано</w:t>
            </w:r>
          </w:p>
        </w:tc>
        <w:tc>
          <w:tcPr>
            <w:tcW w:w="4818" w:type="dxa"/>
          </w:tcPr>
          <w:p w14:paraId="57659193" w14:textId="77777777" w:rsidR="00B352CE" w:rsidRPr="00286216" w:rsidRDefault="00B352CE" w:rsidP="00B352CE">
            <w:pPr>
              <w:pStyle w:val="StyleZakonu"/>
              <w:rPr>
                <w:color w:val="000000" w:themeColor="text1"/>
              </w:rPr>
            </w:pPr>
            <w:r w:rsidRPr="00286216" w:rsidDel="00BD3AC9">
              <w:rPr>
                <w:color w:val="000000" w:themeColor="text1"/>
              </w:rPr>
              <w:t xml:space="preserve"> </w:t>
            </w:r>
            <w:r w:rsidRPr="00286216">
              <w:rPr>
                <w:color w:val="000000" w:themeColor="text1"/>
              </w:rPr>
              <w:t xml:space="preserve">Стаття 76. Корпоративне управління у професійних учасниках ринків капіталу та </w:t>
            </w:r>
            <w:r w:rsidRPr="00286216">
              <w:rPr>
                <w:color w:val="000000" w:themeColor="text1"/>
              </w:rPr>
              <w:lastRenderedPageBreak/>
              <w:t>організованих товарних ринків</w:t>
            </w:r>
          </w:p>
          <w:p w14:paraId="6E8E95BB" w14:textId="77777777" w:rsidR="00B352CE" w:rsidRPr="00286216" w:rsidRDefault="00B352CE" w:rsidP="00B352CE">
            <w:pPr>
              <w:pStyle w:val="StyleZakonu"/>
              <w:rPr>
                <w:color w:val="000000" w:themeColor="text1"/>
              </w:rPr>
            </w:pPr>
            <w:r w:rsidRPr="00286216">
              <w:rPr>
                <w:color w:val="000000" w:themeColor="text1"/>
              </w:rPr>
              <w:t xml:space="preserve">1. Метою організації корпоративного управління у професійних учасниках  ринків капіталу та організованих товарних ринків є забезпечення недопущення завдання шкоди клієнтам такого професійного учасника або створення загрози інвестиціям, запобігання невиконанню професійним учасником вимог законодавства про ринки капіталу та організовані товарні ринки та попередження прийняття професійним учасником ризиків, реалізація яких створює загрозу цілісності ринків капіталу та організованих товарних ринків і стабільності їх функціонування. </w:t>
            </w:r>
          </w:p>
          <w:p w14:paraId="6F132543" w14:textId="77777777" w:rsidR="00B352CE" w:rsidRPr="00286216" w:rsidRDefault="00B352CE" w:rsidP="00B352CE">
            <w:pPr>
              <w:pStyle w:val="StyleZakonu"/>
              <w:rPr>
                <w:color w:val="000000" w:themeColor="text1"/>
              </w:rPr>
            </w:pPr>
            <w:r w:rsidRPr="00286216">
              <w:rPr>
                <w:color w:val="000000" w:themeColor="text1"/>
              </w:rPr>
              <w:t>2. Принципи організації внутрішньої структури професійних учасників ринків капіталу та організованих товарних ринків:</w:t>
            </w:r>
          </w:p>
          <w:p w14:paraId="4C895EC5" w14:textId="77777777" w:rsidR="00B352CE" w:rsidRPr="00286216" w:rsidRDefault="00B352CE" w:rsidP="00B352CE">
            <w:pPr>
              <w:pStyle w:val="StyleZakonu"/>
              <w:rPr>
                <w:color w:val="000000" w:themeColor="text1"/>
              </w:rPr>
            </w:pPr>
            <w:r w:rsidRPr="00286216">
              <w:rPr>
                <w:color w:val="000000" w:themeColor="text1"/>
              </w:rPr>
              <w:t xml:space="preserve">1) ефективне управління професійним учасником, у тому числі шляхом відповідного розподілу обов’язків; </w:t>
            </w:r>
          </w:p>
          <w:p w14:paraId="4D0586E7" w14:textId="77777777" w:rsidR="00B352CE" w:rsidRPr="00286216" w:rsidRDefault="00B352CE" w:rsidP="00B352CE">
            <w:pPr>
              <w:pStyle w:val="StyleZakonu"/>
              <w:rPr>
                <w:color w:val="000000" w:themeColor="text1"/>
              </w:rPr>
            </w:pPr>
            <w:r w:rsidRPr="00286216">
              <w:rPr>
                <w:color w:val="000000" w:themeColor="text1"/>
              </w:rPr>
              <w:t>2) здійснення нагляду за операційною діяльністю професійного учасника;</w:t>
            </w:r>
          </w:p>
          <w:p w14:paraId="681535DD" w14:textId="77777777" w:rsidR="00B352CE" w:rsidRPr="00286216" w:rsidRDefault="00B352CE" w:rsidP="00B352CE">
            <w:pPr>
              <w:pStyle w:val="StyleZakonu"/>
              <w:rPr>
                <w:color w:val="000000" w:themeColor="text1"/>
              </w:rPr>
            </w:pPr>
            <w:r w:rsidRPr="00286216">
              <w:rPr>
                <w:color w:val="000000" w:themeColor="text1"/>
              </w:rPr>
              <w:t>3) запобігання та врегулювання конфліктів інтересів;</w:t>
            </w:r>
          </w:p>
          <w:p w14:paraId="10C05959" w14:textId="77777777" w:rsidR="00B352CE" w:rsidRPr="00286216" w:rsidRDefault="00B352CE" w:rsidP="00B352CE">
            <w:pPr>
              <w:pStyle w:val="StyleZakonu"/>
              <w:rPr>
                <w:color w:val="000000" w:themeColor="text1"/>
              </w:rPr>
            </w:pPr>
            <w:r w:rsidRPr="00286216">
              <w:rPr>
                <w:color w:val="000000" w:themeColor="text1"/>
              </w:rPr>
              <w:t>4) відповідальність за неналежну організацію корпоративного управління.</w:t>
            </w:r>
          </w:p>
          <w:p w14:paraId="3E305AB0" w14:textId="77777777" w:rsidR="00B352CE" w:rsidRPr="00286216" w:rsidRDefault="00B352CE" w:rsidP="00B352CE">
            <w:pPr>
              <w:pStyle w:val="StyleZakonu"/>
              <w:rPr>
                <w:color w:val="000000" w:themeColor="text1"/>
              </w:rPr>
            </w:pPr>
            <w:r w:rsidRPr="00286216">
              <w:rPr>
                <w:color w:val="000000" w:themeColor="text1"/>
              </w:rPr>
              <w:t xml:space="preserve">3. Вимоги до корпоративного управління професійних учасників ринків капіталу та організованих товарних ринків, зазначених у пункті 3 частини першої статті 42 цього Закону, встановлюються частинами першою, другою, четвертою - сьомою цієї статті. </w:t>
            </w:r>
          </w:p>
          <w:p w14:paraId="6013E3FB" w14:textId="77777777" w:rsidR="00B352CE" w:rsidRPr="00286216" w:rsidRDefault="00B352CE" w:rsidP="00B352CE">
            <w:pPr>
              <w:pStyle w:val="StyleZakonu"/>
              <w:rPr>
                <w:color w:val="000000" w:themeColor="text1"/>
              </w:rPr>
            </w:pPr>
            <w:r w:rsidRPr="00286216">
              <w:rPr>
                <w:color w:val="000000" w:themeColor="text1"/>
              </w:rPr>
              <w:t xml:space="preserve">Вимоги до корпоративного управління професійних учасників ринків капіталу, зазначених у пункті 1 і 2 частини першої статті 42 цього Закону, які не є банками, встановлюються частинами першою, другою, четвертою - восьмою цієї статті. </w:t>
            </w:r>
          </w:p>
          <w:p w14:paraId="761E1069" w14:textId="77777777" w:rsidR="00B352CE" w:rsidRPr="00286216" w:rsidRDefault="00B352CE" w:rsidP="00B352CE">
            <w:pPr>
              <w:pStyle w:val="StyleZakonu"/>
              <w:rPr>
                <w:color w:val="000000" w:themeColor="text1"/>
              </w:rPr>
            </w:pPr>
            <w:r w:rsidRPr="00286216">
              <w:rPr>
                <w:color w:val="000000" w:themeColor="text1"/>
              </w:rPr>
              <w:t xml:space="preserve">Вимоги до корпоративного управління професійних учасників ринків капіталу, зазначених у пункті 2 частини першої статті 42 цього Закону, які є банками, встановлюються законодавством про банки та банківську діяльність, а також частиною дев’ятою цієї статті. </w:t>
            </w:r>
          </w:p>
          <w:p w14:paraId="7A68927D" w14:textId="77777777" w:rsidR="00B352CE" w:rsidRPr="00286216" w:rsidRDefault="00B352CE" w:rsidP="00B352CE">
            <w:pPr>
              <w:pStyle w:val="StyleZakonu"/>
              <w:rPr>
                <w:color w:val="000000" w:themeColor="text1"/>
              </w:rPr>
            </w:pPr>
            <w:r w:rsidRPr="00286216">
              <w:rPr>
                <w:color w:val="000000" w:themeColor="text1"/>
              </w:rPr>
              <w:t xml:space="preserve">4. Усі професійні учасники ринків капіталу та </w:t>
            </w:r>
            <w:r w:rsidRPr="00286216">
              <w:rPr>
                <w:color w:val="000000" w:themeColor="text1"/>
              </w:rPr>
              <w:lastRenderedPageBreak/>
              <w:t>організованих товарних ринків зобов’язані створити комплексну, ефективну систему внутрішнього контролю, що включає підсистеми комплаєнсу, управління ризиками та внутрішнього аудиту. Така система створюється з урахуванням особливостей  виду професійної діяльності на ринках капіталу та організованих товарних ринках, характеру та обсягів операцій, що здійснюються ними під час провадження такої діяльності, і ризиків, властивих такій діяльності. Професійні учасники ринків капіталу та організованих товарних ринків  зобов’язані здійснювати контроль за функціонуванням такої системи.</w:t>
            </w:r>
          </w:p>
          <w:p w14:paraId="18C8B97A" w14:textId="77777777" w:rsidR="00B352CE" w:rsidRPr="00286216" w:rsidRDefault="00B352CE" w:rsidP="00B352CE">
            <w:pPr>
              <w:pStyle w:val="StyleZakonu"/>
              <w:rPr>
                <w:color w:val="000000" w:themeColor="text1"/>
              </w:rPr>
            </w:pPr>
            <w:r w:rsidRPr="00286216">
              <w:rPr>
                <w:color w:val="000000" w:themeColor="text1"/>
              </w:rPr>
              <w:t>Структурні підрозділи або окремі посадові особи, що входять до системи внутрішнього контролю, підпорядковуються органу, відповідальному за здійснення нагляду, та звітують перед ним.</w:t>
            </w:r>
          </w:p>
          <w:p w14:paraId="67803EBB" w14:textId="77777777" w:rsidR="00B352CE" w:rsidRPr="00286216" w:rsidRDefault="00B352CE" w:rsidP="00B352CE">
            <w:pPr>
              <w:pStyle w:val="StyleZakonu"/>
              <w:rPr>
                <w:color w:val="000000" w:themeColor="text1"/>
              </w:rPr>
            </w:pPr>
            <w:r w:rsidRPr="00286216">
              <w:rPr>
                <w:color w:val="000000" w:themeColor="text1"/>
              </w:rPr>
              <w:t xml:space="preserve">5. Професійні учасники ринків капіталу та організованих товарних ринків зобов’язані регулярно, але не рідше одного разу на рік, якщо інше не передбачено законодавством, переглядати внутрішні політики, що регламентують провадження професійної діяльності.  </w:t>
            </w:r>
          </w:p>
          <w:p w14:paraId="3DF37BBA" w14:textId="77777777" w:rsidR="00B352CE" w:rsidRPr="00286216" w:rsidRDefault="00B352CE" w:rsidP="00B352CE">
            <w:pPr>
              <w:pStyle w:val="StyleZakonu"/>
              <w:rPr>
                <w:color w:val="000000" w:themeColor="text1"/>
              </w:rPr>
            </w:pPr>
            <w:r w:rsidRPr="00286216">
              <w:rPr>
                <w:color w:val="000000" w:themeColor="text1"/>
              </w:rPr>
              <w:t>6. Вимоги до системи внутрішнього контролю  професійних учасників ринків капіталу та організованих товарних ринків  встановлюються нормативно-правовими актами Національної комісії з цінних паперів та фондового ринку.</w:t>
            </w:r>
          </w:p>
          <w:p w14:paraId="40DE68B6" w14:textId="77777777" w:rsidR="00B352CE" w:rsidRPr="00286216" w:rsidRDefault="00B352CE" w:rsidP="00B352CE">
            <w:pPr>
              <w:pStyle w:val="StyleZakonu"/>
              <w:rPr>
                <w:color w:val="000000" w:themeColor="text1"/>
              </w:rPr>
            </w:pPr>
            <w:r w:rsidRPr="00286216">
              <w:rPr>
                <w:color w:val="000000" w:themeColor="text1"/>
              </w:rPr>
              <w:t>7. В усіх професійних учасниках ринків капіталу та організованих товарних ринків незалежно від організаційно-правової форми створюється орган, відповідальний за здійснення нагляду. Члени органу, відповідального за здійснення нагляду, повинні відповідати кваліфікаційним вимогам щодо ділової репутації та професійної придатності, встановленим Національною комісією з цінних паперів та фондового ринку.</w:t>
            </w:r>
          </w:p>
          <w:p w14:paraId="2F63D54D" w14:textId="77777777" w:rsidR="00B352CE" w:rsidRPr="00286216" w:rsidRDefault="00B352CE" w:rsidP="00B352CE">
            <w:pPr>
              <w:pStyle w:val="StyleZakonu"/>
              <w:rPr>
                <w:color w:val="000000" w:themeColor="text1"/>
              </w:rPr>
            </w:pPr>
            <w:r w:rsidRPr="00286216">
              <w:rPr>
                <w:color w:val="000000" w:themeColor="text1"/>
              </w:rPr>
              <w:t xml:space="preserve">Професійна придатність члена органу, відповідального за здійснення нагляду, визначається як сукупність знань, професійного та управлінського досвіду особи, необхідних для належного виконання посадових обов’язків з урахуванням бізнес-плану (бізнес-стратегії) професійного учасника ринків капіталу та організованих товарних ринків. </w:t>
            </w:r>
          </w:p>
          <w:p w14:paraId="23FAB3E1" w14:textId="77777777" w:rsidR="00B352CE" w:rsidRPr="00286216" w:rsidRDefault="00B352CE" w:rsidP="00B352CE">
            <w:pPr>
              <w:pStyle w:val="StyleZakonu"/>
              <w:rPr>
                <w:color w:val="000000" w:themeColor="text1"/>
              </w:rPr>
            </w:pPr>
            <w:r w:rsidRPr="00286216">
              <w:rPr>
                <w:color w:val="000000" w:themeColor="text1"/>
              </w:rPr>
              <w:lastRenderedPageBreak/>
              <w:t xml:space="preserve">Порядок формування органу, відповідального за здійснення нагляду, встановлюється статутом професійного учасника ринків капіталу та організованих товарних ринків. </w:t>
            </w:r>
          </w:p>
          <w:p w14:paraId="63D38E76" w14:textId="77777777" w:rsidR="00B352CE" w:rsidRPr="00286216" w:rsidRDefault="00B352CE" w:rsidP="00B352CE">
            <w:pPr>
              <w:pStyle w:val="StyleZakonu"/>
              <w:rPr>
                <w:color w:val="000000" w:themeColor="text1"/>
              </w:rPr>
            </w:pPr>
            <w:r w:rsidRPr="00286216">
              <w:rPr>
                <w:color w:val="000000" w:themeColor="text1"/>
              </w:rPr>
              <w:t>Орган, відповідальний за здійснення нагляду, повинен встановлювати стратегічні цілі професійного учасника ринків капіталу та організованих товарних ринків, контролювати актуальність таких цілей та періодично оцінювати прогрес у їх досягненні. Орган, відповідальний за здійснення нагляду, повинен затверджувати внутрішні положення, що регулюють діяльність органів управління професійного учасника (крім тих, що віднесені до виключної компетенції загальних зборів акціонерів (учасників) такого професійного учасника), функціонування системи внутрішнього контролю, а також внутрішні політики щодо надання послуг клієнтам, (крім документів нормативно-технічного характеру), контролювати адекватність та ефективність виконання їхніх вимог. Орган, відповідальний за здійснення нагляду, повинен вживати відповідні заходи для усунення будь-яких недоліків, виявлених під час контролю.</w:t>
            </w:r>
          </w:p>
          <w:p w14:paraId="460D28E5" w14:textId="77777777" w:rsidR="00B352CE" w:rsidRPr="00286216" w:rsidRDefault="00B352CE" w:rsidP="00B352CE">
            <w:pPr>
              <w:pStyle w:val="StyleZakonu"/>
              <w:rPr>
                <w:color w:val="000000" w:themeColor="text1"/>
              </w:rPr>
            </w:pPr>
            <w:r w:rsidRPr="00286216">
              <w:rPr>
                <w:color w:val="000000" w:themeColor="text1"/>
              </w:rPr>
              <w:t>Положення внутрішніх політик професійного учасника ринків капіталу та організованих товарних ринків мають передбачати такі повноваження органу, відповідального за здійснення нагляду:</w:t>
            </w:r>
          </w:p>
          <w:p w14:paraId="01E6C5D7" w14:textId="77777777" w:rsidR="00B352CE" w:rsidRPr="00286216" w:rsidRDefault="00B352CE" w:rsidP="00B352CE">
            <w:pPr>
              <w:pStyle w:val="StyleZakonu"/>
              <w:rPr>
                <w:color w:val="000000" w:themeColor="text1"/>
              </w:rPr>
            </w:pPr>
            <w:r w:rsidRPr="00286216">
              <w:rPr>
                <w:color w:val="000000" w:themeColor="text1"/>
              </w:rPr>
              <w:t>1) контроль здійснення професійним учасником професійної діяльності відповідно до отриманої ним ліцензії на провадження відповідного виду діяльності в межах  професійної діяльності, включаючи  професійні компетентності, загальні та спеціальні знання і досвід працівників професійного учасника, а також ресурси, процедури та механізми, необхідні для надання послуг та здійснення професійної діяльності, з урахуванням характеру, масштабу і складності діяльності професійного учасника та всіх вимог законодавства, яким він повинен відповідати;</w:t>
            </w:r>
          </w:p>
          <w:p w14:paraId="0D408B1F" w14:textId="77777777" w:rsidR="00B352CE" w:rsidRPr="00286216" w:rsidRDefault="00B352CE" w:rsidP="00B352CE">
            <w:pPr>
              <w:pStyle w:val="StyleZakonu"/>
              <w:rPr>
                <w:color w:val="000000" w:themeColor="text1"/>
              </w:rPr>
            </w:pPr>
            <w:r w:rsidRPr="00286216">
              <w:rPr>
                <w:color w:val="000000" w:themeColor="text1"/>
              </w:rPr>
              <w:t>2) затвердження та контроль виконання внутрішніх політик щодо продуктів та послуг, що пропонуються або надаються з урахуванням положення про управління ризиками та відповідно до характеристик і потреб клієнтів фірми, яким такі продукти та послуги пропонуються чи надаються;</w:t>
            </w:r>
          </w:p>
          <w:p w14:paraId="0025D8B8" w14:textId="77777777" w:rsidR="00B352CE" w:rsidRPr="00286216" w:rsidRDefault="00B352CE" w:rsidP="00B352CE">
            <w:pPr>
              <w:pStyle w:val="StyleZakonu"/>
              <w:rPr>
                <w:color w:val="000000" w:themeColor="text1"/>
              </w:rPr>
            </w:pPr>
            <w:r w:rsidRPr="00286216">
              <w:rPr>
                <w:color w:val="000000" w:themeColor="text1"/>
              </w:rPr>
              <w:t xml:space="preserve">3) затвердження та контроль виконання </w:t>
            </w:r>
            <w:r w:rsidRPr="00286216">
              <w:rPr>
                <w:color w:val="000000" w:themeColor="text1"/>
              </w:rPr>
              <w:lastRenderedPageBreak/>
              <w:t>внутрішніх політик щодо проведення відповідного стрес-тестування, у випадках, визначених законодавством;</w:t>
            </w:r>
          </w:p>
          <w:p w14:paraId="46F7B4A5" w14:textId="77777777" w:rsidR="00B352CE" w:rsidRPr="00286216" w:rsidRDefault="00B352CE" w:rsidP="00B352CE">
            <w:pPr>
              <w:pStyle w:val="StyleZakonu"/>
              <w:rPr>
                <w:color w:val="000000" w:themeColor="text1"/>
              </w:rPr>
            </w:pPr>
            <w:r w:rsidRPr="00286216">
              <w:rPr>
                <w:color w:val="000000" w:themeColor="text1"/>
              </w:rPr>
              <w:t xml:space="preserve">4) затвержувати та контролювати виконання політики (положення) щодо винагороди осіб, які беруть участь у наданні послуг клієнтам, спрямованої на заохочення відповідального надання послуг, справедливого поводження з клієнтами, а також уникнення конфлікту інтересів у відносинах з клієнтами; </w:t>
            </w:r>
          </w:p>
          <w:p w14:paraId="27D9F62A" w14:textId="77777777" w:rsidR="00B352CE" w:rsidRPr="00286216" w:rsidRDefault="00B352CE" w:rsidP="00B352CE">
            <w:pPr>
              <w:pStyle w:val="StyleZakonu"/>
              <w:rPr>
                <w:color w:val="000000" w:themeColor="text1"/>
              </w:rPr>
            </w:pPr>
            <w:r w:rsidRPr="00286216">
              <w:rPr>
                <w:color w:val="000000" w:themeColor="text1"/>
              </w:rPr>
              <w:t>5) контроль цілісності фінансової звітності і системи подання звітності, в тому числі шляхом здійснення фінансового та операційного контролю;</w:t>
            </w:r>
          </w:p>
          <w:p w14:paraId="6FC56A85" w14:textId="77777777" w:rsidR="00B352CE" w:rsidRPr="00286216" w:rsidRDefault="00B352CE" w:rsidP="00B352CE">
            <w:pPr>
              <w:pStyle w:val="StyleZakonu"/>
              <w:rPr>
                <w:color w:val="000000" w:themeColor="text1"/>
              </w:rPr>
            </w:pPr>
            <w:r w:rsidRPr="00286216">
              <w:rPr>
                <w:color w:val="000000" w:themeColor="text1"/>
              </w:rPr>
              <w:t>6) затвердження та контроль організації комплаєнсу, управління ризиками та внутрішнього аудиту;</w:t>
            </w:r>
          </w:p>
          <w:p w14:paraId="0394522D" w14:textId="77777777" w:rsidR="00B352CE" w:rsidRPr="00286216" w:rsidRDefault="00B352CE" w:rsidP="00B352CE">
            <w:pPr>
              <w:pStyle w:val="StyleZakonu"/>
              <w:rPr>
                <w:color w:val="000000" w:themeColor="text1"/>
              </w:rPr>
            </w:pPr>
            <w:r w:rsidRPr="00286216">
              <w:rPr>
                <w:color w:val="000000" w:themeColor="text1"/>
              </w:rPr>
              <w:t xml:space="preserve">7) контроль розкриття інформації відповідно до вимог цього Закону та надання інформації клієнтам; </w:t>
            </w:r>
          </w:p>
          <w:p w14:paraId="6C214483" w14:textId="77777777" w:rsidR="00B352CE" w:rsidRPr="00286216" w:rsidRDefault="00B352CE" w:rsidP="00B352CE">
            <w:pPr>
              <w:pStyle w:val="StyleZakonu"/>
              <w:rPr>
                <w:color w:val="000000" w:themeColor="text1"/>
              </w:rPr>
            </w:pPr>
            <w:r w:rsidRPr="00286216">
              <w:rPr>
                <w:color w:val="000000" w:themeColor="text1"/>
              </w:rPr>
              <w:t>8) контроль діяльності осіб, які здійснюють виконавчі функції, та керівників підрозділів системи внутрішнього контролю.</w:t>
            </w:r>
          </w:p>
          <w:p w14:paraId="534E5052" w14:textId="77777777" w:rsidR="00B352CE" w:rsidRPr="00286216" w:rsidRDefault="00B352CE" w:rsidP="00B352CE">
            <w:pPr>
              <w:pStyle w:val="StyleZakonu"/>
              <w:rPr>
                <w:color w:val="000000" w:themeColor="text1"/>
              </w:rPr>
            </w:pPr>
            <w:r w:rsidRPr="00286216">
              <w:rPr>
                <w:color w:val="000000" w:themeColor="text1"/>
              </w:rPr>
              <w:t>Члени органу, відповідального за здійснення нагляду,  повинні мати повний і безумовний доступ до всієї інформації та документів, необхідних для здійснення нагляду за прийняттям управлінських рішень особами, які здійснюють виконавчі функції.</w:t>
            </w:r>
          </w:p>
          <w:p w14:paraId="7E6C4801" w14:textId="77777777" w:rsidR="00B352CE" w:rsidRPr="00286216" w:rsidRDefault="00B352CE" w:rsidP="00B352CE">
            <w:pPr>
              <w:pStyle w:val="StyleZakonu"/>
              <w:rPr>
                <w:color w:val="000000" w:themeColor="text1"/>
              </w:rPr>
            </w:pPr>
            <w:r w:rsidRPr="00286216">
              <w:rPr>
                <w:color w:val="000000" w:themeColor="text1"/>
              </w:rPr>
              <w:t xml:space="preserve">Орган, відповідальний за здійснення нагляду, створює постійно діючий комітет з управління ризиками. </w:t>
            </w:r>
          </w:p>
          <w:p w14:paraId="1B1355FC" w14:textId="77777777" w:rsidR="00B352CE" w:rsidRPr="00286216" w:rsidRDefault="00B352CE" w:rsidP="00B352CE">
            <w:pPr>
              <w:pStyle w:val="StyleZakonu"/>
              <w:rPr>
                <w:color w:val="000000" w:themeColor="text1"/>
              </w:rPr>
            </w:pPr>
            <w:r w:rsidRPr="00286216">
              <w:rPr>
                <w:color w:val="000000" w:themeColor="text1"/>
              </w:rPr>
              <w:t>8. До професійних учасників ринків капіталу та організованих товарних ринків, які є підприємствами, що становлять суспільний інтерес, або системноважливими професійними учасниками (крім банків), встановлюються такі додаткові вимоги щодо корпоративного управління:</w:t>
            </w:r>
          </w:p>
          <w:p w14:paraId="4FD675B2" w14:textId="77777777" w:rsidR="00B352CE" w:rsidRPr="00286216" w:rsidRDefault="00B352CE" w:rsidP="00B352CE">
            <w:pPr>
              <w:pStyle w:val="StyleZakonu"/>
              <w:rPr>
                <w:color w:val="000000" w:themeColor="text1"/>
              </w:rPr>
            </w:pPr>
            <w:r w:rsidRPr="00286216">
              <w:rPr>
                <w:color w:val="000000" w:themeColor="text1"/>
              </w:rPr>
              <w:t>1) органом, відповідальним за здійснення нагляду, є наглядова рада. У складі наглядової ради такого професійного учасника має бути не менше п’яти осіб, якщо більша кількість не встановлена законом;</w:t>
            </w:r>
          </w:p>
          <w:p w14:paraId="716DFCA3" w14:textId="77777777" w:rsidR="00B352CE" w:rsidRPr="00286216" w:rsidRDefault="00B352CE" w:rsidP="00B352CE">
            <w:pPr>
              <w:pStyle w:val="StyleZakonu"/>
              <w:rPr>
                <w:color w:val="000000" w:themeColor="text1"/>
              </w:rPr>
            </w:pPr>
            <w:r w:rsidRPr="00286216">
              <w:rPr>
                <w:color w:val="000000" w:themeColor="text1"/>
              </w:rPr>
              <w:t>2) наглядова рада створює постійно діючі комітети:</w:t>
            </w:r>
          </w:p>
          <w:p w14:paraId="2381E44A" w14:textId="77777777" w:rsidR="00B352CE" w:rsidRPr="00286216" w:rsidRDefault="00B352CE" w:rsidP="00B352CE">
            <w:pPr>
              <w:pStyle w:val="StyleZakonu"/>
              <w:rPr>
                <w:color w:val="000000" w:themeColor="text1"/>
              </w:rPr>
            </w:pPr>
            <w:r w:rsidRPr="00286216">
              <w:rPr>
                <w:color w:val="000000" w:themeColor="text1"/>
              </w:rPr>
              <w:t>а) комітет з питань аудиту (аудиторський комітет);</w:t>
            </w:r>
          </w:p>
          <w:p w14:paraId="491FB416" w14:textId="77777777" w:rsidR="00B352CE" w:rsidRPr="00286216" w:rsidRDefault="00B352CE" w:rsidP="00B352CE">
            <w:pPr>
              <w:pStyle w:val="StyleZakonu"/>
              <w:rPr>
                <w:color w:val="000000" w:themeColor="text1"/>
              </w:rPr>
            </w:pPr>
            <w:r w:rsidRPr="00286216">
              <w:rPr>
                <w:color w:val="000000" w:themeColor="text1"/>
              </w:rPr>
              <w:lastRenderedPageBreak/>
              <w:t>б) комітет з питань визначення винагороди посадовим особам професійного учасника (комітет з винагород);</w:t>
            </w:r>
          </w:p>
          <w:p w14:paraId="604C9B96" w14:textId="77777777" w:rsidR="00B352CE" w:rsidRPr="00286216" w:rsidRDefault="00B352CE" w:rsidP="00B352CE">
            <w:pPr>
              <w:pStyle w:val="StyleZakonu"/>
              <w:rPr>
                <w:color w:val="000000" w:themeColor="text1"/>
              </w:rPr>
            </w:pPr>
            <w:r w:rsidRPr="00286216">
              <w:rPr>
                <w:color w:val="000000" w:themeColor="text1"/>
              </w:rPr>
              <w:t>в) комітет з питань призначень;</w:t>
            </w:r>
          </w:p>
          <w:p w14:paraId="75F9C366" w14:textId="77777777" w:rsidR="00B352CE" w:rsidRPr="00286216" w:rsidRDefault="00B352CE" w:rsidP="00B352CE">
            <w:pPr>
              <w:pStyle w:val="StyleZakonu"/>
              <w:rPr>
                <w:color w:val="000000" w:themeColor="text1"/>
              </w:rPr>
            </w:pPr>
            <w:r w:rsidRPr="00286216">
              <w:rPr>
                <w:color w:val="000000" w:themeColor="text1"/>
              </w:rPr>
              <w:t xml:space="preserve">г) комітет з управління ризиками. </w:t>
            </w:r>
          </w:p>
          <w:p w14:paraId="09CA0E34" w14:textId="77777777" w:rsidR="00B352CE" w:rsidRPr="00286216" w:rsidRDefault="00B352CE" w:rsidP="00B352CE">
            <w:pPr>
              <w:pStyle w:val="StyleZakonu"/>
              <w:rPr>
                <w:color w:val="000000" w:themeColor="text1"/>
              </w:rPr>
            </w:pPr>
            <w:r w:rsidRPr="00286216">
              <w:rPr>
                <w:color w:val="000000" w:themeColor="text1"/>
              </w:rPr>
              <w:t>Наглядова рада може створювати інші постійно діючі та тимчасові комітети;</w:t>
            </w:r>
          </w:p>
          <w:p w14:paraId="278F94F8" w14:textId="77777777" w:rsidR="00B352CE" w:rsidRPr="00286216" w:rsidRDefault="00B352CE" w:rsidP="00B352CE">
            <w:pPr>
              <w:pStyle w:val="StyleZakonu"/>
              <w:rPr>
                <w:color w:val="000000" w:themeColor="text1"/>
              </w:rPr>
            </w:pPr>
            <w:r w:rsidRPr="00286216">
              <w:rPr>
                <w:color w:val="000000" w:themeColor="text1"/>
              </w:rPr>
              <w:t>3) наглядова рада з числа членів наглядової ради обов’язково визначає відповідальну особу, на яку покладено обов’язок із забезпечення реалізації функції комплаєнсу.</w:t>
            </w:r>
          </w:p>
          <w:p w14:paraId="4A52AAC9" w14:textId="77777777" w:rsidR="00B352CE" w:rsidRPr="00286216" w:rsidRDefault="00B352CE" w:rsidP="00B352CE">
            <w:pPr>
              <w:pStyle w:val="StyleZakonu"/>
              <w:rPr>
                <w:color w:val="000000" w:themeColor="text1"/>
              </w:rPr>
            </w:pPr>
            <w:r w:rsidRPr="00286216">
              <w:rPr>
                <w:color w:val="000000" w:themeColor="text1"/>
              </w:rPr>
              <w:t>Комітети з питань аудиту і комітет з управління ризиками можуть бути об’єднаними.</w:t>
            </w:r>
          </w:p>
          <w:p w14:paraId="606EBFCD" w14:textId="77777777" w:rsidR="00B352CE" w:rsidRPr="00286216" w:rsidRDefault="00B352CE" w:rsidP="00B352CE">
            <w:pPr>
              <w:pStyle w:val="StyleZakonu"/>
              <w:rPr>
                <w:color w:val="000000" w:themeColor="text1"/>
              </w:rPr>
            </w:pPr>
            <w:r w:rsidRPr="00286216">
              <w:rPr>
                <w:color w:val="000000" w:themeColor="text1"/>
              </w:rPr>
              <w:t>Комітет з питань призначень і комітет з винагород можуть бути об’єднаними.</w:t>
            </w:r>
          </w:p>
          <w:p w14:paraId="13C11310" w14:textId="77777777" w:rsidR="00B352CE" w:rsidRPr="00286216" w:rsidRDefault="00B352CE" w:rsidP="00B352CE">
            <w:pPr>
              <w:pStyle w:val="StyleZakonu"/>
              <w:rPr>
                <w:color w:val="000000" w:themeColor="text1"/>
              </w:rPr>
            </w:pPr>
            <w:r w:rsidRPr="00286216">
              <w:rPr>
                <w:color w:val="000000" w:themeColor="text1"/>
              </w:rPr>
              <w:t>До складу кожного комітету входить не менше трьох членів наглядової ради.</w:t>
            </w:r>
          </w:p>
          <w:p w14:paraId="7104FC64" w14:textId="77777777" w:rsidR="00B352CE" w:rsidRPr="00286216" w:rsidRDefault="00B352CE" w:rsidP="00B352CE">
            <w:pPr>
              <w:pStyle w:val="StyleZakonu"/>
              <w:rPr>
                <w:color w:val="000000" w:themeColor="text1"/>
              </w:rPr>
            </w:pPr>
            <w:r w:rsidRPr="00286216">
              <w:rPr>
                <w:color w:val="000000" w:themeColor="text1"/>
              </w:rPr>
              <w:t>Комітет з питань аудиту, комітет з винагород і комітет з питань призначень очолюють члени наглядової ради товариства, які є незалежними членами. Більшість членів зазначених комітетів повинні становити незалежні члени.</w:t>
            </w:r>
          </w:p>
          <w:p w14:paraId="67536F47" w14:textId="77777777" w:rsidR="00B352CE" w:rsidRPr="00286216" w:rsidRDefault="00B352CE" w:rsidP="00B352CE">
            <w:pPr>
              <w:pStyle w:val="StyleZakonu"/>
              <w:rPr>
                <w:color w:val="000000" w:themeColor="text1"/>
              </w:rPr>
            </w:pPr>
            <w:r w:rsidRPr="00286216">
              <w:rPr>
                <w:color w:val="000000" w:themeColor="text1"/>
              </w:rPr>
              <w:t xml:space="preserve">9. Додаткові вимоги з корпоративного управління для системноважливих професійних учасників ринків капіталу, які є банками: </w:t>
            </w:r>
          </w:p>
          <w:p w14:paraId="06E0E6D1" w14:textId="77777777" w:rsidR="00B352CE" w:rsidRPr="00286216" w:rsidRDefault="00B352CE" w:rsidP="00B352CE">
            <w:pPr>
              <w:pStyle w:val="StyleZakonu"/>
              <w:rPr>
                <w:color w:val="000000" w:themeColor="text1"/>
              </w:rPr>
            </w:pPr>
            <w:r w:rsidRPr="00286216">
              <w:rPr>
                <w:color w:val="000000" w:themeColor="text1"/>
              </w:rPr>
              <w:t>1) органом, відповідальним за здійснення нагляду, є наглядова рада;</w:t>
            </w:r>
          </w:p>
          <w:p w14:paraId="7D03823D" w14:textId="77777777" w:rsidR="00B352CE" w:rsidRPr="00286216" w:rsidRDefault="00B352CE" w:rsidP="00B352CE">
            <w:pPr>
              <w:pStyle w:val="StyleZakonu"/>
              <w:rPr>
                <w:color w:val="000000" w:themeColor="text1"/>
              </w:rPr>
            </w:pPr>
            <w:r w:rsidRPr="00286216">
              <w:rPr>
                <w:color w:val="000000" w:themeColor="text1"/>
              </w:rPr>
              <w:t>2) наглядова рада створює постійно діючі комітети:</w:t>
            </w:r>
          </w:p>
          <w:p w14:paraId="0AA865B6" w14:textId="77777777" w:rsidR="00B352CE" w:rsidRPr="00286216" w:rsidRDefault="00B352CE" w:rsidP="00B352CE">
            <w:pPr>
              <w:pStyle w:val="StyleZakonu"/>
              <w:rPr>
                <w:color w:val="000000" w:themeColor="text1"/>
              </w:rPr>
            </w:pPr>
            <w:r w:rsidRPr="00286216">
              <w:rPr>
                <w:color w:val="000000" w:themeColor="text1"/>
              </w:rPr>
              <w:t>а) комітет з питань аудиту (аудиторський комітет);</w:t>
            </w:r>
          </w:p>
          <w:p w14:paraId="79529ADB" w14:textId="77777777" w:rsidR="00B352CE" w:rsidRPr="00286216" w:rsidRDefault="00B352CE" w:rsidP="00B352CE">
            <w:pPr>
              <w:pStyle w:val="StyleZakonu"/>
              <w:rPr>
                <w:color w:val="000000" w:themeColor="text1"/>
              </w:rPr>
            </w:pPr>
            <w:r w:rsidRPr="00286216">
              <w:rPr>
                <w:color w:val="000000" w:themeColor="text1"/>
              </w:rPr>
              <w:t>б) комітет з питань визначення винагороди посадовим особам професійного учасника (комітет з винагород);</w:t>
            </w:r>
          </w:p>
          <w:p w14:paraId="710BB60C" w14:textId="77777777" w:rsidR="00B352CE" w:rsidRPr="00286216" w:rsidRDefault="00B352CE" w:rsidP="00B352CE">
            <w:pPr>
              <w:pStyle w:val="StyleZakonu"/>
              <w:rPr>
                <w:color w:val="000000" w:themeColor="text1"/>
              </w:rPr>
            </w:pPr>
            <w:r w:rsidRPr="00286216">
              <w:rPr>
                <w:color w:val="000000" w:themeColor="text1"/>
              </w:rPr>
              <w:t>в) комітет з питань призначень;</w:t>
            </w:r>
          </w:p>
          <w:p w14:paraId="6953D92D" w14:textId="77777777" w:rsidR="00B352CE" w:rsidRPr="00286216" w:rsidRDefault="00B352CE" w:rsidP="00B352CE">
            <w:pPr>
              <w:pStyle w:val="StyleZakonu"/>
              <w:rPr>
                <w:color w:val="000000" w:themeColor="text1"/>
              </w:rPr>
            </w:pPr>
            <w:r w:rsidRPr="00286216">
              <w:rPr>
                <w:color w:val="000000" w:themeColor="text1"/>
              </w:rPr>
              <w:t xml:space="preserve">г) комітет з управління ризиками. </w:t>
            </w:r>
          </w:p>
          <w:p w14:paraId="50BF8610" w14:textId="77777777" w:rsidR="00B352CE" w:rsidRPr="00286216" w:rsidRDefault="00B352CE" w:rsidP="00B352CE">
            <w:pPr>
              <w:pStyle w:val="StyleZakonu"/>
              <w:rPr>
                <w:color w:val="000000" w:themeColor="text1"/>
              </w:rPr>
            </w:pPr>
            <w:r w:rsidRPr="00286216">
              <w:rPr>
                <w:color w:val="000000" w:themeColor="text1"/>
              </w:rPr>
              <w:t>Наглядова рада може створювати інші постійно діючі та тимчасові комітети;</w:t>
            </w:r>
          </w:p>
          <w:p w14:paraId="5E86F12C" w14:textId="77777777" w:rsidR="00B352CE" w:rsidRPr="00286216" w:rsidRDefault="00B352CE" w:rsidP="00B352CE">
            <w:pPr>
              <w:pStyle w:val="StyleZakonu"/>
              <w:rPr>
                <w:color w:val="000000" w:themeColor="text1"/>
              </w:rPr>
            </w:pPr>
            <w:r w:rsidRPr="00286216">
              <w:rPr>
                <w:color w:val="000000" w:themeColor="text1"/>
              </w:rPr>
              <w:t xml:space="preserve">3) наглядова рада з числа членів наглядової ради обов’язково визначає відповідальну особу, на яку покладено обов’язок із забезпечення реалізації функції комплаєнсу або створює комітет з питань </w:t>
            </w:r>
            <w:r w:rsidRPr="00286216">
              <w:rPr>
                <w:color w:val="000000" w:themeColor="text1"/>
              </w:rPr>
              <w:lastRenderedPageBreak/>
              <w:t>комплаєнсу.</w:t>
            </w:r>
          </w:p>
          <w:p w14:paraId="79DF0B42" w14:textId="77777777" w:rsidR="00B352CE" w:rsidRPr="00286216" w:rsidRDefault="00B352CE" w:rsidP="00B352CE">
            <w:pPr>
              <w:pStyle w:val="StyleZakonu"/>
              <w:rPr>
                <w:color w:val="000000" w:themeColor="text1"/>
              </w:rPr>
            </w:pPr>
            <w:r w:rsidRPr="00286216">
              <w:rPr>
                <w:color w:val="000000" w:themeColor="text1"/>
              </w:rPr>
              <w:t xml:space="preserve">Комітет з винагород та комітет з питань призначень можуть бути об’єднаними. </w:t>
            </w:r>
          </w:p>
          <w:p w14:paraId="7CBFE0DA" w14:textId="77777777" w:rsidR="00B352CE" w:rsidRPr="00286216" w:rsidRDefault="00B352CE" w:rsidP="00B352CE">
            <w:pPr>
              <w:pStyle w:val="StyleZakonu"/>
              <w:rPr>
                <w:color w:val="000000" w:themeColor="text1"/>
              </w:rPr>
            </w:pPr>
            <w:r w:rsidRPr="00286216">
              <w:rPr>
                <w:color w:val="000000" w:themeColor="text1"/>
              </w:rPr>
              <w:t>До складу кожного комітету входить не менше трьох членів наглядової ради.</w:t>
            </w:r>
          </w:p>
          <w:p w14:paraId="68221164" w14:textId="77777777" w:rsidR="00B352CE" w:rsidRPr="00286216" w:rsidRDefault="00B352CE" w:rsidP="00B352CE">
            <w:pPr>
              <w:pStyle w:val="StyleZakonu"/>
              <w:rPr>
                <w:color w:val="000000" w:themeColor="text1"/>
              </w:rPr>
            </w:pPr>
            <w:r w:rsidRPr="00286216">
              <w:rPr>
                <w:color w:val="000000" w:themeColor="text1"/>
              </w:rPr>
              <w:t>Комітети очолюють члени наглядової ради товариства, які є незалежними членами. Більшість членів зазначених комітетів повинні становити незалежні члени.</w:t>
            </w:r>
          </w:p>
          <w:p w14:paraId="7E020F74" w14:textId="77777777" w:rsidR="00B352CE" w:rsidRPr="00286216" w:rsidRDefault="00B352CE" w:rsidP="00B352CE">
            <w:pPr>
              <w:pStyle w:val="StyleZakonu"/>
              <w:rPr>
                <w:color w:val="000000" w:themeColor="text1"/>
              </w:rPr>
            </w:pPr>
            <w:r w:rsidRPr="00286216">
              <w:rPr>
                <w:color w:val="000000" w:themeColor="text1"/>
              </w:rPr>
              <w:t>Національна комісія з цінних паперів та фондового ринку має право за погодженням з Національним банком України встановлювати до системно важливих професійних учасників ринків капіталу, які є банками:</w:t>
            </w:r>
          </w:p>
          <w:p w14:paraId="3017C516" w14:textId="77777777" w:rsidR="00B352CE" w:rsidRPr="00286216" w:rsidRDefault="00B352CE" w:rsidP="00B352CE">
            <w:pPr>
              <w:pStyle w:val="StyleZakonu"/>
              <w:rPr>
                <w:color w:val="000000" w:themeColor="text1"/>
              </w:rPr>
            </w:pPr>
            <w:r w:rsidRPr="00286216">
              <w:rPr>
                <w:color w:val="000000" w:themeColor="text1"/>
              </w:rPr>
              <w:t>1) додаткові вимоги до системи корпоративного управління, що обмежують ризики їх професійної діяльності на ринках капіталу;</w:t>
            </w:r>
          </w:p>
          <w:p w14:paraId="40BAAF15" w14:textId="1AF09EDB" w:rsidR="00B352CE" w:rsidRPr="00286216" w:rsidRDefault="00B352CE" w:rsidP="00B352CE">
            <w:pPr>
              <w:pStyle w:val="StyleZakonu"/>
              <w:rPr>
                <w:color w:val="000000" w:themeColor="text1"/>
              </w:rPr>
            </w:pPr>
            <w:r w:rsidRPr="00286216">
              <w:rPr>
                <w:color w:val="000000" w:themeColor="text1"/>
              </w:rPr>
              <w:t>2) додаткові кваліфікаційні вимоги до членів наглядової ради щодо їх професійної придатності.</w:t>
            </w:r>
          </w:p>
        </w:tc>
      </w:tr>
      <w:tr w:rsidR="00B352CE" w:rsidRPr="00286216" w14:paraId="421AA6D5" w14:textId="77777777" w:rsidTr="00091AA5">
        <w:tc>
          <w:tcPr>
            <w:tcW w:w="576" w:type="dxa"/>
          </w:tcPr>
          <w:p w14:paraId="07C5494D" w14:textId="77777777" w:rsidR="00B352CE" w:rsidRPr="00286216" w:rsidRDefault="00B352CE" w:rsidP="00B352CE">
            <w:pPr>
              <w:pStyle w:val="StyleWisnow"/>
              <w:rPr>
                <w:color w:val="000000" w:themeColor="text1"/>
              </w:rPr>
            </w:pPr>
            <w:bookmarkStart w:id="1007" w:name="n1274" w:colFirst="0" w:colLast="0"/>
            <w:bookmarkEnd w:id="1005"/>
            <w:r w:rsidRPr="00286216">
              <w:rPr>
                <w:color w:val="000000" w:themeColor="text1"/>
              </w:rPr>
              <w:lastRenderedPageBreak/>
              <w:t>1274.</w:t>
            </w:r>
          </w:p>
        </w:tc>
        <w:tc>
          <w:tcPr>
            <w:tcW w:w="4818" w:type="dxa"/>
          </w:tcPr>
          <w:p w14:paraId="3699D149" w14:textId="77777777" w:rsidR="00B352CE" w:rsidRPr="00286216" w:rsidRDefault="00B352CE" w:rsidP="00B352CE">
            <w:pPr>
              <w:pStyle w:val="StyleZakonu"/>
              <w:rPr>
                <w:color w:val="000000" w:themeColor="text1"/>
              </w:rPr>
            </w:pPr>
            <w:r w:rsidRPr="00286216">
              <w:rPr>
                <w:color w:val="000000" w:themeColor="text1"/>
              </w:rPr>
              <w:t>1. Професійні учасники ринків капіталу та організованих товарних ринків, які є підприємствами, шо становлять суспільний інтерес або є системно-важливими професійними учасниками зобов’язані дотримуватись вимог щодо організації корпоративного управління відповідно до вимог цієї статті.</w:t>
            </w:r>
          </w:p>
        </w:tc>
        <w:tc>
          <w:tcPr>
            <w:tcW w:w="3686" w:type="dxa"/>
          </w:tcPr>
          <w:p w14:paraId="45FEADD8" w14:textId="22DC86B4" w:rsidR="00B352CE" w:rsidRPr="00286216" w:rsidRDefault="00B352CE" w:rsidP="00B352CE">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795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6600684" w14:textId="77777777" w:rsidR="00B352CE" w:rsidRPr="00286216" w:rsidRDefault="00B352CE" w:rsidP="00B352CE">
            <w:pPr>
              <w:pStyle w:val="StyleProp"/>
              <w:spacing w:line="190" w:lineRule="exact"/>
              <w:rPr>
                <w:rFonts w:eastAsia="Calibri"/>
                <w:color w:val="000000" w:themeColor="text1"/>
                <w:szCs w:val="18"/>
              </w:rPr>
            </w:pPr>
            <w:r w:rsidRPr="00286216">
              <w:rPr>
                <w:rFonts w:eastAsia="Calibri"/>
                <w:color w:val="000000" w:themeColor="text1"/>
                <w:szCs w:val="18"/>
              </w:rPr>
              <w:t>Статтю 72 викласти у такій редакції:</w:t>
            </w:r>
          </w:p>
          <w:p w14:paraId="3CE6E7FF" w14:textId="77777777" w:rsidR="00B352CE" w:rsidRPr="00286216" w:rsidRDefault="00B352CE" w:rsidP="00B352CE">
            <w:pPr>
              <w:pStyle w:val="StyleProp"/>
              <w:spacing w:line="190" w:lineRule="exact"/>
              <w:rPr>
                <w:rFonts w:eastAsia="Calibri"/>
                <w:color w:val="000000" w:themeColor="text1"/>
                <w:szCs w:val="18"/>
              </w:rPr>
            </w:pPr>
            <w:r w:rsidRPr="00286216">
              <w:rPr>
                <w:rFonts w:eastAsia="Calibri"/>
                <w:color w:val="000000" w:themeColor="text1"/>
                <w:szCs w:val="18"/>
              </w:rPr>
              <w:t>"Стаття 72. Корпоративне управління на ринках капіталу та організованих товарних ринках</w:t>
            </w:r>
          </w:p>
          <w:p w14:paraId="015EE6A6" w14:textId="77777777" w:rsidR="00B352CE" w:rsidRPr="00286216" w:rsidRDefault="00B352CE" w:rsidP="00B352CE">
            <w:pPr>
              <w:pStyle w:val="StyleProp"/>
              <w:spacing w:line="190" w:lineRule="exact"/>
              <w:rPr>
                <w:color w:val="000000" w:themeColor="text1"/>
                <w:szCs w:val="18"/>
              </w:rPr>
            </w:pPr>
            <w:r w:rsidRPr="00286216">
              <w:rPr>
                <w:color w:val="000000" w:themeColor="text1"/>
                <w:szCs w:val="18"/>
              </w:rPr>
              <w:t xml:space="preserve">1. Емітенти цінних паперів, цінні папери яких допущені до торгів на регульованому ринку капіталу зобов’язані дотримуватись вимог щодо організації корпоративного управління з урахуванням особливостей, встановлених Законом України «Про акціонерні товариства» та Законом України «Про товариства з обмеженою та додатковою відповідальністю»  відповідно до їх організаційно-правової форми. </w:t>
            </w:r>
          </w:p>
          <w:p w14:paraId="30C32CF2" w14:textId="77777777" w:rsidR="00B352CE" w:rsidRPr="00286216" w:rsidRDefault="00B352CE" w:rsidP="00B352CE">
            <w:pPr>
              <w:pStyle w:val="StyleProp"/>
              <w:spacing w:line="190" w:lineRule="exact"/>
              <w:rPr>
                <w:color w:val="000000" w:themeColor="text1"/>
                <w:szCs w:val="18"/>
              </w:rPr>
            </w:pPr>
            <w:r w:rsidRPr="00286216">
              <w:rPr>
                <w:color w:val="000000" w:themeColor="text1"/>
                <w:szCs w:val="18"/>
              </w:rPr>
              <w:t xml:space="preserve">2.  Професійний учасник ринків капіталу та організованих товарних ринків повинен створити комплексну, адекватну та ефективну систему внутрішнього контролю, яка включає виконання функцій комплаєнсу, управління ризиками та внутрішнього аудиту, з урахуванням особливостей свого виду професійної діяльності на ринках капіталу та організованих товарних ринках, характеру та обсягів операцій, що здійснюються ним в ході провадження такої діяльності, та ризиків, які властиві такій діяльності, та зобов’язаний здійснювати </w:t>
            </w:r>
            <w:r w:rsidRPr="00286216">
              <w:rPr>
                <w:color w:val="000000" w:themeColor="text1"/>
                <w:szCs w:val="18"/>
              </w:rPr>
              <w:lastRenderedPageBreak/>
              <w:t>контроль за її функціонуванням.</w:t>
            </w:r>
          </w:p>
          <w:p w14:paraId="4AA0140F" w14:textId="77777777" w:rsidR="00B352CE" w:rsidRPr="00286216" w:rsidRDefault="00B352CE" w:rsidP="00B352CE">
            <w:pPr>
              <w:pStyle w:val="StyleProp"/>
              <w:spacing w:line="190" w:lineRule="exact"/>
              <w:rPr>
                <w:color w:val="000000" w:themeColor="text1"/>
                <w:szCs w:val="18"/>
              </w:rPr>
            </w:pPr>
            <w:r w:rsidRPr="00286216">
              <w:rPr>
                <w:color w:val="000000" w:themeColor="text1"/>
                <w:szCs w:val="18"/>
              </w:rPr>
              <w:t>3. З метою забезпечення професійними учасниками ринків капіталу та організованих товарних ринків ефективного управління, уникнення конфлікту інтересів, сприяння розкриттю інформації та її прозорості, а також підвищення їх надійності та захисту інтересів клієнтів, Національна комісія з цінних паперів та фондового ринку може розробити методичні рекомендації щодо організації корпоративного управління".</w:t>
            </w:r>
          </w:p>
        </w:tc>
        <w:tc>
          <w:tcPr>
            <w:tcW w:w="1987" w:type="dxa"/>
          </w:tcPr>
          <w:p w14:paraId="7A2E681D" w14:textId="77777777" w:rsidR="00B352CE" w:rsidRPr="00286216" w:rsidRDefault="00B352CE" w:rsidP="00B352CE">
            <w:pPr>
              <w:pStyle w:val="StyleWisnow"/>
              <w:rPr>
                <w:color w:val="000000" w:themeColor="text1"/>
              </w:rPr>
            </w:pPr>
            <w:r w:rsidRPr="00286216">
              <w:rPr>
                <w:color w:val="000000" w:themeColor="text1"/>
              </w:rPr>
              <w:lastRenderedPageBreak/>
              <w:t>Враховано редакційно</w:t>
            </w:r>
          </w:p>
          <w:p w14:paraId="4A0EC33E" w14:textId="125C23D0" w:rsidR="00B352CE" w:rsidRPr="00286216" w:rsidRDefault="00B352CE" w:rsidP="00B352CE">
            <w:pPr>
              <w:pStyle w:val="StyleWisnow"/>
              <w:rPr>
                <w:color w:val="000000" w:themeColor="text1"/>
              </w:rPr>
            </w:pPr>
            <w:r w:rsidRPr="00286216">
              <w:rPr>
                <w:color w:val="000000" w:themeColor="text1"/>
              </w:rPr>
              <w:t>у запропонованій  редакції статті 72</w:t>
            </w:r>
          </w:p>
        </w:tc>
        <w:tc>
          <w:tcPr>
            <w:tcW w:w="4818" w:type="dxa"/>
          </w:tcPr>
          <w:p w14:paraId="3364EE67" w14:textId="77777777" w:rsidR="00B352CE" w:rsidRPr="00286216" w:rsidRDefault="00B352CE" w:rsidP="00B352CE">
            <w:pPr>
              <w:pStyle w:val="StyleZakonu"/>
              <w:rPr>
                <w:color w:val="000000" w:themeColor="text1"/>
              </w:rPr>
            </w:pPr>
          </w:p>
        </w:tc>
      </w:tr>
      <w:bookmarkEnd w:id="1007"/>
      <w:tr w:rsidR="00826C07" w:rsidRPr="00286216" w14:paraId="07E21AD8" w14:textId="77777777" w:rsidTr="00091AA5">
        <w:tc>
          <w:tcPr>
            <w:tcW w:w="576" w:type="dxa"/>
          </w:tcPr>
          <w:p w14:paraId="137F02D0" w14:textId="77777777" w:rsidR="00826C07" w:rsidRPr="00286216" w:rsidRDefault="00826C07" w:rsidP="00826C07">
            <w:pPr>
              <w:pStyle w:val="StyleWisnow"/>
              <w:rPr>
                <w:color w:val="000000" w:themeColor="text1"/>
              </w:rPr>
            </w:pPr>
          </w:p>
        </w:tc>
        <w:tc>
          <w:tcPr>
            <w:tcW w:w="4818" w:type="dxa"/>
          </w:tcPr>
          <w:p w14:paraId="0A9B9957" w14:textId="77777777" w:rsidR="00826C07" w:rsidRPr="00286216" w:rsidRDefault="00826C07" w:rsidP="00826C07">
            <w:pPr>
              <w:pStyle w:val="StyleZakonu"/>
              <w:rPr>
                <w:color w:val="000000" w:themeColor="text1"/>
              </w:rPr>
            </w:pPr>
          </w:p>
        </w:tc>
        <w:tc>
          <w:tcPr>
            <w:tcW w:w="3686" w:type="dxa"/>
          </w:tcPr>
          <w:p w14:paraId="0E5665CA" w14:textId="292A9788"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796</w:t>
            </w:r>
            <w:r w:rsidRPr="00286216">
              <w:rPr>
                <w:color w:val="000000" w:themeColor="text1"/>
                <w:spacing w:val="-4"/>
              </w:rPr>
              <w:fldChar w:fldCharType="end"/>
            </w:r>
            <w:r w:rsidRPr="00286216">
              <w:rPr>
                <w:color w:val="000000" w:themeColor="text1"/>
                <w:spacing w:val="-4"/>
              </w:rPr>
              <w:t>-Н.д.Бєлькова О.В. (Реєстр.картка №403)</w:t>
            </w:r>
          </w:p>
          <w:p w14:paraId="238BBF4A" w14:textId="77777777" w:rsidR="00826C07" w:rsidRPr="00286216" w:rsidRDefault="00826C07" w:rsidP="00B352CE">
            <w:pPr>
              <w:pStyle w:val="StyleProp"/>
              <w:spacing w:line="190" w:lineRule="exact"/>
              <w:rPr>
                <w:color w:val="000000" w:themeColor="text1"/>
              </w:rPr>
            </w:pPr>
            <w:r w:rsidRPr="00286216">
              <w:rPr>
                <w:color w:val="000000" w:themeColor="text1"/>
              </w:rPr>
              <w:t>у частині першій статті 72 розділу 1 абзац перший після слів “що становлять суспільний інтерес» доповнити словами “(крім банків)”, а після слів “системно-важливими професійними учасниками” доповнити словами “ринків капіталу та організованих товарних ринків”.</w:t>
            </w:r>
          </w:p>
        </w:tc>
        <w:tc>
          <w:tcPr>
            <w:tcW w:w="1987" w:type="dxa"/>
          </w:tcPr>
          <w:p w14:paraId="4336499B"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14B2A357"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tc>
        <w:tc>
          <w:tcPr>
            <w:tcW w:w="4818" w:type="dxa"/>
          </w:tcPr>
          <w:p w14:paraId="243106E4" w14:textId="77777777" w:rsidR="00826C07" w:rsidRPr="00286216" w:rsidRDefault="00826C07" w:rsidP="00826C07">
            <w:pPr>
              <w:pStyle w:val="StyleZakonu"/>
              <w:rPr>
                <w:color w:val="000000" w:themeColor="text1"/>
              </w:rPr>
            </w:pPr>
          </w:p>
        </w:tc>
      </w:tr>
      <w:tr w:rsidR="00826C07" w:rsidRPr="00286216" w14:paraId="6DAA81C2" w14:textId="77777777" w:rsidTr="00091AA5">
        <w:tc>
          <w:tcPr>
            <w:tcW w:w="576" w:type="dxa"/>
          </w:tcPr>
          <w:p w14:paraId="082C84EC" w14:textId="77777777" w:rsidR="00826C07" w:rsidRPr="00286216" w:rsidRDefault="00826C07" w:rsidP="00826C07">
            <w:pPr>
              <w:pStyle w:val="StyleWisnow"/>
              <w:rPr>
                <w:color w:val="000000" w:themeColor="text1"/>
              </w:rPr>
            </w:pPr>
            <w:bookmarkStart w:id="1008" w:name="n1275" w:colFirst="0" w:colLast="0"/>
            <w:r w:rsidRPr="00286216">
              <w:rPr>
                <w:color w:val="000000" w:themeColor="text1"/>
              </w:rPr>
              <w:t>1275.</w:t>
            </w:r>
          </w:p>
        </w:tc>
        <w:tc>
          <w:tcPr>
            <w:tcW w:w="4818" w:type="dxa"/>
          </w:tcPr>
          <w:p w14:paraId="2EF40AE8" w14:textId="77777777" w:rsidR="00826C07" w:rsidRPr="00286216" w:rsidRDefault="00826C07" w:rsidP="00826C07">
            <w:pPr>
              <w:pStyle w:val="StyleZakonu"/>
              <w:rPr>
                <w:color w:val="000000" w:themeColor="text1"/>
              </w:rPr>
            </w:pPr>
            <w:r w:rsidRPr="00286216">
              <w:rPr>
                <w:color w:val="000000" w:themeColor="text1"/>
              </w:rPr>
              <w:t>Окремі вимоги цієї статті застосовується до професійних учасників ринків капіталу та організованих товарних ринків інших ніж зазначені у абзаці першому цієї частини в порядку встановленому Національною комісією з цінних паперів та фондового ринку.</w:t>
            </w:r>
          </w:p>
        </w:tc>
        <w:tc>
          <w:tcPr>
            <w:tcW w:w="3686" w:type="dxa"/>
          </w:tcPr>
          <w:p w14:paraId="63533075" w14:textId="50D66C11"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797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976F1F7"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У частині першій статті 72 Закону України «Про ринки капіталу та організовані товарні ринки» виключити абзац другий.</w:t>
            </w:r>
          </w:p>
          <w:p w14:paraId="332D5511" w14:textId="160800CA"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798</w:t>
            </w:r>
            <w:r w:rsidRPr="00286216">
              <w:rPr>
                <w:color w:val="000000" w:themeColor="text1"/>
                <w:spacing w:val="-4"/>
              </w:rPr>
              <w:fldChar w:fldCharType="end"/>
            </w:r>
            <w:r w:rsidRPr="00286216">
              <w:rPr>
                <w:color w:val="000000" w:themeColor="text1"/>
                <w:spacing w:val="-4"/>
              </w:rPr>
              <w:t>-Н.д.Бєлькова О.В. (Реєстр.картка №403)</w:t>
            </w:r>
          </w:p>
          <w:p w14:paraId="6D2539D3" w14:textId="77777777" w:rsidR="00826C07" w:rsidRPr="00286216" w:rsidRDefault="00826C07" w:rsidP="006507E8">
            <w:pPr>
              <w:pStyle w:val="StyleProp"/>
              <w:spacing w:line="180" w:lineRule="exact"/>
              <w:rPr>
                <w:color w:val="000000" w:themeColor="text1"/>
              </w:rPr>
            </w:pPr>
            <w:r w:rsidRPr="00286216">
              <w:rPr>
                <w:color w:val="000000" w:themeColor="text1"/>
              </w:rPr>
              <w:t>У частині першій статті 72 розділу 1 абзац другий після слів “інших, ніж зазначені у абзаці першому цієї частини,” доповнити словами «(крім банків)”.</w:t>
            </w:r>
          </w:p>
          <w:p w14:paraId="48284CE3" w14:textId="0DBF8EA9"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799</w:t>
            </w:r>
            <w:r w:rsidRPr="00286216">
              <w:rPr>
                <w:color w:val="000000" w:themeColor="text1"/>
              </w:rPr>
              <w:fldChar w:fldCharType="end"/>
            </w:r>
            <w:r w:rsidRPr="00286216">
              <w:rPr>
                <w:color w:val="000000" w:themeColor="text1"/>
              </w:rPr>
              <w:t>-Н.д.Шахов С.В. (Реєстр.картка №114)</w:t>
            </w:r>
          </w:p>
          <w:p w14:paraId="4D1A7668" w14:textId="77777777" w:rsidR="00826C07" w:rsidRPr="00286216" w:rsidRDefault="00826C07" w:rsidP="00826C07">
            <w:pPr>
              <w:pStyle w:val="StyleProp"/>
              <w:rPr>
                <w:color w:val="000000" w:themeColor="text1"/>
                <w:spacing w:val="-2"/>
              </w:rPr>
            </w:pPr>
            <w:r w:rsidRPr="00286216">
              <w:rPr>
                <w:color w:val="000000" w:themeColor="text1"/>
                <w:spacing w:val="-2"/>
              </w:rPr>
              <w:t>Абзац 2 ч. 1 ст.72 виключити.</w:t>
            </w:r>
          </w:p>
        </w:tc>
        <w:tc>
          <w:tcPr>
            <w:tcW w:w="1987" w:type="dxa"/>
          </w:tcPr>
          <w:p w14:paraId="0B3D5ABC"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по суті</w:t>
            </w:r>
          </w:p>
          <w:p w14:paraId="4BCEA7CD" w14:textId="77777777" w:rsidR="00826C07" w:rsidRPr="00286216" w:rsidRDefault="00826C07" w:rsidP="006507E8">
            <w:pPr>
              <w:pStyle w:val="StyleWisnow"/>
              <w:spacing w:line="180" w:lineRule="exact"/>
              <w:rPr>
                <w:color w:val="000000" w:themeColor="text1"/>
              </w:rPr>
            </w:pPr>
            <w:r w:rsidRPr="00286216">
              <w:rPr>
                <w:color w:val="000000" w:themeColor="text1"/>
              </w:rPr>
              <w:t>у запропонованій  редакції статті 72</w:t>
            </w:r>
          </w:p>
          <w:p w14:paraId="52084494" w14:textId="77777777" w:rsidR="00826C07" w:rsidRPr="00286216" w:rsidRDefault="00826C07" w:rsidP="006507E8">
            <w:pPr>
              <w:pStyle w:val="StyleWisnow"/>
              <w:spacing w:line="160" w:lineRule="exact"/>
              <w:rPr>
                <w:color w:val="000000" w:themeColor="text1"/>
              </w:rPr>
            </w:pPr>
          </w:p>
          <w:p w14:paraId="223BCB31" w14:textId="77777777" w:rsidR="00826C07" w:rsidRPr="00286216" w:rsidRDefault="00826C07" w:rsidP="006507E8">
            <w:pPr>
              <w:pStyle w:val="StyleWisnow"/>
              <w:spacing w:line="160" w:lineRule="exact"/>
              <w:rPr>
                <w:color w:val="000000" w:themeColor="text1"/>
              </w:rPr>
            </w:pPr>
          </w:p>
          <w:p w14:paraId="6AEEE014" w14:textId="77777777" w:rsidR="00826C07" w:rsidRPr="00286216" w:rsidRDefault="00826C07" w:rsidP="006507E8">
            <w:pPr>
              <w:pStyle w:val="StyleWisnow"/>
              <w:spacing w:line="180" w:lineRule="exact"/>
              <w:rPr>
                <w:color w:val="000000" w:themeColor="text1"/>
              </w:rPr>
            </w:pPr>
            <w:r w:rsidRPr="00286216">
              <w:rPr>
                <w:color w:val="000000" w:themeColor="text1"/>
              </w:rPr>
              <w:t>Враховано редакційно</w:t>
            </w:r>
          </w:p>
          <w:p w14:paraId="691751D4" w14:textId="77777777" w:rsidR="00826C07" w:rsidRPr="00286216" w:rsidRDefault="00826C07" w:rsidP="006507E8">
            <w:pPr>
              <w:pStyle w:val="StyleWisnow"/>
              <w:spacing w:line="180" w:lineRule="exact"/>
              <w:rPr>
                <w:color w:val="000000" w:themeColor="text1"/>
              </w:rPr>
            </w:pPr>
            <w:r w:rsidRPr="00286216">
              <w:rPr>
                <w:color w:val="000000" w:themeColor="text1"/>
              </w:rPr>
              <w:t>у запропонованій  редакції статті 72</w:t>
            </w:r>
          </w:p>
          <w:p w14:paraId="3EAB27E1" w14:textId="77777777" w:rsidR="00826C07" w:rsidRPr="00286216" w:rsidRDefault="00826C07" w:rsidP="006507E8">
            <w:pPr>
              <w:pStyle w:val="StyleWisnow"/>
              <w:spacing w:line="160" w:lineRule="exact"/>
              <w:rPr>
                <w:color w:val="000000" w:themeColor="text1"/>
              </w:rPr>
            </w:pPr>
          </w:p>
          <w:p w14:paraId="07CFA769" w14:textId="77777777" w:rsidR="006507E8" w:rsidRPr="00286216" w:rsidRDefault="006507E8" w:rsidP="006507E8">
            <w:pPr>
              <w:pStyle w:val="StyleWisnow"/>
              <w:spacing w:line="160" w:lineRule="exact"/>
              <w:rPr>
                <w:color w:val="000000" w:themeColor="text1"/>
              </w:rPr>
            </w:pPr>
          </w:p>
          <w:p w14:paraId="0C253DEF" w14:textId="4011D971" w:rsidR="00826C07" w:rsidRPr="00286216" w:rsidRDefault="00826C07" w:rsidP="006507E8">
            <w:pPr>
              <w:pStyle w:val="StyleWisnow"/>
              <w:spacing w:line="180" w:lineRule="exact"/>
              <w:rPr>
                <w:color w:val="000000" w:themeColor="text1"/>
              </w:rPr>
            </w:pPr>
            <w:r w:rsidRPr="00286216">
              <w:rPr>
                <w:color w:val="000000" w:themeColor="text1"/>
              </w:rPr>
              <w:t>Враховано по суті</w:t>
            </w:r>
          </w:p>
          <w:p w14:paraId="0BC5BAB7" w14:textId="77777777" w:rsidR="00826C07" w:rsidRPr="00286216" w:rsidRDefault="00826C07" w:rsidP="006507E8">
            <w:pPr>
              <w:pStyle w:val="StyleWisnow"/>
              <w:spacing w:line="180" w:lineRule="exact"/>
              <w:rPr>
                <w:color w:val="000000" w:themeColor="text1"/>
              </w:rPr>
            </w:pPr>
            <w:r w:rsidRPr="00286216">
              <w:rPr>
                <w:color w:val="000000" w:themeColor="text1"/>
              </w:rPr>
              <w:t>у запропонованій  редакції статті 72</w:t>
            </w:r>
          </w:p>
        </w:tc>
        <w:tc>
          <w:tcPr>
            <w:tcW w:w="4818" w:type="dxa"/>
          </w:tcPr>
          <w:p w14:paraId="3B98BD7F" w14:textId="77777777" w:rsidR="00826C07" w:rsidRPr="00286216" w:rsidRDefault="00826C07" w:rsidP="00826C07">
            <w:pPr>
              <w:pStyle w:val="StyleZakonu"/>
              <w:rPr>
                <w:color w:val="000000" w:themeColor="text1"/>
              </w:rPr>
            </w:pPr>
          </w:p>
        </w:tc>
      </w:tr>
      <w:tr w:rsidR="00826C07" w:rsidRPr="00286216" w14:paraId="1E7D12D0" w14:textId="77777777" w:rsidTr="00091AA5">
        <w:tc>
          <w:tcPr>
            <w:tcW w:w="576" w:type="dxa"/>
          </w:tcPr>
          <w:p w14:paraId="4140DA66" w14:textId="77777777" w:rsidR="00826C07" w:rsidRPr="00286216" w:rsidRDefault="00826C07" w:rsidP="00826C07">
            <w:pPr>
              <w:pStyle w:val="StyleWisnow"/>
              <w:rPr>
                <w:color w:val="000000" w:themeColor="text1"/>
              </w:rPr>
            </w:pPr>
            <w:bookmarkStart w:id="1009" w:name="n1276" w:colFirst="0" w:colLast="0"/>
            <w:bookmarkEnd w:id="1008"/>
            <w:r w:rsidRPr="00286216">
              <w:rPr>
                <w:color w:val="000000" w:themeColor="text1"/>
              </w:rPr>
              <w:t>1276.</w:t>
            </w:r>
          </w:p>
        </w:tc>
        <w:tc>
          <w:tcPr>
            <w:tcW w:w="4818" w:type="dxa"/>
          </w:tcPr>
          <w:p w14:paraId="70075CAF" w14:textId="77777777" w:rsidR="00826C07" w:rsidRPr="00286216" w:rsidRDefault="00826C07" w:rsidP="00826C07">
            <w:pPr>
              <w:pStyle w:val="StyleZakonu"/>
              <w:rPr>
                <w:color w:val="000000" w:themeColor="text1"/>
              </w:rPr>
            </w:pPr>
            <w:r w:rsidRPr="00286216">
              <w:rPr>
                <w:color w:val="000000" w:themeColor="text1"/>
              </w:rPr>
              <w:t>2. Професійні учасники ринків капіталу та організованих товарних ринків організовують корпоративне управління з урахуванням особливостей виду своєї професійної діяльності, характеру і обсягів послуг, які ними надаються, та ризиків, які властиві такій професійній діяльності.</w:t>
            </w:r>
          </w:p>
        </w:tc>
        <w:tc>
          <w:tcPr>
            <w:tcW w:w="3686" w:type="dxa"/>
          </w:tcPr>
          <w:p w14:paraId="657B9969" w14:textId="77777777" w:rsidR="00826C07" w:rsidRPr="00286216" w:rsidRDefault="00826C07" w:rsidP="00826C07">
            <w:pPr>
              <w:pStyle w:val="StyleProp"/>
              <w:rPr>
                <w:color w:val="000000" w:themeColor="text1"/>
                <w:spacing w:val="-2"/>
              </w:rPr>
            </w:pPr>
          </w:p>
        </w:tc>
        <w:tc>
          <w:tcPr>
            <w:tcW w:w="1987" w:type="dxa"/>
          </w:tcPr>
          <w:p w14:paraId="51B94A74" w14:textId="77777777" w:rsidR="00826C07" w:rsidRPr="00286216" w:rsidRDefault="00826C07" w:rsidP="00826C07">
            <w:pPr>
              <w:pStyle w:val="StyleWisnow"/>
              <w:spacing w:line="180" w:lineRule="exact"/>
              <w:rPr>
                <w:color w:val="000000" w:themeColor="text1"/>
              </w:rPr>
            </w:pPr>
          </w:p>
        </w:tc>
        <w:tc>
          <w:tcPr>
            <w:tcW w:w="4818" w:type="dxa"/>
          </w:tcPr>
          <w:p w14:paraId="4C6A20E7" w14:textId="77777777" w:rsidR="00826C07" w:rsidRPr="00286216" w:rsidRDefault="00826C07" w:rsidP="00826C07">
            <w:pPr>
              <w:pStyle w:val="StyleZakonu"/>
              <w:rPr>
                <w:color w:val="000000" w:themeColor="text1"/>
              </w:rPr>
            </w:pPr>
          </w:p>
        </w:tc>
      </w:tr>
      <w:tr w:rsidR="00826C07" w:rsidRPr="00286216" w14:paraId="281D1E57" w14:textId="77777777" w:rsidTr="00091AA5">
        <w:tc>
          <w:tcPr>
            <w:tcW w:w="576" w:type="dxa"/>
          </w:tcPr>
          <w:p w14:paraId="3F4787AF" w14:textId="77777777" w:rsidR="00826C07" w:rsidRPr="00286216" w:rsidRDefault="00826C07" w:rsidP="00826C07">
            <w:pPr>
              <w:pStyle w:val="StyleWisnow"/>
              <w:rPr>
                <w:color w:val="000000" w:themeColor="text1"/>
              </w:rPr>
            </w:pPr>
            <w:bookmarkStart w:id="1010" w:name="n1277" w:colFirst="0" w:colLast="0"/>
            <w:bookmarkEnd w:id="1009"/>
            <w:r w:rsidRPr="00286216">
              <w:rPr>
                <w:color w:val="000000" w:themeColor="text1"/>
              </w:rPr>
              <w:t>1277.</w:t>
            </w:r>
          </w:p>
        </w:tc>
        <w:tc>
          <w:tcPr>
            <w:tcW w:w="4818" w:type="dxa"/>
          </w:tcPr>
          <w:p w14:paraId="362D2169" w14:textId="77777777" w:rsidR="00826C07" w:rsidRPr="00286216" w:rsidRDefault="00826C07" w:rsidP="00826C07">
            <w:pPr>
              <w:pStyle w:val="StyleZakonu"/>
              <w:rPr>
                <w:color w:val="000000" w:themeColor="text1"/>
              </w:rPr>
            </w:pPr>
            <w:r w:rsidRPr="00286216">
              <w:rPr>
                <w:color w:val="000000" w:themeColor="text1"/>
              </w:rPr>
              <w:t>Система корпоративного управління професійних учасників ринків капіталу та організованих товарних ринків повинна бути побудована з врахуванням особливостей, встановлених:</w:t>
            </w:r>
          </w:p>
        </w:tc>
        <w:tc>
          <w:tcPr>
            <w:tcW w:w="3686" w:type="dxa"/>
          </w:tcPr>
          <w:p w14:paraId="7C679501" w14:textId="4530536B"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800</w:t>
            </w:r>
            <w:r w:rsidRPr="00286216">
              <w:rPr>
                <w:color w:val="000000" w:themeColor="text1"/>
                <w:spacing w:val="-10"/>
              </w:rPr>
              <w:fldChar w:fldCharType="end"/>
            </w:r>
            <w:r w:rsidRPr="00286216">
              <w:rPr>
                <w:color w:val="000000" w:themeColor="text1"/>
                <w:spacing w:val="-10"/>
              </w:rPr>
              <w:t>-Н.д.Гетманцев Д.О.(Реєстр.картка №245)</w:t>
            </w:r>
          </w:p>
          <w:p w14:paraId="2CCC3BBA" w14:textId="77777777" w:rsidR="00826C07" w:rsidRPr="00286216" w:rsidRDefault="00826C07" w:rsidP="00826C07">
            <w:pPr>
              <w:pStyle w:val="StyleProp"/>
              <w:rPr>
                <w:color w:val="000000" w:themeColor="text1"/>
              </w:rPr>
            </w:pPr>
            <w:r w:rsidRPr="00286216">
              <w:rPr>
                <w:color w:val="000000" w:themeColor="text1"/>
              </w:rPr>
              <w:t>У статті 72 абзац другий частини другої викласти у такій редакції:</w:t>
            </w:r>
          </w:p>
          <w:p w14:paraId="321C2BDB" w14:textId="77777777" w:rsidR="00826C07" w:rsidRPr="00286216" w:rsidRDefault="00826C07" w:rsidP="00B352CE">
            <w:pPr>
              <w:pStyle w:val="StyleProp"/>
              <w:spacing w:line="190" w:lineRule="exact"/>
              <w:rPr>
                <w:color w:val="000000" w:themeColor="text1"/>
                <w:sz w:val="20"/>
              </w:rPr>
            </w:pPr>
            <w:r w:rsidRPr="00286216">
              <w:rPr>
                <w:color w:val="000000" w:themeColor="text1"/>
              </w:rPr>
              <w:t xml:space="preserve">«Система корпоративного управління професійних учасників ринків капіталу та організованих товарних ринків повинна бути побудована з врахуванням особливостей, встановлених чинним законодавством, нормативно-правовими актами Національної комісії з цінних паперів та фондового ринку, які регулюють провадження професійної діяльності в залежності від отриманої ліцензії, внутрішніми документами професійного учасника ринків капіталу та </w:t>
            </w:r>
            <w:r w:rsidRPr="00286216">
              <w:rPr>
                <w:color w:val="000000" w:themeColor="text1"/>
              </w:rPr>
              <w:lastRenderedPageBreak/>
              <w:t>організованих товарних ринків з питань корпоративного управління.»</w:t>
            </w:r>
          </w:p>
        </w:tc>
        <w:tc>
          <w:tcPr>
            <w:tcW w:w="1987" w:type="dxa"/>
          </w:tcPr>
          <w:p w14:paraId="7DCB4FDD" w14:textId="77777777" w:rsidR="00826C07" w:rsidRPr="00286216" w:rsidRDefault="00826C07" w:rsidP="00826C07">
            <w:pPr>
              <w:pStyle w:val="StyleWisnow"/>
              <w:spacing w:line="180" w:lineRule="exact"/>
              <w:rPr>
                <w:color w:val="000000" w:themeColor="text1"/>
              </w:rPr>
            </w:pPr>
            <w:r w:rsidRPr="00286216">
              <w:rPr>
                <w:color w:val="000000" w:themeColor="text1"/>
              </w:rPr>
              <w:lastRenderedPageBreak/>
              <w:t>Враховано по суті</w:t>
            </w:r>
          </w:p>
          <w:p w14:paraId="7BC3D348"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72</w:t>
            </w:r>
          </w:p>
        </w:tc>
        <w:tc>
          <w:tcPr>
            <w:tcW w:w="4818" w:type="dxa"/>
          </w:tcPr>
          <w:p w14:paraId="228D770E" w14:textId="77777777" w:rsidR="00826C07" w:rsidRPr="00286216" w:rsidRDefault="00826C07" w:rsidP="00826C07">
            <w:pPr>
              <w:pStyle w:val="StyleZakonu"/>
              <w:rPr>
                <w:color w:val="000000" w:themeColor="text1"/>
              </w:rPr>
            </w:pPr>
          </w:p>
        </w:tc>
      </w:tr>
      <w:tr w:rsidR="00826C07" w:rsidRPr="00286216" w14:paraId="1EB07AD7" w14:textId="77777777" w:rsidTr="00091AA5">
        <w:tc>
          <w:tcPr>
            <w:tcW w:w="576" w:type="dxa"/>
          </w:tcPr>
          <w:p w14:paraId="0021C9AC" w14:textId="77777777" w:rsidR="00826C07" w:rsidRPr="00286216" w:rsidRDefault="00826C07" w:rsidP="00826C07">
            <w:pPr>
              <w:pStyle w:val="StyleWisnow"/>
              <w:rPr>
                <w:color w:val="000000" w:themeColor="text1"/>
              </w:rPr>
            </w:pPr>
            <w:bookmarkStart w:id="1011" w:name="n1278" w:colFirst="0" w:colLast="0"/>
            <w:bookmarkEnd w:id="1010"/>
            <w:r w:rsidRPr="00286216">
              <w:rPr>
                <w:color w:val="000000" w:themeColor="text1"/>
              </w:rPr>
              <w:t>1278.</w:t>
            </w:r>
          </w:p>
        </w:tc>
        <w:tc>
          <w:tcPr>
            <w:tcW w:w="4818" w:type="dxa"/>
          </w:tcPr>
          <w:p w14:paraId="2B428BB3" w14:textId="77777777" w:rsidR="00826C07" w:rsidRPr="00286216" w:rsidRDefault="00826C07" w:rsidP="00826C07">
            <w:pPr>
              <w:pStyle w:val="StyleZakonu"/>
              <w:rPr>
                <w:color w:val="000000" w:themeColor="text1"/>
              </w:rPr>
            </w:pPr>
            <w:r w:rsidRPr="00286216">
              <w:rPr>
                <w:color w:val="000000" w:themeColor="text1"/>
              </w:rPr>
              <w:t>1) Законом України "Про фінансові послуги та державне регулювання ринків фінансових послуг" - для всіх професійних учасників ринків капіталу;</w:t>
            </w:r>
          </w:p>
        </w:tc>
        <w:tc>
          <w:tcPr>
            <w:tcW w:w="3686" w:type="dxa"/>
          </w:tcPr>
          <w:p w14:paraId="32F61F0E" w14:textId="2ADD8321"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801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71239D3" w14:textId="77777777" w:rsidR="00826C07" w:rsidRPr="00286216" w:rsidRDefault="00826C07" w:rsidP="00B352CE">
            <w:pPr>
              <w:pStyle w:val="StyleProp"/>
              <w:spacing w:line="190" w:lineRule="exact"/>
              <w:rPr>
                <w:color w:val="000000" w:themeColor="text1"/>
                <w:szCs w:val="18"/>
              </w:rPr>
            </w:pPr>
            <w:r w:rsidRPr="00286216">
              <w:rPr>
                <w:rFonts w:eastAsia="Calibri"/>
                <w:color w:val="000000" w:themeColor="text1"/>
                <w:szCs w:val="18"/>
              </w:rPr>
              <w:t>У частині другій статті 72 Закону абзаци третій, четвертий, п’ятий, шостий, сьомий, восьмий, дев’ятий, десятий замінити словами: «законодавством та внутрішніми документами професійного учасника ринків капіталу та організованих товарних ринків з питань корпоративного управління».</w:t>
            </w:r>
          </w:p>
        </w:tc>
        <w:tc>
          <w:tcPr>
            <w:tcW w:w="1987" w:type="dxa"/>
          </w:tcPr>
          <w:p w14:paraId="0141100C"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38115F45" w14:textId="77777777" w:rsidR="00826C07" w:rsidRPr="00286216" w:rsidRDefault="00826C07" w:rsidP="00826C07">
            <w:pPr>
              <w:pStyle w:val="StyleWisnow"/>
              <w:spacing w:line="180" w:lineRule="exact"/>
              <w:rPr>
                <w:color w:val="000000" w:themeColor="text1"/>
              </w:rPr>
            </w:pPr>
            <w:r w:rsidRPr="00286216">
              <w:rPr>
                <w:color w:val="000000" w:themeColor="text1"/>
              </w:rPr>
              <w:t xml:space="preserve">у запропонованій  редакції статті 72 </w:t>
            </w:r>
          </w:p>
        </w:tc>
        <w:tc>
          <w:tcPr>
            <w:tcW w:w="4818" w:type="dxa"/>
          </w:tcPr>
          <w:p w14:paraId="0D80BBC7" w14:textId="77777777" w:rsidR="00826C07" w:rsidRPr="00286216" w:rsidRDefault="00826C07" w:rsidP="00826C07">
            <w:pPr>
              <w:pStyle w:val="StyleZakonu"/>
              <w:rPr>
                <w:color w:val="000000" w:themeColor="text1"/>
              </w:rPr>
            </w:pPr>
          </w:p>
        </w:tc>
      </w:tr>
      <w:tr w:rsidR="00826C07" w:rsidRPr="00286216" w14:paraId="2870EC67" w14:textId="77777777" w:rsidTr="00091AA5">
        <w:tc>
          <w:tcPr>
            <w:tcW w:w="576" w:type="dxa"/>
          </w:tcPr>
          <w:p w14:paraId="736550C3" w14:textId="77777777" w:rsidR="00826C07" w:rsidRPr="00286216" w:rsidRDefault="00826C07" w:rsidP="00826C07">
            <w:pPr>
              <w:pStyle w:val="StyleWisnow"/>
              <w:rPr>
                <w:color w:val="000000" w:themeColor="text1"/>
              </w:rPr>
            </w:pPr>
            <w:bookmarkStart w:id="1012" w:name="n1279" w:colFirst="0" w:colLast="0"/>
            <w:bookmarkEnd w:id="1011"/>
            <w:r w:rsidRPr="00286216">
              <w:rPr>
                <w:color w:val="000000" w:themeColor="text1"/>
              </w:rPr>
              <w:t>1279.</w:t>
            </w:r>
          </w:p>
        </w:tc>
        <w:tc>
          <w:tcPr>
            <w:tcW w:w="4818" w:type="dxa"/>
          </w:tcPr>
          <w:p w14:paraId="10D82DB2" w14:textId="77777777" w:rsidR="00826C07" w:rsidRPr="00286216" w:rsidRDefault="00826C07" w:rsidP="00826C07">
            <w:pPr>
              <w:pStyle w:val="StyleZakonu"/>
              <w:rPr>
                <w:color w:val="000000" w:themeColor="text1"/>
              </w:rPr>
            </w:pPr>
            <w:r w:rsidRPr="00286216">
              <w:rPr>
                <w:color w:val="000000" w:themeColor="text1"/>
              </w:rPr>
              <w:t>2) Законом України "Про акціонерні товариства" та Законом України "Про товариства з обмеженою та додатковою відповідальністю" - для всіх професійних учасників ринків капіталу та організованих товарних ринків відповідно до їх організаційно-правової форми;</w:t>
            </w:r>
          </w:p>
        </w:tc>
        <w:tc>
          <w:tcPr>
            <w:tcW w:w="3686" w:type="dxa"/>
          </w:tcPr>
          <w:p w14:paraId="505DCC05" w14:textId="77777777" w:rsidR="00826C07" w:rsidRPr="00286216" w:rsidRDefault="00826C07" w:rsidP="00826C07">
            <w:pPr>
              <w:pStyle w:val="StyleProp"/>
              <w:rPr>
                <w:color w:val="000000" w:themeColor="text1"/>
                <w:szCs w:val="18"/>
              </w:rPr>
            </w:pPr>
          </w:p>
        </w:tc>
        <w:tc>
          <w:tcPr>
            <w:tcW w:w="1987" w:type="dxa"/>
          </w:tcPr>
          <w:p w14:paraId="3968CB29" w14:textId="77777777" w:rsidR="00826C07" w:rsidRPr="00286216" w:rsidRDefault="00826C07" w:rsidP="00826C07">
            <w:pPr>
              <w:pStyle w:val="StyleWisnow"/>
              <w:rPr>
                <w:color w:val="000000" w:themeColor="text1"/>
              </w:rPr>
            </w:pPr>
          </w:p>
        </w:tc>
        <w:tc>
          <w:tcPr>
            <w:tcW w:w="4818" w:type="dxa"/>
          </w:tcPr>
          <w:p w14:paraId="0446BA97" w14:textId="77777777" w:rsidR="00826C07" w:rsidRPr="00286216" w:rsidRDefault="00826C07" w:rsidP="00826C07">
            <w:pPr>
              <w:pStyle w:val="StyleZakonu"/>
              <w:rPr>
                <w:color w:val="000000" w:themeColor="text1"/>
              </w:rPr>
            </w:pPr>
          </w:p>
        </w:tc>
      </w:tr>
      <w:tr w:rsidR="00826C07" w:rsidRPr="00286216" w14:paraId="31B8630F" w14:textId="77777777" w:rsidTr="00091AA5">
        <w:tc>
          <w:tcPr>
            <w:tcW w:w="576" w:type="dxa"/>
          </w:tcPr>
          <w:p w14:paraId="0F29F214" w14:textId="77777777" w:rsidR="00826C07" w:rsidRPr="00286216" w:rsidRDefault="00826C07" w:rsidP="00826C07">
            <w:pPr>
              <w:pStyle w:val="StyleWisnow"/>
              <w:rPr>
                <w:color w:val="000000" w:themeColor="text1"/>
              </w:rPr>
            </w:pPr>
            <w:bookmarkStart w:id="1013" w:name="n1280" w:colFirst="0" w:colLast="0"/>
            <w:bookmarkEnd w:id="1012"/>
            <w:r w:rsidRPr="00286216">
              <w:rPr>
                <w:color w:val="000000" w:themeColor="text1"/>
              </w:rPr>
              <w:t>1280.</w:t>
            </w:r>
          </w:p>
        </w:tc>
        <w:tc>
          <w:tcPr>
            <w:tcW w:w="4818" w:type="dxa"/>
          </w:tcPr>
          <w:p w14:paraId="5738A7C1" w14:textId="77777777" w:rsidR="00826C07" w:rsidRPr="00286216" w:rsidRDefault="00826C07" w:rsidP="00826C07">
            <w:pPr>
              <w:pStyle w:val="StyleZakonu"/>
              <w:rPr>
                <w:color w:val="000000" w:themeColor="text1"/>
              </w:rPr>
            </w:pPr>
            <w:r w:rsidRPr="00286216">
              <w:rPr>
                <w:color w:val="000000" w:themeColor="text1"/>
              </w:rPr>
              <w:t>3) Законом України "Про депозитарну систему України", Законом України "Про інститути спільного інвестування", Законом України "Про недержавне пенсійне забезпечення", Законом України "Про іпотечні облігації", цим Законом - в частині регулювання відповідного виду професійної діяльності на ринках капіталу;</w:t>
            </w:r>
          </w:p>
        </w:tc>
        <w:tc>
          <w:tcPr>
            <w:tcW w:w="3686" w:type="dxa"/>
          </w:tcPr>
          <w:p w14:paraId="338883AF" w14:textId="77777777" w:rsidR="00826C07" w:rsidRPr="00286216" w:rsidRDefault="00826C07" w:rsidP="00826C07">
            <w:pPr>
              <w:pStyle w:val="StyleProp"/>
              <w:rPr>
                <w:color w:val="000000" w:themeColor="text1"/>
                <w:szCs w:val="18"/>
              </w:rPr>
            </w:pPr>
          </w:p>
        </w:tc>
        <w:tc>
          <w:tcPr>
            <w:tcW w:w="1987" w:type="dxa"/>
          </w:tcPr>
          <w:p w14:paraId="1730B1FC" w14:textId="77777777" w:rsidR="00826C07" w:rsidRPr="00286216" w:rsidRDefault="00826C07" w:rsidP="00826C07">
            <w:pPr>
              <w:pStyle w:val="StyleWisnow"/>
              <w:rPr>
                <w:color w:val="000000" w:themeColor="text1"/>
              </w:rPr>
            </w:pPr>
          </w:p>
        </w:tc>
        <w:tc>
          <w:tcPr>
            <w:tcW w:w="4818" w:type="dxa"/>
          </w:tcPr>
          <w:p w14:paraId="4228C91E" w14:textId="77777777" w:rsidR="00826C07" w:rsidRPr="00286216" w:rsidRDefault="00826C07" w:rsidP="00826C07">
            <w:pPr>
              <w:pStyle w:val="StyleZakonu"/>
              <w:rPr>
                <w:color w:val="000000" w:themeColor="text1"/>
              </w:rPr>
            </w:pPr>
          </w:p>
        </w:tc>
      </w:tr>
      <w:tr w:rsidR="00826C07" w:rsidRPr="00286216" w14:paraId="44F00AAB" w14:textId="77777777" w:rsidTr="00091AA5">
        <w:tc>
          <w:tcPr>
            <w:tcW w:w="576" w:type="dxa"/>
          </w:tcPr>
          <w:p w14:paraId="09BD0427" w14:textId="77777777" w:rsidR="00826C07" w:rsidRPr="00286216" w:rsidRDefault="00826C07" w:rsidP="00826C07">
            <w:pPr>
              <w:pStyle w:val="StyleWisnow"/>
              <w:rPr>
                <w:color w:val="000000" w:themeColor="text1"/>
              </w:rPr>
            </w:pPr>
            <w:bookmarkStart w:id="1014" w:name="n1281" w:colFirst="0" w:colLast="0"/>
            <w:bookmarkEnd w:id="1013"/>
            <w:r w:rsidRPr="00286216">
              <w:rPr>
                <w:color w:val="000000" w:themeColor="text1"/>
              </w:rPr>
              <w:t>1281.</w:t>
            </w:r>
          </w:p>
        </w:tc>
        <w:tc>
          <w:tcPr>
            <w:tcW w:w="4818" w:type="dxa"/>
          </w:tcPr>
          <w:p w14:paraId="33550D82" w14:textId="77777777" w:rsidR="00826C07" w:rsidRPr="00286216" w:rsidRDefault="00826C07" w:rsidP="00826C07">
            <w:pPr>
              <w:pStyle w:val="StyleZakonu"/>
              <w:rPr>
                <w:color w:val="000000" w:themeColor="text1"/>
              </w:rPr>
            </w:pPr>
            <w:r w:rsidRPr="00286216">
              <w:rPr>
                <w:color w:val="000000" w:themeColor="text1"/>
              </w:rPr>
              <w:t>4) цим Законом - у разі, якщо професійний учасник є емітентом цінних паперів;</w:t>
            </w:r>
          </w:p>
        </w:tc>
        <w:tc>
          <w:tcPr>
            <w:tcW w:w="3686" w:type="dxa"/>
          </w:tcPr>
          <w:p w14:paraId="60F3F6B0" w14:textId="77777777" w:rsidR="00826C07" w:rsidRPr="00286216" w:rsidRDefault="00826C07" w:rsidP="00826C07">
            <w:pPr>
              <w:pStyle w:val="StyleProp"/>
              <w:rPr>
                <w:color w:val="000000" w:themeColor="text1"/>
                <w:szCs w:val="18"/>
              </w:rPr>
            </w:pPr>
          </w:p>
        </w:tc>
        <w:tc>
          <w:tcPr>
            <w:tcW w:w="1987" w:type="dxa"/>
          </w:tcPr>
          <w:p w14:paraId="0A4B9C33" w14:textId="77777777" w:rsidR="00826C07" w:rsidRPr="00286216" w:rsidRDefault="00826C07" w:rsidP="00826C07">
            <w:pPr>
              <w:pStyle w:val="StyleWisnow"/>
              <w:rPr>
                <w:color w:val="000000" w:themeColor="text1"/>
              </w:rPr>
            </w:pPr>
          </w:p>
        </w:tc>
        <w:tc>
          <w:tcPr>
            <w:tcW w:w="4818" w:type="dxa"/>
          </w:tcPr>
          <w:p w14:paraId="11B41756" w14:textId="77777777" w:rsidR="00826C07" w:rsidRPr="00286216" w:rsidRDefault="00826C07" w:rsidP="00826C07">
            <w:pPr>
              <w:pStyle w:val="StyleZakonu"/>
              <w:rPr>
                <w:color w:val="000000" w:themeColor="text1"/>
              </w:rPr>
            </w:pPr>
          </w:p>
        </w:tc>
      </w:tr>
      <w:tr w:rsidR="00826C07" w:rsidRPr="00286216" w14:paraId="4554CB30" w14:textId="77777777" w:rsidTr="00091AA5">
        <w:tc>
          <w:tcPr>
            <w:tcW w:w="576" w:type="dxa"/>
          </w:tcPr>
          <w:p w14:paraId="47D62673" w14:textId="77777777" w:rsidR="00826C07" w:rsidRPr="00286216" w:rsidRDefault="00826C07" w:rsidP="00826C07">
            <w:pPr>
              <w:pStyle w:val="StyleWisnow"/>
              <w:rPr>
                <w:color w:val="000000" w:themeColor="text1"/>
              </w:rPr>
            </w:pPr>
            <w:bookmarkStart w:id="1015" w:name="n1282" w:colFirst="0" w:colLast="0"/>
            <w:bookmarkEnd w:id="1014"/>
            <w:r w:rsidRPr="00286216">
              <w:rPr>
                <w:color w:val="000000" w:themeColor="text1"/>
              </w:rPr>
              <w:t>1282.</w:t>
            </w:r>
          </w:p>
        </w:tc>
        <w:tc>
          <w:tcPr>
            <w:tcW w:w="4818" w:type="dxa"/>
          </w:tcPr>
          <w:p w14:paraId="7D8DEBEE" w14:textId="77777777" w:rsidR="00826C07" w:rsidRPr="00286216" w:rsidRDefault="00826C07" w:rsidP="00826C07">
            <w:pPr>
              <w:pStyle w:val="StyleZakonu"/>
              <w:rPr>
                <w:color w:val="000000" w:themeColor="text1"/>
              </w:rPr>
            </w:pPr>
            <w:r w:rsidRPr="00286216">
              <w:rPr>
                <w:color w:val="000000" w:themeColor="text1"/>
              </w:rPr>
              <w:t>5) Законом України "Про банки та банківську діяльність" - у разі, якщо професійний учасник ринків капіталу є банком;</w:t>
            </w:r>
          </w:p>
        </w:tc>
        <w:tc>
          <w:tcPr>
            <w:tcW w:w="3686" w:type="dxa"/>
          </w:tcPr>
          <w:p w14:paraId="48A107B7" w14:textId="7F1B4237"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802</w:t>
            </w:r>
            <w:r w:rsidRPr="00286216">
              <w:rPr>
                <w:color w:val="000000" w:themeColor="text1"/>
                <w:spacing w:val="-4"/>
              </w:rPr>
              <w:fldChar w:fldCharType="end"/>
            </w:r>
            <w:r w:rsidRPr="00286216">
              <w:rPr>
                <w:color w:val="000000" w:themeColor="text1"/>
                <w:spacing w:val="-4"/>
              </w:rPr>
              <w:t>-Н.д.Бєлькова О.В. (Реєстр.картка №403)</w:t>
            </w:r>
          </w:p>
          <w:p w14:paraId="64B1D3DD" w14:textId="77777777" w:rsidR="00826C07" w:rsidRPr="00286216" w:rsidRDefault="00826C07" w:rsidP="00826C07">
            <w:pPr>
              <w:pStyle w:val="StyleProp"/>
              <w:rPr>
                <w:color w:val="000000" w:themeColor="text1"/>
              </w:rPr>
            </w:pPr>
            <w:r w:rsidRPr="00286216">
              <w:rPr>
                <w:color w:val="000000" w:themeColor="text1"/>
              </w:rPr>
              <w:t>У частині другій статті 72 розділу 1 абзац сьомий після слів “Законом України “Про банки та банківську діяльність» доповнити словами “та нормативно-правовими актами Національного банку України”.</w:t>
            </w:r>
          </w:p>
        </w:tc>
        <w:tc>
          <w:tcPr>
            <w:tcW w:w="1987" w:type="dxa"/>
          </w:tcPr>
          <w:p w14:paraId="1519C411"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1883808B"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tc>
        <w:tc>
          <w:tcPr>
            <w:tcW w:w="4818" w:type="dxa"/>
          </w:tcPr>
          <w:p w14:paraId="07E70919" w14:textId="77777777" w:rsidR="00826C07" w:rsidRPr="00286216" w:rsidRDefault="00826C07" w:rsidP="00826C07">
            <w:pPr>
              <w:pStyle w:val="StyleZakonu"/>
              <w:rPr>
                <w:color w:val="000000" w:themeColor="text1"/>
              </w:rPr>
            </w:pPr>
          </w:p>
        </w:tc>
      </w:tr>
      <w:tr w:rsidR="00826C07" w:rsidRPr="00286216" w14:paraId="6B51A175" w14:textId="77777777" w:rsidTr="00091AA5">
        <w:tc>
          <w:tcPr>
            <w:tcW w:w="576" w:type="dxa"/>
          </w:tcPr>
          <w:p w14:paraId="6103D8BC" w14:textId="77777777" w:rsidR="00826C07" w:rsidRPr="00286216" w:rsidRDefault="00826C07" w:rsidP="00826C07">
            <w:pPr>
              <w:pStyle w:val="StyleWisnow"/>
              <w:rPr>
                <w:color w:val="000000" w:themeColor="text1"/>
              </w:rPr>
            </w:pPr>
            <w:bookmarkStart w:id="1016" w:name="n1283" w:colFirst="0" w:colLast="0"/>
            <w:bookmarkEnd w:id="1015"/>
            <w:r w:rsidRPr="00286216">
              <w:rPr>
                <w:color w:val="000000" w:themeColor="text1"/>
              </w:rPr>
              <w:t>1283.</w:t>
            </w:r>
          </w:p>
        </w:tc>
        <w:tc>
          <w:tcPr>
            <w:tcW w:w="4818" w:type="dxa"/>
          </w:tcPr>
          <w:p w14:paraId="6B9E9E81" w14:textId="77777777" w:rsidR="00826C07" w:rsidRPr="00286216" w:rsidRDefault="00826C07" w:rsidP="00826C07">
            <w:pPr>
              <w:pStyle w:val="StyleZakonu"/>
              <w:rPr>
                <w:color w:val="000000" w:themeColor="text1"/>
              </w:rPr>
            </w:pPr>
            <w:r w:rsidRPr="00286216">
              <w:rPr>
                <w:color w:val="000000" w:themeColor="text1"/>
              </w:rPr>
              <w:t>6) Законом України "Про товарну біржу" - у разі, якщо професійний учасників організованих товарних ринків є товарною біржою;</w:t>
            </w:r>
          </w:p>
        </w:tc>
        <w:tc>
          <w:tcPr>
            <w:tcW w:w="3686" w:type="dxa"/>
          </w:tcPr>
          <w:p w14:paraId="3F339E85" w14:textId="77777777" w:rsidR="00826C07" w:rsidRPr="00286216" w:rsidRDefault="00826C07" w:rsidP="00826C07">
            <w:pPr>
              <w:pStyle w:val="StyleProp"/>
              <w:rPr>
                <w:color w:val="000000" w:themeColor="text1"/>
                <w:szCs w:val="18"/>
              </w:rPr>
            </w:pPr>
          </w:p>
        </w:tc>
        <w:tc>
          <w:tcPr>
            <w:tcW w:w="1987" w:type="dxa"/>
          </w:tcPr>
          <w:p w14:paraId="3A551E45" w14:textId="77777777" w:rsidR="00826C07" w:rsidRPr="00286216" w:rsidRDefault="00826C07" w:rsidP="00826C07">
            <w:pPr>
              <w:pStyle w:val="StyleWisnow"/>
              <w:rPr>
                <w:color w:val="000000" w:themeColor="text1"/>
              </w:rPr>
            </w:pPr>
          </w:p>
        </w:tc>
        <w:tc>
          <w:tcPr>
            <w:tcW w:w="4818" w:type="dxa"/>
          </w:tcPr>
          <w:p w14:paraId="6E77219E" w14:textId="77777777" w:rsidR="00826C07" w:rsidRPr="00286216" w:rsidRDefault="00826C07" w:rsidP="00826C07">
            <w:pPr>
              <w:pStyle w:val="StyleZakonu"/>
              <w:rPr>
                <w:color w:val="000000" w:themeColor="text1"/>
              </w:rPr>
            </w:pPr>
          </w:p>
        </w:tc>
      </w:tr>
      <w:tr w:rsidR="00826C07" w:rsidRPr="00286216" w14:paraId="7B02712A" w14:textId="77777777" w:rsidTr="00091AA5">
        <w:tc>
          <w:tcPr>
            <w:tcW w:w="576" w:type="dxa"/>
          </w:tcPr>
          <w:p w14:paraId="35ABF779" w14:textId="77777777" w:rsidR="00826C07" w:rsidRPr="00286216" w:rsidRDefault="00826C07" w:rsidP="00826C07">
            <w:pPr>
              <w:pStyle w:val="StyleWisnow"/>
              <w:rPr>
                <w:color w:val="000000" w:themeColor="text1"/>
              </w:rPr>
            </w:pPr>
            <w:bookmarkStart w:id="1017" w:name="n1284" w:colFirst="0" w:colLast="0"/>
            <w:bookmarkEnd w:id="1016"/>
            <w:r w:rsidRPr="00286216">
              <w:rPr>
                <w:color w:val="000000" w:themeColor="text1"/>
              </w:rPr>
              <w:t>1284.</w:t>
            </w:r>
          </w:p>
        </w:tc>
        <w:tc>
          <w:tcPr>
            <w:tcW w:w="4818" w:type="dxa"/>
          </w:tcPr>
          <w:p w14:paraId="21419B13" w14:textId="77777777" w:rsidR="00826C07" w:rsidRPr="00286216" w:rsidRDefault="00826C07" w:rsidP="00826C07">
            <w:pPr>
              <w:pStyle w:val="StyleZakonu"/>
              <w:rPr>
                <w:color w:val="000000" w:themeColor="text1"/>
              </w:rPr>
            </w:pPr>
            <w:r w:rsidRPr="00286216">
              <w:rPr>
                <w:color w:val="000000" w:themeColor="text1"/>
              </w:rPr>
              <w:t>7) нормативно-правовими актами Національної комісії з цінних паперів та фондового ринку, які регулюють провадження професійної діяльності в залежності від отриманої ліцензії;</w:t>
            </w:r>
          </w:p>
        </w:tc>
        <w:tc>
          <w:tcPr>
            <w:tcW w:w="3686" w:type="dxa"/>
          </w:tcPr>
          <w:p w14:paraId="6CE6F1A1" w14:textId="43E0CC3B"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803</w:t>
            </w:r>
            <w:r w:rsidRPr="00286216">
              <w:rPr>
                <w:color w:val="000000" w:themeColor="text1"/>
              </w:rPr>
              <w:fldChar w:fldCharType="end"/>
            </w:r>
            <w:r w:rsidRPr="00286216">
              <w:rPr>
                <w:color w:val="000000" w:themeColor="text1"/>
              </w:rPr>
              <w:t>-Н.д.Шахов С.В. (Реєстр.картка №114)</w:t>
            </w:r>
          </w:p>
          <w:p w14:paraId="72D0A37F" w14:textId="77777777" w:rsidR="00826C07" w:rsidRPr="00286216" w:rsidRDefault="00826C07" w:rsidP="00826C07">
            <w:pPr>
              <w:pStyle w:val="StyleProp"/>
              <w:rPr>
                <w:color w:val="000000" w:themeColor="text1"/>
                <w:szCs w:val="18"/>
              </w:rPr>
            </w:pPr>
            <w:r w:rsidRPr="00286216">
              <w:rPr>
                <w:color w:val="000000" w:themeColor="text1"/>
                <w:szCs w:val="18"/>
              </w:rPr>
              <w:t>П.7 ч.2 ст. 72 викласти у такій редакції:</w:t>
            </w:r>
          </w:p>
          <w:p w14:paraId="491D42A3" w14:textId="77777777" w:rsidR="00826C07" w:rsidRPr="00286216" w:rsidRDefault="00826C07" w:rsidP="00B352CE">
            <w:pPr>
              <w:pStyle w:val="StyleProp"/>
              <w:spacing w:line="190" w:lineRule="exact"/>
              <w:rPr>
                <w:color w:val="000000" w:themeColor="text1"/>
                <w:szCs w:val="18"/>
              </w:rPr>
            </w:pPr>
            <w:r w:rsidRPr="00286216">
              <w:rPr>
                <w:color w:val="000000" w:themeColor="text1"/>
                <w:szCs w:val="18"/>
              </w:rPr>
              <w:t xml:space="preserve">"7) спеціальним законодавством про товарні ринки у відповідній сфері товарного ринку - у разі, якщо професійний учасник є оператором відповідного організованого товарного ринку, та/або провадить клірингову діяльність (у тому числі, клірингову діяльність центрального контрагента) на товарному спот-ринку та/або на ринку поставних товарних деривативних контрактів або є інвестиційною компанієї, що вчиняє правочини з поставними товарними деривативами згідно з законодавством про </w:t>
            </w:r>
            <w:r w:rsidRPr="00286216">
              <w:rPr>
                <w:color w:val="000000" w:themeColor="text1"/>
                <w:szCs w:val="18"/>
              </w:rPr>
              <w:lastRenderedPageBreak/>
              <w:t>відповідний товарний ринок".</w:t>
            </w:r>
          </w:p>
        </w:tc>
        <w:tc>
          <w:tcPr>
            <w:tcW w:w="1987" w:type="dxa"/>
          </w:tcPr>
          <w:p w14:paraId="029238AA" w14:textId="77777777" w:rsidR="00826C07" w:rsidRPr="00286216" w:rsidRDefault="00826C07" w:rsidP="00826C07">
            <w:pPr>
              <w:pStyle w:val="StyleWisnow"/>
              <w:rPr>
                <w:color w:val="000000" w:themeColor="text1"/>
              </w:rPr>
            </w:pPr>
            <w:r w:rsidRPr="00286216">
              <w:rPr>
                <w:color w:val="000000" w:themeColor="text1"/>
              </w:rPr>
              <w:lastRenderedPageBreak/>
              <w:t>Відхилено</w:t>
            </w:r>
          </w:p>
          <w:p w14:paraId="3E94963E" w14:textId="77777777" w:rsidR="00826C07" w:rsidRPr="00286216" w:rsidRDefault="00826C07" w:rsidP="00826C07">
            <w:pPr>
              <w:pStyle w:val="StyleWisnow"/>
              <w:rPr>
                <w:color w:val="000000" w:themeColor="text1"/>
              </w:rPr>
            </w:pPr>
            <w:r w:rsidRPr="00286216">
              <w:rPr>
                <w:color w:val="000000" w:themeColor="text1"/>
                <w:spacing w:val="-4"/>
              </w:rPr>
              <w:t>у зв'язку із зміною редакції та виключенням даного пункту</w:t>
            </w:r>
          </w:p>
        </w:tc>
        <w:tc>
          <w:tcPr>
            <w:tcW w:w="4818" w:type="dxa"/>
          </w:tcPr>
          <w:p w14:paraId="6554A31D" w14:textId="77777777" w:rsidR="00826C07" w:rsidRPr="00286216" w:rsidRDefault="00826C07" w:rsidP="00826C07">
            <w:pPr>
              <w:pStyle w:val="StyleZakonu"/>
              <w:rPr>
                <w:color w:val="000000" w:themeColor="text1"/>
              </w:rPr>
            </w:pPr>
          </w:p>
        </w:tc>
      </w:tr>
      <w:tr w:rsidR="00826C07" w:rsidRPr="00286216" w14:paraId="4DC9E55A" w14:textId="77777777" w:rsidTr="00091AA5">
        <w:tc>
          <w:tcPr>
            <w:tcW w:w="576" w:type="dxa"/>
          </w:tcPr>
          <w:p w14:paraId="27BC4C19" w14:textId="77777777" w:rsidR="00826C07" w:rsidRPr="00286216" w:rsidRDefault="00826C07" w:rsidP="00826C07">
            <w:pPr>
              <w:pStyle w:val="StyleWisnow"/>
              <w:rPr>
                <w:color w:val="000000" w:themeColor="text1"/>
              </w:rPr>
            </w:pPr>
            <w:bookmarkStart w:id="1018" w:name="n1285" w:colFirst="0" w:colLast="0"/>
            <w:bookmarkEnd w:id="1017"/>
            <w:r w:rsidRPr="00286216">
              <w:rPr>
                <w:color w:val="000000" w:themeColor="text1"/>
              </w:rPr>
              <w:t>1285.</w:t>
            </w:r>
          </w:p>
        </w:tc>
        <w:tc>
          <w:tcPr>
            <w:tcW w:w="4818" w:type="dxa"/>
          </w:tcPr>
          <w:p w14:paraId="7DC02E06" w14:textId="77777777" w:rsidR="00826C07" w:rsidRPr="00286216" w:rsidRDefault="00826C07" w:rsidP="00826C07">
            <w:pPr>
              <w:pStyle w:val="StyleZakonu"/>
              <w:rPr>
                <w:color w:val="000000" w:themeColor="text1"/>
              </w:rPr>
            </w:pPr>
            <w:r w:rsidRPr="00286216">
              <w:rPr>
                <w:color w:val="000000" w:themeColor="text1"/>
              </w:rPr>
              <w:t>8) внутрішніми документами професійного учасника ринків капіталу та організованих товарних ринків з питань корпоративного управління.</w:t>
            </w:r>
          </w:p>
        </w:tc>
        <w:tc>
          <w:tcPr>
            <w:tcW w:w="3686" w:type="dxa"/>
          </w:tcPr>
          <w:p w14:paraId="50B29F4E" w14:textId="77777777" w:rsidR="00826C07" w:rsidRPr="00286216" w:rsidRDefault="00826C07" w:rsidP="00826C07">
            <w:pPr>
              <w:pStyle w:val="StyleProp"/>
              <w:rPr>
                <w:color w:val="000000" w:themeColor="text1"/>
                <w:szCs w:val="18"/>
              </w:rPr>
            </w:pPr>
          </w:p>
        </w:tc>
        <w:tc>
          <w:tcPr>
            <w:tcW w:w="1987" w:type="dxa"/>
          </w:tcPr>
          <w:p w14:paraId="6F964861" w14:textId="77777777" w:rsidR="00826C07" w:rsidRPr="00286216" w:rsidRDefault="00826C07" w:rsidP="00826C07">
            <w:pPr>
              <w:pStyle w:val="StyleWisnow"/>
              <w:rPr>
                <w:color w:val="000000" w:themeColor="text1"/>
              </w:rPr>
            </w:pPr>
          </w:p>
        </w:tc>
        <w:tc>
          <w:tcPr>
            <w:tcW w:w="4818" w:type="dxa"/>
          </w:tcPr>
          <w:p w14:paraId="7363914B" w14:textId="77777777" w:rsidR="00826C07" w:rsidRPr="00286216" w:rsidRDefault="00826C07" w:rsidP="00826C07">
            <w:pPr>
              <w:pStyle w:val="StyleZakonu"/>
              <w:rPr>
                <w:color w:val="000000" w:themeColor="text1"/>
              </w:rPr>
            </w:pPr>
          </w:p>
        </w:tc>
      </w:tr>
      <w:bookmarkEnd w:id="1018"/>
      <w:tr w:rsidR="00826C07" w:rsidRPr="00286216" w14:paraId="29D474CD" w14:textId="77777777" w:rsidTr="00091AA5">
        <w:tc>
          <w:tcPr>
            <w:tcW w:w="576" w:type="dxa"/>
          </w:tcPr>
          <w:p w14:paraId="55709851" w14:textId="77777777" w:rsidR="00826C07" w:rsidRPr="00286216" w:rsidRDefault="00826C07" w:rsidP="00826C07">
            <w:pPr>
              <w:pStyle w:val="StyleWisnow"/>
              <w:rPr>
                <w:color w:val="000000" w:themeColor="text1"/>
              </w:rPr>
            </w:pPr>
          </w:p>
        </w:tc>
        <w:tc>
          <w:tcPr>
            <w:tcW w:w="4818" w:type="dxa"/>
          </w:tcPr>
          <w:p w14:paraId="5B904779" w14:textId="77777777" w:rsidR="00826C07" w:rsidRPr="00286216" w:rsidRDefault="00826C07" w:rsidP="00826C07">
            <w:pPr>
              <w:pStyle w:val="StyleZakonu"/>
              <w:rPr>
                <w:color w:val="000000" w:themeColor="text1"/>
              </w:rPr>
            </w:pPr>
          </w:p>
        </w:tc>
        <w:tc>
          <w:tcPr>
            <w:tcW w:w="3686" w:type="dxa"/>
          </w:tcPr>
          <w:p w14:paraId="4912C3F3" w14:textId="73AC84FE"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804</w:t>
            </w:r>
            <w:r w:rsidRPr="00286216">
              <w:rPr>
                <w:color w:val="000000" w:themeColor="text1"/>
                <w:spacing w:val="-4"/>
              </w:rPr>
              <w:fldChar w:fldCharType="end"/>
            </w:r>
            <w:r w:rsidRPr="00286216">
              <w:rPr>
                <w:color w:val="000000" w:themeColor="text1"/>
                <w:spacing w:val="-4"/>
              </w:rPr>
              <w:t>-Н.д.Бєлькова О.В. (Реєстр.картка №403)</w:t>
            </w:r>
          </w:p>
          <w:p w14:paraId="6FF416B1" w14:textId="77777777" w:rsidR="00826C07" w:rsidRPr="00286216" w:rsidRDefault="00826C07" w:rsidP="00826C07">
            <w:pPr>
              <w:pStyle w:val="StyleProp"/>
              <w:spacing w:line="190" w:lineRule="exact"/>
              <w:rPr>
                <w:color w:val="000000" w:themeColor="text1"/>
              </w:rPr>
            </w:pPr>
            <w:r w:rsidRPr="00286216">
              <w:rPr>
                <w:color w:val="000000" w:themeColor="text1"/>
              </w:rPr>
              <w:t>у частині другій статті 72 після абзацу десятого доповнити абзацом такого змісту:</w:t>
            </w:r>
          </w:p>
          <w:p w14:paraId="02178734" w14:textId="77777777" w:rsidR="00826C07" w:rsidRPr="00286216" w:rsidRDefault="00826C07" w:rsidP="00826C07">
            <w:pPr>
              <w:pStyle w:val="StyleProp"/>
              <w:spacing w:line="190" w:lineRule="exact"/>
              <w:rPr>
                <w:color w:val="000000" w:themeColor="text1"/>
                <w:szCs w:val="18"/>
              </w:rPr>
            </w:pPr>
            <w:r w:rsidRPr="00286216">
              <w:rPr>
                <w:color w:val="000000" w:themeColor="text1"/>
              </w:rPr>
              <w:t>“Національна комісія з цінних паперів та фондового ринку та Національний банк України мають право визначити порядок взаємодії при оцінці дотримання  вимог щодо корпоративного управління системно важливими професійними учасниками ринків капіталу та організованих товарних ринків системно-важливими професійними учасниками, якими є банки, у разі виникнення розбіжностей між такими вимогами та вимогами, встановленими Законом України “Про банки та банківську діяльність”, а також нормативно-правовими актами Національного банку України”.</w:t>
            </w:r>
          </w:p>
        </w:tc>
        <w:tc>
          <w:tcPr>
            <w:tcW w:w="1987" w:type="dxa"/>
          </w:tcPr>
          <w:p w14:paraId="5BAA95F4"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3A479719"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tc>
        <w:tc>
          <w:tcPr>
            <w:tcW w:w="4818" w:type="dxa"/>
          </w:tcPr>
          <w:p w14:paraId="677C6250" w14:textId="77777777" w:rsidR="00826C07" w:rsidRPr="00286216" w:rsidRDefault="00826C07" w:rsidP="00826C07">
            <w:pPr>
              <w:pStyle w:val="StyleZakonu"/>
              <w:rPr>
                <w:color w:val="000000" w:themeColor="text1"/>
              </w:rPr>
            </w:pPr>
          </w:p>
        </w:tc>
      </w:tr>
      <w:tr w:rsidR="00826C07" w:rsidRPr="00286216" w14:paraId="7CB52630" w14:textId="77777777" w:rsidTr="00091AA5">
        <w:tc>
          <w:tcPr>
            <w:tcW w:w="576" w:type="dxa"/>
          </w:tcPr>
          <w:p w14:paraId="569198DD" w14:textId="77777777" w:rsidR="00826C07" w:rsidRPr="00286216" w:rsidRDefault="00826C07" w:rsidP="00826C07">
            <w:pPr>
              <w:pStyle w:val="StyleWisnow"/>
              <w:rPr>
                <w:color w:val="000000" w:themeColor="text1"/>
              </w:rPr>
            </w:pPr>
          </w:p>
        </w:tc>
        <w:tc>
          <w:tcPr>
            <w:tcW w:w="4818" w:type="dxa"/>
          </w:tcPr>
          <w:p w14:paraId="2AA23F90" w14:textId="77777777" w:rsidR="00826C07" w:rsidRPr="00286216" w:rsidRDefault="00826C07" w:rsidP="00826C07">
            <w:pPr>
              <w:pStyle w:val="StyleZakonu"/>
              <w:rPr>
                <w:color w:val="000000" w:themeColor="text1"/>
              </w:rPr>
            </w:pPr>
          </w:p>
        </w:tc>
        <w:tc>
          <w:tcPr>
            <w:tcW w:w="3686" w:type="dxa"/>
          </w:tcPr>
          <w:p w14:paraId="2D6D32A8" w14:textId="3E24405C"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805</w:t>
            </w:r>
            <w:r w:rsidRPr="00286216">
              <w:rPr>
                <w:color w:val="000000" w:themeColor="text1"/>
              </w:rPr>
              <w:fldChar w:fldCharType="end"/>
            </w:r>
            <w:r w:rsidRPr="00286216">
              <w:rPr>
                <w:color w:val="000000" w:themeColor="text1"/>
              </w:rPr>
              <w:t>-Н.д.Шахов С.В. (Реєстр.картка №114)</w:t>
            </w:r>
          </w:p>
          <w:p w14:paraId="513D2B7A" w14:textId="77777777" w:rsidR="00826C07" w:rsidRPr="00286216" w:rsidRDefault="00826C07" w:rsidP="00B352CE">
            <w:pPr>
              <w:pStyle w:val="StyleProp"/>
              <w:spacing w:line="190" w:lineRule="exact"/>
              <w:rPr>
                <w:color w:val="000000" w:themeColor="text1"/>
              </w:rPr>
            </w:pPr>
            <w:r w:rsidRPr="00286216">
              <w:rPr>
                <w:color w:val="000000" w:themeColor="text1"/>
                <w:szCs w:val="18"/>
              </w:rPr>
              <w:t>Ч. 2 ст. 72 після абзацу 10 доповнити новим абзацом такого змісту:</w:t>
            </w:r>
          </w:p>
          <w:p w14:paraId="32B9B5FF" w14:textId="77777777" w:rsidR="00826C07" w:rsidRPr="00286216" w:rsidRDefault="00826C07" w:rsidP="00B352CE">
            <w:pPr>
              <w:pStyle w:val="StyleProp"/>
              <w:spacing w:line="190" w:lineRule="exact"/>
              <w:rPr>
                <w:color w:val="000000" w:themeColor="text1"/>
                <w:spacing w:val="-1"/>
              </w:rPr>
            </w:pPr>
            <w:r w:rsidRPr="00286216">
              <w:rPr>
                <w:color w:val="000000" w:themeColor="text1"/>
                <w:spacing w:val="-1"/>
              </w:rPr>
              <w:t>"Регулятором відповідного ринку можуть бути розроблені рекомендації щодо організації системи корпоративного управління для професійних учасників ринків капіталу та/або організованих товарних ринків, які є підприємствами, шо становлять суспільний інтерес або є системно-важливими професійними учасниками".</w:t>
            </w:r>
          </w:p>
        </w:tc>
        <w:tc>
          <w:tcPr>
            <w:tcW w:w="1987" w:type="dxa"/>
          </w:tcPr>
          <w:p w14:paraId="1987C6D7" w14:textId="77777777" w:rsidR="00826C07" w:rsidRPr="00286216" w:rsidRDefault="00826C07" w:rsidP="00826C07">
            <w:pPr>
              <w:pStyle w:val="StyleWisnow"/>
              <w:rPr>
                <w:color w:val="000000" w:themeColor="text1"/>
              </w:rPr>
            </w:pPr>
            <w:r w:rsidRPr="00286216">
              <w:rPr>
                <w:color w:val="000000" w:themeColor="text1"/>
              </w:rPr>
              <w:t>Враховано частково</w:t>
            </w:r>
          </w:p>
          <w:p w14:paraId="08E3D95C" w14:textId="77777777" w:rsidR="00826C07" w:rsidRPr="00286216" w:rsidRDefault="00826C07" w:rsidP="00826C07">
            <w:pPr>
              <w:pStyle w:val="StyleWisnow"/>
              <w:rPr>
                <w:color w:val="000000" w:themeColor="text1"/>
              </w:rPr>
            </w:pPr>
            <w:r w:rsidRPr="00286216">
              <w:rPr>
                <w:color w:val="000000" w:themeColor="text1"/>
              </w:rPr>
              <w:t>у змінах до статті ___ Закону України "Про держрегулювання цінних паперів</w:t>
            </w:r>
          </w:p>
        </w:tc>
        <w:tc>
          <w:tcPr>
            <w:tcW w:w="4818" w:type="dxa"/>
          </w:tcPr>
          <w:p w14:paraId="28165B31" w14:textId="77777777" w:rsidR="00826C07" w:rsidRPr="00286216" w:rsidRDefault="00826C07" w:rsidP="00826C07">
            <w:pPr>
              <w:pStyle w:val="StyleZakonu"/>
              <w:rPr>
                <w:color w:val="000000" w:themeColor="text1"/>
              </w:rPr>
            </w:pPr>
          </w:p>
        </w:tc>
      </w:tr>
      <w:tr w:rsidR="00826C07" w:rsidRPr="00286216" w14:paraId="569F9E43" w14:textId="77777777" w:rsidTr="00091AA5">
        <w:tc>
          <w:tcPr>
            <w:tcW w:w="576" w:type="dxa"/>
          </w:tcPr>
          <w:p w14:paraId="4C86F2E7" w14:textId="77777777" w:rsidR="00826C07" w:rsidRPr="00286216" w:rsidRDefault="00826C07" w:rsidP="00826C07">
            <w:pPr>
              <w:pStyle w:val="StyleWisnow"/>
              <w:rPr>
                <w:color w:val="000000" w:themeColor="text1"/>
              </w:rPr>
            </w:pPr>
            <w:bookmarkStart w:id="1019" w:name="n1286" w:colFirst="0" w:colLast="0"/>
            <w:r w:rsidRPr="00286216">
              <w:rPr>
                <w:color w:val="000000" w:themeColor="text1"/>
              </w:rPr>
              <w:t>1286.</w:t>
            </w:r>
          </w:p>
        </w:tc>
        <w:tc>
          <w:tcPr>
            <w:tcW w:w="4818" w:type="dxa"/>
          </w:tcPr>
          <w:p w14:paraId="70215E4F" w14:textId="77777777" w:rsidR="00826C07" w:rsidRPr="00286216" w:rsidRDefault="00826C07" w:rsidP="00826C07">
            <w:pPr>
              <w:pStyle w:val="StyleZakonu"/>
              <w:rPr>
                <w:color w:val="000000" w:themeColor="text1"/>
              </w:rPr>
            </w:pPr>
            <w:r w:rsidRPr="00286216">
              <w:rPr>
                <w:color w:val="000000" w:themeColor="text1"/>
              </w:rPr>
              <w:t>Професійний учасник ринків капіталу та організованих товарних ринків повинен розробити, запровадити та забезпечувати підтримання в актуальному стані внутрішні документи щодо провадження діяльності відповідно до вимог встановлених Національною комісією з цінних паперів та фондового ринку. Професійні учасники ринків капіталу та організованих товарних зобов’язані забезпечити на регулярній основі, але не рідше одного разу на рік, якщо інше не передбачено законодавством процес перегляду внутрішніх документів, що регламентують провадження професійної діяльності.</w:t>
            </w:r>
          </w:p>
        </w:tc>
        <w:tc>
          <w:tcPr>
            <w:tcW w:w="3686" w:type="dxa"/>
          </w:tcPr>
          <w:p w14:paraId="4B2BE719" w14:textId="346D415E"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806</w:t>
            </w:r>
            <w:r w:rsidRPr="00286216">
              <w:rPr>
                <w:color w:val="000000" w:themeColor="text1"/>
              </w:rPr>
              <w:fldChar w:fldCharType="end"/>
            </w:r>
            <w:r w:rsidRPr="00286216">
              <w:rPr>
                <w:color w:val="000000" w:themeColor="text1"/>
              </w:rPr>
              <w:t>-Н.д.Шахов С.В. (Реєстр.картка №114)</w:t>
            </w:r>
          </w:p>
          <w:p w14:paraId="6E4D8139" w14:textId="77777777" w:rsidR="00826C07" w:rsidRPr="00286216" w:rsidRDefault="00826C07" w:rsidP="00B352CE">
            <w:pPr>
              <w:pStyle w:val="StyleProp"/>
              <w:spacing w:line="190" w:lineRule="exact"/>
              <w:rPr>
                <w:color w:val="000000" w:themeColor="text1"/>
              </w:rPr>
            </w:pPr>
            <w:r w:rsidRPr="00286216">
              <w:rPr>
                <w:color w:val="000000" w:themeColor="text1"/>
                <w:szCs w:val="18"/>
              </w:rPr>
              <w:t>Абз.11 ч.2 ст.72 викласти у такій редакції:</w:t>
            </w:r>
          </w:p>
          <w:p w14:paraId="2E634B10" w14:textId="77777777" w:rsidR="00826C07" w:rsidRPr="00286216" w:rsidRDefault="00826C07" w:rsidP="00B352CE">
            <w:pPr>
              <w:pStyle w:val="StyleProp"/>
              <w:spacing w:line="190" w:lineRule="exact"/>
              <w:rPr>
                <w:color w:val="000000" w:themeColor="text1"/>
              </w:rPr>
            </w:pPr>
            <w:r w:rsidRPr="00286216">
              <w:rPr>
                <w:color w:val="000000" w:themeColor="text1"/>
              </w:rPr>
              <w:t>"Професійний учасник ринків капіталу та/або організованих товарних ринків повинен розробити, запровадити та забезпечувати підтримання в актуальному стані внутрішні документи щодо провадження діяльності відповідно до вимог, встановлених законом. Професійні учасники ринків капіталу та організованих товарних ринків  зобов’язані забезпечити на регулярній основі, у разі змін у відповідному законодавстві, процес перегляду внутрішніх документів".</w:t>
            </w:r>
          </w:p>
        </w:tc>
        <w:tc>
          <w:tcPr>
            <w:tcW w:w="1987" w:type="dxa"/>
          </w:tcPr>
          <w:p w14:paraId="32437942"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618FA7A6"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tc>
        <w:tc>
          <w:tcPr>
            <w:tcW w:w="4818" w:type="dxa"/>
          </w:tcPr>
          <w:p w14:paraId="5F1F80DE" w14:textId="77777777" w:rsidR="00826C07" w:rsidRPr="00286216" w:rsidRDefault="00826C07" w:rsidP="00826C07">
            <w:pPr>
              <w:pStyle w:val="StyleZakonu"/>
              <w:rPr>
                <w:color w:val="000000" w:themeColor="text1"/>
              </w:rPr>
            </w:pPr>
          </w:p>
        </w:tc>
      </w:tr>
      <w:tr w:rsidR="00826C07" w:rsidRPr="00286216" w14:paraId="5060481E" w14:textId="77777777" w:rsidTr="00091AA5">
        <w:tc>
          <w:tcPr>
            <w:tcW w:w="576" w:type="dxa"/>
          </w:tcPr>
          <w:p w14:paraId="44875378" w14:textId="77777777" w:rsidR="00826C07" w:rsidRPr="00286216" w:rsidRDefault="00826C07" w:rsidP="00826C07">
            <w:pPr>
              <w:pStyle w:val="StyleWisnow"/>
              <w:rPr>
                <w:color w:val="000000" w:themeColor="text1"/>
              </w:rPr>
            </w:pPr>
            <w:bookmarkStart w:id="1020" w:name="n1287" w:colFirst="0" w:colLast="0"/>
            <w:bookmarkEnd w:id="1019"/>
            <w:r w:rsidRPr="00286216">
              <w:rPr>
                <w:color w:val="000000" w:themeColor="text1"/>
              </w:rPr>
              <w:t>1287.</w:t>
            </w:r>
          </w:p>
        </w:tc>
        <w:tc>
          <w:tcPr>
            <w:tcW w:w="4818" w:type="dxa"/>
          </w:tcPr>
          <w:p w14:paraId="169A0859" w14:textId="77777777" w:rsidR="00826C07" w:rsidRPr="00286216" w:rsidRDefault="00826C07" w:rsidP="00826C07">
            <w:pPr>
              <w:pStyle w:val="StyleZakonu"/>
              <w:rPr>
                <w:color w:val="000000" w:themeColor="text1"/>
              </w:rPr>
            </w:pPr>
            <w:r w:rsidRPr="00286216">
              <w:rPr>
                <w:color w:val="000000" w:themeColor="text1"/>
              </w:rPr>
              <w:t xml:space="preserve">3. Професійний учасник ринків капіталу та організованих товарних ринків повинен створити комплексну, адекватну та ефективну систему внутрішнього контролю, яка включає підсистеми </w:t>
            </w:r>
            <w:r w:rsidRPr="00286216">
              <w:rPr>
                <w:color w:val="000000" w:themeColor="text1"/>
              </w:rPr>
              <w:lastRenderedPageBreak/>
              <w:t>комплаєнсу, управління ризиками та внутрішнього аудиту, з урахуванням особливостей свого виду професійної діяльності на ринках капіталу та організованих товарних ринках, характеру та обсягів операцій, що здійснюються ним в ході провадження такої діяльності, та ризиків, які властиві такій діяльності, та зобов’язаний здійснювати контроль за її функціонуванням.</w:t>
            </w:r>
          </w:p>
        </w:tc>
        <w:tc>
          <w:tcPr>
            <w:tcW w:w="3686" w:type="dxa"/>
          </w:tcPr>
          <w:p w14:paraId="2E3F0B6F" w14:textId="44B93D67" w:rsidR="00826C07" w:rsidRPr="00286216" w:rsidRDefault="00826C07" w:rsidP="00826C0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807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3A677A4" w14:textId="77777777" w:rsidR="00826C07" w:rsidRPr="00286216" w:rsidRDefault="00826C07" w:rsidP="00B352CE">
            <w:pPr>
              <w:pStyle w:val="StyleProp"/>
              <w:spacing w:line="190" w:lineRule="exact"/>
              <w:rPr>
                <w:rFonts w:eastAsia="Calibri"/>
                <w:color w:val="000000" w:themeColor="text1"/>
                <w:szCs w:val="18"/>
              </w:rPr>
            </w:pPr>
            <w:r w:rsidRPr="00286216">
              <w:rPr>
                <w:rFonts w:eastAsia="Calibri"/>
                <w:color w:val="000000" w:themeColor="text1"/>
                <w:szCs w:val="18"/>
              </w:rPr>
              <w:t xml:space="preserve">У частині третій статті 72 після слів: «контроль за її функціонуванням» додати слова: «відповідно до вимог Національної </w:t>
            </w:r>
            <w:r w:rsidRPr="00286216">
              <w:rPr>
                <w:rFonts w:eastAsia="Calibri"/>
                <w:color w:val="000000" w:themeColor="text1"/>
                <w:szCs w:val="18"/>
              </w:rPr>
              <w:lastRenderedPageBreak/>
              <w:t>комісії з цінних паперів та фондового ринку».</w:t>
            </w:r>
          </w:p>
          <w:p w14:paraId="6448B202" w14:textId="77777777" w:rsidR="00826C07" w:rsidRPr="00286216" w:rsidRDefault="00826C07" w:rsidP="00826C07">
            <w:pPr>
              <w:pStyle w:val="StyleProp"/>
              <w:rPr>
                <w:rFonts w:eastAsia="Calibri"/>
                <w:color w:val="000000" w:themeColor="text1"/>
                <w:szCs w:val="18"/>
              </w:rPr>
            </w:pPr>
          </w:p>
          <w:p w14:paraId="53E1D1FD" w14:textId="60A78B6A"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808</w:t>
            </w:r>
            <w:r w:rsidRPr="00286216">
              <w:rPr>
                <w:color w:val="000000" w:themeColor="text1"/>
                <w:spacing w:val="-10"/>
              </w:rPr>
              <w:fldChar w:fldCharType="end"/>
            </w:r>
            <w:r w:rsidRPr="00286216">
              <w:rPr>
                <w:color w:val="000000" w:themeColor="text1"/>
                <w:spacing w:val="-10"/>
              </w:rPr>
              <w:t>-Н.д.Гетманцев Д.О.(Реєстр.картка №245)</w:t>
            </w:r>
          </w:p>
          <w:p w14:paraId="1941B9E5" w14:textId="77777777" w:rsidR="00826C07" w:rsidRPr="00286216" w:rsidRDefault="00826C07" w:rsidP="00826C07">
            <w:pPr>
              <w:pStyle w:val="StyleProp"/>
              <w:rPr>
                <w:rFonts w:eastAsia="Calibri"/>
                <w:color w:val="000000" w:themeColor="text1"/>
                <w:szCs w:val="18"/>
              </w:rPr>
            </w:pPr>
            <w:r w:rsidRPr="00286216">
              <w:rPr>
                <w:color w:val="000000" w:themeColor="text1"/>
              </w:rPr>
              <w:t>У статті 72 в абзаці першому частини третьої слова «комплексну, адекватну та ефективну» виключити.</w:t>
            </w:r>
          </w:p>
        </w:tc>
        <w:tc>
          <w:tcPr>
            <w:tcW w:w="1987" w:type="dxa"/>
          </w:tcPr>
          <w:p w14:paraId="098537A6" w14:textId="77777777"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p w14:paraId="56B48A49"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p w14:paraId="6729E816" w14:textId="77777777" w:rsidR="00826C07" w:rsidRPr="00286216" w:rsidRDefault="00826C07" w:rsidP="00826C07">
            <w:pPr>
              <w:pStyle w:val="StyleWisnow"/>
              <w:rPr>
                <w:color w:val="000000" w:themeColor="text1"/>
              </w:rPr>
            </w:pPr>
          </w:p>
          <w:p w14:paraId="4DB97E77" w14:textId="77777777" w:rsidR="00826C07" w:rsidRPr="00286216" w:rsidRDefault="00826C07" w:rsidP="00826C07">
            <w:pPr>
              <w:pStyle w:val="StyleWisnow"/>
              <w:rPr>
                <w:color w:val="000000" w:themeColor="text1"/>
              </w:rPr>
            </w:pPr>
          </w:p>
          <w:p w14:paraId="60357957" w14:textId="77777777" w:rsidR="00826C07" w:rsidRPr="00286216" w:rsidRDefault="00826C07" w:rsidP="00826C07">
            <w:pPr>
              <w:pStyle w:val="StyleWisnow"/>
              <w:rPr>
                <w:color w:val="000000" w:themeColor="text1"/>
              </w:rPr>
            </w:pPr>
          </w:p>
          <w:p w14:paraId="7E7CDDD6" w14:textId="77777777" w:rsidR="00826C07" w:rsidRPr="00286216" w:rsidRDefault="00826C07" w:rsidP="00826C07">
            <w:pPr>
              <w:pStyle w:val="StyleWisnow"/>
              <w:rPr>
                <w:color w:val="000000" w:themeColor="text1"/>
              </w:rPr>
            </w:pPr>
          </w:p>
          <w:p w14:paraId="175755C7"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0C8270AA"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72 (слово "адекватну" виключено)</w:t>
            </w:r>
          </w:p>
        </w:tc>
        <w:tc>
          <w:tcPr>
            <w:tcW w:w="4818" w:type="dxa"/>
          </w:tcPr>
          <w:p w14:paraId="0328D42C" w14:textId="77777777" w:rsidR="00826C07" w:rsidRPr="00286216" w:rsidRDefault="00826C07" w:rsidP="00826C07">
            <w:pPr>
              <w:pStyle w:val="StyleZakonu"/>
              <w:rPr>
                <w:color w:val="000000" w:themeColor="text1"/>
              </w:rPr>
            </w:pPr>
          </w:p>
        </w:tc>
      </w:tr>
      <w:tr w:rsidR="00826C07" w:rsidRPr="00286216" w14:paraId="5952ABC0" w14:textId="77777777" w:rsidTr="00091AA5">
        <w:tc>
          <w:tcPr>
            <w:tcW w:w="576" w:type="dxa"/>
          </w:tcPr>
          <w:p w14:paraId="18BB8038" w14:textId="77777777" w:rsidR="00826C07" w:rsidRPr="00286216" w:rsidRDefault="00826C07" w:rsidP="00826C07">
            <w:pPr>
              <w:pStyle w:val="StyleWisnow"/>
              <w:rPr>
                <w:color w:val="000000" w:themeColor="text1"/>
              </w:rPr>
            </w:pPr>
            <w:bookmarkStart w:id="1021" w:name="n1288" w:colFirst="0" w:colLast="0"/>
            <w:bookmarkEnd w:id="1020"/>
            <w:r w:rsidRPr="00286216">
              <w:rPr>
                <w:color w:val="000000" w:themeColor="text1"/>
              </w:rPr>
              <w:t>1288.</w:t>
            </w:r>
          </w:p>
        </w:tc>
        <w:tc>
          <w:tcPr>
            <w:tcW w:w="4818" w:type="dxa"/>
          </w:tcPr>
          <w:p w14:paraId="6C329C3D" w14:textId="77777777" w:rsidR="00826C07" w:rsidRPr="00286216" w:rsidRDefault="00826C07" w:rsidP="00826C07">
            <w:pPr>
              <w:pStyle w:val="StyleZakonu"/>
              <w:rPr>
                <w:color w:val="000000" w:themeColor="text1"/>
              </w:rPr>
            </w:pPr>
            <w:r w:rsidRPr="00286216">
              <w:rPr>
                <w:color w:val="000000" w:themeColor="text1"/>
              </w:rPr>
              <w:t>Створення професійним учасником ринків капіталу та організованих товарних ринків системи внутрішнього контролю та забезпечення функціонування такої системи є невід’ємною частиною його професійної діяльності на ринках капіталу та організованих товарних ринках.</w:t>
            </w:r>
          </w:p>
        </w:tc>
        <w:tc>
          <w:tcPr>
            <w:tcW w:w="3686" w:type="dxa"/>
          </w:tcPr>
          <w:p w14:paraId="6CA0BD54" w14:textId="77777777" w:rsidR="00826C07" w:rsidRPr="00286216" w:rsidRDefault="00826C07" w:rsidP="00826C07">
            <w:pPr>
              <w:pStyle w:val="StyleProp"/>
              <w:rPr>
                <w:color w:val="000000" w:themeColor="text1"/>
                <w:szCs w:val="18"/>
              </w:rPr>
            </w:pPr>
          </w:p>
        </w:tc>
        <w:tc>
          <w:tcPr>
            <w:tcW w:w="1987" w:type="dxa"/>
          </w:tcPr>
          <w:p w14:paraId="6D8C3261" w14:textId="77777777" w:rsidR="00826C07" w:rsidRPr="00286216" w:rsidRDefault="00826C07" w:rsidP="00826C07">
            <w:pPr>
              <w:pStyle w:val="StyleWisnow"/>
              <w:rPr>
                <w:color w:val="000000" w:themeColor="text1"/>
              </w:rPr>
            </w:pPr>
          </w:p>
        </w:tc>
        <w:tc>
          <w:tcPr>
            <w:tcW w:w="4818" w:type="dxa"/>
          </w:tcPr>
          <w:p w14:paraId="36759E9D" w14:textId="77777777" w:rsidR="00826C07" w:rsidRPr="00286216" w:rsidRDefault="00826C07" w:rsidP="00826C07">
            <w:pPr>
              <w:pStyle w:val="StyleZakonu"/>
              <w:rPr>
                <w:color w:val="000000" w:themeColor="text1"/>
              </w:rPr>
            </w:pPr>
          </w:p>
        </w:tc>
      </w:tr>
      <w:tr w:rsidR="00826C07" w:rsidRPr="00286216" w14:paraId="6D86C7AB" w14:textId="77777777" w:rsidTr="00091AA5">
        <w:tc>
          <w:tcPr>
            <w:tcW w:w="576" w:type="dxa"/>
          </w:tcPr>
          <w:p w14:paraId="5393BFDD" w14:textId="77777777" w:rsidR="00826C07" w:rsidRPr="00286216" w:rsidRDefault="00826C07" w:rsidP="00826C07">
            <w:pPr>
              <w:pStyle w:val="StyleWisnow"/>
              <w:rPr>
                <w:color w:val="000000" w:themeColor="text1"/>
              </w:rPr>
            </w:pPr>
            <w:bookmarkStart w:id="1022" w:name="n1289" w:colFirst="0" w:colLast="0"/>
            <w:bookmarkEnd w:id="1021"/>
            <w:r w:rsidRPr="00286216">
              <w:rPr>
                <w:color w:val="000000" w:themeColor="text1"/>
              </w:rPr>
              <w:t>1289.</w:t>
            </w:r>
          </w:p>
        </w:tc>
        <w:tc>
          <w:tcPr>
            <w:tcW w:w="4818" w:type="dxa"/>
          </w:tcPr>
          <w:p w14:paraId="66345654" w14:textId="77777777" w:rsidR="00826C07" w:rsidRPr="00286216" w:rsidRDefault="00826C07" w:rsidP="00826C07">
            <w:pPr>
              <w:pStyle w:val="StyleZakonu"/>
              <w:rPr>
                <w:color w:val="000000" w:themeColor="text1"/>
              </w:rPr>
            </w:pPr>
            <w:r w:rsidRPr="00286216">
              <w:rPr>
                <w:color w:val="000000" w:themeColor="text1"/>
              </w:rPr>
              <w:t>4. Загальні збори акціонерів (учасників) професійного учасника ринків капіталу та організованих товарних ринків є його вищим органом.</w:t>
            </w:r>
          </w:p>
        </w:tc>
        <w:tc>
          <w:tcPr>
            <w:tcW w:w="3686" w:type="dxa"/>
          </w:tcPr>
          <w:p w14:paraId="00E0B494" w14:textId="77777777" w:rsidR="00826C07" w:rsidRPr="00286216" w:rsidRDefault="00826C07" w:rsidP="00826C07">
            <w:pPr>
              <w:pStyle w:val="StyleProp"/>
              <w:rPr>
                <w:color w:val="000000" w:themeColor="text1"/>
                <w:szCs w:val="18"/>
              </w:rPr>
            </w:pPr>
          </w:p>
        </w:tc>
        <w:tc>
          <w:tcPr>
            <w:tcW w:w="1987" w:type="dxa"/>
          </w:tcPr>
          <w:p w14:paraId="477C3FFF" w14:textId="77777777" w:rsidR="00826C07" w:rsidRPr="00286216" w:rsidRDefault="00826C07" w:rsidP="00826C07">
            <w:pPr>
              <w:pStyle w:val="StyleWisnow"/>
              <w:rPr>
                <w:color w:val="000000" w:themeColor="text1"/>
              </w:rPr>
            </w:pPr>
          </w:p>
        </w:tc>
        <w:tc>
          <w:tcPr>
            <w:tcW w:w="4818" w:type="dxa"/>
          </w:tcPr>
          <w:p w14:paraId="04AFF641" w14:textId="77777777" w:rsidR="00826C07" w:rsidRPr="00286216" w:rsidRDefault="00826C07" w:rsidP="00826C07">
            <w:pPr>
              <w:pStyle w:val="StyleZakonu"/>
              <w:rPr>
                <w:color w:val="000000" w:themeColor="text1"/>
              </w:rPr>
            </w:pPr>
          </w:p>
        </w:tc>
      </w:tr>
      <w:tr w:rsidR="00826C07" w:rsidRPr="00286216" w14:paraId="3ECD7992" w14:textId="77777777" w:rsidTr="00091AA5">
        <w:tc>
          <w:tcPr>
            <w:tcW w:w="576" w:type="dxa"/>
          </w:tcPr>
          <w:p w14:paraId="66A6E3D4" w14:textId="77777777" w:rsidR="00826C07" w:rsidRPr="00286216" w:rsidRDefault="00826C07" w:rsidP="00826C07">
            <w:pPr>
              <w:pStyle w:val="StyleWisnow"/>
              <w:rPr>
                <w:color w:val="000000" w:themeColor="text1"/>
              </w:rPr>
            </w:pPr>
            <w:bookmarkStart w:id="1023" w:name="n1290" w:colFirst="0" w:colLast="0"/>
            <w:bookmarkEnd w:id="1022"/>
            <w:r w:rsidRPr="00286216">
              <w:rPr>
                <w:color w:val="000000" w:themeColor="text1"/>
              </w:rPr>
              <w:t>1290.</w:t>
            </w:r>
          </w:p>
        </w:tc>
        <w:tc>
          <w:tcPr>
            <w:tcW w:w="4818" w:type="dxa"/>
          </w:tcPr>
          <w:p w14:paraId="2B7F2DD5" w14:textId="77777777" w:rsidR="00826C07" w:rsidRPr="00286216" w:rsidRDefault="00826C07" w:rsidP="00826C07">
            <w:pPr>
              <w:pStyle w:val="StyleZakonu"/>
              <w:rPr>
                <w:color w:val="000000" w:themeColor="text1"/>
              </w:rPr>
            </w:pPr>
            <w:r w:rsidRPr="00286216">
              <w:rPr>
                <w:color w:val="000000" w:themeColor="text1"/>
              </w:rPr>
              <w:t>Компетенція загальних зборів професійного учасника ринків капіталу та організованих товарних ринків визначається законодавством в залежності від організаційно-правової форми в якій він функціонує.</w:t>
            </w:r>
          </w:p>
        </w:tc>
        <w:tc>
          <w:tcPr>
            <w:tcW w:w="3686" w:type="dxa"/>
          </w:tcPr>
          <w:p w14:paraId="490E1AD9" w14:textId="77777777" w:rsidR="00826C07" w:rsidRPr="00286216" w:rsidRDefault="00826C07" w:rsidP="00826C07">
            <w:pPr>
              <w:pStyle w:val="StyleProp"/>
              <w:rPr>
                <w:color w:val="000000" w:themeColor="text1"/>
                <w:szCs w:val="18"/>
              </w:rPr>
            </w:pPr>
          </w:p>
        </w:tc>
        <w:tc>
          <w:tcPr>
            <w:tcW w:w="1987" w:type="dxa"/>
          </w:tcPr>
          <w:p w14:paraId="3D28C1D6" w14:textId="77777777" w:rsidR="00826C07" w:rsidRPr="00286216" w:rsidRDefault="00826C07" w:rsidP="00826C07">
            <w:pPr>
              <w:pStyle w:val="StyleWisnow"/>
              <w:rPr>
                <w:color w:val="000000" w:themeColor="text1"/>
              </w:rPr>
            </w:pPr>
          </w:p>
        </w:tc>
        <w:tc>
          <w:tcPr>
            <w:tcW w:w="4818" w:type="dxa"/>
          </w:tcPr>
          <w:p w14:paraId="5FA101C3" w14:textId="77777777" w:rsidR="00826C07" w:rsidRPr="00286216" w:rsidRDefault="00826C07" w:rsidP="00826C07">
            <w:pPr>
              <w:pStyle w:val="StyleZakonu"/>
              <w:rPr>
                <w:color w:val="000000" w:themeColor="text1"/>
              </w:rPr>
            </w:pPr>
          </w:p>
        </w:tc>
      </w:tr>
      <w:tr w:rsidR="00826C07" w:rsidRPr="00286216" w14:paraId="18215B8C" w14:textId="77777777" w:rsidTr="00091AA5">
        <w:tc>
          <w:tcPr>
            <w:tcW w:w="576" w:type="dxa"/>
          </w:tcPr>
          <w:p w14:paraId="6BBDA6CF" w14:textId="77777777" w:rsidR="00826C07" w:rsidRPr="00286216" w:rsidRDefault="00826C07" w:rsidP="00826C07">
            <w:pPr>
              <w:pStyle w:val="StyleWisnow"/>
              <w:rPr>
                <w:color w:val="000000" w:themeColor="text1"/>
              </w:rPr>
            </w:pPr>
            <w:bookmarkStart w:id="1024" w:name="n1291" w:colFirst="0" w:colLast="0"/>
            <w:bookmarkEnd w:id="1023"/>
            <w:r w:rsidRPr="00286216">
              <w:rPr>
                <w:color w:val="000000" w:themeColor="text1"/>
              </w:rPr>
              <w:t>1291.</w:t>
            </w:r>
          </w:p>
        </w:tc>
        <w:tc>
          <w:tcPr>
            <w:tcW w:w="4818" w:type="dxa"/>
          </w:tcPr>
          <w:p w14:paraId="65B54C0E" w14:textId="77777777" w:rsidR="00826C07" w:rsidRPr="00286216" w:rsidRDefault="00826C07" w:rsidP="00826C07">
            <w:pPr>
              <w:pStyle w:val="StyleZakonu"/>
              <w:rPr>
                <w:color w:val="000000" w:themeColor="text1"/>
              </w:rPr>
            </w:pPr>
            <w:r w:rsidRPr="00286216">
              <w:rPr>
                <w:color w:val="000000" w:themeColor="text1"/>
              </w:rPr>
              <w:t>5. В професійних учасниках ринків капіталу та організованих товарних ринків, незалежно від організаційно-правової форми, створюється наглядова рада.</w:t>
            </w:r>
          </w:p>
        </w:tc>
        <w:tc>
          <w:tcPr>
            <w:tcW w:w="3686" w:type="dxa"/>
          </w:tcPr>
          <w:p w14:paraId="7733B4D6" w14:textId="07018471"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809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5AD6A55"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Абзац перший частини п'ятої статті 72 Закону «Про ринки капіталу та організовані товарні ринки» після слів</w:t>
            </w:r>
            <w:r w:rsidRPr="00286216">
              <w:rPr>
                <w:color w:val="000000" w:themeColor="text1"/>
                <w:szCs w:val="18"/>
              </w:rPr>
              <w:t xml:space="preserve"> "товарних ринків" доповнити словами "</w:t>
            </w:r>
            <w:r w:rsidRPr="00286216">
              <w:rPr>
                <w:rFonts w:eastAsia="Calibri"/>
                <w:color w:val="000000" w:themeColor="text1"/>
                <w:szCs w:val="18"/>
              </w:rPr>
              <w:t>які є підприємствами, що становлять суспільний інтерес".</w:t>
            </w:r>
          </w:p>
          <w:p w14:paraId="38D50AA2" w14:textId="77777777" w:rsidR="00826C07" w:rsidRPr="00286216" w:rsidRDefault="00826C07" w:rsidP="00826C07">
            <w:pPr>
              <w:pStyle w:val="StyleProp"/>
              <w:rPr>
                <w:color w:val="000000" w:themeColor="text1"/>
                <w:szCs w:val="18"/>
              </w:rPr>
            </w:pPr>
          </w:p>
        </w:tc>
        <w:tc>
          <w:tcPr>
            <w:tcW w:w="1987" w:type="dxa"/>
          </w:tcPr>
          <w:p w14:paraId="6005B4D4"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по суті</w:t>
            </w:r>
          </w:p>
          <w:p w14:paraId="55F709E6"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72</w:t>
            </w:r>
          </w:p>
        </w:tc>
        <w:tc>
          <w:tcPr>
            <w:tcW w:w="4818" w:type="dxa"/>
          </w:tcPr>
          <w:p w14:paraId="01439114" w14:textId="77777777" w:rsidR="00826C07" w:rsidRPr="00286216" w:rsidRDefault="00826C07" w:rsidP="00826C07">
            <w:pPr>
              <w:pStyle w:val="StyleZakonu"/>
              <w:rPr>
                <w:color w:val="000000" w:themeColor="text1"/>
              </w:rPr>
            </w:pPr>
          </w:p>
        </w:tc>
      </w:tr>
      <w:tr w:rsidR="00826C07" w:rsidRPr="00286216" w14:paraId="2EE990F8" w14:textId="77777777" w:rsidTr="00091AA5">
        <w:tc>
          <w:tcPr>
            <w:tcW w:w="576" w:type="dxa"/>
          </w:tcPr>
          <w:p w14:paraId="52C1D4F0" w14:textId="77777777" w:rsidR="00826C07" w:rsidRPr="00286216" w:rsidRDefault="00826C07" w:rsidP="00826C07">
            <w:pPr>
              <w:pStyle w:val="StyleWisnow"/>
              <w:rPr>
                <w:color w:val="000000" w:themeColor="text1"/>
              </w:rPr>
            </w:pPr>
            <w:bookmarkStart w:id="1025" w:name="n1292" w:colFirst="0" w:colLast="0"/>
            <w:bookmarkEnd w:id="1024"/>
            <w:r w:rsidRPr="00286216">
              <w:rPr>
                <w:color w:val="000000" w:themeColor="text1"/>
              </w:rPr>
              <w:t>1292.</w:t>
            </w:r>
          </w:p>
        </w:tc>
        <w:tc>
          <w:tcPr>
            <w:tcW w:w="4818" w:type="dxa"/>
          </w:tcPr>
          <w:p w14:paraId="7112E0AD" w14:textId="77777777" w:rsidR="00826C07" w:rsidRPr="00286216" w:rsidRDefault="00826C07" w:rsidP="00826C07">
            <w:pPr>
              <w:pStyle w:val="StyleZakonu"/>
              <w:rPr>
                <w:color w:val="000000" w:themeColor="text1"/>
              </w:rPr>
            </w:pPr>
            <w:r w:rsidRPr="00286216">
              <w:rPr>
                <w:color w:val="000000" w:themeColor="text1"/>
              </w:rPr>
              <w:t>Порядок формування наглядової ради професійного учасника ринків капіталу та організованих товарних ринків, що функціонує у формі акціонерного товариства, встановлюється Законом України "Про акціонерні товариства".</w:t>
            </w:r>
          </w:p>
        </w:tc>
        <w:tc>
          <w:tcPr>
            <w:tcW w:w="3686" w:type="dxa"/>
          </w:tcPr>
          <w:p w14:paraId="7C423B24" w14:textId="75816B9E" w:rsidR="00826C07" w:rsidRPr="00286216" w:rsidRDefault="00826C07" w:rsidP="00826C07">
            <w:pPr>
              <w:pStyle w:val="StyleAwt"/>
              <w:rPr>
                <w:color w:val="000000" w:themeColor="text1"/>
                <w:spacing w:val="-6"/>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810</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spacing w:val="-6"/>
              </w:rPr>
              <w:t>Н.д.Бондарєв К.А. (Реєстр.картка №400)</w:t>
            </w:r>
          </w:p>
          <w:p w14:paraId="13E3BC4E" w14:textId="77777777" w:rsidR="00826C07" w:rsidRPr="00286216" w:rsidRDefault="00826C07" w:rsidP="00826C07">
            <w:pPr>
              <w:pStyle w:val="StyleProp"/>
              <w:rPr>
                <w:color w:val="000000" w:themeColor="text1"/>
              </w:rPr>
            </w:pPr>
            <w:r w:rsidRPr="00286216">
              <w:rPr>
                <w:color w:val="000000" w:themeColor="text1"/>
              </w:rPr>
              <w:t>У статті 72 абзаци другий та третій об’єднати та викласти в такій редакції:</w:t>
            </w:r>
          </w:p>
          <w:p w14:paraId="22BBC94A" w14:textId="77777777" w:rsidR="00826C07" w:rsidRPr="00286216" w:rsidRDefault="00826C07" w:rsidP="00826C07">
            <w:pPr>
              <w:pStyle w:val="StyleProp"/>
              <w:rPr>
                <w:color w:val="000000" w:themeColor="text1"/>
                <w:szCs w:val="18"/>
              </w:rPr>
            </w:pPr>
            <w:r w:rsidRPr="00286216">
              <w:rPr>
                <w:color w:val="000000" w:themeColor="text1"/>
              </w:rPr>
              <w:t>«Порядок формування наглядової ради професійного учасника ринків капіталу та організованих товарних ринків, що функціонує у формі акціонерного товариства, товариства з обмеженою відповідальністю або товариства з додатковою відповідальністю встановлюється статутом такого товариства, що відповідає та не суперечить нормам Закону відповідно до якого такі товариства створені.»</w:t>
            </w:r>
          </w:p>
        </w:tc>
        <w:tc>
          <w:tcPr>
            <w:tcW w:w="1987" w:type="dxa"/>
          </w:tcPr>
          <w:p w14:paraId="1925E444"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5DB2CA03" w14:textId="77777777" w:rsidR="00826C07" w:rsidRPr="00286216" w:rsidRDefault="00826C07" w:rsidP="00826C07">
            <w:pPr>
              <w:pStyle w:val="StyleWisnow"/>
              <w:rPr>
                <w:color w:val="000000" w:themeColor="text1"/>
              </w:rPr>
            </w:pPr>
            <w:r w:rsidRPr="00286216">
              <w:rPr>
                <w:color w:val="000000" w:themeColor="text1"/>
              </w:rPr>
              <w:t>у запропонованій  редакції статті 72</w:t>
            </w:r>
          </w:p>
        </w:tc>
        <w:tc>
          <w:tcPr>
            <w:tcW w:w="4818" w:type="dxa"/>
          </w:tcPr>
          <w:p w14:paraId="2EFCAF9B" w14:textId="77777777" w:rsidR="00826C07" w:rsidRPr="00286216" w:rsidRDefault="00826C07" w:rsidP="00826C07">
            <w:pPr>
              <w:pStyle w:val="StyleZakonu"/>
              <w:rPr>
                <w:color w:val="000000" w:themeColor="text1"/>
              </w:rPr>
            </w:pPr>
          </w:p>
        </w:tc>
      </w:tr>
      <w:tr w:rsidR="00826C07" w:rsidRPr="00286216" w14:paraId="67330D3C" w14:textId="77777777" w:rsidTr="00091AA5">
        <w:tc>
          <w:tcPr>
            <w:tcW w:w="576" w:type="dxa"/>
          </w:tcPr>
          <w:p w14:paraId="516B54C2" w14:textId="77777777" w:rsidR="00826C07" w:rsidRPr="00286216" w:rsidRDefault="00826C07" w:rsidP="00826C07">
            <w:pPr>
              <w:pStyle w:val="StyleWisnow"/>
              <w:rPr>
                <w:color w:val="000000" w:themeColor="text1"/>
              </w:rPr>
            </w:pPr>
            <w:bookmarkStart w:id="1026" w:name="n1293" w:colFirst="0" w:colLast="0"/>
            <w:bookmarkEnd w:id="1025"/>
            <w:r w:rsidRPr="00286216">
              <w:rPr>
                <w:color w:val="000000" w:themeColor="text1"/>
              </w:rPr>
              <w:t>1293.</w:t>
            </w:r>
          </w:p>
        </w:tc>
        <w:tc>
          <w:tcPr>
            <w:tcW w:w="4818" w:type="dxa"/>
          </w:tcPr>
          <w:p w14:paraId="1D9F6813" w14:textId="77777777" w:rsidR="00826C07" w:rsidRPr="00286216" w:rsidRDefault="00826C07" w:rsidP="00826C07">
            <w:pPr>
              <w:pStyle w:val="StyleZakonu"/>
              <w:rPr>
                <w:color w:val="000000" w:themeColor="text1"/>
              </w:rPr>
            </w:pPr>
            <w:r w:rsidRPr="00286216">
              <w:rPr>
                <w:color w:val="000000" w:themeColor="text1"/>
              </w:rPr>
              <w:t xml:space="preserve">Порядок формування наглядової ради професійного учасника ринків капіталу та організованих товарних ринків, що функціонує у формі товариства з обмеженою відповідальністю або товариства з додатковою відповідальністю, </w:t>
            </w:r>
            <w:r w:rsidRPr="00286216">
              <w:rPr>
                <w:color w:val="000000" w:themeColor="text1"/>
              </w:rPr>
              <w:lastRenderedPageBreak/>
              <w:t>встановлюється статутом такого товариства.</w:t>
            </w:r>
          </w:p>
        </w:tc>
        <w:tc>
          <w:tcPr>
            <w:tcW w:w="3686" w:type="dxa"/>
          </w:tcPr>
          <w:p w14:paraId="07687354" w14:textId="77777777" w:rsidR="00826C07" w:rsidRPr="00286216" w:rsidRDefault="00826C07" w:rsidP="00826C07">
            <w:pPr>
              <w:pStyle w:val="StyleProp"/>
              <w:rPr>
                <w:color w:val="000000" w:themeColor="text1"/>
                <w:szCs w:val="18"/>
              </w:rPr>
            </w:pPr>
          </w:p>
        </w:tc>
        <w:tc>
          <w:tcPr>
            <w:tcW w:w="1987" w:type="dxa"/>
          </w:tcPr>
          <w:p w14:paraId="4D1D0980" w14:textId="77777777" w:rsidR="00826C07" w:rsidRPr="00286216" w:rsidRDefault="00826C07" w:rsidP="00826C07">
            <w:pPr>
              <w:pStyle w:val="StyleWisnow"/>
              <w:spacing w:line="180" w:lineRule="exact"/>
              <w:rPr>
                <w:rFonts w:eastAsia="Calibri"/>
                <w:color w:val="000000" w:themeColor="text1"/>
              </w:rPr>
            </w:pPr>
          </w:p>
        </w:tc>
        <w:tc>
          <w:tcPr>
            <w:tcW w:w="4818" w:type="dxa"/>
          </w:tcPr>
          <w:p w14:paraId="6E023EE0" w14:textId="77777777" w:rsidR="00826C07" w:rsidRPr="00286216" w:rsidRDefault="00826C07" w:rsidP="00826C07">
            <w:pPr>
              <w:pStyle w:val="StyleZakonu"/>
              <w:rPr>
                <w:color w:val="000000" w:themeColor="text1"/>
              </w:rPr>
            </w:pPr>
          </w:p>
        </w:tc>
      </w:tr>
      <w:tr w:rsidR="00826C07" w:rsidRPr="00286216" w14:paraId="52E862D1" w14:textId="77777777" w:rsidTr="00091AA5">
        <w:tc>
          <w:tcPr>
            <w:tcW w:w="576" w:type="dxa"/>
          </w:tcPr>
          <w:p w14:paraId="2C8FAC5C" w14:textId="77777777" w:rsidR="00826C07" w:rsidRPr="00286216" w:rsidRDefault="00826C07" w:rsidP="00826C07">
            <w:pPr>
              <w:pStyle w:val="StyleWisnow"/>
              <w:rPr>
                <w:color w:val="000000" w:themeColor="text1"/>
              </w:rPr>
            </w:pPr>
            <w:bookmarkStart w:id="1027" w:name="n1294" w:colFirst="0" w:colLast="0"/>
            <w:bookmarkEnd w:id="1026"/>
            <w:r w:rsidRPr="00286216">
              <w:rPr>
                <w:color w:val="000000" w:themeColor="text1"/>
              </w:rPr>
              <w:t>1294.</w:t>
            </w:r>
          </w:p>
        </w:tc>
        <w:tc>
          <w:tcPr>
            <w:tcW w:w="4818" w:type="dxa"/>
          </w:tcPr>
          <w:p w14:paraId="1ED41F0A" w14:textId="77777777" w:rsidR="00826C07" w:rsidRPr="00286216" w:rsidRDefault="00826C07" w:rsidP="00826C07">
            <w:pPr>
              <w:pStyle w:val="StyleZakonu"/>
              <w:rPr>
                <w:color w:val="000000" w:themeColor="text1"/>
              </w:rPr>
            </w:pPr>
            <w:r w:rsidRPr="00286216">
              <w:rPr>
                <w:color w:val="000000" w:themeColor="text1"/>
              </w:rPr>
              <w:t>6. Склад наглядової ради професійного учасника ринків капіталу та організованих товарних ринків повинен відповідати особливостям виду його професійної діяльності, характеру й обсягам фінансових та інших послуг, які ним надаються, та ризикам, які властиві такій діяльності та повинен становити не менше ніж 5 особи, якщо більша кількість не встановлена законодавством. Голова наглядової ради професійного учасника ринків капіталу та організованих товарних ринків обирається з числа незалежних членів наглядової ради.</w:t>
            </w:r>
          </w:p>
        </w:tc>
        <w:tc>
          <w:tcPr>
            <w:tcW w:w="3686" w:type="dxa"/>
          </w:tcPr>
          <w:p w14:paraId="4AB77F66" w14:textId="0B4272F9"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811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C9F51CE"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У частині шостій статті 72 Закону «Про ринки капіталу та організовані товарні ринки» цифру «5» замінити на цифру «3».</w:t>
            </w:r>
          </w:p>
          <w:p w14:paraId="07123F4E" w14:textId="77777777" w:rsidR="00826C07" w:rsidRPr="00286216" w:rsidRDefault="00826C07" w:rsidP="00826C07">
            <w:pPr>
              <w:pStyle w:val="StyleProp"/>
              <w:rPr>
                <w:color w:val="000000" w:themeColor="text1"/>
                <w:szCs w:val="18"/>
              </w:rPr>
            </w:pPr>
          </w:p>
          <w:p w14:paraId="6213435D" w14:textId="77777777" w:rsidR="00826C07" w:rsidRPr="00286216" w:rsidRDefault="00826C07" w:rsidP="00826C07">
            <w:pPr>
              <w:pStyle w:val="StyleProp"/>
              <w:rPr>
                <w:color w:val="000000" w:themeColor="text1"/>
                <w:szCs w:val="18"/>
              </w:rPr>
            </w:pPr>
          </w:p>
          <w:p w14:paraId="180C3130" w14:textId="77777777" w:rsidR="00826C07" w:rsidRPr="00286216" w:rsidRDefault="00826C07" w:rsidP="00826C07">
            <w:pPr>
              <w:pStyle w:val="StyleProp"/>
              <w:rPr>
                <w:color w:val="000000" w:themeColor="text1"/>
                <w:szCs w:val="18"/>
              </w:rPr>
            </w:pPr>
          </w:p>
          <w:p w14:paraId="26C7AF38" w14:textId="77777777" w:rsidR="00826C07" w:rsidRPr="00286216" w:rsidRDefault="00826C07" w:rsidP="00826C07">
            <w:pPr>
              <w:pStyle w:val="StyleProp"/>
              <w:rPr>
                <w:color w:val="000000" w:themeColor="text1"/>
                <w:szCs w:val="18"/>
              </w:rPr>
            </w:pPr>
          </w:p>
          <w:p w14:paraId="5599B456" w14:textId="5A0F7EEC"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812</w:t>
            </w:r>
            <w:r w:rsidRPr="00286216">
              <w:rPr>
                <w:color w:val="000000" w:themeColor="text1"/>
                <w:spacing w:val="-4"/>
              </w:rPr>
              <w:fldChar w:fldCharType="end"/>
            </w:r>
            <w:r w:rsidRPr="00286216">
              <w:rPr>
                <w:color w:val="000000" w:themeColor="text1"/>
                <w:spacing w:val="-4"/>
              </w:rPr>
              <w:t>-Н.д.Бєлькова О.В. (Реєстр.картка №403)</w:t>
            </w:r>
          </w:p>
          <w:p w14:paraId="04A81B8A" w14:textId="77777777" w:rsidR="00826C07" w:rsidRPr="00286216" w:rsidRDefault="00826C07" w:rsidP="00826C07">
            <w:pPr>
              <w:pStyle w:val="StyleProp"/>
              <w:rPr>
                <w:color w:val="000000" w:themeColor="text1"/>
              </w:rPr>
            </w:pPr>
            <w:r w:rsidRPr="00286216">
              <w:rPr>
                <w:color w:val="000000" w:themeColor="text1"/>
              </w:rPr>
              <w:t>У частині шостій статті 72 розділу 1 останнє речення виключити.</w:t>
            </w:r>
          </w:p>
        </w:tc>
        <w:tc>
          <w:tcPr>
            <w:tcW w:w="1987" w:type="dxa"/>
          </w:tcPr>
          <w:p w14:paraId="40353DDF" w14:textId="77777777" w:rsidR="00826C07" w:rsidRPr="00286216" w:rsidRDefault="00826C07" w:rsidP="00826C07">
            <w:pPr>
              <w:pStyle w:val="StyleWisnow"/>
              <w:spacing w:line="180" w:lineRule="exact"/>
              <w:rPr>
                <w:rFonts w:eastAsia="Calibri"/>
                <w:color w:val="000000" w:themeColor="text1"/>
              </w:rPr>
            </w:pPr>
            <w:r w:rsidRPr="00286216">
              <w:rPr>
                <w:rFonts w:eastAsia="Calibri"/>
                <w:color w:val="000000" w:themeColor="text1"/>
              </w:rPr>
              <w:t>Відхилено</w:t>
            </w:r>
          </w:p>
          <w:p w14:paraId="55936B74" w14:textId="77777777" w:rsidR="00826C07" w:rsidRPr="00286216" w:rsidRDefault="00826C07" w:rsidP="00826C07">
            <w:pPr>
              <w:pStyle w:val="StyleWisnow"/>
              <w:spacing w:line="180" w:lineRule="exact"/>
              <w:rPr>
                <w:color w:val="000000" w:themeColor="text1"/>
                <w:shd w:val="clear" w:color="auto" w:fill="FFFFFF"/>
              </w:rPr>
            </w:pPr>
            <w:r w:rsidRPr="00286216">
              <w:rPr>
                <w:rFonts w:eastAsia="Calibri"/>
                <w:color w:val="000000" w:themeColor="text1"/>
              </w:rPr>
              <w:t xml:space="preserve">Відповідно до ч.11 ст.53 Закону України "Про акціонерні товариства" </w:t>
            </w:r>
            <w:r w:rsidRPr="00286216">
              <w:rPr>
                <w:color w:val="000000" w:themeColor="text1"/>
                <w:shd w:val="clear" w:color="auto" w:fill="FFFFFF"/>
              </w:rPr>
              <w:t xml:space="preserve">5 осіб. – </w:t>
            </w:r>
            <w:r w:rsidRPr="00286216">
              <w:rPr>
                <w:rFonts w:eastAsia="Calibri"/>
                <w:color w:val="000000" w:themeColor="text1"/>
              </w:rPr>
              <w:t>м</w:t>
            </w:r>
            <w:r w:rsidRPr="00286216">
              <w:rPr>
                <w:color w:val="000000" w:themeColor="text1"/>
                <w:shd w:val="clear" w:color="auto" w:fill="FFFFFF"/>
              </w:rPr>
              <w:t>інімальна кількість членів наглядової ради ПАТ</w:t>
            </w:r>
          </w:p>
          <w:p w14:paraId="138E1A02" w14:textId="77777777" w:rsidR="00826C07" w:rsidRPr="00286216" w:rsidRDefault="00826C07" w:rsidP="00826C07">
            <w:pPr>
              <w:pStyle w:val="StyleWisnow"/>
              <w:spacing w:line="180" w:lineRule="exact"/>
              <w:rPr>
                <w:color w:val="000000" w:themeColor="text1"/>
                <w:shd w:val="clear" w:color="auto" w:fill="FFFFFF"/>
              </w:rPr>
            </w:pPr>
          </w:p>
          <w:p w14:paraId="4D888289"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0904AA60" w14:textId="41A10612" w:rsidR="00826C07" w:rsidRPr="00286216" w:rsidRDefault="00826C07" w:rsidP="00826C07">
            <w:pPr>
              <w:pStyle w:val="StyleWisnow"/>
              <w:spacing w:line="180" w:lineRule="exact"/>
              <w:rPr>
                <w:rFonts w:eastAsia="Calibri"/>
                <w:color w:val="000000" w:themeColor="text1"/>
              </w:rPr>
            </w:pPr>
            <w:r w:rsidRPr="00286216">
              <w:rPr>
                <w:color w:val="000000" w:themeColor="text1"/>
              </w:rPr>
              <w:t>у запропонованій  редакції статті 76</w:t>
            </w:r>
          </w:p>
        </w:tc>
        <w:tc>
          <w:tcPr>
            <w:tcW w:w="4818" w:type="dxa"/>
          </w:tcPr>
          <w:p w14:paraId="1308C7DF" w14:textId="77777777" w:rsidR="00826C07" w:rsidRPr="00286216" w:rsidRDefault="00826C07" w:rsidP="00826C07">
            <w:pPr>
              <w:pStyle w:val="StyleZakonu"/>
              <w:rPr>
                <w:color w:val="000000" w:themeColor="text1"/>
              </w:rPr>
            </w:pPr>
          </w:p>
        </w:tc>
      </w:tr>
      <w:tr w:rsidR="00826C07" w:rsidRPr="00286216" w14:paraId="025FB009" w14:textId="77777777" w:rsidTr="00091AA5">
        <w:tc>
          <w:tcPr>
            <w:tcW w:w="576" w:type="dxa"/>
          </w:tcPr>
          <w:p w14:paraId="3823DD98" w14:textId="77777777" w:rsidR="00826C07" w:rsidRPr="00286216" w:rsidRDefault="00826C07" w:rsidP="00826C07">
            <w:pPr>
              <w:pStyle w:val="StyleWisnow"/>
              <w:rPr>
                <w:color w:val="000000" w:themeColor="text1"/>
              </w:rPr>
            </w:pPr>
            <w:bookmarkStart w:id="1028" w:name="n1295" w:colFirst="0" w:colLast="0"/>
            <w:bookmarkEnd w:id="1027"/>
            <w:r w:rsidRPr="00286216">
              <w:rPr>
                <w:color w:val="000000" w:themeColor="text1"/>
              </w:rPr>
              <w:t>1295.</w:t>
            </w:r>
          </w:p>
        </w:tc>
        <w:tc>
          <w:tcPr>
            <w:tcW w:w="4818" w:type="dxa"/>
          </w:tcPr>
          <w:p w14:paraId="52F8D8C0" w14:textId="77777777" w:rsidR="00826C07" w:rsidRPr="00286216" w:rsidRDefault="00826C07" w:rsidP="00826C07">
            <w:pPr>
              <w:pStyle w:val="StyleZakonu"/>
              <w:rPr>
                <w:color w:val="000000" w:themeColor="text1"/>
              </w:rPr>
            </w:pPr>
            <w:bookmarkStart w:id="1029" w:name="_Ref18771877"/>
            <w:r w:rsidRPr="00286216">
              <w:rPr>
                <w:color w:val="000000" w:themeColor="text1"/>
              </w:rPr>
              <w:t>7. Наглядова рада професійного учасника ринків капіталу та організованих товарних ринків створює постійно діючі комітети:</w:t>
            </w:r>
            <w:bookmarkEnd w:id="1029"/>
          </w:p>
        </w:tc>
        <w:tc>
          <w:tcPr>
            <w:tcW w:w="3686" w:type="dxa"/>
          </w:tcPr>
          <w:p w14:paraId="2FA010FF" w14:textId="4D66A1EF"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813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AB8D8E9" w14:textId="77777777" w:rsidR="00826C07" w:rsidRPr="00286216" w:rsidRDefault="00826C07" w:rsidP="00826C07">
            <w:pPr>
              <w:pStyle w:val="StyleProp"/>
              <w:rPr>
                <w:rFonts w:eastAsia="Calibri"/>
                <w:color w:val="000000" w:themeColor="text1"/>
                <w:szCs w:val="18"/>
              </w:rPr>
            </w:pPr>
            <w:r w:rsidRPr="00286216">
              <w:rPr>
                <w:rFonts w:eastAsia="Calibri"/>
                <w:color w:val="000000" w:themeColor="text1"/>
                <w:szCs w:val="18"/>
              </w:rPr>
              <w:t>У частині 7 статті 72 після слів «Наглядова рада професійного учасника ринків капіталу та організованих товарних ринків» додати слова: «який є підприємством, шо становить суспільний інтерес або є системно-важливими професійними учасниками».</w:t>
            </w:r>
          </w:p>
        </w:tc>
        <w:tc>
          <w:tcPr>
            <w:tcW w:w="1987" w:type="dxa"/>
          </w:tcPr>
          <w:p w14:paraId="1066270F"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p w14:paraId="39F517B5" w14:textId="5972C8B0"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76</w:t>
            </w:r>
          </w:p>
        </w:tc>
        <w:tc>
          <w:tcPr>
            <w:tcW w:w="4818" w:type="dxa"/>
          </w:tcPr>
          <w:p w14:paraId="0A9B4982" w14:textId="77777777" w:rsidR="00826C07" w:rsidRPr="00286216" w:rsidRDefault="00826C07" w:rsidP="00826C07">
            <w:pPr>
              <w:pStyle w:val="StyleZakonu"/>
              <w:rPr>
                <w:color w:val="000000" w:themeColor="text1"/>
              </w:rPr>
            </w:pPr>
          </w:p>
        </w:tc>
      </w:tr>
      <w:tr w:rsidR="00826C07" w:rsidRPr="00286216" w14:paraId="5B3D3B81" w14:textId="77777777" w:rsidTr="00091AA5">
        <w:tc>
          <w:tcPr>
            <w:tcW w:w="576" w:type="dxa"/>
          </w:tcPr>
          <w:p w14:paraId="2BF0F867" w14:textId="77777777" w:rsidR="00826C07" w:rsidRPr="00286216" w:rsidRDefault="00826C07" w:rsidP="00826C07">
            <w:pPr>
              <w:pStyle w:val="StyleWisnow"/>
              <w:rPr>
                <w:color w:val="000000" w:themeColor="text1"/>
              </w:rPr>
            </w:pPr>
            <w:bookmarkStart w:id="1030" w:name="n1296" w:colFirst="0" w:colLast="0"/>
            <w:bookmarkEnd w:id="1028"/>
            <w:r w:rsidRPr="00286216">
              <w:rPr>
                <w:color w:val="000000" w:themeColor="text1"/>
              </w:rPr>
              <w:t>1296.</w:t>
            </w:r>
          </w:p>
        </w:tc>
        <w:tc>
          <w:tcPr>
            <w:tcW w:w="4818" w:type="dxa"/>
          </w:tcPr>
          <w:p w14:paraId="56764490" w14:textId="77777777" w:rsidR="00826C07" w:rsidRPr="00286216" w:rsidRDefault="00826C07" w:rsidP="00826C07">
            <w:pPr>
              <w:pStyle w:val="StyleZakonu"/>
              <w:rPr>
                <w:color w:val="000000" w:themeColor="text1"/>
              </w:rPr>
            </w:pPr>
            <w:r w:rsidRPr="00286216">
              <w:rPr>
                <w:color w:val="000000" w:themeColor="text1"/>
              </w:rPr>
              <w:t>1) комітет з питань аудиту (аудиторський комітет);</w:t>
            </w:r>
          </w:p>
        </w:tc>
        <w:tc>
          <w:tcPr>
            <w:tcW w:w="3686" w:type="dxa"/>
          </w:tcPr>
          <w:p w14:paraId="12311B30" w14:textId="77777777" w:rsidR="00826C07" w:rsidRPr="00286216" w:rsidRDefault="00826C07" w:rsidP="00826C07">
            <w:pPr>
              <w:pStyle w:val="StyleProp"/>
              <w:rPr>
                <w:color w:val="000000" w:themeColor="text1"/>
                <w:szCs w:val="18"/>
              </w:rPr>
            </w:pPr>
          </w:p>
        </w:tc>
        <w:tc>
          <w:tcPr>
            <w:tcW w:w="1987" w:type="dxa"/>
          </w:tcPr>
          <w:p w14:paraId="00ECAFDF" w14:textId="77777777" w:rsidR="00826C07" w:rsidRPr="00286216" w:rsidRDefault="00826C07" w:rsidP="00826C07">
            <w:pPr>
              <w:pStyle w:val="StyleWisnow"/>
              <w:spacing w:line="180" w:lineRule="exact"/>
              <w:rPr>
                <w:rFonts w:eastAsia="Calibri"/>
                <w:color w:val="000000" w:themeColor="text1"/>
              </w:rPr>
            </w:pPr>
          </w:p>
        </w:tc>
        <w:tc>
          <w:tcPr>
            <w:tcW w:w="4818" w:type="dxa"/>
          </w:tcPr>
          <w:p w14:paraId="1323B0AB" w14:textId="77777777" w:rsidR="00826C07" w:rsidRPr="00286216" w:rsidRDefault="00826C07" w:rsidP="00826C07">
            <w:pPr>
              <w:pStyle w:val="StyleZakonu"/>
              <w:rPr>
                <w:color w:val="000000" w:themeColor="text1"/>
              </w:rPr>
            </w:pPr>
          </w:p>
        </w:tc>
      </w:tr>
      <w:tr w:rsidR="00826C07" w:rsidRPr="00286216" w14:paraId="24D6F265" w14:textId="77777777" w:rsidTr="00091AA5">
        <w:tc>
          <w:tcPr>
            <w:tcW w:w="576" w:type="dxa"/>
          </w:tcPr>
          <w:p w14:paraId="5720AFB9" w14:textId="77777777" w:rsidR="00826C07" w:rsidRPr="00286216" w:rsidRDefault="00826C07" w:rsidP="00826C07">
            <w:pPr>
              <w:pStyle w:val="StyleWisnow"/>
              <w:rPr>
                <w:color w:val="000000" w:themeColor="text1"/>
              </w:rPr>
            </w:pPr>
            <w:bookmarkStart w:id="1031" w:name="n1297" w:colFirst="0" w:colLast="0"/>
            <w:bookmarkEnd w:id="1030"/>
            <w:r w:rsidRPr="00286216">
              <w:rPr>
                <w:color w:val="000000" w:themeColor="text1"/>
              </w:rPr>
              <w:t>1297.</w:t>
            </w:r>
          </w:p>
        </w:tc>
        <w:tc>
          <w:tcPr>
            <w:tcW w:w="4818" w:type="dxa"/>
          </w:tcPr>
          <w:p w14:paraId="1C0224ED" w14:textId="77777777" w:rsidR="00826C07" w:rsidRPr="00286216" w:rsidRDefault="00826C07" w:rsidP="00826C07">
            <w:pPr>
              <w:pStyle w:val="StyleZakonu"/>
              <w:rPr>
                <w:color w:val="000000" w:themeColor="text1"/>
              </w:rPr>
            </w:pPr>
            <w:r w:rsidRPr="00286216">
              <w:rPr>
                <w:color w:val="000000" w:themeColor="text1"/>
              </w:rPr>
              <w:t>2) комітет з питань визначення винагороди посадовим особам професійного учасника (комітет з винагород);</w:t>
            </w:r>
          </w:p>
        </w:tc>
        <w:tc>
          <w:tcPr>
            <w:tcW w:w="3686" w:type="dxa"/>
          </w:tcPr>
          <w:p w14:paraId="194F4DF9" w14:textId="6183D3C5"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814</w:t>
            </w:r>
            <w:r w:rsidRPr="00286216">
              <w:rPr>
                <w:color w:val="000000" w:themeColor="text1"/>
              </w:rPr>
              <w:fldChar w:fldCharType="end"/>
            </w:r>
            <w:r w:rsidRPr="00286216">
              <w:rPr>
                <w:color w:val="000000" w:themeColor="text1"/>
              </w:rPr>
              <w:t>-Н.д.Шахов С.В. (Реєстр.картка №114)</w:t>
            </w:r>
          </w:p>
          <w:p w14:paraId="126F13F0"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Ч. 7 ст. 72 викласти у такій редакції:</w:t>
            </w:r>
          </w:p>
          <w:p w14:paraId="4A5CA6CB" w14:textId="77777777" w:rsidR="00826C07" w:rsidRPr="00286216" w:rsidRDefault="00826C07" w:rsidP="00826C07">
            <w:pPr>
              <w:pStyle w:val="StyleProp"/>
              <w:rPr>
                <w:color w:val="000000" w:themeColor="text1"/>
                <w:szCs w:val="18"/>
              </w:rPr>
            </w:pPr>
            <w:r w:rsidRPr="00286216">
              <w:rPr>
                <w:color w:val="000000" w:themeColor="text1"/>
                <w:szCs w:val="18"/>
              </w:rPr>
              <w:t>"7. Наглядова рада професійного учасника ринків капіталу та організованих товарних ринків на підставі свого рішення створює постійно діючі комітети, які зокрема, мають право опікуватися питаннями:</w:t>
            </w:r>
          </w:p>
          <w:p w14:paraId="5F7793F5" w14:textId="77777777" w:rsidR="00826C07" w:rsidRPr="00286216" w:rsidRDefault="00826C07" w:rsidP="00826C07">
            <w:pPr>
              <w:pStyle w:val="StyleProp"/>
              <w:rPr>
                <w:color w:val="000000" w:themeColor="text1"/>
                <w:szCs w:val="18"/>
              </w:rPr>
            </w:pPr>
            <w:r w:rsidRPr="00286216">
              <w:rPr>
                <w:color w:val="000000" w:themeColor="text1"/>
                <w:szCs w:val="18"/>
              </w:rPr>
              <w:t>аудиту діяльності професійного учасника;</w:t>
            </w:r>
          </w:p>
          <w:p w14:paraId="09741285" w14:textId="77777777" w:rsidR="00826C07" w:rsidRPr="00286216" w:rsidRDefault="00826C07" w:rsidP="00826C07">
            <w:pPr>
              <w:pStyle w:val="StyleProp"/>
              <w:rPr>
                <w:color w:val="000000" w:themeColor="text1"/>
                <w:szCs w:val="18"/>
              </w:rPr>
            </w:pPr>
            <w:r w:rsidRPr="00286216">
              <w:rPr>
                <w:color w:val="000000" w:themeColor="text1"/>
                <w:szCs w:val="18"/>
              </w:rPr>
              <w:t>визначення винагороди посадовим особам професійного учасника;</w:t>
            </w:r>
          </w:p>
          <w:p w14:paraId="44F73D1A" w14:textId="77777777" w:rsidR="00826C07" w:rsidRPr="00286216" w:rsidRDefault="00826C07" w:rsidP="00826C07">
            <w:pPr>
              <w:pStyle w:val="StyleProp"/>
              <w:rPr>
                <w:color w:val="000000" w:themeColor="text1"/>
                <w:szCs w:val="18"/>
              </w:rPr>
            </w:pPr>
            <w:r w:rsidRPr="00286216">
              <w:rPr>
                <w:color w:val="000000" w:themeColor="text1"/>
                <w:szCs w:val="18"/>
              </w:rPr>
              <w:t>стратегічного та тактичного планування - розвитку послуг та продуктів, що пропонуються професійним учасником.</w:t>
            </w:r>
          </w:p>
          <w:p w14:paraId="5BEFDE8B" w14:textId="77777777" w:rsidR="00826C07" w:rsidRPr="00286216" w:rsidRDefault="00826C07" w:rsidP="00826C07">
            <w:pPr>
              <w:pStyle w:val="StyleProp"/>
              <w:rPr>
                <w:color w:val="000000" w:themeColor="text1"/>
                <w:szCs w:val="18"/>
              </w:rPr>
            </w:pPr>
            <w:r w:rsidRPr="00286216">
              <w:rPr>
                <w:color w:val="000000" w:themeColor="text1"/>
                <w:szCs w:val="18"/>
              </w:rPr>
              <w:t>Наглядова рада професійного учасника ринків капіталу та організованих товарних ринків може створювати інші постійно діючі та тимчасові комітети.</w:t>
            </w:r>
          </w:p>
          <w:p w14:paraId="1C395B02" w14:textId="77777777" w:rsidR="00826C07" w:rsidRPr="00286216" w:rsidRDefault="00826C07" w:rsidP="00826C07">
            <w:pPr>
              <w:pStyle w:val="StyleProp"/>
              <w:rPr>
                <w:color w:val="000000" w:themeColor="text1"/>
                <w:szCs w:val="18"/>
              </w:rPr>
            </w:pPr>
            <w:r w:rsidRPr="00286216">
              <w:rPr>
                <w:color w:val="000000" w:themeColor="text1"/>
                <w:szCs w:val="18"/>
              </w:rPr>
              <w:t>До складу кожного комітету входить не менше трьох членів наглядової ради.</w:t>
            </w:r>
          </w:p>
          <w:p w14:paraId="5F650D67" w14:textId="77777777" w:rsidR="00826C07" w:rsidRPr="00286216" w:rsidRDefault="00826C07" w:rsidP="00826C07">
            <w:pPr>
              <w:pStyle w:val="StyleProp"/>
              <w:rPr>
                <w:color w:val="000000" w:themeColor="text1"/>
                <w:szCs w:val="18"/>
              </w:rPr>
            </w:pPr>
            <w:r w:rsidRPr="00286216">
              <w:rPr>
                <w:color w:val="000000" w:themeColor="text1"/>
                <w:szCs w:val="18"/>
              </w:rPr>
              <w:t>Голова та більшість членів комітетів наглядової ради професійного учасника ринків капіталу та організованих товарних ринків повинні бути незалежними.</w:t>
            </w:r>
          </w:p>
          <w:p w14:paraId="42C012AB" w14:textId="77777777" w:rsidR="00826C07" w:rsidRPr="00286216" w:rsidRDefault="00826C07" w:rsidP="00826C07">
            <w:pPr>
              <w:pStyle w:val="StyleProp"/>
              <w:rPr>
                <w:color w:val="000000" w:themeColor="text1"/>
                <w:szCs w:val="18"/>
              </w:rPr>
            </w:pPr>
            <w:r w:rsidRPr="00286216">
              <w:rPr>
                <w:color w:val="000000" w:themeColor="text1"/>
                <w:szCs w:val="18"/>
              </w:rPr>
              <w:t>Наглядова рада має право об’єднувати комітети та/або надавати повноваження окремим комітетам розглядати сукупність питань, зазначених в цьому пункті".</w:t>
            </w:r>
          </w:p>
        </w:tc>
        <w:tc>
          <w:tcPr>
            <w:tcW w:w="1987" w:type="dxa"/>
          </w:tcPr>
          <w:p w14:paraId="5D98F353" w14:textId="77777777" w:rsidR="00826C07" w:rsidRPr="00286216" w:rsidRDefault="00826C07" w:rsidP="00826C07">
            <w:pPr>
              <w:pStyle w:val="StyleWisnow"/>
              <w:rPr>
                <w:color w:val="000000" w:themeColor="text1"/>
              </w:rPr>
            </w:pPr>
            <w:r w:rsidRPr="00286216">
              <w:rPr>
                <w:color w:val="000000" w:themeColor="text1"/>
              </w:rPr>
              <w:t>Враховано частково</w:t>
            </w:r>
          </w:p>
          <w:p w14:paraId="4FBBA2C0" w14:textId="2389F436" w:rsidR="00826C07" w:rsidRPr="00286216" w:rsidRDefault="00826C07" w:rsidP="00826C07">
            <w:pPr>
              <w:pStyle w:val="StyleWisnow"/>
              <w:spacing w:line="180" w:lineRule="exact"/>
              <w:rPr>
                <w:rFonts w:eastAsia="Calibri"/>
                <w:color w:val="000000" w:themeColor="text1"/>
              </w:rPr>
            </w:pPr>
            <w:r w:rsidRPr="00286216">
              <w:rPr>
                <w:color w:val="000000" w:themeColor="text1"/>
              </w:rPr>
              <w:t xml:space="preserve">у запропонованій  редакції статті 76 щодо кількісного складу </w:t>
            </w:r>
          </w:p>
        </w:tc>
        <w:tc>
          <w:tcPr>
            <w:tcW w:w="4818" w:type="dxa"/>
          </w:tcPr>
          <w:p w14:paraId="6C5F734B" w14:textId="77777777" w:rsidR="00826C07" w:rsidRPr="00286216" w:rsidRDefault="00826C07" w:rsidP="00826C07">
            <w:pPr>
              <w:pStyle w:val="StyleZakonu"/>
              <w:rPr>
                <w:color w:val="000000" w:themeColor="text1"/>
              </w:rPr>
            </w:pPr>
          </w:p>
        </w:tc>
      </w:tr>
      <w:tr w:rsidR="00826C07" w:rsidRPr="00286216" w14:paraId="1E728811" w14:textId="77777777" w:rsidTr="00091AA5">
        <w:tc>
          <w:tcPr>
            <w:tcW w:w="576" w:type="dxa"/>
          </w:tcPr>
          <w:p w14:paraId="651DC0C4" w14:textId="77777777" w:rsidR="00826C07" w:rsidRPr="00286216" w:rsidRDefault="00826C07" w:rsidP="00826C07">
            <w:pPr>
              <w:pStyle w:val="StyleWisnow"/>
              <w:rPr>
                <w:color w:val="000000" w:themeColor="text1"/>
              </w:rPr>
            </w:pPr>
            <w:bookmarkStart w:id="1032" w:name="n1298" w:colFirst="0" w:colLast="0"/>
            <w:bookmarkEnd w:id="1031"/>
            <w:r w:rsidRPr="00286216">
              <w:rPr>
                <w:color w:val="000000" w:themeColor="text1"/>
              </w:rPr>
              <w:lastRenderedPageBreak/>
              <w:t>1298.</w:t>
            </w:r>
          </w:p>
        </w:tc>
        <w:tc>
          <w:tcPr>
            <w:tcW w:w="4818" w:type="dxa"/>
          </w:tcPr>
          <w:p w14:paraId="41790242" w14:textId="77777777" w:rsidR="00826C07" w:rsidRPr="00286216" w:rsidRDefault="00826C07" w:rsidP="00826C07">
            <w:pPr>
              <w:pStyle w:val="StyleZakonu"/>
              <w:rPr>
                <w:color w:val="000000" w:themeColor="text1"/>
              </w:rPr>
            </w:pPr>
            <w:r w:rsidRPr="00286216">
              <w:rPr>
                <w:color w:val="000000" w:themeColor="text1"/>
              </w:rPr>
              <w:t>3) комітет з питань призначень;</w:t>
            </w:r>
          </w:p>
        </w:tc>
        <w:tc>
          <w:tcPr>
            <w:tcW w:w="3686" w:type="dxa"/>
          </w:tcPr>
          <w:p w14:paraId="5A587CC2" w14:textId="77777777" w:rsidR="00826C07" w:rsidRPr="00286216" w:rsidRDefault="00826C07" w:rsidP="00826C07">
            <w:pPr>
              <w:pStyle w:val="StyleProp"/>
              <w:rPr>
                <w:color w:val="000000" w:themeColor="text1"/>
                <w:szCs w:val="18"/>
              </w:rPr>
            </w:pPr>
          </w:p>
        </w:tc>
        <w:tc>
          <w:tcPr>
            <w:tcW w:w="1987" w:type="dxa"/>
          </w:tcPr>
          <w:p w14:paraId="0FB71611" w14:textId="77777777" w:rsidR="00826C07" w:rsidRPr="00286216" w:rsidRDefault="00826C07" w:rsidP="00826C07">
            <w:pPr>
              <w:pStyle w:val="StyleWisnow"/>
              <w:rPr>
                <w:color w:val="000000" w:themeColor="text1"/>
              </w:rPr>
            </w:pPr>
          </w:p>
        </w:tc>
        <w:tc>
          <w:tcPr>
            <w:tcW w:w="4818" w:type="dxa"/>
          </w:tcPr>
          <w:p w14:paraId="7DD639C0" w14:textId="77777777" w:rsidR="00826C07" w:rsidRPr="00286216" w:rsidRDefault="00826C07" w:rsidP="00826C07">
            <w:pPr>
              <w:pStyle w:val="StyleZakonu"/>
              <w:rPr>
                <w:color w:val="000000" w:themeColor="text1"/>
              </w:rPr>
            </w:pPr>
          </w:p>
        </w:tc>
      </w:tr>
      <w:tr w:rsidR="00826C07" w:rsidRPr="00286216" w14:paraId="2DA72AEB" w14:textId="77777777" w:rsidTr="00091AA5">
        <w:tc>
          <w:tcPr>
            <w:tcW w:w="576" w:type="dxa"/>
          </w:tcPr>
          <w:p w14:paraId="2ADABDD5" w14:textId="77777777" w:rsidR="00826C07" w:rsidRPr="00286216" w:rsidRDefault="00826C07" w:rsidP="00826C07">
            <w:pPr>
              <w:pStyle w:val="StyleWisnow"/>
              <w:rPr>
                <w:color w:val="000000" w:themeColor="text1"/>
              </w:rPr>
            </w:pPr>
            <w:bookmarkStart w:id="1033" w:name="n1299" w:colFirst="0" w:colLast="0"/>
            <w:bookmarkEnd w:id="1032"/>
            <w:r w:rsidRPr="00286216">
              <w:rPr>
                <w:color w:val="000000" w:themeColor="text1"/>
              </w:rPr>
              <w:t>1299.</w:t>
            </w:r>
          </w:p>
        </w:tc>
        <w:tc>
          <w:tcPr>
            <w:tcW w:w="4818" w:type="dxa"/>
          </w:tcPr>
          <w:p w14:paraId="24B15D10" w14:textId="77777777" w:rsidR="00826C07" w:rsidRPr="00286216" w:rsidRDefault="00826C07" w:rsidP="00826C07">
            <w:pPr>
              <w:pStyle w:val="StyleZakonu"/>
              <w:rPr>
                <w:color w:val="000000" w:themeColor="text1"/>
              </w:rPr>
            </w:pPr>
            <w:r w:rsidRPr="00286216">
              <w:rPr>
                <w:color w:val="000000" w:themeColor="text1"/>
              </w:rPr>
              <w:t>4) комітет з управління ризиками.</w:t>
            </w:r>
          </w:p>
        </w:tc>
        <w:tc>
          <w:tcPr>
            <w:tcW w:w="3686" w:type="dxa"/>
          </w:tcPr>
          <w:p w14:paraId="434BE9A2" w14:textId="77777777" w:rsidR="00826C07" w:rsidRPr="00286216" w:rsidRDefault="00826C07" w:rsidP="00826C07">
            <w:pPr>
              <w:pStyle w:val="StyleProp"/>
              <w:rPr>
                <w:color w:val="000000" w:themeColor="text1"/>
                <w:szCs w:val="18"/>
              </w:rPr>
            </w:pPr>
          </w:p>
        </w:tc>
        <w:tc>
          <w:tcPr>
            <w:tcW w:w="1987" w:type="dxa"/>
          </w:tcPr>
          <w:p w14:paraId="524EB5E1" w14:textId="77777777" w:rsidR="00826C07" w:rsidRPr="00286216" w:rsidRDefault="00826C07" w:rsidP="00826C07">
            <w:pPr>
              <w:pStyle w:val="StyleWisnow"/>
              <w:rPr>
                <w:color w:val="000000" w:themeColor="text1"/>
              </w:rPr>
            </w:pPr>
          </w:p>
        </w:tc>
        <w:tc>
          <w:tcPr>
            <w:tcW w:w="4818" w:type="dxa"/>
          </w:tcPr>
          <w:p w14:paraId="30A46443" w14:textId="77777777" w:rsidR="00826C07" w:rsidRPr="00286216" w:rsidRDefault="00826C07" w:rsidP="00826C07">
            <w:pPr>
              <w:pStyle w:val="StyleZakonu"/>
              <w:rPr>
                <w:color w:val="000000" w:themeColor="text1"/>
              </w:rPr>
            </w:pPr>
          </w:p>
        </w:tc>
      </w:tr>
      <w:tr w:rsidR="00826C07" w:rsidRPr="00286216" w14:paraId="5C92879D" w14:textId="77777777" w:rsidTr="00091AA5">
        <w:tc>
          <w:tcPr>
            <w:tcW w:w="576" w:type="dxa"/>
          </w:tcPr>
          <w:p w14:paraId="01264547" w14:textId="77777777" w:rsidR="00826C07" w:rsidRPr="00286216" w:rsidRDefault="00826C07" w:rsidP="00826C07">
            <w:pPr>
              <w:pStyle w:val="StyleWisnow"/>
              <w:rPr>
                <w:color w:val="000000" w:themeColor="text1"/>
              </w:rPr>
            </w:pPr>
            <w:bookmarkStart w:id="1034" w:name="n1300" w:colFirst="0" w:colLast="0"/>
            <w:bookmarkEnd w:id="1033"/>
            <w:r w:rsidRPr="00286216">
              <w:rPr>
                <w:color w:val="000000" w:themeColor="text1"/>
              </w:rPr>
              <w:t>1300.</w:t>
            </w:r>
          </w:p>
        </w:tc>
        <w:tc>
          <w:tcPr>
            <w:tcW w:w="4818" w:type="dxa"/>
          </w:tcPr>
          <w:p w14:paraId="343C6858" w14:textId="77777777" w:rsidR="00826C07" w:rsidRPr="00286216" w:rsidRDefault="00826C07" w:rsidP="00826C07">
            <w:pPr>
              <w:pStyle w:val="StyleZakonu"/>
              <w:rPr>
                <w:color w:val="000000" w:themeColor="text1"/>
              </w:rPr>
            </w:pPr>
            <w:r w:rsidRPr="00286216">
              <w:rPr>
                <w:color w:val="000000" w:themeColor="text1"/>
              </w:rPr>
              <w:t>Наглядова рада професійного учасника ринків капіталу та організованих товарних ринків може створювати інші постійно діючі та тимчасові комітети.</w:t>
            </w:r>
          </w:p>
        </w:tc>
        <w:tc>
          <w:tcPr>
            <w:tcW w:w="3686" w:type="dxa"/>
          </w:tcPr>
          <w:p w14:paraId="0C7BD09D" w14:textId="77777777" w:rsidR="00826C07" w:rsidRPr="00286216" w:rsidRDefault="00826C07" w:rsidP="00826C07">
            <w:pPr>
              <w:pStyle w:val="StyleProp"/>
              <w:rPr>
                <w:color w:val="000000" w:themeColor="text1"/>
                <w:szCs w:val="18"/>
              </w:rPr>
            </w:pPr>
          </w:p>
        </w:tc>
        <w:tc>
          <w:tcPr>
            <w:tcW w:w="1987" w:type="dxa"/>
          </w:tcPr>
          <w:p w14:paraId="04FED172" w14:textId="77777777" w:rsidR="00826C07" w:rsidRPr="00286216" w:rsidRDefault="00826C07" w:rsidP="00826C07">
            <w:pPr>
              <w:pStyle w:val="StyleWisnow"/>
              <w:rPr>
                <w:color w:val="000000" w:themeColor="text1"/>
              </w:rPr>
            </w:pPr>
          </w:p>
        </w:tc>
        <w:tc>
          <w:tcPr>
            <w:tcW w:w="4818" w:type="dxa"/>
          </w:tcPr>
          <w:p w14:paraId="3EB5B94D" w14:textId="77777777" w:rsidR="00826C07" w:rsidRPr="00286216" w:rsidRDefault="00826C07" w:rsidP="00826C07">
            <w:pPr>
              <w:pStyle w:val="StyleZakonu"/>
              <w:rPr>
                <w:color w:val="000000" w:themeColor="text1"/>
              </w:rPr>
            </w:pPr>
          </w:p>
        </w:tc>
      </w:tr>
      <w:tr w:rsidR="00826C07" w:rsidRPr="00286216" w14:paraId="450C5ADE" w14:textId="77777777" w:rsidTr="00091AA5">
        <w:tc>
          <w:tcPr>
            <w:tcW w:w="576" w:type="dxa"/>
          </w:tcPr>
          <w:p w14:paraId="7C6982E0" w14:textId="77777777" w:rsidR="00826C07" w:rsidRPr="00286216" w:rsidRDefault="00826C07" w:rsidP="00826C07">
            <w:pPr>
              <w:pStyle w:val="StyleWisnow"/>
              <w:rPr>
                <w:color w:val="000000" w:themeColor="text1"/>
              </w:rPr>
            </w:pPr>
            <w:bookmarkStart w:id="1035" w:name="n1301" w:colFirst="0" w:colLast="0"/>
            <w:bookmarkEnd w:id="1034"/>
            <w:r w:rsidRPr="00286216">
              <w:rPr>
                <w:color w:val="000000" w:themeColor="text1"/>
              </w:rPr>
              <w:t>1301.</w:t>
            </w:r>
          </w:p>
        </w:tc>
        <w:tc>
          <w:tcPr>
            <w:tcW w:w="4818" w:type="dxa"/>
          </w:tcPr>
          <w:p w14:paraId="76CEBA57" w14:textId="77777777" w:rsidR="00826C07" w:rsidRPr="00286216" w:rsidRDefault="00826C07" w:rsidP="00826C07">
            <w:pPr>
              <w:pStyle w:val="StyleZakonu"/>
              <w:rPr>
                <w:color w:val="000000" w:themeColor="text1"/>
              </w:rPr>
            </w:pPr>
            <w:r w:rsidRPr="00286216">
              <w:rPr>
                <w:color w:val="000000" w:themeColor="text1"/>
              </w:rPr>
              <w:t>До складу кожного комітету входить не менше трьох членів наглядової ради.</w:t>
            </w:r>
          </w:p>
        </w:tc>
        <w:tc>
          <w:tcPr>
            <w:tcW w:w="3686" w:type="dxa"/>
          </w:tcPr>
          <w:p w14:paraId="73CF9C41" w14:textId="150D8802"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815</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EAA652B" w14:textId="77777777" w:rsidR="00826C07" w:rsidRPr="00286216" w:rsidRDefault="00826C07" w:rsidP="006507E8">
            <w:pPr>
              <w:pStyle w:val="StyleProp"/>
              <w:spacing w:line="180" w:lineRule="exact"/>
              <w:rPr>
                <w:rFonts w:eastAsia="Calibri"/>
                <w:color w:val="000000" w:themeColor="text1"/>
                <w:szCs w:val="18"/>
              </w:rPr>
            </w:pPr>
            <w:r w:rsidRPr="00286216">
              <w:rPr>
                <w:rFonts w:eastAsia="Calibri"/>
                <w:color w:val="000000" w:themeColor="text1"/>
                <w:szCs w:val="18"/>
              </w:rPr>
              <w:t>У частині сьомій статті 72 Закону України «Про ринки капіталу та організовані товарні ринки» виключити абзац сьомий «До складу кожного комітету входить не менше трьох членів наглядової ради».</w:t>
            </w:r>
          </w:p>
        </w:tc>
        <w:tc>
          <w:tcPr>
            <w:tcW w:w="1987" w:type="dxa"/>
          </w:tcPr>
          <w:p w14:paraId="69F810B0" w14:textId="77777777" w:rsidR="00826C07" w:rsidRPr="00286216" w:rsidRDefault="00826C07" w:rsidP="00826C07">
            <w:pPr>
              <w:pStyle w:val="StyleWisnow"/>
              <w:spacing w:line="180" w:lineRule="exact"/>
              <w:rPr>
                <w:rFonts w:eastAsia="Calibri"/>
                <w:color w:val="000000" w:themeColor="text1"/>
              </w:rPr>
            </w:pPr>
            <w:r w:rsidRPr="00286216">
              <w:rPr>
                <w:rFonts w:eastAsia="Calibri"/>
                <w:color w:val="000000" w:themeColor="text1"/>
              </w:rPr>
              <w:t>Відхилено</w:t>
            </w:r>
          </w:p>
          <w:p w14:paraId="6CA529B2" w14:textId="77777777" w:rsidR="00826C07" w:rsidRPr="00286216" w:rsidRDefault="00826C07" w:rsidP="00826C07">
            <w:pPr>
              <w:pStyle w:val="StyleWisnow"/>
              <w:spacing w:line="180" w:lineRule="exact"/>
              <w:rPr>
                <w:rFonts w:eastAsia="Calibri"/>
                <w:color w:val="000000" w:themeColor="text1"/>
              </w:rPr>
            </w:pPr>
            <w:r w:rsidRPr="00286216">
              <w:rPr>
                <w:rFonts w:eastAsia="Calibri"/>
                <w:color w:val="000000" w:themeColor="text1"/>
              </w:rPr>
              <w:t>Суперечить ч.4 статті 54</w:t>
            </w:r>
          </w:p>
          <w:p w14:paraId="173D71E0" w14:textId="77777777" w:rsidR="00826C07" w:rsidRPr="00286216" w:rsidRDefault="00826C07" w:rsidP="00826C07">
            <w:pPr>
              <w:pStyle w:val="StyleWisnow"/>
              <w:spacing w:line="180" w:lineRule="exact"/>
              <w:rPr>
                <w:rFonts w:eastAsia="Calibri"/>
                <w:color w:val="000000" w:themeColor="text1"/>
              </w:rPr>
            </w:pPr>
          </w:p>
        </w:tc>
        <w:tc>
          <w:tcPr>
            <w:tcW w:w="4818" w:type="dxa"/>
          </w:tcPr>
          <w:p w14:paraId="2B465A8B" w14:textId="77777777" w:rsidR="00826C07" w:rsidRPr="00286216" w:rsidRDefault="00826C07" w:rsidP="00826C07">
            <w:pPr>
              <w:pStyle w:val="StyleZakonu"/>
              <w:rPr>
                <w:color w:val="000000" w:themeColor="text1"/>
              </w:rPr>
            </w:pPr>
          </w:p>
        </w:tc>
      </w:tr>
      <w:tr w:rsidR="00826C07" w:rsidRPr="00286216" w14:paraId="41846358" w14:textId="77777777" w:rsidTr="00091AA5">
        <w:tc>
          <w:tcPr>
            <w:tcW w:w="576" w:type="dxa"/>
          </w:tcPr>
          <w:p w14:paraId="0606BE5C" w14:textId="77777777" w:rsidR="00826C07" w:rsidRPr="00286216" w:rsidRDefault="00826C07" w:rsidP="00826C07">
            <w:pPr>
              <w:pStyle w:val="StyleWisnow"/>
              <w:rPr>
                <w:color w:val="000000" w:themeColor="text1"/>
              </w:rPr>
            </w:pPr>
            <w:bookmarkStart w:id="1036" w:name="n1302" w:colFirst="0" w:colLast="0"/>
            <w:bookmarkEnd w:id="1035"/>
            <w:r w:rsidRPr="00286216">
              <w:rPr>
                <w:color w:val="000000" w:themeColor="text1"/>
              </w:rPr>
              <w:t>1302.</w:t>
            </w:r>
          </w:p>
        </w:tc>
        <w:tc>
          <w:tcPr>
            <w:tcW w:w="4818" w:type="dxa"/>
          </w:tcPr>
          <w:p w14:paraId="4BC17C61" w14:textId="77777777" w:rsidR="00826C07" w:rsidRPr="00286216" w:rsidRDefault="00826C07" w:rsidP="00826C07">
            <w:pPr>
              <w:pStyle w:val="StyleZakonu"/>
              <w:rPr>
                <w:color w:val="000000" w:themeColor="text1"/>
              </w:rPr>
            </w:pPr>
            <w:r w:rsidRPr="00286216">
              <w:rPr>
                <w:color w:val="000000" w:themeColor="text1"/>
              </w:rPr>
              <w:t>Голова та більшість членів комітетів наглядової ради професійного учасника ринків капіталу та організованих товарних ринків повинні бути незалежними.</w:t>
            </w:r>
          </w:p>
        </w:tc>
        <w:tc>
          <w:tcPr>
            <w:tcW w:w="3686" w:type="dxa"/>
          </w:tcPr>
          <w:p w14:paraId="58CD6E7A" w14:textId="58C730B8" w:rsidR="00826C07" w:rsidRPr="00286216" w:rsidRDefault="00826C07" w:rsidP="00826C07">
            <w:pPr>
              <w:pStyle w:val="StyleAwt"/>
              <w:rPr>
                <w:color w:val="000000" w:themeColor="text1"/>
                <w:spacing w:val="-4"/>
              </w:rPr>
            </w:pP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816</w:t>
            </w:r>
            <w:r w:rsidRPr="00286216">
              <w:rPr>
                <w:color w:val="000000" w:themeColor="text1"/>
                <w:spacing w:val="-4"/>
              </w:rPr>
              <w:fldChar w:fldCharType="end"/>
            </w:r>
            <w:r w:rsidRPr="00286216">
              <w:rPr>
                <w:color w:val="000000" w:themeColor="text1"/>
                <w:spacing w:val="-4"/>
              </w:rPr>
              <w:t>-Н.д.Бєлькова О.В. (Реєстр.картка №403)</w:t>
            </w:r>
          </w:p>
          <w:p w14:paraId="5C1424F8" w14:textId="77777777" w:rsidR="00826C07" w:rsidRPr="00286216" w:rsidRDefault="00826C07" w:rsidP="00826C07">
            <w:pPr>
              <w:pStyle w:val="StyleProp"/>
              <w:rPr>
                <w:color w:val="000000" w:themeColor="text1"/>
              </w:rPr>
            </w:pPr>
            <w:r w:rsidRPr="00286216">
              <w:rPr>
                <w:color w:val="000000" w:themeColor="text1"/>
              </w:rPr>
              <w:t>В абзаці восьмому частини сьомої статті 72 розділу 1 слова “Голова та більшість” замінити словом “Більшість”.</w:t>
            </w:r>
          </w:p>
        </w:tc>
        <w:tc>
          <w:tcPr>
            <w:tcW w:w="1987" w:type="dxa"/>
          </w:tcPr>
          <w:p w14:paraId="0BDB3875" w14:textId="77777777" w:rsidR="00826C07" w:rsidRPr="00286216" w:rsidRDefault="00826C07" w:rsidP="00826C07">
            <w:pPr>
              <w:pStyle w:val="StyleWisnow"/>
              <w:rPr>
                <w:color w:val="000000" w:themeColor="text1"/>
              </w:rPr>
            </w:pPr>
            <w:r w:rsidRPr="00286216">
              <w:rPr>
                <w:color w:val="000000" w:themeColor="text1"/>
              </w:rPr>
              <w:t>Враховано</w:t>
            </w:r>
          </w:p>
          <w:p w14:paraId="7411855E"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статті 72</w:t>
            </w:r>
          </w:p>
        </w:tc>
        <w:tc>
          <w:tcPr>
            <w:tcW w:w="4818" w:type="dxa"/>
          </w:tcPr>
          <w:p w14:paraId="5F364F13" w14:textId="77777777" w:rsidR="00826C07" w:rsidRPr="00286216" w:rsidRDefault="00826C07" w:rsidP="00826C07">
            <w:pPr>
              <w:pStyle w:val="StyleZakonu"/>
              <w:rPr>
                <w:color w:val="000000" w:themeColor="text1"/>
              </w:rPr>
            </w:pPr>
          </w:p>
        </w:tc>
      </w:tr>
      <w:tr w:rsidR="00826C07" w:rsidRPr="00286216" w14:paraId="05895303" w14:textId="77777777" w:rsidTr="00091AA5">
        <w:tc>
          <w:tcPr>
            <w:tcW w:w="576" w:type="dxa"/>
          </w:tcPr>
          <w:p w14:paraId="0EE3FFD6" w14:textId="77777777" w:rsidR="00826C07" w:rsidRPr="00286216" w:rsidRDefault="00826C07" w:rsidP="00826C07">
            <w:pPr>
              <w:pStyle w:val="StyleWisnow"/>
              <w:rPr>
                <w:color w:val="000000" w:themeColor="text1"/>
              </w:rPr>
            </w:pPr>
            <w:bookmarkStart w:id="1037" w:name="n1303" w:colFirst="0" w:colLast="0"/>
            <w:bookmarkEnd w:id="1036"/>
            <w:r w:rsidRPr="00286216">
              <w:rPr>
                <w:color w:val="000000" w:themeColor="text1"/>
              </w:rPr>
              <w:t>1303.</w:t>
            </w:r>
          </w:p>
        </w:tc>
        <w:tc>
          <w:tcPr>
            <w:tcW w:w="4818" w:type="dxa"/>
          </w:tcPr>
          <w:p w14:paraId="5BDA788D" w14:textId="77777777" w:rsidR="00826C07" w:rsidRPr="00286216" w:rsidRDefault="00826C07" w:rsidP="00826C07">
            <w:pPr>
              <w:pStyle w:val="StyleZakonu"/>
              <w:rPr>
                <w:color w:val="000000" w:themeColor="text1"/>
              </w:rPr>
            </w:pPr>
            <w:r w:rsidRPr="00286216">
              <w:rPr>
                <w:color w:val="000000" w:themeColor="text1"/>
              </w:rPr>
              <w:t>Комітети з питань аудиту та комітет з управління ризиками можуть бути об’єднаними.</w:t>
            </w:r>
          </w:p>
        </w:tc>
        <w:tc>
          <w:tcPr>
            <w:tcW w:w="3686" w:type="dxa"/>
          </w:tcPr>
          <w:p w14:paraId="674FA1D2" w14:textId="77777777" w:rsidR="00826C07" w:rsidRPr="00286216" w:rsidRDefault="00826C07" w:rsidP="00826C07">
            <w:pPr>
              <w:pStyle w:val="StyleProp"/>
              <w:rPr>
                <w:color w:val="000000" w:themeColor="text1"/>
                <w:szCs w:val="18"/>
              </w:rPr>
            </w:pPr>
          </w:p>
        </w:tc>
        <w:tc>
          <w:tcPr>
            <w:tcW w:w="1987" w:type="dxa"/>
          </w:tcPr>
          <w:p w14:paraId="74FFE501" w14:textId="77777777" w:rsidR="00826C07" w:rsidRPr="00286216" w:rsidRDefault="00826C07" w:rsidP="00826C07">
            <w:pPr>
              <w:pStyle w:val="StyleWisnow"/>
              <w:rPr>
                <w:color w:val="000000" w:themeColor="text1"/>
              </w:rPr>
            </w:pPr>
          </w:p>
        </w:tc>
        <w:tc>
          <w:tcPr>
            <w:tcW w:w="4818" w:type="dxa"/>
          </w:tcPr>
          <w:p w14:paraId="180150E6" w14:textId="77777777" w:rsidR="00826C07" w:rsidRPr="00286216" w:rsidRDefault="00826C07" w:rsidP="00826C07">
            <w:pPr>
              <w:pStyle w:val="StyleZakonu"/>
              <w:rPr>
                <w:color w:val="000000" w:themeColor="text1"/>
              </w:rPr>
            </w:pPr>
          </w:p>
        </w:tc>
      </w:tr>
      <w:tr w:rsidR="00826C07" w:rsidRPr="00286216" w14:paraId="424E0746" w14:textId="77777777" w:rsidTr="00091AA5">
        <w:tc>
          <w:tcPr>
            <w:tcW w:w="576" w:type="dxa"/>
          </w:tcPr>
          <w:p w14:paraId="00424A33" w14:textId="77777777" w:rsidR="00826C07" w:rsidRPr="00286216" w:rsidRDefault="00826C07" w:rsidP="00826C07">
            <w:pPr>
              <w:pStyle w:val="StyleWisnow"/>
              <w:rPr>
                <w:color w:val="000000" w:themeColor="text1"/>
              </w:rPr>
            </w:pPr>
            <w:bookmarkStart w:id="1038" w:name="n1304" w:colFirst="0" w:colLast="0"/>
            <w:bookmarkEnd w:id="1037"/>
            <w:r w:rsidRPr="00286216">
              <w:rPr>
                <w:color w:val="000000" w:themeColor="text1"/>
              </w:rPr>
              <w:t>1304.</w:t>
            </w:r>
          </w:p>
        </w:tc>
        <w:tc>
          <w:tcPr>
            <w:tcW w:w="4818" w:type="dxa"/>
          </w:tcPr>
          <w:p w14:paraId="0A252B2C" w14:textId="77777777" w:rsidR="00826C07" w:rsidRPr="00286216" w:rsidRDefault="00826C07" w:rsidP="00826C07">
            <w:pPr>
              <w:pStyle w:val="StyleZakonu"/>
              <w:rPr>
                <w:color w:val="000000" w:themeColor="text1"/>
              </w:rPr>
            </w:pPr>
            <w:r w:rsidRPr="00286216">
              <w:rPr>
                <w:color w:val="000000" w:themeColor="text1"/>
              </w:rPr>
              <w:t>Комітет з питань призначень та комітет з винагород можуть бути об’єднаними.</w:t>
            </w:r>
          </w:p>
        </w:tc>
        <w:tc>
          <w:tcPr>
            <w:tcW w:w="3686" w:type="dxa"/>
          </w:tcPr>
          <w:p w14:paraId="4EF5E3A4" w14:textId="77777777" w:rsidR="00826C07" w:rsidRPr="00286216" w:rsidRDefault="00826C07" w:rsidP="00826C07">
            <w:pPr>
              <w:pStyle w:val="StyleProp"/>
              <w:rPr>
                <w:color w:val="000000" w:themeColor="text1"/>
                <w:szCs w:val="18"/>
              </w:rPr>
            </w:pPr>
          </w:p>
        </w:tc>
        <w:tc>
          <w:tcPr>
            <w:tcW w:w="1987" w:type="dxa"/>
          </w:tcPr>
          <w:p w14:paraId="4A2AFCAF" w14:textId="77777777" w:rsidR="00826C07" w:rsidRPr="00286216" w:rsidRDefault="00826C07" w:rsidP="00826C07">
            <w:pPr>
              <w:pStyle w:val="StyleWisnow"/>
              <w:rPr>
                <w:color w:val="000000" w:themeColor="text1"/>
              </w:rPr>
            </w:pPr>
          </w:p>
        </w:tc>
        <w:tc>
          <w:tcPr>
            <w:tcW w:w="4818" w:type="dxa"/>
          </w:tcPr>
          <w:p w14:paraId="6E2CA8A0" w14:textId="77777777" w:rsidR="00826C07" w:rsidRPr="00286216" w:rsidRDefault="00826C07" w:rsidP="00826C07">
            <w:pPr>
              <w:pStyle w:val="StyleZakonu"/>
              <w:rPr>
                <w:color w:val="000000" w:themeColor="text1"/>
              </w:rPr>
            </w:pPr>
          </w:p>
        </w:tc>
      </w:tr>
      <w:tr w:rsidR="00826C07" w:rsidRPr="00286216" w14:paraId="30B94F8D" w14:textId="77777777" w:rsidTr="00091AA5">
        <w:tc>
          <w:tcPr>
            <w:tcW w:w="576" w:type="dxa"/>
          </w:tcPr>
          <w:p w14:paraId="4679D9BA" w14:textId="77777777" w:rsidR="00826C07" w:rsidRPr="00286216" w:rsidRDefault="00826C07" w:rsidP="00826C07">
            <w:pPr>
              <w:pStyle w:val="StyleWisnow"/>
              <w:rPr>
                <w:color w:val="000000" w:themeColor="text1"/>
              </w:rPr>
            </w:pPr>
            <w:bookmarkStart w:id="1039" w:name="n1305" w:colFirst="0" w:colLast="0"/>
            <w:bookmarkEnd w:id="1038"/>
            <w:r w:rsidRPr="00286216">
              <w:rPr>
                <w:color w:val="000000" w:themeColor="text1"/>
              </w:rPr>
              <w:t>1305.</w:t>
            </w:r>
          </w:p>
        </w:tc>
        <w:tc>
          <w:tcPr>
            <w:tcW w:w="4818" w:type="dxa"/>
          </w:tcPr>
          <w:p w14:paraId="4BA2917B" w14:textId="77777777" w:rsidR="00826C07" w:rsidRPr="00286216" w:rsidRDefault="00826C07" w:rsidP="00826C07">
            <w:pPr>
              <w:pStyle w:val="StyleZakonu"/>
              <w:rPr>
                <w:color w:val="000000" w:themeColor="text1"/>
              </w:rPr>
            </w:pPr>
            <w:r w:rsidRPr="00286216">
              <w:rPr>
                <w:color w:val="000000" w:themeColor="text1"/>
              </w:rPr>
              <w:t>8. Наглядова рада обов’язково визначає з числа незалежних членів наглядової ради відповідальну особу на яку покладені завдання із забезпечення реалізації функції комплаєнсу.</w:t>
            </w:r>
          </w:p>
        </w:tc>
        <w:tc>
          <w:tcPr>
            <w:tcW w:w="3686" w:type="dxa"/>
          </w:tcPr>
          <w:p w14:paraId="36B3FE84" w14:textId="77777777" w:rsidR="00826C07" w:rsidRPr="00286216" w:rsidRDefault="00826C07" w:rsidP="00826C07">
            <w:pPr>
              <w:pStyle w:val="StyleProp"/>
              <w:rPr>
                <w:color w:val="000000" w:themeColor="text1"/>
                <w:szCs w:val="18"/>
              </w:rPr>
            </w:pPr>
          </w:p>
        </w:tc>
        <w:tc>
          <w:tcPr>
            <w:tcW w:w="1987" w:type="dxa"/>
          </w:tcPr>
          <w:p w14:paraId="3237D7D5" w14:textId="77777777" w:rsidR="00826C07" w:rsidRPr="00286216" w:rsidRDefault="00826C07" w:rsidP="00826C07">
            <w:pPr>
              <w:pStyle w:val="StyleWisnow"/>
              <w:spacing w:line="180" w:lineRule="exact"/>
              <w:rPr>
                <w:rFonts w:eastAsia="Calibri"/>
                <w:color w:val="000000" w:themeColor="text1"/>
              </w:rPr>
            </w:pPr>
          </w:p>
        </w:tc>
        <w:tc>
          <w:tcPr>
            <w:tcW w:w="4818" w:type="dxa"/>
          </w:tcPr>
          <w:p w14:paraId="235FE3F7" w14:textId="77777777" w:rsidR="00826C07" w:rsidRPr="00286216" w:rsidRDefault="00826C07" w:rsidP="00826C07">
            <w:pPr>
              <w:pStyle w:val="StyleZakonu"/>
              <w:rPr>
                <w:color w:val="000000" w:themeColor="text1"/>
              </w:rPr>
            </w:pPr>
          </w:p>
        </w:tc>
      </w:tr>
      <w:tr w:rsidR="00826C07" w:rsidRPr="00286216" w14:paraId="1F01EED1" w14:textId="77777777" w:rsidTr="00091AA5">
        <w:tc>
          <w:tcPr>
            <w:tcW w:w="576" w:type="dxa"/>
          </w:tcPr>
          <w:p w14:paraId="502D9F60" w14:textId="77777777" w:rsidR="00826C07" w:rsidRPr="00286216" w:rsidRDefault="00826C07" w:rsidP="00826C07">
            <w:pPr>
              <w:pStyle w:val="StyleWisnow"/>
              <w:rPr>
                <w:color w:val="000000" w:themeColor="text1"/>
              </w:rPr>
            </w:pPr>
            <w:bookmarkStart w:id="1040" w:name="n1306" w:colFirst="0" w:colLast="0"/>
            <w:bookmarkEnd w:id="1039"/>
            <w:r w:rsidRPr="00286216">
              <w:rPr>
                <w:color w:val="000000" w:themeColor="text1"/>
              </w:rPr>
              <w:t>1306.</w:t>
            </w:r>
          </w:p>
        </w:tc>
        <w:tc>
          <w:tcPr>
            <w:tcW w:w="4818" w:type="dxa"/>
          </w:tcPr>
          <w:p w14:paraId="014806D6" w14:textId="77777777" w:rsidR="00826C07" w:rsidRPr="00286216" w:rsidRDefault="00826C07" w:rsidP="00826C07">
            <w:pPr>
              <w:pStyle w:val="StyleZakonu"/>
              <w:spacing w:after="0"/>
              <w:rPr>
                <w:color w:val="000000" w:themeColor="text1"/>
              </w:rPr>
            </w:pPr>
            <w:r w:rsidRPr="00286216">
              <w:rPr>
                <w:color w:val="000000" w:themeColor="text1"/>
              </w:rPr>
              <w:t>9. Інші вимоги до системи корпоративного управління професійних учасників ринків капіталу та організованих товарних ринків, зокрема їх системи внутрішнього контролю, встановлюються Національною комісією з цінних паперів та фондового ринку.</w:t>
            </w:r>
          </w:p>
        </w:tc>
        <w:tc>
          <w:tcPr>
            <w:tcW w:w="3686" w:type="dxa"/>
          </w:tcPr>
          <w:p w14:paraId="433AF4DE" w14:textId="0C31718F" w:rsidR="00826C07" w:rsidRPr="00286216" w:rsidRDefault="00826C07" w:rsidP="00826C0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817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7D0BA2C" w14:textId="77777777" w:rsidR="00826C07" w:rsidRPr="00286216" w:rsidRDefault="00826C07" w:rsidP="00826C07">
            <w:pPr>
              <w:pStyle w:val="StyleProp"/>
              <w:rPr>
                <w:rFonts w:eastAsia="Calibri"/>
                <w:color w:val="000000" w:themeColor="text1"/>
                <w:szCs w:val="18"/>
                <w:lang w:eastAsia="en-US"/>
              </w:rPr>
            </w:pPr>
            <w:r w:rsidRPr="00286216">
              <w:rPr>
                <w:rFonts w:eastAsia="Calibri"/>
                <w:color w:val="000000" w:themeColor="text1"/>
                <w:szCs w:val="18"/>
                <w:lang w:eastAsia="en-US"/>
              </w:rPr>
              <w:t>Виключити частину дев’яту статті 72 Закону України «Про ринки капіталу та організовані товарні ринки».</w:t>
            </w:r>
          </w:p>
        </w:tc>
        <w:tc>
          <w:tcPr>
            <w:tcW w:w="1987" w:type="dxa"/>
          </w:tcPr>
          <w:p w14:paraId="2D8300E7"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частково</w:t>
            </w:r>
          </w:p>
          <w:p w14:paraId="15C66C5F" w14:textId="77777777" w:rsidR="00826C07" w:rsidRPr="00286216" w:rsidRDefault="00826C07" w:rsidP="00826C07">
            <w:pPr>
              <w:pStyle w:val="StyleWisnow"/>
              <w:spacing w:line="180" w:lineRule="exact"/>
              <w:rPr>
                <w:rFonts w:eastAsia="Calibri"/>
                <w:color w:val="000000" w:themeColor="text1"/>
              </w:rPr>
            </w:pPr>
            <w:r w:rsidRPr="00286216">
              <w:rPr>
                <w:color w:val="000000" w:themeColor="text1"/>
              </w:rPr>
              <w:t>у запропонованій  редакції статті 72</w:t>
            </w:r>
          </w:p>
        </w:tc>
        <w:tc>
          <w:tcPr>
            <w:tcW w:w="4818" w:type="dxa"/>
          </w:tcPr>
          <w:p w14:paraId="783832CE" w14:textId="77777777" w:rsidR="00826C07" w:rsidRPr="00286216" w:rsidRDefault="00826C07" w:rsidP="00826C07">
            <w:pPr>
              <w:pStyle w:val="StyleZakonu"/>
              <w:rPr>
                <w:color w:val="000000" w:themeColor="text1"/>
              </w:rPr>
            </w:pPr>
          </w:p>
        </w:tc>
      </w:tr>
      <w:bookmarkEnd w:id="1040"/>
      <w:tr w:rsidR="00826C07" w:rsidRPr="00286216" w14:paraId="7C7A6365" w14:textId="77777777" w:rsidTr="00091AA5">
        <w:tc>
          <w:tcPr>
            <w:tcW w:w="576" w:type="dxa"/>
          </w:tcPr>
          <w:p w14:paraId="283383A5" w14:textId="77777777" w:rsidR="00826C07" w:rsidRPr="00286216" w:rsidRDefault="00826C07" w:rsidP="00826C07">
            <w:pPr>
              <w:pStyle w:val="StyleWisnow"/>
              <w:rPr>
                <w:color w:val="000000" w:themeColor="text1"/>
              </w:rPr>
            </w:pPr>
          </w:p>
        </w:tc>
        <w:tc>
          <w:tcPr>
            <w:tcW w:w="4818" w:type="dxa"/>
          </w:tcPr>
          <w:p w14:paraId="5B4E21DD" w14:textId="77777777" w:rsidR="00826C07" w:rsidRPr="00286216" w:rsidRDefault="00826C07" w:rsidP="00826C07">
            <w:pPr>
              <w:pStyle w:val="StyleZakonu"/>
              <w:spacing w:after="0"/>
              <w:jc w:val="center"/>
              <w:rPr>
                <w:color w:val="000000" w:themeColor="text1"/>
              </w:rPr>
            </w:pPr>
          </w:p>
        </w:tc>
        <w:tc>
          <w:tcPr>
            <w:tcW w:w="3686" w:type="dxa"/>
          </w:tcPr>
          <w:p w14:paraId="5F75FBB7" w14:textId="0AFB5AD2" w:rsidR="00826C07" w:rsidRPr="00286216" w:rsidRDefault="00826C07" w:rsidP="00826C07">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818</w:t>
            </w:r>
            <w:r w:rsidRPr="00286216">
              <w:rPr>
                <w:color w:val="000000" w:themeColor="text1"/>
              </w:rPr>
              <w:fldChar w:fldCharType="end"/>
            </w:r>
            <w:r w:rsidRPr="00286216">
              <w:rPr>
                <w:color w:val="000000" w:themeColor="text1"/>
              </w:rPr>
              <w:t>-Н.д.Шахов С.В. (Реєстр.картка №114)</w:t>
            </w:r>
          </w:p>
          <w:p w14:paraId="4C4692EA" w14:textId="77777777" w:rsidR="00826C07" w:rsidRPr="00286216" w:rsidRDefault="00826C07" w:rsidP="00826C07">
            <w:pPr>
              <w:pStyle w:val="StyleProp"/>
              <w:spacing w:line="180" w:lineRule="exact"/>
              <w:rPr>
                <w:color w:val="000000" w:themeColor="text1"/>
              </w:rPr>
            </w:pPr>
            <w:r w:rsidRPr="00286216">
              <w:rPr>
                <w:color w:val="000000" w:themeColor="text1"/>
              </w:rPr>
              <w:t>У ч. 9 ст. 72 слова "Національною комісією з цінних паперів та фондового ринку" замінити словом "законом".</w:t>
            </w:r>
          </w:p>
        </w:tc>
        <w:tc>
          <w:tcPr>
            <w:tcW w:w="1987" w:type="dxa"/>
          </w:tcPr>
          <w:p w14:paraId="4A7F0960" w14:textId="77777777" w:rsidR="00826C07" w:rsidRPr="00286216" w:rsidRDefault="00826C07" w:rsidP="00826C07">
            <w:pPr>
              <w:pStyle w:val="StyleWisnow"/>
              <w:spacing w:line="180" w:lineRule="exact"/>
              <w:rPr>
                <w:rFonts w:eastAsia="Calibri"/>
                <w:color w:val="000000" w:themeColor="text1"/>
              </w:rPr>
            </w:pPr>
            <w:r w:rsidRPr="00286216">
              <w:rPr>
                <w:rFonts w:eastAsia="Calibri"/>
                <w:color w:val="000000" w:themeColor="text1"/>
              </w:rPr>
              <w:t>Відхилено</w:t>
            </w:r>
          </w:p>
          <w:p w14:paraId="06979713" w14:textId="77777777" w:rsidR="00826C07" w:rsidRPr="00286216" w:rsidRDefault="00826C07" w:rsidP="00826C07">
            <w:pPr>
              <w:pStyle w:val="StyleWisnow"/>
              <w:spacing w:line="180" w:lineRule="exact"/>
              <w:rPr>
                <w:rFonts w:eastAsia="Calibri"/>
                <w:color w:val="000000" w:themeColor="text1"/>
              </w:rPr>
            </w:pPr>
            <w:r w:rsidRPr="00286216">
              <w:rPr>
                <w:rFonts w:eastAsia="Calibri"/>
                <w:color w:val="000000" w:themeColor="text1"/>
              </w:rPr>
              <w:t>у зв'язку із зміною редакції та виключенням норми</w:t>
            </w:r>
          </w:p>
        </w:tc>
        <w:tc>
          <w:tcPr>
            <w:tcW w:w="4818" w:type="dxa"/>
          </w:tcPr>
          <w:p w14:paraId="008B564C" w14:textId="77777777" w:rsidR="00826C07" w:rsidRPr="00286216" w:rsidRDefault="00826C07" w:rsidP="00826C07">
            <w:pPr>
              <w:pStyle w:val="StyleZakonu"/>
              <w:rPr>
                <w:color w:val="000000" w:themeColor="text1"/>
              </w:rPr>
            </w:pPr>
          </w:p>
        </w:tc>
      </w:tr>
      <w:tr w:rsidR="006507E8" w:rsidRPr="00286216" w14:paraId="1D8FEFCB" w14:textId="77777777" w:rsidTr="00091AA5">
        <w:tc>
          <w:tcPr>
            <w:tcW w:w="576" w:type="dxa"/>
          </w:tcPr>
          <w:p w14:paraId="7E4405F6" w14:textId="77777777" w:rsidR="006507E8" w:rsidRPr="00286216" w:rsidRDefault="006507E8" w:rsidP="006507E8">
            <w:pPr>
              <w:pStyle w:val="StyleWisnow"/>
              <w:rPr>
                <w:color w:val="000000" w:themeColor="text1"/>
              </w:rPr>
            </w:pPr>
            <w:bookmarkStart w:id="1041" w:name="n1307" w:colFirst="0" w:colLast="0"/>
            <w:r w:rsidRPr="00286216">
              <w:rPr>
                <w:color w:val="000000" w:themeColor="text1"/>
              </w:rPr>
              <w:t>1307.</w:t>
            </w:r>
          </w:p>
        </w:tc>
        <w:tc>
          <w:tcPr>
            <w:tcW w:w="4818" w:type="dxa"/>
          </w:tcPr>
          <w:p w14:paraId="12A5A5E2" w14:textId="77777777" w:rsidR="006507E8" w:rsidRPr="00286216" w:rsidRDefault="006507E8" w:rsidP="006507E8">
            <w:pPr>
              <w:pStyle w:val="StyleZakonu"/>
              <w:spacing w:after="0"/>
              <w:jc w:val="center"/>
              <w:rPr>
                <w:color w:val="000000" w:themeColor="text1"/>
              </w:rPr>
            </w:pPr>
            <w:r w:rsidRPr="00286216">
              <w:rPr>
                <w:color w:val="000000" w:themeColor="text1"/>
              </w:rPr>
              <w:t>Розділ V</w:t>
            </w:r>
          </w:p>
          <w:p w14:paraId="77D977C9" w14:textId="77777777" w:rsidR="006507E8" w:rsidRPr="00286216" w:rsidRDefault="006507E8" w:rsidP="006507E8">
            <w:pPr>
              <w:pStyle w:val="StyleZakonu"/>
              <w:jc w:val="center"/>
              <w:rPr>
                <w:color w:val="000000" w:themeColor="text1"/>
              </w:rPr>
            </w:pPr>
            <w:r w:rsidRPr="00286216">
              <w:rPr>
                <w:color w:val="000000" w:themeColor="text1"/>
              </w:rPr>
              <w:t>ДІЯЛЬНІСТЬ, ПОВ’ЯЗАНА З РИНКАМИ КАПІТАЛУ ТА ОРГАНІЗОВАНИМИ ТОВАРНИМИ РИНКАМИ</w:t>
            </w:r>
          </w:p>
        </w:tc>
        <w:tc>
          <w:tcPr>
            <w:tcW w:w="3686" w:type="dxa"/>
          </w:tcPr>
          <w:p w14:paraId="6CD54C0F" w14:textId="77777777" w:rsidR="006507E8" w:rsidRPr="00286216" w:rsidRDefault="006507E8" w:rsidP="006507E8">
            <w:pPr>
              <w:pStyle w:val="StyleProp"/>
              <w:rPr>
                <w:color w:val="000000" w:themeColor="text1"/>
                <w:szCs w:val="18"/>
              </w:rPr>
            </w:pPr>
          </w:p>
        </w:tc>
        <w:tc>
          <w:tcPr>
            <w:tcW w:w="1987" w:type="dxa"/>
          </w:tcPr>
          <w:p w14:paraId="4DD3C6F9" w14:textId="77777777" w:rsidR="006507E8" w:rsidRPr="00286216" w:rsidRDefault="006507E8" w:rsidP="006507E8">
            <w:pPr>
              <w:pStyle w:val="StyleWisnow"/>
              <w:spacing w:line="180" w:lineRule="exact"/>
              <w:rPr>
                <w:rFonts w:eastAsia="Calibri"/>
                <w:color w:val="000000" w:themeColor="text1"/>
              </w:rPr>
            </w:pPr>
          </w:p>
        </w:tc>
        <w:tc>
          <w:tcPr>
            <w:tcW w:w="4818" w:type="dxa"/>
          </w:tcPr>
          <w:p w14:paraId="2E89A3F1" w14:textId="77777777" w:rsidR="006507E8" w:rsidRPr="00286216" w:rsidRDefault="006507E8" w:rsidP="006507E8">
            <w:pPr>
              <w:pStyle w:val="StyleZakonu"/>
              <w:spacing w:after="0"/>
              <w:jc w:val="center"/>
              <w:rPr>
                <w:color w:val="000000" w:themeColor="text1"/>
              </w:rPr>
            </w:pPr>
            <w:r w:rsidRPr="00286216">
              <w:rPr>
                <w:color w:val="000000" w:themeColor="text1"/>
              </w:rPr>
              <w:t>Розділ VІ</w:t>
            </w:r>
          </w:p>
          <w:p w14:paraId="1B08040C" w14:textId="716329F7" w:rsidR="006507E8" w:rsidRPr="00286216" w:rsidRDefault="006507E8" w:rsidP="006507E8">
            <w:pPr>
              <w:pStyle w:val="StyleZakonu"/>
              <w:jc w:val="center"/>
              <w:rPr>
                <w:color w:val="000000" w:themeColor="text1"/>
              </w:rPr>
            </w:pPr>
            <w:r w:rsidRPr="00286216">
              <w:rPr>
                <w:color w:val="000000" w:themeColor="text1"/>
              </w:rPr>
              <w:t>ДІЯЛЬНІСТЬ, ПОВ’ЯЗАНА З РИНКАМИ КАПІТАЛУ ТА ОРГАНІЗОВАНИМИ ТОВАРНИМИ РИНКАМИ</w:t>
            </w:r>
          </w:p>
        </w:tc>
      </w:tr>
      <w:tr w:rsidR="006507E8" w:rsidRPr="00286216" w14:paraId="44CD2FCE" w14:textId="77777777" w:rsidTr="00091AA5">
        <w:tc>
          <w:tcPr>
            <w:tcW w:w="576" w:type="dxa"/>
          </w:tcPr>
          <w:p w14:paraId="35EEF166" w14:textId="77777777" w:rsidR="006507E8" w:rsidRPr="00286216" w:rsidRDefault="006507E8" w:rsidP="006507E8">
            <w:pPr>
              <w:pStyle w:val="StyleWisnow"/>
              <w:rPr>
                <w:color w:val="000000" w:themeColor="text1"/>
              </w:rPr>
            </w:pPr>
            <w:bookmarkStart w:id="1042" w:name="n1308" w:colFirst="0" w:colLast="0"/>
            <w:bookmarkEnd w:id="1041"/>
            <w:r w:rsidRPr="00286216">
              <w:rPr>
                <w:color w:val="000000" w:themeColor="text1"/>
              </w:rPr>
              <w:t>1308.</w:t>
            </w:r>
          </w:p>
        </w:tc>
        <w:tc>
          <w:tcPr>
            <w:tcW w:w="4818" w:type="dxa"/>
          </w:tcPr>
          <w:p w14:paraId="2AAFA7CE" w14:textId="77777777" w:rsidR="006507E8" w:rsidRPr="00286216" w:rsidRDefault="006507E8" w:rsidP="006507E8">
            <w:pPr>
              <w:pStyle w:val="StyleZakonu"/>
              <w:rPr>
                <w:color w:val="000000" w:themeColor="text1"/>
              </w:rPr>
            </w:pPr>
            <w:r w:rsidRPr="00286216">
              <w:rPr>
                <w:color w:val="000000" w:themeColor="text1"/>
              </w:rPr>
              <w:t>Стаття 73. Діяльність з надання інформаційних послуг на ринках капіталу та організованих товарних ринках, яка потребує авторизації</w:t>
            </w:r>
          </w:p>
        </w:tc>
        <w:tc>
          <w:tcPr>
            <w:tcW w:w="3686" w:type="dxa"/>
          </w:tcPr>
          <w:p w14:paraId="2FC543D5" w14:textId="77777777" w:rsidR="006507E8" w:rsidRPr="00286216" w:rsidRDefault="006507E8" w:rsidP="006507E8">
            <w:pPr>
              <w:pStyle w:val="StyleProp"/>
              <w:rPr>
                <w:color w:val="000000" w:themeColor="text1"/>
                <w:szCs w:val="18"/>
              </w:rPr>
            </w:pPr>
          </w:p>
        </w:tc>
        <w:tc>
          <w:tcPr>
            <w:tcW w:w="1987" w:type="dxa"/>
          </w:tcPr>
          <w:p w14:paraId="3DC80C7C" w14:textId="77777777" w:rsidR="006507E8" w:rsidRPr="00286216" w:rsidRDefault="006507E8" w:rsidP="006507E8">
            <w:pPr>
              <w:pStyle w:val="StyleWisnow"/>
              <w:spacing w:line="180" w:lineRule="exact"/>
              <w:rPr>
                <w:rFonts w:eastAsia="Calibri"/>
                <w:color w:val="000000" w:themeColor="text1"/>
              </w:rPr>
            </w:pPr>
          </w:p>
        </w:tc>
        <w:tc>
          <w:tcPr>
            <w:tcW w:w="4818" w:type="dxa"/>
          </w:tcPr>
          <w:p w14:paraId="3E93BD2D" w14:textId="3C5565EA" w:rsidR="006507E8" w:rsidRPr="00286216" w:rsidRDefault="006507E8" w:rsidP="006507E8">
            <w:pPr>
              <w:pStyle w:val="StyleZakonu"/>
              <w:rPr>
                <w:color w:val="000000" w:themeColor="text1"/>
              </w:rPr>
            </w:pPr>
            <w:r w:rsidRPr="00286216">
              <w:rPr>
                <w:color w:val="000000" w:themeColor="text1"/>
              </w:rPr>
              <w:t>Стаття 77. Діяльність з надання інформаційних послуг на ринках капіталу та організованих товарних ринках, що потребує авторизації</w:t>
            </w:r>
          </w:p>
        </w:tc>
      </w:tr>
      <w:tr w:rsidR="006507E8" w:rsidRPr="00286216" w14:paraId="3BF74219" w14:textId="77777777" w:rsidTr="00091AA5">
        <w:tc>
          <w:tcPr>
            <w:tcW w:w="576" w:type="dxa"/>
          </w:tcPr>
          <w:p w14:paraId="0EAFBE1E" w14:textId="77777777" w:rsidR="006507E8" w:rsidRPr="00286216" w:rsidRDefault="006507E8" w:rsidP="006507E8">
            <w:pPr>
              <w:pStyle w:val="StyleWisnow"/>
              <w:rPr>
                <w:color w:val="000000" w:themeColor="text1"/>
              </w:rPr>
            </w:pPr>
            <w:bookmarkStart w:id="1043" w:name="n1309" w:colFirst="0" w:colLast="0"/>
            <w:bookmarkEnd w:id="1042"/>
            <w:r w:rsidRPr="00286216">
              <w:rPr>
                <w:color w:val="000000" w:themeColor="text1"/>
              </w:rPr>
              <w:t>1309.</w:t>
            </w:r>
          </w:p>
        </w:tc>
        <w:tc>
          <w:tcPr>
            <w:tcW w:w="4818" w:type="dxa"/>
          </w:tcPr>
          <w:p w14:paraId="071D34EE" w14:textId="77777777" w:rsidR="006507E8" w:rsidRPr="00286216" w:rsidRDefault="006507E8" w:rsidP="006507E8">
            <w:pPr>
              <w:pStyle w:val="StyleZakonu"/>
              <w:rPr>
                <w:color w:val="000000" w:themeColor="text1"/>
              </w:rPr>
            </w:pPr>
            <w:r w:rsidRPr="00286216">
              <w:rPr>
                <w:color w:val="000000" w:themeColor="text1"/>
              </w:rPr>
              <w:t xml:space="preserve">1. Національна комісія з цінних паперів та фондового ринку в установленому нею порядку здійснює авторизацію юридичних осіб, які мають </w:t>
            </w:r>
            <w:r w:rsidRPr="00286216">
              <w:rPr>
                <w:color w:val="000000" w:themeColor="text1"/>
              </w:rPr>
              <w:lastRenderedPageBreak/>
              <w:t>намір провадити такі види діяльності з надання інформаційних послуг на ринках капіталу та організованих товарних ринках:</w:t>
            </w:r>
          </w:p>
        </w:tc>
        <w:tc>
          <w:tcPr>
            <w:tcW w:w="3686" w:type="dxa"/>
          </w:tcPr>
          <w:p w14:paraId="06845280" w14:textId="77777777" w:rsidR="006507E8" w:rsidRPr="00286216" w:rsidRDefault="006507E8" w:rsidP="006507E8">
            <w:pPr>
              <w:pStyle w:val="StyleProp"/>
              <w:rPr>
                <w:color w:val="000000" w:themeColor="text1"/>
                <w:szCs w:val="18"/>
              </w:rPr>
            </w:pPr>
          </w:p>
        </w:tc>
        <w:tc>
          <w:tcPr>
            <w:tcW w:w="1987" w:type="dxa"/>
          </w:tcPr>
          <w:p w14:paraId="1D5DA948" w14:textId="77777777" w:rsidR="006507E8" w:rsidRPr="00286216" w:rsidRDefault="006507E8" w:rsidP="006507E8">
            <w:pPr>
              <w:pStyle w:val="StyleWisnow"/>
              <w:spacing w:line="180" w:lineRule="exact"/>
              <w:rPr>
                <w:rFonts w:eastAsia="Calibri"/>
                <w:color w:val="000000" w:themeColor="text1"/>
              </w:rPr>
            </w:pPr>
          </w:p>
        </w:tc>
        <w:tc>
          <w:tcPr>
            <w:tcW w:w="4818" w:type="dxa"/>
          </w:tcPr>
          <w:p w14:paraId="2D33EC26" w14:textId="5FAC3175" w:rsidR="006507E8" w:rsidRPr="00286216" w:rsidRDefault="006507E8" w:rsidP="006507E8">
            <w:pPr>
              <w:pStyle w:val="StyleZakonu"/>
              <w:rPr>
                <w:color w:val="000000" w:themeColor="text1"/>
              </w:rPr>
            </w:pPr>
            <w:r w:rsidRPr="00286216">
              <w:rPr>
                <w:color w:val="000000" w:themeColor="text1"/>
              </w:rPr>
              <w:t xml:space="preserve">1. Національна комісія з цінних паперів та фондового ринку в установленому нею порядку здійснює авторизацію юридичних осіб, які мають </w:t>
            </w:r>
            <w:r w:rsidRPr="00286216">
              <w:rPr>
                <w:color w:val="000000" w:themeColor="text1"/>
              </w:rPr>
              <w:lastRenderedPageBreak/>
              <w:t>намір провадити такі види діяльності з надання інформаційних послуг на ринках капіталу та організованих товарних ринках:</w:t>
            </w:r>
          </w:p>
        </w:tc>
      </w:tr>
      <w:tr w:rsidR="006507E8" w:rsidRPr="00286216" w14:paraId="5631920F" w14:textId="77777777" w:rsidTr="00091AA5">
        <w:tc>
          <w:tcPr>
            <w:tcW w:w="576" w:type="dxa"/>
          </w:tcPr>
          <w:p w14:paraId="17AFA030" w14:textId="77777777" w:rsidR="006507E8" w:rsidRPr="00286216" w:rsidRDefault="006507E8" w:rsidP="006507E8">
            <w:pPr>
              <w:pStyle w:val="StyleWisnow"/>
              <w:rPr>
                <w:color w:val="000000" w:themeColor="text1"/>
              </w:rPr>
            </w:pPr>
            <w:bookmarkStart w:id="1044" w:name="n1310" w:colFirst="0" w:colLast="0"/>
            <w:bookmarkEnd w:id="1043"/>
            <w:r w:rsidRPr="00286216">
              <w:rPr>
                <w:color w:val="000000" w:themeColor="text1"/>
              </w:rPr>
              <w:lastRenderedPageBreak/>
              <w:t>1310.</w:t>
            </w:r>
          </w:p>
        </w:tc>
        <w:tc>
          <w:tcPr>
            <w:tcW w:w="4818" w:type="dxa"/>
          </w:tcPr>
          <w:p w14:paraId="47A10284" w14:textId="77777777" w:rsidR="006507E8" w:rsidRPr="00286216" w:rsidRDefault="006507E8" w:rsidP="006507E8">
            <w:pPr>
              <w:pStyle w:val="StyleZakonu"/>
              <w:rPr>
                <w:color w:val="000000" w:themeColor="text1"/>
              </w:rPr>
            </w:pPr>
            <w:r w:rsidRPr="00286216">
              <w:rPr>
                <w:color w:val="000000" w:themeColor="text1"/>
              </w:rPr>
              <w:t>1)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06EA5AD2" w14:textId="5D77EFFD"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819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7AAEE19" w14:textId="77777777" w:rsidR="006507E8" w:rsidRPr="00286216" w:rsidRDefault="006507E8" w:rsidP="006507E8">
            <w:pPr>
              <w:pStyle w:val="StyleProp"/>
              <w:rPr>
                <w:color w:val="000000" w:themeColor="text1"/>
                <w:szCs w:val="18"/>
              </w:rPr>
            </w:pPr>
            <w:r w:rsidRPr="00286216">
              <w:rPr>
                <w:color w:val="000000" w:themeColor="text1"/>
                <w:szCs w:val="18"/>
              </w:rPr>
              <w:t>Пункти 1 – 3 частини першої статті 73 викласти у такій редакції:</w:t>
            </w:r>
          </w:p>
          <w:p w14:paraId="237D1DAF" w14:textId="77777777" w:rsidR="006507E8" w:rsidRPr="00286216" w:rsidRDefault="006507E8" w:rsidP="006507E8">
            <w:pPr>
              <w:pStyle w:val="StyleProp"/>
              <w:rPr>
                <w:color w:val="000000" w:themeColor="text1"/>
                <w:szCs w:val="18"/>
              </w:rPr>
            </w:pPr>
            <w:r w:rsidRPr="00286216">
              <w:rPr>
                <w:color w:val="000000" w:themeColor="text1"/>
                <w:szCs w:val="18"/>
              </w:rPr>
              <w:t xml:space="preserve">"1) діяльність з оприлюднення від імені інвестиційних фірм інформації про укладені на організованих ринках правочини щодо фінансових інструментів; </w:t>
            </w:r>
          </w:p>
          <w:p w14:paraId="11E88BEF" w14:textId="77777777" w:rsidR="006507E8" w:rsidRPr="00286216" w:rsidRDefault="006507E8" w:rsidP="006507E8">
            <w:pPr>
              <w:pStyle w:val="StyleProp"/>
              <w:rPr>
                <w:color w:val="000000" w:themeColor="text1"/>
                <w:szCs w:val="18"/>
              </w:rPr>
            </w:pPr>
            <w:r w:rsidRPr="00286216">
              <w:rPr>
                <w:color w:val="000000" w:themeColor="text1"/>
                <w:szCs w:val="18"/>
              </w:rPr>
              <w:t>2) діяльність з розповсюдження в режимі безперервного оновлення консолідованої інформації про активи, допущені до торгів на організованих ринках;</w:t>
            </w:r>
          </w:p>
          <w:p w14:paraId="214CFCA2" w14:textId="77777777" w:rsidR="006507E8" w:rsidRPr="00286216" w:rsidRDefault="006507E8" w:rsidP="006507E8">
            <w:pPr>
              <w:pStyle w:val="StyleProp"/>
              <w:rPr>
                <w:color w:val="000000" w:themeColor="text1"/>
                <w:szCs w:val="18"/>
              </w:rPr>
            </w:pPr>
            <w:r w:rsidRPr="00286216">
              <w:rPr>
                <w:color w:val="000000" w:themeColor="text1"/>
                <w:szCs w:val="18"/>
              </w:rPr>
              <w:t>3) діяльність з подання звітних даних до Національної комісії з цінних паперів та фондового ринку".</w:t>
            </w:r>
          </w:p>
        </w:tc>
        <w:tc>
          <w:tcPr>
            <w:tcW w:w="1987" w:type="dxa"/>
          </w:tcPr>
          <w:p w14:paraId="21849E28" w14:textId="029CD31D"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 редакційно</w:t>
            </w:r>
          </w:p>
        </w:tc>
        <w:tc>
          <w:tcPr>
            <w:tcW w:w="4818" w:type="dxa"/>
          </w:tcPr>
          <w:p w14:paraId="77B42D0F" w14:textId="47005E44" w:rsidR="006507E8" w:rsidRPr="00286216" w:rsidRDefault="006507E8" w:rsidP="006507E8">
            <w:pPr>
              <w:pStyle w:val="StyleZakonu"/>
              <w:rPr>
                <w:color w:val="000000" w:themeColor="text1"/>
              </w:rPr>
            </w:pPr>
            <w:r w:rsidRPr="00286216">
              <w:rPr>
                <w:color w:val="000000" w:themeColor="text1"/>
              </w:rPr>
              <w:t>1) оприлюднення регульованої інформації від імені учасників ринків капіталу та/або професійних організованих товарних ринків;</w:t>
            </w:r>
          </w:p>
        </w:tc>
      </w:tr>
      <w:bookmarkEnd w:id="1044"/>
      <w:tr w:rsidR="006507E8" w:rsidRPr="00286216" w14:paraId="7A4E8B06" w14:textId="77777777" w:rsidTr="00091AA5">
        <w:tc>
          <w:tcPr>
            <w:tcW w:w="576" w:type="dxa"/>
          </w:tcPr>
          <w:p w14:paraId="46BD1BCC" w14:textId="77777777" w:rsidR="006507E8" w:rsidRPr="00286216" w:rsidRDefault="006507E8" w:rsidP="006507E8">
            <w:pPr>
              <w:pStyle w:val="StyleWisnow"/>
              <w:rPr>
                <w:color w:val="000000" w:themeColor="text1"/>
              </w:rPr>
            </w:pPr>
          </w:p>
        </w:tc>
        <w:tc>
          <w:tcPr>
            <w:tcW w:w="4818" w:type="dxa"/>
          </w:tcPr>
          <w:p w14:paraId="5FE02C7C" w14:textId="77777777" w:rsidR="006507E8" w:rsidRPr="00286216" w:rsidRDefault="006507E8" w:rsidP="006507E8">
            <w:pPr>
              <w:pStyle w:val="StyleZakonu"/>
              <w:rPr>
                <w:color w:val="000000" w:themeColor="text1"/>
              </w:rPr>
            </w:pPr>
          </w:p>
        </w:tc>
        <w:tc>
          <w:tcPr>
            <w:tcW w:w="3686" w:type="dxa"/>
          </w:tcPr>
          <w:p w14:paraId="361786E9" w14:textId="640E95F9"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F9F67C5" w14:textId="77777777" w:rsidR="006507E8" w:rsidRPr="00286216" w:rsidRDefault="006507E8" w:rsidP="006507E8">
            <w:pPr>
              <w:pStyle w:val="StyleProp"/>
              <w:rPr>
                <w:color w:val="000000" w:themeColor="text1"/>
                <w:szCs w:val="18"/>
              </w:rPr>
            </w:pPr>
            <w:r w:rsidRPr="00286216">
              <w:rPr>
                <w:color w:val="000000" w:themeColor="text1"/>
                <w:szCs w:val="18"/>
              </w:rPr>
              <w:t>У пункті 1 частини першої статті 73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615CC336"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tc>
        <w:tc>
          <w:tcPr>
            <w:tcW w:w="4818" w:type="dxa"/>
          </w:tcPr>
          <w:p w14:paraId="3EB9D5DE" w14:textId="77777777" w:rsidR="006507E8" w:rsidRPr="00286216" w:rsidRDefault="006507E8" w:rsidP="006507E8">
            <w:pPr>
              <w:pStyle w:val="StyleZakonu"/>
              <w:rPr>
                <w:strike/>
                <w:color w:val="000000" w:themeColor="text1"/>
              </w:rPr>
            </w:pPr>
          </w:p>
        </w:tc>
      </w:tr>
      <w:tr w:rsidR="006507E8" w:rsidRPr="00286216" w14:paraId="4782832F" w14:textId="77777777" w:rsidTr="00091AA5">
        <w:tc>
          <w:tcPr>
            <w:tcW w:w="576" w:type="dxa"/>
          </w:tcPr>
          <w:p w14:paraId="32385C2B" w14:textId="77777777" w:rsidR="006507E8" w:rsidRPr="00286216" w:rsidRDefault="006507E8" w:rsidP="006507E8">
            <w:pPr>
              <w:pStyle w:val="StyleWisnow"/>
              <w:rPr>
                <w:color w:val="000000" w:themeColor="text1"/>
              </w:rPr>
            </w:pPr>
            <w:bookmarkStart w:id="1045" w:name="n1311" w:colFirst="0" w:colLast="0"/>
            <w:r w:rsidRPr="00286216">
              <w:rPr>
                <w:color w:val="000000" w:themeColor="text1"/>
              </w:rPr>
              <w:t>1311.</w:t>
            </w:r>
          </w:p>
        </w:tc>
        <w:tc>
          <w:tcPr>
            <w:tcW w:w="4818" w:type="dxa"/>
          </w:tcPr>
          <w:p w14:paraId="3734A22E" w14:textId="77777777" w:rsidR="006507E8" w:rsidRPr="00286216" w:rsidRDefault="006507E8" w:rsidP="006507E8">
            <w:pPr>
              <w:pStyle w:val="StyleZakonu"/>
              <w:rPr>
                <w:color w:val="000000" w:themeColor="text1"/>
              </w:rPr>
            </w:pPr>
            <w:r w:rsidRPr="00286216">
              <w:rPr>
                <w:color w:val="000000" w:themeColor="text1"/>
              </w:rPr>
              <w:t>2) діяльність з розповсюдження в режимі безперервного оновлення консолідованої інформації про активи, допущені до торгів на організованих ринках, фінансові інструменти та/або учасників ринків капіталу та/або професійних учасників ринків капіталу та організованих товарних ринків;</w:t>
            </w:r>
          </w:p>
        </w:tc>
        <w:tc>
          <w:tcPr>
            <w:tcW w:w="3686" w:type="dxa"/>
          </w:tcPr>
          <w:p w14:paraId="5784A01B" w14:textId="6F011D42"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821</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587FDB19"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Пункти 1 – 3 частини першої статті 73 викласти у такій редакції:</w:t>
            </w:r>
          </w:p>
          <w:p w14:paraId="7D1B9C11" w14:textId="1E985B3D" w:rsidR="006507E8" w:rsidRPr="00286216" w:rsidRDefault="006507E8" w:rsidP="006507E8">
            <w:pPr>
              <w:pStyle w:val="StyleProp"/>
              <w:spacing w:line="180" w:lineRule="exact"/>
              <w:rPr>
                <w:color w:val="000000" w:themeColor="text1"/>
              </w:rPr>
            </w:pPr>
            <w:r w:rsidRPr="00286216">
              <w:rPr>
                <w:color w:val="000000" w:themeColor="text1"/>
              </w:rPr>
              <w:t>"1) діяльність з оприлюднення регульованої інформації від імені учасників ринків капіталу та/або професійних організованих товарних ринків;</w:t>
            </w:r>
          </w:p>
          <w:p w14:paraId="793EA044" w14:textId="2DE8431B" w:rsidR="006507E8" w:rsidRPr="00286216" w:rsidRDefault="006507E8" w:rsidP="006507E8">
            <w:pPr>
              <w:pStyle w:val="StyleProp"/>
              <w:spacing w:line="180" w:lineRule="exact"/>
              <w:rPr>
                <w:color w:val="000000" w:themeColor="text1"/>
              </w:rPr>
            </w:pPr>
            <w:r w:rsidRPr="00286216">
              <w:rPr>
                <w:color w:val="000000" w:themeColor="text1"/>
              </w:rPr>
              <w:t>2) діяльність з розповсюдження в режимі безперервного оновлення консолідованої інформації;</w:t>
            </w:r>
          </w:p>
        </w:tc>
        <w:tc>
          <w:tcPr>
            <w:tcW w:w="1987" w:type="dxa"/>
          </w:tcPr>
          <w:p w14:paraId="77052687"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72973D92" w14:textId="7E6EE025"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2F220765" w14:textId="0701FB46" w:rsidR="006507E8" w:rsidRPr="00286216" w:rsidRDefault="006507E8" w:rsidP="006507E8">
            <w:pPr>
              <w:pStyle w:val="StyleZakonu"/>
              <w:rPr>
                <w:color w:val="000000" w:themeColor="text1"/>
              </w:rPr>
            </w:pPr>
            <w:r w:rsidRPr="00286216">
              <w:rPr>
                <w:color w:val="000000" w:themeColor="text1"/>
              </w:rPr>
              <w:t>2) розповсюдження в режимі безперервного оновлення консолідованої інформації;</w:t>
            </w:r>
          </w:p>
        </w:tc>
      </w:tr>
      <w:tr w:rsidR="006507E8" w:rsidRPr="00286216" w14:paraId="1FF18BD9" w14:textId="77777777" w:rsidTr="00091AA5">
        <w:tc>
          <w:tcPr>
            <w:tcW w:w="576" w:type="dxa"/>
          </w:tcPr>
          <w:p w14:paraId="74EF8593" w14:textId="77777777" w:rsidR="006507E8" w:rsidRPr="00286216" w:rsidRDefault="006507E8" w:rsidP="006507E8">
            <w:pPr>
              <w:pStyle w:val="StyleWisnow"/>
              <w:rPr>
                <w:color w:val="000000" w:themeColor="text1"/>
              </w:rPr>
            </w:pPr>
            <w:bookmarkStart w:id="1046" w:name="n1312" w:colFirst="0" w:colLast="0"/>
            <w:bookmarkEnd w:id="1045"/>
            <w:r w:rsidRPr="00286216">
              <w:rPr>
                <w:color w:val="000000" w:themeColor="text1"/>
              </w:rPr>
              <w:t>1312.</w:t>
            </w:r>
          </w:p>
        </w:tc>
        <w:tc>
          <w:tcPr>
            <w:tcW w:w="4818" w:type="dxa"/>
          </w:tcPr>
          <w:p w14:paraId="23E46100" w14:textId="77777777" w:rsidR="006507E8" w:rsidRPr="00286216" w:rsidRDefault="006507E8" w:rsidP="006507E8">
            <w:pPr>
              <w:pStyle w:val="StyleZakonu"/>
              <w:rPr>
                <w:color w:val="000000" w:themeColor="text1"/>
              </w:rPr>
            </w:pPr>
            <w:r w:rsidRPr="00286216">
              <w:rPr>
                <w:color w:val="000000" w:themeColor="text1"/>
              </w:rPr>
              <w:t>3) діяльність з подання звітності та/або адміністративних даних до Національної комісії з цінних паперів та фондового ринку.</w:t>
            </w:r>
          </w:p>
        </w:tc>
        <w:tc>
          <w:tcPr>
            <w:tcW w:w="3686" w:type="dxa"/>
          </w:tcPr>
          <w:p w14:paraId="0B69F593" w14:textId="4B963AE4" w:rsidR="006507E8" w:rsidRPr="00286216" w:rsidRDefault="006507E8" w:rsidP="006507E8">
            <w:pPr>
              <w:pStyle w:val="StyleProp"/>
              <w:rPr>
                <w:color w:val="000000" w:themeColor="text1"/>
                <w:szCs w:val="18"/>
              </w:rPr>
            </w:pPr>
            <w:r w:rsidRPr="00286216">
              <w:rPr>
                <w:color w:val="000000" w:themeColor="text1"/>
              </w:rPr>
              <w:t>3) діяльність з подання звітних даних до Національної комісії з цінних паперів та фондового ринку".</w:t>
            </w:r>
          </w:p>
        </w:tc>
        <w:tc>
          <w:tcPr>
            <w:tcW w:w="1987" w:type="dxa"/>
          </w:tcPr>
          <w:p w14:paraId="7AFEC132" w14:textId="77777777" w:rsidR="006507E8" w:rsidRPr="00286216" w:rsidRDefault="006507E8" w:rsidP="006507E8">
            <w:pPr>
              <w:pStyle w:val="StyleWisnow"/>
              <w:rPr>
                <w:color w:val="000000" w:themeColor="text1"/>
              </w:rPr>
            </w:pPr>
          </w:p>
        </w:tc>
        <w:tc>
          <w:tcPr>
            <w:tcW w:w="4818" w:type="dxa"/>
          </w:tcPr>
          <w:p w14:paraId="1A468F3B" w14:textId="1D93B03C" w:rsidR="006507E8" w:rsidRPr="00286216" w:rsidRDefault="006507E8" w:rsidP="006507E8">
            <w:pPr>
              <w:pStyle w:val="StyleZakonu"/>
              <w:rPr>
                <w:color w:val="000000" w:themeColor="text1"/>
              </w:rPr>
            </w:pPr>
            <w:r w:rsidRPr="00286216">
              <w:rPr>
                <w:color w:val="000000" w:themeColor="text1"/>
              </w:rPr>
              <w:t>3) подання звітних даних до Національної комісії з цінних паперів та фондового ринку.</w:t>
            </w:r>
          </w:p>
        </w:tc>
      </w:tr>
      <w:tr w:rsidR="006507E8" w:rsidRPr="00286216" w14:paraId="03D640BC" w14:textId="77777777" w:rsidTr="00091AA5">
        <w:tc>
          <w:tcPr>
            <w:tcW w:w="576" w:type="dxa"/>
          </w:tcPr>
          <w:p w14:paraId="108ECD44" w14:textId="77777777" w:rsidR="006507E8" w:rsidRPr="00286216" w:rsidRDefault="006507E8" w:rsidP="006507E8">
            <w:pPr>
              <w:pStyle w:val="StyleWisnow"/>
              <w:rPr>
                <w:color w:val="000000" w:themeColor="text1"/>
              </w:rPr>
            </w:pPr>
            <w:bookmarkStart w:id="1047" w:name="n1313" w:colFirst="0" w:colLast="0"/>
            <w:bookmarkEnd w:id="1046"/>
            <w:r w:rsidRPr="00286216">
              <w:rPr>
                <w:color w:val="000000" w:themeColor="text1"/>
              </w:rPr>
              <w:t>1313.</w:t>
            </w:r>
          </w:p>
        </w:tc>
        <w:tc>
          <w:tcPr>
            <w:tcW w:w="4818" w:type="dxa"/>
          </w:tcPr>
          <w:p w14:paraId="51655D7A" w14:textId="77777777" w:rsidR="006507E8" w:rsidRPr="00286216" w:rsidRDefault="006507E8" w:rsidP="006507E8">
            <w:pPr>
              <w:pStyle w:val="StyleZakonu"/>
              <w:rPr>
                <w:color w:val="000000" w:themeColor="text1"/>
              </w:rPr>
            </w:pPr>
            <w:r w:rsidRPr="00286216">
              <w:rPr>
                <w:color w:val="000000" w:themeColor="text1"/>
              </w:rPr>
              <w:t>2. Авторизація здійснюється шляхом включення юридичних осіб до Реєстру осіб, уповноважених надавати інформаційні послуги на ринках капіталу та організованих товарних ринках (далі - Реєстр уповноважених осіб).</w:t>
            </w:r>
          </w:p>
        </w:tc>
        <w:tc>
          <w:tcPr>
            <w:tcW w:w="3686" w:type="dxa"/>
          </w:tcPr>
          <w:p w14:paraId="38BFFEDE" w14:textId="77777777" w:rsidR="006507E8" w:rsidRPr="00286216" w:rsidRDefault="006507E8" w:rsidP="006507E8">
            <w:pPr>
              <w:pStyle w:val="StyleProp"/>
              <w:rPr>
                <w:color w:val="000000" w:themeColor="text1"/>
                <w:szCs w:val="18"/>
              </w:rPr>
            </w:pPr>
          </w:p>
        </w:tc>
        <w:tc>
          <w:tcPr>
            <w:tcW w:w="1987" w:type="dxa"/>
          </w:tcPr>
          <w:p w14:paraId="38A1538E" w14:textId="77777777" w:rsidR="006507E8" w:rsidRPr="00286216" w:rsidRDefault="006507E8" w:rsidP="006507E8">
            <w:pPr>
              <w:pStyle w:val="StyleWisnow"/>
              <w:rPr>
                <w:color w:val="000000" w:themeColor="text1"/>
              </w:rPr>
            </w:pPr>
          </w:p>
        </w:tc>
        <w:tc>
          <w:tcPr>
            <w:tcW w:w="4818" w:type="dxa"/>
          </w:tcPr>
          <w:p w14:paraId="200F3E50" w14:textId="3E06B660" w:rsidR="006507E8" w:rsidRPr="00286216" w:rsidRDefault="006507E8" w:rsidP="006507E8">
            <w:pPr>
              <w:pStyle w:val="StyleZakonu"/>
              <w:rPr>
                <w:color w:val="000000" w:themeColor="text1"/>
              </w:rPr>
            </w:pPr>
            <w:r w:rsidRPr="00286216">
              <w:rPr>
                <w:color w:val="000000" w:themeColor="text1"/>
              </w:rPr>
              <w:t>2. Авторизація здійснюється шляхом включення юридичних осіб до Реєстру осіб, уповноважених надавати інформаційні послуги на ринках капіталу та організованих товарних ринках (далі - Реєстр уповноважених осіб).</w:t>
            </w:r>
          </w:p>
        </w:tc>
      </w:tr>
      <w:tr w:rsidR="006507E8" w:rsidRPr="00286216" w14:paraId="48C970AC" w14:textId="77777777" w:rsidTr="00091AA5">
        <w:tc>
          <w:tcPr>
            <w:tcW w:w="576" w:type="dxa"/>
          </w:tcPr>
          <w:p w14:paraId="4D7E0C37" w14:textId="77777777" w:rsidR="006507E8" w:rsidRPr="00286216" w:rsidRDefault="006507E8" w:rsidP="006507E8">
            <w:pPr>
              <w:pStyle w:val="StyleWisnow"/>
              <w:rPr>
                <w:color w:val="000000" w:themeColor="text1"/>
              </w:rPr>
            </w:pPr>
            <w:bookmarkStart w:id="1048" w:name="n1314" w:colFirst="0" w:colLast="0"/>
            <w:bookmarkEnd w:id="1047"/>
            <w:r w:rsidRPr="00286216">
              <w:rPr>
                <w:color w:val="000000" w:themeColor="text1"/>
              </w:rPr>
              <w:t>1314.</w:t>
            </w:r>
          </w:p>
        </w:tc>
        <w:tc>
          <w:tcPr>
            <w:tcW w:w="4818" w:type="dxa"/>
          </w:tcPr>
          <w:p w14:paraId="77A7825A" w14:textId="77777777" w:rsidR="006507E8" w:rsidRPr="00286216" w:rsidRDefault="006507E8" w:rsidP="006507E8">
            <w:pPr>
              <w:pStyle w:val="StyleZakonu"/>
              <w:rPr>
                <w:color w:val="000000" w:themeColor="text1"/>
              </w:rPr>
            </w:pPr>
            <w:r w:rsidRPr="00286216">
              <w:rPr>
                <w:color w:val="000000" w:themeColor="text1"/>
              </w:rPr>
              <w:t>Авторизації підлягає кожний окремий вид діяльності, визначений частиною першою цієї статті.</w:t>
            </w:r>
          </w:p>
        </w:tc>
        <w:tc>
          <w:tcPr>
            <w:tcW w:w="3686" w:type="dxa"/>
          </w:tcPr>
          <w:p w14:paraId="7040B7DE" w14:textId="77777777" w:rsidR="006507E8" w:rsidRPr="00286216" w:rsidRDefault="006507E8" w:rsidP="006507E8">
            <w:pPr>
              <w:pStyle w:val="StyleProp"/>
              <w:rPr>
                <w:color w:val="000000" w:themeColor="text1"/>
                <w:szCs w:val="18"/>
              </w:rPr>
            </w:pPr>
          </w:p>
        </w:tc>
        <w:tc>
          <w:tcPr>
            <w:tcW w:w="1987" w:type="dxa"/>
          </w:tcPr>
          <w:p w14:paraId="7DDAC58B" w14:textId="77777777" w:rsidR="006507E8" w:rsidRPr="00286216" w:rsidRDefault="006507E8" w:rsidP="006507E8">
            <w:pPr>
              <w:pStyle w:val="StyleWisnow"/>
              <w:rPr>
                <w:color w:val="000000" w:themeColor="text1"/>
              </w:rPr>
            </w:pPr>
          </w:p>
        </w:tc>
        <w:tc>
          <w:tcPr>
            <w:tcW w:w="4818" w:type="dxa"/>
          </w:tcPr>
          <w:p w14:paraId="4CD9561D" w14:textId="7041B408" w:rsidR="006507E8" w:rsidRPr="00286216" w:rsidRDefault="006507E8" w:rsidP="006507E8">
            <w:pPr>
              <w:pStyle w:val="StyleZakonu"/>
              <w:rPr>
                <w:color w:val="000000" w:themeColor="text1"/>
              </w:rPr>
            </w:pPr>
            <w:r w:rsidRPr="00286216">
              <w:rPr>
                <w:color w:val="000000" w:themeColor="text1"/>
              </w:rPr>
              <w:t>Авторизації підлягає кожний окремий вид діяльності, визначений частиною першою цієї статті.</w:t>
            </w:r>
          </w:p>
        </w:tc>
      </w:tr>
      <w:tr w:rsidR="006507E8" w:rsidRPr="00286216" w14:paraId="444C5284" w14:textId="77777777" w:rsidTr="00091AA5">
        <w:tc>
          <w:tcPr>
            <w:tcW w:w="576" w:type="dxa"/>
          </w:tcPr>
          <w:p w14:paraId="72F46407" w14:textId="77777777" w:rsidR="006507E8" w:rsidRPr="00286216" w:rsidRDefault="006507E8" w:rsidP="006507E8">
            <w:pPr>
              <w:pStyle w:val="StyleWisnow"/>
              <w:rPr>
                <w:color w:val="000000" w:themeColor="text1"/>
              </w:rPr>
            </w:pPr>
            <w:bookmarkStart w:id="1049" w:name="n1315" w:colFirst="0" w:colLast="0"/>
            <w:bookmarkEnd w:id="1048"/>
            <w:r w:rsidRPr="00286216">
              <w:rPr>
                <w:color w:val="000000" w:themeColor="text1"/>
              </w:rPr>
              <w:t>1315.</w:t>
            </w:r>
          </w:p>
        </w:tc>
        <w:tc>
          <w:tcPr>
            <w:tcW w:w="4818" w:type="dxa"/>
          </w:tcPr>
          <w:p w14:paraId="24AE4FD0" w14:textId="77777777" w:rsidR="006507E8" w:rsidRPr="00286216" w:rsidRDefault="006507E8" w:rsidP="006507E8">
            <w:pPr>
              <w:pStyle w:val="StyleZakonu"/>
              <w:rPr>
                <w:color w:val="000000" w:themeColor="text1"/>
              </w:rPr>
            </w:pPr>
            <w:r w:rsidRPr="00286216">
              <w:rPr>
                <w:color w:val="000000" w:themeColor="text1"/>
              </w:rPr>
              <w:t xml:space="preserve">Порядок ведення Реєстру уповноважених осіб та оприлюднення інформації з нього встановлюється Національною комісією з цінних паперів та </w:t>
            </w:r>
            <w:r w:rsidRPr="00286216">
              <w:rPr>
                <w:color w:val="000000" w:themeColor="text1"/>
              </w:rPr>
              <w:lastRenderedPageBreak/>
              <w:t>фондового ринку.</w:t>
            </w:r>
          </w:p>
        </w:tc>
        <w:tc>
          <w:tcPr>
            <w:tcW w:w="3686" w:type="dxa"/>
          </w:tcPr>
          <w:p w14:paraId="4E38AE5C" w14:textId="77777777" w:rsidR="006507E8" w:rsidRPr="00286216" w:rsidRDefault="006507E8" w:rsidP="006507E8">
            <w:pPr>
              <w:pStyle w:val="StyleProp"/>
              <w:rPr>
                <w:color w:val="000000" w:themeColor="text1"/>
                <w:szCs w:val="18"/>
              </w:rPr>
            </w:pPr>
          </w:p>
        </w:tc>
        <w:tc>
          <w:tcPr>
            <w:tcW w:w="1987" w:type="dxa"/>
          </w:tcPr>
          <w:p w14:paraId="6F85EA6B" w14:textId="77777777" w:rsidR="006507E8" w:rsidRPr="00286216" w:rsidRDefault="006507E8" w:rsidP="006507E8">
            <w:pPr>
              <w:pStyle w:val="StyleWisnow"/>
              <w:rPr>
                <w:color w:val="000000" w:themeColor="text1"/>
              </w:rPr>
            </w:pPr>
          </w:p>
        </w:tc>
        <w:tc>
          <w:tcPr>
            <w:tcW w:w="4818" w:type="dxa"/>
          </w:tcPr>
          <w:p w14:paraId="7F7EF364" w14:textId="77BC932A" w:rsidR="006507E8" w:rsidRPr="00286216" w:rsidRDefault="006507E8" w:rsidP="006507E8">
            <w:pPr>
              <w:pStyle w:val="StyleZakonu"/>
              <w:rPr>
                <w:color w:val="000000" w:themeColor="text1"/>
              </w:rPr>
            </w:pPr>
            <w:r w:rsidRPr="00286216">
              <w:rPr>
                <w:color w:val="000000" w:themeColor="text1"/>
              </w:rPr>
              <w:t xml:space="preserve">Порядок ведення Реєстру уповноважених осіб та оприлюднення інформації з нього встановлюється Національною комісією з цінних паперів та </w:t>
            </w:r>
            <w:r w:rsidRPr="00286216">
              <w:rPr>
                <w:color w:val="000000" w:themeColor="text1"/>
              </w:rPr>
              <w:lastRenderedPageBreak/>
              <w:t>фондового ринку.</w:t>
            </w:r>
          </w:p>
        </w:tc>
      </w:tr>
      <w:tr w:rsidR="006507E8" w:rsidRPr="00286216" w14:paraId="22AEEC38" w14:textId="77777777" w:rsidTr="00091AA5">
        <w:tc>
          <w:tcPr>
            <w:tcW w:w="576" w:type="dxa"/>
          </w:tcPr>
          <w:p w14:paraId="3F06704A" w14:textId="77777777" w:rsidR="006507E8" w:rsidRPr="00286216" w:rsidRDefault="006507E8" w:rsidP="006507E8">
            <w:pPr>
              <w:pStyle w:val="StyleWisnow"/>
              <w:rPr>
                <w:color w:val="000000" w:themeColor="text1"/>
              </w:rPr>
            </w:pPr>
            <w:bookmarkStart w:id="1050" w:name="n1316" w:colFirst="0" w:colLast="0"/>
            <w:bookmarkEnd w:id="1049"/>
            <w:r w:rsidRPr="00286216">
              <w:rPr>
                <w:color w:val="000000" w:themeColor="text1"/>
              </w:rPr>
              <w:lastRenderedPageBreak/>
              <w:t>1316.</w:t>
            </w:r>
          </w:p>
        </w:tc>
        <w:tc>
          <w:tcPr>
            <w:tcW w:w="4818" w:type="dxa"/>
          </w:tcPr>
          <w:p w14:paraId="750E94A8" w14:textId="77777777" w:rsidR="006507E8" w:rsidRPr="00286216" w:rsidRDefault="006507E8" w:rsidP="006507E8">
            <w:pPr>
              <w:pStyle w:val="StyleZakonu"/>
              <w:rPr>
                <w:color w:val="000000" w:themeColor="text1"/>
              </w:rPr>
            </w:pPr>
            <w:r w:rsidRPr="00286216">
              <w:rPr>
                <w:color w:val="000000" w:themeColor="text1"/>
              </w:rPr>
              <w:t>3. Нагляд та контроль за здійсненням діяльності з надання інформаційних послуг на ринках капіталу та організованих товарних ринках здійснюється Національною комісією з цінних паперів та фондового ринку.</w:t>
            </w:r>
          </w:p>
        </w:tc>
        <w:tc>
          <w:tcPr>
            <w:tcW w:w="3686" w:type="dxa"/>
          </w:tcPr>
          <w:p w14:paraId="4B69DFB3" w14:textId="77777777" w:rsidR="006507E8" w:rsidRPr="00286216" w:rsidRDefault="006507E8" w:rsidP="006507E8">
            <w:pPr>
              <w:pStyle w:val="StyleProp"/>
              <w:rPr>
                <w:color w:val="000000" w:themeColor="text1"/>
                <w:szCs w:val="18"/>
              </w:rPr>
            </w:pPr>
          </w:p>
        </w:tc>
        <w:tc>
          <w:tcPr>
            <w:tcW w:w="1987" w:type="dxa"/>
          </w:tcPr>
          <w:p w14:paraId="37B7BACF" w14:textId="77777777" w:rsidR="006507E8" w:rsidRPr="00286216" w:rsidRDefault="006507E8" w:rsidP="006507E8">
            <w:pPr>
              <w:pStyle w:val="StyleWisnow"/>
              <w:rPr>
                <w:color w:val="000000" w:themeColor="text1"/>
              </w:rPr>
            </w:pPr>
          </w:p>
        </w:tc>
        <w:tc>
          <w:tcPr>
            <w:tcW w:w="4818" w:type="dxa"/>
          </w:tcPr>
          <w:p w14:paraId="1E865671" w14:textId="345DE745" w:rsidR="006507E8" w:rsidRPr="00286216" w:rsidRDefault="006507E8" w:rsidP="006507E8">
            <w:pPr>
              <w:pStyle w:val="StyleZakonu"/>
              <w:rPr>
                <w:color w:val="000000" w:themeColor="text1"/>
              </w:rPr>
            </w:pPr>
            <w:r w:rsidRPr="00286216">
              <w:rPr>
                <w:color w:val="000000" w:themeColor="text1"/>
              </w:rPr>
              <w:t>3. Нагляд та контроль за здійсненням діяльності з надання інформаційних послуг на ринках капіталу та організованих товарних ринках здійснюється Національною комісією з цінних паперів та фондового ринку.</w:t>
            </w:r>
          </w:p>
        </w:tc>
      </w:tr>
      <w:tr w:rsidR="006507E8" w:rsidRPr="00286216" w14:paraId="601CBD86" w14:textId="77777777" w:rsidTr="00091AA5">
        <w:tc>
          <w:tcPr>
            <w:tcW w:w="576" w:type="dxa"/>
          </w:tcPr>
          <w:p w14:paraId="2BA8D88B" w14:textId="77777777" w:rsidR="006507E8" w:rsidRPr="00286216" w:rsidRDefault="006507E8" w:rsidP="006507E8">
            <w:pPr>
              <w:pStyle w:val="StyleWisnow"/>
              <w:rPr>
                <w:color w:val="000000" w:themeColor="text1"/>
              </w:rPr>
            </w:pPr>
            <w:bookmarkStart w:id="1051" w:name="n1317" w:colFirst="0" w:colLast="0"/>
            <w:bookmarkEnd w:id="1050"/>
            <w:r w:rsidRPr="00286216">
              <w:rPr>
                <w:color w:val="000000" w:themeColor="text1"/>
              </w:rPr>
              <w:t>1317.</w:t>
            </w:r>
          </w:p>
        </w:tc>
        <w:tc>
          <w:tcPr>
            <w:tcW w:w="4818" w:type="dxa"/>
          </w:tcPr>
          <w:p w14:paraId="078808D1" w14:textId="77777777" w:rsidR="006507E8" w:rsidRPr="00286216" w:rsidRDefault="006507E8" w:rsidP="006507E8">
            <w:pPr>
              <w:pStyle w:val="StyleZakonu"/>
              <w:rPr>
                <w:color w:val="000000" w:themeColor="text1"/>
              </w:rPr>
            </w:pPr>
            <w:r w:rsidRPr="00286216">
              <w:rPr>
                <w:color w:val="000000" w:themeColor="text1"/>
              </w:rPr>
              <w:t>4. Діяльність з надання інформаційних послуг на ринках капіталу та організованих товарних ринках провадиться на підставі відповідних договорів, вимоги до яких встановлюються Національною комісією з цінних паперів та фондового ринку.</w:t>
            </w:r>
          </w:p>
        </w:tc>
        <w:tc>
          <w:tcPr>
            <w:tcW w:w="3686" w:type="dxa"/>
          </w:tcPr>
          <w:p w14:paraId="08C6F5DF" w14:textId="77777777" w:rsidR="006507E8" w:rsidRPr="00286216" w:rsidRDefault="006507E8" w:rsidP="006507E8">
            <w:pPr>
              <w:pStyle w:val="StyleProp"/>
              <w:rPr>
                <w:color w:val="000000" w:themeColor="text1"/>
                <w:szCs w:val="18"/>
              </w:rPr>
            </w:pPr>
          </w:p>
        </w:tc>
        <w:tc>
          <w:tcPr>
            <w:tcW w:w="1987" w:type="dxa"/>
          </w:tcPr>
          <w:p w14:paraId="53D32B7A" w14:textId="77777777" w:rsidR="006507E8" w:rsidRPr="00286216" w:rsidRDefault="006507E8" w:rsidP="006507E8">
            <w:pPr>
              <w:pStyle w:val="StyleWisnow"/>
              <w:rPr>
                <w:color w:val="000000" w:themeColor="text1"/>
              </w:rPr>
            </w:pPr>
          </w:p>
        </w:tc>
        <w:tc>
          <w:tcPr>
            <w:tcW w:w="4818" w:type="dxa"/>
          </w:tcPr>
          <w:p w14:paraId="6737BB63" w14:textId="2E887EE0" w:rsidR="006507E8" w:rsidRPr="00286216" w:rsidRDefault="006507E8" w:rsidP="006507E8">
            <w:pPr>
              <w:pStyle w:val="StyleZakonu"/>
              <w:rPr>
                <w:color w:val="000000" w:themeColor="text1"/>
              </w:rPr>
            </w:pPr>
            <w:r w:rsidRPr="00286216">
              <w:rPr>
                <w:color w:val="000000" w:themeColor="text1"/>
              </w:rPr>
              <w:t>4. Діяльність з надання інформаційних послуг на ринках капіталу та організованих товарних ринках провадиться на підставі відповідних договорів, вимоги до яких встановлюються Національною комісією з цінних паперів та фондового ринку.</w:t>
            </w:r>
          </w:p>
        </w:tc>
      </w:tr>
      <w:tr w:rsidR="006507E8" w:rsidRPr="00286216" w14:paraId="17E7A9B1" w14:textId="77777777" w:rsidTr="00091AA5">
        <w:tc>
          <w:tcPr>
            <w:tcW w:w="576" w:type="dxa"/>
          </w:tcPr>
          <w:p w14:paraId="499FA17C" w14:textId="77777777" w:rsidR="006507E8" w:rsidRPr="00286216" w:rsidRDefault="006507E8" w:rsidP="006507E8">
            <w:pPr>
              <w:pStyle w:val="StyleWisnow"/>
              <w:rPr>
                <w:color w:val="000000" w:themeColor="text1"/>
              </w:rPr>
            </w:pPr>
            <w:bookmarkStart w:id="1052" w:name="n1318" w:colFirst="0" w:colLast="0"/>
            <w:bookmarkEnd w:id="1051"/>
            <w:r w:rsidRPr="00286216">
              <w:rPr>
                <w:color w:val="000000" w:themeColor="text1"/>
              </w:rPr>
              <w:t>1318.</w:t>
            </w:r>
          </w:p>
        </w:tc>
        <w:tc>
          <w:tcPr>
            <w:tcW w:w="4818" w:type="dxa"/>
          </w:tcPr>
          <w:p w14:paraId="0C02E9CB" w14:textId="77777777" w:rsidR="006507E8" w:rsidRPr="00286216" w:rsidRDefault="006507E8" w:rsidP="006507E8">
            <w:pPr>
              <w:pStyle w:val="StyleZakonu"/>
              <w:rPr>
                <w:color w:val="000000" w:themeColor="text1"/>
              </w:rPr>
            </w:pPr>
            <w:r w:rsidRPr="00286216">
              <w:rPr>
                <w:color w:val="000000" w:themeColor="text1"/>
              </w:rPr>
              <w:t>Стаття 74. Особи, які мають право провадити діяльність з надання інформаційних послуг на ринках капіталу та організованих товарних ринках</w:t>
            </w:r>
          </w:p>
        </w:tc>
        <w:tc>
          <w:tcPr>
            <w:tcW w:w="3686" w:type="dxa"/>
          </w:tcPr>
          <w:p w14:paraId="66CFB8C1" w14:textId="77777777" w:rsidR="006507E8" w:rsidRPr="00286216" w:rsidRDefault="006507E8" w:rsidP="006507E8">
            <w:pPr>
              <w:pStyle w:val="StyleProp"/>
              <w:rPr>
                <w:color w:val="000000" w:themeColor="text1"/>
                <w:szCs w:val="18"/>
              </w:rPr>
            </w:pPr>
          </w:p>
        </w:tc>
        <w:tc>
          <w:tcPr>
            <w:tcW w:w="1987" w:type="dxa"/>
          </w:tcPr>
          <w:p w14:paraId="49EFC42A" w14:textId="77777777" w:rsidR="006507E8" w:rsidRPr="00286216" w:rsidRDefault="006507E8" w:rsidP="006507E8">
            <w:pPr>
              <w:pStyle w:val="StyleWisnow"/>
              <w:rPr>
                <w:color w:val="000000" w:themeColor="text1"/>
              </w:rPr>
            </w:pPr>
          </w:p>
        </w:tc>
        <w:tc>
          <w:tcPr>
            <w:tcW w:w="4818" w:type="dxa"/>
          </w:tcPr>
          <w:p w14:paraId="0E45695C" w14:textId="2EABC0AA" w:rsidR="006507E8" w:rsidRPr="00286216" w:rsidRDefault="006507E8" w:rsidP="006507E8">
            <w:pPr>
              <w:pStyle w:val="StyleZakonu"/>
              <w:rPr>
                <w:color w:val="000000" w:themeColor="text1"/>
              </w:rPr>
            </w:pPr>
            <w:r w:rsidRPr="00286216">
              <w:rPr>
                <w:color w:val="000000" w:themeColor="text1"/>
              </w:rPr>
              <w:t>Стаття 78. Особи, які мають право провадити діяльність з надання інформаційних послуг на ринках капіталу та організованих товарних ринках</w:t>
            </w:r>
          </w:p>
        </w:tc>
      </w:tr>
      <w:tr w:rsidR="006507E8" w:rsidRPr="00286216" w14:paraId="19E8C7C6" w14:textId="77777777" w:rsidTr="00091AA5">
        <w:tc>
          <w:tcPr>
            <w:tcW w:w="576" w:type="dxa"/>
          </w:tcPr>
          <w:p w14:paraId="2D65B8C7" w14:textId="77777777" w:rsidR="006507E8" w:rsidRPr="00286216" w:rsidRDefault="006507E8" w:rsidP="006507E8">
            <w:pPr>
              <w:pStyle w:val="StyleWisnow"/>
              <w:rPr>
                <w:color w:val="000000" w:themeColor="text1"/>
              </w:rPr>
            </w:pPr>
            <w:bookmarkStart w:id="1053" w:name="n1319" w:colFirst="0" w:colLast="0"/>
            <w:bookmarkEnd w:id="1052"/>
            <w:r w:rsidRPr="00286216">
              <w:rPr>
                <w:color w:val="000000" w:themeColor="text1"/>
              </w:rPr>
              <w:t>1319.</w:t>
            </w:r>
          </w:p>
        </w:tc>
        <w:tc>
          <w:tcPr>
            <w:tcW w:w="4818" w:type="dxa"/>
          </w:tcPr>
          <w:p w14:paraId="326E7D17" w14:textId="77777777" w:rsidR="006507E8" w:rsidRPr="00286216" w:rsidRDefault="006507E8" w:rsidP="006507E8">
            <w:pPr>
              <w:pStyle w:val="StyleZakonu"/>
              <w:rPr>
                <w:color w:val="000000" w:themeColor="text1"/>
              </w:rPr>
            </w:pPr>
            <w:r w:rsidRPr="00286216">
              <w:rPr>
                <w:color w:val="000000" w:themeColor="text1"/>
              </w:rPr>
              <w:t>1. Юридичні особи, у тому числі професійні учасники ринків капіталу та організованих товарних ринків, провадять діяльність з надання інформаційних послуг на ринках капіталу та організованих товарних ринках за умови їх включення до Реєстру уповноважених осіб та отримання свідоцтва про включення до Реєстру осіб, уповноважених надавати інформаційні послуги на ринках капіталу та організованих товарних ринках (далі - свідоцтво про включення до Реєстру).</w:t>
            </w:r>
          </w:p>
        </w:tc>
        <w:tc>
          <w:tcPr>
            <w:tcW w:w="3686" w:type="dxa"/>
          </w:tcPr>
          <w:p w14:paraId="53C1AA2E" w14:textId="77777777" w:rsidR="006507E8" w:rsidRPr="00286216" w:rsidRDefault="006507E8" w:rsidP="006507E8">
            <w:pPr>
              <w:pStyle w:val="StyleProp"/>
              <w:rPr>
                <w:color w:val="000000" w:themeColor="text1"/>
                <w:szCs w:val="18"/>
              </w:rPr>
            </w:pPr>
          </w:p>
        </w:tc>
        <w:tc>
          <w:tcPr>
            <w:tcW w:w="1987" w:type="dxa"/>
          </w:tcPr>
          <w:p w14:paraId="47AA83D9" w14:textId="77777777" w:rsidR="006507E8" w:rsidRPr="00286216" w:rsidRDefault="006507E8" w:rsidP="006507E8">
            <w:pPr>
              <w:pStyle w:val="StyleWisnow"/>
              <w:rPr>
                <w:color w:val="000000" w:themeColor="text1"/>
              </w:rPr>
            </w:pPr>
          </w:p>
        </w:tc>
        <w:tc>
          <w:tcPr>
            <w:tcW w:w="4818" w:type="dxa"/>
          </w:tcPr>
          <w:p w14:paraId="7390ED34" w14:textId="56107363" w:rsidR="006507E8" w:rsidRPr="00286216" w:rsidRDefault="006507E8" w:rsidP="006507E8">
            <w:pPr>
              <w:pStyle w:val="StyleZakonu"/>
              <w:rPr>
                <w:color w:val="000000" w:themeColor="text1"/>
              </w:rPr>
            </w:pPr>
            <w:r w:rsidRPr="00286216">
              <w:rPr>
                <w:color w:val="000000" w:themeColor="text1"/>
              </w:rPr>
              <w:t>1. Юридичні особи, у тому числі професійні учасники ринків капіталу та організованих товарних ринків, провадять діяльність з надання інформаційних послуг на ринках капіталу та організованих товарних ринках за умови їх включення до Реєстру уповноважених осіб та отримання свідоцтва про включення до Реєстру осіб, уповноважених надавати інформаційні послуги на ринках капіталу та організованих товарних ринках (далі - свідоцтво про включення до Реєстру).</w:t>
            </w:r>
          </w:p>
        </w:tc>
      </w:tr>
      <w:tr w:rsidR="006507E8" w:rsidRPr="00286216" w14:paraId="0768A0E0" w14:textId="77777777" w:rsidTr="00091AA5">
        <w:tc>
          <w:tcPr>
            <w:tcW w:w="576" w:type="dxa"/>
          </w:tcPr>
          <w:p w14:paraId="1244AF5B" w14:textId="77777777" w:rsidR="006507E8" w:rsidRPr="00286216" w:rsidRDefault="006507E8" w:rsidP="006507E8">
            <w:pPr>
              <w:pStyle w:val="StyleWisnow"/>
              <w:rPr>
                <w:color w:val="000000" w:themeColor="text1"/>
              </w:rPr>
            </w:pPr>
            <w:bookmarkStart w:id="1054" w:name="n1320" w:colFirst="0" w:colLast="0"/>
            <w:bookmarkEnd w:id="1053"/>
            <w:r w:rsidRPr="00286216">
              <w:rPr>
                <w:color w:val="000000" w:themeColor="text1"/>
              </w:rPr>
              <w:t>1320.</w:t>
            </w:r>
          </w:p>
        </w:tc>
        <w:tc>
          <w:tcPr>
            <w:tcW w:w="4818" w:type="dxa"/>
          </w:tcPr>
          <w:p w14:paraId="7007E0EA" w14:textId="77777777" w:rsidR="006507E8" w:rsidRPr="00286216" w:rsidRDefault="006507E8" w:rsidP="006507E8">
            <w:pPr>
              <w:pStyle w:val="StyleZakonu"/>
              <w:rPr>
                <w:color w:val="000000" w:themeColor="text1"/>
              </w:rPr>
            </w:pPr>
            <w:r w:rsidRPr="00286216">
              <w:rPr>
                <w:color w:val="000000" w:themeColor="text1"/>
              </w:rPr>
              <w:t>Юридична особа, зареєстрована на тимчасово окупованій території України або території проведення антитерористичної операції, не може бути включена до Реєстру уповноважених осіб та не може провадити діяльність з надання інформаційних послуг на ринках капіталу та організованих товарних ринках.</w:t>
            </w:r>
          </w:p>
        </w:tc>
        <w:tc>
          <w:tcPr>
            <w:tcW w:w="3686" w:type="dxa"/>
          </w:tcPr>
          <w:p w14:paraId="794C6D50" w14:textId="77777777" w:rsidR="006507E8" w:rsidRPr="00286216" w:rsidRDefault="006507E8" w:rsidP="006507E8">
            <w:pPr>
              <w:pStyle w:val="StyleProp"/>
              <w:rPr>
                <w:color w:val="000000" w:themeColor="text1"/>
                <w:szCs w:val="18"/>
              </w:rPr>
            </w:pPr>
          </w:p>
        </w:tc>
        <w:tc>
          <w:tcPr>
            <w:tcW w:w="1987" w:type="dxa"/>
          </w:tcPr>
          <w:p w14:paraId="040A7D18" w14:textId="77777777" w:rsidR="006507E8" w:rsidRPr="00286216" w:rsidRDefault="006507E8" w:rsidP="006507E8">
            <w:pPr>
              <w:pStyle w:val="StyleWisnow"/>
              <w:rPr>
                <w:color w:val="000000" w:themeColor="text1"/>
              </w:rPr>
            </w:pPr>
          </w:p>
        </w:tc>
        <w:tc>
          <w:tcPr>
            <w:tcW w:w="4818" w:type="dxa"/>
          </w:tcPr>
          <w:p w14:paraId="216DABE8" w14:textId="17C5CED3" w:rsidR="006507E8" w:rsidRPr="00286216" w:rsidRDefault="006507E8" w:rsidP="006507E8">
            <w:pPr>
              <w:pStyle w:val="StyleZakonu"/>
              <w:rPr>
                <w:color w:val="000000" w:themeColor="text1"/>
              </w:rPr>
            </w:pPr>
            <w:r w:rsidRPr="00286216">
              <w:rPr>
                <w:color w:val="000000" w:themeColor="text1"/>
              </w:rPr>
              <w:t>Юридична особа, зареєстрована на тимчасово окупованій території України або території проведення антитерористичної операції, не може бути включена до Реєстру уповноважених осіб та не може провадити діяльність з надання інформаційних послуг на ринках капіталу та організованих товарних ринках.</w:t>
            </w:r>
          </w:p>
        </w:tc>
      </w:tr>
      <w:tr w:rsidR="006507E8" w:rsidRPr="00286216" w14:paraId="3242B60B" w14:textId="77777777" w:rsidTr="00091AA5">
        <w:tc>
          <w:tcPr>
            <w:tcW w:w="576" w:type="dxa"/>
          </w:tcPr>
          <w:p w14:paraId="53F070B0" w14:textId="77777777" w:rsidR="006507E8" w:rsidRPr="00286216" w:rsidRDefault="006507E8" w:rsidP="006507E8">
            <w:pPr>
              <w:pStyle w:val="StyleWisnow"/>
              <w:rPr>
                <w:color w:val="000000" w:themeColor="text1"/>
              </w:rPr>
            </w:pPr>
            <w:bookmarkStart w:id="1055" w:name="n1321" w:colFirst="0" w:colLast="0"/>
            <w:bookmarkEnd w:id="1054"/>
            <w:r w:rsidRPr="00286216">
              <w:rPr>
                <w:color w:val="000000" w:themeColor="text1"/>
              </w:rPr>
              <w:t>1321.</w:t>
            </w:r>
          </w:p>
        </w:tc>
        <w:tc>
          <w:tcPr>
            <w:tcW w:w="4818" w:type="dxa"/>
          </w:tcPr>
          <w:p w14:paraId="4A1FFC6F" w14:textId="77777777" w:rsidR="006507E8" w:rsidRPr="00286216" w:rsidRDefault="006507E8" w:rsidP="006507E8">
            <w:pPr>
              <w:pStyle w:val="StyleZakonu"/>
              <w:rPr>
                <w:color w:val="000000" w:themeColor="text1"/>
              </w:rPr>
            </w:pPr>
            <w:r w:rsidRPr="00286216">
              <w:rPr>
                <w:color w:val="000000" w:themeColor="text1"/>
              </w:rPr>
              <w:t>Вимоги до свідоцтва про включення до Реєстру встановлюються Національною комісією з цінних паперів та фондового ринку.</w:t>
            </w:r>
          </w:p>
        </w:tc>
        <w:tc>
          <w:tcPr>
            <w:tcW w:w="3686" w:type="dxa"/>
          </w:tcPr>
          <w:p w14:paraId="482408C3" w14:textId="77777777" w:rsidR="006507E8" w:rsidRPr="00286216" w:rsidRDefault="006507E8" w:rsidP="006507E8">
            <w:pPr>
              <w:pStyle w:val="StyleProp"/>
              <w:rPr>
                <w:color w:val="000000" w:themeColor="text1"/>
                <w:szCs w:val="18"/>
              </w:rPr>
            </w:pPr>
          </w:p>
        </w:tc>
        <w:tc>
          <w:tcPr>
            <w:tcW w:w="1987" w:type="dxa"/>
          </w:tcPr>
          <w:p w14:paraId="297103E6" w14:textId="77777777" w:rsidR="006507E8" w:rsidRPr="00286216" w:rsidRDefault="006507E8" w:rsidP="006507E8">
            <w:pPr>
              <w:pStyle w:val="StyleWisnow"/>
              <w:rPr>
                <w:color w:val="000000" w:themeColor="text1"/>
              </w:rPr>
            </w:pPr>
          </w:p>
        </w:tc>
        <w:tc>
          <w:tcPr>
            <w:tcW w:w="4818" w:type="dxa"/>
          </w:tcPr>
          <w:p w14:paraId="6FAF46F9" w14:textId="77963F4C" w:rsidR="006507E8" w:rsidRPr="00286216" w:rsidRDefault="006507E8" w:rsidP="006507E8">
            <w:pPr>
              <w:pStyle w:val="StyleZakonu"/>
              <w:rPr>
                <w:color w:val="000000" w:themeColor="text1"/>
              </w:rPr>
            </w:pPr>
            <w:r w:rsidRPr="00286216">
              <w:rPr>
                <w:color w:val="000000" w:themeColor="text1"/>
              </w:rPr>
              <w:t>Вимоги до свідоцтва про включення до Реєстру встановлюються Національною комісією з цінних паперів та фондового ринку.</w:t>
            </w:r>
          </w:p>
        </w:tc>
      </w:tr>
      <w:tr w:rsidR="006507E8" w:rsidRPr="00286216" w14:paraId="3EBBA4FD" w14:textId="77777777" w:rsidTr="00091AA5">
        <w:tc>
          <w:tcPr>
            <w:tcW w:w="576" w:type="dxa"/>
          </w:tcPr>
          <w:p w14:paraId="444E99F0" w14:textId="77777777" w:rsidR="006507E8" w:rsidRPr="00286216" w:rsidRDefault="006507E8" w:rsidP="006507E8">
            <w:pPr>
              <w:pStyle w:val="StyleWisnow"/>
              <w:rPr>
                <w:color w:val="000000" w:themeColor="text1"/>
              </w:rPr>
            </w:pPr>
            <w:bookmarkStart w:id="1056" w:name="n1322" w:colFirst="0" w:colLast="0"/>
            <w:bookmarkEnd w:id="1055"/>
            <w:r w:rsidRPr="00286216">
              <w:rPr>
                <w:color w:val="000000" w:themeColor="text1"/>
              </w:rPr>
              <w:t>1322.</w:t>
            </w:r>
          </w:p>
        </w:tc>
        <w:tc>
          <w:tcPr>
            <w:tcW w:w="4818" w:type="dxa"/>
          </w:tcPr>
          <w:p w14:paraId="16747324" w14:textId="77777777" w:rsidR="006507E8" w:rsidRPr="00286216" w:rsidRDefault="006507E8" w:rsidP="006507E8">
            <w:pPr>
              <w:pStyle w:val="StyleZakonu"/>
              <w:rPr>
                <w:color w:val="000000" w:themeColor="text1"/>
              </w:rPr>
            </w:pPr>
            <w:r w:rsidRPr="00286216">
              <w:rPr>
                <w:color w:val="000000" w:themeColor="text1"/>
              </w:rPr>
              <w:t>2. Вимоги, до особи, яка має намір провадити діяльність з надання інформаційних послуг на ринках капіталу та організованих товарних ринках, для включення її до Реєстру уповноважених осіб встановлюються цим Законом та нормативно-правовими актами Національної комісії з цінних паперів та фондового ринку.</w:t>
            </w:r>
          </w:p>
        </w:tc>
        <w:tc>
          <w:tcPr>
            <w:tcW w:w="3686" w:type="dxa"/>
          </w:tcPr>
          <w:p w14:paraId="0C71F596" w14:textId="77777777" w:rsidR="006507E8" w:rsidRPr="00286216" w:rsidRDefault="006507E8" w:rsidP="006507E8">
            <w:pPr>
              <w:pStyle w:val="StyleProp"/>
              <w:rPr>
                <w:color w:val="000000" w:themeColor="text1"/>
                <w:szCs w:val="18"/>
              </w:rPr>
            </w:pPr>
          </w:p>
        </w:tc>
        <w:tc>
          <w:tcPr>
            <w:tcW w:w="1987" w:type="dxa"/>
          </w:tcPr>
          <w:p w14:paraId="0AE7363D" w14:textId="77777777" w:rsidR="006507E8" w:rsidRPr="00286216" w:rsidRDefault="006507E8" w:rsidP="006507E8">
            <w:pPr>
              <w:pStyle w:val="StyleWisnow"/>
              <w:rPr>
                <w:color w:val="000000" w:themeColor="text1"/>
              </w:rPr>
            </w:pPr>
          </w:p>
        </w:tc>
        <w:tc>
          <w:tcPr>
            <w:tcW w:w="4818" w:type="dxa"/>
          </w:tcPr>
          <w:p w14:paraId="63188538" w14:textId="650641CB" w:rsidR="006507E8" w:rsidRPr="00286216" w:rsidRDefault="006507E8" w:rsidP="006507E8">
            <w:pPr>
              <w:pStyle w:val="StyleZakonu"/>
              <w:rPr>
                <w:color w:val="000000" w:themeColor="text1"/>
              </w:rPr>
            </w:pPr>
            <w:r w:rsidRPr="00286216">
              <w:rPr>
                <w:color w:val="000000" w:themeColor="text1"/>
              </w:rPr>
              <w:t>2. Вимоги до особи, яка має намір провадити діяльність з надання інформаційних послуг на ринках капіталу та організованих товарних ринках, для включення її до Реєстру уповноважених осіб встановлюються цим Законом та нормативно-правовими актами Національної комісії з цінних паперів та фондового ринку.</w:t>
            </w:r>
          </w:p>
        </w:tc>
      </w:tr>
      <w:tr w:rsidR="006507E8" w:rsidRPr="00286216" w14:paraId="707BA0C8" w14:textId="77777777" w:rsidTr="00091AA5">
        <w:tc>
          <w:tcPr>
            <w:tcW w:w="576" w:type="dxa"/>
          </w:tcPr>
          <w:p w14:paraId="3FB54A1D" w14:textId="77777777" w:rsidR="006507E8" w:rsidRPr="00286216" w:rsidRDefault="006507E8" w:rsidP="006507E8">
            <w:pPr>
              <w:pStyle w:val="StyleWisnow"/>
              <w:rPr>
                <w:color w:val="000000" w:themeColor="text1"/>
              </w:rPr>
            </w:pPr>
            <w:bookmarkStart w:id="1057" w:name="n1323" w:colFirst="0" w:colLast="0"/>
            <w:bookmarkEnd w:id="1056"/>
            <w:r w:rsidRPr="00286216">
              <w:rPr>
                <w:color w:val="000000" w:themeColor="text1"/>
              </w:rPr>
              <w:t>1323.</w:t>
            </w:r>
          </w:p>
        </w:tc>
        <w:tc>
          <w:tcPr>
            <w:tcW w:w="4818" w:type="dxa"/>
          </w:tcPr>
          <w:p w14:paraId="28E909F6" w14:textId="77777777" w:rsidR="006507E8" w:rsidRPr="00286216" w:rsidRDefault="006507E8" w:rsidP="006507E8">
            <w:pPr>
              <w:pStyle w:val="StyleZakonu"/>
              <w:rPr>
                <w:color w:val="000000" w:themeColor="text1"/>
              </w:rPr>
            </w:pPr>
            <w:r w:rsidRPr="00286216">
              <w:rPr>
                <w:color w:val="000000" w:themeColor="text1"/>
              </w:rPr>
              <w:t xml:space="preserve">Особи, які провадять діяльність з надання інформаційних послуг на ринках капіталу та організованих товарних ринках, зобов’язані </w:t>
            </w:r>
            <w:r w:rsidRPr="00286216">
              <w:rPr>
                <w:color w:val="000000" w:themeColor="text1"/>
              </w:rPr>
              <w:lastRenderedPageBreak/>
              <w:t>дотримуватись зазначених вимог протягом усього періоду провадження ними такої діяльності.</w:t>
            </w:r>
          </w:p>
        </w:tc>
        <w:tc>
          <w:tcPr>
            <w:tcW w:w="3686" w:type="dxa"/>
          </w:tcPr>
          <w:p w14:paraId="0F2FEA87" w14:textId="77777777" w:rsidR="006507E8" w:rsidRPr="00286216" w:rsidRDefault="006507E8" w:rsidP="006507E8">
            <w:pPr>
              <w:pStyle w:val="StyleProp"/>
              <w:rPr>
                <w:color w:val="000000" w:themeColor="text1"/>
                <w:szCs w:val="18"/>
              </w:rPr>
            </w:pPr>
          </w:p>
        </w:tc>
        <w:tc>
          <w:tcPr>
            <w:tcW w:w="1987" w:type="dxa"/>
          </w:tcPr>
          <w:p w14:paraId="3C44ED72" w14:textId="77777777" w:rsidR="006507E8" w:rsidRPr="00286216" w:rsidRDefault="006507E8" w:rsidP="006507E8">
            <w:pPr>
              <w:pStyle w:val="StyleWisnow"/>
              <w:rPr>
                <w:color w:val="000000" w:themeColor="text1"/>
              </w:rPr>
            </w:pPr>
          </w:p>
        </w:tc>
        <w:tc>
          <w:tcPr>
            <w:tcW w:w="4818" w:type="dxa"/>
          </w:tcPr>
          <w:p w14:paraId="3B56154B" w14:textId="55D6FC77" w:rsidR="006507E8" w:rsidRPr="00286216" w:rsidRDefault="006507E8" w:rsidP="006507E8">
            <w:pPr>
              <w:pStyle w:val="StyleZakonu"/>
              <w:rPr>
                <w:color w:val="000000" w:themeColor="text1"/>
              </w:rPr>
            </w:pPr>
            <w:r w:rsidRPr="00286216">
              <w:rPr>
                <w:color w:val="000000" w:themeColor="text1"/>
              </w:rPr>
              <w:t xml:space="preserve">Особи, які провадять діяльність з надання інформаційних послуг на ринках капіталу та організованих товарних ринках, зобов’язані </w:t>
            </w:r>
            <w:r w:rsidRPr="00286216">
              <w:rPr>
                <w:color w:val="000000" w:themeColor="text1"/>
              </w:rPr>
              <w:lastRenderedPageBreak/>
              <w:t>дотримуватися зазначених вимог протягом усього періоду провадження ними такої діяльності.</w:t>
            </w:r>
          </w:p>
        </w:tc>
      </w:tr>
      <w:tr w:rsidR="006507E8" w:rsidRPr="00286216" w14:paraId="59562999" w14:textId="77777777" w:rsidTr="00091AA5">
        <w:tc>
          <w:tcPr>
            <w:tcW w:w="576" w:type="dxa"/>
          </w:tcPr>
          <w:p w14:paraId="51D3FDE2" w14:textId="77777777" w:rsidR="006507E8" w:rsidRPr="00286216" w:rsidRDefault="006507E8" w:rsidP="006507E8">
            <w:pPr>
              <w:pStyle w:val="StyleWisnow"/>
              <w:rPr>
                <w:color w:val="000000" w:themeColor="text1"/>
              </w:rPr>
            </w:pPr>
            <w:bookmarkStart w:id="1058" w:name="n1324" w:colFirst="0" w:colLast="0"/>
            <w:bookmarkEnd w:id="1057"/>
            <w:r w:rsidRPr="00286216">
              <w:rPr>
                <w:color w:val="000000" w:themeColor="text1"/>
              </w:rPr>
              <w:lastRenderedPageBreak/>
              <w:t>1324.</w:t>
            </w:r>
          </w:p>
        </w:tc>
        <w:tc>
          <w:tcPr>
            <w:tcW w:w="4818" w:type="dxa"/>
          </w:tcPr>
          <w:p w14:paraId="4CBFB03A" w14:textId="77777777" w:rsidR="006507E8" w:rsidRPr="00286216" w:rsidRDefault="006507E8" w:rsidP="006507E8">
            <w:pPr>
              <w:pStyle w:val="StyleZakonu"/>
              <w:rPr>
                <w:color w:val="000000" w:themeColor="text1"/>
              </w:rPr>
            </w:pPr>
            <w:r w:rsidRPr="00286216">
              <w:rPr>
                <w:color w:val="000000" w:themeColor="text1"/>
              </w:rPr>
              <w:t>3. Юридична особа має право провадити діяльність з надання інформаційних послуг на ринках капіталу та організованих товарних ринках виключно після отримання свідоцтва про включення до Реєстру.</w:t>
            </w:r>
          </w:p>
        </w:tc>
        <w:tc>
          <w:tcPr>
            <w:tcW w:w="3686" w:type="dxa"/>
          </w:tcPr>
          <w:p w14:paraId="70D874D6" w14:textId="77777777" w:rsidR="006507E8" w:rsidRPr="00286216" w:rsidRDefault="006507E8" w:rsidP="006507E8">
            <w:pPr>
              <w:pStyle w:val="StyleProp"/>
              <w:rPr>
                <w:color w:val="000000" w:themeColor="text1"/>
                <w:szCs w:val="18"/>
              </w:rPr>
            </w:pPr>
          </w:p>
        </w:tc>
        <w:tc>
          <w:tcPr>
            <w:tcW w:w="1987" w:type="dxa"/>
          </w:tcPr>
          <w:p w14:paraId="3B0738CB" w14:textId="77777777" w:rsidR="006507E8" w:rsidRPr="00286216" w:rsidRDefault="006507E8" w:rsidP="006507E8">
            <w:pPr>
              <w:pStyle w:val="StyleWisnow"/>
              <w:rPr>
                <w:color w:val="000000" w:themeColor="text1"/>
              </w:rPr>
            </w:pPr>
          </w:p>
        </w:tc>
        <w:tc>
          <w:tcPr>
            <w:tcW w:w="4818" w:type="dxa"/>
          </w:tcPr>
          <w:p w14:paraId="1F1A91C0" w14:textId="24A257BD" w:rsidR="006507E8" w:rsidRPr="00286216" w:rsidRDefault="006507E8" w:rsidP="006507E8">
            <w:pPr>
              <w:pStyle w:val="StyleZakonu"/>
              <w:rPr>
                <w:color w:val="000000" w:themeColor="text1"/>
              </w:rPr>
            </w:pPr>
            <w:r w:rsidRPr="00286216">
              <w:rPr>
                <w:color w:val="000000" w:themeColor="text1"/>
              </w:rPr>
              <w:t>3. Юридична особа має право провадити діяльність з надання інформаційних послуг на ринках капіталу та організованих товарних ринках виключно після отримання свідоцтва про включення до Реєстру.</w:t>
            </w:r>
          </w:p>
        </w:tc>
      </w:tr>
      <w:tr w:rsidR="006507E8" w:rsidRPr="00286216" w14:paraId="1B13AADD" w14:textId="77777777" w:rsidTr="00091AA5">
        <w:tc>
          <w:tcPr>
            <w:tcW w:w="576" w:type="dxa"/>
          </w:tcPr>
          <w:p w14:paraId="5986AAEC" w14:textId="77777777" w:rsidR="006507E8" w:rsidRPr="00286216" w:rsidRDefault="006507E8" w:rsidP="006507E8">
            <w:pPr>
              <w:pStyle w:val="StyleWisnow"/>
              <w:rPr>
                <w:color w:val="000000" w:themeColor="text1"/>
              </w:rPr>
            </w:pPr>
            <w:bookmarkStart w:id="1059" w:name="n1325" w:colFirst="0" w:colLast="0"/>
            <w:bookmarkEnd w:id="1058"/>
            <w:r w:rsidRPr="00286216">
              <w:rPr>
                <w:color w:val="000000" w:themeColor="text1"/>
              </w:rPr>
              <w:t>1325.</w:t>
            </w:r>
          </w:p>
        </w:tc>
        <w:tc>
          <w:tcPr>
            <w:tcW w:w="4818" w:type="dxa"/>
          </w:tcPr>
          <w:p w14:paraId="1E57FF7F" w14:textId="77777777" w:rsidR="006507E8" w:rsidRPr="00286216" w:rsidRDefault="006507E8" w:rsidP="006507E8">
            <w:pPr>
              <w:pStyle w:val="StyleZakonu"/>
              <w:rPr>
                <w:color w:val="000000" w:themeColor="text1"/>
              </w:rPr>
            </w:pPr>
            <w:r w:rsidRPr="00286216">
              <w:rPr>
                <w:color w:val="000000" w:themeColor="text1"/>
              </w:rPr>
              <w:t>Провадження діяльності з надання інформаційних послуг на ринках капіталу та організованих товарних ринках без отримання свідоцтва про включення до Реєстру забороняється.</w:t>
            </w:r>
          </w:p>
        </w:tc>
        <w:tc>
          <w:tcPr>
            <w:tcW w:w="3686" w:type="dxa"/>
          </w:tcPr>
          <w:p w14:paraId="30F163DC" w14:textId="77777777" w:rsidR="006507E8" w:rsidRPr="00286216" w:rsidRDefault="006507E8" w:rsidP="006507E8">
            <w:pPr>
              <w:pStyle w:val="StyleProp"/>
              <w:rPr>
                <w:color w:val="000000" w:themeColor="text1"/>
                <w:szCs w:val="18"/>
              </w:rPr>
            </w:pPr>
          </w:p>
        </w:tc>
        <w:tc>
          <w:tcPr>
            <w:tcW w:w="1987" w:type="dxa"/>
          </w:tcPr>
          <w:p w14:paraId="3790B5A8" w14:textId="77777777" w:rsidR="006507E8" w:rsidRPr="00286216" w:rsidRDefault="006507E8" w:rsidP="006507E8">
            <w:pPr>
              <w:pStyle w:val="StyleWisnow"/>
              <w:rPr>
                <w:color w:val="000000" w:themeColor="text1"/>
              </w:rPr>
            </w:pPr>
          </w:p>
        </w:tc>
        <w:tc>
          <w:tcPr>
            <w:tcW w:w="4818" w:type="dxa"/>
          </w:tcPr>
          <w:p w14:paraId="4595B37D" w14:textId="1ADB7BDC" w:rsidR="006507E8" w:rsidRPr="00286216" w:rsidRDefault="006507E8" w:rsidP="006507E8">
            <w:pPr>
              <w:pStyle w:val="StyleZakonu"/>
              <w:rPr>
                <w:color w:val="000000" w:themeColor="text1"/>
              </w:rPr>
            </w:pPr>
            <w:r w:rsidRPr="00286216">
              <w:rPr>
                <w:color w:val="000000" w:themeColor="text1"/>
              </w:rPr>
              <w:t>Провадження діяльності з надання інформаційних послуг на ринках капіталу та організованих товарних ринках без отримання свідоцтва про включення до Реєстру забороняється.</w:t>
            </w:r>
          </w:p>
        </w:tc>
      </w:tr>
      <w:tr w:rsidR="006507E8" w:rsidRPr="00286216" w14:paraId="2DC5685C" w14:textId="77777777" w:rsidTr="00091AA5">
        <w:tc>
          <w:tcPr>
            <w:tcW w:w="576" w:type="dxa"/>
          </w:tcPr>
          <w:p w14:paraId="5C8E9BB4" w14:textId="77777777" w:rsidR="006507E8" w:rsidRPr="00286216" w:rsidRDefault="006507E8" w:rsidP="006507E8">
            <w:pPr>
              <w:pStyle w:val="StyleWisnow"/>
              <w:rPr>
                <w:color w:val="000000" w:themeColor="text1"/>
              </w:rPr>
            </w:pPr>
            <w:bookmarkStart w:id="1060" w:name="n1326" w:colFirst="0" w:colLast="0"/>
            <w:bookmarkEnd w:id="1059"/>
            <w:r w:rsidRPr="00286216">
              <w:rPr>
                <w:color w:val="000000" w:themeColor="text1"/>
              </w:rPr>
              <w:t>1326.</w:t>
            </w:r>
          </w:p>
        </w:tc>
        <w:tc>
          <w:tcPr>
            <w:tcW w:w="4818" w:type="dxa"/>
          </w:tcPr>
          <w:p w14:paraId="65F823CD" w14:textId="77777777" w:rsidR="006507E8" w:rsidRPr="00286216" w:rsidRDefault="006507E8" w:rsidP="006507E8">
            <w:pPr>
              <w:pStyle w:val="StyleZakonu"/>
              <w:rPr>
                <w:color w:val="000000" w:themeColor="text1"/>
              </w:rPr>
            </w:pPr>
            <w:r w:rsidRPr="00286216">
              <w:rPr>
                <w:color w:val="000000" w:themeColor="text1"/>
              </w:rPr>
              <w:t>Стаття 75. Порядок авторизації</w:t>
            </w:r>
          </w:p>
        </w:tc>
        <w:tc>
          <w:tcPr>
            <w:tcW w:w="3686" w:type="dxa"/>
          </w:tcPr>
          <w:p w14:paraId="7B826063" w14:textId="77777777" w:rsidR="006507E8" w:rsidRPr="00286216" w:rsidRDefault="006507E8" w:rsidP="006507E8">
            <w:pPr>
              <w:pStyle w:val="StyleProp"/>
              <w:rPr>
                <w:color w:val="000000" w:themeColor="text1"/>
                <w:szCs w:val="18"/>
              </w:rPr>
            </w:pPr>
          </w:p>
        </w:tc>
        <w:tc>
          <w:tcPr>
            <w:tcW w:w="1987" w:type="dxa"/>
          </w:tcPr>
          <w:p w14:paraId="53B8ABE7" w14:textId="77777777" w:rsidR="006507E8" w:rsidRPr="00286216" w:rsidRDefault="006507E8" w:rsidP="006507E8">
            <w:pPr>
              <w:pStyle w:val="StyleWisnow"/>
              <w:rPr>
                <w:color w:val="000000" w:themeColor="text1"/>
              </w:rPr>
            </w:pPr>
          </w:p>
        </w:tc>
        <w:tc>
          <w:tcPr>
            <w:tcW w:w="4818" w:type="dxa"/>
          </w:tcPr>
          <w:p w14:paraId="6EA79328" w14:textId="2654CDF3" w:rsidR="006507E8" w:rsidRPr="00286216" w:rsidRDefault="006507E8" w:rsidP="006507E8">
            <w:pPr>
              <w:pStyle w:val="StyleZakonu"/>
              <w:rPr>
                <w:color w:val="000000" w:themeColor="text1"/>
              </w:rPr>
            </w:pPr>
            <w:r w:rsidRPr="00286216">
              <w:rPr>
                <w:color w:val="000000" w:themeColor="text1"/>
              </w:rPr>
              <w:t>Стаття 79. Порядок авторизації</w:t>
            </w:r>
          </w:p>
        </w:tc>
      </w:tr>
      <w:tr w:rsidR="006507E8" w:rsidRPr="00286216" w14:paraId="161182D4" w14:textId="77777777" w:rsidTr="00091AA5">
        <w:tc>
          <w:tcPr>
            <w:tcW w:w="576" w:type="dxa"/>
          </w:tcPr>
          <w:p w14:paraId="09414A99" w14:textId="77777777" w:rsidR="006507E8" w:rsidRPr="00286216" w:rsidRDefault="006507E8" w:rsidP="006507E8">
            <w:pPr>
              <w:pStyle w:val="StyleWisnow"/>
              <w:rPr>
                <w:color w:val="000000" w:themeColor="text1"/>
              </w:rPr>
            </w:pPr>
            <w:bookmarkStart w:id="1061" w:name="n1327" w:colFirst="0" w:colLast="0"/>
            <w:bookmarkEnd w:id="1060"/>
            <w:r w:rsidRPr="00286216">
              <w:rPr>
                <w:color w:val="000000" w:themeColor="text1"/>
              </w:rPr>
              <w:t>1327.</w:t>
            </w:r>
          </w:p>
        </w:tc>
        <w:tc>
          <w:tcPr>
            <w:tcW w:w="4818" w:type="dxa"/>
          </w:tcPr>
          <w:p w14:paraId="28D77366" w14:textId="77777777" w:rsidR="006507E8" w:rsidRPr="00286216" w:rsidRDefault="006507E8" w:rsidP="006507E8">
            <w:pPr>
              <w:pStyle w:val="StyleZakonu"/>
              <w:rPr>
                <w:color w:val="000000" w:themeColor="text1"/>
              </w:rPr>
            </w:pPr>
            <w:r w:rsidRPr="00286216">
              <w:rPr>
                <w:color w:val="000000" w:themeColor="text1"/>
              </w:rPr>
              <w:t>1. Особа, яка має намір провадити діяльність з надання інформаційних послуг на ринках капіталу та організованих товарних ринках, для включення її до Реєстру уповноважених осіб та отримання свідоцтва про включення до Реєстру подає до Національної комісії з цінних паперів та фондового ринку, відповідно до вимог, в порядку та за формою, що встановлені Національною комісією з цінних паперів та фондового ринку наступні документи та інформацію:</w:t>
            </w:r>
          </w:p>
        </w:tc>
        <w:tc>
          <w:tcPr>
            <w:tcW w:w="3686" w:type="dxa"/>
          </w:tcPr>
          <w:p w14:paraId="6C72E326" w14:textId="77777777" w:rsidR="006507E8" w:rsidRPr="00286216" w:rsidRDefault="006507E8" w:rsidP="006507E8">
            <w:pPr>
              <w:pStyle w:val="StyleProp"/>
              <w:rPr>
                <w:color w:val="000000" w:themeColor="text1"/>
                <w:szCs w:val="18"/>
              </w:rPr>
            </w:pPr>
          </w:p>
        </w:tc>
        <w:tc>
          <w:tcPr>
            <w:tcW w:w="1987" w:type="dxa"/>
          </w:tcPr>
          <w:p w14:paraId="0E811382" w14:textId="77777777" w:rsidR="006507E8" w:rsidRPr="00286216" w:rsidRDefault="006507E8" w:rsidP="006507E8">
            <w:pPr>
              <w:pStyle w:val="StyleWisnow"/>
              <w:rPr>
                <w:color w:val="000000" w:themeColor="text1"/>
              </w:rPr>
            </w:pPr>
          </w:p>
        </w:tc>
        <w:tc>
          <w:tcPr>
            <w:tcW w:w="4818" w:type="dxa"/>
          </w:tcPr>
          <w:p w14:paraId="08D60885" w14:textId="6EA1ABBF" w:rsidR="006507E8" w:rsidRPr="00286216" w:rsidRDefault="006507E8" w:rsidP="006507E8">
            <w:pPr>
              <w:pStyle w:val="StyleZakonu"/>
              <w:rPr>
                <w:color w:val="000000" w:themeColor="text1"/>
              </w:rPr>
            </w:pPr>
            <w:r w:rsidRPr="00286216">
              <w:rPr>
                <w:color w:val="000000" w:themeColor="text1"/>
              </w:rPr>
              <w:t>1. Особа, яка має намір провадити діяльність з надання інформаційних послуг на ринках капіталу та організованих товарних ринках, для включення її до Реєстру уповноважених осіб та отримання свідоцтва про включення до Реєстру подає до Національної комісії з цінних паперів та фондового ринку відповідно до вимог, у порядку та за формою, встановленими Національною комісією з цінних паперів та фондового ринку, такі документи та інформацію:</w:t>
            </w:r>
          </w:p>
        </w:tc>
      </w:tr>
      <w:tr w:rsidR="006507E8" w:rsidRPr="00286216" w14:paraId="376B9EC8" w14:textId="77777777" w:rsidTr="00091AA5">
        <w:tc>
          <w:tcPr>
            <w:tcW w:w="576" w:type="dxa"/>
          </w:tcPr>
          <w:p w14:paraId="38D4AE72" w14:textId="77777777" w:rsidR="006507E8" w:rsidRPr="00286216" w:rsidRDefault="006507E8" w:rsidP="006507E8">
            <w:pPr>
              <w:pStyle w:val="StyleWisnow"/>
              <w:rPr>
                <w:color w:val="000000" w:themeColor="text1"/>
              </w:rPr>
            </w:pPr>
            <w:bookmarkStart w:id="1062" w:name="n1328" w:colFirst="0" w:colLast="0"/>
            <w:bookmarkEnd w:id="1061"/>
            <w:r w:rsidRPr="00286216">
              <w:rPr>
                <w:color w:val="000000" w:themeColor="text1"/>
              </w:rPr>
              <w:t>1328.</w:t>
            </w:r>
          </w:p>
        </w:tc>
        <w:tc>
          <w:tcPr>
            <w:tcW w:w="4818" w:type="dxa"/>
          </w:tcPr>
          <w:p w14:paraId="5235246E" w14:textId="77777777" w:rsidR="006507E8" w:rsidRPr="00286216" w:rsidRDefault="006507E8" w:rsidP="006507E8">
            <w:pPr>
              <w:pStyle w:val="StyleZakonu"/>
              <w:rPr>
                <w:color w:val="000000" w:themeColor="text1"/>
              </w:rPr>
            </w:pPr>
            <w:r w:rsidRPr="00286216">
              <w:rPr>
                <w:color w:val="000000" w:themeColor="text1"/>
              </w:rPr>
              <w:t>1) заяву про включення до Реєстру уповноважених осіб;</w:t>
            </w:r>
          </w:p>
        </w:tc>
        <w:tc>
          <w:tcPr>
            <w:tcW w:w="3686" w:type="dxa"/>
          </w:tcPr>
          <w:p w14:paraId="5BC361B5" w14:textId="77777777" w:rsidR="006507E8" w:rsidRPr="00286216" w:rsidRDefault="006507E8" w:rsidP="006507E8">
            <w:pPr>
              <w:pStyle w:val="StyleProp"/>
              <w:rPr>
                <w:color w:val="000000" w:themeColor="text1"/>
                <w:szCs w:val="18"/>
              </w:rPr>
            </w:pPr>
          </w:p>
        </w:tc>
        <w:tc>
          <w:tcPr>
            <w:tcW w:w="1987" w:type="dxa"/>
          </w:tcPr>
          <w:p w14:paraId="71883D1C" w14:textId="77777777" w:rsidR="006507E8" w:rsidRPr="00286216" w:rsidRDefault="006507E8" w:rsidP="006507E8">
            <w:pPr>
              <w:pStyle w:val="StyleWisnow"/>
              <w:rPr>
                <w:color w:val="000000" w:themeColor="text1"/>
              </w:rPr>
            </w:pPr>
          </w:p>
        </w:tc>
        <w:tc>
          <w:tcPr>
            <w:tcW w:w="4818" w:type="dxa"/>
          </w:tcPr>
          <w:p w14:paraId="129D4BA4" w14:textId="7221CE96" w:rsidR="006507E8" w:rsidRPr="00286216" w:rsidRDefault="006507E8" w:rsidP="006507E8">
            <w:pPr>
              <w:pStyle w:val="StyleZakonu"/>
              <w:rPr>
                <w:color w:val="000000" w:themeColor="text1"/>
              </w:rPr>
            </w:pPr>
            <w:r w:rsidRPr="00286216">
              <w:rPr>
                <w:color w:val="000000" w:themeColor="text1"/>
              </w:rPr>
              <w:t>1) заяву про включення до Реєстру уповноважених осіб;</w:t>
            </w:r>
          </w:p>
        </w:tc>
      </w:tr>
      <w:tr w:rsidR="006507E8" w:rsidRPr="00286216" w14:paraId="68443295" w14:textId="77777777" w:rsidTr="00091AA5">
        <w:tc>
          <w:tcPr>
            <w:tcW w:w="576" w:type="dxa"/>
          </w:tcPr>
          <w:p w14:paraId="36B72E15" w14:textId="77777777" w:rsidR="006507E8" w:rsidRPr="00286216" w:rsidRDefault="006507E8" w:rsidP="006507E8">
            <w:pPr>
              <w:pStyle w:val="StyleWisnow"/>
              <w:rPr>
                <w:color w:val="000000" w:themeColor="text1"/>
              </w:rPr>
            </w:pPr>
            <w:bookmarkStart w:id="1063" w:name="n1329" w:colFirst="0" w:colLast="0"/>
            <w:bookmarkEnd w:id="1062"/>
            <w:r w:rsidRPr="00286216">
              <w:rPr>
                <w:color w:val="000000" w:themeColor="text1"/>
              </w:rPr>
              <w:t>1329.</w:t>
            </w:r>
          </w:p>
        </w:tc>
        <w:tc>
          <w:tcPr>
            <w:tcW w:w="4818" w:type="dxa"/>
          </w:tcPr>
          <w:p w14:paraId="2C6FA3C9" w14:textId="77777777" w:rsidR="006507E8" w:rsidRPr="00286216" w:rsidRDefault="006507E8" w:rsidP="006507E8">
            <w:pPr>
              <w:pStyle w:val="StyleZakonu"/>
              <w:rPr>
                <w:color w:val="000000" w:themeColor="text1"/>
              </w:rPr>
            </w:pPr>
            <w:r w:rsidRPr="00286216">
              <w:rPr>
                <w:color w:val="000000" w:themeColor="text1"/>
              </w:rPr>
              <w:t>2) копію статуту юридичної особи, засвідчену такою юридичною особою, та інформацію про дату та номер державної реєстрації статуту, крім випадку наявності доступу до відомостей такого статуту в достатньому обсязі в Єдиному державному реєстрі юридичних осіб, фізичних осіб - підприємців та громадських формувань. Якщо юридична особа здійснює діяльність на підставі модельного статуту - інформацію про розмір статутного (складеного) капіталу;</w:t>
            </w:r>
          </w:p>
        </w:tc>
        <w:tc>
          <w:tcPr>
            <w:tcW w:w="3686" w:type="dxa"/>
          </w:tcPr>
          <w:p w14:paraId="51EB2CC9" w14:textId="77777777" w:rsidR="006507E8" w:rsidRPr="00286216" w:rsidRDefault="006507E8" w:rsidP="006507E8">
            <w:pPr>
              <w:pStyle w:val="StyleProp"/>
              <w:rPr>
                <w:color w:val="000000" w:themeColor="text1"/>
                <w:szCs w:val="18"/>
              </w:rPr>
            </w:pPr>
          </w:p>
        </w:tc>
        <w:tc>
          <w:tcPr>
            <w:tcW w:w="1987" w:type="dxa"/>
          </w:tcPr>
          <w:p w14:paraId="462201E5" w14:textId="77777777" w:rsidR="006507E8" w:rsidRPr="00286216" w:rsidRDefault="006507E8" w:rsidP="006507E8">
            <w:pPr>
              <w:pStyle w:val="StyleWisnow"/>
              <w:rPr>
                <w:color w:val="000000" w:themeColor="text1"/>
              </w:rPr>
            </w:pPr>
          </w:p>
        </w:tc>
        <w:tc>
          <w:tcPr>
            <w:tcW w:w="4818" w:type="dxa"/>
          </w:tcPr>
          <w:p w14:paraId="21AF9718" w14:textId="7B8313F7" w:rsidR="006507E8" w:rsidRPr="00286216" w:rsidRDefault="006507E8" w:rsidP="006507E8">
            <w:pPr>
              <w:pStyle w:val="StyleZakonu"/>
              <w:rPr>
                <w:color w:val="000000" w:themeColor="text1"/>
              </w:rPr>
            </w:pPr>
            <w:r w:rsidRPr="00286216">
              <w:rPr>
                <w:color w:val="000000" w:themeColor="text1"/>
              </w:rPr>
              <w:t>2) копію статуту юридичної особи, засвідчену такою юридичною особою, та інформацію про дату та номер державної реєстрації статуту, крім випадку наявності доступу до відомостей такого статуту в достатньому обсязі в Єдиному державному реєстрі юридичних осіб, фізичних осіб - підприємців та громадських формувань. У разі якщо юридична особа здійснює діяльність на підставі модельного статуту - інформацію про розмір статутного (складеного) капіталу;</w:t>
            </w:r>
          </w:p>
        </w:tc>
      </w:tr>
      <w:tr w:rsidR="006507E8" w:rsidRPr="00286216" w14:paraId="039F939C" w14:textId="77777777" w:rsidTr="00091AA5">
        <w:tc>
          <w:tcPr>
            <w:tcW w:w="576" w:type="dxa"/>
          </w:tcPr>
          <w:p w14:paraId="1B55672E" w14:textId="77777777" w:rsidR="006507E8" w:rsidRPr="00286216" w:rsidRDefault="006507E8" w:rsidP="006507E8">
            <w:pPr>
              <w:pStyle w:val="StyleWisnow"/>
              <w:rPr>
                <w:color w:val="000000" w:themeColor="text1"/>
              </w:rPr>
            </w:pPr>
            <w:bookmarkStart w:id="1064" w:name="n1330" w:colFirst="0" w:colLast="0"/>
            <w:bookmarkEnd w:id="1063"/>
            <w:r w:rsidRPr="00286216">
              <w:rPr>
                <w:color w:val="000000" w:themeColor="text1"/>
              </w:rPr>
              <w:t>1330.</w:t>
            </w:r>
          </w:p>
        </w:tc>
        <w:tc>
          <w:tcPr>
            <w:tcW w:w="4818" w:type="dxa"/>
          </w:tcPr>
          <w:p w14:paraId="36641C83" w14:textId="77777777" w:rsidR="006507E8" w:rsidRPr="00286216" w:rsidRDefault="006507E8" w:rsidP="006507E8">
            <w:pPr>
              <w:pStyle w:val="StyleZakonu"/>
              <w:rPr>
                <w:color w:val="000000" w:themeColor="text1"/>
              </w:rPr>
            </w:pPr>
            <w:r w:rsidRPr="00286216">
              <w:rPr>
                <w:color w:val="000000" w:themeColor="text1"/>
              </w:rPr>
              <w:t>3) відомості про структуру власності, інформацію про учасників (акціонерів) юридичної особи з істотною участю та, у випадку якщо юридична особа належить до небанківської фінансової групи, -інформацію про таку групу;</w:t>
            </w:r>
          </w:p>
        </w:tc>
        <w:tc>
          <w:tcPr>
            <w:tcW w:w="3686" w:type="dxa"/>
          </w:tcPr>
          <w:p w14:paraId="39A6AE66" w14:textId="77777777" w:rsidR="006507E8" w:rsidRPr="00286216" w:rsidRDefault="006507E8" w:rsidP="006507E8">
            <w:pPr>
              <w:pStyle w:val="StyleProp"/>
              <w:rPr>
                <w:color w:val="000000" w:themeColor="text1"/>
                <w:szCs w:val="18"/>
              </w:rPr>
            </w:pPr>
          </w:p>
        </w:tc>
        <w:tc>
          <w:tcPr>
            <w:tcW w:w="1987" w:type="dxa"/>
          </w:tcPr>
          <w:p w14:paraId="4A7D4C9B" w14:textId="77777777" w:rsidR="006507E8" w:rsidRPr="00286216" w:rsidRDefault="006507E8" w:rsidP="006507E8">
            <w:pPr>
              <w:pStyle w:val="StyleWisnow"/>
              <w:rPr>
                <w:color w:val="000000" w:themeColor="text1"/>
              </w:rPr>
            </w:pPr>
          </w:p>
        </w:tc>
        <w:tc>
          <w:tcPr>
            <w:tcW w:w="4818" w:type="dxa"/>
          </w:tcPr>
          <w:p w14:paraId="43F0B013" w14:textId="562BB438" w:rsidR="006507E8" w:rsidRPr="00286216" w:rsidRDefault="006507E8" w:rsidP="006507E8">
            <w:pPr>
              <w:pStyle w:val="StyleZakonu"/>
              <w:rPr>
                <w:color w:val="000000" w:themeColor="text1"/>
              </w:rPr>
            </w:pPr>
            <w:r w:rsidRPr="00286216">
              <w:rPr>
                <w:color w:val="000000" w:themeColor="text1"/>
              </w:rPr>
              <w:t>3) відомості про структуру власності юридичної особи, інформацію про учасників (акціонерів) юридичної особи з істотною участю та, а у разі якщо юридична особа належить до небанківської фінансової групи, -інформацію про таку групу;</w:t>
            </w:r>
          </w:p>
        </w:tc>
      </w:tr>
      <w:tr w:rsidR="006507E8" w:rsidRPr="00286216" w14:paraId="10FAAD9A" w14:textId="77777777" w:rsidTr="00091AA5">
        <w:tc>
          <w:tcPr>
            <w:tcW w:w="576" w:type="dxa"/>
          </w:tcPr>
          <w:p w14:paraId="1BEE7ED2" w14:textId="77777777" w:rsidR="006507E8" w:rsidRPr="00286216" w:rsidRDefault="006507E8" w:rsidP="006507E8">
            <w:pPr>
              <w:pStyle w:val="StyleWisnow"/>
              <w:rPr>
                <w:color w:val="000000" w:themeColor="text1"/>
              </w:rPr>
            </w:pPr>
            <w:bookmarkStart w:id="1065" w:name="n1331" w:colFirst="0" w:colLast="0"/>
            <w:bookmarkEnd w:id="1064"/>
            <w:r w:rsidRPr="00286216">
              <w:rPr>
                <w:color w:val="000000" w:themeColor="text1"/>
              </w:rPr>
              <w:t>1331.</w:t>
            </w:r>
          </w:p>
        </w:tc>
        <w:tc>
          <w:tcPr>
            <w:tcW w:w="4818" w:type="dxa"/>
          </w:tcPr>
          <w:p w14:paraId="27840C24" w14:textId="77777777" w:rsidR="006507E8" w:rsidRPr="00286216" w:rsidRDefault="006507E8" w:rsidP="006507E8">
            <w:pPr>
              <w:pStyle w:val="StyleZakonu"/>
              <w:rPr>
                <w:color w:val="000000" w:themeColor="text1"/>
              </w:rPr>
            </w:pPr>
            <w:r w:rsidRPr="00286216">
              <w:rPr>
                <w:color w:val="000000" w:themeColor="text1"/>
              </w:rPr>
              <w:t>4) інформацію про членів виконавчого органу та/або наглядової ради;</w:t>
            </w:r>
          </w:p>
        </w:tc>
        <w:tc>
          <w:tcPr>
            <w:tcW w:w="3686" w:type="dxa"/>
          </w:tcPr>
          <w:p w14:paraId="0FD2905B" w14:textId="77777777" w:rsidR="006507E8" w:rsidRPr="00286216" w:rsidRDefault="006507E8" w:rsidP="006507E8">
            <w:pPr>
              <w:pStyle w:val="StyleProp"/>
              <w:rPr>
                <w:color w:val="000000" w:themeColor="text1"/>
                <w:szCs w:val="18"/>
              </w:rPr>
            </w:pPr>
          </w:p>
        </w:tc>
        <w:tc>
          <w:tcPr>
            <w:tcW w:w="1987" w:type="dxa"/>
          </w:tcPr>
          <w:p w14:paraId="1BF8AD48" w14:textId="77777777" w:rsidR="006507E8" w:rsidRPr="00286216" w:rsidRDefault="006507E8" w:rsidP="006507E8">
            <w:pPr>
              <w:pStyle w:val="StyleWisnow"/>
              <w:rPr>
                <w:color w:val="000000" w:themeColor="text1"/>
              </w:rPr>
            </w:pPr>
          </w:p>
        </w:tc>
        <w:tc>
          <w:tcPr>
            <w:tcW w:w="4818" w:type="dxa"/>
          </w:tcPr>
          <w:p w14:paraId="2E1C5BCE" w14:textId="554A07AC" w:rsidR="006507E8" w:rsidRPr="00286216" w:rsidRDefault="006507E8" w:rsidP="006507E8">
            <w:pPr>
              <w:pStyle w:val="StyleZakonu"/>
              <w:rPr>
                <w:color w:val="000000" w:themeColor="text1"/>
              </w:rPr>
            </w:pPr>
            <w:r w:rsidRPr="00286216">
              <w:rPr>
                <w:color w:val="000000" w:themeColor="text1"/>
              </w:rPr>
              <w:t>4) інформацію про членів виконавчого органу та/або наглядової ради;</w:t>
            </w:r>
          </w:p>
        </w:tc>
      </w:tr>
      <w:tr w:rsidR="006507E8" w:rsidRPr="00286216" w14:paraId="62853297" w14:textId="77777777" w:rsidTr="00091AA5">
        <w:tc>
          <w:tcPr>
            <w:tcW w:w="576" w:type="dxa"/>
          </w:tcPr>
          <w:p w14:paraId="7BE2B686" w14:textId="77777777" w:rsidR="006507E8" w:rsidRPr="00286216" w:rsidRDefault="006507E8" w:rsidP="006507E8">
            <w:pPr>
              <w:pStyle w:val="StyleWisnow"/>
              <w:rPr>
                <w:color w:val="000000" w:themeColor="text1"/>
              </w:rPr>
            </w:pPr>
            <w:bookmarkStart w:id="1066" w:name="n1332" w:colFirst="0" w:colLast="0"/>
            <w:bookmarkEnd w:id="1065"/>
            <w:r w:rsidRPr="00286216">
              <w:rPr>
                <w:color w:val="000000" w:themeColor="text1"/>
              </w:rPr>
              <w:t>1332.</w:t>
            </w:r>
          </w:p>
        </w:tc>
        <w:tc>
          <w:tcPr>
            <w:tcW w:w="4818" w:type="dxa"/>
          </w:tcPr>
          <w:p w14:paraId="43811AC1" w14:textId="77777777" w:rsidR="006507E8" w:rsidRPr="00286216" w:rsidRDefault="006507E8" w:rsidP="006507E8">
            <w:pPr>
              <w:pStyle w:val="StyleZakonu"/>
              <w:rPr>
                <w:color w:val="000000" w:themeColor="text1"/>
              </w:rPr>
            </w:pPr>
            <w:r w:rsidRPr="00286216">
              <w:rPr>
                <w:color w:val="000000" w:themeColor="text1"/>
              </w:rPr>
              <w:t>5) інформацію про капітал та про джерела його походження;</w:t>
            </w:r>
          </w:p>
        </w:tc>
        <w:tc>
          <w:tcPr>
            <w:tcW w:w="3686" w:type="dxa"/>
          </w:tcPr>
          <w:p w14:paraId="4AEC437E" w14:textId="77777777" w:rsidR="006507E8" w:rsidRPr="00286216" w:rsidRDefault="006507E8" w:rsidP="006507E8">
            <w:pPr>
              <w:pStyle w:val="StyleProp"/>
              <w:rPr>
                <w:color w:val="000000" w:themeColor="text1"/>
                <w:szCs w:val="18"/>
              </w:rPr>
            </w:pPr>
          </w:p>
        </w:tc>
        <w:tc>
          <w:tcPr>
            <w:tcW w:w="1987" w:type="dxa"/>
          </w:tcPr>
          <w:p w14:paraId="64E60965" w14:textId="77777777" w:rsidR="006507E8" w:rsidRPr="00286216" w:rsidRDefault="006507E8" w:rsidP="006507E8">
            <w:pPr>
              <w:pStyle w:val="StyleWisnow"/>
              <w:rPr>
                <w:color w:val="000000" w:themeColor="text1"/>
              </w:rPr>
            </w:pPr>
          </w:p>
        </w:tc>
        <w:tc>
          <w:tcPr>
            <w:tcW w:w="4818" w:type="dxa"/>
          </w:tcPr>
          <w:p w14:paraId="6803529D" w14:textId="0A852854" w:rsidR="006507E8" w:rsidRPr="00286216" w:rsidRDefault="006507E8" w:rsidP="006507E8">
            <w:pPr>
              <w:pStyle w:val="StyleZakonu"/>
              <w:rPr>
                <w:color w:val="000000" w:themeColor="text1"/>
              </w:rPr>
            </w:pPr>
            <w:r w:rsidRPr="00286216">
              <w:rPr>
                <w:color w:val="000000" w:themeColor="text1"/>
              </w:rPr>
              <w:t>5) інформацію про капітал та про джерела його походження;</w:t>
            </w:r>
          </w:p>
        </w:tc>
      </w:tr>
      <w:tr w:rsidR="006507E8" w:rsidRPr="00286216" w14:paraId="496947C5" w14:textId="77777777" w:rsidTr="00091AA5">
        <w:tc>
          <w:tcPr>
            <w:tcW w:w="576" w:type="dxa"/>
          </w:tcPr>
          <w:p w14:paraId="2AF2B7BA" w14:textId="77777777" w:rsidR="006507E8" w:rsidRPr="00286216" w:rsidRDefault="006507E8" w:rsidP="006507E8">
            <w:pPr>
              <w:pStyle w:val="StyleWisnow"/>
              <w:rPr>
                <w:color w:val="000000" w:themeColor="text1"/>
              </w:rPr>
            </w:pPr>
            <w:bookmarkStart w:id="1067" w:name="n1333" w:colFirst="0" w:colLast="0"/>
            <w:bookmarkEnd w:id="1066"/>
            <w:r w:rsidRPr="00286216">
              <w:rPr>
                <w:color w:val="000000" w:themeColor="text1"/>
              </w:rPr>
              <w:t>1333.</w:t>
            </w:r>
          </w:p>
        </w:tc>
        <w:tc>
          <w:tcPr>
            <w:tcW w:w="4818" w:type="dxa"/>
          </w:tcPr>
          <w:p w14:paraId="3C7F317D" w14:textId="77777777" w:rsidR="006507E8" w:rsidRPr="00286216" w:rsidRDefault="006507E8" w:rsidP="006507E8">
            <w:pPr>
              <w:pStyle w:val="StyleZakonu"/>
              <w:rPr>
                <w:color w:val="000000" w:themeColor="text1"/>
              </w:rPr>
            </w:pPr>
            <w:r w:rsidRPr="00286216">
              <w:rPr>
                <w:color w:val="000000" w:themeColor="text1"/>
              </w:rPr>
              <w:t xml:space="preserve">6) інформацію про фінансовий стан юридичної </w:t>
            </w:r>
            <w:r w:rsidRPr="00286216">
              <w:rPr>
                <w:color w:val="000000" w:themeColor="text1"/>
              </w:rPr>
              <w:lastRenderedPageBreak/>
              <w:t>особи та, у випадку якщо юридична особа належить до небанківської фінансової групи, -інформацію про фінансовий стан такої групи;</w:t>
            </w:r>
          </w:p>
        </w:tc>
        <w:tc>
          <w:tcPr>
            <w:tcW w:w="3686" w:type="dxa"/>
          </w:tcPr>
          <w:p w14:paraId="769A56DB" w14:textId="77777777" w:rsidR="006507E8" w:rsidRPr="00286216" w:rsidRDefault="006507E8" w:rsidP="006507E8">
            <w:pPr>
              <w:pStyle w:val="StyleProp"/>
              <w:rPr>
                <w:color w:val="000000" w:themeColor="text1"/>
                <w:szCs w:val="18"/>
              </w:rPr>
            </w:pPr>
          </w:p>
        </w:tc>
        <w:tc>
          <w:tcPr>
            <w:tcW w:w="1987" w:type="dxa"/>
          </w:tcPr>
          <w:p w14:paraId="1A031695" w14:textId="77777777" w:rsidR="006507E8" w:rsidRPr="00286216" w:rsidRDefault="006507E8" w:rsidP="006507E8">
            <w:pPr>
              <w:pStyle w:val="StyleWisnow"/>
              <w:rPr>
                <w:color w:val="000000" w:themeColor="text1"/>
              </w:rPr>
            </w:pPr>
          </w:p>
        </w:tc>
        <w:tc>
          <w:tcPr>
            <w:tcW w:w="4818" w:type="dxa"/>
          </w:tcPr>
          <w:p w14:paraId="038611E6" w14:textId="1E8EC077" w:rsidR="006507E8" w:rsidRPr="00286216" w:rsidRDefault="006507E8" w:rsidP="006507E8">
            <w:pPr>
              <w:pStyle w:val="StyleZakonu"/>
              <w:rPr>
                <w:color w:val="000000" w:themeColor="text1"/>
              </w:rPr>
            </w:pPr>
            <w:r w:rsidRPr="00286216">
              <w:rPr>
                <w:color w:val="000000" w:themeColor="text1"/>
              </w:rPr>
              <w:t xml:space="preserve">6) інформацію про фінансовий стан юридичної </w:t>
            </w:r>
            <w:r w:rsidRPr="00286216">
              <w:rPr>
                <w:color w:val="000000" w:themeColor="text1"/>
              </w:rPr>
              <w:lastRenderedPageBreak/>
              <w:t>особи та, у випадку якщо юридична особа належить до небанківської фінансової групи - інформацію про фінансовий стан такої групи;</w:t>
            </w:r>
          </w:p>
        </w:tc>
      </w:tr>
      <w:tr w:rsidR="006507E8" w:rsidRPr="00286216" w14:paraId="36343F83" w14:textId="77777777" w:rsidTr="00091AA5">
        <w:tc>
          <w:tcPr>
            <w:tcW w:w="576" w:type="dxa"/>
          </w:tcPr>
          <w:p w14:paraId="66F338A4" w14:textId="77777777" w:rsidR="006507E8" w:rsidRPr="00286216" w:rsidRDefault="006507E8" w:rsidP="006507E8">
            <w:pPr>
              <w:pStyle w:val="StyleWisnow"/>
              <w:rPr>
                <w:color w:val="000000" w:themeColor="text1"/>
              </w:rPr>
            </w:pPr>
            <w:bookmarkStart w:id="1068" w:name="n1334" w:colFirst="0" w:colLast="0"/>
            <w:bookmarkEnd w:id="1067"/>
            <w:r w:rsidRPr="00286216">
              <w:rPr>
                <w:color w:val="000000" w:themeColor="text1"/>
              </w:rPr>
              <w:lastRenderedPageBreak/>
              <w:t>1334.</w:t>
            </w:r>
          </w:p>
        </w:tc>
        <w:tc>
          <w:tcPr>
            <w:tcW w:w="4818" w:type="dxa"/>
          </w:tcPr>
          <w:p w14:paraId="1BD0D0E2" w14:textId="77777777" w:rsidR="006507E8" w:rsidRPr="00286216" w:rsidRDefault="006507E8" w:rsidP="006507E8">
            <w:pPr>
              <w:pStyle w:val="StyleZakonu"/>
              <w:rPr>
                <w:color w:val="000000" w:themeColor="text1"/>
              </w:rPr>
            </w:pPr>
            <w:r w:rsidRPr="00286216">
              <w:rPr>
                <w:color w:val="000000" w:themeColor="text1"/>
              </w:rPr>
              <w:t>7) інформацію щодо організації діяльності, зокрема:</w:t>
            </w:r>
          </w:p>
        </w:tc>
        <w:tc>
          <w:tcPr>
            <w:tcW w:w="3686" w:type="dxa"/>
          </w:tcPr>
          <w:p w14:paraId="34EA37C2" w14:textId="77777777" w:rsidR="006507E8" w:rsidRPr="00286216" w:rsidRDefault="006507E8" w:rsidP="006507E8">
            <w:pPr>
              <w:pStyle w:val="StyleProp"/>
              <w:rPr>
                <w:color w:val="000000" w:themeColor="text1"/>
                <w:szCs w:val="18"/>
              </w:rPr>
            </w:pPr>
          </w:p>
        </w:tc>
        <w:tc>
          <w:tcPr>
            <w:tcW w:w="1987" w:type="dxa"/>
          </w:tcPr>
          <w:p w14:paraId="1869D629" w14:textId="77777777" w:rsidR="006507E8" w:rsidRPr="00286216" w:rsidRDefault="006507E8" w:rsidP="006507E8">
            <w:pPr>
              <w:pStyle w:val="StyleWisnow"/>
              <w:rPr>
                <w:color w:val="000000" w:themeColor="text1"/>
              </w:rPr>
            </w:pPr>
          </w:p>
        </w:tc>
        <w:tc>
          <w:tcPr>
            <w:tcW w:w="4818" w:type="dxa"/>
          </w:tcPr>
          <w:p w14:paraId="2F499DB7" w14:textId="1F04DC46" w:rsidR="006507E8" w:rsidRPr="00286216" w:rsidRDefault="006507E8" w:rsidP="006507E8">
            <w:pPr>
              <w:pStyle w:val="StyleZakonu"/>
              <w:rPr>
                <w:color w:val="000000" w:themeColor="text1"/>
              </w:rPr>
            </w:pPr>
            <w:r w:rsidRPr="00286216">
              <w:rPr>
                <w:color w:val="000000" w:themeColor="text1"/>
              </w:rPr>
              <w:t>7) інформацію про організацію діяльності, зокрема про:</w:t>
            </w:r>
          </w:p>
        </w:tc>
      </w:tr>
      <w:tr w:rsidR="006507E8" w:rsidRPr="00286216" w14:paraId="12E106AA" w14:textId="77777777" w:rsidTr="00091AA5">
        <w:tc>
          <w:tcPr>
            <w:tcW w:w="576" w:type="dxa"/>
          </w:tcPr>
          <w:p w14:paraId="0D7549C1" w14:textId="77777777" w:rsidR="006507E8" w:rsidRPr="00286216" w:rsidRDefault="006507E8" w:rsidP="006507E8">
            <w:pPr>
              <w:pStyle w:val="StyleWisnow"/>
              <w:rPr>
                <w:color w:val="000000" w:themeColor="text1"/>
              </w:rPr>
            </w:pPr>
            <w:bookmarkStart w:id="1069" w:name="n1335" w:colFirst="0" w:colLast="0"/>
            <w:bookmarkEnd w:id="1068"/>
            <w:r w:rsidRPr="00286216">
              <w:rPr>
                <w:color w:val="000000" w:themeColor="text1"/>
              </w:rPr>
              <w:t>1335.</w:t>
            </w:r>
          </w:p>
        </w:tc>
        <w:tc>
          <w:tcPr>
            <w:tcW w:w="4818" w:type="dxa"/>
          </w:tcPr>
          <w:p w14:paraId="679B1753" w14:textId="77777777" w:rsidR="006507E8" w:rsidRPr="00286216" w:rsidRDefault="006507E8" w:rsidP="006507E8">
            <w:pPr>
              <w:pStyle w:val="StyleZakonu"/>
              <w:rPr>
                <w:color w:val="000000" w:themeColor="text1"/>
              </w:rPr>
            </w:pPr>
            <w:r w:rsidRPr="00286216">
              <w:rPr>
                <w:color w:val="000000" w:themeColor="text1"/>
              </w:rPr>
              <w:t>а) інформацію про бізнес-стратегію (бізнес-план) на наступні три роки;</w:t>
            </w:r>
          </w:p>
        </w:tc>
        <w:tc>
          <w:tcPr>
            <w:tcW w:w="3686" w:type="dxa"/>
          </w:tcPr>
          <w:p w14:paraId="43DABD6B" w14:textId="77777777" w:rsidR="006507E8" w:rsidRPr="00286216" w:rsidRDefault="006507E8" w:rsidP="006507E8">
            <w:pPr>
              <w:pStyle w:val="StyleProp"/>
              <w:rPr>
                <w:color w:val="000000" w:themeColor="text1"/>
                <w:szCs w:val="18"/>
              </w:rPr>
            </w:pPr>
          </w:p>
        </w:tc>
        <w:tc>
          <w:tcPr>
            <w:tcW w:w="1987" w:type="dxa"/>
          </w:tcPr>
          <w:p w14:paraId="39A18BC9" w14:textId="77777777" w:rsidR="006507E8" w:rsidRPr="00286216" w:rsidRDefault="006507E8" w:rsidP="006507E8">
            <w:pPr>
              <w:pStyle w:val="StyleWisnow"/>
              <w:rPr>
                <w:color w:val="000000" w:themeColor="text1"/>
              </w:rPr>
            </w:pPr>
          </w:p>
        </w:tc>
        <w:tc>
          <w:tcPr>
            <w:tcW w:w="4818" w:type="dxa"/>
          </w:tcPr>
          <w:p w14:paraId="057C76AA" w14:textId="7AFE2AAC" w:rsidR="006507E8" w:rsidRPr="00286216" w:rsidRDefault="006507E8" w:rsidP="006507E8">
            <w:pPr>
              <w:pStyle w:val="StyleZakonu"/>
              <w:rPr>
                <w:color w:val="000000" w:themeColor="text1"/>
              </w:rPr>
            </w:pPr>
            <w:r w:rsidRPr="00286216">
              <w:rPr>
                <w:color w:val="000000" w:themeColor="text1"/>
              </w:rPr>
              <w:t>а) бізнес-план (бізнес-стратегію) на наступні три роки;</w:t>
            </w:r>
          </w:p>
        </w:tc>
      </w:tr>
      <w:tr w:rsidR="006507E8" w:rsidRPr="00286216" w14:paraId="2F2817AF" w14:textId="77777777" w:rsidTr="00091AA5">
        <w:tc>
          <w:tcPr>
            <w:tcW w:w="576" w:type="dxa"/>
          </w:tcPr>
          <w:p w14:paraId="5DC9765B" w14:textId="77777777" w:rsidR="006507E8" w:rsidRPr="00286216" w:rsidRDefault="006507E8" w:rsidP="006507E8">
            <w:pPr>
              <w:pStyle w:val="StyleWisnow"/>
              <w:rPr>
                <w:color w:val="000000" w:themeColor="text1"/>
              </w:rPr>
            </w:pPr>
            <w:bookmarkStart w:id="1070" w:name="n1336" w:colFirst="0" w:colLast="0"/>
            <w:bookmarkEnd w:id="1069"/>
            <w:r w:rsidRPr="00286216">
              <w:rPr>
                <w:color w:val="000000" w:themeColor="text1"/>
              </w:rPr>
              <w:t>1336.</w:t>
            </w:r>
          </w:p>
        </w:tc>
        <w:tc>
          <w:tcPr>
            <w:tcW w:w="4818" w:type="dxa"/>
          </w:tcPr>
          <w:p w14:paraId="14CE6FA8" w14:textId="77777777" w:rsidR="006507E8" w:rsidRPr="00286216" w:rsidRDefault="006507E8" w:rsidP="006507E8">
            <w:pPr>
              <w:pStyle w:val="StyleZakonu"/>
              <w:rPr>
                <w:color w:val="000000" w:themeColor="text1"/>
              </w:rPr>
            </w:pPr>
            <w:r w:rsidRPr="00286216">
              <w:rPr>
                <w:color w:val="000000" w:themeColor="text1"/>
              </w:rPr>
              <w:t>б) інформацію про організаційну структуру;</w:t>
            </w:r>
          </w:p>
        </w:tc>
        <w:tc>
          <w:tcPr>
            <w:tcW w:w="3686" w:type="dxa"/>
          </w:tcPr>
          <w:p w14:paraId="4E9E3767" w14:textId="77777777" w:rsidR="006507E8" w:rsidRPr="00286216" w:rsidRDefault="006507E8" w:rsidP="006507E8">
            <w:pPr>
              <w:pStyle w:val="StyleProp"/>
              <w:rPr>
                <w:color w:val="000000" w:themeColor="text1"/>
                <w:szCs w:val="18"/>
              </w:rPr>
            </w:pPr>
          </w:p>
        </w:tc>
        <w:tc>
          <w:tcPr>
            <w:tcW w:w="1987" w:type="dxa"/>
          </w:tcPr>
          <w:p w14:paraId="26C04D2D" w14:textId="77777777" w:rsidR="006507E8" w:rsidRPr="00286216" w:rsidRDefault="006507E8" w:rsidP="006507E8">
            <w:pPr>
              <w:pStyle w:val="StyleWisnow"/>
              <w:rPr>
                <w:color w:val="000000" w:themeColor="text1"/>
              </w:rPr>
            </w:pPr>
          </w:p>
        </w:tc>
        <w:tc>
          <w:tcPr>
            <w:tcW w:w="4818" w:type="dxa"/>
          </w:tcPr>
          <w:p w14:paraId="3A5D7A42" w14:textId="443270B4" w:rsidR="006507E8" w:rsidRPr="00286216" w:rsidRDefault="006507E8" w:rsidP="006507E8">
            <w:pPr>
              <w:pStyle w:val="StyleZakonu"/>
              <w:rPr>
                <w:color w:val="000000" w:themeColor="text1"/>
              </w:rPr>
            </w:pPr>
            <w:r w:rsidRPr="00286216">
              <w:rPr>
                <w:color w:val="000000" w:themeColor="text1"/>
              </w:rPr>
              <w:t>б) організаційну структуру;</w:t>
            </w:r>
          </w:p>
        </w:tc>
      </w:tr>
      <w:tr w:rsidR="006507E8" w:rsidRPr="00286216" w14:paraId="12AE33F4" w14:textId="77777777" w:rsidTr="00091AA5">
        <w:tc>
          <w:tcPr>
            <w:tcW w:w="576" w:type="dxa"/>
          </w:tcPr>
          <w:p w14:paraId="30216905" w14:textId="77777777" w:rsidR="006507E8" w:rsidRPr="00286216" w:rsidRDefault="006507E8" w:rsidP="006507E8">
            <w:pPr>
              <w:pStyle w:val="StyleWisnow"/>
              <w:rPr>
                <w:color w:val="000000" w:themeColor="text1"/>
              </w:rPr>
            </w:pPr>
            <w:bookmarkStart w:id="1071" w:name="n1337" w:colFirst="0" w:colLast="0"/>
            <w:bookmarkEnd w:id="1070"/>
            <w:r w:rsidRPr="00286216">
              <w:rPr>
                <w:color w:val="000000" w:themeColor="text1"/>
              </w:rPr>
              <w:t>1337.</w:t>
            </w:r>
          </w:p>
        </w:tc>
        <w:tc>
          <w:tcPr>
            <w:tcW w:w="4818" w:type="dxa"/>
          </w:tcPr>
          <w:p w14:paraId="0CC6B37F" w14:textId="77777777" w:rsidR="006507E8" w:rsidRPr="00286216" w:rsidRDefault="006507E8" w:rsidP="006507E8">
            <w:pPr>
              <w:pStyle w:val="StyleZakonu"/>
              <w:rPr>
                <w:color w:val="000000" w:themeColor="text1"/>
              </w:rPr>
            </w:pPr>
            <w:r w:rsidRPr="00286216">
              <w:rPr>
                <w:color w:val="000000" w:themeColor="text1"/>
              </w:rPr>
              <w:t>в) відомості про систему внутрішнього контролю (підсистеми комплаєнсу, управління ризиками та внутрішнього аудиту);</w:t>
            </w:r>
          </w:p>
        </w:tc>
        <w:tc>
          <w:tcPr>
            <w:tcW w:w="3686" w:type="dxa"/>
          </w:tcPr>
          <w:p w14:paraId="3DE0B7F9" w14:textId="77777777" w:rsidR="006507E8" w:rsidRPr="00286216" w:rsidRDefault="006507E8" w:rsidP="006507E8">
            <w:pPr>
              <w:pStyle w:val="StyleProp"/>
              <w:rPr>
                <w:color w:val="000000" w:themeColor="text1"/>
                <w:szCs w:val="18"/>
              </w:rPr>
            </w:pPr>
          </w:p>
        </w:tc>
        <w:tc>
          <w:tcPr>
            <w:tcW w:w="1987" w:type="dxa"/>
          </w:tcPr>
          <w:p w14:paraId="70FEA512" w14:textId="77777777" w:rsidR="006507E8" w:rsidRPr="00286216" w:rsidRDefault="006507E8" w:rsidP="006507E8">
            <w:pPr>
              <w:pStyle w:val="StyleWisnow"/>
              <w:rPr>
                <w:color w:val="000000" w:themeColor="text1"/>
              </w:rPr>
            </w:pPr>
          </w:p>
        </w:tc>
        <w:tc>
          <w:tcPr>
            <w:tcW w:w="4818" w:type="dxa"/>
          </w:tcPr>
          <w:p w14:paraId="740F86AB" w14:textId="3BD58CD6" w:rsidR="006507E8" w:rsidRPr="00286216" w:rsidRDefault="006507E8" w:rsidP="006507E8">
            <w:pPr>
              <w:pStyle w:val="StyleZakonu"/>
              <w:rPr>
                <w:color w:val="000000" w:themeColor="text1"/>
              </w:rPr>
            </w:pPr>
            <w:r w:rsidRPr="00286216">
              <w:rPr>
                <w:color w:val="000000" w:themeColor="text1"/>
              </w:rPr>
              <w:t>в) систему внутрішнього контролю (підсистеми комплаєнсу, управління ризиками та внутрішнього аудиту);</w:t>
            </w:r>
          </w:p>
        </w:tc>
      </w:tr>
      <w:tr w:rsidR="006507E8" w:rsidRPr="00286216" w14:paraId="7F792AE3" w14:textId="77777777" w:rsidTr="00091AA5">
        <w:tc>
          <w:tcPr>
            <w:tcW w:w="576" w:type="dxa"/>
          </w:tcPr>
          <w:p w14:paraId="400BC56C" w14:textId="77777777" w:rsidR="006507E8" w:rsidRPr="00286216" w:rsidRDefault="006507E8" w:rsidP="006507E8">
            <w:pPr>
              <w:pStyle w:val="StyleWisnow"/>
              <w:rPr>
                <w:color w:val="000000" w:themeColor="text1"/>
              </w:rPr>
            </w:pPr>
            <w:bookmarkStart w:id="1072" w:name="n1338" w:colFirst="0" w:colLast="0"/>
            <w:bookmarkEnd w:id="1071"/>
            <w:r w:rsidRPr="00286216">
              <w:rPr>
                <w:color w:val="000000" w:themeColor="text1"/>
              </w:rPr>
              <w:t>1338.</w:t>
            </w:r>
          </w:p>
        </w:tc>
        <w:tc>
          <w:tcPr>
            <w:tcW w:w="4818" w:type="dxa"/>
          </w:tcPr>
          <w:p w14:paraId="1EA19967" w14:textId="77777777" w:rsidR="006507E8" w:rsidRPr="00286216" w:rsidRDefault="006507E8" w:rsidP="006507E8">
            <w:pPr>
              <w:pStyle w:val="StyleZakonu"/>
              <w:rPr>
                <w:color w:val="000000" w:themeColor="text1"/>
              </w:rPr>
            </w:pPr>
            <w:r w:rsidRPr="00286216">
              <w:rPr>
                <w:color w:val="000000" w:themeColor="text1"/>
              </w:rPr>
              <w:t>г) інформацію щодо функцій, послуг та діяльності, що провадяться, чи планується провадити із залученням третіх осіб;</w:t>
            </w:r>
          </w:p>
        </w:tc>
        <w:tc>
          <w:tcPr>
            <w:tcW w:w="3686" w:type="dxa"/>
          </w:tcPr>
          <w:p w14:paraId="3886BDBD" w14:textId="77777777" w:rsidR="006507E8" w:rsidRPr="00286216" w:rsidRDefault="006507E8" w:rsidP="006507E8">
            <w:pPr>
              <w:pStyle w:val="StyleProp"/>
              <w:rPr>
                <w:color w:val="000000" w:themeColor="text1"/>
                <w:szCs w:val="18"/>
              </w:rPr>
            </w:pPr>
          </w:p>
        </w:tc>
        <w:tc>
          <w:tcPr>
            <w:tcW w:w="1987" w:type="dxa"/>
          </w:tcPr>
          <w:p w14:paraId="2429D3C7" w14:textId="77777777" w:rsidR="006507E8" w:rsidRPr="00286216" w:rsidRDefault="006507E8" w:rsidP="006507E8">
            <w:pPr>
              <w:pStyle w:val="StyleWisnow"/>
              <w:rPr>
                <w:color w:val="000000" w:themeColor="text1"/>
              </w:rPr>
            </w:pPr>
          </w:p>
        </w:tc>
        <w:tc>
          <w:tcPr>
            <w:tcW w:w="4818" w:type="dxa"/>
          </w:tcPr>
          <w:p w14:paraId="73AE4425" w14:textId="3C4391F7" w:rsidR="006507E8" w:rsidRPr="00286216" w:rsidRDefault="006507E8" w:rsidP="006507E8">
            <w:pPr>
              <w:pStyle w:val="StyleZakonu"/>
              <w:rPr>
                <w:color w:val="000000" w:themeColor="text1"/>
              </w:rPr>
            </w:pPr>
            <w:r w:rsidRPr="00286216">
              <w:rPr>
                <w:color w:val="000000" w:themeColor="text1"/>
              </w:rPr>
              <w:t>г) функції, послуги та діяльність, що провадяться чи планується провадити із залученням третіх осіб;</w:t>
            </w:r>
          </w:p>
        </w:tc>
      </w:tr>
      <w:tr w:rsidR="006507E8" w:rsidRPr="00286216" w14:paraId="1912C1C3" w14:textId="77777777" w:rsidTr="00091AA5">
        <w:tc>
          <w:tcPr>
            <w:tcW w:w="576" w:type="dxa"/>
          </w:tcPr>
          <w:p w14:paraId="666F3296" w14:textId="77777777" w:rsidR="006507E8" w:rsidRPr="00286216" w:rsidRDefault="006507E8" w:rsidP="006507E8">
            <w:pPr>
              <w:pStyle w:val="StyleWisnow"/>
              <w:rPr>
                <w:color w:val="000000" w:themeColor="text1"/>
              </w:rPr>
            </w:pPr>
            <w:bookmarkStart w:id="1073" w:name="n1339" w:colFirst="0" w:colLast="0"/>
            <w:bookmarkEnd w:id="1072"/>
            <w:r w:rsidRPr="00286216">
              <w:rPr>
                <w:color w:val="000000" w:themeColor="text1"/>
              </w:rPr>
              <w:t>1339.</w:t>
            </w:r>
          </w:p>
        </w:tc>
        <w:tc>
          <w:tcPr>
            <w:tcW w:w="4818" w:type="dxa"/>
          </w:tcPr>
          <w:p w14:paraId="52F48287" w14:textId="77777777" w:rsidR="006507E8" w:rsidRPr="00286216" w:rsidRDefault="006507E8" w:rsidP="006507E8">
            <w:pPr>
              <w:pStyle w:val="StyleZakonu"/>
              <w:rPr>
                <w:color w:val="000000" w:themeColor="text1"/>
              </w:rPr>
            </w:pPr>
            <w:r w:rsidRPr="00286216">
              <w:rPr>
                <w:color w:val="000000" w:themeColor="text1"/>
              </w:rPr>
              <w:t>ґ) інформацію про наявність спеціалістів, обладнання, комп’ютерної техніки, програмного забезпечення та приміщень, необхідних для провадження діяльності з надання інформаційних послуг на ринках капіталу та організованих товарних ринках;</w:t>
            </w:r>
          </w:p>
        </w:tc>
        <w:tc>
          <w:tcPr>
            <w:tcW w:w="3686" w:type="dxa"/>
          </w:tcPr>
          <w:p w14:paraId="09404D50" w14:textId="77777777" w:rsidR="006507E8" w:rsidRPr="00286216" w:rsidRDefault="006507E8" w:rsidP="006507E8">
            <w:pPr>
              <w:pStyle w:val="StyleProp"/>
              <w:rPr>
                <w:color w:val="000000" w:themeColor="text1"/>
                <w:szCs w:val="18"/>
              </w:rPr>
            </w:pPr>
          </w:p>
        </w:tc>
        <w:tc>
          <w:tcPr>
            <w:tcW w:w="1987" w:type="dxa"/>
          </w:tcPr>
          <w:p w14:paraId="02E2A87E" w14:textId="77777777" w:rsidR="006507E8" w:rsidRPr="00286216" w:rsidRDefault="006507E8" w:rsidP="006507E8">
            <w:pPr>
              <w:pStyle w:val="StyleWisnow"/>
              <w:rPr>
                <w:color w:val="000000" w:themeColor="text1"/>
              </w:rPr>
            </w:pPr>
          </w:p>
        </w:tc>
        <w:tc>
          <w:tcPr>
            <w:tcW w:w="4818" w:type="dxa"/>
          </w:tcPr>
          <w:p w14:paraId="4C66A69D" w14:textId="44E5B7AF" w:rsidR="006507E8" w:rsidRPr="00286216" w:rsidRDefault="006507E8" w:rsidP="006507E8">
            <w:pPr>
              <w:pStyle w:val="StyleZakonu"/>
              <w:rPr>
                <w:color w:val="000000" w:themeColor="text1"/>
              </w:rPr>
            </w:pPr>
            <w:r w:rsidRPr="00286216">
              <w:rPr>
                <w:color w:val="000000" w:themeColor="text1"/>
              </w:rPr>
              <w:t>ґ) наявність спеціалістів, обладнання, комп’ютерної техніки, програмного забезпечення та приміщень, необхідних для провадження діяльності з надання інформаційних послуг на ринках капіталу та організованих товарних ринках;</w:t>
            </w:r>
          </w:p>
        </w:tc>
      </w:tr>
      <w:tr w:rsidR="006507E8" w:rsidRPr="00286216" w14:paraId="222B7F53" w14:textId="77777777" w:rsidTr="00091AA5">
        <w:tc>
          <w:tcPr>
            <w:tcW w:w="576" w:type="dxa"/>
          </w:tcPr>
          <w:p w14:paraId="7FA00F75" w14:textId="77777777" w:rsidR="006507E8" w:rsidRPr="00286216" w:rsidRDefault="006507E8" w:rsidP="006507E8">
            <w:pPr>
              <w:pStyle w:val="StyleWisnow"/>
              <w:rPr>
                <w:color w:val="000000" w:themeColor="text1"/>
              </w:rPr>
            </w:pPr>
            <w:bookmarkStart w:id="1074" w:name="n1340" w:colFirst="0" w:colLast="0"/>
            <w:bookmarkEnd w:id="1073"/>
            <w:r w:rsidRPr="00286216">
              <w:rPr>
                <w:color w:val="000000" w:themeColor="text1"/>
              </w:rPr>
              <w:t>1340.</w:t>
            </w:r>
          </w:p>
        </w:tc>
        <w:tc>
          <w:tcPr>
            <w:tcW w:w="4818" w:type="dxa"/>
          </w:tcPr>
          <w:p w14:paraId="3A7DEF7E" w14:textId="77777777" w:rsidR="006507E8" w:rsidRPr="00286216" w:rsidRDefault="006507E8" w:rsidP="006507E8">
            <w:pPr>
              <w:pStyle w:val="StyleZakonu"/>
              <w:rPr>
                <w:color w:val="000000" w:themeColor="text1"/>
              </w:rPr>
            </w:pPr>
            <w:r w:rsidRPr="00286216">
              <w:rPr>
                <w:color w:val="000000" w:themeColor="text1"/>
              </w:rPr>
              <w:t>8) внутрішні документи щодо провадження діяльності, зокрема:</w:t>
            </w:r>
          </w:p>
        </w:tc>
        <w:tc>
          <w:tcPr>
            <w:tcW w:w="3686" w:type="dxa"/>
          </w:tcPr>
          <w:p w14:paraId="0C599582" w14:textId="77777777" w:rsidR="006507E8" w:rsidRPr="00286216" w:rsidRDefault="006507E8" w:rsidP="006507E8">
            <w:pPr>
              <w:pStyle w:val="StyleProp"/>
              <w:rPr>
                <w:color w:val="000000" w:themeColor="text1"/>
                <w:szCs w:val="18"/>
              </w:rPr>
            </w:pPr>
          </w:p>
        </w:tc>
        <w:tc>
          <w:tcPr>
            <w:tcW w:w="1987" w:type="dxa"/>
          </w:tcPr>
          <w:p w14:paraId="63C962CF" w14:textId="77777777" w:rsidR="006507E8" w:rsidRPr="00286216" w:rsidRDefault="006507E8" w:rsidP="006507E8">
            <w:pPr>
              <w:pStyle w:val="StyleWisnow"/>
              <w:rPr>
                <w:color w:val="000000" w:themeColor="text1"/>
              </w:rPr>
            </w:pPr>
          </w:p>
        </w:tc>
        <w:tc>
          <w:tcPr>
            <w:tcW w:w="4818" w:type="dxa"/>
          </w:tcPr>
          <w:p w14:paraId="3FE07D16" w14:textId="013BCBCB" w:rsidR="006507E8" w:rsidRPr="00286216" w:rsidRDefault="006507E8" w:rsidP="006507E8">
            <w:pPr>
              <w:pStyle w:val="StyleZakonu"/>
              <w:rPr>
                <w:color w:val="000000" w:themeColor="text1"/>
              </w:rPr>
            </w:pPr>
            <w:r w:rsidRPr="00286216">
              <w:rPr>
                <w:color w:val="000000" w:themeColor="text1"/>
              </w:rPr>
              <w:t>8) внутрішні документи щодо провадження діяльності, зокрема:</w:t>
            </w:r>
          </w:p>
        </w:tc>
      </w:tr>
      <w:tr w:rsidR="006507E8" w:rsidRPr="00286216" w14:paraId="579B4B8E" w14:textId="77777777" w:rsidTr="00091AA5">
        <w:tc>
          <w:tcPr>
            <w:tcW w:w="576" w:type="dxa"/>
          </w:tcPr>
          <w:p w14:paraId="79C04DD1" w14:textId="77777777" w:rsidR="006507E8" w:rsidRPr="00286216" w:rsidRDefault="006507E8" w:rsidP="006507E8">
            <w:pPr>
              <w:pStyle w:val="StyleWisnow"/>
              <w:rPr>
                <w:color w:val="000000" w:themeColor="text1"/>
              </w:rPr>
            </w:pPr>
            <w:bookmarkStart w:id="1075" w:name="n1341" w:colFirst="0" w:colLast="0"/>
            <w:bookmarkEnd w:id="1074"/>
            <w:r w:rsidRPr="00286216">
              <w:rPr>
                <w:color w:val="000000" w:themeColor="text1"/>
              </w:rPr>
              <w:t>1341.</w:t>
            </w:r>
          </w:p>
        </w:tc>
        <w:tc>
          <w:tcPr>
            <w:tcW w:w="4818" w:type="dxa"/>
          </w:tcPr>
          <w:p w14:paraId="617653BE" w14:textId="77777777" w:rsidR="006507E8" w:rsidRPr="00286216" w:rsidRDefault="006507E8" w:rsidP="006507E8">
            <w:pPr>
              <w:pStyle w:val="StyleZakonu"/>
              <w:rPr>
                <w:color w:val="000000" w:themeColor="text1"/>
              </w:rPr>
            </w:pPr>
            <w:r w:rsidRPr="00286216">
              <w:rPr>
                <w:color w:val="000000" w:themeColor="text1"/>
              </w:rPr>
              <w:t>а) копії внутрішніх положень особи, яка має намір провадити діяльність з надання інформаційних послуг на ринках капіталу та організованих товарних ринках, що визначають порядок надання інформаційних послуг на ринках капіталу та організованих товарних ринках;</w:t>
            </w:r>
          </w:p>
        </w:tc>
        <w:tc>
          <w:tcPr>
            <w:tcW w:w="3686" w:type="dxa"/>
          </w:tcPr>
          <w:p w14:paraId="137793F1" w14:textId="77777777" w:rsidR="006507E8" w:rsidRPr="00286216" w:rsidRDefault="006507E8" w:rsidP="006507E8">
            <w:pPr>
              <w:pStyle w:val="StyleProp"/>
              <w:rPr>
                <w:color w:val="000000" w:themeColor="text1"/>
                <w:szCs w:val="18"/>
              </w:rPr>
            </w:pPr>
          </w:p>
        </w:tc>
        <w:tc>
          <w:tcPr>
            <w:tcW w:w="1987" w:type="dxa"/>
          </w:tcPr>
          <w:p w14:paraId="6D7337F3" w14:textId="77777777" w:rsidR="006507E8" w:rsidRPr="00286216" w:rsidRDefault="006507E8" w:rsidP="006507E8">
            <w:pPr>
              <w:pStyle w:val="StyleWisnow"/>
              <w:rPr>
                <w:color w:val="000000" w:themeColor="text1"/>
              </w:rPr>
            </w:pPr>
          </w:p>
        </w:tc>
        <w:tc>
          <w:tcPr>
            <w:tcW w:w="4818" w:type="dxa"/>
          </w:tcPr>
          <w:p w14:paraId="78365657" w14:textId="70B27352" w:rsidR="006507E8" w:rsidRPr="00286216" w:rsidRDefault="006507E8" w:rsidP="006507E8">
            <w:pPr>
              <w:pStyle w:val="StyleZakonu"/>
              <w:rPr>
                <w:color w:val="000000" w:themeColor="text1"/>
              </w:rPr>
            </w:pPr>
            <w:r w:rsidRPr="00286216">
              <w:rPr>
                <w:color w:val="000000" w:themeColor="text1"/>
              </w:rPr>
              <w:t>а) копії внутрішніх положень особи, яка має намір провадити діяльність з надання інформаційних послуг на ринках капіталу та організованих товарних ринках, що визначають порядок надання інформаційних послуг на ринках капіталу та організованих товарних ринках;</w:t>
            </w:r>
          </w:p>
        </w:tc>
      </w:tr>
      <w:tr w:rsidR="006507E8" w:rsidRPr="00286216" w14:paraId="679A6FFA" w14:textId="77777777" w:rsidTr="00091AA5">
        <w:tc>
          <w:tcPr>
            <w:tcW w:w="576" w:type="dxa"/>
          </w:tcPr>
          <w:p w14:paraId="7BAE5B7A" w14:textId="77777777" w:rsidR="006507E8" w:rsidRPr="00286216" w:rsidRDefault="006507E8" w:rsidP="006507E8">
            <w:pPr>
              <w:pStyle w:val="StyleWisnow"/>
              <w:rPr>
                <w:color w:val="000000" w:themeColor="text1"/>
              </w:rPr>
            </w:pPr>
            <w:bookmarkStart w:id="1076" w:name="n1342" w:colFirst="0" w:colLast="0"/>
            <w:bookmarkEnd w:id="1075"/>
            <w:r w:rsidRPr="00286216">
              <w:rPr>
                <w:color w:val="000000" w:themeColor="text1"/>
              </w:rPr>
              <w:t>1342.</w:t>
            </w:r>
          </w:p>
        </w:tc>
        <w:tc>
          <w:tcPr>
            <w:tcW w:w="4818" w:type="dxa"/>
          </w:tcPr>
          <w:p w14:paraId="6AF84FCD" w14:textId="77777777" w:rsidR="006507E8" w:rsidRPr="00286216" w:rsidRDefault="006507E8" w:rsidP="006507E8">
            <w:pPr>
              <w:pStyle w:val="StyleZakonu"/>
              <w:rPr>
                <w:color w:val="000000" w:themeColor="text1"/>
              </w:rPr>
            </w:pPr>
            <w:r w:rsidRPr="00286216">
              <w:rPr>
                <w:color w:val="000000" w:themeColor="text1"/>
              </w:rPr>
              <w:t>б) внутрішні правила та інформацію про створення та забезпечення функціонування механізму виявлення, запобігання та усунення конфліктів інтересів;</w:t>
            </w:r>
          </w:p>
        </w:tc>
        <w:tc>
          <w:tcPr>
            <w:tcW w:w="3686" w:type="dxa"/>
          </w:tcPr>
          <w:p w14:paraId="531A6EAC" w14:textId="77777777" w:rsidR="006507E8" w:rsidRPr="00286216" w:rsidRDefault="006507E8" w:rsidP="006507E8">
            <w:pPr>
              <w:pStyle w:val="StyleProp"/>
              <w:rPr>
                <w:color w:val="000000" w:themeColor="text1"/>
                <w:szCs w:val="18"/>
              </w:rPr>
            </w:pPr>
          </w:p>
        </w:tc>
        <w:tc>
          <w:tcPr>
            <w:tcW w:w="1987" w:type="dxa"/>
          </w:tcPr>
          <w:p w14:paraId="3814986C" w14:textId="77777777" w:rsidR="006507E8" w:rsidRPr="00286216" w:rsidRDefault="006507E8" w:rsidP="006507E8">
            <w:pPr>
              <w:pStyle w:val="StyleWisnow"/>
              <w:rPr>
                <w:color w:val="000000" w:themeColor="text1"/>
              </w:rPr>
            </w:pPr>
          </w:p>
        </w:tc>
        <w:tc>
          <w:tcPr>
            <w:tcW w:w="4818" w:type="dxa"/>
          </w:tcPr>
          <w:p w14:paraId="09283C35" w14:textId="38929C2E" w:rsidR="006507E8" w:rsidRPr="00286216" w:rsidRDefault="006507E8" w:rsidP="006507E8">
            <w:pPr>
              <w:pStyle w:val="StyleZakonu"/>
              <w:rPr>
                <w:color w:val="000000" w:themeColor="text1"/>
              </w:rPr>
            </w:pPr>
            <w:r w:rsidRPr="00286216">
              <w:rPr>
                <w:color w:val="000000" w:themeColor="text1"/>
              </w:rPr>
              <w:t>б) внутрішні правила та інформацію про створення і забезпечення функціонування механізму виявлення, запобігання та усунення конфліктів інтересів;</w:t>
            </w:r>
          </w:p>
        </w:tc>
      </w:tr>
      <w:tr w:rsidR="006507E8" w:rsidRPr="00286216" w14:paraId="0BD778F7" w14:textId="77777777" w:rsidTr="00091AA5">
        <w:tc>
          <w:tcPr>
            <w:tcW w:w="576" w:type="dxa"/>
          </w:tcPr>
          <w:p w14:paraId="2AC6C8E6" w14:textId="77777777" w:rsidR="006507E8" w:rsidRPr="00286216" w:rsidRDefault="006507E8" w:rsidP="006507E8">
            <w:pPr>
              <w:pStyle w:val="StyleWisnow"/>
              <w:rPr>
                <w:color w:val="000000" w:themeColor="text1"/>
              </w:rPr>
            </w:pPr>
            <w:bookmarkStart w:id="1077" w:name="n1343" w:colFirst="0" w:colLast="0"/>
            <w:bookmarkEnd w:id="1076"/>
            <w:r w:rsidRPr="00286216">
              <w:rPr>
                <w:color w:val="000000" w:themeColor="text1"/>
              </w:rPr>
              <w:t>1343.</w:t>
            </w:r>
          </w:p>
        </w:tc>
        <w:tc>
          <w:tcPr>
            <w:tcW w:w="4818" w:type="dxa"/>
          </w:tcPr>
          <w:p w14:paraId="2715FBCB" w14:textId="77777777" w:rsidR="006507E8" w:rsidRPr="00286216" w:rsidRDefault="006507E8" w:rsidP="006507E8">
            <w:pPr>
              <w:pStyle w:val="StyleZakonu"/>
              <w:rPr>
                <w:color w:val="000000" w:themeColor="text1"/>
              </w:rPr>
            </w:pPr>
            <w:r w:rsidRPr="00286216">
              <w:rPr>
                <w:color w:val="000000" w:themeColor="text1"/>
              </w:rPr>
              <w:t>9) внутрішні правила та інформацію про відповідні засоби гарантування безпеки інформації, її передачі, мінімізації ризиків виникнення загрози доступності, конфіденційності та цілісності інформації;</w:t>
            </w:r>
          </w:p>
        </w:tc>
        <w:tc>
          <w:tcPr>
            <w:tcW w:w="3686" w:type="dxa"/>
          </w:tcPr>
          <w:p w14:paraId="1169653A" w14:textId="77777777" w:rsidR="006507E8" w:rsidRPr="00286216" w:rsidRDefault="006507E8" w:rsidP="006507E8">
            <w:pPr>
              <w:pStyle w:val="StyleProp"/>
              <w:rPr>
                <w:color w:val="000000" w:themeColor="text1"/>
                <w:szCs w:val="18"/>
              </w:rPr>
            </w:pPr>
          </w:p>
        </w:tc>
        <w:tc>
          <w:tcPr>
            <w:tcW w:w="1987" w:type="dxa"/>
          </w:tcPr>
          <w:p w14:paraId="135D2AAE" w14:textId="77777777" w:rsidR="006507E8" w:rsidRPr="00286216" w:rsidRDefault="006507E8" w:rsidP="006507E8">
            <w:pPr>
              <w:pStyle w:val="StyleWisnow"/>
              <w:rPr>
                <w:color w:val="000000" w:themeColor="text1"/>
              </w:rPr>
            </w:pPr>
          </w:p>
        </w:tc>
        <w:tc>
          <w:tcPr>
            <w:tcW w:w="4818" w:type="dxa"/>
          </w:tcPr>
          <w:p w14:paraId="783B090F" w14:textId="6CE14859" w:rsidR="006507E8" w:rsidRPr="00286216" w:rsidRDefault="006507E8" w:rsidP="006507E8">
            <w:pPr>
              <w:pStyle w:val="StyleZakonu"/>
              <w:rPr>
                <w:color w:val="000000" w:themeColor="text1"/>
              </w:rPr>
            </w:pPr>
            <w:r w:rsidRPr="00286216">
              <w:rPr>
                <w:color w:val="000000" w:themeColor="text1"/>
              </w:rPr>
              <w:t>9) внутрішні правила та інформацію про відповідні засоби гарантування безпеки інформації, її передачі, мінімізації ризиків виникнення загрози доступності, конфіденційності та цілісності інформації;</w:t>
            </w:r>
          </w:p>
        </w:tc>
      </w:tr>
      <w:tr w:rsidR="006507E8" w:rsidRPr="00286216" w14:paraId="362AD75E" w14:textId="77777777" w:rsidTr="00091AA5">
        <w:tc>
          <w:tcPr>
            <w:tcW w:w="576" w:type="dxa"/>
          </w:tcPr>
          <w:p w14:paraId="64486096" w14:textId="77777777" w:rsidR="006507E8" w:rsidRPr="00286216" w:rsidRDefault="006507E8" w:rsidP="006507E8">
            <w:pPr>
              <w:pStyle w:val="StyleWisnow"/>
              <w:rPr>
                <w:color w:val="000000" w:themeColor="text1"/>
              </w:rPr>
            </w:pPr>
            <w:bookmarkStart w:id="1078" w:name="n1344" w:colFirst="0" w:colLast="0"/>
            <w:bookmarkEnd w:id="1077"/>
            <w:r w:rsidRPr="00286216">
              <w:rPr>
                <w:color w:val="000000" w:themeColor="text1"/>
              </w:rPr>
              <w:t>1344.</w:t>
            </w:r>
          </w:p>
        </w:tc>
        <w:tc>
          <w:tcPr>
            <w:tcW w:w="4818" w:type="dxa"/>
          </w:tcPr>
          <w:p w14:paraId="47AE57EC" w14:textId="77777777" w:rsidR="006507E8" w:rsidRPr="00286216" w:rsidRDefault="006507E8" w:rsidP="006507E8">
            <w:pPr>
              <w:pStyle w:val="StyleZakonu"/>
              <w:rPr>
                <w:color w:val="000000" w:themeColor="text1"/>
              </w:rPr>
            </w:pPr>
            <w:r w:rsidRPr="00286216">
              <w:rPr>
                <w:color w:val="000000" w:themeColor="text1"/>
              </w:rPr>
              <w:t>10) інформацію про засоби забезпечення безперервності провадження діяльності;</w:t>
            </w:r>
          </w:p>
        </w:tc>
        <w:tc>
          <w:tcPr>
            <w:tcW w:w="3686" w:type="dxa"/>
          </w:tcPr>
          <w:p w14:paraId="066FD520" w14:textId="77777777" w:rsidR="006507E8" w:rsidRPr="00286216" w:rsidRDefault="006507E8" w:rsidP="006507E8">
            <w:pPr>
              <w:pStyle w:val="StyleProp"/>
              <w:rPr>
                <w:color w:val="000000" w:themeColor="text1"/>
                <w:szCs w:val="18"/>
              </w:rPr>
            </w:pPr>
          </w:p>
        </w:tc>
        <w:tc>
          <w:tcPr>
            <w:tcW w:w="1987" w:type="dxa"/>
          </w:tcPr>
          <w:p w14:paraId="0B4FDEAE" w14:textId="77777777" w:rsidR="006507E8" w:rsidRPr="00286216" w:rsidRDefault="006507E8" w:rsidP="006507E8">
            <w:pPr>
              <w:pStyle w:val="StyleWisnow"/>
              <w:rPr>
                <w:color w:val="000000" w:themeColor="text1"/>
              </w:rPr>
            </w:pPr>
          </w:p>
        </w:tc>
        <w:tc>
          <w:tcPr>
            <w:tcW w:w="4818" w:type="dxa"/>
          </w:tcPr>
          <w:p w14:paraId="121E7994" w14:textId="6107BBF7" w:rsidR="006507E8" w:rsidRPr="00286216" w:rsidRDefault="006507E8" w:rsidP="006507E8">
            <w:pPr>
              <w:pStyle w:val="StyleZakonu"/>
              <w:rPr>
                <w:color w:val="000000" w:themeColor="text1"/>
              </w:rPr>
            </w:pPr>
            <w:r w:rsidRPr="00286216">
              <w:rPr>
                <w:color w:val="000000" w:themeColor="text1"/>
              </w:rPr>
              <w:t>10) інформацію про засоби забезпечення безперервності провадження діяльності.</w:t>
            </w:r>
          </w:p>
        </w:tc>
      </w:tr>
      <w:tr w:rsidR="006507E8" w:rsidRPr="00286216" w14:paraId="27248F85" w14:textId="77777777" w:rsidTr="00091AA5">
        <w:tc>
          <w:tcPr>
            <w:tcW w:w="576" w:type="dxa"/>
          </w:tcPr>
          <w:p w14:paraId="2494F842" w14:textId="77777777" w:rsidR="006507E8" w:rsidRPr="00286216" w:rsidRDefault="006507E8" w:rsidP="006507E8">
            <w:pPr>
              <w:pStyle w:val="StyleWisnow"/>
              <w:rPr>
                <w:color w:val="000000" w:themeColor="text1"/>
              </w:rPr>
            </w:pPr>
            <w:bookmarkStart w:id="1079" w:name="n1345" w:colFirst="0" w:colLast="0"/>
            <w:bookmarkEnd w:id="1078"/>
            <w:r w:rsidRPr="00286216">
              <w:rPr>
                <w:color w:val="000000" w:themeColor="text1"/>
              </w:rPr>
              <w:t>1345.</w:t>
            </w:r>
          </w:p>
        </w:tc>
        <w:tc>
          <w:tcPr>
            <w:tcW w:w="4818" w:type="dxa"/>
          </w:tcPr>
          <w:p w14:paraId="0204BDEB" w14:textId="77777777" w:rsidR="006507E8" w:rsidRPr="00286216" w:rsidRDefault="006507E8" w:rsidP="006507E8">
            <w:pPr>
              <w:pStyle w:val="StyleZakonu"/>
              <w:rPr>
                <w:color w:val="000000" w:themeColor="text1"/>
              </w:rPr>
            </w:pPr>
            <w:r w:rsidRPr="00286216">
              <w:rPr>
                <w:color w:val="000000" w:themeColor="text1"/>
              </w:rPr>
              <w:t>11) інші документи, встановлені Національною комісією з цінних паперів та фондового ринку.</w:t>
            </w:r>
          </w:p>
        </w:tc>
        <w:tc>
          <w:tcPr>
            <w:tcW w:w="3686" w:type="dxa"/>
          </w:tcPr>
          <w:p w14:paraId="0AF68DDB" w14:textId="74C1D840"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822</w:t>
            </w:r>
            <w:r w:rsidRPr="00286216">
              <w:rPr>
                <w:color w:val="000000" w:themeColor="text1"/>
                <w:spacing w:val="-10"/>
              </w:rPr>
              <w:fldChar w:fldCharType="end"/>
            </w:r>
            <w:r w:rsidRPr="00286216">
              <w:rPr>
                <w:color w:val="000000" w:themeColor="text1"/>
                <w:spacing w:val="-10"/>
              </w:rPr>
              <w:t>-Н.д.Гетманцев Д.О.(Реєстр.картка №245)</w:t>
            </w:r>
          </w:p>
          <w:p w14:paraId="2FACC7DB" w14:textId="6E3B9BE3" w:rsidR="006507E8" w:rsidRPr="00286216" w:rsidRDefault="006507E8" w:rsidP="006507E8">
            <w:pPr>
              <w:pStyle w:val="StyleProp"/>
              <w:rPr>
                <w:color w:val="000000" w:themeColor="text1"/>
              </w:rPr>
            </w:pPr>
            <w:r w:rsidRPr="00286216">
              <w:rPr>
                <w:color w:val="000000" w:themeColor="text1"/>
              </w:rPr>
              <w:t>У статті 75 пункт 11 частини 1 виключити</w:t>
            </w:r>
          </w:p>
        </w:tc>
        <w:tc>
          <w:tcPr>
            <w:tcW w:w="1987" w:type="dxa"/>
          </w:tcPr>
          <w:p w14:paraId="127BD6FF"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33F3B2F1" w14:textId="77777777" w:rsidR="006507E8" w:rsidRPr="00286216" w:rsidRDefault="006507E8" w:rsidP="006507E8">
            <w:pPr>
              <w:pStyle w:val="StyleZakonu"/>
              <w:rPr>
                <w:color w:val="000000" w:themeColor="text1"/>
              </w:rPr>
            </w:pPr>
          </w:p>
        </w:tc>
      </w:tr>
      <w:tr w:rsidR="006507E8" w:rsidRPr="00286216" w14:paraId="68F51822" w14:textId="77777777" w:rsidTr="00091AA5">
        <w:tc>
          <w:tcPr>
            <w:tcW w:w="576" w:type="dxa"/>
          </w:tcPr>
          <w:p w14:paraId="40A2B9D8" w14:textId="77777777" w:rsidR="006507E8" w:rsidRPr="00286216" w:rsidRDefault="006507E8" w:rsidP="006507E8">
            <w:pPr>
              <w:pStyle w:val="StyleWisnow"/>
              <w:rPr>
                <w:color w:val="000000" w:themeColor="text1"/>
              </w:rPr>
            </w:pPr>
            <w:bookmarkStart w:id="1080" w:name="n1346" w:colFirst="0" w:colLast="0"/>
            <w:bookmarkEnd w:id="1079"/>
            <w:r w:rsidRPr="00286216">
              <w:rPr>
                <w:color w:val="000000" w:themeColor="text1"/>
              </w:rPr>
              <w:t>1346.</w:t>
            </w:r>
          </w:p>
        </w:tc>
        <w:tc>
          <w:tcPr>
            <w:tcW w:w="4818" w:type="dxa"/>
          </w:tcPr>
          <w:p w14:paraId="3DC07177" w14:textId="77777777" w:rsidR="006507E8" w:rsidRPr="00286216" w:rsidRDefault="006507E8" w:rsidP="006507E8">
            <w:pPr>
              <w:pStyle w:val="StyleZakonu"/>
              <w:rPr>
                <w:color w:val="000000" w:themeColor="text1"/>
              </w:rPr>
            </w:pPr>
            <w:r w:rsidRPr="00286216">
              <w:rPr>
                <w:color w:val="000000" w:themeColor="text1"/>
              </w:rPr>
              <w:t xml:space="preserve">2. У разі внесення змін до інформації та/або документів, поданих відповідно до частини першої </w:t>
            </w:r>
            <w:r w:rsidRPr="00286216">
              <w:rPr>
                <w:color w:val="000000" w:themeColor="text1"/>
              </w:rPr>
              <w:lastRenderedPageBreak/>
              <w:t>цієї статті, особа, яка провадить діяльність з надання інформаційних послуг на ринках капіталу та організованих товарних ринках, зобов’язана повідомити про це Національну комісію з цінних паперів та фондового ринку у встановлені нею порядку та строки.</w:t>
            </w:r>
          </w:p>
        </w:tc>
        <w:tc>
          <w:tcPr>
            <w:tcW w:w="3686" w:type="dxa"/>
          </w:tcPr>
          <w:p w14:paraId="1ACDCA3C" w14:textId="3A6269C0" w:rsidR="006507E8" w:rsidRPr="00286216" w:rsidRDefault="006507E8" w:rsidP="006507E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823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3D417C4" w14:textId="77777777" w:rsidR="006507E8" w:rsidRPr="00286216" w:rsidRDefault="006507E8" w:rsidP="006507E8">
            <w:pPr>
              <w:pStyle w:val="StyleProp"/>
              <w:rPr>
                <w:color w:val="000000" w:themeColor="text1"/>
                <w:szCs w:val="18"/>
              </w:rPr>
            </w:pPr>
            <w:r w:rsidRPr="00286216">
              <w:rPr>
                <w:color w:val="000000" w:themeColor="text1"/>
                <w:szCs w:val="18"/>
              </w:rPr>
              <w:t xml:space="preserve">Частину другу статті 75 доповнити </w:t>
            </w:r>
            <w:r w:rsidRPr="00286216">
              <w:rPr>
                <w:color w:val="000000" w:themeColor="text1"/>
                <w:szCs w:val="18"/>
              </w:rPr>
              <w:lastRenderedPageBreak/>
              <w:t>словами «офіційним каналом зв’язку».</w:t>
            </w:r>
          </w:p>
        </w:tc>
        <w:tc>
          <w:tcPr>
            <w:tcW w:w="1987" w:type="dxa"/>
          </w:tcPr>
          <w:p w14:paraId="5AA0AE57"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614D2E46" w14:textId="50CC398F" w:rsidR="006507E8" w:rsidRPr="00286216" w:rsidRDefault="006507E8" w:rsidP="006507E8">
            <w:pPr>
              <w:pStyle w:val="StyleZakonu"/>
              <w:rPr>
                <w:color w:val="000000" w:themeColor="text1"/>
              </w:rPr>
            </w:pPr>
            <w:r w:rsidRPr="00286216">
              <w:rPr>
                <w:color w:val="000000" w:themeColor="text1"/>
              </w:rPr>
              <w:t xml:space="preserve">2. У разі внесення змін до інформації та/або документів, поданих відповідно до частини першої </w:t>
            </w:r>
            <w:r w:rsidRPr="00286216">
              <w:rPr>
                <w:color w:val="000000" w:themeColor="text1"/>
              </w:rPr>
              <w:lastRenderedPageBreak/>
              <w:t xml:space="preserve">цієї статті, особа, яка провадить діяльність з надання інформаційних послуг на ринках капіталу та організованих товарних ринках, зобов’язана </w:t>
            </w:r>
            <w:r w:rsidRPr="00286216">
              <w:rPr>
                <w:color w:val="000000" w:themeColor="text1"/>
                <w:szCs w:val="18"/>
              </w:rPr>
              <w:t>офіційним каналом зв’язку</w:t>
            </w:r>
            <w:r w:rsidRPr="00286216">
              <w:rPr>
                <w:color w:val="000000" w:themeColor="text1"/>
              </w:rPr>
              <w:t xml:space="preserve"> повідомити про це Національну комісію з цінних паперів та фондового ринку у встановлені нею порядку та строки.</w:t>
            </w:r>
          </w:p>
        </w:tc>
      </w:tr>
      <w:tr w:rsidR="006507E8" w:rsidRPr="00286216" w14:paraId="663BE765" w14:textId="77777777" w:rsidTr="00091AA5">
        <w:tc>
          <w:tcPr>
            <w:tcW w:w="576" w:type="dxa"/>
          </w:tcPr>
          <w:p w14:paraId="1DABAEFD" w14:textId="77777777" w:rsidR="006507E8" w:rsidRPr="00286216" w:rsidRDefault="006507E8" w:rsidP="006507E8">
            <w:pPr>
              <w:pStyle w:val="StyleWisnow"/>
              <w:rPr>
                <w:color w:val="000000" w:themeColor="text1"/>
              </w:rPr>
            </w:pPr>
            <w:bookmarkStart w:id="1081" w:name="n1347" w:colFirst="0" w:colLast="0"/>
            <w:bookmarkEnd w:id="1080"/>
            <w:r w:rsidRPr="00286216">
              <w:rPr>
                <w:color w:val="000000" w:themeColor="text1"/>
              </w:rPr>
              <w:lastRenderedPageBreak/>
              <w:t>1347.</w:t>
            </w:r>
          </w:p>
        </w:tc>
        <w:tc>
          <w:tcPr>
            <w:tcW w:w="4818" w:type="dxa"/>
          </w:tcPr>
          <w:p w14:paraId="5E64E332" w14:textId="77777777" w:rsidR="006507E8" w:rsidRPr="00286216" w:rsidRDefault="006507E8" w:rsidP="006507E8">
            <w:pPr>
              <w:pStyle w:val="StyleZakonu"/>
              <w:rPr>
                <w:color w:val="000000" w:themeColor="text1"/>
              </w:rPr>
            </w:pPr>
            <w:r w:rsidRPr="00286216">
              <w:rPr>
                <w:color w:val="000000" w:themeColor="text1"/>
              </w:rPr>
              <w:t>3. Національна комісія з цінних паперів та фондового ринку приймає рішення про включення або відмову у включенні юридичної особи до Реєстру уповноважених осіб протягом шести місяців з дати отримання всіх документів, передбачених частиною першою цієї статті.</w:t>
            </w:r>
          </w:p>
        </w:tc>
        <w:tc>
          <w:tcPr>
            <w:tcW w:w="3686" w:type="dxa"/>
          </w:tcPr>
          <w:p w14:paraId="5F6CD359" w14:textId="7E12B619"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824</w:t>
            </w:r>
            <w:r w:rsidRPr="00286216">
              <w:rPr>
                <w:color w:val="000000" w:themeColor="text1"/>
                <w:spacing w:val="-10"/>
              </w:rPr>
              <w:fldChar w:fldCharType="end"/>
            </w:r>
            <w:r w:rsidRPr="00286216">
              <w:rPr>
                <w:color w:val="000000" w:themeColor="text1"/>
                <w:spacing w:val="-10"/>
              </w:rPr>
              <w:t>-Н.д.Гетманцев Д.О.(Реєстр.картка №245)</w:t>
            </w:r>
          </w:p>
          <w:p w14:paraId="6CF4E388" w14:textId="77777777" w:rsidR="006507E8" w:rsidRPr="00286216" w:rsidRDefault="006507E8" w:rsidP="006507E8">
            <w:pPr>
              <w:pStyle w:val="StyleProp"/>
              <w:rPr>
                <w:color w:val="000000" w:themeColor="text1"/>
              </w:rPr>
            </w:pPr>
            <w:r w:rsidRPr="00286216">
              <w:rPr>
                <w:color w:val="000000" w:themeColor="text1"/>
              </w:rPr>
              <w:t>У статті 75 у частині третій слова «шести місяців» замінити словами «одного місяця»;</w:t>
            </w:r>
          </w:p>
        </w:tc>
        <w:tc>
          <w:tcPr>
            <w:tcW w:w="1987" w:type="dxa"/>
          </w:tcPr>
          <w:p w14:paraId="09C9CF52"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1E233A75" w14:textId="77777777" w:rsidR="006507E8" w:rsidRPr="00286216" w:rsidRDefault="006507E8" w:rsidP="006507E8">
            <w:pPr>
              <w:pStyle w:val="StyleWisnow"/>
              <w:spacing w:line="180" w:lineRule="exact"/>
              <w:rPr>
                <w:color w:val="000000" w:themeColor="text1"/>
              </w:rPr>
            </w:pPr>
            <w:r w:rsidRPr="00286216">
              <w:rPr>
                <w:color w:val="000000" w:themeColor="text1"/>
              </w:rPr>
              <w:t>Строк 6 місяців встановлений частиною 3 статті 61 MiFID II</w:t>
            </w:r>
          </w:p>
        </w:tc>
        <w:tc>
          <w:tcPr>
            <w:tcW w:w="4818" w:type="dxa"/>
          </w:tcPr>
          <w:p w14:paraId="488660C9" w14:textId="49A81941" w:rsidR="006507E8" w:rsidRPr="00286216" w:rsidRDefault="006507E8" w:rsidP="006507E8">
            <w:pPr>
              <w:pStyle w:val="StyleZakonu"/>
              <w:rPr>
                <w:color w:val="000000" w:themeColor="text1"/>
              </w:rPr>
            </w:pPr>
            <w:r w:rsidRPr="00286216">
              <w:rPr>
                <w:color w:val="000000" w:themeColor="text1"/>
              </w:rPr>
              <w:t>3. Національна комісія з цінних паперів та фондового ринку приймає рішення про включення або відмову у включенні юридичної особи до Реєстру уповноважених осіб протягом шести місяців з дня отримання всіх документів, передбачених частиною першою цієї статті.</w:t>
            </w:r>
          </w:p>
        </w:tc>
      </w:tr>
      <w:tr w:rsidR="006507E8" w:rsidRPr="00286216" w14:paraId="473E86F1" w14:textId="77777777" w:rsidTr="00091AA5">
        <w:tc>
          <w:tcPr>
            <w:tcW w:w="576" w:type="dxa"/>
          </w:tcPr>
          <w:p w14:paraId="2328E882" w14:textId="77777777" w:rsidR="006507E8" w:rsidRPr="00286216" w:rsidRDefault="006507E8" w:rsidP="006507E8">
            <w:pPr>
              <w:pStyle w:val="StyleWisnow"/>
              <w:rPr>
                <w:color w:val="000000" w:themeColor="text1"/>
              </w:rPr>
            </w:pPr>
            <w:bookmarkStart w:id="1082" w:name="n1348" w:colFirst="0" w:colLast="0"/>
            <w:bookmarkEnd w:id="1081"/>
            <w:r w:rsidRPr="00286216">
              <w:rPr>
                <w:color w:val="000000" w:themeColor="text1"/>
              </w:rPr>
              <w:t>1348.</w:t>
            </w:r>
          </w:p>
        </w:tc>
        <w:tc>
          <w:tcPr>
            <w:tcW w:w="4818" w:type="dxa"/>
          </w:tcPr>
          <w:p w14:paraId="736C7C65" w14:textId="77777777" w:rsidR="006507E8" w:rsidRPr="00286216" w:rsidRDefault="006507E8" w:rsidP="006507E8">
            <w:pPr>
              <w:pStyle w:val="StyleZakonu"/>
              <w:rPr>
                <w:color w:val="000000" w:themeColor="text1"/>
              </w:rPr>
            </w:pPr>
            <w:r w:rsidRPr="00286216">
              <w:rPr>
                <w:color w:val="000000" w:themeColor="text1"/>
              </w:rPr>
              <w:t>4. У разі прийняття рішення про включення юридичної особи до Реєстру уповноважених осіб Національна комісія з цінних паперів та фондового ринку видає свідоцтво про включення до Реєстру.</w:t>
            </w:r>
          </w:p>
        </w:tc>
        <w:tc>
          <w:tcPr>
            <w:tcW w:w="3686" w:type="dxa"/>
          </w:tcPr>
          <w:p w14:paraId="23ED1F3C" w14:textId="0595B440"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825</w:t>
            </w:r>
            <w:r w:rsidRPr="00286216">
              <w:rPr>
                <w:color w:val="000000" w:themeColor="text1"/>
                <w:spacing w:val="-10"/>
              </w:rPr>
              <w:fldChar w:fldCharType="end"/>
            </w:r>
            <w:r w:rsidRPr="00286216">
              <w:rPr>
                <w:color w:val="000000" w:themeColor="text1"/>
                <w:spacing w:val="-10"/>
              </w:rPr>
              <w:t>-Н.д.Гетманцев Д.О.(Реєстр.картка №245)</w:t>
            </w:r>
          </w:p>
          <w:p w14:paraId="5AD4140A" w14:textId="77777777" w:rsidR="006507E8" w:rsidRPr="00286216" w:rsidRDefault="006507E8" w:rsidP="006507E8">
            <w:pPr>
              <w:pStyle w:val="StyleProp"/>
              <w:rPr>
                <w:color w:val="000000" w:themeColor="text1"/>
              </w:rPr>
            </w:pPr>
            <w:r w:rsidRPr="00286216">
              <w:rPr>
                <w:color w:val="000000" w:themeColor="text1"/>
              </w:rPr>
              <w:t>У статті 75 абзац перший частини четвертої доповнити словами «уповноважених осіб».</w:t>
            </w:r>
          </w:p>
        </w:tc>
        <w:tc>
          <w:tcPr>
            <w:tcW w:w="1987" w:type="dxa"/>
          </w:tcPr>
          <w:p w14:paraId="1511BC45"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64706779" w14:textId="616D43FC" w:rsidR="006507E8" w:rsidRPr="00286216" w:rsidRDefault="006507E8" w:rsidP="006507E8">
            <w:pPr>
              <w:pStyle w:val="StyleZakonu"/>
              <w:rPr>
                <w:color w:val="000000" w:themeColor="text1"/>
              </w:rPr>
            </w:pPr>
            <w:r w:rsidRPr="00286216">
              <w:rPr>
                <w:color w:val="000000" w:themeColor="text1"/>
              </w:rPr>
              <w:t>4. У разі прийняття рішення про включення юридичної особи до Реєстру уповноважених осіб Національна комісія з цінних паперів та фондового ринку видає свідоцтво про включення до Реєстру.</w:t>
            </w:r>
          </w:p>
        </w:tc>
      </w:tr>
      <w:tr w:rsidR="006507E8" w:rsidRPr="00286216" w14:paraId="5CB6D9DE" w14:textId="77777777" w:rsidTr="00091AA5">
        <w:tc>
          <w:tcPr>
            <w:tcW w:w="576" w:type="dxa"/>
          </w:tcPr>
          <w:p w14:paraId="44CB9A4D" w14:textId="77777777" w:rsidR="006507E8" w:rsidRPr="00286216" w:rsidRDefault="006507E8" w:rsidP="006507E8">
            <w:pPr>
              <w:pStyle w:val="StyleWisnow"/>
              <w:rPr>
                <w:color w:val="000000" w:themeColor="text1"/>
              </w:rPr>
            </w:pPr>
            <w:bookmarkStart w:id="1083" w:name="n1349" w:colFirst="0" w:colLast="0"/>
            <w:bookmarkEnd w:id="1082"/>
            <w:r w:rsidRPr="00286216">
              <w:rPr>
                <w:color w:val="000000" w:themeColor="text1"/>
              </w:rPr>
              <w:t>1349.</w:t>
            </w:r>
          </w:p>
        </w:tc>
        <w:tc>
          <w:tcPr>
            <w:tcW w:w="4818" w:type="dxa"/>
          </w:tcPr>
          <w:p w14:paraId="51EB5224" w14:textId="77777777" w:rsidR="006507E8" w:rsidRPr="00286216" w:rsidRDefault="006507E8" w:rsidP="006507E8">
            <w:pPr>
              <w:pStyle w:val="StyleZakonu"/>
              <w:rPr>
                <w:color w:val="000000" w:themeColor="text1"/>
              </w:rPr>
            </w:pPr>
            <w:r w:rsidRPr="00286216">
              <w:rPr>
                <w:color w:val="000000" w:themeColor="text1"/>
              </w:rPr>
              <w:t>У разі прийняття рішення про відмову у включенні юридичної особи до Реєстру уповноважених осіб Національна комісія з цінних паперів та фондового ринку повідомляє таку юридичну особу про причини відмови.</w:t>
            </w:r>
          </w:p>
        </w:tc>
        <w:tc>
          <w:tcPr>
            <w:tcW w:w="3686" w:type="dxa"/>
          </w:tcPr>
          <w:p w14:paraId="4BBB0492" w14:textId="75F3C402"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826</w:t>
            </w:r>
            <w:r w:rsidRPr="00286216">
              <w:rPr>
                <w:color w:val="000000" w:themeColor="text1"/>
                <w:spacing w:val="-10"/>
              </w:rPr>
              <w:fldChar w:fldCharType="end"/>
            </w:r>
            <w:r w:rsidRPr="00286216">
              <w:rPr>
                <w:color w:val="000000" w:themeColor="text1"/>
                <w:spacing w:val="-10"/>
              </w:rPr>
              <w:t>-Н.д.Гетманцев Д.О.(Реєстр.картка №245)</w:t>
            </w:r>
          </w:p>
          <w:p w14:paraId="60AB388B" w14:textId="77777777" w:rsidR="006507E8" w:rsidRPr="00286216" w:rsidRDefault="006507E8" w:rsidP="006507E8">
            <w:pPr>
              <w:pStyle w:val="StyleProp"/>
              <w:rPr>
                <w:color w:val="000000" w:themeColor="text1"/>
                <w:spacing w:val="-3"/>
              </w:rPr>
            </w:pPr>
            <w:r w:rsidRPr="00286216">
              <w:rPr>
                <w:color w:val="000000" w:themeColor="text1"/>
                <w:spacing w:val="-3"/>
              </w:rPr>
              <w:t>У статті 75 абзац 2 частини 4 після слова «відмови» доповнити словами «протягом п’яти робочих днів з дня прийняття такого рішення.»</w:t>
            </w:r>
          </w:p>
          <w:p w14:paraId="23A50EBB" w14:textId="3463CA74"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827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E32D46F" w14:textId="77777777" w:rsidR="006507E8" w:rsidRPr="00286216" w:rsidRDefault="006507E8" w:rsidP="006507E8">
            <w:pPr>
              <w:pStyle w:val="StyleProp"/>
              <w:spacing w:line="180" w:lineRule="exact"/>
              <w:rPr>
                <w:color w:val="000000" w:themeColor="text1"/>
              </w:rPr>
            </w:pPr>
            <w:r w:rsidRPr="00286216">
              <w:rPr>
                <w:color w:val="000000" w:themeColor="text1"/>
                <w:szCs w:val="18"/>
              </w:rPr>
              <w:t>Абзац 2 частини 4 статті 75 доповнити словами «офіційним каналом зв’язку».</w:t>
            </w:r>
          </w:p>
        </w:tc>
        <w:tc>
          <w:tcPr>
            <w:tcW w:w="1987" w:type="dxa"/>
          </w:tcPr>
          <w:p w14:paraId="4F0C5827" w14:textId="77777777" w:rsidR="006507E8" w:rsidRPr="00286216" w:rsidRDefault="006507E8" w:rsidP="006507E8">
            <w:pPr>
              <w:pStyle w:val="StyleWisnow"/>
              <w:rPr>
                <w:color w:val="000000" w:themeColor="text1"/>
              </w:rPr>
            </w:pPr>
            <w:r w:rsidRPr="00286216">
              <w:rPr>
                <w:color w:val="000000" w:themeColor="text1"/>
              </w:rPr>
              <w:t>Враховано</w:t>
            </w:r>
          </w:p>
          <w:p w14:paraId="279EA1FE" w14:textId="77777777" w:rsidR="006507E8" w:rsidRPr="00286216" w:rsidRDefault="006507E8" w:rsidP="006507E8">
            <w:pPr>
              <w:pStyle w:val="StyleWisnow"/>
              <w:rPr>
                <w:color w:val="000000" w:themeColor="text1"/>
              </w:rPr>
            </w:pPr>
          </w:p>
          <w:p w14:paraId="0BB94E3D" w14:textId="77777777" w:rsidR="006507E8" w:rsidRPr="00286216" w:rsidRDefault="006507E8" w:rsidP="006507E8">
            <w:pPr>
              <w:pStyle w:val="StyleWisnow"/>
              <w:rPr>
                <w:color w:val="000000" w:themeColor="text1"/>
              </w:rPr>
            </w:pPr>
          </w:p>
          <w:p w14:paraId="5EFB4024" w14:textId="77777777" w:rsidR="006507E8" w:rsidRPr="00286216" w:rsidRDefault="006507E8" w:rsidP="006507E8">
            <w:pPr>
              <w:pStyle w:val="StyleWisnow"/>
              <w:rPr>
                <w:color w:val="000000" w:themeColor="text1"/>
              </w:rPr>
            </w:pPr>
          </w:p>
          <w:p w14:paraId="67D897F1"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7B49E3D8" w14:textId="2A575A3C" w:rsidR="006507E8" w:rsidRPr="00286216" w:rsidRDefault="006507E8" w:rsidP="006507E8">
            <w:pPr>
              <w:pStyle w:val="StyleZakonu"/>
              <w:rPr>
                <w:color w:val="000000" w:themeColor="text1"/>
              </w:rPr>
            </w:pPr>
            <w:r w:rsidRPr="00286216">
              <w:rPr>
                <w:color w:val="000000" w:themeColor="text1"/>
              </w:rPr>
              <w:t xml:space="preserve">У разі прийняття рішення про відмову у включенні юридичної особи до Реєстру уповноважених осіб Національна комісія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повідомляє юридичну особу про причини відмови </w:t>
            </w:r>
            <w:r w:rsidRPr="00286216">
              <w:rPr>
                <w:color w:val="000000" w:themeColor="text1"/>
                <w:spacing w:val="-3"/>
              </w:rPr>
              <w:t>протягом п’яти робочих днів з дня прийняття такого рішення</w:t>
            </w:r>
            <w:r w:rsidRPr="00286216">
              <w:rPr>
                <w:color w:val="000000" w:themeColor="text1"/>
              </w:rPr>
              <w:t>.</w:t>
            </w:r>
          </w:p>
        </w:tc>
      </w:tr>
      <w:tr w:rsidR="006507E8" w:rsidRPr="00286216" w14:paraId="742C7E0B" w14:textId="77777777" w:rsidTr="00091AA5">
        <w:tc>
          <w:tcPr>
            <w:tcW w:w="576" w:type="dxa"/>
          </w:tcPr>
          <w:p w14:paraId="6DD0F1FD" w14:textId="77777777" w:rsidR="006507E8" w:rsidRPr="00286216" w:rsidRDefault="006507E8" w:rsidP="006507E8">
            <w:pPr>
              <w:pStyle w:val="StyleWisnow"/>
              <w:rPr>
                <w:color w:val="000000" w:themeColor="text1"/>
              </w:rPr>
            </w:pPr>
          </w:p>
        </w:tc>
        <w:tc>
          <w:tcPr>
            <w:tcW w:w="4818" w:type="dxa"/>
          </w:tcPr>
          <w:p w14:paraId="03E056AC" w14:textId="77777777" w:rsidR="006507E8" w:rsidRPr="00286216" w:rsidRDefault="006507E8" w:rsidP="006507E8">
            <w:pPr>
              <w:pStyle w:val="StyleZakonu"/>
              <w:rPr>
                <w:color w:val="000000" w:themeColor="text1"/>
              </w:rPr>
            </w:pPr>
          </w:p>
        </w:tc>
        <w:tc>
          <w:tcPr>
            <w:tcW w:w="3686" w:type="dxa"/>
          </w:tcPr>
          <w:p w14:paraId="5069BD5B" w14:textId="74B3ABA4"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828</w:t>
            </w:r>
            <w:r w:rsidRPr="00286216">
              <w:rPr>
                <w:color w:val="000000" w:themeColor="text1"/>
                <w:spacing w:val="-4"/>
              </w:rPr>
              <w:fldChar w:fldCharType="end"/>
            </w:r>
            <w:r w:rsidRPr="00286216">
              <w:rPr>
                <w:color w:val="000000" w:themeColor="text1"/>
                <w:spacing w:val="-4"/>
              </w:rPr>
              <w:t>-Н.д.Бєлькова О.В. (Реєстр.картка №403)</w:t>
            </w:r>
          </w:p>
          <w:p w14:paraId="039220BB" w14:textId="77777777" w:rsidR="006507E8" w:rsidRPr="00286216" w:rsidRDefault="006507E8" w:rsidP="006507E8">
            <w:pPr>
              <w:pStyle w:val="StyleProp"/>
              <w:spacing w:line="180" w:lineRule="exact"/>
              <w:rPr>
                <w:color w:val="000000" w:themeColor="text1"/>
              </w:rPr>
            </w:pPr>
            <w:r w:rsidRPr="00286216">
              <w:rPr>
                <w:color w:val="000000" w:themeColor="text1"/>
              </w:rPr>
              <w:t>Статтю 75 доповнити частиною такого змісту:</w:t>
            </w:r>
          </w:p>
          <w:p w14:paraId="17FE6327" w14:textId="77777777" w:rsidR="006507E8" w:rsidRPr="00286216" w:rsidRDefault="006507E8" w:rsidP="006507E8">
            <w:pPr>
              <w:pStyle w:val="StyleProp"/>
              <w:spacing w:line="180" w:lineRule="exact"/>
              <w:rPr>
                <w:color w:val="000000" w:themeColor="text1"/>
              </w:rPr>
            </w:pPr>
            <w:r w:rsidRPr="00286216">
              <w:rPr>
                <w:color w:val="000000" w:themeColor="text1"/>
              </w:rPr>
              <w:t>"5. Національна комісія з цінних паперів та фондового ринку приймає рішення про відмову у включенні юридичної особи до Реєстру уповноважених осіб виключно з таких підстав:</w:t>
            </w:r>
          </w:p>
          <w:p w14:paraId="152E9202" w14:textId="77777777" w:rsidR="006507E8" w:rsidRPr="00286216" w:rsidRDefault="006507E8" w:rsidP="006507E8">
            <w:pPr>
              <w:pStyle w:val="StyleProp"/>
              <w:spacing w:line="180" w:lineRule="exact"/>
              <w:rPr>
                <w:color w:val="000000" w:themeColor="text1"/>
              </w:rPr>
            </w:pPr>
            <w:r w:rsidRPr="00286216">
              <w:rPr>
                <w:color w:val="000000" w:themeColor="text1"/>
              </w:rPr>
              <w:t>1) невідповідність юридичної особи, яка має намір провадити діяльність з надання інформаційних послуг на ринках капіталу та організованих товарних ринках, вимогам законодавства;</w:t>
            </w:r>
          </w:p>
          <w:p w14:paraId="36A40B1A" w14:textId="77777777" w:rsidR="006507E8" w:rsidRPr="00286216" w:rsidRDefault="006507E8" w:rsidP="006507E8">
            <w:pPr>
              <w:pStyle w:val="StyleProp"/>
              <w:spacing w:line="180" w:lineRule="exact"/>
              <w:rPr>
                <w:color w:val="000000" w:themeColor="text1"/>
              </w:rPr>
            </w:pPr>
            <w:r w:rsidRPr="00286216">
              <w:rPr>
                <w:color w:val="000000" w:themeColor="text1"/>
              </w:rPr>
              <w:t>2) невідповідність документів, поданих на погодження, вимогам законодавства;</w:t>
            </w:r>
          </w:p>
          <w:p w14:paraId="4E4ABD03" w14:textId="77777777" w:rsidR="006507E8" w:rsidRPr="00286216" w:rsidRDefault="006507E8" w:rsidP="006507E8">
            <w:pPr>
              <w:pStyle w:val="StyleProp"/>
              <w:spacing w:line="180" w:lineRule="exact"/>
              <w:rPr>
                <w:color w:val="000000" w:themeColor="text1"/>
              </w:rPr>
            </w:pPr>
            <w:r w:rsidRPr="00286216">
              <w:rPr>
                <w:color w:val="000000" w:themeColor="text1"/>
              </w:rPr>
              <w:t>3) наявність у документах неповної, та/або взаємовиключної, та/або неузгодженої, та/або недостовірної інформації;</w:t>
            </w:r>
          </w:p>
          <w:p w14:paraId="2441EA64" w14:textId="77777777" w:rsidR="006507E8" w:rsidRPr="00286216" w:rsidRDefault="006507E8" w:rsidP="006507E8">
            <w:pPr>
              <w:pStyle w:val="StyleProp"/>
              <w:spacing w:line="180" w:lineRule="exact"/>
              <w:rPr>
                <w:color w:val="000000" w:themeColor="text1"/>
              </w:rPr>
            </w:pPr>
            <w:r w:rsidRPr="00286216">
              <w:rPr>
                <w:color w:val="000000" w:themeColor="text1"/>
              </w:rPr>
              <w:t>4) невідповідність засобів, які забезпечують провадження діяльності з надання певної (певних) інформаційної (інформаційних) послуги (послуг) на ринках капіталу та організованих товарних ринках, вимогам законодавства.</w:t>
            </w:r>
          </w:p>
          <w:p w14:paraId="0FC9D10D" w14:textId="77777777" w:rsidR="006507E8" w:rsidRPr="00286216" w:rsidRDefault="006507E8" w:rsidP="006507E8">
            <w:pPr>
              <w:pStyle w:val="StyleProp"/>
              <w:spacing w:line="180" w:lineRule="exact"/>
              <w:rPr>
                <w:color w:val="000000" w:themeColor="text1"/>
              </w:rPr>
            </w:pPr>
            <w:r w:rsidRPr="00286216">
              <w:rPr>
                <w:color w:val="000000" w:themeColor="text1"/>
              </w:rPr>
              <w:t xml:space="preserve"> Рішення Національної комісії з цінних паперів та фондового ринку про відмову у включенні юридичної особи до Реєстру </w:t>
            </w:r>
            <w:r w:rsidRPr="00286216">
              <w:rPr>
                <w:color w:val="000000" w:themeColor="text1"/>
              </w:rPr>
              <w:lastRenderedPageBreak/>
              <w:t>уповноважених осіб може бути оскаржено у судовому порядку.</w:t>
            </w:r>
          </w:p>
          <w:p w14:paraId="4C65A794" w14:textId="77777777" w:rsidR="006507E8" w:rsidRPr="00286216" w:rsidRDefault="006507E8" w:rsidP="006507E8">
            <w:pPr>
              <w:pStyle w:val="StyleProp"/>
              <w:spacing w:line="180" w:lineRule="exact"/>
              <w:rPr>
                <w:color w:val="000000" w:themeColor="text1"/>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особи до Реєстру уповноважених осіб, юридична особа може повторно звернуться із заявою про включення до Реєстру уповноважених осіб".</w:t>
            </w:r>
          </w:p>
        </w:tc>
        <w:tc>
          <w:tcPr>
            <w:tcW w:w="1987" w:type="dxa"/>
          </w:tcPr>
          <w:p w14:paraId="72DABA05"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11C106FE" w14:textId="77777777"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приймає рішення про відмову у включенні юридичної особи до Реєстру уповноважених осіб виключно на таких підставах:</w:t>
            </w:r>
          </w:p>
          <w:p w14:paraId="353607A1" w14:textId="77777777" w:rsidR="006507E8" w:rsidRPr="00286216" w:rsidRDefault="006507E8" w:rsidP="006507E8">
            <w:pPr>
              <w:pStyle w:val="StyleZakonu"/>
              <w:rPr>
                <w:color w:val="000000" w:themeColor="text1"/>
              </w:rPr>
            </w:pPr>
            <w:r w:rsidRPr="00286216">
              <w:rPr>
                <w:color w:val="000000" w:themeColor="text1"/>
              </w:rPr>
              <w:t>1) невідповідність юридичної особи, яка має намір провадити діяльність з надання інформаційних послуг на ринках капіталу та організованих товарних ринках, вимогам законодавства;</w:t>
            </w:r>
          </w:p>
          <w:p w14:paraId="74CF7EA8" w14:textId="77777777" w:rsidR="006507E8" w:rsidRPr="00286216" w:rsidRDefault="006507E8" w:rsidP="006507E8">
            <w:pPr>
              <w:pStyle w:val="StyleZakonu"/>
              <w:rPr>
                <w:color w:val="000000" w:themeColor="text1"/>
              </w:rPr>
            </w:pPr>
            <w:r w:rsidRPr="00286216">
              <w:rPr>
                <w:color w:val="000000" w:themeColor="text1"/>
              </w:rPr>
              <w:t>2) невідповідність документів, поданих на погодження, вимогам законодавства;</w:t>
            </w:r>
          </w:p>
          <w:p w14:paraId="573AE4B2" w14:textId="77777777" w:rsidR="006507E8" w:rsidRPr="00286216" w:rsidRDefault="006507E8" w:rsidP="006507E8">
            <w:pPr>
              <w:pStyle w:val="StyleZakonu"/>
              <w:rPr>
                <w:color w:val="000000" w:themeColor="text1"/>
              </w:rPr>
            </w:pPr>
            <w:r w:rsidRPr="00286216">
              <w:rPr>
                <w:color w:val="000000" w:themeColor="text1"/>
              </w:rPr>
              <w:t>3) наявність у документах неповної та/або взаємовиключної, та/або неузгодженої, та/або недостовірної інформації;</w:t>
            </w:r>
          </w:p>
          <w:p w14:paraId="09646FA3" w14:textId="77777777" w:rsidR="006507E8" w:rsidRPr="00286216" w:rsidRDefault="006507E8" w:rsidP="006507E8">
            <w:pPr>
              <w:pStyle w:val="StyleZakonu"/>
              <w:rPr>
                <w:color w:val="000000" w:themeColor="text1"/>
              </w:rPr>
            </w:pPr>
            <w:r w:rsidRPr="00286216">
              <w:rPr>
                <w:color w:val="000000" w:themeColor="text1"/>
              </w:rPr>
              <w:t>4) невідповідність засобів, що забезпечують провадження діяльності з надання певної (певних) інформаційної (інформаційних) послуги (послуг) на ринках капіталу та організованих товарних ринках, вимогам законодавства.</w:t>
            </w:r>
          </w:p>
          <w:p w14:paraId="6D1B7410" w14:textId="77777777" w:rsidR="006507E8" w:rsidRPr="00286216" w:rsidRDefault="006507E8" w:rsidP="006507E8">
            <w:pPr>
              <w:pStyle w:val="StyleZakonu"/>
              <w:rPr>
                <w:color w:val="000000" w:themeColor="text1"/>
              </w:rPr>
            </w:pPr>
            <w:r w:rsidRPr="00286216">
              <w:rPr>
                <w:color w:val="000000" w:themeColor="text1"/>
              </w:rPr>
              <w:t xml:space="preserve"> Рішення Національної комісії з цінних паперів та фондового ринку про відмову у включенні юридичної особи до Реєстру уповноважених осіб може бути </w:t>
            </w:r>
            <w:r w:rsidRPr="00286216">
              <w:rPr>
                <w:color w:val="000000" w:themeColor="text1"/>
              </w:rPr>
              <w:lastRenderedPageBreak/>
              <w:t>оскаржено в судовому порядку.</w:t>
            </w:r>
          </w:p>
          <w:p w14:paraId="32F4CB6A" w14:textId="51407E53" w:rsidR="006507E8" w:rsidRPr="00286216" w:rsidRDefault="006507E8" w:rsidP="006507E8">
            <w:pPr>
              <w:pStyle w:val="StyleZakonu"/>
              <w:rPr>
                <w:color w:val="000000" w:themeColor="text1"/>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особи до Реєстру уповноважених осіб, юридична особа може повторно звернутися із заявою про включення до Реєстру уповноважених осіб.</w:t>
            </w:r>
          </w:p>
        </w:tc>
      </w:tr>
      <w:bookmarkEnd w:id="1083"/>
      <w:tr w:rsidR="006507E8" w:rsidRPr="00286216" w14:paraId="7C79EDDA" w14:textId="77777777" w:rsidTr="00091AA5">
        <w:tc>
          <w:tcPr>
            <w:tcW w:w="576" w:type="dxa"/>
          </w:tcPr>
          <w:p w14:paraId="69EC6959" w14:textId="77777777" w:rsidR="006507E8" w:rsidRPr="00286216" w:rsidRDefault="006507E8" w:rsidP="006507E8">
            <w:pPr>
              <w:pStyle w:val="StyleWisnow"/>
              <w:rPr>
                <w:color w:val="000000" w:themeColor="text1"/>
              </w:rPr>
            </w:pPr>
          </w:p>
        </w:tc>
        <w:tc>
          <w:tcPr>
            <w:tcW w:w="4818" w:type="dxa"/>
          </w:tcPr>
          <w:p w14:paraId="2D927731" w14:textId="77777777" w:rsidR="006507E8" w:rsidRPr="00286216" w:rsidRDefault="006507E8" w:rsidP="006507E8">
            <w:pPr>
              <w:pStyle w:val="StyleZakonu"/>
              <w:rPr>
                <w:color w:val="000000" w:themeColor="text1"/>
              </w:rPr>
            </w:pPr>
          </w:p>
        </w:tc>
        <w:tc>
          <w:tcPr>
            <w:tcW w:w="3686" w:type="dxa"/>
          </w:tcPr>
          <w:p w14:paraId="66F34FF1" w14:textId="21F5B5C6"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829</w:t>
            </w:r>
            <w:r w:rsidRPr="00286216">
              <w:rPr>
                <w:color w:val="000000" w:themeColor="text1"/>
                <w:spacing w:val="-10"/>
              </w:rPr>
              <w:fldChar w:fldCharType="end"/>
            </w:r>
            <w:r w:rsidRPr="00286216">
              <w:rPr>
                <w:color w:val="000000" w:themeColor="text1"/>
                <w:spacing w:val="-10"/>
              </w:rPr>
              <w:t>-Н.д.Гетманцев Д.О.(Реєстр.картка №245)</w:t>
            </w:r>
          </w:p>
          <w:p w14:paraId="1F4EB2C9" w14:textId="77777777" w:rsidR="006507E8" w:rsidRPr="00286216" w:rsidRDefault="006507E8" w:rsidP="006507E8">
            <w:pPr>
              <w:pStyle w:val="StyleProp"/>
              <w:spacing w:line="180" w:lineRule="exact"/>
              <w:rPr>
                <w:color w:val="000000" w:themeColor="text1"/>
              </w:rPr>
            </w:pPr>
            <w:r w:rsidRPr="00286216">
              <w:rPr>
                <w:color w:val="000000" w:themeColor="text1"/>
              </w:rPr>
              <w:t>Статтю 75 доповнити частиною п’ятою такого змісту:</w:t>
            </w:r>
          </w:p>
          <w:p w14:paraId="292D8184" w14:textId="77777777" w:rsidR="006507E8" w:rsidRPr="00286216" w:rsidRDefault="006507E8" w:rsidP="006507E8">
            <w:pPr>
              <w:pStyle w:val="StyleProp"/>
              <w:spacing w:line="180" w:lineRule="exact"/>
              <w:rPr>
                <w:color w:val="000000" w:themeColor="text1"/>
              </w:rPr>
            </w:pPr>
            <w:r w:rsidRPr="00286216">
              <w:rPr>
                <w:color w:val="000000" w:themeColor="text1"/>
              </w:rPr>
              <w:t>«5. Національна комісія з цінних паперів та фондового ринку приймає рішення про відмову у включенні юридичної особи до Реєстру уповноважених осіб виключно з таких підстав:</w:t>
            </w:r>
          </w:p>
          <w:p w14:paraId="51CE7D25" w14:textId="77777777" w:rsidR="006507E8" w:rsidRPr="00286216" w:rsidRDefault="006507E8" w:rsidP="006507E8">
            <w:pPr>
              <w:pStyle w:val="StyleProp"/>
              <w:spacing w:line="180" w:lineRule="exact"/>
              <w:rPr>
                <w:color w:val="000000" w:themeColor="text1"/>
              </w:rPr>
            </w:pPr>
            <w:r w:rsidRPr="00286216">
              <w:rPr>
                <w:color w:val="000000" w:themeColor="text1"/>
              </w:rPr>
              <w:t>1) подання документів для включення до Реєстру уповноважених осіб в неповному обсязі;</w:t>
            </w:r>
          </w:p>
          <w:p w14:paraId="79A3C643" w14:textId="77777777" w:rsidR="006507E8" w:rsidRPr="00286216" w:rsidRDefault="006507E8" w:rsidP="006507E8">
            <w:pPr>
              <w:pStyle w:val="StyleProp"/>
              <w:spacing w:line="180" w:lineRule="exact"/>
              <w:rPr>
                <w:color w:val="000000" w:themeColor="text1"/>
              </w:rPr>
            </w:pPr>
            <w:r w:rsidRPr="00286216">
              <w:rPr>
                <w:color w:val="000000" w:themeColor="text1"/>
              </w:rPr>
              <w:t>2) наявність недостовірнх даних у поданих документах;</w:t>
            </w:r>
          </w:p>
          <w:p w14:paraId="1AF9DFAB" w14:textId="77777777" w:rsidR="006507E8" w:rsidRPr="00286216" w:rsidRDefault="006507E8" w:rsidP="006507E8">
            <w:pPr>
              <w:pStyle w:val="StyleProp"/>
              <w:spacing w:line="180" w:lineRule="exact"/>
              <w:rPr>
                <w:color w:val="000000" w:themeColor="text1"/>
              </w:rPr>
            </w:pPr>
            <w:r w:rsidRPr="00286216">
              <w:rPr>
                <w:color w:val="000000" w:themeColor="text1"/>
              </w:rPr>
              <w:t>3) невідповідність змісту поданих документів вимогам цього Закону.</w:t>
            </w:r>
          </w:p>
          <w:p w14:paraId="7F06692D" w14:textId="77777777" w:rsidR="006507E8" w:rsidRPr="00286216" w:rsidRDefault="006507E8" w:rsidP="006507E8">
            <w:pPr>
              <w:pStyle w:val="StyleProp"/>
              <w:spacing w:line="180" w:lineRule="exact"/>
              <w:rPr>
                <w:color w:val="000000" w:themeColor="text1"/>
              </w:rPr>
            </w:pPr>
            <w:r w:rsidRPr="00286216">
              <w:rPr>
                <w:color w:val="000000" w:themeColor="text1"/>
              </w:rPr>
              <w:t>Рішення Національної комісії з цінних паперів та фондового ринку про відмову у включенні юридичної особи до Реєстру уповноважених осіб може бути оскаржено у судовому порядку.</w:t>
            </w:r>
          </w:p>
          <w:p w14:paraId="33FDDD2F" w14:textId="30787653" w:rsidR="006507E8" w:rsidRPr="00286216" w:rsidRDefault="006507E8" w:rsidP="006507E8">
            <w:pPr>
              <w:pStyle w:val="StyleProp"/>
              <w:spacing w:line="180" w:lineRule="exact"/>
              <w:rPr>
                <w:color w:val="000000" w:themeColor="text1"/>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 до Реєстру уповноважених осіб, юридична особа може повторно звернуться до зазначеного державного органу із заявою про включення до Реєстру уповноважених осіб».</w:t>
            </w:r>
          </w:p>
        </w:tc>
        <w:tc>
          <w:tcPr>
            <w:tcW w:w="1987" w:type="dxa"/>
          </w:tcPr>
          <w:p w14:paraId="2D1B150A" w14:textId="77777777" w:rsidR="006507E8" w:rsidRPr="00286216" w:rsidRDefault="006507E8" w:rsidP="006507E8">
            <w:pPr>
              <w:pStyle w:val="StyleWisnow"/>
              <w:rPr>
                <w:color w:val="000000" w:themeColor="text1"/>
              </w:rPr>
            </w:pPr>
            <w:r w:rsidRPr="00286216">
              <w:rPr>
                <w:color w:val="000000" w:themeColor="text1"/>
              </w:rPr>
              <w:t>Враховано редакційно</w:t>
            </w:r>
          </w:p>
          <w:p w14:paraId="0302E69F" w14:textId="77777777" w:rsidR="006507E8" w:rsidRPr="00286216" w:rsidRDefault="006507E8" w:rsidP="006507E8">
            <w:pPr>
              <w:pStyle w:val="StyleWisnow"/>
              <w:rPr>
                <w:color w:val="000000" w:themeColor="text1"/>
              </w:rPr>
            </w:pPr>
          </w:p>
        </w:tc>
        <w:tc>
          <w:tcPr>
            <w:tcW w:w="4818" w:type="dxa"/>
          </w:tcPr>
          <w:p w14:paraId="215607E7" w14:textId="77777777" w:rsidR="006507E8" w:rsidRPr="00286216" w:rsidRDefault="006507E8" w:rsidP="006507E8">
            <w:pPr>
              <w:pStyle w:val="StyleZakonu"/>
              <w:rPr>
                <w:color w:val="000000" w:themeColor="text1"/>
              </w:rPr>
            </w:pPr>
          </w:p>
        </w:tc>
      </w:tr>
      <w:tr w:rsidR="006507E8" w:rsidRPr="00286216" w14:paraId="0D069C61" w14:textId="77777777" w:rsidTr="00091AA5">
        <w:tc>
          <w:tcPr>
            <w:tcW w:w="576" w:type="dxa"/>
          </w:tcPr>
          <w:p w14:paraId="6CA6B93B" w14:textId="77777777" w:rsidR="006507E8" w:rsidRPr="00286216" w:rsidRDefault="006507E8" w:rsidP="006507E8">
            <w:pPr>
              <w:pStyle w:val="StyleWisnow"/>
              <w:rPr>
                <w:color w:val="000000" w:themeColor="text1"/>
              </w:rPr>
            </w:pPr>
            <w:bookmarkStart w:id="1084" w:name="n1350" w:colFirst="0" w:colLast="0"/>
            <w:r w:rsidRPr="00286216">
              <w:rPr>
                <w:color w:val="000000" w:themeColor="text1"/>
              </w:rPr>
              <w:t>1350.</w:t>
            </w:r>
          </w:p>
        </w:tc>
        <w:tc>
          <w:tcPr>
            <w:tcW w:w="4818" w:type="dxa"/>
          </w:tcPr>
          <w:p w14:paraId="531D0225" w14:textId="77777777" w:rsidR="006507E8" w:rsidRPr="00286216" w:rsidRDefault="006507E8" w:rsidP="006507E8">
            <w:pPr>
              <w:pStyle w:val="StyleZakonu"/>
              <w:rPr>
                <w:color w:val="000000" w:themeColor="text1"/>
              </w:rPr>
            </w:pPr>
            <w:r w:rsidRPr="00286216">
              <w:rPr>
                <w:color w:val="000000" w:themeColor="text1"/>
              </w:rPr>
              <w:t>Стаття 76. Анулювання свідоцтва про включення до Реєстру</w:t>
            </w:r>
          </w:p>
        </w:tc>
        <w:tc>
          <w:tcPr>
            <w:tcW w:w="3686" w:type="dxa"/>
          </w:tcPr>
          <w:p w14:paraId="1AE82D12" w14:textId="62D5DD08"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830</w:t>
            </w:r>
            <w:r w:rsidRPr="00286216">
              <w:rPr>
                <w:color w:val="000000" w:themeColor="text1"/>
                <w:spacing w:val="-10"/>
              </w:rPr>
              <w:fldChar w:fldCharType="end"/>
            </w:r>
            <w:r w:rsidRPr="00286216">
              <w:rPr>
                <w:color w:val="000000" w:themeColor="text1"/>
                <w:spacing w:val="-10"/>
              </w:rPr>
              <w:t>-Н.д.Гетманцев Д.О.(Реєстр.картка №245)</w:t>
            </w:r>
          </w:p>
          <w:p w14:paraId="5815C708" w14:textId="77777777" w:rsidR="006507E8" w:rsidRPr="00286216" w:rsidRDefault="006507E8" w:rsidP="006507E8">
            <w:pPr>
              <w:pStyle w:val="StyleProp"/>
              <w:spacing w:line="180" w:lineRule="exact"/>
              <w:rPr>
                <w:color w:val="000000" w:themeColor="text1"/>
              </w:rPr>
            </w:pPr>
            <w:r w:rsidRPr="00286216">
              <w:rPr>
                <w:color w:val="000000" w:themeColor="text1"/>
              </w:rPr>
              <w:t>у статті 76 назву статті після слова «Реєстру» доповнити словами «уповноважених осіб»;</w:t>
            </w:r>
          </w:p>
        </w:tc>
        <w:tc>
          <w:tcPr>
            <w:tcW w:w="1987" w:type="dxa"/>
          </w:tcPr>
          <w:p w14:paraId="56816049"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3C57BD51" w14:textId="217C36F2" w:rsidR="006507E8" w:rsidRPr="00286216" w:rsidRDefault="006507E8" w:rsidP="006507E8">
            <w:pPr>
              <w:pStyle w:val="StyleZakonu"/>
              <w:rPr>
                <w:color w:val="000000" w:themeColor="text1"/>
              </w:rPr>
            </w:pPr>
            <w:r w:rsidRPr="00286216">
              <w:rPr>
                <w:color w:val="000000" w:themeColor="text1"/>
              </w:rPr>
              <w:t>Стаття 80. Анулювання свідоцтва про включення до Реєстру уповноважених осіб</w:t>
            </w:r>
          </w:p>
        </w:tc>
      </w:tr>
      <w:tr w:rsidR="006507E8" w:rsidRPr="00286216" w14:paraId="221623EB" w14:textId="77777777" w:rsidTr="00091AA5">
        <w:tc>
          <w:tcPr>
            <w:tcW w:w="576" w:type="dxa"/>
          </w:tcPr>
          <w:p w14:paraId="51A9E172" w14:textId="77777777" w:rsidR="006507E8" w:rsidRPr="00286216" w:rsidRDefault="006507E8" w:rsidP="006507E8">
            <w:pPr>
              <w:pStyle w:val="StyleWisnow"/>
              <w:rPr>
                <w:color w:val="000000" w:themeColor="text1"/>
              </w:rPr>
            </w:pPr>
            <w:bookmarkStart w:id="1085" w:name="n1351" w:colFirst="0" w:colLast="0"/>
            <w:bookmarkEnd w:id="1084"/>
            <w:r w:rsidRPr="00286216">
              <w:rPr>
                <w:color w:val="000000" w:themeColor="text1"/>
              </w:rPr>
              <w:t>1351.</w:t>
            </w:r>
          </w:p>
        </w:tc>
        <w:tc>
          <w:tcPr>
            <w:tcW w:w="4818" w:type="dxa"/>
          </w:tcPr>
          <w:p w14:paraId="7D3AB2B2" w14:textId="77777777" w:rsidR="006507E8" w:rsidRPr="00286216" w:rsidRDefault="006507E8" w:rsidP="006507E8">
            <w:pPr>
              <w:pStyle w:val="StyleZakonu"/>
              <w:rPr>
                <w:color w:val="000000" w:themeColor="text1"/>
              </w:rPr>
            </w:pPr>
            <w:r w:rsidRPr="00286216">
              <w:rPr>
                <w:color w:val="000000" w:themeColor="text1"/>
              </w:rPr>
              <w:t>1. Підставою для анулювання свідоцтва про включення до Реєстру є:</w:t>
            </w:r>
          </w:p>
        </w:tc>
        <w:tc>
          <w:tcPr>
            <w:tcW w:w="3686" w:type="dxa"/>
          </w:tcPr>
          <w:p w14:paraId="4FE6402A" w14:textId="6A74E023"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831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4F385B81"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Абзац 1 статті 76 викласти у такій редакції:</w:t>
            </w:r>
          </w:p>
          <w:p w14:paraId="401B524F"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 xml:space="preserve">«1. Національна комісія з цінних паперів та фондового ринку має право анулювати </w:t>
            </w:r>
            <w:r w:rsidRPr="00286216">
              <w:rPr>
                <w:color w:val="000000" w:themeColor="text1"/>
              </w:rPr>
              <w:t>свідоцтво про включення до Реєстру</w:t>
            </w:r>
            <w:r w:rsidRPr="00286216">
              <w:rPr>
                <w:color w:val="000000" w:themeColor="text1"/>
                <w:szCs w:val="18"/>
              </w:rPr>
              <w:t xml:space="preserve"> </w:t>
            </w:r>
            <w:r w:rsidRPr="00286216">
              <w:rPr>
                <w:color w:val="000000" w:themeColor="text1"/>
              </w:rPr>
              <w:t>уповноважених осіб</w:t>
            </w:r>
            <w:r w:rsidRPr="00286216">
              <w:rPr>
                <w:color w:val="000000" w:themeColor="text1"/>
                <w:szCs w:val="18"/>
              </w:rPr>
              <w:t xml:space="preserve"> за однією з таких підстав».</w:t>
            </w:r>
          </w:p>
        </w:tc>
        <w:tc>
          <w:tcPr>
            <w:tcW w:w="1987" w:type="dxa"/>
          </w:tcPr>
          <w:p w14:paraId="7331707F"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4AB5A322" w14:textId="77777777" w:rsidR="006507E8" w:rsidRPr="00286216" w:rsidRDefault="006507E8" w:rsidP="006507E8">
            <w:pPr>
              <w:pStyle w:val="StyleWisnow"/>
              <w:spacing w:line="180" w:lineRule="exact"/>
              <w:rPr>
                <w:rFonts w:eastAsia="Calibri"/>
                <w:color w:val="000000" w:themeColor="text1"/>
              </w:rPr>
            </w:pPr>
          </w:p>
          <w:p w14:paraId="354037E1" w14:textId="77777777" w:rsidR="006507E8" w:rsidRPr="00286216" w:rsidRDefault="006507E8" w:rsidP="006507E8">
            <w:pPr>
              <w:pStyle w:val="StyleWisnow"/>
              <w:spacing w:line="180" w:lineRule="exact"/>
              <w:rPr>
                <w:rFonts w:eastAsia="Calibri"/>
                <w:color w:val="000000" w:themeColor="text1"/>
              </w:rPr>
            </w:pPr>
          </w:p>
        </w:tc>
        <w:tc>
          <w:tcPr>
            <w:tcW w:w="4818" w:type="dxa"/>
          </w:tcPr>
          <w:p w14:paraId="7BAC751F" w14:textId="0955AA9B" w:rsidR="006507E8" w:rsidRPr="00286216" w:rsidRDefault="006507E8" w:rsidP="006507E8">
            <w:pPr>
              <w:pStyle w:val="StyleZakonu"/>
              <w:rPr>
                <w:color w:val="000000" w:themeColor="text1"/>
              </w:rPr>
            </w:pPr>
            <w:r w:rsidRPr="00286216">
              <w:rPr>
                <w:color w:val="000000" w:themeColor="text1"/>
              </w:rPr>
              <w:t>1. Національна комісія з цінних паперів та фондового ринку має право анулювати свідоцтво про включення до Реєстру за однією з таких підстав:</w:t>
            </w:r>
          </w:p>
        </w:tc>
      </w:tr>
      <w:bookmarkEnd w:id="1085"/>
      <w:tr w:rsidR="006507E8" w:rsidRPr="00286216" w14:paraId="491FD6F0" w14:textId="77777777" w:rsidTr="00091AA5">
        <w:tc>
          <w:tcPr>
            <w:tcW w:w="576" w:type="dxa"/>
          </w:tcPr>
          <w:p w14:paraId="466CB960" w14:textId="77777777" w:rsidR="006507E8" w:rsidRPr="00286216" w:rsidRDefault="006507E8" w:rsidP="006507E8">
            <w:pPr>
              <w:pStyle w:val="StyleWisnow"/>
              <w:rPr>
                <w:color w:val="000000" w:themeColor="text1"/>
              </w:rPr>
            </w:pPr>
          </w:p>
        </w:tc>
        <w:tc>
          <w:tcPr>
            <w:tcW w:w="4818" w:type="dxa"/>
          </w:tcPr>
          <w:p w14:paraId="54106AE5" w14:textId="77777777" w:rsidR="006507E8" w:rsidRPr="00286216" w:rsidRDefault="006507E8" w:rsidP="006507E8">
            <w:pPr>
              <w:pStyle w:val="StyleZakonu"/>
              <w:rPr>
                <w:color w:val="000000" w:themeColor="text1"/>
              </w:rPr>
            </w:pPr>
          </w:p>
        </w:tc>
        <w:tc>
          <w:tcPr>
            <w:tcW w:w="3686" w:type="dxa"/>
          </w:tcPr>
          <w:p w14:paraId="14E1B6ED" w14:textId="3DD05385"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832</w:t>
            </w:r>
            <w:r w:rsidRPr="00286216">
              <w:rPr>
                <w:color w:val="000000" w:themeColor="text1"/>
                <w:spacing w:val="-10"/>
              </w:rPr>
              <w:fldChar w:fldCharType="end"/>
            </w:r>
            <w:r w:rsidRPr="00286216">
              <w:rPr>
                <w:color w:val="000000" w:themeColor="text1"/>
                <w:spacing w:val="-10"/>
              </w:rPr>
              <w:t>-Н.д.Гетманцев Д.О.(Реєстр.картка №245)</w:t>
            </w:r>
          </w:p>
          <w:p w14:paraId="32334C82" w14:textId="21FDE9FC" w:rsidR="006507E8" w:rsidRPr="00286216" w:rsidRDefault="006507E8" w:rsidP="006507E8">
            <w:pPr>
              <w:pStyle w:val="StyleProp"/>
              <w:spacing w:line="180" w:lineRule="exact"/>
              <w:rPr>
                <w:color w:val="000000" w:themeColor="text1"/>
              </w:rPr>
            </w:pPr>
            <w:r w:rsidRPr="00286216">
              <w:rPr>
                <w:color w:val="000000" w:themeColor="text1"/>
              </w:rPr>
              <w:t>у статті 76 в частині 1 абзац 1 після слова «Реєстру» доповнити словами «уповноважених осіб»;</w:t>
            </w:r>
          </w:p>
        </w:tc>
        <w:tc>
          <w:tcPr>
            <w:tcW w:w="1987" w:type="dxa"/>
          </w:tcPr>
          <w:p w14:paraId="750AE9B8" w14:textId="77777777" w:rsidR="006507E8" w:rsidRPr="00286216" w:rsidRDefault="006507E8" w:rsidP="006507E8">
            <w:pPr>
              <w:pStyle w:val="StyleWisnow"/>
              <w:rPr>
                <w:color w:val="000000" w:themeColor="text1"/>
              </w:rPr>
            </w:pPr>
            <w:r w:rsidRPr="00286216">
              <w:rPr>
                <w:color w:val="000000" w:themeColor="text1"/>
              </w:rPr>
              <w:t>Враховано редакційно</w:t>
            </w:r>
          </w:p>
        </w:tc>
        <w:tc>
          <w:tcPr>
            <w:tcW w:w="4818" w:type="dxa"/>
          </w:tcPr>
          <w:p w14:paraId="3EB53786" w14:textId="77777777" w:rsidR="006507E8" w:rsidRPr="00286216" w:rsidRDefault="006507E8" w:rsidP="006507E8">
            <w:pPr>
              <w:pStyle w:val="StyleZakonu"/>
              <w:rPr>
                <w:color w:val="000000" w:themeColor="text1"/>
              </w:rPr>
            </w:pPr>
          </w:p>
        </w:tc>
      </w:tr>
      <w:tr w:rsidR="006507E8" w:rsidRPr="00286216" w14:paraId="4FABBFEE" w14:textId="77777777" w:rsidTr="00091AA5">
        <w:tc>
          <w:tcPr>
            <w:tcW w:w="576" w:type="dxa"/>
          </w:tcPr>
          <w:p w14:paraId="6585850F" w14:textId="77777777" w:rsidR="006507E8" w:rsidRPr="00286216" w:rsidRDefault="006507E8" w:rsidP="006507E8">
            <w:pPr>
              <w:pStyle w:val="StyleWisnow"/>
              <w:rPr>
                <w:color w:val="000000" w:themeColor="text1"/>
              </w:rPr>
            </w:pPr>
            <w:bookmarkStart w:id="1086" w:name="n1352" w:colFirst="0" w:colLast="0"/>
            <w:r w:rsidRPr="00286216">
              <w:rPr>
                <w:color w:val="000000" w:themeColor="text1"/>
              </w:rPr>
              <w:lastRenderedPageBreak/>
              <w:t>1352.</w:t>
            </w:r>
          </w:p>
        </w:tc>
        <w:tc>
          <w:tcPr>
            <w:tcW w:w="4818" w:type="dxa"/>
          </w:tcPr>
          <w:p w14:paraId="4E4E826A" w14:textId="77777777" w:rsidR="006507E8" w:rsidRPr="00286216" w:rsidRDefault="006507E8" w:rsidP="006507E8">
            <w:pPr>
              <w:pStyle w:val="StyleZakonu"/>
              <w:rPr>
                <w:color w:val="000000" w:themeColor="text1"/>
              </w:rPr>
            </w:pPr>
            <w:r w:rsidRPr="00286216">
              <w:rPr>
                <w:color w:val="000000" w:themeColor="text1"/>
              </w:rPr>
              <w:t>1) заява особи, яка провадить діяльність з надання інформаційних послуг на ринках капіталу та організованих товарних ринках;</w:t>
            </w:r>
          </w:p>
        </w:tc>
        <w:tc>
          <w:tcPr>
            <w:tcW w:w="3686" w:type="dxa"/>
          </w:tcPr>
          <w:p w14:paraId="34EE00EA" w14:textId="77777777" w:rsidR="006507E8" w:rsidRPr="00286216" w:rsidRDefault="006507E8" w:rsidP="006507E8">
            <w:pPr>
              <w:pStyle w:val="StyleProp"/>
              <w:rPr>
                <w:color w:val="000000" w:themeColor="text1"/>
                <w:szCs w:val="18"/>
              </w:rPr>
            </w:pPr>
          </w:p>
        </w:tc>
        <w:tc>
          <w:tcPr>
            <w:tcW w:w="1987" w:type="dxa"/>
          </w:tcPr>
          <w:p w14:paraId="29A5D3C5" w14:textId="77777777" w:rsidR="006507E8" w:rsidRPr="00286216" w:rsidRDefault="006507E8" w:rsidP="006507E8">
            <w:pPr>
              <w:pStyle w:val="StyleWisnow"/>
              <w:rPr>
                <w:color w:val="000000" w:themeColor="text1"/>
              </w:rPr>
            </w:pPr>
          </w:p>
        </w:tc>
        <w:tc>
          <w:tcPr>
            <w:tcW w:w="4818" w:type="dxa"/>
          </w:tcPr>
          <w:p w14:paraId="59BA0056" w14:textId="3718ED73" w:rsidR="006507E8" w:rsidRPr="00286216" w:rsidRDefault="006507E8" w:rsidP="006507E8">
            <w:pPr>
              <w:pStyle w:val="StyleZakonu"/>
              <w:rPr>
                <w:color w:val="000000" w:themeColor="text1"/>
              </w:rPr>
            </w:pPr>
            <w:r w:rsidRPr="00286216">
              <w:rPr>
                <w:color w:val="000000" w:themeColor="text1"/>
              </w:rPr>
              <w:t>1) заява особи, яка провадить діяльність з надання інформаційних послуг на ринках капіталу та організованих товарних ринках;</w:t>
            </w:r>
          </w:p>
        </w:tc>
      </w:tr>
      <w:tr w:rsidR="006507E8" w:rsidRPr="00286216" w14:paraId="3A37152B" w14:textId="77777777" w:rsidTr="00091AA5">
        <w:tc>
          <w:tcPr>
            <w:tcW w:w="576" w:type="dxa"/>
          </w:tcPr>
          <w:p w14:paraId="0AEEDB64" w14:textId="77777777" w:rsidR="006507E8" w:rsidRPr="00286216" w:rsidRDefault="006507E8" w:rsidP="006507E8">
            <w:pPr>
              <w:pStyle w:val="StyleWisnow"/>
              <w:rPr>
                <w:color w:val="000000" w:themeColor="text1"/>
              </w:rPr>
            </w:pPr>
            <w:bookmarkStart w:id="1087" w:name="n1353" w:colFirst="0" w:colLast="0"/>
            <w:bookmarkEnd w:id="1086"/>
            <w:r w:rsidRPr="00286216">
              <w:rPr>
                <w:color w:val="000000" w:themeColor="text1"/>
              </w:rPr>
              <w:t>1353.</w:t>
            </w:r>
          </w:p>
        </w:tc>
        <w:tc>
          <w:tcPr>
            <w:tcW w:w="4818" w:type="dxa"/>
          </w:tcPr>
          <w:p w14:paraId="08633B36" w14:textId="77777777" w:rsidR="006507E8" w:rsidRPr="00286216" w:rsidRDefault="006507E8" w:rsidP="006507E8">
            <w:pPr>
              <w:pStyle w:val="StyleZakonu"/>
              <w:rPr>
                <w:color w:val="000000" w:themeColor="text1"/>
              </w:rPr>
            </w:pPr>
            <w:r w:rsidRPr="00286216">
              <w:rPr>
                <w:color w:val="000000" w:themeColor="text1"/>
              </w:rPr>
              <w:t>2) встановлення факту не провадження діяльності з надання інформаційних послуг на ринках капіталу та організованих товарних ринках протягом 12 місяців поспіль;</w:t>
            </w:r>
          </w:p>
        </w:tc>
        <w:tc>
          <w:tcPr>
            <w:tcW w:w="3686" w:type="dxa"/>
          </w:tcPr>
          <w:p w14:paraId="61E33CB7" w14:textId="77777777" w:rsidR="006507E8" w:rsidRPr="00286216" w:rsidRDefault="006507E8" w:rsidP="006507E8">
            <w:pPr>
              <w:pStyle w:val="StyleProp"/>
              <w:rPr>
                <w:color w:val="000000" w:themeColor="text1"/>
                <w:szCs w:val="18"/>
              </w:rPr>
            </w:pPr>
          </w:p>
        </w:tc>
        <w:tc>
          <w:tcPr>
            <w:tcW w:w="1987" w:type="dxa"/>
          </w:tcPr>
          <w:p w14:paraId="659D17DD" w14:textId="77777777" w:rsidR="006507E8" w:rsidRPr="00286216" w:rsidRDefault="006507E8" w:rsidP="006507E8">
            <w:pPr>
              <w:pStyle w:val="StyleWisnow"/>
              <w:rPr>
                <w:color w:val="000000" w:themeColor="text1"/>
              </w:rPr>
            </w:pPr>
          </w:p>
        </w:tc>
        <w:tc>
          <w:tcPr>
            <w:tcW w:w="4818" w:type="dxa"/>
          </w:tcPr>
          <w:p w14:paraId="56A95BE4" w14:textId="65EC9566" w:rsidR="006507E8" w:rsidRPr="00286216" w:rsidRDefault="006507E8" w:rsidP="006507E8">
            <w:pPr>
              <w:pStyle w:val="StyleZakonu"/>
              <w:rPr>
                <w:color w:val="000000" w:themeColor="text1"/>
              </w:rPr>
            </w:pPr>
            <w:r w:rsidRPr="00286216">
              <w:rPr>
                <w:color w:val="000000" w:themeColor="text1"/>
              </w:rPr>
              <w:t>2) встановлення факту непровадження діяльності з надання інформаційних послуг на ринках капіталу та організованих товарних ринках протягом 12 місяців поспіль;</w:t>
            </w:r>
          </w:p>
        </w:tc>
      </w:tr>
      <w:tr w:rsidR="006507E8" w:rsidRPr="00286216" w14:paraId="37F1373D" w14:textId="77777777" w:rsidTr="00091AA5">
        <w:tc>
          <w:tcPr>
            <w:tcW w:w="576" w:type="dxa"/>
          </w:tcPr>
          <w:p w14:paraId="6E33D634" w14:textId="77777777" w:rsidR="006507E8" w:rsidRPr="00286216" w:rsidRDefault="006507E8" w:rsidP="006507E8">
            <w:pPr>
              <w:pStyle w:val="StyleWisnow"/>
              <w:rPr>
                <w:color w:val="000000" w:themeColor="text1"/>
              </w:rPr>
            </w:pPr>
            <w:bookmarkStart w:id="1088" w:name="n1354" w:colFirst="0" w:colLast="0"/>
            <w:bookmarkEnd w:id="1087"/>
            <w:r w:rsidRPr="00286216">
              <w:rPr>
                <w:color w:val="000000" w:themeColor="text1"/>
              </w:rPr>
              <w:t>1354.</w:t>
            </w:r>
          </w:p>
        </w:tc>
        <w:tc>
          <w:tcPr>
            <w:tcW w:w="4818" w:type="dxa"/>
          </w:tcPr>
          <w:p w14:paraId="55AD82F3" w14:textId="77777777" w:rsidR="006507E8" w:rsidRPr="00286216" w:rsidRDefault="006507E8" w:rsidP="006507E8">
            <w:pPr>
              <w:pStyle w:val="StyleZakonu"/>
              <w:rPr>
                <w:color w:val="000000" w:themeColor="text1"/>
              </w:rPr>
            </w:pPr>
            <w:r w:rsidRPr="00286216">
              <w:rPr>
                <w:color w:val="000000" w:themeColor="text1"/>
              </w:rPr>
              <w:t>3) встановлення факту подання недостовірної, неправдивої та/або оманливої інформації особою, яка провадить діяльність з надання інформаційних послуг на ринках капіталу та організованих товарних ринках, для включення її до Реєстру уповноважених осіб;</w:t>
            </w:r>
          </w:p>
        </w:tc>
        <w:tc>
          <w:tcPr>
            <w:tcW w:w="3686" w:type="dxa"/>
          </w:tcPr>
          <w:p w14:paraId="7C857A11" w14:textId="77777777" w:rsidR="006507E8" w:rsidRPr="00286216" w:rsidRDefault="006507E8" w:rsidP="006507E8">
            <w:pPr>
              <w:pStyle w:val="StyleProp"/>
              <w:rPr>
                <w:color w:val="000000" w:themeColor="text1"/>
                <w:szCs w:val="18"/>
              </w:rPr>
            </w:pPr>
          </w:p>
        </w:tc>
        <w:tc>
          <w:tcPr>
            <w:tcW w:w="1987" w:type="dxa"/>
          </w:tcPr>
          <w:p w14:paraId="27A8DD8E" w14:textId="77777777" w:rsidR="006507E8" w:rsidRPr="00286216" w:rsidRDefault="006507E8" w:rsidP="006507E8">
            <w:pPr>
              <w:pStyle w:val="StyleWisnow"/>
              <w:rPr>
                <w:color w:val="000000" w:themeColor="text1"/>
              </w:rPr>
            </w:pPr>
          </w:p>
        </w:tc>
        <w:tc>
          <w:tcPr>
            <w:tcW w:w="4818" w:type="dxa"/>
          </w:tcPr>
          <w:p w14:paraId="14486256" w14:textId="020F4200" w:rsidR="006507E8" w:rsidRPr="00286216" w:rsidRDefault="006507E8" w:rsidP="006507E8">
            <w:pPr>
              <w:pStyle w:val="StyleZakonu"/>
              <w:rPr>
                <w:color w:val="000000" w:themeColor="text1"/>
              </w:rPr>
            </w:pPr>
            <w:r w:rsidRPr="00286216">
              <w:rPr>
                <w:color w:val="000000" w:themeColor="text1"/>
              </w:rPr>
              <w:t>3) встановлення факту подання недостовірної, неправдивої та/або оманливої інформації особою, яка провадить діяльність з надання інформаційних послуг на ринках капіталу та організованих товарних ринках, для включення її до Реєстру уповноважених осіб;</w:t>
            </w:r>
          </w:p>
        </w:tc>
      </w:tr>
      <w:tr w:rsidR="006507E8" w:rsidRPr="00286216" w14:paraId="5D9B97A7" w14:textId="77777777" w:rsidTr="00091AA5">
        <w:tc>
          <w:tcPr>
            <w:tcW w:w="576" w:type="dxa"/>
          </w:tcPr>
          <w:p w14:paraId="3BE0E944" w14:textId="77777777" w:rsidR="006507E8" w:rsidRPr="00286216" w:rsidRDefault="006507E8" w:rsidP="006507E8">
            <w:pPr>
              <w:pStyle w:val="StyleWisnow"/>
              <w:rPr>
                <w:color w:val="000000" w:themeColor="text1"/>
              </w:rPr>
            </w:pPr>
            <w:bookmarkStart w:id="1089" w:name="n1355" w:colFirst="0" w:colLast="0"/>
            <w:bookmarkEnd w:id="1088"/>
            <w:r w:rsidRPr="00286216">
              <w:rPr>
                <w:color w:val="000000" w:themeColor="text1"/>
              </w:rPr>
              <w:t>1355.</w:t>
            </w:r>
          </w:p>
        </w:tc>
        <w:tc>
          <w:tcPr>
            <w:tcW w:w="4818" w:type="dxa"/>
          </w:tcPr>
          <w:p w14:paraId="3E61A1D5" w14:textId="77777777" w:rsidR="006507E8" w:rsidRPr="00286216" w:rsidRDefault="006507E8" w:rsidP="006507E8">
            <w:pPr>
              <w:pStyle w:val="StyleZakonu"/>
              <w:rPr>
                <w:color w:val="000000" w:themeColor="text1"/>
              </w:rPr>
            </w:pPr>
            <w:r w:rsidRPr="00286216">
              <w:rPr>
                <w:color w:val="000000" w:themeColor="text1"/>
              </w:rPr>
              <w:t>4) встановлення факту невідповідності особи, яка провадить діяльність з надання інформаційних послуг на ринках капіталу та організованих товарних ринках, вимогам законодавства до особи для включення її до Реєстру уповноважених осіб;</w:t>
            </w:r>
          </w:p>
        </w:tc>
        <w:tc>
          <w:tcPr>
            <w:tcW w:w="3686" w:type="dxa"/>
          </w:tcPr>
          <w:p w14:paraId="428A30D6" w14:textId="77777777" w:rsidR="006507E8" w:rsidRPr="00286216" w:rsidRDefault="006507E8" w:rsidP="006507E8">
            <w:pPr>
              <w:pStyle w:val="StyleProp"/>
              <w:rPr>
                <w:color w:val="000000" w:themeColor="text1"/>
                <w:szCs w:val="18"/>
              </w:rPr>
            </w:pPr>
          </w:p>
        </w:tc>
        <w:tc>
          <w:tcPr>
            <w:tcW w:w="1987" w:type="dxa"/>
          </w:tcPr>
          <w:p w14:paraId="4A804E05" w14:textId="77777777" w:rsidR="006507E8" w:rsidRPr="00286216" w:rsidRDefault="006507E8" w:rsidP="006507E8">
            <w:pPr>
              <w:pStyle w:val="StyleWisnow"/>
              <w:rPr>
                <w:color w:val="000000" w:themeColor="text1"/>
              </w:rPr>
            </w:pPr>
          </w:p>
        </w:tc>
        <w:tc>
          <w:tcPr>
            <w:tcW w:w="4818" w:type="dxa"/>
          </w:tcPr>
          <w:p w14:paraId="373DEC36" w14:textId="6E9BCEAB" w:rsidR="006507E8" w:rsidRPr="00286216" w:rsidRDefault="006507E8" w:rsidP="006507E8">
            <w:pPr>
              <w:pStyle w:val="StyleZakonu"/>
              <w:rPr>
                <w:color w:val="000000" w:themeColor="text1"/>
              </w:rPr>
            </w:pPr>
            <w:r w:rsidRPr="00286216">
              <w:rPr>
                <w:color w:val="000000" w:themeColor="text1"/>
              </w:rPr>
              <w:t>4) встановлення факту невідповідності особи, яка провадить діяльність з надання інформаційних послуг на ринках капіталу та організованих товарних ринках, вимогам законодавства стосовно особи для включення її до Реєстру уповноважених осіб;</w:t>
            </w:r>
          </w:p>
        </w:tc>
      </w:tr>
      <w:tr w:rsidR="006507E8" w:rsidRPr="00286216" w14:paraId="1923E594" w14:textId="77777777" w:rsidTr="00091AA5">
        <w:tc>
          <w:tcPr>
            <w:tcW w:w="576" w:type="dxa"/>
          </w:tcPr>
          <w:p w14:paraId="3515B8D0" w14:textId="77777777" w:rsidR="006507E8" w:rsidRPr="00286216" w:rsidRDefault="006507E8" w:rsidP="006507E8">
            <w:pPr>
              <w:pStyle w:val="StyleWisnow"/>
              <w:rPr>
                <w:color w:val="000000" w:themeColor="text1"/>
              </w:rPr>
            </w:pPr>
            <w:bookmarkStart w:id="1090" w:name="n1356" w:colFirst="0" w:colLast="0"/>
            <w:bookmarkEnd w:id="1089"/>
            <w:r w:rsidRPr="00286216">
              <w:rPr>
                <w:color w:val="000000" w:themeColor="text1"/>
              </w:rPr>
              <w:t>1356.</w:t>
            </w:r>
          </w:p>
        </w:tc>
        <w:tc>
          <w:tcPr>
            <w:tcW w:w="4818" w:type="dxa"/>
          </w:tcPr>
          <w:p w14:paraId="1D5FC08E" w14:textId="77777777" w:rsidR="006507E8" w:rsidRPr="00286216" w:rsidRDefault="006507E8" w:rsidP="006507E8">
            <w:pPr>
              <w:pStyle w:val="StyleZakonu"/>
              <w:rPr>
                <w:color w:val="000000" w:themeColor="text1"/>
              </w:rPr>
            </w:pPr>
            <w:r w:rsidRPr="00286216">
              <w:rPr>
                <w:color w:val="000000" w:themeColor="text1"/>
              </w:rPr>
              <w:t>5) встановлення факту грубого порушення особою, яка провадить діяльність з надання інформаційних послуг на ринках капіталу та організованих товарних ринках, або повторного протягом одного календарного року вимог законодавства на ринках капіталу та організованих товарних ринках.</w:t>
            </w:r>
          </w:p>
        </w:tc>
        <w:tc>
          <w:tcPr>
            <w:tcW w:w="3686" w:type="dxa"/>
          </w:tcPr>
          <w:p w14:paraId="7D6ADBE0" w14:textId="16E83EAE"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833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07822DD8"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П.5 ч.1 ст. 76 викласти в такій редакції:</w:t>
            </w:r>
          </w:p>
          <w:p w14:paraId="2825688C"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«5) встановлення факту системного порушення особою, яка провадить діяльність з надання інформаційних послуг на ринках капіталу та організованих товарних ринках, або повторного протягом одного календарного року вимог законодавства на ринках капіталу та організованих товарних ринках</w:t>
            </w:r>
          </w:p>
          <w:p w14:paraId="3E289BBA"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Порушення на ринках капіталу та організованих товарних ринках вважається вчиненим системно, якщо:</w:t>
            </w:r>
          </w:p>
          <w:p w14:paraId="36EAF262"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а) таке порушення є повторним протягом року з дня притягнення до відповідальності за попереднє порушення законодавства про ринки капіталу та організовані товарні ринки, або законодавства про захист прав споживачів фінансових послуг, порушенням тих же норм законодавства за умови, що рішення Національної комісія з цінних паперів та фондового ринку, яким було встановлено таке повторне порушення, не скасовано судом або щодо такого рішення судом не розглядається провадження у справі про оскарження його законності та скасування.</w:t>
            </w:r>
          </w:p>
          <w:p w14:paraId="6E615BD6"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 xml:space="preserve">Встановлення судом законності рішення Національної комісії з цінних паперів та фондового ринку про притягнення до відповідальності за повторне порушення після спливу року з дня притягнення до відповідальності за попереднє порушення (незалежно від дати прийняття судом такого рішення) не позбавляє Національну комісію з </w:t>
            </w:r>
            <w:r w:rsidRPr="00286216">
              <w:rPr>
                <w:color w:val="000000" w:themeColor="text1"/>
                <w:spacing w:val="-2"/>
              </w:rPr>
              <w:lastRenderedPageBreak/>
              <w:t>цінних паперів та фондового ринку права анулювати ліцензію професійного учасника ринків капіталу та організованих товарних ринків на підставі підпункту «а» цього пункту;</w:t>
            </w:r>
          </w:p>
          <w:p w14:paraId="280D1076"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 xml:space="preserve">б) таке порушення є третім протягом року з дня притягнення до відповідальності за порушення законодавства про ринки капіталу та організовані товарні ринки, або законодавства про захист прав споживачів фінансових послуг (далі – перше порушення) порушенням будь-яких норм такого законодавства, за умови, що рішення Національної комісія з цінних паперів та фондового ринку, яким було встановлено таке третє порушення не скасовано судом або щодо такого рішення судом не розглядається провадження у справі про оскарження його законності та скасування. </w:t>
            </w:r>
          </w:p>
          <w:p w14:paraId="183D521E"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Встановлення судом законності рішення Національної комісії з цінних паперів та фондового ринку про притягнення до відповідальності за третє порушення після спливу року з дня притягнення до відповідальності за перше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на підставі підпункту «б» цього пункту.</w:t>
            </w:r>
          </w:p>
          <w:p w14:paraId="0383F4CF" w14:textId="77777777" w:rsidR="006507E8" w:rsidRPr="00286216" w:rsidRDefault="006507E8" w:rsidP="006507E8">
            <w:pPr>
              <w:pStyle w:val="StyleProp"/>
              <w:spacing w:line="180" w:lineRule="exact"/>
              <w:rPr>
                <w:color w:val="000000" w:themeColor="text1"/>
                <w:spacing w:val="-2"/>
              </w:rPr>
            </w:pPr>
            <w:r w:rsidRPr="00286216">
              <w:rPr>
                <w:color w:val="000000" w:themeColor="text1"/>
                <w:spacing w:val="-2"/>
              </w:rPr>
              <w:t xml:space="preserve">Грубим порушенням на ринках капіталу та організованих товарних ринках є порушення вимог законодавства на ринках капіталу та організованих товарних ринках, вчинене з вини професійного учасника ринків капіталу та організованих товарних ринків шляхом дії або бездіяльності такого професійного учасника, якщо таке порушення завдало матеріальної шкоди клієнту/інвестору професійного учасника ринків капіталу та організованих товарних ринків та належить до грубих порушень згідно з класифікацією порушень на ринках капіталу та організованих товарних ринках, встановленою законом. </w:t>
            </w:r>
          </w:p>
          <w:p w14:paraId="78536D9B" w14:textId="2551E370" w:rsidR="006507E8" w:rsidRPr="00286216" w:rsidRDefault="006507E8" w:rsidP="006507E8">
            <w:pPr>
              <w:pStyle w:val="StyleProp"/>
              <w:spacing w:line="180" w:lineRule="exact"/>
              <w:rPr>
                <w:color w:val="000000" w:themeColor="text1"/>
                <w:sz w:val="20"/>
              </w:rPr>
            </w:pPr>
            <w:r w:rsidRPr="00286216">
              <w:rPr>
                <w:color w:val="000000" w:themeColor="text1"/>
                <w:spacing w:val="-2"/>
              </w:rPr>
              <w:t>Факт завдання матеріальної шкоди клієнту/інвестору професійного учасника ринків капіталу та організованих товарних ринків та наявність вини у його діях або бездіяльності повинен бути встановленим Національною комісією з цінних паперів та фондового ринку або постійнодіючим третейським судом саморегулівної організації (за умови, що договір між професійним учасником ринків капіталу та організованих товарних ринків та клієнтом передбачає третейське застереження), або судом»/</w:t>
            </w:r>
          </w:p>
        </w:tc>
        <w:tc>
          <w:tcPr>
            <w:tcW w:w="1987" w:type="dxa"/>
          </w:tcPr>
          <w:p w14:paraId="3AF084FF" w14:textId="77777777" w:rsidR="006507E8" w:rsidRPr="00286216" w:rsidRDefault="006507E8" w:rsidP="006507E8">
            <w:pPr>
              <w:pStyle w:val="StyleWisnow"/>
              <w:spacing w:line="180" w:lineRule="exact"/>
              <w:rPr>
                <w:color w:val="000000" w:themeColor="text1"/>
              </w:rPr>
            </w:pPr>
            <w:r w:rsidRPr="00286216">
              <w:rPr>
                <w:color w:val="000000" w:themeColor="text1"/>
              </w:rPr>
              <w:lastRenderedPageBreak/>
              <w:t>Враховано частково</w:t>
            </w:r>
          </w:p>
          <w:p w14:paraId="4F74DE05" w14:textId="2994F33D" w:rsidR="006507E8" w:rsidRPr="00286216" w:rsidRDefault="006507E8" w:rsidP="006507E8">
            <w:pPr>
              <w:pStyle w:val="StyleWisnow"/>
              <w:spacing w:line="180" w:lineRule="exact"/>
              <w:rPr>
                <w:color w:val="000000" w:themeColor="text1"/>
              </w:rPr>
            </w:pPr>
            <w:r w:rsidRPr="00286216">
              <w:rPr>
                <w:color w:val="000000" w:themeColor="text1"/>
              </w:rPr>
              <w:t>пропонується видалити грубе порушення, залишивши лише системне</w:t>
            </w:r>
          </w:p>
        </w:tc>
        <w:tc>
          <w:tcPr>
            <w:tcW w:w="4818" w:type="dxa"/>
          </w:tcPr>
          <w:p w14:paraId="6A546610" w14:textId="77777777" w:rsidR="006507E8" w:rsidRPr="00286216" w:rsidRDefault="006507E8" w:rsidP="006507E8">
            <w:pPr>
              <w:pStyle w:val="StyleZakonu"/>
              <w:rPr>
                <w:color w:val="000000" w:themeColor="text1"/>
              </w:rPr>
            </w:pPr>
            <w:r w:rsidRPr="00286216">
              <w:rPr>
                <w:color w:val="000000" w:themeColor="text1"/>
              </w:rPr>
              <w:t xml:space="preserve">5) встановлення факту системного порушення особою, яка провадить діяльність з надання інформаційних послуг на ринках капіталу та організованих товарних ринках, або повторного протягом одного календарного року вимог законодавства на ринках капіталу та організованих товарних ринках. </w:t>
            </w:r>
          </w:p>
          <w:p w14:paraId="42DC5C0A" w14:textId="77777777" w:rsidR="006507E8" w:rsidRPr="00286216" w:rsidRDefault="006507E8" w:rsidP="006507E8">
            <w:pPr>
              <w:pStyle w:val="StyleZakonu"/>
              <w:rPr>
                <w:color w:val="000000" w:themeColor="text1"/>
              </w:rPr>
            </w:pPr>
            <w:r w:rsidRPr="00286216">
              <w:rPr>
                <w:color w:val="000000" w:themeColor="text1"/>
              </w:rPr>
              <w:t>Порушення на ринках капіталу та організованих товарних ринках вважається вчиненим системно в разі, якщо:</w:t>
            </w:r>
          </w:p>
          <w:p w14:paraId="1AC3B883" w14:textId="77777777" w:rsidR="006507E8" w:rsidRPr="00286216" w:rsidRDefault="006507E8" w:rsidP="006507E8">
            <w:pPr>
              <w:pStyle w:val="StyleZakonu"/>
              <w:rPr>
                <w:color w:val="000000" w:themeColor="text1"/>
              </w:rPr>
            </w:pPr>
            <w:r w:rsidRPr="00286216">
              <w:rPr>
                <w:color w:val="000000" w:themeColor="text1"/>
              </w:rPr>
              <w:t>а) таке порушення є повторним протягом року з дня притягнення до відповідальності за попереднє порушення законодавства про ринки капіталу та організовані товарні ринки або законодавства про захист прав споживачів фінансових послуг,, (далі – перше порушення) порушенням тих же норм законодавства за умови, що рішення Національної комісії з цінних паперів та фондового ринку, яким було встановлено таке повторне порушення, не скасовано судом або щодо такого рішення судом не розглядається провадження у справі про оскарження його законності та скасування.</w:t>
            </w:r>
          </w:p>
          <w:p w14:paraId="618A3B00" w14:textId="77777777" w:rsidR="006507E8" w:rsidRPr="00286216" w:rsidRDefault="006507E8" w:rsidP="006507E8">
            <w:pPr>
              <w:pStyle w:val="StyleZakonu"/>
              <w:rPr>
                <w:color w:val="000000" w:themeColor="text1"/>
              </w:rPr>
            </w:pPr>
            <w:r w:rsidRPr="00286216">
              <w:rPr>
                <w:color w:val="000000" w:themeColor="text1"/>
              </w:rPr>
              <w:t xml:space="preserve">Встановлення судом законності рішення Національної комісії з цінних паперів та фондового ринку про притягнення до відповідальності за повторне порушення після одного року з дня притягнення до відповідальності за попереднє </w:t>
            </w:r>
            <w:r w:rsidRPr="00286216">
              <w:rPr>
                <w:color w:val="000000" w:themeColor="text1"/>
              </w:rPr>
              <w:lastRenderedPageBreak/>
              <w:t>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відповідно до цього пункту;</w:t>
            </w:r>
          </w:p>
          <w:p w14:paraId="0F065ECC" w14:textId="77777777" w:rsidR="006507E8" w:rsidRPr="00286216" w:rsidRDefault="006507E8" w:rsidP="006507E8">
            <w:pPr>
              <w:pStyle w:val="StyleZakonu"/>
              <w:rPr>
                <w:color w:val="000000" w:themeColor="text1"/>
              </w:rPr>
            </w:pPr>
            <w:r w:rsidRPr="00286216">
              <w:rPr>
                <w:color w:val="000000" w:themeColor="text1"/>
              </w:rPr>
              <w:t xml:space="preserve">б) таке порушення є третім протягом року з дня притягнення до відповідальності за перше порушення порушенням будь-яких норм такого законодавства за умови, що рішення Національної комісія з цінних паперів та фондового ринку, яким було встановлено таке третє порушення, не скасовано судом або щодо такого рішення судом не розглядається провадження у справі про оскарження його законності та скасування. </w:t>
            </w:r>
          </w:p>
          <w:p w14:paraId="026F6BE4" w14:textId="77777777" w:rsidR="006507E8" w:rsidRPr="00286216" w:rsidRDefault="006507E8" w:rsidP="006507E8">
            <w:pPr>
              <w:pStyle w:val="StyleZakonu"/>
              <w:rPr>
                <w:color w:val="000000" w:themeColor="text1"/>
              </w:rPr>
            </w:pPr>
            <w:r w:rsidRPr="00286216">
              <w:rPr>
                <w:color w:val="000000" w:themeColor="text1"/>
              </w:rPr>
              <w:t>Встановлення судом законності рішення Національної комісії з цінних паперів та фондового ринку про притягнення до відповідальності за третє порушення після одного року з дня притягнення до відповідальності за перше порушення (незалежно від дати прийняття судом такого рішення) не позбавляє Національну комісію з цінних паперів та фондового ринку права анулювати ліцензію професійного учасника ринків капіталу та організованих товарних ринків відповідно до цього пункту.</w:t>
            </w:r>
          </w:p>
          <w:p w14:paraId="7F73D0F3" w14:textId="77777777" w:rsidR="006507E8" w:rsidRPr="00286216" w:rsidRDefault="006507E8" w:rsidP="006507E8">
            <w:pPr>
              <w:pStyle w:val="StyleZakonu"/>
              <w:rPr>
                <w:color w:val="000000" w:themeColor="text1"/>
              </w:rPr>
            </w:pPr>
          </w:p>
        </w:tc>
      </w:tr>
      <w:bookmarkEnd w:id="1090"/>
      <w:tr w:rsidR="006507E8" w:rsidRPr="00286216" w14:paraId="73CE0C13" w14:textId="77777777" w:rsidTr="00091AA5">
        <w:tc>
          <w:tcPr>
            <w:tcW w:w="576" w:type="dxa"/>
          </w:tcPr>
          <w:p w14:paraId="112B1671" w14:textId="77777777" w:rsidR="006507E8" w:rsidRPr="00286216" w:rsidRDefault="006507E8" w:rsidP="006507E8">
            <w:pPr>
              <w:pStyle w:val="StyleWisnow"/>
              <w:rPr>
                <w:color w:val="000000" w:themeColor="text1"/>
              </w:rPr>
            </w:pPr>
          </w:p>
        </w:tc>
        <w:tc>
          <w:tcPr>
            <w:tcW w:w="4818" w:type="dxa"/>
          </w:tcPr>
          <w:p w14:paraId="3D089EF4" w14:textId="77777777" w:rsidR="006507E8" w:rsidRPr="00286216" w:rsidRDefault="006507E8" w:rsidP="006507E8">
            <w:pPr>
              <w:pStyle w:val="StyleZakonu"/>
              <w:rPr>
                <w:color w:val="000000" w:themeColor="text1"/>
              </w:rPr>
            </w:pPr>
          </w:p>
        </w:tc>
        <w:tc>
          <w:tcPr>
            <w:tcW w:w="3686" w:type="dxa"/>
          </w:tcPr>
          <w:p w14:paraId="0EC6CF6F" w14:textId="079CDFCD"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834</w:t>
            </w:r>
            <w:r w:rsidRPr="00286216">
              <w:rPr>
                <w:color w:val="000000" w:themeColor="text1"/>
                <w:spacing w:val="-10"/>
              </w:rPr>
              <w:fldChar w:fldCharType="end"/>
            </w:r>
            <w:r w:rsidRPr="00286216">
              <w:rPr>
                <w:color w:val="000000" w:themeColor="text1"/>
                <w:spacing w:val="-10"/>
              </w:rPr>
              <w:t>-Н.д.Гетманцев Д.О.(Реєстр.картка №245)</w:t>
            </w:r>
          </w:p>
          <w:p w14:paraId="7C10922A" w14:textId="77777777" w:rsidR="006507E8" w:rsidRPr="00286216" w:rsidRDefault="006507E8" w:rsidP="006507E8">
            <w:pPr>
              <w:pStyle w:val="StyleProp"/>
              <w:spacing w:line="180" w:lineRule="exact"/>
              <w:rPr>
                <w:color w:val="000000" w:themeColor="text1"/>
              </w:rPr>
            </w:pPr>
            <w:r w:rsidRPr="00286216">
              <w:rPr>
                <w:color w:val="000000" w:themeColor="text1"/>
              </w:rPr>
              <w:t>у статті 76 в частині першій пункт 5 викласти в такій редакції:</w:t>
            </w:r>
          </w:p>
          <w:p w14:paraId="22C441FB" w14:textId="77777777" w:rsidR="006507E8" w:rsidRPr="00286216" w:rsidRDefault="006507E8" w:rsidP="006507E8">
            <w:pPr>
              <w:pStyle w:val="StyleProp"/>
              <w:spacing w:line="180" w:lineRule="exact"/>
              <w:rPr>
                <w:color w:val="000000" w:themeColor="text1"/>
                <w:sz w:val="20"/>
              </w:rPr>
            </w:pPr>
            <w:r w:rsidRPr="00286216">
              <w:rPr>
                <w:color w:val="000000" w:themeColor="text1"/>
              </w:rPr>
              <w:t>«5. Встановлення факту вчинення повторного порушення (протягом одного року з дня винесення Національною комісією з цінних паперів та фондового ринку розпорядження про усунення виявлених порушень) особою, яка провадить діяльність з надання інформаційних послуг на ринках капіталу та організованих товарних ринках, вимог законодавства, що регулює відносини на ринках капіталу та організованих товарних ринках.»;</w:t>
            </w:r>
          </w:p>
        </w:tc>
        <w:tc>
          <w:tcPr>
            <w:tcW w:w="1987" w:type="dxa"/>
          </w:tcPr>
          <w:p w14:paraId="5E24033D" w14:textId="77777777" w:rsidR="006507E8" w:rsidRPr="00286216" w:rsidRDefault="006507E8" w:rsidP="006507E8">
            <w:pPr>
              <w:pStyle w:val="StyleWisnow"/>
              <w:rPr>
                <w:color w:val="000000" w:themeColor="text1"/>
              </w:rPr>
            </w:pPr>
            <w:r w:rsidRPr="00286216">
              <w:rPr>
                <w:color w:val="000000" w:themeColor="text1"/>
              </w:rPr>
              <w:t>Враховано частково</w:t>
            </w:r>
          </w:p>
        </w:tc>
        <w:tc>
          <w:tcPr>
            <w:tcW w:w="4818" w:type="dxa"/>
          </w:tcPr>
          <w:p w14:paraId="269D18D3" w14:textId="77777777" w:rsidR="006507E8" w:rsidRPr="00286216" w:rsidRDefault="006507E8" w:rsidP="006507E8">
            <w:pPr>
              <w:pStyle w:val="StyleZakonu"/>
              <w:rPr>
                <w:color w:val="000000" w:themeColor="text1"/>
              </w:rPr>
            </w:pPr>
          </w:p>
        </w:tc>
      </w:tr>
      <w:tr w:rsidR="006507E8" w:rsidRPr="00286216" w14:paraId="680EC11D" w14:textId="77777777" w:rsidTr="00091AA5">
        <w:tc>
          <w:tcPr>
            <w:tcW w:w="576" w:type="dxa"/>
          </w:tcPr>
          <w:p w14:paraId="42B2224C" w14:textId="77777777" w:rsidR="006507E8" w:rsidRPr="00286216" w:rsidRDefault="006507E8" w:rsidP="006507E8">
            <w:pPr>
              <w:pStyle w:val="StyleWisnow"/>
              <w:rPr>
                <w:color w:val="000000" w:themeColor="text1"/>
              </w:rPr>
            </w:pPr>
            <w:bookmarkStart w:id="1091" w:name="n1357" w:colFirst="0" w:colLast="0"/>
            <w:r w:rsidRPr="00286216">
              <w:rPr>
                <w:color w:val="000000" w:themeColor="text1"/>
              </w:rPr>
              <w:t>1357.</w:t>
            </w:r>
          </w:p>
        </w:tc>
        <w:tc>
          <w:tcPr>
            <w:tcW w:w="4818" w:type="dxa"/>
          </w:tcPr>
          <w:p w14:paraId="46DA9EF1" w14:textId="77777777" w:rsidR="006507E8" w:rsidRPr="00286216" w:rsidRDefault="006507E8" w:rsidP="006507E8">
            <w:pPr>
              <w:pStyle w:val="StyleZakonu"/>
              <w:rPr>
                <w:color w:val="000000" w:themeColor="text1"/>
              </w:rPr>
            </w:pPr>
            <w:bookmarkStart w:id="1092" w:name="_Ref16415777"/>
            <w:r w:rsidRPr="00286216">
              <w:rPr>
                <w:color w:val="000000" w:themeColor="text1"/>
              </w:rPr>
              <w:t>Стаття 77. Вимоги до діяльності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bookmarkEnd w:id="1092"/>
          </w:p>
        </w:tc>
        <w:tc>
          <w:tcPr>
            <w:tcW w:w="3686" w:type="dxa"/>
          </w:tcPr>
          <w:p w14:paraId="4C105B84" w14:textId="188767DD"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835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A93BA3C" w14:textId="16096E19" w:rsidR="006507E8" w:rsidRPr="00286216" w:rsidRDefault="006507E8" w:rsidP="006507E8">
            <w:pPr>
              <w:pStyle w:val="StyleProp"/>
              <w:spacing w:line="180" w:lineRule="exact"/>
              <w:rPr>
                <w:color w:val="000000" w:themeColor="text1"/>
                <w:szCs w:val="18"/>
              </w:rPr>
            </w:pPr>
            <w:r w:rsidRPr="00286216">
              <w:rPr>
                <w:color w:val="000000" w:themeColor="text1"/>
                <w:szCs w:val="18"/>
              </w:rPr>
              <w:t>У назві статті 77 та тексті частин 2 та 3 слова «та/або професійних учасників ринків капіталу та організованих товарних ринків» у відповідних відмінках замінити словами «та професійних учасників організованих товарних ринків» у відповідних відмінках.</w:t>
            </w:r>
          </w:p>
        </w:tc>
        <w:tc>
          <w:tcPr>
            <w:tcW w:w="1987" w:type="dxa"/>
          </w:tcPr>
          <w:p w14:paraId="005C5D21"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726D597B" w14:textId="6DC16B36" w:rsidR="006507E8" w:rsidRPr="00286216" w:rsidRDefault="006507E8" w:rsidP="006507E8">
            <w:pPr>
              <w:pStyle w:val="StyleZakonu"/>
              <w:rPr>
                <w:color w:val="000000" w:themeColor="text1"/>
              </w:rPr>
            </w:pPr>
            <w:r w:rsidRPr="00286216">
              <w:rPr>
                <w:color w:val="000000" w:themeColor="text1"/>
              </w:rPr>
              <w:t xml:space="preserve">Стаття 81. Вимоги до діяльності з оприлюднення регульованої інформації від імені учасників ринків капіталу </w:t>
            </w:r>
            <w:r w:rsidRPr="00286216">
              <w:rPr>
                <w:color w:val="000000" w:themeColor="text1"/>
                <w:szCs w:val="18"/>
              </w:rPr>
              <w:t>та професійних учасників організованих товарних ринків</w:t>
            </w:r>
          </w:p>
        </w:tc>
      </w:tr>
      <w:tr w:rsidR="006507E8" w:rsidRPr="00286216" w14:paraId="000E01BD" w14:textId="77777777" w:rsidTr="00091AA5">
        <w:tc>
          <w:tcPr>
            <w:tcW w:w="576" w:type="dxa"/>
          </w:tcPr>
          <w:p w14:paraId="19136050" w14:textId="77777777" w:rsidR="006507E8" w:rsidRPr="00286216" w:rsidRDefault="006507E8" w:rsidP="006507E8">
            <w:pPr>
              <w:pStyle w:val="StyleWisnow"/>
              <w:rPr>
                <w:color w:val="000000" w:themeColor="text1"/>
              </w:rPr>
            </w:pPr>
            <w:bookmarkStart w:id="1093" w:name="n1358" w:colFirst="0" w:colLast="0"/>
            <w:bookmarkEnd w:id="1091"/>
            <w:r w:rsidRPr="00286216">
              <w:rPr>
                <w:color w:val="000000" w:themeColor="text1"/>
              </w:rPr>
              <w:t>1358.</w:t>
            </w:r>
          </w:p>
        </w:tc>
        <w:tc>
          <w:tcPr>
            <w:tcW w:w="4818" w:type="dxa"/>
          </w:tcPr>
          <w:p w14:paraId="17628A52" w14:textId="77777777" w:rsidR="006507E8" w:rsidRPr="00286216" w:rsidRDefault="006507E8" w:rsidP="006507E8">
            <w:pPr>
              <w:pStyle w:val="StyleZakonu"/>
              <w:rPr>
                <w:color w:val="000000" w:themeColor="text1"/>
              </w:rPr>
            </w:pPr>
            <w:r w:rsidRPr="00286216">
              <w:rPr>
                <w:color w:val="000000" w:themeColor="text1"/>
              </w:rPr>
              <w:t>1. Особи, які провадять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повинні мати погодженні Національною комісією з цінних паперів та фондового ринку внутрішні правила та відповідні процедури, які забезпечують оприлюднення такої регульованої інформації в режимі максимально технічно наближеному до реального часу, на комерційній основі з урахуванням вимог абзацу другого цієї частини.</w:t>
            </w:r>
          </w:p>
        </w:tc>
        <w:tc>
          <w:tcPr>
            <w:tcW w:w="3686" w:type="dxa"/>
          </w:tcPr>
          <w:p w14:paraId="3A613A8A" w14:textId="77777777" w:rsidR="006507E8" w:rsidRPr="00286216" w:rsidRDefault="006507E8" w:rsidP="006507E8">
            <w:pPr>
              <w:pStyle w:val="StyleProp"/>
              <w:rPr>
                <w:color w:val="000000" w:themeColor="text1"/>
                <w:szCs w:val="18"/>
              </w:rPr>
            </w:pPr>
          </w:p>
        </w:tc>
        <w:tc>
          <w:tcPr>
            <w:tcW w:w="1987" w:type="dxa"/>
          </w:tcPr>
          <w:p w14:paraId="3F0F964D" w14:textId="77777777" w:rsidR="006507E8" w:rsidRPr="00286216" w:rsidRDefault="006507E8" w:rsidP="006507E8">
            <w:pPr>
              <w:pStyle w:val="StyleWisnow"/>
              <w:rPr>
                <w:color w:val="000000" w:themeColor="text1"/>
              </w:rPr>
            </w:pPr>
          </w:p>
        </w:tc>
        <w:tc>
          <w:tcPr>
            <w:tcW w:w="4818" w:type="dxa"/>
          </w:tcPr>
          <w:p w14:paraId="5405DD77" w14:textId="5D49F7FE" w:rsidR="006507E8" w:rsidRPr="00286216" w:rsidRDefault="006507E8" w:rsidP="006507E8">
            <w:pPr>
              <w:pStyle w:val="StyleZakonu"/>
              <w:rPr>
                <w:color w:val="000000" w:themeColor="text1"/>
              </w:rPr>
            </w:pPr>
            <w:r w:rsidRPr="00286216">
              <w:rPr>
                <w:color w:val="000000" w:themeColor="text1"/>
              </w:rPr>
              <w:t>1. Особи, які провадять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повинні мати погоджені Національною комісією з цінних паперів та фондового ринку внутрішні правила та відповідні процедури, які забезпечують оприлюднення такої регульованої інформації в режимі максимально технічно наближеному до реального часу, на комерційній основі з урахуванням вимог абзацу другого цієї частини.</w:t>
            </w:r>
          </w:p>
        </w:tc>
      </w:tr>
      <w:tr w:rsidR="006507E8" w:rsidRPr="00286216" w14:paraId="1DCEBAD6" w14:textId="77777777" w:rsidTr="00091AA5">
        <w:tc>
          <w:tcPr>
            <w:tcW w:w="576" w:type="dxa"/>
          </w:tcPr>
          <w:p w14:paraId="34656B87" w14:textId="77777777" w:rsidR="006507E8" w:rsidRPr="00286216" w:rsidRDefault="006507E8" w:rsidP="006507E8">
            <w:pPr>
              <w:pStyle w:val="StyleWisnow"/>
              <w:rPr>
                <w:color w:val="000000" w:themeColor="text1"/>
              </w:rPr>
            </w:pPr>
            <w:bookmarkStart w:id="1094" w:name="n1359" w:colFirst="0" w:colLast="0"/>
            <w:bookmarkEnd w:id="1093"/>
            <w:r w:rsidRPr="00286216">
              <w:rPr>
                <w:color w:val="000000" w:themeColor="text1"/>
              </w:rPr>
              <w:t>1359.</w:t>
            </w:r>
          </w:p>
        </w:tc>
        <w:tc>
          <w:tcPr>
            <w:tcW w:w="4818" w:type="dxa"/>
          </w:tcPr>
          <w:p w14:paraId="31DAF8E8" w14:textId="77777777" w:rsidR="006507E8" w:rsidRPr="00286216" w:rsidRDefault="006507E8" w:rsidP="006507E8">
            <w:pPr>
              <w:pStyle w:val="StyleZakonu"/>
              <w:rPr>
                <w:color w:val="000000" w:themeColor="text1"/>
              </w:rPr>
            </w:pPr>
            <w:r w:rsidRPr="00286216">
              <w:rPr>
                <w:color w:val="000000" w:themeColor="text1"/>
              </w:rPr>
              <w:t>Регульована інформація має бути доступною для будь-яких юридичних та фізичних осіб на безоплатній основі не пізніше ніж через 15 хвилин після її оприлюднення.</w:t>
            </w:r>
          </w:p>
        </w:tc>
        <w:tc>
          <w:tcPr>
            <w:tcW w:w="3686" w:type="dxa"/>
          </w:tcPr>
          <w:p w14:paraId="388B9BBF" w14:textId="77777777" w:rsidR="006507E8" w:rsidRPr="00286216" w:rsidRDefault="006507E8" w:rsidP="006507E8">
            <w:pPr>
              <w:pStyle w:val="StyleProp"/>
              <w:rPr>
                <w:color w:val="000000" w:themeColor="text1"/>
                <w:szCs w:val="18"/>
              </w:rPr>
            </w:pPr>
          </w:p>
        </w:tc>
        <w:tc>
          <w:tcPr>
            <w:tcW w:w="1987" w:type="dxa"/>
          </w:tcPr>
          <w:p w14:paraId="5EE2C274" w14:textId="77777777" w:rsidR="006507E8" w:rsidRPr="00286216" w:rsidRDefault="006507E8" w:rsidP="006507E8">
            <w:pPr>
              <w:pStyle w:val="StyleWisnow"/>
              <w:rPr>
                <w:color w:val="000000" w:themeColor="text1"/>
              </w:rPr>
            </w:pPr>
          </w:p>
        </w:tc>
        <w:tc>
          <w:tcPr>
            <w:tcW w:w="4818" w:type="dxa"/>
          </w:tcPr>
          <w:p w14:paraId="3C4AD4B3" w14:textId="326610EB" w:rsidR="006507E8" w:rsidRPr="00286216" w:rsidRDefault="006507E8" w:rsidP="006507E8">
            <w:pPr>
              <w:pStyle w:val="StyleZakonu"/>
              <w:rPr>
                <w:color w:val="000000" w:themeColor="text1"/>
              </w:rPr>
            </w:pPr>
            <w:r w:rsidRPr="00286216">
              <w:rPr>
                <w:color w:val="000000" w:themeColor="text1"/>
              </w:rPr>
              <w:t>Регульована інформація має бути доступною для будь-яких юридичних та фізичних осіб на безоплатній основі не пізніше ніж через 15 хвилин після її оприлюднення.</w:t>
            </w:r>
          </w:p>
        </w:tc>
      </w:tr>
      <w:tr w:rsidR="006507E8" w:rsidRPr="00286216" w14:paraId="13EA58AC" w14:textId="77777777" w:rsidTr="00091AA5">
        <w:tc>
          <w:tcPr>
            <w:tcW w:w="576" w:type="dxa"/>
          </w:tcPr>
          <w:p w14:paraId="1EE2551F" w14:textId="77777777" w:rsidR="006507E8" w:rsidRPr="00286216" w:rsidRDefault="006507E8" w:rsidP="006507E8">
            <w:pPr>
              <w:pStyle w:val="StyleWisnow"/>
              <w:rPr>
                <w:color w:val="000000" w:themeColor="text1"/>
              </w:rPr>
            </w:pPr>
            <w:bookmarkStart w:id="1095" w:name="n1360" w:colFirst="0" w:colLast="0"/>
            <w:bookmarkEnd w:id="1094"/>
            <w:r w:rsidRPr="00286216">
              <w:rPr>
                <w:color w:val="000000" w:themeColor="text1"/>
              </w:rPr>
              <w:t>1360.</w:t>
            </w:r>
          </w:p>
        </w:tc>
        <w:tc>
          <w:tcPr>
            <w:tcW w:w="4818" w:type="dxa"/>
          </w:tcPr>
          <w:p w14:paraId="6BE854A2" w14:textId="77777777" w:rsidR="006507E8" w:rsidRPr="00286216" w:rsidRDefault="006507E8" w:rsidP="006507E8">
            <w:pPr>
              <w:pStyle w:val="StyleZakonu"/>
              <w:rPr>
                <w:color w:val="000000" w:themeColor="text1"/>
              </w:rPr>
            </w:pPr>
            <w:r w:rsidRPr="00286216">
              <w:rPr>
                <w:color w:val="000000" w:themeColor="text1"/>
              </w:rPr>
              <w:t>2. Програмно-технічні комплекси, що використовуються при провадженні діяльності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повинні відповідати вимогам, встановленим Національної комісії з цінних паперів та фондового ринку, та забезпечувати ефективне та безперервне поширення такої інформації шляхом забезпечення швидкого доступу до цієї інформації на недискримінаційній основі у формі, придатній для обробки та консолідації.</w:t>
            </w:r>
          </w:p>
        </w:tc>
        <w:tc>
          <w:tcPr>
            <w:tcW w:w="3686" w:type="dxa"/>
          </w:tcPr>
          <w:p w14:paraId="4B03CAE7" w14:textId="5DB0AE29"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836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B8BEA1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назві статті 77 та тексті частин другої та третьої слова «та/або професійних учасників ринків капіталу та організованих товарних ринків» у відповідних відмінках замінити словами «та професійних учасників організованих товарних ринків» у відповідних відмінках.</w:t>
            </w:r>
          </w:p>
        </w:tc>
        <w:tc>
          <w:tcPr>
            <w:tcW w:w="1987" w:type="dxa"/>
          </w:tcPr>
          <w:p w14:paraId="71A05CF4"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301AEC5C" w14:textId="793A6F57" w:rsidR="006507E8" w:rsidRPr="00286216" w:rsidRDefault="006507E8" w:rsidP="006507E8">
            <w:pPr>
              <w:pStyle w:val="StyleZakonu"/>
              <w:rPr>
                <w:color w:val="000000" w:themeColor="text1"/>
              </w:rPr>
            </w:pPr>
            <w:r w:rsidRPr="00286216">
              <w:rPr>
                <w:color w:val="000000" w:themeColor="text1"/>
              </w:rPr>
              <w:t>2. Програмно-технічні комплекси, що використовуються при провадженні діяльності з оприлюднення регульованої інформації від імені учасників ринків капіталу та професійних учасників організованих товарних ринків, повинні відповідати вимогам, встановленим Національною комісією з цінних паперів та фондового ринку, та забезпечувати ефективне та безперервне поширення такої інформації шляхом забезпечення швидкого доступу до неї на недискримінаційній основі у формі, придатній для обробки та консолідації.</w:t>
            </w:r>
          </w:p>
        </w:tc>
      </w:tr>
      <w:tr w:rsidR="006507E8" w:rsidRPr="00286216" w14:paraId="5EAC39AB" w14:textId="77777777" w:rsidTr="00091AA5">
        <w:tc>
          <w:tcPr>
            <w:tcW w:w="576" w:type="dxa"/>
          </w:tcPr>
          <w:p w14:paraId="20586A65" w14:textId="77777777" w:rsidR="006507E8" w:rsidRPr="00286216" w:rsidRDefault="006507E8" w:rsidP="006507E8">
            <w:pPr>
              <w:pStyle w:val="StyleWisnow"/>
              <w:rPr>
                <w:color w:val="000000" w:themeColor="text1"/>
              </w:rPr>
            </w:pPr>
            <w:bookmarkStart w:id="1096" w:name="n1361" w:colFirst="0" w:colLast="0"/>
            <w:bookmarkEnd w:id="1095"/>
            <w:r w:rsidRPr="00286216">
              <w:rPr>
                <w:color w:val="000000" w:themeColor="text1"/>
              </w:rPr>
              <w:lastRenderedPageBreak/>
              <w:t>1361.</w:t>
            </w:r>
          </w:p>
        </w:tc>
        <w:tc>
          <w:tcPr>
            <w:tcW w:w="4818" w:type="dxa"/>
          </w:tcPr>
          <w:p w14:paraId="7AF66919" w14:textId="2C6654BB" w:rsidR="006507E8" w:rsidRPr="00286216" w:rsidRDefault="006507E8" w:rsidP="006507E8">
            <w:pPr>
              <w:pStyle w:val="StyleZakonu"/>
              <w:rPr>
                <w:color w:val="000000" w:themeColor="text1"/>
              </w:rPr>
            </w:pPr>
            <w:r w:rsidRPr="00286216">
              <w:rPr>
                <w:color w:val="000000" w:themeColor="text1"/>
              </w:rPr>
              <w:t xml:space="preserve">Такі програмно-технічні комплекси повинні забезпечувати можливість оприлюднення інформації у формі відкритих даних. При цьому вимоги абзацу другого частини першої статті 10 </w:t>
            </w:r>
            <w:r w:rsidRPr="00286216">
              <w:rPr>
                <w:color w:val="000000" w:themeColor="text1"/>
                <w:vertAlign w:val="superscript"/>
              </w:rPr>
              <w:t xml:space="preserve">1 </w:t>
            </w:r>
            <w:r w:rsidRPr="00286216">
              <w:rPr>
                <w:color w:val="000000" w:themeColor="text1"/>
              </w:rPr>
              <w:t>Закону України "Про доступ до публічної інформації" не застосовуються до осіб, які провадять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5A2ADE10" w14:textId="17A982AD"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837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99600ED"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назві статті 77 та тексті частин другої та третьої слова «та/або професійних учасників ринків капіталу та організованих товарних ринків» у відповідних відмінках замінити словами «та професійних учасників організованих товарних ринків» у відповідних відмінках.</w:t>
            </w:r>
          </w:p>
        </w:tc>
        <w:tc>
          <w:tcPr>
            <w:tcW w:w="1987" w:type="dxa"/>
          </w:tcPr>
          <w:p w14:paraId="4AAE5A44"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1DC9B833" w14:textId="71F6E389" w:rsidR="006507E8" w:rsidRPr="00286216" w:rsidRDefault="006507E8" w:rsidP="006507E8">
            <w:pPr>
              <w:pStyle w:val="StyleZakonu"/>
              <w:rPr>
                <w:color w:val="000000" w:themeColor="text1"/>
              </w:rPr>
            </w:pPr>
            <w:r w:rsidRPr="00286216">
              <w:rPr>
                <w:color w:val="000000" w:themeColor="text1"/>
              </w:rPr>
              <w:t>Такі програмно-технічні комплекси повинні забезпечувати можливість оприлюднення інформації у формі відкритих даних. При цьому вимоги абзацу другого частини першої статті 10</w:t>
            </w:r>
            <w:r w:rsidRPr="00286216">
              <w:rPr>
                <w:color w:val="000000" w:themeColor="text1"/>
                <w:vertAlign w:val="superscript"/>
              </w:rPr>
              <w:t>1</w:t>
            </w:r>
            <w:r w:rsidRPr="00286216">
              <w:rPr>
                <w:color w:val="000000" w:themeColor="text1"/>
              </w:rPr>
              <w:t xml:space="preserve"> Закону України "Про доступ до публічної інформації" не застосовуються до осіб, які провадять діяльність з оприлюднення регульованої інформації від імені учасників ринків капіталу та професійних учасників організованих товарних ринків.</w:t>
            </w:r>
          </w:p>
        </w:tc>
      </w:tr>
      <w:tr w:rsidR="006507E8" w:rsidRPr="00286216" w14:paraId="3D468F92" w14:textId="77777777" w:rsidTr="00091AA5">
        <w:tc>
          <w:tcPr>
            <w:tcW w:w="576" w:type="dxa"/>
          </w:tcPr>
          <w:p w14:paraId="102D375B" w14:textId="77777777" w:rsidR="006507E8" w:rsidRPr="00286216" w:rsidRDefault="006507E8" w:rsidP="006507E8">
            <w:pPr>
              <w:pStyle w:val="StyleWisnow"/>
              <w:rPr>
                <w:color w:val="000000" w:themeColor="text1"/>
              </w:rPr>
            </w:pPr>
            <w:bookmarkStart w:id="1097" w:name="n1362" w:colFirst="0" w:colLast="0"/>
            <w:bookmarkEnd w:id="1096"/>
            <w:r w:rsidRPr="00286216">
              <w:rPr>
                <w:color w:val="000000" w:themeColor="text1"/>
              </w:rPr>
              <w:t>1362.</w:t>
            </w:r>
          </w:p>
        </w:tc>
        <w:tc>
          <w:tcPr>
            <w:tcW w:w="4818" w:type="dxa"/>
          </w:tcPr>
          <w:p w14:paraId="31B1568E" w14:textId="77777777" w:rsidR="006507E8" w:rsidRPr="00286216" w:rsidRDefault="006507E8" w:rsidP="006507E8">
            <w:pPr>
              <w:pStyle w:val="StyleZakonu"/>
              <w:rPr>
                <w:color w:val="000000" w:themeColor="text1"/>
              </w:rPr>
            </w:pPr>
            <w:r w:rsidRPr="00286216">
              <w:rPr>
                <w:color w:val="000000" w:themeColor="text1"/>
              </w:rPr>
              <w:t>Особи, які провадять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не мають права обмежувати доступ інших осіб до інформації, що оприлюднюється відповідно до цієї статті.</w:t>
            </w:r>
          </w:p>
        </w:tc>
        <w:tc>
          <w:tcPr>
            <w:tcW w:w="3686" w:type="dxa"/>
          </w:tcPr>
          <w:p w14:paraId="7B525DC6" w14:textId="6AE6F457"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838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1E46D1E"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назві статті 77 та тексті частин другої та третьої слова «та/або професійних учасників ринків капіталу та організованих товарних ринків» у відповідних відмінках замінити словами «та професійних учасників організованих товарних ринків» у відповідних відмінках.</w:t>
            </w:r>
          </w:p>
        </w:tc>
        <w:tc>
          <w:tcPr>
            <w:tcW w:w="1987" w:type="dxa"/>
          </w:tcPr>
          <w:p w14:paraId="533AD8DC"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139E5C45" w14:textId="097B3A97" w:rsidR="006507E8" w:rsidRPr="00286216" w:rsidRDefault="006507E8" w:rsidP="006507E8">
            <w:pPr>
              <w:pStyle w:val="StyleZakonu"/>
              <w:rPr>
                <w:color w:val="000000" w:themeColor="text1"/>
              </w:rPr>
            </w:pPr>
            <w:r w:rsidRPr="00286216">
              <w:rPr>
                <w:color w:val="000000" w:themeColor="text1"/>
              </w:rPr>
              <w:t>Особи, які провадять діяльність з оприлюднення регульованої інформації від імені учасників ринків капіталу та професійних учасників організованих товарних ринків, не мають права обмежувати доступ інших осіб до інформації, що оприлюднюється відповідно до цієї статті.</w:t>
            </w:r>
          </w:p>
        </w:tc>
      </w:tr>
      <w:tr w:rsidR="006507E8" w:rsidRPr="00286216" w14:paraId="4B0FD322" w14:textId="77777777" w:rsidTr="00091AA5">
        <w:tc>
          <w:tcPr>
            <w:tcW w:w="576" w:type="dxa"/>
          </w:tcPr>
          <w:p w14:paraId="56FE98F9" w14:textId="77777777" w:rsidR="006507E8" w:rsidRPr="00286216" w:rsidRDefault="006507E8" w:rsidP="006507E8">
            <w:pPr>
              <w:pStyle w:val="StyleWisnow"/>
              <w:rPr>
                <w:color w:val="000000" w:themeColor="text1"/>
              </w:rPr>
            </w:pPr>
            <w:bookmarkStart w:id="1098" w:name="n1363" w:colFirst="0" w:colLast="0"/>
            <w:bookmarkEnd w:id="1097"/>
            <w:r w:rsidRPr="00286216">
              <w:rPr>
                <w:color w:val="000000" w:themeColor="text1"/>
              </w:rPr>
              <w:t>1363.</w:t>
            </w:r>
          </w:p>
        </w:tc>
        <w:tc>
          <w:tcPr>
            <w:tcW w:w="4818" w:type="dxa"/>
          </w:tcPr>
          <w:p w14:paraId="003F667F" w14:textId="77777777" w:rsidR="006507E8" w:rsidRPr="00286216" w:rsidRDefault="006507E8" w:rsidP="006507E8">
            <w:pPr>
              <w:pStyle w:val="StyleZakonu"/>
              <w:rPr>
                <w:color w:val="000000" w:themeColor="text1"/>
              </w:rPr>
            </w:pPr>
            <w:r w:rsidRPr="00286216">
              <w:rPr>
                <w:color w:val="000000" w:themeColor="text1"/>
              </w:rPr>
              <w:t>3. Програмно-технічні комплекси, що використовуються особами, які провадять діяльність 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повинні забезпечувати функціонування ефективних механізмів перевірки поданої учасниками ринків капіталу та/або професійними учасниками ринків капіталу та організованих товарних ринків для оприлюднення інформації на предмет її повноти, ідентифікації описок та очевидних технічних помилок, а також механізмів повернення такої інформації учасникам ринків капіталу та/або професійним учасникам ринків капіталу та організованих товарних ринків для її виправлення та повторного подання.</w:t>
            </w:r>
          </w:p>
        </w:tc>
        <w:tc>
          <w:tcPr>
            <w:tcW w:w="3686" w:type="dxa"/>
          </w:tcPr>
          <w:p w14:paraId="1B4BC80B" w14:textId="4B18167C"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546006D"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назві статті 77 та тексті частин другої та третьої слова «та/або професійних учасників ринків капіталу та організованих товарних ринків» у відповідних відмінках замінити словами «та професійних учасників організованих товарних ринків» у відповідних відмінках.</w:t>
            </w:r>
          </w:p>
        </w:tc>
        <w:tc>
          <w:tcPr>
            <w:tcW w:w="1987" w:type="dxa"/>
          </w:tcPr>
          <w:p w14:paraId="298B20D4"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59772694" w14:textId="67C5B35E" w:rsidR="006507E8" w:rsidRPr="00286216" w:rsidRDefault="006507E8" w:rsidP="006507E8">
            <w:pPr>
              <w:pStyle w:val="StyleZakonu"/>
              <w:rPr>
                <w:color w:val="000000" w:themeColor="text1"/>
              </w:rPr>
            </w:pPr>
            <w:r w:rsidRPr="00286216">
              <w:rPr>
                <w:color w:val="000000" w:themeColor="text1"/>
              </w:rPr>
              <w:t>3. Програмно-технічні комплекси, що використовуються особами, які провадять діяльність з оприлюднення регульованої інформації від імені учасників ринків капіталу та професійних учасників організованих товарних ринків, повинні забезпечувати функціонування ефективних механізмів перевірки поданої учасниками ринків капіталу та/або професійними учасниками ринків капіталу та організованих товарних ринків для оприлюднення інформації на предмет її повноти, ідентифікації описок та очевидних технічних помилок, а також механізмів повернення такої інформації учасникам ринків капіталу та/або професійним учасникам ринків капіталу та організованих товарних ринків для її виправлення та повторного подання.</w:t>
            </w:r>
          </w:p>
        </w:tc>
      </w:tr>
      <w:tr w:rsidR="006507E8" w:rsidRPr="00286216" w14:paraId="7DC70F5B" w14:textId="77777777" w:rsidTr="00091AA5">
        <w:tc>
          <w:tcPr>
            <w:tcW w:w="576" w:type="dxa"/>
          </w:tcPr>
          <w:p w14:paraId="39239140" w14:textId="77777777" w:rsidR="006507E8" w:rsidRPr="00286216" w:rsidRDefault="006507E8" w:rsidP="006507E8">
            <w:pPr>
              <w:pStyle w:val="StyleWisnow"/>
              <w:rPr>
                <w:color w:val="000000" w:themeColor="text1"/>
              </w:rPr>
            </w:pPr>
            <w:bookmarkStart w:id="1099" w:name="n1364" w:colFirst="0" w:colLast="0"/>
            <w:bookmarkEnd w:id="1098"/>
            <w:r w:rsidRPr="00286216">
              <w:rPr>
                <w:color w:val="000000" w:themeColor="text1"/>
              </w:rPr>
              <w:t>1364.</w:t>
            </w:r>
          </w:p>
        </w:tc>
        <w:tc>
          <w:tcPr>
            <w:tcW w:w="4818" w:type="dxa"/>
          </w:tcPr>
          <w:p w14:paraId="24880C2F" w14:textId="77777777" w:rsidR="006507E8" w:rsidRPr="00286216" w:rsidRDefault="006507E8" w:rsidP="006507E8">
            <w:pPr>
              <w:pStyle w:val="StyleZakonu"/>
              <w:rPr>
                <w:color w:val="000000" w:themeColor="text1"/>
              </w:rPr>
            </w:pPr>
            <w:r w:rsidRPr="00286216">
              <w:rPr>
                <w:color w:val="000000" w:themeColor="text1"/>
              </w:rPr>
              <w:t>Стаття 78. Вимоги до діяльності з розповсюдження в режимі безперервного оновлення консолідованої інформації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w:t>
            </w:r>
          </w:p>
        </w:tc>
        <w:tc>
          <w:tcPr>
            <w:tcW w:w="3686" w:type="dxa"/>
          </w:tcPr>
          <w:p w14:paraId="7DECBCC1" w14:textId="4920661C"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840</w:t>
            </w:r>
            <w:r w:rsidRPr="00286216">
              <w:rPr>
                <w:color w:val="000000" w:themeColor="text1"/>
                <w:spacing w:val="-4"/>
              </w:rPr>
              <w:fldChar w:fldCharType="end"/>
            </w:r>
            <w:r w:rsidRPr="00286216">
              <w:rPr>
                <w:color w:val="000000" w:themeColor="text1"/>
                <w:spacing w:val="-4"/>
              </w:rPr>
              <w:t>-Народні депутати України – члени Комітету з питань фінансів, податкової та митної політики Гетманцев Д.О. та інші</w:t>
            </w:r>
          </w:p>
          <w:p w14:paraId="124828F0" w14:textId="1E1B14D0" w:rsidR="006507E8" w:rsidRPr="00286216" w:rsidRDefault="006507E8" w:rsidP="006507E8">
            <w:pPr>
              <w:pStyle w:val="StyleProp"/>
              <w:rPr>
                <w:color w:val="000000" w:themeColor="text1"/>
                <w:szCs w:val="18"/>
              </w:rPr>
            </w:pPr>
            <w:r w:rsidRPr="00286216">
              <w:rPr>
                <w:color w:val="000000" w:themeColor="text1"/>
                <w:szCs w:val="18"/>
              </w:rPr>
              <w:t>В назві статті 78 слова «</w:t>
            </w:r>
            <w:r w:rsidRPr="00286216">
              <w:rPr>
                <w:color w:val="000000" w:themeColor="text1"/>
              </w:rPr>
              <w:t>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виключити.</w:t>
            </w:r>
          </w:p>
        </w:tc>
        <w:tc>
          <w:tcPr>
            <w:tcW w:w="1987" w:type="dxa"/>
          </w:tcPr>
          <w:p w14:paraId="4AC94ECE" w14:textId="77777777" w:rsidR="006507E8" w:rsidRPr="00286216" w:rsidRDefault="006507E8" w:rsidP="006507E8">
            <w:pPr>
              <w:pStyle w:val="StyleWisnow"/>
              <w:spacing w:line="200" w:lineRule="exact"/>
              <w:rPr>
                <w:rFonts w:eastAsia="Calibri"/>
                <w:color w:val="000000" w:themeColor="text1"/>
              </w:rPr>
            </w:pPr>
            <w:r w:rsidRPr="00286216">
              <w:rPr>
                <w:rFonts w:eastAsia="Calibri"/>
                <w:color w:val="000000" w:themeColor="text1"/>
              </w:rPr>
              <w:t>Враховано</w:t>
            </w:r>
          </w:p>
          <w:p w14:paraId="75574C10" w14:textId="27E10370" w:rsidR="006507E8" w:rsidRPr="00286216" w:rsidRDefault="006507E8" w:rsidP="006507E8">
            <w:pPr>
              <w:pStyle w:val="StyleWisnow"/>
              <w:spacing w:line="20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310DE997" w14:textId="71E9E1A7" w:rsidR="006507E8" w:rsidRPr="00286216" w:rsidRDefault="006507E8" w:rsidP="006507E8">
            <w:pPr>
              <w:pStyle w:val="StyleZakonu"/>
              <w:rPr>
                <w:color w:val="000000" w:themeColor="text1"/>
              </w:rPr>
            </w:pPr>
            <w:r w:rsidRPr="00286216">
              <w:rPr>
                <w:color w:val="000000" w:themeColor="text1"/>
              </w:rPr>
              <w:t>Стаття 82. Вимоги до діяльності з розповсюдження в режимі безперервного оновлення консолідованої інформації</w:t>
            </w:r>
          </w:p>
        </w:tc>
      </w:tr>
      <w:tr w:rsidR="006507E8" w:rsidRPr="00286216" w14:paraId="3DD41EF5" w14:textId="77777777" w:rsidTr="00091AA5">
        <w:tc>
          <w:tcPr>
            <w:tcW w:w="576" w:type="dxa"/>
          </w:tcPr>
          <w:p w14:paraId="58A51D87" w14:textId="77777777" w:rsidR="006507E8" w:rsidRPr="00286216" w:rsidRDefault="006507E8" w:rsidP="006507E8">
            <w:pPr>
              <w:pStyle w:val="StyleWisnow"/>
              <w:rPr>
                <w:color w:val="000000" w:themeColor="text1"/>
              </w:rPr>
            </w:pPr>
            <w:bookmarkStart w:id="1100" w:name="n1365" w:colFirst="0" w:colLast="0"/>
            <w:bookmarkEnd w:id="1099"/>
            <w:r w:rsidRPr="00286216">
              <w:rPr>
                <w:color w:val="000000" w:themeColor="text1"/>
              </w:rPr>
              <w:t>1365.</w:t>
            </w:r>
          </w:p>
        </w:tc>
        <w:tc>
          <w:tcPr>
            <w:tcW w:w="4818" w:type="dxa"/>
          </w:tcPr>
          <w:p w14:paraId="516AAD77" w14:textId="77777777" w:rsidR="006507E8" w:rsidRPr="00286216" w:rsidRDefault="006507E8" w:rsidP="006507E8">
            <w:pPr>
              <w:pStyle w:val="StyleZakonu"/>
              <w:rPr>
                <w:color w:val="000000" w:themeColor="text1"/>
              </w:rPr>
            </w:pPr>
            <w:r w:rsidRPr="00286216">
              <w:rPr>
                <w:color w:val="000000" w:themeColor="text1"/>
              </w:rPr>
              <w:t xml:space="preserve">1. Особи, які провадять діяльність з розповсюдження в режимі безперервного оновлення консолідованої інформації про активи, допущені до торгів на організованому ринку, фінансові </w:t>
            </w:r>
            <w:r w:rsidRPr="00286216">
              <w:rPr>
                <w:color w:val="000000" w:themeColor="text1"/>
              </w:rPr>
              <w:lastRenderedPageBreak/>
              <w:t>інструменти та/або учасників ринків капіталу та/або професійних учасників ринків капіталу та організованих товарних ринків, повинні мати погодженні Національною комісією з цінних паперів та фондового ринку внутрішні правила та відповідні процедури, які забезпечують збирання всієї оприлюдненої відповідно до статті 77 цього Закону регульованої інформації, її консолідацію в безперервний оновлюваний електронний потік інформації та забезпечення оприлюднення такої інформації в режимі, максимально технічно наближеному до реального часу, на комерційній основі, з урахуванням вимог абзацу другого цієї частини.</w:t>
            </w:r>
          </w:p>
        </w:tc>
        <w:tc>
          <w:tcPr>
            <w:tcW w:w="3686" w:type="dxa"/>
          </w:tcPr>
          <w:p w14:paraId="35D57C96" w14:textId="67C4B6C2" w:rsidR="006507E8" w:rsidRPr="00286216" w:rsidRDefault="006507E8" w:rsidP="006507E8">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841</w:t>
            </w:r>
            <w:r w:rsidRPr="00286216">
              <w:rPr>
                <w:color w:val="000000" w:themeColor="text1"/>
                <w:spacing w:val="-4"/>
              </w:rPr>
              <w:fldChar w:fldCharType="end"/>
            </w:r>
            <w:r w:rsidRPr="00286216">
              <w:rPr>
                <w:color w:val="000000" w:themeColor="text1"/>
                <w:spacing w:val="-4"/>
              </w:rPr>
              <w:t>-Народні депутати України – члени Комітету з питань фінансів, податкової та митної політики Гетманцев Д.О. та інші</w:t>
            </w:r>
          </w:p>
          <w:p w14:paraId="048D9DE1" w14:textId="61072290" w:rsidR="006507E8" w:rsidRPr="00286216" w:rsidRDefault="006507E8" w:rsidP="006507E8">
            <w:pPr>
              <w:pStyle w:val="StyleProp"/>
              <w:rPr>
                <w:color w:val="000000" w:themeColor="text1"/>
                <w:szCs w:val="18"/>
              </w:rPr>
            </w:pPr>
            <w:r w:rsidRPr="00286216">
              <w:rPr>
                <w:color w:val="000000" w:themeColor="text1"/>
                <w:szCs w:val="18"/>
              </w:rPr>
              <w:t>В абзаці 1 частині 1 статті 78 слова «</w:t>
            </w:r>
            <w:r w:rsidRPr="00286216">
              <w:rPr>
                <w:color w:val="000000" w:themeColor="text1"/>
              </w:rPr>
              <w:t xml:space="preserve">про </w:t>
            </w:r>
            <w:r w:rsidRPr="00286216">
              <w:rPr>
                <w:color w:val="000000" w:themeColor="text1"/>
              </w:rPr>
              <w:lastRenderedPageBreak/>
              <w:t>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виключити.</w:t>
            </w:r>
          </w:p>
        </w:tc>
        <w:tc>
          <w:tcPr>
            <w:tcW w:w="1987" w:type="dxa"/>
          </w:tcPr>
          <w:p w14:paraId="17473472"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lastRenderedPageBreak/>
              <w:t>Враховано</w:t>
            </w:r>
          </w:p>
          <w:p w14:paraId="47EE6694" w14:textId="21B3BEA6"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1FE20B31" w14:textId="184AAC35" w:rsidR="006507E8" w:rsidRPr="00286216" w:rsidRDefault="006507E8" w:rsidP="006507E8">
            <w:pPr>
              <w:pStyle w:val="StyleZakonu"/>
              <w:rPr>
                <w:color w:val="000000" w:themeColor="text1"/>
              </w:rPr>
            </w:pPr>
            <w:r w:rsidRPr="00286216">
              <w:rPr>
                <w:color w:val="000000" w:themeColor="text1"/>
              </w:rPr>
              <w:t xml:space="preserve">1. Особи, які провадять діяльність з розповсюдження в режимі безперервного оновлення консолідованої інформації повинні мати погоджені Національною комісією з цінних паперів та </w:t>
            </w:r>
            <w:r w:rsidRPr="00286216">
              <w:rPr>
                <w:color w:val="000000" w:themeColor="text1"/>
              </w:rPr>
              <w:lastRenderedPageBreak/>
              <w:t>фондового ринку внутрішні правила та відповідні процедури, які забезпечують збирання всієї оприлюдненої відповідно до статті 124 цього Закону регульованої інформації, її консолідацію в безперервний оновлюваний електронний потік інформації та оприлюднення в режимі, максимально технічно наближеному до реального часу, на комерційній основі, з урахуванням вимог абзацу другого цієї частини.</w:t>
            </w:r>
          </w:p>
        </w:tc>
      </w:tr>
      <w:tr w:rsidR="006507E8" w:rsidRPr="00286216" w14:paraId="1B23E3D0" w14:textId="77777777" w:rsidTr="00091AA5">
        <w:tc>
          <w:tcPr>
            <w:tcW w:w="576" w:type="dxa"/>
          </w:tcPr>
          <w:p w14:paraId="0DB473C6" w14:textId="77777777" w:rsidR="006507E8" w:rsidRPr="00286216" w:rsidRDefault="006507E8" w:rsidP="006507E8">
            <w:pPr>
              <w:pStyle w:val="StyleWisnow"/>
              <w:rPr>
                <w:color w:val="000000" w:themeColor="text1"/>
              </w:rPr>
            </w:pPr>
            <w:bookmarkStart w:id="1101" w:name="n1366" w:colFirst="0" w:colLast="0"/>
            <w:bookmarkEnd w:id="1100"/>
            <w:r w:rsidRPr="00286216">
              <w:rPr>
                <w:color w:val="000000" w:themeColor="text1"/>
              </w:rPr>
              <w:lastRenderedPageBreak/>
              <w:t>1366.</w:t>
            </w:r>
          </w:p>
        </w:tc>
        <w:tc>
          <w:tcPr>
            <w:tcW w:w="4818" w:type="dxa"/>
          </w:tcPr>
          <w:p w14:paraId="5ECA3371" w14:textId="77777777" w:rsidR="006507E8" w:rsidRPr="00286216" w:rsidRDefault="006507E8" w:rsidP="006507E8">
            <w:pPr>
              <w:pStyle w:val="StyleZakonu"/>
              <w:rPr>
                <w:color w:val="000000" w:themeColor="text1"/>
              </w:rPr>
            </w:pPr>
            <w:r w:rsidRPr="00286216">
              <w:rPr>
                <w:color w:val="000000" w:themeColor="text1"/>
              </w:rPr>
              <w:t>Консолідована в безперервний оновлюваний електронний потік інформація має бути доступною для будь-яких юридичних та фізичних осіб на безоплатній основі не пізніше ніж через 15 хвилин після її оприлюднення.</w:t>
            </w:r>
          </w:p>
        </w:tc>
        <w:tc>
          <w:tcPr>
            <w:tcW w:w="3686" w:type="dxa"/>
          </w:tcPr>
          <w:p w14:paraId="0E245EF4" w14:textId="081E83DA" w:rsidR="006507E8" w:rsidRPr="00286216" w:rsidRDefault="006507E8" w:rsidP="006507E8">
            <w:pPr>
              <w:pStyle w:val="StyleProp"/>
              <w:rPr>
                <w:color w:val="000000" w:themeColor="text1"/>
                <w:szCs w:val="18"/>
              </w:rPr>
            </w:pPr>
          </w:p>
        </w:tc>
        <w:tc>
          <w:tcPr>
            <w:tcW w:w="1987" w:type="dxa"/>
          </w:tcPr>
          <w:p w14:paraId="245B7582" w14:textId="6D425932" w:rsidR="006507E8" w:rsidRPr="00286216" w:rsidRDefault="006507E8" w:rsidP="006507E8">
            <w:pPr>
              <w:pStyle w:val="StyleWisnow"/>
              <w:rPr>
                <w:color w:val="000000" w:themeColor="text1"/>
              </w:rPr>
            </w:pPr>
          </w:p>
        </w:tc>
        <w:tc>
          <w:tcPr>
            <w:tcW w:w="4818" w:type="dxa"/>
          </w:tcPr>
          <w:p w14:paraId="63B7BEE9" w14:textId="09B196B4" w:rsidR="006507E8" w:rsidRPr="00286216" w:rsidRDefault="006507E8" w:rsidP="006507E8">
            <w:pPr>
              <w:pStyle w:val="StyleZakonu"/>
              <w:rPr>
                <w:color w:val="000000" w:themeColor="text1"/>
              </w:rPr>
            </w:pPr>
            <w:r w:rsidRPr="00286216">
              <w:rPr>
                <w:color w:val="000000" w:themeColor="text1"/>
              </w:rPr>
              <w:t>Консолідована в безперервний оновлюваний електронний потік інформація має бути доступною для будь-яких юридичних та фізичних осіб на безоплатній основі не пізніше ніж через 15 хвилин після її оприлюднення.</w:t>
            </w:r>
          </w:p>
        </w:tc>
      </w:tr>
      <w:tr w:rsidR="006507E8" w:rsidRPr="00286216" w14:paraId="6AA8428F" w14:textId="77777777" w:rsidTr="00091AA5">
        <w:tc>
          <w:tcPr>
            <w:tcW w:w="576" w:type="dxa"/>
          </w:tcPr>
          <w:p w14:paraId="4AE75D02" w14:textId="77777777" w:rsidR="006507E8" w:rsidRPr="00286216" w:rsidRDefault="006507E8" w:rsidP="006507E8">
            <w:pPr>
              <w:pStyle w:val="StyleWisnow"/>
              <w:rPr>
                <w:color w:val="000000" w:themeColor="text1"/>
              </w:rPr>
            </w:pPr>
            <w:bookmarkStart w:id="1102" w:name="n1367" w:colFirst="0" w:colLast="0"/>
            <w:bookmarkEnd w:id="1101"/>
            <w:r w:rsidRPr="00286216">
              <w:rPr>
                <w:color w:val="000000" w:themeColor="text1"/>
              </w:rPr>
              <w:t>1367.</w:t>
            </w:r>
          </w:p>
        </w:tc>
        <w:tc>
          <w:tcPr>
            <w:tcW w:w="4818" w:type="dxa"/>
          </w:tcPr>
          <w:p w14:paraId="28E7E347" w14:textId="77777777" w:rsidR="006507E8" w:rsidRPr="00286216" w:rsidRDefault="006507E8" w:rsidP="006507E8">
            <w:pPr>
              <w:pStyle w:val="StyleZakonu"/>
              <w:rPr>
                <w:color w:val="000000" w:themeColor="text1"/>
              </w:rPr>
            </w:pPr>
            <w:r w:rsidRPr="00286216">
              <w:rPr>
                <w:color w:val="000000" w:themeColor="text1"/>
              </w:rPr>
              <w:t>Вимоги до змісту потоку такої інформації встановлюються Національною комісією з цінних паперів та фондового ринку.</w:t>
            </w:r>
          </w:p>
        </w:tc>
        <w:tc>
          <w:tcPr>
            <w:tcW w:w="3686" w:type="dxa"/>
          </w:tcPr>
          <w:p w14:paraId="6306F48E" w14:textId="77777777" w:rsidR="006507E8" w:rsidRPr="00286216" w:rsidRDefault="006507E8" w:rsidP="006507E8">
            <w:pPr>
              <w:pStyle w:val="StyleProp"/>
              <w:rPr>
                <w:color w:val="000000" w:themeColor="text1"/>
                <w:szCs w:val="18"/>
              </w:rPr>
            </w:pPr>
          </w:p>
        </w:tc>
        <w:tc>
          <w:tcPr>
            <w:tcW w:w="1987" w:type="dxa"/>
          </w:tcPr>
          <w:p w14:paraId="1CE0DCA8" w14:textId="77777777" w:rsidR="006507E8" w:rsidRPr="00286216" w:rsidRDefault="006507E8" w:rsidP="006507E8">
            <w:pPr>
              <w:pStyle w:val="StyleWisnow"/>
              <w:rPr>
                <w:color w:val="000000" w:themeColor="text1"/>
              </w:rPr>
            </w:pPr>
          </w:p>
        </w:tc>
        <w:tc>
          <w:tcPr>
            <w:tcW w:w="4818" w:type="dxa"/>
          </w:tcPr>
          <w:p w14:paraId="797DD02D" w14:textId="7FA828AB" w:rsidR="006507E8" w:rsidRPr="00286216" w:rsidRDefault="006507E8" w:rsidP="006507E8">
            <w:pPr>
              <w:pStyle w:val="StyleZakonu"/>
              <w:rPr>
                <w:color w:val="000000" w:themeColor="text1"/>
              </w:rPr>
            </w:pPr>
            <w:r w:rsidRPr="00286216">
              <w:rPr>
                <w:color w:val="000000" w:themeColor="text1"/>
              </w:rPr>
              <w:t>Вимоги до змісту потоку такої інформації встановлюються Національною комісією з цінних паперів та фондового ринку.</w:t>
            </w:r>
          </w:p>
        </w:tc>
      </w:tr>
      <w:tr w:rsidR="006507E8" w:rsidRPr="00286216" w14:paraId="5CC46E35" w14:textId="77777777" w:rsidTr="00091AA5">
        <w:tc>
          <w:tcPr>
            <w:tcW w:w="576" w:type="dxa"/>
          </w:tcPr>
          <w:p w14:paraId="540E5DA9" w14:textId="77777777" w:rsidR="006507E8" w:rsidRPr="00286216" w:rsidRDefault="006507E8" w:rsidP="006507E8">
            <w:pPr>
              <w:pStyle w:val="StyleWisnow"/>
              <w:rPr>
                <w:color w:val="000000" w:themeColor="text1"/>
              </w:rPr>
            </w:pPr>
            <w:bookmarkStart w:id="1103" w:name="n1368" w:colFirst="0" w:colLast="0"/>
            <w:bookmarkEnd w:id="1102"/>
            <w:r w:rsidRPr="00286216">
              <w:rPr>
                <w:color w:val="000000" w:themeColor="text1"/>
              </w:rPr>
              <w:t>1368.</w:t>
            </w:r>
          </w:p>
        </w:tc>
        <w:tc>
          <w:tcPr>
            <w:tcW w:w="4818" w:type="dxa"/>
          </w:tcPr>
          <w:p w14:paraId="462C03F2" w14:textId="77777777" w:rsidR="006507E8" w:rsidRPr="00286216" w:rsidRDefault="006507E8" w:rsidP="006507E8">
            <w:pPr>
              <w:pStyle w:val="StyleZakonu"/>
              <w:rPr>
                <w:color w:val="000000" w:themeColor="text1"/>
              </w:rPr>
            </w:pPr>
            <w:r w:rsidRPr="00286216">
              <w:rPr>
                <w:color w:val="000000" w:themeColor="text1"/>
              </w:rPr>
              <w:t>2. Програмно-технічні комплекси, що використовуються при провадженні діяльності з розповсюдження в режимі безперервного оновлення консолідованої інформації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повинні відповідати вимогам, встановленим Національної комісії з цінних паперів та фондового ринку, забезпечувати ефективне та безперервне поширення інформації через швидкий доступ до цієї інформації на недискримінаційній основі та безперешкодне використання цієї інформації учасниками ринків капіталу та організованих товарних ринків.</w:t>
            </w:r>
          </w:p>
        </w:tc>
        <w:tc>
          <w:tcPr>
            <w:tcW w:w="3686" w:type="dxa"/>
          </w:tcPr>
          <w:p w14:paraId="7CBD6C2B" w14:textId="35E0D567"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842</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21A035CE" w14:textId="12370B9E" w:rsidR="006507E8" w:rsidRPr="00286216" w:rsidRDefault="006507E8" w:rsidP="006507E8">
            <w:pPr>
              <w:pStyle w:val="StyleProp"/>
              <w:rPr>
                <w:color w:val="000000" w:themeColor="text1"/>
                <w:szCs w:val="18"/>
              </w:rPr>
            </w:pPr>
            <w:r w:rsidRPr="00286216">
              <w:rPr>
                <w:color w:val="000000" w:themeColor="text1"/>
              </w:rPr>
              <w:t>В абзаці першому частині 2 статті 78 слова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виключити.</w:t>
            </w:r>
          </w:p>
        </w:tc>
        <w:tc>
          <w:tcPr>
            <w:tcW w:w="1987" w:type="dxa"/>
          </w:tcPr>
          <w:p w14:paraId="2E7E8BBF"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1A3CDFFA" w14:textId="47C3F142" w:rsidR="006507E8" w:rsidRPr="00286216" w:rsidRDefault="006507E8" w:rsidP="006507E8">
            <w:pPr>
              <w:pStyle w:val="StyleWisnow"/>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2C693FE1" w14:textId="6C654A6A" w:rsidR="006507E8" w:rsidRPr="00286216" w:rsidRDefault="006507E8" w:rsidP="006507E8">
            <w:pPr>
              <w:pStyle w:val="StyleZakonu"/>
              <w:rPr>
                <w:color w:val="000000" w:themeColor="text1"/>
              </w:rPr>
            </w:pPr>
            <w:r w:rsidRPr="00286216">
              <w:rPr>
                <w:color w:val="000000" w:themeColor="text1"/>
              </w:rPr>
              <w:t>2. Програмно-технічні комплекси, що використовуються при провадженні діяльності з розповсюдження в режимі безперервного оновлення консолідованої інформації, повинні відповідати вимогам, встановленим Національною комісією з цінних паперів та фондового ринку, забезпечувати ефективне та безперервне поширення інформації через швидкий доступ до неї на недискримінаційній основі та безперешкодне використання цієї інформації учасниками ринків капіталу та організованих товарних ринків.</w:t>
            </w:r>
          </w:p>
        </w:tc>
      </w:tr>
      <w:tr w:rsidR="006507E8" w:rsidRPr="00286216" w14:paraId="6B01479C" w14:textId="77777777" w:rsidTr="00091AA5">
        <w:tc>
          <w:tcPr>
            <w:tcW w:w="576" w:type="dxa"/>
          </w:tcPr>
          <w:p w14:paraId="76C4CE6D" w14:textId="77777777" w:rsidR="006507E8" w:rsidRPr="00286216" w:rsidRDefault="006507E8" w:rsidP="006507E8">
            <w:pPr>
              <w:pStyle w:val="StyleWisnow"/>
              <w:rPr>
                <w:color w:val="000000" w:themeColor="text1"/>
              </w:rPr>
            </w:pPr>
            <w:bookmarkStart w:id="1104" w:name="n1369" w:colFirst="0" w:colLast="0"/>
            <w:bookmarkEnd w:id="1103"/>
            <w:r w:rsidRPr="00286216">
              <w:rPr>
                <w:color w:val="000000" w:themeColor="text1"/>
              </w:rPr>
              <w:t>1369.</w:t>
            </w:r>
          </w:p>
        </w:tc>
        <w:tc>
          <w:tcPr>
            <w:tcW w:w="4818" w:type="dxa"/>
          </w:tcPr>
          <w:p w14:paraId="7730305E" w14:textId="700F40F7" w:rsidR="006507E8" w:rsidRPr="00286216" w:rsidRDefault="006507E8" w:rsidP="006507E8">
            <w:pPr>
              <w:pStyle w:val="StyleZakonu"/>
              <w:rPr>
                <w:color w:val="000000" w:themeColor="text1"/>
              </w:rPr>
            </w:pPr>
            <w:r w:rsidRPr="00286216">
              <w:rPr>
                <w:color w:val="000000" w:themeColor="text1"/>
              </w:rPr>
              <w:t xml:space="preserve">Такі програмно-технічні комплекси повинні забезпечувати можливість оприлюднення інформації у формі відкритих даних. При цьому вимоги абзацу другого частини першої статті 10 </w:t>
            </w:r>
            <w:r w:rsidRPr="00286216">
              <w:rPr>
                <w:color w:val="000000" w:themeColor="text1"/>
                <w:vertAlign w:val="superscript"/>
              </w:rPr>
              <w:t>1</w:t>
            </w:r>
            <w:r w:rsidRPr="00286216">
              <w:rPr>
                <w:color w:val="000000" w:themeColor="text1"/>
              </w:rPr>
              <w:t xml:space="preserve"> Закону України "Про доступ до публічної інформації" не застосовуються до осіб, які провадять діяльність з розповсюдження в режимі безперервного оновлення </w:t>
            </w:r>
            <w:r w:rsidRPr="00286216">
              <w:rPr>
                <w:color w:val="000000" w:themeColor="text1"/>
              </w:rPr>
              <w:lastRenderedPageBreak/>
              <w:t>консолідованої інформації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w:t>
            </w:r>
          </w:p>
        </w:tc>
        <w:tc>
          <w:tcPr>
            <w:tcW w:w="3686" w:type="dxa"/>
          </w:tcPr>
          <w:p w14:paraId="74AEC026" w14:textId="59A2E9A6" w:rsidR="006507E8" w:rsidRPr="00286216" w:rsidRDefault="006507E8" w:rsidP="006507E8">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843</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0EBC8142" w14:textId="0438880D" w:rsidR="006507E8" w:rsidRPr="00286216" w:rsidRDefault="006507E8" w:rsidP="006507E8">
            <w:pPr>
              <w:pStyle w:val="StyleProp"/>
              <w:rPr>
                <w:color w:val="000000" w:themeColor="text1"/>
                <w:szCs w:val="18"/>
              </w:rPr>
            </w:pPr>
            <w:r w:rsidRPr="00286216">
              <w:rPr>
                <w:color w:val="000000" w:themeColor="text1"/>
              </w:rPr>
              <w:t xml:space="preserve">В абзаці другому частини 2 статті 78 слова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w:t>
            </w:r>
            <w:r w:rsidRPr="00286216">
              <w:rPr>
                <w:color w:val="000000" w:themeColor="text1"/>
              </w:rPr>
              <w:lastRenderedPageBreak/>
              <w:t>організованих товарних ринків» виключити.</w:t>
            </w:r>
          </w:p>
        </w:tc>
        <w:tc>
          <w:tcPr>
            <w:tcW w:w="1987" w:type="dxa"/>
          </w:tcPr>
          <w:p w14:paraId="174FB307"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lastRenderedPageBreak/>
              <w:t>Враховано</w:t>
            </w:r>
          </w:p>
          <w:p w14:paraId="70B7853C" w14:textId="6793C91D"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4B7F3AD8" w14:textId="5510E63F" w:rsidR="006507E8" w:rsidRPr="00286216" w:rsidRDefault="006507E8" w:rsidP="006507E8">
            <w:pPr>
              <w:pStyle w:val="StyleZakonu"/>
              <w:rPr>
                <w:color w:val="000000" w:themeColor="text1"/>
              </w:rPr>
            </w:pPr>
            <w:r w:rsidRPr="00286216">
              <w:rPr>
                <w:color w:val="000000" w:themeColor="text1"/>
              </w:rPr>
              <w:t>Такі програмно-технічні комплекси повинні забезпечувати можливість оприлюднення інформації у формі відкритих даних. При цьому вимоги абзацу другого частини першої статті 10</w:t>
            </w:r>
            <w:r w:rsidRPr="00286216">
              <w:rPr>
                <w:color w:val="000000" w:themeColor="text1"/>
                <w:vertAlign w:val="superscript"/>
              </w:rPr>
              <w:t>1</w:t>
            </w:r>
            <w:r w:rsidRPr="00286216">
              <w:rPr>
                <w:color w:val="000000" w:themeColor="text1"/>
              </w:rPr>
              <w:t xml:space="preserve"> Закону України "Про доступ до публічної інформації" не застосовуються до осіб, які провадять діяльність з розповсюдження в режимі безперервного оновлення </w:t>
            </w:r>
            <w:r w:rsidRPr="00286216">
              <w:rPr>
                <w:color w:val="000000" w:themeColor="text1"/>
              </w:rPr>
              <w:lastRenderedPageBreak/>
              <w:t>консолідованої інформації.</w:t>
            </w:r>
          </w:p>
        </w:tc>
      </w:tr>
      <w:tr w:rsidR="006507E8" w:rsidRPr="00286216" w14:paraId="78B80301" w14:textId="77777777" w:rsidTr="00091AA5">
        <w:tc>
          <w:tcPr>
            <w:tcW w:w="576" w:type="dxa"/>
          </w:tcPr>
          <w:p w14:paraId="2B250F07" w14:textId="77777777" w:rsidR="006507E8" w:rsidRPr="00286216" w:rsidRDefault="006507E8" w:rsidP="006507E8">
            <w:pPr>
              <w:pStyle w:val="StyleWisnow"/>
              <w:rPr>
                <w:color w:val="000000" w:themeColor="text1"/>
              </w:rPr>
            </w:pPr>
            <w:bookmarkStart w:id="1105" w:name="n1370" w:colFirst="0" w:colLast="0"/>
            <w:bookmarkEnd w:id="1104"/>
            <w:r w:rsidRPr="00286216">
              <w:rPr>
                <w:color w:val="000000" w:themeColor="text1"/>
              </w:rPr>
              <w:lastRenderedPageBreak/>
              <w:t>1370.</w:t>
            </w:r>
          </w:p>
        </w:tc>
        <w:tc>
          <w:tcPr>
            <w:tcW w:w="4818" w:type="dxa"/>
          </w:tcPr>
          <w:p w14:paraId="47BE53FD" w14:textId="77777777" w:rsidR="006507E8" w:rsidRPr="00286216" w:rsidRDefault="006507E8" w:rsidP="006507E8">
            <w:pPr>
              <w:pStyle w:val="StyleZakonu"/>
              <w:rPr>
                <w:color w:val="000000" w:themeColor="text1"/>
              </w:rPr>
            </w:pPr>
            <w:r w:rsidRPr="00286216">
              <w:rPr>
                <w:color w:val="000000" w:themeColor="text1"/>
              </w:rPr>
              <w:t>3. Особи, які провадять діяльність з розповсюдження в режимі безперервного оновлення консолідованої інформації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крім консолідації регульованої інформації, повинні також забезпечувати консолідацію зі всіх організованих ринків інформації, яка має розкриватись операторами таких ринків відповідно до вимог законодавства.</w:t>
            </w:r>
          </w:p>
        </w:tc>
        <w:tc>
          <w:tcPr>
            <w:tcW w:w="3686" w:type="dxa"/>
          </w:tcPr>
          <w:p w14:paraId="7FEFFC84" w14:textId="13DD0BBD"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844</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6BA8DF95" w14:textId="28606D0B" w:rsidR="006507E8" w:rsidRPr="00286216" w:rsidRDefault="006507E8" w:rsidP="006507E8">
            <w:pPr>
              <w:pStyle w:val="StyleProp"/>
              <w:rPr>
                <w:color w:val="000000" w:themeColor="text1"/>
                <w:szCs w:val="18"/>
              </w:rPr>
            </w:pPr>
            <w:r w:rsidRPr="00286216">
              <w:rPr>
                <w:color w:val="000000" w:themeColor="text1"/>
              </w:rPr>
              <w:t>В частині 3 статті 78 слова «про активи, допущені до торгів на організованому ринку, фінансові інструменти та/або учасників ринків капіталу та/або професійних учасників ринків капіталу та організованих товарних ринків» виключити.</w:t>
            </w:r>
          </w:p>
        </w:tc>
        <w:tc>
          <w:tcPr>
            <w:tcW w:w="1987" w:type="dxa"/>
          </w:tcPr>
          <w:p w14:paraId="79F31F61"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48964CB1" w14:textId="7F07C0AC"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4908FBFD" w14:textId="1FCBC3AF" w:rsidR="006507E8" w:rsidRPr="00286216" w:rsidRDefault="006507E8" w:rsidP="006507E8">
            <w:pPr>
              <w:pStyle w:val="StyleZakonu"/>
              <w:rPr>
                <w:color w:val="000000" w:themeColor="text1"/>
              </w:rPr>
            </w:pPr>
            <w:r w:rsidRPr="00286216">
              <w:rPr>
                <w:color w:val="000000" w:themeColor="text1"/>
              </w:rPr>
              <w:t>3. Особи, які провадять діяльність з розповсюдження в режимі безперервного оновлення консолідованої інформації, крім консолідації регульованої інформації, повинні також забезпечувати консолідацію з усіх організованих ринків інформації, що має розкриватися операторами таких ринків відповідно до вимог законодавства.</w:t>
            </w:r>
          </w:p>
        </w:tc>
      </w:tr>
      <w:tr w:rsidR="006507E8" w:rsidRPr="00286216" w14:paraId="63FD75E1" w14:textId="77777777" w:rsidTr="00091AA5">
        <w:tc>
          <w:tcPr>
            <w:tcW w:w="576" w:type="dxa"/>
          </w:tcPr>
          <w:p w14:paraId="4658455C" w14:textId="77777777" w:rsidR="006507E8" w:rsidRPr="00286216" w:rsidRDefault="006507E8" w:rsidP="006507E8">
            <w:pPr>
              <w:pStyle w:val="StyleWisnow"/>
              <w:rPr>
                <w:color w:val="000000" w:themeColor="text1"/>
              </w:rPr>
            </w:pPr>
            <w:bookmarkStart w:id="1106" w:name="n1371" w:colFirst="0" w:colLast="0"/>
            <w:bookmarkEnd w:id="1105"/>
            <w:r w:rsidRPr="00286216">
              <w:rPr>
                <w:color w:val="000000" w:themeColor="text1"/>
              </w:rPr>
              <w:t>1371.</w:t>
            </w:r>
          </w:p>
        </w:tc>
        <w:tc>
          <w:tcPr>
            <w:tcW w:w="4818" w:type="dxa"/>
          </w:tcPr>
          <w:p w14:paraId="4369A7F9" w14:textId="77777777" w:rsidR="006507E8" w:rsidRPr="00286216" w:rsidRDefault="006507E8" w:rsidP="006507E8">
            <w:pPr>
              <w:pStyle w:val="StyleZakonu"/>
              <w:rPr>
                <w:color w:val="000000" w:themeColor="text1"/>
              </w:rPr>
            </w:pPr>
            <w:r w:rsidRPr="00286216">
              <w:rPr>
                <w:color w:val="000000" w:themeColor="text1"/>
              </w:rPr>
              <w:t>Стаття 79. Вимоги до діяльності з подання звітності та/або адміністративних даних до Національної комісії з цінних паперів та фондового ринку</w:t>
            </w:r>
          </w:p>
        </w:tc>
        <w:tc>
          <w:tcPr>
            <w:tcW w:w="3686" w:type="dxa"/>
          </w:tcPr>
          <w:p w14:paraId="43AE98C6" w14:textId="114FE172"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845</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475DD539" w14:textId="2AC09794" w:rsidR="006507E8" w:rsidRPr="00286216" w:rsidRDefault="006507E8" w:rsidP="006507E8">
            <w:pPr>
              <w:pStyle w:val="StyleProp"/>
              <w:rPr>
                <w:color w:val="000000" w:themeColor="text1"/>
                <w:szCs w:val="18"/>
              </w:rPr>
            </w:pPr>
            <w:r w:rsidRPr="00286216">
              <w:rPr>
                <w:color w:val="000000" w:themeColor="text1"/>
              </w:rPr>
              <w:t>В назві статті 79 слова «звітності та/або адміністративних даних» замінити словами «звітних даних».</w:t>
            </w:r>
          </w:p>
        </w:tc>
        <w:tc>
          <w:tcPr>
            <w:tcW w:w="1987" w:type="dxa"/>
          </w:tcPr>
          <w:p w14:paraId="3ADEC94B"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75C9B668" w14:textId="0FDD0935"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5667B7A7" w14:textId="24733FF4" w:rsidR="006507E8" w:rsidRPr="00286216" w:rsidRDefault="006507E8" w:rsidP="006507E8">
            <w:pPr>
              <w:pStyle w:val="StyleZakonu"/>
              <w:rPr>
                <w:color w:val="000000" w:themeColor="text1"/>
              </w:rPr>
            </w:pPr>
            <w:r w:rsidRPr="00286216">
              <w:rPr>
                <w:color w:val="000000" w:themeColor="text1"/>
              </w:rPr>
              <w:t>Стаття 83. Вимоги до діяльності з подання звітних даних до Національної комісії з цінних паперів та фондового ринку</w:t>
            </w:r>
          </w:p>
        </w:tc>
      </w:tr>
      <w:tr w:rsidR="006507E8" w:rsidRPr="00286216" w14:paraId="28FCCE50" w14:textId="77777777" w:rsidTr="00091AA5">
        <w:tc>
          <w:tcPr>
            <w:tcW w:w="576" w:type="dxa"/>
          </w:tcPr>
          <w:p w14:paraId="0DA02E61" w14:textId="77777777" w:rsidR="006507E8" w:rsidRPr="00286216" w:rsidRDefault="006507E8" w:rsidP="006507E8">
            <w:pPr>
              <w:pStyle w:val="StyleWisnow"/>
              <w:rPr>
                <w:color w:val="000000" w:themeColor="text1"/>
              </w:rPr>
            </w:pPr>
            <w:bookmarkStart w:id="1107" w:name="n1372" w:colFirst="0" w:colLast="0"/>
            <w:bookmarkEnd w:id="1106"/>
            <w:r w:rsidRPr="00286216">
              <w:rPr>
                <w:color w:val="000000" w:themeColor="text1"/>
              </w:rPr>
              <w:t>1372.</w:t>
            </w:r>
          </w:p>
        </w:tc>
        <w:tc>
          <w:tcPr>
            <w:tcW w:w="4818" w:type="dxa"/>
          </w:tcPr>
          <w:p w14:paraId="551FF975" w14:textId="77777777" w:rsidR="006507E8" w:rsidRPr="00286216" w:rsidRDefault="006507E8" w:rsidP="006507E8">
            <w:pPr>
              <w:pStyle w:val="StyleZakonu"/>
              <w:rPr>
                <w:color w:val="000000" w:themeColor="text1"/>
              </w:rPr>
            </w:pPr>
            <w:r w:rsidRPr="00286216">
              <w:rPr>
                <w:color w:val="000000" w:themeColor="text1"/>
              </w:rPr>
              <w:t>1. Особи, які провадять діяльність з подання звітності та/або адміністративних даних до Національної комісії з цінних паперів та фондового ринку, повинні мати погодженні Національною комісією з цінних паперів та фондового ринку внутрішні правила та відповідні процедури, які забезпечують подання відповідної інформації якомога швидше, але в будь-якому разі не пізніше завершення робочого дня, протягом якого виникла така інформація.</w:t>
            </w:r>
          </w:p>
        </w:tc>
        <w:tc>
          <w:tcPr>
            <w:tcW w:w="3686" w:type="dxa"/>
          </w:tcPr>
          <w:p w14:paraId="282C35D9" w14:textId="53230F5E"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846</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46B1DC83" w14:textId="7922A377" w:rsidR="006507E8" w:rsidRPr="00286216" w:rsidRDefault="006507E8" w:rsidP="006507E8">
            <w:pPr>
              <w:pStyle w:val="StyleProp"/>
              <w:rPr>
                <w:color w:val="000000" w:themeColor="text1"/>
                <w:szCs w:val="18"/>
              </w:rPr>
            </w:pPr>
            <w:r w:rsidRPr="00286216">
              <w:rPr>
                <w:color w:val="000000" w:themeColor="text1"/>
              </w:rPr>
              <w:t>В абзаці першому частини 1 статті 79 слова «звітності та/або адміністративних даних» замінити словами «звітних даних»</w:t>
            </w:r>
          </w:p>
        </w:tc>
        <w:tc>
          <w:tcPr>
            <w:tcW w:w="1987" w:type="dxa"/>
          </w:tcPr>
          <w:p w14:paraId="6B8CA7C5"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306573B8" w14:textId="0E0D32A5"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3F15236C" w14:textId="04FF6E2E" w:rsidR="006507E8" w:rsidRPr="00286216" w:rsidRDefault="006507E8" w:rsidP="006507E8">
            <w:pPr>
              <w:pStyle w:val="StyleZakonu"/>
              <w:rPr>
                <w:color w:val="000000" w:themeColor="text1"/>
              </w:rPr>
            </w:pPr>
            <w:r w:rsidRPr="00286216">
              <w:rPr>
                <w:color w:val="000000" w:themeColor="text1"/>
              </w:rPr>
              <w:t>1. Особи, які провадять діяльність з подання звітних даних до Національної комісії з цінних паперів та фондового ринку, повинні мати погоджені Національною комісією з цінних паперів та фондового ринку внутрішні правила та відповідні процедури, які забезпечують подання відповідної інформації якомога швидше, але в будь-якому разі не пізніше завершення робочого дня, протягом якого виникла така інформація.</w:t>
            </w:r>
          </w:p>
        </w:tc>
      </w:tr>
      <w:tr w:rsidR="006507E8" w:rsidRPr="00286216" w14:paraId="4FD6D772" w14:textId="77777777" w:rsidTr="00091AA5">
        <w:tc>
          <w:tcPr>
            <w:tcW w:w="576" w:type="dxa"/>
          </w:tcPr>
          <w:p w14:paraId="05839202" w14:textId="77777777" w:rsidR="006507E8" w:rsidRPr="00286216" w:rsidRDefault="006507E8" w:rsidP="006507E8">
            <w:pPr>
              <w:pStyle w:val="StyleWisnow"/>
              <w:rPr>
                <w:color w:val="000000" w:themeColor="text1"/>
              </w:rPr>
            </w:pPr>
            <w:bookmarkStart w:id="1108" w:name="n1373" w:colFirst="0" w:colLast="0"/>
            <w:bookmarkEnd w:id="1107"/>
            <w:r w:rsidRPr="00286216">
              <w:rPr>
                <w:color w:val="000000" w:themeColor="text1"/>
              </w:rPr>
              <w:t>1373.</w:t>
            </w:r>
          </w:p>
        </w:tc>
        <w:tc>
          <w:tcPr>
            <w:tcW w:w="4818" w:type="dxa"/>
          </w:tcPr>
          <w:p w14:paraId="2384FA05" w14:textId="77777777" w:rsidR="006507E8" w:rsidRPr="00286216" w:rsidRDefault="006507E8" w:rsidP="006507E8">
            <w:pPr>
              <w:pStyle w:val="StyleZakonu"/>
              <w:rPr>
                <w:color w:val="000000" w:themeColor="text1"/>
              </w:rPr>
            </w:pPr>
            <w:r w:rsidRPr="00286216">
              <w:rPr>
                <w:color w:val="000000" w:themeColor="text1"/>
              </w:rPr>
              <w:t>Порядок подання інформації особами, які провадять діяльність з подання звітності та/або адміністративних даних до Національної комісії з цінних паперів та фондового ринку, встановлюється Національною комісією з цінних паперів та фондового ринку.</w:t>
            </w:r>
          </w:p>
        </w:tc>
        <w:tc>
          <w:tcPr>
            <w:tcW w:w="3686" w:type="dxa"/>
          </w:tcPr>
          <w:p w14:paraId="6A9EA882" w14:textId="4CD2F84C" w:rsidR="006507E8" w:rsidRPr="00286216" w:rsidRDefault="006507E8" w:rsidP="006507E8">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847</w:t>
            </w:r>
            <w:r w:rsidRPr="00286216">
              <w:rPr>
                <w:color w:val="000000" w:themeColor="text1"/>
                <w:spacing w:val="-2"/>
              </w:rPr>
              <w:fldChar w:fldCharType="end"/>
            </w:r>
            <w:r w:rsidRPr="00286216">
              <w:rPr>
                <w:color w:val="000000" w:themeColor="text1"/>
                <w:spacing w:val="-2"/>
              </w:rPr>
              <w:t xml:space="preserve">-Народні депутати </w:t>
            </w:r>
            <w:r w:rsidRPr="00286216">
              <w:rPr>
                <w:color w:val="000000" w:themeColor="text1"/>
                <w:spacing w:val="-4"/>
              </w:rPr>
              <w:t xml:space="preserve">України </w:t>
            </w:r>
            <w:r w:rsidRPr="00286216">
              <w:rPr>
                <w:color w:val="000000" w:themeColor="text1"/>
                <w:spacing w:val="-2"/>
              </w:rPr>
              <w:t>– члени Комітету з питань фінансів, податкової та митної політики Гетманцев Д.О. та інші</w:t>
            </w:r>
          </w:p>
          <w:p w14:paraId="3F785A7F" w14:textId="499F5850" w:rsidR="006507E8" w:rsidRPr="00286216" w:rsidRDefault="006507E8" w:rsidP="006507E8">
            <w:pPr>
              <w:pStyle w:val="StyleProp"/>
              <w:rPr>
                <w:color w:val="000000" w:themeColor="text1"/>
                <w:szCs w:val="18"/>
              </w:rPr>
            </w:pPr>
            <w:r w:rsidRPr="00286216">
              <w:rPr>
                <w:color w:val="000000" w:themeColor="text1"/>
              </w:rPr>
              <w:t>В абзаці другому частини 1 статті 79 слова «звітності та/або адміністративних даних» замінити словами «звітних даних»</w:t>
            </w:r>
          </w:p>
        </w:tc>
        <w:tc>
          <w:tcPr>
            <w:tcW w:w="1987" w:type="dxa"/>
          </w:tcPr>
          <w:p w14:paraId="7450B7F9"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07349B53" w14:textId="57AEBDA6"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083762D2" w14:textId="6E29463A" w:rsidR="006507E8" w:rsidRPr="00286216" w:rsidRDefault="006507E8" w:rsidP="006507E8">
            <w:pPr>
              <w:pStyle w:val="StyleZakonu"/>
              <w:rPr>
                <w:color w:val="000000" w:themeColor="text1"/>
              </w:rPr>
            </w:pPr>
            <w:r w:rsidRPr="00286216">
              <w:rPr>
                <w:color w:val="000000" w:themeColor="text1"/>
              </w:rPr>
              <w:t>Порядок подання інформації особами, які провадять діяльність з подання звітних даних до Національної комісії з цінних паперів та фондового ринку, встановлюється Національною комісією з цінних паперів та фондового ринку.</w:t>
            </w:r>
          </w:p>
        </w:tc>
      </w:tr>
      <w:tr w:rsidR="006507E8" w:rsidRPr="00286216" w14:paraId="4482E4CF" w14:textId="77777777" w:rsidTr="00091AA5">
        <w:tc>
          <w:tcPr>
            <w:tcW w:w="576" w:type="dxa"/>
          </w:tcPr>
          <w:p w14:paraId="0014235C" w14:textId="77777777" w:rsidR="006507E8" w:rsidRPr="00286216" w:rsidRDefault="006507E8" w:rsidP="006507E8">
            <w:pPr>
              <w:pStyle w:val="StyleWisnow"/>
              <w:rPr>
                <w:color w:val="000000" w:themeColor="text1"/>
              </w:rPr>
            </w:pPr>
            <w:bookmarkStart w:id="1109" w:name="n1374" w:colFirst="0" w:colLast="0"/>
            <w:bookmarkEnd w:id="1108"/>
            <w:r w:rsidRPr="00286216">
              <w:rPr>
                <w:color w:val="000000" w:themeColor="text1"/>
              </w:rPr>
              <w:t>1374.</w:t>
            </w:r>
          </w:p>
        </w:tc>
        <w:tc>
          <w:tcPr>
            <w:tcW w:w="4818" w:type="dxa"/>
          </w:tcPr>
          <w:p w14:paraId="1F9D25F7" w14:textId="77777777" w:rsidR="006507E8" w:rsidRPr="00286216" w:rsidRDefault="006507E8" w:rsidP="006507E8">
            <w:pPr>
              <w:pStyle w:val="StyleZakonu"/>
              <w:rPr>
                <w:color w:val="000000" w:themeColor="text1"/>
              </w:rPr>
            </w:pPr>
            <w:r w:rsidRPr="00286216">
              <w:rPr>
                <w:color w:val="000000" w:themeColor="text1"/>
              </w:rPr>
              <w:t xml:space="preserve">2. Програмно-технічні комплекси, що використовуються особами, які провадять діяльність з подання звітності та/або адміністративних даних до Національної комісії з цінних паперів та фондового ринку, повинні забезпечувати ефективну перевірку повноти поданої учасниками ринків капіталу та/або професійними учасниками ринків капіталу та </w:t>
            </w:r>
            <w:r w:rsidRPr="00286216">
              <w:rPr>
                <w:color w:val="000000" w:themeColor="text1"/>
              </w:rPr>
              <w:lastRenderedPageBreak/>
              <w:t>організованих товарних ринків звітності та/або адміністративних даних, виявлення описок та/або очевидних технічних помилок, а також забезпечувати повернення такої звітності та/або даних учасникам ринків капіталу та/або професійним учасникам ринків капіталу та організованих товарних ринків для виправлення та повторного подання.</w:t>
            </w:r>
          </w:p>
        </w:tc>
        <w:tc>
          <w:tcPr>
            <w:tcW w:w="3686" w:type="dxa"/>
          </w:tcPr>
          <w:p w14:paraId="45282E17" w14:textId="281E554A" w:rsidR="006507E8" w:rsidRPr="00286216" w:rsidRDefault="006507E8" w:rsidP="006507E8">
            <w:pPr>
              <w:pStyle w:val="StyleAwt"/>
              <w:rPr>
                <w:color w:val="000000" w:themeColor="text1"/>
                <w:spacing w:val="-3"/>
              </w:rPr>
            </w:pPr>
            <w:r w:rsidRPr="00286216">
              <w:rPr>
                <w:color w:val="000000" w:themeColor="text1"/>
                <w:spacing w:val="-3"/>
              </w:rPr>
              <w:lastRenderedPageBreak/>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848</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7E25EAE2" w14:textId="77777777" w:rsidR="006507E8" w:rsidRPr="00286216" w:rsidRDefault="006507E8" w:rsidP="006507E8">
            <w:pPr>
              <w:pStyle w:val="StyleProp"/>
              <w:spacing w:line="180" w:lineRule="exact"/>
              <w:rPr>
                <w:color w:val="000000" w:themeColor="text1"/>
              </w:rPr>
            </w:pPr>
            <w:r w:rsidRPr="00286216">
              <w:rPr>
                <w:color w:val="000000" w:themeColor="text1"/>
              </w:rPr>
              <w:t>Частину 2 статті 79 викласти в такій редакції:</w:t>
            </w:r>
          </w:p>
          <w:p w14:paraId="6AC62848" w14:textId="247A1C20" w:rsidR="006507E8" w:rsidRPr="00286216" w:rsidRDefault="006507E8" w:rsidP="006507E8">
            <w:pPr>
              <w:pStyle w:val="StyleProp"/>
              <w:spacing w:line="180" w:lineRule="exact"/>
              <w:rPr>
                <w:color w:val="000000" w:themeColor="text1"/>
                <w:szCs w:val="18"/>
              </w:rPr>
            </w:pPr>
            <w:r w:rsidRPr="00286216">
              <w:rPr>
                <w:color w:val="000000" w:themeColor="text1"/>
                <w:spacing w:val="-2"/>
              </w:rPr>
              <w:t xml:space="preserve">"2. Програмно-технічні комплекси, що використовуються особами, які провадять діяльність з подання звітних даних до </w:t>
            </w:r>
            <w:r w:rsidRPr="00286216">
              <w:rPr>
                <w:color w:val="000000" w:themeColor="text1"/>
                <w:spacing w:val="-2"/>
              </w:rPr>
              <w:lastRenderedPageBreak/>
              <w:t>Національної комісії з цінних паперів та фондового ринку, повинні забезпечувати ефективну перевірку повноти поданої учасниками ринків капіталу та організованих товарних ринків звітних даних, виявлення описок та/або очевидних технічних помилок, а також забезпечувати повернення таких звітних даних учасникам ринків капіталу та організованих товарних ринків для виправлення та повторного подання".</w:t>
            </w:r>
          </w:p>
        </w:tc>
        <w:tc>
          <w:tcPr>
            <w:tcW w:w="1987" w:type="dxa"/>
          </w:tcPr>
          <w:p w14:paraId="24C9DE54"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lastRenderedPageBreak/>
              <w:t>Враховано</w:t>
            </w:r>
          </w:p>
          <w:p w14:paraId="4F04386F" w14:textId="6F630066"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6FF5D1EA" w14:textId="57554037" w:rsidR="006507E8" w:rsidRPr="00286216" w:rsidRDefault="006507E8" w:rsidP="006507E8">
            <w:pPr>
              <w:pStyle w:val="StyleZakonu"/>
              <w:rPr>
                <w:color w:val="000000" w:themeColor="text1"/>
              </w:rPr>
            </w:pPr>
            <w:r w:rsidRPr="00286216">
              <w:rPr>
                <w:color w:val="000000" w:themeColor="text1"/>
              </w:rPr>
              <w:t xml:space="preserve">2. Програмно-технічні комплекси, що використовуються особами, які провадять діяльність з подання звітних даних до Національної комісії з цінних паперів та фондового ринку, повинні забезпечувати ефективну перевірку повноти поданої учасниками ринків капіталу та організованих товарних ринків звітних даних, виявлення описок </w:t>
            </w:r>
            <w:r w:rsidRPr="00286216">
              <w:rPr>
                <w:color w:val="000000" w:themeColor="text1"/>
              </w:rPr>
              <w:lastRenderedPageBreak/>
              <w:t>та/або очевидних технічних помилок, а також повернення таких звітних даних учасникам ринків капіталу та організованих товарних ринків для виправлення та повторного подання.</w:t>
            </w:r>
          </w:p>
        </w:tc>
      </w:tr>
      <w:tr w:rsidR="006507E8" w:rsidRPr="00286216" w14:paraId="6F55E7A3" w14:textId="77777777" w:rsidTr="00091AA5">
        <w:tc>
          <w:tcPr>
            <w:tcW w:w="576" w:type="dxa"/>
          </w:tcPr>
          <w:p w14:paraId="6C90BB21" w14:textId="77777777" w:rsidR="006507E8" w:rsidRPr="00286216" w:rsidRDefault="006507E8" w:rsidP="006507E8">
            <w:pPr>
              <w:pStyle w:val="StyleWisnow"/>
              <w:rPr>
                <w:color w:val="000000" w:themeColor="text1"/>
              </w:rPr>
            </w:pPr>
            <w:bookmarkStart w:id="1110" w:name="n1375" w:colFirst="0" w:colLast="0"/>
            <w:bookmarkEnd w:id="1109"/>
            <w:r w:rsidRPr="00286216">
              <w:rPr>
                <w:color w:val="000000" w:themeColor="text1"/>
              </w:rPr>
              <w:lastRenderedPageBreak/>
              <w:t>1375.</w:t>
            </w:r>
          </w:p>
        </w:tc>
        <w:tc>
          <w:tcPr>
            <w:tcW w:w="4818" w:type="dxa"/>
          </w:tcPr>
          <w:p w14:paraId="0767CA57" w14:textId="77777777" w:rsidR="006507E8" w:rsidRPr="00286216" w:rsidRDefault="006507E8" w:rsidP="006507E8">
            <w:pPr>
              <w:pStyle w:val="StyleZakonu"/>
              <w:rPr>
                <w:color w:val="000000" w:themeColor="text1"/>
              </w:rPr>
            </w:pPr>
            <w:r w:rsidRPr="00286216">
              <w:rPr>
                <w:color w:val="000000" w:themeColor="text1"/>
              </w:rPr>
              <w:t>3. Програмно-технічні комплекси, що використовуються особами, які провадять діяльність з подання звітності та/або адміністративних даних до Національної комісії з цінних паперів та фондового ринку, повинні забезпечувати виявлення помилок, допущених внаслідок дій особи, яка провадить зазначену діяльність, забезпечувати виправлення таких помилок та повторне подання звітності та/або адміністративних даних до Національної комісії з цінних паперів та фондового ринку.</w:t>
            </w:r>
          </w:p>
        </w:tc>
        <w:tc>
          <w:tcPr>
            <w:tcW w:w="3686" w:type="dxa"/>
          </w:tcPr>
          <w:p w14:paraId="0E1777CB" w14:textId="4C29E4A0" w:rsidR="006507E8" w:rsidRPr="00286216" w:rsidRDefault="006507E8" w:rsidP="006507E8">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849</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33CA2E11" w14:textId="2BCF8513" w:rsidR="006507E8" w:rsidRPr="00286216" w:rsidRDefault="006507E8" w:rsidP="006507E8">
            <w:pPr>
              <w:pStyle w:val="StyleProp"/>
              <w:rPr>
                <w:color w:val="000000" w:themeColor="text1"/>
              </w:rPr>
            </w:pPr>
            <w:r w:rsidRPr="00286216">
              <w:rPr>
                <w:color w:val="000000" w:themeColor="text1"/>
              </w:rPr>
              <w:t>В частині 3 статті 79 слова «звітності та/або адміністративних даних» замінити словами «звітних даних»</w:t>
            </w:r>
          </w:p>
        </w:tc>
        <w:tc>
          <w:tcPr>
            <w:tcW w:w="1987" w:type="dxa"/>
          </w:tcPr>
          <w:p w14:paraId="453CA988"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p w14:paraId="6E56206F" w14:textId="43408EC9" w:rsidR="006507E8" w:rsidRPr="00286216" w:rsidRDefault="006507E8" w:rsidP="006507E8">
            <w:pPr>
              <w:pStyle w:val="StyleWisnow"/>
              <w:spacing w:line="180" w:lineRule="exact"/>
              <w:rPr>
                <w:color w:val="000000" w:themeColor="text1"/>
              </w:rPr>
            </w:pPr>
            <w:r w:rsidRPr="00286216">
              <w:rPr>
                <w:rFonts w:eastAsia="Calibri"/>
                <w:color w:val="000000" w:themeColor="text1"/>
              </w:rPr>
              <w:t>відповідно до узгодженої позиції щодо видів дяльності інформаційних агентів</w:t>
            </w:r>
          </w:p>
        </w:tc>
        <w:tc>
          <w:tcPr>
            <w:tcW w:w="4818" w:type="dxa"/>
          </w:tcPr>
          <w:p w14:paraId="79272F7E" w14:textId="57CD69AC" w:rsidR="006507E8" w:rsidRPr="00286216" w:rsidRDefault="006507E8" w:rsidP="006507E8">
            <w:pPr>
              <w:pStyle w:val="StyleZakonu"/>
              <w:rPr>
                <w:color w:val="000000" w:themeColor="text1"/>
              </w:rPr>
            </w:pPr>
            <w:r w:rsidRPr="00286216">
              <w:rPr>
                <w:color w:val="000000" w:themeColor="text1"/>
              </w:rPr>
              <w:t>3. Програмно-технічні комплекси, що використовуються особами, які провадять діяльність з подання звітних даних до Національної комісії з цінних паперів та фондового ринку, повинні забезпечувати виявлення помилок, допущених внаслідок дій особи, яка провадить зазначену діяльність, а також виправлення таких помилок та повторне подання звітних даних до Національної комісії з цінних паперів та фондового ринку.</w:t>
            </w:r>
          </w:p>
        </w:tc>
      </w:tr>
      <w:tr w:rsidR="006507E8" w:rsidRPr="00286216" w14:paraId="1AC17364" w14:textId="77777777" w:rsidTr="00091AA5">
        <w:tc>
          <w:tcPr>
            <w:tcW w:w="576" w:type="dxa"/>
          </w:tcPr>
          <w:p w14:paraId="4DA44396" w14:textId="77777777" w:rsidR="006507E8" w:rsidRPr="00286216" w:rsidRDefault="006507E8" w:rsidP="006507E8">
            <w:pPr>
              <w:pStyle w:val="StyleWisnow"/>
              <w:rPr>
                <w:color w:val="000000" w:themeColor="text1"/>
              </w:rPr>
            </w:pPr>
            <w:bookmarkStart w:id="1111" w:name="n1376" w:colFirst="0" w:colLast="0"/>
            <w:bookmarkEnd w:id="1110"/>
            <w:r w:rsidRPr="00286216">
              <w:rPr>
                <w:color w:val="000000" w:themeColor="text1"/>
              </w:rPr>
              <w:t>1376.</w:t>
            </w:r>
          </w:p>
        </w:tc>
        <w:tc>
          <w:tcPr>
            <w:tcW w:w="4818" w:type="dxa"/>
          </w:tcPr>
          <w:p w14:paraId="31C1B692" w14:textId="77777777" w:rsidR="006507E8" w:rsidRPr="00286216" w:rsidRDefault="006507E8" w:rsidP="006507E8">
            <w:pPr>
              <w:pStyle w:val="StyleZakonu"/>
              <w:rPr>
                <w:color w:val="000000" w:themeColor="text1"/>
              </w:rPr>
            </w:pPr>
            <w:r w:rsidRPr="00286216">
              <w:rPr>
                <w:color w:val="000000" w:themeColor="text1"/>
              </w:rPr>
              <w:t>Стаття 80. Реєстр пов’язаних агентів</w:t>
            </w:r>
          </w:p>
        </w:tc>
        <w:tc>
          <w:tcPr>
            <w:tcW w:w="3686" w:type="dxa"/>
          </w:tcPr>
          <w:p w14:paraId="6F85DA26" w14:textId="77777777" w:rsidR="006507E8" w:rsidRPr="00286216" w:rsidRDefault="006507E8" w:rsidP="006507E8">
            <w:pPr>
              <w:pStyle w:val="StyleProp"/>
              <w:rPr>
                <w:color w:val="000000" w:themeColor="text1"/>
                <w:szCs w:val="18"/>
              </w:rPr>
            </w:pPr>
          </w:p>
        </w:tc>
        <w:tc>
          <w:tcPr>
            <w:tcW w:w="1987" w:type="dxa"/>
          </w:tcPr>
          <w:p w14:paraId="7D0EDF35" w14:textId="77777777" w:rsidR="006507E8" w:rsidRPr="00286216" w:rsidRDefault="006507E8" w:rsidP="006507E8">
            <w:pPr>
              <w:pStyle w:val="StyleWisnow"/>
              <w:rPr>
                <w:color w:val="000000" w:themeColor="text1"/>
              </w:rPr>
            </w:pPr>
          </w:p>
        </w:tc>
        <w:tc>
          <w:tcPr>
            <w:tcW w:w="4818" w:type="dxa"/>
          </w:tcPr>
          <w:p w14:paraId="3E95FAC0" w14:textId="238AFD5C" w:rsidR="006507E8" w:rsidRPr="00286216" w:rsidRDefault="006507E8" w:rsidP="006507E8">
            <w:pPr>
              <w:pStyle w:val="StyleZakonu"/>
              <w:rPr>
                <w:color w:val="000000" w:themeColor="text1"/>
              </w:rPr>
            </w:pPr>
            <w:r w:rsidRPr="00286216">
              <w:rPr>
                <w:color w:val="000000" w:themeColor="text1"/>
              </w:rPr>
              <w:t xml:space="preserve">Стаття </w:t>
            </w:r>
            <w:r w:rsidRPr="00286216">
              <w:rPr>
                <w:color w:val="000000" w:themeColor="text1"/>
                <w:lang w:val="ru-RU"/>
              </w:rPr>
              <w:t>84</w:t>
            </w:r>
            <w:r w:rsidRPr="00286216">
              <w:rPr>
                <w:color w:val="000000" w:themeColor="text1"/>
              </w:rPr>
              <w:t>. Реєстр пов’язаних агентів</w:t>
            </w:r>
          </w:p>
        </w:tc>
      </w:tr>
      <w:tr w:rsidR="006507E8" w:rsidRPr="00286216" w14:paraId="5669B391" w14:textId="77777777" w:rsidTr="00091AA5">
        <w:tc>
          <w:tcPr>
            <w:tcW w:w="576" w:type="dxa"/>
          </w:tcPr>
          <w:p w14:paraId="0A747C6D" w14:textId="77777777" w:rsidR="006507E8" w:rsidRPr="00286216" w:rsidRDefault="006507E8" w:rsidP="006507E8">
            <w:pPr>
              <w:pStyle w:val="StyleWisnow"/>
              <w:rPr>
                <w:color w:val="000000" w:themeColor="text1"/>
              </w:rPr>
            </w:pPr>
            <w:bookmarkStart w:id="1112" w:name="n1377" w:colFirst="0" w:colLast="0"/>
            <w:bookmarkEnd w:id="1111"/>
            <w:r w:rsidRPr="00286216">
              <w:rPr>
                <w:color w:val="000000" w:themeColor="text1"/>
              </w:rPr>
              <w:t>1377.</w:t>
            </w:r>
          </w:p>
        </w:tc>
        <w:tc>
          <w:tcPr>
            <w:tcW w:w="4818" w:type="dxa"/>
          </w:tcPr>
          <w:p w14:paraId="31D624CF" w14:textId="77777777" w:rsidR="006507E8" w:rsidRPr="00286216" w:rsidRDefault="006507E8" w:rsidP="006507E8">
            <w:pPr>
              <w:pStyle w:val="StyleZakonu"/>
              <w:rPr>
                <w:color w:val="000000" w:themeColor="text1"/>
              </w:rPr>
            </w:pPr>
            <w:r w:rsidRPr="00286216">
              <w:rPr>
                <w:color w:val="000000" w:themeColor="text1"/>
              </w:rPr>
              <w:t>1. Пов’язаний агент - юридична особа або фізична особа-підприємець, яка на підставі агентського договору з тільки однією інвестиційною фірмою провадить діяльність, що полягає у наданні від імені, в інтересах, під контролем та за рахунок інвестиційної фірми послуг:</w:t>
            </w:r>
          </w:p>
        </w:tc>
        <w:tc>
          <w:tcPr>
            <w:tcW w:w="3686" w:type="dxa"/>
          </w:tcPr>
          <w:p w14:paraId="7F4EF06A" w14:textId="77777777" w:rsidR="006507E8" w:rsidRPr="00286216" w:rsidRDefault="006507E8" w:rsidP="006507E8">
            <w:pPr>
              <w:pStyle w:val="StyleProp"/>
              <w:rPr>
                <w:color w:val="000000" w:themeColor="text1"/>
                <w:szCs w:val="18"/>
              </w:rPr>
            </w:pPr>
          </w:p>
        </w:tc>
        <w:tc>
          <w:tcPr>
            <w:tcW w:w="1987" w:type="dxa"/>
          </w:tcPr>
          <w:p w14:paraId="1269FCD6" w14:textId="77777777" w:rsidR="006507E8" w:rsidRPr="00286216" w:rsidRDefault="006507E8" w:rsidP="006507E8">
            <w:pPr>
              <w:pStyle w:val="StyleWisnow"/>
              <w:rPr>
                <w:color w:val="000000" w:themeColor="text1"/>
              </w:rPr>
            </w:pPr>
          </w:p>
        </w:tc>
        <w:tc>
          <w:tcPr>
            <w:tcW w:w="4818" w:type="dxa"/>
          </w:tcPr>
          <w:p w14:paraId="071547A2" w14:textId="2B05EFE2" w:rsidR="006507E8" w:rsidRPr="00286216" w:rsidRDefault="006507E8" w:rsidP="006507E8">
            <w:pPr>
              <w:pStyle w:val="StyleZakonu"/>
              <w:rPr>
                <w:color w:val="000000" w:themeColor="text1"/>
              </w:rPr>
            </w:pPr>
            <w:r w:rsidRPr="00286216">
              <w:rPr>
                <w:color w:val="000000" w:themeColor="text1"/>
              </w:rPr>
              <w:t>1. Пов’язаний агент – це юридична особа або фізична особа – підприємець, яка на підставі агентського договору з тільки однією інвестиційною фірмою провадить діяльність, що полягає у наданні від імені, в інтересах, під контролем та за рахунок інвестиційної фірми послуг щодо:</w:t>
            </w:r>
          </w:p>
        </w:tc>
      </w:tr>
      <w:tr w:rsidR="006507E8" w:rsidRPr="00286216" w14:paraId="0EE9A8D8" w14:textId="77777777" w:rsidTr="00091AA5">
        <w:tc>
          <w:tcPr>
            <w:tcW w:w="576" w:type="dxa"/>
          </w:tcPr>
          <w:p w14:paraId="301AB7D7" w14:textId="77777777" w:rsidR="006507E8" w:rsidRPr="00286216" w:rsidRDefault="006507E8" w:rsidP="006507E8">
            <w:pPr>
              <w:pStyle w:val="StyleWisnow"/>
              <w:rPr>
                <w:color w:val="000000" w:themeColor="text1"/>
              </w:rPr>
            </w:pPr>
            <w:bookmarkStart w:id="1113" w:name="n1378" w:colFirst="0" w:colLast="0"/>
            <w:bookmarkEnd w:id="1112"/>
            <w:r w:rsidRPr="00286216">
              <w:rPr>
                <w:color w:val="000000" w:themeColor="text1"/>
              </w:rPr>
              <w:t>1378.</w:t>
            </w:r>
          </w:p>
        </w:tc>
        <w:tc>
          <w:tcPr>
            <w:tcW w:w="4818" w:type="dxa"/>
          </w:tcPr>
          <w:p w14:paraId="0C0B77BE" w14:textId="77777777" w:rsidR="006507E8" w:rsidRPr="00286216" w:rsidRDefault="006507E8" w:rsidP="006507E8">
            <w:pPr>
              <w:pStyle w:val="StyleZakonu"/>
              <w:rPr>
                <w:color w:val="000000" w:themeColor="text1"/>
              </w:rPr>
            </w:pPr>
            <w:r w:rsidRPr="00286216">
              <w:rPr>
                <w:color w:val="000000" w:themeColor="text1"/>
              </w:rPr>
              <w:t>1) реклами цінних паперів та фондового ринку щодо послуг інвестиційної фірми, від імені якої діє пов’язаний агент;</w:t>
            </w:r>
          </w:p>
        </w:tc>
        <w:tc>
          <w:tcPr>
            <w:tcW w:w="3686" w:type="dxa"/>
          </w:tcPr>
          <w:p w14:paraId="2EFD7630" w14:textId="77777777" w:rsidR="006507E8" w:rsidRPr="00286216" w:rsidRDefault="006507E8" w:rsidP="006507E8">
            <w:pPr>
              <w:pStyle w:val="StyleProp"/>
              <w:rPr>
                <w:color w:val="000000" w:themeColor="text1"/>
                <w:szCs w:val="18"/>
              </w:rPr>
            </w:pPr>
          </w:p>
        </w:tc>
        <w:tc>
          <w:tcPr>
            <w:tcW w:w="1987" w:type="dxa"/>
          </w:tcPr>
          <w:p w14:paraId="4CABD1D3" w14:textId="77777777" w:rsidR="006507E8" w:rsidRPr="00286216" w:rsidRDefault="006507E8" w:rsidP="006507E8">
            <w:pPr>
              <w:pStyle w:val="StyleWisnow"/>
              <w:rPr>
                <w:color w:val="000000" w:themeColor="text1"/>
              </w:rPr>
            </w:pPr>
          </w:p>
        </w:tc>
        <w:tc>
          <w:tcPr>
            <w:tcW w:w="4818" w:type="dxa"/>
          </w:tcPr>
          <w:p w14:paraId="769D62F1" w14:textId="60F3F950" w:rsidR="006507E8" w:rsidRPr="00286216" w:rsidRDefault="006507E8" w:rsidP="006507E8">
            <w:pPr>
              <w:pStyle w:val="StyleZakonu"/>
              <w:rPr>
                <w:color w:val="000000" w:themeColor="text1"/>
              </w:rPr>
            </w:pPr>
            <w:r w:rsidRPr="00286216">
              <w:rPr>
                <w:color w:val="000000" w:themeColor="text1"/>
              </w:rPr>
              <w:t>1) реклами цінних паперів та фондового ринку щодо послуг інвестиційної фірми, від імені якої діє пов’язаний агент;</w:t>
            </w:r>
          </w:p>
        </w:tc>
      </w:tr>
      <w:tr w:rsidR="006507E8" w:rsidRPr="00286216" w14:paraId="1C166B5C" w14:textId="77777777" w:rsidTr="00091AA5">
        <w:tc>
          <w:tcPr>
            <w:tcW w:w="576" w:type="dxa"/>
          </w:tcPr>
          <w:p w14:paraId="34FF3286" w14:textId="77777777" w:rsidR="006507E8" w:rsidRPr="00286216" w:rsidRDefault="006507E8" w:rsidP="006507E8">
            <w:pPr>
              <w:pStyle w:val="StyleWisnow"/>
              <w:rPr>
                <w:color w:val="000000" w:themeColor="text1"/>
              </w:rPr>
            </w:pPr>
            <w:bookmarkStart w:id="1114" w:name="n1379" w:colFirst="0" w:colLast="0"/>
            <w:bookmarkEnd w:id="1113"/>
            <w:r w:rsidRPr="00286216">
              <w:rPr>
                <w:color w:val="000000" w:themeColor="text1"/>
              </w:rPr>
              <w:t>1379.</w:t>
            </w:r>
          </w:p>
        </w:tc>
        <w:tc>
          <w:tcPr>
            <w:tcW w:w="4818" w:type="dxa"/>
          </w:tcPr>
          <w:p w14:paraId="3D42002B" w14:textId="77777777" w:rsidR="006507E8" w:rsidRPr="00286216" w:rsidRDefault="006507E8" w:rsidP="006507E8">
            <w:pPr>
              <w:pStyle w:val="StyleZakonu"/>
              <w:rPr>
                <w:color w:val="000000" w:themeColor="text1"/>
              </w:rPr>
            </w:pPr>
            <w:r w:rsidRPr="00286216">
              <w:rPr>
                <w:color w:val="000000" w:themeColor="text1"/>
              </w:rPr>
              <w:t>2) прийняття від клієнтів замовлень на укладення деривативних контрактів та правочинів щодо них та/або правочинів щодо інших фінансових інструментів за рахунок клієнтів і надання відповідних замовлень для виконання інвестиційній фірмі, яка здійснює брокерську діяльність;</w:t>
            </w:r>
          </w:p>
        </w:tc>
        <w:tc>
          <w:tcPr>
            <w:tcW w:w="3686" w:type="dxa"/>
          </w:tcPr>
          <w:p w14:paraId="280D4205" w14:textId="77777777" w:rsidR="006507E8" w:rsidRPr="00286216" w:rsidRDefault="006507E8" w:rsidP="006507E8">
            <w:pPr>
              <w:pStyle w:val="StyleProp"/>
              <w:rPr>
                <w:color w:val="000000" w:themeColor="text1"/>
                <w:szCs w:val="18"/>
              </w:rPr>
            </w:pPr>
          </w:p>
        </w:tc>
        <w:tc>
          <w:tcPr>
            <w:tcW w:w="1987" w:type="dxa"/>
          </w:tcPr>
          <w:p w14:paraId="1FAA8FD6" w14:textId="77777777" w:rsidR="006507E8" w:rsidRPr="00286216" w:rsidRDefault="006507E8" w:rsidP="006507E8">
            <w:pPr>
              <w:pStyle w:val="StyleWisnow"/>
              <w:rPr>
                <w:color w:val="000000" w:themeColor="text1"/>
              </w:rPr>
            </w:pPr>
          </w:p>
        </w:tc>
        <w:tc>
          <w:tcPr>
            <w:tcW w:w="4818" w:type="dxa"/>
          </w:tcPr>
          <w:p w14:paraId="6D5CCC4C" w14:textId="2A061B74" w:rsidR="006507E8" w:rsidRPr="00286216" w:rsidRDefault="006507E8" w:rsidP="006507E8">
            <w:pPr>
              <w:pStyle w:val="StyleZakonu"/>
              <w:rPr>
                <w:color w:val="000000" w:themeColor="text1"/>
              </w:rPr>
            </w:pPr>
            <w:r w:rsidRPr="00286216">
              <w:rPr>
                <w:color w:val="000000" w:themeColor="text1"/>
              </w:rPr>
              <w:t>2) прийняття від клієнтів замовлень на укладення деривативних контрактів та правочинів щодо них та/або правочинів щодо інших фінансових інструментів за рахунок клієнтів і надання відповідних замовлень для виконання інвестиційній фірмі, що здійснює брокерську діяльність;</w:t>
            </w:r>
          </w:p>
        </w:tc>
      </w:tr>
      <w:tr w:rsidR="006507E8" w:rsidRPr="00286216" w14:paraId="289A1F48" w14:textId="77777777" w:rsidTr="00091AA5">
        <w:tc>
          <w:tcPr>
            <w:tcW w:w="576" w:type="dxa"/>
          </w:tcPr>
          <w:p w14:paraId="232163B1" w14:textId="77777777" w:rsidR="006507E8" w:rsidRPr="00286216" w:rsidRDefault="006507E8" w:rsidP="006507E8">
            <w:pPr>
              <w:pStyle w:val="StyleWisnow"/>
              <w:rPr>
                <w:color w:val="000000" w:themeColor="text1"/>
              </w:rPr>
            </w:pPr>
            <w:bookmarkStart w:id="1115" w:name="n1380" w:colFirst="0" w:colLast="0"/>
            <w:bookmarkEnd w:id="1114"/>
            <w:r w:rsidRPr="00286216">
              <w:rPr>
                <w:color w:val="000000" w:themeColor="text1"/>
              </w:rPr>
              <w:t>1380.</w:t>
            </w:r>
          </w:p>
        </w:tc>
        <w:tc>
          <w:tcPr>
            <w:tcW w:w="4818" w:type="dxa"/>
          </w:tcPr>
          <w:p w14:paraId="52FA4AC7" w14:textId="77777777" w:rsidR="006507E8" w:rsidRPr="00286216" w:rsidRDefault="006507E8" w:rsidP="006507E8">
            <w:pPr>
              <w:pStyle w:val="StyleZakonu"/>
              <w:rPr>
                <w:color w:val="000000" w:themeColor="text1"/>
              </w:rPr>
            </w:pPr>
            <w:r w:rsidRPr="00286216">
              <w:rPr>
                <w:color w:val="000000" w:themeColor="text1"/>
              </w:rPr>
              <w:t>3) організації розміщення цінних паперів в рамках діяльності з розміщення без надання гарантії;</w:t>
            </w:r>
          </w:p>
        </w:tc>
        <w:tc>
          <w:tcPr>
            <w:tcW w:w="3686" w:type="dxa"/>
          </w:tcPr>
          <w:p w14:paraId="67138716" w14:textId="77777777" w:rsidR="006507E8" w:rsidRPr="00286216" w:rsidRDefault="006507E8" w:rsidP="006507E8">
            <w:pPr>
              <w:pStyle w:val="StyleProp"/>
              <w:rPr>
                <w:color w:val="000000" w:themeColor="text1"/>
                <w:szCs w:val="18"/>
              </w:rPr>
            </w:pPr>
          </w:p>
        </w:tc>
        <w:tc>
          <w:tcPr>
            <w:tcW w:w="1987" w:type="dxa"/>
          </w:tcPr>
          <w:p w14:paraId="73324C2D" w14:textId="77777777" w:rsidR="006507E8" w:rsidRPr="00286216" w:rsidRDefault="006507E8" w:rsidP="006507E8">
            <w:pPr>
              <w:pStyle w:val="StyleWisnow"/>
              <w:rPr>
                <w:color w:val="000000" w:themeColor="text1"/>
              </w:rPr>
            </w:pPr>
          </w:p>
        </w:tc>
        <w:tc>
          <w:tcPr>
            <w:tcW w:w="4818" w:type="dxa"/>
          </w:tcPr>
          <w:p w14:paraId="6BA15DD8" w14:textId="126E8D20" w:rsidR="006507E8" w:rsidRPr="00286216" w:rsidRDefault="006507E8" w:rsidP="006507E8">
            <w:pPr>
              <w:pStyle w:val="StyleZakonu"/>
              <w:rPr>
                <w:color w:val="000000" w:themeColor="text1"/>
              </w:rPr>
            </w:pPr>
            <w:r w:rsidRPr="00286216">
              <w:rPr>
                <w:color w:val="000000" w:themeColor="text1"/>
              </w:rPr>
              <w:t>3) організації розміщення цінних паперів в рамках діяльності з розміщення без надання гарантії;</w:t>
            </w:r>
          </w:p>
        </w:tc>
      </w:tr>
      <w:tr w:rsidR="006507E8" w:rsidRPr="00286216" w14:paraId="7ECAD9A5" w14:textId="77777777" w:rsidTr="00091AA5">
        <w:tc>
          <w:tcPr>
            <w:tcW w:w="576" w:type="dxa"/>
          </w:tcPr>
          <w:p w14:paraId="3BAED1B7" w14:textId="77777777" w:rsidR="006507E8" w:rsidRPr="00286216" w:rsidRDefault="006507E8" w:rsidP="006507E8">
            <w:pPr>
              <w:pStyle w:val="StyleWisnow"/>
              <w:rPr>
                <w:color w:val="000000" w:themeColor="text1"/>
              </w:rPr>
            </w:pPr>
            <w:bookmarkStart w:id="1116" w:name="n1381" w:colFirst="0" w:colLast="0"/>
            <w:bookmarkEnd w:id="1115"/>
            <w:r w:rsidRPr="00286216">
              <w:rPr>
                <w:color w:val="000000" w:themeColor="text1"/>
              </w:rPr>
              <w:t>1381.</w:t>
            </w:r>
          </w:p>
        </w:tc>
        <w:tc>
          <w:tcPr>
            <w:tcW w:w="4818" w:type="dxa"/>
          </w:tcPr>
          <w:p w14:paraId="3CB03B0A" w14:textId="77777777" w:rsidR="006507E8" w:rsidRPr="00286216" w:rsidRDefault="006507E8" w:rsidP="006507E8">
            <w:pPr>
              <w:pStyle w:val="StyleZakonu"/>
              <w:rPr>
                <w:color w:val="000000" w:themeColor="text1"/>
              </w:rPr>
            </w:pPr>
            <w:r w:rsidRPr="00286216">
              <w:rPr>
                <w:color w:val="000000" w:themeColor="text1"/>
              </w:rPr>
              <w:t>4) надання індивідуальних рекомендацій щодо послуг, передбачених пунктами "1" - "3", а також цінних паперів, що розміщуються в рамках надання послуг, передбачених пунктом "3";</w:t>
            </w:r>
          </w:p>
        </w:tc>
        <w:tc>
          <w:tcPr>
            <w:tcW w:w="3686" w:type="dxa"/>
          </w:tcPr>
          <w:p w14:paraId="4FD5B524" w14:textId="77777777" w:rsidR="006507E8" w:rsidRPr="00286216" w:rsidRDefault="006507E8" w:rsidP="006507E8">
            <w:pPr>
              <w:pStyle w:val="StyleProp"/>
              <w:rPr>
                <w:color w:val="000000" w:themeColor="text1"/>
                <w:szCs w:val="18"/>
              </w:rPr>
            </w:pPr>
          </w:p>
        </w:tc>
        <w:tc>
          <w:tcPr>
            <w:tcW w:w="1987" w:type="dxa"/>
          </w:tcPr>
          <w:p w14:paraId="5492FCFE" w14:textId="77777777" w:rsidR="006507E8" w:rsidRPr="00286216" w:rsidRDefault="006507E8" w:rsidP="006507E8">
            <w:pPr>
              <w:pStyle w:val="StyleWisnow"/>
              <w:rPr>
                <w:color w:val="000000" w:themeColor="text1"/>
              </w:rPr>
            </w:pPr>
          </w:p>
        </w:tc>
        <w:tc>
          <w:tcPr>
            <w:tcW w:w="4818" w:type="dxa"/>
          </w:tcPr>
          <w:p w14:paraId="26009117" w14:textId="53708C03" w:rsidR="006507E8" w:rsidRPr="00286216" w:rsidRDefault="006507E8" w:rsidP="006507E8">
            <w:pPr>
              <w:pStyle w:val="StyleZakonu"/>
              <w:rPr>
                <w:color w:val="000000" w:themeColor="text1"/>
              </w:rPr>
            </w:pPr>
            <w:r w:rsidRPr="00286216">
              <w:rPr>
                <w:color w:val="000000" w:themeColor="text1"/>
              </w:rPr>
              <w:t>4) надання індивідуальних рекомендацій щодо послуг, передбачених пунктами 1 - 3 цієї частини, а також цінних паперів, що розміщуються в рамках надання послуг, передбачених пунктом 3 цієї частини;</w:t>
            </w:r>
          </w:p>
        </w:tc>
      </w:tr>
      <w:tr w:rsidR="006507E8" w:rsidRPr="00286216" w14:paraId="6498D478" w14:textId="77777777" w:rsidTr="00091AA5">
        <w:tc>
          <w:tcPr>
            <w:tcW w:w="576" w:type="dxa"/>
          </w:tcPr>
          <w:p w14:paraId="470C9B48" w14:textId="77777777" w:rsidR="006507E8" w:rsidRPr="00286216" w:rsidRDefault="006507E8" w:rsidP="006507E8">
            <w:pPr>
              <w:pStyle w:val="StyleWisnow"/>
              <w:rPr>
                <w:color w:val="000000" w:themeColor="text1"/>
              </w:rPr>
            </w:pPr>
            <w:bookmarkStart w:id="1117" w:name="n1382" w:colFirst="0" w:colLast="0"/>
            <w:bookmarkEnd w:id="1116"/>
            <w:r w:rsidRPr="00286216">
              <w:rPr>
                <w:color w:val="000000" w:themeColor="text1"/>
              </w:rPr>
              <w:t>1382.</w:t>
            </w:r>
          </w:p>
        </w:tc>
        <w:tc>
          <w:tcPr>
            <w:tcW w:w="4818" w:type="dxa"/>
          </w:tcPr>
          <w:p w14:paraId="49ADFB3D" w14:textId="77777777" w:rsidR="006507E8" w:rsidRPr="00286216" w:rsidRDefault="006507E8" w:rsidP="006507E8">
            <w:pPr>
              <w:pStyle w:val="StyleZakonu"/>
              <w:rPr>
                <w:color w:val="000000" w:themeColor="text1"/>
              </w:rPr>
            </w:pPr>
            <w:r w:rsidRPr="00286216">
              <w:rPr>
                <w:color w:val="000000" w:themeColor="text1"/>
              </w:rPr>
              <w:t xml:space="preserve">5) виконання інших, передбачених агентським договором дій, пов’язаних з безпосереднім провадженням професійної діяльності, відповідно до </w:t>
            </w:r>
            <w:r w:rsidRPr="00286216">
              <w:rPr>
                <w:color w:val="000000" w:themeColor="text1"/>
              </w:rPr>
              <w:lastRenderedPageBreak/>
              <w:t>отриманої інвестиційною фірмою ліцензії.</w:t>
            </w:r>
          </w:p>
        </w:tc>
        <w:tc>
          <w:tcPr>
            <w:tcW w:w="3686" w:type="dxa"/>
          </w:tcPr>
          <w:p w14:paraId="328C2415" w14:textId="77777777" w:rsidR="006507E8" w:rsidRPr="00286216" w:rsidRDefault="006507E8" w:rsidP="006507E8">
            <w:pPr>
              <w:pStyle w:val="StyleProp"/>
              <w:rPr>
                <w:color w:val="000000" w:themeColor="text1"/>
                <w:szCs w:val="18"/>
              </w:rPr>
            </w:pPr>
          </w:p>
        </w:tc>
        <w:tc>
          <w:tcPr>
            <w:tcW w:w="1987" w:type="dxa"/>
          </w:tcPr>
          <w:p w14:paraId="45511A10" w14:textId="77777777" w:rsidR="006507E8" w:rsidRPr="00286216" w:rsidRDefault="006507E8" w:rsidP="006507E8">
            <w:pPr>
              <w:pStyle w:val="StyleWisnow"/>
              <w:rPr>
                <w:color w:val="000000" w:themeColor="text1"/>
              </w:rPr>
            </w:pPr>
          </w:p>
        </w:tc>
        <w:tc>
          <w:tcPr>
            <w:tcW w:w="4818" w:type="dxa"/>
          </w:tcPr>
          <w:p w14:paraId="5361A8E2" w14:textId="7962A8F9" w:rsidR="006507E8" w:rsidRPr="00286216" w:rsidRDefault="006507E8" w:rsidP="006507E8">
            <w:pPr>
              <w:pStyle w:val="StyleZakonu"/>
              <w:rPr>
                <w:color w:val="000000" w:themeColor="text1"/>
              </w:rPr>
            </w:pPr>
            <w:r w:rsidRPr="00286216">
              <w:rPr>
                <w:color w:val="000000" w:themeColor="text1"/>
              </w:rPr>
              <w:t xml:space="preserve">5) виконання інших передбачених агентським договором дій, пов’язаних з безпосереднім провадженням професійної діяльності, відповідно до </w:t>
            </w:r>
            <w:r w:rsidRPr="00286216">
              <w:rPr>
                <w:color w:val="000000" w:themeColor="text1"/>
              </w:rPr>
              <w:lastRenderedPageBreak/>
              <w:t>отриманої інвестиційною фірмою ліцензії.</w:t>
            </w:r>
          </w:p>
        </w:tc>
      </w:tr>
      <w:tr w:rsidR="006507E8" w:rsidRPr="00286216" w14:paraId="1B1C411B" w14:textId="77777777" w:rsidTr="00091AA5">
        <w:tc>
          <w:tcPr>
            <w:tcW w:w="576" w:type="dxa"/>
          </w:tcPr>
          <w:p w14:paraId="561BEEC9" w14:textId="77777777" w:rsidR="006507E8" w:rsidRPr="00286216" w:rsidRDefault="006507E8" w:rsidP="006507E8">
            <w:pPr>
              <w:pStyle w:val="StyleWisnow"/>
              <w:rPr>
                <w:color w:val="000000" w:themeColor="text1"/>
              </w:rPr>
            </w:pPr>
            <w:bookmarkStart w:id="1118" w:name="n1383" w:colFirst="0" w:colLast="0"/>
            <w:bookmarkEnd w:id="1117"/>
            <w:r w:rsidRPr="00286216">
              <w:rPr>
                <w:color w:val="000000" w:themeColor="text1"/>
              </w:rPr>
              <w:lastRenderedPageBreak/>
              <w:t>1383.</w:t>
            </w:r>
          </w:p>
        </w:tc>
        <w:tc>
          <w:tcPr>
            <w:tcW w:w="4818" w:type="dxa"/>
          </w:tcPr>
          <w:p w14:paraId="08A48424" w14:textId="77777777" w:rsidR="006507E8" w:rsidRPr="00286216" w:rsidRDefault="006507E8" w:rsidP="006507E8">
            <w:pPr>
              <w:pStyle w:val="StyleZakonu"/>
              <w:rPr>
                <w:color w:val="000000" w:themeColor="text1"/>
              </w:rPr>
            </w:pPr>
            <w:r w:rsidRPr="00286216">
              <w:rPr>
                <w:color w:val="000000" w:themeColor="text1"/>
              </w:rPr>
              <w:t>2. Особи, які відповідають вимогам, встановленим частиною четвертою цієї статті, та виявили бажання укласти агентський договір, підлягають включенню до реєстру пов’язаних агентів. Особа, включена до реєстру пов’язаних агентів, набуває статусу пов’язаного агента з моменту набрання чинності агентським договором між нею та інвестиційною фірмою.</w:t>
            </w:r>
          </w:p>
        </w:tc>
        <w:tc>
          <w:tcPr>
            <w:tcW w:w="3686" w:type="dxa"/>
          </w:tcPr>
          <w:p w14:paraId="2A6E1ADE" w14:textId="77777777" w:rsidR="006507E8" w:rsidRPr="00286216" w:rsidRDefault="006507E8" w:rsidP="006507E8">
            <w:pPr>
              <w:pStyle w:val="StyleProp"/>
              <w:rPr>
                <w:color w:val="000000" w:themeColor="text1"/>
                <w:szCs w:val="18"/>
              </w:rPr>
            </w:pPr>
          </w:p>
        </w:tc>
        <w:tc>
          <w:tcPr>
            <w:tcW w:w="1987" w:type="dxa"/>
          </w:tcPr>
          <w:p w14:paraId="5D097C8E" w14:textId="77777777" w:rsidR="006507E8" w:rsidRPr="00286216" w:rsidRDefault="006507E8" w:rsidP="006507E8">
            <w:pPr>
              <w:pStyle w:val="StyleWisnow"/>
              <w:rPr>
                <w:color w:val="000000" w:themeColor="text1"/>
              </w:rPr>
            </w:pPr>
          </w:p>
        </w:tc>
        <w:tc>
          <w:tcPr>
            <w:tcW w:w="4818" w:type="dxa"/>
          </w:tcPr>
          <w:p w14:paraId="4FFC3F7B" w14:textId="6D83C2E7" w:rsidR="006507E8" w:rsidRPr="00286216" w:rsidRDefault="006507E8" w:rsidP="006507E8">
            <w:pPr>
              <w:pStyle w:val="StyleZakonu"/>
              <w:rPr>
                <w:color w:val="000000" w:themeColor="text1"/>
              </w:rPr>
            </w:pPr>
            <w:r w:rsidRPr="00286216">
              <w:rPr>
                <w:color w:val="000000" w:themeColor="text1"/>
              </w:rPr>
              <w:t>2. Особи, які відповідають вимогам, встановленим частиною четвертою цієї статті, та виявили бажання укласти агентський договір, підлягають включенню до реєстру пов’язаних агентів. Особа, включена до реєстру пов’язаних агентів, набуває статусу пов’язаного агента з моменту набрання чинності агентським договором, укладеним між нею та інвестиційною фірмою.</w:t>
            </w:r>
          </w:p>
        </w:tc>
      </w:tr>
      <w:tr w:rsidR="006507E8" w:rsidRPr="00286216" w14:paraId="10E654D1" w14:textId="77777777" w:rsidTr="00091AA5">
        <w:tc>
          <w:tcPr>
            <w:tcW w:w="576" w:type="dxa"/>
          </w:tcPr>
          <w:p w14:paraId="25FA601C" w14:textId="77777777" w:rsidR="006507E8" w:rsidRPr="00286216" w:rsidRDefault="006507E8" w:rsidP="006507E8">
            <w:pPr>
              <w:pStyle w:val="StyleWisnow"/>
              <w:rPr>
                <w:color w:val="000000" w:themeColor="text1"/>
              </w:rPr>
            </w:pPr>
            <w:bookmarkStart w:id="1119" w:name="n1384" w:colFirst="0" w:colLast="0"/>
            <w:bookmarkEnd w:id="1118"/>
            <w:r w:rsidRPr="00286216">
              <w:rPr>
                <w:color w:val="000000" w:themeColor="text1"/>
              </w:rPr>
              <w:t>1384.</w:t>
            </w:r>
          </w:p>
        </w:tc>
        <w:tc>
          <w:tcPr>
            <w:tcW w:w="4818" w:type="dxa"/>
          </w:tcPr>
          <w:p w14:paraId="1145C799" w14:textId="77777777" w:rsidR="006507E8" w:rsidRPr="00286216" w:rsidRDefault="006507E8" w:rsidP="006507E8">
            <w:pPr>
              <w:pStyle w:val="StyleZakonu"/>
              <w:rPr>
                <w:color w:val="000000" w:themeColor="text1"/>
              </w:rPr>
            </w:pPr>
            <w:r w:rsidRPr="00286216">
              <w:rPr>
                <w:color w:val="000000" w:themeColor="text1"/>
              </w:rPr>
              <w:t>3. Національна комісія з цінних паперів та фондового ринку затверджує порядок ведення та веде реєстр пов’язаних агентів, до якого включаються дані про осіб, що можуть укладати та/або уклали агентський договір, а також відомості про укладені агентські договори. У разі виключення осіб та/або інформації про агентські договори з реєстру, інформація про це залишається в самому реєстрі.</w:t>
            </w:r>
          </w:p>
        </w:tc>
        <w:tc>
          <w:tcPr>
            <w:tcW w:w="3686" w:type="dxa"/>
          </w:tcPr>
          <w:p w14:paraId="3D06FF9D" w14:textId="77777777" w:rsidR="006507E8" w:rsidRPr="00286216" w:rsidRDefault="006507E8" w:rsidP="006507E8">
            <w:pPr>
              <w:pStyle w:val="StyleProp"/>
              <w:rPr>
                <w:color w:val="000000" w:themeColor="text1"/>
                <w:szCs w:val="18"/>
              </w:rPr>
            </w:pPr>
          </w:p>
        </w:tc>
        <w:tc>
          <w:tcPr>
            <w:tcW w:w="1987" w:type="dxa"/>
          </w:tcPr>
          <w:p w14:paraId="50890B5E" w14:textId="77777777" w:rsidR="006507E8" w:rsidRPr="00286216" w:rsidRDefault="006507E8" w:rsidP="006507E8">
            <w:pPr>
              <w:pStyle w:val="StyleWisnow"/>
              <w:rPr>
                <w:color w:val="000000" w:themeColor="text1"/>
              </w:rPr>
            </w:pPr>
          </w:p>
        </w:tc>
        <w:tc>
          <w:tcPr>
            <w:tcW w:w="4818" w:type="dxa"/>
          </w:tcPr>
          <w:p w14:paraId="3485ED1E" w14:textId="0AD5EDBD" w:rsidR="006507E8" w:rsidRPr="00286216" w:rsidRDefault="006507E8" w:rsidP="006507E8">
            <w:pPr>
              <w:pStyle w:val="StyleZakonu"/>
              <w:rPr>
                <w:color w:val="000000" w:themeColor="text1"/>
              </w:rPr>
            </w:pPr>
            <w:r w:rsidRPr="00286216">
              <w:rPr>
                <w:color w:val="000000" w:themeColor="text1"/>
              </w:rPr>
              <w:t>3. Національна комісія з цінних паперів та фондового ринку затверджує порядок ведення та веде реєстр пов’язаних агентів, до якого включаються дані про осіб, що можуть укладати та/або уклали агентський договір, а також відомості про укладені агентські договори. У разі виключення осіб та/або інформації про агентські договори з реєстру пов’язаних агентів, інформація про це залишається в такому реєстрі.</w:t>
            </w:r>
          </w:p>
        </w:tc>
      </w:tr>
      <w:tr w:rsidR="006507E8" w:rsidRPr="00286216" w14:paraId="2FF1485C" w14:textId="77777777" w:rsidTr="00091AA5">
        <w:tc>
          <w:tcPr>
            <w:tcW w:w="576" w:type="dxa"/>
          </w:tcPr>
          <w:p w14:paraId="6F50A340" w14:textId="77777777" w:rsidR="006507E8" w:rsidRPr="00286216" w:rsidRDefault="006507E8" w:rsidP="006507E8">
            <w:pPr>
              <w:pStyle w:val="StyleWisnow"/>
              <w:rPr>
                <w:color w:val="000000" w:themeColor="text1"/>
              </w:rPr>
            </w:pPr>
            <w:bookmarkStart w:id="1120" w:name="n1385" w:colFirst="0" w:colLast="0"/>
            <w:bookmarkEnd w:id="1119"/>
            <w:r w:rsidRPr="00286216">
              <w:rPr>
                <w:color w:val="000000" w:themeColor="text1"/>
              </w:rPr>
              <w:t>1385.</w:t>
            </w:r>
          </w:p>
        </w:tc>
        <w:tc>
          <w:tcPr>
            <w:tcW w:w="4818" w:type="dxa"/>
          </w:tcPr>
          <w:p w14:paraId="0393B97A" w14:textId="77777777" w:rsidR="006507E8" w:rsidRPr="00286216" w:rsidRDefault="006507E8" w:rsidP="006507E8">
            <w:pPr>
              <w:pStyle w:val="StyleZakonu"/>
              <w:rPr>
                <w:color w:val="000000" w:themeColor="text1"/>
              </w:rPr>
            </w:pPr>
            <w:r w:rsidRPr="00286216">
              <w:rPr>
                <w:color w:val="000000" w:themeColor="text1"/>
              </w:rPr>
              <w:t>4. Особи включаються до реєстру пов’язаних агентів на підставі заяви, за умови надання Національній комісії з цінних паперів та фондового ринку підтверджених відомостей щодо наявності у них бездоганної ділової репутації, а також професійної компетентності, навичок та матеріально-технічного забезпечення, достатніх для вчинення дій, пов’язаних із безпосереднім провадженням професійної діяльності на ринках капіталу. Перелік та вимоги до документів, необхідних для включення до реєстру пов’язаних агентів, а також підстави для відмови у такому включенні визначаються Національною комісією з цінних паперів та фондового ринку.</w:t>
            </w:r>
          </w:p>
        </w:tc>
        <w:tc>
          <w:tcPr>
            <w:tcW w:w="3686" w:type="dxa"/>
          </w:tcPr>
          <w:p w14:paraId="553F2E19" w14:textId="77777777" w:rsidR="006507E8" w:rsidRPr="00286216" w:rsidRDefault="006507E8" w:rsidP="006507E8">
            <w:pPr>
              <w:pStyle w:val="StyleProp"/>
              <w:rPr>
                <w:color w:val="000000" w:themeColor="text1"/>
                <w:szCs w:val="18"/>
              </w:rPr>
            </w:pPr>
          </w:p>
        </w:tc>
        <w:tc>
          <w:tcPr>
            <w:tcW w:w="1987" w:type="dxa"/>
          </w:tcPr>
          <w:p w14:paraId="73D8586F" w14:textId="77777777" w:rsidR="006507E8" w:rsidRPr="00286216" w:rsidRDefault="006507E8" w:rsidP="006507E8">
            <w:pPr>
              <w:pStyle w:val="StyleWisnow"/>
              <w:rPr>
                <w:color w:val="000000" w:themeColor="text1"/>
              </w:rPr>
            </w:pPr>
          </w:p>
        </w:tc>
        <w:tc>
          <w:tcPr>
            <w:tcW w:w="4818" w:type="dxa"/>
          </w:tcPr>
          <w:p w14:paraId="4DC594FB" w14:textId="53B95FCD" w:rsidR="006507E8" w:rsidRPr="00286216" w:rsidRDefault="006507E8" w:rsidP="006507E8">
            <w:pPr>
              <w:pStyle w:val="StyleZakonu"/>
              <w:rPr>
                <w:color w:val="000000" w:themeColor="text1"/>
              </w:rPr>
            </w:pPr>
            <w:r w:rsidRPr="00286216">
              <w:rPr>
                <w:color w:val="000000" w:themeColor="text1"/>
              </w:rPr>
              <w:t>4. Особи включаються до реєстру пов’язаних агентів на підставі заяви, за умови подання до Національної комісії з цінних паперів та фондового ринку підтверджених відомостей про наявність у них бездоганної ділової репутації, професійної компетентності, навичок та матеріально-технічного забезпечення, достатніх для вчинення дій, пов’язаних із безпосереднім провадженням професійної діяльності на ринках капіталу. Перелік та вимоги до документів, що подаються для включення до реєстру пов’язаних агентів, а також підстави для відмови у такому включенні визначаються Національною комісією з цінних паперів та фондового ринку.</w:t>
            </w:r>
          </w:p>
        </w:tc>
      </w:tr>
      <w:tr w:rsidR="006507E8" w:rsidRPr="00286216" w14:paraId="60E52732" w14:textId="77777777" w:rsidTr="00091AA5">
        <w:tc>
          <w:tcPr>
            <w:tcW w:w="576" w:type="dxa"/>
          </w:tcPr>
          <w:p w14:paraId="5671CFD5" w14:textId="77777777" w:rsidR="006507E8" w:rsidRPr="00286216" w:rsidRDefault="006507E8" w:rsidP="006507E8">
            <w:pPr>
              <w:pStyle w:val="StyleWisnow"/>
              <w:rPr>
                <w:color w:val="000000" w:themeColor="text1"/>
              </w:rPr>
            </w:pPr>
            <w:bookmarkStart w:id="1121" w:name="n1386" w:colFirst="0" w:colLast="0"/>
            <w:bookmarkEnd w:id="1120"/>
            <w:r w:rsidRPr="00286216">
              <w:rPr>
                <w:color w:val="000000" w:themeColor="text1"/>
              </w:rPr>
              <w:t>1386.</w:t>
            </w:r>
          </w:p>
        </w:tc>
        <w:tc>
          <w:tcPr>
            <w:tcW w:w="4818" w:type="dxa"/>
          </w:tcPr>
          <w:p w14:paraId="673EF31F" w14:textId="77777777"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включає осіб до реєстру пов’язаних агентів, або відмовляє у такому включенні протягом 30 робочих днів з дати отримання повного переліку документів заявника. Включення Національною комісією з цінних паперів та фондового ринку заявника до реєстру пов’язаних агентів не може розглядатися як гарантія того, що така особа надає послуги належної якості.</w:t>
            </w:r>
          </w:p>
        </w:tc>
        <w:tc>
          <w:tcPr>
            <w:tcW w:w="3686" w:type="dxa"/>
          </w:tcPr>
          <w:p w14:paraId="7501D6CF" w14:textId="77777777" w:rsidR="006507E8" w:rsidRPr="00286216" w:rsidRDefault="006507E8" w:rsidP="006507E8">
            <w:pPr>
              <w:pStyle w:val="StyleProp"/>
              <w:rPr>
                <w:color w:val="000000" w:themeColor="text1"/>
                <w:szCs w:val="18"/>
              </w:rPr>
            </w:pPr>
          </w:p>
        </w:tc>
        <w:tc>
          <w:tcPr>
            <w:tcW w:w="1987" w:type="dxa"/>
          </w:tcPr>
          <w:p w14:paraId="629AA847" w14:textId="77777777" w:rsidR="006507E8" w:rsidRPr="00286216" w:rsidRDefault="006507E8" w:rsidP="006507E8">
            <w:pPr>
              <w:pStyle w:val="StyleWisnow"/>
              <w:rPr>
                <w:color w:val="000000" w:themeColor="text1"/>
              </w:rPr>
            </w:pPr>
          </w:p>
        </w:tc>
        <w:tc>
          <w:tcPr>
            <w:tcW w:w="4818" w:type="dxa"/>
          </w:tcPr>
          <w:p w14:paraId="623686FB" w14:textId="6C021BD1"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включає осіб до реєстру пов’язаних агентів або відмовляє в такому включенні протягом 30 робочих днів з дати отримання повного переліку документів заявника. Включення Національною комісією з цінних паперів та фондового ринку заявника до реєстру пов’язаних агентів не може вважатися гарантією того, що така особа надає послуги належної якості.</w:t>
            </w:r>
          </w:p>
        </w:tc>
      </w:tr>
      <w:tr w:rsidR="006507E8" w:rsidRPr="00286216" w14:paraId="45C04A50" w14:textId="77777777" w:rsidTr="00091AA5">
        <w:tc>
          <w:tcPr>
            <w:tcW w:w="576" w:type="dxa"/>
          </w:tcPr>
          <w:p w14:paraId="521D851A" w14:textId="77777777" w:rsidR="006507E8" w:rsidRPr="00286216" w:rsidRDefault="006507E8" w:rsidP="006507E8">
            <w:pPr>
              <w:pStyle w:val="StyleWisnow"/>
              <w:rPr>
                <w:color w:val="000000" w:themeColor="text1"/>
              </w:rPr>
            </w:pPr>
            <w:bookmarkStart w:id="1122" w:name="n1387" w:colFirst="0" w:colLast="0"/>
            <w:bookmarkEnd w:id="1121"/>
            <w:r w:rsidRPr="00286216">
              <w:rPr>
                <w:color w:val="000000" w:themeColor="text1"/>
              </w:rPr>
              <w:t>1387.</w:t>
            </w:r>
          </w:p>
        </w:tc>
        <w:tc>
          <w:tcPr>
            <w:tcW w:w="4818" w:type="dxa"/>
          </w:tcPr>
          <w:p w14:paraId="51880B6A" w14:textId="77777777" w:rsidR="006507E8" w:rsidRPr="00286216" w:rsidRDefault="006507E8" w:rsidP="006507E8">
            <w:pPr>
              <w:pStyle w:val="StyleZakonu"/>
              <w:rPr>
                <w:color w:val="000000" w:themeColor="text1"/>
              </w:rPr>
            </w:pPr>
            <w:r w:rsidRPr="00286216">
              <w:rPr>
                <w:color w:val="000000" w:themeColor="text1"/>
              </w:rPr>
              <w:t>6. Включення до реєстру пов’язаних агентів проводиться на безоплатній основі.</w:t>
            </w:r>
          </w:p>
        </w:tc>
        <w:tc>
          <w:tcPr>
            <w:tcW w:w="3686" w:type="dxa"/>
          </w:tcPr>
          <w:p w14:paraId="6B2ABA98" w14:textId="77777777" w:rsidR="006507E8" w:rsidRPr="00286216" w:rsidRDefault="006507E8" w:rsidP="006507E8">
            <w:pPr>
              <w:pStyle w:val="StyleProp"/>
              <w:rPr>
                <w:color w:val="000000" w:themeColor="text1"/>
                <w:szCs w:val="18"/>
              </w:rPr>
            </w:pPr>
          </w:p>
        </w:tc>
        <w:tc>
          <w:tcPr>
            <w:tcW w:w="1987" w:type="dxa"/>
          </w:tcPr>
          <w:p w14:paraId="6145584C" w14:textId="77777777" w:rsidR="006507E8" w:rsidRPr="00286216" w:rsidRDefault="006507E8" w:rsidP="006507E8">
            <w:pPr>
              <w:pStyle w:val="StyleWisnow"/>
              <w:rPr>
                <w:color w:val="000000" w:themeColor="text1"/>
              </w:rPr>
            </w:pPr>
          </w:p>
        </w:tc>
        <w:tc>
          <w:tcPr>
            <w:tcW w:w="4818" w:type="dxa"/>
          </w:tcPr>
          <w:p w14:paraId="3C5937D9" w14:textId="0BBD6578" w:rsidR="006507E8" w:rsidRPr="00286216" w:rsidRDefault="006507E8" w:rsidP="006507E8">
            <w:pPr>
              <w:pStyle w:val="StyleZakonu"/>
              <w:rPr>
                <w:color w:val="000000" w:themeColor="text1"/>
              </w:rPr>
            </w:pPr>
            <w:r w:rsidRPr="00286216">
              <w:rPr>
                <w:color w:val="000000" w:themeColor="text1"/>
              </w:rPr>
              <w:t>6. Включення до реєстру пов’язаних агентів проводиться на безоплатній основі.</w:t>
            </w:r>
          </w:p>
        </w:tc>
      </w:tr>
      <w:tr w:rsidR="006507E8" w:rsidRPr="00286216" w14:paraId="5B35AA61" w14:textId="77777777" w:rsidTr="00091AA5">
        <w:tc>
          <w:tcPr>
            <w:tcW w:w="576" w:type="dxa"/>
          </w:tcPr>
          <w:p w14:paraId="7CEFA7AA" w14:textId="77777777" w:rsidR="006507E8" w:rsidRPr="00286216" w:rsidRDefault="006507E8" w:rsidP="006507E8">
            <w:pPr>
              <w:pStyle w:val="StyleWisnow"/>
              <w:rPr>
                <w:color w:val="000000" w:themeColor="text1"/>
              </w:rPr>
            </w:pPr>
            <w:bookmarkStart w:id="1123" w:name="n1388" w:colFirst="0" w:colLast="0"/>
            <w:bookmarkEnd w:id="1122"/>
            <w:r w:rsidRPr="00286216">
              <w:rPr>
                <w:color w:val="000000" w:themeColor="text1"/>
              </w:rPr>
              <w:t>1388.</w:t>
            </w:r>
          </w:p>
        </w:tc>
        <w:tc>
          <w:tcPr>
            <w:tcW w:w="4818" w:type="dxa"/>
          </w:tcPr>
          <w:p w14:paraId="11002557" w14:textId="77777777" w:rsidR="006507E8" w:rsidRPr="00286216" w:rsidRDefault="006507E8" w:rsidP="006507E8">
            <w:pPr>
              <w:pStyle w:val="StyleZakonu"/>
              <w:rPr>
                <w:color w:val="000000" w:themeColor="text1"/>
              </w:rPr>
            </w:pPr>
            <w:r w:rsidRPr="00286216">
              <w:rPr>
                <w:color w:val="000000" w:themeColor="text1"/>
              </w:rPr>
              <w:t xml:space="preserve">7. Національна комісія з цінних паперів та </w:t>
            </w:r>
            <w:r w:rsidRPr="00286216">
              <w:rPr>
                <w:color w:val="000000" w:themeColor="text1"/>
              </w:rPr>
              <w:lastRenderedPageBreak/>
              <w:t>фондового ринку виключає з розділу реєстру пов’язаних агентів, що містить дані про осіб, що можуть укладати агентський договір, дані про особу, яка у встановленому Національною комісією з цінних паперів та фондового ринку порядку:</w:t>
            </w:r>
          </w:p>
        </w:tc>
        <w:tc>
          <w:tcPr>
            <w:tcW w:w="3686" w:type="dxa"/>
          </w:tcPr>
          <w:p w14:paraId="4DA52264" w14:textId="77777777" w:rsidR="006507E8" w:rsidRPr="00286216" w:rsidRDefault="006507E8" w:rsidP="006507E8">
            <w:pPr>
              <w:pStyle w:val="StyleProp"/>
              <w:rPr>
                <w:color w:val="000000" w:themeColor="text1"/>
                <w:szCs w:val="18"/>
              </w:rPr>
            </w:pPr>
          </w:p>
        </w:tc>
        <w:tc>
          <w:tcPr>
            <w:tcW w:w="1987" w:type="dxa"/>
          </w:tcPr>
          <w:p w14:paraId="5325417A" w14:textId="77777777" w:rsidR="006507E8" w:rsidRPr="00286216" w:rsidRDefault="006507E8" w:rsidP="006507E8">
            <w:pPr>
              <w:pStyle w:val="StyleWisnow"/>
              <w:rPr>
                <w:color w:val="000000" w:themeColor="text1"/>
              </w:rPr>
            </w:pPr>
          </w:p>
        </w:tc>
        <w:tc>
          <w:tcPr>
            <w:tcW w:w="4818" w:type="dxa"/>
          </w:tcPr>
          <w:p w14:paraId="574DB56B" w14:textId="679A198C" w:rsidR="006507E8" w:rsidRPr="00286216" w:rsidRDefault="006507E8" w:rsidP="006507E8">
            <w:pPr>
              <w:pStyle w:val="StyleZakonu"/>
              <w:rPr>
                <w:color w:val="000000" w:themeColor="text1"/>
              </w:rPr>
            </w:pPr>
            <w:r w:rsidRPr="00286216">
              <w:rPr>
                <w:color w:val="000000" w:themeColor="text1"/>
              </w:rPr>
              <w:t xml:space="preserve">7. Національна комісія з цінних паперів та </w:t>
            </w:r>
            <w:r w:rsidRPr="00286216">
              <w:rPr>
                <w:color w:val="000000" w:themeColor="text1"/>
              </w:rPr>
              <w:lastRenderedPageBreak/>
              <w:t>фондового ринку виключає з розділу реєстру пов’язаних агентів, що містить дані про осіб, які можуть укладати агентський договір, дані про особу, яка у встановленому Національною комісією з цінних паперів та фондового ринку порядку:</w:t>
            </w:r>
          </w:p>
        </w:tc>
      </w:tr>
      <w:tr w:rsidR="006507E8" w:rsidRPr="00286216" w14:paraId="08D8B2C5" w14:textId="77777777" w:rsidTr="00091AA5">
        <w:tc>
          <w:tcPr>
            <w:tcW w:w="576" w:type="dxa"/>
          </w:tcPr>
          <w:p w14:paraId="34D62348" w14:textId="77777777" w:rsidR="006507E8" w:rsidRPr="00286216" w:rsidRDefault="006507E8" w:rsidP="006507E8">
            <w:pPr>
              <w:pStyle w:val="StyleWisnow"/>
              <w:rPr>
                <w:color w:val="000000" w:themeColor="text1"/>
              </w:rPr>
            </w:pPr>
            <w:bookmarkStart w:id="1124" w:name="n1389" w:colFirst="0" w:colLast="0"/>
            <w:bookmarkEnd w:id="1123"/>
            <w:r w:rsidRPr="00286216">
              <w:rPr>
                <w:color w:val="000000" w:themeColor="text1"/>
              </w:rPr>
              <w:lastRenderedPageBreak/>
              <w:t>1389.</w:t>
            </w:r>
          </w:p>
        </w:tc>
        <w:tc>
          <w:tcPr>
            <w:tcW w:w="4818" w:type="dxa"/>
          </w:tcPr>
          <w:p w14:paraId="1614450B" w14:textId="77777777" w:rsidR="006507E8" w:rsidRPr="00286216" w:rsidRDefault="006507E8" w:rsidP="006507E8">
            <w:pPr>
              <w:pStyle w:val="StyleZakonu"/>
              <w:rPr>
                <w:color w:val="000000" w:themeColor="text1"/>
              </w:rPr>
            </w:pPr>
            <w:r w:rsidRPr="00286216">
              <w:rPr>
                <w:color w:val="000000" w:themeColor="text1"/>
              </w:rPr>
              <w:t>3) повідомила про відмову від наміру провадити діяльність пов’язаного агента;</w:t>
            </w:r>
          </w:p>
        </w:tc>
        <w:tc>
          <w:tcPr>
            <w:tcW w:w="3686" w:type="dxa"/>
          </w:tcPr>
          <w:p w14:paraId="22A98034" w14:textId="77777777" w:rsidR="006507E8" w:rsidRPr="00286216" w:rsidRDefault="006507E8" w:rsidP="006507E8">
            <w:pPr>
              <w:pStyle w:val="StyleProp"/>
              <w:rPr>
                <w:color w:val="000000" w:themeColor="text1"/>
                <w:szCs w:val="18"/>
              </w:rPr>
            </w:pPr>
          </w:p>
        </w:tc>
        <w:tc>
          <w:tcPr>
            <w:tcW w:w="1987" w:type="dxa"/>
          </w:tcPr>
          <w:p w14:paraId="5BA8101F" w14:textId="77777777" w:rsidR="006507E8" w:rsidRPr="00286216" w:rsidRDefault="006507E8" w:rsidP="006507E8">
            <w:pPr>
              <w:pStyle w:val="StyleWisnow"/>
              <w:rPr>
                <w:color w:val="000000" w:themeColor="text1"/>
              </w:rPr>
            </w:pPr>
          </w:p>
        </w:tc>
        <w:tc>
          <w:tcPr>
            <w:tcW w:w="4818" w:type="dxa"/>
          </w:tcPr>
          <w:p w14:paraId="597F6F2B" w14:textId="43785A5E" w:rsidR="006507E8" w:rsidRPr="00286216" w:rsidRDefault="006507E8" w:rsidP="006507E8">
            <w:pPr>
              <w:pStyle w:val="StyleZakonu"/>
              <w:rPr>
                <w:color w:val="000000" w:themeColor="text1"/>
              </w:rPr>
            </w:pPr>
            <w:r w:rsidRPr="00286216">
              <w:rPr>
                <w:color w:val="000000" w:themeColor="text1"/>
              </w:rPr>
              <w:t>1) повідомила про відмову від наміру провадити діяльність пов’язаного агента;</w:t>
            </w:r>
          </w:p>
        </w:tc>
      </w:tr>
      <w:tr w:rsidR="006507E8" w:rsidRPr="00286216" w14:paraId="1E463585" w14:textId="77777777" w:rsidTr="00091AA5">
        <w:tc>
          <w:tcPr>
            <w:tcW w:w="576" w:type="dxa"/>
          </w:tcPr>
          <w:p w14:paraId="7C4EE37D" w14:textId="77777777" w:rsidR="006507E8" w:rsidRPr="00286216" w:rsidRDefault="006507E8" w:rsidP="006507E8">
            <w:pPr>
              <w:pStyle w:val="StyleWisnow"/>
              <w:rPr>
                <w:color w:val="000000" w:themeColor="text1"/>
              </w:rPr>
            </w:pPr>
            <w:bookmarkStart w:id="1125" w:name="n1390" w:colFirst="0" w:colLast="0"/>
            <w:bookmarkEnd w:id="1124"/>
            <w:r w:rsidRPr="00286216">
              <w:rPr>
                <w:color w:val="000000" w:themeColor="text1"/>
              </w:rPr>
              <w:t>1390.</w:t>
            </w:r>
          </w:p>
        </w:tc>
        <w:tc>
          <w:tcPr>
            <w:tcW w:w="4818" w:type="dxa"/>
          </w:tcPr>
          <w:p w14:paraId="797A2DE4" w14:textId="77777777" w:rsidR="006507E8" w:rsidRPr="00286216" w:rsidRDefault="006507E8" w:rsidP="006507E8">
            <w:pPr>
              <w:pStyle w:val="StyleZakonu"/>
              <w:rPr>
                <w:color w:val="000000" w:themeColor="text1"/>
              </w:rPr>
            </w:pPr>
            <w:r w:rsidRPr="00286216">
              <w:rPr>
                <w:color w:val="000000" w:themeColor="text1"/>
              </w:rPr>
              <w:t>4) визнана Національною комісією з цінних паперів та фондового ринку такою, що подала недостовірні відомості для включення її до реєстру пов’язаних агентів;</w:t>
            </w:r>
          </w:p>
        </w:tc>
        <w:tc>
          <w:tcPr>
            <w:tcW w:w="3686" w:type="dxa"/>
          </w:tcPr>
          <w:p w14:paraId="5F3F6ADA" w14:textId="77777777" w:rsidR="006507E8" w:rsidRPr="00286216" w:rsidRDefault="006507E8" w:rsidP="006507E8">
            <w:pPr>
              <w:pStyle w:val="StyleProp"/>
              <w:rPr>
                <w:color w:val="000000" w:themeColor="text1"/>
                <w:szCs w:val="18"/>
              </w:rPr>
            </w:pPr>
          </w:p>
        </w:tc>
        <w:tc>
          <w:tcPr>
            <w:tcW w:w="1987" w:type="dxa"/>
          </w:tcPr>
          <w:p w14:paraId="1EF3241C" w14:textId="77777777" w:rsidR="006507E8" w:rsidRPr="00286216" w:rsidRDefault="006507E8" w:rsidP="006507E8">
            <w:pPr>
              <w:pStyle w:val="StyleWisnow"/>
              <w:rPr>
                <w:color w:val="000000" w:themeColor="text1"/>
              </w:rPr>
            </w:pPr>
          </w:p>
        </w:tc>
        <w:tc>
          <w:tcPr>
            <w:tcW w:w="4818" w:type="dxa"/>
          </w:tcPr>
          <w:p w14:paraId="70BD03C3" w14:textId="6B834E4E" w:rsidR="006507E8" w:rsidRPr="00286216" w:rsidRDefault="006507E8" w:rsidP="006507E8">
            <w:pPr>
              <w:pStyle w:val="StyleZakonu"/>
              <w:rPr>
                <w:color w:val="000000" w:themeColor="text1"/>
              </w:rPr>
            </w:pPr>
            <w:r w:rsidRPr="00286216">
              <w:rPr>
                <w:color w:val="000000" w:themeColor="text1"/>
              </w:rPr>
              <w:t>2) визнана Національною комісією з цінних паперів та фондового ринку такою, що подала недостовірні відомості для включення її до реєстру пов’язаних агентів;</w:t>
            </w:r>
          </w:p>
        </w:tc>
      </w:tr>
      <w:tr w:rsidR="006507E8" w:rsidRPr="00286216" w14:paraId="1F6BBF71" w14:textId="77777777" w:rsidTr="00091AA5">
        <w:tc>
          <w:tcPr>
            <w:tcW w:w="576" w:type="dxa"/>
          </w:tcPr>
          <w:p w14:paraId="067FF587" w14:textId="77777777" w:rsidR="006507E8" w:rsidRPr="00286216" w:rsidRDefault="006507E8" w:rsidP="006507E8">
            <w:pPr>
              <w:pStyle w:val="StyleWisnow"/>
              <w:rPr>
                <w:color w:val="000000" w:themeColor="text1"/>
              </w:rPr>
            </w:pPr>
            <w:bookmarkStart w:id="1126" w:name="n1391" w:colFirst="0" w:colLast="0"/>
            <w:bookmarkEnd w:id="1125"/>
            <w:r w:rsidRPr="00286216">
              <w:rPr>
                <w:color w:val="000000" w:themeColor="text1"/>
              </w:rPr>
              <w:t>1391.</w:t>
            </w:r>
          </w:p>
        </w:tc>
        <w:tc>
          <w:tcPr>
            <w:tcW w:w="4818" w:type="dxa"/>
          </w:tcPr>
          <w:p w14:paraId="75FAF715" w14:textId="77777777" w:rsidR="006507E8" w:rsidRPr="00286216" w:rsidRDefault="006507E8" w:rsidP="006507E8">
            <w:pPr>
              <w:pStyle w:val="StyleZakonu"/>
              <w:rPr>
                <w:color w:val="000000" w:themeColor="text1"/>
              </w:rPr>
            </w:pPr>
            <w:r w:rsidRPr="00286216">
              <w:rPr>
                <w:color w:val="000000" w:themeColor="text1"/>
              </w:rPr>
              <w:t>5) визнана Національною комісією з цінних паперів та фондового ринку такою, що не відповідає вимогам частини четвертої цієї статті, за результатами перевірки, проведеної на підставі заяви інвестиційної фірми, з якою така особа уклала агентський договір.</w:t>
            </w:r>
          </w:p>
        </w:tc>
        <w:tc>
          <w:tcPr>
            <w:tcW w:w="3686" w:type="dxa"/>
          </w:tcPr>
          <w:p w14:paraId="37E5E5ED" w14:textId="77777777" w:rsidR="006507E8" w:rsidRPr="00286216" w:rsidRDefault="006507E8" w:rsidP="006507E8">
            <w:pPr>
              <w:pStyle w:val="StyleProp"/>
              <w:rPr>
                <w:color w:val="000000" w:themeColor="text1"/>
                <w:szCs w:val="18"/>
              </w:rPr>
            </w:pPr>
          </w:p>
        </w:tc>
        <w:tc>
          <w:tcPr>
            <w:tcW w:w="1987" w:type="dxa"/>
          </w:tcPr>
          <w:p w14:paraId="09B29456" w14:textId="77777777" w:rsidR="006507E8" w:rsidRPr="00286216" w:rsidRDefault="006507E8" w:rsidP="006507E8">
            <w:pPr>
              <w:pStyle w:val="StyleWisnow"/>
              <w:rPr>
                <w:color w:val="000000" w:themeColor="text1"/>
              </w:rPr>
            </w:pPr>
          </w:p>
        </w:tc>
        <w:tc>
          <w:tcPr>
            <w:tcW w:w="4818" w:type="dxa"/>
          </w:tcPr>
          <w:p w14:paraId="22F1558D" w14:textId="2A212B4B" w:rsidR="006507E8" w:rsidRPr="00286216" w:rsidRDefault="006507E8" w:rsidP="006507E8">
            <w:pPr>
              <w:pStyle w:val="StyleZakonu"/>
              <w:rPr>
                <w:color w:val="000000" w:themeColor="text1"/>
              </w:rPr>
            </w:pPr>
            <w:r w:rsidRPr="00286216">
              <w:rPr>
                <w:color w:val="000000" w:themeColor="text1"/>
              </w:rPr>
              <w:t>3) визнана Національною комісією з цінних паперів та фондового ринку такою, що не відповідає вимогам частини четвертої цієї статті, за результатами перевірки, проведеної на підставі заяви інвестиційної фірми, з якою така особа уклала агентський договір.</w:t>
            </w:r>
          </w:p>
        </w:tc>
      </w:tr>
      <w:tr w:rsidR="006507E8" w:rsidRPr="00286216" w14:paraId="4B84AAAD" w14:textId="77777777" w:rsidTr="00091AA5">
        <w:tc>
          <w:tcPr>
            <w:tcW w:w="576" w:type="dxa"/>
          </w:tcPr>
          <w:p w14:paraId="039C14E4" w14:textId="77777777" w:rsidR="006507E8" w:rsidRPr="00286216" w:rsidRDefault="006507E8" w:rsidP="006507E8">
            <w:pPr>
              <w:pStyle w:val="StyleWisnow"/>
              <w:rPr>
                <w:color w:val="000000" w:themeColor="text1"/>
              </w:rPr>
            </w:pPr>
            <w:bookmarkStart w:id="1127" w:name="n1392" w:colFirst="0" w:colLast="0"/>
            <w:bookmarkEnd w:id="1126"/>
            <w:r w:rsidRPr="00286216">
              <w:rPr>
                <w:color w:val="000000" w:themeColor="text1"/>
              </w:rPr>
              <w:t>1392.</w:t>
            </w:r>
          </w:p>
        </w:tc>
        <w:tc>
          <w:tcPr>
            <w:tcW w:w="4818" w:type="dxa"/>
          </w:tcPr>
          <w:p w14:paraId="15DA2335" w14:textId="77777777" w:rsidR="006507E8" w:rsidRPr="00286216" w:rsidRDefault="006507E8" w:rsidP="006507E8">
            <w:pPr>
              <w:pStyle w:val="StyleZakonu"/>
              <w:rPr>
                <w:color w:val="000000" w:themeColor="text1"/>
              </w:rPr>
            </w:pPr>
            <w:r w:rsidRPr="00286216">
              <w:rPr>
                <w:color w:val="000000" w:themeColor="text1"/>
              </w:rPr>
              <w:t>8. Відомості з реєстру пов’язаних агентів розміщуються на веб-сайті Національної комісії з цінних паперів та фондового ринку та оновлюються таким чином, щоб забезпечити їх актуальність.</w:t>
            </w:r>
          </w:p>
        </w:tc>
        <w:tc>
          <w:tcPr>
            <w:tcW w:w="3686" w:type="dxa"/>
          </w:tcPr>
          <w:p w14:paraId="6C855A74" w14:textId="77777777" w:rsidR="006507E8" w:rsidRPr="00286216" w:rsidRDefault="006507E8" w:rsidP="006507E8">
            <w:pPr>
              <w:pStyle w:val="StyleProp"/>
              <w:rPr>
                <w:color w:val="000000" w:themeColor="text1"/>
                <w:szCs w:val="18"/>
              </w:rPr>
            </w:pPr>
          </w:p>
        </w:tc>
        <w:tc>
          <w:tcPr>
            <w:tcW w:w="1987" w:type="dxa"/>
          </w:tcPr>
          <w:p w14:paraId="52EC08CE" w14:textId="77777777" w:rsidR="006507E8" w:rsidRPr="00286216" w:rsidRDefault="006507E8" w:rsidP="006507E8">
            <w:pPr>
              <w:pStyle w:val="StyleWisnow"/>
              <w:rPr>
                <w:color w:val="000000" w:themeColor="text1"/>
              </w:rPr>
            </w:pPr>
          </w:p>
        </w:tc>
        <w:tc>
          <w:tcPr>
            <w:tcW w:w="4818" w:type="dxa"/>
          </w:tcPr>
          <w:p w14:paraId="441A99A2" w14:textId="2C23DA3E" w:rsidR="006507E8" w:rsidRPr="00286216" w:rsidRDefault="006507E8" w:rsidP="006507E8">
            <w:pPr>
              <w:pStyle w:val="StyleZakonu"/>
              <w:rPr>
                <w:color w:val="000000" w:themeColor="text1"/>
              </w:rPr>
            </w:pPr>
            <w:r w:rsidRPr="00286216">
              <w:rPr>
                <w:color w:val="000000" w:themeColor="text1"/>
              </w:rPr>
              <w:t>8. Відомості з реєстру пов’язаних агентів оприлюднюються на офіційному веб-сайті Національної комісії з цінних паперів та фондового ринку та оновлюються з метою забезпечення їх актуальності.</w:t>
            </w:r>
          </w:p>
        </w:tc>
      </w:tr>
      <w:tr w:rsidR="006507E8" w:rsidRPr="00286216" w14:paraId="23733FD4" w14:textId="77777777" w:rsidTr="00091AA5">
        <w:tc>
          <w:tcPr>
            <w:tcW w:w="576" w:type="dxa"/>
          </w:tcPr>
          <w:p w14:paraId="3B948BFC" w14:textId="77777777" w:rsidR="006507E8" w:rsidRPr="00286216" w:rsidRDefault="006507E8" w:rsidP="006507E8">
            <w:pPr>
              <w:pStyle w:val="StyleWisnow"/>
              <w:rPr>
                <w:color w:val="000000" w:themeColor="text1"/>
              </w:rPr>
            </w:pPr>
            <w:bookmarkStart w:id="1128" w:name="n1393" w:colFirst="0" w:colLast="0"/>
            <w:bookmarkEnd w:id="1127"/>
            <w:r w:rsidRPr="00286216">
              <w:rPr>
                <w:color w:val="000000" w:themeColor="text1"/>
              </w:rPr>
              <w:t>1393.</w:t>
            </w:r>
          </w:p>
        </w:tc>
        <w:tc>
          <w:tcPr>
            <w:tcW w:w="4818" w:type="dxa"/>
          </w:tcPr>
          <w:p w14:paraId="4CCB13EB" w14:textId="77777777" w:rsidR="006507E8" w:rsidRPr="00286216" w:rsidRDefault="006507E8" w:rsidP="006507E8">
            <w:pPr>
              <w:pStyle w:val="StyleZakonu"/>
              <w:rPr>
                <w:color w:val="000000" w:themeColor="text1"/>
              </w:rPr>
            </w:pPr>
            <w:r w:rsidRPr="00286216">
              <w:rPr>
                <w:color w:val="000000" w:themeColor="text1"/>
              </w:rPr>
              <w:t>Стаття 81. Діяльність пов’язаного агента</w:t>
            </w:r>
          </w:p>
        </w:tc>
        <w:tc>
          <w:tcPr>
            <w:tcW w:w="3686" w:type="dxa"/>
          </w:tcPr>
          <w:p w14:paraId="25C80241" w14:textId="77777777" w:rsidR="006507E8" w:rsidRPr="00286216" w:rsidRDefault="006507E8" w:rsidP="006507E8">
            <w:pPr>
              <w:pStyle w:val="StyleProp"/>
              <w:rPr>
                <w:color w:val="000000" w:themeColor="text1"/>
                <w:szCs w:val="18"/>
              </w:rPr>
            </w:pPr>
          </w:p>
        </w:tc>
        <w:tc>
          <w:tcPr>
            <w:tcW w:w="1987" w:type="dxa"/>
          </w:tcPr>
          <w:p w14:paraId="050B2FF7" w14:textId="77777777" w:rsidR="006507E8" w:rsidRPr="00286216" w:rsidRDefault="006507E8" w:rsidP="006507E8">
            <w:pPr>
              <w:pStyle w:val="StyleWisnow"/>
              <w:rPr>
                <w:color w:val="000000" w:themeColor="text1"/>
              </w:rPr>
            </w:pPr>
          </w:p>
        </w:tc>
        <w:tc>
          <w:tcPr>
            <w:tcW w:w="4818" w:type="dxa"/>
          </w:tcPr>
          <w:p w14:paraId="193BBAA0" w14:textId="00796C44" w:rsidR="006507E8" w:rsidRPr="00286216" w:rsidRDefault="006507E8" w:rsidP="006507E8">
            <w:pPr>
              <w:pStyle w:val="StyleZakonu"/>
              <w:rPr>
                <w:color w:val="000000" w:themeColor="text1"/>
              </w:rPr>
            </w:pPr>
            <w:r w:rsidRPr="00286216">
              <w:rPr>
                <w:color w:val="000000" w:themeColor="text1"/>
              </w:rPr>
              <w:t xml:space="preserve">Стаття </w:t>
            </w:r>
            <w:r w:rsidRPr="00286216">
              <w:rPr>
                <w:color w:val="000000" w:themeColor="text1"/>
                <w:lang w:val="ru-RU"/>
              </w:rPr>
              <w:t>85</w:t>
            </w:r>
            <w:r w:rsidRPr="00286216">
              <w:rPr>
                <w:color w:val="000000" w:themeColor="text1"/>
              </w:rPr>
              <w:t>. Діяльність пов’язаного агента</w:t>
            </w:r>
          </w:p>
        </w:tc>
      </w:tr>
      <w:tr w:rsidR="006507E8" w:rsidRPr="00286216" w14:paraId="7D74170B" w14:textId="77777777" w:rsidTr="00091AA5">
        <w:tc>
          <w:tcPr>
            <w:tcW w:w="576" w:type="dxa"/>
          </w:tcPr>
          <w:p w14:paraId="1764683B" w14:textId="77777777" w:rsidR="006507E8" w:rsidRPr="00286216" w:rsidRDefault="006507E8" w:rsidP="006507E8">
            <w:pPr>
              <w:pStyle w:val="StyleWisnow"/>
              <w:rPr>
                <w:color w:val="000000" w:themeColor="text1"/>
              </w:rPr>
            </w:pPr>
            <w:bookmarkStart w:id="1129" w:name="n1394" w:colFirst="0" w:colLast="0"/>
            <w:bookmarkEnd w:id="1128"/>
            <w:r w:rsidRPr="00286216">
              <w:rPr>
                <w:color w:val="000000" w:themeColor="text1"/>
              </w:rPr>
              <w:t>1394.</w:t>
            </w:r>
          </w:p>
        </w:tc>
        <w:tc>
          <w:tcPr>
            <w:tcW w:w="4818" w:type="dxa"/>
          </w:tcPr>
          <w:p w14:paraId="01FF6C77" w14:textId="77777777" w:rsidR="006507E8" w:rsidRPr="00286216" w:rsidRDefault="006507E8" w:rsidP="006507E8">
            <w:pPr>
              <w:pStyle w:val="StyleZakonu"/>
              <w:rPr>
                <w:color w:val="000000" w:themeColor="text1"/>
              </w:rPr>
            </w:pPr>
            <w:r w:rsidRPr="00286216">
              <w:rPr>
                <w:color w:val="000000" w:themeColor="text1"/>
              </w:rPr>
              <w:t>1. Статус пов’язаного агента можуть набути виключно особи, внесені до реєстру пов’язаних агентів.</w:t>
            </w:r>
          </w:p>
        </w:tc>
        <w:tc>
          <w:tcPr>
            <w:tcW w:w="3686" w:type="dxa"/>
          </w:tcPr>
          <w:p w14:paraId="3EF0BA37" w14:textId="77777777" w:rsidR="006507E8" w:rsidRPr="00286216" w:rsidRDefault="006507E8" w:rsidP="006507E8">
            <w:pPr>
              <w:pStyle w:val="StyleProp"/>
              <w:rPr>
                <w:color w:val="000000" w:themeColor="text1"/>
                <w:szCs w:val="18"/>
              </w:rPr>
            </w:pPr>
          </w:p>
        </w:tc>
        <w:tc>
          <w:tcPr>
            <w:tcW w:w="1987" w:type="dxa"/>
          </w:tcPr>
          <w:p w14:paraId="3424B789" w14:textId="77777777" w:rsidR="006507E8" w:rsidRPr="00286216" w:rsidRDefault="006507E8" w:rsidP="006507E8">
            <w:pPr>
              <w:pStyle w:val="StyleWisnow"/>
              <w:rPr>
                <w:color w:val="000000" w:themeColor="text1"/>
              </w:rPr>
            </w:pPr>
          </w:p>
        </w:tc>
        <w:tc>
          <w:tcPr>
            <w:tcW w:w="4818" w:type="dxa"/>
          </w:tcPr>
          <w:p w14:paraId="7FA1CE4B" w14:textId="6E266F36" w:rsidR="006507E8" w:rsidRPr="00286216" w:rsidRDefault="006507E8" w:rsidP="006507E8">
            <w:pPr>
              <w:pStyle w:val="StyleZakonu"/>
              <w:rPr>
                <w:color w:val="000000" w:themeColor="text1"/>
              </w:rPr>
            </w:pPr>
            <w:r w:rsidRPr="00286216">
              <w:rPr>
                <w:color w:val="000000" w:themeColor="text1"/>
              </w:rPr>
              <w:t>1. Статус пов’язаного агента можуть набути виключно особи, внесені до реєстру пов’язаних агентів.</w:t>
            </w:r>
          </w:p>
        </w:tc>
      </w:tr>
      <w:tr w:rsidR="006507E8" w:rsidRPr="00286216" w14:paraId="3A3033D1" w14:textId="77777777" w:rsidTr="00091AA5">
        <w:tc>
          <w:tcPr>
            <w:tcW w:w="576" w:type="dxa"/>
          </w:tcPr>
          <w:p w14:paraId="69A4EE50" w14:textId="77777777" w:rsidR="006507E8" w:rsidRPr="00286216" w:rsidRDefault="006507E8" w:rsidP="006507E8">
            <w:pPr>
              <w:pStyle w:val="StyleWisnow"/>
              <w:rPr>
                <w:color w:val="000000" w:themeColor="text1"/>
              </w:rPr>
            </w:pPr>
            <w:bookmarkStart w:id="1130" w:name="n1395" w:colFirst="0" w:colLast="0"/>
            <w:bookmarkEnd w:id="1129"/>
            <w:r w:rsidRPr="00286216">
              <w:rPr>
                <w:color w:val="000000" w:themeColor="text1"/>
              </w:rPr>
              <w:t>1395.</w:t>
            </w:r>
          </w:p>
        </w:tc>
        <w:tc>
          <w:tcPr>
            <w:tcW w:w="4818" w:type="dxa"/>
          </w:tcPr>
          <w:p w14:paraId="775773DC" w14:textId="77777777" w:rsidR="006507E8" w:rsidRPr="00286216" w:rsidRDefault="006507E8" w:rsidP="006507E8">
            <w:pPr>
              <w:pStyle w:val="StyleZakonu"/>
              <w:rPr>
                <w:color w:val="000000" w:themeColor="text1"/>
              </w:rPr>
            </w:pPr>
            <w:r w:rsidRPr="00286216">
              <w:rPr>
                <w:color w:val="000000" w:themeColor="text1"/>
              </w:rPr>
              <w:t>2. Повну та безумовну відповідальність за будь-які дії, що вчиняються пов’язаним агентом та пов’язані з безпосереднім провадженням професійної діяльності на ринках капіталу інвестиційною фірмою, несе така інвестиційна фірма. Інвестиційна фірма, що відшкодувала шкоду, завдану з вини пов’язаного агента з яким вона уклала агентський договір, має право зворотної вимоги (регресу) до такого агента.</w:t>
            </w:r>
          </w:p>
        </w:tc>
        <w:tc>
          <w:tcPr>
            <w:tcW w:w="3686" w:type="dxa"/>
          </w:tcPr>
          <w:p w14:paraId="7104C856" w14:textId="77777777" w:rsidR="006507E8" w:rsidRPr="00286216" w:rsidRDefault="006507E8" w:rsidP="006507E8">
            <w:pPr>
              <w:pStyle w:val="StyleProp"/>
              <w:rPr>
                <w:color w:val="000000" w:themeColor="text1"/>
                <w:szCs w:val="18"/>
              </w:rPr>
            </w:pPr>
          </w:p>
        </w:tc>
        <w:tc>
          <w:tcPr>
            <w:tcW w:w="1987" w:type="dxa"/>
          </w:tcPr>
          <w:p w14:paraId="5F86908A" w14:textId="77777777" w:rsidR="006507E8" w:rsidRPr="00286216" w:rsidRDefault="006507E8" w:rsidP="006507E8">
            <w:pPr>
              <w:pStyle w:val="StyleWisnow"/>
              <w:rPr>
                <w:color w:val="000000" w:themeColor="text1"/>
              </w:rPr>
            </w:pPr>
          </w:p>
        </w:tc>
        <w:tc>
          <w:tcPr>
            <w:tcW w:w="4818" w:type="dxa"/>
          </w:tcPr>
          <w:p w14:paraId="4863DD5E" w14:textId="3FDE71EE" w:rsidR="006507E8" w:rsidRPr="00286216" w:rsidRDefault="006507E8" w:rsidP="006507E8">
            <w:pPr>
              <w:pStyle w:val="StyleZakonu"/>
              <w:rPr>
                <w:color w:val="000000" w:themeColor="text1"/>
              </w:rPr>
            </w:pPr>
            <w:r w:rsidRPr="00286216">
              <w:rPr>
                <w:color w:val="000000" w:themeColor="text1"/>
              </w:rPr>
              <w:t>2. Повну та безумовну відповідальність за будь-які дії, що вчиняються пов’язаним агентом та пов’язані з безпосереднім провадженням професійної діяльності на ринках капіталу інвестиційною фірмою, несе така інвестиційна фірма. Інвестиційна фірма, що відшкодувала шкоду, завдану з вини пов’язаного агента, з яким вона уклала агентський договір, має право зворотної вимоги (регресу) до такого агента.</w:t>
            </w:r>
          </w:p>
        </w:tc>
      </w:tr>
      <w:tr w:rsidR="006507E8" w:rsidRPr="00286216" w14:paraId="13AF5E4C" w14:textId="77777777" w:rsidTr="00091AA5">
        <w:tc>
          <w:tcPr>
            <w:tcW w:w="576" w:type="dxa"/>
          </w:tcPr>
          <w:p w14:paraId="6640BC81" w14:textId="77777777" w:rsidR="006507E8" w:rsidRPr="00286216" w:rsidRDefault="006507E8" w:rsidP="006507E8">
            <w:pPr>
              <w:pStyle w:val="StyleWisnow"/>
              <w:rPr>
                <w:color w:val="000000" w:themeColor="text1"/>
              </w:rPr>
            </w:pPr>
            <w:bookmarkStart w:id="1131" w:name="n1396" w:colFirst="0" w:colLast="0"/>
            <w:bookmarkEnd w:id="1130"/>
            <w:r w:rsidRPr="00286216">
              <w:rPr>
                <w:color w:val="000000" w:themeColor="text1"/>
              </w:rPr>
              <w:t>1396.</w:t>
            </w:r>
          </w:p>
        </w:tc>
        <w:tc>
          <w:tcPr>
            <w:tcW w:w="4818" w:type="dxa"/>
          </w:tcPr>
          <w:p w14:paraId="5C8C8A10" w14:textId="77777777" w:rsidR="006507E8" w:rsidRPr="00286216" w:rsidRDefault="006507E8" w:rsidP="006507E8">
            <w:pPr>
              <w:pStyle w:val="StyleZakonu"/>
              <w:rPr>
                <w:color w:val="000000" w:themeColor="text1"/>
              </w:rPr>
            </w:pPr>
            <w:r w:rsidRPr="00286216">
              <w:rPr>
                <w:color w:val="000000" w:themeColor="text1"/>
              </w:rPr>
              <w:t xml:space="preserve">3. До початку встановлення відносин із клієнтом, а також щоразу до початку надання послуг клієнту пов’язаний агент повідомляє потенційного клієнта або клієнта про свій статус агента та надає вичерпну інформацію, необхідну потенційному клієнтові або клієнтові для ідентифікації інвестиційної фірми від імені, в інтересах, під контролем та за рахунок якої діє пов’язаний агент. Інвестиційна фірма, яка уклала договір з пов’язаним агентом, організовує контроль за </w:t>
            </w:r>
            <w:r w:rsidRPr="00286216">
              <w:rPr>
                <w:color w:val="000000" w:themeColor="text1"/>
              </w:rPr>
              <w:lastRenderedPageBreak/>
              <w:t>виконанням ним обов’язків, передбачених цією частиною статті.</w:t>
            </w:r>
          </w:p>
        </w:tc>
        <w:tc>
          <w:tcPr>
            <w:tcW w:w="3686" w:type="dxa"/>
          </w:tcPr>
          <w:p w14:paraId="1699628E" w14:textId="77777777" w:rsidR="006507E8" w:rsidRPr="00286216" w:rsidRDefault="006507E8" w:rsidP="006507E8">
            <w:pPr>
              <w:pStyle w:val="StyleProp"/>
              <w:rPr>
                <w:color w:val="000000" w:themeColor="text1"/>
                <w:szCs w:val="18"/>
              </w:rPr>
            </w:pPr>
          </w:p>
        </w:tc>
        <w:tc>
          <w:tcPr>
            <w:tcW w:w="1987" w:type="dxa"/>
          </w:tcPr>
          <w:p w14:paraId="156693CA" w14:textId="77777777" w:rsidR="006507E8" w:rsidRPr="00286216" w:rsidRDefault="006507E8" w:rsidP="006507E8">
            <w:pPr>
              <w:pStyle w:val="StyleWisnow"/>
              <w:rPr>
                <w:color w:val="000000" w:themeColor="text1"/>
              </w:rPr>
            </w:pPr>
          </w:p>
        </w:tc>
        <w:tc>
          <w:tcPr>
            <w:tcW w:w="4818" w:type="dxa"/>
          </w:tcPr>
          <w:p w14:paraId="1B407AAF" w14:textId="5E751C5B" w:rsidR="006507E8" w:rsidRPr="00286216" w:rsidRDefault="006507E8" w:rsidP="006507E8">
            <w:pPr>
              <w:pStyle w:val="StyleZakonu"/>
              <w:rPr>
                <w:color w:val="000000" w:themeColor="text1"/>
              </w:rPr>
            </w:pPr>
            <w:r w:rsidRPr="00286216">
              <w:rPr>
                <w:color w:val="000000" w:themeColor="text1"/>
              </w:rPr>
              <w:t xml:space="preserve">3. До початку встановлення відносин з клієнтом, а також щоразу до початку надання послуг клієнту пов’язаний агент повідомляє потенційного клієнта або клієнта про свій статус агента та надає вичерпну інформацію, необхідну потенційному клієнту або клієнту для ідентифікації інвестиційної фірми, від імені, в інтересах, під контролем та за рахунок якої діє пов’язаний агент. Інвестиційна фірма, що уклала договір з пов’язаним агентом, організовує контроль за </w:t>
            </w:r>
            <w:r w:rsidRPr="00286216">
              <w:rPr>
                <w:color w:val="000000" w:themeColor="text1"/>
              </w:rPr>
              <w:lastRenderedPageBreak/>
              <w:t>виконанням ним обов’язків, передбачених цією частиною.</w:t>
            </w:r>
          </w:p>
        </w:tc>
      </w:tr>
      <w:tr w:rsidR="006507E8" w:rsidRPr="00286216" w14:paraId="5A4BB54B" w14:textId="77777777" w:rsidTr="00091AA5">
        <w:tc>
          <w:tcPr>
            <w:tcW w:w="576" w:type="dxa"/>
          </w:tcPr>
          <w:p w14:paraId="49C15177" w14:textId="77777777" w:rsidR="006507E8" w:rsidRPr="00286216" w:rsidRDefault="006507E8" w:rsidP="006507E8">
            <w:pPr>
              <w:pStyle w:val="StyleWisnow"/>
              <w:rPr>
                <w:color w:val="000000" w:themeColor="text1"/>
              </w:rPr>
            </w:pPr>
            <w:bookmarkStart w:id="1132" w:name="n1397" w:colFirst="0" w:colLast="0"/>
            <w:bookmarkEnd w:id="1131"/>
            <w:r w:rsidRPr="00286216">
              <w:rPr>
                <w:color w:val="000000" w:themeColor="text1"/>
              </w:rPr>
              <w:lastRenderedPageBreak/>
              <w:t>1397.</w:t>
            </w:r>
          </w:p>
        </w:tc>
        <w:tc>
          <w:tcPr>
            <w:tcW w:w="4818" w:type="dxa"/>
          </w:tcPr>
          <w:p w14:paraId="185F237D" w14:textId="77777777" w:rsidR="006507E8" w:rsidRPr="00286216" w:rsidRDefault="006507E8" w:rsidP="006507E8">
            <w:pPr>
              <w:pStyle w:val="StyleZakonu"/>
              <w:rPr>
                <w:color w:val="000000" w:themeColor="text1"/>
              </w:rPr>
            </w:pPr>
            <w:r w:rsidRPr="00286216">
              <w:rPr>
                <w:color w:val="000000" w:themeColor="text1"/>
              </w:rPr>
              <w:t>4. Інвестиційна фірма, що уклала договір з пов’язаним агентом (пов’язаними агентами), забезпечує виконання ним (ними) усіх обов’язків інвестиційної фірми, передбачених законодавством, що регулює професійну діяльність такої інвестиційної фірми на ринках капіталу. На вимогу Національної комісії з цінних паперів та фондового ринку інвестиційна фірма зобов’язана довести ефективність наявних у неї механізмів контролю діяльності пов’язаного агента. Національна комісія з цінних паперів та фондового ринку може вимагати дострокового припинення дії агентського договору, якщо встановить, що неефективність встановлених інвестиційною фірмою механізмів контролю за діяльністю пов’язаного агента створює загрозу для інтересів клієнтів інвестиційної фірми.</w:t>
            </w:r>
          </w:p>
        </w:tc>
        <w:tc>
          <w:tcPr>
            <w:tcW w:w="3686" w:type="dxa"/>
          </w:tcPr>
          <w:p w14:paraId="14E14369" w14:textId="4602760E"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850</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0E3D42F" w14:textId="77777777" w:rsidR="006507E8" w:rsidRPr="00286216" w:rsidRDefault="006507E8" w:rsidP="006507E8">
            <w:pPr>
              <w:pStyle w:val="StyleProp"/>
              <w:spacing w:line="180" w:lineRule="exact"/>
              <w:rPr>
                <w:color w:val="000000" w:themeColor="text1"/>
              </w:rPr>
            </w:pPr>
            <w:r w:rsidRPr="00286216">
              <w:rPr>
                <w:color w:val="000000" w:themeColor="text1"/>
              </w:rPr>
              <w:t>Частину четверту статті 81 викласти в такій редакції:</w:t>
            </w:r>
          </w:p>
          <w:p w14:paraId="5F4FDC06" w14:textId="77777777" w:rsidR="006507E8" w:rsidRPr="00286216" w:rsidRDefault="006507E8" w:rsidP="006507E8">
            <w:pPr>
              <w:pStyle w:val="StyleProp"/>
              <w:spacing w:line="180" w:lineRule="exact"/>
              <w:rPr>
                <w:color w:val="000000" w:themeColor="text1"/>
              </w:rPr>
            </w:pPr>
            <w:r w:rsidRPr="00286216">
              <w:rPr>
                <w:color w:val="000000" w:themeColor="text1"/>
              </w:rPr>
              <w:t xml:space="preserve">«4. Інвестиційна фірма, що уклала договір з пов’язаним агентом (пов’язаними агентами), забезпечує виконання ним (ними) усіх обов’язків інвестиційної фірми, передбачених законодавством, що регулює професійну діяльність такої інвестиційної фірми на ринках капіталу. На вимогу Національної комісії з цінних паперів та фондового ринку інвестиційна фірма зобов’язана довести, що наявні у неї механізми контролю діяльності пов’язаного агента не створюють загроз для інтересів </w:t>
            </w:r>
            <w:r w:rsidRPr="00286216">
              <w:rPr>
                <w:color w:val="000000" w:themeColor="text1"/>
                <w:spacing w:val="-2"/>
              </w:rPr>
              <w:t>клієнтів такої інвестиційної фірми. Національна комісія з цінних паперів та фондового ринку може вимагати дострокового припинення дії агентського договору, якщо встановить, що запроваджені інвестиційною фірмою механізми контролю за діяльністю пов’язаного агента створюють загрозу для інтересів клієнтів інвестиційної фірми».</w:t>
            </w:r>
          </w:p>
        </w:tc>
        <w:tc>
          <w:tcPr>
            <w:tcW w:w="1987" w:type="dxa"/>
          </w:tcPr>
          <w:p w14:paraId="15B8C0ED"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6BCE0967" w14:textId="6A55FD5D" w:rsidR="006507E8" w:rsidRPr="00286216" w:rsidRDefault="006507E8" w:rsidP="006507E8">
            <w:pPr>
              <w:pStyle w:val="StyleZakonu"/>
              <w:rPr>
                <w:color w:val="000000" w:themeColor="text1"/>
              </w:rPr>
            </w:pPr>
            <w:r w:rsidRPr="00286216">
              <w:rPr>
                <w:color w:val="000000" w:themeColor="text1"/>
              </w:rPr>
              <w:t>4. Інвестиційна фірма, що уклала договір з пов’язаними агентами, забезпечує виконання ними усіх обов’язків інвестиційної фірми, передбачених законодавством, що регулює професійну діяльність такої інвестиційної фірми на ринках капіталу. На вимогу Національної комісії з цінних паперів та фондового ринку інвестиційна фірма зобов’язана довести, що наявні в неї механізми контролю діяльності пов’язаного агента не створюють загроз для інтересів клієнтів такої інвестиційної фірми. Національна комісія з цінних паперів та фондового ринку може вимагати дострокового припинення дії агентського договору, якщо встановить, що запроваджені інвестиційною фірмою механізми контролю за діяльністю пов’язаного агента створюють загрозу для інтересів клієнтів інвестиційної фірми.</w:t>
            </w:r>
          </w:p>
        </w:tc>
      </w:tr>
      <w:tr w:rsidR="006507E8" w:rsidRPr="00286216" w14:paraId="1C231E98" w14:textId="77777777" w:rsidTr="00091AA5">
        <w:tc>
          <w:tcPr>
            <w:tcW w:w="576" w:type="dxa"/>
          </w:tcPr>
          <w:p w14:paraId="2576E846" w14:textId="77777777" w:rsidR="006507E8" w:rsidRPr="00286216" w:rsidRDefault="006507E8" w:rsidP="006507E8">
            <w:pPr>
              <w:pStyle w:val="StyleWisnow"/>
              <w:rPr>
                <w:color w:val="000000" w:themeColor="text1"/>
              </w:rPr>
            </w:pPr>
          </w:p>
        </w:tc>
        <w:tc>
          <w:tcPr>
            <w:tcW w:w="4818" w:type="dxa"/>
          </w:tcPr>
          <w:p w14:paraId="5DB979BA" w14:textId="77777777" w:rsidR="006507E8" w:rsidRPr="00286216" w:rsidRDefault="006507E8" w:rsidP="006507E8">
            <w:pPr>
              <w:pStyle w:val="StyleZakonu"/>
              <w:rPr>
                <w:color w:val="000000" w:themeColor="text1"/>
              </w:rPr>
            </w:pPr>
          </w:p>
        </w:tc>
        <w:tc>
          <w:tcPr>
            <w:tcW w:w="3686" w:type="dxa"/>
          </w:tcPr>
          <w:p w14:paraId="2F7FCC88" w14:textId="7CE14B62"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851</w:t>
            </w:r>
            <w:r w:rsidRPr="00286216">
              <w:rPr>
                <w:color w:val="000000" w:themeColor="text1"/>
                <w:spacing w:val="-10"/>
              </w:rPr>
              <w:fldChar w:fldCharType="end"/>
            </w:r>
            <w:r w:rsidRPr="00286216">
              <w:rPr>
                <w:color w:val="000000" w:themeColor="text1"/>
                <w:spacing w:val="-10"/>
              </w:rPr>
              <w:t>-Н.д.Гетманцев Д.О.(Реєстр.картка №245)</w:t>
            </w:r>
          </w:p>
          <w:p w14:paraId="54D64FD4" w14:textId="77777777" w:rsidR="006507E8" w:rsidRPr="00286216" w:rsidRDefault="006507E8" w:rsidP="006507E8">
            <w:pPr>
              <w:pStyle w:val="StyleProp"/>
              <w:spacing w:line="180" w:lineRule="exact"/>
              <w:rPr>
                <w:color w:val="000000" w:themeColor="text1"/>
                <w:szCs w:val="18"/>
              </w:rPr>
            </w:pPr>
            <w:r w:rsidRPr="00286216">
              <w:rPr>
                <w:color w:val="000000" w:themeColor="text1"/>
              </w:rPr>
              <w:t>У частині четвертій статті 81 слово «ефективність» замінити словами «відповідність чинному законодавству», а слово «неефективність» замінити словами «невідповідність чинному законодавству».</w:t>
            </w:r>
          </w:p>
        </w:tc>
        <w:tc>
          <w:tcPr>
            <w:tcW w:w="1987" w:type="dxa"/>
          </w:tcPr>
          <w:p w14:paraId="3CC14A5D"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08F023C3" w14:textId="6984EA57" w:rsidR="006507E8" w:rsidRPr="00286216" w:rsidRDefault="006507E8" w:rsidP="006507E8">
            <w:pPr>
              <w:pStyle w:val="StyleWisnow"/>
              <w:spacing w:line="180" w:lineRule="exact"/>
              <w:rPr>
                <w:color w:val="000000" w:themeColor="text1"/>
              </w:rPr>
            </w:pPr>
            <w:r w:rsidRPr="00286216">
              <w:rPr>
                <w:color w:val="000000" w:themeColor="text1"/>
              </w:rPr>
              <w:t>законодавством неможливо охопити всі аспекти контролю інфестиційною фірмою діяльності агента</w:t>
            </w:r>
          </w:p>
        </w:tc>
        <w:tc>
          <w:tcPr>
            <w:tcW w:w="4818" w:type="dxa"/>
          </w:tcPr>
          <w:p w14:paraId="7F989899" w14:textId="77777777" w:rsidR="006507E8" w:rsidRPr="00286216" w:rsidRDefault="006507E8" w:rsidP="006507E8">
            <w:pPr>
              <w:pStyle w:val="StyleZakonu"/>
              <w:rPr>
                <w:color w:val="000000" w:themeColor="text1"/>
              </w:rPr>
            </w:pPr>
          </w:p>
        </w:tc>
      </w:tr>
      <w:tr w:rsidR="006507E8" w:rsidRPr="00286216" w14:paraId="68003CF3" w14:textId="77777777" w:rsidTr="00091AA5">
        <w:tc>
          <w:tcPr>
            <w:tcW w:w="576" w:type="dxa"/>
          </w:tcPr>
          <w:p w14:paraId="0A596E2F" w14:textId="77777777" w:rsidR="006507E8" w:rsidRPr="00286216" w:rsidRDefault="006507E8" w:rsidP="006507E8">
            <w:pPr>
              <w:pStyle w:val="StyleWisnow"/>
              <w:rPr>
                <w:color w:val="000000" w:themeColor="text1"/>
              </w:rPr>
            </w:pPr>
            <w:bookmarkStart w:id="1133" w:name="n1398" w:colFirst="0" w:colLast="0"/>
            <w:bookmarkEnd w:id="1132"/>
            <w:r w:rsidRPr="00286216">
              <w:rPr>
                <w:color w:val="000000" w:themeColor="text1"/>
              </w:rPr>
              <w:t>1398.</w:t>
            </w:r>
          </w:p>
        </w:tc>
        <w:tc>
          <w:tcPr>
            <w:tcW w:w="4818" w:type="dxa"/>
          </w:tcPr>
          <w:p w14:paraId="23E4C70F" w14:textId="77777777" w:rsidR="006507E8" w:rsidRPr="00286216" w:rsidRDefault="006507E8" w:rsidP="006507E8">
            <w:pPr>
              <w:pStyle w:val="StyleZakonu"/>
              <w:rPr>
                <w:color w:val="000000" w:themeColor="text1"/>
              </w:rPr>
            </w:pPr>
            <w:r w:rsidRPr="00286216">
              <w:rPr>
                <w:color w:val="000000" w:themeColor="text1"/>
              </w:rPr>
              <w:t>5. Інвестиційна фірма, що уклала договір з пов’язаним агентом (пов’язаними агентами), запобігає виникненню та врегульовує конфлікти інтересів, що виникають в діяльності пов’язаного агента (пов’язаних агентів) у зв’язку з виконанням агентського договору, зокрема конфліктів інтересів, що виникають з системи винагород та стимулів інвестиційної фірми та у зв’язку з отриманням пов’язаним агентом (пов’язаними агентами) винагороди від третіх осіб.</w:t>
            </w:r>
          </w:p>
        </w:tc>
        <w:tc>
          <w:tcPr>
            <w:tcW w:w="3686" w:type="dxa"/>
          </w:tcPr>
          <w:p w14:paraId="1AB556F4" w14:textId="77777777" w:rsidR="006507E8" w:rsidRPr="00286216" w:rsidRDefault="006507E8" w:rsidP="006507E8">
            <w:pPr>
              <w:pStyle w:val="StyleProp"/>
              <w:rPr>
                <w:color w:val="000000" w:themeColor="text1"/>
                <w:szCs w:val="18"/>
              </w:rPr>
            </w:pPr>
          </w:p>
        </w:tc>
        <w:tc>
          <w:tcPr>
            <w:tcW w:w="1987" w:type="dxa"/>
          </w:tcPr>
          <w:p w14:paraId="39D59393" w14:textId="77777777" w:rsidR="006507E8" w:rsidRPr="00286216" w:rsidRDefault="006507E8" w:rsidP="006507E8">
            <w:pPr>
              <w:pStyle w:val="StyleWisnow"/>
              <w:spacing w:line="180" w:lineRule="exact"/>
              <w:rPr>
                <w:color w:val="000000" w:themeColor="text1"/>
              </w:rPr>
            </w:pPr>
          </w:p>
        </w:tc>
        <w:tc>
          <w:tcPr>
            <w:tcW w:w="4818" w:type="dxa"/>
          </w:tcPr>
          <w:p w14:paraId="518B4C70" w14:textId="2F40D967" w:rsidR="006507E8" w:rsidRPr="00286216" w:rsidRDefault="006507E8" w:rsidP="006507E8">
            <w:pPr>
              <w:pStyle w:val="StyleZakonu"/>
              <w:rPr>
                <w:color w:val="000000" w:themeColor="text1"/>
              </w:rPr>
            </w:pPr>
            <w:r w:rsidRPr="00286216">
              <w:rPr>
                <w:color w:val="000000" w:themeColor="text1"/>
              </w:rPr>
              <w:t>5. Інвестиційна фірма, що уклала договір з пов’язаними агентами, запобігає виникненню та врегульовує конфлікти інтересів, що виникають у діяльності пов’язаних агентів у зв’язку з виконанням агентського договору, зокрема конфлікту інтересів, що виникають з системи винагород та стимулів інвестиційної фірми та у зв’язку з отриманням пов’язаними агентами винагороди від третіх осіб.</w:t>
            </w:r>
          </w:p>
        </w:tc>
      </w:tr>
      <w:tr w:rsidR="006507E8" w:rsidRPr="00286216" w14:paraId="7E16102F" w14:textId="77777777" w:rsidTr="00091AA5">
        <w:tc>
          <w:tcPr>
            <w:tcW w:w="576" w:type="dxa"/>
          </w:tcPr>
          <w:p w14:paraId="6C2F356E" w14:textId="77777777" w:rsidR="006507E8" w:rsidRPr="00286216" w:rsidRDefault="006507E8" w:rsidP="006507E8">
            <w:pPr>
              <w:pStyle w:val="StyleWisnow"/>
              <w:rPr>
                <w:color w:val="000000" w:themeColor="text1"/>
              </w:rPr>
            </w:pPr>
            <w:bookmarkStart w:id="1134" w:name="n1399" w:colFirst="0" w:colLast="0"/>
            <w:bookmarkEnd w:id="1133"/>
            <w:r w:rsidRPr="00286216">
              <w:rPr>
                <w:color w:val="000000" w:themeColor="text1"/>
              </w:rPr>
              <w:t>1399.</w:t>
            </w:r>
          </w:p>
        </w:tc>
        <w:tc>
          <w:tcPr>
            <w:tcW w:w="4818" w:type="dxa"/>
          </w:tcPr>
          <w:p w14:paraId="6A21A02A" w14:textId="77777777" w:rsidR="006507E8" w:rsidRPr="00286216" w:rsidRDefault="006507E8" w:rsidP="006507E8">
            <w:pPr>
              <w:pStyle w:val="StyleZakonu"/>
              <w:rPr>
                <w:color w:val="000000" w:themeColor="text1"/>
              </w:rPr>
            </w:pPr>
            <w:r w:rsidRPr="00286216">
              <w:rPr>
                <w:color w:val="000000" w:themeColor="text1"/>
              </w:rPr>
              <w:t>Національна комісія з цінних паперів та фондового ринку встановлює організаційні та операційні вимоги до інвестиційних фірм, зокрема щодо організації ними діяльності пов’язаних агентів, а також вимоги до винагороди та управління конфліктом інтересів в таких агентах, включаючи порядок укладення особистих угод.</w:t>
            </w:r>
          </w:p>
        </w:tc>
        <w:tc>
          <w:tcPr>
            <w:tcW w:w="3686" w:type="dxa"/>
          </w:tcPr>
          <w:p w14:paraId="270A57FB" w14:textId="77777777" w:rsidR="006507E8" w:rsidRPr="00286216" w:rsidRDefault="006507E8" w:rsidP="006507E8">
            <w:pPr>
              <w:pStyle w:val="StyleProp"/>
              <w:rPr>
                <w:color w:val="000000" w:themeColor="text1"/>
                <w:szCs w:val="18"/>
              </w:rPr>
            </w:pPr>
          </w:p>
        </w:tc>
        <w:tc>
          <w:tcPr>
            <w:tcW w:w="1987" w:type="dxa"/>
          </w:tcPr>
          <w:p w14:paraId="52DE012A" w14:textId="77777777" w:rsidR="006507E8" w:rsidRPr="00286216" w:rsidRDefault="006507E8" w:rsidP="006507E8">
            <w:pPr>
              <w:pStyle w:val="StyleWisnow"/>
              <w:rPr>
                <w:color w:val="000000" w:themeColor="text1"/>
              </w:rPr>
            </w:pPr>
          </w:p>
        </w:tc>
        <w:tc>
          <w:tcPr>
            <w:tcW w:w="4818" w:type="dxa"/>
          </w:tcPr>
          <w:p w14:paraId="29DF7EF4" w14:textId="074FE74B" w:rsidR="006507E8" w:rsidRPr="00286216" w:rsidRDefault="006507E8" w:rsidP="006507E8">
            <w:pPr>
              <w:pStyle w:val="StyleZakonu"/>
              <w:rPr>
                <w:color w:val="000000" w:themeColor="text1"/>
              </w:rPr>
            </w:pPr>
            <w:r w:rsidRPr="00286216">
              <w:rPr>
                <w:color w:val="000000" w:themeColor="text1"/>
              </w:rPr>
              <w:t>Національна комісія з цінних паперів та фондового ринку встановлює організаційні та операційні вимоги до інвестиційних фірм, зокрема щодо організації ними діяльності пов’язаних агентів, а також вимоги до винагороди та управління конфліктом інтересів у таких агентах, включаючи порядок укладення особистих угод.</w:t>
            </w:r>
          </w:p>
        </w:tc>
      </w:tr>
      <w:tr w:rsidR="006507E8" w:rsidRPr="00286216" w14:paraId="05FA090F" w14:textId="77777777" w:rsidTr="00091AA5">
        <w:tc>
          <w:tcPr>
            <w:tcW w:w="576" w:type="dxa"/>
          </w:tcPr>
          <w:p w14:paraId="2F77C819" w14:textId="77777777" w:rsidR="006507E8" w:rsidRPr="00286216" w:rsidRDefault="006507E8" w:rsidP="006507E8">
            <w:pPr>
              <w:pStyle w:val="StyleWisnow"/>
              <w:rPr>
                <w:color w:val="000000" w:themeColor="text1"/>
              </w:rPr>
            </w:pPr>
            <w:bookmarkStart w:id="1135" w:name="n1400" w:colFirst="0" w:colLast="0"/>
            <w:bookmarkEnd w:id="1134"/>
            <w:r w:rsidRPr="00286216">
              <w:rPr>
                <w:color w:val="000000" w:themeColor="text1"/>
              </w:rPr>
              <w:t>1400.</w:t>
            </w:r>
          </w:p>
        </w:tc>
        <w:tc>
          <w:tcPr>
            <w:tcW w:w="4818" w:type="dxa"/>
          </w:tcPr>
          <w:p w14:paraId="214425A6" w14:textId="77777777" w:rsidR="006507E8" w:rsidRPr="00286216" w:rsidRDefault="006507E8" w:rsidP="006507E8">
            <w:pPr>
              <w:pStyle w:val="StyleZakonu"/>
              <w:rPr>
                <w:color w:val="000000" w:themeColor="text1"/>
              </w:rPr>
            </w:pPr>
            <w:r w:rsidRPr="00286216">
              <w:rPr>
                <w:color w:val="000000" w:themeColor="text1"/>
              </w:rPr>
              <w:t xml:space="preserve">6. Пов’язаний агент використовує інформацію, що стала відома йому у зв’язку з вчиненням дій, </w:t>
            </w:r>
            <w:r w:rsidRPr="00286216">
              <w:rPr>
                <w:color w:val="000000" w:themeColor="text1"/>
              </w:rPr>
              <w:lastRenderedPageBreak/>
              <w:t>пов’язаних з безпосереднім провадженням професійної діяльності на ринках капіталу інвестиційною фірмою від імені, в інтересах, під контролем та за рахунок якої він діє виключно з метою виконання агентського договору.</w:t>
            </w:r>
          </w:p>
        </w:tc>
        <w:tc>
          <w:tcPr>
            <w:tcW w:w="3686" w:type="dxa"/>
          </w:tcPr>
          <w:p w14:paraId="4E651E7B" w14:textId="77777777" w:rsidR="006507E8" w:rsidRPr="00286216" w:rsidRDefault="006507E8" w:rsidP="006507E8">
            <w:pPr>
              <w:pStyle w:val="StyleProp"/>
              <w:rPr>
                <w:color w:val="000000" w:themeColor="text1"/>
                <w:szCs w:val="18"/>
              </w:rPr>
            </w:pPr>
          </w:p>
        </w:tc>
        <w:tc>
          <w:tcPr>
            <w:tcW w:w="1987" w:type="dxa"/>
          </w:tcPr>
          <w:p w14:paraId="184F31F9" w14:textId="77777777" w:rsidR="006507E8" w:rsidRPr="00286216" w:rsidRDefault="006507E8" w:rsidP="006507E8">
            <w:pPr>
              <w:pStyle w:val="StyleWisnow"/>
              <w:rPr>
                <w:color w:val="000000" w:themeColor="text1"/>
              </w:rPr>
            </w:pPr>
          </w:p>
        </w:tc>
        <w:tc>
          <w:tcPr>
            <w:tcW w:w="4818" w:type="dxa"/>
          </w:tcPr>
          <w:p w14:paraId="313CD667" w14:textId="12C830A5" w:rsidR="006507E8" w:rsidRPr="00286216" w:rsidRDefault="006507E8" w:rsidP="006507E8">
            <w:pPr>
              <w:pStyle w:val="StyleZakonu"/>
              <w:rPr>
                <w:color w:val="000000" w:themeColor="text1"/>
              </w:rPr>
            </w:pPr>
            <w:r w:rsidRPr="00286216">
              <w:rPr>
                <w:color w:val="000000" w:themeColor="text1"/>
              </w:rPr>
              <w:t xml:space="preserve">6. Пов’язаний агент використовує інформацію, що стала йому відома у зв’язку з вчиненням дій, </w:t>
            </w:r>
            <w:r w:rsidRPr="00286216">
              <w:rPr>
                <w:color w:val="000000" w:themeColor="text1"/>
              </w:rPr>
              <w:lastRenderedPageBreak/>
              <w:t>пов’язаних з безпосереднім провадженням професійної діяльності на ринках капіталу інвестиційною фірмою, від імені, в інтересах, під контролем та за рахунок якої він діє, виключно з метою виконання агентського договору.</w:t>
            </w:r>
          </w:p>
        </w:tc>
      </w:tr>
      <w:tr w:rsidR="006507E8" w:rsidRPr="00286216" w14:paraId="4E5F618C" w14:textId="77777777" w:rsidTr="00091AA5">
        <w:tc>
          <w:tcPr>
            <w:tcW w:w="576" w:type="dxa"/>
          </w:tcPr>
          <w:p w14:paraId="643A3D8B" w14:textId="77777777" w:rsidR="006507E8" w:rsidRPr="00286216" w:rsidRDefault="006507E8" w:rsidP="006507E8">
            <w:pPr>
              <w:pStyle w:val="StyleWisnow"/>
              <w:rPr>
                <w:color w:val="000000" w:themeColor="text1"/>
              </w:rPr>
            </w:pPr>
            <w:bookmarkStart w:id="1136" w:name="n1401" w:colFirst="0" w:colLast="0"/>
            <w:bookmarkEnd w:id="1135"/>
            <w:r w:rsidRPr="00286216">
              <w:rPr>
                <w:color w:val="000000" w:themeColor="text1"/>
              </w:rPr>
              <w:lastRenderedPageBreak/>
              <w:t>1401.</w:t>
            </w:r>
          </w:p>
        </w:tc>
        <w:tc>
          <w:tcPr>
            <w:tcW w:w="4818" w:type="dxa"/>
          </w:tcPr>
          <w:p w14:paraId="2957E712" w14:textId="77777777" w:rsidR="006507E8" w:rsidRPr="00286216" w:rsidRDefault="006507E8" w:rsidP="006507E8">
            <w:pPr>
              <w:pStyle w:val="StyleZakonu"/>
              <w:rPr>
                <w:color w:val="000000" w:themeColor="text1"/>
              </w:rPr>
            </w:pPr>
            <w:r w:rsidRPr="00286216">
              <w:rPr>
                <w:color w:val="000000" w:themeColor="text1"/>
              </w:rPr>
              <w:t>7. Національна комісія з цінних паперів та фондового ринку встановлює додаткові пруденційні нормативи професійної діяльності для інвестиційних фірм, які уклали агентські договори.</w:t>
            </w:r>
          </w:p>
        </w:tc>
        <w:tc>
          <w:tcPr>
            <w:tcW w:w="3686" w:type="dxa"/>
          </w:tcPr>
          <w:p w14:paraId="2C4874C2" w14:textId="77777777" w:rsidR="006507E8" w:rsidRPr="00286216" w:rsidRDefault="006507E8" w:rsidP="006507E8">
            <w:pPr>
              <w:pStyle w:val="StyleProp"/>
              <w:rPr>
                <w:color w:val="000000" w:themeColor="text1"/>
                <w:szCs w:val="18"/>
              </w:rPr>
            </w:pPr>
          </w:p>
        </w:tc>
        <w:tc>
          <w:tcPr>
            <w:tcW w:w="1987" w:type="dxa"/>
          </w:tcPr>
          <w:p w14:paraId="72B3FA6F" w14:textId="77777777" w:rsidR="006507E8" w:rsidRPr="00286216" w:rsidRDefault="006507E8" w:rsidP="006507E8">
            <w:pPr>
              <w:pStyle w:val="StyleWisnow"/>
              <w:rPr>
                <w:color w:val="000000" w:themeColor="text1"/>
              </w:rPr>
            </w:pPr>
          </w:p>
        </w:tc>
        <w:tc>
          <w:tcPr>
            <w:tcW w:w="4818" w:type="dxa"/>
          </w:tcPr>
          <w:p w14:paraId="7D9B6ADB" w14:textId="5FE5EA86" w:rsidR="006507E8" w:rsidRPr="00286216" w:rsidRDefault="006507E8" w:rsidP="006507E8">
            <w:pPr>
              <w:pStyle w:val="StyleZakonu"/>
              <w:rPr>
                <w:color w:val="000000" w:themeColor="text1"/>
              </w:rPr>
            </w:pPr>
            <w:r w:rsidRPr="00286216">
              <w:rPr>
                <w:color w:val="000000" w:themeColor="text1"/>
              </w:rPr>
              <w:t>7. Національна комісія з цінних паперів та фондового ринку встановлює додаткові пруденційні нормативи професійної діяльності для інвестиційних фірм, які уклали агентські договори.</w:t>
            </w:r>
          </w:p>
        </w:tc>
      </w:tr>
      <w:tr w:rsidR="006507E8" w:rsidRPr="00286216" w14:paraId="6ED0059D" w14:textId="77777777" w:rsidTr="00091AA5">
        <w:tc>
          <w:tcPr>
            <w:tcW w:w="576" w:type="dxa"/>
          </w:tcPr>
          <w:p w14:paraId="3C2E19CB" w14:textId="77777777" w:rsidR="006507E8" w:rsidRPr="00286216" w:rsidRDefault="006507E8" w:rsidP="006507E8">
            <w:pPr>
              <w:pStyle w:val="StyleWisnow"/>
              <w:rPr>
                <w:color w:val="000000" w:themeColor="text1"/>
              </w:rPr>
            </w:pPr>
            <w:bookmarkStart w:id="1137" w:name="n1402" w:colFirst="0" w:colLast="0"/>
            <w:bookmarkEnd w:id="1136"/>
            <w:r w:rsidRPr="00286216">
              <w:rPr>
                <w:color w:val="000000" w:themeColor="text1"/>
              </w:rPr>
              <w:t>1402.</w:t>
            </w:r>
          </w:p>
        </w:tc>
        <w:tc>
          <w:tcPr>
            <w:tcW w:w="4818" w:type="dxa"/>
          </w:tcPr>
          <w:p w14:paraId="4FA043BB" w14:textId="77777777" w:rsidR="006507E8" w:rsidRPr="00286216" w:rsidRDefault="006507E8" w:rsidP="006507E8">
            <w:pPr>
              <w:pStyle w:val="StyleZakonu"/>
              <w:rPr>
                <w:color w:val="000000" w:themeColor="text1"/>
              </w:rPr>
            </w:pPr>
            <w:r w:rsidRPr="00286216">
              <w:rPr>
                <w:color w:val="000000" w:themeColor="text1"/>
              </w:rPr>
              <w:t>Стаття 82. Діяльність торгового репозиторію</w:t>
            </w:r>
          </w:p>
        </w:tc>
        <w:tc>
          <w:tcPr>
            <w:tcW w:w="3686" w:type="dxa"/>
          </w:tcPr>
          <w:p w14:paraId="5253459C" w14:textId="77777777" w:rsidR="006507E8" w:rsidRPr="00286216" w:rsidRDefault="006507E8" w:rsidP="006507E8">
            <w:pPr>
              <w:pStyle w:val="StyleProp"/>
              <w:rPr>
                <w:color w:val="000000" w:themeColor="text1"/>
                <w:szCs w:val="18"/>
              </w:rPr>
            </w:pPr>
          </w:p>
        </w:tc>
        <w:tc>
          <w:tcPr>
            <w:tcW w:w="1987" w:type="dxa"/>
          </w:tcPr>
          <w:p w14:paraId="5FA241FE" w14:textId="77777777" w:rsidR="006507E8" w:rsidRPr="00286216" w:rsidRDefault="006507E8" w:rsidP="006507E8">
            <w:pPr>
              <w:pStyle w:val="StyleWisnow"/>
              <w:rPr>
                <w:color w:val="000000" w:themeColor="text1"/>
              </w:rPr>
            </w:pPr>
          </w:p>
        </w:tc>
        <w:tc>
          <w:tcPr>
            <w:tcW w:w="4818" w:type="dxa"/>
          </w:tcPr>
          <w:p w14:paraId="6ECAA2AF" w14:textId="7D3B3BBD" w:rsidR="006507E8" w:rsidRPr="00286216" w:rsidRDefault="006507E8" w:rsidP="006507E8">
            <w:pPr>
              <w:pStyle w:val="StyleZakonu"/>
              <w:rPr>
                <w:color w:val="000000" w:themeColor="text1"/>
              </w:rPr>
            </w:pPr>
            <w:r w:rsidRPr="00286216">
              <w:rPr>
                <w:color w:val="000000" w:themeColor="text1"/>
              </w:rPr>
              <w:t xml:space="preserve">Стаття </w:t>
            </w:r>
            <w:r w:rsidRPr="00286216">
              <w:rPr>
                <w:color w:val="000000" w:themeColor="text1"/>
                <w:lang w:val="ru-RU"/>
              </w:rPr>
              <w:t>86</w:t>
            </w:r>
            <w:r w:rsidRPr="00286216">
              <w:rPr>
                <w:color w:val="000000" w:themeColor="text1"/>
              </w:rPr>
              <w:t>. Діяльність торгового репозиторію</w:t>
            </w:r>
          </w:p>
        </w:tc>
      </w:tr>
      <w:tr w:rsidR="006507E8" w:rsidRPr="00286216" w14:paraId="4A77E506" w14:textId="77777777" w:rsidTr="00091AA5">
        <w:tc>
          <w:tcPr>
            <w:tcW w:w="576" w:type="dxa"/>
          </w:tcPr>
          <w:p w14:paraId="3D74438F" w14:textId="77777777" w:rsidR="006507E8" w:rsidRPr="00286216" w:rsidRDefault="006507E8" w:rsidP="006507E8">
            <w:pPr>
              <w:pStyle w:val="StyleWisnow"/>
              <w:rPr>
                <w:color w:val="000000" w:themeColor="text1"/>
              </w:rPr>
            </w:pPr>
            <w:bookmarkStart w:id="1138" w:name="n1403" w:colFirst="0" w:colLast="0"/>
            <w:bookmarkEnd w:id="1137"/>
            <w:r w:rsidRPr="00286216">
              <w:rPr>
                <w:color w:val="000000" w:themeColor="text1"/>
              </w:rPr>
              <w:t>1403.</w:t>
            </w:r>
          </w:p>
        </w:tc>
        <w:tc>
          <w:tcPr>
            <w:tcW w:w="4818" w:type="dxa"/>
          </w:tcPr>
          <w:p w14:paraId="3050919A" w14:textId="77777777" w:rsidR="006507E8" w:rsidRPr="00286216" w:rsidRDefault="006507E8" w:rsidP="006507E8">
            <w:pPr>
              <w:pStyle w:val="StyleZakonu"/>
              <w:rPr>
                <w:color w:val="000000" w:themeColor="text1"/>
                <w:shd w:val="clear" w:color="auto" w:fill="FFFFFF"/>
              </w:rPr>
            </w:pPr>
            <w:r w:rsidRPr="00286216">
              <w:rPr>
                <w:color w:val="000000" w:themeColor="text1"/>
              </w:rPr>
              <w:t>1. Торговий репозиторій у порядку, встановленому Національною комісією з цінних паперів та фондового ринку, забезпечує створення та функціонування бази даних про укладені деривативні контракти, що містить інформацію, перелік та зміст якої встановлюються нормативно-правовим актом Національної комісії з цінних паперів та фондового ринку</w:t>
            </w:r>
            <w:r w:rsidRPr="00286216">
              <w:rPr>
                <w:color w:val="000000" w:themeColor="text1"/>
                <w:shd w:val="clear" w:color="auto" w:fill="FFFFFF"/>
              </w:rPr>
              <w:t>.</w:t>
            </w:r>
          </w:p>
        </w:tc>
        <w:tc>
          <w:tcPr>
            <w:tcW w:w="3686" w:type="dxa"/>
          </w:tcPr>
          <w:p w14:paraId="1DEE93D2" w14:textId="66E461AB"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852</w:t>
            </w:r>
            <w:r w:rsidRPr="00286216">
              <w:rPr>
                <w:color w:val="000000" w:themeColor="text1"/>
                <w:spacing w:val="-4"/>
              </w:rPr>
              <w:fldChar w:fldCharType="end"/>
            </w:r>
            <w:r w:rsidRPr="00286216">
              <w:rPr>
                <w:color w:val="000000" w:themeColor="text1"/>
                <w:spacing w:val="-4"/>
              </w:rPr>
              <w:t>-Н.д.Бєлькова О.В. (Реєстр.картка №403)</w:t>
            </w:r>
          </w:p>
          <w:p w14:paraId="64A98EB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Частину першу статті 82 викласти в такій редакції:</w:t>
            </w:r>
          </w:p>
          <w:p w14:paraId="57D501DC"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«1. Торговий репозиторій у порядку, встановленому Національною комісією з цінних паперів та фондового ринку, забезпечує створення та функціонування бази даних про укладені деривативні контракти та договори про заміну сторони, що містить інформацію, перелік та зміст якої встановлюються нормативно-правовим актом Національної комісії з цінних паперів та фондового ринку.</w:t>
            </w:r>
          </w:p>
          <w:p w14:paraId="21B526AC"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Торговий репозиторій забезпечує:</w:t>
            </w:r>
          </w:p>
          <w:p w14:paraId="3D994E7B"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1) присвоєння деривативним контрактам ідентифікатора;</w:t>
            </w:r>
          </w:p>
          <w:p w14:paraId="3D648ECA"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2) присвоєння ідентифікатора кожній операції щодо кожного деривативного контракту, та кожного договору про заміну сторони, інформація щодо яких подається до торгового репозиторію.</w:t>
            </w:r>
          </w:p>
          <w:p w14:paraId="55C6A782" w14:textId="77777777" w:rsidR="006507E8" w:rsidRPr="00286216" w:rsidRDefault="006507E8" w:rsidP="006507E8">
            <w:pPr>
              <w:pStyle w:val="StyleProp"/>
              <w:spacing w:line="180" w:lineRule="exact"/>
              <w:rPr>
                <w:color w:val="000000" w:themeColor="text1"/>
              </w:rPr>
            </w:pPr>
            <w:r w:rsidRPr="00286216">
              <w:rPr>
                <w:color w:val="000000" w:themeColor="text1"/>
                <w:szCs w:val="18"/>
              </w:rPr>
              <w:t>Порядок присвоєння ідентифікаторів деривативних контрактів, договорів про заміну сторони, ідентифікаторів операцій щодо деривативних контрактів та операцій щодо договорів про заміну сторони, інформація щодо яких подається до торгового репозиторію, встановлюється Національною комісією з цінних паперів та фондового ринку».</w:t>
            </w:r>
          </w:p>
        </w:tc>
        <w:tc>
          <w:tcPr>
            <w:tcW w:w="1987" w:type="dxa"/>
          </w:tcPr>
          <w:p w14:paraId="4115150C"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Враховано</w:t>
            </w:r>
          </w:p>
        </w:tc>
        <w:tc>
          <w:tcPr>
            <w:tcW w:w="4818" w:type="dxa"/>
          </w:tcPr>
          <w:p w14:paraId="2C116831" w14:textId="77777777" w:rsidR="006507E8" w:rsidRPr="00286216" w:rsidRDefault="006507E8" w:rsidP="006507E8">
            <w:pPr>
              <w:pStyle w:val="StyleZakonu"/>
              <w:rPr>
                <w:color w:val="000000" w:themeColor="text1"/>
              </w:rPr>
            </w:pPr>
            <w:r w:rsidRPr="00286216">
              <w:rPr>
                <w:color w:val="000000" w:themeColor="text1"/>
              </w:rPr>
              <w:t>1. Торговий репозиторій у порядку, встановленому Національною комісією з цінних паперів та фондового ринку, забезпечує створення та функціонування бази даних про укладені деривативні контракти та договори про заміну сторони, що містить інформацію, перелік та зміст якої встановлюються нормативно-правовим актом Національної комісії з цінних паперів та фондового ринку.</w:t>
            </w:r>
          </w:p>
          <w:p w14:paraId="32D6EF3A" w14:textId="77777777" w:rsidR="006507E8" w:rsidRPr="00286216" w:rsidRDefault="006507E8" w:rsidP="006507E8">
            <w:pPr>
              <w:pStyle w:val="StyleZakonu"/>
              <w:rPr>
                <w:color w:val="000000" w:themeColor="text1"/>
              </w:rPr>
            </w:pPr>
            <w:r w:rsidRPr="00286216">
              <w:rPr>
                <w:color w:val="000000" w:themeColor="text1"/>
              </w:rPr>
              <w:t>Торговий репозиторій забезпечує:</w:t>
            </w:r>
          </w:p>
          <w:p w14:paraId="7AA44C39" w14:textId="77777777" w:rsidR="006507E8" w:rsidRPr="00286216" w:rsidRDefault="006507E8" w:rsidP="006507E8">
            <w:pPr>
              <w:pStyle w:val="StyleZakonu"/>
              <w:rPr>
                <w:color w:val="000000" w:themeColor="text1"/>
              </w:rPr>
            </w:pPr>
            <w:r w:rsidRPr="00286216">
              <w:rPr>
                <w:color w:val="000000" w:themeColor="text1"/>
              </w:rPr>
              <w:t>1) присвоєння ідентифікатора деривативним контрактам;</w:t>
            </w:r>
          </w:p>
          <w:p w14:paraId="0C0D23D7" w14:textId="77777777" w:rsidR="006507E8" w:rsidRPr="00286216" w:rsidRDefault="006507E8" w:rsidP="006507E8">
            <w:pPr>
              <w:pStyle w:val="StyleZakonu"/>
              <w:rPr>
                <w:color w:val="000000" w:themeColor="text1"/>
              </w:rPr>
            </w:pPr>
            <w:r w:rsidRPr="00286216">
              <w:rPr>
                <w:color w:val="000000" w:themeColor="text1"/>
              </w:rPr>
              <w:t>2) присвоєння ідентифікатора кожній операції щодо кожного деривативного контракту та кожного договору про заміну сторони, інформація щодо яких подається до торгового репозиторію.</w:t>
            </w:r>
          </w:p>
          <w:p w14:paraId="1640AEA0" w14:textId="6F24AFC4" w:rsidR="006507E8" w:rsidRPr="00286216" w:rsidRDefault="006507E8" w:rsidP="006507E8">
            <w:pPr>
              <w:pStyle w:val="StyleZakonu"/>
              <w:spacing w:after="0"/>
              <w:rPr>
                <w:color w:val="000000" w:themeColor="text1"/>
              </w:rPr>
            </w:pPr>
            <w:r w:rsidRPr="00286216">
              <w:rPr>
                <w:color w:val="000000" w:themeColor="text1"/>
              </w:rPr>
              <w:t xml:space="preserve">Порядок присвоєння ідентифікаторів деривативних контрактів та договорів про заміну сторони, ідентифікаторів операцій щодо деривативних контрактів та операцій щодо договорів про заміну сторони, інформація щодо яких подається до торгового репозиторію, встановлюється Національною комісією з цінних паперів та фондового ринку. </w:t>
            </w:r>
          </w:p>
        </w:tc>
      </w:tr>
      <w:tr w:rsidR="006507E8" w:rsidRPr="00286216" w14:paraId="1CC401E6" w14:textId="77777777" w:rsidTr="0018142E">
        <w:trPr>
          <w:trHeight w:val="238"/>
        </w:trPr>
        <w:tc>
          <w:tcPr>
            <w:tcW w:w="576" w:type="dxa"/>
          </w:tcPr>
          <w:p w14:paraId="7499FA28" w14:textId="77777777" w:rsidR="006507E8" w:rsidRPr="00286216" w:rsidRDefault="006507E8" w:rsidP="006507E8">
            <w:pPr>
              <w:pStyle w:val="StyleWisnow"/>
              <w:rPr>
                <w:color w:val="000000" w:themeColor="text1"/>
              </w:rPr>
            </w:pPr>
            <w:bookmarkStart w:id="1139" w:name="n1404" w:colFirst="0" w:colLast="0"/>
            <w:bookmarkEnd w:id="1138"/>
            <w:r w:rsidRPr="00286216">
              <w:rPr>
                <w:color w:val="000000" w:themeColor="text1"/>
              </w:rPr>
              <w:t>1404.</w:t>
            </w:r>
          </w:p>
        </w:tc>
        <w:tc>
          <w:tcPr>
            <w:tcW w:w="4818" w:type="dxa"/>
          </w:tcPr>
          <w:p w14:paraId="521ECEB6" w14:textId="77777777" w:rsidR="006507E8" w:rsidRPr="00286216" w:rsidRDefault="006507E8" w:rsidP="006507E8">
            <w:pPr>
              <w:pStyle w:val="StyleZakonu"/>
              <w:rPr>
                <w:color w:val="000000" w:themeColor="text1"/>
              </w:rPr>
            </w:pPr>
            <w:r w:rsidRPr="00286216">
              <w:rPr>
                <w:color w:val="000000" w:themeColor="text1"/>
              </w:rPr>
              <w:t>Торговий репозиторій, забезпечує:</w:t>
            </w:r>
          </w:p>
        </w:tc>
        <w:tc>
          <w:tcPr>
            <w:tcW w:w="3686" w:type="dxa"/>
          </w:tcPr>
          <w:p w14:paraId="02ECF177" w14:textId="72902737"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853</w:t>
            </w:r>
            <w:r w:rsidRPr="00286216">
              <w:rPr>
                <w:color w:val="000000" w:themeColor="text1"/>
              </w:rPr>
              <w:fldChar w:fldCharType="end"/>
            </w:r>
            <w:r w:rsidRPr="00286216">
              <w:rPr>
                <w:color w:val="000000" w:themeColor="text1"/>
              </w:rPr>
              <w:t>-Н.д.Шахов С.В. (Реєстр.картка №114)</w:t>
            </w:r>
          </w:p>
          <w:p w14:paraId="56F8116F" w14:textId="77777777" w:rsidR="006507E8" w:rsidRPr="00286216" w:rsidRDefault="006507E8" w:rsidP="006507E8">
            <w:pPr>
              <w:pStyle w:val="StyleProp"/>
              <w:rPr>
                <w:color w:val="000000" w:themeColor="text1"/>
                <w:szCs w:val="18"/>
              </w:rPr>
            </w:pPr>
            <w:r w:rsidRPr="00286216">
              <w:rPr>
                <w:color w:val="000000" w:themeColor="text1"/>
              </w:rPr>
              <w:t>В абз. 1 ч. 1 ст. 82 слова "Національної комісії з цінних паперів та фондового ринку" замінити словами "регулятора відповідного ринку відповідно до вимог цього Закону".</w:t>
            </w:r>
          </w:p>
        </w:tc>
        <w:tc>
          <w:tcPr>
            <w:tcW w:w="1987" w:type="dxa"/>
          </w:tcPr>
          <w:p w14:paraId="05C1B9CE"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019EACE1" w14:textId="319E25DE" w:rsidR="006507E8" w:rsidRPr="00286216" w:rsidRDefault="006507E8" w:rsidP="006507E8">
            <w:pPr>
              <w:pStyle w:val="StyleWisnow"/>
              <w:spacing w:line="180" w:lineRule="exact"/>
              <w:rPr>
                <w:color w:val="000000" w:themeColor="text1"/>
              </w:rPr>
            </w:pPr>
            <w:r w:rsidRPr="00286216">
              <w:rPr>
                <w:rFonts w:eastAsia="Calibri"/>
                <w:color w:val="000000" w:themeColor="text1"/>
              </w:rPr>
              <w:t>ринок деривативів та, відповідно, його системоутворююча установа – репозиторій є виключною регуляторною компетенцією НКЦПФР</w:t>
            </w:r>
          </w:p>
        </w:tc>
        <w:tc>
          <w:tcPr>
            <w:tcW w:w="4818" w:type="dxa"/>
          </w:tcPr>
          <w:p w14:paraId="3F5AE305" w14:textId="77777777" w:rsidR="006507E8" w:rsidRPr="00286216" w:rsidRDefault="006507E8" w:rsidP="006507E8">
            <w:pPr>
              <w:pStyle w:val="StyleZakonu"/>
              <w:rPr>
                <w:color w:val="000000" w:themeColor="text1"/>
              </w:rPr>
            </w:pPr>
          </w:p>
        </w:tc>
      </w:tr>
      <w:tr w:rsidR="00826C07" w:rsidRPr="00286216" w14:paraId="32B08125" w14:textId="77777777" w:rsidTr="00091AA5">
        <w:tc>
          <w:tcPr>
            <w:tcW w:w="576" w:type="dxa"/>
          </w:tcPr>
          <w:p w14:paraId="268993A5" w14:textId="77777777" w:rsidR="00826C07" w:rsidRPr="00286216" w:rsidRDefault="00826C07" w:rsidP="00826C07">
            <w:pPr>
              <w:pStyle w:val="StyleWisnow"/>
              <w:rPr>
                <w:color w:val="000000" w:themeColor="text1"/>
              </w:rPr>
            </w:pPr>
            <w:bookmarkStart w:id="1140" w:name="n1405" w:colFirst="0" w:colLast="0"/>
            <w:bookmarkEnd w:id="1139"/>
            <w:r w:rsidRPr="00286216">
              <w:rPr>
                <w:color w:val="000000" w:themeColor="text1"/>
              </w:rPr>
              <w:t>1405.</w:t>
            </w:r>
          </w:p>
        </w:tc>
        <w:tc>
          <w:tcPr>
            <w:tcW w:w="4818" w:type="dxa"/>
          </w:tcPr>
          <w:p w14:paraId="06F1F889" w14:textId="77777777" w:rsidR="00826C07" w:rsidRPr="00286216" w:rsidRDefault="00826C07" w:rsidP="00826C07">
            <w:pPr>
              <w:pStyle w:val="StyleZakonu"/>
              <w:rPr>
                <w:color w:val="000000" w:themeColor="text1"/>
              </w:rPr>
            </w:pPr>
            <w:r w:rsidRPr="00286216">
              <w:rPr>
                <w:color w:val="000000" w:themeColor="text1"/>
              </w:rPr>
              <w:t xml:space="preserve">1) присвоєння, у відповідності до міжнародних стандартів, деривативним контрактам ідентифікатора </w:t>
            </w:r>
            <w:r w:rsidRPr="00286216">
              <w:rPr>
                <w:color w:val="000000" w:themeColor="text1"/>
              </w:rPr>
              <w:lastRenderedPageBreak/>
              <w:t>(коду UPI)";</w:t>
            </w:r>
          </w:p>
        </w:tc>
        <w:tc>
          <w:tcPr>
            <w:tcW w:w="3686" w:type="dxa"/>
          </w:tcPr>
          <w:p w14:paraId="0BD86036" w14:textId="12DC17AF" w:rsidR="00826C07" w:rsidRPr="00286216" w:rsidRDefault="00826C07" w:rsidP="00826C07">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854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6EFB330"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 xml:space="preserve">У статті 82 абзаци третій-п’ятий викласти в такій редакції: </w:t>
            </w:r>
          </w:p>
          <w:p w14:paraId="34B9FB6D"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lastRenderedPageBreak/>
              <w:t>«1) присвоєння деривативним контрактам ідентифікатора;</w:t>
            </w:r>
          </w:p>
        </w:tc>
        <w:tc>
          <w:tcPr>
            <w:tcW w:w="1987" w:type="dxa"/>
          </w:tcPr>
          <w:p w14:paraId="5DEF46E8" w14:textId="77777777"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tc>
        <w:tc>
          <w:tcPr>
            <w:tcW w:w="4818" w:type="dxa"/>
          </w:tcPr>
          <w:p w14:paraId="3F8028F8" w14:textId="77777777" w:rsidR="00826C07" w:rsidRPr="00286216" w:rsidRDefault="00826C07" w:rsidP="00826C07">
            <w:pPr>
              <w:pStyle w:val="StyleZakonu"/>
              <w:rPr>
                <w:color w:val="000000" w:themeColor="text1"/>
              </w:rPr>
            </w:pPr>
          </w:p>
        </w:tc>
      </w:tr>
      <w:tr w:rsidR="00826C07" w:rsidRPr="00286216" w14:paraId="7C44AC36" w14:textId="77777777" w:rsidTr="00091AA5">
        <w:tc>
          <w:tcPr>
            <w:tcW w:w="576" w:type="dxa"/>
          </w:tcPr>
          <w:p w14:paraId="3857341F" w14:textId="77777777" w:rsidR="00826C07" w:rsidRPr="00286216" w:rsidRDefault="00826C07" w:rsidP="00826C07">
            <w:pPr>
              <w:pStyle w:val="StyleWisnow"/>
              <w:rPr>
                <w:color w:val="000000" w:themeColor="text1"/>
              </w:rPr>
            </w:pPr>
            <w:bookmarkStart w:id="1141" w:name="n1406" w:colFirst="0" w:colLast="0"/>
            <w:bookmarkEnd w:id="1140"/>
            <w:r w:rsidRPr="00286216">
              <w:rPr>
                <w:color w:val="000000" w:themeColor="text1"/>
              </w:rPr>
              <w:t>1406.</w:t>
            </w:r>
          </w:p>
        </w:tc>
        <w:tc>
          <w:tcPr>
            <w:tcW w:w="4818" w:type="dxa"/>
          </w:tcPr>
          <w:p w14:paraId="04774E46" w14:textId="77777777" w:rsidR="00826C07" w:rsidRPr="00286216" w:rsidRDefault="00826C07" w:rsidP="00826C07">
            <w:pPr>
              <w:pStyle w:val="StyleZakonu"/>
              <w:rPr>
                <w:color w:val="000000" w:themeColor="text1"/>
              </w:rPr>
            </w:pPr>
            <w:r w:rsidRPr="00286216">
              <w:rPr>
                <w:color w:val="000000" w:themeColor="text1"/>
              </w:rPr>
              <w:t>2) присвоєння, у відповідності до міжнародних стандартів, ідентифікатора (коду UTI) кожній операції щодо кожного деривативного контракту, інформація щодо яких подається до торгового репозиторію.</w:t>
            </w:r>
          </w:p>
        </w:tc>
        <w:tc>
          <w:tcPr>
            <w:tcW w:w="3686" w:type="dxa"/>
          </w:tcPr>
          <w:p w14:paraId="162673DB"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2) присвоєння ідентифікатора кожній операції щодо кожного деривативного контракту, інформація щодо яких подається до торгового репозиторію.</w:t>
            </w:r>
          </w:p>
          <w:p w14:paraId="70029211" w14:textId="3D8D57CF" w:rsidR="00826C07" w:rsidRPr="00286216" w:rsidRDefault="00826C07" w:rsidP="00826C07">
            <w:pPr>
              <w:pStyle w:val="StyleProp"/>
              <w:spacing w:line="180" w:lineRule="exact"/>
              <w:rPr>
                <w:color w:val="000000" w:themeColor="text1"/>
                <w:szCs w:val="18"/>
              </w:rPr>
            </w:pPr>
            <w:r w:rsidRPr="00286216">
              <w:rPr>
                <w:color w:val="000000" w:themeColor="text1"/>
                <w:szCs w:val="18"/>
              </w:rPr>
              <w:t xml:space="preserve">Порядок присвоєння ідентифікаторів деривативних контрактів та ідентифікаторів </w:t>
            </w:r>
          </w:p>
        </w:tc>
        <w:tc>
          <w:tcPr>
            <w:tcW w:w="1987" w:type="dxa"/>
          </w:tcPr>
          <w:p w14:paraId="2DAA90AF" w14:textId="77777777" w:rsidR="00826C07" w:rsidRPr="00286216" w:rsidRDefault="00826C07" w:rsidP="00826C07">
            <w:pPr>
              <w:pStyle w:val="StyleWisnow"/>
              <w:rPr>
                <w:color w:val="000000" w:themeColor="text1"/>
              </w:rPr>
            </w:pPr>
          </w:p>
        </w:tc>
        <w:tc>
          <w:tcPr>
            <w:tcW w:w="4818" w:type="dxa"/>
          </w:tcPr>
          <w:p w14:paraId="037D62D1" w14:textId="77777777" w:rsidR="00826C07" w:rsidRPr="00286216" w:rsidRDefault="00826C07" w:rsidP="00826C07">
            <w:pPr>
              <w:pStyle w:val="StyleZakonu"/>
              <w:rPr>
                <w:color w:val="000000" w:themeColor="text1"/>
              </w:rPr>
            </w:pPr>
          </w:p>
        </w:tc>
      </w:tr>
      <w:tr w:rsidR="00826C07" w:rsidRPr="00286216" w14:paraId="3556CB4A" w14:textId="77777777" w:rsidTr="00091AA5">
        <w:tc>
          <w:tcPr>
            <w:tcW w:w="576" w:type="dxa"/>
          </w:tcPr>
          <w:p w14:paraId="718F8DF9" w14:textId="77777777" w:rsidR="00826C07" w:rsidRPr="00286216" w:rsidRDefault="00826C07" w:rsidP="00826C07">
            <w:pPr>
              <w:pStyle w:val="StyleWisnow"/>
              <w:rPr>
                <w:color w:val="000000" w:themeColor="text1"/>
              </w:rPr>
            </w:pPr>
            <w:bookmarkStart w:id="1142" w:name="n1407" w:colFirst="0" w:colLast="0"/>
            <w:bookmarkEnd w:id="1141"/>
            <w:r w:rsidRPr="00286216">
              <w:rPr>
                <w:color w:val="000000" w:themeColor="text1"/>
              </w:rPr>
              <w:t>1407.</w:t>
            </w:r>
          </w:p>
        </w:tc>
        <w:tc>
          <w:tcPr>
            <w:tcW w:w="4818" w:type="dxa"/>
          </w:tcPr>
          <w:p w14:paraId="2B467B20" w14:textId="77777777" w:rsidR="00826C07" w:rsidRPr="00286216" w:rsidRDefault="00826C07" w:rsidP="00826C07">
            <w:pPr>
              <w:pStyle w:val="StyleZakonu"/>
              <w:rPr>
                <w:color w:val="000000" w:themeColor="text1"/>
              </w:rPr>
            </w:pPr>
            <w:r w:rsidRPr="00286216">
              <w:rPr>
                <w:color w:val="000000" w:themeColor="text1"/>
              </w:rPr>
              <w:t>Порядок присвоєння кодів UPI та UTI встановлюється Національною комісією з цінних паперів та фондового ринку.</w:t>
            </w:r>
          </w:p>
        </w:tc>
        <w:tc>
          <w:tcPr>
            <w:tcW w:w="3686" w:type="dxa"/>
          </w:tcPr>
          <w:p w14:paraId="49EE433B" w14:textId="225B1369" w:rsidR="00826C07" w:rsidRPr="00286216" w:rsidRDefault="00826C07" w:rsidP="00826C07">
            <w:pPr>
              <w:pStyle w:val="StyleProp"/>
              <w:spacing w:line="180" w:lineRule="exact"/>
              <w:ind w:firstLine="0"/>
              <w:rPr>
                <w:color w:val="000000" w:themeColor="text1"/>
                <w:szCs w:val="18"/>
              </w:rPr>
            </w:pPr>
            <w:r w:rsidRPr="00286216">
              <w:rPr>
                <w:color w:val="000000" w:themeColor="text1"/>
                <w:szCs w:val="18"/>
              </w:rPr>
              <w:t>операцій щодо деривативних контрактів, інформація щодо яких подається до торгового репозиторію, встановлюється Національною комісією з цінних паперів та фондового ринку».</w:t>
            </w:r>
          </w:p>
        </w:tc>
        <w:tc>
          <w:tcPr>
            <w:tcW w:w="1987" w:type="dxa"/>
          </w:tcPr>
          <w:p w14:paraId="549608A5" w14:textId="77777777" w:rsidR="00826C07" w:rsidRPr="00286216" w:rsidRDefault="00826C07" w:rsidP="00826C07">
            <w:pPr>
              <w:pStyle w:val="StyleWisnow"/>
              <w:rPr>
                <w:color w:val="000000" w:themeColor="text1"/>
              </w:rPr>
            </w:pPr>
          </w:p>
        </w:tc>
        <w:tc>
          <w:tcPr>
            <w:tcW w:w="4818" w:type="dxa"/>
          </w:tcPr>
          <w:p w14:paraId="1AD69675" w14:textId="77777777" w:rsidR="00826C07" w:rsidRPr="00286216" w:rsidRDefault="00826C07" w:rsidP="00826C07">
            <w:pPr>
              <w:pStyle w:val="StyleZakonu"/>
              <w:rPr>
                <w:color w:val="000000" w:themeColor="text1"/>
              </w:rPr>
            </w:pPr>
          </w:p>
        </w:tc>
      </w:tr>
      <w:tr w:rsidR="006507E8" w:rsidRPr="00286216" w14:paraId="491C2434" w14:textId="77777777" w:rsidTr="00091AA5">
        <w:tc>
          <w:tcPr>
            <w:tcW w:w="576" w:type="dxa"/>
          </w:tcPr>
          <w:p w14:paraId="5DC1A5FB" w14:textId="77777777" w:rsidR="006507E8" w:rsidRPr="00286216" w:rsidRDefault="006507E8" w:rsidP="006507E8">
            <w:pPr>
              <w:pStyle w:val="StyleWisnow"/>
              <w:rPr>
                <w:color w:val="000000" w:themeColor="text1"/>
              </w:rPr>
            </w:pPr>
            <w:bookmarkStart w:id="1143" w:name="n1408" w:colFirst="0" w:colLast="0"/>
            <w:bookmarkEnd w:id="1142"/>
            <w:r w:rsidRPr="00286216">
              <w:rPr>
                <w:color w:val="000000" w:themeColor="text1"/>
              </w:rPr>
              <w:t>1408.</w:t>
            </w:r>
          </w:p>
        </w:tc>
        <w:tc>
          <w:tcPr>
            <w:tcW w:w="4818" w:type="dxa"/>
          </w:tcPr>
          <w:p w14:paraId="69096EB0" w14:textId="77777777"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в установленому нею порядку здійснює авторизацію юридичних осіб, які мають намір провадити діяльність торгового репозиторію на ринках капіталу та організованих товарних ринках.</w:t>
            </w:r>
          </w:p>
        </w:tc>
        <w:tc>
          <w:tcPr>
            <w:tcW w:w="3686" w:type="dxa"/>
          </w:tcPr>
          <w:p w14:paraId="29E85458" w14:textId="33639552"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855</w:t>
            </w:r>
            <w:r w:rsidRPr="00286216">
              <w:rPr>
                <w:color w:val="000000" w:themeColor="text1"/>
              </w:rPr>
              <w:fldChar w:fldCharType="end"/>
            </w:r>
            <w:r w:rsidRPr="00286216">
              <w:rPr>
                <w:color w:val="000000" w:themeColor="text1"/>
              </w:rPr>
              <w:t>-Н.д.Шахов С.В. (Реєстр.картка №114)</w:t>
            </w:r>
          </w:p>
          <w:p w14:paraId="50F877DA" w14:textId="77777777" w:rsidR="006507E8" w:rsidRPr="00286216" w:rsidRDefault="006507E8" w:rsidP="006507E8">
            <w:pPr>
              <w:pStyle w:val="StyleProp"/>
              <w:rPr>
                <w:color w:val="000000" w:themeColor="text1"/>
                <w:szCs w:val="18"/>
              </w:rPr>
            </w:pPr>
            <w:r w:rsidRPr="00286216">
              <w:rPr>
                <w:color w:val="000000" w:themeColor="text1"/>
              </w:rPr>
              <w:t>Ч. 2 ст. 82 викласти у такій редакції:</w:t>
            </w:r>
          </w:p>
          <w:p w14:paraId="671AD5C3" w14:textId="77777777" w:rsidR="006507E8" w:rsidRPr="00286216" w:rsidRDefault="006507E8" w:rsidP="006507E8">
            <w:pPr>
              <w:pStyle w:val="StyleProp"/>
              <w:rPr>
                <w:color w:val="000000" w:themeColor="text1"/>
                <w:szCs w:val="18"/>
              </w:rPr>
            </w:pPr>
            <w:r w:rsidRPr="00286216">
              <w:rPr>
                <w:color w:val="000000" w:themeColor="text1"/>
                <w:szCs w:val="18"/>
              </w:rPr>
              <w:t>"2. Регулятор відповідного ринку в установленому ним порядку здійснює авторизацію юридичних осіб, які мають намір провадити діяльність торгового репозиторію на ринках капіталу".</w:t>
            </w:r>
          </w:p>
        </w:tc>
        <w:tc>
          <w:tcPr>
            <w:tcW w:w="1987" w:type="dxa"/>
          </w:tcPr>
          <w:p w14:paraId="0B878571"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6916ED3B"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ринок деривативів є виключною регуляторною компетенцією НКЦПФР</w:t>
            </w:r>
          </w:p>
          <w:p w14:paraId="2F97DE94" w14:textId="77777777" w:rsidR="006507E8" w:rsidRPr="00286216" w:rsidRDefault="006507E8" w:rsidP="006507E8">
            <w:pPr>
              <w:pStyle w:val="StyleWisnow"/>
              <w:rPr>
                <w:color w:val="000000" w:themeColor="text1"/>
              </w:rPr>
            </w:pPr>
          </w:p>
        </w:tc>
        <w:tc>
          <w:tcPr>
            <w:tcW w:w="4818" w:type="dxa"/>
          </w:tcPr>
          <w:p w14:paraId="7042AE0D" w14:textId="05D1A9EE"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у встановленому нею порядку здійснює авторизацію юридичних осіб, які мають намір провадити діяльність торгового репозиторію на ринках капіталу та організованих товарних ринках.</w:t>
            </w:r>
          </w:p>
        </w:tc>
      </w:tr>
      <w:tr w:rsidR="006507E8" w:rsidRPr="00286216" w14:paraId="19D0EC37" w14:textId="77777777" w:rsidTr="00091AA5">
        <w:tc>
          <w:tcPr>
            <w:tcW w:w="576" w:type="dxa"/>
          </w:tcPr>
          <w:p w14:paraId="57A5C5EA" w14:textId="77777777" w:rsidR="006507E8" w:rsidRPr="00286216" w:rsidRDefault="006507E8" w:rsidP="006507E8">
            <w:pPr>
              <w:pStyle w:val="StyleWisnow"/>
              <w:rPr>
                <w:color w:val="000000" w:themeColor="text1"/>
              </w:rPr>
            </w:pPr>
            <w:bookmarkStart w:id="1144" w:name="n1409" w:colFirst="0" w:colLast="0"/>
            <w:bookmarkEnd w:id="1143"/>
            <w:r w:rsidRPr="00286216">
              <w:rPr>
                <w:color w:val="000000" w:themeColor="text1"/>
              </w:rPr>
              <w:t>1409.</w:t>
            </w:r>
          </w:p>
        </w:tc>
        <w:tc>
          <w:tcPr>
            <w:tcW w:w="4818" w:type="dxa"/>
          </w:tcPr>
          <w:p w14:paraId="0DA698D9" w14:textId="77777777" w:rsidR="006507E8" w:rsidRPr="00286216" w:rsidRDefault="006507E8" w:rsidP="006507E8">
            <w:pPr>
              <w:pStyle w:val="StyleZakonu"/>
              <w:rPr>
                <w:color w:val="000000" w:themeColor="text1"/>
              </w:rPr>
            </w:pPr>
            <w:r w:rsidRPr="00286216">
              <w:rPr>
                <w:color w:val="000000" w:themeColor="text1"/>
              </w:rPr>
              <w:t>3. Авторизація здійснюється шляхом включення юридичних осіб до Реєстру осіб, уповноважених провадити діяльність торгового репозиторію на ринках капіталу та організованих товарних ринках (далі - Реєстр торгових репозиторіїв).</w:t>
            </w:r>
          </w:p>
        </w:tc>
        <w:tc>
          <w:tcPr>
            <w:tcW w:w="3686" w:type="dxa"/>
          </w:tcPr>
          <w:p w14:paraId="4B427374" w14:textId="34372DDD"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856</w:t>
            </w:r>
            <w:r w:rsidRPr="00286216">
              <w:rPr>
                <w:color w:val="000000" w:themeColor="text1"/>
              </w:rPr>
              <w:fldChar w:fldCharType="end"/>
            </w:r>
            <w:r w:rsidRPr="00286216">
              <w:rPr>
                <w:color w:val="000000" w:themeColor="text1"/>
              </w:rPr>
              <w:t>-Н.д.Шахов С.В. (Реєстр.картка №114)</w:t>
            </w:r>
          </w:p>
          <w:p w14:paraId="4F5412F0" w14:textId="77777777" w:rsidR="006507E8" w:rsidRPr="00286216" w:rsidRDefault="006507E8" w:rsidP="006507E8">
            <w:pPr>
              <w:pStyle w:val="StyleProp"/>
              <w:rPr>
                <w:color w:val="000000" w:themeColor="text1"/>
              </w:rPr>
            </w:pPr>
            <w:r w:rsidRPr="00286216">
              <w:rPr>
                <w:color w:val="000000" w:themeColor="text1"/>
              </w:rPr>
              <w:t>В абз.1 ч. 3 ст. 82 слова "та організованих товарних ринках" виключити.</w:t>
            </w:r>
          </w:p>
        </w:tc>
        <w:tc>
          <w:tcPr>
            <w:tcW w:w="1987" w:type="dxa"/>
          </w:tcPr>
          <w:p w14:paraId="67676D4F"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05D94DAA" w14:textId="1B046143"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7C851DB0" w14:textId="1C777CEA" w:rsidR="006507E8" w:rsidRPr="00286216" w:rsidRDefault="006507E8" w:rsidP="006507E8">
            <w:pPr>
              <w:pStyle w:val="StyleZakonu"/>
              <w:rPr>
                <w:color w:val="000000" w:themeColor="text1"/>
              </w:rPr>
            </w:pPr>
            <w:r w:rsidRPr="00286216">
              <w:rPr>
                <w:color w:val="000000" w:themeColor="text1"/>
              </w:rPr>
              <w:t>3. Авторизація здійснюється шляхом включення юридичних осіб до Реєстру осіб, уповноважених провадити діяльність торгового репозиторію на ринках капіталу та організованих товарних ринках (далі - Реєстр торгових репозиторіїв).</w:t>
            </w:r>
          </w:p>
        </w:tc>
      </w:tr>
      <w:tr w:rsidR="006507E8" w:rsidRPr="00286216" w14:paraId="78BB59A9" w14:textId="77777777" w:rsidTr="00091AA5">
        <w:tc>
          <w:tcPr>
            <w:tcW w:w="576" w:type="dxa"/>
          </w:tcPr>
          <w:p w14:paraId="7F02B672" w14:textId="77777777" w:rsidR="006507E8" w:rsidRPr="00286216" w:rsidRDefault="006507E8" w:rsidP="006507E8">
            <w:pPr>
              <w:pStyle w:val="StyleWisnow"/>
              <w:rPr>
                <w:color w:val="000000" w:themeColor="text1"/>
              </w:rPr>
            </w:pPr>
            <w:bookmarkStart w:id="1145" w:name="n1410" w:colFirst="0" w:colLast="0"/>
            <w:bookmarkEnd w:id="1144"/>
            <w:r w:rsidRPr="00286216">
              <w:rPr>
                <w:color w:val="000000" w:themeColor="text1"/>
              </w:rPr>
              <w:t>1410.</w:t>
            </w:r>
          </w:p>
        </w:tc>
        <w:tc>
          <w:tcPr>
            <w:tcW w:w="4818" w:type="dxa"/>
          </w:tcPr>
          <w:p w14:paraId="261E23A9" w14:textId="77777777" w:rsidR="006507E8" w:rsidRPr="00286216" w:rsidRDefault="006507E8" w:rsidP="006507E8">
            <w:pPr>
              <w:pStyle w:val="StyleZakonu"/>
              <w:rPr>
                <w:color w:val="000000" w:themeColor="text1"/>
              </w:rPr>
            </w:pPr>
            <w:r w:rsidRPr="00286216">
              <w:rPr>
                <w:color w:val="000000" w:themeColor="text1"/>
              </w:rPr>
              <w:t>Порядок ведення Реєстру торгових репозиторіїв та оприлюднення інформації з нього встановлюється Національною комісією з цінних паперів та фондового ринку.</w:t>
            </w:r>
          </w:p>
        </w:tc>
        <w:tc>
          <w:tcPr>
            <w:tcW w:w="3686" w:type="dxa"/>
          </w:tcPr>
          <w:p w14:paraId="6D4AC1C4" w14:textId="1BEF2C7F"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857</w:t>
            </w:r>
            <w:r w:rsidRPr="00286216">
              <w:rPr>
                <w:color w:val="000000" w:themeColor="text1"/>
              </w:rPr>
              <w:fldChar w:fldCharType="end"/>
            </w:r>
            <w:r w:rsidRPr="00286216">
              <w:rPr>
                <w:color w:val="000000" w:themeColor="text1"/>
              </w:rPr>
              <w:t>-Н.д.Шахов С.В. (Реєстр.картка №114)</w:t>
            </w:r>
          </w:p>
          <w:p w14:paraId="67F85EF5" w14:textId="77777777" w:rsidR="006507E8" w:rsidRPr="00286216" w:rsidRDefault="006507E8" w:rsidP="006507E8">
            <w:pPr>
              <w:pStyle w:val="StyleProp"/>
              <w:spacing w:line="190" w:lineRule="exact"/>
              <w:rPr>
                <w:color w:val="000000" w:themeColor="text1"/>
              </w:rPr>
            </w:pPr>
            <w:r w:rsidRPr="00286216">
              <w:rPr>
                <w:color w:val="000000" w:themeColor="text1"/>
              </w:rPr>
              <w:t>В абз.2 ч. 3 ст. 82 слова "Національною комісією з цінних паперів та фондового ринку" замінити словами "регулятором відповідного ринку".</w:t>
            </w:r>
          </w:p>
        </w:tc>
        <w:tc>
          <w:tcPr>
            <w:tcW w:w="1987" w:type="dxa"/>
          </w:tcPr>
          <w:p w14:paraId="3E5FC66E"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35569DBA" w14:textId="79C7FBDD" w:rsidR="006507E8" w:rsidRPr="00286216" w:rsidRDefault="006507E8" w:rsidP="006507E8">
            <w:pPr>
              <w:pStyle w:val="StyleWisnow"/>
              <w:spacing w:line="180" w:lineRule="exact"/>
              <w:rPr>
                <w:color w:val="000000" w:themeColor="text1"/>
              </w:rPr>
            </w:pPr>
            <w:r w:rsidRPr="00286216">
              <w:rPr>
                <w:rFonts w:eastAsia="Calibri"/>
                <w:color w:val="000000" w:themeColor="text1"/>
              </w:rPr>
              <w:t>ринок деривативів є виключною регуляторною компетенцією НКЦПФР</w:t>
            </w:r>
          </w:p>
        </w:tc>
        <w:tc>
          <w:tcPr>
            <w:tcW w:w="4818" w:type="dxa"/>
          </w:tcPr>
          <w:p w14:paraId="56EDB811" w14:textId="2732F39E" w:rsidR="006507E8" w:rsidRPr="00286216" w:rsidRDefault="006507E8" w:rsidP="006507E8">
            <w:pPr>
              <w:pStyle w:val="StyleZakonu"/>
              <w:rPr>
                <w:color w:val="000000" w:themeColor="text1"/>
              </w:rPr>
            </w:pPr>
            <w:r w:rsidRPr="00286216">
              <w:rPr>
                <w:color w:val="000000" w:themeColor="text1"/>
              </w:rPr>
              <w:t>Порядок ведення Реєстру торгових репозиторіїв та оприлюднення інформації з нього встановлюється Національною комісією з цінних паперів та фондового ринку.</w:t>
            </w:r>
          </w:p>
        </w:tc>
      </w:tr>
      <w:tr w:rsidR="006507E8" w:rsidRPr="00286216" w14:paraId="419A8B79" w14:textId="77777777" w:rsidTr="00091AA5">
        <w:tc>
          <w:tcPr>
            <w:tcW w:w="576" w:type="dxa"/>
          </w:tcPr>
          <w:p w14:paraId="466BA167" w14:textId="77777777" w:rsidR="006507E8" w:rsidRPr="00286216" w:rsidRDefault="006507E8" w:rsidP="006507E8">
            <w:pPr>
              <w:pStyle w:val="StyleWisnow"/>
              <w:rPr>
                <w:color w:val="000000" w:themeColor="text1"/>
              </w:rPr>
            </w:pPr>
            <w:bookmarkStart w:id="1146" w:name="n1411" w:colFirst="0" w:colLast="0"/>
            <w:bookmarkEnd w:id="1145"/>
            <w:r w:rsidRPr="00286216">
              <w:rPr>
                <w:color w:val="000000" w:themeColor="text1"/>
              </w:rPr>
              <w:t>1411.</w:t>
            </w:r>
          </w:p>
        </w:tc>
        <w:tc>
          <w:tcPr>
            <w:tcW w:w="4818" w:type="dxa"/>
          </w:tcPr>
          <w:p w14:paraId="2A1BD3BF" w14:textId="77777777" w:rsidR="006507E8" w:rsidRPr="00286216" w:rsidRDefault="006507E8" w:rsidP="006507E8">
            <w:pPr>
              <w:pStyle w:val="StyleZakonu"/>
              <w:rPr>
                <w:color w:val="000000" w:themeColor="text1"/>
              </w:rPr>
            </w:pPr>
            <w:r w:rsidRPr="00286216">
              <w:rPr>
                <w:color w:val="000000" w:themeColor="text1"/>
              </w:rPr>
              <w:t>4. Нагляд та контроль за провадженням діяльності торговим репозиторієм на ринках капіталу та організованих товарних ринках здійснюється Національною комісією з цінних паперів та фондового ринку.</w:t>
            </w:r>
          </w:p>
        </w:tc>
        <w:tc>
          <w:tcPr>
            <w:tcW w:w="3686" w:type="dxa"/>
          </w:tcPr>
          <w:p w14:paraId="08970C60" w14:textId="06617DC8"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858</w:t>
            </w:r>
            <w:r w:rsidRPr="00286216">
              <w:rPr>
                <w:color w:val="000000" w:themeColor="text1"/>
              </w:rPr>
              <w:fldChar w:fldCharType="end"/>
            </w:r>
            <w:r w:rsidRPr="00286216">
              <w:rPr>
                <w:color w:val="000000" w:themeColor="text1"/>
              </w:rPr>
              <w:t>-Н.д.Шахов С.В. (Реєстр.картка №114)</w:t>
            </w:r>
          </w:p>
          <w:p w14:paraId="25C26504" w14:textId="77777777" w:rsidR="006507E8" w:rsidRPr="00286216" w:rsidRDefault="006507E8" w:rsidP="006507E8">
            <w:pPr>
              <w:pStyle w:val="StyleProp"/>
              <w:spacing w:line="180" w:lineRule="exact"/>
              <w:rPr>
                <w:color w:val="000000" w:themeColor="text1"/>
              </w:rPr>
            </w:pPr>
            <w:r w:rsidRPr="00286216">
              <w:rPr>
                <w:color w:val="000000" w:themeColor="text1"/>
              </w:rPr>
              <w:t>Ч.4 ст.82 викласти у такій редакції:</w:t>
            </w:r>
          </w:p>
          <w:p w14:paraId="2DAA0F63" w14:textId="77777777" w:rsidR="006507E8" w:rsidRPr="00286216" w:rsidRDefault="006507E8" w:rsidP="006507E8">
            <w:pPr>
              <w:pStyle w:val="StyleProp"/>
              <w:spacing w:line="180" w:lineRule="exact"/>
              <w:rPr>
                <w:color w:val="000000" w:themeColor="text1"/>
              </w:rPr>
            </w:pPr>
            <w:r w:rsidRPr="00286216">
              <w:rPr>
                <w:color w:val="000000" w:themeColor="text1"/>
              </w:rPr>
              <w:t>"4. Нагляд та контроль за провадженням діяльності торговим репозиторієм на ринках капіталу здійснюється регулятором відповідного ринку".</w:t>
            </w:r>
          </w:p>
        </w:tc>
        <w:tc>
          <w:tcPr>
            <w:tcW w:w="1987" w:type="dxa"/>
          </w:tcPr>
          <w:p w14:paraId="701D26FF"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7C8020A4" w14:textId="77347B88" w:rsidR="006507E8" w:rsidRPr="00286216" w:rsidRDefault="006507E8" w:rsidP="006507E8">
            <w:pPr>
              <w:pStyle w:val="StyleWisnow"/>
              <w:spacing w:line="180" w:lineRule="exact"/>
              <w:rPr>
                <w:color w:val="000000" w:themeColor="text1"/>
              </w:rPr>
            </w:pPr>
            <w:r w:rsidRPr="00286216">
              <w:rPr>
                <w:rFonts w:eastAsia="Calibri"/>
                <w:color w:val="000000" w:themeColor="text1"/>
              </w:rPr>
              <w:t>ринок деривативів є виключною регуляторною компетенцією НКЦПФР</w:t>
            </w:r>
          </w:p>
        </w:tc>
        <w:tc>
          <w:tcPr>
            <w:tcW w:w="4818" w:type="dxa"/>
          </w:tcPr>
          <w:p w14:paraId="5A7124B8" w14:textId="1168B2E4" w:rsidR="006507E8" w:rsidRPr="00286216" w:rsidRDefault="006507E8" w:rsidP="006507E8">
            <w:pPr>
              <w:pStyle w:val="StyleZakonu"/>
              <w:rPr>
                <w:color w:val="000000" w:themeColor="text1"/>
              </w:rPr>
            </w:pPr>
            <w:r w:rsidRPr="00286216">
              <w:rPr>
                <w:color w:val="000000" w:themeColor="text1"/>
              </w:rPr>
              <w:t>4. Нагляд та контроль за провадженням діяльності торговим репозиторієм на ринках капіталу та організованих товарних ринках здійснюються Національною комісією з цінних паперів та фондового ринку.</w:t>
            </w:r>
          </w:p>
        </w:tc>
      </w:tr>
      <w:tr w:rsidR="006507E8" w:rsidRPr="00286216" w14:paraId="43588368" w14:textId="77777777" w:rsidTr="00091AA5">
        <w:tc>
          <w:tcPr>
            <w:tcW w:w="576" w:type="dxa"/>
          </w:tcPr>
          <w:p w14:paraId="60E5789F" w14:textId="77777777" w:rsidR="006507E8" w:rsidRPr="00286216" w:rsidRDefault="006507E8" w:rsidP="006507E8">
            <w:pPr>
              <w:pStyle w:val="StyleWisnow"/>
              <w:rPr>
                <w:color w:val="000000" w:themeColor="text1"/>
              </w:rPr>
            </w:pPr>
            <w:bookmarkStart w:id="1147" w:name="n1412" w:colFirst="0" w:colLast="0"/>
            <w:bookmarkEnd w:id="1146"/>
            <w:r w:rsidRPr="00286216">
              <w:rPr>
                <w:color w:val="000000" w:themeColor="text1"/>
              </w:rPr>
              <w:t>1412.</w:t>
            </w:r>
          </w:p>
        </w:tc>
        <w:tc>
          <w:tcPr>
            <w:tcW w:w="4818" w:type="dxa"/>
          </w:tcPr>
          <w:p w14:paraId="5E515988" w14:textId="77777777" w:rsidR="006507E8" w:rsidRPr="00286216" w:rsidRDefault="006507E8" w:rsidP="006507E8">
            <w:pPr>
              <w:pStyle w:val="StyleZakonu"/>
              <w:rPr>
                <w:color w:val="000000" w:themeColor="text1"/>
              </w:rPr>
            </w:pPr>
            <w:r w:rsidRPr="00286216">
              <w:rPr>
                <w:color w:val="000000" w:themeColor="text1"/>
              </w:rPr>
              <w:t>5. Провадження діяльності торговим репозиторієм на ринках капіталу та організованих товарних ринках здійснюється на підставі відповідних договорів, вимоги до яких встановлюються Національною комісією з цінних паперів та фондового ринку.</w:t>
            </w:r>
          </w:p>
        </w:tc>
        <w:tc>
          <w:tcPr>
            <w:tcW w:w="3686" w:type="dxa"/>
          </w:tcPr>
          <w:p w14:paraId="71E49437" w14:textId="0F0B1E39"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859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916EBB4" w14:textId="77777777" w:rsidR="006507E8" w:rsidRPr="00286216" w:rsidRDefault="006507E8" w:rsidP="006507E8">
            <w:pPr>
              <w:pStyle w:val="StyleProp"/>
              <w:rPr>
                <w:color w:val="000000" w:themeColor="text1"/>
                <w:szCs w:val="18"/>
              </w:rPr>
            </w:pPr>
            <w:r w:rsidRPr="00286216">
              <w:rPr>
                <w:color w:val="000000" w:themeColor="text1"/>
                <w:szCs w:val="18"/>
              </w:rPr>
              <w:t>У статті 82 нової редакції Закону:</w:t>
            </w:r>
          </w:p>
          <w:p w14:paraId="2F5D3D9F" w14:textId="77777777" w:rsidR="006507E8" w:rsidRPr="00286216" w:rsidRDefault="006507E8" w:rsidP="006507E8">
            <w:pPr>
              <w:pStyle w:val="StyleProp"/>
              <w:spacing w:line="190" w:lineRule="exact"/>
              <w:rPr>
                <w:color w:val="000000" w:themeColor="text1"/>
                <w:szCs w:val="18"/>
              </w:rPr>
            </w:pPr>
            <w:r w:rsidRPr="00286216">
              <w:rPr>
                <w:color w:val="000000" w:themeColor="text1"/>
                <w:szCs w:val="18"/>
              </w:rPr>
              <w:t>частину п’яту доповнити новим абзацом такого змісту:</w:t>
            </w:r>
          </w:p>
          <w:p w14:paraId="2711BF73" w14:textId="77777777" w:rsidR="006507E8" w:rsidRPr="00286216" w:rsidRDefault="006507E8" w:rsidP="006507E8">
            <w:pPr>
              <w:pStyle w:val="StyleProp"/>
              <w:spacing w:line="190" w:lineRule="exact"/>
              <w:rPr>
                <w:color w:val="000000" w:themeColor="text1"/>
                <w:szCs w:val="18"/>
              </w:rPr>
            </w:pPr>
            <w:r w:rsidRPr="00286216">
              <w:rPr>
                <w:color w:val="000000" w:themeColor="text1"/>
                <w:szCs w:val="18"/>
              </w:rPr>
              <w:t>«У разі провадження торговим репозиторієм інших видів діяльності та/або надання інших послуг, торговий репозиторій зобов’язаний забезпечити провадження таких видів діяльності та/або надання таких послуг шляхом їх операційного відокремлення від основної діяльності торгового репозиторію.»</w:t>
            </w:r>
          </w:p>
        </w:tc>
        <w:tc>
          <w:tcPr>
            <w:tcW w:w="1987" w:type="dxa"/>
          </w:tcPr>
          <w:p w14:paraId="6EEA6B94" w14:textId="77777777" w:rsidR="006507E8" w:rsidRPr="00286216" w:rsidRDefault="006507E8" w:rsidP="006507E8">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37294D8F" w14:textId="77777777" w:rsidR="006507E8" w:rsidRPr="00286216" w:rsidRDefault="006507E8" w:rsidP="006507E8">
            <w:pPr>
              <w:pStyle w:val="StyleZakonu"/>
              <w:rPr>
                <w:color w:val="000000" w:themeColor="text1"/>
              </w:rPr>
            </w:pPr>
            <w:r w:rsidRPr="00286216">
              <w:rPr>
                <w:color w:val="000000" w:themeColor="text1"/>
              </w:rPr>
              <w:t>5. Провадження діяльності торговим репозиторієм на ринках капіталу та організованих товарних ринках здійснюється на підставі відповідних договорів, вимоги до яких встановлюються Національною комісією з цінних паперів та фондового ринку.</w:t>
            </w:r>
          </w:p>
          <w:p w14:paraId="26FFEDF4" w14:textId="46912836" w:rsidR="006507E8" w:rsidRPr="00286216" w:rsidRDefault="006507E8" w:rsidP="006507E8">
            <w:pPr>
              <w:pStyle w:val="StyleZakonu"/>
              <w:rPr>
                <w:color w:val="000000" w:themeColor="text1"/>
              </w:rPr>
            </w:pPr>
            <w:r w:rsidRPr="00286216">
              <w:rPr>
                <w:color w:val="000000" w:themeColor="text1"/>
                <w:szCs w:val="18"/>
              </w:rPr>
              <w:t xml:space="preserve">У разі провадження торговим репозиторієм інших видів господарської діяльності, крім діяльності торгового репозиторію на ринках капіталу та організованих товарних ринках, торговий репозиторій зобов’язаний забезпечити провадження таких видів діяльності шляхом їх операційного відокремлення від діяльності торгового репозиторію на ринках капіталу </w:t>
            </w:r>
            <w:r w:rsidRPr="00286216">
              <w:rPr>
                <w:color w:val="000000" w:themeColor="text1"/>
                <w:szCs w:val="18"/>
              </w:rPr>
              <w:lastRenderedPageBreak/>
              <w:t>та організованих товарних ринках.</w:t>
            </w:r>
          </w:p>
        </w:tc>
      </w:tr>
      <w:bookmarkEnd w:id="1147"/>
      <w:tr w:rsidR="006507E8" w:rsidRPr="00286216" w14:paraId="6BD29E63" w14:textId="77777777" w:rsidTr="00091AA5">
        <w:tc>
          <w:tcPr>
            <w:tcW w:w="576" w:type="dxa"/>
          </w:tcPr>
          <w:p w14:paraId="35B5F77C" w14:textId="77777777" w:rsidR="006507E8" w:rsidRPr="00286216" w:rsidRDefault="006507E8" w:rsidP="006507E8">
            <w:pPr>
              <w:pStyle w:val="StyleWisnow"/>
              <w:rPr>
                <w:color w:val="000000" w:themeColor="text1"/>
              </w:rPr>
            </w:pPr>
          </w:p>
        </w:tc>
        <w:tc>
          <w:tcPr>
            <w:tcW w:w="4818" w:type="dxa"/>
          </w:tcPr>
          <w:p w14:paraId="20E42D8F" w14:textId="77777777" w:rsidR="006507E8" w:rsidRPr="00286216" w:rsidRDefault="006507E8" w:rsidP="006507E8">
            <w:pPr>
              <w:pStyle w:val="StyleZakonu"/>
              <w:rPr>
                <w:color w:val="000000" w:themeColor="text1"/>
              </w:rPr>
            </w:pPr>
          </w:p>
        </w:tc>
        <w:tc>
          <w:tcPr>
            <w:tcW w:w="3686" w:type="dxa"/>
          </w:tcPr>
          <w:p w14:paraId="6CB494CC" w14:textId="391C1EDC"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860</w:t>
            </w:r>
            <w:r w:rsidRPr="00286216">
              <w:rPr>
                <w:color w:val="000000" w:themeColor="text1"/>
              </w:rPr>
              <w:fldChar w:fldCharType="end"/>
            </w:r>
            <w:r w:rsidRPr="00286216">
              <w:rPr>
                <w:color w:val="000000" w:themeColor="text1"/>
              </w:rPr>
              <w:t>-Н.д.Шахов С.В. (Реєстр.картка №114)</w:t>
            </w:r>
          </w:p>
          <w:p w14:paraId="66BD4BBF" w14:textId="77777777" w:rsidR="006507E8" w:rsidRPr="00286216" w:rsidRDefault="006507E8" w:rsidP="006507E8">
            <w:pPr>
              <w:pStyle w:val="StyleProp"/>
              <w:spacing w:line="180" w:lineRule="exact"/>
              <w:rPr>
                <w:color w:val="000000" w:themeColor="text1"/>
              </w:rPr>
            </w:pPr>
            <w:r w:rsidRPr="00286216">
              <w:rPr>
                <w:color w:val="000000" w:themeColor="text1"/>
              </w:rPr>
              <w:t>Ч. 5 ст. 82 викласти у такій редакції:</w:t>
            </w:r>
          </w:p>
          <w:p w14:paraId="070FBF1F" w14:textId="77777777" w:rsidR="006507E8" w:rsidRPr="00286216" w:rsidRDefault="006507E8" w:rsidP="006507E8">
            <w:pPr>
              <w:pStyle w:val="StyleProp"/>
              <w:spacing w:line="190" w:lineRule="exact"/>
              <w:rPr>
                <w:color w:val="000000" w:themeColor="text1"/>
              </w:rPr>
            </w:pPr>
            <w:r w:rsidRPr="00286216">
              <w:rPr>
                <w:color w:val="000000" w:themeColor="text1"/>
                <w:szCs w:val="18"/>
              </w:rPr>
              <w:t>"5. Провадження діяльності торговим репозиторієм на ринках капіталу здійснюється на підставі відповідних договорів, вимоги до яких встановлюються регулятором відповідного ринку".</w:t>
            </w:r>
          </w:p>
        </w:tc>
        <w:tc>
          <w:tcPr>
            <w:tcW w:w="1987" w:type="dxa"/>
          </w:tcPr>
          <w:p w14:paraId="0223CED9"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00A3F765" w14:textId="739093DA" w:rsidR="006507E8" w:rsidRPr="00286216" w:rsidRDefault="006507E8" w:rsidP="006507E8">
            <w:pPr>
              <w:pStyle w:val="StyleWisnow"/>
              <w:spacing w:line="180" w:lineRule="exact"/>
              <w:rPr>
                <w:color w:val="000000" w:themeColor="text1"/>
              </w:rPr>
            </w:pPr>
            <w:r w:rsidRPr="00286216">
              <w:rPr>
                <w:rFonts w:eastAsia="Calibri"/>
                <w:color w:val="000000" w:themeColor="text1"/>
              </w:rPr>
              <w:t>ринок деривативів є виключною регуляторною компетенцією НКЦПФР</w:t>
            </w:r>
          </w:p>
        </w:tc>
        <w:tc>
          <w:tcPr>
            <w:tcW w:w="4818" w:type="dxa"/>
          </w:tcPr>
          <w:p w14:paraId="2D568900" w14:textId="77777777" w:rsidR="006507E8" w:rsidRPr="00286216" w:rsidRDefault="006507E8" w:rsidP="006507E8">
            <w:pPr>
              <w:pStyle w:val="StyleZakonu"/>
              <w:rPr>
                <w:color w:val="000000" w:themeColor="text1"/>
              </w:rPr>
            </w:pPr>
          </w:p>
        </w:tc>
      </w:tr>
      <w:tr w:rsidR="006507E8" w:rsidRPr="00286216" w14:paraId="68064E0F" w14:textId="77777777" w:rsidTr="00091AA5">
        <w:tc>
          <w:tcPr>
            <w:tcW w:w="576" w:type="dxa"/>
          </w:tcPr>
          <w:p w14:paraId="0A133C0F" w14:textId="77777777" w:rsidR="006507E8" w:rsidRPr="00286216" w:rsidRDefault="006507E8" w:rsidP="006507E8">
            <w:pPr>
              <w:pStyle w:val="StyleWisnow"/>
              <w:rPr>
                <w:color w:val="000000" w:themeColor="text1"/>
              </w:rPr>
            </w:pPr>
          </w:p>
        </w:tc>
        <w:tc>
          <w:tcPr>
            <w:tcW w:w="4818" w:type="dxa"/>
          </w:tcPr>
          <w:p w14:paraId="1EF3BF87" w14:textId="77777777" w:rsidR="006507E8" w:rsidRPr="00286216" w:rsidRDefault="006507E8" w:rsidP="006507E8">
            <w:pPr>
              <w:pStyle w:val="StyleZakonu"/>
              <w:rPr>
                <w:color w:val="000000" w:themeColor="text1"/>
              </w:rPr>
            </w:pPr>
          </w:p>
        </w:tc>
        <w:tc>
          <w:tcPr>
            <w:tcW w:w="3686" w:type="dxa"/>
          </w:tcPr>
          <w:p w14:paraId="08075ABD" w14:textId="441F993A"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861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1D29FD9" w14:textId="3CF3D6D0" w:rsidR="006507E8" w:rsidRPr="00286216" w:rsidRDefault="006507E8" w:rsidP="006507E8">
            <w:pPr>
              <w:pStyle w:val="StyleProp"/>
              <w:spacing w:line="180" w:lineRule="exact"/>
              <w:rPr>
                <w:color w:val="000000" w:themeColor="text1"/>
                <w:szCs w:val="18"/>
              </w:rPr>
            </w:pPr>
            <w:r w:rsidRPr="00286216">
              <w:rPr>
                <w:color w:val="000000" w:themeColor="text1"/>
                <w:szCs w:val="18"/>
              </w:rPr>
              <w:t>У статті 82 доповнити статтю частинами такого змісту:</w:t>
            </w:r>
          </w:p>
          <w:p w14:paraId="384B4424"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«6. При провадженні своєї діяльності торговий репозиторій повинен забезпечити можливість реконселяції та співставлення інформації, що зберігається в його базах даних з інформацією з баз даних іншого торгового репозиторію.</w:t>
            </w:r>
          </w:p>
          <w:p w14:paraId="3A81D9BE"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7. Торговий репозиторій повинен забезпечити зберігання всієї інформації отриманої ним відповідно до статті 39 цього Закону протягом 10 років з дати її отримання.».</w:t>
            </w:r>
          </w:p>
        </w:tc>
        <w:tc>
          <w:tcPr>
            <w:tcW w:w="1987" w:type="dxa"/>
          </w:tcPr>
          <w:p w14:paraId="228B1E80" w14:textId="77777777" w:rsidR="006507E8" w:rsidRPr="00286216" w:rsidRDefault="006507E8" w:rsidP="006507E8">
            <w:pPr>
              <w:pStyle w:val="StyleWisnow"/>
              <w:rPr>
                <w:color w:val="000000" w:themeColor="text1"/>
              </w:rPr>
            </w:pPr>
            <w:r w:rsidRPr="00286216">
              <w:rPr>
                <w:color w:val="000000" w:themeColor="text1"/>
              </w:rPr>
              <w:t>Враховано частково</w:t>
            </w:r>
          </w:p>
        </w:tc>
        <w:tc>
          <w:tcPr>
            <w:tcW w:w="4818" w:type="dxa"/>
          </w:tcPr>
          <w:p w14:paraId="4E1DCB1F" w14:textId="7933E156" w:rsidR="006507E8" w:rsidRPr="00286216" w:rsidRDefault="006507E8" w:rsidP="006507E8">
            <w:pPr>
              <w:pStyle w:val="StyleZakonu"/>
              <w:rPr>
                <w:color w:val="000000" w:themeColor="text1"/>
              </w:rPr>
            </w:pPr>
            <w:r w:rsidRPr="00286216">
              <w:rPr>
                <w:color w:val="000000" w:themeColor="text1"/>
              </w:rPr>
              <w:t>6. Торговий репозиторій при провадженні своєї діяльності повинен забезпечити можливість співставлення інформації, що зберігається в його базах даних, з інформацією з баз даних іншого торгового репозиторію.</w:t>
            </w:r>
          </w:p>
        </w:tc>
      </w:tr>
      <w:tr w:rsidR="006507E8" w:rsidRPr="00286216" w14:paraId="074E7FD0" w14:textId="77777777" w:rsidTr="00091AA5">
        <w:tc>
          <w:tcPr>
            <w:tcW w:w="576" w:type="dxa"/>
          </w:tcPr>
          <w:p w14:paraId="54ED8192" w14:textId="77777777" w:rsidR="006507E8" w:rsidRPr="00286216" w:rsidRDefault="006507E8" w:rsidP="006507E8">
            <w:pPr>
              <w:pStyle w:val="StyleWisnow"/>
              <w:rPr>
                <w:color w:val="000000" w:themeColor="text1"/>
              </w:rPr>
            </w:pPr>
          </w:p>
        </w:tc>
        <w:tc>
          <w:tcPr>
            <w:tcW w:w="4818" w:type="dxa"/>
          </w:tcPr>
          <w:p w14:paraId="36909C00" w14:textId="77777777" w:rsidR="006507E8" w:rsidRPr="00286216" w:rsidRDefault="006507E8" w:rsidP="006507E8">
            <w:pPr>
              <w:pStyle w:val="StyleZakonu"/>
              <w:rPr>
                <w:color w:val="000000" w:themeColor="text1"/>
              </w:rPr>
            </w:pPr>
          </w:p>
        </w:tc>
        <w:tc>
          <w:tcPr>
            <w:tcW w:w="3686" w:type="dxa"/>
          </w:tcPr>
          <w:p w14:paraId="64BD7D4C" w14:textId="1B03EDAD"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862</w:t>
            </w:r>
            <w:r w:rsidRPr="00286216">
              <w:rPr>
                <w:color w:val="000000" w:themeColor="text1"/>
              </w:rPr>
              <w:fldChar w:fldCharType="end"/>
            </w:r>
            <w:r w:rsidRPr="00286216">
              <w:rPr>
                <w:color w:val="000000" w:themeColor="text1"/>
              </w:rPr>
              <w:t>-Н.д.Шахов С.В. (Реєстр.картка №114)</w:t>
            </w:r>
          </w:p>
          <w:p w14:paraId="547CA985" w14:textId="77777777" w:rsidR="006507E8" w:rsidRPr="00286216" w:rsidRDefault="006507E8" w:rsidP="006507E8">
            <w:pPr>
              <w:pStyle w:val="StyleProp"/>
              <w:spacing w:line="190" w:lineRule="exact"/>
              <w:rPr>
                <w:color w:val="000000" w:themeColor="text1"/>
              </w:rPr>
            </w:pPr>
            <w:r w:rsidRPr="00286216">
              <w:rPr>
                <w:color w:val="000000" w:themeColor="text1"/>
              </w:rPr>
              <w:t>Доповнити ст.82 частиною такого змісту:</w:t>
            </w:r>
          </w:p>
          <w:p w14:paraId="4D803625" w14:textId="77777777" w:rsidR="006507E8" w:rsidRPr="00286216" w:rsidRDefault="006507E8" w:rsidP="006507E8">
            <w:pPr>
              <w:pStyle w:val="StyleProp"/>
              <w:spacing w:line="190" w:lineRule="exact"/>
              <w:rPr>
                <w:color w:val="000000" w:themeColor="text1"/>
                <w:szCs w:val="18"/>
              </w:rPr>
            </w:pPr>
            <w:r w:rsidRPr="00286216">
              <w:rPr>
                <w:color w:val="000000" w:themeColor="text1"/>
                <w:spacing w:val="-2"/>
                <w:szCs w:val="18"/>
              </w:rPr>
              <w:t>"6. Національна комісія з цінних паперів та фондового ринку зобов’язана погодити зазначені у цій статті порядки щодо деривативних контрактів грошового ринку – з Національним банком України</w:t>
            </w:r>
            <w:r w:rsidRPr="00286216">
              <w:rPr>
                <w:color w:val="000000" w:themeColor="text1"/>
                <w:spacing w:val="-3"/>
                <w:szCs w:val="18"/>
              </w:rPr>
              <w:t xml:space="preserve">. </w:t>
            </w:r>
            <w:r w:rsidRPr="00286216">
              <w:rPr>
                <w:color w:val="000000" w:themeColor="text1"/>
                <w:spacing w:val="-2"/>
                <w:szCs w:val="18"/>
              </w:rPr>
              <w:t>Законодавством про товарні ринки можуть бути встановлені інші вимоги щодо створення, організації та порядку функціонування</w:t>
            </w:r>
            <w:r w:rsidRPr="00286216">
              <w:rPr>
                <w:color w:val="000000" w:themeColor="text1"/>
                <w:spacing w:val="-3"/>
                <w:szCs w:val="18"/>
              </w:rPr>
              <w:t xml:space="preserve"> </w:t>
            </w:r>
            <w:r w:rsidRPr="00286216">
              <w:rPr>
                <w:color w:val="000000" w:themeColor="text1"/>
                <w:spacing w:val="-2"/>
                <w:szCs w:val="18"/>
              </w:rPr>
              <w:t>торгового репозиторію і подання звітності (інформації) за укладеними поставними</w:t>
            </w:r>
            <w:r w:rsidRPr="00286216">
              <w:rPr>
                <w:color w:val="000000" w:themeColor="text1"/>
                <w:spacing w:val="-3"/>
                <w:szCs w:val="18"/>
              </w:rPr>
              <w:t xml:space="preserve"> </w:t>
            </w:r>
            <w:r w:rsidRPr="00286216">
              <w:rPr>
                <w:color w:val="000000" w:themeColor="text1"/>
                <w:spacing w:val="-2"/>
                <w:szCs w:val="18"/>
              </w:rPr>
              <w:t>товарними деривативними контрактами, а також за товарними спот-контрактами".</w:t>
            </w:r>
          </w:p>
        </w:tc>
        <w:tc>
          <w:tcPr>
            <w:tcW w:w="1987" w:type="dxa"/>
          </w:tcPr>
          <w:p w14:paraId="4AAA19AF"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Відхилено</w:t>
            </w:r>
          </w:p>
          <w:p w14:paraId="7AA82C28" w14:textId="77777777" w:rsidR="006507E8" w:rsidRPr="00286216" w:rsidRDefault="006507E8" w:rsidP="006507E8">
            <w:pPr>
              <w:pStyle w:val="StyleWisnow"/>
              <w:spacing w:line="180" w:lineRule="exact"/>
              <w:rPr>
                <w:rFonts w:eastAsia="Calibri"/>
                <w:color w:val="000000" w:themeColor="text1"/>
              </w:rPr>
            </w:pPr>
            <w:r w:rsidRPr="00286216">
              <w:rPr>
                <w:rFonts w:eastAsia="Calibri"/>
                <w:color w:val="000000" w:themeColor="text1"/>
              </w:rPr>
              <w:t>ринок деривативів є виключною регуляторною компетенцією НКЦПФР</w:t>
            </w:r>
          </w:p>
          <w:p w14:paraId="20B2F5B7" w14:textId="6E50A17F" w:rsidR="006507E8" w:rsidRPr="00286216" w:rsidRDefault="006507E8" w:rsidP="006507E8">
            <w:pPr>
              <w:pStyle w:val="StyleWisnow"/>
              <w:spacing w:line="180" w:lineRule="exact"/>
              <w:rPr>
                <w:color w:val="000000" w:themeColor="text1"/>
              </w:rPr>
            </w:pPr>
            <w:r w:rsidRPr="00286216">
              <w:rPr>
                <w:rFonts w:eastAsia="Calibri"/>
                <w:color w:val="000000" w:themeColor="text1"/>
                <w:lang w:val="ru-RU"/>
              </w:rPr>
              <w:t>п</w:t>
            </w:r>
            <w:r w:rsidRPr="00286216">
              <w:rPr>
                <w:rFonts w:eastAsia="Calibri"/>
                <w:color w:val="000000" w:themeColor="text1"/>
              </w:rPr>
              <w:t>ри цьому діяльність торгового репозиторію не впливає на грошово-кредитну політику, тому підстави залучати НБУ до процесу регулювання його діяльності відсутні</w:t>
            </w:r>
          </w:p>
        </w:tc>
        <w:tc>
          <w:tcPr>
            <w:tcW w:w="4818" w:type="dxa"/>
          </w:tcPr>
          <w:p w14:paraId="0C8938A3" w14:textId="77777777" w:rsidR="006507E8" w:rsidRPr="00286216" w:rsidRDefault="006507E8" w:rsidP="006507E8">
            <w:pPr>
              <w:pStyle w:val="StyleZakonu"/>
              <w:rPr>
                <w:color w:val="000000" w:themeColor="text1"/>
              </w:rPr>
            </w:pPr>
          </w:p>
        </w:tc>
      </w:tr>
      <w:tr w:rsidR="006507E8" w:rsidRPr="00286216" w14:paraId="31DD21E8" w14:textId="77777777" w:rsidTr="00091AA5">
        <w:tc>
          <w:tcPr>
            <w:tcW w:w="576" w:type="dxa"/>
          </w:tcPr>
          <w:p w14:paraId="698A03AF" w14:textId="77777777" w:rsidR="006507E8" w:rsidRPr="00286216" w:rsidRDefault="006507E8" w:rsidP="006507E8">
            <w:pPr>
              <w:pStyle w:val="StyleWisnow"/>
              <w:rPr>
                <w:color w:val="000000" w:themeColor="text1"/>
              </w:rPr>
            </w:pPr>
          </w:p>
        </w:tc>
        <w:tc>
          <w:tcPr>
            <w:tcW w:w="4818" w:type="dxa"/>
          </w:tcPr>
          <w:p w14:paraId="6EBC4875" w14:textId="77777777" w:rsidR="006507E8" w:rsidRPr="00286216" w:rsidRDefault="006507E8" w:rsidP="006507E8">
            <w:pPr>
              <w:pStyle w:val="StyleZakonu"/>
              <w:rPr>
                <w:color w:val="000000" w:themeColor="text1"/>
              </w:rPr>
            </w:pPr>
          </w:p>
        </w:tc>
        <w:tc>
          <w:tcPr>
            <w:tcW w:w="3686" w:type="dxa"/>
          </w:tcPr>
          <w:p w14:paraId="4834A252" w14:textId="226E1CA5"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863</w:t>
            </w:r>
            <w:r w:rsidRPr="00286216">
              <w:rPr>
                <w:color w:val="000000" w:themeColor="text1"/>
                <w:spacing w:val="-4"/>
              </w:rPr>
              <w:fldChar w:fldCharType="end"/>
            </w:r>
            <w:r w:rsidRPr="00286216">
              <w:rPr>
                <w:color w:val="000000" w:themeColor="text1"/>
                <w:spacing w:val="-4"/>
              </w:rPr>
              <w:t>-Н.д.Бєлькова О.В. (Реєстр.картка №403)</w:t>
            </w:r>
          </w:p>
          <w:p w14:paraId="2643FA55" w14:textId="77777777" w:rsidR="006507E8" w:rsidRPr="00286216" w:rsidRDefault="006507E8" w:rsidP="006507E8">
            <w:pPr>
              <w:pStyle w:val="StyleProp"/>
              <w:spacing w:line="180" w:lineRule="exact"/>
              <w:rPr>
                <w:color w:val="000000" w:themeColor="text1"/>
              </w:rPr>
            </w:pPr>
            <w:r w:rsidRPr="00286216">
              <w:rPr>
                <w:color w:val="000000" w:themeColor="text1"/>
              </w:rPr>
              <w:t>доповнити статтю 82 новою частиною такого змісту:</w:t>
            </w:r>
          </w:p>
          <w:p w14:paraId="18E760DA" w14:textId="528B2E59" w:rsidR="006507E8" w:rsidRPr="00286216" w:rsidRDefault="006507E8" w:rsidP="006507E8">
            <w:pPr>
              <w:pStyle w:val="StyleProp"/>
              <w:spacing w:line="180" w:lineRule="exact"/>
              <w:rPr>
                <w:color w:val="000000" w:themeColor="text1"/>
              </w:rPr>
            </w:pPr>
            <w:r w:rsidRPr="00286216">
              <w:rPr>
                <w:color w:val="000000" w:themeColor="text1"/>
              </w:rPr>
              <w:t>«Торговий репозиторій повинен забезпечити зберігання всієї інформації, отриманої ним відповідно до статті 34 цього Закону, протягом 10 років з дня закінчення строку дії деривативного контракту, інформація про який була отримана».</w:t>
            </w:r>
          </w:p>
        </w:tc>
        <w:tc>
          <w:tcPr>
            <w:tcW w:w="1987" w:type="dxa"/>
          </w:tcPr>
          <w:p w14:paraId="7F7B5A17"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1E278895" w14:textId="77777777" w:rsidR="006507E8" w:rsidRPr="00286216" w:rsidRDefault="006507E8" w:rsidP="006507E8">
            <w:pPr>
              <w:pStyle w:val="StyleZakonu"/>
              <w:rPr>
                <w:color w:val="000000" w:themeColor="text1"/>
              </w:rPr>
            </w:pPr>
            <w:r w:rsidRPr="00286216">
              <w:rPr>
                <w:color w:val="000000" w:themeColor="text1"/>
              </w:rPr>
              <w:t>7. Торговий репозиторій повинен забезпечити зберігання всієї інформації, отриманої ним відповідно до статті 34 цього Закону, протягом 10 років з дня закінчення строку дії деривативного контракту, інформація про який була отримана.</w:t>
            </w:r>
          </w:p>
          <w:p w14:paraId="3A3C2ED3" w14:textId="56588D09" w:rsidR="006507E8" w:rsidRPr="00286216" w:rsidRDefault="006507E8" w:rsidP="006507E8">
            <w:pPr>
              <w:pStyle w:val="StyleZakonu"/>
              <w:rPr>
                <w:color w:val="000000" w:themeColor="text1"/>
              </w:rPr>
            </w:pPr>
          </w:p>
        </w:tc>
      </w:tr>
      <w:tr w:rsidR="006507E8" w:rsidRPr="00286216" w14:paraId="583683A1" w14:textId="77777777" w:rsidTr="00091AA5">
        <w:tc>
          <w:tcPr>
            <w:tcW w:w="576" w:type="dxa"/>
          </w:tcPr>
          <w:p w14:paraId="0B6A7F2D" w14:textId="66363CC1" w:rsidR="006507E8" w:rsidRPr="00286216" w:rsidRDefault="006507E8" w:rsidP="006507E8">
            <w:pPr>
              <w:pStyle w:val="StyleWisnow"/>
              <w:rPr>
                <w:color w:val="000000" w:themeColor="text1"/>
              </w:rPr>
            </w:pPr>
            <w:bookmarkStart w:id="1148" w:name="n1413" w:colFirst="0" w:colLast="0"/>
            <w:r w:rsidRPr="00286216">
              <w:rPr>
                <w:color w:val="000000" w:themeColor="text1"/>
              </w:rPr>
              <w:t>1413.</w:t>
            </w:r>
          </w:p>
        </w:tc>
        <w:tc>
          <w:tcPr>
            <w:tcW w:w="4818" w:type="dxa"/>
          </w:tcPr>
          <w:p w14:paraId="0F9D962D" w14:textId="77777777" w:rsidR="006507E8" w:rsidRPr="00286216" w:rsidRDefault="006507E8" w:rsidP="006507E8">
            <w:pPr>
              <w:pStyle w:val="StyleZakonu"/>
              <w:rPr>
                <w:color w:val="000000" w:themeColor="text1"/>
              </w:rPr>
            </w:pPr>
            <w:r w:rsidRPr="00286216">
              <w:rPr>
                <w:color w:val="000000" w:themeColor="text1"/>
              </w:rPr>
              <w:t>Стаття 83. Особи, які мають право провадити діяльність торгового репозиторію на ринках капіталу та організованих товарних ринках</w:t>
            </w:r>
          </w:p>
        </w:tc>
        <w:tc>
          <w:tcPr>
            <w:tcW w:w="3686" w:type="dxa"/>
          </w:tcPr>
          <w:p w14:paraId="2B96F1FF" w14:textId="41BDA499"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864</w:t>
            </w:r>
            <w:r w:rsidRPr="00286216">
              <w:rPr>
                <w:color w:val="000000" w:themeColor="text1"/>
              </w:rPr>
              <w:fldChar w:fldCharType="end"/>
            </w:r>
            <w:r w:rsidRPr="00286216">
              <w:rPr>
                <w:color w:val="000000" w:themeColor="text1"/>
              </w:rPr>
              <w:t>-Н.д.Шахов С.В. (Реєстр.картка №114)</w:t>
            </w:r>
          </w:p>
          <w:p w14:paraId="58CE9F93"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назві ст. 83 слова "та організованих товарних ринках" виключити.</w:t>
            </w:r>
          </w:p>
        </w:tc>
        <w:tc>
          <w:tcPr>
            <w:tcW w:w="1987" w:type="dxa"/>
          </w:tcPr>
          <w:p w14:paraId="09CC9F60"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0A0AD89B" w14:textId="4FC12393"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5D2464A9" w14:textId="03024950" w:rsidR="006507E8" w:rsidRPr="00286216" w:rsidRDefault="006507E8" w:rsidP="006507E8">
            <w:pPr>
              <w:pStyle w:val="StyleZakonu"/>
              <w:rPr>
                <w:color w:val="000000" w:themeColor="text1"/>
              </w:rPr>
            </w:pPr>
            <w:r w:rsidRPr="00286216">
              <w:rPr>
                <w:color w:val="000000" w:themeColor="text1"/>
              </w:rPr>
              <w:t xml:space="preserve">Стаття </w:t>
            </w:r>
            <w:r w:rsidRPr="00286216">
              <w:rPr>
                <w:color w:val="000000" w:themeColor="text1"/>
                <w:lang w:val="ru-RU"/>
              </w:rPr>
              <w:t>87</w:t>
            </w:r>
            <w:r w:rsidRPr="00286216">
              <w:rPr>
                <w:color w:val="000000" w:themeColor="text1"/>
              </w:rPr>
              <w:t>. Особи, які мають право провадити діяльність торгового репозиторію на ринках капіталу та організованих товарних ринках</w:t>
            </w:r>
          </w:p>
        </w:tc>
      </w:tr>
      <w:tr w:rsidR="006507E8" w:rsidRPr="00286216" w14:paraId="043FE8DF" w14:textId="77777777" w:rsidTr="00091AA5">
        <w:tc>
          <w:tcPr>
            <w:tcW w:w="576" w:type="dxa"/>
          </w:tcPr>
          <w:p w14:paraId="3E64A855" w14:textId="77777777" w:rsidR="006507E8" w:rsidRPr="00286216" w:rsidRDefault="006507E8" w:rsidP="006507E8">
            <w:pPr>
              <w:pStyle w:val="StyleWisnow"/>
              <w:rPr>
                <w:color w:val="000000" w:themeColor="text1"/>
              </w:rPr>
            </w:pPr>
            <w:bookmarkStart w:id="1149" w:name="n1414" w:colFirst="0" w:colLast="0"/>
            <w:bookmarkEnd w:id="1148"/>
            <w:r w:rsidRPr="00286216">
              <w:rPr>
                <w:color w:val="000000" w:themeColor="text1"/>
              </w:rPr>
              <w:t>1414.</w:t>
            </w:r>
          </w:p>
        </w:tc>
        <w:tc>
          <w:tcPr>
            <w:tcW w:w="4818" w:type="dxa"/>
          </w:tcPr>
          <w:p w14:paraId="369A8D7C" w14:textId="77777777" w:rsidR="006507E8" w:rsidRPr="00286216" w:rsidRDefault="006507E8" w:rsidP="006507E8">
            <w:pPr>
              <w:pStyle w:val="StyleZakonu"/>
              <w:rPr>
                <w:color w:val="000000" w:themeColor="text1"/>
              </w:rPr>
            </w:pPr>
            <w:r w:rsidRPr="00286216">
              <w:rPr>
                <w:color w:val="000000" w:themeColor="text1"/>
              </w:rPr>
              <w:t xml:space="preserve">1. Юридичні особи, у тому числі професійні учасники ринків капіталу та організованих товарних ринків або органи державної влади, провадять </w:t>
            </w:r>
            <w:r w:rsidRPr="00286216">
              <w:rPr>
                <w:color w:val="000000" w:themeColor="text1"/>
              </w:rPr>
              <w:lastRenderedPageBreak/>
              <w:t>діяльність торгового репозиторію на ринках капіталу та організованих товарних ринках за умови їх включення до Реєстру торгових репозиторіїв та отримання свідоцтва про включення до Реєстру торгових репозиторіїв (далі - свідоцтво про включення до Реєстру).</w:t>
            </w:r>
          </w:p>
        </w:tc>
        <w:tc>
          <w:tcPr>
            <w:tcW w:w="3686" w:type="dxa"/>
          </w:tcPr>
          <w:p w14:paraId="6232A842" w14:textId="437A8614" w:rsidR="006507E8" w:rsidRPr="00286216" w:rsidRDefault="006507E8" w:rsidP="006507E8">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865</w:t>
            </w:r>
            <w:r w:rsidRPr="00286216">
              <w:rPr>
                <w:color w:val="000000" w:themeColor="text1"/>
                <w:spacing w:val="-4"/>
              </w:rPr>
              <w:fldChar w:fldCharType="end"/>
            </w:r>
            <w:r w:rsidRPr="00286216">
              <w:rPr>
                <w:color w:val="000000" w:themeColor="text1"/>
                <w:spacing w:val="-4"/>
              </w:rPr>
              <w:t>-Н.д.Бєлькова О.В. (Реєстр.картка №403)</w:t>
            </w:r>
          </w:p>
          <w:p w14:paraId="4C6DE07D" w14:textId="77777777" w:rsidR="006507E8" w:rsidRPr="00286216" w:rsidRDefault="006507E8" w:rsidP="006507E8">
            <w:pPr>
              <w:pStyle w:val="StyleProp"/>
              <w:rPr>
                <w:color w:val="000000" w:themeColor="text1"/>
              </w:rPr>
            </w:pPr>
            <w:r w:rsidRPr="00286216">
              <w:rPr>
                <w:color w:val="000000" w:themeColor="text1"/>
              </w:rPr>
              <w:t>У абзаці першому частини першої статті 83 розділу 1 слова “органи державної влади» виключити.</w:t>
            </w:r>
          </w:p>
        </w:tc>
        <w:tc>
          <w:tcPr>
            <w:tcW w:w="1987" w:type="dxa"/>
          </w:tcPr>
          <w:p w14:paraId="2E4A068F"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68EA6C0C" w14:textId="234565A7" w:rsidR="006507E8" w:rsidRPr="00286216" w:rsidRDefault="006507E8" w:rsidP="006507E8">
            <w:pPr>
              <w:pStyle w:val="StyleZakonu"/>
              <w:rPr>
                <w:color w:val="000000" w:themeColor="text1"/>
              </w:rPr>
            </w:pPr>
            <w:r w:rsidRPr="00286216">
              <w:rPr>
                <w:color w:val="000000" w:themeColor="text1"/>
              </w:rPr>
              <w:t xml:space="preserve">1. Юридичні особи, у тому числі професійні учасники ринків капіталу та організованих товарних ринків, провадять діяльність торгового репозиторію </w:t>
            </w:r>
            <w:r w:rsidRPr="00286216">
              <w:rPr>
                <w:color w:val="000000" w:themeColor="text1"/>
              </w:rPr>
              <w:lastRenderedPageBreak/>
              <w:t>на ринках капіталу та організованих товарних ринках, за умови їх включення до Реєстру торгових репозиторіїв та отримання свідоцтва про включення до Реєстру торгових репозиторіїв (далі - свідоцтво про включення до Реєстру).</w:t>
            </w:r>
          </w:p>
        </w:tc>
      </w:tr>
      <w:tr w:rsidR="006507E8" w:rsidRPr="00286216" w14:paraId="50BAC9E0" w14:textId="77777777" w:rsidTr="00091AA5">
        <w:tc>
          <w:tcPr>
            <w:tcW w:w="576" w:type="dxa"/>
          </w:tcPr>
          <w:p w14:paraId="22D564B1" w14:textId="77777777" w:rsidR="006507E8" w:rsidRPr="00286216" w:rsidRDefault="006507E8" w:rsidP="006507E8">
            <w:pPr>
              <w:pStyle w:val="StyleWisnow"/>
              <w:rPr>
                <w:color w:val="000000" w:themeColor="text1"/>
              </w:rPr>
            </w:pPr>
            <w:bookmarkStart w:id="1150" w:name="n1415" w:colFirst="0" w:colLast="0"/>
            <w:bookmarkEnd w:id="1149"/>
            <w:r w:rsidRPr="00286216">
              <w:rPr>
                <w:color w:val="000000" w:themeColor="text1"/>
              </w:rPr>
              <w:lastRenderedPageBreak/>
              <w:t>1415.</w:t>
            </w:r>
          </w:p>
        </w:tc>
        <w:tc>
          <w:tcPr>
            <w:tcW w:w="4818" w:type="dxa"/>
          </w:tcPr>
          <w:p w14:paraId="6F849E2F" w14:textId="77777777" w:rsidR="006507E8" w:rsidRPr="00286216" w:rsidRDefault="006507E8" w:rsidP="006507E8">
            <w:pPr>
              <w:pStyle w:val="StyleZakonu"/>
              <w:rPr>
                <w:color w:val="000000" w:themeColor="text1"/>
              </w:rPr>
            </w:pPr>
            <w:r w:rsidRPr="00286216">
              <w:rPr>
                <w:color w:val="000000" w:themeColor="text1"/>
              </w:rPr>
              <w:t>Юридична особа, зареєстрована на тимчасово окупованій території України або території операції об’єднаних сил, не може бути включена до Реєстру торгових репозиторіїв та не може провадити діяльність торгового репозиторію на ринках капіталу та організованих товарних ринках.</w:t>
            </w:r>
          </w:p>
        </w:tc>
        <w:tc>
          <w:tcPr>
            <w:tcW w:w="3686" w:type="dxa"/>
          </w:tcPr>
          <w:p w14:paraId="48AF1F24" w14:textId="3327341F"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866</w:t>
            </w:r>
            <w:r w:rsidRPr="00286216">
              <w:rPr>
                <w:color w:val="000000" w:themeColor="text1"/>
                <w:spacing w:val="-4"/>
              </w:rPr>
              <w:fldChar w:fldCharType="end"/>
            </w:r>
            <w:r w:rsidRPr="00286216">
              <w:rPr>
                <w:color w:val="000000" w:themeColor="text1"/>
                <w:spacing w:val="-4"/>
              </w:rPr>
              <w:t>-Н.д.Бєлькова О.В. (Реєстр.картка №403)</w:t>
            </w:r>
          </w:p>
          <w:p w14:paraId="09EF9EE3" w14:textId="333A3EB1" w:rsidR="006507E8" w:rsidRPr="00286216" w:rsidRDefault="006507E8" w:rsidP="006507E8">
            <w:pPr>
              <w:pStyle w:val="StyleProp"/>
              <w:rPr>
                <w:color w:val="000000" w:themeColor="text1"/>
                <w:spacing w:val="-4"/>
              </w:rPr>
            </w:pPr>
            <w:r w:rsidRPr="00286216">
              <w:rPr>
                <w:color w:val="000000" w:themeColor="text1"/>
                <w:spacing w:val="-4"/>
              </w:rPr>
              <w:t>У абзаці 2 частини 1 статті 83 слова «або території операції об’єднаних сил» виключити.</w:t>
            </w:r>
          </w:p>
          <w:p w14:paraId="4DB560A4" w14:textId="6E77C4E0"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867</w:t>
            </w:r>
            <w:r w:rsidRPr="00286216">
              <w:rPr>
                <w:color w:val="000000" w:themeColor="text1"/>
              </w:rPr>
              <w:fldChar w:fldCharType="end"/>
            </w:r>
            <w:r w:rsidRPr="00286216">
              <w:rPr>
                <w:color w:val="000000" w:themeColor="text1"/>
              </w:rPr>
              <w:t>-Н.д.Шахов С.В. (Реєстр.картка №114)</w:t>
            </w:r>
          </w:p>
          <w:p w14:paraId="42495F40"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ч. 1 ст. 83 слова "та організованих товарних ринках" виключити.</w:t>
            </w:r>
          </w:p>
        </w:tc>
        <w:tc>
          <w:tcPr>
            <w:tcW w:w="1987" w:type="dxa"/>
          </w:tcPr>
          <w:p w14:paraId="5C83E829" w14:textId="35CE187D" w:rsidR="006507E8" w:rsidRPr="00286216" w:rsidRDefault="006507E8" w:rsidP="006507E8">
            <w:pPr>
              <w:pStyle w:val="StyleWisnow"/>
              <w:rPr>
                <w:color w:val="000000" w:themeColor="text1"/>
              </w:rPr>
            </w:pPr>
            <w:r w:rsidRPr="00286216">
              <w:rPr>
                <w:color w:val="000000" w:themeColor="text1"/>
              </w:rPr>
              <w:t>Враховано</w:t>
            </w:r>
          </w:p>
          <w:p w14:paraId="4B6E6142" w14:textId="77777777" w:rsidR="006507E8" w:rsidRPr="00286216" w:rsidRDefault="006507E8" w:rsidP="006507E8">
            <w:pPr>
              <w:pStyle w:val="StyleWisnow"/>
              <w:rPr>
                <w:color w:val="000000" w:themeColor="text1"/>
              </w:rPr>
            </w:pPr>
          </w:p>
          <w:p w14:paraId="6495FE2F" w14:textId="77777777" w:rsidR="006507E8" w:rsidRPr="00286216" w:rsidRDefault="006507E8" w:rsidP="006507E8">
            <w:pPr>
              <w:pStyle w:val="StyleWisnow"/>
              <w:rPr>
                <w:color w:val="000000" w:themeColor="text1"/>
              </w:rPr>
            </w:pPr>
          </w:p>
          <w:p w14:paraId="13D7F4C4"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5ED5C6DD" w14:textId="79F62DE9"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4A3AE6F3" w14:textId="599AFE33" w:rsidR="006507E8" w:rsidRPr="00286216" w:rsidRDefault="006507E8" w:rsidP="006507E8">
            <w:pPr>
              <w:pStyle w:val="StyleZakonu"/>
              <w:rPr>
                <w:color w:val="000000" w:themeColor="text1"/>
              </w:rPr>
            </w:pPr>
            <w:r w:rsidRPr="00286216">
              <w:rPr>
                <w:color w:val="000000" w:themeColor="text1"/>
              </w:rPr>
              <w:t>Юридична особа, зареєстрована на тимчасово окупованій території України, не може бути включена до Реєстру торгових репозиторіїв та не може провадити діяльність торгового репозиторію на ринках капіталу та організованих товарних ринках.</w:t>
            </w:r>
          </w:p>
        </w:tc>
      </w:tr>
      <w:tr w:rsidR="006507E8" w:rsidRPr="00286216" w14:paraId="07755C30" w14:textId="77777777" w:rsidTr="00091AA5">
        <w:tc>
          <w:tcPr>
            <w:tcW w:w="576" w:type="dxa"/>
          </w:tcPr>
          <w:p w14:paraId="28DF68CC" w14:textId="77777777" w:rsidR="006507E8" w:rsidRPr="00286216" w:rsidRDefault="006507E8" w:rsidP="006507E8">
            <w:pPr>
              <w:pStyle w:val="StyleWisnow"/>
              <w:rPr>
                <w:color w:val="000000" w:themeColor="text1"/>
              </w:rPr>
            </w:pPr>
            <w:bookmarkStart w:id="1151" w:name="n1416" w:colFirst="0" w:colLast="0"/>
            <w:bookmarkEnd w:id="1150"/>
            <w:r w:rsidRPr="00286216">
              <w:rPr>
                <w:color w:val="000000" w:themeColor="text1"/>
              </w:rPr>
              <w:t>1416.</w:t>
            </w:r>
          </w:p>
        </w:tc>
        <w:tc>
          <w:tcPr>
            <w:tcW w:w="4818" w:type="dxa"/>
          </w:tcPr>
          <w:p w14:paraId="1DC42C75" w14:textId="77777777" w:rsidR="006507E8" w:rsidRPr="00286216" w:rsidRDefault="006507E8" w:rsidP="006507E8">
            <w:pPr>
              <w:pStyle w:val="StyleZakonu"/>
              <w:rPr>
                <w:color w:val="000000" w:themeColor="text1"/>
              </w:rPr>
            </w:pPr>
            <w:r w:rsidRPr="00286216">
              <w:rPr>
                <w:color w:val="000000" w:themeColor="text1"/>
              </w:rPr>
              <w:t>Вимоги до свідоцтва про включення до Реєстру встановлюються Національною комісією з цінних паперів та фондового ринку.</w:t>
            </w:r>
          </w:p>
        </w:tc>
        <w:tc>
          <w:tcPr>
            <w:tcW w:w="3686" w:type="dxa"/>
          </w:tcPr>
          <w:p w14:paraId="09EA4FE3" w14:textId="77777777" w:rsidR="006507E8" w:rsidRPr="00286216" w:rsidRDefault="006507E8" w:rsidP="006507E8">
            <w:pPr>
              <w:pStyle w:val="StyleProp"/>
              <w:rPr>
                <w:color w:val="000000" w:themeColor="text1"/>
                <w:szCs w:val="18"/>
              </w:rPr>
            </w:pPr>
          </w:p>
        </w:tc>
        <w:tc>
          <w:tcPr>
            <w:tcW w:w="1987" w:type="dxa"/>
          </w:tcPr>
          <w:p w14:paraId="7D076099" w14:textId="77777777" w:rsidR="006507E8" w:rsidRPr="00286216" w:rsidRDefault="006507E8" w:rsidP="006507E8">
            <w:pPr>
              <w:pStyle w:val="StyleWisnow"/>
              <w:rPr>
                <w:color w:val="000000" w:themeColor="text1"/>
              </w:rPr>
            </w:pPr>
          </w:p>
        </w:tc>
        <w:tc>
          <w:tcPr>
            <w:tcW w:w="4818" w:type="dxa"/>
          </w:tcPr>
          <w:p w14:paraId="1F11C312" w14:textId="45F6C1A4" w:rsidR="006507E8" w:rsidRPr="00286216" w:rsidRDefault="006507E8" w:rsidP="006507E8">
            <w:pPr>
              <w:pStyle w:val="StyleZakonu"/>
              <w:rPr>
                <w:color w:val="000000" w:themeColor="text1"/>
              </w:rPr>
            </w:pPr>
            <w:r w:rsidRPr="00286216">
              <w:rPr>
                <w:color w:val="000000" w:themeColor="text1"/>
              </w:rPr>
              <w:t>Вимоги до свідоцтва про включення до Реєстру встановлюються Національною комісією з цінних паперів та фондового ринку.</w:t>
            </w:r>
          </w:p>
        </w:tc>
      </w:tr>
      <w:tr w:rsidR="006507E8" w:rsidRPr="00286216" w14:paraId="1DAEAE30" w14:textId="77777777" w:rsidTr="00091AA5">
        <w:tc>
          <w:tcPr>
            <w:tcW w:w="576" w:type="dxa"/>
          </w:tcPr>
          <w:p w14:paraId="3C5E5E53" w14:textId="77777777" w:rsidR="006507E8" w:rsidRPr="00286216" w:rsidRDefault="006507E8" w:rsidP="006507E8">
            <w:pPr>
              <w:pStyle w:val="StyleWisnow"/>
              <w:rPr>
                <w:color w:val="000000" w:themeColor="text1"/>
              </w:rPr>
            </w:pPr>
            <w:bookmarkStart w:id="1152" w:name="n1417" w:colFirst="0" w:colLast="0"/>
            <w:bookmarkEnd w:id="1151"/>
            <w:r w:rsidRPr="00286216">
              <w:rPr>
                <w:color w:val="000000" w:themeColor="text1"/>
              </w:rPr>
              <w:t>1417.</w:t>
            </w:r>
          </w:p>
        </w:tc>
        <w:tc>
          <w:tcPr>
            <w:tcW w:w="4818" w:type="dxa"/>
          </w:tcPr>
          <w:p w14:paraId="0B557B89" w14:textId="77777777" w:rsidR="006507E8" w:rsidRPr="00286216" w:rsidRDefault="006507E8" w:rsidP="006507E8">
            <w:pPr>
              <w:pStyle w:val="StyleZakonu"/>
              <w:rPr>
                <w:color w:val="000000" w:themeColor="text1"/>
              </w:rPr>
            </w:pPr>
            <w:r w:rsidRPr="00286216">
              <w:rPr>
                <w:color w:val="000000" w:themeColor="text1"/>
              </w:rPr>
              <w:t>2. Вимоги, до особи, яка має намір провадити діяльність торгового репозиторію на ринках капіталу та організованих товарних ринках, для включення її до Реєстру торгових репозиторіїв встановлюються цим Законом та нормативно-правовими актами Національної комісії з цінних паперів та фондового ринку.</w:t>
            </w:r>
          </w:p>
        </w:tc>
        <w:tc>
          <w:tcPr>
            <w:tcW w:w="3686" w:type="dxa"/>
          </w:tcPr>
          <w:p w14:paraId="6970E107" w14:textId="47B56E6D"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868</w:t>
            </w:r>
            <w:r w:rsidRPr="00286216">
              <w:rPr>
                <w:color w:val="000000" w:themeColor="text1"/>
              </w:rPr>
              <w:fldChar w:fldCharType="end"/>
            </w:r>
            <w:r w:rsidRPr="00286216">
              <w:rPr>
                <w:color w:val="000000" w:themeColor="text1"/>
              </w:rPr>
              <w:t>-Н.д.Шахов С.В. (Реєстр.картка №114)</w:t>
            </w:r>
          </w:p>
          <w:p w14:paraId="2A75B478" w14:textId="77777777" w:rsidR="006507E8" w:rsidRPr="00286216" w:rsidRDefault="006507E8" w:rsidP="006507E8">
            <w:pPr>
              <w:pStyle w:val="StyleProp"/>
              <w:rPr>
                <w:color w:val="000000" w:themeColor="text1"/>
                <w:szCs w:val="18"/>
              </w:rPr>
            </w:pPr>
            <w:r w:rsidRPr="00286216">
              <w:rPr>
                <w:color w:val="000000" w:themeColor="text1"/>
                <w:spacing w:val="-3"/>
              </w:rPr>
              <w:t>Абз. 1 ч. 2 ст. 83 викласти у такій редакції:</w:t>
            </w:r>
          </w:p>
          <w:p w14:paraId="00991ACB" w14:textId="77777777" w:rsidR="006507E8" w:rsidRPr="00286216" w:rsidRDefault="006507E8" w:rsidP="006507E8">
            <w:pPr>
              <w:pStyle w:val="StyleProp"/>
              <w:rPr>
                <w:color w:val="000000" w:themeColor="text1"/>
                <w:szCs w:val="18"/>
              </w:rPr>
            </w:pPr>
            <w:r w:rsidRPr="00286216">
              <w:rPr>
                <w:color w:val="000000" w:themeColor="text1"/>
                <w:szCs w:val="18"/>
              </w:rPr>
              <w:t>"2. Вимоги до особи, яка має намір провадити діяльність торгового репозиторію на ринках капіталу, для включення її до Реєстру торгових репозиторіїв встановлюються цим Законом та нормативно-правовими актами регулятора відповідного ринку, які погоджені щодо деривативних контрактів грошового ринку  Національним банком України".</w:t>
            </w:r>
          </w:p>
        </w:tc>
        <w:tc>
          <w:tcPr>
            <w:tcW w:w="1987" w:type="dxa"/>
          </w:tcPr>
          <w:p w14:paraId="0CA57DE5"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43DB6ABF" w14:textId="77777777" w:rsidR="006507E8" w:rsidRPr="00286216" w:rsidRDefault="006507E8" w:rsidP="006507E8">
            <w:pPr>
              <w:pStyle w:val="StyleWisnow"/>
              <w:spacing w:line="180" w:lineRule="exact"/>
              <w:rPr>
                <w:color w:val="000000" w:themeColor="text1"/>
              </w:rPr>
            </w:pPr>
            <w:r w:rsidRPr="00286216">
              <w:rPr>
                <w:color w:val="000000" w:themeColor="text1"/>
              </w:rPr>
              <w:t>ринок деривативів є виключною регуляторною компетенцією НКЦПФР</w:t>
            </w:r>
          </w:p>
          <w:p w14:paraId="539AFB56" w14:textId="77777777" w:rsidR="006507E8" w:rsidRPr="00286216" w:rsidRDefault="006507E8" w:rsidP="006507E8">
            <w:pPr>
              <w:pStyle w:val="StyleWisnow"/>
              <w:spacing w:line="180" w:lineRule="exact"/>
              <w:rPr>
                <w:color w:val="000000" w:themeColor="text1"/>
              </w:rPr>
            </w:pPr>
            <w:r w:rsidRPr="00286216">
              <w:rPr>
                <w:color w:val="000000" w:themeColor="text1"/>
              </w:rPr>
              <w:t>При цьому діяльність торгового репозиторію не впливає на грошово-кредитну політику, тому підстави залучати НБУ до процесу регулювання його діяльності відсутні</w:t>
            </w:r>
          </w:p>
        </w:tc>
        <w:tc>
          <w:tcPr>
            <w:tcW w:w="4818" w:type="dxa"/>
          </w:tcPr>
          <w:p w14:paraId="7BA90195" w14:textId="1F186850" w:rsidR="006507E8" w:rsidRPr="00286216" w:rsidRDefault="006507E8" w:rsidP="006507E8">
            <w:pPr>
              <w:pStyle w:val="StyleZakonu"/>
              <w:rPr>
                <w:color w:val="000000" w:themeColor="text1"/>
              </w:rPr>
            </w:pPr>
            <w:r w:rsidRPr="00286216">
              <w:rPr>
                <w:color w:val="000000" w:themeColor="text1"/>
              </w:rPr>
              <w:t>2. Вимоги до особи, яка має намір провадити діяльність торгового репозиторію на ринках капіталу та організованих товарних ринках, для включення її до Реєстру торгових репозиторіїв встановлюються цим Законом та нормативно-правовими актами Національної комісії з цінних паперів та фондового ринку.</w:t>
            </w:r>
          </w:p>
        </w:tc>
      </w:tr>
      <w:tr w:rsidR="006507E8" w:rsidRPr="00286216" w14:paraId="45D423DE" w14:textId="77777777" w:rsidTr="00091AA5">
        <w:tc>
          <w:tcPr>
            <w:tcW w:w="576" w:type="dxa"/>
          </w:tcPr>
          <w:p w14:paraId="515D210E" w14:textId="77777777" w:rsidR="006507E8" w:rsidRPr="00286216" w:rsidRDefault="006507E8" w:rsidP="006507E8">
            <w:pPr>
              <w:pStyle w:val="StyleWisnow"/>
              <w:rPr>
                <w:color w:val="000000" w:themeColor="text1"/>
              </w:rPr>
            </w:pPr>
            <w:bookmarkStart w:id="1153" w:name="n1418" w:colFirst="0" w:colLast="0"/>
            <w:bookmarkEnd w:id="1152"/>
            <w:r w:rsidRPr="00286216">
              <w:rPr>
                <w:color w:val="000000" w:themeColor="text1"/>
              </w:rPr>
              <w:t>1418.</w:t>
            </w:r>
          </w:p>
        </w:tc>
        <w:tc>
          <w:tcPr>
            <w:tcW w:w="4818" w:type="dxa"/>
          </w:tcPr>
          <w:p w14:paraId="7CCA0A12" w14:textId="77777777" w:rsidR="006507E8" w:rsidRPr="00286216" w:rsidRDefault="006507E8" w:rsidP="006507E8">
            <w:pPr>
              <w:pStyle w:val="StyleZakonu"/>
              <w:rPr>
                <w:color w:val="000000" w:themeColor="text1"/>
              </w:rPr>
            </w:pPr>
            <w:r w:rsidRPr="00286216">
              <w:rPr>
                <w:color w:val="000000" w:themeColor="text1"/>
              </w:rPr>
              <w:t>Особи, які провадять діяльність торгового репозиторію на ринках капіталу та організованих товарних ринках, зобов’язані дотримуватись зазначених вимог протягом усього періоду провадження ними такої діяльності.</w:t>
            </w:r>
          </w:p>
        </w:tc>
        <w:tc>
          <w:tcPr>
            <w:tcW w:w="3686" w:type="dxa"/>
          </w:tcPr>
          <w:p w14:paraId="6DF15BA2" w14:textId="18C8C8FA"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869</w:t>
            </w:r>
            <w:r w:rsidRPr="00286216">
              <w:rPr>
                <w:color w:val="000000" w:themeColor="text1"/>
              </w:rPr>
              <w:fldChar w:fldCharType="end"/>
            </w:r>
            <w:r w:rsidRPr="00286216">
              <w:rPr>
                <w:color w:val="000000" w:themeColor="text1"/>
              </w:rPr>
              <w:t>-Н.д.Шахов С.В. (Реєстр.картка №114)</w:t>
            </w:r>
          </w:p>
          <w:p w14:paraId="5F5542DF"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В абз. 2 ч. 2 ст. 83 слова "та організованих товарних ринках" виключити.</w:t>
            </w:r>
          </w:p>
        </w:tc>
        <w:tc>
          <w:tcPr>
            <w:tcW w:w="1987" w:type="dxa"/>
          </w:tcPr>
          <w:p w14:paraId="64F349F0"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64686FBA" w14:textId="77777777"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15930FDC" w14:textId="288F053D" w:rsidR="006507E8" w:rsidRPr="00286216" w:rsidRDefault="006507E8" w:rsidP="006507E8">
            <w:pPr>
              <w:pStyle w:val="StyleZakonu"/>
              <w:rPr>
                <w:color w:val="000000" w:themeColor="text1"/>
              </w:rPr>
            </w:pPr>
            <w:r w:rsidRPr="00286216">
              <w:rPr>
                <w:color w:val="000000" w:themeColor="text1"/>
              </w:rPr>
              <w:t>Особи, які провадять діяльність торгового репозиторію на ринках капіталу та організованих товарних ринках, зобов’язані дотримуватися зазначених вимог протягом усього періоду провадження ними такої діяльності.</w:t>
            </w:r>
          </w:p>
        </w:tc>
      </w:tr>
      <w:tr w:rsidR="006507E8" w:rsidRPr="00286216" w14:paraId="2F1E6985" w14:textId="77777777" w:rsidTr="00091AA5">
        <w:tc>
          <w:tcPr>
            <w:tcW w:w="576" w:type="dxa"/>
          </w:tcPr>
          <w:p w14:paraId="7670D748" w14:textId="77777777" w:rsidR="006507E8" w:rsidRPr="00286216" w:rsidRDefault="006507E8" w:rsidP="006507E8">
            <w:pPr>
              <w:pStyle w:val="StyleWisnow"/>
              <w:rPr>
                <w:color w:val="000000" w:themeColor="text1"/>
              </w:rPr>
            </w:pPr>
            <w:bookmarkStart w:id="1154" w:name="n1419" w:colFirst="0" w:colLast="0"/>
            <w:bookmarkEnd w:id="1153"/>
            <w:r w:rsidRPr="00286216">
              <w:rPr>
                <w:color w:val="000000" w:themeColor="text1"/>
              </w:rPr>
              <w:t>1419.</w:t>
            </w:r>
          </w:p>
        </w:tc>
        <w:tc>
          <w:tcPr>
            <w:tcW w:w="4818" w:type="dxa"/>
          </w:tcPr>
          <w:p w14:paraId="61FFEAFA" w14:textId="77777777" w:rsidR="006507E8" w:rsidRPr="00286216" w:rsidRDefault="006507E8" w:rsidP="006507E8">
            <w:pPr>
              <w:pStyle w:val="StyleZakonu"/>
              <w:rPr>
                <w:color w:val="000000" w:themeColor="text1"/>
              </w:rPr>
            </w:pPr>
            <w:r w:rsidRPr="00286216">
              <w:rPr>
                <w:color w:val="000000" w:themeColor="text1"/>
              </w:rPr>
              <w:t>3. Юридична особа має право провадити діяльність торгового репозиторію на ринках капіталу та організованих товарних ринках виключно після отримання свідоцтва про включення до Реєстру.</w:t>
            </w:r>
          </w:p>
        </w:tc>
        <w:tc>
          <w:tcPr>
            <w:tcW w:w="3686" w:type="dxa"/>
          </w:tcPr>
          <w:p w14:paraId="31E6628C" w14:textId="5B3BB85A"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870</w:t>
            </w:r>
            <w:r w:rsidRPr="00286216">
              <w:rPr>
                <w:color w:val="000000" w:themeColor="text1"/>
              </w:rPr>
              <w:fldChar w:fldCharType="end"/>
            </w:r>
            <w:r w:rsidRPr="00286216">
              <w:rPr>
                <w:color w:val="000000" w:themeColor="text1"/>
              </w:rPr>
              <w:t>-Н.д.Шахов С.В. (Реєстр.картка №114)</w:t>
            </w:r>
          </w:p>
          <w:p w14:paraId="6E5F53A6"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ч.3 ст. 83 слова "та організованих товарних ринках" виключити.</w:t>
            </w:r>
          </w:p>
        </w:tc>
        <w:tc>
          <w:tcPr>
            <w:tcW w:w="1987" w:type="dxa"/>
          </w:tcPr>
          <w:p w14:paraId="5A18E962"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08BE4BF7" w14:textId="77777777"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077503C6" w14:textId="5FA5E593" w:rsidR="006507E8" w:rsidRPr="00286216" w:rsidRDefault="006507E8" w:rsidP="006507E8">
            <w:pPr>
              <w:pStyle w:val="StyleZakonu"/>
              <w:rPr>
                <w:color w:val="000000" w:themeColor="text1"/>
              </w:rPr>
            </w:pPr>
            <w:r w:rsidRPr="00286216">
              <w:rPr>
                <w:color w:val="000000" w:themeColor="text1"/>
              </w:rPr>
              <w:t>3. Юридична особа має право провадити діяльність торгового репозиторію на ринках капіталу та організованих товарних ринках виключно після отримання свідоцтва про включення до Реєстру.</w:t>
            </w:r>
          </w:p>
        </w:tc>
      </w:tr>
      <w:tr w:rsidR="006507E8" w:rsidRPr="00286216" w14:paraId="3817FDD6" w14:textId="77777777" w:rsidTr="00091AA5">
        <w:tc>
          <w:tcPr>
            <w:tcW w:w="576" w:type="dxa"/>
          </w:tcPr>
          <w:p w14:paraId="3CC2DBB3" w14:textId="77777777" w:rsidR="006507E8" w:rsidRPr="00286216" w:rsidRDefault="006507E8" w:rsidP="006507E8">
            <w:pPr>
              <w:pStyle w:val="StyleWisnow"/>
              <w:rPr>
                <w:color w:val="000000" w:themeColor="text1"/>
              </w:rPr>
            </w:pPr>
            <w:bookmarkStart w:id="1155" w:name="n1420" w:colFirst="0" w:colLast="0"/>
            <w:bookmarkEnd w:id="1154"/>
            <w:r w:rsidRPr="00286216">
              <w:rPr>
                <w:color w:val="000000" w:themeColor="text1"/>
              </w:rPr>
              <w:t>1420.</w:t>
            </w:r>
          </w:p>
        </w:tc>
        <w:tc>
          <w:tcPr>
            <w:tcW w:w="4818" w:type="dxa"/>
          </w:tcPr>
          <w:p w14:paraId="1A732757" w14:textId="77777777" w:rsidR="006507E8" w:rsidRPr="00286216" w:rsidRDefault="006507E8" w:rsidP="006507E8">
            <w:pPr>
              <w:pStyle w:val="StyleZakonu"/>
              <w:rPr>
                <w:color w:val="000000" w:themeColor="text1"/>
              </w:rPr>
            </w:pPr>
            <w:r w:rsidRPr="00286216">
              <w:rPr>
                <w:color w:val="000000" w:themeColor="text1"/>
              </w:rPr>
              <w:t>Провадження діяльності торгового репозиторію на ринках капіталу та організованих товарних ринках без отримання свідоцтва про включення до Реєстру забороняється.</w:t>
            </w:r>
          </w:p>
        </w:tc>
        <w:tc>
          <w:tcPr>
            <w:tcW w:w="3686" w:type="dxa"/>
          </w:tcPr>
          <w:p w14:paraId="4EB8E8C1" w14:textId="77777777" w:rsidR="006507E8" w:rsidRPr="00286216" w:rsidRDefault="006507E8" w:rsidP="006507E8">
            <w:pPr>
              <w:pStyle w:val="StyleProp"/>
              <w:rPr>
                <w:color w:val="000000" w:themeColor="text1"/>
              </w:rPr>
            </w:pPr>
          </w:p>
        </w:tc>
        <w:tc>
          <w:tcPr>
            <w:tcW w:w="1987" w:type="dxa"/>
          </w:tcPr>
          <w:p w14:paraId="26C61E24" w14:textId="77777777" w:rsidR="006507E8" w:rsidRPr="00286216" w:rsidRDefault="006507E8" w:rsidP="006507E8">
            <w:pPr>
              <w:pStyle w:val="StyleWisnow"/>
              <w:rPr>
                <w:color w:val="000000" w:themeColor="text1"/>
              </w:rPr>
            </w:pPr>
          </w:p>
        </w:tc>
        <w:tc>
          <w:tcPr>
            <w:tcW w:w="4818" w:type="dxa"/>
          </w:tcPr>
          <w:p w14:paraId="197EFF61" w14:textId="16BB152F" w:rsidR="006507E8" w:rsidRPr="00286216" w:rsidRDefault="006507E8" w:rsidP="006507E8">
            <w:pPr>
              <w:pStyle w:val="StyleZakonu"/>
              <w:rPr>
                <w:color w:val="000000" w:themeColor="text1"/>
              </w:rPr>
            </w:pPr>
            <w:r w:rsidRPr="00286216">
              <w:rPr>
                <w:color w:val="000000" w:themeColor="text1"/>
              </w:rPr>
              <w:t>Провадження діяльності торгового репозиторію на ринках капіталу та організованих товарних ринках без отримання свідоцтва про включення до Реєстру забороняється.</w:t>
            </w:r>
          </w:p>
        </w:tc>
      </w:tr>
      <w:tr w:rsidR="006507E8" w:rsidRPr="00286216" w14:paraId="60954F35" w14:textId="77777777" w:rsidTr="00091AA5">
        <w:tc>
          <w:tcPr>
            <w:tcW w:w="576" w:type="dxa"/>
          </w:tcPr>
          <w:p w14:paraId="0B71CD2B" w14:textId="77777777" w:rsidR="006507E8" w:rsidRPr="00286216" w:rsidRDefault="006507E8" w:rsidP="006507E8">
            <w:pPr>
              <w:pStyle w:val="StyleWisnow"/>
              <w:rPr>
                <w:color w:val="000000" w:themeColor="text1"/>
              </w:rPr>
            </w:pPr>
            <w:bookmarkStart w:id="1156" w:name="n1421" w:colFirst="0" w:colLast="0"/>
            <w:bookmarkEnd w:id="1155"/>
            <w:r w:rsidRPr="00286216">
              <w:rPr>
                <w:color w:val="000000" w:themeColor="text1"/>
              </w:rPr>
              <w:t>1421.</w:t>
            </w:r>
          </w:p>
        </w:tc>
        <w:tc>
          <w:tcPr>
            <w:tcW w:w="4818" w:type="dxa"/>
          </w:tcPr>
          <w:p w14:paraId="27D8969B" w14:textId="77777777" w:rsidR="006507E8" w:rsidRPr="00286216" w:rsidRDefault="006507E8" w:rsidP="006507E8">
            <w:pPr>
              <w:pStyle w:val="StyleZakonu"/>
              <w:rPr>
                <w:color w:val="000000" w:themeColor="text1"/>
              </w:rPr>
            </w:pPr>
            <w:r w:rsidRPr="00286216">
              <w:rPr>
                <w:color w:val="000000" w:themeColor="text1"/>
              </w:rPr>
              <w:t>Стаття 84. Порядок авторизації торгових репозиторіїв</w:t>
            </w:r>
          </w:p>
        </w:tc>
        <w:tc>
          <w:tcPr>
            <w:tcW w:w="3686" w:type="dxa"/>
          </w:tcPr>
          <w:p w14:paraId="3B1683B0" w14:textId="77777777" w:rsidR="006507E8" w:rsidRPr="00286216" w:rsidRDefault="006507E8" w:rsidP="006507E8">
            <w:pPr>
              <w:pStyle w:val="StyleProp"/>
              <w:rPr>
                <w:color w:val="000000" w:themeColor="text1"/>
                <w:szCs w:val="18"/>
              </w:rPr>
            </w:pPr>
          </w:p>
        </w:tc>
        <w:tc>
          <w:tcPr>
            <w:tcW w:w="1987" w:type="dxa"/>
          </w:tcPr>
          <w:p w14:paraId="69C6C66F" w14:textId="77777777" w:rsidR="006507E8" w:rsidRPr="00286216" w:rsidRDefault="006507E8" w:rsidP="006507E8">
            <w:pPr>
              <w:pStyle w:val="StyleWisnow"/>
              <w:rPr>
                <w:color w:val="000000" w:themeColor="text1"/>
              </w:rPr>
            </w:pPr>
          </w:p>
        </w:tc>
        <w:tc>
          <w:tcPr>
            <w:tcW w:w="4818" w:type="dxa"/>
          </w:tcPr>
          <w:p w14:paraId="09B785D1" w14:textId="037EA389" w:rsidR="006507E8" w:rsidRPr="00286216" w:rsidRDefault="006507E8" w:rsidP="006507E8">
            <w:pPr>
              <w:pStyle w:val="StyleZakonu"/>
              <w:rPr>
                <w:color w:val="000000" w:themeColor="text1"/>
              </w:rPr>
            </w:pPr>
            <w:r w:rsidRPr="00286216">
              <w:rPr>
                <w:color w:val="000000" w:themeColor="text1"/>
              </w:rPr>
              <w:t>Стаття 88. Порядок авторизації торгових репозиторіїв</w:t>
            </w:r>
          </w:p>
        </w:tc>
      </w:tr>
      <w:tr w:rsidR="006507E8" w:rsidRPr="00286216" w14:paraId="75CE1F7D" w14:textId="77777777" w:rsidTr="00091AA5">
        <w:tc>
          <w:tcPr>
            <w:tcW w:w="576" w:type="dxa"/>
          </w:tcPr>
          <w:p w14:paraId="5B0C8B81" w14:textId="77777777" w:rsidR="006507E8" w:rsidRPr="00286216" w:rsidRDefault="006507E8" w:rsidP="006507E8">
            <w:pPr>
              <w:pStyle w:val="StyleWisnow"/>
              <w:rPr>
                <w:color w:val="000000" w:themeColor="text1"/>
              </w:rPr>
            </w:pPr>
            <w:bookmarkStart w:id="1157" w:name="n1422" w:colFirst="0" w:colLast="0"/>
            <w:bookmarkEnd w:id="1156"/>
            <w:r w:rsidRPr="00286216">
              <w:rPr>
                <w:color w:val="000000" w:themeColor="text1"/>
              </w:rPr>
              <w:t>1422.</w:t>
            </w:r>
          </w:p>
        </w:tc>
        <w:tc>
          <w:tcPr>
            <w:tcW w:w="4818" w:type="dxa"/>
          </w:tcPr>
          <w:p w14:paraId="0B50B93F" w14:textId="77777777" w:rsidR="006507E8" w:rsidRPr="00286216" w:rsidRDefault="006507E8" w:rsidP="006507E8">
            <w:pPr>
              <w:pStyle w:val="StyleZakonu"/>
              <w:rPr>
                <w:color w:val="000000" w:themeColor="text1"/>
              </w:rPr>
            </w:pPr>
            <w:r w:rsidRPr="00286216">
              <w:rPr>
                <w:color w:val="000000" w:themeColor="text1"/>
              </w:rPr>
              <w:t xml:space="preserve">1. Особа, яка має намір провадити діяльність торгового репозиторію на ринках капіталу та </w:t>
            </w:r>
            <w:r w:rsidRPr="00286216">
              <w:rPr>
                <w:color w:val="000000" w:themeColor="text1"/>
              </w:rPr>
              <w:lastRenderedPageBreak/>
              <w:t>організованих товарних ринках, для включення її до Реєстру торгових репозиторіїв та отримання свідоцтва про включення до Реєстру подає до Національної комісії з цінних паперів та фондового ринку відповідно до вимог, в порядку та за формою, що встановлені Національною комісією з цінних паперів та фондового ринку наступні документи та інформацію:</w:t>
            </w:r>
          </w:p>
        </w:tc>
        <w:tc>
          <w:tcPr>
            <w:tcW w:w="3686" w:type="dxa"/>
          </w:tcPr>
          <w:p w14:paraId="32DF5026" w14:textId="60F5041E" w:rsidR="006507E8" w:rsidRPr="00286216" w:rsidRDefault="006507E8" w:rsidP="006507E8">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871</w:t>
            </w:r>
            <w:r w:rsidRPr="00286216">
              <w:rPr>
                <w:color w:val="000000" w:themeColor="text1"/>
              </w:rPr>
              <w:fldChar w:fldCharType="end"/>
            </w:r>
            <w:r w:rsidRPr="00286216">
              <w:rPr>
                <w:color w:val="000000" w:themeColor="text1"/>
              </w:rPr>
              <w:t>-Н.д.Шахов С.В. (Реєстр.картка №114)</w:t>
            </w:r>
          </w:p>
          <w:p w14:paraId="3C12865D"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Абз.1 ч.1 ст.84 викласти у такій редакції:</w:t>
            </w:r>
          </w:p>
          <w:p w14:paraId="2DB97F58" w14:textId="77777777" w:rsidR="006507E8" w:rsidRPr="00286216" w:rsidRDefault="006507E8" w:rsidP="006507E8">
            <w:pPr>
              <w:pStyle w:val="StyleProp"/>
              <w:spacing w:line="180" w:lineRule="exact"/>
              <w:rPr>
                <w:color w:val="000000" w:themeColor="text1"/>
                <w:spacing w:val="-1"/>
                <w:szCs w:val="18"/>
              </w:rPr>
            </w:pPr>
            <w:r w:rsidRPr="00286216">
              <w:rPr>
                <w:color w:val="000000" w:themeColor="text1"/>
                <w:spacing w:val="-1"/>
                <w:szCs w:val="18"/>
              </w:rPr>
              <w:lastRenderedPageBreak/>
              <w:t xml:space="preserve">"1. Особа, яка має намір провадити діяльність торгового репозиторію на ринках капіталу, для включення її до Реєстру торгових репозиторіїв та отримання свідоцтва </w:t>
            </w:r>
            <w:r w:rsidRPr="00286216">
              <w:rPr>
                <w:color w:val="000000" w:themeColor="text1"/>
                <w:spacing w:val="-2"/>
                <w:szCs w:val="18"/>
              </w:rPr>
              <w:t>про включення до Реєстру подає до регулятора відповідного ринку відповідно до вимог, в порядку та за формою, що встановлені таким регулятором (щодо деривативних контрактів грошового ринку – за погодженням з Національним банком України), наступні документи та інформацію":</w:t>
            </w:r>
          </w:p>
        </w:tc>
        <w:tc>
          <w:tcPr>
            <w:tcW w:w="1987" w:type="dxa"/>
          </w:tcPr>
          <w:p w14:paraId="4057197A" w14:textId="77777777" w:rsidR="006507E8" w:rsidRPr="00286216" w:rsidRDefault="006507E8" w:rsidP="006507E8">
            <w:pPr>
              <w:pStyle w:val="StyleWisnow"/>
              <w:rPr>
                <w:color w:val="000000" w:themeColor="text1"/>
              </w:rPr>
            </w:pPr>
            <w:r w:rsidRPr="00286216">
              <w:rPr>
                <w:color w:val="000000" w:themeColor="text1"/>
              </w:rPr>
              <w:lastRenderedPageBreak/>
              <w:t>Відхилено</w:t>
            </w:r>
          </w:p>
          <w:p w14:paraId="6879343C"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ринок деривативів є </w:t>
            </w:r>
            <w:r w:rsidRPr="00286216">
              <w:rPr>
                <w:color w:val="000000" w:themeColor="text1"/>
              </w:rPr>
              <w:lastRenderedPageBreak/>
              <w:t>виключною регуляторною компетенцією НКЦПФР</w:t>
            </w:r>
          </w:p>
          <w:p w14:paraId="0CD5D69D" w14:textId="77777777" w:rsidR="006507E8" w:rsidRPr="00286216" w:rsidRDefault="006507E8" w:rsidP="006507E8">
            <w:pPr>
              <w:pStyle w:val="StyleWisnow"/>
              <w:spacing w:line="180" w:lineRule="exact"/>
              <w:rPr>
                <w:color w:val="000000" w:themeColor="text1"/>
              </w:rPr>
            </w:pPr>
            <w:r w:rsidRPr="00286216">
              <w:rPr>
                <w:color w:val="000000" w:themeColor="text1"/>
              </w:rPr>
              <w:t>При цьому діяльність торгового репозиторію не впливає на грошово-кредитну політику, тому підстави залучати НБУ до процесу регулювання його діяльності відсутні</w:t>
            </w:r>
          </w:p>
        </w:tc>
        <w:tc>
          <w:tcPr>
            <w:tcW w:w="4818" w:type="dxa"/>
          </w:tcPr>
          <w:p w14:paraId="0296FF55" w14:textId="3D28BE26" w:rsidR="006507E8" w:rsidRPr="00286216" w:rsidRDefault="006507E8" w:rsidP="006507E8">
            <w:pPr>
              <w:pStyle w:val="StyleZakonu"/>
              <w:rPr>
                <w:color w:val="000000" w:themeColor="text1"/>
              </w:rPr>
            </w:pPr>
            <w:r w:rsidRPr="00286216">
              <w:rPr>
                <w:color w:val="000000" w:themeColor="text1"/>
              </w:rPr>
              <w:lastRenderedPageBreak/>
              <w:t xml:space="preserve">1. Особа, яка має намір провадити діяльність торгового репозиторію на ринках капіталу та </w:t>
            </w:r>
            <w:r w:rsidRPr="00286216">
              <w:rPr>
                <w:color w:val="000000" w:themeColor="text1"/>
              </w:rPr>
              <w:lastRenderedPageBreak/>
              <w:t>організованих товарних ринках, для включення її до Реєстру торгових репозиторіїв та отримання свідоцтва про включення до Реєстру подає до Національної комісії з цінних паперів та фондового ринку відповідно до вимог, у порядку та за формою, встановлених Національною комісією з цінних паперів та фондового ринку, такі документи та інформацію:</w:t>
            </w:r>
          </w:p>
        </w:tc>
      </w:tr>
      <w:tr w:rsidR="006507E8" w:rsidRPr="00286216" w14:paraId="7D2E2CC4" w14:textId="77777777" w:rsidTr="00091AA5">
        <w:tc>
          <w:tcPr>
            <w:tcW w:w="576" w:type="dxa"/>
          </w:tcPr>
          <w:p w14:paraId="7F9B06C7" w14:textId="77777777" w:rsidR="006507E8" w:rsidRPr="00286216" w:rsidRDefault="006507E8" w:rsidP="006507E8">
            <w:pPr>
              <w:pStyle w:val="StyleWisnow"/>
              <w:rPr>
                <w:color w:val="000000" w:themeColor="text1"/>
              </w:rPr>
            </w:pPr>
            <w:bookmarkStart w:id="1158" w:name="n1423" w:colFirst="0" w:colLast="0"/>
            <w:bookmarkEnd w:id="1157"/>
            <w:r w:rsidRPr="00286216">
              <w:rPr>
                <w:color w:val="000000" w:themeColor="text1"/>
              </w:rPr>
              <w:lastRenderedPageBreak/>
              <w:t>1423.</w:t>
            </w:r>
          </w:p>
        </w:tc>
        <w:tc>
          <w:tcPr>
            <w:tcW w:w="4818" w:type="dxa"/>
          </w:tcPr>
          <w:p w14:paraId="796007AF" w14:textId="77777777" w:rsidR="006507E8" w:rsidRPr="00286216" w:rsidRDefault="006507E8" w:rsidP="006507E8">
            <w:pPr>
              <w:pStyle w:val="StyleZakonu"/>
              <w:rPr>
                <w:color w:val="000000" w:themeColor="text1"/>
              </w:rPr>
            </w:pPr>
            <w:r w:rsidRPr="00286216">
              <w:rPr>
                <w:color w:val="000000" w:themeColor="text1"/>
              </w:rPr>
              <w:t>1) заяву про включення до Реєстру торгових репозиторіїв;</w:t>
            </w:r>
          </w:p>
        </w:tc>
        <w:tc>
          <w:tcPr>
            <w:tcW w:w="3686" w:type="dxa"/>
          </w:tcPr>
          <w:p w14:paraId="7413CD77" w14:textId="77777777" w:rsidR="006507E8" w:rsidRPr="00286216" w:rsidRDefault="006507E8" w:rsidP="006507E8">
            <w:pPr>
              <w:pStyle w:val="StyleProp"/>
              <w:rPr>
                <w:color w:val="000000" w:themeColor="text1"/>
                <w:szCs w:val="18"/>
              </w:rPr>
            </w:pPr>
          </w:p>
        </w:tc>
        <w:tc>
          <w:tcPr>
            <w:tcW w:w="1987" w:type="dxa"/>
          </w:tcPr>
          <w:p w14:paraId="36BE490A" w14:textId="77777777" w:rsidR="006507E8" w:rsidRPr="00286216" w:rsidRDefault="006507E8" w:rsidP="006507E8">
            <w:pPr>
              <w:pStyle w:val="StyleWisnow"/>
              <w:rPr>
                <w:color w:val="000000" w:themeColor="text1"/>
              </w:rPr>
            </w:pPr>
          </w:p>
        </w:tc>
        <w:tc>
          <w:tcPr>
            <w:tcW w:w="4818" w:type="dxa"/>
          </w:tcPr>
          <w:p w14:paraId="3D04D362" w14:textId="0A771342" w:rsidR="006507E8" w:rsidRPr="00286216" w:rsidRDefault="006507E8" w:rsidP="006507E8">
            <w:pPr>
              <w:pStyle w:val="StyleZakonu"/>
              <w:rPr>
                <w:color w:val="000000" w:themeColor="text1"/>
              </w:rPr>
            </w:pPr>
            <w:r w:rsidRPr="00286216">
              <w:rPr>
                <w:color w:val="000000" w:themeColor="text1"/>
              </w:rPr>
              <w:t>1) заяву про включення до Реєстру торгових репозиторіїв;</w:t>
            </w:r>
          </w:p>
        </w:tc>
      </w:tr>
      <w:tr w:rsidR="006507E8" w:rsidRPr="00286216" w14:paraId="0CA43D20" w14:textId="77777777" w:rsidTr="00091AA5">
        <w:tc>
          <w:tcPr>
            <w:tcW w:w="576" w:type="dxa"/>
          </w:tcPr>
          <w:p w14:paraId="6F78570F" w14:textId="77777777" w:rsidR="006507E8" w:rsidRPr="00286216" w:rsidRDefault="006507E8" w:rsidP="006507E8">
            <w:pPr>
              <w:pStyle w:val="StyleWisnow"/>
              <w:rPr>
                <w:color w:val="000000" w:themeColor="text1"/>
              </w:rPr>
            </w:pPr>
            <w:bookmarkStart w:id="1159" w:name="n1424" w:colFirst="0" w:colLast="0"/>
            <w:bookmarkEnd w:id="1158"/>
            <w:r w:rsidRPr="00286216">
              <w:rPr>
                <w:color w:val="000000" w:themeColor="text1"/>
              </w:rPr>
              <w:t>1424.</w:t>
            </w:r>
          </w:p>
        </w:tc>
        <w:tc>
          <w:tcPr>
            <w:tcW w:w="4818" w:type="dxa"/>
          </w:tcPr>
          <w:p w14:paraId="76B0BE07" w14:textId="77777777" w:rsidR="006507E8" w:rsidRPr="00286216" w:rsidRDefault="006507E8" w:rsidP="006507E8">
            <w:pPr>
              <w:pStyle w:val="StyleZakonu"/>
              <w:rPr>
                <w:color w:val="000000" w:themeColor="text1"/>
              </w:rPr>
            </w:pPr>
            <w:r w:rsidRPr="00286216">
              <w:rPr>
                <w:color w:val="000000" w:themeColor="text1"/>
              </w:rPr>
              <w:t>2) копію статуту юридичної особи, засвідчену такою юридичною особою, та інформацію про дату та номер державної реєстрації статуту, крім випадку наявності доступу до відомостей такого статуту в достатньому обсязі в Єдиному державному реєстрі юридичних осіб, фізичних осіб - підприємців та громадських формувань. Якщо юридична особа здійснює діяльність на підставі модельного статуту - інформацію про розмір статутного (складеного) капіталу;</w:t>
            </w:r>
          </w:p>
        </w:tc>
        <w:tc>
          <w:tcPr>
            <w:tcW w:w="3686" w:type="dxa"/>
          </w:tcPr>
          <w:p w14:paraId="7576FBD0" w14:textId="77777777" w:rsidR="006507E8" w:rsidRPr="00286216" w:rsidRDefault="006507E8" w:rsidP="006507E8">
            <w:pPr>
              <w:pStyle w:val="StyleProp"/>
              <w:rPr>
                <w:color w:val="000000" w:themeColor="text1"/>
                <w:szCs w:val="18"/>
              </w:rPr>
            </w:pPr>
          </w:p>
        </w:tc>
        <w:tc>
          <w:tcPr>
            <w:tcW w:w="1987" w:type="dxa"/>
          </w:tcPr>
          <w:p w14:paraId="70A762B4" w14:textId="77777777" w:rsidR="006507E8" w:rsidRPr="00286216" w:rsidRDefault="006507E8" w:rsidP="006507E8">
            <w:pPr>
              <w:pStyle w:val="StyleWisnow"/>
              <w:rPr>
                <w:color w:val="000000" w:themeColor="text1"/>
              </w:rPr>
            </w:pPr>
          </w:p>
        </w:tc>
        <w:tc>
          <w:tcPr>
            <w:tcW w:w="4818" w:type="dxa"/>
          </w:tcPr>
          <w:p w14:paraId="6082953D" w14:textId="1AEE720E" w:rsidR="006507E8" w:rsidRPr="00286216" w:rsidRDefault="006507E8" w:rsidP="006507E8">
            <w:pPr>
              <w:pStyle w:val="StyleZakonu"/>
              <w:rPr>
                <w:color w:val="000000" w:themeColor="text1"/>
              </w:rPr>
            </w:pPr>
            <w:r w:rsidRPr="00286216">
              <w:rPr>
                <w:color w:val="000000" w:themeColor="text1"/>
              </w:rPr>
              <w:t>2) копію статуту юридичної особи, засвідчену такою юридичною особою, та інформацію про дату та номер державної реєстрації статуту, крім випадку наявності доступу до відомостей такого статуту в достатньому обсязі в Єдиному державному реєстрі юридичних осіб, фізичних осіб - підприємців та громадських формувань. Якщо юридична особа здійснює діяльність на підставі модельного статуту - інформацію про розмір статутного (складеного) капіталу;</w:t>
            </w:r>
          </w:p>
        </w:tc>
      </w:tr>
      <w:tr w:rsidR="006507E8" w:rsidRPr="00286216" w14:paraId="30D08ECB" w14:textId="77777777" w:rsidTr="00091AA5">
        <w:tc>
          <w:tcPr>
            <w:tcW w:w="576" w:type="dxa"/>
          </w:tcPr>
          <w:p w14:paraId="13C9A0B0" w14:textId="77777777" w:rsidR="006507E8" w:rsidRPr="00286216" w:rsidRDefault="006507E8" w:rsidP="006507E8">
            <w:pPr>
              <w:pStyle w:val="StyleWisnow"/>
              <w:rPr>
                <w:color w:val="000000" w:themeColor="text1"/>
              </w:rPr>
            </w:pPr>
            <w:bookmarkStart w:id="1160" w:name="n1425" w:colFirst="0" w:colLast="0"/>
            <w:bookmarkEnd w:id="1159"/>
            <w:r w:rsidRPr="00286216">
              <w:rPr>
                <w:color w:val="000000" w:themeColor="text1"/>
              </w:rPr>
              <w:t>1425.</w:t>
            </w:r>
          </w:p>
        </w:tc>
        <w:tc>
          <w:tcPr>
            <w:tcW w:w="4818" w:type="dxa"/>
          </w:tcPr>
          <w:p w14:paraId="39262BEC" w14:textId="77777777" w:rsidR="006507E8" w:rsidRPr="00286216" w:rsidRDefault="006507E8" w:rsidP="006507E8">
            <w:pPr>
              <w:pStyle w:val="StyleZakonu"/>
              <w:rPr>
                <w:color w:val="000000" w:themeColor="text1"/>
              </w:rPr>
            </w:pPr>
            <w:r w:rsidRPr="00286216">
              <w:rPr>
                <w:color w:val="000000" w:themeColor="text1"/>
              </w:rPr>
              <w:t>3) відомості про структуру власності особи, має намір провадити діяльність торгового репозиторію на ринках капіталу та організованих товарних ринках, інформацію про учасників (акціонерів) юридичної особи з істотною участю та, у випадку якщо юридична особа належить до небанківської фінансової групи, -інформацію про таку групу;</w:t>
            </w:r>
          </w:p>
        </w:tc>
        <w:tc>
          <w:tcPr>
            <w:tcW w:w="3686" w:type="dxa"/>
          </w:tcPr>
          <w:p w14:paraId="086FC81E" w14:textId="03DD2035"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872</w:t>
            </w:r>
            <w:r w:rsidRPr="00286216">
              <w:rPr>
                <w:color w:val="000000" w:themeColor="text1"/>
              </w:rPr>
              <w:fldChar w:fldCharType="end"/>
            </w:r>
            <w:r w:rsidRPr="00286216">
              <w:rPr>
                <w:color w:val="000000" w:themeColor="text1"/>
              </w:rPr>
              <w:t>-Н.д.Шахов С.В. (Реєстр.картка №114)</w:t>
            </w:r>
          </w:p>
          <w:p w14:paraId="435CD009"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п.п. 3 ч. 1 ст. 83 слова "та організованих товарних ринках" виключити.</w:t>
            </w:r>
          </w:p>
          <w:p w14:paraId="5AA5B864" w14:textId="77777777" w:rsidR="006507E8" w:rsidRPr="00286216" w:rsidRDefault="006507E8" w:rsidP="006507E8">
            <w:pPr>
              <w:pStyle w:val="StyleProp"/>
              <w:rPr>
                <w:color w:val="000000" w:themeColor="text1"/>
                <w:spacing w:val="-3"/>
              </w:rPr>
            </w:pPr>
          </w:p>
        </w:tc>
        <w:tc>
          <w:tcPr>
            <w:tcW w:w="1987" w:type="dxa"/>
          </w:tcPr>
          <w:p w14:paraId="229FCD57" w14:textId="77777777" w:rsidR="006507E8" w:rsidRPr="00286216" w:rsidRDefault="006507E8" w:rsidP="006507E8">
            <w:pPr>
              <w:pStyle w:val="StyleWisnow"/>
              <w:rPr>
                <w:color w:val="000000" w:themeColor="text1"/>
              </w:rPr>
            </w:pPr>
            <w:r w:rsidRPr="00286216">
              <w:rPr>
                <w:color w:val="000000" w:themeColor="text1"/>
              </w:rPr>
              <w:t xml:space="preserve">Відхилено </w:t>
            </w:r>
          </w:p>
          <w:p w14:paraId="6795437E" w14:textId="77777777" w:rsidR="006507E8" w:rsidRPr="00286216" w:rsidRDefault="006507E8" w:rsidP="006507E8">
            <w:pPr>
              <w:pStyle w:val="StyleWisnow"/>
              <w:rPr>
                <w:color w:val="000000" w:themeColor="text1"/>
              </w:rPr>
            </w:pPr>
            <w:r w:rsidRPr="00286216">
              <w:rPr>
                <w:color w:val="000000" w:themeColor="text1"/>
              </w:rPr>
              <w:t>суперечить MiFIR та EMIR</w:t>
            </w:r>
          </w:p>
        </w:tc>
        <w:tc>
          <w:tcPr>
            <w:tcW w:w="4818" w:type="dxa"/>
          </w:tcPr>
          <w:p w14:paraId="644B1E26" w14:textId="624B2008" w:rsidR="006507E8" w:rsidRPr="00286216" w:rsidRDefault="006507E8" w:rsidP="006507E8">
            <w:pPr>
              <w:pStyle w:val="StyleZakonu"/>
              <w:rPr>
                <w:color w:val="000000" w:themeColor="text1"/>
              </w:rPr>
            </w:pPr>
            <w:r w:rsidRPr="00286216">
              <w:rPr>
                <w:color w:val="000000" w:themeColor="text1"/>
              </w:rPr>
              <w:t>3) відомості про структуру власності юридичної особи, інформацію про учасників (акціонерів) юридичної особи з істотною участю, а якщо юридична особа належить до небанківської фінансової групи - інформацію про таку групу;</w:t>
            </w:r>
          </w:p>
        </w:tc>
      </w:tr>
      <w:tr w:rsidR="006507E8" w:rsidRPr="00286216" w14:paraId="038BA48E" w14:textId="77777777" w:rsidTr="00091AA5">
        <w:tc>
          <w:tcPr>
            <w:tcW w:w="576" w:type="dxa"/>
          </w:tcPr>
          <w:p w14:paraId="4C02C64E" w14:textId="77777777" w:rsidR="006507E8" w:rsidRPr="00286216" w:rsidRDefault="006507E8" w:rsidP="006507E8">
            <w:pPr>
              <w:pStyle w:val="StyleWisnow"/>
              <w:rPr>
                <w:color w:val="000000" w:themeColor="text1"/>
              </w:rPr>
            </w:pPr>
            <w:bookmarkStart w:id="1161" w:name="n1426" w:colFirst="0" w:colLast="0"/>
            <w:bookmarkEnd w:id="1160"/>
            <w:r w:rsidRPr="00286216">
              <w:rPr>
                <w:color w:val="000000" w:themeColor="text1"/>
              </w:rPr>
              <w:t>1426.</w:t>
            </w:r>
          </w:p>
        </w:tc>
        <w:tc>
          <w:tcPr>
            <w:tcW w:w="4818" w:type="dxa"/>
          </w:tcPr>
          <w:p w14:paraId="217E7FE5" w14:textId="77777777" w:rsidR="006507E8" w:rsidRPr="00286216" w:rsidRDefault="006507E8" w:rsidP="006507E8">
            <w:pPr>
              <w:pStyle w:val="StyleZakonu"/>
              <w:rPr>
                <w:color w:val="000000" w:themeColor="text1"/>
              </w:rPr>
            </w:pPr>
            <w:r w:rsidRPr="00286216">
              <w:rPr>
                <w:color w:val="000000" w:themeColor="text1"/>
              </w:rPr>
              <w:t>4) інформацію про членів виконавчого органу та/або наглядової ради;</w:t>
            </w:r>
          </w:p>
        </w:tc>
        <w:tc>
          <w:tcPr>
            <w:tcW w:w="3686" w:type="dxa"/>
          </w:tcPr>
          <w:p w14:paraId="0CFD3AB4" w14:textId="2A8F337F"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873</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69C1BBF1" w14:textId="77777777" w:rsidR="006507E8" w:rsidRPr="00286216" w:rsidRDefault="006507E8" w:rsidP="006507E8">
            <w:pPr>
              <w:pStyle w:val="StyleProp"/>
              <w:rPr>
                <w:color w:val="000000" w:themeColor="text1"/>
              </w:rPr>
            </w:pPr>
            <w:r w:rsidRPr="00286216">
              <w:rPr>
                <w:color w:val="000000" w:themeColor="text1"/>
              </w:rPr>
              <w:t>Пункт 4 частини 1 статті 84 викласти в такій редакції:</w:t>
            </w:r>
          </w:p>
          <w:p w14:paraId="4854015D" w14:textId="77777777" w:rsidR="006507E8" w:rsidRPr="00286216" w:rsidRDefault="006507E8" w:rsidP="006507E8">
            <w:pPr>
              <w:pStyle w:val="StyleProp"/>
              <w:rPr>
                <w:color w:val="000000" w:themeColor="text1"/>
              </w:rPr>
            </w:pPr>
            <w:r w:rsidRPr="00286216">
              <w:rPr>
                <w:color w:val="000000" w:themeColor="text1"/>
              </w:rPr>
              <w:t>«4) ідентифікаційні дані, ділову репутацію та професійний досвід голови та членів колегіального виконавчого органу (особи, яка здійснює повноваження  одноосібного виконавчого органу), голови та членів  наглядової ради (за наявності) заявника, ділову репутацію заявника».</w:t>
            </w:r>
          </w:p>
        </w:tc>
        <w:tc>
          <w:tcPr>
            <w:tcW w:w="1987" w:type="dxa"/>
          </w:tcPr>
          <w:p w14:paraId="59C52D71"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7C6D2E06" w14:textId="095FE4C9" w:rsidR="006507E8" w:rsidRPr="00286216" w:rsidRDefault="006507E8" w:rsidP="006507E8">
            <w:pPr>
              <w:pStyle w:val="StyleZakonu"/>
              <w:rPr>
                <w:color w:val="000000" w:themeColor="text1"/>
              </w:rPr>
            </w:pPr>
            <w:r w:rsidRPr="00286216">
              <w:rPr>
                <w:color w:val="000000" w:themeColor="text1"/>
              </w:rPr>
              <w:t>4) ідентифікаційні дані, відомості про ділову репутацію та професійний досвід голови та членів колегіального виконавчого органу (особи, яка здійснює повноваження  одноосібного виконавчого органу), голови та членів  наглядової ради (за наявності) заявника, ділову репутацію заявника;</w:t>
            </w:r>
          </w:p>
        </w:tc>
      </w:tr>
      <w:bookmarkEnd w:id="1161"/>
      <w:tr w:rsidR="006507E8" w:rsidRPr="00286216" w14:paraId="1255BFF0" w14:textId="77777777" w:rsidTr="00091AA5">
        <w:tc>
          <w:tcPr>
            <w:tcW w:w="576" w:type="dxa"/>
          </w:tcPr>
          <w:p w14:paraId="1F347F2E" w14:textId="77777777" w:rsidR="006507E8" w:rsidRPr="00286216" w:rsidRDefault="006507E8" w:rsidP="006507E8">
            <w:pPr>
              <w:pStyle w:val="StyleWisnow"/>
              <w:rPr>
                <w:color w:val="000000" w:themeColor="text1"/>
              </w:rPr>
            </w:pPr>
          </w:p>
        </w:tc>
        <w:tc>
          <w:tcPr>
            <w:tcW w:w="4818" w:type="dxa"/>
          </w:tcPr>
          <w:p w14:paraId="3BFFC5E7" w14:textId="77777777" w:rsidR="006507E8" w:rsidRPr="00286216" w:rsidRDefault="006507E8" w:rsidP="006507E8">
            <w:pPr>
              <w:pStyle w:val="StyleZakonu"/>
              <w:rPr>
                <w:color w:val="000000" w:themeColor="text1"/>
              </w:rPr>
            </w:pPr>
          </w:p>
        </w:tc>
        <w:tc>
          <w:tcPr>
            <w:tcW w:w="3686" w:type="dxa"/>
          </w:tcPr>
          <w:p w14:paraId="5E57FF9D" w14:textId="69E7E515"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874</w:t>
            </w:r>
            <w:r w:rsidRPr="00286216">
              <w:rPr>
                <w:color w:val="000000" w:themeColor="text1"/>
                <w:spacing w:val="-10"/>
              </w:rPr>
              <w:fldChar w:fldCharType="end"/>
            </w:r>
            <w:r w:rsidRPr="00286216">
              <w:rPr>
                <w:color w:val="000000" w:themeColor="text1"/>
                <w:spacing w:val="-10"/>
              </w:rPr>
              <w:t>-Н.д.Гетманцев Д.О.(Реєстр.картка №245)</w:t>
            </w:r>
          </w:p>
          <w:p w14:paraId="70F61BEC" w14:textId="77777777" w:rsidR="006507E8" w:rsidRPr="00286216" w:rsidRDefault="006507E8" w:rsidP="006507E8">
            <w:pPr>
              <w:pStyle w:val="StyleProp"/>
              <w:rPr>
                <w:color w:val="000000" w:themeColor="text1"/>
              </w:rPr>
            </w:pPr>
            <w:r w:rsidRPr="00286216">
              <w:rPr>
                <w:color w:val="000000" w:themeColor="text1"/>
              </w:rPr>
              <w:t xml:space="preserve">У статті 84 пункт четвертий після слова «ради» доповнити словами «(а саме інформацію щодо прізвища, імені та (за наявності) по батькові, займаної посади, дати призначення на посаду, строку призначення на посаду, наявності бездоганної ділової </w:t>
            </w:r>
            <w:r w:rsidRPr="00286216">
              <w:rPr>
                <w:color w:val="000000" w:themeColor="text1"/>
              </w:rPr>
              <w:lastRenderedPageBreak/>
              <w:t>репутації, іншої інформації, визначеної законодавством);».</w:t>
            </w:r>
          </w:p>
        </w:tc>
        <w:tc>
          <w:tcPr>
            <w:tcW w:w="1987" w:type="dxa"/>
          </w:tcPr>
          <w:p w14:paraId="2C9A3089" w14:textId="77777777" w:rsidR="006507E8" w:rsidRPr="00286216" w:rsidRDefault="006507E8" w:rsidP="006507E8">
            <w:pPr>
              <w:pStyle w:val="StyleWisnow"/>
              <w:rPr>
                <w:color w:val="000000" w:themeColor="text1"/>
              </w:rPr>
            </w:pPr>
            <w:r w:rsidRPr="00286216">
              <w:rPr>
                <w:color w:val="000000" w:themeColor="text1"/>
              </w:rPr>
              <w:lastRenderedPageBreak/>
              <w:t>Враховано редакційно</w:t>
            </w:r>
          </w:p>
        </w:tc>
        <w:tc>
          <w:tcPr>
            <w:tcW w:w="4818" w:type="dxa"/>
          </w:tcPr>
          <w:p w14:paraId="3244BEBA" w14:textId="77777777" w:rsidR="006507E8" w:rsidRPr="00286216" w:rsidRDefault="006507E8" w:rsidP="006507E8">
            <w:pPr>
              <w:pStyle w:val="StyleZakonu"/>
              <w:rPr>
                <w:color w:val="000000" w:themeColor="text1"/>
              </w:rPr>
            </w:pPr>
          </w:p>
        </w:tc>
      </w:tr>
      <w:tr w:rsidR="006507E8" w:rsidRPr="00286216" w14:paraId="1CDC0A53" w14:textId="77777777" w:rsidTr="00091AA5">
        <w:tc>
          <w:tcPr>
            <w:tcW w:w="576" w:type="dxa"/>
          </w:tcPr>
          <w:p w14:paraId="7EB10FE8" w14:textId="77777777" w:rsidR="006507E8" w:rsidRPr="00286216" w:rsidRDefault="006507E8" w:rsidP="006507E8">
            <w:pPr>
              <w:pStyle w:val="StyleWisnow"/>
              <w:rPr>
                <w:color w:val="000000" w:themeColor="text1"/>
              </w:rPr>
            </w:pPr>
            <w:bookmarkStart w:id="1162" w:name="n1427" w:colFirst="0" w:colLast="0"/>
            <w:r w:rsidRPr="00286216">
              <w:rPr>
                <w:color w:val="000000" w:themeColor="text1"/>
              </w:rPr>
              <w:t>1427.</w:t>
            </w:r>
          </w:p>
        </w:tc>
        <w:tc>
          <w:tcPr>
            <w:tcW w:w="4818" w:type="dxa"/>
          </w:tcPr>
          <w:p w14:paraId="69BC408C" w14:textId="77777777" w:rsidR="006507E8" w:rsidRPr="00286216" w:rsidRDefault="006507E8" w:rsidP="006507E8">
            <w:pPr>
              <w:pStyle w:val="StyleZakonu"/>
              <w:rPr>
                <w:color w:val="000000" w:themeColor="text1"/>
              </w:rPr>
            </w:pPr>
            <w:r w:rsidRPr="00286216">
              <w:rPr>
                <w:color w:val="000000" w:themeColor="text1"/>
              </w:rPr>
              <w:t>5) інформацію про капітал та про джерела його походження;</w:t>
            </w:r>
          </w:p>
        </w:tc>
        <w:tc>
          <w:tcPr>
            <w:tcW w:w="3686" w:type="dxa"/>
          </w:tcPr>
          <w:p w14:paraId="76053211" w14:textId="77777777" w:rsidR="006507E8" w:rsidRPr="00286216" w:rsidRDefault="006507E8" w:rsidP="006507E8">
            <w:pPr>
              <w:pStyle w:val="StyleProp"/>
              <w:rPr>
                <w:color w:val="000000" w:themeColor="text1"/>
                <w:szCs w:val="18"/>
              </w:rPr>
            </w:pPr>
          </w:p>
        </w:tc>
        <w:tc>
          <w:tcPr>
            <w:tcW w:w="1987" w:type="dxa"/>
          </w:tcPr>
          <w:p w14:paraId="405EB601" w14:textId="77777777" w:rsidR="006507E8" w:rsidRPr="00286216" w:rsidRDefault="006507E8" w:rsidP="006507E8">
            <w:pPr>
              <w:pStyle w:val="StyleWisnow"/>
              <w:rPr>
                <w:color w:val="000000" w:themeColor="text1"/>
              </w:rPr>
            </w:pPr>
          </w:p>
        </w:tc>
        <w:tc>
          <w:tcPr>
            <w:tcW w:w="4818" w:type="dxa"/>
          </w:tcPr>
          <w:p w14:paraId="0C7919B6" w14:textId="1924A00D" w:rsidR="006507E8" w:rsidRPr="00286216" w:rsidRDefault="006507E8" w:rsidP="006507E8">
            <w:pPr>
              <w:pStyle w:val="StyleZakonu"/>
              <w:rPr>
                <w:color w:val="000000" w:themeColor="text1"/>
              </w:rPr>
            </w:pPr>
            <w:r w:rsidRPr="00286216">
              <w:rPr>
                <w:color w:val="000000" w:themeColor="text1"/>
              </w:rPr>
              <w:t>5) про капітал та джерела його походження;</w:t>
            </w:r>
          </w:p>
        </w:tc>
      </w:tr>
      <w:tr w:rsidR="006507E8" w:rsidRPr="00286216" w14:paraId="4EE9078B" w14:textId="77777777" w:rsidTr="00091AA5">
        <w:tc>
          <w:tcPr>
            <w:tcW w:w="576" w:type="dxa"/>
          </w:tcPr>
          <w:p w14:paraId="4084D643" w14:textId="77777777" w:rsidR="006507E8" w:rsidRPr="00286216" w:rsidRDefault="006507E8" w:rsidP="006507E8">
            <w:pPr>
              <w:pStyle w:val="StyleWisnow"/>
              <w:rPr>
                <w:color w:val="000000" w:themeColor="text1"/>
              </w:rPr>
            </w:pPr>
            <w:bookmarkStart w:id="1163" w:name="n1428" w:colFirst="0" w:colLast="0"/>
            <w:bookmarkEnd w:id="1162"/>
            <w:r w:rsidRPr="00286216">
              <w:rPr>
                <w:color w:val="000000" w:themeColor="text1"/>
              </w:rPr>
              <w:t>1428.</w:t>
            </w:r>
          </w:p>
        </w:tc>
        <w:tc>
          <w:tcPr>
            <w:tcW w:w="4818" w:type="dxa"/>
          </w:tcPr>
          <w:p w14:paraId="431CA673" w14:textId="77777777" w:rsidR="006507E8" w:rsidRPr="00286216" w:rsidRDefault="006507E8" w:rsidP="006507E8">
            <w:pPr>
              <w:pStyle w:val="StyleZakonu"/>
              <w:rPr>
                <w:color w:val="000000" w:themeColor="text1"/>
              </w:rPr>
            </w:pPr>
            <w:r w:rsidRPr="00286216">
              <w:rPr>
                <w:color w:val="000000" w:themeColor="text1"/>
              </w:rPr>
              <w:t>6) інформацію про фінансовий стан особи, яка має намір провадити діяльність торгового репозиторію на ринках капіталу та організованих товарних ринках, та, у випадку якщо юридична особа належить до небанківської фінансової групи, -інформацію про фінансовий стан такої групи;</w:t>
            </w:r>
          </w:p>
        </w:tc>
        <w:tc>
          <w:tcPr>
            <w:tcW w:w="3686" w:type="dxa"/>
          </w:tcPr>
          <w:p w14:paraId="3D2A6903" w14:textId="0ADD045E"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875</w:t>
            </w:r>
            <w:r w:rsidRPr="00286216">
              <w:rPr>
                <w:color w:val="000000" w:themeColor="text1"/>
              </w:rPr>
              <w:fldChar w:fldCharType="end"/>
            </w:r>
            <w:r w:rsidRPr="00286216">
              <w:rPr>
                <w:color w:val="000000" w:themeColor="text1"/>
              </w:rPr>
              <w:t>-Н.д.Шахов С.В. (Реєстр.картка №114)</w:t>
            </w:r>
          </w:p>
          <w:p w14:paraId="1F0B6CC3"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п.п. 6 ч. 1 ст. 83 слова "та організованих товарних ринках" виключити.</w:t>
            </w:r>
          </w:p>
        </w:tc>
        <w:tc>
          <w:tcPr>
            <w:tcW w:w="1987" w:type="dxa"/>
          </w:tcPr>
          <w:p w14:paraId="1458320F" w14:textId="77777777" w:rsidR="006507E8" w:rsidRPr="00286216" w:rsidRDefault="006507E8" w:rsidP="006507E8">
            <w:pPr>
              <w:pStyle w:val="StyleWisnow"/>
              <w:spacing w:line="180" w:lineRule="exact"/>
              <w:rPr>
                <w:color w:val="000000" w:themeColor="text1"/>
              </w:rPr>
            </w:pPr>
            <w:r w:rsidRPr="00286216">
              <w:rPr>
                <w:color w:val="000000" w:themeColor="text1"/>
              </w:rPr>
              <w:t xml:space="preserve">Відхилено </w:t>
            </w:r>
          </w:p>
          <w:p w14:paraId="16852C4A" w14:textId="77777777" w:rsidR="006507E8" w:rsidRPr="00286216" w:rsidRDefault="006507E8" w:rsidP="006507E8">
            <w:pPr>
              <w:pStyle w:val="StyleWisnow"/>
              <w:spacing w:line="180" w:lineRule="exact"/>
              <w:rPr>
                <w:color w:val="000000" w:themeColor="text1"/>
              </w:rPr>
            </w:pPr>
            <w:r w:rsidRPr="00286216">
              <w:rPr>
                <w:color w:val="000000" w:themeColor="text1"/>
              </w:rPr>
              <w:t>суперечить MiFIR та EMIR</w:t>
            </w:r>
          </w:p>
        </w:tc>
        <w:tc>
          <w:tcPr>
            <w:tcW w:w="4818" w:type="dxa"/>
          </w:tcPr>
          <w:p w14:paraId="0E00C743" w14:textId="470B803F" w:rsidR="006507E8" w:rsidRPr="00286216" w:rsidRDefault="006507E8" w:rsidP="006507E8">
            <w:pPr>
              <w:pStyle w:val="StyleZakonu"/>
              <w:rPr>
                <w:color w:val="000000" w:themeColor="text1"/>
              </w:rPr>
            </w:pPr>
            <w:r w:rsidRPr="00286216">
              <w:rPr>
                <w:color w:val="000000" w:themeColor="text1"/>
              </w:rPr>
              <w:t>6) про фінансовий стан особи, яка має намір провадити діяльність торгового репозиторію на ринках капіталу та організованих товарних ринках, а якщо юридична особа належить до небанківської фінансової групи - інформацію про фінансовий стан такої групи;</w:t>
            </w:r>
          </w:p>
        </w:tc>
      </w:tr>
      <w:tr w:rsidR="006507E8" w:rsidRPr="00286216" w14:paraId="2BF2F21B" w14:textId="77777777" w:rsidTr="00091AA5">
        <w:tc>
          <w:tcPr>
            <w:tcW w:w="576" w:type="dxa"/>
          </w:tcPr>
          <w:p w14:paraId="5CD32DCB" w14:textId="77777777" w:rsidR="006507E8" w:rsidRPr="00286216" w:rsidRDefault="006507E8" w:rsidP="006507E8">
            <w:pPr>
              <w:pStyle w:val="StyleWisnow"/>
              <w:rPr>
                <w:color w:val="000000" w:themeColor="text1"/>
              </w:rPr>
            </w:pPr>
            <w:bookmarkStart w:id="1164" w:name="n1429" w:colFirst="0" w:colLast="0"/>
            <w:bookmarkEnd w:id="1163"/>
            <w:r w:rsidRPr="00286216">
              <w:rPr>
                <w:color w:val="000000" w:themeColor="text1"/>
              </w:rPr>
              <w:t>1429.</w:t>
            </w:r>
          </w:p>
        </w:tc>
        <w:tc>
          <w:tcPr>
            <w:tcW w:w="4818" w:type="dxa"/>
          </w:tcPr>
          <w:p w14:paraId="2C90BDD5" w14:textId="77777777" w:rsidR="006507E8" w:rsidRPr="00286216" w:rsidRDefault="006507E8" w:rsidP="006507E8">
            <w:pPr>
              <w:pStyle w:val="StyleZakonu"/>
              <w:rPr>
                <w:color w:val="000000" w:themeColor="text1"/>
              </w:rPr>
            </w:pPr>
            <w:r w:rsidRPr="00286216">
              <w:rPr>
                <w:color w:val="000000" w:themeColor="text1"/>
              </w:rPr>
              <w:t>7) інформацію щодо організації діяльності, зокрема:</w:t>
            </w:r>
          </w:p>
        </w:tc>
        <w:tc>
          <w:tcPr>
            <w:tcW w:w="3686" w:type="dxa"/>
          </w:tcPr>
          <w:p w14:paraId="47CF5C3C" w14:textId="77777777" w:rsidR="006507E8" w:rsidRPr="00286216" w:rsidRDefault="006507E8" w:rsidP="006507E8">
            <w:pPr>
              <w:pStyle w:val="StyleProp"/>
              <w:rPr>
                <w:color w:val="000000" w:themeColor="text1"/>
                <w:szCs w:val="18"/>
              </w:rPr>
            </w:pPr>
          </w:p>
        </w:tc>
        <w:tc>
          <w:tcPr>
            <w:tcW w:w="1987" w:type="dxa"/>
          </w:tcPr>
          <w:p w14:paraId="79124B0D" w14:textId="77777777" w:rsidR="006507E8" w:rsidRPr="00286216" w:rsidRDefault="006507E8" w:rsidP="006507E8">
            <w:pPr>
              <w:pStyle w:val="StyleWisnow"/>
              <w:rPr>
                <w:color w:val="000000" w:themeColor="text1"/>
              </w:rPr>
            </w:pPr>
          </w:p>
        </w:tc>
        <w:tc>
          <w:tcPr>
            <w:tcW w:w="4818" w:type="dxa"/>
          </w:tcPr>
          <w:p w14:paraId="4DD62915" w14:textId="077D0AF8" w:rsidR="006507E8" w:rsidRPr="00286216" w:rsidRDefault="006507E8" w:rsidP="006507E8">
            <w:pPr>
              <w:pStyle w:val="StyleZakonu"/>
              <w:rPr>
                <w:color w:val="000000" w:themeColor="text1"/>
              </w:rPr>
            </w:pPr>
            <w:r w:rsidRPr="00286216">
              <w:rPr>
                <w:color w:val="000000" w:themeColor="text1"/>
              </w:rPr>
              <w:t>7) щодо організації діяльності, зокрема:</w:t>
            </w:r>
          </w:p>
        </w:tc>
      </w:tr>
      <w:tr w:rsidR="006507E8" w:rsidRPr="00286216" w14:paraId="4A551319" w14:textId="77777777" w:rsidTr="00091AA5">
        <w:tc>
          <w:tcPr>
            <w:tcW w:w="576" w:type="dxa"/>
          </w:tcPr>
          <w:p w14:paraId="223EC9BB" w14:textId="77777777" w:rsidR="006507E8" w:rsidRPr="00286216" w:rsidRDefault="006507E8" w:rsidP="006507E8">
            <w:pPr>
              <w:pStyle w:val="StyleWisnow"/>
              <w:rPr>
                <w:color w:val="000000" w:themeColor="text1"/>
              </w:rPr>
            </w:pPr>
            <w:bookmarkStart w:id="1165" w:name="n1430" w:colFirst="0" w:colLast="0"/>
            <w:bookmarkEnd w:id="1164"/>
            <w:r w:rsidRPr="00286216">
              <w:rPr>
                <w:color w:val="000000" w:themeColor="text1"/>
              </w:rPr>
              <w:t>1430.</w:t>
            </w:r>
          </w:p>
        </w:tc>
        <w:tc>
          <w:tcPr>
            <w:tcW w:w="4818" w:type="dxa"/>
          </w:tcPr>
          <w:p w14:paraId="5DCDCF31" w14:textId="77777777" w:rsidR="006507E8" w:rsidRPr="00286216" w:rsidRDefault="006507E8" w:rsidP="006507E8">
            <w:pPr>
              <w:pStyle w:val="StyleZakonu"/>
              <w:rPr>
                <w:color w:val="000000" w:themeColor="text1"/>
              </w:rPr>
            </w:pPr>
            <w:r w:rsidRPr="00286216">
              <w:rPr>
                <w:color w:val="000000" w:themeColor="text1"/>
              </w:rPr>
              <w:t>а) інформацію про бізнес-стратегію (бізнес-план) на наступні три роки;</w:t>
            </w:r>
          </w:p>
        </w:tc>
        <w:tc>
          <w:tcPr>
            <w:tcW w:w="3686" w:type="dxa"/>
          </w:tcPr>
          <w:p w14:paraId="3B9276D9" w14:textId="1B99D58A"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876</w:t>
            </w:r>
            <w:r w:rsidRPr="00286216">
              <w:rPr>
                <w:color w:val="000000" w:themeColor="text1"/>
              </w:rPr>
              <w:fldChar w:fldCharType="end"/>
            </w:r>
            <w:r w:rsidRPr="00286216">
              <w:rPr>
                <w:color w:val="000000" w:themeColor="text1"/>
              </w:rPr>
              <w:t>-Н.д.Шахов С.В. (Реєстр.картка №114)</w:t>
            </w:r>
          </w:p>
          <w:p w14:paraId="7CE639D2"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П.п. "а" п. 7 ч. 1 ст. 83 виключити.</w:t>
            </w:r>
          </w:p>
        </w:tc>
        <w:tc>
          <w:tcPr>
            <w:tcW w:w="1987" w:type="dxa"/>
          </w:tcPr>
          <w:p w14:paraId="27452913"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3457414" w14:textId="76FC2FCA" w:rsidR="006507E8" w:rsidRPr="00286216" w:rsidRDefault="006507E8" w:rsidP="006507E8">
            <w:pPr>
              <w:pStyle w:val="StyleWisnow"/>
              <w:spacing w:line="180" w:lineRule="exact"/>
              <w:rPr>
                <w:color w:val="000000" w:themeColor="text1"/>
              </w:rPr>
            </w:pPr>
            <w:r w:rsidRPr="00286216">
              <w:rPr>
                <w:color w:val="000000" w:themeColor="text1"/>
              </w:rPr>
              <w:t>суперечить регламенту 150/2013</w:t>
            </w:r>
          </w:p>
        </w:tc>
        <w:tc>
          <w:tcPr>
            <w:tcW w:w="4818" w:type="dxa"/>
          </w:tcPr>
          <w:p w14:paraId="3A82E341" w14:textId="0B438E37" w:rsidR="006507E8" w:rsidRPr="00286216" w:rsidRDefault="006507E8" w:rsidP="006507E8">
            <w:pPr>
              <w:pStyle w:val="StyleZakonu"/>
              <w:rPr>
                <w:color w:val="000000" w:themeColor="text1"/>
              </w:rPr>
            </w:pPr>
            <w:r w:rsidRPr="00286216">
              <w:rPr>
                <w:color w:val="000000" w:themeColor="text1"/>
              </w:rPr>
              <w:t>а) бізнес-план (бізнес-стратегію) на наступні три роки;</w:t>
            </w:r>
          </w:p>
        </w:tc>
      </w:tr>
      <w:tr w:rsidR="006507E8" w:rsidRPr="00286216" w14:paraId="6A9142B6" w14:textId="77777777" w:rsidTr="00091AA5">
        <w:tc>
          <w:tcPr>
            <w:tcW w:w="576" w:type="dxa"/>
          </w:tcPr>
          <w:p w14:paraId="3CCA81CB" w14:textId="77777777" w:rsidR="006507E8" w:rsidRPr="00286216" w:rsidRDefault="006507E8" w:rsidP="006507E8">
            <w:pPr>
              <w:pStyle w:val="StyleWisnow"/>
              <w:rPr>
                <w:color w:val="000000" w:themeColor="text1"/>
              </w:rPr>
            </w:pPr>
            <w:bookmarkStart w:id="1166" w:name="n1431" w:colFirst="0" w:colLast="0"/>
            <w:bookmarkEnd w:id="1165"/>
            <w:r w:rsidRPr="00286216">
              <w:rPr>
                <w:color w:val="000000" w:themeColor="text1"/>
              </w:rPr>
              <w:t>1431.</w:t>
            </w:r>
          </w:p>
        </w:tc>
        <w:tc>
          <w:tcPr>
            <w:tcW w:w="4818" w:type="dxa"/>
          </w:tcPr>
          <w:p w14:paraId="3FE22F2C" w14:textId="77777777" w:rsidR="006507E8" w:rsidRPr="00286216" w:rsidRDefault="006507E8" w:rsidP="006507E8">
            <w:pPr>
              <w:pStyle w:val="StyleZakonu"/>
              <w:rPr>
                <w:color w:val="000000" w:themeColor="text1"/>
              </w:rPr>
            </w:pPr>
            <w:r w:rsidRPr="00286216">
              <w:rPr>
                <w:color w:val="000000" w:themeColor="text1"/>
              </w:rPr>
              <w:t>б) інформацію про організаційну структуру;</w:t>
            </w:r>
          </w:p>
        </w:tc>
        <w:tc>
          <w:tcPr>
            <w:tcW w:w="3686" w:type="dxa"/>
          </w:tcPr>
          <w:p w14:paraId="6338906F" w14:textId="17D57CC1"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877</w:t>
            </w:r>
            <w:r w:rsidRPr="00286216">
              <w:rPr>
                <w:color w:val="000000" w:themeColor="text1"/>
              </w:rPr>
              <w:fldChar w:fldCharType="end"/>
            </w:r>
            <w:r w:rsidRPr="00286216">
              <w:rPr>
                <w:color w:val="000000" w:themeColor="text1"/>
              </w:rPr>
              <w:t>-Н.д.Шахов С.В. (Реєстр.картка №114)</w:t>
            </w:r>
          </w:p>
          <w:p w14:paraId="0C09F048"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П.п. "б" п. 7 ч. 1 ст. 83 виключити.</w:t>
            </w:r>
          </w:p>
        </w:tc>
        <w:tc>
          <w:tcPr>
            <w:tcW w:w="1987" w:type="dxa"/>
          </w:tcPr>
          <w:p w14:paraId="7453BA97"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4B2A3B26" w14:textId="6519F75C" w:rsidR="006507E8" w:rsidRPr="00286216" w:rsidRDefault="006507E8" w:rsidP="006507E8">
            <w:pPr>
              <w:pStyle w:val="StyleWisnow"/>
              <w:spacing w:line="180" w:lineRule="exact"/>
              <w:rPr>
                <w:color w:val="000000" w:themeColor="text1"/>
              </w:rPr>
            </w:pPr>
            <w:r w:rsidRPr="00286216">
              <w:rPr>
                <w:color w:val="000000" w:themeColor="text1"/>
              </w:rPr>
              <w:t>суперечить регламенту 150/2013</w:t>
            </w:r>
          </w:p>
        </w:tc>
        <w:tc>
          <w:tcPr>
            <w:tcW w:w="4818" w:type="dxa"/>
          </w:tcPr>
          <w:p w14:paraId="2E2C0A3B" w14:textId="35FBF537" w:rsidR="006507E8" w:rsidRPr="00286216" w:rsidRDefault="006507E8" w:rsidP="006507E8">
            <w:pPr>
              <w:pStyle w:val="StyleZakonu"/>
              <w:rPr>
                <w:color w:val="000000" w:themeColor="text1"/>
              </w:rPr>
            </w:pPr>
            <w:r w:rsidRPr="00286216">
              <w:rPr>
                <w:color w:val="000000" w:themeColor="text1"/>
              </w:rPr>
              <w:t>б) організаційну структуру;</w:t>
            </w:r>
          </w:p>
        </w:tc>
      </w:tr>
      <w:tr w:rsidR="006507E8" w:rsidRPr="00286216" w14:paraId="651D3C04" w14:textId="77777777" w:rsidTr="00091AA5">
        <w:tc>
          <w:tcPr>
            <w:tcW w:w="576" w:type="dxa"/>
          </w:tcPr>
          <w:p w14:paraId="61B932AE" w14:textId="77777777" w:rsidR="006507E8" w:rsidRPr="00286216" w:rsidRDefault="006507E8" w:rsidP="006507E8">
            <w:pPr>
              <w:pStyle w:val="StyleWisnow"/>
              <w:rPr>
                <w:color w:val="000000" w:themeColor="text1"/>
              </w:rPr>
            </w:pPr>
            <w:bookmarkStart w:id="1167" w:name="n1432" w:colFirst="0" w:colLast="0"/>
            <w:bookmarkEnd w:id="1166"/>
            <w:r w:rsidRPr="00286216">
              <w:rPr>
                <w:color w:val="000000" w:themeColor="text1"/>
              </w:rPr>
              <w:t>1432.</w:t>
            </w:r>
          </w:p>
        </w:tc>
        <w:tc>
          <w:tcPr>
            <w:tcW w:w="4818" w:type="dxa"/>
          </w:tcPr>
          <w:p w14:paraId="18DA3300" w14:textId="77777777" w:rsidR="006507E8" w:rsidRPr="00286216" w:rsidRDefault="006507E8" w:rsidP="006507E8">
            <w:pPr>
              <w:pStyle w:val="StyleZakonu"/>
              <w:rPr>
                <w:color w:val="000000" w:themeColor="text1"/>
              </w:rPr>
            </w:pPr>
            <w:r w:rsidRPr="00286216">
              <w:rPr>
                <w:color w:val="000000" w:themeColor="text1"/>
              </w:rPr>
              <w:t>в) відомості про систему внутрішнього контролю (підсистеми комплаєнсу, управління ризиками та внутрішнього аудиту);</w:t>
            </w:r>
          </w:p>
        </w:tc>
        <w:tc>
          <w:tcPr>
            <w:tcW w:w="3686" w:type="dxa"/>
          </w:tcPr>
          <w:p w14:paraId="05E34F29" w14:textId="00ACF303"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878</w:t>
            </w:r>
            <w:r w:rsidRPr="00286216">
              <w:rPr>
                <w:color w:val="000000" w:themeColor="text1"/>
              </w:rPr>
              <w:fldChar w:fldCharType="end"/>
            </w:r>
            <w:r w:rsidRPr="00286216">
              <w:rPr>
                <w:color w:val="000000" w:themeColor="text1"/>
              </w:rPr>
              <w:t>-Н.д.Шахов С.В. (Реєстр.картка №114)</w:t>
            </w:r>
          </w:p>
          <w:p w14:paraId="7C60884B"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П.п. "в" п. 7 ч. 1 ст. 83 виключити.</w:t>
            </w:r>
          </w:p>
        </w:tc>
        <w:tc>
          <w:tcPr>
            <w:tcW w:w="1987" w:type="dxa"/>
          </w:tcPr>
          <w:p w14:paraId="1E59B27D"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72212805" w14:textId="28F51CA3" w:rsidR="006507E8" w:rsidRPr="00286216" w:rsidRDefault="006507E8" w:rsidP="006507E8">
            <w:pPr>
              <w:pStyle w:val="StyleWisnow"/>
              <w:spacing w:line="180" w:lineRule="exact"/>
              <w:rPr>
                <w:color w:val="000000" w:themeColor="text1"/>
              </w:rPr>
            </w:pPr>
            <w:r w:rsidRPr="00286216">
              <w:rPr>
                <w:color w:val="000000" w:themeColor="text1"/>
              </w:rPr>
              <w:t>суперечить регламенту 150/2013</w:t>
            </w:r>
          </w:p>
        </w:tc>
        <w:tc>
          <w:tcPr>
            <w:tcW w:w="4818" w:type="dxa"/>
          </w:tcPr>
          <w:p w14:paraId="7D093402" w14:textId="40FA6FBE" w:rsidR="006507E8" w:rsidRPr="00286216" w:rsidRDefault="006507E8" w:rsidP="006507E8">
            <w:pPr>
              <w:pStyle w:val="StyleZakonu"/>
              <w:rPr>
                <w:color w:val="000000" w:themeColor="text1"/>
              </w:rPr>
            </w:pPr>
            <w:r w:rsidRPr="00286216">
              <w:rPr>
                <w:color w:val="000000" w:themeColor="text1"/>
              </w:rPr>
              <w:t>в) систему внутрішнього контролю (підсистеми комплаєнсу, управління ризиками та внутрішнього аудиту);</w:t>
            </w:r>
          </w:p>
        </w:tc>
      </w:tr>
      <w:tr w:rsidR="006507E8" w:rsidRPr="00286216" w14:paraId="74980193" w14:textId="77777777" w:rsidTr="00091AA5">
        <w:tc>
          <w:tcPr>
            <w:tcW w:w="576" w:type="dxa"/>
          </w:tcPr>
          <w:p w14:paraId="2D945912" w14:textId="77777777" w:rsidR="006507E8" w:rsidRPr="00286216" w:rsidRDefault="006507E8" w:rsidP="006507E8">
            <w:pPr>
              <w:pStyle w:val="StyleWisnow"/>
              <w:rPr>
                <w:color w:val="000000" w:themeColor="text1"/>
              </w:rPr>
            </w:pPr>
            <w:bookmarkStart w:id="1168" w:name="n1433" w:colFirst="0" w:colLast="0"/>
            <w:bookmarkEnd w:id="1167"/>
            <w:r w:rsidRPr="00286216">
              <w:rPr>
                <w:color w:val="000000" w:themeColor="text1"/>
              </w:rPr>
              <w:t>1433.</w:t>
            </w:r>
          </w:p>
        </w:tc>
        <w:tc>
          <w:tcPr>
            <w:tcW w:w="4818" w:type="dxa"/>
          </w:tcPr>
          <w:p w14:paraId="2F29C56E" w14:textId="77777777" w:rsidR="006507E8" w:rsidRPr="00286216" w:rsidRDefault="006507E8" w:rsidP="006507E8">
            <w:pPr>
              <w:pStyle w:val="StyleZakonu"/>
              <w:rPr>
                <w:color w:val="000000" w:themeColor="text1"/>
              </w:rPr>
            </w:pPr>
            <w:r w:rsidRPr="00286216">
              <w:rPr>
                <w:color w:val="000000" w:themeColor="text1"/>
              </w:rPr>
              <w:t>г) інформацію щодо функцій, послуг та діяльності, що провадяться, чи планується провадити із залученням третіх осіб, а також про додаткові послуги, які провадяться чи планується провадити;</w:t>
            </w:r>
          </w:p>
        </w:tc>
        <w:tc>
          <w:tcPr>
            <w:tcW w:w="3686" w:type="dxa"/>
          </w:tcPr>
          <w:p w14:paraId="7087E825" w14:textId="64AE3D25"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879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8E1D5D2" w14:textId="77777777" w:rsidR="006507E8" w:rsidRPr="00286216" w:rsidRDefault="006507E8" w:rsidP="006507E8">
            <w:pPr>
              <w:pStyle w:val="StyleProp"/>
              <w:rPr>
                <w:color w:val="000000" w:themeColor="text1"/>
              </w:rPr>
            </w:pPr>
            <w:r w:rsidRPr="00286216">
              <w:rPr>
                <w:color w:val="000000" w:themeColor="text1"/>
              </w:rPr>
              <w:t>Підпункт «г» пункту 7 частини першої статті 83 викласти в такій редакції:</w:t>
            </w:r>
          </w:p>
          <w:p w14:paraId="7AD48EDC" w14:textId="77777777" w:rsidR="006507E8" w:rsidRPr="00286216" w:rsidRDefault="006507E8" w:rsidP="006507E8">
            <w:pPr>
              <w:pStyle w:val="StyleProp"/>
              <w:rPr>
                <w:color w:val="000000" w:themeColor="text1"/>
              </w:rPr>
            </w:pPr>
            <w:r w:rsidRPr="00286216">
              <w:rPr>
                <w:color w:val="000000" w:themeColor="text1"/>
              </w:rPr>
              <w:t>«г) щодо функцій, послуг та діяльності, що провадяться, чи планується провадити із використання аутсорсингу».</w:t>
            </w:r>
          </w:p>
          <w:p w14:paraId="47798941" w14:textId="5EEA104D"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880</w:t>
            </w:r>
            <w:r w:rsidRPr="00286216">
              <w:rPr>
                <w:color w:val="000000" w:themeColor="text1"/>
              </w:rPr>
              <w:fldChar w:fldCharType="end"/>
            </w:r>
            <w:r w:rsidRPr="00286216">
              <w:rPr>
                <w:color w:val="000000" w:themeColor="text1"/>
              </w:rPr>
              <w:t>-Н.д.Шахов С.В. (Реєстр.картка №114)</w:t>
            </w:r>
          </w:p>
          <w:p w14:paraId="1C935BDB"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П.п. "г" п. 7 ч. 1 ст. 83 виключити.</w:t>
            </w:r>
          </w:p>
        </w:tc>
        <w:tc>
          <w:tcPr>
            <w:tcW w:w="1987" w:type="dxa"/>
          </w:tcPr>
          <w:p w14:paraId="5C37A0D8" w14:textId="77777777" w:rsidR="006507E8" w:rsidRPr="00286216" w:rsidRDefault="006507E8" w:rsidP="006507E8">
            <w:pPr>
              <w:pStyle w:val="StyleWisnow"/>
              <w:rPr>
                <w:color w:val="000000" w:themeColor="text1"/>
              </w:rPr>
            </w:pPr>
            <w:r w:rsidRPr="00286216">
              <w:rPr>
                <w:color w:val="000000" w:themeColor="text1"/>
              </w:rPr>
              <w:t>Враховано</w:t>
            </w:r>
          </w:p>
          <w:p w14:paraId="5D2278D3" w14:textId="77777777" w:rsidR="006507E8" w:rsidRPr="00286216" w:rsidRDefault="006507E8" w:rsidP="006507E8">
            <w:pPr>
              <w:pStyle w:val="StyleWisnow"/>
              <w:rPr>
                <w:color w:val="000000" w:themeColor="text1"/>
              </w:rPr>
            </w:pPr>
          </w:p>
          <w:p w14:paraId="0E82283F" w14:textId="77777777" w:rsidR="006507E8" w:rsidRPr="00286216" w:rsidRDefault="006507E8" w:rsidP="006507E8">
            <w:pPr>
              <w:pStyle w:val="StyleWisnow"/>
              <w:rPr>
                <w:color w:val="000000" w:themeColor="text1"/>
              </w:rPr>
            </w:pPr>
          </w:p>
          <w:p w14:paraId="324EBA73" w14:textId="77777777" w:rsidR="006507E8" w:rsidRPr="00286216" w:rsidRDefault="006507E8" w:rsidP="006507E8">
            <w:pPr>
              <w:pStyle w:val="StyleWisnow"/>
              <w:rPr>
                <w:color w:val="000000" w:themeColor="text1"/>
              </w:rPr>
            </w:pPr>
          </w:p>
          <w:p w14:paraId="2111278A" w14:textId="77777777" w:rsidR="006507E8" w:rsidRPr="00286216" w:rsidRDefault="006507E8" w:rsidP="006507E8">
            <w:pPr>
              <w:pStyle w:val="StyleWisnow"/>
              <w:rPr>
                <w:color w:val="000000" w:themeColor="text1"/>
              </w:rPr>
            </w:pPr>
          </w:p>
          <w:p w14:paraId="2A269AFF"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614F584" w14:textId="7F6592AD" w:rsidR="006507E8" w:rsidRPr="00286216" w:rsidRDefault="006507E8" w:rsidP="006507E8">
            <w:pPr>
              <w:pStyle w:val="StyleWisnow"/>
              <w:spacing w:line="180" w:lineRule="exact"/>
              <w:rPr>
                <w:color w:val="000000" w:themeColor="text1"/>
              </w:rPr>
            </w:pPr>
            <w:r w:rsidRPr="00286216">
              <w:rPr>
                <w:color w:val="000000" w:themeColor="text1"/>
              </w:rPr>
              <w:t>суперечить регламенту 150/2013</w:t>
            </w:r>
          </w:p>
        </w:tc>
        <w:tc>
          <w:tcPr>
            <w:tcW w:w="4818" w:type="dxa"/>
          </w:tcPr>
          <w:p w14:paraId="0D1B8A5E" w14:textId="5507DFEC" w:rsidR="006507E8" w:rsidRPr="00286216" w:rsidRDefault="006507E8" w:rsidP="006507E8">
            <w:pPr>
              <w:pStyle w:val="StyleZakonu"/>
              <w:rPr>
                <w:color w:val="000000" w:themeColor="text1"/>
              </w:rPr>
            </w:pPr>
            <w:r w:rsidRPr="00286216" w:rsidDel="00B22C4F">
              <w:rPr>
                <w:color w:val="000000" w:themeColor="text1"/>
              </w:rPr>
              <w:t xml:space="preserve"> </w:t>
            </w:r>
            <w:r w:rsidRPr="00286216">
              <w:rPr>
                <w:color w:val="000000" w:themeColor="text1"/>
              </w:rPr>
              <w:t>г) щодо функцій, послуг та діяльності, що здійснюються, чи планується здійснювати з використанням аутсорсингу;</w:t>
            </w:r>
          </w:p>
        </w:tc>
      </w:tr>
      <w:tr w:rsidR="006507E8" w:rsidRPr="00286216" w14:paraId="186CB6F8" w14:textId="77777777" w:rsidTr="00091AA5">
        <w:tc>
          <w:tcPr>
            <w:tcW w:w="576" w:type="dxa"/>
          </w:tcPr>
          <w:p w14:paraId="068164E8" w14:textId="77777777" w:rsidR="006507E8" w:rsidRPr="00286216" w:rsidRDefault="006507E8" w:rsidP="006507E8">
            <w:pPr>
              <w:pStyle w:val="StyleWisnow"/>
              <w:rPr>
                <w:color w:val="000000" w:themeColor="text1"/>
              </w:rPr>
            </w:pPr>
            <w:bookmarkStart w:id="1169" w:name="n1434" w:colFirst="0" w:colLast="0"/>
            <w:bookmarkEnd w:id="1168"/>
            <w:r w:rsidRPr="00286216">
              <w:rPr>
                <w:color w:val="000000" w:themeColor="text1"/>
              </w:rPr>
              <w:t>1434.</w:t>
            </w:r>
          </w:p>
        </w:tc>
        <w:tc>
          <w:tcPr>
            <w:tcW w:w="4818" w:type="dxa"/>
          </w:tcPr>
          <w:p w14:paraId="2D08DF8A" w14:textId="77777777" w:rsidR="006507E8" w:rsidRPr="00286216" w:rsidRDefault="006507E8" w:rsidP="006507E8">
            <w:pPr>
              <w:pStyle w:val="StyleZakonu"/>
              <w:rPr>
                <w:color w:val="000000" w:themeColor="text1"/>
              </w:rPr>
            </w:pPr>
            <w:r w:rsidRPr="00286216">
              <w:rPr>
                <w:color w:val="000000" w:themeColor="text1"/>
              </w:rPr>
              <w:t>ґ) інформацію про наявність спеціалістів, обладнання, комп’ютерної техніки, програмного забезпечення та приміщень, необхідних для провадження професійної діяльності на ринках капіталу та організованих товарних ринках;</w:t>
            </w:r>
          </w:p>
        </w:tc>
        <w:tc>
          <w:tcPr>
            <w:tcW w:w="3686" w:type="dxa"/>
          </w:tcPr>
          <w:p w14:paraId="48748102" w14:textId="58C01CA9"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881</w:t>
            </w:r>
            <w:r w:rsidRPr="00286216">
              <w:rPr>
                <w:color w:val="000000" w:themeColor="text1"/>
              </w:rPr>
              <w:fldChar w:fldCharType="end"/>
            </w:r>
            <w:r w:rsidRPr="00286216">
              <w:rPr>
                <w:color w:val="000000" w:themeColor="text1"/>
              </w:rPr>
              <w:t>-Н.д.Шахов С.В. (Реєстр.картка №114)</w:t>
            </w:r>
          </w:p>
          <w:p w14:paraId="3885F554"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У п.п. "</w:t>
            </w:r>
            <w:r w:rsidRPr="00286216">
              <w:rPr>
                <w:color w:val="000000" w:themeColor="text1"/>
              </w:rPr>
              <w:t>ґ</w:t>
            </w:r>
            <w:r w:rsidRPr="00286216">
              <w:rPr>
                <w:color w:val="000000" w:themeColor="text1"/>
                <w:spacing w:val="-3"/>
              </w:rPr>
              <w:t>" п. 7 ч. 1 ст. 83 слова "та приміщень" і "</w:t>
            </w:r>
            <w:r w:rsidRPr="00286216">
              <w:rPr>
                <w:color w:val="000000" w:themeColor="text1"/>
              </w:rPr>
              <w:t>та організованих товарних ринках"</w:t>
            </w:r>
            <w:r w:rsidRPr="00286216">
              <w:rPr>
                <w:color w:val="000000" w:themeColor="text1"/>
                <w:spacing w:val="-3"/>
              </w:rPr>
              <w:t xml:space="preserve"> виключити.</w:t>
            </w:r>
          </w:p>
        </w:tc>
        <w:tc>
          <w:tcPr>
            <w:tcW w:w="1987" w:type="dxa"/>
          </w:tcPr>
          <w:p w14:paraId="06217BEC" w14:textId="77777777" w:rsidR="006507E8" w:rsidRPr="00286216" w:rsidRDefault="006507E8" w:rsidP="006507E8">
            <w:pPr>
              <w:pStyle w:val="StyleWisnow"/>
              <w:rPr>
                <w:color w:val="000000" w:themeColor="text1"/>
              </w:rPr>
            </w:pPr>
            <w:r w:rsidRPr="00286216">
              <w:rPr>
                <w:color w:val="000000" w:themeColor="text1"/>
              </w:rPr>
              <w:t>Відхилено</w:t>
            </w:r>
          </w:p>
          <w:p w14:paraId="4D9BCF7F" w14:textId="77777777" w:rsidR="006507E8" w:rsidRPr="00286216" w:rsidRDefault="006507E8" w:rsidP="006507E8">
            <w:pPr>
              <w:pStyle w:val="StyleWisnow"/>
              <w:rPr>
                <w:color w:val="000000" w:themeColor="text1"/>
              </w:rPr>
            </w:pPr>
            <w:r w:rsidRPr="00286216">
              <w:rPr>
                <w:color w:val="000000" w:themeColor="text1"/>
              </w:rPr>
              <w:t>Суперечить регламенту 150/2013</w:t>
            </w:r>
          </w:p>
        </w:tc>
        <w:tc>
          <w:tcPr>
            <w:tcW w:w="4818" w:type="dxa"/>
          </w:tcPr>
          <w:p w14:paraId="6D740EE7" w14:textId="185FA28B" w:rsidR="006507E8" w:rsidRPr="00286216" w:rsidRDefault="006507E8" w:rsidP="006507E8">
            <w:pPr>
              <w:pStyle w:val="StyleZakonu"/>
              <w:rPr>
                <w:color w:val="000000" w:themeColor="text1"/>
              </w:rPr>
            </w:pPr>
            <w:r w:rsidRPr="00286216">
              <w:rPr>
                <w:color w:val="000000" w:themeColor="text1"/>
              </w:rPr>
              <w:t>ґ) про наявність спеціалістів, обладнання, комп’ютерної техніки, програмного забезпечення та приміщень, необхідних для провадження професійної діяльності на ринках капіталу та організованих товарних ринках;</w:t>
            </w:r>
          </w:p>
        </w:tc>
      </w:tr>
      <w:tr w:rsidR="006507E8" w:rsidRPr="00286216" w14:paraId="0C58F02F" w14:textId="77777777" w:rsidTr="00091AA5">
        <w:tc>
          <w:tcPr>
            <w:tcW w:w="576" w:type="dxa"/>
          </w:tcPr>
          <w:p w14:paraId="1DB41619" w14:textId="77777777" w:rsidR="006507E8" w:rsidRPr="00286216" w:rsidRDefault="006507E8" w:rsidP="006507E8">
            <w:pPr>
              <w:pStyle w:val="StyleWisnow"/>
              <w:rPr>
                <w:color w:val="000000" w:themeColor="text1"/>
              </w:rPr>
            </w:pPr>
            <w:bookmarkStart w:id="1170" w:name="n1435" w:colFirst="0" w:colLast="0"/>
            <w:bookmarkEnd w:id="1169"/>
            <w:r w:rsidRPr="00286216">
              <w:rPr>
                <w:color w:val="000000" w:themeColor="text1"/>
              </w:rPr>
              <w:t>1435.</w:t>
            </w:r>
          </w:p>
        </w:tc>
        <w:tc>
          <w:tcPr>
            <w:tcW w:w="4818" w:type="dxa"/>
          </w:tcPr>
          <w:p w14:paraId="20C073EF" w14:textId="77777777" w:rsidR="006507E8" w:rsidRPr="00286216" w:rsidRDefault="006507E8" w:rsidP="006507E8">
            <w:pPr>
              <w:pStyle w:val="StyleZakonu"/>
              <w:rPr>
                <w:color w:val="000000" w:themeColor="text1"/>
              </w:rPr>
            </w:pPr>
            <w:r w:rsidRPr="00286216">
              <w:rPr>
                <w:color w:val="000000" w:themeColor="text1"/>
              </w:rPr>
              <w:t>8) внутрішні документи щодо провадження діяльності торгового репозиторію:</w:t>
            </w:r>
          </w:p>
        </w:tc>
        <w:tc>
          <w:tcPr>
            <w:tcW w:w="3686" w:type="dxa"/>
          </w:tcPr>
          <w:p w14:paraId="122C49CE" w14:textId="0AD09CB6"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882</w:t>
            </w:r>
            <w:r w:rsidRPr="00286216">
              <w:rPr>
                <w:color w:val="000000" w:themeColor="text1"/>
                <w:spacing w:val="-4"/>
              </w:rPr>
              <w:fldChar w:fldCharType="end"/>
            </w:r>
            <w:r w:rsidRPr="00286216">
              <w:rPr>
                <w:color w:val="000000" w:themeColor="text1"/>
                <w:spacing w:val="-4"/>
              </w:rPr>
              <w:t>-Н.д.Бєлькова О.В. (Реєстр.картка №403)</w:t>
            </w:r>
          </w:p>
          <w:p w14:paraId="48181D3B" w14:textId="77777777" w:rsidR="006507E8" w:rsidRPr="00286216" w:rsidRDefault="006507E8" w:rsidP="006507E8">
            <w:pPr>
              <w:pStyle w:val="StyleProp"/>
              <w:rPr>
                <w:color w:val="000000" w:themeColor="text1"/>
                <w:szCs w:val="18"/>
              </w:rPr>
            </w:pPr>
            <w:r w:rsidRPr="00286216">
              <w:rPr>
                <w:color w:val="000000" w:themeColor="text1"/>
              </w:rPr>
              <w:t>Пункт 8 частини першої статті 83 доповнити словом «зокрема».</w:t>
            </w:r>
          </w:p>
        </w:tc>
        <w:tc>
          <w:tcPr>
            <w:tcW w:w="1987" w:type="dxa"/>
          </w:tcPr>
          <w:p w14:paraId="60263F84"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365F980D" w14:textId="0B84E5DB" w:rsidR="006507E8" w:rsidRPr="00286216" w:rsidRDefault="006507E8" w:rsidP="006507E8">
            <w:pPr>
              <w:pStyle w:val="StyleZakonu"/>
              <w:rPr>
                <w:color w:val="000000" w:themeColor="text1"/>
              </w:rPr>
            </w:pPr>
            <w:r w:rsidRPr="00286216">
              <w:rPr>
                <w:color w:val="000000" w:themeColor="text1"/>
              </w:rPr>
              <w:t>8) внутрішні документи щодо провадження діяльності торгового репозиторію, зокрема:</w:t>
            </w:r>
          </w:p>
        </w:tc>
      </w:tr>
      <w:tr w:rsidR="006507E8" w:rsidRPr="00286216" w14:paraId="0CFD504D" w14:textId="77777777" w:rsidTr="00091AA5">
        <w:tc>
          <w:tcPr>
            <w:tcW w:w="576" w:type="dxa"/>
          </w:tcPr>
          <w:p w14:paraId="4B02FD29" w14:textId="77777777" w:rsidR="006507E8" w:rsidRPr="00286216" w:rsidRDefault="006507E8" w:rsidP="006507E8">
            <w:pPr>
              <w:pStyle w:val="StyleWisnow"/>
              <w:rPr>
                <w:color w:val="000000" w:themeColor="text1"/>
              </w:rPr>
            </w:pPr>
            <w:bookmarkStart w:id="1171" w:name="n1436" w:colFirst="0" w:colLast="0"/>
            <w:bookmarkEnd w:id="1170"/>
            <w:r w:rsidRPr="00286216">
              <w:rPr>
                <w:color w:val="000000" w:themeColor="text1"/>
              </w:rPr>
              <w:t>1436.</w:t>
            </w:r>
          </w:p>
        </w:tc>
        <w:tc>
          <w:tcPr>
            <w:tcW w:w="4818" w:type="dxa"/>
          </w:tcPr>
          <w:p w14:paraId="4CB6EFAD" w14:textId="77777777" w:rsidR="006507E8" w:rsidRPr="00286216" w:rsidRDefault="006507E8" w:rsidP="006507E8">
            <w:pPr>
              <w:pStyle w:val="StyleZakonu"/>
              <w:rPr>
                <w:color w:val="000000" w:themeColor="text1"/>
              </w:rPr>
            </w:pPr>
            <w:r w:rsidRPr="00286216">
              <w:rPr>
                <w:color w:val="000000" w:themeColor="text1"/>
              </w:rPr>
              <w:t>а) внутрішні правила та інформацію про створення та забезпечення функціонування механізму виявлення, запобігання та усунення конфліктів інтересів;</w:t>
            </w:r>
          </w:p>
        </w:tc>
        <w:tc>
          <w:tcPr>
            <w:tcW w:w="3686" w:type="dxa"/>
          </w:tcPr>
          <w:p w14:paraId="21159B43" w14:textId="77777777" w:rsidR="006507E8" w:rsidRPr="00286216" w:rsidRDefault="006507E8" w:rsidP="006507E8">
            <w:pPr>
              <w:pStyle w:val="StyleProp"/>
              <w:rPr>
                <w:color w:val="000000" w:themeColor="text1"/>
                <w:szCs w:val="18"/>
              </w:rPr>
            </w:pPr>
          </w:p>
        </w:tc>
        <w:tc>
          <w:tcPr>
            <w:tcW w:w="1987" w:type="dxa"/>
          </w:tcPr>
          <w:p w14:paraId="54F223E4" w14:textId="77777777" w:rsidR="006507E8" w:rsidRPr="00286216" w:rsidRDefault="006507E8" w:rsidP="006507E8">
            <w:pPr>
              <w:pStyle w:val="StyleWisnow"/>
              <w:rPr>
                <w:color w:val="000000" w:themeColor="text1"/>
              </w:rPr>
            </w:pPr>
          </w:p>
        </w:tc>
        <w:tc>
          <w:tcPr>
            <w:tcW w:w="4818" w:type="dxa"/>
          </w:tcPr>
          <w:p w14:paraId="6857D7C3" w14:textId="430B62EB" w:rsidR="006507E8" w:rsidRPr="00286216" w:rsidRDefault="006507E8" w:rsidP="006507E8">
            <w:pPr>
              <w:pStyle w:val="StyleZakonu"/>
              <w:rPr>
                <w:color w:val="000000" w:themeColor="text1"/>
              </w:rPr>
            </w:pPr>
            <w:r w:rsidRPr="00286216">
              <w:rPr>
                <w:color w:val="000000" w:themeColor="text1"/>
              </w:rPr>
              <w:t>а) внутрішні правила та інформацію про створення і забезпечення функціонування механізму виявлення, запобігання та усунення конфліктів інтересів;</w:t>
            </w:r>
          </w:p>
        </w:tc>
      </w:tr>
      <w:tr w:rsidR="006507E8" w:rsidRPr="00286216" w14:paraId="1A155FD8" w14:textId="77777777" w:rsidTr="00091AA5">
        <w:tc>
          <w:tcPr>
            <w:tcW w:w="576" w:type="dxa"/>
          </w:tcPr>
          <w:p w14:paraId="6CFE4222" w14:textId="77777777" w:rsidR="006507E8" w:rsidRPr="00286216" w:rsidRDefault="006507E8" w:rsidP="006507E8">
            <w:pPr>
              <w:pStyle w:val="StyleWisnow"/>
              <w:rPr>
                <w:color w:val="000000" w:themeColor="text1"/>
              </w:rPr>
            </w:pPr>
            <w:bookmarkStart w:id="1172" w:name="n1437" w:colFirst="0" w:colLast="0"/>
            <w:bookmarkEnd w:id="1171"/>
            <w:r w:rsidRPr="00286216">
              <w:rPr>
                <w:color w:val="000000" w:themeColor="text1"/>
              </w:rPr>
              <w:t>1437.</w:t>
            </w:r>
          </w:p>
        </w:tc>
        <w:tc>
          <w:tcPr>
            <w:tcW w:w="4818" w:type="dxa"/>
          </w:tcPr>
          <w:p w14:paraId="713BF9FA" w14:textId="77777777" w:rsidR="006507E8" w:rsidRPr="00286216" w:rsidRDefault="006507E8" w:rsidP="006507E8">
            <w:pPr>
              <w:pStyle w:val="StyleZakonu"/>
              <w:rPr>
                <w:color w:val="000000" w:themeColor="text1"/>
              </w:rPr>
            </w:pPr>
            <w:r w:rsidRPr="00286216">
              <w:rPr>
                <w:color w:val="000000" w:themeColor="text1"/>
              </w:rPr>
              <w:t>б) інформацію про порядок подачі інформації до торгового репозиторію, оприлюднення та доступу до інформації, яка міститься в базі даних торгового репозиторію;</w:t>
            </w:r>
          </w:p>
        </w:tc>
        <w:tc>
          <w:tcPr>
            <w:tcW w:w="3686" w:type="dxa"/>
          </w:tcPr>
          <w:p w14:paraId="24F1CDC1" w14:textId="77777777" w:rsidR="006507E8" w:rsidRPr="00286216" w:rsidRDefault="006507E8" w:rsidP="006507E8">
            <w:pPr>
              <w:pStyle w:val="StyleProp"/>
              <w:rPr>
                <w:color w:val="000000" w:themeColor="text1"/>
                <w:szCs w:val="18"/>
              </w:rPr>
            </w:pPr>
          </w:p>
        </w:tc>
        <w:tc>
          <w:tcPr>
            <w:tcW w:w="1987" w:type="dxa"/>
          </w:tcPr>
          <w:p w14:paraId="6B6F282C" w14:textId="77777777" w:rsidR="006507E8" w:rsidRPr="00286216" w:rsidRDefault="006507E8" w:rsidP="006507E8">
            <w:pPr>
              <w:pStyle w:val="StyleWisnow"/>
              <w:rPr>
                <w:color w:val="000000" w:themeColor="text1"/>
              </w:rPr>
            </w:pPr>
          </w:p>
        </w:tc>
        <w:tc>
          <w:tcPr>
            <w:tcW w:w="4818" w:type="dxa"/>
          </w:tcPr>
          <w:p w14:paraId="22650FA1" w14:textId="49B0ED64" w:rsidR="006507E8" w:rsidRPr="00286216" w:rsidRDefault="006507E8" w:rsidP="006507E8">
            <w:pPr>
              <w:pStyle w:val="StyleZakonu"/>
              <w:rPr>
                <w:color w:val="000000" w:themeColor="text1"/>
              </w:rPr>
            </w:pPr>
            <w:r w:rsidRPr="00286216">
              <w:rPr>
                <w:color w:val="000000" w:themeColor="text1"/>
              </w:rPr>
              <w:t>б) інформацію про порядок подання інформації до торгового репозиторію, оприлюднення та доступу до інформації, яка міститься в базі даних торгового репозиторію;</w:t>
            </w:r>
          </w:p>
        </w:tc>
      </w:tr>
      <w:tr w:rsidR="006507E8" w:rsidRPr="00286216" w14:paraId="76A8B283" w14:textId="77777777" w:rsidTr="00091AA5">
        <w:tc>
          <w:tcPr>
            <w:tcW w:w="576" w:type="dxa"/>
          </w:tcPr>
          <w:p w14:paraId="410A9877" w14:textId="77777777" w:rsidR="006507E8" w:rsidRPr="00286216" w:rsidRDefault="006507E8" w:rsidP="006507E8">
            <w:pPr>
              <w:pStyle w:val="StyleWisnow"/>
              <w:rPr>
                <w:color w:val="000000" w:themeColor="text1"/>
              </w:rPr>
            </w:pPr>
            <w:bookmarkStart w:id="1173" w:name="n1438" w:colFirst="0" w:colLast="0"/>
            <w:bookmarkEnd w:id="1172"/>
            <w:r w:rsidRPr="00286216">
              <w:rPr>
                <w:color w:val="000000" w:themeColor="text1"/>
              </w:rPr>
              <w:lastRenderedPageBreak/>
              <w:t>1438.</w:t>
            </w:r>
          </w:p>
        </w:tc>
        <w:tc>
          <w:tcPr>
            <w:tcW w:w="4818" w:type="dxa"/>
          </w:tcPr>
          <w:p w14:paraId="4E87F382" w14:textId="77777777" w:rsidR="006507E8" w:rsidRPr="00286216" w:rsidRDefault="006507E8" w:rsidP="006507E8">
            <w:pPr>
              <w:pStyle w:val="StyleZakonu"/>
              <w:rPr>
                <w:color w:val="000000" w:themeColor="text1"/>
              </w:rPr>
            </w:pPr>
            <w:r w:rsidRPr="00286216">
              <w:rPr>
                <w:color w:val="000000" w:themeColor="text1"/>
              </w:rPr>
              <w:t>в) інформацію про тарифи торгового репозиторію;</w:t>
            </w:r>
          </w:p>
        </w:tc>
        <w:tc>
          <w:tcPr>
            <w:tcW w:w="3686" w:type="dxa"/>
          </w:tcPr>
          <w:p w14:paraId="509599BE" w14:textId="4FB4A5F0"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883</w:t>
            </w:r>
            <w:r w:rsidRPr="00286216">
              <w:rPr>
                <w:color w:val="000000" w:themeColor="text1"/>
              </w:rPr>
              <w:fldChar w:fldCharType="end"/>
            </w:r>
            <w:r w:rsidRPr="00286216">
              <w:rPr>
                <w:color w:val="000000" w:themeColor="text1"/>
              </w:rPr>
              <w:t>-Н.д.Шахов С.В. (Реєстр.картка №114)</w:t>
            </w:r>
          </w:p>
          <w:p w14:paraId="1637EDDC"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П.п. "в" п. 8 ч. 1 ст. 83 виключити.</w:t>
            </w:r>
          </w:p>
        </w:tc>
        <w:tc>
          <w:tcPr>
            <w:tcW w:w="1987" w:type="dxa"/>
          </w:tcPr>
          <w:p w14:paraId="7AACD09C" w14:textId="77777777" w:rsidR="006507E8" w:rsidRPr="00286216" w:rsidRDefault="006507E8" w:rsidP="006507E8">
            <w:pPr>
              <w:pStyle w:val="StyleWisnow"/>
              <w:rPr>
                <w:color w:val="000000" w:themeColor="text1"/>
              </w:rPr>
            </w:pPr>
            <w:r w:rsidRPr="00286216">
              <w:rPr>
                <w:color w:val="000000" w:themeColor="text1"/>
              </w:rPr>
              <w:t>Відхилено</w:t>
            </w:r>
          </w:p>
          <w:p w14:paraId="52CBD9A5" w14:textId="0866347F" w:rsidR="006507E8" w:rsidRPr="00286216" w:rsidRDefault="006507E8" w:rsidP="006507E8">
            <w:pPr>
              <w:pStyle w:val="StyleWisnow"/>
              <w:rPr>
                <w:color w:val="000000" w:themeColor="text1"/>
              </w:rPr>
            </w:pPr>
          </w:p>
        </w:tc>
        <w:tc>
          <w:tcPr>
            <w:tcW w:w="4818" w:type="dxa"/>
          </w:tcPr>
          <w:p w14:paraId="71697B36" w14:textId="61CBEDD4" w:rsidR="006507E8" w:rsidRPr="00286216" w:rsidRDefault="006507E8" w:rsidP="006507E8">
            <w:pPr>
              <w:pStyle w:val="StyleZakonu"/>
              <w:rPr>
                <w:color w:val="000000" w:themeColor="text1"/>
              </w:rPr>
            </w:pPr>
            <w:r w:rsidRPr="00286216">
              <w:rPr>
                <w:color w:val="000000" w:themeColor="text1"/>
              </w:rPr>
              <w:t>в) інформацію про тарифи торгового репозиторію;</w:t>
            </w:r>
          </w:p>
        </w:tc>
      </w:tr>
      <w:tr w:rsidR="006507E8" w:rsidRPr="00286216" w14:paraId="429C8044" w14:textId="77777777" w:rsidTr="00091AA5">
        <w:tc>
          <w:tcPr>
            <w:tcW w:w="576" w:type="dxa"/>
          </w:tcPr>
          <w:p w14:paraId="40D53B02" w14:textId="77777777" w:rsidR="006507E8" w:rsidRPr="00286216" w:rsidRDefault="006507E8" w:rsidP="006507E8">
            <w:pPr>
              <w:pStyle w:val="StyleWisnow"/>
              <w:rPr>
                <w:color w:val="000000" w:themeColor="text1"/>
              </w:rPr>
            </w:pPr>
            <w:bookmarkStart w:id="1174" w:name="n1439" w:colFirst="0" w:colLast="0"/>
            <w:bookmarkEnd w:id="1173"/>
            <w:r w:rsidRPr="00286216">
              <w:rPr>
                <w:color w:val="000000" w:themeColor="text1"/>
              </w:rPr>
              <w:t>1439.</w:t>
            </w:r>
          </w:p>
        </w:tc>
        <w:tc>
          <w:tcPr>
            <w:tcW w:w="4818" w:type="dxa"/>
          </w:tcPr>
          <w:p w14:paraId="4F459976" w14:textId="77777777" w:rsidR="006507E8" w:rsidRPr="00286216" w:rsidRDefault="006507E8" w:rsidP="006507E8">
            <w:pPr>
              <w:pStyle w:val="StyleZakonu"/>
              <w:rPr>
                <w:color w:val="000000" w:themeColor="text1"/>
              </w:rPr>
            </w:pPr>
            <w:r w:rsidRPr="00286216">
              <w:rPr>
                <w:color w:val="000000" w:themeColor="text1"/>
              </w:rPr>
              <w:t>г) внутрішні правила та інформацію про відповідні засоби гарантування безпеки інформації, її передачі, мінімізації ризиків виникнення загрози цілісності, конфіденційності, доступності інформації;</w:t>
            </w:r>
          </w:p>
        </w:tc>
        <w:tc>
          <w:tcPr>
            <w:tcW w:w="3686" w:type="dxa"/>
          </w:tcPr>
          <w:p w14:paraId="3C1D26A0" w14:textId="77777777" w:rsidR="006507E8" w:rsidRPr="00286216" w:rsidRDefault="006507E8" w:rsidP="006507E8">
            <w:pPr>
              <w:pStyle w:val="StyleProp"/>
              <w:rPr>
                <w:color w:val="000000" w:themeColor="text1"/>
                <w:szCs w:val="18"/>
              </w:rPr>
            </w:pPr>
          </w:p>
        </w:tc>
        <w:tc>
          <w:tcPr>
            <w:tcW w:w="1987" w:type="dxa"/>
          </w:tcPr>
          <w:p w14:paraId="455F8B09" w14:textId="77777777" w:rsidR="006507E8" w:rsidRPr="00286216" w:rsidRDefault="006507E8" w:rsidP="006507E8">
            <w:pPr>
              <w:pStyle w:val="StyleWisnow"/>
              <w:rPr>
                <w:color w:val="000000" w:themeColor="text1"/>
              </w:rPr>
            </w:pPr>
          </w:p>
        </w:tc>
        <w:tc>
          <w:tcPr>
            <w:tcW w:w="4818" w:type="dxa"/>
          </w:tcPr>
          <w:p w14:paraId="7D65B9F9" w14:textId="47067A89" w:rsidR="006507E8" w:rsidRPr="00286216" w:rsidRDefault="006507E8" w:rsidP="006507E8">
            <w:pPr>
              <w:pStyle w:val="StyleZakonu"/>
              <w:rPr>
                <w:color w:val="000000" w:themeColor="text1"/>
              </w:rPr>
            </w:pPr>
            <w:r w:rsidRPr="00286216">
              <w:rPr>
                <w:color w:val="000000" w:themeColor="text1"/>
              </w:rPr>
              <w:t>г) внутрішні правила та інформацію про відповідні засоби гарантування безпеки інформації, її передачі, мінімізації ризиків виникнення загрози цілісності, конфіденційності, доступності інформації;</w:t>
            </w:r>
          </w:p>
        </w:tc>
      </w:tr>
      <w:tr w:rsidR="006507E8" w:rsidRPr="00286216" w14:paraId="2112B488" w14:textId="77777777" w:rsidTr="00091AA5">
        <w:tc>
          <w:tcPr>
            <w:tcW w:w="576" w:type="dxa"/>
          </w:tcPr>
          <w:p w14:paraId="08F17F75" w14:textId="77777777" w:rsidR="006507E8" w:rsidRPr="00286216" w:rsidRDefault="006507E8" w:rsidP="006507E8">
            <w:pPr>
              <w:pStyle w:val="StyleWisnow"/>
              <w:rPr>
                <w:color w:val="000000" w:themeColor="text1"/>
              </w:rPr>
            </w:pPr>
            <w:bookmarkStart w:id="1175" w:name="n1440" w:colFirst="0" w:colLast="0"/>
            <w:bookmarkEnd w:id="1174"/>
            <w:r w:rsidRPr="00286216">
              <w:rPr>
                <w:color w:val="000000" w:themeColor="text1"/>
              </w:rPr>
              <w:t>1440.</w:t>
            </w:r>
          </w:p>
        </w:tc>
        <w:tc>
          <w:tcPr>
            <w:tcW w:w="4818" w:type="dxa"/>
          </w:tcPr>
          <w:p w14:paraId="33B35B4F" w14:textId="77777777" w:rsidR="006507E8" w:rsidRPr="00286216" w:rsidRDefault="006507E8" w:rsidP="006507E8">
            <w:pPr>
              <w:pStyle w:val="StyleZakonu"/>
              <w:rPr>
                <w:color w:val="000000" w:themeColor="text1"/>
              </w:rPr>
            </w:pPr>
            <w:r w:rsidRPr="00286216">
              <w:rPr>
                <w:color w:val="000000" w:themeColor="text1"/>
              </w:rPr>
              <w:t>ґ) внутрішні правила та інформацію про процедури фіксації взаємодії з клієнтами (представниками клієнтів) та іншими учасниками ринків капіталу;</w:t>
            </w:r>
          </w:p>
        </w:tc>
        <w:tc>
          <w:tcPr>
            <w:tcW w:w="3686" w:type="dxa"/>
          </w:tcPr>
          <w:p w14:paraId="02C2BB32" w14:textId="77777777" w:rsidR="006507E8" w:rsidRPr="00286216" w:rsidRDefault="006507E8" w:rsidP="006507E8">
            <w:pPr>
              <w:pStyle w:val="StyleProp"/>
              <w:rPr>
                <w:color w:val="000000" w:themeColor="text1"/>
                <w:szCs w:val="18"/>
              </w:rPr>
            </w:pPr>
          </w:p>
        </w:tc>
        <w:tc>
          <w:tcPr>
            <w:tcW w:w="1987" w:type="dxa"/>
          </w:tcPr>
          <w:p w14:paraId="03942A4F" w14:textId="77777777" w:rsidR="006507E8" w:rsidRPr="00286216" w:rsidRDefault="006507E8" w:rsidP="006507E8">
            <w:pPr>
              <w:pStyle w:val="StyleWisnow"/>
              <w:rPr>
                <w:color w:val="000000" w:themeColor="text1"/>
              </w:rPr>
            </w:pPr>
          </w:p>
        </w:tc>
        <w:tc>
          <w:tcPr>
            <w:tcW w:w="4818" w:type="dxa"/>
          </w:tcPr>
          <w:p w14:paraId="6627D491" w14:textId="7EC662D6" w:rsidR="006507E8" w:rsidRPr="00286216" w:rsidRDefault="006507E8" w:rsidP="006507E8">
            <w:pPr>
              <w:pStyle w:val="StyleZakonu"/>
              <w:rPr>
                <w:color w:val="000000" w:themeColor="text1"/>
              </w:rPr>
            </w:pPr>
            <w:r w:rsidRPr="00286216">
              <w:rPr>
                <w:color w:val="000000" w:themeColor="text1"/>
              </w:rPr>
              <w:t>ґ) внутрішні правила та інформацію про процедури фіксування взаємодії з клієнтами (представниками клієнтів) та іншими учасниками ринків капіталу;</w:t>
            </w:r>
          </w:p>
        </w:tc>
      </w:tr>
      <w:tr w:rsidR="006507E8" w:rsidRPr="00286216" w14:paraId="5177C993" w14:textId="77777777" w:rsidTr="00091AA5">
        <w:tc>
          <w:tcPr>
            <w:tcW w:w="576" w:type="dxa"/>
          </w:tcPr>
          <w:p w14:paraId="65A4853E" w14:textId="77777777" w:rsidR="006507E8" w:rsidRPr="00286216" w:rsidRDefault="006507E8" w:rsidP="006507E8">
            <w:pPr>
              <w:pStyle w:val="StyleWisnow"/>
              <w:rPr>
                <w:color w:val="000000" w:themeColor="text1"/>
              </w:rPr>
            </w:pPr>
            <w:bookmarkStart w:id="1176" w:name="n1441" w:colFirst="0" w:colLast="0"/>
            <w:bookmarkEnd w:id="1175"/>
            <w:r w:rsidRPr="00286216">
              <w:rPr>
                <w:color w:val="000000" w:themeColor="text1"/>
              </w:rPr>
              <w:t>1441.</w:t>
            </w:r>
          </w:p>
        </w:tc>
        <w:tc>
          <w:tcPr>
            <w:tcW w:w="4818" w:type="dxa"/>
          </w:tcPr>
          <w:p w14:paraId="7398926F" w14:textId="77777777" w:rsidR="006507E8" w:rsidRPr="00286216" w:rsidRDefault="006507E8" w:rsidP="006507E8">
            <w:pPr>
              <w:pStyle w:val="StyleZakonu"/>
              <w:rPr>
                <w:color w:val="000000" w:themeColor="text1"/>
              </w:rPr>
            </w:pPr>
            <w:r w:rsidRPr="00286216">
              <w:rPr>
                <w:color w:val="000000" w:themeColor="text1"/>
              </w:rPr>
              <w:t>9) інформацію про систему та засоби, які забезпечують безперервність, постійність надання послуг;</w:t>
            </w:r>
          </w:p>
        </w:tc>
        <w:tc>
          <w:tcPr>
            <w:tcW w:w="3686" w:type="dxa"/>
          </w:tcPr>
          <w:p w14:paraId="3F369047" w14:textId="77777777" w:rsidR="006507E8" w:rsidRPr="00286216" w:rsidRDefault="006507E8" w:rsidP="006507E8">
            <w:pPr>
              <w:pStyle w:val="StyleProp"/>
              <w:rPr>
                <w:color w:val="000000" w:themeColor="text1"/>
                <w:szCs w:val="18"/>
              </w:rPr>
            </w:pPr>
          </w:p>
        </w:tc>
        <w:tc>
          <w:tcPr>
            <w:tcW w:w="1987" w:type="dxa"/>
          </w:tcPr>
          <w:p w14:paraId="2B49D99F" w14:textId="77777777" w:rsidR="006507E8" w:rsidRPr="00286216" w:rsidRDefault="006507E8" w:rsidP="006507E8">
            <w:pPr>
              <w:pStyle w:val="StyleWisnow"/>
              <w:rPr>
                <w:color w:val="000000" w:themeColor="text1"/>
              </w:rPr>
            </w:pPr>
          </w:p>
        </w:tc>
        <w:tc>
          <w:tcPr>
            <w:tcW w:w="4818" w:type="dxa"/>
          </w:tcPr>
          <w:p w14:paraId="4B2E7CD5" w14:textId="4AE82101" w:rsidR="006507E8" w:rsidRPr="00286216" w:rsidRDefault="006507E8" w:rsidP="006507E8">
            <w:pPr>
              <w:pStyle w:val="StyleZakonu"/>
              <w:rPr>
                <w:color w:val="000000" w:themeColor="text1"/>
              </w:rPr>
            </w:pPr>
            <w:r w:rsidRPr="00286216">
              <w:rPr>
                <w:color w:val="000000" w:themeColor="text1"/>
              </w:rPr>
              <w:t xml:space="preserve">9) інформацію про систему та засоби, що забезпечують безперервність, постійність надання послуг. </w:t>
            </w:r>
          </w:p>
        </w:tc>
      </w:tr>
      <w:tr w:rsidR="006507E8" w:rsidRPr="00286216" w14:paraId="166D9131" w14:textId="77777777" w:rsidTr="00091AA5">
        <w:tc>
          <w:tcPr>
            <w:tcW w:w="576" w:type="dxa"/>
          </w:tcPr>
          <w:p w14:paraId="7B7CF034" w14:textId="77777777" w:rsidR="006507E8" w:rsidRPr="00286216" w:rsidRDefault="006507E8" w:rsidP="006507E8">
            <w:pPr>
              <w:pStyle w:val="StyleWisnow"/>
              <w:rPr>
                <w:color w:val="000000" w:themeColor="text1"/>
              </w:rPr>
            </w:pPr>
            <w:bookmarkStart w:id="1177" w:name="n1442" w:colFirst="0" w:colLast="0"/>
            <w:bookmarkEnd w:id="1176"/>
            <w:r w:rsidRPr="00286216">
              <w:rPr>
                <w:color w:val="000000" w:themeColor="text1"/>
              </w:rPr>
              <w:t>1442.</w:t>
            </w:r>
          </w:p>
        </w:tc>
        <w:tc>
          <w:tcPr>
            <w:tcW w:w="4818" w:type="dxa"/>
          </w:tcPr>
          <w:p w14:paraId="0317F900" w14:textId="77777777" w:rsidR="006507E8" w:rsidRPr="00286216" w:rsidRDefault="006507E8" w:rsidP="006507E8">
            <w:pPr>
              <w:pStyle w:val="StyleZakonu"/>
              <w:rPr>
                <w:color w:val="000000" w:themeColor="text1"/>
              </w:rPr>
            </w:pPr>
            <w:r w:rsidRPr="00286216">
              <w:rPr>
                <w:color w:val="000000" w:themeColor="text1"/>
              </w:rPr>
              <w:t>10) інші документи, встановлені Національною комісією з цінних паперів та фондового ринку.</w:t>
            </w:r>
          </w:p>
        </w:tc>
        <w:tc>
          <w:tcPr>
            <w:tcW w:w="3686" w:type="dxa"/>
          </w:tcPr>
          <w:p w14:paraId="49B81D16" w14:textId="492E5D93"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884</w:t>
            </w:r>
            <w:r w:rsidRPr="00286216">
              <w:rPr>
                <w:color w:val="000000" w:themeColor="text1"/>
                <w:spacing w:val="-10"/>
              </w:rPr>
              <w:fldChar w:fldCharType="end"/>
            </w:r>
            <w:r w:rsidRPr="00286216">
              <w:rPr>
                <w:color w:val="000000" w:themeColor="text1"/>
                <w:spacing w:val="-10"/>
              </w:rPr>
              <w:t>-Н.д.Гетманцев Д.О.(Реєстр.картка №245)</w:t>
            </w:r>
          </w:p>
          <w:p w14:paraId="3740B5A7" w14:textId="77777777" w:rsidR="006507E8" w:rsidRPr="00286216" w:rsidRDefault="006507E8" w:rsidP="006507E8">
            <w:pPr>
              <w:pStyle w:val="StyleProp"/>
              <w:rPr>
                <w:color w:val="000000" w:themeColor="text1"/>
              </w:rPr>
            </w:pPr>
            <w:r w:rsidRPr="00286216">
              <w:rPr>
                <w:color w:val="000000" w:themeColor="text1"/>
              </w:rPr>
              <w:t>У статті 84 пункт 10 виключити.</w:t>
            </w:r>
          </w:p>
          <w:p w14:paraId="48859E49" w14:textId="3834D2D1"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885</w:t>
            </w:r>
            <w:r w:rsidRPr="00286216">
              <w:rPr>
                <w:color w:val="000000" w:themeColor="text1"/>
              </w:rPr>
              <w:fldChar w:fldCharType="end"/>
            </w:r>
            <w:r w:rsidRPr="00286216">
              <w:rPr>
                <w:color w:val="000000" w:themeColor="text1"/>
              </w:rPr>
              <w:t>-Н.д.Шахов С.В. (Реєстр.картка №114)</w:t>
            </w:r>
          </w:p>
          <w:p w14:paraId="49162F76" w14:textId="77777777" w:rsidR="006507E8" w:rsidRPr="00286216" w:rsidRDefault="006507E8" w:rsidP="006507E8">
            <w:pPr>
              <w:pStyle w:val="StyleProp"/>
              <w:spacing w:line="180" w:lineRule="exact"/>
              <w:rPr>
                <w:color w:val="000000" w:themeColor="text1"/>
              </w:rPr>
            </w:pPr>
            <w:r w:rsidRPr="00286216">
              <w:rPr>
                <w:color w:val="000000" w:themeColor="text1"/>
                <w:spacing w:val="-3"/>
              </w:rPr>
              <w:t>У п. 10 ч. 1 ст. 83 слова "</w:t>
            </w:r>
            <w:r w:rsidRPr="00286216">
              <w:rPr>
                <w:color w:val="000000" w:themeColor="text1"/>
              </w:rPr>
              <w:t>Національною комісією з цінних паперів та фондового ринку" замінити словом "законодавством".</w:t>
            </w:r>
          </w:p>
        </w:tc>
        <w:tc>
          <w:tcPr>
            <w:tcW w:w="1987" w:type="dxa"/>
          </w:tcPr>
          <w:p w14:paraId="73278CA5" w14:textId="77777777" w:rsidR="006507E8" w:rsidRPr="00286216" w:rsidRDefault="006507E8" w:rsidP="006507E8">
            <w:pPr>
              <w:pStyle w:val="StyleWisnow"/>
              <w:rPr>
                <w:color w:val="000000" w:themeColor="text1"/>
              </w:rPr>
            </w:pPr>
            <w:r w:rsidRPr="00286216">
              <w:rPr>
                <w:color w:val="000000" w:themeColor="text1"/>
              </w:rPr>
              <w:t>Враховано</w:t>
            </w:r>
          </w:p>
          <w:p w14:paraId="4F4B7A6B" w14:textId="77777777" w:rsidR="006507E8" w:rsidRPr="00286216" w:rsidRDefault="006507E8" w:rsidP="006507E8">
            <w:pPr>
              <w:pStyle w:val="StyleWisnow"/>
              <w:rPr>
                <w:color w:val="000000" w:themeColor="text1"/>
              </w:rPr>
            </w:pPr>
          </w:p>
          <w:p w14:paraId="6C3B72CE" w14:textId="77777777" w:rsidR="006507E8" w:rsidRPr="00286216" w:rsidRDefault="006507E8" w:rsidP="00CF4212">
            <w:pPr>
              <w:pStyle w:val="StyleWisnow"/>
              <w:spacing w:line="180" w:lineRule="exact"/>
              <w:rPr>
                <w:color w:val="000000" w:themeColor="text1"/>
              </w:rPr>
            </w:pPr>
            <w:r w:rsidRPr="00286216">
              <w:rPr>
                <w:color w:val="000000" w:themeColor="text1"/>
              </w:rPr>
              <w:t>Відхилено</w:t>
            </w:r>
          </w:p>
          <w:p w14:paraId="1DA44B0B" w14:textId="591F3F36" w:rsidR="00793CC7" w:rsidRPr="00286216" w:rsidRDefault="00793CC7" w:rsidP="00CF4212">
            <w:pPr>
              <w:pStyle w:val="StyleWisnow"/>
              <w:spacing w:line="180" w:lineRule="exact"/>
              <w:rPr>
                <w:color w:val="000000" w:themeColor="text1"/>
              </w:rPr>
            </w:pPr>
            <w:r w:rsidRPr="00286216">
              <w:rPr>
                <w:color w:val="000000" w:themeColor="text1"/>
              </w:rPr>
              <w:t>у звʼязку із зміною редакції</w:t>
            </w:r>
          </w:p>
        </w:tc>
        <w:tc>
          <w:tcPr>
            <w:tcW w:w="4818" w:type="dxa"/>
          </w:tcPr>
          <w:p w14:paraId="42DF9540" w14:textId="77777777" w:rsidR="006507E8" w:rsidRPr="00286216" w:rsidRDefault="006507E8" w:rsidP="006507E8">
            <w:pPr>
              <w:pStyle w:val="StyleZakonu"/>
              <w:rPr>
                <w:color w:val="000000" w:themeColor="text1"/>
              </w:rPr>
            </w:pPr>
          </w:p>
        </w:tc>
      </w:tr>
      <w:tr w:rsidR="006507E8" w:rsidRPr="00286216" w14:paraId="78FDC219" w14:textId="77777777" w:rsidTr="00091AA5">
        <w:tc>
          <w:tcPr>
            <w:tcW w:w="576" w:type="dxa"/>
          </w:tcPr>
          <w:p w14:paraId="0467CF95" w14:textId="77777777" w:rsidR="006507E8" w:rsidRPr="00286216" w:rsidRDefault="006507E8" w:rsidP="006507E8">
            <w:pPr>
              <w:pStyle w:val="StyleWisnow"/>
              <w:rPr>
                <w:color w:val="000000" w:themeColor="text1"/>
              </w:rPr>
            </w:pPr>
            <w:bookmarkStart w:id="1178" w:name="n1443" w:colFirst="0" w:colLast="0"/>
            <w:bookmarkEnd w:id="1177"/>
            <w:r w:rsidRPr="00286216">
              <w:rPr>
                <w:color w:val="000000" w:themeColor="text1"/>
              </w:rPr>
              <w:t>1443.</w:t>
            </w:r>
          </w:p>
        </w:tc>
        <w:tc>
          <w:tcPr>
            <w:tcW w:w="4818" w:type="dxa"/>
          </w:tcPr>
          <w:p w14:paraId="1D93453F" w14:textId="77777777" w:rsidR="006507E8" w:rsidRPr="00286216" w:rsidRDefault="006507E8" w:rsidP="006507E8">
            <w:pPr>
              <w:pStyle w:val="StyleZakonu"/>
              <w:rPr>
                <w:color w:val="000000" w:themeColor="text1"/>
              </w:rPr>
            </w:pPr>
            <w:r w:rsidRPr="00286216">
              <w:rPr>
                <w:color w:val="000000" w:themeColor="text1"/>
              </w:rPr>
              <w:t>2. У разі внесення змін до інформації та/або документів, поданих відповідно до частини першої цієї статті, особа, яка провадить діяльність торгового репозиторію на ринках капіталу та організованих товарних ринках, зобов’язана повідомити про це Національну комісію з цінних паперів та фондового ринку у встановлені нею порядку та строки.</w:t>
            </w:r>
          </w:p>
        </w:tc>
        <w:tc>
          <w:tcPr>
            <w:tcW w:w="3686" w:type="dxa"/>
          </w:tcPr>
          <w:p w14:paraId="35D44B9E" w14:textId="546E90A7"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886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C65BC0C" w14:textId="77777777" w:rsidR="006507E8" w:rsidRPr="00286216" w:rsidRDefault="006507E8" w:rsidP="006507E8">
            <w:pPr>
              <w:pStyle w:val="StyleProp"/>
              <w:rPr>
                <w:color w:val="000000" w:themeColor="text1"/>
                <w:szCs w:val="18"/>
              </w:rPr>
            </w:pPr>
            <w:r w:rsidRPr="00286216">
              <w:rPr>
                <w:color w:val="000000" w:themeColor="text1"/>
                <w:szCs w:val="18"/>
              </w:rPr>
              <w:t>Частину другу статті 84 доповнити словами «офіційним каналом зв’язку».</w:t>
            </w:r>
          </w:p>
          <w:p w14:paraId="55EBF56B" w14:textId="7572182B"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887</w:t>
            </w:r>
            <w:r w:rsidRPr="00286216">
              <w:rPr>
                <w:color w:val="000000" w:themeColor="text1"/>
              </w:rPr>
              <w:fldChar w:fldCharType="end"/>
            </w:r>
            <w:r w:rsidRPr="00286216">
              <w:rPr>
                <w:color w:val="000000" w:themeColor="text1"/>
              </w:rPr>
              <w:t>-Н.д.Шахов С.В. (Реєстр.картка №114)</w:t>
            </w:r>
          </w:p>
          <w:p w14:paraId="5832FAA3"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Ч. 2 ст.84 викласти у такій редакції:</w:t>
            </w:r>
          </w:p>
          <w:p w14:paraId="36C6273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"2. У</w:t>
            </w:r>
            <w:r w:rsidRPr="00286216">
              <w:rPr>
                <w:color w:val="000000" w:themeColor="text1"/>
              </w:rPr>
              <w:t xml:space="preserve"> разі внесення змін до інформації та/або документів, поданих відповідно до частини першої цієї статті, особа, яка провадить діяльність торгового репозиторію на ринках капіталу, зобов’язана повідомити про це регулятора відповідного ринку у встановлені ним порядку та строки".</w:t>
            </w:r>
          </w:p>
        </w:tc>
        <w:tc>
          <w:tcPr>
            <w:tcW w:w="1987" w:type="dxa"/>
          </w:tcPr>
          <w:p w14:paraId="6ADB4750" w14:textId="77777777" w:rsidR="006507E8" w:rsidRPr="00286216" w:rsidRDefault="006507E8" w:rsidP="006507E8">
            <w:pPr>
              <w:pStyle w:val="StyleWisnow"/>
              <w:rPr>
                <w:color w:val="000000" w:themeColor="text1"/>
              </w:rPr>
            </w:pPr>
            <w:r w:rsidRPr="00286216">
              <w:rPr>
                <w:color w:val="000000" w:themeColor="text1"/>
              </w:rPr>
              <w:t>Враховано</w:t>
            </w:r>
          </w:p>
          <w:p w14:paraId="794BBC33" w14:textId="77777777" w:rsidR="006507E8" w:rsidRPr="00286216" w:rsidRDefault="006507E8" w:rsidP="006507E8">
            <w:pPr>
              <w:pStyle w:val="StyleWisnow"/>
              <w:rPr>
                <w:color w:val="000000" w:themeColor="text1"/>
              </w:rPr>
            </w:pPr>
          </w:p>
          <w:p w14:paraId="697FDF58" w14:textId="77777777" w:rsidR="006507E8" w:rsidRPr="00286216" w:rsidRDefault="006507E8" w:rsidP="006507E8">
            <w:pPr>
              <w:pStyle w:val="StyleWisnow"/>
              <w:rPr>
                <w:color w:val="000000" w:themeColor="text1"/>
              </w:rPr>
            </w:pPr>
          </w:p>
          <w:p w14:paraId="5040A168" w14:textId="77777777" w:rsidR="006507E8" w:rsidRPr="00286216" w:rsidRDefault="006507E8" w:rsidP="00CF4212">
            <w:pPr>
              <w:pStyle w:val="StyleWisnow"/>
              <w:spacing w:line="180" w:lineRule="exact"/>
              <w:rPr>
                <w:color w:val="000000" w:themeColor="text1"/>
              </w:rPr>
            </w:pPr>
            <w:r w:rsidRPr="00286216">
              <w:rPr>
                <w:color w:val="000000" w:themeColor="text1"/>
              </w:rPr>
              <w:t>Відхилено</w:t>
            </w:r>
          </w:p>
          <w:p w14:paraId="69A825AF" w14:textId="0C727D88" w:rsidR="00793CC7" w:rsidRPr="00286216" w:rsidRDefault="00793CC7" w:rsidP="00CF4212">
            <w:pPr>
              <w:pStyle w:val="StyleWisnow"/>
              <w:spacing w:line="180" w:lineRule="exact"/>
              <w:rPr>
                <w:color w:val="000000" w:themeColor="text1"/>
              </w:rPr>
            </w:pPr>
            <w:r w:rsidRPr="00286216">
              <w:rPr>
                <w:color w:val="000000" w:themeColor="text1"/>
              </w:rPr>
              <w:t>на ринках капіталу єдиний регулятор - НКЦПФР</w:t>
            </w:r>
          </w:p>
        </w:tc>
        <w:tc>
          <w:tcPr>
            <w:tcW w:w="4818" w:type="dxa"/>
          </w:tcPr>
          <w:p w14:paraId="72BA87EF" w14:textId="2B83B00A" w:rsidR="006507E8" w:rsidRPr="00286216" w:rsidRDefault="006507E8" w:rsidP="006507E8">
            <w:pPr>
              <w:pStyle w:val="StyleZakonu"/>
              <w:rPr>
                <w:color w:val="000000" w:themeColor="text1"/>
              </w:rPr>
            </w:pPr>
            <w:r w:rsidRPr="00286216">
              <w:rPr>
                <w:color w:val="000000" w:themeColor="text1"/>
              </w:rPr>
              <w:t xml:space="preserve">2. У разі внесення змін до інформації та/або документів, поданих відповідно до частини першої цієї статті, особа, яка провадить діяльність торгового репозиторію на ринках капіталу та організованих товарних ринках, зобов’язана повідомити про це Національну комісію з цінних паперів та фондового ринку у встановлені нею порядку та строки </w:t>
            </w:r>
            <w:r w:rsidRPr="00286216">
              <w:rPr>
                <w:color w:val="000000" w:themeColor="text1"/>
                <w:szCs w:val="18"/>
              </w:rPr>
              <w:t>офіційним каналом зв’язку</w:t>
            </w:r>
            <w:r w:rsidRPr="00286216">
              <w:rPr>
                <w:color w:val="000000" w:themeColor="text1"/>
              </w:rPr>
              <w:t>.</w:t>
            </w:r>
          </w:p>
        </w:tc>
      </w:tr>
      <w:tr w:rsidR="006507E8" w:rsidRPr="00286216" w14:paraId="4727923C" w14:textId="77777777" w:rsidTr="00091AA5">
        <w:tc>
          <w:tcPr>
            <w:tcW w:w="576" w:type="dxa"/>
          </w:tcPr>
          <w:p w14:paraId="3A0C370A" w14:textId="77777777" w:rsidR="006507E8" w:rsidRPr="00286216" w:rsidRDefault="006507E8" w:rsidP="006507E8">
            <w:pPr>
              <w:pStyle w:val="StyleWisnow"/>
              <w:rPr>
                <w:color w:val="000000" w:themeColor="text1"/>
              </w:rPr>
            </w:pPr>
            <w:bookmarkStart w:id="1179" w:name="n1444" w:colFirst="0" w:colLast="0"/>
            <w:bookmarkEnd w:id="1178"/>
            <w:r w:rsidRPr="00286216">
              <w:rPr>
                <w:color w:val="000000" w:themeColor="text1"/>
              </w:rPr>
              <w:t>1444.</w:t>
            </w:r>
          </w:p>
        </w:tc>
        <w:tc>
          <w:tcPr>
            <w:tcW w:w="4818" w:type="dxa"/>
          </w:tcPr>
          <w:p w14:paraId="01A83B26" w14:textId="77777777" w:rsidR="006507E8" w:rsidRPr="00286216" w:rsidRDefault="006507E8" w:rsidP="006507E8">
            <w:pPr>
              <w:pStyle w:val="StyleZakonu"/>
              <w:rPr>
                <w:color w:val="000000" w:themeColor="text1"/>
              </w:rPr>
            </w:pPr>
            <w:r w:rsidRPr="00286216">
              <w:rPr>
                <w:color w:val="000000" w:themeColor="text1"/>
              </w:rPr>
              <w:t>3. Національна комісія з цінних паперів та фондового ринку протягом двадцяти робочих днів з дати отримання документів, передбачених частиною першою цієї статті, надає юридичній особі, яка має намір провадити діяльність торгового репозиторію на ринках капіталу та організованих товарних ринках, підтвердження отримання повного переліку документів, передбачених у частині першій цієї статті або повідомляє юридичну особу, яка має намір провадити діяльність торгового репозиторію на ринках капіталу та організованих товарних ринках про отримання неповного переліку таких документів.</w:t>
            </w:r>
          </w:p>
        </w:tc>
        <w:tc>
          <w:tcPr>
            <w:tcW w:w="3686" w:type="dxa"/>
          </w:tcPr>
          <w:p w14:paraId="2DF1E358" w14:textId="2B52B7CD"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888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3AB65D6"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абзаці першому частини третьої статті 84 слово «надає» замінити словами «офіційним каналом зв’язку надсилає», доповнити абзац після слів «у  частині  першій цієї статті або» словами «офіційним каналом зв’язку».</w:t>
            </w:r>
          </w:p>
          <w:p w14:paraId="19BAD5EA" w14:textId="0E2CF8AE"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889</w:t>
            </w:r>
            <w:r w:rsidRPr="00286216">
              <w:rPr>
                <w:color w:val="000000" w:themeColor="text1"/>
              </w:rPr>
              <w:fldChar w:fldCharType="end"/>
            </w:r>
            <w:r w:rsidRPr="00286216">
              <w:rPr>
                <w:color w:val="000000" w:themeColor="text1"/>
              </w:rPr>
              <w:t>-Н.д.Шахов С.В. (Реєстр.картка №114)</w:t>
            </w:r>
          </w:p>
          <w:p w14:paraId="2FAD2CE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Абз. 1 ч. 3 ст.84 викласти у такій редакції:</w:t>
            </w:r>
          </w:p>
          <w:p w14:paraId="21A06AEB"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 xml:space="preserve">"3. Регулятор відповідного ринку протягом десяти календарних днів з дати отримання документів, передбачених частиною першою цієї статті, надає юридичній особі, яка має намір провадити діяльність торгового репозиторію на ринках капіталу, підтвердження отримання повного переліку документів, передбачених у частині першій цієї статті або повідомляє юридичну особу, яка має намір провадити діяльність </w:t>
            </w:r>
            <w:r w:rsidRPr="00286216">
              <w:rPr>
                <w:color w:val="000000" w:themeColor="text1"/>
                <w:szCs w:val="18"/>
              </w:rPr>
              <w:lastRenderedPageBreak/>
              <w:t>торгового репозиторію на ринках капіталу про отримання неповного переліку таких документів".</w:t>
            </w:r>
          </w:p>
        </w:tc>
        <w:tc>
          <w:tcPr>
            <w:tcW w:w="1987" w:type="dxa"/>
          </w:tcPr>
          <w:p w14:paraId="22327A69"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p w14:paraId="058EDB1A" w14:textId="77777777" w:rsidR="006507E8" w:rsidRPr="00286216" w:rsidRDefault="006507E8" w:rsidP="006507E8">
            <w:pPr>
              <w:pStyle w:val="StyleWisnow"/>
              <w:rPr>
                <w:color w:val="000000" w:themeColor="text1"/>
              </w:rPr>
            </w:pPr>
          </w:p>
          <w:p w14:paraId="54781676" w14:textId="77777777" w:rsidR="006507E8" w:rsidRPr="00286216" w:rsidRDefault="006507E8" w:rsidP="006507E8">
            <w:pPr>
              <w:pStyle w:val="StyleWisnow"/>
              <w:rPr>
                <w:color w:val="000000" w:themeColor="text1"/>
              </w:rPr>
            </w:pPr>
          </w:p>
          <w:p w14:paraId="1E02988B" w14:textId="77777777" w:rsidR="006507E8" w:rsidRPr="00286216" w:rsidRDefault="006507E8" w:rsidP="006507E8">
            <w:pPr>
              <w:pStyle w:val="StyleWisnow"/>
              <w:rPr>
                <w:color w:val="000000" w:themeColor="text1"/>
              </w:rPr>
            </w:pPr>
          </w:p>
          <w:p w14:paraId="64A2C0A5" w14:textId="77777777" w:rsidR="006507E8" w:rsidRPr="00286216" w:rsidRDefault="006507E8" w:rsidP="006507E8">
            <w:pPr>
              <w:pStyle w:val="StyleWisnow"/>
              <w:rPr>
                <w:color w:val="000000" w:themeColor="text1"/>
              </w:rPr>
            </w:pPr>
          </w:p>
          <w:p w14:paraId="52C563F7" w14:textId="77777777" w:rsidR="006507E8" w:rsidRPr="00286216" w:rsidRDefault="006507E8" w:rsidP="006507E8">
            <w:pPr>
              <w:pStyle w:val="StyleWisnow"/>
              <w:rPr>
                <w:color w:val="000000" w:themeColor="text1"/>
              </w:rPr>
            </w:pPr>
          </w:p>
          <w:p w14:paraId="3DC87D57" w14:textId="77777777" w:rsidR="00793CC7" w:rsidRPr="00286216" w:rsidRDefault="00793CC7" w:rsidP="00CF4212">
            <w:pPr>
              <w:pStyle w:val="StyleWisnow"/>
              <w:spacing w:line="180" w:lineRule="exact"/>
              <w:rPr>
                <w:color w:val="000000" w:themeColor="text1"/>
              </w:rPr>
            </w:pPr>
          </w:p>
          <w:p w14:paraId="22BA3275" w14:textId="37E3EB59" w:rsidR="006507E8" w:rsidRPr="00286216" w:rsidRDefault="006507E8" w:rsidP="00CF4212">
            <w:pPr>
              <w:pStyle w:val="StyleWisnow"/>
              <w:spacing w:line="180" w:lineRule="exact"/>
              <w:rPr>
                <w:color w:val="000000" w:themeColor="text1"/>
              </w:rPr>
            </w:pPr>
            <w:r w:rsidRPr="00286216">
              <w:rPr>
                <w:color w:val="000000" w:themeColor="text1"/>
              </w:rPr>
              <w:t>Відхилено</w:t>
            </w:r>
          </w:p>
          <w:p w14:paraId="2E9804D9" w14:textId="69C8C790" w:rsidR="00793CC7" w:rsidRPr="00286216" w:rsidRDefault="00793CC7" w:rsidP="00CF4212">
            <w:pPr>
              <w:pStyle w:val="StyleWisnow"/>
              <w:spacing w:line="180" w:lineRule="exact"/>
              <w:rPr>
                <w:color w:val="000000" w:themeColor="text1"/>
              </w:rPr>
            </w:pPr>
            <w:r w:rsidRPr="00286216">
              <w:rPr>
                <w:color w:val="000000" w:themeColor="text1"/>
              </w:rPr>
              <w:t>на ринках капіталу єдиний регулятор - НКЦПФР</w:t>
            </w:r>
          </w:p>
          <w:p w14:paraId="4CDBC4A1" w14:textId="337BC742" w:rsidR="00793CC7" w:rsidRPr="00286216" w:rsidRDefault="00793CC7" w:rsidP="006507E8">
            <w:pPr>
              <w:pStyle w:val="StyleWisnow"/>
              <w:rPr>
                <w:color w:val="000000" w:themeColor="text1"/>
              </w:rPr>
            </w:pPr>
          </w:p>
        </w:tc>
        <w:tc>
          <w:tcPr>
            <w:tcW w:w="4818" w:type="dxa"/>
          </w:tcPr>
          <w:p w14:paraId="261322B7" w14:textId="42176D31" w:rsidR="006507E8" w:rsidRPr="00286216" w:rsidRDefault="006507E8" w:rsidP="006507E8">
            <w:pPr>
              <w:pStyle w:val="StyleZakonu"/>
              <w:rPr>
                <w:color w:val="000000" w:themeColor="text1"/>
              </w:rPr>
            </w:pPr>
            <w:r w:rsidRPr="00286216">
              <w:rPr>
                <w:color w:val="000000" w:themeColor="text1"/>
              </w:rPr>
              <w:t xml:space="preserve">3. Національна комісія з цінних паперів та фондового ринку протягом 20 робочих днів з дня отримання документів, передбачених частиною першою цієї статті, </w:t>
            </w:r>
            <w:r w:rsidRPr="00286216">
              <w:rPr>
                <w:color w:val="000000" w:themeColor="text1"/>
                <w:szCs w:val="18"/>
              </w:rPr>
              <w:t>офіційним каналом зв’язку надсилає</w:t>
            </w:r>
            <w:r w:rsidRPr="00286216">
              <w:rPr>
                <w:color w:val="000000" w:themeColor="text1"/>
              </w:rPr>
              <w:t xml:space="preserve"> юридичній особі, яка має намір провадити діяльність торгового репозиторію на ринках капіталу та організованих товарних ринках, підтвердження отримання повного переліку документів, передбачених частиною першою цієї статті, або повідомляє юридичну особу, яка має намір провадити діяльність торгового репозиторію на ринках капіталу та організованих товарних ринках, про отримання неповного переліку таких документів.</w:t>
            </w:r>
          </w:p>
        </w:tc>
      </w:tr>
      <w:tr w:rsidR="006507E8" w:rsidRPr="00286216" w14:paraId="0FA957DE" w14:textId="77777777" w:rsidTr="00091AA5">
        <w:tc>
          <w:tcPr>
            <w:tcW w:w="576" w:type="dxa"/>
          </w:tcPr>
          <w:p w14:paraId="5421D3C6" w14:textId="77777777" w:rsidR="006507E8" w:rsidRPr="00286216" w:rsidRDefault="006507E8" w:rsidP="006507E8">
            <w:pPr>
              <w:pStyle w:val="StyleWisnow"/>
              <w:rPr>
                <w:color w:val="000000" w:themeColor="text1"/>
              </w:rPr>
            </w:pPr>
            <w:bookmarkStart w:id="1180" w:name="n1445" w:colFirst="0" w:colLast="0"/>
            <w:bookmarkEnd w:id="1179"/>
            <w:r w:rsidRPr="00286216">
              <w:rPr>
                <w:color w:val="000000" w:themeColor="text1"/>
              </w:rPr>
              <w:lastRenderedPageBreak/>
              <w:t>1445.</w:t>
            </w:r>
          </w:p>
        </w:tc>
        <w:tc>
          <w:tcPr>
            <w:tcW w:w="4818" w:type="dxa"/>
          </w:tcPr>
          <w:p w14:paraId="30C633D0" w14:textId="77777777" w:rsidR="006507E8" w:rsidRPr="00286216" w:rsidRDefault="006507E8" w:rsidP="006507E8">
            <w:pPr>
              <w:pStyle w:val="StyleZakonu"/>
              <w:rPr>
                <w:color w:val="000000" w:themeColor="text1"/>
              </w:rPr>
            </w:pPr>
            <w:r w:rsidRPr="00286216">
              <w:rPr>
                <w:color w:val="000000" w:themeColor="text1"/>
              </w:rPr>
              <w:t>У разі отримання неповного переліку документів, передбачених у частині першій цієї статті, Національна комісія з цінних паперів та фондового ринку повідомляє юридичну особу, яка має намір провадити діяльність торгового репозиторію на ринках капіталу та організованих товарних ринках, про строк до якого необхідно надати Національній комісії з цінних паперів та фондового ринку додаткову інформацію.</w:t>
            </w:r>
          </w:p>
        </w:tc>
        <w:tc>
          <w:tcPr>
            <w:tcW w:w="3686" w:type="dxa"/>
          </w:tcPr>
          <w:p w14:paraId="3EBE8715" w14:textId="1660F39A"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890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E510646" w14:textId="77777777" w:rsidR="006507E8" w:rsidRPr="00286216" w:rsidRDefault="006507E8" w:rsidP="006507E8">
            <w:pPr>
              <w:pStyle w:val="StyleProp"/>
              <w:rPr>
                <w:color w:val="000000" w:themeColor="text1"/>
                <w:szCs w:val="18"/>
              </w:rPr>
            </w:pPr>
            <w:r w:rsidRPr="00286216">
              <w:rPr>
                <w:color w:val="000000" w:themeColor="text1"/>
                <w:szCs w:val="18"/>
              </w:rPr>
              <w:t>Доповнити абзац другий частини третьої статті 84 після слів «Національна комісія з цінних паперів та фондового ринку» словами «офіційним каналом зв’язку».</w:t>
            </w:r>
          </w:p>
          <w:p w14:paraId="756A7681" w14:textId="77777777" w:rsidR="006507E8" w:rsidRPr="00286216" w:rsidRDefault="006507E8" w:rsidP="006507E8">
            <w:pPr>
              <w:pStyle w:val="StyleProp"/>
              <w:rPr>
                <w:color w:val="000000" w:themeColor="text1"/>
                <w:szCs w:val="18"/>
              </w:rPr>
            </w:pPr>
          </w:p>
          <w:p w14:paraId="10513338" w14:textId="77777777" w:rsidR="006507E8" w:rsidRPr="00286216" w:rsidRDefault="006507E8" w:rsidP="006507E8">
            <w:pPr>
              <w:pStyle w:val="StyleProp"/>
              <w:rPr>
                <w:color w:val="000000" w:themeColor="text1"/>
                <w:szCs w:val="18"/>
              </w:rPr>
            </w:pPr>
          </w:p>
          <w:p w14:paraId="1626A4AB" w14:textId="77777777" w:rsidR="006507E8" w:rsidRPr="00286216" w:rsidRDefault="006507E8" w:rsidP="006507E8">
            <w:pPr>
              <w:pStyle w:val="StyleProp"/>
              <w:rPr>
                <w:color w:val="000000" w:themeColor="text1"/>
                <w:szCs w:val="18"/>
              </w:rPr>
            </w:pPr>
          </w:p>
          <w:p w14:paraId="6387E5DF" w14:textId="3CF7AB32"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891</w:t>
            </w:r>
            <w:r w:rsidRPr="00286216">
              <w:rPr>
                <w:color w:val="000000" w:themeColor="text1"/>
              </w:rPr>
              <w:fldChar w:fldCharType="end"/>
            </w:r>
            <w:r w:rsidRPr="00286216">
              <w:rPr>
                <w:color w:val="000000" w:themeColor="text1"/>
              </w:rPr>
              <w:t>-Н.д.Шахов С.В. (Реєстр.картка №114)</w:t>
            </w:r>
          </w:p>
          <w:p w14:paraId="6F8A8D3A"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Абз.2,3 ч.3 ст.84 викласти у такій редакції:</w:t>
            </w:r>
          </w:p>
        </w:tc>
        <w:tc>
          <w:tcPr>
            <w:tcW w:w="1987" w:type="dxa"/>
          </w:tcPr>
          <w:p w14:paraId="42DDD538" w14:textId="77777777" w:rsidR="006507E8" w:rsidRPr="00286216" w:rsidRDefault="006507E8" w:rsidP="006507E8">
            <w:pPr>
              <w:pStyle w:val="StyleWisnow"/>
              <w:rPr>
                <w:color w:val="000000" w:themeColor="text1"/>
              </w:rPr>
            </w:pPr>
            <w:r w:rsidRPr="00286216">
              <w:rPr>
                <w:color w:val="000000" w:themeColor="text1"/>
              </w:rPr>
              <w:t>Враховано</w:t>
            </w:r>
          </w:p>
          <w:p w14:paraId="17118E7E" w14:textId="77777777" w:rsidR="006507E8" w:rsidRPr="00286216" w:rsidRDefault="006507E8" w:rsidP="006507E8">
            <w:pPr>
              <w:pStyle w:val="StyleWisnow"/>
              <w:rPr>
                <w:color w:val="000000" w:themeColor="text1"/>
              </w:rPr>
            </w:pPr>
          </w:p>
          <w:p w14:paraId="1056AD17" w14:textId="77777777" w:rsidR="006507E8" w:rsidRPr="00286216" w:rsidRDefault="006507E8" w:rsidP="006507E8">
            <w:pPr>
              <w:pStyle w:val="StyleWisnow"/>
              <w:rPr>
                <w:color w:val="000000" w:themeColor="text1"/>
              </w:rPr>
            </w:pPr>
          </w:p>
          <w:p w14:paraId="3DDC5105" w14:textId="77777777" w:rsidR="006507E8" w:rsidRPr="00286216" w:rsidRDefault="006507E8" w:rsidP="006507E8">
            <w:pPr>
              <w:pStyle w:val="StyleWisnow"/>
              <w:rPr>
                <w:color w:val="000000" w:themeColor="text1"/>
              </w:rPr>
            </w:pPr>
          </w:p>
          <w:p w14:paraId="7C98957C" w14:textId="77777777" w:rsidR="006507E8" w:rsidRPr="00286216" w:rsidRDefault="006507E8" w:rsidP="006507E8">
            <w:pPr>
              <w:pStyle w:val="StyleWisnow"/>
              <w:rPr>
                <w:color w:val="000000" w:themeColor="text1"/>
              </w:rPr>
            </w:pPr>
          </w:p>
          <w:p w14:paraId="30C14346" w14:textId="0F2233E6" w:rsidR="006507E8" w:rsidRPr="00286216" w:rsidRDefault="006507E8" w:rsidP="006507E8">
            <w:pPr>
              <w:pStyle w:val="StyleWisnow"/>
              <w:rPr>
                <w:color w:val="000000" w:themeColor="text1"/>
              </w:rPr>
            </w:pPr>
          </w:p>
          <w:p w14:paraId="2E2DB46E" w14:textId="59DC477E" w:rsidR="006507E8" w:rsidRPr="00286216" w:rsidRDefault="006507E8" w:rsidP="006507E8">
            <w:pPr>
              <w:pStyle w:val="StyleWisnow"/>
              <w:spacing w:line="180" w:lineRule="exact"/>
              <w:rPr>
                <w:color w:val="000000" w:themeColor="text1"/>
              </w:rPr>
            </w:pPr>
          </w:p>
          <w:p w14:paraId="2F3337D9" w14:textId="77777777" w:rsidR="006507E8" w:rsidRPr="00286216" w:rsidRDefault="006507E8" w:rsidP="006507E8">
            <w:pPr>
              <w:pStyle w:val="StyleWisnow"/>
              <w:spacing w:line="180" w:lineRule="exact"/>
              <w:rPr>
                <w:color w:val="000000" w:themeColor="text1"/>
              </w:rPr>
            </w:pPr>
          </w:p>
          <w:p w14:paraId="5DB18A2F"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3158D585" w14:textId="637217E0" w:rsidR="006507E8" w:rsidRPr="00286216" w:rsidRDefault="006507E8" w:rsidP="006507E8">
            <w:pPr>
              <w:pStyle w:val="StyleWisnow"/>
              <w:spacing w:line="180" w:lineRule="exact"/>
              <w:rPr>
                <w:color w:val="000000" w:themeColor="text1"/>
              </w:rPr>
            </w:pPr>
            <w:r w:rsidRPr="00286216">
              <w:rPr>
                <w:color w:val="000000" w:themeColor="text1"/>
              </w:rPr>
              <w:t>ринки капіталу</w:t>
            </w:r>
          </w:p>
        </w:tc>
        <w:tc>
          <w:tcPr>
            <w:tcW w:w="4818" w:type="dxa"/>
          </w:tcPr>
          <w:p w14:paraId="38041513" w14:textId="74064297" w:rsidR="006507E8" w:rsidRPr="00286216" w:rsidRDefault="006507E8" w:rsidP="006507E8">
            <w:pPr>
              <w:pStyle w:val="StyleZakonu"/>
              <w:rPr>
                <w:color w:val="000000" w:themeColor="text1"/>
              </w:rPr>
            </w:pPr>
            <w:r w:rsidRPr="00286216">
              <w:rPr>
                <w:color w:val="000000" w:themeColor="text1"/>
              </w:rPr>
              <w:t xml:space="preserve">У разі отримання неповного переліку документів, передбачених частиною першою цієї статті, Національна комісія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повідомляє юридичну особу, яка має намір провадити діяльність торгового репозиторію на ринках капіталу та організованих товарних ринках, про строк, до якого необхідно подати до Національної комісії з цінних паперів та фондового ринку додаткову інформацію.</w:t>
            </w:r>
          </w:p>
        </w:tc>
      </w:tr>
      <w:tr w:rsidR="006507E8" w:rsidRPr="00286216" w14:paraId="4767F699" w14:textId="77777777" w:rsidTr="00091AA5">
        <w:tc>
          <w:tcPr>
            <w:tcW w:w="576" w:type="dxa"/>
          </w:tcPr>
          <w:p w14:paraId="6E9C8A94" w14:textId="77777777" w:rsidR="006507E8" w:rsidRPr="00286216" w:rsidRDefault="006507E8" w:rsidP="006507E8">
            <w:pPr>
              <w:pStyle w:val="StyleWisnow"/>
              <w:rPr>
                <w:color w:val="000000" w:themeColor="text1"/>
              </w:rPr>
            </w:pPr>
            <w:bookmarkStart w:id="1181" w:name="n1446" w:colFirst="0" w:colLast="0"/>
            <w:bookmarkEnd w:id="1180"/>
            <w:r w:rsidRPr="00286216">
              <w:rPr>
                <w:color w:val="000000" w:themeColor="text1"/>
              </w:rPr>
              <w:t>1446.</w:t>
            </w:r>
          </w:p>
        </w:tc>
        <w:tc>
          <w:tcPr>
            <w:tcW w:w="4818" w:type="dxa"/>
          </w:tcPr>
          <w:p w14:paraId="067D530B" w14:textId="77777777" w:rsidR="006507E8" w:rsidRPr="00286216" w:rsidRDefault="006507E8" w:rsidP="006507E8">
            <w:pPr>
              <w:pStyle w:val="StyleZakonu"/>
              <w:rPr>
                <w:color w:val="000000" w:themeColor="text1"/>
              </w:rPr>
            </w:pPr>
            <w:r w:rsidRPr="00286216">
              <w:rPr>
                <w:color w:val="000000" w:themeColor="text1"/>
              </w:rPr>
              <w:t>У разі ненадання юридичною особою, яка має намір провадити діяльність торгового репозиторію на ринках капіталу та організованих товарних ринках, Національній комісії з цінних паперів та фондового ринку у визначений строк додаткової інформації Національна комісія з цінних паперів та фондового ринку повідомляє таку юридичну особу про залишення заяви про авторизацію без розгляду у зв’язку з отриманням неповного переліку документів.</w:t>
            </w:r>
          </w:p>
        </w:tc>
        <w:tc>
          <w:tcPr>
            <w:tcW w:w="3686" w:type="dxa"/>
          </w:tcPr>
          <w:p w14:paraId="10E7897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разі отримання неповного переліку документів, передбачених у частині першій цієї статті, регулятор відповідного ринку повідомляє юридичну особу, яка має намір провадити діяльність торгового репозиторію на ринках капіталу, про строк до якого необхідно надати регулятору відповідного ринку додаткову інформацію.</w:t>
            </w:r>
          </w:p>
          <w:p w14:paraId="1D91641D"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разі ненадання юридичною особою, яка має намір провадити діяльність торгового репозиторію на ринках капіталу, регулятору відповідного ринку у визначений строк додаткової інформації регулятор відповідного ринку повідомляє таку юридичну особу про залишення заяви про авторизацію без розгляду у зв’язку з отриманням неповного переліку документів".</w:t>
            </w:r>
          </w:p>
        </w:tc>
        <w:tc>
          <w:tcPr>
            <w:tcW w:w="1987" w:type="dxa"/>
          </w:tcPr>
          <w:p w14:paraId="5109D4C3" w14:textId="5D1026A9" w:rsidR="006507E8" w:rsidRPr="00286216" w:rsidRDefault="006507E8" w:rsidP="006507E8">
            <w:pPr>
              <w:pStyle w:val="StyleWisnow"/>
              <w:spacing w:line="200" w:lineRule="exact"/>
              <w:rPr>
                <w:color w:val="000000" w:themeColor="text1"/>
              </w:rPr>
            </w:pPr>
            <w:r w:rsidRPr="00286216">
              <w:rPr>
                <w:color w:val="000000" w:themeColor="text1"/>
              </w:rPr>
              <w:t>регулюються НКЦПФР</w:t>
            </w:r>
          </w:p>
        </w:tc>
        <w:tc>
          <w:tcPr>
            <w:tcW w:w="4818" w:type="dxa"/>
          </w:tcPr>
          <w:p w14:paraId="01341DCD" w14:textId="373C982E" w:rsidR="006507E8" w:rsidRPr="00286216" w:rsidRDefault="006507E8" w:rsidP="006507E8">
            <w:pPr>
              <w:pStyle w:val="StyleZakonu"/>
              <w:rPr>
                <w:color w:val="000000" w:themeColor="text1"/>
              </w:rPr>
            </w:pPr>
            <w:r w:rsidRPr="00286216">
              <w:rPr>
                <w:color w:val="000000" w:themeColor="text1"/>
              </w:rPr>
              <w:t>У разі неподання юридичною особою, яка має намір провадити діяльність торгового репозиторію на ринках капіталу та організованих товарних ринках, у визначений строк додаткової інформації Національна комісія з цінних паперів та фондового ринку повідомляє таку юридичну особу про залишення заяви про авторизацію без розгляду у зв’язку з отриманням неповного переліку документів.</w:t>
            </w:r>
          </w:p>
        </w:tc>
      </w:tr>
      <w:tr w:rsidR="006507E8" w:rsidRPr="00286216" w14:paraId="49F6706F" w14:textId="77777777" w:rsidTr="00091AA5">
        <w:tc>
          <w:tcPr>
            <w:tcW w:w="576" w:type="dxa"/>
          </w:tcPr>
          <w:p w14:paraId="7A6C1D1A" w14:textId="77777777" w:rsidR="006507E8" w:rsidRPr="00286216" w:rsidRDefault="006507E8" w:rsidP="006507E8">
            <w:pPr>
              <w:pStyle w:val="StyleWisnow"/>
              <w:rPr>
                <w:color w:val="000000" w:themeColor="text1"/>
              </w:rPr>
            </w:pPr>
            <w:bookmarkStart w:id="1182" w:name="n1447" w:colFirst="0" w:colLast="0"/>
            <w:bookmarkEnd w:id="1181"/>
            <w:r w:rsidRPr="00286216">
              <w:rPr>
                <w:color w:val="000000" w:themeColor="text1"/>
              </w:rPr>
              <w:t>1447.</w:t>
            </w:r>
          </w:p>
        </w:tc>
        <w:tc>
          <w:tcPr>
            <w:tcW w:w="4818" w:type="dxa"/>
          </w:tcPr>
          <w:p w14:paraId="20A56BBA" w14:textId="77777777" w:rsidR="006507E8" w:rsidRPr="00286216" w:rsidRDefault="006507E8" w:rsidP="006507E8">
            <w:pPr>
              <w:pStyle w:val="StyleZakonu"/>
              <w:rPr>
                <w:color w:val="000000" w:themeColor="text1"/>
              </w:rPr>
            </w:pPr>
            <w:r w:rsidRPr="00286216">
              <w:rPr>
                <w:color w:val="000000" w:themeColor="text1"/>
              </w:rPr>
              <w:t>4. Національна комісія з цінних паперів та фондового ринку приймає рішення про включення або відмову у включенні юридичної особи до Реєстру торгових репозиторіїв протягом сорока робочих днів з дати отримання всіх документів, передбачених частиною першою цієї статті.</w:t>
            </w:r>
          </w:p>
        </w:tc>
        <w:tc>
          <w:tcPr>
            <w:tcW w:w="3686" w:type="dxa"/>
          </w:tcPr>
          <w:p w14:paraId="05228D06" w14:textId="415DC83F"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892</w:t>
            </w:r>
            <w:r w:rsidRPr="00286216">
              <w:rPr>
                <w:color w:val="000000" w:themeColor="text1"/>
              </w:rPr>
              <w:fldChar w:fldCharType="end"/>
            </w:r>
            <w:r w:rsidRPr="00286216">
              <w:rPr>
                <w:color w:val="000000" w:themeColor="text1"/>
              </w:rPr>
              <w:t>-Н.д.Шахов С.В. (Реєстр.картка №114)</w:t>
            </w:r>
          </w:p>
          <w:p w14:paraId="1988D97A"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Ч. 4 ст. 84 викласти у такій редакції:</w:t>
            </w:r>
          </w:p>
          <w:p w14:paraId="320BDCF0"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 xml:space="preserve">"4. Регулятор відповідного ринку приймає рішення про включення або відмову у включенні юридичної особи до Реєстру </w:t>
            </w:r>
            <w:r w:rsidRPr="00286216">
              <w:rPr>
                <w:color w:val="000000" w:themeColor="text1"/>
                <w:spacing w:val="-4"/>
                <w:szCs w:val="18"/>
              </w:rPr>
              <w:t>торгових репозиторіїв протягом десяти робочих</w:t>
            </w:r>
            <w:r w:rsidRPr="00286216">
              <w:rPr>
                <w:color w:val="000000" w:themeColor="text1"/>
                <w:spacing w:val="-2"/>
                <w:szCs w:val="18"/>
              </w:rPr>
              <w:t xml:space="preserve"> днів з дати отримання всіх документів, передбачених частиною першою цієї статті".</w:t>
            </w:r>
          </w:p>
        </w:tc>
        <w:tc>
          <w:tcPr>
            <w:tcW w:w="1987" w:type="dxa"/>
          </w:tcPr>
          <w:p w14:paraId="4528C8C3" w14:textId="77777777" w:rsidR="006507E8" w:rsidRPr="00286216" w:rsidRDefault="006507E8" w:rsidP="006507E8">
            <w:pPr>
              <w:pStyle w:val="StyleWisnow"/>
              <w:rPr>
                <w:color w:val="000000" w:themeColor="text1"/>
              </w:rPr>
            </w:pPr>
            <w:r w:rsidRPr="00286216">
              <w:rPr>
                <w:color w:val="000000" w:themeColor="text1"/>
              </w:rPr>
              <w:t>Відхилено</w:t>
            </w:r>
          </w:p>
          <w:p w14:paraId="76638DF8" w14:textId="77777777" w:rsidR="007A4C24" w:rsidRPr="00286216" w:rsidRDefault="007A4C24" w:rsidP="007A4C24">
            <w:pPr>
              <w:pStyle w:val="StyleWisnow"/>
              <w:spacing w:line="180" w:lineRule="exact"/>
              <w:rPr>
                <w:color w:val="000000" w:themeColor="text1"/>
              </w:rPr>
            </w:pPr>
            <w:r w:rsidRPr="00286216">
              <w:rPr>
                <w:color w:val="000000" w:themeColor="text1"/>
              </w:rPr>
              <w:t>на ринках капіталу єдиний регулятор - НКЦПФР</w:t>
            </w:r>
          </w:p>
          <w:p w14:paraId="0C279ED5" w14:textId="62A3E8D9" w:rsidR="007A4C24" w:rsidRPr="00286216" w:rsidRDefault="007A4C24" w:rsidP="006507E8">
            <w:pPr>
              <w:pStyle w:val="StyleWisnow"/>
              <w:rPr>
                <w:color w:val="000000" w:themeColor="text1"/>
              </w:rPr>
            </w:pPr>
          </w:p>
        </w:tc>
        <w:tc>
          <w:tcPr>
            <w:tcW w:w="4818" w:type="dxa"/>
          </w:tcPr>
          <w:p w14:paraId="67051B55" w14:textId="5F7BD15B" w:rsidR="006507E8" w:rsidRPr="00286216" w:rsidRDefault="006507E8" w:rsidP="006507E8">
            <w:pPr>
              <w:pStyle w:val="StyleZakonu"/>
              <w:rPr>
                <w:color w:val="000000" w:themeColor="text1"/>
              </w:rPr>
            </w:pPr>
            <w:r w:rsidRPr="00286216">
              <w:rPr>
                <w:color w:val="000000" w:themeColor="text1"/>
              </w:rPr>
              <w:t>4. Національна комісія з цінних паперів та фондового ринку приймає рішення про включення або відмову у включенні юридичної особи до Реєстру торгових репозиторіїв протягом 40 робочих днів з дня отримання всіх документів, передбачених частиною першою цієї статті.</w:t>
            </w:r>
          </w:p>
        </w:tc>
      </w:tr>
      <w:tr w:rsidR="006507E8" w:rsidRPr="00286216" w14:paraId="40827781" w14:textId="77777777" w:rsidTr="00091AA5">
        <w:tc>
          <w:tcPr>
            <w:tcW w:w="576" w:type="dxa"/>
          </w:tcPr>
          <w:p w14:paraId="0E442306" w14:textId="77777777" w:rsidR="006507E8" w:rsidRPr="00286216" w:rsidRDefault="006507E8" w:rsidP="006507E8">
            <w:pPr>
              <w:pStyle w:val="StyleWisnow"/>
              <w:rPr>
                <w:color w:val="000000" w:themeColor="text1"/>
              </w:rPr>
            </w:pPr>
            <w:bookmarkStart w:id="1183" w:name="n1448" w:colFirst="0" w:colLast="0"/>
            <w:bookmarkEnd w:id="1182"/>
            <w:r w:rsidRPr="00286216">
              <w:rPr>
                <w:color w:val="000000" w:themeColor="text1"/>
              </w:rPr>
              <w:t>1448.</w:t>
            </w:r>
          </w:p>
        </w:tc>
        <w:tc>
          <w:tcPr>
            <w:tcW w:w="4818" w:type="dxa"/>
          </w:tcPr>
          <w:p w14:paraId="670068B5" w14:textId="77777777" w:rsidR="006507E8" w:rsidRPr="00286216" w:rsidRDefault="006507E8" w:rsidP="006507E8">
            <w:pPr>
              <w:pStyle w:val="StyleZakonu"/>
              <w:rPr>
                <w:color w:val="000000" w:themeColor="text1"/>
              </w:rPr>
            </w:pPr>
            <w:r w:rsidRPr="00286216">
              <w:rPr>
                <w:color w:val="000000" w:themeColor="text1"/>
              </w:rPr>
              <w:t>5. У разі прийняття рішення про включення юридичної особи до Реєстру торгових репозиторіїв Національна комісія з цінних паперів та фондового ринку видає свідоцтво про включення до Реєстру.</w:t>
            </w:r>
          </w:p>
        </w:tc>
        <w:tc>
          <w:tcPr>
            <w:tcW w:w="3686" w:type="dxa"/>
          </w:tcPr>
          <w:p w14:paraId="15BDC531" w14:textId="0642F55F"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893</w:t>
            </w:r>
            <w:r w:rsidRPr="00286216">
              <w:rPr>
                <w:color w:val="000000" w:themeColor="text1"/>
              </w:rPr>
              <w:fldChar w:fldCharType="end"/>
            </w:r>
            <w:r w:rsidRPr="00286216">
              <w:rPr>
                <w:color w:val="000000" w:themeColor="text1"/>
              </w:rPr>
              <w:t>-Н.д.Шахов С.В. (Реєстр.картка №114)</w:t>
            </w:r>
          </w:p>
          <w:p w14:paraId="2C42AFAF"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Ч. 5 ст. 84 викласти у такій редакції:</w:t>
            </w:r>
          </w:p>
          <w:p w14:paraId="155A9FF9"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"5. У разі прийняття рішення про включення юридичної особи до Реєстру торгових репозиторіїв регулятор відповідного ринку видає свідоцтво про включення до Реєстру.</w:t>
            </w:r>
          </w:p>
          <w:p w14:paraId="50B7CD4D"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У разі прийняття рішення про відмову у включенні юридичної особи до Реєстру торгових репозиторіїв регулятор відповідного ринку повідомляє таку юридичну особу про причини відмови з наданням належного обґрунтування та підтвердження фактів".</w:t>
            </w:r>
          </w:p>
        </w:tc>
        <w:tc>
          <w:tcPr>
            <w:tcW w:w="1987" w:type="dxa"/>
          </w:tcPr>
          <w:p w14:paraId="642303EB" w14:textId="77777777" w:rsidR="006507E8" w:rsidRPr="00286216" w:rsidRDefault="006507E8" w:rsidP="006507E8">
            <w:pPr>
              <w:pStyle w:val="StyleWisnow"/>
              <w:rPr>
                <w:color w:val="000000" w:themeColor="text1"/>
              </w:rPr>
            </w:pPr>
            <w:r w:rsidRPr="00286216">
              <w:rPr>
                <w:color w:val="000000" w:themeColor="text1"/>
              </w:rPr>
              <w:t>Відхилено</w:t>
            </w:r>
          </w:p>
          <w:p w14:paraId="0D4C7CEA" w14:textId="77777777" w:rsidR="007A4C24" w:rsidRPr="00286216" w:rsidRDefault="007A4C24" w:rsidP="007A4C24">
            <w:pPr>
              <w:pStyle w:val="StyleWisnow"/>
              <w:spacing w:line="180" w:lineRule="exact"/>
              <w:rPr>
                <w:color w:val="000000" w:themeColor="text1"/>
              </w:rPr>
            </w:pPr>
            <w:r w:rsidRPr="00286216">
              <w:rPr>
                <w:color w:val="000000" w:themeColor="text1"/>
              </w:rPr>
              <w:t>на ринках капіталу єдиний регулятор - НКЦПФР</w:t>
            </w:r>
          </w:p>
          <w:p w14:paraId="364BE581" w14:textId="780B4A01" w:rsidR="007A4C24" w:rsidRPr="00286216" w:rsidRDefault="007A4C24" w:rsidP="006507E8">
            <w:pPr>
              <w:pStyle w:val="StyleWisnow"/>
              <w:rPr>
                <w:color w:val="000000" w:themeColor="text1"/>
              </w:rPr>
            </w:pPr>
          </w:p>
        </w:tc>
        <w:tc>
          <w:tcPr>
            <w:tcW w:w="4818" w:type="dxa"/>
          </w:tcPr>
          <w:p w14:paraId="18B05A3C" w14:textId="32729176" w:rsidR="006507E8" w:rsidRPr="00286216" w:rsidRDefault="006507E8" w:rsidP="006507E8">
            <w:pPr>
              <w:pStyle w:val="StyleZakonu"/>
              <w:rPr>
                <w:color w:val="000000" w:themeColor="text1"/>
              </w:rPr>
            </w:pPr>
            <w:r w:rsidRPr="00286216">
              <w:rPr>
                <w:color w:val="000000" w:themeColor="text1"/>
              </w:rPr>
              <w:t>5. У разі прийняття рішення про включення юридичної особи до Реєстру торгових репозиторіїв Національна комісія з цінних паперів та фондового ринку видає свідоцтво про включення до Реєстру.</w:t>
            </w:r>
          </w:p>
        </w:tc>
      </w:tr>
      <w:tr w:rsidR="006507E8" w:rsidRPr="00286216" w14:paraId="6B65EDDD" w14:textId="77777777" w:rsidTr="00091AA5">
        <w:tc>
          <w:tcPr>
            <w:tcW w:w="576" w:type="dxa"/>
          </w:tcPr>
          <w:p w14:paraId="682F632E" w14:textId="77777777" w:rsidR="006507E8" w:rsidRPr="00286216" w:rsidRDefault="006507E8" w:rsidP="006507E8">
            <w:pPr>
              <w:pStyle w:val="StyleWisnow"/>
              <w:rPr>
                <w:color w:val="000000" w:themeColor="text1"/>
              </w:rPr>
            </w:pPr>
            <w:bookmarkStart w:id="1184" w:name="n1449" w:colFirst="0" w:colLast="0"/>
            <w:bookmarkEnd w:id="1183"/>
            <w:r w:rsidRPr="00286216">
              <w:rPr>
                <w:color w:val="000000" w:themeColor="text1"/>
              </w:rPr>
              <w:t>1449.</w:t>
            </w:r>
          </w:p>
        </w:tc>
        <w:tc>
          <w:tcPr>
            <w:tcW w:w="4818" w:type="dxa"/>
          </w:tcPr>
          <w:p w14:paraId="7CFCDB4F" w14:textId="77777777" w:rsidR="006507E8" w:rsidRPr="00286216" w:rsidRDefault="006507E8" w:rsidP="006507E8">
            <w:pPr>
              <w:pStyle w:val="StyleZakonu"/>
              <w:rPr>
                <w:color w:val="000000" w:themeColor="text1"/>
              </w:rPr>
            </w:pPr>
            <w:r w:rsidRPr="00286216">
              <w:rPr>
                <w:color w:val="000000" w:themeColor="text1"/>
              </w:rPr>
              <w:t xml:space="preserve">У разі прийняття рішення про відмову у включенні </w:t>
            </w:r>
            <w:r w:rsidRPr="00286216">
              <w:rPr>
                <w:color w:val="000000" w:themeColor="text1"/>
              </w:rPr>
              <w:lastRenderedPageBreak/>
              <w:t>юридичної особи до Реєстру торгових репозиторіїв Національна комісія з цінних паперів та фондового ринку повідомляє таку юридичну особу про причини відмови.</w:t>
            </w:r>
          </w:p>
        </w:tc>
        <w:tc>
          <w:tcPr>
            <w:tcW w:w="3686" w:type="dxa"/>
          </w:tcPr>
          <w:p w14:paraId="0B7672B8" w14:textId="161D0047" w:rsidR="006507E8" w:rsidRPr="00286216" w:rsidRDefault="006507E8" w:rsidP="006507E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894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A1BAAA0" w14:textId="77777777" w:rsidR="006507E8" w:rsidRPr="00286216" w:rsidRDefault="006507E8" w:rsidP="006507E8">
            <w:pPr>
              <w:pStyle w:val="StyleProp"/>
              <w:rPr>
                <w:color w:val="000000" w:themeColor="text1"/>
                <w:szCs w:val="18"/>
              </w:rPr>
            </w:pPr>
            <w:r w:rsidRPr="00286216">
              <w:rPr>
                <w:color w:val="000000" w:themeColor="text1"/>
                <w:szCs w:val="18"/>
              </w:rPr>
              <w:t xml:space="preserve">Доповнити абзац другий частини п’ятої </w:t>
            </w:r>
            <w:r w:rsidRPr="00286216">
              <w:rPr>
                <w:color w:val="000000" w:themeColor="text1"/>
                <w:szCs w:val="18"/>
              </w:rPr>
              <w:lastRenderedPageBreak/>
              <w:t>статті 84 після слів «Національна комісія з цінних паперів та фондового ринку» словами «офіційним каналом зв’язку».</w:t>
            </w:r>
          </w:p>
        </w:tc>
        <w:tc>
          <w:tcPr>
            <w:tcW w:w="1987" w:type="dxa"/>
          </w:tcPr>
          <w:p w14:paraId="726D9549"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71051790" w14:textId="5B902806" w:rsidR="006507E8" w:rsidRPr="00286216" w:rsidRDefault="006507E8" w:rsidP="006507E8">
            <w:pPr>
              <w:pStyle w:val="StyleZakonu"/>
              <w:rPr>
                <w:color w:val="000000" w:themeColor="text1"/>
              </w:rPr>
            </w:pPr>
            <w:r w:rsidRPr="00286216">
              <w:rPr>
                <w:color w:val="000000" w:themeColor="text1"/>
              </w:rPr>
              <w:t xml:space="preserve">У разі прийняття рішення про відмову у включенні </w:t>
            </w:r>
            <w:r w:rsidRPr="00286216">
              <w:rPr>
                <w:color w:val="000000" w:themeColor="text1"/>
              </w:rPr>
              <w:lastRenderedPageBreak/>
              <w:t xml:space="preserve">юридичної особи до Реєстру торгових репозиторіїв Національна комісія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повідомляє таку юридичну особу про причини відмови.</w:t>
            </w:r>
          </w:p>
        </w:tc>
      </w:tr>
      <w:tr w:rsidR="006507E8" w:rsidRPr="00286216" w14:paraId="76483336" w14:textId="77777777" w:rsidTr="00091AA5">
        <w:tc>
          <w:tcPr>
            <w:tcW w:w="576" w:type="dxa"/>
          </w:tcPr>
          <w:p w14:paraId="40632F8C" w14:textId="77777777" w:rsidR="006507E8" w:rsidRPr="00286216" w:rsidRDefault="006507E8" w:rsidP="006507E8">
            <w:pPr>
              <w:pStyle w:val="StyleWisnow"/>
              <w:rPr>
                <w:color w:val="000000" w:themeColor="text1"/>
              </w:rPr>
            </w:pPr>
          </w:p>
        </w:tc>
        <w:tc>
          <w:tcPr>
            <w:tcW w:w="4818" w:type="dxa"/>
          </w:tcPr>
          <w:p w14:paraId="3823D5DE" w14:textId="77777777" w:rsidR="006507E8" w:rsidRPr="00286216" w:rsidRDefault="006507E8" w:rsidP="006507E8">
            <w:pPr>
              <w:pStyle w:val="StyleZakonu"/>
              <w:rPr>
                <w:color w:val="000000" w:themeColor="text1"/>
              </w:rPr>
            </w:pPr>
          </w:p>
        </w:tc>
        <w:tc>
          <w:tcPr>
            <w:tcW w:w="3686" w:type="dxa"/>
          </w:tcPr>
          <w:p w14:paraId="51D06E7A" w14:textId="3043781A"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895</w:t>
            </w:r>
            <w:r w:rsidRPr="00286216">
              <w:rPr>
                <w:color w:val="000000" w:themeColor="text1"/>
                <w:spacing w:val="-4"/>
              </w:rPr>
              <w:fldChar w:fldCharType="end"/>
            </w:r>
            <w:r w:rsidRPr="00286216">
              <w:rPr>
                <w:color w:val="000000" w:themeColor="text1"/>
                <w:spacing w:val="-4"/>
              </w:rPr>
              <w:t>-Н.д.Бєлькова О.В. (Реєстр.картка №403)</w:t>
            </w:r>
          </w:p>
          <w:p w14:paraId="442B2D70" w14:textId="77777777" w:rsidR="006507E8" w:rsidRPr="00286216" w:rsidRDefault="006507E8" w:rsidP="006507E8">
            <w:pPr>
              <w:pStyle w:val="StyleProp"/>
              <w:spacing w:line="190" w:lineRule="exact"/>
              <w:rPr>
                <w:color w:val="000000" w:themeColor="text1"/>
              </w:rPr>
            </w:pPr>
            <w:r w:rsidRPr="00286216">
              <w:rPr>
                <w:color w:val="000000" w:themeColor="text1"/>
              </w:rPr>
              <w:t>Доповнити статтю 84 частиною шостою такого змісту:</w:t>
            </w:r>
          </w:p>
          <w:p w14:paraId="477B09D6" w14:textId="77777777" w:rsidR="006507E8" w:rsidRPr="00286216" w:rsidRDefault="006507E8" w:rsidP="006507E8">
            <w:pPr>
              <w:pStyle w:val="StyleProp"/>
              <w:spacing w:line="190" w:lineRule="exact"/>
              <w:rPr>
                <w:color w:val="000000" w:themeColor="text1"/>
              </w:rPr>
            </w:pPr>
            <w:r w:rsidRPr="00286216">
              <w:rPr>
                <w:color w:val="000000" w:themeColor="text1"/>
              </w:rPr>
              <w:t>«6. Національна комісія з цінних паперів та фондового ринку приймає рішення про відмову у включенні юридичної особи до Реєстру торгових репозиторіїв виключно з таких підстав:</w:t>
            </w:r>
          </w:p>
          <w:p w14:paraId="56354303" w14:textId="77777777" w:rsidR="006507E8" w:rsidRPr="00286216" w:rsidRDefault="006507E8" w:rsidP="006507E8">
            <w:pPr>
              <w:pStyle w:val="StyleProp"/>
              <w:spacing w:line="190" w:lineRule="exact"/>
              <w:rPr>
                <w:color w:val="000000" w:themeColor="text1"/>
              </w:rPr>
            </w:pPr>
            <w:r w:rsidRPr="00286216">
              <w:rPr>
                <w:color w:val="000000" w:themeColor="text1"/>
              </w:rPr>
              <w:t>1) невідповідність юридичної особи, яка має намір провадити діяльність торгового репозиторію, вимогам законодавства;</w:t>
            </w:r>
          </w:p>
          <w:p w14:paraId="5458B5FC" w14:textId="77777777" w:rsidR="006507E8" w:rsidRPr="00286216" w:rsidRDefault="006507E8" w:rsidP="006507E8">
            <w:pPr>
              <w:pStyle w:val="StyleProp"/>
              <w:spacing w:line="190" w:lineRule="exact"/>
              <w:rPr>
                <w:color w:val="000000" w:themeColor="text1"/>
              </w:rPr>
            </w:pPr>
            <w:r w:rsidRPr="00286216">
              <w:rPr>
                <w:color w:val="000000" w:themeColor="text1"/>
              </w:rPr>
              <w:t>2) наявність у документах неповної, та/або взаємовиключної, та/або неузгодженої, та/або недостовірної інформації;</w:t>
            </w:r>
          </w:p>
          <w:p w14:paraId="6A4A73F7" w14:textId="77777777" w:rsidR="006507E8" w:rsidRPr="00286216" w:rsidRDefault="006507E8" w:rsidP="006507E8">
            <w:pPr>
              <w:pStyle w:val="StyleProp"/>
              <w:spacing w:line="190" w:lineRule="exact"/>
              <w:rPr>
                <w:color w:val="000000" w:themeColor="text1"/>
              </w:rPr>
            </w:pPr>
            <w:r w:rsidRPr="00286216">
              <w:rPr>
                <w:color w:val="000000" w:themeColor="text1"/>
              </w:rPr>
              <w:t>3) невідповідність засобів, які забезпечують провадження діяльності торгового репозиторію на ринках капіталу та організованих товарних ринках, вимогам законодавства.</w:t>
            </w:r>
          </w:p>
          <w:p w14:paraId="454FA864" w14:textId="77777777" w:rsidR="006507E8" w:rsidRPr="00286216" w:rsidRDefault="006507E8" w:rsidP="006507E8">
            <w:pPr>
              <w:pStyle w:val="StyleProp"/>
              <w:spacing w:line="190" w:lineRule="exact"/>
              <w:rPr>
                <w:color w:val="000000" w:themeColor="text1"/>
              </w:rPr>
            </w:pPr>
            <w:r w:rsidRPr="00286216">
              <w:rPr>
                <w:color w:val="000000" w:themeColor="text1"/>
              </w:rPr>
              <w:t xml:space="preserve"> Рішення Національної комісії з цінних паперів та фондового ринку про відмову у включенні юридичної особи до Реєстру торгових репозиторіїв може бути оскаржено у судовому порядку.</w:t>
            </w:r>
          </w:p>
          <w:p w14:paraId="1BFBE01E" w14:textId="5828CAB2" w:rsidR="006507E8" w:rsidRPr="00286216" w:rsidRDefault="006507E8" w:rsidP="006507E8">
            <w:pPr>
              <w:pStyle w:val="StyleProp"/>
              <w:spacing w:line="190" w:lineRule="exact"/>
              <w:rPr>
                <w:color w:val="000000" w:themeColor="text1"/>
                <w:spacing w:val="-10"/>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особи до Реєстру торгових репозиторіїв, юридична особа може повторно звернуться із заявою про включення до Реєстру торгових репозиторіїв».</w:t>
            </w:r>
          </w:p>
        </w:tc>
        <w:tc>
          <w:tcPr>
            <w:tcW w:w="1987" w:type="dxa"/>
          </w:tcPr>
          <w:p w14:paraId="28D1A5EF"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22DC3E25" w14:textId="77777777" w:rsidR="006507E8" w:rsidRPr="00286216" w:rsidRDefault="006507E8" w:rsidP="006507E8">
            <w:pPr>
              <w:pStyle w:val="StyleZakonu"/>
              <w:rPr>
                <w:color w:val="000000" w:themeColor="text1"/>
              </w:rPr>
            </w:pPr>
            <w:r w:rsidRPr="00286216">
              <w:rPr>
                <w:color w:val="000000" w:themeColor="text1"/>
              </w:rPr>
              <w:t>6. Національна комісія з цінних паперів та фондового ринку приймає рішення про відмову у включенні юридичної особи до Реєстру торгових репозиторіїв виключно з таких підстав:</w:t>
            </w:r>
          </w:p>
          <w:p w14:paraId="7648E5BC" w14:textId="77777777" w:rsidR="006507E8" w:rsidRPr="00286216" w:rsidRDefault="006507E8" w:rsidP="006507E8">
            <w:pPr>
              <w:pStyle w:val="StyleZakonu"/>
              <w:rPr>
                <w:color w:val="000000" w:themeColor="text1"/>
              </w:rPr>
            </w:pPr>
            <w:r w:rsidRPr="00286216">
              <w:rPr>
                <w:color w:val="000000" w:themeColor="text1"/>
              </w:rPr>
              <w:t>1) невідповідність юридичної особи, яка має намір провадити діяльність торгового репозиторію, вимогам законодавства;</w:t>
            </w:r>
          </w:p>
          <w:p w14:paraId="65A24465" w14:textId="77777777" w:rsidR="006507E8" w:rsidRPr="00286216" w:rsidRDefault="006507E8" w:rsidP="006507E8">
            <w:pPr>
              <w:pStyle w:val="StyleZakonu"/>
              <w:rPr>
                <w:color w:val="000000" w:themeColor="text1"/>
              </w:rPr>
            </w:pPr>
            <w:r w:rsidRPr="00286216">
              <w:rPr>
                <w:color w:val="000000" w:themeColor="text1"/>
              </w:rPr>
              <w:t>2) наявність у документах неповної та/або взаємовиключної, та/або неузгодженої, та/або недостовірної інформації;</w:t>
            </w:r>
          </w:p>
          <w:p w14:paraId="1D26D480" w14:textId="77777777" w:rsidR="006507E8" w:rsidRPr="00286216" w:rsidRDefault="006507E8" w:rsidP="006507E8">
            <w:pPr>
              <w:pStyle w:val="StyleZakonu"/>
              <w:rPr>
                <w:color w:val="000000" w:themeColor="text1"/>
              </w:rPr>
            </w:pPr>
            <w:r w:rsidRPr="00286216">
              <w:rPr>
                <w:color w:val="000000" w:themeColor="text1"/>
              </w:rPr>
              <w:t>3) невідповідність засобів, що забезпечують провадження діяльності торгового репозиторію на ринках капіталу та організованих товарних ринках, вимогам законодавства.</w:t>
            </w:r>
          </w:p>
          <w:p w14:paraId="75B2E500" w14:textId="77777777" w:rsidR="006507E8" w:rsidRPr="00286216" w:rsidRDefault="006507E8" w:rsidP="006507E8">
            <w:pPr>
              <w:pStyle w:val="StyleZakonu"/>
              <w:rPr>
                <w:color w:val="000000" w:themeColor="text1"/>
              </w:rPr>
            </w:pPr>
            <w:r w:rsidRPr="00286216">
              <w:rPr>
                <w:color w:val="000000" w:themeColor="text1"/>
              </w:rPr>
              <w:t xml:space="preserve"> Рішення Національної комісії з цінних паперів та фондового ринку про відмову у включенні юридичної особи до Реєстру торгових репозиторіїв може бути оскаржено у судовому порядку.</w:t>
            </w:r>
          </w:p>
          <w:p w14:paraId="77403BEF" w14:textId="6B081B2C" w:rsidR="006507E8" w:rsidRPr="00286216" w:rsidRDefault="006507E8" w:rsidP="006507E8">
            <w:pPr>
              <w:pStyle w:val="StyleZakonu"/>
              <w:rPr>
                <w:color w:val="000000" w:themeColor="text1"/>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особи до Реєстру торгових репозиторіїв, юридична особа може повторно звернутися із заявою про включення до Реєстру торгових репозиторіїв.</w:t>
            </w:r>
          </w:p>
        </w:tc>
      </w:tr>
      <w:bookmarkEnd w:id="1184"/>
      <w:tr w:rsidR="006507E8" w:rsidRPr="00286216" w14:paraId="2FA67A9A" w14:textId="77777777" w:rsidTr="00091AA5">
        <w:tc>
          <w:tcPr>
            <w:tcW w:w="576" w:type="dxa"/>
          </w:tcPr>
          <w:p w14:paraId="4AE19454" w14:textId="77777777" w:rsidR="006507E8" w:rsidRPr="00286216" w:rsidRDefault="006507E8" w:rsidP="006507E8">
            <w:pPr>
              <w:pStyle w:val="StyleWisnow"/>
              <w:rPr>
                <w:color w:val="000000" w:themeColor="text1"/>
              </w:rPr>
            </w:pPr>
          </w:p>
        </w:tc>
        <w:tc>
          <w:tcPr>
            <w:tcW w:w="4818" w:type="dxa"/>
          </w:tcPr>
          <w:p w14:paraId="4B044224" w14:textId="77777777" w:rsidR="006507E8" w:rsidRPr="00286216" w:rsidRDefault="006507E8" w:rsidP="006507E8">
            <w:pPr>
              <w:pStyle w:val="StyleZakonu"/>
              <w:rPr>
                <w:color w:val="000000" w:themeColor="text1"/>
              </w:rPr>
            </w:pPr>
          </w:p>
        </w:tc>
        <w:tc>
          <w:tcPr>
            <w:tcW w:w="3686" w:type="dxa"/>
          </w:tcPr>
          <w:p w14:paraId="7D6A40EE" w14:textId="23882BE3"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896</w:t>
            </w:r>
            <w:r w:rsidRPr="00286216">
              <w:rPr>
                <w:color w:val="000000" w:themeColor="text1"/>
                <w:spacing w:val="-10"/>
              </w:rPr>
              <w:fldChar w:fldCharType="end"/>
            </w:r>
            <w:r w:rsidRPr="00286216">
              <w:rPr>
                <w:color w:val="000000" w:themeColor="text1"/>
                <w:spacing w:val="-10"/>
              </w:rPr>
              <w:t>-Н.д.Гетманцев Д.О.(Реєстр.картка №245)</w:t>
            </w:r>
          </w:p>
          <w:p w14:paraId="7049F334" w14:textId="77777777" w:rsidR="006507E8" w:rsidRPr="00286216" w:rsidRDefault="006507E8" w:rsidP="006507E8">
            <w:pPr>
              <w:pStyle w:val="StyleProp"/>
              <w:spacing w:line="190" w:lineRule="exact"/>
              <w:rPr>
                <w:color w:val="000000" w:themeColor="text1"/>
              </w:rPr>
            </w:pPr>
            <w:r w:rsidRPr="00286216">
              <w:rPr>
                <w:color w:val="000000" w:themeColor="text1"/>
              </w:rPr>
              <w:t>У статті 84 доповнити частиною шостою такого змісту:</w:t>
            </w:r>
          </w:p>
          <w:p w14:paraId="6003FEC3" w14:textId="77777777" w:rsidR="006507E8" w:rsidRPr="00286216" w:rsidRDefault="006507E8" w:rsidP="006507E8">
            <w:pPr>
              <w:pStyle w:val="StyleProp"/>
              <w:spacing w:line="190" w:lineRule="exact"/>
              <w:rPr>
                <w:color w:val="000000" w:themeColor="text1"/>
              </w:rPr>
            </w:pPr>
            <w:r w:rsidRPr="00286216">
              <w:rPr>
                <w:color w:val="000000" w:themeColor="text1"/>
              </w:rPr>
              <w:t>«6. Національна комісія з цінних паперів та фондового ринку приймає рішення про відмову у включенні юридичної особи до Реєстру торгових репозиторіїв виключно з таких підстав:</w:t>
            </w:r>
          </w:p>
          <w:p w14:paraId="145155D6" w14:textId="77777777" w:rsidR="006507E8" w:rsidRPr="00286216" w:rsidRDefault="006507E8" w:rsidP="006507E8">
            <w:pPr>
              <w:pStyle w:val="StyleProp"/>
              <w:spacing w:line="190" w:lineRule="exact"/>
              <w:rPr>
                <w:color w:val="000000" w:themeColor="text1"/>
              </w:rPr>
            </w:pPr>
            <w:r w:rsidRPr="00286216">
              <w:rPr>
                <w:color w:val="000000" w:themeColor="text1"/>
              </w:rPr>
              <w:t>1) подання документів для включення до Реєстру уповноважених осіб в неповному обсязі;</w:t>
            </w:r>
          </w:p>
          <w:p w14:paraId="0F56A1CD" w14:textId="77777777" w:rsidR="006507E8" w:rsidRPr="00286216" w:rsidRDefault="006507E8" w:rsidP="006507E8">
            <w:pPr>
              <w:pStyle w:val="StyleProp"/>
              <w:spacing w:line="190" w:lineRule="exact"/>
              <w:rPr>
                <w:color w:val="000000" w:themeColor="text1"/>
              </w:rPr>
            </w:pPr>
            <w:r w:rsidRPr="00286216">
              <w:rPr>
                <w:color w:val="000000" w:themeColor="text1"/>
              </w:rPr>
              <w:t>2) наявність недостовірнх даних у поданих документах;</w:t>
            </w:r>
          </w:p>
          <w:p w14:paraId="0989EBA6" w14:textId="77777777" w:rsidR="006507E8" w:rsidRPr="00286216" w:rsidRDefault="006507E8" w:rsidP="006507E8">
            <w:pPr>
              <w:pStyle w:val="StyleProp"/>
              <w:spacing w:line="190" w:lineRule="exact"/>
              <w:rPr>
                <w:color w:val="000000" w:themeColor="text1"/>
              </w:rPr>
            </w:pPr>
            <w:r w:rsidRPr="00286216">
              <w:rPr>
                <w:color w:val="000000" w:themeColor="text1"/>
              </w:rPr>
              <w:t>3) невідповідність змісту поданих документів вимогам цього Закону.</w:t>
            </w:r>
          </w:p>
          <w:p w14:paraId="0B21FF4C" w14:textId="77777777" w:rsidR="006507E8" w:rsidRPr="00286216" w:rsidRDefault="006507E8" w:rsidP="006507E8">
            <w:pPr>
              <w:pStyle w:val="StyleProp"/>
              <w:spacing w:line="190" w:lineRule="exact"/>
              <w:rPr>
                <w:color w:val="000000" w:themeColor="text1"/>
              </w:rPr>
            </w:pPr>
            <w:r w:rsidRPr="00286216">
              <w:rPr>
                <w:color w:val="000000" w:themeColor="text1"/>
              </w:rPr>
              <w:lastRenderedPageBreak/>
              <w:t>Рішення Національної комісії з цінних паперів та фондового ринку про відмову у включенні юридичної особи до Реєстру торгових репозиторіїв може бути оскаржено у судовому порядку.</w:t>
            </w:r>
          </w:p>
          <w:p w14:paraId="324BBEBB" w14:textId="77777777" w:rsidR="006507E8" w:rsidRPr="00286216" w:rsidRDefault="006507E8" w:rsidP="006507E8">
            <w:pPr>
              <w:pStyle w:val="StyleProp"/>
              <w:spacing w:line="190" w:lineRule="exact"/>
              <w:rPr>
                <w:color w:val="000000" w:themeColor="text1"/>
              </w:rPr>
            </w:pPr>
            <w:r w:rsidRPr="00286216">
              <w:rPr>
                <w:color w:val="000000" w:themeColor="text1"/>
              </w:rPr>
              <w:t>Після усунення причин, що стали підставою для прийняття Національною комісією з цінних паперів та фондового ринку рішення про відмову у включенні юридичної особ до Реєстру торгових репозиторіїв, юридична особа може повторно звернуться до зазначеного державного органу із заявою про включення до Реєстру торгових репозиторіїв».</w:t>
            </w:r>
          </w:p>
        </w:tc>
        <w:tc>
          <w:tcPr>
            <w:tcW w:w="1987" w:type="dxa"/>
          </w:tcPr>
          <w:p w14:paraId="1EE0E7A6" w14:textId="77777777" w:rsidR="006507E8" w:rsidRPr="00286216" w:rsidRDefault="006507E8" w:rsidP="006507E8">
            <w:pPr>
              <w:pStyle w:val="StyleWisnow"/>
              <w:rPr>
                <w:color w:val="000000" w:themeColor="text1"/>
              </w:rPr>
            </w:pPr>
            <w:r w:rsidRPr="00286216">
              <w:rPr>
                <w:color w:val="000000" w:themeColor="text1"/>
              </w:rPr>
              <w:lastRenderedPageBreak/>
              <w:t>Враховано реакційно</w:t>
            </w:r>
          </w:p>
        </w:tc>
        <w:tc>
          <w:tcPr>
            <w:tcW w:w="4818" w:type="dxa"/>
          </w:tcPr>
          <w:p w14:paraId="35238B5F" w14:textId="77777777" w:rsidR="006507E8" w:rsidRPr="00286216" w:rsidRDefault="006507E8" w:rsidP="006507E8">
            <w:pPr>
              <w:pStyle w:val="StyleZakonu"/>
              <w:rPr>
                <w:color w:val="000000" w:themeColor="text1"/>
              </w:rPr>
            </w:pPr>
          </w:p>
        </w:tc>
      </w:tr>
      <w:tr w:rsidR="006507E8" w:rsidRPr="00286216" w14:paraId="51FC8BE6" w14:textId="77777777" w:rsidTr="00091AA5">
        <w:tc>
          <w:tcPr>
            <w:tcW w:w="576" w:type="dxa"/>
          </w:tcPr>
          <w:p w14:paraId="20BA3D8A" w14:textId="77777777" w:rsidR="006507E8" w:rsidRPr="00286216" w:rsidRDefault="006507E8" w:rsidP="006507E8">
            <w:pPr>
              <w:pStyle w:val="StyleWisnow"/>
              <w:rPr>
                <w:color w:val="000000" w:themeColor="text1"/>
              </w:rPr>
            </w:pPr>
            <w:bookmarkStart w:id="1185" w:name="n1450" w:colFirst="0" w:colLast="0"/>
            <w:r w:rsidRPr="00286216">
              <w:rPr>
                <w:color w:val="000000" w:themeColor="text1"/>
              </w:rPr>
              <w:t>1450.</w:t>
            </w:r>
          </w:p>
        </w:tc>
        <w:tc>
          <w:tcPr>
            <w:tcW w:w="4818" w:type="dxa"/>
          </w:tcPr>
          <w:p w14:paraId="23D79793" w14:textId="77777777" w:rsidR="006507E8" w:rsidRPr="00286216" w:rsidRDefault="006507E8" w:rsidP="006507E8">
            <w:pPr>
              <w:pStyle w:val="StyleZakonu"/>
              <w:rPr>
                <w:color w:val="000000" w:themeColor="text1"/>
              </w:rPr>
            </w:pPr>
            <w:r w:rsidRPr="00286216">
              <w:rPr>
                <w:color w:val="000000" w:themeColor="text1"/>
              </w:rPr>
              <w:t>Стаття 85. Анулювання свідоцтва про включення до Реєстру торгових репозиторіїв</w:t>
            </w:r>
          </w:p>
        </w:tc>
        <w:tc>
          <w:tcPr>
            <w:tcW w:w="3686" w:type="dxa"/>
          </w:tcPr>
          <w:p w14:paraId="20DE9DF9" w14:textId="7029A89F"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897</w:t>
            </w:r>
            <w:r w:rsidRPr="00286216">
              <w:rPr>
                <w:color w:val="000000" w:themeColor="text1"/>
              </w:rPr>
              <w:fldChar w:fldCharType="end"/>
            </w:r>
            <w:r w:rsidRPr="00286216">
              <w:rPr>
                <w:color w:val="000000" w:themeColor="text1"/>
              </w:rPr>
              <w:t>-Н.д.Шахов С.В. (Реєстр.картка №114)</w:t>
            </w:r>
          </w:p>
          <w:p w14:paraId="175F1C72" w14:textId="77777777" w:rsidR="006507E8" w:rsidRPr="00286216" w:rsidRDefault="006507E8" w:rsidP="006507E8">
            <w:pPr>
              <w:pStyle w:val="StyleProp"/>
              <w:spacing w:line="180" w:lineRule="exact"/>
              <w:rPr>
                <w:color w:val="000000" w:themeColor="text1"/>
              </w:rPr>
            </w:pPr>
            <w:r w:rsidRPr="00286216">
              <w:rPr>
                <w:color w:val="000000" w:themeColor="text1"/>
              </w:rPr>
              <w:t>статтю 85 викласти у такій редакції:</w:t>
            </w:r>
          </w:p>
          <w:p w14:paraId="36D303BA" w14:textId="77777777" w:rsidR="006507E8" w:rsidRPr="00286216" w:rsidRDefault="006507E8" w:rsidP="006507E8">
            <w:pPr>
              <w:pStyle w:val="StyleProp"/>
              <w:spacing w:line="180" w:lineRule="exact"/>
              <w:rPr>
                <w:color w:val="000000" w:themeColor="text1"/>
              </w:rPr>
            </w:pPr>
            <w:r w:rsidRPr="00286216">
              <w:rPr>
                <w:color w:val="000000" w:themeColor="text1"/>
              </w:rPr>
              <w:t>"Стаття 85. Анулювання свідоцтва про включення до Реєстру торгових репозиторіїв</w:t>
            </w:r>
          </w:p>
        </w:tc>
        <w:tc>
          <w:tcPr>
            <w:tcW w:w="1987" w:type="dxa"/>
          </w:tcPr>
          <w:p w14:paraId="5842C6E4" w14:textId="77777777" w:rsidR="006507E8" w:rsidRPr="00286216" w:rsidRDefault="006507E8" w:rsidP="006507E8">
            <w:pPr>
              <w:pStyle w:val="StyleWisnow"/>
              <w:rPr>
                <w:color w:val="000000" w:themeColor="text1"/>
              </w:rPr>
            </w:pPr>
            <w:r w:rsidRPr="00286216">
              <w:rPr>
                <w:color w:val="000000" w:themeColor="text1"/>
              </w:rPr>
              <w:t xml:space="preserve">Відхилено </w:t>
            </w:r>
          </w:p>
          <w:p w14:paraId="14D50E3E" w14:textId="77777777" w:rsidR="006507E8" w:rsidRPr="00286216" w:rsidRDefault="006507E8" w:rsidP="006507E8">
            <w:pPr>
              <w:pStyle w:val="StyleWisnow"/>
              <w:rPr>
                <w:color w:val="000000" w:themeColor="text1"/>
              </w:rPr>
            </w:pPr>
            <w:r w:rsidRPr="00286216">
              <w:rPr>
                <w:color w:val="000000" w:themeColor="text1"/>
              </w:rPr>
              <w:t>суперечить MiFIR та EMIR</w:t>
            </w:r>
          </w:p>
        </w:tc>
        <w:tc>
          <w:tcPr>
            <w:tcW w:w="4818" w:type="dxa"/>
          </w:tcPr>
          <w:p w14:paraId="4C902C33" w14:textId="0087D6CC" w:rsidR="006507E8" w:rsidRPr="00286216" w:rsidRDefault="006507E8" w:rsidP="006507E8">
            <w:pPr>
              <w:pStyle w:val="StyleZakonu"/>
              <w:rPr>
                <w:color w:val="000000" w:themeColor="text1"/>
              </w:rPr>
            </w:pPr>
            <w:r w:rsidRPr="00286216">
              <w:rPr>
                <w:color w:val="000000" w:themeColor="text1"/>
              </w:rPr>
              <w:t>Стаття 89. Анулювання свідоцтва про включення до Реєстру торгових репозиторіїв</w:t>
            </w:r>
          </w:p>
        </w:tc>
      </w:tr>
      <w:tr w:rsidR="006507E8" w:rsidRPr="00286216" w14:paraId="4CB7DF83" w14:textId="77777777" w:rsidTr="00091AA5">
        <w:tc>
          <w:tcPr>
            <w:tcW w:w="576" w:type="dxa"/>
          </w:tcPr>
          <w:p w14:paraId="608FDB8E" w14:textId="77777777" w:rsidR="006507E8" w:rsidRPr="00286216" w:rsidRDefault="006507E8" w:rsidP="006507E8">
            <w:pPr>
              <w:pStyle w:val="StyleWisnow"/>
              <w:rPr>
                <w:color w:val="000000" w:themeColor="text1"/>
              </w:rPr>
            </w:pPr>
            <w:bookmarkStart w:id="1186" w:name="n1451" w:colFirst="0" w:colLast="0"/>
            <w:bookmarkEnd w:id="1185"/>
            <w:r w:rsidRPr="00286216">
              <w:rPr>
                <w:color w:val="000000" w:themeColor="text1"/>
              </w:rPr>
              <w:t>1451.</w:t>
            </w:r>
          </w:p>
        </w:tc>
        <w:tc>
          <w:tcPr>
            <w:tcW w:w="4818" w:type="dxa"/>
          </w:tcPr>
          <w:p w14:paraId="09E6D119" w14:textId="77777777" w:rsidR="006507E8" w:rsidRPr="00286216" w:rsidRDefault="006507E8" w:rsidP="006507E8">
            <w:pPr>
              <w:pStyle w:val="StyleZakonu"/>
              <w:rPr>
                <w:color w:val="000000" w:themeColor="text1"/>
              </w:rPr>
            </w:pPr>
            <w:r w:rsidRPr="00286216">
              <w:rPr>
                <w:color w:val="000000" w:themeColor="text1"/>
              </w:rPr>
              <w:t>1. Підставою для анулювання свідоцтва про включення до Реєстру є:</w:t>
            </w:r>
          </w:p>
        </w:tc>
        <w:tc>
          <w:tcPr>
            <w:tcW w:w="3686" w:type="dxa"/>
          </w:tcPr>
          <w:p w14:paraId="76F05EE1" w14:textId="77777777" w:rsidR="006507E8" w:rsidRPr="00286216" w:rsidRDefault="006507E8" w:rsidP="006507E8">
            <w:pPr>
              <w:pStyle w:val="StyleProp"/>
              <w:spacing w:line="190" w:lineRule="exact"/>
              <w:rPr>
                <w:color w:val="000000" w:themeColor="text1"/>
              </w:rPr>
            </w:pPr>
            <w:r w:rsidRPr="00286216">
              <w:rPr>
                <w:color w:val="000000" w:themeColor="text1"/>
              </w:rPr>
              <w:t>1. Підставою для анулювання свідоцтва про включення до Реєстру є:</w:t>
            </w:r>
          </w:p>
        </w:tc>
        <w:tc>
          <w:tcPr>
            <w:tcW w:w="1987" w:type="dxa"/>
          </w:tcPr>
          <w:p w14:paraId="7E74E3C8" w14:textId="77777777" w:rsidR="006507E8" w:rsidRPr="00286216" w:rsidRDefault="006507E8" w:rsidP="006507E8">
            <w:pPr>
              <w:pStyle w:val="StyleWisnow"/>
              <w:rPr>
                <w:color w:val="000000" w:themeColor="text1"/>
              </w:rPr>
            </w:pPr>
          </w:p>
        </w:tc>
        <w:tc>
          <w:tcPr>
            <w:tcW w:w="4818" w:type="dxa"/>
          </w:tcPr>
          <w:p w14:paraId="65536E35" w14:textId="432BC9C3" w:rsidR="006507E8" w:rsidRPr="00286216" w:rsidRDefault="006507E8" w:rsidP="006507E8">
            <w:pPr>
              <w:pStyle w:val="StyleZakonu"/>
              <w:rPr>
                <w:color w:val="000000" w:themeColor="text1"/>
              </w:rPr>
            </w:pPr>
            <w:r w:rsidRPr="00286216">
              <w:rPr>
                <w:color w:val="000000" w:themeColor="text1"/>
              </w:rPr>
              <w:t>1. Підставою для анулювання свідоцтва про включення до Реєстру є:</w:t>
            </w:r>
          </w:p>
        </w:tc>
      </w:tr>
      <w:tr w:rsidR="006507E8" w:rsidRPr="00286216" w14:paraId="1B09224D" w14:textId="77777777" w:rsidTr="00091AA5">
        <w:tc>
          <w:tcPr>
            <w:tcW w:w="576" w:type="dxa"/>
          </w:tcPr>
          <w:p w14:paraId="450692E2" w14:textId="77777777" w:rsidR="006507E8" w:rsidRPr="00286216" w:rsidRDefault="006507E8" w:rsidP="006507E8">
            <w:pPr>
              <w:pStyle w:val="StyleWisnow"/>
              <w:rPr>
                <w:color w:val="000000" w:themeColor="text1"/>
              </w:rPr>
            </w:pPr>
            <w:bookmarkStart w:id="1187" w:name="n1452" w:colFirst="0" w:colLast="0"/>
            <w:bookmarkEnd w:id="1186"/>
            <w:r w:rsidRPr="00286216">
              <w:rPr>
                <w:color w:val="000000" w:themeColor="text1"/>
              </w:rPr>
              <w:t>1452.</w:t>
            </w:r>
          </w:p>
        </w:tc>
        <w:tc>
          <w:tcPr>
            <w:tcW w:w="4818" w:type="dxa"/>
          </w:tcPr>
          <w:p w14:paraId="283DD054" w14:textId="77777777" w:rsidR="006507E8" w:rsidRPr="00286216" w:rsidRDefault="006507E8" w:rsidP="006507E8">
            <w:pPr>
              <w:pStyle w:val="StyleZakonu"/>
              <w:rPr>
                <w:color w:val="000000" w:themeColor="text1"/>
              </w:rPr>
            </w:pPr>
            <w:r w:rsidRPr="00286216">
              <w:rPr>
                <w:color w:val="000000" w:themeColor="text1"/>
              </w:rPr>
              <w:t>1) заява особи, яка провадить діяльність торгового репозиторію на ринках капіталу та організованих товарних ринках;</w:t>
            </w:r>
          </w:p>
        </w:tc>
        <w:tc>
          <w:tcPr>
            <w:tcW w:w="3686" w:type="dxa"/>
          </w:tcPr>
          <w:p w14:paraId="666DF364" w14:textId="77777777" w:rsidR="006507E8" w:rsidRPr="00286216" w:rsidRDefault="006507E8" w:rsidP="006507E8">
            <w:pPr>
              <w:pStyle w:val="StyleProp"/>
              <w:spacing w:line="190" w:lineRule="exact"/>
              <w:rPr>
                <w:color w:val="000000" w:themeColor="text1"/>
              </w:rPr>
            </w:pPr>
            <w:r w:rsidRPr="00286216">
              <w:rPr>
                <w:color w:val="000000" w:themeColor="text1"/>
              </w:rPr>
              <w:t>1) заява особи, яка провадить діяльність торгового репозиторію на ринках капіталу;</w:t>
            </w:r>
          </w:p>
        </w:tc>
        <w:tc>
          <w:tcPr>
            <w:tcW w:w="1987" w:type="dxa"/>
          </w:tcPr>
          <w:p w14:paraId="231F2B1B" w14:textId="77777777" w:rsidR="006507E8" w:rsidRPr="00286216" w:rsidRDefault="006507E8" w:rsidP="006507E8">
            <w:pPr>
              <w:pStyle w:val="StyleWisnow"/>
              <w:rPr>
                <w:color w:val="000000" w:themeColor="text1"/>
              </w:rPr>
            </w:pPr>
          </w:p>
        </w:tc>
        <w:tc>
          <w:tcPr>
            <w:tcW w:w="4818" w:type="dxa"/>
          </w:tcPr>
          <w:p w14:paraId="7DC5743C" w14:textId="3E8E0F25" w:rsidR="006507E8" w:rsidRPr="00286216" w:rsidRDefault="006507E8" w:rsidP="006507E8">
            <w:pPr>
              <w:pStyle w:val="StyleZakonu"/>
              <w:rPr>
                <w:color w:val="000000" w:themeColor="text1"/>
              </w:rPr>
            </w:pPr>
            <w:r w:rsidRPr="00286216">
              <w:rPr>
                <w:color w:val="000000" w:themeColor="text1"/>
              </w:rPr>
              <w:t>1) заява особи, яка провадить діяльність торгового репозиторію на ринках капіталу та організованих товарних ринках;</w:t>
            </w:r>
          </w:p>
        </w:tc>
      </w:tr>
      <w:tr w:rsidR="006507E8" w:rsidRPr="00286216" w14:paraId="1A10A93D" w14:textId="77777777" w:rsidTr="00091AA5">
        <w:tc>
          <w:tcPr>
            <w:tcW w:w="576" w:type="dxa"/>
          </w:tcPr>
          <w:p w14:paraId="4875AB3B" w14:textId="77777777" w:rsidR="006507E8" w:rsidRPr="00286216" w:rsidRDefault="006507E8" w:rsidP="006507E8">
            <w:pPr>
              <w:pStyle w:val="StyleWisnow"/>
              <w:rPr>
                <w:color w:val="000000" w:themeColor="text1"/>
              </w:rPr>
            </w:pPr>
            <w:bookmarkStart w:id="1188" w:name="n1453" w:colFirst="0" w:colLast="0"/>
            <w:bookmarkEnd w:id="1187"/>
            <w:r w:rsidRPr="00286216">
              <w:rPr>
                <w:color w:val="000000" w:themeColor="text1"/>
              </w:rPr>
              <w:t>1453.</w:t>
            </w:r>
          </w:p>
        </w:tc>
        <w:tc>
          <w:tcPr>
            <w:tcW w:w="4818" w:type="dxa"/>
          </w:tcPr>
          <w:p w14:paraId="6536C64E" w14:textId="77777777" w:rsidR="006507E8" w:rsidRPr="00286216" w:rsidRDefault="006507E8" w:rsidP="006507E8">
            <w:pPr>
              <w:pStyle w:val="StyleZakonu"/>
              <w:rPr>
                <w:color w:val="000000" w:themeColor="text1"/>
              </w:rPr>
            </w:pPr>
            <w:r w:rsidRPr="00286216">
              <w:rPr>
                <w:color w:val="000000" w:themeColor="text1"/>
              </w:rPr>
              <w:t>2) встановлення факту не провадження діяльності торгового репозиторію на ринках капіталу та організованих товарних ринках протягом 6 місяців поспіль;</w:t>
            </w:r>
          </w:p>
        </w:tc>
        <w:tc>
          <w:tcPr>
            <w:tcW w:w="3686" w:type="dxa"/>
          </w:tcPr>
          <w:p w14:paraId="0162904E" w14:textId="77777777" w:rsidR="006507E8" w:rsidRPr="00286216" w:rsidRDefault="006507E8" w:rsidP="006507E8">
            <w:pPr>
              <w:pStyle w:val="StyleProp"/>
              <w:spacing w:line="190" w:lineRule="exact"/>
              <w:rPr>
                <w:color w:val="000000" w:themeColor="text1"/>
              </w:rPr>
            </w:pPr>
            <w:r w:rsidRPr="00286216">
              <w:rPr>
                <w:color w:val="000000" w:themeColor="text1"/>
              </w:rPr>
              <w:t>2) встановлення факту не провадження діяльності торгового репозиторію на ринках капіталу протягом 6 місяців поспіль;</w:t>
            </w:r>
          </w:p>
        </w:tc>
        <w:tc>
          <w:tcPr>
            <w:tcW w:w="1987" w:type="dxa"/>
          </w:tcPr>
          <w:p w14:paraId="3D46BE61" w14:textId="77777777" w:rsidR="006507E8" w:rsidRPr="00286216" w:rsidRDefault="006507E8" w:rsidP="006507E8">
            <w:pPr>
              <w:pStyle w:val="StyleWisnow"/>
              <w:rPr>
                <w:color w:val="000000" w:themeColor="text1"/>
              </w:rPr>
            </w:pPr>
          </w:p>
        </w:tc>
        <w:tc>
          <w:tcPr>
            <w:tcW w:w="4818" w:type="dxa"/>
          </w:tcPr>
          <w:p w14:paraId="5E025200" w14:textId="5972C113" w:rsidR="006507E8" w:rsidRPr="00286216" w:rsidRDefault="006507E8" w:rsidP="006507E8">
            <w:pPr>
              <w:pStyle w:val="StyleZakonu"/>
              <w:rPr>
                <w:color w:val="000000" w:themeColor="text1"/>
              </w:rPr>
            </w:pPr>
            <w:r w:rsidRPr="00286216">
              <w:rPr>
                <w:color w:val="000000" w:themeColor="text1"/>
              </w:rPr>
              <w:t>2) встановлення факту непровадження діяльності торгового репозиторію на ринках капіталу та організованих товарних ринках протягом шести місяців поспіль;</w:t>
            </w:r>
          </w:p>
        </w:tc>
      </w:tr>
      <w:tr w:rsidR="006507E8" w:rsidRPr="00286216" w14:paraId="4D1AC35D" w14:textId="77777777" w:rsidTr="00091AA5">
        <w:tc>
          <w:tcPr>
            <w:tcW w:w="576" w:type="dxa"/>
          </w:tcPr>
          <w:p w14:paraId="0C393778" w14:textId="77777777" w:rsidR="006507E8" w:rsidRPr="00286216" w:rsidRDefault="006507E8" w:rsidP="006507E8">
            <w:pPr>
              <w:pStyle w:val="StyleWisnow"/>
              <w:rPr>
                <w:color w:val="000000" w:themeColor="text1"/>
              </w:rPr>
            </w:pPr>
            <w:bookmarkStart w:id="1189" w:name="n1454" w:colFirst="0" w:colLast="0"/>
            <w:bookmarkEnd w:id="1188"/>
            <w:r w:rsidRPr="00286216">
              <w:rPr>
                <w:color w:val="000000" w:themeColor="text1"/>
              </w:rPr>
              <w:t>1454.</w:t>
            </w:r>
          </w:p>
        </w:tc>
        <w:tc>
          <w:tcPr>
            <w:tcW w:w="4818" w:type="dxa"/>
          </w:tcPr>
          <w:p w14:paraId="0A11B3D0" w14:textId="77777777" w:rsidR="006507E8" w:rsidRPr="00286216" w:rsidRDefault="006507E8" w:rsidP="006507E8">
            <w:pPr>
              <w:pStyle w:val="StyleZakonu"/>
              <w:rPr>
                <w:color w:val="000000" w:themeColor="text1"/>
              </w:rPr>
            </w:pPr>
            <w:r w:rsidRPr="00286216">
              <w:rPr>
                <w:color w:val="000000" w:themeColor="text1"/>
              </w:rPr>
              <w:t>3) встановлення факту подання недостовірної, неправдивої та/або оманливої інформації особою, яка провадить діяльність торгового репозиторію на ринках капіталу та організованих товарних ринках, для включення її до Реєстру торгових репозиторіїв;</w:t>
            </w:r>
          </w:p>
        </w:tc>
        <w:tc>
          <w:tcPr>
            <w:tcW w:w="3686" w:type="dxa"/>
          </w:tcPr>
          <w:p w14:paraId="642BF566" w14:textId="77777777" w:rsidR="006507E8" w:rsidRPr="00286216" w:rsidRDefault="006507E8" w:rsidP="006507E8">
            <w:pPr>
              <w:pStyle w:val="StyleProp"/>
              <w:spacing w:line="190" w:lineRule="exact"/>
              <w:rPr>
                <w:color w:val="000000" w:themeColor="text1"/>
              </w:rPr>
            </w:pPr>
            <w:r w:rsidRPr="00286216">
              <w:rPr>
                <w:color w:val="000000" w:themeColor="text1"/>
              </w:rPr>
              <w:t>3) встановлення факту подання недостовірної, неправдивої та/або оманливої інформації особою, яка провадить діяльність торгового репозиторію на ринках капіталу, для включення її до Реєстру торгових репозиторіїв;</w:t>
            </w:r>
          </w:p>
        </w:tc>
        <w:tc>
          <w:tcPr>
            <w:tcW w:w="1987" w:type="dxa"/>
          </w:tcPr>
          <w:p w14:paraId="057224CC" w14:textId="77777777" w:rsidR="006507E8" w:rsidRPr="00286216" w:rsidRDefault="006507E8" w:rsidP="006507E8">
            <w:pPr>
              <w:pStyle w:val="StyleWisnow"/>
              <w:rPr>
                <w:color w:val="000000" w:themeColor="text1"/>
              </w:rPr>
            </w:pPr>
          </w:p>
        </w:tc>
        <w:tc>
          <w:tcPr>
            <w:tcW w:w="4818" w:type="dxa"/>
          </w:tcPr>
          <w:p w14:paraId="06FA5851" w14:textId="3832AE70" w:rsidR="006507E8" w:rsidRPr="00286216" w:rsidRDefault="006507E8" w:rsidP="006507E8">
            <w:pPr>
              <w:pStyle w:val="StyleZakonu"/>
              <w:rPr>
                <w:color w:val="000000" w:themeColor="text1"/>
              </w:rPr>
            </w:pPr>
            <w:r w:rsidRPr="00286216">
              <w:rPr>
                <w:color w:val="000000" w:themeColor="text1"/>
              </w:rPr>
              <w:t>3) встановлення факту подання недостовірної, неправдивої та/або оманливої інформації особою, яка провадить діяльність торгового репозиторію на ринках капіталу та організованих товарних ринках, для включення її до Реєстру торгових репозиторіїв;</w:t>
            </w:r>
          </w:p>
        </w:tc>
      </w:tr>
      <w:tr w:rsidR="006507E8" w:rsidRPr="00286216" w14:paraId="3E0E6933" w14:textId="77777777" w:rsidTr="00091AA5">
        <w:tc>
          <w:tcPr>
            <w:tcW w:w="576" w:type="dxa"/>
          </w:tcPr>
          <w:p w14:paraId="16C59982" w14:textId="77777777" w:rsidR="006507E8" w:rsidRPr="00286216" w:rsidRDefault="006507E8" w:rsidP="006507E8">
            <w:pPr>
              <w:pStyle w:val="StyleWisnow"/>
              <w:rPr>
                <w:color w:val="000000" w:themeColor="text1"/>
              </w:rPr>
            </w:pPr>
            <w:bookmarkStart w:id="1190" w:name="n1455" w:colFirst="0" w:colLast="0"/>
            <w:bookmarkEnd w:id="1189"/>
            <w:r w:rsidRPr="00286216">
              <w:rPr>
                <w:color w:val="000000" w:themeColor="text1"/>
              </w:rPr>
              <w:t>1455.</w:t>
            </w:r>
          </w:p>
        </w:tc>
        <w:tc>
          <w:tcPr>
            <w:tcW w:w="4818" w:type="dxa"/>
          </w:tcPr>
          <w:p w14:paraId="359ED815" w14:textId="77777777" w:rsidR="006507E8" w:rsidRPr="00286216" w:rsidRDefault="006507E8" w:rsidP="006507E8">
            <w:pPr>
              <w:pStyle w:val="StyleZakonu"/>
              <w:rPr>
                <w:color w:val="000000" w:themeColor="text1"/>
              </w:rPr>
            </w:pPr>
            <w:r w:rsidRPr="00286216">
              <w:rPr>
                <w:color w:val="000000" w:themeColor="text1"/>
              </w:rPr>
              <w:t>4) встановлення факту невідповідності особи, яка провадить діяльність торгового репозиторію на ринках капіталу та організованих товарних ринках, вимогам законодавства до особи для включення її до Реєстру уповноважених осіб;</w:t>
            </w:r>
          </w:p>
        </w:tc>
        <w:tc>
          <w:tcPr>
            <w:tcW w:w="3686" w:type="dxa"/>
          </w:tcPr>
          <w:p w14:paraId="29D47EE3" w14:textId="77777777" w:rsidR="006507E8" w:rsidRPr="00286216" w:rsidRDefault="006507E8" w:rsidP="006507E8">
            <w:pPr>
              <w:pStyle w:val="StyleProp"/>
              <w:spacing w:line="180" w:lineRule="exact"/>
              <w:rPr>
                <w:color w:val="000000" w:themeColor="text1"/>
              </w:rPr>
            </w:pPr>
            <w:r w:rsidRPr="00286216">
              <w:rPr>
                <w:color w:val="000000" w:themeColor="text1"/>
              </w:rPr>
              <w:t>4) встановлення факту невідповідності особи, яка провадить діяльність торгового репозиторію на ринках капіталу, вимогам законодавства до особи для включення її до Реєстру уповноважених осіб;</w:t>
            </w:r>
          </w:p>
          <w:p w14:paraId="58149B76" w14:textId="77777777" w:rsidR="006507E8" w:rsidRPr="00286216" w:rsidRDefault="006507E8" w:rsidP="006507E8">
            <w:pPr>
              <w:pStyle w:val="StyleProp"/>
              <w:spacing w:line="180" w:lineRule="exact"/>
              <w:rPr>
                <w:color w:val="000000" w:themeColor="text1"/>
              </w:rPr>
            </w:pPr>
            <w:r w:rsidRPr="00286216">
              <w:rPr>
                <w:color w:val="000000" w:themeColor="text1"/>
              </w:rPr>
              <w:t>5) встановлення факту грубого порушення особою, яка провадить діяльність торгового репозиторію на ринках капіталу, або повторного протягом одного календарного року вимог законодавства на ринках капіталу".</w:t>
            </w:r>
          </w:p>
        </w:tc>
        <w:tc>
          <w:tcPr>
            <w:tcW w:w="1987" w:type="dxa"/>
          </w:tcPr>
          <w:p w14:paraId="299CE545" w14:textId="77777777" w:rsidR="006507E8" w:rsidRPr="00286216" w:rsidRDefault="006507E8" w:rsidP="006507E8">
            <w:pPr>
              <w:pStyle w:val="StyleWisnow"/>
              <w:rPr>
                <w:color w:val="000000" w:themeColor="text1"/>
              </w:rPr>
            </w:pPr>
          </w:p>
        </w:tc>
        <w:tc>
          <w:tcPr>
            <w:tcW w:w="4818" w:type="dxa"/>
          </w:tcPr>
          <w:p w14:paraId="03145506" w14:textId="333DB23D" w:rsidR="006507E8" w:rsidRPr="00286216" w:rsidRDefault="006507E8" w:rsidP="006507E8">
            <w:pPr>
              <w:pStyle w:val="StyleZakonu"/>
              <w:rPr>
                <w:color w:val="000000" w:themeColor="text1"/>
              </w:rPr>
            </w:pPr>
            <w:r w:rsidRPr="00286216">
              <w:rPr>
                <w:color w:val="000000" w:themeColor="text1"/>
              </w:rPr>
              <w:t xml:space="preserve">4) встановлення факту невідповідності особи, яка провадить діяльність торгового репозиторію на ринках капіталу та організованих товарних ринках, вимогам законодавства до особи для включення її до Реєстру уповноважених осіб. </w:t>
            </w:r>
          </w:p>
        </w:tc>
      </w:tr>
      <w:tr w:rsidR="006507E8" w:rsidRPr="00286216" w14:paraId="3A802BB3" w14:textId="77777777" w:rsidTr="00091AA5">
        <w:tc>
          <w:tcPr>
            <w:tcW w:w="576" w:type="dxa"/>
          </w:tcPr>
          <w:p w14:paraId="49E68ED7" w14:textId="77777777" w:rsidR="006507E8" w:rsidRPr="00286216" w:rsidRDefault="006507E8" w:rsidP="006507E8">
            <w:pPr>
              <w:pStyle w:val="StyleWisnow"/>
              <w:rPr>
                <w:color w:val="000000" w:themeColor="text1"/>
              </w:rPr>
            </w:pPr>
            <w:bookmarkStart w:id="1191" w:name="n1456" w:colFirst="0" w:colLast="0"/>
            <w:bookmarkEnd w:id="1190"/>
            <w:r w:rsidRPr="00286216">
              <w:rPr>
                <w:color w:val="000000" w:themeColor="text1"/>
              </w:rPr>
              <w:t>1456.</w:t>
            </w:r>
          </w:p>
        </w:tc>
        <w:tc>
          <w:tcPr>
            <w:tcW w:w="4818" w:type="dxa"/>
          </w:tcPr>
          <w:p w14:paraId="2D029943" w14:textId="77777777" w:rsidR="006507E8" w:rsidRPr="00286216" w:rsidRDefault="006507E8" w:rsidP="006507E8">
            <w:pPr>
              <w:pStyle w:val="StyleZakonu"/>
              <w:rPr>
                <w:color w:val="000000" w:themeColor="text1"/>
              </w:rPr>
            </w:pPr>
            <w:r w:rsidRPr="00286216">
              <w:rPr>
                <w:color w:val="000000" w:themeColor="text1"/>
              </w:rPr>
              <w:t>5) встановлення факту грубого порушення особою, яка провадить діяльність торгового репозиторію на ринках капіталу та організованих товарних ринках, або повторного протягом одного календарного року вимог законодавства на ринках капіталу та організованих товарних ринках.</w:t>
            </w:r>
          </w:p>
        </w:tc>
        <w:tc>
          <w:tcPr>
            <w:tcW w:w="3686" w:type="dxa"/>
          </w:tcPr>
          <w:p w14:paraId="5426FFD0" w14:textId="1642DFB1"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898</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3C8D0150" w14:textId="2757B1EB" w:rsidR="006507E8" w:rsidRPr="00286216" w:rsidRDefault="006507E8" w:rsidP="006507E8">
            <w:pPr>
              <w:pStyle w:val="StyleProp"/>
              <w:rPr>
                <w:color w:val="000000" w:themeColor="text1"/>
                <w:spacing w:val="-10"/>
              </w:rPr>
            </w:pPr>
            <w:r w:rsidRPr="00286216">
              <w:rPr>
                <w:color w:val="000000" w:themeColor="text1"/>
              </w:rPr>
              <w:t>Пункт 5 частини 1 статті 85 виключити</w:t>
            </w:r>
          </w:p>
          <w:p w14:paraId="052CE4F3" w14:textId="08C764A5"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899</w:t>
            </w:r>
            <w:r w:rsidRPr="00286216">
              <w:rPr>
                <w:color w:val="000000" w:themeColor="text1"/>
                <w:spacing w:val="-10"/>
              </w:rPr>
              <w:fldChar w:fldCharType="end"/>
            </w:r>
            <w:r w:rsidRPr="00286216">
              <w:rPr>
                <w:color w:val="000000" w:themeColor="text1"/>
                <w:spacing w:val="-10"/>
              </w:rPr>
              <w:t>-Н.д.Гетманцев Д.О.(Реєстр.картка №245)</w:t>
            </w:r>
          </w:p>
          <w:p w14:paraId="2657EE62" w14:textId="77777777" w:rsidR="006507E8" w:rsidRPr="00286216" w:rsidRDefault="006507E8" w:rsidP="006507E8">
            <w:pPr>
              <w:pStyle w:val="StyleProp"/>
              <w:spacing w:line="190" w:lineRule="exact"/>
              <w:rPr>
                <w:color w:val="000000" w:themeColor="text1"/>
              </w:rPr>
            </w:pPr>
            <w:r w:rsidRPr="00286216">
              <w:rPr>
                <w:color w:val="000000" w:themeColor="text1"/>
              </w:rPr>
              <w:t>У статті 85 Пункт п’ятий частини першої викласти в такій редакції:</w:t>
            </w:r>
          </w:p>
          <w:p w14:paraId="1660F09C" w14:textId="77777777" w:rsidR="006507E8" w:rsidRPr="00286216" w:rsidRDefault="006507E8" w:rsidP="006507E8">
            <w:pPr>
              <w:pStyle w:val="StyleProp"/>
              <w:spacing w:line="190" w:lineRule="exact"/>
              <w:rPr>
                <w:color w:val="000000" w:themeColor="text1"/>
                <w:spacing w:val="-3"/>
              </w:rPr>
            </w:pPr>
            <w:r w:rsidRPr="00286216">
              <w:rPr>
                <w:color w:val="000000" w:themeColor="text1"/>
                <w:spacing w:val="-3"/>
              </w:rPr>
              <w:t xml:space="preserve">«5. Встановлення факту вчинення </w:t>
            </w:r>
            <w:r w:rsidRPr="00286216">
              <w:rPr>
                <w:color w:val="000000" w:themeColor="text1"/>
                <w:spacing w:val="-4"/>
              </w:rPr>
              <w:lastRenderedPageBreak/>
              <w:t>повторного порушення (протягом одного року з дня винесення Національною комісією з цінних паперів та</w:t>
            </w:r>
            <w:r w:rsidRPr="00286216">
              <w:rPr>
                <w:color w:val="000000" w:themeColor="text1"/>
                <w:spacing w:val="-3"/>
              </w:rPr>
              <w:t xml:space="preserve"> фондового ринку розпорядження </w:t>
            </w:r>
            <w:r w:rsidRPr="00286216">
              <w:rPr>
                <w:color w:val="000000" w:themeColor="text1"/>
                <w:spacing w:val="-4"/>
              </w:rPr>
              <w:t>про усунення виявлених порушень) особою, яка провадить діяльність торгового репозиторію на ринках капіталу та організованих</w:t>
            </w:r>
            <w:r w:rsidRPr="00286216">
              <w:rPr>
                <w:color w:val="000000" w:themeColor="text1"/>
                <w:spacing w:val="-3"/>
              </w:rPr>
              <w:t xml:space="preserve"> товарних ринках, вимог законодавства, що регулює відносини на ринках капіталу та організованих товарних ринках.».</w:t>
            </w:r>
          </w:p>
        </w:tc>
        <w:tc>
          <w:tcPr>
            <w:tcW w:w="1987" w:type="dxa"/>
          </w:tcPr>
          <w:p w14:paraId="1FFB3D55" w14:textId="1F0F83DF" w:rsidR="006507E8" w:rsidRPr="00286216" w:rsidRDefault="006507E8" w:rsidP="006507E8">
            <w:pPr>
              <w:pStyle w:val="StyleWisnow"/>
              <w:rPr>
                <w:color w:val="000000" w:themeColor="text1"/>
              </w:rPr>
            </w:pPr>
            <w:r w:rsidRPr="00286216">
              <w:rPr>
                <w:color w:val="000000" w:themeColor="text1"/>
              </w:rPr>
              <w:lastRenderedPageBreak/>
              <w:t>Враховано</w:t>
            </w:r>
          </w:p>
          <w:p w14:paraId="046CA340" w14:textId="77777777" w:rsidR="006507E8" w:rsidRPr="00286216" w:rsidRDefault="006507E8" w:rsidP="006507E8">
            <w:pPr>
              <w:pStyle w:val="StyleWisnow"/>
              <w:rPr>
                <w:color w:val="000000" w:themeColor="text1"/>
              </w:rPr>
            </w:pPr>
          </w:p>
          <w:p w14:paraId="0A84BDE5" w14:textId="77777777" w:rsidR="006507E8" w:rsidRPr="00286216" w:rsidRDefault="006507E8" w:rsidP="006507E8">
            <w:pPr>
              <w:pStyle w:val="StyleWisnow"/>
              <w:rPr>
                <w:color w:val="000000" w:themeColor="text1"/>
              </w:rPr>
            </w:pPr>
            <w:r w:rsidRPr="00286216">
              <w:rPr>
                <w:color w:val="000000" w:themeColor="text1"/>
              </w:rPr>
              <w:t>Відхилено у зв’язку із зміною редакції</w:t>
            </w:r>
          </w:p>
        </w:tc>
        <w:tc>
          <w:tcPr>
            <w:tcW w:w="4818" w:type="dxa"/>
          </w:tcPr>
          <w:p w14:paraId="2175AD25" w14:textId="77777777" w:rsidR="006507E8" w:rsidRPr="00286216" w:rsidRDefault="006507E8" w:rsidP="006507E8">
            <w:pPr>
              <w:pStyle w:val="StyleZakonu"/>
              <w:rPr>
                <w:color w:val="000000" w:themeColor="text1"/>
              </w:rPr>
            </w:pPr>
          </w:p>
        </w:tc>
      </w:tr>
      <w:tr w:rsidR="006507E8" w:rsidRPr="00286216" w14:paraId="0F5CF4D9" w14:textId="77777777" w:rsidTr="00091AA5">
        <w:tc>
          <w:tcPr>
            <w:tcW w:w="576" w:type="dxa"/>
          </w:tcPr>
          <w:p w14:paraId="621941E6" w14:textId="77777777" w:rsidR="006507E8" w:rsidRPr="00286216" w:rsidRDefault="006507E8" w:rsidP="006507E8">
            <w:pPr>
              <w:pStyle w:val="StyleWisnow"/>
              <w:rPr>
                <w:color w:val="000000" w:themeColor="text1"/>
              </w:rPr>
            </w:pPr>
          </w:p>
        </w:tc>
        <w:tc>
          <w:tcPr>
            <w:tcW w:w="4818" w:type="dxa"/>
          </w:tcPr>
          <w:p w14:paraId="7E020684" w14:textId="77777777" w:rsidR="006507E8" w:rsidRPr="00286216" w:rsidRDefault="006507E8" w:rsidP="006507E8">
            <w:pPr>
              <w:pStyle w:val="StyleZakonu"/>
              <w:rPr>
                <w:color w:val="000000" w:themeColor="text1"/>
              </w:rPr>
            </w:pPr>
          </w:p>
        </w:tc>
        <w:tc>
          <w:tcPr>
            <w:tcW w:w="3686" w:type="dxa"/>
          </w:tcPr>
          <w:p w14:paraId="2EC100B9" w14:textId="3B47D76A" w:rsidR="006507E8" w:rsidRPr="00286216" w:rsidRDefault="006507E8" w:rsidP="006507E8">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900</w:t>
            </w:r>
            <w:r w:rsidRPr="00286216">
              <w:rPr>
                <w:color w:val="000000" w:themeColor="text1"/>
                <w:spacing w:val="-10"/>
              </w:rPr>
              <w:fldChar w:fldCharType="end"/>
            </w:r>
            <w:r w:rsidRPr="00286216">
              <w:rPr>
                <w:color w:val="000000" w:themeColor="text1"/>
                <w:spacing w:val="-10"/>
              </w:rPr>
              <w:t>-Н.д.Гетманцев Д.О.(Реєстр.картка №245)</w:t>
            </w:r>
          </w:p>
          <w:p w14:paraId="3D457BF8" w14:textId="77777777" w:rsidR="006507E8" w:rsidRPr="00286216" w:rsidRDefault="006507E8" w:rsidP="006507E8">
            <w:pPr>
              <w:pStyle w:val="StyleProp"/>
              <w:spacing w:line="190" w:lineRule="exact"/>
              <w:rPr>
                <w:color w:val="000000" w:themeColor="text1"/>
              </w:rPr>
            </w:pPr>
            <w:r w:rsidRPr="00286216">
              <w:rPr>
                <w:color w:val="000000" w:themeColor="text1"/>
              </w:rPr>
              <w:t>У статті 85 доповнити частиною другою такого змісту:</w:t>
            </w:r>
          </w:p>
          <w:p w14:paraId="2DB1ACDD" w14:textId="77777777" w:rsidR="006507E8" w:rsidRPr="00286216" w:rsidRDefault="006507E8" w:rsidP="006507E8">
            <w:pPr>
              <w:pStyle w:val="StyleProp"/>
              <w:spacing w:line="190" w:lineRule="exact"/>
              <w:rPr>
                <w:color w:val="000000" w:themeColor="text1"/>
              </w:rPr>
            </w:pPr>
            <w:r w:rsidRPr="00286216">
              <w:rPr>
                <w:color w:val="000000" w:themeColor="text1"/>
              </w:rPr>
              <w:t>«2. Рішення Національної комісії з цінних паперів та фондового ринку про анулювання свідоцтва про включення до Реєстру торгових репозиторіїв може бути оскаржене в судовому порядку</w:t>
            </w:r>
          </w:p>
          <w:p w14:paraId="144176F9" w14:textId="77777777" w:rsidR="006507E8" w:rsidRPr="00286216" w:rsidRDefault="006507E8" w:rsidP="006507E8">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повідомляє суб’єкта господарювання про прийняття рішення про анулювання свідоцтва про включення до Реєстру торгових репозиторіїв протягом п’яти робочих днів з дня прийняття такого рішення. До повідомлення Національної комісії з цінних паперів та фондового ринку про анулювання свідоцтва про включення до Реєстру торгових репозиторіїв повинна додаватися засвідчена копія такого рішення. Рішення Національної комісії з цінних паперів та фондового ринку про анулювання свідоцтва про включення до Реєстру торгових репозиторіїв повинно бути мотивованим та містити інформацію щодо причини, яка стала підставою для його прийняття.»</w:t>
            </w:r>
          </w:p>
        </w:tc>
        <w:tc>
          <w:tcPr>
            <w:tcW w:w="1987" w:type="dxa"/>
          </w:tcPr>
          <w:p w14:paraId="2E7DFC62" w14:textId="77777777" w:rsidR="006507E8" w:rsidRPr="00286216" w:rsidRDefault="006507E8" w:rsidP="006507E8">
            <w:pPr>
              <w:pStyle w:val="StyleWisnow"/>
              <w:rPr>
                <w:color w:val="000000" w:themeColor="text1"/>
              </w:rPr>
            </w:pPr>
            <w:r w:rsidRPr="00286216">
              <w:rPr>
                <w:color w:val="000000" w:themeColor="text1"/>
              </w:rPr>
              <w:t>Враховано частково</w:t>
            </w:r>
          </w:p>
        </w:tc>
        <w:tc>
          <w:tcPr>
            <w:tcW w:w="4818" w:type="dxa"/>
          </w:tcPr>
          <w:p w14:paraId="4A73A6DD" w14:textId="77777777" w:rsidR="006507E8" w:rsidRPr="00286216" w:rsidRDefault="006507E8" w:rsidP="006507E8">
            <w:pPr>
              <w:pStyle w:val="StyleZakonu"/>
              <w:rPr>
                <w:color w:val="000000" w:themeColor="text1"/>
              </w:rPr>
            </w:pPr>
            <w:r w:rsidRPr="00286216">
              <w:rPr>
                <w:color w:val="000000" w:themeColor="text1"/>
              </w:rPr>
              <w:t xml:space="preserve">2. Рішення Національної комісії з цінних паперів та фондового ринку про анулювання свідоцтва про включення до Реєстру торгових репозиторіїв може бути оскаржене в судовому порядку. </w:t>
            </w:r>
          </w:p>
          <w:p w14:paraId="11E167EF" w14:textId="51D54407" w:rsidR="006507E8" w:rsidRPr="00286216" w:rsidRDefault="006507E8" w:rsidP="006507E8">
            <w:pPr>
              <w:pStyle w:val="StyleZakonu"/>
              <w:rPr>
                <w:color w:val="000000" w:themeColor="text1"/>
              </w:rPr>
            </w:pPr>
            <w:r w:rsidRPr="00286216">
              <w:rPr>
                <w:color w:val="000000" w:themeColor="text1"/>
              </w:rPr>
              <w:t>Національна комісія з цінних паперів та фондового ринку офіційним каналом зв’язку повідомляє суб’єкта господарювання про прийняття рішення про анулювання свідоцтва про включення до Реєстру торгових репозиторіїв протягом п’яти робочих днів з дня прийняття такого рішення. До повідомлення Національної комісії з цінних паперів та фондового ринку про анулювання свідоцтва про включення до Реєстру торгових репозиторіїв повинно додаватися таке рішення. Рішення Національної комісії з цінних паперів та фондового ринку про анулювання свідоцтва про включення до Реєстру торгових репозиторіїв повинно бути мотивованим та містити інформацію щодо причини, яка стала підставою для його прийняття.</w:t>
            </w:r>
          </w:p>
        </w:tc>
      </w:tr>
      <w:tr w:rsidR="006507E8" w:rsidRPr="00286216" w14:paraId="62E83C49" w14:textId="77777777" w:rsidTr="00091AA5">
        <w:tc>
          <w:tcPr>
            <w:tcW w:w="576" w:type="dxa"/>
          </w:tcPr>
          <w:p w14:paraId="7C29E512" w14:textId="77777777" w:rsidR="006507E8" w:rsidRPr="00286216" w:rsidRDefault="006507E8" w:rsidP="006507E8">
            <w:pPr>
              <w:pStyle w:val="StyleWisnow"/>
              <w:rPr>
                <w:color w:val="000000" w:themeColor="text1"/>
              </w:rPr>
            </w:pPr>
            <w:bookmarkStart w:id="1192" w:name="n1457" w:colFirst="0" w:colLast="0"/>
            <w:bookmarkEnd w:id="1191"/>
            <w:r w:rsidRPr="00286216">
              <w:rPr>
                <w:color w:val="000000" w:themeColor="text1"/>
              </w:rPr>
              <w:t>1457.</w:t>
            </w:r>
          </w:p>
        </w:tc>
        <w:tc>
          <w:tcPr>
            <w:tcW w:w="4818" w:type="dxa"/>
          </w:tcPr>
          <w:p w14:paraId="6E45E53D" w14:textId="77777777" w:rsidR="006507E8" w:rsidRPr="00286216" w:rsidRDefault="006507E8" w:rsidP="006507E8">
            <w:pPr>
              <w:pStyle w:val="StyleZakonu"/>
              <w:rPr>
                <w:color w:val="000000" w:themeColor="text1"/>
              </w:rPr>
            </w:pPr>
            <w:r w:rsidRPr="00286216">
              <w:rPr>
                <w:color w:val="000000" w:themeColor="text1"/>
              </w:rPr>
              <w:t>Стаття 86. Вимоги до торгового репозиторію</w:t>
            </w:r>
          </w:p>
        </w:tc>
        <w:tc>
          <w:tcPr>
            <w:tcW w:w="3686" w:type="dxa"/>
          </w:tcPr>
          <w:p w14:paraId="0A783F30" w14:textId="77777777" w:rsidR="006507E8" w:rsidRPr="00286216" w:rsidRDefault="006507E8" w:rsidP="006507E8">
            <w:pPr>
              <w:pStyle w:val="StyleProp"/>
              <w:rPr>
                <w:color w:val="000000" w:themeColor="text1"/>
                <w:szCs w:val="18"/>
              </w:rPr>
            </w:pPr>
          </w:p>
        </w:tc>
        <w:tc>
          <w:tcPr>
            <w:tcW w:w="1987" w:type="dxa"/>
          </w:tcPr>
          <w:p w14:paraId="421CC8D0" w14:textId="77777777" w:rsidR="006507E8" w:rsidRPr="00286216" w:rsidRDefault="006507E8" w:rsidP="006507E8">
            <w:pPr>
              <w:pStyle w:val="StyleWisnow"/>
              <w:rPr>
                <w:color w:val="000000" w:themeColor="text1"/>
              </w:rPr>
            </w:pPr>
          </w:p>
        </w:tc>
        <w:tc>
          <w:tcPr>
            <w:tcW w:w="4818" w:type="dxa"/>
          </w:tcPr>
          <w:p w14:paraId="6550AC20" w14:textId="6D3AA70F" w:rsidR="006507E8" w:rsidRPr="00286216" w:rsidRDefault="006507E8" w:rsidP="006507E8">
            <w:pPr>
              <w:pStyle w:val="StyleZakonu"/>
              <w:rPr>
                <w:color w:val="000000" w:themeColor="text1"/>
                <w:spacing w:val="-2"/>
                <w:szCs w:val="18"/>
              </w:rPr>
            </w:pPr>
            <w:r w:rsidRPr="00286216">
              <w:rPr>
                <w:color w:val="000000" w:themeColor="text1"/>
                <w:spacing w:val="-2"/>
                <w:szCs w:val="18"/>
              </w:rPr>
              <w:t xml:space="preserve">Стаття 90. Вимоги до торгового репозиторію </w:t>
            </w:r>
          </w:p>
        </w:tc>
      </w:tr>
      <w:tr w:rsidR="006507E8" w:rsidRPr="00286216" w14:paraId="54066384" w14:textId="77777777" w:rsidTr="00091AA5">
        <w:tc>
          <w:tcPr>
            <w:tcW w:w="576" w:type="dxa"/>
          </w:tcPr>
          <w:p w14:paraId="025DB59C" w14:textId="77777777" w:rsidR="006507E8" w:rsidRPr="00286216" w:rsidRDefault="006507E8" w:rsidP="006507E8">
            <w:pPr>
              <w:pStyle w:val="StyleWisnow"/>
              <w:rPr>
                <w:color w:val="000000" w:themeColor="text1"/>
              </w:rPr>
            </w:pPr>
            <w:bookmarkStart w:id="1193" w:name="n1458" w:colFirst="0" w:colLast="0"/>
            <w:bookmarkEnd w:id="1192"/>
            <w:r w:rsidRPr="00286216">
              <w:rPr>
                <w:color w:val="000000" w:themeColor="text1"/>
              </w:rPr>
              <w:t>1458.</w:t>
            </w:r>
          </w:p>
        </w:tc>
        <w:tc>
          <w:tcPr>
            <w:tcW w:w="4818" w:type="dxa"/>
          </w:tcPr>
          <w:p w14:paraId="600CC32A" w14:textId="77777777" w:rsidR="006507E8" w:rsidRPr="00286216" w:rsidRDefault="006507E8" w:rsidP="006507E8">
            <w:pPr>
              <w:pStyle w:val="StyleZakonu"/>
              <w:rPr>
                <w:color w:val="000000" w:themeColor="text1"/>
              </w:rPr>
            </w:pPr>
            <w:r w:rsidRPr="00286216">
              <w:rPr>
                <w:color w:val="000000" w:themeColor="text1"/>
              </w:rPr>
              <w:t>1. Торговий репозиторій повинен розмістити на власному веб-сайті об’єктивні, недискримінаційні вимоги щодо порядку доступу до інформації, що зберігається в торговому репозиторії, сторонами деривативного контракту, які зобов’язані подавати таку інформацію відповідно до статті 39 цього Закону. Торговий репозиторій надає третім особам, недискримінаційний доступ до інформації, що зберігається в торговому репозиторії, за умови, що відповідні сторони деривативного контракту надали свою згоду.</w:t>
            </w:r>
          </w:p>
        </w:tc>
        <w:tc>
          <w:tcPr>
            <w:tcW w:w="3686" w:type="dxa"/>
          </w:tcPr>
          <w:p w14:paraId="64A80384" w14:textId="35E5EAE5"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901</w:t>
            </w:r>
            <w:r w:rsidRPr="00286216">
              <w:rPr>
                <w:color w:val="000000" w:themeColor="text1"/>
              </w:rPr>
              <w:fldChar w:fldCharType="end"/>
            </w:r>
            <w:r w:rsidRPr="00286216">
              <w:rPr>
                <w:color w:val="000000" w:themeColor="text1"/>
              </w:rPr>
              <w:t>-Н.д.Шахов С.В. (Реєстр.картка №114)</w:t>
            </w:r>
          </w:p>
          <w:p w14:paraId="1C9BC6F5" w14:textId="4454FEAE" w:rsidR="006507E8" w:rsidRPr="00286216" w:rsidRDefault="006507E8" w:rsidP="006507E8">
            <w:pPr>
              <w:pStyle w:val="StyleProp"/>
              <w:spacing w:after="60" w:line="180" w:lineRule="exact"/>
              <w:rPr>
                <w:color w:val="000000" w:themeColor="text1"/>
                <w:spacing w:val="-6"/>
              </w:rPr>
            </w:pPr>
            <w:r w:rsidRPr="00286216">
              <w:rPr>
                <w:color w:val="000000" w:themeColor="text1"/>
                <w:spacing w:val="-6"/>
              </w:rPr>
              <w:t>У ч.1 ст.86 слова "власному веб-сайті" замінити словами "своєму офіційному веб-сайті".</w:t>
            </w:r>
          </w:p>
          <w:p w14:paraId="3CA06048" w14:textId="1E35DBF9"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902</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503EA5E3" w14:textId="77777777" w:rsidR="006507E8" w:rsidRPr="00286216" w:rsidRDefault="006507E8" w:rsidP="006507E8">
            <w:pPr>
              <w:pStyle w:val="StyleProp"/>
              <w:rPr>
                <w:color w:val="000000" w:themeColor="text1"/>
                <w:spacing w:val="-2"/>
                <w:szCs w:val="18"/>
              </w:rPr>
            </w:pPr>
            <w:r w:rsidRPr="00286216">
              <w:rPr>
                <w:color w:val="000000" w:themeColor="text1"/>
                <w:spacing w:val="-2"/>
                <w:szCs w:val="18"/>
              </w:rPr>
              <w:t>Статтю 86 викласти в такій редакції:</w:t>
            </w:r>
          </w:p>
          <w:p w14:paraId="0E6EDA2C"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 xml:space="preserve">«Стаття 86. Вимоги до торгового репозиторію </w:t>
            </w:r>
          </w:p>
          <w:p w14:paraId="4DB48241"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 xml:space="preserve">1. Торговий репозиторій повинен розмістити на власному веб-сайті об’єктивні, недискримінаційні вимоги щодо порядку доступу сторін деривативного контракту, які зобов’язані подавати таку інформацію відповідно до статті 39 цього Закону, до інформації, що зберігається торговим репозиторієм. Торговий репозиторій надає третім особам недискримінаційний доступ до </w:t>
            </w:r>
            <w:r w:rsidRPr="00286216">
              <w:rPr>
                <w:color w:val="000000" w:themeColor="text1"/>
                <w:spacing w:val="-2"/>
                <w:szCs w:val="18"/>
              </w:rPr>
              <w:lastRenderedPageBreak/>
              <w:t xml:space="preserve">інформації, що зберігається торговим репозиторієм, за умови, що сторони відповідного деривативного контракту надали свою згоду. </w:t>
            </w:r>
          </w:p>
          <w:p w14:paraId="20F5E144"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2. Торговий репозиторій зобов’язаний мати внутрішні процедури, які запобігають будь-якому неправомірному розкриттю інформації з обмеженим доступом, а також забезпечують захист інформації, отриманої відповідно до статті 39 цього Закону.</w:t>
            </w:r>
          </w:p>
          <w:p w14:paraId="13CFA587"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3. Торговий репозиторій відповідно до вимог, встановлених Національною комісією з цінних паперів та фондового ринку, забезпечує оприлюднення накопиченої ним інформації та надання доступу до такої інформації органам державної влади та іншим особам з метою виконання ними повноважень, передбачених законом.</w:t>
            </w:r>
          </w:p>
          <w:p w14:paraId="200DEBE2"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4. Торговий репозиторій повинен відповідно до вимог, встановлених Національною комісією з цінних паперів та фондового ринку, створити комплексну та ефективну організаційну структуру, включаючи систему внутрішнього контролю, яка складається з  підсистеми комплаєнсу, управління ризиками та внутрішнього аудиту, а також зобов’язаний здійснювати контроль за функціонуванням зазначеної системи.</w:t>
            </w:r>
          </w:p>
          <w:p w14:paraId="511F0DA6"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5. Торговий репозиторій зобов’язаний забезпечити функціонування механізмів запобігання виникненню та врегулювання конфлікту інтересів.</w:t>
            </w:r>
          </w:p>
          <w:p w14:paraId="2F5B7D43"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6. Торговий репозиторій повинен створити та впровадити системи та засоби, що забезпечують безперервність його діяльності, а також розробити план заходів на випадок виникнення непередбачуваних обставин та подолання їх наслідків.</w:t>
            </w:r>
          </w:p>
          <w:p w14:paraId="63E132A7"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 xml:space="preserve">7. Ділова репутація та досвід посадових осіб торгового репозиторію повинні відповідати вимогам, встановленим Національною комісією з цінних паперів та фондового ринку. </w:t>
            </w:r>
          </w:p>
          <w:p w14:paraId="51611D2A"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 xml:space="preserve">8. Торговий репозиторій у встановленому Національною комісією з цінних паперів та фондового ринку порядку розкриває інформацію про власні тарифи за надання ним своїх послуг. </w:t>
            </w:r>
          </w:p>
          <w:p w14:paraId="15A8AEB3"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9. Програмно-технічні комплекси, що використовуються торговим репозиторієм, повинні забезпечувати ефективну перевірку повноти поданої учасниками ринків капіталу інформації, виявлення описок та/або очевидних технічних помилок у такій інформації.</w:t>
            </w:r>
          </w:p>
          <w:p w14:paraId="0342C5B9" w14:textId="77777777" w:rsidR="006507E8" w:rsidRPr="00286216" w:rsidRDefault="006507E8" w:rsidP="006507E8">
            <w:pPr>
              <w:pStyle w:val="StyleProp"/>
              <w:spacing w:line="180" w:lineRule="exact"/>
              <w:rPr>
                <w:color w:val="000000" w:themeColor="text1"/>
              </w:rPr>
            </w:pPr>
            <w:r w:rsidRPr="00286216">
              <w:rPr>
                <w:color w:val="000000" w:themeColor="text1"/>
                <w:szCs w:val="18"/>
              </w:rPr>
              <w:lastRenderedPageBreak/>
              <w:t>10. Інші вимоги до торгового репозиторію та порядку провадження ним діяльності встановлюються Національною комісією з цінних папері в та фондового ринку».</w:t>
            </w:r>
          </w:p>
        </w:tc>
        <w:tc>
          <w:tcPr>
            <w:tcW w:w="1987" w:type="dxa"/>
          </w:tcPr>
          <w:p w14:paraId="33A802A1" w14:textId="3DC40202" w:rsidR="006507E8" w:rsidRPr="00286216" w:rsidRDefault="006507E8" w:rsidP="006507E8">
            <w:pPr>
              <w:pStyle w:val="StyleWisnow"/>
              <w:rPr>
                <w:color w:val="000000" w:themeColor="text1"/>
              </w:rPr>
            </w:pPr>
            <w:r w:rsidRPr="00286216">
              <w:rPr>
                <w:color w:val="000000" w:themeColor="text1"/>
              </w:rPr>
              <w:lastRenderedPageBreak/>
              <w:t>Відхилено</w:t>
            </w:r>
          </w:p>
          <w:p w14:paraId="238DD002" w14:textId="01DBE651" w:rsidR="006507E8" w:rsidRPr="00286216" w:rsidRDefault="006507E8" w:rsidP="006507E8">
            <w:pPr>
              <w:pStyle w:val="StyleWisnow"/>
              <w:spacing w:line="160" w:lineRule="exact"/>
              <w:rPr>
                <w:color w:val="000000" w:themeColor="text1"/>
              </w:rPr>
            </w:pPr>
            <w:r w:rsidRPr="00286216">
              <w:rPr>
                <w:color w:val="000000" w:themeColor="text1"/>
              </w:rPr>
              <w:t>"офіційний веб-сайт" вживається щодо державних органів</w:t>
            </w:r>
          </w:p>
          <w:p w14:paraId="190C9825" w14:textId="1EC0C482" w:rsidR="006507E8" w:rsidRPr="00286216" w:rsidRDefault="006507E8" w:rsidP="006507E8">
            <w:pPr>
              <w:pStyle w:val="StyleWisnow"/>
              <w:rPr>
                <w:color w:val="000000" w:themeColor="text1"/>
              </w:rPr>
            </w:pPr>
            <w:r w:rsidRPr="00286216">
              <w:rPr>
                <w:color w:val="000000" w:themeColor="text1"/>
              </w:rPr>
              <w:t>Враховано</w:t>
            </w:r>
          </w:p>
          <w:p w14:paraId="643F640D" w14:textId="5AC69613" w:rsidR="006507E8" w:rsidRPr="00286216" w:rsidRDefault="006507E8" w:rsidP="006507E8">
            <w:pPr>
              <w:pStyle w:val="StyleWisnow"/>
              <w:spacing w:line="180" w:lineRule="exact"/>
              <w:rPr>
                <w:color w:val="000000" w:themeColor="text1"/>
              </w:rPr>
            </w:pPr>
            <w:r w:rsidRPr="00286216">
              <w:rPr>
                <w:color w:val="000000" w:themeColor="text1"/>
              </w:rPr>
              <w:t>з урахуванням наведених нижче інших поправок щодо цієї статті</w:t>
            </w:r>
          </w:p>
          <w:p w14:paraId="237FCED0" w14:textId="5D36C411" w:rsidR="006507E8" w:rsidRPr="00286216" w:rsidRDefault="006507E8" w:rsidP="006507E8">
            <w:pPr>
              <w:pStyle w:val="StyleWisnow"/>
              <w:rPr>
                <w:color w:val="000000" w:themeColor="text1"/>
              </w:rPr>
            </w:pPr>
          </w:p>
        </w:tc>
        <w:tc>
          <w:tcPr>
            <w:tcW w:w="4818" w:type="dxa"/>
          </w:tcPr>
          <w:p w14:paraId="5914C06F" w14:textId="77777777" w:rsidR="006507E8" w:rsidRPr="00286216" w:rsidRDefault="006507E8" w:rsidP="006507E8">
            <w:pPr>
              <w:pStyle w:val="StyleZakonu"/>
              <w:rPr>
                <w:color w:val="000000" w:themeColor="text1"/>
                <w:spacing w:val="-2"/>
                <w:szCs w:val="18"/>
              </w:rPr>
            </w:pPr>
            <w:r w:rsidRPr="00286216">
              <w:rPr>
                <w:color w:val="000000" w:themeColor="text1"/>
                <w:spacing w:val="-2"/>
                <w:szCs w:val="18"/>
              </w:rPr>
              <w:t xml:space="preserve">1. Торговий репозиторій повинен розмістити на своєму веб-сайті об’єктивні, недискримінаційні вимоги до порядку доступу осіб, зобов’язаних подавати інформацію відповідно до статті 34 цього Закону, до поданої ними інформації, що зберігається торговим репозиторієм. Торговий репозиторій надає третім особам недискримінаційний доступ до інформації, що зберігається ним, за умови що сторони відповідного деривативного контракту надали свою згоду на такий доступ. </w:t>
            </w:r>
          </w:p>
          <w:p w14:paraId="0C275917" w14:textId="77777777" w:rsidR="006507E8" w:rsidRPr="00286216" w:rsidRDefault="006507E8" w:rsidP="006507E8">
            <w:pPr>
              <w:pStyle w:val="StyleZakonu"/>
              <w:rPr>
                <w:color w:val="000000" w:themeColor="text1"/>
                <w:spacing w:val="-2"/>
                <w:szCs w:val="18"/>
              </w:rPr>
            </w:pPr>
            <w:r w:rsidRPr="00286216">
              <w:rPr>
                <w:color w:val="000000" w:themeColor="text1"/>
                <w:spacing w:val="-2"/>
                <w:szCs w:val="18"/>
              </w:rPr>
              <w:t xml:space="preserve">2. Торговий репозиторій зобов’язаний мати внутрішні процедури, які запобігають будь-якому неправомірному розкриттю інформації з обмеженим доступом, а також забезпечують захист інформації, </w:t>
            </w:r>
            <w:r w:rsidRPr="00286216">
              <w:rPr>
                <w:color w:val="000000" w:themeColor="text1"/>
                <w:spacing w:val="-2"/>
                <w:szCs w:val="18"/>
              </w:rPr>
              <w:lastRenderedPageBreak/>
              <w:t>отриманої відповідно до статті 34 цього Закону.</w:t>
            </w:r>
          </w:p>
          <w:p w14:paraId="5C917702" w14:textId="77777777" w:rsidR="006507E8" w:rsidRPr="00286216" w:rsidRDefault="006507E8" w:rsidP="006507E8">
            <w:pPr>
              <w:pStyle w:val="StyleZakonu"/>
              <w:rPr>
                <w:color w:val="000000" w:themeColor="text1"/>
                <w:spacing w:val="-2"/>
                <w:szCs w:val="18"/>
              </w:rPr>
            </w:pPr>
            <w:r w:rsidRPr="00286216">
              <w:rPr>
                <w:color w:val="000000" w:themeColor="text1"/>
                <w:spacing w:val="-2"/>
                <w:szCs w:val="18"/>
              </w:rPr>
              <w:t xml:space="preserve">3. Торговий репозиторій відповідно до вимог, встановлених Національною комісією з цінних паперів та фондового ринку, забезпечує оприлюднення накопиченої ним інформації та надання доступу до такої інформації органам державної влади та іншим особам з метою виконання ними повноважень, передбачених законом. </w:t>
            </w:r>
            <w:r w:rsidRPr="00286216">
              <w:rPr>
                <w:color w:val="000000" w:themeColor="text1"/>
              </w:rPr>
              <w:t>Доступ до такої інформації щодо деривативів грошового ринку здійснюється відповідно до вимог, встановлених Національною комісією з цінних паперів та фондового ринку за погодженням з Національним банком України.</w:t>
            </w:r>
          </w:p>
          <w:p w14:paraId="538F75A5" w14:textId="77777777" w:rsidR="006507E8" w:rsidRPr="00286216" w:rsidRDefault="006507E8" w:rsidP="006507E8">
            <w:pPr>
              <w:pStyle w:val="StyleZakonu"/>
              <w:rPr>
                <w:color w:val="000000" w:themeColor="text1"/>
                <w:szCs w:val="18"/>
              </w:rPr>
            </w:pPr>
            <w:r w:rsidRPr="00286216">
              <w:rPr>
                <w:color w:val="000000" w:themeColor="text1"/>
                <w:szCs w:val="18"/>
              </w:rPr>
              <w:t>4. Торговий репозиторій відповідно до вимог, встановлених Національною комісією з цінних паперів та фондового ринку, повинен створити комплексну та ефективну організаційну структуру, включаючи систему внутрішнього контролю, яка складається з  підсистеми комплаєнсу, управління ризиками та внутрішнього аудиту, а також зобов’язаний здійснювати контроль за функціонуванням зазначеної системи.</w:t>
            </w:r>
          </w:p>
          <w:p w14:paraId="41A126B0" w14:textId="77777777" w:rsidR="006507E8" w:rsidRPr="00286216" w:rsidRDefault="006507E8" w:rsidP="006507E8">
            <w:pPr>
              <w:pStyle w:val="StyleZakonu"/>
              <w:rPr>
                <w:color w:val="000000" w:themeColor="text1"/>
                <w:szCs w:val="18"/>
              </w:rPr>
            </w:pPr>
            <w:r w:rsidRPr="00286216">
              <w:rPr>
                <w:color w:val="000000" w:themeColor="text1"/>
                <w:szCs w:val="18"/>
              </w:rPr>
              <w:t>5. Торговий репозиторій зобов’язаний забезпечити функціонування механізмів запобігання виникненню та врегулювання конфлікту інтересів.</w:t>
            </w:r>
          </w:p>
          <w:p w14:paraId="5E560F6B" w14:textId="77777777" w:rsidR="006507E8" w:rsidRPr="00286216" w:rsidRDefault="006507E8" w:rsidP="006507E8">
            <w:pPr>
              <w:pStyle w:val="StyleZakonu"/>
              <w:rPr>
                <w:color w:val="000000" w:themeColor="text1"/>
                <w:szCs w:val="18"/>
              </w:rPr>
            </w:pPr>
            <w:r w:rsidRPr="00286216">
              <w:rPr>
                <w:color w:val="000000" w:themeColor="text1"/>
                <w:szCs w:val="18"/>
              </w:rPr>
              <w:t>6. Торговий репозиторій повинен створити та впровадити системи та засоби, що забезпечують безперервність його діяльності, а також розробити план заходів у разі виникнення непередбачуваних обставин та подолання їх наслідків.</w:t>
            </w:r>
          </w:p>
          <w:p w14:paraId="269A61C7" w14:textId="77777777" w:rsidR="006507E8" w:rsidRPr="00286216" w:rsidRDefault="006507E8" w:rsidP="006507E8">
            <w:pPr>
              <w:pStyle w:val="StyleZakonu"/>
              <w:rPr>
                <w:color w:val="000000" w:themeColor="text1"/>
                <w:szCs w:val="18"/>
              </w:rPr>
            </w:pPr>
            <w:r w:rsidRPr="00286216">
              <w:rPr>
                <w:color w:val="000000" w:themeColor="text1"/>
                <w:szCs w:val="18"/>
              </w:rPr>
              <w:t xml:space="preserve">7. Ділова репутація та досвід посадових осіб торгового репозиторію повинні відповідати вимогам, встановленим Національною комісією з цінних паперів та фондового ринку. </w:t>
            </w:r>
          </w:p>
          <w:p w14:paraId="0BA5C3F9" w14:textId="77777777" w:rsidR="006507E8" w:rsidRPr="00286216" w:rsidRDefault="006507E8" w:rsidP="006507E8">
            <w:pPr>
              <w:pStyle w:val="StyleZakonu"/>
              <w:rPr>
                <w:color w:val="000000" w:themeColor="text1"/>
                <w:szCs w:val="18"/>
              </w:rPr>
            </w:pPr>
            <w:r w:rsidRPr="00286216">
              <w:rPr>
                <w:color w:val="000000" w:themeColor="text1"/>
                <w:szCs w:val="18"/>
              </w:rPr>
              <w:t xml:space="preserve">8. Торговий репозиторій у встановленому Національною комісією з цінних паперів та фондового ринку порядку розкриває інформацію про власні тарифи за надання ним своїх послуг. </w:t>
            </w:r>
          </w:p>
          <w:p w14:paraId="715BCF2B" w14:textId="77777777" w:rsidR="006507E8" w:rsidRPr="00286216" w:rsidRDefault="006507E8" w:rsidP="006507E8">
            <w:pPr>
              <w:pStyle w:val="StyleZakonu"/>
              <w:rPr>
                <w:color w:val="000000" w:themeColor="text1"/>
                <w:szCs w:val="18"/>
              </w:rPr>
            </w:pPr>
            <w:r w:rsidRPr="00286216">
              <w:rPr>
                <w:color w:val="000000" w:themeColor="text1"/>
                <w:szCs w:val="18"/>
              </w:rPr>
              <w:t>9. Програмно-технічні комплекси, що використовуються торговим репозиторієм, повинні забезпечувати ефективну перевірку повноти поданої учасниками ринків капіталу інформації, виявлення описок та/або очевидних технічних помилок у такій інформації.</w:t>
            </w:r>
          </w:p>
          <w:p w14:paraId="678E2AA1" w14:textId="6A2788CC" w:rsidR="006507E8" w:rsidRPr="00286216" w:rsidRDefault="006507E8" w:rsidP="006507E8">
            <w:pPr>
              <w:pStyle w:val="StyleZakonu"/>
              <w:spacing w:after="0"/>
              <w:rPr>
                <w:color w:val="000000" w:themeColor="text1"/>
              </w:rPr>
            </w:pPr>
            <w:r w:rsidRPr="00286216">
              <w:rPr>
                <w:color w:val="000000" w:themeColor="text1"/>
                <w:szCs w:val="18"/>
              </w:rPr>
              <w:lastRenderedPageBreak/>
              <w:t>10. Інші вимоги до торгового репозиторію та порядку провадження ним діяльності встановлюються Національною комісією з цінних паперів та фондового ринку.</w:t>
            </w:r>
          </w:p>
        </w:tc>
      </w:tr>
      <w:tr w:rsidR="006507E8" w:rsidRPr="00286216" w14:paraId="44DEB049" w14:textId="77777777" w:rsidTr="00091AA5">
        <w:tc>
          <w:tcPr>
            <w:tcW w:w="576" w:type="dxa"/>
          </w:tcPr>
          <w:p w14:paraId="1424908E" w14:textId="77777777" w:rsidR="006507E8" w:rsidRPr="00286216" w:rsidRDefault="006507E8" w:rsidP="006507E8">
            <w:pPr>
              <w:pStyle w:val="StyleWisnow"/>
              <w:rPr>
                <w:color w:val="000000" w:themeColor="text1"/>
              </w:rPr>
            </w:pPr>
            <w:bookmarkStart w:id="1194" w:name="n1459" w:colFirst="0" w:colLast="0"/>
            <w:bookmarkEnd w:id="1193"/>
            <w:r w:rsidRPr="00286216">
              <w:rPr>
                <w:color w:val="000000" w:themeColor="text1"/>
              </w:rPr>
              <w:lastRenderedPageBreak/>
              <w:t>1459.</w:t>
            </w:r>
          </w:p>
        </w:tc>
        <w:tc>
          <w:tcPr>
            <w:tcW w:w="4818" w:type="dxa"/>
          </w:tcPr>
          <w:p w14:paraId="59CA43A4" w14:textId="77777777" w:rsidR="006507E8" w:rsidRPr="00286216" w:rsidRDefault="006507E8" w:rsidP="006507E8">
            <w:pPr>
              <w:pStyle w:val="StyleZakonu"/>
              <w:rPr>
                <w:color w:val="000000" w:themeColor="text1"/>
              </w:rPr>
            </w:pPr>
            <w:r w:rsidRPr="00286216">
              <w:rPr>
                <w:color w:val="000000" w:themeColor="text1"/>
              </w:rPr>
              <w:t>2. Торговий репозиторій зобов’язаний забезпечувати конфіденційність, цілісність та захист інформації, отриманої відповідно до статті 39 цього Закону.</w:t>
            </w:r>
          </w:p>
        </w:tc>
        <w:tc>
          <w:tcPr>
            <w:tcW w:w="3686" w:type="dxa"/>
          </w:tcPr>
          <w:p w14:paraId="3F91E34A" w14:textId="4A1BBD1B"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903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AC95942"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Статтю 86 нової редакції Законопроекту викласти в такій редакції:</w:t>
            </w:r>
          </w:p>
          <w:p w14:paraId="79722ED6"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zCs w:val="18"/>
              </w:rPr>
              <w:t>«Стаття 86. Вимоги до торгового репозиторію</w:t>
            </w:r>
            <w:r w:rsidRPr="00286216">
              <w:rPr>
                <w:color w:val="000000" w:themeColor="text1"/>
                <w:spacing w:val="-2"/>
                <w:szCs w:val="18"/>
              </w:rPr>
              <w:t xml:space="preserve"> 1. Торговий репозиторій повинен розмістити на власному веб-сайті об’єктивні, недискримінаційні вимоги щодо порядку доступу до інформації, що зберігається в торговому репозиторії, сторонами деривативного контракту, які зобов’язані подавати таку інформацію відповідно до статті 39 цього Закону. Торговий репозиторій надає третім особам, недискримінаційний доступ до інформації, що зберігається в торговому репозиторії, за умови, що відповідні сторони деривативного контракту надали свою згоду. </w:t>
            </w:r>
          </w:p>
          <w:p w14:paraId="2C7BBD3B"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2. Торговий репозиторій зобов’язаний мати адміністративні й облікові процедури, які запобігають будь-якому розкриттю конфіденційної інформації, а також забезпечують конфіденційність, цілісність та захист інформації, отриманої відповідно до статті 39 цього Закону.</w:t>
            </w:r>
          </w:p>
          <w:p w14:paraId="22175315"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3. Торговий репозиторій відповідно до власних правил, що відповідають вимогам, встановленим Національною комісією з цінних паперів та фондового ринку, забезпечує оприлюднення накопиченої ним інформації та надання інформації органам державної влади та іншим особам до такої  інформації з метою виконання їх повноважень.</w:t>
            </w:r>
          </w:p>
          <w:p w14:paraId="73DB0D84"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4. Торговий репозиторій повинен відповідно до вимог, встановлених Національною комісією з цінних паперів та фондового ринку, створити комплексну, адекватну та ефективну організаційну структуру, включаючи систему внутрішнього контролю, яка складається з  підсистеми комплаєнсу, управління ризиками та внутрішнього аудиту, а також зобов’язаний здійснювати контроль за функціонуванням зазначеної системи та процедур.</w:t>
            </w:r>
          </w:p>
          <w:p w14:paraId="35A26655"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5. Торговий репозиторій зобов’язаний забезпечити функціонування механізмів виявлення, запобігання та усунення конфліктів інтересів.</w:t>
            </w:r>
          </w:p>
          <w:p w14:paraId="323C9B94" w14:textId="77777777" w:rsidR="006507E8" w:rsidRPr="00286216" w:rsidRDefault="006507E8" w:rsidP="006507E8">
            <w:pPr>
              <w:pStyle w:val="StyleProp"/>
              <w:spacing w:line="180" w:lineRule="exact"/>
              <w:rPr>
                <w:color w:val="000000" w:themeColor="text1"/>
                <w:spacing w:val="-5"/>
                <w:szCs w:val="18"/>
              </w:rPr>
            </w:pPr>
            <w:r w:rsidRPr="00286216">
              <w:rPr>
                <w:color w:val="000000" w:themeColor="text1"/>
                <w:spacing w:val="-5"/>
                <w:szCs w:val="18"/>
              </w:rPr>
              <w:t xml:space="preserve">6. Торговий репозиторій повинен створити та впровадити системи та засоби, що забезпечують безперервність та постійність провадженням ним своєї діяльності, а також план заходів на випадок виникнення непередбачуваних </w:t>
            </w:r>
            <w:r w:rsidRPr="00286216">
              <w:rPr>
                <w:color w:val="000000" w:themeColor="text1"/>
                <w:spacing w:val="-5"/>
                <w:szCs w:val="18"/>
              </w:rPr>
              <w:lastRenderedPageBreak/>
              <w:t>обставин та подолання їх наслідків.</w:t>
            </w:r>
          </w:p>
          <w:p w14:paraId="5A29484B" w14:textId="77777777" w:rsidR="006507E8" w:rsidRPr="00286216" w:rsidRDefault="006507E8" w:rsidP="006507E8">
            <w:pPr>
              <w:pStyle w:val="StyleProp"/>
              <w:spacing w:line="180" w:lineRule="exact"/>
              <w:rPr>
                <w:color w:val="000000" w:themeColor="text1"/>
                <w:spacing w:val="-4"/>
                <w:szCs w:val="18"/>
              </w:rPr>
            </w:pPr>
            <w:r w:rsidRPr="00286216">
              <w:rPr>
                <w:color w:val="000000" w:themeColor="text1"/>
                <w:spacing w:val="-4"/>
                <w:szCs w:val="18"/>
              </w:rPr>
              <w:t xml:space="preserve">7. Ділова репутація та досвід посадових осіб торгового репозиторію повинні відповідати вимогам, встановленим Національною комісією з цінних паперів та фондового ринку. </w:t>
            </w:r>
          </w:p>
          <w:p w14:paraId="7CC742AE" w14:textId="77777777" w:rsidR="006507E8" w:rsidRPr="00286216" w:rsidRDefault="006507E8" w:rsidP="006507E8">
            <w:pPr>
              <w:pStyle w:val="StyleProp"/>
              <w:spacing w:line="180" w:lineRule="exact"/>
              <w:rPr>
                <w:color w:val="000000" w:themeColor="text1"/>
                <w:spacing w:val="-4"/>
                <w:szCs w:val="18"/>
              </w:rPr>
            </w:pPr>
            <w:r w:rsidRPr="00286216">
              <w:rPr>
                <w:color w:val="000000" w:themeColor="text1"/>
                <w:spacing w:val="-4"/>
                <w:szCs w:val="18"/>
              </w:rPr>
              <w:t xml:space="preserve">8. Торговий репозиторій у встановленому Національною комісією з цінних паперів та фондового ринку порядку розкриває інформацію про власні тарифи за надання ним своїх послуг. </w:t>
            </w:r>
          </w:p>
          <w:p w14:paraId="0355FA76" w14:textId="77777777"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szCs w:val="18"/>
              </w:rPr>
              <w:t>9. Програмно-технічні комплекси, що використовуються торговим репозиторієм повинні забезпечувати ефективну перевірку повноти поданої учасниками ринків капіталу, виявлення описок та/або очевидних технічних помилок, а також забезпечувати повернення таких даних учасникам ринків капіталу для виправлення та повторного подання.</w:t>
            </w:r>
          </w:p>
          <w:p w14:paraId="14762E0D" w14:textId="77777777" w:rsidR="006507E8" w:rsidRPr="00286216" w:rsidRDefault="006507E8" w:rsidP="006507E8">
            <w:pPr>
              <w:pStyle w:val="StyleProp"/>
              <w:spacing w:line="180" w:lineRule="exact"/>
              <w:rPr>
                <w:color w:val="000000" w:themeColor="text1"/>
                <w:szCs w:val="18"/>
              </w:rPr>
            </w:pPr>
            <w:r w:rsidRPr="00286216">
              <w:rPr>
                <w:color w:val="000000" w:themeColor="text1"/>
                <w:spacing w:val="-2"/>
                <w:szCs w:val="18"/>
              </w:rPr>
              <w:t>10. Інші вимоги до торгового репозиторію та порядку провадження ним діяльності встановлюються Національною комісією з цінних паперів та фондового ринку.».</w:t>
            </w:r>
          </w:p>
        </w:tc>
        <w:tc>
          <w:tcPr>
            <w:tcW w:w="1987" w:type="dxa"/>
          </w:tcPr>
          <w:p w14:paraId="3081B5E7" w14:textId="77777777" w:rsidR="006507E8" w:rsidRPr="00286216" w:rsidRDefault="006507E8" w:rsidP="006507E8">
            <w:pPr>
              <w:pStyle w:val="StyleWisnow"/>
              <w:spacing w:line="200" w:lineRule="exact"/>
              <w:rPr>
                <w:color w:val="000000" w:themeColor="text1"/>
              </w:rPr>
            </w:pPr>
            <w:r w:rsidRPr="00286216">
              <w:rPr>
                <w:color w:val="000000" w:themeColor="text1"/>
              </w:rPr>
              <w:lastRenderedPageBreak/>
              <w:t>Враховано частково</w:t>
            </w:r>
          </w:p>
          <w:p w14:paraId="14D17082" w14:textId="09001AE2" w:rsidR="006507E8" w:rsidRPr="00286216" w:rsidRDefault="006507E8" w:rsidP="006507E8">
            <w:pPr>
              <w:pStyle w:val="StyleWisnow"/>
              <w:spacing w:line="200" w:lineRule="exact"/>
              <w:rPr>
                <w:color w:val="000000" w:themeColor="text1"/>
              </w:rPr>
            </w:pPr>
            <w:r w:rsidRPr="00286216">
              <w:rPr>
                <w:color w:val="000000" w:themeColor="text1"/>
              </w:rPr>
              <w:t>у статті 90</w:t>
            </w:r>
          </w:p>
        </w:tc>
        <w:tc>
          <w:tcPr>
            <w:tcW w:w="4818" w:type="dxa"/>
          </w:tcPr>
          <w:p w14:paraId="41D5DF27" w14:textId="77777777" w:rsidR="006507E8" w:rsidRPr="00286216" w:rsidRDefault="006507E8" w:rsidP="006507E8">
            <w:pPr>
              <w:pStyle w:val="StyleZakonu"/>
              <w:rPr>
                <w:color w:val="000000" w:themeColor="text1"/>
              </w:rPr>
            </w:pPr>
          </w:p>
        </w:tc>
      </w:tr>
      <w:tr w:rsidR="006507E8" w:rsidRPr="00286216" w14:paraId="31D494B4" w14:textId="77777777" w:rsidTr="00091AA5">
        <w:tc>
          <w:tcPr>
            <w:tcW w:w="576" w:type="dxa"/>
          </w:tcPr>
          <w:p w14:paraId="2E1DC78C" w14:textId="77777777" w:rsidR="006507E8" w:rsidRPr="00286216" w:rsidRDefault="006507E8" w:rsidP="006507E8">
            <w:pPr>
              <w:pStyle w:val="StyleWisnow"/>
              <w:rPr>
                <w:color w:val="000000" w:themeColor="text1"/>
              </w:rPr>
            </w:pPr>
            <w:bookmarkStart w:id="1195" w:name="n1460" w:colFirst="0" w:colLast="0"/>
            <w:bookmarkEnd w:id="1194"/>
            <w:r w:rsidRPr="00286216">
              <w:rPr>
                <w:color w:val="000000" w:themeColor="text1"/>
              </w:rPr>
              <w:t>1460.</w:t>
            </w:r>
          </w:p>
        </w:tc>
        <w:tc>
          <w:tcPr>
            <w:tcW w:w="4818" w:type="dxa"/>
          </w:tcPr>
          <w:p w14:paraId="477D1655" w14:textId="77777777" w:rsidR="006507E8" w:rsidRPr="00286216" w:rsidRDefault="006507E8" w:rsidP="006507E8">
            <w:pPr>
              <w:pStyle w:val="StyleZakonu"/>
              <w:rPr>
                <w:color w:val="000000" w:themeColor="text1"/>
              </w:rPr>
            </w:pPr>
            <w:r w:rsidRPr="00286216">
              <w:rPr>
                <w:color w:val="000000" w:themeColor="text1"/>
              </w:rPr>
              <w:t>3. Торговий репозиторій у порядку, встановленому Національною комісією з цінних паперів та фондового ринку, забезпечує оприлюднення накопиченої ним інформації та доступ органів державної влади та інших осіб до такої інформації з метою виконання їх повноважень.</w:t>
            </w:r>
          </w:p>
        </w:tc>
        <w:tc>
          <w:tcPr>
            <w:tcW w:w="3686" w:type="dxa"/>
          </w:tcPr>
          <w:p w14:paraId="24CE97DE" w14:textId="20C51A66"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904</w:t>
            </w:r>
            <w:r w:rsidRPr="00286216">
              <w:rPr>
                <w:color w:val="000000" w:themeColor="text1"/>
              </w:rPr>
              <w:fldChar w:fldCharType="end"/>
            </w:r>
            <w:r w:rsidRPr="00286216">
              <w:rPr>
                <w:color w:val="000000" w:themeColor="text1"/>
              </w:rPr>
              <w:t>-Н.д.Шахов С.В. (Реєстр.картка №114)</w:t>
            </w:r>
          </w:p>
          <w:p w14:paraId="24A4E316" w14:textId="77777777" w:rsidR="006507E8" w:rsidRPr="00286216" w:rsidRDefault="006507E8" w:rsidP="006507E8">
            <w:pPr>
              <w:pStyle w:val="StyleProp"/>
              <w:spacing w:line="180" w:lineRule="exact"/>
              <w:rPr>
                <w:color w:val="000000" w:themeColor="text1"/>
              </w:rPr>
            </w:pPr>
            <w:r w:rsidRPr="00286216">
              <w:rPr>
                <w:color w:val="000000" w:themeColor="text1"/>
              </w:rPr>
              <w:t>У ч. 3 ст. 86 слова "Національною комісією з цінних паперів та фондового ринку" замінити словами "регулятором відповідного ринку".</w:t>
            </w:r>
          </w:p>
          <w:p w14:paraId="64A888C0" w14:textId="44BA9A22" w:rsidR="006507E8" w:rsidRPr="00286216" w:rsidRDefault="006507E8" w:rsidP="006507E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905</w:t>
            </w:r>
            <w:r w:rsidRPr="00286216">
              <w:rPr>
                <w:color w:val="000000" w:themeColor="text1"/>
                <w:spacing w:val="-4"/>
              </w:rPr>
              <w:fldChar w:fldCharType="end"/>
            </w:r>
            <w:r w:rsidRPr="00286216">
              <w:rPr>
                <w:color w:val="000000" w:themeColor="text1"/>
                <w:spacing w:val="-4"/>
              </w:rPr>
              <w:t>-Н.д.Бєлькова О.В. (Реєстр.картка №403)</w:t>
            </w:r>
          </w:p>
          <w:p w14:paraId="30930BB6" w14:textId="1C9DB44F" w:rsidR="006507E8" w:rsidRPr="00286216" w:rsidRDefault="006507E8" w:rsidP="006507E8">
            <w:pPr>
              <w:pStyle w:val="StyleProp"/>
              <w:spacing w:line="190" w:lineRule="exact"/>
              <w:rPr>
                <w:color w:val="000000" w:themeColor="text1"/>
                <w:spacing w:val="-2"/>
              </w:rPr>
            </w:pPr>
            <w:r w:rsidRPr="00286216">
              <w:rPr>
                <w:color w:val="000000" w:themeColor="text1"/>
                <w:spacing w:val="-2"/>
              </w:rPr>
              <w:t>Частину третю статті 86 розділу 1  доповнити реченням такого змісту: "Доступ до такої інформації щодо деривативів грошового ринку здійснюється в порядку, встановленому Національною комісією з цінних паперів та фондового ринку за погодженням з Національним банком України".</w:t>
            </w:r>
          </w:p>
        </w:tc>
        <w:tc>
          <w:tcPr>
            <w:tcW w:w="1987" w:type="dxa"/>
          </w:tcPr>
          <w:p w14:paraId="612C8536" w14:textId="77777777" w:rsidR="006507E8" w:rsidRPr="00286216" w:rsidRDefault="006507E8" w:rsidP="006507E8">
            <w:pPr>
              <w:pStyle w:val="StyleWisnow"/>
              <w:rPr>
                <w:color w:val="000000" w:themeColor="text1"/>
              </w:rPr>
            </w:pPr>
            <w:r w:rsidRPr="00286216">
              <w:rPr>
                <w:color w:val="000000" w:themeColor="text1"/>
              </w:rPr>
              <w:t>Відхилено</w:t>
            </w:r>
          </w:p>
          <w:p w14:paraId="06451418" w14:textId="77777777" w:rsidR="006507E8" w:rsidRPr="00286216" w:rsidRDefault="006507E8" w:rsidP="006507E8">
            <w:pPr>
              <w:pStyle w:val="StyleWisnow"/>
              <w:rPr>
                <w:color w:val="000000" w:themeColor="text1"/>
              </w:rPr>
            </w:pPr>
          </w:p>
          <w:p w14:paraId="371B5C59" w14:textId="77777777" w:rsidR="006507E8" w:rsidRPr="00286216" w:rsidRDefault="006507E8" w:rsidP="006507E8">
            <w:pPr>
              <w:pStyle w:val="StyleWisnow"/>
              <w:rPr>
                <w:color w:val="000000" w:themeColor="text1"/>
              </w:rPr>
            </w:pPr>
          </w:p>
          <w:p w14:paraId="5307D8BD" w14:textId="77777777" w:rsidR="006507E8" w:rsidRPr="00286216" w:rsidRDefault="006507E8" w:rsidP="006507E8">
            <w:pPr>
              <w:pStyle w:val="StyleWisnow"/>
              <w:rPr>
                <w:color w:val="000000" w:themeColor="text1"/>
              </w:rPr>
            </w:pPr>
          </w:p>
          <w:p w14:paraId="15A442FB" w14:textId="77777777" w:rsidR="006507E8" w:rsidRPr="00286216" w:rsidRDefault="006507E8" w:rsidP="006507E8">
            <w:pPr>
              <w:pStyle w:val="StyleWisnow"/>
              <w:rPr>
                <w:color w:val="000000" w:themeColor="text1"/>
              </w:rPr>
            </w:pPr>
          </w:p>
          <w:p w14:paraId="3ABA6DC1" w14:textId="77777777" w:rsidR="006507E8" w:rsidRPr="00286216" w:rsidRDefault="006507E8" w:rsidP="006507E8">
            <w:pPr>
              <w:pStyle w:val="StyleWisnow"/>
              <w:rPr>
                <w:color w:val="000000" w:themeColor="text1"/>
              </w:rPr>
            </w:pPr>
            <w:r w:rsidRPr="00286216">
              <w:rPr>
                <w:color w:val="000000" w:themeColor="text1"/>
              </w:rPr>
              <w:t>Враховано редакційно</w:t>
            </w:r>
          </w:p>
          <w:p w14:paraId="1435166B" w14:textId="060A207F" w:rsidR="006507E8" w:rsidRPr="00286216" w:rsidRDefault="006507E8" w:rsidP="006507E8">
            <w:pPr>
              <w:pStyle w:val="StyleWisnow"/>
              <w:spacing w:line="180" w:lineRule="exact"/>
              <w:rPr>
                <w:color w:val="000000" w:themeColor="text1"/>
              </w:rPr>
            </w:pPr>
            <w:r w:rsidRPr="00286216">
              <w:rPr>
                <w:color w:val="000000" w:themeColor="text1"/>
              </w:rPr>
              <w:t>в частини 3 статті 90</w:t>
            </w:r>
          </w:p>
        </w:tc>
        <w:tc>
          <w:tcPr>
            <w:tcW w:w="4818" w:type="dxa"/>
          </w:tcPr>
          <w:p w14:paraId="53A9BD6B" w14:textId="09B7F4C5" w:rsidR="006507E8" w:rsidRPr="00286216" w:rsidRDefault="006507E8" w:rsidP="006507E8">
            <w:pPr>
              <w:pStyle w:val="StyleZakonu"/>
              <w:rPr>
                <w:color w:val="000000" w:themeColor="text1"/>
              </w:rPr>
            </w:pPr>
          </w:p>
        </w:tc>
      </w:tr>
      <w:tr w:rsidR="006507E8" w:rsidRPr="00286216" w14:paraId="0FAD92E3" w14:textId="77777777" w:rsidTr="00091AA5">
        <w:tc>
          <w:tcPr>
            <w:tcW w:w="576" w:type="dxa"/>
          </w:tcPr>
          <w:p w14:paraId="37D5DC1C" w14:textId="77777777" w:rsidR="006507E8" w:rsidRPr="00286216" w:rsidRDefault="006507E8" w:rsidP="006507E8">
            <w:pPr>
              <w:pStyle w:val="StyleWisnow"/>
              <w:rPr>
                <w:color w:val="000000" w:themeColor="text1"/>
              </w:rPr>
            </w:pPr>
            <w:bookmarkStart w:id="1196" w:name="n1461" w:colFirst="0" w:colLast="0"/>
            <w:bookmarkEnd w:id="1195"/>
            <w:r w:rsidRPr="00286216">
              <w:rPr>
                <w:color w:val="000000" w:themeColor="text1"/>
              </w:rPr>
              <w:t>1461.</w:t>
            </w:r>
          </w:p>
        </w:tc>
        <w:tc>
          <w:tcPr>
            <w:tcW w:w="4818" w:type="dxa"/>
          </w:tcPr>
          <w:p w14:paraId="2269E9A0" w14:textId="77777777" w:rsidR="006507E8" w:rsidRPr="00286216" w:rsidRDefault="006507E8" w:rsidP="006507E8">
            <w:pPr>
              <w:pStyle w:val="StyleZakonu"/>
              <w:rPr>
                <w:color w:val="000000" w:themeColor="text1"/>
              </w:rPr>
            </w:pPr>
            <w:r w:rsidRPr="00286216">
              <w:rPr>
                <w:color w:val="000000" w:themeColor="text1"/>
              </w:rPr>
              <w:t>4. Інші вимоги до торгового репозиторію та порядку провадження ним діяльності встановлюються Національною комісією з цінних паперів та фондового ринку.</w:t>
            </w:r>
          </w:p>
        </w:tc>
        <w:tc>
          <w:tcPr>
            <w:tcW w:w="3686" w:type="dxa"/>
          </w:tcPr>
          <w:p w14:paraId="54347597" w14:textId="3AB15DDC" w:rsidR="006507E8" w:rsidRPr="00286216" w:rsidRDefault="006507E8" w:rsidP="006507E8">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906</w:t>
            </w:r>
            <w:r w:rsidRPr="00286216">
              <w:rPr>
                <w:color w:val="000000" w:themeColor="text1"/>
              </w:rPr>
              <w:fldChar w:fldCharType="end"/>
            </w:r>
            <w:r w:rsidRPr="00286216">
              <w:rPr>
                <w:color w:val="000000" w:themeColor="text1"/>
              </w:rPr>
              <w:t>-Н.д.Шахов С.В. (Реєстр.картка №114)</w:t>
            </w:r>
          </w:p>
          <w:p w14:paraId="7B901338" w14:textId="77777777" w:rsidR="006507E8" w:rsidRPr="00286216" w:rsidRDefault="006507E8" w:rsidP="006507E8">
            <w:pPr>
              <w:pStyle w:val="StyleProp"/>
              <w:spacing w:line="180" w:lineRule="exact"/>
              <w:rPr>
                <w:color w:val="000000" w:themeColor="text1"/>
              </w:rPr>
            </w:pPr>
            <w:r w:rsidRPr="00286216">
              <w:rPr>
                <w:color w:val="000000" w:themeColor="text1"/>
              </w:rPr>
              <w:t>Ч.4 ст. 86 викласти у такій редакції:</w:t>
            </w:r>
          </w:p>
          <w:p w14:paraId="613E44BA" w14:textId="77777777" w:rsidR="006507E8" w:rsidRPr="00286216" w:rsidRDefault="006507E8" w:rsidP="006507E8">
            <w:pPr>
              <w:pStyle w:val="StyleProp"/>
              <w:spacing w:line="180" w:lineRule="exact"/>
              <w:rPr>
                <w:color w:val="000000" w:themeColor="text1"/>
              </w:rPr>
            </w:pPr>
            <w:r w:rsidRPr="00286216">
              <w:rPr>
                <w:color w:val="000000" w:themeColor="text1"/>
              </w:rPr>
              <w:t>"4. Інші вимоги до торгового репозиторію та порядку провадження ним діяльності встановлюються регулятором відповідного ринку (щодо деривативних контрактів грошового ринку – за погодженням з Національним банком України)".</w:t>
            </w:r>
          </w:p>
        </w:tc>
        <w:tc>
          <w:tcPr>
            <w:tcW w:w="1987" w:type="dxa"/>
          </w:tcPr>
          <w:p w14:paraId="6C5D54D7" w14:textId="209D07B6" w:rsidR="006507E8" w:rsidRPr="00286216" w:rsidRDefault="006507E8" w:rsidP="006507E8">
            <w:pPr>
              <w:pStyle w:val="StyleWisnow"/>
              <w:rPr>
                <w:color w:val="000000" w:themeColor="text1"/>
              </w:rPr>
            </w:pPr>
            <w:r w:rsidRPr="00286216">
              <w:rPr>
                <w:color w:val="000000" w:themeColor="text1"/>
              </w:rPr>
              <w:t>Враховано частково</w:t>
            </w:r>
          </w:p>
          <w:p w14:paraId="2CDF774D" w14:textId="7562BE98" w:rsidR="006507E8" w:rsidRPr="00286216" w:rsidRDefault="006507E8" w:rsidP="006507E8">
            <w:pPr>
              <w:pStyle w:val="StyleWisnow"/>
              <w:spacing w:line="180" w:lineRule="exact"/>
              <w:rPr>
                <w:color w:val="000000" w:themeColor="text1"/>
              </w:rPr>
            </w:pPr>
            <w:r w:rsidRPr="00286216">
              <w:rPr>
                <w:color w:val="000000" w:themeColor="text1"/>
              </w:rPr>
              <w:t>в статті 90 щодо деривативних контрактів грошового ринку</w:t>
            </w:r>
          </w:p>
        </w:tc>
        <w:tc>
          <w:tcPr>
            <w:tcW w:w="4818" w:type="dxa"/>
          </w:tcPr>
          <w:p w14:paraId="13F095C0" w14:textId="7135EA4D" w:rsidR="006507E8" w:rsidRPr="00286216" w:rsidRDefault="006507E8" w:rsidP="006507E8">
            <w:pPr>
              <w:pStyle w:val="StyleZakonu"/>
              <w:rPr>
                <w:color w:val="000000" w:themeColor="text1"/>
              </w:rPr>
            </w:pPr>
          </w:p>
        </w:tc>
      </w:tr>
      <w:tr w:rsidR="006507E8" w:rsidRPr="00286216" w14:paraId="14F3BADE" w14:textId="77777777" w:rsidTr="00091AA5">
        <w:tc>
          <w:tcPr>
            <w:tcW w:w="576" w:type="dxa"/>
          </w:tcPr>
          <w:p w14:paraId="10E8C16B" w14:textId="77777777" w:rsidR="006507E8" w:rsidRPr="00286216" w:rsidRDefault="006507E8" w:rsidP="006507E8">
            <w:pPr>
              <w:pStyle w:val="StyleWisnow"/>
              <w:rPr>
                <w:color w:val="000000" w:themeColor="text1"/>
              </w:rPr>
            </w:pPr>
            <w:bookmarkStart w:id="1197" w:name="n1462" w:colFirst="0" w:colLast="0"/>
            <w:bookmarkEnd w:id="1196"/>
            <w:r w:rsidRPr="00286216">
              <w:rPr>
                <w:color w:val="000000" w:themeColor="text1"/>
              </w:rPr>
              <w:t>1462.</w:t>
            </w:r>
          </w:p>
        </w:tc>
        <w:tc>
          <w:tcPr>
            <w:tcW w:w="4818" w:type="dxa"/>
          </w:tcPr>
          <w:p w14:paraId="4C50ED21" w14:textId="77777777" w:rsidR="006507E8" w:rsidRPr="00286216" w:rsidRDefault="006507E8" w:rsidP="006507E8">
            <w:pPr>
              <w:pStyle w:val="StyleZakonu"/>
              <w:spacing w:after="0"/>
              <w:ind w:firstLine="0"/>
              <w:jc w:val="center"/>
              <w:rPr>
                <w:color w:val="000000" w:themeColor="text1"/>
              </w:rPr>
            </w:pPr>
            <w:r w:rsidRPr="00286216">
              <w:rPr>
                <w:color w:val="000000" w:themeColor="text1"/>
              </w:rPr>
              <w:t>Розділ VI</w:t>
            </w:r>
          </w:p>
          <w:p w14:paraId="57A5DADC" w14:textId="77777777" w:rsidR="006507E8" w:rsidRPr="00286216" w:rsidRDefault="006507E8" w:rsidP="006507E8">
            <w:pPr>
              <w:pStyle w:val="StyleZakonu"/>
              <w:ind w:firstLine="0"/>
              <w:jc w:val="center"/>
              <w:rPr>
                <w:color w:val="000000" w:themeColor="text1"/>
              </w:rPr>
            </w:pPr>
            <w:r w:rsidRPr="00286216">
              <w:rPr>
                <w:color w:val="000000" w:themeColor="text1"/>
              </w:rPr>
              <w:t>ЕМІСІЯ ТА ОБІГ ЦІННИХ ПАПЕРІВ</w:t>
            </w:r>
          </w:p>
        </w:tc>
        <w:tc>
          <w:tcPr>
            <w:tcW w:w="3686" w:type="dxa"/>
          </w:tcPr>
          <w:p w14:paraId="10CA1BE4" w14:textId="77777777" w:rsidR="006507E8" w:rsidRPr="00286216" w:rsidRDefault="006507E8" w:rsidP="006507E8">
            <w:pPr>
              <w:pStyle w:val="StyleProp"/>
              <w:rPr>
                <w:color w:val="000000" w:themeColor="text1"/>
                <w:szCs w:val="18"/>
              </w:rPr>
            </w:pPr>
          </w:p>
        </w:tc>
        <w:tc>
          <w:tcPr>
            <w:tcW w:w="1987" w:type="dxa"/>
          </w:tcPr>
          <w:p w14:paraId="349CB7DF" w14:textId="77777777" w:rsidR="006507E8" w:rsidRPr="00286216" w:rsidRDefault="006507E8" w:rsidP="006507E8">
            <w:pPr>
              <w:pStyle w:val="StyleWisnow"/>
              <w:spacing w:line="180" w:lineRule="exact"/>
              <w:rPr>
                <w:color w:val="000000" w:themeColor="text1"/>
              </w:rPr>
            </w:pPr>
          </w:p>
        </w:tc>
        <w:tc>
          <w:tcPr>
            <w:tcW w:w="4818" w:type="dxa"/>
          </w:tcPr>
          <w:p w14:paraId="5E34703B" w14:textId="77777777" w:rsidR="006507E8" w:rsidRPr="00286216" w:rsidRDefault="006507E8" w:rsidP="006507E8">
            <w:pPr>
              <w:pStyle w:val="StyleZakonu"/>
              <w:spacing w:after="0"/>
              <w:ind w:firstLine="0"/>
              <w:jc w:val="center"/>
              <w:rPr>
                <w:color w:val="000000" w:themeColor="text1"/>
              </w:rPr>
            </w:pPr>
            <w:r w:rsidRPr="00286216">
              <w:rPr>
                <w:color w:val="000000" w:themeColor="text1"/>
              </w:rPr>
              <w:t>Розділ VIІ</w:t>
            </w:r>
          </w:p>
          <w:p w14:paraId="60C587B3" w14:textId="1CC27894" w:rsidR="006507E8" w:rsidRPr="00286216" w:rsidRDefault="006507E8" w:rsidP="006507E8">
            <w:pPr>
              <w:pStyle w:val="StyleZakonu"/>
              <w:ind w:firstLine="0"/>
              <w:jc w:val="center"/>
              <w:rPr>
                <w:color w:val="000000" w:themeColor="text1"/>
              </w:rPr>
            </w:pPr>
            <w:r w:rsidRPr="00286216">
              <w:rPr>
                <w:color w:val="000000" w:themeColor="text1"/>
              </w:rPr>
              <w:t>ЕМІСІЯ ТА ОБІГ ЦІННИХ ПАПЕРІВ</w:t>
            </w:r>
          </w:p>
        </w:tc>
      </w:tr>
      <w:tr w:rsidR="006507E8" w:rsidRPr="00286216" w14:paraId="6698631A" w14:textId="77777777" w:rsidTr="00091AA5">
        <w:tc>
          <w:tcPr>
            <w:tcW w:w="576" w:type="dxa"/>
          </w:tcPr>
          <w:p w14:paraId="65548C25" w14:textId="77777777" w:rsidR="006507E8" w:rsidRPr="00286216" w:rsidRDefault="006507E8" w:rsidP="006507E8">
            <w:pPr>
              <w:pStyle w:val="StyleWisnow"/>
              <w:rPr>
                <w:color w:val="000000" w:themeColor="text1"/>
              </w:rPr>
            </w:pPr>
            <w:bookmarkStart w:id="1198" w:name="n1463" w:colFirst="0" w:colLast="0"/>
            <w:bookmarkEnd w:id="1197"/>
            <w:r w:rsidRPr="00286216">
              <w:rPr>
                <w:color w:val="000000" w:themeColor="text1"/>
              </w:rPr>
              <w:t>1463.</w:t>
            </w:r>
          </w:p>
        </w:tc>
        <w:tc>
          <w:tcPr>
            <w:tcW w:w="4818" w:type="dxa"/>
          </w:tcPr>
          <w:p w14:paraId="77915BCD" w14:textId="77777777" w:rsidR="006507E8" w:rsidRPr="00286216" w:rsidRDefault="006507E8" w:rsidP="006507E8">
            <w:pPr>
              <w:pStyle w:val="StyleZakonu"/>
              <w:rPr>
                <w:color w:val="000000" w:themeColor="text1"/>
              </w:rPr>
            </w:pPr>
            <w:r w:rsidRPr="00286216">
              <w:rPr>
                <w:color w:val="000000" w:themeColor="text1"/>
              </w:rPr>
              <w:t>Стаття 87. Емісія цінних паперів</w:t>
            </w:r>
          </w:p>
        </w:tc>
        <w:tc>
          <w:tcPr>
            <w:tcW w:w="3686" w:type="dxa"/>
          </w:tcPr>
          <w:p w14:paraId="1E7BCB0D" w14:textId="77777777" w:rsidR="006507E8" w:rsidRPr="00286216" w:rsidRDefault="006507E8" w:rsidP="006507E8">
            <w:pPr>
              <w:pStyle w:val="StyleProp"/>
              <w:rPr>
                <w:color w:val="000000" w:themeColor="text1"/>
                <w:szCs w:val="18"/>
              </w:rPr>
            </w:pPr>
          </w:p>
        </w:tc>
        <w:tc>
          <w:tcPr>
            <w:tcW w:w="1987" w:type="dxa"/>
          </w:tcPr>
          <w:p w14:paraId="0E2963B4" w14:textId="77777777" w:rsidR="006507E8" w:rsidRPr="00286216" w:rsidRDefault="006507E8" w:rsidP="006507E8">
            <w:pPr>
              <w:pStyle w:val="StyleWisnow"/>
              <w:spacing w:line="180" w:lineRule="exact"/>
              <w:rPr>
                <w:color w:val="000000" w:themeColor="text1"/>
              </w:rPr>
            </w:pPr>
          </w:p>
        </w:tc>
        <w:tc>
          <w:tcPr>
            <w:tcW w:w="4818" w:type="dxa"/>
          </w:tcPr>
          <w:p w14:paraId="64E2A9C9" w14:textId="55083ED4" w:rsidR="006507E8" w:rsidRPr="00286216" w:rsidRDefault="006507E8" w:rsidP="006507E8">
            <w:pPr>
              <w:pStyle w:val="StyleZakonu"/>
              <w:rPr>
                <w:color w:val="000000" w:themeColor="text1"/>
              </w:rPr>
            </w:pPr>
            <w:r w:rsidRPr="00286216">
              <w:rPr>
                <w:color w:val="000000" w:themeColor="text1"/>
              </w:rPr>
              <w:t>Стаття 91. Емісія цінних паперів</w:t>
            </w:r>
          </w:p>
        </w:tc>
      </w:tr>
      <w:tr w:rsidR="006507E8" w:rsidRPr="00286216" w14:paraId="7E232144" w14:textId="77777777" w:rsidTr="00091AA5">
        <w:tc>
          <w:tcPr>
            <w:tcW w:w="576" w:type="dxa"/>
          </w:tcPr>
          <w:p w14:paraId="7F1EC98A" w14:textId="77777777" w:rsidR="006507E8" w:rsidRPr="00286216" w:rsidRDefault="006507E8" w:rsidP="006507E8">
            <w:pPr>
              <w:pStyle w:val="StyleWisnow"/>
              <w:rPr>
                <w:color w:val="000000" w:themeColor="text1"/>
              </w:rPr>
            </w:pPr>
            <w:bookmarkStart w:id="1199" w:name="n1464" w:colFirst="0" w:colLast="0"/>
            <w:bookmarkEnd w:id="1198"/>
            <w:r w:rsidRPr="00286216">
              <w:rPr>
                <w:color w:val="000000" w:themeColor="text1"/>
              </w:rPr>
              <w:t>1464.</w:t>
            </w:r>
          </w:p>
        </w:tc>
        <w:tc>
          <w:tcPr>
            <w:tcW w:w="4818" w:type="dxa"/>
          </w:tcPr>
          <w:p w14:paraId="5B269EF4" w14:textId="77777777" w:rsidR="006507E8" w:rsidRPr="00286216" w:rsidRDefault="006507E8" w:rsidP="006507E8">
            <w:pPr>
              <w:pStyle w:val="StyleZakonu"/>
              <w:rPr>
                <w:color w:val="000000" w:themeColor="text1"/>
              </w:rPr>
            </w:pPr>
            <w:r w:rsidRPr="00286216">
              <w:rPr>
                <w:color w:val="000000" w:themeColor="text1"/>
              </w:rPr>
              <w:t>1. Емісія цінних паперів - сукупність дій емітента, що спрямовані на реєстрацію випуску цінних паперів у Національній комісії з цінних паперів та фондового ринку, їх розміщення серед інвесторів в фінансові інструменти, які здійснюються в послідовності, встановленій статтею 88 цього Закону.</w:t>
            </w:r>
          </w:p>
        </w:tc>
        <w:tc>
          <w:tcPr>
            <w:tcW w:w="3686" w:type="dxa"/>
          </w:tcPr>
          <w:p w14:paraId="73ACDF2A" w14:textId="338907F3"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907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9FA3702" w14:textId="550D3244"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Частину 1 статті 87 викласти в такій редакції:</w:t>
            </w:r>
          </w:p>
          <w:p w14:paraId="1F1D1F2C"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 xml:space="preserve">«1. Емісія цінних паперів – сукупність дій емітента, що здійснюються в послідовності, встановленій статтею 71 цього Закону та спрямовані на розміщення емісійних цінних </w:t>
            </w:r>
            <w:r w:rsidRPr="00286216">
              <w:rPr>
                <w:color w:val="000000" w:themeColor="text1"/>
                <w:sz w:val="18"/>
              </w:rPr>
              <w:lastRenderedPageBreak/>
              <w:t>паперів серед їх перших власників (інвесторів в цінні папери)».</w:t>
            </w:r>
          </w:p>
        </w:tc>
        <w:tc>
          <w:tcPr>
            <w:tcW w:w="1987" w:type="dxa"/>
          </w:tcPr>
          <w:p w14:paraId="3B418D7D" w14:textId="77777777" w:rsidR="006507E8" w:rsidRPr="00286216" w:rsidRDefault="006507E8" w:rsidP="006507E8">
            <w:pPr>
              <w:pStyle w:val="StyleWisnow"/>
              <w:spacing w:line="180" w:lineRule="exact"/>
              <w:rPr>
                <w:color w:val="000000" w:themeColor="text1"/>
              </w:rPr>
            </w:pPr>
            <w:r w:rsidRPr="00286216">
              <w:rPr>
                <w:color w:val="000000" w:themeColor="text1"/>
              </w:rPr>
              <w:lastRenderedPageBreak/>
              <w:t>Відхилено</w:t>
            </w:r>
          </w:p>
          <w:p w14:paraId="5CDDB838" w14:textId="51FEE5D9"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40F124F2" w14:textId="394E869B" w:rsidR="006507E8" w:rsidRPr="00286216" w:rsidRDefault="006507E8" w:rsidP="006507E8">
            <w:pPr>
              <w:pStyle w:val="StyleZakonu"/>
              <w:rPr>
                <w:color w:val="000000" w:themeColor="text1"/>
              </w:rPr>
            </w:pPr>
            <w:r w:rsidRPr="00286216">
              <w:rPr>
                <w:color w:val="000000" w:themeColor="text1"/>
              </w:rPr>
              <w:t>1. Емісія цінних паперів - сукупність дій емітента, спрямованих на реєстрацію випуску цінних паперів у Національній комісії з цінних паперів та фондового ринку, їх розміщення серед інвесторів у фінансові інструменти, які здійснюються в послідовності, встановленій статтею 92 цього Закону.</w:t>
            </w:r>
          </w:p>
        </w:tc>
      </w:tr>
      <w:tr w:rsidR="006507E8" w:rsidRPr="00286216" w14:paraId="5EEE14A1" w14:textId="77777777" w:rsidTr="00091AA5">
        <w:tc>
          <w:tcPr>
            <w:tcW w:w="576" w:type="dxa"/>
          </w:tcPr>
          <w:p w14:paraId="24C0273D" w14:textId="77777777" w:rsidR="006507E8" w:rsidRPr="00286216" w:rsidRDefault="006507E8" w:rsidP="006507E8">
            <w:pPr>
              <w:pStyle w:val="StyleWisnow"/>
              <w:rPr>
                <w:color w:val="000000" w:themeColor="text1"/>
              </w:rPr>
            </w:pPr>
            <w:bookmarkStart w:id="1200" w:name="n1465" w:colFirst="0" w:colLast="0"/>
            <w:bookmarkEnd w:id="1199"/>
            <w:r w:rsidRPr="00286216">
              <w:rPr>
                <w:color w:val="000000" w:themeColor="text1"/>
              </w:rPr>
              <w:t>1465.</w:t>
            </w:r>
          </w:p>
        </w:tc>
        <w:tc>
          <w:tcPr>
            <w:tcW w:w="4818" w:type="dxa"/>
          </w:tcPr>
          <w:p w14:paraId="7AAE1A9C" w14:textId="77777777" w:rsidR="006507E8" w:rsidRPr="00286216" w:rsidRDefault="006507E8" w:rsidP="006507E8">
            <w:pPr>
              <w:pStyle w:val="StyleZakonu"/>
              <w:rPr>
                <w:color w:val="000000" w:themeColor="text1"/>
              </w:rPr>
            </w:pPr>
            <w:r w:rsidRPr="00286216">
              <w:rPr>
                <w:color w:val="000000" w:themeColor="text1"/>
              </w:rPr>
              <w:t>2. У разі емісії цінних паперів емітент оформлює відповідне рішення про емісію, вимоги до якого встановлюються законом та Національною комісією з цінних паперів та фондового ринку. Емітент повинен надавати інвестору засвідчену копію рішення про емісію на його запит.</w:t>
            </w:r>
          </w:p>
        </w:tc>
        <w:tc>
          <w:tcPr>
            <w:tcW w:w="3686" w:type="dxa"/>
          </w:tcPr>
          <w:p w14:paraId="043FCF82" w14:textId="77777777" w:rsidR="006507E8" w:rsidRPr="00286216" w:rsidRDefault="006507E8" w:rsidP="006507E8">
            <w:pPr>
              <w:pStyle w:val="StyleProp"/>
              <w:rPr>
                <w:rFonts w:eastAsia="Calibri"/>
                <w:color w:val="000000" w:themeColor="text1"/>
                <w:szCs w:val="18"/>
                <w:lang w:eastAsia="en-US"/>
              </w:rPr>
            </w:pPr>
          </w:p>
        </w:tc>
        <w:tc>
          <w:tcPr>
            <w:tcW w:w="1987" w:type="dxa"/>
          </w:tcPr>
          <w:p w14:paraId="1F085305" w14:textId="77777777" w:rsidR="006507E8" w:rsidRPr="00286216" w:rsidRDefault="006507E8" w:rsidP="006507E8">
            <w:pPr>
              <w:pStyle w:val="StyleWisnow"/>
              <w:spacing w:line="180" w:lineRule="exact"/>
              <w:rPr>
                <w:color w:val="000000" w:themeColor="text1"/>
              </w:rPr>
            </w:pPr>
          </w:p>
        </w:tc>
        <w:tc>
          <w:tcPr>
            <w:tcW w:w="4818" w:type="dxa"/>
          </w:tcPr>
          <w:p w14:paraId="1D65A16A" w14:textId="416AD81E" w:rsidR="006507E8" w:rsidRPr="00286216" w:rsidRDefault="006507E8" w:rsidP="006507E8">
            <w:pPr>
              <w:pStyle w:val="StyleZakonu"/>
              <w:rPr>
                <w:color w:val="000000" w:themeColor="text1"/>
              </w:rPr>
            </w:pPr>
            <w:r w:rsidRPr="00286216">
              <w:rPr>
                <w:color w:val="000000" w:themeColor="text1"/>
              </w:rPr>
              <w:t>2. У разі емісії цінних паперів емітент оформлює відповідне рішення про емісію, вимоги до якого встановлюються законом та Національною комісією з цінних паперів та фондового ринку. Емітент повинен надавати інвестору засвідчену копію рішення про емісію на його запит.</w:t>
            </w:r>
          </w:p>
        </w:tc>
      </w:tr>
      <w:tr w:rsidR="006507E8" w:rsidRPr="00286216" w14:paraId="24863646" w14:textId="77777777" w:rsidTr="00091AA5">
        <w:tc>
          <w:tcPr>
            <w:tcW w:w="576" w:type="dxa"/>
          </w:tcPr>
          <w:p w14:paraId="6E9A5C5F" w14:textId="77777777" w:rsidR="006507E8" w:rsidRPr="00286216" w:rsidRDefault="006507E8" w:rsidP="006507E8">
            <w:pPr>
              <w:pStyle w:val="StyleWisnow"/>
              <w:rPr>
                <w:color w:val="000000" w:themeColor="text1"/>
              </w:rPr>
            </w:pPr>
            <w:bookmarkStart w:id="1201" w:name="n1466" w:colFirst="0" w:colLast="0"/>
            <w:bookmarkEnd w:id="1200"/>
            <w:r w:rsidRPr="00286216">
              <w:rPr>
                <w:color w:val="000000" w:themeColor="text1"/>
              </w:rPr>
              <w:t>1466.</w:t>
            </w:r>
          </w:p>
        </w:tc>
        <w:tc>
          <w:tcPr>
            <w:tcW w:w="4818" w:type="dxa"/>
          </w:tcPr>
          <w:p w14:paraId="32D69A54" w14:textId="77777777" w:rsidR="006507E8" w:rsidRPr="00286216" w:rsidRDefault="006507E8" w:rsidP="006507E8">
            <w:pPr>
              <w:pStyle w:val="StyleZakonu"/>
              <w:rPr>
                <w:color w:val="000000" w:themeColor="text1"/>
              </w:rPr>
            </w:pPr>
            <w:r w:rsidRPr="00286216">
              <w:rPr>
                <w:color w:val="000000" w:themeColor="text1"/>
              </w:rPr>
              <w:t>3.Емісія цінних паперів здійснюється емітентом самостійно або через інвестиційну фірму, що здійснює андеррайтинг та/або діяльність з розміщення з наданням гарантії або діяльність з розміщення без надання гарантії на підставі договорів, передбачених частинами 11 - 13 статті 42 цього Закону.</w:t>
            </w:r>
          </w:p>
        </w:tc>
        <w:tc>
          <w:tcPr>
            <w:tcW w:w="3686" w:type="dxa"/>
          </w:tcPr>
          <w:p w14:paraId="7B8E6FBD" w14:textId="254969A7"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908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261A005" w14:textId="2C6B1784"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Ч. 3 статті 87 викласти в такій редакції:</w:t>
            </w:r>
          </w:p>
          <w:p w14:paraId="6DEB5F0E" w14:textId="4890AA58" w:rsidR="006507E8" w:rsidRPr="00286216" w:rsidRDefault="006507E8" w:rsidP="006507E8">
            <w:pPr>
              <w:pStyle w:val="StyleProp"/>
              <w:spacing w:line="180" w:lineRule="exact"/>
              <w:rPr>
                <w:color w:val="000000" w:themeColor="text1"/>
                <w:szCs w:val="18"/>
              </w:rPr>
            </w:pPr>
            <w:r w:rsidRPr="00286216">
              <w:rPr>
                <w:color w:val="000000" w:themeColor="text1"/>
              </w:rPr>
              <w:t>«</w:t>
            </w:r>
            <w:r w:rsidRPr="00286216">
              <w:rPr>
                <w:color w:val="000000" w:themeColor="text1"/>
                <w:spacing w:val="-2"/>
              </w:rPr>
              <w:t>3. Емісія цінних паперів здійснюється емітентом самостійно або на підставі договорів, передбачених частинами одинадцятою – тринадцятою статті 44 цього Закону, через інвестиційну фірму, що здійснює андеррайтинг та/або діяльність з розміщення з наданням гарантії або діяльність з розміщення без надання гарантії».</w:t>
            </w:r>
          </w:p>
        </w:tc>
        <w:tc>
          <w:tcPr>
            <w:tcW w:w="1987" w:type="dxa"/>
          </w:tcPr>
          <w:p w14:paraId="79AA946B" w14:textId="1DF1F34F" w:rsidR="006507E8" w:rsidRPr="00286216" w:rsidRDefault="006507E8" w:rsidP="006507E8">
            <w:pPr>
              <w:pStyle w:val="StyleWisnow"/>
              <w:spacing w:line="180" w:lineRule="exact"/>
              <w:rPr>
                <w:color w:val="000000" w:themeColor="text1"/>
              </w:rPr>
            </w:pPr>
            <w:r w:rsidRPr="00286216">
              <w:rPr>
                <w:color w:val="000000" w:themeColor="text1"/>
              </w:rPr>
              <w:t>Враховано</w:t>
            </w:r>
          </w:p>
        </w:tc>
        <w:tc>
          <w:tcPr>
            <w:tcW w:w="4818" w:type="dxa"/>
          </w:tcPr>
          <w:p w14:paraId="200CC249" w14:textId="6A8E2C92" w:rsidR="006507E8" w:rsidRPr="00286216" w:rsidRDefault="006507E8" w:rsidP="006507E8">
            <w:pPr>
              <w:pStyle w:val="StyleZakonu"/>
              <w:rPr>
                <w:color w:val="000000" w:themeColor="text1"/>
              </w:rPr>
            </w:pPr>
            <w:r w:rsidRPr="00286216">
              <w:rPr>
                <w:color w:val="000000" w:themeColor="text1"/>
              </w:rPr>
              <w:t>3. Емісія цінних паперів здійснюється емітентом самостійно або на підставі договорів, передбачених частинами одинадцятою – тринадцятою статті 44 цього Закону, через інвестиційну фірму, що здійснює андеррайтинг, або діяльність з розміщення з наданням гарантії, або діяльність з розміщення без надання гарантії.</w:t>
            </w:r>
          </w:p>
        </w:tc>
      </w:tr>
      <w:tr w:rsidR="006507E8" w:rsidRPr="00286216" w14:paraId="128EEF3B" w14:textId="77777777" w:rsidTr="00091AA5">
        <w:tc>
          <w:tcPr>
            <w:tcW w:w="576" w:type="dxa"/>
          </w:tcPr>
          <w:p w14:paraId="4BDCE768" w14:textId="77777777" w:rsidR="006507E8" w:rsidRPr="00286216" w:rsidRDefault="006507E8" w:rsidP="006507E8">
            <w:pPr>
              <w:pStyle w:val="StyleWisnow"/>
              <w:rPr>
                <w:color w:val="000000" w:themeColor="text1"/>
              </w:rPr>
            </w:pPr>
            <w:bookmarkStart w:id="1202" w:name="n1467" w:colFirst="0" w:colLast="0"/>
            <w:bookmarkEnd w:id="1201"/>
            <w:r w:rsidRPr="00286216">
              <w:rPr>
                <w:color w:val="000000" w:themeColor="text1"/>
              </w:rPr>
              <w:t>1467.</w:t>
            </w:r>
          </w:p>
        </w:tc>
        <w:tc>
          <w:tcPr>
            <w:tcW w:w="4818" w:type="dxa"/>
          </w:tcPr>
          <w:p w14:paraId="74A661A9" w14:textId="77777777" w:rsidR="006507E8" w:rsidRPr="00286216" w:rsidRDefault="006507E8" w:rsidP="006507E8">
            <w:pPr>
              <w:pStyle w:val="StyleZakonu"/>
              <w:rPr>
                <w:color w:val="000000" w:themeColor="text1"/>
              </w:rPr>
            </w:pPr>
            <w:r w:rsidRPr="00286216">
              <w:rPr>
                <w:color w:val="000000" w:themeColor="text1"/>
              </w:rPr>
              <w:t>4. У процесі емісії цінних паперів договори з першими власниками щодо відчуження цінних паперів укладаються до дати, визначеної рішенням про емісію цінних паперів, але не пізніше двох місяців з дати початку розміщення цінних паперів, визначеної рішенням про емісію таких цінних паперів, якщо інший строк не передбачений цим Законом.</w:t>
            </w:r>
          </w:p>
        </w:tc>
        <w:tc>
          <w:tcPr>
            <w:tcW w:w="3686" w:type="dxa"/>
          </w:tcPr>
          <w:p w14:paraId="2B52B587" w14:textId="61C1FDA8"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909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2D4F86F" w14:textId="77777777" w:rsidR="006507E8" w:rsidRPr="00286216" w:rsidRDefault="006507E8" w:rsidP="006507E8">
            <w:pPr>
              <w:pStyle w:val="StyleProp"/>
              <w:rPr>
                <w:color w:val="000000" w:themeColor="text1"/>
                <w:szCs w:val="18"/>
              </w:rPr>
            </w:pPr>
            <w:r w:rsidRPr="00286216">
              <w:rPr>
                <w:color w:val="000000" w:themeColor="text1"/>
              </w:rPr>
              <w:t>В частині четвертій статті 87 слово «відчуження» виключити</w:t>
            </w:r>
          </w:p>
        </w:tc>
        <w:tc>
          <w:tcPr>
            <w:tcW w:w="1987" w:type="dxa"/>
          </w:tcPr>
          <w:p w14:paraId="6F4BABC3"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45095858" w14:textId="15A3C376" w:rsidR="006507E8" w:rsidRPr="00286216" w:rsidRDefault="006507E8" w:rsidP="006507E8">
            <w:pPr>
              <w:pStyle w:val="StyleZakonu"/>
              <w:rPr>
                <w:color w:val="000000" w:themeColor="text1"/>
              </w:rPr>
            </w:pPr>
            <w:r w:rsidRPr="00286216">
              <w:rPr>
                <w:color w:val="000000" w:themeColor="text1"/>
              </w:rPr>
              <w:t>4. У процесі емісії цінних паперів договори щодо цінних паперів укладаються з першими власниками до дати, визначеної рішенням про емісію, але не пізніше двох місяців після дати початку розміщення цінних паперів, визначеної відповідним рішенням про емісію, якщо інший строк не встановлений цим Законом.</w:t>
            </w:r>
          </w:p>
        </w:tc>
      </w:tr>
      <w:tr w:rsidR="006507E8" w:rsidRPr="00286216" w14:paraId="55B61F1A" w14:textId="77777777" w:rsidTr="00091AA5">
        <w:tc>
          <w:tcPr>
            <w:tcW w:w="576" w:type="dxa"/>
          </w:tcPr>
          <w:p w14:paraId="107C53F2" w14:textId="77777777" w:rsidR="006507E8" w:rsidRPr="00286216" w:rsidRDefault="006507E8" w:rsidP="006507E8">
            <w:pPr>
              <w:pStyle w:val="StyleWisnow"/>
              <w:rPr>
                <w:color w:val="000000" w:themeColor="text1"/>
              </w:rPr>
            </w:pPr>
            <w:bookmarkStart w:id="1203" w:name="n1468" w:colFirst="0" w:colLast="0"/>
            <w:bookmarkEnd w:id="1202"/>
            <w:r w:rsidRPr="00286216">
              <w:rPr>
                <w:color w:val="000000" w:themeColor="text1"/>
              </w:rPr>
              <w:t>1468.</w:t>
            </w:r>
          </w:p>
        </w:tc>
        <w:tc>
          <w:tcPr>
            <w:tcW w:w="4818" w:type="dxa"/>
          </w:tcPr>
          <w:p w14:paraId="0CAD3685" w14:textId="77777777" w:rsidR="006507E8" w:rsidRPr="00286216" w:rsidRDefault="006507E8" w:rsidP="006507E8">
            <w:pPr>
              <w:pStyle w:val="StyleZakonu"/>
              <w:rPr>
                <w:color w:val="000000" w:themeColor="text1"/>
              </w:rPr>
            </w:pPr>
            <w:r w:rsidRPr="00286216">
              <w:rPr>
                <w:color w:val="000000" w:themeColor="text1"/>
              </w:rPr>
              <w:t>Кожен інвестор у фінансові інструменти, який набув або має намір набути права власності на цінні папери, має оплатити вартість цінних паперів у повному обсязі до дати затвердження результатів емісії відповідного випуску цінних паперів.</w:t>
            </w:r>
          </w:p>
        </w:tc>
        <w:tc>
          <w:tcPr>
            <w:tcW w:w="3686" w:type="dxa"/>
          </w:tcPr>
          <w:p w14:paraId="6C114A5B" w14:textId="77777777" w:rsidR="006507E8" w:rsidRPr="00286216" w:rsidRDefault="006507E8" w:rsidP="006507E8">
            <w:pPr>
              <w:pStyle w:val="StyleProp"/>
              <w:rPr>
                <w:color w:val="000000" w:themeColor="text1"/>
                <w:szCs w:val="18"/>
              </w:rPr>
            </w:pPr>
          </w:p>
        </w:tc>
        <w:tc>
          <w:tcPr>
            <w:tcW w:w="1987" w:type="dxa"/>
          </w:tcPr>
          <w:p w14:paraId="6E5E6E2E" w14:textId="77777777" w:rsidR="006507E8" w:rsidRPr="00286216" w:rsidRDefault="006507E8" w:rsidP="006507E8">
            <w:pPr>
              <w:pStyle w:val="StyleWisnow"/>
              <w:rPr>
                <w:color w:val="000000" w:themeColor="text1"/>
              </w:rPr>
            </w:pPr>
          </w:p>
        </w:tc>
        <w:tc>
          <w:tcPr>
            <w:tcW w:w="4818" w:type="dxa"/>
          </w:tcPr>
          <w:p w14:paraId="37B5D4EB" w14:textId="59F2AE5D" w:rsidR="006507E8" w:rsidRPr="00286216" w:rsidRDefault="006507E8" w:rsidP="006507E8">
            <w:pPr>
              <w:pStyle w:val="StyleZakonu"/>
              <w:rPr>
                <w:color w:val="000000" w:themeColor="text1"/>
              </w:rPr>
            </w:pPr>
            <w:r w:rsidRPr="00286216">
              <w:rPr>
                <w:color w:val="000000" w:themeColor="text1"/>
              </w:rPr>
              <w:t>Кожний інвестор у фінансові інструменти, який набув або має намір набути права власності на цінні папери, має оплатити вартість цінних паперів у повному обсязі до дати затвердження результатів емісії відповідного випуску цінних паперів.</w:t>
            </w:r>
          </w:p>
        </w:tc>
      </w:tr>
      <w:tr w:rsidR="006507E8" w:rsidRPr="00286216" w14:paraId="7F9AEEC6" w14:textId="77777777" w:rsidTr="00091AA5">
        <w:tc>
          <w:tcPr>
            <w:tcW w:w="576" w:type="dxa"/>
          </w:tcPr>
          <w:p w14:paraId="46D3F938" w14:textId="77777777" w:rsidR="006507E8" w:rsidRPr="00286216" w:rsidRDefault="006507E8" w:rsidP="006507E8">
            <w:pPr>
              <w:pStyle w:val="StyleWisnow"/>
              <w:rPr>
                <w:color w:val="000000" w:themeColor="text1"/>
              </w:rPr>
            </w:pPr>
            <w:bookmarkStart w:id="1204" w:name="n1469" w:colFirst="0" w:colLast="0"/>
            <w:bookmarkEnd w:id="1203"/>
            <w:r w:rsidRPr="00286216">
              <w:rPr>
                <w:color w:val="000000" w:themeColor="text1"/>
              </w:rPr>
              <w:t>1469.</w:t>
            </w:r>
          </w:p>
        </w:tc>
        <w:tc>
          <w:tcPr>
            <w:tcW w:w="4818" w:type="dxa"/>
          </w:tcPr>
          <w:p w14:paraId="4D0CABD7" w14:textId="77777777" w:rsidR="006507E8" w:rsidRPr="00286216" w:rsidRDefault="006507E8" w:rsidP="006507E8">
            <w:pPr>
              <w:pStyle w:val="StyleZakonu"/>
              <w:rPr>
                <w:color w:val="000000" w:themeColor="text1"/>
              </w:rPr>
            </w:pPr>
            <w:r w:rsidRPr="00286216">
              <w:rPr>
                <w:color w:val="000000" w:themeColor="text1"/>
              </w:rPr>
              <w:t>5. Переважне право на придбання цінних паперів одними інвесторами стосовно інших встановлюється законом.</w:t>
            </w:r>
          </w:p>
        </w:tc>
        <w:tc>
          <w:tcPr>
            <w:tcW w:w="3686" w:type="dxa"/>
          </w:tcPr>
          <w:p w14:paraId="7A29306B" w14:textId="77777777" w:rsidR="006507E8" w:rsidRPr="00286216" w:rsidRDefault="006507E8" w:rsidP="006507E8">
            <w:pPr>
              <w:pStyle w:val="StyleProp"/>
              <w:rPr>
                <w:color w:val="000000" w:themeColor="text1"/>
                <w:szCs w:val="18"/>
              </w:rPr>
            </w:pPr>
          </w:p>
        </w:tc>
        <w:tc>
          <w:tcPr>
            <w:tcW w:w="1987" w:type="dxa"/>
          </w:tcPr>
          <w:p w14:paraId="1933667E" w14:textId="77777777" w:rsidR="006507E8" w:rsidRPr="00286216" w:rsidRDefault="006507E8" w:rsidP="006507E8">
            <w:pPr>
              <w:pStyle w:val="StyleWisnow"/>
              <w:rPr>
                <w:color w:val="000000" w:themeColor="text1"/>
              </w:rPr>
            </w:pPr>
          </w:p>
        </w:tc>
        <w:tc>
          <w:tcPr>
            <w:tcW w:w="4818" w:type="dxa"/>
          </w:tcPr>
          <w:p w14:paraId="63EFBFB8" w14:textId="0A5D274D" w:rsidR="006507E8" w:rsidRPr="00286216" w:rsidRDefault="006507E8" w:rsidP="006507E8">
            <w:pPr>
              <w:pStyle w:val="StyleZakonu"/>
              <w:rPr>
                <w:color w:val="000000" w:themeColor="text1"/>
              </w:rPr>
            </w:pPr>
            <w:r w:rsidRPr="00286216">
              <w:rPr>
                <w:color w:val="000000" w:themeColor="text1"/>
              </w:rPr>
              <w:t>5. Переважне право на придбання цінних паперів одними інвесторами стосовно інших встановлюється законом.</w:t>
            </w:r>
          </w:p>
        </w:tc>
      </w:tr>
      <w:tr w:rsidR="006507E8" w:rsidRPr="00286216" w14:paraId="4371A049" w14:textId="77777777" w:rsidTr="00091AA5">
        <w:tc>
          <w:tcPr>
            <w:tcW w:w="576" w:type="dxa"/>
          </w:tcPr>
          <w:p w14:paraId="75C72893" w14:textId="77777777" w:rsidR="006507E8" w:rsidRPr="00286216" w:rsidRDefault="006507E8" w:rsidP="006507E8">
            <w:pPr>
              <w:pStyle w:val="StyleWisnow"/>
              <w:rPr>
                <w:color w:val="000000" w:themeColor="text1"/>
              </w:rPr>
            </w:pPr>
            <w:bookmarkStart w:id="1205" w:name="n1470" w:colFirst="0" w:colLast="0"/>
            <w:bookmarkEnd w:id="1204"/>
            <w:r w:rsidRPr="00286216">
              <w:rPr>
                <w:color w:val="000000" w:themeColor="text1"/>
              </w:rPr>
              <w:t>1470.</w:t>
            </w:r>
          </w:p>
        </w:tc>
        <w:tc>
          <w:tcPr>
            <w:tcW w:w="4818" w:type="dxa"/>
          </w:tcPr>
          <w:p w14:paraId="746C78F9" w14:textId="77777777" w:rsidR="006507E8" w:rsidRPr="00286216" w:rsidRDefault="006507E8" w:rsidP="006507E8">
            <w:pPr>
              <w:pStyle w:val="StyleZakonu"/>
              <w:rPr>
                <w:color w:val="000000" w:themeColor="text1"/>
              </w:rPr>
            </w:pPr>
            <w:r w:rsidRPr="00286216">
              <w:rPr>
                <w:color w:val="000000" w:themeColor="text1"/>
              </w:rPr>
              <w:t>Строк реалізації переважного права визначається рішенням про емісію цінних паперів та не становити менше 15 робочих днів.</w:t>
            </w:r>
          </w:p>
        </w:tc>
        <w:tc>
          <w:tcPr>
            <w:tcW w:w="3686" w:type="dxa"/>
          </w:tcPr>
          <w:p w14:paraId="0069E61E" w14:textId="77777777" w:rsidR="006507E8" w:rsidRPr="00286216" w:rsidRDefault="006507E8" w:rsidP="006507E8">
            <w:pPr>
              <w:pStyle w:val="StyleProp"/>
              <w:rPr>
                <w:color w:val="000000" w:themeColor="text1"/>
                <w:szCs w:val="18"/>
              </w:rPr>
            </w:pPr>
          </w:p>
        </w:tc>
        <w:tc>
          <w:tcPr>
            <w:tcW w:w="1987" w:type="dxa"/>
          </w:tcPr>
          <w:p w14:paraId="79ADB189" w14:textId="77777777" w:rsidR="006507E8" w:rsidRPr="00286216" w:rsidRDefault="006507E8" w:rsidP="006507E8">
            <w:pPr>
              <w:pStyle w:val="StyleWisnow"/>
              <w:rPr>
                <w:color w:val="000000" w:themeColor="text1"/>
              </w:rPr>
            </w:pPr>
          </w:p>
        </w:tc>
        <w:tc>
          <w:tcPr>
            <w:tcW w:w="4818" w:type="dxa"/>
          </w:tcPr>
          <w:p w14:paraId="1780CE28" w14:textId="0C84657D" w:rsidR="006507E8" w:rsidRPr="00286216" w:rsidRDefault="006507E8" w:rsidP="006507E8">
            <w:pPr>
              <w:pStyle w:val="StyleZakonu"/>
              <w:rPr>
                <w:color w:val="000000" w:themeColor="text1"/>
              </w:rPr>
            </w:pPr>
            <w:r w:rsidRPr="00286216">
              <w:rPr>
                <w:color w:val="000000" w:themeColor="text1"/>
              </w:rPr>
              <w:t>Строк реалізації переважного права визначається рішенням про емісію та не може становити менше 15 робочих днів.</w:t>
            </w:r>
          </w:p>
        </w:tc>
      </w:tr>
      <w:tr w:rsidR="006507E8" w:rsidRPr="00286216" w14:paraId="0B0472C4" w14:textId="77777777" w:rsidTr="00091AA5">
        <w:tc>
          <w:tcPr>
            <w:tcW w:w="576" w:type="dxa"/>
          </w:tcPr>
          <w:p w14:paraId="791EDC7E" w14:textId="77777777" w:rsidR="006507E8" w:rsidRPr="00286216" w:rsidRDefault="006507E8" w:rsidP="006507E8">
            <w:pPr>
              <w:pStyle w:val="StyleWisnow"/>
              <w:rPr>
                <w:color w:val="000000" w:themeColor="text1"/>
              </w:rPr>
            </w:pPr>
            <w:bookmarkStart w:id="1206" w:name="n1471" w:colFirst="0" w:colLast="0"/>
            <w:bookmarkEnd w:id="1205"/>
            <w:r w:rsidRPr="00286216">
              <w:rPr>
                <w:color w:val="000000" w:themeColor="text1"/>
              </w:rPr>
              <w:t>1471.</w:t>
            </w:r>
          </w:p>
        </w:tc>
        <w:tc>
          <w:tcPr>
            <w:tcW w:w="4818" w:type="dxa"/>
          </w:tcPr>
          <w:p w14:paraId="2FFDD505" w14:textId="77777777" w:rsidR="006507E8" w:rsidRPr="00286216" w:rsidRDefault="006507E8" w:rsidP="006507E8">
            <w:pPr>
              <w:pStyle w:val="StyleZakonu"/>
              <w:rPr>
                <w:color w:val="000000" w:themeColor="text1"/>
              </w:rPr>
            </w:pPr>
            <w:r w:rsidRPr="00286216">
              <w:rPr>
                <w:color w:val="000000" w:themeColor="text1"/>
              </w:rPr>
              <w:t>6. Розміщення цінних паперів здійснюється серед заздалегідь визначеного кола осіб, кількість некваліфікованих інвесторів серед яких не може дорівнювати або перевищувати 150 осіб, крім випадку здійснення публічної пропозиції емітентом у процесі емісії.</w:t>
            </w:r>
          </w:p>
        </w:tc>
        <w:tc>
          <w:tcPr>
            <w:tcW w:w="3686" w:type="dxa"/>
          </w:tcPr>
          <w:p w14:paraId="37E1F569" w14:textId="77777777" w:rsidR="006507E8" w:rsidRPr="00286216" w:rsidRDefault="006507E8" w:rsidP="006507E8">
            <w:pPr>
              <w:pStyle w:val="StyleProp"/>
              <w:rPr>
                <w:color w:val="000000" w:themeColor="text1"/>
                <w:szCs w:val="18"/>
              </w:rPr>
            </w:pPr>
          </w:p>
        </w:tc>
        <w:tc>
          <w:tcPr>
            <w:tcW w:w="1987" w:type="dxa"/>
          </w:tcPr>
          <w:p w14:paraId="729099C1" w14:textId="77777777" w:rsidR="006507E8" w:rsidRPr="00286216" w:rsidRDefault="006507E8" w:rsidP="006507E8">
            <w:pPr>
              <w:pStyle w:val="StyleWisnow"/>
              <w:rPr>
                <w:color w:val="000000" w:themeColor="text1"/>
              </w:rPr>
            </w:pPr>
          </w:p>
        </w:tc>
        <w:tc>
          <w:tcPr>
            <w:tcW w:w="4818" w:type="dxa"/>
          </w:tcPr>
          <w:p w14:paraId="30676E6F" w14:textId="0F3844B5" w:rsidR="006507E8" w:rsidRPr="00286216" w:rsidRDefault="006507E8" w:rsidP="006507E8">
            <w:pPr>
              <w:pStyle w:val="StyleZakonu"/>
              <w:rPr>
                <w:color w:val="000000" w:themeColor="text1"/>
              </w:rPr>
            </w:pPr>
            <w:r w:rsidRPr="00286216">
              <w:rPr>
                <w:color w:val="000000" w:themeColor="text1"/>
              </w:rPr>
              <w:t>6. Розміщення цінних паперів здійснюється серед заздалегідь визначеного кола осіб, кількість некваліфікованих інвесторів серед яких не може дорівнювати або перевищувати 150 осіб, крім випадку здійснення публічної пропозиції емітентом у процесі емісії.</w:t>
            </w:r>
          </w:p>
        </w:tc>
      </w:tr>
      <w:tr w:rsidR="006507E8" w:rsidRPr="00286216" w14:paraId="7C7C4F94" w14:textId="77777777" w:rsidTr="00091AA5">
        <w:tc>
          <w:tcPr>
            <w:tcW w:w="576" w:type="dxa"/>
          </w:tcPr>
          <w:p w14:paraId="44B385E5" w14:textId="77777777" w:rsidR="006507E8" w:rsidRPr="00286216" w:rsidRDefault="006507E8" w:rsidP="006507E8">
            <w:pPr>
              <w:pStyle w:val="StyleWisnow"/>
              <w:rPr>
                <w:color w:val="000000" w:themeColor="text1"/>
              </w:rPr>
            </w:pPr>
            <w:bookmarkStart w:id="1207" w:name="n1472" w:colFirst="0" w:colLast="0"/>
            <w:bookmarkEnd w:id="1206"/>
            <w:r w:rsidRPr="00286216">
              <w:rPr>
                <w:color w:val="000000" w:themeColor="text1"/>
              </w:rPr>
              <w:t>1472.</w:t>
            </w:r>
          </w:p>
        </w:tc>
        <w:tc>
          <w:tcPr>
            <w:tcW w:w="4818" w:type="dxa"/>
          </w:tcPr>
          <w:p w14:paraId="362480FA" w14:textId="77777777" w:rsidR="006507E8" w:rsidRPr="00286216" w:rsidRDefault="006507E8" w:rsidP="006507E8">
            <w:pPr>
              <w:pStyle w:val="StyleZakonu"/>
              <w:rPr>
                <w:color w:val="000000" w:themeColor="text1"/>
              </w:rPr>
            </w:pPr>
            <w:bookmarkStart w:id="1208" w:name="_Ref16415832"/>
            <w:r w:rsidRPr="00286216">
              <w:rPr>
                <w:color w:val="000000" w:themeColor="text1"/>
              </w:rPr>
              <w:t>Стаття 88. Етапи емісії цінних паперів</w:t>
            </w:r>
            <w:bookmarkEnd w:id="1208"/>
          </w:p>
        </w:tc>
        <w:tc>
          <w:tcPr>
            <w:tcW w:w="3686" w:type="dxa"/>
          </w:tcPr>
          <w:p w14:paraId="3174C80B" w14:textId="77777777" w:rsidR="006507E8" w:rsidRPr="00286216" w:rsidRDefault="006507E8" w:rsidP="006507E8">
            <w:pPr>
              <w:pStyle w:val="StyleProp"/>
              <w:rPr>
                <w:color w:val="000000" w:themeColor="text1"/>
                <w:szCs w:val="18"/>
              </w:rPr>
            </w:pPr>
          </w:p>
        </w:tc>
        <w:tc>
          <w:tcPr>
            <w:tcW w:w="1987" w:type="dxa"/>
          </w:tcPr>
          <w:p w14:paraId="682B23F0" w14:textId="77777777" w:rsidR="006507E8" w:rsidRPr="00286216" w:rsidRDefault="006507E8" w:rsidP="006507E8">
            <w:pPr>
              <w:pStyle w:val="StyleWisnow"/>
              <w:rPr>
                <w:color w:val="000000" w:themeColor="text1"/>
              </w:rPr>
            </w:pPr>
          </w:p>
        </w:tc>
        <w:tc>
          <w:tcPr>
            <w:tcW w:w="4818" w:type="dxa"/>
          </w:tcPr>
          <w:p w14:paraId="5A0E9523" w14:textId="1B57B313" w:rsidR="006507E8" w:rsidRPr="00286216" w:rsidRDefault="006507E8" w:rsidP="006507E8">
            <w:pPr>
              <w:pStyle w:val="StyleZakonu"/>
              <w:rPr>
                <w:color w:val="000000" w:themeColor="text1"/>
              </w:rPr>
            </w:pPr>
            <w:r w:rsidRPr="00286216">
              <w:rPr>
                <w:color w:val="000000" w:themeColor="text1"/>
              </w:rPr>
              <w:t>Стаття 92. Етапи емісії цінних паперів</w:t>
            </w:r>
          </w:p>
        </w:tc>
      </w:tr>
      <w:tr w:rsidR="006507E8" w:rsidRPr="00286216" w14:paraId="2B52B486" w14:textId="77777777" w:rsidTr="00091AA5">
        <w:tc>
          <w:tcPr>
            <w:tcW w:w="576" w:type="dxa"/>
          </w:tcPr>
          <w:p w14:paraId="4805E83C" w14:textId="77777777" w:rsidR="006507E8" w:rsidRPr="00286216" w:rsidRDefault="006507E8" w:rsidP="006507E8">
            <w:pPr>
              <w:pStyle w:val="StyleWisnow"/>
              <w:rPr>
                <w:color w:val="000000" w:themeColor="text1"/>
              </w:rPr>
            </w:pPr>
            <w:bookmarkStart w:id="1209" w:name="n1473" w:colFirst="0" w:colLast="0"/>
            <w:bookmarkEnd w:id="1207"/>
            <w:r w:rsidRPr="00286216">
              <w:rPr>
                <w:color w:val="000000" w:themeColor="text1"/>
              </w:rPr>
              <w:t>1473.</w:t>
            </w:r>
          </w:p>
        </w:tc>
        <w:tc>
          <w:tcPr>
            <w:tcW w:w="4818" w:type="dxa"/>
          </w:tcPr>
          <w:p w14:paraId="25AB2F39" w14:textId="77777777" w:rsidR="006507E8" w:rsidRPr="00286216" w:rsidRDefault="006507E8" w:rsidP="006507E8">
            <w:pPr>
              <w:pStyle w:val="StyleZakonu"/>
              <w:rPr>
                <w:color w:val="000000" w:themeColor="text1"/>
              </w:rPr>
            </w:pPr>
            <w:r w:rsidRPr="00286216">
              <w:rPr>
                <w:color w:val="000000" w:themeColor="text1"/>
              </w:rPr>
              <w:t>1. Емісія акцій здійснюється за такими етапами:</w:t>
            </w:r>
          </w:p>
        </w:tc>
        <w:tc>
          <w:tcPr>
            <w:tcW w:w="3686" w:type="dxa"/>
          </w:tcPr>
          <w:p w14:paraId="333F66FD" w14:textId="77777777" w:rsidR="006507E8" w:rsidRPr="00286216" w:rsidRDefault="006507E8" w:rsidP="006507E8">
            <w:pPr>
              <w:pStyle w:val="StyleProp"/>
              <w:rPr>
                <w:color w:val="000000" w:themeColor="text1"/>
                <w:szCs w:val="18"/>
              </w:rPr>
            </w:pPr>
          </w:p>
        </w:tc>
        <w:tc>
          <w:tcPr>
            <w:tcW w:w="1987" w:type="dxa"/>
          </w:tcPr>
          <w:p w14:paraId="225EC41D" w14:textId="77777777" w:rsidR="006507E8" w:rsidRPr="00286216" w:rsidRDefault="006507E8" w:rsidP="006507E8">
            <w:pPr>
              <w:pStyle w:val="StyleWisnow"/>
              <w:rPr>
                <w:color w:val="000000" w:themeColor="text1"/>
              </w:rPr>
            </w:pPr>
          </w:p>
        </w:tc>
        <w:tc>
          <w:tcPr>
            <w:tcW w:w="4818" w:type="dxa"/>
          </w:tcPr>
          <w:p w14:paraId="28965BF6" w14:textId="034F391F" w:rsidR="006507E8" w:rsidRPr="00286216" w:rsidRDefault="006507E8" w:rsidP="006507E8">
            <w:pPr>
              <w:pStyle w:val="StyleZakonu"/>
              <w:rPr>
                <w:color w:val="000000" w:themeColor="text1"/>
              </w:rPr>
            </w:pPr>
            <w:r w:rsidRPr="00286216">
              <w:rPr>
                <w:color w:val="000000" w:themeColor="text1"/>
              </w:rPr>
              <w:t>1. Емісія акцій здійснюється за такими етапами:</w:t>
            </w:r>
          </w:p>
        </w:tc>
      </w:tr>
      <w:tr w:rsidR="006507E8" w:rsidRPr="00286216" w14:paraId="665B4EF8" w14:textId="77777777" w:rsidTr="00091AA5">
        <w:tc>
          <w:tcPr>
            <w:tcW w:w="576" w:type="dxa"/>
          </w:tcPr>
          <w:p w14:paraId="1EE44F73" w14:textId="77777777" w:rsidR="006507E8" w:rsidRPr="00286216" w:rsidRDefault="006507E8" w:rsidP="006507E8">
            <w:pPr>
              <w:pStyle w:val="StyleWisnow"/>
              <w:rPr>
                <w:color w:val="000000" w:themeColor="text1"/>
              </w:rPr>
            </w:pPr>
            <w:bookmarkStart w:id="1210" w:name="n1474" w:colFirst="0" w:colLast="0"/>
            <w:bookmarkEnd w:id="1209"/>
            <w:r w:rsidRPr="00286216">
              <w:rPr>
                <w:color w:val="000000" w:themeColor="text1"/>
              </w:rPr>
              <w:lastRenderedPageBreak/>
              <w:t>1474.</w:t>
            </w:r>
          </w:p>
        </w:tc>
        <w:tc>
          <w:tcPr>
            <w:tcW w:w="4818" w:type="dxa"/>
          </w:tcPr>
          <w:p w14:paraId="37C8AF4B" w14:textId="77777777" w:rsidR="006507E8" w:rsidRPr="00286216" w:rsidRDefault="006507E8" w:rsidP="006507E8">
            <w:pPr>
              <w:pStyle w:val="StyleZakonu"/>
              <w:rPr>
                <w:color w:val="000000" w:themeColor="text1"/>
              </w:rPr>
            </w:pPr>
            <w:r w:rsidRPr="00286216">
              <w:rPr>
                <w:color w:val="000000" w:themeColor="text1"/>
              </w:rPr>
              <w:t>1) прийняття рішення про емісію акцій органом (особою) емітента, уповноваженим приймати таке рішення;</w:t>
            </w:r>
          </w:p>
        </w:tc>
        <w:tc>
          <w:tcPr>
            <w:tcW w:w="3686" w:type="dxa"/>
          </w:tcPr>
          <w:p w14:paraId="28F992C9" w14:textId="77777777" w:rsidR="006507E8" w:rsidRPr="00286216" w:rsidRDefault="006507E8" w:rsidP="006507E8">
            <w:pPr>
              <w:pStyle w:val="StyleProp"/>
              <w:rPr>
                <w:color w:val="000000" w:themeColor="text1"/>
                <w:szCs w:val="18"/>
              </w:rPr>
            </w:pPr>
          </w:p>
        </w:tc>
        <w:tc>
          <w:tcPr>
            <w:tcW w:w="1987" w:type="dxa"/>
          </w:tcPr>
          <w:p w14:paraId="0980E7E3" w14:textId="77777777" w:rsidR="006507E8" w:rsidRPr="00286216" w:rsidRDefault="006507E8" w:rsidP="006507E8">
            <w:pPr>
              <w:pStyle w:val="StyleWisnow"/>
              <w:rPr>
                <w:color w:val="000000" w:themeColor="text1"/>
              </w:rPr>
            </w:pPr>
          </w:p>
        </w:tc>
        <w:tc>
          <w:tcPr>
            <w:tcW w:w="4818" w:type="dxa"/>
          </w:tcPr>
          <w:p w14:paraId="314CB227" w14:textId="1EFD324A" w:rsidR="006507E8" w:rsidRPr="00286216" w:rsidRDefault="006507E8" w:rsidP="006507E8">
            <w:pPr>
              <w:pStyle w:val="StyleZakonu"/>
              <w:rPr>
                <w:color w:val="000000" w:themeColor="text1"/>
              </w:rPr>
            </w:pPr>
            <w:r w:rsidRPr="00286216">
              <w:rPr>
                <w:color w:val="000000" w:themeColor="text1"/>
              </w:rPr>
              <w:t>1) прийняття рішення про емісію акцій органом (особою) емітента, уповноваженим приймати таке рішення;</w:t>
            </w:r>
          </w:p>
        </w:tc>
      </w:tr>
      <w:tr w:rsidR="006507E8" w:rsidRPr="00286216" w14:paraId="22700991" w14:textId="77777777" w:rsidTr="00091AA5">
        <w:tc>
          <w:tcPr>
            <w:tcW w:w="576" w:type="dxa"/>
          </w:tcPr>
          <w:p w14:paraId="57F160E6" w14:textId="77777777" w:rsidR="006507E8" w:rsidRPr="00286216" w:rsidRDefault="006507E8" w:rsidP="006507E8">
            <w:pPr>
              <w:pStyle w:val="StyleWisnow"/>
              <w:rPr>
                <w:color w:val="000000" w:themeColor="text1"/>
              </w:rPr>
            </w:pPr>
            <w:bookmarkStart w:id="1211" w:name="n1475" w:colFirst="0" w:colLast="0"/>
            <w:bookmarkEnd w:id="1210"/>
            <w:r w:rsidRPr="00286216">
              <w:rPr>
                <w:color w:val="000000" w:themeColor="text1"/>
              </w:rPr>
              <w:t>1475.</w:t>
            </w:r>
          </w:p>
        </w:tc>
        <w:tc>
          <w:tcPr>
            <w:tcW w:w="4818" w:type="dxa"/>
          </w:tcPr>
          <w:p w14:paraId="621F4B78" w14:textId="77777777"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c>
          <w:tcPr>
            <w:tcW w:w="3686" w:type="dxa"/>
          </w:tcPr>
          <w:p w14:paraId="659F145B" w14:textId="77777777" w:rsidR="006507E8" w:rsidRPr="00286216" w:rsidRDefault="006507E8" w:rsidP="006507E8">
            <w:pPr>
              <w:pStyle w:val="StyleProp"/>
              <w:rPr>
                <w:color w:val="000000" w:themeColor="text1"/>
                <w:szCs w:val="18"/>
              </w:rPr>
            </w:pPr>
          </w:p>
        </w:tc>
        <w:tc>
          <w:tcPr>
            <w:tcW w:w="1987" w:type="dxa"/>
          </w:tcPr>
          <w:p w14:paraId="22DCD821" w14:textId="77777777" w:rsidR="006507E8" w:rsidRPr="00286216" w:rsidRDefault="006507E8" w:rsidP="006507E8">
            <w:pPr>
              <w:pStyle w:val="StyleWisnow"/>
              <w:rPr>
                <w:color w:val="000000" w:themeColor="text1"/>
              </w:rPr>
            </w:pPr>
          </w:p>
        </w:tc>
        <w:tc>
          <w:tcPr>
            <w:tcW w:w="4818" w:type="dxa"/>
          </w:tcPr>
          <w:p w14:paraId="0D5C2124" w14:textId="0B62DFBE"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r>
      <w:tr w:rsidR="006507E8" w:rsidRPr="00286216" w14:paraId="1A4132ED" w14:textId="77777777" w:rsidTr="00091AA5">
        <w:tc>
          <w:tcPr>
            <w:tcW w:w="576" w:type="dxa"/>
          </w:tcPr>
          <w:p w14:paraId="3F2BCEF3" w14:textId="77777777" w:rsidR="006507E8" w:rsidRPr="00286216" w:rsidRDefault="006507E8" w:rsidP="006507E8">
            <w:pPr>
              <w:pStyle w:val="StyleWisnow"/>
              <w:rPr>
                <w:color w:val="000000" w:themeColor="text1"/>
              </w:rPr>
            </w:pPr>
            <w:bookmarkStart w:id="1212" w:name="n1476" w:colFirst="0" w:colLast="0"/>
            <w:bookmarkEnd w:id="1211"/>
            <w:r w:rsidRPr="00286216">
              <w:rPr>
                <w:color w:val="000000" w:themeColor="text1"/>
              </w:rPr>
              <w:t>1476.</w:t>
            </w:r>
          </w:p>
        </w:tc>
        <w:tc>
          <w:tcPr>
            <w:tcW w:w="4818" w:type="dxa"/>
          </w:tcPr>
          <w:p w14:paraId="0EAF20DD" w14:textId="77777777" w:rsidR="006507E8" w:rsidRPr="00286216" w:rsidRDefault="006507E8" w:rsidP="006507E8">
            <w:pPr>
              <w:pStyle w:val="StyleZakonu"/>
              <w:rPr>
                <w:color w:val="000000" w:themeColor="text1"/>
              </w:rPr>
            </w:pPr>
            <w:r w:rsidRPr="00286216">
              <w:rPr>
                <w:color w:val="000000" w:themeColor="text1"/>
              </w:rPr>
              <w:t>3) подання Національній комісії з цінних паперів та фондового ринку заяви, рішення про емісію акцій і всіх необхідних документів для реєстрації випуску акцій;</w:t>
            </w:r>
          </w:p>
        </w:tc>
        <w:tc>
          <w:tcPr>
            <w:tcW w:w="3686" w:type="dxa"/>
          </w:tcPr>
          <w:p w14:paraId="6F8C76EE" w14:textId="58AD732D"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ABB6E96" w14:textId="3488969F" w:rsidR="006507E8" w:rsidRPr="00286216" w:rsidRDefault="006507E8" w:rsidP="006507E8">
            <w:pPr>
              <w:spacing w:line="180" w:lineRule="exact"/>
              <w:ind w:firstLine="227"/>
              <w:jc w:val="both"/>
              <w:rPr>
                <w:color w:val="000000" w:themeColor="text1"/>
                <w:sz w:val="18"/>
              </w:rPr>
            </w:pPr>
            <w:r w:rsidRPr="00286216">
              <w:rPr>
                <w:color w:val="000000" w:themeColor="text1"/>
                <w:sz w:val="18"/>
              </w:rPr>
              <w:t>Пункт 3 частини 1 статті 88 доповнити словами в дужках «(етап здійснюється виключно при публічній пропозиції акцій)».</w:t>
            </w:r>
          </w:p>
          <w:p w14:paraId="038E6084" w14:textId="5434AD7B"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911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8194A59"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3 частини першої статті 88 словами «офіційним каналом зв’язку».</w:t>
            </w:r>
          </w:p>
        </w:tc>
        <w:tc>
          <w:tcPr>
            <w:tcW w:w="1987" w:type="dxa"/>
          </w:tcPr>
          <w:p w14:paraId="4D45FA1E"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10993D2C" w14:textId="679D132B"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1F9E9CA5" w14:textId="77777777" w:rsidR="006507E8" w:rsidRPr="00286216" w:rsidRDefault="006507E8" w:rsidP="006507E8">
            <w:pPr>
              <w:pStyle w:val="StyleWisnow"/>
              <w:spacing w:line="180" w:lineRule="exact"/>
              <w:rPr>
                <w:color w:val="000000" w:themeColor="text1"/>
              </w:rPr>
            </w:pPr>
          </w:p>
          <w:p w14:paraId="7E51655E"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13AACB2D" w14:textId="68E93040" w:rsidR="006507E8" w:rsidRPr="00286216" w:rsidRDefault="006507E8" w:rsidP="006507E8">
            <w:pPr>
              <w:pStyle w:val="StyleZakonu"/>
              <w:rPr>
                <w:color w:val="000000" w:themeColor="text1"/>
              </w:rPr>
            </w:pPr>
            <w:r w:rsidRPr="00286216">
              <w:rPr>
                <w:color w:val="000000" w:themeColor="text1"/>
              </w:rPr>
              <w:t xml:space="preserve">3) подання </w:t>
            </w:r>
            <w:r w:rsidRPr="00286216">
              <w:rPr>
                <w:color w:val="000000" w:themeColor="text1"/>
                <w:szCs w:val="18"/>
              </w:rPr>
              <w:t>офіційним каналом зв’язку</w:t>
            </w:r>
            <w:r w:rsidRPr="00286216">
              <w:rPr>
                <w:color w:val="000000" w:themeColor="text1"/>
              </w:rPr>
              <w:t xml:space="preserve"> Національній комісії з цінних паперів та фондового ринку заяви, рішення про емісію акцій і всіх необхідних документів для реєстрації випуску акцій;</w:t>
            </w:r>
          </w:p>
        </w:tc>
      </w:tr>
      <w:tr w:rsidR="006507E8" w:rsidRPr="00286216" w14:paraId="22C0A377" w14:textId="77777777" w:rsidTr="00091AA5">
        <w:tc>
          <w:tcPr>
            <w:tcW w:w="576" w:type="dxa"/>
          </w:tcPr>
          <w:p w14:paraId="524B5CB4" w14:textId="77777777" w:rsidR="006507E8" w:rsidRPr="00286216" w:rsidRDefault="006507E8" w:rsidP="006507E8">
            <w:pPr>
              <w:pStyle w:val="StyleWisnow"/>
              <w:rPr>
                <w:color w:val="000000" w:themeColor="text1"/>
              </w:rPr>
            </w:pPr>
            <w:bookmarkStart w:id="1213" w:name="n1477" w:colFirst="0" w:colLast="0"/>
            <w:bookmarkEnd w:id="1212"/>
            <w:r w:rsidRPr="00286216">
              <w:rPr>
                <w:color w:val="000000" w:themeColor="text1"/>
              </w:rPr>
              <w:t>1477.</w:t>
            </w:r>
          </w:p>
        </w:tc>
        <w:tc>
          <w:tcPr>
            <w:tcW w:w="4818" w:type="dxa"/>
          </w:tcPr>
          <w:p w14:paraId="30303E7B" w14:textId="77777777" w:rsidR="006507E8" w:rsidRPr="00286216" w:rsidRDefault="006507E8" w:rsidP="006507E8">
            <w:pPr>
              <w:pStyle w:val="StyleZakonu"/>
              <w:rPr>
                <w:color w:val="000000" w:themeColor="text1"/>
              </w:rPr>
            </w:pPr>
            <w:r w:rsidRPr="00286216">
              <w:rPr>
                <w:color w:val="000000" w:themeColor="text1"/>
              </w:rPr>
              <w:t>4) реєстрація Національною комісією з цінних паперів та фондового ринку випуску акцій та видача тимчасового свідоцтва про реєстрацію випуску акцій;</w:t>
            </w:r>
          </w:p>
        </w:tc>
        <w:tc>
          <w:tcPr>
            <w:tcW w:w="3686" w:type="dxa"/>
          </w:tcPr>
          <w:p w14:paraId="45D9CD66" w14:textId="2EE6BBFB"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FA99E4A" w14:textId="28022B30" w:rsidR="006507E8" w:rsidRPr="00286216" w:rsidRDefault="006507E8" w:rsidP="006507E8">
            <w:pPr>
              <w:spacing w:line="180" w:lineRule="exact"/>
              <w:ind w:firstLine="227"/>
              <w:jc w:val="both"/>
              <w:rPr>
                <w:color w:val="000000" w:themeColor="text1"/>
                <w:szCs w:val="18"/>
              </w:rPr>
            </w:pPr>
            <w:r w:rsidRPr="00286216">
              <w:rPr>
                <w:color w:val="000000" w:themeColor="text1"/>
                <w:sz w:val="18"/>
              </w:rPr>
              <w:t>Пункт 4 частини першої статті 88 доповнити словами в дужках «(етап здійснюється виключно при публічній пропозиції акцій)».</w:t>
            </w:r>
          </w:p>
        </w:tc>
        <w:tc>
          <w:tcPr>
            <w:tcW w:w="1987" w:type="dxa"/>
          </w:tcPr>
          <w:p w14:paraId="392A6DBA"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BC0412D" w14:textId="5A2093E8" w:rsidR="006507E8" w:rsidRPr="00286216" w:rsidRDefault="006507E8" w:rsidP="006507E8">
            <w:pPr>
              <w:pStyle w:val="StyleWisnow"/>
              <w:spacing w:line="180" w:lineRule="exact"/>
              <w:rPr>
                <w:rFonts w:eastAsia="Calibri"/>
                <w:color w:val="000000" w:themeColor="text1"/>
              </w:rPr>
            </w:pPr>
            <w:r w:rsidRPr="00286216">
              <w:rPr>
                <w:color w:val="000000" w:themeColor="text1"/>
              </w:rPr>
              <w:t>питання потребує вирішення окремим законом</w:t>
            </w:r>
          </w:p>
        </w:tc>
        <w:tc>
          <w:tcPr>
            <w:tcW w:w="4818" w:type="dxa"/>
          </w:tcPr>
          <w:p w14:paraId="09913591" w14:textId="242CBFD9" w:rsidR="006507E8" w:rsidRPr="00286216" w:rsidRDefault="006507E8" w:rsidP="006507E8">
            <w:pPr>
              <w:pStyle w:val="StyleZakonu"/>
              <w:rPr>
                <w:color w:val="000000" w:themeColor="text1"/>
              </w:rPr>
            </w:pPr>
            <w:r w:rsidRPr="00286216">
              <w:rPr>
                <w:color w:val="000000" w:themeColor="text1"/>
              </w:rPr>
              <w:t>4) реєстрація Національною комісією з цінних паперів та фондового ринку випуску акцій та видача тимчасового свідоцтва про реєстрацію випуску акцій;</w:t>
            </w:r>
          </w:p>
        </w:tc>
      </w:tr>
      <w:tr w:rsidR="006507E8" w:rsidRPr="00286216" w14:paraId="3191BAF6" w14:textId="77777777" w:rsidTr="00091AA5">
        <w:tc>
          <w:tcPr>
            <w:tcW w:w="576" w:type="dxa"/>
          </w:tcPr>
          <w:p w14:paraId="534BD104" w14:textId="77777777" w:rsidR="006507E8" w:rsidRPr="00286216" w:rsidRDefault="006507E8" w:rsidP="006507E8">
            <w:pPr>
              <w:pStyle w:val="StyleWisnow"/>
              <w:rPr>
                <w:color w:val="000000" w:themeColor="text1"/>
              </w:rPr>
            </w:pPr>
            <w:bookmarkStart w:id="1214" w:name="n1478" w:colFirst="0" w:colLast="0"/>
            <w:bookmarkEnd w:id="1213"/>
            <w:r w:rsidRPr="00286216">
              <w:rPr>
                <w:color w:val="000000" w:themeColor="text1"/>
              </w:rPr>
              <w:t>1478.</w:t>
            </w:r>
          </w:p>
        </w:tc>
        <w:tc>
          <w:tcPr>
            <w:tcW w:w="4818" w:type="dxa"/>
          </w:tcPr>
          <w:p w14:paraId="1E9E568E" w14:textId="77777777" w:rsidR="006507E8" w:rsidRPr="00286216" w:rsidRDefault="006507E8" w:rsidP="006507E8">
            <w:pPr>
              <w:pStyle w:val="StyleZakonu"/>
              <w:rPr>
                <w:color w:val="000000" w:themeColor="text1"/>
              </w:rPr>
            </w:pPr>
            <w:r w:rsidRPr="00286216">
              <w:rPr>
                <w:color w:val="000000" w:themeColor="text1"/>
              </w:rPr>
              <w:t>5) укладення з Центральним депозитарієм цінних паперів договору про обслуговування випусків акцій ( за відсутності такого договору);</w:t>
            </w:r>
          </w:p>
        </w:tc>
        <w:tc>
          <w:tcPr>
            <w:tcW w:w="3686" w:type="dxa"/>
          </w:tcPr>
          <w:p w14:paraId="3B6B3FBB" w14:textId="77777777" w:rsidR="006507E8" w:rsidRPr="00286216" w:rsidRDefault="006507E8" w:rsidP="006507E8">
            <w:pPr>
              <w:pStyle w:val="StyleProp"/>
              <w:rPr>
                <w:color w:val="000000" w:themeColor="text1"/>
                <w:szCs w:val="18"/>
              </w:rPr>
            </w:pPr>
          </w:p>
        </w:tc>
        <w:tc>
          <w:tcPr>
            <w:tcW w:w="1987" w:type="dxa"/>
          </w:tcPr>
          <w:p w14:paraId="1C78C0FA" w14:textId="77777777" w:rsidR="006507E8" w:rsidRPr="00286216" w:rsidRDefault="006507E8" w:rsidP="006507E8">
            <w:pPr>
              <w:pStyle w:val="StyleWisnow"/>
              <w:rPr>
                <w:color w:val="000000" w:themeColor="text1"/>
              </w:rPr>
            </w:pPr>
          </w:p>
        </w:tc>
        <w:tc>
          <w:tcPr>
            <w:tcW w:w="4818" w:type="dxa"/>
          </w:tcPr>
          <w:p w14:paraId="5F8FFAB4" w14:textId="26DA7F3F" w:rsidR="006507E8" w:rsidRPr="00286216" w:rsidRDefault="006507E8" w:rsidP="006507E8">
            <w:pPr>
              <w:pStyle w:val="StyleZakonu"/>
              <w:rPr>
                <w:color w:val="000000" w:themeColor="text1"/>
              </w:rPr>
            </w:pPr>
            <w:r w:rsidRPr="00286216">
              <w:rPr>
                <w:color w:val="000000" w:themeColor="text1"/>
              </w:rPr>
              <w:t>5) укладення з Центральним депозитарієм цінних паперів договору про обслуговування випусків акцій (у разі відсутності такого договору);</w:t>
            </w:r>
          </w:p>
        </w:tc>
      </w:tr>
      <w:tr w:rsidR="006507E8" w:rsidRPr="00286216" w14:paraId="2274C7CE" w14:textId="77777777" w:rsidTr="00091AA5">
        <w:tc>
          <w:tcPr>
            <w:tcW w:w="576" w:type="dxa"/>
          </w:tcPr>
          <w:p w14:paraId="3EBE349A" w14:textId="77777777" w:rsidR="006507E8" w:rsidRPr="00286216" w:rsidRDefault="006507E8" w:rsidP="006507E8">
            <w:pPr>
              <w:pStyle w:val="StyleWisnow"/>
              <w:rPr>
                <w:color w:val="000000" w:themeColor="text1"/>
              </w:rPr>
            </w:pPr>
            <w:bookmarkStart w:id="1215" w:name="n1479" w:colFirst="0" w:colLast="0"/>
            <w:bookmarkEnd w:id="1214"/>
            <w:r w:rsidRPr="00286216">
              <w:rPr>
                <w:color w:val="000000" w:themeColor="text1"/>
              </w:rPr>
              <w:t>1479.</w:t>
            </w:r>
          </w:p>
        </w:tc>
        <w:tc>
          <w:tcPr>
            <w:tcW w:w="4818" w:type="dxa"/>
          </w:tcPr>
          <w:p w14:paraId="21F4CB7E" w14:textId="77777777" w:rsidR="006507E8" w:rsidRPr="00286216" w:rsidRDefault="006507E8" w:rsidP="006507E8">
            <w:pPr>
              <w:pStyle w:val="StyleZakonu"/>
              <w:rPr>
                <w:color w:val="000000" w:themeColor="text1"/>
              </w:rPr>
            </w:pPr>
            <w:r w:rsidRPr="00286216">
              <w:rPr>
                <w:color w:val="000000" w:themeColor="text1"/>
              </w:rPr>
              <w:t>6) присвоєння акцій коду ISIN та отримання емітентом коду LEI;</w:t>
            </w:r>
          </w:p>
        </w:tc>
        <w:tc>
          <w:tcPr>
            <w:tcW w:w="3686" w:type="dxa"/>
          </w:tcPr>
          <w:p w14:paraId="472F688E" w14:textId="77777777" w:rsidR="006507E8" w:rsidRPr="00286216" w:rsidRDefault="006507E8" w:rsidP="006507E8">
            <w:pPr>
              <w:pStyle w:val="StyleProp"/>
              <w:rPr>
                <w:color w:val="000000" w:themeColor="text1"/>
                <w:szCs w:val="18"/>
              </w:rPr>
            </w:pPr>
          </w:p>
        </w:tc>
        <w:tc>
          <w:tcPr>
            <w:tcW w:w="1987" w:type="dxa"/>
          </w:tcPr>
          <w:p w14:paraId="00CAE9E1" w14:textId="77777777" w:rsidR="006507E8" w:rsidRPr="00286216" w:rsidRDefault="006507E8" w:rsidP="006507E8">
            <w:pPr>
              <w:pStyle w:val="StyleWisnow"/>
              <w:rPr>
                <w:color w:val="000000" w:themeColor="text1"/>
              </w:rPr>
            </w:pPr>
          </w:p>
        </w:tc>
        <w:tc>
          <w:tcPr>
            <w:tcW w:w="4818" w:type="dxa"/>
          </w:tcPr>
          <w:p w14:paraId="037B0B7F" w14:textId="4FEAF425" w:rsidR="006507E8" w:rsidRPr="00286216" w:rsidRDefault="006507E8" w:rsidP="006507E8">
            <w:pPr>
              <w:pStyle w:val="StyleZakonu"/>
              <w:rPr>
                <w:color w:val="000000" w:themeColor="text1"/>
              </w:rPr>
            </w:pPr>
            <w:r w:rsidRPr="00286216">
              <w:rPr>
                <w:color w:val="000000" w:themeColor="text1"/>
              </w:rPr>
              <w:t>6) присвоєння акцій коду ISIN та отримання емітентом коду LEI;</w:t>
            </w:r>
          </w:p>
        </w:tc>
      </w:tr>
      <w:tr w:rsidR="006507E8" w:rsidRPr="00286216" w14:paraId="572CF6A4" w14:textId="77777777" w:rsidTr="00091AA5">
        <w:tc>
          <w:tcPr>
            <w:tcW w:w="576" w:type="dxa"/>
          </w:tcPr>
          <w:p w14:paraId="7521DF71" w14:textId="77777777" w:rsidR="006507E8" w:rsidRPr="00286216" w:rsidRDefault="006507E8" w:rsidP="006507E8">
            <w:pPr>
              <w:pStyle w:val="StyleWisnow"/>
              <w:rPr>
                <w:color w:val="000000" w:themeColor="text1"/>
              </w:rPr>
            </w:pPr>
            <w:bookmarkStart w:id="1216" w:name="n1480" w:colFirst="0" w:colLast="0"/>
            <w:bookmarkEnd w:id="1215"/>
            <w:r w:rsidRPr="00286216">
              <w:rPr>
                <w:color w:val="000000" w:themeColor="text1"/>
              </w:rPr>
              <w:t>1480.</w:t>
            </w:r>
          </w:p>
        </w:tc>
        <w:tc>
          <w:tcPr>
            <w:tcW w:w="4818" w:type="dxa"/>
          </w:tcPr>
          <w:p w14:paraId="2F85D60B" w14:textId="77777777" w:rsidR="006507E8" w:rsidRPr="00286216" w:rsidRDefault="006507E8" w:rsidP="006507E8">
            <w:pPr>
              <w:pStyle w:val="StyleZakonu"/>
              <w:rPr>
                <w:color w:val="000000" w:themeColor="text1"/>
              </w:rPr>
            </w:pPr>
            <w:r w:rsidRPr="00286216">
              <w:rPr>
                <w:color w:val="000000" w:themeColor="text1"/>
              </w:rPr>
              <w:t>7) реалізація акціонерами свого переважного права на придбання акцій додаткової емісії у порядку, встановленому Національною комісією з цінних паперів та фондового ринку;</w:t>
            </w:r>
          </w:p>
        </w:tc>
        <w:tc>
          <w:tcPr>
            <w:tcW w:w="3686" w:type="dxa"/>
          </w:tcPr>
          <w:p w14:paraId="3C713A17" w14:textId="77777777" w:rsidR="006507E8" w:rsidRPr="00286216" w:rsidRDefault="006507E8" w:rsidP="006507E8">
            <w:pPr>
              <w:pStyle w:val="StyleProp"/>
              <w:rPr>
                <w:color w:val="000000" w:themeColor="text1"/>
                <w:szCs w:val="18"/>
              </w:rPr>
            </w:pPr>
          </w:p>
        </w:tc>
        <w:tc>
          <w:tcPr>
            <w:tcW w:w="1987" w:type="dxa"/>
          </w:tcPr>
          <w:p w14:paraId="5ECE52E1" w14:textId="77777777" w:rsidR="006507E8" w:rsidRPr="00286216" w:rsidRDefault="006507E8" w:rsidP="006507E8">
            <w:pPr>
              <w:pStyle w:val="StyleWisnow"/>
              <w:rPr>
                <w:color w:val="000000" w:themeColor="text1"/>
              </w:rPr>
            </w:pPr>
          </w:p>
        </w:tc>
        <w:tc>
          <w:tcPr>
            <w:tcW w:w="4818" w:type="dxa"/>
          </w:tcPr>
          <w:p w14:paraId="2C4E695E" w14:textId="6C312E89" w:rsidR="006507E8" w:rsidRPr="00286216" w:rsidRDefault="006507E8" w:rsidP="006507E8">
            <w:pPr>
              <w:pStyle w:val="StyleZakonu"/>
              <w:rPr>
                <w:color w:val="000000" w:themeColor="text1"/>
              </w:rPr>
            </w:pPr>
            <w:r w:rsidRPr="00286216">
              <w:rPr>
                <w:color w:val="000000" w:themeColor="text1"/>
              </w:rPr>
              <w:t>7) реалізація акціонерами свого переважного права на придбання акцій додаткової емісії в порядку, встановленому Національною комісією з цінних паперів та фондового ринку;</w:t>
            </w:r>
          </w:p>
        </w:tc>
      </w:tr>
      <w:tr w:rsidR="006507E8" w:rsidRPr="00286216" w14:paraId="1BE4A666" w14:textId="77777777" w:rsidTr="00091AA5">
        <w:tc>
          <w:tcPr>
            <w:tcW w:w="576" w:type="dxa"/>
          </w:tcPr>
          <w:p w14:paraId="72FED3F5" w14:textId="77777777" w:rsidR="006507E8" w:rsidRPr="00286216" w:rsidRDefault="006507E8" w:rsidP="006507E8">
            <w:pPr>
              <w:pStyle w:val="StyleWisnow"/>
              <w:rPr>
                <w:color w:val="000000" w:themeColor="text1"/>
              </w:rPr>
            </w:pPr>
            <w:bookmarkStart w:id="1217" w:name="n1481" w:colFirst="0" w:colLast="0"/>
            <w:bookmarkEnd w:id="1216"/>
            <w:r w:rsidRPr="00286216">
              <w:rPr>
                <w:color w:val="000000" w:themeColor="text1"/>
              </w:rPr>
              <w:t>1481.</w:t>
            </w:r>
          </w:p>
        </w:tc>
        <w:tc>
          <w:tcPr>
            <w:tcW w:w="4818" w:type="dxa"/>
          </w:tcPr>
          <w:p w14:paraId="35164ACD" w14:textId="77777777" w:rsidR="006507E8" w:rsidRPr="00286216" w:rsidRDefault="006507E8" w:rsidP="006507E8">
            <w:pPr>
              <w:pStyle w:val="StyleZakonu"/>
              <w:rPr>
                <w:color w:val="000000" w:themeColor="text1"/>
              </w:rPr>
            </w:pPr>
            <w:r w:rsidRPr="00286216">
              <w:rPr>
                <w:color w:val="000000" w:themeColor="text1"/>
              </w:rPr>
              <w:t>8) розміщення акцій;</w:t>
            </w:r>
          </w:p>
        </w:tc>
        <w:tc>
          <w:tcPr>
            <w:tcW w:w="3686" w:type="dxa"/>
          </w:tcPr>
          <w:p w14:paraId="33406A6C" w14:textId="77777777" w:rsidR="006507E8" w:rsidRPr="00286216" w:rsidRDefault="006507E8" w:rsidP="006507E8">
            <w:pPr>
              <w:pStyle w:val="StyleProp"/>
              <w:rPr>
                <w:color w:val="000000" w:themeColor="text1"/>
                <w:szCs w:val="18"/>
              </w:rPr>
            </w:pPr>
          </w:p>
        </w:tc>
        <w:tc>
          <w:tcPr>
            <w:tcW w:w="1987" w:type="dxa"/>
          </w:tcPr>
          <w:p w14:paraId="493F83CE" w14:textId="77777777" w:rsidR="006507E8" w:rsidRPr="00286216" w:rsidRDefault="006507E8" w:rsidP="006507E8">
            <w:pPr>
              <w:pStyle w:val="StyleWisnow"/>
              <w:rPr>
                <w:color w:val="000000" w:themeColor="text1"/>
              </w:rPr>
            </w:pPr>
          </w:p>
        </w:tc>
        <w:tc>
          <w:tcPr>
            <w:tcW w:w="4818" w:type="dxa"/>
          </w:tcPr>
          <w:p w14:paraId="24B0561F" w14:textId="00657498" w:rsidR="006507E8" w:rsidRPr="00286216" w:rsidRDefault="006507E8" w:rsidP="006507E8">
            <w:pPr>
              <w:pStyle w:val="StyleZakonu"/>
              <w:rPr>
                <w:color w:val="000000" w:themeColor="text1"/>
              </w:rPr>
            </w:pPr>
            <w:r w:rsidRPr="00286216">
              <w:rPr>
                <w:color w:val="000000" w:themeColor="text1"/>
              </w:rPr>
              <w:t>8) розміщення акцій;</w:t>
            </w:r>
          </w:p>
        </w:tc>
      </w:tr>
      <w:tr w:rsidR="006507E8" w:rsidRPr="00286216" w14:paraId="07C130FD" w14:textId="77777777" w:rsidTr="00091AA5">
        <w:tc>
          <w:tcPr>
            <w:tcW w:w="576" w:type="dxa"/>
          </w:tcPr>
          <w:p w14:paraId="2DD0674E" w14:textId="77777777" w:rsidR="006507E8" w:rsidRPr="00286216" w:rsidRDefault="006507E8" w:rsidP="006507E8">
            <w:pPr>
              <w:pStyle w:val="StyleWisnow"/>
              <w:rPr>
                <w:color w:val="000000" w:themeColor="text1"/>
              </w:rPr>
            </w:pPr>
            <w:bookmarkStart w:id="1218" w:name="n1482" w:colFirst="0" w:colLast="0"/>
            <w:bookmarkEnd w:id="1217"/>
            <w:r w:rsidRPr="00286216">
              <w:rPr>
                <w:color w:val="000000" w:themeColor="text1"/>
              </w:rPr>
              <w:t>1482.</w:t>
            </w:r>
          </w:p>
        </w:tc>
        <w:tc>
          <w:tcPr>
            <w:tcW w:w="4818" w:type="dxa"/>
          </w:tcPr>
          <w:p w14:paraId="2F17E36B" w14:textId="77777777" w:rsidR="006507E8" w:rsidRPr="00286216" w:rsidRDefault="006507E8" w:rsidP="006507E8">
            <w:pPr>
              <w:pStyle w:val="StyleZakonu"/>
              <w:rPr>
                <w:color w:val="000000" w:themeColor="text1"/>
              </w:rPr>
            </w:pPr>
            <w:r w:rsidRPr="00286216">
              <w:rPr>
                <w:color w:val="000000" w:themeColor="text1"/>
              </w:rPr>
              <w:t>9) затвердження результатів емісії акцій органом емітента, уповноваженим приймати таке рішення;</w:t>
            </w:r>
          </w:p>
        </w:tc>
        <w:tc>
          <w:tcPr>
            <w:tcW w:w="3686" w:type="dxa"/>
          </w:tcPr>
          <w:p w14:paraId="427C4FAB" w14:textId="77777777" w:rsidR="006507E8" w:rsidRPr="00286216" w:rsidRDefault="006507E8" w:rsidP="006507E8">
            <w:pPr>
              <w:pStyle w:val="StyleProp"/>
              <w:rPr>
                <w:color w:val="000000" w:themeColor="text1"/>
                <w:szCs w:val="18"/>
              </w:rPr>
            </w:pPr>
          </w:p>
        </w:tc>
        <w:tc>
          <w:tcPr>
            <w:tcW w:w="1987" w:type="dxa"/>
          </w:tcPr>
          <w:p w14:paraId="36093E1F" w14:textId="77777777" w:rsidR="006507E8" w:rsidRPr="00286216" w:rsidRDefault="006507E8" w:rsidP="006507E8">
            <w:pPr>
              <w:pStyle w:val="StyleWisnow"/>
              <w:rPr>
                <w:color w:val="000000" w:themeColor="text1"/>
              </w:rPr>
            </w:pPr>
          </w:p>
        </w:tc>
        <w:tc>
          <w:tcPr>
            <w:tcW w:w="4818" w:type="dxa"/>
          </w:tcPr>
          <w:p w14:paraId="1BA0ED6D" w14:textId="7AD52278" w:rsidR="006507E8" w:rsidRPr="00286216" w:rsidRDefault="006507E8" w:rsidP="006507E8">
            <w:pPr>
              <w:pStyle w:val="StyleZakonu"/>
              <w:rPr>
                <w:color w:val="000000" w:themeColor="text1"/>
              </w:rPr>
            </w:pPr>
            <w:r w:rsidRPr="00286216">
              <w:rPr>
                <w:color w:val="000000" w:themeColor="text1"/>
              </w:rPr>
              <w:t>9) затвердження результатів емісії акцій органом емітента, уповноваженим приймати таке рішення;</w:t>
            </w:r>
          </w:p>
        </w:tc>
      </w:tr>
      <w:tr w:rsidR="006507E8" w:rsidRPr="00286216" w14:paraId="5E5F2AD6" w14:textId="77777777" w:rsidTr="00091AA5">
        <w:tc>
          <w:tcPr>
            <w:tcW w:w="576" w:type="dxa"/>
          </w:tcPr>
          <w:p w14:paraId="19810AD7" w14:textId="77777777" w:rsidR="006507E8" w:rsidRPr="00286216" w:rsidRDefault="006507E8" w:rsidP="006507E8">
            <w:pPr>
              <w:pStyle w:val="StyleWisnow"/>
              <w:rPr>
                <w:color w:val="000000" w:themeColor="text1"/>
              </w:rPr>
            </w:pPr>
            <w:bookmarkStart w:id="1219" w:name="n1483" w:colFirst="0" w:colLast="0"/>
            <w:bookmarkEnd w:id="1218"/>
            <w:r w:rsidRPr="00286216">
              <w:rPr>
                <w:color w:val="000000" w:themeColor="text1"/>
              </w:rPr>
              <w:t>1483.</w:t>
            </w:r>
          </w:p>
        </w:tc>
        <w:tc>
          <w:tcPr>
            <w:tcW w:w="4818" w:type="dxa"/>
          </w:tcPr>
          <w:p w14:paraId="0689A50A" w14:textId="77777777" w:rsidR="006507E8" w:rsidRPr="00286216" w:rsidRDefault="006507E8" w:rsidP="006507E8">
            <w:pPr>
              <w:pStyle w:val="StyleZakonu"/>
              <w:rPr>
                <w:color w:val="000000" w:themeColor="text1"/>
              </w:rPr>
            </w:pPr>
            <w:r w:rsidRPr="00286216">
              <w:rPr>
                <w:color w:val="000000" w:themeColor="text1"/>
              </w:rPr>
              <w:t>10) внесення до статуту акціонерного товариства змін, пов’язаних із збільшенням статутного капіталу товариства з урахуванням результатів емісії акцій;</w:t>
            </w:r>
          </w:p>
        </w:tc>
        <w:tc>
          <w:tcPr>
            <w:tcW w:w="3686" w:type="dxa"/>
          </w:tcPr>
          <w:p w14:paraId="698D1652" w14:textId="77777777" w:rsidR="006507E8" w:rsidRPr="00286216" w:rsidRDefault="006507E8" w:rsidP="006507E8">
            <w:pPr>
              <w:pStyle w:val="StyleProp"/>
              <w:rPr>
                <w:color w:val="000000" w:themeColor="text1"/>
                <w:szCs w:val="18"/>
              </w:rPr>
            </w:pPr>
          </w:p>
        </w:tc>
        <w:tc>
          <w:tcPr>
            <w:tcW w:w="1987" w:type="dxa"/>
          </w:tcPr>
          <w:p w14:paraId="649E2FA3" w14:textId="77777777" w:rsidR="006507E8" w:rsidRPr="00286216" w:rsidRDefault="006507E8" w:rsidP="006507E8">
            <w:pPr>
              <w:pStyle w:val="StyleWisnow"/>
              <w:rPr>
                <w:color w:val="000000" w:themeColor="text1"/>
              </w:rPr>
            </w:pPr>
          </w:p>
        </w:tc>
        <w:tc>
          <w:tcPr>
            <w:tcW w:w="4818" w:type="dxa"/>
          </w:tcPr>
          <w:p w14:paraId="239676FA" w14:textId="34A24D01" w:rsidR="006507E8" w:rsidRPr="00286216" w:rsidRDefault="006507E8" w:rsidP="006507E8">
            <w:pPr>
              <w:pStyle w:val="StyleZakonu"/>
              <w:rPr>
                <w:color w:val="000000" w:themeColor="text1"/>
              </w:rPr>
            </w:pPr>
            <w:r w:rsidRPr="00286216">
              <w:rPr>
                <w:color w:val="000000" w:themeColor="text1"/>
              </w:rPr>
              <w:t>10) внесення до статуту акціонерного товариства змін, пов’язаних із збільшенням статутного капіталу товариства з урахуванням результатів емісії акцій;</w:t>
            </w:r>
          </w:p>
        </w:tc>
      </w:tr>
      <w:tr w:rsidR="006507E8" w:rsidRPr="00286216" w14:paraId="1DB29EE0" w14:textId="77777777" w:rsidTr="00091AA5">
        <w:tc>
          <w:tcPr>
            <w:tcW w:w="576" w:type="dxa"/>
          </w:tcPr>
          <w:p w14:paraId="03FB41AA" w14:textId="77777777" w:rsidR="006507E8" w:rsidRPr="00286216" w:rsidRDefault="006507E8" w:rsidP="006507E8">
            <w:pPr>
              <w:pStyle w:val="StyleWisnow"/>
              <w:rPr>
                <w:color w:val="000000" w:themeColor="text1"/>
              </w:rPr>
            </w:pPr>
            <w:bookmarkStart w:id="1220" w:name="n1484" w:colFirst="0" w:colLast="0"/>
            <w:bookmarkEnd w:id="1219"/>
            <w:r w:rsidRPr="00286216">
              <w:rPr>
                <w:color w:val="000000" w:themeColor="text1"/>
              </w:rPr>
              <w:t>1484.</w:t>
            </w:r>
          </w:p>
        </w:tc>
        <w:tc>
          <w:tcPr>
            <w:tcW w:w="4818" w:type="dxa"/>
          </w:tcPr>
          <w:p w14:paraId="5912DC24" w14:textId="77777777" w:rsidR="006507E8" w:rsidRPr="00286216" w:rsidRDefault="006507E8" w:rsidP="006507E8">
            <w:pPr>
              <w:pStyle w:val="StyleZakonu"/>
              <w:rPr>
                <w:color w:val="000000" w:themeColor="text1"/>
              </w:rPr>
            </w:pPr>
            <w:r w:rsidRPr="00286216">
              <w:rPr>
                <w:color w:val="000000" w:themeColor="text1"/>
              </w:rPr>
              <w:t>11) реєстрація змін до статуту акціонерного товариства в органах державної реєстрації;</w:t>
            </w:r>
          </w:p>
        </w:tc>
        <w:tc>
          <w:tcPr>
            <w:tcW w:w="3686" w:type="dxa"/>
          </w:tcPr>
          <w:p w14:paraId="4394328F" w14:textId="77777777" w:rsidR="006507E8" w:rsidRPr="00286216" w:rsidRDefault="006507E8" w:rsidP="006507E8">
            <w:pPr>
              <w:pStyle w:val="StyleProp"/>
              <w:rPr>
                <w:color w:val="000000" w:themeColor="text1"/>
                <w:szCs w:val="18"/>
              </w:rPr>
            </w:pPr>
          </w:p>
        </w:tc>
        <w:tc>
          <w:tcPr>
            <w:tcW w:w="1987" w:type="dxa"/>
          </w:tcPr>
          <w:p w14:paraId="27647DDB" w14:textId="77777777" w:rsidR="006507E8" w:rsidRPr="00286216" w:rsidRDefault="006507E8" w:rsidP="006507E8">
            <w:pPr>
              <w:pStyle w:val="StyleWisnow"/>
              <w:rPr>
                <w:color w:val="000000" w:themeColor="text1"/>
              </w:rPr>
            </w:pPr>
          </w:p>
        </w:tc>
        <w:tc>
          <w:tcPr>
            <w:tcW w:w="4818" w:type="dxa"/>
          </w:tcPr>
          <w:p w14:paraId="553CEF3B" w14:textId="729CD985" w:rsidR="006507E8" w:rsidRPr="00286216" w:rsidRDefault="006507E8" w:rsidP="006507E8">
            <w:pPr>
              <w:pStyle w:val="StyleZakonu"/>
              <w:rPr>
                <w:color w:val="000000" w:themeColor="text1"/>
              </w:rPr>
            </w:pPr>
            <w:r w:rsidRPr="00286216">
              <w:rPr>
                <w:color w:val="000000" w:themeColor="text1"/>
              </w:rPr>
              <w:t>11) реєстрація змін до статуту акціонерного товариства в органах державної реєстрації;</w:t>
            </w:r>
          </w:p>
        </w:tc>
      </w:tr>
      <w:tr w:rsidR="006507E8" w:rsidRPr="00286216" w14:paraId="7CE78A8C" w14:textId="77777777" w:rsidTr="00091AA5">
        <w:tc>
          <w:tcPr>
            <w:tcW w:w="576" w:type="dxa"/>
          </w:tcPr>
          <w:p w14:paraId="6885B530" w14:textId="77777777" w:rsidR="006507E8" w:rsidRPr="00286216" w:rsidRDefault="006507E8" w:rsidP="006507E8">
            <w:pPr>
              <w:pStyle w:val="StyleWisnow"/>
              <w:rPr>
                <w:color w:val="000000" w:themeColor="text1"/>
              </w:rPr>
            </w:pPr>
            <w:bookmarkStart w:id="1221" w:name="n1485" w:colFirst="0" w:colLast="0"/>
            <w:bookmarkEnd w:id="1220"/>
            <w:r w:rsidRPr="00286216">
              <w:rPr>
                <w:color w:val="000000" w:themeColor="text1"/>
              </w:rPr>
              <w:t>1485.</w:t>
            </w:r>
          </w:p>
        </w:tc>
        <w:tc>
          <w:tcPr>
            <w:tcW w:w="4818" w:type="dxa"/>
          </w:tcPr>
          <w:p w14:paraId="6C84ED05" w14:textId="77777777" w:rsidR="006507E8" w:rsidRPr="00286216" w:rsidRDefault="006507E8" w:rsidP="006507E8">
            <w:pPr>
              <w:pStyle w:val="StyleZakonu"/>
              <w:rPr>
                <w:color w:val="000000" w:themeColor="text1"/>
              </w:rPr>
            </w:pPr>
            <w:r w:rsidRPr="00286216">
              <w:rPr>
                <w:color w:val="000000" w:themeColor="text1"/>
              </w:rPr>
              <w:t>12) подання до Національної комісії з цінних паперів та фондового ринку заяви і всіх необхідних документів для реєстрації звіту про результати емісії акцій;</w:t>
            </w:r>
          </w:p>
        </w:tc>
        <w:tc>
          <w:tcPr>
            <w:tcW w:w="3686" w:type="dxa"/>
          </w:tcPr>
          <w:p w14:paraId="4285B8F3" w14:textId="297E6EC7"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F151DEB" w14:textId="289DCB96" w:rsidR="006507E8" w:rsidRPr="00286216" w:rsidRDefault="006507E8" w:rsidP="006507E8">
            <w:pPr>
              <w:spacing w:line="180" w:lineRule="exact"/>
              <w:ind w:firstLine="227"/>
              <w:jc w:val="both"/>
              <w:rPr>
                <w:color w:val="000000" w:themeColor="text1"/>
                <w:sz w:val="18"/>
              </w:rPr>
            </w:pPr>
            <w:r w:rsidRPr="00286216">
              <w:rPr>
                <w:color w:val="000000" w:themeColor="text1"/>
                <w:sz w:val="18"/>
              </w:rPr>
              <w:t>Пункт 12 частини 1 статті 88 доповнити словами в дужках «(етап здійснюється виключно при публічній пропозиції акцій)».</w:t>
            </w:r>
          </w:p>
          <w:p w14:paraId="08297978" w14:textId="49224BBA"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914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A25B3CE"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12 частини першої статті 88 словами «офіційним каналом зв’язку».</w:t>
            </w:r>
          </w:p>
        </w:tc>
        <w:tc>
          <w:tcPr>
            <w:tcW w:w="1987" w:type="dxa"/>
          </w:tcPr>
          <w:p w14:paraId="536FBD0D"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00B4860D" w14:textId="236F74B7"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28874A89" w14:textId="77777777" w:rsidR="006507E8" w:rsidRPr="00286216" w:rsidRDefault="006507E8" w:rsidP="006507E8">
            <w:pPr>
              <w:pStyle w:val="StyleWisnow"/>
              <w:spacing w:line="180" w:lineRule="exact"/>
              <w:rPr>
                <w:color w:val="000000" w:themeColor="text1"/>
              </w:rPr>
            </w:pPr>
          </w:p>
          <w:p w14:paraId="69432AE2"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50D0FF86" w14:textId="0AD1EAF7" w:rsidR="006507E8" w:rsidRPr="00286216" w:rsidRDefault="006507E8" w:rsidP="006507E8">
            <w:pPr>
              <w:pStyle w:val="StyleZakonu"/>
              <w:rPr>
                <w:color w:val="000000" w:themeColor="text1"/>
              </w:rPr>
            </w:pPr>
            <w:r w:rsidRPr="00286216">
              <w:rPr>
                <w:color w:val="000000" w:themeColor="text1"/>
              </w:rPr>
              <w:t xml:space="preserve">12) подання </w:t>
            </w:r>
            <w:r w:rsidRPr="00286216">
              <w:rPr>
                <w:color w:val="000000" w:themeColor="text1"/>
                <w:szCs w:val="18"/>
              </w:rPr>
              <w:t>офіційним каналом зв’язку</w:t>
            </w:r>
            <w:r w:rsidRPr="00286216">
              <w:rPr>
                <w:color w:val="000000" w:themeColor="text1"/>
              </w:rPr>
              <w:t xml:space="preserve">  Національній комісії з цінних паперів та фондового ринку заяви і всіх необхідних документів для реєстрації звіту про результати емісії акцій;</w:t>
            </w:r>
          </w:p>
        </w:tc>
      </w:tr>
      <w:tr w:rsidR="006507E8" w:rsidRPr="00286216" w14:paraId="320AA5F9" w14:textId="77777777" w:rsidTr="00091AA5">
        <w:tc>
          <w:tcPr>
            <w:tcW w:w="576" w:type="dxa"/>
          </w:tcPr>
          <w:p w14:paraId="59BB1904" w14:textId="77777777" w:rsidR="006507E8" w:rsidRPr="00286216" w:rsidRDefault="006507E8" w:rsidP="006507E8">
            <w:pPr>
              <w:pStyle w:val="StyleWisnow"/>
              <w:rPr>
                <w:color w:val="000000" w:themeColor="text1"/>
              </w:rPr>
            </w:pPr>
            <w:bookmarkStart w:id="1222" w:name="n1486" w:colFirst="0" w:colLast="0"/>
            <w:bookmarkEnd w:id="1221"/>
            <w:r w:rsidRPr="00286216">
              <w:rPr>
                <w:color w:val="000000" w:themeColor="text1"/>
              </w:rPr>
              <w:t>1486.</w:t>
            </w:r>
          </w:p>
        </w:tc>
        <w:tc>
          <w:tcPr>
            <w:tcW w:w="4818" w:type="dxa"/>
          </w:tcPr>
          <w:p w14:paraId="79BB878A" w14:textId="77777777" w:rsidR="006507E8" w:rsidRPr="00286216" w:rsidRDefault="006507E8" w:rsidP="006507E8">
            <w:pPr>
              <w:pStyle w:val="StyleZakonu"/>
              <w:rPr>
                <w:color w:val="000000" w:themeColor="text1"/>
              </w:rPr>
            </w:pPr>
            <w:r w:rsidRPr="00286216">
              <w:rPr>
                <w:color w:val="000000" w:themeColor="text1"/>
              </w:rPr>
              <w:t xml:space="preserve">13) реєстрація Національною комісією з цінних паперів та фондового ринку звіту про результати </w:t>
            </w:r>
            <w:r w:rsidRPr="00286216">
              <w:rPr>
                <w:color w:val="000000" w:themeColor="text1"/>
              </w:rPr>
              <w:lastRenderedPageBreak/>
              <w:t>емісії акцій та видача свідоцтва про реєстрацію випуску акцій.</w:t>
            </w:r>
          </w:p>
        </w:tc>
        <w:tc>
          <w:tcPr>
            <w:tcW w:w="3686" w:type="dxa"/>
          </w:tcPr>
          <w:p w14:paraId="2A4BB836" w14:textId="367BA7E3"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5E6CBDB"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 xml:space="preserve">Пункт 13 частини першої статті 88 розділу </w:t>
            </w:r>
            <w:r w:rsidRPr="00286216">
              <w:rPr>
                <w:color w:val="000000" w:themeColor="text1"/>
                <w:sz w:val="18"/>
              </w:rPr>
              <w:lastRenderedPageBreak/>
              <w:t>VI розділу 1 законопроекту доповнити словами в дужках «(етап здійснюється виключно при публічній пропозиції акцій)».</w:t>
            </w:r>
          </w:p>
        </w:tc>
        <w:tc>
          <w:tcPr>
            <w:tcW w:w="1987" w:type="dxa"/>
          </w:tcPr>
          <w:p w14:paraId="72275B09" w14:textId="77777777" w:rsidR="006507E8" w:rsidRPr="00286216" w:rsidRDefault="006507E8" w:rsidP="006507E8">
            <w:pPr>
              <w:pStyle w:val="StyleWisnow"/>
              <w:spacing w:line="180" w:lineRule="exact"/>
              <w:rPr>
                <w:color w:val="000000" w:themeColor="text1"/>
              </w:rPr>
            </w:pPr>
            <w:r w:rsidRPr="00286216">
              <w:rPr>
                <w:color w:val="000000" w:themeColor="text1"/>
              </w:rPr>
              <w:lastRenderedPageBreak/>
              <w:t>Відхилено</w:t>
            </w:r>
          </w:p>
          <w:p w14:paraId="6ADC573C" w14:textId="7523678E" w:rsidR="006507E8" w:rsidRPr="00286216" w:rsidRDefault="006507E8" w:rsidP="006507E8">
            <w:pPr>
              <w:pStyle w:val="StyleWisnow"/>
              <w:spacing w:line="180" w:lineRule="exact"/>
              <w:rPr>
                <w:rFonts w:eastAsia="Calibri"/>
                <w:color w:val="000000" w:themeColor="text1"/>
              </w:rPr>
            </w:pPr>
            <w:r w:rsidRPr="00286216">
              <w:rPr>
                <w:color w:val="000000" w:themeColor="text1"/>
              </w:rPr>
              <w:t xml:space="preserve">питання потребує вирішення окремим </w:t>
            </w:r>
            <w:r w:rsidRPr="00286216">
              <w:rPr>
                <w:color w:val="000000" w:themeColor="text1"/>
              </w:rPr>
              <w:lastRenderedPageBreak/>
              <w:t>законом</w:t>
            </w:r>
          </w:p>
        </w:tc>
        <w:tc>
          <w:tcPr>
            <w:tcW w:w="4818" w:type="dxa"/>
          </w:tcPr>
          <w:p w14:paraId="220B9973" w14:textId="6BDE180D" w:rsidR="006507E8" w:rsidRPr="00286216" w:rsidRDefault="006507E8" w:rsidP="006507E8">
            <w:pPr>
              <w:pStyle w:val="StyleZakonu"/>
              <w:rPr>
                <w:color w:val="000000" w:themeColor="text1"/>
              </w:rPr>
            </w:pPr>
            <w:r w:rsidRPr="00286216">
              <w:rPr>
                <w:color w:val="000000" w:themeColor="text1"/>
              </w:rPr>
              <w:lastRenderedPageBreak/>
              <w:t xml:space="preserve">13) реєстрація Національною комісією з цінних паперів та фондового ринку звіту про результати </w:t>
            </w:r>
            <w:r w:rsidRPr="00286216">
              <w:rPr>
                <w:color w:val="000000" w:themeColor="text1"/>
              </w:rPr>
              <w:lastRenderedPageBreak/>
              <w:t>емісії акцій та видача свідоцтва про реєстрацію випуску акцій.</w:t>
            </w:r>
          </w:p>
        </w:tc>
      </w:tr>
      <w:tr w:rsidR="006507E8" w:rsidRPr="00286216" w14:paraId="768D8819" w14:textId="77777777" w:rsidTr="00091AA5">
        <w:tc>
          <w:tcPr>
            <w:tcW w:w="576" w:type="dxa"/>
          </w:tcPr>
          <w:p w14:paraId="5D8E0916" w14:textId="77777777" w:rsidR="006507E8" w:rsidRPr="00286216" w:rsidRDefault="006507E8" w:rsidP="006507E8">
            <w:pPr>
              <w:pStyle w:val="StyleWisnow"/>
              <w:rPr>
                <w:color w:val="000000" w:themeColor="text1"/>
              </w:rPr>
            </w:pPr>
            <w:bookmarkStart w:id="1223" w:name="n1487" w:colFirst="0" w:colLast="0"/>
            <w:bookmarkEnd w:id="1222"/>
            <w:r w:rsidRPr="00286216">
              <w:rPr>
                <w:color w:val="000000" w:themeColor="text1"/>
              </w:rPr>
              <w:lastRenderedPageBreak/>
              <w:t>1487.</w:t>
            </w:r>
          </w:p>
        </w:tc>
        <w:tc>
          <w:tcPr>
            <w:tcW w:w="4818" w:type="dxa"/>
          </w:tcPr>
          <w:p w14:paraId="2CFF83B5" w14:textId="77777777" w:rsidR="006507E8" w:rsidRPr="00286216" w:rsidRDefault="006507E8" w:rsidP="006507E8">
            <w:pPr>
              <w:pStyle w:val="StyleZakonu"/>
              <w:rPr>
                <w:color w:val="000000" w:themeColor="text1"/>
              </w:rPr>
            </w:pPr>
            <w:r w:rsidRPr="00286216">
              <w:rPr>
                <w:color w:val="000000" w:themeColor="text1"/>
              </w:rPr>
              <w:t>2. Емісія корпоративних облігацій, іпотечних облігацій та облігацій місцевих позик здійснюється за такими етапами:</w:t>
            </w:r>
          </w:p>
        </w:tc>
        <w:tc>
          <w:tcPr>
            <w:tcW w:w="3686" w:type="dxa"/>
          </w:tcPr>
          <w:p w14:paraId="616C941D" w14:textId="77777777" w:rsidR="006507E8" w:rsidRPr="00286216" w:rsidRDefault="006507E8" w:rsidP="006507E8">
            <w:pPr>
              <w:pStyle w:val="StyleProp"/>
              <w:rPr>
                <w:color w:val="000000" w:themeColor="text1"/>
                <w:szCs w:val="18"/>
              </w:rPr>
            </w:pPr>
          </w:p>
        </w:tc>
        <w:tc>
          <w:tcPr>
            <w:tcW w:w="1987" w:type="dxa"/>
          </w:tcPr>
          <w:p w14:paraId="1D7B02D1" w14:textId="77777777" w:rsidR="006507E8" w:rsidRPr="00286216" w:rsidRDefault="006507E8" w:rsidP="006507E8">
            <w:pPr>
              <w:pStyle w:val="StyleWisnow"/>
              <w:rPr>
                <w:color w:val="000000" w:themeColor="text1"/>
              </w:rPr>
            </w:pPr>
          </w:p>
        </w:tc>
        <w:tc>
          <w:tcPr>
            <w:tcW w:w="4818" w:type="dxa"/>
          </w:tcPr>
          <w:p w14:paraId="1327BD15" w14:textId="392FF16F" w:rsidR="006507E8" w:rsidRPr="00286216" w:rsidRDefault="006507E8" w:rsidP="006507E8">
            <w:pPr>
              <w:pStyle w:val="StyleZakonu"/>
              <w:rPr>
                <w:color w:val="000000" w:themeColor="text1"/>
              </w:rPr>
            </w:pPr>
            <w:r w:rsidRPr="00286216">
              <w:rPr>
                <w:color w:val="000000" w:themeColor="text1"/>
              </w:rPr>
              <w:t>2. Емісія корпоративних облігацій, іпотечних облігацій та облігацій місцевих позик здійснюється за такими етапами:</w:t>
            </w:r>
          </w:p>
        </w:tc>
      </w:tr>
      <w:tr w:rsidR="006507E8" w:rsidRPr="00286216" w14:paraId="35AC3BC2" w14:textId="77777777" w:rsidTr="00091AA5">
        <w:tc>
          <w:tcPr>
            <w:tcW w:w="576" w:type="dxa"/>
          </w:tcPr>
          <w:p w14:paraId="2EAB0D23" w14:textId="77777777" w:rsidR="006507E8" w:rsidRPr="00286216" w:rsidRDefault="006507E8" w:rsidP="006507E8">
            <w:pPr>
              <w:pStyle w:val="StyleWisnow"/>
              <w:rPr>
                <w:color w:val="000000" w:themeColor="text1"/>
              </w:rPr>
            </w:pPr>
            <w:bookmarkStart w:id="1224" w:name="n1488" w:colFirst="0" w:colLast="0"/>
            <w:bookmarkEnd w:id="1223"/>
            <w:r w:rsidRPr="00286216">
              <w:rPr>
                <w:color w:val="000000" w:themeColor="text1"/>
              </w:rPr>
              <w:t>1488.</w:t>
            </w:r>
          </w:p>
        </w:tc>
        <w:tc>
          <w:tcPr>
            <w:tcW w:w="4818" w:type="dxa"/>
          </w:tcPr>
          <w:p w14:paraId="7323BA79" w14:textId="77777777" w:rsidR="006507E8" w:rsidRPr="00286216" w:rsidRDefault="006507E8" w:rsidP="006507E8">
            <w:pPr>
              <w:pStyle w:val="StyleZakonu"/>
              <w:rPr>
                <w:color w:val="000000" w:themeColor="text1"/>
              </w:rPr>
            </w:pPr>
            <w:r w:rsidRPr="00286216">
              <w:rPr>
                <w:color w:val="000000" w:themeColor="text1"/>
              </w:rPr>
              <w:t>1) прийняття рішення про емісію цінних паперів органом (особою) емітента, уповноваженим приймати таке рішення;</w:t>
            </w:r>
          </w:p>
        </w:tc>
        <w:tc>
          <w:tcPr>
            <w:tcW w:w="3686" w:type="dxa"/>
          </w:tcPr>
          <w:p w14:paraId="3CB5AE17" w14:textId="77777777" w:rsidR="006507E8" w:rsidRPr="00286216" w:rsidRDefault="006507E8" w:rsidP="006507E8">
            <w:pPr>
              <w:pStyle w:val="StyleProp"/>
              <w:rPr>
                <w:color w:val="000000" w:themeColor="text1"/>
                <w:szCs w:val="18"/>
              </w:rPr>
            </w:pPr>
          </w:p>
        </w:tc>
        <w:tc>
          <w:tcPr>
            <w:tcW w:w="1987" w:type="dxa"/>
          </w:tcPr>
          <w:p w14:paraId="20E48532" w14:textId="77777777" w:rsidR="006507E8" w:rsidRPr="00286216" w:rsidRDefault="006507E8" w:rsidP="006507E8">
            <w:pPr>
              <w:pStyle w:val="StyleWisnow"/>
              <w:rPr>
                <w:color w:val="000000" w:themeColor="text1"/>
              </w:rPr>
            </w:pPr>
          </w:p>
        </w:tc>
        <w:tc>
          <w:tcPr>
            <w:tcW w:w="4818" w:type="dxa"/>
          </w:tcPr>
          <w:p w14:paraId="79D684A9" w14:textId="6E2D142A" w:rsidR="006507E8" w:rsidRPr="00286216" w:rsidRDefault="006507E8" w:rsidP="006507E8">
            <w:pPr>
              <w:pStyle w:val="StyleZakonu"/>
              <w:rPr>
                <w:color w:val="000000" w:themeColor="text1"/>
              </w:rPr>
            </w:pPr>
            <w:r w:rsidRPr="00286216">
              <w:rPr>
                <w:color w:val="000000" w:themeColor="text1"/>
              </w:rPr>
              <w:t>1) прийняття рішення про емісію цінних паперів органом (особою) емітента, уповноваженим приймати таке рішення;</w:t>
            </w:r>
          </w:p>
        </w:tc>
      </w:tr>
      <w:tr w:rsidR="006507E8" w:rsidRPr="00286216" w14:paraId="53E700B0" w14:textId="77777777" w:rsidTr="00091AA5">
        <w:tc>
          <w:tcPr>
            <w:tcW w:w="576" w:type="dxa"/>
          </w:tcPr>
          <w:p w14:paraId="2B7D5EC4" w14:textId="77777777" w:rsidR="006507E8" w:rsidRPr="00286216" w:rsidRDefault="006507E8" w:rsidP="006507E8">
            <w:pPr>
              <w:pStyle w:val="StyleWisnow"/>
              <w:rPr>
                <w:color w:val="000000" w:themeColor="text1"/>
              </w:rPr>
            </w:pPr>
            <w:bookmarkStart w:id="1225" w:name="n1489" w:colFirst="0" w:colLast="0"/>
            <w:bookmarkEnd w:id="1224"/>
            <w:r w:rsidRPr="00286216">
              <w:rPr>
                <w:color w:val="000000" w:themeColor="text1"/>
              </w:rPr>
              <w:t>1489.</w:t>
            </w:r>
          </w:p>
        </w:tc>
        <w:tc>
          <w:tcPr>
            <w:tcW w:w="4818" w:type="dxa"/>
          </w:tcPr>
          <w:p w14:paraId="03A93E27" w14:textId="77777777"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c>
          <w:tcPr>
            <w:tcW w:w="3686" w:type="dxa"/>
          </w:tcPr>
          <w:p w14:paraId="0EC21372" w14:textId="77777777" w:rsidR="006507E8" w:rsidRPr="00286216" w:rsidRDefault="006507E8" w:rsidP="006507E8">
            <w:pPr>
              <w:pStyle w:val="StyleProp"/>
              <w:rPr>
                <w:color w:val="000000" w:themeColor="text1"/>
                <w:szCs w:val="18"/>
              </w:rPr>
            </w:pPr>
          </w:p>
        </w:tc>
        <w:tc>
          <w:tcPr>
            <w:tcW w:w="1987" w:type="dxa"/>
          </w:tcPr>
          <w:p w14:paraId="4670B582" w14:textId="77777777" w:rsidR="006507E8" w:rsidRPr="00286216" w:rsidRDefault="006507E8" w:rsidP="006507E8">
            <w:pPr>
              <w:pStyle w:val="StyleWisnow"/>
              <w:rPr>
                <w:color w:val="000000" w:themeColor="text1"/>
              </w:rPr>
            </w:pPr>
          </w:p>
        </w:tc>
        <w:tc>
          <w:tcPr>
            <w:tcW w:w="4818" w:type="dxa"/>
          </w:tcPr>
          <w:p w14:paraId="6CF025CC" w14:textId="7E74ECC6"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r>
      <w:tr w:rsidR="006507E8" w:rsidRPr="00286216" w14:paraId="34CD15A7" w14:textId="77777777" w:rsidTr="00091AA5">
        <w:tc>
          <w:tcPr>
            <w:tcW w:w="576" w:type="dxa"/>
          </w:tcPr>
          <w:p w14:paraId="60124A42" w14:textId="77777777" w:rsidR="006507E8" w:rsidRPr="00286216" w:rsidRDefault="006507E8" w:rsidP="006507E8">
            <w:pPr>
              <w:pStyle w:val="StyleWisnow"/>
              <w:rPr>
                <w:color w:val="000000" w:themeColor="text1"/>
              </w:rPr>
            </w:pPr>
            <w:bookmarkStart w:id="1226" w:name="n1490" w:colFirst="0" w:colLast="0"/>
            <w:bookmarkEnd w:id="1225"/>
            <w:r w:rsidRPr="00286216">
              <w:rPr>
                <w:color w:val="000000" w:themeColor="text1"/>
              </w:rPr>
              <w:t>1490.</w:t>
            </w:r>
          </w:p>
        </w:tc>
        <w:tc>
          <w:tcPr>
            <w:tcW w:w="4818" w:type="dxa"/>
          </w:tcPr>
          <w:p w14:paraId="38B7BC84" w14:textId="77777777" w:rsidR="006507E8" w:rsidRPr="00286216" w:rsidRDefault="006507E8" w:rsidP="006507E8">
            <w:pPr>
              <w:pStyle w:val="StyleZakonu"/>
              <w:rPr>
                <w:color w:val="000000" w:themeColor="text1"/>
              </w:rPr>
            </w:pPr>
            <w:r w:rsidRPr="00286216">
              <w:rPr>
                <w:color w:val="000000" w:themeColor="text1"/>
              </w:rPr>
              <w:t>3) укладення у разі потреби договору про призначення адміністратора;</w:t>
            </w:r>
          </w:p>
        </w:tc>
        <w:tc>
          <w:tcPr>
            <w:tcW w:w="3686" w:type="dxa"/>
          </w:tcPr>
          <w:p w14:paraId="7BC7D510" w14:textId="77777777" w:rsidR="006507E8" w:rsidRPr="00286216" w:rsidRDefault="006507E8" w:rsidP="006507E8">
            <w:pPr>
              <w:pStyle w:val="StyleProp"/>
              <w:rPr>
                <w:color w:val="000000" w:themeColor="text1"/>
                <w:szCs w:val="18"/>
              </w:rPr>
            </w:pPr>
          </w:p>
        </w:tc>
        <w:tc>
          <w:tcPr>
            <w:tcW w:w="1987" w:type="dxa"/>
          </w:tcPr>
          <w:p w14:paraId="3C45C119" w14:textId="77777777" w:rsidR="006507E8" w:rsidRPr="00286216" w:rsidRDefault="006507E8" w:rsidP="006507E8">
            <w:pPr>
              <w:pStyle w:val="StyleWisnow"/>
              <w:rPr>
                <w:color w:val="000000" w:themeColor="text1"/>
              </w:rPr>
            </w:pPr>
          </w:p>
        </w:tc>
        <w:tc>
          <w:tcPr>
            <w:tcW w:w="4818" w:type="dxa"/>
          </w:tcPr>
          <w:p w14:paraId="5B0DA057" w14:textId="7D21292B" w:rsidR="006507E8" w:rsidRPr="00286216" w:rsidRDefault="006507E8" w:rsidP="006507E8">
            <w:pPr>
              <w:pStyle w:val="StyleZakonu"/>
              <w:rPr>
                <w:color w:val="000000" w:themeColor="text1"/>
              </w:rPr>
            </w:pPr>
            <w:r w:rsidRPr="00286216">
              <w:rPr>
                <w:color w:val="000000" w:themeColor="text1"/>
              </w:rPr>
              <w:t>3) укладення у разі потреби договору про призначення адміністратора;</w:t>
            </w:r>
          </w:p>
        </w:tc>
      </w:tr>
      <w:tr w:rsidR="006507E8" w:rsidRPr="00286216" w14:paraId="57A63174" w14:textId="77777777" w:rsidTr="00091AA5">
        <w:tc>
          <w:tcPr>
            <w:tcW w:w="576" w:type="dxa"/>
          </w:tcPr>
          <w:p w14:paraId="3AC47EA9" w14:textId="77777777" w:rsidR="006507E8" w:rsidRPr="00286216" w:rsidRDefault="006507E8" w:rsidP="006507E8">
            <w:pPr>
              <w:pStyle w:val="StyleWisnow"/>
              <w:rPr>
                <w:color w:val="000000" w:themeColor="text1"/>
              </w:rPr>
            </w:pPr>
            <w:bookmarkStart w:id="1227" w:name="n1491" w:colFirst="0" w:colLast="0"/>
            <w:bookmarkEnd w:id="1226"/>
            <w:r w:rsidRPr="00286216">
              <w:rPr>
                <w:color w:val="000000" w:themeColor="text1"/>
              </w:rPr>
              <w:t>1491.</w:t>
            </w:r>
          </w:p>
        </w:tc>
        <w:tc>
          <w:tcPr>
            <w:tcW w:w="4818" w:type="dxa"/>
          </w:tcPr>
          <w:p w14:paraId="1F3BEED1" w14:textId="77777777" w:rsidR="006507E8" w:rsidRPr="00286216" w:rsidRDefault="006507E8" w:rsidP="006507E8">
            <w:pPr>
              <w:pStyle w:val="StyleZakonu"/>
              <w:rPr>
                <w:color w:val="000000" w:themeColor="text1"/>
              </w:rPr>
            </w:pPr>
            <w:r w:rsidRPr="00286216">
              <w:rPr>
                <w:color w:val="000000" w:themeColor="text1"/>
              </w:rPr>
              <w:t>4) подання Національній комісії з цінних паперів та фондового ринку заяви, рішення про емісію цінних паперів і всіх необхідних документів для реєстрації випуску цінних паперів;</w:t>
            </w:r>
          </w:p>
        </w:tc>
        <w:tc>
          <w:tcPr>
            <w:tcW w:w="3686" w:type="dxa"/>
          </w:tcPr>
          <w:p w14:paraId="59457E19" w14:textId="18C51A69"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A036B6F"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pacing w:val="-2"/>
                <w:sz w:val="18"/>
              </w:rPr>
              <w:t>Пункт 4 частини другої статті 88 доповнити</w:t>
            </w:r>
            <w:r w:rsidRPr="00286216">
              <w:rPr>
                <w:color w:val="000000" w:themeColor="text1"/>
                <w:sz w:val="18"/>
              </w:rPr>
              <w:t xml:space="preserve"> словами «(етап здійснюється виключно при публічній пропозиції корпоративних облігацій, іпотечних облігацій та облігацій місцевих позик)».</w:t>
            </w:r>
          </w:p>
          <w:p w14:paraId="503D5FCF" w14:textId="0A7BDBB6"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917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9163E9"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4 частини другої статті 88 словами «офіційним каналом зв’язку».</w:t>
            </w:r>
          </w:p>
        </w:tc>
        <w:tc>
          <w:tcPr>
            <w:tcW w:w="1987" w:type="dxa"/>
          </w:tcPr>
          <w:p w14:paraId="2DB2C813"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3EB23FFE" w14:textId="59FE2BB8"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574DCADD" w14:textId="77777777" w:rsidR="006507E8" w:rsidRPr="00286216" w:rsidRDefault="006507E8" w:rsidP="006507E8">
            <w:pPr>
              <w:pStyle w:val="StyleWisnow"/>
              <w:rPr>
                <w:color w:val="000000" w:themeColor="text1"/>
              </w:rPr>
            </w:pPr>
          </w:p>
          <w:p w14:paraId="5E6C6716" w14:textId="77777777" w:rsidR="006507E8" w:rsidRPr="00286216" w:rsidRDefault="006507E8" w:rsidP="006507E8">
            <w:pPr>
              <w:pStyle w:val="StyleWisnow"/>
              <w:rPr>
                <w:color w:val="000000" w:themeColor="text1"/>
              </w:rPr>
            </w:pPr>
          </w:p>
          <w:p w14:paraId="7FBB98EB"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5AE67F15" w14:textId="268FC01F" w:rsidR="006507E8" w:rsidRPr="00286216" w:rsidRDefault="006507E8" w:rsidP="006507E8">
            <w:pPr>
              <w:pStyle w:val="StyleZakonu"/>
              <w:rPr>
                <w:color w:val="000000" w:themeColor="text1"/>
              </w:rPr>
            </w:pPr>
            <w:r w:rsidRPr="00286216">
              <w:rPr>
                <w:color w:val="000000" w:themeColor="text1"/>
              </w:rPr>
              <w:t xml:space="preserve">4) подання Національній комісії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заяви, рішення про емісію цінних паперів і всіх необхідних документів для реєстрації випуску цінних паперів;</w:t>
            </w:r>
          </w:p>
        </w:tc>
      </w:tr>
      <w:tr w:rsidR="006507E8" w:rsidRPr="00286216" w14:paraId="3B8A9894" w14:textId="77777777" w:rsidTr="00091AA5">
        <w:tc>
          <w:tcPr>
            <w:tcW w:w="576" w:type="dxa"/>
          </w:tcPr>
          <w:p w14:paraId="1DC40D67" w14:textId="77777777" w:rsidR="006507E8" w:rsidRPr="00286216" w:rsidRDefault="006507E8" w:rsidP="006507E8">
            <w:pPr>
              <w:pStyle w:val="StyleWisnow"/>
              <w:rPr>
                <w:color w:val="000000" w:themeColor="text1"/>
              </w:rPr>
            </w:pPr>
            <w:bookmarkStart w:id="1228" w:name="n1492" w:colFirst="0" w:colLast="0"/>
            <w:bookmarkEnd w:id="1227"/>
            <w:r w:rsidRPr="00286216">
              <w:rPr>
                <w:color w:val="000000" w:themeColor="text1"/>
              </w:rPr>
              <w:t>1492.</w:t>
            </w:r>
          </w:p>
        </w:tc>
        <w:tc>
          <w:tcPr>
            <w:tcW w:w="4818" w:type="dxa"/>
          </w:tcPr>
          <w:p w14:paraId="0542EF3B" w14:textId="77777777" w:rsidR="006507E8" w:rsidRPr="00286216" w:rsidRDefault="006507E8" w:rsidP="006507E8">
            <w:pPr>
              <w:pStyle w:val="StyleZakonu"/>
              <w:rPr>
                <w:color w:val="000000" w:themeColor="text1"/>
              </w:rPr>
            </w:pPr>
            <w:r w:rsidRPr="00286216">
              <w:rPr>
                <w:color w:val="000000" w:themeColor="text1"/>
              </w:rPr>
              <w:t>5) реєстрація Національною комісією з цінних паперів та фондового ринку випуску цінних паперів та видача тимчасового свідоцтва про реєстрацію випуску цінних паперів;</w:t>
            </w:r>
          </w:p>
        </w:tc>
        <w:tc>
          <w:tcPr>
            <w:tcW w:w="3686" w:type="dxa"/>
          </w:tcPr>
          <w:p w14:paraId="73E0507F" w14:textId="7ADD263F"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7CFC76" w14:textId="77777777" w:rsidR="006507E8" w:rsidRPr="00286216" w:rsidRDefault="006507E8" w:rsidP="006507E8">
            <w:pPr>
              <w:spacing w:line="180" w:lineRule="exact"/>
              <w:ind w:firstLine="227"/>
              <w:jc w:val="both"/>
              <w:rPr>
                <w:color w:val="000000" w:themeColor="text1"/>
                <w:szCs w:val="18"/>
              </w:rPr>
            </w:pPr>
            <w:r w:rsidRPr="00286216">
              <w:rPr>
                <w:color w:val="000000" w:themeColor="text1"/>
                <w:spacing w:val="-2"/>
                <w:sz w:val="18"/>
              </w:rPr>
              <w:t>Пункт 5 частини другої статті 88 доповнити</w:t>
            </w:r>
            <w:r w:rsidRPr="00286216">
              <w:rPr>
                <w:color w:val="000000" w:themeColor="text1"/>
                <w:sz w:val="18"/>
              </w:rPr>
              <w:t xml:space="preserve"> словами в дужках «(етап здійснюється виключно при публічній пропозиції корпоративних облігацій, іпотечних облігацій та облігацій місцевих позик)».</w:t>
            </w:r>
          </w:p>
        </w:tc>
        <w:tc>
          <w:tcPr>
            <w:tcW w:w="1987" w:type="dxa"/>
          </w:tcPr>
          <w:p w14:paraId="78EE4375"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7C7B9D1" w14:textId="7F583926"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343049C3" w14:textId="2D9C3FE2" w:rsidR="006507E8" w:rsidRPr="00286216" w:rsidRDefault="006507E8" w:rsidP="006507E8">
            <w:pPr>
              <w:pStyle w:val="StyleZakonu"/>
              <w:rPr>
                <w:color w:val="000000" w:themeColor="text1"/>
              </w:rPr>
            </w:pPr>
            <w:r w:rsidRPr="00286216">
              <w:rPr>
                <w:color w:val="000000" w:themeColor="text1"/>
              </w:rPr>
              <w:t>5) реєстрація Національною комісією з цінних паперів та фондового ринку випуску цінних паперів та видача тимчасового свідоцтва про реєстрацію випуску цінних паперів;</w:t>
            </w:r>
          </w:p>
        </w:tc>
      </w:tr>
      <w:tr w:rsidR="006507E8" w:rsidRPr="00286216" w14:paraId="51F83A3E" w14:textId="77777777" w:rsidTr="00091AA5">
        <w:tc>
          <w:tcPr>
            <w:tcW w:w="576" w:type="dxa"/>
          </w:tcPr>
          <w:p w14:paraId="4F0C3E55" w14:textId="77777777" w:rsidR="006507E8" w:rsidRPr="00286216" w:rsidRDefault="006507E8" w:rsidP="006507E8">
            <w:pPr>
              <w:pStyle w:val="StyleWisnow"/>
              <w:rPr>
                <w:color w:val="000000" w:themeColor="text1"/>
              </w:rPr>
            </w:pPr>
            <w:bookmarkStart w:id="1229" w:name="n1493" w:colFirst="0" w:colLast="0"/>
            <w:bookmarkEnd w:id="1228"/>
            <w:r w:rsidRPr="00286216">
              <w:rPr>
                <w:color w:val="000000" w:themeColor="text1"/>
              </w:rPr>
              <w:t>1493.</w:t>
            </w:r>
          </w:p>
        </w:tc>
        <w:tc>
          <w:tcPr>
            <w:tcW w:w="4818" w:type="dxa"/>
          </w:tcPr>
          <w:p w14:paraId="23C0112E" w14:textId="77777777" w:rsidR="006507E8" w:rsidRPr="00286216" w:rsidRDefault="006507E8" w:rsidP="006507E8">
            <w:pPr>
              <w:pStyle w:val="StyleZakonu"/>
              <w:rPr>
                <w:color w:val="000000" w:themeColor="text1"/>
              </w:rPr>
            </w:pPr>
            <w:r w:rsidRPr="00286216">
              <w:rPr>
                <w:color w:val="000000" w:themeColor="text1"/>
              </w:rPr>
              <w:t>6) укладення з Центральним депозитарієм цінних паперів або з Національним банком України договору про обслуговування випусків цінних паперів (за відсутності такого договору);</w:t>
            </w:r>
          </w:p>
        </w:tc>
        <w:tc>
          <w:tcPr>
            <w:tcW w:w="3686" w:type="dxa"/>
          </w:tcPr>
          <w:p w14:paraId="1A5FE46F" w14:textId="77777777" w:rsidR="006507E8" w:rsidRPr="00286216" w:rsidRDefault="006507E8" w:rsidP="006507E8">
            <w:pPr>
              <w:pStyle w:val="StyleProp"/>
              <w:rPr>
                <w:color w:val="000000" w:themeColor="text1"/>
                <w:szCs w:val="18"/>
              </w:rPr>
            </w:pPr>
          </w:p>
        </w:tc>
        <w:tc>
          <w:tcPr>
            <w:tcW w:w="1987" w:type="dxa"/>
          </w:tcPr>
          <w:p w14:paraId="6BCB3E2E" w14:textId="77777777" w:rsidR="006507E8" w:rsidRPr="00286216" w:rsidRDefault="006507E8" w:rsidP="006507E8">
            <w:pPr>
              <w:pStyle w:val="StyleWisnow"/>
              <w:rPr>
                <w:color w:val="000000" w:themeColor="text1"/>
              </w:rPr>
            </w:pPr>
          </w:p>
        </w:tc>
        <w:tc>
          <w:tcPr>
            <w:tcW w:w="4818" w:type="dxa"/>
          </w:tcPr>
          <w:p w14:paraId="6F1D4BF7" w14:textId="11D50BA5" w:rsidR="006507E8" w:rsidRPr="00286216" w:rsidRDefault="006507E8" w:rsidP="006507E8">
            <w:pPr>
              <w:pStyle w:val="StyleZakonu"/>
              <w:rPr>
                <w:color w:val="000000" w:themeColor="text1"/>
              </w:rPr>
            </w:pPr>
            <w:r w:rsidRPr="00286216">
              <w:rPr>
                <w:color w:val="000000" w:themeColor="text1"/>
              </w:rPr>
              <w:t>6) укладення з Центральним депозитарієм цінних паперів або з Національним банком України договору про обслуговування випусків цінних паперів (за відсутності такого договору);</w:t>
            </w:r>
          </w:p>
        </w:tc>
      </w:tr>
      <w:tr w:rsidR="006507E8" w:rsidRPr="00286216" w14:paraId="209DF294" w14:textId="77777777" w:rsidTr="00091AA5">
        <w:tc>
          <w:tcPr>
            <w:tcW w:w="576" w:type="dxa"/>
          </w:tcPr>
          <w:p w14:paraId="3ADF2B93" w14:textId="77777777" w:rsidR="006507E8" w:rsidRPr="00286216" w:rsidRDefault="006507E8" w:rsidP="006507E8">
            <w:pPr>
              <w:pStyle w:val="StyleWisnow"/>
              <w:rPr>
                <w:color w:val="000000" w:themeColor="text1"/>
              </w:rPr>
            </w:pPr>
            <w:bookmarkStart w:id="1230" w:name="n1494" w:colFirst="0" w:colLast="0"/>
            <w:bookmarkEnd w:id="1229"/>
            <w:r w:rsidRPr="00286216">
              <w:rPr>
                <w:color w:val="000000" w:themeColor="text1"/>
              </w:rPr>
              <w:t>1494.</w:t>
            </w:r>
          </w:p>
        </w:tc>
        <w:tc>
          <w:tcPr>
            <w:tcW w:w="4818" w:type="dxa"/>
          </w:tcPr>
          <w:p w14:paraId="1E977215" w14:textId="77777777" w:rsidR="006507E8" w:rsidRPr="00286216" w:rsidRDefault="006507E8" w:rsidP="006507E8">
            <w:pPr>
              <w:pStyle w:val="StyleZakonu"/>
              <w:rPr>
                <w:color w:val="000000" w:themeColor="text1"/>
              </w:rPr>
            </w:pPr>
            <w:r w:rsidRPr="00286216">
              <w:rPr>
                <w:color w:val="000000" w:themeColor="text1"/>
              </w:rPr>
              <w:t>7) присвоєння цінним паперам коду ISIN та отримання емітентом коду LEI;</w:t>
            </w:r>
          </w:p>
        </w:tc>
        <w:tc>
          <w:tcPr>
            <w:tcW w:w="3686" w:type="dxa"/>
          </w:tcPr>
          <w:p w14:paraId="330054A4" w14:textId="77777777" w:rsidR="006507E8" w:rsidRPr="00286216" w:rsidRDefault="006507E8" w:rsidP="006507E8">
            <w:pPr>
              <w:pStyle w:val="StyleProp"/>
              <w:rPr>
                <w:color w:val="000000" w:themeColor="text1"/>
                <w:szCs w:val="18"/>
              </w:rPr>
            </w:pPr>
          </w:p>
        </w:tc>
        <w:tc>
          <w:tcPr>
            <w:tcW w:w="1987" w:type="dxa"/>
          </w:tcPr>
          <w:p w14:paraId="2EBBD638" w14:textId="77777777" w:rsidR="006507E8" w:rsidRPr="00286216" w:rsidRDefault="006507E8" w:rsidP="006507E8">
            <w:pPr>
              <w:pStyle w:val="StyleWisnow"/>
              <w:rPr>
                <w:color w:val="000000" w:themeColor="text1"/>
              </w:rPr>
            </w:pPr>
          </w:p>
        </w:tc>
        <w:tc>
          <w:tcPr>
            <w:tcW w:w="4818" w:type="dxa"/>
          </w:tcPr>
          <w:p w14:paraId="7715F67C" w14:textId="058FC7CE" w:rsidR="006507E8" w:rsidRPr="00286216" w:rsidRDefault="006507E8" w:rsidP="006507E8">
            <w:pPr>
              <w:pStyle w:val="StyleZakonu"/>
              <w:rPr>
                <w:color w:val="000000" w:themeColor="text1"/>
              </w:rPr>
            </w:pPr>
            <w:r w:rsidRPr="00286216">
              <w:rPr>
                <w:color w:val="000000" w:themeColor="text1"/>
              </w:rPr>
              <w:t>7) присвоєння цінним паперам коду ISIN та отримання емітентом коду LEI;</w:t>
            </w:r>
          </w:p>
        </w:tc>
      </w:tr>
      <w:tr w:rsidR="006507E8" w:rsidRPr="00286216" w14:paraId="4E358DEB" w14:textId="77777777" w:rsidTr="00091AA5">
        <w:tc>
          <w:tcPr>
            <w:tcW w:w="576" w:type="dxa"/>
          </w:tcPr>
          <w:p w14:paraId="666FD13C" w14:textId="77777777" w:rsidR="006507E8" w:rsidRPr="00286216" w:rsidRDefault="006507E8" w:rsidP="006507E8">
            <w:pPr>
              <w:pStyle w:val="StyleWisnow"/>
              <w:rPr>
                <w:color w:val="000000" w:themeColor="text1"/>
              </w:rPr>
            </w:pPr>
            <w:bookmarkStart w:id="1231" w:name="n1495" w:colFirst="0" w:colLast="0"/>
            <w:bookmarkEnd w:id="1230"/>
            <w:r w:rsidRPr="00286216">
              <w:rPr>
                <w:color w:val="000000" w:themeColor="text1"/>
              </w:rPr>
              <w:t>1495.</w:t>
            </w:r>
          </w:p>
        </w:tc>
        <w:tc>
          <w:tcPr>
            <w:tcW w:w="4818" w:type="dxa"/>
          </w:tcPr>
          <w:p w14:paraId="6ABAD0D9" w14:textId="77777777" w:rsidR="006507E8" w:rsidRPr="00286216" w:rsidRDefault="006507E8" w:rsidP="006507E8">
            <w:pPr>
              <w:pStyle w:val="StyleZakonu"/>
              <w:rPr>
                <w:color w:val="000000" w:themeColor="text1"/>
              </w:rPr>
            </w:pPr>
            <w:r w:rsidRPr="00286216">
              <w:rPr>
                <w:color w:val="000000" w:themeColor="text1"/>
              </w:rPr>
              <w:t>8) розміщення цінних паперів;</w:t>
            </w:r>
          </w:p>
        </w:tc>
        <w:tc>
          <w:tcPr>
            <w:tcW w:w="3686" w:type="dxa"/>
          </w:tcPr>
          <w:p w14:paraId="1BEAFDCF" w14:textId="77777777" w:rsidR="006507E8" w:rsidRPr="00286216" w:rsidRDefault="006507E8" w:rsidP="006507E8">
            <w:pPr>
              <w:pStyle w:val="StyleProp"/>
              <w:rPr>
                <w:color w:val="000000" w:themeColor="text1"/>
                <w:szCs w:val="18"/>
              </w:rPr>
            </w:pPr>
          </w:p>
        </w:tc>
        <w:tc>
          <w:tcPr>
            <w:tcW w:w="1987" w:type="dxa"/>
          </w:tcPr>
          <w:p w14:paraId="2117B409" w14:textId="77777777" w:rsidR="006507E8" w:rsidRPr="00286216" w:rsidRDefault="006507E8" w:rsidP="006507E8">
            <w:pPr>
              <w:pStyle w:val="StyleWisnow"/>
              <w:rPr>
                <w:color w:val="000000" w:themeColor="text1"/>
              </w:rPr>
            </w:pPr>
          </w:p>
        </w:tc>
        <w:tc>
          <w:tcPr>
            <w:tcW w:w="4818" w:type="dxa"/>
          </w:tcPr>
          <w:p w14:paraId="25627BD6" w14:textId="6CEBA8CE" w:rsidR="006507E8" w:rsidRPr="00286216" w:rsidRDefault="006507E8" w:rsidP="006507E8">
            <w:pPr>
              <w:pStyle w:val="StyleZakonu"/>
              <w:rPr>
                <w:color w:val="000000" w:themeColor="text1"/>
              </w:rPr>
            </w:pPr>
            <w:r w:rsidRPr="00286216">
              <w:rPr>
                <w:color w:val="000000" w:themeColor="text1"/>
              </w:rPr>
              <w:t>8) розміщення цінних паперів;</w:t>
            </w:r>
          </w:p>
        </w:tc>
      </w:tr>
      <w:tr w:rsidR="006507E8" w:rsidRPr="00286216" w14:paraId="27641670" w14:textId="77777777" w:rsidTr="00091AA5">
        <w:tc>
          <w:tcPr>
            <w:tcW w:w="576" w:type="dxa"/>
          </w:tcPr>
          <w:p w14:paraId="77924DA7" w14:textId="77777777" w:rsidR="006507E8" w:rsidRPr="00286216" w:rsidRDefault="006507E8" w:rsidP="006507E8">
            <w:pPr>
              <w:pStyle w:val="StyleWisnow"/>
              <w:rPr>
                <w:color w:val="000000" w:themeColor="text1"/>
              </w:rPr>
            </w:pPr>
            <w:bookmarkStart w:id="1232" w:name="n1496" w:colFirst="0" w:colLast="0"/>
            <w:bookmarkEnd w:id="1231"/>
            <w:r w:rsidRPr="00286216">
              <w:rPr>
                <w:color w:val="000000" w:themeColor="text1"/>
              </w:rPr>
              <w:t>1496.</w:t>
            </w:r>
          </w:p>
        </w:tc>
        <w:tc>
          <w:tcPr>
            <w:tcW w:w="4818" w:type="dxa"/>
          </w:tcPr>
          <w:p w14:paraId="42BA0557" w14:textId="77777777" w:rsidR="006507E8" w:rsidRPr="00286216" w:rsidRDefault="006507E8" w:rsidP="006507E8">
            <w:pPr>
              <w:pStyle w:val="StyleZakonu"/>
              <w:rPr>
                <w:color w:val="000000" w:themeColor="text1"/>
              </w:rPr>
            </w:pPr>
            <w:r w:rsidRPr="00286216">
              <w:rPr>
                <w:color w:val="000000" w:themeColor="text1"/>
              </w:rPr>
              <w:t>9) укладення у разі потреби договору про призначення адміністратора за згодою всіх власників облігацій або зборів власників облігацій (якщо такий договір не був укладений раніше);</w:t>
            </w:r>
          </w:p>
        </w:tc>
        <w:tc>
          <w:tcPr>
            <w:tcW w:w="3686" w:type="dxa"/>
          </w:tcPr>
          <w:p w14:paraId="756BB63D" w14:textId="77777777" w:rsidR="006507E8" w:rsidRPr="00286216" w:rsidRDefault="006507E8" w:rsidP="006507E8">
            <w:pPr>
              <w:pStyle w:val="StyleProp"/>
              <w:rPr>
                <w:color w:val="000000" w:themeColor="text1"/>
                <w:szCs w:val="18"/>
              </w:rPr>
            </w:pPr>
          </w:p>
        </w:tc>
        <w:tc>
          <w:tcPr>
            <w:tcW w:w="1987" w:type="dxa"/>
          </w:tcPr>
          <w:p w14:paraId="403B47FB" w14:textId="77777777" w:rsidR="006507E8" w:rsidRPr="00286216" w:rsidRDefault="006507E8" w:rsidP="006507E8">
            <w:pPr>
              <w:pStyle w:val="StyleWisnow"/>
              <w:rPr>
                <w:color w:val="000000" w:themeColor="text1"/>
              </w:rPr>
            </w:pPr>
          </w:p>
        </w:tc>
        <w:tc>
          <w:tcPr>
            <w:tcW w:w="4818" w:type="dxa"/>
          </w:tcPr>
          <w:p w14:paraId="3D4551E8" w14:textId="50647337" w:rsidR="006507E8" w:rsidRPr="00286216" w:rsidRDefault="006507E8" w:rsidP="006507E8">
            <w:pPr>
              <w:pStyle w:val="StyleZakonu"/>
              <w:rPr>
                <w:color w:val="000000" w:themeColor="text1"/>
              </w:rPr>
            </w:pPr>
            <w:r w:rsidRPr="00286216">
              <w:rPr>
                <w:color w:val="000000" w:themeColor="text1"/>
              </w:rPr>
              <w:t>9) укладення у разі потреби договору про призначення адміністратора за згодою всіх власників облігацій або зборів власників облігацій (якщо такий договір не було укладено раніше);</w:t>
            </w:r>
          </w:p>
        </w:tc>
      </w:tr>
      <w:tr w:rsidR="006507E8" w:rsidRPr="00286216" w14:paraId="61F9A598" w14:textId="77777777" w:rsidTr="00091AA5">
        <w:tc>
          <w:tcPr>
            <w:tcW w:w="576" w:type="dxa"/>
          </w:tcPr>
          <w:p w14:paraId="45BD8268" w14:textId="77777777" w:rsidR="006507E8" w:rsidRPr="00286216" w:rsidRDefault="006507E8" w:rsidP="006507E8">
            <w:pPr>
              <w:pStyle w:val="StyleWisnow"/>
              <w:rPr>
                <w:color w:val="000000" w:themeColor="text1"/>
              </w:rPr>
            </w:pPr>
            <w:bookmarkStart w:id="1233" w:name="n1497" w:colFirst="0" w:colLast="0"/>
            <w:bookmarkEnd w:id="1232"/>
            <w:r w:rsidRPr="00286216">
              <w:rPr>
                <w:color w:val="000000" w:themeColor="text1"/>
              </w:rPr>
              <w:t>1497.</w:t>
            </w:r>
          </w:p>
        </w:tc>
        <w:tc>
          <w:tcPr>
            <w:tcW w:w="4818" w:type="dxa"/>
          </w:tcPr>
          <w:p w14:paraId="1240A0B5" w14:textId="77777777" w:rsidR="006507E8" w:rsidRPr="00286216" w:rsidRDefault="006507E8" w:rsidP="006507E8">
            <w:pPr>
              <w:pStyle w:val="StyleZakonu"/>
              <w:rPr>
                <w:color w:val="000000" w:themeColor="text1"/>
              </w:rPr>
            </w:pPr>
            <w:r w:rsidRPr="00286216">
              <w:rPr>
                <w:color w:val="000000" w:themeColor="text1"/>
              </w:rPr>
              <w:t>10) затвердження результатів емісії цінних паперів органом емітента, уповноваженим приймати таке рішення;</w:t>
            </w:r>
          </w:p>
        </w:tc>
        <w:tc>
          <w:tcPr>
            <w:tcW w:w="3686" w:type="dxa"/>
          </w:tcPr>
          <w:p w14:paraId="5461F9D3" w14:textId="77777777" w:rsidR="006507E8" w:rsidRPr="00286216" w:rsidRDefault="006507E8" w:rsidP="006507E8">
            <w:pPr>
              <w:pStyle w:val="StyleProp"/>
              <w:rPr>
                <w:color w:val="000000" w:themeColor="text1"/>
                <w:szCs w:val="18"/>
              </w:rPr>
            </w:pPr>
          </w:p>
        </w:tc>
        <w:tc>
          <w:tcPr>
            <w:tcW w:w="1987" w:type="dxa"/>
          </w:tcPr>
          <w:p w14:paraId="4DB9E4B9" w14:textId="77777777" w:rsidR="006507E8" w:rsidRPr="00286216" w:rsidRDefault="006507E8" w:rsidP="006507E8">
            <w:pPr>
              <w:pStyle w:val="StyleWisnow"/>
              <w:rPr>
                <w:color w:val="000000" w:themeColor="text1"/>
              </w:rPr>
            </w:pPr>
          </w:p>
        </w:tc>
        <w:tc>
          <w:tcPr>
            <w:tcW w:w="4818" w:type="dxa"/>
          </w:tcPr>
          <w:p w14:paraId="6F887B93" w14:textId="266422B7" w:rsidR="006507E8" w:rsidRPr="00286216" w:rsidRDefault="006507E8" w:rsidP="006507E8">
            <w:pPr>
              <w:pStyle w:val="StyleZakonu"/>
              <w:rPr>
                <w:color w:val="000000" w:themeColor="text1"/>
              </w:rPr>
            </w:pPr>
            <w:r w:rsidRPr="00286216">
              <w:rPr>
                <w:color w:val="000000" w:themeColor="text1"/>
              </w:rPr>
              <w:t>10) затвердження результатів емісії цінних паперів органом емітента, уповноваженим приймати таке рішення;</w:t>
            </w:r>
          </w:p>
        </w:tc>
      </w:tr>
      <w:tr w:rsidR="006507E8" w:rsidRPr="00286216" w14:paraId="61E1F3E3" w14:textId="77777777" w:rsidTr="008F747F">
        <w:tc>
          <w:tcPr>
            <w:tcW w:w="576" w:type="dxa"/>
          </w:tcPr>
          <w:p w14:paraId="4152A756" w14:textId="77777777" w:rsidR="006507E8" w:rsidRPr="00286216" w:rsidRDefault="006507E8" w:rsidP="006507E8">
            <w:pPr>
              <w:pStyle w:val="StyleWisnow"/>
              <w:rPr>
                <w:color w:val="000000" w:themeColor="text1"/>
              </w:rPr>
            </w:pPr>
            <w:bookmarkStart w:id="1234" w:name="n1498" w:colFirst="0" w:colLast="0"/>
            <w:bookmarkEnd w:id="1233"/>
            <w:r w:rsidRPr="00286216">
              <w:rPr>
                <w:color w:val="000000" w:themeColor="text1"/>
              </w:rPr>
              <w:t>1498.</w:t>
            </w:r>
          </w:p>
        </w:tc>
        <w:tc>
          <w:tcPr>
            <w:tcW w:w="4818" w:type="dxa"/>
          </w:tcPr>
          <w:p w14:paraId="1AEA7665" w14:textId="77777777" w:rsidR="006507E8" w:rsidRPr="00286216" w:rsidRDefault="006507E8" w:rsidP="006507E8">
            <w:pPr>
              <w:pStyle w:val="StyleZakonu"/>
              <w:rPr>
                <w:color w:val="000000" w:themeColor="text1"/>
              </w:rPr>
            </w:pPr>
            <w:r w:rsidRPr="00286216">
              <w:rPr>
                <w:color w:val="000000" w:themeColor="text1"/>
              </w:rPr>
              <w:t xml:space="preserve">11) подання до Комісії заяви і всіх необхідних </w:t>
            </w:r>
            <w:r w:rsidRPr="00286216">
              <w:rPr>
                <w:color w:val="000000" w:themeColor="text1"/>
              </w:rPr>
              <w:lastRenderedPageBreak/>
              <w:t>документів для реєстрації звіту про результати емісії цінних паперів;</w:t>
            </w:r>
          </w:p>
        </w:tc>
        <w:tc>
          <w:tcPr>
            <w:tcW w:w="3686" w:type="dxa"/>
          </w:tcPr>
          <w:p w14:paraId="2FCCC69A" w14:textId="5CDF306A"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919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EBC77A" w14:textId="77777777" w:rsidR="006507E8" w:rsidRPr="00286216" w:rsidRDefault="006507E8" w:rsidP="006507E8">
            <w:pPr>
              <w:spacing w:line="180" w:lineRule="exact"/>
              <w:ind w:firstLine="227"/>
              <w:jc w:val="both"/>
              <w:rPr>
                <w:color w:val="000000" w:themeColor="text1"/>
                <w:szCs w:val="18"/>
              </w:rPr>
            </w:pPr>
            <w:r w:rsidRPr="00286216">
              <w:rPr>
                <w:color w:val="000000" w:themeColor="text1"/>
                <w:spacing w:val="-4"/>
                <w:sz w:val="18"/>
              </w:rPr>
              <w:lastRenderedPageBreak/>
              <w:t>Пункт 11 частини другої статті 88 доповнити</w:t>
            </w:r>
            <w:r w:rsidRPr="00286216">
              <w:rPr>
                <w:color w:val="000000" w:themeColor="text1"/>
                <w:sz w:val="18"/>
              </w:rPr>
              <w:t xml:space="preserve"> словами в дужках «(етап здійснюється виключно при публічній пропозиції корпоративних облігацій, іпотечних облігацій та облігацій місцевих позик)».</w:t>
            </w:r>
          </w:p>
          <w:p w14:paraId="395082BD" w14:textId="39924A57"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0B46A52"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11 частини другої статті 88 словами «офіційним каналом зв’язку».</w:t>
            </w:r>
          </w:p>
          <w:p w14:paraId="7452C27A" w14:textId="372B2746"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921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77042DBB" w14:textId="2B33214E" w:rsidR="006507E8" w:rsidRPr="00286216" w:rsidRDefault="006507E8" w:rsidP="006507E8">
            <w:pPr>
              <w:pStyle w:val="StyleProp"/>
              <w:spacing w:line="180" w:lineRule="exact"/>
              <w:rPr>
                <w:color w:val="000000" w:themeColor="text1"/>
                <w:spacing w:val="-2"/>
                <w:szCs w:val="18"/>
              </w:rPr>
            </w:pPr>
            <w:r w:rsidRPr="00286216">
              <w:rPr>
                <w:color w:val="000000" w:themeColor="text1"/>
                <w:spacing w:val="-2"/>
              </w:rPr>
              <w:t>У пункті 11 частини 2 статті 88 слова «до Комісії» замінити словами «Національній комісії з цінних паперів та фондового ринку».</w:t>
            </w:r>
          </w:p>
        </w:tc>
        <w:tc>
          <w:tcPr>
            <w:tcW w:w="1987" w:type="dxa"/>
          </w:tcPr>
          <w:p w14:paraId="765B529F" w14:textId="77777777" w:rsidR="006507E8" w:rsidRPr="00286216" w:rsidRDefault="006507E8" w:rsidP="006507E8">
            <w:pPr>
              <w:pStyle w:val="StyleWisnow"/>
              <w:spacing w:line="180" w:lineRule="exact"/>
              <w:rPr>
                <w:color w:val="000000" w:themeColor="text1"/>
              </w:rPr>
            </w:pPr>
            <w:r w:rsidRPr="00286216">
              <w:rPr>
                <w:color w:val="000000" w:themeColor="text1"/>
              </w:rPr>
              <w:lastRenderedPageBreak/>
              <w:t>Відхилено</w:t>
            </w:r>
          </w:p>
          <w:p w14:paraId="287D88FC" w14:textId="76007476" w:rsidR="006507E8" w:rsidRPr="00286216" w:rsidRDefault="006507E8" w:rsidP="006507E8">
            <w:pPr>
              <w:pStyle w:val="StyleWisnow"/>
              <w:spacing w:line="180" w:lineRule="exact"/>
              <w:rPr>
                <w:color w:val="000000" w:themeColor="text1"/>
              </w:rPr>
            </w:pPr>
            <w:r w:rsidRPr="00286216">
              <w:rPr>
                <w:color w:val="000000" w:themeColor="text1"/>
              </w:rPr>
              <w:t xml:space="preserve">питання потребує </w:t>
            </w:r>
            <w:r w:rsidRPr="00286216">
              <w:rPr>
                <w:color w:val="000000" w:themeColor="text1"/>
              </w:rPr>
              <w:lastRenderedPageBreak/>
              <w:t>вирішення окремим законом</w:t>
            </w:r>
          </w:p>
          <w:p w14:paraId="0A80B6E6" w14:textId="77777777" w:rsidR="006507E8" w:rsidRPr="00286216" w:rsidRDefault="006507E8" w:rsidP="006507E8">
            <w:pPr>
              <w:pStyle w:val="StyleWisnow"/>
              <w:spacing w:line="180" w:lineRule="exact"/>
              <w:rPr>
                <w:color w:val="000000" w:themeColor="text1"/>
              </w:rPr>
            </w:pPr>
          </w:p>
          <w:p w14:paraId="72FD02B0" w14:textId="77777777" w:rsidR="006507E8" w:rsidRPr="00286216" w:rsidRDefault="006507E8" w:rsidP="006507E8">
            <w:pPr>
              <w:pStyle w:val="StyleWisnow"/>
              <w:rPr>
                <w:color w:val="000000" w:themeColor="text1"/>
              </w:rPr>
            </w:pPr>
          </w:p>
          <w:p w14:paraId="63917318" w14:textId="77777777" w:rsidR="006507E8" w:rsidRPr="00286216" w:rsidRDefault="006507E8" w:rsidP="006507E8">
            <w:pPr>
              <w:pStyle w:val="StyleWisnow"/>
              <w:rPr>
                <w:color w:val="000000" w:themeColor="text1"/>
              </w:rPr>
            </w:pPr>
            <w:r w:rsidRPr="00286216">
              <w:rPr>
                <w:color w:val="000000" w:themeColor="text1"/>
              </w:rPr>
              <w:t>Враховано</w:t>
            </w:r>
          </w:p>
          <w:p w14:paraId="5DF93DAD" w14:textId="77777777" w:rsidR="006507E8" w:rsidRPr="00286216" w:rsidRDefault="006507E8" w:rsidP="006507E8">
            <w:pPr>
              <w:pStyle w:val="StyleWisnow"/>
              <w:rPr>
                <w:color w:val="000000" w:themeColor="text1"/>
              </w:rPr>
            </w:pPr>
          </w:p>
          <w:p w14:paraId="3DC00D82" w14:textId="77777777" w:rsidR="006507E8" w:rsidRPr="00286216" w:rsidRDefault="006507E8" w:rsidP="006507E8">
            <w:pPr>
              <w:pStyle w:val="StyleWisnow"/>
              <w:rPr>
                <w:color w:val="000000" w:themeColor="text1"/>
              </w:rPr>
            </w:pPr>
          </w:p>
          <w:p w14:paraId="5D6DFAB0" w14:textId="6CE31ABC"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5F37270D" w14:textId="6056384D" w:rsidR="006507E8" w:rsidRPr="00286216" w:rsidRDefault="006507E8" w:rsidP="006507E8">
            <w:pPr>
              <w:pStyle w:val="StyleZakonu"/>
              <w:rPr>
                <w:color w:val="000000" w:themeColor="text1"/>
              </w:rPr>
            </w:pPr>
            <w:r w:rsidRPr="00286216">
              <w:rPr>
                <w:color w:val="000000" w:themeColor="text1"/>
              </w:rPr>
              <w:lastRenderedPageBreak/>
              <w:t xml:space="preserve">11) подання Національній комісії з цінних паперів </w:t>
            </w:r>
            <w:r w:rsidRPr="00286216">
              <w:rPr>
                <w:color w:val="000000" w:themeColor="text1"/>
              </w:rPr>
              <w:lastRenderedPageBreak/>
              <w:t>та фондового ринку</w:t>
            </w:r>
            <w:r w:rsidRPr="00286216">
              <w:rPr>
                <w:color w:val="000000" w:themeColor="text1"/>
                <w:szCs w:val="18"/>
              </w:rPr>
              <w:t xml:space="preserve"> офіційним каналом зв’язку</w:t>
            </w:r>
            <w:r w:rsidRPr="00286216">
              <w:rPr>
                <w:color w:val="000000" w:themeColor="text1"/>
              </w:rPr>
              <w:t xml:space="preserve"> заяви і всіх необхідних документів для реєстрації звіту про результати емісії цінних паперів;</w:t>
            </w:r>
          </w:p>
        </w:tc>
      </w:tr>
      <w:tr w:rsidR="006507E8" w:rsidRPr="00286216" w14:paraId="7596ACF7" w14:textId="77777777" w:rsidTr="00091AA5">
        <w:tc>
          <w:tcPr>
            <w:tcW w:w="576" w:type="dxa"/>
          </w:tcPr>
          <w:p w14:paraId="34564753" w14:textId="77777777" w:rsidR="006507E8" w:rsidRPr="00286216" w:rsidRDefault="006507E8" w:rsidP="006507E8">
            <w:pPr>
              <w:pStyle w:val="StyleWisnow"/>
              <w:rPr>
                <w:color w:val="000000" w:themeColor="text1"/>
              </w:rPr>
            </w:pPr>
            <w:bookmarkStart w:id="1235" w:name="n1499" w:colFirst="0" w:colLast="0"/>
            <w:bookmarkEnd w:id="1234"/>
            <w:r w:rsidRPr="00286216">
              <w:rPr>
                <w:color w:val="000000" w:themeColor="text1"/>
              </w:rPr>
              <w:lastRenderedPageBreak/>
              <w:t>1499.</w:t>
            </w:r>
          </w:p>
        </w:tc>
        <w:tc>
          <w:tcPr>
            <w:tcW w:w="4818" w:type="dxa"/>
          </w:tcPr>
          <w:p w14:paraId="6CFAF84B" w14:textId="77777777" w:rsidR="006507E8" w:rsidRPr="00286216" w:rsidRDefault="006507E8" w:rsidP="006507E8">
            <w:pPr>
              <w:pStyle w:val="StyleZakonu"/>
              <w:rPr>
                <w:color w:val="000000" w:themeColor="text1"/>
              </w:rPr>
            </w:pPr>
            <w:r w:rsidRPr="00286216">
              <w:rPr>
                <w:color w:val="000000" w:themeColor="text1"/>
              </w:rPr>
              <w:t>12) реєстрація Національною комісією з цінних паперів та фондового ринку звіту про результати емісії цінних паперів та видача свідоцтва про реєстрацію випуску цінних паперів.</w:t>
            </w:r>
          </w:p>
        </w:tc>
        <w:tc>
          <w:tcPr>
            <w:tcW w:w="3686" w:type="dxa"/>
          </w:tcPr>
          <w:p w14:paraId="73143779" w14:textId="2F4AE130"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922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9A12241"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pacing w:val="-4"/>
                <w:sz w:val="18"/>
              </w:rPr>
              <w:t>Пункт 12 частини другої статті 88 доповнити</w:t>
            </w:r>
            <w:r w:rsidRPr="00286216">
              <w:rPr>
                <w:color w:val="000000" w:themeColor="text1"/>
                <w:sz w:val="18"/>
              </w:rPr>
              <w:t xml:space="preserve"> словами в дужках «(етап здійснюється виключно при публічній пропозиції корпоративних облігацій, іпотечних облігацій та облігацій місцевих позик)».</w:t>
            </w:r>
          </w:p>
        </w:tc>
        <w:tc>
          <w:tcPr>
            <w:tcW w:w="1987" w:type="dxa"/>
          </w:tcPr>
          <w:p w14:paraId="65ABF6D8"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1129B781" w14:textId="77777777" w:rsidR="006507E8" w:rsidRPr="00286216" w:rsidRDefault="006507E8" w:rsidP="006507E8">
            <w:pPr>
              <w:pStyle w:val="StyleWisnow"/>
              <w:rPr>
                <w:color w:val="000000" w:themeColor="text1"/>
              </w:rPr>
            </w:pPr>
            <w:r w:rsidRPr="00286216">
              <w:rPr>
                <w:color w:val="000000" w:themeColor="text1"/>
              </w:rPr>
              <w:t>Дане питання потребує вирішення окремим законом</w:t>
            </w:r>
          </w:p>
          <w:p w14:paraId="08718D15" w14:textId="77777777" w:rsidR="006507E8" w:rsidRPr="00286216" w:rsidRDefault="006507E8" w:rsidP="006507E8">
            <w:pPr>
              <w:pStyle w:val="StyleWisnow"/>
              <w:rPr>
                <w:color w:val="000000" w:themeColor="text1"/>
              </w:rPr>
            </w:pPr>
          </w:p>
        </w:tc>
        <w:tc>
          <w:tcPr>
            <w:tcW w:w="4818" w:type="dxa"/>
          </w:tcPr>
          <w:p w14:paraId="073E2178" w14:textId="24708FFD" w:rsidR="006507E8" w:rsidRPr="00286216" w:rsidRDefault="006507E8" w:rsidP="006507E8">
            <w:pPr>
              <w:pStyle w:val="StyleZakonu"/>
              <w:rPr>
                <w:color w:val="000000" w:themeColor="text1"/>
              </w:rPr>
            </w:pPr>
            <w:r w:rsidRPr="00286216">
              <w:rPr>
                <w:color w:val="000000" w:themeColor="text1"/>
              </w:rPr>
              <w:t>12) реєстрація Національною комісією з цінних паперів та фондового ринку звіту про результати емісії цінних паперів та видача свідоцтва про реєстрацію випуску цінних паперів.</w:t>
            </w:r>
          </w:p>
        </w:tc>
      </w:tr>
      <w:tr w:rsidR="006507E8" w:rsidRPr="00286216" w14:paraId="75375BFB" w14:textId="77777777" w:rsidTr="00091AA5">
        <w:tc>
          <w:tcPr>
            <w:tcW w:w="576" w:type="dxa"/>
          </w:tcPr>
          <w:p w14:paraId="30767EA9" w14:textId="77777777" w:rsidR="006507E8" w:rsidRPr="00286216" w:rsidRDefault="006507E8" w:rsidP="006507E8">
            <w:pPr>
              <w:pStyle w:val="StyleWisnow"/>
              <w:rPr>
                <w:color w:val="000000" w:themeColor="text1"/>
              </w:rPr>
            </w:pPr>
            <w:bookmarkStart w:id="1236" w:name="n1500" w:colFirst="0" w:colLast="0"/>
            <w:bookmarkEnd w:id="1235"/>
            <w:r w:rsidRPr="00286216">
              <w:rPr>
                <w:color w:val="000000" w:themeColor="text1"/>
              </w:rPr>
              <w:t>1500.</w:t>
            </w:r>
          </w:p>
        </w:tc>
        <w:tc>
          <w:tcPr>
            <w:tcW w:w="4818" w:type="dxa"/>
          </w:tcPr>
          <w:p w14:paraId="4CE5E7D8" w14:textId="77777777" w:rsidR="006507E8" w:rsidRPr="00286216" w:rsidRDefault="006507E8" w:rsidP="006507E8">
            <w:pPr>
              <w:pStyle w:val="StyleZakonu"/>
              <w:rPr>
                <w:color w:val="000000" w:themeColor="text1"/>
              </w:rPr>
            </w:pPr>
            <w:r w:rsidRPr="00286216">
              <w:rPr>
                <w:color w:val="000000" w:themeColor="text1"/>
              </w:rPr>
              <w:t>3. Емісія деривативних (похідних) цінних паперів та сертифікатів ФОН здійснюється за такими етапами:</w:t>
            </w:r>
          </w:p>
        </w:tc>
        <w:tc>
          <w:tcPr>
            <w:tcW w:w="3686" w:type="dxa"/>
          </w:tcPr>
          <w:p w14:paraId="2AFC2A21" w14:textId="322E7162"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923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6E8F39B" w14:textId="541A8E87" w:rsidR="006507E8" w:rsidRPr="00286216" w:rsidRDefault="006507E8" w:rsidP="006507E8">
            <w:pPr>
              <w:pStyle w:val="StyleProp"/>
              <w:spacing w:line="180" w:lineRule="exact"/>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51D63CF3" w14:textId="06A65DC4"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924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2ED2699" w14:textId="5178B373" w:rsidR="006507E8" w:rsidRPr="00286216" w:rsidRDefault="006507E8" w:rsidP="006507E8">
            <w:pPr>
              <w:pStyle w:val="StyleProp"/>
              <w:spacing w:line="180" w:lineRule="exact"/>
              <w:rPr>
                <w:color w:val="000000" w:themeColor="text1"/>
                <w:szCs w:val="18"/>
              </w:rPr>
            </w:pPr>
            <w:r w:rsidRPr="00286216">
              <w:rPr>
                <w:color w:val="000000" w:themeColor="text1"/>
                <w:szCs w:val="18"/>
              </w:rPr>
              <w:t>В абзаці 1 частини 3 статті 88 слово та символи  «(похідних)» виключити.</w:t>
            </w:r>
          </w:p>
        </w:tc>
        <w:tc>
          <w:tcPr>
            <w:tcW w:w="1987" w:type="dxa"/>
          </w:tcPr>
          <w:p w14:paraId="7EEE79C5" w14:textId="77777777" w:rsidR="006507E8" w:rsidRPr="00286216" w:rsidRDefault="006507E8" w:rsidP="006507E8">
            <w:pPr>
              <w:pStyle w:val="StyleWisnow"/>
              <w:rPr>
                <w:color w:val="000000" w:themeColor="text1"/>
              </w:rPr>
            </w:pPr>
            <w:r w:rsidRPr="00286216">
              <w:rPr>
                <w:color w:val="000000" w:themeColor="text1"/>
              </w:rPr>
              <w:t>Враховано</w:t>
            </w:r>
          </w:p>
          <w:p w14:paraId="394579B7" w14:textId="77777777" w:rsidR="006507E8" w:rsidRPr="00286216" w:rsidRDefault="006507E8" w:rsidP="006507E8">
            <w:pPr>
              <w:pStyle w:val="StyleWisnow"/>
              <w:rPr>
                <w:color w:val="000000" w:themeColor="text1"/>
              </w:rPr>
            </w:pPr>
          </w:p>
          <w:p w14:paraId="395B3E2B" w14:textId="77777777" w:rsidR="006507E8" w:rsidRPr="00286216" w:rsidRDefault="006507E8" w:rsidP="006507E8">
            <w:pPr>
              <w:pStyle w:val="StyleWisnow"/>
              <w:rPr>
                <w:color w:val="000000" w:themeColor="text1"/>
              </w:rPr>
            </w:pPr>
          </w:p>
          <w:p w14:paraId="7C6CC58B"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73E36219" w14:textId="675850C8" w:rsidR="006507E8" w:rsidRPr="00286216" w:rsidRDefault="006507E8" w:rsidP="006507E8">
            <w:pPr>
              <w:pStyle w:val="StyleZakonu"/>
              <w:rPr>
                <w:color w:val="000000" w:themeColor="text1"/>
              </w:rPr>
            </w:pPr>
            <w:r w:rsidRPr="00286216">
              <w:rPr>
                <w:color w:val="000000" w:themeColor="text1"/>
              </w:rPr>
              <w:t>3. Емісія деривативних цінних паперів та сертифікатів ФОН здійснюється за такими етапами:</w:t>
            </w:r>
          </w:p>
        </w:tc>
      </w:tr>
      <w:tr w:rsidR="006507E8" w:rsidRPr="00286216" w14:paraId="43A53036" w14:textId="77777777" w:rsidTr="00091AA5">
        <w:tc>
          <w:tcPr>
            <w:tcW w:w="576" w:type="dxa"/>
          </w:tcPr>
          <w:p w14:paraId="67D0929C" w14:textId="77777777" w:rsidR="006507E8" w:rsidRPr="00286216" w:rsidRDefault="006507E8" w:rsidP="006507E8">
            <w:pPr>
              <w:pStyle w:val="StyleWisnow"/>
              <w:rPr>
                <w:color w:val="000000" w:themeColor="text1"/>
              </w:rPr>
            </w:pPr>
            <w:bookmarkStart w:id="1237" w:name="n1501" w:colFirst="0" w:colLast="0"/>
            <w:bookmarkEnd w:id="1236"/>
            <w:r w:rsidRPr="00286216">
              <w:rPr>
                <w:color w:val="000000" w:themeColor="text1"/>
              </w:rPr>
              <w:t>1501.</w:t>
            </w:r>
          </w:p>
        </w:tc>
        <w:tc>
          <w:tcPr>
            <w:tcW w:w="4818" w:type="dxa"/>
          </w:tcPr>
          <w:p w14:paraId="47955033" w14:textId="77777777" w:rsidR="006507E8" w:rsidRPr="00286216" w:rsidRDefault="006507E8" w:rsidP="006507E8">
            <w:pPr>
              <w:pStyle w:val="StyleZakonu"/>
              <w:rPr>
                <w:color w:val="000000" w:themeColor="text1"/>
              </w:rPr>
            </w:pPr>
            <w:r w:rsidRPr="00286216">
              <w:rPr>
                <w:color w:val="000000" w:themeColor="text1"/>
              </w:rPr>
              <w:t>1) прийняття рішення про емісію цінних паперів органом (особою) емітента, уповноваженим приймати таке рішення;</w:t>
            </w:r>
          </w:p>
        </w:tc>
        <w:tc>
          <w:tcPr>
            <w:tcW w:w="3686" w:type="dxa"/>
          </w:tcPr>
          <w:p w14:paraId="46329316" w14:textId="77777777" w:rsidR="006507E8" w:rsidRPr="00286216" w:rsidRDefault="006507E8" w:rsidP="006507E8">
            <w:pPr>
              <w:pStyle w:val="StyleProp"/>
              <w:rPr>
                <w:color w:val="000000" w:themeColor="text1"/>
                <w:szCs w:val="18"/>
              </w:rPr>
            </w:pPr>
          </w:p>
        </w:tc>
        <w:tc>
          <w:tcPr>
            <w:tcW w:w="1987" w:type="dxa"/>
          </w:tcPr>
          <w:p w14:paraId="1D4195AD" w14:textId="77777777" w:rsidR="006507E8" w:rsidRPr="00286216" w:rsidRDefault="006507E8" w:rsidP="006507E8">
            <w:pPr>
              <w:pStyle w:val="StyleWisnow"/>
              <w:rPr>
                <w:color w:val="000000" w:themeColor="text1"/>
              </w:rPr>
            </w:pPr>
          </w:p>
        </w:tc>
        <w:tc>
          <w:tcPr>
            <w:tcW w:w="4818" w:type="dxa"/>
          </w:tcPr>
          <w:p w14:paraId="7817C9CA" w14:textId="5DF30047" w:rsidR="006507E8" w:rsidRPr="00286216" w:rsidRDefault="006507E8" w:rsidP="006507E8">
            <w:pPr>
              <w:pStyle w:val="StyleZakonu"/>
              <w:rPr>
                <w:color w:val="000000" w:themeColor="text1"/>
              </w:rPr>
            </w:pPr>
            <w:r w:rsidRPr="00286216">
              <w:rPr>
                <w:color w:val="000000" w:themeColor="text1"/>
              </w:rPr>
              <w:t>1) прийняття рішення про емісію цінних паперів органом (особою) емітента, уповноваженим приймати таке рішення;</w:t>
            </w:r>
          </w:p>
        </w:tc>
      </w:tr>
      <w:tr w:rsidR="006507E8" w:rsidRPr="00286216" w14:paraId="55A3A752" w14:textId="77777777" w:rsidTr="00091AA5">
        <w:tc>
          <w:tcPr>
            <w:tcW w:w="576" w:type="dxa"/>
          </w:tcPr>
          <w:p w14:paraId="33375BC3" w14:textId="77777777" w:rsidR="006507E8" w:rsidRPr="00286216" w:rsidRDefault="006507E8" w:rsidP="006507E8">
            <w:pPr>
              <w:pStyle w:val="StyleWisnow"/>
              <w:rPr>
                <w:color w:val="000000" w:themeColor="text1"/>
              </w:rPr>
            </w:pPr>
            <w:bookmarkStart w:id="1238" w:name="n1502" w:colFirst="0" w:colLast="0"/>
            <w:bookmarkEnd w:id="1237"/>
            <w:r w:rsidRPr="00286216">
              <w:rPr>
                <w:color w:val="000000" w:themeColor="text1"/>
              </w:rPr>
              <w:t>1502.</w:t>
            </w:r>
          </w:p>
        </w:tc>
        <w:tc>
          <w:tcPr>
            <w:tcW w:w="4818" w:type="dxa"/>
          </w:tcPr>
          <w:p w14:paraId="6DC82101" w14:textId="77777777"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c>
          <w:tcPr>
            <w:tcW w:w="3686" w:type="dxa"/>
          </w:tcPr>
          <w:p w14:paraId="31A7030C" w14:textId="77777777" w:rsidR="006507E8" w:rsidRPr="00286216" w:rsidRDefault="006507E8" w:rsidP="006507E8">
            <w:pPr>
              <w:pStyle w:val="StyleProp"/>
              <w:rPr>
                <w:color w:val="000000" w:themeColor="text1"/>
                <w:szCs w:val="18"/>
              </w:rPr>
            </w:pPr>
          </w:p>
        </w:tc>
        <w:tc>
          <w:tcPr>
            <w:tcW w:w="1987" w:type="dxa"/>
          </w:tcPr>
          <w:p w14:paraId="6F2CBB8C" w14:textId="77777777" w:rsidR="006507E8" w:rsidRPr="00286216" w:rsidRDefault="006507E8" w:rsidP="006507E8">
            <w:pPr>
              <w:pStyle w:val="StyleWisnow"/>
              <w:rPr>
                <w:color w:val="000000" w:themeColor="text1"/>
              </w:rPr>
            </w:pPr>
          </w:p>
        </w:tc>
        <w:tc>
          <w:tcPr>
            <w:tcW w:w="4818" w:type="dxa"/>
          </w:tcPr>
          <w:p w14:paraId="2223E20C" w14:textId="1E702EB3" w:rsidR="006507E8" w:rsidRPr="00286216" w:rsidRDefault="006507E8" w:rsidP="006507E8">
            <w:pPr>
              <w:pStyle w:val="StyleZakonu"/>
              <w:rPr>
                <w:color w:val="000000" w:themeColor="text1"/>
              </w:rPr>
            </w:pPr>
            <w:r w:rsidRPr="00286216">
              <w:rPr>
                <w:color w:val="000000" w:themeColor="text1"/>
              </w:rPr>
              <w:t>2) укладення у разі потреби договору з інвестиційною фірмою, що здійснює андеррайтинг та/або діяльність з розміщення з наданням гарантії або діяльність з розміщення без надання гарантії;</w:t>
            </w:r>
          </w:p>
        </w:tc>
      </w:tr>
      <w:tr w:rsidR="006507E8" w:rsidRPr="00286216" w14:paraId="25EB6E27" w14:textId="77777777" w:rsidTr="00091AA5">
        <w:tc>
          <w:tcPr>
            <w:tcW w:w="576" w:type="dxa"/>
          </w:tcPr>
          <w:p w14:paraId="0256E124" w14:textId="77777777" w:rsidR="006507E8" w:rsidRPr="00286216" w:rsidRDefault="006507E8" w:rsidP="006507E8">
            <w:pPr>
              <w:pStyle w:val="StyleWisnow"/>
              <w:rPr>
                <w:color w:val="000000" w:themeColor="text1"/>
              </w:rPr>
            </w:pPr>
            <w:bookmarkStart w:id="1239" w:name="n1503" w:colFirst="0" w:colLast="0"/>
            <w:bookmarkEnd w:id="1238"/>
            <w:r w:rsidRPr="00286216">
              <w:rPr>
                <w:color w:val="000000" w:themeColor="text1"/>
              </w:rPr>
              <w:t>1503.</w:t>
            </w:r>
          </w:p>
        </w:tc>
        <w:tc>
          <w:tcPr>
            <w:tcW w:w="4818" w:type="dxa"/>
          </w:tcPr>
          <w:p w14:paraId="5A07C837" w14:textId="77777777" w:rsidR="006507E8" w:rsidRPr="00286216" w:rsidRDefault="006507E8" w:rsidP="006507E8">
            <w:pPr>
              <w:pStyle w:val="StyleZakonu"/>
              <w:rPr>
                <w:color w:val="000000" w:themeColor="text1"/>
              </w:rPr>
            </w:pPr>
            <w:r w:rsidRPr="00286216">
              <w:rPr>
                <w:color w:val="000000" w:themeColor="text1"/>
              </w:rPr>
              <w:t>3) подання Національній комісії з цінних паперів та фондового ринку заяви, рішення про емісію цінних паперів і всіх необхідних документів для реєстрації випуску цінних паперів;</w:t>
            </w:r>
          </w:p>
        </w:tc>
        <w:tc>
          <w:tcPr>
            <w:tcW w:w="3686" w:type="dxa"/>
          </w:tcPr>
          <w:p w14:paraId="7798D147" w14:textId="25104325"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925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CA185D5"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3 частини третьої статті 88 словами «офіційним каналом зв’язку».</w:t>
            </w:r>
          </w:p>
        </w:tc>
        <w:tc>
          <w:tcPr>
            <w:tcW w:w="1987" w:type="dxa"/>
          </w:tcPr>
          <w:p w14:paraId="1B980BBB"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3306C61F" w14:textId="64D95F73" w:rsidR="006507E8" w:rsidRPr="00286216" w:rsidRDefault="006507E8" w:rsidP="006507E8">
            <w:pPr>
              <w:pStyle w:val="StyleZakonu"/>
              <w:rPr>
                <w:color w:val="000000" w:themeColor="text1"/>
              </w:rPr>
            </w:pPr>
            <w:r w:rsidRPr="00286216">
              <w:rPr>
                <w:color w:val="000000" w:themeColor="text1"/>
              </w:rPr>
              <w:t xml:space="preserve">3) подання Національній комісії з цінних паперів та фондового ринку </w:t>
            </w:r>
            <w:r w:rsidRPr="00286216">
              <w:rPr>
                <w:color w:val="000000" w:themeColor="text1"/>
                <w:szCs w:val="18"/>
              </w:rPr>
              <w:t>офіційним каналом зв’язку</w:t>
            </w:r>
            <w:r w:rsidRPr="00286216">
              <w:rPr>
                <w:color w:val="000000" w:themeColor="text1"/>
              </w:rPr>
              <w:t xml:space="preserve"> заяви, рішення про емісію цінних паперів і всіх необхідних документів для реєстрації випуску цінних паперів;</w:t>
            </w:r>
          </w:p>
        </w:tc>
      </w:tr>
      <w:tr w:rsidR="006507E8" w:rsidRPr="00286216" w14:paraId="4A1A51F2" w14:textId="77777777" w:rsidTr="00091AA5">
        <w:tc>
          <w:tcPr>
            <w:tcW w:w="576" w:type="dxa"/>
          </w:tcPr>
          <w:p w14:paraId="53ED8E4E" w14:textId="77777777" w:rsidR="006507E8" w:rsidRPr="00286216" w:rsidRDefault="006507E8" w:rsidP="006507E8">
            <w:pPr>
              <w:pStyle w:val="StyleWisnow"/>
              <w:rPr>
                <w:color w:val="000000" w:themeColor="text1"/>
              </w:rPr>
            </w:pPr>
            <w:bookmarkStart w:id="1240" w:name="n1504" w:colFirst="0" w:colLast="0"/>
            <w:bookmarkEnd w:id="1239"/>
            <w:r w:rsidRPr="00286216">
              <w:rPr>
                <w:color w:val="000000" w:themeColor="text1"/>
              </w:rPr>
              <w:t>1504.</w:t>
            </w:r>
          </w:p>
        </w:tc>
        <w:tc>
          <w:tcPr>
            <w:tcW w:w="4818" w:type="dxa"/>
          </w:tcPr>
          <w:p w14:paraId="5B7932C1" w14:textId="77777777" w:rsidR="006507E8" w:rsidRPr="00286216" w:rsidRDefault="006507E8" w:rsidP="006507E8">
            <w:pPr>
              <w:pStyle w:val="StyleZakonu"/>
              <w:rPr>
                <w:color w:val="000000" w:themeColor="text1"/>
              </w:rPr>
            </w:pPr>
            <w:r w:rsidRPr="00286216">
              <w:rPr>
                <w:color w:val="000000" w:themeColor="text1"/>
              </w:rPr>
              <w:t>4) реєстрація Національною комісією з цінних паперів та фондового ринку випуску цінних паперів та видача тимчасового свідоцтва про реєстрацію випуску цінних паперів;</w:t>
            </w:r>
          </w:p>
        </w:tc>
        <w:tc>
          <w:tcPr>
            <w:tcW w:w="3686" w:type="dxa"/>
          </w:tcPr>
          <w:p w14:paraId="539D0FF2" w14:textId="77777777" w:rsidR="006507E8" w:rsidRPr="00286216" w:rsidRDefault="006507E8" w:rsidP="006507E8">
            <w:pPr>
              <w:pStyle w:val="StyleProp"/>
              <w:rPr>
                <w:color w:val="000000" w:themeColor="text1"/>
                <w:szCs w:val="18"/>
              </w:rPr>
            </w:pPr>
          </w:p>
        </w:tc>
        <w:tc>
          <w:tcPr>
            <w:tcW w:w="1987" w:type="dxa"/>
          </w:tcPr>
          <w:p w14:paraId="4B799E17" w14:textId="77777777" w:rsidR="006507E8" w:rsidRPr="00286216" w:rsidRDefault="006507E8" w:rsidP="006507E8">
            <w:pPr>
              <w:pStyle w:val="StyleWisnow"/>
              <w:rPr>
                <w:color w:val="000000" w:themeColor="text1"/>
              </w:rPr>
            </w:pPr>
          </w:p>
        </w:tc>
        <w:tc>
          <w:tcPr>
            <w:tcW w:w="4818" w:type="dxa"/>
          </w:tcPr>
          <w:p w14:paraId="13B2B6C5" w14:textId="7A31F236" w:rsidR="006507E8" w:rsidRPr="00286216" w:rsidRDefault="006507E8" w:rsidP="006507E8">
            <w:pPr>
              <w:pStyle w:val="StyleZakonu"/>
              <w:rPr>
                <w:color w:val="000000" w:themeColor="text1"/>
              </w:rPr>
            </w:pPr>
            <w:r w:rsidRPr="00286216">
              <w:rPr>
                <w:color w:val="000000" w:themeColor="text1"/>
              </w:rPr>
              <w:t>4) реєстрація Національною комісією з цінних паперів та фондового ринку випуску цінних паперів та видача тимчасового свідоцтва про реєстрацію випуску цінних паперів;</w:t>
            </w:r>
          </w:p>
        </w:tc>
      </w:tr>
      <w:tr w:rsidR="006507E8" w:rsidRPr="00286216" w14:paraId="1D9EBE06" w14:textId="77777777" w:rsidTr="00091AA5">
        <w:tc>
          <w:tcPr>
            <w:tcW w:w="576" w:type="dxa"/>
          </w:tcPr>
          <w:p w14:paraId="6EC69B76" w14:textId="77777777" w:rsidR="006507E8" w:rsidRPr="00286216" w:rsidRDefault="006507E8" w:rsidP="006507E8">
            <w:pPr>
              <w:pStyle w:val="StyleWisnow"/>
              <w:rPr>
                <w:color w:val="000000" w:themeColor="text1"/>
              </w:rPr>
            </w:pPr>
            <w:bookmarkStart w:id="1241" w:name="n1505" w:colFirst="0" w:colLast="0"/>
            <w:bookmarkEnd w:id="1240"/>
            <w:r w:rsidRPr="00286216">
              <w:rPr>
                <w:color w:val="000000" w:themeColor="text1"/>
              </w:rPr>
              <w:t>1505.</w:t>
            </w:r>
          </w:p>
        </w:tc>
        <w:tc>
          <w:tcPr>
            <w:tcW w:w="4818" w:type="dxa"/>
          </w:tcPr>
          <w:p w14:paraId="5446E2F2" w14:textId="77777777" w:rsidR="006507E8" w:rsidRPr="00286216" w:rsidRDefault="006507E8" w:rsidP="006507E8">
            <w:pPr>
              <w:pStyle w:val="StyleZakonu"/>
              <w:rPr>
                <w:color w:val="000000" w:themeColor="text1"/>
              </w:rPr>
            </w:pPr>
            <w:r w:rsidRPr="00286216">
              <w:rPr>
                <w:color w:val="000000" w:themeColor="text1"/>
              </w:rPr>
              <w:t>5) укладення з Центральним депозитарієм цінних паперів договору про обслуговування випусків цінних паперів ( за відсутності такого договору);</w:t>
            </w:r>
          </w:p>
        </w:tc>
        <w:tc>
          <w:tcPr>
            <w:tcW w:w="3686" w:type="dxa"/>
          </w:tcPr>
          <w:p w14:paraId="3E7D391A" w14:textId="77777777" w:rsidR="006507E8" w:rsidRPr="00286216" w:rsidRDefault="006507E8" w:rsidP="006507E8">
            <w:pPr>
              <w:pStyle w:val="StyleProp"/>
              <w:rPr>
                <w:color w:val="000000" w:themeColor="text1"/>
                <w:szCs w:val="18"/>
              </w:rPr>
            </w:pPr>
          </w:p>
        </w:tc>
        <w:tc>
          <w:tcPr>
            <w:tcW w:w="1987" w:type="dxa"/>
          </w:tcPr>
          <w:p w14:paraId="65047675" w14:textId="77777777" w:rsidR="006507E8" w:rsidRPr="00286216" w:rsidRDefault="006507E8" w:rsidP="006507E8">
            <w:pPr>
              <w:pStyle w:val="StyleWisnow"/>
              <w:rPr>
                <w:color w:val="000000" w:themeColor="text1"/>
              </w:rPr>
            </w:pPr>
          </w:p>
        </w:tc>
        <w:tc>
          <w:tcPr>
            <w:tcW w:w="4818" w:type="dxa"/>
          </w:tcPr>
          <w:p w14:paraId="77414270" w14:textId="6E86078D" w:rsidR="006507E8" w:rsidRPr="00286216" w:rsidRDefault="006507E8" w:rsidP="006507E8">
            <w:pPr>
              <w:pStyle w:val="StyleZakonu"/>
              <w:rPr>
                <w:color w:val="000000" w:themeColor="text1"/>
              </w:rPr>
            </w:pPr>
            <w:r w:rsidRPr="00286216">
              <w:rPr>
                <w:color w:val="000000" w:themeColor="text1"/>
              </w:rPr>
              <w:t>5) укладення з Центральним депозитарієм цінних паперів договору про обслуговування випусків цінних паперів ( за відсутності такого договору);</w:t>
            </w:r>
          </w:p>
        </w:tc>
      </w:tr>
      <w:tr w:rsidR="006507E8" w:rsidRPr="00286216" w14:paraId="5641ACB0" w14:textId="77777777" w:rsidTr="00091AA5">
        <w:tc>
          <w:tcPr>
            <w:tcW w:w="576" w:type="dxa"/>
          </w:tcPr>
          <w:p w14:paraId="6DEC9F0E" w14:textId="77777777" w:rsidR="006507E8" w:rsidRPr="00286216" w:rsidRDefault="006507E8" w:rsidP="006507E8">
            <w:pPr>
              <w:pStyle w:val="StyleWisnow"/>
              <w:rPr>
                <w:color w:val="000000" w:themeColor="text1"/>
              </w:rPr>
            </w:pPr>
            <w:bookmarkStart w:id="1242" w:name="n1506" w:colFirst="0" w:colLast="0"/>
            <w:bookmarkEnd w:id="1241"/>
            <w:r w:rsidRPr="00286216">
              <w:rPr>
                <w:color w:val="000000" w:themeColor="text1"/>
              </w:rPr>
              <w:t>1506.</w:t>
            </w:r>
          </w:p>
        </w:tc>
        <w:tc>
          <w:tcPr>
            <w:tcW w:w="4818" w:type="dxa"/>
          </w:tcPr>
          <w:p w14:paraId="299EC2BD" w14:textId="77777777" w:rsidR="006507E8" w:rsidRPr="00286216" w:rsidRDefault="006507E8" w:rsidP="006507E8">
            <w:pPr>
              <w:pStyle w:val="StyleZakonu"/>
              <w:rPr>
                <w:color w:val="000000" w:themeColor="text1"/>
              </w:rPr>
            </w:pPr>
            <w:r w:rsidRPr="00286216">
              <w:rPr>
                <w:color w:val="000000" w:themeColor="text1"/>
              </w:rPr>
              <w:t>6) присвоєння цінним паперам коду ISIN та отримання емітентом коду LEI;</w:t>
            </w:r>
          </w:p>
        </w:tc>
        <w:tc>
          <w:tcPr>
            <w:tcW w:w="3686" w:type="dxa"/>
          </w:tcPr>
          <w:p w14:paraId="4AA1A0CE" w14:textId="77777777" w:rsidR="006507E8" w:rsidRPr="00286216" w:rsidRDefault="006507E8" w:rsidP="006507E8">
            <w:pPr>
              <w:pStyle w:val="StyleProp"/>
              <w:rPr>
                <w:color w:val="000000" w:themeColor="text1"/>
                <w:szCs w:val="18"/>
              </w:rPr>
            </w:pPr>
          </w:p>
        </w:tc>
        <w:tc>
          <w:tcPr>
            <w:tcW w:w="1987" w:type="dxa"/>
          </w:tcPr>
          <w:p w14:paraId="35A2D800" w14:textId="77777777" w:rsidR="006507E8" w:rsidRPr="00286216" w:rsidRDefault="006507E8" w:rsidP="006507E8">
            <w:pPr>
              <w:pStyle w:val="StyleWisnow"/>
              <w:rPr>
                <w:color w:val="000000" w:themeColor="text1"/>
              </w:rPr>
            </w:pPr>
          </w:p>
        </w:tc>
        <w:tc>
          <w:tcPr>
            <w:tcW w:w="4818" w:type="dxa"/>
          </w:tcPr>
          <w:p w14:paraId="434557AF" w14:textId="777429EF" w:rsidR="006507E8" w:rsidRPr="00286216" w:rsidRDefault="006507E8" w:rsidP="006507E8">
            <w:pPr>
              <w:pStyle w:val="StyleZakonu"/>
              <w:rPr>
                <w:color w:val="000000" w:themeColor="text1"/>
              </w:rPr>
            </w:pPr>
            <w:r w:rsidRPr="00286216">
              <w:rPr>
                <w:color w:val="000000" w:themeColor="text1"/>
              </w:rPr>
              <w:t>6) присвоєння цінним паперам коду ISIN та отримання емітентом коду LEI;</w:t>
            </w:r>
          </w:p>
        </w:tc>
      </w:tr>
      <w:tr w:rsidR="006507E8" w:rsidRPr="00286216" w14:paraId="7C27ED0B" w14:textId="77777777" w:rsidTr="00091AA5">
        <w:tc>
          <w:tcPr>
            <w:tcW w:w="576" w:type="dxa"/>
          </w:tcPr>
          <w:p w14:paraId="308ACD28" w14:textId="77777777" w:rsidR="006507E8" w:rsidRPr="00286216" w:rsidRDefault="006507E8" w:rsidP="006507E8">
            <w:pPr>
              <w:pStyle w:val="StyleWisnow"/>
              <w:rPr>
                <w:color w:val="000000" w:themeColor="text1"/>
              </w:rPr>
            </w:pPr>
            <w:bookmarkStart w:id="1243" w:name="n1507" w:colFirst="0" w:colLast="0"/>
            <w:bookmarkEnd w:id="1242"/>
            <w:r w:rsidRPr="00286216">
              <w:rPr>
                <w:color w:val="000000" w:themeColor="text1"/>
              </w:rPr>
              <w:t>1507.</w:t>
            </w:r>
          </w:p>
        </w:tc>
        <w:tc>
          <w:tcPr>
            <w:tcW w:w="4818" w:type="dxa"/>
          </w:tcPr>
          <w:p w14:paraId="57ED3C9D" w14:textId="77777777" w:rsidR="006507E8" w:rsidRPr="00286216" w:rsidRDefault="006507E8" w:rsidP="006507E8">
            <w:pPr>
              <w:pStyle w:val="StyleZakonu"/>
              <w:rPr>
                <w:color w:val="000000" w:themeColor="text1"/>
              </w:rPr>
            </w:pPr>
            <w:r w:rsidRPr="00286216">
              <w:rPr>
                <w:color w:val="000000" w:themeColor="text1"/>
              </w:rPr>
              <w:t>7) розміщення цінних паперів;</w:t>
            </w:r>
          </w:p>
        </w:tc>
        <w:tc>
          <w:tcPr>
            <w:tcW w:w="3686" w:type="dxa"/>
          </w:tcPr>
          <w:p w14:paraId="433B3F02" w14:textId="77777777" w:rsidR="006507E8" w:rsidRPr="00286216" w:rsidRDefault="006507E8" w:rsidP="006507E8">
            <w:pPr>
              <w:pStyle w:val="StyleProp"/>
              <w:rPr>
                <w:color w:val="000000" w:themeColor="text1"/>
                <w:szCs w:val="18"/>
              </w:rPr>
            </w:pPr>
          </w:p>
        </w:tc>
        <w:tc>
          <w:tcPr>
            <w:tcW w:w="1987" w:type="dxa"/>
          </w:tcPr>
          <w:p w14:paraId="52ECFFC0" w14:textId="77777777" w:rsidR="006507E8" w:rsidRPr="00286216" w:rsidRDefault="006507E8" w:rsidP="006507E8">
            <w:pPr>
              <w:pStyle w:val="StyleWisnow"/>
              <w:rPr>
                <w:color w:val="000000" w:themeColor="text1"/>
              </w:rPr>
            </w:pPr>
          </w:p>
        </w:tc>
        <w:tc>
          <w:tcPr>
            <w:tcW w:w="4818" w:type="dxa"/>
          </w:tcPr>
          <w:p w14:paraId="691C424A" w14:textId="5EE71540" w:rsidR="006507E8" w:rsidRPr="00286216" w:rsidRDefault="006507E8" w:rsidP="006507E8">
            <w:pPr>
              <w:pStyle w:val="StyleZakonu"/>
              <w:rPr>
                <w:color w:val="000000" w:themeColor="text1"/>
              </w:rPr>
            </w:pPr>
            <w:r w:rsidRPr="00286216">
              <w:rPr>
                <w:color w:val="000000" w:themeColor="text1"/>
              </w:rPr>
              <w:t>7) розміщення цінних паперів;</w:t>
            </w:r>
          </w:p>
        </w:tc>
      </w:tr>
      <w:tr w:rsidR="006507E8" w:rsidRPr="00286216" w14:paraId="06B34058" w14:textId="77777777" w:rsidTr="00091AA5">
        <w:tc>
          <w:tcPr>
            <w:tcW w:w="576" w:type="dxa"/>
          </w:tcPr>
          <w:p w14:paraId="22BDA8DF" w14:textId="77777777" w:rsidR="006507E8" w:rsidRPr="00286216" w:rsidRDefault="006507E8" w:rsidP="006507E8">
            <w:pPr>
              <w:pStyle w:val="StyleWisnow"/>
              <w:rPr>
                <w:color w:val="000000" w:themeColor="text1"/>
              </w:rPr>
            </w:pPr>
            <w:bookmarkStart w:id="1244" w:name="n1508" w:colFirst="0" w:colLast="0"/>
            <w:bookmarkEnd w:id="1243"/>
            <w:r w:rsidRPr="00286216">
              <w:rPr>
                <w:color w:val="000000" w:themeColor="text1"/>
              </w:rPr>
              <w:t>1508.</w:t>
            </w:r>
          </w:p>
        </w:tc>
        <w:tc>
          <w:tcPr>
            <w:tcW w:w="4818" w:type="dxa"/>
          </w:tcPr>
          <w:p w14:paraId="61043FD0" w14:textId="77777777" w:rsidR="006507E8" w:rsidRPr="00286216" w:rsidRDefault="006507E8" w:rsidP="006507E8">
            <w:pPr>
              <w:pStyle w:val="StyleZakonu"/>
              <w:rPr>
                <w:color w:val="000000" w:themeColor="text1"/>
              </w:rPr>
            </w:pPr>
            <w:r w:rsidRPr="00286216">
              <w:rPr>
                <w:color w:val="000000" w:themeColor="text1"/>
              </w:rPr>
              <w:t xml:space="preserve">8) затвердження результатів емісії цінних паперів </w:t>
            </w:r>
            <w:r w:rsidRPr="00286216">
              <w:rPr>
                <w:color w:val="000000" w:themeColor="text1"/>
              </w:rPr>
              <w:lastRenderedPageBreak/>
              <w:t>органом емітента, уповноваженим приймати таке рішення;</w:t>
            </w:r>
          </w:p>
        </w:tc>
        <w:tc>
          <w:tcPr>
            <w:tcW w:w="3686" w:type="dxa"/>
          </w:tcPr>
          <w:p w14:paraId="7B10EF5E" w14:textId="77777777" w:rsidR="006507E8" w:rsidRPr="00286216" w:rsidRDefault="006507E8" w:rsidP="006507E8">
            <w:pPr>
              <w:pStyle w:val="StyleProp"/>
              <w:rPr>
                <w:color w:val="000000" w:themeColor="text1"/>
                <w:szCs w:val="18"/>
              </w:rPr>
            </w:pPr>
          </w:p>
        </w:tc>
        <w:tc>
          <w:tcPr>
            <w:tcW w:w="1987" w:type="dxa"/>
          </w:tcPr>
          <w:p w14:paraId="53BBDD10" w14:textId="77777777" w:rsidR="006507E8" w:rsidRPr="00286216" w:rsidRDefault="006507E8" w:rsidP="006507E8">
            <w:pPr>
              <w:pStyle w:val="StyleWisnow"/>
              <w:rPr>
                <w:color w:val="000000" w:themeColor="text1"/>
              </w:rPr>
            </w:pPr>
          </w:p>
        </w:tc>
        <w:tc>
          <w:tcPr>
            <w:tcW w:w="4818" w:type="dxa"/>
          </w:tcPr>
          <w:p w14:paraId="691C88A6" w14:textId="127A50AC" w:rsidR="006507E8" w:rsidRPr="00286216" w:rsidRDefault="006507E8" w:rsidP="006507E8">
            <w:pPr>
              <w:pStyle w:val="StyleZakonu"/>
              <w:rPr>
                <w:color w:val="000000" w:themeColor="text1"/>
              </w:rPr>
            </w:pPr>
            <w:r w:rsidRPr="00286216">
              <w:rPr>
                <w:color w:val="000000" w:themeColor="text1"/>
              </w:rPr>
              <w:t xml:space="preserve">8) затвердження результатів емісії цінних паперів </w:t>
            </w:r>
            <w:r w:rsidRPr="00286216">
              <w:rPr>
                <w:color w:val="000000" w:themeColor="text1"/>
              </w:rPr>
              <w:lastRenderedPageBreak/>
              <w:t>органом емітента, уповноваженим приймати таке рішення;</w:t>
            </w:r>
          </w:p>
        </w:tc>
      </w:tr>
      <w:tr w:rsidR="006507E8" w:rsidRPr="00286216" w14:paraId="33E5713C" w14:textId="77777777" w:rsidTr="00091AA5">
        <w:tc>
          <w:tcPr>
            <w:tcW w:w="576" w:type="dxa"/>
          </w:tcPr>
          <w:p w14:paraId="25B822FF" w14:textId="77777777" w:rsidR="006507E8" w:rsidRPr="00286216" w:rsidRDefault="006507E8" w:rsidP="006507E8">
            <w:pPr>
              <w:pStyle w:val="StyleWisnow"/>
              <w:rPr>
                <w:color w:val="000000" w:themeColor="text1"/>
              </w:rPr>
            </w:pPr>
            <w:bookmarkStart w:id="1245" w:name="n1509" w:colFirst="0" w:colLast="0"/>
            <w:bookmarkEnd w:id="1244"/>
            <w:r w:rsidRPr="00286216">
              <w:rPr>
                <w:color w:val="000000" w:themeColor="text1"/>
              </w:rPr>
              <w:lastRenderedPageBreak/>
              <w:t>1509.</w:t>
            </w:r>
          </w:p>
        </w:tc>
        <w:tc>
          <w:tcPr>
            <w:tcW w:w="4818" w:type="dxa"/>
          </w:tcPr>
          <w:p w14:paraId="24235EDD" w14:textId="77777777" w:rsidR="006507E8" w:rsidRPr="00286216" w:rsidRDefault="006507E8" w:rsidP="006507E8">
            <w:pPr>
              <w:pStyle w:val="StyleZakonu"/>
              <w:rPr>
                <w:color w:val="000000" w:themeColor="text1"/>
              </w:rPr>
            </w:pPr>
            <w:r w:rsidRPr="00286216">
              <w:rPr>
                <w:color w:val="000000" w:themeColor="text1"/>
              </w:rPr>
              <w:t>9) подання до Національної комісії з цінних паперів та фондового ринку заяви і всіх необхідних документів для реєстрації звіту про результати емісії цінних паперів;</w:t>
            </w:r>
          </w:p>
        </w:tc>
        <w:tc>
          <w:tcPr>
            <w:tcW w:w="3686" w:type="dxa"/>
          </w:tcPr>
          <w:p w14:paraId="7BFB1009" w14:textId="42117E13"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926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9A31B9C"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9 частини третьої статті 88 словами «офіційним каналом зв’язку».</w:t>
            </w:r>
          </w:p>
        </w:tc>
        <w:tc>
          <w:tcPr>
            <w:tcW w:w="1987" w:type="dxa"/>
          </w:tcPr>
          <w:p w14:paraId="316710B5"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59F8ABD8" w14:textId="30B2AC14" w:rsidR="006507E8" w:rsidRPr="00286216" w:rsidRDefault="006507E8" w:rsidP="006507E8">
            <w:pPr>
              <w:pStyle w:val="StyleZakonu"/>
              <w:rPr>
                <w:color w:val="000000" w:themeColor="text1"/>
              </w:rPr>
            </w:pPr>
            <w:r w:rsidRPr="00286216">
              <w:rPr>
                <w:color w:val="000000" w:themeColor="text1"/>
              </w:rPr>
              <w:t>9) подання до Національної комісії з цінних паперів та фондового ринку</w:t>
            </w:r>
            <w:r w:rsidRPr="00286216">
              <w:rPr>
                <w:color w:val="000000" w:themeColor="text1"/>
                <w:szCs w:val="18"/>
              </w:rPr>
              <w:t xml:space="preserve"> офіційним каналом зв’язку</w:t>
            </w:r>
            <w:r w:rsidRPr="00286216">
              <w:rPr>
                <w:color w:val="000000" w:themeColor="text1"/>
              </w:rPr>
              <w:t xml:space="preserve"> заяви і всіх необхідних документів для реєстрації звіту про результати емісії цінних паперів;</w:t>
            </w:r>
          </w:p>
        </w:tc>
      </w:tr>
      <w:tr w:rsidR="006507E8" w:rsidRPr="00286216" w14:paraId="3E3F7467" w14:textId="77777777" w:rsidTr="00091AA5">
        <w:tc>
          <w:tcPr>
            <w:tcW w:w="576" w:type="dxa"/>
          </w:tcPr>
          <w:p w14:paraId="0435D6A1" w14:textId="77777777" w:rsidR="006507E8" w:rsidRPr="00286216" w:rsidRDefault="006507E8" w:rsidP="006507E8">
            <w:pPr>
              <w:pStyle w:val="StyleWisnow"/>
              <w:rPr>
                <w:color w:val="000000" w:themeColor="text1"/>
              </w:rPr>
            </w:pPr>
            <w:bookmarkStart w:id="1246" w:name="n1510" w:colFirst="0" w:colLast="0"/>
            <w:bookmarkEnd w:id="1245"/>
            <w:r w:rsidRPr="00286216">
              <w:rPr>
                <w:color w:val="000000" w:themeColor="text1"/>
              </w:rPr>
              <w:t>1510.</w:t>
            </w:r>
          </w:p>
        </w:tc>
        <w:tc>
          <w:tcPr>
            <w:tcW w:w="4818" w:type="dxa"/>
          </w:tcPr>
          <w:p w14:paraId="20778B13" w14:textId="77777777" w:rsidR="006507E8" w:rsidRPr="00286216" w:rsidRDefault="006507E8" w:rsidP="006507E8">
            <w:pPr>
              <w:pStyle w:val="StyleZakonu"/>
              <w:rPr>
                <w:color w:val="000000" w:themeColor="text1"/>
              </w:rPr>
            </w:pPr>
            <w:r w:rsidRPr="00286216">
              <w:rPr>
                <w:color w:val="000000" w:themeColor="text1"/>
              </w:rPr>
              <w:t>10) реєстрація Національною комісією з цінних паперів та фондового ринку звіту про результати емісії цінних паперів та видача свідоцтва про реєстрацію випуску цінних паперів.</w:t>
            </w:r>
          </w:p>
        </w:tc>
        <w:tc>
          <w:tcPr>
            <w:tcW w:w="3686" w:type="dxa"/>
          </w:tcPr>
          <w:p w14:paraId="251F0E4D" w14:textId="77777777" w:rsidR="006507E8" w:rsidRPr="00286216" w:rsidRDefault="006507E8" w:rsidP="006507E8">
            <w:pPr>
              <w:pStyle w:val="StyleProp"/>
              <w:rPr>
                <w:color w:val="000000" w:themeColor="text1"/>
                <w:szCs w:val="18"/>
              </w:rPr>
            </w:pPr>
          </w:p>
        </w:tc>
        <w:tc>
          <w:tcPr>
            <w:tcW w:w="1987" w:type="dxa"/>
          </w:tcPr>
          <w:p w14:paraId="337474DE" w14:textId="77777777" w:rsidR="006507E8" w:rsidRPr="00286216" w:rsidRDefault="006507E8" w:rsidP="006507E8">
            <w:pPr>
              <w:pStyle w:val="StyleWisnow"/>
              <w:rPr>
                <w:color w:val="000000" w:themeColor="text1"/>
              </w:rPr>
            </w:pPr>
          </w:p>
        </w:tc>
        <w:tc>
          <w:tcPr>
            <w:tcW w:w="4818" w:type="dxa"/>
          </w:tcPr>
          <w:p w14:paraId="15B43AC6" w14:textId="4222CBEE" w:rsidR="006507E8" w:rsidRPr="00286216" w:rsidRDefault="006507E8" w:rsidP="006507E8">
            <w:pPr>
              <w:pStyle w:val="StyleZakonu"/>
              <w:rPr>
                <w:color w:val="000000" w:themeColor="text1"/>
              </w:rPr>
            </w:pPr>
            <w:r w:rsidRPr="00286216">
              <w:rPr>
                <w:color w:val="000000" w:themeColor="text1"/>
              </w:rPr>
              <w:t>10) реєстрація Національною комісією з цінних паперів та фондового ринку звіту про результати емісії цінних паперів та видача свідоцтва про реєстрацію випуску цінних паперів.</w:t>
            </w:r>
          </w:p>
        </w:tc>
      </w:tr>
      <w:tr w:rsidR="006507E8" w:rsidRPr="00286216" w14:paraId="52728173" w14:textId="77777777" w:rsidTr="00091AA5">
        <w:tc>
          <w:tcPr>
            <w:tcW w:w="576" w:type="dxa"/>
          </w:tcPr>
          <w:p w14:paraId="23616F48" w14:textId="77777777" w:rsidR="006507E8" w:rsidRPr="00286216" w:rsidRDefault="006507E8" w:rsidP="006507E8">
            <w:pPr>
              <w:pStyle w:val="StyleWisnow"/>
              <w:rPr>
                <w:color w:val="000000" w:themeColor="text1"/>
              </w:rPr>
            </w:pPr>
            <w:bookmarkStart w:id="1247" w:name="n1511" w:colFirst="0" w:colLast="0"/>
            <w:bookmarkEnd w:id="1246"/>
            <w:r w:rsidRPr="00286216">
              <w:rPr>
                <w:color w:val="000000" w:themeColor="text1"/>
              </w:rPr>
              <w:t>1511.</w:t>
            </w:r>
          </w:p>
        </w:tc>
        <w:tc>
          <w:tcPr>
            <w:tcW w:w="4818" w:type="dxa"/>
          </w:tcPr>
          <w:p w14:paraId="6BF6EB27" w14:textId="77777777" w:rsidR="006507E8" w:rsidRPr="00286216" w:rsidRDefault="006507E8" w:rsidP="006507E8">
            <w:pPr>
              <w:pStyle w:val="StyleZakonu"/>
              <w:rPr>
                <w:color w:val="000000" w:themeColor="text1"/>
              </w:rPr>
            </w:pPr>
            <w:r w:rsidRPr="00286216">
              <w:rPr>
                <w:color w:val="000000" w:themeColor="text1"/>
              </w:rPr>
              <w:t>4. Емісія депозитних сертифікатів банків здійснюється за такими етапами:</w:t>
            </w:r>
          </w:p>
        </w:tc>
        <w:tc>
          <w:tcPr>
            <w:tcW w:w="3686" w:type="dxa"/>
          </w:tcPr>
          <w:p w14:paraId="7AA83ABD" w14:textId="77777777" w:rsidR="006507E8" w:rsidRPr="00286216" w:rsidRDefault="006507E8" w:rsidP="006507E8">
            <w:pPr>
              <w:pStyle w:val="StyleProp"/>
              <w:rPr>
                <w:color w:val="000000" w:themeColor="text1"/>
                <w:szCs w:val="18"/>
              </w:rPr>
            </w:pPr>
          </w:p>
        </w:tc>
        <w:tc>
          <w:tcPr>
            <w:tcW w:w="1987" w:type="dxa"/>
          </w:tcPr>
          <w:p w14:paraId="22E2635E" w14:textId="77777777" w:rsidR="006507E8" w:rsidRPr="00286216" w:rsidRDefault="006507E8" w:rsidP="006507E8">
            <w:pPr>
              <w:pStyle w:val="StyleWisnow"/>
              <w:rPr>
                <w:color w:val="000000" w:themeColor="text1"/>
              </w:rPr>
            </w:pPr>
          </w:p>
        </w:tc>
        <w:tc>
          <w:tcPr>
            <w:tcW w:w="4818" w:type="dxa"/>
          </w:tcPr>
          <w:p w14:paraId="620AC69E" w14:textId="426C680A" w:rsidR="006507E8" w:rsidRPr="00286216" w:rsidRDefault="006507E8" w:rsidP="006507E8">
            <w:pPr>
              <w:pStyle w:val="StyleZakonu"/>
              <w:rPr>
                <w:color w:val="000000" w:themeColor="text1"/>
              </w:rPr>
            </w:pPr>
            <w:r w:rsidRPr="00286216">
              <w:rPr>
                <w:color w:val="000000" w:themeColor="text1"/>
              </w:rPr>
              <w:t>4. Емісія депозитних сертифікатів банків здійснюється за такими етапами:</w:t>
            </w:r>
          </w:p>
        </w:tc>
      </w:tr>
      <w:tr w:rsidR="006507E8" w:rsidRPr="00286216" w14:paraId="0972AE25" w14:textId="77777777" w:rsidTr="00091AA5">
        <w:tc>
          <w:tcPr>
            <w:tcW w:w="576" w:type="dxa"/>
          </w:tcPr>
          <w:p w14:paraId="0DDD01C1" w14:textId="77777777" w:rsidR="006507E8" w:rsidRPr="00286216" w:rsidRDefault="006507E8" w:rsidP="006507E8">
            <w:pPr>
              <w:pStyle w:val="StyleWisnow"/>
              <w:rPr>
                <w:color w:val="000000" w:themeColor="text1"/>
              </w:rPr>
            </w:pPr>
            <w:bookmarkStart w:id="1248" w:name="n1512" w:colFirst="0" w:colLast="0"/>
            <w:bookmarkEnd w:id="1247"/>
            <w:r w:rsidRPr="00286216">
              <w:rPr>
                <w:color w:val="000000" w:themeColor="text1"/>
              </w:rPr>
              <w:t>1512.</w:t>
            </w:r>
          </w:p>
        </w:tc>
        <w:tc>
          <w:tcPr>
            <w:tcW w:w="4818" w:type="dxa"/>
          </w:tcPr>
          <w:p w14:paraId="72990EF2" w14:textId="77777777" w:rsidR="006507E8" w:rsidRPr="00286216" w:rsidRDefault="006507E8" w:rsidP="006507E8">
            <w:pPr>
              <w:pStyle w:val="StyleZakonu"/>
              <w:rPr>
                <w:color w:val="000000" w:themeColor="text1"/>
                <w:lang w:eastAsia="uk-UA"/>
              </w:rPr>
            </w:pPr>
            <w:r w:rsidRPr="00286216">
              <w:rPr>
                <w:color w:val="000000" w:themeColor="text1"/>
                <w:lang w:eastAsia="uk-UA"/>
              </w:rPr>
              <w:t xml:space="preserve">1) прийняття рішення про емісію </w:t>
            </w:r>
            <w:r w:rsidRPr="00286216">
              <w:rPr>
                <w:color w:val="000000" w:themeColor="text1"/>
              </w:rPr>
              <w:t xml:space="preserve">депозитних сертифікатів банків </w:t>
            </w:r>
            <w:r w:rsidRPr="00286216">
              <w:rPr>
                <w:color w:val="000000" w:themeColor="text1"/>
                <w:lang w:eastAsia="uk-UA"/>
              </w:rPr>
              <w:t>органом (особою) емітента, уповноваженим приймати таке рішення;</w:t>
            </w:r>
          </w:p>
        </w:tc>
        <w:tc>
          <w:tcPr>
            <w:tcW w:w="3686" w:type="dxa"/>
          </w:tcPr>
          <w:p w14:paraId="74DF3ED7" w14:textId="77777777" w:rsidR="006507E8" w:rsidRPr="00286216" w:rsidRDefault="006507E8" w:rsidP="006507E8">
            <w:pPr>
              <w:pStyle w:val="StyleProp"/>
              <w:rPr>
                <w:color w:val="000000" w:themeColor="text1"/>
                <w:szCs w:val="18"/>
                <w:lang w:eastAsia="uk-UA"/>
              </w:rPr>
            </w:pPr>
          </w:p>
        </w:tc>
        <w:tc>
          <w:tcPr>
            <w:tcW w:w="1987" w:type="dxa"/>
          </w:tcPr>
          <w:p w14:paraId="337AB1B9" w14:textId="77777777" w:rsidR="006507E8" w:rsidRPr="00286216" w:rsidRDefault="006507E8" w:rsidP="006507E8">
            <w:pPr>
              <w:pStyle w:val="StyleWisnow"/>
              <w:rPr>
                <w:color w:val="000000" w:themeColor="text1"/>
                <w:lang w:eastAsia="uk-UA"/>
              </w:rPr>
            </w:pPr>
          </w:p>
        </w:tc>
        <w:tc>
          <w:tcPr>
            <w:tcW w:w="4818" w:type="dxa"/>
          </w:tcPr>
          <w:p w14:paraId="0500C42D" w14:textId="597964BB" w:rsidR="006507E8" w:rsidRPr="00286216" w:rsidRDefault="006507E8" w:rsidP="006507E8">
            <w:pPr>
              <w:pStyle w:val="StyleZakonu"/>
              <w:rPr>
                <w:color w:val="000000" w:themeColor="text1"/>
                <w:lang w:eastAsia="uk-UA"/>
              </w:rPr>
            </w:pPr>
            <w:r w:rsidRPr="00286216">
              <w:rPr>
                <w:color w:val="000000" w:themeColor="text1"/>
                <w:lang w:eastAsia="uk-UA"/>
              </w:rPr>
              <w:t xml:space="preserve">1) прийняття рішення про емісію </w:t>
            </w:r>
            <w:r w:rsidRPr="00286216">
              <w:rPr>
                <w:color w:val="000000" w:themeColor="text1"/>
              </w:rPr>
              <w:t xml:space="preserve">депозитних сертифікатів банків </w:t>
            </w:r>
            <w:r w:rsidRPr="00286216">
              <w:rPr>
                <w:color w:val="000000" w:themeColor="text1"/>
                <w:lang w:eastAsia="uk-UA"/>
              </w:rPr>
              <w:t>органом (особою) емітента, уповноваженим приймати таке рішення;</w:t>
            </w:r>
          </w:p>
        </w:tc>
      </w:tr>
      <w:tr w:rsidR="006507E8" w:rsidRPr="00286216" w14:paraId="675EFAFE" w14:textId="77777777" w:rsidTr="00091AA5">
        <w:tc>
          <w:tcPr>
            <w:tcW w:w="576" w:type="dxa"/>
          </w:tcPr>
          <w:p w14:paraId="0F8F72F9" w14:textId="77777777" w:rsidR="006507E8" w:rsidRPr="00286216" w:rsidRDefault="006507E8" w:rsidP="006507E8">
            <w:pPr>
              <w:pStyle w:val="StyleWisnow"/>
              <w:rPr>
                <w:color w:val="000000" w:themeColor="text1"/>
              </w:rPr>
            </w:pPr>
            <w:bookmarkStart w:id="1249" w:name="n1513" w:colFirst="0" w:colLast="0"/>
            <w:bookmarkEnd w:id="1248"/>
            <w:r w:rsidRPr="00286216">
              <w:rPr>
                <w:color w:val="000000" w:themeColor="text1"/>
              </w:rPr>
              <w:t>1513.</w:t>
            </w:r>
          </w:p>
        </w:tc>
        <w:tc>
          <w:tcPr>
            <w:tcW w:w="4818" w:type="dxa"/>
          </w:tcPr>
          <w:p w14:paraId="0D3A7069" w14:textId="77777777" w:rsidR="006507E8" w:rsidRPr="00286216" w:rsidRDefault="006507E8" w:rsidP="006507E8">
            <w:pPr>
              <w:pStyle w:val="StyleZakonu"/>
              <w:rPr>
                <w:color w:val="000000" w:themeColor="text1"/>
                <w:lang w:eastAsia="uk-UA"/>
              </w:rPr>
            </w:pPr>
            <w:r w:rsidRPr="00286216">
              <w:rPr>
                <w:color w:val="000000" w:themeColor="text1"/>
                <w:lang w:eastAsia="uk-UA"/>
              </w:rPr>
              <w:t>2) укладення у разі потреби договору з андеррайтером;</w:t>
            </w:r>
          </w:p>
        </w:tc>
        <w:tc>
          <w:tcPr>
            <w:tcW w:w="3686" w:type="dxa"/>
          </w:tcPr>
          <w:p w14:paraId="2139082A" w14:textId="0CFD05E0"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927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5F7173B" w14:textId="45BF1036" w:rsidR="006507E8" w:rsidRPr="00286216" w:rsidRDefault="006507E8" w:rsidP="006507E8">
            <w:pPr>
              <w:pStyle w:val="StyleProp"/>
              <w:spacing w:line="180" w:lineRule="exact"/>
              <w:rPr>
                <w:color w:val="000000" w:themeColor="text1"/>
                <w:szCs w:val="18"/>
                <w:lang w:eastAsia="uk-UA"/>
              </w:rPr>
            </w:pPr>
            <w:r w:rsidRPr="00286216">
              <w:rPr>
                <w:color w:val="000000" w:themeColor="text1"/>
              </w:rPr>
              <w:t>У пункті 2 частини 4 статті 88 слова «</w:t>
            </w:r>
            <w:r w:rsidRPr="00286216">
              <w:rPr>
                <w:color w:val="000000" w:themeColor="text1"/>
                <w:lang w:eastAsia="uk-UA"/>
              </w:rPr>
              <w:t xml:space="preserve">андеррайтером» замінити словами «інвестиційною фірмою, що здійснює </w:t>
            </w:r>
            <w:r w:rsidRPr="00286216">
              <w:rPr>
                <w:color w:val="000000" w:themeColor="text1"/>
              </w:rPr>
              <w:t xml:space="preserve"> андеррайтинг».</w:t>
            </w:r>
          </w:p>
        </w:tc>
        <w:tc>
          <w:tcPr>
            <w:tcW w:w="1987" w:type="dxa"/>
          </w:tcPr>
          <w:p w14:paraId="4342F6EB" w14:textId="17164ECF" w:rsidR="006507E8" w:rsidRPr="00286216" w:rsidRDefault="006507E8" w:rsidP="006507E8">
            <w:pPr>
              <w:pStyle w:val="StyleWisnow"/>
              <w:rPr>
                <w:color w:val="000000" w:themeColor="text1"/>
                <w:lang w:eastAsia="uk-UA"/>
              </w:rPr>
            </w:pPr>
            <w:r w:rsidRPr="00286216">
              <w:rPr>
                <w:color w:val="000000" w:themeColor="text1"/>
              </w:rPr>
              <w:t>Враховано</w:t>
            </w:r>
          </w:p>
        </w:tc>
        <w:tc>
          <w:tcPr>
            <w:tcW w:w="4818" w:type="dxa"/>
          </w:tcPr>
          <w:p w14:paraId="7B076FF5" w14:textId="05DC3D9F" w:rsidR="006507E8" w:rsidRPr="00286216" w:rsidRDefault="006507E8" w:rsidP="006507E8">
            <w:pPr>
              <w:pStyle w:val="StyleZakonu"/>
              <w:rPr>
                <w:color w:val="000000" w:themeColor="text1"/>
                <w:lang w:eastAsia="uk-UA"/>
              </w:rPr>
            </w:pPr>
            <w:r w:rsidRPr="00286216">
              <w:rPr>
                <w:color w:val="000000" w:themeColor="text1"/>
                <w:lang w:eastAsia="uk-UA"/>
              </w:rPr>
              <w:t>2) укладення у разі потреби договору з інвестиційною фірмою, щ</w:t>
            </w:r>
            <w:r w:rsidRPr="00286216">
              <w:rPr>
                <w:color w:val="000000" w:themeColor="text1"/>
              </w:rPr>
              <w:t>о здійснює андеррайтинг та/або діяльність з розміщення з наданням гарантії або діяльність з розміщення без надання гарантії</w:t>
            </w:r>
            <w:r w:rsidRPr="00286216">
              <w:rPr>
                <w:color w:val="000000" w:themeColor="text1"/>
                <w:lang w:eastAsia="uk-UA"/>
              </w:rPr>
              <w:t>;</w:t>
            </w:r>
          </w:p>
        </w:tc>
      </w:tr>
      <w:tr w:rsidR="006507E8" w:rsidRPr="00286216" w14:paraId="0B5483EC" w14:textId="77777777" w:rsidTr="00091AA5">
        <w:tc>
          <w:tcPr>
            <w:tcW w:w="576" w:type="dxa"/>
          </w:tcPr>
          <w:p w14:paraId="41CFDF2E" w14:textId="77777777" w:rsidR="006507E8" w:rsidRPr="00286216" w:rsidRDefault="006507E8" w:rsidP="006507E8">
            <w:pPr>
              <w:pStyle w:val="StyleWisnow"/>
              <w:rPr>
                <w:color w:val="000000" w:themeColor="text1"/>
              </w:rPr>
            </w:pPr>
            <w:bookmarkStart w:id="1250" w:name="n1514" w:colFirst="0" w:colLast="0"/>
            <w:bookmarkEnd w:id="1249"/>
            <w:r w:rsidRPr="00286216">
              <w:rPr>
                <w:color w:val="000000" w:themeColor="text1"/>
              </w:rPr>
              <w:t>1514.</w:t>
            </w:r>
          </w:p>
        </w:tc>
        <w:tc>
          <w:tcPr>
            <w:tcW w:w="4818" w:type="dxa"/>
          </w:tcPr>
          <w:p w14:paraId="5EB1B9AE" w14:textId="77777777" w:rsidR="006507E8" w:rsidRPr="00286216" w:rsidRDefault="006507E8" w:rsidP="006507E8">
            <w:pPr>
              <w:pStyle w:val="StyleZakonu"/>
              <w:rPr>
                <w:color w:val="000000" w:themeColor="text1"/>
              </w:rPr>
            </w:pPr>
            <w:r w:rsidRPr="00286216">
              <w:rPr>
                <w:color w:val="000000" w:themeColor="text1"/>
              </w:rPr>
              <w:t xml:space="preserve">3) </w:t>
            </w:r>
            <w:r w:rsidRPr="00286216">
              <w:rPr>
                <w:color w:val="000000" w:themeColor="text1"/>
                <w:lang w:eastAsia="uk-UA"/>
              </w:rPr>
              <w:t>укладення з Центральним депозитарієм цінних паперів договору про обслуговування випусків цінних паперів (за відсутності такого договору);</w:t>
            </w:r>
          </w:p>
        </w:tc>
        <w:tc>
          <w:tcPr>
            <w:tcW w:w="3686" w:type="dxa"/>
          </w:tcPr>
          <w:p w14:paraId="632D3D79" w14:textId="149ED029"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928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99C2F0F" w14:textId="77777777" w:rsidR="006507E8" w:rsidRPr="00286216" w:rsidRDefault="006507E8" w:rsidP="006507E8">
            <w:pPr>
              <w:spacing w:line="180" w:lineRule="exact"/>
              <w:ind w:firstLine="227"/>
              <w:jc w:val="both"/>
              <w:rPr>
                <w:color w:val="000000" w:themeColor="text1"/>
                <w:szCs w:val="18"/>
              </w:rPr>
            </w:pPr>
            <w:r w:rsidRPr="00286216">
              <w:rPr>
                <w:color w:val="000000" w:themeColor="text1"/>
                <w:sz w:val="18"/>
              </w:rPr>
              <w:t>Пункт 3 частини четвертої статті 88 доповнити словами «(етап здійснюється виключно при публічній пропозиції деривативних (похідних) цінних паперів та сертифікатів ФОН)».</w:t>
            </w:r>
          </w:p>
        </w:tc>
        <w:tc>
          <w:tcPr>
            <w:tcW w:w="1987" w:type="dxa"/>
          </w:tcPr>
          <w:p w14:paraId="57C64610"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6C7AB810" w14:textId="31D24E78"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p w14:paraId="3AF43F5D" w14:textId="77777777" w:rsidR="006507E8" w:rsidRPr="00286216" w:rsidRDefault="006507E8" w:rsidP="006507E8">
            <w:pPr>
              <w:pStyle w:val="StyleWisnow"/>
              <w:rPr>
                <w:color w:val="000000" w:themeColor="text1"/>
              </w:rPr>
            </w:pPr>
          </w:p>
        </w:tc>
        <w:tc>
          <w:tcPr>
            <w:tcW w:w="4818" w:type="dxa"/>
          </w:tcPr>
          <w:p w14:paraId="472FAEDF" w14:textId="1A6DD96B" w:rsidR="006507E8" w:rsidRPr="00286216" w:rsidRDefault="006507E8" w:rsidP="006507E8">
            <w:pPr>
              <w:pStyle w:val="StyleZakonu"/>
              <w:rPr>
                <w:color w:val="000000" w:themeColor="text1"/>
              </w:rPr>
            </w:pPr>
            <w:r w:rsidRPr="00286216">
              <w:rPr>
                <w:color w:val="000000" w:themeColor="text1"/>
              </w:rPr>
              <w:t xml:space="preserve">3) </w:t>
            </w:r>
            <w:r w:rsidRPr="00286216">
              <w:rPr>
                <w:color w:val="000000" w:themeColor="text1"/>
                <w:lang w:eastAsia="uk-UA"/>
              </w:rPr>
              <w:t>укладення з Центральним депозитарієм цінних паперів договору про обслуговування випусків цінних паперів (за відсутності такого договору);</w:t>
            </w:r>
          </w:p>
        </w:tc>
      </w:tr>
      <w:tr w:rsidR="006507E8" w:rsidRPr="00286216" w14:paraId="239E3A6E" w14:textId="77777777" w:rsidTr="00091AA5">
        <w:tc>
          <w:tcPr>
            <w:tcW w:w="576" w:type="dxa"/>
          </w:tcPr>
          <w:p w14:paraId="44559F38" w14:textId="77777777" w:rsidR="006507E8" w:rsidRPr="00286216" w:rsidRDefault="006507E8" w:rsidP="006507E8">
            <w:pPr>
              <w:pStyle w:val="StyleWisnow"/>
              <w:rPr>
                <w:color w:val="000000" w:themeColor="text1"/>
              </w:rPr>
            </w:pPr>
            <w:bookmarkStart w:id="1251" w:name="n1515" w:colFirst="0" w:colLast="0"/>
            <w:bookmarkEnd w:id="1250"/>
            <w:r w:rsidRPr="00286216">
              <w:rPr>
                <w:color w:val="000000" w:themeColor="text1"/>
              </w:rPr>
              <w:t>1515.</w:t>
            </w:r>
          </w:p>
        </w:tc>
        <w:tc>
          <w:tcPr>
            <w:tcW w:w="4818" w:type="dxa"/>
          </w:tcPr>
          <w:p w14:paraId="23CA00CF" w14:textId="77777777" w:rsidR="006507E8" w:rsidRPr="00286216" w:rsidRDefault="006507E8" w:rsidP="006507E8">
            <w:pPr>
              <w:pStyle w:val="StyleZakonu"/>
              <w:rPr>
                <w:color w:val="000000" w:themeColor="text1"/>
              </w:rPr>
            </w:pPr>
            <w:r w:rsidRPr="00286216">
              <w:rPr>
                <w:color w:val="000000" w:themeColor="text1"/>
              </w:rPr>
              <w:t xml:space="preserve">4) </w:t>
            </w:r>
            <w:r w:rsidRPr="00286216">
              <w:rPr>
                <w:color w:val="000000" w:themeColor="text1"/>
                <w:lang w:eastAsia="uk-UA"/>
              </w:rPr>
              <w:t xml:space="preserve">присвоєння випуску </w:t>
            </w:r>
            <w:r w:rsidRPr="00286216">
              <w:rPr>
                <w:color w:val="000000" w:themeColor="text1"/>
              </w:rPr>
              <w:t>депозитних сертифікатів банків коду ISIN та отримання емітентом коду LEI</w:t>
            </w:r>
            <w:r w:rsidRPr="00286216">
              <w:rPr>
                <w:color w:val="000000" w:themeColor="text1"/>
                <w:lang w:eastAsia="uk-UA"/>
              </w:rPr>
              <w:t>;</w:t>
            </w:r>
          </w:p>
        </w:tc>
        <w:tc>
          <w:tcPr>
            <w:tcW w:w="3686" w:type="dxa"/>
          </w:tcPr>
          <w:p w14:paraId="178DDA65" w14:textId="60BA2E59"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929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8001C53" w14:textId="77777777" w:rsidR="006507E8" w:rsidRPr="00286216" w:rsidRDefault="006507E8" w:rsidP="006507E8">
            <w:pPr>
              <w:spacing w:line="180" w:lineRule="exact"/>
              <w:ind w:firstLine="227"/>
              <w:jc w:val="both"/>
              <w:rPr>
                <w:color w:val="000000" w:themeColor="text1"/>
                <w:szCs w:val="18"/>
              </w:rPr>
            </w:pPr>
            <w:r w:rsidRPr="00286216">
              <w:rPr>
                <w:color w:val="000000" w:themeColor="text1"/>
                <w:sz w:val="18"/>
              </w:rPr>
              <w:t>Пункт 4 частини четвертої статті 88 доповнити словами в дужках «(етап здійснюється виключно при публічній пропозиції деривативних (похідних) цінних паперів та сертифікатів ФОН)».</w:t>
            </w:r>
          </w:p>
        </w:tc>
        <w:tc>
          <w:tcPr>
            <w:tcW w:w="1987" w:type="dxa"/>
          </w:tcPr>
          <w:p w14:paraId="774B6880" w14:textId="77777777" w:rsidR="006507E8" w:rsidRPr="00286216" w:rsidRDefault="006507E8" w:rsidP="006507E8">
            <w:pPr>
              <w:pStyle w:val="StyleWisnow"/>
              <w:spacing w:line="180" w:lineRule="atLeast"/>
              <w:rPr>
                <w:color w:val="000000" w:themeColor="text1"/>
              </w:rPr>
            </w:pPr>
            <w:r w:rsidRPr="00286216">
              <w:rPr>
                <w:color w:val="000000" w:themeColor="text1"/>
              </w:rPr>
              <w:t>Відхилено</w:t>
            </w:r>
          </w:p>
          <w:p w14:paraId="22F4FA3A" w14:textId="0757A059" w:rsidR="006507E8" w:rsidRPr="00286216" w:rsidRDefault="006507E8" w:rsidP="006507E8">
            <w:pPr>
              <w:pStyle w:val="StyleWisnow"/>
              <w:spacing w:line="180" w:lineRule="atLeast"/>
              <w:rPr>
                <w:color w:val="000000" w:themeColor="text1"/>
              </w:rPr>
            </w:pPr>
            <w:r w:rsidRPr="00286216">
              <w:rPr>
                <w:color w:val="000000" w:themeColor="text1"/>
              </w:rPr>
              <w:t>питання потребує вирішення окремим законом</w:t>
            </w:r>
          </w:p>
          <w:p w14:paraId="2B304323" w14:textId="77777777" w:rsidR="006507E8" w:rsidRPr="00286216" w:rsidRDefault="006507E8" w:rsidP="006507E8">
            <w:pPr>
              <w:pStyle w:val="StyleWisnow"/>
              <w:spacing w:line="180" w:lineRule="atLeast"/>
              <w:rPr>
                <w:color w:val="000000" w:themeColor="text1"/>
              </w:rPr>
            </w:pPr>
          </w:p>
        </w:tc>
        <w:tc>
          <w:tcPr>
            <w:tcW w:w="4818" w:type="dxa"/>
          </w:tcPr>
          <w:p w14:paraId="758C54CD" w14:textId="7CCF27FF" w:rsidR="006507E8" w:rsidRPr="00286216" w:rsidRDefault="006507E8" w:rsidP="006507E8">
            <w:pPr>
              <w:pStyle w:val="StyleZakonu"/>
              <w:rPr>
                <w:color w:val="000000" w:themeColor="text1"/>
              </w:rPr>
            </w:pPr>
            <w:r w:rsidRPr="00286216">
              <w:rPr>
                <w:color w:val="000000" w:themeColor="text1"/>
              </w:rPr>
              <w:t xml:space="preserve">4) </w:t>
            </w:r>
            <w:r w:rsidRPr="00286216">
              <w:rPr>
                <w:color w:val="000000" w:themeColor="text1"/>
                <w:lang w:eastAsia="uk-UA"/>
              </w:rPr>
              <w:t xml:space="preserve">присвоєння випуску </w:t>
            </w:r>
            <w:r w:rsidRPr="00286216">
              <w:rPr>
                <w:color w:val="000000" w:themeColor="text1"/>
              </w:rPr>
              <w:t>депозитних сертифікатів банків коду ISIN та отримання емітентом коду LEI</w:t>
            </w:r>
            <w:r w:rsidRPr="00286216">
              <w:rPr>
                <w:color w:val="000000" w:themeColor="text1"/>
                <w:lang w:eastAsia="uk-UA"/>
              </w:rPr>
              <w:t>;</w:t>
            </w:r>
          </w:p>
        </w:tc>
      </w:tr>
      <w:tr w:rsidR="006507E8" w:rsidRPr="00286216" w14:paraId="756C4369" w14:textId="77777777" w:rsidTr="00091AA5">
        <w:tc>
          <w:tcPr>
            <w:tcW w:w="576" w:type="dxa"/>
          </w:tcPr>
          <w:p w14:paraId="08344E7A" w14:textId="77777777" w:rsidR="006507E8" w:rsidRPr="00286216" w:rsidRDefault="006507E8" w:rsidP="006507E8">
            <w:pPr>
              <w:pStyle w:val="StyleWisnow"/>
              <w:rPr>
                <w:color w:val="000000" w:themeColor="text1"/>
              </w:rPr>
            </w:pPr>
            <w:bookmarkStart w:id="1252" w:name="n1516" w:colFirst="0" w:colLast="0"/>
            <w:bookmarkEnd w:id="1251"/>
            <w:r w:rsidRPr="00286216">
              <w:rPr>
                <w:color w:val="000000" w:themeColor="text1"/>
              </w:rPr>
              <w:t>1516.</w:t>
            </w:r>
          </w:p>
        </w:tc>
        <w:tc>
          <w:tcPr>
            <w:tcW w:w="4818" w:type="dxa"/>
          </w:tcPr>
          <w:p w14:paraId="59B360DB" w14:textId="77777777" w:rsidR="006507E8" w:rsidRPr="00286216" w:rsidRDefault="006507E8" w:rsidP="006507E8">
            <w:pPr>
              <w:pStyle w:val="StyleZakonu"/>
              <w:rPr>
                <w:color w:val="000000" w:themeColor="text1"/>
                <w:lang w:eastAsia="uk-UA"/>
              </w:rPr>
            </w:pPr>
            <w:r w:rsidRPr="00286216">
              <w:rPr>
                <w:color w:val="000000" w:themeColor="text1"/>
                <w:lang w:eastAsia="uk-UA"/>
              </w:rPr>
              <w:t xml:space="preserve">5) розміщення </w:t>
            </w:r>
            <w:r w:rsidRPr="00286216">
              <w:rPr>
                <w:color w:val="000000" w:themeColor="text1"/>
              </w:rPr>
              <w:t>депозитних сертифікатів банків</w:t>
            </w:r>
            <w:r w:rsidRPr="00286216">
              <w:rPr>
                <w:color w:val="000000" w:themeColor="text1"/>
                <w:lang w:eastAsia="uk-UA"/>
              </w:rPr>
              <w:t>;</w:t>
            </w:r>
          </w:p>
        </w:tc>
        <w:tc>
          <w:tcPr>
            <w:tcW w:w="3686" w:type="dxa"/>
          </w:tcPr>
          <w:p w14:paraId="519796C9" w14:textId="77777777" w:rsidR="006507E8" w:rsidRPr="00286216" w:rsidRDefault="006507E8" w:rsidP="006507E8">
            <w:pPr>
              <w:pStyle w:val="StyleProp"/>
              <w:rPr>
                <w:color w:val="000000" w:themeColor="text1"/>
                <w:szCs w:val="18"/>
                <w:lang w:eastAsia="uk-UA"/>
              </w:rPr>
            </w:pPr>
          </w:p>
        </w:tc>
        <w:tc>
          <w:tcPr>
            <w:tcW w:w="1987" w:type="dxa"/>
          </w:tcPr>
          <w:p w14:paraId="3F808612" w14:textId="77777777" w:rsidR="006507E8" w:rsidRPr="00286216" w:rsidRDefault="006507E8" w:rsidP="006507E8">
            <w:pPr>
              <w:pStyle w:val="StyleWisnow"/>
              <w:spacing w:line="180" w:lineRule="atLeast"/>
              <w:rPr>
                <w:color w:val="000000" w:themeColor="text1"/>
                <w:lang w:eastAsia="uk-UA"/>
              </w:rPr>
            </w:pPr>
          </w:p>
        </w:tc>
        <w:tc>
          <w:tcPr>
            <w:tcW w:w="4818" w:type="dxa"/>
          </w:tcPr>
          <w:p w14:paraId="40A42D57" w14:textId="1BF7B7E8" w:rsidR="006507E8" w:rsidRPr="00286216" w:rsidRDefault="006507E8" w:rsidP="006507E8">
            <w:pPr>
              <w:pStyle w:val="StyleZakonu"/>
              <w:rPr>
                <w:color w:val="000000" w:themeColor="text1"/>
                <w:lang w:eastAsia="uk-UA"/>
              </w:rPr>
            </w:pPr>
            <w:r w:rsidRPr="00286216">
              <w:rPr>
                <w:color w:val="000000" w:themeColor="text1"/>
                <w:lang w:eastAsia="uk-UA"/>
              </w:rPr>
              <w:t xml:space="preserve">5) розміщення </w:t>
            </w:r>
            <w:r w:rsidRPr="00286216">
              <w:rPr>
                <w:color w:val="000000" w:themeColor="text1"/>
              </w:rPr>
              <w:t>депозитних сертифікатів банків</w:t>
            </w:r>
            <w:r w:rsidRPr="00286216">
              <w:rPr>
                <w:color w:val="000000" w:themeColor="text1"/>
                <w:lang w:eastAsia="uk-UA"/>
              </w:rPr>
              <w:t>;</w:t>
            </w:r>
          </w:p>
        </w:tc>
      </w:tr>
      <w:tr w:rsidR="006507E8" w:rsidRPr="00286216" w14:paraId="40933379" w14:textId="77777777" w:rsidTr="00091AA5">
        <w:tc>
          <w:tcPr>
            <w:tcW w:w="576" w:type="dxa"/>
          </w:tcPr>
          <w:p w14:paraId="5563070F" w14:textId="77777777" w:rsidR="006507E8" w:rsidRPr="00286216" w:rsidRDefault="006507E8" w:rsidP="006507E8">
            <w:pPr>
              <w:pStyle w:val="StyleWisnow"/>
              <w:rPr>
                <w:color w:val="000000" w:themeColor="text1"/>
              </w:rPr>
            </w:pPr>
            <w:bookmarkStart w:id="1253" w:name="n1517" w:colFirst="0" w:colLast="0"/>
            <w:bookmarkEnd w:id="1252"/>
            <w:r w:rsidRPr="00286216">
              <w:rPr>
                <w:color w:val="000000" w:themeColor="text1"/>
              </w:rPr>
              <w:t>1517.</w:t>
            </w:r>
          </w:p>
        </w:tc>
        <w:tc>
          <w:tcPr>
            <w:tcW w:w="4818" w:type="dxa"/>
          </w:tcPr>
          <w:p w14:paraId="5312A44A" w14:textId="77777777" w:rsidR="006507E8" w:rsidRPr="00286216" w:rsidRDefault="006507E8" w:rsidP="006507E8">
            <w:pPr>
              <w:pStyle w:val="StyleZakonu"/>
              <w:rPr>
                <w:color w:val="000000" w:themeColor="text1"/>
                <w:lang w:eastAsia="uk-UA"/>
              </w:rPr>
            </w:pPr>
            <w:r w:rsidRPr="00286216">
              <w:rPr>
                <w:color w:val="000000" w:themeColor="text1"/>
                <w:lang w:eastAsia="uk-UA"/>
              </w:rPr>
              <w:t>6) подання до Центрального депозитарію цінних паперів глобального сертифіката випуску депозитних сертифікатів банку та інших документів, визначених законодавством;</w:t>
            </w:r>
          </w:p>
        </w:tc>
        <w:tc>
          <w:tcPr>
            <w:tcW w:w="3686" w:type="dxa"/>
          </w:tcPr>
          <w:p w14:paraId="0D357C8F" w14:textId="140AFBE9"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930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7F82CF9" w14:textId="77777777" w:rsidR="006507E8" w:rsidRPr="00286216" w:rsidRDefault="006507E8" w:rsidP="006507E8">
            <w:pPr>
              <w:pStyle w:val="StyleProp"/>
              <w:rPr>
                <w:color w:val="000000" w:themeColor="text1"/>
                <w:szCs w:val="18"/>
              </w:rPr>
            </w:pPr>
            <w:r w:rsidRPr="00286216">
              <w:rPr>
                <w:color w:val="000000" w:themeColor="text1"/>
                <w:szCs w:val="18"/>
              </w:rPr>
              <w:t>Доповнити пункт 6 частини четвертої статті 88 словами «офіційним каналом зв’язку».</w:t>
            </w:r>
          </w:p>
        </w:tc>
        <w:tc>
          <w:tcPr>
            <w:tcW w:w="1987" w:type="dxa"/>
          </w:tcPr>
          <w:p w14:paraId="66E2410B" w14:textId="77777777" w:rsidR="006507E8" w:rsidRPr="00286216" w:rsidRDefault="006507E8" w:rsidP="006507E8">
            <w:pPr>
              <w:pStyle w:val="StyleWisnow"/>
              <w:spacing w:line="180" w:lineRule="atLeast"/>
              <w:rPr>
                <w:color w:val="000000" w:themeColor="text1"/>
              </w:rPr>
            </w:pPr>
            <w:r w:rsidRPr="00286216">
              <w:rPr>
                <w:color w:val="000000" w:themeColor="text1"/>
              </w:rPr>
              <w:t xml:space="preserve">Відхилено </w:t>
            </w:r>
          </w:p>
          <w:p w14:paraId="10E6351D" w14:textId="2F9A735F" w:rsidR="006507E8" w:rsidRPr="00286216" w:rsidRDefault="006507E8" w:rsidP="006507E8">
            <w:pPr>
              <w:pStyle w:val="StyleWisnow"/>
              <w:spacing w:line="160" w:lineRule="atLeast"/>
              <w:rPr>
                <w:color w:val="000000" w:themeColor="text1"/>
                <w:lang w:eastAsia="uk-UA"/>
              </w:rPr>
            </w:pPr>
            <w:r w:rsidRPr="00286216">
              <w:rPr>
                <w:color w:val="000000" w:themeColor="text1"/>
              </w:rPr>
              <w:t>офіційний канал зв’язку передбачає, що кореспондентом інформації через нього є лише НКЦПФР</w:t>
            </w:r>
          </w:p>
        </w:tc>
        <w:tc>
          <w:tcPr>
            <w:tcW w:w="4818" w:type="dxa"/>
          </w:tcPr>
          <w:p w14:paraId="6A906583" w14:textId="6A43D046" w:rsidR="006507E8" w:rsidRPr="00286216" w:rsidRDefault="006507E8" w:rsidP="006507E8">
            <w:pPr>
              <w:pStyle w:val="StyleZakonu"/>
              <w:rPr>
                <w:color w:val="000000" w:themeColor="text1"/>
                <w:lang w:eastAsia="uk-UA"/>
              </w:rPr>
            </w:pPr>
            <w:r w:rsidRPr="00286216">
              <w:rPr>
                <w:color w:val="000000" w:themeColor="text1"/>
                <w:lang w:eastAsia="uk-UA"/>
              </w:rPr>
              <w:t>6) подання до Центрального депозитарію цінних паперів глобального сертифіката випуску депозитних сертифікатів банку та інших документів, визначених законодавством;</w:t>
            </w:r>
          </w:p>
        </w:tc>
      </w:tr>
      <w:tr w:rsidR="006507E8" w:rsidRPr="00286216" w14:paraId="7B5E5AC7" w14:textId="77777777" w:rsidTr="00091AA5">
        <w:tc>
          <w:tcPr>
            <w:tcW w:w="576" w:type="dxa"/>
          </w:tcPr>
          <w:p w14:paraId="6A2A7D79" w14:textId="77777777" w:rsidR="006507E8" w:rsidRPr="00286216" w:rsidRDefault="006507E8" w:rsidP="006507E8">
            <w:pPr>
              <w:pStyle w:val="StyleWisnow"/>
              <w:rPr>
                <w:color w:val="000000" w:themeColor="text1"/>
              </w:rPr>
            </w:pPr>
            <w:bookmarkStart w:id="1254" w:name="n1518" w:colFirst="0" w:colLast="0"/>
            <w:bookmarkEnd w:id="1253"/>
            <w:r w:rsidRPr="00286216">
              <w:rPr>
                <w:color w:val="000000" w:themeColor="text1"/>
              </w:rPr>
              <w:t>1518.</w:t>
            </w:r>
          </w:p>
        </w:tc>
        <w:tc>
          <w:tcPr>
            <w:tcW w:w="4818" w:type="dxa"/>
          </w:tcPr>
          <w:p w14:paraId="7B1C86F6" w14:textId="77777777" w:rsidR="006507E8" w:rsidRPr="00286216" w:rsidRDefault="006507E8" w:rsidP="006507E8">
            <w:pPr>
              <w:pStyle w:val="StyleZakonu"/>
              <w:rPr>
                <w:color w:val="000000" w:themeColor="text1"/>
                <w:lang w:eastAsia="uk-UA"/>
              </w:rPr>
            </w:pPr>
            <w:r w:rsidRPr="00286216">
              <w:rPr>
                <w:color w:val="000000" w:themeColor="text1"/>
                <w:lang w:eastAsia="uk-UA"/>
              </w:rPr>
              <w:t>7) реєстрація Центральним депозитарієм цінних паперів випуску депозитних сертифікатів банку.</w:t>
            </w:r>
          </w:p>
        </w:tc>
        <w:tc>
          <w:tcPr>
            <w:tcW w:w="3686" w:type="dxa"/>
          </w:tcPr>
          <w:p w14:paraId="10727CD0" w14:textId="2BD0D824"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32AEB57"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Пункти 3,4,9,10 частини четвертої статті 88 доповнити словами в дужках «(етап здійснюється виключно при публічній пропозиції деривативних (похідних) цінних паперів та сертифікатів ФОН)».</w:t>
            </w:r>
          </w:p>
        </w:tc>
        <w:tc>
          <w:tcPr>
            <w:tcW w:w="1987" w:type="dxa"/>
          </w:tcPr>
          <w:p w14:paraId="70932FC9" w14:textId="77777777" w:rsidR="006507E8" w:rsidRPr="00286216" w:rsidRDefault="006507E8" w:rsidP="006507E8">
            <w:pPr>
              <w:pStyle w:val="StyleWisnow"/>
              <w:spacing w:line="180" w:lineRule="atLeast"/>
              <w:rPr>
                <w:color w:val="000000" w:themeColor="text1"/>
              </w:rPr>
            </w:pPr>
            <w:r w:rsidRPr="00286216">
              <w:rPr>
                <w:color w:val="000000" w:themeColor="text1"/>
              </w:rPr>
              <w:t>Відхилено</w:t>
            </w:r>
          </w:p>
          <w:p w14:paraId="7C12E3AE" w14:textId="39A293D0" w:rsidR="006507E8" w:rsidRPr="00286216" w:rsidRDefault="006507E8" w:rsidP="006507E8">
            <w:pPr>
              <w:pStyle w:val="StyleWisnow"/>
              <w:spacing w:line="180" w:lineRule="atLeast"/>
              <w:rPr>
                <w:color w:val="000000" w:themeColor="text1"/>
              </w:rPr>
            </w:pPr>
            <w:r w:rsidRPr="00286216">
              <w:rPr>
                <w:color w:val="000000" w:themeColor="text1"/>
              </w:rPr>
              <w:t>питання потребує вирішення окремим законом</w:t>
            </w:r>
          </w:p>
        </w:tc>
        <w:tc>
          <w:tcPr>
            <w:tcW w:w="4818" w:type="dxa"/>
          </w:tcPr>
          <w:p w14:paraId="7BB57535" w14:textId="1A49E83B" w:rsidR="006507E8" w:rsidRPr="00286216" w:rsidRDefault="006507E8" w:rsidP="006507E8">
            <w:pPr>
              <w:pStyle w:val="StyleZakonu"/>
              <w:rPr>
                <w:color w:val="000000" w:themeColor="text1"/>
                <w:lang w:eastAsia="uk-UA"/>
              </w:rPr>
            </w:pPr>
            <w:r w:rsidRPr="00286216">
              <w:rPr>
                <w:color w:val="000000" w:themeColor="text1"/>
                <w:lang w:eastAsia="uk-UA"/>
              </w:rPr>
              <w:t>7) реєстрація Центральним депозитарієм цінних паперів випуску депозитних сертифікатів банку.</w:t>
            </w:r>
          </w:p>
        </w:tc>
      </w:tr>
      <w:bookmarkEnd w:id="1254"/>
      <w:tr w:rsidR="006507E8" w:rsidRPr="00286216" w14:paraId="328FDF5C" w14:textId="77777777" w:rsidTr="00091AA5">
        <w:tc>
          <w:tcPr>
            <w:tcW w:w="576" w:type="dxa"/>
          </w:tcPr>
          <w:p w14:paraId="6DCD6D1D" w14:textId="77777777" w:rsidR="006507E8" w:rsidRPr="00286216" w:rsidRDefault="006507E8" w:rsidP="006507E8">
            <w:pPr>
              <w:pStyle w:val="StyleWisnow"/>
              <w:rPr>
                <w:color w:val="000000" w:themeColor="text1"/>
              </w:rPr>
            </w:pPr>
          </w:p>
        </w:tc>
        <w:tc>
          <w:tcPr>
            <w:tcW w:w="4818" w:type="dxa"/>
          </w:tcPr>
          <w:p w14:paraId="7CDFF63B" w14:textId="77777777" w:rsidR="006507E8" w:rsidRPr="00286216" w:rsidRDefault="006507E8" w:rsidP="006507E8">
            <w:pPr>
              <w:pStyle w:val="StyleZakonu"/>
              <w:rPr>
                <w:color w:val="000000" w:themeColor="text1"/>
              </w:rPr>
            </w:pPr>
          </w:p>
        </w:tc>
        <w:tc>
          <w:tcPr>
            <w:tcW w:w="3686" w:type="dxa"/>
          </w:tcPr>
          <w:p w14:paraId="36F629A6" w14:textId="5D535CB1"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932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CA894A8"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t>Доповнити статтю 88 новою частиною п’ятою такого змісту:</w:t>
            </w:r>
          </w:p>
          <w:p w14:paraId="0A5BB239"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lastRenderedPageBreak/>
              <w:t>«5. Вимоги частини першої – четвертої цієї статті щодо отримання емітентом коду LEI застосовуються у випадку здійснення емісії цінних паперів, що поєднується з публічною пропозицією таких цінних паперів».</w:t>
            </w:r>
          </w:p>
          <w:p w14:paraId="7AD0E93A" w14:textId="601AB589" w:rsidR="006507E8" w:rsidRPr="00286216" w:rsidRDefault="006507E8" w:rsidP="006507E8">
            <w:pPr>
              <w:pStyle w:val="StyleProp"/>
              <w:spacing w:line="180" w:lineRule="exact"/>
              <w:rPr>
                <w:color w:val="000000" w:themeColor="text1"/>
                <w:szCs w:val="18"/>
              </w:rPr>
            </w:pPr>
            <w:r w:rsidRPr="00286216">
              <w:rPr>
                <w:color w:val="000000" w:themeColor="text1"/>
                <w:szCs w:val="18"/>
              </w:rPr>
              <w:t>У зв’язку з цим частини 5 - 6 вважати частинами 6 - 7 відповідно.</w:t>
            </w:r>
          </w:p>
        </w:tc>
        <w:tc>
          <w:tcPr>
            <w:tcW w:w="1987" w:type="dxa"/>
          </w:tcPr>
          <w:p w14:paraId="3B9062F0" w14:textId="77777777" w:rsidR="006507E8" w:rsidRPr="00286216" w:rsidRDefault="006507E8" w:rsidP="006507E8">
            <w:pPr>
              <w:pStyle w:val="StyleWisnow"/>
              <w:spacing w:line="180" w:lineRule="atLeast"/>
              <w:rPr>
                <w:color w:val="000000" w:themeColor="text1"/>
              </w:rPr>
            </w:pPr>
            <w:r w:rsidRPr="00286216">
              <w:rPr>
                <w:color w:val="000000" w:themeColor="text1"/>
              </w:rPr>
              <w:lastRenderedPageBreak/>
              <w:t>Враховано</w:t>
            </w:r>
          </w:p>
        </w:tc>
        <w:tc>
          <w:tcPr>
            <w:tcW w:w="4818" w:type="dxa"/>
          </w:tcPr>
          <w:p w14:paraId="2D30573F" w14:textId="734389FE" w:rsidR="006507E8" w:rsidRPr="00286216" w:rsidRDefault="006507E8" w:rsidP="006507E8">
            <w:pPr>
              <w:pStyle w:val="StyleZakonu"/>
              <w:rPr>
                <w:color w:val="000000" w:themeColor="text1"/>
              </w:rPr>
            </w:pPr>
            <w:r w:rsidRPr="00286216">
              <w:rPr>
                <w:color w:val="000000" w:themeColor="text1"/>
              </w:rPr>
              <w:t xml:space="preserve">5. Вимоги частин першої – четвертої цієї статті щодо отримання емітентом коду LEI застосовуються в разі здійснення емісії цінних паперів, що </w:t>
            </w:r>
            <w:r w:rsidRPr="00286216">
              <w:rPr>
                <w:color w:val="000000" w:themeColor="text1"/>
              </w:rPr>
              <w:lastRenderedPageBreak/>
              <w:t>поєднується з публічною пропозицією таких цінних паперів.</w:t>
            </w:r>
          </w:p>
        </w:tc>
      </w:tr>
      <w:tr w:rsidR="006507E8" w:rsidRPr="00286216" w14:paraId="3A45CA48" w14:textId="77777777" w:rsidTr="00091AA5">
        <w:tc>
          <w:tcPr>
            <w:tcW w:w="576" w:type="dxa"/>
          </w:tcPr>
          <w:p w14:paraId="54788D3C" w14:textId="77777777" w:rsidR="006507E8" w:rsidRPr="00286216" w:rsidRDefault="006507E8" w:rsidP="006507E8">
            <w:pPr>
              <w:pStyle w:val="StyleWisnow"/>
              <w:rPr>
                <w:color w:val="000000" w:themeColor="text1"/>
              </w:rPr>
            </w:pPr>
            <w:bookmarkStart w:id="1255" w:name="n1519" w:colFirst="0" w:colLast="0"/>
            <w:r w:rsidRPr="00286216">
              <w:rPr>
                <w:color w:val="000000" w:themeColor="text1"/>
              </w:rPr>
              <w:lastRenderedPageBreak/>
              <w:t>1519.</w:t>
            </w:r>
          </w:p>
        </w:tc>
        <w:tc>
          <w:tcPr>
            <w:tcW w:w="4818" w:type="dxa"/>
          </w:tcPr>
          <w:p w14:paraId="2FCF1535" w14:textId="77777777" w:rsidR="006507E8" w:rsidRPr="00286216" w:rsidRDefault="006507E8" w:rsidP="006507E8">
            <w:pPr>
              <w:pStyle w:val="StyleZakonu"/>
              <w:rPr>
                <w:color w:val="000000" w:themeColor="text1"/>
              </w:rPr>
            </w:pPr>
            <w:r w:rsidRPr="00286216">
              <w:rPr>
                <w:color w:val="000000" w:themeColor="text1"/>
              </w:rPr>
              <w:t>5. Порядок поєднання емісії цінних паперів із здійсненням публічної пропозиції таких цінних паперів у процесі їх емісії встановлюється Національною комісією з цінних паперів та фондового ринку.</w:t>
            </w:r>
          </w:p>
        </w:tc>
        <w:tc>
          <w:tcPr>
            <w:tcW w:w="3686" w:type="dxa"/>
          </w:tcPr>
          <w:p w14:paraId="366D6700" w14:textId="77777777" w:rsidR="006507E8" w:rsidRPr="00286216" w:rsidRDefault="006507E8" w:rsidP="006507E8">
            <w:pPr>
              <w:pStyle w:val="StyleProp"/>
              <w:rPr>
                <w:color w:val="000000" w:themeColor="text1"/>
                <w:szCs w:val="18"/>
              </w:rPr>
            </w:pPr>
          </w:p>
        </w:tc>
        <w:tc>
          <w:tcPr>
            <w:tcW w:w="1987" w:type="dxa"/>
          </w:tcPr>
          <w:p w14:paraId="1E152F30" w14:textId="77777777" w:rsidR="006507E8" w:rsidRPr="00286216" w:rsidRDefault="006507E8" w:rsidP="006507E8">
            <w:pPr>
              <w:pStyle w:val="StyleWisnow"/>
              <w:rPr>
                <w:color w:val="000000" w:themeColor="text1"/>
              </w:rPr>
            </w:pPr>
          </w:p>
        </w:tc>
        <w:tc>
          <w:tcPr>
            <w:tcW w:w="4818" w:type="dxa"/>
          </w:tcPr>
          <w:p w14:paraId="2DC00327" w14:textId="2120FE8F" w:rsidR="006507E8" w:rsidRPr="00286216" w:rsidRDefault="006507E8" w:rsidP="006507E8">
            <w:pPr>
              <w:pStyle w:val="StyleZakonu"/>
              <w:rPr>
                <w:color w:val="000000" w:themeColor="text1"/>
              </w:rPr>
            </w:pPr>
            <w:r w:rsidRPr="00286216">
              <w:rPr>
                <w:color w:val="000000" w:themeColor="text1"/>
              </w:rPr>
              <w:t>6. Порядок поєднання емісії цінних паперів із здійсненням публічної пропозиції таких цінних паперів у процесі їх емісії встановлюється Національною комісією з цінних паперів та фондового ринку.</w:t>
            </w:r>
          </w:p>
        </w:tc>
      </w:tr>
      <w:tr w:rsidR="006507E8" w:rsidRPr="00286216" w14:paraId="30A955D4" w14:textId="77777777" w:rsidTr="00091AA5">
        <w:tc>
          <w:tcPr>
            <w:tcW w:w="576" w:type="dxa"/>
          </w:tcPr>
          <w:p w14:paraId="226E0134" w14:textId="77777777" w:rsidR="006507E8" w:rsidRPr="00286216" w:rsidRDefault="006507E8" w:rsidP="006507E8">
            <w:pPr>
              <w:pStyle w:val="StyleWisnow"/>
              <w:rPr>
                <w:color w:val="000000" w:themeColor="text1"/>
              </w:rPr>
            </w:pPr>
            <w:bookmarkStart w:id="1256" w:name="n1520" w:colFirst="0" w:colLast="0"/>
            <w:bookmarkEnd w:id="1255"/>
            <w:r w:rsidRPr="00286216">
              <w:rPr>
                <w:color w:val="000000" w:themeColor="text1"/>
              </w:rPr>
              <w:t>1520.</w:t>
            </w:r>
          </w:p>
        </w:tc>
        <w:tc>
          <w:tcPr>
            <w:tcW w:w="4818" w:type="dxa"/>
          </w:tcPr>
          <w:p w14:paraId="7130E195" w14:textId="77777777" w:rsidR="006507E8" w:rsidRPr="00286216" w:rsidRDefault="006507E8" w:rsidP="006507E8">
            <w:pPr>
              <w:pStyle w:val="StyleZakonu"/>
              <w:rPr>
                <w:color w:val="000000" w:themeColor="text1"/>
              </w:rPr>
            </w:pPr>
            <w:r w:rsidRPr="00286216">
              <w:rPr>
                <w:color w:val="000000" w:themeColor="text1"/>
              </w:rPr>
              <w:t>6. Особливості емісії акцій перехідного або неплатоспроможного банку, в тому числі реєстрації випуску таких акцій, встановлюються Національною комісією з цінних паперів та фондового ринку з урахуванням вимог Закону України "Про систему гарантування вкладів фізичних осіб".</w:t>
            </w:r>
          </w:p>
        </w:tc>
        <w:tc>
          <w:tcPr>
            <w:tcW w:w="3686" w:type="dxa"/>
          </w:tcPr>
          <w:p w14:paraId="7B4B0C15" w14:textId="77777777" w:rsidR="006507E8" w:rsidRPr="00286216" w:rsidRDefault="006507E8" w:rsidP="006507E8">
            <w:pPr>
              <w:pStyle w:val="StyleProp"/>
              <w:rPr>
                <w:color w:val="000000" w:themeColor="text1"/>
                <w:szCs w:val="18"/>
              </w:rPr>
            </w:pPr>
          </w:p>
        </w:tc>
        <w:tc>
          <w:tcPr>
            <w:tcW w:w="1987" w:type="dxa"/>
          </w:tcPr>
          <w:p w14:paraId="091B84AF" w14:textId="77777777" w:rsidR="006507E8" w:rsidRPr="00286216" w:rsidRDefault="006507E8" w:rsidP="006507E8">
            <w:pPr>
              <w:pStyle w:val="StyleWisnow"/>
              <w:rPr>
                <w:color w:val="000000" w:themeColor="text1"/>
              </w:rPr>
            </w:pPr>
          </w:p>
        </w:tc>
        <w:tc>
          <w:tcPr>
            <w:tcW w:w="4818" w:type="dxa"/>
          </w:tcPr>
          <w:p w14:paraId="7FBDD535" w14:textId="6AE19AB9" w:rsidR="006507E8" w:rsidRPr="00286216" w:rsidRDefault="006507E8" w:rsidP="006507E8">
            <w:pPr>
              <w:pStyle w:val="StyleZakonu"/>
              <w:rPr>
                <w:color w:val="000000" w:themeColor="text1"/>
              </w:rPr>
            </w:pPr>
            <w:r w:rsidRPr="00286216">
              <w:rPr>
                <w:color w:val="000000" w:themeColor="text1"/>
              </w:rPr>
              <w:t>7. Особливості емісії акцій перехідного або неплатоспроможного банку, в тому числі реєстрації випуску таких акцій, встановлюються Національною комісією з цінних паперів та фондового ринку з урахуванням вимог Закону України "Про систему гарантування вкладів фізичних осіб".</w:t>
            </w:r>
          </w:p>
        </w:tc>
      </w:tr>
      <w:tr w:rsidR="006507E8" w:rsidRPr="00286216" w14:paraId="3B628D07" w14:textId="77777777" w:rsidTr="00091AA5">
        <w:tc>
          <w:tcPr>
            <w:tcW w:w="576" w:type="dxa"/>
          </w:tcPr>
          <w:p w14:paraId="6B4E7E5B" w14:textId="77777777" w:rsidR="006507E8" w:rsidRPr="00286216" w:rsidRDefault="006507E8" w:rsidP="006507E8">
            <w:pPr>
              <w:pStyle w:val="StyleWisnow"/>
              <w:rPr>
                <w:color w:val="000000" w:themeColor="text1"/>
              </w:rPr>
            </w:pPr>
            <w:bookmarkStart w:id="1257" w:name="n1521" w:colFirst="0" w:colLast="0"/>
            <w:bookmarkEnd w:id="1256"/>
            <w:r w:rsidRPr="00286216">
              <w:rPr>
                <w:color w:val="000000" w:themeColor="text1"/>
              </w:rPr>
              <w:t>1521.</w:t>
            </w:r>
          </w:p>
        </w:tc>
        <w:tc>
          <w:tcPr>
            <w:tcW w:w="4818" w:type="dxa"/>
          </w:tcPr>
          <w:p w14:paraId="3D5248D1" w14:textId="77777777" w:rsidR="006507E8" w:rsidRPr="00286216" w:rsidRDefault="006507E8" w:rsidP="006507E8">
            <w:pPr>
              <w:pStyle w:val="StyleZakonu"/>
              <w:rPr>
                <w:color w:val="000000" w:themeColor="text1"/>
              </w:rPr>
            </w:pPr>
            <w:r w:rsidRPr="00286216">
              <w:rPr>
                <w:color w:val="000000" w:themeColor="text1"/>
              </w:rPr>
              <w:t>Особливості емісії акцій банку у процесі його капіталізації встановлюються Національною комісією з цінних паперів та фондового ринку з урахуванням вимог Закону України "Про спрощення процедур реорганізації та капіталізації банків".</w:t>
            </w:r>
          </w:p>
        </w:tc>
        <w:tc>
          <w:tcPr>
            <w:tcW w:w="3686" w:type="dxa"/>
          </w:tcPr>
          <w:p w14:paraId="18C0592A" w14:textId="77777777" w:rsidR="006507E8" w:rsidRPr="00286216" w:rsidRDefault="006507E8" w:rsidP="006507E8">
            <w:pPr>
              <w:pStyle w:val="StyleProp"/>
              <w:rPr>
                <w:color w:val="000000" w:themeColor="text1"/>
                <w:szCs w:val="18"/>
              </w:rPr>
            </w:pPr>
          </w:p>
        </w:tc>
        <w:tc>
          <w:tcPr>
            <w:tcW w:w="1987" w:type="dxa"/>
          </w:tcPr>
          <w:p w14:paraId="26294E91" w14:textId="77777777" w:rsidR="006507E8" w:rsidRPr="00286216" w:rsidRDefault="006507E8" w:rsidP="006507E8">
            <w:pPr>
              <w:pStyle w:val="StyleWisnow"/>
              <w:spacing w:line="180" w:lineRule="exact"/>
              <w:rPr>
                <w:color w:val="000000" w:themeColor="text1"/>
              </w:rPr>
            </w:pPr>
          </w:p>
        </w:tc>
        <w:tc>
          <w:tcPr>
            <w:tcW w:w="4818" w:type="dxa"/>
          </w:tcPr>
          <w:p w14:paraId="19B7CDE5" w14:textId="5FEECDEE" w:rsidR="006507E8" w:rsidRPr="00286216" w:rsidRDefault="006507E8" w:rsidP="006507E8">
            <w:pPr>
              <w:pStyle w:val="StyleZakonu"/>
              <w:rPr>
                <w:color w:val="000000" w:themeColor="text1"/>
              </w:rPr>
            </w:pPr>
            <w:r w:rsidRPr="00286216">
              <w:rPr>
                <w:color w:val="000000" w:themeColor="text1"/>
              </w:rPr>
              <w:t>Особливості емісії акцій банку у процесі його капіталізації встановлюються Національною комісією з цінних паперів та фондового ринку з урахуванням вимог Закону України "Про спрощення процедур реорганізації та капіталізації банків".</w:t>
            </w:r>
          </w:p>
        </w:tc>
      </w:tr>
      <w:tr w:rsidR="006507E8" w:rsidRPr="00286216" w14:paraId="74FBCA8F" w14:textId="77777777" w:rsidTr="00091AA5">
        <w:tc>
          <w:tcPr>
            <w:tcW w:w="576" w:type="dxa"/>
          </w:tcPr>
          <w:p w14:paraId="4EC92048" w14:textId="77777777" w:rsidR="006507E8" w:rsidRPr="00286216" w:rsidRDefault="006507E8" w:rsidP="006507E8">
            <w:pPr>
              <w:pStyle w:val="StyleWisnow"/>
              <w:rPr>
                <w:color w:val="000000" w:themeColor="text1"/>
              </w:rPr>
            </w:pPr>
            <w:bookmarkStart w:id="1258" w:name="n1522" w:colFirst="0" w:colLast="0"/>
            <w:bookmarkEnd w:id="1257"/>
            <w:r w:rsidRPr="00286216">
              <w:rPr>
                <w:color w:val="000000" w:themeColor="text1"/>
              </w:rPr>
              <w:t>1522.</w:t>
            </w:r>
          </w:p>
        </w:tc>
        <w:tc>
          <w:tcPr>
            <w:tcW w:w="4818" w:type="dxa"/>
          </w:tcPr>
          <w:p w14:paraId="14E842B9" w14:textId="77777777" w:rsidR="006507E8" w:rsidRPr="00286216" w:rsidRDefault="006507E8" w:rsidP="006507E8">
            <w:pPr>
              <w:pStyle w:val="StyleZakonu"/>
              <w:rPr>
                <w:color w:val="000000" w:themeColor="text1"/>
              </w:rPr>
            </w:pPr>
            <w:bookmarkStart w:id="1259" w:name="_Ref16416004"/>
            <w:r w:rsidRPr="00286216">
              <w:rPr>
                <w:color w:val="000000" w:themeColor="text1"/>
              </w:rPr>
              <w:t>Стаття 89. Реєстрація та відмова в реєстрації випуску цінних паперів</w:t>
            </w:r>
            <w:bookmarkEnd w:id="1259"/>
          </w:p>
        </w:tc>
        <w:tc>
          <w:tcPr>
            <w:tcW w:w="3686" w:type="dxa"/>
          </w:tcPr>
          <w:p w14:paraId="2D548182" w14:textId="485817B8"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DF92AF3"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Назву статті 89 доповнити словами «щодо яких здійснюється публічна пропозиція».</w:t>
            </w:r>
          </w:p>
        </w:tc>
        <w:tc>
          <w:tcPr>
            <w:tcW w:w="1987" w:type="dxa"/>
          </w:tcPr>
          <w:p w14:paraId="7AF17421"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71D9BAD1" w14:textId="034AEDC3"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48E0D943" w14:textId="4707CC84" w:rsidR="006507E8" w:rsidRPr="00286216" w:rsidRDefault="006507E8" w:rsidP="006507E8">
            <w:pPr>
              <w:pStyle w:val="StyleZakonu"/>
              <w:rPr>
                <w:color w:val="000000" w:themeColor="text1"/>
              </w:rPr>
            </w:pPr>
            <w:r w:rsidRPr="00286216">
              <w:rPr>
                <w:color w:val="000000" w:themeColor="text1"/>
              </w:rPr>
              <w:t>Стаття 93. Реєстрація та відмова в реєстрації випуску цінних паперів</w:t>
            </w:r>
          </w:p>
        </w:tc>
      </w:tr>
      <w:tr w:rsidR="006507E8" w:rsidRPr="00286216" w14:paraId="68DA786E" w14:textId="77777777" w:rsidTr="00091AA5">
        <w:tc>
          <w:tcPr>
            <w:tcW w:w="576" w:type="dxa"/>
          </w:tcPr>
          <w:p w14:paraId="7A96CD60" w14:textId="77777777" w:rsidR="006507E8" w:rsidRPr="00286216" w:rsidRDefault="006507E8" w:rsidP="006507E8">
            <w:pPr>
              <w:pStyle w:val="StyleWisnow"/>
              <w:rPr>
                <w:color w:val="000000" w:themeColor="text1"/>
              </w:rPr>
            </w:pPr>
            <w:bookmarkStart w:id="1260" w:name="n1523" w:colFirst="0" w:colLast="0"/>
            <w:bookmarkEnd w:id="1258"/>
            <w:r w:rsidRPr="00286216">
              <w:rPr>
                <w:color w:val="000000" w:themeColor="text1"/>
              </w:rPr>
              <w:t>1523.</w:t>
            </w:r>
          </w:p>
        </w:tc>
        <w:tc>
          <w:tcPr>
            <w:tcW w:w="4818" w:type="dxa"/>
          </w:tcPr>
          <w:p w14:paraId="0651DEC7" w14:textId="77777777" w:rsidR="006507E8" w:rsidRPr="00286216" w:rsidRDefault="006507E8" w:rsidP="006507E8">
            <w:pPr>
              <w:pStyle w:val="StyleZakonu"/>
              <w:rPr>
                <w:color w:val="000000" w:themeColor="text1"/>
              </w:rPr>
            </w:pPr>
            <w:r w:rsidRPr="00286216">
              <w:rPr>
                <w:color w:val="000000" w:themeColor="text1"/>
              </w:rPr>
              <w:t>1. Емітент подає до Національної комісії з цінних паперів та фондового ринку заяву, рішення про емісію цінних паперів і всі необхідні документи для реєстрації випуску цінних паперів протягом 60 днів після прийняття рішення про емісію цінних паперів органом (особою) емітента, уповноваженим приймати таке рішення.</w:t>
            </w:r>
          </w:p>
        </w:tc>
        <w:tc>
          <w:tcPr>
            <w:tcW w:w="3686" w:type="dxa"/>
          </w:tcPr>
          <w:p w14:paraId="0DDC385C" w14:textId="7B19D2AE"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46AE083"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Частину першу статті 89 після слів «всі необхідні документи для реєстрації випуску цінних» доповнити словами «щодо яких здійснюється публічна пропозиція».</w:t>
            </w:r>
          </w:p>
        </w:tc>
        <w:tc>
          <w:tcPr>
            <w:tcW w:w="1987" w:type="dxa"/>
          </w:tcPr>
          <w:p w14:paraId="2333D92F"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171FA084" w14:textId="0915C7C8"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335DA386" w14:textId="77777777" w:rsidR="006507E8" w:rsidRPr="00286216" w:rsidRDefault="006507E8" w:rsidP="006507E8">
            <w:pPr>
              <w:pStyle w:val="StyleWisnow"/>
              <w:spacing w:line="180" w:lineRule="exact"/>
              <w:rPr>
                <w:color w:val="000000" w:themeColor="text1"/>
              </w:rPr>
            </w:pPr>
          </w:p>
        </w:tc>
        <w:tc>
          <w:tcPr>
            <w:tcW w:w="4818" w:type="dxa"/>
          </w:tcPr>
          <w:p w14:paraId="2A570EAB" w14:textId="0AC34E1C" w:rsidR="006507E8" w:rsidRPr="00286216" w:rsidRDefault="006507E8" w:rsidP="006507E8">
            <w:pPr>
              <w:pStyle w:val="StyleZakonu"/>
              <w:rPr>
                <w:color w:val="000000" w:themeColor="text1"/>
              </w:rPr>
            </w:pPr>
            <w:r w:rsidRPr="00286216">
              <w:rPr>
                <w:color w:val="000000" w:themeColor="text1"/>
              </w:rPr>
              <w:t>1. Емітент подає до Національної комісії з цінних паперів та фондового ринку заяву, рішення про емісію цінних паперів і всі необхідні документи для реєстрації випуску цінних паперів протягом 60 днів після прийняття рішення про емісію цінних паперів органом (особою) емітента, уповноваженим приймати таке рішення.</w:t>
            </w:r>
          </w:p>
        </w:tc>
      </w:tr>
      <w:tr w:rsidR="006507E8" w:rsidRPr="00286216" w14:paraId="360A1A8D" w14:textId="77777777" w:rsidTr="00091AA5">
        <w:tc>
          <w:tcPr>
            <w:tcW w:w="576" w:type="dxa"/>
          </w:tcPr>
          <w:p w14:paraId="204B0AA6" w14:textId="77777777" w:rsidR="006507E8" w:rsidRPr="00286216" w:rsidRDefault="006507E8" w:rsidP="006507E8">
            <w:pPr>
              <w:pStyle w:val="StyleWisnow"/>
              <w:rPr>
                <w:color w:val="000000" w:themeColor="text1"/>
              </w:rPr>
            </w:pPr>
            <w:bookmarkStart w:id="1261" w:name="n1524" w:colFirst="0" w:colLast="0"/>
            <w:bookmarkEnd w:id="1260"/>
            <w:r w:rsidRPr="00286216">
              <w:rPr>
                <w:color w:val="000000" w:themeColor="text1"/>
              </w:rPr>
              <w:t>1524.</w:t>
            </w:r>
          </w:p>
        </w:tc>
        <w:tc>
          <w:tcPr>
            <w:tcW w:w="4818" w:type="dxa"/>
          </w:tcPr>
          <w:p w14:paraId="79E4515A" w14:textId="77777777"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протягом 25 робочих днів:</w:t>
            </w:r>
          </w:p>
        </w:tc>
        <w:tc>
          <w:tcPr>
            <w:tcW w:w="3686" w:type="dxa"/>
          </w:tcPr>
          <w:p w14:paraId="4711DBBC" w14:textId="77777777" w:rsidR="006507E8" w:rsidRPr="00286216" w:rsidRDefault="006507E8" w:rsidP="006507E8">
            <w:pPr>
              <w:pStyle w:val="StyleProp"/>
              <w:rPr>
                <w:color w:val="000000" w:themeColor="text1"/>
                <w:szCs w:val="18"/>
              </w:rPr>
            </w:pPr>
          </w:p>
        </w:tc>
        <w:tc>
          <w:tcPr>
            <w:tcW w:w="1987" w:type="dxa"/>
          </w:tcPr>
          <w:p w14:paraId="1327A6D2" w14:textId="77777777" w:rsidR="006507E8" w:rsidRPr="00286216" w:rsidRDefault="006507E8" w:rsidP="006507E8">
            <w:pPr>
              <w:pStyle w:val="StyleWisnow"/>
              <w:spacing w:line="180" w:lineRule="exact"/>
              <w:rPr>
                <w:color w:val="000000" w:themeColor="text1"/>
              </w:rPr>
            </w:pPr>
          </w:p>
        </w:tc>
        <w:tc>
          <w:tcPr>
            <w:tcW w:w="4818" w:type="dxa"/>
          </w:tcPr>
          <w:p w14:paraId="733792DD" w14:textId="47046EAF"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протягом 25 робочих днів:</w:t>
            </w:r>
          </w:p>
        </w:tc>
      </w:tr>
      <w:tr w:rsidR="006507E8" w:rsidRPr="00286216" w14:paraId="13E7A716" w14:textId="77777777" w:rsidTr="00091AA5">
        <w:tc>
          <w:tcPr>
            <w:tcW w:w="576" w:type="dxa"/>
          </w:tcPr>
          <w:p w14:paraId="3CA96D36" w14:textId="77777777" w:rsidR="006507E8" w:rsidRPr="00286216" w:rsidRDefault="006507E8" w:rsidP="006507E8">
            <w:pPr>
              <w:pStyle w:val="StyleWisnow"/>
              <w:rPr>
                <w:color w:val="000000" w:themeColor="text1"/>
              </w:rPr>
            </w:pPr>
            <w:bookmarkStart w:id="1262" w:name="n1525" w:colFirst="0" w:colLast="0"/>
            <w:bookmarkEnd w:id="1261"/>
            <w:r w:rsidRPr="00286216">
              <w:rPr>
                <w:color w:val="000000" w:themeColor="text1"/>
              </w:rPr>
              <w:t>1525.</w:t>
            </w:r>
          </w:p>
        </w:tc>
        <w:tc>
          <w:tcPr>
            <w:tcW w:w="4818" w:type="dxa"/>
          </w:tcPr>
          <w:p w14:paraId="4ACF903A" w14:textId="77777777" w:rsidR="006507E8" w:rsidRPr="00286216" w:rsidRDefault="006507E8" w:rsidP="006507E8">
            <w:pPr>
              <w:pStyle w:val="StyleZakonu"/>
              <w:rPr>
                <w:color w:val="000000" w:themeColor="text1"/>
              </w:rPr>
            </w:pPr>
            <w:r w:rsidRPr="00286216">
              <w:rPr>
                <w:color w:val="000000" w:themeColor="text1"/>
              </w:rPr>
              <w:t>1) після надходження заяви, рішення про емісію цінних паперів і всіх необхідних документів для реєстрації випуску цінних паперів, здійснює реєстрацію випуску цінних паперів або відмовляє в реєстрації;</w:t>
            </w:r>
          </w:p>
        </w:tc>
        <w:tc>
          <w:tcPr>
            <w:tcW w:w="3686" w:type="dxa"/>
          </w:tcPr>
          <w:p w14:paraId="17DCD238" w14:textId="2745E1BA"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D797D52"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Пункт 1 частини другої статті 89 після слів «здійснює реєстрацію випуску цінних паперів» доповнити словами «щодо яких здійснюється публічна пропозиція».</w:t>
            </w:r>
          </w:p>
        </w:tc>
        <w:tc>
          <w:tcPr>
            <w:tcW w:w="1987" w:type="dxa"/>
          </w:tcPr>
          <w:p w14:paraId="08C97781"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0752F1F" w14:textId="7F6F7405"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4A9D6990" w14:textId="60F8EBD0" w:rsidR="006507E8" w:rsidRPr="00286216" w:rsidRDefault="006507E8" w:rsidP="006507E8">
            <w:pPr>
              <w:pStyle w:val="StyleZakonu"/>
              <w:rPr>
                <w:color w:val="000000" w:themeColor="text1"/>
              </w:rPr>
            </w:pPr>
            <w:r w:rsidRPr="00286216">
              <w:rPr>
                <w:color w:val="000000" w:themeColor="text1"/>
              </w:rPr>
              <w:t>1) після надходження заяви, рішення про емісію цінних паперів і всіх необхідних документів для реєстрації випуску цінних паперів здійснює реєстрацію випуску цінних паперів або відмовляє в реєстрації;</w:t>
            </w:r>
          </w:p>
        </w:tc>
      </w:tr>
      <w:tr w:rsidR="006507E8" w:rsidRPr="00286216" w14:paraId="4321F627" w14:textId="77777777" w:rsidTr="00091AA5">
        <w:tc>
          <w:tcPr>
            <w:tcW w:w="576" w:type="dxa"/>
          </w:tcPr>
          <w:p w14:paraId="3901AE71" w14:textId="77777777" w:rsidR="006507E8" w:rsidRPr="00286216" w:rsidRDefault="006507E8" w:rsidP="006507E8">
            <w:pPr>
              <w:pStyle w:val="StyleWisnow"/>
              <w:rPr>
                <w:color w:val="000000" w:themeColor="text1"/>
              </w:rPr>
            </w:pPr>
            <w:bookmarkStart w:id="1263" w:name="n1526" w:colFirst="0" w:colLast="0"/>
            <w:bookmarkEnd w:id="1262"/>
            <w:r w:rsidRPr="00286216">
              <w:rPr>
                <w:color w:val="000000" w:themeColor="text1"/>
              </w:rPr>
              <w:t>1526.</w:t>
            </w:r>
          </w:p>
        </w:tc>
        <w:tc>
          <w:tcPr>
            <w:tcW w:w="4818" w:type="dxa"/>
          </w:tcPr>
          <w:p w14:paraId="108DE86A" w14:textId="77777777" w:rsidR="006507E8" w:rsidRPr="00286216" w:rsidRDefault="006507E8" w:rsidP="006507E8">
            <w:pPr>
              <w:pStyle w:val="StyleZakonu"/>
              <w:rPr>
                <w:color w:val="000000" w:themeColor="text1"/>
              </w:rPr>
            </w:pPr>
            <w:r w:rsidRPr="00286216">
              <w:rPr>
                <w:color w:val="000000" w:themeColor="text1"/>
              </w:rPr>
              <w:t>2) повертає документи емітентові без розгляду в разі їх подання не в повному обсязі або з порушенням встановлених Національною комісією з цінних паперів та фондового ринку вимог до їх оформлення.</w:t>
            </w:r>
          </w:p>
        </w:tc>
        <w:tc>
          <w:tcPr>
            <w:tcW w:w="3686" w:type="dxa"/>
          </w:tcPr>
          <w:p w14:paraId="2F19E94D" w14:textId="4D41EF61"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017EAB2"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Пункт 2 частини другої статті 89 доповнити словами «із зазначенням причин невідповідності».</w:t>
            </w:r>
          </w:p>
        </w:tc>
        <w:tc>
          <w:tcPr>
            <w:tcW w:w="1987" w:type="dxa"/>
          </w:tcPr>
          <w:p w14:paraId="0093593A" w14:textId="77777777" w:rsidR="006507E8" w:rsidRPr="00286216" w:rsidRDefault="006507E8" w:rsidP="006507E8">
            <w:pPr>
              <w:pStyle w:val="StyleWisnow"/>
              <w:spacing w:line="180" w:lineRule="exact"/>
              <w:rPr>
                <w:color w:val="000000" w:themeColor="text1"/>
              </w:rPr>
            </w:pPr>
            <w:r w:rsidRPr="00286216">
              <w:rPr>
                <w:color w:val="000000" w:themeColor="text1"/>
              </w:rPr>
              <w:t>Враховано</w:t>
            </w:r>
          </w:p>
        </w:tc>
        <w:tc>
          <w:tcPr>
            <w:tcW w:w="4818" w:type="dxa"/>
          </w:tcPr>
          <w:p w14:paraId="2FD2C024" w14:textId="41AAAAE0" w:rsidR="006507E8" w:rsidRPr="00286216" w:rsidRDefault="006507E8" w:rsidP="006507E8">
            <w:pPr>
              <w:pStyle w:val="StyleZakonu"/>
              <w:rPr>
                <w:color w:val="000000" w:themeColor="text1"/>
              </w:rPr>
            </w:pPr>
            <w:r w:rsidRPr="00286216">
              <w:rPr>
                <w:color w:val="000000" w:themeColor="text1"/>
              </w:rPr>
              <w:t xml:space="preserve">2) повертає документи емітентові без розгляду в разі їх подання не в повному обсязі або з порушенням встановлених Національною комісією з цінних паперів та фондового ринку вимог до їх оформлення </w:t>
            </w:r>
            <w:r w:rsidRPr="00286216">
              <w:rPr>
                <w:color w:val="000000" w:themeColor="text1"/>
              </w:rPr>
              <w:lastRenderedPageBreak/>
              <w:t>із зазначенням причин невідповідності.</w:t>
            </w:r>
          </w:p>
        </w:tc>
      </w:tr>
      <w:tr w:rsidR="006507E8" w:rsidRPr="00286216" w14:paraId="398654B0" w14:textId="77777777" w:rsidTr="00091AA5">
        <w:tc>
          <w:tcPr>
            <w:tcW w:w="576" w:type="dxa"/>
          </w:tcPr>
          <w:p w14:paraId="08ED09AE" w14:textId="77777777" w:rsidR="006507E8" w:rsidRPr="00286216" w:rsidRDefault="006507E8" w:rsidP="006507E8">
            <w:pPr>
              <w:pStyle w:val="StyleWisnow"/>
              <w:rPr>
                <w:color w:val="000000" w:themeColor="text1"/>
              </w:rPr>
            </w:pPr>
            <w:bookmarkStart w:id="1264" w:name="n1527" w:colFirst="0" w:colLast="0"/>
            <w:bookmarkEnd w:id="1263"/>
            <w:r w:rsidRPr="00286216">
              <w:rPr>
                <w:color w:val="000000" w:themeColor="text1"/>
              </w:rPr>
              <w:lastRenderedPageBreak/>
              <w:t>1527.</w:t>
            </w:r>
          </w:p>
        </w:tc>
        <w:tc>
          <w:tcPr>
            <w:tcW w:w="4818" w:type="dxa"/>
          </w:tcPr>
          <w:p w14:paraId="0899095E" w14:textId="77777777" w:rsidR="006507E8" w:rsidRPr="00286216" w:rsidRDefault="006507E8" w:rsidP="006507E8">
            <w:pPr>
              <w:pStyle w:val="StyleZakonu"/>
              <w:rPr>
                <w:color w:val="000000" w:themeColor="text1"/>
              </w:rPr>
            </w:pPr>
            <w:r w:rsidRPr="00286216">
              <w:rPr>
                <w:color w:val="000000" w:themeColor="text1"/>
              </w:rPr>
              <w:t>Випуск цінних паперів вважається зареєстрованим виключно у випадку прийняття відповідного рішення Національною комісією з цінних паперів та фондового ринку (розпорядження уповноваженої особи Національної комісії з цінних паперів та фондового ринку).</w:t>
            </w:r>
          </w:p>
        </w:tc>
        <w:tc>
          <w:tcPr>
            <w:tcW w:w="3686" w:type="dxa"/>
          </w:tcPr>
          <w:p w14:paraId="7209149E" w14:textId="77777777" w:rsidR="006507E8" w:rsidRPr="00286216" w:rsidRDefault="006507E8" w:rsidP="006507E8">
            <w:pPr>
              <w:pStyle w:val="StyleProp"/>
              <w:rPr>
                <w:color w:val="000000" w:themeColor="text1"/>
                <w:szCs w:val="18"/>
              </w:rPr>
            </w:pPr>
          </w:p>
        </w:tc>
        <w:tc>
          <w:tcPr>
            <w:tcW w:w="1987" w:type="dxa"/>
          </w:tcPr>
          <w:p w14:paraId="6168D773" w14:textId="77777777" w:rsidR="006507E8" w:rsidRPr="00286216" w:rsidRDefault="006507E8" w:rsidP="006507E8">
            <w:pPr>
              <w:pStyle w:val="StyleWisnow"/>
              <w:spacing w:line="180" w:lineRule="exact"/>
              <w:rPr>
                <w:color w:val="000000" w:themeColor="text1"/>
              </w:rPr>
            </w:pPr>
          </w:p>
        </w:tc>
        <w:tc>
          <w:tcPr>
            <w:tcW w:w="4818" w:type="dxa"/>
          </w:tcPr>
          <w:p w14:paraId="0E1E3FE8" w14:textId="407869A1" w:rsidR="006507E8" w:rsidRPr="00286216" w:rsidRDefault="006507E8" w:rsidP="006507E8">
            <w:pPr>
              <w:pStyle w:val="StyleZakonu"/>
              <w:rPr>
                <w:color w:val="000000" w:themeColor="text1"/>
              </w:rPr>
            </w:pPr>
            <w:r w:rsidRPr="00286216">
              <w:rPr>
                <w:color w:val="000000" w:themeColor="text1"/>
              </w:rPr>
              <w:t>Випуск цінних паперів вважається зареєстрованим виключно в разі прийняття відповідного рішення Національною комісією з цінних паперів та фондового ринку (розпорядження уповноваженої особи Національної комісії з цінних паперів та фондового ринку).</w:t>
            </w:r>
          </w:p>
        </w:tc>
      </w:tr>
      <w:tr w:rsidR="006507E8" w:rsidRPr="00286216" w14:paraId="5F327318" w14:textId="77777777" w:rsidTr="00091AA5">
        <w:tc>
          <w:tcPr>
            <w:tcW w:w="576" w:type="dxa"/>
          </w:tcPr>
          <w:p w14:paraId="716BC09F" w14:textId="77777777" w:rsidR="006507E8" w:rsidRPr="00286216" w:rsidRDefault="006507E8" w:rsidP="006507E8">
            <w:pPr>
              <w:pStyle w:val="StyleWisnow"/>
              <w:rPr>
                <w:color w:val="000000" w:themeColor="text1"/>
              </w:rPr>
            </w:pPr>
            <w:bookmarkStart w:id="1265" w:name="n1528" w:colFirst="0" w:colLast="0"/>
            <w:bookmarkEnd w:id="1264"/>
            <w:r w:rsidRPr="00286216">
              <w:rPr>
                <w:color w:val="000000" w:themeColor="text1"/>
              </w:rPr>
              <w:t>1528.</w:t>
            </w:r>
          </w:p>
        </w:tc>
        <w:tc>
          <w:tcPr>
            <w:tcW w:w="4818" w:type="dxa"/>
          </w:tcPr>
          <w:p w14:paraId="4DC9880D" w14:textId="77777777" w:rsidR="006507E8" w:rsidRPr="00286216" w:rsidRDefault="006507E8" w:rsidP="006507E8">
            <w:pPr>
              <w:pStyle w:val="StyleZakonu"/>
              <w:rPr>
                <w:color w:val="000000" w:themeColor="text1"/>
              </w:rPr>
            </w:pPr>
            <w:r w:rsidRPr="00286216">
              <w:rPr>
                <w:color w:val="000000" w:themeColor="text1"/>
              </w:rPr>
              <w:t>3. Реєстрація Національною комісією з цінних паперів та фондового ринку випуску цінних паперів не може розглядатися як гарантія їх вартості. Національна комісія з цінних паперів та фондового ринку відповідає лише за повноту інформації, що міститься у рішенні про емісію цінних паперів, та за її відповідність вимогам законодавства.</w:t>
            </w:r>
          </w:p>
        </w:tc>
        <w:tc>
          <w:tcPr>
            <w:tcW w:w="3686" w:type="dxa"/>
          </w:tcPr>
          <w:p w14:paraId="477530F7" w14:textId="2EF76BE4"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5E45030"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У першому абзаці частини третьої статті 89 після слів «випуску цінних паперів» та «у рішенні про емісію цінних паперів» доповнити словами «щодо яких здійснюється публічна пропозиція».</w:t>
            </w:r>
          </w:p>
        </w:tc>
        <w:tc>
          <w:tcPr>
            <w:tcW w:w="1987" w:type="dxa"/>
          </w:tcPr>
          <w:p w14:paraId="52E5472F"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3B04A66B" w14:textId="649473E0"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3C713CB3" w14:textId="51E431F8" w:rsidR="006507E8" w:rsidRPr="00286216" w:rsidRDefault="006507E8" w:rsidP="006507E8">
            <w:pPr>
              <w:pStyle w:val="StyleZakonu"/>
              <w:rPr>
                <w:color w:val="000000" w:themeColor="text1"/>
              </w:rPr>
            </w:pPr>
            <w:r w:rsidRPr="00286216">
              <w:rPr>
                <w:color w:val="000000" w:themeColor="text1"/>
              </w:rPr>
              <w:t>3. Реєстрація Національною комісією з цінних паперів та фондового ринку випуску цінних паперів не може розглядатися як гарантія їх вартості. Національна комісія з цінних паперів та фондового ринку відповідає лише за повноту інформації, що міститься у рішенні про емісію цінних паперів, та за її відповідність вимогам законодавства.</w:t>
            </w:r>
          </w:p>
        </w:tc>
      </w:tr>
      <w:tr w:rsidR="006507E8" w:rsidRPr="00286216" w14:paraId="1E74A878" w14:textId="77777777" w:rsidTr="00091AA5">
        <w:tc>
          <w:tcPr>
            <w:tcW w:w="576" w:type="dxa"/>
          </w:tcPr>
          <w:p w14:paraId="2D765848" w14:textId="77777777" w:rsidR="006507E8" w:rsidRPr="00286216" w:rsidRDefault="006507E8" w:rsidP="006507E8">
            <w:pPr>
              <w:pStyle w:val="StyleWisnow"/>
              <w:rPr>
                <w:color w:val="000000" w:themeColor="text1"/>
              </w:rPr>
            </w:pPr>
            <w:bookmarkStart w:id="1266" w:name="n1529" w:colFirst="0" w:colLast="0"/>
            <w:bookmarkEnd w:id="1265"/>
            <w:r w:rsidRPr="00286216">
              <w:rPr>
                <w:color w:val="000000" w:themeColor="text1"/>
              </w:rPr>
              <w:t>1529.</w:t>
            </w:r>
          </w:p>
        </w:tc>
        <w:tc>
          <w:tcPr>
            <w:tcW w:w="4818" w:type="dxa"/>
          </w:tcPr>
          <w:p w14:paraId="30257F99" w14:textId="77777777" w:rsidR="006507E8" w:rsidRPr="00286216" w:rsidRDefault="006507E8" w:rsidP="006507E8">
            <w:pPr>
              <w:pStyle w:val="StyleZakonu"/>
              <w:rPr>
                <w:color w:val="000000" w:themeColor="text1"/>
              </w:rPr>
            </w:pPr>
            <w:r w:rsidRPr="00286216">
              <w:rPr>
                <w:color w:val="000000" w:themeColor="text1"/>
              </w:rPr>
              <w:t>Відповідальність за достовірність відомостей, наведених у документах, що подаються до Національної комісії з цінних паперів та фондового ринку для реєстрації випуску цінних паперів, несе емітент.</w:t>
            </w:r>
          </w:p>
        </w:tc>
        <w:tc>
          <w:tcPr>
            <w:tcW w:w="3686" w:type="dxa"/>
          </w:tcPr>
          <w:p w14:paraId="299CE853" w14:textId="5462B0CF"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3898688"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У другому абзаці частини третьої статті 89 після слів «випуску цінних паперів» та «у рішенні про емісію цінних паперів» доповнити словами «щодо яких здійснюється публічна пропозиція».</w:t>
            </w:r>
          </w:p>
        </w:tc>
        <w:tc>
          <w:tcPr>
            <w:tcW w:w="1987" w:type="dxa"/>
          </w:tcPr>
          <w:p w14:paraId="4DFAC2BB"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5A9968A" w14:textId="4E463898"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7600F99B" w14:textId="3C618FC8" w:rsidR="006507E8" w:rsidRPr="00286216" w:rsidRDefault="006507E8" w:rsidP="006507E8">
            <w:pPr>
              <w:pStyle w:val="StyleZakonu"/>
              <w:rPr>
                <w:color w:val="000000" w:themeColor="text1"/>
              </w:rPr>
            </w:pPr>
            <w:r w:rsidRPr="00286216">
              <w:rPr>
                <w:color w:val="000000" w:themeColor="text1"/>
              </w:rPr>
              <w:t>Відповідальність за достовірність відомостей, наведених у документах, що подаються до Національної комісії з цінних паперів та фондового ринку для реєстрації випуску цінних паперів, несе емітент.</w:t>
            </w:r>
          </w:p>
        </w:tc>
      </w:tr>
      <w:tr w:rsidR="006507E8" w:rsidRPr="00286216" w14:paraId="1E22F0F4" w14:textId="77777777" w:rsidTr="00091AA5">
        <w:tc>
          <w:tcPr>
            <w:tcW w:w="576" w:type="dxa"/>
          </w:tcPr>
          <w:p w14:paraId="7C6FD27D" w14:textId="77777777" w:rsidR="006507E8" w:rsidRPr="00286216" w:rsidRDefault="006507E8" w:rsidP="006507E8">
            <w:pPr>
              <w:pStyle w:val="StyleWisnow"/>
              <w:rPr>
                <w:color w:val="000000" w:themeColor="text1"/>
              </w:rPr>
            </w:pPr>
            <w:bookmarkStart w:id="1267" w:name="n1530" w:colFirst="0" w:colLast="0"/>
            <w:bookmarkEnd w:id="1266"/>
            <w:r w:rsidRPr="00286216">
              <w:rPr>
                <w:color w:val="000000" w:themeColor="text1"/>
              </w:rPr>
              <w:t>1530.</w:t>
            </w:r>
          </w:p>
        </w:tc>
        <w:tc>
          <w:tcPr>
            <w:tcW w:w="4818" w:type="dxa"/>
          </w:tcPr>
          <w:p w14:paraId="68EB0FE0" w14:textId="77777777" w:rsidR="006507E8" w:rsidRPr="00286216" w:rsidRDefault="006507E8" w:rsidP="006507E8">
            <w:pPr>
              <w:pStyle w:val="StyleZakonu"/>
              <w:rPr>
                <w:color w:val="000000" w:themeColor="text1"/>
              </w:rPr>
            </w:pPr>
            <w:r w:rsidRPr="00286216">
              <w:rPr>
                <w:color w:val="000000" w:themeColor="text1"/>
              </w:rPr>
              <w:t>4. Перелік документів, необхідних для реєстрації випуску цінних паперів, та порядок його реєстрації встановлюються Національною комісією з цінних паперів та фондового ринку.</w:t>
            </w:r>
          </w:p>
        </w:tc>
        <w:tc>
          <w:tcPr>
            <w:tcW w:w="3686" w:type="dxa"/>
          </w:tcPr>
          <w:p w14:paraId="1CCCF7FE" w14:textId="6E3ED95E"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939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E528929"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У частині четвертій статті 89 після слів «випуску цінних паперів» доповнити словами «щодо яких здійснюється публічна пропозиція».</w:t>
            </w:r>
          </w:p>
        </w:tc>
        <w:tc>
          <w:tcPr>
            <w:tcW w:w="1987" w:type="dxa"/>
          </w:tcPr>
          <w:p w14:paraId="3F64EB72"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03822169" w14:textId="3F820ABF"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324863A1" w14:textId="737C9C86" w:rsidR="006507E8" w:rsidRPr="00286216" w:rsidRDefault="006507E8" w:rsidP="006507E8">
            <w:pPr>
              <w:pStyle w:val="StyleZakonu"/>
              <w:rPr>
                <w:color w:val="000000" w:themeColor="text1"/>
              </w:rPr>
            </w:pPr>
            <w:r w:rsidRPr="00286216">
              <w:rPr>
                <w:color w:val="000000" w:themeColor="text1"/>
              </w:rPr>
              <w:t>4. Перелік документів, необхідних для реєстрації випуску цінних паперів, та порядок його реєстрації встановлюються Національною комісією з цінних паперів та фондового ринку.</w:t>
            </w:r>
          </w:p>
        </w:tc>
      </w:tr>
      <w:tr w:rsidR="006507E8" w:rsidRPr="00286216" w14:paraId="7B64FB56" w14:textId="77777777" w:rsidTr="00091AA5">
        <w:tc>
          <w:tcPr>
            <w:tcW w:w="576" w:type="dxa"/>
          </w:tcPr>
          <w:p w14:paraId="3D8295D6" w14:textId="77777777" w:rsidR="006507E8" w:rsidRPr="00286216" w:rsidRDefault="006507E8" w:rsidP="006507E8">
            <w:pPr>
              <w:pStyle w:val="StyleWisnow"/>
              <w:rPr>
                <w:color w:val="000000" w:themeColor="text1"/>
              </w:rPr>
            </w:pPr>
            <w:bookmarkStart w:id="1268" w:name="n1531" w:colFirst="0" w:colLast="0"/>
            <w:bookmarkEnd w:id="1267"/>
            <w:r w:rsidRPr="00286216">
              <w:rPr>
                <w:color w:val="000000" w:themeColor="text1"/>
              </w:rPr>
              <w:t>1531.</w:t>
            </w:r>
          </w:p>
        </w:tc>
        <w:tc>
          <w:tcPr>
            <w:tcW w:w="4818" w:type="dxa"/>
          </w:tcPr>
          <w:p w14:paraId="55BAFA5F" w14:textId="77777777"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в установленому нею порядку відмовляє в реєстрації випуску цінних паперів у строк, встановлений частиною другою цієї статті, у разі:</w:t>
            </w:r>
          </w:p>
        </w:tc>
        <w:tc>
          <w:tcPr>
            <w:tcW w:w="3686" w:type="dxa"/>
          </w:tcPr>
          <w:p w14:paraId="0124013B" w14:textId="51E01A30"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D4FEB6E"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У абзаці першому частини п’ятої статті 89 після слів «випуску цінних паперів» доповнити словами «щодо яких здійснюється публічна пропозиція, із зазначенням причин відмови».</w:t>
            </w:r>
          </w:p>
        </w:tc>
        <w:tc>
          <w:tcPr>
            <w:tcW w:w="1987" w:type="dxa"/>
          </w:tcPr>
          <w:p w14:paraId="5E07C13D"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43B050E5" w14:textId="64EECDC2"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5E1C3689" w14:textId="6D7B634D"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в установленому нею порядку відмовляє в реєстрації випуску цінних паперів у строк, встановлений частиною другою цієї статті, у разі:</w:t>
            </w:r>
          </w:p>
        </w:tc>
      </w:tr>
      <w:tr w:rsidR="006507E8" w:rsidRPr="00286216" w14:paraId="74FF8723" w14:textId="77777777" w:rsidTr="00091AA5">
        <w:tc>
          <w:tcPr>
            <w:tcW w:w="576" w:type="dxa"/>
          </w:tcPr>
          <w:p w14:paraId="6C0AFCB7" w14:textId="77777777" w:rsidR="006507E8" w:rsidRPr="00286216" w:rsidRDefault="006507E8" w:rsidP="006507E8">
            <w:pPr>
              <w:pStyle w:val="StyleWisnow"/>
              <w:rPr>
                <w:color w:val="000000" w:themeColor="text1"/>
              </w:rPr>
            </w:pPr>
            <w:bookmarkStart w:id="1269" w:name="n1532" w:colFirst="0" w:colLast="0"/>
            <w:bookmarkEnd w:id="1268"/>
            <w:r w:rsidRPr="00286216">
              <w:rPr>
                <w:color w:val="000000" w:themeColor="text1"/>
              </w:rPr>
              <w:t>1532.</w:t>
            </w:r>
          </w:p>
        </w:tc>
        <w:tc>
          <w:tcPr>
            <w:tcW w:w="4818" w:type="dxa"/>
          </w:tcPr>
          <w:p w14:paraId="7C8DD6A9" w14:textId="77777777" w:rsidR="006507E8" w:rsidRPr="00286216" w:rsidRDefault="006507E8" w:rsidP="006507E8">
            <w:pPr>
              <w:pStyle w:val="StyleZakonu"/>
              <w:rPr>
                <w:color w:val="000000" w:themeColor="text1"/>
              </w:rPr>
            </w:pPr>
            <w:r w:rsidRPr="00286216">
              <w:rPr>
                <w:color w:val="000000" w:themeColor="text1"/>
              </w:rPr>
              <w:t>1) невідповідності поданих документів вимогам законодавства;</w:t>
            </w:r>
          </w:p>
        </w:tc>
        <w:tc>
          <w:tcPr>
            <w:tcW w:w="3686" w:type="dxa"/>
          </w:tcPr>
          <w:p w14:paraId="68711E08" w14:textId="77777777" w:rsidR="006507E8" w:rsidRPr="00286216" w:rsidRDefault="006507E8" w:rsidP="006507E8">
            <w:pPr>
              <w:pStyle w:val="StyleProp"/>
              <w:rPr>
                <w:color w:val="000000" w:themeColor="text1"/>
                <w:szCs w:val="18"/>
              </w:rPr>
            </w:pPr>
          </w:p>
        </w:tc>
        <w:tc>
          <w:tcPr>
            <w:tcW w:w="1987" w:type="dxa"/>
          </w:tcPr>
          <w:p w14:paraId="569A16DC" w14:textId="77777777" w:rsidR="006507E8" w:rsidRPr="00286216" w:rsidRDefault="006507E8" w:rsidP="006507E8">
            <w:pPr>
              <w:pStyle w:val="StyleWisnow"/>
              <w:spacing w:line="180" w:lineRule="exact"/>
              <w:rPr>
                <w:color w:val="000000" w:themeColor="text1"/>
              </w:rPr>
            </w:pPr>
          </w:p>
        </w:tc>
        <w:tc>
          <w:tcPr>
            <w:tcW w:w="4818" w:type="dxa"/>
          </w:tcPr>
          <w:p w14:paraId="706BDCB9" w14:textId="7DE5418B" w:rsidR="006507E8" w:rsidRPr="00286216" w:rsidRDefault="006507E8" w:rsidP="006507E8">
            <w:pPr>
              <w:pStyle w:val="StyleZakonu"/>
              <w:rPr>
                <w:color w:val="000000" w:themeColor="text1"/>
              </w:rPr>
            </w:pPr>
            <w:r w:rsidRPr="00286216">
              <w:rPr>
                <w:color w:val="000000" w:themeColor="text1"/>
              </w:rPr>
              <w:t>1) невідповідності поданих документів вимогам законодавства;</w:t>
            </w:r>
          </w:p>
        </w:tc>
      </w:tr>
      <w:tr w:rsidR="006507E8" w:rsidRPr="00286216" w14:paraId="7D045B5F" w14:textId="77777777" w:rsidTr="00091AA5">
        <w:tc>
          <w:tcPr>
            <w:tcW w:w="576" w:type="dxa"/>
          </w:tcPr>
          <w:p w14:paraId="09F03325" w14:textId="77777777" w:rsidR="006507E8" w:rsidRPr="00286216" w:rsidRDefault="006507E8" w:rsidP="006507E8">
            <w:pPr>
              <w:pStyle w:val="StyleWisnow"/>
              <w:rPr>
                <w:color w:val="000000" w:themeColor="text1"/>
              </w:rPr>
            </w:pPr>
            <w:bookmarkStart w:id="1270" w:name="n1533" w:colFirst="0" w:colLast="0"/>
            <w:bookmarkEnd w:id="1269"/>
            <w:r w:rsidRPr="00286216">
              <w:rPr>
                <w:color w:val="000000" w:themeColor="text1"/>
              </w:rPr>
              <w:t>1533.</w:t>
            </w:r>
          </w:p>
        </w:tc>
        <w:tc>
          <w:tcPr>
            <w:tcW w:w="4818" w:type="dxa"/>
          </w:tcPr>
          <w:p w14:paraId="5EE6B56E" w14:textId="77777777" w:rsidR="006507E8" w:rsidRPr="00286216" w:rsidRDefault="006507E8" w:rsidP="006507E8">
            <w:pPr>
              <w:pStyle w:val="StyleZakonu"/>
              <w:rPr>
                <w:color w:val="000000" w:themeColor="text1"/>
              </w:rPr>
            </w:pPr>
            <w:r w:rsidRPr="00286216">
              <w:rPr>
                <w:color w:val="000000" w:themeColor="text1"/>
              </w:rPr>
              <w:t>2) наявність розбіжностей між різними положеннями поданих документів, недостовірності та/або неповноти інформації у поданих документах;</w:t>
            </w:r>
          </w:p>
        </w:tc>
        <w:tc>
          <w:tcPr>
            <w:tcW w:w="3686" w:type="dxa"/>
          </w:tcPr>
          <w:p w14:paraId="53CB367E" w14:textId="77777777" w:rsidR="006507E8" w:rsidRPr="00286216" w:rsidRDefault="006507E8" w:rsidP="006507E8">
            <w:pPr>
              <w:pStyle w:val="StyleProp"/>
              <w:rPr>
                <w:color w:val="000000" w:themeColor="text1"/>
                <w:szCs w:val="18"/>
              </w:rPr>
            </w:pPr>
          </w:p>
        </w:tc>
        <w:tc>
          <w:tcPr>
            <w:tcW w:w="1987" w:type="dxa"/>
          </w:tcPr>
          <w:p w14:paraId="35F67171" w14:textId="77777777" w:rsidR="006507E8" w:rsidRPr="00286216" w:rsidRDefault="006507E8" w:rsidP="006507E8">
            <w:pPr>
              <w:pStyle w:val="StyleWisnow"/>
              <w:rPr>
                <w:color w:val="000000" w:themeColor="text1"/>
              </w:rPr>
            </w:pPr>
          </w:p>
        </w:tc>
        <w:tc>
          <w:tcPr>
            <w:tcW w:w="4818" w:type="dxa"/>
          </w:tcPr>
          <w:p w14:paraId="4A6AC495" w14:textId="1414DB4B" w:rsidR="006507E8" w:rsidRPr="00286216" w:rsidRDefault="006507E8" w:rsidP="006507E8">
            <w:pPr>
              <w:pStyle w:val="StyleZakonu"/>
              <w:rPr>
                <w:color w:val="000000" w:themeColor="text1"/>
              </w:rPr>
            </w:pPr>
            <w:r w:rsidRPr="00286216">
              <w:rPr>
                <w:color w:val="000000" w:themeColor="text1"/>
              </w:rPr>
              <w:t>2) наявності розбіжностей між різними положеннями поданих документів, недостовірності та/або неповноти інформації у поданих документах;</w:t>
            </w:r>
          </w:p>
        </w:tc>
      </w:tr>
      <w:tr w:rsidR="006507E8" w:rsidRPr="00286216" w14:paraId="34D49A7B" w14:textId="77777777" w:rsidTr="00091AA5">
        <w:tc>
          <w:tcPr>
            <w:tcW w:w="576" w:type="dxa"/>
          </w:tcPr>
          <w:p w14:paraId="2B324426" w14:textId="77777777" w:rsidR="006507E8" w:rsidRPr="00286216" w:rsidRDefault="006507E8" w:rsidP="006507E8">
            <w:pPr>
              <w:pStyle w:val="StyleWisnow"/>
              <w:rPr>
                <w:color w:val="000000" w:themeColor="text1"/>
              </w:rPr>
            </w:pPr>
            <w:bookmarkStart w:id="1271" w:name="n1534" w:colFirst="0" w:colLast="0"/>
            <w:bookmarkEnd w:id="1270"/>
            <w:r w:rsidRPr="00286216">
              <w:rPr>
                <w:color w:val="000000" w:themeColor="text1"/>
              </w:rPr>
              <w:t>1534.</w:t>
            </w:r>
          </w:p>
        </w:tc>
        <w:tc>
          <w:tcPr>
            <w:tcW w:w="4818" w:type="dxa"/>
          </w:tcPr>
          <w:p w14:paraId="426D2A5D" w14:textId="77777777" w:rsidR="006507E8" w:rsidRPr="00286216" w:rsidRDefault="006507E8" w:rsidP="006507E8">
            <w:pPr>
              <w:pStyle w:val="StyleZakonu"/>
              <w:rPr>
                <w:color w:val="000000" w:themeColor="text1"/>
              </w:rPr>
            </w:pPr>
            <w:r w:rsidRPr="00286216">
              <w:rPr>
                <w:color w:val="000000" w:themeColor="text1"/>
              </w:rPr>
              <w:t>3) порушення встановленого законодавством порядку прийняття рішення про емісію цінних паперів;</w:t>
            </w:r>
          </w:p>
        </w:tc>
        <w:tc>
          <w:tcPr>
            <w:tcW w:w="3686" w:type="dxa"/>
          </w:tcPr>
          <w:p w14:paraId="70FF1357" w14:textId="77777777" w:rsidR="006507E8" w:rsidRPr="00286216" w:rsidRDefault="006507E8" w:rsidP="006507E8">
            <w:pPr>
              <w:pStyle w:val="StyleProp"/>
              <w:rPr>
                <w:color w:val="000000" w:themeColor="text1"/>
                <w:szCs w:val="18"/>
              </w:rPr>
            </w:pPr>
          </w:p>
        </w:tc>
        <w:tc>
          <w:tcPr>
            <w:tcW w:w="1987" w:type="dxa"/>
          </w:tcPr>
          <w:p w14:paraId="0495DD7B" w14:textId="77777777" w:rsidR="006507E8" w:rsidRPr="00286216" w:rsidRDefault="006507E8" w:rsidP="006507E8">
            <w:pPr>
              <w:pStyle w:val="StyleWisnow"/>
              <w:rPr>
                <w:color w:val="000000" w:themeColor="text1"/>
              </w:rPr>
            </w:pPr>
          </w:p>
        </w:tc>
        <w:tc>
          <w:tcPr>
            <w:tcW w:w="4818" w:type="dxa"/>
          </w:tcPr>
          <w:p w14:paraId="045E6851" w14:textId="10A64114" w:rsidR="006507E8" w:rsidRPr="00286216" w:rsidRDefault="006507E8" w:rsidP="006507E8">
            <w:pPr>
              <w:pStyle w:val="StyleZakonu"/>
              <w:rPr>
                <w:color w:val="000000" w:themeColor="text1"/>
              </w:rPr>
            </w:pPr>
            <w:r w:rsidRPr="00286216">
              <w:rPr>
                <w:color w:val="000000" w:themeColor="text1"/>
              </w:rPr>
              <w:t>3) порушення встановленого законодавством порядку прийняття рішення про емісію;</w:t>
            </w:r>
          </w:p>
        </w:tc>
      </w:tr>
      <w:tr w:rsidR="006507E8" w:rsidRPr="00286216" w14:paraId="48335D95" w14:textId="77777777" w:rsidTr="00091AA5">
        <w:tc>
          <w:tcPr>
            <w:tcW w:w="576" w:type="dxa"/>
          </w:tcPr>
          <w:p w14:paraId="5B373D38" w14:textId="77777777" w:rsidR="006507E8" w:rsidRPr="00286216" w:rsidRDefault="006507E8" w:rsidP="006507E8">
            <w:pPr>
              <w:pStyle w:val="StyleWisnow"/>
              <w:rPr>
                <w:color w:val="000000" w:themeColor="text1"/>
              </w:rPr>
            </w:pPr>
            <w:bookmarkStart w:id="1272" w:name="n1535" w:colFirst="0" w:colLast="0"/>
            <w:bookmarkEnd w:id="1271"/>
            <w:r w:rsidRPr="00286216">
              <w:rPr>
                <w:color w:val="000000" w:themeColor="text1"/>
              </w:rPr>
              <w:t>1535.</w:t>
            </w:r>
          </w:p>
        </w:tc>
        <w:tc>
          <w:tcPr>
            <w:tcW w:w="4818" w:type="dxa"/>
          </w:tcPr>
          <w:p w14:paraId="713473B1" w14:textId="77777777" w:rsidR="006507E8" w:rsidRPr="00286216" w:rsidRDefault="006507E8" w:rsidP="006507E8">
            <w:pPr>
              <w:pStyle w:val="StyleZakonu"/>
              <w:rPr>
                <w:color w:val="000000" w:themeColor="text1"/>
              </w:rPr>
            </w:pPr>
            <w:r w:rsidRPr="00286216">
              <w:rPr>
                <w:color w:val="000000" w:themeColor="text1"/>
              </w:rPr>
              <w:t>4) визнання емісії цінних паперів недобросовісною;</w:t>
            </w:r>
          </w:p>
        </w:tc>
        <w:tc>
          <w:tcPr>
            <w:tcW w:w="3686" w:type="dxa"/>
          </w:tcPr>
          <w:p w14:paraId="531D3292" w14:textId="0F1C07F7"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4475227" w14:textId="7508C424" w:rsidR="006507E8" w:rsidRPr="00286216" w:rsidRDefault="006507E8" w:rsidP="006507E8">
            <w:pPr>
              <w:pStyle w:val="StyleProp"/>
              <w:rPr>
                <w:color w:val="000000" w:themeColor="text1"/>
                <w:szCs w:val="18"/>
              </w:rPr>
            </w:pPr>
            <w:r w:rsidRPr="00286216">
              <w:rPr>
                <w:color w:val="000000" w:themeColor="text1"/>
              </w:rPr>
              <w:t>п.4 ч.5 статті 89 виключити..</w:t>
            </w:r>
          </w:p>
        </w:tc>
        <w:tc>
          <w:tcPr>
            <w:tcW w:w="1987" w:type="dxa"/>
          </w:tcPr>
          <w:p w14:paraId="3F275798" w14:textId="3E43C622"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63582940" w14:textId="7D9320AE" w:rsidR="006507E8" w:rsidRPr="00286216" w:rsidRDefault="006507E8" w:rsidP="006507E8">
            <w:pPr>
              <w:pStyle w:val="StyleZakonu"/>
              <w:rPr>
                <w:color w:val="000000" w:themeColor="text1"/>
              </w:rPr>
            </w:pPr>
          </w:p>
        </w:tc>
      </w:tr>
      <w:tr w:rsidR="006507E8" w:rsidRPr="00286216" w14:paraId="14238025" w14:textId="77777777" w:rsidTr="00091AA5">
        <w:tc>
          <w:tcPr>
            <w:tcW w:w="576" w:type="dxa"/>
          </w:tcPr>
          <w:p w14:paraId="7599F517" w14:textId="77777777" w:rsidR="006507E8" w:rsidRPr="00286216" w:rsidRDefault="006507E8" w:rsidP="006507E8">
            <w:pPr>
              <w:pStyle w:val="StyleWisnow"/>
              <w:rPr>
                <w:color w:val="000000" w:themeColor="text1"/>
              </w:rPr>
            </w:pPr>
            <w:bookmarkStart w:id="1273" w:name="n1536" w:colFirst="0" w:colLast="0"/>
            <w:bookmarkEnd w:id="1272"/>
            <w:r w:rsidRPr="00286216">
              <w:rPr>
                <w:color w:val="000000" w:themeColor="text1"/>
              </w:rPr>
              <w:t>1536.</w:t>
            </w:r>
          </w:p>
        </w:tc>
        <w:tc>
          <w:tcPr>
            <w:tcW w:w="4818" w:type="dxa"/>
          </w:tcPr>
          <w:p w14:paraId="2E5C7D00" w14:textId="77777777" w:rsidR="006507E8" w:rsidRPr="00286216" w:rsidRDefault="006507E8" w:rsidP="006507E8">
            <w:pPr>
              <w:pStyle w:val="StyleZakonu"/>
              <w:rPr>
                <w:color w:val="000000" w:themeColor="text1"/>
              </w:rPr>
            </w:pPr>
            <w:r w:rsidRPr="00286216">
              <w:rPr>
                <w:color w:val="000000" w:themeColor="text1"/>
              </w:rPr>
              <w:t xml:space="preserve">5) якщо місцезнаходження емітента відповідно до Єдиного державного реєстру юридичних осіб, фізичних осіб-підприємців та громадських формувань є тимчасово окупована територія України або </w:t>
            </w:r>
            <w:r w:rsidRPr="00286216">
              <w:rPr>
                <w:color w:val="000000" w:themeColor="text1"/>
              </w:rPr>
              <w:lastRenderedPageBreak/>
              <w:t>територія проведення антитерористичної операції або території проведення операції об’єднаних сил.</w:t>
            </w:r>
          </w:p>
        </w:tc>
        <w:tc>
          <w:tcPr>
            <w:tcW w:w="3686" w:type="dxa"/>
          </w:tcPr>
          <w:p w14:paraId="48EB8011" w14:textId="262FA945"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D343667" w14:textId="2CC76369" w:rsidR="006507E8" w:rsidRPr="00286216" w:rsidRDefault="006507E8" w:rsidP="006507E8">
            <w:pPr>
              <w:pStyle w:val="StyleProp"/>
              <w:rPr>
                <w:color w:val="000000" w:themeColor="text1"/>
              </w:rPr>
            </w:pPr>
            <w:r w:rsidRPr="00286216">
              <w:rPr>
                <w:color w:val="000000" w:themeColor="text1"/>
              </w:rPr>
              <w:t xml:space="preserve">У п.5 ч.5 статті 89 слова «є тимчасово окупована територія України або територія проведення антитерористичної операції або </w:t>
            </w:r>
            <w:r w:rsidRPr="00286216">
              <w:rPr>
                <w:color w:val="000000" w:themeColor="text1"/>
              </w:rPr>
              <w:lastRenderedPageBreak/>
              <w:t>території проведення операції об’єднаних сил» замінити словами «є тимчасово окупована територія України».</w:t>
            </w:r>
          </w:p>
        </w:tc>
        <w:tc>
          <w:tcPr>
            <w:tcW w:w="1987" w:type="dxa"/>
          </w:tcPr>
          <w:p w14:paraId="4717D93F" w14:textId="09D8B0A8"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78F618D4" w14:textId="15DA2629" w:rsidR="006507E8" w:rsidRPr="00286216" w:rsidRDefault="006507E8" w:rsidP="006507E8">
            <w:pPr>
              <w:pStyle w:val="StyleZakonu"/>
              <w:rPr>
                <w:color w:val="000000" w:themeColor="text1"/>
              </w:rPr>
            </w:pPr>
            <w:r w:rsidRPr="00286216">
              <w:rPr>
                <w:color w:val="000000" w:themeColor="text1"/>
              </w:rPr>
              <w:t>4) якщо місцезнаходженням емітента відповідно до Єдиного державного реєстру юридичних осіб, фізичних осіб – підприємців та громадських формувань є тимчасово окупована територія України.</w:t>
            </w:r>
          </w:p>
        </w:tc>
      </w:tr>
      <w:tr w:rsidR="006507E8" w:rsidRPr="00286216" w14:paraId="78158E8C" w14:textId="77777777" w:rsidTr="00091AA5">
        <w:tc>
          <w:tcPr>
            <w:tcW w:w="576" w:type="dxa"/>
          </w:tcPr>
          <w:p w14:paraId="30F7BA1F" w14:textId="77777777" w:rsidR="006507E8" w:rsidRPr="00286216" w:rsidRDefault="006507E8" w:rsidP="006507E8">
            <w:pPr>
              <w:pStyle w:val="StyleWisnow"/>
              <w:rPr>
                <w:color w:val="000000" w:themeColor="text1"/>
              </w:rPr>
            </w:pPr>
            <w:bookmarkStart w:id="1274" w:name="n1537" w:colFirst="0" w:colLast="0"/>
            <w:bookmarkEnd w:id="1273"/>
            <w:r w:rsidRPr="00286216">
              <w:rPr>
                <w:color w:val="000000" w:themeColor="text1"/>
              </w:rPr>
              <w:t>1537.</w:t>
            </w:r>
          </w:p>
        </w:tc>
        <w:tc>
          <w:tcPr>
            <w:tcW w:w="4818" w:type="dxa"/>
          </w:tcPr>
          <w:p w14:paraId="2AAC1752" w14:textId="77777777" w:rsidR="006507E8" w:rsidRPr="00286216" w:rsidRDefault="006507E8" w:rsidP="006507E8">
            <w:pPr>
              <w:pStyle w:val="StyleZakonu"/>
              <w:rPr>
                <w:color w:val="000000" w:themeColor="text1"/>
              </w:rPr>
            </w:pPr>
            <w:r w:rsidRPr="00286216">
              <w:rPr>
                <w:color w:val="000000" w:themeColor="text1"/>
              </w:rPr>
              <w:t>Стаття 90. Облік зареєстрованих випусків цінних паперів</w:t>
            </w:r>
          </w:p>
        </w:tc>
        <w:tc>
          <w:tcPr>
            <w:tcW w:w="3686" w:type="dxa"/>
          </w:tcPr>
          <w:p w14:paraId="27077963" w14:textId="77777777" w:rsidR="006507E8" w:rsidRPr="00286216" w:rsidRDefault="006507E8" w:rsidP="006507E8">
            <w:pPr>
              <w:pStyle w:val="StyleProp"/>
              <w:rPr>
                <w:color w:val="000000" w:themeColor="text1"/>
                <w:szCs w:val="18"/>
              </w:rPr>
            </w:pPr>
          </w:p>
        </w:tc>
        <w:tc>
          <w:tcPr>
            <w:tcW w:w="1987" w:type="dxa"/>
          </w:tcPr>
          <w:p w14:paraId="64C88136" w14:textId="77777777" w:rsidR="006507E8" w:rsidRPr="00286216" w:rsidRDefault="006507E8" w:rsidP="006507E8">
            <w:pPr>
              <w:pStyle w:val="StyleWisnow"/>
              <w:rPr>
                <w:color w:val="000000" w:themeColor="text1"/>
              </w:rPr>
            </w:pPr>
          </w:p>
        </w:tc>
        <w:tc>
          <w:tcPr>
            <w:tcW w:w="4818" w:type="dxa"/>
          </w:tcPr>
          <w:p w14:paraId="7B11E1EF" w14:textId="4FDD3F37" w:rsidR="006507E8" w:rsidRPr="00286216" w:rsidRDefault="006507E8" w:rsidP="006507E8">
            <w:pPr>
              <w:pStyle w:val="StyleZakonu"/>
              <w:rPr>
                <w:color w:val="000000" w:themeColor="text1"/>
              </w:rPr>
            </w:pPr>
            <w:r w:rsidRPr="00286216">
              <w:rPr>
                <w:color w:val="000000" w:themeColor="text1"/>
              </w:rPr>
              <w:t>Стаття 94. Облік зареєстрованих випусків цінних паперів</w:t>
            </w:r>
          </w:p>
        </w:tc>
      </w:tr>
      <w:tr w:rsidR="006507E8" w:rsidRPr="00286216" w14:paraId="3D66A618" w14:textId="77777777" w:rsidTr="00091AA5">
        <w:tc>
          <w:tcPr>
            <w:tcW w:w="576" w:type="dxa"/>
          </w:tcPr>
          <w:p w14:paraId="6E0A9375" w14:textId="77777777" w:rsidR="006507E8" w:rsidRPr="00286216" w:rsidRDefault="006507E8" w:rsidP="006507E8">
            <w:pPr>
              <w:pStyle w:val="StyleWisnow"/>
              <w:rPr>
                <w:color w:val="000000" w:themeColor="text1"/>
              </w:rPr>
            </w:pPr>
            <w:bookmarkStart w:id="1275" w:name="n1538" w:colFirst="0" w:colLast="0"/>
            <w:bookmarkEnd w:id="1274"/>
            <w:r w:rsidRPr="00286216">
              <w:rPr>
                <w:color w:val="000000" w:themeColor="text1"/>
              </w:rPr>
              <w:t>1538.</w:t>
            </w:r>
          </w:p>
        </w:tc>
        <w:tc>
          <w:tcPr>
            <w:tcW w:w="4818" w:type="dxa"/>
          </w:tcPr>
          <w:p w14:paraId="26C7E06C" w14:textId="77777777" w:rsidR="006507E8" w:rsidRPr="00286216" w:rsidRDefault="006507E8" w:rsidP="006507E8">
            <w:pPr>
              <w:pStyle w:val="StyleZakonu"/>
              <w:rPr>
                <w:color w:val="000000" w:themeColor="text1"/>
              </w:rPr>
            </w:pPr>
            <w:r w:rsidRPr="00286216">
              <w:rPr>
                <w:color w:val="000000" w:themeColor="text1"/>
              </w:rPr>
              <w:t>1. Національна комісія з цінних паперів та фондового ринку веде Державний реєстр випусків цінних паперів у встановленому нею порядку.</w:t>
            </w:r>
          </w:p>
        </w:tc>
        <w:tc>
          <w:tcPr>
            <w:tcW w:w="3686" w:type="dxa"/>
          </w:tcPr>
          <w:p w14:paraId="5CF95EE2" w14:textId="23F88D75"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5B9E129"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Частину першу статті 90 після слів «випусків цінних паперів» доповнити словами «щодо яких здійснюється публічна пропозиція».</w:t>
            </w:r>
          </w:p>
        </w:tc>
        <w:tc>
          <w:tcPr>
            <w:tcW w:w="1987" w:type="dxa"/>
          </w:tcPr>
          <w:p w14:paraId="26FFD2AA"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3F418565" w14:textId="5AA9ADAC"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p w14:paraId="4FA75207" w14:textId="77777777" w:rsidR="006507E8" w:rsidRPr="00286216" w:rsidRDefault="006507E8" w:rsidP="006507E8">
            <w:pPr>
              <w:pStyle w:val="StyleWisnow"/>
              <w:rPr>
                <w:color w:val="000000" w:themeColor="text1"/>
              </w:rPr>
            </w:pPr>
          </w:p>
        </w:tc>
        <w:tc>
          <w:tcPr>
            <w:tcW w:w="4818" w:type="dxa"/>
          </w:tcPr>
          <w:p w14:paraId="6102A451" w14:textId="2011A09E" w:rsidR="006507E8" w:rsidRPr="00286216" w:rsidRDefault="006507E8" w:rsidP="006507E8">
            <w:pPr>
              <w:pStyle w:val="StyleZakonu"/>
              <w:rPr>
                <w:color w:val="000000" w:themeColor="text1"/>
              </w:rPr>
            </w:pPr>
            <w:r w:rsidRPr="00286216">
              <w:rPr>
                <w:color w:val="000000" w:themeColor="text1"/>
              </w:rPr>
              <w:t>1. Національна комісія з цінних паперів та фондового ринку веде Державний реєстр випусків цінних паперів у встановленому нею порядку.</w:t>
            </w:r>
          </w:p>
        </w:tc>
      </w:tr>
      <w:tr w:rsidR="006507E8" w:rsidRPr="00286216" w14:paraId="550FAF0B" w14:textId="77777777" w:rsidTr="00091AA5">
        <w:tc>
          <w:tcPr>
            <w:tcW w:w="576" w:type="dxa"/>
          </w:tcPr>
          <w:p w14:paraId="25FECB6D" w14:textId="77777777" w:rsidR="006507E8" w:rsidRPr="00286216" w:rsidRDefault="006507E8" w:rsidP="006507E8">
            <w:pPr>
              <w:pStyle w:val="StyleWisnow"/>
              <w:rPr>
                <w:color w:val="000000" w:themeColor="text1"/>
              </w:rPr>
            </w:pPr>
            <w:bookmarkStart w:id="1276" w:name="n1539" w:colFirst="0" w:colLast="0"/>
            <w:bookmarkEnd w:id="1275"/>
            <w:r w:rsidRPr="00286216">
              <w:rPr>
                <w:color w:val="000000" w:themeColor="text1"/>
              </w:rPr>
              <w:t>1539.</w:t>
            </w:r>
          </w:p>
        </w:tc>
        <w:tc>
          <w:tcPr>
            <w:tcW w:w="4818" w:type="dxa"/>
          </w:tcPr>
          <w:p w14:paraId="3ACECCDF" w14:textId="77777777"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встановлює порядок доступу учасників ринків капіталу до інформації, що міститься в Державному реєстрі випусків цінних паперів. Такий доступ є безоплатним.</w:t>
            </w:r>
          </w:p>
        </w:tc>
        <w:tc>
          <w:tcPr>
            <w:tcW w:w="3686" w:type="dxa"/>
          </w:tcPr>
          <w:p w14:paraId="2A964A4D" w14:textId="6717E5D9"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62AD23CB"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Частину другу статті 90 після слів «випусків цінних паперів» доповнити словами «щодо яких здійснюється публічна пропозиція».</w:t>
            </w:r>
          </w:p>
        </w:tc>
        <w:tc>
          <w:tcPr>
            <w:tcW w:w="1987" w:type="dxa"/>
          </w:tcPr>
          <w:p w14:paraId="274308F3"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51BB22D3" w14:textId="3A7886BC"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p w14:paraId="1333DC9C" w14:textId="77777777" w:rsidR="006507E8" w:rsidRPr="00286216" w:rsidRDefault="006507E8" w:rsidP="006507E8">
            <w:pPr>
              <w:pStyle w:val="StyleWisnow"/>
              <w:rPr>
                <w:color w:val="000000" w:themeColor="text1"/>
              </w:rPr>
            </w:pPr>
          </w:p>
        </w:tc>
        <w:tc>
          <w:tcPr>
            <w:tcW w:w="4818" w:type="dxa"/>
          </w:tcPr>
          <w:p w14:paraId="47A30BFC" w14:textId="738CAA24"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встановлює порядок доступу учасників ринків капіталу до інформації, що міститься в Державному реєстрі випусків цінних паперів. Такий доступ є безоплатним.</w:t>
            </w:r>
          </w:p>
        </w:tc>
      </w:tr>
      <w:tr w:rsidR="006507E8" w:rsidRPr="00286216" w14:paraId="0407A461" w14:textId="77777777" w:rsidTr="00091AA5">
        <w:tc>
          <w:tcPr>
            <w:tcW w:w="576" w:type="dxa"/>
          </w:tcPr>
          <w:p w14:paraId="55BB136F" w14:textId="77777777" w:rsidR="006507E8" w:rsidRPr="00286216" w:rsidRDefault="006507E8" w:rsidP="006507E8">
            <w:pPr>
              <w:pStyle w:val="StyleWisnow"/>
              <w:rPr>
                <w:color w:val="000000" w:themeColor="text1"/>
              </w:rPr>
            </w:pPr>
            <w:bookmarkStart w:id="1277" w:name="n1540" w:colFirst="0" w:colLast="0"/>
            <w:bookmarkEnd w:id="1276"/>
            <w:r w:rsidRPr="00286216">
              <w:rPr>
                <w:color w:val="000000" w:themeColor="text1"/>
              </w:rPr>
              <w:t>1540.</w:t>
            </w:r>
          </w:p>
        </w:tc>
        <w:tc>
          <w:tcPr>
            <w:tcW w:w="4818" w:type="dxa"/>
          </w:tcPr>
          <w:p w14:paraId="04E56C62" w14:textId="77777777" w:rsidR="006507E8" w:rsidRPr="00286216" w:rsidRDefault="006507E8" w:rsidP="006507E8">
            <w:pPr>
              <w:pStyle w:val="StyleZakonu"/>
              <w:rPr>
                <w:color w:val="000000" w:themeColor="text1"/>
              </w:rPr>
            </w:pPr>
            <w:bookmarkStart w:id="1278" w:name="_Ref22073097"/>
            <w:r w:rsidRPr="00286216">
              <w:rPr>
                <w:color w:val="000000" w:themeColor="text1"/>
              </w:rPr>
              <w:t>Стаття 91. Звіт про результати емісії цінних паперів</w:t>
            </w:r>
            <w:bookmarkEnd w:id="1278"/>
          </w:p>
        </w:tc>
        <w:tc>
          <w:tcPr>
            <w:tcW w:w="3686" w:type="dxa"/>
          </w:tcPr>
          <w:p w14:paraId="707BA405" w14:textId="77777777" w:rsidR="006507E8" w:rsidRPr="00286216" w:rsidRDefault="006507E8" w:rsidP="006507E8">
            <w:pPr>
              <w:pStyle w:val="StyleProp"/>
              <w:rPr>
                <w:color w:val="000000" w:themeColor="text1"/>
                <w:szCs w:val="18"/>
              </w:rPr>
            </w:pPr>
          </w:p>
        </w:tc>
        <w:tc>
          <w:tcPr>
            <w:tcW w:w="1987" w:type="dxa"/>
          </w:tcPr>
          <w:p w14:paraId="52504B67" w14:textId="77777777" w:rsidR="006507E8" w:rsidRPr="00286216" w:rsidRDefault="006507E8" w:rsidP="006507E8">
            <w:pPr>
              <w:pStyle w:val="StyleWisnow"/>
              <w:rPr>
                <w:color w:val="000000" w:themeColor="text1"/>
              </w:rPr>
            </w:pPr>
          </w:p>
        </w:tc>
        <w:tc>
          <w:tcPr>
            <w:tcW w:w="4818" w:type="dxa"/>
          </w:tcPr>
          <w:p w14:paraId="6D69845C" w14:textId="131F9945" w:rsidR="006507E8" w:rsidRPr="00286216" w:rsidRDefault="006507E8" w:rsidP="006507E8">
            <w:pPr>
              <w:pStyle w:val="StyleZakonu"/>
              <w:rPr>
                <w:color w:val="000000" w:themeColor="text1"/>
              </w:rPr>
            </w:pPr>
            <w:r w:rsidRPr="00286216">
              <w:rPr>
                <w:color w:val="000000" w:themeColor="text1"/>
              </w:rPr>
              <w:t>Стаття 95. Звіт про результати емісії цінних паперів</w:t>
            </w:r>
          </w:p>
        </w:tc>
      </w:tr>
      <w:tr w:rsidR="006507E8" w:rsidRPr="00286216" w14:paraId="38BE8B2F" w14:textId="77777777" w:rsidTr="00091AA5">
        <w:tc>
          <w:tcPr>
            <w:tcW w:w="576" w:type="dxa"/>
          </w:tcPr>
          <w:p w14:paraId="3439C088" w14:textId="77777777" w:rsidR="006507E8" w:rsidRPr="00286216" w:rsidRDefault="006507E8" w:rsidP="006507E8">
            <w:pPr>
              <w:pStyle w:val="StyleWisnow"/>
              <w:rPr>
                <w:color w:val="000000" w:themeColor="text1"/>
              </w:rPr>
            </w:pPr>
            <w:bookmarkStart w:id="1279" w:name="n1541" w:colFirst="0" w:colLast="0"/>
            <w:bookmarkEnd w:id="1277"/>
            <w:r w:rsidRPr="00286216">
              <w:rPr>
                <w:color w:val="000000" w:themeColor="text1"/>
              </w:rPr>
              <w:t>1541.</w:t>
            </w:r>
          </w:p>
        </w:tc>
        <w:tc>
          <w:tcPr>
            <w:tcW w:w="4818" w:type="dxa"/>
          </w:tcPr>
          <w:p w14:paraId="269BEA17" w14:textId="77777777" w:rsidR="006507E8" w:rsidRPr="00286216" w:rsidRDefault="006507E8" w:rsidP="006507E8">
            <w:pPr>
              <w:pStyle w:val="StyleZakonu"/>
              <w:rPr>
                <w:color w:val="000000" w:themeColor="text1"/>
              </w:rPr>
            </w:pPr>
            <w:r w:rsidRPr="00286216">
              <w:rPr>
                <w:color w:val="000000" w:themeColor="text1"/>
              </w:rPr>
              <w:t>1. Емітент акцій подає до Національної комісії з цінних паперів та фондового ринку у 30-денний строк з дня прийняття на загальних зборах акціонерів рішення про внесення змін до статуту товариства (у випадках визначених законом щодо обов’язкового погодження змін до статуту з відповідними державними органами протягом 5 робочих днів з дати отримання такого погодження), звіт про результати емісії акцій та інші визначені Національною комісією з цінних паперів та фондового ринку документи, необхідні для реєстрації звіту.</w:t>
            </w:r>
          </w:p>
        </w:tc>
        <w:tc>
          <w:tcPr>
            <w:tcW w:w="3686" w:type="dxa"/>
          </w:tcPr>
          <w:p w14:paraId="46702F2D" w14:textId="2AE4A311"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8CE9B60"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Абзац перший частини першої статті 91 розділу VI розділу 1 законопроекту після слів «звіт про результати емісії акцій» доповнити словами «щодо яких здійснюється публічна пропозиція».</w:t>
            </w:r>
          </w:p>
        </w:tc>
        <w:tc>
          <w:tcPr>
            <w:tcW w:w="1987" w:type="dxa"/>
          </w:tcPr>
          <w:p w14:paraId="092B9D67"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69421EA1" w14:textId="3CD5BFAD"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p w14:paraId="289DF8C1" w14:textId="77777777" w:rsidR="006507E8" w:rsidRPr="00286216" w:rsidRDefault="006507E8" w:rsidP="006507E8">
            <w:pPr>
              <w:pStyle w:val="StyleWisnow"/>
              <w:rPr>
                <w:color w:val="000000" w:themeColor="text1"/>
              </w:rPr>
            </w:pPr>
          </w:p>
        </w:tc>
        <w:tc>
          <w:tcPr>
            <w:tcW w:w="4818" w:type="dxa"/>
          </w:tcPr>
          <w:p w14:paraId="4F5CDE07" w14:textId="5F330CF9" w:rsidR="006507E8" w:rsidRPr="00286216" w:rsidRDefault="006507E8" w:rsidP="006507E8">
            <w:pPr>
              <w:pStyle w:val="StyleZakonu"/>
              <w:rPr>
                <w:color w:val="000000" w:themeColor="text1"/>
              </w:rPr>
            </w:pPr>
            <w:r w:rsidRPr="00286216">
              <w:rPr>
                <w:color w:val="000000" w:themeColor="text1"/>
              </w:rPr>
              <w:t>1. Емітент акцій подає до Національної комісії з цінних паперів та фондового ринку у 30-денний строк з дня прийняття на загальних зборах акціонерів рішення про внесення змін до статуту товариства (у випадках визначених законом щодо обов’язкового погодження змін до статуту з відповідними державними органами протягом п’яти робочих днів з дати отримання такого погодження) звіт про результати емісії акцій та інші визначені Національною комісією з цінних паперів та фондового ринку документи, необхідні для реєстрації звіту.</w:t>
            </w:r>
          </w:p>
        </w:tc>
      </w:tr>
      <w:tr w:rsidR="006507E8" w:rsidRPr="00286216" w14:paraId="319A459C" w14:textId="77777777" w:rsidTr="00091AA5">
        <w:tc>
          <w:tcPr>
            <w:tcW w:w="576" w:type="dxa"/>
          </w:tcPr>
          <w:p w14:paraId="00EE5F59" w14:textId="77777777" w:rsidR="006507E8" w:rsidRPr="00286216" w:rsidRDefault="006507E8" w:rsidP="006507E8">
            <w:pPr>
              <w:pStyle w:val="StyleWisnow"/>
              <w:rPr>
                <w:color w:val="000000" w:themeColor="text1"/>
              </w:rPr>
            </w:pPr>
            <w:bookmarkStart w:id="1280" w:name="n1542" w:colFirst="0" w:colLast="0"/>
            <w:bookmarkEnd w:id="1279"/>
            <w:r w:rsidRPr="00286216">
              <w:rPr>
                <w:color w:val="000000" w:themeColor="text1"/>
              </w:rPr>
              <w:t>1542.</w:t>
            </w:r>
          </w:p>
        </w:tc>
        <w:tc>
          <w:tcPr>
            <w:tcW w:w="4818" w:type="dxa"/>
          </w:tcPr>
          <w:p w14:paraId="53CC8191" w14:textId="77777777" w:rsidR="006507E8" w:rsidRPr="00286216" w:rsidRDefault="006507E8" w:rsidP="006507E8">
            <w:pPr>
              <w:pStyle w:val="StyleZakonu"/>
              <w:rPr>
                <w:color w:val="000000" w:themeColor="text1"/>
              </w:rPr>
            </w:pPr>
            <w:r w:rsidRPr="00286216">
              <w:rPr>
                <w:color w:val="000000" w:themeColor="text1"/>
              </w:rPr>
              <w:t>Емітент цінних паперів (крім акцій) подає до Національної комісії з цінних паперів та фондового ринку 15-денний строк з дня затвердження результатів емісії цінних паперів (крім акцій) органом емітента, уповноваженим приймати таке рішення, звіт про результати емісії цінних паперів (крім акцій), та інші визначені Національною комісією з цінних паперів та фондового ринку документи, необхідні для реєстрації звіту.</w:t>
            </w:r>
          </w:p>
        </w:tc>
        <w:tc>
          <w:tcPr>
            <w:tcW w:w="3686" w:type="dxa"/>
          </w:tcPr>
          <w:p w14:paraId="67938645" w14:textId="4DD888D1"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192EE45"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Абзац другий частини першої статті 91 розділу VI розділу 1 законопроекту після слів «емісії цінних паперів» доповнити словами «щодо яких здійснюється публічна пропозиція».</w:t>
            </w:r>
          </w:p>
        </w:tc>
        <w:tc>
          <w:tcPr>
            <w:tcW w:w="1987" w:type="dxa"/>
          </w:tcPr>
          <w:p w14:paraId="1CCB8172"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79850FB2" w14:textId="4B158684"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tc>
        <w:tc>
          <w:tcPr>
            <w:tcW w:w="4818" w:type="dxa"/>
          </w:tcPr>
          <w:p w14:paraId="00B818C1" w14:textId="54C53D84" w:rsidR="006507E8" w:rsidRPr="00286216" w:rsidRDefault="006507E8" w:rsidP="006507E8">
            <w:pPr>
              <w:pStyle w:val="StyleZakonu"/>
              <w:rPr>
                <w:color w:val="000000" w:themeColor="text1"/>
              </w:rPr>
            </w:pPr>
            <w:r w:rsidRPr="00286216">
              <w:rPr>
                <w:color w:val="000000" w:themeColor="text1"/>
              </w:rPr>
              <w:t>Емітент цінних паперів (крім акцій) подає до Національної комісії з цінних паперів та фондового ринку в 15-денний строк з дня затвердження результатів емісії цінних паперів (крім акцій) органом емітента, уповноваженим приймати таке рішення, звіт про результати емісії цінних паперів (крім акцій) та інші визначені Національною комісією з цінних паперів та фондового ринку документи, необхідні для реєстрації звіту.</w:t>
            </w:r>
          </w:p>
        </w:tc>
      </w:tr>
      <w:tr w:rsidR="006507E8" w:rsidRPr="00286216" w14:paraId="56804410" w14:textId="77777777" w:rsidTr="00091AA5">
        <w:tc>
          <w:tcPr>
            <w:tcW w:w="576" w:type="dxa"/>
          </w:tcPr>
          <w:p w14:paraId="066D2C92" w14:textId="77777777" w:rsidR="006507E8" w:rsidRPr="00286216" w:rsidRDefault="006507E8" w:rsidP="006507E8">
            <w:pPr>
              <w:pStyle w:val="StyleWisnow"/>
              <w:rPr>
                <w:color w:val="000000" w:themeColor="text1"/>
              </w:rPr>
            </w:pPr>
            <w:bookmarkStart w:id="1281" w:name="n1543" w:colFirst="0" w:colLast="0"/>
            <w:bookmarkEnd w:id="1280"/>
            <w:r w:rsidRPr="00286216">
              <w:rPr>
                <w:color w:val="000000" w:themeColor="text1"/>
              </w:rPr>
              <w:t>1543.</w:t>
            </w:r>
          </w:p>
        </w:tc>
        <w:tc>
          <w:tcPr>
            <w:tcW w:w="4818" w:type="dxa"/>
          </w:tcPr>
          <w:p w14:paraId="2553932D" w14:textId="77777777" w:rsidR="006507E8" w:rsidRPr="00286216" w:rsidRDefault="006507E8" w:rsidP="006507E8">
            <w:pPr>
              <w:pStyle w:val="StyleZakonu"/>
              <w:rPr>
                <w:color w:val="000000" w:themeColor="text1"/>
              </w:rPr>
            </w:pPr>
            <w:r w:rsidRPr="00286216">
              <w:rPr>
                <w:color w:val="000000" w:themeColor="text1"/>
              </w:rPr>
              <w:t>2. Кількість фактично розміщених цінних паперів зазначається у звіті про результати емісії цінних паперів, що складається на підставі затверджених результатів емісії.</w:t>
            </w:r>
          </w:p>
        </w:tc>
        <w:tc>
          <w:tcPr>
            <w:tcW w:w="3686" w:type="dxa"/>
          </w:tcPr>
          <w:p w14:paraId="1241F509" w14:textId="77777777" w:rsidR="006507E8" w:rsidRPr="00286216" w:rsidRDefault="006507E8" w:rsidP="006507E8">
            <w:pPr>
              <w:pStyle w:val="StyleProp"/>
              <w:rPr>
                <w:color w:val="000000" w:themeColor="text1"/>
                <w:szCs w:val="18"/>
              </w:rPr>
            </w:pPr>
          </w:p>
        </w:tc>
        <w:tc>
          <w:tcPr>
            <w:tcW w:w="1987" w:type="dxa"/>
          </w:tcPr>
          <w:p w14:paraId="076227A3" w14:textId="77777777" w:rsidR="006507E8" w:rsidRPr="00286216" w:rsidRDefault="006507E8" w:rsidP="006507E8">
            <w:pPr>
              <w:pStyle w:val="StyleWisnow"/>
              <w:rPr>
                <w:color w:val="000000" w:themeColor="text1"/>
              </w:rPr>
            </w:pPr>
          </w:p>
        </w:tc>
        <w:tc>
          <w:tcPr>
            <w:tcW w:w="4818" w:type="dxa"/>
          </w:tcPr>
          <w:p w14:paraId="5B974D60" w14:textId="0163B64C" w:rsidR="006507E8" w:rsidRPr="00286216" w:rsidRDefault="006507E8" w:rsidP="006507E8">
            <w:pPr>
              <w:pStyle w:val="StyleZakonu"/>
              <w:rPr>
                <w:color w:val="000000" w:themeColor="text1"/>
              </w:rPr>
            </w:pPr>
            <w:r w:rsidRPr="00286216">
              <w:rPr>
                <w:color w:val="000000" w:themeColor="text1"/>
              </w:rPr>
              <w:t>2. Кількість фактично розміщених цінних паперів зазначається у звіті про результати емісії цінних паперів, що складається на підставі затверджених результатів емісії.</w:t>
            </w:r>
          </w:p>
        </w:tc>
      </w:tr>
      <w:tr w:rsidR="006507E8" w:rsidRPr="00286216" w14:paraId="3C4BB605" w14:textId="77777777" w:rsidTr="00091AA5">
        <w:tc>
          <w:tcPr>
            <w:tcW w:w="576" w:type="dxa"/>
          </w:tcPr>
          <w:p w14:paraId="11BFF66D" w14:textId="77777777" w:rsidR="006507E8" w:rsidRPr="00286216" w:rsidRDefault="006507E8" w:rsidP="006507E8">
            <w:pPr>
              <w:pStyle w:val="StyleWisnow"/>
              <w:rPr>
                <w:color w:val="000000" w:themeColor="text1"/>
              </w:rPr>
            </w:pPr>
            <w:bookmarkStart w:id="1282" w:name="n1544" w:colFirst="0" w:colLast="0"/>
            <w:bookmarkEnd w:id="1281"/>
            <w:r w:rsidRPr="00286216">
              <w:rPr>
                <w:color w:val="000000" w:themeColor="text1"/>
              </w:rPr>
              <w:t>1544.</w:t>
            </w:r>
          </w:p>
        </w:tc>
        <w:tc>
          <w:tcPr>
            <w:tcW w:w="4818" w:type="dxa"/>
          </w:tcPr>
          <w:p w14:paraId="0C5D7A8F" w14:textId="77777777" w:rsidR="006507E8" w:rsidRPr="00286216" w:rsidRDefault="006507E8" w:rsidP="006507E8">
            <w:pPr>
              <w:pStyle w:val="StyleZakonu"/>
              <w:rPr>
                <w:color w:val="000000" w:themeColor="text1"/>
              </w:rPr>
            </w:pPr>
            <w:r w:rsidRPr="00286216">
              <w:rPr>
                <w:color w:val="000000" w:themeColor="text1"/>
              </w:rPr>
              <w:t xml:space="preserve">Затвердження результатів емісії (у разі емісії акцій - також внесення відповідних змін до статуту) </w:t>
            </w:r>
            <w:r w:rsidRPr="00286216">
              <w:rPr>
                <w:color w:val="000000" w:themeColor="text1"/>
              </w:rPr>
              <w:lastRenderedPageBreak/>
              <w:t>органом емітента, уповноваженим приймати таке рішення, здійснюється протягом 60 днів з дня закінчення строку розміщення цінних паперів.</w:t>
            </w:r>
          </w:p>
        </w:tc>
        <w:tc>
          <w:tcPr>
            <w:tcW w:w="3686" w:type="dxa"/>
          </w:tcPr>
          <w:p w14:paraId="793373F2" w14:textId="77777777" w:rsidR="006507E8" w:rsidRPr="00286216" w:rsidRDefault="006507E8" w:rsidP="006507E8">
            <w:pPr>
              <w:pStyle w:val="StyleProp"/>
              <w:rPr>
                <w:color w:val="000000" w:themeColor="text1"/>
                <w:szCs w:val="18"/>
              </w:rPr>
            </w:pPr>
          </w:p>
        </w:tc>
        <w:tc>
          <w:tcPr>
            <w:tcW w:w="1987" w:type="dxa"/>
          </w:tcPr>
          <w:p w14:paraId="45F40D5D" w14:textId="77777777" w:rsidR="006507E8" w:rsidRPr="00286216" w:rsidRDefault="006507E8" w:rsidP="006507E8">
            <w:pPr>
              <w:pStyle w:val="StyleWisnow"/>
              <w:rPr>
                <w:color w:val="000000" w:themeColor="text1"/>
              </w:rPr>
            </w:pPr>
          </w:p>
        </w:tc>
        <w:tc>
          <w:tcPr>
            <w:tcW w:w="4818" w:type="dxa"/>
          </w:tcPr>
          <w:p w14:paraId="3EB18BC4" w14:textId="03E56A0D" w:rsidR="006507E8" w:rsidRPr="00286216" w:rsidRDefault="006507E8" w:rsidP="006507E8">
            <w:pPr>
              <w:pStyle w:val="StyleZakonu"/>
              <w:rPr>
                <w:color w:val="000000" w:themeColor="text1"/>
              </w:rPr>
            </w:pPr>
            <w:r w:rsidRPr="00286216">
              <w:rPr>
                <w:color w:val="000000" w:themeColor="text1"/>
              </w:rPr>
              <w:t xml:space="preserve">Затвердження результатів емісії (у разі емісії акцій - також внесення відповідних змін до статуту) </w:t>
            </w:r>
            <w:r w:rsidRPr="00286216">
              <w:rPr>
                <w:color w:val="000000" w:themeColor="text1"/>
              </w:rPr>
              <w:lastRenderedPageBreak/>
              <w:t>органом емітента, уповноваженим приймати таке рішення, здійснюється протягом 60 днів з дня закінчення строку розміщення цінних паперів.</w:t>
            </w:r>
          </w:p>
        </w:tc>
      </w:tr>
      <w:tr w:rsidR="006507E8" w:rsidRPr="00286216" w14:paraId="784E6C1D" w14:textId="77777777" w:rsidTr="00091AA5">
        <w:tc>
          <w:tcPr>
            <w:tcW w:w="576" w:type="dxa"/>
          </w:tcPr>
          <w:p w14:paraId="3F92B329" w14:textId="77777777" w:rsidR="006507E8" w:rsidRPr="00286216" w:rsidRDefault="006507E8" w:rsidP="006507E8">
            <w:pPr>
              <w:pStyle w:val="StyleWisnow"/>
              <w:rPr>
                <w:color w:val="000000" w:themeColor="text1"/>
              </w:rPr>
            </w:pPr>
            <w:bookmarkStart w:id="1283" w:name="n1545" w:colFirst="0" w:colLast="0"/>
            <w:bookmarkEnd w:id="1282"/>
            <w:r w:rsidRPr="00286216">
              <w:rPr>
                <w:color w:val="000000" w:themeColor="text1"/>
              </w:rPr>
              <w:lastRenderedPageBreak/>
              <w:t>1545.</w:t>
            </w:r>
          </w:p>
        </w:tc>
        <w:tc>
          <w:tcPr>
            <w:tcW w:w="4818" w:type="dxa"/>
          </w:tcPr>
          <w:p w14:paraId="79F00176" w14:textId="77777777" w:rsidR="006507E8" w:rsidRPr="00286216" w:rsidRDefault="006507E8" w:rsidP="006507E8">
            <w:pPr>
              <w:pStyle w:val="StyleZakonu"/>
              <w:rPr>
                <w:color w:val="000000" w:themeColor="text1"/>
              </w:rPr>
            </w:pPr>
            <w:r w:rsidRPr="00286216">
              <w:rPr>
                <w:color w:val="000000" w:themeColor="text1"/>
              </w:rPr>
              <w:t>3. У разі додаткової емісії акцій у звіті про результати емісії акцій також зазначається кількість фактично придбаних акцій під час реалізації переважного права.</w:t>
            </w:r>
          </w:p>
        </w:tc>
        <w:tc>
          <w:tcPr>
            <w:tcW w:w="3686" w:type="dxa"/>
          </w:tcPr>
          <w:p w14:paraId="0774F658" w14:textId="7D054C3B"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D1B45CB"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Частину третю статті 91 після слів «результати емісії акцій» доповнити словами «щодо яких здійснюється публічна пропозиція».</w:t>
            </w:r>
          </w:p>
        </w:tc>
        <w:tc>
          <w:tcPr>
            <w:tcW w:w="1987" w:type="dxa"/>
          </w:tcPr>
          <w:p w14:paraId="0A513C97"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0B16BE97" w14:textId="13D65796"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029A662D" w14:textId="1EEEAF67" w:rsidR="006507E8" w:rsidRPr="00286216" w:rsidRDefault="006507E8" w:rsidP="006507E8">
            <w:pPr>
              <w:pStyle w:val="StyleZakonu"/>
              <w:rPr>
                <w:color w:val="000000" w:themeColor="text1"/>
              </w:rPr>
            </w:pPr>
            <w:r w:rsidRPr="00286216">
              <w:rPr>
                <w:color w:val="000000" w:themeColor="text1"/>
              </w:rPr>
              <w:t>3. У разі додаткової емісії акцій у звіті про результати емісії акцій також зазначається кількість фактично придбаних акцій під час реалізації переважного права.</w:t>
            </w:r>
          </w:p>
        </w:tc>
      </w:tr>
      <w:tr w:rsidR="006507E8" w:rsidRPr="00286216" w14:paraId="50215820" w14:textId="77777777" w:rsidTr="00091AA5">
        <w:tc>
          <w:tcPr>
            <w:tcW w:w="576" w:type="dxa"/>
          </w:tcPr>
          <w:p w14:paraId="73969556" w14:textId="77777777" w:rsidR="006507E8" w:rsidRPr="00286216" w:rsidRDefault="006507E8" w:rsidP="006507E8">
            <w:pPr>
              <w:pStyle w:val="StyleWisnow"/>
              <w:rPr>
                <w:color w:val="000000" w:themeColor="text1"/>
              </w:rPr>
            </w:pPr>
            <w:bookmarkStart w:id="1284" w:name="n1546" w:colFirst="0" w:colLast="0"/>
            <w:bookmarkEnd w:id="1283"/>
            <w:r w:rsidRPr="00286216">
              <w:rPr>
                <w:color w:val="000000" w:themeColor="text1"/>
              </w:rPr>
              <w:t>1546.</w:t>
            </w:r>
          </w:p>
        </w:tc>
        <w:tc>
          <w:tcPr>
            <w:tcW w:w="4818" w:type="dxa"/>
          </w:tcPr>
          <w:p w14:paraId="72EBFE4C" w14:textId="77777777" w:rsidR="006507E8" w:rsidRPr="00286216" w:rsidRDefault="006507E8" w:rsidP="006507E8">
            <w:pPr>
              <w:pStyle w:val="StyleZakonu"/>
              <w:rPr>
                <w:color w:val="000000" w:themeColor="text1"/>
              </w:rPr>
            </w:pPr>
            <w:r w:rsidRPr="00286216">
              <w:rPr>
                <w:color w:val="000000" w:themeColor="text1"/>
              </w:rPr>
              <w:t>4. Звіт про результати емісії цінних паперів підлягає оприлюдненню у випадках, встановлених цим Законом.</w:t>
            </w:r>
          </w:p>
        </w:tc>
        <w:tc>
          <w:tcPr>
            <w:tcW w:w="3686" w:type="dxa"/>
          </w:tcPr>
          <w:p w14:paraId="6287A5C4" w14:textId="781A70C0"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8EF294C"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Частину четверту статті 91 після слів «результати емісії цінних паперів» доповнити словами «щодо яких здійснюється публічна пропозиція».</w:t>
            </w:r>
          </w:p>
        </w:tc>
        <w:tc>
          <w:tcPr>
            <w:tcW w:w="1987" w:type="dxa"/>
          </w:tcPr>
          <w:p w14:paraId="5A0FFAF6"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65C783C9" w14:textId="20EAE2F8"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3217A4FD" w14:textId="34A331A1" w:rsidR="006507E8" w:rsidRPr="00286216" w:rsidRDefault="006507E8" w:rsidP="006507E8">
            <w:pPr>
              <w:pStyle w:val="StyleZakonu"/>
              <w:rPr>
                <w:color w:val="000000" w:themeColor="text1"/>
              </w:rPr>
            </w:pPr>
            <w:r w:rsidRPr="00286216">
              <w:rPr>
                <w:color w:val="000000" w:themeColor="text1"/>
              </w:rPr>
              <w:t>4. Звіт про результати емісії цінних паперів підлягає оприлюдненню у випадках, встановлених цим Законом.</w:t>
            </w:r>
          </w:p>
        </w:tc>
      </w:tr>
      <w:tr w:rsidR="006507E8" w:rsidRPr="00286216" w14:paraId="14885AD9" w14:textId="77777777" w:rsidTr="00091AA5">
        <w:tc>
          <w:tcPr>
            <w:tcW w:w="576" w:type="dxa"/>
          </w:tcPr>
          <w:p w14:paraId="2A3E91C7" w14:textId="77777777" w:rsidR="006507E8" w:rsidRPr="00286216" w:rsidRDefault="006507E8" w:rsidP="006507E8">
            <w:pPr>
              <w:pStyle w:val="StyleWisnow"/>
              <w:rPr>
                <w:color w:val="000000" w:themeColor="text1"/>
              </w:rPr>
            </w:pPr>
            <w:bookmarkStart w:id="1285" w:name="n1547" w:colFirst="0" w:colLast="0"/>
            <w:bookmarkEnd w:id="1284"/>
            <w:r w:rsidRPr="00286216">
              <w:rPr>
                <w:color w:val="000000" w:themeColor="text1"/>
              </w:rPr>
              <w:t>1547.</w:t>
            </w:r>
          </w:p>
        </w:tc>
        <w:tc>
          <w:tcPr>
            <w:tcW w:w="4818" w:type="dxa"/>
          </w:tcPr>
          <w:p w14:paraId="3D6B4414" w14:textId="77777777" w:rsidR="006507E8" w:rsidRPr="00286216" w:rsidRDefault="006507E8" w:rsidP="006507E8">
            <w:pPr>
              <w:pStyle w:val="StyleZakonu"/>
              <w:rPr>
                <w:color w:val="000000" w:themeColor="text1"/>
              </w:rPr>
            </w:pPr>
            <w:r w:rsidRPr="00286216">
              <w:rPr>
                <w:color w:val="000000" w:themeColor="text1"/>
              </w:rPr>
              <w:t>Звіт про результати емісії цінних паперів підлягає оприлюдненню у спосіб, передбачений частиною другою статті 98 цього Закону, та строки, встановлені Національною комісією з цінних паперів та фондового ринку.</w:t>
            </w:r>
          </w:p>
        </w:tc>
        <w:tc>
          <w:tcPr>
            <w:tcW w:w="3686" w:type="dxa"/>
          </w:tcPr>
          <w:p w14:paraId="571F835D" w14:textId="77777777" w:rsidR="006507E8" w:rsidRPr="00286216" w:rsidRDefault="006507E8" w:rsidP="006507E8">
            <w:pPr>
              <w:pStyle w:val="StyleProp"/>
              <w:rPr>
                <w:color w:val="000000" w:themeColor="text1"/>
                <w:szCs w:val="18"/>
              </w:rPr>
            </w:pPr>
          </w:p>
        </w:tc>
        <w:tc>
          <w:tcPr>
            <w:tcW w:w="1987" w:type="dxa"/>
          </w:tcPr>
          <w:p w14:paraId="6EFF674A" w14:textId="77777777" w:rsidR="006507E8" w:rsidRPr="00286216" w:rsidRDefault="006507E8" w:rsidP="006507E8">
            <w:pPr>
              <w:pStyle w:val="StyleWisnow"/>
              <w:rPr>
                <w:color w:val="000000" w:themeColor="text1"/>
              </w:rPr>
            </w:pPr>
          </w:p>
        </w:tc>
        <w:tc>
          <w:tcPr>
            <w:tcW w:w="4818" w:type="dxa"/>
          </w:tcPr>
          <w:p w14:paraId="572A8049" w14:textId="5209DDA9" w:rsidR="006507E8" w:rsidRPr="00286216" w:rsidRDefault="006507E8" w:rsidP="006507E8">
            <w:pPr>
              <w:pStyle w:val="StyleZakonu"/>
              <w:rPr>
                <w:color w:val="000000" w:themeColor="text1"/>
              </w:rPr>
            </w:pPr>
            <w:r w:rsidRPr="00286216">
              <w:rPr>
                <w:color w:val="000000" w:themeColor="text1"/>
              </w:rPr>
              <w:t>Звіт про результати емісії цінних паперів підлягає оприлюдненню у спосіб, передбачений частиною другою статті 102 цього Закону, та строки, встановлені Національною комісією з цінних паперів та фондового ринку.</w:t>
            </w:r>
          </w:p>
        </w:tc>
      </w:tr>
      <w:tr w:rsidR="006507E8" w:rsidRPr="00286216" w14:paraId="212E2D36" w14:textId="77777777" w:rsidTr="00091AA5">
        <w:tc>
          <w:tcPr>
            <w:tcW w:w="576" w:type="dxa"/>
          </w:tcPr>
          <w:p w14:paraId="4E11E0A4" w14:textId="77777777" w:rsidR="006507E8" w:rsidRPr="00286216" w:rsidRDefault="006507E8" w:rsidP="006507E8">
            <w:pPr>
              <w:pStyle w:val="StyleWisnow"/>
              <w:rPr>
                <w:color w:val="000000" w:themeColor="text1"/>
              </w:rPr>
            </w:pPr>
            <w:bookmarkStart w:id="1286" w:name="n1548" w:colFirst="0" w:colLast="0"/>
            <w:bookmarkEnd w:id="1285"/>
            <w:r w:rsidRPr="00286216">
              <w:rPr>
                <w:color w:val="000000" w:themeColor="text1"/>
              </w:rPr>
              <w:t>1548.</w:t>
            </w:r>
          </w:p>
        </w:tc>
        <w:tc>
          <w:tcPr>
            <w:tcW w:w="4818" w:type="dxa"/>
          </w:tcPr>
          <w:p w14:paraId="1EE3DB0E" w14:textId="77777777" w:rsidR="006507E8" w:rsidRPr="00286216" w:rsidRDefault="006507E8" w:rsidP="006507E8">
            <w:pPr>
              <w:pStyle w:val="StyleZakonu"/>
              <w:rPr>
                <w:color w:val="000000" w:themeColor="text1"/>
              </w:rPr>
            </w:pPr>
            <w:r w:rsidRPr="00286216">
              <w:rPr>
                <w:color w:val="000000" w:themeColor="text1"/>
              </w:rPr>
              <w:t>Національна комісія з цінних паперів та фондового ринку встановлює вимоги до розкриття інформації, що міститься у звіті про результати емісії цінних паперів.</w:t>
            </w:r>
          </w:p>
        </w:tc>
        <w:tc>
          <w:tcPr>
            <w:tcW w:w="3686" w:type="dxa"/>
          </w:tcPr>
          <w:p w14:paraId="26577C02" w14:textId="77777777" w:rsidR="006507E8" w:rsidRPr="00286216" w:rsidRDefault="006507E8" w:rsidP="006507E8">
            <w:pPr>
              <w:pStyle w:val="StyleProp"/>
              <w:rPr>
                <w:color w:val="000000" w:themeColor="text1"/>
                <w:szCs w:val="18"/>
              </w:rPr>
            </w:pPr>
          </w:p>
        </w:tc>
        <w:tc>
          <w:tcPr>
            <w:tcW w:w="1987" w:type="dxa"/>
          </w:tcPr>
          <w:p w14:paraId="053D1CFD" w14:textId="77777777" w:rsidR="006507E8" w:rsidRPr="00286216" w:rsidRDefault="006507E8" w:rsidP="006507E8">
            <w:pPr>
              <w:pStyle w:val="StyleWisnow"/>
              <w:spacing w:line="180" w:lineRule="exact"/>
              <w:rPr>
                <w:color w:val="000000" w:themeColor="text1"/>
              </w:rPr>
            </w:pPr>
          </w:p>
        </w:tc>
        <w:tc>
          <w:tcPr>
            <w:tcW w:w="4818" w:type="dxa"/>
          </w:tcPr>
          <w:p w14:paraId="148DDB99" w14:textId="3B833FB0" w:rsidR="006507E8" w:rsidRPr="00286216" w:rsidRDefault="006507E8" w:rsidP="006507E8">
            <w:pPr>
              <w:pStyle w:val="StyleZakonu"/>
              <w:rPr>
                <w:color w:val="000000" w:themeColor="text1"/>
              </w:rPr>
            </w:pPr>
            <w:r w:rsidRPr="00286216">
              <w:rPr>
                <w:color w:val="000000" w:themeColor="text1"/>
              </w:rPr>
              <w:t>Національна комісія з цінних паперів та фондового ринку встановлює вимоги до розкриття інформації, що міститься у звіті про результати емісії цінних паперів.</w:t>
            </w:r>
          </w:p>
        </w:tc>
      </w:tr>
      <w:tr w:rsidR="006507E8" w:rsidRPr="00286216" w14:paraId="6E7959EF" w14:textId="77777777" w:rsidTr="00091AA5">
        <w:tc>
          <w:tcPr>
            <w:tcW w:w="576" w:type="dxa"/>
          </w:tcPr>
          <w:p w14:paraId="0389460A" w14:textId="77777777" w:rsidR="006507E8" w:rsidRPr="00286216" w:rsidRDefault="006507E8" w:rsidP="006507E8">
            <w:pPr>
              <w:pStyle w:val="StyleWisnow"/>
              <w:rPr>
                <w:color w:val="000000" w:themeColor="text1"/>
              </w:rPr>
            </w:pPr>
            <w:bookmarkStart w:id="1287" w:name="n1549" w:colFirst="0" w:colLast="0"/>
            <w:bookmarkEnd w:id="1286"/>
            <w:r w:rsidRPr="00286216">
              <w:rPr>
                <w:color w:val="000000" w:themeColor="text1"/>
              </w:rPr>
              <w:t>1549.</w:t>
            </w:r>
          </w:p>
        </w:tc>
        <w:tc>
          <w:tcPr>
            <w:tcW w:w="4818" w:type="dxa"/>
          </w:tcPr>
          <w:p w14:paraId="4450A3CE" w14:textId="77777777"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після отримання необхідних документів зобов’язана прийняти рішення про реєстрацію звіту про результати емісії цінних паперів або відмову в реєстрації.</w:t>
            </w:r>
          </w:p>
        </w:tc>
        <w:tc>
          <w:tcPr>
            <w:tcW w:w="3686" w:type="dxa"/>
          </w:tcPr>
          <w:p w14:paraId="64A8FC30" w14:textId="0B7BA115"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949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1DF9BEC"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Частину п’яту статті 91 після слів «результати емісії цінних паперів» доповнити словами «щодо яких здійснюється публічна пропозиція».</w:t>
            </w:r>
          </w:p>
        </w:tc>
        <w:tc>
          <w:tcPr>
            <w:tcW w:w="1987" w:type="dxa"/>
          </w:tcPr>
          <w:p w14:paraId="3A6D8873"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171863D8" w14:textId="7596C848"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1DBB1490" w14:textId="77777777" w:rsidR="006507E8" w:rsidRPr="00286216" w:rsidRDefault="006507E8" w:rsidP="006507E8">
            <w:pPr>
              <w:pStyle w:val="StyleWisnow"/>
              <w:spacing w:line="180" w:lineRule="exact"/>
              <w:rPr>
                <w:color w:val="000000" w:themeColor="text1"/>
              </w:rPr>
            </w:pPr>
          </w:p>
        </w:tc>
        <w:tc>
          <w:tcPr>
            <w:tcW w:w="4818" w:type="dxa"/>
          </w:tcPr>
          <w:p w14:paraId="2D10898B" w14:textId="6B36528D"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після отримання необхідних документів зобов’язана прийняти рішення про реєстрацію звіту про результати емісії цінних паперів або відмову в реєстрації.</w:t>
            </w:r>
          </w:p>
        </w:tc>
      </w:tr>
      <w:tr w:rsidR="006507E8" w:rsidRPr="00286216" w14:paraId="3D838363" w14:textId="77777777" w:rsidTr="00091AA5">
        <w:tc>
          <w:tcPr>
            <w:tcW w:w="576" w:type="dxa"/>
          </w:tcPr>
          <w:p w14:paraId="407C07C1" w14:textId="77777777" w:rsidR="006507E8" w:rsidRPr="00286216" w:rsidRDefault="006507E8" w:rsidP="006507E8">
            <w:pPr>
              <w:pStyle w:val="StyleWisnow"/>
              <w:rPr>
                <w:color w:val="000000" w:themeColor="text1"/>
              </w:rPr>
            </w:pPr>
            <w:bookmarkStart w:id="1288" w:name="n1550" w:colFirst="0" w:colLast="0"/>
            <w:bookmarkEnd w:id="1287"/>
            <w:r w:rsidRPr="00286216">
              <w:rPr>
                <w:color w:val="000000" w:themeColor="text1"/>
              </w:rPr>
              <w:t>1550.</w:t>
            </w:r>
          </w:p>
        </w:tc>
        <w:tc>
          <w:tcPr>
            <w:tcW w:w="4818" w:type="dxa"/>
          </w:tcPr>
          <w:p w14:paraId="71426089" w14:textId="76FFEC77" w:rsidR="006507E8" w:rsidRPr="00286216" w:rsidRDefault="006507E8" w:rsidP="006507E8">
            <w:pPr>
              <w:pStyle w:val="StyleZakonu"/>
              <w:rPr>
                <w:color w:val="000000" w:themeColor="text1"/>
              </w:rPr>
            </w:pPr>
            <w:r w:rsidRPr="00286216">
              <w:rPr>
                <w:color w:val="000000" w:themeColor="text1"/>
              </w:rPr>
              <w:t>6. Національна комісія з цінних паперів та фондового ринку, в установленому нею порядку відмовляє в реєстрації звіту про результати емісії цінних паперів у строки, встановлені частиною другою 89 цього Закону, виключно у разі якщо:</w:t>
            </w:r>
          </w:p>
        </w:tc>
        <w:tc>
          <w:tcPr>
            <w:tcW w:w="3686" w:type="dxa"/>
          </w:tcPr>
          <w:p w14:paraId="1A7E576A" w14:textId="32AF3EB7"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BEC49DB" w14:textId="52CF4E17" w:rsidR="006507E8" w:rsidRPr="00286216" w:rsidRDefault="006507E8" w:rsidP="006507E8">
            <w:pPr>
              <w:spacing w:line="180" w:lineRule="exact"/>
              <w:ind w:firstLine="227"/>
              <w:jc w:val="both"/>
              <w:rPr>
                <w:color w:val="000000" w:themeColor="text1"/>
                <w:spacing w:val="-2"/>
                <w:szCs w:val="18"/>
              </w:rPr>
            </w:pPr>
            <w:r w:rsidRPr="00286216">
              <w:rPr>
                <w:color w:val="000000" w:themeColor="text1"/>
                <w:spacing w:val="-2"/>
                <w:sz w:val="18"/>
              </w:rPr>
              <w:t>Абзац 1 частини 6 статті 91 після слів «результати емісії цінних паперів» доповнити словами «щодо яких здійснюється публічна пропозиція, із зазначенням причин відмови».</w:t>
            </w:r>
          </w:p>
        </w:tc>
        <w:tc>
          <w:tcPr>
            <w:tcW w:w="1987" w:type="dxa"/>
          </w:tcPr>
          <w:p w14:paraId="32DA5A49"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7DC66294" w14:textId="436C81A9"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p w14:paraId="3EC0D395" w14:textId="77777777" w:rsidR="006507E8" w:rsidRPr="00286216" w:rsidRDefault="006507E8" w:rsidP="006507E8">
            <w:pPr>
              <w:pStyle w:val="StyleWisnow"/>
              <w:spacing w:line="180" w:lineRule="exact"/>
              <w:rPr>
                <w:color w:val="000000" w:themeColor="text1"/>
              </w:rPr>
            </w:pPr>
          </w:p>
        </w:tc>
        <w:tc>
          <w:tcPr>
            <w:tcW w:w="4818" w:type="dxa"/>
          </w:tcPr>
          <w:p w14:paraId="0681D2E0" w14:textId="78A2FF81" w:rsidR="006507E8" w:rsidRPr="00286216" w:rsidRDefault="006507E8" w:rsidP="006507E8">
            <w:pPr>
              <w:pStyle w:val="StyleZakonu"/>
              <w:rPr>
                <w:color w:val="000000" w:themeColor="text1"/>
              </w:rPr>
            </w:pPr>
            <w:r w:rsidRPr="00286216">
              <w:rPr>
                <w:color w:val="000000" w:themeColor="text1"/>
              </w:rPr>
              <w:t>6. Національна комісія з цінних паперів та фондового ринку в установленому нею порядку відмовляє в реєстрації звіту про результати емісії цінних паперів у строки, встановлені частиною другою статті 93 цього Закону, виключно в разі, якщо:</w:t>
            </w:r>
          </w:p>
        </w:tc>
      </w:tr>
      <w:tr w:rsidR="006507E8" w:rsidRPr="00286216" w14:paraId="719843E6" w14:textId="77777777" w:rsidTr="00091AA5">
        <w:tc>
          <w:tcPr>
            <w:tcW w:w="576" w:type="dxa"/>
          </w:tcPr>
          <w:p w14:paraId="795446A7" w14:textId="77777777" w:rsidR="006507E8" w:rsidRPr="00286216" w:rsidRDefault="006507E8" w:rsidP="006507E8">
            <w:pPr>
              <w:pStyle w:val="StyleWisnow"/>
              <w:rPr>
                <w:color w:val="000000" w:themeColor="text1"/>
              </w:rPr>
            </w:pPr>
            <w:bookmarkStart w:id="1289" w:name="n1551" w:colFirst="0" w:colLast="0"/>
            <w:bookmarkEnd w:id="1288"/>
            <w:r w:rsidRPr="00286216">
              <w:rPr>
                <w:color w:val="000000" w:themeColor="text1"/>
              </w:rPr>
              <w:t>1551.</w:t>
            </w:r>
          </w:p>
        </w:tc>
        <w:tc>
          <w:tcPr>
            <w:tcW w:w="4818" w:type="dxa"/>
          </w:tcPr>
          <w:p w14:paraId="31275EC5" w14:textId="77777777" w:rsidR="006507E8" w:rsidRPr="00286216" w:rsidRDefault="006507E8" w:rsidP="006507E8">
            <w:pPr>
              <w:pStyle w:val="StyleZakonu"/>
              <w:rPr>
                <w:color w:val="000000" w:themeColor="text1"/>
              </w:rPr>
            </w:pPr>
            <w:r w:rsidRPr="00286216">
              <w:rPr>
                <w:color w:val="000000" w:themeColor="text1"/>
              </w:rPr>
              <w:t>1) порушено вимоги законодавства щодо емісії цінних паперів, зокрема порушено встановлений порядок прийняття рішення про затвердження результатів емісії;</w:t>
            </w:r>
          </w:p>
        </w:tc>
        <w:tc>
          <w:tcPr>
            <w:tcW w:w="3686" w:type="dxa"/>
          </w:tcPr>
          <w:p w14:paraId="4E6B66D6" w14:textId="77777777" w:rsidR="006507E8" w:rsidRPr="00286216" w:rsidRDefault="006507E8" w:rsidP="006507E8">
            <w:pPr>
              <w:pStyle w:val="StyleProp"/>
              <w:rPr>
                <w:color w:val="000000" w:themeColor="text1"/>
                <w:szCs w:val="18"/>
              </w:rPr>
            </w:pPr>
          </w:p>
        </w:tc>
        <w:tc>
          <w:tcPr>
            <w:tcW w:w="1987" w:type="dxa"/>
          </w:tcPr>
          <w:p w14:paraId="0954ED39" w14:textId="77777777" w:rsidR="006507E8" w:rsidRPr="00286216" w:rsidRDefault="006507E8" w:rsidP="006507E8">
            <w:pPr>
              <w:pStyle w:val="StyleWisnow"/>
              <w:spacing w:line="180" w:lineRule="exact"/>
              <w:rPr>
                <w:color w:val="000000" w:themeColor="text1"/>
              </w:rPr>
            </w:pPr>
          </w:p>
        </w:tc>
        <w:tc>
          <w:tcPr>
            <w:tcW w:w="4818" w:type="dxa"/>
          </w:tcPr>
          <w:p w14:paraId="1A1D5024" w14:textId="0FA6ED00" w:rsidR="006507E8" w:rsidRPr="00286216" w:rsidRDefault="006507E8" w:rsidP="006507E8">
            <w:pPr>
              <w:pStyle w:val="StyleZakonu"/>
              <w:rPr>
                <w:color w:val="000000" w:themeColor="text1"/>
              </w:rPr>
            </w:pPr>
            <w:r w:rsidRPr="00286216">
              <w:rPr>
                <w:color w:val="000000" w:themeColor="text1"/>
              </w:rPr>
              <w:t>1) порушено вимоги законодавства щодо емісії цінних паперів, зокрема порушено встановлений порядок прийняття рішення про затвердження результатів емісії;</w:t>
            </w:r>
          </w:p>
        </w:tc>
      </w:tr>
      <w:tr w:rsidR="006507E8" w:rsidRPr="00286216" w14:paraId="24EB7E10" w14:textId="77777777" w:rsidTr="00091AA5">
        <w:tc>
          <w:tcPr>
            <w:tcW w:w="576" w:type="dxa"/>
          </w:tcPr>
          <w:p w14:paraId="7971D20D" w14:textId="77777777" w:rsidR="006507E8" w:rsidRPr="00286216" w:rsidRDefault="006507E8" w:rsidP="006507E8">
            <w:pPr>
              <w:pStyle w:val="StyleWisnow"/>
              <w:rPr>
                <w:color w:val="000000" w:themeColor="text1"/>
              </w:rPr>
            </w:pPr>
            <w:bookmarkStart w:id="1290" w:name="n1552" w:colFirst="0" w:colLast="0"/>
            <w:bookmarkEnd w:id="1289"/>
            <w:r w:rsidRPr="00286216">
              <w:rPr>
                <w:color w:val="000000" w:themeColor="text1"/>
              </w:rPr>
              <w:t>1552.</w:t>
            </w:r>
          </w:p>
        </w:tc>
        <w:tc>
          <w:tcPr>
            <w:tcW w:w="4818" w:type="dxa"/>
          </w:tcPr>
          <w:p w14:paraId="1E943489" w14:textId="77777777" w:rsidR="006507E8" w:rsidRPr="00286216" w:rsidRDefault="006507E8" w:rsidP="006507E8">
            <w:pPr>
              <w:pStyle w:val="StyleZakonu"/>
              <w:rPr>
                <w:color w:val="000000" w:themeColor="text1"/>
              </w:rPr>
            </w:pPr>
            <w:r w:rsidRPr="00286216">
              <w:rPr>
                <w:color w:val="000000" w:themeColor="text1"/>
              </w:rPr>
              <w:t>2) емісію цінних паперів визнано недобросовісною;</w:t>
            </w:r>
          </w:p>
        </w:tc>
        <w:tc>
          <w:tcPr>
            <w:tcW w:w="3686" w:type="dxa"/>
          </w:tcPr>
          <w:p w14:paraId="36B03054" w14:textId="77777777" w:rsidR="006507E8" w:rsidRPr="00286216" w:rsidRDefault="006507E8" w:rsidP="006507E8">
            <w:pPr>
              <w:pStyle w:val="StyleProp"/>
              <w:rPr>
                <w:color w:val="000000" w:themeColor="text1"/>
                <w:szCs w:val="18"/>
              </w:rPr>
            </w:pPr>
          </w:p>
        </w:tc>
        <w:tc>
          <w:tcPr>
            <w:tcW w:w="1987" w:type="dxa"/>
          </w:tcPr>
          <w:p w14:paraId="203AE813" w14:textId="77777777" w:rsidR="006507E8" w:rsidRPr="00286216" w:rsidRDefault="006507E8" w:rsidP="006507E8">
            <w:pPr>
              <w:pStyle w:val="StyleWisnow"/>
              <w:rPr>
                <w:color w:val="000000" w:themeColor="text1"/>
              </w:rPr>
            </w:pPr>
          </w:p>
        </w:tc>
        <w:tc>
          <w:tcPr>
            <w:tcW w:w="4818" w:type="dxa"/>
          </w:tcPr>
          <w:p w14:paraId="0EE5E76A" w14:textId="2C9647A3" w:rsidR="006507E8" w:rsidRPr="00286216" w:rsidRDefault="006507E8" w:rsidP="006507E8">
            <w:pPr>
              <w:pStyle w:val="StyleZakonu"/>
              <w:rPr>
                <w:color w:val="000000" w:themeColor="text1"/>
              </w:rPr>
            </w:pPr>
            <w:r w:rsidRPr="00286216">
              <w:rPr>
                <w:color w:val="000000" w:themeColor="text1"/>
              </w:rPr>
              <w:t>2) емісію цінних паперів визнано недобросовісною;</w:t>
            </w:r>
          </w:p>
        </w:tc>
      </w:tr>
      <w:tr w:rsidR="006507E8" w:rsidRPr="00286216" w14:paraId="38FABB3D" w14:textId="77777777" w:rsidTr="00091AA5">
        <w:tc>
          <w:tcPr>
            <w:tcW w:w="576" w:type="dxa"/>
          </w:tcPr>
          <w:p w14:paraId="794FFA42" w14:textId="77777777" w:rsidR="006507E8" w:rsidRPr="00286216" w:rsidRDefault="006507E8" w:rsidP="006507E8">
            <w:pPr>
              <w:pStyle w:val="StyleWisnow"/>
              <w:rPr>
                <w:color w:val="000000" w:themeColor="text1"/>
              </w:rPr>
            </w:pPr>
            <w:bookmarkStart w:id="1291" w:name="n1553" w:colFirst="0" w:colLast="0"/>
            <w:bookmarkEnd w:id="1290"/>
            <w:r w:rsidRPr="00286216">
              <w:rPr>
                <w:color w:val="000000" w:themeColor="text1"/>
              </w:rPr>
              <w:t>1553.</w:t>
            </w:r>
          </w:p>
        </w:tc>
        <w:tc>
          <w:tcPr>
            <w:tcW w:w="4818" w:type="dxa"/>
          </w:tcPr>
          <w:p w14:paraId="0C40BD00" w14:textId="77777777" w:rsidR="006507E8" w:rsidRPr="00286216" w:rsidRDefault="006507E8" w:rsidP="006507E8">
            <w:pPr>
              <w:pStyle w:val="StyleZakonu"/>
              <w:rPr>
                <w:color w:val="000000" w:themeColor="text1"/>
              </w:rPr>
            </w:pPr>
            <w:r w:rsidRPr="00286216">
              <w:rPr>
                <w:color w:val="000000" w:themeColor="text1"/>
              </w:rPr>
              <w:t>3) встановлено невідповідність поданих документів вимогам законодавства.</w:t>
            </w:r>
          </w:p>
        </w:tc>
        <w:tc>
          <w:tcPr>
            <w:tcW w:w="3686" w:type="dxa"/>
          </w:tcPr>
          <w:p w14:paraId="2A9F68C4" w14:textId="77777777" w:rsidR="006507E8" w:rsidRPr="00286216" w:rsidRDefault="006507E8" w:rsidP="006507E8">
            <w:pPr>
              <w:pStyle w:val="StyleProp"/>
              <w:rPr>
                <w:color w:val="000000" w:themeColor="text1"/>
                <w:szCs w:val="18"/>
              </w:rPr>
            </w:pPr>
          </w:p>
        </w:tc>
        <w:tc>
          <w:tcPr>
            <w:tcW w:w="1987" w:type="dxa"/>
          </w:tcPr>
          <w:p w14:paraId="4082F0C8" w14:textId="77777777" w:rsidR="006507E8" w:rsidRPr="00286216" w:rsidRDefault="006507E8" w:rsidP="006507E8">
            <w:pPr>
              <w:pStyle w:val="StyleWisnow"/>
              <w:rPr>
                <w:color w:val="000000" w:themeColor="text1"/>
              </w:rPr>
            </w:pPr>
          </w:p>
        </w:tc>
        <w:tc>
          <w:tcPr>
            <w:tcW w:w="4818" w:type="dxa"/>
          </w:tcPr>
          <w:p w14:paraId="7A5C10BA" w14:textId="6DEB507D" w:rsidR="006507E8" w:rsidRPr="00286216" w:rsidRDefault="006507E8" w:rsidP="006507E8">
            <w:pPr>
              <w:pStyle w:val="StyleZakonu"/>
              <w:rPr>
                <w:color w:val="000000" w:themeColor="text1"/>
              </w:rPr>
            </w:pPr>
            <w:r w:rsidRPr="00286216">
              <w:rPr>
                <w:color w:val="000000" w:themeColor="text1"/>
              </w:rPr>
              <w:t>3) встановлено невідповідність поданих документів вимогам законодавства.</w:t>
            </w:r>
          </w:p>
        </w:tc>
      </w:tr>
      <w:tr w:rsidR="006507E8" w:rsidRPr="00286216" w14:paraId="1463EA37" w14:textId="77777777" w:rsidTr="00091AA5">
        <w:tc>
          <w:tcPr>
            <w:tcW w:w="576" w:type="dxa"/>
          </w:tcPr>
          <w:p w14:paraId="05EDDCD2" w14:textId="77777777" w:rsidR="006507E8" w:rsidRPr="00286216" w:rsidRDefault="006507E8" w:rsidP="006507E8">
            <w:pPr>
              <w:pStyle w:val="StyleWisnow"/>
              <w:rPr>
                <w:color w:val="000000" w:themeColor="text1"/>
              </w:rPr>
            </w:pPr>
            <w:bookmarkStart w:id="1292" w:name="n1554" w:colFirst="0" w:colLast="0"/>
            <w:bookmarkEnd w:id="1291"/>
            <w:r w:rsidRPr="00286216">
              <w:rPr>
                <w:color w:val="000000" w:themeColor="text1"/>
              </w:rPr>
              <w:t>1554.</w:t>
            </w:r>
          </w:p>
        </w:tc>
        <w:tc>
          <w:tcPr>
            <w:tcW w:w="4818" w:type="dxa"/>
          </w:tcPr>
          <w:p w14:paraId="113D069C" w14:textId="77777777" w:rsidR="006507E8" w:rsidRPr="00286216" w:rsidRDefault="006507E8" w:rsidP="006507E8">
            <w:pPr>
              <w:pStyle w:val="StyleZakonu"/>
              <w:rPr>
                <w:color w:val="000000" w:themeColor="text1"/>
              </w:rPr>
            </w:pPr>
            <w:bookmarkStart w:id="1293" w:name="_Ref22073102"/>
            <w:r w:rsidRPr="00286216">
              <w:rPr>
                <w:color w:val="000000" w:themeColor="text1"/>
              </w:rPr>
              <w:t>Стаття 92. Недобросовісна емісія цінних паперів</w:t>
            </w:r>
            <w:bookmarkEnd w:id="1293"/>
          </w:p>
        </w:tc>
        <w:tc>
          <w:tcPr>
            <w:tcW w:w="3686" w:type="dxa"/>
          </w:tcPr>
          <w:p w14:paraId="6D33497D" w14:textId="77777777" w:rsidR="006507E8" w:rsidRPr="00286216" w:rsidRDefault="006507E8" w:rsidP="006507E8">
            <w:pPr>
              <w:pStyle w:val="StyleProp"/>
              <w:rPr>
                <w:color w:val="000000" w:themeColor="text1"/>
                <w:szCs w:val="18"/>
              </w:rPr>
            </w:pPr>
          </w:p>
        </w:tc>
        <w:tc>
          <w:tcPr>
            <w:tcW w:w="1987" w:type="dxa"/>
          </w:tcPr>
          <w:p w14:paraId="639730CD" w14:textId="77777777" w:rsidR="006507E8" w:rsidRPr="00286216" w:rsidRDefault="006507E8" w:rsidP="006507E8">
            <w:pPr>
              <w:pStyle w:val="StyleWisnow"/>
              <w:rPr>
                <w:color w:val="000000" w:themeColor="text1"/>
              </w:rPr>
            </w:pPr>
          </w:p>
        </w:tc>
        <w:tc>
          <w:tcPr>
            <w:tcW w:w="4818" w:type="dxa"/>
          </w:tcPr>
          <w:p w14:paraId="3A3813FF" w14:textId="600BDCB7" w:rsidR="006507E8" w:rsidRPr="00286216" w:rsidRDefault="006507E8" w:rsidP="006507E8">
            <w:pPr>
              <w:pStyle w:val="StyleZakonu"/>
              <w:rPr>
                <w:color w:val="000000" w:themeColor="text1"/>
              </w:rPr>
            </w:pPr>
            <w:r w:rsidRPr="00286216">
              <w:rPr>
                <w:color w:val="000000" w:themeColor="text1"/>
              </w:rPr>
              <w:t>Стаття 96. Недобросовісна емісія цінних паперів</w:t>
            </w:r>
          </w:p>
        </w:tc>
      </w:tr>
      <w:tr w:rsidR="006507E8" w:rsidRPr="00286216" w14:paraId="20F73630" w14:textId="77777777" w:rsidTr="00091AA5">
        <w:tc>
          <w:tcPr>
            <w:tcW w:w="576" w:type="dxa"/>
          </w:tcPr>
          <w:p w14:paraId="581D0BE2" w14:textId="77777777" w:rsidR="006507E8" w:rsidRPr="00286216" w:rsidRDefault="006507E8" w:rsidP="006507E8">
            <w:pPr>
              <w:pStyle w:val="StyleWisnow"/>
              <w:rPr>
                <w:color w:val="000000" w:themeColor="text1"/>
              </w:rPr>
            </w:pPr>
            <w:bookmarkStart w:id="1294" w:name="n1555" w:colFirst="0" w:colLast="0"/>
            <w:bookmarkEnd w:id="1292"/>
            <w:r w:rsidRPr="00286216">
              <w:rPr>
                <w:color w:val="000000" w:themeColor="text1"/>
              </w:rPr>
              <w:t>1555.</w:t>
            </w:r>
          </w:p>
        </w:tc>
        <w:tc>
          <w:tcPr>
            <w:tcW w:w="4818" w:type="dxa"/>
          </w:tcPr>
          <w:p w14:paraId="6D5DB703" w14:textId="77777777" w:rsidR="006507E8" w:rsidRPr="00286216" w:rsidRDefault="006507E8" w:rsidP="006507E8">
            <w:pPr>
              <w:pStyle w:val="StyleZakonu"/>
              <w:rPr>
                <w:color w:val="000000" w:themeColor="text1"/>
              </w:rPr>
            </w:pPr>
            <w:r w:rsidRPr="00286216">
              <w:rPr>
                <w:color w:val="000000" w:themeColor="text1"/>
              </w:rPr>
              <w:t xml:space="preserve">1. Недобросовісна емісія цінних паперів - дії, що порушують встановлену цим Законом процедуру емісії і є підставою для прийняття рішення про </w:t>
            </w:r>
            <w:r w:rsidRPr="00286216">
              <w:rPr>
                <w:color w:val="000000" w:themeColor="text1"/>
              </w:rPr>
              <w:lastRenderedPageBreak/>
              <w:t>відмову в реєстрації випуску цінних паперів, звіту про результати емісії цінних паперів та відмову в затвердженні проспекту, а також зупинення розміщення цінних паперів.</w:t>
            </w:r>
          </w:p>
        </w:tc>
        <w:tc>
          <w:tcPr>
            <w:tcW w:w="3686" w:type="dxa"/>
          </w:tcPr>
          <w:p w14:paraId="3F42ED18" w14:textId="5F9C2D0F"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58E8711"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Частину першу статті 92 викласти в такій редакції:</w:t>
            </w:r>
          </w:p>
          <w:p w14:paraId="47E04661"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 xml:space="preserve">«1. Недобросовісна емісія цінних паперів </w:t>
            </w:r>
            <w:r w:rsidRPr="00286216">
              <w:rPr>
                <w:color w:val="000000" w:themeColor="text1"/>
                <w:sz w:val="18"/>
              </w:rPr>
              <w:lastRenderedPageBreak/>
              <w:t>– дії, що порушують встановлену цим Законом процедуру емісії у випадку емісії цінних паперів, щодо яких здійснюється публічна пропозиція і є підставою для прийняття рішення про відмову в реєстрації випуску цінних паперів, звіту про результати емісії цінних паперів та відмову в затвердженні проспекту, а також зупинення розміщення цінних паперів.</w:t>
            </w:r>
          </w:p>
          <w:p w14:paraId="01F8E1B7"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У випадку емісії цінних паперів, щодо яких публічна пропозиція не здійснюється, Національна комісія з цінних паперів може визнати емісію цінних паперів недобросовісною та таке визнання є підставою для звернення постраждалої сторони до суду за судовим захистом прав та охоронюваних законом інтересів»</w:t>
            </w:r>
          </w:p>
        </w:tc>
        <w:tc>
          <w:tcPr>
            <w:tcW w:w="1987" w:type="dxa"/>
          </w:tcPr>
          <w:p w14:paraId="43F7E13A" w14:textId="78EE9E6F" w:rsidR="006507E8" w:rsidRPr="00286216" w:rsidRDefault="006507E8" w:rsidP="006507E8">
            <w:pPr>
              <w:pStyle w:val="StyleWisnow"/>
              <w:spacing w:line="180" w:lineRule="exact"/>
              <w:rPr>
                <w:color w:val="000000" w:themeColor="text1"/>
              </w:rPr>
            </w:pPr>
            <w:r w:rsidRPr="00286216">
              <w:rPr>
                <w:color w:val="000000" w:themeColor="text1"/>
              </w:rPr>
              <w:lastRenderedPageBreak/>
              <w:t>Враховано частково</w:t>
            </w:r>
          </w:p>
          <w:p w14:paraId="630A9502" w14:textId="4DE21635" w:rsidR="006507E8" w:rsidRPr="00286216" w:rsidRDefault="006507E8" w:rsidP="006507E8">
            <w:pPr>
              <w:pStyle w:val="StyleWisnow"/>
              <w:rPr>
                <w:color w:val="000000" w:themeColor="text1"/>
              </w:rPr>
            </w:pPr>
            <w:r w:rsidRPr="00286216">
              <w:rPr>
                <w:color w:val="000000" w:themeColor="text1"/>
              </w:rPr>
              <w:t xml:space="preserve">у частині публічної пропозиції питання потребує вирішення </w:t>
            </w:r>
            <w:r w:rsidRPr="00286216">
              <w:rPr>
                <w:color w:val="000000" w:themeColor="text1"/>
              </w:rPr>
              <w:lastRenderedPageBreak/>
              <w:t>окремим законом</w:t>
            </w:r>
          </w:p>
        </w:tc>
        <w:tc>
          <w:tcPr>
            <w:tcW w:w="4818" w:type="dxa"/>
          </w:tcPr>
          <w:p w14:paraId="2803483E" w14:textId="41AC4788" w:rsidR="006507E8" w:rsidRPr="00286216" w:rsidRDefault="006507E8" w:rsidP="006507E8">
            <w:pPr>
              <w:pStyle w:val="StyleZakonu"/>
              <w:rPr>
                <w:color w:val="000000" w:themeColor="text1"/>
              </w:rPr>
            </w:pPr>
            <w:r w:rsidRPr="00286216">
              <w:rPr>
                <w:color w:val="000000" w:themeColor="text1"/>
              </w:rPr>
              <w:lastRenderedPageBreak/>
              <w:t>1. Недобросовісна емісія цінних паперів – це дії, що порушують встановлену цим Законом процедуру емісії.</w:t>
            </w:r>
          </w:p>
        </w:tc>
      </w:tr>
      <w:tr w:rsidR="006507E8" w:rsidRPr="00286216" w14:paraId="4A57DF9C" w14:textId="77777777" w:rsidTr="00091AA5">
        <w:tc>
          <w:tcPr>
            <w:tcW w:w="576" w:type="dxa"/>
          </w:tcPr>
          <w:p w14:paraId="46E683BD" w14:textId="77777777" w:rsidR="006507E8" w:rsidRPr="00286216" w:rsidRDefault="006507E8" w:rsidP="006507E8">
            <w:pPr>
              <w:pStyle w:val="StyleWisnow"/>
              <w:rPr>
                <w:color w:val="000000" w:themeColor="text1"/>
              </w:rPr>
            </w:pPr>
            <w:bookmarkStart w:id="1295" w:name="n1556" w:colFirst="0" w:colLast="0"/>
            <w:bookmarkEnd w:id="1294"/>
            <w:r w:rsidRPr="00286216">
              <w:rPr>
                <w:color w:val="000000" w:themeColor="text1"/>
              </w:rPr>
              <w:t>1556.</w:t>
            </w:r>
          </w:p>
        </w:tc>
        <w:tc>
          <w:tcPr>
            <w:tcW w:w="4818" w:type="dxa"/>
          </w:tcPr>
          <w:p w14:paraId="1458BB43" w14:textId="77777777" w:rsidR="006507E8" w:rsidRPr="00286216" w:rsidRDefault="006507E8" w:rsidP="006507E8">
            <w:pPr>
              <w:pStyle w:val="StyleZakonu"/>
              <w:rPr>
                <w:color w:val="000000" w:themeColor="text1"/>
              </w:rPr>
            </w:pPr>
            <w:r w:rsidRPr="00286216">
              <w:rPr>
                <w:color w:val="000000" w:themeColor="text1"/>
              </w:rPr>
              <w:t>2. Підставою для визнання емісії цінних паперів недобросовісною є:</w:t>
            </w:r>
          </w:p>
        </w:tc>
        <w:tc>
          <w:tcPr>
            <w:tcW w:w="3686" w:type="dxa"/>
          </w:tcPr>
          <w:p w14:paraId="2B14A566" w14:textId="77777777" w:rsidR="006507E8" w:rsidRPr="00286216" w:rsidRDefault="006507E8" w:rsidP="006507E8">
            <w:pPr>
              <w:pStyle w:val="StyleProp"/>
              <w:rPr>
                <w:color w:val="000000" w:themeColor="text1"/>
                <w:szCs w:val="18"/>
              </w:rPr>
            </w:pPr>
          </w:p>
        </w:tc>
        <w:tc>
          <w:tcPr>
            <w:tcW w:w="1987" w:type="dxa"/>
          </w:tcPr>
          <w:p w14:paraId="521A0C66" w14:textId="77777777" w:rsidR="006507E8" w:rsidRPr="00286216" w:rsidRDefault="006507E8" w:rsidP="006507E8">
            <w:pPr>
              <w:pStyle w:val="StyleWisnow"/>
              <w:rPr>
                <w:color w:val="000000" w:themeColor="text1"/>
              </w:rPr>
            </w:pPr>
          </w:p>
        </w:tc>
        <w:tc>
          <w:tcPr>
            <w:tcW w:w="4818" w:type="dxa"/>
          </w:tcPr>
          <w:p w14:paraId="4C5A96CC" w14:textId="1CEA43F6" w:rsidR="006507E8" w:rsidRPr="00286216" w:rsidRDefault="006507E8" w:rsidP="006507E8">
            <w:pPr>
              <w:pStyle w:val="StyleZakonu"/>
              <w:rPr>
                <w:color w:val="000000" w:themeColor="text1"/>
              </w:rPr>
            </w:pPr>
            <w:r w:rsidRPr="00286216">
              <w:rPr>
                <w:color w:val="000000" w:themeColor="text1"/>
              </w:rPr>
              <w:t>2. Підставами для визнання емісії цінних паперів недобросовісною є:</w:t>
            </w:r>
          </w:p>
        </w:tc>
      </w:tr>
      <w:tr w:rsidR="006507E8" w:rsidRPr="00286216" w14:paraId="5033580E" w14:textId="77777777" w:rsidTr="00091AA5">
        <w:tc>
          <w:tcPr>
            <w:tcW w:w="576" w:type="dxa"/>
          </w:tcPr>
          <w:p w14:paraId="282A32CC" w14:textId="77777777" w:rsidR="006507E8" w:rsidRPr="00286216" w:rsidRDefault="006507E8" w:rsidP="006507E8">
            <w:pPr>
              <w:pStyle w:val="StyleWisnow"/>
              <w:rPr>
                <w:color w:val="000000" w:themeColor="text1"/>
              </w:rPr>
            </w:pPr>
            <w:bookmarkStart w:id="1296" w:name="n1557" w:colFirst="0" w:colLast="0"/>
            <w:bookmarkEnd w:id="1295"/>
            <w:r w:rsidRPr="00286216">
              <w:rPr>
                <w:color w:val="000000" w:themeColor="text1"/>
              </w:rPr>
              <w:t>1557.</w:t>
            </w:r>
          </w:p>
        </w:tc>
        <w:tc>
          <w:tcPr>
            <w:tcW w:w="4818" w:type="dxa"/>
          </w:tcPr>
          <w:p w14:paraId="75EB8EC1" w14:textId="77777777" w:rsidR="006507E8" w:rsidRPr="00286216" w:rsidRDefault="006507E8" w:rsidP="006507E8">
            <w:pPr>
              <w:pStyle w:val="StyleZakonu"/>
              <w:rPr>
                <w:color w:val="000000" w:themeColor="text1"/>
              </w:rPr>
            </w:pPr>
            <w:r w:rsidRPr="00286216">
              <w:rPr>
                <w:color w:val="000000" w:themeColor="text1"/>
              </w:rPr>
              <w:t>1) порушення емітентом вимог цього Закону, невідповідність поданих емітентом документів вимогам законодавства та/або неповнота інформації у поданих документах;</w:t>
            </w:r>
          </w:p>
        </w:tc>
        <w:tc>
          <w:tcPr>
            <w:tcW w:w="3686" w:type="dxa"/>
          </w:tcPr>
          <w:p w14:paraId="68D0695D" w14:textId="1EB7F758"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E66FA51"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Пункт 1 частини другої статті 92 замінити двома пунктами в такій редакції:</w:t>
            </w:r>
          </w:p>
          <w:p w14:paraId="6F9DAD9F"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 xml:space="preserve">«1) порушення емітентом вимог цього Закону, невідповідність поданих емітентом документів вимогам законодавства та/або неповнота інформації у поданих документах у випадку емісії цінних паперів, щодо яких здійснюється публічна пропозиція; </w:t>
            </w:r>
          </w:p>
          <w:p w14:paraId="0F1A8F72" w14:textId="77777777" w:rsidR="006507E8" w:rsidRPr="00286216" w:rsidRDefault="006507E8" w:rsidP="006507E8">
            <w:pPr>
              <w:spacing w:line="180" w:lineRule="exact"/>
              <w:ind w:firstLine="227"/>
              <w:jc w:val="both"/>
              <w:rPr>
                <w:color w:val="000000" w:themeColor="text1"/>
                <w:sz w:val="18"/>
              </w:rPr>
            </w:pPr>
            <w:r w:rsidRPr="00286216">
              <w:rPr>
                <w:color w:val="000000" w:themeColor="text1"/>
                <w:sz w:val="18"/>
              </w:rPr>
              <w:t>2) порушення вимог цього закону, що підтверджується документами, поданими до Національної комісії з цінних паперів та фондового ринку емітентом, власниками цінних паперів, Центральним депозитарієм цінних паперів у випадку емісії цінних паперів, щодо яких публічна пропозиція не здійснюється.»</w:t>
            </w:r>
          </w:p>
        </w:tc>
        <w:tc>
          <w:tcPr>
            <w:tcW w:w="1987" w:type="dxa"/>
          </w:tcPr>
          <w:p w14:paraId="08FDC46F"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0A659CC3" w14:textId="77777777" w:rsidR="006507E8" w:rsidRPr="00286216" w:rsidRDefault="006507E8" w:rsidP="006507E8">
            <w:pPr>
              <w:pStyle w:val="StyleWisnow"/>
              <w:rPr>
                <w:color w:val="000000" w:themeColor="text1"/>
              </w:rPr>
            </w:pPr>
            <w:r w:rsidRPr="00286216">
              <w:rPr>
                <w:color w:val="000000" w:themeColor="text1"/>
              </w:rPr>
              <w:t>Дане питання потребує вирішення окремим законом</w:t>
            </w:r>
          </w:p>
          <w:p w14:paraId="773B8E6C" w14:textId="77777777" w:rsidR="006507E8" w:rsidRPr="00286216" w:rsidRDefault="006507E8" w:rsidP="006507E8">
            <w:pPr>
              <w:pStyle w:val="StyleWisnow"/>
              <w:rPr>
                <w:color w:val="000000" w:themeColor="text1"/>
              </w:rPr>
            </w:pPr>
          </w:p>
        </w:tc>
        <w:tc>
          <w:tcPr>
            <w:tcW w:w="4818" w:type="dxa"/>
          </w:tcPr>
          <w:p w14:paraId="42D3BE2B" w14:textId="7C89946A" w:rsidR="006507E8" w:rsidRPr="00286216" w:rsidRDefault="006507E8" w:rsidP="006507E8">
            <w:pPr>
              <w:pStyle w:val="StyleZakonu"/>
              <w:rPr>
                <w:color w:val="000000" w:themeColor="text1"/>
              </w:rPr>
            </w:pPr>
            <w:r w:rsidRPr="00286216">
              <w:rPr>
                <w:color w:val="000000" w:themeColor="text1"/>
              </w:rPr>
              <w:t>1) порушення емітентом вимог цього Закону, невідповідність поданих емітентом документів вимогам законодавства та/або неповнота інформації у поданих документах;</w:t>
            </w:r>
          </w:p>
        </w:tc>
      </w:tr>
      <w:tr w:rsidR="006507E8" w:rsidRPr="00286216" w14:paraId="5C75EA5C" w14:textId="77777777" w:rsidTr="00091AA5">
        <w:tc>
          <w:tcPr>
            <w:tcW w:w="576" w:type="dxa"/>
          </w:tcPr>
          <w:p w14:paraId="5CC5E228" w14:textId="77777777" w:rsidR="006507E8" w:rsidRPr="00286216" w:rsidRDefault="006507E8" w:rsidP="006507E8">
            <w:pPr>
              <w:pStyle w:val="StyleWisnow"/>
              <w:rPr>
                <w:color w:val="000000" w:themeColor="text1"/>
              </w:rPr>
            </w:pPr>
            <w:bookmarkStart w:id="1297" w:name="n1558" w:colFirst="0" w:colLast="0"/>
            <w:bookmarkEnd w:id="1296"/>
            <w:r w:rsidRPr="00286216">
              <w:rPr>
                <w:color w:val="000000" w:themeColor="text1"/>
              </w:rPr>
              <w:t>1558.</w:t>
            </w:r>
          </w:p>
        </w:tc>
        <w:tc>
          <w:tcPr>
            <w:tcW w:w="4818" w:type="dxa"/>
          </w:tcPr>
          <w:p w14:paraId="2E8206E7" w14:textId="77777777" w:rsidR="006507E8" w:rsidRPr="00286216" w:rsidRDefault="006507E8" w:rsidP="006507E8">
            <w:pPr>
              <w:pStyle w:val="StyleZakonu"/>
              <w:rPr>
                <w:color w:val="000000" w:themeColor="text1"/>
              </w:rPr>
            </w:pPr>
            <w:r w:rsidRPr="00286216">
              <w:rPr>
                <w:color w:val="000000" w:themeColor="text1"/>
              </w:rPr>
              <w:t>2) порушення встановленого законодавством порядку прийняття рішення про емісію цінних паперів;</w:t>
            </w:r>
          </w:p>
        </w:tc>
        <w:tc>
          <w:tcPr>
            <w:tcW w:w="3686" w:type="dxa"/>
          </w:tcPr>
          <w:p w14:paraId="03A4FFAE" w14:textId="03CCAF8C"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4D4F94BF" w14:textId="04FBAABE" w:rsidR="006507E8" w:rsidRPr="00286216" w:rsidRDefault="006507E8" w:rsidP="006507E8">
            <w:pPr>
              <w:pStyle w:val="StyleProp"/>
              <w:rPr>
                <w:color w:val="000000" w:themeColor="text1"/>
                <w:szCs w:val="18"/>
              </w:rPr>
            </w:pPr>
            <w:r w:rsidRPr="00286216">
              <w:rPr>
                <w:color w:val="000000" w:themeColor="text1"/>
              </w:rPr>
              <w:t>Пункт 2 частини 2 статті 92 виключити.</w:t>
            </w:r>
          </w:p>
        </w:tc>
        <w:tc>
          <w:tcPr>
            <w:tcW w:w="1987" w:type="dxa"/>
          </w:tcPr>
          <w:p w14:paraId="010A5282" w14:textId="5CCA0746"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040C0705" w14:textId="69B86314" w:rsidR="006507E8" w:rsidRPr="00286216" w:rsidRDefault="006507E8" w:rsidP="006507E8">
            <w:pPr>
              <w:pStyle w:val="StyleZakonu"/>
              <w:rPr>
                <w:color w:val="000000" w:themeColor="text1"/>
              </w:rPr>
            </w:pPr>
          </w:p>
        </w:tc>
      </w:tr>
      <w:tr w:rsidR="006507E8" w:rsidRPr="00286216" w14:paraId="163A21BF" w14:textId="77777777" w:rsidTr="00091AA5">
        <w:tc>
          <w:tcPr>
            <w:tcW w:w="576" w:type="dxa"/>
          </w:tcPr>
          <w:p w14:paraId="32ACC2D1" w14:textId="77777777" w:rsidR="006507E8" w:rsidRPr="00286216" w:rsidRDefault="006507E8" w:rsidP="006507E8">
            <w:pPr>
              <w:pStyle w:val="StyleWisnow"/>
              <w:rPr>
                <w:color w:val="000000" w:themeColor="text1"/>
              </w:rPr>
            </w:pPr>
            <w:bookmarkStart w:id="1298" w:name="n1559" w:colFirst="0" w:colLast="0"/>
            <w:bookmarkEnd w:id="1297"/>
            <w:r w:rsidRPr="00286216">
              <w:rPr>
                <w:color w:val="000000" w:themeColor="text1"/>
              </w:rPr>
              <w:t>1559.</w:t>
            </w:r>
          </w:p>
        </w:tc>
        <w:tc>
          <w:tcPr>
            <w:tcW w:w="4818" w:type="dxa"/>
          </w:tcPr>
          <w:p w14:paraId="28BA9C07" w14:textId="77777777" w:rsidR="006507E8" w:rsidRPr="00286216" w:rsidRDefault="006507E8" w:rsidP="006507E8">
            <w:pPr>
              <w:pStyle w:val="StyleZakonu"/>
              <w:rPr>
                <w:color w:val="000000" w:themeColor="text1"/>
              </w:rPr>
            </w:pPr>
            <w:r w:rsidRPr="00286216">
              <w:rPr>
                <w:color w:val="000000" w:themeColor="text1"/>
              </w:rPr>
              <w:t>3) внесення недостовірних, з розбіжностями між різними положеннями та/або неповних відомостей до документів, що подаються для реєстрації випуску цінних паперів, звіту про результати емісії цінних паперів;</w:t>
            </w:r>
          </w:p>
        </w:tc>
        <w:tc>
          <w:tcPr>
            <w:tcW w:w="3686" w:type="dxa"/>
          </w:tcPr>
          <w:p w14:paraId="2BD44724" w14:textId="203D6FFA"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1A0072B1" w14:textId="4560BAEF" w:rsidR="006507E8" w:rsidRPr="00286216" w:rsidRDefault="006507E8" w:rsidP="006507E8">
            <w:pPr>
              <w:pStyle w:val="StyleProp"/>
              <w:rPr>
                <w:color w:val="000000" w:themeColor="text1"/>
                <w:szCs w:val="18"/>
              </w:rPr>
            </w:pPr>
            <w:r w:rsidRPr="00286216">
              <w:rPr>
                <w:color w:val="000000" w:themeColor="text1"/>
              </w:rPr>
              <w:t>У пункті 3 частини 2 статті 92 слова  «випуску цінних паперів» виключити,.</w:t>
            </w:r>
          </w:p>
        </w:tc>
        <w:tc>
          <w:tcPr>
            <w:tcW w:w="1987" w:type="dxa"/>
          </w:tcPr>
          <w:p w14:paraId="1E3CA1FB" w14:textId="5F60876E"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171EDE12" w14:textId="010BCD71" w:rsidR="006507E8" w:rsidRPr="00286216" w:rsidRDefault="006507E8" w:rsidP="006507E8">
            <w:pPr>
              <w:pStyle w:val="StyleZakonu"/>
              <w:rPr>
                <w:color w:val="000000" w:themeColor="text1"/>
              </w:rPr>
            </w:pPr>
            <w:r w:rsidRPr="00286216">
              <w:rPr>
                <w:color w:val="000000" w:themeColor="text1"/>
              </w:rPr>
              <w:t>2) внесення недостовірних, з розбіжностями між різними положеннями та/або неповних відомостей до документів, що подаються для реєстрації звіту про результати емісії цінних паперів;</w:t>
            </w:r>
          </w:p>
        </w:tc>
      </w:tr>
      <w:tr w:rsidR="006507E8" w:rsidRPr="00286216" w14:paraId="5CDA014C" w14:textId="77777777" w:rsidTr="00091AA5">
        <w:tc>
          <w:tcPr>
            <w:tcW w:w="576" w:type="dxa"/>
          </w:tcPr>
          <w:p w14:paraId="4F2D619F" w14:textId="77777777" w:rsidR="006507E8" w:rsidRPr="00286216" w:rsidRDefault="006507E8" w:rsidP="006507E8">
            <w:pPr>
              <w:pStyle w:val="StyleWisnow"/>
              <w:rPr>
                <w:color w:val="000000" w:themeColor="text1"/>
              </w:rPr>
            </w:pPr>
            <w:bookmarkStart w:id="1299" w:name="n1560" w:colFirst="0" w:colLast="0"/>
            <w:bookmarkEnd w:id="1298"/>
            <w:r w:rsidRPr="00286216">
              <w:rPr>
                <w:color w:val="000000" w:themeColor="text1"/>
              </w:rPr>
              <w:t>1560.</w:t>
            </w:r>
          </w:p>
        </w:tc>
        <w:tc>
          <w:tcPr>
            <w:tcW w:w="4818" w:type="dxa"/>
          </w:tcPr>
          <w:p w14:paraId="1B06E44F" w14:textId="77777777" w:rsidR="006507E8" w:rsidRPr="00286216" w:rsidRDefault="006507E8" w:rsidP="006507E8">
            <w:pPr>
              <w:pStyle w:val="StyleZakonu"/>
              <w:rPr>
                <w:color w:val="000000" w:themeColor="text1"/>
              </w:rPr>
            </w:pPr>
            <w:r w:rsidRPr="00286216">
              <w:rPr>
                <w:color w:val="000000" w:themeColor="text1"/>
              </w:rPr>
              <w:t>4) неодноразове грубе порушення емітентом прав інвесторів під час емісії цінних паперів.</w:t>
            </w:r>
          </w:p>
        </w:tc>
        <w:tc>
          <w:tcPr>
            <w:tcW w:w="3686" w:type="dxa"/>
          </w:tcPr>
          <w:p w14:paraId="7271727A" w14:textId="77777777" w:rsidR="006507E8" w:rsidRPr="00286216" w:rsidRDefault="006507E8" w:rsidP="006507E8">
            <w:pPr>
              <w:pStyle w:val="StyleProp"/>
              <w:rPr>
                <w:color w:val="000000" w:themeColor="text1"/>
                <w:szCs w:val="18"/>
              </w:rPr>
            </w:pPr>
          </w:p>
        </w:tc>
        <w:tc>
          <w:tcPr>
            <w:tcW w:w="1987" w:type="dxa"/>
          </w:tcPr>
          <w:p w14:paraId="0541B2FA" w14:textId="77777777" w:rsidR="006507E8" w:rsidRPr="00286216" w:rsidRDefault="006507E8" w:rsidP="006507E8">
            <w:pPr>
              <w:pStyle w:val="StyleWisnow"/>
              <w:rPr>
                <w:color w:val="000000" w:themeColor="text1"/>
              </w:rPr>
            </w:pPr>
          </w:p>
        </w:tc>
        <w:tc>
          <w:tcPr>
            <w:tcW w:w="4818" w:type="dxa"/>
          </w:tcPr>
          <w:p w14:paraId="447BCFA7" w14:textId="56CA3900" w:rsidR="006507E8" w:rsidRPr="00286216" w:rsidRDefault="006507E8" w:rsidP="006507E8">
            <w:pPr>
              <w:pStyle w:val="StyleZakonu"/>
              <w:rPr>
                <w:color w:val="000000" w:themeColor="text1"/>
              </w:rPr>
            </w:pPr>
            <w:r w:rsidRPr="00286216">
              <w:rPr>
                <w:color w:val="000000" w:themeColor="text1"/>
              </w:rPr>
              <w:t>3) неодноразове грубе порушення емітентом прав інвесторів під час емісії цінних паперів.</w:t>
            </w:r>
          </w:p>
        </w:tc>
      </w:tr>
      <w:tr w:rsidR="006507E8" w:rsidRPr="00286216" w14:paraId="60A1F3A0" w14:textId="77777777" w:rsidTr="00091AA5">
        <w:tc>
          <w:tcPr>
            <w:tcW w:w="576" w:type="dxa"/>
          </w:tcPr>
          <w:p w14:paraId="3270B353" w14:textId="77777777" w:rsidR="006507E8" w:rsidRPr="00286216" w:rsidRDefault="006507E8" w:rsidP="006507E8">
            <w:pPr>
              <w:pStyle w:val="StyleWisnow"/>
              <w:rPr>
                <w:color w:val="000000" w:themeColor="text1"/>
              </w:rPr>
            </w:pPr>
            <w:bookmarkStart w:id="1300" w:name="n1561" w:colFirst="0" w:colLast="0"/>
            <w:bookmarkEnd w:id="1299"/>
            <w:r w:rsidRPr="00286216">
              <w:rPr>
                <w:color w:val="000000" w:themeColor="text1"/>
              </w:rPr>
              <w:t>1561.</w:t>
            </w:r>
          </w:p>
        </w:tc>
        <w:tc>
          <w:tcPr>
            <w:tcW w:w="4818" w:type="dxa"/>
          </w:tcPr>
          <w:p w14:paraId="289C5484" w14:textId="77777777" w:rsidR="006507E8" w:rsidRPr="00286216" w:rsidRDefault="006507E8" w:rsidP="006507E8">
            <w:pPr>
              <w:pStyle w:val="StyleZakonu"/>
              <w:rPr>
                <w:color w:val="000000" w:themeColor="text1"/>
              </w:rPr>
            </w:pPr>
            <w:r w:rsidRPr="00286216">
              <w:rPr>
                <w:color w:val="000000" w:themeColor="text1"/>
              </w:rPr>
              <w:t>3. У разі недобросовісної емісії Національна комісія з цінних паперів та фондового ринку має право тимчасово зупинити розміщення цінних паперів.</w:t>
            </w:r>
          </w:p>
        </w:tc>
        <w:tc>
          <w:tcPr>
            <w:tcW w:w="3686" w:type="dxa"/>
          </w:tcPr>
          <w:p w14:paraId="10630BDF" w14:textId="6CE76552"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955</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2E2B32A" w14:textId="77777777" w:rsidR="006507E8" w:rsidRPr="00286216" w:rsidRDefault="006507E8" w:rsidP="006507E8">
            <w:pPr>
              <w:pStyle w:val="StyleProp"/>
              <w:rPr>
                <w:color w:val="000000" w:themeColor="text1"/>
              </w:rPr>
            </w:pPr>
            <w:r w:rsidRPr="00286216">
              <w:rPr>
                <w:color w:val="000000" w:themeColor="text1"/>
              </w:rPr>
              <w:t>Абзац перший частини третьої статті 92 викласти у такій редакції:</w:t>
            </w:r>
          </w:p>
          <w:p w14:paraId="42CB1B2A" w14:textId="3271D711" w:rsidR="006507E8" w:rsidRPr="00286216" w:rsidRDefault="006507E8" w:rsidP="006507E8">
            <w:pPr>
              <w:pStyle w:val="StyleProp"/>
              <w:rPr>
                <w:color w:val="000000" w:themeColor="text1"/>
                <w:spacing w:val="-2"/>
                <w:szCs w:val="18"/>
              </w:rPr>
            </w:pPr>
            <w:r w:rsidRPr="00286216">
              <w:rPr>
                <w:color w:val="000000" w:themeColor="text1"/>
                <w:spacing w:val="-2"/>
              </w:rPr>
              <w:t xml:space="preserve">«3.У разі визнання емісії цінних паперів, щодо яких здійснюється публічна пропозиція, </w:t>
            </w:r>
            <w:r w:rsidRPr="00286216">
              <w:rPr>
                <w:color w:val="000000" w:themeColor="text1"/>
                <w:spacing w:val="-2"/>
              </w:rPr>
              <w:lastRenderedPageBreak/>
              <w:t>недобросовісною Національна комісія з цінних паперів та фондового ринку має право відмовити в реєстрації звіту про результати емісії цінних паперів або тимчасово зупинити розміщення цінних паперів».</w:t>
            </w:r>
          </w:p>
        </w:tc>
        <w:tc>
          <w:tcPr>
            <w:tcW w:w="1987" w:type="dxa"/>
          </w:tcPr>
          <w:p w14:paraId="2A7752AE" w14:textId="736E2C8C" w:rsidR="006507E8" w:rsidRPr="00286216" w:rsidRDefault="006507E8" w:rsidP="006507E8">
            <w:pPr>
              <w:pStyle w:val="StyleWisnow"/>
              <w:spacing w:line="180" w:lineRule="atLeast"/>
              <w:rPr>
                <w:color w:val="000000" w:themeColor="text1"/>
              </w:rPr>
            </w:pPr>
            <w:r w:rsidRPr="00286216">
              <w:rPr>
                <w:color w:val="000000" w:themeColor="text1"/>
              </w:rPr>
              <w:lastRenderedPageBreak/>
              <w:t>Враховано частково</w:t>
            </w:r>
          </w:p>
          <w:p w14:paraId="16F7C0C2" w14:textId="2767E43E" w:rsidR="006507E8" w:rsidRPr="00286216" w:rsidRDefault="006507E8" w:rsidP="006507E8">
            <w:pPr>
              <w:pStyle w:val="StyleWisnow"/>
              <w:spacing w:line="180" w:lineRule="exact"/>
              <w:rPr>
                <w:color w:val="000000" w:themeColor="text1"/>
              </w:rPr>
            </w:pPr>
            <w:r w:rsidRPr="00286216">
              <w:rPr>
                <w:color w:val="000000" w:themeColor="text1"/>
              </w:rPr>
              <w:t>у частині публічної пропозиції питання потребує вирішення окремим законом</w:t>
            </w:r>
          </w:p>
        </w:tc>
        <w:tc>
          <w:tcPr>
            <w:tcW w:w="4818" w:type="dxa"/>
          </w:tcPr>
          <w:p w14:paraId="39AA984F" w14:textId="4F179DB5" w:rsidR="006507E8" w:rsidRPr="00286216" w:rsidRDefault="006507E8" w:rsidP="006507E8">
            <w:pPr>
              <w:pStyle w:val="StyleZakonu"/>
              <w:rPr>
                <w:color w:val="000000" w:themeColor="text1"/>
              </w:rPr>
            </w:pPr>
            <w:r w:rsidRPr="00286216">
              <w:rPr>
                <w:color w:val="000000" w:themeColor="text1"/>
              </w:rPr>
              <w:t xml:space="preserve">3. У разі визнання емісії цінних паперів недобросовісною Національна комісія з цінних паперів та фондового ринку має право відмовити в реєстрації звіту про результати емісії цінних паперів </w:t>
            </w:r>
            <w:r w:rsidRPr="00286216">
              <w:rPr>
                <w:color w:val="000000" w:themeColor="text1"/>
              </w:rPr>
              <w:lastRenderedPageBreak/>
              <w:t>або тимчасово зупинити розміщення цінних паперів.</w:t>
            </w:r>
          </w:p>
        </w:tc>
      </w:tr>
      <w:tr w:rsidR="006507E8" w:rsidRPr="00286216" w14:paraId="1843F496" w14:textId="77777777" w:rsidTr="00091AA5">
        <w:tc>
          <w:tcPr>
            <w:tcW w:w="576" w:type="dxa"/>
          </w:tcPr>
          <w:p w14:paraId="400C34AA" w14:textId="7E0042B9" w:rsidR="006507E8" w:rsidRPr="00286216" w:rsidRDefault="006507E8" w:rsidP="006507E8">
            <w:pPr>
              <w:pStyle w:val="StyleWisnow"/>
              <w:rPr>
                <w:color w:val="000000" w:themeColor="text1"/>
              </w:rPr>
            </w:pPr>
            <w:bookmarkStart w:id="1301" w:name="n1562" w:colFirst="0" w:colLast="0"/>
            <w:bookmarkEnd w:id="1300"/>
            <w:r w:rsidRPr="00286216">
              <w:rPr>
                <w:color w:val="000000" w:themeColor="text1"/>
              </w:rPr>
              <w:lastRenderedPageBreak/>
              <w:t>1562.</w:t>
            </w:r>
          </w:p>
        </w:tc>
        <w:tc>
          <w:tcPr>
            <w:tcW w:w="4818" w:type="dxa"/>
          </w:tcPr>
          <w:p w14:paraId="2F4D3B0B" w14:textId="77777777" w:rsidR="006507E8" w:rsidRPr="00286216" w:rsidRDefault="006507E8" w:rsidP="006507E8">
            <w:pPr>
              <w:pStyle w:val="StyleZakonu"/>
              <w:rPr>
                <w:color w:val="000000" w:themeColor="text1"/>
              </w:rPr>
            </w:pPr>
            <w:r w:rsidRPr="00286216">
              <w:rPr>
                <w:color w:val="000000" w:themeColor="text1"/>
              </w:rPr>
              <w:t>Порядок прийняття рішення про зупинення розміщення цінних паперів встановлюється Національною комісією з цінних паперів та фондового ринку.</w:t>
            </w:r>
          </w:p>
        </w:tc>
        <w:tc>
          <w:tcPr>
            <w:tcW w:w="3686" w:type="dxa"/>
          </w:tcPr>
          <w:p w14:paraId="40DEF44E" w14:textId="77777777" w:rsidR="006507E8" w:rsidRPr="00286216" w:rsidRDefault="006507E8" w:rsidP="006507E8">
            <w:pPr>
              <w:pStyle w:val="StyleProp"/>
              <w:rPr>
                <w:color w:val="000000" w:themeColor="text1"/>
                <w:szCs w:val="18"/>
              </w:rPr>
            </w:pPr>
          </w:p>
        </w:tc>
        <w:tc>
          <w:tcPr>
            <w:tcW w:w="1987" w:type="dxa"/>
          </w:tcPr>
          <w:p w14:paraId="444F2FF9" w14:textId="77777777" w:rsidR="006507E8" w:rsidRPr="00286216" w:rsidRDefault="006507E8" w:rsidP="006507E8">
            <w:pPr>
              <w:pStyle w:val="StyleWisnow"/>
              <w:rPr>
                <w:color w:val="000000" w:themeColor="text1"/>
              </w:rPr>
            </w:pPr>
          </w:p>
        </w:tc>
        <w:tc>
          <w:tcPr>
            <w:tcW w:w="4818" w:type="dxa"/>
          </w:tcPr>
          <w:p w14:paraId="2CF042EB" w14:textId="149F010C" w:rsidR="006507E8" w:rsidRPr="00286216" w:rsidRDefault="006507E8" w:rsidP="006507E8">
            <w:pPr>
              <w:pStyle w:val="StyleZakonu"/>
              <w:rPr>
                <w:color w:val="000000" w:themeColor="text1"/>
              </w:rPr>
            </w:pPr>
            <w:r w:rsidRPr="00286216">
              <w:rPr>
                <w:color w:val="000000" w:themeColor="text1"/>
              </w:rPr>
              <w:t>Порядок прийняття рішення про зупинення розміщення цінних паперів встановлюється Національною комісією з цінних паперів та фондового ринку.</w:t>
            </w:r>
          </w:p>
        </w:tc>
      </w:tr>
      <w:tr w:rsidR="006507E8" w:rsidRPr="00286216" w14:paraId="28DEB833" w14:textId="77777777" w:rsidTr="00091AA5">
        <w:tc>
          <w:tcPr>
            <w:tcW w:w="576" w:type="dxa"/>
          </w:tcPr>
          <w:p w14:paraId="020ACF59" w14:textId="77777777" w:rsidR="006507E8" w:rsidRPr="00286216" w:rsidRDefault="006507E8" w:rsidP="006507E8">
            <w:pPr>
              <w:pStyle w:val="StyleWisnow"/>
              <w:rPr>
                <w:color w:val="000000" w:themeColor="text1"/>
              </w:rPr>
            </w:pPr>
            <w:bookmarkStart w:id="1302" w:name="n1563" w:colFirst="0" w:colLast="0"/>
            <w:bookmarkEnd w:id="1301"/>
            <w:r w:rsidRPr="00286216">
              <w:rPr>
                <w:color w:val="000000" w:themeColor="text1"/>
              </w:rPr>
              <w:t>1563.</w:t>
            </w:r>
          </w:p>
        </w:tc>
        <w:tc>
          <w:tcPr>
            <w:tcW w:w="4818" w:type="dxa"/>
          </w:tcPr>
          <w:p w14:paraId="73C14D4A" w14:textId="77777777" w:rsidR="006507E8" w:rsidRPr="00286216" w:rsidRDefault="006507E8" w:rsidP="006507E8">
            <w:pPr>
              <w:pStyle w:val="StyleZakonu"/>
              <w:rPr>
                <w:color w:val="000000" w:themeColor="text1"/>
              </w:rPr>
            </w:pPr>
            <w:r w:rsidRPr="00286216">
              <w:rPr>
                <w:color w:val="000000" w:themeColor="text1"/>
              </w:rPr>
              <w:t>4. Зупинене розміщення цінних паперів поновлюється за рішенням Національної комісії з цінних паперів та фондового ринку лише до закінчення строку укладення договорів з першими власниками, визначеного рішенням про емісію цінних паперів, за умови усунення порушень, що стали підставою для зупинення розміщення.</w:t>
            </w:r>
          </w:p>
        </w:tc>
        <w:tc>
          <w:tcPr>
            <w:tcW w:w="3686" w:type="dxa"/>
          </w:tcPr>
          <w:p w14:paraId="59BF066C" w14:textId="77777777" w:rsidR="006507E8" w:rsidRPr="00286216" w:rsidRDefault="006507E8" w:rsidP="006507E8">
            <w:pPr>
              <w:pStyle w:val="StyleProp"/>
              <w:rPr>
                <w:color w:val="000000" w:themeColor="text1"/>
                <w:szCs w:val="18"/>
              </w:rPr>
            </w:pPr>
          </w:p>
        </w:tc>
        <w:tc>
          <w:tcPr>
            <w:tcW w:w="1987" w:type="dxa"/>
          </w:tcPr>
          <w:p w14:paraId="1066356E" w14:textId="77777777" w:rsidR="006507E8" w:rsidRPr="00286216" w:rsidRDefault="006507E8" w:rsidP="006507E8">
            <w:pPr>
              <w:pStyle w:val="StyleWisnow"/>
              <w:rPr>
                <w:color w:val="000000" w:themeColor="text1"/>
              </w:rPr>
            </w:pPr>
          </w:p>
        </w:tc>
        <w:tc>
          <w:tcPr>
            <w:tcW w:w="4818" w:type="dxa"/>
          </w:tcPr>
          <w:p w14:paraId="3C1C686B" w14:textId="6AD1448C" w:rsidR="006507E8" w:rsidRPr="00286216" w:rsidRDefault="006507E8" w:rsidP="006507E8">
            <w:pPr>
              <w:pStyle w:val="StyleZakonu"/>
              <w:rPr>
                <w:color w:val="000000" w:themeColor="text1"/>
              </w:rPr>
            </w:pPr>
            <w:r w:rsidRPr="00286216">
              <w:rPr>
                <w:color w:val="000000" w:themeColor="text1"/>
              </w:rPr>
              <w:t>4. Зупинене розміщення цінних паперів поновлюється за рішенням Національної комісії з цінних паперів та фондового ринку лише до закінчення строку укладення договорів з першими власниками, визначеного рішенням про емісію цінних паперів, за умови усунення порушень, що стали підставою для зупинення розміщення.</w:t>
            </w:r>
          </w:p>
        </w:tc>
      </w:tr>
      <w:tr w:rsidR="006507E8" w:rsidRPr="00286216" w14:paraId="49001199" w14:textId="77777777" w:rsidTr="00091AA5">
        <w:tc>
          <w:tcPr>
            <w:tcW w:w="576" w:type="dxa"/>
          </w:tcPr>
          <w:p w14:paraId="034D4284" w14:textId="77777777" w:rsidR="006507E8" w:rsidRPr="00286216" w:rsidRDefault="006507E8" w:rsidP="006507E8">
            <w:pPr>
              <w:pStyle w:val="StyleWisnow"/>
              <w:rPr>
                <w:color w:val="000000" w:themeColor="text1"/>
              </w:rPr>
            </w:pPr>
            <w:bookmarkStart w:id="1303" w:name="n1564" w:colFirst="0" w:colLast="0"/>
            <w:bookmarkEnd w:id="1302"/>
            <w:r w:rsidRPr="00286216">
              <w:rPr>
                <w:color w:val="000000" w:themeColor="text1"/>
              </w:rPr>
              <w:t>1564.</w:t>
            </w:r>
          </w:p>
        </w:tc>
        <w:tc>
          <w:tcPr>
            <w:tcW w:w="4818" w:type="dxa"/>
          </w:tcPr>
          <w:p w14:paraId="45FD6817" w14:textId="77777777"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приймає рішення про визнання емісії цінних паперів недійсною у разі, якщо:</w:t>
            </w:r>
          </w:p>
        </w:tc>
        <w:tc>
          <w:tcPr>
            <w:tcW w:w="3686" w:type="dxa"/>
          </w:tcPr>
          <w:p w14:paraId="258F25A8" w14:textId="6233652A"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A46CB4" w14:textId="7EB4E61F" w:rsidR="006507E8" w:rsidRPr="00286216" w:rsidRDefault="006507E8" w:rsidP="006507E8">
            <w:pPr>
              <w:spacing w:line="180" w:lineRule="exact"/>
              <w:ind w:firstLine="227"/>
              <w:jc w:val="both"/>
              <w:rPr>
                <w:color w:val="000000" w:themeColor="text1"/>
                <w:szCs w:val="18"/>
              </w:rPr>
            </w:pPr>
            <w:r w:rsidRPr="00286216">
              <w:rPr>
                <w:color w:val="000000" w:themeColor="text1"/>
                <w:sz w:val="18"/>
              </w:rPr>
              <w:t>Абзац 1 частини 5 статті 92 після слів «емісії цінних паперів недійсною» доповнити словами «до моменту реєстрації звіту про результати розміщення цінних паперів, щодо яких здійснюється публічна пропозиція».</w:t>
            </w:r>
          </w:p>
        </w:tc>
        <w:tc>
          <w:tcPr>
            <w:tcW w:w="1987" w:type="dxa"/>
          </w:tcPr>
          <w:p w14:paraId="61EB2AF4"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76EFC9E" w14:textId="18EC1061" w:rsidR="006507E8" w:rsidRPr="00286216" w:rsidRDefault="006507E8" w:rsidP="006507E8">
            <w:pPr>
              <w:pStyle w:val="StyleWisnow"/>
              <w:rPr>
                <w:color w:val="000000" w:themeColor="text1"/>
              </w:rPr>
            </w:pPr>
            <w:r w:rsidRPr="00286216">
              <w:rPr>
                <w:color w:val="000000" w:themeColor="text1"/>
              </w:rPr>
              <w:t>питання потребує вирішення окремим законом</w:t>
            </w:r>
          </w:p>
        </w:tc>
        <w:tc>
          <w:tcPr>
            <w:tcW w:w="4818" w:type="dxa"/>
          </w:tcPr>
          <w:p w14:paraId="67DDF4AA" w14:textId="1AF80CE4" w:rsidR="006507E8" w:rsidRPr="00286216" w:rsidRDefault="006507E8" w:rsidP="006507E8">
            <w:pPr>
              <w:pStyle w:val="StyleZakonu"/>
              <w:rPr>
                <w:color w:val="000000" w:themeColor="text1"/>
              </w:rPr>
            </w:pPr>
            <w:r w:rsidRPr="00286216">
              <w:rPr>
                <w:color w:val="000000" w:themeColor="text1"/>
              </w:rPr>
              <w:t>5. Національна комісія з цінних паперів та фондового ринку приймає рішення про визнання емісії цінних паперів недійсною в разі, якщо:</w:t>
            </w:r>
          </w:p>
        </w:tc>
      </w:tr>
      <w:tr w:rsidR="006507E8" w:rsidRPr="00286216" w14:paraId="29A1BB87" w14:textId="77777777" w:rsidTr="00091AA5">
        <w:tc>
          <w:tcPr>
            <w:tcW w:w="576" w:type="dxa"/>
          </w:tcPr>
          <w:p w14:paraId="22AFED61" w14:textId="77777777" w:rsidR="006507E8" w:rsidRPr="00286216" w:rsidRDefault="006507E8" w:rsidP="006507E8">
            <w:pPr>
              <w:pStyle w:val="StyleWisnow"/>
              <w:rPr>
                <w:color w:val="000000" w:themeColor="text1"/>
              </w:rPr>
            </w:pPr>
            <w:bookmarkStart w:id="1304" w:name="n1565" w:colFirst="0" w:colLast="0"/>
            <w:bookmarkEnd w:id="1303"/>
            <w:r w:rsidRPr="00286216">
              <w:rPr>
                <w:color w:val="000000" w:themeColor="text1"/>
              </w:rPr>
              <w:t>1565.</w:t>
            </w:r>
          </w:p>
        </w:tc>
        <w:tc>
          <w:tcPr>
            <w:tcW w:w="4818" w:type="dxa"/>
          </w:tcPr>
          <w:p w14:paraId="52327110" w14:textId="77777777" w:rsidR="006507E8" w:rsidRPr="00286216" w:rsidRDefault="006507E8" w:rsidP="006507E8">
            <w:pPr>
              <w:pStyle w:val="StyleZakonu"/>
              <w:rPr>
                <w:color w:val="000000" w:themeColor="text1"/>
              </w:rPr>
            </w:pPr>
            <w:r w:rsidRPr="00286216">
              <w:rPr>
                <w:color w:val="000000" w:themeColor="text1"/>
              </w:rPr>
              <w:t>1) порушення, що стали підставою для зупинення розміщення цінних паперів, не усунені протягом 15 днів після прийняття Національною комісією з цінних паперів та фондового ринку відповідного рішення;</w:t>
            </w:r>
          </w:p>
        </w:tc>
        <w:tc>
          <w:tcPr>
            <w:tcW w:w="3686" w:type="dxa"/>
          </w:tcPr>
          <w:p w14:paraId="74284FF2" w14:textId="77777777" w:rsidR="006507E8" w:rsidRPr="00286216" w:rsidRDefault="006507E8" w:rsidP="006507E8">
            <w:pPr>
              <w:pStyle w:val="StyleProp"/>
              <w:rPr>
                <w:color w:val="000000" w:themeColor="text1"/>
                <w:szCs w:val="18"/>
              </w:rPr>
            </w:pPr>
          </w:p>
        </w:tc>
        <w:tc>
          <w:tcPr>
            <w:tcW w:w="1987" w:type="dxa"/>
          </w:tcPr>
          <w:p w14:paraId="498FEEA6" w14:textId="77777777" w:rsidR="006507E8" w:rsidRPr="00286216" w:rsidRDefault="006507E8" w:rsidP="006507E8">
            <w:pPr>
              <w:pStyle w:val="StyleWisnow"/>
              <w:rPr>
                <w:color w:val="000000" w:themeColor="text1"/>
              </w:rPr>
            </w:pPr>
          </w:p>
        </w:tc>
        <w:tc>
          <w:tcPr>
            <w:tcW w:w="4818" w:type="dxa"/>
          </w:tcPr>
          <w:p w14:paraId="31C33A56" w14:textId="324BCD06" w:rsidR="006507E8" w:rsidRPr="00286216" w:rsidRDefault="006507E8" w:rsidP="006507E8">
            <w:pPr>
              <w:pStyle w:val="StyleZakonu"/>
              <w:rPr>
                <w:color w:val="000000" w:themeColor="text1"/>
              </w:rPr>
            </w:pPr>
            <w:r w:rsidRPr="00286216">
              <w:rPr>
                <w:color w:val="000000" w:themeColor="text1"/>
              </w:rPr>
              <w:t>1) порушення, що стали підставою для зупинення розміщення цінних паперів, не усунені протягом 15 днів після прийняття Національною комісією з цінних паперів та фондового ринку відповідного рішення;</w:t>
            </w:r>
          </w:p>
        </w:tc>
      </w:tr>
      <w:tr w:rsidR="006507E8" w:rsidRPr="00286216" w14:paraId="78E8D2DF" w14:textId="77777777" w:rsidTr="00091AA5">
        <w:tc>
          <w:tcPr>
            <w:tcW w:w="576" w:type="dxa"/>
          </w:tcPr>
          <w:p w14:paraId="3CA3EC0E" w14:textId="77777777" w:rsidR="006507E8" w:rsidRPr="00286216" w:rsidRDefault="006507E8" w:rsidP="006507E8">
            <w:pPr>
              <w:pStyle w:val="StyleWisnow"/>
              <w:rPr>
                <w:color w:val="000000" w:themeColor="text1"/>
              </w:rPr>
            </w:pPr>
            <w:bookmarkStart w:id="1305" w:name="n1566" w:colFirst="0" w:colLast="0"/>
            <w:bookmarkEnd w:id="1304"/>
            <w:r w:rsidRPr="00286216">
              <w:rPr>
                <w:color w:val="000000" w:themeColor="text1"/>
              </w:rPr>
              <w:t>1566.</w:t>
            </w:r>
          </w:p>
        </w:tc>
        <w:tc>
          <w:tcPr>
            <w:tcW w:w="4818" w:type="dxa"/>
          </w:tcPr>
          <w:p w14:paraId="77A3AFE5" w14:textId="77777777" w:rsidR="006507E8" w:rsidRPr="00286216" w:rsidRDefault="006507E8" w:rsidP="006507E8">
            <w:pPr>
              <w:pStyle w:val="StyleZakonu"/>
              <w:rPr>
                <w:color w:val="000000" w:themeColor="text1"/>
              </w:rPr>
            </w:pPr>
            <w:r w:rsidRPr="00286216">
              <w:rPr>
                <w:color w:val="000000" w:themeColor="text1"/>
              </w:rPr>
              <w:t>2) Національній комісії з цінних паперів та фондового ринку не надіслані документи, що підтверджують усунення порушень.</w:t>
            </w:r>
          </w:p>
        </w:tc>
        <w:tc>
          <w:tcPr>
            <w:tcW w:w="3686" w:type="dxa"/>
          </w:tcPr>
          <w:p w14:paraId="5D9FEA16" w14:textId="77777777" w:rsidR="006507E8" w:rsidRPr="00286216" w:rsidRDefault="006507E8" w:rsidP="006507E8">
            <w:pPr>
              <w:pStyle w:val="StyleProp"/>
              <w:rPr>
                <w:color w:val="000000" w:themeColor="text1"/>
                <w:szCs w:val="18"/>
              </w:rPr>
            </w:pPr>
          </w:p>
        </w:tc>
        <w:tc>
          <w:tcPr>
            <w:tcW w:w="1987" w:type="dxa"/>
          </w:tcPr>
          <w:p w14:paraId="5AE43E9C" w14:textId="77777777" w:rsidR="006507E8" w:rsidRPr="00286216" w:rsidRDefault="006507E8" w:rsidP="006507E8">
            <w:pPr>
              <w:pStyle w:val="StyleWisnow"/>
              <w:rPr>
                <w:color w:val="000000" w:themeColor="text1"/>
              </w:rPr>
            </w:pPr>
          </w:p>
        </w:tc>
        <w:tc>
          <w:tcPr>
            <w:tcW w:w="4818" w:type="dxa"/>
          </w:tcPr>
          <w:p w14:paraId="0142C0BD" w14:textId="617D3A12" w:rsidR="006507E8" w:rsidRPr="00286216" w:rsidRDefault="006507E8" w:rsidP="006507E8">
            <w:pPr>
              <w:pStyle w:val="StyleZakonu"/>
              <w:rPr>
                <w:color w:val="000000" w:themeColor="text1"/>
              </w:rPr>
            </w:pPr>
            <w:r w:rsidRPr="00286216">
              <w:rPr>
                <w:color w:val="000000" w:themeColor="text1"/>
              </w:rPr>
              <w:t>2) Національній комісії з цінних паперів та фондового ринку не надіслані документи, що підтверджують усунення порушень.</w:t>
            </w:r>
          </w:p>
        </w:tc>
      </w:tr>
      <w:tr w:rsidR="006507E8" w:rsidRPr="00286216" w14:paraId="4D90AABE" w14:textId="77777777" w:rsidTr="00091AA5">
        <w:tc>
          <w:tcPr>
            <w:tcW w:w="576" w:type="dxa"/>
          </w:tcPr>
          <w:p w14:paraId="16EEA868" w14:textId="77777777" w:rsidR="006507E8" w:rsidRPr="00286216" w:rsidRDefault="006507E8" w:rsidP="006507E8">
            <w:pPr>
              <w:pStyle w:val="StyleWisnow"/>
              <w:rPr>
                <w:color w:val="000000" w:themeColor="text1"/>
              </w:rPr>
            </w:pPr>
            <w:bookmarkStart w:id="1306" w:name="n1567" w:colFirst="0" w:colLast="0"/>
            <w:bookmarkEnd w:id="1305"/>
            <w:r w:rsidRPr="00286216">
              <w:rPr>
                <w:color w:val="000000" w:themeColor="text1"/>
              </w:rPr>
              <w:t>1567.</w:t>
            </w:r>
          </w:p>
        </w:tc>
        <w:tc>
          <w:tcPr>
            <w:tcW w:w="4818" w:type="dxa"/>
          </w:tcPr>
          <w:p w14:paraId="5CBF524E" w14:textId="77777777" w:rsidR="006507E8" w:rsidRPr="00286216" w:rsidRDefault="006507E8" w:rsidP="006507E8">
            <w:pPr>
              <w:pStyle w:val="StyleZakonu"/>
              <w:rPr>
                <w:color w:val="000000" w:themeColor="text1"/>
              </w:rPr>
            </w:pPr>
            <w:r w:rsidRPr="00286216">
              <w:rPr>
                <w:color w:val="000000" w:themeColor="text1"/>
              </w:rPr>
              <w:t>6. У разі визнання емісії недійсною або не затвердження в установлені законодавством строки результатів емісії цінних паперів органом емітента, уповноваженим приймати таке рішення, або не внесення в установлені законодавством строки змін до статуту, пов’язаних із збільшенням статутного капіталу акціонерного товариства з урахуванням результатів розміщення акцій, емітент таких цінних паперів зобов’язаний повернути інвесторам кошти (майно, майнові права), що надійшли як плата за розміщені цінні папери, у строки, визначені рішенням про емісію цінних паперів, але не більше шести місяців, у порядку, встановленому Національною комісією з цінних паперів та фондового ринку.</w:t>
            </w:r>
          </w:p>
        </w:tc>
        <w:tc>
          <w:tcPr>
            <w:tcW w:w="3686" w:type="dxa"/>
          </w:tcPr>
          <w:p w14:paraId="32C560D7" w14:textId="2F5FEF67"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5920DE2A"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Абзац перший частини шостої статті 92 після слів «У разі визнання емісії» доповнити словами «У разі визнання емісії».</w:t>
            </w:r>
          </w:p>
        </w:tc>
        <w:tc>
          <w:tcPr>
            <w:tcW w:w="1987" w:type="dxa"/>
          </w:tcPr>
          <w:p w14:paraId="5CF7C4BA" w14:textId="77777777"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C9A4FCC" w14:textId="67CDD0FE" w:rsidR="006507E8" w:rsidRPr="00286216" w:rsidRDefault="006507E8" w:rsidP="006507E8">
            <w:pPr>
              <w:pStyle w:val="StyleWisnow"/>
              <w:spacing w:line="180" w:lineRule="exact"/>
              <w:rPr>
                <w:color w:val="000000" w:themeColor="text1"/>
              </w:rPr>
            </w:pPr>
            <w:r w:rsidRPr="00286216">
              <w:rPr>
                <w:color w:val="000000" w:themeColor="text1"/>
              </w:rPr>
              <w:t>питання потребує вирішення окремим законом</w:t>
            </w:r>
          </w:p>
        </w:tc>
        <w:tc>
          <w:tcPr>
            <w:tcW w:w="4818" w:type="dxa"/>
          </w:tcPr>
          <w:p w14:paraId="36F419DB" w14:textId="0790542B" w:rsidR="006507E8" w:rsidRPr="00286216" w:rsidRDefault="006507E8" w:rsidP="006507E8">
            <w:pPr>
              <w:pStyle w:val="StyleZakonu"/>
              <w:rPr>
                <w:color w:val="000000" w:themeColor="text1"/>
              </w:rPr>
            </w:pPr>
            <w:r w:rsidRPr="00286216">
              <w:rPr>
                <w:color w:val="000000" w:themeColor="text1"/>
              </w:rPr>
              <w:t>6. У разі визнання емісії недійсною або незатвердження в установлені законодавством строки результатів емісії цінних паперів органом емітента, уповноваженим приймати таке рішення, або невнесення в установлені законодавством строки змін до статуту, пов’язаних із збільшенням статутного капіталу акціонерного товариства з урахуванням результатів розміщення акцій, емітент таких цінних паперів зобов’язаний повернути інвесторам кошти (майно, майнові права), що надійшли як плата за розміщені цінні папери, у строки, визначені рішенням про емісію цінних паперів, але не більше шести місяців, у порядку, встановленому Національною комісією з цінних паперів та фондового ринку.</w:t>
            </w:r>
          </w:p>
        </w:tc>
      </w:tr>
      <w:tr w:rsidR="006507E8" w:rsidRPr="00286216" w14:paraId="25D9C592" w14:textId="77777777" w:rsidTr="00091AA5">
        <w:tc>
          <w:tcPr>
            <w:tcW w:w="576" w:type="dxa"/>
          </w:tcPr>
          <w:p w14:paraId="41F3201A" w14:textId="77777777" w:rsidR="006507E8" w:rsidRPr="00286216" w:rsidRDefault="006507E8" w:rsidP="006507E8">
            <w:pPr>
              <w:pStyle w:val="StyleWisnow"/>
              <w:rPr>
                <w:color w:val="000000" w:themeColor="text1"/>
              </w:rPr>
            </w:pPr>
            <w:bookmarkStart w:id="1307" w:name="n1568" w:colFirst="0" w:colLast="0"/>
            <w:bookmarkEnd w:id="1306"/>
            <w:r w:rsidRPr="00286216">
              <w:rPr>
                <w:color w:val="000000" w:themeColor="text1"/>
              </w:rPr>
              <w:t>1568.</w:t>
            </w:r>
          </w:p>
        </w:tc>
        <w:tc>
          <w:tcPr>
            <w:tcW w:w="4818" w:type="dxa"/>
          </w:tcPr>
          <w:p w14:paraId="2723608F" w14:textId="77777777" w:rsidR="006507E8" w:rsidRPr="00286216" w:rsidRDefault="006507E8" w:rsidP="006507E8">
            <w:pPr>
              <w:pStyle w:val="StyleZakonu"/>
              <w:rPr>
                <w:color w:val="000000" w:themeColor="text1"/>
              </w:rPr>
            </w:pPr>
            <w:r w:rsidRPr="00286216">
              <w:rPr>
                <w:color w:val="000000" w:themeColor="text1"/>
              </w:rPr>
              <w:t xml:space="preserve">Центральний депозитарій цінних паперів протягом трьох робочих днів після отримання від емітента </w:t>
            </w:r>
            <w:r w:rsidRPr="00286216">
              <w:rPr>
                <w:color w:val="000000" w:themeColor="text1"/>
              </w:rPr>
              <w:lastRenderedPageBreak/>
              <w:t>інформації про повернення інвесторам коштів (майна, майнових прав), що надійшли як плата за розміщені цінні папери, забезпечує в порядку, встановленому законодавством про депозитарну систему, списання депозитарними установами прав на відповідні цінні папери з рахунків інвесторів (депонентів) та переведення відповідних цінних паперів з рахунків депозитарних установ на рахунок такого емітента.</w:t>
            </w:r>
          </w:p>
        </w:tc>
        <w:tc>
          <w:tcPr>
            <w:tcW w:w="3686" w:type="dxa"/>
          </w:tcPr>
          <w:p w14:paraId="133C22FF" w14:textId="77777777" w:rsidR="006507E8" w:rsidRPr="00286216" w:rsidRDefault="006507E8" w:rsidP="006507E8">
            <w:pPr>
              <w:pStyle w:val="StyleProp"/>
              <w:rPr>
                <w:color w:val="000000" w:themeColor="text1"/>
                <w:szCs w:val="18"/>
              </w:rPr>
            </w:pPr>
          </w:p>
        </w:tc>
        <w:tc>
          <w:tcPr>
            <w:tcW w:w="1987" w:type="dxa"/>
          </w:tcPr>
          <w:p w14:paraId="05174A56" w14:textId="77777777" w:rsidR="006507E8" w:rsidRPr="00286216" w:rsidRDefault="006507E8" w:rsidP="006507E8">
            <w:pPr>
              <w:pStyle w:val="StyleWisnow"/>
              <w:rPr>
                <w:color w:val="000000" w:themeColor="text1"/>
              </w:rPr>
            </w:pPr>
          </w:p>
        </w:tc>
        <w:tc>
          <w:tcPr>
            <w:tcW w:w="4818" w:type="dxa"/>
          </w:tcPr>
          <w:p w14:paraId="698B7379" w14:textId="71D081A6" w:rsidR="006507E8" w:rsidRPr="00286216" w:rsidRDefault="006507E8" w:rsidP="006507E8">
            <w:pPr>
              <w:pStyle w:val="StyleZakonu"/>
              <w:rPr>
                <w:color w:val="000000" w:themeColor="text1"/>
              </w:rPr>
            </w:pPr>
            <w:r w:rsidRPr="00286216">
              <w:rPr>
                <w:color w:val="000000" w:themeColor="text1"/>
              </w:rPr>
              <w:t xml:space="preserve">Центральний депозитарій цінних паперів протягом трьох робочих днів після отримання від емітента </w:t>
            </w:r>
            <w:r w:rsidRPr="00286216">
              <w:rPr>
                <w:color w:val="000000" w:themeColor="text1"/>
              </w:rPr>
              <w:lastRenderedPageBreak/>
              <w:t>інформації про повернення інвесторам коштів (майна, майнових прав), що надійшли як плата за розміщені цінні папери, забезпечує в порядку, встановленому законодавством про депозитарну систему, списання депозитарними установами прав на відповідні цінні папери з рахунків інвесторів (депонентів) та переведення відповідних цінних паперів з рахунків депозитарних установ на рахунок такого емітента.</w:t>
            </w:r>
          </w:p>
        </w:tc>
      </w:tr>
      <w:tr w:rsidR="006507E8" w:rsidRPr="00286216" w14:paraId="5A5893F5" w14:textId="77777777" w:rsidTr="00091AA5">
        <w:tc>
          <w:tcPr>
            <w:tcW w:w="576" w:type="dxa"/>
          </w:tcPr>
          <w:p w14:paraId="2E7D38FF" w14:textId="77777777" w:rsidR="006507E8" w:rsidRPr="00286216" w:rsidRDefault="006507E8" w:rsidP="006507E8">
            <w:pPr>
              <w:pStyle w:val="StyleWisnow"/>
              <w:rPr>
                <w:color w:val="000000" w:themeColor="text1"/>
              </w:rPr>
            </w:pPr>
            <w:bookmarkStart w:id="1308" w:name="n1569" w:colFirst="0" w:colLast="0"/>
            <w:bookmarkEnd w:id="1307"/>
            <w:r w:rsidRPr="00286216">
              <w:rPr>
                <w:color w:val="000000" w:themeColor="text1"/>
              </w:rPr>
              <w:lastRenderedPageBreak/>
              <w:t>1569.</w:t>
            </w:r>
          </w:p>
        </w:tc>
        <w:tc>
          <w:tcPr>
            <w:tcW w:w="4818" w:type="dxa"/>
          </w:tcPr>
          <w:p w14:paraId="15006901" w14:textId="77777777" w:rsidR="006507E8" w:rsidRPr="00286216" w:rsidRDefault="006507E8" w:rsidP="006507E8">
            <w:pPr>
              <w:pStyle w:val="StyleZakonu"/>
              <w:rPr>
                <w:color w:val="000000" w:themeColor="text1"/>
              </w:rPr>
            </w:pPr>
            <w:r w:rsidRPr="00286216">
              <w:rPr>
                <w:color w:val="000000" w:themeColor="text1"/>
              </w:rPr>
              <w:t>За кожний день порушення строку, передбаченого абзацом першим цієї частини, емітент сплачує пеню у розмірі подвійної облікової ставки Національного банку України.</w:t>
            </w:r>
          </w:p>
        </w:tc>
        <w:tc>
          <w:tcPr>
            <w:tcW w:w="3686" w:type="dxa"/>
          </w:tcPr>
          <w:p w14:paraId="4BC90116" w14:textId="77777777" w:rsidR="006507E8" w:rsidRPr="00286216" w:rsidRDefault="006507E8" w:rsidP="006507E8">
            <w:pPr>
              <w:pStyle w:val="StyleProp"/>
              <w:rPr>
                <w:color w:val="000000" w:themeColor="text1"/>
                <w:szCs w:val="18"/>
              </w:rPr>
            </w:pPr>
          </w:p>
        </w:tc>
        <w:tc>
          <w:tcPr>
            <w:tcW w:w="1987" w:type="dxa"/>
          </w:tcPr>
          <w:p w14:paraId="793B8BE5" w14:textId="77777777" w:rsidR="006507E8" w:rsidRPr="00286216" w:rsidRDefault="006507E8" w:rsidP="006507E8">
            <w:pPr>
              <w:pStyle w:val="StyleWisnow"/>
              <w:rPr>
                <w:color w:val="000000" w:themeColor="text1"/>
              </w:rPr>
            </w:pPr>
          </w:p>
        </w:tc>
        <w:tc>
          <w:tcPr>
            <w:tcW w:w="4818" w:type="dxa"/>
          </w:tcPr>
          <w:p w14:paraId="7C72C766" w14:textId="21573E83" w:rsidR="006507E8" w:rsidRPr="00286216" w:rsidRDefault="006507E8" w:rsidP="006507E8">
            <w:pPr>
              <w:pStyle w:val="StyleZakonu"/>
              <w:rPr>
                <w:color w:val="000000" w:themeColor="text1"/>
              </w:rPr>
            </w:pPr>
            <w:r w:rsidRPr="00286216">
              <w:rPr>
                <w:color w:val="000000" w:themeColor="text1"/>
              </w:rPr>
              <w:t>За кожний день порушення строку, передбаченого абзацом першим цієї частини, емітент сплачує пеню у розмірі подвійної облікової ставки Національного банку України.</w:t>
            </w:r>
          </w:p>
        </w:tc>
      </w:tr>
      <w:tr w:rsidR="006507E8" w:rsidRPr="00286216" w14:paraId="714C64FA" w14:textId="77777777" w:rsidTr="00091AA5">
        <w:tc>
          <w:tcPr>
            <w:tcW w:w="576" w:type="dxa"/>
          </w:tcPr>
          <w:p w14:paraId="1330FA3E" w14:textId="77777777" w:rsidR="006507E8" w:rsidRPr="00286216" w:rsidRDefault="006507E8" w:rsidP="006507E8">
            <w:pPr>
              <w:pStyle w:val="StyleWisnow"/>
              <w:rPr>
                <w:color w:val="000000" w:themeColor="text1"/>
              </w:rPr>
            </w:pPr>
            <w:bookmarkStart w:id="1309" w:name="n1570" w:colFirst="0" w:colLast="0"/>
            <w:bookmarkEnd w:id="1308"/>
            <w:r w:rsidRPr="00286216">
              <w:rPr>
                <w:color w:val="000000" w:themeColor="text1"/>
              </w:rPr>
              <w:t>1570.</w:t>
            </w:r>
          </w:p>
        </w:tc>
        <w:tc>
          <w:tcPr>
            <w:tcW w:w="4818" w:type="dxa"/>
          </w:tcPr>
          <w:p w14:paraId="58FCE700" w14:textId="77777777" w:rsidR="006507E8" w:rsidRPr="00286216" w:rsidRDefault="006507E8" w:rsidP="006507E8">
            <w:pPr>
              <w:pStyle w:val="StyleZakonu"/>
              <w:rPr>
                <w:color w:val="000000" w:themeColor="text1"/>
              </w:rPr>
            </w:pPr>
            <w:bookmarkStart w:id="1310" w:name="_Ref16416640"/>
            <w:r w:rsidRPr="00286216">
              <w:rPr>
                <w:color w:val="000000" w:themeColor="text1"/>
              </w:rPr>
              <w:t>Стаття 93. Публічна пропозиція цінних паперів</w:t>
            </w:r>
            <w:bookmarkEnd w:id="1310"/>
          </w:p>
        </w:tc>
        <w:tc>
          <w:tcPr>
            <w:tcW w:w="3686" w:type="dxa"/>
          </w:tcPr>
          <w:p w14:paraId="7936D9F7" w14:textId="77777777" w:rsidR="006507E8" w:rsidRPr="00286216" w:rsidRDefault="006507E8" w:rsidP="006507E8">
            <w:pPr>
              <w:pStyle w:val="StyleProp"/>
              <w:rPr>
                <w:color w:val="000000" w:themeColor="text1"/>
                <w:szCs w:val="18"/>
              </w:rPr>
            </w:pPr>
          </w:p>
        </w:tc>
        <w:tc>
          <w:tcPr>
            <w:tcW w:w="1987" w:type="dxa"/>
          </w:tcPr>
          <w:p w14:paraId="4854D94F" w14:textId="77777777" w:rsidR="006507E8" w:rsidRPr="00286216" w:rsidRDefault="006507E8" w:rsidP="006507E8">
            <w:pPr>
              <w:pStyle w:val="StyleWisnow"/>
              <w:rPr>
                <w:color w:val="000000" w:themeColor="text1"/>
              </w:rPr>
            </w:pPr>
          </w:p>
        </w:tc>
        <w:tc>
          <w:tcPr>
            <w:tcW w:w="4818" w:type="dxa"/>
          </w:tcPr>
          <w:p w14:paraId="7A2179D9" w14:textId="1C303BA6" w:rsidR="006507E8" w:rsidRPr="00286216" w:rsidRDefault="006507E8" w:rsidP="006507E8">
            <w:pPr>
              <w:pStyle w:val="StyleZakonu"/>
              <w:rPr>
                <w:color w:val="000000" w:themeColor="text1"/>
              </w:rPr>
            </w:pPr>
            <w:r w:rsidRPr="00286216">
              <w:rPr>
                <w:color w:val="000000" w:themeColor="text1"/>
              </w:rPr>
              <w:t>Стаття 97. Публічна пропозиція цінних паперів</w:t>
            </w:r>
          </w:p>
        </w:tc>
      </w:tr>
      <w:tr w:rsidR="006507E8" w:rsidRPr="00286216" w14:paraId="4C5288AF" w14:textId="77777777" w:rsidTr="00091AA5">
        <w:tc>
          <w:tcPr>
            <w:tcW w:w="576" w:type="dxa"/>
          </w:tcPr>
          <w:p w14:paraId="1ACAC16F" w14:textId="77777777" w:rsidR="006507E8" w:rsidRPr="00286216" w:rsidRDefault="006507E8" w:rsidP="006507E8">
            <w:pPr>
              <w:pStyle w:val="StyleWisnow"/>
              <w:rPr>
                <w:color w:val="000000" w:themeColor="text1"/>
              </w:rPr>
            </w:pPr>
            <w:bookmarkStart w:id="1311" w:name="n1571" w:colFirst="0" w:colLast="0"/>
            <w:bookmarkEnd w:id="1309"/>
            <w:r w:rsidRPr="00286216">
              <w:rPr>
                <w:color w:val="000000" w:themeColor="text1"/>
              </w:rPr>
              <w:t>1571.</w:t>
            </w:r>
          </w:p>
        </w:tc>
        <w:tc>
          <w:tcPr>
            <w:tcW w:w="4818" w:type="dxa"/>
          </w:tcPr>
          <w:p w14:paraId="6F6B877A" w14:textId="77777777" w:rsidR="006507E8" w:rsidRPr="00286216" w:rsidRDefault="006507E8" w:rsidP="006507E8">
            <w:pPr>
              <w:pStyle w:val="StyleZakonu"/>
              <w:rPr>
                <w:color w:val="000000" w:themeColor="text1"/>
              </w:rPr>
            </w:pPr>
            <w:r w:rsidRPr="00286216">
              <w:rPr>
                <w:color w:val="000000" w:themeColor="text1"/>
              </w:rPr>
              <w:t>1. Публічна пропозиція цінних паперів (далі - публічна пропозиція) -пропозиція (оферта), звернена до невизначеного кола осіб про придбання у такої особи цінних паперів за ціною та на умовах, визначених такою пропозицією, що здійснюється з урахуванням вимог, встановлених цим Законом.</w:t>
            </w:r>
          </w:p>
        </w:tc>
        <w:tc>
          <w:tcPr>
            <w:tcW w:w="3686" w:type="dxa"/>
          </w:tcPr>
          <w:p w14:paraId="0B395074" w14:textId="77777777" w:rsidR="006507E8" w:rsidRPr="00286216" w:rsidRDefault="006507E8" w:rsidP="006507E8">
            <w:pPr>
              <w:pStyle w:val="StyleProp"/>
              <w:rPr>
                <w:color w:val="000000" w:themeColor="text1"/>
                <w:szCs w:val="18"/>
              </w:rPr>
            </w:pPr>
          </w:p>
        </w:tc>
        <w:tc>
          <w:tcPr>
            <w:tcW w:w="1987" w:type="dxa"/>
          </w:tcPr>
          <w:p w14:paraId="30D032CE" w14:textId="77777777" w:rsidR="006507E8" w:rsidRPr="00286216" w:rsidRDefault="006507E8" w:rsidP="006507E8">
            <w:pPr>
              <w:pStyle w:val="StyleWisnow"/>
              <w:rPr>
                <w:color w:val="000000" w:themeColor="text1"/>
              </w:rPr>
            </w:pPr>
          </w:p>
        </w:tc>
        <w:tc>
          <w:tcPr>
            <w:tcW w:w="4818" w:type="dxa"/>
          </w:tcPr>
          <w:p w14:paraId="3E39D94F" w14:textId="521875E6" w:rsidR="006507E8" w:rsidRPr="00286216" w:rsidRDefault="006507E8" w:rsidP="006507E8">
            <w:pPr>
              <w:pStyle w:val="StyleZakonu"/>
              <w:rPr>
                <w:color w:val="000000" w:themeColor="text1"/>
              </w:rPr>
            </w:pPr>
            <w:r w:rsidRPr="00286216">
              <w:rPr>
                <w:color w:val="000000" w:themeColor="text1"/>
              </w:rPr>
              <w:t>1. Публічна пропозиція цінних паперів (далі - публічна пропозиція) – це пропозиція (оферта), звернена до невизначеного кола осіб про придбання у такої особи цінних паперів за ціною та на умовах, визначених такою пропозицією, що здійснюється з урахуванням вимог, встановлених цим Законом.</w:t>
            </w:r>
          </w:p>
        </w:tc>
      </w:tr>
      <w:tr w:rsidR="006507E8" w:rsidRPr="00286216" w14:paraId="367BB936" w14:textId="77777777" w:rsidTr="00091AA5">
        <w:tc>
          <w:tcPr>
            <w:tcW w:w="576" w:type="dxa"/>
          </w:tcPr>
          <w:p w14:paraId="15528B60" w14:textId="77777777" w:rsidR="006507E8" w:rsidRPr="00286216" w:rsidRDefault="006507E8" w:rsidP="006507E8">
            <w:pPr>
              <w:pStyle w:val="StyleWisnow"/>
              <w:rPr>
                <w:color w:val="000000" w:themeColor="text1"/>
              </w:rPr>
            </w:pPr>
            <w:bookmarkStart w:id="1312" w:name="n1572" w:colFirst="0" w:colLast="0"/>
            <w:bookmarkEnd w:id="1311"/>
            <w:r w:rsidRPr="00286216">
              <w:rPr>
                <w:color w:val="000000" w:themeColor="text1"/>
              </w:rPr>
              <w:t>1572.</w:t>
            </w:r>
          </w:p>
        </w:tc>
        <w:tc>
          <w:tcPr>
            <w:tcW w:w="4818" w:type="dxa"/>
          </w:tcPr>
          <w:p w14:paraId="1AB9A7A3" w14:textId="77777777" w:rsidR="006507E8" w:rsidRPr="00286216" w:rsidRDefault="006507E8" w:rsidP="006507E8">
            <w:pPr>
              <w:pStyle w:val="StyleZakonu"/>
              <w:rPr>
                <w:color w:val="000000" w:themeColor="text1"/>
              </w:rPr>
            </w:pPr>
            <w:r w:rsidRPr="00286216">
              <w:rPr>
                <w:color w:val="000000" w:themeColor="text1"/>
              </w:rPr>
              <w:t>Публічна пропозиція повинна містити умови та порядок придбання цінних паперів, щодо яких здійснюється така публічна пропозиція, строк дії такої пропозиції та відповідати вимогам, встановленим Національною комісією з цінних паперів та фондового ринку.</w:t>
            </w:r>
          </w:p>
        </w:tc>
        <w:tc>
          <w:tcPr>
            <w:tcW w:w="3686" w:type="dxa"/>
          </w:tcPr>
          <w:p w14:paraId="5F60CFCF" w14:textId="77777777" w:rsidR="006507E8" w:rsidRPr="00286216" w:rsidRDefault="006507E8" w:rsidP="006507E8">
            <w:pPr>
              <w:pStyle w:val="StyleProp"/>
              <w:rPr>
                <w:color w:val="000000" w:themeColor="text1"/>
                <w:szCs w:val="18"/>
              </w:rPr>
            </w:pPr>
          </w:p>
        </w:tc>
        <w:tc>
          <w:tcPr>
            <w:tcW w:w="1987" w:type="dxa"/>
          </w:tcPr>
          <w:p w14:paraId="20112FDD" w14:textId="77777777" w:rsidR="006507E8" w:rsidRPr="00286216" w:rsidRDefault="006507E8" w:rsidP="006507E8">
            <w:pPr>
              <w:pStyle w:val="StyleWisnow"/>
              <w:rPr>
                <w:color w:val="000000" w:themeColor="text1"/>
              </w:rPr>
            </w:pPr>
          </w:p>
        </w:tc>
        <w:tc>
          <w:tcPr>
            <w:tcW w:w="4818" w:type="dxa"/>
          </w:tcPr>
          <w:p w14:paraId="4E65E7D5" w14:textId="52570DC3" w:rsidR="006507E8" w:rsidRPr="00286216" w:rsidRDefault="006507E8" w:rsidP="006507E8">
            <w:pPr>
              <w:pStyle w:val="StyleZakonu"/>
              <w:rPr>
                <w:color w:val="000000" w:themeColor="text1"/>
              </w:rPr>
            </w:pPr>
            <w:r w:rsidRPr="00286216">
              <w:rPr>
                <w:color w:val="000000" w:themeColor="text1"/>
              </w:rPr>
              <w:t>Публічна пропозиція повинна містити умови та порядок придбання цінних паперів, щодо яких здійснюється така публічна пропозиція, строк дії такої пропозиції та відповідати вимогам, встановленим Національною комісією з цінних паперів та фондового ринку.</w:t>
            </w:r>
          </w:p>
        </w:tc>
      </w:tr>
      <w:tr w:rsidR="006507E8" w:rsidRPr="00286216" w14:paraId="5BE9B01E" w14:textId="77777777" w:rsidTr="00091AA5">
        <w:tc>
          <w:tcPr>
            <w:tcW w:w="576" w:type="dxa"/>
          </w:tcPr>
          <w:p w14:paraId="437D167F" w14:textId="77777777" w:rsidR="006507E8" w:rsidRPr="00286216" w:rsidRDefault="006507E8" w:rsidP="006507E8">
            <w:pPr>
              <w:pStyle w:val="StyleWisnow"/>
              <w:rPr>
                <w:color w:val="000000" w:themeColor="text1"/>
              </w:rPr>
            </w:pPr>
            <w:bookmarkStart w:id="1313" w:name="n1573" w:colFirst="0" w:colLast="0"/>
            <w:bookmarkEnd w:id="1312"/>
            <w:r w:rsidRPr="00286216">
              <w:rPr>
                <w:color w:val="000000" w:themeColor="text1"/>
              </w:rPr>
              <w:t>1573.</w:t>
            </w:r>
          </w:p>
        </w:tc>
        <w:tc>
          <w:tcPr>
            <w:tcW w:w="4818" w:type="dxa"/>
          </w:tcPr>
          <w:p w14:paraId="30D4E3B9" w14:textId="77777777" w:rsidR="006507E8" w:rsidRPr="00286216" w:rsidRDefault="006507E8" w:rsidP="006507E8">
            <w:pPr>
              <w:pStyle w:val="StyleZakonu"/>
              <w:rPr>
                <w:color w:val="000000" w:themeColor="text1"/>
              </w:rPr>
            </w:pPr>
            <w:r w:rsidRPr="00286216">
              <w:rPr>
                <w:color w:val="000000" w:themeColor="text1"/>
              </w:rPr>
              <w:t>2. Публічна пропозиція може здійснюватися:</w:t>
            </w:r>
          </w:p>
        </w:tc>
        <w:tc>
          <w:tcPr>
            <w:tcW w:w="3686" w:type="dxa"/>
          </w:tcPr>
          <w:p w14:paraId="72310506" w14:textId="77777777" w:rsidR="006507E8" w:rsidRPr="00286216" w:rsidRDefault="006507E8" w:rsidP="006507E8">
            <w:pPr>
              <w:pStyle w:val="StyleProp"/>
              <w:rPr>
                <w:color w:val="000000" w:themeColor="text1"/>
                <w:szCs w:val="18"/>
              </w:rPr>
            </w:pPr>
          </w:p>
        </w:tc>
        <w:tc>
          <w:tcPr>
            <w:tcW w:w="1987" w:type="dxa"/>
          </w:tcPr>
          <w:p w14:paraId="5D9AA8B2" w14:textId="77777777" w:rsidR="006507E8" w:rsidRPr="00286216" w:rsidRDefault="006507E8" w:rsidP="006507E8">
            <w:pPr>
              <w:pStyle w:val="StyleWisnow"/>
              <w:rPr>
                <w:color w:val="000000" w:themeColor="text1"/>
              </w:rPr>
            </w:pPr>
          </w:p>
        </w:tc>
        <w:tc>
          <w:tcPr>
            <w:tcW w:w="4818" w:type="dxa"/>
          </w:tcPr>
          <w:p w14:paraId="114695B3" w14:textId="58BF84D8" w:rsidR="006507E8" w:rsidRPr="00286216" w:rsidRDefault="006507E8" w:rsidP="006507E8">
            <w:pPr>
              <w:pStyle w:val="StyleZakonu"/>
              <w:rPr>
                <w:color w:val="000000" w:themeColor="text1"/>
              </w:rPr>
            </w:pPr>
            <w:r w:rsidRPr="00286216">
              <w:rPr>
                <w:color w:val="000000" w:themeColor="text1"/>
              </w:rPr>
              <w:t>2. Публічна пропозиція може здійснюватися:</w:t>
            </w:r>
          </w:p>
        </w:tc>
      </w:tr>
      <w:tr w:rsidR="006507E8" w:rsidRPr="00286216" w14:paraId="1A1485AF" w14:textId="77777777" w:rsidTr="00091AA5">
        <w:tc>
          <w:tcPr>
            <w:tcW w:w="576" w:type="dxa"/>
          </w:tcPr>
          <w:p w14:paraId="2F1662AA" w14:textId="77777777" w:rsidR="006507E8" w:rsidRPr="00286216" w:rsidRDefault="006507E8" w:rsidP="006507E8">
            <w:pPr>
              <w:pStyle w:val="StyleWisnow"/>
              <w:rPr>
                <w:color w:val="000000" w:themeColor="text1"/>
              </w:rPr>
            </w:pPr>
            <w:bookmarkStart w:id="1314" w:name="n1574" w:colFirst="0" w:colLast="0"/>
            <w:bookmarkEnd w:id="1313"/>
            <w:r w:rsidRPr="00286216">
              <w:rPr>
                <w:color w:val="000000" w:themeColor="text1"/>
              </w:rPr>
              <w:t>1574.</w:t>
            </w:r>
          </w:p>
        </w:tc>
        <w:tc>
          <w:tcPr>
            <w:tcW w:w="4818" w:type="dxa"/>
          </w:tcPr>
          <w:p w14:paraId="08D3DF97" w14:textId="77777777" w:rsidR="006507E8" w:rsidRPr="00286216" w:rsidRDefault="006507E8" w:rsidP="006507E8">
            <w:pPr>
              <w:pStyle w:val="StyleZakonu"/>
              <w:rPr>
                <w:color w:val="000000" w:themeColor="text1"/>
              </w:rPr>
            </w:pPr>
            <w:r w:rsidRPr="00286216">
              <w:rPr>
                <w:color w:val="000000" w:themeColor="text1"/>
              </w:rPr>
              <w:t>1) емітентом у процесі емісії цінних паперів;</w:t>
            </w:r>
          </w:p>
        </w:tc>
        <w:tc>
          <w:tcPr>
            <w:tcW w:w="3686" w:type="dxa"/>
          </w:tcPr>
          <w:p w14:paraId="43355070" w14:textId="77777777" w:rsidR="006507E8" w:rsidRPr="00286216" w:rsidRDefault="006507E8" w:rsidP="006507E8">
            <w:pPr>
              <w:pStyle w:val="StyleProp"/>
              <w:rPr>
                <w:color w:val="000000" w:themeColor="text1"/>
                <w:szCs w:val="18"/>
              </w:rPr>
            </w:pPr>
          </w:p>
        </w:tc>
        <w:tc>
          <w:tcPr>
            <w:tcW w:w="1987" w:type="dxa"/>
          </w:tcPr>
          <w:p w14:paraId="6F5BB572" w14:textId="77777777" w:rsidR="006507E8" w:rsidRPr="00286216" w:rsidRDefault="006507E8" w:rsidP="006507E8">
            <w:pPr>
              <w:pStyle w:val="StyleWisnow"/>
              <w:rPr>
                <w:color w:val="000000" w:themeColor="text1"/>
              </w:rPr>
            </w:pPr>
          </w:p>
        </w:tc>
        <w:tc>
          <w:tcPr>
            <w:tcW w:w="4818" w:type="dxa"/>
          </w:tcPr>
          <w:p w14:paraId="2C4CD1AC" w14:textId="40DF1667" w:rsidR="006507E8" w:rsidRPr="00286216" w:rsidRDefault="006507E8" w:rsidP="006507E8">
            <w:pPr>
              <w:pStyle w:val="StyleZakonu"/>
              <w:rPr>
                <w:color w:val="000000" w:themeColor="text1"/>
              </w:rPr>
            </w:pPr>
            <w:r w:rsidRPr="00286216">
              <w:rPr>
                <w:color w:val="000000" w:themeColor="text1"/>
              </w:rPr>
              <w:t>1) емітентом у процесі емісії цінних паперів;</w:t>
            </w:r>
          </w:p>
        </w:tc>
      </w:tr>
      <w:tr w:rsidR="006507E8" w:rsidRPr="00286216" w14:paraId="70859577" w14:textId="77777777" w:rsidTr="00091AA5">
        <w:tc>
          <w:tcPr>
            <w:tcW w:w="576" w:type="dxa"/>
          </w:tcPr>
          <w:p w14:paraId="20594805" w14:textId="77777777" w:rsidR="006507E8" w:rsidRPr="00286216" w:rsidRDefault="006507E8" w:rsidP="006507E8">
            <w:pPr>
              <w:pStyle w:val="StyleWisnow"/>
              <w:rPr>
                <w:color w:val="000000" w:themeColor="text1"/>
              </w:rPr>
            </w:pPr>
            <w:bookmarkStart w:id="1315" w:name="n1575" w:colFirst="0" w:colLast="0"/>
            <w:bookmarkEnd w:id="1314"/>
            <w:r w:rsidRPr="00286216">
              <w:rPr>
                <w:color w:val="000000" w:themeColor="text1"/>
              </w:rPr>
              <w:t>1575.</w:t>
            </w:r>
          </w:p>
        </w:tc>
        <w:tc>
          <w:tcPr>
            <w:tcW w:w="4818" w:type="dxa"/>
          </w:tcPr>
          <w:p w14:paraId="1C2C9932" w14:textId="77777777" w:rsidR="006507E8" w:rsidRPr="00286216" w:rsidRDefault="006507E8" w:rsidP="006507E8">
            <w:pPr>
              <w:pStyle w:val="StyleZakonu"/>
              <w:rPr>
                <w:color w:val="000000" w:themeColor="text1"/>
              </w:rPr>
            </w:pPr>
            <w:r w:rsidRPr="00286216">
              <w:rPr>
                <w:color w:val="000000" w:themeColor="text1"/>
              </w:rPr>
              <w:t>2) емітентом щодо викуплених цінних паперів;</w:t>
            </w:r>
          </w:p>
        </w:tc>
        <w:tc>
          <w:tcPr>
            <w:tcW w:w="3686" w:type="dxa"/>
          </w:tcPr>
          <w:p w14:paraId="75FDE189" w14:textId="77777777" w:rsidR="006507E8" w:rsidRPr="00286216" w:rsidRDefault="006507E8" w:rsidP="006507E8">
            <w:pPr>
              <w:pStyle w:val="StyleProp"/>
              <w:rPr>
                <w:color w:val="000000" w:themeColor="text1"/>
                <w:szCs w:val="18"/>
              </w:rPr>
            </w:pPr>
          </w:p>
        </w:tc>
        <w:tc>
          <w:tcPr>
            <w:tcW w:w="1987" w:type="dxa"/>
          </w:tcPr>
          <w:p w14:paraId="27C244D3" w14:textId="77777777" w:rsidR="006507E8" w:rsidRPr="00286216" w:rsidRDefault="006507E8" w:rsidP="006507E8">
            <w:pPr>
              <w:pStyle w:val="StyleWisnow"/>
              <w:rPr>
                <w:color w:val="000000" w:themeColor="text1"/>
              </w:rPr>
            </w:pPr>
          </w:p>
        </w:tc>
        <w:tc>
          <w:tcPr>
            <w:tcW w:w="4818" w:type="dxa"/>
          </w:tcPr>
          <w:p w14:paraId="62D71676" w14:textId="35D2A70B" w:rsidR="006507E8" w:rsidRPr="00286216" w:rsidRDefault="006507E8" w:rsidP="006507E8">
            <w:pPr>
              <w:pStyle w:val="StyleZakonu"/>
              <w:rPr>
                <w:color w:val="000000" w:themeColor="text1"/>
              </w:rPr>
            </w:pPr>
            <w:r w:rsidRPr="00286216">
              <w:rPr>
                <w:color w:val="000000" w:themeColor="text1"/>
              </w:rPr>
              <w:t>2) емітентом щодо викуплених цінних паперів;</w:t>
            </w:r>
          </w:p>
        </w:tc>
      </w:tr>
      <w:tr w:rsidR="006507E8" w:rsidRPr="00286216" w14:paraId="1BF1F5B9" w14:textId="77777777" w:rsidTr="00091AA5">
        <w:tc>
          <w:tcPr>
            <w:tcW w:w="576" w:type="dxa"/>
          </w:tcPr>
          <w:p w14:paraId="4FC3E5F3" w14:textId="77777777" w:rsidR="006507E8" w:rsidRPr="00286216" w:rsidRDefault="006507E8" w:rsidP="006507E8">
            <w:pPr>
              <w:pStyle w:val="StyleWisnow"/>
              <w:rPr>
                <w:color w:val="000000" w:themeColor="text1"/>
              </w:rPr>
            </w:pPr>
            <w:bookmarkStart w:id="1316" w:name="n1576" w:colFirst="0" w:colLast="0"/>
            <w:bookmarkEnd w:id="1315"/>
            <w:r w:rsidRPr="00286216">
              <w:rPr>
                <w:color w:val="000000" w:themeColor="text1"/>
              </w:rPr>
              <w:t>1576.</w:t>
            </w:r>
          </w:p>
        </w:tc>
        <w:tc>
          <w:tcPr>
            <w:tcW w:w="4818" w:type="dxa"/>
          </w:tcPr>
          <w:p w14:paraId="29596E86" w14:textId="77777777" w:rsidR="006507E8" w:rsidRPr="00286216" w:rsidRDefault="006507E8" w:rsidP="006507E8">
            <w:pPr>
              <w:pStyle w:val="StyleZakonu"/>
              <w:rPr>
                <w:color w:val="000000" w:themeColor="text1"/>
              </w:rPr>
            </w:pPr>
            <w:r w:rsidRPr="00286216">
              <w:rPr>
                <w:color w:val="000000" w:themeColor="text1"/>
              </w:rPr>
              <w:t>3) оферентом щодо продажу належних йому цінних паперів.</w:t>
            </w:r>
          </w:p>
        </w:tc>
        <w:tc>
          <w:tcPr>
            <w:tcW w:w="3686" w:type="dxa"/>
          </w:tcPr>
          <w:p w14:paraId="66F1DCF3" w14:textId="77777777" w:rsidR="006507E8" w:rsidRPr="00286216" w:rsidRDefault="006507E8" w:rsidP="006507E8">
            <w:pPr>
              <w:pStyle w:val="StyleProp"/>
              <w:rPr>
                <w:color w:val="000000" w:themeColor="text1"/>
                <w:szCs w:val="18"/>
              </w:rPr>
            </w:pPr>
          </w:p>
        </w:tc>
        <w:tc>
          <w:tcPr>
            <w:tcW w:w="1987" w:type="dxa"/>
          </w:tcPr>
          <w:p w14:paraId="67B6410C" w14:textId="77777777" w:rsidR="006507E8" w:rsidRPr="00286216" w:rsidRDefault="006507E8" w:rsidP="006507E8">
            <w:pPr>
              <w:pStyle w:val="StyleWisnow"/>
              <w:rPr>
                <w:color w:val="000000" w:themeColor="text1"/>
              </w:rPr>
            </w:pPr>
          </w:p>
        </w:tc>
        <w:tc>
          <w:tcPr>
            <w:tcW w:w="4818" w:type="dxa"/>
          </w:tcPr>
          <w:p w14:paraId="55EA6357" w14:textId="755D3809" w:rsidR="006507E8" w:rsidRPr="00286216" w:rsidRDefault="006507E8" w:rsidP="006507E8">
            <w:pPr>
              <w:pStyle w:val="StyleZakonu"/>
              <w:rPr>
                <w:color w:val="000000" w:themeColor="text1"/>
              </w:rPr>
            </w:pPr>
            <w:r w:rsidRPr="00286216">
              <w:rPr>
                <w:color w:val="000000" w:themeColor="text1"/>
              </w:rPr>
              <w:t>3) оферентом щодо продажу належних йому цінних паперів.</w:t>
            </w:r>
          </w:p>
        </w:tc>
      </w:tr>
      <w:tr w:rsidR="006507E8" w:rsidRPr="00286216" w14:paraId="3EA9359A" w14:textId="77777777" w:rsidTr="00091AA5">
        <w:tc>
          <w:tcPr>
            <w:tcW w:w="576" w:type="dxa"/>
          </w:tcPr>
          <w:p w14:paraId="2C6C6A03" w14:textId="77777777" w:rsidR="006507E8" w:rsidRPr="00286216" w:rsidRDefault="006507E8" w:rsidP="006507E8">
            <w:pPr>
              <w:pStyle w:val="StyleWisnow"/>
              <w:rPr>
                <w:color w:val="000000" w:themeColor="text1"/>
              </w:rPr>
            </w:pPr>
            <w:bookmarkStart w:id="1317" w:name="n1577" w:colFirst="0" w:colLast="0"/>
            <w:bookmarkEnd w:id="1316"/>
            <w:r w:rsidRPr="00286216">
              <w:rPr>
                <w:color w:val="000000" w:themeColor="text1"/>
              </w:rPr>
              <w:t>1577.</w:t>
            </w:r>
          </w:p>
        </w:tc>
        <w:tc>
          <w:tcPr>
            <w:tcW w:w="4818" w:type="dxa"/>
          </w:tcPr>
          <w:p w14:paraId="562BCA95" w14:textId="77777777" w:rsidR="006507E8" w:rsidRPr="00286216" w:rsidRDefault="006507E8" w:rsidP="006507E8">
            <w:pPr>
              <w:pStyle w:val="StyleZakonu"/>
              <w:rPr>
                <w:color w:val="000000" w:themeColor="text1"/>
              </w:rPr>
            </w:pPr>
            <w:r w:rsidRPr="00286216">
              <w:rPr>
                <w:color w:val="000000" w:themeColor="text1"/>
              </w:rPr>
              <w:t>Подання заявки про допуск до торгів на регульованому фондовому ринку вважається здійсненням публічної пропозиції. Подання заявки про допуск цінних паперів до торгів на БТМ або ОТМ не вважається здійсненням публічної пропозиції.</w:t>
            </w:r>
          </w:p>
        </w:tc>
        <w:tc>
          <w:tcPr>
            <w:tcW w:w="3686" w:type="dxa"/>
          </w:tcPr>
          <w:p w14:paraId="690799A2" w14:textId="77777777" w:rsidR="006507E8" w:rsidRPr="00286216" w:rsidRDefault="006507E8" w:rsidP="006507E8">
            <w:pPr>
              <w:pStyle w:val="StyleProp"/>
              <w:rPr>
                <w:color w:val="000000" w:themeColor="text1"/>
                <w:szCs w:val="18"/>
              </w:rPr>
            </w:pPr>
          </w:p>
        </w:tc>
        <w:tc>
          <w:tcPr>
            <w:tcW w:w="1987" w:type="dxa"/>
          </w:tcPr>
          <w:p w14:paraId="639DBE15" w14:textId="77777777" w:rsidR="006507E8" w:rsidRPr="00286216" w:rsidRDefault="006507E8" w:rsidP="006507E8">
            <w:pPr>
              <w:pStyle w:val="StyleWisnow"/>
              <w:rPr>
                <w:color w:val="000000" w:themeColor="text1"/>
              </w:rPr>
            </w:pPr>
          </w:p>
        </w:tc>
        <w:tc>
          <w:tcPr>
            <w:tcW w:w="4818" w:type="dxa"/>
          </w:tcPr>
          <w:p w14:paraId="35920A7D" w14:textId="4DFAE466" w:rsidR="006507E8" w:rsidRPr="00286216" w:rsidRDefault="006507E8" w:rsidP="006507E8">
            <w:pPr>
              <w:pStyle w:val="StyleZakonu"/>
              <w:rPr>
                <w:color w:val="000000" w:themeColor="text1"/>
              </w:rPr>
            </w:pPr>
            <w:r w:rsidRPr="00286216">
              <w:rPr>
                <w:color w:val="000000" w:themeColor="text1"/>
              </w:rPr>
              <w:t>Подання заявки про допуск до торгів на регульованому фондовому ринку вважається здійсненням публічної пропозиції. Подання заявки про допуск цінних паперів до торгів на БТМ або ОТМ не вважається здійсненням публічної пропозиції.</w:t>
            </w:r>
          </w:p>
        </w:tc>
      </w:tr>
      <w:tr w:rsidR="006507E8" w:rsidRPr="00286216" w14:paraId="5947A431" w14:textId="77777777" w:rsidTr="00091AA5">
        <w:tc>
          <w:tcPr>
            <w:tcW w:w="576" w:type="dxa"/>
          </w:tcPr>
          <w:p w14:paraId="7C7A26C3" w14:textId="77777777" w:rsidR="006507E8" w:rsidRPr="00286216" w:rsidRDefault="006507E8" w:rsidP="006507E8">
            <w:pPr>
              <w:pStyle w:val="StyleWisnow"/>
              <w:rPr>
                <w:color w:val="000000" w:themeColor="text1"/>
              </w:rPr>
            </w:pPr>
            <w:bookmarkStart w:id="1318" w:name="n1578" w:colFirst="0" w:colLast="0"/>
            <w:bookmarkEnd w:id="1317"/>
            <w:r w:rsidRPr="00286216">
              <w:rPr>
                <w:color w:val="000000" w:themeColor="text1"/>
              </w:rPr>
              <w:t>1578.</w:t>
            </w:r>
          </w:p>
        </w:tc>
        <w:tc>
          <w:tcPr>
            <w:tcW w:w="4818" w:type="dxa"/>
          </w:tcPr>
          <w:p w14:paraId="752E1487" w14:textId="77777777" w:rsidR="006507E8" w:rsidRPr="00286216" w:rsidRDefault="006507E8" w:rsidP="006507E8">
            <w:pPr>
              <w:pStyle w:val="StyleZakonu"/>
              <w:rPr>
                <w:color w:val="000000" w:themeColor="text1"/>
              </w:rPr>
            </w:pPr>
            <w:r w:rsidRPr="00286216">
              <w:rPr>
                <w:color w:val="000000" w:themeColor="text1"/>
              </w:rPr>
              <w:t>Пропозиція звернена до визначеного кола некваліфікованих інвесторів, загальна кількість яких становить 150 і більше осіб вважається здійсненням публічної пропозиції.</w:t>
            </w:r>
          </w:p>
        </w:tc>
        <w:tc>
          <w:tcPr>
            <w:tcW w:w="3686" w:type="dxa"/>
          </w:tcPr>
          <w:p w14:paraId="03D66B78" w14:textId="77777777" w:rsidR="006507E8" w:rsidRPr="00286216" w:rsidRDefault="006507E8" w:rsidP="006507E8">
            <w:pPr>
              <w:pStyle w:val="StyleProp"/>
              <w:rPr>
                <w:color w:val="000000" w:themeColor="text1"/>
                <w:szCs w:val="18"/>
              </w:rPr>
            </w:pPr>
          </w:p>
        </w:tc>
        <w:tc>
          <w:tcPr>
            <w:tcW w:w="1987" w:type="dxa"/>
          </w:tcPr>
          <w:p w14:paraId="53E587C6" w14:textId="77777777" w:rsidR="006507E8" w:rsidRPr="00286216" w:rsidRDefault="006507E8" w:rsidP="006507E8">
            <w:pPr>
              <w:pStyle w:val="StyleWisnow"/>
              <w:rPr>
                <w:color w:val="000000" w:themeColor="text1"/>
              </w:rPr>
            </w:pPr>
          </w:p>
        </w:tc>
        <w:tc>
          <w:tcPr>
            <w:tcW w:w="4818" w:type="dxa"/>
          </w:tcPr>
          <w:p w14:paraId="2796A513" w14:textId="30B92CE4" w:rsidR="006507E8" w:rsidRPr="00286216" w:rsidRDefault="006507E8" w:rsidP="006507E8">
            <w:pPr>
              <w:pStyle w:val="StyleZakonu"/>
              <w:rPr>
                <w:color w:val="000000" w:themeColor="text1"/>
              </w:rPr>
            </w:pPr>
            <w:r w:rsidRPr="00286216">
              <w:rPr>
                <w:color w:val="000000" w:themeColor="text1"/>
              </w:rPr>
              <w:t>Пропозиція, звернена до визначеного кола некваліфікованих інвесторів, загальна кількість яких становить 150 і більше осіб, вважається здійсненням публічної пропозиції.</w:t>
            </w:r>
          </w:p>
        </w:tc>
      </w:tr>
      <w:tr w:rsidR="006507E8" w:rsidRPr="00286216" w14:paraId="7511C698" w14:textId="77777777" w:rsidTr="00091AA5">
        <w:tc>
          <w:tcPr>
            <w:tcW w:w="576" w:type="dxa"/>
          </w:tcPr>
          <w:p w14:paraId="2C72C0EC" w14:textId="77777777" w:rsidR="006507E8" w:rsidRPr="00286216" w:rsidRDefault="006507E8" w:rsidP="006507E8">
            <w:pPr>
              <w:pStyle w:val="StyleWisnow"/>
              <w:rPr>
                <w:color w:val="000000" w:themeColor="text1"/>
              </w:rPr>
            </w:pPr>
            <w:bookmarkStart w:id="1319" w:name="n1579" w:colFirst="0" w:colLast="0"/>
            <w:bookmarkEnd w:id="1318"/>
            <w:r w:rsidRPr="00286216">
              <w:rPr>
                <w:color w:val="000000" w:themeColor="text1"/>
              </w:rPr>
              <w:t>1579.</w:t>
            </w:r>
          </w:p>
        </w:tc>
        <w:tc>
          <w:tcPr>
            <w:tcW w:w="4818" w:type="dxa"/>
          </w:tcPr>
          <w:p w14:paraId="495FDE66" w14:textId="77777777" w:rsidR="006507E8" w:rsidRPr="00286216" w:rsidRDefault="006507E8" w:rsidP="006507E8">
            <w:pPr>
              <w:pStyle w:val="StyleZakonu"/>
              <w:rPr>
                <w:color w:val="000000" w:themeColor="text1"/>
              </w:rPr>
            </w:pPr>
            <w:r w:rsidRPr="00286216">
              <w:rPr>
                <w:color w:val="000000" w:themeColor="text1"/>
              </w:rPr>
              <w:t xml:space="preserve">3. Публічна пропозиція здійснюється в порядку, встановленому Національною комісією з цінних паперів та фондового ринку, виключно за умови </w:t>
            </w:r>
            <w:r w:rsidRPr="00286216">
              <w:rPr>
                <w:color w:val="000000" w:themeColor="text1"/>
              </w:rPr>
              <w:lastRenderedPageBreak/>
              <w:t>оприлюднення проспекту, затвердженого Національною комісією з цінних паперів та фондового ринку, крім випадків передбачених частиною четвертою цієї статті.</w:t>
            </w:r>
          </w:p>
        </w:tc>
        <w:tc>
          <w:tcPr>
            <w:tcW w:w="3686" w:type="dxa"/>
          </w:tcPr>
          <w:p w14:paraId="7DE3BF86" w14:textId="77777777" w:rsidR="006507E8" w:rsidRPr="00286216" w:rsidRDefault="006507E8" w:rsidP="006507E8">
            <w:pPr>
              <w:pStyle w:val="StyleProp"/>
              <w:rPr>
                <w:color w:val="000000" w:themeColor="text1"/>
                <w:szCs w:val="18"/>
              </w:rPr>
            </w:pPr>
          </w:p>
        </w:tc>
        <w:tc>
          <w:tcPr>
            <w:tcW w:w="1987" w:type="dxa"/>
          </w:tcPr>
          <w:p w14:paraId="25377B08" w14:textId="77777777" w:rsidR="006507E8" w:rsidRPr="00286216" w:rsidRDefault="006507E8" w:rsidP="006507E8">
            <w:pPr>
              <w:pStyle w:val="StyleWisnow"/>
              <w:rPr>
                <w:color w:val="000000" w:themeColor="text1"/>
              </w:rPr>
            </w:pPr>
          </w:p>
        </w:tc>
        <w:tc>
          <w:tcPr>
            <w:tcW w:w="4818" w:type="dxa"/>
          </w:tcPr>
          <w:p w14:paraId="5C77A56A" w14:textId="4092D337" w:rsidR="006507E8" w:rsidRPr="00286216" w:rsidRDefault="006507E8" w:rsidP="006507E8">
            <w:pPr>
              <w:pStyle w:val="StyleZakonu"/>
              <w:rPr>
                <w:color w:val="000000" w:themeColor="text1"/>
              </w:rPr>
            </w:pPr>
            <w:r w:rsidRPr="00286216">
              <w:rPr>
                <w:color w:val="000000" w:themeColor="text1"/>
              </w:rPr>
              <w:t xml:space="preserve">3. Публічна пропозиція здійснюється в порядку, встановленому Національною комісією з цінних паперів та фондового ринку, виключно за умови </w:t>
            </w:r>
            <w:r w:rsidRPr="00286216">
              <w:rPr>
                <w:color w:val="000000" w:themeColor="text1"/>
              </w:rPr>
              <w:lastRenderedPageBreak/>
              <w:t>оприлюднення проспекту, затвердженого Національною комісією з цінних паперів та фондового ринку, крім випадків, передбачених частиною четвертою цієї статті.</w:t>
            </w:r>
          </w:p>
        </w:tc>
      </w:tr>
      <w:tr w:rsidR="006507E8" w:rsidRPr="00286216" w14:paraId="7F94115B" w14:textId="77777777" w:rsidTr="00091AA5">
        <w:tc>
          <w:tcPr>
            <w:tcW w:w="576" w:type="dxa"/>
          </w:tcPr>
          <w:p w14:paraId="45FCB56C" w14:textId="77777777" w:rsidR="006507E8" w:rsidRPr="00286216" w:rsidRDefault="006507E8" w:rsidP="006507E8">
            <w:pPr>
              <w:pStyle w:val="StyleWisnow"/>
              <w:rPr>
                <w:color w:val="000000" w:themeColor="text1"/>
              </w:rPr>
            </w:pPr>
            <w:bookmarkStart w:id="1320" w:name="n1580" w:colFirst="0" w:colLast="0"/>
            <w:bookmarkEnd w:id="1319"/>
            <w:r w:rsidRPr="00286216">
              <w:rPr>
                <w:color w:val="000000" w:themeColor="text1"/>
              </w:rPr>
              <w:lastRenderedPageBreak/>
              <w:t>1580.</w:t>
            </w:r>
          </w:p>
        </w:tc>
        <w:tc>
          <w:tcPr>
            <w:tcW w:w="4818" w:type="dxa"/>
          </w:tcPr>
          <w:p w14:paraId="0AC8C1FC" w14:textId="77777777" w:rsidR="006507E8" w:rsidRPr="00286216" w:rsidRDefault="006507E8" w:rsidP="006507E8">
            <w:pPr>
              <w:pStyle w:val="StyleZakonu"/>
              <w:rPr>
                <w:color w:val="000000" w:themeColor="text1"/>
              </w:rPr>
            </w:pPr>
            <w:r w:rsidRPr="00286216">
              <w:rPr>
                <w:color w:val="000000" w:themeColor="text1"/>
              </w:rPr>
              <w:t>Здійснення публічної пропозиції можливе лише за умови дійсності проспекту відповідно до статті 96 цього Закону.</w:t>
            </w:r>
          </w:p>
        </w:tc>
        <w:tc>
          <w:tcPr>
            <w:tcW w:w="3686" w:type="dxa"/>
          </w:tcPr>
          <w:p w14:paraId="52C69A8A" w14:textId="77777777" w:rsidR="006507E8" w:rsidRPr="00286216" w:rsidRDefault="006507E8" w:rsidP="006507E8">
            <w:pPr>
              <w:pStyle w:val="StyleProp"/>
              <w:rPr>
                <w:color w:val="000000" w:themeColor="text1"/>
                <w:szCs w:val="18"/>
              </w:rPr>
            </w:pPr>
          </w:p>
        </w:tc>
        <w:tc>
          <w:tcPr>
            <w:tcW w:w="1987" w:type="dxa"/>
          </w:tcPr>
          <w:p w14:paraId="2823909A" w14:textId="77777777" w:rsidR="006507E8" w:rsidRPr="00286216" w:rsidRDefault="006507E8" w:rsidP="006507E8">
            <w:pPr>
              <w:pStyle w:val="StyleWisnow"/>
              <w:rPr>
                <w:color w:val="000000" w:themeColor="text1"/>
              </w:rPr>
            </w:pPr>
          </w:p>
        </w:tc>
        <w:tc>
          <w:tcPr>
            <w:tcW w:w="4818" w:type="dxa"/>
          </w:tcPr>
          <w:p w14:paraId="776F3012" w14:textId="1A4864B6" w:rsidR="006507E8" w:rsidRPr="00286216" w:rsidRDefault="006507E8" w:rsidP="006507E8">
            <w:pPr>
              <w:pStyle w:val="StyleZakonu"/>
              <w:rPr>
                <w:color w:val="000000" w:themeColor="text1"/>
              </w:rPr>
            </w:pPr>
            <w:r w:rsidRPr="00286216">
              <w:rPr>
                <w:color w:val="000000" w:themeColor="text1"/>
              </w:rPr>
              <w:t>Здійснення публічної пропозиції можливе лише за умови дійсності проспекту відповідно до статті 100 цього Закону.</w:t>
            </w:r>
          </w:p>
        </w:tc>
      </w:tr>
      <w:tr w:rsidR="006507E8" w:rsidRPr="00286216" w14:paraId="39C01372" w14:textId="77777777" w:rsidTr="00091AA5">
        <w:tc>
          <w:tcPr>
            <w:tcW w:w="576" w:type="dxa"/>
          </w:tcPr>
          <w:p w14:paraId="6E6AC2C5" w14:textId="77777777" w:rsidR="006507E8" w:rsidRPr="00286216" w:rsidRDefault="006507E8" w:rsidP="006507E8">
            <w:pPr>
              <w:pStyle w:val="StyleWisnow"/>
              <w:rPr>
                <w:color w:val="000000" w:themeColor="text1"/>
              </w:rPr>
            </w:pPr>
            <w:bookmarkStart w:id="1321" w:name="n1581" w:colFirst="0" w:colLast="0"/>
            <w:bookmarkEnd w:id="1320"/>
            <w:r w:rsidRPr="00286216">
              <w:rPr>
                <w:color w:val="000000" w:themeColor="text1"/>
              </w:rPr>
              <w:t>1581.</w:t>
            </w:r>
          </w:p>
        </w:tc>
        <w:tc>
          <w:tcPr>
            <w:tcW w:w="4818" w:type="dxa"/>
          </w:tcPr>
          <w:p w14:paraId="10BF035E" w14:textId="77777777" w:rsidR="006507E8" w:rsidRPr="00286216" w:rsidRDefault="006507E8" w:rsidP="006507E8">
            <w:pPr>
              <w:pStyle w:val="StyleZakonu"/>
              <w:rPr>
                <w:color w:val="000000" w:themeColor="text1"/>
              </w:rPr>
            </w:pPr>
            <w:r w:rsidRPr="00286216">
              <w:rPr>
                <w:color w:val="000000" w:themeColor="text1"/>
              </w:rPr>
              <w:t>4. Вимоги щодо необхідності оформлення та оприлюднення проспекту не поширюються на такі випадки:</w:t>
            </w:r>
          </w:p>
        </w:tc>
        <w:tc>
          <w:tcPr>
            <w:tcW w:w="3686" w:type="dxa"/>
          </w:tcPr>
          <w:p w14:paraId="0AF0F41C" w14:textId="77777777" w:rsidR="006507E8" w:rsidRPr="00286216" w:rsidRDefault="006507E8" w:rsidP="006507E8">
            <w:pPr>
              <w:pStyle w:val="StyleProp"/>
              <w:rPr>
                <w:color w:val="000000" w:themeColor="text1"/>
                <w:szCs w:val="18"/>
              </w:rPr>
            </w:pPr>
          </w:p>
        </w:tc>
        <w:tc>
          <w:tcPr>
            <w:tcW w:w="1987" w:type="dxa"/>
          </w:tcPr>
          <w:p w14:paraId="58D18A2C" w14:textId="77777777" w:rsidR="006507E8" w:rsidRPr="00286216" w:rsidRDefault="006507E8" w:rsidP="006507E8">
            <w:pPr>
              <w:pStyle w:val="StyleWisnow"/>
              <w:rPr>
                <w:color w:val="000000" w:themeColor="text1"/>
              </w:rPr>
            </w:pPr>
          </w:p>
        </w:tc>
        <w:tc>
          <w:tcPr>
            <w:tcW w:w="4818" w:type="dxa"/>
          </w:tcPr>
          <w:p w14:paraId="79AE9611" w14:textId="1BFB4758" w:rsidR="006507E8" w:rsidRPr="00286216" w:rsidRDefault="006507E8" w:rsidP="006507E8">
            <w:pPr>
              <w:pStyle w:val="StyleZakonu"/>
              <w:rPr>
                <w:color w:val="000000" w:themeColor="text1"/>
              </w:rPr>
            </w:pPr>
            <w:r w:rsidRPr="00286216">
              <w:rPr>
                <w:color w:val="000000" w:themeColor="text1"/>
              </w:rPr>
              <w:t>4. Вимоги щодо необхідності оформлення та оприлюднення проспекту не поширюються на такі випадки:</w:t>
            </w:r>
          </w:p>
        </w:tc>
      </w:tr>
      <w:tr w:rsidR="006507E8" w:rsidRPr="00286216" w14:paraId="3536AE69" w14:textId="77777777" w:rsidTr="00091AA5">
        <w:tc>
          <w:tcPr>
            <w:tcW w:w="576" w:type="dxa"/>
          </w:tcPr>
          <w:p w14:paraId="18B6CD44" w14:textId="77777777" w:rsidR="006507E8" w:rsidRPr="00286216" w:rsidRDefault="006507E8" w:rsidP="006507E8">
            <w:pPr>
              <w:pStyle w:val="StyleWisnow"/>
              <w:rPr>
                <w:color w:val="000000" w:themeColor="text1"/>
              </w:rPr>
            </w:pPr>
            <w:bookmarkStart w:id="1322" w:name="n1582" w:colFirst="0" w:colLast="0"/>
            <w:bookmarkEnd w:id="1321"/>
            <w:r w:rsidRPr="00286216">
              <w:rPr>
                <w:color w:val="000000" w:themeColor="text1"/>
              </w:rPr>
              <w:t>1582.</w:t>
            </w:r>
          </w:p>
        </w:tc>
        <w:tc>
          <w:tcPr>
            <w:tcW w:w="4818" w:type="dxa"/>
          </w:tcPr>
          <w:p w14:paraId="37ED5CCE" w14:textId="77777777" w:rsidR="006507E8" w:rsidRPr="00286216" w:rsidRDefault="006507E8" w:rsidP="006507E8">
            <w:pPr>
              <w:pStyle w:val="StyleZakonu"/>
              <w:rPr>
                <w:color w:val="000000" w:themeColor="text1"/>
              </w:rPr>
            </w:pPr>
            <w:r w:rsidRPr="00286216">
              <w:rPr>
                <w:color w:val="000000" w:themeColor="text1"/>
              </w:rPr>
              <w:t>1) публічна пропозиція здійснюється виключно серед кваліфікованих інвесторів;</w:t>
            </w:r>
          </w:p>
        </w:tc>
        <w:tc>
          <w:tcPr>
            <w:tcW w:w="3686" w:type="dxa"/>
          </w:tcPr>
          <w:p w14:paraId="280E2008" w14:textId="77777777" w:rsidR="006507E8" w:rsidRPr="00286216" w:rsidRDefault="006507E8" w:rsidP="006507E8">
            <w:pPr>
              <w:pStyle w:val="StyleProp"/>
              <w:rPr>
                <w:color w:val="000000" w:themeColor="text1"/>
                <w:szCs w:val="18"/>
              </w:rPr>
            </w:pPr>
          </w:p>
        </w:tc>
        <w:tc>
          <w:tcPr>
            <w:tcW w:w="1987" w:type="dxa"/>
          </w:tcPr>
          <w:p w14:paraId="40EF9A8A" w14:textId="77777777" w:rsidR="006507E8" w:rsidRPr="00286216" w:rsidRDefault="006507E8" w:rsidP="006507E8">
            <w:pPr>
              <w:pStyle w:val="StyleWisnow"/>
              <w:rPr>
                <w:color w:val="000000" w:themeColor="text1"/>
              </w:rPr>
            </w:pPr>
          </w:p>
        </w:tc>
        <w:tc>
          <w:tcPr>
            <w:tcW w:w="4818" w:type="dxa"/>
          </w:tcPr>
          <w:p w14:paraId="43086C7C" w14:textId="43A49247" w:rsidR="006507E8" w:rsidRPr="00286216" w:rsidRDefault="006507E8" w:rsidP="006507E8">
            <w:pPr>
              <w:pStyle w:val="StyleZakonu"/>
              <w:rPr>
                <w:color w:val="000000" w:themeColor="text1"/>
              </w:rPr>
            </w:pPr>
            <w:r w:rsidRPr="00286216">
              <w:rPr>
                <w:color w:val="000000" w:themeColor="text1"/>
              </w:rPr>
              <w:t>1) публічна пропозиція здійснюється виключно серед кваліфікованих інвесторів;</w:t>
            </w:r>
          </w:p>
        </w:tc>
      </w:tr>
      <w:tr w:rsidR="006507E8" w:rsidRPr="00286216" w14:paraId="0DC06FAD" w14:textId="77777777" w:rsidTr="00091AA5">
        <w:tc>
          <w:tcPr>
            <w:tcW w:w="576" w:type="dxa"/>
          </w:tcPr>
          <w:p w14:paraId="0DCDB210" w14:textId="77777777" w:rsidR="006507E8" w:rsidRPr="00286216" w:rsidRDefault="006507E8" w:rsidP="006507E8">
            <w:pPr>
              <w:pStyle w:val="StyleWisnow"/>
              <w:rPr>
                <w:color w:val="000000" w:themeColor="text1"/>
              </w:rPr>
            </w:pPr>
            <w:bookmarkStart w:id="1323" w:name="n1583" w:colFirst="0" w:colLast="0"/>
            <w:bookmarkEnd w:id="1322"/>
            <w:r w:rsidRPr="00286216">
              <w:rPr>
                <w:color w:val="000000" w:themeColor="text1"/>
              </w:rPr>
              <w:t>1583.</w:t>
            </w:r>
          </w:p>
        </w:tc>
        <w:tc>
          <w:tcPr>
            <w:tcW w:w="4818" w:type="dxa"/>
          </w:tcPr>
          <w:p w14:paraId="2734C0F8" w14:textId="77777777" w:rsidR="006507E8" w:rsidRPr="00286216" w:rsidRDefault="006507E8" w:rsidP="006507E8">
            <w:pPr>
              <w:pStyle w:val="StyleZakonu"/>
              <w:rPr>
                <w:color w:val="000000" w:themeColor="text1"/>
              </w:rPr>
            </w:pPr>
            <w:r w:rsidRPr="00286216">
              <w:rPr>
                <w:color w:val="000000" w:themeColor="text1"/>
              </w:rPr>
              <w:t>2) публічна пропозиція здійснюється у процесі злиття або поділу юридичної особи, за умови що документ, який передбачає такий поділ або злиття, оприлюднений відповідно до вимог частини другої статті 98 цього Закону;</w:t>
            </w:r>
          </w:p>
        </w:tc>
        <w:tc>
          <w:tcPr>
            <w:tcW w:w="3686" w:type="dxa"/>
          </w:tcPr>
          <w:p w14:paraId="2DDBA391" w14:textId="77777777" w:rsidR="006507E8" w:rsidRPr="00286216" w:rsidRDefault="006507E8" w:rsidP="006507E8">
            <w:pPr>
              <w:pStyle w:val="StyleProp"/>
              <w:rPr>
                <w:color w:val="000000" w:themeColor="text1"/>
                <w:szCs w:val="18"/>
              </w:rPr>
            </w:pPr>
          </w:p>
        </w:tc>
        <w:tc>
          <w:tcPr>
            <w:tcW w:w="1987" w:type="dxa"/>
          </w:tcPr>
          <w:p w14:paraId="5E1EB15D" w14:textId="77777777" w:rsidR="006507E8" w:rsidRPr="00286216" w:rsidRDefault="006507E8" w:rsidP="006507E8">
            <w:pPr>
              <w:pStyle w:val="StyleWisnow"/>
              <w:rPr>
                <w:color w:val="000000" w:themeColor="text1"/>
              </w:rPr>
            </w:pPr>
          </w:p>
        </w:tc>
        <w:tc>
          <w:tcPr>
            <w:tcW w:w="4818" w:type="dxa"/>
          </w:tcPr>
          <w:p w14:paraId="5A8725C2" w14:textId="7BB766F0" w:rsidR="006507E8" w:rsidRPr="00286216" w:rsidRDefault="006507E8" w:rsidP="006507E8">
            <w:pPr>
              <w:pStyle w:val="StyleZakonu"/>
              <w:rPr>
                <w:color w:val="000000" w:themeColor="text1"/>
              </w:rPr>
            </w:pPr>
            <w:r w:rsidRPr="00286216">
              <w:rPr>
                <w:color w:val="000000" w:themeColor="text1"/>
              </w:rPr>
              <w:t>2) публічна пропозиція здійснюється у процесі злиття або поділу юридичної особи, за умови що документ, який передбачає такий поділ або злиття, оприлюднений відповідно до вимог частини другої статті 102 цього Закону;</w:t>
            </w:r>
          </w:p>
        </w:tc>
      </w:tr>
      <w:tr w:rsidR="006507E8" w:rsidRPr="00286216" w14:paraId="215EDB01" w14:textId="77777777" w:rsidTr="00091AA5">
        <w:tc>
          <w:tcPr>
            <w:tcW w:w="576" w:type="dxa"/>
          </w:tcPr>
          <w:p w14:paraId="2A88FE6A" w14:textId="77777777" w:rsidR="006507E8" w:rsidRPr="00286216" w:rsidRDefault="006507E8" w:rsidP="006507E8">
            <w:pPr>
              <w:pStyle w:val="StyleWisnow"/>
              <w:rPr>
                <w:color w:val="000000" w:themeColor="text1"/>
              </w:rPr>
            </w:pPr>
            <w:bookmarkStart w:id="1324" w:name="n1584" w:colFirst="0" w:colLast="0"/>
            <w:bookmarkEnd w:id="1323"/>
            <w:r w:rsidRPr="00286216">
              <w:rPr>
                <w:color w:val="000000" w:themeColor="text1"/>
              </w:rPr>
              <w:t>1584.</w:t>
            </w:r>
          </w:p>
        </w:tc>
        <w:tc>
          <w:tcPr>
            <w:tcW w:w="4818" w:type="dxa"/>
          </w:tcPr>
          <w:p w14:paraId="6494F5AF" w14:textId="77777777" w:rsidR="006507E8" w:rsidRPr="00286216" w:rsidRDefault="006507E8" w:rsidP="006507E8">
            <w:pPr>
              <w:pStyle w:val="StyleZakonu"/>
              <w:rPr>
                <w:color w:val="000000" w:themeColor="text1"/>
              </w:rPr>
            </w:pPr>
            <w:r w:rsidRPr="00286216">
              <w:rPr>
                <w:color w:val="000000" w:themeColor="text1"/>
              </w:rPr>
              <w:t>3) публічна пропозиція здійснюється серед інвесторів за умови, що кожен із цих інвесторів придбаває цінні папери на суму, що перевищує розмір, встановлений Національною комісією з цінних паперів та фондового ринку;</w:t>
            </w:r>
          </w:p>
        </w:tc>
        <w:tc>
          <w:tcPr>
            <w:tcW w:w="3686" w:type="dxa"/>
          </w:tcPr>
          <w:p w14:paraId="41A217DC" w14:textId="77777777" w:rsidR="006507E8" w:rsidRPr="00286216" w:rsidRDefault="006507E8" w:rsidP="006507E8">
            <w:pPr>
              <w:pStyle w:val="StyleProp"/>
              <w:rPr>
                <w:color w:val="000000" w:themeColor="text1"/>
                <w:szCs w:val="18"/>
              </w:rPr>
            </w:pPr>
          </w:p>
        </w:tc>
        <w:tc>
          <w:tcPr>
            <w:tcW w:w="1987" w:type="dxa"/>
          </w:tcPr>
          <w:p w14:paraId="027A323C" w14:textId="77777777" w:rsidR="006507E8" w:rsidRPr="00286216" w:rsidRDefault="006507E8" w:rsidP="006507E8">
            <w:pPr>
              <w:pStyle w:val="StyleWisnow"/>
              <w:rPr>
                <w:color w:val="000000" w:themeColor="text1"/>
              </w:rPr>
            </w:pPr>
          </w:p>
        </w:tc>
        <w:tc>
          <w:tcPr>
            <w:tcW w:w="4818" w:type="dxa"/>
          </w:tcPr>
          <w:p w14:paraId="24E5DD13" w14:textId="6549AEB9" w:rsidR="006507E8" w:rsidRPr="00286216" w:rsidRDefault="006507E8" w:rsidP="006507E8">
            <w:pPr>
              <w:pStyle w:val="StyleZakonu"/>
              <w:rPr>
                <w:color w:val="000000" w:themeColor="text1"/>
              </w:rPr>
            </w:pPr>
            <w:r w:rsidRPr="00286216">
              <w:rPr>
                <w:color w:val="000000" w:themeColor="text1"/>
              </w:rPr>
              <w:t>3) публічна пропозиція здійснюється серед інвесторів, за умови що кожний з таких інвесторів придбаває цінні папери на суму, що перевищує розмір, встановлений Національною комісією з цінних паперів та фондового ринку;</w:t>
            </w:r>
          </w:p>
        </w:tc>
      </w:tr>
      <w:tr w:rsidR="006507E8" w:rsidRPr="00286216" w14:paraId="611D0A5C" w14:textId="77777777" w:rsidTr="00091AA5">
        <w:tc>
          <w:tcPr>
            <w:tcW w:w="576" w:type="dxa"/>
          </w:tcPr>
          <w:p w14:paraId="4F046937" w14:textId="77777777" w:rsidR="006507E8" w:rsidRPr="00286216" w:rsidRDefault="006507E8" w:rsidP="006507E8">
            <w:pPr>
              <w:pStyle w:val="StyleWisnow"/>
              <w:rPr>
                <w:color w:val="000000" w:themeColor="text1"/>
              </w:rPr>
            </w:pPr>
            <w:bookmarkStart w:id="1325" w:name="n1585" w:colFirst="0" w:colLast="0"/>
            <w:bookmarkEnd w:id="1324"/>
            <w:r w:rsidRPr="00286216">
              <w:rPr>
                <w:color w:val="000000" w:themeColor="text1"/>
              </w:rPr>
              <w:t>1585.</w:t>
            </w:r>
          </w:p>
        </w:tc>
        <w:tc>
          <w:tcPr>
            <w:tcW w:w="4818" w:type="dxa"/>
          </w:tcPr>
          <w:p w14:paraId="77453121" w14:textId="77777777" w:rsidR="006507E8" w:rsidRPr="00286216" w:rsidRDefault="006507E8" w:rsidP="006507E8">
            <w:pPr>
              <w:pStyle w:val="StyleZakonu"/>
              <w:rPr>
                <w:color w:val="000000" w:themeColor="text1"/>
              </w:rPr>
            </w:pPr>
            <w:r w:rsidRPr="00286216">
              <w:rPr>
                <w:color w:val="000000" w:themeColor="text1"/>
              </w:rPr>
              <w:t>4) публічна пропозиція здійснюється протягом не більше ніж 12 послідовних місяців за умови, що сума такої пропозиції не перевищує розмір, встановлений Національною комісією з цінних паперів та фондового ринку;</w:t>
            </w:r>
          </w:p>
        </w:tc>
        <w:tc>
          <w:tcPr>
            <w:tcW w:w="3686" w:type="dxa"/>
          </w:tcPr>
          <w:p w14:paraId="347AAA23" w14:textId="77777777" w:rsidR="006507E8" w:rsidRPr="00286216" w:rsidRDefault="006507E8" w:rsidP="006507E8">
            <w:pPr>
              <w:pStyle w:val="StyleProp"/>
              <w:rPr>
                <w:color w:val="000000" w:themeColor="text1"/>
                <w:szCs w:val="18"/>
              </w:rPr>
            </w:pPr>
          </w:p>
        </w:tc>
        <w:tc>
          <w:tcPr>
            <w:tcW w:w="1987" w:type="dxa"/>
          </w:tcPr>
          <w:p w14:paraId="60DDD0F6" w14:textId="77777777" w:rsidR="006507E8" w:rsidRPr="00286216" w:rsidRDefault="006507E8" w:rsidP="006507E8">
            <w:pPr>
              <w:pStyle w:val="StyleWisnow"/>
              <w:rPr>
                <w:color w:val="000000" w:themeColor="text1"/>
              </w:rPr>
            </w:pPr>
          </w:p>
        </w:tc>
        <w:tc>
          <w:tcPr>
            <w:tcW w:w="4818" w:type="dxa"/>
          </w:tcPr>
          <w:p w14:paraId="38A65BD0" w14:textId="41011416" w:rsidR="006507E8" w:rsidRPr="00286216" w:rsidRDefault="006507E8" w:rsidP="006507E8">
            <w:pPr>
              <w:pStyle w:val="StyleZakonu"/>
              <w:rPr>
                <w:color w:val="000000" w:themeColor="text1"/>
              </w:rPr>
            </w:pPr>
            <w:r w:rsidRPr="00286216">
              <w:rPr>
                <w:color w:val="000000" w:themeColor="text1"/>
              </w:rPr>
              <w:t>4) публічна пропозиція здійснюється протягом не більше ніж 12 послідовних місяців, за умови що сума такої пропозиції не перевищує розмір, установлений Національною комісією з цінних паперів та фондового ринку;</w:t>
            </w:r>
          </w:p>
        </w:tc>
      </w:tr>
      <w:tr w:rsidR="006507E8" w:rsidRPr="00286216" w14:paraId="08E4219C" w14:textId="77777777" w:rsidTr="00091AA5">
        <w:tc>
          <w:tcPr>
            <w:tcW w:w="576" w:type="dxa"/>
          </w:tcPr>
          <w:p w14:paraId="3223566C" w14:textId="77777777" w:rsidR="006507E8" w:rsidRPr="00286216" w:rsidRDefault="006507E8" w:rsidP="006507E8">
            <w:pPr>
              <w:pStyle w:val="StyleWisnow"/>
              <w:rPr>
                <w:color w:val="000000" w:themeColor="text1"/>
              </w:rPr>
            </w:pPr>
            <w:bookmarkStart w:id="1326" w:name="n1586" w:colFirst="0" w:colLast="0"/>
            <w:bookmarkEnd w:id="1325"/>
            <w:r w:rsidRPr="00286216">
              <w:rPr>
                <w:color w:val="000000" w:themeColor="text1"/>
              </w:rPr>
              <w:t>1586.</w:t>
            </w:r>
          </w:p>
        </w:tc>
        <w:tc>
          <w:tcPr>
            <w:tcW w:w="4818" w:type="dxa"/>
          </w:tcPr>
          <w:p w14:paraId="10B72F66" w14:textId="77777777" w:rsidR="006507E8" w:rsidRPr="00286216" w:rsidRDefault="006507E8" w:rsidP="006507E8">
            <w:pPr>
              <w:pStyle w:val="StyleZakonu"/>
              <w:rPr>
                <w:color w:val="000000" w:themeColor="text1"/>
              </w:rPr>
            </w:pPr>
            <w:r w:rsidRPr="00286216">
              <w:rPr>
                <w:color w:val="000000" w:themeColor="text1"/>
              </w:rPr>
              <w:t>5) емісія акцій, здійснюється з метою їх конвертації в акції іншого типу та/або класу цього самого емітента;</w:t>
            </w:r>
          </w:p>
        </w:tc>
        <w:tc>
          <w:tcPr>
            <w:tcW w:w="3686" w:type="dxa"/>
          </w:tcPr>
          <w:p w14:paraId="5EA21E71" w14:textId="77777777" w:rsidR="006507E8" w:rsidRPr="00286216" w:rsidRDefault="006507E8" w:rsidP="006507E8">
            <w:pPr>
              <w:pStyle w:val="StyleProp"/>
              <w:rPr>
                <w:color w:val="000000" w:themeColor="text1"/>
                <w:szCs w:val="18"/>
              </w:rPr>
            </w:pPr>
          </w:p>
        </w:tc>
        <w:tc>
          <w:tcPr>
            <w:tcW w:w="1987" w:type="dxa"/>
          </w:tcPr>
          <w:p w14:paraId="0C76AC59" w14:textId="77777777" w:rsidR="006507E8" w:rsidRPr="00286216" w:rsidRDefault="006507E8" w:rsidP="006507E8">
            <w:pPr>
              <w:pStyle w:val="StyleWisnow"/>
              <w:rPr>
                <w:color w:val="000000" w:themeColor="text1"/>
              </w:rPr>
            </w:pPr>
          </w:p>
        </w:tc>
        <w:tc>
          <w:tcPr>
            <w:tcW w:w="4818" w:type="dxa"/>
          </w:tcPr>
          <w:p w14:paraId="3FBE76E6" w14:textId="171C4271" w:rsidR="006507E8" w:rsidRPr="00286216" w:rsidRDefault="006507E8" w:rsidP="006507E8">
            <w:pPr>
              <w:pStyle w:val="StyleZakonu"/>
              <w:rPr>
                <w:color w:val="000000" w:themeColor="text1"/>
              </w:rPr>
            </w:pPr>
            <w:r w:rsidRPr="00286216">
              <w:rPr>
                <w:color w:val="000000" w:themeColor="text1"/>
              </w:rPr>
              <w:t>5) емісія акцій здійснюється з метою їх конвертації в акції іншого типу та/або класу цього самого емітента;</w:t>
            </w:r>
          </w:p>
        </w:tc>
      </w:tr>
      <w:tr w:rsidR="006507E8" w:rsidRPr="00286216" w14:paraId="152C9CB1" w14:textId="77777777" w:rsidTr="00091AA5">
        <w:tc>
          <w:tcPr>
            <w:tcW w:w="576" w:type="dxa"/>
          </w:tcPr>
          <w:p w14:paraId="32EA1F29" w14:textId="77777777" w:rsidR="006507E8" w:rsidRPr="00286216" w:rsidRDefault="006507E8" w:rsidP="006507E8">
            <w:pPr>
              <w:pStyle w:val="StyleWisnow"/>
              <w:rPr>
                <w:color w:val="000000" w:themeColor="text1"/>
              </w:rPr>
            </w:pPr>
            <w:bookmarkStart w:id="1327" w:name="n1587" w:colFirst="0" w:colLast="0"/>
            <w:bookmarkEnd w:id="1326"/>
            <w:r w:rsidRPr="00286216">
              <w:rPr>
                <w:color w:val="000000" w:themeColor="text1"/>
              </w:rPr>
              <w:t>1587.</w:t>
            </w:r>
          </w:p>
        </w:tc>
        <w:tc>
          <w:tcPr>
            <w:tcW w:w="4818" w:type="dxa"/>
          </w:tcPr>
          <w:p w14:paraId="5ABA384B" w14:textId="77777777" w:rsidR="006507E8" w:rsidRPr="00286216" w:rsidRDefault="006507E8" w:rsidP="006507E8">
            <w:pPr>
              <w:pStyle w:val="StyleZakonu"/>
              <w:rPr>
                <w:color w:val="000000" w:themeColor="text1"/>
              </w:rPr>
            </w:pPr>
            <w:r w:rsidRPr="00286216">
              <w:rPr>
                <w:color w:val="000000" w:themeColor="text1"/>
              </w:rPr>
              <w:t>6) здійснюється емісія цінних паперів, що підлягають розподілу між теперішніми або колишніми керівниками чи працівниками емітента або юридичних осіб, які перебувають під контролем емітента, за умови наявності документа, що містить інформацію про кількість та тип цінних паперів, а також про умови та деталі такого розподілу;</w:t>
            </w:r>
          </w:p>
        </w:tc>
        <w:tc>
          <w:tcPr>
            <w:tcW w:w="3686" w:type="dxa"/>
          </w:tcPr>
          <w:p w14:paraId="350E6B44" w14:textId="77777777" w:rsidR="006507E8" w:rsidRPr="00286216" w:rsidRDefault="006507E8" w:rsidP="006507E8">
            <w:pPr>
              <w:pStyle w:val="StyleProp"/>
              <w:rPr>
                <w:color w:val="000000" w:themeColor="text1"/>
                <w:szCs w:val="18"/>
              </w:rPr>
            </w:pPr>
          </w:p>
        </w:tc>
        <w:tc>
          <w:tcPr>
            <w:tcW w:w="1987" w:type="dxa"/>
          </w:tcPr>
          <w:p w14:paraId="0535D743" w14:textId="77777777" w:rsidR="006507E8" w:rsidRPr="00286216" w:rsidRDefault="006507E8" w:rsidP="006507E8">
            <w:pPr>
              <w:pStyle w:val="StyleWisnow"/>
              <w:rPr>
                <w:color w:val="000000" w:themeColor="text1"/>
              </w:rPr>
            </w:pPr>
          </w:p>
        </w:tc>
        <w:tc>
          <w:tcPr>
            <w:tcW w:w="4818" w:type="dxa"/>
          </w:tcPr>
          <w:p w14:paraId="7D8FEAB8" w14:textId="1CA3C428" w:rsidR="006507E8" w:rsidRPr="00286216" w:rsidRDefault="006507E8" w:rsidP="006507E8">
            <w:pPr>
              <w:pStyle w:val="StyleZakonu"/>
              <w:rPr>
                <w:color w:val="000000" w:themeColor="text1"/>
              </w:rPr>
            </w:pPr>
            <w:r w:rsidRPr="00286216">
              <w:rPr>
                <w:color w:val="000000" w:themeColor="text1"/>
              </w:rPr>
              <w:t>6) здійснюється емісія цінних паперів, що підлягають розподілу між теперішніми або колишніми керівниками чи працівниками емітента або юридичних осіб, які перебувають під контролем емітента, за умови наявності документа, що містить інформацію про кількість та тип цінних паперів, а також про умови та деталі такого розподілу;</w:t>
            </w:r>
          </w:p>
        </w:tc>
      </w:tr>
      <w:tr w:rsidR="006507E8" w:rsidRPr="00286216" w14:paraId="482E2914" w14:textId="77777777" w:rsidTr="00091AA5">
        <w:tc>
          <w:tcPr>
            <w:tcW w:w="576" w:type="dxa"/>
          </w:tcPr>
          <w:p w14:paraId="6B83F1EA" w14:textId="77777777" w:rsidR="006507E8" w:rsidRPr="00286216" w:rsidRDefault="006507E8" w:rsidP="006507E8">
            <w:pPr>
              <w:pStyle w:val="StyleWisnow"/>
              <w:rPr>
                <w:color w:val="000000" w:themeColor="text1"/>
              </w:rPr>
            </w:pPr>
            <w:bookmarkStart w:id="1328" w:name="n1588" w:colFirst="0" w:colLast="0"/>
            <w:bookmarkEnd w:id="1327"/>
            <w:r w:rsidRPr="00286216">
              <w:rPr>
                <w:color w:val="000000" w:themeColor="text1"/>
              </w:rPr>
              <w:t>1588.</w:t>
            </w:r>
          </w:p>
        </w:tc>
        <w:tc>
          <w:tcPr>
            <w:tcW w:w="4818" w:type="dxa"/>
          </w:tcPr>
          <w:p w14:paraId="3FE48004" w14:textId="77777777" w:rsidR="006507E8" w:rsidRPr="00286216" w:rsidRDefault="006507E8" w:rsidP="006507E8">
            <w:pPr>
              <w:pStyle w:val="StyleZakonu"/>
              <w:rPr>
                <w:color w:val="000000" w:themeColor="text1"/>
              </w:rPr>
            </w:pPr>
            <w:r w:rsidRPr="00286216">
              <w:rPr>
                <w:color w:val="000000" w:themeColor="text1"/>
              </w:rPr>
              <w:t>7) номінальна вартість цінних паперів, щодо яких здійснюється публічна пропозиція, перевищує розмір, встановлений Національною комісією з цінних паперів та фондового ринку;</w:t>
            </w:r>
          </w:p>
        </w:tc>
        <w:tc>
          <w:tcPr>
            <w:tcW w:w="3686" w:type="dxa"/>
          </w:tcPr>
          <w:p w14:paraId="3C0FE368" w14:textId="77777777" w:rsidR="006507E8" w:rsidRPr="00286216" w:rsidRDefault="006507E8" w:rsidP="006507E8">
            <w:pPr>
              <w:pStyle w:val="StyleProp"/>
              <w:rPr>
                <w:color w:val="000000" w:themeColor="text1"/>
                <w:szCs w:val="18"/>
              </w:rPr>
            </w:pPr>
          </w:p>
        </w:tc>
        <w:tc>
          <w:tcPr>
            <w:tcW w:w="1987" w:type="dxa"/>
          </w:tcPr>
          <w:p w14:paraId="4893F156" w14:textId="77777777" w:rsidR="006507E8" w:rsidRPr="00286216" w:rsidRDefault="006507E8" w:rsidP="006507E8">
            <w:pPr>
              <w:pStyle w:val="StyleWisnow"/>
              <w:rPr>
                <w:color w:val="000000" w:themeColor="text1"/>
              </w:rPr>
            </w:pPr>
          </w:p>
        </w:tc>
        <w:tc>
          <w:tcPr>
            <w:tcW w:w="4818" w:type="dxa"/>
          </w:tcPr>
          <w:p w14:paraId="6E9E40F0" w14:textId="5705927A" w:rsidR="006507E8" w:rsidRPr="00286216" w:rsidRDefault="006507E8" w:rsidP="006507E8">
            <w:pPr>
              <w:pStyle w:val="StyleZakonu"/>
              <w:rPr>
                <w:color w:val="000000" w:themeColor="text1"/>
              </w:rPr>
            </w:pPr>
            <w:r w:rsidRPr="00286216">
              <w:rPr>
                <w:color w:val="000000" w:themeColor="text1"/>
              </w:rPr>
              <w:t>7) номінальна вартість цінних паперів, щодо яких здійснюється публічна пропозиція, перевищує розмір, встановлений Національною комісією з цінних паперів та фондового ринку;</w:t>
            </w:r>
          </w:p>
        </w:tc>
      </w:tr>
      <w:tr w:rsidR="006507E8" w:rsidRPr="00286216" w14:paraId="67D05382" w14:textId="77777777" w:rsidTr="00091AA5">
        <w:tc>
          <w:tcPr>
            <w:tcW w:w="576" w:type="dxa"/>
          </w:tcPr>
          <w:p w14:paraId="2DEAC1B4" w14:textId="77777777" w:rsidR="006507E8" w:rsidRPr="00286216" w:rsidRDefault="006507E8" w:rsidP="006507E8">
            <w:pPr>
              <w:pStyle w:val="StyleWisnow"/>
              <w:rPr>
                <w:color w:val="000000" w:themeColor="text1"/>
              </w:rPr>
            </w:pPr>
            <w:bookmarkStart w:id="1329" w:name="n1589" w:colFirst="0" w:colLast="0"/>
            <w:bookmarkEnd w:id="1328"/>
            <w:r w:rsidRPr="00286216">
              <w:rPr>
                <w:color w:val="000000" w:themeColor="text1"/>
              </w:rPr>
              <w:t>1589.</w:t>
            </w:r>
          </w:p>
        </w:tc>
        <w:tc>
          <w:tcPr>
            <w:tcW w:w="4818" w:type="dxa"/>
          </w:tcPr>
          <w:p w14:paraId="2215DD46" w14:textId="77777777" w:rsidR="006507E8" w:rsidRPr="00286216" w:rsidRDefault="006507E8" w:rsidP="006507E8">
            <w:pPr>
              <w:pStyle w:val="StyleZakonu"/>
              <w:rPr>
                <w:color w:val="000000" w:themeColor="text1"/>
              </w:rPr>
            </w:pPr>
            <w:r w:rsidRPr="00286216">
              <w:rPr>
                <w:color w:val="000000" w:themeColor="text1"/>
              </w:rPr>
              <w:t xml:space="preserve">8) здійснюється емісія державних цінних паперів </w:t>
            </w:r>
            <w:r w:rsidRPr="00286216">
              <w:rPr>
                <w:color w:val="000000" w:themeColor="text1"/>
              </w:rPr>
              <w:lastRenderedPageBreak/>
              <w:t>та облігацій місцевих позик;</w:t>
            </w:r>
          </w:p>
        </w:tc>
        <w:tc>
          <w:tcPr>
            <w:tcW w:w="3686" w:type="dxa"/>
          </w:tcPr>
          <w:p w14:paraId="3BD699D3" w14:textId="77777777" w:rsidR="006507E8" w:rsidRPr="00286216" w:rsidRDefault="006507E8" w:rsidP="006507E8">
            <w:pPr>
              <w:pStyle w:val="StyleProp"/>
              <w:rPr>
                <w:color w:val="000000" w:themeColor="text1"/>
                <w:szCs w:val="18"/>
              </w:rPr>
            </w:pPr>
          </w:p>
        </w:tc>
        <w:tc>
          <w:tcPr>
            <w:tcW w:w="1987" w:type="dxa"/>
          </w:tcPr>
          <w:p w14:paraId="32D813DD" w14:textId="77777777" w:rsidR="006507E8" w:rsidRPr="00286216" w:rsidRDefault="006507E8" w:rsidP="006507E8">
            <w:pPr>
              <w:pStyle w:val="StyleWisnow"/>
              <w:rPr>
                <w:color w:val="000000" w:themeColor="text1"/>
              </w:rPr>
            </w:pPr>
          </w:p>
        </w:tc>
        <w:tc>
          <w:tcPr>
            <w:tcW w:w="4818" w:type="dxa"/>
          </w:tcPr>
          <w:p w14:paraId="267EC174" w14:textId="72CE901B" w:rsidR="006507E8" w:rsidRPr="00286216" w:rsidRDefault="006507E8" w:rsidP="006507E8">
            <w:pPr>
              <w:pStyle w:val="StyleZakonu"/>
              <w:rPr>
                <w:color w:val="000000" w:themeColor="text1"/>
              </w:rPr>
            </w:pPr>
            <w:r w:rsidRPr="00286216">
              <w:rPr>
                <w:color w:val="000000" w:themeColor="text1"/>
              </w:rPr>
              <w:t xml:space="preserve">8) здійснюється емісія державних цінних паперів </w:t>
            </w:r>
            <w:r w:rsidRPr="00286216">
              <w:rPr>
                <w:color w:val="000000" w:themeColor="text1"/>
              </w:rPr>
              <w:lastRenderedPageBreak/>
              <w:t>та облігацій місцевих позик;</w:t>
            </w:r>
          </w:p>
        </w:tc>
      </w:tr>
      <w:tr w:rsidR="006507E8" w:rsidRPr="00286216" w14:paraId="406655C7" w14:textId="77777777" w:rsidTr="00091AA5">
        <w:tc>
          <w:tcPr>
            <w:tcW w:w="576" w:type="dxa"/>
          </w:tcPr>
          <w:p w14:paraId="3E20904C" w14:textId="77777777" w:rsidR="006507E8" w:rsidRPr="00286216" w:rsidRDefault="006507E8" w:rsidP="006507E8">
            <w:pPr>
              <w:pStyle w:val="StyleWisnow"/>
              <w:rPr>
                <w:color w:val="000000" w:themeColor="text1"/>
              </w:rPr>
            </w:pPr>
            <w:bookmarkStart w:id="1330" w:name="n1590" w:colFirst="0" w:colLast="0"/>
            <w:bookmarkEnd w:id="1329"/>
            <w:r w:rsidRPr="00286216">
              <w:rPr>
                <w:color w:val="000000" w:themeColor="text1"/>
              </w:rPr>
              <w:lastRenderedPageBreak/>
              <w:t>1590.</w:t>
            </w:r>
          </w:p>
        </w:tc>
        <w:tc>
          <w:tcPr>
            <w:tcW w:w="4818" w:type="dxa"/>
          </w:tcPr>
          <w:p w14:paraId="024C86EF" w14:textId="77777777" w:rsidR="006507E8" w:rsidRPr="00286216" w:rsidRDefault="006507E8" w:rsidP="006507E8">
            <w:pPr>
              <w:pStyle w:val="StyleZakonu"/>
              <w:rPr>
                <w:color w:val="000000" w:themeColor="text1"/>
              </w:rPr>
            </w:pPr>
            <w:r w:rsidRPr="00286216">
              <w:rPr>
                <w:color w:val="000000" w:themeColor="text1"/>
              </w:rPr>
              <w:t>9) здійснюється емісія цінних паперів, виконання зобов’язань за якими гарантовано державою або органами місцевого самоврядування;</w:t>
            </w:r>
          </w:p>
        </w:tc>
        <w:tc>
          <w:tcPr>
            <w:tcW w:w="3686" w:type="dxa"/>
          </w:tcPr>
          <w:p w14:paraId="4CE131B3" w14:textId="77777777" w:rsidR="006507E8" w:rsidRPr="00286216" w:rsidRDefault="006507E8" w:rsidP="006507E8">
            <w:pPr>
              <w:pStyle w:val="StyleProp"/>
              <w:rPr>
                <w:color w:val="000000" w:themeColor="text1"/>
                <w:szCs w:val="18"/>
              </w:rPr>
            </w:pPr>
          </w:p>
        </w:tc>
        <w:tc>
          <w:tcPr>
            <w:tcW w:w="1987" w:type="dxa"/>
          </w:tcPr>
          <w:p w14:paraId="763C86AE" w14:textId="77777777" w:rsidR="006507E8" w:rsidRPr="00286216" w:rsidRDefault="006507E8" w:rsidP="006507E8">
            <w:pPr>
              <w:pStyle w:val="StyleWisnow"/>
              <w:rPr>
                <w:color w:val="000000" w:themeColor="text1"/>
              </w:rPr>
            </w:pPr>
          </w:p>
        </w:tc>
        <w:tc>
          <w:tcPr>
            <w:tcW w:w="4818" w:type="dxa"/>
          </w:tcPr>
          <w:p w14:paraId="0B07AC36" w14:textId="0C381442" w:rsidR="006507E8" w:rsidRPr="00286216" w:rsidRDefault="006507E8" w:rsidP="006507E8">
            <w:pPr>
              <w:pStyle w:val="StyleZakonu"/>
              <w:rPr>
                <w:color w:val="000000" w:themeColor="text1"/>
              </w:rPr>
            </w:pPr>
            <w:r w:rsidRPr="00286216">
              <w:rPr>
                <w:color w:val="000000" w:themeColor="text1"/>
              </w:rPr>
              <w:t>9) здійснюється емісія цінних паперів, виконання зобов’язань за якими гарантовано державою або органами місцевого самоврядування;</w:t>
            </w:r>
          </w:p>
        </w:tc>
      </w:tr>
      <w:tr w:rsidR="006507E8" w:rsidRPr="00286216" w14:paraId="5AEE97DD" w14:textId="77777777" w:rsidTr="00091AA5">
        <w:tc>
          <w:tcPr>
            <w:tcW w:w="576" w:type="dxa"/>
          </w:tcPr>
          <w:p w14:paraId="30F59C0B" w14:textId="77777777" w:rsidR="006507E8" w:rsidRPr="00286216" w:rsidRDefault="006507E8" w:rsidP="006507E8">
            <w:pPr>
              <w:pStyle w:val="StyleWisnow"/>
              <w:rPr>
                <w:color w:val="000000" w:themeColor="text1"/>
              </w:rPr>
            </w:pPr>
            <w:bookmarkStart w:id="1331" w:name="n1591" w:colFirst="0" w:colLast="0"/>
            <w:bookmarkEnd w:id="1330"/>
            <w:r w:rsidRPr="00286216">
              <w:rPr>
                <w:color w:val="000000" w:themeColor="text1"/>
              </w:rPr>
              <w:t>1591.</w:t>
            </w:r>
          </w:p>
        </w:tc>
        <w:tc>
          <w:tcPr>
            <w:tcW w:w="4818" w:type="dxa"/>
          </w:tcPr>
          <w:p w14:paraId="59702949" w14:textId="77777777" w:rsidR="006507E8" w:rsidRPr="00286216" w:rsidRDefault="006507E8" w:rsidP="006507E8">
            <w:pPr>
              <w:pStyle w:val="StyleZakonu"/>
              <w:rPr>
                <w:color w:val="000000" w:themeColor="text1"/>
              </w:rPr>
            </w:pPr>
            <w:r w:rsidRPr="00286216">
              <w:rPr>
                <w:color w:val="000000" w:themeColor="text1"/>
              </w:rPr>
              <w:t>10) подано заявку про допуск цінних паперів до торгів на регульованому фондовому ринку, за умови дотримання всіх таких вимог:</w:t>
            </w:r>
          </w:p>
        </w:tc>
        <w:tc>
          <w:tcPr>
            <w:tcW w:w="3686" w:type="dxa"/>
          </w:tcPr>
          <w:p w14:paraId="3EECC6D0" w14:textId="77777777" w:rsidR="006507E8" w:rsidRPr="00286216" w:rsidRDefault="006507E8" w:rsidP="006507E8">
            <w:pPr>
              <w:pStyle w:val="StyleProp"/>
              <w:rPr>
                <w:color w:val="000000" w:themeColor="text1"/>
                <w:szCs w:val="18"/>
              </w:rPr>
            </w:pPr>
          </w:p>
        </w:tc>
        <w:tc>
          <w:tcPr>
            <w:tcW w:w="1987" w:type="dxa"/>
          </w:tcPr>
          <w:p w14:paraId="1C93E59E" w14:textId="77777777" w:rsidR="006507E8" w:rsidRPr="00286216" w:rsidRDefault="006507E8" w:rsidP="006507E8">
            <w:pPr>
              <w:pStyle w:val="StyleWisnow"/>
              <w:rPr>
                <w:color w:val="000000" w:themeColor="text1"/>
              </w:rPr>
            </w:pPr>
          </w:p>
        </w:tc>
        <w:tc>
          <w:tcPr>
            <w:tcW w:w="4818" w:type="dxa"/>
          </w:tcPr>
          <w:p w14:paraId="70DC9FE2" w14:textId="36E7CA0E" w:rsidR="006507E8" w:rsidRPr="00286216" w:rsidRDefault="006507E8" w:rsidP="006507E8">
            <w:pPr>
              <w:pStyle w:val="StyleZakonu"/>
              <w:rPr>
                <w:color w:val="000000" w:themeColor="text1"/>
              </w:rPr>
            </w:pPr>
            <w:r w:rsidRPr="00286216">
              <w:rPr>
                <w:color w:val="000000" w:themeColor="text1"/>
              </w:rPr>
              <w:t>10) подано заявку про допуск цінних паперів до торгів на регульованому фондовому ринку, за умови дотримання всіх таких вимог:</w:t>
            </w:r>
          </w:p>
        </w:tc>
      </w:tr>
      <w:tr w:rsidR="006507E8" w:rsidRPr="00286216" w14:paraId="1BA08465" w14:textId="77777777" w:rsidTr="00091AA5">
        <w:tc>
          <w:tcPr>
            <w:tcW w:w="576" w:type="dxa"/>
          </w:tcPr>
          <w:p w14:paraId="0E44CF62" w14:textId="77777777" w:rsidR="006507E8" w:rsidRPr="00286216" w:rsidRDefault="006507E8" w:rsidP="006507E8">
            <w:pPr>
              <w:pStyle w:val="StyleWisnow"/>
              <w:rPr>
                <w:color w:val="000000" w:themeColor="text1"/>
              </w:rPr>
            </w:pPr>
            <w:bookmarkStart w:id="1332" w:name="n1592" w:colFirst="0" w:colLast="0"/>
            <w:bookmarkEnd w:id="1331"/>
            <w:r w:rsidRPr="00286216">
              <w:rPr>
                <w:color w:val="000000" w:themeColor="text1"/>
              </w:rPr>
              <w:t>1592.</w:t>
            </w:r>
          </w:p>
        </w:tc>
        <w:tc>
          <w:tcPr>
            <w:tcW w:w="4818" w:type="dxa"/>
          </w:tcPr>
          <w:p w14:paraId="00D48AC4" w14:textId="77777777" w:rsidR="006507E8" w:rsidRPr="00286216" w:rsidRDefault="006507E8" w:rsidP="006507E8">
            <w:pPr>
              <w:pStyle w:val="StyleZakonu"/>
              <w:rPr>
                <w:color w:val="000000" w:themeColor="text1"/>
              </w:rPr>
            </w:pPr>
            <w:r w:rsidRPr="00286216">
              <w:rPr>
                <w:color w:val="000000" w:themeColor="text1"/>
              </w:rPr>
              <w:t>а) цінні папери цього випуску вже допущені до торгів на регульованому фондовому ринку цього оператора регульованого ринку;</w:t>
            </w:r>
          </w:p>
        </w:tc>
        <w:tc>
          <w:tcPr>
            <w:tcW w:w="3686" w:type="dxa"/>
          </w:tcPr>
          <w:p w14:paraId="74DC4276" w14:textId="77777777" w:rsidR="006507E8" w:rsidRPr="00286216" w:rsidRDefault="006507E8" w:rsidP="006507E8">
            <w:pPr>
              <w:pStyle w:val="StyleProp"/>
              <w:rPr>
                <w:color w:val="000000" w:themeColor="text1"/>
                <w:szCs w:val="18"/>
              </w:rPr>
            </w:pPr>
          </w:p>
        </w:tc>
        <w:tc>
          <w:tcPr>
            <w:tcW w:w="1987" w:type="dxa"/>
          </w:tcPr>
          <w:p w14:paraId="40EEB117" w14:textId="77777777" w:rsidR="006507E8" w:rsidRPr="00286216" w:rsidRDefault="006507E8" w:rsidP="006507E8">
            <w:pPr>
              <w:pStyle w:val="StyleWisnow"/>
              <w:rPr>
                <w:color w:val="000000" w:themeColor="text1"/>
              </w:rPr>
            </w:pPr>
          </w:p>
        </w:tc>
        <w:tc>
          <w:tcPr>
            <w:tcW w:w="4818" w:type="dxa"/>
          </w:tcPr>
          <w:p w14:paraId="200C86EA" w14:textId="19AF9983" w:rsidR="006507E8" w:rsidRPr="00286216" w:rsidRDefault="006507E8" w:rsidP="006507E8">
            <w:pPr>
              <w:pStyle w:val="StyleZakonu"/>
              <w:rPr>
                <w:color w:val="000000" w:themeColor="text1"/>
              </w:rPr>
            </w:pPr>
            <w:r w:rsidRPr="00286216">
              <w:rPr>
                <w:color w:val="000000" w:themeColor="text1"/>
              </w:rPr>
              <w:t>а) цінні папери цього випуску вже допущені до торгів на регульованому фондовому ринку цього оператора регульованого ринку;</w:t>
            </w:r>
          </w:p>
        </w:tc>
      </w:tr>
      <w:tr w:rsidR="006507E8" w:rsidRPr="00286216" w14:paraId="6E541B02" w14:textId="77777777" w:rsidTr="00091AA5">
        <w:tc>
          <w:tcPr>
            <w:tcW w:w="576" w:type="dxa"/>
          </w:tcPr>
          <w:p w14:paraId="7803D1CF" w14:textId="77777777" w:rsidR="006507E8" w:rsidRPr="00286216" w:rsidRDefault="006507E8" w:rsidP="006507E8">
            <w:pPr>
              <w:pStyle w:val="StyleWisnow"/>
              <w:rPr>
                <w:color w:val="000000" w:themeColor="text1"/>
              </w:rPr>
            </w:pPr>
            <w:bookmarkStart w:id="1333" w:name="n1593" w:colFirst="0" w:colLast="0"/>
            <w:bookmarkEnd w:id="1332"/>
            <w:r w:rsidRPr="00286216">
              <w:rPr>
                <w:color w:val="000000" w:themeColor="text1"/>
              </w:rPr>
              <w:t>1593.</w:t>
            </w:r>
          </w:p>
        </w:tc>
        <w:tc>
          <w:tcPr>
            <w:tcW w:w="4818" w:type="dxa"/>
          </w:tcPr>
          <w:p w14:paraId="4594D81A" w14:textId="77777777" w:rsidR="006507E8" w:rsidRPr="00286216" w:rsidRDefault="006507E8" w:rsidP="006507E8">
            <w:pPr>
              <w:pStyle w:val="StyleZakonu"/>
              <w:rPr>
                <w:color w:val="000000" w:themeColor="text1"/>
              </w:rPr>
            </w:pPr>
            <w:r w:rsidRPr="00286216">
              <w:rPr>
                <w:color w:val="000000" w:themeColor="text1"/>
              </w:rPr>
              <w:t>б) кількість цінних паперів, щодо яких подано заявку про допуск цінних паперів до торгів на регульованому фондовому ринку, є меншою за 20 відсотків від кількості цінних паперів цього випуску, що допущені до торгів на регульованому ринку цього оператора регульованого ринку протягом останніх 12 місяців;</w:t>
            </w:r>
          </w:p>
        </w:tc>
        <w:tc>
          <w:tcPr>
            <w:tcW w:w="3686" w:type="dxa"/>
          </w:tcPr>
          <w:p w14:paraId="7A33387B" w14:textId="77777777" w:rsidR="006507E8" w:rsidRPr="00286216" w:rsidRDefault="006507E8" w:rsidP="006507E8">
            <w:pPr>
              <w:pStyle w:val="StyleProp"/>
              <w:rPr>
                <w:color w:val="000000" w:themeColor="text1"/>
                <w:szCs w:val="18"/>
              </w:rPr>
            </w:pPr>
          </w:p>
        </w:tc>
        <w:tc>
          <w:tcPr>
            <w:tcW w:w="1987" w:type="dxa"/>
          </w:tcPr>
          <w:p w14:paraId="1A0ABB20" w14:textId="77777777" w:rsidR="006507E8" w:rsidRPr="00286216" w:rsidRDefault="006507E8" w:rsidP="006507E8">
            <w:pPr>
              <w:pStyle w:val="StyleWisnow"/>
              <w:rPr>
                <w:color w:val="000000" w:themeColor="text1"/>
              </w:rPr>
            </w:pPr>
          </w:p>
        </w:tc>
        <w:tc>
          <w:tcPr>
            <w:tcW w:w="4818" w:type="dxa"/>
          </w:tcPr>
          <w:p w14:paraId="28B97898" w14:textId="3CB2ACA3" w:rsidR="006507E8" w:rsidRPr="00286216" w:rsidRDefault="006507E8" w:rsidP="006507E8">
            <w:pPr>
              <w:pStyle w:val="StyleZakonu"/>
              <w:rPr>
                <w:color w:val="000000" w:themeColor="text1"/>
              </w:rPr>
            </w:pPr>
            <w:r w:rsidRPr="00286216">
              <w:rPr>
                <w:color w:val="000000" w:themeColor="text1"/>
              </w:rPr>
              <w:t>б) кількість цінних паперів, щодо яких подано заявку про допуск цінних паперів до торгів на регульованому фондовому ринку, є меншою за 20 відсотків від кількості цінних паперів цього випуску, що допущені до торгів на регульованому ринку цього оператора регульованого ринку протягом останніх 12 місяців;</w:t>
            </w:r>
          </w:p>
        </w:tc>
      </w:tr>
      <w:tr w:rsidR="006507E8" w:rsidRPr="00286216" w14:paraId="3453A425" w14:textId="77777777" w:rsidTr="00091AA5">
        <w:tc>
          <w:tcPr>
            <w:tcW w:w="576" w:type="dxa"/>
          </w:tcPr>
          <w:p w14:paraId="2B9D19FB" w14:textId="77777777" w:rsidR="006507E8" w:rsidRPr="00286216" w:rsidRDefault="006507E8" w:rsidP="006507E8">
            <w:pPr>
              <w:pStyle w:val="StyleWisnow"/>
              <w:rPr>
                <w:color w:val="000000" w:themeColor="text1"/>
              </w:rPr>
            </w:pPr>
            <w:bookmarkStart w:id="1334" w:name="n1594" w:colFirst="0" w:colLast="0"/>
            <w:bookmarkEnd w:id="1333"/>
            <w:r w:rsidRPr="00286216">
              <w:rPr>
                <w:color w:val="000000" w:themeColor="text1"/>
              </w:rPr>
              <w:t>1594.</w:t>
            </w:r>
          </w:p>
        </w:tc>
        <w:tc>
          <w:tcPr>
            <w:tcW w:w="4818" w:type="dxa"/>
          </w:tcPr>
          <w:p w14:paraId="44FA8E92" w14:textId="77777777" w:rsidR="006507E8" w:rsidRPr="00286216" w:rsidRDefault="006507E8" w:rsidP="006507E8">
            <w:pPr>
              <w:pStyle w:val="StyleZakonu"/>
              <w:rPr>
                <w:color w:val="000000" w:themeColor="text1"/>
              </w:rPr>
            </w:pPr>
            <w:r w:rsidRPr="00286216">
              <w:rPr>
                <w:color w:val="000000" w:themeColor="text1"/>
              </w:rPr>
              <w:t>11) подано заявку про допуск акцій до торгів на регульованому фондовому ринку, за умови дотримання всіх таких вимог:</w:t>
            </w:r>
          </w:p>
        </w:tc>
        <w:tc>
          <w:tcPr>
            <w:tcW w:w="3686" w:type="dxa"/>
          </w:tcPr>
          <w:p w14:paraId="5B3C4F74" w14:textId="77777777" w:rsidR="006507E8" w:rsidRPr="00286216" w:rsidRDefault="006507E8" w:rsidP="006507E8">
            <w:pPr>
              <w:pStyle w:val="StyleProp"/>
              <w:rPr>
                <w:color w:val="000000" w:themeColor="text1"/>
                <w:szCs w:val="18"/>
              </w:rPr>
            </w:pPr>
          </w:p>
        </w:tc>
        <w:tc>
          <w:tcPr>
            <w:tcW w:w="1987" w:type="dxa"/>
          </w:tcPr>
          <w:p w14:paraId="33C0FBDE" w14:textId="77777777" w:rsidR="006507E8" w:rsidRPr="00286216" w:rsidRDefault="006507E8" w:rsidP="006507E8">
            <w:pPr>
              <w:pStyle w:val="StyleWisnow"/>
              <w:rPr>
                <w:color w:val="000000" w:themeColor="text1"/>
              </w:rPr>
            </w:pPr>
          </w:p>
        </w:tc>
        <w:tc>
          <w:tcPr>
            <w:tcW w:w="4818" w:type="dxa"/>
          </w:tcPr>
          <w:p w14:paraId="0D8B4E9D" w14:textId="623E31B1" w:rsidR="006507E8" w:rsidRPr="00286216" w:rsidRDefault="006507E8" w:rsidP="006507E8">
            <w:pPr>
              <w:pStyle w:val="StyleZakonu"/>
              <w:rPr>
                <w:color w:val="000000" w:themeColor="text1"/>
              </w:rPr>
            </w:pPr>
            <w:r w:rsidRPr="00286216">
              <w:rPr>
                <w:color w:val="000000" w:themeColor="text1"/>
              </w:rPr>
              <w:t>11) подано заявку про допуск акцій до торгів на регульованому фондовому ринку, за умови дотримання всіх таких вимог:</w:t>
            </w:r>
          </w:p>
        </w:tc>
      </w:tr>
      <w:tr w:rsidR="006507E8" w:rsidRPr="00286216" w14:paraId="1CB23D82" w14:textId="77777777" w:rsidTr="00091AA5">
        <w:tc>
          <w:tcPr>
            <w:tcW w:w="576" w:type="dxa"/>
          </w:tcPr>
          <w:p w14:paraId="07CCE162" w14:textId="77777777" w:rsidR="006507E8" w:rsidRPr="00286216" w:rsidRDefault="006507E8" w:rsidP="006507E8">
            <w:pPr>
              <w:pStyle w:val="StyleWisnow"/>
              <w:rPr>
                <w:color w:val="000000" w:themeColor="text1"/>
              </w:rPr>
            </w:pPr>
            <w:bookmarkStart w:id="1335" w:name="n1595" w:colFirst="0" w:colLast="0"/>
            <w:bookmarkEnd w:id="1334"/>
            <w:r w:rsidRPr="00286216">
              <w:rPr>
                <w:color w:val="000000" w:themeColor="text1"/>
              </w:rPr>
              <w:t>1595.</w:t>
            </w:r>
          </w:p>
        </w:tc>
        <w:tc>
          <w:tcPr>
            <w:tcW w:w="4818" w:type="dxa"/>
          </w:tcPr>
          <w:p w14:paraId="59EF1A15" w14:textId="77777777" w:rsidR="006507E8" w:rsidRPr="00286216" w:rsidRDefault="006507E8" w:rsidP="006507E8">
            <w:pPr>
              <w:pStyle w:val="StyleZakonu"/>
              <w:rPr>
                <w:color w:val="000000" w:themeColor="text1"/>
              </w:rPr>
            </w:pPr>
            <w:r w:rsidRPr="00286216">
              <w:rPr>
                <w:color w:val="000000" w:themeColor="text1"/>
              </w:rPr>
              <w:t>а) акції конвертуються з інших цінних паперів;</w:t>
            </w:r>
          </w:p>
        </w:tc>
        <w:tc>
          <w:tcPr>
            <w:tcW w:w="3686" w:type="dxa"/>
          </w:tcPr>
          <w:p w14:paraId="44C87B49" w14:textId="77777777" w:rsidR="006507E8" w:rsidRPr="00286216" w:rsidRDefault="006507E8" w:rsidP="006507E8">
            <w:pPr>
              <w:pStyle w:val="StyleProp"/>
              <w:rPr>
                <w:color w:val="000000" w:themeColor="text1"/>
                <w:szCs w:val="18"/>
              </w:rPr>
            </w:pPr>
          </w:p>
        </w:tc>
        <w:tc>
          <w:tcPr>
            <w:tcW w:w="1987" w:type="dxa"/>
          </w:tcPr>
          <w:p w14:paraId="5A2E6953" w14:textId="77777777" w:rsidR="006507E8" w:rsidRPr="00286216" w:rsidRDefault="006507E8" w:rsidP="006507E8">
            <w:pPr>
              <w:pStyle w:val="StyleWisnow"/>
              <w:rPr>
                <w:color w:val="000000" w:themeColor="text1"/>
              </w:rPr>
            </w:pPr>
          </w:p>
        </w:tc>
        <w:tc>
          <w:tcPr>
            <w:tcW w:w="4818" w:type="dxa"/>
          </w:tcPr>
          <w:p w14:paraId="418B6BC5" w14:textId="6D0BEAF6" w:rsidR="006507E8" w:rsidRPr="00286216" w:rsidRDefault="006507E8" w:rsidP="006507E8">
            <w:pPr>
              <w:pStyle w:val="StyleZakonu"/>
              <w:rPr>
                <w:color w:val="000000" w:themeColor="text1"/>
              </w:rPr>
            </w:pPr>
            <w:r w:rsidRPr="00286216">
              <w:rPr>
                <w:color w:val="000000" w:themeColor="text1"/>
              </w:rPr>
              <w:t>а) акції конвертуються з інших цінних паперів;</w:t>
            </w:r>
          </w:p>
        </w:tc>
      </w:tr>
      <w:tr w:rsidR="006507E8" w:rsidRPr="00286216" w14:paraId="564AEEC0" w14:textId="77777777" w:rsidTr="00091AA5">
        <w:tc>
          <w:tcPr>
            <w:tcW w:w="576" w:type="dxa"/>
          </w:tcPr>
          <w:p w14:paraId="7CEE6F00" w14:textId="77777777" w:rsidR="006507E8" w:rsidRPr="00286216" w:rsidRDefault="006507E8" w:rsidP="006507E8">
            <w:pPr>
              <w:pStyle w:val="StyleWisnow"/>
              <w:rPr>
                <w:color w:val="000000" w:themeColor="text1"/>
              </w:rPr>
            </w:pPr>
            <w:bookmarkStart w:id="1336" w:name="n1596" w:colFirst="0" w:colLast="0"/>
            <w:bookmarkEnd w:id="1335"/>
            <w:r w:rsidRPr="00286216">
              <w:rPr>
                <w:color w:val="000000" w:themeColor="text1"/>
              </w:rPr>
              <w:t>1596.</w:t>
            </w:r>
          </w:p>
        </w:tc>
        <w:tc>
          <w:tcPr>
            <w:tcW w:w="4818" w:type="dxa"/>
          </w:tcPr>
          <w:p w14:paraId="62255DD7" w14:textId="77777777" w:rsidR="006507E8" w:rsidRPr="00286216" w:rsidRDefault="006507E8" w:rsidP="006507E8">
            <w:pPr>
              <w:pStyle w:val="StyleZakonu"/>
              <w:rPr>
                <w:color w:val="000000" w:themeColor="text1"/>
              </w:rPr>
            </w:pPr>
            <w:r w:rsidRPr="00286216">
              <w:rPr>
                <w:color w:val="000000" w:themeColor="text1"/>
              </w:rPr>
              <w:t>б) акції, в які конвертуються інші цінні папери, вже допущені до торгів на регульованому фондовому ринку цього оператора регульованого ринку;</w:t>
            </w:r>
          </w:p>
        </w:tc>
        <w:tc>
          <w:tcPr>
            <w:tcW w:w="3686" w:type="dxa"/>
          </w:tcPr>
          <w:p w14:paraId="4E8DF146" w14:textId="77777777" w:rsidR="006507E8" w:rsidRPr="00286216" w:rsidRDefault="006507E8" w:rsidP="006507E8">
            <w:pPr>
              <w:pStyle w:val="StyleProp"/>
              <w:rPr>
                <w:color w:val="000000" w:themeColor="text1"/>
                <w:szCs w:val="18"/>
              </w:rPr>
            </w:pPr>
          </w:p>
        </w:tc>
        <w:tc>
          <w:tcPr>
            <w:tcW w:w="1987" w:type="dxa"/>
          </w:tcPr>
          <w:p w14:paraId="366DE10C" w14:textId="77777777" w:rsidR="006507E8" w:rsidRPr="00286216" w:rsidRDefault="006507E8" w:rsidP="006507E8">
            <w:pPr>
              <w:pStyle w:val="StyleWisnow"/>
              <w:rPr>
                <w:color w:val="000000" w:themeColor="text1"/>
              </w:rPr>
            </w:pPr>
          </w:p>
        </w:tc>
        <w:tc>
          <w:tcPr>
            <w:tcW w:w="4818" w:type="dxa"/>
          </w:tcPr>
          <w:p w14:paraId="305F624D" w14:textId="633ED4F4" w:rsidR="006507E8" w:rsidRPr="00286216" w:rsidRDefault="006507E8" w:rsidP="006507E8">
            <w:pPr>
              <w:pStyle w:val="StyleZakonu"/>
              <w:rPr>
                <w:color w:val="000000" w:themeColor="text1"/>
              </w:rPr>
            </w:pPr>
            <w:r w:rsidRPr="00286216">
              <w:rPr>
                <w:color w:val="000000" w:themeColor="text1"/>
              </w:rPr>
              <w:t>б) акції, в які конвертуються інші цінні папери, вже допущені до торгів на регульованому фондовому ринку цього оператора регульованого ринку;</w:t>
            </w:r>
          </w:p>
        </w:tc>
      </w:tr>
      <w:tr w:rsidR="006507E8" w:rsidRPr="00286216" w14:paraId="0129B242" w14:textId="77777777" w:rsidTr="00091AA5">
        <w:tc>
          <w:tcPr>
            <w:tcW w:w="576" w:type="dxa"/>
          </w:tcPr>
          <w:p w14:paraId="13B6203B" w14:textId="77777777" w:rsidR="006507E8" w:rsidRPr="00286216" w:rsidRDefault="006507E8" w:rsidP="006507E8">
            <w:pPr>
              <w:pStyle w:val="StyleWisnow"/>
              <w:rPr>
                <w:color w:val="000000" w:themeColor="text1"/>
              </w:rPr>
            </w:pPr>
            <w:bookmarkStart w:id="1337" w:name="n1597" w:colFirst="0" w:colLast="0"/>
            <w:bookmarkEnd w:id="1336"/>
            <w:r w:rsidRPr="00286216">
              <w:rPr>
                <w:color w:val="000000" w:themeColor="text1"/>
              </w:rPr>
              <w:t>1597.</w:t>
            </w:r>
          </w:p>
        </w:tc>
        <w:tc>
          <w:tcPr>
            <w:tcW w:w="4818" w:type="dxa"/>
          </w:tcPr>
          <w:p w14:paraId="4CFF412A" w14:textId="77777777" w:rsidR="006507E8" w:rsidRPr="00286216" w:rsidRDefault="006507E8" w:rsidP="006507E8">
            <w:pPr>
              <w:pStyle w:val="StyleZakonu"/>
              <w:rPr>
                <w:color w:val="000000" w:themeColor="text1"/>
              </w:rPr>
            </w:pPr>
            <w:r w:rsidRPr="00286216">
              <w:rPr>
                <w:color w:val="000000" w:themeColor="text1"/>
              </w:rPr>
              <w:t>в) загальна кількість акцій, конвертованих з інших цінних паперів, не перевищує 20 відсотків загальної кількості акцій тих самих виду та класу, що допущені до торгів на регульованому фондовому ринку цього оператора регульованого ринку протягом останніх 12 місяців;</w:t>
            </w:r>
          </w:p>
        </w:tc>
        <w:tc>
          <w:tcPr>
            <w:tcW w:w="3686" w:type="dxa"/>
          </w:tcPr>
          <w:p w14:paraId="7773B7E7" w14:textId="77777777" w:rsidR="006507E8" w:rsidRPr="00286216" w:rsidRDefault="006507E8" w:rsidP="006507E8">
            <w:pPr>
              <w:pStyle w:val="StyleProp"/>
              <w:rPr>
                <w:color w:val="000000" w:themeColor="text1"/>
                <w:szCs w:val="18"/>
              </w:rPr>
            </w:pPr>
          </w:p>
        </w:tc>
        <w:tc>
          <w:tcPr>
            <w:tcW w:w="1987" w:type="dxa"/>
          </w:tcPr>
          <w:p w14:paraId="2D631C58" w14:textId="77777777" w:rsidR="006507E8" w:rsidRPr="00286216" w:rsidRDefault="006507E8" w:rsidP="006507E8">
            <w:pPr>
              <w:pStyle w:val="StyleWisnow"/>
              <w:rPr>
                <w:color w:val="000000" w:themeColor="text1"/>
              </w:rPr>
            </w:pPr>
          </w:p>
        </w:tc>
        <w:tc>
          <w:tcPr>
            <w:tcW w:w="4818" w:type="dxa"/>
          </w:tcPr>
          <w:p w14:paraId="4E432686" w14:textId="501C8E86" w:rsidR="006507E8" w:rsidRPr="00286216" w:rsidRDefault="006507E8" w:rsidP="006507E8">
            <w:pPr>
              <w:pStyle w:val="StyleZakonu"/>
              <w:rPr>
                <w:color w:val="000000" w:themeColor="text1"/>
              </w:rPr>
            </w:pPr>
            <w:r w:rsidRPr="00286216">
              <w:rPr>
                <w:color w:val="000000" w:themeColor="text1"/>
              </w:rPr>
              <w:t>в) загальна кількість акцій, конвертованих з інших цінних паперів, не перевищує 20 відсотків загальної кількості акцій тих самих виду та класу, що допущені до торгів на регульованому фондовому ринку цього оператора регульованого ринку протягом останніх 12 місяців;</w:t>
            </w:r>
          </w:p>
        </w:tc>
      </w:tr>
      <w:tr w:rsidR="006507E8" w:rsidRPr="00286216" w14:paraId="39AC9B19" w14:textId="77777777" w:rsidTr="00091AA5">
        <w:tc>
          <w:tcPr>
            <w:tcW w:w="576" w:type="dxa"/>
          </w:tcPr>
          <w:p w14:paraId="37A83DB5" w14:textId="77777777" w:rsidR="006507E8" w:rsidRPr="00286216" w:rsidRDefault="006507E8" w:rsidP="006507E8">
            <w:pPr>
              <w:pStyle w:val="StyleWisnow"/>
              <w:rPr>
                <w:color w:val="000000" w:themeColor="text1"/>
              </w:rPr>
            </w:pPr>
            <w:bookmarkStart w:id="1338" w:name="n1598" w:colFirst="0" w:colLast="0"/>
            <w:bookmarkEnd w:id="1337"/>
            <w:r w:rsidRPr="00286216">
              <w:rPr>
                <w:color w:val="000000" w:themeColor="text1"/>
              </w:rPr>
              <w:t>1598.</w:t>
            </w:r>
          </w:p>
        </w:tc>
        <w:tc>
          <w:tcPr>
            <w:tcW w:w="4818" w:type="dxa"/>
          </w:tcPr>
          <w:p w14:paraId="4C541748" w14:textId="77777777" w:rsidR="006507E8" w:rsidRPr="00286216" w:rsidRDefault="006507E8" w:rsidP="006507E8">
            <w:pPr>
              <w:pStyle w:val="StyleZakonu"/>
              <w:rPr>
                <w:color w:val="000000" w:themeColor="text1"/>
              </w:rPr>
            </w:pPr>
            <w:r w:rsidRPr="00286216">
              <w:rPr>
                <w:color w:val="000000" w:themeColor="text1"/>
              </w:rPr>
              <w:t>12) подано заявку про допуск цінних паперів до торгів на регульованому фондовому ринку за результатами конвертації цінних паперів, за умови що конвертація здійснена у процесі відновлення платоспроможності фінансової установи в установленому законодавством порядку;</w:t>
            </w:r>
          </w:p>
        </w:tc>
        <w:tc>
          <w:tcPr>
            <w:tcW w:w="3686" w:type="dxa"/>
          </w:tcPr>
          <w:p w14:paraId="510DF1E2" w14:textId="77777777" w:rsidR="006507E8" w:rsidRPr="00286216" w:rsidRDefault="006507E8" w:rsidP="006507E8">
            <w:pPr>
              <w:pStyle w:val="StyleProp"/>
              <w:rPr>
                <w:color w:val="000000" w:themeColor="text1"/>
                <w:szCs w:val="18"/>
              </w:rPr>
            </w:pPr>
          </w:p>
        </w:tc>
        <w:tc>
          <w:tcPr>
            <w:tcW w:w="1987" w:type="dxa"/>
          </w:tcPr>
          <w:p w14:paraId="1F0544F1" w14:textId="77777777" w:rsidR="006507E8" w:rsidRPr="00286216" w:rsidRDefault="006507E8" w:rsidP="006507E8">
            <w:pPr>
              <w:pStyle w:val="StyleWisnow"/>
              <w:rPr>
                <w:color w:val="000000" w:themeColor="text1"/>
              </w:rPr>
            </w:pPr>
          </w:p>
        </w:tc>
        <w:tc>
          <w:tcPr>
            <w:tcW w:w="4818" w:type="dxa"/>
          </w:tcPr>
          <w:p w14:paraId="2832A339" w14:textId="4622BA32" w:rsidR="006507E8" w:rsidRPr="00286216" w:rsidRDefault="006507E8" w:rsidP="006507E8">
            <w:pPr>
              <w:pStyle w:val="StyleZakonu"/>
              <w:rPr>
                <w:color w:val="000000" w:themeColor="text1"/>
              </w:rPr>
            </w:pPr>
            <w:r w:rsidRPr="00286216">
              <w:rPr>
                <w:color w:val="000000" w:themeColor="text1"/>
              </w:rPr>
              <w:t>12) подано заявку про допуск цінних паперів до торгів на регульованому фондовому ринку за результатами конвертації цінних паперів, за умови що конвертація здійснена у процесі відновлення платоспроможності фінансової установи в установленому законодавством порядку;</w:t>
            </w:r>
          </w:p>
        </w:tc>
      </w:tr>
      <w:tr w:rsidR="006507E8" w:rsidRPr="00286216" w14:paraId="094F8375" w14:textId="77777777" w:rsidTr="00091AA5">
        <w:tc>
          <w:tcPr>
            <w:tcW w:w="576" w:type="dxa"/>
          </w:tcPr>
          <w:p w14:paraId="2DC6DC4F" w14:textId="77777777" w:rsidR="006507E8" w:rsidRPr="00286216" w:rsidRDefault="006507E8" w:rsidP="006507E8">
            <w:pPr>
              <w:pStyle w:val="StyleWisnow"/>
              <w:rPr>
                <w:color w:val="000000" w:themeColor="text1"/>
              </w:rPr>
            </w:pPr>
            <w:bookmarkStart w:id="1339" w:name="n1599" w:colFirst="0" w:colLast="0"/>
            <w:bookmarkEnd w:id="1338"/>
            <w:r w:rsidRPr="00286216">
              <w:rPr>
                <w:color w:val="000000" w:themeColor="text1"/>
              </w:rPr>
              <w:t>1599.</w:t>
            </w:r>
          </w:p>
        </w:tc>
        <w:tc>
          <w:tcPr>
            <w:tcW w:w="4818" w:type="dxa"/>
          </w:tcPr>
          <w:p w14:paraId="40FE8E74" w14:textId="77777777" w:rsidR="006507E8" w:rsidRPr="00286216" w:rsidRDefault="006507E8" w:rsidP="006507E8">
            <w:pPr>
              <w:pStyle w:val="StyleZakonu"/>
              <w:rPr>
                <w:color w:val="000000" w:themeColor="text1"/>
              </w:rPr>
            </w:pPr>
            <w:r w:rsidRPr="00286216">
              <w:rPr>
                <w:color w:val="000000" w:themeColor="text1"/>
              </w:rPr>
              <w:t>13) подано заявку про допуск цінних паперів до торгів на регульованому фондовому ринку щодо цінних паперів, вже допущених до торгів на регульованому фондовому ринку іншого оператора регульованого ринку, за умови дотримання всіх таких вимог:</w:t>
            </w:r>
          </w:p>
        </w:tc>
        <w:tc>
          <w:tcPr>
            <w:tcW w:w="3686" w:type="dxa"/>
          </w:tcPr>
          <w:p w14:paraId="00ABC41F" w14:textId="77777777" w:rsidR="006507E8" w:rsidRPr="00286216" w:rsidRDefault="006507E8" w:rsidP="006507E8">
            <w:pPr>
              <w:pStyle w:val="StyleProp"/>
              <w:rPr>
                <w:color w:val="000000" w:themeColor="text1"/>
                <w:szCs w:val="18"/>
              </w:rPr>
            </w:pPr>
          </w:p>
        </w:tc>
        <w:tc>
          <w:tcPr>
            <w:tcW w:w="1987" w:type="dxa"/>
          </w:tcPr>
          <w:p w14:paraId="588F93C8" w14:textId="77777777" w:rsidR="006507E8" w:rsidRPr="00286216" w:rsidRDefault="006507E8" w:rsidP="006507E8">
            <w:pPr>
              <w:pStyle w:val="StyleWisnow"/>
              <w:rPr>
                <w:color w:val="000000" w:themeColor="text1"/>
              </w:rPr>
            </w:pPr>
          </w:p>
        </w:tc>
        <w:tc>
          <w:tcPr>
            <w:tcW w:w="4818" w:type="dxa"/>
          </w:tcPr>
          <w:p w14:paraId="1725342E" w14:textId="71F17034" w:rsidR="006507E8" w:rsidRPr="00286216" w:rsidRDefault="006507E8" w:rsidP="006507E8">
            <w:pPr>
              <w:pStyle w:val="StyleZakonu"/>
              <w:rPr>
                <w:color w:val="000000" w:themeColor="text1"/>
              </w:rPr>
            </w:pPr>
            <w:r w:rsidRPr="00286216">
              <w:rPr>
                <w:color w:val="000000" w:themeColor="text1"/>
              </w:rPr>
              <w:t>13) подано заявку про допуск цінних паперів до торгів на регульованому фондовому ринку щодо цінних паперів, вже допущених до торгів на регульованому фондовому ринку іншого оператора регульованого ринку, за умови дотримання всіх таких вимог:</w:t>
            </w:r>
          </w:p>
        </w:tc>
      </w:tr>
      <w:tr w:rsidR="006507E8" w:rsidRPr="00286216" w14:paraId="1149F7EB" w14:textId="77777777" w:rsidTr="00091AA5">
        <w:tc>
          <w:tcPr>
            <w:tcW w:w="576" w:type="dxa"/>
          </w:tcPr>
          <w:p w14:paraId="4A72E290" w14:textId="77777777" w:rsidR="006507E8" w:rsidRPr="00286216" w:rsidRDefault="006507E8" w:rsidP="006507E8">
            <w:pPr>
              <w:pStyle w:val="StyleWisnow"/>
              <w:rPr>
                <w:color w:val="000000" w:themeColor="text1"/>
              </w:rPr>
            </w:pPr>
            <w:bookmarkStart w:id="1340" w:name="n1600" w:colFirst="0" w:colLast="0"/>
            <w:bookmarkEnd w:id="1339"/>
            <w:r w:rsidRPr="00286216">
              <w:rPr>
                <w:color w:val="000000" w:themeColor="text1"/>
              </w:rPr>
              <w:lastRenderedPageBreak/>
              <w:t>1600.</w:t>
            </w:r>
          </w:p>
        </w:tc>
        <w:tc>
          <w:tcPr>
            <w:tcW w:w="4818" w:type="dxa"/>
          </w:tcPr>
          <w:p w14:paraId="346A9DF5" w14:textId="77777777" w:rsidR="006507E8" w:rsidRPr="00286216" w:rsidRDefault="006507E8" w:rsidP="006507E8">
            <w:pPr>
              <w:pStyle w:val="StyleZakonu"/>
              <w:rPr>
                <w:color w:val="000000" w:themeColor="text1"/>
              </w:rPr>
            </w:pPr>
            <w:r w:rsidRPr="00286216">
              <w:rPr>
                <w:color w:val="000000" w:themeColor="text1"/>
              </w:rPr>
              <w:t>а) такі цінні папери допущені до торгів на регульованому фондовому ринку іншого оператора регульованого ринку більше ніж 18 місяців;</w:t>
            </w:r>
          </w:p>
        </w:tc>
        <w:tc>
          <w:tcPr>
            <w:tcW w:w="3686" w:type="dxa"/>
          </w:tcPr>
          <w:p w14:paraId="793A8C34" w14:textId="77777777" w:rsidR="006507E8" w:rsidRPr="00286216" w:rsidRDefault="006507E8" w:rsidP="006507E8">
            <w:pPr>
              <w:pStyle w:val="StyleProp"/>
              <w:rPr>
                <w:color w:val="000000" w:themeColor="text1"/>
                <w:szCs w:val="18"/>
              </w:rPr>
            </w:pPr>
          </w:p>
        </w:tc>
        <w:tc>
          <w:tcPr>
            <w:tcW w:w="1987" w:type="dxa"/>
          </w:tcPr>
          <w:p w14:paraId="56219CAD" w14:textId="77777777" w:rsidR="006507E8" w:rsidRPr="00286216" w:rsidRDefault="006507E8" w:rsidP="006507E8">
            <w:pPr>
              <w:pStyle w:val="StyleWisnow"/>
              <w:rPr>
                <w:color w:val="000000" w:themeColor="text1"/>
              </w:rPr>
            </w:pPr>
          </w:p>
        </w:tc>
        <w:tc>
          <w:tcPr>
            <w:tcW w:w="4818" w:type="dxa"/>
          </w:tcPr>
          <w:p w14:paraId="6284875D" w14:textId="4CFE651B" w:rsidR="006507E8" w:rsidRPr="00286216" w:rsidRDefault="006507E8" w:rsidP="006507E8">
            <w:pPr>
              <w:pStyle w:val="StyleZakonu"/>
              <w:rPr>
                <w:color w:val="000000" w:themeColor="text1"/>
              </w:rPr>
            </w:pPr>
            <w:r w:rsidRPr="00286216">
              <w:rPr>
                <w:color w:val="000000" w:themeColor="text1"/>
              </w:rPr>
              <w:t>а) такі цінні папери допущені до торгів на регульованому фондовому ринку іншого оператора регульованого ринку більше ніж 18 місяців;</w:t>
            </w:r>
          </w:p>
        </w:tc>
      </w:tr>
      <w:tr w:rsidR="006507E8" w:rsidRPr="00286216" w14:paraId="4318549F" w14:textId="77777777" w:rsidTr="00091AA5">
        <w:tc>
          <w:tcPr>
            <w:tcW w:w="576" w:type="dxa"/>
          </w:tcPr>
          <w:p w14:paraId="5DB8B2E2" w14:textId="77777777" w:rsidR="006507E8" w:rsidRPr="00286216" w:rsidRDefault="006507E8" w:rsidP="006507E8">
            <w:pPr>
              <w:pStyle w:val="StyleWisnow"/>
              <w:rPr>
                <w:color w:val="000000" w:themeColor="text1"/>
              </w:rPr>
            </w:pPr>
            <w:bookmarkStart w:id="1341" w:name="n1601" w:colFirst="0" w:colLast="0"/>
            <w:bookmarkEnd w:id="1340"/>
            <w:r w:rsidRPr="00286216">
              <w:rPr>
                <w:color w:val="000000" w:themeColor="text1"/>
              </w:rPr>
              <w:t>1601.</w:t>
            </w:r>
          </w:p>
        </w:tc>
        <w:tc>
          <w:tcPr>
            <w:tcW w:w="4818" w:type="dxa"/>
          </w:tcPr>
          <w:p w14:paraId="11B37101" w14:textId="77777777" w:rsidR="006507E8" w:rsidRPr="00286216" w:rsidRDefault="006507E8" w:rsidP="006507E8">
            <w:pPr>
              <w:pStyle w:val="StyleZakonu"/>
              <w:rPr>
                <w:color w:val="000000" w:themeColor="text1"/>
              </w:rPr>
            </w:pPr>
            <w:r w:rsidRPr="00286216">
              <w:rPr>
                <w:color w:val="000000" w:themeColor="text1"/>
              </w:rPr>
              <w:t>б) такі цінні папери допущені до торгів на регульованому фондовому ринку іншого оператора регульованого ринку на підставі проспекту, оприлюдненого відповідно до вимог частини п’ятої статті 102 цього Закону;</w:t>
            </w:r>
          </w:p>
        </w:tc>
        <w:tc>
          <w:tcPr>
            <w:tcW w:w="3686" w:type="dxa"/>
          </w:tcPr>
          <w:p w14:paraId="2C02F23B" w14:textId="77777777" w:rsidR="006507E8" w:rsidRPr="00286216" w:rsidRDefault="006507E8" w:rsidP="006507E8">
            <w:pPr>
              <w:pStyle w:val="StyleProp"/>
              <w:rPr>
                <w:color w:val="000000" w:themeColor="text1"/>
                <w:szCs w:val="18"/>
              </w:rPr>
            </w:pPr>
          </w:p>
        </w:tc>
        <w:tc>
          <w:tcPr>
            <w:tcW w:w="1987" w:type="dxa"/>
          </w:tcPr>
          <w:p w14:paraId="08138420" w14:textId="77777777" w:rsidR="006507E8" w:rsidRPr="00286216" w:rsidRDefault="006507E8" w:rsidP="006507E8">
            <w:pPr>
              <w:pStyle w:val="StyleWisnow"/>
              <w:rPr>
                <w:color w:val="000000" w:themeColor="text1"/>
              </w:rPr>
            </w:pPr>
          </w:p>
        </w:tc>
        <w:tc>
          <w:tcPr>
            <w:tcW w:w="4818" w:type="dxa"/>
          </w:tcPr>
          <w:p w14:paraId="6FC06610" w14:textId="10A69AB7" w:rsidR="006507E8" w:rsidRPr="00286216" w:rsidRDefault="006507E8" w:rsidP="006507E8">
            <w:pPr>
              <w:pStyle w:val="StyleZakonu"/>
              <w:rPr>
                <w:color w:val="000000" w:themeColor="text1"/>
              </w:rPr>
            </w:pPr>
            <w:r w:rsidRPr="00286216">
              <w:rPr>
                <w:color w:val="000000" w:themeColor="text1"/>
              </w:rPr>
              <w:t>б) такі цінні папери допущені до торгів на регульованому фондовому ринку іншого оператора регульованого ринку на підставі проспекту, оприлюдненого відповідно до вимог частини п’ятої статті 106 цього Закону;</w:t>
            </w:r>
          </w:p>
        </w:tc>
      </w:tr>
      <w:tr w:rsidR="006507E8" w:rsidRPr="00286216" w14:paraId="1A971BEC" w14:textId="77777777" w:rsidTr="00091AA5">
        <w:tc>
          <w:tcPr>
            <w:tcW w:w="576" w:type="dxa"/>
          </w:tcPr>
          <w:p w14:paraId="17732551" w14:textId="77777777" w:rsidR="006507E8" w:rsidRPr="00286216" w:rsidRDefault="006507E8" w:rsidP="006507E8">
            <w:pPr>
              <w:pStyle w:val="StyleWisnow"/>
              <w:rPr>
                <w:color w:val="000000" w:themeColor="text1"/>
              </w:rPr>
            </w:pPr>
            <w:bookmarkStart w:id="1342" w:name="n1602" w:colFirst="0" w:colLast="0"/>
            <w:bookmarkEnd w:id="1341"/>
            <w:r w:rsidRPr="00286216">
              <w:rPr>
                <w:color w:val="000000" w:themeColor="text1"/>
              </w:rPr>
              <w:t>1602.</w:t>
            </w:r>
          </w:p>
        </w:tc>
        <w:tc>
          <w:tcPr>
            <w:tcW w:w="4818" w:type="dxa"/>
          </w:tcPr>
          <w:p w14:paraId="376B47D4" w14:textId="77777777" w:rsidR="006507E8" w:rsidRPr="00286216" w:rsidRDefault="006507E8" w:rsidP="006507E8">
            <w:pPr>
              <w:pStyle w:val="StyleZakonu"/>
              <w:rPr>
                <w:color w:val="000000" w:themeColor="text1"/>
              </w:rPr>
            </w:pPr>
            <w:r w:rsidRPr="00286216">
              <w:rPr>
                <w:color w:val="000000" w:themeColor="text1"/>
              </w:rPr>
              <w:t>в) проведення регулярних торгів такими цінними паперами на іншому регульованому фондовому ринку;</w:t>
            </w:r>
          </w:p>
        </w:tc>
        <w:tc>
          <w:tcPr>
            <w:tcW w:w="3686" w:type="dxa"/>
          </w:tcPr>
          <w:p w14:paraId="29AF5AB9" w14:textId="77777777" w:rsidR="006507E8" w:rsidRPr="00286216" w:rsidRDefault="006507E8" w:rsidP="006507E8">
            <w:pPr>
              <w:pStyle w:val="StyleProp"/>
              <w:rPr>
                <w:color w:val="000000" w:themeColor="text1"/>
                <w:szCs w:val="18"/>
              </w:rPr>
            </w:pPr>
          </w:p>
        </w:tc>
        <w:tc>
          <w:tcPr>
            <w:tcW w:w="1987" w:type="dxa"/>
          </w:tcPr>
          <w:p w14:paraId="4738225B" w14:textId="77777777" w:rsidR="006507E8" w:rsidRPr="00286216" w:rsidRDefault="006507E8" w:rsidP="006507E8">
            <w:pPr>
              <w:pStyle w:val="StyleWisnow"/>
              <w:rPr>
                <w:color w:val="000000" w:themeColor="text1"/>
              </w:rPr>
            </w:pPr>
          </w:p>
        </w:tc>
        <w:tc>
          <w:tcPr>
            <w:tcW w:w="4818" w:type="dxa"/>
          </w:tcPr>
          <w:p w14:paraId="4F8ACAE9" w14:textId="6552DC03" w:rsidR="006507E8" w:rsidRPr="00286216" w:rsidRDefault="006507E8" w:rsidP="006507E8">
            <w:pPr>
              <w:pStyle w:val="StyleZakonu"/>
              <w:rPr>
                <w:color w:val="000000" w:themeColor="text1"/>
              </w:rPr>
            </w:pPr>
            <w:r w:rsidRPr="00286216">
              <w:rPr>
                <w:color w:val="000000" w:themeColor="text1"/>
              </w:rPr>
              <w:t>в) проведення регулярних торгів такими цінними паперами на іншому регульованому фондовому ринку;</w:t>
            </w:r>
          </w:p>
        </w:tc>
      </w:tr>
      <w:tr w:rsidR="006507E8" w:rsidRPr="00286216" w14:paraId="17D8B494" w14:textId="77777777" w:rsidTr="00091AA5">
        <w:tc>
          <w:tcPr>
            <w:tcW w:w="576" w:type="dxa"/>
          </w:tcPr>
          <w:p w14:paraId="3216E6F4" w14:textId="77777777" w:rsidR="006507E8" w:rsidRPr="00286216" w:rsidRDefault="006507E8" w:rsidP="006507E8">
            <w:pPr>
              <w:pStyle w:val="StyleWisnow"/>
              <w:rPr>
                <w:color w:val="000000" w:themeColor="text1"/>
              </w:rPr>
            </w:pPr>
            <w:bookmarkStart w:id="1343" w:name="n1603" w:colFirst="0" w:colLast="0"/>
            <w:bookmarkEnd w:id="1342"/>
            <w:r w:rsidRPr="00286216">
              <w:rPr>
                <w:color w:val="000000" w:themeColor="text1"/>
              </w:rPr>
              <w:t>1603.</w:t>
            </w:r>
          </w:p>
        </w:tc>
        <w:tc>
          <w:tcPr>
            <w:tcW w:w="4818" w:type="dxa"/>
          </w:tcPr>
          <w:p w14:paraId="33A6FDA7" w14:textId="77777777" w:rsidR="006507E8" w:rsidRPr="00286216" w:rsidRDefault="006507E8" w:rsidP="006507E8">
            <w:pPr>
              <w:pStyle w:val="StyleZakonu"/>
              <w:rPr>
                <w:color w:val="000000" w:themeColor="text1"/>
              </w:rPr>
            </w:pPr>
            <w:r w:rsidRPr="00286216">
              <w:rPr>
                <w:color w:val="000000" w:themeColor="text1"/>
              </w:rPr>
              <w:t>г) оприлюднення особою, яка подала заявку про допуск таких цінних паперів до торгів на регульованому фондовому ринку, державною мовою України та відповідно до вимог частини п’ятої статті 102 цього Закону документа про такі цінні папери, складеного відповідно до вимог Національної комісії з цінних паперів та фондового ринку щодо його змісту та розміру.</w:t>
            </w:r>
          </w:p>
        </w:tc>
        <w:tc>
          <w:tcPr>
            <w:tcW w:w="3686" w:type="dxa"/>
          </w:tcPr>
          <w:p w14:paraId="285DAF6F" w14:textId="77777777" w:rsidR="006507E8" w:rsidRPr="00286216" w:rsidRDefault="006507E8" w:rsidP="006507E8">
            <w:pPr>
              <w:pStyle w:val="StyleProp"/>
              <w:rPr>
                <w:color w:val="000000" w:themeColor="text1"/>
                <w:szCs w:val="18"/>
              </w:rPr>
            </w:pPr>
          </w:p>
        </w:tc>
        <w:tc>
          <w:tcPr>
            <w:tcW w:w="1987" w:type="dxa"/>
          </w:tcPr>
          <w:p w14:paraId="2D1FFEE8" w14:textId="77777777" w:rsidR="006507E8" w:rsidRPr="00286216" w:rsidRDefault="006507E8" w:rsidP="006507E8">
            <w:pPr>
              <w:pStyle w:val="StyleWisnow"/>
              <w:rPr>
                <w:color w:val="000000" w:themeColor="text1"/>
              </w:rPr>
            </w:pPr>
          </w:p>
        </w:tc>
        <w:tc>
          <w:tcPr>
            <w:tcW w:w="4818" w:type="dxa"/>
          </w:tcPr>
          <w:p w14:paraId="3F82CBFE" w14:textId="483AA373" w:rsidR="006507E8" w:rsidRPr="00286216" w:rsidRDefault="006507E8" w:rsidP="006507E8">
            <w:pPr>
              <w:pStyle w:val="StyleZakonu"/>
              <w:rPr>
                <w:color w:val="000000" w:themeColor="text1"/>
              </w:rPr>
            </w:pPr>
            <w:r w:rsidRPr="00286216">
              <w:rPr>
                <w:color w:val="000000" w:themeColor="text1"/>
              </w:rPr>
              <w:t>г) оприлюднення особою, яка подала заявку про допуск таких цінних паперів до торгів на регульованому фондовому ринку, державною мовою України та відповідно до вимог частини п’ятої статті 106 цього Закону документа про такі цінні папери, складеного відповідно до вимог Національної комісії з цінних паперів та фондового ринку щодо його змісту та розміру.</w:t>
            </w:r>
          </w:p>
        </w:tc>
      </w:tr>
      <w:tr w:rsidR="006507E8" w:rsidRPr="00286216" w14:paraId="1773941E" w14:textId="77777777" w:rsidTr="00091AA5">
        <w:tc>
          <w:tcPr>
            <w:tcW w:w="576" w:type="dxa"/>
          </w:tcPr>
          <w:p w14:paraId="6F945B6B" w14:textId="77777777" w:rsidR="006507E8" w:rsidRPr="00286216" w:rsidRDefault="006507E8" w:rsidP="006507E8">
            <w:pPr>
              <w:pStyle w:val="StyleWisnow"/>
              <w:rPr>
                <w:color w:val="000000" w:themeColor="text1"/>
              </w:rPr>
            </w:pPr>
            <w:bookmarkStart w:id="1344" w:name="n1604" w:colFirst="0" w:colLast="0"/>
            <w:bookmarkEnd w:id="1343"/>
            <w:r w:rsidRPr="00286216">
              <w:rPr>
                <w:color w:val="000000" w:themeColor="text1"/>
              </w:rPr>
              <w:t>1604.</w:t>
            </w:r>
          </w:p>
        </w:tc>
        <w:tc>
          <w:tcPr>
            <w:tcW w:w="4818" w:type="dxa"/>
          </w:tcPr>
          <w:p w14:paraId="298406EB" w14:textId="77777777" w:rsidR="006507E8" w:rsidRPr="00286216" w:rsidRDefault="006507E8" w:rsidP="006507E8">
            <w:pPr>
              <w:pStyle w:val="StyleZakonu"/>
              <w:rPr>
                <w:color w:val="000000" w:themeColor="text1"/>
              </w:rPr>
            </w:pPr>
            <w:r w:rsidRPr="00286216">
              <w:rPr>
                <w:color w:val="000000" w:themeColor="text1"/>
              </w:rPr>
              <w:t>Вимоги підпункту "в" пункту 11 цієї частини не застосовуються в будь-якому з таких випадків:</w:t>
            </w:r>
          </w:p>
        </w:tc>
        <w:tc>
          <w:tcPr>
            <w:tcW w:w="3686" w:type="dxa"/>
          </w:tcPr>
          <w:p w14:paraId="490A2057" w14:textId="77777777" w:rsidR="006507E8" w:rsidRPr="00286216" w:rsidRDefault="006507E8" w:rsidP="006507E8">
            <w:pPr>
              <w:pStyle w:val="StyleProp"/>
              <w:rPr>
                <w:color w:val="000000" w:themeColor="text1"/>
                <w:szCs w:val="18"/>
              </w:rPr>
            </w:pPr>
          </w:p>
        </w:tc>
        <w:tc>
          <w:tcPr>
            <w:tcW w:w="1987" w:type="dxa"/>
          </w:tcPr>
          <w:p w14:paraId="24878193" w14:textId="77777777" w:rsidR="006507E8" w:rsidRPr="00286216" w:rsidRDefault="006507E8" w:rsidP="006507E8">
            <w:pPr>
              <w:pStyle w:val="StyleWisnow"/>
              <w:rPr>
                <w:color w:val="000000" w:themeColor="text1"/>
              </w:rPr>
            </w:pPr>
          </w:p>
        </w:tc>
        <w:tc>
          <w:tcPr>
            <w:tcW w:w="4818" w:type="dxa"/>
          </w:tcPr>
          <w:p w14:paraId="7D82A151" w14:textId="0A51B269" w:rsidR="006507E8" w:rsidRPr="00286216" w:rsidRDefault="006507E8" w:rsidP="006507E8">
            <w:pPr>
              <w:pStyle w:val="StyleZakonu"/>
              <w:rPr>
                <w:color w:val="000000" w:themeColor="text1"/>
              </w:rPr>
            </w:pPr>
            <w:r w:rsidRPr="00286216">
              <w:rPr>
                <w:color w:val="000000" w:themeColor="text1"/>
              </w:rPr>
              <w:t>Вимоги підпункту "в" пункту 11 цієї частини не застосовуються в будь-якому з таких випадків:</w:t>
            </w:r>
          </w:p>
        </w:tc>
      </w:tr>
      <w:tr w:rsidR="006507E8" w:rsidRPr="00286216" w14:paraId="5DBC2E3F" w14:textId="77777777" w:rsidTr="00091AA5">
        <w:tc>
          <w:tcPr>
            <w:tcW w:w="576" w:type="dxa"/>
          </w:tcPr>
          <w:p w14:paraId="480607C2" w14:textId="77777777" w:rsidR="006507E8" w:rsidRPr="00286216" w:rsidRDefault="006507E8" w:rsidP="006507E8">
            <w:pPr>
              <w:pStyle w:val="StyleWisnow"/>
              <w:rPr>
                <w:color w:val="000000" w:themeColor="text1"/>
              </w:rPr>
            </w:pPr>
            <w:bookmarkStart w:id="1345" w:name="n1605" w:colFirst="0" w:colLast="0"/>
            <w:bookmarkEnd w:id="1344"/>
            <w:r w:rsidRPr="00286216">
              <w:rPr>
                <w:color w:val="000000" w:themeColor="text1"/>
              </w:rPr>
              <w:t>1605.</w:t>
            </w:r>
          </w:p>
        </w:tc>
        <w:tc>
          <w:tcPr>
            <w:tcW w:w="4818" w:type="dxa"/>
          </w:tcPr>
          <w:p w14:paraId="2A64748B" w14:textId="77777777" w:rsidR="006507E8" w:rsidRPr="00286216" w:rsidRDefault="006507E8" w:rsidP="006507E8">
            <w:pPr>
              <w:pStyle w:val="StyleZakonu"/>
              <w:rPr>
                <w:color w:val="000000" w:themeColor="text1"/>
              </w:rPr>
            </w:pPr>
            <w:r w:rsidRPr="00286216">
              <w:rPr>
                <w:color w:val="000000" w:themeColor="text1"/>
              </w:rPr>
              <w:t>1) щодо цінних паперів, конвертованих в акції, оформлено та оприлюднено проспект відповідно до вимог цього Закону;</w:t>
            </w:r>
          </w:p>
        </w:tc>
        <w:tc>
          <w:tcPr>
            <w:tcW w:w="3686" w:type="dxa"/>
          </w:tcPr>
          <w:p w14:paraId="6AD7D4E1" w14:textId="77777777" w:rsidR="006507E8" w:rsidRPr="00286216" w:rsidRDefault="006507E8" w:rsidP="006507E8">
            <w:pPr>
              <w:pStyle w:val="StyleProp"/>
              <w:rPr>
                <w:color w:val="000000" w:themeColor="text1"/>
                <w:szCs w:val="18"/>
              </w:rPr>
            </w:pPr>
          </w:p>
        </w:tc>
        <w:tc>
          <w:tcPr>
            <w:tcW w:w="1987" w:type="dxa"/>
          </w:tcPr>
          <w:p w14:paraId="750EBA84" w14:textId="77777777" w:rsidR="006507E8" w:rsidRPr="00286216" w:rsidRDefault="006507E8" w:rsidP="006507E8">
            <w:pPr>
              <w:pStyle w:val="StyleWisnow"/>
              <w:rPr>
                <w:color w:val="000000" w:themeColor="text1"/>
              </w:rPr>
            </w:pPr>
          </w:p>
        </w:tc>
        <w:tc>
          <w:tcPr>
            <w:tcW w:w="4818" w:type="dxa"/>
          </w:tcPr>
          <w:p w14:paraId="511640AE" w14:textId="644E2845" w:rsidR="006507E8" w:rsidRPr="00286216" w:rsidRDefault="006507E8" w:rsidP="006507E8">
            <w:pPr>
              <w:pStyle w:val="StyleZakonu"/>
              <w:rPr>
                <w:color w:val="000000" w:themeColor="text1"/>
              </w:rPr>
            </w:pPr>
            <w:r w:rsidRPr="00286216">
              <w:rPr>
                <w:color w:val="000000" w:themeColor="text1"/>
              </w:rPr>
              <w:t>1) щодо цінних паперів, конвертованих в акції, оформлено та оприлюднено проспект відповідно до вимог цього Закону;</w:t>
            </w:r>
          </w:p>
        </w:tc>
      </w:tr>
      <w:tr w:rsidR="006507E8" w:rsidRPr="00286216" w14:paraId="2CDB00FD" w14:textId="77777777" w:rsidTr="00091AA5">
        <w:tc>
          <w:tcPr>
            <w:tcW w:w="576" w:type="dxa"/>
          </w:tcPr>
          <w:p w14:paraId="17471B54" w14:textId="77777777" w:rsidR="006507E8" w:rsidRPr="00286216" w:rsidRDefault="006507E8" w:rsidP="006507E8">
            <w:pPr>
              <w:pStyle w:val="StyleWisnow"/>
              <w:rPr>
                <w:color w:val="000000" w:themeColor="text1"/>
              </w:rPr>
            </w:pPr>
            <w:bookmarkStart w:id="1346" w:name="n1606" w:colFirst="0" w:colLast="0"/>
            <w:bookmarkEnd w:id="1345"/>
            <w:r w:rsidRPr="00286216">
              <w:rPr>
                <w:color w:val="000000" w:themeColor="text1"/>
              </w:rPr>
              <w:t>1606.</w:t>
            </w:r>
          </w:p>
        </w:tc>
        <w:tc>
          <w:tcPr>
            <w:tcW w:w="4818" w:type="dxa"/>
          </w:tcPr>
          <w:p w14:paraId="1DF02355" w14:textId="77777777" w:rsidR="006507E8" w:rsidRPr="00286216" w:rsidRDefault="006507E8" w:rsidP="006507E8">
            <w:pPr>
              <w:pStyle w:val="StyleZakonu"/>
              <w:rPr>
                <w:color w:val="000000" w:themeColor="text1"/>
              </w:rPr>
            </w:pPr>
            <w:r w:rsidRPr="00286216">
              <w:rPr>
                <w:color w:val="000000" w:themeColor="text1"/>
              </w:rPr>
              <w:t>2) емітентом акцій є фінансова установа, за умови що акції конвертовані нею з інших цінних паперів або інших зобов’язань у порядку та у випадках, встановлених органом, який здійснює державне регулювання ринків фінансових послуг, відповідно до повноважень, встановлених статтею 21 Закону України "Про фінансові послуги та державне регулювання ринків фінансових послуг".</w:t>
            </w:r>
          </w:p>
        </w:tc>
        <w:tc>
          <w:tcPr>
            <w:tcW w:w="3686" w:type="dxa"/>
          </w:tcPr>
          <w:p w14:paraId="2088481A" w14:textId="77777777" w:rsidR="006507E8" w:rsidRPr="00286216" w:rsidRDefault="006507E8" w:rsidP="006507E8">
            <w:pPr>
              <w:pStyle w:val="StyleProp"/>
              <w:rPr>
                <w:color w:val="000000" w:themeColor="text1"/>
                <w:szCs w:val="18"/>
              </w:rPr>
            </w:pPr>
          </w:p>
        </w:tc>
        <w:tc>
          <w:tcPr>
            <w:tcW w:w="1987" w:type="dxa"/>
          </w:tcPr>
          <w:p w14:paraId="2742C738" w14:textId="77777777" w:rsidR="006507E8" w:rsidRPr="00286216" w:rsidRDefault="006507E8" w:rsidP="006507E8">
            <w:pPr>
              <w:pStyle w:val="StyleWisnow"/>
              <w:rPr>
                <w:color w:val="000000" w:themeColor="text1"/>
              </w:rPr>
            </w:pPr>
          </w:p>
        </w:tc>
        <w:tc>
          <w:tcPr>
            <w:tcW w:w="4818" w:type="dxa"/>
          </w:tcPr>
          <w:p w14:paraId="47E1648B" w14:textId="336A4DE2" w:rsidR="006507E8" w:rsidRPr="00286216" w:rsidRDefault="006507E8" w:rsidP="006507E8">
            <w:pPr>
              <w:pStyle w:val="StyleZakonu"/>
              <w:rPr>
                <w:color w:val="000000" w:themeColor="text1"/>
              </w:rPr>
            </w:pPr>
            <w:r w:rsidRPr="00286216">
              <w:rPr>
                <w:color w:val="000000" w:themeColor="text1"/>
              </w:rPr>
              <w:t>2) емітентом акцій є фінансова установа, за умови що акції конвертовані нею з інших цінних паперів або інших зобов’язань у порядку та у випадках, встановлених органом, який здійснює державне регулювання ринків фінансових послуг, відповідно до повноважень, встановлених статтею 21 Закону України "Про фінансові послуги та державне регулювання ринків фінансових послуг".</w:t>
            </w:r>
          </w:p>
        </w:tc>
      </w:tr>
      <w:tr w:rsidR="006507E8" w:rsidRPr="00286216" w14:paraId="16549FDE" w14:textId="77777777" w:rsidTr="00091AA5">
        <w:tc>
          <w:tcPr>
            <w:tcW w:w="576" w:type="dxa"/>
          </w:tcPr>
          <w:p w14:paraId="68C1B13D" w14:textId="77777777" w:rsidR="006507E8" w:rsidRPr="00286216" w:rsidRDefault="006507E8" w:rsidP="006507E8">
            <w:pPr>
              <w:pStyle w:val="StyleWisnow"/>
              <w:rPr>
                <w:color w:val="000000" w:themeColor="text1"/>
              </w:rPr>
            </w:pPr>
            <w:bookmarkStart w:id="1347" w:name="n1607" w:colFirst="0" w:colLast="0"/>
            <w:bookmarkEnd w:id="1346"/>
            <w:r w:rsidRPr="00286216">
              <w:rPr>
                <w:color w:val="000000" w:themeColor="text1"/>
              </w:rPr>
              <w:t>1607.</w:t>
            </w:r>
          </w:p>
        </w:tc>
        <w:tc>
          <w:tcPr>
            <w:tcW w:w="4818" w:type="dxa"/>
          </w:tcPr>
          <w:p w14:paraId="69B96E5D" w14:textId="77777777" w:rsidR="006507E8" w:rsidRPr="00286216" w:rsidRDefault="006507E8" w:rsidP="006507E8">
            <w:pPr>
              <w:pStyle w:val="StyleZakonu"/>
              <w:rPr>
                <w:color w:val="000000" w:themeColor="text1"/>
              </w:rPr>
            </w:pPr>
            <w:r w:rsidRPr="00286216">
              <w:rPr>
                <w:color w:val="000000" w:themeColor="text1"/>
              </w:rPr>
              <w:t>5. Публічна пропозиція цінних паперів підлягає оприлюдненню у спосіб, передбачений частиною другою статті 98 цього Закону та строки, встановлені Національною комісією з цінних паперів та фондового ринку.</w:t>
            </w:r>
          </w:p>
        </w:tc>
        <w:tc>
          <w:tcPr>
            <w:tcW w:w="3686" w:type="dxa"/>
          </w:tcPr>
          <w:p w14:paraId="09CBD3A2" w14:textId="77777777" w:rsidR="006507E8" w:rsidRPr="00286216" w:rsidRDefault="006507E8" w:rsidP="006507E8">
            <w:pPr>
              <w:pStyle w:val="StyleProp"/>
              <w:rPr>
                <w:color w:val="000000" w:themeColor="text1"/>
                <w:szCs w:val="18"/>
              </w:rPr>
            </w:pPr>
          </w:p>
        </w:tc>
        <w:tc>
          <w:tcPr>
            <w:tcW w:w="1987" w:type="dxa"/>
          </w:tcPr>
          <w:p w14:paraId="6B82AC44" w14:textId="77777777" w:rsidR="006507E8" w:rsidRPr="00286216" w:rsidRDefault="006507E8" w:rsidP="006507E8">
            <w:pPr>
              <w:pStyle w:val="StyleWisnow"/>
              <w:rPr>
                <w:color w:val="000000" w:themeColor="text1"/>
              </w:rPr>
            </w:pPr>
          </w:p>
        </w:tc>
        <w:tc>
          <w:tcPr>
            <w:tcW w:w="4818" w:type="dxa"/>
          </w:tcPr>
          <w:p w14:paraId="0F17924F" w14:textId="32E2CA6B" w:rsidR="006507E8" w:rsidRPr="00286216" w:rsidRDefault="006507E8" w:rsidP="006507E8">
            <w:pPr>
              <w:pStyle w:val="StyleZakonu"/>
              <w:rPr>
                <w:color w:val="000000" w:themeColor="text1"/>
              </w:rPr>
            </w:pPr>
            <w:r w:rsidRPr="00286216">
              <w:rPr>
                <w:color w:val="000000" w:themeColor="text1"/>
              </w:rPr>
              <w:t>5. Публічна пропозиція цінних паперів підлягає оприлюдненню у спосіб, передбачений частиною другою статті 102 цього Закону, та строки, встановлені Національною комісією з цінних паперів та фондового ринку.</w:t>
            </w:r>
          </w:p>
        </w:tc>
      </w:tr>
      <w:tr w:rsidR="006507E8" w:rsidRPr="00286216" w14:paraId="6A8028BC" w14:textId="77777777" w:rsidTr="00091AA5">
        <w:tc>
          <w:tcPr>
            <w:tcW w:w="576" w:type="dxa"/>
          </w:tcPr>
          <w:p w14:paraId="4785BFD8" w14:textId="77777777" w:rsidR="006507E8" w:rsidRPr="00286216" w:rsidRDefault="006507E8" w:rsidP="006507E8">
            <w:pPr>
              <w:pStyle w:val="StyleWisnow"/>
              <w:rPr>
                <w:color w:val="000000" w:themeColor="text1"/>
              </w:rPr>
            </w:pPr>
            <w:bookmarkStart w:id="1348" w:name="n1608" w:colFirst="0" w:colLast="0"/>
            <w:bookmarkEnd w:id="1347"/>
            <w:r w:rsidRPr="00286216">
              <w:rPr>
                <w:color w:val="000000" w:themeColor="text1"/>
              </w:rPr>
              <w:t>1608.</w:t>
            </w:r>
          </w:p>
        </w:tc>
        <w:tc>
          <w:tcPr>
            <w:tcW w:w="4818" w:type="dxa"/>
          </w:tcPr>
          <w:p w14:paraId="711DA426" w14:textId="77777777" w:rsidR="006507E8" w:rsidRPr="00286216" w:rsidRDefault="006507E8" w:rsidP="006507E8">
            <w:pPr>
              <w:pStyle w:val="StyleZakonu"/>
              <w:rPr>
                <w:color w:val="000000" w:themeColor="text1"/>
              </w:rPr>
            </w:pPr>
            <w:bookmarkStart w:id="1349" w:name="_Ref16417100"/>
            <w:r w:rsidRPr="00286216">
              <w:rPr>
                <w:color w:val="000000" w:themeColor="text1"/>
              </w:rPr>
              <w:t>Стаття 94. Проспект цінних паперів</w:t>
            </w:r>
            <w:bookmarkEnd w:id="1349"/>
          </w:p>
        </w:tc>
        <w:tc>
          <w:tcPr>
            <w:tcW w:w="3686" w:type="dxa"/>
          </w:tcPr>
          <w:p w14:paraId="192F281D" w14:textId="77777777" w:rsidR="006507E8" w:rsidRPr="00286216" w:rsidRDefault="006507E8" w:rsidP="006507E8">
            <w:pPr>
              <w:pStyle w:val="StyleProp"/>
              <w:rPr>
                <w:color w:val="000000" w:themeColor="text1"/>
                <w:szCs w:val="18"/>
              </w:rPr>
            </w:pPr>
          </w:p>
        </w:tc>
        <w:tc>
          <w:tcPr>
            <w:tcW w:w="1987" w:type="dxa"/>
          </w:tcPr>
          <w:p w14:paraId="4122A000" w14:textId="77777777" w:rsidR="006507E8" w:rsidRPr="00286216" w:rsidRDefault="006507E8" w:rsidP="006507E8">
            <w:pPr>
              <w:pStyle w:val="StyleWisnow"/>
              <w:rPr>
                <w:color w:val="000000" w:themeColor="text1"/>
              </w:rPr>
            </w:pPr>
          </w:p>
        </w:tc>
        <w:tc>
          <w:tcPr>
            <w:tcW w:w="4818" w:type="dxa"/>
          </w:tcPr>
          <w:p w14:paraId="6860F411" w14:textId="56A15495" w:rsidR="006507E8" w:rsidRPr="00286216" w:rsidRDefault="006507E8" w:rsidP="006507E8">
            <w:pPr>
              <w:pStyle w:val="StyleZakonu"/>
              <w:rPr>
                <w:color w:val="000000" w:themeColor="text1"/>
              </w:rPr>
            </w:pPr>
            <w:r w:rsidRPr="00286216">
              <w:rPr>
                <w:color w:val="000000" w:themeColor="text1"/>
              </w:rPr>
              <w:t>Стаття 98. Проспект цінних паперів</w:t>
            </w:r>
          </w:p>
        </w:tc>
      </w:tr>
      <w:tr w:rsidR="006507E8" w:rsidRPr="00286216" w14:paraId="1DC701F7" w14:textId="77777777" w:rsidTr="00091AA5">
        <w:tc>
          <w:tcPr>
            <w:tcW w:w="576" w:type="dxa"/>
          </w:tcPr>
          <w:p w14:paraId="51A7981A" w14:textId="77777777" w:rsidR="006507E8" w:rsidRPr="00286216" w:rsidRDefault="006507E8" w:rsidP="006507E8">
            <w:pPr>
              <w:pStyle w:val="StyleWisnow"/>
              <w:rPr>
                <w:color w:val="000000" w:themeColor="text1"/>
              </w:rPr>
            </w:pPr>
            <w:bookmarkStart w:id="1350" w:name="n1609" w:colFirst="0" w:colLast="0"/>
            <w:bookmarkEnd w:id="1348"/>
            <w:r w:rsidRPr="00286216">
              <w:rPr>
                <w:color w:val="000000" w:themeColor="text1"/>
              </w:rPr>
              <w:t>1609.</w:t>
            </w:r>
          </w:p>
        </w:tc>
        <w:tc>
          <w:tcPr>
            <w:tcW w:w="4818" w:type="dxa"/>
          </w:tcPr>
          <w:p w14:paraId="2582F530" w14:textId="77777777" w:rsidR="006507E8" w:rsidRPr="00286216" w:rsidRDefault="006507E8" w:rsidP="006507E8">
            <w:pPr>
              <w:pStyle w:val="StyleZakonu"/>
              <w:rPr>
                <w:color w:val="000000" w:themeColor="text1"/>
              </w:rPr>
            </w:pPr>
            <w:r w:rsidRPr="00286216">
              <w:rPr>
                <w:color w:val="000000" w:themeColor="text1"/>
              </w:rPr>
              <w:t>1. Проспект оформлюється особою, яка здійснює публічну пропозицію (далі - особа, що оформлює проспект).</w:t>
            </w:r>
          </w:p>
        </w:tc>
        <w:tc>
          <w:tcPr>
            <w:tcW w:w="3686" w:type="dxa"/>
          </w:tcPr>
          <w:p w14:paraId="2C0500D0" w14:textId="77777777" w:rsidR="006507E8" w:rsidRPr="00286216" w:rsidRDefault="006507E8" w:rsidP="006507E8">
            <w:pPr>
              <w:pStyle w:val="StyleProp"/>
              <w:rPr>
                <w:color w:val="000000" w:themeColor="text1"/>
                <w:szCs w:val="18"/>
              </w:rPr>
            </w:pPr>
          </w:p>
        </w:tc>
        <w:tc>
          <w:tcPr>
            <w:tcW w:w="1987" w:type="dxa"/>
          </w:tcPr>
          <w:p w14:paraId="56FD0540" w14:textId="77777777" w:rsidR="006507E8" w:rsidRPr="00286216" w:rsidRDefault="006507E8" w:rsidP="006507E8">
            <w:pPr>
              <w:pStyle w:val="StyleWisnow"/>
              <w:rPr>
                <w:color w:val="000000" w:themeColor="text1"/>
              </w:rPr>
            </w:pPr>
          </w:p>
        </w:tc>
        <w:tc>
          <w:tcPr>
            <w:tcW w:w="4818" w:type="dxa"/>
          </w:tcPr>
          <w:p w14:paraId="43BF5259" w14:textId="7D05755D" w:rsidR="006507E8" w:rsidRPr="00286216" w:rsidRDefault="006507E8" w:rsidP="006507E8">
            <w:pPr>
              <w:pStyle w:val="StyleZakonu"/>
              <w:rPr>
                <w:color w:val="000000" w:themeColor="text1"/>
              </w:rPr>
            </w:pPr>
            <w:r w:rsidRPr="00286216">
              <w:rPr>
                <w:color w:val="000000" w:themeColor="text1"/>
              </w:rPr>
              <w:t>1. Проспект оформлюється особою, яка здійснює публічну пропозицію (далі - особа, що оформлює проспект).</w:t>
            </w:r>
          </w:p>
        </w:tc>
      </w:tr>
      <w:tr w:rsidR="006507E8" w:rsidRPr="00286216" w14:paraId="3A64E092" w14:textId="77777777" w:rsidTr="00091AA5">
        <w:tc>
          <w:tcPr>
            <w:tcW w:w="576" w:type="dxa"/>
          </w:tcPr>
          <w:p w14:paraId="76A32E34" w14:textId="77777777" w:rsidR="006507E8" w:rsidRPr="00286216" w:rsidRDefault="006507E8" w:rsidP="006507E8">
            <w:pPr>
              <w:pStyle w:val="StyleWisnow"/>
              <w:rPr>
                <w:color w:val="000000" w:themeColor="text1"/>
              </w:rPr>
            </w:pPr>
            <w:bookmarkStart w:id="1351" w:name="n1610" w:colFirst="0" w:colLast="0"/>
            <w:bookmarkEnd w:id="1350"/>
            <w:r w:rsidRPr="00286216">
              <w:rPr>
                <w:color w:val="000000" w:themeColor="text1"/>
              </w:rPr>
              <w:t>1610.</w:t>
            </w:r>
          </w:p>
        </w:tc>
        <w:tc>
          <w:tcPr>
            <w:tcW w:w="4818" w:type="dxa"/>
          </w:tcPr>
          <w:p w14:paraId="6D307A0C" w14:textId="77777777" w:rsidR="006507E8" w:rsidRPr="00286216" w:rsidRDefault="006507E8" w:rsidP="006507E8">
            <w:pPr>
              <w:pStyle w:val="StyleZakonu"/>
              <w:rPr>
                <w:color w:val="000000" w:themeColor="text1"/>
              </w:rPr>
            </w:pPr>
            <w:r w:rsidRPr="00286216">
              <w:rPr>
                <w:color w:val="000000" w:themeColor="text1"/>
              </w:rPr>
              <w:t xml:space="preserve">Проспект повинен містити всю інформацію, яка, з огляду на особливості емітента та цінних паперів </w:t>
            </w:r>
            <w:r w:rsidRPr="00286216">
              <w:rPr>
                <w:color w:val="000000" w:themeColor="text1"/>
              </w:rPr>
              <w:lastRenderedPageBreak/>
              <w:t>щодо яких здійснюється публічна пропозиція, необхідна для надання інвесторам можливості зробити обґрунтовану оцінку фінансового становища активів і пасивів та перспектив емітента та будь-якої особи, яка забезпечує виконання зобов’язання емітента за таким випуском, а також прав за такими цінними паперами, та яка подається у формі, яку легко зрозуміти та проаналізувати.</w:t>
            </w:r>
          </w:p>
        </w:tc>
        <w:tc>
          <w:tcPr>
            <w:tcW w:w="3686" w:type="dxa"/>
          </w:tcPr>
          <w:p w14:paraId="77C7139E" w14:textId="77777777" w:rsidR="006507E8" w:rsidRPr="00286216" w:rsidRDefault="006507E8" w:rsidP="006507E8">
            <w:pPr>
              <w:pStyle w:val="StyleProp"/>
              <w:rPr>
                <w:color w:val="000000" w:themeColor="text1"/>
                <w:szCs w:val="18"/>
              </w:rPr>
            </w:pPr>
          </w:p>
        </w:tc>
        <w:tc>
          <w:tcPr>
            <w:tcW w:w="1987" w:type="dxa"/>
          </w:tcPr>
          <w:p w14:paraId="2B489EF1" w14:textId="77777777" w:rsidR="006507E8" w:rsidRPr="00286216" w:rsidRDefault="006507E8" w:rsidP="006507E8">
            <w:pPr>
              <w:pStyle w:val="StyleWisnow"/>
              <w:rPr>
                <w:color w:val="000000" w:themeColor="text1"/>
              </w:rPr>
            </w:pPr>
          </w:p>
        </w:tc>
        <w:tc>
          <w:tcPr>
            <w:tcW w:w="4818" w:type="dxa"/>
          </w:tcPr>
          <w:p w14:paraId="1C0657D9" w14:textId="6E6773EE" w:rsidR="006507E8" w:rsidRPr="00286216" w:rsidRDefault="006507E8" w:rsidP="006507E8">
            <w:pPr>
              <w:pStyle w:val="StyleZakonu"/>
              <w:rPr>
                <w:color w:val="000000" w:themeColor="text1"/>
              </w:rPr>
            </w:pPr>
            <w:r w:rsidRPr="00286216">
              <w:rPr>
                <w:color w:val="000000" w:themeColor="text1"/>
              </w:rPr>
              <w:t xml:space="preserve">Проспект повинен містити всю інформацію, яка з огляду на особливості емітента та цінних паперів, </w:t>
            </w:r>
            <w:r w:rsidRPr="00286216">
              <w:rPr>
                <w:color w:val="000000" w:themeColor="text1"/>
              </w:rPr>
              <w:lastRenderedPageBreak/>
              <w:t>щодо яких здійснюється публічна пропозиція, необхідна для надання інвесторам можливості здійснення  обґрунтованої оцінки фінансового становища активів і пасивів та перспектив емітента та будь-якої особи, яка забезпечує виконання зобов’язання емітента за таким випуском, а також прав за такими цінними паперами, та яка подається у формі, яку легко зрозуміти та проаналізувати.</w:t>
            </w:r>
          </w:p>
        </w:tc>
      </w:tr>
      <w:tr w:rsidR="006507E8" w:rsidRPr="00286216" w14:paraId="20BFB660" w14:textId="77777777" w:rsidTr="00091AA5">
        <w:tc>
          <w:tcPr>
            <w:tcW w:w="576" w:type="dxa"/>
          </w:tcPr>
          <w:p w14:paraId="4B08187B" w14:textId="77777777" w:rsidR="006507E8" w:rsidRPr="00286216" w:rsidRDefault="006507E8" w:rsidP="006507E8">
            <w:pPr>
              <w:pStyle w:val="StyleWisnow"/>
              <w:rPr>
                <w:color w:val="000000" w:themeColor="text1"/>
              </w:rPr>
            </w:pPr>
            <w:bookmarkStart w:id="1352" w:name="n1611" w:colFirst="0" w:colLast="0"/>
            <w:bookmarkEnd w:id="1351"/>
            <w:r w:rsidRPr="00286216">
              <w:rPr>
                <w:color w:val="000000" w:themeColor="text1"/>
              </w:rPr>
              <w:lastRenderedPageBreak/>
              <w:t>1611.</w:t>
            </w:r>
          </w:p>
        </w:tc>
        <w:tc>
          <w:tcPr>
            <w:tcW w:w="4818" w:type="dxa"/>
          </w:tcPr>
          <w:p w14:paraId="109FFF8D" w14:textId="77777777" w:rsidR="006507E8" w:rsidRPr="00286216" w:rsidRDefault="006507E8" w:rsidP="006507E8">
            <w:pPr>
              <w:pStyle w:val="StyleZakonu"/>
              <w:rPr>
                <w:color w:val="000000" w:themeColor="text1"/>
              </w:rPr>
            </w:pPr>
            <w:r w:rsidRPr="00286216">
              <w:rPr>
                <w:color w:val="000000" w:themeColor="text1"/>
              </w:rPr>
              <w:t>2. Проспект повинен включати:</w:t>
            </w:r>
          </w:p>
        </w:tc>
        <w:tc>
          <w:tcPr>
            <w:tcW w:w="3686" w:type="dxa"/>
          </w:tcPr>
          <w:p w14:paraId="651B8808" w14:textId="77777777" w:rsidR="006507E8" w:rsidRPr="00286216" w:rsidRDefault="006507E8" w:rsidP="006507E8">
            <w:pPr>
              <w:pStyle w:val="StyleProp"/>
              <w:rPr>
                <w:color w:val="000000" w:themeColor="text1"/>
                <w:szCs w:val="18"/>
              </w:rPr>
            </w:pPr>
          </w:p>
        </w:tc>
        <w:tc>
          <w:tcPr>
            <w:tcW w:w="1987" w:type="dxa"/>
          </w:tcPr>
          <w:p w14:paraId="6C3E8381" w14:textId="77777777" w:rsidR="006507E8" w:rsidRPr="00286216" w:rsidRDefault="006507E8" w:rsidP="006507E8">
            <w:pPr>
              <w:pStyle w:val="StyleWisnow"/>
              <w:rPr>
                <w:color w:val="000000" w:themeColor="text1"/>
              </w:rPr>
            </w:pPr>
          </w:p>
        </w:tc>
        <w:tc>
          <w:tcPr>
            <w:tcW w:w="4818" w:type="dxa"/>
          </w:tcPr>
          <w:p w14:paraId="3547DB95" w14:textId="1172759C" w:rsidR="006507E8" w:rsidRPr="00286216" w:rsidRDefault="006507E8" w:rsidP="006507E8">
            <w:pPr>
              <w:pStyle w:val="StyleZakonu"/>
              <w:rPr>
                <w:color w:val="000000" w:themeColor="text1"/>
              </w:rPr>
            </w:pPr>
            <w:r w:rsidRPr="00286216">
              <w:rPr>
                <w:color w:val="000000" w:themeColor="text1"/>
              </w:rPr>
              <w:t>2. Проспект повинен включати:</w:t>
            </w:r>
          </w:p>
        </w:tc>
      </w:tr>
      <w:tr w:rsidR="006507E8" w:rsidRPr="00286216" w14:paraId="29183F14" w14:textId="77777777" w:rsidTr="00091AA5">
        <w:tc>
          <w:tcPr>
            <w:tcW w:w="576" w:type="dxa"/>
          </w:tcPr>
          <w:p w14:paraId="75C45325" w14:textId="77777777" w:rsidR="006507E8" w:rsidRPr="00286216" w:rsidRDefault="006507E8" w:rsidP="006507E8">
            <w:pPr>
              <w:pStyle w:val="StyleWisnow"/>
              <w:rPr>
                <w:color w:val="000000" w:themeColor="text1"/>
              </w:rPr>
            </w:pPr>
            <w:bookmarkStart w:id="1353" w:name="n1612" w:colFirst="0" w:colLast="0"/>
            <w:bookmarkEnd w:id="1352"/>
            <w:r w:rsidRPr="00286216">
              <w:rPr>
                <w:color w:val="000000" w:themeColor="text1"/>
              </w:rPr>
              <w:t>1612.</w:t>
            </w:r>
          </w:p>
        </w:tc>
        <w:tc>
          <w:tcPr>
            <w:tcW w:w="4818" w:type="dxa"/>
          </w:tcPr>
          <w:p w14:paraId="07B69D38" w14:textId="77777777" w:rsidR="006507E8" w:rsidRPr="00286216" w:rsidRDefault="006507E8" w:rsidP="006507E8">
            <w:pPr>
              <w:pStyle w:val="StyleZakonu"/>
              <w:rPr>
                <w:color w:val="000000" w:themeColor="text1"/>
              </w:rPr>
            </w:pPr>
            <w:r w:rsidRPr="00286216">
              <w:rPr>
                <w:color w:val="000000" w:themeColor="text1"/>
              </w:rPr>
              <w:t>1) анотацію;</w:t>
            </w:r>
          </w:p>
        </w:tc>
        <w:tc>
          <w:tcPr>
            <w:tcW w:w="3686" w:type="dxa"/>
          </w:tcPr>
          <w:p w14:paraId="03BA1AAE" w14:textId="77777777" w:rsidR="006507E8" w:rsidRPr="00286216" w:rsidRDefault="006507E8" w:rsidP="006507E8">
            <w:pPr>
              <w:pStyle w:val="StyleProp"/>
              <w:rPr>
                <w:color w:val="000000" w:themeColor="text1"/>
                <w:szCs w:val="18"/>
              </w:rPr>
            </w:pPr>
          </w:p>
        </w:tc>
        <w:tc>
          <w:tcPr>
            <w:tcW w:w="1987" w:type="dxa"/>
          </w:tcPr>
          <w:p w14:paraId="159E3492" w14:textId="77777777" w:rsidR="006507E8" w:rsidRPr="00286216" w:rsidRDefault="006507E8" w:rsidP="006507E8">
            <w:pPr>
              <w:pStyle w:val="StyleWisnow"/>
              <w:rPr>
                <w:color w:val="000000" w:themeColor="text1"/>
              </w:rPr>
            </w:pPr>
          </w:p>
        </w:tc>
        <w:tc>
          <w:tcPr>
            <w:tcW w:w="4818" w:type="dxa"/>
          </w:tcPr>
          <w:p w14:paraId="715370B8" w14:textId="4FB54C5D" w:rsidR="006507E8" w:rsidRPr="00286216" w:rsidRDefault="006507E8" w:rsidP="006507E8">
            <w:pPr>
              <w:pStyle w:val="StyleZakonu"/>
              <w:rPr>
                <w:color w:val="000000" w:themeColor="text1"/>
              </w:rPr>
            </w:pPr>
            <w:r w:rsidRPr="00286216">
              <w:rPr>
                <w:color w:val="000000" w:themeColor="text1"/>
              </w:rPr>
              <w:t>1) анотацію;</w:t>
            </w:r>
          </w:p>
        </w:tc>
      </w:tr>
      <w:tr w:rsidR="006507E8" w:rsidRPr="00286216" w14:paraId="4EAE7BEF" w14:textId="77777777" w:rsidTr="00091AA5">
        <w:tc>
          <w:tcPr>
            <w:tcW w:w="576" w:type="dxa"/>
          </w:tcPr>
          <w:p w14:paraId="22389C0A" w14:textId="77777777" w:rsidR="006507E8" w:rsidRPr="00286216" w:rsidRDefault="006507E8" w:rsidP="006507E8">
            <w:pPr>
              <w:pStyle w:val="StyleWisnow"/>
              <w:rPr>
                <w:color w:val="000000" w:themeColor="text1"/>
              </w:rPr>
            </w:pPr>
            <w:bookmarkStart w:id="1354" w:name="n1613" w:colFirst="0" w:colLast="0"/>
            <w:bookmarkEnd w:id="1353"/>
            <w:r w:rsidRPr="00286216">
              <w:rPr>
                <w:color w:val="000000" w:themeColor="text1"/>
              </w:rPr>
              <w:t>1613.</w:t>
            </w:r>
          </w:p>
        </w:tc>
        <w:tc>
          <w:tcPr>
            <w:tcW w:w="4818" w:type="dxa"/>
          </w:tcPr>
          <w:p w14:paraId="70C6E0D4" w14:textId="77777777" w:rsidR="006507E8" w:rsidRPr="00286216" w:rsidRDefault="006507E8" w:rsidP="006507E8">
            <w:pPr>
              <w:pStyle w:val="StyleZakonu"/>
              <w:rPr>
                <w:color w:val="000000" w:themeColor="text1"/>
              </w:rPr>
            </w:pPr>
            <w:r w:rsidRPr="00286216">
              <w:rPr>
                <w:color w:val="000000" w:themeColor="text1"/>
              </w:rPr>
              <w:t>2) реєстраційний документ;</w:t>
            </w:r>
          </w:p>
        </w:tc>
        <w:tc>
          <w:tcPr>
            <w:tcW w:w="3686" w:type="dxa"/>
          </w:tcPr>
          <w:p w14:paraId="18AC23DF" w14:textId="77777777" w:rsidR="006507E8" w:rsidRPr="00286216" w:rsidRDefault="006507E8" w:rsidP="006507E8">
            <w:pPr>
              <w:pStyle w:val="StyleProp"/>
              <w:rPr>
                <w:color w:val="000000" w:themeColor="text1"/>
                <w:szCs w:val="18"/>
              </w:rPr>
            </w:pPr>
          </w:p>
        </w:tc>
        <w:tc>
          <w:tcPr>
            <w:tcW w:w="1987" w:type="dxa"/>
          </w:tcPr>
          <w:p w14:paraId="1EE8E96C" w14:textId="77777777" w:rsidR="006507E8" w:rsidRPr="00286216" w:rsidRDefault="006507E8" w:rsidP="006507E8">
            <w:pPr>
              <w:pStyle w:val="StyleWisnow"/>
              <w:rPr>
                <w:color w:val="000000" w:themeColor="text1"/>
              </w:rPr>
            </w:pPr>
          </w:p>
        </w:tc>
        <w:tc>
          <w:tcPr>
            <w:tcW w:w="4818" w:type="dxa"/>
          </w:tcPr>
          <w:p w14:paraId="684F8BAE" w14:textId="134998D9" w:rsidR="006507E8" w:rsidRPr="00286216" w:rsidRDefault="006507E8" w:rsidP="006507E8">
            <w:pPr>
              <w:pStyle w:val="StyleZakonu"/>
              <w:rPr>
                <w:color w:val="000000" w:themeColor="text1"/>
              </w:rPr>
            </w:pPr>
            <w:r w:rsidRPr="00286216">
              <w:rPr>
                <w:color w:val="000000" w:themeColor="text1"/>
              </w:rPr>
              <w:t>2) реєстраційний документ;</w:t>
            </w:r>
          </w:p>
        </w:tc>
      </w:tr>
      <w:tr w:rsidR="006507E8" w:rsidRPr="00286216" w14:paraId="7E964642" w14:textId="77777777" w:rsidTr="00091AA5">
        <w:tc>
          <w:tcPr>
            <w:tcW w:w="576" w:type="dxa"/>
          </w:tcPr>
          <w:p w14:paraId="16D564FB" w14:textId="77777777" w:rsidR="006507E8" w:rsidRPr="00286216" w:rsidRDefault="006507E8" w:rsidP="006507E8">
            <w:pPr>
              <w:pStyle w:val="StyleWisnow"/>
              <w:rPr>
                <w:color w:val="000000" w:themeColor="text1"/>
              </w:rPr>
            </w:pPr>
            <w:bookmarkStart w:id="1355" w:name="n1614" w:colFirst="0" w:colLast="0"/>
            <w:bookmarkEnd w:id="1354"/>
            <w:r w:rsidRPr="00286216">
              <w:rPr>
                <w:color w:val="000000" w:themeColor="text1"/>
              </w:rPr>
              <w:t>1614.</w:t>
            </w:r>
          </w:p>
        </w:tc>
        <w:tc>
          <w:tcPr>
            <w:tcW w:w="4818" w:type="dxa"/>
          </w:tcPr>
          <w:p w14:paraId="138FACE8" w14:textId="77777777" w:rsidR="006507E8" w:rsidRPr="00286216" w:rsidRDefault="006507E8" w:rsidP="006507E8">
            <w:pPr>
              <w:pStyle w:val="StyleZakonu"/>
              <w:rPr>
                <w:color w:val="000000" w:themeColor="text1"/>
              </w:rPr>
            </w:pPr>
            <w:r w:rsidRPr="00286216">
              <w:rPr>
                <w:color w:val="000000" w:themeColor="text1"/>
              </w:rPr>
              <w:t>3) документ про цінні папери.</w:t>
            </w:r>
          </w:p>
        </w:tc>
        <w:tc>
          <w:tcPr>
            <w:tcW w:w="3686" w:type="dxa"/>
          </w:tcPr>
          <w:p w14:paraId="09E8EAD8" w14:textId="77777777" w:rsidR="006507E8" w:rsidRPr="00286216" w:rsidRDefault="006507E8" w:rsidP="006507E8">
            <w:pPr>
              <w:pStyle w:val="StyleProp"/>
              <w:rPr>
                <w:color w:val="000000" w:themeColor="text1"/>
                <w:szCs w:val="18"/>
              </w:rPr>
            </w:pPr>
          </w:p>
        </w:tc>
        <w:tc>
          <w:tcPr>
            <w:tcW w:w="1987" w:type="dxa"/>
          </w:tcPr>
          <w:p w14:paraId="47861A8A" w14:textId="77777777" w:rsidR="006507E8" w:rsidRPr="00286216" w:rsidRDefault="006507E8" w:rsidP="006507E8">
            <w:pPr>
              <w:pStyle w:val="StyleWisnow"/>
              <w:rPr>
                <w:color w:val="000000" w:themeColor="text1"/>
              </w:rPr>
            </w:pPr>
          </w:p>
        </w:tc>
        <w:tc>
          <w:tcPr>
            <w:tcW w:w="4818" w:type="dxa"/>
          </w:tcPr>
          <w:p w14:paraId="7EB4F134" w14:textId="138E5019" w:rsidR="006507E8" w:rsidRPr="00286216" w:rsidRDefault="006507E8" w:rsidP="006507E8">
            <w:pPr>
              <w:pStyle w:val="StyleZakonu"/>
              <w:rPr>
                <w:color w:val="000000" w:themeColor="text1"/>
              </w:rPr>
            </w:pPr>
            <w:r w:rsidRPr="00286216">
              <w:rPr>
                <w:color w:val="000000" w:themeColor="text1"/>
              </w:rPr>
              <w:t>3) документ про цінні папери.</w:t>
            </w:r>
          </w:p>
        </w:tc>
      </w:tr>
      <w:tr w:rsidR="006507E8" w:rsidRPr="00286216" w14:paraId="7649981A" w14:textId="77777777" w:rsidTr="00091AA5">
        <w:tc>
          <w:tcPr>
            <w:tcW w:w="576" w:type="dxa"/>
          </w:tcPr>
          <w:p w14:paraId="6612413E" w14:textId="77777777" w:rsidR="006507E8" w:rsidRPr="00286216" w:rsidRDefault="006507E8" w:rsidP="006507E8">
            <w:pPr>
              <w:pStyle w:val="StyleWisnow"/>
              <w:rPr>
                <w:color w:val="000000" w:themeColor="text1"/>
              </w:rPr>
            </w:pPr>
            <w:bookmarkStart w:id="1356" w:name="n1615" w:colFirst="0" w:colLast="0"/>
            <w:bookmarkEnd w:id="1355"/>
            <w:r w:rsidRPr="00286216">
              <w:rPr>
                <w:color w:val="000000" w:themeColor="text1"/>
              </w:rPr>
              <w:t>1615.</w:t>
            </w:r>
          </w:p>
        </w:tc>
        <w:tc>
          <w:tcPr>
            <w:tcW w:w="4818" w:type="dxa"/>
          </w:tcPr>
          <w:p w14:paraId="655DDDAF" w14:textId="77777777" w:rsidR="006507E8" w:rsidRPr="00286216" w:rsidRDefault="006507E8" w:rsidP="006507E8">
            <w:pPr>
              <w:pStyle w:val="StyleZakonu"/>
              <w:rPr>
                <w:color w:val="000000" w:themeColor="text1"/>
              </w:rPr>
            </w:pPr>
            <w:r w:rsidRPr="00286216">
              <w:rPr>
                <w:color w:val="000000" w:themeColor="text1"/>
              </w:rPr>
              <w:t>3. Вимоги до відомостей, які має включати проспект та окремі його частини, встановлюються Національною комісією з цінних паперів та фондового ринку.</w:t>
            </w:r>
          </w:p>
        </w:tc>
        <w:tc>
          <w:tcPr>
            <w:tcW w:w="3686" w:type="dxa"/>
          </w:tcPr>
          <w:p w14:paraId="5D0E6D92" w14:textId="77777777" w:rsidR="006507E8" w:rsidRPr="00286216" w:rsidRDefault="006507E8" w:rsidP="006507E8">
            <w:pPr>
              <w:pStyle w:val="StyleProp"/>
              <w:rPr>
                <w:color w:val="000000" w:themeColor="text1"/>
                <w:szCs w:val="18"/>
              </w:rPr>
            </w:pPr>
          </w:p>
        </w:tc>
        <w:tc>
          <w:tcPr>
            <w:tcW w:w="1987" w:type="dxa"/>
          </w:tcPr>
          <w:p w14:paraId="0D8E6291" w14:textId="77777777" w:rsidR="006507E8" w:rsidRPr="00286216" w:rsidRDefault="006507E8" w:rsidP="006507E8">
            <w:pPr>
              <w:pStyle w:val="StyleWisnow"/>
              <w:rPr>
                <w:color w:val="000000" w:themeColor="text1"/>
              </w:rPr>
            </w:pPr>
          </w:p>
        </w:tc>
        <w:tc>
          <w:tcPr>
            <w:tcW w:w="4818" w:type="dxa"/>
          </w:tcPr>
          <w:p w14:paraId="2A681710" w14:textId="7D7B321E" w:rsidR="006507E8" w:rsidRPr="00286216" w:rsidRDefault="006507E8" w:rsidP="006507E8">
            <w:pPr>
              <w:pStyle w:val="StyleZakonu"/>
              <w:rPr>
                <w:color w:val="000000" w:themeColor="text1"/>
              </w:rPr>
            </w:pPr>
            <w:r w:rsidRPr="00286216">
              <w:rPr>
                <w:color w:val="000000" w:themeColor="text1"/>
              </w:rPr>
              <w:t>3. Вимоги до відомостей, які має включати проспект та окремі його частини, встановлюються Національною комісією з цінних паперів та фондового ринку.</w:t>
            </w:r>
          </w:p>
        </w:tc>
      </w:tr>
      <w:tr w:rsidR="006507E8" w:rsidRPr="00286216" w14:paraId="41B30216" w14:textId="77777777" w:rsidTr="00091AA5">
        <w:tc>
          <w:tcPr>
            <w:tcW w:w="576" w:type="dxa"/>
          </w:tcPr>
          <w:p w14:paraId="005D0EBE" w14:textId="77777777" w:rsidR="006507E8" w:rsidRPr="00286216" w:rsidRDefault="006507E8" w:rsidP="006507E8">
            <w:pPr>
              <w:pStyle w:val="StyleWisnow"/>
              <w:rPr>
                <w:color w:val="000000" w:themeColor="text1"/>
              </w:rPr>
            </w:pPr>
            <w:bookmarkStart w:id="1357" w:name="n1616" w:colFirst="0" w:colLast="0"/>
            <w:bookmarkEnd w:id="1356"/>
            <w:r w:rsidRPr="00286216">
              <w:rPr>
                <w:color w:val="000000" w:themeColor="text1"/>
              </w:rPr>
              <w:t>1616.</w:t>
            </w:r>
          </w:p>
        </w:tc>
        <w:tc>
          <w:tcPr>
            <w:tcW w:w="4818" w:type="dxa"/>
          </w:tcPr>
          <w:p w14:paraId="0D0B34B7" w14:textId="77777777" w:rsidR="006507E8" w:rsidRPr="00286216" w:rsidRDefault="006507E8" w:rsidP="006507E8">
            <w:pPr>
              <w:pStyle w:val="StyleZakonu"/>
              <w:rPr>
                <w:color w:val="000000" w:themeColor="text1"/>
              </w:rPr>
            </w:pPr>
            <w:r w:rsidRPr="00286216">
              <w:rPr>
                <w:color w:val="000000" w:themeColor="text1"/>
              </w:rPr>
              <w:t>4. Проспект може складатися з одного чи кількох різних документів, які також можуть містити посилання на інші документи, які є у публічному доступі в результаті їх оприлюднення, відповідно до вимог статті 98 або розділу V цього Закону.</w:t>
            </w:r>
          </w:p>
        </w:tc>
        <w:tc>
          <w:tcPr>
            <w:tcW w:w="3686" w:type="dxa"/>
          </w:tcPr>
          <w:p w14:paraId="01F211F9" w14:textId="77777777" w:rsidR="006507E8" w:rsidRPr="00286216" w:rsidRDefault="006507E8" w:rsidP="006507E8">
            <w:pPr>
              <w:pStyle w:val="StyleProp"/>
              <w:rPr>
                <w:color w:val="000000" w:themeColor="text1"/>
                <w:szCs w:val="18"/>
              </w:rPr>
            </w:pPr>
          </w:p>
        </w:tc>
        <w:tc>
          <w:tcPr>
            <w:tcW w:w="1987" w:type="dxa"/>
          </w:tcPr>
          <w:p w14:paraId="3EA835DE" w14:textId="77777777" w:rsidR="006507E8" w:rsidRPr="00286216" w:rsidRDefault="006507E8" w:rsidP="006507E8">
            <w:pPr>
              <w:pStyle w:val="StyleWisnow"/>
              <w:rPr>
                <w:color w:val="000000" w:themeColor="text1"/>
              </w:rPr>
            </w:pPr>
          </w:p>
        </w:tc>
        <w:tc>
          <w:tcPr>
            <w:tcW w:w="4818" w:type="dxa"/>
          </w:tcPr>
          <w:p w14:paraId="56276DFA" w14:textId="4F85AC3A" w:rsidR="006507E8" w:rsidRPr="00286216" w:rsidRDefault="006507E8" w:rsidP="006507E8">
            <w:pPr>
              <w:pStyle w:val="StyleZakonu"/>
              <w:rPr>
                <w:color w:val="000000" w:themeColor="text1"/>
              </w:rPr>
            </w:pPr>
            <w:r w:rsidRPr="00286216">
              <w:rPr>
                <w:color w:val="000000" w:themeColor="text1"/>
              </w:rPr>
              <w:t>4. Проспект може складатися з одного чи кількох різних документів, які також можуть містити посилання на інші документи, які є в публічному доступі в результаті їх оприлюднення, відповідно до вимог статті 102 або розділу VІ цього Закону.</w:t>
            </w:r>
          </w:p>
        </w:tc>
      </w:tr>
      <w:tr w:rsidR="006507E8" w:rsidRPr="00286216" w14:paraId="415EDC1A" w14:textId="77777777" w:rsidTr="00091AA5">
        <w:tc>
          <w:tcPr>
            <w:tcW w:w="576" w:type="dxa"/>
          </w:tcPr>
          <w:p w14:paraId="0B63DFE9" w14:textId="77777777" w:rsidR="006507E8" w:rsidRPr="00286216" w:rsidRDefault="006507E8" w:rsidP="006507E8">
            <w:pPr>
              <w:pStyle w:val="StyleWisnow"/>
              <w:rPr>
                <w:color w:val="000000" w:themeColor="text1"/>
              </w:rPr>
            </w:pPr>
            <w:bookmarkStart w:id="1358" w:name="n1617" w:colFirst="0" w:colLast="0"/>
            <w:bookmarkEnd w:id="1357"/>
            <w:r w:rsidRPr="00286216">
              <w:rPr>
                <w:color w:val="000000" w:themeColor="text1"/>
              </w:rPr>
              <w:t>1617.</w:t>
            </w:r>
          </w:p>
        </w:tc>
        <w:tc>
          <w:tcPr>
            <w:tcW w:w="4818" w:type="dxa"/>
          </w:tcPr>
          <w:p w14:paraId="11919FED" w14:textId="77777777" w:rsidR="006507E8" w:rsidRPr="00286216" w:rsidRDefault="006507E8" w:rsidP="006507E8">
            <w:pPr>
              <w:pStyle w:val="StyleZakonu"/>
              <w:rPr>
                <w:color w:val="000000" w:themeColor="text1"/>
              </w:rPr>
            </w:pPr>
            <w:r w:rsidRPr="00286216">
              <w:rPr>
                <w:color w:val="000000" w:themeColor="text1"/>
              </w:rPr>
              <w:t>У проспекті, що складається з кількох документів, інформація повинна бути розділена на три документи: реєстраційний документ, документ про цінні папери та анотація.</w:t>
            </w:r>
          </w:p>
        </w:tc>
        <w:tc>
          <w:tcPr>
            <w:tcW w:w="3686" w:type="dxa"/>
          </w:tcPr>
          <w:p w14:paraId="1AB0F601" w14:textId="77777777" w:rsidR="006507E8" w:rsidRPr="00286216" w:rsidRDefault="006507E8" w:rsidP="006507E8">
            <w:pPr>
              <w:pStyle w:val="StyleProp"/>
              <w:rPr>
                <w:color w:val="000000" w:themeColor="text1"/>
                <w:szCs w:val="18"/>
              </w:rPr>
            </w:pPr>
          </w:p>
        </w:tc>
        <w:tc>
          <w:tcPr>
            <w:tcW w:w="1987" w:type="dxa"/>
          </w:tcPr>
          <w:p w14:paraId="11DA52F7" w14:textId="77777777" w:rsidR="006507E8" w:rsidRPr="00286216" w:rsidRDefault="006507E8" w:rsidP="006507E8">
            <w:pPr>
              <w:pStyle w:val="StyleWisnow"/>
              <w:rPr>
                <w:color w:val="000000" w:themeColor="text1"/>
              </w:rPr>
            </w:pPr>
          </w:p>
        </w:tc>
        <w:tc>
          <w:tcPr>
            <w:tcW w:w="4818" w:type="dxa"/>
          </w:tcPr>
          <w:p w14:paraId="7FAD95F5" w14:textId="1B4349BB" w:rsidR="006507E8" w:rsidRPr="00286216" w:rsidRDefault="006507E8" w:rsidP="006507E8">
            <w:pPr>
              <w:pStyle w:val="StyleZakonu"/>
              <w:rPr>
                <w:color w:val="000000" w:themeColor="text1"/>
              </w:rPr>
            </w:pPr>
            <w:r w:rsidRPr="00286216">
              <w:rPr>
                <w:color w:val="000000" w:themeColor="text1"/>
              </w:rPr>
              <w:t>У проспекті, що складається з кількох документів, інформація повинна бути розділена на три документи: реєстраційний документ, документ про цінні папери та анотація.</w:t>
            </w:r>
          </w:p>
        </w:tc>
      </w:tr>
      <w:tr w:rsidR="006507E8" w:rsidRPr="00286216" w14:paraId="6AC96A86" w14:textId="77777777" w:rsidTr="00091AA5">
        <w:tc>
          <w:tcPr>
            <w:tcW w:w="576" w:type="dxa"/>
          </w:tcPr>
          <w:p w14:paraId="6F2EB446" w14:textId="77777777" w:rsidR="006507E8" w:rsidRPr="00286216" w:rsidRDefault="006507E8" w:rsidP="006507E8">
            <w:pPr>
              <w:pStyle w:val="StyleWisnow"/>
              <w:rPr>
                <w:color w:val="000000" w:themeColor="text1"/>
              </w:rPr>
            </w:pPr>
            <w:bookmarkStart w:id="1359" w:name="n1618" w:colFirst="0" w:colLast="0"/>
            <w:bookmarkEnd w:id="1358"/>
            <w:r w:rsidRPr="00286216">
              <w:rPr>
                <w:color w:val="000000" w:themeColor="text1"/>
              </w:rPr>
              <w:t>1618.</w:t>
            </w:r>
          </w:p>
        </w:tc>
        <w:tc>
          <w:tcPr>
            <w:tcW w:w="4818" w:type="dxa"/>
          </w:tcPr>
          <w:p w14:paraId="6DC6D1AB" w14:textId="77777777" w:rsidR="006507E8" w:rsidRPr="00286216" w:rsidRDefault="006507E8" w:rsidP="006507E8">
            <w:pPr>
              <w:pStyle w:val="StyleZakonu"/>
              <w:rPr>
                <w:color w:val="000000" w:themeColor="text1"/>
              </w:rPr>
            </w:pPr>
            <w:r w:rsidRPr="00286216">
              <w:rPr>
                <w:color w:val="000000" w:themeColor="text1"/>
              </w:rPr>
              <w:t>У реєстраційному документі повинна міститися інформація про емітента.</w:t>
            </w:r>
          </w:p>
        </w:tc>
        <w:tc>
          <w:tcPr>
            <w:tcW w:w="3686" w:type="dxa"/>
          </w:tcPr>
          <w:p w14:paraId="7F669137" w14:textId="77777777" w:rsidR="006507E8" w:rsidRPr="00286216" w:rsidRDefault="006507E8" w:rsidP="006507E8">
            <w:pPr>
              <w:pStyle w:val="StyleProp"/>
              <w:rPr>
                <w:color w:val="000000" w:themeColor="text1"/>
                <w:szCs w:val="18"/>
              </w:rPr>
            </w:pPr>
          </w:p>
        </w:tc>
        <w:tc>
          <w:tcPr>
            <w:tcW w:w="1987" w:type="dxa"/>
          </w:tcPr>
          <w:p w14:paraId="1CDDF42D" w14:textId="77777777" w:rsidR="006507E8" w:rsidRPr="00286216" w:rsidRDefault="006507E8" w:rsidP="006507E8">
            <w:pPr>
              <w:pStyle w:val="StyleWisnow"/>
              <w:rPr>
                <w:color w:val="000000" w:themeColor="text1"/>
              </w:rPr>
            </w:pPr>
          </w:p>
        </w:tc>
        <w:tc>
          <w:tcPr>
            <w:tcW w:w="4818" w:type="dxa"/>
          </w:tcPr>
          <w:p w14:paraId="09ED2C4E" w14:textId="0F9E5940" w:rsidR="006507E8" w:rsidRPr="00286216" w:rsidRDefault="006507E8" w:rsidP="006507E8">
            <w:pPr>
              <w:pStyle w:val="StyleZakonu"/>
              <w:rPr>
                <w:color w:val="000000" w:themeColor="text1"/>
              </w:rPr>
            </w:pPr>
            <w:r w:rsidRPr="00286216">
              <w:rPr>
                <w:color w:val="000000" w:themeColor="text1"/>
              </w:rPr>
              <w:t>У реєстраційному документі повинна міститися інформація про емітента.</w:t>
            </w:r>
          </w:p>
        </w:tc>
      </w:tr>
      <w:tr w:rsidR="006507E8" w:rsidRPr="00286216" w14:paraId="059E9105" w14:textId="77777777" w:rsidTr="00091AA5">
        <w:tc>
          <w:tcPr>
            <w:tcW w:w="576" w:type="dxa"/>
          </w:tcPr>
          <w:p w14:paraId="4C088DBE" w14:textId="77777777" w:rsidR="006507E8" w:rsidRPr="00286216" w:rsidRDefault="006507E8" w:rsidP="006507E8">
            <w:pPr>
              <w:pStyle w:val="StyleWisnow"/>
              <w:rPr>
                <w:color w:val="000000" w:themeColor="text1"/>
              </w:rPr>
            </w:pPr>
            <w:bookmarkStart w:id="1360" w:name="n1619" w:colFirst="0" w:colLast="0"/>
            <w:bookmarkEnd w:id="1359"/>
            <w:r w:rsidRPr="00286216">
              <w:rPr>
                <w:color w:val="000000" w:themeColor="text1"/>
              </w:rPr>
              <w:t>1619.</w:t>
            </w:r>
          </w:p>
        </w:tc>
        <w:tc>
          <w:tcPr>
            <w:tcW w:w="4818" w:type="dxa"/>
          </w:tcPr>
          <w:p w14:paraId="7F327D9F" w14:textId="77777777" w:rsidR="006507E8" w:rsidRPr="00286216" w:rsidRDefault="006507E8" w:rsidP="006507E8">
            <w:pPr>
              <w:pStyle w:val="StyleZakonu"/>
              <w:rPr>
                <w:color w:val="000000" w:themeColor="text1"/>
              </w:rPr>
            </w:pPr>
            <w:r w:rsidRPr="00286216">
              <w:rPr>
                <w:color w:val="000000" w:themeColor="text1"/>
              </w:rPr>
              <w:t>У документі про цінні папери повинна міститися інформація про цінні папери, щодо яких здійснюється публічна пропозиція.</w:t>
            </w:r>
          </w:p>
        </w:tc>
        <w:tc>
          <w:tcPr>
            <w:tcW w:w="3686" w:type="dxa"/>
          </w:tcPr>
          <w:p w14:paraId="4F0A4787" w14:textId="77777777" w:rsidR="006507E8" w:rsidRPr="00286216" w:rsidRDefault="006507E8" w:rsidP="006507E8">
            <w:pPr>
              <w:pStyle w:val="StyleProp"/>
              <w:rPr>
                <w:color w:val="000000" w:themeColor="text1"/>
                <w:szCs w:val="18"/>
              </w:rPr>
            </w:pPr>
          </w:p>
        </w:tc>
        <w:tc>
          <w:tcPr>
            <w:tcW w:w="1987" w:type="dxa"/>
          </w:tcPr>
          <w:p w14:paraId="5866EF2B" w14:textId="77777777" w:rsidR="006507E8" w:rsidRPr="00286216" w:rsidRDefault="006507E8" w:rsidP="006507E8">
            <w:pPr>
              <w:pStyle w:val="StyleWisnow"/>
              <w:rPr>
                <w:color w:val="000000" w:themeColor="text1"/>
              </w:rPr>
            </w:pPr>
          </w:p>
        </w:tc>
        <w:tc>
          <w:tcPr>
            <w:tcW w:w="4818" w:type="dxa"/>
          </w:tcPr>
          <w:p w14:paraId="7FF21863" w14:textId="56265322" w:rsidR="006507E8" w:rsidRPr="00286216" w:rsidRDefault="006507E8" w:rsidP="006507E8">
            <w:pPr>
              <w:pStyle w:val="StyleZakonu"/>
              <w:rPr>
                <w:color w:val="000000" w:themeColor="text1"/>
              </w:rPr>
            </w:pPr>
            <w:r w:rsidRPr="00286216">
              <w:rPr>
                <w:color w:val="000000" w:themeColor="text1"/>
              </w:rPr>
              <w:t>У документі про цінні папери повинна міститися інформація про цінні папери, щодо яких здійснюється публічна пропозиція.</w:t>
            </w:r>
          </w:p>
        </w:tc>
      </w:tr>
      <w:tr w:rsidR="006507E8" w:rsidRPr="00286216" w14:paraId="39A962F6" w14:textId="77777777" w:rsidTr="00091AA5">
        <w:tc>
          <w:tcPr>
            <w:tcW w:w="576" w:type="dxa"/>
          </w:tcPr>
          <w:p w14:paraId="2F2E1474" w14:textId="77777777" w:rsidR="006507E8" w:rsidRPr="00286216" w:rsidRDefault="006507E8" w:rsidP="006507E8">
            <w:pPr>
              <w:pStyle w:val="StyleWisnow"/>
              <w:rPr>
                <w:color w:val="000000" w:themeColor="text1"/>
              </w:rPr>
            </w:pPr>
            <w:bookmarkStart w:id="1361" w:name="n1620" w:colFirst="0" w:colLast="0"/>
            <w:bookmarkEnd w:id="1360"/>
            <w:r w:rsidRPr="00286216">
              <w:rPr>
                <w:color w:val="000000" w:themeColor="text1"/>
              </w:rPr>
              <w:t>1620.</w:t>
            </w:r>
          </w:p>
        </w:tc>
        <w:tc>
          <w:tcPr>
            <w:tcW w:w="4818" w:type="dxa"/>
          </w:tcPr>
          <w:p w14:paraId="15D3835B" w14:textId="77777777" w:rsidR="006507E8" w:rsidRPr="00286216" w:rsidRDefault="006507E8" w:rsidP="006507E8">
            <w:pPr>
              <w:pStyle w:val="StyleZakonu"/>
              <w:rPr>
                <w:color w:val="000000" w:themeColor="text1"/>
              </w:rPr>
            </w:pPr>
            <w:r w:rsidRPr="00286216">
              <w:rPr>
                <w:color w:val="000000" w:themeColor="text1"/>
              </w:rPr>
              <w:t xml:space="preserve">5. Анотація повинна містити інформацію про істотні характерні ознаки та ризики, пов’язані з емітентом, його цінними паперами або будь-якою особою, яка забезпечує виконання зобов’язань емітента за таким випуском. Анотація викладається коротко і загально зрозуміло з метою сприяння прийняттю інвесторами рішення щодо можливої інвестиції у такі цінні папери, мовою відповідно до вимог статті 97 цього Закону. Анотація повинна містити інформацію щодо суттєвих характеристик цінних паперів та ризиків, пов’язаних з емітентом, будь-якою особою, яка надає забезпечення за відповідним випуском цінних паперів, а також не </w:t>
            </w:r>
            <w:r w:rsidRPr="00286216">
              <w:rPr>
                <w:color w:val="000000" w:themeColor="text1"/>
              </w:rPr>
              <w:lastRenderedPageBreak/>
              <w:t>повинна суперечити іншим частинам проспекту.</w:t>
            </w:r>
          </w:p>
        </w:tc>
        <w:tc>
          <w:tcPr>
            <w:tcW w:w="3686" w:type="dxa"/>
          </w:tcPr>
          <w:p w14:paraId="6E62EC09" w14:textId="77777777" w:rsidR="006507E8" w:rsidRPr="00286216" w:rsidRDefault="006507E8" w:rsidP="006507E8">
            <w:pPr>
              <w:pStyle w:val="StyleProp"/>
              <w:rPr>
                <w:color w:val="000000" w:themeColor="text1"/>
                <w:szCs w:val="18"/>
              </w:rPr>
            </w:pPr>
          </w:p>
        </w:tc>
        <w:tc>
          <w:tcPr>
            <w:tcW w:w="1987" w:type="dxa"/>
          </w:tcPr>
          <w:p w14:paraId="6405F507" w14:textId="77777777" w:rsidR="006507E8" w:rsidRPr="00286216" w:rsidRDefault="006507E8" w:rsidP="006507E8">
            <w:pPr>
              <w:pStyle w:val="StyleWisnow"/>
              <w:rPr>
                <w:color w:val="000000" w:themeColor="text1"/>
              </w:rPr>
            </w:pPr>
          </w:p>
        </w:tc>
        <w:tc>
          <w:tcPr>
            <w:tcW w:w="4818" w:type="dxa"/>
          </w:tcPr>
          <w:p w14:paraId="5395ECC7" w14:textId="79B1DE23" w:rsidR="006507E8" w:rsidRPr="00286216" w:rsidRDefault="006507E8" w:rsidP="006507E8">
            <w:pPr>
              <w:pStyle w:val="StyleZakonu"/>
              <w:rPr>
                <w:color w:val="000000" w:themeColor="text1"/>
              </w:rPr>
            </w:pPr>
            <w:r w:rsidRPr="00286216">
              <w:rPr>
                <w:color w:val="000000" w:themeColor="text1"/>
              </w:rPr>
              <w:t xml:space="preserve">5. Анотація повинна містити інформацію про істотні характерні ознаки та ризики, пов’язані з емітентом, його цінними паперами або будь-якою особою, яка забезпечує виконання зобов’язань емітента за таким випуском. Анотація викладається коротко і загально зрозуміло з метою сприяння прийняттю інвесторами рішення щодо можливої інвестиції у такі цінні папери, мовою відповідно до вимог статті 101 цього Закону. Анотація повинна містити інформацію про суттєві характеристики цінних паперів та ризики, пов’язані з емітентом, будь-якою особою, яка надає забезпечення за відповідним випуском цінних паперів, а також не повинна </w:t>
            </w:r>
            <w:r w:rsidRPr="00286216">
              <w:rPr>
                <w:color w:val="000000" w:themeColor="text1"/>
              </w:rPr>
              <w:lastRenderedPageBreak/>
              <w:t>суперечити іншим частинам проспекту.</w:t>
            </w:r>
          </w:p>
        </w:tc>
      </w:tr>
      <w:tr w:rsidR="006507E8" w:rsidRPr="00286216" w14:paraId="770C08E8" w14:textId="77777777" w:rsidTr="00091AA5">
        <w:tc>
          <w:tcPr>
            <w:tcW w:w="576" w:type="dxa"/>
          </w:tcPr>
          <w:p w14:paraId="32465AF3" w14:textId="77777777" w:rsidR="006507E8" w:rsidRPr="00286216" w:rsidRDefault="006507E8" w:rsidP="006507E8">
            <w:pPr>
              <w:pStyle w:val="StyleWisnow"/>
              <w:rPr>
                <w:color w:val="000000" w:themeColor="text1"/>
              </w:rPr>
            </w:pPr>
            <w:bookmarkStart w:id="1362" w:name="n1621" w:colFirst="0" w:colLast="0"/>
            <w:bookmarkEnd w:id="1361"/>
            <w:r w:rsidRPr="00286216">
              <w:rPr>
                <w:color w:val="000000" w:themeColor="text1"/>
              </w:rPr>
              <w:lastRenderedPageBreak/>
              <w:t>1621.</w:t>
            </w:r>
          </w:p>
        </w:tc>
        <w:tc>
          <w:tcPr>
            <w:tcW w:w="4818" w:type="dxa"/>
          </w:tcPr>
          <w:p w14:paraId="501BDF1D" w14:textId="77777777" w:rsidR="006507E8" w:rsidRPr="00286216" w:rsidRDefault="006507E8" w:rsidP="006507E8">
            <w:pPr>
              <w:pStyle w:val="StyleZakonu"/>
              <w:rPr>
                <w:color w:val="000000" w:themeColor="text1"/>
              </w:rPr>
            </w:pPr>
            <w:r w:rsidRPr="00286216">
              <w:rPr>
                <w:color w:val="000000" w:themeColor="text1"/>
              </w:rPr>
              <w:t>Анотація також повинна містити застереження, що:</w:t>
            </w:r>
          </w:p>
        </w:tc>
        <w:tc>
          <w:tcPr>
            <w:tcW w:w="3686" w:type="dxa"/>
          </w:tcPr>
          <w:p w14:paraId="584B3646" w14:textId="77777777" w:rsidR="006507E8" w:rsidRPr="00286216" w:rsidRDefault="006507E8" w:rsidP="006507E8">
            <w:pPr>
              <w:pStyle w:val="StyleProp"/>
              <w:rPr>
                <w:color w:val="000000" w:themeColor="text1"/>
                <w:szCs w:val="18"/>
              </w:rPr>
            </w:pPr>
          </w:p>
        </w:tc>
        <w:tc>
          <w:tcPr>
            <w:tcW w:w="1987" w:type="dxa"/>
          </w:tcPr>
          <w:p w14:paraId="586DF3FE" w14:textId="77777777" w:rsidR="006507E8" w:rsidRPr="00286216" w:rsidRDefault="006507E8" w:rsidP="006507E8">
            <w:pPr>
              <w:pStyle w:val="StyleWisnow"/>
              <w:rPr>
                <w:color w:val="000000" w:themeColor="text1"/>
              </w:rPr>
            </w:pPr>
          </w:p>
        </w:tc>
        <w:tc>
          <w:tcPr>
            <w:tcW w:w="4818" w:type="dxa"/>
          </w:tcPr>
          <w:p w14:paraId="0D364BF1" w14:textId="26555453" w:rsidR="006507E8" w:rsidRPr="00286216" w:rsidRDefault="006507E8" w:rsidP="006507E8">
            <w:pPr>
              <w:pStyle w:val="StyleZakonu"/>
              <w:rPr>
                <w:color w:val="000000" w:themeColor="text1"/>
              </w:rPr>
            </w:pPr>
            <w:r w:rsidRPr="00286216">
              <w:rPr>
                <w:color w:val="000000" w:themeColor="text1"/>
              </w:rPr>
              <w:t>Анотація також повинна містити застереження, що:</w:t>
            </w:r>
          </w:p>
        </w:tc>
      </w:tr>
      <w:tr w:rsidR="006507E8" w:rsidRPr="00286216" w14:paraId="5A96D1A0" w14:textId="77777777" w:rsidTr="00091AA5">
        <w:tc>
          <w:tcPr>
            <w:tcW w:w="576" w:type="dxa"/>
          </w:tcPr>
          <w:p w14:paraId="23BE9A81" w14:textId="77777777" w:rsidR="006507E8" w:rsidRPr="00286216" w:rsidRDefault="006507E8" w:rsidP="006507E8">
            <w:pPr>
              <w:pStyle w:val="StyleWisnow"/>
              <w:rPr>
                <w:color w:val="000000" w:themeColor="text1"/>
              </w:rPr>
            </w:pPr>
            <w:bookmarkStart w:id="1363" w:name="n1622" w:colFirst="0" w:colLast="0"/>
            <w:bookmarkEnd w:id="1362"/>
            <w:r w:rsidRPr="00286216">
              <w:rPr>
                <w:color w:val="000000" w:themeColor="text1"/>
              </w:rPr>
              <w:t>1622.</w:t>
            </w:r>
          </w:p>
        </w:tc>
        <w:tc>
          <w:tcPr>
            <w:tcW w:w="4818" w:type="dxa"/>
          </w:tcPr>
          <w:p w14:paraId="623A01D5" w14:textId="77777777" w:rsidR="006507E8" w:rsidRPr="00286216" w:rsidRDefault="006507E8" w:rsidP="006507E8">
            <w:pPr>
              <w:pStyle w:val="StyleZakonu"/>
              <w:rPr>
                <w:color w:val="000000" w:themeColor="text1"/>
              </w:rPr>
            </w:pPr>
            <w:r w:rsidRPr="00286216">
              <w:rPr>
                <w:color w:val="000000" w:themeColor="text1"/>
              </w:rPr>
              <w:t>1) її слід розглядати як вступ до проспекту;</w:t>
            </w:r>
          </w:p>
        </w:tc>
        <w:tc>
          <w:tcPr>
            <w:tcW w:w="3686" w:type="dxa"/>
          </w:tcPr>
          <w:p w14:paraId="66652058" w14:textId="77777777" w:rsidR="006507E8" w:rsidRPr="00286216" w:rsidRDefault="006507E8" w:rsidP="006507E8">
            <w:pPr>
              <w:pStyle w:val="StyleProp"/>
              <w:rPr>
                <w:color w:val="000000" w:themeColor="text1"/>
                <w:szCs w:val="18"/>
              </w:rPr>
            </w:pPr>
          </w:p>
        </w:tc>
        <w:tc>
          <w:tcPr>
            <w:tcW w:w="1987" w:type="dxa"/>
          </w:tcPr>
          <w:p w14:paraId="5096B340" w14:textId="77777777" w:rsidR="006507E8" w:rsidRPr="00286216" w:rsidRDefault="006507E8" w:rsidP="006507E8">
            <w:pPr>
              <w:pStyle w:val="StyleWisnow"/>
              <w:rPr>
                <w:color w:val="000000" w:themeColor="text1"/>
              </w:rPr>
            </w:pPr>
          </w:p>
        </w:tc>
        <w:tc>
          <w:tcPr>
            <w:tcW w:w="4818" w:type="dxa"/>
          </w:tcPr>
          <w:p w14:paraId="40676B94" w14:textId="777503DE" w:rsidR="006507E8" w:rsidRPr="00286216" w:rsidRDefault="006507E8" w:rsidP="006507E8">
            <w:pPr>
              <w:pStyle w:val="StyleZakonu"/>
              <w:rPr>
                <w:color w:val="000000" w:themeColor="text1"/>
              </w:rPr>
            </w:pPr>
            <w:r w:rsidRPr="00286216">
              <w:rPr>
                <w:color w:val="000000" w:themeColor="text1"/>
              </w:rPr>
              <w:t>1) її необхідно розглядати як вступ до проспекту;</w:t>
            </w:r>
          </w:p>
        </w:tc>
      </w:tr>
      <w:tr w:rsidR="006507E8" w:rsidRPr="00286216" w14:paraId="53C25222" w14:textId="77777777" w:rsidTr="00091AA5">
        <w:tc>
          <w:tcPr>
            <w:tcW w:w="576" w:type="dxa"/>
          </w:tcPr>
          <w:p w14:paraId="66F4BE31" w14:textId="77777777" w:rsidR="006507E8" w:rsidRPr="00286216" w:rsidRDefault="006507E8" w:rsidP="006507E8">
            <w:pPr>
              <w:pStyle w:val="StyleWisnow"/>
              <w:rPr>
                <w:color w:val="000000" w:themeColor="text1"/>
              </w:rPr>
            </w:pPr>
            <w:bookmarkStart w:id="1364" w:name="n1623" w:colFirst="0" w:colLast="0"/>
            <w:bookmarkEnd w:id="1363"/>
            <w:r w:rsidRPr="00286216">
              <w:rPr>
                <w:color w:val="000000" w:themeColor="text1"/>
              </w:rPr>
              <w:t>1623.</w:t>
            </w:r>
          </w:p>
        </w:tc>
        <w:tc>
          <w:tcPr>
            <w:tcW w:w="4818" w:type="dxa"/>
          </w:tcPr>
          <w:p w14:paraId="56313A30" w14:textId="77777777" w:rsidR="006507E8" w:rsidRPr="00286216" w:rsidRDefault="006507E8" w:rsidP="006507E8">
            <w:pPr>
              <w:pStyle w:val="StyleZakonu"/>
              <w:rPr>
                <w:color w:val="000000" w:themeColor="text1"/>
              </w:rPr>
            </w:pPr>
            <w:r w:rsidRPr="00286216">
              <w:rPr>
                <w:color w:val="000000" w:themeColor="text1"/>
              </w:rPr>
              <w:t>2) будь-яке рішення інвестора щодо інвестування в цінні папери має ґрунтуватися на результатах аналізу проспекту в цілому;</w:t>
            </w:r>
          </w:p>
        </w:tc>
        <w:tc>
          <w:tcPr>
            <w:tcW w:w="3686" w:type="dxa"/>
          </w:tcPr>
          <w:p w14:paraId="39921BDB" w14:textId="77777777" w:rsidR="006507E8" w:rsidRPr="00286216" w:rsidRDefault="006507E8" w:rsidP="006507E8">
            <w:pPr>
              <w:pStyle w:val="StyleProp"/>
              <w:rPr>
                <w:color w:val="000000" w:themeColor="text1"/>
                <w:szCs w:val="18"/>
              </w:rPr>
            </w:pPr>
          </w:p>
        </w:tc>
        <w:tc>
          <w:tcPr>
            <w:tcW w:w="1987" w:type="dxa"/>
          </w:tcPr>
          <w:p w14:paraId="354360EC" w14:textId="77777777" w:rsidR="006507E8" w:rsidRPr="00286216" w:rsidRDefault="006507E8" w:rsidP="006507E8">
            <w:pPr>
              <w:pStyle w:val="StyleWisnow"/>
              <w:rPr>
                <w:color w:val="000000" w:themeColor="text1"/>
              </w:rPr>
            </w:pPr>
          </w:p>
        </w:tc>
        <w:tc>
          <w:tcPr>
            <w:tcW w:w="4818" w:type="dxa"/>
          </w:tcPr>
          <w:p w14:paraId="74EA18B2" w14:textId="40B81392" w:rsidR="006507E8" w:rsidRPr="00286216" w:rsidRDefault="006507E8" w:rsidP="006507E8">
            <w:pPr>
              <w:pStyle w:val="StyleZakonu"/>
              <w:rPr>
                <w:color w:val="000000" w:themeColor="text1"/>
              </w:rPr>
            </w:pPr>
            <w:r w:rsidRPr="00286216">
              <w:rPr>
                <w:color w:val="000000" w:themeColor="text1"/>
              </w:rPr>
              <w:t>2) будь-яке рішення інвестора щодо інвестування в цінні папери має ґрунтуватися на результатах аналізу проспекту в цілому;</w:t>
            </w:r>
          </w:p>
        </w:tc>
      </w:tr>
      <w:tr w:rsidR="006507E8" w:rsidRPr="00286216" w14:paraId="313BDE38" w14:textId="77777777" w:rsidTr="00091AA5">
        <w:tc>
          <w:tcPr>
            <w:tcW w:w="576" w:type="dxa"/>
          </w:tcPr>
          <w:p w14:paraId="60D5CABA" w14:textId="77777777" w:rsidR="006507E8" w:rsidRPr="00286216" w:rsidRDefault="006507E8" w:rsidP="006507E8">
            <w:pPr>
              <w:pStyle w:val="StyleWisnow"/>
              <w:rPr>
                <w:color w:val="000000" w:themeColor="text1"/>
              </w:rPr>
            </w:pPr>
            <w:bookmarkStart w:id="1365" w:name="n1624" w:colFirst="0" w:colLast="0"/>
            <w:bookmarkEnd w:id="1364"/>
            <w:r w:rsidRPr="00286216">
              <w:rPr>
                <w:color w:val="000000" w:themeColor="text1"/>
              </w:rPr>
              <w:t>1624.</w:t>
            </w:r>
          </w:p>
        </w:tc>
        <w:tc>
          <w:tcPr>
            <w:tcW w:w="4818" w:type="dxa"/>
          </w:tcPr>
          <w:p w14:paraId="04CF1C63" w14:textId="77777777" w:rsidR="006507E8" w:rsidRPr="00286216" w:rsidRDefault="006507E8" w:rsidP="006507E8">
            <w:pPr>
              <w:pStyle w:val="StyleZakonu"/>
              <w:rPr>
                <w:color w:val="000000" w:themeColor="text1"/>
              </w:rPr>
            </w:pPr>
            <w:r w:rsidRPr="00286216">
              <w:rPr>
                <w:color w:val="000000" w:themeColor="text1"/>
              </w:rPr>
              <w:t>3) особи, які підписали анотацію, несуть відповідальність лише якщо така анотація містить неправильну, неточну або суперечливу інформацію порівняно з іншими частинами проспекту.</w:t>
            </w:r>
          </w:p>
        </w:tc>
        <w:tc>
          <w:tcPr>
            <w:tcW w:w="3686" w:type="dxa"/>
          </w:tcPr>
          <w:p w14:paraId="1880BB23" w14:textId="77777777" w:rsidR="006507E8" w:rsidRPr="00286216" w:rsidRDefault="006507E8" w:rsidP="006507E8">
            <w:pPr>
              <w:pStyle w:val="StyleProp"/>
              <w:rPr>
                <w:color w:val="000000" w:themeColor="text1"/>
                <w:szCs w:val="18"/>
              </w:rPr>
            </w:pPr>
          </w:p>
        </w:tc>
        <w:tc>
          <w:tcPr>
            <w:tcW w:w="1987" w:type="dxa"/>
          </w:tcPr>
          <w:p w14:paraId="1D97F7E5" w14:textId="77777777" w:rsidR="006507E8" w:rsidRPr="00286216" w:rsidRDefault="006507E8" w:rsidP="006507E8">
            <w:pPr>
              <w:pStyle w:val="StyleWisnow"/>
              <w:rPr>
                <w:color w:val="000000" w:themeColor="text1"/>
              </w:rPr>
            </w:pPr>
          </w:p>
        </w:tc>
        <w:tc>
          <w:tcPr>
            <w:tcW w:w="4818" w:type="dxa"/>
          </w:tcPr>
          <w:p w14:paraId="6A0DDF49" w14:textId="01C5289D" w:rsidR="006507E8" w:rsidRPr="00286216" w:rsidRDefault="006507E8" w:rsidP="006507E8">
            <w:pPr>
              <w:pStyle w:val="StyleZakonu"/>
              <w:rPr>
                <w:color w:val="000000" w:themeColor="text1"/>
              </w:rPr>
            </w:pPr>
            <w:r w:rsidRPr="00286216">
              <w:rPr>
                <w:color w:val="000000" w:themeColor="text1"/>
              </w:rPr>
              <w:t>3) особи, які підписали анотацію, несуть відповідальність лише в разі, якщо така анотація містить неправильну, неточну або суперечливу інформацію порівняно з іншими частинами проспекту.</w:t>
            </w:r>
          </w:p>
        </w:tc>
      </w:tr>
      <w:tr w:rsidR="006507E8" w:rsidRPr="00286216" w14:paraId="3F8DB8FC" w14:textId="77777777" w:rsidTr="00091AA5">
        <w:tc>
          <w:tcPr>
            <w:tcW w:w="576" w:type="dxa"/>
          </w:tcPr>
          <w:p w14:paraId="60C8D6FE" w14:textId="77777777" w:rsidR="006507E8" w:rsidRPr="00286216" w:rsidRDefault="006507E8" w:rsidP="006507E8">
            <w:pPr>
              <w:pStyle w:val="StyleWisnow"/>
              <w:rPr>
                <w:color w:val="000000" w:themeColor="text1"/>
              </w:rPr>
            </w:pPr>
            <w:bookmarkStart w:id="1366" w:name="n1625" w:colFirst="0" w:colLast="0"/>
            <w:bookmarkEnd w:id="1365"/>
            <w:r w:rsidRPr="00286216">
              <w:rPr>
                <w:color w:val="000000" w:themeColor="text1"/>
              </w:rPr>
              <w:t>1625.</w:t>
            </w:r>
          </w:p>
        </w:tc>
        <w:tc>
          <w:tcPr>
            <w:tcW w:w="4818" w:type="dxa"/>
          </w:tcPr>
          <w:p w14:paraId="13ECC783" w14:textId="77777777" w:rsidR="006507E8" w:rsidRPr="00286216" w:rsidRDefault="006507E8" w:rsidP="006507E8">
            <w:pPr>
              <w:pStyle w:val="StyleZakonu"/>
              <w:rPr>
                <w:color w:val="000000" w:themeColor="text1"/>
              </w:rPr>
            </w:pPr>
            <w:r w:rsidRPr="00286216">
              <w:rPr>
                <w:color w:val="000000" w:themeColor="text1"/>
              </w:rPr>
              <w:t>Анотація не може містити посилання на інші документи, крім інших частин цього ж проспекту.</w:t>
            </w:r>
          </w:p>
        </w:tc>
        <w:tc>
          <w:tcPr>
            <w:tcW w:w="3686" w:type="dxa"/>
          </w:tcPr>
          <w:p w14:paraId="7DAE9C04" w14:textId="77777777" w:rsidR="006507E8" w:rsidRPr="00286216" w:rsidRDefault="006507E8" w:rsidP="006507E8">
            <w:pPr>
              <w:pStyle w:val="StyleProp"/>
              <w:rPr>
                <w:color w:val="000000" w:themeColor="text1"/>
                <w:szCs w:val="18"/>
              </w:rPr>
            </w:pPr>
          </w:p>
        </w:tc>
        <w:tc>
          <w:tcPr>
            <w:tcW w:w="1987" w:type="dxa"/>
          </w:tcPr>
          <w:p w14:paraId="2EA444D5" w14:textId="77777777" w:rsidR="006507E8" w:rsidRPr="00286216" w:rsidRDefault="006507E8" w:rsidP="006507E8">
            <w:pPr>
              <w:pStyle w:val="StyleWisnow"/>
              <w:rPr>
                <w:color w:val="000000" w:themeColor="text1"/>
              </w:rPr>
            </w:pPr>
          </w:p>
        </w:tc>
        <w:tc>
          <w:tcPr>
            <w:tcW w:w="4818" w:type="dxa"/>
          </w:tcPr>
          <w:p w14:paraId="6EF17120" w14:textId="212BB96C" w:rsidR="006507E8" w:rsidRPr="00286216" w:rsidRDefault="006507E8" w:rsidP="006507E8">
            <w:pPr>
              <w:pStyle w:val="StyleZakonu"/>
              <w:rPr>
                <w:color w:val="000000" w:themeColor="text1"/>
              </w:rPr>
            </w:pPr>
            <w:r w:rsidRPr="00286216">
              <w:rPr>
                <w:color w:val="000000" w:themeColor="text1"/>
              </w:rPr>
              <w:t>Анотація не може містити посилання на інші документи, крім інших частин цього самого проспекту.</w:t>
            </w:r>
          </w:p>
        </w:tc>
      </w:tr>
      <w:tr w:rsidR="006507E8" w:rsidRPr="00286216" w14:paraId="7256F931" w14:textId="77777777" w:rsidTr="00091AA5">
        <w:tc>
          <w:tcPr>
            <w:tcW w:w="576" w:type="dxa"/>
          </w:tcPr>
          <w:p w14:paraId="3AFE65CD" w14:textId="77777777" w:rsidR="006507E8" w:rsidRPr="00286216" w:rsidRDefault="006507E8" w:rsidP="006507E8">
            <w:pPr>
              <w:pStyle w:val="StyleWisnow"/>
              <w:rPr>
                <w:color w:val="000000" w:themeColor="text1"/>
              </w:rPr>
            </w:pPr>
            <w:bookmarkStart w:id="1367" w:name="n1626" w:colFirst="0" w:colLast="0"/>
            <w:bookmarkEnd w:id="1366"/>
            <w:r w:rsidRPr="00286216">
              <w:rPr>
                <w:color w:val="000000" w:themeColor="text1"/>
              </w:rPr>
              <w:t>1626.</w:t>
            </w:r>
          </w:p>
        </w:tc>
        <w:tc>
          <w:tcPr>
            <w:tcW w:w="4818" w:type="dxa"/>
          </w:tcPr>
          <w:p w14:paraId="4C944389" w14:textId="77777777" w:rsidR="006507E8" w:rsidRPr="00286216" w:rsidRDefault="006507E8" w:rsidP="006507E8">
            <w:pPr>
              <w:pStyle w:val="StyleZakonu"/>
              <w:rPr>
                <w:color w:val="000000" w:themeColor="text1"/>
              </w:rPr>
            </w:pPr>
            <w:r w:rsidRPr="00286216">
              <w:rPr>
                <w:color w:val="000000" w:themeColor="text1"/>
              </w:rPr>
              <w:t>6. У разі емісії цінних паперів, інших ніж пайові цінні папери, у випадках встановлених Національною комісією з цінних паперів та фондового ринку, проспект може на вибір емітента складатися з базового проспекту, що містить всю важливу інформацію про емітента та цінні папери, щодо яких здійснюється публічна пропозиція.</w:t>
            </w:r>
          </w:p>
        </w:tc>
        <w:tc>
          <w:tcPr>
            <w:tcW w:w="3686" w:type="dxa"/>
          </w:tcPr>
          <w:p w14:paraId="6EEFC558" w14:textId="77777777" w:rsidR="006507E8" w:rsidRPr="00286216" w:rsidRDefault="006507E8" w:rsidP="006507E8">
            <w:pPr>
              <w:pStyle w:val="StyleProp"/>
              <w:rPr>
                <w:color w:val="000000" w:themeColor="text1"/>
                <w:szCs w:val="18"/>
              </w:rPr>
            </w:pPr>
          </w:p>
        </w:tc>
        <w:tc>
          <w:tcPr>
            <w:tcW w:w="1987" w:type="dxa"/>
          </w:tcPr>
          <w:p w14:paraId="7F72B45B" w14:textId="77777777" w:rsidR="006507E8" w:rsidRPr="00286216" w:rsidRDefault="006507E8" w:rsidP="006507E8">
            <w:pPr>
              <w:pStyle w:val="StyleWisnow"/>
              <w:rPr>
                <w:color w:val="000000" w:themeColor="text1"/>
              </w:rPr>
            </w:pPr>
          </w:p>
        </w:tc>
        <w:tc>
          <w:tcPr>
            <w:tcW w:w="4818" w:type="dxa"/>
          </w:tcPr>
          <w:p w14:paraId="6E7DFCC5" w14:textId="1C0C096C" w:rsidR="006507E8" w:rsidRPr="00286216" w:rsidRDefault="006507E8" w:rsidP="006507E8">
            <w:pPr>
              <w:pStyle w:val="StyleZakonu"/>
              <w:rPr>
                <w:color w:val="000000" w:themeColor="text1"/>
              </w:rPr>
            </w:pPr>
            <w:r w:rsidRPr="00286216">
              <w:rPr>
                <w:color w:val="000000" w:themeColor="text1"/>
              </w:rPr>
              <w:t>6. У разі емісії цінних паперів, інших, ніж пайові цінні папери, у випадках, встановлених Національною комісією з цінних паперів та фондового ринку, проспект може на вибір емітента складатися з базового проспекту, що містить всю важливу інформацію про емітента та цінні папери, щодо яких здійснюється публічна пропозиція.</w:t>
            </w:r>
          </w:p>
        </w:tc>
      </w:tr>
      <w:tr w:rsidR="006507E8" w:rsidRPr="00286216" w14:paraId="688DBC18" w14:textId="77777777" w:rsidTr="00091AA5">
        <w:tc>
          <w:tcPr>
            <w:tcW w:w="576" w:type="dxa"/>
          </w:tcPr>
          <w:p w14:paraId="0DA2AEBC" w14:textId="77777777" w:rsidR="006507E8" w:rsidRPr="00286216" w:rsidRDefault="006507E8" w:rsidP="006507E8">
            <w:pPr>
              <w:pStyle w:val="StyleWisnow"/>
              <w:rPr>
                <w:color w:val="000000" w:themeColor="text1"/>
              </w:rPr>
            </w:pPr>
            <w:bookmarkStart w:id="1368" w:name="n1627" w:colFirst="0" w:colLast="0"/>
            <w:bookmarkEnd w:id="1367"/>
            <w:r w:rsidRPr="00286216">
              <w:rPr>
                <w:color w:val="000000" w:themeColor="text1"/>
              </w:rPr>
              <w:t>1627.</w:t>
            </w:r>
          </w:p>
        </w:tc>
        <w:tc>
          <w:tcPr>
            <w:tcW w:w="4818" w:type="dxa"/>
          </w:tcPr>
          <w:p w14:paraId="3516255C" w14:textId="77777777" w:rsidR="006507E8" w:rsidRPr="00286216" w:rsidRDefault="006507E8" w:rsidP="006507E8">
            <w:pPr>
              <w:pStyle w:val="StyleZakonu"/>
              <w:rPr>
                <w:color w:val="000000" w:themeColor="text1"/>
              </w:rPr>
            </w:pPr>
            <w:r w:rsidRPr="00286216">
              <w:rPr>
                <w:color w:val="000000" w:themeColor="text1"/>
              </w:rPr>
              <w:t>Інформація, що міститься в базовому проспекті, оновлюється, у випадках встановлених законодавством.</w:t>
            </w:r>
          </w:p>
        </w:tc>
        <w:tc>
          <w:tcPr>
            <w:tcW w:w="3686" w:type="dxa"/>
          </w:tcPr>
          <w:p w14:paraId="2DA403B4" w14:textId="77777777" w:rsidR="006507E8" w:rsidRPr="00286216" w:rsidRDefault="006507E8" w:rsidP="006507E8">
            <w:pPr>
              <w:pStyle w:val="StyleProp"/>
              <w:rPr>
                <w:color w:val="000000" w:themeColor="text1"/>
                <w:szCs w:val="18"/>
              </w:rPr>
            </w:pPr>
          </w:p>
        </w:tc>
        <w:tc>
          <w:tcPr>
            <w:tcW w:w="1987" w:type="dxa"/>
          </w:tcPr>
          <w:p w14:paraId="082EDC99" w14:textId="77777777" w:rsidR="006507E8" w:rsidRPr="00286216" w:rsidRDefault="006507E8" w:rsidP="006507E8">
            <w:pPr>
              <w:pStyle w:val="StyleWisnow"/>
              <w:rPr>
                <w:color w:val="000000" w:themeColor="text1"/>
              </w:rPr>
            </w:pPr>
          </w:p>
        </w:tc>
        <w:tc>
          <w:tcPr>
            <w:tcW w:w="4818" w:type="dxa"/>
          </w:tcPr>
          <w:p w14:paraId="08D182A5" w14:textId="62001C89" w:rsidR="006507E8" w:rsidRPr="00286216" w:rsidRDefault="006507E8" w:rsidP="006507E8">
            <w:pPr>
              <w:pStyle w:val="StyleZakonu"/>
              <w:rPr>
                <w:color w:val="000000" w:themeColor="text1"/>
              </w:rPr>
            </w:pPr>
            <w:r w:rsidRPr="00286216">
              <w:rPr>
                <w:color w:val="000000" w:themeColor="text1"/>
              </w:rPr>
              <w:t>Інформація, що міститься в базовому проспекті, оновлюється у випадках, встановлених законодавством.</w:t>
            </w:r>
          </w:p>
        </w:tc>
      </w:tr>
      <w:tr w:rsidR="006507E8" w:rsidRPr="00286216" w14:paraId="6AA57C53" w14:textId="77777777" w:rsidTr="00091AA5">
        <w:tc>
          <w:tcPr>
            <w:tcW w:w="576" w:type="dxa"/>
          </w:tcPr>
          <w:p w14:paraId="2075E1DA" w14:textId="77777777" w:rsidR="006507E8" w:rsidRPr="00286216" w:rsidRDefault="006507E8" w:rsidP="006507E8">
            <w:pPr>
              <w:pStyle w:val="StyleWisnow"/>
              <w:rPr>
                <w:color w:val="000000" w:themeColor="text1"/>
              </w:rPr>
            </w:pPr>
            <w:bookmarkStart w:id="1369" w:name="n1628" w:colFirst="0" w:colLast="0"/>
            <w:bookmarkEnd w:id="1368"/>
            <w:r w:rsidRPr="00286216">
              <w:rPr>
                <w:color w:val="000000" w:themeColor="text1"/>
              </w:rPr>
              <w:t>1628.</w:t>
            </w:r>
          </w:p>
        </w:tc>
        <w:tc>
          <w:tcPr>
            <w:tcW w:w="4818" w:type="dxa"/>
          </w:tcPr>
          <w:p w14:paraId="656628B5" w14:textId="77777777" w:rsidR="006507E8" w:rsidRPr="00286216" w:rsidRDefault="006507E8" w:rsidP="006507E8">
            <w:pPr>
              <w:pStyle w:val="StyleZakonu"/>
              <w:rPr>
                <w:color w:val="000000" w:themeColor="text1"/>
              </w:rPr>
            </w:pPr>
            <w:r w:rsidRPr="00286216">
              <w:rPr>
                <w:color w:val="000000" w:themeColor="text1"/>
              </w:rPr>
              <w:t>7. У разі, якщо в проспекті не зазначається остаточна ціна, за якою відчужуються цінні папери, у проспекті мають бути зазначені критерії та/або умови, відповідно до яких визначається така ціна. Такі критерії та/або умови, відповідно до яких визначається остаточна ціна, за якою відчужуються цінні папери, встановлюються з урахуванням обмежень, встановлених законом.</w:t>
            </w:r>
          </w:p>
        </w:tc>
        <w:tc>
          <w:tcPr>
            <w:tcW w:w="3686" w:type="dxa"/>
          </w:tcPr>
          <w:p w14:paraId="1B3490A8" w14:textId="77777777" w:rsidR="006507E8" w:rsidRPr="00286216" w:rsidRDefault="006507E8" w:rsidP="006507E8">
            <w:pPr>
              <w:pStyle w:val="StyleProp"/>
              <w:rPr>
                <w:color w:val="000000" w:themeColor="text1"/>
                <w:szCs w:val="18"/>
              </w:rPr>
            </w:pPr>
          </w:p>
        </w:tc>
        <w:tc>
          <w:tcPr>
            <w:tcW w:w="1987" w:type="dxa"/>
          </w:tcPr>
          <w:p w14:paraId="4A9E3BE5" w14:textId="77777777" w:rsidR="006507E8" w:rsidRPr="00286216" w:rsidRDefault="006507E8" w:rsidP="006507E8">
            <w:pPr>
              <w:pStyle w:val="StyleWisnow"/>
              <w:rPr>
                <w:color w:val="000000" w:themeColor="text1"/>
              </w:rPr>
            </w:pPr>
          </w:p>
        </w:tc>
        <w:tc>
          <w:tcPr>
            <w:tcW w:w="4818" w:type="dxa"/>
          </w:tcPr>
          <w:p w14:paraId="336CA93E" w14:textId="57DD9F40" w:rsidR="006507E8" w:rsidRPr="00286216" w:rsidRDefault="006507E8" w:rsidP="006507E8">
            <w:pPr>
              <w:pStyle w:val="StyleZakonu"/>
              <w:rPr>
                <w:color w:val="000000" w:themeColor="text1"/>
              </w:rPr>
            </w:pPr>
            <w:r w:rsidRPr="00286216">
              <w:rPr>
                <w:color w:val="000000" w:themeColor="text1"/>
              </w:rPr>
              <w:t>7. У разі якщо у проспекті не зазначається остаточна ціна, за якою відчужуються цінні папери, у ньому мають бути зазначені критерії та/або умови, відповідно до яких визначається така ціна. Такі критерії та/або умови, відповідно до яких визначається остаточна ціна, за якою відчужуються цінні папери, встановлюються з урахуванням обмежень, встановлених законом.</w:t>
            </w:r>
          </w:p>
        </w:tc>
      </w:tr>
      <w:tr w:rsidR="006507E8" w:rsidRPr="00286216" w14:paraId="66CF6773" w14:textId="77777777" w:rsidTr="00091AA5">
        <w:tc>
          <w:tcPr>
            <w:tcW w:w="576" w:type="dxa"/>
          </w:tcPr>
          <w:p w14:paraId="699F5CF5" w14:textId="77777777" w:rsidR="006507E8" w:rsidRPr="00286216" w:rsidRDefault="006507E8" w:rsidP="006507E8">
            <w:pPr>
              <w:pStyle w:val="StyleWisnow"/>
              <w:rPr>
                <w:color w:val="000000" w:themeColor="text1"/>
              </w:rPr>
            </w:pPr>
            <w:bookmarkStart w:id="1370" w:name="n1629" w:colFirst="0" w:colLast="0"/>
            <w:bookmarkEnd w:id="1369"/>
            <w:r w:rsidRPr="00286216">
              <w:rPr>
                <w:color w:val="000000" w:themeColor="text1"/>
              </w:rPr>
              <w:t>1629.</w:t>
            </w:r>
          </w:p>
        </w:tc>
        <w:tc>
          <w:tcPr>
            <w:tcW w:w="4818" w:type="dxa"/>
          </w:tcPr>
          <w:p w14:paraId="21BE16EC" w14:textId="77777777" w:rsidR="006507E8" w:rsidRPr="00286216" w:rsidRDefault="006507E8" w:rsidP="006507E8">
            <w:pPr>
              <w:pStyle w:val="StyleZakonu"/>
              <w:rPr>
                <w:color w:val="000000" w:themeColor="text1"/>
              </w:rPr>
            </w:pPr>
            <w:r w:rsidRPr="00286216">
              <w:rPr>
                <w:color w:val="000000" w:themeColor="text1"/>
              </w:rPr>
              <w:t>Інформація про остаточну ціну, за якою відчужуються цінні папери, повинна:</w:t>
            </w:r>
          </w:p>
        </w:tc>
        <w:tc>
          <w:tcPr>
            <w:tcW w:w="3686" w:type="dxa"/>
          </w:tcPr>
          <w:p w14:paraId="14820F23" w14:textId="77777777" w:rsidR="006507E8" w:rsidRPr="00286216" w:rsidRDefault="006507E8" w:rsidP="006507E8">
            <w:pPr>
              <w:pStyle w:val="StyleProp"/>
              <w:rPr>
                <w:color w:val="000000" w:themeColor="text1"/>
                <w:szCs w:val="18"/>
              </w:rPr>
            </w:pPr>
          </w:p>
        </w:tc>
        <w:tc>
          <w:tcPr>
            <w:tcW w:w="1987" w:type="dxa"/>
          </w:tcPr>
          <w:p w14:paraId="5C8B7C6B" w14:textId="77777777" w:rsidR="006507E8" w:rsidRPr="00286216" w:rsidRDefault="006507E8" w:rsidP="006507E8">
            <w:pPr>
              <w:pStyle w:val="StyleWisnow"/>
              <w:rPr>
                <w:color w:val="000000" w:themeColor="text1"/>
              </w:rPr>
            </w:pPr>
          </w:p>
        </w:tc>
        <w:tc>
          <w:tcPr>
            <w:tcW w:w="4818" w:type="dxa"/>
          </w:tcPr>
          <w:p w14:paraId="6E30F261" w14:textId="077E38B3" w:rsidR="006507E8" w:rsidRPr="00286216" w:rsidRDefault="006507E8" w:rsidP="006507E8">
            <w:pPr>
              <w:pStyle w:val="StyleZakonu"/>
              <w:rPr>
                <w:color w:val="000000" w:themeColor="text1"/>
              </w:rPr>
            </w:pPr>
            <w:r w:rsidRPr="00286216">
              <w:rPr>
                <w:color w:val="000000" w:themeColor="text1"/>
              </w:rPr>
              <w:t>Інформація про остаточну ціну, за якою відчужуються цінні папери, повинна:</w:t>
            </w:r>
          </w:p>
        </w:tc>
      </w:tr>
      <w:tr w:rsidR="006507E8" w:rsidRPr="00286216" w14:paraId="2504487A" w14:textId="77777777" w:rsidTr="00091AA5">
        <w:tc>
          <w:tcPr>
            <w:tcW w:w="576" w:type="dxa"/>
          </w:tcPr>
          <w:p w14:paraId="3DC09C7D" w14:textId="77777777" w:rsidR="006507E8" w:rsidRPr="00286216" w:rsidRDefault="006507E8" w:rsidP="006507E8">
            <w:pPr>
              <w:pStyle w:val="StyleWisnow"/>
              <w:rPr>
                <w:color w:val="000000" w:themeColor="text1"/>
              </w:rPr>
            </w:pPr>
            <w:bookmarkStart w:id="1371" w:name="n1630" w:colFirst="0" w:colLast="0"/>
            <w:bookmarkEnd w:id="1370"/>
            <w:r w:rsidRPr="00286216">
              <w:rPr>
                <w:color w:val="000000" w:themeColor="text1"/>
              </w:rPr>
              <w:t>1630.</w:t>
            </w:r>
          </w:p>
        </w:tc>
        <w:tc>
          <w:tcPr>
            <w:tcW w:w="4818" w:type="dxa"/>
          </w:tcPr>
          <w:p w14:paraId="21404EF7" w14:textId="77777777" w:rsidR="006507E8" w:rsidRPr="00286216" w:rsidRDefault="006507E8" w:rsidP="006507E8">
            <w:pPr>
              <w:pStyle w:val="StyleZakonu"/>
              <w:rPr>
                <w:color w:val="000000" w:themeColor="text1"/>
              </w:rPr>
            </w:pPr>
            <w:r w:rsidRPr="00286216">
              <w:rPr>
                <w:color w:val="000000" w:themeColor="text1"/>
              </w:rPr>
              <w:t>1) оприлюднюватися відповідно до вимог частин першої та другої статті 98 цього Закону;</w:t>
            </w:r>
          </w:p>
        </w:tc>
        <w:tc>
          <w:tcPr>
            <w:tcW w:w="3686" w:type="dxa"/>
          </w:tcPr>
          <w:p w14:paraId="3B220E41" w14:textId="77777777" w:rsidR="006507E8" w:rsidRPr="00286216" w:rsidRDefault="006507E8" w:rsidP="006507E8">
            <w:pPr>
              <w:pStyle w:val="StyleProp"/>
              <w:rPr>
                <w:color w:val="000000" w:themeColor="text1"/>
                <w:szCs w:val="18"/>
              </w:rPr>
            </w:pPr>
          </w:p>
        </w:tc>
        <w:tc>
          <w:tcPr>
            <w:tcW w:w="1987" w:type="dxa"/>
          </w:tcPr>
          <w:p w14:paraId="2489BA1E" w14:textId="77777777" w:rsidR="006507E8" w:rsidRPr="00286216" w:rsidRDefault="006507E8" w:rsidP="006507E8">
            <w:pPr>
              <w:pStyle w:val="StyleWisnow"/>
              <w:rPr>
                <w:color w:val="000000" w:themeColor="text1"/>
              </w:rPr>
            </w:pPr>
          </w:p>
        </w:tc>
        <w:tc>
          <w:tcPr>
            <w:tcW w:w="4818" w:type="dxa"/>
          </w:tcPr>
          <w:p w14:paraId="52B5D6F5" w14:textId="2DEEE243" w:rsidR="006507E8" w:rsidRPr="00286216" w:rsidRDefault="006507E8" w:rsidP="006507E8">
            <w:pPr>
              <w:pStyle w:val="StyleZakonu"/>
              <w:rPr>
                <w:color w:val="000000" w:themeColor="text1"/>
              </w:rPr>
            </w:pPr>
            <w:r w:rsidRPr="00286216">
              <w:rPr>
                <w:color w:val="000000" w:themeColor="text1"/>
              </w:rPr>
              <w:t>1) оприлюднюватися відповідно до вимог частин першої і другої статті 102 цього Закону;</w:t>
            </w:r>
          </w:p>
        </w:tc>
      </w:tr>
      <w:tr w:rsidR="006507E8" w:rsidRPr="00286216" w14:paraId="0517C662" w14:textId="77777777" w:rsidTr="00091AA5">
        <w:tc>
          <w:tcPr>
            <w:tcW w:w="576" w:type="dxa"/>
          </w:tcPr>
          <w:p w14:paraId="305D3122" w14:textId="77777777" w:rsidR="006507E8" w:rsidRPr="00286216" w:rsidRDefault="006507E8" w:rsidP="006507E8">
            <w:pPr>
              <w:pStyle w:val="StyleWisnow"/>
              <w:rPr>
                <w:color w:val="000000" w:themeColor="text1"/>
              </w:rPr>
            </w:pPr>
            <w:bookmarkStart w:id="1372" w:name="n1631" w:colFirst="0" w:colLast="0"/>
            <w:bookmarkEnd w:id="1371"/>
            <w:r w:rsidRPr="00286216">
              <w:rPr>
                <w:color w:val="000000" w:themeColor="text1"/>
              </w:rPr>
              <w:t>1631.</w:t>
            </w:r>
          </w:p>
        </w:tc>
        <w:tc>
          <w:tcPr>
            <w:tcW w:w="4818" w:type="dxa"/>
          </w:tcPr>
          <w:p w14:paraId="0232C3C4" w14:textId="77777777" w:rsidR="006507E8" w:rsidRPr="00286216" w:rsidRDefault="006507E8" w:rsidP="006507E8">
            <w:pPr>
              <w:pStyle w:val="StyleZakonu"/>
              <w:rPr>
                <w:color w:val="000000" w:themeColor="text1"/>
              </w:rPr>
            </w:pPr>
            <w:r w:rsidRPr="00286216">
              <w:rPr>
                <w:color w:val="000000" w:themeColor="text1"/>
              </w:rPr>
              <w:t>2) подаватися Національній комісії з цінних паперів та фондового ринку одночасно із звітом про результати їх емісії.</w:t>
            </w:r>
          </w:p>
        </w:tc>
        <w:tc>
          <w:tcPr>
            <w:tcW w:w="3686" w:type="dxa"/>
          </w:tcPr>
          <w:p w14:paraId="708CE495" w14:textId="77777777" w:rsidR="006507E8" w:rsidRPr="00286216" w:rsidRDefault="006507E8" w:rsidP="006507E8">
            <w:pPr>
              <w:pStyle w:val="StyleProp"/>
              <w:rPr>
                <w:color w:val="000000" w:themeColor="text1"/>
                <w:szCs w:val="18"/>
              </w:rPr>
            </w:pPr>
          </w:p>
        </w:tc>
        <w:tc>
          <w:tcPr>
            <w:tcW w:w="1987" w:type="dxa"/>
          </w:tcPr>
          <w:p w14:paraId="682A12AD" w14:textId="77777777" w:rsidR="006507E8" w:rsidRPr="00286216" w:rsidRDefault="006507E8" w:rsidP="006507E8">
            <w:pPr>
              <w:pStyle w:val="StyleWisnow"/>
              <w:rPr>
                <w:color w:val="000000" w:themeColor="text1"/>
              </w:rPr>
            </w:pPr>
          </w:p>
        </w:tc>
        <w:tc>
          <w:tcPr>
            <w:tcW w:w="4818" w:type="dxa"/>
          </w:tcPr>
          <w:p w14:paraId="311B7301" w14:textId="63D9BA0E" w:rsidR="006507E8" w:rsidRPr="00286216" w:rsidRDefault="006507E8" w:rsidP="006507E8">
            <w:pPr>
              <w:pStyle w:val="StyleZakonu"/>
              <w:rPr>
                <w:color w:val="000000" w:themeColor="text1"/>
              </w:rPr>
            </w:pPr>
            <w:r w:rsidRPr="00286216">
              <w:rPr>
                <w:color w:val="000000" w:themeColor="text1"/>
              </w:rPr>
              <w:t>2) подаватися Національній комісії з цінних паперів та фондового ринку одночасно із звітом про результати їх емісії.</w:t>
            </w:r>
          </w:p>
        </w:tc>
      </w:tr>
      <w:tr w:rsidR="006507E8" w:rsidRPr="00286216" w14:paraId="27BDDAD9" w14:textId="77777777" w:rsidTr="00091AA5">
        <w:tc>
          <w:tcPr>
            <w:tcW w:w="576" w:type="dxa"/>
          </w:tcPr>
          <w:p w14:paraId="7C2248FB" w14:textId="77777777" w:rsidR="006507E8" w:rsidRPr="00286216" w:rsidRDefault="006507E8" w:rsidP="006507E8">
            <w:pPr>
              <w:pStyle w:val="StyleWisnow"/>
              <w:rPr>
                <w:color w:val="000000" w:themeColor="text1"/>
              </w:rPr>
            </w:pPr>
            <w:bookmarkStart w:id="1373" w:name="n1632" w:colFirst="0" w:colLast="0"/>
            <w:bookmarkEnd w:id="1372"/>
            <w:r w:rsidRPr="00286216">
              <w:rPr>
                <w:color w:val="000000" w:themeColor="text1"/>
              </w:rPr>
              <w:t>1632.</w:t>
            </w:r>
          </w:p>
        </w:tc>
        <w:tc>
          <w:tcPr>
            <w:tcW w:w="4818" w:type="dxa"/>
          </w:tcPr>
          <w:p w14:paraId="4A56CBE8" w14:textId="77777777" w:rsidR="006507E8" w:rsidRPr="00286216" w:rsidRDefault="006507E8" w:rsidP="006507E8">
            <w:pPr>
              <w:pStyle w:val="StyleZakonu"/>
              <w:rPr>
                <w:color w:val="000000" w:themeColor="text1"/>
              </w:rPr>
            </w:pPr>
            <w:r w:rsidRPr="00286216">
              <w:rPr>
                <w:color w:val="000000" w:themeColor="text1"/>
              </w:rPr>
              <w:t xml:space="preserve">8. У разі якщо проспект оформлюється юридичною особою, він підписується особою, яка </w:t>
            </w:r>
            <w:r w:rsidRPr="00286216">
              <w:rPr>
                <w:color w:val="000000" w:themeColor="text1"/>
              </w:rPr>
              <w:lastRenderedPageBreak/>
              <w:t>здійснює управлінські функції в такій юридичній особі. У разі якщо проспект складається з кількох документів, ці документи можуть бути підписані різними особами, які здійснюють управлінські функції в особі, що оформлює проспект.</w:t>
            </w:r>
          </w:p>
        </w:tc>
        <w:tc>
          <w:tcPr>
            <w:tcW w:w="3686" w:type="dxa"/>
          </w:tcPr>
          <w:p w14:paraId="7ED94D88" w14:textId="77777777" w:rsidR="006507E8" w:rsidRPr="00286216" w:rsidRDefault="006507E8" w:rsidP="006507E8">
            <w:pPr>
              <w:pStyle w:val="StyleProp"/>
              <w:rPr>
                <w:color w:val="000000" w:themeColor="text1"/>
                <w:szCs w:val="18"/>
              </w:rPr>
            </w:pPr>
          </w:p>
        </w:tc>
        <w:tc>
          <w:tcPr>
            <w:tcW w:w="1987" w:type="dxa"/>
          </w:tcPr>
          <w:p w14:paraId="71805AD5" w14:textId="77777777" w:rsidR="006507E8" w:rsidRPr="00286216" w:rsidRDefault="006507E8" w:rsidP="006507E8">
            <w:pPr>
              <w:pStyle w:val="StyleWisnow"/>
              <w:rPr>
                <w:color w:val="000000" w:themeColor="text1"/>
              </w:rPr>
            </w:pPr>
          </w:p>
        </w:tc>
        <w:tc>
          <w:tcPr>
            <w:tcW w:w="4818" w:type="dxa"/>
          </w:tcPr>
          <w:p w14:paraId="6429841B" w14:textId="121FC627" w:rsidR="006507E8" w:rsidRPr="00286216" w:rsidRDefault="006507E8" w:rsidP="006507E8">
            <w:pPr>
              <w:pStyle w:val="StyleZakonu"/>
              <w:rPr>
                <w:color w:val="000000" w:themeColor="text1"/>
              </w:rPr>
            </w:pPr>
            <w:r w:rsidRPr="00286216">
              <w:rPr>
                <w:color w:val="000000" w:themeColor="text1"/>
              </w:rPr>
              <w:t xml:space="preserve">8. У разі якщо проспект оформлюється юридичною особою, він підписується особою, яка </w:t>
            </w:r>
            <w:r w:rsidRPr="00286216">
              <w:rPr>
                <w:color w:val="000000" w:themeColor="text1"/>
              </w:rPr>
              <w:lastRenderedPageBreak/>
              <w:t>здійснює управлінські функції в такій юридичній особі. У разі якщо проспект складається з кількох документів, такі документи можуть бути підписані різними особами, які здійснюють управлінські функції в особі, що оформлює проспект.</w:t>
            </w:r>
          </w:p>
        </w:tc>
      </w:tr>
      <w:tr w:rsidR="006507E8" w:rsidRPr="00286216" w14:paraId="5ABE2C14" w14:textId="77777777" w:rsidTr="00091AA5">
        <w:tc>
          <w:tcPr>
            <w:tcW w:w="576" w:type="dxa"/>
          </w:tcPr>
          <w:p w14:paraId="398184E8" w14:textId="77777777" w:rsidR="006507E8" w:rsidRPr="00286216" w:rsidRDefault="006507E8" w:rsidP="006507E8">
            <w:pPr>
              <w:pStyle w:val="StyleWisnow"/>
              <w:rPr>
                <w:color w:val="000000" w:themeColor="text1"/>
              </w:rPr>
            </w:pPr>
            <w:bookmarkStart w:id="1374" w:name="n1633" w:colFirst="0" w:colLast="0"/>
            <w:bookmarkEnd w:id="1373"/>
            <w:r w:rsidRPr="00286216">
              <w:rPr>
                <w:color w:val="000000" w:themeColor="text1"/>
              </w:rPr>
              <w:lastRenderedPageBreak/>
              <w:t>1633.</w:t>
            </w:r>
          </w:p>
        </w:tc>
        <w:tc>
          <w:tcPr>
            <w:tcW w:w="4818" w:type="dxa"/>
          </w:tcPr>
          <w:p w14:paraId="38D49C76" w14:textId="77777777" w:rsidR="006507E8" w:rsidRPr="00286216" w:rsidRDefault="006507E8" w:rsidP="006507E8">
            <w:pPr>
              <w:pStyle w:val="StyleZakonu"/>
              <w:rPr>
                <w:color w:val="000000" w:themeColor="text1"/>
              </w:rPr>
            </w:pPr>
            <w:r w:rsidRPr="00286216">
              <w:rPr>
                <w:color w:val="000000" w:themeColor="text1"/>
              </w:rPr>
              <w:t>Особи, які підписали проспект, тим самим підтверджують достовірність відомостей, які в ньому містяться.</w:t>
            </w:r>
          </w:p>
        </w:tc>
        <w:tc>
          <w:tcPr>
            <w:tcW w:w="3686" w:type="dxa"/>
          </w:tcPr>
          <w:p w14:paraId="4F832F16" w14:textId="77777777" w:rsidR="006507E8" w:rsidRPr="00286216" w:rsidRDefault="006507E8" w:rsidP="006507E8">
            <w:pPr>
              <w:pStyle w:val="StyleProp"/>
              <w:rPr>
                <w:color w:val="000000" w:themeColor="text1"/>
                <w:szCs w:val="18"/>
              </w:rPr>
            </w:pPr>
          </w:p>
        </w:tc>
        <w:tc>
          <w:tcPr>
            <w:tcW w:w="1987" w:type="dxa"/>
          </w:tcPr>
          <w:p w14:paraId="76B23F1F" w14:textId="77777777" w:rsidR="006507E8" w:rsidRPr="00286216" w:rsidRDefault="006507E8" w:rsidP="006507E8">
            <w:pPr>
              <w:pStyle w:val="StyleWisnow"/>
              <w:rPr>
                <w:color w:val="000000" w:themeColor="text1"/>
              </w:rPr>
            </w:pPr>
          </w:p>
        </w:tc>
        <w:tc>
          <w:tcPr>
            <w:tcW w:w="4818" w:type="dxa"/>
          </w:tcPr>
          <w:p w14:paraId="2F2C8A30" w14:textId="1B87C1E9" w:rsidR="006507E8" w:rsidRPr="00286216" w:rsidRDefault="006507E8" w:rsidP="006507E8">
            <w:pPr>
              <w:pStyle w:val="StyleZakonu"/>
              <w:rPr>
                <w:color w:val="000000" w:themeColor="text1"/>
              </w:rPr>
            </w:pPr>
            <w:r w:rsidRPr="00286216">
              <w:rPr>
                <w:color w:val="000000" w:themeColor="text1"/>
              </w:rPr>
              <w:t>Особи, які підписали проспект, тим самим підтверджують достовірність відомостей, які в ньому містяться.</w:t>
            </w:r>
          </w:p>
        </w:tc>
      </w:tr>
      <w:tr w:rsidR="006507E8" w:rsidRPr="00286216" w14:paraId="75C621B4" w14:textId="77777777" w:rsidTr="00091AA5">
        <w:tc>
          <w:tcPr>
            <w:tcW w:w="576" w:type="dxa"/>
          </w:tcPr>
          <w:p w14:paraId="4CADD089" w14:textId="77777777" w:rsidR="006507E8" w:rsidRPr="00286216" w:rsidRDefault="006507E8" w:rsidP="006507E8">
            <w:pPr>
              <w:pStyle w:val="StyleWisnow"/>
              <w:rPr>
                <w:color w:val="000000" w:themeColor="text1"/>
              </w:rPr>
            </w:pPr>
            <w:bookmarkStart w:id="1375" w:name="n1634" w:colFirst="0" w:colLast="0"/>
            <w:bookmarkEnd w:id="1374"/>
            <w:r w:rsidRPr="00286216">
              <w:rPr>
                <w:color w:val="000000" w:themeColor="text1"/>
              </w:rPr>
              <w:t>1634.</w:t>
            </w:r>
          </w:p>
        </w:tc>
        <w:tc>
          <w:tcPr>
            <w:tcW w:w="4818" w:type="dxa"/>
          </w:tcPr>
          <w:p w14:paraId="4325E65F" w14:textId="77777777" w:rsidR="006507E8" w:rsidRPr="00286216" w:rsidRDefault="006507E8" w:rsidP="006507E8">
            <w:pPr>
              <w:pStyle w:val="StyleZakonu"/>
              <w:rPr>
                <w:color w:val="000000" w:themeColor="text1"/>
              </w:rPr>
            </w:pPr>
            <w:r w:rsidRPr="00286216">
              <w:rPr>
                <w:color w:val="000000" w:themeColor="text1"/>
              </w:rPr>
              <w:t>Особа, яка оформлює проспект, за включення до проспекту недостовірних та/або оманливих відомостей несе відповідальність, визначену законом.</w:t>
            </w:r>
          </w:p>
        </w:tc>
        <w:tc>
          <w:tcPr>
            <w:tcW w:w="3686" w:type="dxa"/>
          </w:tcPr>
          <w:p w14:paraId="200392BF" w14:textId="77777777" w:rsidR="006507E8" w:rsidRPr="00286216" w:rsidRDefault="006507E8" w:rsidP="006507E8">
            <w:pPr>
              <w:pStyle w:val="StyleProp"/>
              <w:rPr>
                <w:color w:val="000000" w:themeColor="text1"/>
                <w:szCs w:val="18"/>
              </w:rPr>
            </w:pPr>
          </w:p>
        </w:tc>
        <w:tc>
          <w:tcPr>
            <w:tcW w:w="1987" w:type="dxa"/>
          </w:tcPr>
          <w:p w14:paraId="442160C2" w14:textId="77777777" w:rsidR="006507E8" w:rsidRPr="00286216" w:rsidRDefault="006507E8" w:rsidP="006507E8">
            <w:pPr>
              <w:pStyle w:val="StyleWisnow"/>
              <w:rPr>
                <w:color w:val="000000" w:themeColor="text1"/>
              </w:rPr>
            </w:pPr>
          </w:p>
        </w:tc>
        <w:tc>
          <w:tcPr>
            <w:tcW w:w="4818" w:type="dxa"/>
          </w:tcPr>
          <w:p w14:paraId="4F89D53B" w14:textId="634161CB" w:rsidR="006507E8" w:rsidRPr="00286216" w:rsidRDefault="006507E8" w:rsidP="006507E8">
            <w:pPr>
              <w:pStyle w:val="StyleZakonu"/>
              <w:rPr>
                <w:color w:val="000000" w:themeColor="text1"/>
              </w:rPr>
            </w:pPr>
            <w:r w:rsidRPr="00286216">
              <w:rPr>
                <w:color w:val="000000" w:themeColor="text1"/>
              </w:rPr>
              <w:t>Особа, яка оформлює проспект, за включення до проспекту недостовірних та/або оманливих відомостей несе відповідальність, визначену законом.</w:t>
            </w:r>
          </w:p>
        </w:tc>
      </w:tr>
      <w:tr w:rsidR="006507E8" w:rsidRPr="00286216" w14:paraId="6C1450E6" w14:textId="77777777" w:rsidTr="00091AA5">
        <w:tc>
          <w:tcPr>
            <w:tcW w:w="576" w:type="dxa"/>
          </w:tcPr>
          <w:p w14:paraId="4D07FE76" w14:textId="77777777" w:rsidR="006507E8" w:rsidRPr="00286216" w:rsidRDefault="006507E8" w:rsidP="006507E8">
            <w:pPr>
              <w:pStyle w:val="StyleWisnow"/>
              <w:rPr>
                <w:color w:val="000000" w:themeColor="text1"/>
              </w:rPr>
            </w:pPr>
            <w:bookmarkStart w:id="1376" w:name="n1635" w:colFirst="0" w:colLast="0"/>
            <w:bookmarkEnd w:id="1375"/>
            <w:r w:rsidRPr="00286216">
              <w:rPr>
                <w:color w:val="000000" w:themeColor="text1"/>
              </w:rPr>
              <w:t>1635.</w:t>
            </w:r>
          </w:p>
        </w:tc>
        <w:tc>
          <w:tcPr>
            <w:tcW w:w="4818" w:type="dxa"/>
          </w:tcPr>
          <w:p w14:paraId="46B9C950" w14:textId="77777777" w:rsidR="006507E8" w:rsidRPr="00286216" w:rsidRDefault="006507E8" w:rsidP="006507E8">
            <w:pPr>
              <w:pStyle w:val="StyleZakonu"/>
              <w:rPr>
                <w:color w:val="000000" w:themeColor="text1"/>
              </w:rPr>
            </w:pPr>
            <w:r w:rsidRPr="00286216">
              <w:rPr>
                <w:color w:val="000000" w:themeColor="text1"/>
              </w:rPr>
              <w:t>9. Особа, яка надає забезпечення за відповідним випуском цінних паперів, за включення до проспекту недостовірних відомостей, які стосуються наданого забезпечення, несе відповідальність, визначену законом.</w:t>
            </w:r>
          </w:p>
        </w:tc>
        <w:tc>
          <w:tcPr>
            <w:tcW w:w="3686" w:type="dxa"/>
          </w:tcPr>
          <w:p w14:paraId="606CD0BC" w14:textId="77777777" w:rsidR="006507E8" w:rsidRPr="00286216" w:rsidRDefault="006507E8" w:rsidP="006507E8">
            <w:pPr>
              <w:pStyle w:val="StyleProp"/>
              <w:rPr>
                <w:color w:val="000000" w:themeColor="text1"/>
                <w:szCs w:val="18"/>
              </w:rPr>
            </w:pPr>
          </w:p>
        </w:tc>
        <w:tc>
          <w:tcPr>
            <w:tcW w:w="1987" w:type="dxa"/>
          </w:tcPr>
          <w:p w14:paraId="4990B1DC" w14:textId="77777777" w:rsidR="006507E8" w:rsidRPr="00286216" w:rsidRDefault="006507E8" w:rsidP="006507E8">
            <w:pPr>
              <w:pStyle w:val="StyleWisnow"/>
              <w:rPr>
                <w:color w:val="000000" w:themeColor="text1"/>
              </w:rPr>
            </w:pPr>
          </w:p>
        </w:tc>
        <w:tc>
          <w:tcPr>
            <w:tcW w:w="4818" w:type="dxa"/>
          </w:tcPr>
          <w:p w14:paraId="4F041E89" w14:textId="7B3621B1" w:rsidR="006507E8" w:rsidRPr="00286216" w:rsidRDefault="006507E8" w:rsidP="006507E8">
            <w:pPr>
              <w:pStyle w:val="StyleZakonu"/>
              <w:rPr>
                <w:color w:val="000000" w:themeColor="text1"/>
              </w:rPr>
            </w:pPr>
            <w:r w:rsidRPr="00286216">
              <w:rPr>
                <w:color w:val="000000" w:themeColor="text1"/>
              </w:rPr>
              <w:t>9. Особа, яка надає забезпечення за відповідним випуском цінних паперів, за включення до проспекту недостовірних відомостей, які стосуються наданого забезпечення, несе відповідальність, визначену законом.</w:t>
            </w:r>
          </w:p>
        </w:tc>
      </w:tr>
      <w:tr w:rsidR="006507E8" w:rsidRPr="00286216" w14:paraId="6357885E" w14:textId="77777777" w:rsidTr="00091AA5">
        <w:tc>
          <w:tcPr>
            <w:tcW w:w="576" w:type="dxa"/>
          </w:tcPr>
          <w:p w14:paraId="62706D4E" w14:textId="77777777" w:rsidR="006507E8" w:rsidRPr="00286216" w:rsidRDefault="006507E8" w:rsidP="006507E8">
            <w:pPr>
              <w:pStyle w:val="StyleWisnow"/>
              <w:rPr>
                <w:color w:val="000000" w:themeColor="text1"/>
              </w:rPr>
            </w:pPr>
            <w:bookmarkStart w:id="1377" w:name="n1636" w:colFirst="0" w:colLast="0"/>
            <w:bookmarkEnd w:id="1376"/>
            <w:r w:rsidRPr="00286216">
              <w:rPr>
                <w:color w:val="000000" w:themeColor="text1"/>
              </w:rPr>
              <w:t>1636.</w:t>
            </w:r>
          </w:p>
        </w:tc>
        <w:tc>
          <w:tcPr>
            <w:tcW w:w="4818" w:type="dxa"/>
          </w:tcPr>
          <w:p w14:paraId="0E1E3CF4" w14:textId="77777777" w:rsidR="006507E8" w:rsidRPr="00286216" w:rsidRDefault="006507E8" w:rsidP="006507E8">
            <w:pPr>
              <w:pStyle w:val="StyleZakonu"/>
              <w:rPr>
                <w:color w:val="000000" w:themeColor="text1"/>
              </w:rPr>
            </w:pPr>
            <w:r w:rsidRPr="00286216">
              <w:rPr>
                <w:color w:val="000000" w:themeColor="text1"/>
              </w:rPr>
              <w:t>Особи, які надають забезпечення за відповідним випуском цінних паперів, підписують проспект таких цінних паперів.</w:t>
            </w:r>
          </w:p>
        </w:tc>
        <w:tc>
          <w:tcPr>
            <w:tcW w:w="3686" w:type="dxa"/>
          </w:tcPr>
          <w:p w14:paraId="39151A88" w14:textId="77777777" w:rsidR="006507E8" w:rsidRPr="00286216" w:rsidRDefault="006507E8" w:rsidP="006507E8">
            <w:pPr>
              <w:pStyle w:val="StyleProp"/>
              <w:rPr>
                <w:color w:val="000000" w:themeColor="text1"/>
                <w:szCs w:val="18"/>
              </w:rPr>
            </w:pPr>
          </w:p>
        </w:tc>
        <w:tc>
          <w:tcPr>
            <w:tcW w:w="1987" w:type="dxa"/>
          </w:tcPr>
          <w:p w14:paraId="79A7AE97" w14:textId="77777777" w:rsidR="006507E8" w:rsidRPr="00286216" w:rsidRDefault="006507E8" w:rsidP="006507E8">
            <w:pPr>
              <w:pStyle w:val="StyleWisnow"/>
              <w:rPr>
                <w:color w:val="000000" w:themeColor="text1"/>
              </w:rPr>
            </w:pPr>
          </w:p>
        </w:tc>
        <w:tc>
          <w:tcPr>
            <w:tcW w:w="4818" w:type="dxa"/>
          </w:tcPr>
          <w:p w14:paraId="30E1D93B" w14:textId="277C51C9" w:rsidR="006507E8" w:rsidRPr="00286216" w:rsidRDefault="006507E8" w:rsidP="006507E8">
            <w:pPr>
              <w:pStyle w:val="StyleZakonu"/>
              <w:rPr>
                <w:color w:val="000000" w:themeColor="text1"/>
              </w:rPr>
            </w:pPr>
            <w:r w:rsidRPr="00286216">
              <w:rPr>
                <w:color w:val="000000" w:themeColor="text1"/>
              </w:rPr>
              <w:t>Особи, які надають забезпечення за відповідним випуском цінних паперів, підписують проспект таких цінних паперів.</w:t>
            </w:r>
          </w:p>
        </w:tc>
      </w:tr>
      <w:tr w:rsidR="006507E8" w:rsidRPr="00286216" w14:paraId="7D1DE946" w14:textId="77777777" w:rsidTr="00091AA5">
        <w:tc>
          <w:tcPr>
            <w:tcW w:w="576" w:type="dxa"/>
          </w:tcPr>
          <w:p w14:paraId="3017797B" w14:textId="77777777" w:rsidR="006507E8" w:rsidRPr="00286216" w:rsidRDefault="006507E8" w:rsidP="006507E8">
            <w:pPr>
              <w:pStyle w:val="StyleWisnow"/>
              <w:rPr>
                <w:color w:val="000000" w:themeColor="text1"/>
              </w:rPr>
            </w:pPr>
            <w:bookmarkStart w:id="1378" w:name="n1637" w:colFirst="0" w:colLast="0"/>
            <w:bookmarkEnd w:id="1377"/>
            <w:r w:rsidRPr="00286216">
              <w:rPr>
                <w:color w:val="000000" w:themeColor="text1"/>
              </w:rPr>
              <w:t>1637.</w:t>
            </w:r>
          </w:p>
        </w:tc>
        <w:tc>
          <w:tcPr>
            <w:tcW w:w="4818" w:type="dxa"/>
          </w:tcPr>
          <w:p w14:paraId="0F9C3CC7" w14:textId="77777777" w:rsidR="006507E8" w:rsidRPr="00286216" w:rsidRDefault="006507E8" w:rsidP="006507E8">
            <w:pPr>
              <w:pStyle w:val="StyleZakonu"/>
              <w:rPr>
                <w:color w:val="000000" w:themeColor="text1"/>
              </w:rPr>
            </w:pPr>
            <w:r w:rsidRPr="00286216">
              <w:rPr>
                <w:color w:val="000000" w:themeColor="text1"/>
              </w:rPr>
              <w:t>10. Фінансова звітність, що включається до проспекту, має бути перевірена суб’єктом аудиторської діяльності.</w:t>
            </w:r>
          </w:p>
        </w:tc>
        <w:tc>
          <w:tcPr>
            <w:tcW w:w="3686" w:type="dxa"/>
          </w:tcPr>
          <w:p w14:paraId="77D450A4" w14:textId="77777777" w:rsidR="006507E8" w:rsidRPr="00286216" w:rsidRDefault="006507E8" w:rsidP="006507E8">
            <w:pPr>
              <w:pStyle w:val="StyleProp"/>
              <w:rPr>
                <w:color w:val="000000" w:themeColor="text1"/>
                <w:szCs w:val="18"/>
              </w:rPr>
            </w:pPr>
          </w:p>
        </w:tc>
        <w:tc>
          <w:tcPr>
            <w:tcW w:w="1987" w:type="dxa"/>
          </w:tcPr>
          <w:p w14:paraId="2726A62E" w14:textId="77777777" w:rsidR="006507E8" w:rsidRPr="00286216" w:rsidRDefault="006507E8" w:rsidP="006507E8">
            <w:pPr>
              <w:pStyle w:val="StyleWisnow"/>
              <w:rPr>
                <w:color w:val="000000" w:themeColor="text1"/>
              </w:rPr>
            </w:pPr>
          </w:p>
        </w:tc>
        <w:tc>
          <w:tcPr>
            <w:tcW w:w="4818" w:type="dxa"/>
          </w:tcPr>
          <w:p w14:paraId="10C1FD45" w14:textId="11981F62" w:rsidR="006507E8" w:rsidRPr="00286216" w:rsidRDefault="006507E8" w:rsidP="006507E8">
            <w:pPr>
              <w:pStyle w:val="StyleZakonu"/>
              <w:rPr>
                <w:color w:val="000000" w:themeColor="text1"/>
              </w:rPr>
            </w:pPr>
            <w:r w:rsidRPr="00286216">
              <w:rPr>
                <w:color w:val="000000" w:themeColor="text1"/>
              </w:rPr>
              <w:t>10. Фінансова звітність, що включається до проспекту, має бути перевірена суб’єктом аудиторської діяльності.</w:t>
            </w:r>
          </w:p>
        </w:tc>
      </w:tr>
      <w:tr w:rsidR="006507E8" w:rsidRPr="00286216" w14:paraId="30AA134F" w14:textId="77777777" w:rsidTr="00091AA5">
        <w:tc>
          <w:tcPr>
            <w:tcW w:w="576" w:type="dxa"/>
          </w:tcPr>
          <w:p w14:paraId="7F8B1EE2" w14:textId="77777777" w:rsidR="006507E8" w:rsidRPr="00286216" w:rsidRDefault="006507E8" w:rsidP="006507E8">
            <w:pPr>
              <w:pStyle w:val="StyleWisnow"/>
              <w:rPr>
                <w:color w:val="000000" w:themeColor="text1"/>
              </w:rPr>
            </w:pPr>
            <w:bookmarkStart w:id="1379" w:name="n1638" w:colFirst="0" w:colLast="0"/>
            <w:bookmarkEnd w:id="1378"/>
            <w:r w:rsidRPr="00286216">
              <w:rPr>
                <w:color w:val="000000" w:themeColor="text1"/>
              </w:rPr>
              <w:t>1638.</w:t>
            </w:r>
          </w:p>
        </w:tc>
        <w:tc>
          <w:tcPr>
            <w:tcW w:w="4818" w:type="dxa"/>
          </w:tcPr>
          <w:p w14:paraId="172CB911" w14:textId="77777777" w:rsidR="006507E8" w:rsidRPr="00286216" w:rsidRDefault="006507E8" w:rsidP="006507E8">
            <w:pPr>
              <w:pStyle w:val="StyleZakonu"/>
              <w:rPr>
                <w:color w:val="000000" w:themeColor="text1"/>
              </w:rPr>
            </w:pPr>
            <w:r w:rsidRPr="00286216">
              <w:rPr>
                <w:color w:val="000000" w:themeColor="text1"/>
              </w:rPr>
              <w:t>11. Особа, яка оформлює проспект, за невиконання умов проспекту, затвердженого Національною комісією з цінних паперів та фондового ринку несе відповідальність, визначену законом.</w:t>
            </w:r>
          </w:p>
        </w:tc>
        <w:tc>
          <w:tcPr>
            <w:tcW w:w="3686" w:type="dxa"/>
          </w:tcPr>
          <w:p w14:paraId="29C4897C" w14:textId="77777777" w:rsidR="006507E8" w:rsidRPr="00286216" w:rsidRDefault="006507E8" w:rsidP="006507E8">
            <w:pPr>
              <w:pStyle w:val="StyleProp"/>
              <w:rPr>
                <w:color w:val="000000" w:themeColor="text1"/>
                <w:szCs w:val="18"/>
              </w:rPr>
            </w:pPr>
          </w:p>
        </w:tc>
        <w:tc>
          <w:tcPr>
            <w:tcW w:w="1987" w:type="dxa"/>
          </w:tcPr>
          <w:p w14:paraId="73DB1862" w14:textId="77777777" w:rsidR="006507E8" w:rsidRPr="00286216" w:rsidRDefault="006507E8" w:rsidP="006507E8">
            <w:pPr>
              <w:pStyle w:val="StyleWisnow"/>
              <w:rPr>
                <w:color w:val="000000" w:themeColor="text1"/>
              </w:rPr>
            </w:pPr>
          </w:p>
        </w:tc>
        <w:tc>
          <w:tcPr>
            <w:tcW w:w="4818" w:type="dxa"/>
          </w:tcPr>
          <w:p w14:paraId="37436C9A" w14:textId="44D18165" w:rsidR="006507E8" w:rsidRPr="00286216" w:rsidRDefault="006507E8" w:rsidP="006507E8">
            <w:pPr>
              <w:pStyle w:val="StyleZakonu"/>
              <w:rPr>
                <w:color w:val="000000" w:themeColor="text1"/>
              </w:rPr>
            </w:pPr>
            <w:r w:rsidRPr="00286216">
              <w:rPr>
                <w:color w:val="000000" w:themeColor="text1"/>
              </w:rPr>
              <w:t>11. Особа, яка оформлює проспект, за невиконання умов проспекту, затвердженого Національною комісією з цінних паперів та фондового ринку, несе відповідальність, визначену законом.</w:t>
            </w:r>
          </w:p>
        </w:tc>
      </w:tr>
      <w:tr w:rsidR="006507E8" w:rsidRPr="00286216" w14:paraId="53803E8A" w14:textId="77777777" w:rsidTr="00091AA5">
        <w:tc>
          <w:tcPr>
            <w:tcW w:w="576" w:type="dxa"/>
          </w:tcPr>
          <w:p w14:paraId="07B37C7E" w14:textId="77777777" w:rsidR="006507E8" w:rsidRPr="00286216" w:rsidRDefault="006507E8" w:rsidP="006507E8">
            <w:pPr>
              <w:pStyle w:val="StyleWisnow"/>
              <w:rPr>
                <w:color w:val="000000" w:themeColor="text1"/>
              </w:rPr>
            </w:pPr>
            <w:bookmarkStart w:id="1380" w:name="n1639" w:colFirst="0" w:colLast="0"/>
            <w:bookmarkEnd w:id="1379"/>
            <w:r w:rsidRPr="00286216">
              <w:rPr>
                <w:color w:val="000000" w:themeColor="text1"/>
              </w:rPr>
              <w:t>1639.</w:t>
            </w:r>
          </w:p>
        </w:tc>
        <w:tc>
          <w:tcPr>
            <w:tcW w:w="4818" w:type="dxa"/>
          </w:tcPr>
          <w:p w14:paraId="0BBBA97F" w14:textId="77777777" w:rsidR="006507E8" w:rsidRPr="00286216" w:rsidRDefault="006507E8" w:rsidP="006507E8">
            <w:pPr>
              <w:pStyle w:val="StyleZakonu"/>
              <w:rPr>
                <w:color w:val="000000" w:themeColor="text1"/>
              </w:rPr>
            </w:pPr>
            <w:r w:rsidRPr="00286216">
              <w:rPr>
                <w:color w:val="000000" w:themeColor="text1"/>
              </w:rPr>
              <w:t>12. Особливості оформлення спрощеного проспекту цінних паперів МСП та вимоги до нього встановлюються Національною комісією з цінних паперів та фондового ринку.</w:t>
            </w:r>
          </w:p>
        </w:tc>
        <w:tc>
          <w:tcPr>
            <w:tcW w:w="3686" w:type="dxa"/>
          </w:tcPr>
          <w:p w14:paraId="396217B2" w14:textId="77777777" w:rsidR="006507E8" w:rsidRPr="00286216" w:rsidRDefault="006507E8" w:rsidP="006507E8">
            <w:pPr>
              <w:pStyle w:val="StyleProp"/>
              <w:rPr>
                <w:color w:val="000000" w:themeColor="text1"/>
                <w:szCs w:val="18"/>
              </w:rPr>
            </w:pPr>
          </w:p>
        </w:tc>
        <w:tc>
          <w:tcPr>
            <w:tcW w:w="1987" w:type="dxa"/>
          </w:tcPr>
          <w:p w14:paraId="0333E81A" w14:textId="77777777" w:rsidR="006507E8" w:rsidRPr="00286216" w:rsidRDefault="006507E8" w:rsidP="006507E8">
            <w:pPr>
              <w:pStyle w:val="StyleWisnow"/>
              <w:rPr>
                <w:color w:val="000000" w:themeColor="text1"/>
              </w:rPr>
            </w:pPr>
          </w:p>
        </w:tc>
        <w:tc>
          <w:tcPr>
            <w:tcW w:w="4818" w:type="dxa"/>
          </w:tcPr>
          <w:p w14:paraId="795BD827" w14:textId="0F9A2624" w:rsidR="006507E8" w:rsidRPr="00286216" w:rsidRDefault="006507E8" w:rsidP="006507E8">
            <w:pPr>
              <w:pStyle w:val="StyleZakonu"/>
              <w:rPr>
                <w:color w:val="000000" w:themeColor="text1"/>
              </w:rPr>
            </w:pPr>
            <w:r w:rsidRPr="00286216">
              <w:rPr>
                <w:color w:val="000000" w:themeColor="text1"/>
              </w:rPr>
              <w:t>12. Особливості оформлення спрощеного проспекту цінних паперів МСП та вимоги до нього встановлюються Національною комісією з цінних паперів та фондового ринку.</w:t>
            </w:r>
          </w:p>
        </w:tc>
      </w:tr>
      <w:tr w:rsidR="006507E8" w:rsidRPr="00286216" w14:paraId="6439B355" w14:textId="77777777" w:rsidTr="00091AA5">
        <w:tc>
          <w:tcPr>
            <w:tcW w:w="576" w:type="dxa"/>
          </w:tcPr>
          <w:p w14:paraId="79EC13F6" w14:textId="77777777" w:rsidR="006507E8" w:rsidRPr="00286216" w:rsidRDefault="006507E8" w:rsidP="006507E8">
            <w:pPr>
              <w:pStyle w:val="StyleWisnow"/>
              <w:rPr>
                <w:color w:val="000000" w:themeColor="text1"/>
              </w:rPr>
            </w:pPr>
            <w:bookmarkStart w:id="1381" w:name="n1640" w:colFirst="0" w:colLast="0"/>
            <w:bookmarkEnd w:id="1380"/>
            <w:r w:rsidRPr="00286216">
              <w:rPr>
                <w:color w:val="000000" w:themeColor="text1"/>
              </w:rPr>
              <w:t>1640.</w:t>
            </w:r>
          </w:p>
        </w:tc>
        <w:tc>
          <w:tcPr>
            <w:tcW w:w="4818" w:type="dxa"/>
          </w:tcPr>
          <w:p w14:paraId="70C6D0C8" w14:textId="77777777" w:rsidR="006507E8" w:rsidRPr="00286216" w:rsidRDefault="006507E8" w:rsidP="006507E8">
            <w:pPr>
              <w:pStyle w:val="StyleZakonu"/>
              <w:rPr>
                <w:color w:val="000000" w:themeColor="text1"/>
              </w:rPr>
            </w:pPr>
            <w:bookmarkStart w:id="1382" w:name="_Ref16416595"/>
            <w:r w:rsidRPr="00286216">
              <w:rPr>
                <w:color w:val="000000" w:themeColor="text1"/>
              </w:rPr>
              <w:t>Стаття 95. Затвердження проспекту цінних паперів</w:t>
            </w:r>
            <w:bookmarkEnd w:id="1382"/>
          </w:p>
        </w:tc>
        <w:tc>
          <w:tcPr>
            <w:tcW w:w="3686" w:type="dxa"/>
          </w:tcPr>
          <w:p w14:paraId="164471C9" w14:textId="77777777" w:rsidR="006507E8" w:rsidRPr="00286216" w:rsidRDefault="006507E8" w:rsidP="006507E8">
            <w:pPr>
              <w:pStyle w:val="StyleProp"/>
              <w:rPr>
                <w:color w:val="000000" w:themeColor="text1"/>
                <w:szCs w:val="18"/>
              </w:rPr>
            </w:pPr>
          </w:p>
        </w:tc>
        <w:tc>
          <w:tcPr>
            <w:tcW w:w="1987" w:type="dxa"/>
          </w:tcPr>
          <w:p w14:paraId="5ACDD980" w14:textId="77777777" w:rsidR="006507E8" w:rsidRPr="00286216" w:rsidRDefault="006507E8" w:rsidP="006507E8">
            <w:pPr>
              <w:pStyle w:val="StyleWisnow"/>
              <w:rPr>
                <w:color w:val="000000" w:themeColor="text1"/>
              </w:rPr>
            </w:pPr>
          </w:p>
        </w:tc>
        <w:tc>
          <w:tcPr>
            <w:tcW w:w="4818" w:type="dxa"/>
          </w:tcPr>
          <w:p w14:paraId="261DE728" w14:textId="0A856E4D" w:rsidR="006507E8" w:rsidRPr="00286216" w:rsidRDefault="006507E8" w:rsidP="006507E8">
            <w:pPr>
              <w:pStyle w:val="StyleZakonu"/>
              <w:rPr>
                <w:color w:val="000000" w:themeColor="text1"/>
              </w:rPr>
            </w:pPr>
            <w:r w:rsidRPr="00286216">
              <w:rPr>
                <w:color w:val="000000" w:themeColor="text1"/>
              </w:rPr>
              <w:t>Стаття 99. Затвердження проспекту цінних паперів</w:t>
            </w:r>
          </w:p>
        </w:tc>
      </w:tr>
      <w:tr w:rsidR="006507E8" w:rsidRPr="00286216" w14:paraId="3536AB78" w14:textId="77777777" w:rsidTr="00091AA5">
        <w:tc>
          <w:tcPr>
            <w:tcW w:w="576" w:type="dxa"/>
          </w:tcPr>
          <w:p w14:paraId="14A1C0DD" w14:textId="77777777" w:rsidR="006507E8" w:rsidRPr="00286216" w:rsidRDefault="006507E8" w:rsidP="006507E8">
            <w:pPr>
              <w:pStyle w:val="StyleWisnow"/>
              <w:rPr>
                <w:color w:val="000000" w:themeColor="text1"/>
              </w:rPr>
            </w:pPr>
            <w:bookmarkStart w:id="1383" w:name="n1641" w:colFirst="0" w:colLast="0"/>
            <w:bookmarkEnd w:id="1381"/>
            <w:r w:rsidRPr="00286216">
              <w:rPr>
                <w:color w:val="000000" w:themeColor="text1"/>
              </w:rPr>
              <w:t>1641.</w:t>
            </w:r>
          </w:p>
        </w:tc>
        <w:tc>
          <w:tcPr>
            <w:tcW w:w="4818" w:type="dxa"/>
          </w:tcPr>
          <w:p w14:paraId="1C7090DD" w14:textId="77777777" w:rsidR="006507E8" w:rsidRPr="00286216" w:rsidRDefault="006507E8" w:rsidP="006507E8">
            <w:pPr>
              <w:pStyle w:val="StyleZakonu"/>
              <w:rPr>
                <w:color w:val="000000" w:themeColor="text1"/>
              </w:rPr>
            </w:pPr>
            <w:r w:rsidRPr="00286216">
              <w:rPr>
                <w:color w:val="000000" w:themeColor="text1"/>
              </w:rPr>
              <w:t>1. Особа, яка оформлює проспект, подає до Національної комісії з цінних паперів та фондового ринку проспект та всі необхідні документи для його затвердження.</w:t>
            </w:r>
          </w:p>
        </w:tc>
        <w:tc>
          <w:tcPr>
            <w:tcW w:w="3686" w:type="dxa"/>
          </w:tcPr>
          <w:p w14:paraId="25723911" w14:textId="77777777" w:rsidR="006507E8" w:rsidRPr="00286216" w:rsidRDefault="006507E8" w:rsidP="006507E8">
            <w:pPr>
              <w:pStyle w:val="StyleProp"/>
              <w:rPr>
                <w:color w:val="000000" w:themeColor="text1"/>
                <w:szCs w:val="18"/>
              </w:rPr>
            </w:pPr>
          </w:p>
        </w:tc>
        <w:tc>
          <w:tcPr>
            <w:tcW w:w="1987" w:type="dxa"/>
          </w:tcPr>
          <w:p w14:paraId="2A03FF4B" w14:textId="77777777" w:rsidR="006507E8" w:rsidRPr="00286216" w:rsidRDefault="006507E8" w:rsidP="006507E8">
            <w:pPr>
              <w:pStyle w:val="StyleWisnow"/>
              <w:rPr>
                <w:color w:val="000000" w:themeColor="text1"/>
              </w:rPr>
            </w:pPr>
          </w:p>
        </w:tc>
        <w:tc>
          <w:tcPr>
            <w:tcW w:w="4818" w:type="dxa"/>
          </w:tcPr>
          <w:p w14:paraId="7665A9F9" w14:textId="646C2381" w:rsidR="006507E8" w:rsidRPr="00286216" w:rsidRDefault="006507E8" w:rsidP="006507E8">
            <w:pPr>
              <w:pStyle w:val="StyleZakonu"/>
              <w:rPr>
                <w:color w:val="000000" w:themeColor="text1"/>
              </w:rPr>
            </w:pPr>
            <w:r w:rsidRPr="00286216">
              <w:rPr>
                <w:color w:val="000000" w:themeColor="text1"/>
              </w:rPr>
              <w:t>1. Особа, яка оформлює проспект, подає до Національної комісії з цінних паперів та фондового ринку проспект та всі необхідні документи для його затвердження.</w:t>
            </w:r>
          </w:p>
        </w:tc>
      </w:tr>
      <w:tr w:rsidR="006507E8" w:rsidRPr="00286216" w14:paraId="43F143BA" w14:textId="77777777" w:rsidTr="00091AA5">
        <w:tc>
          <w:tcPr>
            <w:tcW w:w="576" w:type="dxa"/>
          </w:tcPr>
          <w:p w14:paraId="0D5CF7BC" w14:textId="77777777" w:rsidR="006507E8" w:rsidRPr="00286216" w:rsidRDefault="006507E8" w:rsidP="006507E8">
            <w:pPr>
              <w:pStyle w:val="StyleWisnow"/>
              <w:rPr>
                <w:color w:val="000000" w:themeColor="text1"/>
              </w:rPr>
            </w:pPr>
            <w:bookmarkStart w:id="1384" w:name="n1642" w:colFirst="0" w:colLast="0"/>
            <w:bookmarkEnd w:id="1383"/>
            <w:r w:rsidRPr="00286216">
              <w:rPr>
                <w:color w:val="000000" w:themeColor="text1"/>
              </w:rPr>
              <w:t>1642.</w:t>
            </w:r>
          </w:p>
        </w:tc>
        <w:tc>
          <w:tcPr>
            <w:tcW w:w="4818" w:type="dxa"/>
          </w:tcPr>
          <w:p w14:paraId="4298924E" w14:textId="77777777"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після надходження проспекту і всіх необхідних документів для його затвердження, затверджує проспект або відмовляє в затвердженні проспекту протягом:</w:t>
            </w:r>
          </w:p>
        </w:tc>
        <w:tc>
          <w:tcPr>
            <w:tcW w:w="3686" w:type="dxa"/>
          </w:tcPr>
          <w:p w14:paraId="72319E36" w14:textId="77777777" w:rsidR="006507E8" w:rsidRPr="00286216" w:rsidRDefault="006507E8" w:rsidP="006507E8">
            <w:pPr>
              <w:pStyle w:val="StyleProp"/>
              <w:rPr>
                <w:color w:val="000000" w:themeColor="text1"/>
                <w:szCs w:val="18"/>
              </w:rPr>
            </w:pPr>
          </w:p>
        </w:tc>
        <w:tc>
          <w:tcPr>
            <w:tcW w:w="1987" w:type="dxa"/>
          </w:tcPr>
          <w:p w14:paraId="748F82B0" w14:textId="77777777" w:rsidR="006507E8" w:rsidRPr="00286216" w:rsidRDefault="006507E8" w:rsidP="006507E8">
            <w:pPr>
              <w:pStyle w:val="StyleWisnow"/>
              <w:rPr>
                <w:color w:val="000000" w:themeColor="text1"/>
              </w:rPr>
            </w:pPr>
          </w:p>
        </w:tc>
        <w:tc>
          <w:tcPr>
            <w:tcW w:w="4818" w:type="dxa"/>
          </w:tcPr>
          <w:p w14:paraId="40958A8E" w14:textId="0DAF1F69" w:rsidR="006507E8" w:rsidRPr="00286216" w:rsidRDefault="006507E8" w:rsidP="006507E8">
            <w:pPr>
              <w:pStyle w:val="StyleZakonu"/>
              <w:rPr>
                <w:color w:val="000000" w:themeColor="text1"/>
              </w:rPr>
            </w:pPr>
            <w:r w:rsidRPr="00286216">
              <w:rPr>
                <w:color w:val="000000" w:themeColor="text1"/>
              </w:rPr>
              <w:t>2. Національна комісія з цінних паперів та фондового ринку після надходження проспекту і всіх необхідних документів для його затвердження, затверджує проспект або відмовляє в затвердженні проспекту протягом:</w:t>
            </w:r>
          </w:p>
        </w:tc>
      </w:tr>
      <w:tr w:rsidR="006507E8" w:rsidRPr="00286216" w14:paraId="251F2E83" w14:textId="77777777" w:rsidTr="00091AA5">
        <w:tc>
          <w:tcPr>
            <w:tcW w:w="576" w:type="dxa"/>
          </w:tcPr>
          <w:p w14:paraId="19BFFDC1" w14:textId="77777777" w:rsidR="006507E8" w:rsidRPr="00286216" w:rsidRDefault="006507E8" w:rsidP="006507E8">
            <w:pPr>
              <w:pStyle w:val="StyleWisnow"/>
              <w:rPr>
                <w:color w:val="000000" w:themeColor="text1"/>
              </w:rPr>
            </w:pPr>
            <w:bookmarkStart w:id="1385" w:name="n1643" w:colFirst="0" w:colLast="0"/>
            <w:bookmarkEnd w:id="1384"/>
            <w:r w:rsidRPr="00286216">
              <w:rPr>
                <w:color w:val="000000" w:themeColor="text1"/>
              </w:rPr>
              <w:t>1643.</w:t>
            </w:r>
          </w:p>
        </w:tc>
        <w:tc>
          <w:tcPr>
            <w:tcW w:w="4818" w:type="dxa"/>
          </w:tcPr>
          <w:p w14:paraId="75769E04" w14:textId="77777777" w:rsidR="006507E8" w:rsidRPr="00286216" w:rsidRDefault="006507E8" w:rsidP="006507E8">
            <w:pPr>
              <w:pStyle w:val="StyleZakonu"/>
              <w:rPr>
                <w:color w:val="000000" w:themeColor="text1"/>
              </w:rPr>
            </w:pPr>
            <w:r w:rsidRPr="00286216">
              <w:rPr>
                <w:color w:val="000000" w:themeColor="text1"/>
              </w:rPr>
              <w:t>1) 20 робочих днів;</w:t>
            </w:r>
          </w:p>
        </w:tc>
        <w:tc>
          <w:tcPr>
            <w:tcW w:w="3686" w:type="dxa"/>
          </w:tcPr>
          <w:p w14:paraId="6298F58A" w14:textId="77777777" w:rsidR="006507E8" w:rsidRPr="00286216" w:rsidRDefault="006507E8" w:rsidP="006507E8">
            <w:pPr>
              <w:pStyle w:val="StyleProp"/>
              <w:rPr>
                <w:color w:val="000000" w:themeColor="text1"/>
                <w:szCs w:val="18"/>
              </w:rPr>
            </w:pPr>
          </w:p>
        </w:tc>
        <w:tc>
          <w:tcPr>
            <w:tcW w:w="1987" w:type="dxa"/>
          </w:tcPr>
          <w:p w14:paraId="2110932A" w14:textId="77777777" w:rsidR="006507E8" w:rsidRPr="00286216" w:rsidRDefault="006507E8" w:rsidP="006507E8">
            <w:pPr>
              <w:pStyle w:val="StyleWisnow"/>
              <w:rPr>
                <w:color w:val="000000" w:themeColor="text1"/>
              </w:rPr>
            </w:pPr>
          </w:p>
        </w:tc>
        <w:tc>
          <w:tcPr>
            <w:tcW w:w="4818" w:type="dxa"/>
          </w:tcPr>
          <w:p w14:paraId="13EA788B" w14:textId="59D34736" w:rsidR="006507E8" w:rsidRPr="00286216" w:rsidRDefault="006507E8" w:rsidP="006507E8">
            <w:pPr>
              <w:pStyle w:val="StyleZakonu"/>
              <w:rPr>
                <w:color w:val="000000" w:themeColor="text1"/>
              </w:rPr>
            </w:pPr>
            <w:r w:rsidRPr="00286216">
              <w:rPr>
                <w:color w:val="000000" w:themeColor="text1"/>
              </w:rPr>
              <w:t>1) 20 робочих днів;</w:t>
            </w:r>
          </w:p>
        </w:tc>
      </w:tr>
      <w:tr w:rsidR="006507E8" w:rsidRPr="00286216" w14:paraId="63EE1586" w14:textId="77777777" w:rsidTr="00091AA5">
        <w:tc>
          <w:tcPr>
            <w:tcW w:w="576" w:type="dxa"/>
          </w:tcPr>
          <w:p w14:paraId="38480C0A" w14:textId="77777777" w:rsidR="006507E8" w:rsidRPr="00286216" w:rsidRDefault="006507E8" w:rsidP="006507E8">
            <w:pPr>
              <w:pStyle w:val="StyleWisnow"/>
              <w:rPr>
                <w:color w:val="000000" w:themeColor="text1"/>
              </w:rPr>
            </w:pPr>
            <w:bookmarkStart w:id="1386" w:name="n1644" w:colFirst="0" w:colLast="0"/>
            <w:bookmarkEnd w:id="1385"/>
            <w:r w:rsidRPr="00286216">
              <w:rPr>
                <w:color w:val="000000" w:themeColor="text1"/>
              </w:rPr>
              <w:t>1644.</w:t>
            </w:r>
          </w:p>
        </w:tc>
        <w:tc>
          <w:tcPr>
            <w:tcW w:w="4818" w:type="dxa"/>
          </w:tcPr>
          <w:p w14:paraId="3F02BB2B" w14:textId="77777777" w:rsidR="006507E8" w:rsidRPr="00286216" w:rsidRDefault="006507E8" w:rsidP="006507E8">
            <w:pPr>
              <w:pStyle w:val="StyleZakonu"/>
              <w:rPr>
                <w:color w:val="000000" w:themeColor="text1"/>
              </w:rPr>
            </w:pPr>
            <w:r w:rsidRPr="00286216">
              <w:rPr>
                <w:color w:val="000000" w:themeColor="text1"/>
              </w:rPr>
              <w:t xml:space="preserve">2) 10 робочих днів - у разі, якщо в емітента наявні </w:t>
            </w:r>
            <w:r w:rsidRPr="00286216">
              <w:rPr>
                <w:color w:val="000000" w:themeColor="text1"/>
              </w:rPr>
              <w:lastRenderedPageBreak/>
              <w:t>цінні папери, які допущені до торгів на регульованому фондовому ринку, та/або здійснювалась публічна пропозиція таких цінних паперів.</w:t>
            </w:r>
          </w:p>
        </w:tc>
        <w:tc>
          <w:tcPr>
            <w:tcW w:w="3686" w:type="dxa"/>
          </w:tcPr>
          <w:p w14:paraId="66D32ACC" w14:textId="77777777" w:rsidR="006507E8" w:rsidRPr="00286216" w:rsidRDefault="006507E8" w:rsidP="006507E8">
            <w:pPr>
              <w:pStyle w:val="StyleProp"/>
              <w:rPr>
                <w:color w:val="000000" w:themeColor="text1"/>
                <w:szCs w:val="18"/>
              </w:rPr>
            </w:pPr>
          </w:p>
        </w:tc>
        <w:tc>
          <w:tcPr>
            <w:tcW w:w="1987" w:type="dxa"/>
          </w:tcPr>
          <w:p w14:paraId="4E1DCD91" w14:textId="77777777" w:rsidR="006507E8" w:rsidRPr="00286216" w:rsidRDefault="006507E8" w:rsidP="006507E8">
            <w:pPr>
              <w:pStyle w:val="StyleWisnow"/>
              <w:rPr>
                <w:color w:val="000000" w:themeColor="text1"/>
              </w:rPr>
            </w:pPr>
          </w:p>
        </w:tc>
        <w:tc>
          <w:tcPr>
            <w:tcW w:w="4818" w:type="dxa"/>
          </w:tcPr>
          <w:p w14:paraId="68641E5F" w14:textId="0C235FC5" w:rsidR="006507E8" w:rsidRPr="00286216" w:rsidRDefault="006507E8" w:rsidP="006507E8">
            <w:pPr>
              <w:pStyle w:val="StyleZakonu"/>
              <w:rPr>
                <w:color w:val="000000" w:themeColor="text1"/>
              </w:rPr>
            </w:pPr>
            <w:r w:rsidRPr="00286216">
              <w:rPr>
                <w:color w:val="000000" w:themeColor="text1"/>
              </w:rPr>
              <w:t xml:space="preserve">2) 10 робочих днів - у разі якщо в емітента наявні </w:t>
            </w:r>
            <w:r w:rsidRPr="00286216">
              <w:rPr>
                <w:color w:val="000000" w:themeColor="text1"/>
              </w:rPr>
              <w:lastRenderedPageBreak/>
              <w:t>цінні папери, допущені до торгів на регульованому фондовому ринку, та/або здійснювалася публічна пропозиція таких цінних паперів.</w:t>
            </w:r>
          </w:p>
        </w:tc>
      </w:tr>
      <w:tr w:rsidR="006507E8" w:rsidRPr="00286216" w14:paraId="291800EF" w14:textId="77777777" w:rsidTr="00091AA5">
        <w:tc>
          <w:tcPr>
            <w:tcW w:w="576" w:type="dxa"/>
          </w:tcPr>
          <w:p w14:paraId="3FBCAEEA" w14:textId="77777777" w:rsidR="006507E8" w:rsidRPr="00286216" w:rsidRDefault="006507E8" w:rsidP="006507E8">
            <w:pPr>
              <w:pStyle w:val="StyleWisnow"/>
              <w:rPr>
                <w:color w:val="000000" w:themeColor="text1"/>
              </w:rPr>
            </w:pPr>
            <w:bookmarkStart w:id="1387" w:name="n1645" w:colFirst="0" w:colLast="0"/>
            <w:bookmarkEnd w:id="1386"/>
            <w:r w:rsidRPr="00286216">
              <w:rPr>
                <w:color w:val="000000" w:themeColor="text1"/>
              </w:rPr>
              <w:lastRenderedPageBreak/>
              <w:t>1645.</w:t>
            </w:r>
          </w:p>
        </w:tc>
        <w:tc>
          <w:tcPr>
            <w:tcW w:w="4818" w:type="dxa"/>
          </w:tcPr>
          <w:p w14:paraId="448F1CCD" w14:textId="77777777" w:rsidR="006507E8" w:rsidRPr="00286216" w:rsidRDefault="006507E8" w:rsidP="006507E8">
            <w:pPr>
              <w:pStyle w:val="StyleZakonu"/>
              <w:rPr>
                <w:color w:val="000000" w:themeColor="text1"/>
              </w:rPr>
            </w:pPr>
            <w:r w:rsidRPr="00286216">
              <w:rPr>
                <w:color w:val="000000" w:themeColor="text1"/>
              </w:rPr>
              <w:t>3. У разі якщо проспект та/або інші подані документи не відповідають вимогам законодавства та/або містять неповну чи недостовірну інформацію, та/або містять розбіжності між своїми положеннями, Національна комісія з цінних паперів та фондового ринку невідкладно, але не пізніше завершення передбачених частиною другою цієї статті строків, інформує заявника про зазначені виявлені факти та чітко визначає зміни, доповнення та/або пояснення, які необхідно подати у зв’язку з цим. У такому разі розрахунок строків, передбачених частиною другою цієї статті, розпочинається спочатку з дня отримання Національною комісією з цінних паперів та фондового ринку запитуваних відповідно до цієї частини документів та/або пояснень.</w:t>
            </w:r>
          </w:p>
        </w:tc>
        <w:tc>
          <w:tcPr>
            <w:tcW w:w="3686" w:type="dxa"/>
          </w:tcPr>
          <w:p w14:paraId="4150BD7D" w14:textId="77777777" w:rsidR="006507E8" w:rsidRPr="00286216" w:rsidRDefault="006507E8" w:rsidP="006507E8">
            <w:pPr>
              <w:pStyle w:val="StyleProp"/>
              <w:rPr>
                <w:color w:val="000000" w:themeColor="text1"/>
                <w:szCs w:val="18"/>
              </w:rPr>
            </w:pPr>
          </w:p>
        </w:tc>
        <w:tc>
          <w:tcPr>
            <w:tcW w:w="1987" w:type="dxa"/>
          </w:tcPr>
          <w:p w14:paraId="51823628" w14:textId="77777777" w:rsidR="006507E8" w:rsidRPr="00286216" w:rsidRDefault="006507E8" w:rsidP="006507E8">
            <w:pPr>
              <w:pStyle w:val="StyleWisnow"/>
              <w:rPr>
                <w:color w:val="000000" w:themeColor="text1"/>
              </w:rPr>
            </w:pPr>
          </w:p>
        </w:tc>
        <w:tc>
          <w:tcPr>
            <w:tcW w:w="4818" w:type="dxa"/>
          </w:tcPr>
          <w:p w14:paraId="0B647CE4" w14:textId="443F5E1B" w:rsidR="006507E8" w:rsidRPr="00286216" w:rsidRDefault="006507E8" w:rsidP="006507E8">
            <w:pPr>
              <w:pStyle w:val="StyleZakonu"/>
              <w:rPr>
                <w:color w:val="000000" w:themeColor="text1"/>
              </w:rPr>
            </w:pPr>
            <w:r w:rsidRPr="00286216">
              <w:rPr>
                <w:color w:val="000000" w:themeColor="text1"/>
              </w:rPr>
              <w:t>3. У разі якщо проспект та/або інші подані документи не відповідають вимогам законодавства та/або містять неповну чи недостовірну інформацію, та/або містять розбіжності між своїми положеннями, Національна комісія з цінних паперів та фондового ринку невідкладно, але не пізніше завершення передбачених частиною другою цієї статті строків, інформує заявника про виявлені факти та чітко визначає зміни, доповнення та/або пояснення, які необхідно подати у зв’язку з цим. У такому разі розрахунок строків, передбачених частиною другою цієї статті, розпочинається спочатку з дня отримання Національною комісією з цінних паперів та фондового ринку запитуваних відповідно до цієї частини документів та/або пояснень.</w:t>
            </w:r>
          </w:p>
        </w:tc>
      </w:tr>
      <w:tr w:rsidR="006507E8" w:rsidRPr="00286216" w14:paraId="328BD861" w14:textId="77777777" w:rsidTr="00091AA5">
        <w:tc>
          <w:tcPr>
            <w:tcW w:w="576" w:type="dxa"/>
          </w:tcPr>
          <w:p w14:paraId="18E89CF4" w14:textId="77777777" w:rsidR="006507E8" w:rsidRPr="00286216" w:rsidRDefault="006507E8" w:rsidP="006507E8">
            <w:pPr>
              <w:pStyle w:val="StyleWisnow"/>
              <w:rPr>
                <w:color w:val="000000" w:themeColor="text1"/>
              </w:rPr>
            </w:pPr>
            <w:bookmarkStart w:id="1388" w:name="n1646" w:colFirst="0" w:colLast="0"/>
            <w:bookmarkEnd w:id="1387"/>
            <w:r w:rsidRPr="00286216">
              <w:rPr>
                <w:color w:val="000000" w:themeColor="text1"/>
              </w:rPr>
              <w:t>1646.</w:t>
            </w:r>
          </w:p>
        </w:tc>
        <w:tc>
          <w:tcPr>
            <w:tcW w:w="4818" w:type="dxa"/>
          </w:tcPr>
          <w:p w14:paraId="2EDA0519" w14:textId="77777777" w:rsidR="006507E8" w:rsidRPr="00286216" w:rsidRDefault="006507E8" w:rsidP="006507E8">
            <w:pPr>
              <w:pStyle w:val="StyleZakonu"/>
              <w:rPr>
                <w:color w:val="000000" w:themeColor="text1"/>
              </w:rPr>
            </w:pPr>
            <w:r w:rsidRPr="00286216">
              <w:rPr>
                <w:color w:val="000000" w:themeColor="text1"/>
              </w:rPr>
              <w:t>4. Проспект вважається затвердженим виключно у випадку прийняття відповідного рішення Національною комісією з цінних паперів та фондового ринку (розпорядження уповноваженої особи Національної комісії з цінних паперів та фондового ринку).</w:t>
            </w:r>
          </w:p>
        </w:tc>
        <w:tc>
          <w:tcPr>
            <w:tcW w:w="3686" w:type="dxa"/>
          </w:tcPr>
          <w:p w14:paraId="7D025C5B" w14:textId="77777777" w:rsidR="006507E8" w:rsidRPr="00286216" w:rsidRDefault="006507E8" w:rsidP="006507E8">
            <w:pPr>
              <w:pStyle w:val="StyleProp"/>
              <w:rPr>
                <w:color w:val="000000" w:themeColor="text1"/>
                <w:szCs w:val="18"/>
              </w:rPr>
            </w:pPr>
          </w:p>
        </w:tc>
        <w:tc>
          <w:tcPr>
            <w:tcW w:w="1987" w:type="dxa"/>
          </w:tcPr>
          <w:p w14:paraId="5E9E0BD0" w14:textId="77777777" w:rsidR="006507E8" w:rsidRPr="00286216" w:rsidRDefault="006507E8" w:rsidP="006507E8">
            <w:pPr>
              <w:pStyle w:val="StyleWisnow"/>
              <w:rPr>
                <w:color w:val="000000" w:themeColor="text1"/>
              </w:rPr>
            </w:pPr>
          </w:p>
        </w:tc>
        <w:tc>
          <w:tcPr>
            <w:tcW w:w="4818" w:type="dxa"/>
          </w:tcPr>
          <w:p w14:paraId="70381508" w14:textId="748CF888" w:rsidR="006507E8" w:rsidRPr="00286216" w:rsidRDefault="006507E8" w:rsidP="006507E8">
            <w:pPr>
              <w:pStyle w:val="StyleZakonu"/>
              <w:rPr>
                <w:color w:val="000000" w:themeColor="text1"/>
              </w:rPr>
            </w:pPr>
            <w:r w:rsidRPr="00286216">
              <w:rPr>
                <w:color w:val="000000" w:themeColor="text1"/>
              </w:rPr>
              <w:t>4. Проспект вважається затвердженим виключно у разі прийняття відповідного рішення Національною комісією з цінних паперів та фондового ринку (розпорядження уповноваженої особи Національної комісії з цінних паперів та фондового ринку).</w:t>
            </w:r>
          </w:p>
        </w:tc>
      </w:tr>
      <w:tr w:rsidR="006507E8" w:rsidRPr="00286216" w14:paraId="21FC47C9" w14:textId="77777777" w:rsidTr="00091AA5">
        <w:tc>
          <w:tcPr>
            <w:tcW w:w="576" w:type="dxa"/>
          </w:tcPr>
          <w:p w14:paraId="39F8E079" w14:textId="77777777" w:rsidR="006507E8" w:rsidRPr="00286216" w:rsidRDefault="006507E8" w:rsidP="006507E8">
            <w:pPr>
              <w:pStyle w:val="StyleWisnow"/>
              <w:rPr>
                <w:color w:val="000000" w:themeColor="text1"/>
              </w:rPr>
            </w:pPr>
            <w:bookmarkStart w:id="1389" w:name="n1647" w:colFirst="0" w:colLast="0"/>
            <w:bookmarkEnd w:id="1388"/>
            <w:r w:rsidRPr="00286216">
              <w:rPr>
                <w:color w:val="000000" w:themeColor="text1"/>
              </w:rPr>
              <w:t>1647.</w:t>
            </w:r>
          </w:p>
        </w:tc>
        <w:tc>
          <w:tcPr>
            <w:tcW w:w="4818" w:type="dxa"/>
          </w:tcPr>
          <w:p w14:paraId="1BC856A1" w14:textId="77777777" w:rsidR="006507E8" w:rsidRPr="00286216" w:rsidRDefault="006507E8" w:rsidP="006507E8">
            <w:pPr>
              <w:pStyle w:val="StyleZakonu"/>
              <w:rPr>
                <w:color w:val="000000" w:themeColor="text1"/>
              </w:rPr>
            </w:pPr>
            <w:r w:rsidRPr="00286216">
              <w:rPr>
                <w:color w:val="000000" w:themeColor="text1"/>
              </w:rPr>
              <w:t>5. Затвердження проспекту Національною комісією з цінних паперів та фондового ринку не може розглядатися як гарантія вартості таких цінних паперів. Національна комісія з цінних паперів та фондового ринку відповідає лише за повноту інформації, яка міститься у документах, що подаються для затвердження проспекту, та за її відповідність вимогам законодавства.</w:t>
            </w:r>
          </w:p>
        </w:tc>
        <w:tc>
          <w:tcPr>
            <w:tcW w:w="3686" w:type="dxa"/>
          </w:tcPr>
          <w:p w14:paraId="6FB01BB4" w14:textId="77777777" w:rsidR="006507E8" w:rsidRPr="00286216" w:rsidRDefault="006507E8" w:rsidP="006507E8">
            <w:pPr>
              <w:pStyle w:val="StyleProp"/>
              <w:rPr>
                <w:color w:val="000000" w:themeColor="text1"/>
                <w:szCs w:val="18"/>
              </w:rPr>
            </w:pPr>
          </w:p>
        </w:tc>
        <w:tc>
          <w:tcPr>
            <w:tcW w:w="1987" w:type="dxa"/>
          </w:tcPr>
          <w:p w14:paraId="5223B197" w14:textId="77777777" w:rsidR="006507E8" w:rsidRPr="00286216" w:rsidRDefault="006507E8" w:rsidP="006507E8">
            <w:pPr>
              <w:pStyle w:val="StyleWisnow"/>
              <w:rPr>
                <w:color w:val="000000" w:themeColor="text1"/>
              </w:rPr>
            </w:pPr>
          </w:p>
        </w:tc>
        <w:tc>
          <w:tcPr>
            <w:tcW w:w="4818" w:type="dxa"/>
          </w:tcPr>
          <w:p w14:paraId="3E60C898" w14:textId="06A25C52" w:rsidR="006507E8" w:rsidRPr="00286216" w:rsidRDefault="006507E8" w:rsidP="006507E8">
            <w:pPr>
              <w:pStyle w:val="StyleZakonu"/>
              <w:rPr>
                <w:color w:val="000000" w:themeColor="text1"/>
              </w:rPr>
            </w:pPr>
            <w:r w:rsidRPr="00286216">
              <w:rPr>
                <w:color w:val="000000" w:themeColor="text1"/>
              </w:rPr>
              <w:t>5. Затвердження проспекту Національною комісією з цінних паперів та фондового ринку не може вважатися гарантією вартості таких цінних паперів. Національна комісія з цінних паперів та фондового ринку відповідає лише за повноту інформації, яка міститься у документах, що подаються для затвердження проспекту, та за її відповідність вимогам законодавства.</w:t>
            </w:r>
          </w:p>
        </w:tc>
      </w:tr>
      <w:tr w:rsidR="006507E8" w:rsidRPr="00286216" w14:paraId="353C9816" w14:textId="77777777" w:rsidTr="00091AA5">
        <w:tc>
          <w:tcPr>
            <w:tcW w:w="576" w:type="dxa"/>
          </w:tcPr>
          <w:p w14:paraId="665AB851" w14:textId="77777777" w:rsidR="006507E8" w:rsidRPr="00286216" w:rsidRDefault="006507E8" w:rsidP="006507E8">
            <w:pPr>
              <w:pStyle w:val="StyleWisnow"/>
              <w:rPr>
                <w:color w:val="000000" w:themeColor="text1"/>
              </w:rPr>
            </w:pPr>
            <w:bookmarkStart w:id="1390" w:name="n1648" w:colFirst="0" w:colLast="0"/>
            <w:bookmarkEnd w:id="1389"/>
            <w:r w:rsidRPr="00286216">
              <w:rPr>
                <w:color w:val="000000" w:themeColor="text1"/>
              </w:rPr>
              <w:t>1648.</w:t>
            </w:r>
          </w:p>
        </w:tc>
        <w:tc>
          <w:tcPr>
            <w:tcW w:w="4818" w:type="dxa"/>
          </w:tcPr>
          <w:p w14:paraId="415DF483" w14:textId="77777777" w:rsidR="006507E8" w:rsidRPr="00286216" w:rsidRDefault="006507E8" w:rsidP="006507E8">
            <w:pPr>
              <w:pStyle w:val="StyleZakonu"/>
              <w:rPr>
                <w:color w:val="000000" w:themeColor="text1"/>
              </w:rPr>
            </w:pPr>
            <w:r w:rsidRPr="00286216">
              <w:rPr>
                <w:color w:val="000000" w:themeColor="text1"/>
              </w:rPr>
              <w:t>Відповідальність за достовірність відомостей, наведених у документах, які подаються для затвердження проспекту, несе особа, що оформила проспект.</w:t>
            </w:r>
          </w:p>
        </w:tc>
        <w:tc>
          <w:tcPr>
            <w:tcW w:w="3686" w:type="dxa"/>
          </w:tcPr>
          <w:p w14:paraId="4C7A0D72" w14:textId="77777777" w:rsidR="006507E8" w:rsidRPr="00286216" w:rsidRDefault="006507E8" w:rsidP="006507E8">
            <w:pPr>
              <w:pStyle w:val="StyleProp"/>
              <w:rPr>
                <w:color w:val="000000" w:themeColor="text1"/>
                <w:szCs w:val="18"/>
              </w:rPr>
            </w:pPr>
          </w:p>
        </w:tc>
        <w:tc>
          <w:tcPr>
            <w:tcW w:w="1987" w:type="dxa"/>
          </w:tcPr>
          <w:p w14:paraId="0162AFAD" w14:textId="77777777" w:rsidR="006507E8" w:rsidRPr="00286216" w:rsidRDefault="006507E8" w:rsidP="006507E8">
            <w:pPr>
              <w:pStyle w:val="StyleWisnow"/>
              <w:rPr>
                <w:color w:val="000000" w:themeColor="text1"/>
              </w:rPr>
            </w:pPr>
          </w:p>
        </w:tc>
        <w:tc>
          <w:tcPr>
            <w:tcW w:w="4818" w:type="dxa"/>
          </w:tcPr>
          <w:p w14:paraId="41FA2A7B" w14:textId="5E16DEC8" w:rsidR="006507E8" w:rsidRPr="00286216" w:rsidRDefault="006507E8" w:rsidP="006507E8">
            <w:pPr>
              <w:pStyle w:val="StyleZakonu"/>
              <w:rPr>
                <w:color w:val="000000" w:themeColor="text1"/>
              </w:rPr>
            </w:pPr>
            <w:r w:rsidRPr="00286216">
              <w:rPr>
                <w:color w:val="000000" w:themeColor="text1"/>
              </w:rPr>
              <w:t>Відповідальність за достовірність відомостей, зазначених у документах, що подаються для затвердження проспекту, несе особа, яка оформила проспект.</w:t>
            </w:r>
          </w:p>
        </w:tc>
      </w:tr>
      <w:tr w:rsidR="006507E8" w:rsidRPr="00286216" w14:paraId="1CFD982E" w14:textId="77777777" w:rsidTr="00091AA5">
        <w:tc>
          <w:tcPr>
            <w:tcW w:w="576" w:type="dxa"/>
          </w:tcPr>
          <w:p w14:paraId="70A35C68" w14:textId="77777777" w:rsidR="006507E8" w:rsidRPr="00286216" w:rsidRDefault="006507E8" w:rsidP="006507E8">
            <w:pPr>
              <w:pStyle w:val="StyleWisnow"/>
              <w:rPr>
                <w:color w:val="000000" w:themeColor="text1"/>
              </w:rPr>
            </w:pPr>
            <w:bookmarkStart w:id="1391" w:name="n1649" w:colFirst="0" w:colLast="0"/>
            <w:bookmarkEnd w:id="1390"/>
            <w:r w:rsidRPr="00286216">
              <w:rPr>
                <w:color w:val="000000" w:themeColor="text1"/>
              </w:rPr>
              <w:t>1649.</w:t>
            </w:r>
          </w:p>
        </w:tc>
        <w:tc>
          <w:tcPr>
            <w:tcW w:w="4818" w:type="dxa"/>
          </w:tcPr>
          <w:p w14:paraId="461CE882" w14:textId="77777777" w:rsidR="006507E8" w:rsidRPr="00286216" w:rsidRDefault="006507E8" w:rsidP="006507E8">
            <w:pPr>
              <w:pStyle w:val="StyleZakonu"/>
              <w:rPr>
                <w:color w:val="000000" w:themeColor="text1"/>
              </w:rPr>
            </w:pPr>
            <w:r w:rsidRPr="00286216">
              <w:rPr>
                <w:color w:val="000000" w:themeColor="text1"/>
              </w:rPr>
              <w:t>6. Перелік документів, необхідних для затвердження проспекту, та порядок затвердження проспекту встановлюються Національною комісією з цінних паперів та фондового ринку.</w:t>
            </w:r>
          </w:p>
        </w:tc>
        <w:tc>
          <w:tcPr>
            <w:tcW w:w="3686" w:type="dxa"/>
          </w:tcPr>
          <w:p w14:paraId="5E109E43" w14:textId="77777777" w:rsidR="006507E8" w:rsidRPr="00286216" w:rsidRDefault="006507E8" w:rsidP="006507E8">
            <w:pPr>
              <w:pStyle w:val="StyleProp"/>
              <w:rPr>
                <w:color w:val="000000" w:themeColor="text1"/>
                <w:szCs w:val="18"/>
              </w:rPr>
            </w:pPr>
          </w:p>
        </w:tc>
        <w:tc>
          <w:tcPr>
            <w:tcW w:w="1987" w:type="dxa"/>
          </w:tcPr>
          <w:p w14:paraId="3E9464C7" w14:textId="77777777" w:rsidR="006507E8" w:rsidRPr="00286216" w:rsidRDefault="006507E8" w:rsidP="006507E8">
            <w:pPr>
              <w:pStyle w:val="StyleWisnow"/>
              <w:rPr>
                <w:color w:val="000000" w:themeColor="text1"/>
              </w:rPr>
            </w:pPr>
          </w:p>
        </w:tc>
        <w:tc>
          <w:tcPr>
            <w:tcW w:w="4818" w:type="dxa"/>
          </w:tcPr>
          <w:p w14:paraId="5DEB0A78" w14:textId="3B2FB53A" w:rsidR="006507E8" w:rsidRPr="00286216" w:rsidRDefault="006507E8" w:rsidP="006507E8">
            <w:pPr>
              <w:pStyle w:val="StyleZakonu"/>
              <w:rPr>
                <w:color w:val="000000" w:themeColor="text1"/>
              </w:rPr>
            </w:pPr>
            <w:r w:rsidRPr="00286216">
              <w:rPr>
                <w:color w:val="000000" w:themeColor="text1"/>
              </w:rPr>
              <w:t>6. Перелік документів, необхідних для затвердження проспекту, та порядок затвердження проспекту встановлюються Національною комісією з цінних паперів та фондового ринку.</w:t>
            </w:r>
          </w:p>
        </w:tc>
      </w:tr>
      <w:tr w:rsidR="006507E8" w:rsidRPr="00286216" w14:paraId="12D869E9" w14:textId="77777777" w:rsidTr="00091AA5">
        <w:tc>
          <w:tcPr>
            <w:tcW w:w="576" w:type="dxa"/>
          </w:tcPr>
          <w:p w14:paraId="47C3D67B" w14:textId="77777777" w:rsidR="006507E8" w:rsidRPr="00286216" w:rsidRDefault="006507E8" w:rsidP="006507E8">
            <w:pPr>
              <w:pStyle w:val="StyleWisnow"/>
              <w:rPr>
                <w:color w:val="000000" w:themeColor="text1"/>
              </w:rPr>
            </w:pPr>
            <w:bookmarkStart w:id="1392" w:name="n1650" w:colFirst="0" w:colLast="0"/>
            <w:bookmarkEnd w:id="1391"/>
            <w:r w:rsidRPr="00286216">
              <w:rPr>
                <w:color w:val="000000" w:themeColor="text1"/>
              </w:rPr>
              <w:t>1650.</w:t>
            </w:r>
          </w:p>
        </w:tc>
        <w:tc>
          <w:tcPr>
            <w:tcW w:w="4818" w:type="dxa"/>
          </w:tcPr>
          <w:p w14:paraId="3F08083F" w14:textId="77777777" w:rsidR="006507E8" w:rsidRPr="00286216" w:rsidRDefault="006507E8" w:rsidP="006507E8">
            <w:pPr>
              <w:pStyle w:val="StyleZakonu"/>
              <w:rPr>
                <w:color w:val="000000" w:themeColor="text1"/>
              </w:rPr>
            </w:pPr>
            <w:r w:rsidRPr="00286216">
              <w:rPr>
                <w:color w:val="000000" w:themeColor="text1"/>
              </w:rPr>
              <w:t xml:space="preserve">7. Національна комісія з цінних паперів та фондового ринку в установленому нею порядку відмовляє у затвердженні проспекту у строки, </w:t>
            </w:r>
            <w:r w:rsidRPr="00286216">
              <w:rPr>
                <w:color w:val="000000" w:themeColor="text1"/>
              </w:rPr>
              <w:lastRenderedPageBreak/>
              <w:t>встановлені частиною другою цієї статті, виключно у разі:</w:t>
            </w:r>
          </w:p>
        </w:tc>
        <w:tc>
          <w:tcPr>
            <w:tcW w:w="3686" w:type="dxa"/>
          </w:tcPr>
          <w:p w14:paraId="32313161" w14:textId="7B3E6112"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4401D92" w14:textId="77777777" w:rsidR="006507E8" w:rsidRPr="00286216" w:rsidRDefault="006507E8" w:rsidP="006507E8">
            <w:pPr>
              <w:spacing w:line="200" w:lineRule="exact"/>
              <w:ind w:firstLine="227"/>
              <w:jc w:val="both"/>
              <w:rPr>
                <w:color w:val="000000" w:themeColor="text1"/>
                <w:szCs w:val="18"/>
              </w:rPr>
            </w:pPr>
            <w:r w:rsidRPr="00286216">
              <w:rPr>
                <w:color w:val="000000" w:themeColor="text1"/>
                <w:sz w:val="18"/>
              </w:rPr>
              <w:t xml:space="preserve">Абзац перший частини сьомої статті 95 після слів «в установленому нею порядку </w:t>
            </w:r>
            <w:r w:rsidRPr="00286216">
              <w:rPr>
                <w:color w:val="000000" w:themeColor="text1"/>
                <w:sz w:val="18"/>
              </w:rPr>
              <w:lastRenderedPageBreak/>
              <w:t>відмовляє» доповнити словами «із зазначенням конкретних причин відмови».</w:t>
            </w:r>
          </w:p>
        </w:tc>
        <w:tc>
          <w:tcPr>
            <w:tcW w:w="1987" w:type="dxa"/>
          </w:tcPr>
          <w:p w14:paraId="4ABB40E1"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0CB4E596" w14:textId="62020AE4" w:rsidR="006507E8" w:rsidRPr="00286216" w:rsidRDefault="006507E8" w:rsidP="006507E8">
            <w:pPr>
              <w:pStyle w:val="StyleZakonu"/>
              <w:rPr>
                <w:color w:val="000000" w:themeColor="text1"/>
              </w:rPr>
            </w:pPr>
            <w:r w:rsidRPr="00286216">
              <w:rPr>
                <w:color w:val="000000" w:themeColor="text1"/>
              </w:rPr>
              <w:t xml:space="preserve">7. Національна комісія з цінних паперів та фондового ринку у встановленому нею порядку із зазначенням конкретних причин відмови відмовляє у </w:t>
            </w:r>
            <w:r w:rsidRPr="00286216">
              <w:rPr>
                <w:color w:val="000000" w:themeColor="text1"/>
              </w:rPr>
              <w:lastRenderedPageBreak/>
              <w:t>затвердженні проспекту у строки, встановлені частиною другою цієї статті, виключно у разі:</w:t>
            </w:r>
          </w:p>
        </w:tc>
      </w:tr>
      <w:tr w:rsidR="006507E8" w:rsidRPr="00286216" w14:paraId="555838F2" w14:textId="77777777" w:rsidTr="00091AA5">
        <w:tc>
          <w:tcPr>
            <w:tcW w:w="576" w:type="dxa"/>
          </w:tcPr>
          <w:p w14:paraId="1363CEE3" w14:textId="77777777" w:rsidR="006507E8" w:rsidRPr="00286216" w:rsidRDefault="006507E8" w:rsidP="006507E8">
            <w:pPr>
              <w:pStyle w:val="StyleWisnow"/>
              <w:rPr>
                <w:color w:val="000000" w:themeColor="text1"/>
              </w:rPr>
            </w:pPr>
            <w:bookmarkStart w:id="1393" w:name="n1651" w:colFirst="0" w:colLast="0"/>
            <w:bookmarkEnd w:id="1392"/>
            <w:r w:rsidRPr="00286216">
              <w:rPr>
                <w:color w:val="000000" w:themeColor="text1"/>
              </w:rPr>
              <w:lastRenderedPageBreak/>
              <w:t>1651.</w:t>
            </w:r>
          </w:p>
        </w:tc>
        <w:tc>
          <w:tcPr>
            <w:tcW w:w="4818" w:type="dxa"/>
          </w:tcPr>
          <w:p w14:paraId="770499A0" w14:textId="77777777" w:rsidR="006507E8" w:rsidRPr="00286216" w:rsidRDefault="006507E8" w:rsidP="006507E8">
            <w:pPr>
              <w:pStyle w:val="StyleZakonu"/>
              <w:rPr>
                <w:color w:val="000000" w:themeColor="text1"/>
              </w:rPr>
            </w:pPr>
            <w:r w:rsidRPr="00286216">
              <w:rPr>
                <w:color w:val="000000" w:themeColor="text1"/>
              </w:rPr>
              <w:t>1) невідповідності поданих документів вимогам законодавства;</w:t>
            </w:r>
          </w:p>
        </w:tc>
        <w:tc>
          <w:tcPr>
            <w:tcW w:w="3686" w:type="dxa"/>
          </w:tcPr>
          <w:p w14:paraId="0686940D" w14:textId="77777777" w:rsidR="006507E8" w:rsidRPr="00286216" w:rsidRDefault="006507E8" w:rsidP="006507E8">
            <w:pPr>
              <w:pStyle w:val="StyleProp"/>
              <w:rPr>
                <w:color w:val="000000" w:themeColor="text1"/>
                <w:szCs w:val="18"/>
              </w:rPr>
            </w:pPr>
          </w:p>
        </w:tc>
        <w:tc>
          <w:tcPr>
            <w:tcW w:w="1987" w:type="dxa"/>
          </w:tcPr>
          <w:p w14:paraId="73EA7330" w14:textId="77777777" w:rsidR="006507E8" w:rsidRPr="00286216" w:rsidRDefault="006507E8" w:rsidP="006507E8">
            <w:pPr>
              <w:pStyle w:val="StyleWisnow"/>
              <w:rPr>
                <w:color w:val="000000" w:themeColor="text1"/>
              </w:rPr>
            </w:pPr>
          </w:p>
        </w:tc>
        <w:tc>
          <w:tcPr>
            <w:tcW w:w="4818" w:type="dxa"/>
          </w:tcPr>
          <w:p w14:paraId="0451E8AF" w14:textId="62CB88E7" w:rsidR="006507E8" w:rsidRPr="00286216" w:rsidRDefault="006507E8" w:rsidP="006507E8">
            <w:pPr>
              <w:pStyle w:val="StyleZakonu"/>
              <w:rPr>
                <w:color w:val="000000" w:themeColor="text1"/>
              </w:rPr>
            </w:pPr>
            <w:r w:rsidRPr="00286216">
              <w:rPr>
                <w:color w:val="000000" w:themeColor="text1"/>
              </w:rPr>
              <w:t>1) невідповідності поданих документів вимогам законодавства;</w:t>
            </w:r>
          </w:p>
        </w:tc>
      </w:tr>
      <w:tr w:rsidR="006507E8" w:rsidRPr="00286216" w14:paraId="1885AE6C" w14:textId="77777777" w:rsidTr="00091AA5">
        <w:tc>
          <w:tcPr>
            <w:tcW w:w="576" w:type="dxa"/>
          </w:tcPr>
          <w:p w14:paraId="348D7EAC" w14:textId="77777777" w:rsidR="006507E8" w:rsidRPr="00286216" w:rsidRDefault="006507E8" w:rsidP="006507E8">
            <w:pPr>
              <w:pStyle w:val="StyleWisnow"/>
              <w:rPr>
                <w:color w:val="000000" w:themeColor="text1"/>
              </w:rPr>
            </w:pPr>
            <w:bookmarkStart w:id="1394" w:name="n1652" w:colFirst="0" w:colLast="0"/>
            <w:bookmarkEnd w:id="1393"/>
            <w:r w:rsidRPr="00286216">
              <w:rPr>
                <w:color w:val="000000" w:themeColor="text1"/>
              </w:rPr>
              <w:t>1652.</w:t>
            </w:r>
          </w:p>
        </w:tc>
        <w:tc>
          <w:tcPr>
            <w:tcW w:w="4818" w:type="dxa"/>
          </w:tcPr>
          <w:p w14:paraId="33414F65" w14:textId="77777777" w:rsidR="006507E8" w:rsidRPr="00286216" w:rsidRDefault="006507E8" w:rsidP="006507E8">
            <w:pPr>
              <w:pStyle w:val="StyleZakonu"/>
              <w:rPr>
                <w:color w:val="000000" w:themeColor="text1"/>
              </w:rPr>
            </w:pPr>
            <w:r w:rsidRPr="00286216">
              <w:rPr>
                <w:color w:val="000000" w:themeColor="text1"/>
              </w:rPr>
              <w:t>2) наявності розбіжностей між різними положеннями поданих документів, недостовірності та/або неповноти інформації у поданих документах;</w:t>
            </w:r>
          </w:p>
        </w:tc>
        <w:tc>
          <w:tcPr>
            <w:tcW w:w="3686" w:type="dxa"/>
          </w:tcPr>
          <w:p w14:paraId="6B8FB765" w14:textId="77777777" w:rsidR="006507E8" w:rsidRPr="00286216" w:rsidRDefault="006507E8" w:rsidP="006507E8">
            <w:pPr>
              <w:pStyle w:val="StyleProp"/>
              <w:rPr>
                <w:color w:val="000000" w:themeColor="text1"/>
                <w:szCs w:val="18"/>
              </w:rPr>
            </w:pPr>
          </w:p>
        </w:tc>
        <w:tc>
          <w:tcPr>
            <w:tcW w:w="1987" w:type="dxa"/>
          </w:tcPr>
          <w:p w14:paraId="037B9881" w14:textId="77777777" w:rsidR="006507E8" w:rsidRPr="00286216" w:rsidRDefault="006507E8" w:rsidP="006507E8">
            <w:pPr>
              <w:pStyle w:val="StyleWisnow"/>
              <w:rPr>
                <w:color w:val="000000" w:themeColor="text1"/>
              </w:rPr>
            </w:pPr>
          </w:p>
        </w:tc>
        <w:tc>
          <w:tcPr>
            <w:tcW w:w="4818" w:type="dxa"/>
          </w:tcPr>
          <w:p w14:paraId="37963540" w14:textId="542288D4" w:rsidR="006507E8" w:rsidRPr="00286216" w:rsidRDefault="006507E8" w:rsidP="006507E8">
            <w:pPr>
              <w:pStyle w:val="StyleZakonu"/>
              <w:rPr>
                <w:color w:val="000000" w:themeColor="text1"/>
              </w:rPr>
            </w:pPr>
            <w:r w:rsidRPr="00286216">
              <w:rPr>
                <w:color w:val="000000" w:themeColor="text1"/>
              </w:rPr>
              <w:t xml:space="preserve">2) наявності розбіжностей між різними положеннями поданих документів, недостовірності та/або неповноти інформації у поданих документах. </w:t>
            </w:r>
          </w:p>
        </w:tc>
      </w:tr>
      <w:tr w:rsidR="006507E8" w:rsidRPr="00286216" w14:paraId="0003AD18" w14:textId="77777777" w:rsidTr="00091AA5">
        <w:tc>
          <w:tcPr>
            <w:tcW w:w="576" w:type="dxa"/>
          </w:tcPr>
          <w:p w14:paraId="5B81145D" w14:textId="77777777" w:rsidR="006507E8" w:rsidRPr="00286216" w:rsidRDefault="006507E8" w:rsidP="006507E8">
            <w:pPr>
              <w:pStyle w:val="StyleWisnow"/>
              <w:rPr>
                <w:color w:val="000000" w:themeColor="text1"/>
              </w:rPr>
            </w:pPr>
            <w:bookmarkStart w:id="1395" w:name="n1653" w:colFirst="0" w:colLast="0"/>
            <w:bookmarkEnd w:id="1394"/>
            <w:r w:rsidRPr="00286216">
              <w:rPr>
                <w:color w:val="000000" w:themeColor="text1"/>
              </w:rPr>
              <w:t>1653.</w:t>
            </w:r>
          </w:p>
        </w:tc>
        <w:tc>
          <w:tcPr>
            <w:tcW w:w="4818" w:type="dxa"/>
          </w:tcPr>
          <w:p w14:paraId="01F7174B" w14:textId="77777777" w:rsidR="006507E8" w:rsidRPr="00286216" w:rsidRDefault="006507E8" w:rsidP="006507E8">
            <w:pPr>
              <w:pStyle w:val="StyleZakonu"/>
              <w:rPr>
                <w:color w:val="000000" w:themeColor="text1"/>
              </w:rPr>
            </w:pPr>
            <w:r w:rsidRPr="00286216">
              <w:rPr>
                <w:color w:val="000000" w:themeColor="text1"/>
              </w:rPr>
              <w:t>3) визнання емісії цінних паперів недобросовісною.</w:t>
            </w:r>
          </w:p>
        </w:tc>
        <w:tc>
          <w:tcPr>
            <w:tcW w:w="3686" w:type="dxa"/>
          </w:tcPr>
          <w:p w14:paraId="3C74DA2A" w14:textId="756737C4"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959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45541C" w14:textId="42BFD703" w:rsidR="006507E8" w:rsidRPr="00286216" w:rsidRDefault="006507E8" w:rsidP="006507E8">
            <w:pPr>
              <w:pStyle w:val="StyleProp"/>
              <w:rPr>
                <w:color w:val="000000" w:themeColor="text1"/>
                <w:szCs w:val="18"/>
              </w:rPr>
            </w:pPr>
            <w:r w:rsidRPr="00286216">
              <w:rPr>
                <w:color w:val="000000" w:themeColor="text1"/>
              </w:rPr>
              <w:t>Пункт 3 частини 7 статті 95 виключити.</w:t>
            </w:r>
          </w:p>
        </w:tc>
        <w:tc>
          <w:tcPr>
            <w:tcW w:w="1987" w:type="dxa"/>
          </w:tcPr>
          <w:p w14:paraId="21B8BB66" w14:textId="27D5D28E"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46FA00F6" w14:textId="26482CDC" w:rsidR="006507E8" w:rsidRPr="00286216" w:rsidRDefault="006507E8" w:rsidP="006507E8">
            <w:pPr>
              <w:pStyle w:val="StyleZakonu"/>
              <w:rPr>
                <w:color w:val="000000" w:themeColor="text1"/>
              </w:rPr>
            </w:pPr>
          </w:p>
        </w:tc>
      </w:tr>
      <w:tr w:rsidR="006507E8" w:rsidRPr="00286216" w14:paraId="5426C4C9" w14:textId="77777777" w:rsidTr="00091AA5">
        <w:tc>
          <w:tcPr>
            <w:tcW w:w="576" w:type="dxa"/>
          </w:tcPr>
          <w:p w14:paraId="28142F63" w14:textId="77777777" w:rsidR="006507E8" w:rsidRPr="00286216" w:rsidRDefault="006507E8" w:rsidP="006507E8">
            <w:pPr>
              <w:pStyle w:val="StyleWisnow"/>
              <w:rPr>
                <w:color w:val="000000" w:themeColor="text1"/>
              </w:rPr>
            </w:pPr>
            <w:bookmarkStart w:id="1396" w:name="n1654" w:colFirst="0" w:colLast="0"/>
            <w:bookmarkEnd w:id="1395"/>
            <w:r w:rsidRPr="00286216">
              <w:rPr>
                <w:color w:val="000000" w:themeColor="text1"/>
              </w:rPr>
              <w:t>1654.</w:t>
            </w:r>
          </w:p>
        </w:tc>
        <w:tc>
          <w:tcPr>
            <w:tcW w:w="4818" w:type="dxa"/>
          </w:tcPr>
          <w:p w14:paraId="296AAF40" w14:textId="77777777" w:rsidR="006507E8" w:rsidRPr="00286216" w:rsidRDefault="006507E8" w:rsidP="006507E8">
            <w:pPr>
              <w:pStyle w:val="StyleZakonu"/>
              <w:rPr>
                <w:color w:val="000000" w:themeColor="text1"/>
              </w:rPr>
            </w:pPr>
            <w:r w:rsidRPr="00286216">
              <w:rPr>
                <w:color w:val="000000" w:themeColor="text1"/>
              </w:rPr>
              <w:t>8. Рішення Національної комісії з цінних паперів та фондового ринку або її уповноваженої особи про затвердження проспекту оприлюднюється на офіційному веб-сайті Національної комісії з цінних паперів та фондового ринку протягом одного робочого дня після його прийняття.</w:t>
            </w:r>
          </w:p>
        </w:tc>
        <w:tc>
          <w:tcPr>
            <w:tcW w:w="3686" w:type="dxa"/>
          </w:tcPr>
          <w:p w14:paraId="7CD1FA15" w14:textId="77777777" w:rsidR="006507E8" w:rsidRPr="00286216" w:rsidRDefault="006507E8" w:rsidP="006507E8">
            <w:pPr>
              <w:pStyle w:val="StyleProp"/>
              <w:rPr>
                <w:color w:val="000000" w:themeColor="text1"/>
                <w:szCs w:val="18"/>
              </w:rPr>
            </w:pPr>
          </w:p>
        </w:tc>
        <w:tc>
          <w:tcPr>
            <w:tcW w:w="1987" w:type="dxa"/>
          </w:tcPr>
          <w:p w14:paraId="1E73F94B" w14:textId="77777777" w:rsidR="006507E8" w:rsidRPr="00286216" w:rsidRDefault="006507E8" w:rsidP="006507E8">
            <w:pPr>
              <w:pStyle w:val="StyleWisnow"/>
              <w:rPr>
                <w:color w:val="000000" w:themeColor="text1"/>
              </w:rPr>
            </w:pPr>
          </w:p>
        </w:tc>
        <w:tc>
          <w:tcPr>
            <w:tcW w:w="4818" w:type="dxa"/>
          </w:tcPr>
          <w:p w14:paraId="622F85A4" w14:textId="219217C1" w:rsidR="006507E8" w:rsidRPr="00286216" w:rsidRDefault="006507E8" w:rsidP="006507E8">
            <w:pPr>
              <w:pStyle w:val="StyleZakonu"/>
              <w:rPr>
                <w:color w:val="000000" w:themeColor="text1"/>
              </w:rPr>
            </w:pPr>
            <w:r w:rsidRPr="00286216">
              <w:rPr>
                <w:color w:val="000000" w:themeColor="text1"/>
              </w:rPr>
              <w:t>8. Рішення Національної комісії з цінних паперів та фондового ринку або її уповноваженої особи про затвердження проспекту оприлюднюється на офіційному веб-сайті Національної комісії з цінних паперів та фондового ринку протягом одного робочого дня після його прийняття.</w:t>
            </w:r>
          </w:p>
        </w:tc>
      </w:tr>
      <w:tr w:rsidR="006507E8" w:rsidRPr="00286216" w14:paraId="7465FE3A" w14:textId="77777777" w:rsidTr="00091AA5">
        <w:tc>
          <w:tcPr>
            <w:tcW w:w="576" w:type="dxa"/>
          </w:tcPr>
          <w:p w14:paraId="6E58358C" w14:textId="77777777" w:rsidR="006507E8" w:rsidRPr="00286216" w:rsidRDefault="006507E8" w:rsidP="006507E8">
            <w:pPr>
              <w:pStyle w:val="StyleWisnow"/>
              <w:rPr>
                <w:color w:val="000000" w:themeColor="text1"/>
              </w:rPr>
            </w:pPr>
            <w:bookmarkStart w:id="1397" w:name="n1655" w:colFirst="0" w:colLast="0"/>
            <w:bookmarkEnd w:id="1396"/>
            <w:r w:rsidRPr="00286216">
              <w:rPr>
                <w:color w:val="000000" w:themeColor="text1"/>
              </w:rPr>
              <w:t>1655.</w:t>
            </w:r>
          </w:p>
        </w:tc>
        <w:tc>
          <w:tcPr>
            <w:tcW w:w="4818" w:type="dxa"/>
          </w:tcPr>
          <w:p w14:paraId="490B3697" w14:textId="77777777" w:rsidR="006507E8" w:rsidRPr="00286216" w:rsidRDefault="006507E8" w:rsidP="006507E8">
            <w:pPr>
              <w:pStyle w:val="StyleZakonu"/>
              <w:rPr>
                <w:color w:val="000000" w:themeColor="text1"/>
              </w:rPr>
            </w:pPr>
            <w:bookmarkStart w:id="1398" w:name="_Ref16411165"/>
            <w:r w:rsidRPr="00286216">
              <w:rPr>
                <w:color w:val="000000" w:themeColor="text1"/>
              </w:rPr>
              <w:t>Стаття 96. Дійсність проспекту цінних паперів та внесення до нього змін</w:t>
            </w:r>
            <w:bookmarkEnd w:id="1398"/>
          </w:p>
        </w:tc>
        <w:tc>
          <w:tcPr>
            <w:tcW w:w="3686" w:type="dxa"/>
          </w:tcPr>
          <w:p w14:paraId="4E3A2D13" w14:textId="77777777" w:rsidR="006507E8" w:rsidRPr="00286216" w:rsidRDefault="006507E8" w:rsidP="006507E8">
            <w:pPr>
              <w:pStyle w:val="StyleProp"/>
              <w:rPr>
                <w:color w:val="000000" w:themeColor="text1"/>
                <w:szCs w:val="18"/>
              </w:rPr>
            </w:pPr>
          </w:p>
        </w:tc>
        <w:tc>
          <w:tcPr>
            <w:tcW w:w="1987" w:type="dxa"/>
          </w:tcPr>
          <w:p w14:paraId="28E01329" w14:textId="77777777" w:rsidR="006507E8" w:rsidRPr="00286216" w:rsidRDefault="006507E8" w:rsidP="006507E8">
            <w:pPr>
              <w:pStyle w:val="StyleWisnow"/>
              <w:rPr>
                <w:color w:val="000000" w:themeColor="text1"/>
              </w:rPr>
            </w:pPr>
          </w:p>
        </w:tc>
        <w:tc>
          <w:tcPr>
            <w:tcW w:w="4818" w:type="dxa"/>
          </w:tcPr>
          <w:p w14:paraId="374BDCE5" w14:textId="0B4B2DD3" w:rsidR="006507E8" w:rsidRPr="00286216" w:rsidRDefault="006507E8" w:rsidP="006507E8">
            <w:pPr>
              <w:pStyle w:val="StyleZakonu"/>
              <w:rPr>
                <w:color w:val="000000" w:themeColor="text1"/>
              </w:rPr>
            </w:pPr>
            <w:r w:rsidRPr="00286216">
              <w:rPr>
                <w:color w:val="000000" w:themeColor="text1"/>
              </w:rPr>
              <w:t>Стаття 100. Дійсність проспекту цінних паперів та внесення до нього змін</w:t>
            </w:r>
          </w:p>
        </w:tc>
      </w:tr>
      <w:tr w:rsidR="006507E8" w:rsidRPr="00286216" w14:paraId="36790C24" w14:textId="77777777" w:rsidTr="00091AA5">
        <w:tc>
          <w:tcPr>
            <w:tcW w:w="576" w:type="dxa"/>
          </w:tcPr>
          <w:p w14:paraId="07D6EA64" w14:textId="77777777" w:rsidR="006507E8" w:rsidRPr="00286216" w:rsidRDefault="006507E8" w:rsidP="006507E8">
            <w:pPr>
              <w:pStyle w:val="StyleWisnow"/>
              <w:rPr>
                <w:color w:val="000000" w:themeColor="text1"/>
              </w:rPr>
            </w:pPr>
            <w:bookmarkStart w:id="1399" w:name="n1656" w:colFirst="0" w:colLast="0"/>
            <w:bookmarkEnd w:id="1397"/>
            <w:r w:rsidRPr="00286216">
              <w:rPr>
                <w:color w:val="000000" w:themeColor="text1"/>
              </w:rPr>
              <w:t>1656.</w:t>
            </w:r>
          </w:p>
        </w:tc>
        <w:tc>
          <w:tcPr>
            <w:tcW w:w="4818" w:type="dxa"/>
          </w:tcPr>
          <w:p w14:paraId="5AEAA06B" w14:textId="77777777" w:rsidR="006507E8" w:rsidRPr="00286216" w:rsidRDefault="006507E8" w:rsidP="006507E8">
            <w:pPr>
              <w:pStyle w:val="StyleZakonu"/>
              <w:rPr>
                <w:color w:val="000000" w:themeColor="text1"/>
              </w:rPr>
            </w:pPr>
            <w:r w:rsidRPr="00286216">
              <w:rPr>
                <w:color w:val="000000" w:themeColor="text1"/>
              </w:rPr>
              <w:t>1. Проспект, який складається з єдиного документа, є дійсним для здійснення публічної пропозиції протягом 12 місяців з дати його затвердження Національною комісією з цінних паперів та фондового ринку. Якщо проспект складається з кількох документів, такий строк розраховується з дати затвердження останнього з них.</w:t>
            </w:r>
          </w:p>
        </w:tc>
        <w:tc>
          <w:tcPr>
            <w:tcW w:w="3686" w:type="dxa"/>
          </w:tcPr>
          <w:p w14:paraId="76191B82" w14:textId="77777777" w:rsidR="006507E8" w:rsidRPr="00286216" w:rsidRDefault="006507E8" w:rsidP="006507E8">
            <w:pPr>
              <w:pStyle w:val="StyleProp"/>
              <w:rPr>
                <w:color w:val="000000" w:themeColor="text1"/>
                <w:szCs w:val="18"/>
              </w:rPr>
            </w:pPr>
          </w:p>
        </w:tc>
        <w:tc>
          <w:tcPr>
            <w:tcW w:w="1987" w:type="dxa"/>
          </w:tcPr>
          <w:p w14:paraId="3C4146FC" w14:textId="77777777" w:rsidR="006507E8" w:rsidRPr="00286216" w:rsidRDefault="006507E8" w:rsidP="006507E8">
            <w:pPr>
              <w:pStyle w:val="StyleWisnow"/>
              <w:rPr>
                <w:color w:val="000000" w:themeColor="text1"/>
              </w:rPr>
            </w:pPr>
          </w:p>
        </w:tc>
        <w:tc>
          <w:tcPr>
            <w:tcW w:w="4818" w:type="dxa"/>
          </w:tcPr>
          <w:p w14:paraId="2F4CF5A8" w14:textId="02C17E32" w:rsidR="006507E8" w:rsidRPr="00286216" w:rsidRDefault="006507E8" w:rsidP="006507E8">
            <w:pPr>
              <w:pStyle w:val="StyleZakonu"/>
              <w:rPr>
                <w:color w:val="000000" w:themeColor="text1"/>
              </w:rPr>
            </w:pPr>
            <w:r w:rsidRPr="00286216">
              <w:rPr>
                <w:color w:val="000000" w:themeColor="text1"/>
              </w:rPr>
              <w:t>1. Проспект, який складається з єдиного документа, є дійсним для здійснення публічної пропозиції протягом 12 місяців з дати його затвердження Національною комісією з цінних паперів та фондового ринку. Якщо проспект складається з кількох документів, такий строк розраховується з дати затвердження останнього з них.</w:t>
            </w:r>
          </w:p>
        </w:tc>
      </w:tr>
      <w:tr w:rsidR="006507E8" w:rsidRPr="00286216" w14:paraId="0683C5D5" w14:textId="77777777" w:rsidTr="00091AA5">
        <w:tc>
          <w:tcPr>
            <w:tcW w:w="576" w:type="dxa"/>
          </w:tcPr>
          <w:p w14:paraId="5CD3A050" w14:textId="77777777" w:rsidR="006507E8" w:rsidRPr="00286216" w:rsidRDefault="006507E8" w:rsidP="006507E8">
            <w:pPr>
              <w:pStyle w:val="StyleWisnow"/>
              <w:rPr>
                <w:color w:val="000000" w:themeColor="text1"/>
              </w:rPr>
            </w:pPr>
            <w:bookmarkStart w:id="1400" w:name="n1657" w:colFirst="0" w:colLast="0"/>
            <w:bookmarkEnd w:id="1399"/>
            <w:r w:rsidRPr="00286216">
              <w:rPr>
                <w:color w:val="000000" w:themeColor="text1"/>
              </w:rPr>
              <w:t>1657.</w:t>
            </w:r>
          </w:p>
        </w:tc>
        <w:tc>
          <w:tcPr>
            <w:tcW w:w="4818" w:type="dxa"/>
          </w:tcPr>
          <w:p w14:paraId="3DB9F1BB" w14:textId="77777777" w:rsidR="006507E8" w:rsidRPr="00286216" w:rsidRDefault="006507E8" w:rsidP="006507E8">
            <w:pPr>
              <w:pStyle w:val="StyleZakonu"/>
              <w:rPr>
                <w:color w:val="000000" w:themeColor="text1"/>
              </w:rPr>
            </w:pPr>
            <w:r w:rsidRPr="00286216">
              <w:rPr>
                <w:color w:val="000000" w:themeColor="text1"/>
              </w:rPr>
              <w:t>Проспект втрачає дійсність для здійснення публічної пропозиції, якщо суттєві зміни, зазначені у частини другій цієї статті, відбулись та не були оформлені відповідно до вимог цієї статті шляхом внесення змін та/або доповнень до такого проспекту.</w:t>
            </w:r>
          </w:p>
        </w:tc>
        <w:tc>
          <w:tcPr>
            <w:tcW w:w="3686" w:type="dxa"/>
          </w:tcPr>
          <w:p w14:paraId="217B7684" w14:textId="77777777" w:rsidR="006507E8" w:rsidRPr="00286216" w:rsidRDefault="006507E8" w:rsidP="006507E8">
            <w:pPr>
              <w:pStyle w:val="StyleProp"/>
              <w:rPr>
                <w:color w:val="000000" w:themeColor="text1"/>
                <w:szCs w:val="18"/>
              </w:rPr>
            </w:pPr>
          </w:p>
        </w:tc>
        <w:tc>
          <w:tcPr>
            <w:tcW w:w="1987" w:type="dxa"/>
          </w:tcPr>
          <w:p w14:paraId="187E68CB" w14:textId="77777777" w:rsidR="006507E8" w:rsidRPr="00286216" w:rsidRDefault="006507E8" w:rsidP="006507E8">
            <w:pPr>
              <w:pStyle w:val="StyleWisnow"/>
              <w:rPr>
                <w:color w:val="000000" w:themeColor="text1"/>
              </w:rPr>
            </w:pPr>
          </w:p>
        </w:tc>
        <w:tc>
          <w:tcPr>
            <w:tcW w:w="4818" w:type="dxa"/>
          </w:tcPr>
          <w:p w14:paraId="4486E81F" w14:textId="74F2B46D" w:rsidR="006507E8" w:rsidRPr="00286216" w:rsidRDefault="006507E8" w:rsidP="006507E8">
            <w:pPr>
              <w:pStyle w:val="StyleZakonu"/>
              <w:rPr>
                <w:color w:val="000000" w:themeColor="text1"/>
              </w:rPr>
            </w:pPr>
            <w:r w:rsidRPr="00286216">
              <w:rPr>
                <w:color w:val="000000" w:themeColor="text1"/>
              </w:rPr>
              <w:t>Проспект втрачає дійсність для здійснення публічної пропозиції, якщо суттєві зміни, зазначені у частини другій цієї статті, відбулися та не були оформлені відповідно до вимог цієї статті шляхом внесення змін та/або доповнень до такого проспекту.</w:t>
            </w:r>
          </w:p>
        </w:tc>
      </w:tr>
      <w:tr w:rsidR="006507E8" w:rsidRPr="00286216" w14:paraId="4ADE410D" w14:textId="77777777" w:rsidTr="00091AA5">
        <w:tc>
          <w:tcPr>
            <w:tcW w:w="576" w:type="dxa"/>
          </w:tcPr>
          <w:p w14:paraId="08492452" w14:textId="77777777" w:rsidR="006507E8" w:rsidRPr="00286216" w:rsidRDefault="006507E8" w:rsidP="006507E8">
            <w:pPr>
              <w:pStyle w:val="StyleWisnow"/>
              <w:rPr>
                <w:color w:val="000000" w:themeColor="text1"/>
              </w:rPr>
            </w:pPr>
            <w:bookmarkStart w:id="1401" w:name="n1658" w:colFirst="0" w:colLast="0"/>
            <w:bookmarkEnd w:id="1400"/>
            <w:r w:rsidRPr="00286216">
              <w:rPr>
                <w:color w:val="000000" w:themeColor="text1"/>
              </w:rPr>
              <w:t>1658.</w:t>
            </w:r>
          </w:p>
        </w:tc>
        <w:tc>
          <w:tcPr>
            <w:tcW w:w="4818" w:type="dxa"/>
          </w:tcPr>
          <w:p w14:paraId="79030A25" w14:textId="77777777" w:rsidR="006507E8" w:rsidRPr="00286216" w:rsidRDefault="006507E8" w:rsidP="006507E8">
            <w:pPr>
              <w:pStyle w:val="StyleZakonu"/>
              <w:rPr>
                <w:color w:val="000000" w:themeColor="text1"/>
              </w:rPr>
            </w:pPr>
            <w:r w:rsidRPr="00286216">
              <w:rPr>
                <w:color w:val="000000" w:themeColor="text1"/>
              </w:rPr>
              <w:t>2. Особа, яка оформила проспект у порядку та строки, встановлені частиною третьою цієї статті, у разі виникнення будь-яких важливих змін, суттєвих помилок або виявлення неточностей, що стосуються інформації, яка міститься у проспекті та може вплинути на оцінку цінних паперів (далі - суттєві зміни), зобов’язана внести відповідні зміни та/або доповнення до такого проспекту, за умови що такі зміни виникли до закінчення строку дії публічної пропозиції, визначеного відповідно до частини першої цієї статті, або до дати початку торгів такими цінними паперами на організованих ринках капіталу (залежно від того, яка подія відбулася пізніше).</w:t>
            </w:r>
          </w:p>
        </w:tc>
        <w:tc>
          <w:tcPr>
            <w:tcW w:w="3686" w:type="dxa"/>
          </w:tcPr>
          <w:p w14:paraId="04A91BAA" w14:textId="77777777" w:rsidR="006507E8" w:rsidRPr="00286216" w:rsidRDefault="006507E8" w:rsidP="006507E8">
            <w:pPr>
              <w:pStyle w:val="StyleProp"/>
              <w:rPr>
                <w:color w:val="000000" w:themeColor="text1"/>
                <w:szCs w:val="18"/>
              </w:rPr>
            </w:pPr>
          </w:p>
        </w:tc>
        <w:tc>
          <w:tcPr>
            <w:tcW w:w="1987" w:type="dxa"/>
          </w:tcPr>
          <w:p w14:paraId="669703B9" w14:textId="77777777" w:rsidR="006507E8" w:rsidRPr="00286216" w:rsidRDefault="006507E8" w:rsidP="006507E8">
            <w:pPr>
              <w:pStyle w:val="StyleWisnow"/>
              <w:rPr>
                <w:color w:val="000000" w:themeColor="text1"/>
              </w:rPr>
            </w:pPr>
          </w:p>
        </w:tc>
        <w:tc>
          <w:tcPr>
            <w:tcW w:w="4818" w:type="dxa"/>
          </w:tcPr>
          <w:p w14:paraId="4A76CE89" w14:textId="1921CA79" w:rsidR="006507E8" w:rsidRPr="00286216" w:rsidRDefault="006507E8" w:rsidP="006507E8">
            <w:pPr>
              <w:pStyle w:val="StyleZakonu"/>
              <w:rPr>
                <w:color w:val="000000" w:themeColor="text1"/>
              </w:rPr>
            </w:pPr>
            <w:r w:rsidRPr="00286216">
              <w:rPr>
                <w:color w:val="000000" w:themeColor="text1"/>
              </w:rPr>
              <w:t>2. Особа, яка оформила проспект у порядку та строки, встановлені частиною третьою цієї статті, у разі виникнення будь-яких важливих змін, суттєвих помилок або виявлення неточностей, що стосуються інформації, яка міститься у проспекті, та які можуть вплинути на оцінку цінних паперів (далі - суттєві зміни), зобов’язана внести відповідні зміни та/або доповнення до такого проспекту, за умови що такі зміни виникли до закінчення строку дії публічної пропозиції, визначеного відповідно до частини першої цієї статті, або до дати початку торгів такими цінними паперами на організованих ринках капіталу (залежно від того, яка подія відбулася пізніше).</w:t>
            </w:r>
          </w:p>
        </w:tc>
      </w:tr>
      <w:tr w:rsidR="006507E8" w:rsidRPr="00286216" w14:paraId="53A39DEB" w14:textId="77777777" w:rsidTr="00091AA5">
        <w:tc>
          <w:tcPr>
            <w:tcW w:w="576" w:type="dxa"/>
          </w:tcPr>
          <w:p w14:paraId="4B725D0C" w14:textId="77777777" w:rsidR="006507E8" w:rsidRPr="00286216" w:rsidRDefault="006507E8" w:rsidP="006507E8">
            <w:pPr>
              <w:pStyle w:val="StyleWisnow"/>
              <w:rPr>
                <w:color w:val="000000" w:themeColor="text1"/>
              </w:rPr>
            </w:pPr>
            <w:bookmarkStart w:id="1402" w:name="n1659" w:colFirst="0" w:colLast="0"/>
            <w:bookmarkEnd w:id="1401"/>
            <w:r w:rsidRPr="00286216">
              <w:rPr>
                <w:color w:val="000000" w:themeColor="text1"/>
              </w:rPr>
              <w:t>1659.</w:t>
            </w:r>
          </w:p>
        </w:tc>
        <w:tc>
          <w:tcPr>
            <w:tcW w:w="4818" w:type="dxa"/>
          </w:tcPr>
          <w:p w14:paraId="7D688094" w14:textId="77777777" w:rsidR="006507E8" w:rsidRPr="00286216" w:rsidRDefault="006507E8" w:rsidP="006507E8">
            <w:pPr>
              <w:pStyle w:val="StyleZakonu"/>
              <w:rPr>
                <w:color w:val="000000" w:themeColor="text1"/>
              </w:rPr>
            </w:pPr>
            <w:r w:rsidRPr="00286216">
              <w:rPr>
                <w:color w:val="000000" w:themeColor="text1"/>
              </w:rPr>
              <w:t xml:space="preserve">Національна комісія з цінних паперів та фондового </w:t>
            </w:r>
            <w:r w:rsidRPr="00286216">
              <w:rPr>
                <w:color w:val="000000" w:themeColor="text1"/>
              </w:rPr>
              <w:lastRenderedPageBreak/>
              <w:t>ринку розробляє та оприлюднює на своєму офіційному веб-сайті орієнтовний перелік суттєвих змін, поява (виявлення) яких може бути підставою для оформлення відповідних змін та/або доповнень до проспекту.</w:t>
            </w:r>
          </w:p>
        </w:tc>
        <w:tc>
          <w:tcPr>
            <w:tcW w:w="3686" w:type="dxa"/>
          </w:tcPr>
          <w:p w14:paraId="2D19AB32" w14:textId="2A3DE7C6" w:rsidR="006507E8" w:rsidRPr="00286216" w:rsidRDefault="006507E8" w:rsidP="006507E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CC979B3" w14:textId="77777777" w:rsidR="006507E8" w:rsidRPr="00286216" w:rsidRDefault="006507E8" w:rsidP="006507E8">
            <w:pPr>
              <w:pStyle w:val="StyleProp"/>
              <w:spacing w:line="180" w:lineRule="exact"/>
              <w:rPr>
                <w:color w:val="000000" w:themeColor="text1"/>
                <w:szCs w:val="18"/>
              </w:rPr>
            </w:pPr>
            <w:r w:rsidRPr="00286216">
              <w:rPr>
                <w:color w:val="000000" w:themeColor="text1"/>
                <w:szCs w:val="18"/>
              </w:rPr>
              <w:lastRenderedPageBreak/>
              <w:t>Абзац другий частини другої статті 96 нової редакції Закону після слова «орієнтовний» доповнити словом та символами «(невиключний)»</w:t>
            </w:r>
          </w:p>
        </w:tc>
        <w:tc>
          <w:tcPr>
            <w:tcW w:w="1987" w:type="dxa"/>
          </w:tcPr>
          <w:p w14:paraId="684EAE61" w14:textId="77777777" w:rsidR="006507E8" w:rsidRPr="00286216" w:rsidRDefault="006507E8" w:rsidP="006507E8">
            <w:pPr>
              <w:pStyle w:val="StyleWisnow"/>
              <w:rPr>
                <w:color w:val="000000" w:themeColor="text1"/>
              </w:rPr>
            </w:pPr>
            <w:r w:rsidRPr="00286216">
              <w:rPr>
                <w:color w:val="000000" w:themeColor="text1"/>
              </w:rPr>
              <w:lastRenderedPageBreak/>
              <w:t>Враховано</w:t>
            </w:r>
          </w:p>
        </w:tc>
        <w:tc>
          <w:tcPr>
            <w:tcW w:w="4818" w:type="dxa"/>
          </w:tcPr>
          <w:p w14:paraId="2D849DB9" w14:textId="6C7310AD" w:rsidR="006507E8" w:rsidRPr="00286216" w:rsidRDefault="006507E8" w:rsidP="006507E8">
            <w:pPr>
              <w:pStyle w:val="StyleZakonu"/>
              <w:rPr>
                <w:color w:val="000000" w:themeColor="text1"/>
              </w:rPr>
            </w:pPr>
            <w:r w:rsidRPr="00286216">
              <w:rPr>
                <w:color w:val="000000" w:themeColor="text1"/>
              </w:rPr>
              <w:t xml:space="preserve">Національна комісія з цінних паперів та фондового </w:t>
            </w:r>
            <w:r w:rsidRPr="00286216">
              <w:rPr>
                <w:color w:val="000000" w:themeColor="text1"/>
              </w:rPr>
              <w:lastRenderedPageBreak/>
              <w:t xml:space="preserve">ринку розробляє та оприлюднює на своєму офіційному веб-сайті орієнтовний </w:t>
            </w:r>
            <w:r w:rsidRPr="00286216">
              <w:rPr>
                <w:color w:val="000000" w:themeColor="text1"/>
                <w:szCs w:val="18"/>
              </w:rPr>
              <w:t>(невиключний)</w:t>
            </w:r>
            <w:r w:rsidRPr="00286216">
              <w:rPr>
                <w:color w:val="000000" w:themeColor="text1"/>
              </w:rPr>
              <w:t xml:space="preserve"> перелік суттєвих змін, поява (виявлення) яких може бути підставою для оформлення відповідних змін та/або доповнень до проспекту.</w:t>
            </w:r>
          </w:p>
        </w:tc>
      </w:tr>
      <w:tr w:rsidR="006507E8" w:rsidRPr="00286216" w14:paraId="6CD9C947" w14:textId="77777777" w:rsidTr="00091AA5">
        <w:tc>
          <w:tcPr>
            <w:tcW w:w="576" w:type="dxa"/>
          </w:tcPr>
          <w:p w14:paraId="46EE26CC" w14:textId="77777777" w:rsidR="006507E8" w:rsidRPr="00286216" w:rsidRDefault="006507E8" w:rsidP="006507E8">
            <w:pPr>
              <w:pStyle w:val="StyleWisnow"/>
              <w:rPr>
                <w:color w:val="000000" w:themeColor="text1"/>
              </w:rPr>
            </w:pPr>
            <w:bookmarkStart w:id="1403" w:name="n1660" w:colFirst="0" w:colLast="0"/>
            <w:bookmarkEnd w:id="1402"/>
            <w:r w:rsidRPr="00286216">
              <w:rPr>
                <w:color w:val="000000" w:themeColor="text1"/>
              </w:rPr>
              <w:lastRenderedPageBreak/>
              <w:t>1660.</w:t>
            </w:r>
          </w:p>
        </w:tc>
        <w:tc>
          <w:tcPr>
            <w:tcW w:w="4818" w:type="dxa"/>
          </w:tcPr>
          <w:p w14:paraId="39534590" w14:textId="77777777" w:rsidR="006507E8" w:rsidRPr="00286216" w:rsidRDefault="006507E8" w:rsidP="006507E8">
            <w:pPr>
              <w:pStyle w:val="StyleZakonu"/>
              <w:rPr>
                <w:color w:val="000000" w:themeColor="text1"/>
              </w:rPr>
            </w:pPr>
            <w:r w:rsidRPr="00286216">
              <w:rPr>
                <w:color w:val="000000" w:themeColor="text1"/>
              </w:rPr>
              <w:t>3. Зміни та/або доповнення до проспекту повинні бути оформлені у вигляді відповідного додатка до проспекту та подані до Національної комісії з цінних паперів та фондового ринку для затвердження протягом п’яти робочих днів з дати виникнення відповідних суттєвих змін.</w:t>
            </w:r>
          </w:p>
        </w:tc>
        <w:tc>
          <w:tcPr>
            <w:tcW w:w="3686" w:type="dxa"/>
          </w:tcPr>
          <w:p w14:paraId="4AA07CE7" w14:textId="77777777" w:rsidR="006507E8" w:rsidRPr="00286216" w:rsidRDefault="006507E8" w:rsidP="006507E8">
            <w:pPr>
              <w:pStyle w:val="StyleProp"/>
              <w:rPr>
                <w:color w:val="000000" w:themeColor="text1"/>
                <w:szCs w:val="18"/>
              </w:rPr>
            </w:pPr>
          </w:p>
        </w:tc>
        <w:tc>
          <w:tcPr>
            <w:tcW w:w="1987" w:type="dxa"/>
          </w:tcPr>
          <w:p w14:paraId="09E490B9" w14:textId="77777777" w:rsidR="006507E8" w:rsidRPr="00286216" w:rsidRDefault="006507E8" w:rsidP="006507E8">
            <w:pPr>
              <w:pStyle w:val="StyleWisnow"/>
              <w:rPr>
                <w:color w:val="000000" w:themeColor="text1"/>
              </w:rPr>
            </w:pPr>
          </w:p>
        </w:tc>
        <w:tc>
          <w:tcPr>
            <w:tcW w:w="4818" w:type="dxa"/>
          </w:tcPr>
          <w:p w14:paraId="2090C4C7" w14:textId="44FEF622" w:rsidR="006507E8" w:rsidRPr="00286216" w:rsidRDefault="006507E8" w:rsidP="006507E8">
            <w:pPr>
              <w:pStyle w:val="StyleZakonu"/>
              <w:rPr>
                <w:color w:val="000000" w:themeColor="text1"/>
              </w:rPr>
            </w:pPr>
            <w:r w:rsidRPr="00286216">
              <w:rPr>
                <w:color w:val="000000" w:themeColor="text1"/>
              </w:rPr>
              <w:t>3. Зміни та/або доповнення до проспекту оформляються у вигляді додатка до проспекту та подаються до Національної комісії з цінних паперів та фондового ринку для затвердження протягом п’яти робочих днів з дати виникнення відповідних суттєвих змін.</w:t>
            </w:r>
          </w:p>
        </w:tc>
      </w:tr>
      <w:tr w:rsidR="006507E8" w:rsidRPr="00286216" w14:paraId="4313C41A" w14:textId="77777777" w:rsidTr="00091AA5">
        <w:tc>
          <w:tcPr>
            <w:tcW w:w="576" w:type="dxa"/>
          </w:tcPr>
          <w:p w14:paraId="7A0B9177" w14:textId="77777777" w:rsidR="006507E8" w:rsidRPr="00286216" w:rsidRDefault="006507E8" w:rsidP="006507E8">
            <w:pPr>
              <w:pStyle w:val="StyleWisnow"/>
              <w:rPr>
                <w:color w:val="000000" w:themeColor="text1"/>
              </w:rPr>
            </w:pPr>
            <w:bookmarkStart w:id="1404" w:name="n1661" w:colFirst="0" w:colLast="0"/>
            <w:bookmarkEnd w:id="1403"/>
            <w:r w:rsidRPr="00286216">
              <w:rPr>
                <w:color w:val="000000" w:themeColor="text1"/>
              </w:rPr>
              <w:t>1661.</w:t>
            </w:r>
          </w:p>
        </w:tc>
        <w:tc>
          <w:tcPr>
            <w:tcW w:w="4818" w:type="dxa"/>
          </w:tcPr>
          <w:p w14:paraId="28D878FE" w14:textId="77777777" w:rsidR="006507E8" w:rsidRPr="00286216" w:rsidRDefault="006507E8" w:rsidP="006507E8">
            <w:pPr>
              <w:pStyle w:val="StyleZakonu"/>
              <w:rPr>
                <w:color w:val="000000" w:themeColor="text1"/>
              </w:rPr>
            </w:pPr>
            <w:r w:rsidRPr="00286216">
              <w:rPr>
                <w:color w:val="000000" w:themeColor="text1"/>
              </w:rPr>
              <w:t>У разі якщо проспект оформлюється юридичною особою, додатки до проспекту підписуються особою, яка здійснює управлінські функції в такій юридичній особі.</w:t>
            </w:r>
          </w:p>
        </w:tc>
        <w:tc>
          <w:tcPr>
            <w:tcW w:w="3686" w:type="dxa"/>
          </w:tcPr>
          <w:p w14:paraId="13A67E5E" w14:textId="77777777" w:rsidR="006507E8" w:rsidRPr="00286216" w:rsidRDefault="006507E8" w:rsidP="006507E8">
            <w:pPr>
              <w:pStyle w:val="StyleProp"/>
              <w:rPr>
                <w:color w:val="000000" w:themeColor="text1"/>
                <w:szCs w:val="18"/>
              </w:rPr>
            </w:pPr>
          </w:p>
        </w:tc>
        <w:tc>
          <w:tcPr>
            <w:tcW w:w="1987" w:type="dxa"/>
          </w:tcPr>
          <w:p w14:paraId="754AAAAC" w14:textId="77777777" w:rsidR="006507E8" w:rsidRPr="00286216" w:rsidRDefault="006507E8" w:rsidP="006507E8">
            <w:pPr>
              <w:pStyle w:val="StyleWisnow"/>
              <w:rPr>
                <w:color w:val="000000" w:themeColor="text1"/>
              </w:rPr>
            </w:pPr>
          </w:p>
        </w:tc>
        <w:tc>
          <w:tcPr>
            <w:tcW w:w="4818" w:type="dxa"/>
          </w:tcPr>
          <w:p w14:paraId="4C82701C" w14:textId="0B5264FC" w:rsidR="006507E8" w:rsidRPr="00286216" w:rsidRDefault="006507E8" w:rsidP="006507E8">
            <w:pPr>
              <w:pStyle w:val="StyleZakonu"/>
              <w:rPr>
                <w:color w:val="000000" w:themeColor="text1"/>
              </w:rPr>
            </w:pPr>
            <w:r w:rsidRPr="00286216">
              <w:rPr>
                <w:color w:val="000000" w:themeColor="text1"/>
              </w:rPr>
              <w:t>У разі якщо проспект оформлюється юридичною особою, додатки до проспекту підписуються особою, яка здійснює управлінські функції в такій юридичній особі.</w:t>
            </w:r>
          </w:p>
        </w:tc>
      </w:tr>
      <w:tr w:rsidR="006507E8" w:rsidRPr="00286216" w14:paraId="3FD2E538" w14:textId="77777777" w:rsidTr="00091AA5">
        <w:tc>
          <w:tcPr>
            <w:tcW w:w="576" w:type="dxa"/>
          </w:tcPr>
          <w:p w14:paraId="685702CB" w14:textId="77777777" w:rsidR="006507E8" w:rsidRPr="00286216" w:rsidRDefault="006507E8" w:rsidP="006507E8">
            <w:pPr>
              <w:pStyle w:val="StyleWisnow"/>
              <w:rPr>
                <w:color w:val="000000" w:themeColor="text1"/>
              </w:rPr>
            </w:pPr>
            <w:bookmarkStart w:id="1405" w:name="n1662" w:colFirst="0" w:colLast="0"/>
            <w:bookmarkEnd w:id="1404"/>
            <w:r w:rsidRPr="00286216">
              <w:rPr>
                <w:color w:val="000000" w:themeColor="text1"/>
              </w:rPr>
              <w:t>1662.</w:t>
            </w:r>
          </w:p>
        </w:tc>
        <w:tc>
          <w:tcPr>
            <w:tcW w:w="4818" w:type="dxa"/>
          </w:tcPr>
          <w:p w14:paraId="6D130E6B" w14:textId="77777777" w:rsidR="006507E8" w:rsidRPr="00286216" w:rsidRDefault="006507E8" w:rsidP="006507E8">
            <w:pPr>
              <w:pStyle w:val="StyleZakonu"/>
              <w:rPr>
                <w:color w:val="000000" w:themeColor="text1"/>
              </w:rPr>
            </w:pPr>
            <w:r w:rsidRPr="00286216">
              <w:rPr>
                <w:color w:val="000000" w:themeColor="text1"/>
              </w:rPr>
              <w:t>У разі оформлення проспекту фізичною особою додатки до нього підписуються такою фізичною особою.</w:t>
            </w:r>
          </w:p>
        </w:tc>
        <w:tc>
          <w:tcPr>
            <w:tcW w:w="3686" w:type="dxa"/>
          </w:tcPr>
          <w:p w14:paraId="0F1D1590" w14:textId="77777777" w:rsidR="006507E8" w:rsidRPr="00286216" w:rsidRDefault="006507E8" w:rsidP="006507E8">
            <w:pPr>
              <w:pStyle w:val="StyleProp"/>
              <w:rPr>
                <w:color w:val="000000" w:themeColor="text1"/>
                <w:szCs w:val="18"/>
              </w:rPr>
            </w:pPr>
          </w:p>
        </w:tc>
        <w:tc>
          <w:tcPr>
            <w:tcW w:w="1987" w:type="dxa"/>
          </w:tcPr>
          <w:p w14:paraId="69D0DDFF" w14:textId="77777777" w:rsidR="006507E8" w:rsidRPr="00286216" w:rsidRDefault="006507E8" w:rsidP="006507E8">
            <w:pPr>
              <w:pStyle w:val="StyleWisnow"/>
              <w:rPr>
                <w:color w:val="000000" w:themeColor="text1"/>
              </w:rPr>
            </w:pPr>
          </w:p>
        </w:tc>
        <w:tc>
          <w:tcPr>
            <w:tcW w:w="4818" w:type="dxa"/>
          </w:tcPr>
          <w:p w14:paraId="0CE171AE" w14:textId="50B93283" w:rsidR="006507E8" w:rsidRPr="00286216" w:rsidRDefault="006507E8" w:rsidP="006507E8">
            <w:pPr>
              <w:pStyle w:val="StyleZakonu"/>
              <w:rPr>
                <w:color w:val="000000" w:themeColor="text1"/>
              </w:rPr>
            </w:pPr>
            <w:r w:rsidRPr="00286216">
              <w:rPr>
                <w:color w:val="000000" w:themeColor="text1"/>
              </w:rPr>
              <w:t>У разі оформлення проспекту фізичною особою додатки до нього підписуються такою фізичною особою.</w:t>
            </w:r>
          </w:p>
        </w:tc>
      </w:tr>
      <w:tr w:rsidR="006507E8" w:rsidRPr="00286216" w14:paraId="6ED05893" w14:textId="77777777" w:rsidTr="00091AA5">
        <w:tc>
          <w:tcPr>
            <w:tcW w:w="576" w:type="dxa"/>
          </w:tcPr>
          <w:p w14:paraId="18B07A5A" w14:textId="77777777" w:rsidR="006507E8" w:rsidRPr="00286216" w:rsidRDefault="006507E8" w:rsidP="006507E8">
            <w:pPr>
              <w:pStyle w:val="StyleWisnow"/>
              <w:rPr>
                <w:color w:val="000000" w:themeColor="text1"/>
              </w:rPr>
            </w:pPr>
            <w:bookmarkStart w:id="1406" w:name="n1663" w:colFirst="0" w:colLast="0"/>
            <w:bookmarkEnd w:id="1405"/>
            <w:r w:rsidRPr="00286216">
              <w:rPr>
                <w:color w:val="000000" w:themeColor="text1"/>
              </w:rPr>
              <w:t>1663.</w:t>
            </w:r>
          </w:p>
        </w:tc>
        <w:tc>
          <w:tcPr>
            <w:tcW w:w="4818" w:type="dxa"/>
          </w:tcPr>
          <w:p w14:paraId="45527C7A" w14:textId="77777777" w:rsidR="006507E8" w:rsidRPr="00286216" w:rsidRDefault="006507E8" w:rsidP="006507E8">
            <w:pPr>
              <w:pStyle w:val="StyleZakonu"/>
              <w:rPr>
                <w:color w:val="000000" w:themeColor="text1"/>
              </w:rPr>
            </w:pPr>
            <w:r w:rsidRPr="00286216">
              <w:rPr>
                <w:color w:val="000000" w:themeColor="text1"/>
              </w:rPr>
              <w:t>4. Додатки до проспекту повинні бути затверджені Національною комісією з цінних паперів та фондового ринку і підлягають оприлюдненню у спосіб, визначений для оприлюднення проспекту частиною другою статті 98 цього Закону, та строки, встановлені Національною комісією з цінних паперів та фондового ринку.</w:t>
            </w:r>
          </w:p>
        </w:tc>
        <w:tc>
          <w:tcPr>
            <w:tcW w:w="3686" w:type="dxa"/>
          </w:tcPr>
          <w:p w14:paraId="087E2D7D" w14:textId="77777777" w:rsidR="006507E8" w:rsidRPr="00286216" w:rsidRDefault="006507E8" w:rsidP="006507E8">
            <w:pPr>
              <w:pStyle w:val="StyleProp"/>
              <w:rPr>
                <w:color w:val="000000" w:themeColor="text1"/>
                <w:szCs w:val="18"/>
              </w:rPr>
            </w:pPr>
          </w:p>
        </w:tc>
        <w:tc>
          <w:tcPr>
            <w:tcW w:w="1987" w:type="dxa"/>
          </w:tcPr>
          <w:p w14:paraId="6BA3CDBA" w14:textId="77777777" w:rsidR="006507E8" w:rsidRPr="00286216" w:rsidRDefault="006507E8" w:rsidP="006507E8">
            <w:pPr>
              <w:pStyle w:val="StyleWisnow"/>
              <w:rPr>
                <w:color w:val="000000" w:themeColor="text1"/>
              </w:rPr>
            </w:pPr>
          </w:p>
        </w:tc>
        <w:tc>
          <w:tcPr>
            <w:tcW w:w="4818" w:type="dxa"/>
          </w:tcPr>
          <w:p w14:paraId="0618570E" w14:textId="305ECB91" w:rsidR="006507E8" w:rsidRPr="00286216" w:rsidRDefault="006507E8" w:rsidP="006507E8">
            <w:pPr>
              <w:pStyle w:val="StyleZakonu"/>
              <w:rPr>
                <w:color w:val="000000" w:themeColor="text1"/>
              </w:rPr>
            </w:pPr>
            <w:r w:rsidRPr="00286216">
              <w:rPr>
                <w:color w:val="000000" w:themeColor="text1"/>
              </w:rPr>
              <w:t>4. Додатки до проспекту затверджуються Національною комісією з цінних паперів та фондового ринку і підлягають оприлюдненню у спосіб, визначений для оприлюднення проспекту частиною другою статті 102 цього Закону, та строки, встановлені Національною комісією з цінних паперів та фондового ринку.</w:t>
            </w:r>
          </w:p>
        </w:tc>
      </w:tr>
      <w:tr w:rsidR="006507E8" w:rsidRPr="00286216" w14:paraId="452DB528" w14:textId="77777777" w:rsidTr="00091AA5">
        <w:tc>
          <w:tcPr>
            <w:tcW w:w="576" w:type="dxa"/>
          </w:tcPr>
          <w:p w14:paraId="49E2EAD9" w14:textId="77777777" w:rsidR="006507E8" w:rsidRPr="00286216" w:rsidRDefault="006507E8" w:rsidP="006507E8">
            <w:pPr>
              <w:pStyle w:val="StyleWisnow"/>
              <w:rPr>
                <w:color w:val="000000" w:themeColor="text1"/>
              </w:rPr>
            </w:pPr>
            <w:bookmarkStart w:id="1407" w:name="n1664" w:colFirst="0" w:colLast="0"/>
            <w:bookmarkEnd w:id="1406"/>
            <w:r w:rsidRPr="00286216">
              <w:rPr>
                <w:color w:val="000000" w:themeColor="text1"/>
              </w:rPr>
              <w:t>1664.</w:t>
            </w:r>
          </w:p>
        </w:tc>
        <w:tc>
          <w:tcPr>
            <w:tcW w:w="4818" w:type="dxa"/>
          </w:tcPr>
          <w:p w14:paraId="215872F5" w14:textId="77777777" w:rsidR="006507E8" w:rsidRPr="00286216" w:rsidRDefault="006507E8" w:rsidP="006507E8">
            <w:pPr>
              <w:pStyle w:val="StyleZakonu"/>
              <w:rPr>
                <w:color w:val="000000" w:themeColor="text1"/>
              </w:rPr>
            </w:pPr>
            <w:r w:rsidRPr="00286216">
              <w:rPr>
                <w:color w:val="000000" w:themeColor="text1"/>
              </w:rPr>
              <w:t>Додаток до проспекту затверджується Національною комісією з цінних паперів та фондового ринку протягом семи робочих днів у порядку, встановленому для затвердження проспекту частиною третьою статті 95 цього Закону.</w:t>
            </w:r>
          </w:p>
        </w:tc>
        <w:tc>
          <w:tcPr>
            <w:tcW w:w="3686" w:type="dxa"/>
          </w:tcPr>
          <w:p w14:paraId="593ED899" w14:textId="77777777" w:rsidR="006507E8" w:rsidRPr="00286216" w:rsidRDefault="006507E8" w:rsidP="006507E8">
            <w:pPr>
              <w:pStyle w:val="StyleProp"/>
              <w:rPr>
                <w:color w:val="000000" w:themeColor="text1"/>
                <w:szCs w:val="18"/>
              </w:rPr>
            </w:pPr>
          </w:p>
        </w:tc>
        <w:tc>
          <w:tcPr>
            <w:tcW w:w="1987" w:type="dxa"/>
          </w:tcPr>
          <w:p w14:paraId="5B085D3E" w14:textId="77777777" w:rsidR="006507E8" w:rsidRPr="00286216" w:rsidRDefault="006507E8" w:rsidP="006507E8">
            <w:pPr>
              <w:pStyle w:val="StyleWisnow"/>
              <w:rPr>
                <w:color w:val="000000" w:themeColor="text1"/>
              </w:rPr>
            </w:pPr>
          </w:p>
        </w:tc>
        <w:tc>
          <w:tcPr>
            <w:tcW w:w="4818" w:type="dxa"/>
          </w:tcPr>
          <w:p w14:paraId="6AEDF06F" w14:textId="026DD238" w:rsidR="006507E8" w:rsidRPr="00286216" w:rsidRDefault="006507E8" w:rsidP="006507E8">
            <w:pPr>
              <w:pStyle w:val="StyleZakonu"/>
              <w:rPr>
                <w:color w:val="000000" w:themeColor="text1"/>
              </w:rPr>
            </w:pPr>
            <w:r w:rsidRPr="00286216">
              <w:rPr>
                <w:color w:val="000000" w:themeColor="text1"/>
              </w:rPr>
              <w:t>Додаток до проспекту затверджується Національною комісією з цінних паперів та фондового ринку протягом семи робочих днів у порядку, встановленому для затвердження проспекту частинами третьою і четвертою статті 99 цього Закону.</w:t>
            </w:r>
          </w:p>
        </w:tc>
      </w:tr>
      <w:tr w:rsidR="006507E8" w:rsidRPr="00286216" w14:paraId="6D1D4DC9" w14:textId="77777777" w:rsidTr="00091AA5">
        <w:tc>
          <w:tcPr>
            <w:tcW w:w="576" w:type="dxa"/>
          </w:tcPr>
          <w:p w14:paraId="058B897D" w14:textId="77777777" w:rsidR="006507E8" w:rsidRPr="00286216" w:rsidRDefault="006507E8" w:rsidP="006507E8">
            <w:pPr>
              <w:pStyle w:val="StyleWisnow"/>
              <w:rPr>
                <w:color w:val="000000" w:themeColor="text1"/>
              </w:rPr>
            </w:pPr>
            <w:bookmarkStart w:id="1408" w:name="n1665" w:colFirst="0" w:colLast="0"/>
            <w:bookmarkEnd w:id="1407"/>
            <w:r w:rsidRPr="00286216">
              <w:rPr>
                <w:color w:val="000000" w:themeColor="text1"/>
              </w:rPr>
              <w:t>1665.</w:t>
            </w:r>
          </w:p>
        </w:tc>
        <w:tc>
          <w:tcPr>
            <w:tcW w:w="4818" w:type="dxa"/>
          </w:tcPr>
          <w:p w14:paraId="55263E9A" w14:textId="77777777" w:rsidR="006507E8" w:rsidRPr="00286216" w:rsidRDefault="006507E8" w:rsidP="006507E8">
            <w:pPr>
              <w:pStyle w:val="StyleZakonu"/>
              <w:rPr>
                <w:color w:val="000000" w:themeColor="text1"/>
              </w:rPr>
            </w:pPr>
            <w:r w:rsidRPr="00286216">
              <w:rPr>
                <w:color w:val="000000" w:themeColor="text1"/>
              </w:rPr>
              <w:t>У разі якщо додатки до реєстраційного документа або документа про цінні папери стосуються інформації, яка міститься в анотації, до анотації повинні бути внесені зміни, які оформляються окремим додатком.</w:t>
            </w:r>
          </w:p>
        </w:tc>
        <w:tc>
          <w:tcPr>
            <w:tcW w:w="3686" w:type="dxa"/>
          </w:tcPr>
          <w:p w14:paraId="373C6AA5" w14:textId="77777777" w:rsidR="006507E8" w:rsidRPr="00286216" w:rsidRDefault="006507E8" w:rsidP="006507E8">
            <w:pPr>
              <w:pStyle w:val="StyleProp"/>
              <w:rPr>
                <w:color w:val="000000" w:themeColor="text1"/>
                <w:szCs w:val="18"/>
              </w:rPr>
            </w:pPr>
          </w:p>
        </w:tc>
        <w:tc>
          <w:tcPr>
            <w:tcW w:w="1987" w:type="dxa"/>
          </w:tcPr>
          <w:p w14:paraId="23D40779" w14:textId="77777777" w:rsidR="006507E8" w:rsidRPr="00286216" w:rsidRDefault="006507E8" w:rsidP="006507E8">
            <w:pPr>
              <w:pStyle w:val="StyleWisnow"/>
              <w:rPr>
                <w:color w:val="000000" w:themeColor="text1"/>
              </w:rPr>
            </w:pPr>
          </w:p>
        </w:tc>
        <w:tc>
          <w:tcPr>
            <w:tcW w:w="4818" w:type="dxa"/>
          </w:tcPr>
          <w:p w14:paraId="182F6408" w14:textId="3B33619B" w:rsidR="006507E8" w:rsidRPr="00286216" w:rsidRDefault="006507E8" w:rsidP="006507E8">
            <w:pPr>
              <w:pStyle w:val="StyleZakonu"/>
              <w:rPr>
                <w:color w:val="000000" w:themeColor="text1"/>
              </w:rPr>
            </w:pPr>
            <w:r w:rsidRPr="00286216">
              <w:rPr>
                <w:color w:val="000000" w:themeColor="text1"/>
              </w:rPr>
              <w:t>У разі якщо додатки до реєстраційного документа або документа про цінні папери стосуються інформації, яка міститься в анотації, до анотації повинні бути внесені зміни, що оформлюються окремим додатком.</w:t>
            </w:r>
          </w:p>
        </w:tc>
      </w:tr>
      <w:tr w:rsidR="006507E8" w:rsidRPr="00286216" w14:paraId="0CA69B31" w14:textId="77777777" w:rsidTr="00091AA5">
        <w:tc>
          <w:tcPr>
            <w:tcW w:w="576" w:type="dxa"/>
          </w:tcPr>
          <w:p w14:paraId="183E11C8" w14:textId="77777777" w:rsidR="006507E8" w:rsidRPr="00286216" w:rsidRDefault="006507E8" w:rsidP="006507E8">
            <w:pPr>
              <w:pStyle w:val="StyleWisnow"/>
              <w:rPr>
                <w:color w:val="000000" w:themeColor="text1"/>
              </w:rPr>
            </w:pPr>
            <w:bookmarkStart w:id="1409" w:name="n1666" w:colFirst="0" w:colLast="0"/>
            <w:bookmarkEnd w:id="1408"/>
            <w:r w:rsidRPr="00286216">
              <w:rPr>
                <w:color w:val="000000" w:themeColor="text1"/>
              </w:rPr>
              <w:t>1666.</w:t>
            </w:r>
          </w:p>
        </w:tc>
        <w:tc>
          <w:tcPr>
            <w:tcW w:w="4818" w:type="dxa"/>
          </w:tcPr>
          <w:p w14:paraId="203CDF94" w14:textId="77777777" w:rsidR="006507E8" w:rsidRPr="00286216" w:rsidRDefault="006507E8" w:rsidP="006507E8">
            <w:pPr>
              <w:pStyle w:val="StyleZakonu"/>
              <w:rPr>
                <w:color w:val="000000" w:themeColor="text1"/>
              </w:rPr>
            </w:pPr>
            <w:r w:rsidRPr="00286216">
              <w:rPr>
                <w:color w:val="000000" w:themeColor="text1"/>
              </w:rPr>
              <w:t xml:space="preserve">5. У разі внесення змін та/або доповнень до проспекту при здійсненні публічної пропозиції, передбаченої пунктами 1 – 3 частини другої статті 93, інвестори, які вже погодилися придбати відповідні цінні папери до оприлюднення затвердженого Національною комісією з цінних паперів та фондового ринку додатка до проспекту, мають право відмовитися від такого придбання протягом двох </w:t>
            </w:r>
            <w:r w:rsidRPr="00286216">
              <w:rPr>
                <w:color w:val="000000" w:themeColor="text1"/>
              </w:rPr>
              <w:lastRenderedPageBreak/>
              <w:t>робочих днів з дати оприлюднення такого додатка, за умови що строк дії публічної пропозиції не завершений та договір щодо придбання таких цінних паперів не виконаний.</w:t>
            </w:r>
          </w:p>
        </w:tc>
        <w:tc>
          <w:tcPr>
            <w:tcW w:w="3686" w:type="dxa"/>
          </w:tcPr>
          <w:p w14:paraId="5A59F3E6" w14:textId="77777777" w:rsidR="006507E8" w:rsidRPr="00286216" w:rsidRDefault="006507E8" w:rsidP="006507E8">
            <w:pPr>
              <w:pStyle w:val="StyleProp"/>
              <w:rPr>
                <w:color w:val="000000" w:themeColor="text1"/>
                <w:szCs w:val="18"/>
              </w:rPr>
            </w:pPr>
          </w:p>
        </w:tc>
        <w:tc>
          <w:tcPr>
            <w:tcW w:w="1987" w:type="dxa"/>
          </w:tcPr>
          <w:p w14:paraId="47EEB52A" w14:textId="77777777" w:rsidR="006507E8" w:rsidRPr="00286216" w:rsidRDefault="006507E8" w:rsidP="006507E8">
            <w:pPr>
              <w:pStyle w:val="StyleWisnow"/>
              <w:rPr>
                <w:color w:val="000000" w:themeColor="text1"/>
              </w:rPr>
            </w:pPr>
          </w:p>
        </w:tc>
        <w:tc>
          <w:tcPr>
            <w:tcW w:w="4818" w:type="dxa"/>
          </w:tcPr>
          <w:p w14:paraId="2BA8FAB4" w14:textId="1979233B" w:rsidR="006507E8" w:rsidRPr="00286216" w:rsidRDefault="006507E8" w:rsidP="006507E8">
            <w:pPr>
              <w:pStyle w:val="StyleZakonu"/>
              <w:rPr>
                <w:color w:val="000000" w:themeColor="text1"/>
              </w:rPr>
            </w:pPr>
            <w:r w:rsidRPr="00286216">
              <w:rPr>
                <w:color w:val="000000" w:themeColor="text1"/>
              </w:rPr>
              <w:t xml:space="preserve">5. У разі внесення змін та/або доповнень до проспекту під час здійснення публічної пропозиції, передбаченої пунктами 1 – 3 частини другої статті 97 цього Закону, інвестори, які погодилися придбати відповідні цінні папери до оприлюднення затвердженого Національною комісією з цінних паперів та фондового ринку додатка до проспекту, мають право відмовитися від такого придбання </w:t>
            </w:r>
            <w:r w:rsidRPr="00286216">
              <w:rPr>
                <w:color w:val="000000" w:themeColor="text1"/>
              </w:rPr>
              <w:lastRenderedPageBreak/>
              <w:t>протягом двох робочих днів з дати оприлюднення такого додатка, за умови що строк дії публічної пропозиції не завершений та договір щодо придбання таких цінних паперів не виконаний.</w:t>
            </w:r>
          </w:p>
        </w:tc>
      </w:tr>
      <w:tr w:rsidR="006507E8" w:rsidRPr="00286216" w14:paraId="43E21830" w14:textId="77777777" w:rsidTr="00091AA5">
        <w:tc>
          <w:tcPr>
            <w:tcW w:w="576" w:type="dxa"/>
          </w:tcPr>
          <w:p w14:paraId="6E9C6B6F" w14:textId="77777777" w:rsidR="006507E8" w:rsidRPr="00286216" w:rsidRDefault="006507E8" w:rsidP="006507E8">
            <w:pPr>
              <w:pStyle w:val="StyleWisnow"/>
              <w:rPr>
                <w:color w:val="000000" w:themeColor="text1"/>
              </w:rPr>
            </w:pPr>
            <w:bookmarkStart w:id="1410" w:name="n1667" w:colFirst="0" w:colLast="0"/>
            <w:bookmarkEnd w:id="1409"/>
            <w:r w:rsidRPr="00286216">
              <w:rPr>
                <w:color w:val="000000" w:themeColor="text1"/>
              </w:rPr>
              <w:lastRenderedPageBreak/>
              <w:t>1667.</w:t>
            </w:r>
          </w:p>
        </w:tc>
        <w:tc>
          <w:tcPr>
            <w:tcW w:w="4818" w:type="dxa"/>
          </w:tcPr>
          <w:p w14:paraId="01D269DA" w14:textId="77777777" w:rsidR="006507E8" w:rsidRPr="00286216" w:rsidRDefault="006507E8" w:rsidP="006507E8">
            <w:pPr>
              <w:pStyle w:val="StyleZakonu"/>
              <w:rPr>
                <w:color w:val="000000" w:themeColor="text1"/>
              </w:rPr>
            </w:pPr>
            <w:r w:rsidRPr="00286216">
              <w:rPr>
                <w:color w:val="000000" w:themeColor="text1"/>
              </w:rPr>
              <w:t>Строк реалізації права інвестора на відмову від придбання цінних паперів може бути збільшений емітентом або оферентом.</w:t>
            </w:r>
          </w:p>
        </w:tc>
        <w:tc>
          <w:tcPr>
            <w:tcW w:w="3686" w:type="dxa"/>
          </w:tcPr>
          <w:p w14:paraId="003392A9" w14:textId="77777777" w:rsidR="006507E8" w:rsidRPr="00286216" w:rsidRDefault="006507E8" w:rsidP="006507E8">
            <w:pPr>
              <w:pStyle w:val="StyleProp"/>
              <w:rPr>
                <w:color w:val="000000" w:themeColor="text1"/>
                <w:szCs w:val="18"/>
              </w:rPr>
            </w:pPr>
          </w:p>
        </w:tc>
        <w:tc>
          <w:tcPr>
            <w:tcW w:w="1987" w:type="dxa"/>
          </w:tcPr>
          <w:p w14:paraId="558E154B" w14:textId="77777777" w:rsidR="006507E8" w:rsidRPr="00286216" w:rsidRDefault="006507E8" w:rsidP="006507E8">
            <w:pPr>
              <w:pStyle w:val="StyleWisnow"/>
              <w:rPr>
                <w:color w:val="000000" w:themeColor="text1"/>
              </w:rPr>
            </w:pPr>
          </w:p>
        </w:tc>
        <w:tc>
          <w:tcPr>
            <w:tcW w:w="4818" w:type="dxa"/>
          </w:tcPr>
          <w:p w14:paraId="46D3BC0D" w14:textId="33B113F1" w:rsidR="006507E8" w:rsidRPr="00286216" w:rsidRDefault="006507E8" w:rsidP="006507E8">
            <w:pPr>
              <w:pStyle w:val="StyleZakonu"/>
              <w:rPr>
                <w:color w:val="000000" w:themeColor="text1"/>
              </w:rPr>
            </w:pPr>
            <w:r w:rsidRPr="00286216">
              <w:rPr>
                <w:color w:val="000000" w:themeColor="text1"/>
              </w:rPr>
              <w:t>Строк реалізації права інвестора на відмову від придбання цінних паперів може бути збільшений емітентом або оферентом.</w:t>
            </w:r>
          </w:p>
        </w:tc>
      </w:tr>
      <w:tr w:rsidR="006507E8" w:rsidRPr="00286216" w14:paraId="1C44AD8A" w14:textId="77777777" w:rsidTr="00091AA5">
        <w:tc>
          <w:tcPr>
            <w:tcW w:w="576" w:type="dxa"/>
          </w:tcPr>
          <w:p w14:paraId="53C6BEA1" w14:textId="77777777" w:rsidR="006507E8" w:rsidRPr="00286216" w:rsidRDefault="006507E8" w:rsidP="006507E8">
            <w:pPr>
              <w:pStyle w:val="StyleWisnow"/>
              <w:rPr>
                <w:color w:val="000000" w:themeColor="text1"/>
              </w:rPr>
            </w:pPr>
            <w:bookmarkStart w:id="1411" w:name="n1668" w:colFirst="0" w:colLast="0"/>
            <w:bookmarkEnd w:id="1410"/>
            <w:r w:rsidRPr="00286216">
              <w:rPr>
                <w:color w:val="000000" w:themeColor="text1"/>
              </w:rPr>
              <w:t>1668.</w:t>
            </w:r>
          </w:p>
        </w:tc>
        <w:tc>
          <w:tcPr>
            <w:tcW w:w="4818" w:type="dxa"/>
          </w:tcPr>
          <w:p w14:paraId="0A8C147D" w14:textId="77777777" w:rsidR="006507E8" w:rsidRPr="00286216" w:rsidRDefault="006507E8" w:rsidP="006507E8">
            <w:pPr>
              <w:pStyle w:val="StyleZakonu"/>
              <w:rPr>
                <w:color w:val="000000" w:themeColor="text1"/>
              </w:rPr>
            </w:pPr>
            <w:r w:rsidRPr="00286216">
              <w:rPr>
                <w:color w:val="000000" w:themeColor="text1"/>
              </w:rPr>
              <w:t>У разі внесення змін та/або доповнень до проспекту під час емісії цінних паперів, додаток до проспекту також повинен містити кінцеву дату реалізації права інвестора на відмову від придбання цінних паперів.</w:t>
            </w:r>
          </w:p>
        </w:tc>
        <w:tc>
          <w:tcPr>
            <w:tcW w:w="3686" w:type="dxa"/>
          </w:tcPr>
          <w:p w14:paraId="3AFAA566" w14:textId="77777777" w:rsidR="006507E8" w:rsidRPr="00286216" w:rsidRDefault="006507E8" w:rsidP="006507E8">
            <w:pPr>
              <w:pStyle w:val="StyleProp"/>
              <w:rPr>
                <w:color w:val="000000" w:themeColor="text1"/>
                <w:szCs w:val="18"/>
              </w:rPr>
            </w:pPr>
          </w:p>
        </w:tc>
        <w:tc>
          <w:tcPr>
            <w:tcW w:w="1987" w:type="dxa"/>
          </w:tcPr>
          <w:p w14:paraId="3CA8176A" w14:textId="77777777" w:rsidR="006507E8" w:rsidRPr="00286216" w:rsidRDefault="006507E8" w:rsidP="006507E8">
            <w:pPr>
              <w:pStyle w:val="StyleWisnow"/>
              <w:rPr>
                <w:color w:val="000000" w:themeColor="text1"/>
              </w:rPr>
            </w:pPr>
          </w:p>
        </w:tc>
        <w:tc>
          <w:tcPr>
            <w:tcW w:w="4818" w:type="dxa"/>
          </w:tcPr>
          <w:p w14:paraId="179723CA" w14:textId="3E4B17C0" w:rsidR="006507E8" w:rsidRPr="00286216" w:rsidRDefault="006507E8" w:rsidP="006507E8">
            <w:pPr>
              <w:pStyle w:val="StyleZakonu"/>
              <w:rPr>
                <w:color w:val="000000" w:themeColor="text1"/>
              </w:rPr>
            </w:pPr>
            <w:r w:rsidRPr="00286216">
              <w:rPr>
                <w:color w:val="000000" w:themeColor="text1"/>
              </w:rPr>
              <w:t>У разі внесення змін та/або доповнень до проспекту під час емісії цінних паперів додаток до проспекту також повинен містити кінцеву дату реалізації права інвестора на відмову від придбання цінних паперів.</w:t>
            </w:r>
          </w:p>
        </w:tc>
      </w:tr>
      <w:tr w:rsidR="006507E8" w:rsidRPr="00286216" w14:paraId="0333AFF2" w14:textId="77777777" w:rsidTr="00091AA5">
        <w:tc>
          <w:tcPr>
            <w:tcW w:w="576" w:type="dxa"/>
          </w:tcPr>
          <w:p w14:paraId="11C2409B" w14:textId="77777777" w:rsidR="006507E8" w:rsidRPr="00286216" w:rsidRDefault="006507E8" w:rsidP="006507E8">
            <w:pPr>
              <w:pStyle w:val="StyleWisnow"/>
              <w:rPr>
                <w:color w:val="000000" w:themeColor="text1"/>
              </w:rPr>
            </w:pPr>
            <w:bookmarkStart w:id="1412" w:name="n1669" w:colFirst="0" w:colLast="0"/>
            <w:bookmarkEnd w:id="1411"/>
            <w:r w:rsidRPr="00286216">
              <w:rPr>
                <w:color w:val="000000" w:themeColor="text1"/>
              </w:rPr>
              <w:t>1669.</w:t>
            </w:r>
          </w:p>
        </w:tc>
        <w:tc>
          <w:tcPr>
            <w:tcW w:w="4818" w:type="dxa"/>
          </w:tcPr>
          <w:p w14:paraId="643539FF" w14:textId="77777777" w:rsidR="006507E8" w:rsidRPr="00286216" w:rsidRDefault="006507E8" w:rsidP="006507E8">
            <w:pPr>
              <w:pStyle w:val="StyleZakonu"/>
              <w:rPr>
                <w:color w:val="000000" w:themeColor="text1"/>
              </w:rPr>
            </w:pPr>
            <w:bookmarkStart w:id="1413" w:name="_Ref16416399"/>
            <w:r w:rsidRPr="00286216">
              <w:rPr>
                <w:color w:val="000000" w:themeColor="text1"/>
              </w:rPr>
              <w:t>Стаття 97. Мова проспекту цінних паперів</w:t>
            </w:r>
            <w:bookmarkEnd w:id="1413"/>
          </w:p>
        </w:tc>
        <w:tc>
          <w:tcPr>
            <w:tcW w:w="3686" w:type="dxa"/>
          </w:tcPr>
          <w:p w14:paraId="68FED49C" w14:textId="77777777" w:rsidR="006507E8" w:rsidRPr="00286216" w:rsidRDefault="006507E8" w:rsidP="006507E8">
            <w:pPr>
              <w:pStyle w:val="StyleProp"/>
              <w:rPr>
                <w:color w:val="000000" w:themeColor="text1"/>
                <w:szCs w:val="18"/>
              </w:rPr>
            </w:pPr>
          </w:p>
        </w:tc>
        <w:tc>
          <w:tcPr>
            <w:tcW w:w="1987" w:type="dxa"/>
          </w:tcPr>
          <w:p w14:paraId="132F50DF" w14:textId="77777777" w:rsidR="006507E8" w:rsidRPr="00286216" w:rsidRDefault="006507E8" w:rsidP="006507E8">
            <w:pPr>
              <w:pStyle w:val="StyleWisnow"/>
              <w:rPr>
                <w:color w:val="000000" w:themeColor="text1"/>
              </w:rPr>
            </w:pPr>
          </w:p>
        </w:tc>
        <w:tc>
          <w:tcPr>
            <w:tcW w:w="4818" w:type="dxa"/>
          </w:tcPr>
          <w:p w14:paraId="193E3994" w14:textId="29649DAD" w:rsidR="006507E8" w:rsidRPr="00286216" w:rsidRDefault="006507E8" w:rsidP="006507E8">
            <w:pPr>
              <w:pStyle w:val="StyleZakonu"/>
              <w:rPr>
                <w:color w:val="000000" w:themeColor="text1"/>
              </w:rPr>
            </w:pPr>
            <w:r w:rsidRPr="00286216">
              <w:rPr>
                <w:color w:val="000000" w:themeColor="text1"/>
              </w:rPr>
              <w:t>Стаття 101. Мова проспекту цінних паперів</w:t>
            </w:r>
          </w:p>
        </w:tc>
      </w:tr>
      <w:tr w:rsidR="006507E8" w:rsidRPr="00286216" w14:paraId="7BEFCC9F" w14:textId="77777777" w:rsidTr="00091AA5">
        <w:tc>
          <w:tcPr>
            <w:tcW w:w="576" w:type="dxa"/>
          </w:tcPr>
          <w:p w14:paraId="70F18DD5" w14:textId="77777777" w:rsidR="006507E8" w:rsidRPr="00286216" w:rsidRDefault="006507E8" w:rsidP="006507E8">
            <w:pPr>
              <w:pStyle w:val="StyleWisnow"/>
              <w:rPr>
                <w:color w:val="000000" w:themeColor="text1"/>
              </w:rPr>
            </w:pPr>
            <w:bookmarkStart w:id="1414" w:name="n1670" w:colFirst="0" w:colLast="0"/>
            <w:bookmarkEnd w:id="1412"/>
            <w:r w:rsidRPr="00286216">
              <w:rPr>
                <w:color w:val="000000" w:themeColor="text1"/>
              </w:rPr>
              <w:t>1670.</w:t>
            </w:r>
          </w:p>
        </w:tc>
        <w:tc>
          <w:tcPr>
            <w:tcW w:w="4818" w:type="dxa"/>
          </w:tcPr>
          <w:p w14:paraId="7DDB2A0D" w14:textId="77777777" w:rsidR="006507E8" w:rsidRPr="00286216" w:rsidRDefault="006507E8" w:rsidP="006507E8">
            <w:pPr>
              <w:pStyle w:val="StyleZakonu"/>
              <w:rPr>
                <w:color w:val="000000" w:themeColor="text1"/>
              </w:rPr>
            </w:pPr>
            <w:r w:rsidRPr="00286216">
              <w:rPr>
                <w:color w:val="000000" w:themeColor="text1"/>
              </w:rPr>
              <w:t>1. Проспект цінних паперів емітента (крім іноземного емітента) оформлюється щонайменше державною мовою України.</w:t>
            </w:r>
          </w:p>
        </w:tc>
        <w:tc>
          <w:tcPr>
            <w:tcW w:w="3686" w:type="dxa"/>
          </w:tcPr>
          <w:p w14:paraId="5BE92770" w14:textId="7EC83B06" w:rsidR="006507E8" w:rsidRPr="00286216" w:rsidRDefault="006507E8" w:rsidP="006507E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961</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1A9AD120" w14:textId="77777777" w:rsidR="006507E8" w:rsidRPr="00286216" w:rsidRDefault="006507E8" w:rsidP="006507E8">
            <w:pPr>
              <w:pStyle w:val="StyleProp"/>
              <w:rPr>
                <w:color w:val="000000" w:themeColor="text1"/>
                <w:szCs w:val="18"/>
              </w:rPr>
            </w:pPr>
            <w:r w:rsidRPr="00286216">
              <w:rPr>
                <w:rFonts w:eastAsia="Calibri"/>
                <w:color w:val="000000" w:themeColor="text1"/>
                <w:szCs w:val="18"/>
              </w:rPr>
              <w:t>Статтю 97 Закону виключити</w:t>
            </w:r>
            <w:r w:rsidRPr="00286216">
              <w:rPr>
                <w:color w:val="000000" w:themeColor="text1"/>
                <w:szCs w:val="18"/>
              </w:rPr>
              <w:t>.</w:t>
            </w:r>
          </w:p>
          <w:p w14:paraId="40557F82" w14:textId="77777777" w:rsidR="006507E8" w:rsidRPr="00286216" w:rsidRDefault="006507E8" w:rsidP="006507E8">
            <w:pPr>
              <w:pStyle w:val="StyleProp"/>
              <w:rPr>
                <w:rFonts w:eastAsia="Calibri"/>
                <w:color w:val="000000" w:themeColor="text1"/>
                <w:szCs w:val="18"/>
              </w:rPr>
            </w:pPr>
          </w:p>
        </w:tc>
        <w:tc>
          <w:tcPr>
            <w:tcW w:w="1987" w:type="dxa"/>
          </w:tcPr>
          <w:p w14:paraId="0744B36F" w14:textId="0B666B09" w:rsidR="006507E8" w:rsidRPr="00286216" w:rsidRDefault="006507E8" w:rsidP="006507E8">
            <w:pPr>
              <w:pStyle w:val="StyleWisnow"/>
              <w:spacing w:line="180" w:lineRule="exact"/>
              <w:rPr>
                <w:color w:val="000000" w:themeColor="text1"/>
              </w:rPr>
            </w:pPr>
            <w:r w:rsidRPr="00286216">
              <w:rPr>
                <w:color w:val="000000" w:themeColor="text1"/>
              </w:rPr>
              <w:t>Відхилено</w:t>
            </w:r>
          </w:p>
          <w:p w14:paraId="2B0971A0" w14:textId="71720DFD" w:rsidR="006507E8" w:rsidRPr="00286216" w:rsidRDefault="00F81A8D" w:rsidP="00F81A8D">
            <w:pPr>
              <w:pStyle w:val="StyleWisnow"/>
              <w:spacing w:line="180" w:lineRule="exact"/>
              <w:rPr>
                <w:color w:val="000000" w:themeColor="text1"/>
              </w:rPr>
            </w:pPr>
            <w:r w:rsidRPr="00286216">
              <w:rPr>
                <w:color w:val="000000" w:themeColor="text1"/>
              </w:rPr>
              <w:t>з метою імплементації актів ЄС відповідно до Угоди про Асоціацію в частині участі суб‘єктів з країн ЄС на ринках капіталу України</w:t>
            </w:r>
          </w:p>
        </w:tc>
        <w:tc>
          <w:tcPr>
            <w:tcW w:w="4818" w:type="dxa"/>
          </w:tcPr>
          <w:p w14:paraId="2458C0F9" w14:textId="207BB34C" w:rsidR="006507E8" w:rsidRPr="00286216" w:rsidRDefault="006507E8" w:rsidP="006507E8">
            <w:pPr>
              <w:pStyle w:val="StyleZakonu"/>
              <w:rPr>
                <w:color w:val="000000" w:themeColor="text1"/>
              </w:rPr>
            </w:pPr>
            <w:r w:rsidRPr="00286216">
              <w:rPr>
                <w:color w:val="000000" w:themeColor="text1"/>
              </w:rPr>
              <w:t>1. Проспект цінних паперів емітента (крім іноземного емітента) оформлюється щонайменше державною мовою України.</w:t>
            </w:r>
          </w:p>
        </w:tc>
      </w:tr>
      <w:tr w:rsidR="006507E8" w:rsidRPr="00286216" w14:paraId="5B119950" w14:textId="77777777" w:rsidTr="00091AA5">
        <w:tc>
          <w:tcPr>
            <w:tcW w:w="576" w:type="dxa"/>
          </w:tcPr>
          <w:p w14:paraId="3989EA7F" w14:textId="77777777" w:rsidR="006507E8" w:rsidRPr="00286216" w:rsidRDefault="006507E8" w:rsidP="006507E8">
            <w:pPr>
              <w:pStyle w:val="StyleWisnow"/>
              <w:rPr>
                <w:color w:val="000000" w:themeColor="text1"/>
              </w:rPr>
            </w:pPr>
            <w:bookmarkStart w:id="1415" w:name="n1671" w:colFirst="0" w:colLast="0"/>
            <w:bookmarkEnd w:id="1414"/>
            <w:r w:rsidRPr="00286216">
              <w:rPr>
                <w:color w:val="000000" w:themeColor="text1"/>
              </w:rPr>
              <w:t>1671.</w:t>
            </w:r>
          </w:p>
        </w:tc>
        <w:tc>
          <w:tcPr>
            <w:tcW w:w="4818" w:type="dxa"/>
          </w:tcPr>
          <w:p w14:paraId="7AF5D1FD" w14:textId="77777777" w:rsidR="006507E8" w:rsidRPr="00286216" w:rsidRDefault="006507E8" w:rsidP="006507E8">
            <w:pPr>
              <w:pStyle w:val="StyleZakonu"/>
              <w:rPr>
                <w:color w:val="000000" w:themeColor="text1"/>
              </w:rPr>
            </w:pPr>
            <w:r w:rsidRPr="00286216">
              <w:rPr>
                <w:color w:val="000000" w:themeColor="text1"/>
              </w:rPr>
              <w:t>2. Проспект цінних паперів іноземного емітента повинен відповідати вимогам щодо мови документів, встановленим статтею 136 цього Закону.</w:t>
            </w:r>
          </w:p>
        </w:tc>
        <w:tc>
          <w:tcPr>
            <w:tcW w:w="3686" w:type="dxa"/>
          </w:tcPr>
          <w:p w14:paraId="4385DE88" w14:textId="5FC1686C"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962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01B6D88F" w14:textId="77777777" w:rsidR="006507E8" w:rsidRPr="00286216" w:rsidRDefault="006507E8" w:rsidP="006507E8">
            <w:pPr>
              <w:spacing w:line="200" w:lineRule="exact"/>
              <w:ind w:firstLine="227"/>
              <w:jc w:val="both"/>
              <w:rPr>
                <w:color w:val="000000" w:themeColor="text1"/>
                <w:sz w:val="18"/>
              </w:rPr>
            </w:pPr>
            <w:r w:rsidRPr="00286216">
              <w:rPr>
                <w:color w:val="000000" w:themeColor="text1"/>
                <w:sz w:val="18"/>
              </w:rPr>
              <w:t>Статті 97,121,136 розділу 1 законопроекту виключити.</w:t>
            </w:r>
          </w:p>
        </w:tc>
        <w:tc>
          <w:tcPr>
            <w:tcW w:w="1987" w:type="dxa"/>
          </w:tcPr>
          <w:p w14:paraId="75232F94" w14:textId="0E994622" w:rsidR="006507E8" w:rsidRPr="00286216" w:rsidRDefault="006507E8" w:rsidP="00F81A8D">
            <w:pPr>
              <w:pStyle w:val="StyleWisnow"/>
              <w:spacing w:line="180" w:lineRule="exact"/>
              <w:rPr>
                <w:color w:val="000000" w:themeColor="text1"/>
              </w:rPr>
            </w:pPr>
            <w:r w:rsidRPr="00286216">
              <w:rPr>
                <w:color w:val="000000" w:themeColor="text1"/>
              </w:rPr>
              <w:t>Відхилено</w:t>
            </w:r>
          </w:p>
          <w:p w14:paraId="5E9E8E8F" w14:textId="4A6CDD0B" w:rsidR="006507E8" w:rsidRPr="00286216" w:rsidRDefault="00F81A8D" w:rsidP="00F81A8D">
            <w:pPr>
              <w:pStyle w:val="StyleWisnow"/>
              <w:spacing w:line="180" w:lineRule="exact"/>
              <w:rPr>
                <w:color w:val="000000" w:themeColor="text1"/>
              </w:rPr>
            </w:pPr>
            <w:r w:rsidRPr="00286216">
              <w:rPr>
                <w:color w:val="000000" w:themeColor="text1"/>
              </w:rPr>
              <w:t>з метою імплементації актів ЄС відповідно до Угоди про Асоціацію в частині участі суб‘єктів з країн ЄС на ринках капіталу України</w:t>
            </w:r>
          </w:p>
        </w:tc>
        <w:tc>
          <w:tcPr>
            <w:tcW w:w="4818" w:type="dxa"/>
          </w:tcPr>
          <w:p w14:paraId="03CFEF07" w14:textId="6BEAB0D6" w:rsidR="006507E8" w:rsidRPr="00286216" w:rsidRDefault="006507E8" w:rsidP="006507E8">
            <w:pPr>
              <w:pStyle w:val="StyleZakonu"/>
              <w:rPr>
                <w:color w:val="000000" w:themeColor="text1"/>
              </w:rPr>
            </w:pPr>
            <w:r w:rsidRPr="00286216">
              <w:rPr>
                <w:color w:val="000000" w:themeColor="text1"/>
              </w:rPr>
              <w:t>2. Проспект цінних паперів іноземного емітента повинен відповідати вимогам щодо мови документів, встановленим статтею 140 цього Закону.</w:t>
            </w:r>
          </w:p>
        </w:tc>
      </w:tr>
      <w:tr w:rsidR="006507E8" w:rsidRPr="00286216" w14:paraId="186680B6" w14:textId="77777777" w:rsidTr="00091AA5">
        <w:tc>
          <w:tcPr>
            <w:tcW w:w="576" w:type="dxa"/>
          </w:tcPr>
          <w:p w14:paraId="4D336DA0" w14:textId="77777777" w:rsidR="006507E8" w:rsidRPr="00286216" w:rsidRDefault="006507E8" w:rsidP="006507E8">
            <w:pPr>
              <w:pStyle w:val="StyleWisnow"/>
              <w:rPr>
                <w:color w:val="000000" w:themeColor="text1"/>
              </w:rPr>
            </w:pPr>
            <w:bookmarkStart w:id="1416" w:name="n1672" w:colFirst="0" w:colLast="0"/>
            <w:bookmarkEnd w:id="1415"/>
            <w:r w:rsidRPr="00286216">
              <w:rPr>
                <w:color w:val="000000" w:themeColor="text1"/>
              </w:rPr>
              <w:t>1672.</w:t>
            </w:r>
          </w:p>
        </w:tc>
        <w:tc>
          <w:tcPr>
            <w:tcW w:w="4818" w:type="dxa"/>
          </w:tcPr>
          <w:p w14:paraId="49016B9D" w14:textId="77777777" w:rsidR="006507E8" w:rsidRPr="00286216" w:rsidRDefault="006507E8" w:rsidP="006507E8">
            <w:pPr>
              <w:pStyle w:val="StyleZakonu"/>
              <w:rPr>
                <w:color w:val="000000" w:themeColor="text1"/>
              </w:rPr>
            </w:pPr>
            <w:bookmarkStart w:id="1417" w:name="_Ref16415941"/>
            <w:r w:rsidRPr="00286216">
              <w:rPr>
                <w:color w:val="000000" w:themeColor="text1"/>
              </w:rPr>
              <w:t>Стаття 98. Розкриття інформації, що міститься в проспекті цінних паперів</w:t>
            </w:r>
            <w:bookmarkEnd w:id="1417"/>
          </w:p>
        </w:tc>
        <w:tc>
          <w:tcPr>
            <w:tcW w:w="3686" w:type="dxa"/>
          </w:tcPr>
          <w:p w14:paraId="568A53BB" w14:textId="77777777" w:rsidR="006507E8" w:rsidRPr="00286216" w:rsidRDefault="006507E8" w:rsidP="006507E8">
            <w:pPr>
              <w:pStyle w:val="StyleProp"/>
              <w:rPr>
                <w:color w:val="000000" w:themeColor="text1"/>
                <w:szCs w:val="18"/>
              </w:rPr>
            </w:pPr>
          </w:p>
        </w:tc>
        <w:tc>
          <w:tcPr>
            <w:tcW w:w="1987" w:type="dxa"/>
          </w:tcPr>
          <w:p w14:paraId="13BB03C7" w14:textId="77777777" w:rsidR="006507E8" w:rsidRPr="00286216" w:rsidRDefault="006507E8" w:rsidP="006507E8">
            <w:pPr>
              <w:pStyle w:val="StyleWisnow"/>
              <w:rPr>
                <w:color w:val="000000" w:themeColor="text1"/>
              </w:rPr>
            </w:pPr>
          </w:p>
        </w:tc>
        <w:tc>
          <w:tcPr>
            <w:tcW w:w="4818" w:type="dxa"/>
          </w:tcPr>
          <w:p w14:paraId="088CB0C7" w14:textId="78FA21DD" w:rsidR="006507E8" w:rsidRPr="00286216" w:rsidRDefault="006507E8" w:rsidP="006507E8">
            <w:pPr>
              <w:pStyle w:val="StyleZakonu"/>
              <w:rPr>
                <w:color w:val="000000" w:themeColor="text1"/>
              </w:rPr>
            </w:pPr>
            <w:r w:rsidRPr="00286216">
              <w:rPr>
                <w:color w:val="000000" w:themeColor="text1"/>
              </w:rPr>
              <w:t>Стаття 102. Розкриття інформації, що міститься у проспекті цінних паперів</w:t>
            </w:r>
          </w:p>
        </w:tc>
      </w:tr>
      <w:tr w:rsidR="006507E8" w:rsidRPr="00286216" w14:paraId="2AB32F09" w14:textId="77777777" w:rsidTr="00091AA5">
        <w:tc>
          <w:tcPr>
            <w:tcW w:w="576" w:type="dxa"/>
          </w:tcPr>
          <w:p w14:paraId="2F64855C" w14:textId="77777777" w:rsidR="006507E8" w:rsidRPr="00286216" w:rsidRDefault="006507E8" w:rsidP="006507E8">
            <w:pPr>
              <w:pStyle w:val="StyleWisnow"/>
              <w:rPr>
                <w:color w:val="000000" w:themeColor="text1"/>
              </w:rPr>
            </w:pPr>
            <w:bookmarkStart w:id="1418" w:name="n1673" w:colFirst="0" w:colLast="0"/>
            <w:bookmarkEnd w:id="1416"/>
            <w:r w:rsidRPr="00286216">
              <w:rPr>
                <w:color w:val="000000" w:themeColor="text1"/>
              </w:rPr>
              <w:t>1673.</w:t>
            </w:r>
          </w:p>
        </w:tc>
        <w:tc>
          <w:tcPr>
            <w:tcW w:w="4818" w:type="dxa"/>
          </w:tcPr>
          <w:p w14:paraId="3E5CD996" w14:textId="77777777" w:rsidR="006507E8" w:rsidRPr="00286216" w:rsidRDefault="006507E8" w:rsidP="006507E8">
            <w:pPr>
              <w:pStyle w:val="StyleZakonu"/>
              <w:rPr>
                <w:color w:val="000000" w:themeColor="text1"/>
              </w:rPr>
            </w:pPr>
            <w:r w:rsidRPr="00286216">
              <w:rPr>
                <w:color w:val="000000" w:themeColor="text1"/>
              </w:rPr>
              <w:t>1. Після затвердження проспекту Національною комісією з цінних паперів та фондового ринку, він має бути оприлюднений особою, яка здійснює публічну пропозицію, протягом двох робочих днів, але не пізніше останнього робочого дня, що передує даті початку продажу таких цінних паперів, визначеної відповідною публічною пропозицією, крім випадків, передбачених абзацом другим цієї частини.</w:t>
            </w:r>
          </w:p>
        </w:tc>
        <w:tc>
          <w:tcPr>
            <w:tcW w:w="3686" w:type="dxa"/>
          </w:tcPr>
          <w:p w14:paraId="0B142E0E" w14:textId="77777777" w:rsidR="006507E8" w:rsidRPr="00286216" w:rsidRDefault="006507E8" w:rsidP="006507E8">
            <w:pPr>
              <w:pStyle w:val="StyleProp"/>
              <w:rPr>
                <w:color w:val="000000" w:themeColor="text1"/>
                <w:szCs w:val="18"/>
              </w:rPr>
            </w:pPr>
          </w:p>
        </w:tc>
        <w:tc>
          <w:tcPr>
            <w:tcW w:w="1987" w:type="dxa"/>
          </w:tcPr>
          <w:p w14:paraId="20378B68" w14:textId="77777777" w:rsidR="006507E8" w:rsidRPr="00286216" w:rsidRDefault="006507E8" w:rsidP="006507E8">
            <w:pPr>
              <w:pStyle w:val="StyleWisnow"/>
              <w:rPr>
                <w:color w:val="000000" w:themeColor="text1"/>
              </w:rPr>
            </w:pPr>
          </w:p>
        </w:tc>
        <w:tc>
          <w:tcPr>
            <w:tcW w:w="4818" w:type="dxa"/>
          </w:tcPr>
          <w:p w14:paraId="0DEBD0BA" w14:textId="189F8189" w:rsidR="006507E8" w:rsidRPr="00286216" w:rsidRDefault="006507E8" w:rsidP="006507E8">
            <w:pPr>
              <w:pStyle w:val="StyleZakonu"/>
              <w:rPr>
                <w:color w:val="000000" w:themeColor="text1"/>
              </w:rPr>
            </w:pPr>
            <w:r w:rsidRPr="00286216">
              <w:rPr>
                <w:color w:val="000000" w:themeColor="text1"/>
              </w:rPr>
              <w:t>1. Після затвердження проспекту Національною комісією з цінних паперів та фондового ринку він має бути оприлюднений особою, яка здійснює публічну пропозицію, протягом двох робочих днів, але не пізніше останнього робочого дня, що передує даті початку продажу таких цінних паперів, визначеної відповідною публічною пропозицією, крім випадків, передбачених абзацом другим цієї частини.</w:t>
            </w:r>
          </w:p>
        </w:tc>
      </w:tr>
      <w:tr w:rsidR="006507E8" w:rsidRPr="00286216" w14:paraId="15FF4D22" w14:textId="77777777" w:rsidTr="00091AA5">
        <w:tc>
          <w:tcPr>
            <w:tcW w:w="576" w:type="dxa"/>
          </w:tcPr>
          <w:p w14:paraId="37204057" w14:textId="77777777" w:rsidR="006507E8" w:rsidRPr="00286216" w:rsidRDefault="006507E8" w:rsidP="006507E8">
            <w:pPr>
              <w:pStyle w:val="StyleWisnow"/>
              <w:rPr>
                <w:color w:val="000000" w:themeColor="text1"/>
              </w:rPr>
            </w:pPr>
            <w:bookmarkStart w:id="1419" w:name="n1674" w:colFirst="0" w:colLast="0"/>
            <w:bookmarkEnd w:id="1418"/>
            <w:r w:rsidRPr="00286216">
              <w:rPr>
                <w:color w:val="000000" w:themeColor="text1"/>
              </w:rPr>
              <w:t>1674.</w:t>
            </w:r>
          </w:p>
        </w:tc>
        <w:tc>
          <w:tcPr>
            <w:tcW w:w="4818" w:type="dxa"/>
          </w:tcPr>
          <w:p w14:paraId="6B511BCD" w14:textId="77777777" w:rsidR="006507E8" w:rsidRPr="00286216" w:rsidRDefault="006507E8" w:rsidP="006507E8">
            <w:pPr>
              <w:pStyle w:val="StyleZakonu"/>
              <w:rPr>
                <w:color w:val="000000" w:themeColor="text1"/>
              </w:rPr>
            </w:pPr>
            <w:r w:rsidRPr="00286216">
              <w:rPr>
                <w:color w:val="000000" w:themeColor="text1"/>
              </w:rPr>
              <w:t>У разі якщо емітент не здійснював публічну пропозицію таких цінних паперів та/або публічна пропозиція таких цінних паперів не здійснювалася оферентом та/або такі цінні папери не допущені до торгів на регульованому фондовому ринку, проспект має бути оприлюднений не пізніше ніж за п’ять робочих днів до дати початку продажу таких цінних паперів, визначеної відповідною публічною пропозицією.</w:t>
            </w:r>
          </w:p>
        </w:tc>
        <w:tc>
          <w:tcPr>
            <w:tcW w:w="3686" w:type="dxa"/>
          </w:tcPr>
          <w:p w14:paraId="21A46B48" w14:textId="77777777" w:rsidR="006507E8" w:rsidRPr="00286216" w:rsidRDefault="006507E8" w:rsidP="006507E8">
            <w:pPr>
              <w:pStyle w:val="StyleProp"/>
              <w:rPr>
                <w:color w:val="000000" w:themeColor="text1"/>
                <w:szCs w:val="18"/>
              </w:rPr>
            </w:pPr>
          </w:p>
        </w:tc>
        <w:tc>
          <w:tcPr>
            <w:tcW w:w="1987" w:type="dxa"/>
          </w:tcPr>
          <w:p w14:paraId="3BB45A89" w14:textId="77777777" w:rsidR="006507E8" w:rsidRPr="00286216" w:rsidRDefault="006507E8" w:rsidP="006507E8">
            <w:pPr>
              <w:pStyle w:val="StyleWisnow"/>
              <w:rPr>
                <w:color w:val="000000" w:themeColor="text1"/>
              </w:rPr>
            </w:pPr>
          </w:p>
        </w:tc>
        <w:tc>
          <w:tcPr>
            <w:tcW w:w="4818" w:type="dxa"/>
          </w:tcPr>
          <w:p w14:paraId="11020826" w14:textId="3FBC6883" w:rsidR="006507E8" w:rsidRPr="00286216" w:rsidRDefault="006507E8" w:rsidP="006507E8">
            <w:pPr>
              <w:pStyle w:val="StyleZakonu"/>
              <w:rPr>
                <w:color w:val="000000" w:themeColor="text1"/>
              </w:rPr>
            </w:pPr>
            <w:r w:rsidRPr="00286216">
              <w:rPr>
                <w:color w:val="000000" w:themeColor="text1"/>
              </w:rPr>
              <w:t>У разі якщо емітент не здійснював публічну пропозицію таких цінних паперів та/або публічна пропозиція таких цінних паперів не здійснювалася оферентом, та/або такі цінні папери не допущені до торгів на регульованому фондовому ринку проспект має бути оприлюднений не пізніше ніж за п’ять робочих днів до дати початку продажу таких цінних паперів, визначеної відповідною публічною пропозицією.</w:t>
            </w:r>
          </w:p>
        </w:tc>
      </w:tr>
      <w:tr w:rsidR="006507E8" w:rsidRPr="00286216" w14:paraId="5416E42B" w14:textId="77777777" w:rsidTr="00091AA5">
        <w:tc>
          <w:tcPr>
            <w:tcW w:w="576" w:type="dxa"/>
          </w:tcPr>
          <w:p w14:paraId="7E3ED515" w14:textId="77777777" w:rsidR="006507E8" w:rsidRPr="00286216" w:rsidRDefault="006507E8" w:rsidP="006507E8">
            <w:pPr>
              <w:pStyle w:val="StyleWisnow"/>
              <w:rPr>
                <w:color w:val="000000" w:themeColor="text1"/>
              </w:rPr>
            </w:pPr>
            <w:bookmarkStart w:id="1420" w:name="n1675" w:colFirst="0" w:colLast="0"/>
            <w:bookmarkEnd w:id="1419"/>
            <w:r w:rsidRPr="00286216">
              <w:rPr>
                <w:color w:val="000000" w:themeColor="text1"/>
              </w:rPr>
              <w:lastRenderedPageBreak/>
              <w:t>1675.</w:t>
            </w:r>
          </w:p>
        </w:tc>
        <w:tc>
          <w:tcPr>
            <w:tcW w:w="4818" w:type="dxa"/>
          </w:tcPr>
          <w:p w14:paraId="4B818EA0" w14:textId="77777777" w:rsidR="006507E8" w:rsidRPr="00286216" w:rsidRDefault="006507E8" w:rsidP="006507E8">
            <w:pPr>
              <w:pStyle w:val="StyleZakonu"/>
              <w:rPr>
                <w:color w:val="000000" w:themeColor="text1"/>
              </w:rPr>
            </w:pPr>
            <w:r w:rsidRPr="00286216">
              <w:rPr>
                <w:color w:val="000000" w:themeColor="text1"/>
              </w:rPr>
              <w:t>2. Проспект вважається оприлюдненим, якщо його розміщено в електронній формі на одному з таких офіційних веб-сайтів:</w:t>
            </w:r>
          </w:p>
        </w:tc>
        <w:tc>
          <w:tcPr>
            <w:tcW w:w="3686" w:type="dxa"/>
          </w:tcPr>
          <w:p w14:paraId="44495DAD" w14:textId="77777777" w:rsidR="006507E8" w:rsidRPr="00286216" w:rsidRDefault="006507E8" w:rsidP="006507E8">
            <w:pPr>
              <w:pStyle w:val="StyleProp"/>
              <w:rPr>
                <w:color w:val="000000" w:themeColor="text1"/>
                <w:szCs w:val="18"/>
              </w:rPr>
            </w:pPr>
          </w:p>
        </w:tc>
        <w:tc>
          <w:tcPr>
            <w:tcW w:w="1987" w:type="dxa"/>
          </w:tcPr>
          <w:p w14:paraId="4D9B8F9C" w14:textId="77777777" w:rsidR="006507E8" w:rsidRPr="00286216" w:rsidRDefault="006507E8" w:rsidP="006507E8">
            <w:pPr>
              <w:pStyle w:val="StyleWisnow"/>
              <w:rPr>
                <w:color w:val="000000" w:themeColor="text1"/>
              </w:rPr>
            </w:pPr>
          </w:p>
        </w:tc>
        <w:tc>
          <w:tcPr>
            <w:tcW w:w="4818" w:type="dxa"/>
          </w:tcPr>
          <w:p w14:paraId="63E144BD" w14:textId="00862B4E" w:rsidR="006507E8" w:rsidRPr="00286216" w:rsidRDefault="006507E8" w:rsidP="006507E8">
            <w:pPr>
              <w:pStyle w:val="StyleZakonu"/>
              <w:rPr>
                <w:color w:val="000000" w:themeColor="text1"/>
              </w:rPr>
            </w:pPr>
            <w:r w:rsidRPr="00286216">
              <w:rPr>
                <w:color w:val="000000" w:themeColor="text1"/>
              </w:rPr>
              <w:t>2. Проспект вважається оприлюдненим, якщо його розміщено в електронній формі:</w:t>
            </w:r>
          </w:p>
        </w:tc>
      </w:tr>
      <w:tr w:rsidR="006507E8" w:rsidRPr="00286216" w14:paraId="29EFBC51" w14:textId="77777777" w:rsidTr="00091AA5">
        <w:tc>
          <w:tcPr>
            <w:tcW w:w="576" w:type="dxa"/>
          </w:tcPr>
          <w:p w14:paraId="0D3C39D7" w14:textId="259CADE7" w:rsidR="006507E8" w:rsidRPr="00286216" w:rsidRDefault="006507E8" w:rsidP="006507E8">
            <w:pPr>
              <w:pStyle w:val="StyleWisnow"/>
              <w:rPr>
                <w:color w:val="000000" w:themeColor="text1"/>
              </w:rPr>
            </w:pPr>
            <w:bookmarkStart w:id="1421" w:name="n1676" w:colFirst="0" w:colLast="0"/>
            <w:bookmarkEnd w:id="1420"/>
            <w:r w:rsidRPr="00286216">
              <w:rPr>
                <w:color w:val="000000" w:themeColor="text1"/>
              </w:rPr>
              <w:t>1676.</w:t>
            </w:r>
          </w:p>
        </w:tc>
        <w:tc>
          <w:tcPr>
            <w:tcW w:w="4818" w:type="dxa"/>
          </w:tcPr>
          <w:p w14:paraId="5A839604" w14:textId="77777777" w:rsidR="006507E8" w:rsidRPr="00286216" w:rsidRDefault="006507E8" w:rsidP="006507E8">
            <w:pPr>
              <w:pStyle w:val="StyleZakonu"/>
              <w:rPr>
                <w:color w:val="000000" w:themeColor="text1"/>
              </w:rPr>
            </w:pPr>
            <w:r w:rsidRPr="00286216">
              <w:rPr>
                <w:color w:val="000000" w:themeColor="text1"/>
              </w:rPr>
              <w:t>1) веб-сайт особи, яка здійснює публічну пропозицію;</w:t>
            </w:r>
          </w:p>
        </w:tc>
        <w:tc>
          <w:tcPr>
            <w:tcW w:w="3686" w:type="dxa"/>
          </w:tcPr>
          <w:p w14:paraId="051EF80A" w14:textId="77777777" w:rsidR="006507E8" w:rsidRPr="00286216" w:rsidRDefault="006507E8" w:rsidP="006507E8">
            <w:pPr>
              <w:pStyle w:val="StyleProp"/>
              <w:rPr>
                <w:color w:val="000000" w:themeColor="text1"/>
                <w:szCs w:val="18"/>
              </w:rPr>
            </w:pPr>
          </w:p>
        </w:tc>
        <w:tc>
          <w:tcPr>
            <w:tcW w:w="1987" w:type="dxa"/>
          </w:tcPr>
          <w:p w14:paraId="101E5048" w14:textId="77777777" w:rsidR="006507E8" w:rsidRPr="00286216" w:rsidRDefault="006507E8" w:rsidP="006507E8">
            <w:pPr>
              <w:pStyle w:val="StyleWisnow"/>
              <w:rPr>
                <w:color w:val="000000" w:themeColor="text1"/>
              </w:rPr>
            </w:pPr>
          </w:p>
        </w:tc>
        <w:tc>
          <w:tcPr>
            <w:tcW w:w="4818" w:type="dxa"/>
          </w:tcPr>
          <w:p w14:paraId="75FA99EB" w14:textId="1E6ED020" w:rsidR="006507E8" w:rsidRPr="00286216" w:rsidRDefault="006507E8" w:rsidP="006507E8">
            <w:pPr>
              <w:pStyle w:val="StyleZakonu"/>
              <w:rPr>
                <w:color w:val="000000" w:themeColor="text1"/>
              </w:rPr>
            </w:pPr>
            <w:r w:rsidRPr="00286216">
              <w:rPr>
                <w:color w:val="000000" w:themeColor="text1"/>
              </w:rPr>
              <w:t>1) на веб-сайті особи, яка здійснює публічну пропозицію;</w:t>
            </w:r>
          </w:p>
        </w:tc>
      </w:tr>
      <w:tr w:rsidR="006507E8" w:rsidRPr="00286216" w14:paraId="49A2B74D" w14:textId="77777777" w:rsidTr="00091AA5">
        <w:tc>
          <w:tcPr>
            <w:tcW w:w="576" w:type="dxa"/>
          </w:tcPr>
          <w:p w14:paraId="6D183149" w14:textId="77777777" w:rsidR="006507E8" w:rsidRPr="00286216" w:rsidRDefault="006507E8" w:rsidP="006507E8">
            <w:pPr>
              <w:pStyle w:val="StyleWisnow"/>
              <w:rPr>
                <w:color w:val="000000" w:themeColor="text1"/>
              </w:rPr>
            </w:pPr>
            <w:bookmarkStart w:id="1422" w:name="n1677" w:colFirst="0" w:colLast="0"/>
            <w:bookmarkEnd w:id="1421"/>
            <w:r w:rsidRPr="00286216">
              <w:rPr>
                <w:color w:val="000000" w:themeColor="text1"/>
              </w:rPr>
              <w:t>1677.</w:t>
            </w:r>
          </w:p>
        </w:tc>
        <w:tc>
          <w:tcPr>
            <w:tcW w:w="4818" w:type="dxa"/>
          </w:tcPr>
          <w:p w14:paraId="5427B0C2" w14:textId="77777777" w:rsidR="006507E8" w:rsidRPr="00286216" w:rsidRDefault="006507E8" w:rsidP="006507E8">
            <w:pPr>
              <w:pStyle w:val="StyleZakonu"/>
              <w:rPr>
                <w:color w:val="000000" w:themeColor="text1"/>
              </w:rPr>
            </w:pPr>
            <w:r w:rsidRPr="00286216">
              <w:rPr>
                <w:color w:val="000000" w:themeColor="text1"/>
              </w:rPr>
              <w:t>2) веб-сайт відповідного оператора регульованого ринку у разі допуску цінних паперів до торгів на такому регульованому фондового ринку;</w:t>
            </w:r>
          </w:p>
        </w:tc>
        <w:tc>
          <w:tcPr>
            <w:tcW w:w="3686" w:type="dxa"/>
          </w:tcPr>
          <w:p w14:paraId="11B4EA68" w14:textId="77777777" w:rsidR="006507E8" w:rsidRPr="00286216" w:rsidRDefault="006507E8" w:rsidP="006507E8">
            <w:pPr>
              <w:pStyle w:val="StyleProp"/>
              <w:rPr>
                <w:color w:val="000000" w:themeColor="text1"/>
                <w:szCs w:val="18"/>
              </w:rPr>
            </w:pPr>
          </w:p>
        </w:tc>
        <w:tc>
          <w:tcPr>
            <w:tcW w:w="1987" w:type="dxa"/>
          </w:tcPr>
          <w:p w14:paraId="649148C8" w14:textId="77777777" w:rsidR="006507E8" w:rsidRPr="00286216" w:rsidRDefault="006507E8" w:rsidP="006507E8">
            <w:pPr>
              <w:pStyle w:val="StyleWisnow"/>
              <w:rPr>
                <w:color w:val="000000" w:themeColor="text1"/>
              </w:rPr>
            </w:pPr>
          </w:p>
        </w:tc>
        <w:tc>
          <w:tcPr>
            <w:tcW w:w="4818" w:type="dxa"/>
          </w:tcPr>
          <w:p w14:paraId="34A218EB" w14:textId="7004D106" w:rsidR="006507E8" w:rsidRPr="00286216" w:rsidRDefault="006507E8" w:rsidP="006507E8">
            <w:pPr>
              <w:pStyle w:val="StyleZakonu"/>
              <w:rPr>
                <w:color w:val="000000" w:themeColor="text1"/>
              </w:rPr>
            </w:pPr>
            <w:r w:rsidRPr="00286216">
              <w:rPr>
                <w:color w:val="000000" w:themeColor="text1"/>
              </w:rPr>
              <w:t>2) на веб-сайті відповідного оператора регульованого ринку – у разі допуску цінних паперів до торгів на такому регульованому фондового ринку;</w:t>
            </w:r>
          </w:p>
        </w:tc>
      </w:tr>
      <w:tr w:rsidR="006507E8" w:rsidRPr="00286216" w14:paraId="0754260B" w14:textId="77777777" w:rsidTr="00091AA5">
        <w:tc>
          <w:tcPr>
            <w:tcW w:w="576" w:type="dxa"/>
          </w:tcPr>
          <w:p w14:paraId="025EED34" w14:textId="77777777" w:rsidR="006507E8" w:rsidRPr="00286216" w:rsidRDefault="006507E8" w:rsidP="006507E8">
            <w:pPr>
              <w:pStyle w:val="StyleWisnow"/>
              <w:rPr>
                <w:color w:val="000000" w:themeColor="text1"/>
              </w:rPr>
            </w:pPr>
            <w:bookmarkStart w:id="1423" w:name="n1678" w:colFirst="0" w:colLast="0"/>
            <w:bookmarkEnd w:id="1422"/>
            <w:r w:rsidRPr="00286216">
              <w:rPr>
                <w:color w:val="000000" w:themeColor="text1"/>
              </w:rPr>
              <w:t>1678.</w:t>
            </w:r>
          </w:p>
        </w:tc>
        <w:tc>
          <w:tcPr>
            <w:tcW w:w="4818" w:type="dxa"/>
          </w:tcPr>
          <w:p w14:paraId="0EBE8A68" w14:textId="77777777" w:rsidR="006507E8" w:rsidRPr="00286216" w:rsidRDefault="006507E8" w:rsidP="006507E8">
            <w:pPr>
              <w:pStyle w:val="StyleZakonu"/>
              <w:rPr>
                <w:color w:val="000000" w:themeColor="text1"/>
              </w:rPr>
            </w:pPr>
            <w:r w:rsidRPr="00286216">
              <w:rPr>
                <w:color w:val="000000" w:themeColor="text1"/>
              </w:rPr>
              <w:t>3) веб-сайт професійного учасника фондового ринку, який здійснює операції, пов’язані з виконанням публічної пропозиції;</w:t>
            </w:r>
          </w:p>
        </w:tc>
        <w:tc>
          <w:tcPr>
            <w:tcW w:w="3686" w:type="dxa"/>
          </w:tcPr>
          <w:p w14:paraId="3ED07932" w14:textId="77777777" w:rsidR="006507E8" w:rsidRPr="00286216" w:rsidRDefault="006507E8" w:rsidP="006507E8">
            <w:pPr>
              <w:pStyle w:val="StyleProp"/>
              <w:rPr>
                <w:color w:val="000000" w:themeColor="text1"/>
                <w:szCs w:val="18"/>
              </w:rPr>
            </w:pPr>
          </w:p>
        </w:tc>
        <w:tc>
          <w:tcPr>
            <w:tcW w:w="1987" w:type="dxa"/>
          </w:tcPr>
          <w:p w14:paraId="5EC65398" w14:textId="77777777" w:rsidR="006507E8" w:rsidRPr="00286216" w:rsidRDefault="006507E8" w:rsidP="006507E8">
            <w:pPr>
              <w:pStyle w:val="StyleWisnow"/>
              <w:rPr>
                <w:color w:val="000000" w:themeColor="text1"/>
              </w:rPr>
            </w:pPr>
          </w:p>
        </w:tc>
        <w:tc>
          <w:tcPr>
            <w:tcW w:w="4818" w:type="dxa"/>
          </w:tcPr>
          <w:p w14:paraId="7981E5A7" w14:textId="713B9E84" w:rsidR="006507E8" w:rsidRPr="00286216" w:rsidRDefault="006507E8" w:rsidP="006507E8">
            <w:pPr>
              <w:pStyle w:val="StyleZakonu"/>
              <w:rPr>
                <w:color w:val="000000" w:themeColor="text1"/>
              </w:rPr>
            </w:pPr>
            <w:r w:rsidRPr="00286216">
              <w:rPr>
                <w:color w:val="000000" w:themeColor="text1"/>
              </w:rPr>
              <w:t>3) на веб-сайт професійного учасника ринків капіталу, який здійснює операції, пов’язані з виконанням публічної пропозиції;</w:t>
            </w:r>
          </w:p>
        </w:tc>
      </w:tr>
      <w:tr w:rsidR="006507E8" w:rsidRPr="00286216" w14:paraId="4A189028" w14:textId="77777777" w:rsidTr="00091AA5">
        <w:tc>
          <w:tcPr>
            <w:tcW w:w="576" w:type="dxa"/>
          </w:tcPr>
          <w:p w14:paraId="4244168A" w14:textId="77777777" w:rsidR="006507E8" w:rsidRPr="00286216" w:rsidRDefault="006507E8" w:rsidP="006507E8">
            <w:pPr>
              <w:pStyle w:val="StyleWisnow"/>
              <w:rPr>
                <w:color w:val="000000" w:themeColor="text1"/>
              </w:rPr>
            </w:pPr>
            <w:bookmarkStart w:id="1424" w:name="n1679" w:colFirst="0" w:colLast="0"/>
            <w:bookmarkEnd w:id="1423"/>
            <w:r w:rsidRPr="00286216">
              <w:rPr>
                <w:color w:val="000000" w:themeColor="text1"/>
              </w:rPr>
              <w:t>1679.</w:t>
            </w:r>
          </w:p>
        </w:tc>
        <w:tc>
          <w:tcPr>
            <w:tcW w:w="4818" w:type="dxa"/>
          </w:tcPr>
          <w:p w14:paraId="49217BDB" w14:textId="77777777" w:rsidR="006507E8" w:rsidRPr="00286216" w:rsidRDefault="006507E8" w:rsidP="006507E8">
            <w:pPr>
              <w:pStyle w:val="StyleZakonu"/>
              <w:rPr>
                <w:color w:val="000000" w:themeColor="text1"/>
              </w:rPr>
            </w:pPr>
            <w:r w:rsidRPr="00286216">
              <w:rPr>
                <w:color w:val="000000" w:themeColor="text1"/>
              </w:rPr>
              <w:t>4) в електронній формі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з оприлюднення регульованої інформації від імені учасників фондового ринку.</w:t>
            </w:r>
          </w:p>
        </w:tc>
        <w:tc>
          <w:tcPr>
            <w:tcW w:w="3686" w:type="dxa"/>
          </w:tcPr>
          <w:p w14:paraId="24996497" w14:textId="587A0AB2" w:rsidR="006507E8" w:rsidRPr="00286216" w:rsidRDefault="006507E8" w:rsidP="006507E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963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2BB4BB24" w14:textId="77777777" w:rsidR="006507E8" w:rsidRPr="00286216" w:rsidRDefault="006507E8" w:rsidP="006507E8">
            <w:pPr>
              <w:pStyle w:val="StyleProp"/>
              <w:spacing w:line="180" w:lineRule="exact"/>
              <w:rPr>
                <w:color w:val="000000" w:themeColor="text1"/>
                <w:spacing w:val="-4"/>
              </w:rPr>
            </w:pPr>
            <w:r w:rsidRPr="00286216">
              <w:rPr>
                <w:color w:val="000000" w:themeColor="text1"/>
                <w:spacing w:val="-6"/>
                <w:szCs w:val="18"/>
              </w:rPr>
              <w:t>В пункті 4 частини другої статті 98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з оприлюднення регульованої інформації від імені учасників фондового ринку» замінити словами «базі даних особи, яка провадить діяльність із оприлюднення регульованої інформації від імені учасників ринків капіталу».</w:t>
            </w:r>
          </w:p>
        </w:tc>
        <w:tc>
          <w:tcPr>
            <w:tcW w:w="1987" w:type="dxa"/>
          </w:tcPr>
          <w:p w14:paraId="4F7C1617" w14:textId="77777777" w:rsidR="006507E8" w:rsidRPr="00286216" w:rsidRDefault="006507E8" w:rsidP="006507E8">
            <w:pPr>
              <w:pStyle w:val="StyleWisnow"/>
              <w:rPr>
                <w:color w:val="000000" w:themeColor="text1"/>
              </w:rPr>
            </w:pPr>
            <w:r w:rsidRPr="00286216">
              <w:rPr>
                <w:color w:val="000000" w:themeColor="text1"/>
              </w:rPr>
              <w:t>Враховано</w:t>
            </w:r>
          </w:p>
        </w:tc>
        <w:tc>
          <w:tcPr>
            <w:tcW w:w="4818" w:type="dxa"/>
          </w:tcPr>
          <w:p w14:paraId="66684B2B" w14:textId="212925F8" w:rsidR="006507E8" w:rsidRPr="00286216" w:rsidRDefault="006507E8" w:rsidP="006507E8">
            <w:pPr>
              <w:pStyle w:val="StyleZakonu"/>
              <w:rPr>
                <w:color w:val="000000" w:themeColor="text1"/>
              </w:rPr>
            </w:pPr>
            <w:r w:rsidRPr="00286216">
              <w:rPr>
                <w:color w:val="000000" w:themeColor="text1"/>
              </w:rPr>
              <w:t xml:space="preserve">4)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w:t>
            </w:r>
            <w:r w:rsidRPr="00286216">
              <w:rPr>
                <w:color w:val="000000" w:themeColor="text1"/>
              </w:rPr>
              <w:t>.</w:t>
            </w:r>
          </w:p>
        </w:tc>
      </w:tr>
      <w:bookmarkEnd w:id="1424"/>
      <w:tr w:rsidR="006507E8" w:rsidRPr="00286216" w14:paraId="6A55493D" w14:textId="77777777" w:rsidTr="00091AA5">
        <w:tc>
          <w:tcPr>
            <w:tcW w:w="576" w:type="dxa"/>
          </w:tcPr>
          <w:p w14:paraId="2B5F18B6" w14:textId="77777777" w:rsidR="006507E8" w:rsidRPr="00286216" w:rsidRDefault="006507E8" w:rsidP="006507E8">
            <w:pPr>
              <w:pStyle w:val="StyleWisnow"/>
              <w:rPr>
                <w:color w:val="000000" w:themeColor="text1"/>
              </w:rPr>
            </w:pPr>
          </w:p>
        </w:tc>
        <w:tc>
          <w:tcPr>
            <w:tcW w:w="4818" w:type="dxa"/>
          </w:tcPr>
          <w:p w14:paraId="7A43D136" w14:textId="77777777" w:rsidR="006507E8" w:rsidRPr="00286216" w:rsidRDefault="006507E8" w:rsidP="006507E8">
            <w:pPr>
              <w:pStyle w:val="StyleZakonu"/>
              <w:rPr>
                <w:color w:val="000000" w:themeColor="text1"/>
              </w:rPr>
            </w:pPr>
          </w:p>
        </w:tc>
        <w:tc>
          <w:tcPr>
            <w:tcW w:w="3686" w:type="dxa"/>
          </w:tcPr>
          <w:p w14:paraId="16BDEF51" w14:textId="22FD58B3" w:rsidR="006507E8" w:rsidRPr="00286216" w:rsidRDefault="006507E8" w:rsidP="006507E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F92C315" w14:textId="77777777" w:rsidR="006507E8" w:rsidRPr="00286216" w:rsidRDefault="006507E8" w:rsidP="006507E8">
            <w:pPr>
              <w:pStyle w:val="StyleProp"/>
              <w:rPr>
                <w:color w:val="000000" w:themeColor="text1"/>
                <w:spacing w:val="-4"/>
                <w:szCs w:val="18"/>
              </w:rPr>
            </w:pPr>
            <w:r w:rsidRPr="00286216">
              <w:rPr>
                <w:color w:val="000000" w:themeColor="text1"/>
                <w:spacing w:val="-10"/>
                <w:szCs w:val="18"/>
              </w:rPr>
              <w:t>У пункті 4 частини 2 статті 98 слова</w:t>
            </w:r>
            <w:r w:rsidRPr="00286216">
              <w:rPr>
                <w:color w:val="000000" w:themeColor="text1"/>
                <w:spacing w:val="-4"/>
                <w:szCs w:val="18"/>
              </w:rPr>
              <w:t xml:space="preserve"> </w:t>
            </w:r>
            <w:r w:rsidRPr="00286216">
              <w:rPr>
                <w:color w:val="000000" w:themeColor="text1"/>
                <w:spacing w:val="-20"/>
                <w:szCs w:val="18"/>
              </w:rPr>
              <w:t>"</w:t>
            </w:r>
            <w:r w:rsidRPr="00286216">
              <w:rPr>
                <w:color w:val="000000" w:themeColor="text1"/>
                <w:spacing w:val="-4"/>
                <w:szCs w:val="18"/>
              </w:rPr>
              <w:t>фондового ринку" замінити словами "ринків капіталу".</w:t>
            </w:r>
          </w:p>
        </w:tc>
        <w:tc>
          <w:tcPr>
            <w:tcW w:w="1987" w:type="dxa"/>
          </w:tcPr>
          <w:p w14:paraId="0C52A924" w14:textId="77777777" w:rsidR="006507E8" w:rsidRPr="00286216" w:rsidRDefault="006507E8" w:rsidP="006507E8">
            <w:pPr>
              <w:pStyle w:val="StyleWisnow"/>
              <w:rPr>
                <w:color w:val="000000" w:themeColor="text1"/>
              </w:rPr>
            </w:pPr>
            <w:r w:rsidRPr="00286216">
              <w:rPr>
                <w:color w:val="000000" w:themeColor="text1"/>
              </w:rPr>
              <w:t>Враховано редакційно</w:t>
            </w:r>
          </w:p>
        </w:tc>
        <w:tc>
          <w:tcPr>
            <w:tcW w:w="4818" w:type="dxa"/>
          </w:tcPr>
          <w:p w14:paraId="5A2F7982" w14:textId="77777777" w:rsidR="006507E8" w:rsidRPr="00286216" w:rsidRDefault="006507E8" w:rsidP="006507E8">
            <w:pPr>
              <w:pStyle w:val="StyleZakonu"/>
              <w:rPr>
                <w:color w:val="000000" w:themeColor="text1"/>
              </w:rPr>
            </w:pPr>
          </w:p>
        </w:tc>
      </w:tr>
      <w:tr w:rsidR="006507E8" w:rsidRPr="00286216" w14:paraId="1745D236" w14:textId="77777777" w:rsidTr="00091AA5">
        <w:tc>
          <w:tcPr>
            <w:tcW w:w="576" w:type="dxa"/>
          </w:tcPr>
          <w:p w14:paraId="64E7A145" w14:textId="77777777" w:rsidR="006507E8" w:rsidRPr="00286216" w:rsidRDefault="006507E8" w:rsidP="006507E8">
            <w:pPr>
              <w:pStyle w:val="StyleWisnow"/>
              <w:rPr>
                <w:color w:val="000000" w:themeColor="text1"/>
              </w:rPr>
            </w:pPr>
            <w:bookmarkStart w:id="1425" w:name="n1680" w:colFirst="0" w:colLast="0"/>
            <w:r w:rsidRPr="00286216">
              <w:rPr>
                <w:color w:val="000000" w:themeColor="text1"/>
              </w:rPr>
              <w:t>1680.</w:t>
            </w:r>
          </w:p>
        </w:tc>
        <w:tc>
          <w:tcPr>
            <w:tcW w:w="4818" w:type="dxa"/>
          </w:tcPr>
          <w:p w14:paraId="2522B46D" w14:textId="77777777" w:rsidR="006507E8" w:rsidRPr="00286216" w:rsidRDefault="006507E8" w:rsidP="006507E8">
            <w:pPr>
              <w:pStyle w:val="StyleZakonu"/>
              <w:rPr>
                <w:color w:val="000000" w:themeColor="text1"/>
              </w:rPr>
            </w:pPr>
            <w:r w:rsidRPr="00286216">
              <w:rPr>
                <w:color w:val="000000" w:themeColor="text1"/>
              </w:rPr>
              <w:t>3. Паперова форма проспекту має бути надана особою, яка здійснює публічну пропозицію, безоплатно потенційному інвестору на його вимогу.</w:t>
            </w:r>
          </w:p>
        </w:tc>
        <w:tc>
          <w:tcPr>
            <w:tcW w:w="3686" w:type="dxa"/>
          </w:tcPr>
          <w:p w14:paraId="3F7083B4" w14:textId="77777777" w:rsidR="006507E8" w:rsidRPr="00286216" w:rsidRDefault="006507E8" w:rsidP="006507E8">
            <w:pPr>
              <w:pStyle w:val="StyleProp"/>
              <w:rPr>
                <w:color w:val="000000" w:themeColor="text1"/>
                <w:szCs w:val="18"/>
              </w:rPr>
            </w:pPr>
          </w:p>
        </w:tc>
        <w:tc>
          <w:tcPr>
            <w:tcW w:w="1987" w:type="dxa"/>
          </w:tcPr>
          <w:p w14:paraId="5A795C84" w14:textId="77777777" w:rsidR="006507E8" w:rsidRPr="00286216" w:rsidRDefault="006507E8" w:rsidP="006507E8">
            <w:pPr>
              <w:pStyle w:val="StyleWisnow"/>
              <w:rPr>
                <w:color w:val="000000" w:themeColor="text1"/>
              </w:rPr>
            </w:pPr>
          </w:p>
        </w:tc>
        <w:tc>
          <w:tcPr>
            <w:tcW w:w="4818" w:type="dxa"/>
          </w:tcPr>
          <w:p w14:paraId="7CDF22C5" w14:textId="67D826C5" w:rsidR="006507E8" w:rsidRPr="00286216" w:rsidRDefault="006507E8" w:rsidP="006507E8">
            <w:pPr>
              <w:pStyle w:val="StyleZakonu"/>
              <w:rPr>
                <w:color w:val="000000" w:themeColor="text1"/>
              </w:rPr>
            </w:pPr>
            <w:r w:rsidRPr="00286216">
              <w:rPr>
                <w:color w:val="000000" w:themeColor="text1"/>
              </w:rPr>
              <w:t>3. Паперова форма проспекту має бути надана особою, яка здійснює публічну пропозицію, потенційному інвестору безоплатно на його вимогу.</w:t>
            </w:r>
          </w:p>
        </w:tc>
      </w:tr>
      <w:tr w:rsidR="006507E8" w:rsidRPr="00286216" w14:paraId="06883CC0" w14:textId="77777777" w:rsidTr="00091AA5">
        <w:tc>
          <w:tcPr>
            <w:tcW w:w="576" w:type="dxa"/>
          </w:tcPr>
          <w:p w14:paraId="6C9E11CB" w14:textId="77777777" w:rsidR="006507E8" w:rsidRPr="00286216" w:rsidRDefault="006507E8" w:rsidP="006507E8">
            <w:pPr>
              <w:pStyle w:val="StyleWisnow"/>
              <w:rPr>
                <w:color w:val="000000" w:themeColor="text1"/>
              </w:rPr>
            </w:pPr>
            <w:bookmarkStart w:id="1426" w:name="n1681" w:colFirst="0" w:colLast="0"/>
            <w:bookmarkEnd w:id="1425"/>
            <w:r w:rsidRPr="00286216">
              <w:rPr>
                <w:color w:val="000000" w:themeColor="text1"/>
              </w:rPr>
              <w:t>1681.</w:t>
            </w:r>
          </w:p>
        </w:tc>
        <w:tc>
          <w:tcPr>
            <w:tcW w:w="4818" w:type="dxa"/>
          </w:tcPr>
          <w:p w14:paraId="071D9116" w14:textId="77777777" w:rsidR="006507E8" w:rsidRPr="00286216" w:rsidRDefault="006507E8" w:rsidP="006507E8">
            <w:pPr>
              <w:pStyle w:val="StyleZakonu"/>
              <w:rPr>
                <w:color w:val="000000" w:themeColor="text1"/>
              </w:rPr>
            </w:pPr>
            <w:r w:rsidRPr="00286216">
              <w:rPr>
                <w:color w:val="000000" w:themeColor="text1"/>
              </w:rPr>
              <w:t>У разі, якщо проспект складається з кількох документів або містить посилання на інші документи, з яких складається проспект, можуть оприлюднюватися окремо, за умови що ці документи надаються безоплатно потенційному інвестору на його вимогу. Кожний документ повинен містити вказівку, де можна отримати інші документи - складові частини проспекту.</w:t>
            </w:r>
          </w:p>
        </w:tc>
        <w:tc>
          <w:tcPr>
            <w:tcW w:w="3686" w:type="dxa"/>
          </w:tcPr>
          <w:p w14:paraId="1453A1AE" w14:textId="77777777" w:rsidR="006507E8" w:rsidRPr="00286216" w:rsidRDefault="006507E8" w:rsidP="006507E8">
            <w:pPr>
              <w:pStyle w:val="StyleProp"/>
              <w:rPr>
                <w:color w:val="000000" w:themeColor="text1"/>
                <w:szCs w:val="18"/>
              </w:rPr>
            </w:pPr>
          </w:p>
        </w:tc>
        <w:tc>
          <w:tcPr>
            <w:tcW w:w="1987" w:type="dxa"/>
          </w:tcPr>
          <w:p w14:paraId="676E5BE3" w14:textId="77777777" w:rsidR="006507E8" w:rsidRPr="00286216" w:rsidRDefault="006507E8" w:rsidP="006507E8">
            <w:pPr>
              <w:pStyle w:val="StyleWisnow"/>
              <w:rPr>
                <w:color w:val="000000" w:themeColor="text1"/>
              </w:rPr>
            </w:pPr>
          </w:p>
        </w:tc>
        <w:tc>
          <w:tcPr>
            <w:tcW w:w="4818" w:type="dxa"/>
          </w:tcPr>
          <w:p w14:paraId="0FC7FED7" w14:textId="3C89877E" w:rsidR="006507E8" w:rsidRPr="00286216" w:rsidRDefault="006507E8" w:rsidP="006507E8">
            <w:pPr>
              <w:pStyle w:val="StyleZakonu"/>
              <w:rPr>
                <w:color w:val="000000" w:themeColor="text1"/>
              </w:rPr>
            </w:pPr>
            <w:r w:rsidRPr="00286216">
              <w:rPr>
                <w:color w:val="000000" w:themeColor="text1"/>
              </w:rPr>
              <w:t>У разі якщо проспект складається з кількох документів або містить посилання на інші документи, такі документи можуть оприлюднюватися окремо, за умови що вони надаються потенційному інвестору безоплатно на його вимогу. Кожний документ повинен містити вказівку, де можна отримати інші документи - складові частини проспекту.</w:t>
            </w:r>
          </w:p>
        </w:tc>
      </w:tr>
      <w:tr w:rsidR="006507E8" w:rsidRPr="00286216" w14:paraId="18E5C6D0" w14:textId="77777777" w:rsidTr="00091AA5">
        <w:tc>
          <w:tcPr>
            <w:tcW w:w="576" w:type="dxa"/>
          </w:tcPr>
          <w:p w14:paraId="338F3F88" w14:textId="77777777" w:rsidR="006507E8" w:rsidRPr="00286216" w:rsidRDefault="006507E8" w:rsidP="006507E8">
            <w:pPr>
              <w:pStyle w:val="StyleWisnow"/>
              <w:rPr>
                <w:color w:val="000000" w:themeColor="text1"/>
              </w:rPr>
            </w:pPr>
            <w:bookmarkStart w:id="1427" w:name="n1682" w:colFirst="0" w:colLast="0"/>
            <w:bookmarkEnd w:id="1426"/>
            <w:r w:rsidRPr="00286216">
              <w:rPr>
                <w:color w:val="000000" w:themeColor="text1"/>
              </w:rPr>
              <w:t>1682.</w:t>
            </w:r>
          </w:p>
        </w:tc>
        <w:tc>
          <w:tcPr>
            <w:tcW w:w="4818" w:type="dxa"/>
          </w:tcPr>
          <w:p w14:paraId="19851D93" w14:textId="77777777" w:rsidR="006507E8" w:rsidRPr="00286216" w:rsidRDefault="006507E8" w:rsidP="006507E8">
            <w:pPr>
              <w:pStyle w:val="StyleZakonu"/>
              <w:rPr>
                <w:color w:val="000000" w:themeColor="text1"/>
              </w:rPr>
            </w:pPr>
            <w:r w:rsidRPr="00286216">
              <w:rPr>
                <w:color w:val="000000" w:themeColor="text1"/>
              </w:rPr>
              <w:t>Оприлюднений текст та формат проспекту та/або додатки до проспекту, повинні завжди бути тотожними з оригінальною версією, затвердженою Національною комісією з цінних паперів та фондового ринку.</w:t>
            </w:r>
          </w:p>
        </w:tc>
        <w:tc>
          <w:tcPr>
            <w:tcW w:w="3686" w:type="dxa"/>
          </w:tcPr>
          <w:p w14:paraId="22CC49B9" w14:textId="77777777" w:rsidR="006507E8" w:rsidRPr="00286216" w:rsidRDefault="006507E8" w:rsidP="006507E8">
            <w:pPr>
              <w:pStyle w:val="StyleProp"/>
              <w:rPr>
                <w:color w:val="000000" w:themeColor="text1"/>
                <w:szCs w:val="18"/>
              </w:rPr>
            </w:pPr>
          </w:p>
        </w:tc>
        <w:tc>
          <w:tcPr>
            <w:tcW w:w="1987" w:type="dxa"/>
          </w:tcPr>
          <w:p w14:paraId="12351653" w14:textId="77777777" w:rsidR="006507E8" w:rsidRPr="00286216" w:rsidRDefault="006507E8" w:rsidP="006507E8">
            <w:pPr>
              <w:pStyle w:val="StyleWisnow"/>
              <w:rPr>
                <w:color w:val="000000" w:themeColor="text1"/>
              </w:rPr>
            </w:pPr>
          </w:p>
        </w:tc>
        <w:tc>
          <w:tcPr>
            <w:tcW w:w="4818" w:type="dxa"/>
          </w:tcPr>
          <w:p w14:paraId="19A63902" w14:textId="768BD5C3" w:rsidR="006507E8" w:rsidRPr="00286216" w:rsidRDefault="006507E8" w:rsidP="006507E8">
            <w:pPr>
              <w:pStyle w:val="StyleZakonu"/>
              <w:rPr>
                <w:color w:val="000000" w:themeColor="text1"/>
              </w:rPr>
            </w:pPr>
            <w:r w:rsidRPr="00286216">
              <w:rPr>
                <w:color w:val="000000" w:themeColor="text1"/>
              </w:rPr>
              <w:t>Оприлюднений текст та формат проспекту та/або додатки до проспекту повинні бути тотожними з оригінальною версією, затвердженою Національною комісією з цінних паперів та фондового ринку.</w:t>
            </w:r>
          </w:p>
        </w:tc>
      </w:tr>
      <w:tr w:rsidR="006507E8" w:rsidRPr="00286216" w14:paraId="4D8C5E9F" w14:textId="77777777" w:rsidTr="00091AA5">
        <w:tc>
          <w:tcPr>
            <w:tcW w:w="576" w:type="dxa"/>
          </w:tcPr>
          <w:p w14:paraId="4208DF2C" w14:textId="77777777" w:rsidR="006507E8" w:rsidRPr="00286216" w:rsidRDefault="006507E8" w:rsidP="006507E8">
            <w:pPr>
              <w:pStyle w:val="StyleWisnow"/>
              <w:rPr>
                <w:color w:val="000000" w:themeColor="text1"/>
              </w:rPr>
            </w:pPr>
            <w:bookmarkStart w:id="1428" w:name="n1683" w:colFirst="0" w:colLast="0"/>
            <w:bookmarkEnd w:id="1427"/>
            <w:r w:rsidRPr="00286216">
              <w:rPr>
                <w:color w:val="000000" w:themeColor="text1"/>
              </w:rPr>
              <w:t>1683.</w:t>
            </w:r>
          </w:p>
        </w:tc>
        <w:tc>
          <w:tcPr>
            <w:tcW w:w="4818" w:type="dxa"/>
          </w:tcPr>
          <w:p w14:paraId="69666B01" w14:textId="77777777" w:rsidR="006507E8" w:rsidRPr="00286216" w:rsidRDefault="006507E8" w:rsidP="006507E8">
            <w:pPr>
              <w:pStyle w:val="StyleZakonu"/>
              <w:rPr>
                <w:color w:val="000000" w:themeColor="text1"/>
              </w:rPr>
            </w:pPr>
            <w:r w:rsidRPr="00286216">
              <w:rPr>
                <w:color w:val="000000" w:themeColor="text1"/>
              </w:rPr>
              <w:t xml:space="preserve">Особа, яка здійснює публічну пропозицію, зобов’язана також оприлюднити відповідно до вимог частини другої цієї статті повідомлення про те, яким чином оприлюднено проспект і де з ним можна </w:t>
            </w:r>
            <w:r w:rsidRPr="00286216">
              <w:rPr>
                <w:color w:val="000000" w:themeColor="text1"/>
              </w:rPr>
              <w:lastRenderedPageBreak/>
              <w:t>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c>
          <w:tcPr>
            <w:tcW w:w="3686" w:type="dxa"/>
          </w:tcPr>
          <w:p w14:paraId="19240545" w14:textId="77777777" w:rsidR="006507E8" w:rsidRPr="00286216" w:rsidRDefault="006507E8" w:rsidP="006507E8">
            <w:pPr>
              <w:pStyle w:val="StyleProp"/>
              <w:rPr>
                <w:color w:val="000000" w:themeColor="text1"/>
                <w:szCs w:val="18"/>
              </w:rPr>
            </w:pPr>
          </w:p>
        </w:tc>
        <w:tc>
          <w:tcPr>
            <w:tcW w:w="1987" w:type="dxa"/>
          </w:tcPr>
          <w:p w14:paraId="15EADDDE" w14:textId="77777777" w:rsidR="006507E8" w:rsidRPr="00286216" w:rsidRDefault="006507E8" w:rsidP="006507E8">
            <w:pPr>
              <w:pStyle w:val="StyleWisnow"/>
              <w:rPr>
                <w:color w:val="000000" w:themeColor="text1"/>
              </w:rPr>
            </w:pPr>
          </w:p>
        </w:tc>
        <w:tc>
          <w:tcPr>
            <w:tcW w:w="4818" w:type="dxa"/>
          </w:tcPr>
          <w:p w14:paraId="6E4E5128" w14:textId="786AE64E" w:rsidR="006507E8" w:rsidRPr="00286216" w:rsidRDefault="006507E8" w:rsidP="006507E8">
            <w:pPr>
              <w:pStyle w:val="StyleZakonu"/>
              <w:rPr>
                <w:color w:val="000000" w:themeColor="text1"/>
              </w:rPr>
            </w:pPr>
            <w:r w:rsidRPr="00286216">
              <w:rPr>
                <w:color w:val="000000" w:themeColor="text1"/>
              </w:rPr>
              <w:t xml:space="preserve">Особа, яка здійснює публічну пропозицію, зобов’язана також оприлюднити відповідно до вимог частини другої цієї статті повідомлення про те, яким чином оприлюднено проспект і де з ним можна </w:t>
            </w:r>
            <w:r w:rsidRPr="00286216">
              <w:rPr>
                <w:color w:val="000000" w:themeColor="text1"/>
              </w:rPr>
              <w:lastRenderedPageBreak/>
              <w:t>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r>
      <w:tr w:rsidR="006507E8" w:rsidRPr="00286216" w14:paraId="7B8EF292" w14:textId="77777777" w:rsidTr="00091AA5">
        <w:tc>
          <w:tcPr>
            <w:tcW w:w="576" w:type="dxa"/>
          </w:tcPr>
          <w:p w14:paraId="1D16D39A" w14:textId="77777777" w:rsidR="006507E8" w:rsidRPr="00286216" w:rsidRDefault="006507E8" w:rsidP="006507E8">
            <w:pPr>
              <w:pStyle w:val="StyleWisnow"/>
              <w:rPr>
                <w:color w:val="000000" w:themeColor="text1"/>
              </w:rPr>
            </w:pPr>
            <w:bookmarkStart w:id="1429" w:name="n1684" w:colFirst="0" w:colLast="0"/>
            <w:bookmarkEnd w:id="1428"/>
            <w:r w:rsidRPr="00286216">
              <w:rPr>
                <w:color w:val="000000" w:themeColor="text1"/>
              </w:rPr>
              <w:lastRenderedPageBreak/>
              <w:t>1684.</w:t>
            </w:r>
          </w:p>
        </w:tc>
        <w:tc>
          <w:tcPr>
            <w:tcW w:w="4818" w:type="dxa"/>
          </w:tcPr>
          <w:p w14:paraId="0FC08C9F" w14:textId="77777777" w:rsidR="006507E8" w:rsidRPr="00286216" w:rsidRDefault="006507E8" w:rsidP="006507E8">
            <w:pPr>
              <w:pStyle w:val="StyleZakonu"/>
              <w:rPr>
                <w:color w:val="000000" w:themeColor="text1"/>
              </w:rPr>
            </w:pPr>
            <w:r w:rsidRPr="00286216">
              <w:rPr>
                <w:color w:val="000000" w:themeColor="text1"/>
              </w:rPr>
              <w:t>4. Національна комісія з цінних паперів та фондового ринку на своєму офіційному веб-сайті розміщує затверджені нею проспекти та зміни до них.</w:t>
            </w:r>
          </w:p>
        </w:tc>
        <w:tc>
          <w:tcPr>
            <w:tcW w:w="3686" w:type="dxa"/>
          </w:tcPr>
          <w:p w14:paraId="68DF62C9" w14:textId="77777777" w:rsidR="006507E8" w:rsidRPr="00286216" w:rsidRDefault="006507E8" w:rsidP="006507E8">
            <w:pPr>
              <w:pStyle w:val="StyleProp"/>
              <w:rPr>
                <w:color w:val="000000" w:themeColor="text1"/>
                <w:szCs w:val="18"/>
              </w:rPr>
            </w:pPr>
          </w:p>
        </w:tc>
        <w:tc>
          <w:tcPr>
            <w:tcW w:w="1987" w:type="dxa"/>
          </w:tcPr>
          <w:p w14:paraId="5CDDAD9B" w14:textId="77777777" w:rsidR="006507E8" w:rsidRPr="00286216" w:rsidRDefault="006507E8" w:rsidP="006507E8">
            <w:pPr>
              <w:pStyle w:val="StyleWisnow"/>
              <w:rPr>
                <w:color w:val="000000" w:themeColor="text1"/>
              </w:rPr>
            </w:pPr>
          </w:p>
        </w:tc>
        <w:tc>
          <w:tcPr>
            <w:tcW w:w="4818" w:type="dxa"/>
          </w:tcPr>
          <w:p w14:paraId="3F5A056D" w14:textId="2C66A35E" w:rsidR="006507E8" w:rsidRPr="00286216" w:rsidRDefault="006507E8" w:rsidP="006507E8">
            <w:pPr>
              <w:pStyle w:val="StyleZakonu"/>
              <w:rPr>
                <w:color w:val="000000" w:themeColor="text1"/>
              </w:rPr>
            </w:pPr>
            <w:r w:rsidRPr="00286216">
              <w:rPr>
                <w:color w:val="000000" w:themeColor="text1"/>
              </w:rPr>
              <w:t>4. Національна комісія з цінних паперів та фондового ринку на своєму офіційному веб-сайті розміщує затверджені нею проспекти та зміни до них.</w:t>
            </w:r>
          </w:p>
        </w:tc>
      </w:tr>
      <w:tr w:rsidR="006507E8" w:rsidRPr="00286216" w14:paraId="7BF70E20" w14:textId="77777777" w:rsidTr="00091AA5">
        <w:tc>
          <w:tcPr>
            <w:tcW w:w="576" w:type="dxa"/>
          </w:tcPr>
          <w:p w14:paraId="35FCD249" w14:textId="77777777" w:rsidR="006507E8" w:rsidRPr="00286216" w:rsidRDefault="006507E8" w:rsidP="006507E8">
            <w:pPr>
              <w:pStyle w:val="StyleWisnow"/>
              <w:rPr>
                <w:color w:val="000000" w:themeColor="text1"/>
              </w:rPr>
            </w:pPr>
            <w:bookmarkStart w:id="1430" w:name="n1685" w:colFirst="0" w:colLast="0"/>
            <w:bookmarkEnd w:id="1429"/>
            <w:r w:rsidRPr="00286216">
              <w:rPr>
                <w:color w:val="000000" w:themeColor="text1"/>
              </w:rPr>
              <w:t>1685.</w:t>
            </w:r>
          </w:p>
        </w:tc>
        <w:tc>
          <w:tcPr>
            <w:tcW w:w="4818" w:type="dxa"/>
          </w:tcPr>
          <w:p w14:paraId="3F1C0F1D" w14:textId="77777777" w:rsidR="006507E8" w:rsidRPr="00286216" w:rsidRDefault="006507E8" w:rsidP="006507E8">
            <w:pPr>
              <w:pStyle w:val="StyleZakonu"/>
              <w:rPr>
                <w:color w:val="000000" w:themeColor="text1"/>
              </w:rPr>
            </w:pPr>
            <w:r w:rsidRPr="00286216">
              <w:rPr>
                <w:color w:val="000000" w:themeColor="text1"/>
              </w:rPr>
              <w:t>Стаття 99. Здійснення публічної пропозиції емітентом в процесі емісії</w:t>
            </w:r>
          </w:p>
        </w:tc>
        <w:tc>
          <w:tcPr>
            <w:tcW w:w="3686" w:type="dxa"/>
          </w:tcPr>
          <w:p w14:paraId="327CA826" w14:textId="77777777" w:rsidR="006507E8" w:rsidRPr="00286216" w:rsidRDefault="006507E8" w:rsidP="006507E8">
            <w:pPr>
              <w:pStyle w:val="StyleProp"/>
              <w:rPr>
                <w:color w:val="000000" w:themeColor="text1"/>
                <w:szCs w:val="18"/>
              </w:rPr>
            </w:pPr>
          </w:p>
        </w:tc>
        <w:tc>
          <w:tcPr>
            <w:tcW w:w="1987" w:type="dxa"/>
          </w:tcPr>
          <w:p w14:paraId="734B80C2" w14:textId="77777777" w:rsidR="006507E8" w:rsidRPr="00286216" w:rsidRDefault="006507E8" w:rsidP="006507E8">
            <w:pPr>
              <w:pStyle w:val="StyleWisnow"/>
              <w:rPr>
                <w:color w:val="000000" w:themeColor="text1"/>
              </w:rPr>
            </w:pPr>
          </w:p>
        </w:tc>
        <w:tc>
          <w:tcPr>
            <w:tcW w:w="4818" w:type="dxa"/>
          </w:tcPr>
          <w:p w14:paraId="32979334" w14:textId="31713FF5" w:rsidR="006507E8" w:rsidRPr="00286216" w:rsidRDefault="006507E8" w:rsidP="006507E8">
            <w:pPr>
              <w:pStyle w:val="StyleZakonu"/>
              <w:rPr>
                <w:color w:val="000000" w:themeColor="text1"/>
              </w:rPr>
            </w:pPr>
            <w:r w:rsidRPr="00286216">
              <w:rPr>
                <w:color w:val="000000" w:themeColor="text1"/>
              </w:rPr>
              <w:t>Стаття 103. Здійснення публічної пропозиції емітентом у процесі емісії</w:t>
            </w:r>
          </w:p>
        </w:tc>
      </w:tr>
      <w:tr w:rsidR="006507E8" w:rsidRPr="00286216" w14:paraId="0C7BD131" w14:textId="77777777" w:rsidTr="00091AA5">
        <w:tc>
          <w:tcPr>
            <w:tcW w:w="576" w:type="dxa"/>
          </w:tcPr>
          <w:p w14:paraId="4FE5D277" w14:textId="77777777" w:rsidR="006507E8" w:rsidRPr="00286216" w:rsidRDefault="006507E8" w:rsidP="006507E8">
            <w:pPr>
              <w:pStyle w:val="StyleWisnow"/>
              <w:rPr>
                <w:color w:val="000000" w:themeColor="text1"/>
              </w:rPr>
            </w:pPr>
            <w:bookmarkStart w:id="1431" w:name="n1686" w:colFirst="0" w:colLast="0"/>
            <w:bookmarkEnd w:id="1430"/>
            <w:r w:rsidRPr="00286216">
              <w:rPr>
                <w:color w:val="000000" w:themeColor="text1"/>
              </w:rPr>
              <w:t>1686.</w:t>
            </w:r>
          </w:p>
        </w:tc>
        <w:tc>
          <w:tcPr>
            <w:tcW w:w="4818" w:type="dxa"/>
          </w:tcPr>
          <w:p w14:paraId="3EC80E59" w14:textId="77777777" w:rsidR="006507E8" w:rsidRPr="00286216" w:rsidRDefault="006507E8" w:rsidP="006507E8">
            <w:pPr>
              <w:pStyle w:val="StyleZakonu"/>
              <w:rPr>
                <w:color w:val="000000" w:themeColor="text1"/>
              </w:rPr>
            </w:pPr>
            <w:r w:rsidRPr="00286216">
              <w:rPr>
                <w:color w:val="000000" w:themeColor="text1"/>
              </w:rPr>
              <w:t>1. Публічна пропозиція цінних паперів емітентом в процесі їх емісії, здійснюється в порядку, встановленому Національною комісією з цінних паперів та фондового ринку, виключно за умови:</w:t>
            </w:r>
          </w:p>
        </w:tc>
        <w:tc>
          <w:tcPr>
            <w:tcW w:w="3686" w:type="dxa"/>
          </w:tcPr>
          <w:p w14:paraId="1BDB547C" w14:textId="77777777" w:rsidR="006507E8" w:rsidRPr="00286216" w:rsidRDefault="006507E8" w:rsidP="006507E8">
            <w:pPr>
              <w:pStyle w:val="StyleProp"/>
              <w:rPr>
                <w:color w:val="000000" w:themeColor="text1"/>
                <w:szCs w:val="18"/>
              </w:rPr>
            </w:pPr>
          </w:p>
        </w:tc>
        <w:tc>
          <w:tcPr>
            <w:tcW w:w="1987" w:type="dxa"/>
          </w:tcPr>
          <w:p w14:paraId="4844DEF4" w14:textId="77777777" w:rsidR="006507E8" w:rsidRPr="00286216" w:rsidRDefault="006507E8" w:rsidP="006507E8">
            <w:pPr>
              <w:pStyle w:val="StyleWisnow"/>
              <w:rPr>
                <w:color w:val="000000" w:themeColor="text1"/>
              </w:rPr>
            </w:pPr>
          </w:p>
        </w:tc>
        <w:tc>
          <w:tcPr>
            <w:tcW w:w="4818" w:type="dxa"/>
          </w:tcPr>
          <w:p w14:paraId="152A228A" w14:textId="43895355" w:rsidR="006507E8" w:rsidRPr="00286216" w:rsidRDefault="006507E8" w:rsidP="006507E8">
            <w:pPr>
              <w:pStyle w:val="StyleZakonu"/>
              <w:rPr>
                <w:color w:val="000000" w:themeColor="text1"/>
              </w:rPr>
            </w:pPr>
            <w:r w:rsidRPr="00286216">
              <w:rPr>
                <w:color w:val="000000" w:themeColor="text1"/>
              </w:rPr>
              <w:t>1. Публічна пропозиція цінних паперів емітентом у процесі їх емісії здійснюється в порядку, встановленому Національною комісією з цінних паперів та фондового ринку, виключно за умови:</w:t>
            </w:r>
          </w:p>
        </w:tc>
      </w:tr>
      <w:tr w:rsidR="006507E8" w:rsidRPr="00286216" w14:paraId="2BBB471D" w14:textId="77777777" w:rsidTr="00091AA5">
        <w:tc>
          <w:tcPr>
            <w:tcW w:w="576" w:type="dxa"/>
          </w:tcPr>
          <w:p w14:paraId="0514FC1A" w14:textId="77777777" w:rsidR="006507E8" w:rsidRPr="00286216" w:rsidRDefault="006507E8" w:rsidP="006507E8">
            <w:pPr>
              <w:pStyle w:val="StyleWisnow"/>
              <w:rPr>
                <w:color w:val="000000" w:themeColor="text1"/>
              </w:rPr>
            </w:pPr>
            <w:bookmarkStart w:id="1432" w:name="n1687" w:colFirst="0" w:colLast="0"/>
            <w:bookmarkEnd w:id="1431"/>
            <w:r w:rsidRPr="00286216">
              <w:rPr>
                <w:color w:val="000000" w:themeColor="text1"/>
              </w:rPr>
              <w:t>1687.</w:t>
            </w:r>
          </w:p>
        </w:tc>
        <w:tc>
          <w:tcPr>
            <w:tcW w:w="4818" w:type="dxa"/>
          </w:tcPr>
          <w:p w14:paraId="111826DF" w14:textId="77777777" w:rsidR="006507E8" w:rsidRPr="00286216" w:rsidRDefault="006507E8" w:rsidP="006507E8">
            <w:pPr>
              <w:pStyle w:val="StyleZakonu"/>
              <w:rPr>
                <w:color w:val="000000" w:themeColor="text1"/>
              </w:rPr>
            </w:pPr>
            <w:r w:rsidRPr="00286216">
              <w:rPr>
                <w:color w:val="000000" w:themeColor="text1"/>
              </w:rPr>
              <w:t>1) оприлюднення проспекту, затвердженого Національною комісією з цінних паперів та фондового ринку, якщо інше не встановлено цим Законом;</w:t>
            </w:r>
          </w:p>
        </w:tc>
        <w:tc>
          <w:tcPr>
            <w:tcW w:w="3686" w:type="dxa"/>
          </w:tcPr>
          <w:p w14:paraId="6698000B" w14:textId="77777777" w:rsidR="006507E8" w:rsidRPr="00286216" w:rsidRDefault="006507E8" w:rsidP="006507E8">
            <w:pPr>
              <w:pStyle w:val="StyleProp"/>
              <w:rPr>
                <w:color w:val="000000" w:themeColor="text1"/>
                <w:szCs w:val="18"/>
              </w:rPr>
            </w:pPr>
          </w:p>
        </w:tc>
        <w:tc>
          <w:tcPr>
            <w:tcW w:w="1987" w:type="dxa"/>
          </w:tcPr>
          <w:p w14:paraId="70468753" w14:textId="77777777" w:rsidR="006507E8" w:rsidRPr="00286216" w:rsidRDefault="006507E8" w:rsidP="006507E8">
            <w:pPr>
              <w:pStyle w:val="StyleWisnow"/>
              <w:rPr>
                <w:color w:val="000000" w:themeColor="text1"/>
              </w:rPr>
            </w:pPr>
          </w:p>
        </w:tc>
        <w:tc>
          <w:tcPr>
            <w:tcW w:w="4818" w:type="dxa"/>
          </w:tcPr>
          <w:p w14:paraId="5CC2797B" w14:textId="1826F29E" w:rsidR="006507E8" w:rsidRPr="00286216" w:rsidRDefault="006507E8" w:rsidP="006507E8">
            <w:pPr>
              <w:pStyle w:val="StyleZakonu"/>
              <w:rPr>
                <w:color w:val="000000" w:themeColor="text1"/>
              </w:rPr>
            </w:pPr>
            <w:r w:rsidRPr="00286216">
              <w:rPr>
                <w:color w:val="000000" w:themeColor="text1"/>
              </w:rPr>
              <w:t>1) оприлюднення проспекту, затвердженого Національною комісією з цінних паперів та фондового ринку, якщо інше не встановлено цим Законом;</w:t>
            </w:r>
          </w:p>
        </w:tc>
      </w:tr>
      <w:tr w:rsidR="006507E8" w:rsidRPr="00286216" w14:paraId="5C16FE40" w14:textId="77777777" w:rsidTr="00091AA5">
        <w:tc>
          <w:tcPr>
            <w:tcW w:w="576" w:type="dxa"/>
          </w:tcPr>
          <w:p w14:paraId="4AA3FECC" w14:textId="77777777" w:rsidR="006507E8" w:rsidRPr="00286216" w:rsidRDefault="006507E8" w:rsidP="006507E8">
            <w:pPr>
              <w:pStyle w:val="StyleWisnow"/>
              <w:rPr>
                <w:color w:val="000000" w:themeColor="text1"/>
              </w:rPr>
            </w:pPr>
            <w:bookmarkStart w:id="1433" w:name="n1688" w:colFirst="0" w:colLast="0"/>
            <w:bookmarkEnd w:id="1432"/>
            <w:r w:rsidRPr="00286216">
              <w:rPr>
                <w:color w:val="000000" w:themeColor="text1"/>
              </w:rPr>
              <w:t>1688.</w:t>
            </w:r>
          </w:p>
        </w:tc>
        <w:tc>
          <w:tcPr>
            <w:tcW w:w="4818" w:type="dxa"/>
          </w:tcPr>
          <w:p w14:paraId="1072BB18" w14:textId="77777777" w:rsidR="006507E8" w:rsidRPr="00286216" w:rsidRDefault="006507E8" w:rsidP="006507E8">
            <w:pPr>
              <w:pStyle w:val="StyleZakonu"/>
              <w:rPr>
                <w:color w:val="000000" w:themeColor="text1"/>
              </w:rPr>
            </w:pPr>
            <w:r w:rsidRPr="00286216">
              <w:rPr>
                <w:color w:val="000000" w:themeColor="text1"/>
              </w:rPr>
              <w:t>2) дотримання вимог статті 88 цього Закону;</w:t>
            </w:r>
          </w:p>
        </w:tc>
        <w:tc>
          <w:tcPr>
            <w:tcW w:w="3686" w:type="dxa"/>
          </w:tcPr>
          <w:p w14:paraId="1C80392D" w14:textId="77777777" w:rsidR="006507E8" w:rsidRPr="00286216" w:rsidRDefault="006507E8" w:rsidP="006507E8">
            <w:pPr>
              <w:pStyle w:val="StyleProp"/>
              <w:rPr>
                <w:color w:val="000000" w:themeColor="text1"/>
                <w:szCs w:val="18"/>
              </w:rPr>
            </w:pPr>
          </w:p>
        </w:tc>
        <w:tc>
          <w:tcPr>
            <w:tcW w:w="1987" w:type="dxa"/>
          </w:tcPr>
          <w:p w14:paraId="7E1E2253" w14:textId="77777777" w:rsidR="006507E8" w:rsidRPr="00286216" w:rsidRDefault="006507E8" w:rsidP="006507E8">
            <w:pPr>
              <w:pStyle w:val="StyleWisnow"/>
              <w:rPr>
                <w:color w:val="000000" w:themeColor="text1"/>
              </w:rPr>
            </w:pPr>
          </w:p>
        </w:tc>
        <w:tc>
          <w:tcPr>
            <w:tcW w:w="4818" w:type="dxa"/>
          </w:tcPr>
          <w:p w14:paraId="6517C615" w14:textId="2697DA5F" w:rsidR="006507E8" w:rsidRPr="00286216" w:rsidRDefault="006507E8" w:rsidP="006507E8">
            <w:pPr>
              <w:pStyle w:val="StyleZakonu"/>
              <w:rPr>
                <w:color w:val="000000" w:themeColor="text1"/>
              </w:rPr>
            </w:pPr>
            <w:r w:rsidRPr="00286216">
              <w:rPr>
                <w:color w:val="000000" w:themeColor="text1"/>
              </w:rPr>
              <w:t>2) дотримання вимог статті 92 цього Закону;</w:t>
            </w:r>
          </w:p>
        </w:tc>
      </w:tr>
      <w:tr w:rsidR="006507E8" w:rsidRPr="00286216" w14:paraId="7FCE2BC3" w14:textId="77777777" w:rsidTr="00091AA5">
        <w:tc>
          <w:tcPr>
            <w:tcW w:w="576" w:type="dxa"/>
          </w:tcPr>
          <w:p w14:paraId="7924C94B" w14:textId="77777777" w:rsidR="006507E8" w:rsidRPr="00286216" w:rsidRDefault="006507E8" w:rsidP="006507E8">
            <w:pPr>
              <w:pStyle w:val="StyleWisnow"/>
              <w:rPr>
                <w:color w:val="000000" w:themeColor="text1"/>
              </w:rPr>
            </w:pPr>
            <w:bookmarkStart w:id="1434" w:name="n1689" w:colFirst="0" w:colLast="0"/>
            <w:bookmarkEnd w:id="1433"/>
            <w:r w:rsidRPr="00286216">
              <w:rPr>
                <w:color w:val="000000" w:themeColor="text1"/>
              </w:rPr>
              <w:t>1689.</w:t>
            </w:r>
          </w:p>
        </w:tc>
        <w:tc>
          <w:tcPr>
            <w:tcW w:w="4818" w:type="dxa"/>
          </w:tcPr>
          <w:p w14:paraId="134B3F9B" w14:textId="77777777" w:rsidR="006507E8" w:rsidRPr="00286216" w:rsidRDefault="006507E8" w:rsidP="006507E8">
            <w:pPr>
              <w:pStyle w:val="StyleZakonu"/>
              <w:rPr>
                <w:color w:val="000000" w:themeColor="text1"/>
              </w:rPr>
            </w:pPr>
            <w:r w:rsidRPr="00286216">
              <w:rPr>
                <w:color w:val="000000" w:themeColor="text1"/>
              </w:rPr>
              <w:t>3) реєстрації випуску цінних паперів відповідно до вимог статті 89 цього Закону.</w:t>
            </w:r>
          </w:p>
        </w:tc>
        <w:tc>
          <w:tcPr>
            <w:tcW w:w="3686" w:type="dxa"/>
          </w:tcPr>
          <w:p w14:paraId="48D3CC70" w14:textId="77777777" w:rsidR="006507E8" w:rsidRPr="00286216" w:rsidRDefault="006507E8" w:rsidP="006507E8">
            <w:pPr>
              <w:pStyle w:val="StyleProp"/>
              <w:rPr>
                <w:color w:val="000000" w:themeColor="text1"/>
                <w:szCs w:val="18"/>
              </w:rPr>
            </w:pPr>
          </w:p>
        </w:tc>
        <w:tc>
          <w:tcPr>
            <w:tcW w:w="1987" w:type="dxa"/>
          </w:tcPr>
          <w:p w14:paraId="0056C832" w14:textId="77777777" w:rsidR="006507E8" w:rsidRPr="00286216" w:rsidRDefault="006507E8" w:rsidP="006507E8">
            <w:pPr>
              <w:pStyle w:val="StyleWisnow"/>
              <w:rPr>
                <w:color w:val="000000" w:themeColor="text1"/>
              </w:rPr>
            </w:pPr>
          </w:p>
        </w:tc>
        <w:tc>
          <w:tcPr>
            <w:tcW w:w="4818" w:type="dxa"/>
          </w:tcPr>
          <w:p w14:paraId="1C4AE209" w14:textId="05BB14E4" w:rsidR="006507E8" w:rsidRPr="00286216" w:rsidRDefault="006507E8" w:rsidP="006507E8">
            <w:pPr>
              <w:pStyle w:val="StyleZakonu"/>
              <w:rPr>
                <w:color w:val="000000" w:themeColor="text1"/>
              </w:rPr>
            </w:pPr>
            <w:r w:rsidRPr="00286216">
              <w:rPr>
                <w:color w:val="000000" w:themeColor="text1"/>
              </w:rPr>
              <w:t>3) реєстрації випуску цінних паперів відповідно до вимог статті 93 цього Закону.</w:t>
            </w:r>
          </w:p>
        </w:tc>
      </w:tr>
      <w:tr w:rsidR="006507E8" w:rsidRPr="00286216" w14:paraId="056C50A8" w14:textId="77777777" w:rsidTr="00091AA5">
        <w:tc>
          <w:tcPr>
            <w:tcW w:w="576" w:type="dxa"/>
          </w:tcPr>
          <w:p w14:paraId="2371E4C8" w14:textId="77777777" w:rsidR="006507E8" w:rsidRPr="00286216" w:rsidRDefault="006507E8" w:rsidP="006507E8">
            <w:pPr>
              <w:pStyle w:val="StyleWisnow"/>
              <w:rPr>
                <w:color w:val="000000" w:themeColor="text1"/>
              </w:rPr>
            </w:pPr>
            <w:bookmarkStart w:id="1435" w:name="n1690" w:colFirst="0" w:colLast="0"/>
            <w:bookmarkEnd w:id="1434"/>
            <w:r w:rsidRPr="00286216">
              <w:rPr>
                <w:color w:val="000000" w:themeColor="text1"/>
              </w:rPr>
              <w:t>1690.</w:t>
            </w:r>
          </w:p>
        </w:tc>
        <w:tc>
          <w:tcPr>
            <w:tcW w:w="4818" w:type="dxa"/>
          </w:tcPr>
          <w:p w14:paraId="636299C1" w14:textId="77777777" w:rsidR="006507E8" w:rsidRPr="00286216" w:rsidRDefault="006507E8" w:rsidP="006507E8">
            <w:pPr>
              <w:pStyle w:val="StyleZakonu"/>
              <w:rPr>
                <w:color w:val="000000" w:themeColor="text1"/>
              </w:rPr>
            </w:pPr>
            <w:r w:rsidRPr="00286216">
              <w:rPr>
                <w:color w:val="000000" w:themeColor="text1"/>
              </w:rPr>
              <w:t>Здійснення публічної пропозиції цінних паперів емітентом у процесі їх емісії можливе лише за умови дійсності проспекту.</w:t>
            </w:r>
          </w:p>
        </w:tc>
        <w:tc>
          <w:tcPr>
            <w:tcW w:w="3686" w:type="dxa"/>
          </w:tcPr>
          <w:p w14:paraId="58B17DCB" w14:textId="77777777" w:rsidR="006507E8" w:rsidRPr="00286216" w:rsidRDefault="006507E8" w:rsidP="006507E8">
            <w:pPr>
              <w:pStyle w:val="StyleProp"/>
              <w:rPr>
                <w:color w:val="000000" w:themeColor="text1"/>
                <w:szCs w:val="18"/>
              </w:rPr>
            </w:pPr>
          </w:p>
        </w:tc>
        <w:tc>
          <w:tcPr>
            <w:tcW w:w="1987" w:type="dxa"/>
          </w:tcPr>
          <w:p w14:paraId="2C33B82D" w14:textId="77777777" w:rsidR="006507E8" w:rsidRPr="00286216" w:rsidRDefault="006507E8" w:rsidP="006507E8">
            <w:pPr>
              <w:pStyle w:val="StyleWisnow"/>
              <w:rPr>
                <w:color w:val="000000" w:themeColor="text1"/>
              </w:rPr>
            </w:pPr>
          </w:p>
        </w:tc>
        <w:tc>
          <w:tcPr>
            <w:tcW w:w="4818" w:type="dxa"/>
          </w:tcPr>
          <w:p w14:paraId="572D719C" w14:textId="7BAE0580" w:rsidR="006507E8" w:rsidRPr="00286216" w:rsidRDefault="006507E8" w:rsidP="006507E8">
            <w:pPr>
              <w:pStyle w:val="StyleZakonu"/>
              <w:rPr>
                <w:color w:val="000000" w:themeColor="text1"/>
              </w:rPr>
            </w:pPr>
            <w:r w:rsidRPr="00286216">
              <w:rPr>
                <w:color w:val="000000" w:themeColor="text1"/>
              </w:rPr>
              <w:t>Здійснення публічної пропозиції цінних паперів емітентом у процесі їх емісії можливе лише за умови дійсності проспекту.</w:t>
            </w:r>
          </w:p>
        </w:tc>
      </w:tr>
      <w:tr w:rsidR="006507E8" w:rsidRPr="00286216" w14:paraId="3CFFDAAA" w14:textId="77777777" w:rsidTr="00091AA5">
        <w:tc>
          <w:tcPr>
            <w:tcW w:w="576" w:type="dxa"/>
          </w:tcPr>
          <w:p w14:paraId="275EEE7C" w14:textId="77777777" w:rsidR="006507E8" w:rsidRPr="00286216" w:rsidRDefault="006507E8" w:rsidP="006507E8">
            <w:pPr>
              <w:pStyle w:val="StyleWisnow"/>
              <w:rPr>
                <w:color w:val="000000" w:themeColor="text1"/>
              </w:rPr>
            </w:pPr>
            <w:bookmarkStart w:id="1436" w:name="n1691" w:colFirst="0" w:colLast="0"/>
            <w:bookmarkEnd w:id="1435"/>
            <w:r w:rsidRPr="00286216">
              <w:rPr>
                <w:color w:val="000000" w:themeColor="text1"/>
              </w:rPr>
              <w:t>1691.</w:t>
            </w:r>
          </w:p>
        </w:tc>
        <w:tc>
          <w:tcPr>
            <w:tcW w:w="4818" w:type="dxa"/>
          </w:tcPr>
          <w:p w14:paraId="7FEFE063" w14:textId="77777777" w:rsidR="006507E8" w:rsidRPr="00286216" w:rsidRDefault="006507E8" w:rsidP="006507E8">
            <w:pPr>
              <w:pStyle w:val="StyleZakonu"/>
              <w:rPr>
                <w:color w:val="000000" w:themeColor="text1"/>
              </w:rPr>
            </w:pPr>
            <w:r w:rsidRPr="00286216">
              <w:rPr>
                <w:color w:val="000000" w:themeColor="text1"/>
              </w:rPr>
              <w:t>2. Перелік документів, необхідних для затвердження проспекту та реєстрації випуску цінних паперів, а також порядок затвердження та реєстрації Національною комісією з цінних паперів та фондового ринку проспекту, підготовленого емітентом, встановлюються цим Законом та нормативно-правовими актами Національної комісії з цінних паперів та фондового ринку.</w:t>
            </w:r>
          </w:p>
        </w:tc>
        <w:tc>
          <w:tcPr>
            <w:tcW w:w="3686" w:type="dxa"/>
          </w:tcPr>
          <w:p w14:paraId="308031E6" w14:textId="77777777" w:rsidR="006507E8" w:rsidRPr="00286216" w:rsidRDefault="006507E8" w:rsidP="006507E8">
            <w:pPr>
              <w:pStyle w:val="StyleProp"/>
              <w:rPr>
                <w:color w:val="000000" w:themeColor="text1"/>
                <w:szCs w:val="18"/>
              </w:rPr>
            </w:pPr>
          </w:p>
        </w:tc>
        <w:tc>
          <w:tcPr>
            <w:tcW w:w="1987" w:type="dxa"/>
          </w:tcPr>
          <w:p w14:paraId="410708D1" w14:textId="77777777" w:rsidR="006507E8" w:rsidRPr="00286216" w:rsidRDefault="006507E8" w:rsidP="006507E8">
            <w:pPr>
              <w:pStyle w:val="StyleWisnow"/>
              <w:rPr>
                <w:color w:val="000000" w:themeColor="text1"/>
              </w:rPr>
            </w:pPr>
          </w:p>
        </w:tc>
        <w:tc>
          <w:tcPr>
            <w:tcW w:w="4818" w:type="dxa"/>
          </w:tcPr>
          <w:p w14:paraId="45E9FF9C" w14:textId="0EB45A7C" w:rsidR="006507E8" w:rsidRPr="00286216" w:rsidRDefault="006507E8" w:rsidP="006507E8">
            <w:pPr>
              <w:pStyle w:val="StyleZakonu"/>
              <w:rPr>
                <w:color w:val="000000" w:themeColor="text1"/>
              </w:rPr>
            </w:pPr>
            <w:r w:rsidRPr="00286216">
              <w:rPr>
                <w:color w:val="000000" w:themeColor="text1"/>
              </w:rPr>
              <w:t>2. Перелік документів, необхідних для затвердження проспекту та реєстрації випуску цінних паперів, а також порядок затвердження та реєстрації Національною комісією з цінних паперів та фондового ринку проспекту, підготовленого емітентом, встановлюються цим Законом та нормативно-правовими актами Національної комісії з цінних паперів та фондового ринку.</w:t>
            </w:r>
          </w:p>
        </w:tc>
      </w:tr>
      <w:tr w:rsidR="006507E8" w:rsidRPr="00286216" w14:paraId="38C4942C" w14:textId="77777777" w:rsidTr="00091AA5">
        <w:tc>
          <w:tcPr>
            <w:tcW w:w="576" w:type="dxa"/>
          </w:tcPr>
          <w:p w14:paraId="3E74812D" w14:textId="77777777" w:rsidR="006507E8" w:rsidRPr="00286216" w:rsidRDefault="006507E8" w:rsidP="006507E8">
            <w:pPr>
              <w:pStyle w:val="StyleWisnow"/>
              <w:rPr>
                <w:color w:val="000000" w:themeColor="text1"/>
              </w:rPr>
            </w:pPr>
            <w:bookmarkStart w:id="1437" w:name="n1692" w:colFirst="0" w:colLast="0"/>
            <w:bookmarkEnd w:id="1436"/>
            <w:r w:rsidRPr="00286216">
              <w:rPr>
                <w:color w:val="000000" w:themeColor="text1"/>
              </w:rPr>
              <w:t>1692.</w:t>
            </w:r>
          </w:p>
        </w:tc>
        <w:tc>
          <w:tcPr>
            <w:tcW w:w="4818" w:type="dxa"/>
          </w:tcPr>
          <w:p w14:paraId="168C77E3" w14:textId="77777777" w:rsidR="006507E8" w:rsidRPr="00286216" w:rsidRDefault="006507E8" w:rsidP="006507E8">
            <w:pPr>
              <w:pStyle w:val="StyleZakonu"/>
              <w:rPr>
                <w:color w:val="000000" w:themeColor="text1"/>
              </w:rPr>
            </w:pPr>
            <w:r w:rsidRPr="00286216">
              <w:rPr>
                <w:color w:val="000000" w:themeColor="text1"/>
              </w:rPr>
              <w:t>3. За включення до проспекту недостовірних та/або оманливих відомостей емітент несе відповідальність, визначену законом.</w:t>
            </w:r>
          </w:p>
        </w:tc>
        <w:tc>
          <w:tcPr>
            <w:tcW w:w="3686" w:type="dxa"/>
          </w:tcPr>
          <w:p w14:paraId="25DFFF75" w14:textId="77777777" w:rsidR="006507E8" w:rsidRPr="00286216" w:rsidRDefault="006507E8" w:rsidP="006507E8">
            <w:pPr>
              <w:pStyle w:val="StyleProp"/>
              <w:rPr>
                <w:color w:val="000000" w:themeColor="text1"/>
                <w:szCs w:val="18"/>
              </w:rPr>
            </w:pPr>
          </w:p>
        </w:tc>
        <w:tc>
          <w:tcPr>
            <w:tcW w:w="1987" w:type="dxa"/>
          </w:tcPr>
          <w:p w14:paraId="1D57E3A1" w14:textId="77777777" w:rsidR="006507E8" w:rsidRPr="00286216" w:rsidRDefault="006507E8" w:rsidP="006507E8">
            <w:pPr>
              <w:pStyle w:val="StyleWisnow"/>
              <w:rPr>
                <w:color w:val="000000" w:themeColor="text1"/>
              </w:rPr>
            </w:pPr>
          </w:p>
        </w:tc>
        <w:tc>
          <w:tcPr>
            <w:tcW w:w="4818" w:type="dxa"/>
          </w:tcPr>
          <w:p w14:paraId="4FC44CD6" w14:textId="7151E2D3" w:rsidR="006507E8" w:rsidRPr="00286216" w:rsidRDefault="006507E8" w:rsidP="006507E8">
            <w:pPr>
              <w:pStyle w:val="StyleZakonu"/>
              <w:rPr>
                <w:color w:val="000000" w:themeColor="text1"/>
              </w:rPr>
            </w:pPr>
            <w:r w:rsidRPr="00286216">
              <w:rPr>
                <w:color w:val="000000" w:themeColor="text1"/>
              </w:rPr>
              <w:t>3. За включення до проспекту недостовірних відомостей або таких, що можуть ввести в оману, емітент несе відповідальність, визначену законом.</w:t>
            </w:r>
          </w:p>
        </w:tc>
      </w:tr>
      <w:tr w:rsidR="006507E8" w:rsidRPr="00286216" w14:paraId="57346FBE" w14:textId="77777777" w:rsidTr="00091AA5">
        <w:tc>
          <w:tcPr>
            <w:tcW w:w="576" w:type="dxa"/>
          </w:tcPr>
          <w:p w14:paraId="68751B12" w14:textId="77777777" w:rsidR="006507E8" w:rsidRPr="00286216" w:rsidRDefault="006507E8" w:rsidP="006507E8">
            <w:pPr>
              <w:pStyle w:val="StyleWisnow"/>
              <w:rPr>
                <w:color w:val="000000" w:themeColor="text1"/>
              </w:rPr>
            </w:pPr>
            <w:bookmarkStart w:id="1438" w:name="n1693" w:colFirst="0" w:colLast="0"/>
            <w:bookmarkEnd w:id="1437"/>
            <w:r w:rsidRPr="00286216">
              <w:rPr>
                <w:color w:val="000000" w:themeColor="text1"/>
              </w:rPr>
              <w:t>1693.</w:t>
            </w:r>
          </w:p>
        </w:tc>
        <w:tc>
          <w:tcPr>
            <w:tcW w:w="4818" w:type="dxa"/>
          </w:tcPr>
          <w:p w14:paraId="6F9C7F7E" w14:textId="77777777" w:rsidR="006507E8" w:rsidRPr="00286216" w:rsidRDefault="006507E8" w:rsidP="006507E8">
            <w:pPr>
              <w:pStyle w:val="StyleZakonu"/>
              <w:rPr>
                <w:color w:val="000000" w:themeColor="text1"/>
              </w:rPr>
            </w:pPr>
            <w:r w:rsidRPr="00286216">
              <w:rPr>
                <w:color w:val="000000" w:themeColor="text1"/>
              </w:rPr>
              <w:t>4. При публічній пропозиції цінних паперів емітентом у процесі їх емісії реєстрація випуску цінних паперів та затвердження проспекту здійснюються Національною комісією з цінних паперів та фондового ринку у строки, встановлені частиною другою статті 95, та з урахуванням положень частини третьої статті 95 цього Закону.</w:t>
            </w:r>
          </w:p>
        </w:tc>
        <w:tc>
          <w:tcPr>
            <w:tcW w:w="3686" w:type="dxa"/>
          </w:tcPr>
          <w:p w14:paraId="61D3EB93" w14:textId="77777777" w:rsidR="006507E8" w:rsidRPr="00286216" w:rsidRDefault="006507E8" w:rsidP="006507E8">
            <w:pPr>
              <w:pStyle w:val="StyleProp"/>
              <w:rPr>
                <w:color w:val="000000" w:themeColor="text1"/>
                <w:szCs w:val="18"/>
              </w:rPr>
            </w:pPr>
          </w:p>
        </w:tc>
        <w:tc>
          <w:tcPr>
            <w:tcW w:w="1987" w:type="dxa"/>
          </w:tcPr>
          <w:p w14:paraId="1A014856" w14:textId="77777777" w:rsidR="006507E8" w:rsidRPr="00286216" w:rsidRDefault="006507E8" w:rsidP="006507E8">
            <w:pPr>
              <w:pStyle w:val="StyleWisnow"/>
              <w:rPr>
                <w:color w:val="000000" w:themeColor="text1"/>
              </w:rPr>
            </w:pPr>
          </w:p>
        </w:tc>
        <w:tc>
          <w:tcPr>
            <w:tcW w:w="4818" w:type="dxa"/>
          </w:tcPr>
          <w:p w14:paraId="3E40CE3A" w14:textId="23326FCC" w:rsidR="006507E8" w:rsidRPr="00286216" w:rsidRDefault="006507E8" w:rsidP="006507E8">
            <w:pPr>
              <w:pStyle w:val="StyleZakonu"/>
              <w:rPr>
                <w:color w:val="000000" w:themeColor="text1"/>
              </w:rPr>
            </w:pPr>
            <w:r w:rsidRPr="00286216">
              <w:rPr>
                <w:color w:val="000000" w:themeColor="text1"/>
              </w:rPr>
              <w:t>4. у рразі здійснення публічної пропозиції цінних паперів емітентом у процесі їх емісії реєстрація випуску цінних паперів та затвердження проспекту здійснюються Національною комісією з цінних паперів та фондового ринку у строки, встановлені частиною другою, з урахуванням положень частини третьої статті 99 цього Закону.</w:t>
            </w:r>
          </w:p>
        </w:tc>
      </w:tr>
      <w:tr w:rsidR="006507E8" w:rsidRPr="00286216" w14:paraId="75C76D94" w14:textId="77777777" w:rsidTr="00091AA5">
        <w:tc>
          <w:tcPr>
            <w:tcW w:w="576" w:type="dxa"/>
          </w:tcPr>
          <w:p w14:paraId="11AFC2B7" w14:textId="77777777" w:rsidR="006507E8" w:rsidRPr="00286216" w:rsidRDefault="006507E8" w:rsidP="006507E8">
            <w:pPr>
              <w:pStyle w:val="StyleWisnow"/>
              <w:rPr>
                <w:color w:val="000000" w:themeColor="text1"/>
              </w:rPr>
            </w:pPr>
            <w:bookmarkStart w:id="1439" w:name="n1694" w:colFirst="0" w:colLast="0"/>
            <w:bookmarkEnd w:id="1438"/>
            <w:r w:rsidRPr="00286216">
              <w:rPr>
                <w:color w:val="000000" w:themeColor="text1"/>
              </w:rPr>
              <w:t>1694.</w:t>
            </w:r>
          </w:p>
        </w:tc>
        <w:tc>
          <w:tcPr>
            <w:tcW w:w="4818" w:type="dxa"/>
          </w:tcPr>
          <w:p w14:paraId="1ECD8F2B" w14:textId="77777777" w:rsidR="006507E8" w:rsidRPr="00286216" w:rsidRDefault="006507E8" w:rsidP="006507E8">
            <w:pPr>
              <w:pStyle w:val="StyleZakonu"/>
              <w:rPr>
                <w:color w:val="000000" w:themeColor="text1"/>
              </w:rPr>
            </w:pPr>
            <w:r w:rsidRPr="00286216">
              <w:rPr>
                <w:color w:val="000000" w:themeColor="text1"/>
              </w:rPr>
              <w:t xml:space="preserve">5. Після затвердження Національною комісією з </w:t>
            </w:r>
            <w:r w:rsidRPr="00286216">
              <w:rPr>
                <w:color w:val="000000" w:themeColor="text1"/>
              </w:rPr>
              <w:lastRenderedPageBreak/>
              <w:t>цінних паперів та фондового ринку проспекту він має бути оприлюднений емітентом шляхом та у строки, визначені частинами першою та другою статті 98 цього Закону.</w:t>
            </w:r>
          </w:p>
        </w:tc>
        <w:tc>
          <w:tcPr>
            <w:tcW w:w="3686" w:type="dxa"/>
          </w:tcPr>
          <w:p w14:paraId="4EFA304C" w14:textId="77777777" w:rsidR="006507E8" w:rsidRPr="00286216" w:rsidRDefault="006507E8" w:rsidP="006507E8">
            <w:pPr>
              <w:pStyle w:val="StyleProp"/>
              <w:rPr>
                <w:color w:val="000000" w:themeColor="text1"/>
                <w:szCs w:val="18"/>
              </w:rPr>
            </w:pPr>
          </w:p>
        </w:tc>
        <w:tc>
          <w:tcPr>
            <w:tcW w:w="1987" w:type="dxa"/>
          </w:tcPr>
          <w:p w14:paraId="6F1BBEFB" w14:textId="77777777" w:rsidR="006507E8" w:rsidRPr="00286216" w:rsidRDefault="006507E8" w:rsidP="006507E8">
            <w:pPr>
              <w:pStyle w:val="StyleWisnow"/>
              <w:rPr>
                <w:color w:val="000000" w:themeColor="text1"/>
              </w:rPr>
            </w:pPr>
          </w:p>
        </w:tc>
        <w:tc>
          <w:tcPr>
            <w:tcW w:w="4818" w:type="dxa"/>
          </w:tcPr>
          <w:p w14:paraId="167A8831" w14:textId="160CFF83" w:rsidR="006507E8" w:rsidRPr="00286216" w:rsidRDefault="006507E8" w:rsidP="006507E8">
            <w:pPr>
              <w:pStyle w:val="StyleZakonu"/>
              <w:rPr>
                <w:color w:val="000000" w:themeColor="text1"/>
              </w:rPr>
            </w:pPr>
            <w:r w:rsidRPr="00286216">
              <w:rPr>
                <w:color w:val="000000" w:themeColor="text1"/>
              </w:rPr>
              <w:t xml:space="preserve">5. Після затвердження Національною комісією з </w:t>
            </w:r>
            <w:r w:rsidRPr="00286216">
              <w:rPr>
                <w:color w:val="000000" w:themeColor="text1"/>
              </w:rPr>
              <w:lastRenderedPageBreak/>
              <w:t>цінних паперів та фондового ринку проспекту він оприлюднюється емітентом  та у строки, визначені частинами першою та другою статті 102 цього Закону.</w:t>
            </w:r>
          </w:p>
        </w:tc>
      </w:tr>
      <w:tr w:rsidR="006507E8" w:rsidRPr="00286216" w14:paraId="383EED62" w14:textId="77777777" w:rsidTr="00091AA5">
        <w:tc>
          <w:tcPr>
            <w:tcW w:w="576" w:type="dxa"/>
          </w:tcPr>
          <w:p w14:paraId="7EC3C64A" w14:textId="77777777" w:rsidR="006507E8" w:rsidRPr="00286216" w:rsidRDefault="006507E8" w:rsidP="006507E8">
            <w:pPr>
              <w:pStyle w:val="StyleWisnow"/>
              <w:rPr>
                <w:color w:val="000000" w:themeColor="text1"/>
              </w:rPr>
            </w:pPr>
            <w:bookmarkStart w:id="1440" w:name="n1695" w:colFirst="0" w:colLast="0"/>
            <w:bookmarkEnd w:id="1439"/>
            <w:r w:rsidRPr="00286216">
              <w:rPr>
                <w:color w:val="000000" w:themeColor="text1"/>
              </w:rPr>
              <w:lastRenderedPageBreak/>
              <w:t>1695.</w:t>
            </w:r>
          </w:p>
        </w:tc>
        <w:tc>
          <w:tcPr>
            <w:tcW w:w="4818" w:type="dxa"/>
          </w:tcPr>
          <w:p w14:paraId="379B0B15" w14:textId="77777777" w:rsidR="006507E8" w:rsidRPr="00286216" w:rsidRDefault="006507E8" w:rsidP="006507E8">
            <w:pPr>
              <w:pStyle w:val="StyleZakonu"/>
              <w:rPr>
                <w:color w:val="000000" w:themeColor="text1"/>
              </w:rPr>
            </w:pPr>
            <w:r w:rsidRPr="00286216">
              <w:rPr>
                <w:color w:val="000000" w:themeColor="text1"/>
              </w:rPr>
              <w:t>6. Зміни або доповнення до проспекту оформлюються емітентом у порядку, встановленому статтею 96 цього Закону.</w:t>
            </w:r>
          </w:p>
        </w:tc>
        <w:tc>
          <w:tcPr>
            <w:tcW w:w="3686" w:type="dxa"/>
          </w:tcPr>
          <w:p w14:paraId="5204E464" w14:textId="77777777" w:rsidR="006507E8" w:rsidRPr="00286216" w:rsidRDefault="006507E8" w:rsidP="006507E8">
            <w:pPr>
              <w:pStyle w:val="StyleProp"/>
              <w:rPr>
                <w:color w:val="000000" w:themeColor="text1"/>
                <w:szCs w:val="18"/>
              </w:rPr>
            </w:pPr>
          </w:p>
        </w:tc>
        <w:tc>
          <w:tcPr>
            <w:tcW w:w="1987" w:type="dxa"/>
          </w:tcPr>
          <w:p w14:paraId="20BAC046" w14:textId="77777777" w:rsidR="006507E8" w:rsidRPr="00286216" w:rsidRDefault="006507E8" w:rsidP="006507E8">
            <w:pPr>
              <w:pStyle w:val="StyleWisnow"/>
              <w:rPr>
                <w:color w:val="000000" w:themeColor="text1"/>
              </w:rPr>
            </w:pPr>
          </w:p>
        </w:tc>
        <w:tc>
          <w:tcPr>
            <w:tcW w:w="4818" w:type="dxa"/>
          </w:tcPr>
          <w:p w14:paraId="376EFF25" w14:textId="6C95ADD4" w:rsidR="006507E8" w:rsidRPr="00286216" w:rsidRDefault="006507E8" w:rsidP="006507E8">
            <w:pPr>
              <w:pStyle w:val="StyleZakonu"/>
              <w:rPr>
                <w:color w:val="000000" w:themeColor="text1"/>
              </w:rPr>
            </w:pPr>
            <w:r w:rsidRPr="00286216">
              <w:rPr>
                <w:color w:val="000000" w:themeColor="text1"/>
              </w:rPr>
              <w:t>6. Зміни або доповнення до проспекту оформлюються емітентом у порядку, встановленому статтею 100 цього Закону.</w:t>
            </w:r>
          </w:p>
        </w:tc>
      </w:tr>
      <w:tr w:rsidR="006507E8" w:rsidRPr="00286216" w14:paraId="624A49B7" w14:textId="77777777" w:rsidTr="00091AA5">
        <w:tc>
          <w:tcPr>
            <w:tcW w:w="576" w:type="dxa"/>
          </w:tcPr>
          <w:p w14:paraId="61259241" w14:textId="77777777" w:rsidR="006507E8" w:rsidRPr="00286216" w:rsidRDefault="006507E8" w:rsidP="006507E8">
            <w:pPr>
              <w:pStyle w:val="StyleWisnow"/>
              <w:rPr>
                <w:color w:val="000000" w:themeColor="text1"/>
              </w:rPr>
            </w:pPr>
            <w:bookmarkStart w:id="1441" w:name="n1696" w:colFirst="0" w:colLast="0"/>
            <w:bookmarkEnd w:id="1440"/>
            <w:r w:rsidRPr="00286216">
              <w:rPr>
                <w:color w:val="000000" w:themeColor="text1"/>
              </w:rPr>
              <w:t>1696.</w:t>
            </w:r>
          </w:p>
        </w:tc>
        <w:tc>
          <w:tcPr>
            <w:tcW w:w="4818" w:type="dxa"/>
          </w:tcPr>
          <w:p w14:paraId="7968B6A7" w14:textId="77777777" w:rsidR="006507E8" w:rsidRPr="00286216" w:rsidRDefault="006507E8" w:rsidP="006507E8">
            <w:pPr>
              <w:pStyle w:val="StyleZakonu"/>
              <w:rPr>
                <w:color w:val="000000" w:themeColor="text1"/>
              </w:rPr>
            </w:pPr>
            <w:r w:rsidRPr="00286216">
              <w:rPr>
                <w:color w:val="000000" w:themeColor="text1"/>
              </w:rPr>
              <w:t>Стаття 100. Проспект цінних паперів при публічній пропозиції викуплених емітентом цінних паперів</w:t>
            </w:r>
          </w:p>
        </w:tc>
        <w:tc>
          <w:tcPr>
            <w:tcW w:w="3686" w:type="dxa"/>
          </w:tcPr>
          <w:p w14:paraId="41342C37" w14:textId="77777777" w:rsidR="006507E8" w:rsidRPr="00286216" w:rsidRDefault="006507E8" w:rsidP="006507E8">
            <w:pPr>
              <w:pStyle w:val="StyleProp"/>
              <w:rPr>
                <w:color w:val="000000" w:themeColor="text1"/>
                <w:szCs w:val="18"/>
              </w:rPr>
            </w:pPr>
          </w:p>
        </w:tc>
        <w:tc>
          <w:tcPr>
            <w:tcW w:w="1987" w:type="dxa"/>
          </w:tcPr>
          <w:p w14:paraId="09910417" w14:textId="77777777" w:rsidR="006507E8" w:rsidRPr="00286216" w:rsidRDefault="006507E8" w:rsidP="006507E8">
            <w:pPr>
              <w:pStyle w:val="StyleWisnow"/>
              <w:rPr>
                <w:color w:val="000000" w:themeColor="text1"/>
              </w:rPr>
            </w:pPr>
          </w:p>
        </w:tc>
        <w:tc>
          <w:tcPr>
            <w:tcW w:w="4818" w:type="dxa"/>
          </w:tcPr>
          <w:p w14:paraId="1B568C1F" w14:textId="70F7C893" w:rsidR="006507E8" w:rsidRPr="00286216" w:rsidRDefault="006507E8" w:rsidP="006507E8">
            <w:pPr>
              <w:pStyle w:val="StyleZakonu"/>
              <w:rPr>
                <w:color w:val="000000" w:themeColor="text1"/>
              </w:rPr>
            </w:pPr>
            <w:r w:rsidRPr="00286216">
              <w:rPr>
                <w:color w:val="000000" w:themeColor="text1"/>
              </w:rPr>
              <w:t>Стаття 104. Проспект цінних паперів у разі здіцснення публічної пропозиції викуплених емітентом цінних паперів</w:t>
            </w:r>
          </w:p>
        </w:tc>
      </w:tr>
      <w:tr w:rsidR="006507E8" w:rsidRPr="00286216" w14:paraId="30CEE9F4" w14:textId="77777777" w:rsidTr="00091AA5">
        <w:tc>
          <w:tcPr>
            <w:tcW w:w="576" w:type="dxa"/>
          </w:tcPr>
          <w:p w14:paraId="56FAE41F" w14:textId="77777777" w:rsidR="006507E8" w:rsidRPr="00286216" w:rsidRDefault="006507E8" w:rsidP="006507E8">
            <w:pPr>
              <w:pStyle w:val="StyleWisnow"/>
              <w:rPr>
                <w:color w:val="000000" w:themeColor="text1"/>
              </w:rPr>
            </w:pPr>
            <w:bookmarkStart w:id="1442" w:name="n1697" w:colFirst="0" w:colLast="0"/>
            <w:bookmarkEnd w:id="1441"/>
            <w:r w:rsidRPr="00286216">
              <w:rPr>
                <w:color w:val="000000" w:themeColor="text1"/>
              </w:rPr>
              <w:t>1697.</w:t>
            </w:r>
          </w:p>
        </w:tc>
        <w:tc>
          <w:tcPr>
            <w:tcW w:w="4818" w:type="dxa"/>
          </w:tcPr>
          <w:p w14:paraId="720E4FA7" w14:textId="77777777" w:rsidR="006507E8" w:rsidRPr="00286216" w:rsidRDefault="006507E8" w:rsidP="006507E8">
            <w:pPr>
              <w:pStyle w:val="StyleZakonu"/>
              <w:rPr>
                <w:color w:val="000000" w:themeColor="text1"/>
              </w:rPr>
            </w:pPr>
            <w:r w:rsidRPr="00286216">
              <w:rPr>
                <w:color w:val="000000" w:themeColor="text1"/>
              </w:rPr>
              <w:t>1. Публічна пропозиція викуплених емітентом акцій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та/або нормативно-правовими актами Національної комісії з цінних паперів та фондового ринку, а також за умови виконання вимог статті 77 Закону України "Про акціонерні товариства". Здійснення публічної пропозиції викуплених емітентом акцій є можливим лише за умови дійсності проспекту.</w:t>
            </w:r>
          </w:p>
        </w:tc>
        <w:tc>
          <w:tcPr>
            <w:tcW w:w="3686" w:type="dxa"/>
          </w:tcPr>
          <w:p w14:paraId="2A12A411" w14:textId="77777777" w:rsidR="006507E8" w:rsidRPr="00286216" w:rsidRDefault="006507E8" w:rsidP="006507E8">
            <w:pPr>
              <w:pStyle w:val="StyleProp"/>
              <w:rPr>
                <w:color w:val="000000" w:themeColor="text1"/>
                <w:szCs w:val="18"/>
              </w:rPr>
            </w:pPr>
          </w:p>
        </w:tc>
        <w:tc>
          <w:tcPr>
            <w:tcW w:w="1987" w:type="dxa"/>
          </w:tcPr>
          <w:p w14:paraId="282CF752" w14:textId="77777777" w:rsidR="006507E8" w:rsidRPr="00286216" w:rsidRDefault="006507E8" w:rsidP="006507E8">
            <w:pPr>
              <w:pStyle w:val="StyleWisnow"/>
              <w:rPr>
                <w:color w:val="000000" w:themeColor="text1"/>
              </w:rPr>
            </w:pPr>
          </w:p>
        </w:tc>
        <w:tc>
          <w:tcPr>
            <w:tcW w:w="4818" w:type="dxa"/>
          </w:tcPr>
          <w:p w14:paraId="6018C1C7" w14:textId="03D0B6FD" w:rsidR="006507E8" w:rsidRPr="00286216" w:rsidRDefault="006507E8" w:rsidP="006507E8">
            <w:pPr>
              <w:pStyle w:val="StyleZakonu"/>
              <w:rPr>
                <w:color w:val="000000" w:themeColor="text1"/>
              </w:rPr>
            </w:pPr>
            <w:r w:rsidRPr="00286216">
              <w:rPr>
                <w:color w:val="000000" w:themeColor="text1"/>
              </w:rPr>
              <w:t>1. Публічна пропозиція викуплених емітентом акцій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та/або нормативно-правовими актами Національної комісії з цінних паперів та фондового ринку, а також за умови виконання вимог статті 77 Закону України "Про акціонерні товариства". Здійснення публічної пропозиції викуплених емітентом акцій є можливим лише за умови дійсності проспекту.</w:t>
            </w:r>
          </w:p>
        </w:tc>
      </w:tr>
      <w:tr w:rsidR="006507E8" w:rsidRPr="00286216" w14:paraId="1F9B1038" w14:textId="77777777" w:rsidTr="00091AA5">
        <w:tc>
          <w:tcPr>
            <w:tcW w:w="576" w:type="dxa"/>
          </w:tcPr>
          <w:p w14:paraId="0CF1F662" w14:textId="77777777" w:rsidR="006507E8" w:rsidRPr="00286216" w:rsidRDefault="006507E8" w:rsidP="006507E8">
            <w:pPr>
              <w:pStyle w:val="StyleWisnow"/>
              <w:rPr>
                <w:color w:val="000000" w:themeColor="text1"/>
              </w:rPr>
            </w:pPr>
            <w:bookmarkStart w:id="1443" w:name="n1698" w:colFirst="0" w:colLast="0"/>
            <w:bookmarkEnd w:id="1442"/>
            <w:r w:rsidRPr="00286216">
              <w:rPr>
                <w:color w:val="000000" w:themeColor="text1"/>
              </w:rPr>
              <w:t>1698.</w:t>
            </w:r>
          </w:p>
        </w:tc>
        <w:tc>
          <w:tcPr>
            <w:tcW w:w="4818" w:type="dxa"/>
          </w:tcPr>
          <w:p w14:paraId="3985BEAE" w14:textId="77777777" w:rsidR="006507E8" w:rsidRPr="00286216" w:rsidRDefault="006507E8" w:rsidP="006507E8">
            <w:pPr>
              <w:pStyle w:val="StyleZakonu"/>
              <w:rPr>
                <w:color w:val="000000" w:themeColor="text1"/>
              </w:rPr>
            </w:pPr>
            <w:r w:rsidRPr="00286216">
              <w:rPr>
                <w:color w:val="000000" w:themeColor="text1"/>
              </w:rPr>
              <w:t>2. Перелік документів, необхідних для затвердження проспекту та порядок затвердження Національною комісією з цінних паперів та фондового ринку проспекту, підготовленого емітентом для публічної пропозиції викуплених ним власних акцій, встановлюються Національною комісією з цінних паперів та фондового ринку.</w:t>
            </w:r>
          </w:p>
        </w:tc>
        <w:tc>
          <w:tcPr>
            <w:tcW w:w="3686" w:type="dxa"/>
          </w:tcPr>
          <w:p w14:paraId="5AF0F213" w14:textId="77777777" w:rsidR="006507E8" w:rsidRPr="00286216" w:rsidRDefault="006507E8" w:rsidP="006507E8">
            <w:pPr>
              <w:pStyle w:val="StyleProp"/>
              <w:rPr>
                <w:color w:val="000000" w:themeColor="text1"/>
                <w:szCs w:val="18"/>
              </w:rPr>
            </w:pPr>
          </w:p>
        </w:tc>
        <w:tc>
          <w:tcPr>
            <w:tcW w:w="1987" w:type="dxa"/>
          </w:tcPr>
          <w:p w14:paraId="6883AD13" w14:textId="77777777" w:rsidR="006507E8" w:rsidRPr="00286216" w:rsidRDefault="006507E8" w:rsidP="006507E8">
            <w:pPr>
              <w:pStyle w:val="StyleWisnow"/>
              <w:rPr>
                <w:color w:val="000000" w:themeColor="text1"/>
              </w:rPr>
            </w:pPr>
          </w:p>
        </w:tc>
        <w:tc>
          <w:tcPr>
            <w:tcW w:w="4818" w:type="dxa"/>
          </w:tcPr>
          <w:p w14:paraId="1E939A81" w14:textId="5CA8320D" w:rsidR="006507E8" w:rsidRPr="00286216" w:rsidRDefault="006507E8" w:rsidP="006507E8">
            <w:pPr>
              <w:pStyle w:val="StyleZakonu"/>
              <w:rPr>
                <w:color w:val="000000" w:themeColor="text1"/>
              </w:rPr>
            </w:pPr>
            <w:r w:rsidRPr="00286216">
              <w:rPr>
                <w:color w:val="000000" w:themeColor="text1"/>
              </w:rPr>
              <w:t>2. Перелік документів, необхідних для затвердження проспекту, та порядок затвердження Національною комісією з цінних паперів та фондового ринку проспекту, підготовленого емітентом для публічної пропозиції викуплених ним власних акцій, встановлюються Національною комісією з цінних паперів та фондового ринку.</w:t>
            </w:r>
          </w:p>
        </w:tc>
      </w:tr>
      <w:tr w:rsidR="006507E8" w:rsidRPr="00286216" w14:paraId="743A57FD" w14:textId="77777777" w:rsidTr="00091AA5">
        <w:tc>
          <w:tcPr>
            <w:tcW w:w="576" w:type="dxa"/>
          </w:tcPr>
          <w:p w14:paraId="1ACA0784" w14:textId="77777777" w:rsidR="006507E8" w:rsidRPr="00286216" w:rsidRDefault="006507E8" w:rsidP="006507E8">
            <w:pPr>
              <w:pStyle w:val="StyleWisnow"/>
              <w:rPr>
                <w:color w:val="000000" w:themeColor="text1"/>
              </w:rPr>
            </w:pPr>
            <w:bookmarkStart w:id="1444" w:name="n1699" w:colFirst="0" w:colLast="0"/>
            <w:bookmarkEnd w:id="1443"/>
            <w:r w:rsidRPr="00286216">
              <w:rPr>
                <w:color w:val="000000" w:themeColor="text1"/>
              </w:rPr>
              <w:t>1699.</w:t>
            </w:r>
          </w:p>
        </w:tc>
        <w:tc>
          <w:tcPr>
            <w:tcW w:w="4818" w:type="dxa"/>
          </w:tcPr>
          <w:p w14:paraId="538F1E41" w14:textId="77777777" w:rsidR="006507E8" w:rsidRPr="00286216" w:rsidRDefault="006507E8" w:rsidP="006507E8">
            <w:pPr>
              <w:pStyle w:val="StyleZakonu"/>
              <w:rPr>
                <w:color w:val="000000" w:themeColor="text1"/>
              </w:rPr>
            </w:pPr>
            <w:r w:rsidRPr="00286216">
              <w:rPr>
                <w:color w:val="000000" w:themeColor="text1"/>
              </w:rPr>
              <w:t>3. За включення до проспекту недостовірних та/або оманливих відомостей емітент несе відповідальність, визначену законом.</w:t>
            </w:r>
          </w:p>
        </w:tc>
        <w:tc>
          <w:tcPr>
            <w:tcW w:w="3686" w:type="dxa"/>
          </w:tcPr>
          <w:p w14:paraId="34889282" w14:textId="77777777" w:rsidR="006507E8" w:rsidRPr="00286216" w:rsidRDefault="006507E8" w:rsidP="006507E8">
            <w:pPr>
              <w:pStyle w:val="StyleProp"/>
              <w:rPr>
                <w:color w:val="000000" w:themeColor="text1"/>
                <w:szCs w:val="18"/>
              </w:rPr>
            </w:pPr>
          </w:p>
        </w:tc>
        <w:tc>
          <w:tcPr>
            <w:tcW w:w="1987" w:type="dxa"/>
          </w:tcPr>
          <w:p w14:paraId="76695878" w14:textId="77777777" w:rsidR="006507E8" w:rsidRPr="00286216" w:rsidRDefault="006507E8" w:rsidP="006507E8">
            <w:pPr>
              <w:pStyle w:val="StyleWisnow"/>
              <w:rPr>
                <w:color w:val="000000" w:themeColor="text1"/>
              </w:rPr>
            </w:pPr>
          </w:p>
        </w:tc>
        <w:tc>
          <w:tcPr>
            <w:tcW w:w="4818" w:type="dxa"/>
          </w:tcPr>
          <w:p w14:paraId="4273EC3A" w14:textId="612A9149" w:rsidR="006507E8" w:rsidRPr="00286216" w:rsidRDefault="006507E8" w:rsidP="006507E8">
            <w:pPr>
              <w:pStyle w:val="StyleZakonu"/>
              <w:rPr>
                <w:color w:val="000000" w:themeColor="text1"/>
              </w:rPr>
            </w:pPr>
            <w:r w:rsidRPr="00286216">
              <w:rPr>
                <w:color w:val="000000" w:themeColor="text1"/>
              </w:rPr>
              <w:t>3. За включення до проспекту недостовірних відомостей або таких, що можуть ввести в оману, емітент несе відповідальність, визначену законом.</w:t>
            </w:r>
          </w:p>
        </w:tc>
      </w:tr>
      <w:tr w:rsidR="00E43D33" w:rsidRPr="00286216" w14:paraId="113D26E7" w14:textId="77777777" w:rsidTr="00091AA5">
        <w:tc>
          <w:tcPr>
            <w:tcW w:w="576" w:type="dxa"/>
          </w:tcPr>
          <w:p w14:paraId="7D4E8CD4" w14:textId="77777777" w:rsidR="00E43D33" w:rsidRPr="00286216" w:rsidRDefault="00E43D33" w:rsidP="00E43D33">
            <w:pPr>
              <w:pStyle w:val="StyleWisnow"/>
              <w:rPr>
                <w:color w:val="000000" w:themeColor="text1"/>
              </w:rPr>
            </w:pPr>
            <w:bookmarkStart w:id="1445" w:name="n1700" w:colFirst="0" w:colLast="0"/>
            <w:bookmarkEnd w:id="1444"/>
            <w:r w:rsidRPr="00286216">
              <w:rPr>
                <w:color w:val="000000" w:themeColor="text1"/>
              </w:rPr>
              <w:t>1700.</w:t>
            </w:r>
          </w:p>
        </w:tc>
        <w:tc>
          <w:tcPr>
            <w:tcW w:w="4818" w:type="dxa"/>
          </w:tcPr>
          <w:p w14:paraId="497D8E09" w14:textId="77777777" w:rsidR="00E43D33" w:rsidRPr="00286216" w:rsidRDefault="00E43D33" w:rsidP="00E43D33">
            <w:pPr>
              <w:pStyle w:val="StyleZakonu"/>
              <w:rPr>
                <w:color w:val="000000" w:themeColor="text1"/>
              </w:rPr>
            </w:pPr>
            <w:r w:rsidRPr="00286216">
              <w:rPr>
                <w:color w:val="000000" w:themeColor="text1"/>
              </w:rPr>
              <w:t>4. Проспект при публічній пропозиції викуплених емітентом акцій затверджується Національною комісією з цінних паперів та фондового ринку у строки, встановлені частиною другою статті 95 та з урахуванням положень частини третьої статті 95 цього Закону.</w:t>
            </w:r>
          </w:p>
        </w:tc>
        <w:tc>
          <w:tcPr>
            <w:tcW w:w="3686" w:type="dxa"/>
          </w:tcPr>
          <w:p w14:paraId="70BED432" w14:textId="77777777" w:rsidR="00E43D33" w:rsidRPr="00286216" w:rsidRDefault="00E43D33" w:rsidP="00E43D33">
            <w:pPr>
              <w:pStyle w:val="StyleProp"/>
              <w:rPr>
                <w:color w:val="000000" w:themeColor="text1"/>
                <w:szCs w:val="18"/>
              </w:rPr>
            </w:pPr>
          </w:p>
        </w:tc>
        <w:tc>
          <w:tcPr>
            <w:tcW w:w="1987" w:type="dxa"/>
          </w:tcPr>
          <w:p w14:paraId="63DF75B4" w14:textId="77777777" w:rsidR="00E43D33" w:rsidRPr="00286216" w:rsidRDefault="00E43D33" w:rsidP="00E43D33">
            <w:pPr>
              <w:pStyle w:val="StyleWisnow"/>
              <w:rPr>
                <w:color w:val="000000" w:themeColor="text1"/>
              </w:rPr>
            </w:pPr>
          </w:p>
        </w:tc>
        <w:tc>
          <w:tcPr>
            <w:tcW w:w="4818" w:type="dxa"/>
          </w:tcPr>
          <w:p w14:paraId="0EB357D4" w14:textId="7C63700D" w:rsidR="00E43D33" w:rsidRPr="00286216" w:rsidRDefault="00E43D33" w:rsidP="00E43D33">
            <w:pPr>
              <w:pStyle w:val="StyleZakonu"/>
              <w:rPr>
                <w:color w:val="000000" w:themeColor="text1"/>
              </w:rPr>
            </w:pPr>
            <w:r w:rsidRPr="00286216">
              <w:rPr>
                <w:color w:val="000000" w:themeColor="text1"/>
              </w:rPr>
              <w:t>4. Проспект у разі здійснення публічної пропозиції викуплених емітентом акцій затверджується Національною комісією з цінних паперів та фондового ринку у строки, встановлені частиною другою статті 99 цього Закону, з урахуванням положень частини третьої статті 99 цього Закону.</w:t>
            </w:r>
          </w:p>
        </w:tc>
      </w:tr>
      <w:tr w:rsidR="00E43D33" w:rsidRPr="00286216" w14:paraId="0914B7A2" w14:textId="77777777" w:rsidTr="00091AA5">
        <w:tc>
          <w:tcPr>
            <w:tcW w:w="576" w:type="dxa"/>
          </w:tcPr>
          <w:p w14:paraId="720A18F2" w14:textId="77777777" w:rsidR="00E43D33" w:rsidRPr="00286216" w:rsidRDefault="00E43D33" w:rsidP="00E43D33">
            <w:pPr>
              <w:pStyle w:val="StyleWisnow"/>
              <w:rPr>
                <w:color w:val="000000" w:themeColor="text1"/>
              </w:rPr>
            </w:pPr>
            <w:bookmarkStart w:id="1446" w:name="n1701" w:colFirst="0" w:colLast="0"/>
            <w:bookmarkEnd w:id="1445"/>
            <w:r w:rsidRPr="00286216">
              <w:rPr>
                <w:color w:val="000000" w:themeColor="text1"/>
              </w:rPr>
              <w:t>1701.</w:t>
            </w:r>
          </w:p>
        </w:tc>
        <w:tc>
          <w:tcPr>
            <w:tcW w:w="4818" w:type="dxa"/>
          </w:tcPr>
          <w:p w14:paraId="086C027D" w14:textId="77777777" w:rsidR="00E43D33" w:rsidRPr="00286216" w:rsidRDefault="00E43D33" w:rsidP="00E43D33">
            <w:pPr>
              <w:pStyle w:val="StyleZakonu"/>
              <w:rPr>
                <w:color w:val="000000" w:themeColor="text1"/>
              </w:rPr>
            </w:pPr>
            <w:r w:rsidRPr="00286216">
              <w:rPr>
                <w:color w:val="000000" w:themeColor="text1"/>
              </w:rPr>
              <w:t xml:space="preserve">5. Після затвердження Національною комісією з цінних паперів та фондового ринку проспекту він має бути оприлюднений емітентом шляхом та у строки, визначені частинами першою та другою статті 98 </w:t>
            </w:r>
            <w:r w:rsidRPr="00286216">
              <w:rPr>
                <w:color w:val="000000" w:themeColor="text1"/>
              </w:rPr>
              <w:lastRenderedPageBreak/>
              <w:t>цього Закону.</w:t>
            </w:r>
          </w:p>
        </w:tc>
        <w:tc>
          <w:tcPr>
            <w:tcW w:w="3686" w:type="dxa"/>
          </w:tcPr>
          <w:p w14:paraId="32A83194" w14:textId="77777777" w:rsidR="00E43D33" w:rsidRPr="00286216" w:rsidRDefault="00E43D33" w:rsidP="00E43D33">
            <w:pPr>
              <w:pStyle w:val="StyleProp"/>
              <w:rPr>
                <w:color w:val="000000" w:themeColor="text1"/>
                <w:szCs w:val="18"/>
              </w:rPr>
            </w:pPr>
          </w:p>
        </w:tc>
        <w:tc>
          <w:tcPr>
            <w:tcW w:w="1987" w:type="dxa"/>
          </w:tcPr>
          <w:p w14:paraId="7982CF22" w14:textId="77777777" w:rsidR="00E43D33" w:rsidRPr="00286216" w:rsidRDefault="00E43D33" w:rsidP="00E43D33">
            <w:pPr>
              <w:pStyle w:val="StyleWisnow"/>
              <w:rPr>
                <w:color w:val="000000" w:themeColor="text1"/>
              </w:rPr>
            </w:pPr>
          </w:p>
        </w:tc>
        <w:tc>
          <w:tcPr>
            <w:tcW w:w="4818" w:type="dxa"/>
          </w:tcPr>
          <w:p w14:paraId="2A51396C" w14:textId="4B0832F3" w:rsidR="00E43D33" w:rsidRPr="00286216" w:rsidRDefault="00E43D33" w:rsidP="00E43D33">
            <w:pPr>
              <w:pStyle w:val="StyleZakonu"/>
              <w:rPr>
                <w:color w:val="000000" w:themeColor="text1"/>
              </w:rPr>
            </w:pPr>
            <w:r w:rsidRPr="00286216">
              <w:rPr>
                <w:color w:val="000000" w:themeColor="text1"/>
              </w:rPr>
              <w:t xml:space="preserve">5. Після затвердження Національною комісією з цінних паперів та фондового ринку проспект оприлюднюються емітентом у спосіб та в строки, визначені частинами першою і другою статті 102 </w:t>
            </w:r>
            <w:r w:rsidRPr="00286216">
              <w:rPr>
                <w:color w:val="000000" w:themeColor="text1"/>
              </w:rPr>
              <w:lastRenderedPageBreak/>
              <w:t>цього Закону.</w:t>
            </w:r>
          </w:p>
        </w:tc>
      </w:tr>
      <w:tr w:rsidR="00E43D33" w:rsidRPr="00286216" w14:paraId="65C234E9" w14:textId="77777777" w:rsidTr="00091AA5">
        <w:tc>
          <w:tcPr>
            <w:tcW w:w="576" w:type="dxa"/>
          </w:tcPr>
          <w:p w14:paraId="7AD57BB1" w14:textId="77777777" w:rsidR="00E43D33" w:rsidRPr="00286216" w:rsidRDefault="00E43D33" w:rsidP="00E43D33">
            <w:pPr>
              <w:pStyle w:val="StyleWisnow"/>
              <w:rPr>
                <w:color w:val="000000" w:themeColor="text1"/>
              </w:rPr>
            </w:pPr>
            <w:bookmarkStart w:id="1447" w:name="n1702" w:colFirst="0" w:colLast="0"/>
            <w:bookmarkEnd w:id="1446"/>
            <w:r w:rsidRPr="00286216">
              <w:rPr>
                <w:color w:val="000000" w:themeColor="text1"/>
              </w:rPr>
              <w:lastRenderedPageBreak/>
              <w:t>1702.</w:t>
            </w:r>
          </w:p>
        </w:tc>
        <w:tc>
          <w:tcPr>
            <w:tcW w:w="4818" w:type="dxa"/>
          </w:tcPr>
          <w:p w14:paraId="6AF73E31" w14:textId="77777777" w:rsidR="00E43D33" w:rsidRPr="00286216" w:rsidRDefault="00E43D33" w:rsidP="00E43D33">
            <w:pPr>
              <w:pStyle w:val="StyleZakonu"/>
              <w:rPr>
                <w:color w:val="000000" w:themeColor="text1"/>
              </w:rPr>
            </w:pPr>
            <w:r w:rsidRPr="00286216">
              <w:rPr>
                <w:color w:val="000000" w:themeColor="text1"/>
              </w:rPr>
              <w:t>6. Зміни або доповнення до проспекту оформлюються емітентом в порядку, встановленому статтею 96 цього Закону.</w:t>
            </w:r>
          </w:p>
        </w:tc>
        <w:tc>
          <w:tcPr>
            <w:tcW w:w="3686" w:type="dxa"/>
          </w:tcPr>
          <w:p w14:paraId="2A19D89C" w14:textId="77777777" w:rsidR="00E43D33" w:rsidRPr="00286216" w:rsidRDefault="00E43D33" w:rsidP="00E43D33">
            <w:pPr>
              <w:pStyle w:val="StyleProp"/>
              <w:rPr>
                <w:color w:val="000000" w:themeColor="text1"/>
                <w:szCs w:val="18"/>
              </w:rPr>
            </w:pPr>
          </w:p>
        </w:tc>
        <w:tc>
          <w:tcPr>
            <w:tcW w:w="1987" w:type="dxa"/>
          </w:tcPr>
          <w:p w14:paraId="3C97A76C" w14:textId="77777777" w:rsidR="00E43D33" w:rsidRPr="00286216" w:rsidRDefault="00E43D33" w:rsidP="00E43D33">
            <w:pPr>
              <w:pStyle w:val="StyleWisnow"/>
              <w:rPr>
                <w:color w:val="000000" w:themeColor="text1"/>
              </w:rPr>
            </w:pPr>
          </w:p>
        </w:tc>
        <w:tc>
          <w:tcPr>
            <w:tcW w:w="4818" w:type="dxa"/>
          </w:tcPr>
          <w:p w14:paraId="20FEB067" w14:textId="0EF57742" w:rsidR="00E43D33" w:rsidRPr="00286216" w:rsidRDefault="00E43D33" w:rsidP="00E43D33">
            <w:pPr>
              <w:pStyle w:val="StyleZakonu"/>
              <w:rPr>
                <w:color w:val="000000" w:themeColor="text1"/>
              </w:rPr>
            </w:pPr>
            <w:r w:rsidRPr="00286216">
              <w:rPr>
                <w:color w:val="000000" w:themeColor="text1"/>
              </w:rPr>
              <w:t>6. Зміни або доповнення до проспекту оформлюються емітентом у порядку, встановленому статтею 100 цього Закону.</w:t>
            </w:r>
          </w:p>
        </w:tc>
      </w:tr>
      <w:tr w:rsidR="00E43D33" w:rsidRPr="00286216" w14:paraId="5EE6B6BB" w14:textId="77777777" w:rsidTr="00091AA5">
        <w:tc>
          <w:tcPr>
            <w:tcW w:w="576" w:type="dxa"/>
          </w:tcPr>
          <w:p w14:paraId="6674B226" w14:textId="77777777" w:rsidR="00E43D33" w:rsidRPr="00286216" w:rsidRDefault="00E43D33" w:rsidP="00E43D33">
            <w:pPr>
              <w:pStyle w:val="StyleWisnow"/>
              <w:rPr>
                <w:color w:val="000000" w:themeColor="text1"/>
              </w:rPr>
            </w:pPr>
            <w:bookmarkStart w:id="1448" w:name="n1703" w:colFirst="0" w:colLast="0"/>
            <w:bookmarkEnd w:id="1447"/>
            <w:r w:rsidRPr="00286216">
              <w:rPr>
                <w:color w:val="000000" w:themeColor="text1"/>
              </w:rPr>
              <w:t>1703.</w:t>
            </w:r>
          </w:p>
        </w:tc>
        <w:tc>
          <w:tcPr>
            <w:tcW w:w="4818" w:type="dxa"/>
          </w:tcPr>
          <w:p w14:paraId="25E33E0A" w14:textId="77777777" w:rsidR="00E43D33" w:rsidRPr="00286216" w:rsidRDefault="00E43D33" w:rsidP="00E43D33">
            <w:pPr>
              <w:pStyle w:val="StyleZakonu"/>
              <w:rPr>
                <w:color w:val="000000" w:themeColor="text1"/>
              </w:rPr>
            </w:pPr>
            <w:r w:rsidRPr="00286216">
              <w:rPr>
                <w:color w:val="000000" w:themeColor="text1"/>
              </w:rPr>
              <w:t>Стаття 101. Проспект цінних паперів при публічній пропозиції цінних паперів оферентом</w:t>
            </w:r>
          </w:p>
        </w:tc>
        <w:tc>
          <w:tcPr>
            <w:tcW w:w="3686" w:type="dxa"/>
          </w:tcPr>
          <w:p w14:paraId="19CFBE22" w14:textId="77777777" w:rsidR="00E43D33" w:rsidRPr="00286216" w:rsidRDefault="00E43D33" w:rsidP="00E43D33">
            <w:pPr>
              <w:pStyle w:val="StyleProp"/>
              <w:rPr>
                <w:color w:val="000000" w:themeColor="text1"/>
                <w:szCs w:val="18"/>
              </w:rPr>
            </w:pPr>
          </w:p>
        </w:tc>
        <w:tc>
          <w:tcPr>
            <w:tcW w:w="1987" w:type="dxa"/>
          </w:tcPr>
          <w:p w14:paraId="51BDD02E" w14:textId="77777777" w:rsidR="00E43D33" w:rsidRPr="00286216" w:rsidRDefault="00E43D33" w:rsidP="00E43D33">
            <w:pPr>
              <w:pStyle w:val="StyleWisnow"/>
              <w:rPr>
                <w:color w:val="000000" w:themeColor="text1"/>
              </w:rPr>
            </w:pPr>
          </w:p>
        </w:tc>
        <w:tc>
          <w:tcPr>
            <w:tcW w:w="4818" w:type="dxa"/>
          </w:tcPr>
          <w:p w14:paraId="79E84688" w14:textId="0C6F6808" w:rsidR="00E43D33" w:rsidRPr="00286216" w:rsidRDefault="00E43D33" w:rsidP="00E43D33">
            <w:pPr>
              <w:pStyle w:val="StyleZakonu"/>
              <w:rPr>
                <w:color w:val="000000" w:themeColor="text1"/>
              </w:rPr>
            </w:pPr>
            <w:r w:rsidRPr="00286216">
              <w:rPr>
                <w:color w:val="000000" w:themeColor="text1"/>
              </w:rPr>
              <w:t>Стаття 105. Проспект цінних паперів у разі здійснення публічної пропозиції цінних паперів оферентом</w:t>
            </w:r>
          </w:p>
        </w:tc>
      </w:tr>
      <w:tr w:rsidR="00E43D33" w:rsidRPr="00286216" w14:paraId="4E951E1B" w14:textId="77777777" w:rsidTr="00091AA5">
        <w:tc>
          <w:tcPr>
            <w:tcW w:w="576" w:type="dxa"/>
          </w:tcPr>
          <w:p w14:paraId="53FD105B" w14:textId="77777777" w:rsidR="00E43D33" w:rsidRPr="00286216" w:rsidRDefault="00E43D33" w:rsidP="00E43D33">
            <w:pPr>
              <w:pStyle w:val="StyleWisnow"/>
              <w:rPr>
                <w:color w:val="000000" w:themeColor="text1"/>
              </w:rPr>
            </w:pPr>
            <w:bookmarkStart w:id="1449" w:name="n1704" w:colFirst="0" w:colLast="0"/>
            <w:bookmarkEnd w:id="1448"/>
            <w:r w:rsidRPr="00286216">
              <w:rPr>
                <w:color w:val="000000" w:themeColor="text1"/>
              </w:rPr>
              <w:t>1704.</w:t>
            </w:r>
          </w:p>
        </w:tc>
        <w:tc>
          <w:tcPr>
            <w:tcW w:w="4818" w:type="dxa"/>
          </w:tcPr>
          <w:p w14:paraId="2E694688" w14:textId="77777777" w:rsidR="00E43D33" w:rsidRPr="00286216" w:rsidRDefault="00E43D33" w:rsidP="00E43D33">
            <w:pPr>
              <w:pStyle w:val="StyleZakonu"/>
              <w:rPr>
                <w:color w:val="000000" w:themeColor="text1"/>
              </w:rPr>
            </w:pPr>
            <w:r w:rsidRPr="00286216">
              <w:rPr>
                <w:color w:val="000000" w:themeColor="text1"/>
              </w:rPr>
              <w:t>1. Публічна пропозиція цінних паперів оферентом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та/або нормативно-правовими актами Національної комісії з цінних паперів та фондового ринку. Здійснення публічної пропозиції цінних паперів є можливим лише за умови дійсності проспекту.</w:t>
            </w:r>
          </w:p>
        </w:tc>
        <w:tc>
          <w:tcPr>
            <w:tcW w:w="3686" w:type="dxa"/>
          </w:tcPr>
          <w:p w14:paraId="17C39039" w14:textId="77777777" w:rsidR="00E43D33" w:rsidRPr="00286216" w:rsidRDefault="00E43D33" w:rsidP="00E43D33">
            <w:pPr>
              <w:pStyle w:val="StyleProp"/>
              <w:rPr>
                <w:color w:val="000000" w:themeColor="text1"/>
                <w:szCs w:val="18"/>
              </w:rPr>
            </w:pPr>
          </w:p>
        </w:tc>
        <w:tc>
          <w:tcPr>
            <w:tcW w:w="1987" w:type="dxa"/>
          </w:tcPr>
          <w:p w14:paraId="448092C1" w14:textId="77777777" w:rsidR="00E43D33" w:rsidRPr="00286216" w:rsidRDefault="00E43D33" w:rsidP="00E43D33">
            <w:pPr>
              <w:pStyle w:val="StyleWisnow"/>
              <w:rPr>
                <w:color w:val="000000" w:themeColor="text1"/>
              </w:rPr>
            </w:pPr>
          </w:p>
        </w:tc>
        <w:tc>
          <w:tcPr>
            <w:tcW w:w="4818" w:type="dxa"/>
          </w:tcPr>
          <w:p w14:paraId="138ACADC" w14:textId="1D4A17B8" w:rsidR="00E43D33" w:rsidRPr="00286216" w:rsidRDefault="00E43D33" w:rsidP="00E43D33">
            <w:pPr>
              <w:pStyle w:val="StyleZakonu"/>
              <w:rPr>
                <w:color w:val="000000" w:themeColor="text1"/>
              </w:rPr>
            </w:pPr>
            <w:r w:rsidRPr="00286216">
              <w:rPr>
                <w:color w:val="000000" w:themeColor="text1"/>
              </w:rPr>
              <w:t>1. Публічна пропозиція цінних паперів оферентом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та/або нормативно-правовими актами Національної комісії з цінних паперів та фондового ринку. Здійснення публічної пропозиції цінних паперів є можливим лише за умови дійсності проспекту.</w:t>
            </w:r>
          </w:p>
        </w:tc>
      </w:tr>
      <w:tr w:rsidR="00E43D33" w:rsidRPr="00286216" w14:paraId="685599B9" w14:textId="77777777" w:rsidTr="00091AA5">
        <w:tc>
          <w:tcPr>
            <w:tcW w:w="576" w:type="dxa"/>
          </w:tcPr>
          <w:p w14:paraId="49B0D6E3" w14:textId="77777777" w:rsidR="00E43D33" w:rsidRPr="00286216" w:rsidRDefault="00E43D33" w:rsidP="00E43D33">
            <w:pPr>
              <w:pStyle w:val="StyleWisnow"/>
              <w:rPr>
                <w:color w:val="000000" w:themeColor="text1"/>
              </w:rPr>
            </w:pPr>
            <w:bookmarkStart w:id="1450" w:name="n1705" w:colFirst="0" w:colLast="0"/>
            <w:bookmarkEnd w:id="1449"/>
            <w:r w:rsidRPr="00286216">
              <w:rPr>
                <w:color w:val="000000" w:themeColor="text1"/>
              </w:rPr>
              <w:t>1705.</w:t>
            </w:r>
          </w:p>
        </w:tc>
        <w:tc>
          <w:tcPr>
            <w:tcW w:w="4818" w:type="dxa"/>
          </w:tcPr>
          <w:p w14:paraId="20309D94" w14:textId="77777777" w:rsidR="00E43D33" w:rsidRPr="00286216" w:rsidRDefault="00E43D33" w:rsidP="00E43D33">
            <w:pPr>
              <w:pStyle w:val="StyleZakonu"/>
              <w:rPr>
                <w:color w:val="000000" w:themeColor="text1"/>
              </w:rPr>
            </w:pPr>
            <w:r w:rsidRPr="00286216">
              <w:rPr>
                <w:color w:val="000000" w:themeColor="text1"/>
              </w:rPr>
              <w:t>2. У разі відсутності оформленого емітентом або іншим оферентом, або особою, яка подавала заявку про допуск до торгів на регульованому фондовому ринку, проспекту або його недійсності оферент може самостійно оформити проспект відповідно до статті 94 цього Закону.</w:t>
            </w:r>
          </w:p>
        </w:tc>
        <w:tc>
          <w:tcPr>
            <w:tcW w:w="3686" w:type="dxa"/>
          </w:tcPr>
          <w:p w14:paraId="041A0BD0" w14:textId="77777777" w:rsidR="00E43D33" w:rsidRPr="00286216" w:rsidRDefault="00E43D33" w:rsidP="00E43D33">
            <w:pPr>
              <w:pStyle w:val="StyleProp"/>
              <w:rPr>
                <w:color w:val="000000" w:themeColor="text1"/>
                <w:szCs w:val="18"/>
              </w:rPr>
            </w:pPr>
          </w:p>
        </w:tc>
        <w:tc>
          <w:tcPr>
            <w:tcW w:w="1987" w:type="dxa"/>
          </w:tcPr>
          <w:p w14:paraId="7643E441" w14:textId="77777777" w:rsidR="00E43D33" w:rsidRPr="00286216" w:rsidRDefault="00E43D33" w:rsidP="00E43D33">
            <w:pPr>
              <w:pStyle w:val="StyleWisnow"/>
              <w:rPr>
                <w:color w:val="000000" w:themeColor="text1"/>
              </w:rPr>
            </w:pPr>
          </w:p>
        </w:tc>
        <w:tc>
          <w:tcPr>
            <w:tcW w:w="4818" w:type="dxa"/>
          </w:tcPr>
          <w:p w14:paraId="25988C93" w14:textId="52BDA4FD" w:rsidR="00E43D33" w:rsidRPr="00286216" w:rsidRDefault="00E43D33" w:rsidP="00E43D33">
            <w:pPr>
              <w:pStyle w:val="StyleZakonu"/>
              <w:rPr>
                <w:color w:val="000000" w:themeColor="text1"/>
              </w:rPr>
            </w:pPr>
            <w:r w:rsidRPr="00286216">
              <w:rPr>
                <w:color w:val="000000" w:themeColor="text1"/>
              </w:rPr>
              <w:t>2. У разі відсутності проспекту оформленого емітентом або іншим оферентом, або особою, яка подавала заявку про допуск до торгів на регульованому фондовому ринку, або його недійсності оферент може самостійно оформити проспект відповідно до статті 98 цього Закону.</w:t>
            </w:r>
          </w:p>
        </w:tc>
      </w:tr>
      <w:tr w:rsidR="00E43D33" w:rsidRPr="00286216" w14:paraId="5ABF1A16" w14:textId="77777777" w:rsidTr="00091AA5">
        <w:tc>
          <w:tcPr>
            <w:tcW w:w="576" w:type="dxa"/>
          </w:tcPr>
          <w:p w14:paraId="36F7427F" w14:textId="77777777" w:rsidR="00E43D33" w:rsidRPr="00286216" w:rsidRDefault="00E43D33" w:rsidP="00E43D33">
            <w:pPr>
              <w:pStyle w:val="StyleWisnow"/>
              <w:rPr>
                <w:color w:val="000000" w:themeColor="text1"/>
              </w:rPr>
            </w:pPr>
            <w:bookmarkStart w:id="1451" w:name="n1706" w:colFirst="0" w:colLast="0"/>
            <w:bookmarkEnd w:id="1450"/>
            <w:r w:rsidRPr="00286216">
              <w:rPr>
                <w:color w:val="000000" w:themeColor="text1"/>
              </w:rPr>
              <w:t>1706.</w:t>
            </w:r>
          </w:p>
        </w:tc>
        <w:tc>
          <w:tcPr>
            <w:tcW w:w="4818" w:type="dxa"/>
          </w:tcPr>
          <w:p w14:paraId="46BED861" w14:textId="77777777" w:rsidR="00E43D33" w:rsidRPr="00286216" w:rsidRDefault="00E43D33" w:rsidP="00E43D33">
            <w:pPr>
              <w:pStyle w:val="StyleZakonu"/>
              <w:rPr>
                <w:color w:val="000000" w:themeColor="text1"/>
              </w:rPr>
            </w:pPr>
            <w:r w:rsidRPr="00286216">
              <w:rPr>
                <w:color w:val="000000" w:themeColor="text1"/>
              </w:rPr>
              <w:t>При публічній пропозиції цінних паперів оферентом проспект, оформлений ним, повинен бути погоджений емітентом.</w:t>
            </w:r>
          </w:p>
        </w:tc>
        <w:tc>
          <w:tcPr>
            <w:tcW w:w="3686" w:type="dxa"/>
          </w:tcPr>
          <w:p w14:paraId="227FDDB4" w14:textId="77777777" w:rsidR="00E43D33" w:rsidRPr="00286216" w:rsidRDefault="00E43D33" w:rsidP="00E43D33">
            <w:pPr>
              <w:pStyle w:val="StyleProp"/>
              <w:rPr>
                <w:color w:val="000000" w:themeColor="text1"/>
                <w:szCs w:val="18"/>
              </w:rPr>
            </w:pPr>
          </w:p>
        </w:tc>
        <w:tc>
          <w:tcPr>
            <w:tcW w:w="1987" w:type="dxa"/>
          </w:tcPr>
          <w:p w14:paraId="1E68FB6A" w14:textId="77777777" w:rsidR="00E43D33" w:rsidRPr="00286216" w:rsidRDefault="00E43D33" w:rsidP="00E43D33">
            <w:pPr>
              <w:pStyle w:val="StyleWisnow"/>
              <w:rPr>
                <w:color w:val="000000" w:themeColor="text1"/>
              </w:rPr>
            </w:pPr>
          </w:p>
        </w:tc>
        <w:tc>
          <w:tcPr>
            <w:tcW w:w="4818" w:type="dxa"/>
          </w:tcPr>
          <w:p w14:paraId="3C81CDC0" w14:textId="5BDF22E7" w:rsidR="00E43D33" w:rsidRPr="00286216" w:rsidRDefault="00E43D33" w:rsidP="00E43D33">
            <w:pPr>
              <w:pStyle w:val="StyleZakonu"/>
              <w:rPr>
                <w:color w:val="000000" w:themeColor="text1"/>
              </w:rPr>
            </w:pPr>
            <w:r w:rsidRPr="00286216">
              <w:rPr>
                <w:color w:val="000000" w:themeColor="text1"/>
              </w:rPr>
              <w:t>у разі здійчнення пропозиції цінних паперів оферентом проспект, оформлений ним, повинен бути погоджений емітентом.</w:t>
            </w:r>
          </w:p>
        </w:tc>
      </w:tr>
      <w:tr w:rsidR="00E43D33" w:rsidRPr="00286216" w14:paraId="07D57DCA" w14:textId="77777777" w:rsidTr="00091AA5">
        <w:tc>
          <w:tcPr>
            <w:tcW w:w="576" w:type="dxa"/>
          </w:tcPr>
          <w:p w14:paraId="7058A7F0" w14:textId="77777777" w:rsidR="00E43D33" w:rsidRPr="00286216" w:rsidRDefault="00E43D33" w:rsidP="00E43D33">
            <w:pPr>
              <w:pStyle w:val="StyleWisnow"/>
              <w:rPr>
                <w:color w:val="000000" w:themeColor="text1"/>
              </w:rPr>
            </w:pPr>
            <w:bookmarkStart w:id="1452" w:name="n1707" w:colFirst="0" w:colLast="0"/>
            <w:bookmarkEnd w:id="1451"/>
            <w:r w:rsidRPr="00286216">
              <w:rPr>
                <w:color w:val="000000" w:themeColor="text1"/>
              </w:rPr>
              <w:t>1707.</w:t>
            </w:r>
          </w:p>
        </w:tc>
        <w:tc>
          <w:tcPr>
            <w:tcW w:w="4818" w:type="dxa"/>
          </w:tcPr>
          <w:p w14:paraId="142F9C40" w14:textId="77777777" w:rsidR="00E43D33" w:rsidRPr="00286216" w:rsidRDefault="00E43D33" w:rsidP="00E43D33">
            <w:pPr>
              <w:pStyle w:val="StyleZakonu"/>
              <w:rPr>
                <w:color w:val="000000" w:themeColor="text1"/>
              </w:rPr>
            </w:pPr>
            <w:r w:rsidRPr="00286216">
              <w:rPr>
                <w:color w:val="000000" w:themeColor="text1"/>
              </w:rPr>
              <w:t>Перелік документів, необхідних для затвердження проспекту, а також порядок затвердження Національною комісією з цінних паперів та фондового ринку проспекту, підготовленого оферентом, встановлюються Національною комісією з цінних паперів та фондового ринку.</w:t>
            </w:r>
          </w:p>
        </w:tc>
        <w:tc>
          <w:tcPr>
            <w:tcW w:w="3686" w:type="dxa"/>
          </w:tcPr>
          <w:p w14:paraId="0189F2AF" w14:textId="77777777" w:rsidR="00E43D33" w:rsidRPr="00286216" w:rsidRDefault="00E43D33" w:rsidP="00E43D33">
            <w:pPr>
              <w:pStyle w:val="StyleProp"/>
              <w:rPr>
                <w:color w:val="000000" w:themeColor="text1"/>
                <w:szCs w:val="18"/>
              </w:rPr>
            </w:pPr>
          </w:p>
        </w:tc>
        <w:tc>
          <w:tcPr>
            <w:tcW w:w="1987" w:type="dxa"/>
          </w:tcPr>
          <w:p w14:paraId="242FD63A" w14:textId="77777777" w:rsidR="00E43D33" w:rsidRPr="00286216" w:rsidRDefault="00E43D33" w:rsidP="00E43D33">
            <w:pPr>
              <w:pStyle w:val="StyleWisnow"/>
              <w:rPr>
                <w:color w:val="000000" w:themeColor="text1"/>
              </w:rPr>
            </w:pPr>
          </w:p>
        </w:tc>
        <w:tc>
          <w:tcPr>
            <w:tcW w:w="4818" w:type="dxa"/>
          </w:tcPr>
          <w:p w14:paraId="5A3A40D1" w14:textId="43ED8AAF" w:rsidR="00E43D33" w:rsidRPr="00286216" w:rsidRDefault="00E43D33" w:rsidP="00E43D33">
            <w:pPr>
              <w:pStyle w:val="StyleZakonu"/>
              <w:rPr>
                <w:color w:val="000000" w:themeColor="text1"/>
              </w:rPr>
            </w:pPr>
            <w:r w:rsidRPr="00286216">
              <w:rPr>
                <w:color w:val="000000" w:themeColor="text1"/>
              </w:rPr>
              <w:t>Перелік документів, необхідних для затвердження проспекту, а також порядок затвердження Національною комісією з цінних паперів та фондового ринку проспекту, підготовленого оферентом, встановлюються Національною комісією з цінних паперів та фондового ринку.</w:t>
            </w:r>
          </w:p>
        </w:tc>
      </w:tr>
      <w:tr w:rsidR="00E43D33" w:rsidRPr="00286216" w14:paraId="00D93216" w14:textId="77777777" w:rsidTr="00091AA5">
        <w:tc>
          <w:tcPr>
            <w:tcW w:w="576" w:type="dxa"/>
          </w:tcPr>
          <w:p w14:paraId="244760BD" w14:textId="77777777" w:rsidR="00E43D33" w:rsidRPr="00286216" w:rsidRDefault="00E43D33" w:rsidP="00E43D33">
            <w:pPr>
              <w:pStyle w:val="StyleWisnow"/>
              <w:rPr>
                <w:color w:val="000000" w:themeColor="text1"/>
              </w:rPr>
            </w:pPr>
            <w:bookmarkStart w:id="1453" w:name="n1708" w:colFirst="0" w:colLast="0"/>
            <w:bookmarkEnd w:id="1452"/>
            <w:r w:rsidRPr="00286216">
              <w:rPr>
                <w:color w:val="000000" w:themeColor="text1"/>
              </w:rPr>
              <w:t>1708.</w:t>
            </w:r>
          </w:p>
        </w:tc>
        <w:tc>
          <w:tcPr>
            <w:tcW w:w="4818" w:type="dxa"/>
          </w:tcPr>
          <w:p w14:paraId="6156E888" w14:textId="77777777" w:rsidR="00E43D33" w:rsidRPr="00286216" w:rsidRDefault="00E43D33" w:rsidP="00E43D33">
            <w:pPr>
              <w:pStyle w:val="StyleZakonu"/>
              <w:rPr>
                <w:color w:val="000000" w:themeColor="text1"/>
              </w:rPr>
            </w:pPr>
            <w:r w:rsidRPr="00286216">
              <w:rPr>
                <w:color w:val="000000" w:themeColor="text1"/>
              </w:rPr>
              <w:t>3. У випадку, передбаченому частиною другою цієї статті, проспект підписується оферентом (особою, яка здійснює управлінські функції в оференті, якщо оферент є юридичною особою).</w:t>
            </w:r>
          </w:p>
        </w:tc>
        <w:tc>
          <w:tcPr>
            <w:tcW w:w="3686" w:type="dxa"/>
          </w:tcPr>
          <w:p w14:paraId="5E239A3F" w14:textId="77777777" w:rsidR="00E43D33" w:rsidRPr="00286216" w:rsidRDefault="00E43D33" w:rsidP="00E43D33">
            <w:pPr>
              <w:pStyle w:val="StyleProp"/>
              <w:rPr>
                <w:color w:val="000000" w:themeColor="text1"/>
                <w:szCs w:val="18"/>
              </w:rPr>
            </w:pPr>
          </w:p>
        </w:tc>
        <w:tc>
          <w:tcPr>
            <w:tcW w:w="1987" w:type="dxa"/>
          </w:tcPr>
          <w:p w14:paraId="16E151DC" w14:textId="77777777" w:rsidR="00E43D33" w:rsidRPr="00286216" w:rsidRDefault="00E43D33" w:rsidP="00E43D33">
            <w:pPr>
              <w:pStyle w:val="StyleWisnow"/>
              <w:rPr>
                <w:color w:val="000000" w:themeColor="text1"/>
              </w:rPr>
            </w:pPr>
          </w:p>
        </w:tc>
        <w:tc>
          <w:tcPr>
            <w:tcW w:w="4818" w:type="dxa"/>
          </w:tcPr>
          <w:p w14:paraId="5D0E18C5" w14:textId="6D508E86" w:rsidR="00E43D33" w:rsidRPr="00286216" w:rsidRDefault="00E43D33" w:rsidP="00E43D33">
            <w:pPr>
              <w:pStyle w:val="StyleZakonu"/>
              <w:rPr>
                <w:color w:val="000000" w:themeColor="text1"/>
              </w:rPr>
            </w:pPr>
            <w:r w:rsidRPr="00286216">
              <w:rPr>
                <w:color w:val="000000" w:themeColor="text1"/>
              </w:rPr>
              <w:t>3. У випадку, передбаченому частиною другою цієї статті, проспект підписується оферентом (особою, яка здійснює управлінські функції в оференті, якщо оферент є юридичною особою).</w:t>
            </w:r>
          </w:p>
        </w:tc>
      </w:tr>
      <w:tr w:rsidR="00E43D33" w:rsidRPr="00286216" w14:paraId="10318F74" w14:textId="77777777" w:rsidTr="00091AA5">
        <w:tc>
          <w:tcPr>
            <w:tcW w:w="576" w:type="dxa"/>
          </w:tcPr>
          <w:p w14:paraId="2763146A" w14:textId="77777777" w:rsidR="00E43D33" w:rsidRPr="00286216" w:rsidRDefault="00E43D33" w:rsidP="00E43D33">
            <w:pPr>
              <w:pStyle w:val="StyleWisnow"/>
              <w:rPr>
                <w:color w:val="000000" w:themeColor="text1"/>
              </w:rPr>
            </w:pPr>
            <w:bookmarkStart w:id="1454" w:name="n1709" w:colFirst="0" w:colLast="0"/>
            <w:bookmarkEnd w:id="1453"/>
            <w:r w:rsidRPr="00286216">
              <w:rPr>
                <w:color w:val="000000" w:themeColor="text1"/>
              </w:rPr>
              <w:t>1709.</w:t>
            </w:r>
          </w:p>
        </w:tc>
        <w:tc>
          <w:tcPr>
            <w:tcW w:w="4818" w:type="dxa"/>
          </w:tcPr>
          <w:p w14:paraId="1F12F69C" w14:textId="77777777" w:rsidR="00E43D33" w:rsidRPr="00286216" w:rsidRDefault="00E43D33" w:rsidP="00E43D33">
            <w:pPr>
              <w:pStyle w:val="StyleZakonu"/>
              <w:rPr>
                <w:color w:val="000000" w:themeColor="text1"/>
              </w:rPr>
            </w:pPr>
            <w:r w:rsidRPr="00286216">
              <w:rPr>
                <w:color w:val="000000" w:themeColor="text1"/>
              </w:rPr>
              <w:t>За включення до проспекту недостовірних та/або оманливих відомостей оферент несе відповідальність, визначену законом.</w:t>
            </w:r>
          </w:p>
        </w:tc>
        <w:tc>
          <w:tcPr>
            <w:tcW w:w="3686" w:type="dxa"/>
          </w:tcPr>
          <w:p w14:paraId="358B8452" w14:textId="77777777" w:rsidR="00E43D33" w:rsidRPr="00286216" w:rsidRDefault="00E43D33" w:rsidP="00E43D33">
            <w:pPr>
              <w:pStyle w:val="StyleProp"/>
              <w:rPr>
                <w:color w:val="000000" w:themeColor="text1"/>
                <w:szCs w:val="18"/>
              </w:rPr>
            </w:pPr>
          </w:p>
        </w:tc>
        <w:tc>
          <w:tcPr>
            <w:tcW w:w="1987" w:type="dxa"/>
          </w:tcPr>
          <w:p w14:paraId="445FFE1D" w14:textId="77777777" w:rsidR="00E43D33" w:rsidRPr="00286216" w:rsidRDefault="00E43D33" w:rsidP="00E43D33">
            <w:pPr>
              <w:pStyle w:val="StyleWisnow"/>
              <w:rPr>
                <w:color w:val="000000" w:themeColor="text1"/>
              </w:rPr>
            </w:pPr>
          </w:p>
        </w:tc>
        <w:tc>
          <w:tcPr>
            <w:tcW w:w="4818" w:type="dxa"/>
          </w:tcPr>
          <w:p w14:paraId="31A4893C" w14:textId="1E7FAF01" w:rsidR="00E43D33" w:rsidRPr="00286216" w:rsidRDefault="00E43D33" w:rsidP="00E43D33">
            <w:pPr>
              <w:pStyle w:val="StyleZakonu"/>
              <w:rPr>
                <w:color w:val="000000" w:themeColor="text1"/>
              </w:rPr>
            </w:pPr>
            <w:r w:rsidRPr="00286216">
              <w:rPr>
                <w:color w:val="000000" w:themeColor="text1"/>
              </w:rPr>
              <w:t>За включення до проспекту недостовірних відомостей або таких, що можуть ввести в оману, оферент несе відповідальність, визначену законом.</w:t>
            </w:r>
          </w:p>
        </w:tc>
      </w:tr>
      <w:tr w:rsidR="00E43D33" w:rsidRPr="00286216" w14:paraId="365AA921" w14:textId="77777777" w:rsidTr="00091AA5">
        <w:tc>
          <w:tcPr>
            <w:tcW w:w="576" w:type="dxa"/>
          </w:tcPr>
          <w:p w14:paraId="585901A6" w14:textId="77777777" w:rsidR="00E43D33" w:rsidRPr="00286216" w:rsidRDefault="00E43D33" w:rsidP="00E43D33">
            <w:pPr>
              <w:pStyle w:val="StyleWisnow"/>
              <w:rPr>
                <w:color w:val="000000" w:themeColor="text1"/>
              </w:rPr>
            </w:pPr>
            <w:bookmarkStart w:id="1455" w:name="n1710" w:colFirst="0" w:colLast="0"/>
            <w:bookmarkEnd w:id="1454"/>
            <w:r w:rsidRPr="00286216">
              <w:rPr>
                <w:color w:val="000000" w:themeColor="text1"/>
              </w:rPr>
              <w:t>1710.</w:t>
            </w:r>
          </w:p>
        </w:tc>
        <w:tc>
          <w:tcPr>
            <w:tcW w:w="4818" w:type="dxa"/>
          </w:tcPr>
          <w:p w14:paraId="69A11318" w14:textId="77777777" w:rsidR="00E43D33" w:rsidRPr="00286216" w:rsidRDefault="00E43D33" w:rsidP="00E43D33">
            <w:pPr>
              <w:pStyle w:val="StyleZakonu"/>
              <w:rPr>
                <w:color w:val="000000" w:themeColor="text1"/>
              </w:rPr>
            </w:pPr>
            <w:r w:rsidRPr="00286216">
              <w:rPr>
                <w:color w:val="000000" w:themeColor="text1"/>
              </w:rPr>
              <w:t xml:space="preserve">4.Проспект при публічній пропозиції цінних паперів оферентом, затверджується Національною комісією з цінних паперів та фондового ринку у </w:t>
            </w:r>
            <w:r w:rsidRPr="00286216">
              <w:rPr>
                <w:color w:val="000000" w:themeColor="text1"/>
              </w:rPr>
              <w:lastRenderedPageBreak/>
              <w:t>строки, встановлені частиною другою статті 95 та з урахуванням положень частини третьої статті 95 цього Закону.</w:t>
            </w:r>
          </w:p>
        </w:tc>
        <w:tc>
          <w:tcPr>
            <w:tcW w:w="3686" w:type="dxa"/>
          </w:tcPr>
          <w:p w14:paraId="63667F18" w14:textId="77777777" w:rsidR="00E43D33" w:rsidRPr="00286216" w:rsidRDefault="00E43D33" w:rsidP="00E43D33">
            <w:pPr>
              <w:pStyle w:val="StyleProp"/>
              <w:rPr>
                <w:color w:val="000000" w:themeColor="text1"/>
                <w:szCs w:val="18"/>
              </w:rPr>
            </w:pPr>
          </w:p>
        </w:tc>
        <w:tc>
          <w:tcPr>
            <w:tcW w:w="1987" w:type="dxa"/>
          </w:tcPr>
          <w:p w14:paraId="6E26B3D4" w14:textId="77777777" w:rsidR="00E43D33" w:rsidRPr="00286216" w:rsidRDefault="00E43D33" w:rsidP="00E43D33">
            <w:pPr>
              <w:pStyle w:val="StyleWisnow"/>
              <w:rPr>
                <w:color w:val="000000" w:themeColor="text1"/>
              </w:rPr>
            </w:pPr>
          </w:p>
        </w:tc>
        <w:tc>
          <w:tcPr>
            <w:tcW w:w="4818" w:type="dxa"/>
          </w:tcPr>
          <w:p w14:paraId="5DCDAC5F" w14:textId="2324705E" w:rsidR="00E43D33" w:rsidRPr="00286216" w:rsidRDefault="00E43D33" w:rsidP="00E43D33">
            <w:pPr>
              <w:pStyle w:val="StyleZakonu"/>
              <w:rPr>
                <w:color w:val="000000" w:themeColor="text1"/>
              </w:rPr>
            </w:pPr>
            <w:r w:rsidRPr="00286216">
              <w:rPr>
                <w:color w:val="000000" w:themeColor="text1"/>
              </w:rPr>
              <w:t xml:space="preserve">4. у разі здійснення публічного пропозиції цінних паперів оферентом, проспект затверджується Національною комісією з цінних паперів та </w:t>
            </w:r>
            <w:r w:rsidRPr="00286216">
              <w:rPr>
                <w:color w:val="000000" w:themeColor="text1"/>
              </w:rPr>
              <w:lastRenderedPageBreak/>
              <w:t>фондового ринку у строки, встановлені частиною другою, з урахуванням положень частини третьої статті 99 цього Закону.</w:t>
            </w:r>
          </w:p>
        </w:tc>
      </w:tr>
      <w:tr w:rsidR="00E43D33" w:rsidRPr="00286216" w14:paraId="7AFD81DB" w14:textId="77777777" w:rsidTr="00091AA5">
        <w:tc>
          <w:tcPr>
            <w:tcW w:w="576" w:type="dxa"/>
          </w:tcPr>
          <w:p w14:paraId="4F17310D" w14:textId="77777777" w:rsidR="00E43D33" w:rsidRPr="00286216" w:rsidRDefault="00E43D33" w:rsidP="00E43D33">
            <w:pPr>
              <w:pStyle w:val="StyleWisnow"/>
              <w:rPr>
                <w:color w:val="000000" w:themeColor="text1"/>
              </w:rPr>
            </w:pPr>
            <w:bookmarkStart w:id="1456" w:name="n1711" w:colFirst="0" w:colLast="0"/>
            <w:bookmarkEnd w:id="1455"/>
            <w:r w:rsidRPr="00286216">
              <w:rPr>
                <w:color w:val="000000" w:themeColor="text1"/>
              </w:rPr>
              <w:lastRenderedPageBreak/>
              <w:t>1711.</w:t>
            </w:r>
          </w:p>
        </w:tc>
        <w:tc>
          <w:tcPr>
            <w:tcW w:w="4818" w:type="dxa"/>
          </w:tcPr>
          <w:p w14:paraId="47C1A64D" w14:textId="77777777" w:rsidR="00E43D33" w:rsidRPr="00286216" w:rsidRDefault="00E43D33" w:rsidP="00E43D33">
            <w:pPr>
              <w:pStyle w:val="StyleZakonu"/>
              <w:rPr>
                <w:color w:val="000000" w:themeColor="text1"/>
              </w:rPr>
            </w:pPr>
            <w:r w:rsidRPr="00286216">
              <w:rPr>
                <w:color w:val="000000" w:themeColor="text1"/>
              </w:rPr>
              <w:t>5.Після затвердження проспекту Національною комісією з цінних паперів та фондового ринку, він має бути оприлюднений оферентом протягом двох робочих днів, але не пізніше останнього робочого дня, що передує даті здійснення публічної пропозиції цінних паперів.</w:t>
            </w:r>
          </w:p>
        </w:tc>
        <w:tc>
          <w:tcPr>
            <w:tcW w:w="3686" w:type="dxa"/>
          </w:tcPr>
          <w:p w14:paraId="6B15A4FF" w14:textId="77777777" w:rsidR="00E43D33" w:rsidRPr="00286216" w:rsidRDefault="00E43D33" w:rsidP="00E43D33">
            <w:pPr>
              <w:pStyle w:val="StyleProp"/>
              <w:rPr>
                <w:color w:val="000000" w:themeColor="text1"/>
                <w:szCs w:val="18"/>
              </w:rPr>
            </w:pPr>
          </w:p>
        </w:tc>
        <w:tc>
          <w:tcPr>
            <w:tcW w:w="1987" w:type="dxa"/>
          </w:tcPr>
          <w:p w14:paraId="3867C05A" w14:textId="77777777" w:rsidR="00E43D33" w:rsidRPr="00286216" w:rsidRDefault="00E43D33" w:rsidP="00E43D33">
            <w:pPr>
              <w:pStyle w:val="StyleWisnow"/>
              <w:rPr>
                <w:color w:val="000000" w:themeColor="text1"/>
              </w:rPr>
            </w:pPr>
          </w:p>
        </w:tc>
        <w:tc>
          <w:tcPr>
            <w:tcW w:w="4818" w:type="dxa"/>
          </w:tcPr>
          <w:p w14:paraId="7F4AFDF4" w14:textId="7F96B78A" w:rsidR="00E43D33" w:rsidRPr="00286216" w:rsidRDefault="00E43D33" w:rsidP="00E43D33">
            <w:pPr>
              <w:pStyle w:val="StyleZakonu"/>
              <w:rPr>
                <w:color w:val="000000" w:themeColor="text1"/>
              </w:rPr>
            </w:pPr>
            <w:r w:rsidRPr="00286216">
              <w:rPr>
                <w:color w:val="000000" w:themeColor="text1"/>
              </w:rPr>
              <w:t>5. Після затвердження Національною комісією з цінних паперів та фондового ринку проспекту оприлюднюється оферентом протягом двох робочих днів, але не пізніше останнього робочого дня, що передує даті здійснення публічної пропозиції цінних паперів.</w:t>
            </w:r>
          </w:p>
        </w:tc>
      </w:tr>
      <w:tr w:rsidR="00E43D33" w:rsidRPr="00286216" w14:paraId="17E51C0D" w14:textId="77777777" w:rsidTr="00091AA5">
        <w:tc>
          <w:tcPr>
            <w:tcW w:w="576" w:type="dxa"/>
          </w:tcPr>
          <w:p w14:paraId="6A6BB773" w14:textId="77777777" w:rsidR="00E43D33" w:rsidRPr="00286216" w:rsidRDefault="00E43D33" w:rsidP="00E43D33">
            <w:pPr>
              <w:pStyle w:val="StyleWisnow"/>
              <w:rPr>
                <w:color w:val="000000" w:themeColor="text1"/>
              </w:rPr>
            </w:pPr>
            <w:bookmarkStart w:id="1457" w:name="n1712" w:colFirst="0" w:colLast="0"/>
            <w:bookmarkEnd w:id="1456"/>
            <w:r w:rsidRPr="00286216">
              <w:rPr>
                <w:color w:val="000000" w:themeColor="text1"/>
              </w:rPr>
              <w:t>1712.</w:t>
            </w:r>
          </w:p>
        </w:tc>
        <w:tc>
          <w:tcPr>
            <w:tcW w:w="4818" w:type="dxa"/>
          </w:tcPr>
          <w:p w14:paraId="4169B196" w14:textId="77777777" w:rsidR="00E43D33" w:rsidRPr="00286216" w:rsidRDefault="00E43D33" w:rsidP="00E43D33">
            <w:pPr>
              <w:pStyle w:val="StyleZakonu"/>
              <w:rPr>
                <w:color w:val="000000" w:themeColor="text1"/>
              </w:rPr>
            </w:pPr>
            <w:r w:rsidRPr="00286216">
              <w:rPr>
                <w:color w:val="000000" w:themeColor="text1"/>
              </w:rPr>
              <w:t>У разі якщо емітент не здійснював публічну пропозицію таких цінних паперів та/або не здійснювалася публічна пропозиція таких цінних паперів іншим оферентом, та/або такі цінні папери не допущені до торгів на регульованому фондовому ринку, проспект має бути оприлюднений не пізніше ніж за п’ять робочих днів до дати здійснення публічної пропозиції цінних паперів.</w:t>
            </w:r>
          </w:p>
        </w:tc>
        <w:tc>
          <w:tcPr>
            <w:tcW w:w="3686" w:type="dxa"/>
          </w:tcPr>
          <w:p w14:paraId="0ECE962C" w14:textId="77777777" w:rsidR="00E43D33" w:rsidRPr="00286216" w:rsidRDefault="00E43D33" w:rsidP="00E43D33">
            <w:pPr>
              <w:pStyle w:val="StyleProp"/>
              <w:rPr>
                <w:color w:val="000000" w:themeColor="text1"/>
                <w:szCs w:val="18"/>
              </w:rPr>
            </w:pPr>
          </w:p>
        </w:tc>
        <w:tc>
          <w:tcPr>
            <w:tcW w:w="1987" w:type="dxa"/>
          </w:tcPr>
          <w:p w14:paraId="2663BED2" w14:textId="77777777" w:rsidR="00E43D33" w:rsidRPr="00286216" w:rsidRDefault="00E43D33" w:rsidP="00E43D33">
            <w:pPr>
              <w:pStyle w:val="StyleWisnow"/>
              <w:rPr>
                <w:color w:val="000000" w:themeColor="text1"/>
              </w:rPr>
            </w:pPr>
          </w:p>
        </w:tc>
        <w:tc>
          <w:tcPr>
            <w:tcW w:w="4818" w:type="dxa"/>
          </w:tcPr>
          <w:p w14:paraId="5B9C57E7" w14:textId="6FFF8C68" w:rsidR="00E43D33" w:rsidRPr="00286216" w:rsidRDefault="00E43D33" w:rsidP="00E43D33">
            <w:pPr>
              <w:pStyle w:val="StyleZakonu"/>
              <w:rPr>
                <w:color w:val="000000" w:themeColor="text1"/>
              </w:rPr>
            </w:pPr>
            <w:r w:rsidRPr="00286216">
              <w:rPr>
                <w:color w:val="000000" w:themeColor="text1"/>
              </w:rPr>
              <w:t>У разі якщо емітент не здійснював публічну пропозицію таких цінних паперів та/або не здійснювалася публічна пропозиція таких цінних паперів іншим оферентом, та/або такі цінні папери не допущені до торгів на регульованому фондовому ринку проспект має бути оприлюднений не пізніше ніж за п’ять робочих днів до дати здійснення публічної пропозиції цінних паперів.</w:t>
            </w:r>
          </w:p>
        </w:tc>
      </w:tr>
      <w:tr w:rsidR="00E43D33" w:rsidRPr="00286216" w14:paraId="1549704B" w14:textId="77777777" w:rsidTr="00091AA5">
        <w:tc>
          <w:tcPr>
            <w:tcW w:w="576" w:type="dxa"/>
          </w:tcPr>
          <w:p w14:paraId="4B71DE1D" w14:textId="77777777" w:rsidR="00E43D33" w:rsidRPr="00286216" w:rsidRDefault="00E43D33" w:rsidP="00E43D33">
            <w:pPr>
              <w:pStyle w:val="StyleWisnow"/>
              <w:rPr>
                <w:color w:val="000000" w:themeColor="text1"/>
              </w:rPr>
            </w:pPr>
            <w:bookmarkStart w:id="1458" w:name="n1713" w:colFirst="0" w:colLast="0"/>
            <w:bookmarkEnd w:id="1457"/>
            <w:r w:rsidRPr="00286216">
              <w:rPr>
                <w:color w:val="000000" w:themeColor="text1"/>
              </w:rPr>
              <w:t>1713.</w:t>
            </w:r>
          </w:p>
        </w:tc>
        <w:tc>
          <w:tcPr>
            <w:tcW w:w="4818" w:type="dxa"/>
          </w:tcPr>
          <w:p w14:paraId="6A62CBA2" w14:textId="77777777" w:rsidR="00E43D33" w:rsidRPr="00286216" w:rsidRDefault="00E43D33" w:rsidP="00E43D33">
            <w:pPr>
              <w:pStyle w:val="StyleZakonu"/>
              <w:rPr>
                <w:color w:val="000000" w:themeColor="text1"/>
              </w:rPr>
            </w:pPr>
            <w:r w:rsidRPr="00286216">
              <w:rPr>
                <w:color w:val="000000" w:themeColor="text1"/>
              </w:rPr>
              <w:t>Оприлюднення проспекту оферентом здійснюється у порядку, встановленому частиною другою статті 98 цього Закону.</w:t>
            </w:r>
          </w:p>
        </w:tc>
        <w:tc>
          <w:tcPr>
            <w:tcW w:w="3686" w:type="dxa"/>
          </w:tcPr>
          <w:p w14:paraId="6B2B0288" w14:textId="77777777" w:rsidR="00E43D33" w:rsidRPr="00286216" w:rsidRDefault="00E43D33" w:rsidP="00E43D33">
            <w:pPr>
              <w:pStyle w:val="StyleProp"/>
              <w:rPr>
                <w:color w:val="000000" w:themeColor="text1"/>
                <w:szCs w:val="18"/>
              </w:rPr>
            </w:pPr>
          </w:p>
        </w:tc>
        <w:tc>
          <w:tcPr>
            <w:tcW w:w="1987" w:type="dxa"/>
          </w:tcPr>
          <w:p w14:paraId="6C0CFED5" w14:textId="77777777" w:rsidR="00E43D33" w:rsidRPr="00286216" w:rsidRDefault="00E43D33" w:rsidP="00E43D33">
            <w:pPr>
              <w:pStyle w:val="StyleWisnow"/>
              <w:rPr>
                <w:color w:val="000000" w:themeColor="text1"/>
              </w:rPr>
            </w:pPr>
          </w:p>
        </w:tc>
        <w:tc>
          <w:tcPr>
            <w:tcW w:w="4818" w:type="dxa"/>
          </w:tcPr>
          <w:p w14:paraId="49993314" w14:textId="3CF66D6F" w:rsidR="00E43D33" w:rsidRPr="00286216" w:rsidRDefault="00E43D33" w:rsidP="00E43D33">
            <w:pPr>
              <w:pStyle w:val="StyleZakonu"/>
              <w:rPr>
                <w:color w:val="000000" w:themeColor="text1"/>
              </w:rPr>
            </w:pPr>
            <w:r w:rsidRPr="00286216">
              <w:rPr>
                <w:color w:val="000000" w:themeColor="text1"/>
              </w:rPr>
              <w:t>Оприлюднення проспекту оферентом здійснюється здійснюється з урахуванням вимог, передбачених статтею 102 цього Закону.</w:t>
            </w:r>
          </w:p>
        </w:tc>
      </w:tr>
      <w:tr w:rsidR="00E43D33" w:rsidRPr="00286216" w14:paraId="299C7C3F" w14:textId="77777777" w:rsidTr="00091AA5">
        <w:tc>
          <w:tcPr>
            <w:tcW w:w="576" w:type="dxa"/>
          </w:tcPr>
          <w:p w14:paraId="3D65A18C" w14:textId="77777777" w:rsidR="00E43D33" w:rsidRPr="00286216" w:rsidRDefault="00E43D33" w:rsidP="00E43D33">
            <w:pPr>
              <w:pStyle w:val="StyleWisnow"/>
              <w:rPr>
                <w:color w:val="000000" w:themeColor="text1"/>
              </w:rPr>
            </w:pPr>
            <w:bookmarkStart w:id="1459" w:name="n1714" w:colFirst="0" w:colLast="0"/>
            <w:bookmarkEnd w:id="1458"/>
            <w:r w:rsidRPr="00286216">
              <w:rPr>
                <w:color w:val="000000" w:themeColor="text1"/>
              </w:rPr>
              <w:t>1714.</w:t>
            </w:r>
          </w:p>
        </w:tc>
        <w:tc>
          <w:tcPr>
            <w:tcW w:w="4818" w:type="dxa"/>
          </w:tcPr>
          <w:p w14:paraId="7EF34974" w14:textId="77777777" w:rsidR="00E43D33" w:rsidRPr="00286216" w:rsidRDefault="00E43D33" w:rsidP="00E43D33">
            <w:pPr>
              <w:pStyle w:val="StyleZakonu"/>
              <w:rPr>
                <w:color w:val="000000" w:themeColor="text1"/>
              </w:rPr>
            </w:pPr>
            <w:r w:rsidRPr="00286216">
              <w:rPr>
                <w:color w:val="000000" w:themeColor="text1"/>
              </w:rPr>
              <w:t>6. Паперова форма проспекту має бути надана оферентом безкоштовно потенційному інвестору на його вимогу.</w:t>
            </w:r>
          </w:p>
        </w:tc>
        <w:tc>
          <w:tcPr>
            <w:tcW w:w="3686" w:type="dxa"/>
          </w:tcPr>
          <w:p w14:paraId="5655DFED" w14:textId="77777777" w:rsidR="00E43D33" w:rsidRPr="00286216" w:rsidRDefault="00E43D33" w:rsidP="00E43D33">
            <w:pPr>
              <w:pStyle w:val="StyleProp"/>
              <w:rPr>
                <w:color w:val="000000" w:themeColor="text1"/>
                <w:szCs w:val="18"/>
              </w:rPr>
            </w:pPr>
          </w:p>
        </w:tc>
        <w:tc>
          <w:tcPr>
            <w:tcW w:w="1987" w:type="dxa"/>
          </w:tcPr>
          <w:p w14:paraId="377C5972" w14:textId="77777777" w:rsidR="00E43D33" w:rsidRPr="00286216" w:rsidRDefault="00E43D33" w:rsidP="00E43D33">
            <w:pPr>
              <w:pStyle w:val="StyleWisnow"/>
              <w:rPr>
                <w:color w:val="000000" w:themeColor="text1"/>
              </w:rPr>
            </w:pPr>
          </w:p>
        </w:tc>
        <w:tc>
          <w:tcPr>
            <w:tcW w:w="4818" w:type="dxa"/>
          </w:tcPr>
          <w:p w14:paraId="388035CB" w14:textId="74DAD5C7" w:rsidR="00E43D33" w:rsidRPr="00286216" w:rsidRDefault="00E43D33" w:rsidP="00E43D33">
            <w:pPr>
              <w:pStyle w:val="StyleZakonu"/>
              <w:rPr>
                <w:color w:val="000000" w:themeColor="text1"/>
              </w:rPr>
            </w:pPr>
            <w:r w:rsidRPr="00286216">
              <w:rPr>
                <w:color w:val="000000" w:themeColor="text1"/>
              </w:rPr>
              <w:t>6. Паперова форма проспекту має бути надана оферентом потенційному інвестору безоплатно на його вимогу.</w:t>
            </w:r>
          </w:p>
        </w:tc>
      </w:tr>
      <w:tr w:rsidR="00E43D33" w:rsidRPr="00286216" w14:paraId="75C731AB" w14:textId="77777777" w:rsidTr="00091AA5">
        <w:tc>
          <w:tcPr>
            <w:tcW w:w="576" w:type="dxa"/>
          </w:tcPr>
          <w:p w14:paraId="73574C02" w14:textId="77777777" w:rsidR="00E43D33" w:rsidRPr="00286216" w:rsidRDefault="00E43D33" w:rsidP="00E43D33">
            <w:pPr>
              <w:pStyle w:val="StyleWisnow"/>
              <w:rPr>
                <w:color w:val="000000" w:themeColor="text1"/>
              </w:rPr>
            </w:pPr>
            <w:bookmarkStart w:id="1460" w:name="n1715" w:colFirst="0" w:colLast="0"/>
            <w:bookmarkEnd w:id="1459"/>
            <w:r w:rsidRPr="00286216">
              <w:rPr>
                <w:color w:val="000000" w:themeColor="text1"/>
              </w:rPr>
              <w:t>1715.</w:t>
            </w:r>
          </w:p>
        </w:tc>
        <w:tc>
          <w:tcPr>
            <w:tcW w:w="4818" w:type="dxa"/>
          </w:tcPr>
          <w:p w14:paraId="770BE1BC" w14:textId="77777777" w:rsidR="00E43D33" w:rsidRPr="00286216" w:rsidRDefault="00E43D33" w:rsidP="00E43D33">
            <w:pPr>
              <w:pStyle w:val="StyleZakonu"/>
              <w:rPr>
                <w:color w:val="000000" w:themeColor="text1"/>
              </w:rPr>
            </w:pPr>
            <w:r w:rsidRPr="00286216">
              <w:rPr>
                <w:color w:val="000000" w:themeColor="text1"/>
              </w:rPr>
              <w:t>Оприлюднені текст та формат проспекту та/або додатки до проспекту повинні бути тотожними завжди з оригінальною версією, затвердженою Національною комісією з цінних паперів та фондового ринку.</w:t>
            </w:r>
          </w:p>
        </w:tc>
        <w:tc>
          <w:tcPr>
            <w:tcW w:w="3686" w:type="dxa"/>
          </w:tcPr>
          <w:p w14:paraId="1DDFD0A0" w14:textId="77777777" w:rsidR="00E43D33" w:rsidRPr="00286216" w:rsidRDefault="00E43D33" w:rsidP="00E43D33">
            <w:pPr>
              <w:pStyle w:val="StyleProp"/>
              <w:rPr>
                <w:color w:val="000000" w:themeColor="text1"/>
                <w:szCs w:val="18"/>
              </w:rPr>
            </w:pPr>
          </w:p>
        </w:tc>
        <w:tc>
          <w:tcPr>
            <w:tcW w:w="1987" w:type="dxa"/>
          </w:tcPr>
          <w:p w14:paraId="2E53502F" w14:textId="77777777" w:rsidR="00E43D33" w:rsidRPr="00286216" w:rsidRDefault="00E43D33" w:rsidP="00E43D33">
            <w:pPr>
              <w:pStyle w:val="StyleWisnow"/>
              <w:rPr>
                <w:color w:val="000000" w:themeColor="text1"/>
              </w:rPr>
            </w:pPr>
          </w:p>
        </w:tc>
        <w:tc>
          <w:tcPr>
            <w:tcW w:w="4818" w:type="dxa"/>
          </w:tcPr>
          <w:p w14:paraId="4D37EE8B" w14:textId="10313233" w:rsidR="00E43D33" w:rsidRPr="00286216" w:rsidRDefault="00E43D33" w:rsidP="00E43D33">
            <w:pPr>
              <w:pStyle w:val="StyleZakonu"/>
              <w:rPr>
                <w:color w:val="000000" w:themeColor="text1"/>
              </w:rPr>
            </w:pPr>
            <w:r w:rsidRPr="00286216">
              <w:rPr>
                <w:color w:val="000000" w:themeColor="text1"/>
              </w:rPr>
              <w:t>Оприлюднені текст і формат проспекту та додатки до проспекту повинні бути тотожними з оригінальною версією, затвердженою Національною комісією з цінних паперів та фондового ринку.</w:t>
            </w:r>
          </w:p>
        </w:tc>
      </w:tr>
      <w:tr w:rsidR="00E43D33" w:rsidRPr="00286216" w14:paraId="7A392014" w14:textId="77777777" w:rsidTr="00091AA5">
        <w:tc>
          <w:tcPr>
            <w:tcW w:w="576" w:type="dxa"/>
          </w:tcPr>
          <w:p w14:paraId="75C971E4" w14:textId="77777777" w:rsidR="00E43D33" w:rsidRPr="00286216" w:rsidRDefault="00E43D33" w:rsidP="00E43D33">
            <w:pPr>
              <w:pStyle w:val="StyleWisnow"/>
              <w:rPr>
                <w:color w:val="000000" w:themeColor="text1"/>
              </w:rPr>
            </w:pPr>
            <w:bookmarkStart w:id="1461" w:name="n1716" w:colFirst="0" w:colLast="0"/>
            <w:bookmarkEnd w:id="1460"/>
            <w:r w:rsidRPr="00286216">
              <w:rPr>
                <w:color w:val="000000" w:themeColor="text1"/>
              </w:rPr>
              <w:t>1716.</w:t>
            </w:r>
          </w:p>
        </w:tc>
        <w:tc>
          <w:tcPr>
            <w:tcW w:w="4818" w:type="dxa"/>
          </w:tcPr>
          <w:p w14:paraId="4C2332EF" w14:textId="77777777" w:rsidR="00E43D33" w:rsidRPr="00286216" w:rsidRDefault="00E43D33" w:rsidP="00E43D33">
            <w:pPr>
              <w:pStyle w:val="StyleZakonu"/>
              <w:rPr>
                <w:color w:val="000000" w:themeColor="text1"/>
              </w:rPr>
            </w:pPr>
            <w:r w:rsidRPr="00286216">
              <w:rPr>
                <w:color w:val="000000" w:themeColor="text1"/>
              </w:rPr>
              <w:t>Оферент зобов’язаний також оприлюднити відповідно до порядку, встановленого частиною п’ятою цієї статті, повідомлення про те, яким чином було оприлюднено проспект і де з ним можна 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c>
          <w:tcPr>
            <w:tcW w:w="3686" w:type="dxa"/>
          </w:tcPr>
          <w:p w14:paraId="7D65E572" w14:textId="77777777" w:rsidR="00E43D33" w:rsidRPr="00286216" w:rsidRDefault="00E43D33" w:rsidP="00E43D33">
            <w:pPr>
              <w:pStyle w:val="StyleProp"/>
              <w:rPr>
                <w:color w:val="000000" w:themeColor="text1"/>
                <w:szCs w:val="18"/>
              </w:rPr>
            </w:pPr>
          </w:p>
        </w:tc>
        <w:tc>
          <w:tcPr>
            <w:tcW w:w="1987" w:type="dxa"/>
          </w:tcPr>
          <w:p w14:paraId="49203276" w14:textId="77777777" w:rsidR="00E43D33" w:rsidRPr="00286216" w:rsidRDefault="00E43D33" w:rsidP="00E43D33">
            <w:pPr>
              <w:pStyle w:val="StyleWisnow"/>
              <w:rPr>
                <w:color w:val="000000" w:themeColor="text1"/>
              </w:rPr>
            </w:pPr>
          </w:p>
        </w:tc>
        <w:tc>
          <w:tcPr>
            <w:tcW w:w="4818" w:type="dxa"/>
          </w:tcPr>
          <w:p w14:paraId="733CB002" w14:textId="4C2DDBFE" w:rsidR="00E43D33" w:rsidRPr="00286216" w:rsidRDefault="00E43D33" w:rsidP="00E43D33">
            <w:pPr>
              <w:pStyle w:val="StyleZakonu"/>
              <w:rPr>
                <w:color w:val="000000" w:themeColor="text1"/>
              </w:rPr>
            </w:pPr>
            <w:r w:rsidRPr="00286216">
              <w:rPr>
                <w:color w:val="000000" w:themeColor="text1"/>
              </w:rPr>
              <w:t>Оферент зобов’язаний також оприлюднити відповідно до порядку, встановленого частиною п’ятою цієї статті, повідомлення про те, яким чином було оприлюднено проспект і де з ним можна 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r>
      <w:tr w:rsidR="00E43D33" w:rsidRPr="00286216" w14:paraId="6D160D67" w14:textId="77777777" w:rsidTr="00091AA5">
        <w:tc>
          <w:tcPr>
            <w:tcW w:w="576" w:type="dxa"/>
          </w:tcPr>
          <w:p w14:paraId="7C909A12" w14:textId="77777777" w:rsidR="00E43D33" w:rsidRPr="00286216" w:rsidRDefault="00E43D33" w:rsidP="00E43D33">
            <w:pPr>
              <w:pStyle w:val="StyleWisnow"/>
              <w:rPr>
                <w:color w:val="000000" w:themeColor="text1"/>
              </w:rPr>
            </w:pPr>
            <w:bookmarkStart w:id="1462" w:name="n1717" w:colFirst="0" w:colLast="0"/>
            <w:bookmarkEnd w:id="1461"/>
            <w:r w:rsidRPr="00286216">
              <w:rPr>
                <w:color w:val="000000" w:themeColor="text1"/>
              </w:rPr>
              <w:t>1717.</w:t>
            </w:r>
          </w:p>
        </w:tc>
        <w:tc>
          <w:tcPr>
            <w:tcW w:w="4818" w:type="dxa"/>
          </w:tcPr>
          <w:p w14:paraId="527399A7" w14:textId="77777777" w:rsidR="00E43D33" w:rsidRPr="00286216" w:rsidRDefault="00E43D33" w:rsidP="00E43D33">
            <w:pPr>
              <w:pStyle w:val="StyleZakonu"/>
              <w:rPr>
                <w:color w:val="000000" w:themeColor="text1"/>
              </w:rPr>
            </w:pPr>
            <w:r w:rsidRPr="00286216">
              <w:rPr>
                <w:color w:val="000000" w:themeColor="text1"/>
              </w:rPr>
              <w:t>7. Зміни або доповнення до проспекту оформлюються оферентом у порядку, встановленому статтею 96 цього Закону.</w:t>
            </w:r>
          </w:p>
        </w:tc>
        <w:tc>
          <w:tcPr>
            <w:tcW w:w="3686" w:type="dxa"/>
          </w:tcPr>
          <w:p w14:paraId="37DA71E9" w14:textId="77777777" w:rsidR="00E43D33" w:rsidRPr="00286216" w:rsidRDefault="00E43D33" w:rsidP="00E43D33">
            <w:pPr>
              <w:pStyle w:val="StyleProp"/>
              <w:rPr>
                <w:color w:val="000000" w:themeColor="text1"/>
                <w:szCs w:val="18"/>
              </w:rPr>
            </w:pPr>
          </w:p>
        </w:tc>
        <w:tc>
          <w:tcPr>
            <w:tcW w:w="1987" w:type="dxa"/>
          </w:tcPr>
          <w:p w14:paraId="5250D41B" w14:textId="77777777" w:rsidR="00E43D33" w:rsidRPr="00286216" w:rsidRDefault="00E43D33" w:rsidP="00E43D33">
            <w:pPr>
              <w:pStyle w:val="StyleWisnow"/>
              <w:rPr>
                <w:color w:val="000000" w:themeColor="text1"/>
              </w:rPr>
            </w:pPr>
          </w:p>
        </w:tc>
        <w:tc>
          <w:tcPr>
            <w:tcW w:w="4818" w:type="dxa"/>
          </w:tcPr>
          <w:p w14:paraId="01E5EF32" w14:textId="1C7A6E02" w:rsidR="00E43D33" w:rsidRPr="00286216" w:rsidRDefault="00E43D33" w:rsidP="00E43D33">
            <w:pPr>
              <w:pStyle w:val="StyleZakonu"/>
              <w:rPr>
                <w:color w:val="000000" w:themeColor="text1"/>
              </w:rPr>
            </w:pPr>
            <w:r w:rsidRPr="00286216">
              <w:rPr>
                <w:color w:val="000000" w:themeColor="text1"/>
              </w:rPr>
              <w:t>7. Зміни або доповнення до проспекту оформлюються оферентом у порядку, встановленому статтею 100 цього Закону.</w:t>
            </w:r>
          </w:p>
        </w:tc>
      </w:tr>
      <w:tr w:rsidR="00E43D33" w:rsidRPr="00286216" w14:paraId="41C1D10C" w14:textId="77777777" w:rsidTr="00091AA5">
        <w:tc>
          <w:tcPr>
            <w:tcW w:w="576" w:type="dxa"/>
          </w:tcPr>
          <w:p w14:paraId="020D2A20" w14:textId="77777777" w:rsidR="00E43D33" w:rsidRPr="00286216" w:rsidRDefault="00E43D33" w:rsidP="00E43D33">
            <w:pPr>
              <w:pStyle w:val="StyleWisnow"/>
              <w:rPr>
                <w:color w:val="000000" w:themeColor="text1"/>
              </w:rPr>
            </w:pPr>
            <w:bookmarkStart w:id="1463" w:name="n1718" w:colFirst="0" w:colLast="0"/>
            <w:bookmarkEnd w:id="1462"/>
            <w:r w:rsidRPr="00286216">
              <w:rPr>
                <w:color w:val="000000" w:themeColor="text1"/>
              </w:rPr>
              <w:t>1718.</w:t>
            </w:r>
          </w:p>
        </w:tc>
        <w:tc>
          <w:tcPr>
            <w:tcW w:w="4818" w:type="dxa"/>
          </w:tcPr>
          <w:p w14:paraId="4E15C1D9" w14:textId="77777777" w:rsidR="00E43D33" w:rsidRPr="00286216" w:rsidRDefault="00E43D33" w:rsidP="00E43D33">
            <w:pPr>
              <w:pStyle w:val="StyleZakonu"/>
              <w:rPr>
                <w:color w:val="000000" w:themeColor="text1"/>
              </w:rPr>
            </w:pPr>
            <w:bookmarkStart w:id="1464" w:name="_Ref16416132"/>
            <w:r w:rsidRPr="00286216">
              <w:rPr>
                <w:color w:val="000000" w:themeColor="text1"/>
              </w:rPr>
              <w:t>Стаття 102. Проспект цінних паперів при допуску цінних паперів до торгів на регульованому фондовому ринку</w:t>
            </w:r>
            <w:bookmarkEnd w:id="1464"/>
          </w:p>
        </w:tc>
        <w:tc>
          <w:tcPr>
            <w:tcW w:w="3686" w:type="dxa"/>
          </w:tcPr>
          <w:p w14:paraId="33BA92D4" w14:textId="77777777" w:rsidR="00E43D33" w:rsidRPr="00286216" w:rsidRDefault="00E43D33" w:rsidP="00E43D33">
            <w:pPr>
              <w:pStyle w:val="StyleProp"/>
              <w:rPr>
                <w:color w:val="000000" w:themeColor="text1"/>
                <w:szCs w:val="18"/>
              </w:rPr>
            </w:pPr>
          </w:p>
        </w:tc>
        <w:tc>
          <w:tcPr>
            <w:tcW w:w="1987" w:type="dxa"/>
          </w:tcPr>
          <w:p w14:paraId="179F9633" w14:textId="77777777" w:rsidR="00E43D33" w:rsidRPr="00286216" w:rsidRDefault="00E43D33" w:rsidP="00E43D33">
            <w:pPr>
              <w:pStyle w:val="StyleWisnow"/>
              <w:rPr>
                <w:color w:val="000000" w:themeColor="text1"/>
              </w:rPr>
            </w:pPr>
          </w:p>
        </w:tc>
        <w:tc>
          <w:tcPr>
            <w:tcW w:w="4818" w:type="dxa"/>
          </w:tcPr>
          <w:p w14:paraId="6051EB6E" w14:textId="322BEC23" w:rsidR="00E43D33" w:rsidRPr="00286216" w:rsidRDefault="00E43D33" w:rsidP="00E43D33">
            <w:pPr>
              <w:pStyle w:val="StyleZakonu"/>
              <w:rPr>
                <w:color w:val="000000" w:themeColor="text1"/>
              </w:rPr>
            </w:pPr>
            <w:r w:rsidRPr="00286216">
              <w:rPr>
                <w:color w:val="000000" w:themeColor="text1"/>
              </w:rPr>
              <w:t>Стаття 106. Проспект цінних паперів у разі здійснення допуску цінних паперів до торгів на регульованому фондовому ринку</w:t>
            </w:r>
          </w:p>
        </w:tc>
      </w:tr>
      <w:tr w:rsidR="00E43D33" w:rsidRPr="00286216" w14:paraId="06B43A80" w14:textId="77777777" w:rsidTr="00091AA5">
        <w:tc>
          <w:tcPr>
            <w:tcW w:w="576" w:type="dxa"/>
          </w:tcPr>
          <w:p w14:paraId="437D9D64" w14:textId="77777777" w:rsidR="00E43D33" w:rsidRPr="00286216" w:rsidRDefault="00E43D33" w:rsidP="00E43D33">
            <w:pPr>
              <w:pStyle w:val="StyleWisnow"/>
              <w:rPr>
                <w:color w:val="000000" w:themeColor="text1"/>
              </w:rPr>
            </w:pPr>
            <w:bookmarkStart w:id="1465" w:name="n1719" w:colFirst="0" w:colLast="0"/>
            <w:bookmarkEnd w:id="1463"/>
            <w:r w:rsidRPr="00286216">
              <w:rPr>
                <w:color w:val="000000" w:themeColor="text1"/>
              </w:rPr>
              <w:t>1719.</w:t>
            </w:r>
          </w:p>
        </w:tc>
        <w:tc>
          <w:tcPr>
            <w:tcW w:w="4818" w:type="dxa"/>
          </w:tcPr>
          <w:p w14:paraId="450BCB9C" w14:textId="77777777" w:rsidR="00E43D33" w:rsidRPr="00286216" w:rsidRDefault="00E43D33" w:rsidP="00E43D33">
            <w:pPr>
              <w:pStyle w:val="StyleZakonu"/>
              <w:rPr>
                <w:color w:val="000000" w:themeColor="text1"/>
              </w:rPr>
            </w:pPr>
            <w:r w:rsidRPr="00286216">
              <w:rPr>
                <w:color w:val="000000" w:themeColor="text1"/>
              </w:rPr>
              <w:t xml:space="preserve">1. Допуск цінних паперів до торгів на </w:t>
            </w:r>
            <w:r w:rsidRPr="00286216">
              <w:rPr>
                <w:color w:val="000000" w:themeColor="text1"/>
              </w:rPr>
              <w:lastRenderedPageBreak/>
              <w:t>регульованому фондовому ринку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Допуск цінних паперів до торгів на регульованому фондовому ринку є можливим лише за умови дійсності проспекту.</w:t>
            </w:r>
          </w:p>
        </w:tc>
        <w:tc>
          <w:tcPr>
            <w:tcW w:w="3686" w:type="dxa"/>
          </w:tcPr>
          <w:p w14:paraId="708F080B" w14:textId="77777777" w:rsidR="00E43D33" w:rsidRPr="00286216" w:rsidRDefault="00E43D33" w:rsidP="00E43D33">
            <w:pPr>
              <w:pStyle w:val="StyleProp"/>
              <w:rPr>
                <w:color w:val="000000" w:themeColor="text1"/>
                <w:szCs w:val="18"/>
              </w:rPr>
            </w:pPr>
          </w:p>
        </w:tc>
        <w:tc>
          <w:tcPr>
            <w:tcW w:w="1987" w:type="dxa"/>
          </w:tcPr>
          <w:p w14:paraId="3A348F2C" w14:textId="77777777" w:rsidR="00E43D33" w:rsidRPr="00286216" w:rsidRDefault="00E43D33" w:rsidP="00E43D33">
            <w:pPr>
              <w:pStyle w:val="StyleWisnow"/>
              <w:rPr>
                <w:color w:val="000000" w:themeColor="text1"/>
              </w:rPr>
            </w:pPr>
          </w:p>
        </w:tc>
        <w:tc>
          <w:tcPr>
            <w:tcW w:w="4818" w:type="dxa"/>
          </w:tcPr>
          <w:p w14:paraId="0D656A85" w14:textId="02AD236A" w:rsidR="00E43D33" w:rsidRPr="00286216" w:rsidRDefault="00E43D33" w:rsidP="00E43D33">
            <w:pPr>
              <w:pStyle w:val="StyleZakonu"/>
              <w:rPr>
                <w:color w:val="000000" w:themeColor="text1"/>
              </w:rPr>
            </w:pPr>
            <w:r w:rsidRPr="00286216">
              <w:rPr>
                <w:color w:val="000000" w:themeColor="text1"/>
              </w:rPr>
              <w:t xml:space="preserve">1. Допуск цінних паперів до торгів на </w:t>
            </w:r>
            <w:r w:rsidRPr="00286216">
              <w:rPr>
                <w:color w:val="000000" w:themeColor="text1"/>
              </w:rPr>
              <w:lastRenderedPageBreak/>
              <w:t>регульованому фондовому ринку здійснюється в порядку, встановленому Національною комісією з цінних паперів та фондового ринку, виключно за умови оприлюднення проспекту, затвердженого Національною комісією з цінних паперів та фондового ринку, якщо інше не встановлено цим Законом. Допуск цінних паперів до торгів на регульованому фондовому ринку є можливим лише за умови дійсності проспекту.</w:t>
            </w:r>
          </w:p>
        </w:tc>
      </w:tr>
      <w:tr w:rsidR="00E43D33" w:rsidRPr="00286216" w14:paraId="3A85E5DF" w14:textId="77777777" w:rsidTr="00091AA5">
        <w:tc>
          <w:tcPr>
            <w:tcW w:w="576" w:type="dxa"/>
          </w:tcPr>
          <w:p w14:paraId="4B34ED3B" w14:textId="77777777" w:rsidR="00E43D33" w:rsidRPr="00286216" w:rsidRDefault="00E43D33" w:rsidP="00E43D33">
            <w:pPr>
              <w:pStyle w:val="StyleWisnow"/>
              <w:rPr>
                <w:color w:val="000000" w:themeColor="text1"/>
              </w:rPr>
            </w:pPr>
            <w:bookmarkStart w:id="1466" w:name="n1720" w:colFirst="0" w:colLast="0"/>
            <w:bookmarkEnd w:id="1465"/>
            <w:r w:rsidRPr="00286216">
              <w:rPr>
                <w:color w:val="000000" w:themeColor="text1"/>
              </w:rPr>
              <w:lastRenderedPageBreak/>
              <w:t>1720.</w:t>
            </w:r>
          </w:p>
        </w:tc>
        <w:tc>
          <w:tcPr>
            <w:tcW w:w="4818" w:type="dxa"/>
          </w:tcPr>
          <w:p w14:paraId="487DDB22" w14:textId="77777777" w:rsidR="00E43D33" w:rsidRPr="00286216" w:rsidRDefault="00E43D33" w:rsidP="00E43D33">
            <w:pPr>
              <w:pStyle w:val="StyleZakonu"/>
              <w:rPr>
                <w:color w:val="000000" w:themeColor="text1"/>
              </w:rPr>
            </w:pPr>
            <w:r w:rsidRPr="00286216">
              <w:rPr>
                <w:color w:val="000000" w:themeColor="text1"/>
              </w:rPr>
              <w:t>2. У разі відсутності оформленого емітентом або оферентом проспекту або його недійсності, особа, яка подає заявку про допуск цінних паперів до торгів на регульованому фондовому ринку, може самостійно оформити проспект відповідно до статті 94 цього Закону. Перелік документів, необхідних для затвердження проспекту, та порядок затвердження Національною комісією з цінних паперів та фондового ринку проспекту, підготовленого особою, яка подає заявку про допуск цінних паперів до торгів на регульованому фондовому ринку, встановлюються цим Законом та нормативно-правовими актами Національної комісії з цінних паперів та фондового ринку.</w:t>
            </w:r>
          </w:p>
        </w:tc>
        <w:tc>
          <w:tcPr>
            <w:tcW w:w="3686" w:type="dxa"/>
          </w:tcPr>
          <w:p w14:paraId="1F4C7401" w14:textId="77777777" w:rsidR="00E43D33" w:rsidRPr="00286216" w:rsidRDefault="00E43D33" w:rsidP="00E43D33">
            <w:pPr>
              <w:pStyle w:val="StyleProp"/>
              <w:rPr>
                <w:color w:val="000000" w:themeColor="text1"/>
                <w:szCs w:val="18"/>
              </w:rPr>
            </w:pPr>
          </w:p>
        </w:tc>
        <w:tc>
          <w:tcPr>
            <w:tcW w:w="1987" w:type="dxa"/>
          </w:tcPr>
          <w:p w14:paraId="530B1D3C" w14:textId="77777777" w:rsidR="00E43D33" w:rsidRPr="00286216" w:rsidRDefault="00E43D33" w:rsidP="00E43D33">
            <w:pPr>
              <w:pStyle w:val="StyleWisnow"/>
              <w:rPr>
                <w:color w:val="000000" w:themeColor="text1"/>
              </w:rPr>
            </w:pPr>
          </w:p>
        </w:tc>
        <w:tc>
          <w:tcPr>
            <w:tcW w:w="4818" w:type="dxa"/>
          </w:tcPr>
          <w:p w14:paraId="6C6D5C96" w14:textId="3A9FE68F" w:rsidR="00E43D33" w:rsidRPr="00286216" w:rsidRDefault="00E43D33" w:rsidP="00E43D33">
            <w:pPr>
              <w:pStyle w:val="StyleZakonu"/>
              <w:rPr>
                <w:color w:val="000000" w:themeColor="text1"/>
              </w:rPr>
            </w:pPr>
            <w:r w:rsidRPr="00286216">
              <w:rPr>
                <w:color w:val="000000" w:themeColor="text1"/>
              </w:rPr>
              <w:t>2. У разі відсутності оформленого емітентом або оферентом проспекту або його недійсності особа, яка подає заявку про допуск цінних паперів до торгів на регульованому фондовому ринку, може самостійно оформити проспект відповідно до статті 98 цього Закону. Перелік документів, необхідних для затвердження проспекту, та порядок затвердження Національною комісією з цінних паперів та фондового ринку проспекту, підготовленого особою, яка подає заявку про допуск цінних паперів до торгів на регульованому фондовому ринку, встановлюються цим Законом та нормативно-правовими актами Національної комісії з цінних паперів та фондового ринку.</w:t>
            </w:r>
          </w:p>
        </w:tc>
      </w:tr>
      <w:tr w:rsidR="00E43D33" w:rsidRPr="00286216" w14:paraId="18FDD623" w14:textId="77777777" w:rsidTr="00091AA5">
        <w:tc>
          <w:tcPr>
            <w:tcW w:w="576" w:type="dxa"/>
          </w:tcPr>
          <w:p w14:paraId="3DD06DC2" w14:textId="77777777" w:rsidR="00E43D33" w:rsidRPr="00286216" w:rsidRDefault="00E43D33" w:rsidP="00E43D33">
            <w:pPr>
              <w:pStyle w:val="StyleWisnow"/>
              <w:rPr>
                <w:color w:val="000000" w:themeColor="text1"/>
              </w:rPr>
            </w:pPr>
            <w:bookmarkStart w:id="1467" w:name="n1721" w:colFirst="0" w:colLast="0"/>
            <w:bookmarkEnd w:id="1466"/>
            <w:r w:rsidRPr="00286216">
              <w:rPr>
                <w:color w:val="000000" w:themeColor="text1"/>
              </w:rPr>
              <w:t>1721.</w:t>
            </w:r>
          </w:p>
        </w:tc>
        <w:tc>
          <w:tcPr>
            <w:tcW w:w="4818" w:type="dxa"/>
          </w:tcPr>
          <w:p w14:paraId="000F8BD7" w14:textId="77777777" w:rsidR="00E43D33" w:rsidRPr="00286216" w:rsidRDefault="00E43D33" w:rsidP="00E43D33">
            <w:pPr>
              <w:pStyle w:val="StyleZakonu"/>
              <w:rPr>
                <w:color w:val="000000" w:themeColor="text1"/>
              </w:rPr>
            </w:pPr>
            <w:r w:rsidRPr="00286216">
              <w:rPr>
                <w:color w:val="000000" w:themeColor="text1"/>
              </w:rPr>
              <w:t>3. У випадку, передбаченому частиною другою цієї статті, проспект підписується особою, яка подає заявку про допуск цінних паперів до торгів на регульованому фондовому ринку (особою, яка здійснює управлінські функції в особі, що подає заявку про допуск цінних паперів до торгів на регульованому фондовому ринку, якщо такою особою є юридична особа).</w:t>
            </w:r>
          </w:p>
        </w:tc>
        <w:tc>
          <w:tcPr>
            <w:tcW w:w="3686" w:type="dxa"/>
          </w:tcPr>
          <w:p w14:paraId="6F745AD8" w14:textId="77777777" w:rsidR="00E43D33" w:rsidRPr="00286216" w:rsidRDefault="00E43D33" w:rsidP="00E43D33">
            <w:pPr>
              <w:pStyle w:val="StyleProp"/>
              <w:rPr>
                <w:color w:val="000000" w:themeColor="text1"/>
                <w:szCs w:val="18"/>
              </w:rPr>
            </w:pPr>
          </w:p>
        </w:tc>
        <w:tc>
          <w:tcPr>
            <w:tcW w:w="1987" w:type="dxa"/>
          </w:tcPr>
          <w:p w14:paraId="5DCE02F6" w14:textId="77777777" w:rsidR="00E43D33" w:rsidRPr="00286216" w:rsidRDefault="00E43D33" w:rsidP="00E43D33">
            <w:pPr>
              <w:pStyle w:val="StyleWisnow"/>
              <w:rPr>
                <w:color w:val="000000" w:themeColor="text1"/>
              </w:rPr>
            </w:pPr>
          </w:p>
        </w:tc>
        <w:tc>
          <w:tcPr>
            <w:tcW w:w="4818" w:type="dxa"/>
          </w:tcPr>
          <w:p w14:paraId="43546D9C" w14:textId="3D4E635D" w:rsidR="00E43D33" w:rsidRPr="00286216" w:rsidRDefault="00E43D33" w:rsidP="00E43D33">
            <w:pPr>
              <w:pStyle w:val="StyleZakonu"/>
              <w:rPr>
                <w:color w:val="000000" w:themeColor="text1"/>
              </w:rPr>
            </w:pPr>
            <w:r w:rsidRPr="00286216">
              <w:rPr>
                <w:color w:val="000000" w:themeColor="text1"/>
              </w:rPr>
              <w:t>3. У випадку, передбаченому частиною другою цієї статті, проспект підписується особою, яка подає заявку про допуск цінних паперів до торгів на регульованому фондовому ринку (особою, яка здійснює управлінські функції в особі, що подає заявку про допуск цінних паперів до торгів на регульованому фондовому ринку, якщо такою особою є юридична особа).</w:t>
            </w:r>
          </w:p>
        </w:tc>
      </w:tr>
      <w:tr w:rsidR="00E43D33" w:rsidRPr="00286216" w14:paraId="735C6571" w14:textId="77777777" w:rsidTr="00091AA5">
        <w:tc>
          <w:tcPr>
            <w:tcW w:w="576" w:type="dxa"/>
          </w:tcPr>
          <w:p w14:paraId="5D0CB5BC" w14:textId="77777777" w:rsidR="00E43D33" w:rsidRPr="00286216" w:rsidRDefault="00E43D33" w:rsidP="00E43D33">
            <w:pPr>
              <w:pStyle w:val="StyleWisnow"/>
              <w:rPr>
                <w:color w:val="000000" w:themeColor="text1"/>
              </w:rPr>
            </w:pPr>
            <w:bookmarkStart w:id="1468" w:name="n1722" w:colFirst="0" w:colLast="0"/>
            <w:bookmarkEnd w:id="1467"/>
            <w:r w:rsidRPr="00286216">
              <w:rPr>
                <w:color w:val="000000" w:themeColor="text1"/>
              </w:rPr>
              <w:t>1722.</w:t>
            </w:r>
          </w:p>
        </w:tc>
        <w:tc>
          <w:tcPr>
            <w:tcW w:w="4818" w:type="dxa"/>
          </w:tcPr>
          <w:p w14:paraId="4BA4CFE7" w14:textId="77777777" w:rsidR="00E43D33" w:rsidRPr="00286216" w:rsidRDefault="00E43D33" w:rsidP="00E43D33">
            <w:pPr>
              <w:pStyle w:val="StyleZakonu"/>
              <w:rPr>
                <w:color w:val="000000" w:themeColor="text1"/>
              </w:rPr>
            </w:pPr>
            <w:r w:rsidRPr="00286216">
              <w:rPr>
                <w:color w:val="000000" w:themeColor="text1"/>
              </w:rPr>
              <w:t>За включення до проспекту недостовірних та/або оманливих відомостей особа, яка подає заявку про допуск цінних паперів до торгів на регульованому фондовому ринку, несе відповідальність, визначену законом.</w:t>
            </w:r>
          </w:p>
        </w:tc>
        <w:tc>
          <w:tcPr>
            <w:tcW w:w="3686" w:type="dxa"/>
          </w:tcPr>
          <w:p w14:paraId="0CC8AC42" w14:textId="77777777" w:rsidR="00E43D33" w:rsidRPr="00286216" w:rsidRDefault="00E43D33" w:rsidP="00E43D33">
            <w:pPr>
              <w:pStyle w:val="StyleProp"/>
              <w:rPr>
                <w:color w:val="000000" w:themeColor="text1"/>
                <w:szCs w:val="18"/>
              </w:rPr>
            </w:pPr>
          </w:p>
        </w:tc>
        <w:tc>
          <w:tcPr>
            <w:tcW w:w="1987" w:type="dxa"/>
          </w:tcPr>
          <w:p w14:paraId="09852391" w14:textId="77777777" w:rsidR="00E43D33" w:rsidRPr="00286216" w:rsidRDefault="00E43D33" w:rsidP="00E43D33">
            <w:pPr>
              <w:pStyle w:val="StyleWisnow"/>
              <w:rPr>
                <w:color w:val="000000" w:themeColor="text1"/>
              </w:rPr>
            </w:pPr>
          </w:p>
        </w:tc>
        <w:tc>
          <w:tcPr>
            <w:tcW w:w="4818" w:type="dxa"/>
          </w:tcPr>
          <w:p w14:paraId="53B21F02" w14:textId="4B3358FD" w:rsidR="00E43D33" w:rsidRPr="00286216" w:rsidRDefault="00E43D33" w:rsidP="00E43D33">
            <w:pPr>
              <w:pStyle w:val="StyleZakonu"/>
              <w:rPr>
                <w:color w:val="000000" w:themeColor="text1"/>
              </w:rPr>
            </w:pPr>
            <w:r w:rsidRPr="00286216">
              <w:rPr>
                <w:color w:val="000000" w:themeColor="text1"/>
              </w:rPr>
              <w:t>За включення до проспекту недостовірних відомостей або таких, що можуть ввести в оману, особа, яка подає заявку про допуск цінних паперів до торгів на регульованому фондовому ринку, несе відповідальність, визначену законом.</w:t>
            </w:r>
          </w:p>
        </w:tc>
      </w:tr>
      <w:tr w:rsidR="00E43D33" w:rsidRPr="00286216" w14:paraId="7F1FB647" w14:textId="77777777" w:rsidTr="00091AA5">
        <w:tc>
          <w:tcPr>
            <w:tcW w:w="576" w:type="dxa"/>
          </w:tcPr>
          <w:p w14:paraId="3AAC9876" w14:textId="77777777" w:rsidR="00E43D33" w:rsidRPr="00286216" w:rsidRDefault="00E43D33" w:rsidP="00E43D33">
            <w:pPr>
              <w:pStyle w:val="StyleWisnow"/>
              <w:rPr>
                <w:color w:val="000000" w:themeColor="text1"/>
              </w:rPr>
            </w:pPr>
            <w:bookmarkStart w:id="1469" w:name="n1723" w:colFirst="0" w:colLast="0"/>
            <w:bookmarkEnd w:id="1468"/>
            <w:r w:rsidRPr="00286216">
              <w:rPr>
                <w:color w:val="000000" w:themeColor="text1"/>
              </w:rPr>
              <w:t>1723.</w:t>
            </w:r>
          </w:p>
        </w:tc>
        <w:tc>
          <w:tcPr>
            <w:tcW w:w="4818" w:type="dxa"/>
          </w:tcPr>
          <w:p w14:paraId="0A61BCD0" w14:textId="77777777" w:rsidR="00E43D33" w:rsidRPr="00286216" w:rsidRDefault="00E43D33" w:rsidP="00E43D33">
            <w:pPr>
              <w:pStyle w:val="StyleZakonu"/>
              <w:rPr>
                <w:color w:val="000000" w:themeColor="text1"/>
              </w:rPr>
            </w:pPr>
            <w:r w:rsidRPr="00286216">
              <w:rPr>
                <w:color w:val="000000" w:themeColor="text1"/>
              </w:rPr>
              <w:t>4.Проспект при допуску цінних паперів до торгів на регульованому фондовому ринку затверджується Національною комісією з цінних паперів та фондового ринку в строки, встановлені частиною другою статті 95 та з урахуванням положень частини третьої статті 95 цього Закону.</w:t>
            </w:r>
          </w:p>
        </w:tc>
        <w:tc>
          <w:tcPr>
            <w:tcW w:w="3686" w:type="dxa"/>
          </w:tcPr>
          <w:p w14:paraId="62953826" w14:textId="77777777" w:rsidR="00E43D33" w:rsidRPr="00286216" w:rsidRDefault="00E43D33" w:rsidP="00E43D33">
            <w:pPr>
              <w:pStyle w:val="StyleProp"/>
              <w:rPr>
                <w:color w:val="000000" w:themeColor="text1"/>
                <w:szCs w:val="18"/>
              </w:rPr>
            </w:pPr>
          </w:p>
        </w:tc>
        <w:tc>
          <w:tcPr>
            <w:tcW w:w="1987" w:type="dxa"/>
          </w:tcPr>
          <w:p w14:paraId="1197F9AD" w14:textId="77777777" w:rsidR="00E43D33" w:rsidRPr="00286216" w:rsidRDefault="00E43D33" w:rsidP="00E43D33">
            <w:pPr>
              <w:pStyle w:val="StyleWisnow"/>
              <w:rPr>
                <w:color w:val="000000" w:themeColor="text1"/>
              </w:rPr>
            </w:pPr>
          </w:p>
        </w:tc>
        <w:tc>
          <w:tcPr>
            <w:tcW w:w="4818" w:type="dxa"/>
          </w:tcPr>
          <w:p w14:paraId="0E521C98" w14:textId="2084210C" w:rsidR="00E43D33" w:rsidRPr="00286216" w:rsidRDefault="00E43D33" w:rsidP="00E43D33">
            <w:pPr>
              <w:pStyle w:val="StyleZakonu"/>
              <w:rPr>
                <w:color w:val="000000" w:themeColor="text1"/>
              </w:rPr>
            </w:pPr>
            <w:r w:rsidRPr="00286216">
              <w:rPr>
                <w:color w:val="000000" w:themeColor="text1"/>
              </w:rPr>
              <w:t>4. У разі здійснення допуску цінних паперів до торгів на регульованому фондовому ринку проспект затверджується Національною комісією з цінних паперів та фондового ринку у строки, встановлені частиною другою, з урахуванням положень частини третьої статті 99 цього Закону.</w:t>
            </w:r>
          </w:p>
        </w:tc>
      </w:tr>
      <w:tr w:rsidR="00E43D33" w:rsidRPr="00286216" w14:paraId="3F885875" w14:textId="77777777" w:rsidTr="00091AA5">
        <w:tc>
          <w:tcPr>
            <w:tcW w:w="576" w:type="dxa"/>
          </w:tcPr>
          <w:p w14:paraId="7EA0B16F" w14:textId="77777777" w:rsidR="00E43D33" w:rsidRPr="00286216" w:rsidRDefault="00E43D33" w:rsidP="00E43D33">
            <w:pPr>
              <w:pStyle w:val="StyleWisnow"/>
              <w:rPr>
                <w:color w:val="000000" w:themeColor="text1"/>
              </w:rPr>
            </w:pPr>
            <w:bookmarkStart w:id="1470" w:name="n1724" w:colFirst="0" w:colLast="0"/>
            <w:bookmarkEnd w:id="1469"/>
            <w:r w:rsidRPr="00286216">
              <w:rPr>
                <w:color w:val="000000" w:themeColor="text1"/>
              </w:rPr>
              <w:t>1724.</w:t>
            </w:r>
          </w:p>
        </w:tc>
        <w:tc>
          <w:tcPr>
            <w:tcW w:w="4818" w:type="dxa"/>
          </w:tcPr>
          <w:p w14:paraId="75C3E209" w14:textId="77777777" w:rsidR="00E43D33" w:rsidRPr="00286216" w:rsidRDefault="00E43D33" w:rsidP="00E43D33">
            <w:pPr>
              <w:pStyle w:val="StyleZakonu"/>
              <w:rPr>
                <w:color w:val="000000" w:themeColor="text1"/>
              </w:rPr>
            </w:pPr>
            <w:r w:rsidRPr="00286216">
              <w:rPr>
                <w:color w:val="000000" w:themeColor="text1"/>
              </w:rPr>
              <w:t xml:space="preserve">5.Після затвердження проспекту Національною комісією з цінних паперів та фондового ринку, він має </w:t>
            </w:r>
            <w:r w:rsidRPr="00286216">
              <w:rPr>
                <w:color w:val="000000" w:themeColor="text1"/>
              </w:rPr>
              <w:lastRenderedPageBreak/>
              <w:t>бути оприлюднений особою, яка подає заявку про допуск цінних паперів до торгів на регульованому фондовому ринку, протягом двох робочих днів та не пізніше останнього робочого дня, що передує даті початку торгів такими цінними паперами на регульованому фондовому ринку.</w:t>
            </w:r>
          </w:p>
        </w:tc>
        <w:tc>
          <w:tcPr>
            <w:tcW w:w="3686" w:type="dxa"/>
          </w:tcPr>
          <w:p w14:paraId="76C37711" w14:textId="77777777" w:rsidR="00E43D33" w:rsidRPr="00286216" w:rsidRDefault="00E43D33" w:rsidP="00E43D33">
            <w:pPr>
              <w:pStyle w:val="StyleProp"/>
              <w:rPr>
                <w:color w:val="000000" w:themeColor="text1"/>
                <w:szCs w:val="18"/>
              </w:rPr>
            </w:pPr>
          </w:p>
        </w:tc>
        <w:tc>
          <w:tcPr>
            <w:tcW w:w="1987" w:type="dxa"/>
          </w:tcPr>
          <w:p w14:paraId="43BBB47F" w14:textId="77777777" w:rsidR="00E43D33" w:rsidRPr="00286216" w:rsidRDefault="00E43D33" w:rsidP="00E43D33">
            <w:pPr>
              <w:pStyle w:val="StyleWisnow"/>
              <w:rPr>
                <w:color w:val="000000" w:themeColor="text1"/>
              </w:rPr>
            </w:pPr>
          </w:p>
        </w:tc>
        <w:tc>
          <w:tcPr>
            <w:tcW w:w="4818" w:type="dxa"/>
          </w:tcPr>
          <w:p w14:paraId="13084694" w14:textId="4DC41D1B" w:rsidR="00E43D33" w:rsidRPr="00286216" w:rsidRDefault="00E43D33" w:rsidP="00E43D33">
            <w:pPr>
              <w:pStyle w:val="StyleZakonu"/>
              <w:rPr>
                <w:color w:val="000000" w:themeColor="text1"/>
              </w:rPr>
            </w:pPr>
            <w:r w:rsidRPr="00286216">
              <w:rPr>
                <w:color w:val="000000" w:themeColor="text1"/>
              </w:rPr>
              <w:t xml:space="preserve">5. Після затвердження Національною комісією з цінних паперів та фондового ринку проспект </w:t>
            </w:r>
            <w:r w:rsidRPr="00286216">
              <w:rPr>
                <w:color w:val="000000" w:themeColor="text1"/>
              </w:rPr>
              <w:lastRenderedPageBreak/>
              <w:t>оприлюднюється особою, яка подає заявку про допуск цінних паперів до торгів на регульованому фондовому ринку, протягом двох робочих днів, але не пізніше останнього робочого дня, що передує даті початку торгів такими цінними паперами на регульованому фондовому ринку.</w:t>
            </w:r>
          </w:p>
        </w:tc>
      </w:tr>
      <w:tr w:rsidR="00E43D33" w:rsidRPr="00286216" w14:paraId="56B3784C" w14:textId="77777777" w:rsidTr="00091AA5">
        <w:tc>
          <w:tcPr>
            <w:tcW w:w="576" w:type="dxa"/>
          </w:tcPr>
          <w:p w14:paraId="6CB65F49" w14:textId="77777777" w:rsidR="00E43D33" w:rsidRPr="00286216" w:rsidRDefault="00E43D33" w:rsidP="00E43D33">
            <w:pPr>
              <w:pStyle w:val="StyleWisnow"/>
              <w:rPr>
                <w:color w:val="000000" w:themeColor="text1"/>
              </w:rPr>
            </w:pPr>
            <w:bookmarkStart w:id="1471" w:name="n1725" w:colFirst="0" w:colLast="0"/>
            <w:bookmarkEnd w:id="1470"/>
            <w:r w:rsidRPr="00286216">
              <w:rPr>
                <w:color w:val="000000" w:themeColor="text1"/>
              </w:rPr>
              <w:lastRenderedPageBreak/>
              <w:t>1725.</w:t>
            </w:r>
          </w:p>
        </w:tc>
        <w:tc>
          <w:tcPr>
            <w:tcW w:w="4818" w:type="dxa"/>
          </w:tcPr>
          <w:p w14:paraId="2B726B1B" w14:textId="77777777" w:rsidR="00E43D33" w:rsidRPr="00286216" w:rsidRDefault="00E43D33" w:rsidP="00E43D33">
            <w:pPr>
              <w:pStyle w:val="StyleZakonu"/>
              <w:rPr>
                <w:color w:val="000000" w:themeColor="text1"/>
              </w:rPr>
            </w:pPr>
            <w:r w:rsidRPr="00286216">
              <w:rPr>
                <w:color w:val="000000" w:themeColor="text1"/>
              </w:rPr>
              <w:t>У разі якщо емітент та/або оферент не здійснював публічну пропозицію таких цінних паперів проспект має бути оприлюднений не пізніше ніж за п’ять робочих днів до дати початку торгів такими цінними паперами на регульованому фондовому ринку.</w:t>
            </w:r>
          </w:p>
        </w:tc>
        <w:tc>
          <w:tcPr>
            <w:tcW w:w="3686" w:type="dxa"/>
          </w:tcPr>
          <w:p w14:paraId="5F83C0C0" w14:textId="77777777" w:rsidR="00E43D33" w:rsidRPr="00286216" w:rsidRDefault="00E43D33" w:rsidP="00E43D33">
            <w:pPr>
              <w:pStyle w:val="StyleProp"/>
              <w:rPr>
                <w:color w:val="000000" w:themeColor="text1"/>
                <w:szCs w:val="18"/>
              </w:rPr>
            </w:pPr>
          </w:p>
        </w:tc>
        <w:tc>
          <w:tcPr>
            <w:tcW w:w="1987" w:type="dxa"/>
          </w:tcPr>
          <w:p w14:paraId="5C866CB3" w14:textId="77777777" w:rsidR="00E43D33" w:rsidRPr="00286216" w:rsidRDefault="00E43D33" w:rsidP="00E43D33">
            <w:pPr>
              <w:pStyle w:val="StyleWisnow"/>
              <w:rPr>
                <w:color w:val="000000" w:themeColor="text1"/>
              </w:rPr>
            </w:pPr>
          </w:p>
        </w:tc>
        <w:tc>
          <w:tcPr>
            <w:tcW w:w="4818" w:type="dxa"/>
          </w:tcPr>
          <w:p w14:paraId="2C04FEE6" w14:textId="6ED2BAA7" w:rsidR="00E43D33" w:rsidRPr="00286216" w:rsidRDefault="00E43D33" w:rsidP="00E43D33">
            <w:pPr>
              <w:pStyle w:val="StyleZakonu"/>
              <w:rPr>
                <w:color w:val="000000" w:themeColor="text1"/>
              </w:rPr>
            </w:pPr>
            <w:r w:rsidRPr="00286216">
              <w:rPr>
                <w:color w:val="000000" w:themeColor="text1"/>
              </w:rPr>
              <w:t>У разі якщо емітент та/або оферент не здійснював публічну пропозицію таких цінних паперів проспект має бути оприлюднений не пізніше ніж за п’ять робочих днів до дати початку торгів такими цінними паперами на регульованому фондовому ринку.</w:t>
            </w:r>
          </w:p>
        </w:tc>
      </w:tr>
      <w:tr w:rsidR="00E43D33" w:rsidRPr="00286216" w14:paraId="2B346C83" w14:textId="77777777" w:rsidTr="00091AA5">
        <w:tc>
          <w:tcPr>
            <w:tcW w:w="576" w:type="dxa"/>
          </w:tcPr>
          <w:p w14:paraId="3E1AE509" w14:textId="77777777" w:rsidR="00E43D33" w:rsidRPr="00286216" w:rsidRDefault="00E43D33" w:rsidP="00E43D33">
            <w:pPr>
              <w:pStyle w:val="StyleWisnow"/>
              <w:rPr>
                <w:color w:val="000000" w:themeColor="text1"/>
              </w:rPr>
            </w:pPr>
            <w:bookmarkStart w:id="1472" w:name="n1726" w:colFirst="0" w:colLast="0"/>
            <w:bookmarkEnd w:id="1471"/>
            <w:r w:rsidRPr="00286216">
              <w:rPr>
                <w:color w:val="000000" w:themeColor="text1"/>
              </w:rPr>
              <w:t>1726.</w:t>
            </w:r>
          </w:p>
        </w:tc>
        <w:tc>
          <w:tcPr>
            <w:tcW w:w="4818" w:type="dxa"/>
          </w:tcPr>
          <w:p w14:paraId="28D1538D" w14:textId="77777777" w:rsidR="00E43D33" w:rsidRPr="00286216" w:rsidRDefault="00E43D33" w:rsidP="00E43D33">
            <w:pPr>
              <w:pStyle w:val="StyleZakonu"/>
              <w:rPr>
                <w:color w:val="000000" w:themeColor="text1"/>
              </w:rPr>
            </w:pPr>
            <w:r w:rsidRPr="00286216">
              <w:rPr>
                <w:color w:val="000000" w:themeColor="text1"/>
              </w:rPr>
              <w:t>Оприлюднення проспекту особою, яка подає заявку про допуск цінних паперів до торгів на регульованому фондовому ринку, у порядку, встановленому частиною другою статті 98 цього Закону.</w:t>
            </w:r>
          </w:p>
        </w:tc>
        <w:tc>
          <w:tcPr>
            <w:tcW w:w="3686" w:type="dxa"/>
          </w:tcPr>
          <w:p w14:paraId="017F146E" w14:textId="77777777" w:rsidR="00E43D33" w:rsidRPr="00286216" w:rsidRDefault="00E43D33" w:rsidP="00E43D33">
            <w:pPr>
              <w:pStyle w:val="StyleProp"/>
              <w:rPr>
                <w:color w:val="000000" w:themeColor="text1"/>
                <w:szCs w:val="18"/>
              </w:rPr>
            </w:pPr>
          </w:p>
        </w:tc>
        <w:tc>
          <w:tcPr>
            <w:tcW w:w="1987" w:type="dxa"/>
          </w:tcPr>
          <w:p w14:paraId="033F6907" w14:textId="77777777" w:rsidR="00E43D33" w:rsidRPr="00286216" w:rsidRDefault="00E43D33" w:rsidP="00E43D33">
            <w:pPr>
              <w:pStyle w:val="StyleWisnow"/>
              <w:rPr>
                <w:color w:val="000000" w:themeColor="text1"/>
              </w:rPr>
            </w:pPr>
          </w:p>
        </w:tc>
        <w:tc>
          <w:tcPr>
            <w:tcW w:w="4818" w:type="dxa"/>
          </w:tcPr>
          <w:p w14:paraId="32ACD357" w14:textId="793B39AB" w:rsidR="00E43D33" w:rsidRPr="00286216" w:rsidRDefault="00E43D33" w:rsidP="00E43D33">
            <w:pPr>
              <w:pStyle w:val="StyleZakonu"/>
              <w:rPr>
                <w:color w:val="000000" w:themeColor="text1"/>
              </w:rPr>
            </w:pPr>
            <w:r w:rsidRPr="00286216">
              <w:rPr>
                <w:color w:val="000000" w:themeColor="text1"/>
              </w:rPr>
              <w:t>Оприлюднення проспекту особою, яка подає заявку про допуск цінних паперів до торгів на регульованому фондовому ринку, здійснюється з урахуванням вимог, передбачених статтею</w:t>
            </w:r>
            <w:r w:rsidRPr="00286216">
              <w:rPr>
                <w:color w:val="000000" w:themeColor="text1"/>
                <w:lang w:val="ru-RU"/>
              </w:rPr>
              <w:t xml:space="preserve"> </w:t>
            </w:r>
            <w:r w:rsidRPr="00286216">
              <w:rPr>
                <w:color w:val="000000" w:themeColor="text1"/>
              </w:rPr>
              <w:t>102 цього Закону.</w:t>
            </w:r>
          </w:p>
        </w:tc>
      </w:tr>
      <w:tr w:rsidR="00E43D33" w:rsidRPr="00286216" w14:paraId="2B4A4858" w14:textId="77777777" w:rsidTr="00091AA5">
        <w:tc>
          <w:tcPr>
            <w:tcW w:w="576" w:type="dxa"/>
          </w:tcPr>
          <w:p w14:paraId="153395C0" w14:textId="77777777" w:rsidR="00E43D33" w:rsidRPr="00286216" w:rsidRDefault="00E43D33" w:rsidP="00E43D33">
            <w:pPr>
              <w:pStyle w:val="StyleWisnow"/>
              <w:rPr>
                <w:color w:val="000000" w:themeColor="text1"/>
              </w:rPr>
            </w:pPr>
            <w:bookmarkStart w:id="1473" w:name="n1727" w:colFirst="0" w:colLast="0"/>
            <w:bookmarkEnd w:id="1472"/>
            <w:r w:rsidRPr="00286216">
              <w:rPr>
                <w:color w:val="000000" w:themeColor="text1"/>
              </w:rPr>
              <w:t>1727.</w:t>
            </w:r>
          </w:p>
        </w:tc>
        <w:tc>
          <w:tcPr>
            <w:tcW w:w="4818" w:type="dxa"/>
          </w:tcPr>
          <w:p w14:paraId="7704B2C3" w14:textId="77777777" w:rsidR="00E43D33" w:rsidRPr="00286216" w:rsidRDefault="00E43D33" w:rsidP="00E43D33">
            <w:pPr>
              <w:pStyle w:val="StyleZakonu"/>
              <w:rPr>
                <w:color w:val="000000" w:themeColor="text1"/>
              </w:rPr>
            </w:pPr>
            <w:r w:rsidRPr="00286216">
              <w:rPr>
                <w:color w:val="000000" w:themeColor="text1"/>
              </w:rPr>
              <w:t>6. Паперова форма проспекту має бути надана особою, яка подає заявку про допуск цінних паперів до торгів на регульованому фондовому ринку, безкоштовно потенційному інвестору на його вимогу.</w:t>
            </w:r>
          </w:p>
        </w:tc>
        <w:tc>
          <w:tcPr>
            <w:tcW w:w="3686" w:type="dxa"/>
          </w:tcPr>
          <w:p w14:paraId="0A4ADA64" w14:textId="77777777" w:rsidR="00E43D33" w:rsidRPr="00286216" w:rsidRDefault="00E43D33" w:rsidP="00E43D33">
            <w:pPr>
              <w:pStyle w:val="StyleProp"/>
              <w:rPr>
                <w:color w:val="000000" w:themeColor="text1"/>
                <w:szCs w:val="18"/>
              </w:rPr>
            </w:pPr>
          </w:p>
        </w:tc>
        <w:tc>
          <w:tcPr>
            <w:tcW w:w="1987" w:type="dxa"/>
          </w:tcPr>
          <w:p w14:paraId="74A8EDA4" w14:textId="77777777" w:rsidR="00E43D33" w:rsidRPr="00286216" w:rsidRDefault="00E43D33" w:rsidP="00E43D33">
            <w:pPr>
              <w:pStyle w:val="StyleWisnow"/>
              <w:rPr>
                <w:color w:val="000000" w:themeColor="text1"/>
              </w:rPr>
            </w:pPr>
          </w:p>
        </w:tc>
        <w:tc>
          <w:tcPr>
            <w:tcW w:w="4818" w:type="dxa"/>
          </w:tcPr>
          <w:p w14:paraId="0FB19914" w14:textId="24E8F225" w:rsidR="00E43D33" w:rsidRPr="00286216" w:rsidRDefault="00E43D33" w:rsidP="00E43D33">
            <w:pPr>
              <w:pStyle w:val="StyleZakonu"/>
              <w:rPr>
                <w:color w:val="000000" w:themeColor="text1"/>
              </w:rPr>
            </w:pPr>
            <w:r w:rsidRPr="00286216">
              <w:rPr>
                <w:color w:val="000000" w:themeColor="text1"/>
              </w:rPr>
              <w:t>6. Паперова форма проспекту має бути надана особою, яка подає заявку про допуск цінних паперів до торгів на регульованому фондовому ринку, безкоштовно потенційному інвестору на його вимогу.</w:t>
            </w:r>
          </w:p>
        </w:tc>
      </w:tr>
      <w:tr w:rsidR="00E43D33" w:rsidRPr="00286216" w14:paraId="46BA6B09" w14:textId="77777777" w:rsidTr="00091AA5">
        <w:tc>
          <w:tcPr>
            <w:tcW w:w="576" w:type="dxa"/>
          </w:tcPr>
          <w:p w14:paraId="5BC614A9" w14:textId="77777777" w:rsidR="00E43D33" w:rsidRPr="00286216" w:rsidRDefault="00E43D33" w:rsidP="00E43D33">
            <w:pPr>
              <w:pStyle w:val="StyleWisnow"/>
              <w:rPr>
                <w:color w:val="000000" w:themeColor="text1"/>
              </w:rPr>
            </w:pPr>
            <w:bookmarkStart w:id="1474" w:name="n1728" w:colFirst="0" w:colLast="0"/>
            <w:bookmarkEnd w:id="1473"/>
            <w:r w:rsidRPr="00286216">
              <w:rPr>
                <w:color w:val="000000" w:themeColor="text1"/>
              </w:rPr>
              <w:t>1728.</w:t>
            </w:r>
          </w:p>
        </w:tc>
        <w:tc>
          <w:tcPr>
            <w:tcW w:w="4818" w:type="dxa"/>
          </w:tcPr>
          <w:p w14:paraId="5913762D" w14:textId="77777777" w:rsidR="00E43D33" w:rsidRPr="00286216" w:rsidRDefault="00E43D33" w:rsidP="00E43D33">
            <w:pPr>
              <w:pStyle w:val="StyleZakonu"/>
              <w:rPr>
                <w:color w:val="000000" w:themeColor="text1"/>
              </w:rPr>
            </w:pPr>
            <w:r w:rsidRPr="00286216">
              <w:rPr>
                <w:color w:val="000000" w:themeColor="text1"/>
              </w:rPr>
              <w:t>Оприлюднені текст та формат проспекту та/або додатки до проспекту, повинні бути завжди тотожними з оригінальною версією, затвердженою Національною комісією з цінних паперів та фондового ринку.</w:t>
            </w:r>
          </w:p>
        </w:tc>
        <w:tc>
          <w:tcPr>
            <w:tcW w:w="3686" w:type="dxa"/>
          </w:tcPr>
          <w:p w14:paraId="5AA993EF" w14:textId="77777777" w:rsidR="00E43D33" w:rsidRPr="00286216" w:rsidRDefault="00E43D33" w:rsidP="00E43D33">
            <w:pPr>
              <w:pStyle w:val="StyleProp"/>
              <w:rPr>
                <w:color w:val="000000" w:themeColor="text1"/>
                <w:szCs w:val="18"/>
              </w:rPr>
            </w:pPr>
          </w:p>
        </w:tc>
        <w:tc>
          <w:tcPr>
            <w:tcW w:w="1987" w:type="dxa"/>
          </w:tcPr>
          <w:p w14:paraId="369D0DC5" w14:textId="77777777" w:rsidR="00E43D33" w:rsidRPr="00286216" w:rsidRDefault="00E43D33" w:rsidP="00E43D33">
            <w:pPr>
              <w:pStyle w:val="StyleWisnow"/>
              <w:rPr>
                <w:color w:val="000000" w:themeColor="text1"/>
              </w:rPr>
            </w:pPr>
          </w:p>
        </w:tc>
        <w:tc>
          <w:tcPr>
            <w:tcW w:w="4818" w:type="dxa"/>
          </w:tcPr>
          <w:p w14:paraId="4225FF28" w14:textId="2A580840" w:rsidR="00E43D33" w:rsidRPr="00286216" w:rsidRDefault="00E43D33" w:rsidP="00E43D33">
            <w:pPr>
              <w:pStyle w:val="StyleZakonu"/>
              <w:rPr>
                <w:color w:val="000000" w:themeColor="text1"/>
              </w:rPr>
            </w:pPr>
            <w:r w:rsidRPr="00286216">
              <w:rPr>
                <w:color w:val="000000" w:themeColor="text1"/>
              </w:rPr>
              <w:t>Оприлюднені текст та формат проспекту та/або додатки до проспекту повинні бути тотожними з оригінальною версією, затвердженою Національною комісією з цінних паперів та фондового ринку.</w:t>
            </w:r>
          </w:p>
        </w:tc>
      </w:tr>
      <w:tr w:rsidR="00E43D33" w:rsidRPr="00286216" w14:paraId="1841F30F" w14:textId="77777777" w:rsidTr="00091AA5">
        <w:tc>
          <w:tcPr>
            <w:tcW w:w="576" w:type="dxa"/>
          </w:tcPr>
          <w:p w14:paraId="78A91960" w14:textId="77777777" w:rsidR="00E43D33" w:rsidRPr="00286216" w:rsidRDefault="00E43D33" w:rsidP="00E43D33">
            <w:pPr>
              <w:pStyle w:val="StyleWisnow"/>
              <w:rPr>
                <w:color w:val="000000" w:themeColor="text1"/>
              </w:rPr>
            </w:pPr>
            <w:bookmarkStart w:id="1475" w:name="n1729" w:colFirst="0" w:colLast="0"/>
            <w:bookmarkEnd w:id="1474"/>
            <w:r w:rsidRPr="00286216">
              <w:rPr>
                <w:color w:val="000000" w:themeColor="text1"/>
              </w:rPr>
              <w:t>1729.</w:t>
            </w:r>
          </w:p>
        </w:tc>
        <w:tc>
          <w:tcPr>
            <w:tcW w:w="4818" w:type="dxa"/>
          </w:tcPr>
          <w:p w14:paraId="0A3F614D" w14:textId="77777777" w:rsidR="00E43D33" w:rsidRPr="00286216" w:rsidRDefault="00E43D33" w:rsidP="00E43D33">
            <w:pPr>
              <w:pStyle w:val="StyleZakonu"/>
              <w:rPr>
                <w:color w:val="000000" w:themeColor="text1"/>
              </w:rPr>
            </w:pPr>
            <w:r w:rsidRPr="00286216">
              <w:rPr>
                <w:color w:val="000000" w:themeColor="text1"/>
              </w:rPr>
              <w:t>Особа, яка подає заявку про допуск цінних паперів до торгів на регульованому фондовому ринку, зобов’язана також оприлюднити відповідно до порядку, встановленого частиною п’ятою цієї статті, повідомлення про те, яким чином було оприлюднено проспект і де з ним можна 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c>
          <w:tcPr>
            <w:tcW w:w="3686" w:type="dxa"/>
          </w:tcPr>
          <w:p w14:paraId="3C849054" w14:textId="77777777" w:rsidR="00E43D33" w:rsidRPr="00286216" w:rsidRDefault="00E43D33" w:rsidP="00E43D33">
            <w:pPr>
              <w:pStyle w:val="StyleProp"/>
              <w:rPr>
                <w:color w:val="000000" w:themeColor="text1"/>
                <w:szCs w:val="18"/>
              </w:rPr>
            </w:pPr>
          </w:p>
        </w:tc>
        <w:tc>
          <w:tcPr>
            <w:tcW w:w="1987" w:type="dxa"/>
          </w:tcPr>
          <w:p w14:paraId="44A1B9B0" w14:textId="77777777" w:rsidR="00E43D33" w:rsidRPr="00286216" w:rsidRDefault="00E43D33" w:rsidP="00E43D33">
            <w:pPr>
              <w:pStyle w:val="StyleWisnow"/>
              <w:rPr>
                <w:color w:val="000000" w:themeColor="text1"/>
              </w:rPr>
            </w:pPr>
          </w:p>
        </w:tc>
        <w:tc>
          <w:tcPr>
            <w:tcW w:w="4818" w:type="dxa"/>
          </w:tcPr>
          <w:p w14:paraId="0B5D603E" w14:textId="7A31EDFA" w:rsidR="00E43D33" w:rsidRPr="00286216" w:rsidRDefault="00E43D33" w:rsidP="00E43D33">
            <w:pPr>
              <w:pStyle w:val="StyleZakonu"/>
              <w:rPr>
                <w:color w:val="000000" w:themeColor="text1"/>
              </w:rPr>
            </w:pPr>
            <w:r w:rsidRPr="00286216">
              <w:rPr>
                <w:color w:val="000000" w:themeColor="text1"/>
              </w:rPr>
              <w:t>Особа, яка подає заявку про допуск цінних паперів до торгів на регульованому фондовому ринку, зобов’язана також оприлюднити відповідно до порядку, встановленого частиною п’ятою цієї статті, повідомлення про те, яким чином було оприлюднено проспект і де з ним можна ознайомитися потенційним інвесторам. Вимоги до змісту такого повідомлення встановлюються Національною комісією з цінних паперів та фондового ринку.</w:t>
            </w:r>
          </w:p>
        </w:tc>
      </w:tr>
      <w:tr w:rsidR="00E43D33" w:rsidRPr="00286216" w14:paraId="7E68A1B8" w14:textId="77777777" w:rsidTr="00091AA5">
        <w:tc>
          <w:tcPr>
            <w:tcW w:w="576" w:type="dxa"/>
          </w:tcPr>
          <w:p w14:paraId="35163355" w14:textId="77777777" w:rsidR="00E43D33" w:rsidRPr="00286216" w:rsidRDefault="00E43D33" w:rsidP="00E43D33">
            <w:pPr>
              <w:pStyle w:val="StyleWisnow"/>
              <w:rPr>
                <w:color w:val="000000" w:themeColor="text1"/>
              </w:rPr>
            </w:pPr>
            <w:bookmarkStart w:id="1476" w:name="n1730" w:colFirst="0" w:colLast="0"/>
            <w:bookmarkEnd w:id="1475"/>
            <w:r w:rsidRPr="00286216">
              <w:rPr>
                <w:color w:val="000000" w:themeColor="text1"/>
              </w:rPr>
              <w:t>1730.</w:t>
            </w:r>
          </w:p>
        </w:tc>
        <w:tc>
          <w:tcPr>
            <w:tcW w:w="4818" w:type="dxa"/>
          </w:tcPr>
          <w:p w14:paraId="2FBC1627" w14:textId="77777777" w:rsidR="00E43D33" w:rsidRPr="00286216" w:rsidRDefault="00E43D33" w:rsidP="00E43D33">
            <w:pPr>
              <w:pStyle w:val="StyleZakonu"/>
              <w:rPr>
                <w:color w:val="000000" w:themeColor="text1"/>
              </w:rPr>
            </w:pPr>
            <w:r w:rsidRPr="00286216">
              <w:rPr>
                <w:color w:val="000000" w:themeColor="text1"/>
              </w:rPr>
              <w:t>7. Зміни або доповнення до проспекту оформлюються особою, яка подає заявку про допуск цінних паперів до торгів на регульованому фондовому ринку, в порядку встановленому статтею 96 цього Закону.</w:t>
            </w:r>
          </w:p>
        </w:tc>
        <w:tc>
          <w:tcPr>
            <w:tcW w:w="3686" w:type="dxa"/>
          </w:tcPr>
          <w:p w14:paraId="5DAA9A93" w14:textId="77777777" w:rsidR="00E43D33" w:rsidRPr="00286216" w:rsidRDefault="00E43D33" w:rsidP="00E43D33">
            <w:pPr>
              <w:pStyle w:val="StyleProp"/>
              <w:rPr>
                <w:color w:val="000000" w:themeColor="text1"/>
                <w:szCs w:val="18"/>
              </w:rPr>
            </w:pPr>
          </w:p>
        </w:tc>
        <w:tc>
          <w:tcPr>
            <w:tcW w:w="1987" w:type="dxa"/>
          </w:tcPr>
          <w:p w14:paraId="74F8F362" w14:textId="77777777" w:rsidR="00E43D33" w:rsidRPr="00286216" w:rsidRDefault="00E43D33" w:rsidP="00E43D33">
            <w:pPr>
              <w:pStyle w:val="StyleWisnow"/>
              <w:rPr>
                <w:color w:val="000000" w:themeColor="text1"/>
              </w:rPr>
            </w:pPr>
          </w:p>
        </w:tc>
        <w:tc>
          <w:tcPr>
            <w:tcW w:w="4818" w:type="dxa"/>
          </w:tcPr>
          <w:p w14:paraId="0D9DEBB8" w14:textId="16B83047" w:rsidR="00E43D33" w:rsidRPr="00286216" w:rsidRDefault="00E43D33" w:rsidP="00E43D33">
            <w:pPr>
              <w:pStyle w:val="StyleZakonu"/>
              <w:rPr>
                <w:color w:val="000000" w:themeColor="text1"/>
              </w:rPr>
            </w:pPr>
            <w:r w:rsidRPr="00286216">
              <w:rPr>
                <w:color w:val="000000" w:themeColor="text1"/>
              </w:rPr>
              <w:t>7. Зміни або доповнення до проспекту оформлюються особою, яка подає заявку про допуск цінних паперів до торгів на регульованому фондовому ринку, в порядку, встановленому статтею 100 цього Закону.</w:t>
            </w:r>
          </w:p>
        </w:tc>
      </w:tr>
      <w:tr w:rsidR="00E43D33" w:rsidRPr="00286216" w14:paraId="3F557494" w14:textId="77777777" w:rsidTr="00091AA5">
        <w:tc>
          <w:tcPr>
            <w:tcW w:w="576" w:type="dxa"/>
          </w:tcPr>
          <w:p w14:paraId="0F1112AC" w14:textId="77777777" w:rsidR="00E43D33" w:rsidRPr="00286216" w:rsidRDefault="00E43D33" w:rsidP="00E43D33">
            <w:pPr>
              <w:pStyle w:val="StyleWisnow"/>
              <w:rPr>
                <w:color w:val="000000" w:themeColor="text1"/>
              </w:rPr>
            </w:pPr>
            <w:bookmarkStart w:id="1477" w:name="n1731" w:colFirst="0" w:colLast="0"/>
            <w:bookmarkEnd w:id="1476"/>
            <w:r w:rsidRPr="00286216">
              <w:rPr>
                <w:color w:val="000000" w:themeColor="text1"/>
              </w:rPr>
              <w:t>1731.</w:t>
            </w:r>
          </w:p>
        </w:tc>
        <w:tc>
          <w:tcPr>
            <w:tcW w:w="4818" w:type="dxa"/>
          </w:tcPr>
          <w:p w14:paraId="1D0609A8" w14:textId="77777777" w:rsidR="00E43D33" w:rsidRPr="00286216" w:rsidRDefault="00E43D33" w:rsidP="00E43D33">
            <w:pPr>
              <w:pStyle w:val="StyleZakonu"/>
              <w:rPr>
                <w:color w:val="000000" w:themeColor="text1"/>
              </w:rPr>
            </w:pPr>
            <w:r w:rsidRPr="00286216">
              <w:rPr>
                <w:color w:val="000000" w:themeColor="text1"/>
              </w:rPr>
              <w:t>Стаття 103. Емісія окремих видів цінних паперів</w:t>
            </w:r>
          </w:p>
        </w:tc>
        <w:tc>
          <w:tcPr>
            <w:tcW w:w="3686" w:type="dxa"/>
          </w:tcPr>
          <w:p w14:paraId="0BAD3C37" w14:textId="77777777" w:rsidR="00E43D33" w:rsidRPr="00286216" w:rsidRDefault="00E43D33" w:rsidP="00E43D33">
            <w:pPr>
              <w:pStyle w:val="StyleProp"/>
              <w:rPr>
                <w:color w:val="000000" w:themeColor="text1"/>
                <w:szCs w:val="18"/>
              </w:rPr>
            </w:pPr>
          </w:p>
        </w:tc>
        <w:tc>
          <w:tcPr>
            <w:tcW w:w="1987" w:type="dxa"/>
          </w:tcPr>
          <w:p w14:paraId="0FEBB6B7" w14:textId="77777777" w:rsidR="00E43D33" w:rsidRPr="00286216" w:rsidRDefault="00E43D33" w:rsidP="00E43D33">
            <w:pPr>
              <w:pStyle w:val="StyleWisnow"/>
              <w:rPr>
                <w:color w:val="000000" w:themeColor="text1"/>
              </w:rPr>
            </w:pPr>
          </w:p>
        </w:tc>
        <w:tc>
          <w:tcPr>
            <w:tcW w:w="4818" w:type="dxa"/>
          </w:tcPr>
          <w:p w14:paraId="60CD4ED0" w14:textId="0F7A6659" w:rsidR="00E43D33" w:rsidRPr="00286216" w:rsidRDefault="00E43D33" w:rsidP="00E43D33">
            <w:pPr>
              <w:pStyle w:val="StyleZakonu"/>
              <w:rPr>
                <w:color w:val="000000" w:themeColor="text1"/>
              </w:rPr>
            </w:pPr>
            <w:r w:rsidRPr="00286216">
              <w:rPr>
                <w:color w:val="000000" w:themeColor="text1"/>
              </w:rPr>
              <w:t>Стаття 107. Емісія окремих видів цінних паперів</w:t>
            </w:r>
          </w:p>
        </w:tc>
      </w:tr>
      <w:tr w:rsidR="00E43D33" w:rsidRPr="00286216" w14:paraId="512BD933" w14:textId="77777777" w:rsidTr="00091AA5">
        <w:tc>
          <w:tcPr>
            <w:tcW w:w="576" w:type="dxa"/>
          </w:tcPr>
          <w:p w14:paraId="4C6624A3" w14:textId="77777777" w:rsidR="00E43D33" w:rsidRPr="00286216" w:rsidRDefault="00E43D33" w:rsidP="00E43D33">
            <w:pPr>
              <w:pStyle w:val="StyleWisnow"/>
              <w:rPr>
                <w:color w:val="000000" w:themeColor="text1"/>
              </w:rPr>
            </w:pPr>
            <w:bookmarkStart w:id="1478" w:name="n1732" w:colFirst="0" w:colLast="0"/>
            <w:bookmarkEnd w:id="1477"/>
            <w:r w:rsidRPr="00286216">
              <w:rPr>
                <w:color w:val="000000" w:themeColor="text1"/>
              </w:rPr>
              <w:t>1732.</w:t>
            </w:r>
          </w:p>
        </w:tc>
        <w:tc>
          <w:tcPr>
            <w:tcW w:w="4818" w:type="dxa"/>
          </w:tcPr>
          <w:p w14:paraId="05985703" w14:textId="77777777" w:rsidR="00E43D33" w:rsidRPr="00286216" w:rsidRDefault="00E43D33" w:rsidP="00E43D33">
            <w:pPr>
              <w:pStyle w:val="StyleZakonu"/>
              <w:rPr>
                <w:color w:val="000000" w:themeColor="text1"/>
              </w:rPr>
            </w:pPr>
            <w:r w:rsidRPr="00286216">
              <w:rPr>
                <w:color w:val="000000" w:themeColor="text1"/>
              </w:rPr>
              <w:t>1. Емісія, обіг та викуп цінних паперів інститутів спільного інвестування визначаються Законом України "Про інститути спільного інвестування".</w:t>
            </w:r>
          </w:p>
        </w:tc>
        <w:tc>
          <w:tcPr>
            <w:tcW w:w="3686" w:type="dxa"/>
          </w:tcPr>
          <w:p w14:paraId="404EC0BE" w14:textId="77777777" w:rsidR="00E43D33" w:rsidRPr="00286216" w:rsidRDefault="00E43D33" w:rsidP="00E43D33">
            <w:pPr>
              <w:pStyle w:val="StyleProp"/>
              <w:rPr>
                <w:color w:val="000000" w:themeColor="text1"/>
                <w:szCs w:val="18"/>
              </w:rPr>
            </w:pPr>
          </w:p>
        </w:tc>
        <w:tc>
          <w:tcPr>
            <w:tcW w:w="1987" w:type="dxa"/>
          </w:tcPr>
          <w:p w14:paraId="28450AC6" w14:textId="77777777" w:rsidR="00E43D33" w:rsidRPr="00286216" w:rsidRDefault="00E43D33" w:rsidP="00E43D33">
            <w:pPr>
              <w:pStyle w:val="StyleWisnow"/>
              <w:rPr>
                <w:color w:val="000000" w:themeColor="text1"/>
              </w:rPr>
            </w:pPr>
          </w:p>
        </w:tc>
        <w:tc>
          <w:tcPr>
            <w:tcW w:w="4818" w:type="dxa"/>
          </w:tcPr>
          <w:p w14:paraId="7BBB07EC" w14:textId="70FFFF1E" w:rsidR="00E43D33" w:rsidRPr="00286216" w:rsidRDefault="00E43D33" w:rsidP="00E43D33">
            <w:pPr>
              <w:pStyle w:val="StyleZakonu"/>
              <w:rPr>
                <w:color w:val="000000" w:themeColor="text1"/>
              </w:rPr>
            </w:pPr>
            <w:r w:rsidRPr="00286216">
              <w:rPr>
                <w:color w:val="000000" w:themeColor="text1"/>
              </w:rPr>
              <w:t>1. Емісія, обіг та викуп цінних паперів інститутів спільного інвестування визначаються Законом України "Про інститути спільного інвестування".</w:t>
            </w:r>
          </w:p>
        </w:tc>
      </w:tr>
      <w:tr w:rsidR="00E43D33" w:rsidRPr="00286216" w14:paraId="72540737" w14:textId="77777777" w:rsidTr="00091AA5">
        <w:tc>
          <w:tcPr>
            <w:tcW w:w="576" w:type="dxa"/>
          </w:tcPr>
          <w:p w14:paraId="1A386C18" w14:textId="77777777" w:rsidR="00E43D33" w:rsidRPr="00286216" w:rsidRDefault="00E43D33" w:rsidP="00E43D33">
            <w:pPr>
              <w:pStyle w:val="StyleWisnow"/>
              <w:rPr>
                <w:color w:val="000000" w:themeColor="text1"/>
              </w:rPr>
            </w:pPr>
            <w:bookmarkStart w:id="1479" w:name="n1733" w:colFirst="0" w:colLast="0"/>
            <w:bookmarkEnd w:id="1478"/>
            <w:r w:rsidRPr="00286216">
              <w:rPr>
                <w:color w:val="000000" w:themeColor="text1"/>
              </w:rPr>
              <w:lastRenderedPageBreak/>
              <w:t>1733.</w:t>
            </w:r>
          </w:p>
        </w:tc>
        <w:tc>
          <w:tcPr>
            <w:tcW w:w="4818" w:type="dxa"/>
          </w:tcPr>
          <w:p w14:paraId="0197A426" w14:textId="77777777" w:rsidR="00E43D33" w:rsidRPr="00286216" w:rsidRDefault="00E43D33" w:rsidP="00E43D33">
            <w:pPr>
              <w:pStyle w:val="StyleZakonu"/>
              <w:rPr>
                <w:color w:val="000000" w:themeColor="text1"/>
              </w:rPr>
            </w:pPr>
            <w:r w:rsidRPr="00286216">
              <w:rPr>
                <w:color w:val="000000" w:themeColor="text1"/>
              </w:rPr>
              <w:t>2. Вимоги цього розділу не застосовуються до емісії депозитних сертифікатів банків, державних облігацій України, казначейських зобов’язань та державних деривативних контрактів.</w:t>
            </w:r>
          </w:p>
        </w:tc>
        <w:tc>
          <w:tcPr>
            <w:tcW w:w="3686" w:type="dxa"/>
          </w:tcPr>
          <w:p w14:paraId="3180E799" w14:textId="04ABC539" w:rsidR="00E43D33" w:rsidRPr="00286216" w:rsidRDefault="00E43D33" w:rsidP="00E43D3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965</w:t>
            </w:r>
            <w:r w:rsidRPr="00286216">
              <w:rPr>
                <w:color w:val="000000" w:themeColor="text1"/>
                <w:szCs w:val="18"/>
              </w:rPr>
              <w:fldChar w:fldCharType="end"/>
            </w:r>
            <w:r w:rsidRPr="00286216">
              <w:rPr>
                <w:color w:val="000000" w:themeColor="text1"/>
                <w:spacing w:val="-6"/>
                <w:szCs w:val="18"/>
              </w:rPr>
              <w:t>-</w:t>
            </w:r>
            <w:r w:rsidRPr="00286216">
              <w:rPr>
                <w:color w:val="000000" w:themeColor="text1"/>
                <w:szCs w:val="18"/>
              </w:rPr>
              <w:t xml:space="preserve">Народні депутати України – члени </w:t>
            </w:r>
            <w:r w:rsidRPr="00286216">
              <w:rPr>
                <w:color w:val="000000" w:themeColor="text1"/>
                <w:spacing w:val="-2"/>
                <w:szCs w:val="18"/>
              </w:rPr>
              <w:t>Комітету з питань фінансів, податкової та митної політики</w:t>
            </w:r>
            <w:r w:rsidRPr="00286216">
              <w:rPr>
                <w:color w:val="000000" w:themeColor="text1"/>
                <w:szCs w:val="18"/>
              </w:rPr>
              <w:t xml:space="preserve"> Гетманцев Д.О. та інші</w:t>
            </w:r>
          </w:p>
          <w:p w14:paraId="3941AF5A" w14:textId="224123A1" w:rsidR="00E43D33" w:rsidRPr="00286216" w:rsidRDefault="00E43D33" w:rsidP="00E43D33">
            <w:pPr>
              <w:pStyle w:val="StyleProp"/>
              <w:spacing w:line="180" w:lineRule="exact"/>
              <w:rPr>
                <w:color w:val="000000" w:themeColor="text1"/>
                <w:szCs w:val="18"/>
              </w:rPr>
            </w:pPr>
            <w:r w:rsidRPr="00286216">
              <w:rPr>
                <w:color w:val="000000" w:themeColor="text1"/>
                <w:szCs w:val="18"/>
              </w:rPr>
              <w:t>У частині другій статті 103 слова «деривативних контрактів» замінити словами «деривативів».</w:t>
            </w:r>
          </w:p>
        </w:tc>
        <w:tc>
          <w:tcPr>
            <w:tcW w:w="1987" w:type="dxa"/>
          </w:tcPr>
          <w:p w14:paraId="7EDF2D8B" w14:textId="3BCF7E89" w:rsidR="00E43D33" w:rsidRPr="00286216" w:rsidRDefault="00E43D33" w:rsidP="00E43D33">
            <w:pPr>
              <w:pStyle w:val="StyleWisnow"/>
              <w:rPr>
                <w:color w:val="000000" w:themeColor="text1"/>
              </w:rPr>
            </w:pPr>
            <w:r w:rsidRPr="00286216">
              <w:rPr>
                <w:color w:val="000000" w:themeColor="text1"/>
              </w:rPr>
              <w:t>Враховано</w:t>
            </w:r>
          </w:p>
        </w:tc>
        <w:tc>
          <w:tcPr>
            <w:tcW w:w="4818" w:type="dxa"/>
          </w:tcPr>
          <w:p w14:paraId="52E33ACF" w14:textId="7F26D831" w:rsidR="00E43D33" w:rsidRPr="00286216" w:rsidRDefault="00E43D33" w:rsidP="00E43D33">
            <w:pPr>
              <w:pStyle w:val="StyleZakonu"/>
              <w:rPr>
                <w:color w:val="000000" w:themeColor="text1"/>
              </w:rPr>
            </w:pPr>
            <w:r w:rsidRPr="00286216">
              <w:rPr>
                <w:color w:val="000000" w:themeColor="text1"/>
              </w:rPr>
              <w:t>2. Вимоги цього розділу не застосовуються до емісії депозитних сертифікатів банків, державних облігацій України, казначейських зобов’язань та державних деривативів.</w:t>
            </w:r>
          </w:p>
        </w:tc>
      </w:tr>
      <w:tr w:rsidR="00E43D33" w:rsidRPr="00286216" w14:paraId="4C45E00D" w14:textId="77777777" w:rsidTr="00091AA5">
        <w:tc>
          <w:tcPr>
            <w:tcW w:w="576" w:type="dxa"/>
          </w:tcPr>
          <w:p w14:paraId="1CA5B807" w14:textId="77777777" w:rsidR="00E43D33" w:rsidRPr="00286216" w:rsidRDefault="00E43D33" w:rsidP="00E43D33">
            <w:pPr>
              <w:pStyle w:val="StyleWisnow"/>
              <w:rPr>
                <w:color w:val="000000" w:themeColor="text1"/>
              </w:rPr>
            </w:pPr>
            <w:bookmarkStart w:id="1480" w:name="n1734" w:colFirst="0" w:colLast="0"/>
            <w:bookmarkEnd w:id="1479"/>
            <w:r w:rsidRPr="00286216">
              <w:rPr>
                <w:color w:val="000000" w:themeColor="text1"/>
              </w:rPr>
              <w:t>1734.</w:t>
            </w:r>
          </w:p>
        </w:tc>
        <w:tc>
          <w:tcPr>
            <w:tcW w:w="4818" w:type="dxa"/>
          </w:tcPr>
          <w:p w14:paraId="1C919F84" w14:textId="77777777" w:rsidR="00E43D33" w:rsidRPr="00286216" w:rsidRDefault="00E43D33" w:rsidP="00E43D33">
            <w:pPr>
              <w:pStyle w:val="StyleZakonu"/>
              <w:spacing w:after="0"/>
              <w:ind w:firstLine="0"/>
              <w:jc w:val="center"/>
              <w:rPr>
                <w:color w:val="000000" w:themeColor="text1"/>
              </w:rPr>
            </w:pPr>
            <w:r w:rsidRPr="00286216">
              <w:rPr>
                <w:color w:val="000000" w:themeColor="text1"/>
              </w:rPr>
              <w:t>Розділ VII</w:t>
            </w:r>
          </w:p>
          <w:p w14:paraId="19A13C8F" w14:textId="77777777" w:rsidR="00E43D33" w:rsidRPr="00286216" w:rsidRDefault="00E43D33" w:rsidP="00E43D33">
            <w:pPr>
              <w:pStyle w:val="StyleZakonu"/>
              <w:ind w:firstLine="0"/>
              <w:jc w:val="center"/>
              <w:rPr>
                <w:color w:val="000000" w:themeColor="text1"/>
                <w:spacing w:val="-2"/>
              </w:rPr>
            </w:pPr>
            <w:r w:rsidRPr="00286216">
              <w:rPr>
                <w:color w:val="000000" w:themeColor="text1"/>
                <w:spacing w:val="-2"/>
              </w:rPr>
              <w:t>ЗБОРИ ВЛАСНИКІВ ОБЛІГАЦІЙ І АДМІНІСТРАТОР</w:t>
            </w:r>
          </w:p>
        </w:tc>
        <w:tc>
          <w:tcPr>
            <w:tcW w:w="3686" w:type="dxa"/>
          </w:tcPr>
          <w:p w14:paraId="599CF6DD" w14:textId="77777777" w:rsidR="00E43D33" w:rsidRPr="00286216" w:rsidRDefault="00E43D33" w:rsidP="00E43D33">
            <w:pPr>
              <w:pStyle w:val="StyleProp"/>
              <w:rPr>
                <w:color w:val="000000" w:themeColor="text1"/>
                <w:szCs w:val="18"/>
              </w:rPr>
            </w:pPr>
          </w:p>
        </w:tc>
        <w:tc>
          <w:tcPr>
            <w:tcW w:w="1987" w:type="dxa"/>
          </w:tcPr>
          <w:p w14:paraId="75B76FF9" w14:textId="77777777" w:rsidR="00E43D33" w:rsidRPr="00286216" w:rsidRDefault="00E43D33" w:rsidP="00E43D33">
            <w:pPr>
              <w:pStyle w:val="StyleWisnow"/>
              <w:rPr>
                <w:color w:val="000000" w:themeColor="text1"/>
              </w:rPr>
            </w:pPr>
          </w:p>
        </w:tc>
        <w:tc>
          <w:tcPr>
            <w:tcW w:w="4818" w:type="dxa"/>
          </w:tcPr>
          <w:p w14:paraId="5C5355CB" w14:textId="77777777" w:rsidR="00E43D33" w:rsidRPr="00286216" w:rsidRDefault="00E43D33" w:rsidP="00E43D33">
            <w:pPr>
              <w:pStyle w:val="StyleZakonu"/>
              <w:spacing w:after="0"/>
              <w:ind w:firstLine="0"/>
              <w:jc w:val="center"/>
              <w:rPr>
                <w:color w:val="000000" w:themeColor="text1"/>
              </w:rPr>
            </w:pPr>
            <w:r w:rsidRPr="00286216">
              <w:rPr>
                <w:color w:val="000000" w:themeColor="text1"/>
              </w:rPr>
              <w:t>Розділ VIIІ</w:t>
            </w:r>
          </w:p>
          <w:p w14:paraId="1C21805B" w14:textId="040F3414" w:rsidR="00E43D33" w:rsidRPr="00286216" w:rsidRDefault="00E43D33" w:rsidP="00E43D33">
            <w:pPr>
              <w:pStyle w:val="StyleZakonu"/>
              <w:ind w:firstLine="0"/>
              <w:jc w:val="center"/>
              <w:rPr>
                <w:color w:val="000000" w:themeColor="text1"/>
                <w:spacing w:val="-2"/>
              </w:rPr>
            </w:pPr>
            <w:r w:rsidRPr="00286216">
              <w:rPr>
                <w:color w:val="000000" w:themeColor="text1"/>
                <w:spacing w:val="-2"/>
              </w:rPr>
              <w:t>ЗБОРИ ВЛАСНИКІВ ОБЛІГАЦІЙ ТА АДМІНІСТРАТОР</w:t>
            </w:r>
          </w:p>
        </w:tc>
      </w:tr>
      <w:tr w:rsidR="00E43D33" w:rsidRPr="00286216" w14:paraId="0D6C9F3E" w14:textId="77777777" w:rsidTr="00091AA5">
        <w:tc>
          <w:tcPr>
            <w:tcW w:w="576" w:type="dxa"/>
          </w:tcPr>
          <w:p w14:paraId="2FB12705" w14:textId="77777777" w:rsidR="00E43D33" w:rsidRPr="00286216" w:rsidRDefault="00E43D33" w:rsidP="00E43D33">
            <w:pPr>
              <w:pStyle w:val="StyleWisnow"/>
              <w:rPr>
                <w:color w:val="000000" w:themeColor="text1"/>
              </w:rPr>
            </w:pPr>
            <w:bookmarkStart w:id="1481" w:name="n1735" w:colFirst="0" w:colLast="0"/>
            <w:bookmarkEnd w:id="1480"/>
            <w:r w:rsidRPr="00286216">
              <w:rPr>
                <w:color w:val="000000" w:themeColor="text1"/>
              </w:rPr>
              <w:t>1735.</w:t>
            </w:r>
          </w:p>
        </w:tc>
        <w:tc>
          <w:tcPr>
            <w:tcW w:w="4818" w:type="dxa"/>
          </w:tcPr>
          <w:p w14:paraId="3A32AB8E" w14:textId="77777777" w:rsidR="00E43D33" w:rsidRPr="00286216" w:rsidRDefault="00E43D33" w:rsidP="00E43D33">
            <w:pPr>
              <w:pStyle w:val="StyleZakonu"/>
              <w:rPr>
                <w:color w:val="000000" w:themeColor="text1"/>
              </w:rPr>
            </w:pPr>
            <w:r w:rsidRPr="00286216">
              <w:rPr>
                <w:color w:val="000000" w:themeColor="text1"/>
              </w:rPr>
              <w:t>Стаття 104. Сфера застосування законодавства щодо зборів власників облігацій і адміністратора</w:t>
            </w:r>
          </w:p>
        </w:tc>
        <w:tc>
          <w:tcPr>
            <w:tcW w:w="3686" w:type="dxa"/>
          </w:tcPr>
          <w:p w14:paraId="44EC3E07" w14:textId="77777777" w:rsidR="00E43D33" w:rsidRPr="00286216" w:rsidRDefault="00E43D33" w:rsidP="00E43D33">
            <w:pPr>
              <w:pStyle w:val="StyleProp"/>
              <w:rPr>
                <w:color w:val="000000" w:themeColor="text1"/>
                <w:szCs w:val="18"/>
              </w:rPr>
            </w:pPr>
          </w:p>
        </w:tc>
        <w:tc>
          <w:tcPr>
            <w:tcW w:w="1987" w:type="dxa"/>
          </w:tcPr>
          <w:p w14:paraId="36146B69" w14:textId="77777777" w:rsidR="00E43D33" w:rsidRPr="00286216" w:rsidRDefault="00E43D33" w:rsidP="00E43D33">
            <w:pPr>
              <w:pStyle w:val="StyleWisnow"/>
              <w:rPr>
                <w:color w:val="000000" w:themeColor="text1"/>
              </w:rPr>
            </w:pPr>
          </w:p>
        </w:tc>
        <w:tc>
          <w:tcPr>
            <w:tcW w:w="4818" w:type="dxa"/>
          </w:tcPr>
          <w:p w14:paraId="48695EF4" w14:textId="0BE9AC25" w:rsidR="00E43D33" w:rsidRPr="00286216" w:rsidRDefault="00E43D33" w:rsidP="00E43D33">
            <w:pPr>
              <w:pStyle w:val="StyleZakonu"/>
              <w:rPr>
                <w:color w:val="000000" w:themeColor="text1"/>
              </w:rPr>
            </w:pPr>
            <w:r w:rsidRPr="00286216">
              <w:rPr>
                <w:color w:val="000000" w:themeColor="text1"/>
              </w:rPr>
              <w:t xml:space="preserve">Стаття 108. Сфера застосування законодавства </w:t>
            </w:r>
            <w:r w:rsidR="009D68B8" w:rsidRPr="00286216">
              <w:rPr>
                <w:color w:val="000000" w:themeColor="text1"/>
              </w:rPr>
              <w:t xml:space="preserve">про </w:t>
            </w:r>
            <w:r w:rsidRPr="00286216">
              <w:rPr>
                <w:color w:val="000000" w:themeColor="text1"/>
              </w:rPr>
              <w:t xml:space="preserve">збори власників облігацій та адміністратора </w:t>
            </w:r>
          </w:p>
        </w:tc>
      </w:tr>
      <w:tr w:rsidR="00E43D33" w:rsidRPr="00286216" w14:paraId="7BAFF2AF" w14:textId="77777777" w:rsidTr="00091AA5">
        <w:tc>
          <w:tcPr>
            <w:tcW w:w="576" w:type="dxa"/>
          </w:tcPr>
          <w:p w14:paraId="1B25D6E1" w14:textId="77777777" w:rsidR="00E43D33" w:rsidRPr="00286216" w:rsidRDefault="00E43D33" w:rsidP="00E43D33">
            <w:pPr>
              <w:pStyle w:val="StyleWisnow"/>
              <w:rPr>
                <w:color w:val="000000" w:themeColor="text1"/>
              </w:rPr>
            </w:pPr>
            <w:bookmarkStart w:id="1482" w:name="n1736" w:colFirst="0" w:colLast="0"/>
            <w:bookmarkEnd w:id="1481"/>
            <w:r w:rsidRPr="00286216">
              <w:rPr>
                <w:color w:val="000000" w:themeColor="text1"/>
              </w:rPr>
              <w:t>1736.</w:t>
            </w:r>
          </w:p>
        </w:tc>
        <w:tc>
          <w:tcPr>
            <w:tcW w:w="4818" w:type="dxa"/>
          </w:tcPr>
          <w:p w14:paraId="15B148E9" w14:textId="77777777" w:rsidR="00E43D33" w:rsidRPr="00286216" w:rsidRDefault="00E43D33" w:rsidP="00E43D33">
            <w:pPr>
              <w:pStyle w:val="StyleZakonu"/>
              <w:rPr>
                <w:color w:val="000000" w:themeColor="text1"/>
              </w:rPr>
            </w:pPr>
            <w:r w:rsidRPr="00286216">
              <w:rPr>
                <w:color w:val="000000" w:themeColor="text1"/>
              </w:rPr>
              <w:t>1. Положення цього розділу застосовуються до таких видів облігацій, емісія яких здійснюється відповідно до цього Закону:</w:t>
            </w:r>
          </w:p>
        </w:tc>
        <w:tc>
          <w:tcPr>
            <w:tcW w:w="3686" w:type="dxa"/>
          </w:tcPr>
          <w:p w14:paraId="4D46DDF2" w14:textId="77777777" w:rsidR="00E43D33" w:rsidRPr="00286216" w:rsidRDefault="00E43D33" w:rsidP="00E43D33">
            <w:pPr>
              <w:pStyle w:val="StyleProp"/>
              <w:rPr>
                <w:color w:val="000000" w:themeColor="text1"/>
                <w:szCs w:val="18"/>
              </w:rPr>
            </w:pPr>
          </w:p>
        </w:tc>
        <w:tc>
          <w:tcPr>
            <w:tcW w:w="1987" w:type="dxa"/>
          </w:tcPr>
          <w:p w14:paraId="32BD7BCF" w14:textId="77777777" w:rsidR="00E43D33" w:rsidRPr="00286216" w:rsidRDefault="00E43D33" w:rsidP="00E43D33">
            <w:pPr>
              <w:pStyle w:val="StyleWisnow"/>
              <w:rPr>
                <w:color w:val="000000" w:themeColor="text1"/>
              </w:rPr>
            </w:pPr>
          </w:p>
        </w:tc>
        <w:tc>
          <w:tcPr>
            <w:tcW w:w="4818" w:type="dxa"/>
          </w:tcPr>
          <w:p w14:paraId="2A438772" w14:textId="60109794" w:rsidR="00E43D33" w:rsidRPr="00286216" w:rsidRDefault="00E43D33" w:rsidP="00E43D33">
            <w:pPr>
              <w:pStyle w:val="StyleZakonu"/>
              <w:rPr>
                <w:color w:val="000000" w:themeColor="text1"/>
              </w:rPr>
            </w:pPr>
            <w:r w:rsidRPr="00286216">
              <w:rPr>
                <w:color w:val="000000" w:themeColor="text1"/>
              </w:rPr>
              <w:t>1. Положення цього розділу застосовуються до таких видів облігацій, емісія яких здійснюється відповідно до цього Закону:</w:t>
            </w:r>
          </w:p>
        </w:tc>
      </w:tr>
      <w:tr w:rsidR="00E43D33" w:rsidRPr="00286216" w14:paraId="0250CD6A" w14:textId="77777777" w:rsidTr="00091AA5">
        <w:tc>
          <w:tcPr>
            <w:tcW w:w="576" w:type="dxa"/>
          </w:tcPr>
          <w:p w14:paraId="27FE0E59" w14:textId="77777777" w:rsidR="00E43D33" w:rsidRPr="00286216" w:rsidRDefault="00E43D33" w:rsidP="00E43D33">
            <w:pPr>
              <w:pStyle w:val="StyleWisnow"/>
              <w:rPr>
                <w:color w:val="000000" w:themeColor="text1"/>
              </w:rPr>
            </w:pPr>
            <w:bookmarkStart w:id="1483" w:name="n1737" w:colFirst="0" w:colLast="0"/>
            <w:bookmarkEnd w:id="1482"/>
            <w:r w:rsidRPr="00286216">
              <w:rPr>
                <w:color w:val="000000" w:themeColor="text1"/>
              </w:rPr>
              <w:t>1737.</w:t>
            </w:r>
          </w:p>
        </w:tc>
        <w:tc>
          <w:tcPr>
            <w:tcW w:w="4818" w:type="dxa"/>
          </w:tcPr>
          <w:p w14:paraId="58794007" w14:textId="77777777" w:rsidR="00E43D33" w:rsidRPr="00286216" w:rsidRDefault="00E43D33" w:rsidP="00E43D33">
            <w:pPr>
              <w:pStyle w:val="StyleZakonu"/>
              <w:rPr>
                <w:color w:val="000000" w:themeColor="text1"/>
              </w:rPr>
            </w:pPr>
            <w:r w:rsidRPr="00286216">
              <w:rPr>
                <w:color w:val="000000" w:themeColor="text1"/>
              </w:rPr>
              <w:t>1) відсоткових і дисконтних корпоративних облігацій;</w:t>
            </w:r>
          </w:p>
        </w:tc>
        <w:tc>
          <w:tcPr>
            <w:tcW w:w="3686" w:type="dxa"/>
          </w:tcPr>
          <w:p w14:paraId="3E9A2243" w14:textId="113C7981" w:rsidR="00E43D33" w:rsidRPr="00286216" w:rsidRDefault="00E43D33" w:rsidP="00E43D3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A213663" w14:textId="77777777" w:rsidR="00E43D33" w:rsidRPr="00286216" w:rsidRDefault="00E43D33" w:rsidP="00E43D33">
            <w:pPr>
              <w:pStyle w:val="StyleProp"/>
              <w:rPr>
                <w:color w:val="000000" w:themeColor="text1"/>
                <w:szCs w:val="18"/>
              </w:rPr>
            </w:pPr>
            <w:r w:rsidRPr="00286216">
              <w:rPr>
                <w:color w:val="000000" w:themeColor="text1"/>
                <w:szCs w:val="18"/>
              </w:rPr>
              <w:t>У пункті 1 частини першої статті 104 слова «відсоткових і дисконтних» замінити словом «звичайних».</w:t>
            </w:r>
          </w:p>
        </w:tc>
        <w:tc>
          <w:tcPr>
            <w:tcW w:w="1987" w:type="dxa"/>
          </w:tcPr>
          <w:p w14:paraId="273049D6" w14:textId="77777777" w:rsidR="00E43D33" w:rsidRPr="00286216" w:rsidRDefault="00E43D33" w:rsidP="00E43D33">
            <w:pPr>
              <w:pStyle w:val="StyleWisnow"/>
              <w:rPr>
                <w:color w:val="000000" w:themeColor="text1"/>
              </w:rPr>
            </w:pPr>
            <w:r w:rsidRPr="00286216">
              <w:rPr>
                <w:color w:val="000000" w:themeColor="text1"/>
              </w:rPr>
              <w:t>Враховано</w:t>
            </w:r>
          </w:p>
        </w:tc>
        <w:tc>
          <w:tcPr>
            <w:tcW w:w="4818" w:type="dxa"/>
          </w:tcPr>
          <w:p w14:paraId="028D505E" w14:textId="7F2CC8B1" w:rsidR="00E43D33" w:rsidRPr="00286216" w:rsidRDefault="00E43D33" w:rsidP="00E43D33">
            <w:pPr>
              <w:pStyle w:val="StyleZakonu"/>
              <w:rPr>
                <w:color w:val="000000" w:themeColor="text1"/>
              </w:rPr>
            </w:pPr>
            <w:r w:rsidRPr="00286216">
              <w:rPr>
                <w:color w:val="000000" w:themeColor="text1"/>
              </w:rPr>
              <w:t xml:space="preserve">1) </w:t>
            </w:r>
            <w:r w:rsidRPr="00286216">
              <w:rPr>
                <w:color w:val="000000" w:themeColor="text1"/>
                <w:szCs w:val="18"/>
              </w:rPr>
              <w:t>звичайних</w:t>
            </w:r>
            <w:r w:rsidRPr="00286216">
              <w:rPr>
                <w:color w:val="000000" w:themeColor="text1"/>
              </w:rPr>
              <w:t xml:space="preserve"> корпоративних облігацій;</w:t>
            </w:r>
          </w:p>
        </w:tc>
      </w:tr>
      <w:tr w:rsidR="00E43D33" w:rsidRPr="00286216" w14:paraId="559A29AE" w14:textId="77777777" w:rsidTr="00091AA5">
        <w:tc>
          <w:tcPr>
            <w:tcW w:w="576" w:type="dxa"/>
          </w:tcPr>
          <w:p w14:paraId="70E515E0" w14:textId="77777777" w:rsidR="00E43D33" w:rsidRPr="00286216" w:rsidRDefault="00E43D33" w:rsidP="00E43D33">
            <w:pPr>
              <w:pStyle w:val="StyleWisnow"/>
              <w:rPr>
                <w:color w:val="000000" w:themeColor="text1"/>
              </w:rPr>
            </w:pPr>
            <w:bookmarkStart w:id="1484" w:name="n1738" w:colFirst="0" w:colLast="0"/>
            <w:bookmarkEnd w:id="1483"/>
            <w:r w:rsidRPr="00286216">
              <w:rPr>
                <w:color w:val="000000" w:themeColor="text1"/>
              </w:rPr>
              <w:t>1738.</w:t>
            </w:r>
          </w:p>
        </w:tc>
        <w:tc>
          <w:tcPr>
            <w:tcW w:w="4818" w:type="dxa"/>
          </w:tcPr>
          <w:p w14:paraId="1F853652" w14:textId="77777777" w:rsidR="00E43D33" w:rsidRPr="00286216" w:rsidRDefault="00E43D33" w:rsidP="00E43D33">
            <w:pPr>
              <w:pStyle w:val="StyleZakonu"/>
              <w:rPr>
                <w:color w:val="000000" w:themeColor="text1"/>
              </w:rPr>
            </w:pPr>
            <w:r w:rsidRPr="00286216">
              <w:rPr>
                <w:color w:val="000000" w:themeColor="text1"/>
              </w:rPr>
              <w:t>2) облігацій внутрішніх місцевих позик.</w:t>
            </w:r>
          </w:p>
        </w:tc>
        <w:tc>
          <w:tcPr>
            <w:tcW w:w="3686" w:type="dxa"/>
          </w:tcPr>
          <w:p w14:paraId="5481B50A" w14:textId="77777777" w:rsidR="00E43D33" w:rsidRPr="00286216" w:rsidRDefault="00E43D33" w:rsidP="00E43D33">
            <w:pPr>
              <w:pStyle w:val="StyleProp"/>
              <w:rPr>
                <w:color w:val="000000" w:themeColor="text1"/>
                <w:szCs w:val="18"/>
              </w:rPr>
            </w:pPr>
          </w:p>
        </w:tc>
        <w:tc>
          <w:tcPr>
            <w:tcW w:w="1987" w:type="dxa"/>
          </w:tcPr>
          <w:p w14:paraId="0F0B24E4" w14:textId="77777777" w:rsidR="00E43D33" w:rsidRPr="00286216" w:rsidRDefault="00E43D33" w:rsidP="00E43D33">
            <w:pPr>
              <w:pStyle w:val="StyleWisnow"/>
              <w:rPr>
                <w:color w:val="000000" w:themeColor="text1"/>
              </w:rPr>
            </w:pPr>
          </w:p>
        </w:tc>
        <w:tc>
          <w:tcPr>
            <w:tcW w:w="4818" w:type="dxa"/>
          </w:tcPr>
          <w:p w14:paraId="3992F3A7" w14:textId="799B0C50" w:rsidR="00E43D33" w:rsidRPr="00286216" w:rsidRDefault="00E43D33" w:rsidP="00E43D33">
            <w:pPr>
              <w:pStyle w:val="StyleZakonu"/>
              <w:rPr>
                <w:color w:val="000000" w:themeColor="text1"/>
              </w:rPr>
            </w:pPr>
            <w:r w:rsidRPr="00286216">
              <w:rPr>
                <w:color w:val="000000" w:themeColor="text1"/>
              </w:rPr>
              <w:t>2) облігацій внутрішніх місцевих позик.</w:t>
            </w:r>
          </w:p>
        </w:tc>
      </w:tr>
      <w:tr w:rsidR="00E43D33" w:rsidRPr="00286216" w14:paraId="57D4F8F0" w14:textId="77777777" w:rsidTr="00091AA5">
        <w:tc>
          <w:tcPr>
            <w:tcW w:w="576" w:type="dxa"/>
          </w:tcPr>
          <w:p w14:paraId="163DD427" w14:textId="77777777" w:rsidR="00E43D33" w:rsidRPr="00286216" w:rsidRDefault="00E43D33" w:rsidP="00E43D33">
            <w:pPr>
              <w:pStyle w:val="StyleWisnow"/>
              <w:rPr>
                <w:color w:val="000000" w:themeColor="text1"/>
              </w:rPr>
            </w:pPr>
            <w:bookmarkStart w:id="1485" w:name="n1739" w:colFirst="0" w:colLast="0"/>
            <w:bookmarkEnd w:id="1484"/>
            <w:r w:rsidRPr="00286216">
              <w:rPr>
                <w:color w:val="000000" w:themeColor="text1"/>
              </w:rPr>
              <w:t>1739.</w:t>
            </w:r>
          </w:p>
        </w:tc>
        <w:tc>
          <w:tcPr>
            <w:tcW w:w="4818" w:type="dxa"/>
          </w:tcPr>
          <w:p w14:paraId="5D008AC6" w14:textId="77777777" w:rsidR="00E43D33" w:rsidRPr="00286216" w:rsidRDefault="00E43D33" w:rsidP="00E43D33">
            <w:pPr>
              <w:pStyle w:val="StyleZakonu"/>
              <w:rPr>
                <w:color w:val="000000" w:themeColor="text1"/>
              </w:rPr>
            </w:pPr>
            <w:r w:rsidRPr="00286216">
              <w:rPr>
                <w:color w:val="000000" w:themeColor="text1"/>
              </w:rPr>
              <w:t>2. Положення цього розділу застосовуються до іпотечних облігацій з особливостями, визначеними Законом України "Про іпотечні облігації".</w:t>
            </w:r>
          </w:p>
        </w:tc>
        <w:tc>
          <w:tcPr>
            <w:tcW w:w="3686" w:type="dxa"/>
          </w:tcPr>
          <w:p w14:paraId="78D8A704" w14:textId="2EADE265" w:rsidR="00E43D33" w:rsidRPr="00286216" w:rsidRDefault="00E43D33" w:rsidP="00E43D3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A8C4388" w14:textId="77777777" w:rsidR="00E43D33" w:rsidRPr="00286216" w:rsidRDefault="00E43D33" w:rsidP="00E43D33">
            <w:pPr>
              <w:pStyle w:val="StyleProp"/>
              <w:rPr>
                <w:color w:val="000000" w:themeColor="text1"/>
                <w:szCs w:val="18"/>
              </w:rPr>
            </w:pPr>
            <w:r w:rsidRPr="00286216">
              <w:rPr>
                <w:color w:val="000000" w:themeColor="text1"/>
                <w:szCs w:val="18"/>
              </w:rPr>
              <w:t>Частину другу статті 104 доповнити абзацом такого змісту:</w:t>
            </w:r>
          </w:p>
          <w:p w14:paraId="620794A4" w14:textId="77777777" w:rsidR="00E43D33" w:rsidRPr="00286216" w:rsidRDefault="00E43D33" w:rsidP="00E43D33">
            <w:pPr>
              <w:pStyle w:val="StyleProp"/>
              <w:rPr>
                <w:color w:val="000000" w:themeColor="text1"/>
                <w:szCs w:val="18"/>
              </w:rPr>
            </w:pPr>
            <w:r w:rsidRPr="00286216">
              <w:rPr>
                <w:color w:val="000000" w:themeColor="text1"/>
                <w:szCs w:val="18"/>
              </w:rPr>
              <w:t>«Положення цього розділу застосовуються до облігацій міжнародних фінансових організацій, якщо це прямо передбачено проспектом таких облігацій».</w:t>
            </w:r>
          </w:p>
        </w:tc>
        <w:tc>
          <w:tcPr>
            <w:tcW w:w="1987" w:type="dxa"/>
          </w:tcPr>
          <w:p w14:paraId="57DE486B" w14:textId="77777777" w:rsidR="00E43D33" w:rsidRPr="00286216" w:rsidRDefault="00E43D33" w:rsidP="00E43D33">
            <w:pPr>
              <w:pStyle w:val="StyleWisnow"/>
              <w:rPr>
                <w:color w:val="000000" w:themeColor="text1"/>
              </w:rPr>
            </w:pPr>
            <w:r w:rsidRPr="00286216">
              <w:rPr>
                <w:color w:val="000000" w:themeColor="text1"/>
              </w:rPr>
              <w:t>Враховано</w:t>
            </w:r>
          </w:p>
        </w:tc>
        <w:tc>
          <w:tcPr>
            <w:tcW w:w="4818" w:type="dxa"/>
          </w:tcPr>
          <w:p w14:paraId="0D3AAF82" w14:textId="77777777" w:rsidR="00E43D33" w:rsidRPr="00286216" w:rsidRDefault="00E43D33" w:rsidP="00E43D33">
            <w:pPr>
              <w:pStyle w:val="StyleZakonu"/>
              <w:rPr>
                <w:color w:val="000000" w:themeColor="text1"/>
              </w:rPr>
            </w:pPr>
            <w:r w:rsidRPr="00286216">
              <w:rPr>
                <w:color w:val="000000" w:themeColor="text1"/>
              </w:rPr>
              <w:t>2. Положення цього розділу застосовуються до іпотечних облігацій з особливостями, визначеними Законом України "Про іпотечні облігації".</w:t>
            </w:r>
          </w:p>
          <w:p w14:paraId="120B5552" w14:textId="1F6BC779" w:rsidR="00E43D33" w:rsidRPr="00286216" w:rsidRDefault="00E43D33" w:rsidP="00E43D33">
            <w:pPr>
              <w:pStyle w:val="StyleZakonu"/>
              <w:rPr>
                <w:color w:val="000000" w:themeColor="text1"/>
              </w:rPr>
            </w:pPr>
            <w:r w:rsidRPr="00286216">
              <w:rPr>
                <w:color w:val="000000" w:themeColor="text1"/>
                <w:szCs w:val="18"/>
              </w:rPr>
              <w:t>Положення цього розділу застосовуються до облігацій міжнародних фінансових організацій, якщо це прямо передбачено проспектом таких облігацій.</w:t>
            </w:r>
          </w:p>
        </w:tc>
      </w:tr>
      <w:tr w:rsidR="00E43D33" w:rsidRPr="00286216" w14:paraId="06633407" w14:textId="77777777" w:rsidTr="00091AA5">
        <w:tc>
          <w:tcPr>
            <w:tcW w:w="576" w:type="dxa"/>
          </w:tcPr>
          <w:p w14:paraId="205EFA56" w14:textId="77777777" w:rsidR="00E43D33" w:rsidRPr="00286216" w:rsidRDefault="00E43D33" w:rsidP="00E43D33">
            <w:pPr>
              <w:pStyle w:val="StyleWisnow"/>
              <w:rPr>
                <w:color w:val="000000" w:themeColor="text1"/>
              </w:rPr>
            </w:pPr>
            <w:bookmarkStart w:id="1486" w:name="n1740" w:colFirst="0" w:colLast="0"/>
            <w:bookmarkEnd w:id="1485"/>
            <w:r w:rsidRPr="00286216">
              <w:rPr>
                <w:color w:val="000000" w:themeColor="text1"/>
              </w:rPr>
              <w:t>1740.</w:t>
            </w:r>
          </w:p>
        </w:tc>
        <w:tc>
          <w:tcPr>
            <w:tcW w:w="4818" w:type="dxa"/>
          </w:tcPr>
          <w:p w14:paraId="76B68556" w14:textId="77777777" w:rsidR="00E43D33" w:rsidRPr="00286216" w:rsidRDefault="00E43D33" w:rsidP="00E43D33">
            <w:pPr>
              <w:pStyle w:val="StyleZakonu"/>
              <w:rPr>
                <w:color w:val="000000" w:themeColor="text1"/>
              </w:rPr>
            </w:pPr>
            <w:bookmarkStart w:id="1487" w:name="_Ref17115728"/>
            <w:r w:rsidRPr="00286216">
              <w:rPr>
                <w:color w:val="000000" w:themeColor="text1"/>
              </w:rPr>
              <w:t>Стаття 105. Компетенція зборів власників облігацій</w:t>
            </w:r>
            <w:bookmarkEnd w:id="1487"/>
          </w:p>
        </w:tc>
        <w:tc>
          <w:tcPr>
            <w:tcW w:w="3686" w:type="dxa"/>
          </w:tcPr>
          <w:p w14:paraId="53263B1D" w14:textId="77777777" w:rsidR="00E43D33" w:rsidRPr="00286216" w:rsidRDefault="00E43D33" w:rsidP="00E43D33">
            <w:pPr>
              <w:pStyle w:val="StyleProp"/>
              <w:rPr>
                <w:color w:val="000000" w:themeColor="text1"/>
                <w:szCs w:val="18"/>
              </w:rPr>
            </w:pPr>
          </w:p>
        </w:tc>
        <w:tc>
          <w:tcPr>
            <w:tcW w:w="1987" w:type="dxa"/>
          </w:tcPr>
          <w:p w14:paraId="7CB69F93" w14:textId="77777777" w:rsidR="00E43D33" w:rsidRPr="00286216" w:rsidRDefault="00E43D33" w:rsidP="00E43D33">
            <w:pPr>
              <w:pStyle w:val="StyleWisnow"/>
              <w:rPr>
                <w:color w:val="000000" w:themeColor="text1"/>
              </w:rPr>
            </w:pPr>
          </w:p>
        </w:tc>
        <w:tc>
          <w:tcPr>
            <w:tcW w:w="4818" w:type="dxa"/>
          </w:tcPr>
          <w:p w14:paraId="0514B4A8" w14:textId="43EB60C8" w:rsidR="00E43D33" w:rsidRPr="00286216" w:rsidRDefault="00E43D33" w:rsidP="00E43D33">
            <w:pPr>
              <w:pStyle w:val="StyleZakonu"/>
              <w:rPr>
                <w:color w:val="000000" w:themeColor="text1"/>
              </w:rPr>
            </w:pPr>
            <w:r w:rsidRPr="00286216">
              <w:rPr>
                <w:color w:val="000000" w:themeColor="text1"/>
              </w:rPr>
              <w:t>Стаття 109. Компетенція зборів власників облігацій</w:t>
            </w:r>
          </w:p>
        </w:tc>
      </w:tr>
      <w:tr w:rsidR="00E43D33" w:rsidRPr="00286216" w14:paraId="5CE336F5" w14:textId="77777777" w:rsidTr="00091AA5">
        <w:tc>
          <w:tcPr>
            <w:tcW w:w="576" w:type="dxa"/>
          </w:tcPr>
          <w:p w14:paraId="26CF9D5A" w14:textId="77777777" w:rsidR="00E43D33" w:rsidRPr="00286216" w:rsidRDefault="00E43D33" w:rsidP="00E43D33">
            <w:pPr>
              <w:pStyle w:val="StyleWisnow"/>
              <w:rPr>
                <w:color w:val="000000" w:themeColor="text1"/>
              </w:rPr>
            </w:pPr>
            <w:bookmarkStart w:id="1488" w:name="n1741" w:colFirst="0" w:colLast="0"/>
            <w:bookmarkEnd w:id="1486"/>
            <w:r w:rsidRPr="00286216">
              <w:rPr>
                <w:color w:val="000000" w:themeColor="text1"/>
              </w:rPr>
              <w:t>1741.</w:t>
            </w:r>
          </w:p>
        </w:tc>
        <w:tc>
          <w:tcPr>
            <w:tcW w:w="4818" w:type="dxa"/>
          </w:tcPr>
          <w:p w14:paraId="05D45101" w14:textId="77777777" w:rsidR="00E43D33" w:rsidRPr="00286216" w:rsidRDefault="00E43D33" w:rsidP="00E43D33">
            <w:pPr>
              <w:pStyle w:val="StyleZakonu"/>
              <w:rPr>
                <w:color w:val="000000" w:themeColor="text1"/>
              </w:rPr>
            </w:pPr>
            <w:r w:rsidRPr="00286216">
              <w:rPr>
                <w:color w:val="000000" w:themeColor="text1"/>
              </w:rPr>
              <w:t>1. Збори власників облігацій проводяться з метою прийняття рішень, які впливають на права та/або інтереси усіх власників облігацій відповідного випуску.</w:t>
            </w:r>
          </w:p>
        </w:tc>
        <w:tc>
          <w:tcPr>
            <w:tcW w:w="3686" w:type="dxa"/>
          </w:tcPr>
          <w:p w14:paraId="3D343588" w14:textId="77777777" w:rsidR="00E43D33" w:rsidRPr="00286216" w:rsidRDefault="00E43D33" w:rsidP="00E43D33">
            <w:pPr>
              <w:pStyle w:val="StyleProp"/>
              <w:rPr>
                <w:color w:val="000000" w:themeColor="text1"/>
                <w:szCs w:val="18"/>
              </w:rPr>
            </w:pPr>
          </w:p>
        </w:tc>
        <w:tc>
          <w:tcPr>
            <w:tcW w:w="1987" w:type="dxa"/>
          </w:tcPr>
          <w:p w14:paraId="16F675A8" w14:textId="77777777" w:rsidR="00E43D33" w:rsidRPr="00286216" w:rsidRDefault="00E43D33" w:rsidP="00E43D33">
            <w:pPr>
              <w:pStyle w:val="StyleWisnow"/>
              <w:rPr>
                <w:color w:val="000000" w:themeColor="text1"/>
              </w:rPr>
            </w:pPr>
          </w:p>
        </w:tc>
        <w:tc>
          <w:tcPr>
            <w:tcW w:w="4818" w:type="dxa"/>
          </w:tcPr>
          <w:p w14:paraId="080C59F1" w14:textId="111DA611" w:rsidR="00E43D33" w:rsidRPr="00286216" w:rsidRDefault="00E43D33" w:rsidP="00E43D33">
            <w:pPr>
              <w:pStyle w:val="StyleZakonu"/>
              <w:rPr>
                <w:color w:val="000000" w:themeColor="text1"/>
              </w:rPr>
            </w:pPr>
            <w:r w:rsidRPr="00286216">
              <w:rPr>
                <w:color w:val="000000" w:themeColor="text1"/>
              </w:rPr>
              <w:t>1. Збори власників облігацій проводяться з метою прийняття рішень, які впливають на права та/або інтереси всіх власників облігацій відповідного випуску.</w:t>
            </w:r>
          </w:p>
        </w:tc>
      </w:tr>
      <w:tr w:rsidR="00E43D33" w:rsidRPr="00286216" w14:paraId="4ADC11D6" w14:textId="77777777" w:rsidTr="00091AA5">
        <w:tc>
          <w:tcPr>
            <w:tcW w:w="576" w:type="dxa"/>
          </w:tcPr>
          <w:p w14:paraId="13C04EFD" w14:textId="77777777" w:rsidR="00E43D33" w:rsidRPr="00286216" w:rsidRDefault="00E43D33" w:rsidP="00E43D33">
            <w:pPr>
              <w:pStyle w:val="StyleWisnow"/>
              <w:rPr>
                <w:color w:val="000000" w:themeColor="text1"/>
              </w:rPr>
            </w:pPr>
            <w:bookmarkStart w:id="1489" w:name="n1742" w:colFirst="0" w:colLast="0"/>
            <w:bookmarkEnd w:id="1488"/>
            <w:r w:rsidRPr="00286216">
              <w:rPr>
                <w:color w:val="000000" w:themeColor="text1"/>
              </w:rPr>
              <w:t>1742.</w:t>
            </w:r>
          </w:p>
        </w:tc>
        <w:tc>
          <w:tcPr>
            <w:tcW w:w="4818" w:type="dxa"/>
          </w:tcPr>
          <w:p w14:paraId="53A30EA9" w14:textId="77777777" w:rsidR="00E43D33" w:rsidRPr="00286216" w:rsidRDefault="00E43D33" w:rsidP="00E43D33">
            <w:pPr>
              <w:pStyle w:val="StyleZakonu"/>
              <w:rPr>
                <w:color w:val="000000" w:themeColor="text1"/>
              </w:rPr>
            </w:pPr>
            <w:r w:rsidRPr="00286216">
              <w:rPr>
                <w:color w:val="000000" w:themeColor="text1"/>
              </w:rPr>
              <w:t>2. До компетенції зборів власників облігацій відповідного випуску належить:</w:t>
            </w:r>
          </w:p>
        </w:tc>
        <w:tc>
          <w:tcPr>
            <w:tcW w:w="3686" w:type="dxa"/>
          </w:tcPr>
          <w:p w14:paraId="31763F90" w14:textId="77777777" w:rsidR="00E43D33" w:rsidRPr="00286216" w:rsidRDefault="00E43D33" w:rsidP="00E43D33">
            <w:pPr>
              <w:pStyle w:val="StyleProp"/>
              <w:rPr>
                <w:color w:val="000000" w:themeColor="text1"/>
                <w:szCs w:val="18"/>
              </w:rPr>
            </w:pPr>
          </w:p>
        </w:tc>
        <w:tc>
          <w:tcPr>
            <w:tcW w:w="1987" w:type="dxa"/>
          </w:tcPr>
          <w:p w14:paraId="20714CCF" w14:textId="77777777" w:rsidR="00E43D33" w:rsidRPr="00286216" w:rsidRDefault="00E43D33" w:rsidP="00E43D33">
            <w:pPr>
              <w:pStyle w:val="StyleWisnow"/>
              <w:rPr>
                <w:color w:val="000000" w:themeColor="text1"/>
              </w:rPr>
            </w:pPr>
          </w:p>
        </w:tc>
        <w:tc>
          <w:tcPr>
            <w:tcW w:w="4818" w:type="dxa"/>
          </w:tcPr>
          <w:p w14:paraId="359C5E57" w14:textId="627CFEB7" w:rsidR="00E43D33" w:rsidRPr="00286216" w:rsidRDefault="00E43D33" w:rsidP="00E43D33">
            <w:pPr>
              <w:pStyle w:val="StyleZakonu"/>
              <w:rPr>
                <w:color w:val="000000" w:themeColor="text1"/>
              </w:rPr>
            </w:pPr>
            <w:r w:rsidRPr="00286216">
              <w:rPr>
                <w:color w:val="000000" w:themeColor="text1"/>
              </w:rPr>
              <w:t>2. До компетенції зборів власників облігацій відповідного випуску належить:</w:t>
            </w:r>
          </w:p>
        </w:tc>
      </w:tr>
      <w:tr w:rsidR="00E43D33" w:rsidRPr="00286216" w14:paraId="5F96F5E1" w14:textId="77777777" w:rsidTr="00091AA5">
        <w:tc>
          <w:tcPr>
            <w:tcW w:w="576" w:type="dxa"/>
          </w:tcPr>
          <w:p w14:paraId="77A51D99" w14:textId="77777777" w:rsidR="00E43D33" w:rsidRPr="00286216" w:rsidRDefault="00E43D33" w:rsidP="00E43D33">
            <w:pPr>
              <w:pStyle w:val="StyleWisnow"/>
              <w:rPr>
                <w:color w:val="000000" w:themeColor="text1"/>
              </w:rPr>
            </w:pPr>
            <w:bookmarkStart w:id="1490" w:name="n1743" w:colFirst="0" w:colLast="0"/>
            <w:bookmarkEnd w:id="1489"/>
            <w:r w:rsidRPr="00286216">
              <w:rPr>
                <w:color w:val="000000" w:themeColor="text1"/>
              </w:rPr>
              <w:t>1743.</w:t>
            </w:r>
          </w:p>
        </w:tc>
        <w:tc>
          <w:tcPr>
            <w:tcW w:w="4818" w:type="dxa"/>
          </w:tcPr>
          <w:p w14:paraId="146D7524" w14:textId="77777777" w:rsidR="00E43D33" w:rsidRPr="00286216" w:rsidRDefault="00E43D33" w:rsidP="00E43D33">
            <w:pPr>
              <w:pStyle w:val="StyleZakonu"/>
              <w:rPr>
                <w:color w:val="000000" w:themeColor="text1"/>
              </w:rPr>
            </w:pPr>
            <w:r w:rsidRPr="00286216">
              <w:rPr>
                <w:color w:val="000000" w:themeColor="text1"/>
              </w:rPr>
              <w:t>1) надання згоди на внесення емітентом змін до проспекту (рішення про емісію цінних паперів) в частині документу про цінні папери або щодо заміни емітента та/або внесення змін до правочинів щодо забезпечення виконання зобов’язань за облігаціями;</w:t>
            </w:r>
          </w:p>
        </w:tc>
        <w:tc>
          <w:tcPr>
            <w:tcW w:w="3686" w:type="dxa"/>
          </w:tcPr>
          <w:p w14:paraId="761F9250" w14:textId="3F2E3B6D" w:rsidR="00E43D33" w:rsidRPr="00286216" w:rsidRDefault="00E43D33" w:rsidP="00E43D33">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968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7F5D152E" w14:textId="430364E1" w:rsidR="00E43D33" w:rsidRPr="00286216" w:rsidRDefault="00E43D33" w:rsidP="00E43D33">
            <w:pPr>
              <w:pStyle w:val="StyleProp"/>
              <w:rPr>
                <w:color w:val="000000" w:themeColor="text1"/>
                <w:szCs w:val="18"/>
              </w:rPr>
            </w:pPr>
            <w:r w:rsidRPr="00286216">
              <w:rPr>
                <w:color w:val="000000" w:themeColor="text1"/>
                <w:szCs w:val="18"/>
              </w:rPr>
              <w:t>Пункт 1 частини 2 статті 105 викласти у такій редакції:</w:t>
            </w:r>
          </w:p>
          <w:p w14:paraId="4633919D" w14:textId="4510BDA9" w:rsidR="00E43D33" w:rsidRPr="00286216" w:rsidRDefault="00E43D33" w:rsidP="00E43D33">
            <w:pPr>
              <w:pStyle w:val="StyleProp"/>
              <w:rPr>
                <w:color w:val="000000" w:themeColor="text1"/>
                <w:spacing w:val="-4"/>
                <w:szCs w:val="18"/>
              </w:rPr>
            </w:pPr>
            <w:r w:rsidRPr="00286216">
              <w:rPr>
                <w:color w:val="000000" w:themeColor="text1"/>
                <w:spacing w:val="-4"/>
                <w:szCs w:val="18"/>
              </w:rPr>
              <w:t>«1) надання згоди на внесення емітентом змін до проспекту (рішення про емісію) в частині документу про цінні папери та/або внесення змін до правочинів щодо забезпечення виконання зобов’язань за облігаціями».</w:t>
            </w:r>
          </w:p>
        </w:tc>
        <w:tc>
          <w:tcPr>
            <w:tcW w:w="1987" w:type="dxa"/>
          </w:tcPr>
          <w:p w14:paraId="4365FBF7" w14:textId="50C7D9E1" w:rsidR="00E43D33" w:rsidRPr="00286216" w:rsidRDefault="00E43D33" w:rsidP="00E43D33">
            <w:pPr>
              <w:pStyle w:val="StyleWisnow"/>
              <w:rPr>
                <w:color w:val="000000" w:themeColor="text1"/>
              </w:rPr>
            </w:pPr>
            <w:r w:rsidRPr="00286216">
              <w:rPr>
                <w:color w:val="000000" w:themeColor="text1"/>
              </w:rPr>
              <w:t>Враховано</w:t>
            </w:r>
          </w:p>
        </w:tc>
        <w:tc>
          <w:tcPr>
            <w:tcW w:w="4818" w:type="dxa"/>
          </w:tcPr>
          <w:p w14:paraId="3A801AF5" w14:textId="13C49510" w:rsidR="00E43D33" w:rsidRPr="00286216" w:rsidRDefault="00E43D33" w:rsidP="00E43D33">
            <w:pPr>
              <w:pStyle w:val="StyleZakonu"/>
              <w:rPr>
                <w:color w:val="000000" w:themeColor="text1"/>
              </w:rPr>
            </w:pPr>
            <w:r w:rsidRPr="00286216">
              <w:rPr>
                <w:color w:val="000000" w:themeColor="text1"/>
              </w:rPr>
              <w:t>1) надання згоди на внесення емітентом змін до проспекту (рішення про емісію) в частині документа про цінні папери та/або внесення змін до правочинів щодо забезпечення виконання зобов’язань за облігаціями;</w:t>
            </w:r>
          </w:p>
        </w:tc>
      </w:tr>
      <w:tr w:rsidR="00E43D33" w:rsidRPr="00286216" w14:paraId="2119B470" w14:textId="77777777" w:rsidTr="00091AA5">
        <w:tc>
          <w:tcPr>
            <w:tcW w:w="576" w:type="dxa"/>
          </w:tcPr>
          <w:p w14:paraId="3D63A084" w14:textId="77777777" w:rsidR="00E43D33" w:rsidRPr="00286216" w:rsidRDefault="00E43D33" w:rsidP="00E43D33">
            <w:pPr>
              <w:pStyle w:val="StyleWisnow"/>
              <w:rPr>
                <w:color w:val="000000" w:themeColor="text1"/>
              </w:rPr>
            </w:pPr>
            <w:bookmarkStart w:id="1491" w:name="n1744" w:colFirst="0" w:colLast="0"/>
            <w:bookmarkEnd w:id="1490"/>
            <w:r w:rsidRPr="00286216">
              <w:rPr>
                <w:color w:val="000000" w:themeColor="text1"/>
              </w:rPr>
              <w:t>1744.</w:t>
            </w:r>
          </w:p>
        </w:tc>
        <w:tc>
          <w:tcPr>
            <w:tcW w:w="4818" w:type="dxa"/>
          </w:tcPr>
          <w:p w14:paraId="3211B162" w14:textId="77777777" w:rsidR="00E43D33" w:rsidRPr="00286216" w:rsidRDefault="00E43D33" w:rsidP="00E43D33">
            <w:pPr>
              <w:pStyle w:val="StyleZakonu"/>
              <w:rPr>
                <w:color w:val="000000" w:themeColor="text1"/>
              </w:rPr>
            </w:pPr>
            <w:r w:rsidRPr="00286216">
              <w:rPr>
                <w:color w:val="000000" w:themeColor="text1"/>
              </w:rPr>
              <w:t xml:space="preserve">2) надання згоди на вчинення емітентом та/або особами, які надають забезпечення за облігаціями, правочинів у випадках, визначених проспектом </w:t>
            </w:r>
            <w:r w:rsidRPr="00286216">
              <w:rPr>
                <w:color w:val="000000" w:themeColor="text1"/>
              </w:rPr>
              <w:lastRenderedPageBreak/>
              <w:t>(рішенням про емісію цінних паперів);</w:t>
            </w:r>
          </w:p>
        </w:tc>
        <w:tc>
          <w:tcPr>
            <w:tcW w:w="3686" w:type="dxa"/>
          </w:tcPr>
          <w:p w14:paraId="6BCED6BD" w14:textId="77777777" w:rsidR="00E43D33" w:rsidRPr="00286216" w:rsidRDefault="00E43D33" w:rsidP="00E43D33">
            <w:pPr>
              <w:pStyle w:val="StyleProp"/>
              <w:rPr>
                <w:color w:val="000000" w:themeColor="text1"/>
                <w:szCs w:val="18"/>
              </w:rPr>
            </w:pPr>
          </w:p>
        </w:tc>
        <w:tc>
          <w:tcPr>
            <w:tcW w:w="1987" w:type="dxa"/>
          </w:tcPr>
          <w:p w14:paraId="7910FE34" w14:textId="77777777" w:rsidR="00E43D33" w:rsidRPr="00286216" w:rsidRDefault="00E43D33" w:rsidP="00E43D33">
            <w:pPr>
              <w:pStyle w:val="StyleWisnow"/>
              <w:rPr>
                <w:color w:val="000000" w:themeColor="text1"/>
              </w:rPr>
            </w:pPr>
          </w:p>
        </w:tc>
        <w:tc>
          <w:tcPr>
            <w:tcW w:w="4818" w:type="dxa"/>
          </w:tcPr>
          <w:p w14:paraId="1BF50050" w14:textId="02055F24" w:rsidR="00E43D33" w:rsidRPr="00286216" w:rsidRDefault="00E43D33" w:rsidP="00E43D33">
            <w:pPr>
              <w:pStyle w:val="StyleZakonu"/>
              <w:rPr>
                <w:color w:val="000000" w:themeColor="text1"/>
              </w:rPr>
            </w:pPr>
            <w:r w:rsidRPr="00286216">
              <w:rPr>
                <w:color w:val="000000" w:themeColor="text1"/>
              </w:rPr>
              <w:t xml:space="preserve">2) надання згоди на вчинення емітентом та/або особами, які надають забезпечення за облігаціями, правочинів у випадках, визначених проспектом </w:t>
            </w:r>
            <w:r w:rsidRPr="00286216">
              <w:rPr>
                <w:color w:val="000000" w:themeColor="text1"/>
              </w:rPr>
              <w:lastRenderedPageBreak/>
              <w:t>(рішенням про емісію);</w:t>
            </w:r>
          </w:p>
        </w:tc>
      </w:tr>
      <w:tr w:rsidR="00E43D33" w:rsidRPr="00286216" w14:paraId="79FABDF4" w14:textId="77777777" w:rsidTr="00091AA5">
        <w:tc>
          <w:tcPr>
            <w:tcW w:w="576" w:type="dxa"/>
          </w:tcPr>
          <w:p w14:paraId="722BE914" w14:textId="77777777" w:rsidR="00E43D33" w:rsidRPr="00286216" w:rsidRDefault="00E43D33" w:rsidP="00E43D33">
            <w:pPr>
              <w:pStyle w:val="StyleWisnow"/>
              <w:rPr>
                <w:color w:val="000000" w:themeColor="text1"/>
              </w:rPr>
            </w:pPr>
            <w:bookmarkStart w:id="1492" w:name="n1745" w:colFirst="0" w:colLast="0"/>
            <w:bookmarkEnd w:id="1491"/>
            <w:r w:rsidRPr="00286216">
              <w:rPr>
                <w:color w:val="000000" w:themeColor="text1"/>
              </w:rPr>
              <w:lastRenderedPageBreak/>
              <w:t>1745.</w:t>
            </w:r>
          </w:p>
        </w:tc>
        <w:tc>
          <w:tcPr>
            <w:tcW w:w="4818" w:type="dxa"/>
          </w:tcPr>
          <w:p w14:paraId="19998D8B" w14:textId="77777777" w:rsidR="00E43D33" w:rsidRPr="00286216" w:rsidRDefault="00E43D33" w:rsidP="00E43D33">
            <w:pPr>
              <w:pStyle w:val="StyleZakonu"/>
              <w:rPr>
                <w:color w:val="000000" w:themeColor="text1"/>
              </w:rPr>
            </w:pPr>
            <w:r w:rsidRPr="00286216">
              <w:rPr>
                <w:color w:val="000000" w:themeColor="text1"/>
              </w:rPr>
              <w:t>3) надання згоди на тимчасове невиконання емітентом та/або особами, які надають забезпечення за облігаціями, обов’язків, визначених проспектом (рішенням про емісію цінних паперів) та/або правочинами щодо забезпечення виконання зобов’язань за облігаціями;</w:t>
            </w:r>
          </w:p>
        </w:tc>
        <w:tc>
          <w:tcPr>
            <w:tcW w:w="3686" w:type="dxa"/>
          </w:tcPr>
          <w:p w14:paraId="32D7C8EA" w14:textId="77777777" w:rsidR="00E43D33" w:rsidRPr="00286216" w:rsidRDefault="00E43D33" w:rsidP="00E43D33">
            <w:pPr>
              <w:pStyle w:val="StyleProp"/>
              <w:rPr>
                <w:color w:val="000000" w:themeColor="text1"/>
                <w:szCs w:val="18"/>
              </w:rPr>
            </w:pPr>
          </w:p>
        </w:tc>
        <w:tc>
          <w:tcPr>
            <w:tcW w:w="1987" w:type="dxa"/>
          </w:tcPr>
          <w:p w14:paraId="1B43946C" w14:textId="77777777" w:rsidR="00E43D33" w:rsidRPr="00286216" w:rsidRDefault="00E43D33" w:rsidP="00E43D33">
            <w:pPr>
              <w:pStyle w:val="StyleWisnow"/>
              <w:rPr>
                <w:color w:val="000000" w:themeColor="text1"/>
              </w:rPr>
            </w:pPr>
          </w:p>
        </w:tc>
        <w:tc>
          <w:tcPr>
            <w:tcW w:w="4818" w:type="dxa"/>
          </w:tcPr>
          <w:p w14:paraId="0AA1BDCB" w14:textId="0FE159C7" w:rsidR="00E43D33" w:rsidRPr="00286216" w:rsidRDefault="00E43D33" w:rsidP="00E43D33">
            <w:pPr>
              <w:pStyle w:val="StyleZakonu"/>
              <w:rPr>
                <w:color w:val="000000" w:themeColor="text1"/>
              </w:rPr>
            </w:pPr>
            <w:r w:rsidRPr="00286216">
              <w:rPr>
                <w:color w:val="000000" w:themeColor="text1"/>
              </w:rPr>
              <w:t>3) надання згоди на тимчасове невиконання емітентом та/або особами, які надають забезпечення за облігаціями, обов’язків, визначених проспектом (рішенням про емісію) та/або правочинами щодо забезпечення виконання зобов’язань за облігаціями;</w:t>
            </w:r>
          </w:p>
        </w:tc>
      </w:tr>
      <w:tr w:rsidR="00E43D33" w:rsidRPr="00286216" w14:paraId="7221E82B" w14:textId="77777777" w:rsidTr="00091AA5">
        <w:tc>
          <w:tcPr>
            <w:tcW w:w="576" w:type="dxa"/>
          </w:tcPr>
          <w:p w14:paraId="23563619" w14:textId="77777777" w:rsidR="00E43D33" w:rsidRPr="00286216" w:rsidRDefault="00E43D33" w:rsidP="00E43D33">
            <w:pPr>
              <w:pStyle w:val="StyleWisnow"/>
              <w:rPr>
                <w:color w:val="000000" w:themeColor="text1"/>
              </w:rPr>
            </w:pPr>
            <w:bookmarkStart w:id="1493" w:name="n1746" w:colFirst="0" w:colLast="0"/>
            <w:bookmarkEnd w:id="1492"/>
            <w:r w:rsidRPr="00286216">
              <w:rPr>
                <w:color w:val="000000" w:themeColor="text1"/>
              </w:rPr>
              <w:t>1746.</w:t>
            </w:r>
          </w:p>
        </w:tc>
        <w:tc>
          <w:tcPr>
            <w:tcW w:w="4818" w:type="dxa"/>
          </w:tcPr>
          <w:p w14:paraId="3D662BAF" w14:textId="77777777" w:rsidR="00E43D33" w:rsidRPr="00286216" w:rsidRDefault="00E43D33" w:rsidP="00E43D33">
            <w:pPr>
              <w:pStyle w:val="StyleZakonu"/>
              <w:rPr>
                <w:color w:val="000000" w:themeColor="text1"/>
              </w:rPr>
            </w:pPr>
            <w:r w:rsidRPr="00286216">
              <w:rPr>
                <w:color w:val="000000" w:themeColor="text1"/>
              </w:rPr>
              <w:t>4) прийняття рішення про відмову від пред’явлення вимоги про дострокове погашення облігацій такого випуску після настання дефолту, надання згоди на вчинення адміністратором дій (правочинів), вказаних у частині другій статті 117 цього Закону;</w:t>
            </w:r>
          </w:p>
        </w:tc>
        <w:tc>
          <w:tcPr>
            <w:tcW w:w="3686" w:type="dxa"/>
          </w:tcPr>
          <w:p w14:paraId="13A6A0CF" w14:textId="77777777" w:rsidR="00E43D33" w:rsidRPr="00286216" w:rsidRDefault="00E43D33" w:rsidP="00E43D33">
            <w:pPr>
              <w:pStyle w:val="StyleProp"/>
              <w:rPr>
                <w:color w:val="000000" w:themeColor="text1"/>
                <w:szCs w:val="18"/>
              </w:rPr>
            </w:pPr>
          </w:p>
        </w:tc>
        <w:tc>
          <w:tcPr>
            <w:tcW w:w="1987" w:type="dxa"/>
          </w:tcPr>
          <w:p w14:paraId="7A73DC91" w14:textId="77777777" w:rsidR="00E43D33" w:rsidRPr="00286216" w:rsidRDefault="00E43D33" w:rsidP="00E43D33">
            <w:pPr>
              <w:pStyle w:val="StyleWisnow"/>
              <w:rPr>
                <w:color w:val="000000" w:themeColor="text1"/>
              </w:rPr>
            </w:pPr>
          </w:p>
        </w:tc>
        <w:tc>
          <w:tcPr>
            <w:tcW w:w="4818" w:type="dxa"/>
          </w:tcPr>
          <w:p w14:paraId="49E1AFCB" w14:textId="0A31C462" w:rsidR="00E43D33" w:rsidRPr="00286216" w:rsidRDefault="00E43D33" w:rsidP="00E43D33">
            <w:pPr>
              <w:pStyle w:val="StyleZakonu"/>
              <w:rPr>
                <w:color w:val="000000" w:themeColor="text1"/>
              </w:rPr>
            </w:pPr>
            <w:r w:rsidRPr="00286216">
              <w:rPr>
                <w:color w:val="000000" w:themeColor="text1"/>
              </w:rPr>
              <w:t>4) прийняття рішення про відмову від пред’явлення вимоги про дострокове погашення облігацій такого випуску після настання дефолту, надання згоди на вчинення адміністратором дій (правочинів), зазначених у частині другій статті 121 цього Закону;</w:t>
            </w:r>
          </w:p>
        </w:tc>
      </w:tr>
      <w:tr w:rsidR="00E43D33" w:rsidRPr="00286216" w14:paraId="6D26DDC2" w14:textId="77777777" w:rsidTr="00091AA5">
        <w:tc>
          <w:tcPr>
            <w:tcW w:w="576" w:type="dxa"/>
          </w:tcPr>
          <w:p w14:paraId="19D4A944" w14:textId="77777777" w:rsidR="00E43D33" w:rsidRPr="00286216" w:rsidRDefault="00E43D33" w:rsidP="00E43D33">
            <w:pPr>
              <w:pStyle w:val="StyleWisnow"/>
              <w:rPr>
                <w:color w:val="000000" w:themeColor="text1"/>
              </w:rPr>
            </w:pPr>
            <w:bookmarkStart w:id="1494" w:name="n1747" w:colFirst="0" w:colLast="0"/>
            <w:bookmarkEnd w:id="1493"/>
            <w:r w:rsidRPr="00286216">
              <w:rPr>
                <w:color w:val="000000" w:themeColor="text1"/>
              </w:rPr>
              <w:t>1747.</w:t>
            </w:r>
          </w:p>
        </w:tc>
        <w:tc>
          <w:tcPr>
            <w:tcW w:w="4818" w:type="dxa"/>
          </w:tcPr>
          <w:p w14:paraId="0E6E620F" w14:textId="77777777" w:rsidR="00E43D33" w:rsidRPr="00286216" w:rsidRDefault="00E43D33" w:rsidP="00E43D33">
            <w:pPr>
              <w:pStyle w:val="StyleZakonu"/>
              <w:rPr>
                <w:color w:val="000000" w:themeColor="text1"/>
              </w:rPr>
            </w:pPr>
            <w:r w:rsidRPr="00286216">
              <w:rPr>
                <w:color w:val="000000" w:themeColor="text1"/>
              </w:rPr>
              <w:t>5) погодження умов реструктуризації заборгованості емітента та/або осіб, які надають забезпечення за облігаціями, перед власниками облігацій такого випуску;</w:t>
            </w:r>
          </w:p>
        </w:tc>
        <w:tc>
          <w:tcPr>
            <w:tcW w:w="3686" w:type="dxa"/>
          </w:tcPr>
          <w:p w14:paraId="3BB49072" w14:textId="77777777" w:rsidR="00E43D33" w:rsidRPr="00286216" w:rsidRDefault="00E43D33" w:rsidP="00E43D33">
            <w:pPr>
              <w:pStyle w:val="StyleProp"/>
              <w:rPr>
                <w:color w:val="000000" w:themeColor="text1"/>
                <w:szCs w:val="18"/>
              </w:rPr>
            </w:pPr>
          </w:p>
        </w:tc>
        <w:tc>
          <w:tcPr>
            <w:tcW w:w="1987" w:type="dxa"/>
          </w:tcPr>
          <w:p w14:paraId="19164BB2" w14:textId="77777777" w:rsidR="00E43D33" w:rsidRPr="00286216" w:rsidRDefault="00E43D33" w:rsidP="00E43D33">
            <w:pPr>
              <w:pStyle w:val="StyleWisnow"/>
              <w:rPr>
                <w:color w:val="000000" w:themeColor="text1"/>
              </w:rPr>
            </w:pPr>
          </w:p>
        </w:tc>
        <w:tc>
          <w:tcPr>
            <w:tcW w:w="4818" w:type="dxa"/>
          </w:tcPr>
          <w:p w14:paraId="07629CD2" w14:textId="01A0B33E" w:rsidR="00E43D33" w:rsidRPr="00286216" w:rsidRDefault="00E43D33" w:rsidP="00E43D33">
            <w:pPr>
              <w:pStyle w:val="StyleZakonu"/>
              <w:rPr>
                <w:color w:val="000000" w:themeColor="text1"/>
              </w:rPr>
            </w:pPr>
            <w:r w:rsidRPr="00286216">
              <w:rPr>
                <w:color w:val="000000" w:themeColor="text1"/>
              </w:rPr>
              <w:t>5) погодження умов реструктуризації заборгованості емітента та/або осіб, які надають забезпечення за облігаціями, перед власниками облігацій такого випуску;</w:t>
            </w:r>
          </w:p>
        </w:tc>
      </w:tr>
      <w:tr w:rsidR="00E43D33" w:rsidRPr="00286216" w14:paraId="0D0BE944" w14:textId="77777777" w:rsidTr="00091AA5">
        <w:tc>
          <w:tcPr>
            <w:tcW w:w="576" w:type="dxa"/>
          </w:tcPr>
          <w:p w14:paraId="07164188" w14:textId="77777777" w:rsidR="00E43D33" w:rsidRPr="00286216" w:rsidRDefault="00E43D33" w:rsidP="00E43D33">
            <w:pPr>
              <w:pStyle w:val="StyleWisnow"/>
              <w:rPr>
                <w:color w:val="000000" w:themeColor="text1"/>
              </w:rPr>
            </w:pPr>
            <w:bookmarkStart w:id="1495" w:name="n1748" w:colFirst="0" w:colLast="0"/>
            <w:bookmarkEnd w:id="1494"/>
            <w:r w:rsidRPr="00286216">
              <w:rPr>
                <w:color w:val="000000" w:themeColor="text1"/>
              </w:rPr>
              <w:t>1748.</w:t>
            </w:r>
          </w:p>
        </w:tc>
        <w:tc>
          <w:tcPr>
            <w:tcW w:w="4818" w:type="dxa"/>
          </w:tcPr>
          <w:p w14:paraId="7BDCC12A" w14:textId="77777777" w:rsidR="00E43D33" w:rsidRPr="00286216" w:rsidRDefault="00E43D33" w:rsidP="00E43D33">
            <w:pPr>
              <w:pStyle w:val="StyleZakonu"/>
              <w:rPr>
                <w:color w:val="000000" w:themeColor="text1"/>
              </w:rPr>
            </w:pPr>
            <w:r w:rsidRPr="00286216">
              <w:rPr>
                <w:color w:val="000000" w:themeColor="text1"/>
              </w:rPr>
              <w:t>6) погодження умов конвертації облігацій в акції (якщо емітентом облігацій є акціонерне товариство);</w:t>
            </w:r>
          </w:p>
        </w:tc>
        <w:tc>
          <w:tcPr>
            <w:tcW w:w="3686" w:type="dxa"/>
          </w:tcPr>
          <w:p w14:paraId="5EEB6264" w14:textId="77777777" w:rsidR="00E43D33" w:rsidRPr="00286216" w:rsidRDefault="00E43D33" w:rsidP="00E43D33">
            <w:pPr>
              <w:pStyle w:val="StyleProp"/>
              <w:rPr>
                <w:color w:val="000000" w:themeColor="text1"/>
                <w:szCs w:val="18"/>
              </w:rPr>
            </w:pPr>
          </w:p>
        </w:tc>
        <w:tc>
          <w:tcPr>
            <w:tcW w:w="1987" w:type="dxa"/>
          </w:tcPr>
          <w:p w14:paraId="072A732B" w14:textId="77777777" w:rsidR="00E43D33" w:rsidRPr="00286216" w:rsidRDefault="00E43D33" w:rsidP="00E43D33">
            <w:pPr>
              <w:pStyle w:val="StyleWisnow"/>
              <w:rPr>
                <w:color w:val="000000" w:themeColor="text1"/>
              </w:rPr>
            </w:pPr>
          </w:p>
        </w:tc>
        <w:tc>
          <w:tcPr>
            <w:tcW w:w="4818" w:type="dxa"/>
          </w:tcPr>
          <w:p w14:paraId="0290EE20" w14:textId="2B06A5B9" w:rsidR="00E43D33" w:rsidRPr="00286216" w:rsidRDefault="00E43D33" w:rsidP="00E43D33">
            <w:pPr>
              <w:pStyle w:val="StyleZakonu"/>
              <w:rPr>
                <w:color w:val="000000" w:themeColor="text1"/>
              </w:rPr>
            </w:pPr>
            <w:r w:rsidRPr="00286216">
              <w:rPr>
                <w:color w:val="000000" w:themeColor="text1"/>
              </w:rPr>
              <w:t>6) погодження умов конвертації облігацій в акції (якщо емітентом облігацій є акціонерне товариство);</w:t>
            </w:r>
          </w:p>
        </w:tc>
      </w:tr>
      <w:tr w:rsidR="00E43D33" w:rsidRPr="00286216" w14:paraId="6C2AFFD2" w14:textId="77777777" w:rsidTr="00091AA5">
        <w:tc>
          <w:tcPr>
            <w:tcW w:w="576" w:type="dxa"/>
          </w:tcPr>
          <w:p w14:paraId="1D008C8E" w14:textId="77777777" w:rsidR="00E43D33" w:rsidRPr="00286216" w:rsidRDefault="00E43D33" w:rsidP="00E43D33">
            <w:pPr>
              <w:pStyle w:val="StyleWisnow"/>
              <w:rPr>
                <w:color w:val="000000" w:themeColor="text1"/>
              </w:rPr>
            </w:pPr>
            <w:bookmarkStart w:id="1496" w:name="n1749" w:colFirst="0" w:colLast="0"/>
            <w:bookmarkEnd w:id="1495"/>
            <w:r w:rsidRPr="00286216">
              <w:rPr>
                <w:color w:val="000000" w:themeColor="text1"/>
              </w:rPr>
              <w:t>1749.</w:t>
            </w:r>
          </w:p>
        </w:tc>
        <w:tc>
          <w:tcPr>
            <w:tcW w:w="4818" w:type="dxa"/>
          </w:tcPr>
          <w:p w14:paraId="391CEC8F" w14:textId="77777777" w:rsidR="00E43D33" w:rsidRPr="00286216" w:rsidRDefault="00E43D33" w:rsidP="00E43D33">
            <w:pPr>
              <w:pStyle w:val="StyleZakonu"/>
              <w:rPr>
                <w:color w:val="000000" w:themeColor="text1"/>
              </w:rPr>
            </w:pPr>
            <w:r w:rsidRPr="00286216">
              <w:rPr>
                <w:color w:val="000000" w:themeColor="text1"/>
              </w:rPr>
              <w:t>7) наділення адміністратора повноваженнями іншими, ніж передбачені цим Законом;</w:t>
            </w:r>
          </w:p>
        </w:tc>
        <w:tc>
          <w:tcPr>
            <w:tcW w:w="3686" w:type="dxa"/>
          </w:tcPr>
          <w:p w14:paraId="25ABF165" w14:textId="77777777" w:rsidR="00E43D33" w:rsidRPr="00286216" w:rsidRDefault="00E43D33" w:rsidP="00E43D33">
            <w:pPr>
              <w:pStyle w:val="StyleProp"/>
              <w:rPr>
                <w:color w:val="000000" w:themeColor="text1"/>
                <w:szCs w:val="18"/>
              </w:rPr>
            </w:pPr>
          </w:p>
        </w:tc>
        <w:tc>
          <w:tcPr>
            <w:tcW w:w="1987" w:type="dxa"/>
          </w:tcPr>
          <w:p w14:paraId="50587DC4" w14:textId="77777777" w:rsidR="00E43D33" w:rsidRPr="00286216" w:rsidRDefault="00E43D33" w:rsidP="00E43D33">
            <w:pPr>
              <w:pStyle w:val="StyleWisnow"/>
              <w:rPr>
                <w:color w:val="000000" w:themeColor="text1"/>
              </w:rPr>
            </w:pPr>
          </w:p>
        </w:tc>
        <w:tc>
          <w:tcPr>
            <w:tcW w:w="4818" w:type="dxa"/>
          </w:tcPr>
          <w:p w14:paraId="6DDDAC61" w14:textId="4632A9CD" w:rsidR="00E43D33" w:rsidRPr="00286216" w:rsidRDefault="00E43D33" w:rsidP="00E43D33">
            <w:pPr>
              <w:pStyle w:val="StyleZakonu"/>
              <w:rPr>
                <w:color w:val="000000" w:themeColor="text1"/>
              </w:rPr>
            </w:pPr>
            <w:r w:rsidRPr="00286216">
              <w:rPr>
                <w:color w:val="000000" w:themeColor="text1"/>
              </w:rPr>
              <w:t>7) наділення адміністратора повноваженнями іншими, ніж передбачені цим Законом;</w:t>
            </w:r>
          </w:p>
        </w:tc>
      </w:tr>
      <w:tr w:rsidR="00E43D33" w:rsidRPr="00286216" w14:paraId="230CB8C2" w14:textId="77777777" w:rsidTr="00091AA5">
        <w:tc>
          <w:tcPr>
            <w:tcW w:w="576" w:type="dxa"/>
          </w:tcPr>
          <w:p w14:paraId="48A4FB6C" w14:textId="77777777" w:rsidR="00E43D33" w:rsidRPr="00286216" w:rsidRDefault="00E43D33" w:rsidP="00E43D33">
            <w:pPr>
              <w:pStyle w:val="StyleWisnow"/>
              <w:rPr>
                <w:color w:val="000000" w:themeColor="text1"/>
              </w:rPr>
            </w:pPr>
            <w:bookmarkStart w:id="1497" w:name="n1750" w:colFirst="0" w:colLast="0"/>
            <w:bookmarkEnd w:id="1496"/>
            <w:r w:rsidRPr="00286216">
              <w:rPr>
                <w:color w:val="000000" w:themeColor="text1"/>
              </w:rPr>
              <w:t>1750.</w:t>
            </w:r>
          </w:p>
        </w:tc>
        <w:tc>
          <w:tcPr>
            <w:tcW w:w="4818" w:type="dxa"/>
          </w:tcPr>
          <w:p w14:paraId="7C4E39DE" w14:textId="77777777" w:rsidR="00E43D33" w:rsidRPr="00286216" w:rsidRDefault="00E43D33" w:rsidP="00E43D33">
            <w:pPr>
              <w:pStyle w:val="StyleZakonu"/>
              <w:rPr>
                <w:color w:val="000000" w:themeColor="text1"/>
              </w:rPr>
            </w:pPr>
            <w:r w:rsidRPr="00286216">
              <w:rPr>
                <w:color w:val="000000" w:themeColor="text1"/>
              </w:rPr>
              <w:t>8) прийняття рішення про усунення від виконання або відмову від усунення від виконання адміністратора в разі наявності конфлікту інтересів та в інших випадках, передбачених цим Законом та/або проспектом (рішенням про емісію цінних паперів);</w:t>
            </w:r>
          </w:p>
        </w:tc>
        <w:tc>
          <w:tcPr>
            <w:tcW w:w="3686" w:type="dxa"/>
          </w:tcPr>
          <w:p w14:paraId="600EFF78" w14:textId="0925DC0A" w:rsidR="00E43D33" w:rsidRPr="00286216" w:rsidRDefault="00E43D33" w:rsidP="00E43D33">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969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A6B8851" w14:textId="77777777" w:rsidR="00E43D33" w:rsidRPr="00286216" w:rsidRDefault="00E43D33" w:rsidP="00E43D33">
            <w:pPr>
              <w:pStyle w:val="StyleProp"/>
              <w:rPr>
                <w:color w:val="000000" w:themeColor="text1"/>
                <w:szCs w:val="18"/>
              </w:rPr>
            </w:pPr>
            <w:r w:rsidRPr="00286216">
              <w:rPr>
                <w:color w:val="000000" w:themeColor="text1"/>
                <w:szCs w:val="18"/>
              </w:rPr>
              <w:t>У пункті 8 частини другої статті 105 слова «усунення від виконання або відмову від усунення від виконання  адміністратора» замінити словами «усунення від виконання обов’язків адміністратора або відмову від усунення від виконання  обов’язків адміністратора».</w:t>
            </w:r>
          </w:p>
        </w:tc>
        <w:tc>
          <w:tcPr>
            <w:tcW w:w="1987" w:type="dxa"/>
          </w:tcPr>
          <w:p w14:paraId="4A597094" w14:textId="77777777" w:rsidR="00E43D33" w:rsidRPr="00286216" w:rsidRDefault="00E43D33" w:rsidP="00E43D33">
            <w:pPr>
              <w:pStyle w:val="StyleWisnow"/>
              <w:rPr>
                <w:color w:val="000000" w:themeColor="text1"/>
              </w:rPr>
            </w:pPr>
            <w:r w:rsidRPr="00286216">
              <w:rPr>
                <w:color w:val="000000" w:themeColor="text1"/>
              </w:rPr>
              <w:t>Враховано</w:t>
            </w:r>
          </w:p>
        </w:tc>
        <w:tc>
          <w:tcPr>
            <w:tcW w:w="4818" w:type="dxa"/>
          </w:tcPr>
          <w:p w14:paraId="6440BFD8" w14:textId="0A64496C" w:rsidR="00E43D33" w:rsidRPr="00286216" w:rsidRDefault="00E43D33" w:rsidP="00E43D33">
            <w:pPr>
              <w:pStyle w:val="StyleZakonu"/>
              <w:rPr>
                <w:color w:val="000000" w:themeColor="text1"/>
              </w:rPr>
            </w:pPr>
            <w:r w:rsidRPr="00286216">
              <w:rPr>
                <w:color w:val="000000" w:themeColor="text1"/>
              </w:rPr>
              <w:t xml:space="preserve">8) прийняття рішення про усунення від виконання або відмову від </w:t>
            </w:r>
            <w:r w:rsidRPr="00286216">
              <w:rPr>
                <w:color w:val="000000" w:themeColor="text1"/>
                <w:szCs w:val="18"/>
              </w:rPr>
              <w:t>усунення від виконання обов’язків адміністратора або відмову від усунення від виконання  обов’язків адміністратора</w:t>
            </w:r>
            <w:r w:rsidRPr="00286216">
              <w:rPr>
                <w:color w:val="000000" w:themeColor="text1"/>
              </w:rPr>
              <w:t xml:space="preserve"> в разі наявності конфлікту інтересів та в інших випадках, передбачених цим Законом та/або проспектом (рішенням про емісію);</w:t>
            </w:r>
          </w:p>
        </w:tc>
      </w:tr>
      <w:tr w:rsidR="00E43D33" w:rsidRPr="00286216" w14:paraId="6D245FBC" w14:textId="77777777" w:rsidTr="00091AA5">
        <w:tc>
          <w:tcPr>
            <w:tcW w:w="576" w:type="dxa"/>
          </w:tcPr>
          <w:p w14:paraId="3A18A48C" w14:textId="77777777" w:rsidR="00E43D33" w:rsidRPr="00286216" w:rsidRDefault="00E43D33" w:rsidP="00E43D33">
            <w:pPr>
              <w:pStyle w:val="StyleWisnow"/>
              <w:rPr>
                <w:color w:val="000000" w:themeColor="text1"/>
              </w:rPr>
            </w:pPr>
            <w:bookmarkStart w:id="1498" w:name="n1751" w:colFirst="0" w:colLast="0"/>
            <w:bookmarkEnd w:id="1497"/>
            <w:r w:rsidRPr="00286216">
              <w:rPr>
                <w:color w:val="000000" w:themeColor="text1"/>
              </w:rPr>
              <w:t>1751.</w:t>
            </w:r>
          </w:p>
        </w:tc>
        <w:tc>
          <w:tcPr>
            <w:tcW w:w="4818" w:type="dxa"/>
          </w:tcPr>
          <w:p w14:paraId="5E6D5FEE" w14:textId="77777777" w:rsidR="00E43D33" w:rsidRPr="00286216" w:rsidRDefault="00E43D33" w:rsidP="00E43D33">
            <w:pPr>
              <w:pStyle w:val="StyleZakonu"/>
              <w:rPr>
                <w:color w:val="000000" w:themeColor="text1"/>
              </w:rPr>
            </w:pPr>
            <w:r w:rsidRPr="00286216">
              <w:rPr>
                <w:color w:val="000000" w:themeColor="text1"/>
              </w:rPr>
              <w:t>9) обрання адміністратора у разі, якщо він не був призначений емітентом у строки, що визначені цим Законом або проспектом (рішенням про емісію цінних паперів) (у тому числі в разі порушення емітентом обов’язку реєстрації відповідних змін до проспекту (рішення про емісію цінних паперів), якщо призначення адміністратора передбачене проспектом (рішенням про емісію цінних паперів), або у разі настання дефолту;</w:t>
            </w:r>
          </w:p>
        </w:tc>
        <w:tc>
          <w:tcPr>
            <w:tcW w:w="3686" w:type="dxa"/>
          </w:tcPr>
          <w:p w14:paraId="25061BD5" w14:textId="77777777" w:rsidR="00E43D33" w:rsidRPr="00286216" w:rsidRDefault="00E43D33" w:rsidP="00E43D33">
            <w:pPr>
              <w:pStyle w:val="StyleProp"/>
              <w:rPr>
                <w:color w:val="000000" w:themeColor="text1"/>
                <w:szCs w:val="18"/>
              </w:rPr>
            </w:pPr>
          </w:p>
        </w:tc>
        <w:tc>
          <w:tcPr>
            <w:tcW w:w="1987" w:type="dxa"/>
          </w:tcPr>
          <w:p w14:paraId="76668335" w14:textId="77777777" w:rsidR="00E43D33" w:rsidRPr="00286216" w:rsidRDefault="00E43D33" w:rsidP="00E43D33">
            <w:pPr>
              <w:pStyle w:val="StyleWisnow"/>
              <w:rPr>
                <w:color w:val="000000" w:themeColor="text1"/>
              </w:rPr>
            </w:pPr>
          </w:p>
        </w:tc>
        <w:tc>
          <w:tcPr>
            <w:tcW w:w="4818" w:type="dxa"/>
          </w:tcPr>
          <w:p w14:paraId="55C4775F" w14:textId="6997CE7C" w:rsidR="00E43D33" w:rsidRPr="00286216" w:rsidRDefault="00E43D33" w:rsidP="00E43D33">
            <w:pPr>
              <w:pStyle w:val="StyleZakonu"/>
              <w:rPr>
                <w:color w:val="000000" w:themeColor="text1"/>
              </w:rPr>
            </w:pPr>
            <w:r w:rsidRPr="00286216">
              <w:rPr>
                <w:color w:val="000000" w:themeColor="text1"/>
              </w:rPr>
              <w:t>9) обрання адміністратора у разі, якщо він не був призначений емітентом у строки, визначені цим Законом або проспектом (рішенням про емісію) у тому числі в разі порушення емітентом обов’язку реєстрації відповідних змін до проспекту (рішення про емісію), якщо призначення адміністратора передбачене проспектом (рішенням про емісію), або в разі настання дефолту;</w:t>
            </w:r>
          </w:p>
        </w:tc>
      </w:tr>
      <w:tr w:rsidR="00E43D33" w:rsidRPr="00286216" w14:paraId="313315BA" w14:textId="77777777" w:rsidTr="00091AA5">
        <w:tc>
          <w:tcPr>
            <w:tcW w:w="576" w:type="dxa"/>
          </w:tcPr>
          <w:p w14:paraId="2779A28A" w14:textId="77777777" w:rsidR="00E43D33" w:rsidRPr="00286216" w:rsidRDefault="00E43D33" w:rsidP="00E43D33">
            <w:pPr>
              <w:pStyle w:val="StyleWisnow"/>
              <w:rPr>
                <w:color w:val="000000" w:themeColor="text1"/>
              </w:rPr>
            </w:pPr>
            <w:bookmarkStart w:id="1499" w:name="n1752" w:colFirst="0" w:colLast="0"/>
            <w:bookmarkEnd w:id="1498"/>
            <w:r w:rsidRPr="00286216">
              <w:rPr>
                <w:color w:val="000000" w:themeColor="text1"/>
              </w:rPr>
              <w:t>1752.</w:t>
            </w:r>
          </w:p>
        </w:tc>
        <w:tc>
          <w:tcPr>
            <w:tcW w:w="4818" w:type="dxa"/>
          </w:tcPr>
          <w:p w14:paraId="005D49B3" w14:textId="77777777" w:rsidR="00E43D33" w:rsidRPr="00286216" w:rsidRDefault="00E43D33" w:rsidP="00E43D33">
            <w:pPr>
              <w:pStyle w:val="StyleZakonu"/>
              <w:rPr>
                <w:color w:val="000000" w:themeColor="text1"/>
              </w:rPr>
            </w:pPr>
            <w:r w:rsidRPr="00286216">
              <w:rPr>
                <w:color w:val="000000" w:themeColor="text1"/>
              </w:rPr>
              <w:t>10) вирішення інших питань, що віднесені до компетенції зборів власників облігацій законом, нормативно-правовими актами Національної комісії з цінних паперів та фондового ринку та/або проспектом (рішенням про емісію цінних паперів).</w:t>
            </w:r>
          </w:p>
        </w:tc>
        <w:tc>
          <w:tcPr>
            <w:tcW w:w="3686" w:type="dxa"/>
          </w:tcPr>
          <w:p w14:paraId="15E10909" w14:textId="77777777" w:rsidR="00E43D33" w:rsidRPr="00286216" w:rsidRDefault="00E43D33" w:rsidP="00E43D33">
            <w:pPr>
              <w:pStyle w:val="StyleProp"/>
              <w:rPr>
                <w:color w:val="000000" w:themeColor="text1"/>
                <w:szCs w:val="18"/>
              </w:rPr>
            </w:pPr>
          </w:p>
        </w:tc>
        <w:tc>
          <w:tcPr>
            <w:tcW w:w="1987" w:type="dxa"/>
          </w:tcPr>
          <w:p w14:paraId="752449CD" w14:textId="77777777" w:rsidR="00E43D33" w:rsidRPr="00286216" w:rsidRDefault="00E43D33" w:rsidP="00E43D33">
            <w:pPr>
              <w:pStyle w:val="StyleWisnow"/>
              <w:rPr>
                <w:color w:val="000000" w:themeColor="text1"/>
              </w:rPr>
            </w:pPr>
          </w:p>
        </w:tc>
        <w:tc>
          <w:tcPr>
            <w:tcW w:w="4818" w:type="dxa"/>
          </w:tcPr>
          <w:p w14:paraId="0C303A23" w14:textId="4DE9A1FD" w:rsidR="00E43D33" w:rsidRPr="00286216" w:rsidRDefault="00E43D33" w:rsidP="00E43D33">
            <w:pPr>
              <w:pStyle w:val="StyleZakonu"/>
              <w:rPr>
                <w:color w:val="000000" w:themeColor="text1"/>
              </w:rPr>
            </w:pPr>
            <w:r w:rsidRPr="00286216">
              <w:rPr>
                <w:color w:val="000000" w:themeColor="text1"/>
              </w:rPr>
              <w:t>10) вирішення інших питань, що належить до компетенції зборів власників облігацій, відповідно до закону, нормативно-правових актів Національної комісії з цінних паперів та фондового ринку та/або проспекту (рішення про емісію).</w:t>
            </w:r>
          </w:p>
        </w:tc>
      </w:tr>
      <w:tr w:rsidR="00E43D33" w:rsidRPr="00286216" w14:paraId="2B155D79" w14:textId="77777777" w:rsidTr="00091AA5">
        <w:tc>
          <w:tcPr>
            <w:tcW w:w="576" w:type="dxa"/>
          </w:tcPr>
          <w:p w14:paraId="0FD53F37" w14:textId="77777777" w:rsidR="00E43D33" w:rsidRPr="00286216" w:rsidRDefault="00E43D33" w:rsidP="00E43D33">
            <w:pPr>
              <w:pStyle w:val="StyleWisnow"/>
              <w:rPr>
                <w:color w:val="000000" w:themeColor="text1"/>
              </w:rPr>
            </w:pPr>
            <w:bookmarkStart w:id="1500" w:name="n1753" w:colFirst="0" w:colLast="0"/>
            <w:bookmarkEnd w:id="1499"/>
            <w:r w:rsidRPr="00286216">
              <w:rPr>
                <w:color w:val="000000" w:themeColor="text1"/>
              </w:rPr>
              <w:t>1753.</w:t>
            </w:r>
          </w:p>
        </w:tc>
        <w:tc>
          <w:tcPr>
            <w:tcW w:w="4818" w:type="dxa"/>
          </w:tcPr>
          <w:p w14:paraId="02E6CEC4" w14:textId="77777777" w:rsidR="00E43D33" w:rsidRPr="00286216" w:rsidRDefault="00E43D33" w:rsidP="00E43D33">
            <w:pPr>
              <w:pStyle w:val="StyleZakonu"/>
              <w:rPr>
                <w:color w:val="000000" w:themeColor="text1"/>
              </w:rPr>
            </w:pPr>
            <w:r w:rsidRPr="00286216">
              <w:rPr>
                <w:color w:val="000000" w:themeColor="text1"/>
              </w:rPr>
              <w:t xml:space="preserve">Один чи декілька власників облігацій, які у </w:t>
            </w:r>
            <w:r w:rsidRPr="00286216">
              <w:rPr>
                <w:color w:val="000000" w:themeColor="text1"/>
              </w:rPr>
              <w:lastRenderedPageBreak/>
              <w:t>сукупності володіють облігаціями, сумарна номінальна вартість яких не менша ніж 10 відсотків від загальної номінальної вартості непогашених облігацій відповідного випуску облігацій, емітент або адміністратор можуть винести на розгляд зборів власників облігацій такого випуску будь-яке питання, що стосується умов розміщення, обігу, погашення облігацій такого випуску, прав власників облігацій такого випуску, обов’язків емітента та осіб, які надають забезпечення за облігаціями, прав та обов’язків адміністратора.</w:t>
            </w:r>
          </w:p>
        </w:tc>
        <w:tc>
          <w:tcPr>
            <w:tcW w:w="3686" w:type="dxa"/>
          </w:tcPr>
          <w:p w14:paraId="6B96E801" w14:textId="77777777" w:rsidR="00E43D33" w:rsidRPr="00286216" w:rsidRDefault="00E43D33" w:rsidP="00E43D33">
            <w:pPr>
              <w:pStyle w:val="StyleProp"/>
              <w:rPr>
                <w:color w:val="000000" w:themeColor="text1"/>
                <w:szCs w:val="18"/>
              </w:rPr>
            </w:pPr>
          </w:p>
        </w:tc>
        <w:tc>
          <w:tcPr>
            <w:tcW w:w="1987" w:type="dxa"/>
          </w:tcPr>
          <w:p w14:paraId="174F4E0D" w14:textId="77777777" w:rsidR="00E43D33" w:rsidRPr="00286216" w:rsidRDefault="00E43D33" w:rsidP="00E43D33">
            <w:pPr>
              <w:pStyle w:val="StyleWisnow"/>
              <w:rPr>
                <w:color w:val="000000" w:themeColor="text1"/>
              </w:rPr>
            </w:pPr>
          </w:p>
        </w:tc>
        <w:tc>
          <w:tcPr>
            <w:tcW w:w="4818" w:type="dxa"/>
          </w:tcPr>
          <w:p w14:paraId="5872117A" w14:textId="4E2088AE" w:rsidR="00E43D33" w:rsidRPr="00286216" w:rsidRDefault="00E43D33" w:rsidP="00E43D33">
            <w:pPr>
              <w:pStyle w:val="StyleZakonu"/>
              <w:rPr>
                <w:color w:val="000000" w:themeColor="text1"/>
              </w:rPr>
            </w:pPr>
            <w:r w:rsidRPr="00286216">
              <w:rPr>
                <w:color w:val="000000" w:themeColor="text1"/>
              </w:rPr>
              <w:t xml:space="preserve">Один чи декілька власників облігацій, які у </w:t>
            </w:r>
            <w:r w:rsidRPr="00286216">
              <w:rPr>
                <w:color w:val="000000" w:themeColor="text1"/>
              </w:rPr>
              <w:lastRenderedPageBreak/>
              <w:t>сукупності володіють облігаціями, сумарна номінальна вартість яких не менша ніж 10 відсотків загальної номінальної вартості непогашених облігацій відповідного випуску облігацій, емітент або адміністратор можуть внести на розгляд зборів власників облігацій такого випуску будь-яке питання, що стосується умов розміщення, обігу, погашення облігацій такого випуску, прав власників облігацій такого випуску, обов’язків емітента та осіб, які надають забезпечення за облігаціями, прав та обов’язків адміністратора.</w:t>
            </w:r>
          </w:p>
        </w:tc>
      </w:tr>
      <w:tr w:rsidR="00E43D33" w:rsidRPr="00286216" w14:paraId="5207307E" w14:textId="77777777" w:rsidTr="00091AA5">
        <w:tc>
          <w:tcPr>
            <w:tcW w:w="576" w:type="dxa"/>
          </w:tcPr>
          <w:p w14:paraId="6DAFB0DD" w14:textId="77777777" w:rsidR="00E43D33" w:rsidRPr="00286216" w:rsidRDefault="00E43D33" w:rsidP="00E43D33">
            <w:pPr>
              <w:pStyle w:val="StyleWisnow"/>
              <w:rPr>
                <w:color w:val="000000" w:themeColor="text1"/>
              </w:rPr>
            </w:pPr>
            <w:bookmarkStart w:id="1501" w:name="n1754" w:colFirst="0" w:colLast="0"/>
            <w:bookmarkEnd w:id="1500"/>
            <w:r w:rsidRPr="00286216">
              <w:rPr>
                <w:color w:val="000000" w:themeColor="text1"/>
              </w:rPr>
              <w:lastRenderedPageBreak/>
              <w:t>1754.</w:t>
            </w:r>
          </w:p>
        </w:tc>
        <w:tc>
          <w:tcPr>
            <w:tcW w:w="4818" w:type="dxa"/>
          </w:tcPr>
          <w:p w14:paraId="0820FA30" w14:textId="77777777" w:rsidR="00E43D33" w:rsidRPr="00286216" w:rsidRDefault="00E43D33" w:rsidP="00E43D33">
            <w:pPr>
              <w:pStyle w:val="StyleZakonu"/>
              <w:rPr>
                <w:color w:val="000000" w:themeColor="text1"/>
              </w:rPr>
            </w:pPr>
            <w:r w:rsidRPr="00286216">
              <w:rPr>
                <w:color w:val="000000" w:themeColor="text1"/>
              </w:rPr>
              <w:t>3. Рішення зборів власників облігацій можуть стосуватися будь-яких питань, що належать до їх компетенції, у тому числі таких, які можуть виникнути у майбутньому, обумовлювати надання повноважень, згоди, настання інших правових наслідків настанням обставин чи виконанням умов, що не суперечать законодавству.</w:t>
            </w:r>
          </w:p>
        </w:tc>
        <w:tc>
          <w:tcPr>
            <w:tcW w:w="3686" w:type="dxa"/>
          </w:tcPr>
          <w:p w14:paraId="742AA620" w14:textId="77777777" w:rsidR="00E43D33" w:rsidRPr="00286216" w:rsidRDefault="00E43D33" w:rsidP="00E43D33">
            <w:pPr>
              <w:pStyle w:val="StyleProp"/>
              <w:rPr>
                <w:color w:val="000000" w:themeColor="text1"/>
                <w:szCs w:val="18"/>
              </w:rPr>
            </w:pPr>
          </w:p>
        </w:tc>
        <w:tc>
          <w:tcPr>
            <w:tcW w:w="1987" w:type="dxa"/>
          </w:tcPr>
          <w:p w14:paraId="23341DA7" w14:textId="77777777" w:rsidR="00E43D33" w:rsidRPr="00286216" w:rsidRDefault="00E43D33" w:rsidP="00E43D33">
            <w:pPr>
              <w:pStyle w:val="StyleWisnow"/>
              <w:rPr>
                <w:color w:val="000000" w:themeColor="text1"/>
              </w:rPr>
            </w:pPr>
          </w:p>
        </w:tc>
        <w:tc>
          <w:tcPr>
            <w:tcW w:w="4818" w:type="dxa"/>
          </w:tcPr>
          <w:p w14:paraId="2162453E" w14:textId="11D83678" w:rsidR="00E43D33" w:rsidRPr="00286216" w:rsidRDefault="00E43D33" w:rsidP="00E43D33">
            <w:pPr>
              <w:pStyle w:val="StyleZakonu"/>
              <w:rPr>
                <w:color w:val="000000" w:themeColor="text1"/>
              </w:rPr>
            </w:pPr>
            <w:r w:rsidRPr="00286216">
              <w:rPr>
                <w:color w:val="000000" w:themeColor="text1"/>
              </w:rPr>
              <w:t>3. Рішення зборів власників облігацій можуть стосуватися будь-яких питань, що належать до їх компетенції, у тому числі таких, які можуть виникнути у майбутньому, обумовлювати надання повноважень, згоди, настання інших правових наслідків настанням обставин чи виконанням умов, що не суперечать законодавству.</w:t>
            </w:r>
          </w:p>
        </w:tc>
      </w:tr>
      <w:tr w:rsidR="00E43D33" w:rsidRPr="00286216" w14:paraId="1EEF044A" w14:textId="77777777" w:rsidTr="00091AA5">
        <w:tc>
          <w:tcPr>
            <w:tcW w:w="576" w:type="dxa"/>
          </w:tcPr>
          <w:p w14:paraId="78DC2ADC" w14:textId="77777777" w:rsidR="00E43D33" w:rsidRPr="00286216" w:rsidRDefault="00E43D33" w:rsidP="00E43D33">
            <w:pPr>
              <w:pStyle w:val="StyleWisnow"/>
              <w:rPr>
                <w:color w:val="000000" w:themeColor="text1"/>
              </w:rPr>
            </w:pPr>
            <w:bookmarkStart w:id="1502" w:name="n1755" w:colFirst="0" w:colLast="0"/>
            <w:bookmarkEnd w:id="1501"/>
            <w:r w:rsidRPr="00286216">
              <w:rPr>
                <w:color w:val="000000" w:themeColor="text1"/>
              </w:rPr>
              <w:t>1755.</w:t>
            </w:r>
          </w:p>
        </w:tc>
        <w:tc>
          <w:tcPr>
            <w:tcW w:w="4818" w:type="dxa"/>
          </w:tcPr>
          <w:p w14:paraId="31653900" w14:textId="77777777" w:rsidR="00E43D33" w:rsidRPr="00286216" w:rsidRDefault="00E43D33" w:rsidP="00E43D33">
            <w:pPr>
              <w:pStyle w:val="StyleZakonu"/>
              <w:rPr>
                <w:color w:val="000000" w:themeColor="text1"/>
              </w:rPr>
            </w:pPr>
            <w:r w:rsidRPr="00286216">
              <w:rPr>
                <w:color w:val="000000" w:themeColor="text1"/>
              </w:rPr>
              <w:t>Рішення зборів власників облігацій є обов’язковим для всіх власників облігацій відповідного випуску, у тому числі тих, які голосували проти такого рішення, не брали участі в голосуванні або не мали права голосу.</w:t>
            </w:r>
          </w:p>
        </w:tc>
        <w:tc>
          <w:tcPr>
            <w:tcW w:w="3686" w:type="dxa"/>
          </w:tcPr>
          <w:p w14:paraId="1348913D" w14:textId="77777777" w:rsidR="00E43D33" w:rsidRPr="00286216" w:rsidRDefault="00E43D33" w:rsidP="00E43D33">
            <w:pPr>
              <w:pStyle w:val="StyleProp"/>
              <w:rPr>
                <w:color w:val="000000" w:themeColor="text1"/>
                <w:szCs w:val="18"/>
              </w:rPr>
            </w:pPr>
          </w:p>
        </w:tc>
        <w:tc>
          <w:tcPr>
            <w:tcW w:w="1987" w:type="dxa"/>
          </w:tcPr>
          <w:p w14:paraId="61F89BA3" w14:textId="77777777" w:rsidR="00E43D33" w:rsidRPr="00286216" w:rsidRDefault="00E43D33" w:rsidP="00E43D33">
            <w:pPr>
              <w:pStyle w:val="StyleWisnow"/>
              <w:rPr>
                <w:color w:val="000000" w:themeColor="text1"/>
              </w:rPr>
            </w:pPr>
          </w:p>
        </w:tc>
        <w:tc>
          <w:tcPr>
            <w:tcW w:w="4818" w:type="dxa"/>
          </w:tcPr>
          <w:p w14:paraId="1977AB30" w14:textId="70C6B216" w:rsidR="00E43D33" w:rsidRPr="00286216" w:rsidRDefault="00E43D33" w:rsidP="00E43D33">
            <w:pPr>
              <w:pStyle w:val="StyleZakonu"/>
              <w:rPr>
                <w:color w:val="000000" w:themeColor="text1"/>
              </w:rPr>
            </w:pPr>
            <w:r w:rsidRPr="00286216">
              <w:rPr>
                <w:color w:val="000000" w:themeColor="text1"/>
              </w:rPr>
              <w:t>Рішення зборів власників облігацій є обов’язковим для всіх власників облігацій відповідного випуску, у тому числі тих, які голосували проти такого рішення, не брали участі в голосуванні або не мали права голосу.</w:t>
            </w:r>
          </w:p>
        </w:tc>
      </w:tr>
      <w:tr w:rsidR="00E43D33" w:rsidRPr="00286216" w14:paraId="4C524ADE" w14:textId="77777777" w:rsidTr="00091AA5">
        <w:tc>
          <w:tcPr>
            <w:tcW w:w="576" w:type="dxa"/>
          </w:tcPr>
          <w:p w14:paraId="52845908" w14:textId="77777777" w:rsidR="00E43D33" w:rsidRPr="00286216" w:rsidRDefault="00E43D33" w:rsidP="00E43D33">
            <w:pPr>
              <w:pStyle w:val="StyleWisnow"/>
              <w:rPr>
                <w:color w:val="000000" w:themeColor="text1"/>
              </w:rPr>
            </w:pPr>
            <w:bookmarkStart w:id="1503" w:name="n1756" w:colFirst="0" w:colLast="0"/>
            <w:bookmarkEnd w:id="1502"/>
            <w:r w:rsidRPr="00286216">
              <w:rPr>
                <w:color w:val="000000" w:themeColor="text1"/>
              </w:rPr>
              <w:t>1756.</w:t>
            </w:r>
          </w:p>
        </w:tc>
        <w:tc>
          <w:tcPr>
            <w:tcW w:w="4818" w:type="dxa"/>
          </w:tcPr>
          <w:p w14:paraId="3A58730E" w14:textId="77777777" w:rsidR="00E43D33" w:rsidRPr="00286216" w:rsidRDefault="00E43D33" w:rsidP="00E43D33">
            <w:pPr>
              <w:pStyle w:val="StyleZakonu"/>
              <w:rPr>
                <w:color w:val="000000" w:themeColor="text1"/>
              </w:rPr>
            </w:pPr>
            <w:r w:rsidRPr="00286216">
              <w:rPr>
                <w:color w:val="000000" w:themeColor="text1"/>
              </w:rPr>
              <w:t>Рішення зборів власників облігацій має передбачати однакові умови для всіх власників облігацій одного випуску, крім випадку, коли власники облігацій такого випуску, до яких застосовуються менш сприятливі умови, прямо погодилися з таким рішенням.</w:t>
            </w:r>
          </w:p>
        </w:tc>
        <w:tc>
          <w:tcPr>
            <w:tcW w:w="3686" w:type="dxa"/>
          </w:tcPr>
          <w:p w14:paraId="6E42B02F" w14:textId="77777777" w:rsidR="00E43D33" w:rsidRPr="00286216" w:rsidRDefault="00E43D33" w:rsidP="00E43D33">
            <w:pPr>
              <w:pStyle w:val="StyleProp"/>
              <w:rPr>
                <w:color w:val="000000" w:themeColor="text1"/>
                <w:szCs w:val="18"/>
              </w:rPr>
            </w:pPr>
          </w:p>
        </w:tc>
        <w:tc>
          <w:tcPr>
            <w:tcW w:w="1987" w:type="dxa"/>
          </w:tcPr>
          <w:p w14:paraId="0F6DDB96" w14:textId="77777777" w:rsidR="00E43D33" w:rsidRPr="00286216" w:rsidRDefault="00E43D33" w:rsidP="00E43D33">
            <w:pPr>
              <w:pStyle w:val="StyleWisnow"/>
              <w:rPr>
                <w:color w:val="000000" w:themeColor="text1"/>
              </w:rPr>
            </w:pPr>
          </w:p>
        </w:tc>
        <w:tc>
          <w:tcPr>
            <w:tcW w:w="4818" w:type="dxa"/>
          </w:tcPr>
          <w:p w14:paraId="048DBB2C" w14:textId="6543BE76" w:rsidR="00E43D33" w:rsidRPr="00286216" w:rsidRDefault="00E43D33" w:rsidP="00E43D33">
            <w:pPr>
              <w:pStyle w:val="StyleZakonu"/>
              <w:rPr>
                <w:color w:val="000000" w:themeColor="text1"/>
              </w:rPr>
            </w:pPr>
            <w:r w:rsidRPr="00286216">
              <w:rPr>
                <w:color w:val="000000" w:themeColor="text1"/>
              </w:rPr>
              <w:t>Рішення зборів власників облігацій має передбачати однакові умови для всіх власників облігацій одного випуску, крім випадку, якщо власники облігацій такого випуску, до яких застосовуються менш сприятливі умови, прямо погодилися з таким рішенням.</w:t>
            </w:r>
          </w:p>
        </w:tc>
      </w:tr>
      <w:tr w:rsidR="00E43D33" w:rsidRPr="00286216" w14:paraId="2168FF99" w14:textId="77777777" w:rsidTr="00091AA5">
        <w:tc>
          <w:tcPr>
            <w:tcW w:w="576" w:type="dxa"/>
          </w:tcPr>
          <w:p w14:paraId="0C0F1638" w14:textId="77777777" w:rsidR="00E43D33" w:rsidRPr="00286216" w:rsidRDefault="00E43D33" w:rsidP="00E43D33">
            <w:pPr>
              <w:pStyle w:val="StyleWisnow"/>
              <w:rPr>
                <w:color w:val="000000" w:themeColor="text1"/>
              </w:rPr>
            </w:pPr>
            <w:bookmarkStart w:id="1504" w:name="n1757" w:colFirst="0" w:colLast="0"/>
            <w:bookmarkEnd w:id="1503"/>
            <w:r w:rsidRPr="00286216">
              <w:rPr>
                <w:color w:val="000000" w:themeColor="text1"/>
              </w:rPr>
              <w:t>1757.</w:t>
            </w:r>
          </w:p>
        </w:tc>
        <w:tc>
          <w:tcPr>
            <w:tcW w:w="4818" w:type="dxa"/>
          </w:tcPr>
          <w:p w14:paraId="39D42794" w14:textId="77777777" w:rsidR="00E43D33" w:rsidRPr="00286216" w:rsidRDefault="00E43D33" w:rsidP="00E43D33">
            <w:pPr>
              <w:pStyle w:val="StyleZakonu"/>
              <w:rPr>
                <w:color w:val="000000" w:themeColor="text1"/>
              </w:rPr>
            </w:pPr>
            <w:r w:rsidRPr="00286216">
              <w:rPr>
                <w:color w:val="000000" w:themeColor="text1"/>
              </w:rPr>
              <w:t>Без згоди власника облігацій рішення зборів власників облігацій не може передбачати виникнення нових фінансових зобов’язань у такого власника.</w:t>
            </w:r>
          </w:p>
        </w:tc>
        <w:tc>
          <w:tcPr>
            <w:tcW w:w="3686" w:type="dxa"/>
          </w:tcPr>
          <w:p w14:paraId="1AFF2C50" w14:textId="77777777" w:rsidR="00E43D33" w:rsidRPr="00286216" w:rsidRDefault="00E43D33" w:rsidP="00E43D33">
            <w:pPr>
              <w:pStyle w:val="StyleProp"/>
              <w:rPr>
                <w:color w:val="000000" w:themeColor="text1"/>
                <w:szCs w:val="18"/>
              </w:rPr>
            </w:pPr>
          </w:p>
        </w:tc>
        <w:tc>
          <w:tcPr>
            <w:tcW w:w="1987" w:type="dxa"/>
          </w:tcPr>
          <w:p w14:paraId="4A53C0D8" w14:textId="77777777" w:rsidR="00E43D33" w:rsidRPr="00286216" w:rsidRDefault="00E43D33" w:rsidP="00E43D33">
            <w:pPr>
              <w:pStyle w:val="StyleWisnow"/>
              <w:rPr>
                <w:color w:val="000000" w:themeColor="text1"/>
              </w:rPr>
            </w:pPr>
          </w:p>
        </w:tc>
        <w:tc>
          <w:tcPr>
            <w:tcW w:w="4818" w:type="dxa"/>
          </w:tcPr>
          <w:p w14:paraId="0A19F8C3" w14:textId="4A2F6A83" w:rsidR="00E43D33" w:rsidRPr="00286216" w:rsidRDefault="00E43D33" w:rsidP="00E43D33">
            <w:pPr>
              <w:pStyle w:val="StyleZakonu"/>
              <w:rPr>
                <w:color w:val="000000" w:themeColor="text1"/>
              </w:rPr>
            </w:pPr>
            <w:r w:rsidRPr="00286216">
              <w:rPr>
                <w:color w:val="000000" w:themeColor="text1"/>
              </w:rPr>
              <w:t>Без згоди власника облігацій рішення зборів власників облігацій не може передбачати виникнення нових фінансових зобов’язань у такого власника.</w:t>
            </w:r>
          </w:p>
        </w:tc>
      </w:tr>
      <w:tr w:rsidR="00E43D33" w:rsidRPr="00286216" w14:paraId="428FFA6D" w14:textId="77777777" w:rsidTr="00091AA5">
        <w:tc>
          <w:tcPr>
            <w:tcW w:w="576" w:type="dxa"/>
          </w:tcPr>
          <w:p w14:paraId="5422513F" w14:textId="77777777" w:rsidR="00E43D33" w:rsidRPr="00286216" w:rsidRDefault="00E43D33" w:rsidP="00E43D33">
            <w:pPr>
              <w:pStyle w:val="StyleWisnow"/>
              <w:rPr>
                <w:color w:val="000000" w:themeColor="text1"/>
              </w:rPr>
            </w:pPr>
            <w:bookmarkStart w:id="1505" w:name="n1758" w:colFirst="0" w:colLast="0"/>
            <w:bookmarkEnd w:id="1504"/>
            <w:r w:rsidRPr="00286216">
              <w:rPr>
                <w:color w:val="000000" w:themeColor="text1"/>
              </w:rPr>
              <w:t>1758.</w:t>
            </w:r>
          </w:p>
        </w:tc>
        <w:tc>
          <w:tcPr>
            <w:tcW w:w="4818" w:type="dxa"/>
          </w:tcPr>
          <w:p w14:paraId="4393AE5C" w14:textId="77777777" w:rsidR="00E43D33" w:rsidRPr="00286216" w:rsidRDefault="00E43D33" w:rsidP="00E43D33">
            <w:pPr>
              <w:pStyle w:val="StyleZakonu"/>
              <w:rPr>
                <w:color w:val="000000" w:themeColor="text1"/>
              </w:rPr>
            </w:pPr>
            <w:r w:rsidRPr="00286216">
              <w:rPr>
                <w:color w:val="000000" w:themeColor="text1"/>
              </w:rPr>
              <w:t>4. Збори власників облігацій не вправі приймати рішення, що стосуються власників облігацій іншого випуску, без їх участі. У такому разі проводяться збори власників облігацій усіх відповідних випусків.</w:t>
            </w:r>
          </w:p>
        </w:tc>
        <w:tc>
          <w:tcPr>
            <w:tcW w:w="3686" w:type="dxa"/>
          </w:tcPr>
          <w:p w14:paraId="1394DC69" w14:textId="77777777" w:rsidR="00E43D33" w:rsidRPr="00286216" w:rsidRDefault="00E43D33" w:rsidP="00E43D33">
            <w:pPr>
              <w:pStyle w:val="StyleProp"/>
              <w:rPr>
                <w:color w:val="000000" w:themeColor="text1"/>
                <w:szCs w:val="18"/>
              </w:rPr>
            </w:pPr>
          </w:p>
        </w:tc>
        <w:tc>
          <w:tcPr>
            <w:tcW w:w="1987" w:type="dxa"/>
          </w:tcPr>
          <w:p w14:paraId="50D86B94" w14:textId="77777777" w:rsidR="00E43D33" w:rsidRPr="00286216" w:rsidRDefault="00E43D33" w:rsidP="00E43D33">
            <w:pPr>
              <w:pStyle w:val="StyleWisnow"/>
              <w:rPr>
                <w:color w:val="000000" w:themeColor="text1"/>
              </w:rPr>
            </w:pPr>
          </w:p>
        </w:tc>
        <w:tc>
          <w:tcPr>
            <w:tcW w:w="4818" w:type="dxa"/>
          </w:tcPr>
          <w:p w14:paraId="19A3F8E4" w14:textId="20ECDC83" w:rsidR="00E43D33" w:rsidRPr="00286216" w:rsidRDefault="00E43D33" w:rsidP="00E43D33">
            <w:pPr>
              <w:pStyle w:val="StyleZakonu"/>
              <w:rPr>
                <w:color w:val="000000" w:themeColor="text1"/>
              </w:rPr>
            </w:pPr>
            <w:r w:rsidRPr="00286216">
              <w:rPr>
                <w:color w:val="000000" w:themeColor="text1"/>
              </w:rPr>
              <w:t>4. Збори власників облігацій не вправі приймати рішення, що стосуються власників облігацій іншого випуску, без їх участі. У такому разі проводяться збори власників облігацій усіх відповідних випусків.</w:t>
            </w:r>
          </w:p>
        </w:tc>
      </w:tr>
      <w:tr w:rsidR="00E43D33" w:rsidRPr="00286216" w14:paraId="34027E1A" w14:textId="77777777" w:rsidTr="00091AA5">
        <w:tc>
          <w:tcPr>
            <w:tcW w:w="576" w:type="dxa"/>
          </w:tcPr>
          <w:p w14:paraId="2886F8E6" w14:textId="77777777" w:rsidR="00E43D33" w:rsidRPr="00286216" w:rsidRDefault="00E43D33" w:rsidP="00E43D33">
            <w:pPr>
              <w:pStyle w:val="StyleWisnow"/>
              <w:rPr>
                <w:color w:val="000000" w:themeColor="text1"/>
              </w:rPr>
            </w:pPr>
            <w:bookmarkStart w:id="1506" w:name="n1759" w:colFirst="0" w:colLast="0"/>
            <w:bookmarkEnd w:id="1505"/>
            <w:r w:rsidRPr="00286216">
              <w:rPr>
                <w:color w:val="000000" w:themeColor="text1"/>
              </w:rPr>
              <w:t>1759.</w:t>
            </w:r>
          </w:p>
        </w:tc>
        <w:tc>
          <w:tcPr>
            <w:tcW w:w="4818" w:type="dxa"/>
          </w:tcPr>
          <w:p w14:paraId="5D07461A" w14:textId="77777777" w:rsidR="00E43D33" w:rsidRPr="00286216" w:rsidRDefault="00E43D33" w:rsidP="00E43D33">
            <w:pPr>
              <w:pStyle w:val="StyleZakonu"/>
              <w:rPr>
                <w:color w:val="000000" w:themeColor="text1"/>
              </w:rPr>
            </w:pPr>
            <w:bookmarkStart w:id="1507" w:name="_Ref16418042"/>
            <w:r w:rsidRPr="00286216">
              <w:rPr>
                <w:color w:val="000000" w:themeColor="text1"/>
              </w:rPr>
              <w:t>Стаття 106. Порядок організації проведення зборів власників облігацій особою, відповідальною за проведення зборів</w:t>
            </w:r>
            <w:bookmarkEnd w:id="1507"/>
          </w:p>
        </w:tc>
        <w:tc>
          <w:tcPr>
            <w:tcW w:w="3686" w:type="dxa"/>
          </w:tcPr>
          <w:p w14:paraId="7B193646" w14:textId="77777777" w:rsidR="00E43D33" w:rsidRPr="00286216" w:rsidRDefault="00E43D33" w:rsidP="00E43D33">
            <w:pPr>
              <w:pStyle w:val="StyleProp"/>
              <w:rPr>
                <w:color w:val="000000" w:themeColor="text1"/>
                <w:szCs w:val="18"/>
              </w:rPr>
            </w:pPr>
          </w:p>
        </w:tc>
        <w:tc>
          <w:tcPr>
            <w:tcW w:w="1987" w:type="dxa"/>
          </w:tcPr>
          <w:p w14:paraId="11440BAD" w14:textId="77777777" w:rsidR="00E43D33" w:rsidRPr="00286216" w:rsidRDefault="00E43D33" w:rsidP="00E43D33">
            <w:pPr>
              <w:pStyle w:val="StyleWisnow"/>
              <w:rPr>
                <w:color w:val="000000" w:themeColor="text1"/>
              </w:rPr>
            </w:pPr>
          </w:p>
        </w:tc>
        <w:tc>
          <w:tcPr>
            <w:tcW w:w="4818" w:type="dxa"/>
          </w:tcPr>
          <w:p w14:paraId="7A80A337" w14:textId="207A67B6" w:rsidR="00E43D33" w:rsidRPr="00286216" w:rsidRDefault="00E43D33" w:rsidP="00E43D33">
            <w:pPr>
              <w:pStyle w:val="StyleZakonu"/>
              <w:rPr>
                <w:color w:val="000000" w:themeColor="text1"/>
              </w:rPr>
            </w:pPr>
            <w:r w:rsidRPr="00286216">
              <w:rPr>
                <w:color w:val="000000" w:themeColor="text1"/>
              </w:rPr>
              <w:t>Стаття 110. Порядок організації проведення зборів власників облігацій особою, відповідальною за проведення зборів</w:t>
            </w:r>
          </w:p>
        </w:tc>
      </w:tr>
      <w:tr w:rsidR="009D68B8" w:rsidRPr="00286216" w14:paraId="7FC4F276" w14:textId="77777777" w:rsidTr="00091AA5">
        <w:tc>
          <w:tcPr>
            <w:tcW w:w="576" w:type="dxa"/>
          </w:tcPr>
          <w:p w14:paraId="5EAC6E81" w14:textId="77777777" w:rsidR="009D68B8" w:rsidRPr="00286216" w:rsidRDefault="009D68B8" w:rsidP="009D68B8">
            <w:pPr>
              <w:pStyle w:val="StyleWisnow"/>
              <w:rPr>
                <w:color w:val="000000" w:themeColor="text1"/>
              </w:rPr>
            </w:pPr>
            <w:bookmarkStart w:id="1508" w:name="n1760" w:colFirst="0" w:colLast="0"/>
            <w:bookmarkEnd w:id="1506"/>
            <w:r w:rsidRPr="00286216">
              <w:rPr>
                <w:color w:val="000000" w:themeColor="text1"/>
              </w:rPr>
              <w:t>1760.</w:t>
            </w:r>
          </w:p>
        </w:tc>
        <w:tc>
          <w:tcPr>
            <w:tcW w:w="4818" w:type="dxa"/>
          </w:tcPr>
          <w:p w14:paraId="18183A82" w14:textId="77777777" w:rsidR="009D68B8" w:rsidRPr="00286216" w:rsidRDefault="009D68B8" w:rsidP="009D68B8">
            <w:pPr>
              <w:pStyle w:val="StyleZakonu"/>
              <w:rPr>
                <w:color w:val="000000" w:themeColor="text1"/>
              </w:rPr>
            </w:pPr>
            <w:r w:rsidRPr="00286216">
              <w:rPr>
                <w:color w:val="000000" w:themeColor="text1"/>
              </w:rPr>
              <w:t xml:space="preserve">1. Збори власників облігацій проводяться за ініціативою емітента або одного чи декількох власників облігацій, які у сукупності володіють облігаціями, сумарна номінальна вартість яких не менша ніж 10 відсотків від загальної номінальної </w:t>
            </w:r>
            <w:r w:rsidRPr="00286216">
              <w:rPr>
                <w:color w:val="000000" w:themeColor="text1"/>
              </w:rPr>
              <w:lastRenderedPageBreak/>
              <w:t>вартості непогашених облігацій відповідного випуску, а також у інших випадках, визначених цим Законом, нормативно-правовими актами Національної комісії з цінних паперів та фондового ринку та/або проспектом (рішенням про емісію цінних паперів).</w:t>
            </w:r>
          </w:p>
        </w:tc>
        <w:tc>
          <w:tcPr>
            <w:tcW w:w="3686" w:type="dxa"/>
          </w:tcPr>
          <w:p w14:paraId="7489596D" w14:textId="50CEC865" w:rsidR="009D68B8" w:rsidRPr="00286216" w:rsidRDefault="009D68B8" w:rsidP="009D68B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970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438A062" w14:textId="77777777" w:rsidR="009D68B8" w:rsidRPr="00286216" w:rsidRDefault="009D68B8" w:rsidP="009D68B8">
            <w:pPr>
              <w:pStyle w:val="StyleProp"/>
              <w:spacing w:line="190" w:lineRule="exact"/>
              <w:rPr>
                <w:color w:val="000000" w:themeColor="text1"/>
                <w:szCs w:val="18"/>
              </w:rPr>
            </w:pPr>
            <w:r w:rsidRPr="00286216">
              <w:rPr>
                <w:color w:val="000000" w:themeColor="text1"/>
                <w:szCs w:val="18"/>
              </w:rPr>
              <w:t>Статтю 106 викласти в такій редакції:</w:t>
            </w:r>
          </w:p>
          <w:p w14:paraId="1B6DBE20"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zCs w:val="18"/>
              </w:rPr>
              <w:t xml:space="preserve">«Стаття 106. Порядок організації </w:t>
            </w:r>
            <w:r w:rsidRPr="00286216">
              <w:rPr>
                <w:color w:val="000000" w:themeColor="text1"/>
                <w:spacing w:val="-2"/>
                <w:szCs w:val="18"/>
              </w:rPr>
              <w:t>проведення зборів власників облігацій особою, відповідальною за проведення зборів</w:t>
            </w:r>
          </w:p>
          <w:p w14:paraId="5C23820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lastRenderedPageBreak/>
              <w:t>1. Збори власників облігацій проводяться за ініціативою емітента або одного чи декількох власників облігацій, які у сукупності володіють облігаціями, сумарна номінальна вартість яких дорівнює або перевищує 10 відсотків від загальної номінальної вартості непогашених облігацій відповідного випуску, а також у інших випадках, визначених цим Законом, нормативно-правовими актами Національної комісії з цінних паперів та фондового ринку та/або проспектом (рішенням про емісію цінних паперів).</w:t>
            </w:r>
          </w:p>
          <w:p w14:paraId="59402D6B"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2. Особою, відповідальною за проведення зборів, є емітент, а у разі призначення адміністратора з часу набуття ним своїх повноважень і до їх припинення особою, відповідальною за проведення зборів, є адміністратор. </w:t>
            </w:r>
          </w:p>
          <w:p w14:paraId="0E1B4AC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У випадках, передбачених абзацом третім частини 5 цієї статті, у разі скликання зборів власників облігацій за ініціативою декількох власників облігацій, які у сукупності володіють облігаціями, сумарна номінальна вартість яких дорівнює або перевищує 10 відсотків від загальної номінальної вартості непогашених облігацій відповідного випуску, особою, відповідальною за проведення зборів, є один з таких власників за домовленістю між ними, оформленою у письмовій формі.</w:t>
            </w:r>
          </w:p>
          <w:p w14:paraId="48104CCB"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У разі проведення зборів власників облігацій декількох випусків облігацій одного емітента, якщо особи, відповідальні за проведення зборів за такими випусками, є різними, функції особи, відповідальної за проведення зборів, виконує одна з них за домовленістю, оформленою в письмовій формі. Особи, які мають право ініціювати проведення зборів, можуть самостійно визначити одну із зазначених осіб особою, відповідальною за проведення зборів власників облігацій за такими випусками, або на підставі відповідного договору уповноважити Центральний депозитарій виконувати функції особи, відповідальної за проведення зборів власників облігацій.</w:t>
            </w:r>
          </w:p>
          <w:p w14:paraId="345EF0CC"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Особливості проведення зборів власників облігацій декількох випусків облігацій одного емітента, якщо номінальна вартість хоча б одного випуску таких облігацій визначена у іноземній валюті, а також порядку визначення кількості голосів власників облігацій та порядку їх підрахунку за результатами голосування на таких зборах визначаються </w:t>
            </w:r>
            <w:r w:rsidRPr="00286216">
              <w:rPr>
                <w:color w:val="000000" w:themeColor="text1"/>
                <w:spacing w:val="-2"/>
                <w:szCs w:val="18"/>
              </w:rPr>
              <w:lastRenderedPageBreak/>
              <w:t>Національною комісією з цінних паперів та фондового ринку.</w:t>
            </w:r>
          </w:p>
          <w:p w14:paraId="39488EE9"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3. У разі якщо проведення зборів власників облігацій ініціює власник (власники) облігацій, його (їх) вимога повинна містити щонайменше:</w:t>
            </w:r>
          </w:p>
          <w:p w14:paraId="2F9F6174"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ім’я (найменування) особи, місце проживання (місцезнаходження) власника (власників) облігацій, який (які) вимагають проведення зборів власників облігацій;</w:t>
            </w:r>
          </w:p>
          <w:p w14:paraId="106A6CB2"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міжнародний ідентифікаційний номер облігацій відповідного випуску;</w:t>
            </w:r>
          </w:p>
          <w:p w14:paraId="5DD89C10"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3) перелік питань порядку денного зборів власників облігацій із зазначенням того, чи є такі питання невідкладними, а також проекти рішень з відповідних питань;</w:t>
            </w:r>
          </w:p>
          <w:p w14:paraId="59E802E1"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4) обґрунтування причин доцільності проведення зборів власників облігацій;</w:t>
            </w:r>
          </w:p>
          <w:p w14:paraId="34C34F40"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5) підпис власника (власників) облігацій або його (їх) представника, здійснені з використанням кваліфікованих електронних довірчих послуг, та, у випадку підписання вимоги представником, ¬– зазначення правової підстави здійснення представництва.</w:t>
            </w:r>
          </w:p>
          <w:p w14:paraId="43C4181A"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Перелік питань порядку денного, що повинні бути визначені як невідкладні при проведенні зборів власників облігацій, встановлюються проспектом (рішенням про емісію).</w:t>
            </w:r>
          </w:p>
          <w:p w14:paraId="54DD6CB8"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До вимоги власника (власників) облігацій щодо проведення зборів власників облігацій додається:</w:t>
            </w:r>
          </w:p>
          <w:p w14:paraId="4DA0AF6D"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виписка (виписки) з рахунку (рахунків) у цінних паперах, що підтверджує (підтверджують) наявність, станом не раніше попереднього робочого дня перед днем подання вимоги, права на облігації та права за облігаціями відповідного випуску у кількості, на яку посилається власник (власники) облігацій для проведення зборів;</w:t>
            </w:r>
          </w:p>
          <w:p w14:paraId="2876C79C"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інформація щодо обмеження у розпорядженні облігаціями на такому рахунку (таких рахунках) у цінних паперах;</w:t>
            </w:r>
          </w:p>
          <w:p w14:paraId="6FD46B6F"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3) документи, що підтверджують повноваження особи, яка підписала вимогу (у випадку підписання вимоги уповноваженим представником власника).</w:t>
            </w:r>
          </w:p>
          <w:p w14:paraId="432A7144"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Вимога про проведення зборів власників облігацій разом з доданими до неї документами та інформацією подається особі, відповідальній за проведення зборів, через депозитарну систему України.</w:t>
            </w:r>
          </w:p>
          <w:p w14:paraId="4E4825EE"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У разі, якщо проведення зборів власників </w:t>
            </w:r>
            <w:r w:rsidRPr="00286216">
              <w:rPr>
                <w:color w:val="000000" w:themeColor="text1"/>
                <w:spacing w:val="-2"/>
                <w:szCs w:val="18"/>
              </w:rPr>
              <w:lastRenderedPageBreak/>
              <w:t>облігацій ініціює емітент, який не є особою, відповідальною за проведення зборів, його вимога повинна містити щонайменше:</w:t>
            </w:r>
          </w:p>
          <w:p w14:paraId="40E3E85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міжнародний ідентифікаційний номер облігацій відповідного випуску;</w:t>
            </w:r>
          </w:p>
          <w:p w14:paraId="0255130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перелік питань порядку денного зборів власників облігацій із зазначенням того, чи є такі питання невідкладними, а також проекти рішень з відповідних питань;</w:t>
            </w:r>
          </w:p>
          <w:p w14:paraId="14C77040"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3) обґрунтування причин доцільності проведення зборів власників облігацій;</w:t>
            </w:r>
          </w:p>
          <w:p w14:paraId="4229FB0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4) підпис уповноваженої особи емітента, здійснений з використанням кваліфікованих електронних довірчих послуг.</w:t>
            </w:r>
          </w:p>
          <w:p w14:paraId="5F9019BA"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У разі, якщо проведення зборів власників облігацій здійснюється на виконання вимог законодавства та/або проспекту (рішення про емісію цінних паперів), особа, відповідальна за проведення зборів, самостійно ініціює проведення зборів, визначає перелік питань порядку денного зборів власників облігацій та складає проекти рішень з таких питань разом з обґрунтуванням причин доцільності проведення зборів власників облігацій, а також вирішує інші питання, пов’язані з організацією та проведенням зборів. </w:t>
            </w:r>
          </w:p>
          <w:p w14:paraId="3637DAC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4. Збори власників облігацій проводяться через авторизовану електронну систему. </w:t>
            </w:r>
          </w:p>
          <w:p w14:paraId="17D0AE7B"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Особа, відповідальна за проведення зборів, зобов’язана укласти з Центральним депозитарієм цінних паперів договір про надання послуг щодо забезпечення проведення зборів власників облігацій, який, зокрема, повинен регулювати відносини щодо використання авторизованої електронної системи, а саме: містити повноваження особи, відповідальної за проведення зборів, щодо внесення та отримання інформації та/або документів з авторизованої електронної системи, пов’язаних із проведенням зборів власників облігацій, та визначати осіб, уповноважених взаємодіяти з авторизованою електронною системою при проведенні зборів. </w:t>
            </w:r>
          </w:p>
          <w:p w14:paraId="3BC2624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Особи, уповноважені взаємодіяти з авторизованою електронною системою, не можуть розголошувати інформацію, що стала відома їм у ході взаємодії з авторизованою електронною системою. У випадку, якщо особою, уповноваженою взаємодіяти з авторизованою електронною системою при проведенні зборів, та особою, відповідальною за проведення зборів, є різні особи, відповідальність за розголошення інформації, </w:t>
            </w:r>
            <w:r w:rsidRPr="00286216">
              <w:rPr>
                <w:color w:val="000000" w:themeColor="text1"/>
                <w:spacing w:val="-2"/>
                <w:szCs w:val="18"/>
              </w:rPr>
              <w:lastRenderedPageBreak/>
              <w:t>отриманої у ході взаємодії з авторизованою електронною системою, встановлюється договором між такими особами.</w:t>
            </w:r>
          </w:p>
          <w:p w14:paraId="2B40FD1C"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Авторизована електронна система – авторизований Національною комісією з цінних паперів та фондового ринку програмно-технічний комплекс Центрального депозитарію цінних паперів, що відповідає встановленим нею вимогам, та забезпечує ідентифікацію та реєстрацію власників цінних паперів (їх представників) для участі у зборах власників цінних паперів, отримання документів, з якими власники цінних паперів можуть ознайомитись під час підготовки до зборів, голосування бюлетенем та прийняття участі в обговоренні з питань порядку денного, підбиття підсумків голосування з питань порядку денного зборів, а також реалізацію інших функцій, визначених законодавством.</w:t>
            </w:r>
          </w:p>
          <w:p w14:paraId="773AE14D"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Порядок взаємодії власників облігацій та осіб, відповідальних за проведення зборів, з авторизованою електронною системою встановлюються Центральним депозитарієм цінних паперів відповідно до вимог, встановлених Національною комісією з цінних паперів та фондового ринку.</w:t>
            </w:r>
          </w:p>
          <w:p w14:paraId="28E247C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5. Особа, відповідальна за проведення зборів, протягом трьох робочих днів після надходження вимоги про проведення зборів власників облігацій зобов’язана вчинити усі необхідні дії для повідомлення власників облігацій, емітента та адміністратора (якщо вони не є особами, відповідальними за проведення зборів) про проведення зборів та дії, необхідні для забезпечення проведення зборів у відповідності до вимог цього Закону або надати мотивовану відмову щодо проведення зборів у разі, якщо вимога оформлена з порушенням норм законодавства.</w:t>
            </w:r>
          </w:p>
          <w:p w14:paraId="0BE85A10"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У разі, якщо протягом трьох робочих днів після отримання належним чином оформленої вимоги про проведення зборів власників облігацій від одного чи декількох власників, які у сукупності володіють облігаціями, сумарна номінальна вартість яких дорівнює або перевищує 10 відсотків від загальної номінальної вартості непогашених облігацій відповідного випуску, особа, відповідальна за проведення зборів, не здійснила визначених цією статтею дій щодо проведення зборів власників облігацій, такі збори можуть бути скликані у порядку, передбаченому частиною </w:t>
            </w:r>
            <w:r w:rsidRPr="00286216">
              <w:rPr>
                <w:color w:val="000000" w:themeColor="text1"/>
                <w:spacing w:val="-2"/>
                <w:szCs w:val="18"/>
              </w:rPr>
              <w:lastRenderedPageBreak/>
              <w:t>третьою статті 119 цього Закону, особою, яка має право вимагати скликання зборів.</w:t>
            </w:r>
          </w:p>
          <w:p w14:paraId="6BD3D733"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У разі якщо після отримання першої вимоги про проведення зборів власників облігацій і до направлення власникам облігацій, а також емітенту та адміністратору (якщо вони не є особами, відповідальними за проведення зборів) повідомлення про проведення зборів власників облігацій особа, відповідальна за проведення зборів, отримала вимогу про проведення зборів власників облігацій також від інших осіб, вона може об’єднати ці вимоги та зазначити у повідомлені усі передбачені вимогами питання порядку денного та інформацію стосовно таких питань. </w:t>
            </w:r>
          </w:p>
          <w:p w14:paraId="38F3B2FE"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6. У випадку, якщо проведення зборів власників облігацій передбачено законодавством та/або проспектом (рішенням про емісію цінних паперів), особа, відповідальна за проведення зборів, зобов’язана протягом трьох робочих днів після настання відповідної обставини (випадку) вчинити усі необхідні дії для повідомлення усіх власників облігацій відповідного випуску облігацій, а також емітента та адміністратора (якщо вони не є особами, відповідальними за проведення зборів) про проведення зборів та вчинити дії, необхідні для забезпечення проведення зборів у відповідності до вимог цього Закону.</w:t>
            </w:r>
          </w:p>
          <w:p w14:paraId="782690AA"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7. Повідомлення про проведення зборів власників облігацій направляється через депозитарну систему України власникам облігацій, зазначеним в переліку осіб, що є власниками облігацій відповідного випуску, складеному станом на дату, визначену особою, відповідальною за проведення зборів. Така дата не може передувати дню прийняття особою, відповідальною за проведення зборів, рішення щодо проведення зборів за власною ініціативою (у тому числі на виконання вимог законодавства та/або проспекту (рішення про емісію цінних паперів)), або за вимогою власника (власників) облігацій чи емітента, який не є особою, відповідальною за проведення зборів.</w:t>
            </w:r>
          </w:p>
          <w:p w14:paraId="7A88B42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Повідомлення про проведення зборів власників облігацій направляється також емітенту та адміністратору (якщо вони не є особами, відповідальними за проведення зборів).</w:t>
            </w:r>
          </w:p>
          <w:p w14:paraId="697439AC"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Повідомлення про проведення зборів </w:t>
            </w:r>
            <w:r w:rsidRPr="00286216">
              <w:rPr>
                <w:color w:val="000000" w:themeColor="text1"/>
                <w:spacing w:val="-2"/>
                <w:szCs w:val="18"/>
              </w:rPr>
              <w:lastRenderedPageBreak/>
              <w:t>власників облігацій направляється особам, зазначеним в абзацах першому та другому цієї частини, не пізніше, ніж за 10 робочих днів до дати проведення зборів, а у випадку, якщо порядок денний містить питання, що визначені як невідкладні, – не пізніше ніж за 3 робочих дні до дати початку голосування.</w:t>
            </w:r>
          </w:p>
          <w:p w14:paraId="2AD55EEA"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У повідомленні про проведення зборів власників облігацій зазначається:</w:t>
            </w:r>
          </w:p>
          <w:p w14:paraId="56A71245"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інформація про особу (осіб), яка (які) є ініціатором проведення зборів власників облігацій відповідного випуску;</w:t>
            </w:r>
          </w:p>
          <w:p w14:paraId="6274C40B"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проект порядку денного зборів власників облігацій або остаточний порядок денний, якщо питання, включені до порядку денного зборів власників облігацій, визначені як невідкладні, із зазначенням про наявність чи відсутність взаємозв’язку між питаннями порядку денного та проекти рішень з відповідних питань;</w:t>
            </w:r>
          </w:p>
          <w:p w14:paraId="3491D82D"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 3) обґрунтування причин доцільності проведення засідання власників облігацій;</w:t>
            </w:r>
          </w:p>
          <w:p w14:paraId="5A1F0BB1"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4) дата, станом на яку буде складено перелік власників облігацій, які мають право на участь у зборах; </w:t>
            </w:r>
          </w:p>
          <w:p w14:paraId="74105ADE"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5) час початку та час закінчення реєстрації власників облігацій (їх представників) для участі в зборах;</w:t>
            </w:r>
          </w:p>
          <w:p w14:paraId="327AE11F"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6) порядок реалізації права на участь та права голосу з питань порядку денного зборів;</w:t>
            </w:r>
          </w:p>
          <w:p w14:paraId="2F1B4073"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7) дату голосування на зборах власників облігацій або період, протягом якого проводиться голосування, що не може перевищувати 5 днів.</w:t>
            </w:r>
          </w:p>
          <w:p w14:paraId="43843B9E"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Проект порядку денного зборів власників облігацій або остаточний порядок денний затверджується особою, відповідальною за проведення зборів.</w:t>
            </w:r>
          </w:p>
          <w:p w14:paraId="42EFECF2"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Після затвердження остаточного порядку денного зборів власників облігацій, особа, відповідальна за проведення зборів, повинна визначити наявність або відсутність взаємозв’язку між питаннями, включеними до порядку денного. Наявність або відсутність такого взаємозв’язку зазначається приміткою до порядку денного. При цьому, наявність такого взаємозв’язку означає неможливість проведення голосування з одного питання порядку денного у разі неприйняття рішення або прийняття взаємовиключного рішення з попереднього (одного з попередніх) питання порядку денного. </w:t>
            </w:r>
          </w:p>
          <w:p w14:paraId="0961E3DF"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Не пізніше дня надсилання власникам </w:t>
            </w:r>
            <w:r w:rsidRPr="00286216">
              <w:rPr>
                <w:color w:val="000000" w:themeColor="text1"/>
                <w:spacing w:val="-2"/>
                <w:szCs w:val="18"/>
              </w:rPr>
              <w:lastRenderedPageBreak/>
              <w:t xml:space="preserve">облігацій повідомлення про проведення зборів власників облігацій, таке повідомлення оприлюднюється особою, відповідальною за проведення зборів, на веб-сайті емітента облігацій (якщо особою, відповідальною за проведення зборів, є емітент), та розміщується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w:t>
            </w:r>
          </w:p>
          <w:p w14:paraId="0B6FA154"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8. У випадку, якщо проект порядку денного зборів власників облігацій не містить питань, що визначені як невідкладні, емітент (у разі якщо особою, відповідальною за проведення зборів, є адміністратор), та власники облігацій можуть протягом п’яти робочих днів з дати надсилання особою, відповідальною за проведення зборів, повідомлення про проведення зборів власників облігацій направити через депозитарну систему України особі, відповідальній за проведення зборів:</w:t>
            </w:r>
          </w:p>
          <w:p w14:paraId="548CD9A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свої пропозиції щодо розгляду зборами власників облігацій додаткових питань порядку денного та проектів рішень з цих питань;</w:t>
            </w:r>
          </w:p>
          <w:p w14:paraId="3A868FBE"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документи та/або інформацію стосовно питань порядку денного зборів, які вони пропонують направити усім власникам облігацій.</w:t>
            </w:r>
          </w:p>
          <w:p w14:paraId="57454F14"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Кількість пропозицій та/або документів та/або інформації, які можуть надсилати власники облігацій, емітент та адміністратор протягом строку, встановленого абзацом першим цієї частини статті, є необмеженою. У випадку, якщо проект порядку денного містить питання, що визначені як невідкладні, пропозиції до порядку денного зборів власників облігацій не приймаються, а голосування проводиться щодо питань порядку денного, надісланого разом із повідомленням про проведення зборів власників облігацій.</w:t>
            </w:r>
          </w:p>
          <w:p w14:paraId="18F7910D"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Питання, пропозиції щодо включення яких до порядку денного надійшли від емітента, а також від власників облігацій, які володіють облігаціями, сукупна номінальна вартість яких перевищує 5 відсотків від загальної номінальної вартості непогашених облігацій відповідного випуску облігацій, невідкладно включаються особою, відповідальною за проведення зборів, до порядку денного зборів. </w:t>
            </w:r>
            <w:r w:rsidRPr="00286216">
              <w:rPr>
                <w:color w:val="000000" w:themeColor="text1"/>
                <w:spacing w:val="-2"/>
                <w:szCs w:val="18"/>
              </w:rPr>
              <w:lastRenderedPageBreak/>
              <w:t>Питання, пропозиції щодо включення яких до порядку денного надійшли від інших осіб, включаються до порядку денного за рішенням особи, відповідальної за проведення зборів.</w:t>
            </w:r>
          </w:p>
          <w:p w14:paraId="6C8470F1"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Мотивоване рішення про відмову у включенні пропозиції до проекту порядку денного надсилається особою, відповідальною за проведення зборів, особі, що направила пропозиції до порядку денного, через депозитарну систему України протягом трьох днів з моменту його прийняття.</w:t>
            </w:r>
          </w:p>
          <w:p w14:paraId="2FEDC9DC"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9. У разі включення нових питань до порядку денного зборів у порядку, встановленому частиною 8 цієї статті, особа, відповідальна за проведення зборів, зобов’язана протягом двох робочих днів після закінчення строку, вказаного у частині 8 цієї статті, вчинити усі необхідні дії для направлення через депозитарну систему України усім власникам облігацій відповідного випуску, а також емітенту та адміністратору (якщо вони не є особами, відповідальними за проведення зборів) наступної інформації:</w:t>
            </w:r>
          </w:p>
          <w:p w14:paraId="5065BD96"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1) остаточний порядок денний зборів власників облігацій, сформований нею згідно з вимогами цієї статті, із зазначенням про наявність чи відсутність взаємозв’язку між питаннями порядку денного;</w:t>
            </w:r>
          </w:p>
          <w:p w14:paraId="6A26F3F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2) документи та/або інформацію, необхідні для розгляду питань порядку денного, у тому числі ті, що надійшли від емітента, власників облігацій, адміністратора, суду, інших осіб.</w:t>
            </w:r>
          </w:p>
          <w:p w14:paraId="736A27B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10. Якщо голосування не відбулося через встановлену за підсумками реєстрації неправомочність зборів приймати рішення щодо питань поряду денного зборів власників облігацій, та особою, відповідальною за проведення зборів, прийнято рішення про необхідність проведення повторних зборів, така особа зобов’язана не пізніше наступного робочого дня вчинити усі необхідні дії для направлення через депозитарну систему України власникам облігацій відповідного випуску (а також емітенту та/або адміністратору, якщо вони не є особою, відповідальною за проведення зборів) повідомлення про проведення повторних зборів власників облігацій з тих самих питань порядку денного у відповідності до вимог цього Закону. </w:t>
            </w:r>
          </w:p>
          <w:p w14:paraId="4A828147"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 xml:space="preserve">Повідомлення про проведення повторних зборів направляється власникам облігацій, </w:t>
            </w:r>
            <w:r w:rsidRPr="00286216">
              <w:rPr>
                <w:color w:val="000000" w:themeColor="text1"/>
                <w:spacing w:val="-2"/>
                <w:szCs w:val="18"/>
              </w:rPr>
              <w:lastRenderedPageBreak/>
              <w:t>зазначеним в переліку власників облігацій, які мають право на участь у зборах, що був складений для проведення зборів власників облігацій, голосування по якому не відбулося. Таке повідомлення повинно містити нову дату голосування на зборах власників облігацій або період, протягом якого буде проводитися голосування, дату, станом на яку буде складено перелік власників облігацій, які мають право на участь у зборах, та час початку та час закінчення реєстрації власників облігацій (їх представників) для участі в зборах.</w:t>
            </w:r>
          </w:p>
          <w:p w14:paraId="0BA66CEB" w14:textId="77777777" w:rsidR="009D68B8" w:rsidRPr="00286216" w:rsidRDefault="009D68B8" w:rsidP="009D68B8">
            <w:pPr>
              <w:pStyle w:val="StyleProp"/>
              <w:spacing w:line="190" w:lineRule="exact"/>
              <w:rPr>
                <w:color w:val="000000" w:themeColor="text1"/>
                <w:spacing w:val="-2"/>
                <w:szCs w:val="18"/>
              </w:rPr>
            </w:pPr>
            <w:r w:rsidRPr="00286216">
              <w:rPr>
                <w:color w:val="000000" w:themeColor="text1"/>
                <w:spacing w:val="-2"/>
                <w:szCs w:val="18"/>
              </w:rPr>
              <w:t>Строк між датою розсилання повідомлення про проведення повторних зборів власників облігацій та датою проведення повторного голосування або початку повторного голосування не може становити менше трьох та більше п’яти робочих днів.</w:t>
            </w:r>
          </w:p>
          <w:p w14:paraId="045E5B7F" w14:textId="77777777" w:rsidR="009D68B8" w:rsidRPr="00286216" w:rsidRDefault="009D68B8" w:rsidP="009D68B8">
            <w:pPr>
              <w:pStyle w:val="StyleProp"/>
              <w:spacing w:line="190" w:lineRule="exact"/>
              <w:rPr>
                <w:color w:val="000000" w:themeColor="text1"/>
                <w:szCs w:val="18"/>
              </w:rPr>
            </w:pPr>
            <w:r w:rsidRPr="00286216">
              <w:rPr>
                <w:color w:val="000000" w:themeColor="text1"/>
                <w:spacing w:val="-2"/>
                <w:szCs w:val="18"/>
              </w:rPr>
              <w:t>11. До завершення голосування на зборах власників облігацій відповідного випуску, а у випадку, передбаченому частиною</w:t>
            </w:r>
            <w:r w:rsidRPr="00286216">
              <w:rPr>
                <w:color w:val="000000" w:themeColor="text1"/>
                <w:szCs w:val="18"/>
              </w:rPr>
              <w:t xml:space="preserve"> 10 цієї статті, на повторних зборах власників облігацій, інші збори власників облігацій відповідного випуску не проводяться».</w:t>
            </w:r>
          </w:p>
          <w:p w14:paraId="3FAE5C61" w14:textId="714EF4B6"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971</w:t>
            </w:r>
            <w:r w:rsidRPr="00286216">
              <w:rPr>
                <w:color w:val="000000" w:themeColor="text1"/>
                <w:spacing w:val="-4"/>
              </w:rPr>
              <w:fldChar w:fldCharType="end"/>
            </w:r>
            <w:r w:rsidRPr="00286216">
              <w:rPr>
                <w:color w:val="000000" w:themeColor="text1"/>
                <w:spacing w:val="-4"/>
              </w:rPr>
              <w:t>-Н.д.Бєлькова О.В. (Реєстр.картка №403)</w:t>
            </w:r>
          </w:p>
          <w:p w14:paraId="58F2D6BB" w14:textId="0AAC0E12" w:rsidR="009D68B8" w:rsidRPr="00286216" w:rsidRDefault="009D68B8" w:rsidP="009D68B8">
            <w:pPr>
              <w:pStyle w:val="StyleProp"/>
              <w:spacing w:line="180" w:lineRule="exact"/>
              <w:rPr>
                <w:color w:val="000000" w:themeColor="text1"/>
              </w:rPr>
            </w:pPr>
            <w:r w:rsidRPr="00286216">
              <w:rPr>
                <w:color w:val="000000" w:themeColor="text1"/>
              </w:rPr>
              <w:t>Доповнити статтю 106 положеням такого змісту:</w:t>
            </w:r>
          </w:p>
          <w:p w14:paraId="0AAD2AF9" w14:textId="32236E4E" w:rsidR="009D68B8" w:rsidRPr="00286216" w:rsidRDefault="009D68B8" w:rsidP="009D68B8">
            <w:pPr>
              <w:pStyle w:val="StyleProp"/>
              <w:spacing w:line="180" w:lineRule="exact"/>
              <w:rPr>
                <w:color w:val="000000" w:themeColor="text1"/>
                <w:szCs w:val="18"/>
              </w:rPr>
            </w:pPr>
            <w:r w:rsidRPr="00286216">
              <w:rPr>
                <w:color w:val="000000" w:themeColor="text1"/>
              </w:rPr>
              <w:t>«Для цілей цього Закону направленням інформації через депозитарну систему України є надання професійними учасниками депозитарної системи України відповідної інформації учасникам ринків капіталу у порядку, встановленому Національною комісією з цінних паперів та фондового ринку».</w:t>
            </w:r>
          </w:p>
        </w:tc>
        <w:tc>
          <w:tcPr>
            <w:tcW w:w="1987" w:type="dxa"/>
          </w:tcPr>
          <w:p w14:paraId="362EB680" w14:textId="77777777" w:rsidR="009D68B8" w:rsidRPr="00286216" w:rsidRDefault="009D68B8" w:rsidP="009D68B8">
            <w:pPr>
              <w:pStyle w:val="StyleWisnow"/>
              <w:rPr>
                <w:color w:val="000000" w:themeColor="text1"/>
              </w:rPr>
            </w:pPr>
            <w:r w:rsidRPr="00286216">
              <w:rPr>
                <w:color w:val="000000" w:themeColor="text1"/>
              </w:rPr>
              <w:lastRenderedPageBreak/>
              <w:t>Враховано</w:t>
            </w:r>
          </w:p>
          <w:p w14:paraId="1BF9A086" w14:textId="77777777" w:rsidR="009D68B8" w:rsidRPr="00286216" w:rsidRDefault="009D68B8" w:rsidP="009D68B8">
            <w:pPr>
              <w:pStyle w:val="StyleWisnow"/>
              <w:rPr>
                <w:color w:val="000000" w:themeColor="text1"/>
              </w:rPr>
            </w:pPr>
            <w:r w:rsidRPr="00286216">
              <w:rPr>
                <w:color w:val="000000" w:themeColor="text1"/>
              </w:rPr>
              <w:t>з уточненням редакції</w:t>
            </w:r>
          </w:p>
          <w:p w14:paraId="528FF45E" w14:textId="77777777" w:rsidR="009D68B8" w:rsidRPr="00286216" w:rsidRDefault="009D68B8" w:rsidP="009D68B8">
            <w:pPr>
              <w:pStyle w:val="StyleWisnow"/>
              <w:rPr>
                <w:color w:val="000000" w:themeColor="text1"/>
              </w:rPr>
            </w:pPr>
          </w:p>
          <w:p w14:paraId="779EA31F" w14:textId="77777777" w:rsidR="009D68B8" w:rsidRPr="00286216" w:rsidRDefault="009D68B8" w:rsidP="009D68B8">
            <w:pPr>
              <w:pStyle w:val="StyleWisnow"/>
              <w:rPr>
                <w:color w:val="000000" w:themeColor="text1"/>
              </w:rPr>
            </w:pPr>
          </w:p>
          <w:p w14:paraId="4F608B06" w14:textId="77777777" w:rsidR="009D68B8" w:rsidRPr="00286216" w:rsidRDefault="009D68B8" w:rsidP="009D68B8">
            <w:pPr>
              <w:pStyle w:val="StyleWisnow"/>
              <w:rPr>
                <w:color w:val="000000" w:themeColor="text1"/>
              </w:rPr>
            </w:pPr>
          </w:p>
          <w:p w14:paraId="45C24084" w14:textId="77777777" w:rsidR="009D68B8" w:rsidRPr="00286216" w:rsidRDefault="009D68B8" w:rsidP="009D68B8">
            <w:pPr>
              <w:pStyle w:val="StyleWisnow"/>
              <w:rPr>
                <w:color w:val="000000" w:themeColor="text1"/>
              </w:rPr>
            </w:pPr>
          </w:p>
          <w:p w14:paraId="4831F1E7" w14:textId="77777777" w:rsidR="009D68B8" w:rsidRPr="00286216" w:rsidRDefault="009D68B8" w:rsidP="009D68B8">
            <w:pPr>
              <w:pStyle w:val="StyleWisnow"/>
              <w:rPr>
                <w:color w:val="000000" w:themeColor="text1"/>
              </w:rPr>
            </w:pPr>
          </w:p>
          <w:p w14:paraId="3F19FE9D" w14:textId="77777777" w:rsidR="009D68B8" w:rsidRPr="00286216" w:rsidRDefault="009D68B8" w:rsidP="009D68B8">
            <w:pPr>
              <w:pStyle w:val="StyleWisnow"/>
              <w:rPr>
                <w:color w:val="000000" w:themeColor="text1"/>
              </w:rPr>
            </w:pPr>
          </w:p>
          <w:p w14:paraId="6349A2C0" w14:textId="77777777" w:rsidR="009D68B8" w:rsidRPr="00286216" w:rsidRDefault="009D68B8" w:rsidP="009D68B8">
            <w:pPr>
              <w:pStyle w:val="StyleWisnow"/>
              <w:rPr>
                <w:color w:val="000000" w:themeColor="text1"/>
              </w:rPr>
            </w:pPr>
          </w:p>
          <w:p w14:paraId="1AF5982A" w14:textId="77777777" w:rsidR="009D68B8" w:rsidRPr="00286216" w:rsidRDefault="009D68B8" w:rsidP="009D68B8">
            <w:pPr>
              <w:pStyle w:val="StyleWisnow"/>
              <w:rPr>
                <w:color w:val="000000" w:themeColor="text1"/>
              </w:rPr>
            </w:pPr>
          </w:p>
          <w:p w14:paraId="5ADB32C3" w14:textId="77777777" w:rsidR="009D68B8" w:rsidRPr="00286216" w:rsidRDefault="009D68B8" w:rsidP="009D68B8">
            <w:pPr>
              <w:pStyle w:val="StyleWisnow"/>
              <w:rPr>
                <w:color w:val="000000" w:themeColor="text1"/>
              </w:rPr>
            </w:pPr>
          </w:p>
          <w:p w14:paraId="263742D3" w14:textId="77777777" w:rsidR="009D68B8" w:rsidRPr="00286216" w:rsidRDefault="009D68B8" w:rsidP="009D68B8">
            <w:pPr>
              <w:pStyle w:val="StyleWisnow"/>
              <w:rPr>
                <w:color w:val="000000" w:themeColor="text1"/>
              </w:rPr>
            </w:pPr>
          </w:p>
          <w:p w14:paraId="310B6647" w14:textId="77777777" w:rsidR="009D68B8" w:rsidRPr="00286216" w:rsidRDefault="009D68B8" w:rsidP="009D68B8">
            <w:pPr>
              <w:pStyle w:val="StyleWisnow"/>
              <w:rPr>
                <w:color w:val="000000" w:themeColor="text1"/>
              </w:rPr>
            </w:pPr>
          </w:p>
          <w:p w14:paraId="1D5F9287" w14:textId="77777777" w:rsidR="009D68B8" w:rsidRPr="00286216" w:rsidRDefault="009D68B8" w:rsidP="009D68B8">
            <w:pPr>
              <w:pStyle w:val="StyleWisnow"/>
              <w:rPr>
                <w:color w:val="000000" w:themeColor="text1"/>
              </w:rPr>
            </w:pPr>
          </w:p>
          <w:p w14:paraId="76850B9F" w14:textId="77777777" w:rsidR="009D68B8" w:rsidRPr="00286216" w:rsidRDefault="009D68B8" w:rsidP="009D68B8">
            <w:pPr>
              <w:pStyle w:val="StyleWisnow"/>
              <w:rPr>
                <w:color w:val="000000" w:themeColor="text1"/>
              </w:rPr>
            </w:pPr>
          </w:p>
          <w:p w14:paraId="691BD702" w14:textId="77777777" w:rsidR="009D68B8" w:rsidRPr="00286216" w:rsidRDefault="009D68B8" w:rsidP="009D68B8">
            <w:pPr>
              <w:pStyle w:val="StyleWisnow"/>
              <w:rPr>
                <w:color w:val="000000" w:themeColor="text1"/>
              </w:rPr>
            </w:pPr>
          </w:p>
          <w:p w14:paraId="6C14587E" w14:textId="77777777" w:rsidR="009D68B8" w:rsidRPr="00286216" w:rsidRDefault="009D68B8" w:rsidP="009D68B8">
            <w:pPr>
              <w:pStyle w:val="StyleWisnow"/>
              <w:rPr>
                <w:color w:val="000000" w:themeColor="text1"/>
              </w:rPr>
            </w:pPr>
          </w:p>
          <w:p w14:paraId="6393C1C6" w14:textId="77777777" w:rsidR="009D68B8" w:rsidRPr="00286216" w:rsidRDefault="009D68B8" w:rsidP="009D68B8">
            <w:pPr>
              <w:pStyle w:val="StyleWisnow"/>
              <w:rPr>
                <w:color w:val="000000" w:themeColor="text1"/>
              </w:rPr>
            </w:pPr>
          </w:p>
          <w:p w14:paraId="367DA744" w14:textId="77777777" w:rsidR="009D68B8" w:rsidRPr="00286216" w:rsidRDefault="009D68B8" w:rsidP="009D68B8">
            <w:pPr>
              <w:pStyle w:val="StyleWisnow"/>
              <w:rPr>
                <w:color w:val="000000" w:themeColor="text1"/>
              </w:rPr>
            </w:pPr>
          </w:p>
          <w:p w14:paraId="0D86A97B" w14:textId="77777777" w:rsidR="009D68B8" w:rsidRPr="00286216" w:rsidRDefault="009D68B8" w:rsidP="009D68B8">
            <w:pPr>
              <w:pStyle w:val="StyleWisnow"/>
              <w:rPr>
                <w:color w:val="000000" w:themeColor="text1"/>
              </w:rPr>
            </w:pPr>
          </w:p>
          <w:p w14:paraId="02209BFE" w14:textId="77777777" w:rsidR="009D68B8" w:rsidRPr="00286216" w:rsidRDefault="009D68B8" w:rsidP="009D68B8">
            <w:pPr>
              <w:pStyle w:val="StyleWisnow"/>
              <w:rPr>
                <w:color w:val="000000" w:themeColor="text1"/>
              </w:rPr>
            </w:pPr>
          </w:p>
          <w:p w14:paraId="380D1D9D" w14:textId="77777777" w:rsidR="009D68B8" w:rsidRPr="00286216" w:rsidRDefault="009D68B8" w:rsidP="009D68B8">
            <w:pPr>
              <w:pStyle w:val="StyleWisnow"/>
              <w:rPr>
                <w:color w:val="000000" w:themeColor="text1"/>
              </w:rPr>
            </w:pPr>
          </w:p>
          <w:p w14:paraId="6A35EEAB" w14:textId="77777777" w:rsidR="009D68B8" w:rsidRPr="00286216" w:rsidRDefault="009D68B8" w:rsidP="009D68B8">
            <w:pPr>
              <w:pStyle w:val="StyleWisnow"/>
              <w:rPr>
                <w:color w:val="000000" w:themeColor="text1"/>
              </w:rPr>
            </w:pPr>
          </w:p>
          <w:p w14:paraId="321216C6" w14:textId="77777777" w:rsidR="009D68B8" w:rsidRPr="00286216" w:rsidRDefault="009D68B8" w:rsidP="009D68B8">
            <w:pPr>
              <w:pStyle w:val="StyleWisnow"/>
              <w:rPr>
                <w:color w:val="000000" w:themeColor="text1"/>
              </w:rPr>
            </w:pPr>
          </w:p>
          <w:p w14:paraId="7B007F0C" w14:textId="77777777" w:rsidR="009D68B8" w:rsidRPr="00286216" w:rsidRDefault="009D68B8" w:rsidP="009D68B8">
            <w:pPr>
              <w:pStyle w:val="StyleWisnow"/>
              <w:rPr>
                <w:color w:val="000000" w:themeColor="text1"/>
              </w:rPr>
            </w:pPr>
          </w:p>
          <w:p w14:paraId="5D16D662" w14:textId="77777777" w:rsidR="009D68B8" w:rsidRPr="00286216" w:rsidRDefault="009D68B8" w:rsidP="009D68B8">
            <w:pPr>
              <w:pStyle w:val="StyleWisnow"/>
              <w:rPr>
                <w:color w:val="000000" w:themeColor="text1"/>
              </w:rPr>
            </w:pPr>
          </w:p>
          <w:p w14:paraId="502B6483" w14:textId="77777777" w:rsidR="009D68B8" w:rsidRPr="00286216" w:rsidRDefault="009D68B8" w:rsidP="009D68B8">
            <w:pPr>
              <w:pStyle w:val="StyleWisnow"/>
              <w:rPr>
                <w:color w:val="000000" w:themeColor="text1"/>
              </w:rPr>
            </w:pPr>
          </w:p>
          <w:p w14:paraId="2BBBD98C" w14:textId="77777777" w:rsidR="009D68B8" w:rsidRPr="00286216" w:rsidRDefault="009D68B8" w:rsidP="009D68B8">
            <w:pPr>
              <w:pStyle w:val="StyleWisnow"/>
              <w:rPr>
                <w:color w:val="000000" w:themeColor="text1"/>
              </w:rPr>
            </w:pPr>
          </w:p>
          <w:p w14:paraId="60958F2C" w14:textId="77777777" w:rsidR="009D68B8" w:rsidRPr="00286216" w:rsidRDefault="009D68B8" w:rsidP="009D68B8">
            <w:pPr>
              <w:pStyle w:val="StyleWisnow"/>
              <w:rPr>
                <w:color w:val="000000" w:themeColor="text1"/>
              </w:rPr>
            </w:pPr>
          </w:p>
          <w:p w14:paraId="64A2777B" w14:textId="77777777" w:rsidR="009D68B8" w:rsidRPr="00286216" w:rsidRDefault="009D68B8" w:rsidP="009D68B8">
            <w:pPr>
              <w:pStyle w:val="StyleWisnow"/>
              <w:rPr>
                <w:color w:val="000000" w:themeColor="text1"/>
              </w:rPr>
            </w:pPr>
          </w:p>
          <w:p w14:paraId="47CE841F" w14:textId="77777777" w:rsidR="009D68B8" w:rsidRPr="00286216" w:rsidRDefault="009D68B8" w:rsidP="009D68B8">
            <w:pPr>
              <w:pStyle w:val="StyleWisnow"/>
              <w:rPr>
                <w:color w:val="000000" w:themeColor="text1"/>
              </w:rPr>
            </w:pPr>
          </w:p>
          <w:p w14:paraId="58AF7C51" w14:textId="77777777" w:rsidR="009D68B8" w:rsidRPr="00286216" w:rsidRDefault="009D68B8" w:rsidP="009D68B8">
            <w:pPr>
              <w:pStyle w:val="StyleWisnow"/>
              <w:rPr>
                <w:color w:val="000000" w:themeColor="text1"/>
              </w:rPr>
            </w:pPr>
          </w:p>
          <w:p w14:paraId="5F410E35" w14:textId="77777777" w:rsidR="009D68B8" w:rsidRPr="00286216" w:rsidRDefault="009D68B8" w:rsidP="009D68B8">
            <w:pPr>
              <w:pStyle w:val="StyleWisnow"/>
              <w:rPr>
                <w:color w:val="000000" w:themeColor="text1"/>
              </w:rPr>
            </w:pPr>
          </w:p>
          <w:p w14:paraId="5DCAFED7" w14:textId="77777777" w:rsidR="009D68B8" w:rsidRPr="00286216" w:rsidRDefault="009D68B8" w:rsidP="009D68B8">
            <w:pPr>
              <w:pStyle w:val="StyleWisnow"/>
              <w:rPr>
                <w:color w:val="000000" w:themeColor="text1"/>
              </w:rPr>
            </w:pPr>
          </w:p>
          <w:p w14:paraId="4F9F540C" w14:textId="77777777" w:rsidR="009D68B8" w:rsidRPr="00286216" w:rsidRDefault="009D68B8" w:rsidP="009D68B8">
            <w:pPr>
              <w:pStyle w:val="StyleWisnow"/>
              <w:rPr>
                <w:color w:val="000000" w:themeColor="text1"/>
              </w:rPr>
            </w:pPr>
          </w:p>
          <w:p w14:paraId="0C61BA15" w14:textId="77777777" w:rsidR="009D68B8" w:rsidRPr="00286216" w:rsidRDefault="009D68B8" w:rsidP="009D68B8">
            <w:pPr>
              <w:pStyle w:val="StyleWisnow"/>
              <w:rPr>
                <w:color w:val="000000" w:themeColor="text1"/>
              </w:rPr>
            </w:pPr>
          </w:p>
          <w:p w14:paraId="1C2C80E9" w14:textId="77777777" w:rsidR="009D68B8" w:rsidRPr="00286216" w:rsidRDefault="009D68B8" w:rsidP="009D68B8">
            <w:pPr>
              <w:pStyle w:val="StyleWisnow"/>
              <w:rPr>
                <w:color w:val="000000" w:themeColor="text1"/>
              </w:rPr>
            </w:pPr>
          </w:p>
          <w:p w14:paraId="725A36D8" w14:textId="77777777" w:rsidR="009D68B8" w:rsidRPr="00286216" w:rsidRDefault="009D68B8" w:rsidP="009D68B8">
            <w:pPr>
              <w:pStyle w:val="StyleWisnow"/>
              <w:rPr>
                <w:color w:val="000000" w:themeColor="text1"/>
              </w:rPr>
            </w:pPr>
          </w:p>
          <w:p w14:paraId="09F6F242" w14:textId="77777777" w:rsidR="009D68B8" w:rsidRPr="00286216" w:rsidRDefault="009D68B8" w:rsidP="009D68B8">
            <w:pPr>
              <w:pStyle w:val="StyleWisnow"/>
              <w:rPr>
                <w:color w:val="000000" w:themeColor="text1"/>
              </w:rPr>
            </w:pPr>
          </w:p>
          <w:p w14:paraId="61B89621" w14:textId="77777777" w:rsidR="009D68B8" w:rsidRPr="00286216" w:rsidRDefault="009D68B8" w:rsidP="009D68B8">
            <w:pPr>
              <w:pStyle w:val="StyleWisnow"/>
              <w:rPr>
                <w:color w:val="000000" w:themeColor="text1"/>
              </w:rPr>
            </w:pPr>
          </w:p>
          <w:p w14:paraId="01646D1F" w14:textId="77777777" w:rsidR="009D68B8" w:rsidRPr="00286216" w:rsidRDefault="009D68B8" w:rsidP="009D68B8">
            <w:pPr>
              <w:pStyle w:val="StyleWisnow"/>
              <w:rPr>
                <w:color w:val="000000" w:themeColor="text1"/>
              </w:rPr>
            </w:pPr>
          </w:p>
          <w:p w14:paraId="04BAFEC7" w14:textId="77777777" w:rsidR="009D68B8" w:rsidRPr="00286216" w:rsidRDefault="009D68B8" w:rsidP="009D68B8">
            <w:pPr>
              <w:pStyle w:val="StyleWisnow"/>
              <w:rPr>
                <w:color w:val="000000" w:themeColor="text1"/>
              </w:rPr>
            </w:pPr>
          </w:p>
          <w:p w14:paraId="14CCDAD5" w14:textId="77777777" w:rsidR="009D68B8" w:rsidRPr="00286216" w:rsidRDefault="009D68B8" w:rsidP="009D68B8">
            <w:pPr>
              <w:pStyle w:val="StyleWisnow"/>
              <w:rPr>
                <w:color w:val="000000" w:themeColor="text1"/>
              </w:rPr>
            </w:pPr>
          </w:p>
          <w:p w14:paraId="11F3E7BE" w14:textId="77777777" w:rsidR="009D68B8" w:rsidRPr="00286216" w:rsidRDefault="009D68B8" w:rsidP="009D68B8">
            <w:pPr>
              <w:pStyle w:val="StyleWisnow"/>
              <w:rPr>
                <w:color w:val="000000" w:themeColor="text1"/>
              </w:rPr>
            </w:pPr>
          </w:p>
          <w:p w14:paraId="1306613E" w14:textId="77777777" w:rsidR="009D68B8" w:rsidRPr="00286216" w:rsidRDefault="009D68B8" w:rsidP="009D68B8">
            <w:pPr>
              <w:pStyle w:val="StyleWisnow"/>
              <w:rPr>
                <w:color w:val="000000" w:themeColor="text1"/>
              </w:rPr>
            </w:pPr>
          </w:p>
          <w:p w14:paraId="76CD3F6B" w14:textId="77777777" w:rsidR="009D68B8" w:rsidRPr="00286216" w:rsidRDefault="009D68B8" w:rsidP="009D68B8">
            <w:pPr>
              <w:pStyle w:val="StyleWisnow"/>
              <w:rPr>
                <w:color w:val="000000" w:themeColor="text1"/>
              </w:rPr>
            </w:pPr>
          </w:p>
          <w:p w14:paraId="3B06D90B" w14:textId="77777777" w:rsidR="009D68B8" w:rsidRPr="00286216" w:rsidRDefault="009D68B8" w:rsidP="009D68B8">
            <w:pPr>
              <w:pStyle w:val="StyleWisnow"/>
              <w:rPr>
                <w:color w:val="000000" w:themeColor="text1"/>
              </w:rPr>
            </w:pPr>
          </w:p>
          <w:p w14:paraId="10C14780" w14:textId="77777777" w:rsidR="009D68B8" w:rsidRPr="00286216" w:rsidRDefault="009D68B8" w:rsidP="009D68B8">
            <w:pPr>
              <w:pStyle w:val="StyleWisnow"/>
              <w:rPr>
                <w:color w:val="000000" w:themeColor="text1"/>
              </w:rPr>
            </w:pPr>
          </w:p>
          <w:p w14:paraId="61E0BE6F" w14:textId="77777777" w:rsidR="009D68B8" w:rsidRPr="00286216" w:rsidRDefault="009D68B8" w:rsidP="009D68B8">
            <w:pPr>
              <w:pStyle w:val="StyleWisnow"/>
              <w:rPr>
                <w:color w:val="000000" w:themeColor="text1"/>
              </w:rPr>
            </w:pPr>
          </w:p>
          <w:p w14:paraId="05F6865D" w14:textId="77777777" w:rsidR="009D68B8" w:rsidRPr="00286216" w:rsidRDefault="009D68B8" w:rsidP="009D68B8">
            <w:pPr>
              <w:pStyle w:val="StyleWisnow"/>
              <w:rPr>
                <w:color w:val="000000" w:themeColor="text1"/>
              </w:rPr>
            </w:pPr>
          </w:p>
          <w:p w14:paraId="5D8D4FB0" w14:textId="77777777" w:rsidR="009D68B8" w:rsidRPr="00286216" w:rsidRDefault="009D68B8" w:rsidP="009D68B8">
            <w:pPr>
              <w:pStyle w:val="StyleWisnow"/>
              <w:rPr>
                <w:color w:val="000000" w:themeColor="text1"/>
              </w:rPr>
            </w:pPr>
          </w:p>
          <w:p w14:paraId="1136EBBB" w14:textId="77777777" w:rsidR="009D68B8" w:rsidRPr="00286216" w:rsidRDefault="009D68B8" w:rsidP="009D68B8">
            <w:pPr>
              <w:pStyle w:val="StyleWisnow"/>
              <w:rPr>
                <w:color w:val="000000" w:themeColor="text1"/>
              </w:rPr>
            </w:pPr>
          </w:p>
          <w:p w14:paraId="02FE21C8" w14:textId="77777777" w:rsidR="009D68B8" w:rsidRPr="00286216" w:rsidRDefault="009D68B8" w:rsidP="009D68B8">
            <w:pPr>
              <w:pStyle w:val="StyleWisnow"/>
              <w:rPr>
                <w:color w:val="000000" w:themeColor="text1"/>
              </w:rPr>
            </w:pPr>
          </w:p>
          <w:p w14:paraId="6A6295A6" w14:textId="77777777" w:rsidR="009D68B8" w:rsidRPr="00286216" w:rsidRDefault="009D68B8" w:rsidP="009D68B8">
            <w:pPr>
              <w:pStyle w:val="StyleWisnow"/>
              <w:rPr>
                <w:color w:val="000000" w:themeColor="text1"/>
              </w:rPr>
            </w:pPr>
          </w:p>
          <w:p w14:paraId="6313F0A6" w14:textId="77777777" w:rsidR="009D68B8" w:rsidRPr="00286216" w:rsidRDefault="009D68B8" w:rsidP="009D68B8">
            <w:pPr>
              <w:pStyle w:val="StyleWisnow"/>
              <w:rPr>
                <w:color w:val="000000" w:themeColor="text1"/>
              </w:rPr>
            </w:pPr>
          </w:p>
          <w:p w14:paraId="0F03FE01" w14:textId="77777777" w:rsidR="009D68B8" w:rsidRPr="00286216" w:rsidRDefault="009D68B8" w:rsidP="009D68B8">
            <w:pPr>
              <w:pStyle w:val="StyleWisnow"/>
              <w:rPr>
                <w:color w:val="000000" w:themeColor="text1"/>
              </w:rPr>
            </w:pPr>
          </w:p>
          <w:p w14:paraId="27341CD8" w14:textId="77777777" w:rsidR="009D68B8" w:rsidRPr="00286216" w:rsidRDefault="009D68B8" w:rsidP="009D68B8">
            <w:pPr>
              <w:pStyle w:val="StyleWisnow"/>
              <w:rPr>
                <w:color w:val="000000" w:themeColor="text1"/>
              </w:rPr>
            </w:pPr>
          </w:p>
          <w:p w14:paraId="154351F4" w14:textId="77777777" w:rsidR="009D68B8" w:rsidRPr="00286216" w:rsidRDefault="009D68B8" w:rsidP="009D68B8">
            <w:pPr>
              <w:pStyle w:val="StyleWisnow"/>
              <w:rPr>
                <w:color w:val="000000" w:themeColor="text1"/>
              </w:rPr>
            </w:pPr>
          </w:p>
          <w:p w14:paraId="52ABBC0E" w14:textId="77777777" w:rsidR="009D68B8" w:rsidRPr="00286216" w:rsidRDefault="009D68B8" w:rsidP="009D68B8">
            <w:pPr>
              <w:pStyle w:val="StyleWisnow"/>
              <w:rPr>
                <w:color w:val="000000" w:themeColor="text1"/>
              </w:rPr>
            </w:pPr>
          </w:p>
          <w:p w14:paraId="215A4AB1" w14:textId="77777777" w:rsidR="009D68B8" w:rsidRPr="00286216" w:rsidRDefault="009D68B8" w:rsidP="009D68B8">
            <w:pPr>
              <w:pStyle w:val="StyleWisnow"/>
              <w:rPr>
                <w:color w:val="000000" w:themeColor="text1"/>
              </w:rPr>
            </w:pPr>
          </w:p>
          <w:p w14:paraId="1FF02778" w14:textId="77777777" w:rsidR="009D68B8" w:rsidRPr="00286216" w:rsidRDefault="009D68B8" w:rsidP="009D68B8">
            <w:pPr>
              <w:pStyle w:val="StyleWisnow"/>
              <w:rPr>
                <w:color w:val="000000" w:themeColor="text1"/>
              </w:rPr>
            </w:pPr>
          </w:p>
          <w:p w14:paraId="5B26DECA" w14:textId="77777777" w:rsidR="009D68B8" w:rsidRPr="00286216" w:rsidRDefault="009D68B8" w:rsidP="009D68B8">
            <w:pPr>
              <w:pStyle w:val="StyleWisnow"/>
              <w:rPr>
                <w:color w:val="000000" w:themeColor="text1"/>
              </w:rPr>
            </w:pPr>
          </w:p>
          <w:p w14:paraId="7D3DCE0F" w14:textId="77777777" w:rsidR="009D68B8" w:rsidRPr="00286216" w:rsidRDefault="009D68B8" w:rsidP="009D68B8">
            <w:pPr>
              <w:pStyle w:val="StyleWisnow"/>
              <w:rPr>
                <w:color w:val="000000" w:themeColor="text1"/>
              </w:rPr>
            </w:pPr>
          </w:p>
          <w:p w14:paraId="550E2DBC" w14:textId="77777777" w:rsidR="009D68B8" w:rsidRPr="00286216" w:rsidRDefault="009D68B8" w:rsidP="009D68B8">
            <w:pPr>
              <w:pStyle w:val="StyleWisnow"/>
              <w:rPr>
                <w:color w:val="000000" w:themeColor="text1"/>
              </w:rPr>
            </w:pPr>
          </w:p>
          <w:p w14:paraId="1BFD5CCC" w14:textId="77777777" w:rsidR="009D68B8" w:rsidRPr="00286216" w:rsidRDefault="009D68B8" w:rsidP="009D68B8">
            <w:pPr>
              <w:pStyle w:val="StyleWisnow"/>
              <w:rPr>
                <w:color w:val="000000" w:themeColor="text1"/>
              </w:rPr>
            </w:pPr>
          </w:p>
          <w:p w14:paraId="61DDBF72" w14:textId="77777777" w:rsidR="009D68B8" w:rsidRPr="00286216" w:rsidRDefault="009D68B8" w:rsidP="009D68B8">
            <w:pPr>
              <w:pStyle w:val="StyleWisnow"/>
              <w:rPr>
                <w:color w:val="000000" w:themeColor="text1"/>
              </w:rPr>
            </w:pPr>
          </w:p>
          <w:p w14:paraId="1BE4C876" w14:textId="77777777" w:rsidR="009D68B8" w:rsidRPr="00286216" w:rsidRDefault="009D68B8" w:rsidP="009D68B8">
            <w:pPr>
              <w:pStyle w:val="StyleWisnow"/>
              <w:rPr>
                <w:color w:val="000000" w:themeColor="text1"/>
              </w:rPr>
            </w:pPr>
          </w:p>
          <w:p w14:paraId="32EB156F" w14:textId="77777777" w:rsidR="009D68B8" w:rsidRPr="00286216" w:rsidRDefault="009D68B8" w:rsidP="009D68B8">
            <w:pPr>
              <w:pStyle w:val="StyleWisnow"/>
              <w:rPr>
                <w:color w:val="000000" w:themeColor="text1"/>
              </w:rPr>
            </w:pPr>
          </w:p>
          <w:p w14:paraId="7FA2107F" w14:textId="77777777" w:rsidR="009D68B8" w:rsidRPr="00286216" w:rsidRDefault="009D68B8" w:rsidP="009D68B8">
            <w:pPr>
              <w:pStyle w:val="StyleWisnow"/>
              <w:rPr>
                <w:color w:val="000000" w:themeColor="text1"/>
              </w:rPr>
            </w:pPr>
          </w:p>
          <w:p w14:paraId="47171E1E" w14:textId="77777777" w:rsidR="009D68B8" w:rsidRPr="00286216" w:rsidRDefault="009D68B8" w:rsidP="009D68B8">
            <w:pPr>
              <w:pStyle w:val="StyleWisnow"/>
              <w:rPr>
                <w:color w:val="000000" w:themeColor="text1"/>
              </w:rPr>
            </w:pPr>
          </w:p>
          <w:p w14:paraId="5CEB4AB9" w14:textId="77777777" w:rsidR="009D68B8" w:rsidRPr="00286216" w:rsidRDefault="009D68B8" w:rsidP="009D68B8">
            <w:pPr>
              <w:pStyle w:val="StyleWisnow"/>
              <w:rPr>
                <w:color w:val="000000" w:themeColor="text1"/>
              </w:rPr>
            </w:pPr>
          </w:p>
          <w:p w14:paraId="499E95A4" w14:textId="77777777" w:rsidR="009D68B8" w:rsidRPr="00286216" w:rsidRDefault="009D68B8" w:rsidP="009D68B8">
            <w:pPr>
              <w:pStyle w:val="StyleWisnow"/>
              <w:rPr>
                <w:color w:val="000000" w:themeColor="text1"/>
              </w:rPr>
            </w:pPr>
          </w:p>
          <w:p w14:paraId="63DF86C6" w14:textId="77777777" w:rsidR="009D68B8" w:rsidRPr="00286216" w:rsidRDefault="009D68B8" w:rsidP="009D68B8">
            <w:pPr>
              <w:pStyle w:val="StyleWisnow"/>
              <w:rPr>
                <w:color w:val="000000" w:themeColor="text1"/>
              </w:rPr>
            </w:pPr>
          </w:p>
          <w:p w14:paraId="11423DBD" w14:textId="77777777" w:rsidR="009D68B8" w:rsidRPr="00286216" w:rsidRDefault="009D68B8" w:rsidP="009D68B8">
            <w:pPr>
              <w:pStyle w:val="StyleWisnow"/>
              <w:rPr>
                <w:color w:val="000000" w:themeColor="text1"/>
              </w:rPr>
            </w:pPr>
          </w:p>
          <w:p w14:paraId="35472D0A" w14:textId="77777777" w:rsidR="009D68B8" w:rsidRPr="00286216" w:rsidRDefault="009D68B8" w:rsidP="009D68B8">
            <w:pPr>
              <w:pStyle w:val="StyleWisnow"/>
              <w:rPr>
                <w:color w:val="000000" w:themeColor="text1"/>
              </w:rPr>
            </w:pPr>
          </w:p>
          <w:p w14:paraId="0697A703" w14:textId="77777777" w:rsidR="009D68B8" w:rsidRPr="00286216" w:rsidRDefault="009D68B8" w:rsidP="009D68B8">
            <w:pPr>
              <w:pStyle w:val="StyleWisnow"/>
              <w:rPr>
                <w:color w:val="000000" w:themeColor="text1"/>
              </w:rPr>
            </w:pPr>
          </w:p>
          <w:p w14:paraId="4FD2AF31" w14:textId="77777777" w:rsidR="009D68B8" w:rsidRPr="00286216" w:rsidRDefault="009D68B8" w:rsidP="009D68B8">
            <w:pPr>
              <w:pStyle w:val="StyleWisnow"/>
              <w:rPr>
                <w:color w:val="000000" w:themeColor="text1"/>
              </w:rPr>
            </w:pPr>
          </w:p>
          <w:p w14:paraId="6097C516" w14:textId="77777777" w:rsidR="009D68B8" w:rsidRPr="00286216" w:rsidRDefault="009D68B8" w:rsidP="009D68B8">
            <w:pPr>
              <w:pStyle w:val="StyleWisnow"/>
              <w:rPr>
                <w:color w:val="000000" w:themeColor="text1"/>
              </w:rPr>
            </w:pPr>
          </w:p>
          <w:p w14:paraId="3970D87A" w14:textId="77777777" w:rsidR="009D68B8" w:rsidRPr="00286216" w:rsidRDefault="009D68B8" w:rsidP="009D68B8">
            <w:pPr>
              <w:pStyle w:val="StyleWisnow"/>
              <w:rPr>
                <w:color w:val="000000" w:themeColor="text1"/>
              </w:rPr>
            </w:pPr>
          </w:p>
          <w:p w14:paraId="392D80FC" w14:textId="77777777" w:rsidR="009D68B8" w:rsidRPr="00286216" w:rsidRDefault="009D68B8" w:rsidP="009D68B8">
            <w:pPr>
              <w:pStyle w:val="StyleWisnow"/>
              <w:rPr>
                <w:color w:val="000000" w:themeColor="text1"/>
              </w:rPr>
            </w:pPr>
          </w:p>
          <w:p w14:paraId="21BA1406" w14:textId="77777777" w:rsidR="009D68B8" w:rsidRPr="00286216" w:rsidRDefault="009D68B8" w:rsidP="009D68B8">
            <w:pPr>
              <w:pStyle w:val="StyleWisnow"/>
              <w:rPr>
                <w:color w:val="000000" w:themeColor="text1"/>
              </w:rPr>
            </w:pPr>
          </w:p>
          <w:p w14:paraId="7A9EE0CD" w14:textId="77777777" w:rsidR="009D68B8" w:rsidRPr="00286216" w:rsidRDefault="009D68B8" w:rsidP="009D68B8">
            <w:pPr>
              <w:pStyle w:val="StyleWisnow"/>
              <w:rPr>
                <w:color w:val="000000" w:themeColor="text1"/>
              </w:rPr>
            </w:pPr>
          </w:p>
          <w:p w14:paraId="3C230246" w14:textId="77777777" w:rsidR="009D68B8" w:rsidRPr="00286216" w:rsidRDefault="009D68B8" w:rsidP="009D68B8">
            <w:pPr>
              <w:pStyle w:val="StyleWisnow"/>
              <w:rPr>
                <w:color w:val="000000" w:themeColor="text1"/>
              </w:rPr>
            </w:pPr>
          </w:p>
          <w:p w14:paraId="261AFD31" w14:textId="77777777" w:rsidR="009D68B8" w:rsidRPr="00286216" w:rsidRDefault="009D68B8" w:rsidP="009D68B8">
            <w:pPr>
              <w:pStyle w:val="StyleWisnow"/>
              <w:rPr>
                <w:color w:val="000000" w:themeColor="text1"/>
              </w:rPr>
            </w:pPr>
          </w:p>
          <w:p w14:paraId="746FF865" w14:textId="77777777" w:rsidR="009D68B8" w:rsidRPr="00286216" w:rsidRDefault="009D68B8" w:rsidP="009D68B8">
            <w:pPr>
              <w:pStyle w:val="StyleWisnow"/>
              <w:rPr>
                <w:color w:val="000000" w:themeColor="text1"/>
              </w:rPr>
            </w:pPr>
          </w:p>
          <w:p w14:paraId="0699325B" w14:textId="77777777" w:rsidR="009D68B8" w:rsidRPr="00286216" w:rsidRDefault="009D68B8" w:rsidP="009D68B8">
            <w:pPr>
              <w:pStyle w:val="StyleWisnow"/>
              <w:rPr>
                <w:color w:val="000000" w:themeColor="text1"/>
              </w:rPr>
            </w:pPr>
          </w:p>
          <w:p w14:paraId="3E2D83AF" w14:textId="77777777" w:rsidR="009D68B8" w:rsidRPr="00286216" w:rsidRDefault="009D68B8" w:rsidP="009D68B8">
            <w:pPr>
              <w:pStyle w:val="StyleWisnow"/>
              <w:rPr>
                <w:color w:val="000000" w:themeColor="text1"/>
              </w:rPr>
            </w:pPr>
          </w:p>
          <w:p w14:paraId="73219402" w14:textId="77777777" w:rsidR="009D68B8" w:rsidRPr="00286216" w:rsidRDefault="009D68B8" w:rsidP="009D68B8">
            <w:pPr>
              <w:pStyle w:val="StyleWisnow"/>
              <w:rPr>
                <w:color w:val="000000" w:themeColor="text1"/>
              </w:rPr>
            </w:pPr>
          </w:p>
          <w:p w14:paraId="6A37FCD9" w14:textId="77777777" w:rsidR="009D68B8" w:rsidRPr="00286216" w:rsidRDefault="009D68B8" w:rsidP="009D68B8">
            <w:pPr>
              <w:pStyle w:val="StyleWisnow"/>
              <w:rPr>
                <w:color w:val="000000" w:themeColor="text1"/>
              </w:rPr>
            </w:pPr>
          </w:p>
          <w:p w14:paraId="00EBEEDF" w14:textId="77777777" w:rsidR="009D68B8" w:rsidRPr="00286216" w:rsidRDefault="009D68B8" w:rsidP="009D68B8">
            <w:pPr>
              <w:pStyle w:val="StyleWisnow"/>
              <w:rPr>
                <w:color w:val="000000" w:themeColor="text1"/>
              </w:rPr>
            </w:pPr>
          </w:p>
          <w:p w14:paraId="763792E9" w14:textId="77777777" w:rsidR="009D68B8" w:rsidRPr="00286216" w:rsidRDefault="009D68B8" w:rsidP="009D68B8">
            <w:pPr>
              <w:pStyle w:val="StyleWisnow"/>
              <w:rPr>
                <w:color w:val="000000" w:themeColor="text1"/>
              </w:rPr>
            </w:pPr>
          </w:p>
          <w:p w14:paraId="4D0BF3CC" w14:textId="77777777" w:rsidR="009D68B8" w:rsidRPr="00286216" w:rsidRDefault="009D68B8" w:rsidP="009D68B8">
            <w:pPr>
              <w:pStyle w:val="StyleWisnow"/>
              <w:rPr>
                <w:color w:val="000000" w:themeColor="text1"/>
              </w:rPr>
            </w:pPr>
          </w:p>
          <w:p w14:paraId="5E94C7ED" w14:textId="77777777" w:rsidR="009D68B8" w:rsidRPr="00286216" w:rsidRDefault="009D68B8" w:rsidP="009D68B8">
            <w:pPr>
              <w:pStyle w:val="StyleWisnow"/>
              <w:rPr>
                <w:color w:val="000000" w:themeColor="text1"/>
              </w:rPr>
            </w:pPr>
          </w:p>
          <w:p w14:paraId="0CC6C1BE" w14:textId="77777777" w:rsidR="009D68B8" w:rsidRPr="00286216" w:rsidRDefault="009D68B8" w:rsidP="009D68B8">
            <w:pPr>
              <w:pStyle w:val="StyleWisnow"/>
              <w:rPr>
                <w:color w:val="000000" w:themeColor="text1"/>
              </w:rPr>
            </w:pPr>
          </w:p>
          <w:p w14:paraId="4003460E" w14:textId="77777777" w:rsidR="009D68B8" w:rsidRPr="00286216" w:rsidRDefault="009D68B8" w:rsidP="009D68B8">
            <w:pPr>
              <w:pStyle w:val="StyleWisnow"/>
              <w:rPr>
                <w:color w:val="000000" w:themeColor="text1"/>
              </w:rPr>
            </w:pPr>
          </w:p>
          <w:p w14:paraId="58A34B1F" w14:textId="77777777" w:rsidR="009D68B8" w:rsidRPr="00286216" w:rsidRDefault="009D68B8" w:rsidP="009D68B8">
            <w:pPr>
              <w:pStyle w:val="StyleWisnow"/>
              <w:rPr>
                <w:color w:val="000000" w:themeColor="text1"/>
              </w:rPr>
            </w:pPr>
          </w:p>
          <w:p w14:paraId="0B85BB68" w14:textId="77777777" w:rsidR="009D68B8" w:rsidRPr="00286216" w:rsidRDefault="009D68B8" w:rsidP="009D68B8">
            <w:pPr>
              <w:pStyle w:val="StyleWisnow"/>
              <w:rPr>
                <w:color w:val="000000" w:themeColor="text1"/>
              </w:rPr>
            </w:pPr>
          </w:p>
          <w:p w14:paraId="247341C6" w14:textId="77777777" w:rsidR="009D68B8" w:rsidRPr="00286216" w:rsidRDefault="009D68B8" w:rsidP="009D68B8">
            <w:pPr>
              <w:pStyle w:val="StyleWisnow"/>
              <w:rPr>
                <w:color w:val="000000" w:themeColor="text1"/>
              </w:rPr>
            </w:pPr>
          </w:p>
          <w:p w14:paraId="74AF1D39" w14:textId="77777777" w:rsidR="009D68B8" w:rsidRPr="00286216" w:rsidRDefault="009D68B8" w:rsidP="009D68B8">
            <w:pPr>
              <w:pStyle w:val="StyleWisnow"/>
              <w:rPr>
                <w:color w:val="000000" w:themeColor="text1"/>
              </w:rPr>
            </w:pPr>
          </w:p>
          <w:p w14:paraId="7D00FACE" w14:textId="77777777" w:rsidR="009D68B8" w:rsidRPr="00286216" w:rsidRDefault="009D68B8" w:rsidP="009D68B8">
            <w:pPr>
              <w:pStyle w:val="StyleWisnow"/>
              <w:rPr>
                <w:color w:val="000000" w:themeColor="text1"/>
              </w:rPr>
            </w:pPr>
          </w:p>
          <w:p w14:paraId="29A2AEA4" w14:textId="77777777" w:rsidR="009D68B8" w:rsidRPr="00286216" w:rsidRDefault="009D68B8" w:rsidP="009D68B8">
            <w:pPr>
              <w:pStyle w:val="StyleWisnow"/>
              <w:rPr>
                <w:color w:val="000000" w:themeColor="text1"/>
              </w:rPr>
            </w:pPr>
          </w:p>
          <w:p w14:paraId="6112A284" w14:textId="77777777" w:rsidR="009D68B8" w:rsidRPr="00286216" w:rsidRDefault="009D68B8" w:rsidP="009D68B8">
            <w:pPr>
              <w:pStyle w:val="StyleWisnow"/>
              <w:rPr>
                <w:color w:val="000000" w:themeColor="text1"/>
              </w:rPr>
            </w:pPr>
          </w:p>
          <w:p w14:paraId="22F19319" w14:textId="77777777" w:rsidR="009D68B8" w:rsidRPr="00286216" w:rsidRDefault="009D68B8" w:rsidP="009D68B8">
            <w:pPr>
              <w:pStyle w:val="StyleWisnow"/>
              <w:rPr>
                <w:color w:val="000000" w:themeColor="text1"/>
              </w:rPr>
            </w:pPr>
          </w:p>
          <w:p w14:paraId="28A4E433" w14:textId="77777777" w:rsidR="009D68B8" w:rsidRPr="00286216" w:rsidRDefault="009D68B8" w:rsidP="009D68B8">
            <w:pPr>
              <w:pStyle w:val="StyleWisnow"/>
              <w:rPr>
                <w:color w:val="000000" w:themeColor="text1"/>
              </w:rPr>
            </w:pPr>
          </w:p>
          <w:p w14:paraId="58D34241" w14:textId="77777777" w:rsidR="009D68B8" w:rsidRPr="00286216" w:rsidRDefault="009D68B8" w:rsidP="009D68B8">
            <w:pPr>
              <w:pStyle w:val="StyleWisnow"/>
              <w:rPr>
                <w:color w:val="000000" w:themeColor="text1"/>
              </w:rPr>
            </w:pPr>
          </w:p>
          <w:p w14:paraId="3BA1ADA0" w14:textId="77777777" w:rsidR="009D68B8" w:rsidRPr="00286216" w:rsidRDefault="009D68B8" w:rsidP="009D68B8">
            <w:pPr>
              <w:pStyle w:val="StyleWisnow"/>
              <w:rPr>
                <w:color w:val="000000" w:themeColor="text1"/>
              </w:rPr>
            </w:pPr>
          </w:p>
          <w:p w14:paraId="448EB030" w14:textId="77777777" w:rsidR="009D68B8" w:rsidRPr="00286216" w:rsidRDefault="009D68B8" w:rsidP="009D68B8">
            <w:pPr>
              <w:pStyle w:val="StyleWisnow"/>
              <w:rPr>
                <w:color w:val="000000" w:themeColor="text1"/>
              </w:rPr>
            </w:pPr>
          </w:p>
          <w:p w14:paraId="3109EBD8" w14:textId="77777777" w:rsidR="009D68B8" w:rsidRPr="00286216" w:rsidRDefault="009D68B8" w:rsidP="009D68B8">
            <w:pPr>
              <w:pStyle w:val="StyleWisnow"/>
              <w:rPr>
                <w:color w:val="000000" w:themeColor="text1"/>
              </w:rPr>
            </w:pPr>
          </w:p>
          <w:p w14:paraId="64A97F1B" w14:textId="77777777" w:rsidR="009D68B8" w:rsidRPr="00286216" w:rsidRDefault="009D68B8" w:rsidP="009D68B8">
            <w:pPr>
              <w:pStyle w:val="StyleWisnow"/>
              <w:rPr>
                <w:color w:val="000000" w:themeColor="text1"/>
              </w:rPr>
            </w:pPr>
          </w:p>
          <w:p w14:paraId="557E0D24" w14:textId="77777777" w:rsidR="009D68B8" w:rsidRPr="00286216" w:rsidRDefault="009D68B8" w:rsidP="009D68B8">
            <w:pPr>
              <w:pStyle w:val="StyleWisnow"/>
              <w:rPr>
                <w:color w:val="000000" w:themeColor="text1"/>
              </w:rPr>
            </w:pPr>
          </w:p>
          <w:p w14:paraId="5FCB1237" w14:textId="77777777" w:rsidR="009D68B8" w:rsidRPr="00286216" w:rsidRDefault="009D68B8" w:rsidP="009D68B8">
            <w:pPr>
              <w:pStyle w:val="StyleWisnow"/>
              <w:rPr>
                <w:color w:val="000000" w:themeColor="text1"/>
              </w:rPr>
            </w:pPr>
          </w:p>
          <w:p w14:paraId="0C86B6A7" w14:textId="77777777" w:rsidR="009D68B8" w:rsidRPr="00286216" w:rsidRDefault="009D68B8" w:rsidP="009D68B8">
            <w:pPr>
              <w:pStyle w:val="StyleWisnow"/>
              <w:rPr>
                <w:color w:val="000000" w:themeColor="text1"/>
              </w:rPr>
            </w:pPr>
          </w:p>
          <w:p w14:paraId="2719E303" w14:textId="77777777" w:rsidR="009D68B8" w:rsidRPr="00286216" w:rsidRDefault="009D68B8" w:rsidP="009D68B8">
            <w:pPr>
              <w:pStyle w:val="StyleWisnow"/>
              <w:rPr>
                <w:color w:val="000000" w:themeColor="text1"/>
              </w:rPr>
            </w:pPr>
          </w:p>
          <w:p w14:paraId="2726A25D" w14:textId="77777777" w:rsidR="009D68B8" w:rsidRPr="00286216" w:rsidRDefault="009D68B8" w:rsidP="009D68B8">
            <w:pPr>
              <w:pStyle w:val="StyleWisnow"/>
              <w:rPr>
                <w:color w:val="000000" w:themeColor="text1"/>
              </w:rPr>
            </w:pPr>
          </w:p>
          <w:p w14:paraId="102F8D13" w14:textId="77777777" w:rsidR="009D68B8" w:rsidRPr="00286216" w:rsidRDefault="009D68B8" w:rsidP="009D68B8">
            <w:pPr>
              <w:pStyle w:val="StyleWisnow"/>
              <w:rPr>
                <w:color w:val="000000" w:themeColor="text1"/>
              </w:rPr>
            </w:pPr>
          </w:p>
          <w:p w14:paraId="0B43C9BA" w14:textId="77777777" w:rsidR="009D68B8" w:rsidRPr="00286216" w:rsidRDefault="009D68B8" w:rsidP="009D68B8">
            <w:pPr>
              <w:pStyle w:val="StyleWisnow"/>
              <w:rPr>
                <w:color w:val="000000" w:themeColor="text1"/>
              </w:rPr>
            </w:pPr>
          </w:p>
          <w:p w14:paraId="429EA469" w14:textId="77777777" w:rsidR="009D68B8" w:rsidRPr="00286216" w:rsidRDefault="009D68B8" w:rsidP="009D68B8">
            <w:pPr>
              <w:pStyle w:val="StyleWisnow"/>
              <w:rPr>
                <w:color w:val="000000" w:themeColor="text1"/>
              </w:rPr>
            </w:pPr>
          </w:p>
          <w:p w14:paraId="5B1620B1" w14:textId="77777777" w:rsidR="009D68B8" w:rsidRPr="00286216" w:rsidRDefault="009D68B8" w:rsidP="009D68B8">
            <w:pPr>
              <w:pStyle w:val="StyleWisnow"/>
              <w:rPr>
                <w:color w:val="000000" w:themeColor="text1"/>
              </w:rPr>
            </w:pPr>
          </w:p>
          <w:p w14:paraId="7AF10A40" w14:textId="77777777" w:rsidR="009D68B8" w:rsidRPr="00286216" w:rsidRDefault="009D68B8" w:rsidP="009D68B8">
            <w:pPr>
              <w:pStyle w:val="StyleWisnow"/>
              <w:rPr>
                <w:color w:val="000000" w:themeColor="text1"/>
              </w:rPr>
            </w:pPr>
          </w:p>
          <w:p w14:paraId="0C23454B" w14:textId="77777777" w:rsidR="009D68B8" w:rsidRPr="00286216" w:rsidRDefault="009D68B8" w:rsidP="009D68B8">
            <w:pPr>
              <w:pStyle w:val="StyleWisnow"/>
              <w:rPr>
                <w:color w:val="000000" w:themeColor="text1"/>
              </w:rPr>
            </w:pPr>
          </w:p>
          <w:p w14:paraId="40261474" w14:textId="77777777" w:rsidR="009D68B8" w:rsidRPr="00286216" w:rsidRDefault="009D68B8" w:rsidP="009D68B8">
            <w:pPr>
              <w:pStyle w:val="StyleWisnow"/>
              <w:rPr>
                <w:color w:val="000000" w:themeColor="text1"/>
              </w:rPr>
            </w:pPr>
          </w:p>
          <w:p w14:paraId="0FEB878D" w14:textId="77777777" w:rsidR="009D68B8" w:rsidRPr="00286216" w:rsidRDefault="009D68B8" w:rsidP="009D68B8">
            <w:pPr>
              <w:pStyle w:val="StyleWisnow"/>
              <w:rPr>
                <w:color w:val="000000" w:themeColor="text1"/>
              </w:rPr>
            </w:pPr>
          </w:p>
          <w:p w14:paraId="59BBE4CB" w14:textId="77777777" w:rsidR="009D68B8" w:rsidRPr="00286216" w:rsidRDefault="009D68B8" w:rsidP="009D68B8">
            <w:pPr>
              <w:pStyle w:val="StyleWisnow"/>
              <w:rPr>
                <w:color w:val="000000" w:themeColor="text1"/>
              </w:rPr>
            </w:pPr>
          </w:p>
          <w:p w14:paraId="18451EE8" w14:textId="77777777" w:rsidR="009D68B8" w:rsidRPr="00286216" w:rsidRDefault="009D68B8" w:rsidP="009D68B8">
            <w:pPr>
              <w:pStyle w:val="StyleWisnow"/>
              <w:rPr>
                <w:color w:val="000000" w:themeColor="text1"/>
              </w:rPr>
            </w:pPr>
          </w:p>
          <w:p w14:paraId="2EBF77FC" w14:textId="77777777" w:rsidR="009D68B8" w:rsidRPr="00286216" w:rsidRDefault="009D68B8" w:rsidP="009D68B8">
            <w:pPr>
              <w:pStyle w:val="StyleWisnow"/>
              <w:rPr>
                <w:color w:val="000000" w:themeColor="text1"/>
              </w:rPr>
            </w:pPr>
          </w:p>
          <w:p w14:paraId="026ABFE3" w14:textId="77777777" w:rsidR="009D68B8" w:rsidRPr="00286216" w:rsidRDefault="009D68B8" w:rsidP="009D68B8">
            <w:pPr>
              <w:pStyle w:val="StyleWisnow"/>
              <w:rPr>
                <w:color w:val="000000" w:themeColor="text1"/>
              </w:rPr>
            </w:pPr>
          </w:p>
          <w:p w14:paraId="545029ED" w14:textId="77777777" w:rsidR="009D68B8" w:rsidRPr="00286216" w:rsidRDefault="009D68B8" w:rsidP="009D68B8">
            <w:pPr>
              <w:pStyle w:val="StyleWisnow"/>
              <w:rPr>
                <w:color w:val="000000" w:themeColor="text1"/>
              </w:rPr>
            </w:pPr>
          </w:p>
          <w:p w14:paraId="2265475D" w14:textId="77777777" w:rsidR="009D68B8" w:rsidRPr="00286216" w:rsidRDefault="009D68B8" w:rsidP="009D68B8">
            <w:pPr>
              <w:pStyle w:val="StyleWisnow"/>
              <w:rPr>
                <w:color w:val="000000" w:themeColor="text1"/>
              </w:rPr>
            </w:pPr>
          </w:p>
          <w:p w14:paraId="226F723C" w14:textId="77777777" w:rsidR="009D68B8" w:rsidRPr="00286216" w:rsidRDefault="009D68B8" w:rsidP="009D68B8">
            <w:pPr>
              <w:pStyle w:val="StyleWisnow"/>
              <w:rPr>
                <w:color w:val="000000" w:themeColor="text1"/>
              </w:rPr>
            </w:pPr>
          </w:p>
          <w:p w14:paraId="287E2B29" w14:textId="77777777" w:rsidR="009D68B8" w:rsidRPr="00286216" w:rsidRDefault="009D68B8" w:rsidP="009D68B8">
            <w:pPr>
              <w:pStyle w:val="StyleWisnow"/>
              <w:rPr>
                <w:color w:val="000000" w:themeColor="text1"/>
              </w:rPr>
            </w:pPr>
          </w:p>
          <w:p w14:paraId="0B4A82B0" w14:textId="77777777" w:rsidR="009D68B8" w:rsidRPr="00286216" w:rsidRDefault="009D68B8" w:rsidP="009D68B8">
            <w:pPr>
              <w:pStyle w:val="StyleWisnow"/>
              <w:rPr>
                <w:color w:val="000000" w:themeColor="text1"/>
              </w:rPr>
            </w:pPr>
          </w:p>
          <w:p w14:paraId="448455A8" w14:textId="77777777" w:rsidR="009D68B8" w:rsidRPr="00286216" w:rsidRDefault="009D68B8" w:rsidP="009D68B8">
            <w:pPr>
              <w:pStyle w:val="StyleWisnow"/>
              <w:rPr>
                <w:color w:val="000000" w:themeColor="text1"/>
              </w:rPr>
            </w:pPr>
          </w:p>
          <w:p w14:paraId="23D6DEF5" w14:textId="77777777" w:rsidR="009D68B8" w:rsidRPr="00286216" w:rsidRDefault="009D68B8" w:rsidP="009D68B8">
            <w:pPr>
              <w:pStyle w:val="StyleWisnow"/>
              <w:rPr>
                <w:color w:val="000000" w:themeColor="text1"/>
              </w:rPr>
            </w:pPr>
          </w:p>
          <w:p w14:paraId="05341714" w14:textId="77777777" w:rsidR="009D68B8" w:rsidRPr="00286216" w:rsidRDefault="009D68B8" w:rsidP="009D68B8">
            <w:pPr>
              <w:pStyle w:val="StyleWisnow"/>
              <w:rPr>
                <w:color w:val="000000" w:themeColor="text1"/>
              </w:rPr>
            </w:pPr>
          </w:p>
          <w:p w14:paraId="3A6604FA" w14:textId="77777777" w:rsidR="009D68B8" w:rsidRPr="00286216" w:rsidRDefault="009D68B8" w:rsidP="009D68B8">
            <w:pPr>
              <w:pStyle w:val="StyleWisnow"/>
              <w:rPr>
                <w:color w:val="000000" w:themeColor="text1"/>
              </w:rPr>
            </w:pPr>
          </w:p>
          <w:p w14:paraId="76D9B2D3" w14:textId="77777777" w:rsidR="009D68B8" w:rsidRPr="00286216" w:rsidRDefault="009D68B8" w:rsidP="009D68B8">
            <w:pPr>
              <w:pStyle w:val="StyleWisnow"/>
              <w:rPr>
                <w:color w:val="000000" w:themeColor="text1"/>
              </w:rPr>
            </w:pPr>
          </w:p>
          <w:p w14:paraId="18AE37D9" w14:textId="77777777" w:rsidR="009D68B8" w:rsidRPr="00286216" w:rsidRDefault="009D68B8" w:rsidP="009D68B8">
            <w:pPr>
              <w:pStyle w:val="StyleWisnow"/>
              <w:rPr>
                <w:color w:val="000000" w:themeColor="text1"/>
              </w:rPr>
            </w:pPr>
          </w:p>
          <w:p w14:paraId="6EA14896" w14:textId="77777777" w:rsidR="009D68B8" w:rsidRPr="00286216" w:rsidRDefault="009D68B8" w:rsidP="009D68B8">
            <w:pPr>
              <w:pStyle w:val="StyleWisnow"/>
              <w:rPr>
                <w:color w:val="000000" w:themeColor="text1"/>
              </w:rPr>
            </w:pPr>
          </w:p>
          <w:p w14:paraId="3C6A8AA5" w14:textId="77777777" w:rsidR="009D68B8" w:rsidRPr="00286216" w:rsidRDefault="009D68B8" w:rsidP="009D68B8">
            <w:pPr>
              <w:pStyle w:val="StyleWisnow"/>
              <w:rPr>
                <w:color w:val="000000" w:themeColor="text1"/>
              </w:rPr>
            </w:pPr>
          </w:p>
          <w:p w14:paraId="5E55A1FF" w14:textId="77777777" w:rsidR="009D68B8" w:rsidRPr="00286216" w:rsidRDefault="009D68B8" w:rsidP="009D68B8">
            <w:pPr>
              <w:pStyle w:val="StyleWisnow"/>
              <w:rPr>
                <w:color w:val="000000" w:themeColor="text1"/>
              </w:rPr>
            </w:pPr>
          </w:p>
          <w:p w14:paraId="1634AD79" w14:textId="77777777" w:rsidR="009D68B8" w:rsidRPr="00286216" w:rsidRDefault="009D68B8" w:rsidP="009D68B8">
            <w:pPr>
              <w:pStyle w:val="StyleWisnow"/>
              <w:rPr>
                <w:color w:val="000000" w:themeColor="text1"/>
              </w:rPr>
            </w:pPr>
          </w:p>
          <w:p w14:paraId="7DEFBBC4" w14:textId="77777777" w:rsidR="009D68B8" w:rsidRPr="00286216" w:rsidRDefault="009D68B8" w:rsidP="009D68B8">
            <w:pPr>
              <w:pStyle w:val="StyleWisnow"/>
              <w:rPr>
                <w:color w:val="000000" w:themeColor="text1"/>
              </w:rPr>
            </w:pPr>
          </w:p>
          <w:p w14:paraId="710352F9" w14:textId="77777777" w:rsidR="009D68B8" w:rsidRPr="00286216" w:rsidRDefault="009D68B8" w:rsidP="009D68B8">
            <w:pPr>
              <w:pStyle w:val="StyleWisnow"/>
              <w:rPr>
                <w:color w:val="000000" w:themeColor="text1"/>
              </w:rPr>
            </w:pPr>
          </w:p>
          <w:p w14:paraId="27931591" w14:textId="77777777" w:rsidR="009D68B8" w:rsidRPr="00286216" w:rsidRDefault="009D68B8" w:rsidP="009D68B8">
            <w:pPr>
              <w:pStyle w:val="StyleWisnow"/>
              <w:rPr>
                <w:color w:val="000000" w:themeColor="text1"/>
              </w:rPr>
            </w:pPr>
          </w:p>
          <w:p w14:paraId="50AF1FEF" w14:textId="77777777" w:rsidR="009D68B8" w:rsidRPr="00286216" w:rsidRDefault="009D68B8" w:rsidP="009D68B8">
            <w:pPr>
              <w:pStyle w:val="StyleWisnow"/>
              <w:rPr>
                <w:color w:val="000000" w:themeColor="text1"/>
              </w:rPr>
            </w:pPr>
          </w:p>
          <w:p w14:paraId="6968FFDE" w14:textId="77777777" w:rsidR="009D68B8" w:rsidRPr="00286216" w:rsidRDefault="009D68B8" w:rsidP="009D68B8">
            <w:pPr>
              <w:pStyle w:val="StyleWisnow"/>
              <w:rPr>
                <w:color w:val="000000" w:themeColor="text1"/>
              </w:rPr>
            </w:pPr>
          </w:p>
          <w:p w14:paraId="7C2CE500" w14:textId="77777777" w:rsidR="009D68B8" w:rsidRPr="00286216" w:rsidRDefault="009D68B8" w:rsidP="009D68B8">
            <w:pPr>
              <w:pStyle w:val="StyleWisnow"/>
              <w:rPr>
                <w:color w:val="000000" w:themeColor="text1"/>
              </w:rPr>
            </w:pPr>
          </w:p>
          <w:p w14:paraId="615A2CC8" w14:textId="77777777" w:rsidR="009D68B8" w:rsidRPr="00286216" w:rsidRDefault="009D68B8" w:rsidP="009D68B8">
            <w:pPr>
              <w:pStyle w:val="StyleWisnow"/>
              <w:rPr>
                <w:color w:val="000000" w:themeColor="text1"/>
              </w:rPr>
            </w:pPr>
          </w:p>
          <w:p w14:paraId="5B74D131" w14:textId="77777777" w:rsidR="009D68B8" w:rsidRPr="00286216" w:rsidRDefault="009D68B8" w:rsidP="009D68B8">
            <w:pPr>
              <w:pStyle w:val="StyleWisnow"/>
              <w:rPr>
                <w:color w:val="000000" w:themeColor="text1"/>
              </w:rPr>
            </w:pPr>
          </w:p>
          <w:p w14:paraId="2B8A2B28" w14:textId="77777777" w:rsidR="009D68B8" w:rsidRPr="00286216" w:rsidRDefault="009D68B8" w:rsidP="009D68B8">
            <w:pPr>
              <w:pStyle w:val="StyleWisnow"/>
              <w:rPr>
                <w:color w:val="000000" w:themeColor="text1"/>
              </w:rPr>
            </w:pPr>
          </w:p>
          <w:p w14:paraId="6EA655A6" w14:textId="77777777" w:rsidR="009D68B8" w:rsidRPr="00286216" w:rsidRDefault="009D68B8" w:rsidP="009D68B8">
            <w:pPr>
              <w:pStyle w:val="StyleWisnow"/>
              <w:rPr>
                <w:color w:val="000000" w:themeColor="text1"/>
              </w:rPr>
            </w:pPr>
          </w:p>
          <w:p w14:paraId="7E30C360" w14:textId="77777777" w:rsidR="009D68B8" w:rsidRPr="00286216" w:rsidRDefault="009D68B8" w:rsidP="009D68B8">
            <w:pPr>
              <w:pStyle w:val="StyleWisnow"/>
              <w:rPr>
                <w:color w:val="000000" w:themeColor="text1"/>
              </w:rPr>
            </w:pPr>
          </w:p>
          <w:p w14:paraId="2FC446AB" w14:textId="77777777" w:rsidR="009D68B8" w:rsidRPr="00286216" w:rsidRDefault="009D68B8" w:rsidP="009D68B8">
            <w:pPr>
              <w:pStyle w:val="StyleWisnow"/>
              <w:rPr>
                <w:color w:val="000000" w:themeColor="text1"/>
              </w:rPr>
            </w:pPr>
          </w:p>
          <w:p w14:paraId="17D7CD4A" w14:textId="77777777" w:rsidR="009D68B8" w:rsidRPr="00286216" w:rsidRDefault="009D68B8" w:rsidP="009D68B8">
            <w:pPr>
              <w:pStyle w:val="StyleWisnow"/>
              <w:rPr>
                <w:color w:val="000000" w:themeColor="text1"/>
              </w:rPr>
            </w:pPr>
          </w:p>
          <w:p w14:paraId="4CEB4814" w14:textId="77777777" w:rsidR="009D68B8" w:rsidRPr="00286216" w:rsidRDefault="009D68B8" w:rsidP="009D68B8">
            <w:pPr>
              <w:pStyle w:val="StyleWisnow"/>
              <w:rPr>
                <w:color w:val="000000" w:themeColor="text1"/>
              </w:rPr>
            </w:pPr>
          </w:p>
          <w:p w14:paraId="793909F1" w14:textId="77777777" w:rsidR="009D68B8" w:rsidRPr="00286216" w:rsidRDefault="009D68B8" w:rsidP="009D68B8">
            <w:pPr>
              <w:pStyle w:val="StyleWisnow"/>
              <w:rPr>
                <w:color w:val="000000" w:themeColor="text1"/>
              </w:rPr>
            </w:pPr>
          </w:p>
          <w:p w14:paraId="1C3F6B39" w14:textId="77777777" w:rsidR="009D68B8" w:rsidRPr="00286216" w:rsidRDefault="009D68B8" w:rsidP="009D68B8">
            <w:pPr>
              <w:pStyle w:val="StyleWisnow"/>
              <w:rPr>
                <w:color w:val="000000" w:themeColor="text1"/>
              </w:rPr>
            </w:pPr>
          </w:p>
          <w:p w14:paraId="4801292C" w14:textId="77777777" w:rsidR="009D68B8" w:rsidRPr="00286216" w:rsidRDefault="009D68B8" w:rsidP="009D68B8">
            <w:pPr>
              <w:pStyle w:val="StyleWisnow"/>
              <w:rPr>
                <w:color w:val="000000" w:themeColor="text1"/>
              </w:rPr>
            </w:pPr>
          </w:p>
          <w:p w14:paraId="6F95510D" w14:textId="77777777" w:rsidR="009D68B8" w:rsidRPr="00286216" w:rsidRDefault="009D68B8" w:rsidP="009D68B8">
            <w:pPr>
              <w:pStyle w:val="StyleWisnow"/>
              <w:rPr>
                <w:color w:val="000000" w:themeColor="text1"/>
              </w:rPr>
            </w:pPr>
          </w:p>
          <w:p w14:paraId="4E535848" w14:textId="77777777" w:rsidR="009D68B8" w:rsidRPr="00286216" w:rsidRDefault="009D68B8" w:rsidP="009D68B8">
            <w:pPr>
              <w:pStyle w:val="StyleWisnow"/>
              <w:rPr>
                <w:color w:val="000000" w:themeColor="text1"/>
              </w:rPr>
            </w:pPr>
          </w:p>
          <w:p w14:paraId="6E6EA608" w14:textId="77777777" w:rsidR="009D68B8" w:rsidRPr="00286216" w:rsidRDefault="009D68B8" w:rsidP="009D68B8">
            <w:pPr>
              <w:pStyle w:val="StyleWisnow"/>
              <w:rPr>
                <w:color w:val="000000" w:themeColor="text1"/>
              </w:rPr>
            </w:pPr>
          </w:p>
          <w:p w14:paraId="25E485FB" w14:textId="77777777" w:rsidR="009D68B8" w:rsidRPr="00286216" w:rsidRDefault="009D68B8" w:rsidP="009D68B8">
            <w:pPr>
              <w:pStyle w:val="StyleWisnow"/>
              <w:rPr>
                <w:color w:val="000000" w:themeColor="text1"/>
              </w:rPr>
            </w:pPr>
          </w:p>
          <w:p w14:paraId="4AF4B870" w14:textId="77777777" w:rsidR="009D68B8" w:rsidRPr="00286216" w:rsidRDefault="009D68B8" w:rsidP="009D68B8">
            <w:pPr>
              <w:pStyle w:val="StyleWisnow"/>
              <w:rPr>
                <w:color w:val="000000" w:themeColor="text1"/>
              </w:rPr>
            </w:pPr>
          </w:p>
          <w:p w14:paraId="29547AC1" w14:textId="77777777" w:rsidR="009D68B8" w:rsidRPr="00286216" w:rsidRDefault="009D68B8" w:rsidP="009D68B8">
            <w:pPr>
              <w:pStyle w:val="StyleWisnow"/>
              <w:rPr>
                <w:color w:val="000000" w:themeColor="text1"/>
              </w:rPr>
            </w:pPr>
          </w:p>
          <w:p w14:paraId="28F5FE54" w14:textId="77777777" w:rsidR="009D68B8" w:rsidRPr="00286216" w:rsidRDefault="009D68B8" w:rsidP="009D68B8">
            <w:pPr>
              <w:pStyle w:val="StyleWisnow"/>
              <w:rPr>
                <w:color w:val="000000" w:themeColor="text1"/>
              </w:rPr>
            </w:pPr>
          </w:p>
          <w:p w14:paraId="002AA98C" w14:textId="77777777" w:rsidR="009D68B8" w:rsidRPr="00286216" w:rsidRDefault="009D68B8" w:rsidP="009D68B8">
            <w:pPr>
              <w:pStyle w:val="StyleWisnow"/>
              <w:rPr>
                <w:color w:val="000000" w:themeColor="text1"/>
              </w:rPr>
            </w:pPr>
          </w:p>
          <w:p w14:paraId="7FB708D7" w14:textId="77777777" w:rsidR="009D68B8" w:rsidRPr="00286216" w:rsidRDefault="009D68B8" w:rsidP="009D68B8">
            <w:pPr>
              <w:pStyle w:val="StyleWisnow"/>
              <w:rPr>
                <w:color w:val="000000" w:themeColor="text1"/>
              </w:rPr>
            </w:pPr>
          </w:p>
          <w:p w14:paraId="2BDB2E06" w14:textId="77777777" w:rsidR="009D68B8" w:rsidRPr="00286216" w:rsidRDefault="009D68B8" w:rsidP="009D68B8">
            <w:pPr>
              <w:pStyle w:val="StyleWisnow"/>
              <w:rPr>
                <w:color w:val="000000" w:themeColor="text1"/>
              </w:rPr>
            </w:pPr>
          </w:p>
          <w:p w14:paraId="12815F18" w14:textId="77777777" w:rsidR="009D68B8" w:rsidRPr="00286216" w:rsidRDefault="009D68B8" w:rsidP="009D68B8">
            <w:pPr>
              <w:pStyle w:val="StyleWisnow"/>
              <w:rPr>
                <w:color w:val="000000" w:themeColor="text1"/>
              </w:rPr>
            </w:pPr>
          </w:p>
          <w:p w14:paraId="0829D711" w14:textId="77777777" w:rsidR="009D68B8" w:rsidRPr="00286216" w:rsidRDefault="009D68B8" w:rsidP="009D68B8">
            <w:pPr>
              <w:pStyle w:val="StyleWisnow"/>
              <w:rPr>
                <w:color w:val="000000" w:themeColor="text1"/>
              </w:rPr>
            </w:pPr>
          </w:p>
          <w:p w14:paraId="482C5542" w14:textId="77777777" w:rsidR="009D68B8" w:rsidRPr="00286216" w:rsidRDefault="009D68B8" w:rsidP="009D68B8">
            <w:pPr>
              <w:pStyle w:val="StyleWisnow"/>
              <w:rPr>
                <w:color w:val="000000" w:themeColor="text1"/>
              </w:rPr>
            </w:pPr>
          </w:p>
          <w:p w14:paraId="67CF93A6" w14:textId="77777777" w:rsidR="009D68B8" w:rsidRPr="00286216" w:rsidRDefault="009D68B8" w:rsidP="009D68B8">
            <w:pPr>
              <w:pStyle w:val="StyleWisnow"/>
              <w:rPr>
                <w:color w:val="000000" w:themeColor="text1"/>
              </w:rPr>
            </w:pPr>
          </w:p>
          <w:p w14:paraId="21603CDF" w14:textId="77777777" w:rsidR="009D68B8" w:rsidRPr="00286216" w:rsidRDefault="009D68B8" w:rsidP="009D68B8">
            <w:pPr>
              <w:pStyle w:val="StyleWisnow"/>
              <w:rPr>
                <w:color w:val="000000" w:themeColor="text1"/>
              </w:rPr>
            </w:pPr>
          </w:p>
          <w:p w14:paraId="040BEA44" w14:textId="77777777" w:rsidR="009D68B8" w:rsidRPr="00286216" w:rsidRDefault="009D68B8" w:rsidP="009D68B8">
            <w:pPr>
              <w:pStyle w:val="StyleWisnow"/>
              <w:rPr>
                <w:color w:val="000000" w:themeColor="text1"/>
              </w:rPr>
            </w:pPr>
          </w:p>
          <w:p w14:paraId="5826EF78" w14:textId="77777777" w:rsidR="009D68B8" w:rsidRPr="00286216" w:rsidRDefault="009D68B8" w:rsidP="009D68B8">
            <w:pPr>
              <w:pStyle w:val="StyleWisnow"/>
              <w:rPr>
                <w:color w:val="000000" w:themeColor="text1"/>
              </w:rPr>
            </w:pPr>
          </w:p>
          <w:p w14:paraId="68BDB458" w14:textId="77777777" w:rsidR="009D68B8" w:rsidRPr="00286216" w:rsidRDefault="009D68B8" w:rsidP="009D68B8">
            <w:pPr>
              <w:pStyle w:val="StyleWisnow"/>
              <w:rPr>
                <w:color w:val="000000" w:themeColor="text1"/>
              </w:rPr>
            </w:pPr>
          </w:p>
          <w:p w14:paraId="50BC876F" w14:textId="77777777" w:rsidR="009D68B8" w:rsidRPr="00286216" w:rsidRDefault="009D68B8" w:rsidP="009D68B8">
            <w:pPr>
              <w:pStyle w:val="StyleWisnow"/>
              <w:rPr>
                <w:color w:val="000000" w:themeColor="text1"/>
              </w:rPr>
            </w:pPr>
          </w:p>
          <w:p w14:paraId="6BA483A4" w14:textId="77777777" w:rsidR="009D68B8" w:rsidRPr="00286216" w:rsidRDefault="009D68B8" w:rsidP="009D68B8">
            <w:pPr>
              <w:pStyle w:val="StyleWisnow"/>
              <w:rPr>
                <w:color w:val="000000" w:themeColor="text1"/>
              </w:rPr>
            </w:pPr>
          </w:p>
          <w:p w14:paraId="215B0E03" w14:textId="77777777" w:rsidR="009D68B8" w:rsidRPr="00286216" w:rsidRDefault="009D68B8" w:rsidP="009D68B8">
            <w:pPr>
              <w:pStyle w:val="StyleWisnow"/>
              <w:rPr>
                <w:color w:val="000000" w:themeColor="text1"/>
              </w:rPr>
            </w:pPr>
          </w:p>
          <w:p w14:paraId="3D353E11" w14:textId="77777777" w:rsidR="009D68B8" w:rsidRPr="00286216" w:rsidRDefault="009D68B8" w:rsidP="009D68B8">
            <w:pPr>
              <w:pStyle w:val="StyleWisnow"/>
              <w:rPr>
                <w:color w:val="000000" w:themeColor="text1"/>
              </w:rPr>
            </w:pPr>
          </w:p>
          <w:p w14:paraId="3E9AD5C3" w14:textId="77777777" w:rsidR="009D68B8" w:rsidRPr="00286216" w:rsidRDefault="009D68B8" w:rsidP="009D68B8">
            <w:pPr>
              <w:pStyle w:val="StyleWisnow"/>
              <w:rPr>
                <w:color w:val="000000" w:themeColor="text1"/>
              </w:rPr>
            </w:pPr>
          </w:p>
          <w:p w14:paraId="55076D89" w14:textId="77777777" w:rsidR="009D68B8" w:rsidRPr="00286216" w:rsidRDefault="009D68B8" w:rsidP="009D68B8">
            <w:pPr>
              <w:pStyle w:val="StyleWisnow"/>
              <w:rPr>
                <w:color w:val="000000" w:themeColor="text1"/>
              </w:rPr>
            </w:pPr>
          </w:p>
          <w:p w14:paraId="1901F67D" w14:textId="77777777" w:rsidR="009D68B8" w:rsidRPr="00286216" w:rsidRDefault="009D68B8" w:rsidP="009D68B8">
            <w:pPr>
              <w:pStyle w:val="StyleWisnow"/>
              <w:rPr>
                <w:color w:val="000000" w:themeColor="text1"/>
              </w:rPr>
            </w:pPr>
          </w:p>
          <w:p w14:paraId="7B59EB74" w14:textId="77777777" w:rsidR="009D68B8" w:rsidRPr="00286216" w:rsidRDefault="009D68B8" w:rsidP="009D68B8">
            <w:pPr>
              <w:pStyle w:val="StyleWisnow"/>
              <w:rPr>
                <w:color w:val="000000" w:themeColor="text1"/>
              </w:rPr>
            </w:pPr>
          </w:p>
          <w:p w14:paraId="43AABD5F" w14:textId="77777777" w:rsidR="009D68B8" w:rsidRPr="00286216" w:rsidRDefault="009D68B8" w:rsidP="009D68B8">
            <w:pPr>
              <w:pStyle w:val="StyleWisnow"/>
              <w:rPr>
                <w:color w:val="000000" w:themeColor="text1"/>
              </w:rPr>
            </w:pPr>
          </w:p>
          <w:p w14:paraId="082FC5A6" w14:textId="77777777" w:rsidR="009D68B8" w:rsidRPr="00286216" w:rsidRDefault="009D68B8" w:rsidP="009D68B8">
            <w:pPr>
              <w:pStyle w:val="StyleWisnow"/>
              <w:rPr>
                <w:color w:val="000000" w:themeColor="text1"/>
              </w:rPr>
            </w:pPr>
          </w:p>
          <w:p w14:paraId="2BBE2681" w14:textId="77777777" w:rsidR="009D68B8" w:rsidRPr="00286216" w:rsidRDefault="009D68B8" w:rsidP="009D68B8">
            <w:pPr>
              <w:pStyle w:val="StyleWisnow"/>
              <w:rPr>
                <w:color w:val="000000" w:themeColor="text1"/>
              </w:rPr>
            </w:pPr>
          </w:p>
          <w:p w14:paraId="38D7FB5B" w14:textId="77777777" w:rsidR="009D68B8" w:rsidRPr="00286216" w:rsidRDefault="009D68B8" w:rsidP="009D68B8">
            <w:pPr>
              <w:pStyle w:val="StyleWisnow"/>
              <w:rPr>
                <w:color w:val="000000" w:themeColor="text1"/>
              </w:rPr>
            </w:pPr>
          </w:p>
          <w:p w14:paraId="50D29964" w14:textId="77777777" w:rsidR="009D68B8" w:rsidRPr="00286216" w:rsidRDefault="009D68B8" w:rsidP="009D68B8">
            <w:pPr>
              <w:pStyle w:val="StyleWisnow"/>
              <w:rPr>
                <w:color w:val="000000" w:themeColor="text1"/>
              </w:rPr>
            </w:pPr>
          </w:p>
          <w:p w14:paraId="3A53682C" w14:textId="77777777" w:rsidR="009D68B8" w:rsidRPr="00286216" w:rsidRDefault="009D68B8" w:rsidP="009D68B8">
            <w:pPr>
              <w:pStyle w:val="StyleWisnow"/>
              <w:rPr>
                <w:color w:val="000000" w:themeColor="text1"/>
              </w:rPr>
            </w:pPr>
          </w:p>
          <w:p w14:paraId="2CD02778" w14:textId="77777777" w:rsidR="009D68B8" w:rsidRPr="00286216" w:rsidRDefault="009D68B8" w:rsidP="009D68B8">
            <w:pPr>
              <w:pStyle w:val="StyleWisnow"/>
              <w:rPr>
                <w:color w:val="000000" w:themeColor="text1"/>
              </w:rPr>
            </w:pPr>
          </w:p>
          <w:p w14:paraId="4886E502" w14:textId="77777777" w:rsidR="009D68B8" w:rsidRPr="00286216" w:rsidRDefault="009D68B8" w:rsidP="009D68B8">
            <w:pPr>
              <w:pStyle w:val="StyleWisnow"/>
              <w:rPr>
                <w:color w:val="000000" w:themeColor="text1"/>
              </w:rPr>
            </w:pPr>
          </w:p>
          <w:p w14:paraId="7A0C6353" w14:textId="77777777" w:rsidR="009D68B8" w:rsidRPr="00286216" w:rsidRDefault="009D68B8" w:rsidP="009D68B8">
            <w:pPr>
              <w:pStyle w:val="StyleWisnow"/>
              <w:rPr>
                <w:color w:val="000000" w:themeColor="text1"/>
              </w:rPr>
            </w:pPr>
          </w:p>
          <w:p w14:paraId="484B730B" w14:textId="77777777" w:rsidR="009D68B8" w:rsidRPr="00286216" w:rsidRDefault="009D68B8" w:rsidP="009D68B8">
            <w:pPr>
              <w:pStyle w:val="StyleWisnow"/>
              <w:rPr>
                <w:color w:val="000000" w:themeColor="text1"/>
              </w:rPr>
            </w:pPr>
          </w:p>
          <w:p w14:paraId="11894BA2" w14:textId="77777777" w:rsidR="009D68B8" w:rsidRPr="00286216" w:rsidRDefault="009D68B8" w:rsidP="009D68B8">
            <w:pPr>
              <w:pStyle w:val="StyleWisnow"/>
              <w:rPr>
                <w:color w:val="000000" w:themeColor="text1"/>
              </w:rPr>
            </w:pPr>
          </w:p>
          <w:p w14:paraId="5B274923" w14:textId="77777777" w:rsidR="009D68B8" w:rsidRPr="00286216" w:rsidRDefault="009D68B8" w:rsidP="009D68B8">
            <w:pPr>
              <w:pStyle w:val="StyleWisnow"/>
              <w:rPr>
                <w:color w:val="000000" w:themeColor="text1"/>
              </w:rPr>
            </w:pPr>
          </w:p>
          <w:p w14:paraId="0D2DA1E7" w14:textId="77777777" w:rsidR="009D68B8" w:rsidRPr="00286216" w:rsidRDefault="009D68B8" w:rsidP="009D68B8">
            <w:pPr>
              <w:pStyle w:val="StyleWisnow"/>
              <w:rPr>
                <w:color w:val="000000" w:themeColor="text1"/>
              </w:rPr>
            </w:pPr>
          </w:p>
          <w:p w14:paraId="2AA8DAC2" w14:textId="77777777" w:rsidR="009D68B8" w:rsidRPr="00286216" w:rsidRDefault="009D68B8" w:rsidP="009D68B8">
            <w:pPr>
              <w:pStyle w:val="StyleWisnow"/>
              <w:rPr>
                <w:color w:val="000000" w:themeColor="text1"/>
              </w:rPr>
            </w:pPr>
          </w:p>
          <w:p w14:paraId="2ADD1507" w14:textId="77777777" w:rsidR="009D68B8" w:rsidRPr="00286216" w:rsidRDefault="009D68B8" w:rsidP="009D68B8">
            <w:pPr>
              <w:pStyle w:val="StyleWisnow"/>
              <w:rPr>
                <w:color w:val="000000" w:themeColor="text1"/>
              </w:rPr>
            </w:pPr>
          </w:p>
          <w:p w14:paraId="7E7C6B21" w14:textId="77777777" w:rsidR="009D68B8" w:rsidRPr="00286216" w:rsidRDefault="009D68B8" w:rsidP="009D68B8">
            <w:pPr>
              <w:pStyle w:val="StyleWisnow"/>
              <w:rPr>
                <w:color w:val="000000" w:themeColor="text1"/>
              </w:rPr>
            </w:pPr>
          </w:p>
          <w:p w14:paraId="0626DD08" w14:textId="77777777" w:rsidR="009D68B8" w:rsidRPr="00286216" w:rsidRDefault="009D68B8" w:rsidP="009D68B8">
            <w:pPr>
              <w:pStyle w:val="StyleWisnow"/>
              <w:rPr>
                <w:color w:val="000000" w:themeColor="text1"/>
              </w:rPr>
            </w:pPr>
          </w:p>
          <w:p w14:paraId="1BFA421E" w14:textId="77777777" w:rsidR="009D68B8" w:rsidRPr="00286216" w:rsidRDefault="009D68B8" w:rsidP="009D68B8">
            <w:pPr>
              <w:pStyle w:val="StyleWisnow"/>
              <w:rPr>
                <w:color w:val="000000" w:themeColor="text1"/>
              </w:rPr>
            </w:pPr>
          </w:p>
          <w:p w14:paraId="6AC733F1" w14:textId="77777777" w:rsidR="009D68B8" w:rsidRPr="00286216" w:rsidRDefault="009D68B8" w:rsidP="009D68B8">
            <w:pPr>
              <w:pStyle w:val="StyleWisnow"/>
              <w:rPr>
                <w:color w:val="000000" w:themeColor="text1"/>
              </w:rPr>
            </w:pPr>
          </w:p>
          <w:p w14:paraId="7720837B" w14:textId="77777777" w:rsidR="009D68B8" w:rsidRPr="00286216" w:rsidRDefault="009D68B8" w:rsidP="009D68B8">
            <w:pPr>
              <w:pStyle w:val="StyleWisnow"/>
              <w:rPr>
                <w:color w:val="000000" w:themeColor="text1"/>
              </w:rPr>
            </w:pPr>
          </w:p>
          <w:p w14:paraId="35610B48" w14:textId="77777777" w:rsidR="009D68B8" w:rsidRPr="00286216" w:rsidRDefault="009D68B8" w:rsidP="009D68B8">
            <w:pPr>
              <w:pStyle w:val="StyleWisnow"/>
              <w:rPr>
                <w:color w:val="000000" w:themeColor="text1"/>
              </w:rPr>
            </w:pPr>
          </w:p>
          <w:p w14:paraId="66FA9DE6" w14:textId="77777777" w:rsidR="009D68B8" w:rsidRPr="00286216" w:rsidRDefault="009D68B8" w:rsidP="009D68B8">
            <w:pPr>
              <w:pStyle w:val="StyleWisnow"/>
              <w:rPr>
                <w:color w:val="000000" w:themeColor="text1"/>
              </w:rPr>
            </w:pPr>
          </w:p>
          <w:p w14:paraId="37886B1B" w14:textId="77777777" w:rsidR="009D68B8" w:rsidRPr="00286216" w:rsidRDefault="009D68B8" w:rsidP="009D68B8">
            <w:pPr>
              <w:pStyle w:val="StyleWisnow"/>
              <w:rPr>
                <w:color w:val="000000" w:themeColor="text1"/>
              </w:rPr>
            </w:pPr>
          </w:p>
          <w:p w14:paraId="0781A987" w14:textId="77777777" w:rsidR="009D68B8" w:rsidRPr="00286216" w:rsidRDefault="009D68B8" w:rsidP="009D68B8">
            <w:pPr>
              <w:pStyle w:val="StyleWisnow"/>
              <w:rPr>
                <w:color w:val="000000" w:themeColor="text1"/>
              </w:rPr>
            </w:pPr>
          </w:p>
          <w:p w14:paraId="145154CC" w14:textId="77777777" w:rsidR="009D68B8" w:rsidRPr="00286216" w:rsidRDefault="009D68B8" w:rsidP="009D68B8">
            <w:pPr>
              <w:pStyle w:val="StyleWisnow"/>
              <w:rPr>
                <w:color w:val="000000" w:themeColor="text1"/>
              </w:rPr>
            </w:pPr>
          </w:p>
          <w:p w14:paraId="0F2EC4CB" w14:textId="77777777" w:rsidR="009D68B8" w:rsidRPr="00286216" w:rsidRDefault="009D68B8" w:rsidP="009D68B8">
            <w:pPr>
              <w:pStyle w:val="StyleWisnow"/>
              <w:rPr>
                <w:color w:val="000000" w:themeColor="text1"/>
              </w:rPr>
            </w:pPr>
          </w:p>
          <w:p w14:paraId="10405972" w14:textId="77777777" w:rsidR="009D68B8" w:rsidRPr="00286216" w:rsidRDefault="009D68B8" w:rsidP="009D68B8">
            <w:pPr>
              <w:pStyle w:val="StyleWisnow"/>
              <w:rPr>
                <w:color w:val="000000" w:themeColor="text1"/>
              </w:rPr>
            </w:pPr>
          </w:p>
          <w:p w14:paraId="0FB418A6" w14:textId="77777777" w:rsidR="009D68B8" w:rsidRPr="00286216" w:rsidRDefault="009D68B8" w:rsidP="009D68B8">
            <w:pPr>
              <w:pStyle w:val="StyleWisnow"/>
              <w:rPr>
                <w:color w:val="000000" w:themeColor="text1"/>
              </w:rPr>
            </w:pPr>
          </w:p>
          <w:p w14:paraId="0B224E8E" w14:textId="77777777" w:rsidR="009D68B8" w:rsidRPr="00286216" w:rsidRDefault="009D68B8" w:rsidP="009D68B8">
            <w:pPr>
              <w:pStyle w:val="StyleWisnow"/>
              <w:rPr>
                <w:color w:val="000000" w:themeColor="text1"/>
              </w:rPr>
            </w:pPr>
          </w:p>
          <w:p w14:paraId="3E2C648B" w14:textId="77777777" w:rsidR="009D68B8" w:rsidRPr="00286216" w:rsidRDefault="009D68B8" w:rsidP="009D68B8">
            <w:pPr>
              <w:pStyle w:val="StyleWisnow"/>
              <w:rPr>
                <w:color w:val="000000" w:themeColor="text1"/>
              </w:rPr>
            </w:pPr>
          </w:p>
          <w:p w14:paraId="481A02DC" w14:textId="77777777" w:rsidR="009D68B8" w:rsidRPr="00286216" w:rsidRDefault="009D68B8" w:rsidP="009D68B8">
            <w:pPr>
              <w:pStyle w:val="StyleWisnow"/>
              <w:rPr>
                <w:color w:val="000000" w:themeColor="text1"/>
              </w:rPr>
            </w:pPr>
          </w:p>
          <w:p w14:paraId="28EC8E03" w14:textId="77777777" w:rsidR="009D68B8" w:rsidRPr="00286216" w:rsidRDefault="009D68B8" w:rsidP="009D68B8">
            <w:pPr>
              <w:pStyle w:val="StyleWisnow"/>
              <w:rPr>
                <w:color w:val="000000" w:themeColor="text1"/>
              </w:rPr>
            </w:pPr>
          </w:p>
          <w:p w14:paraId="1610C5A3" w14:textId="77777777" w:rsidR="009D68B8" w:rsidRPr="00286216" w:rsidRDefault="009D68B8" w:rsidP="009D68B8">
            <w:pPr>
              <w:pStyle w:val="StyleWisnow"/>
              <w:rPr>
                <w:color w:val="000000" w:themeColor="text1"/>
              </w:rPr>
            </w:pPr>
          </w:p>
          <w:p w14:paraId="1C7AA8B4" w14:textId="77777777" w:rsidR="009D68B8" w:rsidRPr="00286216" w:rsidRDefault="009D68B8" w:rsidP="009D68B8">
            <w:pPr>
              <w:pStyle w:val="StyleWisnow"/>
              <w:rPr>
                <w:color w:val="000000" w:themeColor="text1"/>
              </w:rPr>
            </w:pPr>
          </w:p>
          <w:p w14:paraId="28A6B47E" w14:textId="77777777" w:rsidR="009D68B8" w:rsidRPr="00286216" w:rsidRDefault="009D68B8" w:rsidP="009D68B8">
            <w:pPr>
              <w:pStyle w:val="StyleWisnow"/>
              <w:rPr>
                <w:color w:val="000000" w:themeColor="text1"/>
              </w:rPr>
            </w:pPr>
          </w:p>
          <w:p w14:paraId="1E671AF8" w14:textId="77777777" w:rsidR="009D68B8" w:rsidRPr="00286216" w:rsidRDefault="009D68B8" w:rsidP="009D68B8">
            <w:pPr>
              <w:pStyle w:val="StyleWisnow"/>
              <w:rPr>
                <w:color w:val="000000" w:themeColor="text1"/>
              </w:rPr>
            </w:pPr>
          </w:p>
          <w:p w14:paraId="748263B9" w14:textId="77777777" w:rsidR="009D68B8" w:rsidRPr="00286216" w:rsidRDefault="009D68B8" w:rsidP="009D68B8">
            <w:pPr>
              <w:pStyle w:val="StyleWisnow"/>
              <w:rPr>
                <w:color w:val="000000" w:themeColor="text1"/>
              </w:rPr>
            </w:pPr>
          </w:p>
          <w:p w14:paraId="4938A2EC" w14:textId="77777777" w:rsidR="009D68B8" w:rsidRPr="00286216" w:rsidRDefault="009D68B8" w:rsidP="009D68B8">
            <w:pPr>
              <w:pStyle w:val="StyleWisnow"/>
              <w:rPr>
                <w:color w:val="000000" w:themeColor="text1"/>
              </w:rPr>
            </w:pPr>
          </w:p>
          <w:p w14:paraId="1CCF152C" w14:textId="77777777" w:rsidR="009D68B8" w:rsidRPr="00286216" w:rsidRDefault="009D68B8" w:rsidP="009D68B8">
            <w:pPr>
              <w:pStyle w:val="StyleWisnow"/>
              <w:rPr>
                <w:color w:val="000000" w:themeColor="text1"/>
              </w:rPr>
            </w:pPr>
          </w:p>
          <w:p w14:paraId="4F6BFFDE" w14:textId="77777777" w:rsidR="009D68B8" w:rsidRPr="00286216" w:rsidRDefault="009D68B8" w:rsidP="009D68B8">
            <w:pPr>
              <w:pStyle w:val="StyleWisnow"/>
              <w:rPr>
                <w:color w:val="000000" w:themeColor="text1"/>
              </w:rPr>
            </w:pPr>
          </w:p>
          <w:p w14:paraId="7D43BB0A" w14:textId="77777777" w:rsidR="009D68B8" w:rsidRPr="00286216" w:rsidRDefault="009D68B8" w:rsidP="009D68B8">
            <w:pPr>
              <w:pStyle w:val="StyleWisnow"/>
              <w:rPr>
                <w:color w:val="000000" w:themeColor="text1"/>
              </w:rPr>
            </w:pPr>
          </w:p>
          <w:p w14:paraId="2A6B7535" w14:textId="77777777" w:rsidR="009D68B8" w:rsidRPr="00286216" w:rsidRDefault="009D68B8" w:rsidP="009D68B8">
            <w:pPr>
              <w:pStyle w:val="StyleWisnow"/>
              <w:rPr>
                <w:color w:val="000000" w:themeColor="text1"/>
              </w:rPr>
            </w:pPr>
          </w:p>
          <w:p w14:paraId="777C2E6B" w14:textId="77777777" w:rsidR="009D68B8" w:rsidRPr="00286216" w:rsidRDefault="009D68B8" w:rsidP="009D68B8">
            <w:pPr>
              <w:pStyle w:val="StyleWisnow"/>
              <w:rPr>
                <w:color w:val="000000" w:themeColor="text1"/>
              </w:rPr>
            </w:pPr>
          </w:p>
          <w:p w14:paraId="720DB99A" w14:textId="77777777" w:rsidR="009D68B8" w:rsidRPr="00286216" w:rsidRDefault="009D68B8" w:rsidP="009D68B8">
            <w:pPr>
              <w:pStyle w:val="StyleWisnow"/>
              <w:rPr>
                <w:color w:val="000000" w:themeColor="text1"/>
              </w:rPr>
            </w:pPr>
          </w:p>
          <w:p w14:paraId="1396372B" w14:textId="77777777" w:rsidR="009D68B8" w:rsidRPr="00286216" w:rsidRDefault="009D68B8" w:rsidP="009D68B8">
            <w:pPr>
              <w:pStyle w:val="StyleWisnow"/>
              <w:rPr>
                <w:color w:val="000000" w:themeColor="text1"/>
              </w:rPr>
            </w:pPr>
          </w:p>
          <w:p w14:paraId="04CF2798" w14:textId="77777777" w:rsidR="009D68B8" w:rsidRPr="00286216" w:rsidRDefault="009D68B8" w:rsidP="009D68B8">
            <w:pPr>
              <w:pStyle w:val="StyleWisnow"/>
              <w:rPr>
                <w:color w:val="000000" w:themeColor="text1"/>
              </w:rPr>
            </w:pPr>
          </w:p>
          <w:p w14:paraId="1A2EA3D3" w14:textId="77777777" w:rsidR="009D68B8" w:rsidRPr="00286216" w:rsidRDefault="009D68B8" w:rsidP="009D68B8">
            <w:pPr>
              <w:pStyle w:val="StyleWisnow"/>
              <w:rPr>
                <w:color w:val="000000" w:themeColor="text1"/>
              </w:rPr>
            </w:pPr>
          </w:p>
          <w:p w14:paraId="0A4F9293" w14:textId="77777777" w:rsidR="009D68B8" w:rsidRPr="00286216" w:rsidRDefault="009D68B8" w:rsidP="009D68B8">
            <w:pPr>
              <w:pStyle w:val="StyleWisnow"/>
              <w:rPr>
                <w:color w:val="000000" w:themeColor="text1"/>
              </w:rPr>
            </w:pPr>
          </w:p>
          <w:p w14:paraId="29B6B85E" w14:textId="77777777" w:rsidR="009D68B8" w:rsidRPr="00286216" w:rsidRDefault="009D68B8" w:rsidP="009D68B8">
            <w:pPr>
              <w:pStyle w:val="StyleWisnow"/>
              <w:rPr>
                <w:color w:val="000000" w:themeColor="text1"/>
              </w:rPr>
            </w:pPr>
          </w:p>
          <w:p w14:paraId="61CBB301" w14:textId="77777777" w:rsidR="009D68B8" w:rsidRPr="00286216" w:rsidRDefault="009D68B8" w:rsidP="009D68B8">
            <w:pPr>
              <w:pStyle w:val="StyleWisnow"/>
              <w:rPr>
                <w:color w:val="000000" w:themeColor="text1"/>
              </w:rPr>
            </w:pPr>
          </w:p>
          <w:p w14:paraId="5E9F2ACB" w14:textId="77777777" w:rsidR="009D68B8" w:rsidRPr="00286216" w:rsidRDefault="009D68B8" w:rsidP="009D68B8">
            <w:pPr>
              <w:pStyle w:val="StyleWisnow"/>
              <w:rPr>
                <w:color w:val="000000" w:themeColor="text1"/>
              </w:rPr>
            </w:pPr>
          </w:p>
          <w:p w14:paraId="1B398A23" w14:textId="77777777" w:rsidR="009D68B8" w:rsidRPr="00286216" w:rsidRDefault="009D68B8" w:rsidP="009D68B8">
            <w:pPr>
              <w:pStyle w:val="StyleWisnow"/>
              <w:rPr>
                <w:color w:val="000000" w:themeColor="text1"/>
              </w:rPr>
            </w:pPr>
          </w:p>
          <w:p w14:paraId="097512C5" w14:textId="77777777" w:rsidR="009D68B8" w:rsidRPr="00286216" w:rsidRDefault="009D68B8" w:rsidP="009D68B8">
            <w:pPr>
              <w:pStyle w:val="StyleWisnow"/>
              <w:rPr>
                <w:color w:val="000000" w:themeColor="text1"/>
              </w:rPr>
            </w:pPr>
          </w:p>
          <w:p w14:paraId="6B5DCFED" w14:textId="77777777" w:rsidR="009D68B8" w:rsidRPr="00286216" w:rsidRDefault="009D68B8" w:rsidP="009D68B8">
            <w:pPr>
              <w:pStyle w:val="StyleWisnow"/>
              <w:rPr>
                <w:color w:val="000000" w:themeColor="text1"/>
              </w:rPr>
            </w:pPr>
          </w:p>
          <w:p w14:paraId="08FEB86D" w14:textId="77777777" w:rsidR="009D68B8" w:rsidRPr="00286216" w:rsidRDefault="009D68B8" w:rsidP="009D68B8">
            <w:pPr>
              <w:pStyle w:val="StyleWisnow"/>
              <w:rPr>
                <w:color w:val="000000" w:themeColor="text1"/>
              </w:rPr>
            </w:pPr>
          </w:p>
          <w:p w14:paraId="2EF5F4DB" w14:textId="77777777" w:rsidR="009D68B8" w:rsidRPr="00286216" w:rsidRDefault="009D68B8" w:rsidP="009D68B8">
            <w:pPr>
              <w:pStyle w:val="StyleWisnow"/>
              <w:rPr>
                <w:color w:val="000000" w:themeColor="text1"/>
              </w:rPr>
            </w:pPr>
          </w:p>
          <w:p w14:paraId="2CBF456F" w14:textId="77777777" w:rsidR="009D68B8" w:rsidRPr="00286216" w:rsidRDefault="009D68B8" w:rsidP="009D68B8">
            <w:pPr>
              <w:pStyle w:val="StyleWisnow"/>
              <w:rPr>
                <w:color w:val="000000" w:themeColor="text1"/>
              </w:rPr>
            </w:pPr>
          </w:p>
          <w:p w14:paraId="40D77EED" w14:textId="77777777" w:rsidR="009D68B8" w:rsidRPr="00286216" w:rsidRDefault="009D68B8" w:rsidP="009D68B8">
            <w:pPr>
              <w:pStyle w:val="StyleWisnow"/>
              <w:rPr>
                <w:color w:val="000000" w:themeColor="text1"/>
              </w:rPr>
            </w:pPr>
          </w:p>
          <w:p w14:paraId="262D2E81" w14:textId="77777777" w:rsidR="009D68B8" w:rsidRPr="00286216" w:rsidRDefault="009D68B8" w:rsidP="009D68B8">
            <w:pPr>
              <w:pStyle w:val="StyleWisnow"/>
              <w:rPr>
                <w:color w:val="000000" w:themeColor="text1"/>
              </w:rPr>
            </w:pPr>
          </w:p>
          <w:p w14:paraId="2E5DCDA0" w14:textId="77777777" w:rsidR="009D68B8" w:rsidRPr="00286216" w:rsidRDefault="009D68B8" w:rsidP="009D68B8">
            <w:pPr>
              <w:pStyle w:val="StyleWisnow"/>
              <w:rPr>
                <w:color w:val="000000" w:themeColor="text1"/>
              </w:rPr>
            </w:pPr>
          </w:p>
          <w:p w14:paraId="5FA646E5" w14:textId="77777777" w:rsidR="009D68B8" w:rsidRPr="00286216" w:rsidRDefault="009D68B8" w:rsidP="009D68B8">
            <w:pPr>
              <w:pStyle w:val="StyleWisnow"/>
              <w:rPr>
                <w:color w:val="000000" w:themeColor="text1"/>
              </w:rPr>
            </w:pPr>
          </w:p>
          <w:p w14:paraId="08FA9BE2" w14:textId="77777777" w:rsidR="009D68B8" w:rsidRPr="00286216" w:rsidRDefault="009D68B8" w:rsidP="009D68B8">
            <w:pPr>
              <w:pStyle w:val="StyleWisnow"/>
              <w:rPr>
                <w:color w:val="000000" w:themeColor="text1"/>
              </w:rPr>
            </w:pPr>
          </w:p>
          <w:p w14:paraId="113AD4AB" w14:textId="77777777" w:rsidR="009D68B8" w:rsidRPr="00286216" w:rsidRDefault="009D68B8" w:rsidP="009D68B8">
            <w:pPr>
              <w:pStyle w:val="StyleWisnow"/>
              <w:rPr>
                <w:color w:val="000000" w:themeColor="text1"/>
              </w:rPr>
            </w:pPr>
          </w:p>
          <w:p w14:paraId="18FD5401" w14:textId="77777777" w:rsidR="009D68B8" w:rsidRPr="00286216" w:rsidRDefault="009D68B8" w:rsidP="009D68B8">
            <w:pPr>
              <w:pStyle w:val="StyleWisnow"/>
              <w:rPr>
                <w:color w:val="000000" w:themeColor="text1"/>
              </w:rPr>
            </w:pPr>
          </w:p>
          <w:p w14:paraId="498C6076" w14:textId="77777777" w:rsidR="009D68B8" w:rsidRPr="00286216" w:rsidRDefault="009D68B8" w:rsidP="009D68B8">
            <w:pPr>
              <w:pStyle w:val="StyleWisnow"/>
              <w:rPr>
                <w:color w:val="000000" w:themeColor="text1"/>
              </w:rPr>
            </w:pPr>
          </w:p>
          <w:p w14:paraId="295D6E41" w14:textId="77777777" w:rsidR="009D68B8" w:rsidRPr="00286216" w:rsidRDefault="009D68B8" w:rsidP="009D68B8">
            <w:pPr>
              <w:pStyle w:val="StyleWisnow"/>
              <w:rPr>
                <w:color w:val="000000" w:themeColor="text1"/>
              </w:rPr>
            </w:pPr>
          </w:p>
          <w:p w14:paraId="005B6FDC" w14:textId="77777777" w:rsidR="009D68B8" w:rsidRPr="00286216" w:rsidRDefault="009D68B8" w:rsidP="009D68B8">
            <w:pPr>
              <w:pStyle w:val="StyleWisnow"/>
              <w:rPr>
                <w:color w:val="000000" w:themeColor="text1"/>
              </w:rPr>
            </w:pPr>
          </w:p>
          <w:p w14:paraId="4EDEFFE5" w14:textId="77777777" w:rsidR="009D68B8" w:rsidRPr="00286216" w:rsidRDefault="009D68B8" w:rsidP="009D68B8">
            <w:pPr>
              <w:pStyle w:val="StyleWisnow"/>
              <w:rPr>
                <w:color w:val="000000" w:themeColor="text1"/>
              </w:rPr>
            </w:pPr>
          </w:p>
          <w:p w14:paraId="5C0BDE24" w14:textId="77777777" w:rsidR="009D68B8" w:rsidRPr="00286216" w:rsidRDefault="009D68B8" w:rsidP="009D68B8">
            <w:pPr>
              <w:pStyle w:val="StyleWisnow"/>
              <w:rPr>
                <w:color w:val="000000" w:themeColor="text1"/>
              </w:rPr>
            </w:pPr>
          </w:p>
          <w:p w14:paraId="4E55ED29" w14:textId="77777777" w:rsidR="009D68B8" w:rsidRPr="00286216" w:rsidRDefault="009D68B8" w:rsidP="009D68B8">
            <w:pPr>
              <w:pStyle w:val="StyleWisnow"/>
              <w:rPr>
                <w:color w:val="000000" w:themeColor="text1"/>
              </w:rPr>
            </w:pPr>
          </w:p>
          <w:p w14:paraId="51780ED1" w14:textId="77777777" w:rsidR="009D68B8" w:rsidRPr="00286216" w:rsidRDefault="009D68B8" w:rsidP="009D68B8">
            <w:pPr>
              <w:pStyle w:val="StyleWisnow"/>
              <w:rPr>
                <w:color w:val="000000" w:themeColor="text1"/>
              </w:rPr>
            </w:pPr>
          </w:p>
          <w:p w14:paraId="05DD485D" w14:textId="77777777" w:rsidR="009D68B8" w:rsidRPr="00286216" w:rsidRDefault="009D68B8" w:rsidP="009D68B8">
            <w:pPr>
              <w:pStyle w:val="StyleWisnow"/>
              <w:rPr>
                <w:color w:val="000000" w:themeColor="text1"/>
              </w:rPr>
            </w:pPr>
          </w:p>
          <w:p w14:paraId="152DC27F" w14:textId="77777777" w:rsidR="009D68B8" w:rsidRPr="00286216" w:rsidRDefault="009D68B8" w:rsidP="009D68B8">
            <w:pPr>
              <w:pStyle w:val="StyleWisnow"/>
              <w:rPr>
                <w:color w:val="000000" w:themeColor="text1"/>
              </w:rPr>
            </w:pPr>
          </w:p>
          <w:p w14:paraId="178B4A25" w14:textId="77777777" w:rsidR="009D68B8" w:rsidRPr="00286216" w:rsidRDefault="009D68B8" w:rsidP="009D68B8">
            <w:pPr>
              <w:pStyle w:val="StyleWisnow"/>
              <w:rPr>
                <w:color w:val="000000" w:themeColor="text1"/>
              </w:rPr>
            </w:pPr>
          </w:p>
          <w:p w14:paraId="55A83645" w14:textId="77777777" w:rsidR="009D68B8" w:rsidRPr="00286216" w:rsidRDefault="009D68B8" w:rsidP="009D68B8">
            <w:pPr>
              <w:pStyle w:val="StyleWisnow"/>
              <w:rPr>
                <w:color w:val="000000" w:themeColor="text1"/>
              </w:rPr>
            </w:pPr>
          </w:p>
          <w:p w14:paraId="3136E430" w14:textId="77777777" w:rsidR="009D68B8" w:rsidRPr="00286216" w:rsidRDefault="009D68B8" w:rsidP="009D68B8">
            <w:pPr>
              <w:pStyle w:val="StyleWisnow"/>
              <w:rPr>
                <w:color w:val="000000" w:themeColor="text1"/>
              </w:rPr>
            </w:pPr>
          </w:p>
          <w:p w14:paraId="21DCC73A" w14:textId="77777777" w:rsidR="009D68B8" w:rsidRPr="00286216" w:rsidRDefault="009D68B8" w:rsidP="009D68B8">
            <w:pPr>
              <w:pStyle w:val="StyleWisnow"/>
              <w:rPr>
                <w:color w:val="000000" w:themeColor="text1"/>
              </w:rPr>
            </w:pPr>
          </w:p>
          <w:p w14:paraId="2DD3C1FB" w14:textId="77777777" w:rsidR="009D68B8" w:rsidRPr="00286216" w:rsidRDefault="009D68B8" w:rsidP="009D68B8">
            <w:pPr>
              <w:pStyle w:val="StyleWisnow"/>
              <w:rPr>
                <w:color w:val="000000" w:themeColor="text1"/>
              </w:rPr>
            </w:pPr>
          </w:p>
          <w:p w14:paraId="2FC57FB8" w14:textId="77777777" w:rsidR="009D68B8" w:rsidRPr="00286216" w:rsidRDefault="009D68B8" w:rsidP="009D68B8">
            <w:pPr>
              <w:pStyle w:val="StyleWisnow"/>
              <w:rPr>
                <w:color w:val="000000" w:themeColor="text1"/>
              </w:rPr>
            </w:pPr>
          </w:p>
          <w:p w14:paraId="46C17EE6" w14:textId="77777777" w:rsidR="009D68B8" w:rsidRPr="00286216" w:rsidRDefault="009D68B8" w:rsidP="009D68B8">
            <w:pPr>
              <w:pStyle w:val="StyleWisnow"/>
              <w:rPr>
                <w:color w:val="000000" w:themeColor="text1"/>
              </w:rPr>
            </w:pPr>
          </w:p>
          <w:p w14:paraId="082E1B38" w14:textId="77777777" w:rsidR="009D68B8" w:rsidRPr="00286216" w:rsidRDefault="009D68B8" w:rsidP="009D68B8">
            <w:pPr>
              <w:pStyle w:val="StyleWisnow"/>
              <w:rPr>
                <w:color w:val="000000" w:themeColor="text1"/>
              </w:rPr>
            </w:pPr>
          </w:p>
          <w:p w14:paraId="6BD6E8C4" w14:textId="77777777" w:rsidR="009D68B8" w:rsidRPr="00286216" w:rsidRDefault="009D68B8" w:rsidP="009D68B8">
            <w:pPr>
              <w:pStyle w:val="StyleWisnow"/>
              <w:rPr>
                <w:color w:val="000000" w:themeColor="text1"/>
              </w:rPr>
            </w:pPr>
          </w:p>
          <w:p w14:paraId="2EAC949A" w14:textId="77777777" w:rsidR="009D68B8" w:rsidRPr="00286216" w:rsidRDefault="009D68B8" w:rsidP="009D68B8">
            <w:pPr>
              <w:pStyle w:val="StyleWisnow"/>
              <w:rPr>
                <w:color w:val="000000" w:themeColor="text1"/>
              </w:rPr>
            </w:pPr>
          </w:p>
          <w:p w14:paraId="2DCD92EA" w14:textId="77777777" w:rsidR="009D68B8" w:rsidRPr="00286216" w:rsidRDefault="009D68B8" w:rsidP="009D68B8">
            <w:pPr>
              <w:pStyle w:val="StyleWisnow"/>
              <w:rPr>
                <w:color w:val="000000" w:themeColor="text1"/>
              </w:rPr>
            </w:pPr>
          </w:p>
          <w:p w14:paraId="4289F2F9" w14:textId="77777777" w:rsidR="009D68B8" w:rsidRPr="00286216" w:rsidRDefault="009D68B8" w:rsidP="009D68B8">
            <w:pPr>
              <w:pStyle w:val="StyleWisnow"/>
              <w:rPr>
                <w:color w:val="000000" w:themeColor="text1"/>
              </w:rPr>
            </w:pPr>
          </w:p>
          <w:p w14:paraId="413B1DBD" w14:textId="77777777" w:rsidR="009D68B8" w:rsidRPr="00286216" w:rsidRDefault="009D68B8" w:rsidP="009D68B8">
            <w:pPr>
              <w:pStyle w:val="StyleWisnow"/>
              <w:rPr>
                <w:color w:val="000000" w:themeColor="text1"/>
              </w:rPr>
            </w:pPr>
          </w:p>
          <w:p w14:paraId="13F0A8FD" w14:textId="77777777" w:rsidR="009D68B8" w:rsidRPr="00286216" w:rsidRDefault="009D68B8" w:rsidP="009D68B8">
            <w:pPr>
              <w:pStyle w:val="StyleWisnow"/>
              <w:rPr>
                <w:color w:val="000000" w:themeColor="text1"/>
              </w:rPr>
            </w:pPr>
          </w:p>
          <w:p w14:paraId="128FB6C6" w14:textId="77777777" w:rsidR="009D68B8" w:rsidRPr="00286216" w:rsidRDefault="009D68B8" w:rsidP="009D68B8">
            <w:pPr>
              <w:pStyle w:val="StyleWisnow"/>
              <w:rPr>
                <w:color w:val="000000" w:themeColor="text1"/>
              </w:rPr>
            </w:pPr>
          </w:p>
          <w:p w14:paraId="2E637AA2" w14:textId="77777777" w:rsidR="009D68B8" w:rsidRPr="00286216" w:rsidRDefault="009D68B8" w:rsidP="009D68B8">
            <w:pPr>
              <w:pStyle w:val="StyleWisnow"/>
              <w:rPr>
                <w:color w:val="000000" w:themeColor="text1"/>
              </w:rPr>
            </w:pPr>
          </w:p>
          <w:p w14:paraId="3964753D" w14:textId="77777777" w:rsidR="009D68B8" w:rsidRPr="00286216" w:rsidRDefault="009D68B8" w:rsidP="009D68B8">
            <w:pPr>
              <w:pStyle w:val="StyleWisnow"/>
              <w:rPr>
                <w:color w:val="000000" w:themeColor="text1"/>
              </w:rPr>
            </w:pPr>
          </w:p>
          <w:p w14:paraId="5DF27D93" w14:textId="77777777" w:rsidR="009D68B8" w:rsidRPr="00286216" w:rsidRDefault="009D68B8" w:rsidP="009D68B8">
            <w:pPr>
              <w:pStyle w:val="StyleWisnow"/>
              <w:rPr>
                <w:color w:val="000000" w:themeColor="text1"/>
              </w:rPr>
            </w:pPr>
          </w:p>
          <w:p w14:paraId="3AC85721" w14:textId="77777777" w:rsidR="009D68B8" w:rsidRPr="00286216" w:rsidRDefault="009D68B8" w:rsidP="009D68B8">
            <w:pPr>
              <w:pStyle w:val="StyleWisnow"/>
              <w:rPr>
                <w:color w:val="000000" w:themeColor="text1"/>
              </w:rPr>
            </w:pPr>
          </w:p>
          <w:p w14:paraId="32C367F4" w14:textId="77777777" w:rsidR="009D68B8" w:rsidRPr="00286216" w:rsidRDefault="009D68B8" w:rsidP="009D68B8">
            <w:pPr>
              <w:pStyle w:val="StyleWisnow"/>
              <w:rPr>
                <w:color w:val="000000" w:themeColor="text1"/>
              </w:rPr>
            </w:pPr>
          </w:p>
          <w:p w14:paraId="0D77C2C0" w14:textId="77777777" w:rsidR="009D68B8" w:rsidRPr="00286216" w:rsidRDefault="009D68B8" w:rsidP="009D68B8">
            <w:pPr>
              <w:pStyle w:val="StyleWisnow"/>
              <w:rPr>
                <w:color w:val="000000" w:themeColor="text1"/>
              </w:rPr>
            </w:pPr>
          </w:p>
          <w:p w14:paraId="467701B0" w14:textId="77777777" w:rsidR="009D68B8" w:rsidRPr="00286216" w:rsidRDefault="009D68B8" w:rsidP="009D68B8">
            <w:pPr>
              <w:pStyle w:val="StyleWisnow"/>
              <w:rPr>
                <w:color w:val="000000" w:themeColor="text1"/>
              </w:rPr>
            </w:pPr>
          </w:p>
          <w:p w14:paraId="5E8890C8" w14:textId="77777777" w:rsidR="009D68B8" w:rsidRPr="00286216" w:rsidRDefault="009D68B8" w:rsidP="009D68B8">
            <w:pPr>
              <w:pStyle w:val="StyleWisnow"/>
              <w:rPr>
                <w:color w:val="000000" w:themeColor="text1"/>
              </w:rPr>
            </w:pPr>
          </w:p>
          <w:p w14:paraId="38272C50" w14:textId="77777777" w:rsidR="009D68B8" w:rsidRPr="00286216" w:rsidRDefault="009D68B8" w:rsidP="009D68B8">
            <w:pPr>
              <w:pStyle w:val="StyleWisnow"/>
              <w:rPr>
                <w:color w:val="000000" w:themeColor="text1"/>
              </w:rPr>
            </w:pPr>
          </w:p>
          <w:p w14:paraId="51DBC2DE" w14:textId="77777777" w:rsidR="009D68B8" w:rsidRPr="00286216" w:rsidRDefault="009D68B8" w:rsidP="009D68B8">
            <w:pPr>
              <w:pStyle w:val="StyleWisnow"/>
              <w:rPr>
                <w:color w:val="000000" w:themeColor="text1"/>
              </w:rPr>
            </w:pPr>
          </w:p>
          <w:p w14:paraId="76CF9543" w14:textId="77777777" w:rsidR="009D68B8" w:rsidRPr="00286216" w:rsidRDefault="009D68B8" w:rsidP="009D68B8">
            <w:pPr>
              <w:pStyle w:val="StyleWisnow"/>
              <w:rPr>
                <w:color w:val="000000" w:themeColor="text1"/>
              </w:rPr>
            </w:pPr>
          </w:p>
          <w:p w14:paraId="149E2AA5" w14:textId="77777777" w:rsidR="009D68B8" w:rsidRPr="00286216" w:rsidRDefault="009D68B8" w:rsidP="009D68B8">
            <w:pPr>
              <w:pStyle w:val="StyleWisnow"/>
              <w:rPr>
                <w:color w:val="000000" w:themeColor="text1"/>
              </w:rPr>
            </w:pPr>
          </w:p>
          <w:p w14:paraId="12D6C6CC" w14:textId="77777777" w:rsidR="009D68B8" w:rsidRPr="00286216" w:rsidRDefault="009D68B8" w:rsidP="009D68B8">
            <w:pPr>
              <w:pStyle w:val="StyleWisnow"/>
              <w:rPr>
                <w:color w:val="000000" w:themeColor="text1"/>
              </w:rPr>
            </w:pPr>
          </w:p>
          <w:p w14:paraId="54954531" w14:textId="77777777" w:rsidR="009D68B8" w:rsidRPr="00286216" w:rsidRDefault="009D68B8" w:rsidP="009D68B8">
            <w:pPr>
              <w:pStyle w:val="StyleWisnow"/>
              <w:rPr>
                <w:color w:val="000000" w:themeColor="text1"/>
              </w:rPr>
            </w:pPr>
          </w:p>
          <w:p w14:paraId="7D8C54C5" w14:textId="77777777" w:rsidR="009D68B8" w:rsidRPr="00286216" w:rsidRDefault="009D68B8" w:rsidP="009D68B8">
            <w:pPr>
              <w:pStyle w:val="StyleWisnow"/>
              <w:rPr>
                <w:color w:val="000000" w:themeColor="text1"/>
              </w:rPr>
            </w:pPr>
          </w:p>
          <w:p w14:paraId="0B9CFFF5" w14:textId="77777777" w:rsidR="009D68B8" w:rsidRPr="00286216" w:rsidRDefault="009D68B8" w:rsidP="009D68B8">
            <w:pPr>
              <w:pStyle w:val="StyleWisnow"/>
              <w:rPr>
                <w:color w:val="000000" w:themeColor="text1"/>
              </w:rPr>
            </w:pPr>
          </w:p>
          <w:p w14:paraId="21140D2F" w14:textId="77777777" w:rsidR="009D68B8" w:rsidRPr="00286216" w:rsidRDefault="009D68B8" w:rsidP="009D68B8">
            <w:pPr>
              <w:pStyle w:val="StyleWisnow"/>
              <w:rPr>
                <w:color w:val="000000" w:themeColor="text1"/>
              </w:rPr>
            </w:pPr>
          </w:p>
          <w:p w14:paraId="194A79E0" w14:textId="77777777" w:rsidR="009D68B8" w:rsidRPr="00286216" w:rsidRDefault="009D68B8" w:rsidP="009D68B8">
            <w:pPr>
              <w:pStyle w:val="StyleWisnow"/>
              <w:rPr>
                <w:color w:val="000000" w:themeColor="text1"/>
              </w:rPr>
            </w:pPr>
          </w:p>
          <w:p w14:paraId="593249E2" w14:textId="77777777" w:rsidR="009D68B8" w:rsidRPr="00286216" w:rsidRDefault="009D68B8" w:rsidP="009D68B8">
            <w:pPr>
              <w:pStyle w:val="StyleWisnow"/>
              <w:rPr>
                <w:color w:val="000000" w:themeColor="text1"/>
              </w:rPr>
            </w:pPr>
          </w:p>
          <w:p w14:paraId="79495630" w14:textId="77777777" w:rsidR="009D68B8" w:rsidRPr="00286216" w:rsidRDefault="009D68B8" w:rsidP="009D68B8">
            <w:pPr>
              <w:pStyle w:val="StyleWisnow"/>
              <w:rPr>
                <w:color w:val="000000" w:themeColor="text1"/>
              </w:rPr>
            </w:pPr>
          </w:p>
          <w:p w14:paraId="0D7C6FA5" w14:textId="77777777" w:rsidR="009D68B8" w:rsidRPr="00286216" w:rsidRDefault="009D68B8" w:rsidP="009D68B8">
            <w:pPr>
              <w:pStyle w:val="StyleWisnow"/>
              <w:rPr>
                <w:color w:val="000000" w:themeColor="text1"/>
              </w:rPr>
            </w:pPr>
          </w:p>
          <w:p w14:paraId="79D3B852" w14:textId="77777777" w:rsidR="009D68B8" w:rsidRPr="00286216" w:rsidRDefault="009D68B8" w:rsidP="009D68B8">
            <w:pPr>
              <w:pStyle w:val="StyleWisnow"/>
              <w:rPr>
                <w:color w:val="000000" w:themeColor="text1"/>
              </w:rPr>
            </w:pPr>
          </w:p>
          <w:p w14:paraId="4A532883" w14:textId="77777777" w:rsidR="009D68B8" w:rsidRPr="00286216" w:rsidRDefault="009D68B8" w:rsidP="009D68B8">
            <w:pPr>
              <w:pStyle w:val="StyleWisnow"/>
              <w:rPr>
                <w:color w:val="000000" w:themeColor="text1"/>
              </w:rPr>
            </w:pPr>
          </w:p>
          <w:p w14:paraId="7345F3D7" w14:textId="77777777" w:rsidR="009D68B8" w:rsidRPr="00286216" w:rsidRDefault="009D68B8" w:rsidP="009D68B8">
            <w:pPr>
              <w:pStyle w:val="StyleWisnow"/>
              <w:rPr>
                <w:color w:val="000000" w:themeColor="text1"/>
              </w:rPr>
            </w:pPr>
          </w:p>
          <w:p w14:paraId="5DA87F88" w14:textId="77777777" w:rsidR="009D68B8" w:rsidRPr="00286216" w:rsidRDefault="009D68B8" w:rsidP="009D68B8">
            <w:pPr>
              <w:pStyle w:val="StyleWisnow"/>
              <w:rPr>
                <w:color w:val="000000" w:themeColor="text1"/>
              </w:rPr>
            </w:pPr>
          </w:p>
          <w:p w14:paraId="24316B23" w14:textId="77777777" w:rsidR="009D68B8" w:rsidRPr="00286216" w:rsidRDefault="009D68B8" w:rsidP="009D68B8">
            <w:pPr>
              <w:pStyle w:val="StyleWisnow"/>
              <w:rPr>
                <w:color w:val="000000" w:themeColor="text1"/>
              </w:rPr>
            </w:pPr>
          </w:p>
          <w:p w14:paraId="16E7D251" w14:textId="77777777" w:rsidR="009D68B8" w:rsidRPr="00286216" w:rsidRDefault="009D68B8" w:rsidP="009D68B8">
            <w:pPr>
              <w:pStyle w:val="StyleWisnow"/>
              <w:rPr>
                <w:color w:val="000000" w:themeColor="text1"/>
              </w:rPr>
            </w:pPr>
          </w:p>
          <w:p w14:paraId="567C3488" w14:textId="77777777" w:rsidR="009D68B8" w:rsidRPr="00286216" w:rsidRDefault="009D68B8" w:rsidP="009D68B8">
            <w:pPr>
              <w:pStyle w:val="StyleWisnow"/>
              <w:rPr>
                <w:color w:val="000000" w:themeColor="text1"/>
              </w:rPr>
            </w:pPr>
          </w:p>
          <w:p w14:paraId="75F82DB4" w14:textId="77777777" w:rsidR="009D68B8" w:rsidRPr="00286216" w:rsidRDefault="009D68B8" w:rsidP="009D68B8">
            <w:pPr>
              <w:pStyle w:val="StyleWisnow"/>
              <w:rPr>
                <w:color w:val="000000" w:themeColor="text1"/>
              </w:rPr>
            </w:pPr>
          </w:p>
          <w:p w14:paraId="4CFE4C99" w14:textId="77777777" w:rsidR="009D68B8" w:rsidRPr="00286216" w:rsidRDefault="009D68B8" w:rsidP="009D68B8">
            <w:pPr>
              <w:pStyle w:val="StyleWisnow"/>
              <w:rPr>
                <w:color w:val="000000" w:themeColor="text1"/>
              </w:rPr>
            </w:pPr>
          </w:p>
          <w:p w14:paraId="52CD6D50" w14:textId="77777777" w:rsidR="009D68B8" w:rsidRPr="00286216" w:rsidRDefault="009D68B8" w:rsidP="009D68B8">
            <w:pPr>
              <w:pStyle w:val="StyleWisnow"/>
              <w:rPr>
                <w:color w:val="000000" w:themeColor="text1"/>
              </w:rPr>
            </w:pPr>
          </w:p>
          <w:p w14:paraId="2DE766D6" w14:textId="77777777" w:rsidR="009D68B8" w:rsidRPr="00286216" w:rsidRDefault="009D68B8" w:rsidP="009D68B8">
            <w:pPr>
              <w:pStyle w:val="StyleWisnow"/>
              <w:rPr>
                <w:color w:val="000000" w:themeColor="text1"/>
              </w:rPr>
            </w:pPr>
          </w:p>
          <w:p w14:paraId="2160F23E" w14:textId="77777777" w:rsidR="009D68B8" w:rsidRPr="00286216" w:rsidRDefault="009D68B8" w:rsidP="009D68B8">
            <w:pPr>
              <w:pStyle w:val="StyleWisnow"/>
              <w:rPr>
                <w:color w:val="000000" w:themeColor="text1"/>
              </w:rPr>
            </w:pPr>
          </w:p>
          <w:p w14:paraId="1F39E77A" w14:textId="77777777" w:rsidR="009D68B8" w:rsidRPr="00286216" w:rsidRDefault="009D68B8" w:rsidP="009D68B8">
            <w:pPr>
              <w:pStyle w:val="StyleWisnow"/>
              <w:rPr>
                <w:color w:val="000000" w:themeColor="text1"/>
              </w:rPr>
            </w:pPr>
          </w:p>
          <w:p w14:paraId="0B71FA95" w14:textId="77777777" w:rsidR="009D68B8" w:rsidRPr="00286216" w:rsidRDefault="009D68B8" w:rsidP="009D68B8">
            <w:pPr>
              <w:pStyle w:val="StyleWisnow"/>
              <w:rPr>
                <w:color w:val="000000" w:themeColor="text1"/>
              </w:rPr>
            </w:pPr>
          </w:p>
          <w:p w14:paraId="2EA6CFA4" w14:textId="77777777" w:rsidR="009D68B8" w:rsidRPr="00286216" w:rsidRDefault="009D68B8" w:rsidP="009D68B8">
            <w:pPr>
              <w:pStyle w:val="StyleWisnow"/>
              <w:rPr>
                <w:color w:val="000000" w:themeColor="text1"/>
              </w:rPr>
            </w:pPr>
          </w:p>
          <w:p w14:paraId="5078922E" w14:textId="77777777" w:rsidR="009D68B8" w:rsidRPr="00286216" w:rsidRDefault="009D68B8" w:rsidP="009D68B8">
            <w:pPr>
              <w:pStyle w:val="StyleWisnow"/>
              <w:rPr>
                <w:color w:val="000000" w:themeColor="text1"/>
              </w:rPr>
            </w:pPr>
          </w:p>
          <w:p w14:paraId="3C8CD31E" w14:textId="77777777" w:rsidR="009D68B8" w:rsidRPr="00286216" w:rsidRDefault="009D68B8" w:rsidP="009D68B8">
            <w:pPr>
              <w:pStyle w:val="StyleWisnow"/>
              <w:rPr>
                <w:color w:val="000000" w:themeColor="text1"/>
              </w:rPr>
            </w:pPr>
          </w:p>
          <w:p w14:paraId="018BE8AA" w14:textId="77777777" w:rsidR="009D68B8" w:rsidRPr="00286216" w:rsidRDefault="009D68B8" w:rsidP="009D68B8">
            <w:pPr>
              <w:pStyle w:val="StyleWisnow"/>
              <w:rPr>
                <w:color w:val="000000" w:themeColor="text1"/>
              </w:rPr>
            </w:pPr>
          </w:p>
          <w:p w14:paraId="6F696F29" w14:textId="77777777" w:rsidR="009D68B8" w:rsidRPr="00286216" w:rsidRDefault="009D68B8" w:rsidP="009D68B8">
            <w:pPr>
              <w:pStyle w:val="StyleWisnow"/>
              <w:rPr>
                <w:color w:val="000000" w:themeColor="text1"/>
              </w:rPr>
            </w:pPr>
          </w:p>
          <w:p w14:paraId="3ADA7AF2" w14:textId="77777777" w:rsidR="009D68B8" w:rsidRPr="00286216" w:rsidRDefault="009D68B8" w:rsidP="009D68B8">
            <w:pPr>
              <w:pStyle w:val="StyleWisnow"/>
              <w:rPr>
                <w:color w:val="000000" w:themeColor="text1"/>
              </w:rPr>
            </w:pPr>
          </w:p>
          <w:p w14:paraId="6AAB6F73" w14:textId="77777777" w:rsidR="009D68B8" w:rsidRPr="00286216" w:rsidRDefault="009D68B8" w:rsidP="009D68B8">
            <w:pPr>
              <w:pStyle w:val="StyleWisnow"/>
              <w:rPr>
                <w:color w:val="000000" w:themeColor="text1"/>
              </w:rPr>
            </w:pPr>
          </w:p>
          <w:p w14:paraId="4DDF914D" w14:textId="77777777" w:rsidR="009D68B8" w:rsidRPr="00286216" w:rsidRDefault="009D68B8" w:rsidP="009D68B8">
            <w:pPr>
              <w:pStyle w:val="StyleWisnow"/>
              <w:rPr>
                <w:color w:val="000000" w:themeColor="text1"/>
              </w:rPr>
            </w:pPr>
          </w:p>
          <w:p w14:paraId="14D620D9" w14:textId="77777777" w:rsidR="009D68B8" w:rsidRPr="00286216" w:rsidRDefault="009D68B8" w:rsidP="009D68B8">
            <w:pPr>
              <w:pStyle w:val="StyleWisnow"/>
              <w:rPr>
                <w:color w:val="000000" w:themeColor="text1"/>
              </w:rPr>
            </w:pPr>
          </w:p>
          <w:p w14:paraId="75B6F18E" w14:textId="77777777" w:rsidR="009D68B8" w:rsidRPr="00286216" w:rsidRDefault="009D68B8" w:rsidP="009D68B8">
            <w:pPr>
              <w:pStyle w:val="StyleWisnow"/>
              <w:rPr>
                <w:color w:val="000000" w:themeColor="text1"/>
              </w:rPr>
            </w:pPr>
          </w:p>
          <w:p w14:paraId="065DD4CB" w14:textId="77777777" w:rsidR="009D68B8" w:rsidRPr="00286216" w:rsidRDefault="009D68B8" w:rsidP="009D68B8">
            <w:pPr>
              <w:pStyle w:val="StyleWisnow"/>
              <w:rPr>
                <w:color w:val="000000" w:themeColor="text1"/>
              </w:rPr>
            </w:pPr>
          </w:p>
          <w:p w14:paraId="58B91B21" w14:textId="77777777" w:rsidR="009D68B8" w:rsidRPr="00286216" w:rsidRDefault="009D68B8" w:rsidP="009D68B8">
            <w:pPr>
              <w:pStyle w:val="StyleWisnow"/>
              <w:rPr>
                <w:color w:val="000000" w:themeColor="text1"/>
              </w:rPr>
            </w:pPr>
          </w:p>
          <w:p w14:paraId="5052A158" w14:textId="77777777" w:rsidR="009D68B8" w:rsidRPr="00286216" w:rsidRDefault="009D68B8" w:rsidP="009D68B8">
            <w:pPr>
              <w:pStyle w:val="StyleWisnow"/>
              <w:rPr>
                <w:color w:val="000000" w:themeColor="text1"/>
              </w:rPr>
            </w:pPr>
          </w:p>
          <w:p w14:paraId="0D049D71" w14:textId="77777777" w:rsidR="009D68B8" w:rsidRPr="00286216" w:rsidRDefault="009D68B8" w:rsidP="009D68B8">
            <w:pPr>
              <w:pStyle w:val="StyleWisnow"/>
              <w:rPr>
                <w:color w:val="000000" w:themeColor="text1"/>
              </w:rPr>
            </w:pPr>
          </w:p>
          <w:p w14:paraId="05189DD2" w14:textId="77777777" w:rsidR="009D68B8" w:rsidRPr="00286216" w:rsidRDefault="009D68B8" w:rsidP="009D68B8">
            <w:pPr>
              <w:pStyle w:val="StyleWisnow"/>
              <w:rPr>
                <w:color w:val="000000" w:themeColor="text1"/>
              </w:rPr>
            </w:pPr>
          </w:p>
          <w:p w14:paraId="1C6B2362" w14:textId="77777777" w:rsidR="009D68B8" w:rsidRPr="00286216" w:rsidRDefault="009D68B8" w:rsidP="009D68B8">
            <w:pPr>
              <w:pStyle w:val="StyleWisnow"/>
              <w:rPr>
                <w:color w:val="000000" w:themeColor="text1"/>
              </w:rPr>
            </w:pPr>
          </w:p>
          <w:p w14:paraId="553932E1" w14:textId="77777777" w:rsidR="009D68B8" w:rsidRPr="00286216" w:rsidRDefault="009D68B8" w:rsidP="009D68B8">
            <w:pPr>
              <w:pStyle w:val="StyleWisnow"/>
              <w:rPr>
                <w:color w:val="000000" w:themeColor="text1"/>
              </w:rPr>
            </w:pPr>
          </w:p>
          <w:p w14:paraId="0E61B822" w14:textId="77777777" w:rsidR="009D68B8" w:rsidRPr="00286216" w:rsidRDefault="009D68B8" w:rsidP="009D68B8">
            <w:pPr>
              <w:pStyle w:val="StyleWisnow"/>
              <w:rPr>
                <w:color w:val="000000" w:themeColor="text1"/>
              </w:rPr>
            </w:pPr>
          </w:p>
          <w:p w14:paraId="55E1B463" w14:textId="77777777" w:rsidR="009D68B8" w:rsidRPr="00286216" w:rsidRDefault="009D68B8" w:rsidP="009D68B8">
            <w:pPr>
              <w:pStyle w:val="StyleWisnow"/>
              <w:rPr>
                <w:color w:val="000000" w:themeColor="text1"/>
              </w:rPr>
            </w:pPr>
          </w:p>
          <w:p w14:paraId="4ED2111B" w14:textId="77777777" w:rsidR="009D68B8" w:rsidRPr="00286216" w:rsidRDefault="009D68B8" w:rsidP="009D68B8">
            <w:pPr>
              <w:pStyle w:val="StyleWisnow"/>
              <w:rPr>
                <w:color w:val="000000" w:themeColor="text1"/>
              </w:rPr>
            </w:pPr>
          </w:p>
          <w:p w14:paraId="6BE71C29" w14:textId="77777777" w:rsidR="009D68B8" w:rsidRPr="00286216" w:rsidRDefault="009D68B8" w:rsidP="009D68B8">
            <w:pPr>
              <w:pStyle w:val="StyleWisnow"/>
              <w:rPr>
                <w:color w:val="000000" w:themeColor="text1"/>
              </w:rPr>
            </w:pPr>
          </w:p>
          <w:p w14:paraId="1C304B8E" w14:textId="77777777" w:rsidR="009D68B8" w:rsidRPr="00286216" w:rsidRDefault="009D68B8" w:rsidP="009D68B8">
            <w:pPr>
              <w:pStyle w:val="StyleWisnow"/>
              <w:rPr>
                <w:color w:val="000000" w:themeColor="text1"/>
              </w:rPr>
            </w:pPr>
          </w:p>
          <w:p w14:paraId="03CF4767" w14:textId="77777777" w:rsidR="009D68B8" w:rsidRPr="00286216" w:rsidRDefault="009D68B8" w:rsidP="009D68B8">
            <w:pPr>
              <w:pStyle w:val="StyleWisnow"/>
              <w:rPr>
                <w:color w:val="000000" w:themeColor="text1"/>
              </w:rPr>
            </w:pPr>
          </w:p>
          <w:p w14:paraId="41F2F277" w14:textId="77777777" w:rsidR="009D68B8" w:rsidRPr="00286216" w:rsidRDefault="009D68B8" w:rsidP="009D68B8">
            <w:pPr>
              <w:pStyle w:val="StyleWisnow"/>
              <w:rPr>
                <w:color w:val="000000" w:themeColor="text1"/>
              </w:rPr>
            </w:pPr>
          </w:p>
          <w:p w14:paraId="204C93FA" w14:textId="77777777" w:rsidR="009D68B8" w:rsidRPr="00286216" w:rsidRDefault="009D68B8" w:rsidP="009D68B8">
            <w:pPr>
              <w:pStyle w:val="StyleWisnow"/>
              <w:rPr>
                <w:color w:val="000000" w:themeColor="text1"/>
              </w:rPr>
            </w:pPr>
          </w:p>
          <w:p w14:paraId="34D5A202" w14:textId="77777777" w:rsidR="009D68B8" w:rsidRPr="00286216" w:rsidRDefault="009D68B8" w:rsidP="009D68B8">
            <w:pPr>
              <w:pStyle w:val="StyleWisnow"/>
              <w:rPr>
                <w:color w:val="000000" w:themeColor="text1"/>
              </w:rPr>
            </w:pPr>
          </w:p>
          <w:p w14:paraId="02B4E572" w14:textId="77777777" w:rsidR="009D68B8" w:rsidRPr="00286216" w:rsidRDefault="009D68B8" w:rsidP="009D68B8">
            <w:pPr>
              <w:pStyle w:val="StyleWisnow"/>
              <w:rPr>
                <w:color w:val="000000" w:themeColor="text1"/>
              </w:rPr>
            </w:pPr>
          </w:p>
          <w:p w14:paraId="70D2FB29" w14:textId="77777777" w:rsidR="009D68B8" w:rsidRPr="00286216" w:rsidRDefault="009D68B8" w:rsidP="009D68B8">
            <w:pPr>
              <w:pStyle w:val="StyleWisnow"/>
              <w:rPr>
                <w:color w:val="000000" w:themeColor="text1"/>
              </w:rPr>
            </w:pPr>
          </w:p>
          <w:p w14:paraId="68FA4F4D" w14:textId="77777777" w:rsidR="009D68B8" w:rsidRPr="00286216" w:rsidRDefault="009D68B8" w:rsidP="009D68B8">
            <w:pPr>
              <w:pStyle w:val="StyleWisnow"/>
              <w:rPr>
                <w:color w:val="000000" w:themeColor="text1"/>
              </w:rPr>
            </w:pPr>
          </w:p>
          <w:p w14:paraId="65C13408" w14:textId="77777777" w:rsidR="009D68B8" w:rsidRPr="00286216" w:rsidRDefault="009D68B8" w:rsidP="009D68B8">
            <w:pPr>
              <w:pStyle w:val="StyleWisnow"/>
              <w:rPr>
                <w:color w:val="000000" w:themeColor="text1"/>
              </w:rPr>
            </w:pPr>
          </w:p>
          <w:p w14:paraId="3FF608CC" w14:textId="77777777" w:rsidR="009D68B8" w:rsidRPr="00286216" w:rsidRDefault="009D68B8" w:rsidP="009D68B8">
            <w:pPr>
              <w:pStyle w:val="StyleWisnow"/>
              <w:rPr>
                <w:color w:val="000000" w:themeColor="text1"/>
              </w:rPr>
            </w:pPr>
          </w:p>
          <w:p w14:paraId="5CBC578B" w14:textId="77777777" w:rsidR="009D68B8" w:rsidRPr="00286216" w:rsidRDefault="009D68B8" w:rsidP="009D68B8">
            <w:pPr>
              <w:pStyle w:val="StyleWisnow"/>
              <w:rPr>
                <w:color w:val="000000" w:themeColor="text1"/>
              </w:rPr>
            </w:pPr>
          </w:p>
          <w:p w14:paraId="40775CBE" w14:textId="77777777" w:rsidR="009D68B8" w:rsidRPr="00286216" w:rsidRDefault="009D68B8" w:rsidP="009D68B8">
            <w:pPr>
              <w:pStyle w:val="StyleWisnow"/>
              <w:rPr>
                <w:color w:val="000000" w:themeColor="text1"/>
              </w:rPr>
            </w:pPr>
          </w:p>
          <w:p w14:paraId="3E2DB86B" w14:textId="77777777" w:rsidR="009D68B8" w:rsidRPr="00286216" w:rsidRDefault="009D68B8" w:rsidP="009D68B8">
            <w:pPr>
              <w:pStyle w:val="StyleWisnow"/>
              <w:rPr>
                <w:color w:val="000000" w:themeColor="text1"/>
              </w:rPr>
            </w:pPr>
          </w:p>
          <w:p w14:paraId="7B08C113" w14:textId="77777777" w:rsidR="009D68B8" w:rsidRPr="00286216" w:rsidRDefault="009D68B8" w:rsidP="009D68B8">
            <w:pPr>
              <w:pStyle w:val="StyleWisnow"/>
              <w:rPr>
                <w:color w:val="000000" w:themeColor="text1"/>
              </w:rPr>
            </w:pPr>
          </w:p>
          <w:p w14:paraId="19E3FECD" w14:textId="77777777" w:rsidR="009D68B8" w:rsidRPr="00286216" w:rsidRDefault="009D68B8" w:rsidP="009D68B8">
            <w:pPr>
              <w:pStyle w:val="StyleWisnow"/>
              <w:rPr>
                <w:color w:val="000000" w:themeColor="text1"/>
              </w:rPr>
            </w:pPr>
          </w:p>
          <w:p w14:paraId="5AB2AC8D" w14:textId="77777777" w:rsidR="009D68B8" w:rsidRPr="00286216" w:rsidRDefault="009D68B8" w:rsidP="009D68B8">
            <w:pPr>
              <w:pStyle w:val="StyleWisnow"/>
              <w:rPr>
                <w:color w:val="000000" w:themeColor="text1"/>
              </w:rPr>
            </w:pPr>
          </w:p>
          <w:p w14:paraId="13929244" w14:textId="77777777" w:rsidR="009D68B8" w:rsidRPr="00286216" w:rsidRDefault="009D68B8" w:rsidP="009D68B8">
            <w:pPr>
              <w:pStyle w:val="StyleWisnow"/>
              <w:rPr>
                <w:color w:val="000000" w:themeColor="text1"/>
              </w:rPr>
            </w:pPr>
          </w:p>
          <w:p w14:paraId="7901E389" w14:textId="77777777" w:rsidR="009D68B8" w:rsidRPr="00286216" w:rsidRDefault="009D68B8" w:rsidP="009D68B8">
            <w:pPr>
              <w:pStyle w:val="StyleWisnow"/>
              <w:rPr>
                <w:color w:val="000000" w:themeColor="text1"/>
              </w:rPr>
            </w:pPr>
          </w:p>
          <w:p w14:paraId="5882FEBF" w14:textId="77777777" w:rsidR="009D68B8" w:rsidRPr="00286216" w:rsidRDefault="009D68B8" w:rsidP="009D68B8">
            <w:pPr>
              <w:pStyle w:val="StyleWisnow"/>
              <w:rPr>
                <w:color w:val="000000" w:themeColor="text1"/>
              </w:rPr>
            </w:pPr>
          </w:p>
          <w:p w14:paraId="3473C885" w14:textId="77777777" w:rsidR="009D68B8" w:rsidRPr="00286216" w:rsidRDefault="009D68B8" w:rsidP="009D68B8">
            <w:pPr>
              <w:pStyle w:val="StyleWisnow"/>
              <w:rPr>
                <w:color w:val="000000" w:themeColor="text1"/>
              </w:rPr>
            </w:pPr>
          </w:p>
          <w:p w14:paraId="58E055B4" w14:textId="77777777" w:rsidR="009D68B8" w:rsidRPr="00286216" w:rsidRDefault="009D68B8" w:rsidP="009D68B8">
            <w:pPr>
              <w:pStyle w:val="StyleWisnow"/>
              <w:rPr>
                <w:color w:val="000000" w:themeColor="text1"/>
              </w:rPr>
            </w:pPr>
          </w:p>
          <w:p w14:paraId="3144CDDB" w14:textId="77777777" w:rsidR="009D68B8" w:rsidRPr="00286216" w:rsidRDefault="009D68B8" w:rsidP="009D68B8">
            <w:pPr>
              <w:pStyle w:val="StyleWisnow"/>
              <w:rPr>
                <w:color w:val="000000" w:themeColor="text1"/>
              </w:rPr>
            </w:pPr>
          </w:p>
          <w:p w14:paraId="379A20E0" w14:textId="77777777" w:rsidR="009D68B8" w:rsidRPr="00286216" w:rsidRDefault="009D68B8" w:rsidP="009D68B8">
            <w:pPr>
              <w:pStyle w:val="StyleWisnow"/>
              <w:rPr>
                <w:color w:val="000000" w:themeColor="text1"/>
              </w:rPr>
            </w:pPr>
          </w:p>
          <w:p w14:paraId="2EEC14CE" w14:textId="77777777" w:rsidR="009D68B8" w:rsidRPr="00286216" w:rsidRDefault="009D68B8" w:rsidP="009D68B8">
            <w:pPr>
              <w:pStyle w:val="StyleWisnow"/>
              <w:rPr>
                <w:color w:val="000000" w:themeColor="text1"/>
              </w:rPr>
            </w:pPr>
          </w:p>
          <w:p w14:paraId="31E6FE1A" w14:textId="77777777" w:rsidR="009D68B8" w:rsidRPr="00286216" w:rsidRDefault="009D68B8" w:rsidP="009D68B8">
            <w:pPr>
              <w:pStyle w:val="StyleWisnow"/>
              <w:rPr>
                <w:color w:val="000000" w:themeColor="text1"/>
              </w:rPr>
            </w:pPr>
          </w:p>
          <w:p w14:paraId="05AEE811" w14:textId="77777777" w:rsidR="009D68B8" w:rsidRPr="00286216" w:rsidRDefault="009D68B8" w:rsidP="009D68B8">
            <w:pPr>
              <w:pStyle w:val="StyleWisnow"/>
              <w:rPr>
                <w:color w:val="000000" w:themeColor="text1"/>
              </w:rPr>
            </w:pPr>
          </w:p>
          <w:p w14:paraId="220985A1" w14:textId="77777777" w:rsidR="009D68B8" w:rsidRPr="00286216" w:rsidRDefault="009D68B8" w:rsidP="009D68B8">
            <w:pPr>
              <w:pStyle w:val="StyleWisnow"/>
              <w:rPr>
                <w:color w:val="000000" w:themeColor="text1"/>
              </w:rPr>
            </w:pPr>
          </w:p>
          <w:p w14:paraId="625846D4" w14:textId="77777777" w:rsidR="009D68B8" w:rsidRPr="00286216" w:rsidRDefault="009D68B8" w:rsidP="009D68B8">
            <w:pPr>
              <w:pStyle w:val="StyleWisnow"/>
              <w:rPr>
                <w:color w:val="000000" w:themeColor="text1"/>
              </w:rPr>
            </w:pPr>
          </w:p>
          <w:p w14:paraId="6FA22EF2" w14:textId="77777777" w:rsidR="009D68B8" w:rsidRPr="00286216" w:rsidRDefault="009D68B8" w:rsidP="009D68B8">
            <w:pPr>
              <w:pStyle w:val="StyleWisnow"/>
              <w:rPr>
                <w:color w:val="000000" w:themeColor="text1"/>
              </w:rPr>
            </w:pPr>
          </w:p>
          <w:p w14:paraId="3BEFE463" w14:textId="77777777" w:rsidR="009D68B8" w:rsidRPr="00286216" w:rsidRDefault="009D68B8" w:rsidP="009D68B8">
            <w:pPr>
              <w:pStyle w:val="StyleWisnow"/>
              <w:rPr>
                <w:color w:val="000000" w:themeColor="text1"/>
              </w:rPr>
            </w:pPr>
          </w:p>
          <w:p w14:paraId="7D198825" w14:textId="77777777" w:rsidR="009D68B8" w:rsidRPr="00286216" w:rsidRDefault="009D68B8" w:rsidP="009D68B8">
            <w:pPr>
              <w:pStyle w:val="StyleWisnow"/>
              <w:rPr>
                <w:color w:val="000000" w:themeColor="text1"/>
              </w:rPr>
            </w:pPr>
          </w:p>
          <w:p w14:paraId="57890001" w14:textId="77777777" w:rsidR="009D68B8" w:rsidRPr="00286216" w:rsidRDefault="009D68B8" w:rsidP="009D68B8">
            <w:pPr>
              <w:pStyle w:val="StyleWisnow"/>
              <w:rPr>
                <w:color w:val="000000" w:themeColor="text1"/>
              </w:rPr>
            </w:pPr>
          </w:p>
          <w:p w14:paraId="3DD21D46" w14:textId="77777777" w:rsidR="009D68B8" w:rsidRPr="00286216" w:rsidRDefault="009D68B8" w:rsidP="009D68B8">
            <w:pPr>
              <w:pStyle w:val="StyleWisnow"/>
              <w:rPr>
                <w:color w:val="000000" w:themeColor="text1"/>
              </w:rPr>
            </w:pPr>
          </w:p>
          <w:p w14:paraId="40B9EA62" w14:textId="77777777" w:rsidR="009D68B8" w:rsidRPr="00286216" w:rsidRDefault="009D68B8" w:rsidP="009D68B8">
            <w:pPr>
              <w:pStyle w:val="StyleWisnow"/>
              <w:rPr>
                <w:color w:val="000000" w:themeColor="text1"/>
              </w:rPr>
            </w:pPr>
          </w:p>
          <w:p w14:paraId="37619748" w14:textId="77777777" w:rsidR="009D68B8" w:rsidRPr="00286216" w:rsidRDefault="009D68B8" w:rsidP="009D68B8">
            <w:pPr>
              <w:pStyle w:val="StyleWisnow"/>
              <w:rPr>
                <w:color w:val="000000" w:themeColor="text1"/>
              </w:rPr>
            </w:pPr>
          </w:p>
          <w:p w14:paraId="35F56B4A" w14:textId="77777777" w:rsidR="009D68B8" w:rsidRPr="00286216" w:rsidRDefault="009D68B8" w:rsidP="009D68B8">
            <w:pPr>
              <w:pStyle w:val="StyleWisnow"/>
              <w:rPr>
                <w:color w:val="000000" w:themeColor="text1"/>
              </w:rPr>
            </w:pPr>
          </w:p>
          <w:p w14:paraId="2321D053" w14:textId="77777777" w:rsidR="009D68B8" w:rsidRPr="00286216" w:rsidRDefault="009D68B8" w:rsidP="009D68B8">
            <w:pPr>
              <w:pStyle w:val="StyleWisnow"/>
              <w:rPr>
                <w:color w:val="000000" w:themeColor="text1"/>
              </w:rPr>
            </w:pPr>
          </w:p>
          <w:p w14:paraId="6341BCD8" w14:textId="77777777" w:rsidR="009D68B8" w:rsidRPr="00286216" w:rsidRDefault="009D68B8" w:rsidP="009D68B8">
            <w:pPr>
              <w:pStyle w:val="StyleWisnow"/>
              <w:rPr>
                <w:color w:val="000000" w:themeColor="text1"/>
              </w:rPr>
            </w:pPr>
          </w:p>
          <w:p w14:paraId="6BF68940" w14:textId="77777777" w:rsidR="009D68B8" w:rsidRPr="00286216" w:rsidRDefault="009D68B8" w:rsidP="009D68B8">
            <w:pPr>
              <w:pStyle w:val="StyleWisnow"/>
              <w:rPr>
                <w:color w:val="000000" w:themeColor="text1"/>
              </w:rPr>
            </w:pPr>
          </w:p>
          <w:p w14:paraId="6BFC53D5" w14:textId="77777777" w:rsidR="009D68B8" w:rsidRPr="00286216" w:rsidRDefault="009D68B8" w:rsidP="009D68B8">
            <w:pPr>
              <w:pStyle w:val="StyleWisnow"/>
              <w:rPr>
                <w:color w:val="000000" w:themeColor="text1"/>
              </w:rPr>
            </w:pPr>
          </w:p>
          <w:p w14:paraId="4A290EAF" w14:textId="77777777" w:rsidR="009D68B8" w:rsidRPr="00286216" w:rsidRDefault="009D68B8" w:rsidP="009D68B8">
            <w:pPr>
              <w:pStyle w:val="StyleWisnow"/>
              <w:rPr>
                <w:color w:val="000000" w:themeColor="text1"/>
              </w:rPr>
            </w:pPr>
          </w:p>
          <w:p w14:paraId="2425369A" w14:textId="77777777" w:rsidR="009D68B8" w:rsidRPr="00286216" w:rsidRDefault="009D68B8" w:rsidP="009D68B8">
            <w:pPr>
              <w:pStyle w:val="StyleWisnow"/>
              <w:rPr>
                <w:color w:val="000000" w:themeColor="text1"/>
              </w:rPr>
            </w:pPr>
          </w:p>
          <w:p w14:paraId="42AC826B" w14:textId="77777777" w:rsidR="009D68B8" w:rsidRPr="00286216" w:rsidRDefault="009D68B8" w:rsidP="009D68B8">
            <w:pPr>
              <w:pStyle w:val="StyleWisnow"/>
              <w:rPr>
                <w:color w:val="000000" w:themeColor="text1"/>
              </w:rPr>
            </w:pPr>
          </w:p>
          <w:p w14:paraId="6F141FDB" w14:textId="77777777" w:rsidR="009D68B8" w:rsidRPr="00286216" w:rsidRDefault="009D68B8" w:rsidP="009D68B8">
            <w:pPr>
              <w:pStyle w:val="StyleWisnow"/>
              <w:rPr>
                <w:color w:val="000000" w:themeColor="text1"/>
              </w:rPr>
            </w:pPr>
          </w:p>
          <w:p w14:paraId="7216FE5B" w14:textId="77777777" w:rsidR="009D68B8" w:rsidRPr="00286216" w:rsidRDefault="009D68B8" w:rsidP="009D68B8">
            <w:pPr>
              <w:pStyle w:val="StyleWisnow"/>
              <w:rPr>
                <w:color w:val="000000" w:themeColor="text1"/>
              </w:rPr>
            </w:pPr>
          </w:p>
          <w:p w14:paraId="7728D52D" w14:textId="77777777" w:rsidR="009D68B8" w:rsidRPr="00286216" w:rsidRDefault="009D68B8" w:rsidP="009D68B8">
            <w:pPr>
              <w:pStyle w:val="StyleWisnow"/>
              <w:rPr>
                <w:color w:val="000000" w:themeColor="text1"/>
              </w:rPr>
            </w:pPr>
          </w:p>
          <w:p w14:paraId="748723BE" w14:textId="77777777" w:rsidR="009D68B8" w:rsidRPr="00286216" w:rsidRDefault="009D68B8" w:rsidP="009D68B8">
            <w:pPr>
              <w:pStyle w:val="StyleWisnow"/>
              <w:rPr>
                <w:color w:val="000000" w:themeColor="text1"/>
              </w:rPr>
            </w:pPr>
          </w:p>
          <w:p w14:paraId="7F732EB9" w14:textId="77777777" w:rsidR="009D68B8" w:rsidRPr="00286216" w:rsidRDefault="009D68B8" w:rsidP="009D68B8">
            <w:pPr>
              <w:pStyle w:val="StyleWisnow"/>
              <w:rPr>
                <w:color w:val="000000" w:themeColor="text1"/>
              </w:rPr>
            </w:pPr>
          </w:p>
          <w:p w14:paraId="00D47568" w14:textId="77777777" w:rsidR="009D68B8" w:rsidRPr="00286216" w:rsidRDefault="009D68B8" w:rsidP="009D68B8">
            <w:pPr>
              <w:pStyle w:val="StyleWisnow"/>
              <w:rPr>
                <w:color w:val="000000" w:themeColor="text1"/>
              </w:rPr>
            </w:pPr>
          </w:p>
          <w:p w14:paraId="71A8D68B" w14:textId="77777777" w:rsidR="009D68B8" w:rsidRPr="00286216" w:rsidRDefault="009D68B8" w:rsidP="009D68B8">
            <w:pPr>
              <w:pStyle w:val="StyleWisnow"/>
              <w:rPr>
                <w:color w:val="000000" w:themeColor="text1"/>
              </w:rPr>
            </w:pPr>
          </w:p>
          <w:p w14:paraId="753B8270" w14:textId="77777777" w:rsidR="009D68B8" w:rsidRPr="00286216" w:rsidRDefault="009D68B8" w:rsidP="009D68B8">
            <w:pPr>
              <w:pStyle w:val="StyleWisnow"/>
              <w:rPr>
                <w:color w:val="000000" w:themeColor="text1"/>
              </w:rPr>
            </w:pPr>
          </w:p>
          <w:p w14:paraId="0707F64E" w14:textId="77777777" w:rsidR="009D68B8" w:rsidRPr="00286216" w:rsidRDefault="009D68B8" w:rsidP="009D68B8">
            <w:pPr>
              <w:pStyle w:val="StyleWisnow"/>
              <w:rPr>
                <w:color w:val="000000" w:themeColor="text1"/>
              </w:rPr>
            </w:pPr>
          </w:p>
          <w:p w14:paraId="5780CC4D" w14:textId="77777777" w:rsidR="009D68B8" w:rsidRPr="00286216" w:rsidRDefault="009D68B8" w:rsidP="009D68B8">
            <w:pPr>
              <w:pStyle w:val="StyleWisnow"/>
              <w:rPr>
                <w:color w:val="000000" w:themeColor="text1"/>
              </w:rPr>
            </w:pPr>
          </w:p>
          <w:p w14:paraId="032A8822" w14:textId="77777777" w:rsidR="009D68B8" w:rsidRPr="00286216" w:rsidRDefault="009D68B8" w:rsidP="009D68B8">
            <w:pPr>
              <w:pStyle w:val="StyleWisnow"/>
              <w:rPr>
                <w:color w:val="000000" w:themeColor="text1"/>
              </w:rPr>
            </w:pPr>
          </w:p>
          <w:p w14:paraId="11B531E2" w14:textId="77777777" w:rsidR="009D68B8" w:rsidRPr="00286216" w:rsidRDefault="009D68B8" w:rsidP="009D68B8">
            <w:pPr>
              <w:pStyle w:val="StyleWisnow"/>
              <w:rPr>
                <w:color w:val="000000" w:themeColor="text1"/>
              </w:rPr>
            </w:pPr>
          </w:p>
          <w:p w14:paraId="6F47610D" w14:textId="77777777" w:rsidR="009D68B8" w:rsidRPr="00286216" w:rsidRDefault="009D68B8" w:rsidP="009D68B8">
            <w:pPr>
              <w:pStyle w:val="StyleWisnow"/>
              <w:rPr>
                <w:color w:val="000000" w:themeColor="text1"/>
              </w:rPr>
            </w:pPr>
          </w:p>
          <w:p w14:paraId="02EED16B" w14:textId="77777777" w:rsidR="009D68B8" w:rsidRPr="00286216" w:rsidRDefault="009D68B8" w:rsidP="009D68B8">
            <w:pPr>
              <w:pStyle w:val="StyleWisnow"/>
              <w:rPr>
                <w:color w:val="000000" w:themeColor="text1"/>
              </w:rPr>
            </w:pPr>
          </w:p>
          <w:p w14:paraId="2E6F1A58" w14:textId="77777777" w:rsidR="009D68B8" w:rsidRPr="00286216" w:rsidRDefault="009D68B8" w:rsidP="009D68B8">
            <w:pPr>
              <w:pStyle w:val="StyleWisnow"/>
              <w:rPr>
                <w:color w:val="000000" w:themeColor="text1"/>
              </w:rPr>
            </w:pPr>
          </w:p>
          <w:p w14:paraId="47B150F1" w14:textId="77777777" w:rsidR="009D68B8" w:rsidRPr="00286216" w:rsidRDefault="009D68B8" w:rsidP="009D68B8">
            <w:pPr>
              <w:pStyle w:val="StyleWisnow"/>
              <w:rPr>
                <w:color w:val="000000" w:themeColor="text1"/>
              </w:rPr>
            </w:pPr>
          </w:p>
          <w:p w14:paraId="246F86A3" w14:textId="15CD93CE" w:rsidR="009D68B8" w:rsidRPr="00286216" w:rsidRDefault="009D68B8" w:rsidP="009D68B8">
            <w:pPr>
              <w:pStyle w:val="StyleWisnow"/>
              <w:rPr>
                <w:color w:val="000000" w:themeColor="text1"/>
              </w:rPr>
            </w:pPr>
            <w:r w:rsidRPr="00286216">
              <w:rPr>
                <w:color w:val="000000" w:themeColor="text1"/>
              </w:rPr>
              <w:t>Враховано редакційно</w:t>
            </w:r>
          </w:p>
          <w:p w14:paraId="30563D64" w14:textId="67B1A92A" w:rsidR="009D68B8" w:rsidRPr="00286216" w:rsidRDefault="009D68B8" w:rsidP="009D68B8">
            <w:pPr>
              <w:pStyle w:val="StyleWisnow"/>
              <w:rPr>
                <w:color w:val="000000" w:themeColor="text1"/>
              </w:rPr>
            </w:pPr>
          </w:p>
        </w:tc>
        <w:tc>
          <w:tcPr>
            <w:tcW w:w="4818" w:type="dxa"/>
          </w:tcPr>
          <w:p w14:paraId="3ECCE214" w14:textId="77777777" w:rsidR="009D68B8" w:rsidRPr="00286216" w:rsidRDefault="009D68B8" w:rsidP="009D68B8">
            <w:pPr>
              <w:pStyle w:val="StyleZakonu"/>
              <w:rPr>
                <w:color w:val="000000" w:themeColor="text1"/>
              </w:rPr>
            </w:pPr>
            <w:r w:rsidRPr="00286216">
              <w:rPr>
                <w:color w:val="000000" w:themeColor="text1"/>
              </w:rPr>
              <w:lastRenderedPageBreak/>
              <w:t xml:space="preserve">1. Збори власників облігацій проводяться за ініціативою емітента або одного чи декількох власників облігацій, які у сукупності володіють облігаціями, сумарна номінальна вартість яких дорівнює або перевищує 10 відсотків загальної </w:t>
            </w:r>
            <w:r w:rsidRPr="00286216">
              <w:rPr>
                <w:color w:val="000000" w:themeColor="text1"/>
              </w:rPr>
              <w:lastRenderedPageBreak/>
              <w:t>номінальної вартості непогашених облігацій відповідного випуску, а також у інших випадках, визначених цим Законом, нормативно-правовими актами Національної комісії з цінних паперів та фондового ринку та/або проспектом (рішенням про емісію).</w:t>
            </w:r>
          </w:p>
          <w:p w14:paraId="5509F2F4" w14:textId="77777777" w:rsidR="009D68B8" w:rsidRPr="00286216" w:rsidRDefault="009D68B8" w:rsidP="009D68B8">
            <w:pPr>
              <w:pStyle w:val="StyleZakonu"/>
              <w:rPr>
                <w:color w:val="000000" w:themeColor="text1"/>
              </w:rPr>
            </w:pPr>
            <w:r w:rsidRPr="00286216">
              <w:rPr>
                <w:color w:val="000000" w:themeColor="text1"/>
              </w:rPr>
              <w:t xml:space="preserve">2. Особою, відповідальною за проведення зборів, є емітент, а в разі призначення адміністратора з часу набуття ним своїх повноважень і до їх припинення особою, відповідальною за проведення зборів, є адміністратор. </w:t>
            </w:r>
          </w:p>
          <w:p w14:paraId="79BA64BC" w14:textId="77777777" w:rsidR="009D68B8" w:rsidRPr="00286216" w:rsidRDefault="009D68B8" w:rsidP="009D68B8">
            <w:pPr>
              <w:pStyle w:val="StyleZakonu"/>
              <w:rPr>
                <w:color w:val="000000" w:themeColor="text1"/>
              </w:rPr>
            </w:pPr>
            <w:r w:rsidRPr="00286216">
              <w:rPr>
                <w:color w:val="000000" w:themeColor="text1"/>
              </w:rPr>
              <w:t>У випадках, передбачених абзацом третім частини п’ятої цієї статті, у разі скликання зборів власників облігацій за ініціативою декількох власників облігацій, які у сукупності володіють облігаціями, сумарна номінальна вартість яких дорівнює або перевищує 10 відсотків загальної номінальної вартості непогашених облігацій відповідного випуску, особою, відповідальною за проведення зборів, є один з таких власників за домовленістю між ними, оформленою у письмовій формі.</w:t>
            </w:r>
          </w:p>
          <w:p w14:paraId="7EB7884A" w14:textId="77777777" w:rsidR="009D68B8" w:rsidRPr="00286216" w:rsidRDefault="009D68B8" w:rsidP="009D68B8">
            <w:pPr>
              <w:pStyle w:val="StyleZakonu"/>
              <w:rPr>
                <w:color w:val="000000" w:themeColor="text1"/>
              </w:rPr>
            </w:pPr>
            <w:r w:rsidRPr="00286216">
              <w:rPr>
                <w:color w:val="000000" w:themeColor="text1"/>
              </w:rPr>
              <w:t>У разі проведення зборів власників облігацій декількох випусків облігацій одного емітента, якщо особи, відповідальні за проведення зборів за такими випусками є різними, функції особи, відповідальної за проведення зборів, виконує одна з них за домовленістю, оформленою в письмовій формі. Особи, які мають право ініціювати проведення зборів, можуть самостійно визначити одну із зазначених осіб особою, відповідальною за проведення зборів власників облігацій за такими випусками, або на підставі відповідного договору уповноважити Центральний депозитарій цінних паперів виконувати функції особи, відповідальної за проведення зборів власників облігацій.</w:t>
            </w:r>
          </w:p>
          <w:p w14:paraId="61F472CC" w14:textId="77777777" w:rsidR="009D68B8" w:rsidRPr="00286216" w:rsidRDefault="009D68B8" w:rsidP="009D68B8">
            <w:pPr>
              <w:pStyle w:val="StyleZakonu"/>
              <w:rPr>
                <w:color w:val="000000" w:themeColor="text1"/>
              </w:rPr>
            </w:pPr>
            <w:r w:rsidRPr="00286216">
              <w:rPr>
                <w:color w:val="000000" w:themeColor="text1"/>
              </w:rPr>
              <w:t>Особливості проведення зборів власників облігацій декількох випусків облігацій одного емітента, якщо номінальна вартість хоча б одного випуску таких облігацій визначена в іноземній валюті, а також порядку визначення кількості голосів власників облігацій та порядку їх підрахунку за результатами голосування на таких зборах визначаються Національною комісією з цінних паперів та фондового ринку.</w:t>
            </w:r>
          </w:p>
          <w:p w14:paraId="79E4D5F2" w14:textId="77777777" w:rsidR="009D68B8" w:rsidRPr="00286216" w:rsidRDefault="009D68B8" w:rsidP="009D68B8">
            <w:pPr>
              <w:pStyle w:val="StyleZakonu"/>
              <w:rPr>
                <w:color w:val="000000" w:themeColor="text1"/>
              </w:rPr>
            </w:pPr>
            <w:r w:rsidRPr="00286216">
              <w:rPr>
                <w:color w:val="000000" w:themeColor="text1"/>
              </w:rPr>
              <w:lastRenderedPageBreak/>
              <w:t>3. У разі якщо проведення зборів власників облігацій ініціює власник (власники) облігацій, його (їх) вимога повинна містити щонайменше:</w:t>
            </w:r>
          </w:p>
          <w:p w14:paraId="5AF09CF3" w14:textId="77777777" w:rsidR="009D68B8" w:rsidRPr="00286216" w:rsidRDefault="009D68B8" w:rsidP="009D68B8">
            <w:pPr>
              <w:pStyle w:val="StyleZakonu"/>
              <w:rPr>
                <w:color w:val="000000" w:themeColor="text1"/>
              </w:rPr>
            </w:pPr>
            <w:r w:rsidRPr="00286216">
              <w:rPr>
                <w:color w:val="000000" w:themeColor="text1"/>
              </w:rPr>
              <w:t>1) ім’я або найменування (в розумінні Цивільного кодексу України) особи, місце проживання або місцезнаходження власника (власників) облігацій, який (які) вимагає (вимагають) проведення зборів власників облігацій;</w:t>
            </w:r>
          </w:p>
          <w:p w14:paraId="5BC1EFD1" w14:textId="77777777" w:rsidR="009D68B8" w:rsidRPr="00286216" w:rsidRDefault="009D68B8" w:rsidP="009D68B8">
            <w:pPr>
              <w:pStyle w:val="StyleZakonu"/>
              <w:rPr>
                <w:color w:val="000000" w:themeColor="text1"/>
              </w:rPr>
            </w:pPr>
            <w:r w:rsidRPr="00286216">
              <w:rPr>
                <w:color w:val="000000" w:themeColor="text1"/>
              </w:rPr>
              <w:t>2) міжнародний ідентифікаційний номер облігацій відповідного випуску;</w:t>
            </w:r>
          </w:p>
          <w:p w14:paraId="3A1A0117" w14:textId="77777777" w:rsidR="009D68B8" w:rsidRPr="00286216" w:rsidRDefault="009D68B8" w:rsidP="009D68B8">
            <w:pPr>
              <w:pStyle w:val="StyleZakonu"/>
              <w:rPr>
                <w:color w:val="000000" w:themeColor="text1"/>
              </w:rPr>
            </w:pPr>
            <w:r w:rsidRPr="00286216">
              <w:rPr>
                <w:color w:val="000000" w:themeColor="text1"/>
              </w:rPr>
              <w:t>3) перелік питань порядку денного зборів власників облігацій із зазначенням того, чи є такі питання невідкладними, а також проекти рішень з відповідних питань;</w:t>
            </w:r>
          </w:p>
          <w:p w14:paraId="12A892DE" w14:textId="77777777" w:rsidR="009D68B8" w:rsidRPr="00286216" w:rsidRDefault="009D68B8" w:rsidP="009D68B8">
            <w:pPr>
              <w:pStyle w:val="StyleZakonu"/>
              <w:rPr>
                <w:color w:val="000000" w:themeColor="text1"/>
              </w:rPr>
            </w:pPr>
            <w:r w:rsidRPr="00286216">
              <w:rPr>
                <w:color w:val="000000" w:themeColor="text1"/>
              </w:rPr>
              <w:t>4) обґрунтування причин доцільності проведення зборів власників облігацій;</w:t>
            </w:r>
          </w:p>
          <w:p w14:paraId="68171B5F" w14:textId="77777777" w:rsidR="009D68B8" w:rsidRPr="00286216" w:rsidRDefault="009D68B8" w:rsidP="009D68B8">
            <w:pPr>
              <w:pStyle w:val="StyleZakonu"/>
              <w:rPr>
                <w:color w:val="000000" w:themeColor="text1"/>
              </w:rPr>
            </w:pPr>
            <w:r w:rsidRPr="00286216">
              <w:rPr>
                <w:color w:val="000000" w:themeColor="text1"/>
              </w:rPr>
              <w:t>5) підпис власника (власників) облігацій або його (їх) представника, здійснений з використанням кваліфікованих електронних довірчих послуг, та, в разі підписання вимоги представником, - зазначення правової підстави здійснення представництва.</w:t>
            </w:r>
          </w:p>
          <w:p w14:paraId="59820BB6" w14:textId="77777777" w:rsidR="009D68B8" w:rsidRPr="00286216" w:rsidRDefault="009D68B8" w:rsidP="009D68B8">
            <w:pPr>
              <w:pStyle w:val="StyleZakonu"/>
              <w:rPr>
                <w:color w:val="000000" w:themeColor="text1"/>
              </w:rPr>
            </w:pPr>
            <w:r w:rsidRPr="00286216">
              <w:rPr>
                <w:color w:val="000000" w:themeColor="text1"/>
              </w:rPr>
              <w:t>Перелік питань порядку денного, визначених як невідкладні при проведенні зборів власників облігацій, встановлюється проспектом (рішенням про емісію).</w:t>
            </w:r>
          </w:p>
          <w:p w14:paraId="6D083D26" w14:textId="77777777" w:rsidR="009D68B8" w:rsidRPr="00286216" w:rsidRDefault="009D68B8" w:rsidP="009D68B8">
            <w:pPr>
              <w:pStyle w:val="StyleZakonu"/>
              <w:rPr>
                <w:color w:val="000000" w:themeColor="text1"/>
              </w:rPr>
            </w:pPr>
            <w:r w:rsidRPr="00286216">
              <w:rPr>
                <w:color w:val="000000" w:themeColor="text1"/>
              </w:rPr>
              <w:t>До вимоги власника (власників) облігацій щодо проведення зборів власників облігацій додаються:</w:t>
            </w:r>
          </w:p>
          <w:p w14:paraId="701EDA8E" w14:textId="77777777" w:rsidR="009D68B8" w:rsidRPr="00286216" w:rsidRDefault="009D68B8" w:rsidP="009D68B8">
            <w:pPr>
              <w:pStyle w:val="StyleZakonu"/>
              <w:rPr>
                <w:color w:val="000000" w:themeColor="text1"/>
              </w:rPr>
            </w:pPr>
            <w:r w:rsidRPr="00286216">
              <w:rPr>
                <w:color w:val="000000" w:themeColor="text1"/>
              </w:rPr>
              <w:t>1) виписка (виписки) з рахунку (рахунків) у цінних паперах, що підтверджує (підтверджують) наявність, станом не раніше попереднього робочого дня перед днем подання вимоги, права на облігації та права за облігаціями відповідного випуску у кількості, на яку посилається власник (власники) облігацій для проведення зборів;</w:t>
            </w:r>
          </w:p>
          <w:p w14:paraId="6AB36E3F" w14:textId="77777777" w:rsidR="009D68B8" w:rsidRPr="00286216" w:rsidRDefault="009D68B8" w:rsidP="009D68B8">
            <w:pPr>
              <w:pStyle w:val="StyleZakonu"/>
              <w:rPr>
                <w:color w:val="000000" w:themeColor="text1"/>
              </w:rPr>
            </w:pPr>
            <w:r w:rsidRPr="00286216">
              <w:rPr>
                <w:color w:val="000000" w:themeColor="text1"/>
              </w:rPr>
              <w:t>2) інформація щодо обмеження у розпорядженні облігаціями на такому рахунку (таких рахунках) у цінних паперах;</w:t>
            </w:r>
          </w:p>
          <w:p w14:paraId="0099600D" w14:textId="77777777" w:rsidR="009D68B8" w:rsidRPr="00286216" w:rsidRDefault="009D68B8" w:rsidP="009D68B8">
            <w:pPr>
              <w:pStyle w:val="StyleZakonu"/>
              <w:rPr>
                <w:color w:val="000000" w:themeColor="text1"/>
              </w:rPr>
            </w:pPr>
            <w:r w:rsidRPr="00286216">
              <w:rPr>
                <w:color w:val="000000" w:themeColor="text1"/>
              </w:rPr>
              <w:t>3) документи, що підтверджують повноваження особи, яка підписала вимогу (у разі підписання вимоги уповноваженим представником власника).</w:t>
            </w:r>
          </w:p>
          <w:p w14:paraId="17067B30" w14:textId="77777777" w:rsidR="009D68B8" w:rsidRPr="00286216" w:rsidRDefault="009D68B8" w:rsidP="009D68B8">
            <w:pPr>
              <w:pStyle w:val="StyleZakonu"/>
              <w:rPr>
                <w:color w:val="000000" w:themeColor="text1"/>
              </w:rPr>
            </w:pPr>
            <w:r w:rsidRPr="00286216">
              <w:rPr>
                <w:color w:val="000000" w:themeColor="text1"/>
              </w:rPr>
              <w:t xml:space="preserve">Вимога про проведення зборів власників облігацій разом з доданими до неї документами та інформацією </w:t>
            </w:r>
            <w:r w:rsidRPr="00286216">
              <w:rPr>
                <w:color w:val="000000" w:themeColor="text1"/>
              </w:rPr>
              <w:lastRenderedPageBreak/>
              <w:t>подається особі, відповідальній за проведення зборів, через депозитарну систему України.</w:t>
            </w:r>
          </w:p>
          <w:p w14:paraId="6EB09735" w14:textId="77777777" w:rsidR="009D68B8" w:rsidRPr="00286216" w:rsidRDefault="009D68B8" w:rsidP="009D68B8">
            <w:pPr>
              <w:pStyle w:val="StyleZakonu"/>
              <w:rPr>
                <w:color w:val="000000" w:themeColor="text1"/>
              </w:rPr>
            </w:pPr>
            <w:r w:rsidRPr="00286216">
              <w:rPr>
                <w:color w:val="000000" w:themeColor="text1"/>
              </w:rPr>
              <w:t>Для цілей цього Закону направленням інформації через депозитарну систему України є надання професійними учасниками депозитарної системи України відповідної інформації учасникам ринків капіталу в порядку, встановленому Національною комісією з цінних паперів та фондового ринку.</w:t>
            </w:r>
          </w:p>
          <w:p w14:paraId="07A5CF7F" w14:textId="77777777" w:rsidR="009D68B8" w:rsidRPr="00286216" w:rsidRDefault="009D68B8" w:rsidP="009D68B8">
            <w:pPr>
              <w:pStyle w:val="StyleZakonu"/>
              <w:rPr>
                <w:color w:val="000000" w:themeColor="text1"/>
              </w:rPr>
            </w:pPr>
            <w:r w:rsidRPr="00286216">
              <w:rPr>
                <w:color w:val="000000" w:themeColor="text1"/>
              </w:rPr>
              <w:t>У разі якщо проведення зборів власників облігацій ініціює емітент, який не є особою, відповідальною за проведення зборів, його вимога щонайменше повинна містити:</w:t>
            </w:r>
          </w:p>
          <w:p w14:paraId="7F15E0F9" w14:textId="77777777" w:rsidR="009D68B8" w:rsidRPr="00286216" w:rsidRDefault="009D68B8" w:rsidP="009D68B8">
            <w:pPr>
              <w:pStyle w:val="StyleZakonu"/>
              <w:rPr>
                <w:color w:val="000000" w:themeColor="text1"/>
              </w:rPr>
            </w:pPr>
            <w:r w:rsidRPr="00286216">
              <w:rPr>
                <w:color w:val="000000" w:themeColor="text1"/>
              </w:rPr>
              <w:t>1) міжнародний ідентифікаційний номер облігацій відповідного випуску;</w:t>
            </w:r>
          </w:p>
          <w:p w14:paraId="0564A640" w14:textId="77777777" w:rsidR="009D68B8" w:rsidRPr="00286216" w:rsidRDefault="009D68B8" w:rsidP="009D68B8">
            <w:pPr>
              <w:pStyle w:val="StyleZakonu"/>
              <w:rPr>
                <w:color w:val="000000" w:themeColor="text1"/>
              </w:rPr>
            </w:pPr>
            <w:r w:rsidRPr="00286216">
              <w:rPr>
                <w:color w:val="000000" w:themeColor="text1"/>
              </w:rPr>
              <w:t>2) перелік питань порядку денного зборів власників облігацій із зазначенням того, чи є такі питання невідкладними, а також проекти рішень з відповідних питань;</w:t>
            </w:r>
          </w:p>
          <w:p w14:paraId="014A870C" w14:textId="77777777" w:rsidR="009D68B8" w:rsidRPr="00286216" w:rsidRDefault="009D68B8" w:rsidP="009D68B8">
            <w:pPr>
              <w:pStyle w:val="StyleZakonu"/>
              <w:rPr>
                <w:color w:val="000000" w:themeColor="text1"/>
              </w:rPr>
            </w:pPr>
            <w:r w:rsidRPr="00286216">
              <w:rPr>
                <w:color w:val="000000" w:themeColor="text1"/>
              </w:rPr>
              <w:t>3) обґрунтування причин доцільності проведення зборів власників облігацій;</w:t>
            </w:r>
          </w:p>
          <w:p w14:paraId="232B87C4" w14:textId="77777777" w:rsidR="009D68B8" w:rsidRPr="00286216" w:rsidRDefault="009D68B8" w:rsidP="009D68B8">
            <w:pPr>
              <w:pStyle w:val="StyleZakonu"/>
              <w:rPr>
                <w:color w:val="000000" w:themeColor="text1"/>
              </w:rPr>
            </w:pPr>
            <w:r w:rsidRPr="00286216">
              <w:rPr>
                <w:color w:val="000000" w:themeColor="text1"/>
              </w:rPr>
              <w:t>4) підпис уповноваженої особи емітента, здійснений з використанням кваліфікованих електронних довірчих послуг.</w:t>
            </w:r>
          </w:p>
          <w:p w14:paraId="58042AB7" w14:textId="77777777" w:rsidR="009D68B8" w:rsidRPr="00286216" w:rsidRDefault="009D68B8" w:rsidP="009D68B8">
            <w:pPr>
              <w:pStyle w:val="StyleZakonu"/>
              <w:rPr>
                <w:color w:val="000000" w:themeColor="text1"/>
              </w:rPr>
            </w:pPr>
            <w:r w:rsidRPr="00286216">
              <w:rPr>
                <w:color w:val="000000" w:themeColor="text1"/>
              </w:rPr>
              <w:t xml:space="preserve">У разі якщо проведення зборів власників облігацій здійснюється на виконання вимог законодавства та/або проспекту (рішення про емісію цінних паперів), особа, відповідальна за проведення зборів, самостійно ініціює проведення зборів, визначає перелік питань порядку денного зборів власників облігацій та складає проекти рішень з таких питань разом з обґрунтуванням причин доцільності проведення зборів власників облігацій, а також вирішує інші питання, пов’язані з організацією та проведенням зборів. </w:t>
            </w:r>
          </w:p>
          <w:p w14:paraId="32E7A2E2" w14:textId="77777777" w:rsidR="009D68B8" w:rsidRPr="00286216" w:rsidRDefault="009D68B8" w:rsidP="009D68B8">
            <w:pPr>
              <w:pStyle w:val="StyleZakonu"/>
              <w:rPr>
                <w:color w:val="000000" w:themeColor="text1"/>
              </w:rPr>
            </w:pPr>
            <w:r w:rsidRPr="00286216">
              <w:rPr>
                <w:color w:val="000000" w:themeColor="text1"/>
              </w:rPr>
              <w:t xml:space="preserve">4. Збори власників облігацій проводяться через авторизовану електронну систему. </w:t>
            </w:r>
          </w:p>
          <w:p w14:paraId="7B608593" w14:textId="77777777" w:rsidR="009D68B8" w:rsidRPr="00286216" w:rsidRDefault="009D68B8" w:rsidP="009D68B8">
            <w:pPr>
              <w:pStyle w:val="StyleZakonu"/>
              <w:rPr>
                <w:color w:val="000000" w:themeColor="text1"/>
              </w:rPr>
            </w:pPr>
            <w:r w:rsidRPr="00286216">
              <w:rPr>
                <w:color w:val="000000" w:themeColor="text1"/>
              </w:rPr>
              <w:t xml:space="preserve">Особа, відповідальна за проведення зборів, зобов’язана укласти з Центральним депозитарієм цінних паперів договір про надання послуг щодо забезпечення проведення зборів власників (крім випадку, коли Центральний депозитарій цінних паперів виконує функції особи, відповідальної за проведення зборів), який, зокрема, повинен </w:t>
            </w:r>
            <w:r w:rsidRPr="00286216">
              <w:rPr>
                <w:color w:val="000000" w:themeColor="text1"/>
              </w:rPr>
              <w:lastRenderedPageBreak/>
              <w:t xml:space="preserve">регулювати відносини щодо використання авторизованої електронної системи, а саме: містити повноваження особи, відповідальної за проведення зборів, щодо внесення та отримання інформації та/або документів з авторизованої електронної системи, пов’язаних із проведенням зборів власників облігацій, та визначати осіб, уповноважених взаємодіяти з авторизованою електронною системою при проведенні зборів. </w:t>
            </w:r>
          </w:p>
          <w:p w14:paraId="40F15190" w14:textId="77777777" w:rsidR="009D68B8" w:rsidRPr="00286216" w:rsidRDefault="009D68B8" w:rsidP="009D68B8">
            <w:pPr>
              <w:pStyle w:val="StyleZakonu"/>
              <w:rPr>
                <w:color w:val="000000" w:themeColor="text1"/>
              </w:rPr>
            </w:pPr>
            <w:r w:rsidRPr="00286216">
              <w:rPr>
                <w:color w:val="000000" w:themeColor="text1"/>
              </w:rPr>
              <w:t>Особи, уповноважені взаємодіяти з авторизованою електронною системою, не можуть розголошувати інформацію, що стала відома їм в ході взаємодії з авторизованою електронною системою. У разі, якщо особою, уповноваженою взаємодіяти з авторизованою електронною системою при проведенні зборів, та особою, відповідальною за проведення зборів, є різні особи, відповідальність за розголошення інформації, отриманої у ході взаємодії з авторизованою електронною системою, встановлюється договором між такими особами.</w:t>
            </w:r>
          </w:p>
          <w:p w14:paraId="04D2D037" w14:textId="77777777" w:rsidR="009D68B8" w:rsidRPr="00286216" w:rsidRDefault="009D68B8" w:rsidP="009D68B8">
            <w:pPr>
              <w:pStyle w:val="StyleZakonu"/>
              <w:rPr>
                <w:color w:val="000000" w:themeColor="text1"/>
              </w:rPr>
            </w:pPr>
            <w:r w:rsidRPr="00286216">
              <w:rPr>
                <w:color w:val="000000" w:themeColor="text1"/>
              </w:rPr>
              <w:t>Авторизована електронна система – це авторизований Національною комісією з цінних паперів та фондового ринку програмно-технічний комплекс Центрального депозитарію цінних паперів, що відповідає встановленим нею вимогам та забезпечує ідентифікацію і реєстрацію власників цінних паперів (їх представників) для участі у зборах власників цінних паперів, отримання документів, з якими власники цінних паперів можуть ознайомитися під час підготовки до зборів, голосування бюлетенем та прийняття участі в обговоренні з питань порядку денного, підбиття підсумків голосування з питань порядку денного зборів, а також реалізацію інших функцій, визначених законодавством.</w:t>
            </w:r>
          </w:p>
          <w:p w14:paraId="268A8BB9" w14:textId="77777777" w:rsidR="009D68B8" w:rsidRPr="00286216" w:rsidRDefault="009D68B8" w:rsidP="009D68B8">
            <w:pPr>
              <w:pStyle w:val="StyleZakonu"/>
              <w:rPr>
                <w:color w:val="000000" w:themeColor="text1"/>
              </w:rPr>
            </w:pPr>
            <w:r w:rsidRPr="00286216">
              <w:rPr>
                <w:color w:val="000000" w:themeColor="text1"/>
              </w:rPr>
              <w:t>Порядок взаємодії власників облігацій та осіб, відповідальних за проведення зборів, з авторизованою електронною системою встановлюється Центральним депозитарієм цінних паперів відповідно до вимог, визначених Національною комісією з цінних паперів та фондового ринку.</w:t>
            </w:r>
          </w:p>
          <w:p w14:paraId="2C1F0576" w14:textId="77777777" w:rsidR="009D68B8" w:rsidRPr="00286216" w:rsidRDefault="009D68B8" w:rsidP="009D68B8">
            <w:pPr>
              <w:pStyle w:val="StyleZakonu"/>
              <w:rPr>
                <w:color w:val="000000" w:themeColor="text1"/>
              </w:rPr>
            </w:pPr>
            <w:r w:rsidRPr="00286216">
              <w:rPr>
                <w:color w:val="000000" w:themeColor="text1"/>
              </w:rPr>
              <w:t xml:space="preserve">5. Особа, відповідальна за проведення зборів, протягом трьох робочих днів після надходження вимоги про проведення зборів власників облігацій зобов’язана вчинити всі необхідні дії для </w:t>
            </w:r>
            <w:r w:rsidRPr="00286216">
              <w:rPr>
                <w:color w:val="000000" w:themeColor="text1"/>
              </w:rPr>
              <w:lastRenderedPageBreak/>
              <w:t>повідомлення власників облігацій, емітента та адміністратора (якщо вони не є особами, відповідальними за проведення зборів) про проведення зборів та дії, необхідні для забезпечення проведення зборів відповідно до вимог цього Закону або надати мотивовану відмову щодо проведення зборів у разі, якщо вимога оформлена з порушенням норм законодавства.</w:t>
            </w:r>
          </w:p>
          <w:p w14:paraId="3D213DC2" w14:textId="77777777" w:rsidR="009D68B8" w:rsidRPr="00286216" w:rsidRDefault="009D68B8" w:rsidP="009D68B8">
            <w:pPr>
              <w:pStyle w:val="StyleZakonu"/>
              <w:rPr>
                <w:color w:val="000000" w:themeColor="text1"/>
              </w:rPr>
            </w:pPr>
            <w:r w:rsidRPr="00286216">
              <w:rPr>
                <w:color w:val="000000" w:themeColor="text1"/>
              </w:rPr>
              <w:t>У разі, якщо протягом трьох робочих днів після отримання належним чином оформленої вимоги про проведення зборів власників облігацій від одного чи декількох власників, які у сукупності володіють облігаціями, сумарна номінальна вартість яких дорівнює або перевищує 10 відсотків від загальної номінальної вартості непогашених облігацій відповідного випуску, особа, відповідальна за проведення зборів, не здійснила визначених цією статтею дій щодо проведення зборів власників облігацій, такі збори можуть бути скликані в порядку, встановленому частиною третьою статті 123 цього Закону, особою, яка має право вимагати скликання зборів.</w:t>
            </w:r>
          </w:p>
          <w:p w14:paraId="3F4B16AA" w14:textId="77777777" w:rsidR="009D68B8" w:rsidRPr="00286216" w:rsidRDefault="009D68B8" w:rsidP="009D68B8">
            <w:pPr>
              <w:pStyle w:val="StyleZakonu"/>
              <w:rPr>
                <w:color w:val="000000" w:themeColor="text1"/>
              </w:rPr>
            </w:pPr>
            <w:r w:rsidRPr="00286216">
              <w:rPr>
                <w:color w:val="000000" w:themeColor="text1"/>
              </w:rPr>
              <w:t xml:space="preserve">У разі якщо після отримання першої вимоги про проведення зборів власників облігацій і до направлення власникам облігацій, а також емітенту та адміністратору (якщо вони не є особами, відповідальними за проведення зборів) повідомлення про проведення зборів власників облігацій особа, відповідальна за проведення зборів, отримала вимогу про проведення зборів власників облігацій також від інших осіб, вона може об’єднати такі вимоги та зазначити у повідомленні всі передбачені вимогами питання порядку денного та інформацію щодо таких питань. </w:t>
            </w:r>
          </w:p>
          <w:p w14:paraId="3EB153C5" w14:textId="77777777" w:rsidR="009D68B8" w:rsidRPr="00286216" w:rsidRDefault="009D68B8" w:rsidP="009D68B8">
            <w:pPr>
              <w:pStyle w:val="StyleZakonu"/>
              <w:rPr>
                <w:color w:val="000000" w:themeColor="text1"/>
              </w:rPr>
            </w:pPr>
            <w:r w:rsidRPr="00286216">
              <w:rPr>
                <w:color w:val="000000" w:themeColor="text1"/>
              </w:rPr>
              <w:t xml:space="preserve">6. У разі, якщо проведення зборів власників облігацій передбачено законодавством та/або проспектом (рішенням про емісію цінних паперів), особа, відповідальна за проведення зборів, зобов’язана протягом трьох робочих днів після настання відповідної обставини (випадку) вчинити усі необхідні дії для повідомлення усіх власників облігацій відповідного випуску облігацій, а також емітента та адміністратора (якщо вони не є особами, відповідальними за проведення зборів) про проведення зборів та вчинити дії, необхідні для </w:t>
            </w:r>
            <w:r w:rsidRPr="00286216">
              <w:rPr>
                <w:color w:val="000000" w:themeColor="text1"/>
              </w:rPr>
              <w:lastRenderedPageBreak/>
              <w:t>забезпечення проведення зборів відповідно до вимог цього Закону.</w:t>
            </w:r>
          </w:p>
          <w:p w14:paraId="33E78881" w14:textId="77777777" w:rsidR="009D68B8" w:rsidRPr="00286216" w:rsidRDefault="009D68B8" w:rsidP="009D68B8">
            <w:pPr>
              <w:pStyle w:val="StyleZakonu"/>
              <w:rPr>
                <w:color w:val="000000" w:themeColor="text1"/>
              </w:rPr>
            </w:pPr>
            <w:r w:rsidRPr="00286216">
              <w:rPr>
                <w:color w:val="000000" w:themeColor="text1"/>
              </w:rPr>
              <w:t>7. Повідомлення про проведення зборів власників облігацій направляється через депозитарну систему України власникам облігацій, зазначеним у переліку осіб, що є власниками облігацій відповідного випуску, складеному станом на дату, визначену особою, відповідальною за проведення зборів. Така дата не може передувати дню прийняття особою, відповідальною за проведення зборів, рішення щодо проведення зборів за власною ініціативою (у тому числі на виконання вимог законодавства та/або проспекту (рішення про емісію), або за вимогою власника (власників) облігацій чи емітента, який не є особою, відповідальною за проведення зборів.</w:t>
            </w:r>
          </w:p>
          <w:p w14:paraId="546C91D5" w14:textId="77777777" w:rsidR="009D68B8" w:rsidRPr="00286216" w:rsidRDefault="009D68B8" w:rsidP="009D68B8">
            <w:pPr>
              <w:pStyle w:val="StyleZakonu"/>
              <w:rPr>
                <w:color w:val="000000" w:themeColor="text1"/>
              </w:rPr>
            </w:pPr>
            <w:r w:rsidRPr="00286216">
              <w:rPr>
                <w:color w:val="000000" w:themeColor="text1"/>
              </w:rPr>
              <w:t>Повідомлення про проведення зборів власників облігацій направляється також емітенту та адміністратору (якщо вони не є особами, відповідальними за проведення зборів).</w:t>
            </w:r>
          </w:p>
          <w:p w14:paraId="64237177" w14:textId="77777777" w:rsidR="009D68B8" w:rsidRPr="00286216" w:rsidRDefault="009D68B8" w:rsidP="009D68B8">
            <w:pPr>
              <w:pStyle w:val="StyleZakonu"/>
              <w:rPr>
                <w:color w:val="000000" w:themeColor="text1"/>
              </w:rPr>
            </w:pPr>
            <w:r w:rsidRPr="00286216">
              <w:rPr>
                <w:color w:val="000000" w:themeColor="text1"/>
              </w:rPr>
              <w:t>Повідомлення про проведення зборів власників облігацій направляється особам, зазначеним в абзацах першому і другому цієї частини, не пізніше ніж за 10 робочих днів до дати проведення зборів, а в разі, якщо порядок денний містить питання, що визначені як невідкладні, – не пізніше ніж за 3 робочих дні до дати початку голосування.</w:t>
            </w:r>
          </w:p>
          <w:p w14:paraId="3EC4E14F" w14:textId="77777777" w:rsidR="009D68B8" w:rsidRPr="00286216" w:rsidRDefault="009D68B8" w:rsidP="009D68B8">
            <w:pPr>
              <w:pStyle w:val="StyleZakonu"/>
              <w:rPr>
                <w:color w:val="000000" w:themeColor="text1"/>
              </w:rPr>
            </w:pPr>
            <w:r w:rsidRPr="00286216">
              <w:rPr>
                <w:color w:val="000000" w:themeColor="text1"/>
              </w:rPr>
              <w:t>У повідомленні про проведення зборів власників облігацій зазначається:</w:t>
            </w:r>
          </w:p>
          <w:p w14:paraId="22046FF0" w14:textId="77777777" w:rsidR="009D68B8" w:rsidRPr="00286216" w:rsidRDefault="009D68B8" w:rsidP="009D68B8">
            <w:pPr>
              <w:pStyle w:val="StyleZakonu"/>
              <w:rPr>
                <w:color w:val="000000" w:themeColor="text1"/>
              </w:rPr>
            </w:pPr>
            <w:r w:rsidRPr="00286216">
              <w:rPr>
                <w:color w:val="000000" w:themeColor="text1"/>
              </w:rPr>
              <w:t>1) інформація про особу (осіб), яка (які) є ініціатором проведення зборів власників облігацій відповідного випуску;</w:t>
            </w:r>
          </w:p>
          <w:p w14:paraId="1F4714AB" w14:textId="77777777" w:rsidR="009D68B8" w:rsidRPr="00286216" w:rsidRDefault="009D68B8" w:rsidP="009D68B8">
            <w:pPr>
              <w:pStyle w:val="StyleZakonu"/>
              <w:rPr>
                <w:color w:val="000000" w:themeColor="text1"/>
              </w:rPr>
            </w:pPr>
            <w:r w:rsidRPr="00286216">
              <w:rPr>
                <w:color w:val="000000" w:themeColor="text1"/>
              </w:rPr>
              <w:t>2) проект порядку денного зборів власників облігацій або остаточний порядок денний, якщо питання, включені до порядку денного зборів власників облігацій, визначені як невідкладні, в якому зазначається про наявність чи відсутність взаємозв’язку між питаннями порядку денного та проектами рішень з відповідних питань;</w:t>
            </w:r>
          </w:p>
          <w:p w14:paraId="04F0ACBB" w14:textId="77777777" w:rsidR="009D68B8" w:rsidRPr="00286216" w:rsidRDefault="009D68B8" w:rsidP="009D68B8">
            <w:pPr>
              <w:pStyle w:val="StyleZakonu"/>
              <w:rPr>
                <w:color w:val="000000" w:themeColor="text1"/>
              </w:rPr>
            </w:pPr>
            <w:r w:rsidRPr="00286216">
              <w:rPr>
                <w:color w:val="000000" w:themeColor="text1"/>
              </w:rPr>
              <w:t>3) обґрунтування причин доцільності проведення засідання власників облігацій;</w:t>
            </w:r>
          </w:p>
          <w:p w14:paraId="201F35C9" w14:textId="77777777" w:rsidR="009D68B8" w:rsidRPr="00286216" w:rsidRDefault="009D68B8" w:rsidP="009D68B8">
            <w:pPr>
              <w:pStyle w:val="StyleZakonu"/>
              <w:rPr>
                <w:color w:val="000000" w:themeColor="text1"/>
              </w:rPr>
            </w:pPr>
            <w:r w:rsidRPr="00286216">
              <w:rPr>
                <w:color w:val="000000" w:themeColor="text1"/>
              </w:rPr>
              <w:t xml:space="preserve">4) дата, станом на яку буде складено перелік власників облігацій, які мають право на участь у зборах; </w:t>
            </w:r>
          </w:p>
          <w:p w14:paraId="685F2E2B" w14:textId="77777777" w:rsidR="009D68B8" w:rsidRPr="00286216" w:rsidRDefault="009D68B8" w:rsidP="009D68B8">
            <w:pPr>
              <w:pStyle w:val="StyleZakonu"/>
              <w:rPr>
                <w:color w:val="000000" w:themeColor="text1"/>
              </w:rPr>
            </w:pPr>
            <w:r w:rsidRPr="00286216">
              <w:rPr>
                <w:color w:val="000000" w:themeColor="text1"/>
              </w:rPr>
              <w:lastRenderedPageBreak/>
              <w:t>5) час початку та час закінчення реєстрації власників облігацій (їх представників) для участі в зборах;</w:t>
            </w:r>
          </w:p>
          <w:p w14:paraId="267B12C5" w14:textId="77777777" w:rsidR="009D68B8" w:rsidRPr="00286216" w:rsidRDefault="009D68B8" w:rsidP="009D68B8">
            <w:pPr>
              <w:pStyle w:val="StyleZakonu"/>
              <w:rPr>
                <w:color w:val="000000" w:themeColor="text1"/>
              </w:rPr>
            </w:pPr>
            <w:r w:rsidRPr="00286216">
              <w:rPr>
                <w:color w:val="000000" w:themeColor="text1"/>
              </w:rPr>
              <w:t>6) порядок реалізації права на участь та права голосу з питань порядку денного зборів;</w:t>
            </w:r>
          </w:p>
          <w:p w14:paraId="5A8BDFAA" w14:textId="77777777" w:rsidR="009D68B8" w:rsidRPr="00286216" w:rsidRDefault="009D68B8" w:rsidP="009D68B8">
            <w:pPr>
              <w:pStyle w:val="StyleZakonu"/>
              <w:rPr>
                <w:color w:val="000000" w:themeColor="text1"/>
              </w:rPr>
            </w:pPr>
            <w:r w:rsidRPr="00286216">
              <w:rPr>
                <w:color w:val="000000" w:themeColor="text1"/>
              </w:rPr>
              <w:t>7) дата голосування на зборах власників облігацій або період, протягом якого проводиться голосування, що не може перевищувати пʼяти днів.</w:t>
            </w:r>
          </w:p>
          <w:p w14:paraId="43105D44" w14:textId="77777777" w:rsidR="009D68B8" w:rsidRPr="00286216" w:rsidRDefault="009D68B8" w:rsidP="009D68B8">
            <w:pPr>
              <w:pStyle w:val="StyleZakonu"/>
              <w:rPr>
                <w:color w:val="000000" w:themeColor="text1"/>
              </w:rPr>
            </w:pPr>
            <w:r w:rsidRPr="00286216">
              <w:rPr>
                <w:color w:val="000000" w:themeColor="text1"/>
              </w:rPr>
              <w:t>Проект порядку денного зборів власників облігацій або остаточний порядок денний затверджується особою, відповідальною за проведення зборів.</w:t>
            </w:r>
          </w:p>
          <w:p w14:paraId="65D6D1BE" w14:textId="77777777" w:rsidR="009D68B8" w:rsidRPr="00286216" w:rsidRDefault="009D68B8" w:rsidP="009D68B8">
            <w:pPr>
              <w:pStyle w:val="StyleZakonu"/>
              <w:rPr>
                <w:color w:val="000000" w:themeColor="text1"/>
              </w:rPr>
            </w:pPr>
            <w:r w:rsidRPr="00286216">
              <w:rPr>
                <w:color w:val="000000" w:themeColor="text1"/>
              </w:rPr>
              <w:t xml:space="preserve">Після затвердження остаточного порядку денного зборів власників облігацій особа, відповідальна за проведення зборів, повинна визначити наявність або відсутність взаємозв’язку між питаннями, включеними до порядку денного. Наявність або відсутність такого взаємозв’язку зазначається приміткою до порядку денного. При цьому, наявність такого взаємозв’язку означає неможливість проведення голосування з одного питання порядку денного у разі неприйняття рішення або прийняття взаємовиключного рішення з попереднього (одного з попередніх) питання порядку денного. </w:t>
            </w:r>
          </w:p>
          <w:p w14:paraId="7D395045" w14:textId="77777777" w:rsidR="009D68B8" w:rsidRPr="00286216" w:rsidRDefault="009D68B8" w:rsidP="009D68B8">
            <w:pPr>
              <w:pStyle w:val="StyleZakonu"/>
              <w:rPr>
                <w:color w:val="000000" w:themeColor="text1"/>
              </w:rPr>
            </w:pPr>
            <w:r w:rsidRPr="00286216">
              <w:rPr>
                <w:color w:val="000000" w:themeColor="text1"/>
              </w:rPr>
              <w:t xml:space="preserve">Не пізніше дня надсилання власникам облігацій повідомлення про проведення зборів власників облігацій таке повідомлення оприлюднюється особою, відповідальною за проведення зборів, на веб-сайті емітента облігацій (якщо особою, відповідальною за проведення зборів, є емітент) та розміщується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w:t>
            </w:r>
          </w:p>
          <w:p w14:paraId="1AC956A3" w14:textId="77777777" w:rsidR="009D68B8" w:rsidRPr="00286216" w:rsidRDefault="009D68B8" w:rsidP="009D68B8">
            <w:pPr>
              <w:pStyle w:val="StyleZakonu"/>
              <w:rPr>
                <w:color w:val="000000" w:themeColor="text1"/>
              </w:rPr>
            </w:pPr>
            <w:r w:rsidRPr="00286216">
              <w:rPr>
                <w:color w:val="000000" w:themeColor="text1"/>
              </w:rPr>
              <w:t xml:space="preserve">8. У разі, якщо проект порядку денного зборів власників облігацій не містить питань, визначених як невідкладні, емітент (у разі якщо особою, відповідальною за проведення зборів, є адміністратор) та власники облігацій можуть протягом п’яти робочих днів з дати надсилання особою, відповідальною за проведення зборів, повідомлення про проведення зборів власників облігацій направити через </w:t>
            </w:r>
            <w:r w:rsidRPr="00286216">
              <w:rPr>
                <w:color w:val="000000" w:themeColor="text1"/>
              </w:rPr>
              <w:lastRenderedPageBreak/>
              <w:t>депозитарну систему України особі, відповідальній за проведення зборів:</w:t>
            </w:r>
          </w:p>
          <w:p w14:paraId="390D7086" w14:textId="77777777" w:rsidR="009D68B8" w:rsidRPr="00286216" w:rsidRDefault="009D68B8" w:rsidP="009D68B8">
            <w:pPr>
              <w:pStyle w:val="StyleZakonu"/>
              <w:rPr>
                <w:color w:val="000000" w:themeColor="text1"/>
              </w:rPr>
            </w:pPr>
            <w:r w:rsidRPr="00286216">
              <w:rPr>
                <w:color w:val="000000" w:themeColor="text1"/>
              </w:rPr>
              <w:t>1) свої пропозиції щодо розгляду зборами власників облігацій додаткових питань порядку денного та проектів рішень з цих питань;</w:t>
            </w:r>
          </w:p>
          <w:p w14:paraId="53A29F31" w14:textId="77777777" w:rsidR="009D68B8" w:rsidRPr="00286216" w:rsidRDefault="009D68B8" w:rsidP="009D68B8">
            <w:pPr>
              <w:pStyle w:val="StyleZakonu"/>
              <w:rPr>
                <w:color w:val="000000" w:themeColor="text1"/>
              </w:rPr>
            </w:pPr>
            <w:r w:rsidRPr="00286216">
              <w:rPr>
                <w:color w:val="000000" w:themeColor="text1"/>
              </w:rPr>
              <w:t>2) документи та/або інформацію щодо питань порядку денного зборів, які вони пропонують направити усім власникам облігацій.</w:t>
            </w:r>
          </w:p>
          <w:p w14:paraId="20C204D4" w14:textId="77777777" w:rsidR="009D68B8" w:rsidRPr="00286216" w:rsidRDefault="009D68B8" w:rsidP="009D68B8">
            <w:pPr>
              <w:pStyle w:val="StyleZakonu"/>
              <w:rPr>
                <w:color w:val="000000" w:themeColor="text1"/>
              </w:rPr>
            </w:pPr>
            <w:r w:rsidRPr="00286216">
              <w:rPr>
                <w:color w:val="000000" w:themeColor="text1"/>
              </w:rPr>
              <w:t>Кількість пропозицій та/або документів та/або інформації, які можуть надсилати власники облігацій, емітент та адміністратор протягом строку, встановленого абзацом першим цієї частини, є необмеженою. У разі, якщо проект порядку денного містить питання, що визначені як невідкладні, пропозиції до порядку денного зборів власників облігацій не приймаються, а голосування проводиться щодо питань порядку денного, надісланого разом із повідомленням про проведення зборів власників облігацій.</w:t>
            </w:r>
          </w:p>
          <w:p w14:paraId="4E3FED51" w14:textId="77777777" w:rsidR="009D68B8" w:rsidRPr="00286216" w:rsidRDefault="009D68B8" w:rsidP="009D68B8">
            <w:pPr>
              <w:pStyle w:val="StyleZakonu"/>
              <w:rPr>
                <w:color w:val="000000" w:themeColor="text1"/>
              </w:rPr>
            </w:pPr>
            <w:r w:rsidRPr="00286216">
              <w:rPr>
                <w:color w:val="000000" w:themeColor="text1"/>
              </w:rPr>
              <w:t>Питання, пропозиції щодо включення яких до порядку денного надійшли від емітента, а також від власників облігацій, які володіють облігаціями, сукупна номінальна вартість яких перевищує 5 відсотків загальної номінальної вартості непогашених облігацій відповідного випуску облігацій, невідкладно включаються особою, відповідальною за проведення зборів, до порядку денного зборів. Питання, пропозиції щодо включення яких до порядку денного надійшли від інших осіб, включаються до порядку денного за рішенням особи, відповідальної за проведення зборів.</w:t>
            </w:r>
          </w:p>
          <w:p w14:paraId="05800E07" w14:textId="77777777" w:rsidR="009D68B8" w:rsidRPr="00286216" w:rsidRDefault="009D68B8" w:rsidP="009D68B8">
            <w:pPr>
              <w:pStyle w:val="StyleZakonu"/>
              <w:rPr>
                <w:color w:val="000000" w:themeColor="text1"/>
              </w:rPr>
            </w:pPr>
            <w:r w:rsidRPr="00286216">
              <w:rPr>
                <w:color w:val="000000" w:themeColor="text1"/>
              </w:rPr>
              <w:t>Мотивоване рішення про відмову у включенні пропозиції до проекту порядку денного надсилається особою, відповідальною за проведення зборів, особі, яка направила пропозиції до порядку денного, через депозитарну систему України протягом трьох днів з моменту його прийняття.</w:t>
            </w:r>
          </w:p>
          <w:p w14:paraId="1CA6CE9A" w14:textId="77777777" w:rsidR="009D68B8" w:rsidRPr="00286216" w:rsidRDefault="009D68B8" w:rsidP="009D68B8">
            <w:pPr>
              <w:pStyle w:val="StyleZakonu"/>
              <w:rPr>
                <w:color w:val="000000" w:themeColor="text1"/>
              </w:rPr>
            </w:pPr>
            <w:r w:rsidRPr="00286216">
              <w:rPr>
                <w:color w:val="000000" w:themeColor="text1"/>
              </w:rPr>
              <w:t xml:space="preserve">9. У разі включення нових питань до порядку денного зборів у порядку, встановленому частиною восьмою цієї статті, особа, відповідальна за проведення зборів, зобов’язана протягом двох робочих днів після закінчення строку, передбаченого абзацом першим частини восьмої цієї статті, вчинити всі необхідні дії для направлення через депозитарну </w:t>
            </w:r>
            <w:r w:rsidRPr="00286216">
              <w:rPr>
                <w:color w:val="000000" w:themeColor="text1"/>
              </w:rPr>
              <w:lastRenderedPageBreak/>
              <w:t>систему України усім власникам облігацій відповідного випуску, а також емітенту та адміністратору (якщо вони не є особами, відповідальними за проведення зборів) такої інформації:</w:t>
            </w:r>
          </w:p>
          <w:p w14:paraId="4650BC4B" w14:textId="77777777" w:rsidR="009D68B8" w:rsidRPr="00286216" w:rsidRDefault="009D68B8" w:rsidP="009D68B8">
            <w:pPr>
              <w:pStyle w:val="StyleZakonu"/>
              <w:rPr>
                <w:color w:val="000000" w:themeColor="text1"/>
              </w:rPr>
            </w:pPr>
            <w:r w:rsidRPr="00286216">
              <w:rPr>
                <w:color w:val="000000" w:themeColor="text1"/>
              </w:rPr>
              <w:t>1) остаточний порядок денний зборів власників облігацій, сформований нею згідно з вимогами цієї статті, із зазначенням про наявність чи відсутність взаємозв’язку між питаннями порядку денного;</w:t>
            </w:r>
          </w:p>
          <w:p w14:paraId="225454A0" w14:textId="77777777" w:rsidR="009D68B8" w:rsidRPr="00286216" w:rsidRDefault="009D68B8" w:rsidP="009D68B8">
            <w:pPr>
              <w:pStyle w:val="StyleZakonu"/>
              <w:rPr>
                <w:color w:val="000000" w:themeColor="text1"/>
              </w:rPr>
            </w:pPr>
            <w:r w:rsidRPr="00286216">
              <w:rPr>
                <w:color w:val="000000" w:themeColor="text1"/>
              </w:rPr>
              <w:t>2) документи та/або інформацію, необхідні для розгляду питань порядку денного, у тому числі ті, що надійшли від емітента, власників облігацій, адміністратора, суду, інших осіб.</w:t>
            </w:r>
          </w:p>
          <w:p w14:paraId="183F4DA0" w14:textId="77777777" w:rsidR="009D68B8" w:rsidRPr="00286216" w:rsidRDefault="009D68B8" w:rsidP="009D68B8">
            <w:pPr>
              <w:pStyle w:val="StyleZakonu"/>
              <w:rPr>
                <w:color w:val="000000" w:themeColor="text1"/>
              </w:rPr>
            </w:pPr>
            <w:r w:rsidRPr="00286216">
              <w:rPr>
                <w:color w:val="000000" w:themeColor="text1"/>
              </w:rPr>
              <w:t xml:space="preserve">10. Якщо голосування не відбулося через встановлену за підсумками реєстрації неправомочність зборів приймати рішення щодо питань поряду денного зборів власників облігацій та якщо особою, відповідальною за проведення зборів, прийнято рішення про необхідність проведення повторних зборів, така особа зобов’язана не пізніше наступного робочого дня вчинити всі необхідні дії для направлення через депозитарну систему України власникам облігацій відповідного випуску (а також емітенту та/або адміністратору, якщо вони не є особою, відповідальною за проведення зборів) повідомлення про проведення повторних зборів власників облігацій з тих самих питань порядку денного відповідно до вимог цього Закону. </w:t>
            </w:r>
          </w:p>
          <w:p w14:paraId="4F91C240" w14:textId="77777777" w:rsidR="009D68B8" w:rsidRPr="00286216" w:rsidRDefault="009D68B8" w:rsidP="009D68B8">
            <w:pPr>
              <w:pStyle w:val="StyleZakonu"/>
              <w:rPr>
                <w:color w:val="000000" w:themeColor="text1"/>
              </w:rPr>
            </w:pPr>
            <w:r w:rsidRPr="00286216">
              <w:rPr>
                <w:color w:val="000000" w:themeColor="text1"/>
              </w:rPr>
              <w:t>Повідомлення про проведення повторних зборів направляється власникам облігацій, зазначеним у переліку власників облігацій, які мають право на участь у зборах, що був складений для проведення зборів власників облігацій, голосування на яких не відбулося. Таке повідомлення повинно містити нову дату голосування на зборах власників облігацій або період, протягом якого буде проводитися голосування, дату, станом на яку буде складено перелік власників облігацій, які мають право на участь у зборах, та час початку та час закінчення реєстрації власників облігацій (їх представників) для участі у зборах.</w:t>
            </w:r>
          </w:p>
          <w:p w14:paraId="25D5E3E6" w14:textId="77777777" w:rsidR="009D68B8" w:rsidRPr="00286216" w:rsidRDefault="009D68B8" w:rsidP="009D68B8">
            <w:pPr>
              <w:pStyle w:val="StyleZakonu"/>
              <w:rPr>
                <w:color w:val="000000" w:themeColor="text1"/>
              </w:rPr>
            </w:pPr>
            <w:r w:rsidRPr="00286216">
              <w:rPr>
                <w:color w:val="000000" w:themeColor="text1"/>
              </w:rPr>
              <w:t xml:space="preserve">Строк між датою розсилання повідомлення про проведення повторних зборів власників облігацій та датою проведення повторного голосування або </w:t>
            </w:r>
            <w:r w:rsidRPr="00286216">
              <w:rPr>
                <w:color w:val="000000" w:themeColor="text1"/>
              </w:rPr>
              <w:lastRenderedPageBreak/>
              <w:t>початку повторного голосування не може становити менше трьох та більше п’яти робочих днів.</w:t>
            </w:r>
          </w:p>
          <w:p w14:paraId="09DD0993" w14:textId="1994AF72" w:rsidR="009D68B8" w:rsidRPr="00286216" w:rsidRDefault="009D68B8" w:rsidP="009D68B8">
            <w:pPr>
              <w:pStyle w:val="StyleZakonu"/>
              <w:spacing w:after="0"/>
              <w:rPr>
                <w:color w:val="000000" w:themeColor="text1"/>
              </w:rPr>
            </w:pPr>
            <w:r w:rsidRPr="00286216">
              <w:rPr>
                <w:color w:val="000000" w:themeColor="text1"/>
              </w:rPr>
              <w:t>11. До завершення голосування на зборах власників облігацій відповідного випуску, а у випадку, передбаченому частиною десятою цієї статті, на повторних зборах власників облігацій, інші збори власників облігацій відповідного випуску не проводяться.</w:t>
            </w:r>
          </w:p>
        </w:tc>
      </w:tr>
      <w:tr w:rsidR="009D68B8" w:rsidRPr="00286216" w14:paraId="68FA50F0" w14:textId="77777777" w:rsidTr="00091AA5">
        <w:tc>
          <w:tcPr>
            <w:tcW w:w="576" w:type="dxa"/>
          </w:tcPr>
          <w:p w14:paraId="4196A38F" w14:textId="7724BA9E" w:rsidR="009D68B8" w:rsidRPr="00286216" w:rsidRDefault="009D68B8" w:rsidP="009D68B8">
            <w:pPr>
              <w:pStyle w:val="StyleWisnow"/>
              <w:rPr>
                <w:color w:val="000000" w:themeColor="text1"/>
              </w:rPr>
            </w:pPr>
            <w:bookmarkStart w:id="1509" w:name="n1761" w:colFirst="0" w:colLast="0"/>
            <w:bookmarkEnd w:id="1508"/>
            <w:r w:rsidRPr="00286216">
              <w:rPr>
                <w:color w:val="000000" w:themeColor="text1"/>
              </w:rPr>
              <w:lastRenderedPageBreak/>
              <w:t>1761.</w:t>
            </w:r>
          </w:p>
        </w:tc>
        <w:tc>
          <w:tcPr>
            <w:tcW w:w="4818" w:type="dxa"/>
          </w:tcPr>
          <w:p w14:paraId="4B0D872E" w14:textId="77777777" w:rsidR="009D68B8" w:rsidRPr="00286216" w:rsidRDefault="009D68B8" w:rsidP="009D68B8">
            <w:pPr>
              <w:pStyle w:val="StyleZakonu"/>
              <w:rPr>
                <w:color w:val="000000" w:themeColor="text1"/>
              </w:rPr>
            </w:pPr>
            <w:r w:rsidRPr="00286216">
              <w:rPr>
                <w:color w:val="000000" w:themeColor="text1"/>
              </w:rPr>
              <w:t>2. Особа, відповідальна за проведення зборів, або власники облігацій, які ініціюють проведення зборів, зобов’язані укласти з Центральним депозитарієм цінних паперів або Національним банком України договір про надання послуг щодо забезпечення проведення зборів власників облігацій.</w:t>
            </w:r>
          </w:p>
        </w:tc>
        <w:tc>
          <w:tcPr>
            <w:tcW w:w="3686" w:type="dxa"/>
          </w:tcPr>
          <w:p w14:paraId="6107CE92" w14:textId="77777777" w:rsidR="009D68B8" w:rsidRPr="00286216" w:rsidRDefault="009D68B8" w:rsidP="009D68B8">
            <w:pPr>
              <w:pStyle w:val="StyleProp"/>
              <w:rPr>
                <w:color w:val="000000" w:themeColor="text1"/>
                <w:szCs w:val="18"/>
              </w:rPr>
            </w:pPr>
          </w:p>
        </w:tc>
        <w:tc>
          <w:tcPr>
            <w:tcW w:w="1987" w:type="dxa"/>
          </w:tcPr>
          <w:p w14:paraId="038C8F3C" w14:textId="77777777" w:rsidR="009D68B8" w:rsidRPr="00286216" w:rsidRDefault="009D68B8" w:rsidP="009D68B8">
            <w:pPr>
              <w:pStyle w:val="StyleWisnow"/>
              <w:rPr>
                <w:color w:val="000000" w:themeColor="text1"/>
              </w:rPr>
            </w:pPr>
          </w:p>
        </w:tc>
        <w:tc>
          <w:tcPr>
            <w:tcW w:w="4818" w:type="dxa"/>
          </w:tcPr>
          <w:p w14:paraId="425F9C41" w14:textId="77777777" w:rsidR="009D68B8" w:rsidRPr="00286216" w:rsidRDefault="009D68B8" w:rsidP="009D68B8">
            <w:pPr>
              <w:pStyle w:val="StyleZakonu"/>
              <w:rPr>
                <w:color w:val="000000" w:themeColor="text1"/>
              </w:rPr>
            </w:pPr>
          </w:p>
        </w:tc>
      </w:tr>
      <w:tr w:rsidR="00826C07" w:rsidRPr="00286216" w14:paraId="48ECFA60" w14:textId="77777777" w:rsidTr="00091AA5">
        <w:tc>
          <w:tcPr>
            <w:tcW w:w="576" w:type="dxa"/>
          </w:tcPr>
          <w:p w14:paraId="65FFF388" w14:textId="77777777" w:rsidR="00826C07" w:rsidRPr="00286216" w:rsidRDefault="00826C07" w:rsidP="00826C07">
            <w:pPr>
              <w:pStyle w:val="StyleWisnow"/>
              <w:rPr>
                <w:color w:val="000000" w:themeColor="text1"/>
              </w:rPr>
            </w:pPr>
            <w:bookmarkStart w:id="1510" w:name="n1762" w:colFirst="0" w:colLast="0"/>
            <w:bookmarkEnd w:id="1509"/>
            <w:r w:rsidRPr="00286216">
              <w:rPr>
                <w:color w:val="000000" w:themeColor="text1"/>
              </w:rPr>
              <w:t>1762.</w:t>
            </w:r>
          </w:p>
        </w:tc>
        <w:tc>
          <w:tcPr>
            <w:tcW w:w="4818" w:type="dxa"/>
          </w:tcPr>
          <w:p w14:paraId="272E9B46" w14:textId="77777777" w:rsidR="00826C07" w:rsidRPr="00286216" w:rsidRDefault="00826C07" w:rsidP="00826C07">
            <w:pPr>
              <w:pStyle w:val="StyleZakonu"/>
              <w:rPr>
                <w:color w:val="000000" w:themeColor="text1"/>
              </w:rPr>
            </w:pPr>
            <w:r w:rsidRPr="00286216">
              <w:rPr>
                <w:color w:val="000000" w:themeColor="text1"/>
              </w:rPr>
              <w:t>3. У разі якщо проведення зборів власників облігацій ініціює власник (власники) облігацій, його (їх) вимога повинна містити щонайменше:</w:t>
            </w:r>
          </w:p>
        </w:tc>
        <w:tc>
          <w:tcPr>
            <w:tcW w:w="3686" w:type="dxa"/>
          </w:tcPr>
          <w:p w14:paraId="4207915D" w14:textId="77777777" w:rsidR="00826C07" w:rsidRPr="00286216" w:rsidRDefault="00826C07" w:rsidP="00826C07">
            <w:pPr>
              <w:pStyle w:val="StyleProp"/>
              <w:rPr>
                <w:color w:val="000000" w:themeColor="text1"/>
                <w:szCs w:val="18"/>
              </w:rPr>
            </w:pPr>
          </w:p>
        </w:tc>
        <w:tc>
          <w:tcPr>
            <w:tcW w:w="1987" w:type="dxa"/>
          </w:tcPr>
          <w:p w14:paraId="37607AD2" w14:textId="77777777" w:rsidR="00826C07" w:rsidRPr="00286216" w:rsidRDefault="00826C07" w:rsidP="00826C07">
            <w:pPr>
              <w:pStyle w:val="StyleWisnow"/>
              <w:rPr>
                <w:color w:val="000000" w:themeColor="text1"/>
              </w:rPr>
            </w:pPr>
          </w:p>
        </w:tc>
        <w:tc>
          <w:tcPr>
            <w:tcW w:w="4818" w:type="dxa"/>
          </w:tcPr>
          <w:p w14:paraId="0B54A28F" w14:textId="77777777" w:rsidR="00826C07" w:rsidRPr="00286216" w:rsidRDefault="00826C07" w:rsidP="00826C07">
            <w:pPr>
              <w:pStyle w:val="StyleZakonu"/>
              <w:rPr>
                <w:color w:val="000000" w:themeColor="text1"/>
              </w:rPr>
            </w:pPr>
          </w:p>
        </w:tc>
      </w:tr>
      <w:tr w:rsidR="00826C07" w:rsidRPr="00286216" w14:paraId="17BEA3BC" w14:textId="77777777" w:rsidTr="00091AA5">
        <w:tc>
          <w:tcPr>
            <w:tcW w:w="576" w:type="dxa"/>
          </w:tcPr>
          <w:p w14:paraId="464E1814" w14:textId="77777777" w:rsidR="00826C07" w:rsidRPr="00286216" w:rsidRDefault="00826C07" w:rsidP="00826C07">
            <w:pPr>
              <w:pStyle w:val="StyleWisnow"/>
              <w:rPr>
                <w:color w:val="000000" w:themeColor="text1"/>
              </w:rPr>
            </w:pPr>
            <w:bookmarkStart w:id="1511" w:name="n1763" w:colFirst="0" w:colLast="0"/>
            <w:bookmarkEnd w:id="1510"/>
            <w:r w:rsidRPr="00286216">
              <w:rPr>
                <w:color w:val="000000" w:themeColor="text1"/>
              </w:rPr>
              <w:t>1763.</w:t>
            </w:r>
          </w:p>
        </w:tc>
        <w:tc>
          <w:tcPr>
            <w:tcW w:w="4818" w:type="dxa"/>
          </w:tcPr>
          <w:p w14:paraId="3CFEA3FD" w14:textId="77777777" w:rsidR="00826C07" w:rsidRPr="00286216" w:rsidRDefault="00826C07" w:rsidP="00E71C29">
            <w:pPr>
              <w:pStyle w:val="StyleZakonu"/>
              <w:spacing w:after="40" w:line="214" w:lineRule="exact"/>
              <w:rPr>
                <w:color w:val="000000" w:themeColor="text1"/>
              </w:rPr>
            </w:pPr>
            <w:r w:rsidRPr="00286216">
              <w:rPr>
                <w:color w:val="000000" w:themeColor="text1"/>
              </w:rPr>
              <w:t>1) ім’я (найменування) особи, місце проживання (місцезнаходження) власника (власників) облігацій, який (які) вимагають проведення зборів власників облігацій;</w:t>
            </w:r>
          </w:p>
        </w:tc>
        <w:tc>
          <w:tcPr>
            <w:tcW w:w="3686" w:type="dxa"/>
          </w:tcPr>
          <w:p w14:paraId="0FE5E9E5" w14:textId="77777777" w:rsidR="00826C07" w:rsidRPr="00286216" w:rsidRDefault="00826C07" w:rsidP="00826C07">
            <w:pPr>
              <w:pStyle w:val="StyleProp"/>
              <w:rPr>
                <w:color w:val="000000" w:themeColor="text1"/>
                <w:szCs w:val="18"/>
              </w:rPr>
            </w:pPr>
          </w:p>
        </w:tc>
        <w:tc>
          <w:tcPr>
            <w:tcW w:w="1987" w:type="dxa"/>
          </w:tcPr>
          <w:p w14:paraId="024AA686" w14:textId="77777777" w:rsidR="00826C07" w:rsidRPr="00286216" w:rsidRDefault="00826C07" w:rsidP="00826C07">
            <w:pPr>
              <w:pStyle w:val="StyleWisnow"/>
              <w:rPr>
                <w:color w:val="000000" w:themeColor="text1"/>
              </w:rPr>
            </w:pPr>
          </w:p>
        </w:tc>
        <w:tc>
          <w:tcPr>
            <w:tcW w:w="4818" w:type="dxa"/>
          </w:tcPr>
          <w:p w14:paraId="04E31C3B" w14:textId="77777777" w:rsidR="00826C07" w:rsidRPr="00286216" w:rsidRDefault="00826C07" w:rsidP="00826C07">
            <w:pPr>
              <w:pStyle w:val="StyleZakonu"/>
              <w:rPr>
                <w:color w:val="000000" w:themeColor="text1"/>
              </w:rPr>
            </w:pPr>
          </w:p>
        </w:tc>
      </w:tr>
      <w:tr w:rsidR="00826C07" w:rsidRPr="00286216" w14:paraId="1AC80C3B" w14:textId="77777777" w:rsidTr="00091AA5">
        <w:tc>
          <w:tcPr>
            <w:tcW w:w="576" w:type="dxa"/>
          </w:tcPr>
          <w:p w14:paraId="079C126C" w14:textId="77777777" w:rsidR="00826C07" w:rsidRPr="00286216" w:rsidRDefault="00826C07" w:rsidP="00826C07">
            <w:pPr>
              <w:pStyle w:val="StyleWisnow"/>
              <w:rPr>
                <w:color w:val="000000" w:themeColor="text1"/>
              </w:rPr>
            </w:pPr>
            <w:bookmarkStart w:id="1512" w:name="n1764" w:colFirst="0" w:colLast="0"/>
            <w:bookmarkEnd w:id="1511"/>
            <w:r w:rsidRPr="00286216">
              <w:rPr>
                <w:color w:val="000000" w:themeColor="text1"/>
              </w:rPr>
              <w:t>1764.</w:t>
            </w:r>
          </w:p>
        </w:tc>
        <w:tc>
          <w:tcPr>
            <w:tcW w:w="4818" w:type="dxa"/>
          </w:tcPr>
          <w:p w14:paraId="097B6722" w14:textId="77777777" w:rsidR="00826C07" w:rsidRPr="00286216" w:rsidRDefault="00826C07" w:rsidP="00E71C29">
            <w:pPr>
              <w:pStyle w:val="StyleZakonu"/>
              <w:spacing w:after="40" w:line="214" w:lineRule="exact"/>
              <w:rPr>
                <w:color w:val="000000" w:themeColor="text1"/>
              </w:rPr>
            </w:pPr>
            <w:r w:rsidRPr="00286216">
              <w:rPr>
                <w:color w:val="000000" w:themeColor="text1"/>
              </w:rPr>
              <w:t>2) міжнародний ідентифікаційний номер облігацій відповідного випуску;</w:t>
            </w:r>
          </w:p>
        </w:tc>
        <w:tc>
          <w:tcPr>
            <w:tcW w:w="3686" w:type="dxa"/>
          </w:tcPr>
          <w:p w14:paraId="5E302D6C" w14:textId="77777777" w:rsidR="00826C07" w:rsidRPr="00286216" w:rsidRDefault="00826C07" w:rsidP="00826C07">
            <w:pPr>
              <w:pStyle w:val="StyleProp"/>
              <w:rPr>
                <w:color w:val="000000" w:themeColor="text1"/>
                <w:szCs w:val="18"/>
              </w:rPr>
            </w:pPr>
          </w:p>
        </w:tc>
        <w:tc>
          <w:tcPr>
            <w:tcW w:w="1987" w:type="dxa"/>
          </w:tcPr>
          <w:p w14:paraId="794B74EA" w14:textId="77777777" w:rsidR="00826C07" w:rsidRPr="00286216" w:rsidRDefault="00826C07" w:rsidP="00826C07">
            <w:pPr>
              <w:pStyle w:val="StyleWisnow"/>
              <w:rPr>
                <w:color w:val="000000" w:themeColor="text1"/>
              </w:rPr>
            </w:pPr>
          </w:p>
        </w:tc>
        <w:tc>
          <w:tcPr>
            <w:tcW w:w="4818" w:type="dxa"/>
          </w:tcPr>
          <w:p w14:paraId="5ED13416" w14:textId="77777777" w:rsidR="00826C07" w:rsidRPr="00286216" w:rsidRDefault="00826C07" w:rsidP="00826C07">
            <w:pPr>
              <w:pStyle w:val="StyleZakonu"/>
              <w:rPr>
                <w:color w:val="000000" w:themeColor="text1"/>
              </w:rPr>
            </w:pPr>
          </w:p>
        </w:tc>
      </w:tr>
      <w:tr w:rsidR="00826C07" w:rsidRPr="00286216" w14:paraId="0B9A1324" w14:textId="77777777" w:rsidTr="00091AA5">
        <w:tc>
          <w:tcPr>
            <w:tcW w:w="576" w:type="dxa"/>
          </w:tcPr>
          <w:p w14:paraId="0789FDEB" w14:textId="77777777" w:rsidR="00826C07" w:rsidRPr="00286216" w:rsidRDefault="00826C07" w:rsidP="00826C07">
            <w:pPr>
              <w:pStyle w:val="StyleWisnow"/>
              <w:rPr>
                <w:color w:val="000000" w:themeColor="text1"/>
              </w:rPr>
            </w:pPr>
            <w:bookmarkStart w:id="1513" w:name="n1765" w:colFirst="0" w:colLast="0"/>
            <w:bookmarkEnd w:id="1512"/>
            <w:r w:rsidRPr="00286216">
              <w:rPr>
                <w:color w:val="000000" w:themeColor="text1"/>
              </w:rPr>
              <w:t>1765.</w:t>
            </w:r>
          </w:p>
        </w:tc>
        <w:tc>
          <w:tcPr>
            <w:tcW w:w="4818" w:type="dxa"/>
          </w:tcPr>
          <w:p w14:paraId="53DEC29D" w14:textId="77777777" w:rsidR="00826C07" w:rsidRPr="00286216" w:rsidRDefault="00826C07" w:rsidP="00E71C29">
            <w:pPr>
              <w:pStyle w:val="StyleZakonu"/>
              <w:spacing w:after="40" w:line="214" w:lineRule="exact"/>
              <w:rPr>
                <w:color w:val="000000" w:themeColor="text1"/>
              </w:rPr>
            </w:pPr>
            <w:r w:rsidRPr="00286216">
              <w:rPr>
                <w:color w:val="000000" w:themeColor="text1"/>
              </w:rPr>
              <w:t>3) перелік питань порядку денного зборів власників облігацій;</w:t>
            </w:r>
          </w:p>
        </w:tc>
        <w:tc>
          <w:tcPr>
            <w:tcW w:w="3686" w:type="dxa"/>
          </w:tcPr>
          <w:p w14:paraId="23DCDB40" w14:textId="77777777" w:rsidR="00826C07" w:rsidRPr="00286216" w:rsidRDefault="00826C07" w:rsidP="00826C07">
            <w:pPr>
              <w:pStyle w:val="StyleProp"/>
              <w:rPr>
                <w:color w:val="000000" w:themeColor="text1"/>
                <w:szCs w:val="18"/>
              </w:rPr>
            </w:pPr>
          </w:p>
        </w:tc>
        <w:tc>
          <w:tcPr>
            <w:tcW w:w="1987" w:type="dxa"/>
          </w:tcPr>
          <w:p w14:paraId="6AD3F466" w14:textId="77777777" w:rsidR="00826C07" w:rsidRPr="00286216" w:rsidRDefault="00826C07" w:rsidP="00826C07">
            <w:pPr>
              <w:pStyle w:val="StyleWisnow"/>
              <w:rPr>
                <w:color w:val="000000" w:themeColor="text1"/>
              </w:rPr>
            </w:pPr>
          </w:p>
        </w:tc>
        <w:tc>
          <w:tcPr>
            <w:tcW w:w="4818" w:type="dxa"/>
          </w:tcPr>
          <w:p w14:paraId="6053D833" w14:textId="77777777" w:rsidR="00826C07" w:rsidRPr="00286216" w:rsidRDefault="00826C07" w:rsidP="00826C07">
            <w:pPr>
              <w:pStyle w:val="StyleZakonu"/>
              <w:rPr>
                <w:color w:val="000000" w:themeColor="text1"/>
              </w:rPr>
            </w:pPr>
          </w:p>
        </w:tc>
      </w:tr>
      <w:tr w:rsidR="00826C07" w:rsidRPr="00286216" w14:paraId="6BFEB2BC" w14:textId="77777777" w:rsidTr="00091AA5">
        <w:tc>
          <w:tcPr>
            <w:tcW w:w="576" w:type="dxa"/>
          </w:tcPr>
          <w:p w14:paraId="30DD1429" w14:textId="77777777" w:rsidR="00826C07" w:rsidRPr="00286216" w:rsidRDefault="00826C07" w:rsidP="00826C07">
            <w:pPr>
              <w:pStyle w:val="StyleWisnow"/>
              <w:rPr>
                <w:color w:val="000000" w:themeColor="text1"/>
              </w:rPr>
            </w:pPr>
            <w:bookmarkStart w:id="1514" w:name="n1766" w:colFirst="0" w:colLast="0"/>
            <w:bookmarkEnd w:id="1513"/>
            <w:r w:rsidRPr="00286216">
              <w:rPr>
                <w:color w:val="000000" w:themeColor="text1"/>
              </w:rPr>
              <w:t>1766.</w:t>
            </w:r>
          </w:p>
        </w:tc>
        <w:tc>
          <w:tcPr>
            <w:tcW w:w="4818" w:type="dxa"/>
          </w:tcPr>
          <w:p w14:paraId="2C5B38B2" w14:textId="77777777" w:rsidR="00826C07" w:rsidRPr="00286216" w:rsidRDefault="00826C07" w:rsidP="00E71C29">
            <w:pPr>
              <w:pStyle w:val="StyleZakonu"/>
              <w:spacing w:after="40" w:line="214" w:lineRule="exact"/>
              <w:rPr>
                <w:color w:val="000000" w:themeColor="text1"/>
              </w:rPr>
            </w:pPr>
            <w:r w:rsidRPr="00286216">
              <w:rPr>
                <w:color w:val="000000" w:themeColor="text1"/>
              </w:rPr>
              <w:t>4) обґрунтування причин доцільності проведення засідання власників облігацій (у разі необхідності);</w:t>
            </w:r>
          </w:p>
        </w:tc>
        <w:tc>
          <w:tcPr>
            <w:tcW w:w="3686" w:type="dxa"/>
          </w:tcPr>
          <w:p w14:paraId="429AC94C" w14:textId="77777777" w:rsidR="00826C07" w:rsidRPr="00286216" w:rsidRDefault="00826C07" w:rsidP="00826C07">
            <w:pPr>
              <w:pStyle w:val="StyleProp"/>
              <w:rPr>
                <w:color w:val="000000" w:themeColor="text1"/>
                <w:szCs w:val="18"/>
              </w:rPr>
            </w:pPr>
          </w:p>
        </w:tc>
        <w:tc>
          <w:tcPr>
            <w:tcW w:w="1987" w:type="dxa"/>
          </w:tcPr>
          <w:p w14:paraId="47295122" w14:textId="77777777" w:rsidR="00826C07" w:rsidRPr="00286216" w:rsidRDefault="00826C07" w:rsidP="00826C07">
            <w:pPr>
              <w:pStyle w:val="StyleWisnow"/>
              <w:rPr>
                <w:color w:val="000000" w:themeColor="text1"/>
              </w:rPr>
            </w:pPr>
          </w:p>
        </w:tc>
        <w:tc>
          <w:tcPr>
            <w:tcW w:w="4818" w:type="dxa"/>
          </w:tcPr>
          <w:p w14:paraId="171A6E1B" w14:textId="77777777" w:rsidR="00826C07" w:rsidRPr="00286216" w:rsidRDefault="00826C07" w:rsidP="00826C07">
            <w:pPr>
              <w:pStyle w:val="StyleZakonu"/>
              <w:rPr>
                <w:color w:val="000000" w:themeColor="text1"/>
              </w:rPr>
            </w:pPr>
          </w:p>
        </w:tc>
      </w:tr>
      <w:tr w:rsidR="00826C07" w:rsidRPr="00286216" w14:paraId="2D298720" w14:textId="77777777" w:rsidTr="00091AA5">
        <w:tc>
          <w:tcPr>
            <w:tcW w:w="576" w:type="dxa"/>
          </w:tcPr>
          <w:p w14:paraId="251BC797" w14:textId="77777777" w:rsidR="00826C07" w:rsidRPr="00286216" w:rsidRDefault="00826C07" w:rsidP="00826C07">
            <w:pPr>
              <w:pStyle w:val="StyleWisnow"/>
              <w:rPr>
                <w:color w:val="000000" w:themeColor="text1"/>
              </w:rPr>
            </w:pPr>
            <w:bookmarkStart w:id="1515" w:name="n1767" w:colFirst="0" w:colLast="0"/>
            <w:bookmarkEnd w:id="1514"/>
            <w:r w:rsidRPr="00286216">
              <w:rPr>
                <w:color w:val="000000" w:themeColor="text1"/>
              </w:rPr>
              <w:t>1767.</w:t>
            </w:r>
          </w:p>
        </w:tc>
        <w:tc>
          <w:tcPr>
            <w:tcW w:w="4818" w:type="dxa"/>
          </w:tcPr>
          <w:p w14:paraId="35C4B7E9" w14:textId="77777777" w:rsidR="00826C07" w:rsidRPr="00286216" w:rsidRDefault="00826C07" w:rsidP="00E71C29">
            <w:pPr>
              <w:pStyle w:val="StyleZakonu"/>
              <w:spacing w:after="40" w:line="214" w:lineRule="exact"/>
              <w:rPr>
                <w:color w:val="000000" w:themeColor="text1"/>
              </w:rPr>
            </w:pPr>
            <w:r w:rsidRPr="00286216">
              <w:rPr>
                <w:color w:val="000000" w:themeColor="text1"/>
              </w:rPr>
              <w:t>5) підпис власника (власників) облігацій або його представника та, у випадку підписання представником, також зазначається посада особи, що підписує вимогу (якщо представником є юридична особа), підстава повноважень.</w:t>
            </w:r>
          </w:p>
        </w:tc>
        <w:tc>
          <w:tcPr>
            <w:tcW w:w="3686" w:type="dxa"/>
          </w:tcPr>
          <w:p w14:paraId="56D02721" w14:textId="77777777" w:rsidR="00826C07" w:rsidRPr="00286216" w:rsidRDefault="00826C07" w:rsidP="00826C07">
            <w:pPr>
              <w:pStyle w:val="StyleProp"/>
              <w:rPr>
                <w:color w:val="000000" w:themeColor="text1"/>
                <w:szCs w:val="18"/>
              </w:rPr>
            </w:pPr>
          </w:p>
        </w:tc>
        <w:tc>
          <w:tcPr>
            <w:tcW w:w="1987" w:type="dxa"/>
          </w:tcPr>
          <w:p w14:paraId="0A7A13C1" w14:textId="77777777" w:rsidR="00826C07" w:rsidRPr="00286216" w:rsidRDefault="00826C07" w:rsidP="00826C07">
            <w:pPr>
              <w:pStyle w:val="StyleWisnow"/>
              <w:rPr>
                <w:color w:val="000000" w:themeColor="text1"/>
              </w:rPr>
            </w:pPr>
          </w:p>
        </w:tc>
        <w:tc>
          <w:tcPr>
            <w:tcW w:w="4818" w:type="dxa"/>
          </w:tcPr>
          <w:p w14:paraId="085482C5" w14:textId="77777777" w:rsidR="00826C07" w:rsidRPr="00286216" w:rsidRDefault="00826C07" w:rsidP="00826C07">
            <w:pPr>
              <w:pStyle w:val="StyleZakonu"/>
              <w:rPr>
                <w:color w:val="000000" w:themeColor="text1"/>
              </w:rPr>
            </w:pPr>
          </w:p>
        </w:tc>
      </w:tr>
      <w:tr w:rsidR="00826C07" w:rsidRPr="00286216" w14:paraId="24C85DB7" w14:textId="77777777" w:rsidTr="00091AA5">
        <w:tc>
          <w:tcPr>
            <w:tcW w:w="576" w:type="dxa"/>
          </w:tcPr>
          <w:p w14:paraId="2D319C03" w14:textId="77777777" w:rsidR="00826C07" w:rsidRPr="00286216" w:rsidRDefault="00826C07" w:rsidP="00826C07">
            <w:pPr>
              <w:pStyle w:val="StyleWisnow"/>
              <w:rPr>
                <w:color w:val="000000" w:themeColor="text1"/>
              </w:rPr>
            </w:pPr>
            <w:bookmarkStart w:id="1516" w:name="n1768" w:colFirst="0" w:colLast="0"/>
            <w:bookmarkEnd w:id="1515"/>
            <w:r w:rsidRPr="00286216">
              <w:rPr>
                <w:color w:val="000000" w:themeColor="text1"/>
              </w:rPr>
              <w:t>1768.</w:t>
            </w:r>
          </w:p>
        </w:tc>
        <w:tc>
          <w:tcPr>
            <w:tcW w:w="4818" w:type="dxa"/>
          </w:tcPr>
          <w:p w14:paraId="633ADA35" w14:textId="77777777" w:rsidR="00826C07" w:rsidRPr="00286216" w:rsidRDefault="00826C07" w:rsidP="00E71C29">
            <w:pPr>
              <w:pStyle w:val="StyleZakonu"/>
              <w:spacing w:after="40" w:line="214" w:lineRule="exact"/>
              <w:rPr>
                <w:color w:val="000000" w:themeColor="text1"/>
              </w:rPr>
            </w:pPr>
            <w:r w:rsidRPr="00286216">
              <w:rPr>
                <w:color w:val="000000" w:themeColor="text1"/>
              </w:rPr>
              <w:t>До вимоги власника (власників) облігацій додається:</w:t>
            </w:r>
          </w:p>
        </w:tc>
        <w:tc>
          <w:tcPr>
            <w:tcW w:w="3686" w:type="dxa"/>
          </w:tcPr>
          <w:p w14:paraId="63D20928" w14:textId="77777777" w:rsidR="00826C07" w:rsidRPr="00286216" w:rsidRDefault="00826C07" w:rsidP="00826C07">
            <w:pPr>
              <w:pStyle w:val="StyleProp"/>
              <w:rPr>
                <w:color w:val="000000" w:themeColor="text1"/>
                <w:szCs w:val="18"/>
              </w:rPr>
            </w:pPr>
          </w:p>
        </w:tc>
        <w:tc>
          <w:tcPr>
            <w:tcW w:w="1987" w:type="dxa"/>
          </w:tcPr>
          <w:p w14:paraId="0BB61E93" w14:textId="77777777" w:rsidR="00826C07" w:rsidRPr="00286216" w:rsidRDefault="00826C07" w:rsidP="00826C07">
            <w:pPr>
              <w:pStyle w:val="StyleWisnow"/>
              <w:rPr>
                <w:color w:val="000000" w:themeColor="text1"/>
              </w:rPr>
            </w:pPr>
          </w:p>
        </w:tc>
        <w:tc>
          <w:tcPr>
            <w:tcW w:w="4818" w:type="dxa"/>
          </w:tcPr>
          <w:p w14:paraId="64BF951D" w14:textId="77777777" w:rsidR="00826C07" w:rsidRPr="00286216" w:rsidRDefault="00826C07" w:rsidP="00826C07">
            <w:pPr>
              <w:pStyle w:val="StyleZakonu"/>
              <w:rPr>
                <w:color w:val="000000" w:themeColor="text1"/>
              </w:rPr>
            </w:pPr>
          </w:p>
        </w:tc>
      </w:tr>
      <w:tr w:rsidR="00826C07" w:rsidRPr="00286216" w14:paraId="3130C1F0" w14:textId="77777777" w:rsidTr="00091AA5">
        <w:tc>
          <w:tcPr>
            <w:tcW w:w="576" w:type="dxa"/>
          </w:tcPr>
          <w:p w14:paraId="35C009B3" w14:textId="77777777" w:rsidR="00826C07" w:rsidRPr="00286216" w:rsidRDefault="00826C07" w:rsidP="00826C07">
            <w:pPr>
              <w:pStyle w:val="StyleWisnow"/>
              <w:rPr>
                <w:color w:val="000000" w:themeColor="text1"/>
              </w:rPr>
            </w:pPr>
            <w:bookmarkStart w:id="1517" w:name="n1769" w:colFirst="0" w:colLast="0"/>
            <w:bookmarkEnd w:id="1516"/>
            <w:r w:rsidRPr="00286216">
              <w:rPr>
                <w:color w:val="000000" w:themeColor="text1"/>
              </w:rPr>
              <w:t>1769.</w:t>
            </w:r>
          </w:p>
        </w:tc>
        <w:tc>
          <w:tcPr>
            <w:tcW w:w="4818" w:type="dxa"/>
          </w:tcPr>
          <w:p w14:paraId="2340F82A" w14:textId="77777777" w:rsidR="00826C07" w:rsidRPr="00286216" w:rsidRDefault="00826C07" w:rsidP="00E71C29">
            <w:pPr>
              <w:pStyle w:val="StyleZakonu"/>
              <w:spacing w:after="40" w:line="214" w:lineRule="exact"/>
              <w:rPr>
                <w:color w:val="000000" w:themeColor="text1"/>
              </w:rPr>
            </w:pPr>
            <w:r w:rsidRPr="00286216">
              <w:rPr>
                <w:color w:val="000000" w:themeColor="text1"/>
              </w:rPr>
              <w:t>1) виписка (виписки) з рахунку (рахунків) у цінних паперах, що підтверджує (підтверджують) наявність, станом не раніше попереднього робочого дня перед днем подання вимоги, права на облігації та прав за облігаціями відповідного випуску у кількості, на яку посилається власник (власники) облігацій для проведення зборів;</w:t>
            </w:r>
          </w:p>
        </w:tc>
        <w:tc>
          <w:tcPr>
            <w:tcW w:w="3686" w:type="dxa"/>
          </w:tcPr>
          <w:p w14:paraId="0E7D1876" w14:textId="77777777" w:rsidR="00826C07" w:rsidRPr="00286216" w:rsidRDefault="00826C07" w:rsidP="00826C07">
            <w:pPr>
              <w:pStyle w:val="StyleProp"/>
              <w:rPr>
                <w:color w:val="000000" w:themeColor="text1"/>
                <w:szCs w:val="18"/>
              </w:rPr>
            </w:pPr>
          </w:p>
        </w:tc>
        <w:tc>
          <w:tcPr>
            <w:tcW w:w="1987" w:type="dxa"/>
          </w:tcPr>
          <w:p w14:paraId="702018FE" w14:textId="77777777" w:rsidR="00826C07" w:rsidRPr="00286216" w:rsidRDefault="00826C07" w:rsidP="00826C07">
            <w:pPr>
              <w:pStyle w:val="StyleWisnow"/>
              <w:rPr>
                <w:color w:val="000000" w:themeColor="text1"/>
              </w:rPr>
            </w:pPr>
          </w:p>
        </w:tc>
        <w:tc>
          <w:tcPr>
            <w:tcW w:w="4818" w:type="dxa"/>
          </w:tcPr>
          <w:p w14:paraId="1A6BB5F9" w14:textId="77777777" w:rsidR="00826C07" w:rsidRPr="00286216" w:rsidRDefault="00826C07" w:rsidP="00826C07">
            <w:pPr>
              <w:pStyle w:val="StyleZakonu"/>
              <w:rPr>
                <w:color w:val="000000" w:themeColor="text1"/>
              </w:rPr>
            </w:pPr>
          </w:p>
        </w:tc>
      </w:tr>
      <w:tr w:rsidR="00826C07" w:rsidRPr="00286216" w14:paraId="22856D69" w14:textId="77777777" w:rsidTr="00091AA5">
        <w:tc>
          <w:tcPr>
            <w:tcW w:w="576" w:type="dxa"/>
          </w:tcPr>
          <w:p w14:paraId="368CDBAC" w14:textId="77777777" w:rsidR="00826C07" w:rsidRPr="00286216" w:rsidRDefault="00826C07" w:rsidP="00826C07">
            <w:pPr>
              <w:pStyle w:val="StyleWisnow"/>
              <w:rPr>
                <w:color w:val="000000" w:themeColor="text1"/>
              </w:rPr>
            </w:pPr>
            <w:bookmarkStart w:id="1518" w:name="n1770" w:colFirst="0" w:colLast="0"/>
            <w:bookmarkEnd w:id="1517"/>
            <w:r w:rsidRPr="00286216">
              <w:rPr>
                <w:color w:val="000000" w:themeColor="text1"/>
              </w:rPr>
              <w:t>1770.</w:t>
            </w:r>
          </w:p>
        </w:tc>
        <w:tc>
          <w:tcPr>
            <w:tcW w:w="4818" w:type="dxa"/>
          </w:tcPr>
          <w:p w14:paraId="54D413E6" w14:textId="77777777" w:rsidR="00826C07" w:rsidRPr="00286216" w:rsidRDefault="00826C07" w:rsidP="00E71C29">
            <w:pPr>
              <w:pStyle w:val="StyleZakonu"/>
              <w:spacing w:after="40" w:line="214" w:lineRule="exact"/>
              <w:rPr>
                <w:color w:val="000000" w:themeColor="text1"/>
              </w:rPr>
            </w:pPr>
            <w:r w:rsidRPr="00286216">
              <w:rPr>
                <w:color w:val="000000" w:themeColor="text1"/>
              </w:rPr>
              <w:t>2) інформація щодо обмеження у розпорядженні ними на такому рахунку (таких рахунках) у цінних паперах;</w:t>
            </w:r>
          </w:p>
        </w:tc>
        <w:tc>
          <w:tcPr>
            <w:tcW w:w="3686" w:type="dxa"/>
          </w:tcPr>
          <w:p w14:paraId="670C4428" w14:textId="77777777" w:rsidR="00826C07" w:rsidRPr="00286216" w:rsidRDefault="00826C07" w:rsidP="00826C07">
            <w:pPr>
              <w:pStyle w:val="StyleProp"/>
              <w:rPr>
                <w:color w:val="000000" w:themeColor="text1"/>
                <w:szCs w:val="18"/>
              </w:rPr>
            </w:pPr>
          </w:p>
        </w:tc>
        <w:tc>
          <w:tcPr>
            <w:tcW w:w="1987" w:type="dxa"/>
          </w:tcPr>
          <w:p w14:paraId="5C9F980F" w14:textId="77777777" w:rsidR="00826C07" w:rsidRPr="00286216" w:rsidRDefault="00826C07" w:rsidP="00826C07">
            <w:pPr>
              <w:pStyle w:val="StyleWisnow"/>
              <w:rPr>
                <w:color w:val="000000" w:themeColor="text1"/>
              </w:rPr>
            </w:pPr>
          </w:p>
        </w:tc>
        <w:tc>
          <w:tcPr>
            <w:tcW w:w="4818" w:type="dxa"/>
          </w:tcPr>
          <w:p w14:paraId="71995602" w14:textId="77777777" w:rsidR="00826C07" w:rsidRPr="00286216" w:rsidRDefault="00826C07" w:rsidP="00826C07">
            <w:pPr>
              <w:pStyle w:val="StyleZakonu"/>
              <w:rPr>
                <w:color w:val="000000" w:themeColor="text1"/>
              </w:rPr>
            </w:pPr>
          </w:p>
        </w:tc>
      </w:tr>
      <w:tr w:rsidR="00826C07" w:rsidRPr="00286216" w14:paraId="3BDB7F9D" w14:textId="77777777" w:rsidTr="00091AA5">
        <w:tc>
          <w:tcPr>
            <w:tcW w:w="576" w:type="dxa"/>
          </w:tcPr>
          <w:p w14:paraId="73C31129" w14:textId="77777777" w:rsidR="00826C07" w:rsidRPr="00286216" w:rsidRDefault="00826C07" w:rsidP="00826C07">
            <w:pPr>
              <w:pStyle w:val="StyleWisnow"/>
              <w:rPr>
                <w:color w:val="000000" w:themeColor="text1"/>
              </w:rPr>
            </w:pPr>
            <w:bookmarkStart w:id="1519" w:name="n1771" w:colFirst="0" w:colLast="0"/>
            <w:bookmarkEnd w:id="1518"/>
            <w:r w:rsidRPr="00286216">
              <w:rPr>
                <w:color w:val="000000" w:themeColor="text1"/>
              </w:rPr>
              <w:lastRenderedPageBreak/>
              <w:t>1771.</w:t>
            </w:r>
          </w:p>
        </w:tc>
        <w:tc>
          <w:tcPr>
            <w:tcW w:w="4818" w:type="dxa"/>
          </w:tcPr>
          <w:p w14:paraId="1D763EB1" w14:textId="77777777" w:rsidR="00826C07" w:rsidRPr="00286216" w:rsidRDefault="00826C07" w:rsidP="00E71C29">
            <w:pPr>
              <w:pStyle w:val="StyleZakonu"/>
              <w:spacing w:after="40" w:line="214" w:lineRule="exact"/>
              <w:rPr>
                <w:color w:val="000000" w:themeColor="text1"/>
              </w:rPr>
            </w:pPr>
            <w:r w:rsidRPr="00286216">
              <w:rPr>
                <w:color w:val="000000" w:themeColor="text1"/>
              </w:rPr>
              <w:t>3) документи, що підтверджують повноваження особи, яка підписала вимогу (у випадку підписання вимоги уповноваженим представником власника).</w:t>
            </w:r>
          </w:p>
        </w:tc>
        <w:tc>
          <w:tcPr>
            <w:tcW w:w="3686" w:type="dxa"/>
          </w:tcPr>
          <w:p w14:paraId="5C4FDC3F" w14:textId="77777777" w:rsidR="00826C07" w:rsidRPr="00286216" w:rsidRDefault="00826C07" w:rsidP="00826C07">
            <w:pPr>
              <w:pStyle w:val="StyleProp"/>
              <w:rPr>
                <w:color w:val="000000" w:themeColor="text1"/>
                <w:szCs w:val="18"/>
              </w:rPr>
            </w:pPr>
          </w:p>
        </w:tc>
        <w:tc>
          <w:tcPr>
            <w:tcW w:w="1987" w:type="dxa"/>
          </w:tcPr>
          <w:p w14:paraId="7EC155D1" w14:textId="77777777" w:rsidR="00826C07" w:rsidRPr="00286216" w:rsidRDefault="00826C07" w:rsidP="00826C07">
            <w:pPr>
              <w:pStyle w:val="StyleWisnow"/>
              <w:rPr>
                <w:color w:val="000000" w:themeColor="text1"/>
              </w:rPr>
            </w:pPr>
          </w:p>
        </w:tc>
        <w:tc>
          <w:tcPr>
            <w:tcW w:w="4818" w:type="dxa"/>
          </w:tcPr>
          <w:p w14:paraId="5A063992" w14:textId="77777777" w:rsidR="00826C07" w:rsidRPr="00286216" w:rsidRDefault="00826C07" w:rsidP="00826C07">
            <w:pPr>
              <w:pStyle w:val="StyleZakonu"/>
              <w:rPr>
                <w:color w:val="000000" w:themeColor="text1"/>
              </w:rPr>
            </w:pPr>
          </w:p>
        </w:tc>
      </w:tr>
      <w:tr w:rsidR="00826C07" w:rsidRPr="00286216" w14:paraId="355EB5DC" w14:textId="77777777" w:rsidTr="00091AA5">
        <w:tc>
          <w:tcPr>
            <w:tcW w:w="576" w:type="dxa"/>
          </w:tcPr>
          <w:p w14:paraId="6EBB8140" w14:textId="77777777" w:rsidR="00826C07" w:rsidRPr="00286216" w:rsidRDefault="00826C07" w:rsidP="00826C07">
            <w:pPr>
              <w:pStyle w:val="StyleWisnow"/>
              <w:rPr>
                <w:color w:val="000000" w:themeColor="text1"/>
              </w:rPr>
            </w:pPr>
            <w:bookmarkStart w:id="1520" w:name="n1772" w:colFirst="0" w:colLast="0"/>
            <w:bookmarkEnd w:id="1519"/>
            <w:r w:rsidRPr="00286216">
              <w:rPr>
                <w:color w:val="000000" w:themeColor="text1"/>
              </w:rPr>
              <w:t>1772.</w:t>
            </w:r>
          </w:p>
        </w:tc>
        <w:tc>
          <w:tcPr>
            <w:tcW w:w="4818" w:type="dxa"/>
          </w:tcPr>
          <w:p w14:paraId="2A5A5E93" w14:textId="77777777" w:rsidR="00826C07" w:rsidRPr="00286216" w:rsidRDefault="00826C07" w:rsidP="00E71C29">
            <w:pPr>
              <w:pStyle w:val="StyleZakonu"/>
              <w:spacing w:after="40" w:line="214" w:lineRule="exact"/>
              <w:rPr>
                <w:color w:val="000000" w:themeColor="text1"/>
              </w:rPr>
            </w:pPr>
            <w:r w:rsidRPr="00286216">
              <w:rPr>
                <w:color w:val="000000" w:themeColor="text1"/>
              </w:rPr>
              <w:t>Вимога про проведення зборів власників облігацій разом з доданими до неї документами та інформацією подається особі, відповідальній за проведення зборів через депозитарну систему України.</w:t>
            </w:r>
          </w:p>
        </w:tc>
        <w:tc>
          <w:tcPr>
            <w:tcW w:w="3686" w:type="dxa"/>
          </w:tcPr>
          <w:p w14:paraId="67EAFDA6" w14:textId="77777777" w:rsidR="00826C07" w:rsidRPr="00286216" w:rsidRDefault="00826C07" w:rsidP="00826C07">
            <w:pPr>
              <w:pStyle w:val="StyleProp"/>
              <w:rPr>
                <w:color w:val="000000" w:themeColor="text1"/>
                <w:szCs w:val="18"/>
              </w:rPr>
            </w:pPr>
          </w:p>
        </w:tc>
        <w:tc>
          <w:tcPr>
            <w:tcW w:w="1987" w:type="dxa"/>
          </w:tcPr>
          <w:p w14:paraId="3D11B7C0" w14:textId="77777777" w:rsidR="00826C07" w:rsidRPr="00286216" w:rsidRDefault="00826C07" w:rsidP="00826C07">
            <w:pPr>
              <w:pStyle w:val="StyleWisnow"/>
              <w:rPr>
                <w:color w:val="000000" w:themeColor="text1"/>
              </w:rPr>
            </w:pPr>
          </w:p>
        </w:tc>
        <w:tc>
          <w:tcPr>
            <w:tcW w:w="4818" w:type="dxa"/>
          </w:tcPr>
          <w:p w14:paraId="6BC3108C" w14:textId="77777777" w:rsidR="00826C07" w:rsidRPr="00286216" w:rsidRDefault="00826C07" w:rsidP="00826C07">
            <w:pPr>
              <w:pStyle w:val="StyleZakonu"/>
              <w:rPr>
                <w:color w:val="000000" w:themeColor="text1"/>
              </w:rPr>
            </w:pPr>
          </w:p>
        </w:tc>
      </w:tr>
      <w:tr w:rsidR="00826C07" w:rsidRPr="00286216" w14:paraId="1671712D" w14:textId="77777777" w:rsidTr="00091AA5">
        <w:tc>
          <w:tcPr>
            <w:tcW w:w="576" w:type="dxa"/>
          </w:tcPr>
          <w:p w14:paraId="0D737B16" w14:textId="77777777" w:rsidR="00826C07" w:rsidRPr="00286216" w:rsidRDefault="00826C07" w:rsidP="00826C07">
            <w:pPr>
              <w:pStyle w:val="StyleWisnow"/>
              <w:rPr>
                <w:color w:val="000000" w:themeColor="text1"/>
              </w:rPr>
            </w:pPr>
            <w:bookmarkStart w:id="1521" w:name="n1773" w:colFirst="0" w:colLast="0"/>
            <w:bookmarkEnd w:id="1520"/>
            <w:r w:rsidRPr="00286216">
              <w:rPr>
                <w:color w:val="000000" w:themeColor="text1"/>
              </w:rPr>
              <w:t>1773.</w:t>
            </w:r>
          </w:p>
        </w:tc>
        <w:tc>
          <w:tcPr>
            <w:tcW w:w="4818" w:type="dxa"/>
          </w:tcPr>
          <w:p w14:paraId="2245BD61" w14:textId="77777777" w:rsidR="00826C07" w:rsidRPr="00286216" w:rsidRDefault="00826C07" w:rsidP="00E71C29">
            <w:pPr>
              <w:pStyle w:val="StyleZakonu"/>
              <w:spacing w:after="40" w:line="214" w:lineRule="exact"/>
              <w:rPr>
                <w:color w:val="000000" w:themeColor="text1"/>
              </w:rPr>
            </w:pPr>
            <w:r w:rsidRPr="00286216">
              <w:rPr>
                <w:color w:val="000000" w:themeColor="text1"/>
              </w:rPr>
              <w:t>У разі, якщо проведення зборів власників облігацій ініціює емітент, який не є особою відповідальною за проведення зборів, він повинен надати особі, відповідальній за проведення загальних зборів, вимогу, яка повинна містити щонайменше інформацію, передбачену пунктами 2, 3 та 4 цієї частини.</w:t>
            </w:r>
          </w:p>
        </w:tc>
        <w:tc>
          <w:tcPr>
            <w:tcW w:w="3686" w:type="dxa"/>
          </w:tcPr>
          <w:p w14:paraId="687F0987" w14:textId="77777777" w:rsidR="00826C07" w:rsidRPr="00286216" w:rsidRDefault="00826C07" w:rsidP="00826C07">
            <w:pPr>
              <w:pStyle w:val="StyleProp"/>
              <w:rPr>
                <w:color w:val="000000" w:themeColor="text1"/>
                <w:szCs w:val="18"/>
              </w:rPr>
            </w:pPr>
          </w:p>
        </w:tc>
        <w:tc>
          <w:tcPr>
            <w:tcW w:w="1987" w:type="dxa"/>
          </w:tcPr>
          <w:p w14:paraId="6C9D7155" w14:textId="77777777" w:rsidR="00826C07" w:rsidRPr="00286216" w:rsidRDefault="00826C07" w:rsidP="00826C07">
            <w:pPr>
              <w:pStyle w:val="StyleWisnow"/>
              <w:rPr>
                <w:color w:val="000000" w:themeColor="text1"/>
              </w:rPr>
            </w:pPr>
          </w:p>
        </w:tc>
        <w:tc>
          <w:tcPr>
            <w:tcW w:w="4818" w:type="dxa"/>
          </w:tcPr>
          <w:p w14:paraId="6F11BC4B" w14:textId="77777777" w:rsidR="00826C07" w:rsidRPr="00286216" w:rsidRDefault="00826C07" w:rsidP="00826C07">
            <w:pPr>
              <w:pStyle w:val="StyleZakonu"/>
              <w:rPr>
                <w:color w:val="000000" w:themeColor="text1"/>
              </w:rPr>
            </w:pPr>
          </w:p>
        </w:tc>
      </w:tr>
      <w:tr w:rsidR="00826C07" w:rsidRPr="00286216" w14:paraId="2EEB6DC9" w14:textId="77777777" w:rsidTr="00091AA5">
        <w:tc>
          <w:tcPr>
            <w:tcW w:w="576" w:type="dxa"/>
          </w:tcPr>
          <w:p w14:paraId="190F7C6E" w14:textId="77777777" w:rsidR="00826C07" w:rsidRPr="00286216" w:rsidRDefault="00826C07" w:rsidP="00826C07">
            <w:pPr>
              <w:pStyle w:val="StyleWisnow"/>
              <w:rPr>
                <w:color w:val="000000" w:themeColor="text1"/>
              </w:rPr>
            </w:pPr>
            <w:bookmarkStart w:id="1522" w:name="n1774" w:colFirst="0" w:colLast="0"/>
            <w:bookmarkEnd w:id="1521"/>
            <w:r w:rsidRPr="00286216">
              <w:rPr>
                <w:color w:val="000000" w:themeColor="text1"/>
              </w:rPr>
              <w:t>1774.</w:t>
            </w:r>
          </w:p>
        </w:tc>
        <w:tc>
          <w:tcPr>
            <w:tcW w:w="4818" w:type="dxa"/>
          </w:tcPr>
          <w:p w14:paraId="02253A77" w14:textId="77777777" w:rsidR="00826C07" w:rsidRPr="00286216" w:rsidRDefault="00826C07" w:rsidP="00E71C29">
            <w:pPr>
              <w:pStyle w:val="StyleZakonu"/>
              <w:spacing w:after="40" w:line="214" w:lineRule="exact"/>
              <w:rPr>
                <w:color w:val="000000" w:themeColor="text1"/>
              </w:rPr>
            </w:pPr>
            <w:r w:rsidRPr="00286216">
              <w:rPr>
                <w:color w:val="000000" w:themeColor="text1"/>
              </w:rPr>
              <w:t>У разі, якщо проведення зборів власників облігацій ініціює особа відповідальна за проведення зборів, така особа самостійно визначає перелік питань порядку денного зборів власників облігацій разом з обґрунтуванням причин доцільності проведення засідання власників облігацій (у разі необхідності).</w:t>
            </w:r>
          </w:p>
        </w:tc>
        <w:tc>
          <w:tcPr>
            <w:tcW w:w="3686" w:type="dxa"/>
          </w:tcPr>
          <w:p w14:paraId="6940AB0A" w14:textId="77777777" w:rsidR="00826C07" w:rsidRPr="00286216" w:rsidRDefault="00826C07" w:rsidP="00826C07">
            <w:pPr>
              <w:pStyle w:val="StyleProp"/>
              <w:rPr>
                <w:color w:val="000000" w:themeColor="text1"/>
                <w:szCs w:val="18"/>
              </w:rPr>
            </w:pPr>
          </w:p>
        </w:tc>
        <w:tc>
          <w:tcPr>
            <w:tcW w:w="1987" w:type="dxa"/>
          </w:tcPr>
          <w:p w14:paraId="70EE873B" w14:textId="77777777" w:rsidR="00826C07" w:rsidRPr="00286216" w:rsidRDefault="00826C07" w:rsidP="00826C07">
            <w:pPr>
              <w:pStyle w:val="StyleWisnow"/>
              <w:rPr>
                <w:color w:val="000000" w:themeColor="text1"/>
              </w:rPr>
            </w:pPr>
          </w:p>
        </w:tc>
        <w:tc>
          <w:tcPr>
            <w:tcW w:w="4818" w:type="dxa"/>
          </w:tcPr>
          <w:p w14:paraId="09C6E929" w14:textId="77777777" w:rsidR="00826C07" w:rsidRPr="00286216" w:rsidRDefault="00826C07" w:rsidP="00826C07">
            <w:pPr>
              <w:pStyle w:val="StyleZakonu"/>
              <w:rPr>
                <w:color w:val="000000" w:themeColor="text1"/>
              </w:rPr>
            </w:pPr>
          </w:p>
        </w:tc>
      </w:tr>
      <w:tr w:rsidR="00826C07" w:rsidRPr="00286216" w14:paraId="6C2E5665" w14:textId="77777777" w:rsidTr="00091AA5">
        <w:tc>
          <w:tcPr>
            <w:tcW w:w="576" w:type="dxa"/>
          </w:tcPr>
          <w:p w14:paraId="18DF9216" w14:textId="77777777" w:rsidR="00826C07" w:rsidRPr="00286216" w:rsidRDefault="00826C07" w:rsidP="00826C07">
            <w:pPr>
              <w:pStyle w:val="StyleWisnow"/>
              <w:rPr>
                <w:color w:val="000000" w:themeColor="text1"/>
              </w:rPr>
            </w:pPr>
            <w:bookmarkStart w:id="1523" w:name="n1775" w:colFirst="0" w:colLast="0"/>
            <w:bookmarkEnd w:id="1522"/>
            <w:r w:rsidRPr="00286216">
              <w:rPr>
                <w:color w:val="000000" w:themeColor="text1"/>
              </w:rPr>
              <w:t>1775.</w:t>
            </w:r>
          </w:p>
        </w:tc>
        <w:tc>
          <w:tcPr>
            <w:tcW w:w="4818" w:type="dxa"/>
          </w:tcPr>
          <w:p w14:paraId="53F41634" w14:textId="77777777" w:rsidR="00826C07" w:rsidRPr="00286216" w:rsidRDefault="00826C07" w:rsidP="00E71C29">
            <w:pPr>
              <w:pStyle w:val="StyleZakonu"/>
              <w:spacing w:after="40" w:line="214" w:lineRule="exact"/>
              <w:rPr>
                <w:color w:val="000000" w:themeColor="text1"/>
              </w:rPr>
            </w:pPr>
            <w:r w:rsidRPr="00286216">
              <w:rPr>
                <w:color w:val="000000" w:themeColor="text1"/>
              </w:rPr>
              <w:t>4. Особа, відповідальна за проведення зборів, зобов’язана протягом десяти робочих днів після надходження вимоги про проведення зборів власників облігацій або з власної ініціативи вчинити усі необхідні дії для повідомлення через депозитарну систему України усіх власників облігацій відповідного випуску облігацій, а також емітента та адміністратора про:</w:t>
            </w:r>
          </w:p>
        </w:tc>
        <w:tc>
          <w:tcPr>
            <w:tcW w:w="3686" w:type="dxa"/>
          </w:tcPr>
          <w:p w14:paraId="5604BC47" w14:textId="77777777" w:rsidR="00826C07" w:rsidRPr="00286216" w:rsidRDefault="00826C07" w:rsidP="00826C07">
            <w:pPr>
              <w:pStyle w:val="StyleProp"/>
              <w:rPr>
                <w:color w:val="000000" w:themeColor="text1"/>
                <w:szCs w:val="18"/>
              </w:rPr>
            </w:pPr>
          </w:p>
        </w:tc>
        <w:tc>
          <w:tcPr>
            <w:tcW w:w="1987" w:type="dxa"/>
          </w:tcPr>
          <w:p w14:paraId="0EB7E582" w14:textId="77777777" w:rsidR="00826C07" w:rsidRPr="00286216" w:rsidRDefault="00826C07" w:rsidP="00826C07">
            <w:pPr>
              <w:pStyle w:val="StyleWisnow"/>
              <w:rPr>
                <w:color w:val="000000" w:themeColor="text1"/>
              </w:rPr>
            </w:pPr>
          </w:p>
        </w:tc>
        <w:tc>
          <w:tcPr>
            <w:tcW w:w="4818" w:type="dxa"/>
          </w:tcPr>
          <w:p w14:paraId="3FEC6D6A" w14:textId="77777777" w:rsidR="00826C07" w:rsidRPr="00286216" w:rsidRDefault="00826C07" w:rsidP="00826C07">
            <w:pPr>
              <w:pStyle w:val="StyleZakonu"/>
              <w:rPr>
                <w:color w:val="000000" w:themeColor="text1"/>
              </w:rPr>
            </w:pPr>
          </w:p>
        </w:tc>
      </w:tr>
      <w:tr w:rsidR="00826C07" w:rsidRPr="00286216" w14:paraId="3C9E03E2" w14:textId="77777777" w:rsidTr="00091AA5">
        <w:tc>
          <w:tcPr>
            <w:tcW w:w="576" w:type="dxa"/>
          </w:tcPr>
          <w:p w14:paraId="48B54731" w14:textId="77777777" w:rsidR="00826C07" w:rsidRPr="00286216" w:rsidRDefault="00826C07" w:rsidP="00826C07">
            <w:pPr>
              <w:pStyle w:val="StyleWisnow"/>
              <w:rPr>
                <w:color w:val="000000" w:themeColor="text1"/>
              </w:rPr>
            </w:pPr>
            <w:bookmarkStart w:id="1524" w:name="n1776" w:colFirst="0" w:colLast="0"/>
            <w:bookmarkEnd w:id="1523"/>
            <w:r w:rsidRPr="00286216">
              <w:rPr>
                <w:color w:val="000000" w:themeColor="text1"/>
              </w:rPr>
              <w:t>1776.</w:t>
            </w:r>
          </w:p>
        </w:tc>
        <w:tc>
          <w:tcPr>
            <w:tcW w:w="4818" w:type="dxa"/>
          </w:tcPr>
          <w:p w14:paraId="6D790F38" w14:textId="77777777" w:rsidR="00826C07" w:rsidRPr="00286216" w:rsidRDefault="00826C07" w:rsidP="00E71C29">
            <w:pPr>
              <w:pStyle w:val="StyleZakonu"/>
              <w:spacing w:after="40" w:line="214" w:lineRule="exact"/>
              <w:rPr>
                <w:color w:val="000000" w:themeColor="text1"/>
              </w:rPr>
            </w:pPr>
            <w:r w:rsidRPr="00286216">
              <w:rPr>
                <w:color w:val="000000" w:themeColor="text1"/>
              </w:rPr>
              <w:t>1) проведення зборів;</w:t>
            </w:r>
          </w:p>
        </w:tc>
        <w:tc>
          <w:tcPr>
            <w:tcW w:w="3686" w:type="dxa"/>
          </w:tcPr>
          <w:p w14:paraId="5849D12D" w14:textId="77777777" w:rsidR="00826C07" w:rsidRPr="00286216" w:rsidRDefault="00826C07" w:rsidP="00826C07">
            <w:pPr>
              <w:pStyle w:val="StyleProp"/>
              <w:rPr>
                <w:color w:val="000000" w:themeColor="text1"/>
                <w:szCs w:val="18"/>
              </w:rPr>
            </w:pPr>
          </w:p>
        </w:tc>
        <w:tc>
          <w:tcPr>
            <w:tcW w:w="1987" w:type="dxa"/>
          </w:tcPr>
          <w:p w14:paraId="22EA92AD" w14:textId="77777777" w:rsidR="00826C07" w:rsidRPr="00286216" w:rsidRDefault="00826C07" w:rsidP="00826C07">
            <w:pPr>
              <w:pStyle w:val="StyleWisnow"/>
              <w:rPr>
                <w:color w:val="000000" w:themeColor="text1"/>
              </w:rPr>
            </w:pPr>
          </w:p>
        </w:tc>
        <w:tc>
          <w:tcPr>
            <w:tcW w:w="4818" w:type="dxa"/>
          </w:tcPr>
          <w:p w14:paraId="1C09BCD5" w14:textId="77777777" w:rsidR="00826C07" w:rsidRPr="00286216" w:rsidRDefault="00826C07" w:rsidP="00826C07">
            <w:pPr>
              <w:pStyle w:val="StyleZakonu"/>
              <w:rPr>
                <w:color w:val="000000" w:themeColor="text1"/>
              </w:rPr>
            </w:pPr>
          </w:p>
        </w:tc>
      </w:tr>
      <w:tr w:rsidR="00826C07" w:rsidRPr="00286216" w14:paraId="02EA9B3A" w14:textId="77777777" w:rsidTr="00091AA5">
        <w:tc>
          <w:tcPr>
            <w:tcW w:w="576" w:type="dxa"/>
          </w:tcPr>
          <w:p w14:paraId="1507BA0A" w14:textId="77777777" w:rsidR="00826C07" w:rsidRPr="00286216" w:rsidRDefault="00826C07" w:rsidP="00826C07">
            <w:pPr>
              <w:pStyle w:val="StyleWisnow"/>
              <w:rPr>
                <w:color w:val="000000" w:themeColor="text1"/>
              </w:rPr>
            </w:pPr>
            <w:bookmarkStart w:id="1525" w:name="n1777" w:colFirst="0" w:colLast="0"/>
            <w:bookmarkEnd w:id="1524"/>
            <w:r w:rsidRPr="00286216">
              <w:rPr>
                <w:color w:val="000000" w:themeColor="text1"/>
              </w:rPr>
              <w:t>1777.</w:t>
            </w:r>
          </w:p>
        </w:tc>
        <w:tc>
          <w:tcPr>
            <w:tcW w:w="4818" w:type="dxa"/>
          </w:tcPr>
          <w:p w14:paraId="6478C94D" w14:textId="77777777" w:rsidR="00826C07" w:rsidRPr="00286216" w:rsidRDefault="00826C07" w:rsidP="00E71C29">
            <w:pPr>
              <w:pStyle w:val="StyleZakonu"/>
              <w:spacing w:after="40" w:line="214" w:lineRule="exact"/>
              <w:rPr>
                <w:color w:val="000000" w:themeColor="text1"/>
              </w:rPr>
            </w:pPr>
            <w:r w:rsidRPr="00286216">
              <w:rPr>
                <w:color w:val="000000" w:themeColor="text1"/>
              </w:rPr>
              <w:t>2) особу, що є ініціатором проведення зборів власників облігацій відповідного випуску;</w:t>
            </w:r>
          </w:p>
        </w:tc>
        <w:tc>
          <w:tcPr>
            <w:tcW w:w="3686" w:type="dxa"/>
          </w:tcPr>
          <w:p w14:paraId="08CF8D9B" w14:textId="77777777" w:rsidR="00826C07" w:rsidRPr="00286216" w:rsidRDefault="00826C07" w:rsidP="00826C07">
            <w:pPr>
              <w:pStyle w:val="StyleProp"/>
              <w:rPr>
                <w:color w:val="000000" w:themeColor="text1"/>
                <w:szCs w:val="18"/>
              </w:rPr>
            </w:pPr>
          </w:p>
        </w:tc>
        <w:tc>
          <w:tcPr>
            <w:tcW w:w="1987" w:type="dxa"/>
          </w:tcPr>
          <w:p w14:paraId="1D7825BD" w14:textId="77777777" w:rsidR="00826C07" w:rsidRPr="00286216" w:rsidRDefault="00826C07" w:rsidP="00826C07">
            <w:pPr>
              <w:pStyle w:val="StyleWisnow"/>
              <w:rPr>
                <w:color w:val="000000" w:themeColor="text1"/>
              </w:rPr>
            </w:pPr>
          </w:p>
        </w:tc>
        <w:tc>
          <w:tcPr>
            <w:tcW w:w="4818" w:type="dxa"/>
          </w:tcPr>
          <w:p w14:paraId="254C8081" w14:textId="77777777" w:rsidR="00826C07" w:rsidRPr="00286216" w:rsidRDefault="00826C07" w:rsidP="00826C07">
            <w:pPr>
              <w:pStyle w:val="StyleZakonu"/>
              <w:rPr>
                <w:color w:val="000000" w:themeColor="text1"/>
              </w:rPr>
            </w:pPr>
          </w:p>
        </w:tc>
      </w:tr>
      <w:tr w:rsidR="00826C07" w:rsidRPr="00286216" w14:paraId="49A55DEA" w14:textId="77777777" w:rsidTr="00091AA5">
        <w:tc>
          <w:tcPr>
            <w:tcW w:w="576" w:type="dxa"/>
          </w:tcPr>
          <w:p w14:paraId="7D51A2AF" w14:textId="77777777" w:rsidR="00826C07" w:rsidRPr="00286216" w:rsidRDefault="00826C07" w:rsidP="00826C07">
            <w:pPr>
              <w:pStyle w:val="StyleWisnow"/>
              <w:rPr>
                <w:color w:val="000000" w:themeColor="text1"/>
              </w:rPr>
            </w:pPr>
            <w:bookmarkStart w:id="1526" w:name="n1778" w:colFirst="0" w:colLast="0"/>
            <w:bookmarkEnd w:id="1525"/>
            <w:r w:rsidRPr="00286216">
              <w:rPr>
                <w:color w:val="000000" w:themeColor="text1"/>
              </w:rPr>
              <w:t>1778.</w:t>
            </w:r>
          </w:p>
        </w:tc>
        <w:tc>
          <w:tcPr>
            <w:tcW w:w="4818" w:type="dxa"/>
          </w:tcPr>
          <w:p w14:paraId="3FDB10A2" w14:textId="77777777" w:rsidR="00826C07" w:rsidRPr="00286216" w:rsidRDefault="00826C07" w:rsidP="00E71C29">
            <w:pPr>
              <w:pStyle w:val="StyleZakonu"/>
              <w:spacing w:after="40" w:line="214" w:lineRule="exact"/>
              <w:rPr>
                <w:color w:val="000000" w:themeColor="text1"/>
              </w:rPr>
            </w:pPr>
            <w:r w:rsidRPr="00286216">
              <w:rPr>
                <w:color w:val="000000" w:themeColor="text1"/>
              </w:rPr>
              <w:t>3) перелік питань порядку денного зборів власників облігацій;</w:t>
            </w:r>
          </w:p>
        </w:tc>
        <w:tc>
          <w:tcPr>
            <w:tcW w:w="3686" w:type="dxa"/>
          </w:tcPr>
          <w:p w14:paraId="5219E766" w14:textId="77777777" w:rsidR="00826C07" w:rsidRPr="00286216" w:rsidRDefault="00826C07" w:rsidP="00826C07">
            <w:pPr>
              <w:pStyle w:val="StyleProp"/>
              <w:rPr>
                <w:color w:val="000000" w:themeColor="text1"/>
                <w:szCs w:val="18"/>
              </w:rPr>
            </w:pPr>
          </w:p>
        </w:tc>
        <w:tc>
          <w:tcPr>
            <w:tcW w:w="1987" w:type="dxa"/>
          </w:tcPr>
          <w:p w14:paraId="46CF1802" w14:textId="77777777" w:rsidR="00826C07" w:rsidRPr="00286216" w:rsidRDefault="00826C07" w:rsidP="00826C07">
            <w:pPr>
              <w:pStyle w:val="StyleWisnow"/>
              <w:rPr>
                <w:color w:val="000000" w:themeColor="text1"/>
              </w:rPr>
            </w:pPr>
          </w:p>
        </w:tc>
        <w:tc>
          <w:tcPr>
            <w:tcW w:w="4818" w:type="dxa"/>
          </w:tcPr>
          <w:p w14:paraId="11D8EA68" w14:textId="77777777" w:rsidR="00826C07" w:rsidRPr="00286216" w:rsidRDefault="00826C07" w:rsidP="00826C07">
            <w:pPr>
              <w:pStyle w:val="StyleZakonu"/>
              <w:rPr>
                <w:color w:val="000000" w:themeColor="text1"/>
              </w:rPr>
            </w:pPr>
          </w:p>
        </w:tc>
      </w:tr>
      <w:tr w:rsidR="00826C07" w:rsidRPr="00286216" w14:paraId="1295E83B" w14:textId="77777777" w:rsidTr="00091AA5">
        <w:tc>
          <w:tcPr>
            <w:tcW w:w="576" w:type="dxa"/>
          </w:tcPr>
          <w:p w14:paraId="6810B472" w14:textId="77777777" w:rsidR="00826C07" w:rsidRPr="00286216" w:rsidRDefault="00826C07" w:rsidP="00826C07">
            <w:pPr>
              <w:pStyle w:val="StyleWisnow"/>
              <w:rPr>
                <w:color w:val="000000" w:themeColor="text1"/>
              </w:rPr>
            </w:pPr>
            <w:bookmarkStart w:id="1527" w:name="n1779" w:colFirst="0" w:colLast="0"/>
            <w:bookmarkEnd w:id="1526"/>
            <w:r w:rsidRPr="00286216">
              <w:rPr>
                <w:color w:val="000000" w:themeColor="text1"/>
              </w:rPr>
              <w:t>1779.</w:t>
            </w:r>
          </w:p>
        </w:tc>
        <w:tc>
          <w:tcPr>
            <w:tcW w:w="4818" w:type="dxa"/>
          </w:tcPr>
          <w:p w14:paraId="63E75C78" w14:textId="77777777" w:rsidR="00826C07" w:rsidRPr="00286216" w:rsidRDefault="00826C07" w:rsidP="00E71C29">
            <w:pPr>
              <w:pStyle w:val="StyleZakonu"/>
              <w:spacing w:after="40" w:line="214" w:lineRule="exact"/>
              <w:rPr>
                <w:color w:val="000000" w:themeColor="text1"/>
              </w:rPr>
            </w:pPr>
            <w:r w:rsidRPr="00286216">
              <w:rPr>
                <w:color w:val="000000" w:themeColor="text1"/>
              </w:rPr>
              <w:t>4) обґрунтування причин доцільності проведення засідання власників облігацій (у разі необхідності).</w:t>
            </w:r>
          </w:p>
        </w:tc>
        <w:tc>
          <w:tcPr>
            <w:tcW w:w="3686" w:type="dxa"/>
          </w:tcPr>
          <w:p w14:paraId="3DD34661" w14:textId="77777777" w:rsidR="00826C07" w:rsidRPr="00286216" w:rsidRDefault="00826C07" w:rsidP="00826C07">
            <w:pPr>
              <w:pStyle w:val="StyleProp"/>
              <w:rPr>
                <w:color w:val="000000" w:themeColor="text1"/>
                <w:szCs w:val="18"/>
              </w:rPr>
            </w:pPr>
          </w:p>
        </w:tc>
        <w:tc>
          <w:tcPr>
            <w:tcW w:w="1987" w:type="dxa"/>
          </w:tcPr>
          <w:p w14:paraId="6D3FC875" w14:textId="77777777" w:rsidR="00826C07" w:rsidRPr="00286216" w:rsidRDefault="00826C07" w:rsidP="00826C07">
            <w:pPr>
              <w:pStyle w:val="StyleWisnow"/>
              <w:rPr>
                <w:color w:val="000000" w:themeColor="text1"/>
              </w:rPr>
            </w:pPr>
          </w:p>
        </w:tc>
        <w:tc>
          <w:tcPr>
            <w:tcW w:w="4818" w:type="dxa"/>
          </w:tcPr>
          <w:p w14:paraId="42FA2CCF" w14:textId="77777777" w:rsidR="00826C07" w:rsidRPr="00286216" w:rsidRDefault="00826C07" w:rsidP="00826C07">
            <w:pPr>
              <w:pStyle w:val="StyleZakonu"/>
              <w:rPr>
                <w:color w:val="000000" w:themeColor="text1"/>
              </w:rPr>
            </w:pPr>
          </w:p>
        </w:tc>
      </w:tr>
      <w:tr w:rsidR="00826C07" w:rsidRPr="00286216" w14:paraId="20E3A78F" w14:textId="77777777" w:rsidTr="00091AA5">
        <w:tc>
          <w:tcPr>
            <w:tcW w:w="576" w:type="dxa"/>
          </w:tcPr>
          <w:p w14:paraId="1BFAC98C" w14:textId="77777777" w:rsidR="00826C07" w:rsidRPr="00286216" w:rsidRDefault="00826C07" w:rsidP="00826C07">
            <w:pPr>
              <w:pStyle w:val="StyleWisnow"/>
              <w:rPr>
                <w:color w:val="000000" w:themeColor="text1"/>
              </w:rPr>
            </w:pPr>
            <w:bookmarkStart w:id="1528" w:name="n1780" w:colFirst="0" w:colLast="0"/>
            <w:bookmarkEnd w:id="1527"/>
            <w:r w:rsidRPr="00286216">
              <w:rPr>
                <w:color w:val="000000" w:themeColor="text1"/>
              </w:rPr>
              <w:t>1780.</w:t>
            </w:r>
          </w:p>
        </w:tc>
        <w:tc>
          <w:tcPr>
            <w:tcW w:w="4818" w:type="dxa"/>
          </w:tcPr>
          <w:p w14:paraId="7F12B67B" w14:textId="77777777" w:rsidR="00826C07" w:rsidRPr="00286216" w:rsidRDefault="00826C07" w:rsidP="00E71C29">
            <w:pPr>
              <w:pStyle w:val="StyleZakonu"/>
              <w:spacing w:after="40" w:line="214" w:lineRule="exact"/>
              <w:rPr>
                <w:color w:val="000000" w:themeColor="text1"/>
              </w:rPr>
            </w:pPr>
            <w:r w:rsidRPr="00286216">
              <w:rPr>
                <w:color w:val="000000" w:themeColor="text1"/>
              </w:rPr>
              <w:t>У разі надходження інших вимог про проведення зборів власників облігацій, особа, відповідальна за проведення зборів, може об’єднати вимоги або вважати їх пропозиціями щодо розгляду зборами інших питань порядку денного, документами та інформацією стосовно таких питань, заявами про необхідність проведення засідання зборів.</w:t>
            </w:r>
          </w:p>
        </w:tc>
        <w:tc>
          <w:tcPr>
            <w:tcW w:w="3686" w:type="dxa"/>
          </w:tcPr>
          <w:p w14:paraId="0BEF767C" w14:textId="77777777" w:rsidR="00826C07" w:rsidRPr="00286216" w:rsidRDefault="00826C07" w:rsidP="00826C07">
            <w:pPr>
              <w:pStyle w:val="StyleProp"/>
              <w:rPr>
                <w:color w:val="000000" w:themeColor="text1"/>
                <w:szCs w:val="18"/>
              </w:rPr>
            </w:pPr>
          </w:p>
        </w:tc>
        <w:tc>
          <w:tcPr>
            <w:tcW w:w="1987" w:type="dxa"/>
          </w:tcPr>
          <w:p w14:paraId="7CA138CD" w14:textId="77777777" w:rsidR="00826C07" w:rsidRPr="00286216" w:rsidRDefault="00826C07" w:rsidP="00826C07">
            <w:pPr>
              <w:pStyle w:val="StyleWisnow"/>
              <w:rPr>
                <w:color w:val="000000" w:themeColor="text1"/>
              </w:rPr>
            </w:pPr>
          </w:p>
        </w:tc>
        <w:tc>
          <w:tcPr>
            <w:tcW w:w="4818" w:type="dxa"/>
          </w:tcPr>
          <w:p w14:paraId="500D14CC" w14:textId="77777777" w:rsidR="00826C07" w:rsidRPr="00286216" w:rsidRDefault="00826C07" w:rsidP="00826C07">
            <w:pPr>
              <w:pStyle w:val="StyleZakonu"/>
              <w:rPr>
                <w:color w:val="000000" w:themeColor="text1"/>
              </w:rPr>
            </w:pPr>
          </w:p>
        </w:tc>
      </w:tr>
      <w:tr w:rsidR="00826C07" w:rsidRPr="00286216" w14:paraId="152F95D4" w14:textId="77777777" w:rsidTr="00091AA5">
        <w:tc>
          <w:tcPr>
            <w:tcW w:w="576" w:type="dxa"/>
          </w:tcPr>
          <w:p w14:paraId="589FDD6F" w14:textId="77777777" w:rsidR="00826C07" w:rsidRPr="00286216" w:rsidRDefault="00826C07" w:rsidP="00826C07">
            <w:pPr>
              <w:pStyle w:val="StyleWisnow"/>
              <w:rPr>
                <w:color w:val="000000" w:themeColor="text1"/>
              </w:rPr>
            </w:pPr>
            <w:bookmarkStart w:id="1529" w:name="n1781" w:colFirst="0" w:colLast="0"/>
            <w:bookmarkEnd w:id="1528"/>
            <w:r w:rsidRPr="00286216">
              <w:rPr>
                <w:color w:val="000000" w:themeColor="text1"/>
              </w:rPr>
              <w:t>1781.</w:t>
            </w:r>
          </w:p>
        </w:tc>
        <w:tc>
          <w:tcPr>
            <w:tcW w:w="4818" w:type="dxa"/>
          </w:tcPr>
          <w:p w14:paraId="07FEC5EB"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Якщо проведення зборів ініціює особа, відповідальна за проведення зборів, днем надходження вимоги вважається день направлення </w:t>
            </w:r>
            <w:r w:rsidRPr="00286216">
              <w:rPr>
                <w:color w:val="000000" w:themeColor="text1"/>
              </w:rPr>
              <w:lastRenderedPageBreak/>
              <w:t>повідомлення про їх проведення Центральному депозитарію цінних паперів або Національному банку України для подальшого направлення власникам облігацій.</w:t>
            </w:r>
          </w:p>
        </w:tc>
        <w:tc>
          <w:tcPr>
            <w:tcW w:w="3686" w:type="dxa"/>
          </w:tcPr>
          <w:p w14:paraId="53FB6CA3" w14:textId="77777777" w:rsidR="00826C07" w:rsidRPr="00286216" w:rsidRDefault="00826C07" w:rsidP="00826C07">
            <w:pPr>
              <w:pStyle w:val="StyleProp"/>
              <w:rPr>
                <w:color w:val="000000" w:themeColor="text1"/>
                <w:szCs w:val="18"/>
              </w:rPr>
            </w:pPr>
          </w:p>
        </w:tc>
        <w:tc>
          <w:tcPr>
            <w:tcW w:w="1987" w:type="dxa"/>
          </w:tcPr>
          <w:p w14:paraId="6F837FC1" w14:textId="77777777" w:rsidR="00826C07" w:rsidRPr="00286216" w:rsidRDefault="00826C07" w:rsidP="00826C07">
            <w:pPr>
              <w:pStyle w:val="StyleWisnow"/>
              <w:rPr>
                <w:color w:val="000000" w:themeColor="text1"/>
              </w:rPr>
            </w:pPr>
          </w:p>
        </w:tc>
        <w:tc>
          <w:tcPr>
            <w:tcW w:w="4818" w:type="dxa"/>
          </w:tcPr>
          <w:p w14:paraId="22C90773" w14:textId="77777777" w:rsidR="00826C07" w:rsidRPr="00286216" w:rsidRDefault="00826C07" w:rsidP="00826C07">
            <w:pPr>
              <w:pStyle w:val="StyleZakonu"/>
              <w:rPr>
                <w:color w:val="000000" w:themeColor="text1"/>
              </w:rPr>
            </w:pPr>
          </w:p>
        </w:tc>
      </w:tr>
      <w:tr w:rsidR="00826C07" w:rsidRPr="00286216" w14:paraId="0E640170" w14:textId="77777777" w:rsidTr="00091AA5">
        <w:tc>
          <w:tcPr>
            <w:tcW w:w="576" w:type="dxa"/>
          </w:tcPr>
          <w:p w14:paraId="5D93B1B1" w14:textId="77777777" w:rsidR="00826C07" w:rsidRPr="00286216" w:rsidRDefault="00826C07" w:rsidP="00826C07">
            <w:pPr>
              <w:pStyle w:val="StyleWisnow"/>
              <w:rPr>
                <w:color w:val="000000" w:themeColor="text1"/>
              </w:rPr>
            </w:pPr>
            <w:bookmarkStart w:id="1530" w:name="n1782" w:colFirst="0" w:colLast="0"/>
            <w:bookmarkEnd w:id="1529"/>
            <w:r w:rsidRPr="00286216">
              <w:rPr>
                <w:color w:val="000000" w:themeColor="text1"/>
              </w:rPr>
              <w:t>1782.</w:t>
            </w:r>
          </w:p>
        </w:tc>
        <w:tc>
          <w:tcPr>
            <w:tcW w:w="4818" w:type="dxa"/>
          </w:tcPr>
          <w:p w14:paraId="0614BEAD" w14:textId="77777777" w:rsidR="00826C07" w:rsidRPr="00286216" w:rsidRDefault="00826C07" w:rsidP="00E71C29">
            <w:pPr>
              <w:pStyle w:val="StyleZakonu"/>
              <w:spacing w:after="40" w:line="214" w:lineRule="exact"/>
              <w:rPr>
                <w:color w:val="000000" w:themeColor="text1"/>
              </w:rPr>
            </w:pPr>
            <w:r w:rsidRPr="00286216">
              <w:rPr>
                <w:color w:val="000000" w:themeColor="text1"/>
              </w:rPr>
              <w:t>5. У випадку, якщо проведення зборів власників облігацій передбачено законодавством та/або проспектом (рішенням про емісію цінних паперів), особа, відповідальна за проведення зборів, зобов’язана протягом десяти робочих днів після настання відповідної обставини (випадку) вчинити усі необхідні дії для повідомлення через депозитарну систему України усіх власників облігацій відповідного випуску облігацій, а також емітента та адміністратора про:</w:t>
            </w:r>
          </w:p>
        </w:tc>
        <w:tc>
          <w:tcPr>
            <w:tcW w:w="3686" w:type="dxa"/>
          </w:tcPr>
          <w:p w14:paraId="64E3B17C" w14:textId="77777777" w:rsidR="00826C07" w:rsidRPr="00286216" w:rsidRDefault="00826C07" w:rsidP="00826C07">
            <w:pPr>
              <w:pStyle w:val="StyleProp"/>
              <w:rPr>
                <w:color w:val="000000" w:themeColor="text1"/>
                <w:szCs w:val="18"/>
              </w:rPr>
            </w:pPr>
          </w:p>
        </w:tc>
        <w:tc>
          <w:tcPr>
            <w:tcW w:w="1987" w:type="dxa"/>
          </w:tcPr>
          <w:p w14:paraId="0E1CDC8F" w14:textId="77777777" w:rsidR="00826C07" w:rsidRPr="00286216" w:rsidRDefault="00826C07" w:rsidP="00826C07">
            <w:pPr>
              <w:pStyle w:val="StyleWisnow"/>
              <w:rPr>
                <w:color w:val="000000" w:themeColor="text1"/>
              </w:rPr>
            </w:pPr>
          </w:p>
        </w:tc>
        <w:tc>
          <w:tcPr>
            <w:tcW w:w="4818" w:type="dxa"/>
          </w:tcPr>
          <w:p w14:paraId="04460CC1" w14:textId="77777777" w:rsidR="00826C07" w:rsidRPr="00286216" w:rsidRDefault="00826C07" w:rsidP="00826C07">
            <w:pPr>
              <w:pStyle w:val="StyleZakonu"/>
              <w:rPr>
                <w:color w:val="000000" w:themeColor="text1"/>
              </w:rPr>
            </w:pPr>
          </w:p>
        </w:tc>
      </w:tr>
      <w:tr w:rsidR="00826C07" w:rsidRPr="00286216" w14:paraId="59C6D60A" w14:textId="77777777" w:rsidTr="00091AA5">
        <w:tc>
          <w:tcPr>
            <w:tcW w:w="576" w:type="dxa"/>
          </w:tcPr>
          <w:p w14:paraId="2D97D771" w14:textId="77777777" w:rsidR="00826C07" w:rsidRPr="00286216" w:rsidRDefault="00826C07" w:rsidP="00826C07">
            <w:pPr>
              <w:pStyle w:val="StyleWisnow"/>
              <w:rPr>
                <w:color w:val="000000" w:themeColor="text1"/>
              </w:rPr>
            </w:pPr>
            <w:bookmarkStart w:id="1531" w:name="n1783" w:colFirst="0" w:colLast="0"/>
            <w:bookmarkEnd w:id="1530"/>
            <w:r w:rsidRPr="00286216">
              <w:rPr>
                <w:color w:val="000000" w:themeColor="text1"/>
              </w:rPr>
              <w:t>1783.</w:t>
            </w:r>
          </w:p>
        </w:tc>
        <w:tc>
          <w:tcPr>
            <w:tcW w:w="4818" w:type="dxa"/>
          </w:tcPr>
          <w:p w14:paraId="3530D4E8" w14:textId="77777777" w:rsidR="00826C07" w:rsidRPr="00286216" w:rsidRDefault="00826C07" w:rsidP="00E71C29">
            <w:pPr>
              <w:pStyle w:val="StyleZakonu"/>
              <w:spacing w:after="40" w:line="214" w:lineRule="exact"/>
              <w:rPr>
                <w:color w:val="000000" w:themeColor="text1"/>
              </w:rPr>
            </w:pPr>
            <w:r w:rsidRPr="00286216">
              <w:rPr>
                <w:color w:val="000000" w:themeColor="text1"/>
              </w:rPr>
              <w:t>1) проведення зборів;</w:t>
            </w:r>
          </w:p>
        </w:tc>
        <w:tc>
          <w:tcPr>
            <w:tcW w:w="3686" w:type="dxa"/>
          </w:tcPr>
          <w:p w14:paraId="2D648D5E" w14:textId="77777777" w:rsidR="00826C07" w:rsidRPr="00286216" w:rsidRDefault="00826C07" w:rsidP="00826C07">
            <w:pPr>
              <w:pStyle w:val="StyleProp"/>
              <w:rPr>
                <w:color w:val="000000" w:themeColor="text1"/>
                <w:szCs w:val="18"/>
              </w:rPr>
            </w:pPr>
          </w:p>
        </w:tc>
        <w:tc>
          <w:tcPr>
            <w:tcW w:w="1987" w:type="dxa"/>
          </w:tcPr>
          <w:p w14:paraId="059014C3" w14:textId="77777777" w:rsidR="00826C07" w:rsidRPr="00286216" w:rsidRDefault="00826C07" w:rsidP="00826C07">
            <w:pPr>
              <w:pStyle w:val="StyleWisnow"/>
              <w:rPr>
                <w:color w:val="000000" w:themeColor="text1"/>
              </w:rPr>
            </w:pPr>
          </w:p>
        </w:tc>
        <w:tc>
          <w:tcPr>
            <w:tcW w:w="4818" w:type="dxa"/>
          </w:tcPr>
          <w:p w14:paraId="03792681" w14:textId="77777777" w:rsidR="00826C07" w:rsidRPr="00286216" w:rsidRDefault="00826C07" w:rsidP="00826C07">
            <w:pPr>
              <w:pStyle w:val="StyleZakonu"/>
              <w:rPr>
                <w:color w:val="000000" w:themeColor="text1"/>
              </w:rPr>
            </w:pPr>
          </w:p>
        </w:tc>
      </w:tr>
      <w:tr w:rsidR="00826C07" w:rsidRPr="00286216" w14:paraId="4144A646" w14:textId="77777777" w:rsidTr="00091AA5">
        <w:tc>
          <w:tcPr>
            <w:tcW w:w="576" w:type="dxa"/>
          </w:tcPr>
          <w:p w14:paraId="3C0E19CC" w14:textId="77777777" w:rsidR="00826C07" w:rsidRPr="00286216" w:rsidRDefault="00826C07" w:rsidP="00826C07">
            <w:pPr>
              <w:pStyle w:val="StyleWisnow"/>
              <w:rPr>
                <w:color w:val="000000" w:themeColor="text1"/>
              </w:rPr>
            </w:pPr>
            <w:bookmarkStart w:id="1532" w:name="n1784" w:colFirst="0" w:colLast="0"/>
            <w:bookmarkEnd w:id="1531"/>
            <w:r w:rsidRPr="00286216">
              <w:rPr>
                <w:color w:val="000000" w:themeColor="text1"/>
              </w:rPr>
              <w:t>1784.</w:t>
            </w:r>
          </w:p>
        </w:tc>
        <w:tc>
          <w:tcPr>
            <w:tcW w:w="4818" w:type="dxa"/>
          </w:tcPr>
          <w:p w14:paraId="04006AA0" w14:textId="77777777" w:rsidR="00826C07" w:rsidRPr="00286216" w:rsidRDefault="00826C07" w:rsidP="00E71C29">
            <w:pPr>
              <w:pStyle w:val="StyleZakonu"/>
              <w:spacing w:after="40" w:line="214" w:lineRule="exact"/>
              <w:rPr>
                <w:color w:val="000000" w:themeColor="text1"/>
              </w:rPr>
            </w:pPr>
            <w:r w:rsidRPr="00286216">
              <w:rPr>
                <w:color w:val="000000" w:themeColor="text1"/>
              </w:rPr>
              <w:t>2) настання відповідної обставини (випадку) для проведення зборів;</w:t>
            </w:r>
          </w:p>
        </w:tc>
        <w:tc>
          <w:tcPr>
            <w:tcW w:w="3686" w:type="dxa"/>
          </w:tcPr>
          <w:p w14:paraId="1F07227E" w14:textId="77777777" w:rsidR="00826C07" w:rsidRPr="00286216" w:rsidRDefault="00826C07" w:rsidP="00826C07">
            <w:pPr>
              <w:pStyle w:val="StyleProp"/>
              <w:rPr>
                <w:color w:val="000000" w:themeColor="text1"/>
                <w:szCs w:val="18"/>
              </w:rPr>
            </w:pPr>
          </w:p>
        </w:tc>
        <w:tc>
          <w:tcPr>
            <w:tcW w:w="1987" w:type="dxa"/>
          </w:tcPr>
          <w:p w14:paraId="6FC2EF3F" w14:textId="77777777" w:rsidR="00826C07" w:rsidRPr="00286216" w:rsidRDefault="00826C07" w:rsidP="00826C07">
            <w:pPr>
              <w:pStyle w:val="StyleWisnow"/>
              <w:rPr>
                <w:color w:val="000000" w:themeColor="text1"/>
              </w:rPr>
            </w:pPr>
          </w:p>
        </w:tc>
        <w:tc>
          <w:tcPr>
            <w:tcW w:w="4818" w:type="dxa"/>
          </w:tcPr>
          <w:p w14:paraId="24613BED" w14:textId="77777777" w:rsidR="00826C07" w:rsidRPr="00286216" w:rsidRDefault="00826C07" w:rsidP="00826C07">
            <w:pPr>
              <w:pStyle w:val="StyleZakonu"/>
              <w:rPr>
                <w:color w:val="000000" w:themeColor="text1"/>
              </w:rPr>
            </w:pPr>
          </w:p>
        </w:tc>
      </w:tr>
      <w:tr w:rsidR="00826C07" w:rsidRPr="00286216" w14:paraId="535BB86A" w14:textId="77777777" w:rsidTr="00091AA5">
        <w:tc>
          <w:tcPr>
            <w:tcW w:w="576" w:type="dxa"/>
          </w:tcPr>
          <w:p w14:paraId="01ABA798" w14:textId="77777777" w:rsidR="00826C07" w:rsidRPr="00286216" w:rsidRDefault="00826C07" w:rsidP="00826C07">
            <w:pPr>
              <w:pStyle w:val="StyleWisnow"/>
              <w:rPr>
                <w:color w:val="000000" w:themeColor="text1"/>
              </w:rPr>
            </w:pPr>
            <w:bookmarkStart w:id="1533" w:name="n1785" w:colFirst="0" w:colLast="0"/>
            <w:bookmarkEnd w:id="1532"/>
            <w:r w:rsidRPr="00286216">
              <w:rPr>
                <w:color w:val="000000" w:themeColor="text1"/>
              </w:rPr>
              <w:t>1785.</w:t>
            </w:r>
          </w:p>
        </w:tc>
        <w:tc>
          <w:tcPr>
            <w:tcW w:w="4818" w:type="dxa"/>
          </w:tcPr>
          <w:p w14:paraId="314935BB" w14:textId="77777777" w:rsidR="00826C07" w:rsidRPr="00286216" w:rsidRDefault="00826C07" w:rsidP="00E71C29">
            <w:pPr>
              <w:pStyle w:val="StyleZakonu"/>
              <w:spacing w:after="40" w:line="214" w:lineRule="exact"/>
              <w:rPr>
                <w:color w:val="000000" w:themeColor="text1"/>
              </w:rPr>
            </w:pPr>
            <w:r w:rsidRPr="00286216">
              <w:rPr>
                <w:color w:val="000000" w:themeColor="text1"/>
              </w:rPr>
              <w:t>3) проект порядку денного зборів власників облігацій.</w:t>
            </w:r>
          </w:p>
        </w:tc>
        <w:tc>
          <w:tcPr>
            <w:tcW w:w="3686" w:type="dxa"/>
          </w:tcPr>
          <w:p w14:paraId="609F13A9" w14:textId="77777777" w:rsidR="00826C07" w:rsidRPr="00286216" w:rsidRDefault="00826C07" w:rsidP="00826C07">
            <w:pPr>
              <w:pStyle w:val="StyleProp"/>
              <w:rPr>
                <w:color w:val="000000" w:themeColor="text1"/>
                <w:szCs w:val="18"/>
              </w:rPr>
            </w:pPr>
          </w:p>
        </w:tc>
        <w:tc>
          <w:tcPr>
            <w:tcW w:w="1987" w:type="dxa"/>
          </w:tcPr>
          <w:p w14:paraId="51C22B3C" w14:textId="77777777" w:rsidR="00826C07" w:rsidRPr="00286216" w:rsidRDefault="00826C07" w:rsidP="00826C07">
            <w:pPr>
              <w:pStyle w:val="StyleWisnow"/>
              <w:rPr>
                <w:color w:val="000000" w:themeColor="text1"/>
              </w:rPr>
            </w:pPr>
          </w:p>
        </w:tc>
        <w:tc>
          <w:tcPr>
            <w:tcW w:w="4818" w:type="dxa"/>
          </w:tcPr>
          <w:p w14:paraId="21018BC5" w14:textId="77777777" w:rsidR="00826C07" w:rsidRPr="00286216" w:rsidRDefault="00826C07" w:rsidP="00826C07">
            <w:pPr>
              <w:pStyle w:val="StyleZakonu"/>
              <w:rPr>
                <w:color w:val="000000" w:themeColor="text1"/>
              </w:rPr>
            </w:pPr>
          </w:p>
        </w:tc>
      </w:tr>
      <w:tr w:rsidR="00826C07" w:rsidRPr="00286216" w14:paraId="3DA6C060" w14:textId="77777777" w:rsidTr="00091AA5">
        <w:tc>
          <w:tcPr>
            <w:tcW w:w="576" w:type="dxa"/>
          </w:tcPr>
          <w:p w14:paraId="00BEAF07" w14:textId="77777777" w:rsidR="00826C07" w:rsidRPr="00286216" w:rsidRDefault="00826C07" w:rsidP="00826C07">
            <w:pPr>
              <w:pStyle w:val="StyleWisnow"/>
              <w:rPr>
                <w:color w:val="000000" w:themeColor="text1"/>
              </w:rPr>
            </w:pPr>
            <w:bookmarkStart w:id="1534" w:name="n1786" w:colFirst="0" w:colLast="0"/>
            <w:bookmarkEnd w:id="1533"/>
            <w:r w:rsidRPr="00286216">
              <w:rPr>
                <w:color w:val="000000" w:themeColor="text1"/>
              </w:rPr>
              <w:t>1786.</w:t>
            </w:r>
          </w:p>
        </w:tc>
        <w:tc>
          <w:tcPr>
            <w:tcW w:w="4818" w:type="dxa"/>
          </w:tcPr>
          <w:p w14:paraId="2E4D3DF7" w14:textId="77777777" w:rsidR="00826C07" w:rsidRPr="00286216" w:rsidRDefault="00826C07" w:rsidP="00E71C29">
            <w:pPr>
              <w:pStyle w:val="StyleZakonu"/>
              <w:spacing w:after="40" w:line="214" w:lineRule="exact"/>
              <w:rPr>
                <w:color w:val="000000" w:themeColor="text1"/>
              </w:rPr>
            </w:pPr>
            <w:r w:rsidRPr="00286216">
              <w:rPr>
                <w:color w:val="000000" w:themeColor="text1"/>
              </w:rPr>
              <w:t>6. Емітент (у разі якщо особою, відповідальною за проведення зборів, є адміністратор) або один чи декілька власників облігацій, які у сукупності володіють облігаціями, сумарна номінальна вартість яких не менша у кількості не менше ніж 10 відсотків від загальної номінальної вартості непогашених облігацій відповідного випуску облігацій можуть протягом десяти робочих днів з дати надсилання особою, відповідальною за проведення зборів, повідомлення про проведення зборів власників облігацій подати особі, відповідальній за проведення зборів:</w:t>
            </w:r>
          </w:p>
        </w:tc>
        <w:tc>
          <w:tcPr>
            <w:tcW w:w="3686" w:type="dxa"/>
          </w:tcPr>
          <w:p w14:paraId="644EFCD4" w14:textId="77777777" w:rsidR="00826C07" w:rsidRPr="00286216" w:rsidRDefault="00826C07" w:rsidP="00826C07">
            <w:pPr>
              <w:pStyle w:val="StyleProp"/>
              <w:rPr>
                <w:color w:val="000000" w:themeColor="text1"/>
                <w:szCs w:val="18"/>
              </w:rPr>
            </w:pPr>
          </w:p>
        </w:tc>
        <w:tc>
          <w:tcPr>
            <w:tcW w:w="1987" w:type="dxa"/>
          </w:tcPr>
          <w:p w14:paraId="45463D06" w14:textId="77777777" w:rsidR="00826C07" w:rsidRPr="00286216" w:rsidRDefault="00826C07" w:rsidP="00826C07">
            <w:pPr>
              <w:pStyle w:val="StyleWisnow"/>
              <w:rPr>
                <w:color w:val="000000" w:themeColor="text1"/>
              </w:rPr>
            </w:pPr>
          </w:p>
        </w:tc>
        <w:tc>
          <w:tcPr>
            <w:tcW w:w="4818" w:type="dxa"/>
          </w:tcPr>
          <w:p w14:paraId="329FF5D5" w14:textId="77777777" w:rsidR="00826C07" w:rsidRPr="00286216" w:rsidRDefault="00826C07" w:rsidP="00826C07">
            <w:pPr>
              <w:pStyle w:val="StyleZakonu"/>
              <w:rPr>
                <w:color w:val="000000" w:themeColor="text1"/>
              </w:rPr>
            </w:pPr>
          </w:p>
        </w:tc>
      </w:tr>
      <w:tr w:rsidR="00826C07" w:rsidRPr="00286216" w14:paraId="4CEF57AB" w14:textId="77777777" w:rsidTr="00091AA5">
        <w:tc>
          <w:tcPr>
            <w:tcW w:w="576" w:type="dxa"/>
          </w:tcPr>
          <w:p w14:paraId="412EEE1A" w14:textId="77777777" w:rsidR="00826C07" w:rsidRPr="00286216" w:rsidRDefault="00826C07" w:rsidP="00826C07">
            <w:pPr>
              <w:pStyle w:val="StyleWisnow"/>
              <w:rPr>
                <w:color w:val="000000" w:themeColor="text1"/>
              </w:rPr>
            </w:pPr>
            <w:bookmarkStart w:id="1535" w:name="n1787" w:colFirst="0" w:colLast="0"/>
            <w:bookmarkEnd w:id="1534"/>
            <w:r w:rsidRPr="00286216">
              <w:rPr>
                <w:color w:val="000000" w:themeColor="text1"/>
              </w:rPr>
              <w:t>1787.</w:t>
            </w:r>
          </w:p>
        </w:tc>
        <w:tc>
          <w:tcPr>
            <w:tcW w:w="4818" w:type="dxa"/>
          </w:tcPr>
          <w:p w14:paraId="4071435F" w14:textId="77777777" w:rsidR="00826C07" w:rsidRPr="00286216" w:rsidRDefault="00826C07" w:rsidP="00E71C29">
            <w:pPr>
              <w:pStyle w:val="StyleZakonu"/>
              <w:spacing w:after="40" w:line="214" w:lineRule="exact"/>
              <w:rPr>
                <w:color w:val="000000" w:themeColor="text1"/>
              </w:rPr>
            </w:pPr>
            <w:r w:rsidRPr="00286216">
              <w:rPr>
                <w:color w:val="000000" w:themeColor="text1"/>
              </w:rPr>
              <w:t>1) свої пропозиції щодо розгляду зборами власників облігацій інших питань порядку денного;</w:t>
            </w:r>
          </w:p>
        </w:tc>
        <w:tc>
          <w:tcPr>
            <w:tcW w:w="3686" w:type="dxa"/>
          </w:tcPr>
          <w:p w14:paraId="54326AE1" w14:textId="77777777" w:rsidR="00826C07" w:rsidRPr="00286216" w:rsidRDefault="00826C07" w:rsidP="00826C07">
            <w:pPr>
              <w:pStyle w:val="StyleProp"/>
              <w:rPr>
                <w:color w:val="000000" w:themeColor="text1"/>
                <w:szCs w:val="18"/>
              </w:rPr>
            </w:pPr>
          </w:p>
        </w:tc>
        <w:tc>
          <w:tcPr>
            <w:tcW w:w="1987" w:type="dxa"/>
          </w:tcPr>
          <w:p w14:paraId="2D3B0BA3" w14:textId="77777777" w:rsidR="00826C07" w:rsidRPr="00286216" w:rsidRDefault="00826C07" w:rsidP="00826C07">
            <w:pPr>
              <w:pStyle w:val="StyleWisnow"/>
              <w:rPr>
                <w:color w:val="000000" w:themeColor="text1"/>
              </w:rPr>
            </w:pPr>
          </w:p>
        </w:tc>
        <w:tc>
          <w:tcPr>
            <w:tcW w:w="4818" w:type="dxa"/>
          </w:tcPr>
          <w:p w14:paraId="4D3A3425" w14:textId="77777777" w:rsidR="00826C07" w:rsidRPr="00286216" w:rsidRDefault="00826C07" w:rsidP="00826C07">
            <w:pPr>
              <w:pStyle w:val="StyleZakonu"/>
              <w:rPr>
                <w:color w:val="000000" w:themeColor="text1"/>
              </w:rPr>
            </w:pPr>
          </w:p>
        </w:tc>
      </w:tr>
      <w:tr w:rsidR="00826C07" w:rsidRPr="00286216" w14:paraId="5CB3CDEE" w14:textId="77777777" w:rsidTr="00091AA5">
        <w:tc>
          <w:tcPr>
            <w:tcW w:w="576" w:type="dxa"/>
          </w:tcPr>
          <w:p w14:paraId="15030800" w14:textId="77777777" w:rsidR="00826C07" w:rsidRPr="00286216" w:rsidRDefault="00826C07" w:rsidP="00826C07">
            <w:pPr>
              <w:pStyle w:val="StyleWisnow"/>
              <w:rPr>
                <w:color w:val="000000" w:themeColor="text1"/>
              </w:rPr>
            </w:pPr>
            <w:bookmarkStart w:id="1536" w:name="n1788" w:colFirst="0" w:colLast="0"/>
            <w:bookmarkEnd w:id="1535"/>
            <w:r w:rsidRPr="00286216">
              <w:rPr>
                <w:color w:val="000000" w:themeColor="text1"/>
              </w:rPr>
              <w:t>1788.</w:t>
            </w:r>
          </w:p>
        </w:tc>
        <w:tc>
          <w:tcPr>
            <w:tcW w:w="4818" w:type="dxa"/>
          </w:tcPr>
          <w:p w14:paraId="3056A96A" w14:textId="77777777" w:rsidR="00826C07" w:rsidRPr="00286216" w:rsidRDefault="00826C07" w:rsidP="00E71C29">
            <w:pPr>
              <w:pStyle w:val="StyleZakonu"/>
              <w:spacing w:after="40" w:line="214" w:lineRule="exact"/>
              <w:rPr>
                <w:color w:val="000000" w:themeColor="text1"/>
              </w:rPr>
            </w:pPr>
            <w:r w:rsidRPr="00286216">
              <w:rPr>
                <w:color w:val="000000" w:themeColor="text1"/>
              </w:rPr>
              <w:t>2) заяву про необхідність проведення засідання зборів власників облігацій;</w:t>
            </w:r>
          </w:p>
        </w:tc>
        <w:tc>
          <w:tcPr>
            <w:tcW w:w="3686" w:type="dxa"/>
          </w:tcPr>
          <w:p w14:paraId="07AE10F1" w14:textId="77777777" w:rsidR="00826C07" w:rsidRPr="00286216" w:rsidRDefault="00826C07" w:rsidP="00826C07">
            <w:pPr>
              <w:pStyle w:val="StyleProp"/>
              <w:rPr>
                <w:color w:val="000000" w:themeColor="text1"/>
                <w:szCs w:val="18"/>
              </w:rPr>
            </w:pPr>
          </w:p>
        </w:tc>
        <w:tc>
          <w:tcPr>
            <w:tcW w:w="1987" w:type="dxa"/>
          </w:tcPr>
          <w:p w14:paraId="3BCCA154" w14:textId="77777777" w:rsidR="00826C07" w:rsidRPr="00286216" w:rsidRDefault="00826C07" w:rsidP="00826C07">
            <w:pPr>
              <w:pStyle w:val="StyleWisnow"/>
              <w:rPr>
                <w:color w:val="000000" w:themeColor="text1"/>
              </w:rPr>
            </w:pPr>
          </w:p>
        </w:tc>
        <w:tc>
          <w:tcPr>
            <w:tcW w:w="4818" w:type="dxa"/>
          </w:tcPr>
          <w:p w14:paraId="3455DAB3" w14:textId="77777777" w:rsidR="00826C07" w:rsidRPr="00286216" w:rsidRDefault="00826C07" w:rsidP="00826C07">
            <w:pPr>
              <w:pStyle w:val="StyleZakonu"/>
              <w:rPr>
                <w:color w:val="000000" w:themeColor="text1"/>
              </w:rPr>
            </w:pPr>
          </w:p>
        </w:tc>
      </w:tr>
      <w:tr w:rsidR="00826C07" w:rsidRPr="00286216" w14:paraId="6AC8D94B" w14:textId="77777777" w:rsidTr="00091AA5">
        <w:tc>
          <w:tcPr>
            <w:tcW w:w="576" w:type="dxa"/>
          </w:tcPr>
          <w:p w14:paraId="78F0198B" w14:textId="77777777" w:rsidR="00826C07" w:rsidRPr="00286216" w:rsidRDefault="00826C07" w:rsidP="00826C07">
            <w:pPr>
              <w:pStyle w:val="StyleWisnow"/>
              <w:rPr>
                <w:color w:val="000000" w:themeColor="text1"/>
              </w:rPr>
            </w:pPr>
            <w:bookmarkStart w:id="1537" w:name="n1789" w:colFirst="0" w:colLast="0"/>
            <w:bookmarkEnd w:id="1536"/>
            <w:r w:rsidRPr="00286216">
              <w:rPr>
                <w:color w:val="000000" w:themeColor="text1"/>
              </w:rPr>
              <w:t>1789.</w:t>
            </w:r>
          </w:p>
        </w:tc>
        <w:tc>
          <w:tcPr>
            <w:tcW w:w="4818" w:type="dxa"/>
          </w:tcPr>
          <w:p w14:paraId="2E10F3E4" w14:textId="77777777" w:rsidR="00826C07" w:rsidRPr="00286216" w:rsidRDefault="00826C07" w:rsidP="00E71C29">
            <w:pPr>
              <w:pStyle w:val="StyleZakonu"/>
              <w:spacing w:after="40" w:line="214" w:lineRule="exact"/>
              <w:rPr>
                <w:color w:val="000000" w:themeColor="text1"/>
              </w:rPr>
            </w:pPr>
            <w:r w:rsidRPr="00286216">
              <w:rPr>
                <w:color w:val="000000" w:themeColor="text1"/>
              </w:rPr>
              <w:t>3) документи та/або інформацію стосовно питань порядку денного зборів, які вони пропонують направити усім власникам облігацій.</w:t>
            </w:r>
          </w:p>
        </w:tc>
        <w:tc>
          <w:tcPr>
            <w:tcW w:w="3686" w:type="dxa"/>
          </w:tcPr>
          <w:p w14:paraId="5B69382F" w14:textId="77777777" w:rsidR="00826C07" w:rsidRPr="00286216" w:rsidRDefault="00826C07" w:rsidP="00826C07">
            <w:pPr>
              <w:pStyle w:val="StyleProp"/>
              <w:rPr>
                <w:color w:val="000000" w:themeColor="text1"/>
                <w:szCs w:val="18"/>
              </w:rPr>
            </w:pPr>
          </w:p>
        </w:tc>
        <w:tc>
          <w:tcPr>
            <w:tcW w:w="1987" w:type="dxa"/>
          </w:tcPr>
          <w:p w14:paraId="6E9D526A" w14:textId="77777777" w:rsidR="00826C07" w:rsidRPr="00286216" w:rsidRDefault="00826C07" w:rsidP="00826C07">
            <w:pPr>
              <w:pStyle w:val="StyleWisnow"/>
              <w:rPr>
                <w:color w:val="000000" w:themeColor="text1"/>
              </w:rPr>
            </w:pPr>
          </w:p>
        </w:tc>
        <w:tc>
          <w:tcPr>
            <w:tcW w:w="4818" w:type="dxa"/>
          </w:tcPr>
          <w:p w14:paraId="246FA991" w14:textId="77777777" w:rsidR="00826C07" w:rsidRPr="00286216" w:rsidRDefault="00826C07" w:rsidP="00826C07">
            <w:pPr>
              <w:pStyle w:val="StyleZakonu"/>
              <w:rPr>
                <w:color w:val="000000" w:themeColor="text1"/>
              </w:rPr>
            </w:pPr>
          </w:p>
        </w:tc>
      </w:tr>
      <w:tr w:rsidR="00826C07" w:rsidRPr="00286216" w14:paraId="78E7E3B7" w14:textId="77777777" w:rsidTr="00091AA5">
        <w:tc>
          <w:tcPr>
            <w:tcW w:w="576" w:type="dxa"/>
          </w:tcPr>
          <w:p w14:paraId="3645063C" w14:textId="77777777" w:rsidR="00826C07" w:rsidRPr="00286216" w:rsidRDefault="00826C07" w:rsidP="00826C07">
            <w:pPr>
              <w:pStyle w:val="StyleWisnow"/>
              <w:rPr>
                <w:color w:val="000000" w:themeColor="text1"/>
              </w:rPr>
            </w:pPr>
            <w:bookmarkStart w:id="1538" w:name="n1790" w:colFirst="0" w:colLast="0"/>
            <w:bookmarkEnd w:id="1537"/>
            <w:r w:rsidRPr="00286216">
              <w:rPr>
                <w:color w:val="000000" w:themeColor="text1"/>
              </w:rPr>
              <w:t>1790.</w:t>
            </w:r>
          </w:p>
        </w:tc>
        <w:tc>
          <w:tcPr>
            <w:tcW w:w="4818" w:type="dxa"/>
          </w:tcPr>
          <w:p w14:paraId="110D0C88" w14:textId="77777777" w:rsidR="00826C07" w:rsidRPr="00286216" w:rsidRDefault="00826C07" w:rsidP="00E71C29">
            <w:pPr>
              <w:pStyle w:val="StyleZakonu"/>
              <w:spacing w:after="40" w:line="214" w:lineRule="exact"/>
              <w:rPr>
                <w:color w:val="000000" w:themeColor="text1"/>
              </w:rPr>
            </w:pPr>
            <w:r w:rsidRPr="00286216">
              <w:rPr>
                <w:color w:val="000000" w:themeColor="text1"/>
              </w:rPr>
              <w:t>7. Особа, відповідальна за проведення зборів, відмовляє у проведенні зборів власників облігацій, включенні питання до порядку денного зборів, направленні документа або інформації власникам облігацій, якщо відповідна вимога, пропозиція, документ або інформація не відповідає вимогам цього Закону.</w:t>
            </w:r>
          </w:p>
        </w:tc>
        <w:tc>
          <w:tcPr>
            <w:tcW w:w="3686" w:type="dxa"/>
          </w:tcPr>
          <w:p w14:paraId="3CA683FD" w14:textId="77777777" w:rsidR="00826C07" w:rsidRPr="00286216" w:rsidRDefault="00826C07" w:rsidP="00826C07">
            <w:pPr>
              <w:pStyle w:val="StyleProp"/>
              <w:rPr>
                <w:color w:val="000000" w:themeColor="text1"/>
                <w:szCs w:val="18"/>
              </w:rPr>
            </w:pPr>
          </w:p>
        </w:tc>
        <w:tc>
          <w:tcPr>
            <w:tcW w:w="1987" w:type="dxa"/>
          </w:tcPr>
          <w:p w14:paraId="5B225ECB" w14:textId="77777777" w:rsidR="00826C07" w:rsidRPr="00286216" w:rsidRDefault="00826C07" w:rsidP="00826C07">
            <w:pPr>
              <w:pStyle w:val="StyleWisnow"/>
              <w:rPr>
                <w:color w:val="000000" w:themeColor="text1"/>
              </w:rPr>
            </w:pPr>
          </w:p>
        </w:tc>
        <w:tc>
          <w:tcPr>
            <w:tcW w:w="4818" w:type="dxa"/>
          </w:tcPr>
          <w:p w14:paraId="509B8270" w14:textId="77777777" w:rsidR="00826C07" w:rsidRPr="00286216" w:rsidRDefault="00826C07" w:rsidP="00826C07">
            <w:pPr>
              <w:pStyle w:val="StyleZakonu"/>
              <w:rPr>
                <w:color w:val="000000" w:themeColor="text1"/>
              </w:rPr>
            </w:pPr>
          </w:p>
        </w:tc>
      </w:tr>
      <w:tr w:rsidR="00826C07" w:rsidRPr="00286216" w14:paraId="2A64B93D" w14:textId="77777777" w:rsidTr="00091AA5">
        <w:tc>
          <w:tcPr>
            <w:tcW w:w="576" w:type="dxa"/>
          </w:tcPr>
          <w:p w14:paraId="7317EC4C" w14:textId="77777777" w:rsidR="00826C07" w:rsidRPr="00286216" w:rsidRDefault="00826C07" w:rsidP="00826C07">
            <w:pPr>
              <w:pStyle w:val="StyleWisnow"/>
              <w:rPr>
                <w:color w:val="000000" w:themeColor="text1"/>
              </w:rPr>
            </w:pPr>
            <w:bookmarkStart w:id="1539" w:name="n1791" w:colFirst="0" w:colLast="0"/>
            <w:bookmarkEnd w:id="1538"/>
            <w:r w:rsidRPr="00286216">
              <w:rPr>
                <w:color w:val="000000" w:themeColor="text1"/>
              </w:rPr>
              <w:lastRenderedPageBreak/>
              <w:t>1791.</w:t>
            </w:r>
          </w:p>
        </w:tc>
        <w:tc>
          <w:tcPr>
            <w:tcW w:w="4818" w:type="dxa"/>
          </w:tcPr>
          <w:p w14:paraId="77D11385" w14:textId="77777777" w:rsidR="00826C07" w:rsidRPr="00286216" w:rsidRDefault="00826C07" w:rsidP="00E71C29">
            <w:pPr>
              <w:pStyle w:val="StyleZakonu"/>
              <w:spacing w:after="40" w:line="214" w:lineRule="exact"/>
              <w:rPr>
                <w:color w:val="000000" w:themeColor="text1"/>
              </w:rPr>
            </w:pPr>
            <w:r w:rsidRPr="00286216">
              <w:rPr>
                <w:color w:val="000000" w:themeColor="text1"/>
              </w:rPr>
              <w:t>Мотивована відмова у проведенні зборів власників облігацій, включенні питання до порядку денного зборів направляється особою, відповідальною за проведення зборів, особам, від яких надійшла відповідна вимога або пропозиція, не пізніше наступного робочого дня після її надходження. Особи, від яких надійшла пропозиція щодо питань порядку денного зборів, вправі подати нову пропозицію у межах строку, вказаного у частині п’ятій цієї статті.</w:t>
            </w:r>
          </w:p>
        </w:tc>
        <w:tc>
          <w:tcPr>
            <w:tcW w:w="3686" w:type="dxa"/>
          </w:tcPr>
          <w:p w14:paraId="2AE6D585" w14:textId="77777777" w:rsidR="00826C07" w:rsidRPr="00286216" w:rsidRDefault="00826C07" w:rsidP="00826C07">
            <w:pPr>
              <w:pStyle w:val="StyleProp"/>
              <w:rPr>
                <w:color w:val="000000" w:themeColor="text1"/>
                <w:szCs w:val="18"/>
              </w:rPr>
            </w:pPr>
          </w:p>
        </w:tc>
        <w:tc>
          <w:tcPr>
            <w:tcW w:w="1987" w:type="dxa"/>
          </w:tcPr>
          <w:p w14:paraId="749A210F" w14:textId="77777777" w:rsidR="00826C07" w:rsidRPr="00286216" w:rsidRDefault="00826C07" w:rsidP="00826C07">
            <w:pPr>
              <w:pStyle w:val="StyleWisnow"/>
              <w:rPr>
                <w:color w:val="000000" w:themeColor="text1"/>
              </w:rPr>
            </w:pPr>
          </w:p>
        </w:tc>
        <w:tc>
          <w:tcPr>
            <w:tcW w:w="4818" w:type="dxa"/>
          </w:tcPr>
          <w:p w14:paraId="57F3432B" w14:textId="77777777" w:rsidR="00826C07" w:rsidRPr="00286216" w:rsidRDefault="00826C07" w:rsidP="00826C07">
            <w:pPr>
              <w:pStyle w:val="StyleZakonu"/>
              <w:rPr>
                <w:color w:val="000000" w:themeColor="text1"/>
              </w:rPr>
            </w:pPr>
          </w:p>
        </w:tc>
      </w:tr>
      <w:tr w:rsidR="00826C07" w:rsidRPr="00286216" w14:paraId="2EE544EE" w14:textId="77777777" w:rsidTr="00091AA5">
        <w:tc>
          <w:tcPr>
            <w:tcW w:w="576" w:type="dxa"/>
          </w:tcPr>
          <w:p w14:paraId="75233339" w14:textId="77777777" w:rsidR="00826C07" w:rsidRPr="00286216" w:rsidRDefault="00826C07" w:rsidP="00826C07">
            <w:pPr>
              <w:pStyle w:val="StyleWisnow"/>
              <w:rPr>
                <w:color w:val="000000" w:themeColor="text1"/>
              </w:rPr>
            </w:pPr>
            <w:bookmarkStart w:id="1540" w:name="n1792" w:colFirst="0" w:colLast="0"/>
            <w:bookmarkEnd w:id="1539"/>
            <w:r w:rsidRPr="00286216">
              <w:rPr>
                <w:color w:val="000000" w:themeColor="text1"/>
              </w:rPr>
              <w:t>1792.</w:t>
            </w:r>
          </w:p>
        </w:tc>
        <w:tc>
          <w:tcPr>
            <w:tcW w:w="4818" w:type="dxa"/>
          </w:tcPr>
          <w:p w14:paraId="6270F848" w14:textId="77777777" w:rsidR="00826C07" w:rsidRPr="00286216" w:rsidRDefault="00826C07" w:rsidP="00E71C29">
            <w:pPr>
              <w:pStyle w:val="StyleZakonu"/>
              <w:spacing w:after="40" w:line="214" w:lineRule="exact"/>
              <w:rPr>
                <w:color w:val="000000" w:themeColor="text1"/>
              </w:rPr>
            </w:pPr>
            <w:r w:rsidRPr="00286216">
              <w:rPr>
                <w:color w:val="000000" w:themeColor="text1"/>
              </w:rPr>
              <w:t>У разі, якщо протягом встановленого законом строку після отримання належним чином оформленої вимоги про проведення зборів власників облігацій від одного чи декількох власників, які у сукупності володіють облігаціями, сумарна номінальна вартість яких не менша ніж 10 відсотків від загальної номінальної вартості непогашених облігацій відповідного випуску, особа, відповідальна за проведення зборів, не здійснила визначених законом дій щодо проведення загальних зборів власників облігацій, такі збори можуть бути скликані особою, яка має право вимагати скликання зборів у порядку передбаченому частиною третьою статті 119 цього Закону.</w:t>
            </w:r>
          </w:p>
        </w:tc>
        <w:tc>
          <w:tcPr>
            <w:tcW w:w="3686" w:type="dxa"/>
          </w:tcPr>
          <w:p w14:paraId="22F1D59F" w14:textId="77777777" w:rsidR="00826C07" w:rsidRPr="00286216" w:rsidRDefault="00826C07" w:rsidP="00826C07">
            <w:pPr>
              <w:pStyle w:val="StyleProp"/>
              <w:rPr>
                <w:color w:val="000000" w:themeColor="text1"/>
                <w:szCs w:val="18"/>
              </w:rPr>
            </w:pPr>
          </w:p>
        </w:tc>
        <w:tc>
          <w:tcPr>
            <w:tcW w:w="1987" w:type="dxa"/>
          </w:tcPr>
          <w:p w14:paraId="329D0B15" w14:textId="77777777" w:rsidR="00826C07" w:rsidRPr="00286216" w:rsidRDefault="00826C07" w:rsidP="00826C07">
            <w:pPr>
              <w:pStyle w:val="StyleWisnow"/>
              <w:rPr>
                <w:color w:val="000000" w:themeColor="text1"/>
              </w:rPr>
            </w:pPr>
          </w:p>
        </w:tc>
        <w:tc>
          <w:tcPr>
            <w:tcW w:w="4818" w:type="dxa"/>
          </w:tcPr>
          <w:p w14:paraId="4DBEE1B2" w14:textId="77777777" w:rsidR="00826C07" w:rsidRPr="00286216" w:rsidRDefault="00826C07" w:rsidP="00826C07">
            <w:pPr>
              <w:pStyle w:val="StyleZakonu"/>
              <w:rPr>
                <w:color w:val="000000" w:themeColor="text1"/>
              </w:rPr>
            </w:pPr>
          </w:p>
        </w:tc>
      </w:tr>
      <w:tr w:rsidR="00826C07" w:rsidRPr="00286216" w14:paraId="75E51CD1" w14:textId="77777777" w:rsidTr="00091AA5">
        <w:tc>
          <w:tcPr>
            <w:tcW w:w="576" w:type="dxa"/>
          </w:tcPr>
          <w:p w14:paraId="2C921B14" w14:textId="77777777" w:rsidR="00826C07" w:rsidRPr="00286216" w:rsidRDefault="00826C07" w:rsidP="00826C07">
            <w:pPr>
              <w:pStyle w:val="StyleWisnow"/>
              <w:rPr>
                <w:color w:val="000000" w:themeColor="text1"/>
              </w:rPr>
            </w:pPr>
            <w:bookmarkStart w:id="1541" w:name="n1793" w:colFirst="0" w:colLast="0"/>
            <w:bookmarkEnd w:id="1540"/>
            <w:r w:rsidRPr="00286216">
              <w:rPr>
                <w:color w:val="000000" w:themeColor="text1"/>
              </w:rPr>
              <w:t>1793.</w:t>
            </w:r>
          </w:p>
        </w:tc>
        <w:tc>
          <w:tcPr>
            <w:tcW w:w="4818" w:type="dxa"/>
          </w:tcPr>
          <w:p w14:paraId="7C25A614" w14:textId="77777777" w:rsidR="00826C07" w:rsidRPr="00286216" w:rsidRDefault="00826C07" w:rsidP="00E71C29">
            <w:pPr>
              <w:pStyle w:val="StyleZakonu"/>
              <w:spacing w:after="40" w:line="214" w:lineRule="exact"/>
              <w:rPr>
                <w:color w:val="000000" w:themeColor="text1"/>
              </w:rPr>
            </w:pPr>
            <w:r w:rsidRPr="00286216">
              <w:rPr>
                <w:color w:val="000000" w:themeColor="text1"/>
              </w:rPr>
              <w:t>8. Особа, відповідальна за проведення зборів, зобов’язана протягом п’яти робочих днів після закінчення строку, вказаного у частині п’ятій цієї статті, вчинити усі необхідні дії для направлення усім власникам облігацій відповідного випуску через депозитарну систему України, а також емітенту та адміністратору такої інформації:</w:t>
            </w:r>
          </w:p>
        </w:tc>
        <w:tc>
          <w:tcPr>
            <w:tcW w:w="3686" w:type="dxa"/>
          </w:tcPr>
          <w:p w14:paraId="4B6148F9" w14:textId="77777777" w:rsidR="00826C07" w:rsidRPr="00286216" w:rsidRDefault="00826C07" w:rsidP="00826C07">
            <w:pPr>
              <w:pStyle w:val="StyleProp"/>
              <w:rPr>
                <w:color w:val="000000" w:themeColor="text1"/>
                <w:szCs w:val="18"/>
              </w:rPr>
            </w:pPr>
          </w:p>
        </w:tc>
        <w:tc>
          <w:tcPr>
            <w:tcW w:w="1987" w:type="dxa"/>
          </w:tcPr>
          <w:p w14:paraId="6E394E19" w14:textId="77777777" w:rsidR="00826C07" w:rsidRPr="00286216" w:rsidRDefault="00826C07" w:rsidP="00826C07">
            <w:pPr>
              <w:pStyle w:val="StyleWisnow"/>
              <w:rPr>
                <w:color w:val="000000" w:themeColor="text1"/>
              </w:rPr>
            </w:pPr>
          </w:p>
        </w:tc>
        <w:tc>
          <w:tcPr>
            <w:tcW w:w="4818" w:type="dxa"/>
          </w:tcPr>
          <w:p w14:paraId="27760686" w14:textId="77777777" w:rsidR="00826C07" w:rsidRPr="00286216" w:rsidRDefault="00826C07" w:rsidP="00826C07">
            <w:pPr>
              <w:pStyle w:val="StyleZakonu"/>
              <w:rPr>
                <w:color w:val="000000" w:themeColor="text1"/>
              </w:rPr>
            </w:pPr>
          </w:p>
        </w:tc>
      </w:tr>
      <w:tr w:rsidR="00826C07" w:rsidRPr="00286216" w14:paraId="205EA089" w14:textId="77777777" w:rsidTr="00091AA5">
        <w:tc>
          <w:tcPr>
            <w:tcW w:w="576" w:type="dxa"/>
          </w:tcPr>
          <w:p w14:paraId="718F6B78" w14:textId="77777777" w:rsidR="00826C07" w:rsidRPr="00286216" w:rsidRDefault="00826C07" w:rsidP="00826C07">
            <w:pPr>
              <w:pStyle w:val="StyleWisnow"/>
              <w:rPr>
                <w:color w:val="000000" w:themeColor="text1"/>
              </w:rPr>
            </w:pPr>
            <w:bookmarkStart w:id="1542" w:name="n1794" w:colFirst="0" w:colLast="0"/>
            <w:bookmarkEnd w:id="1541"/>
            <w:r w:rsidRPr="00286216">
              <w:rPr>
                <w:color w:val="000000" w:themeColor="text1"/>
              </w:rPr>
              <w:t>1794.</w:t>
            </w:r>
          </w:p>
        </w:tc>
        <w:tc>
          <w:tcPr>
            <w:tcW w:w="4818" w:type="dxa"/>
          </w:tcPr>
          <w:p w14:paraId="261ACA04" w14:textId="77777777" w:rsidR="00826C07" w:rsidRPr="00286216" w:rsidRDefault="00826C07" w:rsidP="00E71C29">
            <w:pPr>
              <w:pStyle w:val="StyleZakonu"/>
              <w:spacing w:after="40" w:line="214" w:lineRule="exact"/>
              <w:rPr>
                <w:color w:val="000000" w:themeColor="text1"/>
              </w:rPr>
            </w:pPr>
            <w:r w:rsidRPr="00286216">
              <w:rPr>
                <w:color w:val="000000" w:themeColor="text1"/>
              </w:rPr>
              <w:t>1) остаточного порядку денного зборів власників облігацій, сформованого нею згідно з вимогами цієї статті;</w:t>
            </w:r>
          </w:p>
        </w:tc>
        <w:tc>
          <w:tcPr>
            <w:tcW w:w="3686" w:type="dxa"/>
          </w:tcPr>
          <w:p w14:paraId="6CC4B2D3" w14:textId="77777777" w:rsidR="00826C07" w:rsidRPr="00286216" w:rsidRDefault="00826C07" w:rsidP="00826C07">
            <w:pPr>
              <w:pStyle w:val="StyleProp"/>
              <w:rPr>
                <w:color w:val="000000" w:themeColor="text1"/>
                <w:szCs w:val="18"/>
              </w:rPr>
            </w:pPr>
          </w:p>
        </w:tc>
        <w:tc>
          <w:tcPr>
            <w:tcW w:w="1987" w:type="dxa"/>
          </w:tcPr>
          <w:p w14:paraId="510D2B68" w14:textId="77777777" w:rsidR="00826C07" w:rsidRPr="00286216" w:rsidRDefault="00826C07" w:rsidP="00826C07">
            <w:pPr>
              <w:pStyle w:val="StyleWisnow"/>
              <w:rPr>
                <w:color w:val="000000" w:themeColor="text1"/>
              </w:rPr>
            </w:pPr>
          </w:p>
        </w:tc>
        <w:tc>
          <w:tcPr>
            <w:tcW w:w="4818" w:type="dxa"/>
          </w:tcPr>
          <w:p w14:paraId="01471E36" w14:textId="77777777" w:rsidR="00826C07" w:rsidRPr="00286216" w:rsidRDefault="00826C07" w:rsidP="00826C07">
            <w:pPr>
              <w:pStyle w:val="StyleZakonu"/>
              <w:rPr>
                <w:color w:val="000000" w:themeColor="text1"/>
              </w:rPr>
            </w:pPr>
          </w:p>
        </w:tc>
      </w:tr>
      <w:tr w:rsidR="00826C07" w:rsidRPr="00286216" w14:paraId="5D4EEC7E" w14:textId="77777777" w:rsidTr="00091AA5">
        <w:tc>
          <w:tcPr>
            <w:tcW w:w="576" w:type="dxa"/>
          </w:tcPr>
          <w:p w14:paraId="694173F8" w14:textId="77777777" w:rsidR="00826C07" w:rsidRPr="00286216" w:rsidRDefault="00826C07" w:rsidP="00826C07">
            <w:pPr>
              <w:pStyle w:val="StyleWisnow"/>
              <w:rPr>
                <w:color w:val="000000" w:themeColor="text1"/>
              </w:rPr>
            </w:pPr>
            <w:bookmarkStart w:id="1543" w:name="n1795" w:colFirst="0" w:colLast="0"/>
            <w:bookmarkEnd w:id="1542"/>
            <w:r w:rsidRPr="00286216">
              <w:rPr>
                <w:color w:val="000000" w:themeColor="text1"/>
              </w:rPr>
              <w:t>1795.</w:t>
            </w:r>
          </w:p>
        </w:tc>
        <w:tc>
          <w:tcPr>
            <w:tcW w:w="4818" w:type="dxa"/>
          </w:tcPr>
          <w:p w14:paraId="0F0AF263" w14:textId="77777777" w:rsidR="00826C07" w:rsidRPr="00286216" w:rsidRDefault="00826C07" w:rsidP="00E71C29">
            <w:pPr>
              <w:pStyle w:val="StyleZakonu"/>
              <w:spacing w:after="40" w:line="214" w:lineRule="exact"/>
              <w:rPr>
                <w:color w:val="000000" w:themeColor="text1"/>
              </w:rPr>
            </w:pPr>
            <w:r w:rsidRPr="00286216">
              <w:rPr>
                <w:color w:val="000000" w:themeColor="text1"/>
              </w:rPr>
              <w:t>2) документів та/або інформації, необхідних для розгляду питань порядку денного, у тому числі тих, що надійшли від емітента, власників облігацій, адміністратора, суду, інших осіб;</w:t>
            </w:r>
          </w:p>
        </w:tc>
        <w:tc>
          <w:tcPr>
            <w:tcW w:w="3686" w:type="dxa"/>
          </w:tcPr>
          <w:p w14:paraId="3201705F" w14:textId="77777777" w:rsidR="00826C07" w:rsidRPr="00286216" w:rsidRDefault="00826C07" w:rsidP="00826C07">
            <w:pPr>
              <w:pStyle w:val="StyleProp"/>
              <w:rPr>
                <w:color w:val="000000" w:themeColor="text1"/>
                <w:szCs w:val="18"/>
              </w:rPr>
            </w:pPr>
          </w:p>
        </w:tc>
        <w:tc>
          <w:tcPr>
            <w:tcW w:w="1987" w:type="dxa"/>
          </w:tcPr>
          <w:p w14:paraId="7C40AD06" w14:textId="77777777" w:rsidR="00826C07" w:rsidRPr="00286216" w:rsidRDefault="00826C07" w:rsidP="00826C07">
            <w:pPr>
              <w:pStyle w:val="StyleWisnow"/>
              <w:rPr>
                <w:color w:val="000000" w:themeColor="text1"/>
              </w:rPr>
            </w:pPr>
          </w:p>
        </w:tc>
        <w:tc>
          <w:tcPr>
            <w:tcW w:w="4818" w:type="dxa"/>
          </w:tcPr>
          <w:p w14:paraId="583AA814" w14:textId="77777777" w:rsidR="00826C07" w:rsidRPr="00286216" w:rsidRDefault="00826C07" w:rsidP="00826C07">
            <w:pPr>
              <w:pStyle w:val="StyleZakonu"/>
              <w:rPr>
                <w:color w:val="000000" w:themeColor="text1"/>
              </w:rPr>
            </w:pPr>
          </w:p>
        </w:tc>
      </w:tr>
      <w:tr w:rsidR="00826C07" w:rsidRPr="00286216" w14:paraId="6AC60B5C" w14:textId="77777777" w:rsidTr="00091AA5">
        <w:tc>
          <w:tcPr>
            <w:tcW w:w="576" w:type="dxa"/>
          </w:tcPr>
          <w:p w14:paraId="37D386D3" w14:textId="77777777" w:rsidR="00826C07" w:rsidRPr="00286216" w:rsidRDefault="00826C07" w:rsidP="00826C07">
            <w:pPr>
              <w:pStyle w:val="StyleWisnow"/>
              <w:rPr>
                <w:color w:val="000000" w:themeColor="text1"/>
              </w:rPr>
            </w:pPr>
            <w:bookmarkStart w:id="1544" w:name="n1796" w:colFirst="0" w:colLast="0"/>
            <w:bookmarkEnd w:id="1543"/>
            <w:r w:rsidRPr="00286216">
              <w:rPr>
                <w:color w:val="000000" w:themeColor="text1"/>
              </w:rPr>
              <w:t>1796.</w:t>
            </w:r>
          </w:p>
        </w:tc>
        <w:tc>
          <w:tcPr>
            <w:tcW w:w="4818" w:type="dxa"/>
          </w:tcPr>
          <w:p w14:paraId="48E81974" w14:textId="77777777" w:rsidR="00826C07" w:rsidRPr="00286216" w:rsidRDefault="00826C07" w:rsidP="00E71C29">
            <w:pPr>
              <w:pStyle w:val="StyleZakonu"/>
              <w:spacing w:after="40" w:line="214" w:lineRule="exact"/>
              <w:rPr>
                <w:color w:val="000000" w:themeColor="text1"/>
              </w:rPr>
            </w:pPr>
            <w:r w:rsidRPr="00286216">
              <w:rPr>
                <w:color w:val="000000" w:themeColor="text1"/>
              </w:rPr>
              <w:t>3) дати завершення голосування, визначеної згідно з вимогами цього Закону.</w:t>
            </w:r>
          </w:p>
        </w:tc>
        <w:tc>
          <w:tcPr>
            <w:tcW w:w="3686" w:type="dxa"/>
          </w:tcPr>
          <w:p w14:paraId="0B2557F4" w14:textId="77777777" w:rsidR="00826C07" w:rsidRPr="00286216" w:rsidRDefault="00826C07" w:rsidP="00826C07">
            <w:pPr>
              <w:pStyle w:val="StyleProp"/>
              <w:rPr>
                <w:color w:val="000000" w:themeColor="text1"/>
                <w:szCs w:val="18"/>
              </w:rPr>
            </w:pPr>
          </w:p>
        </w:tc>
        <w:tc>
          <w:tcPr>
            <w:tcW w:w="1987" w:type="dxa"/>
          </w:tcPr>
          <w:p w14:paraId="32ABD2D4" w14:textId="77777777" w:rsidR="00826C07" w:rsidRPr="00286216" w:rsidRDefault="00826C07" w:rsidP="00826C07">
            <w:pPr>
              <w:pStyle w:val="StyleWisnow"/>
              <w:rPr>
                <w:color w:val="000000" w:themeColor="text1"/>
              </w:rPr>
            </w:pPr>
          </w:p>
        </w:tc>
        <w:tc>
          <w:tcPr>
            <w:tcW w:w="4818" w:type="dxa"/>
          </w:tcPr>
          <w:p w14:paraId="04C3E8C9" w14:textId="77777777" w:rsidR="00826C07" w:rsidRPr="00286216" w:rsidRDefault="00826C07" w:rsidP="00826C07">
            <w:pPr>
              <w:pStyle w:val="StyleZakonu"/>
              <w:rPr>
                <w:color w:val="000000" w:themeColor="text1"/>
              </w:rPr>
            </w:pPr>
          </w:p>
        </w:tc>
      </w:tr>
      <w:tr w:rsidR="00826C07" w:rsidRPr="00286216" w14:paraId="684E2F72" w14:textId="77777777" w:rsidTr="00091AA5">
        <w:tc>
          <w:tcPr>
            <w:tcW w:w="576" w:type="dxa"/>
          </w:tcPr>
          <w:p w14:paraId="4AAEA5EF" w14:textId="77777777" w:rsidR="00826C07" w:rsidRPr="00286216" w:rsidRDefault="00826C07" w:rsidP="00826C07">
            <w:pPr>
              <w:pStyle w:val="StyleWisnow"/>
              <w:rPr>
                <w:color w:val="000000" w:themeColor="text1"/>
              </w:rPr>
            </w:pPr>
            <w:bookmarkStart w:id="1545" w:name="n1797" w:colFirst="0" w:colLast="0"/>
            <w:bookmarkEnd w:id="1544"/>
            <w:r w:rsidRPr="00286216">
              <w:rPr>
                <w:color w:val="000000" w:themeColor="text1"/>
              </w:rPr>
              <w:t>1797.</w:t>
            </w:r>
          </w:p>
        </w:tc>
        <w:tc>
          <w:tcPr>
            <w:tcW w:w="4818" w:type="dxa"/>
          </w:tcPr>
          <w:p w14:paraId="29208FAD"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9. Якщо на зборах власників облігацій не було прийнято рішення з жодного з питань порядку денного через неправомочність зборів приймати рішення, особа, відповідальна за проведення зборів, зобов’язана протягом десяти робочих днів після дати завершення голосування з питань порядку денного </w:t>
            </w:r>
            <w:r w:rsidRPr="00286216">
              <w:rPr>
                <w:color w:val="000000" w:themeColor="text1"/>
              </w:rPr>
              <w:lastRenderedPageBreak/>
              <w:t>зборів, визначеної згідно з вимогами цього Закону, вчинити усі необхідні дії для направлення через депозитарну систему України усім власникам облігацій відповідного випуску (а також емітенту та/або адміністратору, якщо жоден або один з них не є особою, відповідальною за проведення зборів, ) повідомлення про проведення повторних зборів з тих самих питань порядку денного зборів власників облігацій разом з інформацією, передбаченою частиною сьомою цієї статті.</w:t>
            </w:r>
          </w:p>
        </w:tc>
        <w:tc>
          <w:tcPr>
            <w:tcW w:w="3686" w:type="dxa"/>
          </w:tcPr>
          <w:p w14:paraId="6134AF1F" w14:textId="77777777" w:rsidR="00826C07" w:rsidRPr="00286216" w:rsidRDefault="00826C07" w:rsidP="00826C07">
            <w:pPr>
              <w:pStyle w:val="StyleProp"/>
              <w:rPr>
                <w:color w:val="000000" w:themeColor="text1"/>
                <w:szCs w:val="18"/>
              </w:rPr>
            </w:pPr>
          </w:p>
        </w:tc>
        <w:tc>
          <w:tcPr>
            <w:tcW w:w="1987" w:type="dxa"/>
          </w:tcPr>
          <w:p w14:paraId="3D2F18D8" w14:textId="77777777" w:rsidR="00826C07" w:rsidRPr="00286216" w:rsidRDefault="00826C07" w:rsidP="00826C07">
            <w:pPr>
              <w:pStyle w:val="StyleWisnow"/>
              <w:rPr>
                <w:color w:val="000000" w:themeColor="text1"/>
              </w:rPr>
            </w:pPr>
          </w:p>
        </w:tc>
        <w:tc>
          <w:tcPr>
            <w:tcW w:w="4818" w:type="dxa"/>
          </w:tcPr>
          <w:p w14:paraId="52D8F57A" w14:textId="77777777" w:rsidR="00826C07" w:rsidRPr="00286216" w:rsidRDefault="00826C07" w:rsidP="00826C07">
            <w:pPr>
              <w:pStyle w:val="StyleZakonu"/>
              <w:rPr>
                <w:color w:val="000000" w:themeColor="text1"/>
              </w:rPr>
            </w:pPr>
          </w:p>
        </w:tc>
      </w:tr>
      <w:tr w:rsidR="00826C07" w:rsidRPr="00286216" w14:paraId="21A0C074" w14:textId="77777777" w:rsidTr="00091AA5">
        <w:tc>
          <w:tcPr>
            <w:tcW w:w="576" w:type="dxa"/>
          </w:tcPr>
          <w:p w14:paraId="1A7F185C" w14:textId="77777777" w:rsidR="00826C07" w:rsidRPr="00286216" w:rsidRDefault="00826C07" w:rsidP="00826C07">
            <w:pPr>
              <w:pStyle w:val="StyleWisnow"/>
              <w:rPr>
                <w:color w:val="000000" w:themeColor="text1"/>
              </w:rPr>
            </w:pPr>
            <w:bookmarkStart w:id="1546" w:name="n1798" w:colFirst="0" w:colLast="0"/>
            <w:bookmarkEnd w:id="1545"/>
            <w:r w:rsidRPr="00286216">
              <w:rPr>
                <w:color w:val="000000" w:themeColor="text1"/>
              </w:rPr>
              <w:t>1798.</w:t>
            </w:r>
          </w:p>
        </w:tc>
        <w:tc>
          <w:tcPr>
            <w:tcW w:w="4818" w:type="dxa"/>
          </w:tcPr>
          <w:p w14:paraId="18D64323" w14:textId="77777777" w:rsidR="00826C07" w:rsidRPr="00286216" w:rsidRDefault="00826C07" w:rsidP="00E71C29">
            <w:pPr>
              <w:pStyle w:val="StyleZakonu"/>
              <w:spacing w:after="40" w:line="214" w:lineRule="exact"/>
              <w:rPr>
                <w:color w:val="000000" w:themeColor="text1"/>
              </w:rPr>
            </w:pPr>
            <w:r w:rsidRPr="00286216">
              <w:rPr>
                <w:color w:val="000000" w:themeColor="text1"/>
              </w:rPr>
              <w:t>Особа, відповідальна за проведення зборів, може (а у випадках, встановлених законодавством, або на вимогу одного чи декількох власників облігацій, які у сукупності володіють облігаціями, сумарна номінальна вартість яких не менша ніж 10 відсотків від загальної номінальної вартості непогашених облігацій відповідного випуску, або на вимогу емітента, якщо особою, відповідальною за проведення зборів, є адміністратор, -зобов’язана) додавати нові документи, необхідні для розгляду питань порядку денного зборів, до раніше направлених.</w:t>
            </w:r>
          </w:p>
        </w:tc>
        <w:tc>
          <w:tcPr>
            <w:tcW w:w="3686" w:type="dxa"/>
          </w:tcPr>
          <w:p w14:paraId="6EDA54A7" w14:textId="77777777" w:rsidR="00826C07" w:rsidRPr="00286216" w:rsidRDefault="00826C07" w:rsidP="00826C07">
            <w:pPr>
              <w:pStyle w:val="StyleProp"/>
              <w:rPr>
                <w:color w:val="000000" w:themeColor="text1"/>
                <w:szCs w:val="18"/>
              </w:rPr>
            </w:pPr>
          </w:p>
        </w:tc>
        <w:tc>
          <w:tcPr>
            <w:tcW w:w="1987" w:type="dxa"/>
          </w:tcPr>
          <w:p w14:paraId="48EE7AB0" w14:textId="77777777" w:rsidR="00826C07" w:rsidRPr="00286216" w:rsidRDefault="00826C07" w:rsidP="00826C07">
            <w:pPr>
              <w:pStyle w:val="StyleWisnow"/>
              <w:rPr>
                <w:color w:val="000000" w:themeColor="text1"/>
              </w:rPr>
            </w:pPr>
          </w:p>
        </w:tc>
        <w:tc>
          <w:tcPr>
            <w:tcW w:w="4818" w:type="dxa"/>
          </w:tcPr>
          <w:p w14:paraId="7FE57AB0" w14:textId="77777777" w:rsidR="00826C07" w:rsidRPr="00286216" w:rsidRDefault="00826C07" w:rsidP="00826C07">
            <w:pPr>
              <w:pStyle w:val="StyleZakonu"/>
              <w:rPr>
                <w:color w:val="000000" w:themeColor="text1"/>
              </w:rPr>
            </w:pPr>
          </w:p>
        </w:tc>
      </w:tr>
      <w:tr w:rsidR="00826C07" w:rsidRPr="00286216" w14:paraId="273D9127" w14:textId="77777777" w:rsidTr="00091AA5">
        <w:tc>
          <w:tcPr>
            <w:tcW w:w="576" w:type="dxa"/>
          </w:tcPr>
          <w:p w14:paraId="2F03E833" w14:textId="77777777" w:rsidR="00826C07" w:rsidRPr="00286216" w:rsidRDefault="00826C07" w:rsidP="00826C07">
            <w:pPr>
              <w:pStyle w:val="StyleWisnow"/>
              <w:rPr>
                <w:color w:val="000000" w:themeColor="text1"/>
              </w:rPr>
            </w:pPr>
            <w:bookmarkStart w:id="1547" w:name="n1799" w:colFirst="0" w:colLast="0"/>
            <w:bookmarkEnd w:id="1546"/>
            <w:r w:rsidRPr="00286216">
              <w:rPr>
                <w:color w:val="000000" w:themeColor="text1"/>
              </w:rPr>
              <w:t>1799.</w:t>
            </w:r>
          </w:p>
        </w:tc>
        <w:tc>
          <w:tcPr>
            <w:tcW w:w="4818" w:type="dxa"/>
          </w:tcPr>
          <w:p w14:paraId="43EFBFFF" w14:textId="77777777" w:rsidR="00826C07" w:rsidRPr="00286216" w:rsidRDefault="00826C07" w:rsidP="00E71C29">
            <w:pPr>
              <w:pStyle w:val="StyleZakonu"/>
              <w:spacing w:after="40" w:line="214" w:lineRule="exact"/>
              <w:rPr>
                <w:color w:val="000000" w:themeColor="text1"/>
              </w:rPr>
            </w:pPr>
            <w:r w:rsidRPr="00286216">
              <w:rPr>
                <w:color w:val="000000" w:themeColor="text1"/>
              </w:rPr>
              <w:t>10. До завершення голосування на зборах власників облігацій відповідного випуску, а у випадку, передбаченому частиною восьмою цієї статті, -повторних зборах таких власників облігацій, інші збори власників облігацій відповідного випуску, не проводяться.</w:t>
            </w:r>
          </w:p>
        </w:tc>
        <w:tc>
          <w:tcPr>
            <w:tcW w:w="3686" w:type="dxa"/>
          </w:tcPr>
          <w:p w14:paraId="5FA580D0" w14:textId="77777777" w:rsidR="00826C07" w:rsidRPr="00286216" w:rsidRDefault="00826C07" w:rsidP="00826C07">
            <w:pPr>
              <w:pStyle w:val="StyleProp"/>
              <w:rPr>
                <w:color w:val="000000" w:themeColor="text1"/>
                <w:szCs w:val="18"/>
              </w:rPr>
            </w:pPr>
          </w:p>
        </w:tc>
        <w:tc>
          <w:tcPr>
            <w:tcW w:w="1987" w:type="dxa"/>
          </w:tcPr>
          <w:p w14:paraId="6B4B89F8" w14:textId="77777777" w:rsidR="00826C07" w:rsidRPr="00286216" w:rsidRDefault="00826C07" w:rsidP="00826C07">
            <w:pPr>
              <w:pStyle w:val="StyleWisnow"/>
              <w:rPr>
                <w:color w:val="000000" w:themeColor="text1"/>
              </w:rPr>
            </w:pPr>
          </w:p>
        </w:tc>
        <w:tc>
          <w:tcPr>
            <w:tcW w:w="4818" w:type="dxa"/>
          </w:tcPr>
          <w:p w14:paraId="4BF8EA33" w14:textId="77777777" w:rsidR="00826C07" w:rsidRPr="00286216" w:rsidRDefault="00826C07" w:rsidP="00826C07">
            <w:pPr>
              <w:pStyle w:val="StyleZakonu"/>
              <w:rPr>
                <w:color w:val="000000" w:themeColor="text1"/>
              </w:rPr>
            </w:pPr>
          </w:p>
        </w:tc>
      </w:tr>
      <w:tr w:rsidR="00826C07" w:rsidRPr="00286216" w14:paraId="476B643A" w14:textId="77777777" w:rsidTr="00091AA5">
        <w:tc>
          <w:tcPr>
            <w:tcW w:w="576" w:type="dxa"/>
          </w:tcPr>
          <w:p w14:paraId="7FF64AD9" w14:textId="77777777" w:rsidR="00826C07" w:rsidRPr="00286216" w:rsidRDefault="00826C07" w:rsidP="00826C07">
            <w:pPr>
              <w:pStyle w:val="StyleWisnow"/>
              <w:rPr>
                <w:color w:val="000000" w:themeColor="text1"/>
              </w:rPr>
            </w:pPr>
            <w:bookmarkStart w:id="1548" w:name="n1800" w:colFirst="0" w:colLast="0"/>
            <w:bookmarkEnd w:id="1547"/>
            <w:r w:rsidRPr="00286216">
              <w:rPr>
                <w:color w:val="000000" w:themeColor="text1"/>
              </w:rPr>
              <w:t>1800.</w:t>
            </w:r>
          </w:p>
        </w:tc>
        <w:tc>
          <w:tcPr>
            <w:tcW w:w="4818" w:type="dxa"/>
          </w:tcPr>
          <w:p w14:paraId="26A26430" w14:textId="77777777" w:rsidR="00826C07" w:rsidRPr="00286216" w:rsidRDefault="00826C07" w:rsidP="00E71C29">
            <w:pPr>
              <w:pStyle w:val="StyleZakonu"/>
              <w:spacing w:after="40" w:line="214" w:lineRule="exact"/>
              <w:rPr>
                <w:color w:val="000000" w:themeColor="text1"/>
              </w:rPr>
            </w:pPr>
            <w:r w:rsidRPr="00286216">
              <w:rPr>
                <w:color w:val="000000" w:themeColor="text1"/>
              </w:rPr>
              <w:t>11. З метою попереднього обговорення одного або декількох питань порядку денного зборів власників облігацій у разі надходження відповідної заяви згідно вимог цією статті особа, відповідальна за проведення зборів, повинна організувати засідання власників облігацій.</w:t>
            </w:r>
          </w:p>
        </w:tc>
        <w:tc>
          <w:tcPr>
            <w:tcW w:w="3686" w:type="dxa"/>
          </w:tcPr>
          <w:p w14:paraId="3EEA5AEE" w14:textId="77777777" w:rsidR="00826C07" w:rsidRPr="00286216" w:rsidRDefault="00826C07" w:rsidP="00826C07">
            <w:pPr>
              <w:pStyle w:val="StyleProp"/>
              <w:rPr>
                <w:color w:val="000000" w:themeColor="text1"/>
                <w:szCs w:val="18"/>
              </w:rPr>
            </w:pPr>
          </w:p>
        </w:tc>
        <w:tc>
          <w:tcPr>
            <w:tcW w:w="1987" w:type="dxa"/>
          </w:tcPr>
          <w:p w14:paraId="3FAF3FF7" w14:textId="77777777" w:rsidR="00826C07" w:rsidRPr="00286216" w:rsidRDefault="00826C07" w:rsidP="00826C07">
            <w:pPr>
              <w:pStyle w:val="StyleWisnow"/>
              <w:rPr>
                <w:color w:val="000000" w:themeColor="text1"/>
              </w:rPr>
            </w:pPr>
          </w:p>
        </w:tc>
        <w:tc>
          <w:tcPr>
            <w:tcW w:w="4818" w:type="dxa"/>
          </w:tcPr>
          <w:p w14:paraId="4135C8F6" w14:textId="77777777" w:rsidR="00826C07" w:rsidRPr="00286216" w:rsidRDefault="00826C07" w:rsidP="00826C07">
            <w:pPr>
              <w:pStyle w:val="StyleZakonu"/>
              <w:rPr>
                <w:color w:val="000000" w:themeColor="text1"/>
              </w:rPr>
            </w:pPr>
          </w:p>
        </w:tc>
      </w:tr>
      <w:tr w:rsidR="00826C07" w:rsidRPr="00286216" w14:paraId="4BA76E83" w14:textId="77777777" w:rsidTr="00091AA5">
        <w:tc>
          <w:tcPr>
            <w:tcW w:w="576" w:type="dxa"/>
          </w:tcPr>
          <w:p w14:paraId="7DF0DD42" w14:textId="77777777" w:rsidR="00826C07" w:rsidRPr="00286216" w:rsidRDefault="00826C07" w:rsidP="00826C07">
            <w:pPr>
              <w:pStyle w:val="StyleWisnow"/>
              <w:rPr>
                <w:color w:val="000000" w:themeColor="text1"/>
              </w:rPr>
            </w:pPr>
            <w:bookmarkStart w:id="1549" w:name="n1801" w:colFirst="0" w:colLast="0"/>
            <w:bookmarkEnd w:id="1548"/>
            <w:r w:rsidRPr="00286216">
              <w:rPr>
                <w:color w:val="000000" w:themeColor="text1"/>
              </w:rPr>
              <w:t>1801.</w:t>
            </w:r>
          </w:p>
        </w:tc>
        <w:tc>
          <w:tcPr>
            <w:tcW w:w="4818" w:type="dxa"/>
          </w:tcPr>
          <w:p w14:paraId="1C65252A" w14:textId="77777777" w:rsidR="00826C07" w:rsidRPr="00286216" w:rsidRDefault="00826C07" w:rsidP="00E71C29">
            <w:pPr>
              <w:pStyle w:val="StyleZakonu"/>
              <w:spacing w:after="40" w:line="214" w:lineRule="exact"/>
              <w:rPr>
                <w:color w:val="000000" w:themeColor="text1"/>
              </w:rPr>
            </w:pPr>
            <w:r w:rsidRPr="00286216">
              <w:rPr>
                <w:color w:val="000000" w:themeColor="text1"/>
              </w:rPr>
              <w:t>У разі організації засідання власників облігацій особа, відповідальна за проведення зборів, зобов’язана у порядку і строки, передбачені частиною сьомою цієї статті, а у випадку повторних зборів - частиною восьмою цієї статті, вчинити усі необхідні дії для направлення через депозитарну систему України усім власникам облігацій відповідного випуску, інформації про дату, час та місце проведення такого засідання, а також можливість участі у засіданні за допомогою засобів зв’язку.</w:t>
            </w:r>
          </w:p>
        </w:tc>
        <w:tc>
          <w:tcPr>
            <w:tcW w:w="3686" w:type="dxa"/>
          </w:tcPr>
          <w:p w14:paraId="6F4F7D38" w14:textId="77777777" w:rsidR="00826C07" w:rsidRPr="00286216" w:rsidRDefault="00826C07" w:rsidP="00826C07">
            <w:pPr>
              <w:pStyle w:val="StyleProp"/>
              <w:rPr>
                <w:color w:val="000000" w:themeColor="text1"/>
                <w:szCs w:val="18"/>
              </w:rPr>
            </w:pPr>
          </w:p>
        </w:tc>
        <w:tc>
          <w:tcPr>
            <w:tcW w:w="1987" w:type="dxa"/>
          </w:tcPr>
          <w:p w14:paraId="5783B9B0" w14:textId="77777777" w:rsidR="00826C07" w:rsidRPr="00286216" w:rsidRDefault="00826C07" w:rsidP="00826C07">
            <w:pPr>
              <w:pStyle w:val="StyleWisnow"/>
              <w:rPr>
                <w:color w:val="000000" w:themeColor="text1"/>
              </w:rPr>
            </w:pPr>
          </w:p>
        </w:tc>
        <w:tc>
          <w:tcPr>
            <w:tcW w:w="4818" w:type="dxa"/>
          </w:tcPr>
          <w:p w14:paraId="737787F3" w14:textId="77777777" w:rsidR="00826C07" w:rsidRPr="00286216" w:rsidRDefault="00826C07" w:rsidP="00826C07">
            <w:pPr>
              <w:pStyle w:val="StyleZakonu"/>
              <w:rPr>
                <w:color w:val="000000" w:themeColor="text1"/>
              </w:rPr>
            </w:pPr>
          </w:p>
        </w:tc>
      </w:tr>
      <w:tr w:rsidR="00826C07" w:rsidRPr="00286216" w14:paraId="0C63C91D" w14:textId="77777777" w:rsidTr="00091AA5">
        <w:tc>
          <w:tcPr>
            <w:tcW w:w="576" w:type="dxa"/>
          </w:tcPr>
          <w:p w14:paraId="71476D88" w14:textId="77777777" w:rsidR="00826C07" w:rsidRPr="00286216" w:rsidRDefault="00826C07" w:rsidP="00826C07">
            <w:pPr>
              <w:pStyle w:val="StyleWisnow"/>
              <w:rPr>
                <w:color w:val="000000" w:themeColor="text1"/>
              </w:rPr>
            </w:pPr>
            <w:bookmarkStart w:id="1550" w:name="n1802" w:colFirst="0" w:colLast="0"/>
            <w:bookmarkEnd w:id="1549"/>
            <w:r w:rsidRPr="00286216">
              <w:rPr>
                <w:color w:val="000000" w:themeColor="text1"/>
              </w:rPr>
              <w:t>1802.</w:t>
            </w:r>
          </w:p>
        </w:tc>
        <w:tc>
          <w:tcPr>
            <w:tcW w:w="4818" w:type="dxa"/>
          </w:tcPr>
          <w:p w14:paraId="5C41E15B" w14:textId="77777777" w:rsidR="00826C07" w:rsidRPr="00286216" w:rsidRDefault="00826C07" w:rsidP="00826C07">
            <w:pPr>
              <w:pStyle w:val="StyleZakonu"/>
              <w:rPr>
                <w:color w:val="000000" w:themeColor="text1"/>
              </w:rPr>
            </w:pPr>
            <w:r w:rsidRPr="00286216">
              <w:rPr>
                <w:color w:val="000000" w:themeColor="text1"/>
              </w:rPr>
              <w:t xml:space="preserve">Розгляд питань на засіданні власників облігацій є консультативним. Усі рішення власників облігацій приймаються під час проведення зборів власників </w:t>
            </w:r>
            <w:r w:rsidRPr="00286216">
              <w:rPr>
                <w:color w:val="000000" w:themeColor="text1"/>
              </w:rPr>
              <w:lastRenderedPageBreak/>
              <w:t>облігацій у порядку, передбаченому статтею 107 цього Закону.</w:t>
            </w:r>
          </w:p>
        </w:tc>
        <w:tc>
          <w:tcPr>
            <w:tcW w:w="3686" w:type="dxa"/>
          </w:tcPr>
          <w:p w14:paraId="666F5013" w14:textId="77777777" w:rsidR="00826C07" w:rsidRPr="00286216" w:rsidRDefault="00826C07" w:rsidP="00826C07">
            <w:pPr>
              <w:pStyle w:val="StyleProp"/>
              <w:rPr>
                <w:color w:val="000000" w:themeColor="text1"/>
                <w:szCs w:val="18"/>
              </w:rPr>
            </w:pPr>
          </w:p>
        </w:tc>
        <w:tc>
          <w:tcPr>
            <w:tcW w:w="1987" w:type="dxa"/>
          </w:tcPr>
          <w:p w14:paraId="575FD7F2" w14:textId="77777777" w:rsidR="00826C07" w:rsidRPr="00286216" w:rsidRDefault="00826C07" w:rsidP="00826C07">
            <w:pPr>
              <w:pStyle w:val="StyleWisnow"/>
              <w:rPr>
                <w:color w:val="000000" w:themeColor="text1"/>
              </w:rPr>
            </w:pPr>
          </w:p>
        </w:tc>
        <w:tc>
          <w:tcPr>
            <w:tcW w:w="4818" w:type="dxa"/>
          </w:tcPr>
          <w:p w14:paraId="12EC4019" w14:textId="77777777" w:rsidR="00826C07" w:rsidRPr="00286216" w:rsidRDefault="00826C07" w:rsidP="00826C07">
            <w:pPr>
              <w:pStyle w:val="StyleZakonu"/>
              <w:rPr>
                <w:color w:val="000000" w:themeColor="text1"/>
              </w:rPr>
            </w:pPr>
          </w:p>
        </w:tc>
      </w:tr>
      <w:tr w:rsidR="009D68B8" w:rsidRPr="00286216" w14:paraId="1F67F4BB" w14:textId="77777777" w:rsidTr="00091AA5">
        <w:tc>
          <w:tcPr>
            <w:tcW w:w="576" w:type="dxa"/>
          </w:tcPr>
          <w:p w14:paraId="6B2722B1" w14:textId="77777777" w:rsidR="009D68B8" w:rsidRPr="00286216" w:rsidRDefault="009D68B8" w:rsidP="009D68B8">
            <w:pPr>
              <w:pStyle w:val="StyleWisnow"/>
              <w:rPr>
                <w:color w:val="000000" w:themeColor="text1"/>
              </w:rPr>
            </w:pPr>
            <w:bookmarkStart w:id="1551" w:name="n1803" w:colFirst="0" w:colLast="0"/>
            <w:bookmarkEnd w:id="1550"/>
            <w:r w:rsidRPr="00286216">
              <w:rPr>
                <w:color w:val="000000" w:themeColor="text1"/>
              </w:rPr>
              <w:t>1803.</w:t>
            </w:r>
          </w:p>
        </w:tc>
        <w:tc>
          <w:tcPr>
            <w:tcW w:w="4818" w:type="dxa"/>
          </w:tcPr>
          <w:p w14:paraId="576AD33D" w14:textId="77777777" w:rsidR="009D68B8" w:rsidRPr="00286216" w:rsidRDefault="009D68B8" w:rsidP="009D68B8">
            <w:pPr>
              <w:pStyle w:val="StyleZakonu"/>
              <w:rPr>
                <w:color w:val="000000" w:themeColor="text1"/>
              </w:rPr>
            </w:pPr>
            <w:bookmarkStart w:id="1552" w:name="_Ref16417898"/>
            <w:r w:rsidRPr="00286216">
              <w:rPr>
                <w:color w:val="000000" w:themeColor="text1"/>
              </w:rPr>
              <w:t>Стаття 107. Порядок прийняття рішень зборами власників облігацій</w:t>
            </w:r>
            <w:bookmarkEnd w:id="1552"/>
          </w:p>
        </w:tc>
        <w:tc>
          <w:tcPr>
            <w:tcW w:w="3686" w:type="dxa"/>
          </w:tcPr>
          <w:p w14:paraId="3836BD94" w14:textId="77777777" w:rsidR="009D68B8" w:rsidRPr="00286216" w:rsidRDefault="009D68B8" w:rsidP="009D68B8">
            <w:pPr>
              <w:pStyle w:val="StyleProp"/>
              <w:rPr>
                <w:color w:val="000000" w:themeColor="text1"/>
                <w:szCs w:val="18"/>
              </w:rPr>
            </w:pPr>
          </w:p>
        </w:tc>
        <w:tc>
          <w:tcPr>
            <w:tcW w:w="1987" w:type="dxa"/>
          </w:tcPr>
          <w:p w14:paraId="27139841" w14:textId="77777777" w:rsidR="009D68B8" w:rsidRPr="00286216" w:rsidRDefault="009D68B8" w:rsidP="009D68B8">
            <w:pPr>
              <w:pStyle w:val="StyleWisnow"/>
              <w:rPr>
                <w:color w:val="000000" w:themeColor="text1"/>
              </w:rPr>
            </w:pPr>
          </w:p>
        </w:tc>
        <w:tc>
          <w:tcPr>
            <w:tcW w:w="4818" w:type="dxa"/>
          </w:tcPr>
          <w:p w14:paraId="58ED371B" w14:textId="0B691F81" w:rsidR="009D68B8" w:rsidRPr="00286216" w:rsidRDefault="009D68B8" w:rsidP="009D68B8">
            <w:pPr>
              <w:pStyle w:val="StyleZakonu"/>
              <w:rPr>
                <w:color w:val="000000" w:themeColor="text1"/>
              </w:rPr>
            </w:pPr>
            <w:r w:rsidRPr="00286216">
              <w:rPr>
                <w:color w:val="000000" w:themeColor="text1"/>
              </w:rPr>
              <w:t xml:space="preserve">Стаття 111. Порядок прийняття рішень </w:t>
            </w:r>
            <w:r w:rsidRPr="00286216">
              <w:rPr>
                <w:color w:val="000000" w:themeColor="text1"/>
                <w:spacing w:val="-3"/>
              </w:rPr>
              <w:t>зборами власників облігацій</w:t>
            </w:r>
          </w:p>
        </w:tc>
      </w:tr>
      <w:tr w:rsidR="009D68B8" w:rsidRPr="00286216" w14:paraId="418F2A0C" w14:textId="77777777" w:rsidTr="00091AA5">
        <w:tc>
          <w:tcPr>
            <w:tcW w:w="576" w:type="dxa"/>
          </w:tcPr>
          <w:p w14:paraId="72246F51" w14:textId="77777777" w:rsidR="009D68B8" w:rsidRPr="00286216" w:rsidRDefault="009D68B8" w:rsidP="009D68B8">
            <w:pPr>
              <w:pStyle w:val="StyleWisnow"/>
              <w:rPr>
                <w:color w:val="000000" w:themeColor="text1"/>
              </w:rPr>
            </w:pPr>
            <w:bookmarkStart w:id="1553" w:name="n1804" w:colFirst="0" w:colLast="0"/>
            <w:bookmarkEnd w:id="1551"/>
            <w:r w:rsidRPr="00286216">
              <w:rPr>
                <w:color w:val="000000" w:themeColor="text1"/>
              </w:rPr>
              <w:t>1804.</w:t>
            </w:r>
          </w:p>
        </w:tc>
        <w:tc>
          <w:tcPr>
            <w:tcW w:w="4818" w:type="dxa"/>
          </w:tcPr>
          <w:p w14:paraId="7ACF57E7" w14:textId="77777777" w:rsidR="009D68B8" w:rsidRPr="00286216" w:rsidRDefault="009D68B8" w:rsidP="009D68B8">
            <w:pPr>
              <w:pStyle w:val="StyleZakonu"/>
              <w:rPr>
                <w:color w:val="000000" w:themeColor="text1"/>
              </w:rPr>
            </w:pPr>
            <w:r w:rsidRPr="00286216">
              <w:rPr>
                <w:color w:val="000000" w:themeColor="text1"/>
              </w:rPr>
              <w:t>1. Одна копійка номінальної вартості непогашеної облігації надає власнику облігації один голос для вирішення кожного з питань, винесених на голосування на зборах власників облігацій.</w:t>
            </w:r>
          </w:p>
        </w:tc>
        <w:tc>
          <w:tcPr>
            <w:tcW w:w="3686" w:type="dxa"/>
          </w:tcPr>
          <w:p w14:paraId="7F6C4541" w14:textId="3EB92F20"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972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7A9D70E" w14:textId="77777777" w:rsidR="009D68B8" w:rsidRPr="00286216" w:rsidRDefault="009D68B8" w:rsidP="009D68B8">
            <w:pPr>
              <w:pStyle w:val="StyleProp"/>
              <w:spacing w:line="190" w:lineRule="exact"/>
              <w:rPr>
                <w:color w:val="000000" w:themeColor="text1"/>
                <w:szCs w:val="18"/>
              </w:rPr>
            </w:pPr>
            <w:r w:rsidRPr="00286216">
              <w:rPr>
                <w:color w:val="000000" w:themeColor="text1"/>
                <w:szCs w:val="18"/>
              </w:rPr>
              <w:t>Статтю 107 викласти в такій редакції:</w:t>
            </w:r>
          </w:p>
          <w:p w14:paraId="49AC2B72"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zCs w:val="18"/>
              </w:rPr>
              <w:t xml:space="preserve">«Стаття 107. Порядок прийняття рішень </w:t>
            </w:r>
            <w:r w:rsidRPr="00286216">
              <w:rPr>
                <w:color w:val="000000" w:themeColor="text1"/>
                <w:spacing w:val="-3"/>
                <w:szCs w:val="18"/>
              </w:rPr>
              <w:t xml:space="preserve">зборами власників облігацій </w:t>
            </w:r>
          </w:p>
          <w:p w14:paraId="6D0B9BE3"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1. Реєстрація власників облігацій (їх представників) для участі у зборах проводиться на підставі переліку власників облігацій, які мають право на участь зборах, складеного в порядку, передбаченому законодавством про депозитарну систему, станом на 24 годину за два робочих дні до початку голосування.</w:t>
            </w:r>
          </w:p>
          <w:p w14:paraId="71684DBF"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2. Реєстрація власників облігацій (їх представників) для участі у зборах проводиться протягом часу, зазначеного в повідомленні про проведення зборів власників облігацій.</w:t>
            </w:r>
          </w:p>
          <w:p w14:paraId="497B8302"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Ідентифікація та реєстрація власника облігацій (його представника) для участі у зборах здійснюється в авторизованій електронній системі за допомогою кваліфікованого електронного цифрового підпису та/або інших засобів електронної ідентифікації, що відповідають вимогам, визначеним Національною комісією з цінних паперів та фондового ринку, та у встановленому нею порядку.</w:t>
            </w:r>
          </w:p>
          <w:p w14:paraId="225DCFDA"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У разі відсутності інформації про власника облігацій у переліку власників облігацій, які мають право на участь у зборах, авторизована електронна система відмовляє в реєстрації такого власника облігацій (його представника) для участі у зборах.</w:t>
            </w:r>
          </w:p>
          <w:p w14:paraId="03FB95CC"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За результатом проведення реєстрації власників облігацій (їх представників) авторизованою електронною системою складається та направляється особі, відповідальній за проведення зборів, протокол про підсумки реєстрації із зазначенням загальної кількості голосів власників облігацій відповідного випуску та переліку власників облігацій (їх представників), які зареєструвалися для участі у зборах власників облігацій, а також інформації про правомочність зборів.</w:t>
            </w:r>
          </w:p>
          <w:p w14:paraId="65AE5E0B"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Загальною кількістю голосів власників облігацій відповідного випуску є сукупна номінальна вартість непогашених облігацій такого випуску за вирахуванням номінальної </w:t>
            </w:r>
            <w:r w:rsidRPr="00286216">
              <w:rPr>
                <w:color w:val="000000" w:themeColor="text1"/>
                <w:spacing w:val="-3"/>
                <w:szCs w:val="18"/>
              </w:rPr>
              <w:lastRenderedPageBreak/>
              <w:t>вартості тих облігацій такого випуску, які не дають їх власникам права голосу на зборах власників облігацій відповідно до частини 3 цієї статті.</w:t>
            </w:r>
          </w:p>
          <w:p w14:paraId="6D5AA8E8"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3. Право голосу на зборах власників облігацій належить власникам облігацій, крім випадків, визначених цим Законом. </w:t>
            </w:r>
          </w:p>
          <w:p w14:paraId="4A0EAF1D"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Одна гривня номінальної вартості непогашеної облігації надає власнику облігації один голос для вирішення кожного з питань, винесених на голосування на зборах власників облігацій. Національна комісія з цінних паперів та фондового ринку встановлює порядок визначення загальної кількості голосів власників облігацій щодо випусків, номінальна вартість яких визначена в іноземній валюті.</w:t>
            </w:r>
          </w:p>
          <w:p w14:paraId="3060B57E"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Не дають права голосу облігації, що належить таким особам:</w:t>
            </w:r>
          </w:p>
          <w:p w14:paraId="091F60F8"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1)емітенту таких облігацій;</w:t>
            </w:r>
          </w:p>
          <w:p w14:paraId="13D7B46E"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2)особі, яка надає забезпечення за такими облігаціями;</w:t>
            </w:r>
          </w:p>
          <w:p w14:paraId="5531AB7D"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3)особі, пов’язаній відносинами контролю з емітентом та/або особою, яка надає забезпечення за такими облігаціями;</w:t>
            </w:r>
          </w:p>
          <w:p w14:paraId="6D8CB7D8"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4)юридичній особі, в якій особи, зазначені у пунктах 1-3 цієї частини, сукупно прямо та/або опосередковано володіють частками, паями або акціями, що відповідає (відповідають) еквіваленту більше 50 відсотків статутного (складеного) капіталу та/або голосів у вищому органі управління;</w:t>
            </w:r>
          </w:p>
          <w:p w14:paraId="4A75C6B7"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5) трасту, іншому правовому утворенню, подібному до трасту, а також будь-якій іншій особі, яка володіє облігаціями в інтересах особи, вказаної в пунктах 1-4 цієї частини;</w:t>
            </w:r>
          </w:p>
          <w:p w14:paraId="23552E07"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6)власнику облігацій, який у процесі реєстрації не подав запевнення у тому, що він не є особою, зазначеною у пунктах 1-5 цієї частини.</w:t>
            </w:r>
          </w:p>
          <w:p w14:paraId="15D38A54"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Особи, що у процесі реєстрації не подали запевнення у тому, що вони не є особами, зазначеними у пунктах 1-5 цієї частини статті, не допускаються до авторизованою електронною системою до участі у голосуванні.</w:t>
            </w:r>
          </w:p>
          <w:p w14:paraId="6F6E6C70"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Відповідальність за достовірність інформації, наданої у процесі ідентифікації та реєстрації, несе власник облігацій.</w:t>
            </w:r>
          </w:p>
          <w:p w14:paraId="7A43002B"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4. Збори власників облігацій визнаються правомочними приймати рішення щодо питань порядку денного якщо за даними протоколу про підсумки реєстрації, сформованого авторизованою електронною системою, для </w:t>
            </w:r>
            <w:r w:rsidRPr="00286216">
              <w:rPr>
                <w:color w:val="000000" w:themeColor="text1"/>
                <w:spacing w:val="-3"/>
                <w:szCs w:val="18"/>
              </w:rPr>
              <w:lastRenderedPageBreak/>
              <w:t>участі у зборах власників облігацій зареєструвалися власники облігацій (їх представники), загальна кількість голосів яких дорівнює або перевищує 75 відсотків від сукупної кількості прав голосу, які надає номінальна вартість облігацій відповідного випуску.</w:t>
            </w:r>
          </w:p>
          <w:p w14:paraId="776A58A5"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Протокол про підсумки реєстрації повинен містити повідомлення про правомочність або неправомочність зборів власників облігацій приймати рішення щодо питань порядку денного. </w:t>
            </w:r>
          </w:p>
          <w:p w14:paraId="45D7A8DA"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У випадку, якщо збори власників облігацій є неправомочними приймати рішення щодо питань порядку денного згідно з даними протоколу про підсумки реєстрації, голосування з питань порядку денного зборів не проводиться.</w:t>
            </w:r>
          </w:p>
          <w:p w14:paraId="7D759739"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У такому разі особа, відповідальна за проведення зборів, визначає дії, передбачені частиною 10 статті 106 цього Закону щодо проведення повторних зборів власників облігацій.</w:t>
            </w:r>
          </w:p>
          <w:p w14:paraId="2337525B"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Повторні збори власників облігацій визнаються правомочними приймати рішення щодо питань порядку денного якщо за даними протоколу про підсумки реєстрації, сформованого авторизованою електронною системою, для участі у зборах власників облігацій зареєструвалися власники облігацій (їх представники), загальна кількість голосів яких дорівнює або перевищує 25 відсотків від сукупної кількості прав голосу, які надає номінальна вартість облігацій відповідного випуску.</w:t>
            </w:r>
          </w:p>
          <w:p w14:paraId="1C5F2F39"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5. Голосування щодо питань порядку денного зборів власників облігацій розпочинається у час та дату, зазначену у повідомленні про проведення зборів власників облігацій, надісланому через депозитарну систему України у порядку, передбаченому статтею 106 цього Закону. Програмно-технічний комплекс авторизованої електронної системи повинен забезпечувати можливість блокування початку голосування щодо питань порядку денного у випадку, якщо протокол про підсумки реєстрації містить дані про неправомочність зборів власників облігацій.</w:t>
            </w:r>
          </w:p>
          <w:p w14:paraId="0AA36019"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6. Голосування здійснюється виключно шляхом направлення власниками облігацій (їх представниками) голосів «за» чи «проти» з кожного питання порядку денного зборів через авторизовану електронну систему.</w:t>
            </w:r>
          </w:p>
          <w:p w14:paraId="38AA5003"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lastRenderedPageBreak/>
              <w:t>Представник, що діє від імені декількох власників облігацій, може голосувати з кожного питання порядку денного зборів всіма або частиною належних йому голосів та в праві одночасно голосувати однією частиною належних йому голосів «за», а іншою – «проти».</w:t>
            </w:r>
          </w:p>
          <w:p w14:paraId="78CC4E04"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Якщо станом на передбачений повідомленням про проведення зборів власників облігацій момент завершення голосування, власником облігацій (його представником), який зареєструвався для участі у зборах, не було подано голос щодо питань порядку денного, вважається, що такий власник проголосував «проти» щодо усіх питань порядку денного щодо яких ним не були направлені голоси.</w:t>
            </w:r>
          </w:p>
          <w:p w14:paraId="50D9E1DE"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7. Рішення зборів власників облігацій щодо питань, передбачених цією частиною, приймається більшістю у ¾ голосів власників облігацій відповідного випуску, які беруть участь у голосуванні щодо питань порядку денного зборів власників облігацій, що вважаються правомочними приймати рішення. Такими питаннями є:</w:t>
            </w:r>
          </w:p>
          <w:p w14:paraId="51BAE993"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1) надання згоди на внесення емітентом змін до проспекту (рішення про емісію цінних паперів) щодо розміру відсоткового доходу, розміру та/або валюти номінальної вартості облігацій, строків виплати відсоткового доходу, строків погашення, умов дострокового погашення, деномінації відповідного випуску облігацій, переліку осіб, які надають забезпечення за облігаціями, та обсягу їх відповідальності, конвертації облігацій, (далі – основні фінансові умови облігацій), внесенням пов’язаних з цим змін до правочинів щодо забезпечення виконання зобов’язань за облігаціями;</w:t>
            </w:r>
          </w:p>
          <w:p w14:paraId="0A9F83C6"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2) погодження умов реструктуризації заборгованості емітента та/або осіб, які надають забезпечення за облігаціями, перед власниками облігацій;</w:t>
            </w:r>
          </w:p>
          <w:p w14:paraId="248EEE77"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3) відмову від пред’явлення вимоги про дострокове погашення облігацій після настання дефолту (крім дефолту у зв’язку з порушенням емітентом або особою, яка надає забезпечення за облігаціями, обов’язків, встановлених проспектом (рішенням про емісію цінних паперів) та/або правочином щодо забезпечення виконання зобов’язань за облігаціями, що не належать до основних фінансових умов облігацій), надання згоди на </w:t>
            </w:r>
            <w:r w:rsidRPr="00286216">
              <w:rPr>
                <w:color w:val="000000" w:themeColor="text1"/>
                <w:spacing w:val="-3"/>
                <w:szCs w:val="18"/>
              </w:rPr>
              <w:lastRenderedPageBreak/>
              <w:t>вчинення адміністратором дій (правочинів), вказаних у частині другій статті 117 цього Закону;</w:t>
            </w:r>
          </w:p>
          <w:p w14:paraId="1A5F132A"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4) прийняття рішення про усунення від виконання обов’язків або відмову від усунення від виконання обов’язків адміністратора у разі наявності конфлікту інтересів та в інших випадках, передбачених цим Законом та/або проспектом (рішенням про емісію цінних паперів);</w:t>
            </w:r>
          </w:p>
          <w:p w14:paraId="4C6EF41F"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5) надання згоди на внесення емітентом змін до проспекту (рішення про емісію цінних паперів) щодо призначення адміністратора у випадку, передбаченому частиною другою статті 110 цього Закону.</w:t>
            </w:r>
          </w:p>
          <w:p w14:paraId="57981623"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8. Рішення зборів власників облігацій щодо питань, передбачених цією частиною, приймається простою більшістю голосів власників облігацій відповідного випуску, які беруть участь у голосуванні щодо питань порядку денного зборів, що вважаються правомочними приймати рішення. Такими питаннями є:</w:t>
            </w:r>
          </w:p>
          <w:p w14:paraId="0096247F"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1) надання згоди на внесення емітентом змін до проспекту (рішення про емісію цінних паперів) в частині документу про цінні папери, що не пов’язані зі зміною основних фінансових умов облігацій чи припиненням повноважень адміністратора, внесення пов’язаних з цим змін до правочинів щодо забезпечення виконання зобов’язань за облігаціями;</w:t>
            </w:r>
          </w:p>
          <w:p w14:paraId="1B02BF35"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2) надання згоди на тимчасове невиконання емітентом та/або особою, яка надає забезпечення за облігаціями, обов’язків, встановлених проспектом (рішенням про емісію цінних паперів), що не належать до основних фінансових умов облігацій, та/або відповідних обов’язків, передбачених правочином щодо забезпечення виконання зобов’язань за облігаціями, відмова від пред’явлення вимоги про дострокове погашення облігацій після настання дефолту у зв’язку з порушенням вказаних обов’язків;</w:t>
            </w:r>
          </w:p>
          <w:p w14:paraId="536E0808"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3) обрання адміністратора у разі, якщо він не був призначений емітентом (включаючи реєстрацію емітентом відповідних змін до проспекту (рішення про емісію цінних паперів) у строки, визначені цим Законом або проспектом (рішенням про емісію цінних паперів), якщо призначення адміністратора передбачене проспектом (рішенням про емісію цінних паперів) або у разі настання дефолту;</w:t>
            </w:r>
          </w:p>
          <w:p w14:paraId="3F36ED97"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 xml:space="preserve">4) надання згоди на внесення емітентом </w:t>
            </w:r>
            <w:r w:rsidRPr="00286216">
              <w:rPr>
                <w:color w:val="000000" w:themeColor="text1"/>
                <w:spacing w:val="-3"/>
                <w:szCs w:val="18"/>
              </w:rPr>
              <w:lastRenderedPageBreak/>
              <w:t>змін до проспекту (рішення про емісію цінних паперів) щодо призначення адміністратора у разі, якщо адміністратор відсутній;</w:t>
            </w:r>
          </w:p>
          <w:p w14:paraId="3945915F"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5) з інших питань порядку денного зборів, якщо цим Законом не встановлений інший порядок вирішення цих питань.</w:t>
            </w:r>
          </w:p>
          <w:p w14:paraId="3CE6C958"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9. За результатами проведення підрахунку голосів авторизована електронна система формує та надсилає особі, відповідальній за проведення зборів, протокол про результати голосування із зазначенням рішень, прийнятих зборами власників облігацій щодо кожного питання порядку денного та кількості голосів, поданих «за» чи «проти» щодо кожного питання порядку денного. Порядок формування протоколу про результати голосування є невід’ємною частиною порядку взаємодії з авторизованою електронною системою, вимоги до якого встановлюються Національною комісією з цінних паперів та фондового ринку.</w:t>
            </w:r>
          </w:p>
          <w:p w14:paraId="7CC71B05" w14:textId="77777777" w:rsidR="009D68B8" w:rsidRPr="00286216" w:rsidRDefault="009D68B8" w:rsidP="009D68B8">
            <w:pPr>
              <w:pStyle w:val="StyleProp"/>
              <w:spacing w:line="190" w:lineRule="exact"/>
              <w:rPr>
                <w:color w:val="000000" w:themeColor="text1"/>
                <w:spacing w:val="-3"/>
                <w:szCs w:val="18"/>
              </w:rPr>
            </w:pPr>
            <w:r w:rsidRPr="00286216">
              <w:rPr>
                <w:color w:val="000000" w:themeColor="text1"/>
                <w:spacing w:val="-3"/>
                <w:szCs w:val="18"/>
              </w:rPr>
              <w:t>Датою прийняття рішення зборами власників облігацій є дата проведення таких зборів. Датою проведення зборів є дата початку голосування з питань порядку денного зборів власників облігацій.</w:t>
            </w:r>
          </w:p>
          <w:p w14:paraId="7D6477CA" w14:textId="77777777" w:rsidR="009D68B8" w:rsidRPr="00286216" w:rsidRDefault="009D68B8" w:rsidP="00E71C29">
            <w:pPr>
              <w:pStyle w:val="StyleProp"/>
              <w:spacing w:line="180" w:lineRule="exact"/>
              <w:rPr>
                <w:color w:val="000000" w:themeColor="text1"/>
                <w:spacing w:val="-3"/>
                <w:szCs w:val="18"/>
              </w:rPr>
            </w:pPr>
            <w:r w:rsidRPr="00286216">
              <w:rPr>
                <w:color w:val="000000" w:themeColor="text1"/>
                <w:spacing w:val="-3"/>
                <w:szCs w:val="18"/>
              </w:rPr>
              <w:t xml:space="preserve">10. Протягом трьох робочих днів з дня отримання протоколу про результати голосування особа, відповідальна за проведення зборів, оформлює та направляє копію такого протоколу всім власникам облігацій відповідного випуску облігацій, емітенту та адміністратору (якщо вони не є особами, відповідальними за проведення зборів) через депозитарну систему України, а також оператору організованого ринку капіталу, на якому облігації допущені до торгів. Протягом робочого дня, наступного за днем направлення копії протоколу про результати голосування, така копія підлягає оприлюдненню на веб-сайті адміністратора (у разі призначення), емітента, оператора організованого ринку капіталу, на якому облігації допущені до торгів, а також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 </w:t>
            </w:r>
          </w:p>
          <w:p w14:paraId="12546CA8" w14:textId="77777777" w:rsidR="009D68B8" w:rsidRPr="00286216" w:rsidRDefault="009D68B8" w:rsidP="00E71C29">
            <w:pPr>
              <w:pStyle w:val="StyleProp"/>
              <w:spacing w:line="180" w:lineRule="exact"/>
              <w:rPr>
                <w:color w:val="000000" w:themeColor="text1"/>
                <w:spacing w:val="-3"/>
                <w:szCs w:val="18"/>
              </w:rPr>
            </w:pPr>
            <w:r w:rsidRPr="00286216">
              <w:rPr>
                <w:color w:val="000000" w:themeColor="text1"/>
                <w:spacing w:val="-3"/>
                <w:szCs w:val="18"/>
              </w:rPr>
              <w:t xml:space="preserve">Оприлюднення копії протоколу про результати голосування у Загальнодоступній </w:t>
            </w:r>
            <w:r w:rsidRPr="00286216">
              <w:rPr>
                <w:color w:val="000000" w:themeColor="text1"/>
                <w:spacing w:val="-3"/>
                <w:szCs w:val="18"/>
              </w:rPr>
              <w:lastRenderedPageBreak/>
              <w:t>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 забезпечує емітент облігацій.</w:t>
            </w:r>
          </w:p>
          <w:p w14:paraId="4BD92EA4" w14:textId="77777777" w:rsidR="009D68B8" w:rsidRPr="00286216" w:rsidRDefault="009D68B8" w:rsidP="00E71C29">
            <w:pPr>
              <w:pStyle w:val="StyleProp"/>
              <w:spacing w:line="180" w:lineRule="exact"/>
              <w:rPr>
                <w:color w:val="000000" w:themeColor="text1"/>
                <w:spacing w:val="-3"/>
                <w:szCs w:val="18"/>
              </w:rPr>
            </w:pPr>
            <w:r w:rsidRPr="00286216">
              <w:rPr>
                <w:color w:val="000000" w:themeColor="text1"/>
                <w:spacing w:val="-3"/>
                <w:szCs w:val="18"/>
              </w:rPr>
              <w:t>11. Строк позовної давності для оскарження рішення зборів власників облігацій становить три місяці з дня оприлюднення копії протоколу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p w14:paraId="65DF1999" w14:textId="77777777" w:rsidR="009D68B8" w:rsidRPr="00286216" w:rsidRDefault="009D68B8" w:rsidP="00E71C29">
            <w:pPr>
              <w:pStyle w:val="StyleProp"/>
              <w:spacing w:line="180" w:lineRule="exact"/>
              <w:rPr>
                <w:color w:val="000000" w:themeColor="text1"/>
                <w:spacing w:val="-3"/>
                <w:szCs w:val="18"/>
              </w:rPr>
            </w:pPr>
            <w:r w:rsidRPr="00286216">
              <w:rPr>
                <w:color w:val="000000" w:themeColor="text1"/>
                <w:spacing w:val="-3"/>
                <w:szCs w:val="18"/>
              </w:rPr>
              <w:t>12. Додаткові вимоги до проведення зборів власників облігацій, підбиття підсумків голосування на них, оформлення рішень зборів власників облігацій, зберігання документації у зв’язку зі зборами встановлюються Національною комісією з цінних паперів та фондового ринку.</w:t>
            </w:r>
          </w:p>
          <w:p w14:paraId="3AE6027C" w14:textId="77777777" w:rsidR="009D68B8" w:rsidRPr="00286216" w:rsidRDefault="009D68B8" w:rsidP="00E71C29">
            <w:pPr>
              <w:pStyle w:val="StyleProp"/>
              <w:spacing w:line="180" w:lineRule="exact"/>
              <w:rPr>
                <w:color w:val="000000" w:themeColor="text1"/>
                <w:szCs w:val="18"/>
              </w:rPr>
            </w:pPr>
            <w:r w:rsidRPr="00286216">
              <w:rPr>
                <w:color w:val="000000" w:themeColor="text1"/>
                <w:spacing w:val="-3"/>
                <w:szCs w:val="18"/>
              </w:rPr>
              <w:t>13. Емітент не має права домовлятися у будь-якій формі з власником (власниками) облігацій щодо голосування на зборах власників облігацій, якщо аналогічні умови не пропонуються усім власникам облігацій. У випадку, якщо власник (власники) облігацій отримує (отримують) будь-які кошти або іншу винагороду внаслідок такої домовленості з емітентом, такі кошти повинні бути розподілені між усіма власниками облігацій пропорційно до номінальної вартості непогашених облігацій кожного власника».</w:t>
            </w:r>
          </w:p>
        </w:tc>
        <w:tc>
          <w:tcPr>
            <w:tcW w:w="1987" w:type="dxa"/>
          </w:tcPr>
          <w:p w14:paraId="24FA2B36" w14:textId="77777777" w:rsidR="009D68B8" w:rsidRPr="00286216" w:rsidRDefault="009D68B8" w:rsidP="009D68B8">
            <w:pPr>
              <w:pStyle w:val="StyleWisnow"/>
              <w:rPr>
                <w:color w:val="000000" w:themeColor="text1"/>
              </w:rPr>
            </w:pPr>
            <w:r w:rsidRPr="00286216">
              <w:rPr>
                <w:color w:val="000000" w:themeColor="text1"/>
              </w:rPr>
              <w:lastRenderedPageBreak/>
              <w:t>Враховано частково</w:t>
            </w:r>
          </w:p>
        </w:tc>
        <w:tc>
          <w:tcPr>
            <w:tcW w:w="4818" w:type="dxa"/>
          </w:tcPr>
          <w:p w14:paraId="6A6FF93B" w14:textId="77777777" w:rsidR="009D68B8" w:rsidRPr="00286216" w:rsidRDefault="009D68B8" w:rsidP="009D68B8">
            <w:pPr>
              <w:pStyle w:val="StyleZakonu"/>
              <w:rPr>
                <w:color w:val="000000" w:themeColor="text1"/>
                <w:spacing w:val="-3"/>
              </w:rPr>
            </w:pPr>
            <w:r w:rsidRPr="00286216">
              <w:rPr>
                <w:color w:val="000000" w:themeColor="text1"/>
                <w:spacing w:val="-3"/>
              </w:rPr>
              <w:t>1. Реєстрація власників облігацій (їх представників) для участі у зборах проводиться на підставі переліку власників облігацій, які мають право на участь зборах, складеного в порядку, передбаченому законодавством про депозитарну систему, станом на 24 годину за два робочих дні до початку голосування.</w:t>
            </w:r>
          </w:p>
          <w:p w14:paraId="64B94AC3" w14:textId="77777777" w:rsidR="009D68B8" w:rsidRPr="00286216" w:rsidRDefault="009D68B8" w:rsidP="009D68B8">
            <w:pPr>
              <w:pStyle w:val="StyleZakonu"/>
              <w:rPr>
                <w:color w:val="000000" w:themeColor="text1"/>
                <w:spacing w:val="-3"/>
              </w:rPr>
            </w:pPr>
            <w:r w:rsidRPr="00286216">
              <w:rPr>
                <w:color w:val="000000" w:themeColor="text1"/>
                <w:spacing w:val="-3"/>
              </w:rPr>
              <w:t>2. Реєстрація власників облігацій (їх представників) для участі у зборах проводиться протягом часу, зазначеного в повідомленні про проведення зборів власників облігацій.</w:t>
            </w:r>
          </w:p>
          <w:p w14:paraId="3375FE1F" w14:textId="77777777" w:rsidR="009D68B8" w:rsidRPr="00286216" w:rsidRDefault="009D68B8" w:rsidP="009D68B8">
            <w:pPr>
              <w:pStyle w:val="StyleZakonu"/>
              <w:rPr>
                <w:color w:val="000000" w:themeColor="text1"/>
              </w:rPr>
            </w:pPr>
            <w:r w:rsidRPr="00286216">
              <w:rPr>
                <w:color w:val="000000" w:themeColor="text1"/>
              </w:rPr>
              <w:t>Власник облігацій реєструється та приймає участь у зборах особисто або через свого представника. Інформація про особу, уповноважену на реєстрацію та участь у зборах від імені власника облігацій відповідно до вимог, встановлених Національною комісією з цінних паперів та фондового ринку, зазначається в системі депозитарного обліку та в переліку власників облігацій, які мають право на участь у зборах, складеного в порядку, передбаченому законодавством про депозитарну систему.</w:t>
            </w:r>
          </w:p>
          <w:p w14:paraId="50A2B896" w14:textId="77777777" w:rsidR="009D68B8" w:rsidRPr="00286216" w:rsidRDefault="009D68B8" w:rsidP="009D68B8">
            <w:pPr>
              <w:pStyle w:val="StyleZakonu"/>
              <w:rPr>
                <w:color w:val="000000" w:themeColor="text1"/>
                <w:spacing w:val="-3"/>
              </w:rPr>
            </w:pPr>
            <w:r w:rsidRPr="00286216">
              <w:rPr>
                <w:color w:val="000000" w:themeColor="text1"/>
                <w:spacing w:val="-3"/>
              </w:rPr>
              <w:t>Ідентифікація та реєстрація власника облігацій (його представника) для участі у зборах здійснюється в авторизованій електронній системі за допомогою кваліфікованого електронного цифрового підпису та/або інших засобів електронної ідентифікації, що відповідають вимогам, визначеним Національною комісією з цінних паперів та фондового ринку, та у встановленому нею порядку.</w:t>
            </w:r>
          </w:p>
          <w:p w14:paraId="0D903DB8" w14:textId="77777777" w:rsidR="009D68B8" w:rsidRPr="00286216" w:rsidRDefault="009D68B8" w:rsidP="009D68B8">
            <w:pPr>
              <w:pStyle w:val="StyleZakonu"/>
              <w:rPr>
                <w:color w:val="000000" w:themeColor="text1"/>
                <w:spacing w:val="-3"/>
              </w:rPr>
            </w:pPr>
            <w:r w:rsidRPr="00286216">
              <w:rPr>
                <w:color w:val="000000" w:themeColor="text1"/>
                <w:spacing w:val="-3"/>
              </w:rPr>
              <w:t>У разі відсутності інформації про власника облігацій у переліку власників облігацій, які мають право на участь у зборах, авторизована електронна система відмовляє в реєстрації такого власника облігацій (його представника) для участі у зборах.</w:t>
            </w:r>
          </w:p>
          <w:p w14:paraId="719C6C8B"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За результатом проведення реєстрації власників облігацій (їх представників) авторизованою електронною системою складається та направляється особі, відповідальній за проведення зборів, протокол про підсумки реєстрації із зазначенням загальної кількості голосів власників облігацій відповідного випуску та переліку власників облігацій (їх </w:t>
            </w:r>
            <w:r w:rsidRPr="00286216">
              <w:rPr>
                <w:color w:val="000000" w:themeColor="text1"/>
                <w:spacing w:val="-3"/>
              </w:rPr>
              <w:lastRenderedPageBreak/>
              <w:t>представників), які зареєструвалися для участі у зборах власників облігацій, а також інформації про правомочність зборів.</w:t>
            </w:r>
          </w:p>
          <w:p w14:paraId="18FD1340" w14:textId="77777777" w:rsidR="009D68B8" w:rsidRPr="00286216" w:rsidRDefault="009D68B8" w:rsidP="009D68B8">
            <w:pPr>
              <w:pStyle w:val="StyleZakonu"/>
              <w:rPr>
                <w:color w:val="000000" w:themeColor="text1"/>
                <w:spacing w:val="-3"/>
              </w:rPr>
            </w:pPr>
            <w:r w:rsidRPr="00286216">
              <w:rPr>
                <w:color w:val="000000" w:themeColor="text1"/>
                <w:spacing w:val="-3"/>
              </w:rPr>
              <w:t>Загальною кількістю голосів власників облігацій відповідного випуску є сукупна номінальна вартість непогашених облігацій такого випуску за вирахуванням номінальної вартості тих облігацій такого випуску, які не дають їх власникам права голосу на зборах власників облігацій відповідно до частини третьої цієї статті.</w:t>
            </w:r>
          </w:p>
          <w:p w14:paraId="3FD83061"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3. Право голосу на зборах власників облігацій належить власникам облігацій, крім випадків, визначених цим Законом. </w:t>
            </w:r>
          </w:p>
          <w:p w14:paraId="63C4C091" w14:textId="77777777" w:rsidR="009D68B8" w:rsidRPr="00286216" w:rsidRDefault="009D68B8" w:rsidP="009D68B8">
            <w:pPr>
              <w:pStyle w:val="StyleZakonu"/>
              <w:rPr>
                <w:color w:val="000000" w:themeColor="text1"/>
                <w:spacing w:val="-3"/>
              </w:rPr>
            </w:pPr>
            <w:r w:rsidRPr="00286216">
              <w:rPr>
                <w:color w:val="000000" w:themeColor="text1"/>
                <w:spacing w:val="-3"/>
              </w:rPr>
              <w:t>Одна гривня номінальної вартості непогашеної облігації надає власнику облігації один голос для вирішення кожного з питань, винесених на голосування на зборах власників облігацій. Національна комісія з цінних паперів та фондового ринку встановлює порядок визначення загальної кількості голосів власників облігацій щодо випусків, номінальна вартість яких визначена в іноземній валюті.</w:t>
            </w:r>
          </w:p>
          <w:p w14:paraId="0E1C77E2" w14:textId="77777777" w:rsidR="009D68B8" w:rsidRPr="00286216" w:rsidRDefault="009D68B8" w:rsidP="009D68B8">
            <w:pPr>
              <w:pStyle w:val="StyleZakonu"/>
              <w:rPr>
                <w:color w:val="000000" w:themeColor="text1"/>
                <w:spacing w:val="-3"/>
              </w:rPr>
            </w:pPr>
            <w:r w:rsidRPr="00286216">
              <w:rPr>
                <w:color w:val="000000" w:themeColor="text1"/>
                <w:spacing w:val="-3"/>
              </w:rPr>
              <w:t>Не дають права голосу облігації, що належать таким особам:</w:t>
            </w:r>
          </w:p>
          <w:p w14:paraId="752FE095" w14:textId="77777777" w:rsidR="009D68B8" w:rsidRPr="00286216" w:rsidRDefault="009D68B8" w:rsidP="009D68B8">
            <w:pPr>
              <w:pStyle w:val="StyleZakonu"/>
              <w:rPr>
                <w:color w:val="000000" w:themeColor="text1"/>
                <w:spacing w:val="-3"/>
              </w:rPr>
            </w:pPr>
            <w:r w:rsidRPr="00286216">
              <w:rPr>
                <w:color w:val="000000" w:themeColor="text1"/>
                <w:spacing w:val="-3"/>
              </w:rPr>
              <w:t>1) емітенту таких облігацій;</w:t>
            </w:r>
          </w:p>
          <w:p w14:paraId="48C798E8" w14:textId="77777777" w:rsidR="009D68B8" w:rsidRPr="00286216" w:rsidRDefault="009D68B8" w:rsidP="009D68B8">
            <w:pPr>
              <w:pStyle w:val="StyleZakonu"/>
              <w:rPr>
                <w:color w:val="000000" w:themeColor="text1"/>
                <w:spacing w:val="-3"/>
              </w:rPr>
            </w:pPr>
            <w:r w:rsidRPr="00286216">
              <w:rPr>
                <w:color w:val="000000" w:themeColor="text1"/>
                <w:spacing w:val="-3"/>
              </w:rPr>
              <w:t>2) особі, яка надає забезпечення за такими облігаціями;</w:t>
            </w:r>
          </w:p>
          <w:p w14:paraId="2C41E1F6" w14:textId="77777777" w:rsidR="009D68B8" w:rsidRPr="00286216" w:rsidRDefault="009D68B8" w:rsidP="009D68B8">
            <w:pPr>
              <w:pStyle w:val="StyleZakonu"/>
              <w:rPr>
                <w:color w:val="000000" w:themeColor="text1"/>
                <w:spacing w:val="-3"/>
              </w:rPr>
            </w:pPr>
            <w:r w:rsidRPr="00286216">
              <w:rPr>
                <w:color w:val="000000" w:themeColor="text1"/>
                <w:spacing w:val="-3"/>
              </w:rPr>
              <w:t>3) особі, пов’язаній відносинами контролю з емітентом та/або особою, яка надає забезпечення за такими облігаціями;</w:t>
            </w:r>
          </w:p>
          <w:p w14:paraId="7686607F" w14:textId="77777777" w:rsidR="009D68B8" w:rsidRPr="00286216" w:rsidRDefault="009D68B8" w:rsidP="009D68B8">
            <w:pPr>
              <w:pStyle w:val="StyleZakonu"/>
              <w:rPr>
                <w:color w:val="000000" w:themeColor="text1"/>
                <w:spacing w:val="-3"/>
              </w:rPr>
            </w:pPr>
            <w:r w:rsidRPr="00286216">
              <w:rPr>
                <w:color w:val="000000" w:themeColor="text1"/>
                <w:spacing w:val="-3"/>
              </w:rPr>
              <w:t>4) юридичній особі, в якій особи, зазначені у пунктах 1-3 цієї частини, сукупно прямо та/або опосередковано володіють частками, паями або акціями, що відповідає (відповідають) еквіваленту більше 50 відсотків статутного (складеного) капіталу та/або голосів у вищому органі управління;</w:t>
            </w:r>
          </w:p>
          <w:p w14:paraId="1C30E8F1" w14:textId="77777777" w:rsidR="009D68B8" w:rsidRPr="00286216" w:rsidRDefault="009D68B8" w:rsidP="009D68B8">
            <w:pPr>
              <w:pStyle w:val="StyleZakonu"/>
              <w:rPr>
                <w:color w:val="000000" w:themeColor="text1"/>
                <w:spacing w:val="-3"/>
              </w:rPr>
            </w:pPr>
            <w:r w:rsidRPr="00286216">
              <w:rPr>
                <w:color w:val="000000" w:themeColor="text1"/>
                <w:spacing w:val="-3"/>
              </w:rPr>
              <w:t>5) трасту, іншому правовому утворенню, подібному до трасту, а також будь-якій іншій особі, яка володіє облігаціями в інтересах особи, зазначеної в пунктах 1-4 цієї частини;</w:t>
            </w:r>
          </w:p>
          <w:p w14:paraId="1B652252" w14:textId="77777777" w:rsidR="009D68B8" w:rsidRPr="00286216" w:rsidRDefault="009D68B8" w:rsidP="009D68B8">
            <w:pPr>
              <w:pStyle w:val="StyleZakonu"/>
              <w:rPr>
                <w:color w:val="000000" w:themeColor="text1"/>
                <w:spacing w:val="-3"/>
              </w:rPr>
            </w:pPr>
            <w:r w:rsidRPr="00286216">
              <w:rPr>
                <w:color w:val="000000" w:themeColor="text1"/>
                <w:spacing w:val="-3"/>
              </w:rPr>
              <w:t>6) власнику облігацій, який у процесі реєстрації не подав запевнення в тому, що він не є особою, зазначеною у пунктах 1-5 цієї частини.</w:t>
            </w:r>
          </w:p>
          <w:p w14:paraId="11E2632E"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Особи, які у процесі реєстрації не подали </w:t>
            </w:r>
            <w:r w:rsidRPr="00286216">
              <w:rPr>
                <w:color w:val="000000" w:themeColor="text1"/>
                <w:spacing w:val="-3"/>
              </w:rPr>
              <w:lastRenderedPageBreak/>
              <w:t>запевнення у тому, що вони не є особами, зазначеними у пунктах 1-5 цієї частини, не допускаються авторизованою електронною системою до участі в голосуванні.</w:t>
            </w:r>
          </w:p>
          <w:p w14:paraId="3503A8D0" w14:textId="77777777" w:rsidR="009D68B8" w:rsidRPr="00286216" w:rsidRDefault="009D68B8" w:rsidP="009D68B8">
            <w:pPr>
              <w:pStyle w:val="StyleZakonu"/>
              <w:rPr>
                <w:color w:val="000000" w:themeColor="text1"/>
                <w:spacing w:val="-3"/>
              </w:rPr>
            </w:pPr>
            <w:r w:rsidRPr="00286216">
              <w:rPr>
                <w:color w:val="000000" w:themeColor="text1"/>
                <w:spacing w:val="-3"/>
              </w:rPr>
              <w:t>Відповідальність за достовірність інформації, наданої у процесі ідентифікації та реєстрації, несе власник облігацій.</w:t>
            </w:r>
          </w:p>
          <w:p w14:paraId="687009E1" w14:textId="77777777" w:rsidR="009D68B8" w:rsidRPr="00286216" w:rsidRDefault="009D68B8" w:rsidP="009D68B8">
            <w:pPr>
              <w:pStyle w:val="StyleZakonu"/>
              <w:rPr>
                <w:color w:val="000000" w:themeColor="text1"/>
                <w:spacing w:val="-3"/>
              </w:rPr>
            </w:pPr>
            <w:r w:rsidRPr="00286216">
              <w:rPr>
                <w:color w:val="000000" w:themeColor="text1"/>
                <w:spacing w:val="-3"/>
              </w:rPr>
              <w:t>4. Збори власників облігацій визнаються правомочними приймати рішення щодо питань порядку денного, якщо за даними протоколу про підсумки реєстрації, сформованого авторизованою електронною системою, для участі у зборах власників облігацій зареєструвалися власники облігацій (їх представники), загальна кількість голосів яких дорівнює або перевищує 75 відсотків сукупної кількості прав голосу, що надає номінальна вартість облігацій відповідного випуску.</w:t>
            </w:r>
          </w:p>
          <w:p w14:paraId="2D37E02B"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Протокол про підсумки реєстрації повинен містити повідомлення про правомочність або неправомочність зборів власників облігацій приймати рішення щодо питань порядку денного. </w:t>
            </w:r>
          </w:p>
          <w:p w14:paraId="539FACE2" w14:textId="77777777" w:rsidR="009D68B8" w:rsidRPr="00286216" w:rsidRDefault="009D68B8" w:rsidP="009D68B8">
            <w:pPr>
              <w:pStyle w:val="StyleZakonu"/>
              <w:rPr>
                <w:color w:val="000000" w:themeColor="text1"/>
                <w:spacing w:val="-3"/>
              </w:rPr>
            </w:pPr>
            <w:r w:rsidRPr="00286216">
              <w:rPr>
                <w:color w:val="000000" w:themeColor="text1"/>
                <w:spacing w:val="-3"/>
              </w:rPr>
              <w:t>У разі якщо збори власників облігацій є неправомочними приймати рішення щодо питань порядку денного згідно з даними протоколу про підсумки реєстрації, голосування з питань порядку денного зборів не проводиться.</w:t>
            </w:r>
          </w:p>
          <w:p w14:paraId="2FB83D15" w14:textId="77777777" w:rsidR="009D68B8" w:rsidRPr="00286216" w:rsidRDefault="009D68B8" w:rsidP="009D68B8">
            <w:pPr>
              <w:pStyle w:val="StyleZakonu"/>
              <w:rPr>
                <w:color w:val="000000" w:themeColor="text1"/>
                <w:spacing w:val="-3"/>
              </w:rPr>
            </w:pPr>
            <w:r w:rsidRPr="00286216">
              <w:rPr>
                <w:color w:val="000000" w:themeColor="text1"/>
                <w:spacing w:val="-3"/>
              </w:rPr>
              <w:t>У такому разі особа, відповідальна за проведення зборів, вчиняє дії, передбачені частиною десятою статті 110 цього Закону, щодо проведення повторних зборів власників облігацій.</w:t>
            </w:r>
          </w:p>
          <w:p w14:paraId="4A0C2672" w14:textId="77777777" w:rsidR="009D68B8" w:rsidRPr="00286216" w:rsidRDefault="009D68B8" w:rsidP="009D68B8">
            <w:pPr>
              <w:pStyle w:val="StyleZakonu"/>
              <w:rPr>
                <w:color w:val="000000" w:themeColor="text1"/>
                <w:spacing w:val="-3"/>
              </w:rPr>
            </w:pPr>
            <w:r w:rsidRPr="00286216">
              <w:rPr>
                <w:color w:val="000000" w:themeColor="text1"/>
                <w:spacing w:val="-3"/>
              </w:rPr>
              <w:t>Повторні збори власників облігацій визнаються правомочними приймати рішення щодо питань порядку денного, якщо за даними протоколу про підсумки реєстрації, сформованого авторизованою електронною системою, для участі у зборах власників облігацій зареєструвалися власники облігацій (їх представники), загальна кількість голосів яких дорівнює або перевищує 25 відсотків сукупної кількості прав голосу, що надає номінальна вартість облігацій відповідного випуску.</w:t>
            </w:r>
          </w:p>
          <w:p w14:paraId="4F2BB8C2"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5. Голосування щодо питань порядку денного зборів власників облігацій розпочинається у час та дату, зазначені у повідомленні про проведення зборів власників облігацій, надісланому через депозитарну систему України в порядку, передбаченому статтею 110 цього Закону. Програмно-технічний комплекс </w:t>
            </w:r>
            <w:r w:rsidRPr="00286216">
              <w:rPr>
                <w:color w:val="000000" w:themeColor="text1"/>
                <w:spacing w:val="-3"/>
              </w:rPr>
              <w:lastRenderedPageBreak/>
              <w:t>авторизованої електронної системи повинен забезпечувати можливість блокування початку голосування щодо питань порядку денного в разі, якщо протокол про підсумки реєстрації містить дані про неправомочність зборів власників облігацій.</w:t>
            </w:r>
          </w:p>
          <w:p w14:paraId="5B5BC00B" w14:textId="77777777" w:rsidR="009D68B8" w:rsidRPr="00286216" w:rsidRDefault="009D68B8" w:rsidP="009D68B8">
            <w:pPr>
              <w:pStyle w:val="StyleZakonu"/>
              <w:rPr>
                <w:color w:val="000000" w:themeColor="text1"/>
                <w:spacing w:val="-3"/>
              </w:rPr>
            </w:pPr>
            <w:r w:rsidRPr="00286216">
              <w:rPr>
                <w:color w:val="000000" w:themeColor="text1"/>
                <w:spacing w:val="-3"/>
              </w:rPr>
              <w:t>6. Голосування здійснюється виключно шляхом направлення власниками облігацій (їх представниками) голосів «за» чи «проти» з кожного питання порядку денного зборів через авторизовану електронну систему.</w:t>
            </w:r>
          </w:p>
          <w:p w14:paraId="69E35078" w14:textId="77777777" w:rsidR="009D68B8" w:rsidRPr="00286216" w:rsidRDefault="009D68B8" w:rsidP="009D68B8">
            <w:pPr>
              <w:pStyle w:val="StyleZakonu"/>
              <w:rPr>
                <w:color w:val="000000" w:themeColor="text1"/>
                <w:spacing w:val="-3"/>
              </w:rPr>
            </w:pPr>
            <w:r w:rsidRPr="00286216">
              <w:rPr>
                <w:color w:val="000000" w:themeColor="text1"/>
                <w:spacing w:val="-3"/>
              </w:rPr>
              <w:t>Представник, який діє від імені декількох власників облігацій, може голосувати з кожного питання порядку денного зборів всіма або частиною належних йому голосів та вправі одночасно голосувати однією частиною належних йому голосів «за», а іншою – «проти».</w:t>
            </w:r>
          </w:p>
          <w:p w14:paraId="5092E9B4" w14:textId="77777777" w:rsidR="009D68B8" w:rsidRPr="00286216" w:rsidRDefault="009D68B8" w:rsidP="009D68B8">
            <w:pPr>
              <w:pStyle w:val="StyleZakonu"/>
              <w:rPr>
                <w:color w:val="000000" w:themeColor="text1"/>
                <w:spacing w:val="-3"/>
              </w:rPr>
            </w:pPr>
            <w:r w:rsidRPr="00286216">
              <w:rPr>
                <w:color w:val="000000" w:themeColor="text1"/>
                <w:spacing w:val="-3"/>
              </w:rPr>
              <w:t>7. Рішення зборів власників облігацій щодо питань, передбачених цією частиною, приймається більшістю у ¾ голосів власників облігацій відповідного випуску, які беруть участь у голосуванні щодо питань порядку денного зборів власників облігацій, що вважаються правомочними приймати рішення. Такими питаннями є:</w:t>
            </w:r>
          </w:p>
          <w:p w14:paraId="2F1C7DA0" w14:textId="77777777" w:rsidR="009D68B8" w:rsidRPr="00286216" w:rsidRDefault="009D68B8" w:rsidP="009D68B8">
            <w:pPr>
              <w:pStyle w:val="StyleZakonu"/>
              <w:rPr>
                <w:color w:val="000000" w:themeColor="text1"/>
                <w:spacing w:val="-3"/>
              </w:rPr>
            </w:pPr>
            <w:r w:rsidRPr="00286216">
              <w:rPr>
                <w:color w:val="000000" w:themeColor="text1"/>
                <w:spacing w:val="-3"/>
              </w:rPr>
              <w:t>1) надання згоди на внесення емітентом змін до проспекту (рішення про емісію цінних паперів) щодо розміру відсоткового доходу, розміру та/або валюти номінальної вартості облігацій, строків виплати відсоткового доходу, строків погашення, умов дострокового погашення, деномінації відповідного випуску облігацій, переліку осіб, які надають забезпечення за облігаціями, та обсягу їх відповідальності, конвертації облігацій (далі – основні фінансові умови облігацій), внесенням пов’язаних з цим змін до правочинів щодо забезпечення виконання зобов’язань за облігаціями;</w:t>
            </w:r>
          </w:p>
          <w:p w14:paraId="730C37CB" w14:textId="77777777" w:rsidR="009D68B8" w:rsidRPr="00286216" w:rsidRDefault="009D68B8" w:rsidP="009D68B8">
            <w:pPr>
              <w:pStyle w:val="StyleZakonu"/>
              <w:rPr>
                <w:color w:val="000000" w:themeColor="text1"/>
                <w:spacing w:val="-3"/>
              </w:rPr>
            </w:pPr>
            <w:r w:rsidRPr="00286216">
              <w:rPr>
                <w:color w:val="000000" w:themeColor="text1"/>
                <w:spacing w:val="-3"/>
              </w:rPr>
              <w:t>2) погодження умов реструктуризації заборгованості емітента та/або осіб, які надають забезпечення за облігаціями, перед власниками облігацій;</w:t>
            </w:r>
          </w:p>
          <w:p w14:paraId="36C54A54"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3) відмова від пред’явлення вимоги про дострокове погашення облігацій після настання дефолту (крім дефолту у зв’язку з порушенням емітентом або особою, яка надає забезпечення за облігаціями, обов’язків, установлених проспектом (рішенням про емісію) та/або правочином щодо забезпечення виконання зобов’язань за облігаціями, що не належать до основних фінансових умов облігацій), надання згоди на вчинення </w:t>
            </w:r>
            <w:r w:rsidRPr="00286216">
              <w:rPr>
                <w:color w:val="000000" w:themeColor="text1"/>
                <w:spacing w:val="-3"/>
              </w:rPr>
              <w:lastRenderedPageBreak/>
              <w:t>адміністратором дій (правочинів), передбачених частиною другою статті 121 цього Закону;</w:t>
            </w:r>
          </w:p>
          <w:p w14:paraId="49C13B6D" w14:textId="77777777" w:rsidR="009D68B8" w:rsidRPr="00286216" w:rsidRDefault="009D68B8" w:rsidP="009D68B8">
            <w:pPr>
              <w:pStyle w:val="StyleZakonu"/>
              <w:rPr>
                <w:color w:val="000000" w:themeColor="text1"/>
                <w:spacing w:val="-3"/>
              </w:rPr>
            </w:pPr>
            <w:r w:rsidRPr="00286216">
              <w:rPr>
                <w:color w:val="000000" w:themeColor="text1"/>
                <w:spacing w:val="-3"/>
              </w:rPr>
              <w:t>4) прийняття рішення про усунення від виконання обов’язків або відмову від усунення від виконання обов’язків адміністратора в разі наявності конфлікту інтересів та в інших випадках, передбачених цим Законом та/або проспектом (рішенням про емісію);</w:t>
            </w:r>
          </w:p>
          <w:p w14:paraId="1511A64F" w14:textId="77777777" w:rsidR="009D68B8" w:rsidRPr="00286216" w:rsidRDefault="009D68B8" w:rsidP="009D68B8">
            <w:pPr>
              <w:pStyle w:val="StyleZakonu"/>
              <w:rPr>
                <w:color w:val="000000" w:themeColor="text1"/>
                <w:spacing w:val="-3"/>
              </w:rPr>
            </w:pPr>
            <w:r w:rsidRPr="00286216">
              <w:rPr>
                <w:color w:val="000000" w:themeColor="text1"/>
                <w:spacing w:val="-3"/>
              </w:rPr>
              <w:t>5) надання згоди на внесення емітентом змін до проспекту (рішення про емісію) щодо призначення адміністратора у випадку, передбаченому частиною другою статті 114 цього Закону.</w:t>
            </w:r>
          </w:p>
          <w:p w14:paraId="6125D2C7" w14:textId="77777777" w:rsidR="009D68B8" w:rsidRPr="00286216" w:rsidRDefault="009D68B8" w:rsidP="009D68B8">
            <w:pPr>
              <w:pStyle w:val="StyleZakonu"/>
              <w:rPr>
                <w:color w:val="000000" w:themeColor="text1"/>
                <w:spacing w:val="-3"/>
              </w:rPr>
            </w:pPr>
            <w:r w:rsidRPr="00286216">
              <w:rPr>
                <w:color w:val="000000" w:themeColor="text1"/>
                <w:spacing w:val="-3"/>
              </w:rPr>
              <w:t>8. Рішення зборів власників облігацій щодо питань, передбачених цією частиною, приймається простою більшістю голосів власників облігацій відповідного випуску, які беруть участь у голосуванні щодо питань порядку денного зборів, що вважаються правомочними приймати рішення. Такими питаннями є:</w:t>
            </w:r>
          </w:p>
          <w:p w14:paraId="03141156" w14:textId="77777777" w:rsidR="009D68B8" w:rsidRPr="00286216" w:rsidRDefault="009D68B8" w:rsidP="009D68B8">
            <w:pPr>
              <w:pStyle w:val="StyleZakonu"/>
              <w:rPr>
                <w:color w:val="000000" w:themeColor="text1"/>
                <w:spacing w:val="-3"/>
              </w:rPr>
            </w:pPr>
            <w:r w:rsidRPr="00286216">
              <w:rPr>
                <w:color w:val="000000" w:themeColor="text1"/>
                <w:spacing w:val="-3"/>
              </w:rPr>
              <w:t>1) надання згоди на внесення емітентом змін до проспекту (рішення про емісію) в частині документа про цінні папери, що не пов’язані зі зміною основних фінансових умов облігацій чи припиненням повноважень адміністратора, внесення пов’язаних з цим змін до правочинів щодо забезпечення виконання зобов’язань за облігаціями;</w:t>
            </w:r>
          </w:p>
          <w:p w14:paraId="33E9B914" w14:textId="77777777" w:rsidR="009D68B8" w:rsidRPr="00286216" w:rsidRDefault="009D68B8" w:rsidP="009D68B8">
            <w:pPr>
              <w:pStyle w:val="StyleZakonu"/>
              <w:rPr>
                <w:color w:val="000000" w:themeColor="text1"/>
                <w:spacing w:val="-3"/>
              </w:rPr>
            </w:pPr>
            <w:r w:rsidRPr="00286216">
              <w:rPr>
                <w:color w:val="000000" w:themeColor="text1"/>
                <w:spacing w:val="-3"/>
              </w:rPr>
              <w:t>2) надання згоди на тимчасове невиконання емітентом та/або особою, яка надає забезпечення за облігаціями, обов’язків, встановлених проспектом (рішенням про емісію), що не належать до основних фінансових умов облігацій, та/або відповідних обов’язків, передбачених правочином щодо забезпечення виконання зобов’язань за облігаціями, відмова від пред’явлення вимоги про дострокове погашення облігацій після настання дефолту у зв’язку з порушенням вказаних обов’язків;</w:t>
            </w:r>
          </w:p>
          <w:p w14:paraId="286E0DE2" w14:textId="77777777" w:rsidR="009D68B8" w:rsidRPr="00286216" w:rsidRDefault="009D68B8" w:rsidP="009D68B8">
            <w:pPr>
              <w:pStyle w:val="StyleZakonu"/>
              <w:rPr>
                <w:color w:val="000000" w:themeColor="text1"/>
                <w:spacing w:val="-3"/>
              </w:rPr>
            </w:pPr>
            <w:r w:rsidRPr="00286216">
              <w:rPr>
                <w:color w:val="000000" w:themeColor="text1"/>
                <w:spacing w:val="-3"/>
              </w:rPr>
              <w:t>3) обрання адміністратора у разі, якщо він не був призначений емітентом (включаючи реєстрацію емітентом відповідних змін до проспекту (рішення про емісію) у строки, визначені цим Законом або проспектом (рішенням про емісію), якщо призначення адміністратора передбачене проспектом (рішенням про емісію) або в разі настання дефолту;</w:t>
            </w:r>
          </w:p>
          <w:p w14:paraId="21176AE0"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4) надання згоди на внесення емітентом змін до проспекту (рішення про емісію) щодо призначення </w:t>
            </w:r>
            <w:r w:rsidRPr="00286216">
              <w:rPr>
                <w:color w:val="000000" w:themeColor="text1"/>
                <w:spacing w:val="-3"/>
              </w:rPr>
              <w:lastRenderedPageBreak/>
              <w:t>адміністратора в разі, якщо адміністратор відсутній;</w:t>
            </w:r>
          </w:p>
          <w:p w14:paraId="1A6BC9B3" w14:textId="77777777" w:rsidR="009D68B8" w:rsidRPr="00286216" w:rsidRDefault="009D68B8" w:rsidP="009D68B8">
            <w:pPr>
              <w:pStyle w:val="StyleZakonu"/>
              <w:rPr>
                <w:color w:val="000000" w:themeColor="text1"/>
                <w:spacing w:val="-3"/>
              </w:rPr>
            </w:pPr>
            <w:r w:rsidRPr="00286216">
              <w:rPr>
                <w:color w:val="000000" w:themeColor="text1"/>
                <w:spacing w:val="-3"/>
              </w:rPr>
              <w:t>5) інші питання порядку денного зборів, якщо цим Законом не встановлений інший порядок вирішення таких питань.</w:t>
            </w:r>
          </w:p>
          <w:p w14:paraId="3425A5F4" w14:textId="77777777" w:rsidR="009D68B8" w:rsidRPr="00286216" w:rsidRDefault="009D68B8" w:rsidP="009D68B8">
            <w:pPr>
              <w:pStyle w:val="StyleZakonu"/>
              <w:rPr>
                <w:color w:val="000000" w:themeColor="text1"/>
                <w:spacing w:val="-3"/>
              </w:rPr>
            </w:pPr>
            <w:r w:rsidRPr="00286216">
              <w:rPr>
                <w:color w:val="000000" w:themeColor="text1"/>
                <w:spacing w:val="-3"/>
              </w:rPr>
              <w:t>9. За результатами проведення підрахунку голосів авторизована електронна система формує та надсилає особі, відповідальній за проведення зборів, протокол про результати голосування із зазначенням рішень, прийнятих зборами власників облігацій щодо кожного питання порядку денного та кількості голосів, поданих «за» чи «проти» щодо кожного питання порядку денного. Порядок формування протоколу про результати голосування є невід’ємною частиною порядку взаємодії з авторизованою електронною системою. Національна комісія з цінних паперів та фондового ринку встановлює зазначений у другому реченні цього абзацу порядок взаємодіїї.</w:t>
            </w:r>
          </w:p>
          <w:p w14:paraId="235C57E3" w14:textId="77777777" w:rsidR="009D68B8" w:rsidRPr="00286216" w:rsidRDefault="009D68B8" w:rsidP="009D68B8">
            <w:pPr>
              <w:pStyle w:val="StyleZakonu"/>
              <w:rPr>
                <w:color w:val="000000" w:themeColor="text1"/>
                <w:spacing w:val="-3"/>
              </w:rPr>
            </w:pPr>
            <w:r w:rsidRPr="00286216">
              <w:rPr>
                <w:color w:val="000000" w:themeColor="text1"/>
                <w:spacing w:val="-3"/>
              </w:rPr>
              <w:t>Датою прийняття рішення зборами власників облігацій є дата проведення таких зборів. Датою проведення зборів є дата початку голосування з питань порядку денного зборів власників облігацій.</w:t>
            </w:r>
          </w:p>
          <w:p w14:paraId="28A45591"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10. Протягом трьох робочих днів з дня отримання протоколу про результати голосування особа, відповідальна за проведення зборів, оформлює та направляє копію такого протоколу всім власникам облігацій відповідного випуску облігацій, емітенту та адміністратору (якщо вони не є особами, відповідальними за проведення зборів) через депозитарну систему України, а також оператору організованого ринку капіталу, на якому облігації допущені до торгів. Протягом робочого дня, наступного за днем направлення копії протоколу про результати голосування, така копія підлягає оприлюдненню на веб-сайті адміністратора (у разі призначення), емітента, оператора організованого ринку капіталу, на якому облігації допущені до торгів, а також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spacing w:val="-3"/>
              </w:rPr>
              <w:t xml:space="preserve">. </w:t>
            </w:r>
          </w:p>
          <w:p w14:paraId="437354B2"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Оприлюднення копії протоколу про результати голосування у </w:t>
            </w:r>
            <w:r w:rsidRPr="00286216">
              <w:rPr>
                <w:color w:val="000000" w:themeColor="text1"/>
                <w:szCs w:val="18"/>
              </w:rPr>
              <w:t xml:space="preserve">базі даних особи, яка провадить діяльність з оприлюднення регульованої інформації від імені учасників ринків капіталу та професійних </w:t>
            </w:r>
            <w:r w:rsidRPr="00286216">
              <w:rPr>
                <w:color w:val="000000" w:themeColor="text1"/>
                <w:szCs w:val="18"/>
              </w:rPr>
              <w:lastRenderedPageBreak/>
              <w:t>учасників організованих товарних ринків</w:t>
            </w:r>
            <w:r w:rsidRPr="00286216">
              <w:rPr>
                <w:color w:val="000000" w:themeColor="text1"/>
                <w:spacing w:val="-3"/>
              </w:rPr>
              <w:t xml:space="preserve"> забезпечує емітент облігацій.</w:t>
            </w:r>
          </w:p>
          <w:p w14:paraId="3A851345" w14:textId="77777777" w:rsidR="009D68B8" w:rsidRPr="00286216" w:rsidRDefault="009D68B8" w:rsidP="009D68B8">
            <w:pPr>
              <w:pStyle w:val="StyleZakonu"/>
              <w:rPr>
                <w:color w:val="000000" w:themeColor="text1"/>
                <w:spacing w:val="-3"/>
              </w:rPr>
            </w:pPr>
            <w:r w:rsidRPr="00286216">
              <w:rPr>
                <w:color w:val="000000" w:themeColor="text1"/>
                <w:spacing w:val="-3"/>
              </w:rPr>
              <w:t xml:space="preserve">11. Строк позовної давності для оскарження рішення зборів власників облігацій становить три місяці з дня оприлюднення копії протоколу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spacing w:val="-3"/>
              </w:rPr>
              <w:t>.</w:t>
            </w:r>
          </w:p>
          <w:p w14:paraId="62A726FA" w14:textId="1E411968" w:rsidR="009D68B8" w:rsidRPr="00286216" w:rsidRDefault="009D68B8" w:rsidP="009D68B8">
            <w:pPr>
              <w:pStyle w:val="StyleZakonu"/>
              <w:rPr>
                <w:color w:val="000000" w:themeColor="text1"/>
              </w:rPr>
            </w:pPr>
            <w:r w:rsidRPr="00286216">
              <w:rPr>
                <w:color w:val="000000" w:themeColor="text1"/>
                <w:spacing w:val="-3"/>
              </w:rPr>
              <w:t>12. Додаткові вимоги до проведення зборів власників облігацій, підбиття підсумків голосування на них, оформлення рішень зборів власників облігацій, зберігання документації у зв’язку зі зборами встановлюються Національною комісією з цінних паперів та фондового ринку.</w:t>
            </w:r>
          </w:p>
        </w:tc>
      </w:tr>
      <w:tr w:rsidR="00826C07" w:rsidRPr="00286216" w14:paraId="09D56E3B" w14:textId="77777777" w:rsidTr="00091AA5">
        <w:tc>
          <w:tcPr>
            <w:tcW w:w="576" w:type="dxa"/>
          </w:tcPr>
          <w:p w14:paraId="2C4CF769" w14:textId="77777777" w:rsidR="00826C07" w:rsidRPr="00286216" w:rsidRDefault="00826C07" w:rsidP="00826C07">
            <w:pPr>
              <w:pStyle w:val="StyleWisnow"/>
              <w:rPr>
                <w:color w:val="000000" w:themeColor="text1"/>
              </w:rPr>
            </w:pPr>
            <w:bookmarkStart w:id="1554" w:name="n1805" w:colFirst="0" w:colLast="0"/>
            <w:bookmarkEnd w:id="1553"/>
            <w:r w:rsidRPr="00286216">
              <w:rPr>
                <w:color w:val="000000" w:themeColor="text1"/>
              </w:rPr>
              <w:lastRenderedPageBreak/>
              <w:t>1805.</w:t>
            </w:r>
          </w:p>
        </w:tc>
        <w:tc>
          <w:tcPr>
            <w:tcW w:w="4818" w:type="dxa"/>
          </w:tcPr>
          <w:p w14:paraId="1FBC43F3" w14:textId="77777777" w:rsidR="00826C07" w:rsidRPr="00286216" w:rsidRDefault="00826C07" w:rsidP="00E71C29">
            <w:pPr>
              <w:pStyle w:val="StyleZakonu"/>
              <w:spacing w:after="40" w:line="214" w:lineRule="exact"/>
              <w:rPr>
                <w:color w:val="000000" w:themeColor="text1"/>
              </w:rPr>
            </w:pPr>
            <w:r w:rsidRPr="00286216">
              <w:rPr>
                <w:color w:val="000000" w:themeColor="text1"/>
              </w:rPr>
              <w:t>Право голосу на зборах власників облігацій належить власникам облігацій. Право голосу на зборах власників облігацій не належить таким особам (навіть якщо вони є власниками облігацій):</w:t>
            </w:r>
          </w:p>
        </w:tc>
        <w:tc>
          <w:tcPr>
            <w:tcW w:w="3686" w:type="dxa"/>
          </w:tcPr>
          <w:p w14:paraId="14877BB9" w14:textId="77777777" w:rsidR="00826C07" w:rsidRPr="00286216" w:rsidRDefault="00826C07" w:rsidP="00826C07">
            <w:pPr>
              <w:pStyle w:val="StyleProp"/>
              <w:rPr>
                <w:color w:val="000000" w:themeColor="text1"/>
                <w:szCs w:val="18"/>
              </w:rPr>
            </w:pPr>
          </w:p>
        </w:tc>
        <w:tc>
          <w:tcPr>
            <w:tcW w:w="1987" w:type="dxa"/>
          </w:tcPr>
          <w:p w14:paraId="2CA235C2" w14:textId="77777777" w:rsidR="00826C07" w:rsidRPr="00286216" w:rsidRDefault="00826C07" w:rsidP="00826C07">
            <w:pPr>
              <w:pStyle w:val="StyleWisnow"/>
              <w:rPr>
                <w:color w:val="000000" w:themeColor="text1"/>
              </w:rPr>
            </w:pPr>
          </w:p>
        </w:tc>
        <w:tc>
          <w:tcPr>
            <w:tcW w:w="4818" w:type="dxa"/>
          </w:tcPr>
          <w:p w14:paraId="65F52D3D" w14:textId="77777777" w:rsidR="00826C07" w:rsidRPr="00286216" w:rsidRDefault="00826C07" w:rsidP="00826C07">
            <w:pPr>
              <w:pStyle w:val="StyleZakonu"/>
              <w:rPr>
                <w:color w:val="000000" w:themeColor="text1"/>
              </w:rPr>
            </w:pPr>
          </w:p>
        </w:tc>
      </w:tr>
      <w:tr w:rsidR="00826C07" w:rsidRPr="00286216" w14:paraId="39EBAF6D" w14:textId="77777777" w:rsidTr="00091AA5">
        <w:tc>
          <w:tcPr>
            <w:tcW w:w="576" w:type="dxa"/>
          </w:tcPr>
          <w:p w14:paraId="5BF28494" w14:textId="77777777" w:rsidR="00826C07" w:rsidRPr="00286216" w:rsidRDefault="00826C07" w:rsidP="00826C07">
            <w:pPr>
              <w:pStyle w:val="StyleWisnow"/>
              <w:rPr>
                <w:color w:val="000000" w:themeColor="text1"/>
              </w:rPr>
            </w:pPr>
            <w:bookmarkStart w:id="1555" w:name="n1806" w:colFirst="0" w:colLast="0"/>
            <w:bookmarkEnd w:id="1554"/>
            <w:r w:rsidRPr="00286216">
              <w:rPr>
                <w:color w:val="000000" w:themeColor="text1"/>
              </w:rPr>
              <w:t>1806.</w:t>
            </w:r>
          </w:p>
        </w:tc>
        <w:tc>
          <w:tcPr>
            <w:tcW w:w="4818" w:type="dxa"/>
          </w:tcPr>
          <w:p w14:paraId="01D515FC" w14:textId="77777777" w:rsidR="00826C07" w:rsidRPr="00286216" w:rsidRDefault="00826C07" w:rsidP="00E71C29">
            <w:pPr>
              <w:pStyle w:val="StyleZakonu"/>
              <w:spacing w:after="40" w:line="214" w:lineRule="exact"/>
              <w:rPr>
                <w:color w:val="000000" w:themeColor="text1"/>
              </w:rPr>
            </w:pPr>
            <w:r w:rsidRPr="00286216">
              <w:rPr>
                <w:color w:val="000000" w:themeColor="text1"/>
              </w:rPr>
              <w:t>1) емітенту таких облігацій;</w:t>
            </w:r>
          </w:p>
        </w:tc>
        <w:tc>
          <w:tcPr>
            <w:tcW w:w="3686" w:type="dxa"/>
          </w:tcPr>
          <w:p w14:paraId="66B90D75" w14:textId="77777777" w:rsidR="00826C07" w:rsidRPr="00286216" w:rsidRDefault="00826C07" w:rsidP="00826C07">
            <w:pPr>
              <w:pStyle w:val="StyleProp"/>
              <w:rPr>
                <w:color w:val="000000" w:themeColor="text1"/>
                <w:szCs w:val="18"/>
              </w:rPr>
            </w:pPr>
          </w:p>
        </w:tc>
        <w:tc>
          <w:tcPr>
            <w:tcW w:w="1987" w:type="dxa"/>
          </w:tcPr>
          <w:p w14:paraId="64462216" w14:textId="77777777" w:rsidR="00826C07" w:rsidRPr="00286216" w:rsidRDefault="00826C07" w:rsidP="00826C07">
            <w:pPr>
              <w:pStyle w:val="StyleWisnow"/>
              <w:rPr>
                <w:color w:val="000000" w:themeColor="text1"/>
              </w:rPr>
            </w:pPr>
          </w:p>
        </w:tc>
        <w:tc>
          <w:tcPr>
            <w:tcW w:w="4818" w:type="dxa"/>
          </w:tcPr>
          <w:p w14:paraId="71969C00" w14:textId="77777777" w:rsidR="00826C07" w:rsidRPr="00286216" w:rsidRDefault="00826C07" w:rsidP="00826C07">
            <w:pPr>
              <w:pStyle w:val="StyleZakonu"/>
              <w:rPr>
                <w:color w:val="000000" w:themeColor="text1"/>
              </w:rPr>
            </w:pPr>
          </w:p>
        </w:tc>
      </w:tr>
      <w:tr w:rsidR="00826C07" w:rsidRPr="00286216" w14:paraId="740DE5C6" w14:textId="77777777" w:rsidTr="00091AA5">
        <w:tc>
          <w:tcPr>
            <w:tcW w:w="576" w:type="dxa"/>
          </w:tcPr>
          <w:p w14:paraId="21B5B327" w14:textId="77777777" w:rsidR="00826C07" w:rsidRPr="00286216" w:rsidRDefault="00826C07" w:rsidP="00826C07">
            <w:pPr>
              <w:pStyle w:val="StyleWisnow"/>
              <w:rPr>
                <w:color w:val="000000" w:themeColor="text1"/>
              </w:rPr>
            </w:pPr>
            <w:bookmarkStart w:id="1556" w:name="n1807" w:colFirst="0" w:colLast="0"/>
            <w:bookmarkEnd w:id="1555"/>
            <w:r w:rsidRPr="00286216">
              <w:rPr>
                <w:color w:val="000000" w:themeColor="text1"/>
              </w:rPr>
              <w:t>1807.</w:t>
            </w:r>
          </w:p>
        </w:tc>
        <w:tc>
          <w:tcPr>
            <w:tcW w:w="4818" w:type="dxa"/>
          </w:tcPr>
          <w:p w14:paraId="52A6AEBE" w14:textId="77777777" w:rsidR="00826C07" w:rsidRPr="00286216" w:rsidRDefault="00826C07" w:rsidP="00E71C29">
            <w:pPr>
              <w:pStyle w:val="StyleZakonu"/>
              <w:spacing w:after="40" w:line="214" w:lineRule="exact"/>
              <w:rPr>
                <w:color w:val="000000" w:themeColor="text1"/>
              </w:rPr>
            </w:pPr>
            <w:r w:rsidRPr="00286216">
              <w:rPr>
                <w:color w:val="000000" w:themeColor="text1"/>
              </w:rPr>
              <w:t>2) особі, яка надає забезпечення за такими облігаціями;</w:t>
            </w:r>
          </w:p>
        </w:tc>
        <w:tc>
          <w:tcPr>
            <w:tcW w:w="3686" w:type="dxa"/>
          </w:tcPr>
          <w:p w14:paraId="5F8A851D" w14:textId="77777777" w:rsidR="00826C07" w:rsidRPr="00286216" w:rsidRDefault="00826C07" w:rsidP="00826C07">
            <w:pPr>
              <w:pStyle w:val="StyleProp"/>
              <w:rPr>
                <w:color w:val="000000" w:themeColor="text1"/>
                <w:szCs w:val="18"/>
              </w:rPr>
            </w:pPr>
          </w:p>
        </w:tc>
        <w:tc>
          <w:tcPr>
            <w:tcW w:w="1987" w:type="dxa"/>
          </w:tcPr>
          <w:p w14:paraId="60219E6C" w14:textId="77777777" w:rsidR="00826C07" w:rsidRPr="00286216" w:rsidRDefault="00826C07" w:rsidP="00826C07">
            <w:pPr>
              <w:pStyle w:val="StyleWisnow"/>
              <w:rPr>
                <w:color w:val="000000" w:themeColor="text1"/>
              </w:rPr>
            </w:pPr>
          </w:p>
        </w:tc>
        <w:tc>
          <w:tcPr>
            <w:tcW w:w="4818" w:type="dxa"/>
          </w:tcPr>
          <w:p w14:paraId="04C77CDD" w14:textId="77777777" w:rsidR="00826C07" w:rsidRPr="00286216" w:rsidRDefault="00826C07" w:rsidP="00826C07">
            <w:pPr>
              <w:pStyle w:val="StyleZakonu"/>
              <w:rPr>
                <w:color w:val="000000" w:themeColor="text1"/>
              </w:rPr>
            </w:pPr>
          </w:p>
        </w:tc>
      </w:tr>
      <w:tr w:rsidR="00826C07" w:rsidRPr="00286216" w14:paraId="57F8482F" w14:textId="77777777" w:rsidTr="00091AA5">
        <w:tc>
          <w:tcPr>
            <w:tcW w:w="576" w:type="dxa"/>
          </w:tcPr>
          <w:p w14:paraId="5434E5AC" w14:textId="77777777" w:rsidR="00826C07" w:rsidRPr="00286216" w:rsidRDefault="00826C07" w:rsidP="00826C07">
            <w:pPr>
              <w:pStyle w:val="StyleWisnow"/>
              <w:rPr>
                <w:color w:val="000000" w:themeColor="text1"/>
              </w:rPr>
            </w:pPr>
            <w:bookmarkStart w:id="1557" w:name="n1808" w:colFirst="0" w:colLast="0"/>
            <w:bookmarkEnd w:id="1556"/>
            <w:r w:rsidRPr="00286216">
              <w:rPr>
                <w:color w:val="000000" w:themeColor="text1"/>
              </w:rPr>
              <w:t>1808.</w:t>
            </w:r>
          </w:p>
        </w:tc>
        <w:tc>
          <w:tcPr>
            <w:tcW w:w="4818" w:type="dxa"/>
          </w:tcPr>
          <w:p w14:paraId="0C5BE45C" w14:textId="77777777" w:rsidR="00826C07" w:rsidRPr="00286216" w:rsidRDefault="00826C07" w:rsidP="00E71C29">
            <w:pPr>
              <w:pStyle w:val="StyleZakonu"/>
              <w:spacing w:after="40" w:line="214" w:lineRule="exact"/>
              <w:rPr>
                <w:color w:val="000000" w:themeColor="text1"/>
              </w:rPr>
            </w:pPr>
            <w:r w:rsidRPr="00286216">
              <w:rPr>
                <w:color w:val="000000" w:themeColor="text1"/>
              </w:rPr>
              <w:t>3) особі, пов’язаній відносинами контролю з емітентом та/або особою, яка надає забезпечення за такими облігаціями;</w:t>
            </w:r>
          </w:p>
        </w:tc>
        <w:tc>
          <w:tcPr>
            <w:tcW w:w="3686" w:type="dxa"/>
          </w:tcPr>
          <w:p w14:paraId="3C544DFA" w14:textId="77777777" w:rsidR="00826C07" w:rsidRPr="00286216" w:rsidRDefault="00826C07" w:rsidP="00826C07">
            <w:pPr>
              <w:pStyle w:val="StyleProp"/>
              <w:rPr>
                <w:color w:val="000000" w:themeColor="text1"/>
                <w:szCs w:val="18"/>
              </w:rPr>
            </w:pPr>
          </w:p>
        </w:tc>
        <w:tc>
          <w:tcPr>
            <w:tcW w:w="1987" w:type="dxa"/>
          </w:tcPr>
          <w:p w14:paraId="09403E46" w14:textId="77777777" w:rsidR="00826C07" w:rsidRPr="00286216" w:rsidRDefault="00826C07" w:rsidP="00826C07">
            <w:pPr>
              <w:pStyle w:val="StyleWisnow"/>
              <w:rPr>
                <w:color w:val="000000" w:themeColor="text1"/>
              </w:rPr>
            </w:pPr>
          </w:p>
        </w:tc>
        <w:tc>
          <w:tcPr>
            <w:tcW w:w="4818" w:type="dxa"/>
          </w:tcPr>
          <w:p w14:paraId="00A1BDBA" w14:textId="77777777" w:rsidR="00826C07" w:rsidRPr="00286216" w:rsidRDefault="00826C07" w:rsidP="00826C07">
            <w:pPr>
              <w:pStyle w:val="StyleZakonu"/>
              <w:rPr>
                <w:color w:val="000000" w:themeColor="text1"/>
              </w:rPr>
            </w:pPr>
          </w:p>
        </w:tc>
      </w:tr>
      <w:tr w:rsidR="00826C07" w:rsidRPr="00286216" w14:paraId="7D9F5FC8" w14:textId="77777777" w:rsidTr="00091AA5">
        <w:tc>
          <w:tcPr>
            <w:tcW w:w="576" w:type="dxa"/>
          </w:tcPr>
          <w:p w14:paraId="6AF61514" w14:textId="77777777" w:rsidR="00826C07" w:rsidRPr="00286216" w:rsidRDefault="00826C07" w:rsidP="00826C07">
            <w:pPr>
              <w:pStyle w:val="StyleWisnow"/>
              <w:rPr>
                <w:color w:val="000000" w:themeColor="text1"/>
              </w:rPr>
            </w:pPr>
            <w:bookmarkStart w:id="1558" w:name="n1809" w:colFirst="0" w:colLast="0"/>
            <w:bookmarkEnd w:id="1557"/>
            <w:r w:rsidRPr="00286216">
              <w:rPr>
                <w:color w:val="000000" w:themeColor="text1"/>
              </w:rPr>
              <w:t>1809.</w:t>
            </w:r>
          </w:p>
        </w:tc>
        <w:tc>
          <w:tcPr>
            <w:tcW w:w="4818" w:type="dxa"/>
          </w:tcPr>
          <w:p w14:paraId="7D939C0B"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4) юридичній особі, в якій особи, зазначені у пунктах 1-3 цієї частини, сукупно прямо та/або опосередковано володіють частками, паями або акціями, що відповідає (відповідають) еквіваленту </w:t>
            </w:r>
            <w:r w:rsidRPr="00286216">
              <w:rPr>
                <w:color w:val="000000" w:themeColor="text1"/>
              </w:rPr>
              <w:lastRenderedPageBreak/>
              <w:t>більше 50 відсотків статутного (складеного) капіталу та/або голосів у вищому органі управління;</w:t>
            </w:r>
          </w:p>
        </w:tc>
        <w:tc>
          <w:tcPr>
            <w:tcW w:w="3686" w:type="dxa"/>
          </w:tcPr>
          <w:p w14:paraId="22D654E6" w14:textId="77777777" w:rsidR="00826C07" w:rsidRPr="00286216" w:rsidRDefault="00826C07" w:rsidP="00826C07">
            <w:pPr>
              <w:pStyle w:val="StyleProp"/>
              <w:rPr>
                <w:color w:val="000000" w:themeColor="text1"/>
                <w:szCs w:val="18"/>
              </w:rPr>
            </w:pPr>
          </w:p>
        </w:tc>
        <w:tc>
          <w:tcPr>
            <w:tcW w:w="1987" w:type="dxa"/>
          </w:tcPr>
          <w:p w14:paraId="1383BB9F" w14:textId="77777777" w:rsidR="00826C07" w:rsidRPr="00286216" w:rsidRDefault="00826C07" w:rsidP="00826C07">
            <w:pPr>
              <w:pStyle w:val="StyleWisnow"/>
              <w:rPr>
                <w:color w:val="000000" w:themeColor="text1"/>
              </w:rPr>
            </w:pPr>
          </w:p>
        </w:tc>
        <w:tc>
          <w:tcPr>
            <w:tcW w:w="4818" w:type="dxa"/>
          </w:tcPr>
          <w:p w14:paraId="3FC181DA" w14:textId="77777777" w:rsidR="00826C07" w:rsidRPr="00286216" w:rsidRDefault="00826C07" w:rsidP="00826C07">
            <w:pPr>
              <w:pStyle w:val="StyleZakonu"/>
              <w:rPr>
                <w:color w:val="000000" w:themeColor="text1"/>
              </w:rPr>
            </w:pPr>
          </w:p>
        </w:tc>
      </w:tr>
      <w:tr w:rsidR="00826C07" w:rsidRPr="00286216" w14:paraId="1E49667E" w14:textId="77777777" w:rsidTr="00091AA5">
        <w:tc>
          <w:tcPr>
            <w:tcW w:w="576" w:type="dxa"/>
          </w:tcPr>
          <w:p w14:paraId="662A88D2" w14:textId="77777777" w:rsidR="00826C07" w:rsidRPr="00286216" w:rsidRDefault="00826C07" w:rsidP="00826C07">
            <w:pPr>
              <w:pStyle w:val="StyleWisnow"/>
              <w:rPr>
                <w:color w:val="000000" w:themeColor="text1"/>
              </w:rPr>
            </w:pPr>
            <w:bookmarkStart w:id="1559" w:name="n1810" w:colFirst="0" w:colLast="0"/>
            <w:bookmarkEnd w:id="1558"/>
            <w:r w:rsidRPr="00286216">
              <w:rPr>
                <w:color w:val="000000" w:themeColor="text1"/>
              </w:rPr>
              <w:t>1810.</w:t>
            </w:r>
          </w:p>
        </w:tc>
        <w:tc>
          <w:tcPr>
            <w:tcW w:w="4818" w:type="dxa"/>
          </w:tcPr>
          <w:p w14:paraId="08CFC239" w14:textId="77777777" w:rsidR="00826C07" w:rsidRPr="00286216" w:rsidRDefault="00826C07" w:rsidP="00E71C29">
            <w:pPr>
              <w:pStyle w:val="StyleZakonu"/>
              <w:spacing w:after="40" w:line="214" w:lineRule="exact"/>
              <w:rPr>
                <w:color w:val="000000" w:themeColor="text1"/>
              </w:rPr>
            </w:pPr>
            <w:r w:rsidRPr="00286216">
              <w:rPr>
                <w:color w:val="000000" w:themeColor="text1"/>
              </w:rPr>
              <w:t>5) особі, яка володіє облігаціями в інтересах особи, вказаної в пунктах 1-4 цієї частини (лише стосовно відповідних облігацій);</w:t>
            </w:r>
          </w:p>
        </w:tc>
        <w:tc>
          <w:tcPr>
            <w:tcW w:w="3686" w:type="dxa"/>
          </w:tcPr>
          <w:p w14:paraId="255AC7B2" w14:textId="77777777" w:rsidR="00826C07" w:rsidRPr="00286216" w:rsidRDefault="00826C07" w:rsidP="00826C07">
            <w:pPr>
              <w:pStyle w:val="StyleProp"/>
              <w:rPr>
                <w:color w:val="000000" w:themeColor="text1"/>
                <w:szCs w:val="18"/>
              </w:rPr>
            </w:pPr>
          </w:p>
        </w:tc>
        <w:tc>
          <w:tcPr>
            <w:tcW w:w="1987" w:type="dxa"/>
          </w:tcPr>
          <w:p w14:paraId="26ABB9FA" w14:textId="77777777" w:rsidR="00826C07" w:rsidRPr="00286216" w:rsidRDefault="00826C07" w:rsidP="00826C07">
            <w:pPr>
              <w:pStyle w:val="StyleWisnow"/>
              <w:rPr>
                <w:color w:val="000000" w:themeColor="text1"/>
              </w:rPr>
            </w:pPr>
          </w:p>
        </w:tc>
        <w:tc>
          <w:tcPr>
            <w:tcW w:w="4818" w:type="dxa"/>
          </w:tcPr>
          <w:p w14:paraId="250A7C25" w14:textId="77777777" w:rsidR="00826C07" w:rsidRPr="00286216" w:rsidRDefault="00826C07" w:rsidP="00826C07">
            <w:pPr>
              <w:pStyle w:val="StyleZakonu"/>
              <w:rPr>
                <w:color w:val="000000" w:themeColor="text1"/>
              </w:rPr>
            </w:pPr>
          </w:p>
        </w:tc>
      </w:tr>
      <w:tr w:rsidR="00826C07" w:rsidRPr="00286216" w14:paraId="33DACB4F" w14:textId="77777777" w:rsidTr="00091AA5">
        <w:tc>
          <w:tcPr>
            <w:tcW w:w="576" w:type="dxa"/>
          </w:tcPr>
          <w:p w14:paraId="00EDBB75" w14:textId="77777777" w:rsidR="00826C07" w:rsidRPr="00286216" w:rsidRDefault="00826C07" w:rsidP="00826C07">
            <w:pPr>
              <w:pStyle w:val="StyleWisnow"/>
              <w:rPr>
                <w:color w:val="000000" w:themeColor="text1"/>
              </w:rPr>
            </w:pPr>
            <w:bookmarkStart w:id="1560" w:name="n1811" w:colFirst="0" w:colLast="0"/>
            <w:bookmarkEnd w:id="1559"/>
            <w:r w:rsidRPr="00286216">
              <w:rPr>
                <w:color w:val="000000" w:themeColor="text1"/>
              </w:rPr>
              <w:t>1811.</w:t>
            </w:r>
          </w:p>
        </w:tc>
        <w:tc>
          <w:tcPr>
            <w:tcW w:w="4818" w:type="dxa"/>
          </w:tcPr>
          <w:p w14:paraId="3B3D1626" w14:textId="77777777" w:rsidR="00826C07" w:rsidRPr="00286216" w:rsidRDefault="00826C07" w:rsidP="00E71C29">
            <w:pPr>
              <w:pStyle w:val="StyleZakonu"/>
              <w:spacing w:after="40" w:line="214" w:lineRule="exact"/>
              <w:rPr>
                <w:color w:val="000000" w:themeColor="text1"/>
              </w:rPr>
            </w:pPr>
            <w:r w:rsidRPr="00286216">
              <w:rPr>
                <w:color w:val="000000" w:themeColor="text1"/>
              </w:rPr>
              <w:t>6) власнику облігацій, який не подав письмового запевнення у тому, що він не є особою, зазначеною у пунктах 1-5 цієї частини.</w:t>
            </w:r>
          </w:p>
        </w:tc>
        <w:tc>
          <w:tcPr>
            <w:tcW w:w="3686" w:type="dxa"/>
          </w:tcPr>
          <w:p w14:paraId="318794CF" w14:textId="77777777" w:rsidR="00826C07" w:rsidRPr="00286216" w:rsidRDefault="00826C07" w:rsidP="00826C07">
            <w:pPr>
              <w:pStyle w:val="StyleProp"/>
              <w:rPr>
                <w:color w:val="000000" w:themeColor="text1"/>
                <w:szCs w:val="18"/>
              </w:rPr>
            </w:pPr>
          </w:p>
        </w:tc>
        <w:tc>
          <w:tcPr>
            <w:tcW w:w="1987" w:type="dxa"/>
          </w:tcPr>
          <w:p w14:paraId="3964A8CF" w14:textId="77777777" w:rsidR="00826C07" w:rsidRPr="00286216" w:rsidRDefault="00826C07" w:rsidP="00826C07">
            <w:pPr>
              <w:pStyle w:val="StyleWisnow"/>
              <w:rPr>
                <w:color w:val="000000" w:themeColor="text1"/>
              </w:rPr>
            </w:pPr>
          </w:p>
        </w:tc>
        <w:tc>
          <w:tcPr>
            <w:tcW w:w="4818" w:type="dxa"/>
          </w:tcPr>
          <w:p w14:paraId="65ACDE58" w14:textId="77777777" w:rsidR="00826C07" w:rsidRPr="00286216" w:rsidRDefault="00826C07" w:rsidP="00826C07">
            <w:pPr>
              <w:pStyle w:val="StyleZakonu"/>
              <w:rPr>
                <w:color w:val="000000" w:themeColor="text1"/>
              </w:rPr>
            </w:pPr>
          </w:p>
        </w:tc>
      </w:tr>
      <w:tr w:rsidR="00826C07" w:rsidRPr="00286216" w14:paraId="2850DC26" w14:textId="77777777" w:rsidTr="00091AA5">
        <w:tc>
          <w:tcPr>
            <w:tcW w:w="576" w:type="dxa"/>
          </w:tcPr>
          <w:p w14:paraId="6BB65A68" w14:textId="77777777" w:rsidR="00826C07" w:rsidRPr="00286216" w:rsidRDefault="00826C07" w:rsidP="00826C07">
            <w:pPr>
              <w:pStyle w:val="StyleWisnow"/>
              <w:rPr>
                <w:color w:val="000000" w:themeColor="text1"/>
              </w:rPr>
            </w:pPr>
            <w:bookmarkStart w:id="1561" w:name="n1812" w:colFirst="0" w:colLast="0"/>
            <w:bookmarkEnd w:id="1560"/>
            <w:r w:rsidRPr="00286216">
              <w:rPr>
                <w:color w:val="000000" w:themeColor="text1"/>
              </w:rPr>
              <w:t>1812.</w:t>
            </w:r>
          </w:p>
        </w:tc>
        <w:tc>
          <w:tcPr>
            <w:tcW w:w="4818" w:type="dxa"/>
          </w:tcPr>
          <w:p w14:paraId="4DB73746" w14:textId="77777777" w:rsidR="00826C07" w:rsidRPr="00286216" w:rsidRDefault="00826C07" w:rsidP="00E71C29">
            <w:pPr>
              <w:pStyle w:val="StyleZakonu"/>
              <w:spacing w:after="40" w:line="214" w:lineRule="exact"/>
              <w:rPr>
                <w:color w:val="000000" w:themeColor="text1"/>
              </w:rPr>
            </w:pPr>
            <w:r w:rsidRPr="00286216">
              <w:rPr>
                <w:color w:val="000000" w:themeColor="text1"/>
              </w:rPr>
              <w:t>Інформація щодо обмеження права голосу на загальних зборах власників облігацій відображається депозитарною установою в системі депозитарного обліку в порядку, встановленому Національною комісією з цінних паперів та фондового ринку, на підставі письмової інформації, отриманої від власника облігацій, або, у разі неотримання такої інформації, на підставі пункту 6 цієї частини.</w:t>
            </w:r>
          </w:p>
        </w:tc>
        <w:tc>
          <w:tcPr>
            <w:tcW w:w="3686" w:type="dxa"/>
          </w:tcPr>
          <w:p w14:paraId="08D05D10" w14:textId="77777777" w:rsidR="00826C07" w:rsidRPr="00286216" w:rsidRDefault="00826C07" w:rsidP="00826C07">
            <w:pPr>
              <w:pStyle w:val="StyleProp"/>
              <w:rPr>
                <w:color w:val="000000" w:themeColor="text1"/>
                <w:szCs w:val="18"/>
              </w:rPr>
            </w:pPr>
          </w:p>
        </w:tc>
        <w:tc>
          <w:tcPr>
            <w:tcW w:w="1987" w:type="dxa"/>
          </w:tcPr>
          <w:p w14:paraId="3C8EE01E" w14:textId="77777777" w:rsidR="00826C07" w:rsidRPr="00286216" w:rsidRDefault="00826C07" w:rsidP="00826C07">
            <w:pPr>
              <w:pStyle w:val="StyleWisnow"/>
              <w:rPr>
                <w:color w:val="000000" w:themeColor="text1"/>
              </w:rPr>
            </w:pPr>
          </w:p>
        </w:tc>
        <w:tc>
          <w:tcPr>
            <w:tcW w:w="4818" w:type="dxa"/>
          </w:tcPr>
          <w:p w14:paraId="5038A64E" w14:textId="77777777" w:rsidR="00826C07" w:rsidRPr="00286216" w:rsidRDefault="00826C07" w:rsidP="00826C07">
            <w:pPr>
              <w:pStyle w:val="StyleZakonu"/>
              <w:rPr>
                <w:color w:val="000000" w:themeColor="text1"/>
              </w:rPr>
            </w:pPr>
          </w:p>
        </w:tc>
      </w:tr>
      <w:tr w:rsidR="00826C07" w:rsidRPr="00286216" w14:paraId="72097CD3" w14:textId="77777777" w:rsidTr="00091AA5">
        <w:tc>
          <w:tcPr>
            <w:tcW w:w="576" w:type="dxa"/>
          </w:tcPr>
          <w:p w14:paraId="411A612A" w14:textId="77777777" w:rsidR="00826C07" w:rsidRPr="00286216" w:rsidRDefault="00826C07" w:rsidP="00826C07">
            <w:pPr>
              <w:pStyle w:val="StyleWisnow"/>
              <w:rPr>
                <w:color w:val="000000" w:themeColor="text1"/>
              </w:rPr>
            </w:pPr>
            <w:bookmarkStart w:id="1562" w:name="n1813" w:colFirst="0" w:colLast="0"/>
            <w:bookmarkEnd w:id="1561"/>
            <w:r w:rsidRPr="00286216">
              <w:rPr>
                <w:color w:val="000000" w:themeColor="text1"/>
              </w:rPr>
              <w:t>1813.</w:t>
            </w:r>
          </w:p>
        </w:tc>
        <w:tc>
          <w:tcPr>
            <w:tcW w:w="4818" w:type="dxa"/>
          </w:tcPr>
          <w:p w14:paraId="2C0E6D6A" w14:textId="77777777" w:rsidR="00826C07" w:rsidRPr="00286216" w:rsidRDefault="00826C07" w:rsidP="00E71C29">
            <w:pPr>
              <w:pStyle w:val="StyleZakonu"/>
              <w:spacing w:after="40" w:line="214" w:lineRule="exact"/>
              <w:rPr>
                <w:color w:val="000000" w:themeColor="text1"/>
              </w:rPr>
            </w:pPr>
            <w:r w:rsidRPr="00286216">
              <w:rPr>
                <w:color w:val="000000" w:themeColor="text1"/>
              </w:rPr>
              <w:t>Відповідальність за достовірність наданої депозитарній установі інформації несе власник облігацій, що надає відповідну інформацію депозитарній установі.</w:t>
            </w:r>
          </w:p>
        </w:tc>
        <w:tc>
          <w:tcPr>
            <w:tcW w:w="3686" w:type="dxa"/>
          </w:tcPr>
          <w:p w14:paraId="4088373A" w14:textId="77777777" w:rsidR="00826C07" w:rsidRPr="00286216" w:rsidRDefault="00826C07" w:rsidP="00826C07">
            <w:pPr>
              <w:pStyle w:val="StyleProp"/>
              <w:rPr>
                <w:color w:val="000000" w:themeColor="text1"/>
                <w:szCs w:val="18"/>
              </w:rPr>
            </w:pPr>
          </w:p>
        </w:tc>
        <w:tc>
          <w:tcPr>
            <w:tcW w:w="1987" w:type="dxa"/>
          </w:tcPr>
          <w:p w14:paraId="44BB7CFE" w14:textId="77777777" w:rsidR="00826C07" w:rsidRPr="00286216" w:rsidRDefault="00826C07" w:rsidP="00826C07">
            <w:pPr>
              <w:pStyle w:val="StyleWisnow"/>
              <w:rPr>
                <w:color w:val="000000" w:themeColor="text1"/>
              </w:rPr>
            </w:pPr>
          </w:p>
        </w:tc>
        <w:tc>
          <w:tcPr>
            <w:tcW w:w="4818" w:type="dxa"/>
          </w:tcPr>
          <w:p w14:paraId="67B6FCB4" w14:textId="77777777" w:rsidR="00826C07" w:rsidRPr="00286216" w:rsidRDefault="00826C07" w:rsidP="00826C07">
            <w:pPr>
              <w:pStyle w:val="StyleZakonu"/>
              <w:rPr>
                <w:color w:val="000000" w:themeColor="text1"/>
              </w:rPr>
            </w:pPr>
          </w:p>
        </w:tc>
      </w:tr>
      <w:tr w:rsidR="00826C07" w:rsidRPr="00286216" w14:paraId="5CB5E997" w14:textId="77777777" w:rsidTr="00091AA5">
        <w:tc>
          <w:tcPr>
            <w:tcW w:w="576" w:type="dxa"/>
          </w:tcPr>
          <w:p w14:paraId="71069905" w14:textId="77777777" w:rsidR="00826C07" w:rsidRPr="00286216" w:rsidRDefault="00826C07" w:rsidP="00826C07">
            <w:pPr>
              <w:pStyle w:val="StyleWisnow"/>
              <w:rPr>
                <w:color w:val="000000" w:themeColor="text1"/>
              </w:rPr>
            </w:pPr>
            <w:bookmarkStart w:id="1563" w:name="n1814" w:colFirst="0" w:colLast="0"/>
            <w:bookmarkEnd w:id="1562"/>
            <w:r w:rsidRPr="00286216">
              <w:rPr>
                <w:color w:val="000000" w:themeColor="text1"/>
              </w:rPr>
              <w:t>1814.</w:t>
            </w:r>
          </w:p>
        </w:tc>
        <w:tc>
          <w:tcPr>
            <w:tcW w:w="4818" w:type="dxa"/>
          </w:tcPr>
          <w:p w14:paraId="25294416" w14:textId="77777777" w:rsidR="00826C07" w:rsidRPr="00286216" w:rsidRDefault="00826C07" w:rsidP="00E71C29">
            <w:pPr>
              <w:pStyle w:val="StyleZakonu"/>
              <w:spacing w:after="40" w:line="214" w:lineRule="exact"/>
              <w:rPr>
                <w:color w:val="000000" w:themeColor="text1"/>
              </w:rPr>
            </w:pPr>
            <w:r w:rsidRPr="00286216">
              <w:rPr>
                <w:color w:val="000000" w:themeColor="text1"/>
              </w:rPr>
              <w:t>2. Загальною кількістю голосів власників облігацій відповідного випуску є сукупна номінальна вартість непогашених облігацій такого випуску за вирахуванням номінальної вартості тих облігацій такого випуску, які не дають їх власникам права голосу на зборах власників облігацій, як передбачено у пунктах 1-6 частини першої цієї статті.</w:t>
            </w:r>
          </w:p>
        </w:tc>
        <w:tc>
          <w:tcPr>
            <w:tcW w:w="3686" w:type="dxa"/>
          </w:tcPr>
          <w:p w14:paraId="3B25CFCB" w14:textId="77777777" w:rsidR="00826C07" w:rsidRPr="00286216" w:rsidRDefault="00826C07" w:rsidP="00826C07">
            <w:pPr>
              <w:pStyle w:val="StyleProp"/>
              <w:rPr>
                <w:color w:val="000000" w:themeColor="text1"/>
                <w:szCs w:val="18"/>
              </w:rPr>
            </w:pPr>
          </w:p>
        </w:tc>
        <w:tc>
          <w:tcPr>
            <w:tcW w:w="1987" w:type="dxa"/>
          </w:tcPr>
          <w:p w14:paraId="34A16362" w14:textId="77777777" w:rsidR="00826C07" w:rsidRPr="00286216" w:rsidRDefault="00826C07" w:rsidP="00826C07">
            <w:pPr>
              <w:pStyle w:val="StyleWisnow"/>
              <w:rPr>
                <w:color w:val="000000" w:themeColor="text1"/>
              </w:rPr>
            </w:pPr>
          </w:p>
        </w:tc>
        <w:tc>
          <w:tcPr>
            <w:tcW w:w="4818" w:type="dxa"/>
          </w:tcPr>
          <w:p w14:paraId="2E6E68C4" w14:textId="77777777" w:rsidR="00826C07" w:rsidRPr="00286216" w:rsidRDefault="00826C07" w:rsidP="00826C07">
            <w:pPr>
              <w:pStyle w:val="StyleZakonu"/>
              <w:rPr>
                <w:color w:val="000000" w:themeColor="text1"/>
              </w:rPr>
            </w:pPr>
          </w:p>
        </w:tc>
      </w:tr>
      <w:tr w:rsidR="00826C07" w:rsidRPr="00286216" w14:paraId="6CCA21F9" w14:textId="77777777" w:rsidTr="00091AA5">
        <w:tc>
          <w:tcPr>
            <w:tcW w:w="576" w:type="dxa"/>
          </w:tcPr>
          <w:p w14:paraId="49CF1D26" w14:textId="77777777" w:rsidR="00826C07" w:rsidRPr="00286216" w:rsidRDefault="00826C07" w:rsidP="00826C07">
            <w:pPr>
              <w:pStyle w:val="StyleWisnow"/>
              <w:rPr>
                <w:color w:val="000000" w:themeColor="text1"/>
              </w:rPr>
            </w:pPr>
            <w:bookmarkStart w:id="1564" w:name="n1815" w:colFirst="0" w:colLast="0"/>
            <w:bookmarkEnd w:id="1563"/>
            <w:r w:rsidRPr="00286216">
              <w:rPr>
                <w:color w:val="000000" w:themeColor="text1"/>
              </w:rPr>
              <w:t>1815.</w:t>
            </w:r>
          </w:p>
        </w:tc>
        <w:tc>
          <w:tcPr>
            <w:tcW w:w="4818" w:type="dxa"/>
          </w:tcPr>
          <w:p w14:paraId="299E05BC" w14:textId="77777777" w:rsidR="00826C07" w:rsidRPr="00286216" w:rsidRDefault="00826C07" w:rsidP="00E71C29">
            <w:pPr>
              <w:pStyle w:val="StyleZakonu"/>
              <w:spacing w:after="40" w:line="214" w:lineRule="exact"/>
              <w:rPr>
                <w:color w:val="000000" w:themeColor="text1"/>
              </w:rPr>
            </w:pPr>
            <w:r w:rsidRPr="00286216">
              <w:rPr>
                <w:color w:val="000000" w:themeColor="text1"/>
              </w:rPr>
              <w:t>Інформація про осіб, зазначених у пунктах 1-5 частини першої цієї статті, подається емітентом та особами, які надають забезпечення за такими облігаціями, особі, відповідальній за проведення зборів, протягом п’яти робочих днів з дня отримання відповідного запиту. Особа, відповідальна за проведення зборів, зобов’язана здійснити такий запит, крім випадку, коли особою, відповідальною за проведення зборів, є емітент незабезпечених облігацій.</w:t>
            </w:r>
          </w:p>
        </w:tc>
        <w:tc>
          <w:tcPr>
            <w:tcW w:w="3686" w:type="dxa"/>
          </w:tcPr>
          <w:p w14:paraId="2E4EC95A" w14:textId="77777777" w:rsidR="00826C07" w:rsidRPr="00286216" w:rsidRDefault="00826C07" w:rsidP="00826C07">
            <w:pPr>
              <w:pStyle w:val="StyleProp"/>
              <w:rPr>
                <w:color w:val="000000" w:themeColor="text1"/>
                <w:szCs w:val="18"/>
              </w:rPr>
            </w:pPr>
          </w:p>
        </w:tc>
        <w:tc>
          <w:tcPr>
            <w:tcW w:w="1987" w:type="dxa"/>
          </w:tcPr>
          <w:p w14:paraId="1F8F432F" w14:textId="77777777" w:rsidR="00826C07" w:rsidRPr="00286216" w:rsidRDefault="00826C07" w:rsidP="00826C07">
            <w:pPr>
              <w:pStyle w:val="StyleWisnow"/>
              <w:rPr>
                <w:color w:val="000000" w:themeColor="text1"/>
              </w:rPr>
            </w:pPr>
          </w:p>
        </w:tc>
        <w:tc>
          <w:tcPr>
            <w:tcW w:w="4818" w:type="dxa"/>
          </w:tcPr>
          <w:p w14:paraId="56113279" w14:textId="77777777" w:rsidR="00826C07" w:rsidRPr="00286216" w:rsidRDefault="00826C07" w:rsidP="00826C07">
            <w:pPr>
              <w:pStyle w:val="StyleZakonu"/>
              <w:rPr>
                <w:color w:val="000000" w:themeColor="text1"/>
              </w:rPr>
            </w:pPr>
          </w:p>
        </w:tc>
      </w:tr>
      <w:tr w:rsidR="00826C07" w:rsidRPr="00286216" w14:paraId="3EC3E888" w14:textId="77777777" w:rsidTr="00091AA5">
        <w:tc>
          <w:tcPr>
            <w:tcW w:w="576" w:type="dxa"/>
          </w:tcPr>
          <w:p w14:paraId="21863B61" w14:textId="77777777" w:rsidR="00826C07" w:rsidRPr="00286216" w:rsidRDefault="00826C07" w:rsidP="00826C07">
            <w:pPr>
              <w:pStyle w:val="StyleWisnow"/>
              <w:rPr>
                <w:color w:val="000000" w:themeColor="text1"/>
              </w:rPr>
            </w:pPr>
            <w:bookmarkStart w:id="1565" w:name="n1816" w:colFirst="0" w:colLast="0"/>
            <w:bookmarkEnd w:id="1564"/>
            <w:r w:rsidRPr="00286216">
              <w:rPr>
                <w:color w:val="000000" w:themeColor="text1"/>
              </w:rPr>
              <w:t>1816.</w:t>
            </w:r>
          </w:p>
        </w:tc>
        <w:tc>
          <w:tcPr>
            <w:tcW w:w="4818" w:type="dxa"/>
          </w:tcPr>
          <w:p w14:paraId="35A0BDB3"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При розрахунку загальної кількості голосів власників облігацій відповідного випуску (визначенні правомочності зборів власників облігацій приймати рішення, підбитті підсумків голосування на них) особа, відповідальна за проведення зборів зменшує номінальну вартість облігацій відповідного випуску на номінальну вартість облігацій, які не дають їх власникам права голосу на зборах власників </w:t>
            </w:r>
            <w:r w:rsidRPr="00286216">
              <w:rPr>
                <w:color w:val="000000" w:themeColor="text1"/>
              </w:rPr>
              <w:lastRenderedPageBreak/>
              <w:t>облігацій, як передбачено у пунктах 1-6 частини першої цієї статті незалежно від того чи отримана така інформація від емітента чи особи, яка надала забезпечення за такими облігаціями відповідно до абзацу другого цієї частини, або від Центрального депозитарію цінних паперів відповідно до частини дев’ятої цієї статті.</w:t>
            </w:r>
          </w:p>
        </w:tc>
        <w:tc>
          <w:tcPr>
            <w:tcW w:w="3686" w:type="dxa"/>
          </w:tcPr>
          <w:p w14:paraId="729A3E1D" w14:textId="77777777" w:rsidR="00826C07" w:rsidRPr="00286216" w:rsidRDefault="00826C07" w:rsidP="00826C07">
            <w:pPr>
              <w:pStyle w:val="StyleProp"/>
              <w:rPr>
                <w:color w:val="000000" w:themeColor="text1"/>
                <w:szCs w:val="18"/>
              </w:rPr>
            </w:pPr>
          </w:p>
        </w:tc>
        <w:tc>
          <w:tcPr>
            <w:tcW w:w="1987" w:type="dxa"/>
          </w:tcPr>
          <w:p w14:paraId="224DC052" w14:textId="77777777" w:rsidR="00826C07" w:rsidRPr="00286216" w:rsidRDefault="00826C07" w:rsidP="00826C07">
            <w:pPr>
              <w:pStyle w:val="StyleWisnow"/>
              <w:rPr>
                <w:color w:val="000000" w:themeColor="text1"/>
              </w:rPr>
            </w:pPr>
          </w:p>
        </w:tc>
        <w:tc>
          <w:tcPr>
            <w:tcW w:w="4818" w:type="dxa"/>
          </w:tcPr>
          <w:p w14:paraId="1BD7BEEA" w14:textId="77777777" w:rsidR="00826C07" w:rsidRPr="00286216" w:rsidRDefault="00826C07" w:rsidP="00826C07">
            <w:pPr>
              <w:pStyle w:val="StyleZakonu"/>
              <w:rPr>
                <w:color w:val="000000" w:themeColor="text1"/>
              </w:rPr>
            </w:pPr>
          </w:p>
        </w:tc>
      </w:tr>
      <w:tr w:rsidR="00826C07" w:rsidRPr="00286216" w14:paraId="35FC2CB3" w14:textId="77777777" w:rsidTr="00091AA5">
        <w:tc>
          <w:tcPr>
            <w:tcW w:w="576" w:type="dxa"/>
          </w:tcPr>
          <w:p w14:paraId="7CBC74DB" w14:textId="77777777" w:rsidR="00826C07" w:rsidRPr="00286216" w:rsidRDefault="00826C07" w:rsidP="00826C07">
            <w:pPr>
              <w:pStyle w:val="StyleWisnow"/>
              <w:rPr>
                <w:color w:val="000000" w:themeColor="text1"/>
              </w:rPr>
            </w:pPr>
            <w:bookmarkStart w:id="1566" w:name="n1817" w:colFirst="0" w:colLast="0"/>
            <w:bookmarkEnd w:id="1565"/>
            <w:r w:rsidRPr="00286216">
              <w:rPr>
                <w:color w:val="000000" w:themeColor="text1"/>
              </w:rPr>
              <w:t>1817.</w:t>
            </w:r>
          </w:p>
        </w:tc>
        <w:tc>
          <w:tcPr>
            <w:tcW w:w="4818" w:type="dxa"/>
          </w:tcPr>
          <w:p w14:paraId="64DBF263" w14:textId="77777777" w:rsidR="00826C07" w:rsidRPr="00286216" w:rsidRDefault="00826C07" w:rsidP="00E71C29">
            <w:pPr>
              <w:pStyle w:val="StyleZakonu"/>
              <w:spacing w:after="40" w:line="214" w:lineRule="exact"/>
              <w:rPr>
                <w:color w:val="000000" w:themeColor="text1"/>
              </w:rPr>
            </w:pPr>
            <w:r w:rsidRPr="00286216">
              <w:rPr>
                <w:color w:val="000000" w:themeColor="text1"/>
              </w:rPr>
              <w:t>3. Збори власників облігацій вважаються правомочними приймати рішення, якщо у голосуванні з будь-якого з питань порядку денного були подані голоси у кількості не менше 75 відсотків від загальної кількості голосів власників облігацій відповідного випуску.</w:t>
            </w:r>
          </w:p>
        </w:tc>
        <w:tc>
          <w:tcPr>
            <w:tcW w:w="3686" w:type="dxa"/>
          </w:tcPr>
          <w:p w14:paraId="64EEB17B" w14:textId="77777777" w:rsidR="00826C07" w:rsidRPr="00286216" w:rsidRDefault="00826C07" w:rsidP="00826C07">
            <w:pPr>
              <w:pStyle w:val="StyleProp"/>
              <w:rPr>
                <w:color w:val="000000" w:themeColor="text1"/>
                <w:szCs w:val="18"/>
              </w:rPr>
            </w:pPr>
          </w:p>
        </w:tc>
        <w:tc>
          <w:tcPr>
            <w:tcW w:w="1987" w:type="dxa"/>
          </w:tcPr>
          <w:p w14:paraId="341B9CA4" w14:textId="77777777" w:rsidR="00826C07" w:rsidRPr="00286216" w:rsidRDefault="00826C07" w:rsidP="00826C07">
            <w:pPr>
              <w:pStyle w:val="StyleWisnow"/>
              <w:rPr>
                <w:color w:val="000000" w:themeColor="text1"/>
              </w:rPr>
            </w:pPr>
          </w:p>
        </w:tc>
        <w:tc>
          <w:tcPr>
            <w:tcW w:w="4818" w:type="dxa"/>
          </w:tcPr>
          <w:p w14:paraId="22551B11" w14:textId="77777777" w:rsidR="00826C07" w:rsidRPr="00286216" w:rsidRDefault="00826C07" w:rsidP="00826C07">
            <w:pPr>
              <w:pStyle w:val="StyleZakonu"/>
              <w:rPr>
                <w:color w:val="000000" w:themeColor="text1"/>
              </w:rPr>
            </w:pPr>
          </w:p>
        </w:tc>
      </w:tr>
      <w:tr w:rsidR="00826C07" w:rsidRPr="00286216" w14:paraId="399C247E" w14:textId="77777777" w:rsidTr="00091AA5">
        <w:tc>
          <w:tcPr>
            <w:tcW w:w="576" w:type="dxa"/>
          </w:tcPr>
          <w:p w14:paraId="264B9A7B" w14:textId="77777777" w:rsidR="00826C07" w:rsidRPr="00286216" w:rsidRDefault="00826C07" w:rsidP="00826C07">
            <w:pPr>
              <w:pStyle w:val="StyleWisnow"/>
              <w:rPr>
                <w:color w:val="000000" w:themeColor="text1"/>
              </w:rPr>
            </w:pPr>
            <w:bookmarkStart w:id="1567" w:name="n1818" w:colFirst="0" w:colLast="0"/>
            <w:bookmarkEnd w:id="1566"/>
            <w:r w:rsidRPr="00286216">
              <w:rPr>
                <w:color w:val="000000" w:themeColor="text1"/>
              </w:rPr>
              <w:t>1818.</w:t>
            </w:r>
          </w:p>
        </w:tc>
        <w:tc>
          <w:tcPr>
            <w:tcW w:w="4818" w:type="dxa"/>
          </w:tcPr>
          <w:p w14:paraId="3D723727" w14:textId="77777777" w:rsidR="00826C07" w:rsidRPr="00286216" w:rsidRDefault="00826C07" w:rsidP="00E71C29">
            <w:pPr>
              <w:pStyle w:val="StyleZakonu"/>
              <w:spacing w:after="40" w:line="214" w:lineRule="exact"/>
              <w:rPr>
                <w:color w:val="000000" w:themeColor="text1"/>
              </w:rPr>
            </w:pPr>
            <w:r w:rsidRPr="00286216">
              <w:rPr>
                <w:color w:val="000000" w:themeColor="text1"/>
              </w:rPr>
              <w:t>Якщо на зборах власників облігацій не було прийнято рішення з жодного з питань порядку денного через неправомочність зборів приймати рішення, повторні збори власників облігацій з тих самих питань порядку денного вважаються правомочними приймати рішення, якщо у голосуванні з будь-якого з питань порядку денного були подані голоси у кількості не менше 25 відсотків від загальної кількості голосів власників облігацій відповідного випуску.</w:t>
            </w:r>
          </w:p>
        </w:tc>
        <w:tc>
          <w:tcPr>
            <w:tcW w:w="3686" w:type="dxa"/>
          </w:tcPr>
          <w:p w14:paraId="61BA9E2B" w14:textId="77777777" w:rsidR="00826C07" w:rsidRPr="00286216" w:rsidRDefault="00826C07" w:rsidP="00826C07">
            <w:pPr>
              <w:pStyle w:val="StyleProp"/>
              <w:rPr>
                <w:color w:val="000000" w:themeColor="text1"/>
                <w:szCs w:val="18"/>
              </w:rPr>
            </w:pPr>
          </w:p>
        </w:tc>
        <w:tc>
          <w:tcPr>
            <w:tcW w:w="1987" w:type="dxa"/>
          </w:tcPr>
          <w:p w14:paraId="4F52D101" w14:textId="77777777" w:rsidR="00826C07" w:rsidRPr="00286216" w:rsidRDefault="00826C07" w:rsidP="00826C07">
            <w:pPr>
              <w:pStyle w:val="StyleWisnow"/>
              <w:rPr>
                <w:color w:val="000000" w:themeColor="text1"/>
              </w:rPr>
            </w:pPr>
          </w:p>
        </w:tc>
        <w:tc>
          <w:tcPr>
            <w:tcW w:w="4818" w:type="dxa"/>
          </w:tcPr>
          <w:p w14:paraId="3728F718" w14:textId="77777777" w:rsidR="00826C07" w:rsidRPr="00286216" w:rsidRDefault="00826C07" w:rsidP="00826C07">
            <w:pPr>
              <w:pStyle w:val="StyleZakonu"/>
              <w:rPr>
                <w:color w:val="000000" w:themeColor="text1"/>
              </w:rPr>
            </w:pPr>
          </w:p>
        </w:tc>
      </w:tr>
      <w:tr w:rsidR="00826C07" w:rsidRPr="00286216" w14:paraId="2393D886" w14:textId="77777777" w:rsidTr="00091AA5">
        <w:tc>
          <w:tcPr>
            <w:tcW w:w="576" w:type="dxa"/>
          </w:tcPr>
          <w:p w14:paraId="3630C845" w14:textId="77777777" w:rsidR="00826C07" w:rsidRPr="00286216" w:rsidRDefault="00826C07" w:rsidP="00826C07">
            <w:pPr>
              <w:pStyle w:val="StyleWisnow"/>
              <w:rPr>
                <w:color w:val="000000" w:themeColor="text1"/>
              </w:rPr>
            </w:pPr>
            <w:bookmarkStart w:id="1568" w:name="n1819" w:colFirst="0" w:colLast="0"/>
            <w:bookmarkEnd w:id="1567"/>
            <w:r w:rsidRPr="00286216">
              <w:rPr>
                <w:color w:val="000000" w:themeColor="text1"/>
              </w:rPr>
              <w:t>1819.</w:t>
            </w:r>
          </w:p>
        </w:tc>
        <w:tc>
          <w:tcPr>
            <w:tcW w:w="4818" w:type="dxa"/>
          </w:tcPr>
          <w:p w14:paraId="087FD862" w14:textId="77777777" w:rsidR="00826C07" w:rsidRPr="00286216" w:rsidRDefault="00826C07" w:rsidP="00E71C29">
            <w:pPr>
              <w:pStyle w:val="StyleZakonu"/>
              <w:spacing w:after="40" w:line="214" w:lineRule="exact"/>
              <w:rPr>
                <w:color w:val="000000" w:themeColor="text1"/>
              </w:rPr>
            </w:pPr>
            <w:r w:rsidRPr="00286216">
              <w:rPr>
                <w:color w:val="000000" w:themeColor="text1"/>
              </w:rPr>
              <w:t>4. Рішення зборів власників облігацій з питань, передбачених цією частиною, приймається більшістю у ¾ голосів власників облігацій відповідного випуску, які беруть участь у голосуванні з питань порядку денного зборів власників облігацій, що вважаються правомочними приймати рішення. Такими питаннями є питання про:</w:t>
            </w:r>
          </w:p>
        </w:tc>
        <w:tc>
          <w:tcPr>
            <w:tcW w:w="3686" w:type="dxa"/>
          </w:tcPr>
          <w:p w14:paraId="2B9CEEDC" w14:textId="77777777" w:rsidR="00826C07" w:rsidRPr="00286216" w:rsidRDefault="00826C07" w:rsidP="00826C07">
            <w:pPr>
              <w:pStyle w:val="StyleProp"/>
              <w:rPr>
                <w:color w:val="000000" w:themeColor="text1"/>
                <w:szCs w:val="18"/>
              </w:rPr>
            </w:pPr>
          </w:p>
        </w:tc>
        <w:tc>
          <w:tcPr>
            <w:tcW w:w="1987" w:type="dxa"/>
          </w:tcPr>
          <w:p w14:paraId="3E843DCC" w14:textId="77777777" w:rsidR="00826C07" w:rsidRPr="00286216" w:rsidRDefault="00826C07" w:rsidP="00826C07">
            <w:pPr>
              <w:pStyle w:val="StyleWisnow"/>
              <w:rPr>
                <w:color w:val="000000" w:themeColor="text1"/>
              </w:rPr>
            </w:pPr>
          </w:p>
        </w:tc>
        <w:tc>
          <w:tcPr>
            <w:tcW w:w="4818" w:type="dxa"/>
          </w:tcPr>
          <w:p w14:paraId="724386B6" w14:textId="77777777" w:rsidR="00826C07" w:rsidRPr="00286216" w:rsidRDefault="00826C07" w:rsidP="00826C07">
            <w:pPr>
              <w:pStyle w:val="StyleZakonu"/>
              <w:rPr>
                <w:color w:val="000000" w:themeColor="text1"/>
              </w:rPr>
            </w:pPr>
          </w:p>
        </w:tc>
      </w:tr>
      <w:tr w:rsidR="00826C07" w:rsidRPr="00286216" w14:paraId="49E8AB6E" w14:textId="77777777" w:rsidTr="00091AA5">
        <w:tc>
          <w:tcPr>
            <w:tcW w:w="576" w:type="dxa"/>
          </w:tcPr>
          <w:p w14:paraId="79E64F70" w14:textId="77777777" w:rsidR="00826C07" w:rsidRPr="00286216" w:rsidRDefault="00826C07" w:rsidP="00826C07">
            <w:pPr>
              <w:pStyle w:val="StyleWisnow"/>
              <w:rPr>
                <w:color w:val="000000" w:themeColor="text1"/>
              </w:rPr>
            </w:pPr>
            <w:bookmarkStart w:id="1569" w:name="n1820" w:colFirst="0" w:colLast="0"/>
            <w:bookmarkEnd w:id="1568"/>
            <w:r w:rsidRPr="00286216">
              <w:rPr>
                <w:color w:val="000000" w:themeColor="text1"/>
              </w:rPr>
              <w:t>1820.</w:t>
            </w:r>
          </w:p>
        </w:tc>
        <w:tc>
          <w:tcPr>
            <w:tcW w:w="4818" w:type="dxa"/>
          </w:tcPr>
          <w:p w14:paraId="138275D3" w14:textId="77777777" w:rsidR="00826C07" w:rsidRPr="00286216" w:rsidRDefault="00826C07" w:rsidP="00E71C29">
            <w:pPr>
              <w:pStyle w:val="StyleZakonu"/>
              <w:spacing w:after="40" w:line="214" w:lineRule="exact"/>
              <w:rPr>
                <w:color w:val="000000" w:themeColor="text1"/>
              </w:rPr>
            </w:pPr>
            <w:r w:rsidRPr="00286216">
              <w:rPr>
                <w:color w:val="000000" w:themeColor="text1"/>
              </w:rPr>
              <w:t>1) надання згоди на внесення емітентом змін до проспекту (рішення про емісію цінних паперів) щодо розміру процентів, розміру, валюти основної суми облігацій, строків виплати процентів, строків погашення, умов дострокового погашення, деномінації відповідного випуску облігацій, переліку осіб, які надають забезпечення за облігаціями, та обсягу їх відповідальності, конвертації облігацій, щодо заміни емітента (далі - основні фінансові умови облігацій), внесенням відповідних змін до правочинів щодо забезпечення виконання зобов’язань за облігаціями;</w:t>
            </w:r>
          </w:p>
        </w:tc>
        <w:tc>
          <w:tcPr>
            <w:tcW w:w="3686" w:type="dxa"/>
          </w:tcPr>
          <w:p w14:paraId="0EEED621" w14:textId="77777777" w:rsidR="00826C07" w:rsidRPr="00286216" w:rsidRDefault="00826C07" w:rsidP="00826C07">
            <w:pPr>
              <w:pStyle w:val="StyleProp"/>
              <w:rPr>
                <w:color w:val="000000" w:themeColor="text1"/>
                <w:szCs w:val="18"/>
              </w:rPr>
            </w:pPr>
          </w:p>
        </w:tc>
        <w:tc>
          <w:tcPr>
            <w:tcW w:w="1987" w:type="dxa"/>
          </w:tcPr>
          <w:p w14:paraId="7B99657C" w14:textId="77777777" w:rsidR="00826C07" w:rsidRPr="00286216" w:rsidRDefault="00826C07" w:rsidP="00826C07">
            <w:pPr>
              <w:pStyle w:val="StyleWisnow"/>
              <w:rPr>
                <w:color w:val="000000" w:themeColor="text1"/>
              </w:rPr>
            </w:pPr>
          </w:p>
        </w:tc>
        <w:tc>
          <w:tcPr>
            <w:tcW w:w="4818" w:type="dxa"/>
          </w:tcPr>
          <w:p w14:paraId="46D73A69" w14:textId="77777777" w:rsidR="00826C07" w:rsidRPr="00286216" w:rsidRDefault="00826C07" w:rsidP="00826C07">
            <w:pPr>
              <w:pStyle w:val="StyleZakonu"/>
              <w:rPr>
                <w:color w:val="000000" w:themeColor="text1"/>
              </w:rPr>
            </w:pPr>
          </w:p>
        </w:tc>
      </w:tr>
      <w:tr w:rsidR="00826C07" w:rsidRPr="00286216" w14:paraId="22FB072A" w14:textId="77777777" w:rsidTr="00091AA5">
        <w:tc>
          <w:tcPr>
            <w:tcW w:w="576" w:type="dxa"/>
          </w:tcPr>
          <w:p w14:paraId="7E057A44" w14:textId="77777777" w:rsidR="00826C07" w:rsidRPr="00286216" w:rsidRDefault="00826C07" w:rsidP="00826C07">
            <w:pPr>
              <w:pStyle w:val="StyleWisnow"/>
              <w:rPr>
                <w:color w:val="000000" w:themeColor="text1"/>
              </w:rPr>
            </w:pPr>
            <w:bookmarkStart w:id="1570" w:name="n1821" w:colFirst="0" w:colLast="0"/>
            <w:bookmarkEnd w:id="1569"/>
            <w:r w:rsidRPr="00286216">
              <w:rPr>
                <w:color w:val="000000" w:themeColor="text1"/>
              </w:rPr>
              <w:t>1821.</w:t>
            </w:r>
          </w:p>
        </w:tc>
        <w:tc>
          <w:tcPr>
            <w:tcW w:w="4818" w:type="dxa"/>
          </w:tcPr>
          <w:p w14:paraId="333084B4" w14:textId="77777777" w:rsidR="00826C07" w:rsidRPr="00286216" w:rsidRDefault="00826C07" w:rsidP="00E71C29">
            <w:pPr>
              <w:pStyle w:val="StyleZakonu"/>
              <w:spacing w:after="40" w:line="214" w:lineRule="exact"/>
              <w:rPr>
                <w:color w:val="000000" w:themeColor="text1"/>
              </w:rPr>
            </w:pPr>
            <w:r w:rsidRPr="00286216">
              <w:rPr>
                <w:color w:val="000000" w:themeColor="text1"/>
              </w:rPr>
              <w:t>2) погодження умов реструктуризації заборгованості емітента та/або осіб, які надають забезпечення за облігаціями, перед власниками облігацій;</w:t>
            </w:r>
          </w:p>
        </w:tc>
        <w:tc>
          <w:tcPr>
            <w:tcW w:w="3686" w:type="dxa"/>
          </w:tcPr>
          <w:p w14:paraId="675FCCEC" w14:textId="77777777" w:rsidR="00826C07" w:rsidRPr="00286216" w:rsidRDefault="00826C07" w:rsidP="00826C07">
            <w:pPr>
              <w:pStyle w:val="StyleProp"/>
              <w:rPr>
                <w:color w:val="000000" w:themeColor="text1"/>
                <w:szCs w:val="18"/>
              </w:rPr>
            </w:pPr>
          </w:p>
        </w:tc>
        <w:tc>
          <w:tcPr>
            <w:tcW w:w="1987" w:type="dxa"/>
          </w:tcPr>
          <w:p w14:paraId="61456A46" w14:textId="77777777" w:rsidR="00826C07" w:rsidRPr="00286216" w:rsidRDefault="00826C07" w:rsidP="00826C07">
            <w:pPr>
              <w:pStyle w:val="StyleWisnow"/>
              <w:rPr>
                <w:color w:val="000000" w:themeColor="text1"/>
              </w:rPr>
            </w:pPr>
          </w:p>
        </w:tc>
        <w:tc>
          <w:tcPr>
            <w:tcW w:w="4818" w:type="dxa"/>
          </w:tcPr>
          <w:p w14:paraId="3F0AF8E4" w14:textId="77777777" w:rsidR="00826C07" w:rsidRPr="00286216" w:rsidRDefault="00826C07" w:rsidP="00826C07">
            <w:pPr>
              <w:pStyle w:val="StyleZakonu"/>
              <w:rPr>
                <w:color w:val="000000" w:themeColor="text1"/>
              </w:rPr>
            </w:pPr>
          </w:p>
        </w:tc>
      </w:tr>
      <w:tr w:rsidR="00826C07" w:rsidRPr="00286216" w14:paraId="4A37589E" w14:textId="77777777" w:rsidTr="00091AA5">
        <w:tc>
          <w:tcPr>
            <w:tcW w:w="576" w:type="dxa"/>
          </w:tcPr>
          <w:p w14:paraId="134EA2EA" w14:textId="77777777" w:rsidR="00826C07" w:rsidRPr="00286216" w:rsidRDefault="00826C07" w:rsidP="00826C07">
            <w:pPr>
              <w:pStyle w:val="StyleWisnow"/>
              <w:rPr>
                <w:color w:val="000000" w:themeColor="text1"/>
              </w:rPr>
            </w:pPr>
            <w:bookmarkStart w:id="1571" w:name="n1822" w:colFirst="0" w:colLast="0"/>
            <w:bookmarkEnd w:id="1570"/>
            <w:r w:rsidRPr="00286216">
              <w:rPr>
                <w:color w:val="000000" w:themeColor="text1"/>
              </w:rPr>
              <w:lastRenderedPageBreak/>
              <w:t>1822.</w:t>
            </w:r>
          </w:p>
        </w:tc>
        <w:tc>
          <w:tcPr>
            <w:tcW w:w="4818" w:type="dxa"/>
          </w:tcPr>
          <w:p w14:paraId="4ACC9784" w14:textId="77777777" w:rsidR="00826C07" w:rsidRPr="00286216" w:rsidRDefault="00826C07" w:rsidP="00E71C29">
            <w:pPr>
              <w:pStyle w:val="StyleZakonu"/>
              <w:spacing w:after="40" w:line="214" w:lineRule="exact"/>
              <w:rPr>
                <w:color w:val="000000" w:themeColor="text1"/>
              </w:rPr>
            </w:pPr>
            <w:r w:rsidRPr="00286216">
              <w:rPr>
                <w:color w:val="000000" w:themeColor="text1"/>
              </w:rPr>
              <w:t>3) відмову від пред’явлення вимоги про дострокове погашення облігацій після настання дефолту (крім дефолту у зв’язку з порушенням емітентом або особою, яка надає забезпечення за облігаціями, обов’язків, встановлених проспектом (рішенням про емісію цінних паперів) та/або правочином щодо забезпечення виконання зобов’язань за облігаціями, що не належать до основних фінансових умов облігацій), надання згоди на вчинення адміністратором дій (правочинів), вказаних у частині другій статті 117 цього Закону;</w:t>
            </w:r>
          </w:p>
        </w:tc>
        <w:tc>
          <w:tcPr>
            <w:tcW w:w="3686" w:type="dxa"/>
          </w:tcPr>
          <w:p w14:paraId="25DD78BF" w14:textId="77777777" w:rsidR="00826C07" w:rsidRPr="00286216" w:rsidRDefault="00826C07" w:rsidP="00826C07">
            <w:pPr>
              <w:pStyle w:val="StyleProp"/>
              <w:rPr>
                <w:color w:val="000000" w:themeColor="text1"/>
                <w:szCs w:val="18"/>
              </w:rPr>
            </w:pPr>
          </w:p>
        </w:tc>
        <w:tc>
          <w:tcPr>
            <w:tcW w:w="1987" w:type="dxa"/>
          </w:tcPr>
          <w:p w14:paraId="3C6E1067" w14:textId="77777777" w:rsidR="00826C07" w:rsidRPr="00286216" w:rsidRDefault="00826C07" w:rsidP="00826C07">
            <w:pPr>
              <w:pStyle w:val="StyleWisnow"/>
              <w:rPr>
                <w:color w:val="000000" w:themeColor="text1"/>
              </w:rPr>
            </w:pPr>
          </w:p>
        </w:tc>
        <w:tc>
          <w:tcPr>
            <w:tcW w:w="4818" w:type="dxa"/>
          </w:tcPr>
          <w:p w14:paraId="6578112A" w14:textId="77777777" w:rsidR="00826C07" w:rsidRPr="00286216" w:rsidRDefault="00826C07" w:rsidP="00826C07">
            <w:pPr>
              <w:pStyle w:val="StyleZakonu"/>
              <w:rPr>
                <w:color w:val="000000" w:themeColor="text1"/>
              </w:rPr>
            </w:pPr>
          </w:p>
        </w:tc>
      </w:tr>
      <w:tr w:rsidR="00826C07" w:rsidRPr="00286216" w14:paraId="44FE69DE" w14:textId="77777777" w:rsidTr="00091AA5">
        <w:tc>
          <w:tcPr>
            <w:tcW w:w="576" w:type="dxa"/>
          </w:tcPr>
          <w:p w14:paraId="484F6F81" w14:textId="77777777" w:rsidR="00826C07" w:rsidRPr="00286216" w:rsidRDefault="00826C07" w:rsidP="00826C07">
            <w:pPr>
              <w:pStyle w:val="StyleWisnow"/>
              <w:rPr>
                <w:color w:val="000000" w:themeColor="text1"/>
              </w:rPr>
            </w:pPr>
            <w:bookmarkStart w:id="1572" w:name="n1823" w:colFirst="0" w:colLast="0"/>
            <w:bookmarkEnd w:id="1571"/>
            <w:r w:rsidRPr="00286216">
              <w:rPr>
                <w:color w:val="000000" w:themeColor="text1"/>
              </w:rPr>
              <w:t>1823.</w:t>
            </w:r>
          </w:p>
        </w:tc>
        <w:tc>
          <w:tcPr>
            <w:tcW w:w="4818" w:type="dxa"/>
          </w:tcPr>
          <w:p w14:paraId="2A7573FE" w14:textId="77777777" w:rsidR="00826C07" w:rsidRPr="00286216" w:rsidRDefault="00826C07" w:rsidP="00E71C29">
            <w:pPr>
              <w:pStyle w:val="StyleZakonu"/>
              <w:spacing w:after="40" w:line="214" w:lineRule="exact"/>
              <w:rPr>
                <w:color w:val="000000" w:themeColor="text1"/>
              </w:rPr>
            </w:pPr>
            <w:r w:rsidRPr="00286216">
              <w:rPr>
                <w:color w:val="000000" w:themeColor="text1"/>
              </w:rPr>
              <w:t>4) прийняття рішення про усунення від виконання або відмову від усунення від виконання адміністратора у разі наявності конфлікту інтересів та в інших випадках, передбачених цим Законом та/або проспектом (рішенням про емісію цінних паперів);</w:t>
            </w:r>
          </w:p>
        </w:tc>
        <w:tc>
          <w:tcPr>
            <w:tcW w:w="3686" w:type="dxa"/>
          </w:tcPr>
          <w:p w14:paraId="76EF9FBA" w14:textId="77777777" w:rsidR="00826C07" w:rsidRPr="00286216" w:rsidRDefault="00826C07" w:rsidP="00826C07">
            <w:pPr>
              <w:pStyle w:val="StyleProp"/>
              <w:rPr>
                <w:color w:val="000000" w:themeColor="text1"/>
                <w:szCs w:val="18"/>
              </w:rPr>
            </w:pPr>
          </w:p>
        </w:tc>
        <w:tc>
          <w:tcPr>
            <w:tcW w:w="1987" w:type="dxa"/>
          </w:tcPr>
          <w:p w14:paraId="61CF9535" w14:textId="77777777" w:rsidR="00826C07" w:rsidRPr="00286216" w:rsidRDefault="00826C07" w:rsidP="00826C07">
            <w:pPr>
              <w:pStyle w:val="StyleWisnow"/>
              <w:rPr>
                <w:color w:val="000000" w:themeColor="text1"/>
              </w:rPr>
            </w:pPr>
          </w:p>
        </w:tc>
        <w:tc>
          <w:tcPr>
            <w:tcW w:w="4818" w:type="dxa"/>
          </w:tcPr>
          <w:p w14:paraId="739C0F28" w14:textId="77777777" w:rsidR="00826C07" w:rsidRPr="00286216" w:rsidRDefault="00826C07" w:rsidP="00826C07">
            <w:pPr>
              <w:pStyle w:val="StyleZakonu"/>
              <w:rPr>
                <w:color w:val="000000" w:themeColor="text1"/>
              </w:rPr>
            </w:pPr>
          </w:p>
        </w:tc>
      </w:tr>
      <w:tr w:rsidR="00826C07" w:rsidRPr="00286216" w14:paraId="27A3399B" w14:textId="77777777" w:rsidTr="00091AA5">
        <w:tc>
          <w:tcPr>
            <w:tcW w:w="576" w:type="dxa"/>
          </w:tcPr>
          <w:p w14:paraId="6F3038B2" w14:textId="77777777" w:rsidR="00826C07" w:rsidRPr="00286216" w:rsidRDefault="00826C07" w:rsidP="00826C07">
            <w:pPr>
              <w:pStyle w:val="StyleWisnow"/>
              <w:rPr>
                <w:color w:val="000000" w:themeColor="text1"/>
              </w:rPr>
            </w:pPr>
            <w:bookmarkStart w:id="1573" w:name="n1824" w:colFirst="0" w:colLast="0"/>
            <w:bookmarkEnd w:id="1572"/>
            <w:r w:rsidRPr="00286216">
              <w:rPr>
                <w:color w:val="000000" w:themeColor="text1"/>
              </w:rPr>
              <w:t>1824.</w:t>
            </w:r>
          </w:p>
        </w:tc>
        <w:tc>
          <w:tcPr>
            <w:tcW w:w="4818" w:type="dxa"/>
          </w:tcPr>
          <w:p w14:paraId="27FBF6B5" w14:textId="77777777" w:rsidR="00826C07" w:rsidRPr="00286216" w:rsidRDefault="00826C07" w:rsidP="00E71C29">
            <w:pPr>
              <w:pStyle w:val="StyleZakonu"/>
              <w:spacing w:after="40" w:line="214" w:lineRule="exact"/>
              <w:rPr>
                <w:color w:val="000000" w:themeColor="text1"/>
              </w:rPr>
            </w:pPr>
            <w:r w:rsidRPr="00286216">
              <w:rPr>
                <w:color w:val="000000" w:themeColor="text1"/>
              </w:rPr>
              <w:t>5) надання згоди на внесення емітентом змін до проспекту (рішення про емісію цінних паперів) щодо усунення від виконання адміністратора у випадку, передбаченому частиною другою статті 110 цього Закону.</w:t>
            </w:r>
          </w:p>
        </w:tc>
        <w:tc>
          <w:tcPr>
            <w:tcW w:w="3686" w:type="dxa"/>
          </w:tcPr>
          <w:p w14:paraId="083442EB" w14:textId="77777777" w:rsidR="00826C07" w:rsidRPr="00286216" w:rsidRDefault="00826C07" w:rsidP="00826C07">
            <w:pPr>
              <w:pStyle w:val="StyleProp"/>
              <w:rPr>
                <w:color w:val="000000" w:themeColor="text1"/>
                <w:szCs w:val="18"/>
              </w:rPr>
            </w:pPr>
          </w:p>
        </w:tc>
        <w:tc>
          <w:tcPr>
            <w:tcW w:w="1987" w:type="dxa"/>
          </w:tcPr>
          <w:p w14:paraId="57F7D795" w14:textId="77777777" w:rsidR="00826C07" w:rsidRPr="00286216" w:rsidRDefault="00826C07" w:rsidP="00826C07">
            <w:pPr>
              <w:pStyle w:val="StyleWisnow"/>
              <w:rPr>
                <w:color w:val="000000" w:themeColor="text1"/>
              </w:rPr>
            </w:pPr>
          </w:p>
        </w:tc>
        <w:tc>
          <w:tcPr>
            <w:tcW w:w="4818" w:type="dxa"/>
          </w:tcPr>
          <w:p w14:paraId="5A166165" w14:textId="77777777" w:rsidR="00826C07" w:rsidRPr="00286216" w:rsidRDefault="00826C07" w:rsidP="00826C07">
            <w:pPr>
              <w:pStyle w:val="StyleZakonu"/>
              <w:rPr>
                <w:color w:val="000000" w:themeColor="text1"/>
              </w:rPr>
            </w:pPr>
          </w:p>
        </w:tc>
      </w:tr>
      <w:tr w:rsidR="00826C07" w:rsidRPr="00286216" w14:paraId="56883071" w14:textId="77777777" w:rsidTr="00091AA5">
        <w:tc>
          <w:tcPr>
            <w:tcW w:w="576" w:type="dxa"/>
          </w:tcPr>
          <w:p w14:paraId="3BE5C7F3" w14:textId="77777777" w:rsidR="00826C07" w:rsidRPr="00286216" w:rsidRDefault="00826C07" w:rsidP="00826C07">
            <w:pPr>
              <w:pStyle w:val="StyleWisnow"/>
              <w:rPr>
                <w:color w:val="000000" w:themeColor="text1"/>
              </w:rPr>
            </w:pPr>
            <w:bookmarkStart w:id="1574" w:name="n1825" w:colFirst="0" w:colLast="0"/>
            <w:bookmarkEnd w:id="1573"/>
            <w:r w:rsidRPr="00286216">
              <w:rPr>
                <w:color w:val="000000" w:themeColor="text1"/>
              </w:rPr>
              <w:t>1825.</w:t>
            </w:r>
          </w:p>
        </w:tc>
        <w:tc>
          <w:tcPr>
            <w:tcW w:w="4818" w:type="dxa"/>
          </w:tcPr>
          <w:p w14:paraId="79348A8B" w14:textId="77777777" w:rsidR="00826C07" w:rsidRPr="00286216" w:rsidRDefault="00826C07" w:rsidP="00E71C29">
            <w:pPr>
              <w:pStyle w:val="StyleZakonu"/>
              <w:spacing w:after="40" w:line="214" w:lineRule="exact"/>
              <w:rPr>
                <w:color w:val="000000" w:themeColor="text1"/>
              </w:rPr>
            </w:pPr>
            <w:r w:rsidRPr="00286216">
              <w:rPr>
                <w:color w:val="000000" w:themeColor="text1"/>
              </w:rPr>
              <w:t>5. Рішення зборів власників облігацій з питань, передбачених цією частиною, приймається простою більшістю голосів власників облігацій відповідного випуску, які беруть участь у голосуванні з питань порядку денного зборів, що вважаються правомочними приймати рішення. Такими питаннями є питання про:</w:t>
            </w:r>
          </w:p>
        </w:tc>
        <w:tc>
          <w:tcPr>
            <w:tcW w:w="3686" w:type="dxa"/>
          </w:tcPr>
          <w:p w14:paraId="6FB3EB75" w14:textId="77777777" w:rsidR="00826C07" w:rsidRPr="00286216" w:rsidRDefault="00826C07" w:rsidP="00826C07">
            <w:pPr>
              <w:pStyle w:val="StyleProp"/>
              <w:rPr>
                <w:color w:val="000000" w:themeColor="text1"/>
                <w:szCs w:val="18"/>
              </w:rPr>
            </w:pPr>
          </w:p>
        </w:tc>
        <w:tc>
          <w:tcPr>
            <w:tcW w:w="1987" w:type="dxa"/>
          </w:tcPr>
          <w:p w14:paraId="645CD62C" w14:textId="77777777" w:rsidR="00826C07" w:rsidRPr="00286216" w:rsidRDefault="00826C07" w:rsidP="00826C07">
            <w:pPr>
              <w:pStyle w:val="StyleWisnow"/>
              <w:rPr>
                <w:color w:val="000000" w:themeColor="text1"/>
              </w:rPr>
            </w:pPr>
          </w:p>
        </w:tc>
        <w:tc>
          <w:tcPr>
            <w:tcW w:w="4818" w:type="dxa"/>
          </w:tcPr>
          <w:p w14:paraId="58913AC3" w14:textId="77777777" w:rsidR="00826C07" w:rsidRPr="00286216" w:rsidRDefault="00826C07" w:rsidP="00826C07">
            <w:pPr>
              <w:pStyle w:val="StyleZakonu"/>
              <w:rPr>
                <w:color w:val="000000" w:themeColor="text1"/>
              </w:rPr>
            </w:pPr>
          </w:p>
        </w:tc>
      </w:tr>
      <w:tr w:rsidR="00826C07" w:rsidRPr="00286216" w14:paraId="6F0BD57C" w14:textId="77777777" w:rsidTr="00091AA5">
        <w:tc>
          <w:tcPr>
            <w:tcW w:w="576" w:type="dxa"/>
          </w:tcPr>
          <w:p w14:paraId="41B74494" w14:textId="77777777" w:rsidR="00826C07" w:rsidRPr="00286216" w:rsidRDefault="00826C07" w:rsidP="00826C07">
            <w:pPr>
              <w:pStyle w:val="StyleWisnow"/>
              <w:rPr>
                <w:color w:val="000000" w:themeColor="text1"/>
              </w:rPr>
            </w:pPr>
            <w:bookmarkStart w:id="1575" w:name="n1826" w:colFirst="0" w:colLast="0"/>
            <w:bookmarkEnd w:id="1574"/>
            <w:r w:rsidRPr="00286216">
              <w:rPr>
                <w:color w:val="000000" w:themeColor="text1"/>
              </w:rPr>
              <w:t>1826.</w:t>
            </w:r>
          </w:p>
        </w:tc>
        <w:tc>
          <w:tcPr>
            <w:tcW w:w="4818" w:type="dxa"/>
          </w:tcPr>
          <w:p w14:paraId="2ECEC054" w14:textId="77777777" w:rsidR="00826C07" w:rsidRPr="00286216" w:rsidRDefault="00826C07" w:rsidP="00E71C29">
            <w:pPr>
              <w:pStyle w:val="StyleZakonu"/>
              <w:spacing w:after="40" w:line="214" w:lineRule="exact"/>
              <w:rPr>
                <w:color w:val="000000" w:themeColor="text1"/>
              </w:rPr>
            </w:pPr>
            <w:r w:rsidRPr="00286216">
              <w:rPr>
                <w:color w:val="000000" w:themeColor="text1"/>
              </w:rPr>
              <w:t>1) надання згоди на внесення емітентом змін до проспекту (рішення про емісію цінних паперів) в частині документу про цінні папери, що не пов’язані зі зміною основних фінансових умов облігацій чи припиненням повноважень адміністратора, внесення відповідних змін до правочинів щодо забезпечення виконання зобов’язань за облігаціями;</w:t>
            </w:r>
          </w:p>
        </w:tc>
        <w:tc>
          <w:tcPr>
            <w:tcW w:w="3686" w:type="dxa"/>
          </w:tcPr>
          <w:p w14:paraId="4CB512D5" w14:textId="77777777" w:rsidR="00826C07" w:rsidRPr="00286216" w:rsidRDefault="00826C07" w:rsidP="00826C07">
            <w:pPr>
              <w:pStyle w:val="StyleProp"/>
              <w:rPr>
                <w:color w:val="000000" w:themeColor="text1"/>
                <w:szCs w:val="18"/>
              </w:rPr>
            </w:pPr>
          </w:p>
        </w:tc>
        <w:tc>
          <w:tcPr>
            <w:tcW w:w="1987" w:type="dxa"/>
          </w:tcPr>
          <w:p w14:paraId="59A057AF" w14:textId="77777777" w:rsidR="00826C07" w:rsidRPr="00286216" w:rsidRDefault="00826C07" w:rsidP="00826C07">
            <w:pPr>
              <w:pStyle w:val="StyleWisnow"/>
              <w:rPr>
                <w:color w:val="000000" w:themeColor="text1"/>
              </w:rPr>
            </w:pPr>
          </w:p>
        </w:tc>
        <w:tc>
          <w:tcPr>
            <w:tcW w:w="4818" w:type="dxa"/>
          </w:tcPr>
          <w:p w14:paraId="7750BA66" w14:textId="77777777" w:rsidR="00826C07" w:rsidRPr="00286216" w:rsidRDefault="00826C07" w:rsidP="00826C07">
            <w:pPr>
              <w:pStyle w:val="StyleZakonu"/>
              <w:rPr>
                <w:color w:val="000000" w:themeColor="text1"/>
              </w:rPr>
            </w:pPr>
          </w:p>
        </w:tc>
      </w:tr>
      <w:tr w:rsidR="00826C07" w:rsidRPr="00286216" w14:paraId="162A56A2" w14:textId="77777777" w:rsidTr="00091AA5">
        <w:tc>
          <w:tcPr>
            <w:tcW w:w="576" w:type="dxa"/>
          </w:tcPr>
          <w:p w14:paraId="3409EEC2" w14:textId="77777777" w:rsidR="00826C07" w:rsidRPr="00286216" w:rsidRDefault="00826C07" w:rsidP="00826C07">
            <w:pPr>
              <w:pStyle w:val="StyleWisnow"/>
              <w:rPr>
                <w:color w:val="000000" w:themeColor="text1"/>
              </w:rPr>
            </w:pPr>
            <w:bookmarkStart w:id="1576" w:name="n1827" w:colFirst="0" w:colLast="0"/>
            <w:bookmarkEnd w:id="1575"/>
            <w:r w:rsidRPr="00286216">
              <w:rPr>
                <w:color w:val="000000" w:themeColor="text1"/>
              </w:rPr>
              <w:t>1827.</w:t>
            </w:r>
          </w:p>
        </w:tc>
        <w:tc>
          <w:tcPr>
            <w:tcW w:w="4818" w:type="dxa"/>
          </w:tcPr>
          <w:p w14:paraId="7C1953ED" w14:textId="77777777" w:rsidR="00826C07" w:rsidRPr="00286216" w:rsidRDefault="00826C07" w:rsidP="00E71C29">
            <w:pPr>
              <w:pStyle w:val="StyleZakonu"/>
              <w:spacing w:after="40" w:line="214" w:lineRule="exact"/>
              <w:rPr>
                <w:color w:val="000000" w:themeColor="text1"/>
              </w:rPr>
            </w:pPr>
            <w:r w:rsidRPr="00286216">
              <w:rPr>
                <w:color w:val="000000" w:themeColor="text1"/>
              </w:rPr>
              <w:t>2) надання згоди на тимчасове невиконання емітентом та/або особою, яка надає забезпечення за облігаціями, обов’язків, встановлених проспектом (рішенням про емісію цінних паперів), що не належать до основних фінансових умов облігацій, та/або відповідних обов’язків, передбачених правочином щодо забезпечення виконання зобов’язань за облігаціями, відмова від пред’явлення вимоги про дострокове погашення облігацій після настання дефолту у зв’язку з порушенням вказаних обов’язків;</w:t>
            </w:r>
          </w:p>
        </w:tc>
        <w:tc>
          <w:tcPr>
            <w:tcW w:w="3686" w:type="dxa"/>
          </w:tcPr>
          <w:p w14:paraId="72B5A7ED" w14:textId="77777777" w:rsidR="00826C07" w:rsidRPr="00286216" w:rsidRDefault="00826C07" w:rsidP="00826C07">
            <w:pPr>
              <w:pStyle w:val="StyleProp"/>
              <w:rPr>
                <w:color w:val="000000" w:themeColor="text1"/>
                <w:szCs w:val="18"/>
              </w:rPr>
            </w:pPr>
          </w:p>
        </w:tc>
        <w:tc>
          <w:tcPr>
            <w:tcW w:w="1987" w:type="dxa"/>
          </w:tcPr>
          <w:p w14:paraId="3DF8209D" w14:textId="77777777" w:rsidR="00826C07" w:rsidRPr="00286216" w:rsidRDefault="00826C07" w:rsidP="00826C07">
            <w:pPr>
              <w:pStyle w:val="StyleWisnow"/>
              <w:rPr>
                <w:color w:val="000000" w:themeColor="text1"/>
              </w:rPr>
            </w:pPr>
          </w:p>
        </w:tc>
        <w:tc>
          <w:tcPr>
            <w:tcW w:w="4818" w:type="dxa"/>
          </w:tcPr>
          <w:p w14:paraId="73080811" w14:textId="77777777" w:rsidR="00826C07" w:rsidRPr="00286216" w:rsidRDefault="00826C07" w:rsidP="00826C07">
            <w:pPr>
              <w:pStyle w:val="StyleZakonu"/>
              <w:rPr>
                <w:color w:val="000000" w:themeColor="text1"/>
              </w:rPr>
            </w:pPr>
          </w:p>
        </w:tc>
      </w:tr>
      <w:tr w:rsidR="00826C07" w:rsidRPr="00286216" w14:paraId="4F235E9E" w14:textId="77777777" w:rsidTr="00091AA5">
        <w:tc>
          <w:tcPr>
            <w:tcW w:w="576" w:type="dxa"/>
          </w:tcPr>
          <w:p w14:paraId="714A5266" w14:textId="77777777" w:rsidR="00826C07" w:rsidRPr="00286216" w:rsidRDefault="00826C07" w:rsidP="00826C07">
            <w:pPr>
              <w:pStyle w:val="StyleWisnow"/>
              <w:rPr>
                <w:color w:val="000000" w:themeColor="text1"/>
              </w:rPr>
            </w:pPr>
            <w:bookmarkStart w:id="1577" w:name="n1828" w:colFirst="0" w:colLast="0"/>
            <w:bookmarkEnd w:id="1576"/>
            <w:r w:rsidRPr="00286216">
              <w:rPr>
                <w:color w:val="000000" w:themeColor="text1"/>
              </w:rPr>
              <w:lastRenderedPageBreak/>
              <w:t>1828.</w:t>
            </w:r>
          </w:p>
        </w:tc>
        <w:tc>
          <w:tcPr>
            <w:tcW w:w="4818" w:type="dxa"/>
          </w:tcPr>
          <w:p w14:paraId="4B48132F" w14:textId="77777777" w:rsidR="00826C07" w:rsidRPr="00286216" w:rsidRDefault="00826C07" w:rsidP="00E71C29">
            <w:pPr>
              <w:pStyle w:val="StyleZakonu"/>
              <w:spacing w:after="40" w:line="214" w:lineRule="exact"/>
              <w:rPr>
                <w:color w:val="000000" w:themeColor="text1"/>
              </w:rPr>
            </w:pPr>
            <w:r w:rsidRPr="00286216">
              <w:rPr>
                <w:color w:val="000000" w:themeColor="text1"/>
              </w:rPr>
              <w:t>3) обрання адміністратора у разі, якщо він не був призначений емітентом (включаючи реєстрацію емітентом відповідних змін до проспекту (рішення про емісію цінних паперів) у строки, визначені цим Законом або проспектом (рішенням про емісію цінних паперів), якщо призначення адміністратора передбачене проспектом (рішенням про емісію цінних паперів) або у разі настання дефолту;</w:t>
            </w:r>
          </w:p>
        </w:tc>
        <w:tc>
          <w:tcPr>
            <w:tcW w:w="3686" w:type="dxa"/>
          </w:tcPr>
          <w:p w14:paraId="2714BCEE" w14:textId="77777777" w:rsidR="00826C07" w:rsidRPr="00286216" w:rsidRDefault="00826C07" w:rsidP="00826C07">
            <w:pPr>
              <w:pStyle w:val="StyleProp"/>
              <w:rPr>
                <w:color w:val="000000" w:themeColor="text1"/>
                <w:szCs w:val="18"/>
              </w:rPr>
            </w:pPr>
          </w:p>
        </w:tc>
        <w:tc>
          <w:tcPr>
            <w:tcW w:w="1987" w:type="dxa"/>
          </w:tcPr>
          <w:p w14:paraId="61A0BB8B" w14:textId="77777777" w:rsidR="00826C07" w:rsidRPr="00286216" w:rsidRDefault="00826C07" w:rsidP="00826C07">
            <w:pPr>
              <w:pStyle w:val="StyleWisnow"/>
              <w:rPr>
                <w:color w:val="000000" w:themeColor="text1"/>
              </w:rPr>
            </w:pPr>
          </w:p>
        </w:tc>
        <w:tc>
          <w:tcPr>
            <w:tcW w:w="4818" w:type="dxa"/>
          </w:tcPr>
          <w:p w14:paraId="6E47AF77" w14:textId="77777777" w:rsidR="00826C07" w:rsidRPr="00286216" w:rsidRDefault="00826C07" w:rsidP="00826C07">
            <w:pPr>
              <w:pStyle w:val="StyleZakonu"/>
              <w:rPr>
                <w:color w:val="000000" w:themeColor="text1"/>
              </w:rPr>
            </w:pPr>
          </w:p>
        </w:tc>
      </w:tr>
      <w:tr w:rsidR="00826C07" w:rsidRPr="00286216" w14:paraId="652F16D9" w14:textId="77777777" w:rsidTr="00091AA5">
        <w:tc>
          <w:tcPr>
            <w:tcW w:w="576" w:type="dxa"/>
          </w:tcPr>
          <w:p w14:paraId="1AF1ACF1" w14:textId="77777777" w:rsidR="00826C07" w:rsidRPr="00286216" w:rsidRDefault="00826C07" w:rsidP="00826C07">
            <w:pPr>
              <w:pStyle w:val="StyleWisnow"/>
              <w:rPr>
                <w:color w:val="000000" w:themeColor="text1"/>
              </w:rPr>
            </w:pPr>
            <w:bookmarkStart w:id="1578" w:name="n1829" w:colFirst="0" w:colLast="0"/>
            <w:bookmarkEnd w:id="1577"/>
            <w:r w:rsidRPr="00286216">
              <w:rPr>
                <w:color w:val="000000" w:themeColor="text1"/>
              </w:rPr>
              <w:t>1829.</w:t>
            </w:r>
          </w:p>
        </w:tc>
        <w:tc>
          <w:tcPr>
            <w:tcW w:w="4818" w:type="dxa"/>
          </w:tcPr>
          <w:p w14:paraId="44844F59" w14:textId="77777777" w:rsidR="00826C07" w:rsidRPr="00286216" w:rsidRDefault="00826C07" w:rsidP="00E71C29">
            <w:pPr>
              <w:pStyle w:val="StyleZakonu"/>
              <w:spacing w:after="40" w:line="214" w:lineRule="exact"/>
              <w:rPr>
                <w:color w:val="000000" w:themeColor="text1"/>
              </w:rPr>
            </w:pPr>
            <w:r w:rsidRPr="00286216">
              <w:rPr>
                <w:color w:val="000000" w:themeColor="text1"/>
              </w:rPr>
              <w:t>4) надання згоди на внесення емітентом змін до проспекту (рішення про емісію цінних паперів) щодо призначення адміністратора у разі, якщо адміністратор відсутній;</w:t>
            </w:r>
          </w:p>
        </w:tc>
        <w:tc>
          <w:tcPr>
            <w:tcW w:w="3686" w:type="dxa"/>
          </w:tcPr>
          <w:p w14:paraId="22E4F335" w14:textId="77777777" w:rsidR="00826C07" w:rsidRPr="00286216" w:rsidRDefault="00826C07" w:rsidP="00826C07">
            <w:pPr>
              <w:pStyle w:val="StyleProp"/>
              <w:rPr>
                <w:color w:val="000000" w:themeColor="text1"/>
                <w:szCs w:val="18"/>
              </w:rPr>
            </w:pPr>
          </w:p>
        </w:tc>
        <w:tc>
          <w:tcPr>
            <w:tcW w:w="1987" w:type="dxa"/>
          </w:tcPr>
          <w:p w14:paraId="445304FB" w14:textId="77777777" w:rsidR="00826C07" w:rsidRPr="00286216" w:rsidRDefault="00826C07" w:rsidP="00826C07">
            <w:pPr>
              <w:pStyle w:val="StyleWisnow"/>
              <w:rPr>
                <w:color w:val="000000" w:themeColor="text1"/>
              </w:rPr>
            </w:pPr>
          </w:p>
        </w:tc>
        <w:tc>
          <w:tcPr>
            <w:tcW w:w="4818" w:type="dxa"/>
          </w:tcPr>
          <w:p w14:paraId="3FF2EB06" w14:textId="77777777" w:rsidR="00826C07" w:rsidRPr="00286216" w:rsidRDefault="00826C07" w:rsidP="00826C07">
            <w:pPr>
              <w:pStyle w:val="StyleZakonu"/>
              <w:rPr>
                <w:color w:val="000000" w:themeColor="text1"/>
              </w:rPr>
            </w:pPr>
          </w:p>
        </w:tc>
      </w:tr>
      <w:tr w:rsidR="00826C07" w:rsidRPr="00286216" w14:paraId="08644EE7" w14:textId="77777777" w:rsidTr="00091AA5">
        <w:tc>
          <w:tcPr>
            <w:tcW w:w="576" w:type="dxa"/>
          </w:tcPr>
          <w:p w14:paraId="5A8C8295" w14:textId="77777777" w:rsidR="00826C07" w:rsidRPr="00286216" w:rsidRDefault="00826C07" w:rsidP="00826C07">
            <w:pPr>
              <w:pStyle w:val="StyleWisnow"/>
              <w:rPr>
                <w:color w:val="000000" w:themeColor="text1"/>
              </w:rPr>
            </w:pPr>
            <w:bookmarkStart w:id="1579" w:name="n1830" w:colFirst="0" w:colLast="0"/>
            <w:bookmarkEnd w:id="1578"/>
            <w:r w:rsidRPr="00286216">
              <w:rPr>
                <w:color w:val="000000" w:themeColor="text1"/>
              </w:rPr>
              <w:t>1830.</w:t>
            </w:r>
          </w:p>
        </w:tc>
        <w:tc>
          <w:tcPr>
            <w:tcW w:w="4818" w:type="dxa"/>
          </w:tcPr>
          <w:p w14:paraId="5B7A82B7" w14:textId="77777777" w:rsidR="00826C07" w:rsidRPr="00286216" w:rsidRDefault="00826C07" w:rsidP="00E71C29">
            <w:pPr>
              <w:pStyle w:val="StyleZakonu"/>
              <w:spacing w:after="40" w:line="214" w:lineRule="exact"/>
              <w:rPr>
                <w:color w:val="000000" w:themeColor="text1"/>
              </w:rPr>
            </w:pPr>
            <w:r w:rsidRPr="00286216">
              <w:rPr>
                <w:color w:val="000000" w:themeColor="text1"/>
              </w:rPr>
              <w:t>5) з інших питань порядку денного зборів, якщо цим Законом не встановлений інший порядок вирішення цих питань.</w:t>
            </w:r>
          </w:p>
        </w:tc>
        <w:tc>
          <w:tcPr>
            <w:tcW w:w="3686" w:type="dxa"/>
          </w:tcPr>
          <w:p w14:paraId="05F5989A" w14:textId="77777777" w:rsidR="00826C07" w:rsidRPr="00286216" w:rsidRDefault="00826C07" w:rsidP="00826C07">
            <w:pPr>
              <w:pStyle w:val="StyleProp"/>
              <w:rPr>
                <w:color w:val="000000" w:themeColor="text1"/>
                <w:szCs w:val="18"/>
              </w:rPr>
            </w:pPr>
          </w:p>
        </w:tc>
        <w:tc>
          <w:tcPr>
            <w:tcW w:w="1987" w:type="dxa"/>
          </w:tcPr>
          <w:p w14:paraId="39EBF18F" w14:textId="77777777" w:rsidR="00826C07" w:rsidRPr="00286216" w:rsidRDefault="00826C07" w:rsidP="00826C07">
            <w:pPr>
              <w:pStyle w:val="StyleWisnow"/>
              <w:rPr>
                <w:color w:val="000000" w:themeColor="text1"/>
              </w:rPr>
            </w:pPr>
          </w:p>
        </w:tc>
        <w:tc>
          <w:tcPr>
            <w:tcW w:w="4818" w:type="dxa"/>
          </w:tcPr>
          <w:p w14:paraId="2B9EDBD5" w14:textId="77777777" w:rsidR="00826C07" w:rsidRPr="00286216" w:rsidRDefault="00826C07" w:rsidP="00826C07">
            <w:pPr>
              <w:pStyle w:val="StyleZakonu"/>
              <w:rPr>
                <w:color w:val="000000" w:themeColor="text1"/>
              </w:rPr>
            </w:pPr>
          </w:p>
        </w:tc>
      </w:tr>
      <w:tr w:rsidR="00826C07" w:rsidRPr="00286216" w14:paraId="40638DC0" w14:textId="77777777" w:rsidTr="00091AA5">
        <w:tc>
          <w:tcPr>
            <w:tcW w:w="576" w:type="dxa"/>
          </w:tcPr>
          <w:p w14:paraId="0B33A334" w14:textId="77777777" w:rsidR="00826C07" w:rsidRPr="00286216" w:rsidRDefault="00826C07" w:rsidP="00826C07">
            <w:pPr>
              <w:pStyle w:val="StyleWisnow"/>
              <w:rPr>
                <w:color w:val="000000" w:themeColor="text1"/>
              </w:rPr>
            </w:pPr>
            <w:bookmarkStart w:id="1580" w:name="n1831" w:colFirst="0" w:colLast="0"/>
            <w:bookmarkEnd w:id="1579"/>
            <w:r w:rsidRPr="00286216">
              <w:rPr>
                <w:color w:val="000000" w:themeColor="text1"/>
              </w:rPr>
              <w:t>1831.</w:t>
            </w:r>
          </w:p>
        </w:tc>
        <w:tc>
          <w:tcPr>
            <w:tcW w:w="4818" w:type="dxa"/>
          </w:tcPr>
          <w:p w14:paraId="5708A69B" w14:textId="77777777" w:rsidR="00826C07" w:rsidRPr="00286216" w:rsidRDefault="00826C07" w:rsidP="00E71C29">
            <w:pPr>
              <w:pStyle w:val="StyleZakonu"/>
              <w:spacing w:after="40" w:line="214" w:lineRule="exact"/>
              <w:rPr>
                <w:color w:val="000000" w:themeColor="text1"/>
              </w:rPr>
            </w:pPr>
            <w:r w:rsidRPr="00286216">
              <w:rPr>
                <w:color w:val="000000" w:themeColor="text1"/>
              </w:rPr>
              <w:t>6. Прийняття рішень зборами власників облігацій здійснюється виключно шляхом голосування (направлення голосів "за" чи "проти" з кожного питання порядку денного зборів) через депозитарну систему України.</w:t>
            </w:r>
          </w:p>
        </w:tc>
        <w:tc>
          <w:tcPr>
            <w:tcW w:w="3686" w:type="dxa"/>
          </w:tcPr>
          <w:p w14:paraId="01EC624D" w14:textId="77777777" w:rsidR="00826C07" w:rsidRPr="00286216" w:rsidRDefault="00826C07" w:rsidP="00826C07">
            <w:pPr>
              <w:pStyle w:val="StyleProp"/>
              <w:rPr>
                <w:color w:val="000000" w:themeColor="text1"/>
                <w:szCs w:val="18"/>
              </w:rPr>
            </w:pPr>
          </w:p>
        </w:tc>
        <w:tc>
          <w:tcPr>
            <w:tcW w:w="1987" w:type="dxa"/>
          </w:tcPr>
          <w:p w14:paraId="6483DD37" w14:textId="77777777" w:rsidR="00826C07" w:rsidRPr="00286216" w:rsidRDefault="00826C07" w:rsidP="00826C07">
            <w:pPr>
              <w:pStyle w:val="StyleWisnow"/>
              <w:rPr>
                <w:color w:val="000000" w:themeColor="text1"/>
              </w:rPr>
            </w:pPr>
          </w:p>
        </w:tc>
        <w:tc>
          <w:tcPr>
            <w:tcW w:w="4818" w:type="dxa"/>
          </w:tcPr>
          <w:p w14:paraId="31CA7E7F" w14:textId="77777777" w:rsidR="00826C07" w:rsidRPr="00286216" w:rsidRDefault="00826C07" w:rsidP="00826C07">
            <w:pPr>
              <w:pStyle w:val="StyleZakonu"/>
              <w:rPr>
                <w:color w:val="000000" w:themeColor="text1"/>
              </w:rPr>
            </w:pPr>
          </w:p>
        </w:tc>
      </w:tr>
      <w:tr w:rsidR="00826C07" w:rsidRPr="00286216" w14:paraId="248CD99A" w14:textId="77777777" w:rsidTr="00091AA5">
        <w:tc>
          <w:tcPr>
            <w:tcW w:w="576" w:type="dxa"/>
          </w:tcPr>
          <w:p w14:paraId="4641E0C2" w14:textId="77777777" w:rsidR="00826C07" w:rsidRPr="00286216" w:rsidRDefault="00826C07" w:rsidP="00826C07">
            <w:pPr>
              <w:pStyle w:val="StyleWisnow"/>
              <w:rPr>
                <w:color w:val="000000" w:themeColor="text1"/>
              </w:rPr>
            </w:pPr>
            <w:bookmarkStart w:id="1581" w:name="n1832" w:colFirst="0" w:colLast="0"/>
            <w:bookmarkEnd w:id="1580"/>
            <w:r w:rsidRPr="00286216">
              <w:rPr>
                <w:color w:val="000000" w:themeColor="text1"/>
              </w:rPr>
              <w:t>1832.</w:t>
            </w:r>
          </w:p>
        </w:tc>
        <w:tc>
          <w:tcPr>
            <w:tcW w:w="4818" w:type="dxa"/>
          </w:tcPr>
          <w:p w14:paraId="68583C6E" w14:textId="77777777" w:rsidR="00826C07" w:rsidRPr="00286216" w:rsidRDefault="00826C07" w:rsidP="00E71C29">
            <w:pPr>
              <w:pStyle w:val="StyleZakonu"/>
              <w:spacing w:after="40" w:line="214" w:lineRule="exact"/>
              <w:rPr>
                <w:color w:val="000000" w:themeColor="text1"/>
              </w:rPr>
            </w:pPr>
            <w:r w:rsidRPr="00286216">
              <w:rPr>
                <w:color w:val="000000" w:themeColor="text1"/>
              </w:rPr>
              <w:t>Власник облігацій може голосувати з кожного питання порядку денного зборів всіма або частиною належних йому голосів. Власник облігацій в праві одночасно голосувати однією частиною належних йому голосів "за", а іншою - "проти".</w:t>
            </w:r>
          </w:p>
        </w:tc>
        <w:tc>
          <w:tcPr>
            <w:tcW w:w="3686" w:type="dxa"/>
          </w:tcPr>
          <w:p w14:paraId="1C132C84" w14:textId="77777777" w:rsidR="00826C07" w:rsidRPr="00286216" w:rsidRDefault="00826C07" w:rsidP="00826C07">
            <w:pPr>
              <w:pStyle w:val="StyleProp"/>
              <w:rPr>
                <w:color w:val="000000" w:themeColor="text1"/>
                <w:szCs w:val="18"/>
              </w:rPr>
            </w:pPr>
          </w:p>
        </w:tc>
        <w:tc>
          <w:tcPr>
            <w:tcW w:w="1987" w:type="dxa"/>
          </w:tcPr>
          <w:p w14:paraId="269F94A7" w14:textId="77777777" w:rsidR="00826C07" w:rsidRPr="00286216" w:rsidRDefault="00826C07" w:rsidP="00826C07">
            <w:pPr>
              <w:pStyle w:val="StyleWisnow"/>
              <w:rPr>
                <w:color w:val="000000" w:themeColor="text1"/>
              </w:rPr>
            </w:pPr>
          </w:p>
        </w:tc>
        <w:tc>
          <w:tcPr>
            <w:tcW w:w="4818" w:type="dxa"/>
          </w:tcPr>
          <w:p w14:paraId="53169632" w14:textId="77777777" w:rsidR="00826C07" w:rsidRPr="00286216" w:rsidRDefault="00826C07" w:rsidP="00826C07">
            <w:pPr>
              <w:pStyle w:val="StyleZakonu"/>
              <w:rPr>
                <w:color w:val="000000" w:themeColor="text1"/>
              </w:rPr>
            </w:pPr>
          </w:p>
        </w:tc>
      </w:tr>
      <w:tr w:rsidR="00826C07" w:rsidRPr="00286216" w14:paraId="39DDC5C2" w14:textId="77777777" w:rsidTr="00091AA5">
        <w:tc>
          <w:tcPr>
            <w:tcW w:w="576" w:type="dxa"/>
          </w:tcPr>
          <w:p w14:paraId="4A84AFD4" w14:textId="77777777" w:rsidR="00826C07" w:rsidRPr="00286216" w:rsidRDefault="00826C07" w:rsidP="00826C07">
            <w:pPr>
              <w:pStyle w:val="StyleWisnow"/>
              <w:rPr>
                <w:color w:val="000000" w:themeColor="text1"/>
              </w:rPr>
            </w:pPr>
            <w:bookmarkStart w:id="1582" w:name="n1833" w:colFirst="0" w:colLast="0"/>
            <w:bookmarkEnd w:id="1581"/>
            <w:r w:rsidRPr="00286216">
              <w:rPr>
                <w:color w:val="000000" w:themeColor="text1"/>
              </w:rPr>
              <w:t>1833.</w:t>
            </w:r>
          </w:p>
        </w:tc>
        <w:tc>
          <w:tcPr>
            <w:tcW w:w="4818" w:type="dxa"/>
          </w:tcPr>
          <w:p w14:paraId="5F5A2B69" w14:textId="77777777" w:rsidR="00826C07" w:rsidRPr="00286216" w:rsidRDefault="00826C07" w:rsidP="00E71C29">
            <w:pPr>
              <w:pStyle w:val="StyleZakonu"/>
              <w:spacing w:after="40" w:line="214" w:lineRule="exact"/>
              <w:rPr>
                <w:color w:val="000000" w:themeColor="text1"/>
              </w:rPr>
            </w:pPr>
            <w:r w:rsidRPr="00286216">
              <w:rPr>
                <w:color w:val="000000" w:themeColor="text1"/>
              </w:rPr>
              <w:t>При поданні голосів власник облігацій надає депозитарній установі письмове запевнення, що він не є особою, вказаною в пунктах 1-5 частини першої цієї статті, або письмову інформацію про належність до вказаних осіб.</w:t>
            </w:r>
          </w:p>
        </w:tc>
        <w:tc>
          <w:tcPr>
            <w:tcW w:w="3686" w:type="dxa"/>
          </w:tcPr>
          <w:p w14:paraId="21403B5B" w14:textId="77777777" w:rsidR="00826C07" w:rsidRPr="00286216" w:rsidRDefault="00826C07" w:rsidP="00826C07">
            <w:pPr>
              <w:pStyle w:val="StyleProp"/>
              <w:rPr>
                <w:color w:val="000000" w:themeColor="text1"/>
                <w:szCs w:val="18"/>
              </w:rPr>
            </w:pPr>
          </w:p>
        </w:tc>
        <w:tc>
          <w:tcPr>
            <w:tcW w:w="1987" w:type="dxa"/>
          </w:tcPr>
          <w:p w14:paraId="3831CE3A" w14:textId="77777777" w:rsidR="00826C07" w:rsidRPr="00286216" w:rsidRDefault="00826C07" w:rsidP="00826C07">
            <w:pPr>
              <w:pStyle w:val="StyleWisnow"/>
              <w:rPr>
                <w:color w:val="000000" w:themeColor="text1"/>
              </w:rPr>
            </w:pPr>
          </w:p>
        </w:tc>
        <w:tc>
          <w:tcPr>
            <w:tcW w:w="4818" w:type="dxa"/>
          </w:tcPr>
          <w:p w14:paraId="69C15B70" w14:textId="77777777" w:rsidR="00826C07" w:rsidRPr="00286216" w:rsidRDefault="00826C07" w:rsidP="00826C07">
            <w:pPr>
              <w:pStyle w:val="StyleZakonu"/>
              <w:rPr>
                <w:color w:val="000000" w:themeColor="text1"/>
              </w:rPr>
            </w:pPr>
          </w:p>
        </w:tc>
      </w:tr>
      <w:tr w:rsidR="00826C07" w:rsidRPr="00286216" w14:paraId="11BCB823" w14:textId="77777777" w:rsidTr="00091AA5">
        <w:tc>
          <w:tcPr>
            <w:tcW w:w="576" w:type="dxa"/>
          </w:tcPr>
          <w:p w14:paraId="0BF876CD" w14:textId="77777777" w:rsidR="00826C07" w:rsidRPr="00286216" w:rsidRDefault="00826C07" w:rsidP="00826C07">
            <w:pPr>
              <w:pStyle w:val="StyleWisnow"/>
              <w:rPr>
                <w:color w:val="000000" w:themeColor="text1"/>
              </w:rPr>
            </w:pPr>
            <w:bookmarkStart w:id="1583" w:name="n1834" w:colFirst="0" w:colLast="0"/>
            <w:bookmarkEnd w:id="1582"/>
            <w:r w:rsidRPr="00286216">
              <w:rPr>
                <w:color w:val="000000" w:themeColor="text1"/>
              </w:rPr>
              <w:t>1834.</w:t>
            </w:r>
          </w:p>
        </w:tc>
        <w:tc>
          <w:tcPr>
            <w:tcW w:w="4818" w:type="dxa"/>
          </w:tcPr>
          <w:p w14:paraId="55F24959" w14:textId="77777777" w:rsidR="00826C07" w:rsidRPr="00286216" w:rsidRDefault="00826C07" w:rsidP="00E71C29">
            <w:pPr>
              <w:pStyle w:val="StyleZakonu"/>
              <w:spacing w:after="40" w:line="214" w:lineRule="exact"/>
              <w:rPr>
                <w:color w:val="000000" w:themeColor="text1"/>
              </w:rPr>
            </w:pPr>
            <w:r w:rsidRPr="00286216">
              <w:rPr>
                <w:color w:val="000000" w:themeColor="text1"/>
              </w:rPr>
              <w:t>7. Голосування за питаннями порядку денного зборів власників облігацій розпочинається негайно після направлення через депозитарну систему України остаточного порядку денного зборів, передбаченого частиною сьомою статті 106 цього Закону, і триває протягом десяти робочих днів, якщо інший строк не передбачений проспектом (рішенням про емісію цінних паперів) (дата завершення голосування). Строк, передбачений проспектом (рішенням про емісію цінних паперів), не може бути меншим ніж три робочі дні та більшим ніж двадцять робочих днів.</w:t>
            </w:r>
          </w:p>
        </w:tc>
        <w:tc>
          <w:tcPr>
            <w:tcW w:w="3686" w:type="dxa"/>
          </w:tcPr>
          <w:p w14:paraId="4AF4C1FC" w14:textId="77777777" w:rsidR="00826C07" w:rsidRPr="00286216" w:rsidRDefault="00826C07" w:rsidP="00826C07">
            <w:pPr>
              <w:pStyle w:val="StyleProp"/>
              <w:rPr>
                <w:color w:val="000000" w:themeColor="text1"/>
                <w:szCs w:val="18"/>
              </w:rPr>
            </w:pPr>
          </w:p>
        </w:tc>
        <w:tc>
          <w:tcPr>
            <w:tcW w:w="1987" w:type="dxa"/>
          </w:tcPr>
          <w:p w14:paraId="2AC2B48B" w14:textId="77777777" w:rsidR="00826C07" w:rsidRPr="00286216" w:rsidRDefault="00826C07" w:rsidP="00826C07">
            <w:pPr>
              <w:pStyle w:val="StyleWisnow"/>
              <w:rPr>
                <w:color w:val="000000" w:themeColor="text1"/>
              </w:rPr>
            </w:pPr>
          </w:p>
        </w:tc>
        <w:tc>
          <w:tcPr>
            <w:tcW w:w="4818" w:type="dxa"/>
          </w:tcPr>
          <w:p w14:paraId="0A9503BA" w14:textId="77777777" w:rsidR="00826C07" w:rsidRPr="00286216" w:rsidRDefault="00826C07" w:rsidP="00826C07">
            <w:pPr>
              <w:pStyle w:val="StyleZakonu"/>
              <w:rPr>
                <w:color w:val="000000" w:themeColor="text1"/>
              </w:rPr>
            </w:pPr>
          </w:p>
        </w:tc>
      </w:tr>
      <w:tr w:rsidR="00826C07" w:rsidRPr="00286216" w14:paraId="7CE28074" w14:textId="77777777" w:rsidTr="00091AA5">
        <w:tc>
          <w:tcPr>
            <w:tcW w:w="576" w:type="dxa"/>
          </w:tcPr>
          <w:p w14:paraId="0FF0C7B9" w14:textId="77777777" w:rsidR="00826C07" w:rsidRPr="00286216" w:rsidRDefault="00826C07" w:rsidP="00826C07">
            <w:pPr>
              <w:pStyle w:val="StyleWisnow"/>
              <w:rPr>
                <w:color w:val="000000" w:themeColor="text1"/>
              </w:rPr>
            </w:pPr>
            <w:bookmarkStart w:id="1584" w:name="n1835" w:colFirst="0" w:colLast="0"/>
            <w:bookmarkEnd w:id="1583"/>
            <w:r w:rsidRPr="00286216">
              <w:rPr>
                <w:color w:val="000000" w:themeColor="text1"/>
              </w:rPr>
              <w:t>1835.</w:t>
            </w:r>
          </w:p>
        </w:tc>
        <w:tc>
          <w:tcPr>
            <w:tcW w:w="4818" w:type="dxa"/>
          </w:tcPr>
          <w:p w14:paraId="232AAFBE"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Голосування на повторних зборах власників облігацій розпочинається негайно після направлення через депозитарну систему України повідомлення про </w:t>
            </w:r>
            <w:r w:rsidRPr="00286216">
              <w:rPr>
                <w:color w:val="000000" w:themeColor="text1"/>
              </w:rPr>
              <w:lastRenderedPageBreak/>
              <w:t>їх проведення, передбаченого частиною восьмою статті 106 цього Закону, і триває протягом двадцяти робочих днів.</w:t>
            </w:r>
          </w:p>
        </w:tc>
        <w:tc>
          <w:tcPr>
            <w:tcW w:w="3686" w:type="dxa"/>
          </w:tcPr>
          <w:p w14:paraId="37A4D3F5" w14:textId="77777777" w:rsidR="00826C07" w:rsidRPr="00286216" w:rsidRDefault="00826C07" w:rsidP="00826C07">
            <w:pPr>
              <w:pStyle w:val="StyleProp"/>
              <w:rPr>
                <w:color w:val="000000" w:themeColor="text1"/>
                <w:szCs w:val="18"/>
              </w:rPr>
            </w:pPr>
          </w:p>
        </w:tc>
        <w:tc>
          <w:tcPr>
            <w:tcW w:w="1987" w:type="dxa"/>
          </w:tcPr>
          <w:p w14:paraId="49641FDE" w14:textId="77777777" w:rsidR="00826C07" w:rsidRPr="00286216" w:rsidRDefault="00826C07" w:rsidP="00826C07">
            <w:pPr>
              <w:pStyle w:val="StyleWisnow"/>
              <w:rPr>
                <w:color w:val="000000" w:themeColor="text1"/>
              </w:rPr>
            </w:pPr>
          </w:p>
        </w:tc>
        <w:tc>
          <w:tcPr>
            <w:tcW w:w="4818" w:type="dxa"/>
          </w:tcPr>
          <w:p w14:paraId="21275487" w14:textId="77777777" w:rsidR="00826C07" w:rsidRPr="00286216" w:rsidRDefault="00826C07" w:rsidP="00826C07">
            <w:pPr>
              <w:pStyle w:val="StyleZakonu"/>
              <w:rPr>
                <w:color w:val="000000" w:themeColor="text1"/>
              </w:rPr>
            </w:pPr>
          </w:p>
        </w:tc>
      </w:tr>
      <w:tr w:rsidR="00826C07" w:rsidRPr="00286216" w14:paraId="4328E3F7" w14:textId="77777777" w:rsidTr="00091AA5">
        <w:tc>
          <w:tcPr>
            <w:tcW w:w="576" w:type="dxa"/>
          </w:tcPr>
          <w:p w14:paraId="1866D1F0" w14:textId="77777777" w:rsidR="00826C07" w:rsidRPr="00286216" w:rsidRDefault="00826C07" w:rsidP="00826C07">
            <w:pPr>
              <w:pStyle w:val="StyleWisnow"/>
              <w:rPr>
                <w:color w:val="000000" w:themeColor="text1"/>
              </w:rPr>
            </w:pPr>
            <w:bookmarkStart w:id="1585" w:name="n1836" w:colFirst="0" w:colLast="0"/>
            <w:bookmarkEnd w:id="1584"/>
            <w:r w:rsidRPr="00286216">
              <w:rPr>
                <w:color w:val="000000" w:themeColor="text1"/>
              </w:rPr>
              <w:t>1836.</w:t>
            </w:r>
          </w:p>
        </w:tc>
        <w:tc>
          <w:tcPr>
            <w:tcW w:w="4818" w:type="dxa"/>
          </w:tcPr>
          <w:p w14:paraId="3B9097F7" w14:textId="77777777" w:rsidR="00826C07" w:rsidRPr="00286216" w:rsidRDefault="00826C07" w:rsidP="00E71C29">
            <w:pPr>
              <w:pStyle w:val="StyleZakonu"/>
              <w:spacing w:after="40" w:line="214" w:lineRule="exact"/>
              <w:rPr>
                <w:color w:val="000000" w:themeColor="text1"/>
              </w:rPr>
            </w:pPr>
            <w:r w:rsidRPr="00286216">
              <w:rPr>
                <w:color w:val="000000" w:themeColor="text1"/>
              </w:rPr>
              <w:t>Депозитарна установа встановлює обмеження у розпорядженні облігаціями, стосовно яких власником були подані голоси з будь-якого питання порядку денного зборів власників облігацій, на рахунку у цінних паперах власника до завершення голосування.</w:t>
            </w:r>
          </w:p>
        </w:tc>
        <w:tc>
          <w:tcPr>
            <w:tcW w:w="3686" w:type="dxa"/>
          </w:tcPr>
          <w:p w14:paraId="3522A5EA" w14:textId="77777777" w:rsidR="00826C07" w:rsidRPr="00286216" w:rsidRDefault="00826C07" w:rsidP="00826C07">
            <w:pPr>
              <w:pStyle w:val="StyleProp"/>
              <w:rPr>
                <w:color w:val="000000" w:themeColor="text1"/>
                <w:szCs w:val="18"/>
              </w:rPr>
            </w:pPr>
          </w:p>
        </w:tc>
        <w:tc>
          <w:tcPr>
            <w:tcW w:w="1987" w:type="dxa"/>
          </w:tcPr>
          <w:p w14:paraId="0D43CAEB" w14:textId="77777777" w:rsidR="00826C07" w:rsidRPr="00286216" w:rsidRDefault="00826C07" w:rsidP="00826C07">
            <w:pPr>
              <w:pStyle w:val="StyleWisnow"/>
              <w:rPr>
                <w:color w:val="000000" w:themeColor="text1"/>
              </w:rPr>
            </w:pPr>
          </w:p>
        </w:tc>
        <w:tc>
          <w:tcPr>
            <w:tcW w:w="4818" w:type="dxa"/>
          </w:tcPr>
          <w:p w14:paraId="7CCC42BA" w14:textId="77777777" w:rsidR="00826C07" w:rsidRPr="00286216" w:rsidRDefault="00826C07" w:rsidP="00826C07">
            <w:pPr>
              <w:pStyle w:val="StyleZakonu"/>
              <w:rPr>
                <w:color w:val="000000" w:themeColor="text1"/>
              </w:rPr>
            </w:pPr>
          </w:p>
        </w:tc>
      </w:tr>
      <w:tr w:rsidR="00826C07" w:rsidRPr="00286216" w14:paraId="030B8480" w14:textId="77777777" w:rsidTr="00091AA5">
        <w:tc>
          <w:tcPr>
            <w:tcW w:w="576" w:type="dxa"/>
          </w:tcPr>
          <w:p w14:paraId="12BE4117" w14:textId="77777777" w:rsidR="00826C07" w:rsidRPr="00286216" w:rsidRDefault="00826C07" w:rsidP="00826C07">
            <w:pPr>
              <w:pStyle w:val="StyleWisnow"/>
              <w:rPr>
                <w:color w:val="000000" w:themeColor="text1"/>
              </w:rPr>
            </w:pPr>
            <w:bookmarkStart w:id="1586" w:name="n1837" w:colFirst="0" w:colLast="0"/>
            <w:bookmarkEnd w:id="1585"/>
            <w:r w:rsidRPr="00286216">
              <w:rPr>
                <w:color w:val="000000" w:themeColor="text1"/>
              </w:rPr>
              <w:t>1837.</w:t>
            </w:r>
          </w:p>
        </w:tc>
        <w:tc>
          <w:tcPr>
            <w:tcW w:w="4818" w:type="dxa"/>
          </w:tcPr>
          <w:p w14:paraId="27D3D856" w14:textId="77777777" w:rsidR="00826C07" w:rsidRPr="00286216" w:rsidRDefault="00826C07" w:rsidP="00E71C29">
            <w:pPr>
              <w:pStyle w:val="StyleZakonu"/>
              <w:spacing w:after="40" w:line="214" w:lineRule="exact"/>
              <w:rPr>
                <w:color w:val="000000" w:themeColor="text1"/>
              </w:rPr>
            </w:pPr>
            <w:r w:rsidRPr="00286216">
              <w:rPr>
                <w:color w:val="000000" w:themeColor="text1"/>
              </w:rPr>
              <w:t>Власник облігацій має право подати заяву депозитарній установі про відкликання всіх або частини поданих голосів з питань порядку денного зборів не пізніше ніж за три робочі дні до дати завершення голосування. У такому разі:</w:t>
            </w:r>
          </w:p>
        </w:tc>
        <w:tc>
          <w:tcPr>
            <w:tcW w:w="3686" w:type="dxa"/>
          </w:tcPr>
          <w:p w14:paraId="051F31F0" w14:textId="77777777" w:rsidR="00826C07" w:rsidRPr="00286216" w:rsidRDefault="00826C07" w:rsidP="00826C07">
            <w:pPr>
              <w:pStyle w:val="StyleProp"/>
              <w:rPr>
                <w:color w:val="000000" w:themeColor="text1"/>
                <w:szCs w:val="18"/>
              </w:rPr>
            </w:pPr>
          </w:p>
        </w:tc>
        <w:tc>
          <w:tcPr>
            <w:tcW w:w="1987" w:type="dxa"/>
          </w:tcPr>
          <w:p w14:paraId="18CB7DBC" w14:textId="77777777" w:rsidR="00826C07" w:rsidRPr="00286216" w:rsidRDefault="00826C07" w:rsidP="00826C07">
            <w:pPr>
              <w:pStyle w:val="StyleWisnow"/>
              <w:rPr>
                <w:color w:val="000000" w:themeColor="text1"/>
              </w:rPr>
            </w:pPr>
          </w:p>
        </w:tc>
        <w:tc>
          <w:tcPr>
            <w:tcW w:w="4818" w:type="dxa"/>
          </w:tcPr>
          <w:p w14:paraId="51A35BF4" w14:textId="77777777" w:rsidR="00826C07" w:rsidRPr="00286216" w:rsidRDefault="00826C07" w:rsidP="00826C07">
            <w:pPr>
              <w:pStyle w:val="StyleZakonu"/>
              <w:rPr>
                <w:color w:val="000000" w:themeColor="text1"/>
              </w:rPr>
            </w:pPr>
          </w:p>
        </w:tc>
      </w:tr>
      <w:tr w:rsidR="00826C07" w:rsidRPr="00286216" w14:paraId="1047AA6B" w14:textId="77777777" w:rsidTr="00091AA5">
        <w:tc>
          <w:tcPr>
            <w:tcW w:w="576" w:type="dxa"/>
          </w:tcPr>
          <w:p w14:paraId="6BE6C258" w14:textId="77777777" w:rsidR="00826C07" w:rsidRPr="00286216" w:rsidRDefault="00826C07" w:rsidP="00826C07">
            <w:pPr>
              <w:pStyle w:val="StyleWisnow"/>
              <w:rPr>
                <w:color w:val="000000" w:themeColor="text1"/>
              </w:rPr>
            </w:pPr>
            <w:bookmarkStart w:id="1587" w:name="n1838" w:colFirst="0" w:colLast="0"/>
            <w:bookmarkEnd w:id="1586"/>
            <w:r w:rsidRPr="00286216">
              <w:rPr>
                <w:color w:val="000000" w:themeColor="text1"/>
              </w:rPr>
              <w:t>1838.</w:t>
            </w:r>
          </w:p>
        </w:tc>
        <w:tc>
          <w:tcPr>
            <w:tcW w:w="4818" w:type="dxa"/>
          </w:tcPr>
          <w:p w14:paraId="0EBA8B62" w14:textId="77777777" w:rsidR="00826C07" w:rsidRPr="00286216" w:rsidRDefault="00826C07" w:rsidP="00E71C29">
            <w:pPr>
              <w:pStyle w:val="StyleZakonu"/>
              <w:spacing w:after="40" w:line="214" w:lineRule="exact"/>
              <w:rPr>
                <w:color w:val="000000" w:themeColor="text1"/>
              </w:rPr>
            </w:pPr>
            <w:r w:rsidRPr="00286216">
              <w:rPr>
                <w:color w:val="000000" w:themeColor="text1"/>
              </w:rPr>
              <w:t>1) депозитарна установа скасовує обмеження у розпорядженні облігаціями, стосовно яких власником були відкликані подані голоси;</w:t>
            </w:r>
          </w:p>
        </w:tc>
        <w:tc>
          <w:tcPr>
            <w:tcW w:w="3686" w:type="dxa"/>
          </w:tcPr>
          <w:p w14:paraId="2581D7E4" w14:textId="77777777" w:rsidR="00826C07" w:rsidRPr="00286216" w:rsidRDefault="00826C07" w:rsidP="00826C07">
            <w:pPr>
              <w:pStyle w:val="StyleProp"/>
              <w:rPr>
                <w:color w:val="000000" w:themeColor="text1"/>
                <w:szCs w:val="18"/>
              </w:rPr>
            </w:pPr>
          </w:p>
        </w:tc>
        <w:tc>
          <w:tcPr>
            <w:tcW w:w="1987" w:type="dxa"/>
          </w:tcPr>
          <w:p w14:paraId="0143FC88" w14:textId="77777777" w:rsidR="00826C07" w:rsidRPr="00286216" w:rsidRDefault="00826C07" w:rsidP="00826C07">
            <w:pPr>
              <w:pStyle w:val="StyleWisnow"/>
              <w:rPr>
                <w:color w:val="000000" w:themeColor="text1"/>
              </w:rPr>
            </w:pPr>
          </w:p>
        </w:tc>
        <w:tc>
          <w:tcPr>
            <w:tcW w:w="4818" w:type="dxa"/>
          </w:tcPr>
          <w:p w14:paraId="283B9173" w14:textId="77777777" w:rsidR="00826C07" w:rsidRPr="00286216" w:rsidRDefault="00826C07" w:rsidP="00826C07">
            <w:pPr>
              <w:pStyle w:val="StyleZakonu"/>
              <w:rPr>
                <w:color w:val="000000" w:themeColor="text1"/>
              </w:rPr>
            </w:pPr>
          </w:p>
        </w:tc>
      </w:tr>
      <w:tr w:rsidR="00826C07" w:rsidRPr="00286216" w14:paraId="6A514ADE" w14:textId="77777777" w:rsidTr="00091AA5">
        <w:tc>
          <w:tcPr>
            <w:tcW w:w="576" w:type="dxa"/>
          </w:tcPr>
          <w:p w14:paraId="28618E59" w14:textId="77777777" w:rsidR="00826C07" w:rsidRPr="00286216" w:rsidRDefault="00826C07" w:rsidP="00826C07">
            <w:pPr>
              <w:pStyle w:val="StyleWisnow"/>
              <w:rPr>
                <w:color w:val="000000" w:themeColor="text1"/>
              </w:rPr>
            </w:pPr>
            <w:bookmarkStart w:id="1588" w:name="n1839" w:colFirst="0" w:colLast="0"/>
            <w:bookmarkEnd w:id="1587"/>
            <w:r w:rsidRPr="00286216">
              <w:rPr>
                <w:color w:val="000000" w:themeColor="text1"/>
              </w:rPr>
              <w:t>1839.</w:t>
            </w:r>
          </w:p>
        </w:tc>
        <w:tc>
          <w:tcPr>
            <w:tcW w:w="4818" w:type="dxa"/>
          </w:tcPr>
          <w:p w14:paraId="419EA265" w14:textId="77777777" w:rsidR="00826C07" w:rsidRPr="00286216" w:rsidRDefault="00826C07" w:rsidP="00E71C29">
            <w:pPr>
              <w:pStyle w:val="StyleZakonu"/>
              <w:spacing w:after="40" w:line="214" w:lineRule="exact"/>
              <w:rPr>
                <w:color w:val="000000" w:themeColor="text1"/>
              </w:rPr>
            </w:pPr>
            <w:r w:rsidRPr="00286216">
              <w:rPr>
                <w:color w:val="000000" w:themeColor="text1"/>
              </w:rPr>
              <w:t>2) власник облігацій вважається таким, що не прийняв участі у зборах власників облігацій. Відкликані голоси не враховуються при визначенні правомочності зборів власників облігацій приймати рішення, та розрахунку кількості голосів, поданих з питань порядку денного зборів.</w:t>
            </w:r>
          </w:p>
        </w:tc>
        <w:tc>
          <w:tcPr>
            <w:tcW w:w="3686" w:type="dxa"/>
          </w:tcPr>
          <w:p w14:paraId="7DC8C568" w14:textId="77777777" w:rsidR="00826C07" w:rsidRPr="00286216" w:rsidRDefault="00826C07" w:rsidP="00826C07">
            <w:pPr>
              <w:pStyle w:val="StyleProp"/>
              <w:rPr>
                <w:color w:val="000000" w:themeColor="text1"/>
                <w:szCs w:val="18"/>
              </w:rPr>
            </w:pPr>
          </w:p>
        </w:tc>
        <w:tc>
          <w:tcPr>
            <w:tcW w:w="1987" w:type="dxa"/>
          </w:tcPr>
          <w:p w14:paraId="1A4A1EAB" w14:textId="77777777" w:rsidR="00826C07" w:rsidRPr="00286216" w:rsidRDefault="00826C07" w:rsidP="00826C07">
            <w:pPr>
              <w:pStyle w:val="StyleWisnow"/>
              <w:rPr>
                <w:color w:val="000000" w:themeColor="text1"/>
              </w:rPr>
            </w:pPr>
          </w:p>
        </w:tc>
        <w:tc>
          <w:tcPr>
            <w:tcW w:w="4818" w:type="dxa"/>
          </w:tcPr>
          <w:p w14:paraId="28875193" w14:textId="77777777" w:rsidR="00826C07" w:rsidRPr="00286216" w:rsidRDefault="00826C07" w:rsidP="00826C07">
            <w:pPr>
              <w:pStyle w:val="StyleZakonu"/>
              <w:rPr>
                <w:color w:val="000000" w:themeColor="text1"/>
              </w:rPr>
            </w:pPr>
          </w:p>
        </w:tc>
      </w:tr>
      <w:tr w:rsidR="00826C07" w:rsidRPr="00286216" w14:paraId="08E6455A" w14:textId="77777777" w:rsidTr="00091AA5">
        <w:tc>
          <w:tcPr>
            <w:tcW w:w="576" w:type="dxa"/>
          </w:tcPr>
          <w:p w14:paraId="4BB21804" w14:textId="77777777" w:rsidR="00826C07" w:rsidRPr="00286216" w:rsidRDefault="00826C07" w:rsidP="00826C07">
            <w:pPr>
              <w:pStyle w:val="StyleWisnow"/>
              <w:rPr>
                <w:color w:val="000000" w:themeColor="text1"/>
              </w:rPr>
            </w:pPr>
            <w:bookmarkStart w:id="1589" w:name="n1840" w:colFirst="0" w:colLast="0"/>
            <w:bookmarkEnd w:id="1588"/>
            <w:r w:rsidRPr="00286216">
              <w:rPr>
                <w:color w:val="000000" w:themeColor="text1"/>
              </w:rPr>
              <w:t>1840.</w:t>
            </w:r>
          </w:p>
        </w:tc>
        <w:tc>
          <w:tcPr>
            <w:tcW w:w="4818" w:type="dxa"/>
          </w:tcPr>
          <w:p w14:paraId="0A50247A" w14:textId="77777777" w:rsidR="00826C07" w:rsidRPr="00286216" w:rsidRDefault="00826C07" w:rsidP="00E71C29">
            <w:pPr>
              <w:pStyle w:val="StyleZakonu"/>
              <w:spacing w:after="40" w:line="214" w:lineRule="exact"/>
              <w:rPr>
                <w:color w:val="000000" w:themeColor="text1"/>
              </w:rPr>
            </w:pPr>
            <w:r w:rsidRPr="00286216">
              <w:rPr>
                <w:color w:val="000000" w:themeColor="text1"/>
              </w:rPr>
              <w:t>Для виконання рішення суду або уповноваженого законом державного органу чи його посадової особи щодо переведення до іншої особи права власності на відповідні облігації, стосовно яких власником були подані голоси з будь-якого питання порядку денного зборів власників облігацій, виконуються депозитарною установою невідкладно після отримання повідомлення від Центрального депозитарію цінних паперів або Національного банку України про завершення голосування та зняття обмежень у розпорядженні облігаціями.</w:t>
            </w:r>
          </w:p>
        </w:tc>
        <w:tc>
          <w:tcPr>
            <w:tcW w:w="3686" w:type="dxa"/>
          </w:tcPr>
          <w:p w14:paraId="3F9419B0" w14:textId="77777777" w:rsidR="00826C07" w:rsidRPr="00286216" w:rsidRDefault="00826C07" w:rsidP="00826C07">
            <w:pPr>
              <w:pStyle w:val="StyleProp"/>
              <w:rPr>
                <w:color w:val="000000" w:themeColor="text1"/>
                <w:szCs w:val="18"/>
              </w:rPr>
            </w:pPr>
          </w:p>
        </w:tc>
        <w:tc>
          <w:tcPr>
            <w:tcW w:w="1987" w:type="dxa"/>
          </w:tcPr>
          <w:p w14:paraId="2FAA45B6" w14:textId="77777777" w:rsidR="00826C07" w:rsidRPr="00286216" w:rsidRDefault="00826C07" w:rsidP="00826C07">
            <w:pPr>
              <w:pStyle w:val="StyleWisnow"/>
              <w:rPr>
                <w:color w:val="000000" w:themeColor="text1"/>
              </w:rPr>
            </w:pPr>
          </w:p>
        </w:tc>
        <w:tc>
          <w:tcPr>
            <w:tcW w:w="4818" w:type="dxa"/>
          </w:tcPr>
          <w:p w14:paraId="3241299D" w14:textId="77777777" w:rsidR="00826C07" w:rsidRPr="00286216" w:rsidRDefault="00826C07" w:rsidP="00826C07">
            <w:pPr>
              <w:pStyle w:val="StyleZakonu"/>
              <w:rPr>
                <w:color w:val="000000" w:themeColor="text1"/>
              </w:rPr>
            </w:pPr>
          </w:p>
        </w:tc>
      </w:tr>
      <w:tr w:rsidR="00826C07" w:rsidRPr="00286216" w14:paraId="12E49A0B" w14:textId="77777777" w:rsidTr="00091AA5">
        <w:tc>
          <w:tcPr>
            <w:tcW w:w="576" w:type="dxa"/>
          </w:tcPr>
          <w:p w14:paraId="04FF54F5" w14:textId="77777777" w:rsidR="00826C07" w:rsidRPr="00286216" w:rsidRDefault="00826C07" w:rsidP="00826C07">
            <w:pPr>
              <w:pStyle w:val="StyleWisnow"/>
              <w:rPr>
                <w:color w:val="000000" w:themeColor="text1"/>
              </w:rPr>
            </w:pPr>
            <w:bookmarkStart w:id="1590" w:name="n1841" w:colFirst="0" w:colLast="0"/>
            <w:bookmarkEnd w:id="1589"/>
            <w:r w:rsidRPr="00286216">
              <w:rPr>
                <w:color w:val="000000" w:themeColor="text1"/>
              </w:rPr>
              <w:t>1841.</w:t>
            </w:r>
          </w:p>
        </w:tc>
        <w:tc>
          <w:tcPr>
            <w:tcW w:w="4818" w:type="dxa"/>
          </w:tcPr>
          <w:p w14:paraId="526AE483" w14:textId="77777777" w:rsidR="00826C07" w:rsidRPr="00286216" w:rsidRDefault="00826C07" w:rsidP="00E71C29">
            <w:pPr>
              <w:pStyle w:val="StyleZakonu"/>
              <w:spacing w:after="40" w:line="214" w:lineRule="exact"/>
              <w:rPr>
                <w:color w:val="000000" w:themeColor="text1"/>
              </w:rPr>
            </w:pPr>
            <w:r w:rsidRPr="00286216">
              <w:rPr>
                <w:color w:val="000000" w:themeColor="text1"/>
              </w:rPr>
              <w:t>8. Інформація від депозитарних установ про голосування з кожного з питань порядку денного зборів власників облігацій, а також інформація про облігації, які не дають їх власникам права голосу на зборах, подається Центральним депозитарієм цінних паперів або Національним банком України особі, відповідальній за проведення зборів, протягом трьох робочих днів після дати завершення голосування.</w:t>
            </w:r>
          </w:p>
        </w:tc>
        <w:tc>
          <w:tcPr>
            <w:tcW w:w="3686" w:type="dxa"/>
          </w:tcPr>
          <w:p w14:paraId="69CD678E" w14:textId="77777777" w:rsidR="00826C07" w:rsidRPr="00286216" w:rsidRDefault="00826C07" w:rsidP="00826C07">
            <w:pPr>
              <w:pStyle w:val="StyleProp"/>
              <w:rPr>
                <w:color w:val="000000" w:themeColor="text1"/>
                <w:szCs w:val="18"/>
              </w:rPr>
            </w:pPr>
          </w:p>
        </w:tc>
        <w:tc>
          <w:tcPr>
            <w:tcW w:w="1987" w:type="dxa"/>
          </w:tcPr>
          <w:p w14:paraId="080A96FE" w14:textId="77777777" w:rsidR="00826C07" w:rsidRPr="00286216" w:rsidRDefault="00826C07" w:rsidP="00826C07">
            <w:pPr>
              <w:pStyle w:val="StyleWisnow"/>
              <w:rPr>
                <w:color w:val="000000" w:themeColor="text1"/>
              </w:rPr>
            </w:pPr>
          </w:p>
        </w:tc>
        <w:tc>
          <w:tcPr>
            <w:tcW w:w="4818" w:type="dxa"/>
          </w:tcPr>
          <w:p w14:paraId="194F510A" w14:textId="77777777" w:rsidR="00826C07" w:rsidRPr="00286216" w:rsidRDefault="00826C07" w:rsidP="00826C07">
            <w:pPr>
              <w:pStyle w:val="StyleZakonu"/>
              <w:rPr>
                <w:color w:val="000000" w:themeColor="text1"/>
              </w:rPr>
            </w:pPr>
          </w:p>
        </w:tc>
      </w:tr>
      <w:tr w:rsidR="00826C07" w:rsidRPr="00286216" w14:paraId="53389E78" w14:textId="77777777" w:rsidTr="00091AA5">
        <w:tc>
          <w:tcPr>
            <w:tcW w:w="576" w:type="dxa"/>
          </w:tcPr>
          <w:p w14:paraId="66F64E51" w14:textId="77777777" w:rsidR="00826C07" w:rsidRPr="00286216" w:rsidRDefault="00826C07" w:rsidP="00826C07">
            <w:pPr>
              <w:pStyle w:val="StyleWisnow"/>
              <w:rPr>
                <w:color w:val="000000" w:themeColor="text1"/>
              </w:rPr>
            </w:pPr>
            <w:bookmarkStart w:id="1591" w:name="n1842" w:colFirst="0" w:colLast="0"/>
            <w:bookmarkEnd w:id="1590"/>
            <w:r w:rsidRPr="00286216">
              <w:rPr>
                <w:color w:val="000000" w:themeColor="text1"/>
              </w:rPr>
              <w:t>1842.</w:t>
            </w:r>
          </w:p>
        </w:tc>
        <w:tc>
          <w:tcPr>
            <w:tcW w:w="4818" w:type="dxa"/>
          </w:tcPr>
          <w:p w14:paraId="12276DB8" w14:textId="77777777" w:rsidR="00826C07" w:rsidRPr="00286216" w:rsidRDefault="00826C07" w:rsidP="00E71C29">
            <w:pPr>
              <w:pStyle w:val="StyleZakonu"/>
              <w:spacing w:after="40" w:line="214" w:lineRule="exact"/>
              <w:rPr>
                <w:color w:val="000000" w:themeColor="text1"/>
              </w:rPr>
            </w:pPr>
            <w:r w:rsidRPr="00286216">
              <w:rPr>
                <w:color w:val="000000" w:themeColor="text1"/>
              </w:rPr>
              <w:t xml:space="preserve">9. На підставі відомостей, отриманих від Центрального депозитарію цінних паперів або Національного банку України, емітента та осіб, які надають забезпечення за такими облігаціями, особа, </w:t>
            </w:r>
            <w:r w:rsidRPr="00286216">
              <w:rPr>
                <w:color w:val="000000" w:themeColor="text1"/>
              </w:rPr>
              <w:lastRenderedPageBreak/>
              <w:t>відповідальна за проведення зборів, протягом десяти робочих днів після їх отримання оформлює та направляє відповідно до частини дванадцятої цієї статті протокол, у якому вказує:</w:t>
            </w:r>
          </w:p>
        </w:tc>
        <w:tc>
          <w:tcPr>
            <w:tcW w:w="3686" w:type="dxa"/>
          </w:tcPr>
          <w:p w14:paraId="0DA8DBBA" w14:textId="77777777" w:rsidR="00826C07" w:rsidRPr="00286216" w:rsidRDefault="00826C07" w:rsidP="00826C07">
            <w:pPr>
              <w:pStyle w:val="StyleProp"/>
              <w:rPr>
                <w:color w:val="000000" w:themeColor="text1"/>
                <w:szCs w:val="18"/>
              </w:rPr>
            </w:pPr>
          </w:p>
        </w:tc>
        <w:tc>
          <w:tcPr>
            <w:tcW w:w="1987" w:type="dxa"/>
          </w:tcPr>
          <w:p w14:paraId="220224AC" w14:textId="77777777" w:rsidR="00826C07" w:rsidRPr="00286216" w:rsidRDefault="00826C07" w:rsidP="00826C07">
            <w:pPr>
              <w:pStyle w:val="StyleWisnow"/>
              <w:rPr>
                <w:color w:val="000000" w:themeColor="text1"/>
              </w:rPr>
            </w:pPr>
          </w:p>
        </w:tc>
        <w:tc>
          <w:tcPr>
            <w:tcW w:w="4818" w:type="dxa"/>
          </w:tcPr>
          <w:p w14:paraId="47459381" w14:textId="77777777" w:rsidR="00826C07" w:rsidRPr="00286216" w:rsidRDefault="00826C07" w:rsidP="00826C07">
            <w:pPr>
              <w:pStyle w:val="StyleZakonu"/>
              <w:rPr>
                <w:color w:val="000000" w:themeColor="text1"/>
              </w:rPr>
            </w:pPr>
          </w:p>
        </w:tc>
      </w:tr>
      <w:tr w:rsidR="00826C07" w:rsidRPr="00286216" w14:paraId="3CFBC45C" w14:textId="77777777" w:rsidTr="00091AA5">
        <w:tc>
          <w:tcPr>
            <w:tcW w:w="576" w:type="dxa"/>
          </w:tcPr>
          <w:p w14:paraId="3E243CEF" w14:textId="77777777" w:rsidR="00826C07" w:rsidRPr="00286216" w:rsidRDefault="00826C07" w:rsidP="00826C07">
            <w:pPr>
              <w:pStyle w:val="StyleWisnow"/>
              <w:rPr>
                <w:color w:val="000000" w:themeColor="text1"/>
              </w:rPr>
            </w:pPr>
            <w:bookmarkStart w:id="1592" w:name="n1843" w:colFirst="0" w:colLast="0"/>
            <w:bookmarkEnd w:id="1591"/>
            <w:r w:rsidRPr="00286216">
              <w:rPr>
                <w:color w:val="000000" w:themeColor="text1"/>
              </w:rPr>
              <w:t>1843.</w:t>
            </w:r>
          </w:p>
        </w:tc>
        <w:tc>
          <w:tcPr>
            <w:tcW w:w="4818" w:type="dxa"/>
          </w:tcPr>
          <w:p w14:paraId="0F42606A" w14:textId="77777777" w:rsidR="00826C07" w:rsidRPr="00286216" w:rsidRDefault="00826C07" w:rsidP="00E71C29">
            <w:pPr>
              <w:pStyle w:val="StyleZakonu"/>
              <w:spacing w:after="40" w:line="214" w:lineRule="exact"/>
              <w:rPr>
                <w:color w:val="000000" w:themeColor="text1"/>
              </w:rPr>
            </w:pPr>
            <w:r w:rsidRPr="00286216">
              <w:rPr>
                <w:color w:val="000000" w:themeColor="text1"/>
              </w:rPr>
              <w:t>1) чи були збори правомочними приймати рішення;</w:t>
            </w:r>
          </w:p>
        </w:tc>
        <w:tc>
          <w:tcPr>
            <w:tcW w:w="3686" w:type="dxa"/>
          </w:tcPr>
          <w:p w14:paraId="00796FD8" w14:textId="77777777" w:rsidR="00826C07" w:rsidRPr="00286216" w:rsidRDefault="00826C07" w:rsidP="00826C07">
            <w:pPr>
              <w:pStyle w:val="StyleProp"/>
              <w:rPr>
                <w:color w:val="000000" w:themeColor="text1"/>
                <w:szCs w:val="18"/>
              </w:rPr>
            </w:pPr>
          </w:p>
        </w:tc>
        <w:tc>
          <w:tcPr>
            <w:tcW w:w="1987" w:type="dxa"/>
          </w:tcPr>
          <w:p w14:paraId="4DC460D3" w14:textId="77777777" w:rsidR="00826C07" w:rsidRPr="00286216" w:rsidRDefault="00826C07" w:rsidP="00826C07">
            <w:pPr>
              <w:pStyle w:val="StyleWisnow"/>
              <w:rPr>
                <w:color w:val="000000" w:themeColor="text1"/>
              </w:rPr>
            </w:pPr>
          </w:p>
        </w:tc>
        <w:tc>
          <w:tcPr>
            <w:tcW w:w="4818" w:type="dxa"/>
          </w:tcPr>
          <w:p w14:paraId="01C350B4" w14:textId="77777777" w:rsidR="00826C07" w:rsidRPr="00286216" w:rsidRDefault="00826C07" w:rsidP="00826C07">
            <w:pPr>
              <w:pStyle w:val="StyleZakonu"/>
              <w:rPr>
                <w:color w:val="000000" w:themeColor="text1"/>
              </w:rPr>
            </w:pPr>
          </w:p>
        </w:tc>
      </w:tr>
      <w:tr w:rsidR="00826C07" w:rsidRPr="00286216" w14:paraId="38302FA7" w14:textId="77777777" w:rsidTr="00091AA5">
        <w:tc>
          <w:tcPr>
            <w:tcW w:w="576" w:type="dxa"/>
          </w:tcPr>
          <w:p w14:paraId="21A8D564" w14:textId="77777777" w:rsidR="00826C07" w:rsidRPr="00286216" w:rsidRDefault="00826C07" w:rsidP="00826C07">
            <w:pPr>
              <w:pStyle w:val="StyleWisnow"/>
              <w:rPr>
                <w:color w:val="000000" w:themeColor="text1"/>
              </w:rPr>
            </w:pPr>
            <w:bookmarkStart w:id="1593" w:name="n1844" w:colFirst="0" w:colLast="0"/>
            <w:bookmarkEnd w:id="1592"/>
            <w:r w:rsidRPr="00286216">
              <w:rPr>
                <w:color w:val="000000" w:themeColor="text1"/>
              </w:rPr>
              <w:t>1844.</w:t>
            </w:r>
          </w:p>
        </w:tc>
        <w:tc>
          <w:tcPr>
            <w:tcW w:w="4818" w:type="dxa"/>
          </w:tcPr>
          <w:p w14:paraId="650F313F" w14:textId="77777777" w:rsidR="00826C07" w:rsidRPr="00286216" w:rsidRDefault="00826C07" w:rsidP="00E71C29">
            <w:pPr>
              <w:pStyle w:val="StyleZakonu"/>
              <w:spacing w:after="40" w:line="214" w:lineRule="exact"/>
              <w:rPr>
                <w:color w:val="000000" w:themeColor="text1"/>
              </w:rPr>
            </w:pPr>
            <w:r w:rsidRPr="00286216">
              <w:rPr>
                <w:color w:val="000000" w:themeColor="text1"/>
              </w:rPr>
              <w:t>2) кількість голосів, подану "за" чи "проти" з кожного питання порядку денного зборів;</w:t>
            </w:r>
          </w:p>
        </w:tc>
        <w:tc>
          <w:tcPr>
            <w:tcW w:w="3686" w:type="dxa"/>
          </w:tcPr>
          <w:p w14:paraId="12E12883" w14:textId="77777777" w:rsidR="00826C07" w:rsidRPr="00286216" w:rsidRDefault="00826C07" w:rsidP="00826C07">
            <w:pPr>
              <w:pStyle w:val="StyleProp"/>
              <w:rPr>
                <w:color w:val="000000" w:themeColor="text1"/>
                <w:szCs w:val="18"/>
              </w:rPr>
            </w:pPr>
          </w:p>
        </w:tc>
        <w:tc>
          <w:tcPr>
            <w:tcW w:w="1987" w:type="dxa"/>
          </w:tcPr>
          <w:p w14:paraId="62DBEF45" w14:textId="77777777" w:rsidR="00826C07" w:rsidRPr="00286216" w:rsidRDefault="00826C07" w:rsidP="00826C07">
            <w:pPr>
              <w:pStyle w:val="StyleWisnow"/>
              <w:rPr>
                <w:color w:val="000000" w:themeColor="text1"/>
              </w:rPr>
            </w:pPr>
          </w:p>
        </w:tc>
        <w:tc>
          <w:tcPr>
            <w:tcW w:w="4818" w:type="dxa"/>
          </w:tcPr>
          <w:p w14:paraId="2A77276C" w14:textId="77777777" w:rsidR="00826C07" w:rsidRPr="00286216" w:rsidRDefault="00826C07" w:rsidP="00826C07">
            <w:pPr>
              <w:pStyle w:val="StyleZakonu"/>
              <w:rPr>
                <w:color w:val="000000" w:themeColor="text1"/>
              </w:rPr>
            </w:pPr>
          </w:p>
        </w:tc>
      </w:tr>
      <w:tr w:rsidR="00826C07" w:rsidRPr="00286216" w14:paraId="26EE44FD" w14:textId="77777777" w:rsidTr="00091AA5">
        <w:tc>
          <w:tcPr>
            <w:tcW w:w="576" w:type="dxa"/>
          </w:tcPr>
          <w:p w14:paraId="2BA0F635" w14:textId="77777777" w:rsidR="00826C07" w:rsidRPr="00286216" w:rsidRDefault="00826C07" w:rsidP="00826C07">
            <w:pPr>
              <w:pStyle w:val="StyleWisnow"/>
              <w:rPr>
                <w:color w:val="000000" w:themeColor="text1"/>
              </w:rPr>
            </w:pPr>
            <w:bookmarkStart w:id="1594" w:name="n1845" w:colFirst="0" w:colLast="0"/>
            <w:bookmarkEnd w:id="1593"/>
            <w:r w:rsidRPr="00286216">
              <w:rPr>
                <w:color w:val="000000" w:themeColor="text1"/>
              </w:rPr>
              <w:t>1845.</w:t>
            </w:r>
          </w:p>
        </w:tc>
        <w:tc>
          <w:tcPr>
            <w:tcW w:w="4818" w:type="dxa"/>
          </w:tcPr>
          <w:p w14:paraId="59120F3E" w14:textId="77777777" w:rsidR="00826C07" w:rsidRPr="00286216" w:rsidRDefault="00826C07" w:rsidP="00E71C29">
            <w:pPr>
              <w:pStyle w:val="StyleZakonu"/>
              <w:spacing w:after="40" w:line="214" w:lineRule="exact"/>
              <w:rPr>
                <w:color w:val="000000" w:themeColor="text1"/>
              </w:rPr>
            </w:pPr>
            <w:r w:rsidRPr="00286216">
              <w:rPr>
                <w:color w:val="000000" w:themeColor="text1"/>
              </w:rPr>
              <w:t>3) рішення, прийняті зборами.</w:t>
            </w:r>
          </w:p>
        </w:tc>
        <w:tc>
          <w:tcPr>
            <w:tcW w:w="3686" w:type="dxa"/>
          </w:tcPr>
          <w:p w14:paraId="24DF9C03" w14:textId="77777777" w:rsidR="00826C07" w:rsidRPr="00286216" w:rsidRDefault="00826C07" w:rsidP="00826C07">
            <w:pPr>
              <w:pStyle w:val="StyleProp"/>
              <w:rPr>
                <w:color w:val="000000" w:themeColor="text1"/>
                <w:szCs w:val="18"/>
              </w:rPr>
            </w:pPr>
          </w:p>
        </w:tc>
        <w:tc>
          <w:tcPr>
            <w:tcW w:w="1987" w:type="dxa"/>
          </w:tcPr>
          <w:p w14:paraId="3170D471" w14:textId="77777777" w:rsidR="00826C07" w:rsidRPr="00286216" w:rsidRDefault="00826C07" w:rsidP="00826C07">
            <w:pPr>
              <w:pStyle w:val="StyleWisnow"/>
              <w:rPr>
                <w:color w:val="000000" w:themeColor="text1"/>
              </w:rPr>
            </w:pPr>
          </w:p>
        </w:tc>
        <w:tc>
          <w:tcPr>
            <w:tcW w:w="4818" w:type="dxa"/>
          </w:tcPr>
          <w:p w14:paraId="5092B31D" w14:textId="77777777" w:rsidR="00826C07" w:rsidRPr="00286216" w:rsidRDefault="00826C07" w:rsidP="00826C07">
            <w:pPr>
              <w:pStyle w:val="StyleZakonu"/>
              <w:rPr>
                <w:color w:val="000000" w:themeColor="text1"/>
              </w:rPr>
            </w:pPr>
          </w:p>
        </w:tc>
      </w:tr>
      <w:tr w:rsidR="00826C07" w:rsidRPr="00286216" w14:paraId="5C2ABA4D" w14:textId="77777777" w:rsidTr="00091AA5">
        <w:tc>
          <w:tcPr>
            <w:tcW w:w="576" w:type="dxa"/>
          </w:tcPr>
          <w:p w14:paraId="1DD97581" w14:textId="77777777" w:rsidR="00826C07" w:rsidRPr="00286216" w:rsidRDefault="00826C07" w:rsidP="00826C07">
            <w:pPr>
              <w:pStyle w:val="StyleWisnow"/>
              <w:rPr>
                <w:color w:val="000000" w:themeColor="text1"/>
              </w:rPr>
            </w:pPr>
            <w:bookmarkStart w:id="1595" w:name="n1846" w:colFirst="0" w:colLast="0"/>
            <w:bookmarkEnd w:id="1594"/>
            <w:r w:rsidRPr="00286216">
              <w:rPr>
                <w:color w:val="000000" w:themeColor="text1"/>
              </w:rPr>
              <w:t>1846.</w:t>
            </w:r>
          </w:p>
        </w:tc>
        <w:tc>
          <w:tcPr>
            <w:tcW w:w="4818" w:type="dxa"/>
          </w:tcPr>
          <w:p w14:paraId="3A7D964D" w14:textId="77777777" w:rsidR="00826C07" w:rsidRPr="00286216" w:rsidRDefault="00826C07" w:rsidP="00E71C29">
            <w:pPr>
              <w:pStyle w:val="StyleZakonu"/>
              <w:spacing w:after="40" w:line="214" w:lineRule="exact"/>
              <w:rPr>
                <w:color w:val="000000" w:themeColor="text1"/>
              </w:rPr>
            </w:pPr>
            <w:r w:rsidRPr="00286216">
              <w:rPr>
                <w:color w:val="000000" w:themeColor="text1"/>
              </w:rPr>
              <w:t>Датою прийняття рішення є наступний робочий день після підрахунку голосів.</w:t>
            </w:r>
          </w:p>
        </w:tc>
        <w:tc>
          <w:tcPr>
            <w:tcW w:w="3686" w:type="dxa"/>
          </w:tcPr>
          <w:p w14:paraId="7EFBE9E7" w14:textId="77777777" w:rsidR="00826C07" w:rsidRPr="00286216" w:rsidRDefault="00826C07" w:rsidP="00826C07">
            <w:pPr>
              <w:pStyle w:val="StyleProp"/>
              <w:rPr>
                <w:color w:val="000000" w:themeColor="text1"/>
                <w:szCs w:val="18"/>
              </w:rPr>
            </w:pPr>
          </w:p>
        </w:tc>
        <w:tc>
          <w:tcPr>
            <w:tcW w:w="1987" w:type="dxa"/>
          </w:tcPr>
          <w:p w14:paraId="21492C45" w14:textId="77777777" w:rsidR="00826C07" w:rsidRPr="00286216" w:rsidRDefault="00826C07" w:rsidP="00826C07">
            <w:pPr>
              <w:pStyle w:val="StyleWisnow"/>
              <w:rPr>
                <w:color w:val="000000" w:themeColor="text1"/>
              </w:rPr>
            </w:pPr>
          </w:p>
        </w:tc>
        <w:tc>
          <w:tcPr>
            <w:tcW w:w="4818" w:type="dxa"/>
          </w:tcPr>
          <w:p w14:paraId="0F341588" w14:textId="77777777" w:rsidR="00826C07" w:rsidRPr="00286216" w:rsidRDefault="00826C07" w:rsidP="00826C07">
            <w:pPr>
              <w:pStyle w:val="StyleZakonu"/>
              <w:rPr>
                <w:color w:val="000000" w:themeColor="text1"/>
              </w:rPr>
            </w:pPr>
          </w:p>
        </w:tc>
      </w:tr>
      <w:tr w:rsidR="00826C07" w:rsidRPr="00286216" w14:paraId="07319148" w14:textId="77777777" w:rsidTr="00091AA5">
        <w:tc>
          <w:tcPr>
            <w:tcW w:w="576" w:type="dxa"/>
          </w:tcPr>
          <w:p w14:paraId="6E3A0924" w14:textId="77777777" w:rsidR="00826C07" w:rsidRPr="00286216" w:rsidRDefault="00826C07" w:rsidP="00826C07">
            <w:pPr>
              <w:pStyle w:val="StyleWisnow"/>
              <w:rPr>
                <w:color w:val="000000" w:themeColor="text1"/>
              </w:rPr>
            </w:pPr>
            <w:bookmarkStart w:id="1596" w:name="n1847" w:colFirst="0" w:colLast="0"/>
            <w:bookmarkEnd w:id="1595"/>
            <w:r w:rsidRPr="00286216">
              <w:rPr>
                <w:color w:val="000000" w:themeColor="text1"/>
              </w:rPr>
              <w:t>1847.</w:t>
            </w:r>
          </w:p>
        </w:tc>
        <w:tc>
          <w:tcPr>
            <w:tcW w:w="4818" w:type="dxa"/>
          </w:tcPr>
          <w:p w14:paraId="437D9CDE" w14:textId="77777777" w:rsidR="00826C07" w:rsidRPr="00286216" w:rsidRDefault="00826C07" w:rsidP="00E71C29">
            <w:pPr>
              <w:pStyle w:val="StyleZakonu"/>
              <w:spacing w:line="218" w:lineRule="exact"/>
              <w:rPr>
                <w:color w:val="000000" w:themeColor="text1"/>
              </w:rPr>
            </w:pPr>
            <w:r w:rsidRPr="00286216">
              <w:rPr>
                <w:color w:val="000000" w:themeColor="text1"/>
              </w:rPr>
              <w:t>10. Копія протоколу направляється особою, відповідальною за проведення зборів, всім власникам облігацій відповідного випуску облігацій через депозитарну систему України, оператору організованого ринку капіталу, на якому облігації допущені до торгів, а також емітенту та/або адміністратору, якщо жоден або один з них не є особою, відповідальною за проведення зборів і підлягає оприлюдненню на веб-сайті адміністратора (у разі призначення), емітента, оператору організованого ринку капіталу, на якому облігації допущені до торгів, Центрального депозитарію цінних паперів, а також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4894336C" w14:textId="15DC8D64"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973</w:t>
            </w:r>
            <w:r w:rsidRPr="00286216">
              <w:rPr>
                <w:color w:val="000000" w:themeColor="text1"/>
                <w:spacing w:val="-4"/>
              </w:rPr>
              <w:fldChar w:fldCharType="end"/>
            </w:r>
            <w:r w:rsidRPr="00286216">
              <w:rPr>
                <w:color w:val="000000" w:themeColor="text1"/>
                <w:spacing w:val="-4"/>
              </w:rPr>
              <w:t>-Н.д.Бєлькова О.В. (Реєстр.картка №403)</w:t>
            </w:r>
          </w:p>
          <w:p w14:paraId="72B25CF9" w14:textId="719E3D12" w:rsidR="00826C07" w:rsidRPr="00286216" w:rsidRDefault="00826C07" w:rsidP="00826C07">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3FA5BAB6" w14:textId="1B7876C5"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53F8B481" w14:textId="77777777" w:rsidR="00826C07" w:rsidRPr="00286216" w:rsidRDefault="00826C07" w:rsidP="00826C07">
            <w:pPr>
              <w:pStyle w:val="StyleZakonu"/>
              <w:rPr>
                <w:color w:val="000000" w:themeColor="text1"/>
              </w:rPr>
            </w:pPr>
          </w:p>
        </w:tc>
      </w:tr>
      <w:tr w:rsidR="00826C07" w:rsidRPr="00286216" w14:paraId="591CECC8" w14:textId="77777777" w:rsidTr="00091AA5">
        <w:tc>
          <w:tcPr>
            <w:tcW w:w="576" w:type="dxa"/>
          </w:tcPr>
          <w:p w14:paraId="139F3786" w14:textId="77777777" w:rsidR="00826C07" w:rsidRPr="00286216" w:rsidRDefault="00826C07" w:rsidP="00826C07">
            <w:pPr>
              <w:pStyle w:val="StyleWisnow"/>
              <w:rPr>
                <w:color w:val="000000" w:themeColor="text1"/>
              </w:rPr>
            </w:pPr>
            <w:bookmarkStart w:id="1597" w:name="n1848" w:colFirst="0" w:colLast="0"/>
            <w:bookmarkEnd w:id="1596"/>
            <w:r w:rsidRPr="00286216">
              <w:rPr>
                <w:color w:val="000000" w:themeColor="text1"/>
              </w:rPr>
              <w:t>1848.</w:t>
            </w:r>
          </w:p>
        </w:tc>
        <w:tc>
          <w:tcPr>
            <w:tcW w:w="4818" w:type="dxa"/>
          </w:tcPr>
          <w:p w14:paraId="5E21C447" w14:textId="77777777" w:rsidR="00826C07" w:rsidRPr="00286216" w:rsidRDefault="00826C07" w:rsidP="00E71C29">
            <w:pPr>
              <w:pStyle w:val="StyleZakonu"/>
              <w:spacing w:line="218" w:lineRule="exact"/>
              <w:rPr>
                <w:color w:val="000000" w:themeColor="text1"/>
              </w:rPr>
            </w:pPr>
            <w:r w:rsidRPr="00286216">
              <w:rPr>
                <w:color w:val="000000" w:themeColor="text1"/>
              </w:rPr>
              <w:t>11. Строк позовної давності для оскарження рішення зборів власників облігацій становить три місяці з дня оприлюднення протоколу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703F5AF6" w14:textId="4194B737"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974</w:t>
            </w:r>
            <w:r w:rsidRPr="00286216">
              <w:rPr>
                <w:color w:val="000000" w:themeColor="text1"/>
                <w:spacing w:val="-4"/>
              </w:rPr>
              <w:fldChar w:fldCharType="end"/>
            </w:r>
            <w:r w:rsidRPr="00286216">
              <w:rPr>
                <w:color w:val="000000" w:themeColor="text1"/>
                <w:spacing w:val="-4"/>
              </w:rPr>
              <w:t>-Н.д.Бєлькова О.В. (Реєстр.картка №403)</w:t>
            </w:r>
          </w:p>
          <w:p w14:paraId="046383A5"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 xml:space="preserve">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w:t>
            </w:r>
            <w:r w:rsidRPr="00286216">
              <w:rPr>
                <w:color w:val="000000" w:themeColor="text1"/>
                <w:szCs w:val="18"/>
              </w:rPr>
              <w:lastRenderedPageBreak/>
              <w:t>організованих товарних ринків»</w:t>
            </w:r>
          </w:p>
        </w:tc>
        <w:tc>
          <w:tcPr>
            <w:tcW w:w="1987" w:type="dxa"/>
          </w:tcPr>
          <w:p w14:paraId="78BDFE6B" w14:textId="17F036F2"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tc>
        <w:tc>
          <w:tcPr>
            <w:tcW w:w="4818" w:type="dxa"/>
          </w:tcPr>
          <w:p w14:paraId="2BD658E4" w14:textId="77777777" w:rsidR="00826C07" w:rsidRPr="00286216" w:rsidRDefault="00826C07" w:rsidP="00826C07">
            <w:pPr>
              <w:pStyle w:val="StyleZakonu"/>
              <w:rPr>
                <w:color w:val="000000" w:themeColor="text1"/>
              </w:rPr>
            </w:pPr>
          </w:p>
        </w:tc>
      </w:tr>
      <w:tr w:rsidR="009D68B8" w:rsidRPr="00286216" w14:paraId="089A8434" w14:textId="77777777" w:rsidTr="00091AA5">
        <w:tc>
          <w:tcPr>
            <w:tcW w:w="576" w:type="dxa"/>
          </w:tcPr>
          <w:p w14:paraId="45B49936" w14:textId="77777777" w:rsidR="009D68B8" w:rsidRPr="00286216" w:rsidRDefault="009D68B8" w:rsidP="009D68B8">
            <w:pPr>
              <w:pStyle w:val="StyleWisnow"/>
              <w:rPr>
                <w:color w:val="000000" w:themeColor="text1"/>
              </w:rPr>
            </w:pPr>
            <w:bookmarkStart w:id="1598" w:name="n1849" w:colFirst="0" w:colLast="0"/>
            <w:bookmarkEnd w:id="1597"/>
            <w:r w:rsidRPr="00286216">
              <w:rPr>
                <w:color w:val="000000" w:themeColor="text1"/>
              </w:rPr>
              <w:t>1849.</w:t>
            </w:r>
          </w:p>
        </w:tc>
        <w:tc>
          <w:tcPr>
            <w:tcW w:w="4818" w:type="dxa"/>
          </w:tcPr>
          <w:p w14:paraId="3C667D51" w14:textId="77777777" w:rsidR="009D68B8" w:rsidRPr="00286216" w:rsidRDefault="009D68B8" w:rsidP="00E71C29">
            <w:pPr>
              <w:pStyle w:val="StyleZakonu"/>
              <w:spacing w:line="218" w:lineRule="exact"/>
              <w:rPr>
                <w:color w:val="000000" w:themeColor="text1"/>
              </w:rPr>
            </w:pPr>
            <w:r w:rsidRPr="00286216">
              <w:rPr>
                <w:color w:val="000000" w:themeColor="text1"/>
              </w:rPr>
              <w:t>12. Додаткові вимоги до проведення зборів власників облігацій, підбиття підсумків голосування на них, оформлення рішень зборів, зберігання документації у зв’язку зі зборами встановлюються Національною комісією з цінних паперів та фондового ринку.</w:t>
            </w:r>
          </w:p>
        </w:tc>
        <w:tc>
          <w:tcPr>
            <w:tcW w:w="3686" w:type="dxa"/>
          </w:tcPr>
          <w:p w14:paraId="42E257F4" w14:textId="77777777" w:rsidR="009D68B8" w:rsidRPr="00286216" w:rsidRDefault="009D68B8" w:rsidP="009D68B8">
            <w:pPr>
              <w:pStyle w:val="StyleProp"/>
              <w:rPr>
                <w:color w:val="000000" w:themeColor="text1"/>
                <w:szCs w:val="18"/>
              </w:rPr>
            </w:pPr>
          </w:p>
        </w:tc>
        <w:tc>
          <w:tcPr>
            <w:tcW w:w="1987" w:type="dxa"/>
          </w:tcPr>
          <w:p w14:paraId="00550915" w14:textId="77777777" w:rsidR="009D68B8" w:rsidRPr="00286216" w:rsidRDefault="009D68B8" w:rsidP="009D68B8">
            <w:pPr>
              <w:pStyle w:val="StyleWisnow"/>
              <w:rPr>
                <w:color w:val="000000" w:themeColor="text1"/>
              </w:rPr>
            </w:pPr>
          </w:p>
        </w:tc>
        <w:tc>
          <w:tcPr>
            <w:tcW w:w="4818" w:type="dxa"/>
          </w:tcPr>
          <w:p w14:paraId="594A0B26" w14:textId="77777777" w:rsidR="009D68B8" w:rsidRPr="00286216" w:rsidRDefault="009D68B8" w:rsidP="009D68B8">
            <w:pPr>
              <w:pStyle w:val="StyleZakonu"/>
              <w:rPr>
                <w:color w:val="000000" w:themeColor="text1"/>
              </w:rPr>
            </w:pPr>
          </w:p>
        </w:tc>
      </w:tr>
      <w:tr w:rsidR="009D68B8" w:rsidRPr="00286216" w14:paraId="0720ACD2" w14:textId="77777777" w:rsidTr="00091AA5">
        <w:tc>
          <w:tcPr>
            <w:tcW w:w="576" w:type="dxa"/>
          </w:tcPr>
          <w:p w14:paraId="2ACE8720" w14:textId="77777777" w:rsidR="009D68B8" w:rsidRPr="00286216" w:rsidRDefault="009D68B8" w:rsidP="009D68B8">
            <w:pPr>
              <w:pStyle w:val="StyleWisnow"/>
              <w:rPr>
                <w:color w:val="000000" w:themeColor="text1"/>
              </w:rPr>
            </w:pPr>
            <w:bookmarkStart w:id="1599" w:name="n1850" w:colFirst="0" w:colLast="0"/>
            <w:bookmarkEnd w:id="1598"/>
            <w:r w:rsidRPr="00286216">
              <w:rPr>
                <w:color w:val="000000" w:themeColor="text1"/>
              </w:rPr>
              <w:t>1850.</w:t>
            </w:r>
          </w:p>
        </w:tc>
        <w:tc>
          <w:tcPr>
            <w:tcW w:w="4818" w:type="dxa"/>
          </w:tcPr>
          <w:p w14:paraId="50228DFF" w14:textId="77777777" w:rsidR="009D68B8" w:rsidRPr="00286216" w:rsidRDefault="009D68B8" w:rsidP="009D68B8">
            <w:pPr>
              <w:pStyle w:val="StyleZakonu"/>
              <w:rPr>
                <w:color w:val="000000" w:themeColor="text1"/>
              </w:rPr>
            </w:pPr>
            <w:r w:rsidRPr="00286216">
              <w:rPr>
                <w:color w:val="000000" w:themeColor="text1"/>
              </w:rPr>
              <w:t>13. Емітент не має права домовлятися у будь-якій формі з власником (власниками) облігацій щодо голосування на зборах власників облігацій, якщо аналогічні умови не пропонуються усім власникам облігацій. У випадку, якщо власник (власники) облігацій отримує (отримують) будь-які кошти або іншу винагороду внаслідок такої домовленості з емітентом, такі кошти повинні бути розподілені між усіма власниками облігацій пропорційно до номінальної вартості непогашених облігацій кожного власника.</w:t>
            </w:r>
          </w:p>
        </w:tc>
        <w:tc>
          <w:tcPr>
            <w:tcW w:w="3686" w:type="dxa"/>
          </w:tcPr>
          <w:p w14:paraId="58AE5264" w14:textId="649FD9A6"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975</w:t>
            </w:r>
            <w:r w:rsidRPr="00286216">
              <w:rPr>
                <w:color w:val="000000" w:themeColor="text1"/>
                <w:spacing w:val="-4"/>
              </w:rPr>
              <w:fldChar w:fldCharType="end"/>
            </w:r>
            <w:r w:rsidRPr="00286216">
              <w:rPr>
                <w:color w:val="000000" w:themeColor="text1"/>
                <w:spacing w:val="-4"/>
              </w:rPr>
              <w:t>-Н.д.Бєлькова О.В. (Реєстр.картка №403)</w:t>
            </w:r>
          </w:p>
          <w:p w14:paraId="329BAF9B" w14:textId="77777777" w:rsidR="009D68B8" w:rsidRPr="00286216" w:rsidRDefault="009D68B8" w:rsidP="00572342">
            <w:pPr>
              <w:pStyle w:val="StyleProp"/>
              <w:spacing w:line="180" w:lineRule="exact"/>
              <w:rPr>
                <w:color w:val="000000" w:themeColor="text1"/>
              </w:rPr>
            </w:pPr>
            <w:r w:rsidRPr="00286216">
              <w:rPr>
                <w:color w:val="000000" w:themeColor="text1"/>
              </w:rPr>
              <w:t>Друге речення частини 13 статті 107 розділу 1 викласти в такій редакції:</w:t>
            </w:r>
          </w:p>
          <w:p w14:paraId="19AC88A8" w14:textId="77777777" w:rsidR="009D68B8" w:rsidRPr="00286216" w:rsidRDefault="009D68B8" w:rsidP="00572342">
            <w:pPr>
              <w:pStyle w:val="StyleProp"/>
              <w:spacing w:line="180" w:lineRule="exact"/>
              <w:rPr>
                <w:color w:val="000000" w:themeColor="text1"/>
                <w:szCs w:val="18"/>
              </w:rPr>
            </w:pPr>
            <w:r w:rsidRPr="00286216">
              <w:rPr>
                <w:color w:val="000000" w:themeColor="text1"/>
              </w:rPr>
              <w:t>«У випадку, якщо власник (власники) облігацій отримує (отримують) будь-які кошти або іншу винагороду внаслідок такої домовленості з емітентом, такі кошти повинні бути розподілені між усіма власниками облігацій пропорційно до кількості належних їм облігацій.».</w:t>
            </w:r>
          </w:p>
        </w:tc>
        <w:tc>
          <w:tcPr>
            <w:tcW w:w="1987" w:type="dxa"/>
          </w:tcPr>
          <w:p w14:paraId="0B03431E"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7327E36" w14:textId="751E78C4" w:rsidR="009D68B8" w:rsidRPr="00286216" w:rsidRDefault="009D68B8" w:rsidP="009D68B8">
            <w:pPr>
              <w:pStyle w:val="StyleZakonu"/>
              <w:rPr>
                <w:color w:val="000000" w:themeColor="text1"/>
              </w:rPr>
            </w:pPr>
            <w:r w:rsidRPr="00286216">
              <w:rPr>
                <w:color w:val="000000" w:themeColor="text1"/>
                <w:spacing w:val="-3"/>
              </w:rPr>
              <w:t xml:space="preserve">13. Емітент не має права домовлятися у будь-якій формі з власником (власниками) облігацій щодо голосування на зборах власників облігацій, якщо аналогічні умови не пропонуються всім власникам облігацій. </w:t>
            </w:r>
            <w:r w:rsidRPr="00286216">
              <w:rPr>
                <w:color w:val="000000" w:themeColor="text1"/>
              </w:rPr>
              <w:t>У разі якщо власник (власники) облігацій отримує (отримують) будь-які кошти або іншу винагороду внаслідок такої домовленості з емітентом, такі кошти повинні бути розподілені між усіма власниками облігацій пропорційно до кількості належних їм облігацій</w:t>
            </w:r>
            <w:r w:rsidRPr="00286216">
              <w:rPr>
                <w:color w:val="000000" w:themeColor="text1"/>
                <w:spacing w:val="-3"/>
              </w:rPr>
              <w:t>.</w:t>
            </w:r>
          </w:p>
        </w:tc>
      </w:tr>
      <w:tr w:rsidR="009D68B8" w:rsidRPr="00286216" w14:paraId="5D0A69EC" w14:textId="77777777" w:rsidTr="00091AA5">
        <w:tc>
          <w:tcPr>
            <w:tcW w:w="576" w:type="dxa"/>
          </w:tcPr>
          <w:p w14:paraId="0B92A78B" w14:textId="77777777" w:rsidR="009D68B8" w:rsidRPr="00286216" w:rsidRDefault="009D68B8" w:rsidP="009D68B8">
            <w:pPr>
              <w:pStyle w:val="StyleWisnow"/>
              <w:rPr>
                <w:color w:val="000000" w:themeColor="text1"/>
              </w:rPr>
            </w:pPr>
            <w:bookmarkStart w:id="1600" w:name="n1851" w:colFirst="0" w:colLast="0"/>
            <w:bookmarkEnd w:id="1599"/>
            <w:r w:rsidRPr="00286216">
              <w:rPr>
                <w:color w:val="000000" w:themeColor="text1"/>
              </w:rPr>
              <w:t>1851.</w:t>
            </w:r>
          </w:p>
        </w:tc>
        <w:tc>
          <w:tcPr>
            <w:tcW w:w="4818" w:type="dxa"/>
          </w:tcPr>
          <w:p w14:paraId="14323C44" w14:textId="77777777" w:rsidR="009D68B8" w:rsidRPr="00286216" w:rsidRDefault="009D68B8" w:rsidP="009D68B8">
            <w:pPr>
              <w:pStyle w:val="StyleZakonu"/>
              <w:rPr>
                <w:color w:val="000000" w:themeColor="text1"/>
              </w:rPr>
            </w:pPr>
            <w:r w:rsidRPr="00286216">
              <w:rPr>
                <w:color w:val="000000" w:themeColor="text1"/>
              </w:rPr>
              <w:t>Стаття 108. Права та обов’язки особи, відповідальної за проведення зборів</w:t>
            </w:r>
          </w:p>
        </w:tc>
        <w:tc>
          <w:tcPr>
            <w:tcW w:w="3686" w:type="dxa"/>
          </w:tcPr>
          <w:p w14:paraId="663EBC17" w14:textId="77777777" w:rsidR="009D68B8" w:rsidRPr="00286216" w:rsidRDefault="009D68B8" w:rsidP="009D68B8">
            <w:pPr>
              <w:pStyle w:val="StyleProp"/>
              <w:rPr>
                <w:color w:val="000000" w:themeColor="text1"/>
                <w:szCs w:val="18"/>
              </w:rPr>
            </w:pPr>
          </w:p>
        </w:tc>
        <w:tc>
          <w:tcPr>
            <w:tcW w:w="1987" w:type="dxa"/>
          </w:tcPr>
          <w:p w14:paraId="0FC2B1D3" w14:textId="77777777" w:rsidR="009D68B8" w:rsidRPr="00286216" w:rsidRDefault="009D68B8" w:rsidP="009D68B8">
            <w:pPr>
              <w:pStyle w:val="StyleWisnow"/>
              <w:rPr>
                <w:color w:val="000000" w:themeColor="text1"/>
              </w:rPr>
            </w:pPr>
          </w:p>
        </w:tc>
        <w:tc>
          <w:tcPr>
            <w:tcW w:w="4818" w:type="dxa"/>
          </w:tcPr>
          <w:p w14:paraId="395A6CBD" w14:textId="3EE5A51D" w:rsidR="009D68B8" w:rsidRPr="00286216" w:rsidRDefault="009D68B8" w:rsidP="009D68B8">
            <w:pPr>
              <w:pStyle w:val="StyleZakonu"/>
              <w:rPr>
                <w:color w:val="000000" w:themeColor="text1"/>
              </w:rPr>
            </w:pPr>
            <w:r w:rsidRPr="00286216">
              <w:rPr>
                <w:color w:val="000000" w:themeColor="text1"/>
              </w:rPr>
              <w:t>Стаття 112. Права та обов’язки особи, відповідальної за проведення зборів</w:t>
            </w:r>
          </w:p>
        </w:tc>
      </w:tr>
      <w:tr w:rsidR="009D68B8" w:rsidRPr="00286216" w14:paraId="20C8B28D" w14:textId="77777777" w:rsidTr="00091AA5">
        <w:tc>
          <w:tcPr>
            <w:tcW w:w="576" w:type="dxa"/>
          </w:tcPr>
          <w:p w14:paraId="738E65B6" w14:textId="77777777" w:rsidR="009D68B8" w:rsidRPr="00286216" w:rsidRDefault="009D68B8" w:rsidP="009D68B8">
            <w:pPr>
              <w:pStyle w:val="StyleWisnow"/>
              <w:rPr>
                <w:color w:val="000000" w:themeColor="text1"/>
              </w:rPr>
            </w:pPr>
            <w:bookmarkStart w:id="1601" w:name="n1852" w:colFirst="0" w:colLast="0"/>
            <w:bookmarkEnd w:id="1600"/>
            <w:r w:rsidRPr="00286216">
              <w:rPr>
                <w:color w:val="000000" w:themeColor="text1"/>
              </w:rPr>
              <w:t>1852.</w:t>
            </w:r>
          </w:p>
        </w:tc>
        <w:tc>
          <w:tcPr>
            <w:tcW w:w="4818" w:type="dxa"/>
          </w:tcPr>
          <w:p w14:paraId="38E0F54C" w14:textId="77777777" w:rsidR="009D68B8" w:rsidRPr="00286216" w:rsidRDefault="009D68B8" w:rsidP="009D68B8">
            <w:pPr>
              <w:pStyle w:val="StyleZakonu"/>
              <w:rPr>
                <w:color w:val="000000" w:themeColor="text1"/>
              </w:rPr>
            </w:pPr>
            <w:r w:rsidRPr="00286216">
              <w:rPr>
                <w:color w:val="000000" w:themeColor="text1"/>
              </w:rPr>
              <w:t>1. Особою, відповідальною за проведення зборів, є емітент, а у разі призначення адміністратора - з часу набуття ним своїх повноважень адміністратора і до їх припинення (з причини іншої, ніж невиконання емітентом свого обов’язку щодо призначення нового адміністратора), є адміністратор.</w:t>
            </w:r>
          </w:p>
        </w:tc>
        <w:tc>
          <w:tcPr>
            <w:tcW w:w="3686" w:type="dxa"/>
          </w:tcPr>
          <w:p w14:paraId="292F39F4" w14:textId="01356C40"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976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3CF1B36"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zCs w:val="18"/>
              </w:rPr>
              <w:t xml:space="preserve">Статтю </w:t>
            </w:r>
            <w:r w:rsidRPr="00286216">
              <w:rPr>
                <w:color w:val="000000" w:themeColor="text1"/>
                <w:spacing w:val="-2"/>
                <w:szCs w:val="18"/>
              </w:rPr>
              <w:t>108 викласти в такій редакції:</w:t>
            </w:r>
          </w:p>
          <w:p w14:paraId="0B53AABB"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«Стаття 108. Права та обов’язки особи, відповідальної за проведення зборів</w:t>
            </w:r>
          </w:p>
          <w:p w14:paraId="23C97FAF"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1. Особа, відповідальна за проведення зборів:</w:t>
            </w:r>
          </w:p>
          <w:p w14:paraId="04341573"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1) забезпечує обмін документами та інформацією між емітентом, адміністратором, особами, які надають забезпечення за облігаціями, та власниками облігацій;</w:t>
            </w:r>
          </w:p>
          <w:p w14:paraId="5D278B15"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2) на вимогу осіб, які наділені цим Законом правом вимагати проведення зборів власників облігацій, проводить збори в порядку, встановленому законодавством;</w:t>
            </w:r>
          </w:p>
          <w:p w14:paraId="510F8835"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3) надає роз’яснення з питань, що виникають у зв’язку з реалізацією права голосу на зборах, роз’яснення щодо порядку голосування з питань порядку денного зборів;</w:t>
            </w:r>
          </w:p>
          <w:p w14:paraId="5BE94274"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4) дає розпорядження Центральному депозитарію цінних паперів відповідно до вимог закону та договору про надання послуг щодо забезпечення проведення зборів власників облігацій;</w:t>
            </w:r>
          </w:p>
          <w:p w14:paraId="1EA736E2"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5) на вимогу власника облігацій забезпечує йому у розумний строк та спосіб доступ до копій документів та інформації, пов’язаних зі зборами власників облігацій;</w:t>
            </w:r>
          </w:p>
          <w:p w14:paraId="0FF12E4F" w14:textId="77777777"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6) здійснює інші функції, визначені цим Законом.</w:t>
            </w:r>
          </w:p>
          <w:p w14:paraId="328A34A3" w14:textId="77777777" w:rsidR="009D68B8" w:rsidRPr="00286216" w:rsidRDefault="009D68B8" w:rsidP="009D68B8">
            <w:pPr>
              <w:pStyle w:val="StyleProp"/>
              <w:spacing w:line="180" w:lineRule="exact"/>
              <w:rPr>
                <w:color w:val="000000" w:themeColor="text1"/>
                <w:szCs w:val="18"/>
              </w:rPr>
            </w:pPr>
            <w:r w:rsidRPr="00286216">
              <w:rPr>
                <w:color w:val="000000" w:themeColor="text1"/>
                <w:spacing w:val="-2"/>
                <w:szCs w:val="18"/>
              </w:rPr>
              <w:t xml:space="preserve">2. Емітент, особи, які надають забезпечення </w:t>
            </w:r>
            <w:r w:rsidRPr="00286216">
              <w:rPr>
                <w:color w:val="000000" w:themeColor="text1"/>
                <w:spacing w:val="-2"/>
                <w:szCs w:val="18"/>
              </w:rPr>
              <w:lastRenderedPageBreak/>
              <w:t>за облігаціями, суб’єкт аудиторської діяльності, який надає послуги аудиту фінансової звітності емітенту та таким особам, власники облігацій зобов’язані надавати особі, відповідальній за проведення зборів, на її запит інформацію, необхідну</w:t>
            </w:r>
            <w:r w:rsidRPr="00286216">
              <w:rPr>
                <w:color w:val="000000" w:themeColor="text1"/>
                <w:szCs w:val="18"/>
              </w:rPr>
              <w:t xml:space="preserve"> їй для виконання своїх обов’язків у зв’язку із проведенням зборів власників облігацій».</w:t>
            </w:r>
          </w:p>
        </w:tc>
        <w:tc>
          <w:tcPr>
            <w:tcW w:w="1987" w:type="dxa"/>
          </w:tcPr>
          <w:p w14:paraId="7B1223EF" w14:textId="248C163B" w:rsidR="009D68B8" w:rsidRPr="00286216" w:rsidRDefault="009D68B8" w:rsidP="009D68B8">
            <w:pPr>
              <w:pStyle w:val="StyleWisnow"/>
              <w:rPr>
                <w:color w:val="000000" w:themeColor="text1"/>
              </w:rPr>
            </w:pPr>
            <w:r w:rsidRPr="00286216">
              <w:rPr>
                <w:color w:val="000000" w:themeColor="text1"/>
              </w:rPr>
              <w:lastRenderedPageBreak/>
              <w:t>Враховано редакційно</w:t>
            </w:r>
          </w:p>
        </w:tc>
        <w:tc>
          <w:tcPr>
            <w:tcW w:w="4818" w:type="dxa"/>
          </w:tcPr>
          <w:p w14:paraId="07BA7678" w14:textId="77777777" w:rsidR="009D68B8" w:rsidRPr="00286216" w:rsidRDefault="009D68B8" w:rsidP="009D68B8">
            <w:pPr>
              <w:pStyle w:val="StyleZakonu"/>
              <w:rPr>
                <w:color w:val="000000" w:themeColor="text1"/>
              </w:rPr>
            </w:pPr>
            <w:r w:rsidRPr="00286216">
              <w:rPr>
                <w:color w:val="000000" w:themeColor="text1"/>
              </w:rPr>
              <w:t>1. Особа, відповідальна за проведення зборів:</w:t>
            </w:r>
          </w:p>
          <w:p w14:paraId="175F9F6E" w14:textId="77777777" w:rsidR="009D68B8" w:rsidRPr="00286216" w:rsidRDefault="009D68B8" w:rsidP="009D68B8">
            <w:pPr>
              <w:pStyle w:val="StyleZakonu"/>
              <w:rPr>
                <w:color w:val="000000" w:themeColor="text1"/>
              </w:rPr>
            </w:pPr>
            <w:r w:rsidRPr="00286216">
              <w:rPr>
                <w:color w:val="000000" w:themeColor="text1"/>
              </w:rPr>
              <w:t>1) забезпечує обмін документами та інформацією між емітентом, адміністратором, особами, які надають забезпечення за облігаціями, та власниками облігацій;</w:t>
            </w:r>
          </w:p>
          <w:p w14:paraId="4A73FD87" w14:textId="77777777" w:rsidR="009D68B8" w:rsidRPr="00286216" w:rsidRDefault="009D68B8" w:rsidP="009D68B8">
            <w:pPr>
              <w:pStyle w:val="StyleZakonu"/>
              <w:rPr>
                <w:color w:val="000000" w:themeColor="text1"/>
              </w:rPr>
            </w:pPr>
            <w:r w:rsidRPr="00286216">
              <w:rPr>
                <w:color w:val="000000" w:themeColor="text1"/>
              </w:rPr>
              <w:t>2) на вимогу осіб, наділених цим Законом правом вимагати проведення зборів власників облігацій, проводить збори в порядку, встановленому законодавством;</w:t>
            </w:r>
          </w:p>
          <w:p w14:paraId="5ED1F138" w14:textId="77777777" w:rsidR="009D68B8" w:rsidRPr="00286216" w:rsidRDefault="009D68B8" w:rsidP="009D68B8">
            <w:pPr>
              <w:pStyle w:val="StyleZakonu"/>
              <w:rPr>
                <w:color w:val="000000" w:themeColor="text1"/>
              </w:rPr>
            </w:pPr>
            <w:r w:rsidRPr="00286216">
              <w:rPr>
                <w:color w:val="000000" w:themeColor="text1"/>
              </w:rPr>
              <w:t>3) надає роз’яснення з питань, що виникають у зв’язку з реалізацією права голосу на зборах, і роз’яснення щодо порядку голосування з питань порядку денного зборів;</w:t>
            </w:r>
          </w:p>
          <w:p w14:paraId="371FCEA1" w14:textId="77777777" w:rsidR="009D68B8" w:rsidRPr="00286216" w:rsidRDefault="009D68B8" w:rsidP="009D68B8">
            <w:pPr>
              <w:pStyle w:val="StyleZakonu"/>
              <w:rPr>
                <w:color w:val="000000" w:themeColor="text1"/>
              </w:rPr>
            </w:pPr>
            <w:r w:rsidRPr="00286216">
              <w:rPr>
                <w:color w:val="000000" w:themeColor="text1"/>
              </w:rPr>
              <w:t>4) дає розпорядження Центральному депозитарію цінних паперів відповідно до вимог закону та договору про надання послуг щодо забезпечення проведення зборів власників облігацій;</w:t>
            </w:r>
          </w:p>
          <w:p w14:paraId="5A46D5CC" w14:textId="77777777" w:rsidR="009D68B8" w:rsidRPr="00286216" w:rsidRDefault="009D68B8" w:rsidP="009D68B8">
            <w:pPr>
              <w:pStyle w:val="StyleZakonu"/>
              <w:rPr>
                <w:color w:val="000000" w:themeColor="text1"/>
              </w:rPr>
            </w:pPr>
            <w:r w:rsidRPr="00286216">
              <w:rPr>
                <w:color w:val="000000" w:themeColor="text1"/>
              </w:rPr>
              <w:t>5) на вимогу власника облігацій забезпечує йому в розумний строк і спосіб доступ до копій документів та інформації, пов’язаних зі зборами власників облігацій;</w:t>
            </w:r>
          </w:p>
          <w:p w14:paraId="6A84CEBF" w14:textId="77777777" w:rsidR="009D68B8" w:rsidRPr="00286216" w:rsidRDefault="009D68B8" w:rsidP="009D68B8">
            <w:pPr>
              <w:pStyle w:val="StyleZakonu"/>
              <w:rPr>
                <w:color w:val="000000" w:themeColor="text1"/>
              </w:rPr>
            </w:pPr>
            <w:r w:rsidRPr="00286216">
              <w:rPr>
                <w:color w:val="000000" w:themeColor="text1"/>
              </w:rPr>
              <w:t>6) здійснює інші функції, визначені цим Законом.</w:t>
            </w:r>
          </w:p>
          <w:p w14:paraId="362767DF" w14:textId="03FC54D9" w:rsidR="009D68B8" w:rsidRPr="00286216" w:rsidRDefault="009D68B8" w:rsidP="00572342">
            <w:pPr>
              <w:pStyle w:val="StyleZakonu"/>
              <w:spacing w:after="0"/>
              <w:rPr>
                <w:color w:val="000000" w:themeColor="text1"/>
              </w:rPr>
            </w:pPr>
            <w:r w:rsidRPr="00286216">
              <w:rPr>
                <w:color w:val="000000" w:themeColor="text1"/>
              </w:rPr>
              <w:t xml:space="preserve">2. Емітент, особи, які надають забезпечення за </w:t>
            </w:r>
            <w:r w:rsidRPr="00286216">
              <w:rPr>
                <w:color w:val="000000" w:themeColor="text1"/>
              </w:rPr>
              <w:lastRenderedPageBreak/>
              <w:t>облігаціями, суб’єкт аудиторської діяльності, який надає послуги аудиту фінансової звітності емітенту та таким особам, власники облігацій зобов’язані надавати особі, відповідальній за проведення зборів, на її запит інформацію, необхідну їй для виконання своїх обов’язків у зв’язку із проведенням зборів власників облігацій.</w:t>
            </w:r>
          </w:p>
        </w:tc>
      </w:tr>
      <w:tr w:rsidR="009D68B8" w:rsidRPr="00286216" w14:paraId="517A5A18" w14:textId="77777777" w:rsidTr="00091AA5">
        <w:tc>
          <w:tcPr>
            <w:tcW w:w="576" w:type="dxa"/>
          </w:tcPr>
          <w:p w14:paraId="4E768B36" w14:textId="77777777" w:rsidR="009D68B8" w:rsidRPr="00286216" w:rsidRDefault="009D68B8" w:rsidP="009D68B8">
            <w:pPr>
              <w:pStyle w:val="StyleWisnow"/>
              <w:rPr>
                <w:color w:val="000000" w:themeColor="text1"/>
              </w:rPr>
            </w:pPr>
            <w:bookmarkStart w:id="1602" w:name="n1853" w:colFirst="0" w:colLast="0"/>
            <w:bookmarkEnd w:id="1601"/>
            <w:r w:rsidRPr="00286216">
              <w:rPr>
                <w:color w:val="000000" w:themeColor="text1"/>
              </w:rPr>
              <w:lastRenderedPageBreak/>
              <w:t>1853.</w:t>
            </w:r>
          </w:p>
        </w:tc>
        <w:tc>
          <w:tcPr>
            <w:tcW w:w="4818" w:type="dxa"/>
          </w:tcPr>
          <w:p w14:paraId="34C7751A" w14:textId="77777777" w:rsidR="009D68B8" w:rsidRPr="00286216" w:rsidRDefault="009D68B8" w:rsidP="00E71C29">
            <w:pPr>
              <w:pStyle w:val="StyleZakonu"/>
              <w:spacing w:line="218" w:lineRule="exact"/>
              <w:rPr>
                <w:color w:val="000000" w:themeColor="text1"/>
              </w:rPr>
            </w:pPr>
            <w:r w:rsidRPr="00286216">
              <w:rPr>
                <w:color w:val="000000" w:themeColor="text1"/>
              </w:rPr>
              <w:t>У разі проведення зборів власників облігацій декількох випусків, якщо особи, відповідальні за проведення зборів за такими випусками, є різними, функції особи, відповідальної за проведення зборів, виконує одна з них за домовленістю. У разі недосягнення такої домовленості у розумний строк особи, які мають право ініціювати проведення зборів, можуть самостійно визначити одну із зазначених осіб, яка буде відповідальною за проведення зборів власників облігацій за такими випусками, або звернутися з метою їх проведення до Центрального депозитарію цінних паперів або Національного банку України, в тому числі через будь-яку депозитарну установу.</w:t>
            </w:r>
          </w:p>
        </w:tc>
        <w:tc>
          <w:tcPr>
            <w:tcW w:w="3686" w:type="dxa"/>
          </w:tcPr>
          <w:p w14:paraId="62E44228" w14:textId="77777777" w:rsidR="009D68B8" w:rsidRPr="00286216" w:rsidRDefault="009D68B8" w:rsidP="009D68B8">
            <w:pPr>
              <w:pStyle w:val="StyleProp"/>
              <w:rPr>
                <w:color w:val="000000" w:themeColor="text1"/>
                <w:szCs w:val="18"/>
              </w:rPr>
            </w:pPr>
          </w:p>
        </w:tc>
        <w:tc>
          <w:tcPr>
            <w:tcW w:w="1987" w:type="dxa"/>
          </w:tcPr>
          <w:p w14:paraId="69CADEF5" w14:textId="77777777" w:rsidR="009D68B8" w:rsidRPr="00286216" w:rsidRDefault="009D68B8" w:rsidP="009D68B8">
            <w:pPr>
              <w:pStyle w:val="StyleWisnow"/>
              <w:rPr>
                <w:color w:val="000000" w:themeColor="text1"/>
              </w:rPr>
            </w:pPr>
          </w:p>
        </w:tc>
        <w:tc>
          <w:tcPr>
            <w:tcW w:w="4818" w:type="dxa"/>
          </w:tcPr>
          <w:p w14:paraId="26D84275" w14:textId="77777777" w:rsidR="009D68B8" w:rsidRPr="00286216" w:rsidRDefault="009D68B8" w:rsidP="009D68B8">
            <w:pPr>
              <w:pStyle w:val="StyleZakonu"/>
              <w:rPr>
                <w:color w:val="000000" w:themeColor="text1"/>
              </w:rPr>
            </w:pPr>
          </w:p>
        </w:tc>
      </w:tr>
      <w:tr w:rsidR="00826C07" w:rsidRPr="00286216" w14:paraId="39170835" w14:textId="77777777" w:rsidTr="00091AA5">
        <w:tc>
          <w:tcPr>
            <w:tcW w:w="576" w:type="dxa"/>
          </w:tcPr>
          <w:p w14:paraId="5DDF3185" w14:textId="77777777" w:rsidR="00826C07" w:rsidRPr="00286216" w:rsidRDefault="00826C07" w:rsidP="00826C07">
            <w:pPr>
              <w:pStyle w:val="StyleWisnow"/>
              <w:rPr>
                <w:color w:val="000000" w:themeColor="text1"/>
              </w:rPr>
            </w:pPr>
            <w:bookmarkStart w:id="1603" w:name="n1854" w:colFirst="0" w:colLast="0"/>
            <w:bookmarkEnd w:id="1602"/>
            <w:r w:rsidRPr="00286216">
              <w:rPr>
                <w:color w:val="000000" w:themeColor="text1"/>
              </w:rPr>
              <w:t>1854.</w:t>
            </w:r>
          </w:p>
        </w:tc>
        <w:tc>
          <w:tcPr>
            <w:tcW w:w="4818" w:type="dxa"/>
          </w:tcPr>
          <w:p w14:paraId="567B9D3F" w14:textId="77777777" w:rsidR="00826C07" w:rsidRPr="00286216" w:rsidRDefault="00826C07" w:rsidP="00E71C29">
            <w:pPr>
              <w:pStyle w:val="StyleZakonu"/>
              <w:spacing w:line="218" w:lineRule="exact"/>
              <w:rPr>
                <w:color w:val="000000" w:themeColor="text1"/>
              </w:rPr>
            </w:pPr>
            <w:r w:rsidRPr="00286216">
              <w:rPr>
                <w:color w:val="000000" w:themeColor="text1"/>
              </w:rPr>
              <w:t>2. Особа, відповідальна за проведення зборів:</w:t>
            </w:r>
          </w:p>
        </w:tc>
        <w:tc>
          <w:tcPr>
            <w:tcW w:w="3686" w:type="dxa"/>
          </w:tcPr>
          <w:p w14:paraId="5F4C633C" w14:textId="77777777" w:rsidR="00826C07" w:rsidRPr="00286216" w:rsidRDefault="00826C07" w:rsidP="00826C07">
            <w:pPr>
              <w:pStyle w:val="StyleProp"/>
              <w:rPr>
                <w:color w:val="000000" w:themeColor="text1"/>
                <w:szCs w:val="18"/>
              </w:rPr>
            </w:pPr>
          </w:p>
        </w:tc>
        <w:tc>
          <w:tcPr>
            <w:tcW w:w="1987" w:type="dxa"/>
          </w:tcPr>
          <w:p w14:paraId="1087DD7A" w14:textId="77777777" w:rsidR="00826C07" w:rsidRPr="00286216" w:rsidRDefault="00826C07" w:rsidP="00826C07">
            <w:pPr>
              <w:pStyle w:val="StyleWisnow"/>
              <w:rPr>
                <w:color w:val="000000" w:themeColor="text1"/>
              </w:rPr>
            </w:pPr>
          </w:p>
        </w:tc>
        <w:tc>
          <w:tcPr>
            <w:tcW w:w="4818" w:type="dxa"/>
          </w:tcPr>
          <w:p w14:paraId="47483B48" w14:textId="77777777" w:rsidR="00826C07" w:rsidRPr="00286216" w:rsidRDefault="00826C07" w:rsidP="00826C07">
            <w:pPr>
              <w:pStyle w:val="StyleZakonu"/>
              <w:rPr>
                <w:color w:val="000000" w:themeColor="text1"/>
              </w:rPr>
            </w:pPr>
          </w:p>
        </w:tc>
      </w:tr>
      <w:tr w:rsidR="00826C07" w:rsidRPr="00286216" w14:paraId="5551FCE8" w14:textId="77777777" w:rsidTr="00091AA5">
        <w:tc>
          <w:tcPr>
            <w:tcW w:w="576" w:type="dxa"/>
          </w:tcPr>
          <w:p w14:paraId="43A2A4EE" w14:textId="77777777" w:rsidR="00826C07" w:rsidRPr="00286216" w:rsidRDefault="00826C07" w:rsidP="00826C07">
            <w:pPr>
              <w:pStyle w:val="StyleWisnow"/>
              <w:rPr>
                <w:color w:val="000000" w:themeColor="text1"/>
              </w:rPr>
            </w:pPr>
            <w:bookmarkStart w:id="1604" w:name="n1855" w:colFirst="0" w:colLast="0"/>
            <w:bookmarkEnd w:id="1603"/>
            <w:r w:rsidRPr="00286216">
              <w:rPr>
                <w:color w:val="000000" w:themeColor="text1"/>
              </w:rPr>
              <w:t>1855.</w:t>
            </w:r>
          </w:p>
        </w:tc>
        <w:tc>
          <w:tcPr>
            <w:tcW w:w="4818" w:type="dxa"/>
          </w:tcPr>
          <w:p w14:paraId="519E29D5" w14:textId="77777777" w:rsidR="00826C07" w:rsidRPr="00286216" w:rsidRDefault="00826C07" w:rsidP="00E71C29">
            <w:pPr>
              <w:pStyle w:val="StyleZakonu"/>
              <w:spacing w:line="218" w:lineRule="exact"/>
              <w:rPr>
                <w:color w:val="000000" w:themeColor="text1"/>
              </w:rPr>
            </w:pPr>
            <w:r w:rsidRPr="00286216">
              <w:rPr>
                <w:color w:val="000000" w:themeColor="text1"/>
              </w:rPr>
              <w:t>1) здійснює обмін документами та інформацією між емітентом, особами, які надають забезпечення за облігаціями, та власниками облігацій;</w:t>
            </w:r>
          </w:p>
        </w:tc>
        <w:tc>
          <w:tcPr>
            <w:tcW w:w="3686" w:type="dxa"/>
          </w:tcPr>
          <w:p w14:paraId="3BB7B562" w14:textId="77777777" w:rsidR="00826C07" w:rsidRPr="00286216" w:rsidRDefault="00826C07" w:rsidP="00826C07">
            <w:pPr>
              <w:pStyle w:val="StyleProp"/>
              <w:rPr>
                <w:color w:val="000000" w:themeColor="text1"/>
                <w:szCs w:val="18"/>
              </w:rPr>
            </w:pPr>
          </w:p>
        </w:tc>
        <w:tc>
          <w:tcPr>
            <w:tcW w:w="1987" w:type="dxa"/>
          </w:tcPr>
          <w:p w14:paraId="11B644C0" w14:textId="77777777" w:rsidR="00826C07" w:rsidRPr="00286216" w:rsidRDefault="00826C07" w:rsidP="00826C07">
            <w:pPr>
              <w:pStyle w:val="StyleWisnow"/>
              <w:rPr>
                <w:color w:val="000000" w:themeColor="text1"/>
              </w:rPr>
            </w:pPr>
          </w:p>
        </w:tc>
        <w:tc>
          <w:tcPr>
            <w:tcW w:w="4818" w:type="dxa"/>
          </w:tcPr>
          <w:p w14:paraId="18782C8E" w14:textId="77777777" w:rsidR="00826C07" w:rsidRPr="00286216" w:rsidRDefault="00826C07" w:rsidP="00826C07">
            <w:pPr>
              <w:pStyle w:val="StyleZakonu"/>
              <w:rPr>
                <w:color w:val="000000" w:themeColor="text1"/>
              </w:rPr>
            </w:pPr>
          </w:p>
        </w:tc>
      </w:tr>
      <w:tr w:rsidR="00826C07" w:rsidRPr="00286216" w14:paraId="353694BA" w14:textId="77777777" w:rsidTr="00091AA5">
        <w:tc>
          <w:tcPr>
            <w:tcW w:w="576" w:type="dxa"/>
          </w:tcPr>
          <w:p w14:paraId="45602866" w14:textId="77777777" w:rsidR="00826C07" w:rsidRPr="00286216" w:rsidRDefault="00826C07" w:rsidP="00826C07">
            <w:pPr>
              <w:pStyle w:val="StyleWisnow"/>
              <w:rPr>
                <w:color w:val="000000" w:themeColor="text1"/>
              </w:rPr>
            </w:pPr>
            <w:bookmarkStart w:id="1605" w:name="n1856" w:colFirst="0" w:colLast="0"/>
            <w:bookmarkEnd w:id="1604"/>
            <w:r w:rsidRPr="00286216">
              <w:rPr>
                <w:color w:val="000000" w:themeColor="text1"/>
              </w:rPr>
              <w:t>1856.</w:t>
            </w:r>
          </w:p>
        </w:tc>
        <w:tc>
          <w:tcPr>
            <w:tcW w:w="4818" w:type="dxa"/>
          </w:tcPr>
          <w:p w14:paraId="14FA9BE9" w14:textId="77777777" w:rsidR="00826C07" w:rsidRPr="00286216" w:rsidRDefault="00826C07" w:rsidP="00E71C29">
            <w:pPr>
              <w:pStyle w:val="StyleZakonu"/>
              <w:spacing w:line="218" w:lineRule="exact"/>
              <w:rPr>
                <w:color w:val="000000" w:themeColor="text1"/>
              </w:rPr>
            </w:pPr>
            <w:r w:rsidRPr="00286216">
              <w:rPr>
                <w:color w:val="000000" w:themeColor="text1"/>
              </w:rPr>
              <w:t>2) на вимогу осіб, які вправі вимагати проведення зборів власників облігацій, проводить збори в порядку, встановленому законодавством (зокрема, визначає наявність кворуму, підбиває підсумки голосування на зборах, вчиняє інші дії, необхідні для забезпечення можливості прийняття рішень зборами);</w:t>
            </w:r>
          </w:p>
        </w:tc>
        <w:tc>
          <w:tcPr>
            <w:tcW w:w="3686" w:type="dxa"/>
          </w:tcPr>
          <w:p w14:paraId="6D3BFEBA" w14:textId="77777777" w:rsidR="00826C07" w:rsidRPr="00286216" w:rsidRDefault="00826C07" w:rsidP="00826C07">
            <w:pPr>
              <w:pStyle w:val="StyleProp"/>
              <w:rPr>
                <w:color w:val="000000" w:themeColor="text1"/>
                <w:szCs w:val="18"/>
              </w:rPr>
            </w:pPr>
          </w:p>
        </w:tc>
        <w:tc>
          <w:tcPr>
            <w:tcW w:w="1987" w:type="dxa"/>
          </w:tcPr>
          <w:p w14:paraId="31A8118B" w14:textId="77777777" w:rsidR="00826C07" w:rsidRPr="00286216" w:rsidRDefault="00826C07" w:rsidP="00826C07">
            <w:pPr>
              <w:pStyle w:val="StyleWisnow"/>
              <w:rPr>
                <w:color w:val="000000" w:themeColor="text1"/>
              </w:rPr>
            </w:pPr>
          </w:p>
        </w:tc>
        <w:tc>
          <w:tcPr>
            <w:tcW w:w="4818" w:type="dxa"/>
          </w:tcPr>
          <w:p w14:paraId="17B5D199" w14:textId="77777777" w:rsidR="00826C07" w:rsidRPr="00286216" w:rsidRDefault="00826C07" w:rsidP="00826C07">
            <w:pPr>
              <w:pStyle w:val="StyleZakonu"/>
              <w:rPr>
                <w:color w:val="000000" w:themeColor="text1"/>
              </w:rPr>
            </w:pPr>
          </w:p>
        </w:tc>
      </w:tr>
      <w:tr w:rsidR="00826C07" w:rsidRPr="00286216" w14:paraId="410A3DA0" w14:textId="77777777" w:rsidTr="00091AA5">
        <w:tc>
          <w:tcPr>
            <w:tcW w:w="576" w:type="dxa"/>
          </w:tcPr>
          <w:p w14:paraId="09F47B9D" w14:textId="77777777" w:rsidR="00826C07" w:rsidRPr="00286216" w:rsidRDefault="00826C07" w:rsidP="00826C07">
            <w:pPr>
              <w:pStyle w:val="StyleWisnow"/>
              <w:rPr>
                <w:color w:val="000000" w:themeColor="text1"/>
              </w:rPr>
            </w:pPr>
            <w:bookmarkStart w:id="1606" w:name="n1857" w:colFirst="0" w:colLast="0"/>
            <w:bookmarkEnd w:id="1605"/>
            <w:r w:rsidRPr="00286216">
              <w:rPr>
                <w:color w:val="000000" w:themeColor="text1"/>
              </w:rPr>
              <w:t>1857.</w:t>
            </w:r>
          </w:p>
        </w:tc>
        <w:tc>
          <w:tcPr>
            <w:tcW w:w="4818" w:type="dxa"/>
          </w:tcPr>
          <w:p w14:paraId="0336F9ED" w14:textId="77777777" w:rsidR="00826C07" w:rsidRPr="00286216" w:rsidRDefault="00826C07" w:rsidP="00E71C29">
            <w:pPr>
              <w:pStyle w:val="StyleZakonu"/>
              <w:spacing w:line="218" w:lineRule="exact"/>
              <w:rPr>
                <w:color w:val="000000" w:themeColor="text1"/>
              </w:rPr>
            </w:pPr>
            <w:r w:rsidRPr="00286216">
              <w:rPr>
                <w:color w:val="000000" w:themeColor="text1"/>
              </w:rPr>
              <w:t>3) надає роз’яснення з питань, що виникають у зв’язку з реалізацією права голосу на зборах, роз’яснення щодо порядку голосування з питань порядку денного зборів;</w:t>
            </w:r>
          </w:p>
        </w:tc>
        <w:tc>
          <w:tcPr>
            <w:tcW w:w="3686" w:type="dxa"/>
          </w:tcPr>
          <w:p w14:paraId="6F1E9BF0" w14:textId="77777777" w:rsidR="00826C07" w:rsidRPr="00286216" w:rsidRDefault="00826C07" w:rsidP="00826C07">
            <w:pPr>
              <w:pStyle w:val="StyleProp"/>
              <w:rPr>
                <w:color w:val="000000" w:themeColor="text1"/>
                <w:szCs w:val="18"/>
              </w:rPr>
            </w:pPr>
          </w:p>
        </w:tc>
        <w:tc>
          <w:tcPr>
            <w:tcW w:w="1987" w:type="dxa"/>
          </w:tcPr>
          <w:p w14:paraId="045131CA" w14:textId="77777777" w:rsidR="00826C07" w:rsidRPr="00286216" w:rsidRDefault="00826C07" w:rsidP="00826C07">
            <w:pPr>
              <w:pStyle w:val="StyleWisnow"/>
              <w:rPr>
                <w:color w:val="000000" w:themeColor="text1"/>
              </w:rPr>
            </w:pPr>
          </w:p>
        </w:tc>
        <w:tc>
          <w:tcPr>
            <w:tcW w:w="4818" w:type="dxa"/>
          </w:tcPr>
          <w:p w14:paraId="39EFD6A5" w14:textId="77777777" w:rsidR="00826C07" w:rsidRPr="00286216" w:rsidRDefault="00826C07" w:rsidP="00826C07">
            <w:pPr>
              <w:pStyle w:val="StyleZakonu"/>
              <w:rPr>
                <w:color w:val="000000" w:themeColor="text1"/>
              </w:rPr>
            </w:pPr>
          </w:p>
        </w:tc>
      </w:tr>
      <w:tr w:rsidR="00826C07" w:rsidRPr="00286216" w14:paraId="70675AF7" w14:textId="77777777" w:rsidTr="00091AA5">
        <w:tc>
          <w:tcPr>
            <w:tcW w:w="576" w:type="dxa"/>
          </w:tcPr>
          <w:p w14:paraId="40EAFA1E" w14:textId="77777777" w:rsidR="00826C07" w:rsidRPr="00286216" w:rsidRDefault="00826C07" w:rsidP="00826C07">
            <w:pPr>
              <w:pStyle w:val="StyleWisnow"/>
              <w:rPr>
                <w:color w:val="000000" w:themeColor="text1"/>
              </w:rPr>
            </w:pPr>
            <w:bookmarkStart w:id="1607" w:name="n1858" w:colFirst="0" w:colLast="0"/>
            <w:bookmarkEnd w:id="1606"/>
            <w:r w:rsidRPr="00286216">
              <w:rPr>
                <w:color w:val="000000" w:themeColor="text1"/>
              </w:rPr>
              <w:t>1858.</w:t>
            </w:r>
          </w:p>
        </w:tc>
        <w:tc>
          <w:tcPr>
            <w:tcW w:w="4818" w:type="dxa"/>
          </w:tcPr>
          <w:p w14:paraId="118A2652" w14:textId="77777777" w:rsidR="00826C07" w:rsidRPr="00286216" w:rsidRDefault="00826C07" w:rsidP="00E71C29">
            <w:pPr>
              <w:pStyle w:val="StyleZakonu"/>
              <w:spacing w:line="218" w:lineRule="exact"/>
              <w:rPr>
                <w:color w:val="000000" w:themeColor="text1"/>
              </w:rPr>
            </w:pPr>
            <w:r w:rsidRPr="00286216">
              <w:rPr>
                <w:color w:val="000000" w:themeColor="text1"/>
              </w:rPr>
              <w:t>4) дає розпорядження Центральному депозитарію цінних паперів або Національному банку України у зв’язку із проведенням зборів власників облігацій відповідно до закону та договору з Центральним депозитарієм цінних паперів або Національним банком України;</w:t>
            </w:r>
          </w:p>
        </w:tc>
        <w:tc>
          <w:tcPr>
            <w:tcW w:w="3686" w:type="dxa"/>
          </w:tcPr>
          <w:p w14:paraId="7BECCDF5" w14:textId="77777777" w:rsidR="00826C07" w:rsidRPr="00286216" w:rsidRDefault="00826C07" w:rsidP="00826C07">
            <w:pPr>
              <w:pStyle w:val="StyleProp"/>
              <w:rPr>
                <w:color w:val="000000" w:themeColor="text1"/>
                <w:szCs w:val="18"/>
              </w:rPr>
            </w:pPr>
          </w:p>
        </w:tc>
        <w:tc>
          <w:tcPr>
            <w:tcW w:w="1987" w:type="dxa"/>
          </w:tcPr>
          <w:p w14:paraId="46A63CB8" w14:textId="77777777" w:rsidR="00826C07" w:rsidRPr="00286216" w:rsidRDefault="00826C07" w:rsidP="00826C07">
            <w:pPr>
              <w:pStyle w:val="StyleWisnow"/>
              <w:rPr>
                <w:color w:val="000000" w:themeColor="text1"/>
              </w:rPr>
            </w:pPr>
          </w:p>
        </w:tc>
        <w:tc>
          <w:tcPr>
            <w:tcW w:w="4818" w:type="dxa"/>
          </w:tcPr>
          <w:p w14:paraId="72743D7A" w14:textId="77777777" w:rsidR="00826C07" w:rsidRPr="00286216" w:rsidRDefault="00826C07" w:rsidP="00826C07">
            <w:pPr>
              <w:pStyle w:val="StyleZakonu"/>
              <w:rPr>
                <w:color w:val="000000" w:themeColor="text1"/>
              </w:rPr>
            </w:pPr>
          </w:p>
        </w:tc>
      </w:tr>
      <w:tr w:rsidR="00826C07" w:rsidRPr="00286216" w14:paraId="54CF6D05" w14:textId="77777777" w:rsidTr="00091AA5">
        <w:tc>
          <w:tcPr>
            <w:tcW w:w="576" w:type="dxa"/>
          </w:tcPr>
          <w:p w14:paraId="4819BA6E" w14:textId="77777777" w:rsidR="00826C07" w:rsidRPr="00286216" w:rsidRDefault="00826C07" w:rsidP="00826C07">
            <w:pPr>
              <w:pStyle w:val="StyleWisnow"/>
              <w:rPr>
                <w:color w:val="000000" w:themeColor="text1"/>
              </w:rPr>
            </w:pPr>
            <w:bookmarkStart w:id="1608" w:name="n1859" w:colFirst="0" w:colLast="0"/>
            <w:bookmarkEnd w:id="1607"/>
            <w:r w:rsidRPr="00286216">
              <w:rPr>
                <w:color w:val="000000" w:themeColor="text1"/>
              </w:rPr>
              <w:t>1859.</w:t>
            </w:r>
          </w:p>
        </w:tc>
        <w:tc>
          <w:tcPr>
            <w:tcW w:w="4818" w:type="dxa"/>
          </w:tcPr>
          <w:p w14:paraId="1E11DBD0" w14:textId="77777777" w:rsidR="00826C07" w:rsidRPr="00286216" w:rsidRDefault="00826C07" w:rsidP="00E71C29">
            <w:pPr>
              <w:pStyle w:val="StyleZakonu"/>
              <w:spacing w:line="218" w:lineRule="exact"/>
              <w:rPr>
                <w:color w:val="000000" w:themeColor="text1"/>
              </w:rPr>
            </w:pPr>
            <w:r w:rsidRPr="00286216">
              <w:rPr>
                <w:color w:val="000000" w:themeColor="text1"/>
              </w:rPr>
              <w:t>5) забезпечує можливість проведення засідань власників облігацій;</w:t>
            </w:r>
          </w:p>
        </w:tc>
        <w:tc>
          <w:tcPr>
            <w:tcW w:w="3686" w:type="dxa"/>
          </w:tcPr>
          <w:p w14:paraId="2E2A89D7" w14:textId="77777777" w:rsidR="00826C07" w:rsidRPr="00286216" w:rsidRDefault="00826C07" w:rsidP="00826C07">
            <w:pPr>
              <w:pStyle w:val="StyleProp"/>
              <w:rPr>
                <w:color w:val="000000" w:themeColor="text1"/>
                <w:szCs w:val="18"/>
              </w:rPr>
            </w:pPr>
          </w:p>
        </w:tc>
        <w:tc>
          <w:tcPr>
            <w:tcW w:w="1987" w:type="dxa"/>
          </w:tcPr>
          <w:p w14:paraId="30F6B753" w14:textId="77777777" w:rsidR="00826C07" w:rsidRPr="00286216" w:rsidRDefault="00826C07" w:rsidP="00826C07">
            <w:pPr>
              <w:pStyle w:val="StyleWisnow"/>
              <w:rPr>
                <w:color w:val="000000" w:themeColor="text1"/>
              </w:rPr>
            </w:pPr>
          </w:p>
        </w:tc>
        <w:tc>
          <w:tcPr>
            <w:tcW w:w="4818" w:type="dxa"/>
          </w:tcPr>
          <w:p w14:paraId="03E3CA2A" w14:textId="77777777" w:rsidR="00826C07" w:rsidRPr="00286216" w:rsidRDefault="00826C07" w:rsidP="00826C07">
            <w:pPr>
              <w:pStyle w:val="StyleZakonu"/>
              <w:rPr>
                <w:color w:val="000000" w:themeColor="text1"/>
              </w:rPr>
            </w:pPr>
          </w:p>
        </w:tc>
      </w:tr>
      <w:tr w:rsidR="00826C07" w:rsidRPr="00286216" w14:paraId="5DA353EF" w14:textId="77777777" w:rsidTr="00091AA5">
        <w:tc>
          <w:tcPr>
            <w:tcW w:w="576" w:type="dxa"/>
          </w:tcPr>
          <w:p w14:paraId="349648C3" w14:textId="77777777" w:rsidR="00826C07" w:rsidRPr="00286216" w:rsidRDefault="00826C07" w:rsidP="00826C07">
            <w:pPr>
              <w:pStyle w:val="StyleWisnow"/>
              <w:rPr>
                <w:color w:val="000000" w:themeColor="text1"/>
              </w:rPr>
            </w:pPr>
            <w:bookmarkStart w:id="1609" w:name="n1860" w:colFirst="0" w:colLast="0"/>
            <w:bookmarkEnd w:id="1608"/>
            <w:r w:rsidRPr="00286216">
              <w:rPr>
                <w:color w:val="000000" w:themeColor="text1"/>
              </w:rPr>
              <w:t>1860.</w:t>
            </w:r>
          </w:p>
        </w:tc>
        <w:tc>
          <w:tcPr>
            <w:tcW w:w="4818" w:type="dxa"/>
          </w:tcPr>
          <w:p w14:paraId="0472228E" w14:textId="77777777" w:rsidR="00826C07" w:rsidRPr="00286216" w:rsidRDefault="00826C07" w:rsidP="00E71C29">
            <w:pPr>
              <w:pStyle w:val="StyleZakonu"/>
              <w:spacing w:line="218" w:lineRule="exact"/>
              <w:rPr>
                <w:color w:val="000000" w:themeColor="text1"/>
              </w:rPr>
            </w:pPr>
            <w:r w:rsidRPr="00286216">
              <w:rPr>
                <w:color w:val="000000" w:themeColor="text1"/>
              </w:rPr>
              <w:t xml:space="preserve">6) на вимогу власника облігацій забезпечує йому у </w:t>
            </w:r>
            <w:r w:rsidRPr="00286216">
              <w:rPr>
                <w:color w:val="000000" w:themeColor="text1"/>
              </w:rPr>
              <w:lastRenderedPageBreak/>
              <w:t>розумний строк та спосіб доступ до копій документів та інформації, пов’язаних зі зборами власників облігацій;</w:t>
            </w:r>
          </w:p>
        </w:tc>
        <w:tc>
          <w:tcPr>
            <w:tcW w:w="3686" w:type="dxa"/>
          </w:tcPr>
          <w:p w14:paraId="29A46087" w14:textId="77777777" w:rsidR="00826C07" w:rsidRPr="00286216" w:rsidRDefault="00826C07" w:rsidP="00826C07">
            <w:pPr>
              <w:pStyle w:val="StyleProp"/>
              <w:rPr>
                <w:color w:val="000000" w:themeColor="text1"/>
                <w:szCs w:val="18"/>
              </w:rPr>
            </w:pPr>
          </w:p>
        </w:tc>
        <w:tc>
          <w:tcPr>
            <w:tcW w:w="1987" w:type="dxa"/>
          </w:tcPr>
          <w:p w14:paraId="2217E4B3" w14:textId="77777777" w:rsidR="00826C07" w:rsidRPr="00286216" w:rsidRDefault="00826C07" w:rsidP="00826C07">
            <w:pPr>
              <w:pStyle w:val="StyleWisnow"/>
              <w:rPr>
                <w:color w:val="000000" w:themeColor="text1"/>
              </w:rPr>
            </w:pPr>
          </w:p>
        </w:tc>
        <w:tc>
          <w:tcPr>
            <w:tcW w:w="4818" w:type="dxa"/>
          </w:tcPr>
          <w:p w14:paraId="09AD6FB6" w14:textId="77777777" w:rsidR="00826C07" w:rsidRPr="00286216" w:rsidRDefault="00826C07" w:rsidP="00826C07">
            <w:pPr>
              <w:pStyle w:val="StyleZakonu"/>
              <w:rPr>
                <w:color w:val="000000" w:themeColor="text1"/>
              </w:rPr>
            </w:pPr>
          </w:p>
        </w:tc>
      </w:tr>
      <w:tr w:rsidR="00826C07" w:rsidRPr="00286216" w14:paraId="07EA923B" w14:textId="77777777" w:rsidTr="00091AA5">
        <w:tc>
          <w:tcPr>
            <w:tcW w:w="576" w:type="dxa"/>
          </w:tcPr>
          <w:p w14:paraId="5DD7E837" w14:textId="77777777" w:rsidR="00826C07" w:rsidRPr="00286216" w:rsidRDefault="00826C07" w:rsidP="00826C07">
            <w:pPr>
              <w:pStyle w:val="StyleWisnow"/>
              <w:rPr>
                <w:color w:val="000000" w:themeColor="text1"/>
              </w:rPr>
            </w:pPr>
            <w:bookmarkStart w:id="1610" w:name="n1861" w:colFirst="0" w:colLast="0"/>
            <w:bookmarkEnd w:id="1609"/>
            <w:r w:rsidRPr="00286216">
              <w:rPr>
                <w:color w:val="000000" w:themeColor="text1"/>
              </w:rPr>
              <w:t>1861.</w:t>
            </w:r>
          </w:p>
        </w:tc>
        <w:tc>
          <w:tcPr>
            <w:tcW w:w="4818" w:type="dxa"/>
          </w:tcPr>
          <w:p w14:paraId="3EF47181" w14:textId="77777777" w:rsidR="00826C07" w:rsidRPr="00286216" w:rsidRDefault="00826C07" w:rsidP="00E71C29">
            <w:pPr>
              <w:pStyle w:val="StyleZakonu"/>
              <w:spacing w:line="218" w:lineRule="exact"/>
              <w:rPr>
                <w:color w:val="000000" w:themeColor="text1"/>
              </w:rPr>
            </w:pPr>
            <w:r w:rsidRPr="00286216">
              <w:rPr>
                <w:color w:val="000000" w:themeColor="text1"/>
              </w:rPr>
              <w:t>7) визначає факт завершення голосування на зборах власників облігацій та не пізніше наступного робочого дня повідомляє про завершення голосування Центральний депозитарій цінних паперів або Національний банк України.</w:t>
            </w:r>
          </w:p>
        </w:tc>
        <w:tc>
          <w:tcPr>
            <w:tcW w:w="3686" w:type="dxa"/>
          </w:tcPr>
          <w:p w14:paraId="42B32E71" w14:textId="77777777" w:rsidR="00826C07" w:rsidRPr="00286216" w:rsidRDefault="00826C07" w:rsidP="00826C07">
            <w:pPr>
              <w:pStyle w:val="StyleProp"/>
              <w:rPr>
                <w:color w:val="000000" w:themeColor="text1"/>
                <w:szCs w:val="18"/>
              </w:rPr>
            </w:pPr>
          </w:p>
        </w:tc>
        <w:tc>
          <w:tcPr>
            <w:tcW w:w="1987" w:type="dxa"/>
          </w:tcPr>
          <w:p w14:paraId="6F0970F3" w14:textId="77777777" w:rsidR="00826C07" w:rsidRPr="00286216" w:rsidRDefault="00826C07" w:rsidP="00826C07">
            <w:pPr>
              <w:pStyle w:val="StyleWisnow"/>
              <w:rPr>
                <w:color w:val="000000" w:themeColor="text1"/>
              </w:rPr>
            </w:pPr>
          </w:p>
        </w:tc>
        <w:tc>
          <w:tcPr>
            <w:tcW w:w="4818" w:type="dxa"/>
          </w:tcPr>
          <w:p w14:paraId="583F1A8E" w14:textId="77777777" w:rsidR="00826C07" w:rsidRPr="00286216" w:rsidRDefault="00826C07" w:rsidP="00826C07">
            <w:pPr>
              <w:pStyle w:val="StyleZakonu"/>
              <w:rPr>
                <w:color w:val="000000" w:themeColor="text1"/>
              </w:rPr>
            </w:pPr>
          </w:p>
        </w:tc>
      </w:tr>
      <w:tr w:rsidR="00826C07" w:rsidRPr="00286216" w14:paraId="4BD8FB6B" w14:textId="77777777" w:rsidTr="00091AA5">
        <w:tc>
          <w:tcPr>
            <w:tcW w:w="576" w:type="dxa"/>
          </w:tcPr>
          <w:p w14:paraId="4CF89057" w14:textId="77777777" w:rsidR="00826C07" w:rsidRPr="00286216" w:rsidRDefault="00826C07" w:rsidP="00826C07">
            <w:pPr>
              <w:pStyle w:val="StyleWisnow"/>
              <w:rPr>
                <w:color w:val="000000" w:themeColor="text1"/>
              </w:rPr>
            </w:pPr>
            <w:bookmarkStart w:id="1611" w:name="n1862" w:colFirst="0" w:colLast="0"/>
            <w:bookmarkEnd w:id="1610"/>
            <w:r w:rsidRPr="00286216">
              <w:rPr>
                <w:color w:val="000000" w:themeColor="text1"/>
              </w:rPr>
              <w:t>1862.</w:t>
            </w:r>
          </w:p>
        </w:tc>
        <w:tc>
          <w:tcPr>
            <w:tcW w:w="4818" w:type="dxa"/>
          </w:tcPr>
          <w:p w14:paraId="76C62834" w14:textId="77777777" w:rsidR="00826C07" w:rsidRPr="00286216" w:rsidRDefault="00826C07" w:rsidP="00E71C29">
            <w:pPr>
              <w:pStyle w:val="StyleZakonu"/>
              <w:spacing w:line="218" w:lineRule="exact"/>
              <w:rPr>
                <w:color w:val="000000" w:themeColor="text1"/>
              </w:rPr>
            </w:pPr>
            <w:r w:rsidRPr="00286216">
              <w:rPr>
                <w:color w:val="000000" w:themeColor="text1"/>
              </w:rPr>
              <w:t>3. Емітент, особи, які надають забезпечення за облігаціями, суб’єкт аудиторської діяльності, який надаває послуги аудиту фінансової звітності емітенту та таким особам, власники облігацій зобов’язані надавати особі, відповідальній за проведення зборів, на її запит інформацію, необхідну їй для виконання своїх обов’язків у зв’язку із проведенням зборів власників облігацій.</w:t>
            </w:r>
          </w:p>
        </w:tc>
        <w:tc>
          <w:tcPr>
            <w:tcW w:w="3686" w:type="dxa"/>
          </w:tcPr>
          <w:p w14:paraId="2B01417D" w14:textId="77777777" w:rsidR="00826C07" w:rsidRPr="00286216" w:rsidRDefault="00826C07" w:rsidP="00826C07">
            <w:pPr>
              <w:pStyle w:val="StyleProp"/>
              <w:rPr>
                <w:color w:val="000000" w:themeColor="text1"/>
                <w:szCs w:val="18"/>
              </w:rPr>
            </w:pPr>
          </w:p>
        </w:tc>
        <w:tc>
          <w:tcPr>
            <w:tcW w:w="1987" w:type="dxa"/>
          </w:tcPr>
          <w:p w14:paraId="6A3A0FC8" w14:textId="77777777" w:rsidR="00826C07" w:rsidRPr="00286216" w:rsidRDefault="00826C07" w:rsidP="00826C07">
            <w:pPr>
              <w:pStyle w:val="StyleWisnow"/>
              <w:rPr>
                <w:color w:val="000000" w:themeColor="text1"/>
              </w:rPr>
            </w:pPr>
          </w:p>
        </w:tc>
        <w:tc>
          <w:tcPr>
            <w:tcW w:w="4818" w:type="dxa"/>
          </w:tcPr>
          <w:p w14:paraId="507C4E69" w14:textId="77777777" w:rsidR="00826C07" w:rsidRPr="00286216" w:rsidRDefault="00826C07" w:rsidP="00826C07">
            <w:pPr>
              <w:pStyle w:val="StyleZakonu"/>
              <w:rPr>
                <w:color w:val="000000" w:themeColor="text1"/>
              </w:rPr>
            </w:pPr>
          </w:p>
        </w:tc>
      </w:tr>
      <w:tr w:rsidR="009D68B8" w:rsidRPr="00286216" w14:paraId="442B733D" w14:textId="77777777" w:rsidTr="00091AA5">
        <w:tc>
          <w:tcPr>
            <w:tcW w:w="576" w:type="dxa"/>
          </w:tcPr>
          <w:p w14:paraId="5E321993" w14:textId="77777777" w:rsidR="009D68B8" w:rsidRPr="00286216" w:rsidRDefault="009D68B8" w:rsidP="009D68B8">
            <w:pPr>
              <w:pStyle w:val="StyleWisnow"/>
              <w:rPr>
                <w:color w:val="000000" w:themeColor="text1"/>
              </w:rPr>
            </w:pPr>
            <w:bookmarkStart w:id="1612" w:name="n1863" w:colFirst="0" w:colLast="0"/>
            <w:bookmarkEnd w:id="1611"/>
            <w:r w:rsidRPr="00286216">
              <w:rPr>
                <w:color w:val="000000" w:themeColor="text1"/>
              </w:rPr>
              <w:t>1863.</w:t>
            </w:r>
          </w:p>
        </w:tc>
        <w:tc>
          <w:tcPr>
            <w:tcW w:w="4818" w:type="dxa"/>
          </w:tcPr>
          <w:p w14:paraId="430C1736" w14:textId="77777777" w:rsidR="009D68B8" w:rsidRPr="00286216" w:rsidRDefault="009D68B8" w:rsidP="009D68B8">
            <w:pPr>
              <w:pStyle w:val="StyleZakonu"/>
              <w:rPr>
                <w:color w:val="000000" w:themeColor="text1"/>
              </w:rPr>
            </w:pPr>
            <w:r w:rsidRPr="00286216">
              <w:rPr>
                <w:color w:val="000000" w:themeColor="text1"/>
              </w:rPr>
              <w:t>Стаття 109. Порушення обов’язків за облігаціями. Дефолт</w:t>
            </w:r>
          </w:p>
        </w:tc>
        <w:tc>
          <w:tcPr>
            <w:tcW w:w="3686" w:type="dxa"/>
          </w:tcPr>
          <w:p w14:paraId="50BFE5A6" w14:textId="35D4E2CF" w:rsidR="009D68B8" w:rsidRPr="00286216" w:rsidRDefault="009D68B8" w:rsidP="009D68B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977</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D4DA110" w14:textId="77777777" w:rsidR="009D68B8" w:rsidRPr="00286216" w:rsidRDefault="009D68B8" w:rsidP="00572342">
            <w:pPr>
              <w:pStyle w:val="StyleProp"/>
              <w:spacing w:line="180" w:lineRule="exact"/>
              <w:rPr>
                <w:color w:val="000000" w:themeColor="text1"/>
              </w:rPr>
            </w:pPr>
            <w:r w:rsidRPr="00286216">
              <w:rPr>
                <w:color w:val="000000" w:themeColor="text1"/>
              </w:rPr>
              <w:t>Назву та абзац перший статті 109 викласти у такій редакції:</w:t>
            </w:r>
          </w:p>
          <w:p w14:paraId="464CA972" w14:textId="21EBC1E1" w:rsidR="009D68B8" w:rsidRPr="00286216" w:rsidRDefault="009D68B8" w:rsidP="00572342">
            <w:pPr>
              <w:pStyle w:val="StyleProp"/>
              <w:spacing w:line="180" w:lineRule="exact"/>
              <w:rPr>
                <w:color w:val="000000" w:themeColor="text1"/>
              </w:rPr>
            </w:pPr>
            <w:r w:rsidRPr="00286216">
              <w:rPr>
                <w:color w:val="000000" w:themeColor="text1"/>
              </w:rPr>
              <w:t>"Стаття 109. Дефолт за облігаціями</w:t>
            </w:r>
          </w:p>
        </w:tc>
        <w:tc>
          <w:tcPr>
            <w:tcW w:w="1987" w:type="dxa"/>
          </w:tcPr>
          <w:p w14:paraId="060D5408"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485D73AC" w14:textId="681E7245" w:rsidR="009D68B8" w:rsidRPr="00286216" w:rsidRDefault="009D68B8" w:rsidP="009D68B8">
            <w:pPr>
              <w:pStyle w:val="StyleZakonu"/>
              <w:rPr>
                <w:color w:val="000000" w:themeColor="text1"/>
              </w:rPr>
            </w:pPr>
            <w:r w:rsidRPr="00286216">
              <w:rPr>
                <w:color w:val="000000" w:themeColor="text1"/>
              </w:rPr>
              <w:t>Стаття 113. Дефолт за облігаціями</w:t>
            </w:r>
          </w:p>
        </w:tc>
      </w:tr>
      <w:tr w:rsidR="009D68B8" w:rsidRPr="00286216" w14:paraId="5C05E7E9" w14:textId="77777777" w:rsidTr="00091AA5">
        <w:tc>
          <w:tcPr>
            <w:tcW w:w="576" w:type="dxa"/>
          </w:tcPr>
          <w:p w14:paraId="51F0B843" w14:textId="77777777" w:rsidR="009D68B8" w:rsidRPr="00286216" w:rsidRDefault="009D68B8" w:rsidP="009D68B8">
            <w:pPr>
              <w:pStyle w:val="StyleWisnow"/>
              <w:rPr>
                <w:color w:val="000000" w:themeColor="text1"/>
              </w:rPr>
            </w:pPr>
            <w:bookmarkStart w:id="1613" w:name="n1864" w:colFirst="0" w:colLast="0"/>
            <w:bookmarkEnd w:id="1612"/>
            <w:r w:rsidRPr="00286216">
              <w:rPr>
                <w:color w:val="000000" w:themeColor="text1"/>
              </w:rPr>
              <w:t>1864.</w:t>
            </w:r>
          </w:p>
        </w:tc>
        <w:tc>
          <w:tcPr>
            <w:tcW w:w="4818" w:type="dxa"/>
          </w:tcPr>
          <w:p w14:paraId="1AD9B8A9" w14:textId="77777777" w:rsidR="009D68B8" w:rsidRPr="00286216" w:rsidRDefault="009D68B8" w:rsidP="009D68B8">
            <w:pPr>
              <w:pStyle w:val="StyleZakonu"/>
              <w:rPr>
                <w:color w:val="000000" w:themeColor="text1"/>
              </w:rPr>
            </w:pPr>
            <w:r w:rsidRPr="00286216">
              <w:rPr>
                <w:color w:val="000000" w:themeColor="text1"/>
              </w:rPr>
              <w:t>1. Обставини, що становлять дефолт, вказуються у проспекті (рішенні про емісію цінних паперів). Порушення будь-якого обов’язку емітента або особи, яка надає забезпечення за облігаціями, вказаного у проспекті (рішенні про емісію цінних паперів) або встановленого законодавством, може бути вказане у проспекті (рішенні про емісію цінних паперів) в якості однієї із обставин, що становлять дефолт.</w:t>
            </w:r>
          </w:p>
        </w:tc>
        <w:tc>
          <w:tcPr>
            <w:tcW w:w="3686" w:type="dxa"/>
          </w:tcPr>
          <w:p w14:paraId="2D8DE876" w14:textId="77777777" w:rsidR="009D68B8" w:rsidRPr="00286216" w:rsidRDefault="009D68B8" w:rsidP="00572342">
            <w:pPr>
              <w:pStyle w:val="StyleProp"/>
              <w:spacing w:line="180" w:lineRule="exact"/>
              <w:rPr>
                <w:color w:val="000000" w:themeColor="text1"/>
              </w:rPr>
            </w:pPr>
            <w:r w:rsidRPr="00286216">
              <w:rPr>
                <w:color w:val="000000" w:themeColor="text1"/>
              </w:rPr>
              <w:t>1. Порушення будь-якого обов’язку емітента або особи, яка надає забезпечення за облігаціями, вказаного у проспекті (рішенні про емісію облігацій) або встановленого законодавством, може бути вказане у проспекті (рішенні про емісію облігацій) в якості однієї із обставин, що становлять дефолт за облігаціями (далі – дефолт). Обставини, що становлять дефолт, вказуються у проспекті (рішенні про емісію облігацій).</w:t>
            </w:r>
          </w:p>
        </w:tc>
        <w:tc>
          <w:tcPr>
            <w:tcW w:w="1987" w:type="dxa"/>
          </w:tcPr>
          <w:p w14:paraId="381BD221" w14:textId="77777777" w:rsidR="009D68B8" w:rsidRPr="00286216" w:rsidRDefault="009D68B8" w:rsidP="009D68B8">
            <w:pPr>
              <w:pStyle w:val="StyleWisnow"/>
              <w:rPr>
                <w:color w:val="000000" w:themeColor="text1"/>
              </w:rPr>
            </w:pPr>
          </w:p>
        </w:tc>
        <w:tc>
          <w:tcPr>
            <w:tcW w:w="4818" w:type="dxa"/>
          </w:tcPr>
          <w:p w14:paraId="1E591EF9" w14:textId="31709E09" w:rsidR="009D68B8" w:rsidRPr="00286216" w:rsidRDefault="009D68B8" w:rsidP="009D68B8">
            <w:pPr>
              <w:pStyle w:val="StyleZakonu"/>
              <w:rPr>
                <w:color w:val="000000" w:themeColor="text1"/>
              </w:rPr>
            </w:pPr>
            <w:r w:rsidRPr="00286216">
              <w:rPr>
                <w:color w:val="000000" w:themeColor="text1"/>
              </w:rPr>
              <w:t>1. Порушення будь-якого обов’язку емітента або особи, яка надає забезпечення за облігаціями, вказаного у проспекті (рішенні про емісію) облігацій або встановленого законодавством, може бути вказане у проспекті (рішенні про емісію) облігацій як одна з обставин, що становлять дефолт за облігаціями (далі – дефолт). Обставини, що становлять дефолт, вказуються у проспекті (рішенні про емісію) облігацій.</w:t>
            </w:r>
          </w:p>
        </w:tc>
      </w:tr>
      <w:tr w:rsidR="009D68B8" w:rsidRPr="00286216" w14:paraId="7873CC69" w14:textId="77777777" w:rsidTr="00091AA5">
        <w:tc>
          <w:tcPr>
            <w:tcW w:w="576" w:type="dxa"/>
          </w:tcPr>
          <w:p w14:paraId="699EAAFC" w14:textId="77777777" w:rsidR="009D68B8" w:rsidRPr="00286216" w:rsidRDefault="009D68B8" w:rsidP="009D68B8">
            <w:pPr>
              <w:pStyle w:val="StyleWisnow"/>
              <w:rPr>
                <w:color w:val="000000" w:themeColor="text1"/>
              </w:rPr>
            </w:pPr>
            <w:bookmarkStart w:id="1614" w:name="n1865" w:colFirst="0" w:colLast="0"/>
            <w:bookmarkEnd w:id="1613"/>
            <w:r w:rsidRPr="00286216">
              <w:rPr>
                <w:color w:val="000000" w:themeColor="text1"/>
              </w:rPr>
              <w:t>1865.</w:t>
            </w:r>
          </w:p>
        </w:tc>
        <w:tc>
          <w:tcPr>
            <w:tcW w:w="4818" w:type="dxa"/>
          </w:tcPr>
          <w:p w14:paraId="0712817B" w14:textId="77777777" w:rsidR="009D68B8" w:rsidRPr="00286216" w:rsidRDefault="009D68B8" w:rsidP="009D68B8">
            <w:pPr>
              <w:pStyle w:val="StyleZakonu"/>
              <w:rPr>
                <w:color w:val="000000" w:themeColor="text1"/>
              </w:rPr>
            </w:pPr>
            <w:r w:rsidRPr="00286216">
              <w:rPr>
                <w:color w:val="000000" w:themeColor="text1"/>
              </w:rPr>
              <w:t>Дефолт не є банкрутством у розумінні статті 1 Кодексу України з процедур банкрутства.</w:t>
            </w:r>
          </w:p>
        </w:tc>
        <w:tc>
          <w:tcPr>
            <w:tcW w:w="3686" w:type="dxa"/>
          </w:tcPr>
          <w:p w14:paraId="6BFE0FCB" w14:textId="77777777" w:rsidR="009D68B8" w:rsidRPr="00286216" w:rsidRDefault="009D68B8" w:rsidP="009D68B8">
            <w:pPr>
              <w:pStyle w:val="StyleProp"/>
              <w:rPr>
                <w:color w:val="000000" w:themeColor="text1"/>
                <w:szCs w:val="18"/>
              </w:rPr>
            </w:pPr>
          </w:p>
        </w:tc>
        <w:tc>
          <w:tcPr>
            <w:tcW w:w="1987" w:type="dxa"/>
          </w:tcPr>
          <w:p w14:paraId="0CB0BCDC" w14:textId="77777777" w:rsidR="009D68B8" w:rsidRPr="00286216" w:rsidRDefault="009D68B8" w:rsidP="009D68B8">
            <w:pPr>
              <w:pStyle w:val="StyleWisnow"/>
              <w:rPr>
                <w:color w:val="000000" w:themeColor="text1"/>
              </w:rPr>
            </w:pPr>
          </w:p>
        </w:tc>
        <w:tc>
          <w:tcPr>
            <w:tcW w:w="4818" w:type="dxa"/>
          </w:tcPr>
          <w:p w14:paraId="7349FCCA" w14:textId="61E0A439" w:rsidR="009D68B8" w:rsidRPr="00286216" w:rsidRDefault="009D68B8" w:rsidP="009D68B8">
            <w:pPr>
              <w:pStyle w:val="StyleZakonu"/>
              <w:rPr>
                <w:color w:val="000000" w:themeColor="text1"/>
              </w:rPr>
            </w:pPr>
            <w:r w:rsidRPr="00286216">
              <w:rPr>
                <w:color w:val="000000" w:themeColor="text1"/>
              </w:rPr>
              <w:t>Дефолт не є банкрутством у розумінні статті 1 Кодексу України з процедур банкрутства.</w:t>
            </w:r>
          </w:p>
        </w:tc>
      </w:tr>
      <w:tr w:rsidR="009D68B8" w:rsidRPr="00286216" w14:paraId="3BBFA612" w14:textId="77777777" w:rsidTr="00091AA5">
        <w:tc>
          <w:tcPr>
            <w:tcW w:w="576" w:type="dxa"/>
          </w:tcPr>
          <w:p w14:paraId="0D75E23E" w14:textId="77777777" w:rsidR="009D68B8" w:rsidRPr="00286216" w:rsidRDefault="009D68B8" w:rsidP="009D68B8">
            <w:pPr>
              <w:pStyle w:val="StyleWisnow"/>
              <w:rPr>
                <w:color w:val="000000" w:themeColor="text1"/>
              </w:rPr>
            </w:pPr>
            <w:bookmarkStart w:id="1615" w:name="n1866" w:colFirst="0" w:colLast="0"/>
            <w:bookmarkEnd w:id="1614"/>
            <w:r w:rsidRPr="00286216">
              <w:rPr>
                <w:color w:val="000000" w:themeColor="text1"/>
              </w:rPr>
              <w:t>1866.</w:t>
            </w:r>
          </w:p>
        </w:tc>
        <w:tc>
          <w:tcPr>
            <w:tcW w:w="4818" w:type="dxa"/>
          </w:tcPr>
          <w:p w14:paraId="7E750F01" w14:textId="77777777" w:rsidR="009D68B8" w:rsidRPr="00286216" w:rsidRDefault="009D68B8" w:rsidP="009D68B8">
            <w:pPr>
              <w:pStyle w:val="StyleZakonu"/>
              <w:rPr>
                <w:color w:val="000000" w:themeColor="text1"/>
              </w:rPr>
            </w:pPr>
            <w:r w:rsidRPr="00286216">
              <w:rPr>
                <w:color w:val="000000" w:themeColor="text1"/>
              </w:rPr>
              <w:t>2. Якщо у проспекті (рішенні про емісію цінних паперів) облігацій відсутня вказівка на обставини, що становлять дефолт, ним визнається настання будь-якої з таких обставин:</w:t>
            </w:r>
          </w:p>
        </w:tc>
        <w:tc>
          <w:tcPr>
            <w:tcW w:w="3686" w:type="dxa"/>
          </w:tcPr>
          <w:p w14:paraId="6BCD9930" w14:textId="77777777" w:rsidR="009D68B8" w:rsidRPr="00286216" w:rsidRDefault="009D68B8" w:rsidP="009D68B8">
            <w:pPr>
              <w:pStyle w:val="StyleProp"/>
              <w:rPr>
                <w:color w:val="000000" w:themeColor="text1"/>
                <w:szCs w:val="18"/>
              </w:rPr>
            </w:pPr>
          </w:p>
        </w:tc>
        <w:tc>
          <w:tcPr>
            <w:tcW w:w="1987" w:type="dxa"/>
          </w:tcPr>
          <w:p w14:paraId="497AC225" w14:textId="77777777" w:rsidR="009D68B8" w:rsidRPr="00286216" w:rsidRDefault="009D68B8" w:rsidP="009D68B8">
            <w:pPr>
              <w:pStyle w:val="StyleWisnow"/>
              <w:rPr>
                <w:color w:val="000000" w:themeColor="text1"/>
              </w:rPr>
            </w:pPr>
          </w:p>
        </w:tc>
        <w:tc>
          <w:tcPr>
            <w:tcW w:w="4818" w:type="dxa"/>
          </w:tcPr>
          <w:p w14:paraId="0576DB17" w14:textId="2FBD874E" w:rsidR="009D68B8" w:rsidRPr="00286216" w:rsidRDefault="009D68B8" w:rsidP="009D68B8">
            <w:pPr>
              <w:pStyle w:val="StyleZakonu"/>
              <w:rPr>
                <w:color w:val="000000" w:themeColor="text1"/>
              </w:rPr>
            </w:pPr>
            <w:r w:rsidRPr="00286216">
              <w:rPr>
                <w:color w:val="000000" w:themeColor="text1"/>
              </w:rPr>
              <w:t>2. Якщо у проспекті (рішенні про емісію цінних паперів) облігацій відсутня вказівка на обставини, що становлять дефолт, ним визнається настання будь-якої з таких обставин:</w:t>
            </w:r>
          </w:p>
        </w:tc>
      </w:tr>
      <w:tr w:rsidR="009D68B8" w:rsidRPr="00286216" w14:paraId="2A704CA9" w14:textId="77777777" w:rsidTr="00091AA5">
        <w:tc>
          <w:tcPr>
            <w:tcW w:w="576" w:type="dxa"/>
          </w:tcPr>
          <w:p w14:paraId="4252DA87" w14:textId="77777777" w:rsidR="009D68B8" w:rsidRPr="00286216" w:rsidRDefault="009D68B8" w:rsidP="009D68B8">
            <w:pPr>
              <w:pStyle w:val="StyleWisnow"/>
              <w:rPr>
                <w:color w:val="000000" w:themeColor="text1"/>
              </w:rPr>
            </w:pPr>
            <w:bookmarkStart w:id="1616" w:name="n1867" w:colFirst="0" w:colLast="0"/>
            <w:bookmarkEnd w:id="1615"/>
            <w:r w:rsidRPr="00286216">
              <w:rPr>
                <w:color w:val="000000" w:themeColor="text1"/>
              </w:rPr>
              <w:t>1867.</w:t>
            </w:r>
          </w:p>
        </w:tc>
        <w:tc>
          <w:tcPr>
            <w:tcW w:w="4818" w:type="dxa"/>
          </w:tcPr>
          <w:p w14:paraId="7F964CA6" w14:textId="77777777" w:rsidR="009D68B8" w:rsidRPr="00286216" w:rsidRDefault="009D68B8" w:rsidP="009D68B8">
            <w:pPr>
              <w:pStyle w:val="StyleZakonu"/>
              <w:rPr>
                <w:color w:val="000000" w:themeColor="text1"/>
              </w:rPr>
            </w:pPr>
            <w:r w:rsidRPr="00286216">
              <w:rPr>
                <w:color w:val="000000" w:themeColor="text1"/>
              </w:rPr>
              <w:t>1) прострочення виконання зобов’язання із виплати будь-якої суми, яка підлягає сплаті згідно з проспектом (рішенням про емісію цінних паперів), на більш ніж десять робочих днів після закінчення відповідного строку (настання відповідного терміну), вказаного у проспекті (рішенні про емісію цінних паперів);</w:t>
            </w:r>
          </w:p>
        </w:tc>
        <w:tc>
          <w:tcPr>
            <w:tcW w:w="3686" w:type="dxa"/>
          </w:tcPr>
          <w:p w14:paraId="440773D1" w14:textId="77777777" w:rsidR="009D68B8" w:rsidRPr="00286216" w:rsidRDefault="009D68B8" w:rsidP="009D68B8">
            <w:pPr>
              <w:pStyle w:val="StyleProp"/>
              <w:rPr>
                <w:color w:val="000000" w:themeColor="text1"/>
                <w:szCs w:val="18"/>
              </w:rPr>
            </w:pPr>
          </w:p>
        </w:tc>
        <w:tc>
          <w:tcPr>
            <w:tcW w:w="1987" w:type="dxa"/>
          </w:tcPr>
          <w:p w14:paraId="6CF2E7F9" w14:textId="77777777" w:rsidR="009D68B8" w:rsidRPr="00286216" w:rsidRDefault="009D68B8" w:rsidP="009D68B8">
            <w:pPr>
              <w:pStyle w:val="StyleWisnow"/>
              <w:rPr>
                <w:color w:val="000000" w:themeColor="text1"/>
              </w:rPr>
            </w:pPr>
          </w:p>
        </w:tc>
        <w:tc>
          <w:tcPr>
            <w:tcW w:w="4818" w:type="dxa"/>
          </w:tcPr>
          <w:p w14:paraId="3DBA2D80" w14:textId="374A5B2A" w:rsidR="009D68B8" w:rsidRPr="00286216" w:rsidRDefault="009D68B8" w:rsidP="009D68B8">
            <w:pPr>
              <w:pStyle w:val="StyleZakonu"/>
              <w:rPr>
                <w:color w:val="000000" w:themeColor="text1"/>
              </w:rPr>
            </w:pPr>
            <w:r w:rsidRPr="00286216">
              <w:rPr>
                <w:color w:val="000000" w:themeColor="text1"/>
              </w:rPr>
              <w:t>1) прострочення виконання зобов’язання з виплати будь-якої суми, що підлягає сплаті згідно з проспектом (рішенням про емісію), на більше ніж 10 робочих днів після закінчення відповідного строку (настання відповідного терміну), вказаного у проспекті (рішенні про емісію);</w:t>
            </w:r>
          </w:p>
        </w:tc>
      </w:tr>
      <w:tr w:rsidR="009D68B8" w:rsidRPr="00286216" w14:paraId="53B70F1C" w14:textId="77777777" w:rsidTr="00091AA5">
        <w:tc>
          <w:tcPr>
            <w:tcW w:w="576" w:type="dxa"/>
          </w:tcPr>
          <w:p w14:paraId="3139BBF9" w14:textId="77777777" w:rsidR="009D68B8" w:rsidRPr="00286216" w:rsidRDefault="009D68B8" w:rsidP="009D68B8">
            <w:pPr>
              <w:pStyle w:val="StyleWisnow"/>
              <w:rPr>
                <w:color w:val="000000" w:themeColor="text1"/>
              </w:rPr>
            </w:pPr>
            <w:bookmarkStart w:id="1617" w:name="n1868" w:colFirst="0" w:colLast="0"/>
            <w:bookmarkEnd w:id="1616"/>
            <w:r w:rsidRPr="00286216">
              <w:rPr>
                <w:color w:val="000000" w:themeColor="text1"/>
              </w:rPr>
              <w:t>1868.</w:t>
            </w:r>
          </w:p>
        </w:tc>
        <w:tc>
          <w:tcPr>
            <w:tcW w:w="4818" w:type="dxa"/>
          </w:tcPr>
          <w:p w14:paraId="0EED0B5D" w14:textId="77777777" w:rsidR="009D68B8" w:rsidRPr="00286216" w:rsidRDefault="009D68B8" w:rsidP="009D68B8">
            <w:pPr>
              <w:pStyle w:val="StyleZakonu"/>
              <w:rPr>
                <w:color w:val="000000" w:themeColor="text1"/>
              </w:rPr>
            </w:pPr>
            <w:r w:rsidRPr="00286216">
              <w:rPr>
                <w:color w:val="000000" w:themeColor="text1"/>
              </w:rPr>
              <w:t xml:space="preserve">2) відкриття щодо емітента або будь-якої особи, яка надає забезпечення за облігаціями, провадження у </w:t>
            </w:r>
            <w:r w:rsidRPr="00286216">
              <w:rPr>
                <w:color w:val="000000" w:themeColor="text1"/>
              </w:rPr>
              <w:lastRenderedPageBreak/>
              <w:t>справі про банкрутство (а щодо банків - також про запровадження тимчасової адміністрації чи початок процедури ліквідації);</w:t>
            </w:r>
          </w:p>
        </w:tc>
        <w:tc>
          <w:tcPr>
            <w:tcW w:w="3686" w:type="dxa"/>
          </w:tcPr>
          <w:p w14:paraId="36D9A256" w14:textId="77777777" w:rsidR="009D68B8" w:rsidRPr="00286216" w:rsidRDefault="009D68B8" w:rsidP="009D68B8">
            <w:pPr>
              <w:pStyle w:val="StyleProp"/>
              <w:rPr>
                <w:color w:val="000000" w:themeColor="text1"/>
                <w:szCs w:val="18"/>
              </w:rPr>
            </w:pPr>
          </w:p>
        </w:tc>
        <w:tc>
          <w:tcPr>
            <w:tcW w:w="1987" w:type="dxa"/>
          </w:tcPr>
          <w:p w14:paraId="563595E2" w14:textId="77777777" w:rsidR="009D68B8" w:rsidRPr="00286216" w:rsidRDefault="009D68B8" w:rsidP="009D68B8">
            <w:pPr>
              <w:pStyle w:val="StyleWisnow"/>
              <w:rPr>
                <w:color w:val="000000" w:themeColor="text1"/>
              </w:rPr>
            </w:pPr>
          </w:p>
        </w:tc>
        <w:tc>
          <w:tcPr>
            <w:tcW w:w="4818" w:type="dxa"/>
          </w:tcPr>
          <w:p w14:paraId="60C3D45E" w14:textId="7A10EBE6" w:rsidR="009D68B8" w:rsidRPr="00286216" w:rsidRDefault="009D68B8" w:rsidP="009D68B8">
            <w:pPr>
              <w:pStyle w:val="StyleZakonu"/>
              <w:rPr>
                <w:color w:val="000000" w:themeColor="text1"/>
              </w:rPr>
            </w:pPr>
            <w:r w:rsidRPr="00286216">
              <w:rPr>
                <w:color w:val="000000" w:themeColor="text1"/>
              </w:rPr>
              <w:t xml:space="preserve">2) відкриття стосовно емітента або будь-якої особи, яка надає забезпечення за облігаціями, </w:t>
            </w:r>
            <w:r w:rsidRPr="00286216">
              <w:rPr>
                <w:color w:val="000000" w:themeColor="text1"/>
              </w:rPr>
              <w:lastRenderedPageBreak/>
              <w:t>провадження у справі про банкрутство (а щодо банків - також про запровадження тимчасової адміністрації чи початок процедури ліквідації);</w:t>
            </w:r>
          </w:p>
        </w:tc>
      </w:tr>
      <w:tr w:rsidR="009D68B8" w:rsidRPr="00286216" w14:paraId="68B723DD" w14:textId="77777777" w:rsidTr="00091AA5">
        <w:tc>
          <w:tcPr>
            <w:tcW w:w="576" w:type="dxa"/>
          </w:tcPr>
          <w:p w14:paraId="30CB93C4" w14:textId="77777777" w:rsidR="009D68B8" w:rsidRPr="00286216" w:rsidRDefault="009D68B8" w:rsidP="009D68B8">
            <w:pPr>
              <w:pStyle w:val="StyleWisnow"/>
              <w:rPr>
                <w:color w:val="000000" w:themeColor="text1"/>
              </w:rPr>
            </w:pPr>
            <w:bookmarkStart w:id="1618" w:name="n1869" w:colFirst="0" w:colLast="0"/>
            <w:bookmarkEnd w:id="1617"/>
            <w:r w:rsidRPr="00286216">
              <w:rPr>
                <w:color w:val="000000" w:themeColor="text1"/>
              </w:rPr>
              <w:lastRenderedPageBreak/>
              <w:t>1869.</w:t>
            </w:r>
          </w:p>
        </w:tc>
        <w:tc>
          <w:tcPr>
            <w:tcW w:w="4818" w:type="dxa"/>
          </w:tcPr>
          <w:p w14:paraId="0CF0A3F1" w14:textId="77777777" w:rsidR="009D68B8" w:rsidRPr="00286216" w:rsidRDefault="009D68B8" w:rsidP="009D68B8">
            <w:pPr>
              <w:pStyle w:val="StyleZakonu"/>
              <w:rPr>
                <w:color w:val="000000" w:themeColor="text1"/>
              </w:rPr>
            </w:pPr>
            <w:r w:rsidRPr="00286216">
              <w:rPr>
                <w:color w:val="000000" w:themeColor="text1"/>
              </w:rPr>
              <w:t>3) дії або бездіяльність емітента, що завдають істотної шкоди правам та/або інтересам власників облігацій, у тому числі:</w:t>
            </w:r>
          </w:p>
        </w:tc>
        <w:tc>
          <w:tcPr>
            <w:tcW w:w="3686" w:type="dxa"/>
          </w:tcPr>
          <w:p w14:paraId="06CE10F2" w14:textId="77777777" w:rsidR="009D68B8" w:rsidRPr="00286216" w:rsidRDefault="009D68B8" w:rsidP="009D68B8">
            <w:pPr>
              <w:pStyle w:val="StyleProp"/>
              <w:rPr>
                <w:color w:val="000000" w:themeColor="text1"/>
                <w:szCs w:val="18"/>
              </w:rPr>
            </w:pPr>
          </w:p>
        </w:tc>
        <w:tc>
          <w:tcPr>
            <w:tcW w:w="1987" w:type="dxa"/>
          </w:tcPr>
          <w:p w14:paraId="2A6CD6D4" w14:textId="77777777" w:rsidR="009D68B8" w:rsidRPr="00286216" w:rsidRDefault="009D68B8" w:rsidP="009D68B8">
            <w:pPr>
              <w:pStyle w:val="StyleWisnow"/>
              <w:rPr>
                <w:color w:val="000000" w:themeColor="text1"/>
              </w:rPr>
            </w:pPr>
          </w:p>
        </w:tc>
        <w:tc>
          <w:tcPr>
            <w:tcW w:w="4818" w:type="dxa"/>
          </w:tcPr>
          <w:p w14:paraId="2C7A3E5C" w14:textId="3218B3F2" w:rsidR="009D68B8" w:rsidRPr="00286216" w:rsidRDefault="009D68B8" w:rsidP="009D68B8">
            <w:pPr>
              <w:pStyle w:val="StyleZakonu"/>
              <w:rPr>
                <w:color w:val="000000" w:themeColor="text1"/>
              </w:rPr>
            </w:pPr>
            <w:r w:rsidRPr="00286216">
              <w:rPr>
                <w:color w:val="000000" w:themeColor="text1"/>
              </w:rPr>
              <w:t>3) дії або бездіяльність емітента, що завдають істотної шкоди правам та/або інтересам власників облігацій, у тому числі:</w:t>
            </w:r>
          </w:p>
        </w:tc>
      </w:tr>
      <w:tr w:rsidR="009D68B8" w:rsidRPr="00286216" w14:paraId="6D3574AA" w14:textId="77777777" w:rsidTr="00091AA5">
        <w:tc>
          <w:tcPr>
            <w:tcW w:w="576" w:type="dxa"/>
          </w:tcPr>
          <w:p w14:paraId="54E7CA52" w14:textId="77777777" w:rsidR="009D68B8" w:rsidRPr="00286216" w:rsidRDefault="009D68B8" w:rsidP="009D68B8">
            <w:pPr>
              <w:pStyle w:val="StyleWisnow"/>
              <w:rPr>
                <w:color w:val="000000" w:themeColor="text1"/>
              </w:rPr>
            </w:pPr>
            <w:bookmarkStart w:id="1619" w:name="n1870" w:colFirst="0" w:colLast="0"/>
            <w:bookmarkEnd w:id="1618"/>
            <w:r w:rsidRPr="00286216">
              <w:rPr>
                <w:color w:val="000000" w:themeColor="text1"/>
              </w:rPr>
              <w:t>1870.</w:t>
            </w:r>
          </w:p>
        </w:tc>
        <w:tc>
          <w:tcPr>
            <w:tcW w:w="4818" w:type="dxa"/>
          </w:tcPr>
          <w:p w14:paraId="5B49A15A" w14:textId="77777777" w:rsidR="009D68B8" w:rsidRPr="00286216" w:rsidRDefault="009D68B8" w:rsidP="009D68B8">
            <w:pPr>
              <w:pStyle w:val="StyleZakonu"/>
              <w:rPr>
                <w:color w:val="000000" w:themeColor="text1"/>
              </w:rPr>
            </w:pPr>
            <w:r w:rsidRPr="00286216">
              <w:rPr>
                <w:color w:val="000000" w:themeColor="text1"/>
              </w:rPr>
              <w:t>а) несплата винагороди або нездійснення інших платежів адміністратору за договором про його призначення протягом більш ніж десяти робочих днів після закінчення відповідного строку (настання відповідного терміну);</w:t>
            </w:r>
          </w:p>
        </w:tc>
        <w:tc>
          <w:tcPr>
            <w:tcW w:w="3686" w:type="dxa"/>
          </w:tcPr>
          <w:p w14:paraId="32BFD350" w14:textId="77777777" w:rsidR="009D68B8" w:rsidRPr="00286216" w:rsidRDefault="009D68B8" w:rsidP="009D68B8">
            <w:pPr>
              <w:pStyle w:val="StyleProp"/>
              <w:rPr>
                <w:color w:val="000000" w:themeColor="text1"/>
                <w:szCs w:val="18"/>
              </w:rPr>
            </w:pPr>
          </w:p>
        </w:tc>
        <w:tc>
          <w:tcPr>
            <w:tcW w:w="1987" w:type="dxa"/>
          </w:tcPr>
          <w:p w14:paraId="041A60D5" w14:textId="77777777" w:rsidR="009D68B8" w:rsidRPr="00286216" w:rsidRDefault="009D68B8" w:rsidP="009D68B8">
            <w:pPr>
              <w:pStyle w:val="StyleWisnow"/>
              <w:rPr>
                <w:color w:val="000000" w:themeColor="text1"/>
              </w:rPr>
            </w:pPr>
          </w:p>
        </w:tc>
        <w:tc>
          <w:tcPr>
            <w:tcW w:w="4818" w:type="dxa"/>
          </w:tcPr>
          <w:p w14:paraId="03018AC6" w14:textId="6193778C" w:rsidR="009D68B8" w:rsidRPr="00286216" w:rsidRDefault="009D68B8" w:rsidP="009D68B8">
            <w:pPr>
              <w:pStyle w:val="StyleZakonu"/>
              <w:rPr>
                <w:color w:val="000000" w:themeColor="text1"/>
              </w:rPr>
            </w:pPr>
            <w:r w:rsidRPr="00286216">
              <w:rPr>
                <w:color w:val="000000" w:themeColor="text1"/>
              </w:rPr>
              <w:t>а) несплата винагороди або нездійснення інших платежів адміністратору за договором про його призначення протягом більше ніж 10 робочих днів після закінчення відповідного строку (настання відповідного терміну);</w:t>
            </w:r>
          </w:p>
        </w:tc>
      </w:tr>
      <w:tr w:rsidR="009D68B8" w:rsidRPr="00286216" w14:paraId="04818294" w14:textId="77777777" w:rsidTr="00091AA5">
        <w:tc>
          <w:tcPr>
            <w:tcW w:w="576" w:type="dxa"/>
          </w:tcPr>
          <w:p w14:paraId="36C99A71" w14:textId="77777777" w:rsidR="009D68B8" w:rsidRPr="00286216" w:rsidRDefault="009D68B8" w:rsidP="009D68B8">
            <w:pPr>
              <w:pStyle w:val="StyleWisnow"/>
              <w:rPr>
                <w:color w:val="000000" w:themeColor="text1"/>
              </w:rPr>
            </w:pPr>
            <w:bookmarkStart w:id="1620" w:name="n1871" w:colFirst="0" w:colLast="0"/>
            <w:bookmarkEnd w:id="1619"/>
            <w:r w:rsidRPr="00286216">
              <w:rPr>
                <w:color w:val="000000" w:themeColor="text1"/>
              </w:rPr>
              <w:t>1871.</w:t>
            </w:r>
          </w:p>
        </w:tc>
        <w:tc>
          <w:tcPr>
            <w:tcW w:w="4818" w:type="dxa"/>
          </w:tcPr>
          <w:p w14:paraId="6F36B531" w14:textId="77777777" w:rsidR="009D68B8" w:rsidRPr="00286216" w:rsidRDefault="009D68B8" w:rsidP="009D68B8">
            <w:pPr>
              <w:pStyle w:val="StyleZakonu"/>
              <w:rPr>
                <w:color w:val="000000" w:themeColor="text1"/>
              </w:rPr>
            </w:pPr>
            <w:r w:rsidRPr="00286216">
              <w:rPr>
                <w:color w:val="000000" w:themeColor="text1"/>
              </w:rPr>
              <w:t>б) порушення обов’язку із призначення адміністратора у строки, що встановлені цим Законом або проспектом (рішенням про емісію цінних паперів), якщо призначення адміністратора передбачене проспектом (рішенням про емісію цінних паперів).</w:t>
            </w:r>
          </w:p>
        </w:tc>
        <w:tc>
          <w:tcPr>
            <w:tcW w:w="3686" w:type="dxa"/>
          </w:tcPr>
          <w:p w14:paraId="20D21855" w14:textId="77777777" w:rsidR="009D68B8" w:rsidRPr="00286216" w:rsidRDefault="009D68B8" w:rsidP="009D68B8">
            <w:pPr>
              <w:pStyle w:val="StyleProp"/>
              <w:rPr>
                <w:color w:val="000000" w:themeColor="text1"/>
                <w:szCs w:val="18"/>
              </w:rPr>
            </w:pPr>
          </w:p>
        </w:tc>
        <w:tc>
          <w:tcPr>
            <w:tcW w:w="1987" w:type="dxa"/>
          </w:tcPr>
          <w:p w14:paraId="36FC2E5A" w14:textId="77777777" w:rsidR="009D68B8" w:rsidRPr="00286216" w:rsidRDefault="009D68B8" w:rsidP="009D68B8">
            <w:pPr>
              <w:pStyle w:val="StyleWisnow"/>
              <w:rPr>
                <w:color w:val="000000" w:themeColor="text1"/>
              </w:rPr>
            </w:pPr>
          </w:p>
        </w:tc>
        <w:tc>
          <w:tcPr>
            <w:tcW w:w="4818" w:type="dxa"/>
          </w:tcPr>
          <w:p w14:paraId="038AF263" w14:textId="429DFFE7" w:rsidR="009D68B8" w:rsidRPr="00286216" w:rsidRDefault="009D68B8" w:rsidP="009D68B8">
            <w:pPr>
              <w:pStyle w:val="StyleZakonu"/>
              <w:rPr>
                <w:color w:val="000000" w:themeColor="text1"/>
              </w:rPr>
            </w:pPr>
            <w:r w:rsidRPr="00286216">
              <w:rPr>
                <w:color w:val="000000" w:themeColor="text1"/>
              </w:rPr>
              <w:t>б) порушення обов’язку з призначення адміністратора у строки, встановлені цим Законом або проспектом (рішенням про емісію), якщо призначення адміністратора передбачене проспектом (рішенням про емісію цінних паперів).</w:t>
            </w:r>
          </w:p>
        </w:tc>
      </w:tr>
      <w:tr w:rsidR="009D68B8" w:rsidRPr="00286216" w14:paraId="71A40DAE" w14:textId="77777777" w:rsidTr="00091AA5">
        <w:tc>
          <w:tcPr>
            <w:tcW w:w="576" w:type="dxa"/>
          </w:tcPr>
          <w:p w14:paraId="777B2D99" w14:textId="77777777" w:rsidR="009D68B8" w:rsidRPr="00286216" w:rsidRDefault="009D68B8" w:rsidP="009D68B8">
            <w:pPr>
              <w:pStyle w:val="StyleWisnow"/>
              <w:rPr>
                <w:color w:val="000000" w:themeColor="text1"/>
              </w:rPr>
            </w:pPr>
            <w:bookmarkStart w:id="1621" w:name="n1872" w:colFirst="0" w:colLast="0"/>
            <w:bookmarkEnd w:id="1620"/>
            <w:r w:rsidRPr="00286216">
              <w:rPr>
                <w:color w:val="000000" w:themeColor="text1"/>
              </w:rPr>
              <w:t>1872.</w:t>
            </w:r>
          </w:p>
        </w:tc>
        <w:tc>
          <w:tcPr>
            <w:tcW w:w="4818" w:type="dxa"/>
          </w:tcPr>
          <w:p w14:paraId="4B912B83" w14:textId="77777777" w:rsidR="009D68B8" w:rsidRPr="00286216" w:rsidRDefault="009D68B8" w:rsidP="009D68B8">
            <w:pPr>
              <w:pStyle w:val="StyleZakonu"/>
              <w:rPr>
                <w:color w:val="000000" w:themeColor="text1"/>
              </w:rPr>
            </w:pPr>
            <w:r w:rsidRPr="00286216">
              <w:rPr>
                <w:color w:val="000000" w:themeColor="text1"/>
              </w:rPr>
              <w:t>3. Емітент зобов’язаний негайно повідомити адміністратора, а у разі його відсутності - власникам облігацій через депозитарну систему України, про неможливість виконання або порушення будь-якого обов’язку емітента та/або особи, яка надає забезпечення за облігаціями, передбаченого проспектом (рішенням про емісію цінних паперів), правочинами щодо забезпечення виконання зобов’язань за облігаціями або цим Законом, відкриття щодо будь-якої з вказаних осіб провадження у справі про банкрутство (а щодо банків - про запровадження тимчасової адміністрації чи початок процедури ліквідації).</w:t>
            </w:r>
          </w:p>
        </w:tc>
        <w:tc>
          <w:tcPr>
            <w:tcW w:w="3686" w:type="dxa"/>
          </w:tcPr>
          <w:p w14:paraId="1B3F0DD8" w14:textId="77777777" w:rsidR="009D68B8" w:rsidRPr="00286216" w:rsidRDefault="009D68B8" w:rsidP="009D68B8">
            <w:pPr>
              <w:pStyle w:val="StyleProp"/>
              <w:rPr>
                <w:color w:val="000000" w:themeColor="text1"/>
                <w:szCs w:val="18"/>
              </w:rPr>
            </w:pPr>
          </w:p>
        </w:tc>
        <w:tc>
          <w:tcPr>
            <w:tcW w:w="1987" w:type="dxa"/>
          </w:tcPr>
          <w:p w14:paraId="5D02D55C" w14:textId="77777777" w:rsidR="009D68B8" w:rsidRPr="00286216" w:rsidRDefault="009D68B8" w:rsidP="009D68B8">
            <w:pPr>
              <w:pStyle w:val="StyleWisnow"/>
              <w:rPr>
                <w:color w:val="000000" w:themeColor="text1"/>
              </w:rPr>
            </w:pPr>
          </w:p>
        </w:tc>
        <w:tc>
          <w:tcPr>
            <w:tcW w:w="4818" w:type="dxa"/>
          </w:tcPr>
          <w:p w14:paraId="50C0059C" w14:textId="3CAFC726" w:rsidR="009D68B8" w:rsidRPr="00286216" w:rsidRDefault="009D68B8" w:rsidP="009D68B8">
            <w:pPr>
              <w:pStyle w:val="StyleZakonu"/>
              <w:rPr>
                <w:color w:val="000000" w:themeColor="text1"/>
              </w:rPr>
            </w:pPr>
            <w:r w:rsidRPr="00286216">
              <w:rPr>
                <w:color w:val="000000" w:themeColor="text1"/>
              </w:rPr>
              <w:t>3. Емітент зобов’язаний негайно повідомити адміністратора, а в разі його відсутності - власникам облігацій через депозитарну систему України, про неможливість виконання або порушення будь-якого обов’язку емітента та/або особи, яка надає забезпечення за облігаціями, передбаченого проспектом (рішенням про емісію), правочинами щодо забезпечення виконання зобов’язань за облігаціями або цим Законом, відкриття стосовно будь-якої з вказаних осіб провадження у справі про банкрутство (а щодо банків - про запровадження тимчасової адміністрації чи початок процедури ліквідації).</w:t>
            </w:r>
          </w:p>
        </w:tc>
      </w:tr>
      <w:tr w:rsidR="009D68B8" w:rsidRPr="00286216" w14:paraId="653C33E3" w14:textId="77777777" w:rsidTr="00091AA5">
        <w:tc>
          <w:tcPr>
            <w:tcW w:w="576" w:type="dxa"/>
          </w:tcPr>
          <w:p w14:paraId="3DADCE83" w14:textId="77777777" w:rsidR="009D68B8" w:rsidRPr="00286216" w:rsidRDefault="009D68B8" w:rsidP="009D68B8">
            <w:pPr>
              <w:pStyle w:val="StyleWisnow"/>
              <w:rPr>
                <w:color w:val="000000" w:themeColor="text1"/>
              </w:rPr>
            </w:pPr>
            <w:bookmarkStart w:id="1622" w:name="n1873" w:colFirst="0" w:colLast="0"/>
            <w:bookmarkEnd w:id="1621"/>
            <w:r w:rsidRPr="00286216">
              <w:rPr>
                <w:color w:val="000000" w:themeColor="text1"/>
              </w:rPr>
              <w:t>1873.</w:t>
            </w:r>
          </w:p>
        </w:tc>
        <w:tc>
          <w:tcPr>
            <w:tcW w:w="4818" w:type="dxa"/>
          </w:tcPr>
          <w:p w14:paraId="4FD84CA2" w14:textId="77777777" w:rsidR="009D68B8" w:rsidRPr="00286216" w:rsidRDefault="009D68B8" w:rsidP="009D68B8">
            <w:pPr>
              <w:pStyle w:val="StyleZakonu"/>
              <w:rPr>
                <w:color w:val="000000" w:themeColor="text1"/>
              </w:rPr>
            </w:pPr>
            <w:r w:rsidRPr="00286216">
              <w:rPr>
                <w:color w:val="000000" w:themeColor="text1"/>
              </w:rPr>
              <w:t>4. Адміністратор зобов’язаний повідомляти усіх власників облігацій через депозитарну систему України протягом трьох робочих днів після того, як йому стало відомо про настання будь-якої з таких обставин:</w:t>
            </w:r>
          </w:p>
        </w:tc>
        <w:tc>
          <w:tcPr>
            <w:tcW w:w="3686" w:type="dxa"/>
          </w:tcPr>
          <w:p w14:paraId="3800C2E9" w14:textId="77777777" w:rsidR="009D68B8" w:rsidRPr="00286216" w:rsidRDefault="009D68B8" w:rsidP="009D68B8">
            <w:pPr>
              <w:pStyle w:val="StyleProp"/>
              <w:rPr>
                <w:color w:val="000000" w:themeColor="text1"/>
                <w:szCs w:val="18"/>
              </w:rPr>
            </w:pPr>
          </w:p>
        </w:tc>
        <w:tc>
          <w:tcPr>
            <w:tcW w:w="1987" w:type="dxa"/>
          </w:tcPr>
          <w:p w14:paraId="1042393E" w14:textId="77777777" w:rsidR="009D68B8" w:rsidRPr="00286216" w:rsidRDefault="009D68B8" w:rsidP="009D68B8">
            <w:pPr>
              <w:pStyle w:val="StyleWisnow"/>
              <w:rPr>
                <w:color w:val="000000" w:themeColor="text1"/>
              </w:rPr>
            </w:pPr>
          </w:p>
        </w:tc>
        <w:tc>
          <w:tcPr>
            <w:tcW w:w="4818" w:type="dxa"/>
          </w:tcPr>
          <w:p w14:paraId="579AB5C5" w14:textId="13BAA8EA" w:rsidR="009D68B8" w:rsidRPr="00286216" w:rsidRDefault="009D68B8" w:rsidP="009D68B8">
            <w:pPr>
              <w:pStyle w:val="StyleZakonu"/>
              <w:rPr>
                <w:color w:val="000000" w:themeColor="text1"/>
              </w:rPr>
            </w:pPr>
            <w:r w:rsidRPr="00286216">
              <w:rPr>
                <w:color w:val="000000" w:themeColor="text1"/>
              </w:rPr>
              <w:t>4. Адміністратор зобов’язаний повідомляти всіх власників облігацій через депозитарну систему України протягом трьох робочих днів після того, як йому стало відомо про настання будь-якої з таких обставин:</w:t>
            </w:r>
          </w:p>
        </w:tc>
      </w:tr>
      <w:tr w:rsidR="009D68B8" w:rsidRPr="00286216" w14:paraId="2021DA90" w14:textId="77777777" w:rsidTr="00091AA5">
        <w:tc>
          <w:tcPr>
            <w:tcW w:w="576" w:type="dxa"/>
          </w:tcPr>
          <w:p w14:paraId="519F65D4" w14:textId="77777777" w:rsidR="009D68B8" w:rsidRPr="00286216" w:rsidRDefault="009D68B8" w:rsidP="009D68B8">
            <w:pPr>
              <w:pStyle w:val="StyleWisnow"/>
              <w:rPr>
                <w:color w:val="000000" w:themeColor="text1"/>
              </w:rPr>
            </w:pPr>
            <w:bookmarkStart w:id="1623" w:name="n1874" w:colFirst="0" w:colLast="0"/>
            <w:bookmarkEnd w:id="1622"/>
            <w:r w:rsidRPr="00286216">
              <w:rPr>
                <w:color w:val="000000" w:themeColor="text1"/>
              </w:rPr>
              <w:t>1874.</w:t>
            </w:r>
          </w:p>
        </w:tc>
        <w:tc>
          <w:tcPr>
            <w:tcW w:w="4818" w:type="dxa"/>
          </w:tcPr>
          <w:p w14:paraId="6B12521A" w14:textId="77777777" w:rsidR="009D68B8" w:rsidRPr="00286216" w:rsidRDefault="009D68B8" w:rsidP="009D68B8">
            <w:pPr>
              <w:pStyle w:val="StyleZakonu"/>
              <w:rPr>
                <w:color w:val="000000" w:themeColor="text1"/>
              </w:rPr>
            </w:pPr>
            <w:r w:rsidRPr="00286216">
              <w:rPr>
                <w:color w:val="000000" w:themeColor="text1"/>
              </w:rPr>
              <w:t>1) порушення будь-якого обов’язку емітента або особи, яка надає забезпечення за облігаціями, встановленого проспектом (рішенням про емісію цінних паперів) та/або правочинами забезпечення, або неможливість його виконання;</w:t>
            </w:r>
          </w:p>
        </w:tc>
        <w:tc>
          <w:tcPr>
            <w:tcW w:w="3686" w:type="dxa"/>
          </w:tcPr>
          <w:p w14:paraId="38E4925A" w14:textId="77777777" w:rsidR="009D68B8" w:rsidRPr="00286216" w:rsidRDefault="009D68B8" w:rsidP="009D68B8">
            <w:pPr>
              <w:pStyle w:val="StyleProp"/>
              <w:rPr>
                <w:color w:val="000000" w:themeColor="text1"/>
                <w:szCs w:val="18"/>
              </w:rPr>
            </w:pPr>
          </w:p>
        </w:tc>
        <w:tc>
          <w:tcPr>
            <w:tcW w:w="1987" w:type="dxa"/>
          </w:tcPr>
          <w:p w14:paraId="33CF578B" w14:textId="77777777" w:rsidR="009D68B8" w:rsidRPr="00286216" w:rsidRDefault="009D68B8" w:rsidP="009D68B8">
            <w:pPr>
              <w:pStyle w:val="StyleWisnow"/>
              <w:rPr>
                <w:color w:val="000000" w:themeColor="text1"/>
              </w:rPr>
            </w:pPr>
          </w:p>
        </w:tc>
        <w:tc>
          <w:tcPr>
            <w:tcW w:w="4818" w:type="dxa"/>
          </w:tcPr>
          <w:p w14:paraId="345E48F6" w14:textId="361083C1" w:rsidR="009D68B8" w:rsidRPr="00286216" w:rsidRDefault="009D68B8" w:rsidP="009D68B8">
            <w:pPr>
              <w:pStyle w:val="StyleZakonu"/>
              <w:rPr>
                <w:color w:val="000000" w:themeColor="text1"/>
              </w:rPr>
            </w:pPr>
            <w:r w:rsidRPr="00286216">
              <w:rPr>
                <w:color w:val="000000" w:themeColor="text1"/>
              </w:rPr>
              <w:t>1) порушення будь-якого обов’язку емітента або особи, яка надає забезпечення за облігаціями, встановленого проспектом (рішенням про емісію цінних паперів) та/або правочинами забезпечення, або неможливість його виконання;</w:t>
            </w:r>
          </w:p>
        </w:tc>
      </w:tr>
      <w:tr w:rsidR="009D68B8" w:rsidRPr="00286216" w14:paraId="148C2EA1" w14:textId="77777777" w:rsidTr="00091AA5">
        <w:tc>
          <w:tcPr>
            <w:tcW w:w="576" w:type="dxa"/>
          </w:tcPr>
          <w:p w14:paraId="4DCA8DF2" w14:textId="77777777" w:rsidR="009D68B8" w:rsidRPr="00286216" w:rsidRDefault="009D68B8" w:rsidP="009D68B8">
            <w:pPr>
              <w:pStyle w:val="StyleWisnow"/>
              <w:rPr>
                <w:color w:val="000000" w:themeColor="text1"/>
              </w:rPr>
            </w:pPr>
            <w:bookmarkStart w:id="1624" w:name="n1875" w:colFirst="0" w:colLast="0"/>
            <w:bookmarkEnd w:id="1623"/>
            <w:r w:rsidRPr="00286216">
              <w:rPr>
                <w:color w:val="000000" w:themeColor="text1"/>
              </w:rPr>
              <w:t>1875.</w:t>
            </w:r>
          </w:p>
        </w:tc>
        <w:tc>
          <w:tcPr>
            <w:tcW w:w="4818" w:type="dxa"/>
          </w:tcPr>
          <w:p w14:paraId="6EB44943" w14:textId="77777777" w:rsidR="009D68B8" w:rsidRPr="00286216" w:rsidRDefault="009D68B8" w:rsidP="009D68B8">
            <w:pPr>
              <w:pStyle w:val="StyleZakonu"/>
              <w:rPr>
                <w:color w:val="000000" w:themeColor="text1"/>
              </w:rPr>
            </w:pPr>
            <w:r w:rsidRPr="00286216">
              <w:rPr>
                <w:color w:val="000000" w:themeColor="text1"/>
              </w:rPr>
              <w:t xml:space="preserve">2) відкриття щодо емітента або будь-якої особи, яка надає забезпечення за облігаціями, провадження у справі про банкрутство (а щодо банків - також про запровадження тимчасової адміністрації чи початок </w:t>
            </w:r>
            <w:r w:rsidRPr="00286216">
              <w:rPr>
                <w:color w:val="000000" w:themeColor="text1"/>
              </w:rPr>
              <w:lastRenderedPageBreak/>
              <w:t>процедури ліквідації;</w:t>
            </w:r>
          </w:p>
        </w:tc>
        <w:tc>
          <w:tcPr>
            <w:tcW w:w="3686" w:type="dxa"/>
          </w:tcPr>
          <w:p w14:paraId="156B9311" w14:textId="77777777" w:rsidR="009D68B8" w:rsidRPr="00286216" w:rsidRDefault="009D68B8" w:rsidP="009D68B8">
            <w:pPr>
              <w:pStyle w:val="StyleProp"/>
              <w:rPr>
                <w:color w:val="000000" w:themeColor="text1"/>
                <w:szCs w:val="18"/>
              </w:rPr>
            </w:pPr>
          </w:p>
        </w:tc>
        <w:tc>
          <w:tcPr>
            <w:tcW w:w="1987" w:type="dxa"/>
          </w:tcPr>
          <w:p w14:paraId="5AF5B33D" w14:textId="77777777" w:rsidR="009D68B8" w:rsidRPr="00286216" w:rsidRDefault="009D68B8" w:rsidP="009D68B8">
            <w:pPr>
              <w:pStyle w:val="StyleWisnow"/>
              <w:rPr>
                <w:color w:val="000000" w:themeColor="text1"/>
              </w:rPr>
            </w:pPr>
          </w:p>
        </w:tc>
        <w:tc>
          <w:tcPr>
            <w:tcW w:w="4818" w:type="dxa"/>
          </w:tcPr>
          <w:p w14:paraId="1EEA109E" w14:textId="0C6F5825" w:rsidR="009D68B8" w:rsidRPr="00286216" w:rsidRDefault="009D68B8" w:rsidP="009D68B8">
            <w:pPr>
              <w:pStyle w:val="StyleZakonu"/>
              <w:rPr>
                <w:color w:val="000000" w:themeColor="text1"/>
              </w:rPr>
            </w:pPr>
            <w:r w:rsidRPr="00286216">
              <w:rPr>
                <w:color w:val="000000" w:themeColor="text1"/>
              </w:rPr>
              <w:t xml:space="preserve">2) відкриття щодо емітента або будь-якої особи, яка надає забезпечення за облігаціями, провадження у справі про банкрутство (а щодо банків - також про запровадження тимчасової адміністрації чи початок </w:t>
            </w:r>
            <w:r w:rsidRPr="00286216">
              <w:rPr>
                <w:color w:val="000000" w:themeColor="text1"/>
              </w:rPr>
              <w:lastRenderedPageBreak/>
              <w:t>процедури ліквідації);</w:t>
            </w:r>
          </w:p>
        </w:tc>
      </w:tr>
      <w:tr w:rsidR="009D68B8" w:rsidRPr="00286216" w14:paraId="0D2B497E" w14:textId="77777777" w:rsidTr="00091AA5">
        <w:tc>
          <w:tcPr>
            <w:tcW w:w="576" w:type="dxa"/>
          </w:tcPr>
          <w:p w14:paraId="60E596ED" w14:textId="77777777" w:rsidR="009D68B8" w:rsidRPr="00286216" w:rsidRDefault="009D68B8" w:rsidP="009D68B8">
            <w:pPr>
              <w:pStyle w:val="StyleWisnow"/>
              <w:rPr>
                <w:color w:val="000000" w:themeColor="text1"/>
              </w:rPr>
            </w:pPr>
            <w:bookmarkStart w:id="1625" w:name="n1876" w:colFirst="0" w:colLast="0"/>
            <w:bookmarkEnd w:id="1624"/>
            <w:r w:rsidRPr="00286216">
              <w:rPr>
                <w:color w:val="000000" w:themeColor="text1"/>
              </w:rPr>
              <w:lastRenderedPageBreak/>
              <w:t>1876.</w:t>
            </w:r>
          </w:p>
        </w:tc>
        <w:tc>
          <w:tcPr>
            <w:tcW w:w="4818" w:type="dxa"/>
          </w:tcPr>
          <w:p w14:paraId="62DBE407" w14:textId="77777777" w:rsidR="009D68B8" w:rsidRPr="00286216" w:rsidRDefault="009D68B8" w:rsidP="009D68B8">
            <w:pPr>
              <w:pStyle w:val="StyleZakonu"/>
              <w:rPr>
                <w:color w:val="000000" w:themeColor="text1"/>
              </w:rPr>
            </w:pPr>
            <w:r w:rsidRPr="00286216">
              <w:rPr>
                <w:color w:val="000000" w:themeColor="text1"/>
              </w:rPr>
              <w:t>3) дії або бездіяльність емітента, особи, яка надає забезпечення за облігаціями, що завдають або можуть завдати істотної шкоди правам та/або інтересам власників облігацій, або неможливість їх виконання;</w:t>
            </w:r>
          </w:p>
        </w:tc>
        <w:tc>
          <w:tcPr>
            <w:tcW w:w="3686" w:type="dxa"/>
          </w:tcPr>
          <w:p w14:paraId="28C7C9E5" w14:textId="77777777" w:rsidR="009D68B8" w:rsidRPr="00286216" w:rsidRDefault="009D68B8" w:rsidP="009D68B8">
            <w:pPr>
              <w:pStyle w:val="StyleProp"/>
              <w:rPr>
                <w:color w:val="000000" w:themeColor="text1"/>
                <w:szCs w:val="18"/>
              </w:rPr>
            </w:pPr>
          </w:p>
        </w:tc>
        <w:tc>
          <w:tcPr>
            <w:tcW w:w="1987" w:type="dxa"/>
          </w:tcPr>
          <w:p w14:paraId="13991882" w14:textId="77777777" w:rsidR="009D68B8" w:rsidRPr="00286216" w:rsidRDefault="009D68B8" w:rsidP="009D68B8">
            <w:pPr>
              <w:pStyle w:val="StyleWisnow"/>
              <w:rPr>
                <w:color w:val="000000" w:themeColor="text1"/>
              </w:rPr>
            </w:pPr>
          </w:p>
        </w:tc>
        <w:tc>
          <w:tcPr>
            <w:tcW w:w="4818" w:type="dxa"/>
          </w:tcPr>
          <w:p w14:paraId="734DDD2F" w14:textId="4648DCF5" w:rsidR="009D68B8" w:rsidRPr="00286216" w:rsidRDefault="009D68B8" w:rsidP="009D68B8">
            <w:pPr>
              <w:pStyle w:val="StyleZakonu"/>
              <w:rPr>
                <w:color w:val="000000" w:themeColor="text1"/>
              </w:rPr>
            </w:pPr>
            <w:r w:rsidRPr="00286216">
              <w:rPr>
                <w:color w:val="000000" w:themeColor="text1"/>
              </w:rPr>
              <w:t>3) дії або бездіяльність емітента, особи, яка надає забезпечення за облігаціями, що завдають або можуть завдати істотної шкоди правам та/або інтересам власників облігацій, або неможливість їх виконання;</w:t>
            </w:r>
          </w:p>
        </w:tc>
      </w:tr>
      <w:tr w:rsidR="009D68B8" w:rsidRPr="00286216" w14:paraId="13251FEC" w14:textId="77777777" w:rsidTr="00091AA5">
        <w:tc>
          <w:tcPr>
            <w:tcW w:w="576" w:type="dxa"/>
          </w:tcPr>
          <w:p w14:paraId="50AF0C29" w14:textId="77777777" w:rsidR="009D68B8" w:rsidRPr="00286216" w:rsidRDefault="009D68B8" w:rsidP="009D68B8">
            <w:pPr>
              <w:pStyle w:val="StyleWisnow"/>
              <w:rPr>
                <w:color w:val="000000" w:themeColor="text1"/>
              </w:rPr>
            </w:pPr>
            <w:bookmarkStart w:id="1626" w:name="n1877" w:colFirst="0" w:colLast="0"/>
            <w:bookmarkEnd w:id="1625"/>
            <w:r w:rsidRPr="00286216">
              <w:rPr>
                <w:color w:val="000000" w:themeColor="text1"/>
              </w:rPr>
              <w:t>1877.</w:t>
            </w:r>
          </w:p>
        </w:tc>
        <w:tc>
          <w:tcPr>
            <w:tcW w:w="4818" w:type="dxa"/>
          </w:tcPr>
          <w:p w14:paraId="6672733C" w14:textId="77777777" w:rsidR="009D68B8" w:rsidRPr="00286216" w:rsidRDefault="009D68B8" w:rsidP="009D68B8">
            <w:pPr>
              <w:pStyle w:val="StyleZakonu"/>
              <w:rPr>
                <w:color w:val="000000" w:themeColor="text1"/>
              </w:rPr>
            </w:pPr>
            <w:r w:rsidRPr="00286216">
              <w:rPr>
                <w:color w:val="000000" w:themeColor="text1"/>
              </w:rPr>
              <w:t>4) настання дефолту.</w:t>
            </w:r>
          </w:p>
        </w:tc>
        <w:tc>
          <w:tcPr>
            <w:tcW w:w="3686" w:type="dxa"/>
          </w:tcPr>
          <w:p w14:paraId="4FBBA5AE" w14:textId="77777777" w:rsidR="009D68B8" w:rsidRPr="00286216" w:rsidRDefault="009D68B8" w:rsidP="009D68B8">
            <w:pPr>
              <w:pStyle w:val="StyleProp"/>
              <w:rPr>
                <w:color w:val="000000" w:themeColor="text1"/>
                <w:szCs w:val="18"/>
              </w:rPr>
            </w:pPr>
          </w:p>
        </w:tc>
        <w:tc>
          <w:tcPr>
            <w:tcW w:w="1987" w:type="dxa"/>
          </w:tcPr>
          <w:p w14:paraId="6CCFD8BA" w14:textId="77777777" w:rsidR="009D68B8" w:rsidRPr="00286216" w:rsidRDefault="009D68B8" w:rsidP="009D68B8">
            <w:pPr>
              <w:pStyle w:val="StyleWisnow"/>
              <w:rPr>
                <w:color w:val="000000" w:themeColor="text1"/>
              </w:rPr>
            </w:pPr>
          </w:p>
        </w:tc>
        <w:tc>
          <w:tcPr>
            <w:tcW w:w="4818" w:type="dxa"/>
          </w:tcPr>
          <w:p w14:paraId="7CBA5393" w14:textId="72F05601" w:rsidR="009D68B8" w:rsidRPr="00286216" w:rsidRDefault="009D68B8" w:rsidP="009D68B8">
            <w:pPr>
              <w:pStyle w:val="StyleZakonu"/>
              <w:rPr>
                <w:color w:val="000000" w:themeColor="text1"/>
              </w:rPr>
            </w:pPr>
            <w:r w:rsidRPr="00286216">
              <w:rPr>
                <w:color w:val="000000" w:themeColor="text1"/>
              </w:rPr>
              <w:t>4) настання дефолту.</w:t>
            </w:r>
          </w:p>
        </w:tc>
      </w:tr>
      <w:tr w:rsidR="009D68B8" w:rsidRPr="00286216" w14:paraId="075CAA05" w14:textId="77777777" w:rsidTr="00091AA5">
        <w:tc>
          <w:tcPr>
            <w:tcW w:w="576" w:type="dxa"/>
          </w:tcPr>
          <w:p w14:paraId="12465B68" w14:textId="77777777" w:rsidR="009D68B8" w:rsidRPr="00286216" w:rsidRDefault="009D68B8" w:rsidP="009D68B8">
            <w:pPr>
              <w:pStyle w:val="StyleWisnow"/>
              <w:rPr>
                <w:color w:val="000000" w:themeColor="text1"/>
              </w:rPr>
            </w:pPr>
            <w:bookmarkStart w:id="1627" w:name="n1878" w:colFirst="0" w:colLast="0"/>
            <w:bookmarkEnd w:id="1626"/>
            <w:r w:rsidRPr="00286216">
              <w:rPr>
                <w:color w:val="000000" w:themeColor="text1"/>
              </w:rPr>
              <w:t>1878.</w:t>
            </w:r>
          </w:p>
        </w:tc>
        <w:tc>
          <w:tcPr>
            <w:tcW w:w="4818" w:type="dxa"/>
          </w:tcPr>
          <w:p w14:paraId="302D60E0" w14:textId="77777777" w:rsidR="009D68B8" w:rsidRPr="00286216" w:rsidRDefault="009D68B8" w:rsidP="009D68B8">
            <w:pPr>
              <w:pStyle w:val="StyleZakonu"/>
              <w:rPr>
                <w:color w:val="000000" w:themeColor="text1"/>
              </w:rPr>
            </w:pPr>
            <w:r w:rsidRPr="00286216">
              <w:rPr>
                <w:color w:val="000000" w:themeColor="text1"/>
              </w:rPr>
              <w:t>5. Після настання дефолту один чи декілька власників облігацій, які у сукупності володіють облігаціями, сумарна номінальна вартість яких не менша ніж 25 відсотків від загальної номінальної вартості непогашених облігацій відповідного випуску облігацій, можуть без проведення зборів власників облігацій подати адміністратору заяву про пред’явлення вимоги про дострокове погашення облігацій (зокрема, через депозитарну систему України), а у разі його відсутності - вимогу про дострокове погашення облігацій емітенту та/або будь-якій з осіб, які надають забезпечення за такими облігаціями.</w:t>
            </w:r>
          </w:p>
        </w:tc>
        <w:tc>
          <w:tcPr>
            <w:tcW w:w="3686" w:type="dxa"/>
          </w:tcPr>
          <w:p w14:paraId="57EA3EC6" w14:textId="77777777" w:rsidR="009D68B8" w:rsidRPr="00286216" w:rsidRDefault="009D68B8" w:rsidP="009D68B8">
            <w:pPr>
              <w:pStyle w:val="StyleProp"/>
              <w:rPr>
                <w:color w:val="000000" w:themeColor="text1"/>
                <w:szCs w:val="18"/>
              </w:rPr>
            </w:pPr>
          </w:p>
        </w:tc>
        <w:tc>
          <w:tcPr>
            <w:tcW w:w="1987" w:type="dxa"/>
          </w:tcPr>
          <w:p w14:paraId="5077241F" w14:textId="77777777" w:rsidR="009D68B8" w:rsidRPr="00286216" w:rsidRDefault="009D68B8" w:rsidP="009D68B8">
            <w:pPr>
              <w:pStyle w:val="StyleWisnow"/>
              <w:rPr>
                <w:color w:val="000000" w:themeColor="text1"/>
              </w:rPr>
            </w:pPr>
          </w:p>
        </w:tc>
        <w:tc>
          <w:tcPr>
            <w:tcW w:w="4818" w:type="dxa"/>
          </w:tcPr>
          <w:p w14:paraId="05B18C36" w14:textId="37BC8315" w:rsidR="009D68B8" w:rsidRPr="00286216" w:rsidRDefault="009D68B8" w:rsidP="009D68B8">
            <w:pPr>
              <w:pStyle w:val="StyleZakonu"/>
              <w:rPr>
                <w:color w:val="000000" w:themeColor="text1"/>
              </w:rPr>
            </w:pPr>
            <w:r w:rsidRPr="00286216">
              <w:rPr>
                <w:color w:val="000000" w:themeColor="text1"/>
              </w:rPr>
              <w:t>5. Після настання дефолту один чи декілька власників облігацій, які у сукупності володіють облігаціями, сумарна номінальна вартість яких не менша ніж 25 відсотків загальної номінальної вартості непогашених облігацій відповідного випуску облігацій, можуть без проведення зборів власників облігацій подати адміністратору заяву про пред’явлення вимоги про дострокове погашення облігацій (зокрема, через депозитарну систему України), а в разі його відсутності - вимогу про дострокове погашення облігацій емітенту та/або будь-якій з осіб, які надають забезпечення за такими облігаціями.</w:t>
            </w:r>
          </w:p>
        </w:tc>
      </w:tr>
      <w:tr w:rsidR="009D68B8" w:rsidRPr="00286216" w14:paraId="498A8981" w14:textId="77777777" w:rsidTr="00091AA5">
        <w:tc>
          <w:tcPr>
            <w:tcW w:w="576" w:type="dxa"/>
          </w:tcPr>
          <w:p w14:paraId="08F3305A" w14:textId="77777777" w:rsidR="009D68B8" w:rsidRPr="00286216" w:rsidRDefault="009D68B8" w:rsidP="009D68B8">
            <w:pPr>
              <w:pStyle w:val="StyleWisnow"/>
              <w:rPr>
                <w:color w:val="000000" w:themeColor="text1"/>
              </w:rPr>
            </w:pPr>
            <w:bookmarkStart w:id="1628" w:name="n1879" w:colFirst="0" w:colLast="0"/>
            <w:bookmarkEnd w:id="1627"/>
            <w:r w:rsidRPr="00286216">
              <w:rPr>
                <w:color w:val="000000" w:themeColor="text1"/>
              </w:rPr>
              <w:t>1879.</w:t>
            </w:r>
          </w:p>
        </w:tc>
        <w:tc>
          <w:tcPr>
            <w:tcW w:w="4818" w:type="dxa"/>
          </w:tcPr>
          <w:p w14:paraId="74929873" w14:textId="77777777" w:rsidR="009D68B8" w:rsidRPr="00286216" w:rsidRDefault="009D68B8" w:rsidP="009D68B8">
            <w:pPr>
              <w:pStyle w:val="StyleZakonu"/>
              <w:rPr>
                <w:color w:val="000000" w:themeColor="text1"/>
              </w:rPr>
            </w:pPr>
            <w:r w:rsidRPr="00286216">
              <w:rPr>
                <w:color w:val="000000" w:themeColor="text1"/>
              </w:rPr>
              <w:t>До заяви (вимоги) додається виписка (виписки) з рахунку (рахунків) у цінних паперах, що підтверджує наявність, станом не раніше попереднього робочого дня перед днем подання заяви (вимоги) прав на облігації та прав за облігаціями відповідного випуску, а також їх обмежень, у кількості, на яку посилається власник (власники) облігацій для пред’явлення вимоги про дострокове погашення облігацій, і обмеження у розпорядженні ними на такому рахунку (таких рахунках) у цінних паперах.</w:t>
            </w:r>
          </w:p>
        </w:tc>
        <w:tc>
          <w:tcPr>
            <w:tcW w:w="3686" w:type="dxa"/>
          </w:tcPr>
          <w:p w14:paraId="36EF76FA" w14:textId="77777777" w:rsidR="009D68B8" w:rsidRPr="00286216" w:rsidRDefault="009D68B8" w:rsidP="009D68B8">
            <w:pPr>
              <w:pStyle w:val="StyleProp"/>
              <w:rPr>
                <w:color w:val="000000" w:themeColor="text1"/>
                <w:szCs w:val="18"/>
              </w:rPr>
            </w:pPr>
          </w:p>
        </w:tc>
        <w:tc>
          <w:tcPr>
            <w:tcW w:w="1987" w:type="dxa"/>
          </w:tcPr>
          <w:p w14:paraId="1BB430C3" w14:textId="77777777" w:rsidR="009D68B8" w:rsidRPr="00286216" w:rsidRDefault="009D68B8" w:rsidP="009D68B8">
            <w:pPr>
              <w:pStyle w:val="StyleWisnow"/>
              <w:rPr>
                <w:color w:val="000000" w:themeColor="text1"/>
              </w:rPr>
            </w:pPr>
          </w:p>
        </w:tc>
        <w:tc>
          <w:tcPr>
            <w:tcW w:w="4818" w:type="dxa"/>
          </w:tcPr>
          <w:p w14:paraId="6ABF5771" w14:textId="7C45EDFA" w:rsidR="009D68B8" w:rsidRPr="00286216" w:rsidRDefault="009D68B8" w:rsidP="009D68B8">
            <w:pPr>
              <w:pStyle w:val="StyleZakonu"/>
              <w:rPr>
                <w:color w:val="000000" w:themeColor="text1"/>
              </w:rPr>
            </w:pPr>
            <w:r w:rsidRPr="00286216">
              <w:rPr>
                <w:color w:val="000000" w:themeColor="text1"/>
              </w:rPr>
              <w:t>До заяви (вимоги) додається виписка (виписки) з рахунку (рахунків) у цінних паперах, що підтверджує наявність станом не раніше попереднього робочого дня перед днем подання заяви (вимоги) прав на облігації та прав за облігаціями відповідного випуску, а також їх обмежень, у кількості, на яку посилається власник (власники) облігацій для пред’явлення вимоги про дострокове погашення облігацій, і обмеження у розпорядженні ними на такому рахунку (таких рахунках) у цінних паперах.</w:t>
            </w:r>
          </w:p>
        </w:tc>
      </w:tr>
      <w:tr w:rsidR="009D68B8" w:rsidRPr="00286216" w14:paraId="1831AAD5" w14:textId="77777777" w:rsidTr="00091AA5">
        <w:tc>
          <w:tcPr>
            <w:tcW w:w="576" w:type="dxa"/>
          </w:tcPr>
          <w:p w14:paraId="62C9F294" w14:textId="77777777" w:rsidR="009D68B8" w:rsidRPr="00286216" w:rsidRDefault="009D68B8" w:rsidP="009D68B8">
            <w:pPr>
              <w:pStyle w:val="StyleWisnow"/>
              <w:rPr>
                <w:color w:val="000000" w:themeColor="text1"/>
              </w:rPr>
            </w:pPr>
            <w:bookmarkStart w:id="1629" w:name="n1880" w:colFirst="0" w:colLast="0"/>
            <w:bookmarkEnd w:id="1628"/>
            <w:r w:rsidRPr="00286216">
              <w:rPr>
                <w:color w:val="000000" w:themeColor="text1"/>
              </w:rPr>
              <w:t>1880.</w:t>
            </w:r>
          </w:p>
        </w:tc>
        <w:tc>
          <w:tcPr>
            <w:tcW w:w="4818" w:type="dxa"/>
          </w:tcPr>
          <w:p w14:paraId="786BF400" w14:textId="77777777" w:rsidR="009D68B8" w:rsidRPr="00286216" w:rsidRDefault="009D68B8" w:rsidP="009D68B8">
            <w:pPr>
              <w:pStyle w:val="StyleZakonu"/>
              <w:rPr>
                <w:color w:val="000000" w:themeColor="text1"/>
              </w:rPr>
            </w:pPr>
            <w:r w:rsidRPr="00286216">
              <w:rPr>
                <w:color w:val="000000" w:themeColor="text1"/>
              </w:rPr>
              <w:t>6. У разі отримання заяви власників облігацій про пред’явлення вимоги про дострокове погашення облігацій, якщо збори власників облігацій відповідного випуску облігацій не прийняли рішення про відмову від такої вимоги, адміністратор:</w:t>
            </w:r>
          </w:p>
        </w:tc>
        <w:tc>
          <w:tcPr>
            <w:tcW w:w="3686" w:type="dxa"/>
          </w:tcPr>
          <w:p w14:paraId="607C94D7" w14:textId="77777777" w:rsidR="009D68B8" w:rsidRPr="00286216" w:rsidRDefault="009D68B8" w:rsidP="009D68B8">
            <w:pPr>
              <w:pStyle w:val="StyleProp"/>
              <w:rPr>
                <w:color w:val="000000" w:themeColor="text1"/>
                <w:szCs w:val="18"/>
              </w:rPr>
            </w:pPr>
          </w:p>
        </w:tc>
        <w:tc>
          <w:tcPr>
            <w:tcW w:w="1987" w:type="dxa"/>
          </w:tcPr>
          <w:p w14:paraId="2666EB3A" w14:textId="77777777" w:rsidR="009D68B8" w:rsidRPr="00286216" w:rsidRDefault="009D68B8" w:rsidP="009D68B8">
            <w:pPr>
              <w:pStyle w:val="StyleWisnow"/>
              <w:rPr>
                <w:color w:val="000000" w:themeColor="text1"/>
              </w:rPr>
            </w:pPr>
          </w:p>
        </w:tc>
        <w:tc>
          <w:tcPr>
            <w:tcW w:w="4818" w:type="dxa"/>
          </w:tcPr>
          <w:p w14:paraId="555AD1DB" w14:textId="015457B1" w:rsidR="009D68B8" w:rsidRPr="00286216" w:rsidRDefault="009D68B8" w:rsidP="009D68B8">
            <w:pPr>
              <w:pStyle w:val="StyleZakonu"/>
              <w:rPr>
                <w:color w:val="000000" w:themeColor="text1"/>
              </w:rPr>
            </w:pPr>
            <w:r w:rsidRPr="00286216">
              <w:rPr>
                <w:color w:val="000000" w:themeColor="text1"/>
              </w:rPr>
              <w:t>6. У разі отримання заяви власників облігацій про пред’явлення вимоги про дострокове погашення облігацій, якщо збори власників облігацій відповідного випуску облігацій не прийняли рішення про відмову від такої вимоги, адміністратор:</w:t>
            </w:r>
          </w:p>
        </w:tc>
      </w:tr>
      <w:tr w:rsidR="009D68B8" w:rsidRPr="00286216" w14:paraId="0F6C7035" w14:textId="77777777" w:rsidTr="00091AA5">
        <w:tc>
          <w:tcPr>
            <w:tcW w:w="576" w:type="dxa"/>
          </w:tcPr>
          <w:p w14:paraId="447372EA" w14:textId="77777777" w:rsidR="009D68B8" w:rsidRPr="00286216" w:rsidRDefault="009D68B8" w:rsidP="009D68B8">
            <w:pPr>
              <w:pStyle w:val="StyleWisnow"/>
              <w:rPr>
                <w:color w:val="000000" w:themeColor="text1"/>
              </w:rPr>
            </w:pPr>
            <w:bookmarkStart w:id="1630" w:name="n1881" w:colFirst="0" w:colLast="0"/>
            <w:bookmarkEnd w:id="1629"/>
            <w:r w:rsidRPr="00286216">
              <w:rPr>
                <w:color w:val="000000" w:themeColor="text1"/>
              </w:rPr>
              <w:t>1881.</w:t>
            </w:r>
          </w:p>
        </w:tc>
        <w:tc>
          <w:tcPr>
            <w:tcW w:w="4818" w:type="dxa"/>
          </w:tcPr>
          <w:p w14:paraId="1C0C4411" w14:textId="77777777" w:rsidR="009D68B8" w:rsidRPr="00286216" w:rsidRDefault="009D68B8" w:rsidP="009D68B8">
            <w:pPr>
              <w:pStyle w:val="StyleZakonu"/>
              <w:rPr>
                <w:color w:val="000000" w:themeColor="text1"/>
              </w:rPr>
            </w:pPr>
            <w:r w:rsidRPr="00286216">
              <w:rPr>
                <w:color w:val="000000" w:themeColor="text1"/>
              </w:rPr>
              <w:t>1) негайно, але в будь-якому разі не пізніше ніж протягом трьох робочих днів направляє вимогу про дострокове погашення емітенту, особам, які надають забезпечення за облігаціями;</w:t>
            </w:r>
          </w:p>
        </w:tc>
        <w:tc>
          <w:tcPr>
            <w:tcW w:w="3686" w:type="dxa"/>
          </w:tcPr>
          <w:p w14:paraId="1D9BF77A" w14:textId="77777777" w:rsidR="009D68B8" w:rsidRPr="00286216" w:rsidRDefault="009D68B8" w:rsidP="009D68B8">
            <w:pPr>
              <w:pStyle w:val="StyleProp"/>
              <w:rPr>
                <w:color w:val="000000" w:themeColor="text1"/>
                <w:szCs w:val="18"/>
              </w:rPr>
            </w:pPr>
          </w:p>
        </w:tc>
        <w:tc>
          <w:tcPr>
            <w:tcW w:w="1987" w:type="dxa"/>
          </w:tcPr>
          <w:p w14:paraId="0371B8C0" w14:textId="77777777" w:rsidR="009D68B8" w:rsidRPr="00286216" w:rsidRDefault="009D68B8" w:rsidP="009D68B8">
            <w:pPr>
              <w:pStyle w:val="StyleWisnow"/>
              <w:rPr>
                <w:color w:val="000000" w:themeColor="text1"/>
              </w:rPr>
            </w:pPr>
          </w:p>
        </w:tc>
        <w:tc>
          <w:tcPr>
            <w:tcW w:w="4818" w:type="dxa"/>
          </w:tcPr>
          <w:p w14:paraId="3CC93E6B" w14:textId="00CCE512" w:rsidR="009D68B8" w:rsidRPr="00286216" w:rsidRDefault="009D68B8" w:rsidP="009D68B8">
            <w:pPr>
              <w:pStyle w:val="StyleZakonu"/>
              <w:rPr>
                <w:color w:val="000000" w:themeColor="text1"/>
              </w:rPr>
            </w:pPr>
            <w:r w:rsidRPr="00286216">
              <w:rPr>
                <w:color w:val="000000" w:themeColor="text1"/>
              </w:rPr>
              <w:t>1) негайно, але в будь-якому разі не пізніше ніж протягом трьох робочих днів направляє вимогу про дострокове погашення облігацій емітенту, особам, які надають забезпечення за облігаціями;</w:t>
            </w:r>
          </w:p>
        </w:tc>
      </w:tr>
      <w:tr w:rsidR="009D68B8" w:rsidRPr="00286216" w14:paraId="45291169" w14:textId="77777777" w:rsidTr="00091AA5">
        <w:tc>
          <w:tcPr>
            <w:tcW w:w="576" w:type="dxa"/>
          </w:tcPr>
          <w:p w14:paraId="4E1952DB" w14:textId="77777777" w:rsidR="009D68B8" w:rsidRPr="00286216" w:rsidRDefault="009D68B8" w:rsidP="009D68B8">
            <w:pPr>
              <w:pStyle w:val="StyleWisnow"/>
              <w:rPr>
                <w:color w:val="000000" w:themeColor="text1"/>
              </w:rPr>
            </w:pPr>
            <w:bookmarkStart w:id="1631" w:name="n1882" w:colFirst="0" w:colLast="0"/>
            <w:bookmarkEnd w:id="1630"/>
            <w:r w:rsidRPr="00286216">
              <w:rPr>
                <w:color w:val="000000" w:themeColor="text1"/>
              </w:rPr>
              <w:t>1882.</w:t>
            </w:r>
          </w:p>
        </w:tc>
        <w:tc>
          <w:tcPr>
            <w:tcW w:w="4818" w:type="dxa"/>
          </w:tcPr>
          <w:p w14:paraId="3C8C7ED7" w14:textId="77777777" w:rsidR="009D68B8" w:rsidRPr="00286216" w:rsidRDefault="009D68B8" w:rsidP="009D68B8">
            <w:pPr>
              <w:pStyle w:val="StyleZakonu"/>
              <w:rPr>
                <w:color w:val="000000" w:themeColor="text1"/>
              </w:rPr>
            </w:pPr>
            <w:r w:rsidRPr="00286216">
              <w:rPr>
                <w:color w:val="000000" w:themeColor="text1"/>
              </w:rPr>
              <w:t>2) у той самий день інформує через депозитарну систему України усіх власників облігацій відповідного випуску облігацій про пред’явлення вимоги;</w:t>
            </w:r>
          </w:p>
        </w:tc>
        <w:tc>
          <w:tcPr>
            <w:tcW w:w="3686" w:type="dxa"/>
          </w:tcPr>
          <w:p w14:paraId="74EACB6E" w14:textId="77777777" w:rsidR="009D68B8" w:rsidRPr="00286216" w:rsidRDefault="009D68B8" w:rsidP="009D68B8">
            <w:pPr>
              <w:pStyle w:val="StyleProp"/>
              <w:rPr>
                <w:color w:val="000000" w:themeColor="text1"/>
                <w:szCs w:val="18"/>
              </w:rPr>
            </w:pPr>
          </w:p>
        </w:tc>
        <w:tc>
          <w:tcPr>
            <w:tcW w:w="1987" w:type="dxa"/>
          </w:tcPr>
          <w:p w14:paraId="6E8B262E" w14:textId="77777777" w:rsidR="009D68B8" w:rsidRPr="00286216" w:rsidRDefault="009D68B8" w:rsidP="009D68B8">
            <w:pPr>
              <w:pStyle w:val="StyleWisnow"/>
              <w:rPr>
                <w:color w:val="000000" w:themeColor="text1"/>
              </w:rPr>
            </w:pPr>
          </w:p>
        </w:tc>
        <w:tc>
          <w:tcPr>
            <w:tcW w:w="4818" w:type="dxa"/>
          </w:tcPr>
          <w:p w14:paraId="6B44B037" w14:textId="769C9A03" w:rsidR="009D68B8" w:rsidRPr="00286216" w:rsidRDefault="009D68B8" w:rsidP="009D68B8">
            <w:pPr>
              <w:pStyle w:val="StyleZakonu"/>
              <w:rPr>
                <w:color w:val="000000" w:themeColor="text1"/>
              </w:rPr>
            </w:pPr>
            <w:r w:rsidRPr="00286216">
              <w:rPr>
                <w:color w:val="000000" w:themeColor="text1"/>
              </w:rPr>
              <w:t>2) у той самий день інформує через депозитарну систему України всіх власників облігацій відповідного випуску облігацій про пред’явлення вимоги;</w:t>
            </w:r>
          </w:p>
        </w:tc>
      </w:tr>
      <w:tr w:rsidR="009D68B8" w:rsidRPr="00286216" w14:paraId="7FC8FEB0" w14:textId="77777777" w:rsidTr="00091AA5">
        <w:tc>
          <w:tcPr>
            <w:tcW w:w="576" w:type="dxa"/>
          </w:tcPr>
          <w:p w14:paraId="538DC47B" w14:textId="77777777" w:rsidR="009D68B8" w:rsidRPr="00286216" w:rsidRDefault="009D68B8" w:rsidP="009D68B8">
            <w:pPr>
              <w:pStyle w:val="StyleWisnow"/>
              <w:rPr>
                <w:color w:val="000000" w:themeColor="text1"/>
              </w:rPr>
            </w:pPr>
            <w:bookmarkStart w:id="1632" w:name="n1883" w:colFirst="0" w:colLast="0"/>
            <w:bookmarkEnd w:id="1631"/>
            <w:r w:rsidRPr="00286216">
              <w:rPr>
                <w:color w:val="000000" w:themeColor="text1"/>
              </w:rPr>
              <w:t>1883.</w:t>
            </w:r>
          </w:p>
        </w:tc>
        <w:tc>
          <w:tcPr>
            <w:tcW w:w="4818" w:type="dxa"/>
          </w:tcPr>
          <w:p w14:paraId="00B78CA3" w14:textId="77777777" w:rsidR="009D68B8" w:rsidRPr="00286216" w:rsidRDefault="009D68B8" w:rsidP="009D68B8">
            <w:pPr>
              <w:pStyle w:val="StyleZakonu"/>
              <w:rPr>
                <w:color w:val="000000" w:themeColor="text1"/>
              </w:rPr>
            </w:pPr>
            <w:r w:rsidRPr="00286216">
              <w:rPr>
                <w:color w:val="000000" w:themeColor="text1"/>
              </w:rPr>
              <w:t xml:space="preserve">3) вживає заходів до примусового стягнення </w:t>
            </w:r>
            <w:r w:rsidRPr="00286216">
              <w:rPr>
                <w:color w:val="000000" w:themeColor="text1"/>
              </w:rPr>
              <w:lastRenderedPageBreak/>
              <w:t>заборгованості з емітента, осіб, які надають забезпечення за облігаціями, у тому числі тих, що передбачені частиною першою статті 117 цього Закону;</w:t>
            </w:r>
          </w:p>
        </w:tc>
        <w:tc>
          <w:tcPr>
            <w:tcW w:w="3686" w:type="dxa"/>
          </w:tcPr>
          <w:p w14:paraId="1C9AF68D" w14:textId="77777777" w:rsidR="009D68B8" w:rsidRPr="00286216" w:rsidRDefault="009D68B8" w:rsidP="009D68B8">
            <w:pPr>
              <w:pStyle w:val="StyleProp"/>
              <w:rPr>
                <w:color w:val="000000" w:themeColor="text1"/>
                <w:szCs w:val="18"/>
              </w:rPr>
            </w:pPr>
          </w:p>
        </w:tc>
        <w:tc>
          <w:tcPr>
            <w:tcW w:w="1987" w:type="dxa"/>
          </w:tcPr>
          <w:p w14:paraId="7FF12E93" w14:textId="77777777" w:rsidR="009D68B8" w:rsidRPr="00286216" w:rsidRDefault="009D68B8" w:rsidP="009D68B8">
            <w:pPr>
              <w:pStyle w:val="StyleWisnow"/>
              <w:rPr>
                <w:color w:val="000000" w:themeColor="text1"/>
              </w:rPr>
            </w:pPr>
          </w:p>
        </w:tc>
        <w:tc>
          <w:tcPr>
            <w:tcW w:w="4818" w:type="dxa"/>
          </w:tcPr>
          <w:p w14:paraId="6294C150" w14:textId="10639AA3" w:rsidR="009D68B8" w:rsidRPr="00286216" w:rsidRDefault="009D68B8" w:rsidP="009D68B8">
            <w:pPr>
              <w:pStyle w:val="StyleZakonu"/>
              <w:rPr>
                <w:color w:val="000000" w:themeColor="text1"/>
              </w:rPr>
            </w:pPr>
            <w:r w:rsidRPr="00286216">
              <w:rPr>
                <w:color w:val="000000" w:themeColor="text1"/>
              </w:rPr>
              <w:t xml:space="preserve">3) вживає заходів до примусового стягнення </w:t>
            </w:r>
            <w:r w:rsidRPr="00286216">
              <w:rPr>
                <w:color w:val="000000" w:themeColor="text1"/>
              </w:rPr>
              <w:lastRenderedPageBreak/>
              <w:t>заборгованості з емітента та/або осіб, які надають забезпечення за облігаціями, у тому числі заходів, передбачених частиною першою статті 121 цього Закону;</w:t>
            </w:r>
          </w:p>
        </w:tc>
      </w:tr>
      <w:tr w:rsidR="009D68B8" w:rsidRPr="00286216" w14:paraId="008F4ECA" w14:textId="77777777" w:rsidTr="00091AA5">
        <w:tc>
          <w:tcPr>
            <w:tcW w:w="576" w:type="dxa"/>
          </w:tcPr>
          <w:p w14:paraId="5CDFA3F7" w14:textId="77777777" w:rsidR="009D68B8" w:rsidRPr="00286216" w:rsidRDefault="009D68B8" w:rsidP="009D68B8">
            <w:pPr>
              <w:pStyle w:val="StyleWisnow"/>
              <w:rPr>
                <w:color w:val="000000" w:themeColor="text1"/>
              </w:rPr>
            </w:pPr>
            <w:bookmarkStart w:id="1633" w:name="n1884" w:colFirst="0" w:colLast="0"/>
            <w:bookmarkEnd w:id="1632"/>
            <w:r w:rsidRPr="00286216">
              <w:rPr>
                <w:color w:val="000000" w:themeColor="text1"/>
              </w:rPr>
              <w:lastRenderedPageBreak/>
              <w:t>1884.</w:t>
            </w:r>
          </w:p>
        </w:tc>
        <w:tc>
          <w:tcPr>
            <w:tcW w:w="4818" w:type="dxa"/>
          </w:tcPr>
          <w:p w14:paraId="0AA228A7" w14:textId="77777777" w:rsidR="009D68B8" w:rsidRPr="00286216" w:rsidRDefault="009D68B8" w:rsidP="009D68B8">
            <w:pPr>
              <w:pStyle w:val="StyleZakonu"/>
              <w:rPr>
                <w:color w:val="000000" w:themeColor="text1"/>
              </w:rPr>
            </w:pPr>
            <w:r w:rsidRPr="00286216">
              <w:rPr>
                <w:color w:val="000000" w:themeColor="text1"/>
              </w:rPr>
              <w:t>4) вживає інших заходів, передбачених цим Законом, нормативно-правовими актами Національної комісії з цінних паперів та фондового ринку, проспектом (рішенням про емісію цінних паперів), договором про призначення адміністратора з метою захисту прав та інтересів власників облігацій.</w:t>
            </w:r>
          </w:p>
        </w:tc>
        <w:tc>
          <w:tcPr>
            <w:tcW w:w="3686" w:type="dxa"/>
          </w:tcPr>
          <w:p w14:paraId="09FE540E" w14:textId="77777777" w:rsidR="009D68B8" w:rsidRPr="00286216" w:rsidRDefault="009D68B8" w:rsidP="009D68B8">
            <w:pPr>
              <w:pStyle w:val="StyleProp"/>
              <w:rPr>
                <w:color w:val="000000" w:themeColor="text1"/>
                <w:szCs w:val="18"/>
              </w:rPr>
            </w:pPr>
          </w:p>
        </w:tc>
        <w:tc>
          <w:tcPr>
            <w:tcW w:w="1987" w:type="dxa"/>
          </w:tcPr>
          <w:p w14:paraId="7CEB5833" w14:textId="77777777" w:rsidR="009D68B8" w:rsidRPr="00286216" w:rsidRDefault="009D68B8" w:rsidP="009D68B8">
            <w:pPr>
              <w:pStyle w:val="StyleWisnow"/>
              <w:rPr>
                <w:color w:val="000000" w:themeColor="text1"/>
              </w:rPr>
            </w:pPr>
          </w:p>
        </w:tc>
        <w:tc>
          <w:tcPr>
            <w:tcW w:w="4818" w:type="dxa"/>
          </w:tcPr>
          <w:p w14:paraId="6BA3A8CA" w14:textId="49048E0E" w:rsidR="009D68B8" w:rsidRPr="00286216" w:rsidRDefault="009D68B8" w:rsidP="009D68B8">
            <w:pPr>
              <w:pStyle w:val="StyleZakonu"/>
              <w:rPr>
                <w:color w:val="000000" w:themeColor="text1"/>
              </w:rPr>
            </w:pPr>
            <w:r w:rsidRPr="00286216">
              <w:rPr>
                <w:color w:val="000000" w:themeColor="text1"/>
              </w:rPr>
              <w:t>4) вживає інших заходів спрямованих на захист прав та інтересів власників облігацій, передбачених цим Законом, нормативно-правовими актами Національної комісії з цінних паперів та фондового ринку, проспектом (рішенням про емісію), договором про призначення адміністратора.</w:t>
            </w:r>
          </w:p>
        </w:tc>
      </w:tr>
      <w:tr w:rsidR="009D68B8" w:rsidRPr="00286216" w14:paraId="6AE10D57" w14:textId="77777777" w:rsidTr="00091AA5">
        <w:tc>
          <w:tcPr>
            <w:tcW w:w="576" w:type="dxa"/>
          </w:tcPr>
          <w:p w14:paraId="14CE432C" w14:textId="77777777" w:rsidR="009D68B8" w:rsidRPr="00286216" w:rsidRDefault="009D68B8" w:rsidP="009D68B8">
            <w:pPr>
              <w:pStyle w:val="StyleWisnow"/>
              <w:rPr>
                <w:color w:val="000000" w:themeColor="text1"/>
              </w:rPr>
            </w:pPr>
            <w:bookmarkStart w:id="1634" w:name="n1885" w:colFirst="0" w:colLast="0"/>
            <w:bookmarkEnd w:id="1633"/>
            <w:r w:rsidRPr="00286216">
              <w:rPr>
                <w:color w:val="000000" w:themeColor="text1"/>
              </w:rPr>
              <w:t>1885.</w:t>
            </w:r>
          </w:p>
        </w:tc>
        <w:tc>
          <w:tcPr>
            <w:tcW w:w="4818" w:type="dxa"/>
          </w:tcPr>
          <w:p w14:paraId="47F3B3C5" w14:textId="77777777" w:rsidR="009D68B8" w:rsidRPr="00286216" w:rsidRDefault="009D68B8" w:rsidP="009D68B8">
            <w:pPr>
              <w:pStyle w:val="StyleZakonu"/>
              <w:rPr>
                <w:color w:val="000000" w:themeColor="text1"/>
              </w:rPr>
            </w:pPr>
            <w:r w:rsidRPr="00286216">
              <w:rPr>
                <w:color w:val="000000" w:themeColor="text1"/>
              </w:rPr>
              <w:t>7. У разі отримання вимоги власників облігацій про дострокове погашення облігацій, якщо збори власників облігацій відповідного випуску не прийняли рішення про відмову від такої вимоги, строк погашення облігацій вважається таким, що настав, якщо проспектом (рішенням про емісію цінних паперів) не встановлений інший строк виконання вимоги.</w:t>
            </w:r>
          </w:p>
        </w:tc>
        <w:tc>
          <w:tcPr>
            <w:tcW w:w="3686" w:type="dxa"/>
          </w:tcPr>
          <w:p w14:paraId="6B44682A" w14:textId="77777777" w:rsidR="009D68B8" w:rsidRPr="00286216" w:rsidRDefault="009D68B8" w:rsidP="009D68B8">
            <w:pPr>
              <w:pStyle w:val="StyleProp"/>
              <w:rPr>
                <w:color w:val="000000" w:themeColor="text1"/>
                <w:szCs w:val="18"/>
              </w:rPr>
            </w:pPr>
          </w:p>
        </w:tc>
        <w:tc>
          <w:tcPr>
            <w:tcW w:w="1987" w:type="dxa"/>
          </w:tcPr>
          <w:p w14:paraId="3A5D0274" w14:textId="77777777" w:rsidR="009D68B8" w:rsidRPr="00286216" w:rsidRDefault="009D68B8" w:rsidP="009D68B8">
            <w:pPr>
              <w:pStyle w:val="StyleWisnow"/>
              <w:rPr>
                <w:color w:val="000000" w:themeColor="text1"/>
              </w:rPr>
            </w:pPr>
          </w:p>
        </w:tc>
        <w:tc>
          <w:tcPr>
            <w:tcW w:w="4818" w:type="dxa"/>
          </w:tcPr>
          <w:p w14:paraId="1D33E4E6" w14:textId="4D832048" w:rsidR="009D68B8" w:rsidRPr="00286216" w:rsidRDefault="009D68B8" w:rsidP="009D68B8">
            <w:pPr>
              <w:pStyle w:val="StyleZakonu"/>
              <w:rPr>
                <w:color w:val="000000" w:themeColor="text1"/>
              </w:rPr>
            </w:pPr>
            <w:r w:rsidRPr="00286216">
              <w:rPr>
                <w:color w:val="000000" w:themeColor="text1"/>
              </w:rPr>
              <w:t>7. У разі отримання вимоги власників облігацій про дострокове погашення облігацій, якщо збори власників облігацій відповідного випуску не прийняли рішення про відмову від такої вимоги, строк погашення облігацій вважається таким, що настав, якщо проспектом (рішенням про емісію) не встановлений інший строк виконання вимоги.</w:t>
            </w:r>
          </w:p>
        </w:tc>
      </w:tr>
      <w:tr w:rsidR="009D68B8" w:rsidRPr="00286216" w14:paraId="2546A50D" w14:textId="77777777" w:rsidTr="00091AA5">
        <w:tc>
          <w:tcPr>
            <w:tcW w:w="576" w:type="dxa"/>
          </w:tcPr>
          <w:p w14:paraId="56C9AEE0" w14:textId="77777777" w:rsidR="009D68B8" w:rsidRPr="00286216" w:rsidRDefault="009D68B8" w:rsidP="009D68B8">
            <w:pPr>
              <w:pStyle w:val="StyleWisnow"/>
              <w:rPr>
                <w:color w:val="000000" w:themeColor="text1"/>
              </w:rPr>
            </w:pPr>
            <w:bookmarkStart w:id="1635" w:name="n1886" w:colFirst="0" w:colLast="0"/>
            <w:bookmarkEnd w:id="1634"/>
            <w:r w:rsidRPr="00286216">
              <w:rPr>
                <w:color w:val="000000" w:themeColor="text1"/>
              </w:rPr>
              <w:t>1886.</w:t>
            </w:r>
          </w:p>
        </w:tc>
        <w:tc>
          <w:tcPr>
            <w:tcW w:w="4818" w:type="dxa"/>
          </w:tcPr>
          <w:p w14:paraId="1246B35A" w14:textId="77777777" w:rsidR="009D68B8" w:rsidRPr="00286216" w:rsidRDefault="009D68B8" w:rsidP="009D68B8">
            <w:pPr>
              <w:pStyle w:val="StyleZakonu"/>
              <w:rPr>
                <w:color w:val="000000" w:themeColor="text1"/>
              </w:rPr>
            </w:pPr>
            <w:r w:rsidRPr="00286216">
              <w:rPr>
                <w:color w:val="000000" w:themeColor="text1"/>
              </w:rPr>
              <w:t>8. Проспектом (рішенням про емісію цінних паперів) облігацій або законом можуть бути передбачені додаткові наслідки настання дефолту.</w:t>
            </w:r>
          </w:p>
        </w:tc>
        <w:tc>
          <w:tcPr>
            <w:tcW w:w="3686" w:type="dxa"/>
          </w:tcPr>
          <w:p w14:paraId="3D5B2D5B" w14:textId="77777777" w:rsidR="009D68B8" w:rsidRPr="00286216" w:rsidRDefault="009D68B8" w:rsidP="009D68B8">
            <w:pPr>
              <w:pStyle w:val="StyleProp"/>
              <w:rPr>
                <w:color w:val="000000" w:themeColor="text1"/>
                <w:szCs w:val="18"/>
              </w:rPr>
            </w:pPr>
          </w:p>
        </w:tc>
        <w:tc>
          <w:tcPr>
            <w:tcW w:w="1987" w:type="dxa"/>
          </w:tcPr>
          <w:p w14:paraId="6DE7D598" w14:textId="77777777" w:rsidR="009D68B8" w:rsidRPr="00286216" w:rsidRDefault="009D68B8" w:rsidP="009D68B8">
            <w:pPr>
              <w:pStyle w:val="StyleWisnow"/>
              <w:rPr>
                <w:color w:val="000000" w:themeColor="text1"/>
              </w:rPr>
            </w:pPr>
          </w:p>
        </w:tc>
        <w:tc>
          <w:tcPr>
            <w:tcW w:w="4818" w:type="dxa"/>
          </w:tcPr>
          <w:p w14:paraId="71FA2ABE" w14:textId="02697E77" w:rsidR="009D68B8" w:rsidRPr="00286216" w:rsidRDefault="009D68B8" w:rsidP="009D68B8">
            <w:pPr>
              <w:pStyle w:val="StyleZakonu"/>
              <w:rPr>
                <w:color w:val="000000" w:themeColor="text1"/>
              </w:rPr>
            </w:pPr>
            <w:r w:rsidRPr="00286216">
              <w:rPr>
                <w:color w:val="000000" w:themeColor="text1"/>
              </w:rPr>
              <w:t>8. Проспектом (рішенням про емісію) облігацій або законом можуть бути передбачені додаткові наслідки настання дефолту.</w:t>
            </w:r>
          </w:p>
        </w:tc>
      </w:tr>
      <w:tr w:rsidR="009D68B8" w:rsidRPr="00286216" w14:paraId="3D648619" w14:textId="77777777" w:rsidTr="00091AA5">
        <w:tc>
          <w:tcPr>
            <w:tcW w:w="576" w:type="dxa"/>
          </w:tcPr>
          <w:p w14:paraId="2236981A" w14:textId="77777777" w:rsidR="009D68B8" w:rsidRPr="00286216" w:rsidRDefault="009D68B8" w:rsidP="009D68B8">
            <w:pPr>
              <w:pStyle w:val="StyleWisnow"/>
              <w:rPr>
                <w:color w:val="000000" w:themeColor="text1"/>
              </w:rPr>
            </w:pPr>
            <w:bookmarkStart w:id="1636" w:name="n1887" w:colFirst="0" w:colLast="0"/>
            <w:bookmarkEnd w:id="1635"/>
            <w:r w:rsidRPr="00286216">
              <w:rPr>
                <w:color w:val="000000" w:themeColor="text1"/>
              </w:rPr>
              <w:t>1887.</w:t>
            </w:r>
          </w:p>
        </w:tc>
        <w:tc>
          <w:tcPr>
            <w:tcW w:w="4818" w:type="dxa"/>
          </w:tcPr>
          <w:p w14:paraId="2375CFA6" w14:textId="77777777" w:rsidR="009D68B8" w:rsidRPr="00286216" w:rsidRDefault="009D68B8" w:rsidP="009D68B8">
            <w:pPr>
              <w:pStyle w:val="StyleZakonu"/>
              <w:rPr>
                <w:color w:val="000000" w:themeColor="text1"/>
              </w:rPr>
            </w:pPr>
            <w:bookmarkStart w:id="1637" w:name="_Ref16418005"/>
            <w:r w:rsidRPr="00286216">
              <w:rPr>
                <w:color w:val="000000" w:themeColor="text1"/>
              </w:rPr>
              <w:t>Стаття 110. Призначення адміністратора</w:t>
            </w:r>
            <w:bookmarkEnd w:id="1637"/>
          </w:p>
        </w:tc>
        <w:tc>
          <w:tcPr>
            <w:tcW w:w="3686" w:type="dxa"/>
          </w:tcPr>
          <w:p w14:paraId="79ABE19A" w14:textId="77777777" w:rsidR="009D68B8" w:rsidRPr="00286216" w:rsidRDefault="009D68B8" w:rsidP="009D68B8">
            <w:pPr>
              <w:pStyle w:val="StyleProp"/>
              <w:rPr>
                <w:color w:val="000000" w:themeColor="text1"/>
                <w:szCs w:val="18"/>
              </w:rPr>
            </w:pPr>
          </w:p>
        </w:tc>
        <w:tc>
          <w:tcPr>
            <w:tcW w:w="1987" w:type="dxa"/>
          </w:tcPr>
          <w:p w14:paraId="51FACA07" w14:textId="77777777" w:rsidR="009D68B8" w:rsidRPr="00286216" w:rsidRDefault="009D68B8" w:rsidP="009D68B8">
            <w:pPr>
              <w:pStyle w:val="StyleWisnow"/>
              <w:rPr>
                <w:color w:val="000000" w:themeColor="text1"/>
              </w:rPr>
            </w:pPr>
          </w:p>
        </w:tc>
        <w:tc>
          <w:tcPr>
            <w:tcW w:w="4818" w:type="dxa"/>
          </w:tcPr>
          <w:p w14:paraId="1D255CC4" w14:textId="44945B16" w:rsidR="009D68B8" w:rsidRPr="00286216" w:rsidRDefault="009D68B8" w:rsidP="009D68B8">
            <w:pPr>
              <w:pStyle w:val="StyleZakonu"/>
              <w:rPr>
                <w:color w:val="000000" w:themeColor="text1"/>
              </w:rPr>
            </w:pPr>
            <w:r w:rsidRPr="00286216">
              <w:rPr>
                <w:color w:val="000000" w:themeColor="text1"/>
              </w:rPr>
              <w:t>Стаття 114. Призначення адміністратора</w:t>
            </w:r>
          </w:p>
        </w:tc>
      </w:tr>
      <w:tr w:rsidR="009D68B8" w:rsidRPr="00286216" w14:paraId="62FD1687" w14:textId="77777777" w:rsidTr="00091AA5">
        <w:tc>
          <w:tcPr>
            <w:tcW w:w="576" w:type="dxa"/>
          </w:tcPr>
          <w:p w14:paraId="54793E14" w14:textId="77777777" w:rsidR="009D68B8" w:rsidRPr="00286216" w:rsidRDefault="009D68B8" w:rsidP="009D68B8">
            <w:pPr>
              <w:pStyle w:val="StyleWisnow"/>
              <w:rPr>
                <w:color w:val="000000" w:themeColor="text1"/>
              </w:rPr>
            </w:pPr>
            <w:bookmarkStart w:id="1638" w:name="n1888" w:colFirst="0" w:colLast="0"/>
            <w:bookmarkEnd w:id="1636"/>
            <w:r w:rsidRPr="00286216">
              <w:rPr>
                <w:color w:val="000000" w:themeColor="text1"/>
              </w:rPr>
              <w:t>1888.</w:t>
            </w:r>
          </w:p>
        </w:tc>
        <w:tc>
          <w:tcPr>
            <w:tcW w:w="4818" w:type="dxa"/>
          </w:tcPr>
          <w:p w14:paraId="4A4F6CAB" w14:textId="77777777" w:rsidR="009D68B8" w:rsidRPr="00286216" w:rsidRDefault="009D68B8" w:rsidP="009D68B8">
            <w:pPr>
              <w:pStyle w:val="StyleZakonu"/>
              <w:rPr>
                <w:color w:val="000000" w:themeColor="text1"/>
              </w:rPr>
            </w:pPr>
            <w:r w:rsidRPr="00286216">
              <w:rPr>
                <w:color w:val="000000" w:themeColor="text1"/>
              </w:rPr>
              <w:t>1. Емітент облігацій має право призначити адміністратора. За випуском облігацій може бути призначений лише один адміністратор.</w:t>
            </w:r>
          </w:p>
        </w:tc>
        <w:tc>
          <w:tcPr>
            <w:tcW w:w="3686" w:type="dxa"/>
          </w:tcPr>
          <w:p w14:paraId="6408A912" w14:textId="77777777" w:rsidR="009D68B8" w:rsidRPr="00286216" w:rsidRDefault="009D68B8" w:rsidP="009D68B8">
            <w:pPr>
              <w:pStyle w:val="StyleProp"/>
              <w:rPr>
                <w:color w:val="000000" w:themeColor="text1"/>
                <w:szCs w:val="18"/>
              </w:rPr>
            </w:pPr>
          </w:p>
        </w:tc>
        <w:tc>
          <w:tcPr>
            <w:tcW w:w="1987" w:type="dxa"/>
          </w:tcPr>
          <w:p w14:paraId="3B4B0649" w14:textId="77777777" w:rsidR="009D68B8" w:rsidRPr="00286216" w:rsidRDefault="009D68B8" w:rsidP="009D68B8">
            <w:pPr>
              <w:pStyle w:val="StyleWisnow"/>
              <w:rPr>
                <w:color w:val="000000" w:themeColor="text1"/>
              </w:rPr>
            </w:pPr>
          </w:p>
        </w:tc>
        <w:tc>
          <w:tcPr>
            <w:tcW w:w="4818" w:type="dxa"/>
          </w:tcPr>
          <w:p w14:paraId="483CE3D4" w14:textId="19B7069D" w:rsidR="009D68B8" w:rsidRPr="00286216" w:rsidRDefault="009D68B8" w:rsidP="009D68B8">
            <w:pPr>
              <w:pStyle w:val="StyleZakonu"/>
              <w:rPr>
                <w:color w:val="000000" w:themeColor="text1"/>
              </w:rPr>
            </w:pPr>
            <w:r w:rsidRPr="00286216">
              <w:rPr>
                <w:color w:val="000000" w:themeColor="text1"/>
              </w:rPr>
              <w:t>1. Емітент облігацій має право призначити адміністратора. За випуском облігацій може бути призначений лише один адміністратор.</w:t>
            </w:r>
          </w:p>
        </w:tc>
      </w:tr>
      <w:tr w:rsidR="009D68B8" w:rsidRPr="00286216" w14:paraId="2ACDDC06" w14:textId="77777777" w:rsidTr="00091AA5">
        <w:tc>
          <w:tcPr>
            <w:tcW w:w="576" w:type="dxa"/>
          </w:tcPr>
          <w:p w14:paraId="22562312" w14:textId="77777777" w:rsidR="009D68B8" w:rsidRPr="00286216" w:rsidRDefault="009D68B8" w:rsidP="009D68B8">
            <w:pPr>
              <w:pStyle w:val="StyleWisnow"/>
              <w:rPr>
                <w:color w:val="000000" w:themeColor="text1"/>
              </w:rPr>
            </w:pPr>
            <w:bookmarkStart w:id="1639" w:name="n1889" w:colFirst="0" w:colLast="0"/>
            <w:bookmarkEnd w:id="1638"/>
            <w:r w:rsidRPr="00286216">
              <w:rPr>
                <w:color w:val="000000" w:themeColor="text1"/>
              </w:rPr>
              <w:t>1889.</w:t>
            </w:r>
          </w:p>
        </w:tc>
        <w:tc>
          <w:tcPr>
            <w:tcW w:w="4818" w:type="dxa"/>
          </w:tcPr>
          <w:p w14:paraId="5D8C1DD6" w14:textId="77777777" w:rsidR="009D68B8" w:rsidRPr="00286216" w:rsidRDefault="009D68B8" w:rsidP="009D68B8">
            <w:pPr>
              <w:pStyle w:val="StyleZakonu"/>
              <w:rPr>
                <w:color w:val="000000" w:themeColor="text1"/>
              </w:rPr>
            </w:pPr>
            <w:r w:rsidRPr="00286216">
              <w:rPr>
                <w:color w:val="000000" w:themeColor="text1"/>
              </w:rPr>
              <w:t>Всі власники облігацій за домовленістю або збори власників облігацій мають право обрати адміністратора у разі:</w:t>
            </w:r>
          </w:p>
        </w:tc>
        <w:tc>
          <w:tcPr>
            <w:tcW w:w="3686" w:type="dxa"/>
          </w:tcPr>
          <w:p w14:paraId="636192B3" w14:textId="77777777" w:rsidR="009D68B8" w:rsidRPr="00286216" w:rsidRDefault="009D68B8" w:rsidP="009D68B8">
            <w:pPr>
              <w:pStyle w:val="StyleProp"/>
              <w:rPr>
                <w:color w:val="000000" w:themeColor="text1"/>
                <w:szCs w:val="18"/>
              </w:rPr>
            </w:pPr>
          </w:p>
        </w:tc>
        <w:tc>
          <w:tcPr>
            <w:tcW w:w="1987" w:type="dxa"/>
          </w:tcPr>
          <w:p w14:paraId="3145D5D0" w14:textId="77777777" w:rsidR="009D68B8" w:rsidRPr="00286216" w:rsidRDefault="009D68B8" w:rsidP="009D68B8">
            <w:pPr>
              <w:pStyle w:val="StyleWisnow"/>
              <w:rPr>
                <w:color w:val="000000" w:themeColor="text1"/>
              </w:rPr>
            </w:pPr>
          </w:p>
        </w:tc>
        <w:tc>
          <w:tcPr>
            <w:tcW w:w="4818" w:type="dxa"/>
          </w:tcPr>
          <w:p w14:paraId="5F285EE8" w14:textId="2585330B" w:rsidR="009D68B8" w:rsidRPr="00286216" w:rsidRDefault="009D68B8" w:rsidP="009D68B8">
            <w:pPr>
              <w:pStyle w:val="StyleZakonu"/>
              <w:rPr>
                <w:color w:val="000000" w:themeColor="text1"/>
              </w:rPr>
            </w:pPr>
            <w:r w:rsidRPr="00286216">
              <w:rPr>
                <w:color w:val="000000" w:themeColor="text1"/>
              </w:rPr>
              <w:t>Усі власники облігацій за домовленістю або збори власників облігацій мають право обрати адміністратора в разі:</w:t>
            </w:r>
          </w:p>
        </w:tc>
      </w:tr>
      <w:tr w:rsidR="009D68B8" w:rsidRPr="00286216" w14:paraId="003AD08D" w14:textId="77777777" w:rsidTr="00091AA5">
        <w:tc>
          <w:tcPr>
            <w:tcW w:w="576" w:type="dxa"/>
          </w:tcPr>
          <w:p w14:paraId="367EA1AE" w14:textId="77777777" w:rsidR="009D68B8" w:rsidRPr="00286216" w:rsidRDefault="009D68B8" w:rsidP="009D68B8">
            <w:pPr>
              <w:pStyle w:val="StyleWisnow"/>
              <w:rPr>
                <w:color w:val="000000" w:themeColor="text1"/>
              </w:rPr>
            </w:pPr>
            <w:bookmarkStart w:id="1640" w:name="n1890" w:colFirst="0" w:colLast="0"/>
            <w:bookmarkEnd w:id="1639"/>
            <w:r w:rsidRPr="00286216">
              <w:rPr>
                <w:color w:val="000000" w:themeColor="text1"/>
              </w:rPr>
              <w:t>1890.</w:t>
            </w:r>
          </w:p>
        </w:tc>
        <w:tc>
          <w:tcPr>
            <w:tcW w:w="4818" w:type="dxa"/>
          </w:tcPr>
          <w:p w14:paraId="330D5F56" w14:textId="77777777" w:rsidR="009D68B8" w:rsidRPr="00286216" w:rsidRDefault="009D68B8" w:rsidP="009D68B8">
            <w:pPr>
              <w:pStyle w:val="StyleZakonu"/>
              <w:rPr>
                <w:color w:val="000000" w:themeColor="text1"/>
              </w:rPr>
            </w:pPr>
            <w:r w:rsidRPr="00286216">
              <w:rPr>
                <w:color w:val="000000" w:themeColor="text1"/>
              </w:rPr>
              <w:t>1) невиконання емітентом свого обов’язку призначити адміністратора протягом строку, передбаченого законодавством або проспектом (рішенням про емісію цінних паперів);</w:t>
            </w:r>
          </w:p>
        </w:tc>
        <w:tc>
          <w:tcPr>
            <w:tcW w:w="3686" w:type="dxa"/>
          </w:tcPr>
          <w:p w14:paraId="230F38E4" w14:textId="77777777" w:rsidR="009D68B8" w:rsidRPr="00286216" w:rsidRDefault="009D68B8" w:rsidP="009D68B8">
            <w:pPr>
              <w:pStyle w:val="StyleProp"/>
              <w:rPr>
                <w:color w:val="000000" w:themeColor="text1"/>
                <w:szCs w:val="18"/>
              </w:rPr>
            </w:pPr>
          </w:p>
        </w:tc>
        <w:tc>
          <w:tcPr>
            <w:tcW w:w="1987" w:type="dxa"/>
          </w:tcPr>
          <w:p w14:paraId="1A0643B8" w14:textId="77777777" w:rsidR="009D68B8" w:rsidRPr="00286216" w:rsidRDefault="009D68B8" w:rsidP="009D68B8">
            <w:pPr>
              <w:pStyle w:val="StyleWisnow"/>
              <w:rPr>
                <w:color w:val="000000" w:themeColor="text1"/>
              </w:rPr>
            </w:pPr>
          </w:p>
        </w:tc>
        <w:tc>
          <w:tcPr>
            <w:tcW w:w="4818" w:type="dxa"/>
          </w:tcPr>
          <w:p w14:paraId="7D60A8DB" w14:textId="6D1D0D37" w:rsidR="009D68B8" w:rsidRPr="00286216" w:rsidRDefault="009D68B8" w:rsidP="009D68B8">
            <w:pPr>
              <w:pStyle w:val="StyleZakonu"/>
              <w:rPr>
                <w:color w:val="000000" w:themeColor="text1"/>
              </w:rPr>
            </w:pPr>
            <w:r w:rsidRPr="00286216">
              <w:rPr>
                <w:color w:val="000000" w:themeColor="text1"/>
              </w:rPr>
              <w:t>1) невиконання емітентом свого обов’язку призначити адміністратора протягом строку, передбаченого законодавством або проспектом (рішенням про емісію);</w:t>
            </w:r>
          </w:p>
        </w:tc>
      </w:tr>
      <w:tr w:rsidR="009D68B8" w:rsidRPr="00286216" w14:paraId="5F139038" w14:textId="77777777" w:rsidTr="00091AA5">
        <w:tc>
          <w:tcPr>
            <w:tcW w:w="576" w:type="dxa"/>
          </w:tcPr>
          <w:p w14:paraId="6B5F4F6B" w14:textId="77777777" w:rsidR="009D68B8" w:rsidRPr="00286216" w:rsidRDefault="009D68B8" w:rsidP="009D68B8">
            <w:pPr>
              <w:pStyle w:val="StyleWisnow"/>
              <w:rPr>
                <w:color w:val="000000" w:themeColor="text1"/>
              </w:rPr>
            </w:pPr>
            <w:bookmarkStart w:id="1641" w:name="n1891" w:colFirst="0" w:colLast="0"/>
            <w:bookmarkEnd w:id="1640"/>
            <w:r w:rsidRPr="00286216">
              <w:rPr>
                <w:color w:val="000000" w:themeColor="text1"/>
              </w:rPr>
              <w:t>1891.</w:t>
            </w:r>
          </w:p>
        </w:tc>
        <w:tc>
          <w:tcPr>
            <w:tcW w:w="4818" w:type="dxa"/>
          </w:tcPr>
          <w:p w14:paraId="42769D6E" w14:textId="77777777" w:rsidR="009D68B8" w:rsidRPr="00286216" w:rsidRDefault="009D68B8" w:rsidP="009D68B8">
            <w:pPr>
              <w:pStyle w:val="StyleZakonu"/>
              <w:rPr>
                <w:color w:val="000000" w:themeColor="text1"/>
              </w:rPr>
            </w:pPr>
            <w:r w:rsidRPr="00286216">
              <w:rPr>
                <w:color w:val="000000" w:themeColor="text1"/>
              </w:rPr>
              <w:t>2) настання дефолту (навіть якщо призначення адміністратора не передбачене проспектом (рішенням про емісію цінних паперів).</w:t>
            </w:r>
          </w:p>
        </w:tc>
        <w:tc>
          <w:tcPr>
            <w:tcW w:w="3686" w:type="dxa"/>
          </w:tcPr>
          <w:p w14:paraId="5B8259DA" w14:textId="77777777" w:rsidR="009D68B8" w:rsidRPr="00286216" w:rsidRDefault="009D68B8" w:rsidP="009D68B8">
            <w:pPr>
              <w:pStyle w:val="StyleProp"/>
              <w:rPr>
                <w:color w:val="000000" w:themeColor="text1"/>
                <w:szCs w:val="18"/>
              </w:rPr>
            </w:pPr>
          </w:p>
        </w:tc>
        <w:tc>
          <w:tcPr>
            <w:tcW w:w="1987" w:type="dxa"/>
          </w:tcPr>
          <w:p w14:paraId="32BDF8AE" w14:textId="77777777" w:rsidR="009D68B8" w:rsidRPr="00286216" w:rsidRDefault="009D68B8" w:rsidP="009D68B8">
            <w:pPr>
              <w:pStyle w:val="StyleWisnow"/>
              <w:rPr>
                <w:color w:val="000000" w:themeColor="text1"/>
              </w:rPr>
            </w:pPr>
          </w:p>
        </w:tc>
        <w:tc>
          <w:tcPr>
            <w:tcW w:w="4818" w:type="dxa"/>
          </w:tcPr>
          <w:p w14:paraId="3CFA080C" w14:textId="6AE34943" w:rsidR="009D68B8" w:rsidRPr="00286216" w:rsidRDefault="009D68B8" w:rsidP="009D68B8">
            <w:pPr>
              <w:pStyle w:val="StyleZakonu"/>
              <w:rPr>
                <w:color w:val="000000" w:themeColor="text1"/>
              </w:rPr>
            </w:pPr>
            <w:r w:rsidRPr="00286216">
              <w:rPr>
                <w:color w:val="000000" w:themeColor="text1"/>
              </w:rPr>
              <w:t>2) настання дефолту (навіть якщо призначення адміністратора не передбачене проспектом (рішенням про емісію).</w:t>
            </w:r>
          </w:p>
        </w:tc>
      </w:tr>
      <w:tr w:rsidR="009D68B8" w:rsidRPr="00286216" w14:paraId="57F49F78" w14:textId="77777777" w:rsidTr="00091AA5">
        <w:tc>
          <w:tcPr>
            <w:tcW w:w="576" w:type="dxa"/>
          </w:tcPr>
          <w:p w14:paraId="0C90A8B6" w14:textId="77777777" w:rsidR="009D68B8" w:rsidRPr="00286216" w:rsidRDefault="009D68B8" w:rsidP="009D68B8">
            <w:pPr>
              <w:pStyle w:val="StyleWisnow"/>
              <w:rPr>
                <w:color w:val="000000" w:themeColor="text1"/>
              </w:rPr>
            </w:pPr>
            <w:bookmarkStart w:id="1642" w:name="n1892" w:colFirst="0" w:colLast="0"/>
            <w:bookmarkEnd w:id="1641"/>
            <w:r w:rsidRPr="00286216">
              <w:rPr>
                <w:color w:val="000000" w:themeColor="text1"/>
              </w:rPr>
              <w:t>1892.</w:t>
            </w:r>
          </w:p>
        </w:tc>
        <w:tc>
          <w:tcPr>
            <w:tcW w:w="4818" w:type="dxa"/>
          </w:tcPr>
          <w:p w14:paraId="24A504F7" w14:textId="77777777" w:rsidR="009D68B8" w:rsidRPr="00286216" w:rsidRDefault="009D68B8" w:rsidP="009D68B8">
            <w:pPr>
              <w:pStyle w:val="StyleZakonu"/>
              <w:rPr>
                <w:color w:val="000000" w:themeColor="text1"/>
              </w:rPr>
            </w:pPr>
            <w:r w:rsidRPr="00286216">
              <w:rPr>
                <w:color w:val="000000" w:themeColor="text1"/>
              </w:rPr>
              <w:t>2. Після початку розміщення облігацій, якщо наявність адміністратора не була передбачена проспектом (рішенням про емісію цінних паперів), емітент може призначити адміністратора та внести відповідні зміни до проспекту (рішення про емісію цінних паперів) за згодою всіх власників облігацій або зборів власників облігацій.</w:t>
            </w:r>
          </w:p>
        </w:tc>
        <w:tc>
          <w:tcPr>
            <w:tcW w:w="3686" w:type="dxa"/>
          </w:tcPr>
          <w:p w14:paraId="69BC5012" w14:textId="77777777" w:rsidR="009D68B8" w:rsidRPr="00286216" w:rsidRDefault="009D68B8" w:rsidP="009D68B8">
            <w:pPr>
              <w:pStyle w:val="StyleProp"/>
              <w:rPr>
                <w:color w:val="000000" w:themeColor="text1"/>
                <w:szCs w:val="18"/>
              </w:rPr>
            </w:pPr>
          </w:p>
        </w:tc>
        <w:tc>
          <w:tcPr>
            <w:tcW w:w="1987" w:type="dxa"/>
          </w:tcPr>
          <w:p w14:paraId="7858A24B" w14:textId="77777777" w:rsidR="009D68B8" w:rsidRPr="00286216" w:rsidRDefault="009D68B8" w:rsidP="009D68B8">
            <w:pPr>
              <w:pStyle w:val="StyleWisnow"/>
              <w:rPr>
                <w:color w:val="000000" w:themeColor="text1"/>
              </w:rPr>
            </w:pPr>
          </w:p>
        </w:tc>
        <w:tc>
          <w:tcPr>
            <w:tcW w:w="4818" w:type="dxa"/>
          </w:tcPr>
          <w:p w14:paraId="7B571CB1" w14:textId="0A64A691" w:rsidR="009D68B8" w:rsidRPr="00286216" w:rsidRDefault="009D68B8" w:rsidP="009D68B8">
            <w:pPr>
              <w:pStyle w:val="StyleZakonu"/>
              <w:rPr>
                <w:color w:val="000000" w:themeColor="text1"/>
              </w:rPr>
            </w:pPr>
            <w:r w:rsidRPr="00286216">
              <w:rPr>
                <w:color w:val="000000" w:themeColor="text1"/>
              </w:rPr>
              <w:t>2. Після початку розміщення облігацій, якщо наявність адміністратора не була передбачена проспектом (рішенням про емісію), емітент може призначити адміністратора та внести відповідні зміни до проспекту (рішення про емісію) за згодою всіх власників облігацій або зборів власників облігацій.</w:t>
            </w:r>
          </w:p>
        </w:tc>
      </w:tr>
      <w:tr w:rsidR="009D68B8" w:rsidRPr="00286216" w14:paraId="4695E298" w14:textId="77777777" w:rsidTr="00091AA5">
        <w:tc>
          <w:tcPr>
            <w:tcW w:w="576" w:type="dxa"/>
          </w:tcPr>
          <w:p w14:paraId="5E96B175" w14:textId="77777777" w:rsidR="009D68B8" w:rsidRPr="00286216" w:rsidRDefault="009D68B8" w:rsidP="009D68B8">
            <w:pPr>
              <w:pStyle w:val="StyleWisnow"/>
              <w:rPr>
                <w:color w:val="000000" w:themeColor="text1"/>
              </w:rPr>
            </w:pPr>
            <w:bookmarkStart w:id="1643" w:name="n1893" w:colFirst="0" w:colLast="0"/>
            <w:bookmarkEnd w:id="1642"/>
            <w:r w:rsidRPr="00286216">
              <w:rPr>
                <w:color w:val="000000" w:themeColor="text1"/>
              </w:rPr>
              <w:t>1893.</w:t>
            </w:r>
          </w:p>
        </w:tc>
        <w:tc>
          <w:tcPr>
            <w:tcW w:w="4818" w:type="dxa"/>
          </w:tcPr>
          <w:p w14:paraId="5622C0CD" w14:textId="77777777" w:rsidR="009D68B8" w:rsidRPr="00286216" w:rsidRDefault="009D68B8" w:rsidP="009D68B8">
            <w:pPr>
              <w:pStyle w:val="StyleZakonu"/>
              <w:rPr>
                <w:color w:val="000000" w:themeColor="text1"/>
              </w:rPr>
            </w:pPr>
            <w:r w:rsidRPr="00286216">
              <w:rPr>
                <w:color w:val="000000" w:themeColor="text1"/>
              </w:rPr>
              <w:t xml:space="preserve">Після реєстрації Національною комісією з цінних </w:t>
            </w:r>
            <w:r w:rsidRPr="00286216">
              <w:rPr>
                <w:color w:val="000000" w:themeColor="text1"/>
              </w:rPr>
              <w:lastRenderedPageBreak/>
              <w:t>паперів та фондового ринку звіту про результати емісії облігацій емітент має право припинити призначення адміністратора та внести відповідні зміни до проспекту (рішення про емісію цінних паперів) за згодою всіх власників облігацій або зборів власників облігацій без виникнення у нього обов’язку призначити нового адміністратора.</w:t>
            </w:r>
          </w:p>
        </w:tc>
        <w:tc>
          <w:tcPr>
            <w:tcW w:w="3686" w:type="dxa"/>
          </w:tcPr>
          <w:p w14:paraId="12C4FE40" w14:textId="0920916E" w:rsidR="009D68B8" w:rsidRPr="00286216" w:rsidRDefault="009D68B8" w:rsidP="009D68B8">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978</w:t>
            </w:r>
            <w:r w:rsidRPr="00286216">
              <w:rPr>
                <w:color w:val="000000" w:themeColor="text1"/>
                <w:spacing w:val="-4"/>
              </w:rPr>
              <w:fldChar w:fldCharType="end"/>
            </w:r>
            <w:r w:rsidRPr="00286216">
              <w:rPr>
                <w:color w:val="000000" w:themeColor="text1"/>
                <w:spacing w:val="-4"/>
              </w:rPr>
              <w:t>-Н.д.Бєлькова О.В. (Реєстр.картка №403)</w:t>
            </w:r>
          </w:p>
          <w:p w14:paraId="2A5A9200" w14:textId="279F9350" w:rsidR="009D68B8" w:rsidRPr="00286216" w:rsidRDefault="009D68B8" w:rsidP="009D68B8">
            <w:pPr>
              <w:pStyle w:val="StyleProp"/>
              <w:rPr>
                <w:color w:val="000000" w:themeColor="text1"/>
              </w:rPr>
            </w:pPr>
            <w:r w:rsidRPr="00286216">
              <w:rPr>
                <w:color w:val="000000" w:themeColor="text1"/>
              </w:rPr>
              <w:lastRenderedPageBreak/>
              <w:t>Другий абзац частини 2 статті 110 викласти в такій редакції:</w:t>
            </w:r>
          </w:p>
          <w:p w14:paraId="0E4B5683" w14:textId="186AABD2" w:rsidR="009D68B8" w:rsidRPr="00286216" w:rsidRDefault="009D68B8" w:rsidP="009D68B8">
            <w:pPr>
              <w:pStyle w:val="StyleProp"/>
              <w:rPr>
                <w:color w:val="000000" w:themeColor="text1"/>
                <w:szCs w:val="18"/>
              </w:rPr>
            </w:pPr>
            <w:r w:rsidRPr="00286216">
              <w:rPr>
                <w:color w:val="000000" w:themeColor="text1"/>
              </w:rPr>
              <w:t>«Після реєстрації Національною комісією з цінних паперів та фондового ринку звіту про результати емісії облігацій емітент має право за згодою всіх власників облігацій або зборів власників облігацій припинити розпочаті процедури щодо призначення адміністратора та внести відповідні зміни до проспекту (рішення про емісію)».</w:t>
            </w:r>
          </w:p>
        </w:tc>
        <w:tc>
          <w:tcPr>
            <w:tcW w:w="1987" w:type="dxa"/>
          </w:tcPr>
          <w:p w14:paraId="7B42917D" w14:textId="2462B2D5" w:rsidR="009D68B8" w:rsidRPr="00286216" w:rsidRDefault="009D68B8" w:rsidP="009D68B8">
            <w:pPr>
              <w:pStyle w:val="StyleWisnow"/>
              <w:rPr>
                <w:color w:val="000000" w:themeColor="text1"/>
              </w:rPr>
            </w:pPr>
            <w:r w:rsidRPr="00286216">
              <w:rPr>
                <w:color w:val="000000" w:themeColor="text1"/>
              </w:rPr>
              <w:lastRenderedPageBreak/>
              <w:t>Враховано</w:t>
            </w:r>
          </w:p>
        </w:tc>
        <w:tc>
          <w:tcPr>
            <w:tcW w:w="4818" w:type="dxa"/>
          </w:tcPr>
          <w:p w14:paraId="43D46790" w14:textId="62B9AA24" w:rsidR="009D68B8" w:rsidRPr="00286216" w:rsidRDefault="009D68B8" w:rsidP="009D68B8">
            <w:pPr>
              <w:pStyle w:val="StyleZakonu"/>
              <w:rPr>
                <w:color w:val="000000" w:themeColor="text1"/>
              </w:rPr>
            </w:pPr>
            <w:r w:rsidRPr="00286216">
              <w:rPr>
                <w:color w:val="000000" w:themeColor="text1"/>
              </w:rPr>
              <w:t xml:space="preserve">Після реєстрації Національною комісією з цінних </w:t>
            </w:r>
            <w:r w:rsidRPr="00286216">
              <w:rPr>
                <w:color w:val="000000" w:themeColor="text1"/>
              </w:rPr>
              <w:lastRenderedPageBreak/>
              <w:t>паперів та фондового ринку звіту про результати емісії облігацій емітент має право за згодою всіх власників облігацій або зборів власників облігацій припинити розпочаті процедури щодо призначення адміністратора та внести відповідні зміни до проспекту (рішення про емісію).</w:t>
            </w:r>
          </w:p>
        </w:tc>
      </w:tr>
      <w:tr w:rsidR="009D68B8" w:rsidRPr="00286216" w14:paraId="3BF13A9C" w14:textId="77777777" w:rsidTr="00091AA5">
        <w:tc>
          <w:tcPr>
            <w:tcW w:w="576" w:type="dxa"/>
          </w:tcPr>
          <w:p w14:paraId="7F22AE8B" w14:textId="77777777" w:rsidR="009D68B8" w:rsidRPr="00286216" w:rsidRDefault="009D68B8" w:rsidP="009D68B8">
            <w:pPr>
              <w:pStyle w:val="StyleWisnow"/>
              <w:rPr>
                <w:color w:val="000000" w:themeColor="text1"/>
              </w:rPr>
            </w:pPr>
            <w:bookmarkStart w:id="1644" w:name="n1894" w:colFirst="0" w:colLast="0"/>
            <w:bookmarkEnd w:id="1643"/>
            <w:r w:rsidRPr="00286216">
              <w:rPr>
                <w:color w:val="000000" w:themeColor="text1"/>
              </w:rPr>
              <w:lastRenderedPageBreak/>
              <w:t>1894.</w:t>
            </w:r>
          </w:p>
        </w:tc>
        <w:tc>
          <w:tcPr>
            <w:tcW w:w="4818" w:type="dxa"/>
          </w:tcPr>
          <w:p w14:paraId="708EF5B7" w14:textId="77777777" w:rsidR="009D68B8" w:rsidRPr="00286216" w:rsidRDefault="009D68B8" w:rsidP="009D68B8">
            <w:pPr>
              <w:pStyle w:val="StyleZakonu"/>
              <w:rPr>
                <w:color w:val="000000" w:themeColor="text1"/>
              </w:rPr>
            </w:pPr>
            <w:r w:rsidRPr="00286216">
              <w:rPr>
                <w:color w:val="000000" w:themeColor="text1"/>
              </w:rPr>
              <w:t>3. Адміністратором може бути призначена або обрана юридична особа, яка відповідає таким вимогам:</w:t>
            </w:r>
          </w:p>
        </w:tc>
        <w:tc>
          <w:tcPr>
            <w:tcW w:w="3686" w:type="dxa"/>
          </w:tcPr>
          <w:p w14:paraId="37756AFC" w14:textId="77777777" w:rsidR="009D68B8" w:rsidRPr="00286216" w:rsidRDefault="009D68B8" w:rsidP="009D68B8">
            <w:pPr>
              <w:pStyle w:val="StyleProp"/>
              <w:rPr>
                <w:color w:val="000000" w:themeColor="text1"/>
                <w:szCs w:val="18"/>
              </w:rPr>
            </w:pPr>
          </w:p>
        </w:tc>
        <w:tc>
          <w:tcPr>
            <w:tcW w:w="1987" w:type="dxa"/>
          </w:tcPr>
          <w:p w14:paraId="2E9628FA" w14:textId="77777777" w:rsidR="009D68B8" w:rsidRPr="00286216" w:rsidRDefault="009D68B8" w:rsidP="009D68B8">
            <w:pPr>
              <w:pStyle w:val="StyleWisnow"/>
              <w:rPr>
                <w:color w:val="000000" w:themeColor="text1"/>
              </w:rPr>
            </w:pPr>
          </w:p>
        </w:tc>
        <w:tc>
          <w:tcPr>
            <w:tcW w:w="4818" w:type="dxa"/>
          </w:tcPr>
          <w:p w14:paraId="51AEDA15" w14:textId="17353088" w:rsidR="009D68B8" w:rsidRPr="00286216" w:rsidRDefault="009D68B8" w:rsidP="009D68B8">
            <w:pPr>
              <w:pStyle w:val="StyleZakonu"/>
              <w:rPr>
                <w:color w:val="000000" w:themeColor="text1"/>
              </w:rPr>
            </w:pPr>
            <w:r w:rsidRPr="00286216">
              <w:rPr>
                <w:color w:val="000000" w:themeColor="text1"/>
              </w:rPr>
              <w:t>3. Адміністратором може бути призначена або обрана юридична особа, яка відповідає таким вимогам:</w:t>
            </w:r>
          </w:p>
        </w:tc>
      </w:tr>
      <w:tr w:rsidR="009D68B8" w:rsidRPr="00286216" w14:paraId="7975A460" w14:textId="77777777" w:rsidTr="00091AA5">
        <w:tc>
          <w:tcPr>
            <w:tcW w:w="576" w:type="dxa"/>
          </w:tcPr>
          <w:p w14:paraId="30624A7D" w14:textId="77777777" w:rsidR="009D68B8" w:rsidRPr="00286216" w:rsidRDefault="009D68B8" w:rsidP="009D68B8">
            <w:pPr>
              <w:pStyle w:val="StyleWisnow"/>
              <w:rPr>
                <w:color w:val="000000" w:themeColor="text1"/>
              </w:rPr>
            </w:pPr>
            <w:bookmarkStart w:id="1645" w:name="n1895" w:colFirst="0" w:colLast="0"/>
            <w:bookmarkEnd w:id="1644"/>
            <w:r w:rsidRPr="00286216">
              <w:rPr>
                <w:color w:val="000000" w:themeColor="text1"/>
              </w:rPr>
              <w:t>1895.</w:t>
            </w:r>
          </w:p>
        </w:tc>
        <w:tc>
          <w:tcPr>
            <w:tcW w:w="4818" w:type="dxa"/>
          </w:tcPr>
          <w:p w14:paraId="45D072C1" w14:textId="77777777" w:rsidR="009D68B8" w:rsidRPr="00286216" w:rsidRDefault="009D68B8" w:rsidP="009D68B8">
            <w:pPr>
              <w:pStyle w:val="StyleZakonu"/>
              <w:rPr>
                <w:color w:val="000000" w:themeColor="text1"/>
              </w:rPr>
            </w:pPr>
            <w:r w:rsidRPr="00286216">
              <w:rPr>
                <w:color w:val="000000" w:themeColor="text1"/>
              </w:rPr>
              <w:t>1) фінансова установа, розмір капіталу якої відповідає вимогам щодо його розміру та порядку його розрахунку, встановленим Національною комісією з цінних паперів та фондового ринку;</w:t>
            </w:r>
          </w:p>
        </w:tc>
        <w:tc>
          <w:tcPr>
            <w:tcW w:w="3686" w:type="dxa"/>
          </w:tcPr>
          <w:p w14:paraId="68CF2BAE" w14:textId="2F9DF75C"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979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ECB9CAE" w14:textId="26D228BA" w:rsidR="009D68B8" w:rsidRPr="00286216" w:rsidRDefault="009D68B8" w:rsidP="009D68B8">
            <w:pPr>
              <w:pStyle w:val="StyleProp"/>
              <w:spacing w:line="180" w:lineRule="exact"/>
              <w:rPr>
                <w:color w:val="000000" w:themeColor="text1"/>
                <w:szCs w:val="18"/>
              </w:rPr>
            </w:pPr>
            <w:r w:rsidRPr="00286216">
              <w:rPr>
                <w:color w:val="000000" w:themeColor="text1"/>
                <w:szCs w:val="18"/>
              </w:rPr>
              <w:t>У пункті 1 частини третьої статті 110 слова «фінансова установа» замінити словами «небанківська фінансова установа».</w:t>
            </w:r>
          </w:p>
        </w:tc>
        <w:tc>
          <w:tcPr>
            <w:tcW w:w="1987" w:type="dxa"/>
          </w:tcPr>
          <w:p w14:paraId="1446C3B0" w14:textId="77777777" w:rsidR="009D68B8" w:rsidRPr="00286216" w:rsidRDefault="009D68B8" w:rsidP="009D68B8">
            <w:pPr>
              <w:pStyle w:val="StyleWisnow"/>
              <w:rPr>
                <w:color w:val="000000" w:themeColor="text1"/>
              </w:rPr>
            </w:pPr>
            <w:r w:rsidRPr="00286216">
              <w:rPr>
                <w:color w:val="000000" w:themeColor="text1"/>
              </w:rPr>
              <w:t>Відхилено</w:t>
            </w:r>
          </w:p>
          <w:p w14:paraId="79CDEFCE" w14:textId="77777777" w:rsidR="009D68B8" w:rsidRPr="00286216" w:rsidRDefault="009D68B8" w:rsidP="009D68B8">
            <w:pPr>
              <w:pStyle w:val="StyleWisnow"/>
              <w:rPr>
                <w:color w:val="000000" w:themeColor="text1"/>
              </w:rPr>
            </w:pPr>
            <w:r w:rsidRPr="00286216">
              <w:rPr>
                <w:color w:val="000000" w:themeColor="text1"/>
              </w:rPr>
              <w:t>Прийняття правки призведе до обмеження конкуренції</w:t>
            </w:r>
          </w:p>
        </w:tc>
        <w:tc>
          <w:tcPr>
            <w:tcW w:w="4818" w:type="dxa"/>
          </w:tcPr>
          <w:p w14:paraId="6C75ACDE" w14:textId="2C9FC0CD" w:rsidR="009D68B8" w:rsidRPr="00286216" w:rsidRDefault="009D68B8" w:rsidP="009D68B8">
            <w:pPr>
              <w:pStyle w:val="StyleZakonu"/>
              <w:rPr>
                <w:color w:val="000000" w:themeColor="text1"/>
              </w:rPr>
            </w:pPr>
            <w:r w:rsidRPr="00286216">
              <w:rPr>
                <w:color w:val="000000" w:themeColor="text1"/>
              </w:rPr>
              <w:t>1) фінансова установа, розмір капіталу якої відповідає вимогам щодо його розміру та порядку його розрахунку, встановленим Національною комісією з цінних паперів та фондового ринку;</w:t>
            </w:r>
          </w:p>
        </w:tc>
      </w:tr>
      <w:tr w:rsidR="009D68B8" w:rsidRPr="00286216" w14:paraId="3A7FDD1E" w14:textId="77777777" w:rsidTr="00091AA5">
        <w:tc>
          <w:tcPr>
            <w:tcW w:w="576" w:type="dxa"/>
          </w:tcPr>
          <w:p w14:paraId="312FEE16" w14:textId="77777777" w:rsidR="009D68B8" w:rsidRPr="00286216" w:rsidRDefault="009D68B8" w:rsidP="009D68B8">
            <w:pPr>
              <w:pStyle w:val="StyleWisnow"/>
              <w:rPr>
                <w:color w:val="000000" w:themeColor="text1"/>
              </w:rPr>
            </w:pPr>
            <w:bookmarkStart w:id="1646" w:name="n1896" w:colFirst="0" w:colLast="0"/>
            <w:bookmarkEnd w:id="1645"/>
            <w:r w:rsidRPr="00286216">
              <w:rPr>
                <w:color w:val="000000" w:themeColor="text1"/>
              </w:rPr>
              <w:t>1896.</w:t>
            </w:r>
          </w:p>
        </w:tc>
        <w:tc>
          <w:tcPr>
            <w:tcW w:w="4818" w:type="dxa"/>
          </w:tcPr>
          <w:p w14:paraId="16CD9B89" w14:textId="77777777" w:rsidR="009D68B8" w:rsidRPr="00286216" w:rsidRDefault="009D68B8" w:rsidP="009D68B8">
            <w:pPr>
              <w:pStyle w:val="StyleZakonu"/>
              <w:rPr>
                <w:color w:val="000000" w:themeColor="text1"/>
              </w:rPr>
            </w:pPr>
            <w:r w:rsidRPr="00286216">
              <w:rPr>
                <w:color w:val="000000" w:themeColor="text1"/>
              </w:rPr>
              <w:t>2) юридична особа, яка не є фінансовою установою, за умови відповідності вимогам, встановленим Національною комісією з цінних паперів та фондового ринку.</w:t>
            </w:r>
          </w:p>
        </w:tc>
        <w:tc>
          <w:tcPr>
            <w:tcW w:w="3686" w:type="dxa"/>
          </w:tcPr>
          <w:p w14:paraId="68D48C91" w14:textId="77777777" w:rsidR="009D68B8" w:rsidRPr="00286216" w:rsidRDefault="009D68B8" w:rsidP="009D68B8">
            <w:pPr>
              <w:pStyle w:val="StyleProp"/>
              <w:rPr>
                <w:color w:val="000000" w:themeColor="text1"/>
                <w:szCs w:val="18"/>
              </w:rPr>
            </w:pPr>
          </w:p>
        </w:tc>
        <w:tc>
          <w:tcPr>
            <w:tcW w:w="1987" w:type="dxa"/>
          </w:tcPr>
          <w:p w14:paraId="3D21808D" w14:textId="77777777" w:rsidR="009D68B8" w:rsidRPr="00286216" w:rsidRDefault="009D68B8" w:rsidP="009D68B8">
            <w:pPr>
              <w:pStyle w:val="StyleWisnow"/>
              <w:rPr>
                <w:color w:val="000000" w:themeColor="text1"/>
              </w:rPr>
            </w:pPr>
          </w:p>
        </w:tc>
        <w:tc>
          <w:tcPr>
            <w:tcW w:w="4818" w:type="dxa"/>
          </w:tcPr>
          <w:p w14:paraId="494D6DF3" w14:textId="2903788D" w:rsidR="009D68B8" w:rsidRPr="00286216" w:rsidRDefault="009D68B8" w:rsidP="009D68B8">
            <w:pPr>
              <w:pStyle w:val="StyleZakonu"/>
              <w:rPr>
                <w:color w:val="000000" w:themeColor="text1"/>
              </w:rPr>
            </w:pPr>
            <w:r w:rsidRPr="00286216">
              <w:rPr>
                <w:color w:val="000000" w:themeColor="text1"/>
              </w:rPr>
              <w:t>2) юридична особа, яка не є фінансовою установою, за умови відповідності вимогам, встановленим Національною комісією з цінних паперів та фондового ринку.</w:t>
            </w:r>
          </w:p>
        </w:tc>
      </w:tr>
      <w:tr w:rsidR="009D68B8" w:rsidRPr="00286216" w14:paraId="0E8E002E" w14:textId="77777777" w:rsidTr="00091AA5">
        <w:tc>
          <w:tcPr>
            <w:tcW w:w="576" w:type="dxa"/>
          </w:tcPr>
          <w:p w14:paraId="56529992" w14:textId="77777777" w:rsidR="009D68B8" w:rsidRPr="00286216" w:rsidRDefault="009D68B8" w:rsidP="009D68B8">
            <w:pPr>
              <w:pStyle w:val="StyleWisnow"/>
              <w:rPr>
                <w:color w:val="000000" w:themeColor="text1"/>
              </w:rPr>
            </w:pPr>
            <w:bookmarkStart w:id="1647" w:name="n1897" w:colFirst="0" w:colLast="0"/>
            <w:bookmarkEnd w:id="1646"/>
            <w:r w:rsidRPr="00286216">
              <w:rPr>
                <w:color w:val="000000" w:themeColor="text1"/>
              </w:rPr>
              <w:t>1897.</w:t>
            </w:r>
          </w:p>
        </w:tc>
        <w:tc>
          <w:tcPr>
            <w:tcW w:w="4818" w:type="dxa"/>
          </w:tcPr>
          <w:p w14:paraId="39DA4F6E" w14:textId="77777777" w:rsidR="009D68B8" w:rsidRPr="00286216" w:rsidRDefault="009D68B8" w:rsidP="009D68B8">
            <w:pPr>
              <w:pStyle w:val="StyleZakonu"/>
              <w:rPr>
                <w:color w:val="000000" w:themeColor="text1"/>
              </w:rPr>
            </w:pPr>
            <w:r w:rsidRPr="00286216">
              <w:rPr>
                <w:color w:val="000000" w:themeColor="text1"/>
              </w:rPr>
              <w:t>4. Адміністратором не може бути призначено:</w:t>
            </w:r>
          </w:p>
        </w:tc>
        <w:tc>
          <w:tcPr>
            <w:tcW w:w="3686" w:type="dxa"/>
          </w:tcPr>
          <w:p w14:paraId="0725FD31" w14:textId="77777777" w:rsidR="009D68B8" w:rsidRPr="00286216" w:rsidRDefault="009D68B8" w:rsidP="009D68B8">
            <w:pPr>
              <w:pStyle w:val="StyleProp"/>
              <w:rPr>
                <w:color w:val="000000" w:themeColor="text1"/>
                <w:szCs w:val="18"/>
              </w:rPr>
            </w:pPr>
          </w:p>
        </w:tc>
        <w:tc>
          <w:tcPr>
            <w:tcW w:w="1987" w:type="dxa"/>
          </w:tcPr>
          <w:p w14:paraId="576EE630" w14:textId="77777777" w:rsidR="009D68B8" w:rsidRPr="00286216" w:rsidRDefault="009D68B8" w:rsidP="009D68B8">
            <w:pPr>
              <w:pStyle w:val="StyleWisnow"/>
              <w:rPr>
                <w:color w:val="000000" w:themeColor="text1"/>
              </w:rPr>
            </w:pPr>
          </w:p>
        </w:tc>
        <w:tc>
          <w:tcPr>
            <w:tcW w:w="4818" w:type="dxa"/>
          </w:tcPr>
          <w:p w14:paraId="5481B1C7" w14:textId="499C4548" w:rsidR="009D68B8" w:rsidRPr="00286216" w:rsidRDefault="009D68B8" w:rsidP="009D68B8">
            <w:pPr>
              <w:pStyle w:val="StyleZakonu"/>
              <w:rPr>
                <w:color w:val="000000" w:themeColor="text1"/>
              </w:rPr>
            </w:pPr>
            <w:r w:rsidRPr="00286216">
              <w:rPr>
                <w:color w:val="000000" w:themeColor="text1"/>
              </w:rPr>
              <w:t>4. Адміністратором не може бути призначено:</w:t>
            </w:r>
          </w:p>
        </w:tc>
      </w:tr>
      <w:tr w:rsidR="009D68B8" w:rsidRPr="00286216" w14:paraId="2DB0DB5D" w14:textId="77777777" w:rsidTr="00091AA5">
        <w:tc>
          <w:tcPr>
            <w:tcW w:w="576" w:type="dxa"/>
          </w:tcPr>
          <w:p w14:paraId="78A992DD" w14:textId="77777777" w:rsidR="009D68B8" w:rsidRPr="00286216" w:rsidRDefault="009D68B8" w:rsidP="009D68B8">
            <w:pPr>
              <w:pStyle w:val="StyleWisnow"/>
              <w:rPr>
                <w:color w:val="000000" w:themeColor="text1"/>
              </w:rPr>
            </w:pPr>
            <w:bookmarkStart w:id="1648" w:name="n1898" w:colFirst="0" w:colLast="0"/>
            <w:bookmarkEnd w:id="1647"/>
            <w:r w:rsidRPr="00286216">
              <w:rPr>
                <w:color w:val="000000" w:themeColor="text1"/>
              </w:rPr>
              <w:t>1898.</w:t>
            </w:r>
          </w:p>
        </w:tc>
        <w:tc>
          <w:tcPr>
            <w:tcW w:w="4818" w:type="dxa"/>
          </w:tcPr>
          <w:p w14:paraId="1C74244B" w14:textId="77777777" w:rsidR="009D68B8" w:rsidRPr="00286216" w:rsidRDefault="009D68B8" w:rsidP="009D68B8">
            <w:pPr>
              <w:pStyle w:val="StyleZakonu"/>
              <w:rPr>
                <w:color w:val="000000" w:themeColor="text1"/>
              </w:rPr>
            </w:pPr>
            <w:r w:rsidRPr="00286216">
              <w:rPr>
                <w:color w:val="000000" w:themeColor="text1"/>
              </w:rPr>
              <w:t>1) емітента відповідного випуску;</w:t>
            </w:r>
          </w:p>
        </w:tc>
        <w:tc>
          <w:tcPr>
            <w:tcW w:w="3686" w:type="dxa"/>
          </w:tcPr>
          <w:p w14:paraId="2EA11C67" w14:textId="77777777" w:rsidR="009D68B8" w:rsidRPr="00286216" w:rsidRDefault="009D68B8" w:rsidP="009D68B8">
            <w:pPr>
              <w:pStyle w:val="StyleProp"/>
              <w:rPr>
                <w:color w:val="000000" w:themeColor="text1"/>
                <w:szCs w:val="18"/>
              </w:rPr>
            </w:pPr>
          </w:p>
        </w:tc>
        <w:tc>
          <w:tcPr>
            <w:tcW w:w="1987" w:type="dxa"/>
          </w:tcPr>
          <w:p w14:paraId="75CB5602" w14:textId="77777777" w:rsidR="009D68B8" w:rsidRPr="00286216" w:rsidRDefault="009D68B8" w:rsidP="009D68B8">
            <w:pPr>
              <w:pStyle w:val="StyleWisnow"/>
              <w:rPr>
                <w:color w:val="000000" w:themeColor="text1"/>
              </w:rPr>
            </w:pPr>
          </w:p>
        </w:tc>
        <w:tc>
          <w:tcPr>
            <w:tcW w:w="4818" w:type="dxa"/>
          </w:tcPr>
          <w:p w14:paraId="14AF8C95" w14:textId="1BDA9E16" w:rsidR="009D68B8" w:rsidRPr="00286216" w:rsidRDefault="009D68B8" w:rsidP="009D68B8">
            <w:pPr>
              <w:pStyle w:val="StyleZakonu"/>
              <w:rPr>
                <w:color w:val="000000" w:themeColor="text1"/>
              </w:rPr>
            </w:pPr>
            <w:r w:rsidRPr="00286216">
              <w:rPr>
                <w:color w:val="000000" w:themeColor="text1"/>
              </w:rPr>
              <w:t>1) емітента відповідного випуску;</w:t>
            </w:r>
          </w:p>
        </w:tc>
      </w:tr>
      <w:tr w:rsidR="009D68B8" w:rsidRPr="00286216" w14:paraId="3EEFF198" w14:textId="77777777" w:rsidTr="00091AA5">
        <w:tc>
          <w:tcPr>
            <w:tcW w:w="576" w:type="dxa"/>
          </w:tcPr>
          <w:p w14:paraId="74DC5134" w14:textId="77777777" w:rsidR="009D68B8" w:rsidRPr="00286216" w:rsidRDefault="009D68B8" w:rsidP="009D68B8">
            <w:pPr>
              <w:pStyle w:val="StyleWisnow"/>
              <w:rPr>
                <w:color w:val="000000" w:themeColor="text1"/>
              </w:rPr>
            </w:pPr>
            <w:bookmarkStart w:id="1649" w:name="n1899" w:colFirst="0" w:colLast="0"/>
            <w:bookmarkEnd w:id="1648"/>
            <w:r w:rsidRPr="00286216">
              <w:rPr>
                <w:color w:val="000000" w:themeColor="text1"/>
              </w:rPr>
              <w:t>1899.</w:t>
            </w:r>
          </w:p>
        </w:tc>
        <w:tc>
          <w:tcPr>
            <w:tcW w:w="4818" w:type="dxa"/>
          </w:tcPr>
          <w:p w14:paraId="4324309A" w14:textId="77777777" w:rsidR="009D68B8" w:rsidRPr="00286216" w:rsidRDefault="009D68B8" w:rsidP="009D68B8">
            <w:pPr>
              <w:pStyle w:val="StyleZakonu"/>
              <w:rPr>
                <w:color w:val="000000" w:themeColor="text1"/>
              </w:rPr>
            </w:pPr>
            <w:r w:rsidRPr="00286216">
              <w:rPr>
                <w:color w:val="000000" w:themeColor="text1"/>
              </w:rPr>
              <w:t>2) особу, яка надає забезпечення за облігаціями відповідного випуску;</w:t>
            </w:r>
          </w:p>
        </w:tc>
        <w:tc>
          <w:tcPr>
            <w:tcW w:w="3686" w:type="dxa"/>
          </w:tcPr>
          <w:p w14:paraId="5E694F66" w14:textId="77777777" w:rsidR="009D68B8" w:rsidRPr="00286216" w:rsidRDefault="009D68B8" w:rsidP="009D68B8">
            <w:pPr>
              <w:pStyle w:val="StyleProp"/>
              <w:rPr>
                <w:color w:val="000000" w:themeColor="text1"/>
                <w:szCs w:val="18"/>
              </w:rPr>
            </w:pPr>
          </w:p>
        </w:tc>
        <w:tc>
          <w:tcPr>
            <w:tcW w:w="1987" w:type="dxa"/>
          </w:tcPr>
          <w:p w14:paraId="0917D287" w14:textId="77777777" w:rsidR="009D68B8" w:rsidRPr="00286216" w:rsidRDefault="009D68B8" w:rsidP="009D68B8">
            <w:pPr>
              <w:pStyle w:val="StyleWisnow"/>
              <w:rPr>
                <w:color w:val="000000" w:themeColor="text1"/>
              </w:rPr>
            </w:pPr>
          </w:p>
        </w:tc>
        <w:tc>
          <w:tcPr>
            <w:tcW w:w="4818" w:type="dxa"/>
          </w:tcPr>
          <w:p w14:paraId="71F429AE" w14:textId="781172E2" w:rsidR="009D68B8" w:rsidRPr="00286216" w:rsidRDefault="009D68B8" w:rsidP="009D68B8">
            <w:pPr>
              <w:pStyle w:val="StyleZakonu"/>
              <w:rPr>
                <w:color w:val="000000" w:themeColor="text1"/>
              </w:rPr>
            </w:pPr>
            <w:r w:rsidRPr="00286216">
              <w:rPr>
                <w:color w:val="000000" w:themeColor="text1"/>
              </w:rPr>
              <w:t>2) особу, яка надає забезпечення за облігаціями відповідного випуску;</w:t>
            </w:r>
          </w:p>
        </w:tc>
      </w:tr>
      <w:tr w:rsidR="009D68B8" w:rsidRPr="00286216" w14:paraId="11CA1C8B" w14:textId="77777777" w:rsidTr="00091AA5">
        <w:tc>
          <w:tcPr>
            <w:tcW w:w="576" w:type="dxa"/>
          </w:tcPr>
          <w:p w14:paraId="161437F4" w14:textId="77777777" w:rsidR="009D68B8" w:rsidRPr="00286216" w:rsidRDefault="009D68B8" w:rsidP="009D68B8">
            <w:pPr>
              <w:pStyle w:val="StyleWisnow"/>
              <w:rPr>
                <w:color w:val="000000" w:themeColor="text1"/>
              </w:rPr>
            </w:pPr>
            <w:bookmarkStart w:id="1650" w:name="n1900" w:colFirst="0" w:colLast="0"/>
            <w:bookmarkEnd w:id="1649"/>
            <w:r w:rsidRPr="00286216">
              <w:rPr>
                <w:color w:val="000000" w:themeColor="text1"/>
              </w:rPr>
              <w:t>1900.</w:t>
            </w:r>
          </w:p>
        </w:tc>
        <w:tc>
          <w:tcPr>
            <w:tcW w:w="4818" w:type="dxa"/>
          </w:tcPr>
          <w:p w14:paraId="20B3360D" w14:textId="77777777" w:rsidR="009D68B8" w:rsidRPr="00286216" w:rsidRDefault="009D68B8" w:rsidP="009D68B8">
            <w:pPr>
              <w:pStyle w:val="StyleZakonu"/>
              <w:rPr>
                <w:color w:val="000000" w:themeColor="text1"/>
              </w:rPr>
            </w:pPr>
            <w:r w:rsidRPr="00286216">
              <w:rPr>
                <w:color w:val="000000" w:themeColor="text1"/>
              </w:rPr>
              <w:t>3) особу, яка уповноважена діяти від імені емітента облігацій відповідного випуску;</w:t>
            </w:r>
          </w:p>
        </w:tc>
        <w:tc>
          <w:tcPr>
            <w:tcW w:w="3686" w:type="dxa"/>
          </w:tcPr>
          <w:p w14:paraId="162D6339" w14:textId="77777777" w:rsidR="009D68B8" w:rsidRPr="00286216" w:rsidRDefault="009D68B8" w:rsidP="009D68B8">
            <w:pPr>
              <w:pStyle w:val="StyleProp"/>
              <w:rPr>
                <w:color w:val="000000" w:themeColor="text1"/>
                <w:szCs w:val="18"/>
              </w:rPr>
            </w:pPr>
          </w:p>
        </w:tc>
        <w:tc>
          <w:tcPr>
            <w:tcW w:w="1987" w:type="dxa"/>
          </w:tcPr>
          <w:p w14:paraId="664434A8" w14:textId="77777777" w:rsidR="009D68B8" w:rsidRPr="00286216" w:rsidRDefault="009D68B8" w:rsidP="009D68B8">
            <w:pPr>
              <w:pStyle w:val="StyleWisnow"/>
              <w:rPr>
                <w:color w:val="000000" w:themeColor="text1"/>
              </w:rPr>
            </w:pPr>
          </w:p>
        </w:tc>
        <w:tc>
          <w:tcPr>
            <w:tcW w:w="4818" w:type="dxa"/>
          </w:tcPr>
          <w:p w14:paraId="61A4FEA6" w14:textId="224388DD" w:rsidR="009D68B8" w:rsidRPr="00286216" w:rsidRDefault="009D68B8" w:rsidP="009D68B8">
            <w:pPr>
              <w:pStyle w:val="StyleZakonu"/>
              <w:rPr>
                <w:color w:val="000000" w:themeColor="text1"/>
              </w:rPr>
            </w:pPr>
            <w:r w:rsidRPr="00286216">
              <w:rPr>
                <w:color w:val="000000" w:themeColor="text1"/>
              </w:rPr>
              <w:t>3) особу, уповноважену діяти від імені емітента облігацій відповідного випуску;</w:t>
            </w:r>
          </w:p>
        </w:tc>
      </w:tr>
      <w:tr w:rsidR="009D68B8" w:rsidRPr="00286216" w14:paraId="4F9C9666" w14:textId="77777777" w:rsidTr="00091AA5">
        <w:tc>
          <w:tcPr>
            <w:tcW w:w="576" w:type="dxa"/>
          </w:tcPr>
          <w:p w14:paraId="11B5CC1A" w14:textId="77777777" w:rsidR="009D68B8" w:rsidRPr="00286216" w:rsidRDefault="009D68B8" w:rsidP="009D68B8">
            <w:pPr>
              <w:pStyle w:val="StyleWisnow"/>
              <w:rPr>
                <w:color w:val="000000" w:themeColor="text1"/>
              </w:rPr>
            </w:pPr>
            <w:bookmarkStart w:id="1651" w:name="n1901" w:colFirst="0" w:colLast="0"/>
            <w:bookmarkEnd w:id="1650"/>
            <w:r w:rsidRPr="00286216">
              <w:rPr>
                <w:color w:val="000000" w:themeColor="text1"/>
              </w:rPr>
              <w:t>1901.</w:t>
            </w:r>
          </w:p>
        </w:tc>
        <w:tc>
          <w:tcPr>
            <w:tcW w:w="4818" w:type="dxa"/>
          </w:tcPr>
          <w:p w14:paraId="0663BF7D" w14:textId="77777777" w:rsidR="009D68B8" w:rsidRPr="00286216" w:rsidRDefault="009D68B8" w:rsidP="009D68B8">
            <w:pPr>
              <w:pStyle w:val="StyleZakonu"/>
              <w:rPr>
                <w:color w:val="000000" w:themeColor="text1"/>
              </w:rPr>
            </w:pPr>
            <w:r w:rsidRPr="00286216">
              <w:rPr>
                <w:color w:val="000000" w:themeColor="text1"/>
              </w:rPr>
              <w:t>4) особу, пов’язану відносинами контролю з емітентом облігацій відповідного випуску, особою, яка надає забезпечення за облігаціями відповідного випуску, та/або андеррайтером відповідного випуску;</w:t>
            </w:r>
          </w:p>
        </w:tc>
        <w:tc>
          <w:tcPr>
            <w:tcW w:w="3686" w:type="dxa"/>
          </w:tcPr>
          <w:p w14:paraId="600935CB" w14:textId="30A0614F" w:rsidR="009D68B8" w:rsidRPr="00286216" w:rsidRDefault="009D68B8" w:rsidP="009D68B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980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 (Реєстр.картка №403)</w:t>
            </w:r>
          </w:p>
          <w:p w14:paraId="3BB5E12C" w14:textId="5C61A754" w:rsidR="009D68B8" w:rsidRPr="00286216" w:rsidRDefault="009D68B8" w:rsidP="009D68B8">
            <w:pPr>
              <w:pStyle w:val="StyleProp"/>
              <w:rPr>
                <w:color w:val="000000" w:themeColor="text1"/>
                <w:szCs w:val="18"/>
              </w:rPr>
            </w:pPr>
            <w:r w:rsidRPr="00286216">
              <w:rPr>
                <w:color w:val="000000" w:themeColor="text1"/>
              </w:rPr>
              <w:t>У пункті 4 частини 4 статті 110 слова «</w:t>
            </w:r>
            <w:r w:rsidRPr="00286216">
              <w:rPr>
                <w:color w:val="000000" w:themeColor="text1"/>
                <w:lang w:eastAsia="uk-UA"/>
              </w:rPr>
              <w:t>андеррайтером» замінити словами «інвестиційною фірмою, щ</w:t>
            </w:r>
            <w:r w:rsidRPr="00286216">
              <w:rPr>
                <w:color w:val="000000" w:themeColor="text1"/>
              </w:rPr>
              <w:t>о здійснює андеррайтинг та/або діяльність з розміщення з наданням гарантії або діяльність з розміщення без надання гарантії».</w:t>
            </w:r>
          </w:p>
        </w:tc>
        <w:tc>
          <w:tcPr>
            <w:tcW w:w="1987" w:type="dxa"/>
          </w:tcPr>
          <w:p w14:paraId="4B8C28C1" w14:textId="295D21A6"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5B0450CC" w14:textId="067E6EC2" w:rsidR="009D68B8" w:rsidRPr="00286216" w:rsidRDefault="009D68B8" w:rsidP="009D68B8">
            <w:pPr>
              <w:pStyle w:val="StyleZakonu"/>
              <w:rPr>
                <w:color w:val="000000" w:themeColor="text1"/>
              </w:rPr>
            </w:pPr>
            <w:r w:rsidRPr="00286216">
              <w:rPr>
                <w:color w:val="000000" w:themeColor="text1"/>
              </w:rPr>
              <w:t xml:space="preserve">4) особу, пов’язану відносинами контролю з емітентом облігацій відповідного випуску, особою, яка надає забезпечення за облігаціями відповідного випуску, та/або </w:t>
            </w:r>
            <w:r w:rsidRPr="00286216">
              <w:rPr>
                <w:color w:val="000000" w:themeColor="text1"/>
                <w:lang w:eastAsia="uk-UA"/>
              </w:rPr>
              <w:t>інвестиційною фірмою, щ</w:t>
            </w:r>
            <w:r w:rsidRPr="00286216">
              <w:rPr>
                <w:color w:val="000000" w:themeColor="text1"/>
              </w:rPr>
              <w:t>о здійснює андеррайтинг відповідного випуску та/або діяльність з розміщення з наданням гарантії або діяльність з розміщення без надання гарантії</w:t>
            </w:r>
            <w:r w:rsidRPr="00286216" w:rsidDel="00810911">
              <w:rPr>
                <w:color w:val="000000" w:themeColor="text1"/>
              </w:rPr>
              <w:t xml:space="preserve"> </w:t>
            </w:r>
            <w:r w:rsidRPr="00286216">
              <w:rPr>
                <w:color w:val="000000" w:themeColor="text1"/>
              </w:rPr>
              <w:t>щодо відповідного випуску;</w:t>
            </w:r>
          </w:p>
        </w:tc>
      </w:tr>
      <w:tr w:rsidR="009D68B8" w:rsidRPr="00286216" w14:paraId="57AC8993" w14:textId="77777777" w:rsidTr="00091AA5">
        <w:tc>
          <w:tcPr>
            <w:tcW w:w="576" w:type="dxa"/>
          </w:tcPr>
          <w:p w14:paraId="45429D4C" w14:textId="77777777" w:rsidR="009D68B8" w:rsidRPr="00286216" w:rsidRDefault="009D68B8" w:rsidP="009D68B8">
            <w:pPr>
              <w:pStyle w:val="StyleWisnow"/>
              <w:rPr>
                <w:color w:val="000000" w:themeColor="text1"/>
              </w:rPr>
            </w:pPr>
            <w:bookmarkStart w:id="1652" w:name="n1902" w:colFirst="0" w:colLast="0"/>
            <w:bookmarkEnd w:id="1651"/>
            <w:r w:rsidRPr="00286216">
              <w:rPr>
                <w:color w:val="000000" w:themeColor="text1"/>
              </w:rPr>
              <w:t>1902.</w:t>
            </w:r>
          </w:p>
        </w:tc>
        <w:tc>
          <w:tcPr>
            <w:tcW w:w="4818" w:type="dxa"/>
          </w:tcPr>
          <w:p w14:paraId="27994913" w14:textId="77777777" w:rsidR="009D68B8" w:rsidRPr="00286216" w:rsidRDefault="009D68B8" w:rsidP="009D68B8">
            <w:pPr>
              <w:pStyle w:val="StyleZakonu"/>
              <w:rPr>
                <w:color w:val="000000" w:themeColor="text1"/>
              </w:rPr>
            </w:pPr>
            <w:r w:rsidRPr="00286216">
              <w:rPr>
                <w:color w:val="000000" w:themeColor="text1"/>
              </w:rPr>
              <w:t>5) особу, в якій особи, зазначені у пунктах 1-4 цієї частини, сукупно прямо та/або опосередковано володіють частками, паями або акціями, що відповідають еквіваленту більше 50 відсотків статутного (складеного) капіталу та/або голосів у вищому органі управління;</w:t>
            </w:r>
          </w:p>
        </w:tc>
        <w:tc>
          <w:tcPr>
            <w:tcW w:w="3686" w:type="dxa"/>
          </w:tcPr>
          <w:p w14:paraId="3E9516EC" w14:textId="77777777" w:rsidR="009D68B8" w:rsidRPr="00286216" w:rsidRDefault="009D68B8" w:rsidP="009D68B8">
            <w:pPr>
              <w:pStyle w:val="StyleProp"/>
              <w:rPr>
                <w:color w:val="000000" w:themeColor="text1"/>
                <w:szCs w:val="18"/>
              </w:rPr>
            </w:pPr>
          </w:p>
        </w:tc>
        <w:tc>
          <w:tcPr>
            <w:tcW w:w="1987" w:type="dxa"/>
          </w:tcPr>
          <w:p w14:paraId="789D3E56" w14:textId="77777777" w:rsidR="009D68B8" w:rsidRPr="00286216" w:rsidRDefault="009D68B8" w:rsidP="009D68B8">
            <w:pPr>
              <w:pStyle w:val="StyleWisnow"/>
              <w:rPr>
                <w:color w:val="000000" w:themeColor="text1"/>
              </w:rPr>
            </w:pPr>
          </w:p>
        </w:tc>
        <w:tc>
          <w:tcPr>
            <w:tcW w:w="4818" w:type="dxa"/>
          </w:tcPr>
          <w:p w14:paraId="436D6AF1" w14:textId="31E7D0DA" w:rsidR="009D68B8" w:rsidRPr="00286216" w:rsidRDefault="009D68B8" w:rsidP="009D68B8">
            <w:pPr>
              <w:pStyle w:val="StyleZakonu"/>
              <w:rPr>
                <w:color w:val="000000" w:themeColor="text1"/>
              </w:rPr>
            </w:pPr>
            <w:r w:rsidRPr="00286216">
              <w:rPr>
                <w:color w:val="000000" w:themeColor="text1"/>
              </w:rPr>
              <w:t>5) особу, в якій особи, зазначені у пунктах 1 - 4 цієї частини, сукупно прямо та/або опосередковано володіють частками, паями або акціями, що відповідають еквіваленту більше ніж 50 відсотків статутного (складеного) капіталу та/або голосів у вищому органі управління;</w:t>
            </w:r>
          </w:p>
        </w:tc>
      </w:tr>
      <w:tr w:rsidR="009D68B8" w:rsidRPr="00286216" w14:paraId="78C24485" w14:textId="77777777" w:rsidTr="00091AA5">
        <w:tc>
          <w:tcPr>
            <w:tcW w:w="576" w:type="dxa"/>
          </w:tcPr>
          <w:p w14:paraId="1126A712" w14:textId="77777777" w:rsidR="009D68B8" w:rsidRPr="00286216" w:rsidRDefault="009D68B8" w:rsidP="009D68B8">
            <w:pPr>
              <w:pStyle w:val="StyleWisnow"/>
              <w:rPr>
                <w:color w:val="000000" w:themeColor="text1"/>
              </w:rPr>
            </w:pPr>
            <w:bookmarkStart w:id="1653" w:name="n1903" w:colFirst="0" w:colLast="0"/>
            <w:bookmarkEnd w:id="1652"/>
            <w:r w:rsidRPr="00286216">
              <w:rPr>
                <w:color w:val="000000" w:themeColor="text1"/>
              </w:rPr>
              <w:t>1903.</w:t>
            </w:r>
          </w:p>
        </w:tc>
        <w:tc>
          <w:tcPr>
            <w:tcW w:w="4818" w:type="dxa"/>
          </w:tcPr>
          <w:p w14:paraId="12E408C7" w14:textId="77777777" w:rsidR="009D68B8" w:rsidRPr="00286216" w:rsidRDefault="009D68B8" w:rsidP="009D68B8">
            <w:pPr>
              <w:pStyle w:val="StyleZakonu"/>
              <w:rPr>
                <w:color w:val="000000" w:themeColor="text1"/>
              </w:rPr>
            </w:pPr>
            <w:r w:rsidRPr="00286216">
              <w:rPr>
                <w:color w:val="000000" w:themeColor="text1"/>
              </w:rPr>
              <w:t>6) особу, у якої наявний конфлікт інтересів та/або інші обставини, зазначені в абзаці першому частини першої статті 115 цього Закону.</w:t>
            </w:r>
          </w:p>
        </w:tc>
        <w:tc>
          <w:tcPr>
            <w:tcW w:w="3686" w:type="dxa"/>
          </w:tcPr>
          <w:p w14:paraId="5131665A" w14:textId="77777777" w:rsidR="009D68B8" w:rsidRPr="00286216" w:rsidRDefault="009D68B8" w:rsidP="009D68B8">
            <w:pPr>
              <w:pStyle w:val="StyleProp"/>
              <w:rPr>
                <w:color w:val="000000" w:themeColor="text1"/>
                <w:szCs w:val="18"/>
              </w:rPr>
            </w:pPr>
          </w:p>
        </w:tc>
        <w:tc>
          <w:tcPr>
            <w:tcW w:w="1987" w:type="dxa"/>
          </w:tcPr>
          <w:p w14:paraId="6F305D0A" w14:textId="77777777" w:rsidR="009D68B8" w:rsidRPr="00286216" w:rsidRDefault="009D68B8" w:rsidP="009D68B8">
            <w:pPr>
              <w:pStyle w:val="StyleWisnow"/>
              <w:rPr>
                <w:color w:val="000000" w:themeColor="text1"/>
              </w:rPr>
            </w:pPr>
          </w:p>
        </w:tc>
        <w:tc>
          <w:tcPr>
            <w:tcW w:w="4818" w:type="dxa"/>
          </w:tcPr>
          <w:p w14:paraId="2D6E3A60" w14:textId="400D2A43" w:rsidR="009D68B8" w:rsidRPr="00286216" w:rsidRDefault="009D68B8" w:rsidP="009D68B8">
            <w:pPr>
              <w:pStyle w:val="StyleZakonu"/>
              <w:rPr>
                <w:color w:val="000000" w:themeColor="text1"/>
              </w:rPr>
            </w:pPr>
            <w:r w:rsidRPr="00286216">
              <w:rPr>
                <w:color w:val="000000" w:themeColor="text1"/>
              </w:rPr>
              <w:t>6) особу, у якої наявний конфлікт інтересів та/або інші обставини, зазначені в частині першій статті 119 цього Закону.</w:t>
            </w:r>
          </w:p>
        </w:tc>
      </w:tr>
      <w:tr w:rsidR="009D68B8" w:rsidRPr="00286216" w14:paraId="3A1001D9" w14:textId="77777777" w:rsidTr="00091AA5">
        <w:tc>
          <w:tcPr>
            <w:tcW w:w="576" w:type="dxa"/>
          </w:tcPr>
          <w:p w14:paraId="4FCBA5BD" w14:textId="77777777" w:rsidR="009D68B8" w:rsidRPr="00286216" w:rsidRDefault="009D68B8" w:rsidP="009D68B8">
            <w:pPr>
              <w:pStyle w:val="StyleWisnow"/>
              <w:rPr>
                <w:color w:val="000000" w:themeColor="text1"/>
              </w:rPr>
            </w:pPr>
            <w:bookmarkStart w:id="1654" w:name="n1904" w:colFirst="0" w:colLast="0"/>
            <w:bookmarkEnd w:id="1653"/>
            <w:r w:rsidRPr="00286216">
              <w:rPr>
                <w:color w:val="000000" w:themeColor="text1"/>
              </w:rPr>
              <w:lastRenderedPageBreak/>
              <w:t>1904.</w:t>
            </w:r>
          </w:p>
        </w:tc>
        <w:tc>
          <w:tcPr>
            <w:tcW w:w="4818" w:type="dxa"/>
          </w:tcPr>
          <w:p w14:paraId="52A23494" w14:textId="77777777" w:rsidR="009D68B8" w:rsidRPr="00286216" w:rsidRDefault="009D68B8" w:rsidP="009D68B8">
            <w:pPr>
              <w:pStyle w:val="StyleZakonu"/>
              <w:rPr>
                <w:color w:val="000000" w:themeColor="text1"/>
              </w:rPr>
            </w:pPr>
            <w:r w:rsidRPr="00286216">
              <w:rPr>
                <w:color w:val="000000" w:themeColor="text1"/>
              </w:rPr>
              <w:t>Обмеження, встановлені пунктами 3-6 цієї частини, не застосовуються до обрання адміністратора зборами власників облігацій, призначення адміністратора за згодою зборів або всіх власників облігацій.</w:t>
            </w:r>
          </w:p>
        </w:tc>
        <w:tc>
          <w:tcPr>
            <w:tcW w:w="3686" w:type="dxa"/>
          </w:tcPr>
          <w:p w14:paraId="33C7E157" w14:textId="77777777" w:rsidR="009D68B8" w:rsidRPr="00286216" w:rsidRDefault="009D68B8" w:rsidP="009D68B8">
            <w:pPr>
              <w:pStyle w:val="StyleProp"/>
              <w:rPr>
                <w:color w:val="000000" w:themeColor="text1"/>
                <w:szCs w:val="18"/>
              </w:rPr>
            </w:pPr>
          </w:p>
        </w:tc>
        <w:tc>
          <w:tcPr>
            <w:tcW w:w="1987" w:type="dxa"/>
          </w:tcPr>
          <w:p w14:paraId="161C9CB3" w14:textId="77777777" w:rsidR="009D68B8" w:rsidRPr="00286216" w:rsidRDefault="009D68B8" w:rsidP="009D68B8">
            <w:pPr>
              <w:pStyle w:val="StyleWisnow"/>
              <w:rPr>
                <w:color w:val="000000" w:themeColor="text1"/>
              </w:rPr>
            </w:pPr>
          </w:p>
        </w:tc>
        <w:tc>
          <w:tcPr>
            <w:tcW w:w="4818" w:type="dxa"/>
          </w:tcPr>
          <w:p w14:paraId="62B44D8D" w14:textId="2E3BBF6A" w:rsidR="009D68B8" w:rsidRPr="00286216" w:rsidRDefault="009D68B8" w:rsidP="009D68B8">
            <w:pPr>
              <w:pStyle w:val="StyleZakonu"/>
              <w:rPr>
                <w:color w:val="000000" w:themeColor="text1"/>
              </w:rPr>
            </w:pPr>
            <w:r w:rsidRPr="00286216">
              <w:rPr>
                <w:color w:val="000000" w:themeColor="text1"/>
              </w:rPr>
              <w:t>Обмеження, встановлені пунктами 3 - 6 цієї частини, не застосовуються до обрання адміністратора зборами власників облігацій, призначення адміністратора за згодою зборів або всіх власників облігацій.</w:t>
            </w:r>
          </w:p>
        </w:tc>
      </w:tr>
      <w:tr w:rsidR="009D68B8" w:rsidRPr="00286216" w14:paraId="50E8FA3A" w14:textId="77777777" w:rsidTr="00091AA5">
        <w:tc>
          <w:tcPr>
            <w:tcW w:w="576" w:type="dxa"/>
          </w:tcPr>
          <w:p w14:paraId="1323C3B1" w14:textId="77777777" w:rsidR="009D68B8" w:rsidRPr="00286216" w:rsidRDefault="009D68B8" w:rsidP="009D68B8">
            <w:pPr>
              <w:pStyle w:val="StyleWisnow"/>
              <w:rPr>
                <w:color w:val="000000" w:themeColor="text1"/>
              </w:rPr>
            </w:pPr>
            <w:bookmarkStart w:id="1655" w:name="n1905" w:colFirst="0" w:colLast="0"/>
            <w:bookmarkEnd w:id="1654"/>
            <w:r w:rsidRPr="00286216">
              <w:rPr>
                <w:color w:val="000000" w:themeColor="text1"/>
              </w:rPr>
              <w:t>1905.</w:t>
            </w:r>
          </w:p>
        </w:tc>
        <w:tc>
          <w:tcPr>
            <w:tcW w:w="4818" w:type="dxa"/>
          </w:tcPr>
          <w:p w14:paraId="5E171951" w14:textId="77777777" w:rsidR="009D68B8" w:rsidRPr="00286216" w:rsidRDefault="009D68B8" w:rsidP="009D68B8">
            <w:pPr>
              <w:pStyle w:val="StyleZakonu"/>
              <w:rPr>
                <w:color w:val="000000" w:themeColor="text1"/>
              </w:rPr>
            </w:pPr>
            <w:r w:rsidRPr="00286216">
              <w:rPr>
                <w:color w:val="000000" w:themeColor="text1"/>
              </w:rPr>
              <w:t>5. Особа, призначена адміністратором, набуває повноважень адміністратора з часу реєстрації проспекту (рішення про емісію цінних паперів) або відповідних змін до нього, якщо інше не передбачене цим Законом.</w:t>
            </w:r>
          </w:p>
        </w:tc>
        <w:tc>
          <w:tcPr>
            <w:tcW w:w="3686" w:type="dxa"/>
          </w:tcPr>
          <w:p w14:paraId="37332539" w14:textId="77777777" w:rsidR="009D68B8" w:rsidRPr="00286216" w:rsidRDefault="009D68B8" w:rsidP="009D68B8">
            <w:pPr>
              <w:pStyle w:val="StyleProp"/>
              <w:rPr>
                <w:color w:val="000000" w:themeColor="text1"/>
                <w:szCs w:val="18"/>
              </w:rPr>
            </w:pPr>
          </w:p>
        </w:tc>
        <w:tc>
          <w:tcPr>
            <w:tcW w:w="1987" w:type="dxa"/>
          </w:tcPr>
          <w:p w14:paraId="4027CBA8" w14:textId="77777777" w:rsidR="009D68B8" w:rsidRPr="00286216" w:rsidRDefault="009D68B8" w:rsidP="009D68B8">
            <w:pPr>
              <w:pStyle w:val="StyleWisnow"/>
              <w:rPr>
                <w:color w:val="000000" w:themeColor="text1"/>
              </w:rPr>
            </w:pPr>
          </w:p>
        </w:tc>
        <w:tc>
          <w:tcPr>
            <w:tcW w:w="4818" w:type="dxa"/>
          </w:tcPr>
          <w:p w14:paraId="51BCBE9A" w14:textId="1F25701F" w:rsidR="009D68B8" w:rsidRPr="00286216" w:rsidRDefault="009D68B8" w:rsidP="009D68B8">
            <w:pPr>
              <w:pStyle w:val="StyleZakonu"/>
              <w:rPr>
                <w:color w:val="000000" w:themeColor="text1"/>
              </w:rPr>
            </w:pPr>
            <w:r w:rsidRPr="00286216">
              <w:rPr>
                <w:color w:val="000000" w:themeColor="text1"/>
              </w:rPr>
              <w:t>5. Особа, призначена адміністратором, набуває повноважень адміністратора з часу реєстрації проспекту (рішення про емісію) або відповідних змін до нього, якщо інше не втсановлено цим Законом.</w:t>
            </w:r>
          </w:p>
        </w:tc>
      </w:tr>
      <w:tr w:rsidR="009D68B8" w:rsidRPr="00286216" w14:paraId="050BB429" w14:textId="77777777" w:rsidTr="00091AA5">
        <w:tc>
          <w:tcPr>
            <w:tcW w:w="576" w:type="dxa"/>
          </w:tcPr>
          <w:p w14:paraId="14D46C93" w14:textId="77777777" w:rsidR="009D68B8" w:rsidRPr="00286216" w:rsidRDefault="009D68B8" w:rsidP="009D68B8">
            <w:pPr>
              <w:pStyle w:val="StyleWisnow"/>
              <w:rPr>
                <w:color w:val="000000" w:themeColor="text1"/>
              </w:rPr>
            </w:pPr>
            <w:bookmarkStart w:id="1656" w:name="n1906" w:colFirst="0" w:colLast="0"/>
            <w:bookmarkEnd w:id="1655"/>
            <w:r w:rsidRPr="00286216">
              <w:rPr>
                <w:color w:val="000000" w:themeColor="text1"/>
              </w:rPr>
              <w:t>1906.</w:t>
            </w:r>
          </w:p>
        </w:tc>
        <w:tc>
          <w:tcPr>
            <w:tcW w:w="4818" w:type="dxa"/>
          </w:tcPr>
          <w:p w14:paraId="3455ED4A" w14:textId="77777777" w:rsidR="009D68B8" w:rsidRPr="00286216" w:rsidRDefault="009D68B8" w:rsidP="009D68B8">
            <w:pPr>
              <w:pStyle w:val="StyleZakonu"/>
              <w:rPr>
                <w:color w:val="000000" w:themeColor="text1"/>
              </w:rPr>
            </w:pPr>
            <w:r w:rsidRPr="00286216">
              <w:rPr>
                <w:color w:val="000000" w:themeColor="text1"/>
              </w:rPr>
              <w:t>6. У випадках, передбачених частиною першою цієї статті, усі власники облігацій за домовленістю або збори власників облігацій можуть самостійно обрати адміністратора.</w:t>
            </w:r>
          </w:p>
        </w:tc>
        <w:tc>
          <w:tcPr>
            <w:tcW w:w="3686" w:type="dxa"/>
          </w:tcPr>
          <w:p w14:paraId="5F7CF7F6" w14:textId="77777777" w:rsidR="009D68B8" w:rsidRPr="00286216" w:rsidRDefault="009D68B8" w:rsidP="009D68B8">
            <w:pPr>
              <w:pStyle w:val="StyleProp"/>
              <w:rPr>
                <w:color w:val="000000" w:themeColor="text1"/>
                <w:szCs w:val="18"/>
              </w:rPr>
            </w:pPr>
          </w:p>
        </w:tc>
        <w:tc>
          <w:tcPr>
            <w:tcW w:w="1987" w:type="dxa"/>
          </w:tcPr>
          <w:p w14:paraId="58418E87" w14:textId="77777777" w:rsidR="009D68B8" w:rsidRPr="00286216" w:rsidRDefault="009D68B8" w:rsidP="009D68B8">
            <w:pPr>
              <w:pStyle w:val="StyleWisnow"/>
              <w:rPr>
                <w:color w:val="000000" w:themeColor="text1"/>
              </w:rPr>
            </w:pPr>
          </w:p>
        </w:tc>
        <w:tc>
          <w:tcPr>
            <w:tcW w:w="4818" w:type="dxa"/>
          </w:tcPr>
          <w:p w14:paraId="6605BC0A" w14:textId="304F7625" w:rsidR="009D68B8" w:rsidRPr="00286216" w:rsidRDefault="009D68B8" w:rsidP="009D68B8">
            <w:pPr>
              <w:pStyle w:val="StyleZakonu"/>
              <w:rPr>
                <w:color w:val="000000" w:themeColor="text1"/>
              </w:rPr>
            </w:pPr>
            <w:r w:rsidRPr="00286216">
              <w:rPr>
                <w:color w:val="000000" w:themeColor="text1"/>
              </w:rPr>
              <w:t>6. У випадках, передбачених частиною першою цієї статті, усі власники облігацій за домовленістю або збори власників облігацій можуть самостійно обрати адміністратора.</w:t>
            </w:r>
          </w:p>
        </w:tc>
      </w:tr>
      <w:tr w:rsidR="009D68B8" w:rsidRPr="00286216" w14:paraId="37C9B8CE" w14:textId="77777777" w:rsidTr="00091AA5">
        <w:tc>
          <w:tcPr>
            <w:tcW w:w="576" w:type="dxa"/>
          </w:tcPr>
          <w:p w14:paraId="2D0B4B48" w14:textId="77777777" w:rsidR="009D68B8" w:rsidRPr="00286216" w:rsidRDefault="009D68B8" w:rsidP="009D68B8">
            <w:pPr>
              <w:pStyle w:val="StyleWisnow"/>
              <w:rPr>
                <w:color w:val="000000" w:themeColor="text1"/>
              </w:rPr>
            </w:pPr>
            <w:bookmarkStart w:id="1657" w:name="n1907" w:colFirst="0" w:colLast="0"/>
            <w:bookmarkEnd w:id="1656"/>
            <w:r w:rsidRPr="00286216">
              <w:rPr>
                <w:color w:val="000000" w:themeColor="text1"/>
              </w:rPr>
              <w:t>1907.</w:t>
            </w:r>
          </w:p>
        </w:tc>
        <w:tc>
          <w:tcPr>
            <w:tcW w:w="4818" w:type="dxa"/>
          </w:tcPr>
          <w:p w14:paraId="2553E073" w14:textId="77777777" w:rsidR="009D68B8" w:rsidRPr="00286216" w:rsidRDefault="009D68B8" w:rsidP="009D68B8">
            <w:pPr>
              <w:pStyle w:val="StyleZakonu"/>
              <w:rPr>
                <w:color w:val="000000" w:themeColor="text1"/>
              </w:rPr>
            </w:pPr>
            <w:r w:rsidRPr="00286216">
              <w:rPr>
                <w:color w:val="000000" w:themeColor="text1"/>
              </w:rPr>
              <w:t>Емітент у такому разі зобов’язаний укласти з особою, обраною адміністратором, договір про призначення адміністратора протягом п’яти робочих днів з дати отримання інформації щодо відповідної домовленості усіх власників облігацій або оприлюднення протоколу з відповідним рішенням зборів власників облігацій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1DD666B5" w14:textId="11AB99D8"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981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52EF9CE" w14:textId="77777777" w:rsidR="009D68B8" w:rsidRPr="00286216" w:rsidRDefault="009D68B8" w:rsidP="00572342">
            <w:pPr>
              <w:pStyle w:val="StyleProp"/>
              <w:spacing w:line="180" w:lineRule="exact"/>
              <w:rPr>
                <w:color w:val="000000" w:themeColor="text1"/>
                <w:szCs w:val="18"/>
              </w:rPr>
            </w:pPr>
            <w:r w:rsidRPr="00286216">
              <w:rPr>
                <w:color w:val="000000" w:themeColor="text1"/>
                <w:szCs w:val="18"/>
              </w:rPr>
              <w:t>У абзаці другому, четвертому та п’ятому частини шостої статті 110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p w14:paraId="44229EAD" w14:textId="60E62DAC"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982</w:t>
            </w:r>
            <w:r w:rsidRPr="00286216">
              <w:rPr>
                <w:color w:val="000000" w:themeColor="text1"/>
                <w:spacing w:val="-4"/>
              </w:rPr>
              <w:fldChar w:fldCharType="end"/>
            </w:r>
            <w:r w:rsidRPr="00286216">
              <w:rPr>
                <w:color w:val="000000" w:themeColor="text1"/>
                <w:spacing w:val="-4"/>
              </w:rPr>
              <w:t>-Н.д.Бєлькова О.В. (Реєстр.картка №403)</w:t>
            </w:r>
          </w:p>
          <w:p w14:paraId="2B498604" w14:textId="49B295D8" w:rsidR="009D68B8" w:rsidRPr="00286216" w:rsidRDefault="009D68B8" w:rsidP="00572342">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3EA7098A" w14:textId="77777777" w:rsidR="009D68B8" w:rsidRPr="00286216" w:rsidRDefault="009D68B8" w:rsidP="009D68B8">
            <w:pPr>
              <w:pStyle w:val="StyleWisnow"/>
              <w:rPr>
                <w:color w:val="000000" w:themeColor="text1"/>
              </w:rPr>
            </w:pPr>
            <w:r w:rsidRPr="00286216">
              <w:rPr>
                <w:color w:val="000000" w:themeColor="text1"/>
              </w:rPr>
              <w:t>Враховано по суті</w:t>
            </w:r>
          </w:p>
          <w:p w14:paraId="2925D4EA" w14:textId="77777777" w:rsidR="009D68B8" w:rsidRPr="00286216" w:rsidRDefault="009D68B8" w:rsidP="009D68B8">
            <w:pPr>
              <w:pStyle w:val="StyleWisnow"/>
              <w:rPr>
                <w:color w:val="000000" w:themeColor="text1"/>
              </w:rPr>
            </w:pPr>
          </w:p>
          <w:p w14:paraId="2B65F06C" w14:textId="77777777" w:rsidR="009D68B8" w:rsidRPr="00286216" w:rsidRDefault="009D68B8" w:rsidP="009D68B8">
            <w:pPr>
              <w:pStyle w:val="StyleWisnow"/>
              <w:rPr>
                <w:color w:val="000000" w:themeColor="text1"/>
              </w:rPr>
            </w:pPr>
          </w:p>
          <w:p w14:paraId="00C529CB" w14:textId="77777777" w:rsidR="009D68B8" w:rsidRPr="00286216" w:rsidRDefault="009D68B8" w:rsidP="009D68B8">
            <w:pPr>
              <w:pStyle w:val="StyleWisnow"/>
              <w:rPr>
                <w:color w:val="000000" w:themeColor="text1"/>
              </w:rPr>
            </w:pPr>
          </w:p>
          <w:p w14:paraId="26E0F9F5" w14:textId="77777777" w:rsidR="009D68B8" w:rsidRPr="00286216" w:rsidRDefault="009D68B8" w:rsidP="009D68B8">
            <w:pPr>
              <w:pStyle w:val="StyleWisnow"/>
              <w:rPr>
                <w:color w:val="000000" w:themeColor="text1"/>
              </w:rPr>
            </w:pPr>
          </w:p>
          <w:p w14:paraId="48BC2915" w14:textId="77777777" w:rsidR="009D68B8" w:rsidRPr="00286216" w:rsidRDefault="009D68B8" w:rsidP="009D68B8">
            <w:pPr>
              <w:pStyle w:val="StyleWisnow"/>
              <w:rPr>
                <w:color w:val="000000" w:themeColor="text1"/>
              </w:rPr>
            </w:pPr>
          </w:p>
          <w:p w14:paraId="6E0E72A6"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3B5144D0" w14:textId="4E29341F" w:rsidR="009D68B8" w:rsidRPr="00286216" w:rsidRDefault="009D68B8" w:rsidP="009D68B8">
            <w:pPr>
              <w:pStyle w:val="StyleZakonu"/>
              <w:rPr>
                <w:color w:val="000000" w:themeColor="text1"/>
              </w:rPr>
            </w:pPr>
            <w:r w:rsidRPr="00286216">
              <w:rPr>
                <w:color w:val="000000" w:themeColor="text1"/>
              </w:rPr>
              <w:t xml:space="preserve">Емітент у такому разі зобов’язаний укласти з особою, обраною адміністратором, договір про призначення адміністратора протягом п’яти робочих днів з дати отримання інформації щодо відповідної домовленості всіх власників облігацій або оприлюднення протоколу з відповідним рішенням зборів власників облігацій у </w:t>
            </w:r>
            <w:r w:rsidRPr="00286216">
              <w:rPr>
                <w:color w:val="000000" w:themeColor="text1"/>
                <w:szCs w:val="18"/>
              </w:rPr>
              <w:t>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w:t>
            </w:r>
          </w:p>
        </w:tc>
      </w:tr>
      <w:tr w:rsidR="009D68B8" w:rsidRPr="00286216" w14:paraId="1306D212" w14:textId="77777777" w:rsidTr="00091AA5">
        <w:tc>
          <w:tcPr>
            <w:tcW w:w="576" w:type="dxa"/>
          </w:tcPr>
          <w:p w14:paraId="50C37720" w14:textId="77777777" w:rsidR="009D68B8" w:rsidRPr="00286216" w:rsidRDefault="009D68B8" w:rsidP="009D68B8">
            <w:pPr>
              <w:pStyle w:val="StyleWisnow"/>
              <w:rPr>
                <w:color w:val="000000" w:themeColor="text1"/>
              </w:rPr>
            </w:pPr>
            <w:bookmarkStart w:id="1658" w:name="n1908" w:colFirst="0" w:colLast="0"/>
            <w:bookmarkEnd w:id="1657"/>
            <w:r w:rsidRPr="00286216">
              <w:rPr>
                <w:color w:val="000000" w:themeColor="text1"/>
              </w:rPr>
              <w:t>1908.</w:t>
            </w:r>
          </w:p>
        </w:tc>
        <w:tc>
          <w:tcPr>
            <w:tcW w:w="4818" w:type="dxa"/>
          </w:tcPr>
          <w:p w14:paraId="75BDDA9E" w14:textId="77777777" w:rsidR="009D68B8" w:rsidRPr="00286216" w:rsidRDefault="009D68B8" w:rsidP="009D68B8">
            <w:pPr>
              <w:pStyle w:val="StyleZakonu"/>
              <w:rPr>
                <w:color w:val="000000" w:themeColor="text1"/>
              </w:rPr>
            </w:pPr>
            <w:r w:rsidRPr="00286216">
              <w:rPr>
                <w:color w:val="000000" w:themeColor="text1"/>
              </w:rPr>
              <w:t>У разі невиконання емітентом свого обов’язку щодо укладення договору про призначення адміністратора протягом вищезазначеного строку, усі власники облігацій за домовленістю або збори власників облігацій можуть уповноважити одного або декількох власників облігацій на укладення вказаного договору з особою, обраною адміністратором. Таке рішення може прийматися зборами одночасно з рішенням про обрання адміністратора.</w:t>
            </w:r>
          </w:p>
        </w:tc>
        <w:tc>
          <w:tcPr>
            <w:tcW w:w="3686" w:type="dxa"/>
          </w:tcPr>
          <w:p w14:paraId="0F78D0FE" w14:textId="77777777" w:rsidR="009D68B8" w:rsidRPr="00286216" w:rsidRDefault="009D68B8" w:rsidP="009D68B8">
            <w:pPr>
              <w:pStyle w:val="StyleProp"/>
              <w:rPr>
                <w:color w:val="000000" w:themeColor="text1"/>
                <w:szCs w:val="18"/>
              </w:rPr>
            </w:pPr>
          </w:p>
        </w:tc>
        <w:tc>
          <w:tcPr>
            <w:tcW w:w="1987" w:type="dxa"/>
          </w:tcPr>
          <w:p w14:paraId="28F661D6" w14:textId="77777777" w:rsidR="009D68B8" w:rsidRPr="00286216" w:rsidRDefault="009D68B8" w:rsidP="009D68B8">
            <w:pPr>
              <w:pStyle w:val="StyleWisnow"/>
              <w:rPr>
                <w:color w:val="000000" w:themeColor="text1"/>
              </w:rPr>
            </w:pPr>
          </w:p>
        </w:tc>
        <w:tc>
          <w:tcPr>
            <w:tcW w:w="4818" w:type="dxa"/>
          </w:tcPr>
          <w:p w14:paraId="0F14261D" w14:textId="1F5FA9FB" w:rsidR="009D68B8" w:rsidRPr="00286216" w:rsidRDefault="009D68B8" w:rsidP="009D68B8">
            <w:pPr>
              <w:pStyle w:val="StyleZakonu"/>
              <w:rPr>
                <w:color w:val="000000" w:themeColor="text1"/>
              </w:rPr>
            </w:pPr>
            <w:r w:rsidRPr="00286216">
              <w:rPr>
                <w:color w:val="000000" w:themeColor="text1"/>
              </w:rPr>
              <w:t>У разі невиконання емітентом свого обов’язку щодо укладення договору про призначення адміністратора протягом вищезазначеного строку, всі власники облігацій за домовленістю або збори власників облігацій можуть уповноважити одного або декількох власників облігацій на укладення зазначеного договору з особою, обраною адміністратором. Таке рішення може прийматися зборами одночасно з рішенням про обрання адміністратора.</w:t>
            </w:r>
          </w:p>
        </w:tc>
      </w:tr>
      <w:tr w:rsidR="009D68B8" w:rsidRPr="00286216" w14:paraId="210C4D15" w14:textId="77777777" w:rsidTr="00091AA5">
        <w:tc>
          <w:tcPr>
            <w:tcW w:w="576" w:type="dxa"/>
          </w:tcPr>
          <w:p w14:paraId="07B5C479" w14:textId="77777777" w:rsidR="009D68B8" w:rsidRPr="00286216" w:rsidRDefault="009D68B8" w:rsidP="009D68B8">
            <w:pPr>
              <w:pStyle w:val="StyleWisnow"/>
              <w:rPr>
                <w:color w:val="000000" w:themeColor="text1"/>
              </w:rPr>
            </w:pPr>
            <w:bookmarkStart w:id="1659" w:name="n1909" w:colFirst="0" w:colLast="0"/>
            <w:bookmarkEnd w:id="1658"/>
            <w:r w:rsidRPr="00286216">
              <w:rPr>
                <w:color w:val="000000" w:themeColor="text1"/>
              </w:rPr>
              <w:t>1909.</w:t>
            </w:r>
          </w:p>
        </w:tc>
        <w:tc>
          <w:tcPr>
            <w:tcW w:w="4818" w:type="dxa"/>
          </w:tcPr>
          <w:p w14:paraId="633F17D1" w14:textId="77777777" w:rsidR="009D68B8" w:rsidRPr="00286216" w:rsidRDefault="009D68B8" w:rsidP="009D68B8">
            <w:pPr>
              <w:pStyle w:val="StyleZakonu"/>
              <w:rPr>
                <w:color w:val="000000" w:themeColor="text1"/>
              </w:rPr>
            </w:pPr>
            <w:r w:rsidRPr="00286216">
              <w:rPr>
                <w:color w:val="000000" w:themeColor="text1"/>
              </w:rPr>
              <w:t xml:space="preserve">У разі укладення договору про призначення </w:t>
            </w:r>
            <w:r w:rsidRPr="00286216">
              <w:rPr>
                <w:color w:val="000000" w:themeColor="text1"/>
              </w:rPr>
              <w:lastRenderedPageBreak/>
              <w:t>адміністратора уповноваженим власником (власниками) облігацій особа, призначена адміністратором, зобов’язана не пізніше наступного робочого дня направити інформацію про своє призначення усім власникам облігацій відповідного випуску облігацій через депозитарну систему України, повідомити емітента та оператора організованого ринку капіталу, на якому облігації допущені до торгів, а також оприлюднити таку інформацію на веб-сайті адміністратора, Центрального депозитарію цінних паперів та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0681A02B" w14:textId="4CF01E83" w:rsidR="009D68B8" w:rsidRPr="00286216" w:rsidRDefault="009D68B8" w:rsidP="009D68B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983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5EA5309" w14:textId="77777777" w:rsidR="009D68B8" w:rsidRPr="00286216" w:rsidRDefault="009D68B8" w:rsidP="00572342">
            <w:pPr>
              <w:pStyle w:val="StyleProp"/>
              <w:spacing w:line="180" w:lineRule="exact"/>
              <w:rPr>
                <w:color w:val="000000" w:themeColor="text1"/>
                <w:szCs w:val="18"/>
              </w:rPr>
            </w:pPr>
            <w:r w:rsidRPr="00286216">
              <w:rPr>
                <w:color w:val="000000" w:themeColor="text1"/>
                <w:szCs w:val="18"/>
              </w:rPr>
              <w:lastRenderedPageBreak/>
              <w:t>У абзаці другому, четвертому та п’ятому частини шостої статті 110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p w14:paraId="1C91ABBB" w14:textId="57AE9815"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984</w:t>
            </w:r>
            <w:r w:rsidRPr="00286216">
              <w:rPr>
                <w:color w:val="000000" w:themeColor="text1"/>
                <w:spacing w:val="-4"/>
              </w:rPr>
              <w:fldChar w:fldCharType="end"/>
            </w:r>
            <w:r w:rsidRPr="00286216">
              <w:rPr>
                <w:color w:val="000000" w:themeColor="text1"/>
                <w:spacing w:val="-4"/>
              </w:rPr>
              <w:t>-Н.д.Бєлькова О.В. (Реєстр.картка №403)</w:t>
            </w:r>
          </w:p>
          <w:p w14:paraId="3EE3219D" w14:textId="07CBAF58" w:rsidR="009D68B8" w:rsidRPr="00286216" w:rsidRDefault="009D68B8" w:rsidP="00572342">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2A8D4FCA" w14:textId="77777777" w:rsidR="009D68B8" w:rsidRPr="00286216" w:rsidRDefault="009D68B8" w:rsidP="009D68B8">
            <w:pPr>
              <w:pStyle w:val="StyleWisnow"/>
              <w:rPr>
                <w:color w:val="000000" w:themeColor="text1"/>
              </w:rPr>
            </w:pPr>
            <w:r w:rsidRPr="00286216">
              <w:rPr>
                <w:color w:val="000000" w:themeColor="text1"/>
              </w:rPr>
              <w:lastRenderedPageBreak/>
              <w:t>Враховано по суті</w:t>
            </w:r>
          </w:p>
          <w:p w14:paraId="0A3AC45D" w14:textId="77777777" w:rsidR="009D68B8" w:rsidRPr="00286216" w:rsidRDefault="009D68B8" w:rsidP="009D68B8">
            <w:pPr>
              <w:pStyle w:val="StyleWisnow"/>
              <w:rPr>
                <w:color w:val="000000" w:themeColor="text1"/>
              </w:rPr>
            </w:pPr>
          </w:p>
          <w:p w14:paraId="0B8BDE4F" w14:textId="77777777" w:rsidR="009D68B8" w:rsidRPr="00286216" w:rsidRDefault="009D68B8" w:rsidP="009D68B8">
            <w:pPr>
              <w:pStyle w:val="StyleWisnow"/>
              <w:rPr>
                <w:color w:val="000000" w:themeColor="text1"/>
              </w:rPr>
            </w:pPr>
          </w:p>
          <w:p w14:paraId="0FDC2ADC" w14:textId="77777777" w:rsidR="009D68B8" w:rsidRPr="00286216" w:rsidRDefault="009D68B8" w:rsidP="009D68B8">
            <w:pPr>
              <w:pStyle w:val="StyleWisnow"/>
              <w:rPr>
                <w:color w:val="000000" w:themeColor="text1"/>
              </w:rPr>
            </w:pPr>
          </w:p>
          <w:p w14:paraId="0C64E935" w14:textId="1AFA84EF" w:rsidR="009D68B8" w:rsidRPr="00286216" w:rsidRDefault="009D68B8" w:rsidP="009D68B8">
            <w:pPr>
              <w:pStyle w:val="StyleWisnow"/>
              <w:rPr>
                <w:color w:val="000000" w:themeColor="text1"/>
              </w:rPr>
            </w:pPr>
          </w:p>
          <w:p w14:paraId="17CA7F92" w14:textId="77777777" w:rsidR="009D68B8" w:rsidRPr="00286216" w:rsidRDefault="009D68B8" w:rsidP="009D68B8">
            <w:pPr>
              <w:pStyle w:val="StyleWisnow"/>
              <w:rPr>
                <w:color w:val="000000" w:themeColor="text1"/>
              </w:rPr>
            </w:pPr>
          </w:p>
          <w:p w14:paraId="601801AC"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4050E8F" w14:textId="50588199" w:rsidR="009D68B8" w:rsidRPr="00286216" w:rsidRDefault="009D68B8" w:rsidP="009D68B8">
            <w:pPr>
              <w:pStyle w:val="StyleZakonu"/>
              <w:rPr>
                <w:color w:val="000000" w:themeColor="text1"/>
              </w:rPr>
            </w:pPr>
            <w:r w:rsidRPr="00286216">
              <w:rPr>
                <w:color w:val="000000" w:themeColor="text1"/>
              </w:rPr>
              <w:lastRenderedPageBreak/>
              <w:t xml:space="preserve">У разі укладення договору про призначення </w:t>
            </w:r>
            <w:r w:rsidRPr="00286216">
              <w:rPr>
                <w:color w:val="000000" w:themeColor="text1"/>
              </w:rPr>
              <w:lastRenderedPageBreak/>
              <w:t xml:space="preserve">адміністратора уповноваженим власником (власниками) облігацій особа, призначена адміністратором, зобов’язана не пізніше наступного робочого дня направити інформацію про своє призначення всім власникам облігацій відповідного випуску облігацій через депозитарну систему України, повідомити емітента та оператора організованого ринку капіталу, на якому облігації допущені до торгів, а також оприлюднити таку інформацію на веб-сайті адміністратора, Центрального депозитарію цінних паперів та в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w:t>
            </w:r>
          </w:p>
        </w:tc>
      </w:tr>
      <w:tr w:rsidR="009D68B8" w:rsidRPr="00286216" w14:paraId="012348BC" w14:textId="77777777" w:rsidTr="00091AA5">
        <w:tc>
          <w:tcPr>
            <w:tcW w:w="576" w:type="dxa"/>
          </w:tcPr>
          <w:p w14:paraId="6FF5DCE4" w14:textId="77777777" w:rsidR="009D68B8" w:rsidRPr="00286216" w:rsidRDefault="009D68B8" w:rsidP="009D68B8">
            <w:pPr>
              <w:pStyle w:val="StyleWisnow"/>
              <w:rPr>
                <w:color w:val="000000" w:themeColor="text1"/>
              </w:rPr>
            </w:pPr>
            <w:bookmarkStart w:id="1660" w:name="n1910" w:colFirst="0" w:colLast="0"/>
            <w:bookmarkEnd w:id="1659"/>
            <w:r w:rsidRPr="00286216">
              <w:rPr>
                <w:color w:val="000000" w:themeColor="text1"/>
              </w:rPr>
              <w:lastRenderedPageBreak/>
              <w:t>1910.</w:t>
            </w:r>
          </w:p>
        </w:tc>
        <w:tc>
          <w:tcPr>
            <w:tcW w:w="4818" w:type="dxa"/>
          </w:tcPr>
          <w:p w14:paraId="462814DC" w14:textId="77777777" w:rsidR="009D68B8" w:rsidRPr="00286216" w:rsidRDefault="009D68B8" w:rsidP="009D68B8">
            <w:pPr>
              <w:pStyle w:val="StyleZakonu"/>
              <w:rPr>
                <w:color w:val="000000" w:themeColor="text1"/>
              </w:rPr>
            </w:pPr>
            <w:r w:rsidRPr="00286216">
              <w:rPr>
                <w:color w:val="000000" w:themeColor="text1"/>
              </w:rPr>
              <w:t>У такому випадку особа, призначена адміністратором, набуває повноважень адміністратора з часу оприлюднення інформації про своє призначення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0AB5037B" w14:textId="77017DA8"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985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534B11" w14:textId="6CF68555" w:rsidR="009D68B8" w:rsidRPr="00286216" w:rsidRDefault="009D68B8" w:rsidP="009D68B8">
            <w:pPr>
              <w:pStyle w:val="StyleProp"/>
              <w:spacing w:line="180" w:lineRule="exact"/>
              <w:rPr>
                <w:color w:val="000000" w:themeColor="text1"/>
                <w:szCs w:val="18"/>
              </w:rPr>
            </w:pPr>
            <w:r w:rsidRPr="00286216">
              <w:rPr>
                <w:color w:val="000000" w:themeColor="text1"/>
                <w:szCs w:val="18"/>
              </w:rPr>
              <w:t>У абзаці 2, 4 та 5 частини 6 статті 110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p w14:paraId="5DCC48C3" w14:textId="701EC1A5"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986</w:t>
            </w:r>
            <w:r w:rsidRPr="00286216">
              <w:rPr>
                <w:color w:val="000000" w:themeColor="text1"/>
                <w:spacing w:val="-4"/>
              </w:rPr>
              <w:fldChar w:fldCharType="end"/>
            </w:r>
            <w:r w:rsidRPr="00286216">
              <w:rPr>
                <w:color w:val="000000" w:themeColor="text1"/>
                <w:spacing w:val="-4"/>
              </w:rPr>
              <w:t>-Н.д.Бєлькова О.В. (Реєстр.картка №403)</w:t>
            </w:r>
          </w:p>
          <w:p w14:paraId="0F0E8970" w14:textId="3EEA81A6" w:rsidR="009D68B8" w:rsidRPr="00286216" w:rsidRDefault="009D68B8" w:rsidP="009D68B8">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3BBB5279" w14:textId="77777777" w:rsidR="009D68B8" w:rsidRPr="00286216" w:rsidRDefault="009D68B8" w:rsidP="009D68B8">
            <w:pPr>
              <w:pStyle w:val="StyleWisnow"/>
              <w:rPr>
                <w:color w:val="000000" w:themeColor="text1"/>
              </w:rPr>
            </w:pPr>
            <w:r w:rsidRPr="00286216">
              <w:rPr>
                <w:color w:val="000000" w:themeColor="text1"/>
              </w:rPr>
              <w:t>Враховано по суті</w:t>
            </w:r>
          </w:p>
          <w:p w14:paraId="1C57BC0F" w14:textId="77777777" w:rsidR="009D68B8" w:rsidRPr="00286216" w:rsidRDefault="009D68B8" w:rsidP="009D68B8">
            <w:pPr>
              <w:pStyle w:val="StyleWisnow"/>
              <w:rPr>
                <w:color w:val="000000" w:themeColor="text1"/>
              </w:rPr>
            </w:pPr>
          </w:p>
          <w:p w14:paraId="6CD64597" w14:textId="77777777" w:rsidR="009D68B8" w:rsidRPr="00286216" w:rsidRDefault="009D68B8" w:rsidP="009D68B8">
            <w:pPr>
              <w:pStyle w:val="StyleWisnow"/>
              <w:rPr>
                <w:color w:val="000000" w:themeColor="text1"/>
              </w:rPr>
            </w:pPr>
          </w:p>
          <w:p w14:paraId="7338B042" w14:textId="77777777" w:rsidR="009D68B8" w:rsidRPr="00286216" w:rsidRDefault="009D68B8" w:rsidP="009D68B8">
            <w:pPr>
              <w:pStyle w:val="StyleWisnow"/>
              <w:rPr>
                <w:color w:val="000000" w:themeColor="text1"/>
              </w:rPr>
            </w:pPr>
          </w:p>
          <w:p w14:paraId="1A879E29" w14:textId="77777777" w:rsidR="009D68B8" w:rsidRPr="00286216" w:rsidRDefault="009D68B8" w:rsidP="009D68B8">
            <w:pPr>
              <w:pStyle w:val="StyleWisnow"/>
              <w:rPr>
                <w:color w:val="000000" w:themeColor="text1"/>
              </w:rPr>
            </w:pPr>
          </w:p>
          <w:p w14:paraId="147865EF"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9EB40D6" w14:textId="70A02914" w:rsidR="009D68B8" w:rsidRPr="00286216" w:rsidRDefault="009D68B8" w:rsidP="009D68B8">
            <w:pPr>
              <w:pStyle w:val="StyleZakonu"/>
              <w:rPr>
                <w:color w:val="000000" w:themeColor="text1"/>
              </w:rPr>
            </w:pPr>
            <w:r w:rsidRPr="00286216">
              <w:rPr>
                <w:color w:val="000000" w:themeColor="text1"/>
              </w:rPr>
              <w:t xml:space="preserve">У такому разі особа, призначена адміністратором, набуває повноважень адміністратора з часу оприлюднення інформації про своє призначення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w:t>
            </w:r>
          </w:p>
        </w:tc>
      </w:tr>
      <w:tr w:rsidR="009D68B8" w:rsidRPr="00286216" w14:paraId="3B3844E7" w14:textId="77777777" w:rsidTr="00091AA5">
        <w:tc>
          <w:tcPr>
            <w:tcW w:w="576" w:type="dxa"/>
          </w:tcPr>
          <w:p w14:paraId="41A9F27E" w14:textId="77777777" w:rsidR="009D68B8" w:rsidRPr="00286216" w:rsidRDefault="009D68B8" w:rsidP="009D68B8">
            <w:pPr>
              <w:pStyle w:val="StyleWisnow"/>
              <w:rPr>
                <w:color w:val="000000" w:themeColor="text1"/>
              </w:rPr>
            </w:pPr>
            <w:bookmarkStart w:id="1661" w:name="n1911" w:colFirst="0" w:colLast="0"/>
            <w:bookmarkEnd w:id="1660"/>
            <w:r w:rsidRPr="00286216">
              <w:rPr>
                <w:color w:val="000000" w:themeColor="text1"/>
              </w:rPr>
              <w:t>1911.</w:t>
            </w:r>
          </w:p>
        </w:tc>
        <w:tc>
          <w:tcPr>
            <w:tcW w:w="4818" w:type="dxa"/>
          </w:tcPr>
          <w:p w14:paraId="2FC8AD55" w14:textId="77777777" w:rsidR="009D68B8" w:rsidRPr="00286216" w:rsidRDefault="009D68B8" w:rsidP="009D68B8">
            <w:pPr>
              <w:pStyle w:val="StyleZakonu"/>
              <w:rPr>
                <w:color w:val="000000" w:themeColor="text1"/>
              </w:rPr>
            </w:pPr>
            <w:r w:rsidRPr="00286216">
              <w:rPr>
                <w:color w:val="000000" w:themeColor="text1"/>
              </w:rPr>
              <w:t>7. Емітент зобов’язаний протягом 20 робочих днів з дати укладення договору про призначення адміністратора, як передбачено частиною шостою цієї статті, подати на реєстрацію зміни до проспекту (рішення про емісію цінних паперів) щодо призначення адміністратора у встановленому Національною комісією з цінних паперів та фондового ринку порядку.</w:t>
            </w:r>
          </w:p>
        </w:tc>
        <w:tc>
          <w:tcPr>
            <w:tcW w:w="3686" w:type="dxa"/>
          </w:tcPr>
          <w:p w14:paraId="40AE67DA" w14:textId="77777777" w:rsidR="009D68B8" w:rsidRPr="00286216" w:rsidRDefault="009D68B8" w:rsidP="009D68B8">
            <w:pPr>
              <w:pStyle w:val="StyleProp"/>
              <w:rPr>
                <w:color w:val="000000" w:themeColor="text1"/>
                <w:szCs w:val="18"/>
              </w:rPr>
            </w:pPr>
          </w:p>
        </w:tc>
        <w:tc>
          <w:tcPr>
            <w:tcW w:w="1987" w:type="dxa"/>
          </w:tcPr>
          <w:p w14:paraId="7DD2E517" w14:textId="77777777" w:rsidR="009D68B8" w:rsidRPr="00286216" w:rsidRDefault="009D68B8" w:rsidP="009D68B8">
            <w:pPr>
              <w:pStyle w:val="StyleWisnow"/>
              <w:rPr>
                <w:color w:val="000000" w:themeColor="text1"/>
              </w:rPr>
            </w:pPr>
          </w:p>
        </w:tc>
        <w:tc>
          <w:tcPr>
            <w:tcW w:w="4818" w:type="dxa"/>
          </w:tcPr>
          <w:p w14:paraId="1EABADD3" w14:textId="115DB1E6" w:rsidR="009D68B8" w:rsidRPr="00286216" w:rsidRDefault="009D68B8" w:rsidP="009D68B8">
            <w:pPr>
              <w:pStyle w:val="StyleZakonu"/>
              <w:rPr>
                <w:color w:val="000000" w:themeColor="text1"/>
              </w:rPr>
            </w:pPr>
            <w:r w:rsidRPr="00286216">
              <w:rPr>
                <w:color w:val="000000" w:themeColor="text1"/>
              </w:rPr>
              <w:t>7. Емітент зобов’язаний протягом 20 робочих днів з дати укладення договору про призначення адміністратора, передбаченого частиною шостою цієї статті, подати на реєстрацію зміни до проспекту (рішення про емісію) щодо призначення адміністратора у встановленому Національною комісією з цінних паперів та фондового ринку порядку.</w:t>
            </w:r>
          </w:p>
        </w:tc>
      </w:tr>
      <w:tr w:rsidR="009D68B8" w:rsidRPr="00286216" w14:paraId="32AD93CE" w14:textId="77777777" w:rsidTr="00091AA5">
        <w:tc>
          <w:tcPr>
            <w:tcW w:w="576" w:type="dxa"/>
          </w:tcPr>
          <w:p w14:paraId="78B8362B" w14:textId="77777777" w:rsidR="009D68B8" w:rsidRPr="00286216" w:rsidRDefault="009D68B8" w:rsidP="009D68B8">
            <w:pPr>
              <w:pStyle w:val="StyleWisnow"/>
              <w:rPr>
                <w:color w:val="000000" w:themeColor="text1"/>
              </w:rPr>
            </w:pPr>
            <w:bookmarkStart w:id="1662" w:name="n1912" w:colFirst="0" w:colLast="0"/>
            <w:bookmarkEnd w:id="1661"/>
            <w:r w:rsidRPr="00286216">
              <w:rPr>
                <w:color w:val="000000" w:themeColor="text1"/>
              </w:rPr>
              <w:lastRenderedPageBreak/>
              <w:t>1912.</w:t>
            </w:r>
          </w:p>
        </w:tc>
        <w:tc>
          <w:tcPr>
            <w:tcW w:w="4818" w:type="dxa"/>
          </w:tcPr>
          <w:p w14:paraId="4E03112C" w14:textId="77777777" w:rsidR="009D68B8" w:rsidRPr="00286216" w:rsidRDefault="009D68B8" w:rsidP="009D68B8">
            <w:pPr>
              <w:pStyle w:val="StyleZakonu"/>
              <w:rPr>
                <w:color w:val="000000" w:themeColor="text1"/>
              </w:rPr>
            </w:pPr>
            <w:r w:rsidRPr="00286216">
              <w:rPr>
                <w:color w:val="000000" w:themeColor="text1"/>
              </w:rPr>
              <w:t>Стаття 111. Припинення повноважень адміністратора</w:t>
            </w:r>
          </w:p>
        </w:tc>
        <w:tc>
          <w:tcPr>
            <w:tcW w:w="3686" w:type="dxa"/>
          </w:tcPr>
          <w:p w14:paraId="66B6A112" w14:textId="77777777" w:rsidR="009D68B8" w:rsidRPr="00286216" w:rsidRDefault="009D68B8" w:rsidP="009D68B8">
            <w:pPr>
              <w:pStyle w:val="StyleProp"/>
              <w:rPr>
                <w:color w:val="000000" w:themeColor="text1"/>
                <w:szCs w:val="18"/>
              </w:rPr>
            </w:pPr>
          </w:p>
        </w:tc>
        <w:tc>
          <w:tcPr>
            <w:tcW w:w="1987" w:type="dxa"/>
          </w:tcPr>
          <w:p w14:paraId="074E1273" w14:textId="77777777" w:rsidR="009D68B8" w:rsidRPr="00286216" w:rsidRDefault="009D68B8" w:rsidP="009D68B8">
            <w:pPr>
              <w:pStyle w:val="StyleWisnow"/>
              <w:rPr>
                <w:color w:val="000000" w:themeColor="text1"/>
              </w:rPr>
            </w:pPr>
          </w:p>
        </w:tc>
        <w:tc>
          <w:tcPr>
            <w:tcW w:w="4818" w:type="dxa"/>
          </w:tcPr>
          <w:p w14:paraId="59267043" w14:textId="5859C1E1" w:rsidR="009D68B8" w:rsidRPr="00286216" w:rsidRDefault="009D68B8" w:rsidP="009D68B8">
            <w:pPr>
              <w:pStyle w:val="StyleZakonu"/>
              <w:rPr>
                <w:color w:val="000000" w:themeColor="text1"/>
              </w:rPr>
            </w:pPr>
            <w:r w:rsidRPr="00286216">
              <w:rPr>
                <w:color w:val="000000" w:themeColor="text1"/>
              </w:rPr>
              <w:t>Стаття 115. Припинення повноважень адміністратора</w:t>
            </w:r>
          </w:p>
        </w:tc>
      </w:tr>
      <w:tr w:rsidR="009D68B8" w:rsidRPr="00286216" w14:paraId="63AA1FF7" w14:textId="77777777" w:rsidTr="00091AA5">
        <w:tc>
          <w:tcPr>
            <w:tcW w:w="576" w:type="dxa"/>
          </w:tcPr>
          <w:p w14:paraId="480C1B07" w14:textId="77777777" w:rsidR="009D68B8" w:rsidRPr="00286216" w:rsidRDefault="009D68B8" w:rsidP="009D68B8">
            <w:pPr>
              <w:pStyle w:val="StyleWisnow"/>
              <w:rPr>
                <w:color w:val="000000" w:themeColor="text1"/>
              </w:rPr>
            </w:pPr>
            <w:bookmarkStart w:id="1663" w:name="n1913" w:colFirst="0" w:colLast="0"/>
            <w:bookmarkEnd w:id="1662"/>
            <w:r w:rsidRPr="00286216">
              <w:rPr>
                <w:color w:val="000000" w:themeColor="text1"/>
              </w:rPr>
              <w:t>1913.</w:t>
            </w:r>
          </w:p>
        </w:tc>
        <w:tc>
          <w:tcPr>
            <w:tcW w:w="4818" w:type="dxa"/>
          </w:tcPr>
          <w:p w14:paraId="1375C98A" w14:textId="77777777" w:rsidR="009D68B8" w:rsidRPr="00286216" w:rsidRDefault="009D68B8" w:rsidP="009D68B8">
            <w:pPr>
              <w:pStyle w:val="StyleZakonu"/>
              <w:rPr>
                <w:color w:val="000000" w:themeColor="text1"/>
              </w:rPr>
            </w:pPr>
            <w:r w:rsidRPr="00286216">
              <w:rPr>
                <w:color w:val="000000" w:themeColor="text1"/>
              </w:rPr>
              <w:t>1. Повноваження адміністратора припиняються у разі:</w:t>
            </w:r>
          </w:p>
        </w:tc>
        <w:tc>
          <w:tcPr>
            <w:tcW w:w="3686" w:type="dxa"/>
          </w:tcPr>
          <w:p w14:paraId="28C17F7D" w14:textId="77777777" w:rsidR="009D68B8" w:rsidRPr="00286216" w:rsidRDefault="009D68B8" w:rsidP="009D68B8">
            <w:pPr>
              <w:pStyle w:val="StyleProp"/>
              <w:rPr>
                <w:color w:val="000000" w:themeColor="text1"/>
                <w:szCs w:val="18"/>
              </w:rPr>
            </w:pPr>
          </w:p>
        </w:tc>
        <w:tc>
          <w:tcPr>
            <w:tcW w:w="1987" w:type="dxa"/>
          </w:tcPr>
          <w:p w14:paraId="22449569" w14:textId="77777777" w:rsidR="009D68B8" w:rsidRPr="00286216" w:rsidRDefault="009D68B8" w:rsidP="009D68B8">
            <w:pPr>
              <w:pStyle w:val="StyleWisnow"/>
              <w:rPr>
                <w:color w:val="000000" w:themeColor="text1"/>
              </w:rPr>
            </w:pPr>
          </w:p>
        </w:tc>
        <w:tc>
          <w:tcPr>
            <w:tcW w:w="4818" w:type="dxa"/>
          </w:tcPr>
          <w:p w14:paraId="3C249D0F" w14:textId="07CAFB72" w:rsidR="009D68B8" w:rsidRPr="00286216" w:rsidRDefault="009D68B8" w:rsidP="009D68B8">
            <w:pPr>
              <w:pStyle w:val="StyleZakonu"/>
              <w:rPr>
                <w:color w:val="000000" w:themeColor="text1"/>
              </w:rPr>
            </w:pPr>
            <w:r w:rsidRPr="00286216">
              <w:rPr>
                <w:color w:val="000000" w:themeColor="text1"/>
              </w:rPr>
              <w:t>1. Повноваження адміністратора припиняються в разі:</w:t>
            </w:r>
          </w:p>
        </w:tc>
      </w:tr>
      <w:tr w:rsidR="009D68B8" w:rsidRPr="00286216" w14:paraId="043B3CB1" w14:textId="77777777" w:rsidTr="00091AA5">
        <w:tc>
          <w:tcPr>
            <w:tcW w:w="576" w:type="dxa"/>
          </w:tcPr>
          <w:p w14:paraId="10992691" w14:textId="77777777" w:rsidR="009D68B8" w:rsidRPr="00286216" w:rsidRDefault="009D68B8" w:rsidP="009D68B8">
            <w:pPr>
              <w:pStyle w:val="StyleWisnow"/>
              <w:rPr>
                <w:color w:val="000000" w:themeColor="text1"/>
              </w:rPr>
            </w:pPr>
            <w:bookmarkStart w:id="1664" w:name="n1914" w:colFirst="0" w:colLast="0"/>
            <w:bookmarkEnd w:id="1663"/>
            <w:r w:rsidRPr="00286216">
              <w:rPr>
                <w:color w:val="000000" w:themeColor="text1"/>
              </w:rPr>
              <w:t>1914.</w:t>
            </w:r>
          </w:p>
        </w:tc>
        <w:tc>
          <w:tcPr>
            <w:tcW w:w="4818" w:type="dxa"/>
          </w:tcPr>
          <w:p w14:paraId="5E69485D" w14:textId="77777777" w:rsidR="009D68B8" w:rsidRPr="00286216" w:rsidRDefault="009D68B8" w:rsidP="009D68B8">
            <w:pPr>
              <w:pStyle w:val="StyleZakonu"/>
              <w:rPr>
                <w:color w:val="000000" w:themeColor="text1"/>
              </w:rPr>
            </w:pPr>
            <w:r w:rsidRPr="00286216">
              <w:rPr>
                <w:color w:val="000000" w:themeColor="text1"/>
              </w:rPr>
              <w:t>1) відмови адміністратора від свого призначення;</w:t>
            </w:r>
          </w:p>
        </w:tc>
        <w:tc>
          <w:tcPr>
            <w:tcW w:w="3686" w:type="dxa"/>
          </w:tcPr>
          <w:p w14:paraId="080A00C3" w14:textId="77777777" w:rsidR="009D68B8" w:rsidRPr="00286216" w:rsidRDefault="009D68B8" w:rsidP="009D68B8">
            <w:pPr>
              <w:pStyle w:val="StyleProp"/>
              <w:rPr>
                <w:color w:val="000000" w:themeColor="text1"/>
                <w:szCs w:val="18"/>
              </w:rPr>
            </w:pPr>
          </w:p>
        </w:tc>
        <w:tc>
          <w:tcPr>
            <w:tcW w:w="1987" w:type="dxa"/>
          </w:tcPr>
          <w:p w14:paraId="02CBFEAD" w14:textId="77777777" w:rsidR="009D68B8" w:rsidRPr="00286216" w:rsidRDefault="009D68B8" w:rsidP="009D68B8">
            <w:pPr>
              <w:pStyle w:val="StyleWisnow"/>
              <w:rPr>
                <w:color w:val="000000" w:themeColor="text1"/>
              </w:rPr>
            </w:pPr>
          </w:p>
        </w:tc>
        <w:tc>
          <w:tcPr>
            <w:tcW w:w="4818" w:type="dxa"/>
          </w:tcPr>
          <w:p w14:paraId="66F5F169" w14:textId="21A63D40" w:rsidR="009D68B8" w:rsidRPr="00286216" w:rsidRDefault="009D68B8" w:rsidP="009D68B8">
            <w:pPr>
              <w:pStyle w:val="StyleZakonu"/>
              <w:rPr>
                <w:color w:val="000000" w:themeColor="text1"/>
              </w:rPr>
            </w:pPr>
            <w:r w:rsidRPr="00286216">
              <w:rPr>
                <w:color w:val="000000" w:themeColor="text1"/>
              </w:rPr>
              <w:t>1) відмови адміністратора від свого призначення;</w:t>
            </w:r>
          </w:p>
        </w:tc>
      </w:tr>
      <w:tr w:rsidR="009D68B8" w:rsidRPr="00286216" w14:paraId="5BA69B45" w14:textId="77777777" w:rsidTr="00091AA5">
        <w:tc>
          <w:tcPr>
            <w:tcW w:w="576" w:type="dxa"/>
          </w:tcPr>
          <w:p w14:paraId="6F93F9DC" w14:textId="77777777" w:rsidR="009D68B8" w:rsidRPr="00286216" w:rsidRDefault="009D68B8" w:rsidP="009D68B8">
            <w:pPr>
              <w:pStyle w:val="StyleWisnow"/>
              <w:rPr>
                <w:color w:val="000000" w:themeColor="text1"/>
              </w:rPr>
            </w:pPr>
            <w:bookmarkStart w:id="1665" w:name="n1915" w:colFirst="0" w:colLast="0"/>
            <w:bookmarkEnd w:id="1664"/>
            <w:r w:rsidRPr="00286216">
              <w:rPr>
                <w:color w:val="000000" w:themeColor="text1"/>
              </w:rPr>
              <w:t>1915.</w:t>
            </w:r>
          </w:p>
        </w:tc>
        <w:tc>
          <w:tcPr>
            <w:tcW w:w="4818" w:type="dxa"/>
          </w:tcPr>
          <w:p w14:paraId="1AE56988" w14:textId="77777777" w:rsidR="009D68B8" w:rsidRPr="00286216" w:rsidRDefault="009D68B8" w:rsidP="009D68B8">
            <w:pPr>
              <w:pStyle w:val="StyleZakonu"/>
              <w:rPr>
                <w:color w:val="000000" w:themeColor="text1"/>
              </w:rPr>
            </w:pPr>
            <w:r w:rsidRPr="00286216">
              <w:rPr>
                <w:color w:val="000000" w:themeColor="text1"/>
              </w:rPr>
              <w:t>2) усунення від виконання адміністратора;</w:t>
            </w:r>
          </w:p>
        </w:tc>
        <w:tc>
          <w:tcPr>
            <w:tcW w:w="3686" w:type="dxa"/>
          </w:tcPr>
          <w:p w14:paraId="6E0E3C94" w14:textId="48EC4778"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987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336E01E" w14:textId="1F6C5F05" w:rsidR="009D68B8" w:rsidRPr="00286216" w:rsidRDefault="009D68B8" w:rsidP="009D68B8">
            <w:pPr>
              <w:pStyle w:val="StyleProp"/>
              <w:spacing w:line="180" w:lineRule="exact"/>
              <w:rPr>
                <w:color w:val="000000" w:themeColor="text1"/>
                <w:spacing w:val="-4"/>
                <w:szCs w:val="18"/>
              </w:rPr>
            </w:pPr>
            <w:r w:rsidRPr="00286216">
              <w:rPr>
                <w:color w:val="000000" w:themeColor="text1"/>
                <w:spacing w:val="-4"/>
                <w:szCs w:val="18"/>
              </w:rPr>
              <w:t>Пункт 2 частини 1 статті 111 після слів "від виконання" доповнити словом "обов’язків".</w:t>
            </w:r>
          </w:p>
        </w:tc>
        <w:tc>
          <w:tcPr>
            <w:tcW w:w="1987" w:type="dxa"/>
          </w:tcPr>
          <w:p w14:paraId="5B40BD88"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5DB3F40E" w14:textId="6BD7CC36" w:rsidR="009D68B8" w:rsidRPr="00286216" w:rsidRDefault="009D68B8" w:rsidP="009D68B8">
            <w:pPr>
              <w:pStyle w:val="StyleZakonu"/>
              <w:rPr>
                <w:color w:val="000000" w:themeColor="text1"/>
              </w:rPr>
            </w:pPr>
            <w:r w:rsidRPr="00286216">
              <w:rPr>
                <w:color w:val="000000" w:themeColor="text1"/>
              </w:rPr>
              <w:t xml:space="preserve">2) усунення від виконання </w:t>
            </w:r>
            <w:r w:rsidRPr="00286216">
              <w:rPr>
                <w:color w:val="000000" w:themeColor="text1"/>
                <w:szCs w:val="18"/>
              </w:rPr>
              <w:t>обов’язків</w:t>
            </w:r>
            <w:r w:rsidRPr="00286216">
              <w:rPr>
                <w:color w:val="000000" w:themeColor="text1"/>
              </w:rPr>
              <w:t xml:space="preserve"> адміністратора;</w:t>
            </w:r>
          </w:p>
        </w:tc>
      </w:tr>
      <w:tr w:rsidR="009D68B8" w:rsidRPr="00286216" w14:paraId="53735DA4" w14:textId="77777777" w:rsidTr="00091AA5">
        <w:tc>
          <w:tcPr>
            <w:tcW w:w="576" w:type="dxa"/>
          </w:tcPr>
          <w:p w14:paraId="219F8C45" w14:textId="77777777" w:rsidR="009D68B8" w:rsidRPr="00286216" w:rsidRDefault="009D68B8" w:rsidP="009D68B8">
            <w:pPr>
              <w:pStyle w:val="StyleWisnow"/>
              <w:rPr>
                <w:color w:val="000000" w:themeColor="text1"/>
              </w:rPr>
            </w:pPr>
            <w:bookmarkStart w:id="1666" w:name="n1916" w:colFirst="0" w:colLast="0"/>
            <w:bookmarkEnd w:id="1665"/>
            <w:r w:rsidRPr="00286216">
              <w:rPr>
                <w:color w:val="000000" w:themeColor="text1"/>
              </w:rPr>
              <w:t>1916.</w:t>
            </w:r>
          </w:p>
        </w:tc>
        <w:tc>
          <w:tcPr>
            <w:tcW w:w="4818" w:type="dxa"/>
          </w:tcPr>
          <w:p w14:paraId="00D5039E" w14:textId="77777777" w:rsidR="009D68B8" w:rsidRPr="00286216" w:rsidRDefault="009D68B8" w:rsidP="009D68B8">
            <w:pPr>
              <w:pStyle w:val="StyleZakonu"/>
              <w:rPr>
                <w:color w:val="000000" w:themeColor="text1"/>
              </w:rPr>
            </w:pPr>
            <w:r w:rsidRPr="00286216">
              <w:rPr>
                <w:color w:val="000000" w:themeColor="text1"/>
              </w:rPr>
              <w:t>3) виникнення обставин, які призвели до невідповідності адміністратора вимогам, визначеним цим Законом та нормативно-правовими актами Національної комісії з цінних паперів та фондового ринку, що встановлено Національною комісією з цінних паперів та фондового ринку, судом, третейським судом або арбітражем;</w:t>
            </w:r>
          </w:p>
        </w:tc>
        <w:tc>
          <w:tcPr>
            <w:tcW w:w="3686" w:type="dxa"/>
          </w:tcPr>
          <w:p w14:paraId="434CDF89" w14:textId="3156D118"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988</w:t>
            </w:r>
            <w:r w:rsidRPr="00286216">
              <w:rPr>
                <w:color w:val="000000" w:themeColor="text1"/>
                <w:spacing w:val="-4"/>
              </w:rPr>
              <w:fldChar w:fldCharType="end"/>
            </w:r>
            <w:r w:rsidRPr="00286216">
              <w:rPr>
                <w:color w:val="000000" w:themeColor="text1"/>
                <w:spacing w:val="-4"/>
              </w:rPr>
              <w:t>-Н.д.Бєлькова О.В. (Реєстр.картка №403)</w:t>
            </w:r>
          </w:p>
          <w:p w14:paraId="77285120" w14:textId="3EE6B9AA" w:rsidR="009D68B8" w:rsidRPr="00286216" w:rsidRDefault="009D68B8" w:rsidP="009D68B8">
            <w:pPr>
              <w:pStyle w:val="StyleProp"/>
              <w:spacing w:line="180" w:lineRule="exact"/>
              <w:rPr>
                <w:color w:val="000000" w:themeColor="text1"/>
                <w:szCs w:val="18"/>
              </w:rPr>
            </w:pPr>
            <w:r w:rsidRPr="00286216">
              <w:rPr>
                <w:color w:val="000000" w:themeColor="text1"/>
                <w:szCs w:val="18"/>
              </w:rPr>
              <w:t>Абзац 4 статті 111 викласти у редакції:</w:t>
            </w:r>
          </w:p>
          <w:p w14:paraId="069FAC98" w14:textId="79DB4CBC" w:rsidR="009D68B8" w:rsidRPr="00286216" w:rsidRDefault="009D68B8" w:rsidP="009D68B8">
            <w:pPr>
              <w:pStyle w:val="StyleProp"/>
              <w:spacing w:line="180" w:lineRule="exact"/>
              <w:rPr>
                <w:color w:val="000000" w:themeColor="text1"/>
                <w:spacing w:val="-2"/>
                <w:szCs w:val="18"/>
              </w:rPr>
            </w:pPr>
            <w:r w:rsidRPr="00286216">
              <w:rPr>
                <w:color w:val="000000" w:themeColor="text1"/>
              </w:rPr>
              <w:t>"3) встановлення судом, третейським судом, міжнародним комерційним арбітражем або Національною комісією з цінних паперів та фондового ринку факту невідповідності адміністратора вимогам, встановленим цим Законом та/або нормативно-правовими актами Національної комісії з цінних паперів та фондового ринку".</w:t>
            </w:r>
          </w:p>
        </w:tc>
        <w:tc>
          <w:tcPr>
            <w:tcW w:w="1987" w:type="dxa"/>
          </w:tcPr>
          <w:p w14:paraId="36ACEE7E" w14:textId="0961C769"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23461A80" w14:textId="4547FCA1" w:rsidR="009D68B8" w:rsidRPr="00286216" w:rsidRDefault="009D68B8" w:rsidP="009D68B8">
            <w:pPr>
              <w:pStyle w:val="StyleZakonu"/>
              <w:rPr>
                <w:color w:val="000000" w:themeColor="text1"/>
              </w:rPr>
            </w:pPr>
            <w:r w:rsidRPr="00286216">
              <w:rPr>
                <w:color w:val="000000" w:themeColor="text1"/>
              </w:rPr>
              <w:t>3) встановлення судом, третейським судом, міжнародним комерційним арбітражем або Національною комісією з цінних паперів та фондового ринку факту невідповідності адміністратора вимогам, встановленим цим Законом та/або нормативно-правовими актами Національної комісії з цінних паперів та фондового ринку;</w:t>
            </w:r>
          </w:p>
        </w:tc>
      </w:tr>
      <w:tr w:rsidR="009D68B8" w:rsidRPr="00286216" w14:paraId="64A82FA8" w14:textId="77777777" w:rsidTr="00091AA5">
        <w:tc>
          <w:tcPr>
            <w:tcW w:w="576" w:type="dxa"/>
          </w:tcPr>
          <w:p w14:paraId="0BDC3ED0" w14:textId="77777777" w:rsidR="009D68B8" w:rsidRPr="00286216" w:rsidRDefault="009D68B8" w:rsidP="009D68B8">
            <w:pPr>
              <w:pStyle w:val="StyleWisnow"/>
              <w:rPr>
                <w:color w:val="000000" w:themeColor="text1"/>
              </w:rPr>
            </w:pPr>
            <w:bookmarkStart w:id="1667" w:name="n1917" w:colFirst="0" w:colLast="0"/>
            <w:bookmarkEnd w:id="1666"/>
            <w:r w:rsidRPr="00286216">
              <w:rPr>
                <w:color w:val="000000" w:themeColor="text1"/>
              </w:rPr>
              <w:t>1917.</w:t>
            </w:r>
          </w:p>
        </w:tc>
        <w:tc>
          <w:tcPr>
            <w:tcW w:w="4818" w:type="dxa"/>
          </w:tcPr>
          <w:p w14:paraId="1B626A10" w14:textId="77777777" w:rsidR="009D68B8" w:rsidRPr="00286216" w:rsidRDefault="009D68B8" w:rsidP="009D68B8">
            <w:pPr>
              <w:pStyle w:val="StyleZakonu"/>
              <w:rPr>
                <w:color w:val="000000" w:themeColor="text1"/>
              </w:rPr>
            </w:pPr>
            <w:r w:rsidRPr="00286216">
              <w:rPr>
                <w:color w:val="000000" w:themeColor="text1"/>
              </w:rPr>
              <w:t>4) ліквідації юридичної особи, що є адміністратором;</w:t>
            </w:r>
          </w:p>
        </w:tc>
        <w:tc>
          <w:tcPr>
            <w:tcW w:w="3686" w:type="dxa"/>
          </w:tcPr>
          <w:p w14:paraId="7CB4A063" w14:textId="26679826" w:rsidR="009D68B8" w:rsidRPr="00286216" w:rsidRDefault="009D68B8" w:rsidP="009D68B8">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989</w:t>
            </w:r>
            <w:r w:rsidRPr="00286216">
              <w:rPr>
                <w:color w:val="000000" w:themeColor="text1"/>
                <w:spacing w:val="-6"/>
                <w:szCs w:val="18"/>
              </w:rPr>
              <w:fldChar w:fldCharType="end"/>
            </w:r>
            <w:r w:rsidRPr="00286216">
              <w:rPr>
                <w:color w:val="000000" w:themeColor="text1"/>
                <w:spacing w:val="-6"/>
                <w:szCs w:val="18"/>
              </w:rPr>
              <w:t>-Н.д.Ніколаєнко А.І. (Реєстр.картка №405)</w:t>
            </w:r>
          </w:p>
          <w:p w14:paraId="298B99A4" w14:textId="5254A158" w:rsidR="009D68B8" w:rsidRPr="00286216" w:rsidRDefault="009D68B8" w:rsidP="00572342">
            <w:pPr>
              <w:pStyle w:val="StyleProp"/>
              <w:spacing w:line="180" w:lineRule="exact"/>
              <w:rPr>
                <w:color w:val="000000" w:themeColor="text1"/>
                <w:szCs w:val="18"/>
              </w:rPr>
            </w:pPr>
            <w:r w:rsidRPr="00286216">
              <w:rPr>
                <w:color w:val="000000" w:themeColor="text1"/>
                <w:spacing w:val="-2"/>
              </w:rPr>
              <w:t>У пункті 3 частини 1 статті 111 слово «арбітражем» замінити словами «міжнародним комерційним арбітражем».</w:t>
            </w:r>
          </w:p>
        </w:tc>
        <w:tc>
          <w:tcPr>
            <w:tcW w:w="1987" w:type="dxa"/>
          </w:tcPr>
          <w:p w14:paraId="6B91FA66" w14:textId="3898305F"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5A400261" w14:textId="0399B1AA" w:rsidR="009D68B8" w:rsidRPr="00286216" w:rsidRDefault="009D68B8" w:rsidP="009D68B8">
            <w:pPr>
              <w:pStyle w:val="StyleZakonu"/>
              <w:rPr>
                <w:color w:val="000000" w:themeColor="text1"/>
              </w:rPr>
            </w:pPr>
            <w:r w:rsidRPr="00286216">
              <w:rPr>
                <w:color w:val="000000" w:themeColor="text1"/>
              </w:rPr>
              <w:t>4) ліквідації юридичної особи, що є адміністратором;</w:t>
            </w:r>
          </w:p>
        </w:tc>
      </w:tr>
      <w:tr w:rsidR="009D68B8" w:rsidRPr="00286216" w14:paraId="5F5C4581" w14:textId="77777777" w:rsidTr="00091AA5">
        <w:tc>
          <w:tcPr>
            <w:tcW w:w="576" w:type="dxa"/>
          </w:tcPr>
          <w:p w14:paraId="233939DE" w14:textId="77777777" w:rsidR="009D68B8" w:rsidRPr="00286216" w:rsidRDefault="009D68B8" w:rsidP="009D68B8">
            <w:pPr>
              <w:pStyle w:val="StyleWisnow"/>
              <w:rPr>
                <w:color w:val="000000" w:themeColor="text1"/>
              </w:rPr>
            </w:pPr>
            <w:bookmarkStart w:id="1668" w:name="n1918" w:colFirst="0" w:colLast="0"/>
            <w:bookmarkEnd w:id="1667"/>
            <w:r w:rsidRPr="00286216">
              <w:rPr>
                <w:color w:val="000000" w:themeColor="text1"/>
              </w:rPr>
              <w:t>1918.</w:t>
            </w:r>
          </w:p>
        </w:tc>
        <w:tc>
          <w:tcPr>
            <w:tcW w:w="4818" w:type="dxa"/>
          </w:tcPr>
          <w:p w14:paraId="656DBA76" w14:textId="77777777" w:rsidR="009D68B8" w:rsidRPr="00286216" w:rsidRDefault="009D68B8" w:rsidP="009D68B8">
            <w:pPr>
              <w:pStyle w:val="StyleZakonu"/>
              <w:rPr>
                <w:color w:val="000000" w:themeColor="text1"/>
              </w:rPr>
            </w:pPr>
            <w:r w:rsidRPr="00286216">
              <w:rPr>
                <w:color w:val="000000" w:themeColor="text1"/>
              </w:rPr>
              <w:t>5) скасування реєстрації випуску;</w:t>
            </w:r>
          </w:p>
        </w:tc>
        <w:tc>
          <w:tcPr>
            <w:tcW w:w="3686" w:type="dxa"/>
          </w:tcPr>
          <w:p w14:paraId="3D971F47" w14:textId="77777777" w:rsidR="009D68B8" w:rsidRPr="00286216" w:rsidRDefault="009D68B8" w:rsidP="009D68B8">
            <w:pPr>
              <w:pStyle w:val="StyleProp"/>
              <w:rPr>
                <w:color w:val="000000" w:themeColor="text1"/>
                <w:szCs w:val="18"/>
              </w:rPr>
            </w:pPr>
          </w:p>
        </w:tc>
        <w:tc>
          <w:tcPr>
            <w:tcW w:w="1987" w:type="dxa"/>
          </w:tcPr>
          <w:p w14:paraId="6997BB89" w14:textId="77777777" w:rsidR="009D68B8" w:rsidRPr="00286216" w:rsidRDefault="009D68B8" w:rsidP="009D68B8">
            <w:pPr>
              <w:pStyle w:val="StyleWisnow"/>
              <w:rPr>
                <w:color w:val="000000" w:themeColor="text1"/>
              </w:rPr>
            </w:pPr>
          </w:p>
        </w:tc>
        <w:tc>
          <w:tcPr>
            <w:tcW w:w="4818" w:type="dxa"/>
          </w:tcPr>
          <w:p w14:paraId="7D026150" w14:textId="7E4E5234" w:rsidR="009D68B8" w:rsidRPr="00286216" w:rsidRDefault="009D68B8" w:rsidP="009D68B8">
            <w:pPr>
              <w:pStyle w:val="StyleZakonu"/>
              <w:rPr>
                <w:color w:val="000000" w:themeColor="text1"/>
              </w:rPr>
            </w:pPr>
            <w:r w:rsidRPr="00286216">
              <w:rPr>
                <w:color w:val="000000" w:themeColor="text1"/>
              </w:rPr>
              <w:t>5) скасування реєстрації випуску;</w:t>
            </w:r>
          </w:p>
        </w:tc>
      </w:tr>
      <w:bookmarkEnd w:id="1668"/>
      <w:tr w:rsidR="009D68B8" w:rsidRPr="00286216" w14:paraId="55B05458" w14:textId="77777777" w:rsidTr="00091AA5">
        <w:tc>
          <w:tcPr>
            <w:tcW w:w="576" w:type="dxa"/>
          </w:tcPr>
          <w:p w14:paraId="3AAAD525" w14:textId="77777777" w:rsidR="009D68B8" w:rsidRPr="00286216" w:rsidRDefault="009D68B8" w:rsidP="009D68B8">
            <w:pPr>
              <w:pStyle w:val="StyleWisnow"/>
              <w:rPr>
                <w:color w:val="000000" w:themeColor="text1"/>
              </w:rPr>
            </w:pPr>
          </w:p>
        </w:tc>
        <w:tc>
          <w:tcPr>
            <w:tcW w:w="4818" w:type="dxa"/>
          </w:tcPr>
          <w:p w14:paraId="46BFC981" w14:textId="77777777" w:rsidR="009D68B8" w:rsidRPr="00286216" w:rsidRDefault="009D68B8" w:rsidP="009D68B8">
            <w:pPr>
              <w:pStyle w:val="StyleZakonu"/>
              <w:rPr>
                <w:color w:val="000000" w:themeColor="text1"/>
              </w:rPr>
            </w:pPr>
          </w:p>
        </w:tc>
        <w:tc>
          <w:tcPr>
            <w:tcW w:w="3686" w:type="dxa"/>
          </w:tcPr>
          <w:p w14:paraId="391B35EC" w14:textId="5C42C39C" w:rsidR="009D68B8" w:rsidRPr="00286216" w:rsidRDefault="009D68B8" w:rsidP="009D68B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990</w:t>
            </w:r>
            <w:r w:rsidRPr="00286216">
              <w:rPr>
                <w:color w:val="000000" w:themeColor="text1"/>
                <w:spacing w:val="-4"/>
              </w:rPr>
              <w:fldChar w:fldCharType="end"/>
            </w:r>
            <w:r w:rsidRPr="00286216">
              <w:rPr>
                <w:color w:val="000000" w:themeColor="text1"/>
                <w:spacing w:val="-4"/>
              </w:rPr>
              <w:t>-Н.д.Бєлькова О.В. (Реєстр.картка №403)</w:t>
            </w:r>
          </w:p>
          <w:p w14:paraId="5FAA4CB2" w14:textId="0A427952"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Частину 1 статті 111 доповнити пунктом:</w:t>
            </w:r>
          </w:p>
          <w:p w14:paraId="46A22444" w14:textId="075D813D" w:rsidR="009D68B8" w:rsidRPr="00286216" w:rsidRDefault="009D68B8" w:rsidP="009D68B8">
            <w:pPr>
              <w:pStyle w:val="StyleProp"/>
              <w:spacing w:line="180" w:lineRule="exact"/>
              <w:rPr>
                <w:color w:val="000000" w:themeColor="text1"/>
                <w:szCs w:val="18"/>
              </w:rPr>
            </w:pPr>
            <w:r w:rsidRPr="00286216">
              <w:rPr>
                <w:color w:val="000000" w:themeColor="text1"/>
                <w:spacing w:val="-2"/>
                <w:szCs w:val="18"/>
              </w:rPr>
              <w:t>"прийняття з</w:t>
            </w:r>
            <w:r w:rsidRPr="00286216">
              <w:rPr>
                <w:color w:val="000000" w:themeColor="text1"/>
              </w:rPr>
              <w:t>борами власників облігацій відповідно до частини третьої цієї статті".</w:t>
            </w:r>
          </w:p>
        </w:tc>
        <w:tc>
          <w:tcPr>
            <w:tcW w:w="1987" w:type="dxa"/>
          </w:tcPr>
          <w:p w14:paraId="55562CB4" w14:textId="3ED61C5C"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5FDD3B9" w14:textId="359476C6" w:rsidR="009D68B8" w:rsidRPr="00286216" w:rsidRDefault="009D68B8" w:rsidP="009D68B8">
            <w:pPr>
              <w:pStyle w:val="StyleZakonu"/>
              <w:rPr>
                <w:color w:val="000000" w:themeColor="text1"/>
              </w:rPr>
            </w:pPr>
            <w:r w:rsidRPr="00286216">
              <w:rPr>
                <w:color w:val="000000" w:themeColor="text1"/>
              </w:rPr>
              <w:t xml:space="preserve">6) </w:t>
            </w:r>
            <w:r w:rsidRPr="00286216">
              <w:rPr>
                <w:color w:val="000000" w:themeColor="text1"/>
                <w:spacing w:val="-2"/>
                <w:szCs w:val="18"/>
              </w:rPr>
              <w:t>прийняття з</w:t>
            </w:r>
            <w:r w:rsidRPr="00286216">
              <w:rPr>
                <w:color w:val="000000" w:themeColor="text1"/>
              </w:rPr>
              <w:t>борами власників облігацій рішення відповідно до частини третьої цієї статті;</w:t>
            </w:r>
          </w:p>
        </w:tc>
      </w:tr>
      <w:tr w:rsidR="009D68B8" w:rsidRPr="00286216" w14:paraId="470ED2F6" w14:textId="77777777" w:rsidTr="00091AA5">
        <w:tc>
          <w:tcPr>
            <w:tcW w:w="576" w:type="dxa"/>
          </w:tcPr>
          <w:p w14:paraId="71E3410C" w14:textId="77777777" w:rsidR="009D68B8" w:rsidRPr="00286216" w:rsidRDefault="009D68B8" w:rsidP="009D68B8">
            <w:pPr>
              <w:pStyle w:val="StyleWisnow"/>
              <w:rPr>
                <w:color w:val="000000" w:themeColor="text1"/>
              </w:rPr>
            </w:pPr>
            <w:bookmarkStart w:id="1669" w:name="n1919" w:colFirst="0" w:colLast="0"/>
            <w:r w:rsidRPr="00286216">
              <w:rPr>
                <w:color w:val="000000" w:themeColor="text1"/>
              </w:rPr>
              <w:t>1919.</w:t>
            </w:r>
          </w:p>
        </w:tc>
        <w:tc>
          <w:tcPr>
            <w:tcW w:w="4818" w:type="dxa"/>
          </w:tcPr>
          <w:p w14:paraId="36436BBC" w14:textId="77777777" w:rsidR="009D68B8" w:rsidRPr="00286216" w:rsidRDefault="009D68B8" w:rsidP="009D68B8">
            <w:pPr>
              <w:pStyle w:val="StyleZakonu"/>
              <w:rPr>
                <w:color w:val="000000" w:themeColor="text1"/>
              </w:rPr>
            </w:pPr>
            <w:r w:rsidRPr="00286216">
              <w:rPr>
                <w:color w:val="000000" w:themeColor="text1"/>
              </w:rPr>
              <w:t>6) в інших випадках, передбачених проспектом (рішенням про емісію цінних паперів) та/або законом.</w:t>
            </w:r>
          </w:p>
        </w:tc>
        <w:tc>
          <w:tcPr>
            <w:tcW w:w="3686" w:type="dxa"/>
          </w:tcPr>
          <w:p w14:paraId="5388E73C" w14:textId="77777777" w:rsidR="009D68B8" w:rsidRPr="00286216" w:rsidRDefault="009D68B8" w:rsidP="009D68B8">
            <w:pPr>
              <w:pStyle w:val="StyleProp"/>
              <w:rPr>
                <w:color w:val="000000" w:themeColor="text1"/>
                <w:szCs w:val="18"/>
              </w:rPr>
            </w:pPr>
          </w:p>
        </w:tc>
        <w:tc>
          <w:tcPr>
            <w:tcW w:w="1987" w:type="dxa"/>
          </w:tcPr>
          <w:p w14:paraId="461BBDC4" w14:textId="77777777" w:rsidR="009D68B8" w:rsidRPr="00286216" w:rsidRDefault="009D68B8" w:rsidP="009D68B8">
            <w:pPr>
              <w:pStyle w:val="StyleWisnow"/>
              <w:rPr>
                <w:color w:val="000000" w:themeColor="text1"/>
              </w:rPr>
            </w:pPr>
          </w:p>
        </w:tc>
        <w:tc>
          <w:tcPr>
            <w:tcW w:w="4818" w:type="dxa"/>
          </w:tcPr>
          <w:p w14:paraId="314BE14B" w14:textId="7FEF6F66" w:rsidR="009D68B8" w:rsidRPr="00286216" w:rsidRDefault="009D68B8" w:rsidP="009D68B8">
            <w:pPr>
              <w:pStyle w:val="StyleZakonu"/>
              <w:rPr>
                <w:color w:val="000000" w:themeColor="text1"/>
              </w:rPr>
            </w:pPr>
            <w:r w:rsidRPr="00286216">
              <w:rPr>
                <w:color w:val="000000" w:themeColor="text1"/>
              </w:rPr>
              <w:t>7) в інших випадках, передбачених проспектом (рішенням про емісію) та/або законом.</w:t>
            </w:r>
          </w:p>
        </w:tc>
      </w:tr>
      <w:tr w:rsidR="009D68B8" w:rsidRPr="00286216" w14:paraId="72BD14A2" w14:textId="77777777" w:rsidTr="00091AA5">
        <w:tc>
          <w:tcPr>
            <w:tcW w:w="576" w:type="dxa"/>
          </w:tcPr>
          <w:p w14:paraId="1EC0039B" w14:textId="77777777" w:rsidR="009D68B8" w:rsidRPr="00286216" w:rsidRDefault="009D68B8" w:rsidP="009D68B8">
            <w:pPr>
              <w:pStyle w:val="StyleWisnow"/>
              <w:rPr>
                <w:color w:val="000000" w:themeColor="text1"/>
              </w:rPr>
            </w:pPr>
            <w:bookmarkStart w:id="1670" w:name="n1920" w:colFirst="0" w:colLast="0"/>
            <w:bookmarkEnd w:id="1669"/>
            <w:r w:rsidRPr="00286216">
              <w:rPr>
                <w:color w:val="000000" w:themeColor="text1"/>
              </w:rPr>
              <w:t>1920.</w:t>
            </w:r>
          </w:p>
        </w:tc>
        <w:tc>
          <w:tcPr>
            <w:tcW w:w="4818" w:type="dxa"/>
          </w:tcPr>
          <w:p w14:paraId="47571BCA" w14:textId="77777777" w:rsidR="009D68B8" w:rsidRPr="00286216" w:rsidRDefault="009D68B8" w:rsidP="009D68B8">
            <w:pPr>
              <w:pStyle w:val="StyleZakonu"/>
              <w:rPr>
                <w:color w:val="000000" w:themeColor="text1"/>
              </w:rPr>
            </w:pPr>
            <w:r w:rsidRPr="00286216">
              <w:rPr>
                <w:color w:val="000000" w:themeColor="text1"/>
              </w:rPr>
              <w:t>Повноваження адміністратора припиняються з часу реєстрації змін до проспекту (рішення про емісію цінних паперів) про припинення повноважень адміністратора або оприлюднення такої інформації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якщо інше не передбачене законом.</w:t>
            </w:r>
          </w:p>
        </w:tc>
        <w:tc>
          <w:tcPr>
            <w:tcW w:w="3686" w:type="dxa"/>
          </w:tcPr>
          <w:p w14:paraId="73D1DCFC" w14:textId="1344125B"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991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517B01F" w14:textId="55FD0CA6"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У абзаці 8 частини 1 статті 111 слова «та/або професійних учасників ринків капіталу та організованих товарних» замінити словами «та професійних учасників організованих товарних».</w:t>
            </w:r>
          </w:p>
          <w:p w14:paraId="7D1C9F40" w14:textId="2B5B2324"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992</w:t>
            </w:r>
            <w:r w:rsidRPr="00286216">
              <w:rPr>
                <w:color w:val="000000" w:themeColor="text1"/>
                <w:spacing w:val="-5"/>
              </w:rPr>
              <w:fldChar w:fldCharType="end"/>
            </w:r>
            <w:r w:rsidRPr="00286216">
              <w:rPr>
                <w:color w:val="000000" w:themeColor="text1"/>
                <w:spacing w:val="-5"/>
              </w:rPr>
              <w:t>-Н.д.Бєлькова О.В. (Реєстр.картка №403)</w:t>
            </w:r>
          </w:p>
          <w:p w14:paraId="7277E149" w14:textId="3EB0FB70" w:rsidR="009D68B8" w:rsidRPr="00286216" w:rsidRDefault="009D68B8" w:rsidP="009D68B8">
            <w:pPr>
              <w:pStyle w:val="StyleProp"/>
              <w:spacing w:line="180" w:lineRule="exact"/>
              <w:rPr>
                <w:color w:val="000000" w:themeColor="text1"/>
                <w:szCs w:val="18"/>
              </w:rPr>
            </w:pPr>
            <w:r w:rsidRPr="00286216">
              <w:rPr>
                <w:color w:val="000000" w:themeColor="text1"/>
                <w:szCs w:val="18"/>
              </w:rPr>
              <w:t>Абзац 8 статті 111 викласти у редакції:</w:t>
            </w:r>
          </w:p>
          <w:p w14:paraId="19853F4C" w14:textId="3C71D336" w:rsidR="009D68B8" w:rsidRPr="00286216" w:rsidRDefault="009D68B8" w:rsidP="009D68B8">
            <w:pPr>
              <w:pStyle w:val="StyleProp"/>
              <w:spacing w:line="180" w:lineRule="exact"/>
              <w:rPr>
                <w:color w:val="000000" w:themeColor="text1"/>
                <w:szCs w:val="18"/>
              </w:rPr>
            </w:pPr>
            <w:r w:rsidRPr="00286216">
              <w:rPr>
                <w:color w:val="000000" w:themeColor="text1"/>
              </w:rPr>
              <w:t>"Повноваження адміністратора припиняються з дати реєстрації змін до проспекту (рішення про емісію) щодо припинення повноважень адміністратора, якщо інше не передбачено проспектом (рішенням про емісію)".</w:t>
            </w:r>
          </w:p>
        </w:tc>
        <w:tc>
          <w:tcPr>
            <w:tcW w:w="1987" w:type="dxa"/>
          </w:tcPr>
          <w:p w14:paraId="27D9F84A" w14:textId="4DE4E010" w:rsidR="009D68B8" w:rsidRPr="00286216" w:rsidRDefault="009D68B8" w:rsidP="009D68B8">
            <w:pPr>
              <w:pStyle w:val="StyleWisnow"/>
              <w:rPr>
                <w:color w:val="000000" w:themeColor="text1"/>
              </w:rPr>
            </w:pPr>
            <w:r w:rsidRPr="00286216">
              <w:rPr>
                <w:color w:val="000000" w:themeColor="text1"/>
              </w:rPr>
              <w:t>Враховано редакційно</w:t>
            </w:r>
          </w:p>
          <w:p w14:paraId="7016F2C4" w14:textId="77777777" w:rsidR="009D68B8" w:rsidRPr="00286216" w:rsidRDefault="009D68B8" w:rsidP="009D68B8">
            <w:pPr>
              <w:pStyle w:val="StyleWisnow"/>
              <w:rPr>
                <w:color w:val="000000" w:themeColor="text1"/>
              </w:rPr>
            </w:pPr>
          </w:p>
          <w:p w14:paraId="3B6C38C6" w14:textId="77777777" w:rsidR="009D68B8" w:rsidRPr="00286216" w:rsidRDefault="009D68B8" w:rsidP="009D68B8">
            <w:pPr>
              <w:pStyle w:val="StyleWisnow"/>
              <w:rPr>
                <w:color w:val="000000" w:themeColor="text1"/>
              </w:rPr>
            </w:pPr>
          </w:p>
          <w:p w14:paraId="41CAC93D" w14:textId="77777777" w:rsidR="009D68B8" w:rsidRPr="00286216" w:rsidRDefault="009D68B8" w:rsidP="009D68B8">
            <w:pPr>
              <w:pStyle w:val="StyleWisnow"/>
              <w:rPr>
                <w:color w:val="000000" w:themeColor="text1"/>
              </w:rPr>
            </w:pPr>
          </w:p>
          <w:p w14:paraId="1B9703AD" w14:textId="77777777" w:rsidR="009D68B8" w:rsidRPr="00286216" w:rsidRDefault="009D68B8" w:rsidP="009D68B8">
            <w:pPr>
              <w:pStyle w:val="StyleWisnow"/>
              <w:rPr>
                <w:color w:val="000000" w:themeColor="text1"/>
              </w:rPr>
            </w:pPr>
          </w:p>
          <w:p w14:paraId="047A5406"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3F61629" w14:textId="2FE244A0" w:rsidR="009D68B8" w:rsidRPr="00286216" w:rsidRDefault="009D68B8" w:rsidP="009D68B8">
            <w:pPr>
              <w:pStyle w:val="StyleZakonu"/>
              <w:rPr>
                <w:color w:val="000000" w:themeColor="text1"/>
              </w:rPr>
            </w:pPr>
            <w:r w:rsidRPr="00286216">
              <w:rPr>
                <w:color w:val="000000" w:themeColor="text1"/>
              </w:rPr>
              <w:t>Повноваження адміністратора припиняються з дати реєстрації змін до проспекту (рішення про емісію) щодо припинення повноважень адміністратора, якщо інше не передбачено проспектом (рішенням про емісію).</w:t>
            </w:r>
          </w:p>
        </w:tc>
      </w:tr>
      <w:tr w:rsidR="009D68B8" w:rsidRPr="00286216" w14:paraId="70CB9F1D" w14:textId="77777777" w:rsidTr="00091AA5">
        <w:tc>
          <w:tcPr>
            <w:tcW w:w="576" w:type="dxa"/>
          </w:tcPr>
          <w:p w14:paraId="5ACD80B6" w14:textId="77777777" w:rsidR="009D68B8" w:rsidRPr="00286216" w:rsidRDefault="009D68B8" w:rsidP="009D68B8">
            <w:pPr>
              <w:pStyle w:val="StyleWisnow"/>
              <w:rPr>
                <w:color w:val="000000" w:themeColor="text1"/>
              </w:rPr>
            </w:pPr>
            <w:bookmarkStart w:id="1671" w:name="n1921" w:colFirst="0" w:colLast="0"/>
            <w:bookmarkEnd w:id="1670"/>
            <w:r w:rsidRPr="00286216">
              <w:rPr>
                <w:color w:val="000000" w:themeColor="text1"/>
              </w:rPr>
              <w:t>1921.</w:t>
            </w:r>
          </w:p>
        </w:tc>
        <w:tc>
          <w:tcPr>
            <w:tcW w:w="4818" w:type="dxa"/>
          </w:tcPr>
          <w:p w14:paraId="18CFBBAF" w14:textId="77777777" w:rsidR="009D68B8" w:rsidRPr="00286216" w:rsidRDefault="009D68B8" w:rsidP="009D68B8">
            <w:pPr>
              <w:pStyle w:val="StyleZakonu"/>
              <w:rPr>
                <w:color w:val="000000" w:themeColor="text1"/>
              </w:rPr>
            </w:pPr>
            <w:r w:rsidRPr="00286216">
              <w:rPr>
                <w:color w:val="000000" w:themeColor="text1"/>
              </w:rPr>
              <w:t xml:space="preserve">Не пізніше наступного робочого дня після реєстрації змін до проспекту (рішення про емісію цінних паперів) емітент інформує всіх власників облігацій відповідного випуску облігацій через депозитарну систему України про припинення </w:t>
            </w:r>
            <w:r w:rsidRPr="00286216">
              <w:rPr>
                <w:color w:val="000000" w:themeColor="text1"/>
              </w:rPr>
              <w:lastRenderedPageBreak/>
              <w:t>повноважень адміністратора.</w:t>
            </w:r>
          </w:p>
        </w:tc>
        <w:tc>
          <w:tcPr>
            <w:tcW w:w="3686" w:type="dxa"/>
          </w:tcPr>
          <w:p w14:paraId="745FDBD3" w14:textId="77777777" w:rsidR="009D68B8" w:rsidRPr="00286216" w:rsidRDefault="009D68B8" w:rsidP="009D68B8">
            <w:pPr>
              <w:pStyle w:val="StyleProp"/>
              <w:rPr>
                <w:color w:val="000000" w:themeColor="text1"/>
                <w:szCs w:val="18"/>
              </w:rPr>
            </w:pPr>
          </w:p>
        </w:tc>
        <w:tc>
          <w:tcPr>
            <w:tcW w:w="1987" w:type="dxa"/>
          </w:tcPr>
          <w:p w14:paraId="1C8110C9" w14:textId="77777777" w:rsidR="009D68B8" w:rsidRPr="00286216" w:rsidRDefault="009D68B8" w:rsidP="009D68B8">
            <w:pPr>
              <w:pStyle w:val="StyleWisnow"/>
              <w:rPr>
                <w:color w:val="000000" w:themeColor="text1"/>
              </w:rPr>
            </w:pPr>
          </w:p>
        </w:tc>
        <w:tc>
          <w:tcPr>
            <w:tcW w:w="4818" w:type="dxa"/>
          </w:tcPr>
          <w:p w14:paraId="1E6DAE7C" w14:textId="4CA3A43A" w:rsidR="009D68B8" w:rsidRPr="00286216" w:rsidRDefault="009D68B8" w:rsidP="009D68B8">
            <w:pPr>
              <w:pStyle w:val="StyleZakonu"/>
              <w:rPr>
                <w:color w:val="000000" w:themeColor="text1"/>
              </w:rPr>
            </w:pPr>
            <w:r w:rsidRPr="00286216">
              <w:rPr>
                <w:color w:val="000000" w:themeColor="text1"/>
              </w:rPr>
              <w:t xml:space="preserve">Не пізніше наступного робочого дня після реєстрації змін до проспекту (рішення про емісію) емітент інформує всіх власників облігацій відповідного випуску облігацій через депозитарну систему України про припинення повноважень </w:t>
            </w:r>
            <w:r w:rsidRPr="00286216">
              <w:rPr>
                <w:color w:val="000000" w:themeColor="text1"/>
              </w:rPr>
              <w:lastRenderedPageBreak/>
              <w:t>адміністратора.</w:t>
            </w:r>
          </w:p>
        </w:tc>
      </w:tr>
      <w:tr w:rsidR="009D68B8" w:rsidRPr="00286216" w14:paraId="35009E0A" w14:textId="77777777" w:rsidTr="00091AA5">
        <w:tc>
          <w:tcPr>
            <w:tcW w:w="576" w:type="dxa"/>
          </w:tcPr>
          <w:p w14:paraId="4EA41418" w14:textId="77777777" w:rsidR="009D68B8" w:rsidRPr="00286216" w:rsidRDefault="009D68B8" w:rsidP="009D68B8">
            <w:pPr>
              <w:pStyle w:val="StyleWisnow"/>
              <w:rPr>
                <w:color w:val="000000" w:themeColor="text1"/>
              </w:rPr>
            </w:pPr>
            <w:bookmarkStart w:id="1672" w:name="n1922" w:colFirst="0" w:colLast="0"/>
            <w:bookmarkEnd w:id="1671"/>
            <w:r w:rsidRPr="00286216">
              <w:rPr>
                <w:color w:val="000000" w:themeColor="text1"/>
              </w:rPr>
              <w:lastRenderedPageBreak/>
              <w:t>1922.</w:t>
            </w:r>
          </w:p>
        </w:tc>
        <w:tc>
          <w:tcPr>
            <w:tcW w:w="4818" w:type="dxa"/>
          </w:tcPr>
          <w:p w14:paraId="07A3C09A" w14:textId="77777777" w:rsidR="009D68B8" w:rsidRPr="00286216" w:rsidRDefault="009D68B8" w:rsidP="009D68B8">
            <w:pPr>
              <w:pStyle w:val="StyleZakonu"/>
              <w:rPr>
                <w:color w:val="000000" w:themeColor="text1"/>
              </w:rPr>
            </w:pPr>
            <w:r w:rsidRPr="00286216">
              <w:rPr>
                <w:color w:val="000000" w:themeColor="text1"/>
              </w:rPr>
              <w:t>2. Адміністратор має право у будь-який час відмовитися від свого призначення, якщо заборона такої відмови не передбачена договором про призначення адміністратора.</w:t>
            </w:r>
          </w:p>
        </w:tc>
        <w:tc>
          <w:tcPr>
            <w:tcW w:w="3686" w:type="dxa"/>
          </w:tcPr>
          <w:p w14:paraId="30208C4B" w14:textId="77777777" w:rsidR="009D68B8" w:rsidRPr="00286216" w:rsidRDefault="009D68B8" w:rsidP="009D68B8">
            <w:pPr>
              <w:pStyle w:val="StyleProp"/>
              <w:rPr>
                <w:color w:val="000000" w:themeColor="text1"/>
                <w:szCs w:val="18"/>
              </w:rPr>
            </w:pPr>
          </w:p>
        </w:tc>
        <w:tc>
          <w:tcPr>
            <w:tcW w:w="1987" w:type="dxa"/>
          </w:tcPr>
          <w:p w14:paraId="6BB2E37F" w14:textId="77777777" w:rsidR="009D68B8" w:rsidRPr="00286216" w:rsidRDefault="009D68B8" w:rsidP="009D68B8">
            <w:pPr>
              <w:pStyle w:val="StyleWisnow"/>
              <w:rPr>
                <w:color w:val="000000" w:themeColor="text1"/>
              </w:rPr>
            </w:pPr>
          </w:p>
        </w:tc>
        <w:tc>
          <w:tcPr>
            <w:tcW w:w="4818" w:type="dxa"/>
          </w:tcPr>
          <w:p w14:paraId="48CE7F90" w14:textId="7B961341" w:rsidR="009D68B8" w:rsidRPr="00286216" w:rsidRDefault="009D68B8" w:rsidP="009D68B8">
            <w:pPr>
              <w:pStyle w:val="StyleZakonu"/>
              <w:rPr>
                <w:color w:val="000000" w:themeColor="text1"/>
              </w:rPr>
            </w:pPr>
            <w:r w:rsidRPr="00286216">
              <w:rPr>
                <w:color w:val="000000" w:themeColor="text1"/>
              </w:rPr>
              <w:t>2. Адміністратор має право у будь-який час відмовитися від свого призначення, якщо заборона такої відмови не передбачена договором про призначення адміністратора.</w:t>
            </w:r>
          </w:p>
        </w:tc>
      </w:tr>
      <w:tr w:rsidR="009D68B8" w:rsidRPr="00286216" w14:paraId="01514FE7" w14:textId="77777777" w:rsidTr="00091AA5">
        <w:tc>
          <w:tcPr>
            <w:tcW w:w="576" w:type="dxa"/>
          </w:tcPr>
          <w:p w14:paraId="73BBC098" w14:textId="77777777" w:rsidR="009D68B8" w:rsidRPr="00286216" w:rsidRDefault="009D68B8" w:rsidP="009D68B8">
            <w:pPr>
              <w:pStyle w:val="StyleWisnow"/>
              <w:rPr>
                <w:color w:val="000000" w:themeColor="text1"/>
              </w:rPr>
            </w:pPr>
            <w:bookmarkStart w:id="1673" w:name="n1923" w:colFirst="0" w:colLast="0"/>
            <w:bookmarkEnd w:id="1672"/>
            <w:r w:rsidRPr="00286216">
              <w:rPr>
                <w:color w:val="000000" w:themeColor="text1"/>
              </w:rPr>
              <w:t>1923.</w:t>
            </w:r>
          </w:p>
        </w:tc>
        <w:tc>
          <w:tcPr>
            <w:tcW w:w="4818" w:type="dxa"/>
          </w:tcPr>
          <w:p w14:paraId="04D874B1" w14:textId="77777777" w:rsidR="009D68B8" w:rsidRPr="00286216" w:rsidRDefault="009D68B8" w:rsidP="009D68B8">
            <w:pPr>
              <w:pStyle w:val="StyleZakonu"/>
              <w:rPr>
                <w:color w:val="000000" w:themeColor="text1"/>
              </w:rPr>
            </w:pPr>
            <w:r w:rsidRPr="00286216">
              <w:rPr>
                <w:color w:val="000000" w:themeColor="text1"/>
              </w:rPr>
              <w:t>Адміністратор може за згодою емітента відкликати відмову від свого призначення до дати набрання чинності такою відмовою, якщо інше не передбачено договором про призначення адміністратора.</w:t>
            </w:r>
          </w:p>
        </w:tc>
        <w:tc>
          <w:tcPr>
            <w:tcW w:w="3686" w:type="dxa"/>
          </w:tcPr>
          <w:p w14:paraId="7F016C4F" w14:textId="77777777" w:rsidR="009D68B8" w:rsidRPr="00286216" w:rsidRDefault="009D68B8" w:rsidP="009D68B8">
            <w:pPr>
              <w:pStyle w:val="StyleProp"/>
              <w:rPr>
                <w:color w:val="000000" w:themeColor="text1"/>
                <w:szCs w:val="18"/>
              </w:rPr>
            </w:pPr>
          </w:p>
        </w:tc>
        <w:tc>
          <w:tcPr>
            <w:tcW w:w="1987" w:type="dxa"/>
          </w:tcPr>
          <w:p w14:paraId="74A513DF" w14:textId="77777777" w:rsidR="009D68B8" w:rsidRPr="00286216" w:rsidRDefault="009D68B8" w:rsidP="009D68B8">
            <w:pPr>
              <w:pStyle w:val="StyleWisnow"/>
              <w:rPr>
                <w:color w:val="000000" w:themeColor="text1"/>
              </w:rPr>
            </w:pPr>
          </w:p>
        </w:tc>
        <w:tc>
          <w:tcPr>
            <w:tcW w:w="4818" w:type="dxa"/>
          </w:tcPr>
          <w:p w14:paraId="7BF857E8" w14:textId="54B1D3BD" w:rsidR="009D68B8" w:rsidRPr="00286216" w:rsidRDefault="009D68B8" w:rsidP="009D68B8">
            <w:pPr>
              <w:pStyle w:val="StyleZakonu"/>
              <w:rPr>
                <w:color w:val="000000" w:themeColor="text1"/>
              </w:rPr>
            </w:pPr>
            <w:r w:rsidRPr="00286216">
              <w:rPr>
                <w:color w:val="000000" w:themeColor="text1"/>
              </w:rPr>
              <w:t>Адміністратор може за згодою емітента відкликати відмову від свого призначення до дати набрання чинності такою відмовою, якщо інше не передбачено договором про призначення адміністратора.</w:t>
            </w:r>
          </w:p>
        </w:tc>
      </w:tr>
      <w:tr w:rsidR="009D68B8" w:rsidRPr="00286216" w14:paraId="5EB8BE6D" w14:textId="77777777" w:rsidTr="00091AA5">
        <w:tc>
          <w:tcPr>
            <w:tcW w:w="576" w:type="dxa"/>
          </w:tcPr>
          <w:p w14:paraId="277304B2" w14:textId="77777777" w:rsidR="009D68B8" w:rsidRPr="00286216" w:rsidRDefault="009D68B8" w:rsidP="009D68B8">
            <w:pPr>
              <w:pStyle w:val="StyleWisnow"/>
              <w:rPr>
                <w:color w:val="000000" w:themeColor="text1"/>
              </w:rPr>
            </w:pPr>
            <w:bookmarkStart w:id="1674" w:name="n1924" w:colFirst="0" w:colLast="0"/>
            <w:bookmarkEnd w:id="1673"/>
            <w:r w:rsidRPr="00286216">
              <w:rPr>
                <w:color w:val="000000" w:themeColor="text1"/>
              </w:rPr>
              <w:t>1924.</w:t>
            </w:r>
          </w:p>
        </w:tc>
        <w:tc>
          <w:tcPr>
            <w:tcW w:w="4818" w:type="dxa"/>
          </w:tcPr>
          <w:p w14:paraId="0287E7DA" w14:textId="77777777" w:rsidR="009D68B8" w:rsidRPr="00286216" w:rsidRDefault="009D68B8" w:rsidP="009D68B8">
            <w:pPr>
              <w:pStyle w:val="StyleZakonu"/>
              <w:rPr>
                <w:color w:val="000000" w:themeColor="text1"/>
              </w:rPr>
            </w:pPr>
            <w:r w:rsidRPr="00286216">
              <w:rPr>
                <w:color w:val="000000" w:themeColor="text1"/>
              </w:rPr>
              <w:t>Адміністратор зобов’язаний направити інформацію про відмову від свого призначення (відкликання такої відмови) в дату такої відмови (відкликання) всім власникам облігацій відповідного випуску облігацій через депозитарну систему України, повідомити емітента, та оператора організованого ринку капіталу, на якому облігації допущені до торгів, а також оприлюднити таку інформацію на веб-сайті адміністратора, Центрального депозитарію цінних паперів та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32D6443D" w14:textId="16AC2712"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993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104B688" w14:textId="332CE6F6" w:rsidR="009D68B8" w:rsidRPr="00286216" w:rsidRDefault="009D68B8" w:rsidP="009D68B8">
            <w:pPr>
              <w:pStyle w:val="StyleProp"/>
              <w:spacing w:line="180" w:lineRule="exact"/>
              <w:rPr>
                <w:color w:val="000000" w:themeColor="text1"/>
                <w:szCs w:val="18"/>
              </w:rPr>
            </w:pPr>
            <w:r w:rsidRPr="00286216">
              <w:rPr>
                <w:color w:val="000000" w:themeColor="text1"/>
                <w:szCs w:val="18"/>
              </w:rPr>
              <w:t>У абзаці третьому частини другої слова «та/або професійних учасників ринків капіталу та організованих товарних» замінити словами «та професійних учасників організованих товарних».</w:t>
            </w:r>
          </w:p>
          <w:p w14:paraId="175F1234" w14:textId="3AB8D5DB"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994</w:t>
            </w:r>
            <w:r w:rsidRPr="00286216">
              <w:rPr>
                <w:color w:val="000000" w:themeColor="text1"/>
                <w:spacing w:val="-5"/>
              </w:rPr>
              <w:fldChar w:fldCharType="end"/>
            </w:r>
            <w:r w:rsidRPr="00286216">
              <w:rPr>
                <w:color w:val="000000" w:themeColor="text1"/>
                <w:spacing w:val="-5"/>
              </w:rPr>
              <w:t>-Н.д.Бєлькова О.В. (Реєстр.картка №403)</w:t>
            </w:r>
          </w:p>
          <w:p w14:paraId="55A1A42F" w14:textId="2E77809C" w:rsidR="009D68B8" w:rsidRPr="00286216" w:rsidRDefault="009D68B8" w:rsidP="009D68B8">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35247338" w14:textId="77777777" w:rsidR="009D68B8" w:rsidRPr="00286216" w:rsidRDefault="009D68B8" w:rsidP="009D68B8">
            <w:pPr>
              <w:pStyle w:val="StyleWisnow"/>
              <w:rPr>
                <w:color w:val="000000" w:themeColor="text1"/>
              </w:rPr>
            </w:pPr>
            <w:r w:rsidRPr="00286216">
              <w:rPr>
                <w:color w:val="000000" w:themeColor="text1"/>
              </w:rPr>
              <w:t>Враховано по суті</w:t>
            </w:r>
          </w:p>
          <w:p w14:paraId="52650482" w14:textId="77777777" w:rsidR="009D68B8" w:rsidRPr="00286216" w:rsidRDefault="009D68B8" w:rsidP="009D68B8">
            <w:pPr>
              <w:pStyle w:val="StyleWisnow"/>
              <w:rPr>
                <w:color w:val="000000" w:themeColor="text1"/>
              </w:rPr>
            </w:pPr>
          </w:p>
          <w:p w14:paraId="086ACEEA" w14:textId="77777777" w:rsidR="009D68B8" w:rsidRPr="00286216" w:rsidRDefault="009D68B8" w:rsidP="009D68B8">
            <w:pPr>
              <w:pStyle w:val="StyleWisnow"/>
              <w:rPr>
                <w:color w:val="000000" w:themeColor="text1"/>
              </w:rPr>
            </w:pPr>
          </w:p>
          <w:p w14:paraId="049098C4" w14:textId="77777777" w:rsidR="009D68B8" w:rsidRPr="00286216" w:rsidRDefault="009D68B8" w:rsidP="009D68B8">
            <w:pPr>
              <w:pStyle w:val="StyleWisnow"/>
              <w:rPr>
                <w:color w:val="000000" w:themeColor="text1"/>
              </w:rPr>
            </w:pPr>
          </w:p>
          <w:p w14:paraId="3A413BB2" w14:textId="77777777" w:rsidR="009D68B8" w:rsidRPr="00286216" w:rsidRDefault="009D68B8" w:rsidP="009D68B8">
            <w:pPr>
              <w:pStyle w:val="StyleWisnow"/>
              <w:rPr>
                <w:color w:val="000000" w:themeColor="text1"/>
              </w:rPr>
            </w:pPr>
          </w:p>
          <w:p w14:paraId="0D4C04B2"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385CE48D" w14:textId="4B2245C0" w:rsidR="009D68B8" w:rsidRPr="00286216" w:rsidRDefault="009D68B8" w:rsidP="009D68B8">
            <w:pPr>
              <w:pStyle w:val="StyleZakonu"/>
              <w:rPr>
                <w:color w:val="000000" w:themeColor="text1"/>
              </w:rPr>
            </w:pPr>
            <w:r w:rsidRPr="00286216">
              <w:rPr>
                <w:color w:val="000000" w:themeColor="text1"/>
              </w:rPr>
              <w:t xml:space="preserve">Адміністратор зобов’язаний направити інформацію про відмову від свого призначення (відкликання такої відмови) в день такої відмови (відкликання) всім власникам облігацій відповідного випуску облігацій через депозитарну систему України, повідомити емітента та оператора організованого ринку капіталу, на якому облігації допущені до торгів, а також оприлюднити таку інформацію на веб-сайті адміністратора, Центрального депозитарію цінних паперів та в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w:t>
            </w:r>
          </w:p>
        </w:tc>
      </w:tr>
      <w:tr w:rsidR="009D68B8" w:rsidRPr="00286216" w14:paraId="2EB9EECC" w14:textId="77777777" w:rsidTr="00091AA5">
        <w:tc>
          <w:tcPr>
            <w:tcW w:w="576" w:type="dxa"/>
          </w:tcPr>
          <w:p w14:paraId="706E4731" w14:textId="77777777" w:rsidR="009D68B8" w:rsidRPr="00286216" w:rsidRDefault="009D68B8" w:rsidP="009D68B8">
            <w:pPr>
              <w:pStyle w:val="StyleWisnow"/>
              <w:rPr>
                <w:color w:val="000000" w:themeColor="text1"/>
              </w:rPr>
            </w:pPr>
            <w:bookmarkStart w:id="1675" w:name="n1925" w:colFirst="0" w:colLast="0"/>
            <w:bookmarkEnd w:id="1674"/>
            <w:r w:rsidRPr="00286216">
              <w:rPr>
                <w:color w:val="000000" w:themeColor="text1"/>
              </w:rPr>
              <w:t>1925.</w:t>
            </w:r>
          </w:p>
        </w:tc>
        <w:tc>
          <w:tcPr>
            <w:tcW w:w="4818" w:type="dxa"/>
          </w:tcPr>
          <w:p w14:paraId="51AE1CB5" w14:textId="77777777" w:rsidR="009D68B8" w:rsidRPr="00286216" w:rsidRDefault="009D68B8" w:rsidP="009D68B8">
            <w:pPr>
              <w:pStyle w:val="StyleZakonu"/>
              <w:rPr>
                <w:color w:val="000000" w:themeColor="text1"/>
              </w:rPr>
            </w:pPr>
            <w:r w:rsidRPr="00286216">
              <w:rPr>
                <w:color w:val="000000" w:themeColor="text1"/>
              </w:rPr>
              <w:t>3. Призначення адміністратора може бути припинене за рішенням зборів власників облігацій у таких випадках:</w:t>
            </w:r>
          </w:p>
        </w:tc>
        <w:tc>
          <w:tcPr>
            <w:tcW w:w="3686" w:type="dxa"/>
          </w:tcPr>
          <w:p w14:paraId="470154A6" w14:textId="3AB53669"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995</w:t>
            </w:r>
            <w:r w:rsidRPr="00286216">
              <w:rPr>
                <w:color w:val="000000" w:themeColor="text1"/>
                <w:spacing w:val="-5"/>
              </w:rPr>
              <w:fldChar w:fldCharType="end"/>
            </w:r>
            <w:r w:rsidRPr="00286216">
              <w:rPr>
                <w:color w:val="000000" w:themeColor="text1"/>
                <w:spacing w:val="-5"/>
              </w:rPr>
              <w:t>-Н.д.Бєлькова О.В. (Реєстр.картка №403)</w:t>
            </w:r>
          </w:p>
          <w:p w14:paraId="19194EC8" w14:textId="14B8702E"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Абзац 1 ч. 3 статті 111 викласти у редакції:</w:t>
            </w:r>
          </w:p>
          <w:p w14:paraId="1F9039FA" w14:textId="3A27D634" w:rsidR="009D68B8" w:rsidRPr="00286216" w:rsidRDefault="009D68B8" w:rsidP="009D68B8">
            <w:pPr>
              <w:pStyle w:val="StyleProp"/>
              <w:spacing w:line="180" w:lineRule="exact"/>
              <w:rPr>
                <w:color w:val="000000" w:themeColor="text1"/>
                <w:spacing w:val="-4"/>
                <w:szCs w:val="18"/>
              </w:rPr>
            </w:pPr>
            <w:r w:rsidRPr="00286216">
              <w:rPr>
                <w:color w:val="000000" w:themeColor="text1"/>
                <w:spacing w:val="-4"/>
              </w:rPr>
              <w:t>"3. Збори власників облігацій можуть прийняти рішення про припинення повноважень адміністратора у таких випадках".</w:t>
            </w:r>
          </w:p>
        </w:tc>
        <w:tc>
          <w:tcPr>
            <w:tcW w:w="1987" w:type="dxa"/>
          </w:tcPr>
          <w:p w14:paraId="7B0CE6B6" w14:textId="77949F73"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38FBCB7B" w14:textId="6B98CF54" w:rsidR="009D68B8" w:rsidRPr="00286216" w:rsidRDefault="009D68B8" w:rsidP="009D68B8">
            <w:pPr>
              <w:pStyle w:val="StyleZakonu"/>
              <w:rPr>
                <w:color w:val="000000" w:themeColor="text1"/>
              </w:rPr>
            </w:pPr>
            <w:r w:rsidRPr="00286216">
              <w:rPr>
                <w:color w:val="000000" w:themeColor="text1"/>
              </w:rPr>
              <w:t>3. Збори власників облігацій можуть прийняти рішення про припинення повноважень адміністратора в разі:</w:t>
            </w:r>
          </w:p>
        </w:tc>
      </w:tr>
      <w:tr w:rsidR="009D68B8" w:rsidRPr="00286216" w14:paraId="4685C524" w14:textId="77777777" w:rsidTr="00091AA5">
        <w:tc>
          <w:tcPr>
            <w:tcW w:w="576" w:type="dxa"/>
          </w:tcPr>
          <w:p w14:paraId="2E0ADC08" w14:textId="77777777" w:rsidR="009D68B8" w:rsidRPr="00286216" w:rsidRDefault="009D68B8" w:rsidP="009D68B8">
            <w:pPr>
              <w:pStyle w:val="StyleWisnow"/>
              <w:rPr>
                <w:color w:val="000000" w:themeColor="text1"/>
              </w:rPr>
            </w:pPr>
            <w:bookmarkStart w:id="1676" w:name="n1926" w:colFirst="0" w:colLast="0"/>
            <w:bookmarkEnd w:id="1675"/>
            <w:r w:rsidRPr="00286216">
              <w:rPr>
                <w:color w:val="000000" w:themeColor="text1"/>
              </w:rPr>
              <w:t>1926.</w:t>
            </w:r>
          </w:p>
        </w:tc>
        <w:tc>
          <w:tcPr>
            <w:tcW w:w="4818" w:type="dxa"/>
          </w:tcPr>
          <w:p w14:paraId="71A7E32A" w14:textId="77777777" w:rsidR="009D68B8" w:rsidRPr="00286216" w:rsidRDefault="009D68B8" w:rsidP="009D68B8">
            <w:pPr>
              <w:pStyle w:val="StyleZakonu"/>
              <w:rPr>
                <w:color w:val="000000" w:themeColor="text1"/>
              </w:rPr>
            </w:pPr>
            <w:r w:rsidRPr="00286216">
              <w:rPr>
                <w:color w:val="000000" w:themeColor="text1"/>
              </w:rPr>
              <w:t>1) невиконання або неналежне виконання адміністратором своїх обов’язків;</w:t>
            </w:r>
          </w:p>
        </w:tc>
        <w:tc>
          <w:tcPr>
            <w:tcW w:w="3686" w:type="dxa"/>
          </w:tcPr>
          <w:p w14:paraId="50C2AE4E" w14:textId="77777777" w:rsidR="009D68B8" w:rsidRPr="00286216" w:rsidRDefault="009D68B8" w:rsidP="009D68B8">
            <w:pPr>
              <w:pStyle w:val="StyleProp"/>
              <w:rPr>
                <w:color w:val="000000" w:themeColor="text1"/>
                <w:szCs w:val="18"/>
              </w:rPr>
            </w:pPr>
          </w:p>
        </w:tc>
        <w:tc>
          <w:tcPr>
            <w:tcW w:w="1987" w:type="dxa"/>
          </w:tcPr>
          <w:p w14:paraId="57A5BD7A" w14:textId="77777777" w:rsidR="009D68B8" w:rsidRPr="00286216" w:rsidRDefault="009D68B8" w:rsidP="009D68B8">
            <w:pPr>
              <w:pStyle w:val="StyleWisnow"/>
              <w:rPr>
                <w:color w:val="000000" w:themeColor="text1"/>
              </w:rPr>
            </w:pPr>
          </w:p>
        </w:tc>
        <w:tc>
          <w:tcPr>
            <w:tcW w:w="4818" w:type="dxa"/>
          </w:tcPr>
          <w:p w14:paraId="0C62D4AE" w14:textId="7A5D826B" w:rsidR="009D68B8" w:rsidRPr="00286216" w:rsidRDefault="009D68B8" w:rsidP="009D68B8">
            <w:pPr>
              <w:pStyle w:val="StyleZakonu"/>
              <w:rPr>
                <w:color w:val="000000" w:themeColor="text1"/>
              </w:rPr>
            </w:pPr>
            <w:r w:rsidRPr="00286216">
              <w:rPr>
                <w:color w:val="000000" w:themeColor="text1"/>
              </w:rPr>
              <w:t>1) невиконання або неналежного виконання адміністратором своїх обов’язків;</w:t>
            </w:r>
          </w:p>
        </w:tc>
      </w:tr>
      <w:tr w:rsidR="009D68B8" w:rsidRPr="00286216" w14:paraId="3D034801" w14:textId="77777777" w:rsidTr="00091AA5">
        <w:tc>
          <w:tcPr>
            <w:tcW w:w="576" w:type="dxa"/>
          </w:tcPr>
          <w:p w14:paraId="14E8DD2F" w14:textId="77777777" w:rsidR="009D68B8" w:rsidRPr="00286216" w:rsidRDefault="009D68B8" w:rsidP="009D68B8">
            <w:pPr>
              <w:pStyle w:val="StyleWisnow"/>
              <w:rPr>
                <w:color w:val="000000" w:themeColor="text1"/>
              </w:rPr>
            </w:pPr>
            <w:bookmarkStart w:id="1677" w:name="n1927" w:colFirst="0" w:colLast="0"/>
            <w:bookmarkEnd w:id="1676"/>
            <w:r w:rsidRPr="00286216">
              <w:rPr>
                <w:color w:val="000000" w:themeColor="text1"/>
              </w:rPr>
              <w:t>1927.</w:t>
            </w:r>
          </w:p>
        </w:tc>
        <w:tc>
          <w:tcPr>
            <w:tcW w:w="4818" w:type="dxa"/>
          </w:tcPr>
          <w:p w14:paraId="447A0527" w14:textId="77777777" w:rsidR="009D68B8" w:rsidRPr="00286216" w:rsidRDefault="009D68B8" w:rsidP="009D68B8">
            <w:pPr>
              <w:pStyle w:val="StyleZakonu"/>
              <w:rPr>
                <w:color w:val="000000" w:themeColor="text1"/>
              </w:rPr>
            </w:pPr>
            <w:r w:rsidRPr="00286216">
              <w:rPr>
                <w:color w:val="000000" w:themeColor="text1"/>
              </w:rPr>
              <w:t>2) в інших випадках, передбачених проспектом (рішенням про емісію цінних паперів);</w:t>
            </w:r>
          </w:p>
        </w:tc>
        <w:tc>
          <w:tcPr>
            <w:tcW w:w="3686" w:type="dxa"/>
          </w:tcPr>
          <w:p w14:paraId="18248209" w14:textId="77777777" w:rsidR="009D68B8" w:rsidRPr="00286216" w:rsidRDefault="009D68B8" w:rsidP="009D68B8">
            <w:pPr>
              <w:pStyle w:val="StyleProp"/>
              <w:rPr>
                <w:color w:val="000000" w:themeColor="text1"/>
                <w:szCs w:val="18"/>
              </w:rPr>
            </w:pPr>
          </w:p>
        </w:tc>
        <w:tc>
          <w:tcPr>
            <w:tcW w:w="1987" w:type="dxa"/>
          </w:tcPr>
          <w:p w14:paraId="4B9D5714" w14:textId="77777777" w:rsidR="009D68B8" w:rsidRPr="00286216" w:rsidRDefault="009D68B8" w:rsidP="009D68B8">
            <w:pPr>
              <w:pStyle w:val="StyleWisnow"/>
              <w:rPr>
                <w:color w:val="000000" w:themeColor="text1"/>
              </w:rPr>
            </w:pPr>
          </w:p>
        </w:tc>
        <w:tc>
          <w:tcPr>
            <w:tcW w:w="4818" w:type="dxa"/>
          </w:tcPr>
          <w:p w14:paraId="6E2282DD" w14:textId="5D292F4D" w:rsidR="009D68B8" w:rsidRPr="00286216" w:rsidRDefault="009D68B8" w:rsidP="009D68B8">
            <w:pPr>
              <w:pStyle w:val="StyleZakonu"/>
              <w:rPr>
                <w:color w:val="000000" w:themeColor="text1"/>
              </w:rPr>
            </w:pPr>
            <w:r w:rsidRPr="00286216">
              <w:rPr>
                <w:color w:val="000000" w:themeColor="text1"/>
              </w:rPr>
              <w:t>3) в інших випадках, передбачених проспектом (рішенням про емісію);</w:t>
            </w:r>
          </w:p>
        </w:tc>
      </w:tr>
      <w:tr w:rsidR="009D68B8" w:rsidRPr="00286216" w14:paraId="708E5D60" w14:textId="77777777" w:rsidTr="00091AA5">
        <w:tc>
          <w:tcPr>
            <w:tcW w:w="576" w:type="dxa"/>
          </w:tcPr>
          <w:p w14:paraId="41EE219C" w14:textId="77777777" w:rsidR="009D68B8" w:rsidRPr="00286216" w:rsidRDefault="009D68B8" w:rsidP="009D68B8">
            <w:pPr>
              <w:pStyle w:val="StyleWisnow"/>
              <w:rPr>
                <w:color w:val="000000" w:themeColor="text1"/>
              </w:rPr>
            </w:pPr>
            <w:bookmarkStart w:id="1678" w:name="n1928" w:colFirst="0" w:colLast="0"/>
            <w:bookmarkEnd w:id="1677"/>
            <w:r w:rsidRPr="00286216">
              <w:rPr>
                <w:color w:val="000000" w:themeColor="text1"/>
              </w:rPr>
              <w:t>1928.</w:t>
            </w:r>
          </w:p>
        </w:tc>
        <w:tc>
          <w:tcPr>
            <w:tcW w:w="4818" w:type="dxa"/>
          </w:tcPr>
          <w:p w14:paraId="678C2FF1" w14:textId="77777777" w:rsidR="009D68B8" w:rsidRPr="00286216" w:rsidRDefault="009D68B8" w:rsidP="009D68B8">
            <w:pPr>
              <w:pStyle w:val="StyleZakonu"/>
              <w:rPr>
                <w:color w:val="000000" w:themeColor="text1"/>
              </w:rPr>
            </w:pPr>
            <w:r w:rsidRPr="00286216">
              <w:rPr>
                <w:color w:val="000000" w:themeColor="text1"/>
              </w:rPr>
              <w:t>3) у разі невиконання або неналежного виконання ним своїх обов’язків за іншим випуском облігацій, та в інших випадках, передбачених проспектом (рішенням про емісію).</w:t>
            </w:r>
          </w:p>
        </w:tc>
        <w:tc>
          <w:tcPr>
            <w:tcW w:w="3686" w:type="dxa"/>
          </w:tcPr>
          <w:p w14:paraId="08181B54" w14:textId="77777777" w:rsidR="009D68B8" w:rsidRPr="00286216" w:rsidRDefault="009D68B8" w:rsidP="009D68B8">
            <w:pPr>
              <w:pStyle w:val="StyleProp"/>
              <w:rPr>
                <w:color w:val="000000" w:themeColor="text1"/>
                <w:szCs w:val="18"/>
              </w:rPr>
            </w:pPr>
          </w:p>
        </w:tc>
        <w:tc>
          <w:tcPr>
            <w:tcW w:w="1987" w:type="dxa"/>
          </w:tcPr>
          <w:p w14:paraId="1FDD12C6" w14:textId="77777777" w:rsidR="009D68B8" w:rsidRPr="00286216" w:rsidRDefault="009D68B8" w:rsidP="009D68B8">
            <w:pPr>
              <w:pStyle w:val="StyleWisnow"/>
              <w:rPr>
                <w:color w:val="000000" w:themeColor="text1"/>
              </w:rPr>
            </w:pPr>
          </w:p>
        </w:tc>
        <w:tc>
          <w:tcPr>
            <w:tcW w:w="4818" w:type="dxa"/>
          </w:tcPr>
          <w:p w14:paraId="7F2604AD" w14:textId="33663155" w:rsidR="009D68B8" w:rsidRPr="00286216" w:rsidRDefault="009D68B8" w:rsidP="009D68B8">
            <w:pPr>
              <w:pStyle w:val="StyleZakonu"/>
              <w:rPr>
                <w:color w:val="000000" w:themeColor="text1"/>
              </w:rPr>
            </w:pPr>
            <w:r w:rsidRPr="00286216">
              <w:rPr>
                <w:color w:val="000000" w:themeColor="text1"/>
              </w:rPr>
              <w:t>2) невиконання або неналежного виконання ним своїх обов’язків за іншим випуском облігацій та в інших випадках, передбачених проспектом (рішенням про емісію).</w:t>
            </w:r>
          </w:p>
        </w:tc>
      </w:tr>
      <w:tr w:rsidR="009D68B8" w:rsidRPr="00286216" w14:paraId="01A0D076" w14:textId="77777777" w:rsidTr="00091AA5">
        <w:tc>
          <w:tcPr>
            <w:tcW w:w="576" w:type="dxa"/>
          </w:tcPr>
          <w:p w14:paraId="20A127E2" w14:textId="77777777" w:rsidR="009D68B8" w:rsidRPr="00286216" w:rsidRDefault="009D68B8" w:rsidP="009D68B8">
            <w:pPr>
              <w:pStyle w:val="StyleWisnow"/>
              <w:rPr>
                <w:color w:val="000000" w:themeColor="text1"/>
              </w:rPr>
            </w:pPr>
            <w:bookmarkStart w:id="1679" w:name="n1929" w:colFirst="0" w:colLast="0"/>
            <w:bookmarkEnd w:id="1678"/>
            <w:r w:rsidRPr="00286216">
              <w:rPr>
                <w:color w:val="000000" w:themeColor="text1"/>
              </w:rPr>
              <w:t>1929.</w:t>
            </w:r>
          </w:p>
        </w:tc>
        <w:tc>
          <w:tcPr>
            <w:tcW w:w="4818" w:type="dxa"/>
          </w:tcPr>
          <w:p w14:paraId="6183D441" w14:textId="77777777" w:rsidR="009D68B8" w:rsidRPr="00286216" w:rsidRDefault="009D68B8" w:rsidP="009D68B8">
            <w:pPr>
              <w:pStyle w:val="StyleZakonu"/>
              <w:rPr>
                <w:color w:val="000000" w:themeColor="text1"/>
              </w:rPr>
            </w:pPr>
            <w:r w:rsidRPr="00286216">
              <w:rPr>
                <w:color w:val="000000" w:themeColor="text1"/>
              </w:rPr>
              <w:t xml:space="preserve">4. У разі виникнення конфлікту інтересів та/або інших обставин, зазначених у абзаці першому частини першої статті 115 цього Закону, збори </w:t>
            </w:r>
            <w:r w:rsidRPr="00286216">
              <w:rPr>
                <w:color w:val="000000" w:themeColor="text1"/>
              </w:rPr>
              <w:lastRenderedPageBreak/>
              <w:t>власників облігацій розглядають питання про відмову від усунення від виконання адміністратора.</w:t>
            </w:r>
          </w:p>
        </w:tc>
        <w:tc>
          <w:tcPr>
            <w:tcW w:w="3686" w:type="dxa"/>
          </w:tcPr>
          <w:p w14:paraId="1972A293" w14:textId="5F9B67EA" w:rsidR="009D68B8" w:rsidRPr="00286216" w:rsidRDefault="009D68B8" w:rsidP="009D68B8">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996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D39686"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Абзац перший та абзац другий частини четвертої статті 111 після слів «усунення від виконання» доповнити словом «обов’язків».</w:t>
            </w:r>
          </w:p>
        </w:tc>
        <w:tc>
          <w:tcPr>
            <w:tcW w:w="1987" w:type="dxa"/>
          </w:tcPr>
          <w:p w14:paraId="19428A91"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28CAA821" w14:textId="1D2F8F5D" w:rsidR="009D68B8" w:rsidRPr="00286216" w:rsidRDefault="009D68B8" w:rsidP="009D68B8">
            <w:pPr>
              <w:pStyle w:val="StyleZakonu"/>
              <w:rPr>
                <w:color w:val="000000" w:themeColor="text1"/>
              </w:rPr>
            </w:pPr>
            <w:r w:rsidRPr="00286216">
              <w:rPr>
                <w:color w:val="000000" w:themeColor="text1"/>
              </w:rPr>
              <w:t xml:space="preserve">4. У разі виникнення конфлікту інтересів та/або інших обставин, зазначених у частині першій статті 119 цього Закону, збори власників облігацій </w:t>
            </w:r>
            <w:r w:rsidRPr="00286216">
              <w:rPr>
                <w:color w:val="000000" w:themeColor="text1"/>
              </w:rPr>
              <w:lastRenderedPageBreak/>
              <w:t>розглядають питання про відмову від усунення адміністратора від виконання</w:t>
            </w:r>
            <w:r w:rsidRPr="00286216">
              <w:rPr>
                <w:color w:val="000000" w:themeColor="text1"/>
                <w:szCs w:val="18"/>
              </w:rPr>
              <w:t xml:space="preserve"> обов’язків</w:t>
            </w:r>
            <w:r w:rsidRPr="00286216">
              <w:rPr>
                <w:color w:val="000000" w:themeColor="text1"/>
              </w:rPr>
              <w:t>.</w:t>
            </w:r>
          </w:p>
        </w:tc>
      </w:tr>
      <w:tr w:rsidR="009D68B8" w:rsidRPr="00286216" w14:paraId="7A52EC57" w14:textId="77777777" w:rsidTr="00091AA5">
        <w:tc>
          <w:tcPr>
            <w:tcW w:w="576" w:type="dxa"/>
          </w:tcPr>
          <w:p w14:paraId="1169E383" w14:textId="77777777" w:rsidR="009D68B8" w:rsidRPr="00286216" w:rsidRDefault="009D68B8" w:rsidP="009D68B8">
            <w:pPr>
              <w:pStyle w:val="StyleWisnow"/>
              <w:rPr>
                <w:color w:val="000000" w:themeColor="text1"/>
              </w:rPr>
            </w:pPr>
            <w:bookmarkStart w:id="1680" w:name="n1930" w:colFirst="0" w:colLast="0"/>
            <w:bookmarkEnd w:id="1679"/>
            <w:r w:rsidRPr="00286216">
              <w:rPr>
                <w:color w:val="000000" w:themeColor="text1"/>
              </w:rPr>
              <w:lastRenderedPageBreak/>
              <w:t>1930.</w:t>
            </w:r>
          </w:p>
        </w:tc>
        <w:tc>
          <w:tcPr>
            <w:tcW w:w="4818" w:type="dxa"/>
          </w:tcPr>
          <w:p w14:paraId="2649C540" w14:textId="77777777" w:rsidR="009D68B8" w:rsidRPr="00286216" w:rsidRDefault="009D68B8" w:rsidP="009D68B8">
            <w:pPr>
              <w:pStyle w:val="StyleZakonu"/>
              <w:rPr>
                <w:color w:val="000000" w:themeColor="text1"/>
              </w:rPr>
            </w:pPr>
            <w:r w:rsidRPr="00286216">
              <w:rPr>
                <w:color w:val="000000" w:themeColor="text1"/>
              </w:rPr>
              <w:t>Якщо збори власників облігацій не прийняли рішення про відмову від усунення від виконання адміністратора, його призначення припиняється.</w:t>
            </w:r>
          </w:p>
        </w:tc>
        <w:tc>
          <w:tcPr>
            <w:tcW w:w="3686" w:type="dxa"/>
          </w:tcPr>
          <w:p w14:paraId="7720F11D" w14:textId="3E154F5B"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997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5CEEB52"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Абзац перший та абзац другий частини четвертої статті 111 після слів «усунення від виконання» доповнити словом «обов’язків».</w:t>
            </w:r>
          </w:p>
        </w:tc>
        <w:tc>
          <w:tcPr>
            <w:tcW w:w="1987" w:type="dxa"/>
          </w:tcPr>
          <w:p w14:paraId="2E267BBC" w14:textId="07AAA99B"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565B810" w14:textId="1F3F6142" w:rsidR="009D68B8" w:rsidRPr="00286216" w:rsidRDefault="009D68B8" w:rsidP="009D68B8">
            <w:pPr>
              <w:pStyle w:val="StyleZakonu"/>
              <w:rPr>
                <w:color w:val="000000" w:themeColor="text1"/>
              </w:rPr>
            </w:pPr>
            <w:r w:rsidRPr="00286216">
              <w:rPr>
                <w:color w:val="000000" w:themeColor="text1"/>
              </w:rPr>
              <w:t xml:space="preserve">У разі якщо збори власників облігацій не прийняли рішення про відмову від усунення адміністратора від виконання </w:t>
            </w:r>
            <w:r w:rsidRPr="00286216">
              <w:rPr>
                <w:color w:val="000000" w:themeColor="text1"/>
                <w:szCs w:val="18"/>
              </w:rPr>
              <w:t>обов’язків</w:t>
            </w:r>
            <w:r w:rsidRPr="00286216">
              <w:rPr>
                <w:color w:val="000000" w:themeColor="text1"/>
              </w:rPr>
              <w:t>, повноваження такого адміністратора припиняються.</w:t>
            </w:r>
          </w:p>
        </w:tc>
      </w:tr>
      <w:bookmarkEnd w:id="1680"/>
      <w:tr w:rsidR="009D68B8" w:rsidRPr="00286216" w14:paraId="0597D073" w14:textId="77777777" w:rsidTr="00091AA5">
        <w:tc>
          <w:tcPr>
            <w:tcW w:w="576" w:type="dxa"/>
          </w:tcPr>
          <w:p w14:paraId="0E173C4D" w14:textId="77777777" w:rsidR="009D68B8" w:rsidRPr="00286216" w:rsidRDefault="009D68B8" w:rsidP="009D68B8">
            <w:pPr>
              <w:pStyle w:val="StyleWisnow"/>
              <w:rPr>
                <w:color w:val="000000" w:themeColor="text1"/>
              </w:rPr>
            </w:pPr>
          </w:p>
        </w:tc>
        <w:tc>
          <w:tcPr>
            <w:tcW w:w="4818" w:type="dxa"/>
          </w:tcPr>
          <w:p w14:paraId="2C7104F4" w14:textId="77777777" w:rsidR="009D68B8" w:rsidRPr="00286216" w:rsidRDefault="009D68B8" w:rsidP="009D68B8">
            <w:pPr>
              <w:pStyle w:val="StyleZakonu"/>
              <w:rPr>
                <w:color w:val="000000" w:themeColor="text1"/>
              </w:rPr>
            </w:pPr>
          </w:p>
        </w:tc>
        <w:tc>
          <w:tcPr>
            <w:tcW w:w="3686" w:type="dxa"/>
          </w:tcPr>
          <w:p w14:paraId="3DE07FAC" w14:textId="47B2043E"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998</w:t>
            </w:r>
            <w:r w:rsidRPr="00286216">
              <w:rPr>
                <w:color w:val="000000" w:themeColor="text1"/>
                <w:spacing w:val="-5"/>
              </w:rPr>
              <w:fldChar w:fldCharType="end"/>
            </w:r>
            <w:r w:rsidRPr="00286216">
              <w:rPr>
                <w:color w:val="000000" w:themeColor="text1"/>
                <w:spacing w:val="-5"/>
              </w:rPr>
              <w:t>-Н.д.Бєлькова О.В. (Реєстр.картка №403)</w:t>
            </w:r>
          </w:p>
          <w:p w14:paraId="688ECC03" w14:textId="7CA25069" w:rsidR="009D68B8" w:rsidRPr="00286216" w:rsidRDefault="009D68B8" w:rsidP="009D68B8">
            <w:pPr>
              <w:pStyle w:val="StyleProp"/>
              <w:spacing w:line="180" w:lineRule="exact"/>
              <w:rPr>
                <w:color w:val="000000" w:themeColor="text1"/>
                <w:spacing w:val="-2"/>
                <w:szCs w:val="18"/>
              </w:rPr>
            </w:pPr>
            <w:r w:rsidRPr="00286216">
              <w:rPr>
                <w:color w:val="000000" w:themeColor="text1"/>
                <w:spacing w:val="-2"/>
                <w:szCs w:val="18"/>
              </w:rPr>
              <w:t>Абзац 2 ч. 4 статті 111 викласти у редакції:</w:t>
            </w:r>
          </w:p>
          <w:p w14:paraId="06D7DA36" w14:textId="08FB5782" w:rsidR="009D68B8" w:rsidRPr="00286216" w:rsidRDefault="009D68B8" w:rsidP="009D68B8">
            <w:pPr>
              <w:pStyle w:val="StyleProp"/>
              <w:spacing w:line="180" w:lineRule="exact"/>
              <w:rPr>
                <w:color w:val="000000" w:themeColor="text1"/>
              </w:rPr>
            </w:pPr>
            <w:r w:rsidRPr="00286216">
              <w:rPr>
                <w:color w:val="000000" w:themeColor="text1"/>
              </w:rPr>
              <w:t>"У разі якщо збори власників облігацій не прийняли рішення про відмову від усунення адміністратора від виконання обов’язків, повноваження такого адміністратора припиняються".</w:t>
            </w:r>
          </w:p>
        </w:tc>
        <w:tc>
          <w:tcPr>
            <w:tcW w:w="1987" w:type="dxa"/>
          </w:tcPr>
          <w:p w14:paraId="21DB0DBB" w14:textId="25F52B5C"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BAA76AE" w14:textId="77777777" w:rsidR="009D68B8" w:rsidRPr="00286216" w:rsidRDefault="009D68B8" w:rsidP="009D68B8">
            <w:pPr>
              <w:pStyle w:val="StyleZakonu"/>
              <w:rPr>
                <w:color w:val="000000" w:themeColor="text1"/>
              </w:rPr>
            </w:pPr>
          </w:p>
        </w:tc>
      </w:tr>
      <w:tr w:rsidR="009D68B8" w:rsidRPr="00286216" w14:paraId="2029398E" w14:textId="77777777" w:rsidTr="00091AA5">
        <w:tc>
          <w:tcPr>
            <w:tcW w:w="576" w:type="dxa"/>
          </w:tcPr>
          <w:p w14:paraId="5A41BE17" w14:textId="77777777" w:rsidR="009D68B8" w:rsidRPr="00286216" w:rsidRDefault="009D68B8" w:rsidP="009D68B8">
            <w:pPr>
              <w:pStyle w:val="StyleWisnow"/>
              <w:rPr>
                <w:color w:val="000000" w:themeColor="text1"/>
              </w:rPr>
            </w:pPr>
            <w:bookmarkStart w:id="1681" w:name="n1931" w:colFirst="0" w:colLast="0"/>
            <w:r w:rsidRPr="00286216">
              <w:rPr>
                <w:color w:val="000000" w:themeColor="text1"/>
              </w:rPr>
              <w:t>1931.</w:t>
            </w:r>
          </w:p>
        </w:tc>
        <w:tc>
          <w:tcPr>
            <w:tcW w:w="4818" w:type="dxa"/>
          </w:tcPr>
          <w:p w14:paraId="27265532" w14:textId="77777777" w:rsidR="009D68B8" w:rsidRPr="00286216" w:rsidRDefault="009D68B8" w:rsidP="009D68B8">
            <w:pPr>
              <w:pStyle w:val="StyleZakonu"/>
              <w:rPr>
                <w:color w:val="000000" w:themeColor="text1"/>
              </w:rPr>
            </w:pPr>
            <w:r w:rsidRPr="00286216">
              <w:rPr>
                <w:color w:val="000000" w:themeColor="text1"/>
              </w:rPr>
              <w:t>5. У разі відмови адміністратора від свого призначення, або усунення від виконання така особа продовжує виконувати повноваження адміністратора до набуття повноважень новим адміністратором, але не довше трьох місяців з дати відмови від призначення або усунення від виконання, відповідно, якщо інше не передбачено законом або договором про призначення адміністратора.</w:t>
            </w:r>
          </w:p>
        </w:tc>
        <w:tc>
          <w:tcPr>
            <w:tcW w:w="3686" w:type="dxa"/>
          </w:tcPr>
          <w:p w14:paraId="049F14AB" w14:textId="6FF1D10C"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999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5E88BC2"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В абзаці першому частини п’ятої статті 111 слова «або усунення від виконання така особа» замінити словами «або усунення його від виконання  обов’язків така особа», а слова «або усунення від виконання, відповідно,» замінити словами «або усунення від виконання обов’язків, відповідно,».</w:t>
            </w:r>
          </w:p>
        </w:tc>
        <w:tc>
          <w:tcPr>
            <w:tcW w:w="1987" w:type="dxa"/>
          </w:tcPr>
          <w:p w14:paraId="25466EB0"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A112E48" w14:textId="7F22F78D" w:rsidR="009D68B8" w:rsidRPr="00286216" w:rsidRDefault="009D68B8" w:rsidP="009D68B8">
            <w:pPr>
              <w:pStyle w:val="StyleZakonu"/>
              <w:rPr>
                <w:color w:val="000000" w:themeColor="text1"/>
              </w:rPr>
            </w:pPr>
            <w:r w:rsidRPr="00286216">
              <w:rPr>
                <w:color w:val="000000" w:themeColor="text1"/>
              </w:rPr>
              <w:t xml:space="preserve">5. У разі відмови адміністратора від свого призначення </w:t>
            </w:r>
            <w:r w:rsidRPr="00286216">
              <w:rPr>
                <w:color w:val="000000" w:themeColor="text1"/>
                <w:szCs w:val="18"/>
              </w:rPr>
              <w:t>або усунення його від виконання  обов’язків така особа</w:t>
            </w:r>
            <w:r w:rsidRPr="00286216">
              <w:rPr>
                <w:color w:val="000000" w:themeColor="text1"/>
              </w:rPr>
              <w:t xml:space="preserve"> продовжує виконувати повноваження адміністратора до набуття повноважень новим адміністратором, але не довше трьох місяців з дати відмови від призначення </w:t>
            </w:r>
            <w:r w:rsidRPr="00286216">
              <w:rPr>
                <w:color w:val="000000" w:themeColor="text1"/>
                <w:szCs w:val="18"/>
              </w:rPr>
              <w:t xml:space="preserve">або усунення від виконання обов’язків, </w:t>
            </w:r>
            <w:r w:rsidRPr="00286216">
              <w:rPr>
                <w:color w:val="000000" w:themeColor="text1"/>
              </w:rPr>
              <w:t>якщо інше не передбачено законом або договором про призначення адміністратора.</w:t>
            </w:r>
          </w:p>
        </w:tc>
      </w:tr>
      <w:tr w:rsidR="009D68B8" w:rsidRPr="00286216" w14:paraId="684DAF2A" w14:textId="77777777" w:rsidTr="00091AA5">
        <w:tc>
          <w:tcPr>
            <w:tcW w:w="576" w:type="dxa"/>
          </w:tcPr>
          <w:p w14:paraId="6891B54E" w14:textId="77777777" w:rsidR="009D68B8" w:rsidRPr="00286216" w:rsidRDefault="009D68B8" w:rsidP="009D68B8">
            <w:pPr>
              <w:pStyle w:val="StyleWisnow"/>
              <w:rPr>
                <w:color w:val="000000" w:themeColor="text1"/>
              </w:rPr>
            </w:pPr>
            <w:bookmarkStart w:id="1682" w:name="n1932" w:colFirst="0" w:colLast="0"/>
            <w:bookmarkEnd w:id="1681"/>
            <w:r w:rsidRPr="00286216">
              <w:rPr>
                <w:color w:val="000000" w:themeColor="text1"/>
              </w:rPr>
              <w:t>1932.</w:t>
            </w:r>
          </w:p>
        </w:tc>
        <w:tc>
          <w:tcPr>
            <w:tcW w:w="4818" w:type="dxa"/>
          </w:tcPr>
          <w:p w14:paraId="38E55E6F" w14:textId="77777777" w:rsidR="009D68B8" w:rsidRPr="00286216" w:rsidRDefault="009D68B8" w:rsidP="009D68B8">
            <w:pPr>
              <w:pStyle w:val="StyleZakonu"/>
              <w:rPr>
                <w:color w:val="000000" w:themeColor="text1"/>
              </w:rPr>
            </w:pPr>
            <w:r w:rsidRPr="00286216">
              <w:rPr>
                <w:color w:val="000000" w:themeColor="text1"/>
              </w:rPr>
              <w:t>Не пізніше наступного робочого дня після закінчення вказаного строку емітент розмішує інформацію про припинення повноважень адміністратора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52648DC8" w14:textId="7CFD3ABE"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1000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6A01A1A"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У абзаці восьмому частини першої, абзаці третьому частини другої, абзаці другому частини п’ятої та частині восьмій статті 111 слова «та/або професійних учасників ринків капіталу та організованих товарних» замінити словами «та професійних учасників організованих товарних».</w:t>
            </w:r>
          </w:p>
          <w:p w14:paraId="0BF9F39F" w14:textId="7DEC1FF3"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1001</w:t>
            </w:r>
            <w:r w:rsidRPr="00286216">
              <w:rPr>
                <w:color w:val="000000" w:themeColor="text1"/>
                <w:spacing w:val="-5"/>
              </w:rPr>
              <w:fldChar w:fldCharType="end"/>
            </w:r>
            <w:r w:rsidRPr="00286216">
              <w:rPr>
                <w:color w:val="000000" w:themeColor="text1"/>
                <w:spacing w:val="-5"/>
              </w:rPr>
              <w:t>-Н.д.Бєлькова О.В. (Реєстр.картка №403)</w:t>
            </w:r>
          </w:p>
          <w:p w14:paraId="305DFF58"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2119A491" w14:textId="77777777" w:rsidR="009D68B8" w:rsidRPr="00286216" w:rsidRDefault="009D68B8" w:rsidP="009D68B8">
            <w:pPr>
              <w:pStyle w:val="StyleWisnow"/>
              <w:rPr>
                <w:color w:val="000000" w:themeColor="text1"/>
              </w:rPr>
            </w:pPr>
            <w:r w:rsidRPr="00286216">
              <w:rPr>
                <w:color w:val="000000" w:themeColor="text1"/>
              </w:rPr>
              <w:t>Враховано по суті</w:t>
            </w:r>
          </w:p>
          <w:p w14:paraId="6FCB2118" w14:textId="77777777" w:rsidR="009D68B8" w:rsidRPr="00286216" w:rsidRDefault="009D68B8" w:rsidP="009D68B8">
            <w:pPr>
              <w:pStyle w:val="StyleWisnow"/>
              <w:rPr>
                <w:color w:val="000000" w:themeColor="text1"/>
              </w:rPr>
            </w:pPr>
          </w:p>
          <w:p w14:paraId="5EC18E6D" w14:textId="77777777" w:rsidR="009D68B8" w:rsidRPr="00286216" w:rsidRDefault="009D68B8" w:rsidP="009D68B8">
            <w:pPr>
              <w:pStyle w:val="StyleWisnow"/>
              <w:rPr>
                <w:color w:val="000000" w:themeColor="text1"/>
              </w:rPr>
            </w:pPr>
          </w:p>
          <w:p w14:paraId="4281DD6A" w14:textId="77777777" w:rsidR="009D68B8" w:rsidRPr="00286216" w:rsidRDefault="009D68B8" w:rsidP="009D68B8">
            <w:pPr>
              <w:pStyle w:val="StyleWisnow"/>
              <w:rPr>
                <w:color w:val="000000" w:themeColor="text1"/>
              </w:rPr>
            </w:pPr>
          </w:p>
          <w:p w14:paraId="0B1801FB" w14:textId="77777777" w:rsidR="009D68B8" w:rsidRPr="00286216" w:rsidRDefault="009D68B8" w:rsidP="009D68B8">
            <w:pPr>
              <w:pStyle w:val="StyleWisnow"/>
              <w:rPr>
                <w:color w:val="000000" w:themeColor="text1"/>
              </w:rPr>
            </w:pPr>
          </w:p>
          <w:p w14:paraId="33109ED3" w14:textId="77777777" w:rsidR="009D68B8" w:rsidRPr="00286216" w:rsidRDefault="009D68B8" w:rsidP="009D68B8">
            <w:pPr>
              <w:pStyle w:val="StyleWisnow"/>
              <w:rPr>
                <w:color w:val="000000" w:themeColor="text1"/>
              </w:rPr>
            </w:pPr>
          </w:p>
          <w:p w14:paraId="51C3C537" w14:textId="77777777" w:rsidR="009D68B8" w:rsidRPr="00286216" w:rsidRDefault="009D68B8" w:rsidP="009D68B8">
            <w:pPr>
              <w:pStyle w:val="StyleWisnow"/>
              <w:rPr>
                <w:color w:val="000000" w:themeColor="text1"/>
              </w:rPr>
            </w:pPr>
          </w:p>
          <w:p w14:paraId="5E719FC0" w14:textId="77777777" w:rsidR="009D68B8" w:rsidRPr="00286216" w:rsidRDefault="009D68B8" w:rsidP="009D68B8">
            <w:pPr>
              <w:pStyle w:val="StyleWisnow"/>
              <w:rPr>
                <w:color w:val="000000" w:themeColor="text1"/>
              </w:rPr>
            </w:pPr>
            <w:r w:rsidRPr="00286216">
              <w:rPr>
                <w:color w:val="000000" w:themeColor="text1"/>
              </w:rPr>
              <w:t>Враховано</w:t>
            </w:r>
          </w:p>
          <w:p w14:paraId="480A819C" w14:textId="77777777" w:rsidR="009D68B8" w:rsidRPr="00286216" w:rsidRDefault="009D68B8" w:rsidP="009D68B8">
            <w:pPr>
              <w:pStyle w:val="StyleWisnow"/>
              <w:rPr>
                <w:color w:val="000000" w:themeColor="text1"/>
              </w:rPr>
            </w:pPr>
          </w:p>
        </w:tc>
        <w:tc>
          <w:tcPr>
            <w:tcW w:w="4818" w:type="dxa"/>
          </w:tcPr>
          <w:p w14:paraId="561B16FC" w14:textId="71EAA258" w:rsidR="009D68B8" w:rsidRPr="00286216" w:rsidRDefault="009D68B8" w:rsidP="009D68B8">
            <w:pPr>
              <w:pStyle w:val="StyleZakonu"/>
              <w:rPr>
                <w:color w:val="000000" w:themeColor="text1"/>
              </w:rPr>
            </w:pPr>
            <w:r w:rsidRPr="00286216">
              <w:rPr>
                <w:color w:val="000000" w:themeColor="text1"/>
              </w:rPr>
              <w:t xml:space="preserve">Не пізніше наступного робочого дня після закінчення вказаного строку емітент розмішує інформацію про припинення повноважень адміністратора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w:t>
            </w:r>
          </w:p>
        </w:tc>
      </w:tr>
      <w:tr w:rsidR="009D68B8" w:rsidRPr="00286216" w14:paraId="757CCDB0" w14:textId="77777777" w:rsidTr="00091AA5">
        <w:tc>
          <w:tcPr>
            <w:tcW w:w="576" w:type="dxa"/>
          </w:tcPr>
          <w:p w14:paraId="0745D480" w14:textId="77777777" w:rsidR="009D68B8" w:rsidRPr="00286216" w:rsidRDefault="009D68B8" w:rsidP="009D68B8">
            <w:pPr>
              <w:pStyle w:val="StyleWisnow"/>
              <w:rPr>
                <w:color w:val="000000" w:themeColor="text1"/>
              </w:rPr>
            </w:pPr>
            <w:bookmarkStart w:id="1683" w:name="n1933" w:colFirst="0" w:colLast="0"/>
            <w:bookmarkEnd w:id="1682"/>
            <w:r w:rsidRPr="00286216">
              <w:rPr>
                <w:color w:val="000000" w:themeColor="text1"/>
              </w:rPr>
              <w:t>1933.</w:t>
            </w:r>
          </w:p>
        </w:tc>
        <w:tc>
          <w:tcPr>
            <w:tcW w:w="4818" w:type="dxa"/>
          </w:tcPr>
          <w:p w14:paraId="1CF5D7BE" w14:textId="77777777" w:rsidR="009D68B8" w:rsidRPr="00286216" w:rsidRDefault="009D68B8" w:rsidP="009D68B8">
            <w:pPr>
              <w:pStyle w:val="StyleZakonu"/>
              <w:rPr>
                <w:color w:val="000000" w:themeColor="text1"/>
              </w:rPr>
            </w:pPr>
            <w:r w:rsidRPr="00286216">
              <w:rPr>
                <w:color w:val="000000" w:themeColor="text1"/>
              </w:rPr>
              <w:t xml:space="preserve">6. У разі припинення особи шляхом злиття, поділу, приєднання або перетворення її повноваження адміністратора переходять до правонаступника. У такому випадку емітент зобов’язаний внести </w:t>
            </w:r>
            <w:r w:rsidRPr="00286216">
              <w:rPr>
                <w:color w:val="000000" w:themeColor="text1"/>
              </w:rPr>
              <w:lastRenderedPageBreak/>
              <w:t>відповідні зміни до проспекту (рішення про емісію цінних паперів). При поділі повноваження адміністратора можуть перейти лише до одного правонаступника.</w:t>
            </w:r>
          </w:p>
        </w:tc>
        <w:tc>
          <w:tcPr>
            <w:tcW w:w="3686" w:type="dxa"/>
          </w:tcPr>
          <w:p w14:paraId="1E625211" w14:textId="77777777" w:rsidR="009D68B8" w:rsidRPr="00286216" w:rsidRDefault="009D68B8" w:rsidP="009D68B8">
            <w:pPr>
              <w:pStyle w:val="StyleProp"/>
              <w:rPr>
                <w:color w:val="000000" w:themeColor="text1"/>
                <w:szCs w:val="18"/>
              </w:rPr>
            </w:pPr>
          </w:p>
        </w:tc>
        <w:tc>
          <w:tcPr>
            <w:tcW w:w="1987" w:type="dxa"/>
          </w:tcPr>
          <w:p w14:paraId="3CF318F0" w14:textId="77777777" w:rsidR="009D68B8" w:rsidRPr="00286216" w:rsidRDefault="009D68B8" w:rsidP="009D68B8">
            <w:pPr>
              <w:pStyle w:val="StyleWisnow"/>
              <w:rPr>
                <w:color w:val="000000" w:themeColor="text1"/>
              </w:rPr>
            </w:pPr>
          </w:p>
        </w:tc>
        <w:tc>
          <w:tcPr>
            <w:tcW w:w="4818" w:type="dxa"/>
          </w:tcPr>
          <w:p w14:paraId="551082F5" w14:textId="5D6DA40B" w:rsidR="009D68B8" w:rsidRPr="00286216" w:rsidRDefault="009D68B8" w:rsidP="009D68B8">
            <w:pPr>
              <w:pStyle w:val="StyleZakonu"/>
              <w:rPr>
                <w:color w:val="000000" w:themeColor="text1"/>
              </w:rPr>
            </w:pPr>
            <w:r w:rsidRPr="00286216">
              <w:rPr>
                <w:color w:val="000000" w:themeColor="text1"/>
              </w:rPr>
              <w:t xml:space="preserve">6. У разі припинення особи шляхом злиття, поділу, приєднання або перетворення її повноваження адміністратора переходять до правонаступника. У такому разі емітент зобов’язаний внести відповідні </w:t>
            </w:r>
            <w:r w:rsidRPr="00286216">
              <w:rPr>
                <w:color w:val="000000" w:themeColor="text1"/>
              </w:rPr>
              <w:lastRenderedPageBreak/>
              <w:t>зміни до проспекту (рішення про емісію). При поділі повноваження адміністратора можуть перейти лише до одного правонаступника.</w:t>
            </w:r>
          </w:p>
        </w:tc>
      </w:tr>
      <w:tr w:rsidR="009D68B8" w:rsidRPr="00286216" w14:paraId="5121BD14" w14:textId="77777777" w:rsidTr="00091AA5">
        <w:tc>
          <w:tcPr>
            <w:tcW w:w="576" w:type="dxa"/>
          </w:tcPr>
          <w:p w14:paraId="4FEBCD3A" w14:textId="77777777" w:rsidR="009D68B8" w:rsidRPr="00286216" w:rsidRDefault="009D68B8" w:rsidP="009D68B8">
            <w:pPr>
              <w:pStyle w:val="StyleWisnow"/>
              <w:rPr>
                <w:color w:val="000000" w:themeColor="text1"/>
              </w:rPr>
            </w:pPr>
            <w:bookmarkStart w:id="1684" w:name="n1934" w:colFirst="0" w:colLast="0"/>
            <w:bookmarkEnd w:id="1683"/>
            <w:r w:rsidRPr="00286216">
              <w:rPr>
                <w:color w:val="000000" w:themeColor="text1"/>
              </w:rPr>
              <w:lastRenderedPageBreak/>
              <w:t>1934.</w:t>
            </w:r>
          </w:p>
        </w:tc>
        <w:tc>
          <w:tcPr>
            <w:tcW w:w="4818" w:type="dxa"/>
          </w:tcPr>
          <w:p w14:paraId="242D0051" w14:textId="77777777" w:rsidR="009D68B8" w:rsidRPr="00286216" w:rsidRDefault="009D68B8" w:rsidP="009D68B8">
            <w:pPr>
              <w:pStyle w:val="StyleZakonu"/>
              <w:rPr>
                <w:color w:val="000000" w:themeColor="text1"/>
              </w:rPr>
            </w:pPr>
            <w:r w:rsidRPr="00286216">
              <w:rPr>
                <w:color w:val="000000" w:themeColor="text1"/>
              </w:rPr>
              <w:t>У разі припинення особи шляхом ліквідації її повноваження адміністратора припиняються з дня внесення до Єдиного державного реєстру юридичних осіб, фізичних осіб - підприємців та громадських формувань запису про її припинення.</w:t>
            </w:r>
          </w:p>
        </w:tc>
        <w:tc>
          <w:tcPr>
            <w:tcW w:w="3686" w:type="dxa"/>
          </w:tcPr>
          <w:p w14:paraId="6D71D986" w14:textId="77777777" w:rsidR="009D68B8" w:rsidRPr="00286216" w:rsidRDefault="009D68B8" w:rsidP="009D68B8">
            <w:pPr>
              <w:pStyle w:val="StyleProp"/>
              <w:rPr>
                <w:color w:val="000000" w:themeColor="text1"/>
                <w:szCs w:val="18"/>
              </w:rPr>
            </w:pPr>
          </w:p>
        </w:tc>
        <w:tc>
          <w:tcPr>
            <w:tcW w:w="1987" w:type="dxa"/>
          </w:tcPr>
          <w:p w14:paraId="43B2C910" w14:textId="77777777" w:rsidR="009D68B8" w:rsidRPr="00286216" w:rsidRDefault="009D68B8" w:rsidP="009D68B8">
            <w:pPr>
              <w:pStyle w:val="StyleWisnow"/>
              <w:rPr>
                <w:color w:val="000000" w:themeColor="text1"/>
              </w:rPr>
            </w:pPr>
          </w:p>
        </w:tc>
        <w:tc>
          <w:tcPr>
            <w:tcW w:w="4818" w:type="dxa"/>
          </w:tcPr>
          <w:p w14:paraId="3CD84D7E" w14:textId="418E523B" w:rsidR="009D68B8" w:rsidRPr="00286216" w:rsidRDefault="009D68B8" w:rsidP="009D68B8">
            <w:pPr>
              <w:pStyle w:val="StyleZakonu"/>
              <w:rPr>
                <w:color w:val="000000" w:themeColor="text1"/>
              </w:rPr>
            </w:pPr>
            <w:r w:rsidRPr="00286216">
              <w:rPr>
                <w:color w:val="000000" w:themeColor="text1"/>
              </w:rPr>
              <w:t>У разі припинення особи шляхом ліквідації її повноваження адміністратора припиняються з дня внесення до Єдиного державного реєстру юридичних осіб, фізичних осіб - підприємців та громадських формувань запису про її припинення.</w:t>
            </w:r>
          </w:p>
        </w:tc>
      </w:tr>
      <w:tr w:rsidR="009D68B8" w:rsidRPr="00286216" w14:paraId="2EE056DE" w14:textId="77777777" w:rsidTr="00091AA5">
        <w:tc>
          <w:tcPr>
            <w:tcW w:w="576" w:type="dxa"/>
          </w:tcPr>
          <w:p w14:paraId="165F8E19" w14:textId="77777777" w:rsidR="009D68B8" w:rsidRPr="00286216" w:rsidRDefault="009D68B8" w:rsidP="009D68B8">
            <w:pPr>
              <w:pStyle w:val="StyleWisnow"/>
              <w:rPr>
                <w:color w:val="000000" w:themeColor="text1"/>
              </w:rPr>
            </w:pPr>
            <w:bookmarkStart w:id="1685" w:name="n1935" w:colFirst="0" w:colLast="0"/>
            <w:bookmarkEnd w:id="1684"/>
            <w:r w:rsidRPr="00286216">
              <w:rPr>
                <w:color w:val="000000" w:themeColor="text1"/>
              </w:rPr>
              <w:t>1935.</w:t>
            </w:r>
          </w:p>
        </w:tc>
        <w:tc>
          <w:tcPr>
            <w:tcW w:w="4818" w:type="dxa"/>
          </w:tcPr>
          <w:p w14:paraId="6ADB02C9" w14:textId="77777777" w:rsidR="009D68B8" w:rsidRPr="00286216" w:rsidRDefault="009D68B8" w:rsidP="009D68B8">
            <w:pPr>
              <w:pStyle w:val="StyleZakonu"/>
              <w:rPr>
                <w:color w:val="000000" w:themeColor="text1"/>
              </w:rPr>
            </w:pPr>
            <w:r w:rsidRPr="00286216">
              <w:rPr>
                <w:color w:val="000000" w:themeColor="text1"/>
              </w:rPr>
              <w:t>7. У випадку припинення повноважень адміністратора, емітент зобов’язаний призначити нового адміністратора та внести відповідні зміни до проспекту (рішення про емісію цінних паперів) (якщо інші строки не встановлені проспектом (рішенням про емісію цінних паперів):</w:t>
            </w:r>
          </w:p>
        </w:tc>
        <w:tc>
          <w:tcPr>
            <w:tcW w:w="3686" w:type="dxa"/>
          </w:tcPr>
          <w:p w14:paraId="6F06D194" w14:textId="77777777" w:rsidR="009D68B8" w:rsidRPr="00286216" w:rsidRDefault="009D68B8" w:rsidP="009D68B8">
            <w:pPr>
              <w:pStyle w:val="StyleProp"/>
              <w:rPr>
                <w:color w:val="000000" w:themeColor="text1"/>
                <w:szCs w:val="18"/>
              </w:rPr>
            </w:pPr>
          </w:p>
        </w:tc>
        <w:tc>
          <w:tcPr>
            <w:tcW w:w="1987" w:type="dxa"/>
          </w:tcPr>
          <w:p w14:paraId="73A2FEA4" w14:textId="77777777" w:rsidR="009D68B8" w:rsidRPr="00286216" w:rsidRDefault="009D68B8" w:rsidP="009D68B8">
            <w:pPr>
              <w:pStyle w:val="StyleWisnow"/>
              <w:rPr>
                <w:color w:val="000000" w:themeColor="text1"/>
              </w:rPr>
            </w:pPr>
          </w:p>
        </w:tc>
        <w:tc>
          <w:tcPr>
            <w:tcW w:w="4818" w:type="dxa"/>
          </w:tcPr>
          <w:p w14:paraId="4F0FDEBA" w14:textId="62F464B2" w:rsidR="009D68B8" w:rsidRPr="00286216" w:rsidRDefault="009D68B8" w:rsidP="009D68B8">
            <w:pPr>
              <w:pStyle w:val="StyleZakonu"/>
              <w:rPr>
                <w:color w:val="000000" w:themeColor="text1"/>
              </w:rPr>
            </w:pPr>
            <w:r w:rsidRPr="00286216">
              <w:rPr>
                <w:color w:val="000000" w:themeColor="text1"/>
              </w:rPr>
              <w:t>7. У разі припинення повноважень адміністратора, емітент зобов’язаний призначити нового адміністратора та внести відповідні зміни до проспекту (рішення про емісію) якщо інші строки не встановлені проспектом (рішенням про емісію):</w:t>
            </w:r>
          </w:p>
        </w:tc>
      </w:tr>
      <w:tr w:rsidR="009D68B8" w:rsidRPr="00286216" w14:paraId="6D23D1FB" w14:textId="77777777" w:rsidTr="00091AA5">
        <w:tc>
          <w:tcPr>
            <w:tcW w:w="576" w:type="dxa"/>
          </w:tcPr>
          <w:p w14:paraId="6F715F8F" w14:textId="77777777" w:rsidR="009D68B8" w:rsidRPr="00286216" w:rsidRDefault="009D68B8" w:rsidP="009D68B8">
            <w:pPr>
              <w:pStyle w:val="StyleWisnow"/>
              <w:rPr>
                <w:color w:val="000000" w:themeColor="text1"/>
              </w:rPr>
            </w:pPr>
            <w:bookmarkStart w:id="1686" w:name="n1936" w:colFirst="0" w:colLast="0"/>
            <w:bookmarkEnd w:id="1685"/>
            <w:r w:rsidRPr="00286216">
              <w:rPr>
                <w:color w:val="000000" w:themeColor="text1"/>
              </w:rPr>
              <w:t>1936.</w:t>
            </w:r>
          </w:p>
        </w:tc>
        <w:tc>
          <w:tcPr>
            <w:tcW w:w="4818" w:type="dxa"/>
          </w:tcPr>
          <w:p w14:paraId="6B6BD3C7" w14:textId="77777777" w:rsidR="009D68B8" w:rsidRPr="00286216" w:rsidRDefault="009D68B8" w:rsidP="009D68B8">
            <w:pPr>
              <w:pStyle w:val="StyleZakonu"/>
              <w:rPr>
                <w:color w:val="000000" w:themeColor="text1"/>
              </w:rPr>
            </w:pPr>
            <w:r w:rsidRPr="00286216">
              <w:rPr>
                <w:color w:val="000000" w:themeColor="text1"/>
              </w:rPr>
              <w:t>1) протягом одного місяця з дати припинення повноважень - у разі, якщо з цією метою не вимагається здійснення процедур публічних закупівель;</w:t>
            </w:r>
          </w:p>
        </w:tc>
        <w:tc>
          <w:tcPr>
            <w:tcW w:w="3686" w:type="dxa"/>
          </w:tcPr>
          <w:p w14:paraId="22A8699D" w14:textId="77777777" w:rsidR="009D68B8" w:rsidRPr="00286216" w:rsidRDefault="009D68B8" w:rsidP="009D68B8">
            <w:pPr>
              <w:pStyle w:val="StyleProp"/>
              <w:rPr>
                <w:color w:val="000000" w:themeColor="text1"/>
                <w:szCs w:val="18"/>
              </w:rPr>
            </w:pPr>
          </w:p>
        </w:tc>
        <w:tc>
          <w:tcPr>
            <w:tcW w:w="1987" w:type="dxa"/>
          </w:tcPr>
          <w:p w14:paraId="31E86A4D" w14:textId="77777777" w:rsidR="009D68B8" w:rsidRPr="00286216" w:rsidRDefault="009D68B8" w:rsidP="009D68B8">
            <w:pPr>
              <w:pStyle w:val="StyleWisnow"/>
              <w:rPr>
                <w:color w:val="000000" w:themeColor="text1"/>
              </w:rPr>
            </w:pPr>
          </w:p>
        </w:tc>
        <w:tc>
          <w:tcPr>
            <w:tcW w:w="4818" w:type="dxa"/>
          </w:tcPr>
          <w:p w14:paraId="3C42E3A4" w14:textId="14C559A1" w:rsidR="009D68B8" w:rsidRPr="00286216" w:rsidRDefault="009D68B8" w:rsidP="009D68B8">
            <w:pPr>
              <w:pStyle w:val="StyleZakonu"/>
              <w:rPr>
                <w:color w:val="000000" w:themeColor="text1"/>
              </w:rPr>
            </w:pPr>
            <w:r w:rsidRPr="00286216">
              <w:rPr>
                <w:color w:val="000000" w:themeColor="text1"/>
              </w:rPr>
              <w:t>1) протягом одного місяця з дати припинення повноважень - у разі, якщо з цією метою не вимагається здійснення процедур публічних закупівель;</w:t>
            </w:r>
          </w:p>
        </w:tc>
      </w:tr>
      <w:tr w:rsidR="009D68B8" w:rsidRPr="00286216" w14:paraId="2791A0B3" w14:textId="77777777" w:rsidTr="00091AA5">
        <w:tc>
          <w:tcPr>
            <w:tcW w:w="576" w:type="dxa"/>
          </w:tcPr>
          <w:p w14:paraId="123B8E5C" w14:textId="77777777" w:rsidR="009D68B8" w:rsidRPr="00286216" w:rsidRDefault="009D68B8" w:rsidP="009D68B8">
            <w:pPr>
              <w:pStyle w:val="StyleWisnow"/>
              <w:rPr>
                <w:color w:val="000000" w:themeColor="text1"/>
              </w:rPr>
            </w:pPr>
            <w:bookmarkStart w:id="1687" w:name="n1937" w:colFirst="0" w:colLast="0"/>
            <w:bookmarkEnd w:id="1686"/>
            <w:r w:rsidRPr="00286216">
              <w:rPr>
                <w:color w:val="000000" w:themeColor="text1"/>
              </w:rPr>
              <w:t>1937.</w:t>
            </w:r>
          </w:p>
        </w:tc>
        <w:tc>
          <w:tcPr>
            <w:tcW w:w="4818" w:type="dxa"/>
          </w:tcPr>
          <w:p w14:paraId="11D122C9" w14:textId="77777777" w:rsidR="009D68B8" w:rsidRPr="00286216" w:rsidRDefault="009D68B8" w:rsidP="009D68B8">
            <w:pPr>
              <w:pStyle w:val="StyleZakonu"/>
              <w:rPr>
                <w:color w:val="000000" w:themeColor="text1"/>
              </w:rPr>
            </w:pPr>
            <w:r w:rsidRPr="00286216">
              <w:rPr>
                <w:color w:val="000000" w:themeColor="text1"/>
              </w:rPr>
              <w:t>2) протягом трьох місяців з дати припинення повноважень адміністратора - у разі, якщо з цією метою вимагається здійснення процедур публічних закупівель.</w:t>
            </w:r>
          </w:p>
        </w:tc>
        <w:tc>
          <w:tcPr>
            <w:tcW w:w="3686" w:type="dxa"/>
          </w:tcPr>
          <w:p w14:paraId="1F3037D0" w14:textId="77777777" w:rsidR="009D68B8" w:rsidRPr="00286216" w:rsidRDefault="009D68B8" w:rsidP="009D68B8">
            <w:pPr>
              <w:pStyle w:val="StyleProp"/>
              <w:rPr>
                <w:color w:val="000000" w:themeColor="text1"/>
                <w:szCs w:val="18"/>
              </w:rPr>
            </w:pPr>
          </w:p>
        </w:tc>
        <w:tc>
          <w:tcPr>
            <w:tcW w:w="1987" w:type="dxa"/>
          </w:tcPr>
          <w:p w14:paraId="17D9E248" w14:textId="77777777" w:rsidR="009D68B8" w:rsidRPr="00286216" w:rsidRDefault="009D68B8" w:rsidP="009D68B8">
            <w:pPr>
              <w:pStyle w:val="StyleWisnow"/>
              <w:rPr>
                <w:color w:val="000000" w:themeColor="text1"/>
              </w:rPr>
            </w:pPr>
          </w:p>
        </w:tc>
        <w:tc>
          <w:tcPr>
            <w:tcW w:w="4818" w:type="dxa"/>
          </w:tcPr>
          <w:p w14:paraId="1CCAB515" w14:textId="595B2894" w:rsidR="009D68B8" w:rsidRPr="00286216" w:rsidRDefault="009D68B8" w:rsidP="009D68B8">
            <w:pPr>
              <w:pStyle w:val="StyleZakonu"/>
              <w:rPr>
                <w:color w:val="000000" w:themeColor="text1"/>
              </w:rPr>
            </w:pPr>
            <w:r w:rsidRPr="00286216">
              <w:rPr>
                <w:color w:val="000000" w:themeColor="text1"/>
              </w:rPr>
              <w:t>2) протягом трьох місяців з дати припинення повноважень адміністратора - у разі, якщо з цією метою вимагається здійснення процедур публічних закупівель.</w:t>
            </w:r>
          </w:p>
        </w:tc>
      </w:tr>
      <w:tr w:rsidR="009D68B8" w:rsidRPr="00286216" w14:paraId="2016988A" w14:textId="77777777" w:rsidTr="00091AA5">
        <w:tc>
          <w:tcPr>
            <w:tcW w:w="576" w:type="dxa"/>
          </w:tcPr>
          <w:p w14:paraId="18CEC41A" w14:textId="77777777" w:rsidR="009D68B8" w:rsidRPr="00286216" w:rsidRDefault="009D68B8" w:rsidP="009D68B8">
            <w:pPr>
              <w:pStyle w:val="StyleWisnow"/>
              <w:rPr>
                <w:color w:val="000000" w:themeColor="text1"/>
              </w:rPr>
            </w:pPr>
            <w:bookmarkStart w:id="1688" w:name="n1938" w:colFirst="0" w:colLast="0"/>
            <w:bookmarkEnd w:id="1687"/>
            <w:r w:rsidRPr="00286216">
              <w:rPr>
                <w:color w:val="000000" w:themeColor="text1"/>
              </w:rPr>
              <w:t>1938.</w:t>
            </w:r>
          </w:p>
        </w:tc>
        <w:tc>
          <w:tcPr>
            <w:tcW w:w="4818" w:type="dxa"/>
          </w:tcPr>
          <w:p w14:paraId="4F45E173" w14:textId="77777777" w:rsidR="009D68B8" w:rsidRPr="00286216" w:rsidRDefault="009D68B8" w:rsidP="009D68B8">
            <w:pPr>
              <w:pStyle w:val="StyleZakonu"/>
              <w:rPr>
                <w:color w:val="000000" w:themeColor="text1"/>
              </w:rPr>
            </w:pPr>
            <w:r w:rsidRPr="00286216">
              <w:rPr>
                <w:color w:val="000000" w:themeColor="text1"/>
              </w:rPr>
              <w:t>8. Якщо емітент не виконує свого обов’язку щодо внесення змін до інформації про адміністратора в проспекті (рішенні про емісію цінних паперів), інформація про припинення повноважень адміністратора та призначення нового адміністратора розміщується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особою, чиї повноваження припинилися, або особою, призначеною адміністратором, протягом п’яти робочих днів з дня, коли мали бути внесені зміни до інформації про адміністратора в проспект (рішення про емісію цінних паперів).</w:t>
            </w:r>
          </w:p>
        </w:tc>
        <w:tc>
          <w:tcPr>
            <w:tcW w:w="3686" w:type="dxa"/>
          </w:tcPr>
          <w:p w14:paraId="46E6E7F9" w14:textId="2297CAB5" w:rsidR="009D68B8" w:rsidRPr="00286216" w:rsidRDefault="009D68B8" w:rsidP="009D68B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35E0437" w14:textId="77777777" w:rsidR="009D68B8" w:rsidRPr="00286216" w:rsidRDefault="009D68B8" w:rsidP="009D68B8">
            <w:pPr>
              <w:pStyle w:val="StyleProp"/>
              <w:spacing w:line="180" w:lineRule="exact"/>
              <w:rPr>
                <w:color w:val="000000" w:themeColor="text1"/>
                <w:szCs w:val="18"/>
              </w:rPr>
            </w:pPr>
            <w:r w:rsidRPr="00286216">
              <w:rPr>
                <w:color w:val="000000" w:themeColor="text1"/>
                <w:szCs w:val="18"/>
              </w:rPr>
              <w:t>У абзаці восьмому частини першої, абзаці третьому частини другої, абзаці другому частини п’ятої та частині восьмій статті 111 слова «та/або професійних учасників ринків капіталу та організованих товарних» замінити словами «та професійних учасників організованих товарних».</w:t>
            </w:r>
          </w:p>
          <w:p w14:paraId="7FD2ECAF" w14:textId="54DADFD1"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1003</w:t>
            </w:r>
            <w:r w:rsidRPr="00286216">
              <w:rPr>
                <w:color w:val="000000" w:themeColor="text1"/>
                <w:spacing w:val="-5"/>
              </w:rPr>
              <w:fldChar w:fldCharType="end"/>
            </w:r>
            <w:r w:rsidRPr="00286216">
              <w:rPr>
                <w:color w:val="000000" w:themeColor="text1"/>
                <w:spacing w:val="-5"/>
              </w:rPr>
              <w:t>-Н.д.Бєлькова О.В. (Реєстр.картка №403)</w:t>
            </w:r>
          </w:p>
          <w:p w14:paraId="62F5759D" w14:textId="4D2DE352" w:rsidR="009D68B8" w:rsidRPr="00286216" w:rsidRDefault="009D68B8" w:rsidP="009D68B8">
            <w:pPr>
              <w:pStyle w:val="StyleProp"/>
              <w:spacing w:line="180" w:lineRule="exact"/>
              <w:rPr>
                <w:color w:val="000000" w:themeColor="text1"/>
                <w:szCs w:val="18"/>
              </w:rPr>
            </w:pPr>
            <w:r w:rsidRPr="00286216">
              <w:rPr>
                <w:color w:val="000000" w:themeColor="text1"/>
              </w:rPr>
              <w:t xml:space="preserve">В частині восьмій статті 111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w:t>
            </w:r>
            <w:r w:rsidRPr="00286216">
              <w:rPr>
                <w:color w:val="000000" w:themeColor="text1"/>
                <w:szCs w:val="18"/>
              </w:rPr>
              <w:t>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7DADE5B1" w14:textId="77777777" w:rsidR="009D68B8" w:rsidRPr="00286216" w:rsidRDefault="009D68B8" w:rsidP="009D68B8">
            <w:pPr>
              <w:pStyle w:val="StyleWisnow"/>
              <w:rPr>
                <w:color w:val="000000" w:themeColor="text1"/>
              </w:rPr>
            </w:pPr>
            <w:r w:rsidRPr="00286216">
              <w:rPr>
                <w:color w:val="000000" w:themeColor="text1"/>
              </w:rPr>
              <w:t>Враховано по суті</w:t>
            </w:r>
          </w:p>
          <w:p w14:paraId="1351B974" w14:textId="77777777" w:rsidR="009D68B8" w:rsidRPr="00286216" w:rsidRDefault="009D68B8" w:rsidP="009D68B8">
            <w:pPr>
              <w:pStyle w:val="StyleWisnow"/>
              <w:rPr>
                <w:color w:val="000000" w:themeColor="text1"/>
              </w:rPr>
            </w:pPr>
          </w:p>
          <w:p w14:paraId="41445E3F" w14:textId="77777777" w:rsidR="009D68B8" w:rsidRPr="00286216" w:rsidRDefault="009D68B8" w:rsidP="009D68B8">
            <w:pPr>
              <w:pStyle w:val="StyleWisnow"/>
              <w:rPr>
                <w:color w:val="000000" w:themeColor="text1"/>
              </w:rPr>
            </w:pPr>
          </w:p>
          <w:p w14:paraId="76E07F2F" w14:textId="77777777" w:rsidR="009D68B8" w:rsidRPr="00286216" w:rsidRDefault="009D68B8" w:rsidP="009D68B8">
            <w:pPr>
              <w:pStyle w:val="StyleWisnow"/>
              <w:rPr>
                <w:color w:val="000000" w:themeColor="text1"/>
              </w:rPr>
            </w:pPr>
          </w:p>
          <w:p w14:paraId="1D7C2849" w14:textId="77777777" w:rsidR="009D68B8" w:rsidRPr="00286216" w:rsidRDefault="009D68B8" w:rsidP="009D68B8">
            <w:pPr>
              <w:pStyle w:val="StyleWisnow"/>
              <w:rPr>
                <w:color w:val="000000" w:themeColor="text1"/>
              </w:rPr>
            </w:pPr>
          </w:p>
          <w:p w14:paraId="3F2235E3" w14:textId="77777777" w:rsidR="009D68B8" w:rsidRPr="00286216" w:rsidRDefault="009D68B8" w:rsidP="009D68B8">
            <w:pPr>
              <w:pStyle w:val="StyleWisnow"/>
              <w:rPr>
                <w:color w:val="000000" w:themeColor="text1"/>
              </w:rPr>
            </w:pPr>
          </w:p>
          <w:p w14:paraId="20437659" w14:textId="77777777" w:rsidR="009D68B8" w:rsidRPr="00286216" w:rsidRDefault="009D68B8" w:rsidP="009D68B8">
            <w:pPr>
              <w:pStyle w:val="StyleWisnow"/>
              <w:rPr>
                <w:color w:val="000000" w:themeColor="text1"/>
              </w:rPr>
            </w:pPr>
          </w:p>
          <w:p w14:paraId="3D3CDF97" w14:textId="77777777"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35A73BA" w14:textId="7B0150F0" w:rsidR="009D68B8" w:rsidRPr="00286216" w:rsidRDefault="009D68B8" w:rsidP="009D68B8">
            <w:pPr>
              <w:pStyle w:val="StyleZakonu"/>
              <w:rPr>
                <w:color w:val="000000" w:themeColor="text1"/>
              </w:rPr>
            </w:pPr>
            <w:r w:rsidRPr="00286216">
              <w:rPr>
                <w:color w:val="000000" w:themeColor="text1"/>
              </w:rPr>
              <w:t xml:space="preserve">8. Якщо емітент не виконує свого обов’язку щодо внесення змін до інформації про адміністратора в проспекті (рішенні про емісію), інформація про припинення повноважень адміністратора та призначення нового адміністратора розміщується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xml:space="preserve"> особою, чиї повноваження припинилися, або особою, призначеною адміністратором, протягом п’яти робочих днів з дня, коли мали бути внесені зміни до інформації про адміністратора в проспект (рішення про емісію).</w:t>
            </w:r>
          </w:p>
        </w:tc>
      </w:tr>
      <w:tr w:rsidR="009D68B8" w:rsidRPr="00286216" w14:paraId="4904741B" w14:textId="77777777" w:rsidTr="00091AA5">
        <w:tc>
          <w:tcPr>
            <w:tcW w:w="576" w:type="dxa"/>
          </w:tcPr>
          <w:p w14:paraId="1DE6A42D" w14:textId="77777777" w:rsidR="009D68B8" w:rsidRPr="00286216" w:rsidRDefault="009D68B8" w:rsidP="009D68B8">
            <w:pPr>
              <w:pStyle w:val="StyleWisnow"/>
              <w:rPr>
                <w:color w:val="000000" w:themeColor="text1"/>
              </w:rPr>
            </w:pPr>
            <w:bookmarkStart w:id="1689" w:name="n1939" w:colFirst="0" w:colLast="0"/>
            <w:bookmarkEnd w:id="1688"/>
            <w:r w:rsidRPr="00286216">
              <w:rPr>
                <w:color w:val="000000" w:themeColor="text1"/>
              </w:rPr>
              <w:t>1939.</w:t>
            </w:r>
          </w:p>
        </w:tc>
        <w:tc>
          <w:tcPr>
            <w:tcW w:w="4818" w:type="dxa"/>
          </w:tcPr>
          <w:p w14:paraId="3435151C" w14:textId="77777777" w:rsidR="009D68B8" w:rsidRPr="00286216" w:rsidRDefault="009D68B8" w:rsidP="009D68B8">
            <w:pPr>
              <w:pStyle w:val="StyleZakonu"/>
              <w:rPr>
                <w:color w:val="000000" w:themeColor="text1"/>
              </w:rPr>
            </w:pPr>
            <w:r w:rsidRPr="00286216">
              <w:rPr>
                <w:color w:val="000000" w:themeColor="text1"/>
              </w:rPr>
              <w:t xml:space="preserve">9. У випадку неопублікування інформації, як </w:t>
            </w:r>
            <w:r w:rsidRPr="00286216">
              <w:rPr>
                <w:color w:val="000000" w:themeColor="text1"/>
              </w:rPr>
              <w:lastRenderedPageBreak/>
              <w:t>передбачено частинами п’ятою та восьмою цієї статті, таку публікацію протягом п’яти робочих днів з дня, коли відповідна інформація мала бути опублікована, здійснює Національна комісія з цінних паперів та фондового ринку.</w:t>
            </w:r>
          </w:p>
        </w:tc>
        <w:tc>
          <w:tcPr>
            <w:tcW w:w="3686" w:type="dxa"/>
          </w:tcPr>
          <w:p w14:paraId="7377A6F0" w14:textId="77777777" w:rsidR="009D68B8" w:rsidRPr="00286216" w:rsidRDefault="009D68B8" w:rsidP="009D68B8">
            <w:pPr>
              <w:pStyle w:val="StyleProp"/>
              <w:rPr>
                <w:color w:val="000000" w:themeColor="text1"/>
                <w:szCs w:val="18"/>
              </w:rPr>
            </w:pPr>
          </w:p>
        </w:tc>
        <w:tc>
          <w:tcPr>
            <w:tcW w:w="1987" w:type="dxa"/>
          </w:tcPr>
          <w:p w14:paraId="504C483D" w14:textId="77777777" w:rsidR="009D68B8" w:rsidRPr="00286216" w:rsidRDefault="009D68B8" w:rsidP="009D68B8">
            <w:pPr>
              <w:pStyle w:val="StyleWisnow"/>
              <w:rPr>
                <w:color w:val="000000" w:themeColor="text1"/>
              </w:rPr>
            </w:pPr>
          </w:p>
        </w:tc>
        <w:tc>
          <w:tcPr>
            <w:tcW w:w="4818" w:type="dxa"/>
          </w:tcPr>
          <w:p w14:paraId="197C1A2A" w14:textId="7B31A9E2" w:rsidR="009D68B8" w:rsidRPr="00286216" w:rsidRDefault="009D68B8" w:rsidP="009D68B8">
            <w:pPr>
              <w:pStyle w:val="StyleZakonu"/>
              <w:rPr>
                <w:color w:val="000000" w:themeColor="text1"/>
              </w:rPr>
            </w:pPr>
            <w:r w:rsidRPr="00286216">
              <w:rPr>
                <w:color w:val="000000" w:themeColor="text1"/>
              </w:rPr>
              <w:t xml:space="preserve">9. У разі неопублікування інформації, </w:t>
            </w:r>
            <w:r w:rsidRPr="00286216">
              <w:rPr>
                <w:color w:val="000000" w:themeColor="text1"/>
              </w:rPr>
              <w:lastRenderedPageBreak/>
              <w:t>передбаченої частинами п’ятою та восьмою цієї статті, таку публікацію протягом п’яти робочих днів з дня, коли відповідна інформація мала бути опублікована, здійснює Національна комісія з цінних паперів та фондового ринку.</w:t>
            </w:r>
          </w:p>
        </w:tc>
      </w:tr>
      <w:tr w:rsidR="009D68B8" w:rsidRPr="00286216" w14:paraId="6D2C918E" w14:textId="77777777" w:rsidTr="00091AA5">
        <w:tc>
          <w:tcPr>
            <w:tcW w:w="576" w:type="dxa"/>
          </w:tcPr>
          <w:p w14:paraId="4AE70826" w14:textId="77777777" w:rsidR="009D68B8" w:rsidRPr="00286216" w:rsidRDefault="009D68B8" w:rsidP="009D68B8">
            <w:pPr>
              <w:pStyle w:val="StyleWisnow"/>
              <w:rPr>
                <w:color w:val="000000" w:themeColor="text1"/>
              </w:rPr>
            </w:pPr>
            <w:bookmarkStart w:id="1690" w:name="n1940" w:colFirst="0" w:colLast="0"/>
            <w:bookmarkEnd w:id="1689"/>
            <w:r w:rsidRPr="00286216">
              <w:rPr>
                <w:color w:val="000000" w:themeColor="text1"/>
              </w:rPr>
              <w:lastRenderedPageBreak/>
              <w:t>1940.</w:t>
            </w:r>
          </w:p>
        </w:tc>
        <w:tc>
          <w:tcPr>
            <w:tcW w:w="4818" w:type="dxa"/>
          </w:tcPr>
          <w:p w14:paraId="1C307991" w14:textId="77777777" w:rsidR="009D68B8" w:rsidRPr="00286216" w:rsidRDefault="009D68B8" w:rsidP="009D68B8">
            <w:pPr>
              <w:pStyle w:val="StyleZakonu"/>
              <w:rPr>
                <w:color w:val="000000" w:themeColor="text1"/>
              </w:rPr>
            </w:pPr>
            <w:r w:rsidRPr="00286216">
              <w:rPr>
                <w:color w:val="000000" w:themeColor="text1"/>
              </w:rPr>
              <w:t>10. У разі скасування реєстрації випуску облігацій одночасно припиняються повноваження адміністратора.</w:t>
            </w:r>
          </w:p>
        </w:tc>
        <w:tc>
          <w:tcPr>
            <w:tcW w:w="3686" w:type="dxa"/>
          </w:tcPr>
          <w:p w14:paraId="0AB46866" w14:textId="77777777" w:rsidR="009D68B8" w:rsidRPr="00286216" w:rsidRDefault="009D68B8" w:rsidP="009D68B8">
            <w:pPr>
              <w:pStyle w:val="StyleProp"/>
              <w:rPr>
                <w:color w:val="000000" w:themeColor="text1"/>
                <w:szCs w:val="18"/>
              </w:rPr>
            </w:pPr>
          </w:p>
        </w:tc>
        <w:tc>
          <w:tcPr>
            <w:tcW w:w="1987" w:type="dxa"/>
          </w:tcPr>
          <w:p w14:paraId="4615D7C9" w14:textId="77777777" w:rsidR="009D68B8" w:rsidRPr="00286216" w:rsidRDefault="009D68B8" w:rsidP="009D68B8">
            <w:pPr>
              <w:pStyle w:val="StyleWisnow"/>
              <w:rPr>
                <w:color w:val="000000" w:themeColor="text1"/>
              </w:rPr>
            </w:pPr>
          </w:p>
        </w:tc>
        <w:tc>
          <w:tcPr>
            <w:tcW w:w="4818" w:type="dxa"/>
          </w:tcPr>
          <w:p w14:paraId="4F0425D7" w14:textId="6B9F1007" w:rsidR="009D68B8" w:rsidRPr="00286216" w:rsidRDefault="009D68B8" w:rsidP="009D68B8">
            <w:pPr>
              <w:pStyle w:val="StyleZakonu"/>
              <w:rPr>
                <w:color w:val="000000" w:themeColor="text1"/>
              </w:rPr>
            </w:pPr>
            <w:r w:rsidRPr="00286216">
              <w:rPr>
                <w:color w:val="000000" w:themeColor="text1"/>
              </w:rPr>
              <w:t>10. У разі скасування реєстрації випуску облігацій одночасно припиняються повноваження адміністратора.</w:t>
            </w:r>
          </w:p>
        </w:tc>
      </w:tr>
      <w:tr w:rsidR="009D68B8" w:rsidRPr="00286216" w14:paraId="26B9A75E" w14:textId="77777777" w:rsidTr="00091AA5">
        <w:tc>
          <w:tcPr>
            <w:tcW w:w="576" w:type="dxa"/>
          </w:tcPr>
          <w:p w14:paraId="61D8D65E" w14:textId="77777777" w:rsidR="009D68B8" w:rsidRPr="00286216" w:rsidRDefault="009D68B8" w:rsidP="009D68B8">
            <w:pPr>
              <w:pStyle w:val="StyleWisnow"/>
              <w:rPr>
                <w:color w:val="000000" w:themeColor="text1"/>
              </w:rPr>
            </w:pPr>
            <w:bookmarkStart w:id="1691" w:name="n1941" w:colFirst="0" w:colLast="0"/>
            <w:bookmarkEnd w:id="1690"/>
            <w:r w:rsidRPr="00286216">
              <w:rPr>
                <w:color w:val="000000" w:themeColor="text1"/>
              </w:rPr>
              <w:t>1941.</w:t>
            </w:r>
          </w:p>
        </w:tc>
        <w:tc>
          <w:tcPr>
            <w:tcW w:w="4818" w:type="dxa"/>
          </w:tcPr>
          <w:p w14:paraId="56A4AFA3" w14:textId="77777777" w:rsidR="009D68B8" w:rsidRPr="00286216" w:rsidRDefault="009D68B8" w:rsidP="009D68B8">
            <w:pPr>
              <w:pStyle w:val="StyleZakonu"/>
              <w:rPr>
                <w:color w:val="000000" w:themeColor="text1"/>
              </w:rPr>
            </w:pPr>
            <w:r w:rsidRPr="00286216">
              <w:rPr>
                <w:color w:val="000000" w:themeColor="text1"/>
              </w:rPr>
              <w:t>У випадку, якщо скасування реєстрації випуску облігацій втратило юридичну силу та на момент такого скасування за випуском облігацій був призначений адміністратор (або в емітента існував обов’язок щодо його призначення), емітент зобов’язаний призначити нового адміністратора відповідно до частини сьомої цієї статті.</w:t>
            </w:r>
          </w:p>
        </w:tc>
        <w:tc>
          <w:tcPr>
            <w:tcW w:w="3686" w:type="dxa"/>
          </w:tcPr>
          <w:p w14:paraId="06F2D1BE" w14:textId="77777777" w:rsidR="009D68B8" w:rsidRPr="00286216" w:rsidRDefault="009D68B8" w:rsidP="009D68B8">
            <w:pPr>
              <w:pStyle w:val="StyleProp"/>
              <w:rPr>
                <w:color w:val="000000" w:themeColor="text1"/>
                <w:szCs w:val="18"/>
              </w:rPr>
            </w:pPr>
          </w:p>
        </w:tc>
        <w:tc>
          <w:tcPr>
            <w:tcW w:w="1987" w:type="dxa"/>
          </w:tcPr>
          <w:p w14:paraId="2C650B1D" w14:textId="77777777" w:rsidR="009D68B8" w:rsidRPr="00286216" w:rsidRDefault="009D68B8" w:rsidP="009D68B8">
            <w:pPr>
              <w:pStyle w:val="StyleWisnow"/>
              <w:rPr>
                <w:color w:val="000000" w:themeColor="text1"/>
              </w:rPr>
            </w:pPr>
          </w:p>
        </w:tc>
        <w:tc>
          <w:tcPr>
            <w:tcW w:w="4818" w:type="dxa"/>
          </w:tcPr>
          <w:p w14:paraId="3B682E01" w14:textId="61BCD435" w:rsidR="009D68B8" w:rsidRPr="00286216" w:rsidRDefault="009D68B8" w:rsidP="009D68B8">
            <w:pPr>
              <w:pStyle w:val="StyleZakonu"/>
              <w:rPr>
                <w:color w:val="000000" w:themeColor="text1"/>
              </w:rPr>
            </w:pPr>
            <w:r w:rsidRPr="00286216">
              <w:rPr>
                <w:color w:val="000000" w:themeColor="text1"/>
              </w:rPr>
              <w:t>У разі, якщо скасування реєстрації випуску облігацій втратило юридичну силу та на момент такого скасування за випуском облігацій був призначений адміністратор (або в емітента існував обов’язок щодо його призначення), емітент зобов’язаний призначити нового адміністратора відповідно до частини сьомої цієї статті.</w:t>
            </w:r>
          </w:p>
        </w:tc>
      </w:tr>
      <w:tr w:rsidR="009D68B8" w:rsidRPr="00286216" w14:paraId="3EF774BE" w14:textId="77777777" w:rsidTr="00091AA5">
        <w:tc>
          <w:tcPr>
            <w:tcW w:w="576" w:type="dxa"/>
          </w:tcPr>
          <w:p w14:paraId="3B56942B" w14:textId="77777777" w:rsidR="009D68B8" w:rsidRPr="00286216" w:rsidRDefault="009D68B8" w:rsidP="009D68B8">
            <w:pPr>
              <w:pStyle w:val="StyleWisnow"/>
              <w:rPr>
                <w:color w:val="000000" w:themeColor="text1"/>
              </w:rPr>
            </w:pPr>
            <w:bookmarkStart w:id="1692" w:name="n1942" w:colFirst="0" w:colLast="0"/>
            <w:bookmarkEnd w:id="1691"/>
            <w:r w:rsidRPr="00286216">
              <w:rPr>
                <w:color w:val="000000" w:themeColor="text1"/>
              </w:rPr>
              <w:t>1942.</w:t>
            </w:r>
          </w:p>
        </w:tc>
        <w:tc>
          <w:tcPr>
            <w:tcW w:w="4818" w:type="dxa"/>
          </w:tcPr>
          <w:p w14:paraId="037F195B" w14:textId="77777777" w:rsidR="009D68B8" w:rsidRPr="00286216" w:rsidRDefault="009D68B8" w:rsidP="009D68B8">
            <w:pPr>
              <w:pStyle w:val="StyleZakonu"/>
              <w:rPr>
                <w:color w:val="000000" w:themeColor="text1"/>
              </w:rPr>
            </w:pPr>
            <w:bookmarkStart w:id="1693" w:name="_Ref16418746"/>
            <w:r w:rsidRPr="00286216">
              <w:rPr>
                <w:color w:val="000000" w:themeColor="text1"/>
              </w:rPr>
              <w:t>Стаття 112. Договір про призначення адміністратора</w:t>
            </w:r>
            <w:bookmarkEnd w:id="1693"/>
          </w:p>
        </w:tc>
        <w:tc>
          <w:tcPr>
            <w:tcW w:w="3686" w:type="dxa"/>
          </w:tcPr>
          <w:p w14:paraId="3DFC6278" w14:textId="77777777" w:rsidR="009D68B8" w:rsidRPr="00286216" w:rsidRDefault="009D68B8" w:rsidP="009D68B8">
            <w:pPr>
              <w:pStyle w:val="StyleProp"/>
              <w:rPr>
                <w:color w:val="000000" w:themeColor="text1"/>
                <w:szCs w:val="18"/>
              </w:rPr>
            </w:pPr>
          </w:p>
        </w:tc>
        <w:tc>
          <w:tcPr>
            <w:tcW w:w="1987" w:type="dxa"/>
          </w:tcPr>
          <w:p w14:paraId="165A6818" w14:textId="77777777" w:rsidR="009D68B8" w:rsidRPr="00286216" w:rsidRDefault="009D68B8" w:rsidP="009D68B8">
            <w:pPr>
              <w:pStyle w:val="StyleWisnow"/>
              <w:rPr>
                <w:color w:val="000000" w:themeColor="text1"/>
              </w:rPr>
            </w:pPr>
          </w:p>
        </w:tc>
        <w:tc>
          <w:tcPr>
            <w:tcW w:w="4818" w:type="dxa"/>
          </w:tcPr>
          <w:p w14:paraId="255813AC" w14:textId="5AC5AF09" w:rsidR="009D68B8" w:rsidRPr="00286216" w:rsidRDefault="009D68B8" w:rsidP="009D68B8">
            <w:pPr>
              <w:pStyle w:val="StyleZakonu"/>
              <w:rPr>
                <w:color w:val="000000" w:themeColor="text1"/>
              </w:rPr>
            </w:pPr>
            <w:r w:rsidRPr="00286216">
              <w:rPr>
                <w:color w:val="000000" w:themeColor="text1"/>
              </w:rPr>
              <w:t>Стаття 116. Договір про призначення адміністратора</w:t>
            </w:r>
          </w:p>
        </w:tc>
      </w:tr>
      <w:tr w:rsidR="009D68B8" w:rsidRPr="00286216" w14:paraId="25F7890C" w14:textId="77777777" w:rsidTr="00091AA5">
        <w:tc>
          <w:tcPr>
            <w:tcW w:w="576" w:type="dxa"/>
          </w:tcPr>
          <w:p w14:paraId="36466CE6" w14:textId="77777777" w:rsidR="009D68B8" w:rsidRPr="00286216" w:rsidRDefault="009D68B8" w:rsidP="009D68B8">
            <w:pPr>
              <w:pStyle w:val="StyleWisnow"/>
              <w:rPr>
                <w:color w:val="000000" w:themeColor="text1"/>
              </w:rPr>
            </w:pPr>
            <w:bookmarkStart w:id="1694" w:name="n1943" w:colFirst="0" w:colLast="0"/>
            <w:bookmarkEnd w:id="1692"/>
            <w:r w:rsidRPr="00286216">
              <w:rPr>
                <w:color w:val="000000" w:themeColor="text1"/>
              </w:rPr>
              <w:t>1943.</w:t>
            </w:r>
          </w:p>
        </w:tc>
        <w:tc>
          <w:tcPr>
            <w:tcW w:w="4818" w:type="dxa"/>
          </w:tcPr>
          <w:p w14:paraId="46CC7F28" w14:textId="77777777" w:rsidR="009D68B8" w:rsidRPr="00286216" w:rsidRDefault="009D68B8" w:rsidP="009D68B8">
            <w:pPr>
              <w:pStyle w:val="StyleZakonu"/>
              <w:rPr>
                <w:color w:val="000000" w:themeColor="text1"/>
              </w:rPr>
            </w:pPr>
            <w:r w:rsidRPr="00286216">
              <w:rPr>
                <w:color w:val="000000" w:themeColor="text1"/>
              </w:rPr>
              <w:t>1. Емітент та особа, що призначається адміністратором, укладають договір про призначення адміністратора, за яким відповідна особа зобов’язується надавати послуги адміністратора на користь власників облігацій, а емітент зобов’язується оплачувати ці послуги, покривати та відшкодовувати витрати у зв’язку з виконанням адміністратором своїх обов’язків та виконувати інші обов’язки, передбачені договором.</w:t>
            </w:r>
          </w:p>
        </w:tc>
        <w:tc>
          <w:tcPr>
            <w:tcW w:w="3686" w:type="dxa"/>
          </w:tcPr>
          <w:p w14:paraId="2E3705F0" w14:textId="77777777" w:rsidR="009D68B8" w:rsidRPr="00286216" w:rsidRDefault="009D68B8" w:rsidP="009D68B8">
            <w:pPr>
              <w:pStyle w:val="StyleProp"/>
              <w:rPr>
                <w:color w:val="000000" w:themeColor="text1"/>
                <w:szCs w:val="18"/>
              </w:rPr>
            </w:pPr>
          </w:p>
        </w:tc>
        <w:tc>
          <w:tcPr>
            <w:tcW w:w="1987" w:type="dxa"/>
          </w:tcPr>
          <w:p w14:paraId="0FEB8AF4" w14:textId="77777777" w:rsidR="009D68B8" w:rsidRPr="00286216" w:rsidRDefault="009D68B8" w:rsidP="009D68B8">
            <w:pPr>
              <w:pStyle w:val="StyleWisnow"/>
              <w:rPr>
                <w:color w:val="000000" w:themeColor="text1"/>
              </w:rPr>
            </w:pPr>
          </w:p>
        </w:tc>
        <w:tc>
          <w:tcPr>
            <w:tcW w:w="4818" w:type="dxa"/>
          </w:tcPr>
          <w:p w14:paraId="5A3E600C" w14:textId="5393CD93" w:rsidR="009D68B8" w:rsidRPr="00286216" w:rsidRDefault="009D68B8" w:rsidP="009D68B8">
            <w:pPr>
              <w:pStyle w:val="StyleZakonu"/>
              <w:rPr>
                <w:color w:val="000000" w:themeColor="text1"/>
              </w:rPr>
            </w:pPr>
            <w:r w:rsidRPr="00286216">
              <w:rPr>
                <w:color w:val="000000" w:themeColor="text1"/>
              </w:rPr>
              <w:t>1. Емітент та особа, яка призначається адміністратором, укладають договір про призначення адміністратора, за яким відповідна особа зобов’язується надавати послуги адміністратора на користь власників облігацій, а емітент зобов’язується оплачувати такі послуги, покривати та відшкодовувати витрати у зв’язку з виконанням адміністратором своїх обов’язків та виконувати інші обов’язки, передбачені договором.</w:t>
            </w:r>
          </w:p>
        </w:tc>
      </w:tr>
      <w:tr w:rsidR="009D68B8" w:rsidRPr="00286216" w14:paraId="1F9EF8F8" w14:textId="77777777" w:rsidTr="00091AA5">
        <w:tc>
          <w:tcPr>
            <w:tcW w:w="576" w:type="dxa"/>
          </w:tcPr>
          <w:p w14:paraId="24515F49" w14:textId="77777777" w:rsidR="009D68B8" w:rsidRPr="00286216" w:rsidRDefault="009D68B8" w:rsidP="009D68B8">
            <w:pPr>
              <w:pStyle w:val="StyleWisnow"/>
              <w:rPr>
                <w:color w:val="000000" w:themeColor="text1"/>
              </w:rPr>
            </w:pPr>
            <w:bookmarkStart w:id="1695" w:name="n1944" w:colFirst="0" w:colLast="0"/>
            <w:bookmarkEnd w:id="1694"/>
            <w:r w:rsidRPr="00286216">
              <w:rPr>
                <w:color w:val="000000" w:themeColor="text1"/>
              </w:rPr>
              <w:t>1944.</w:t>
            </w:r>
          </w:p>
        </w:tc>
        <w:tc>
          <w:tcPr>
            <w:tcW w:w="4818" w:type="dxa"/>
          </w:tcPr>
          <w:p w14:paraId="60C149C3" w14:textId="77777777" w:rsidR="009D68B8" w:rsidRPr="00286216" w:rsidRDefault="009D68B8" w:rsidP="009D68B8">
            <w:pPr>
              <w:pStyle w:val="StyleZakonu"/>
              <w:rPr>
                <w:color w:val="000000" w:themeColor="text1"/>
              </w:rPr>
            </w:pPr>
            <w:r w:rsidRPr="00286216">
              <w:rPr>
                <w:color w:val="000000" w:themeColor="text1"/>
              </w:rPr>
              <w:t>2. У випадку, передбаченому частиною шостою статті 110 цього Закону, оплата послуг адміністратора, покриття та відшкодування його витрат може здійснюватися відповідно до умов договору про призначення адміністратора з іншою особою, уповноваженою зборами власників облігацій на укладення такого договору з особою, обраною адміністратором.</w:t>
            </w:r>
          </w:p>
        </w:tc>
        <w:tc>
          <w:tcPr>
            <w:tcW w:w="3686" w:type="dxa"/>
          </w:tcPr>
          <w:p w14:paraId="777A7BE1" w14:textId="1F47D00F"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1004</w:t>
            </w:r>
            <w:r w:rsidRPr="00286216">
              <w:rPr>
                <w:color w:val="000000" w:themeColor="text1"/>
                <w:spacing w:val="-5"/>
              </w:rPr>
              <w:fldChar w:fldCharType="end"/>
            </w:r>
            <w:r w:rsidRPr="00286216">
              <w:rPr>
                <w:color w:val="000000" w:themeColor="text1"/>
                <w:spacing w:val="-5"/>
              </w:rPr>
              <w:t>-Н.д.Бєлькова О.В. (Реєстр.картка №403)</w:t>
            </w:r>
          </w:p>
          <w:p w14:paraId="72379A4C" w14:textId="0A6D0AC4" w:rsidR="009D68B8" w:rsidRPr="00286216" w:rsidRDefault="009D68B8" w:rsidP="009D68B8">
            <w:pPr>
              <w:pStyle w:val="StyleProp"/>
              <w:rPr>
                <w:color w:val="000000" w:themeColor="text1"/>
                <w:szCs w:val="18"/>
              </w:rPr>
            </w:pPr>
            <w:r w:rsidRPr="00286216">
              <w:rPr>
                <w:color w:val="000000" w:themeColor="text1"/>
              </w:rPr>
              <w:t>У статті 112 слово "покриття" виключити.</w:t>
            </w:r>
          </w:p>
        </w:tc>
        <w:tc>
          <w:tcPr>
            <w:tcW w:w="1987" w:type="dxa"/>
          </w:tcPr>
          <w:p w14:paraId="5A275B5B" w14:textId="417E3265"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32E894BE" w14:textId="571C30B5" w:rsidR="009D68B8" w:rsidRPr="00286216" w:rsidRDefault="009D68B8" w:rsidP="009D68B8">
            <w:pPr>
              <w:pStyle w:val="StyleZakonu"/>
              <w:rPr>
                <w:color w:val="000000" w:themeColor="text1"/>
              </w:rPr>
            </w:pPr>
            <w:r w:rsidRPr="00286216">
              <w:rPr>
                <w:color w:val="000000" w:themeColor="text1"/>
              </w:rPr>
              <w:t>2. У випадку, передбаченому частиною шостою статті 114 цього Закону, оплата послуг адміністратора та відшкодування його витрат може здійснюватися відповідно до умов договору про призначення адміністратора з іншою особою, уповноваженою зборами власників облігацій на укладення такого договору з особою, обраною адміністратором.</w:t>
            </w:r>
          </w:p>
        </w:tc>
      </w:tr>
      <w:tr w:rsidR="009D68B8" w:rsidRPr="00286216" w14:paraId="2C695633" w14:textId="77777777" w:rsidTr="00091AA5">
        <w:tc>
          <w:tcPr>
            <w:tcW w:w="576" w:type="dxa"/>
          </w:tcPr>
          <w:p w14:paraId="30C2018F" w14:textId="77777777" w:rsidR="009D68B8" w:rsidRPr="00286216" w:rsidRDefault="009D68B8" w:rsidP="009D68B8">
            <w:pPr>
              <w:pStyle w:val="StyleWisnow"/>
              <w:rPr>
                <w:color w:val="000000" w:themeColor="text1"/>
              </w:rPr>
            </w:pPr>
            <w:bookmarkStart w:id="1696" w:name="n1945" w:colFirst="0" w:colLast="0"/>
            <w:bookmarkEnd w:id="1695"/>
            <w:r w:rsidRPr="00286216">
              <w:rPr>
                <w:color w:val="000000" w:themeColor="text1"/>
              </w:rPr>
              <w:t>1945.</w:t>
            </w:r>
          </w:p>
        </w:tc>
        <w:tc>
          <w:tcPr>
            <w:tcW w:w="4818" w:type="dxa"/>
          </w:tcPr>
          <w:p w14:paraId="1DC29F05" w14:textId="77777777" w:rsidR="009D68B8" w:rsidRPr="00286216" w:rsidRDefault="009D68B8" w:rsidP="009D68B8">
            <w:pPr>
              <w:pStyle w:val="StyleZakonu"/>
              <w:rPr>
                <w:color w:val="000000" w:themeColor="text1"/>
              </w:rPr>
            </w:pPr>
            <w:r w:rsidRPr="00286216">
              <w:rPr>
                <w:color w:val="000000" w:themeColor="text1"/>
              </w:rPr>
              <w:t>Особа, яка здійснила оплату послуг адміністратора, покриття та відшкодування його витрат має право на відшкодування своїх витрат емітентом у розумному розмірі. У разі, якщо сума, надана такою особою, не була у повному обсязі використана, адміністратор зобов’язаний повернути її залишок такій особі.</w:t>
            </w:r>
          </w:p>
        </w:tc>
        <w:tc>
          <w:tcPr>
            <w:tcW w:w="3686" w:type="dxa"/>
          </w:tcPr>
          <w:p w14:paraId="4A17C776" w14:textId="6F08E6E6"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1005</w:t>
            </w:r>
            <w:r w:rsidRPr="00286216">
              <w:rPr>
                <w:color w:val="000000" w:themeColor="text1"/>
                <w:spacing w:val="-5"/>
              </w:rPr>
              <w:fldChar w:fldCharType="end"/>
            </w:r>
            <w:r w:rsidRPr="00286216">
              <w:rPr>
                <w:color w:val="000000" w:themeColor="text1"/>
                <w:spacing w:val="-5"/>
              </w:rPr>
              <w:t>-Н.д.Бєлькова О.В. (Реєстр.картка №403)</w:t>
            </w:r>
          </w:p>
          <w:p w14:paraId="4E5B5503" w14:textId="0AE2EB00" w:rsidR="009D68B8" w:rsidRPr="00286216" w:rsidRDefault="009D68B8" w:rsidP="009D68B8">
            <w:pPr>
              <w:pStyle w:val="StyleProp"/>
              <w:rPr>
                <w:color w:val="000000" w:themeColor="text1"/>
                <w:szCs w:val="18"/>
              </w:rPr>
            </w:pPr>
            <w:r w:rsidRPr="00286216">
              <w:rPr>
                <w:color w:val="000000" w:themeColor="text1"/>
              </w:rPr>
              <w:t>У статті 112 слово "покриття" виключити.</w:t>
            </w:r>
          </w:p>
        </w:tc>
        <w:tc>
          <w:tcPr>
            <w:tcW w:w="1987" w:type="dxa"/>
          </w:tcPr>
          <w:p w14:paraId="20D937E6" w14:textId="33305F78"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484223EF" w14:textId="6F0ADD0A" w:rsidR="009D68B8" w:rsidRPr="00286216" w:rsidRDefault="009D68B8" w:rsidP="009D68B8">
            <w:pPr>
              <w:pStyle w:val="StyleZakonu"/>
              <w:rPr>
                <w:color w:val="000000" w:themeColor="text1"/>
              </w:rPr>
            </w:pPr>
            <w:r w:rsidRPr="00286216">
              <w:rPr>
                <w:color w:val="000000" w:themeColor="text1"/>
              </w:rPr>
              <w:t>Особа, яка здійснила оплату послуг адміністратора та відшкодування його витрат, має право на відшкодування своїх витрат емітентом у розумному розмірі. У разі якщо сума, надана такою особою, не була в повному обсязі використана, адміністратор зобов’язаний повернути її залишок такій особі.</w:t>
            </w:r>
          </w:p>
        </w:tc>
      </w:tr>
      <w:tr w:rsidR="009D68B8" w:rsidRPr="00286216" w14:paraId="4762DA37" w14:textId="77777777" w:rsidTr="00091AA5">
        <w:tc>
          <w:tcPr>
            <w:tcW w:w="576" w:type="dxa"/>
          </w:tcPr>
          <w:p w14:paraId="601CBC37" w14:textId="77777777" w:rsidR="009D68B8" w:rsidRPr="00286216" w:rsidRDefault="009D68B8" w:rsidP="009D68B8">
            <w:pPr>
              <w:pStyle w:val="StyleWisnow"/>
              <w:rPr>
                <w:color w:val="000000" w:themeColor="text1"/>
              </w:rPr>
            </w:pPr>
            <w:bookmarkStart w:id="1697" w:name="n1946" w:colFirst="0" w:colLast="0"/>
            <w:bookmarkEnd w:id="1696"/>
            <w:r w:rsidRPr="00286216">
              <w:rPr>
                <w:color w:val="000000" w:themeColor="text1"/>
              </w:rPr>
              <w:t>1946.</w:t>
            </w:r>
          </w:p>
        </w:tc>
        <w:tc>
          <w:tcPr>
            <w:tcW w:w="4818" w:type="dxa"/>
          </w:tcPr>
          <w:p w14:paraId="496D7414" w14:textId="77777777" w:rsidR="009D68B8" w:rsidRPr="00286216" w:rsidRDefault="009D68B8" w:rsidP="009D68B8">
            <w:pPr>
              <w:pStyle w:val="StyleZakonu"/>
              <w:rPr>
                <w:color w:val="000000" w:themeColor="text1"/>
              </w:rPr>
            </w:pPr>
            <w:r w:rsidRPr="00286216">
              <w:rPr>
                <w:color w:val="000000" w:themeColor="text1"/>
              </w:rPr>
              <w:t xml:space="preserve">3. З дати початку розміщення облігацій договір про призначення адміністратора не може бути розірваний емітентом та/або адміністратором без </w:t>
            </w:r>
            <w:r w:rsidRPr="00286216">
              <w:rPr>
                <w:color w:val="000000" w:themeColor="text1"/>
              </w:rPr>
              <w:lastRenderedPageBreak/>
              <w:t>згоди зборів власників облігацій, крім випадків, передбачених законом.</w:t>
            </w:r>
          </w:p>
        </w:tc>
        <w:tc>
          <w:tcPr>
            <w:tcW w:w="3686" w:type="dxa"/>
          </w:tcPr>
          <w:p w14:paraId="070B04E7" w14:textId="77777777" w:rsidR="009D68B8" w:rsidRPr="00286216" w:rsidRDefault="009D68B8" w:rsidP="009D68B8">
            <w:pPr>
              <w:pStyle w:val="StyleProp"/>
              <w:rPr>
                <w:color w:val="000000" w:themeColor="text1"/>
                <w:szCs w:val="18"/>
              </w:rPr>
            </w:pPr>
          </w:p>
        </w:tc>
        <w:tc>
          <w:tcPr>
            <w:tcW w:w="1987" w:type="dxa"/>
          </w:tcPr>
          <w:p w14:paraId="4CC7B908" w14:textId="77777777" w:rsidR="009D68B8" w:rsidRPr="00286216" w:rsidRDefault="009D68B8" w:rsidP="009D68B8">
            <w:pPr>
              <w:pStyle w:val="StyleWisnow"/>
              <w:rPr>
                <w:color w:val="000000" w:themeColor="text1"/>
              </w:rPr>
            </w:pPr>
          </w:p>
        </w:tc>
        <w:tc>
          <w:tcPr>
            <w:tcW w:w="4818" w:type="dxa"/>
          </w:tcPr>
          <w:p w14:paraId="25123AB4" w14:textId="2C469F26" w:rsidR="009D68B8" w:rsidRPr="00286216" w:rsidRDefault="009D68B8" w:rsidP="009D68B8">
            <w:pPr>
              <w:pStyle w:val="StyleZakonu"/>
              <w:rPr>
                <w:color w:val="000000" w:themeColor="text1"/>
              </w:rPr>
            </w:pPr>
            <w:r w:rsidRPr="00286216">
              <w:rPr>
                <w:color w:val="000000" w:themeColor="text1"/>
              </w:rPr>
              <w:t xml:space="preserve">3. З дати початку розміщення облігацій договір про призначення адміністратора не може бути розірваний емітентом та/або адміністратором без </w:t>
            </w:r>
            <w:r w:rsidRPr="00286216">
              <w:rPr>
                <w:color w:val="000000" w:themeColor="text1"/>
              </w:rPr>
              <w:lastRenderedPageBreak/>
              <w:t>згоди зборів власників облігацій, крім випадків, передбачених законом.</w:t>
            </w:r>
          </w:p>
        </w:tc>
      </w:tr>
      <w:tr w:rsidR="009D68B8" w:rsidRPr="00286216" w14:paraId="6D78044D" w14:textId="77777777" w:rsidTr="00091AA5">
        <w:tc>
          <w:tcPr>
            <w:tcW w:w="576" w:type="dxa"/>
          </w:tcPr>
          <w:p w14:paraId="365A4D1E" w14:textId="77777777" w:rsidR="009D68B8" w:rsidRPr="00286216" w:rsidRDefault="009D68B8" w:rsidP="009D68B8">
            <w:pPr>
              <w:pStyle w:val="StyleWisnow"/>
              <w:rPr>
                <w:color w:val="000000" w:themeColor="text1"/>
              </w:rPr>
            </w:pPr>
            <w:bookmarkStart w:id="1698" w:name="n1947" w:colFirst="0" w:colLast="0"/>
            <w:bookmarkEnd w:id="1697"/>
            <w:r w:rsidRPr="00286216">
              <w:rPr>
                <w:color w:val="000000" w:themeColor="text1"/>
              </w:rPr>
              <w:lastRenderedPageBreak/>
              <w:t>1947.</w:t>
            </w:r>
          </w:p>
        </w:tc>
        <w:tc>
          <w:tcPr>
            <w:tcW w:w="4818" w:type="dxa"/>
          </w:tcPr>
          <w:p w14:paraId="414D4945" w14:textId="77777777" w:rsidR="009D68B8" w:rsidRPr="00286216" w:rsidRDefault="009D68B8" w:rsidP="009D68B8">
            <w:pPr>
              <w:pStyle w:val="StyleZakonu"/>
              <w:rPr>
                <w:color w:val="000000" w:themeColor="text1"/>
              </w:rPr>
            </w:pPr>
            <w:r w:rsidRPr="00286216">
              <w:rPr>
                <w:color w:val="000000" w:themeColor="text1"/>
              </w:rPr>
              <w:t>Умови договору про призначення адміністратора, які обмежують права адміністратора та/або звільняють його від обов’язків, передбачених законом, проспектом (рішенням про емісію цінних паперів) та рішеннями зборів власників облігацій, є нікчемними, якщо інше не передбачено законом.</w:t>
            </w:r>
          </w:p>
        </w:tc>
        <w:tc>
          <w:tcPr>
            <w:tcW w:w="3686" w:type="dxa"/>
          </w:tcPr>
          <w:p w14:paraId="4D00BFF2" w14:textId="77777777" w:rsidR="009D68B8" w:rsidRPr="00286216" w:rsidRDefault="009D68B8" w:rsidP="009D68B8">
            <w:pPr>
              <w:pStyle w:val="StyleProp"/>
              <w:rPr>
                <w:color w:val="000000" w:themeColor="text1"/>
                <w:szCs w:val="18"/>
              </w:rPr>
            </w:pPr>
          </w:p>
        </w:tc>
        <w:tc>
          <w:tcPr>
            <w:tcW w:w="1987" w:type="dxa"/>
          </w:tcPr>
          <w:p w14:paraId="30D085A0" w14:textId="77777777" w:rsidR="009D68B8" w:rsidRPr="00286216" w:rsidRDefault="009D68B8" w:rsidP="009D68B8">
            <w:pPr>
              <w:pStyle w:val="StyleWisnow"/>
              <w:rPr>
                <w:color w:val="000000" w:themeColor="text1"/>
              </w:rPr>
            </w:pPr>
          </w:p>
        </w:tc>
        <w:tc>
          <w:tcPr>
            <w:tcW w:w="4818" w:type="dxa"/>
          </w:tcPr>
          <w:p w14:paraId="4AA31561" w14:textId="367722DA" w:rsidR="009D68B8" w:rsidRPr="00286216" w:rsidRDefault="009D68B8" w:rsidP="009D68B8">
            <w:pPr>
              <w:pStyle w:val="StyleZakonu"/>
              <w:rPr>
                <w:color w:val="000000" w:themeColor="text1"/>
              </w:rPr>
            </w:pPr>
            <w:r w:rsidRPr="00286216">
              <w:rPr>
                <w:color w:val="000000" w:themeColor="text1"/>
              </w:rPr>
              <w:t>Умови договору про призначення адміністратора, які обмежують права адміністратора та/або звільняють його від виконання обов’язків, передбачених законом, проспектом (рішенням про емісію) та рішеннями зборів власників облігацій, є нікчемними, якщо інше не передбачено законом.</w:t>
            </w:r>
          </w:p>
        </w:tc>
      </w:tr>
      <w:tr w:rsidR="009D68B8" w:rsidRPr="00286216" w14:paraId="661EC607" w14:textId="77777777" w:rsidTr="00091AA5">
        <w:tc>
          <w:tcPr>
            <w:tcW w:w="576" w:type="dxa"/>
          </w:tcPr>
          <w:p w14:paraId="3049E48D" w14:textId="77777777" w:rsidR="009D68B8" w:rsidRPr="00286216" w:rsidRDefault="009D68B8" w:rsidP="009D68B8">
            <w:pPr>
              <w:pStyle w:val="StyleWisnow"/>
              <w:rPr>
                <w:color w:val="000000" w:themeColor="text1"/>
              </w:rPr>
            </w:pPr>
            <w:bookmarkStart w:id="1699" w:name="n1948" w:colFirst="0" w:colLast="0"/>
            <w:bookmarkEnd w:id="1698"/>
            <w:r w:rsidRPr="00286216">
              <w:rPr>
                <w:color w:val="000000" w:themeColor="text1"/>
              </w:rPr>
              <w:t>1948.</w:t>
            </w:r>
          </w:p>
        </w:tc>
        <w:tc>
          <w:tcPr>
            <w:tcW w:w="4818" w:type="dxa"/>
          </w:tcPr>
          <w:p w14:paraId="1DD1C254" w14:textId="77777777" w:rsidR="009D68B8" w:rsidRPr="00286216" w:rsidRDefault="009D68B8" w:rsidP="009D68B8">
            <w:pPr>
              <w:pStyle w:val="StyleZakonu"/>
              <w:rPr>
                <w:color w:val="000000" w:themeColor="text1"/>
              </w:rPr>
            </w:pPr>
            <w:r w:rsidRPr="00286216">
              <w:rPr>
                <w:color w:val="000000" w:themeColor="text1"/>
              </w:rPr>
              <w:t>4. Інформація про адміністратора, його права та обов’язки розкривається в проспекті (рішенні про емісію цінних паперів) згідно з вимогами, встановленими Національною комісією з цінних паперів та фондового ринку.</w:t>
            </w:r>
          </w:p>
        </w:tc>
        <w:tc>
          <w:tcPr>
            <w:tcW w:w="3686" w:type="dxa"/>
          </w:tcPr>
          <w:p w14:paraId="1318C079" w14:textId="77777777" w:rsidR="009D68B8" w:rsidRPr="00286216" w:rsidRDefault="009D68B8" w:rsidP="009D68B8">
            <w:pPr>
              <w:pStyle w:val="StyleProp"/>
              <w:rPr>
                <w:color w:val="000000" w:themeColor="text1"/>
                <w:szCs w:val="18"/>
              </w:rPr>
            </w:pPr>
          </w:p>
        </w:tc>
        <w:tc>
          <w:tcPr>
            <w:tcW w:w="1987" w:type="dxa"/>
          </w:tcPr>
          <w:p w14:paraId="379C9F06" w14:textId="77777777" w:rsidR="009D68B8" w:rsidRPr="00286216" w:rsidRDefault="009D68B8" w:rsidP="009D68B8">
            <w:pPr>
              <w:pStyle w:val="StyleWisnow"/>
              <w:rPr>
                <w:color w:val="000000" w:themeColor="text1"/>
              </w:rPr>
            </w:pPr>
          </w:p>
        </w:tc>
        <w:tc>
          <w:tcPr>
            <w:tcW w:w="4818" w:type="dxa"/>
          </w:tcPr>
          <w:p w14:paraId="0E8D8472" w14:textId="4FA628B6" w:rsidR="009D68B8" w:rsidRPr="00286216" w:rsidRDefault="009D68B8" w:rsidP="009D68B8">
            <w:pPr>
              <w:pStyle w:val="StyleZakonu"/>
              <w:rPr>
                <w:color w:val="000000" w:themeColor="text1"/>
              </w:rPr>
            </w:pPr>
            <w:r w:rsidRPr="00286216">
              <w:rPr>
                <w:color w:val="000000" w:themeColor="text1"/>
              </w:rPr>
              <w:t>4. Інформація про адміністратора, його права та обов’язки розкривається у проспекті (рішенні про емісію) згідно з вимогами, встановленими Національною комісією з цінних паперів та фондового ринку.</w:t>
            </w:r>
          </w:p>
        </w:tc>
      </w:tr>
      <w:tr w:rsidR="009D68B8" w:rsidRPr="00286216" w14:paraId="18A44D5C" w14:textId="77777777" w:rsidTr="00091AA5">
        <w:tc>
          <w:tcPr>
            <w:tcW w:w="576" w:type="dxa"/>
          </w:tcPr>
          <w:p w14:paraId="459FF8B9" w14:textId="77777777" w:rsidR="009D68B8" w:rsidRPr="00286216" w:rsidRDefault="009D68B8" w:rsidP="009D68B8">
            <w:pPr>
              <w:pStyle w:val="StyleWisnow"/>
              <w:rPr>
                <w:color w:val="000000" w:themeColor="text1"/>
              </w:rPr>
            </w:pPr>
            <w:bookmarkStart w:id="1700" w:name="n1949" w:colFirst="0" w:colLast="0"/>
            <w:bookmarkEnd w:id="1699"/>
            <w:r w:rsidRPr="00286216">
              <w:rPr>
                <w:color w:val="000000" w:themeColor="text1"/>
              </w:rPr>
              <w:t>1949.</w:t>
            </w:r>
          </w:p>
        </w:tc>
        <w:tc>
          <w:tcPr>
            <w:tcW w:w="4818" w:type="dxa"/>
          </w:tcPr>
          <w:p w14:paraId="2515A68D" w14:textId="77777777" w:rsidR="009D68B8" w:rsidRPr="00286216" w:rsidRDefault="009D68B8" w:rsidP="009D68B8">
            <w:pPr>
              <w:pStyle w:val="StyleZakonu"/>
              <w:rPr>
                <w:color w:val="000000" w:themeColor="text1"/>
              </w:rPr>
            </w:pPr>
            <w:r w:rsidRPr="00286216">
              <w:rPr>
                <w:color w:val="000000" w:themeColor="text1"/>
              </w:rPr>
              <w:t>5. У договорі про призначення адміністратора обов’язково зазначаються умови та порядок притягнення адміністратора до відповідальності за невиконання чи неналежне виконання ним своїх обов’язків, а також обсяг такої відповідальності.</w:t>
            </w:r>
          </w:p>
        </w:tc>
        <w:tc>
          <w:tcPr>
            <w:tcW w:w="3686" w:type="dxa"/>
          </w:tcPr>
          <w:p w14:paraId="4AA344CA" w14:textId="77777777" w:rsidR="009D68B8" w:rsidRPr="00286216" w:rsidRDefault="009D68B8" w:rsidP="009D68B8">
            <w:pPr>
              <w:pStyle w:val="StyleProp"/>
              <w:rPr>
                <w:color w:val="000000" w:themeColor="text1"/>
                <w:szCs w:val="18"/>
              </w:rPr>
            </w:pPr>
          </w:p>
        </w:tc>
        <w:tc>
          <w:tcPr>
            <w:tcW w:w="1987" w:type="dxa"/>
          </w:tcPr>
          <w:p w14:paraId="7492E3DA" w14:textId="77777777" w:rsidR="009D68B8" w:rsidRPr="00286216" w:rsidRDefault="009D68B8" w:rsidP="009D68B8">
            <w:pPr>
              <w:pStyle w:val="StyleWisnow"/>
              <w:rPr>
                <w:color w:val="000000" w:themeColor="text1"/>
              </w:rPr>
            </w:pPr>
          </w:p>
        </w:tc>
        <w:tc>
          <w:tcPr>
            <w:tcW w:w="4818" w:type="dxa"/>
          </w:tcPr>
          <w:p w14:paraId="423C26AB" w14:textId="7BA6C4CD" w:rsidR="009D68B8" w:rsidRPr="00286216" w:rsidRDefault="009D68B8" w:rsidP="009D68B8">
            <w:pPr>
              <w:pStyle w:val="StyleZakonu"/>
              <w:rPr>
                <w:color w:val="000000" w:themeColor="text1"/>
              </w:rPr>
            </w:pPr>
            <w:r w:rsidRPr="00286216">
              <w:rPr>
                <w:color w:val="000000" w:themeColor="text1"/>
              </w:rPr>
              <w:t>5. У договорі про призначення адміністратора обов’язково зазначаються умови та порядок притягнення адміністратора до відповідальності за невиконання чи неналежне виконання ним своїх обов’язків, а також обсяг такої відповідальності.</w:t>
            </w:r>
          </w:p>
        </w:tc>
      </w:tr>
      <w:tr w:rsidR="009D68B8" w:rsidRPr="00286216" w14:paraId="088F945C" w14:textId="77777777" w:rsidTr="00091AA5">
        <w:tc>
          <w:tcPr>
            <w:tcW w:w="576" w:type="dxa"/>
          </w:tcPr>
          <w:p w14:paraId="723870BA" w14:textId="77777777" w:rsidR="009D68B8" w:rsidRPr="00286216" w:rsidRDefault="009D68B8" w:rsidP="009D68B8">
            <w:pPr>
              <w:pStyle w:val="StyleWisnow"/>
              <w:rPr>
                <w:color w:val="000000" w:themeColor="text1"/>
              </w:rPr>
            </w:pPr>
            <w:bookmarkStart w:id="1701" w:name="n1950" w:colFirst="0" w:colLast="0"/>
            <w:bookmarkEnd w:id="1700"/>
            <w:r w:rsidRPr="00286216">
              <w:rPr>
                <w:color w:val="000000" w:themeColor="text1"/>
              </w:rPr>
              <w:t>1950.</w:t>
            </w:r>
          </w:p>
        </w:tc>
        <w:tc>
          <w:tcPr>
            <w:tcW w:w="4818" w:type="dxa"/>
          </w:tcPr>
          <w:p w14:paraId="7A497326" w14:textId="77777777" w:rsidR="009D68B8" w:rsidRPr="00286216" w:rsidRDefault="009D68B8" w:rsidP="009D68B8">
            <w:pPr>
              <w:pStyle w:val="StyleZakonu"/>
              <w:rPr>
                <w:color w:val="000000" w:themeColor="text1"/>
              </w:rPr>
            </w:pPr>
            <w:r w:rsidRPr="00286216">
              <w:rPr>
                <w:color w:val="000000" w:themeColor="text1"/>
              </w:rPr>
              <w:t>Стаття 113. Винагорода адміністратора</w:t>
            </w:r>
          </w:p>
        </w:tc>
        <w:tc>
          <w:tcPr>
            <w:tcW w:w="3686" w:type="dxa"/>
          </w:tcPr>
          <w:p w14:paraId="6ED36214" w14:textId="77777777" w:rsidR="009D68B8" w:rsidRPr="00286216" w:rsidRDefault="009D68B8" w:rsidP="009D68B8">
            <w:pPr>
              <w:pStyle w:val="StyleProp"/>
              <w:rPr>
                <w:color w:val="000000" w:themeColor="text1"/>
                <w:szCs w:val="18"/>
              </w:rPr>
            </w:pPr>
          </w:p>
        </w:tc>
        <w:tc>
          <w:tcPr>
            <w:tcW w:w="1987" w:type="dxa"/>
          </w:tcPr>
          <w:p w14:paraId="3E667B0C" w14:textId="77777777" w:rsidR="009D68B8" w:rsidRPr="00286216" w:rsidRDefault="009D68B8" w:rsidP="009D68B8">
            <w:pPr>
              <w:pStyle w:val="StyleWisnow"/>
              <w:rPr>
                <w:color w:val="000000" w:themeColor="text1"/>
              </w:rPr>
            </w:pPr>
          </w:p>
        </w:tc>
        <w:tc>
          <w:tcPr>
            <w:tcW w:w="4818" w:type="dxa"/>
          </w:tcPr>
          <w:p w14:paraId="7C8B56D8" w14:textId="65E2F2B4" w:rsidR="009D68B8" w:rsidRPr="00286216" w:rsidRDefault="009D68B8" w:rsidP="009D68B8">
            <w:pPr>
              <w:pStyle w:val="StyleZakonu"/>
              <w:rPr>
                <w:color w:val="000000" w:themeColor="text1"/>
              </w:rPr>
            </w:pPr>
            <w:r w:rsidRPr="00286216">
              <w:rPr>
                <w:color w:val="000000" w:themeColor="text1"/>
              </w:rPr>
              <w:t>Стаття 117. Винагорода адміністратора</w:t>
            </w:r>
          </w:p>
        </w:tc>
      </w:tr>
      <w:tr w:rsidR="009D68B8" w:rsidRPr="00286216" w14:paraId="4881C3E6" w14:textId="77777777" w:rsidTr="00091AA5">
        <w:tc>
          <w:tcPr>
            <w:tcW w:w="576" w:type="dxa"/>
          </w:tcPr>
          <w:p w14:paraId="073B3284" w14:textId="77777777" w:rsidR="009D68B8" w:rsidRPr="00286216" w:rsidRDefault="009D68B8" w:rsidP="009D68B8">
            <w:pPr>
              <w:pStyle w:val="StyleWisnow"/>
              <w:rPr>
                <w:color w:val="000000" w:themeColor="text1"/>
              </w:rPr>
            </w:pPr>
            <w:bookmarkStart w:id="1702" w:name="n1951" w:colFirst="0" w:colLast="0"/>
            <w:bookmarkEnd w:id="1701"/>
            <w:r w:rsidRPr="00286216">
              <w:rPr>
                <w:color w:val="000000" w:themeColor="text1"/>
              </w:rPr>
              <w:t>1951.</w:t>
            </w:r>
          </w:p>
        </w:tc>
        <w:tc>
          <w:tcPr>
            <w:tcW w:w="4818" w:type="dxa"/>
          </w:tcPr>
          <w:p w14:paraId="050DA210" w14:textId="77777777" w:rsidR="009D68B8" w:rsidRPr="00286216" w:rsidRDefault="009D68B8" w:rsidP="009D68B8">
            <w:pPr>
              <w:pStyle w:val="StyleZakonu"/>
              <w:rPr>
                <w:color w:val="000000" w:themeColor="text1"/>
              </w:rPr>
            </w:pPr>
            <w:r w:rsidRPr="00286216">
              <w:rPr>
                <w:color w:val="000000" w:themeColor="text1"/>
              </w:rPr>
              <w:t>1. Оплата послуг, покриття та відшкодування витрат адміністратора здійснюється емітентом на підставі договору про призначення адміністратора, якщо інше не передбачено договором та проспектом (рішенням про емісію цінних паперів) (крім випадку, передбаченого частиною другою статті 112 цього Закону).</w:t>
            </w:r>
          </w:p>
        </w:tc>
        <w:tc>
          <w:tcPr>
            <w:tcW w:w="3686" w:type="dxa"/>
          </w:tcPr>
          <w:p w14:paraId="24AB6523" w14:textId="611BF260"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1006</w:t>
            </w:r>
            <w:r w:rsidRPr="00286216">
              <w:rPr>
                <w:color w:val="000000" w:themeColor="text1"/>
                <w:spacing w:val="-5"/>
              </w:rPr>
              <w:fldChar w:fldCharType="end"/>
            </w:r>
            <w:r w:rsidRPr="00286216">
              <w:rPr>
                <w:color w:val="000000" w:themeColor="text1"/>
                <w:spacing w:val="-5"/>
              </w:rPr>
              <w:t>-Н.д.Бєлькова О.В. (Реєстр.картка №403)</w:t>
            </w:r>
          </w:p>
          <w:p w14:paraId="770EE473" w14:textId="24371C19" w:rsidR="009D68B8" w:rsidRPr="00286216" w:rsidRDefault="009D68B8" w:rsidP="009D68B8">
            <w:pPr>
              <w:pStyle w:val="StyleProp"/>
              <w:rPr>
                <w:color w:val="000000" w:themeColor="text1"/>
                <w:szCs w:val="18"/>
              </w:rPr>
            </w:pPr>
            <w:r w:rsidRPr="00286216">
              <w:rPr>
                <w:color w:val="000000" w:themeColor="text1"/>
              </w:rPr>
              <w:t>У статті 113 слово "покриття" виключити.</w:t>
            </w:r>
          </w:p>
        </w:tc>
        <w:tc>
          <w:tcPr>
            <w:tcW w:w="1987" w:type="dxa"/>
          </w:tcPr>
          <w:p w14:paraId="6F4EA780" w14:textId="77777777" w:rsidR="009D68B8" w:rsidRPr="00286216" w:rsidRDefault="009D68B8" w:rsidP="009D68B8">
            <w:pPr>
              <w:pStyle w:val="StyleWisnow"/>
              <w:rPr>
                <w:color w:val="000000" w:themeColor="text1"/>
              </w:rPr>
            </w:pPr>
            <w:r w:rsidRPr="00286216">
              <w:rPr>
                <w:color w:val="000000" w:themeColor="text1"/>
              </w:rPr>
              <w:t>Враховано</w:t>
            </w:r>
          </w:p>
          <w:p w14:paraId="115F092A" w14:textId="36D51FBE" w:rsidR="009D68B8" w:rsidRPr="00286216" w:rsidRDefault="009D68B8" w:rsidP="009D68B8">
            <w:pPr>
              <w:pStyle w:val="StyleWisnow"/>
              <w:spacing w:line="180" w:lineRule="exact"/>
              <w:rPr>
                <w:color w:val="000000" w:themeColor="text1"/>
              </w:rPr>
            </w:pPr>
          </w:p>
        </w:tc>
        <w:tc>
          <w:tcPr>
            <w:tcW w:w="4818" w:type="dxa"/>
          </w:tcPr>
          <w:p w14:paraId="05EF4DA1" w14:textId="7C296D0F" w:rsidR="009D68B8" w:rsidRPr="00286216" w:rsidRDefault="009D68B8" w:rsidP="009D68B8">
            <w:pPr>
              <w:pStyle w:val="StyleZakonu"/>
              <w:rPr>
                <w:color w:val="000000" w:themeColor="text1"/>
              </w:rPr>
            </w:pPr>
            <w:r w:rsidRPr="00286216">
              <w:rPr>
                <w:color w:val="000000" w:themeColor="text1"/>
              </w:rPr>
              <w:t>1. Оплата послуг та відшкодування витрат адміністратора здійснюються емітентом на підставі договору про призначення адміністратора, якщо інше не передбачено договором та проспектом (рішенням про емісію), крім випадку, передбаченого частиною другою статті 116 цього Закону.</w:t>
            </w:r>
          </w:p>
        </w:tc>
      </w:tr>
      <w:tr w:rsidR="009D68B8" w:rsidRPr="00286216" w14:paraId="5A8CE9AD" w14:textId="77777777" w:rsidTr="00091AA5">
        <w:tc>
          <w:tcPr>
            <w:tcW w:w="576" w:type="dxa"/>
          </w:tcPr>
          <w:p w14:paraId="3545210D" w14:textId="77777777" w:rsidR="009D68B8" w:rsidRPr="00286216" w:rsidRDefault="009D68B8" w:rsidP="009D68B8">
            <w:pPr>
              <w:pStyle w:val="StyleWisnow"/>
              <w:rPr>
                <w:color w:val="000000" w:themeColor="text1"/>
              </w:rPr>
            </w:pPr>
            <w:bookmarkStart w:id="1703" w:name="n1952" w:colFirst="0" w:colLast="0"/>
            <w:bookmarkEnd w:id="1702"/>
            <w:r w:rsidRPr="00286216">
              <w:rPr>
                <w:color w:val="000000" w:themeColor="text1"/>
              </w:rPr>
              <w:t>1952.</w:t>
            </w:r>
          </w:p>
        </w:tc>
        <w:tc>
          <w:tcPr>
            <w:tcW w:w="4818" w:type="dxa"/>
          </w:tcPr>
          <w:p w14:paraId="3811C90A" w14:textId="77777777" w:rsidR="009D68B8" w:rsidRPr="00286216" w:rsidRDefault="009D68B8" w:rsidP="009D68B8">
            <w:pPr>
              <w:pStyle w:val="StyleZakonu"/>
              <w:rPr>
                <w:color w:val="000000" w:themeColor="text1"/>
              </w:rPr>
            </w:pPr>
            <w:r w:rsidRPr="00286216">
              <w:rPr>
                <w:color w:val="000000" w:themeColor="text1"/>
              </w:rPr>
              <w:t>Оплата послуг, покриття та відшкодування витрат адміністратора включає:</w:t>
            </w:r>
          </w:p>
        </w:tc>
        <w:tc>
          <w:tcPr>
            <w:tcW w:w="3686" w:type="dxa"/>
          </w:tcPr>
          <w:p w14:paraId="2E6B7B8D" w14:textId="723336BD"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1007</w:t>
            </w:r>
            <w:r w:rsidRPr="00286216">
              <w:rPr>
                <w:color w:val="000000" w:themeColor="text1"/>
                <w:spacing w:val="-5"/>
              </w:rPr>
              <w:fldChar w:fldCharType="end"/>
            </w:r>
            <w:r w:rsidRPr="00286216">
              <w:rPr>
                <w:color w:val="000000" w:themeColor="text1"/>
                <w:spacing w:val="-5"/>
              </w:rPr>
              <w:t>-Н.д.Бєлькова О.В. (Реєстр.картка №403)</w:t>
            </w:r>
          </w:p>
          <w:p w14:paraId="1D5A4BE4" w14:textId="6C6FA1E4" w:rsidR="009D68B8" w:rsidRPr="00286216" w:rsidRDefault="009D68B8" w:rsidP="009D68B8">
            <w:pPr>
              <w:pStyle w:val="StyleProp"/>
              <w:rPr>
                <w:color w:val="000000" w:themeColor="text1"/>
                <w:szCs w:val="18"/>
              </w:rPr>
            </w:pPr>
            <w:r w:rsidRPr="00286216">
              <w:rPr>
                <w:color w:val="000000" w:themeColor="text1"/>
              </w:rPr>
              <w:t>У статті 113 слово "покриття" виключити.</w:t>
            </w:r>
          </w:p>
        </w:tc>
        <w:tc>
          <w:tcPr>
            <w:tcW w:w="1987" w:type="dxa"/>
          </w:tcPr>
          <w:p w14:paraId="2C1E39B4" w14:textId="11A2A796"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E9879FF" w14:textId="16E13DAA" w:rsidR="009D68B8" w:rsidRPr="00286216" w:rsidRDefault="009D68B8" w:rsidP="009D68B8">
            <w:pPr>
              <w:pStyle w:val="StyleZakonu"/>
              <w:rPr>
                <w:color w:val="000000" w:themeColor="text1"/>
              </w:rPr>
            </w:pPr>
            <w:r w:rsidRPr="00286216">
              <w:rPr>
                <w:color w:val="000000" w:themeColor="text1"/>
              </w:rPr>
              <w:t>Оплата послуг та відшкодування витрат адміністратора включають:</w:t>
            </w:r>
          </w:p>
        </w:tc>
      </w:tr>
      <w:tr w:rsidR="009D68B8" w:rsidRPr="00286216" w14:paraId="4FF3D843" w14:textId="77777777" w:rsidTr="00091AA5">
        <w:tc>
          <w:tcPr>
            <w:tcW w:w="576" w:type="dxa"/>
          </w:tcPr>
          <w:p w14:paraId="6AED7AF8" w14:textId="77777777" w:rsidR="009D68B8" w:rsidRPr="00286216" w:rsidRDefault="009D68B8" w:rsidP="009D68B8">
            <w:pPr>
              <w:pStyle w:val="StyleWisnow"/>
              <w:rPr>
                <w:color w:val="000000" w:themeColor="text1"/>
              </w:rPr>
            </w:pPr>
            <w:bookmarkStart w:id="1704" w:name="n1953" w:colFirst="0" w:colLast="0"/>
            <w:bookmarkEnd w:id="1703"/>
            <w:r w:rsidRPr="00286216">
              <w:rPr>
                <w:color w:val="000000" w:themeColor="text1"/>
              </w:rPr>
              <w:t>1953.</w:t>
            </w:r>
          </w:p>
        </w:tc>
        <w:tc>
          <w:tcPr>
            <w:tcW w:w="4818" w:type="dxa"/>
          </w:tcPr>
          <w:p w14:paraId="3393763A" w14:textId="77777777" w:rsidR="009D68B8" w:rsidRPr="00286216" w:rsidRDefault="009D68B8" w:rsidP="009D68B8">
            <w:pPr>
              <w:pStyle w:val="StyleZakonu"/>
              <w:rPr>
                <w:color w:val="000000" w:themeColor="text1"/>
              </w:rPr>
            </w:pPr>
            <w:r w:rsidRPr="00286216">
              <w:rPr>
                <w:color w:val="000000" w:themeColor="text1"/>
              </w:rPr>
              <w:t>1) оплату послуг адміністратора;</w:t>
            </w:r>
          </w:p>
        </w:tc>
        <w:tc>
          <w:tcPr>
            <w:tcW w:w="3686" w:type="dxa"/>
          </w:tcPr>
          <w:p w14:paraId="3B2B6BE8" w14:textId="77777777" w:rsidR="009D68B8" w:rsidRPr="00286216" w:rsidRDefault="009D68B8" w:rsidP="009D68B8">
            <w:pPr>
              <w:pStyle w:val="StyleProp"/>
              <w:rPr>
                <w:color w:val="000000" w:themeColor="text1"/>
                <w:szCs w:val="18"/>
              </w:rPr>
            </w:pPr>
          </w:p>
        </w:tc>
        <w:tc>
          <w:tcPr>
            <w:tcW w:w="1987" w:type="dxa"/>
          </w:tcPr>
          <w:p w14:paraId="0BD77F26" w14:textId="77777777" w:rsidR="009D68B8" w:rsidRPr="00286216" w:rsidRDefault="009D68B8" w:rsidP="009D68B8">
            <w:pPr>
              <w:pStyle w:val="StyleWisnow"/>
              <w:rPr>
                <w:color w:val="000000" w:themeColor="text1"/>
              </w:rPr>
            </w:pPr>
          </w:p>
        </w:tc>
        <w:tc>
          <w:tcPr>
            <w:tcW w:w="4818" w:type="dxa"/>
          </w:tcPr>
          <w:p w14:paraId="65357C71" w14:textId="66D1A9FA" w:rsidR="009D68B8" w:rsidRPr="00286216" w:rsidRDefault="009D68B8" w:rsidP="009D68B8">
            <w:pPr>
              <w:pStyle w:val="StyleZakonu"/>
              <w:rPr>
                <w:color w:val="000000" w:themeColor="text1"/>
              </w:rPr>
            </w:pPr>
            <w:r w:rsidRPr="00286216">
              <w:rPr>
                <w:color w:val="000000" w:themeColor="text1"/>
              </w:rPr>
              <w:t>1) оплату послуг адміністратора;</w:t>
            </w:r>
          </w:p>
        </w:tc>
      </w:tr>
      <w:tr w:rsidR="009D68B8" w:rsidRPr="00286216" w14:paraId="04B5D977" w14:textId="77777777" w:rsidTr="00091AA5">
        <w:tc>
          <w:tcPr>
            <w:tcW w:w="576" w:type="dxa"/>
          </w:tcPr>
          <w:p w14:paraId="58BC5AAE" w14:textId="77777777" w:rsidR="009D68B8" w:rsidRPr="00286216" w:rsidRDefault="009D68B8" w:rsidP="009D68B8">
            <w:pPr>
              <w:pStyle w:val="StyleWisnow"/>
              <w:rPr>
                <w:color w:val="000000" w:themeColor="text1"/>
              </w:rPr>
            </w:pPr>
            <w:bookmarkStart w:id="1705" w:name="n1954" w:colFirst="0" w:colLast="0"/>
            <w:bookmarkEnd w:id="1704"/>
            <w:r w:rsidRPr="00286216">
              <w:rPr>
                <w:color w:val="000000" w:themeColor="text1"/>
              </w:rPr>
              <w:t>1954.</w:t>
            </w:r>
          </w:p>
        </w:tc>
        <w:tc>
          <w:tcPr>
            <w:tcW w:w="4818" w:type="dxa"/>
          </w:tcPr>
          <w:p w14:paraId="4CEFA4F8" w14:textId="77777777" w:rsidR="009D68B8" w:rsidRPr="00286216" w:rsidRDefault="009D68B8" w:rsidP="009D68B8">
            <w:pPr>
              <w:pStyle w:val="StyleZakonu"/>
              <w:rPr>
                <w:color w:val="000000" w:themeColor="text1"/>
              </w:rPr>
            </w:pPr>
            <w:r w:rsidRPr="00286216">
              <w:rPr>
                <w:color w:val="000000" w:themeColor="text1"/>
              </w:rPr>
              <w:t>2) покриття та відшкодування витрат на оплату послуг Центрального депозитарію цінних паперів або Національного банку України на організацію проведення зборів власників облігацій, засідання власників облігацій, інших послуг відповідно до законодавства;</w:t>
            </w:r>
          </w:p>
        </w:tc>
        <w:tc>
          <w:tcPr>
            <w:tcW w:w="3686" w:type="dxa"/>
          </w:tcPr>
          <w:p w14:paraId="2F9F8A12" w14:textId="5C455911"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1008</w:t>
            </w:r>
            <w:r w:rsidRPr="00286216">
              <w:rPr>
                <w:color w:val="000000" w:themeColor="text1"/>
                <w:spacing w:val="-5"/>
              </w:rPr>
              <w:fldChar w:fldCharType="end"/>
            </w:r>
            <w:r w:rsidRPr="00286216">
              <w:rPr>
                <w:color w:val="000000" w:themeColor="text1"/>
                <w:spacing w:val="-5"/>
              </w:rPr>
              <w:t>-Н.д.Бєлькова О.В. (Реєстр.картка №403)</w:t>
            </w:r>
          </w:p>
          <w:p w14:paraId="1168156C" w14:textId="77777777" w:rsidR="009D68B8" w:rsidRPr="00286216" w:rsidRDefault="009D68B8" w:rsidP="009D68B8">
            <w:pPr>
              <w:pStyle w:val="StyleProp"/>
              <w:rPr>
                <w:color w:val="000000" w:themeColor="text1"/>
                <w:spacing w:val="-4"/>
              </w:rPr>
            </w:pPr>
            <w:r w:rsidRPr="00286216">
              <w:rPr>
                <w:color w:val="000000" w:themeColor="text1"/>
                <w:spacing w:val="-4"/>
              </w:rPr>
              <w:t>У статті 113 слова "покриття та" виключити.</w:t>
            </w:r>
          </w:p>
          <w:p w14:paraId="5E31F5A2" w14:textId="456CF490" w:rsidR="009D68B8" w:rsidRPr="00286216" w:rsidRDefault="009D68B8" w:rsidP="009D68B8">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1009</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20989D2E" w14:textId="6FDF02F1" w:rsidR="009D68B8" w:rsidRPr="00286216" w:rsidRDefault="009D68B8" w:rsidP="009D68B8">
            <w:pPr>
              <w:pStyle w:val="StyleProp"/>
              <w:rPr>
                <w:color w:val="000000" w:themeColor="text1"/>
                <w:szCs w:val="18"/>
              </w:rPr>
            </w:pPr>
            <w:r w:rsidRPr="00286216">
              <w:rPr>
                <w:color w:val="000000" w:themeColor="text1"/>
                <w:szCs w:val="18"/>
              </w:rPr>
              <w:t>У пункті 2 частини 1 статті 113 слова «</w:t>
            </w:r>
            <w:r w:rsidRPr="00286216">
              <w:rPr>
                <w:color w:val="000000" w:themeColor="text1"/>
              </w:rPr>
              <w:t>або Національного банку України» виключити</w:t>
            </w:r>
            <w:r w:rsidRPr="00286216">
              <w:rPr>
                <w:color w:val="000000" w:themeColor="text1"/>
                <w:lang w:val="ru-RU"/>
              </w:rPr>
              <w:t>.</w:t>
            </w:r>
          </w:p>
        </w:tc>
        <w:tc>
          <w:tcPr>
            <w:tcW w:w="1987" w:type="dxa"/>
          </w:tcPr>
          <w:p w14:paraId="2DB95F17" w14:textId="77777777" w:rsidR="009D68B8" w:rsidRPr="00286216" w:rsidRDefault="009D68B8" w:rsidP="009D68B8">
            <w:pPr>
              <w:pStyle w:val="StyleWisnow"/>
              <w:rPr>
                <w:color w:val="000000" w:themeColor="text1"/>
              </w:rPr>
            </w:pPr>
            <w:r w:rsidRPr="00286216">
              <w:rPr>
                <w:color w:val="000000" w:themeColor="text1"/>
              </w:rPr>
              <w:t>Враховано</w:t>
            </w:r>
          </w:p>
          <w:p w14:paraId="18662592" w14:textId="77777777" w:rsidR="009D68B8" w:rsidRPr="00286216" w:rsidRDefault="009D68B8" w:rsidP="009D68B8">
            <w:pPr>
              <w:pStyle w:val="StyleWisnow"/>
              <w:rPr>
                <w:color w:val="000000" w:themeColor="text1"/>
              </w:rPr>
            </w:pPr>
          </w:p>
          <w:p w14:paraId="3B209D72" w14:textId="77777777" w:rsidR="009D68B8" w:rsidRPr="00286216" w:rsidRDefault="009D68B8" w:rsidP="009D68B8">
            <w:pPr>
              <w:pStyle w:val="StyleWisnow"/>
              <w:spacing w:line="180" w:lineRule="exact"/>
              <w:rPr>
                <w:color w:val="000000" w:themeColor="text1"/>
              </w:rPr>
            </w:pPr>
            <w:r w:rsidRPr="00286216">
              <w:rPr>
                <w:color w:val="000000" w:themeColor="text1"/>
              </w:rPr>
              <w:t>Враховано</w:t>
            </w:r>
          </w:p>
          <w:p w14:paraId="19D2B472" w14:textId="0B5690EF" w:rsidR="009D68B8" w:rsidRPr="00286216" w:rsidRDefault="009D68B8" w:rsidP="009D68B8">
            <w:pPr>
              <w:pStyle w:val="StyleWisnow"/>
              <w:spacing w:line="180" w:lineRule="exact"/>
              <w:rPr>
                <w:color w:val="000000" w:themeColor="text1"/>
                <w:spacing w:val="-4"/>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 </w:t>
            </w:r>
          </w:p>
        </w:tc>
        <w:tc>
          <w:tcPr>
            <w:tcW w:w="4818" w:type="dxa"/>
          </w:tcPr>
          <w:p w14:paraId="43613EDF" w14:textId="10314040" w:rsidR="009D68B8" w:rsidRPr="00286216" w:rsidRDefault="009D68B8" w:rsidP="009D68B8">
            <w:pPr>
              <w:pStyle w:val="StyleZakonu"/>
              <w:rPr>
                <w:color w:val="000000" w:themeColor="text1"/>
              </w:rPr>
            </w:pPr>
            <w:r w:rsidRPr="00286216">
              <w:rPr>
                <w:color w:val="000000" w:themeColor="text1"/>
              </w:rPr>
              <w:t>2) відшкодування витрат на оплату послуг Центрального депозитарію цінних паперів з організації проведення зборів власників облігацій, засідання власників облігацій, інших послуг відповідно до законодавства;</w:t>
            </w:r>
          </w:p>
        </w:tc>
      </w:tr>
      <w:tr w:rsidR="009D68B8" w:rsidRPr="00286216" w14:paraId="327555A8" w14:textId="77777777" w:rsidTr="00091AA5">
        <w:tc>
          <w:tcPr>
            <w:tcW w:w="576" w:type="dxa"/>
          </w:tcPr>
          <w:p w14:paraId="4F6465A6" w14:textId="77777777" w:rsidR="009D68B8" w:rsidRPr="00286216" w:rsidRDefault="009D68B8" w:rsidP="009D68B8">
            <w:pPr>
              <w:pStyle w:val="StyleWisnow"/>
              <w:rPr>
                <w:color w:val="000000" w:themeColor="text1"/>
              </w:rPr>
            </w:pPr>
            <w:bookmarkStart w:id="1706" w:name="n1955" w:colFirst="0" w:colLast="0"/>
            <w:bookmarkEnd w:id="1705"/>
            <w:r w:rsidRPr="00286216">
              <w:rPr>
                <w:color w:val="000000" w:themeColor="text1"/>
              </w:rPr>
              <w:t>1955.</w:t>
            </w:r>
          </w:p>
        </w:tc>
        <w:tc>
          <w:tcPr>
            <w:tcW w:w="4818" w:type="dxa"/>
          </w:tcPr>
          <w:p w14:paraId="599C6CB7" w14:textId="77777777" w:rsidR="009D68B8" w:rsidRPr="00286216" w:rsidRDefault="009D68B8" w:rsidP="009D68B8">
            <w:pPr>
              <w:pStyle w:val="StyleZakonu"/>
              <w:rPr>
                <w:color w:val="000000" w:themeColor="text1"/>
              </w:rPr>
            </w:pPr>
            <w:r w:rsidRPr="00286216">
              <w:rPr>
                <w:color w:val="000000" w:themeColor="text1"/>
              </w:rPr>
              <w:t>3) покриття та відшкодування витрат, пов’язаних із примусовим зверненням стягнення для погашення заборгованості емітента, особи, яка надає забезпечення за облігаціями;</w:t>
            </w:r>
          </w:p>
        </w:tc>
        <w:tc>
          <w:tcPr>
            <w:tcW w:w="3686" w:type="dxa"/>
          </w:tcPr>
          <w:p w14:paraId="06C90E5C" w14:textId="13BA5B45"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1010</w:t>
            </w:r>
            <w:r w:rsidRPr="00286216">
              <w:rPr>
                <w:color w:val="000000" w:themeColor="text1"/>
                <w:spacing w:val="-5"/>
              </w:rPr>
              <w:fldChar w:fldCharType="end"/>
            </w:r>
            <w:r w:rsidRPr="00286216">
              <w:rPr>
                <w:color w:val="000000" w:themeColor="text1"/>
                <w:spacing w:val="-5"/>
              </w:rPr>
              <w:t>-Н.д.Бєлькова О.В. (Реєстр.картка №403)</w:t>
            </w:r>
          </w:p>
          <w:p w14:paraId="61039965" w14:textId="6A3884CF" w:rsidR="009D68B8" w:rsidRPr="00286216" w:rsidRDefault="009D68B8" w:rsidP="009D68B8">
            <w:pPr>
              <w:pStyle w:val="StyleProp"/>
              <w:rPr>
                <w:color w:val="000000" w:themeColor="text1"/>
                <w:spacing w:val="-3"/>
                <w:szCs w:val="18"/>
              </w:rPr>
            </w:pPr>
            <w:r w:rsidRPr="00286216">
              <w:rPr>
                <w:color w:val="000000" w:themeColor="text1"/>
                <w:spacing w:val="-3"/>
              </w:rPr>
              <w:t>У статті 113 слова "покриття та" виключити.</w:t>
            </w:r>
          </w:p>
        </w:tc>
        <w:tc>
          <w:tcPr>
            <w:tcW w:w="1987" w:type="dxa"/>
          </w:tcPr>
          <w:p w14:paraId="6220ADA0" w14:textId="154BEB8B"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AB1CF95" w14:textId="150BE907" w:rsidR="009D68B8" w:rsidRPr="00286216" w:rsidRDefault="009D68B8" w:rsidP="009D68B8">
            <w:pPr>
              <w:pStyle w:val="StyleZakonu"/>
              <w:rPr>
                <w:color w:val="000000" w:themeColor="text1"/>
              </w:rPr>
            </w:pPr>
            <w:r w:rsidRPr="00286216">
              <w:rPr>
                <w:color w:val="000000" w:themeColor="text1"/>
              </w:rPr>
              <w:t>3) відшкодування витрат, пов’язаних із примусовим зверненням стягнення для погашення заборгованості емітента, особи, яка надає забезпечення за облігаціями;</w:t>
            </w:r>
          </w:p>
        </w:tc>
      </w:tr>
      <w:tr w:rsidR="009D68B8" w:rsidRPr="00286216" w14:paraId="5FADA937" w14:textId="77777777" w:rsidTr="00091AA5">
        <w:tc>
          <w:tcPr>
            <w:tcW w:w="576" w:type="dxa"/>
          </w:tcPr>
          <w:p w14:paraId="5A63CF4B" w14:textId="77777777" w:rsidR="009D68B8" w:rsidRPr="00286216" w:rsidRDefault="009D68B8" w:rsidP="009D68B8">
            <w:pPr>
              <w:pStyle w:val="StyleWisnow"/>
              <w:rPr>
                <w:color w:val="000000" w:themeColor="text1"/>
              </w:rPr>
            </w:pPr>
            <w:bookmarkStart w:id="1707" w:name="n1956" w:colFirst="0" w:colLast="0"/>
            <w:bookmarkEnd w:id="1706"/>
            <w:r w:rsidRPr="00286216">
              <w:rPr>
                <w:color w:val="000000" w:themeColor="text1"/>
              </w:rPr>
              <w:t>1956.</w:t>
            </w:r>
          </w:p>
        </w:tc>
        <w:tc>
          <w:tcPr>
            <w:tcW w:w="4818" w:type="dxa"/>
          </w:tcPr>
          <w:p w14:paraId="4214521A" w14:textId="77777777" w:rsidR="009D68B8" w:rsidRPr="00286216" w:rsidRDefault="009D68B8" w:rsidP="009D68B8">
            <w:pPr>
              <w:pStyle w:val="StyleZakonu"/>
              <w:rPr>
                <w:color w:val="000000" w:themeColor="text1"/>
              </w:rPr>
            </w:pPr>
            <w:r w:rsidRPr="00286216">
              <w:rPr>
                <w:color w:val="000000" w:themeColor="text1"/>
              </w:rPr>
              <w:t xml:space="preserve">4) інші винагороди та витрати згідно з проспектом (рішенням про емісію цінних паперів), договором про призначення адміністратора та рішеннями зборів </w:t>
            </w:r>
            <w:r w:rsidRPr="00286216">
              <w:rPr>
                <w:color w:val="000000" w:themeColor="text1"/>
              </w:rPr>
              <w:lastRenderedPageBreak/>
              <w:t>власників облігацій.</w:t>
            </w:r>
          </w:p>
        </w:tc>
        <w:tc>
          <w:tcPr>
            <w:tcW w:w="3686" w:type="dxa"/>
          </w:tcPr>
          <w:p w14:paraId="209E91D4" w14:textId="77777777" w:rsidR="009D68B8" w:rsidRPr="00286216" w:rsidRDefault="009D68B8" w:rsidP="009D68B8">
            <w:pPr>
              <w:pStyle w:val="StyleProp"/>
              <w:rPr>
                <w:color w:val="000000" w:themeColor="text1"/>
                <w:szCs w:val="18"/>
              </w:rPr>
            </w:pPr>
          </w:p>
        </w:tc>
        <w:tc>
          <w:tcPr>
            <w:tcW w:w="1987" w:type="dxa"/>
          </w:tcPr>
          <w:p w14:paraId="7E4D3872" w14:textId="77777777" w:rsidR="009D68B8" w:rsidRPr="00286216" w:rsidRDefault="009D68B8" w:rsidP="009D68B8">
            <w:pPr>
              <w:pStyle w:val="StyleWisnow"/>
              <w:rPr>
                <w:color w:val="000000" w:themeColor="text1"/>
              </w:rPr>
            </w:pPr>
          </w:p>
        </w:tc>
        <w:tc>
          <w:tcPr>
            <w:tcW w:w="4818" w:type="dxa"/>
          </w:tcPr>
          <w:p w14:paraId="737B63B9" w14:textId="24CE0141" w:rsidR="009D68B8" w:rsidRPr="00286216" w:rsidRDefault="009D68B8" w:rsidP="009D68B8">
            <w:pPr>
              <w:pStyle w:val="StyleZakonu"/>
              <w:rPr>
                <w:color w:val="000000" w:themeColor="text1"/>
              </w:rPr>
            </w:pPr>
            <w:r w:rsidRPr="00286216">
              <w:rPr>
                <w:color w:val="000000" w:themeColor="text1"/>
              </w:rPr>
              <w:t xml:space="preserve">4) інші винагороди та витрати згідно з проспектом (рішенням про емісію), договором про призначення адміністратора та рішеннями зборів власників </w:t>
            </w:r>
            <w:r w:rsidRPr="00286216">
              <w:rPr>
                <w:color w:val="000000" w:themeColor="text1"/>
              </w:rPr>
              <w:lastRenderedPageBreak/>
              <w:t>облігацій.</w:t>
            </w:r>
          </w:p>
        </w:tc>
      </w:tr>
      <w:tr w:rsidR="009D68B8" w:rsidRPr="00286216" w14:paraId="180192CB" w14:textId="77777777" w:rsidTr="00091AA5">
        <w:tc>
          <w:tcPr>
            <w:tcW w:w="576" w:type="dxa"/>
          </w:tcPr>
          <w:p w14:paraId="24418A4F" w14:textId="77777777" w:rsidR="009D68B8" w:rsidRPr="00286216" w:rsidRDefault="009D68B8" w:rsidP="009D68B8">
            <w:pPr>
              <w:pStyle w:val="StyleWisnow"/>
              <w:rPr>
                <w:color w:val="000000" w:themeColor="text1"/>
              </w:rPr>
            </w:pPr>
            <w:bookmarkStart w:id="1708" w:name="n1957" w:colFirst="0" w:colLast="0"/>
            <w:bookmarkEnd w:id="1707"/>
            <w:r w:rsidRPr="00286216">
              <w:rPr>
                <w:color w:val="000000" w:themeColor="text1"/>
              </w:rPr>
              <w:lastRenderedPageBreak/>
              <w:t>1957.</w:t>
            </w:r>
          </w:p>
        </w:tc>
        <w:tc>
          <w:tcPr>
            <w:tcW w:w="4818" w:type="dxa"/>
          </w:tcPr>
          <w:p w14:paraId="0163BEB0" w14:textId="77777777" w:rsidR="009D68B8" w:rsidRPr="00286216" w:rsidRDefault="009D68B8" w:rsidP="009D68B8">
            <w:pPr>
              <w:pStyle w:val="StyleZakonu"/>
              <w:rPr>
                <w:color w:val="000000" w:themeColor="text1"/>
              </w:rPr>
            </w:pPr>
            <w:r w:rsidRPr="00286216">
              <w:rPr>
                <w:color w:val="000000" w:themeColor="text1"/>
              </w:rPr>
              <w:t>2. Адміністратор має право не виконувати будь-які свої обов’язки до оплати послуг, належного (за обґрунтованою оцінкою адміністратора) покриття та/або відшкодування його витрат або надання задовільного для нього зобов’язання відшкодувати такі витрати. У такому разі адміністратор зобов’язаний поінформувати через депозитарну систему України емітента та всіх власників облігацій відповідного випуску про такі обставини.</w:t>
            </w:r>
          </w:p>
        </w:tc>
        <w:tc>
          <w:tcPr>
            <w:tcW w:w="3686" w:type="dxa"/>
          </w:tcPr>
          <w:p w14:paraId="05335810" w14:textId="58CF94E3"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1011</w:t>
            </w:r>
            <w:r w:rsidRPr="00286216">
              <w:rPr>
                <w:color w:val="000000" w:themeColor="text1"/>
                <w:spacing w:val="-5"/>
              </w:rPr>
              <w:fldChar w:fldCharType="end"/>
            </w:r>
            <w:r w:rsidRPr="00286216">
              <w:rPr>
                <w:color w:val="000000" w:themeColor="text1"/>
                <w:spacing w:val="-5"/>
              </w:rPr>
              <w:t>-Н.д.Бєлькова О.В. (Реєстр.картка №403)</w:t>
            </w:r>
          </w:p>
          <w:p w14:paraId="6A970C13" w14:textId="0BF72237" w:rsidR="009D68B8" w:rsidRPr="00286216" w:rsidRDefault="009D68B8" w:rsidP="009D68B8">
            <w:pPr>
              <w:pStyle w:val="StyleProp"/>
              <w:rPr>
                <w:color w:val="000000" w:themeColor="text1"/>
                <w:szCs w:val="18"/>
              </w:rPr>
            </w:pPr>
            <w:r w:rsidRPr="00286216">
              <w:rPr>
                <w:color w:val="000000" w:themeColor="text1"/>
                <w:spacing w:val="-3"/>
              </w:rPr>
              <w:t>У статті 113 слова "покриття та/або" виключити.</w:t>
            </w:r>
          </w:p>
        </w:tc>
        <w:tc>
          <w:tcPr>
            <w:tcW w:w="1987" w:type="dxa"/>
          </w:tcPr>
          <w:p w14:paraId="3FB72033" w14:textId="547ABF91"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6F5B2E06" w14:textId="04A9A0D0" w:rsidR="009D68B8" w:rsidRPr="00286216" w:rsidRDefault="009D68B8" w:rsidP="009D68B8">
            <w:pPr>
              <w:pStyle w:val="StyleZakonu"/>
              <w:rPr>
                <w:color w:val="000000" w:themeColor="text1"/>
              </w:rPr>
            </w:pPr>
            <w:r w:rsidRPr="00286216">
              <w:rPr>
                <w:color w:val="000000" w:themeColor="text1"/>
              </w:rPr>
              <w:t>2. Адміністратор має право не виконувати будь-які свої обов’язки до оплати послуг, належного (за обґрунтованою оцінкою адміністратора) відшкодування його витрат або надання задовільного для нього зобов’язання відшкодувати такі витрати. У такому разі адміністратор зобов’язаний поінформувати через депозитарну систему України емітента та всіх власників облігацій відповідного випуску про такі обставини.</w:t>
            </w:r>
          </w:p>
        </w:tc>
      </w:tr>
      <w:tr w:rsidR="009D68B8" w:rsidRPr="00286216" w14:paraId="67FB1D06" w14:textId="77777777" w:rsidTr="00091AA5">
        <w:tc>
          <w:tcPr>
            <w:tcW w:w="576" w:type="dxa"/>
          </w:tcPr>
          <w:p w14:paraId="0F693DE8" w14:textId="77777777" w:rsidR="009D68B8" w:rsidRPr="00286216" w:rsidRDefault="009D68B8" w:rsidP="009D68B8">
            <w:pPr>
              <w:pStyle w:val="StyleWisnow"/>
              <w:rPr>
                <w:color w:val="000000" w:themeColor="text1"/>
              </w:rPr>
            </w:pPr>
            <w:bookmarkStart w:id="1709" w:name="n1958" w:colFirst="0" w:colLast="0"/>
            <w:bookmarkEnd w:id="1708"/>
            <w:r w:rsidRPr="00286216">
              <w:rPr>
                <w:color w:val="000000" w:themeColor="text1"/>
              </w:rPr>
              <w:t>1958.</w:t>
            </w:r>
          </w:p>
        </w:tc>
        <w:tc>
          <w:tcPr>
            <w:tcW w:w="4818" w:type="dxa"/>
          </w:tcPr>
          <w:p w14:paraId="53789DAF" w14:textId="77777777" w:rsidR="009D68B8" w:rsidRPr="00286216" w:rsidRDefault="009D68B8" w:rsidP="009D68B8">
            <w:pPr>
              <w:pStyle w:val="StyleZakonu"/>
              <w:rPr>
                <w:color w:val="000000" w:themeColor="text1"/>
              </w:rPr>
            </w:pPr>
            <w:r w:rsidRPr="00286216">
              <w:rPr>
                <w:color w:val="000000" w:themeColor="text1"/>
              </w:rPr>
              <w:t>Положення цієї частини не застосовуються до надання адміністратором інформації про розмір оплати його послуг та розмір його витрат, які потребують сплати, покриття або відшкодування. Адміністратор надає таку інформацію безкоштовно.</w:t>
            </w:r>
          </w:p>
        </w:tc>
        <w:tc>
          <w:tcPr>
            <w:tcW w:w="3686" w:type="dxa"/>
          </w:tcPr>
          <w:p w14:paraId="29750DAF" w14:textId="5871CF13"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1012</w:t>
            </w:r>
            <w:r w:rsidRPr="00286216">
              <w:rPr>
                <w:color w:val="000000" w:themeColor="text1"/>
                <w:spacing w:val="-5"/>
              </w:rPr>
              <w:fldChar w:fldCharType="end"/>
            </w:r>
            <w:r w:rsidRPr="00286216">
              <w:rPr>
                <w:color w:val="000000" w:themeColor="text1"/>
                <w:spacing w:val="-5"/>
              </w:rPr>
              <w:t>-Н.д.Бєлькова О.В. (Реєстр.картка №403)</w:t>
            </w:r>
          </w:p>
          <w:p w14:paraId="55462973" w14:textId="25D0CFC1" w:rsidR="009D68B8" w:rsidRPr="00286216" w:rsidRDefault="009D68B8" w:rsidP="009D68B8">
            <w:pPr>
              <w:pStyle w:val="StyleProp"/>
              <w:rPr>
                <w:color w:val="000000" w:themeColor="text1"/>
                <w:szCs w:val="18"/>
              </w:rPr>
            </w:pPr>
            <w:r w:rsidRPr="00286216">
              <w:rPr>
                <w:color w:val="000000" w:themeColor="text1"/>
              </w:rPr>
              <w:t>В абзаці другому частини другої статті 113 слова " сплати, покриття або" виключити.</w:t>
            </w:r>
          </w:p>
        </w:tc>
        <w:tc>
          <w:tcPr>
            <w:tcW w:w="1987" w:type="dxa"/>
          </w:tcPr>
          <w:p w14:paraId="7FB109AC" w14:textId="6F3674F6"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45CD1713" w14:textId="41A35197" w:rsidR="009D68B8" w:rsidRPr="00286216" w:rsidRDefault="009D68B8" w:rsidP="009D68B8">
            <w:pPr>
              <w:pStyle w:val="StyleZakonu"/>
              <w:rPr>
                <w:color w:val="000000" w:themeColor="text1"/>
              </w:rPr>
            </w:pPr>
            <w:r w:rsidRPr="00286216">
              <w:rPr>
                <w:color w:val="000000" w:themeColor="text1"/>
              </w:rPr>
              <w:t>Положення цієї частини не застосовуються до надання адміністратором інформації про розмір оплати його послуг та розмір його витрат, які потребують відшкодування. Адміністратор надає таку інформацію безкоштовно.</w:t>
            </w:r>
          </w:p>
        </w:tc>
      </w:tr>
      <w:tr w:rsidR="009D68B8" w:rsidRPr="00286216" w14:paraId="6EC0DF4F" w14:textId="77777777" w:rsidTr="00091AA5">
        <w:tc>
          <w:tcPr>
            <w:tcW w:w="576" w:type="dxa"/>
          </w:tcPr>
          <w:p w14:paraId="27956951" w14:textId="77777777" w:rsidR="009D68B8" w:rsidRPr="00286216" w:rsidRDefault="009D68B8" w:rsidP="009D68B8">
            <w:pPr>
              <w:pStyle w:val="StyleWisnow"/>
              <w:rPr>
                <w:color w:val="000000" w:themeColor="text1"/>
              </w:rPr>
            </w:pPr>
            <w:bookmarkStart w:id="1710" w:name="n1959" w:colFirst="0" w:colLast="0"/>
            <w:bookmarkEnd w:id="1709"/>
            <w:r w:rsidRPr="00286216">
              <w:rPr>
                <w:color w:val="000000" w:themeColor="text1"/>
              </w:rPr>
              <w:t>1959.</w:t>
            </w:r>
          </w:p>
        </w:tc>
        <w:tc>
          <w:tcPr>
            <w:tcW w:w="4818" w:type="dxa"/>
          </w:tcPr>
          <w:p w14:paraId="29F5FEC0" w14:textId="77777777" w:rsidR="009D68B8" w:rsidRPr="00286216" w:rsidRDefault="009D68B8" w:rsidP="009D68B8">
            <w:pPr>
              <w:pStyle w:val="StyleZakonu"/>
              <w:rPr>
                <w:color w:val="000000" w:themeColor="text1"/>
              </w:rPr>
            </w:pPr>
            <w:r w:rsidRPr="00286216">
              <w:rPr>
                <w:color w:val="000000" w:themeColor="text1"/>
              </w:rPr>
              <w:t>Стаття 114. Права та обов’язки адміністратора</w:t>
            </w:r>
          </w:p>
        </w:tc>
        <w:tc>
          <w:tcPr>
            <w:tcW w:w="3686" w:type="dxa"/>
          </w:tcPr>
          <w:p w14:paraId="5D3AD9AD" w14:textId="77777777" w:rsidR="009D68B8" w:rsidRPr="00286216" w:rsidRDefault="009D68B8" w:rsidP="009D68B8">
            <w:pPr>
              <w:pStyle w:val="StyleProp"/>
              <w:rPr>
                <w:color w:val="000000" w:themeColor="text1"/>
                <w:szCs w:val="18"/>
              </w:rPr>
            </w:pPr>
          </w:p>
        </w:tc>
        <w:tc>
          <w:tcPr>
            <w:tcW w:w="1987" w:type="dxa"/>
          </w:tcPr>
          <w:p w14:paraId="35BD9817" w14:textId="77777777" w:rsidR="009D68B8" w:rsidRPr="00286216" w:rsidRDefault="009D68B8" w:rsidP="009D68B8">
            <w:pPr>
              <w:pStyle w:val="StyleWisnow"/>
              <w:rPr>
                <w:color w:val="000000" w:themeColor="text1"/>
              </w:rPr>
            </w:pPr>
          </w:p>
        </w:tc>
        <w:tc>
          <w:tcPr>
            <w:tcW w:w="4818" w:type="dxa"/>
          </w:tcPr>
          <w:p w14:paraId="458086D1" w14:textId="44A77AED" w:rsidR="009D68B8" w:rsidRPr="00286216" w:rsidRDefault="009D68B8" w:rsidP="009D68B8">
            <w:pPr>
              <w:pStyle w:val="StyleZakonu"/>
              <w:rPr>
                <w:color w:val="000000" w:themeColor="text1"/>
              </w:rPr>
            </w:pPr>
            <w:r w:rsidRPr="00286216">
              <w:rPr>
                <w:color w:val="000000" w:themeColor="text1"/>
              </w:rPr>
              <w:t>Стаття 118. Права та обов’язки адміністратора</w:t>
            </w:r>
          </w:p>
        </w:tc>
      </w:tr>
      <w:tr w:rsidR="009D68B8" w:rsidRPr="00286216" w14:paraId="17B76806" w14:textId="77777777" w:rsidTr="00091AA5">
        <w:tc>
          <w:tcPr>
            <w:tcW w:w="576" w:type="dxa"/>
          </w:tcPr>
          <w:p w14:paraId="7843BC4D" w14:textId="77777777" w:rsidR="009D68B8" w:rsidRPr="00286216" w:rsidRDefault="009D68B8" w:rsidP="009D68B8">
            <w:pPr>
              <w:pStyle w:val="StyleWisnow"/>
              <w:rPr>
                <w:color w:val="000000" w:themeColor="text1"/>
              </w:rPr>
            </w:pPr>
            <w:bookmarkStart w:id="1711" w:name="n1960" w:colFirst="0" w:colLast="0"/>
            <w:bookmarkEnd w:id="1710"/>
            <w:r w:rsidRPr="00286216">
              <w:rPr>
                <w:color w:val="000000" w:themeColor="text1"/>
              </w:rPr>
              <w:t>1960.</w:t>
            </w:r>
          </w:p>
        </w:tc>
        <w:tc>
          <w:tcPr>
            <w:tcW w:w="4818" w:type="dxa"/>
          </w:tcPr>
          <w:p w14:paraId="599BD7AC" w14:textId="77777777" w:rsidR="009D68B8" w:rsidRPr="00286216" w:rsidRDefault="009D68B8" w:rsidP="009D68B8">
            <w:pPr>
              <w:pStyle w:val="StyleZakonu"/>
              <w:rPr>
                <w:color w:val="000000" w:themeColor="text1"/>
              </w:rPr>
            </w:pPr>
            <w:r w:rsidRPr="00286216">
              <w:rPr>
                <w:color w:val="000000" w:themeColor="text1"/>
              </w:rPr>
              <w:t>1. Права та обов’язки адміністратора визначаються законом, проспектом (рішенням про емісію цінних паперів), рішеннями зборів власників облігацій та договором про призначення адміністратора.</w:t>
            </w:r>
          </w:p>
        </w:tc>
        <w:tc>
          <w:tcPr>
            <w:tcW w:w="3686" w:type="dxa"/>
          </w:tcPr>
          <w:p w14:paraId="4AADCB82" w14:textId="77777777" w:rsidR="009D68B8" w:rsidRPr="00286216" w:rsidRDefault="009D68B8" w:rsidP="009D68B8">
            <w:pPr>
              <w:pStyle w:val="StyleProp"/>
              <w:rPr>
                <w:color w:val="000000" w:themeColor="text1"/>
                <w:szCs w:val="18"/>
              </w:rPr>
            </w:pPr>
          </w:p>
        </w:tc>
        <w:tc>
          <w:tcPr>
            <w:tcW w:w="1987" w:type="dxa"/>
          </w:tcPr>
          <w:p w14:paraId="086514E5" w14:textId="77777777" w:rsidR="009D68B8" w:rsidRPr="00286216" w:rsidRDefault="009D68B8" w:rsidP="009D68B8">
            <w:pPr>
              <w:pStyle w:val="StyleWisnow"/>
              <w:rPr>
                <w:color w:val="000000" w:themeColor="text1"/>
              </w:rPr>
            </w:pPr>
          </w:p>
        </w:tc>
        <w:tc>
          <w:tcPr>
            <w:tcW w:w="4818" w:type="dxa"/>
          </w:tcPr>
          <w:p w14:paraId="28DF406D" w14:textId="39D13680" w:rsidR="009D68B8" w:rsidRPr="00286216" w:rsidRDefault="009D68B8" w:rsidP="009D68B8">
            <w:pPr>
              <w:pStyle w:val="StyleZakonu"/>
              <w:rPr>
                <w:color w:val="000000" w:themeColor="text1"/>
              </w:rPr>
            </w:pPr>
            <w:r w:rsidRPr="00286216">
              <w:rPr>
                <w:color w:val="000000" w:themeColor="text1"/>
              </w:rPr>
              <w:t>1. Права та обов’язки адміністратора визначаються законом, проспектом (рішенням про емісію), рішеннями зборів власників облігацій та договором про призначення адміністратора.</w:t>
            </w:r>
          </w:p>
        </w:tc>
      </w:tr>
      <w:tr w:rsidR="009D68B8" w:rsidRPr="00286216" w14:paraId="1A0FFB0B" w14:textId="77777777" w:rsidTr="00091AA5">
        <w:tc>
          <w:tcPr>
            <w:tcW w:w="576" w:type="dxa"/>
          </w:tcPr>
          <w:p w14:paraId="721E5A29" w14:textId="77777777" w:rsidR="009D68B8" w:rsidRPr="00286216" w:rsidRDefault="009D68B8" w:rsidP="009D68B8">
            <w:pPr>
              <w:pStyle w:val="StyleWisnow"/>
              <w:rPr>
                <w:color w:val="000000" w:themeColor="text1"/>
              </w:rPr>
            </w:pPr>
            <w:bookmarkStart w:id="1712" w:name="n1961" w:colFirst="0" w:colLast="0"/>
            <w:bookmarkEnd w:id="1711"/>
            <w:r w:rsidRPr="00286216">
              <w:rPr>
                <w:color w:val="000000" w:themeColor="text1"/>
              </w:rPr>
              <w:t>1961.</w:t>
            </w:r>
          </w:p>
        </w:tc>
        <w:tc>
          <w:tcPr>
            <w:tcW w:w="4818" w:type="dxa"/>
          </w:tcPr>
          <w:p w14:paraId="1175C8A4" w14:textId="77777777" w:rsidR="009D68B8" w:rsidRPr="00286216" w:rsidRDefault="009D68B8" w:rsidP="009D68B8">
            <w:pPr>
              <w:pStyle w:val="StyleZakonu"/>
              <w:rPr>
                <w:color w:val="000000" w:themeColor="text1"/>
              </w:rPr>
            </w:pPr>
            <w:r w:rsidRPr="00286216">
              <w:rPr>
                <w:color w:val="000000" w:themeColor="text1"/>
              </w:rPr>
              <w:t>2. Адміністратор зобов’язаний:</w:t>
            </w:r>
          </w:p>
        </w:tc>
        <w:tc>
          <w:tcPr>
            <w:tcW w:w="3686" w:type="dxa"/>
          </w:tcPr>
          <w:p w14:paraId="6E9EE4DC" w14:textId="77777777" w:rsidR="009D68B8" w:rsidRPr="00286216" w:rsidRDefault="009D68B8" w:rsidP="009D68B8">
            <w:pPr>
              <w:pStyle w:val="StyleProp"/>
              <w:rPr>
                <w:color w:val="000000" w:themeColor="text1"/>
                <w:szCs w:val="18"/>
              </w:rPr>
            </w:pPr>
          </w:p>
        </w:tc>
        <w:tc>
          <w:tcPr>
            <w:tcW w:w="1987" w:type="dxa"/>
          </w:tcPr>
          <w:p w14:paraId="60BECF58" w14:textId="77777777" w:rsidR="009D68B8" w:rsidRPr="00286216" w:rsidRDefault="009D68B8" w:rsidP="009D68B8">
            <w:pPr>
              <w:pStyle w:val="StyleWisnow"/>
              <w:rPr>
                <w:color w:val="000000" w:themeColor="text1"/>
              </w:rPr>
            </w:pPr>
          </w:p>
        </w:tc>
        <w:tc>
          <w:tcPr>
            <w:tcW w:w="4818" w:type="dxa"/>
          </w:tcPr>
          <w:p w14:paraId="132553E4" w14:textId="5BBAA184" w:rsidR="009D68B8" w:rsidRPr="00286216" w:rsidRDefault="009D68B8" w:rsidP="009D68B8">
            <w:pPr>
              <w:pStyle w:val="StyleZakonu"/>
              <w:rPr>
                <w:color w:val="000000" w:themeColor="text1"/>
              </w:rPr>
            </w:pPr>
            <w:r w:rsidRPr="00286216">
              <w:rPr>
                <w:color w:val="000000" w:themeColor="text1"/>
              </w:rPr>
              <w:t>2. Адміністратор зобов’язаний:</w:t>
            </w:r>
          </w:p>
        </w:tc>
      </w:tr>
      <w:tr w:rsidR="009D68B8" w:rsidRPr="00286216" w14:paraId="471E17C7" w14:textId="77777777" w:rsidTr="00091AA5">
        <w:tc>
          <w:tcPr>
            <w:tcW w:w="576" w:type="dxa"/>
          </w:tcPr>
          <w:p w14:paraId="721E84B9" w14:textId="77777777" w:rsidR="009D68B8" w:rsidRPr="00286216" w:rsidRDefault="009D68B8" w:rsidP="009D68B8">
            <w:pPr>
              <w:pStyle w:val="StyleWisnow"/>
              <w:rPr>
                <w:color w:val="000000" w:themeColor="text1"/>
              </w:rPr>
            </w:pPr>
            <w:bookmarkStart w:id="1713" w:name="n1962" w:colFirst="0" w:colLast="0"/>
            <w:bookmarkEnd w:id="1712"/>
            <w:r w:rsidRPr="00286216">
              <w:rPr>
                <w:color w:val="000000" w:themeColor="text1"/>
              </w:rPr>
              <w:t>1962.</w:t>
            </w:r>
          </w:p>
        </w:tc>
        <w:tc>
          <w:tcPr>
            <w:tcW w:w="4818" w:type="dxa"/>
          </w:tcPr>
          <w:p w14:paraId="17D6A219" w14:textId="77777777" w:rsidR="009D68B8" w:rsidRPr="00286216" w:rsidRDefault="009D68B8" w:rsidP="009D68B8">
            <w:pPr>
              <w:pStyle w:val="StyleZakonu"/>
              <w:rPr>
                <w:color w:val="000000" w:themeColor="text1"/>
              </w:rPr>
            </w:pPr>
            <w:r w:rsidRPr="00286216">
              <w:rPr>
                <w:color w:val="000000" w:themeColor="text1"/>
              </w:rPr>
              <w:t>1) надавати повідомлення передбачені цим Законом;</w:t>
            </w:r>
          </w:p>
        </w:tc>
        <w:tc>
          <w:tcPr>
            <w:tcW w:w="3686" w:type="dxa"/>
          </w:tcPr>
          <w:p w14:paraId="20155A59" w14:textId="77777777" w:rsidR="009D68B8" w:rsidRPr="00286216" w:rsidRDefault="009D68B8" w:rsidP="009D68B8">
            <w:pPr>
              <w:pStyle w:val="StyleProp"/>
              <w:rPr>
                <w:color w:val="000000" w:themeColor="text1"/>
                <w:szCs w:val="18"/>
              </w:rPr>
            </w:pPr>
          </w:p>
        </w:tc>
        <w:tc>
          <w:tcPr>
            <w:tcW w:w="1987" w:type="dxa"/>
          </w:tcPr>
          <w:p w14:paraId="6E37C3D3" w14:textId="77777777" w:rsidR="009D68B8" w:rsidRPr="00286216" w:rsidRDefault="009D68B8" w:rsidP="009D68B8">
            <w:pPr>
              <w:pStyle w:val="StyleWisnow"/>
              <w:rPr>
                <w:color w:val="000000" w:themeColor="text1"/>
              </w:rPr>
            </w:pPr>
          </w:p>
        </w:tc>
        <w:tc>
          <w:tcPr>
            <w:tcW w:w="4818" w:type="dxa"/>
          </w:tcPr>
          <w:p w14:paraId="6C605808" w14:textId="3E703F77" w:rsidR="009D68B8" w:rsidRPr="00286216" w:rsidRDefault="009D68B8" w:rsidP="009D68B8">
            <w:pPr>
              <w:pStyle w:val="StyleZakonu"/>
              <w:rPr>
                <w:color w:val="000000" w:themeColor="text1"/>
              </w:rPr>
            </w:pPr>
            <w:r w:rsidRPr="00286216">
              <w:rPr>
                <w:color w:val="000000" w:themeColor="text1"/>
              </w:rPr>
              <w:t>1) надавати повідомлення, передбачені цим Законом;</w:t>
            </w:r>
          </w:p>
        </w:tc>
      </w:tr>
      <w:tr w:rsidR="009D68B8" w:rsidRPr="00286216" w14:paraId="13D4990A" w14:textId="77777777" w:rsidTr="00091AA5">
        <w:tc>
          <w:tcPr>
            <w:tcW w:w="576" w:type="dxa"/>
          </w:tcPr>
          <w:p w14:paraId="68830448" w14:textId="77777777" w:rsidR="009D68B8" w:rsidRPr="00286216" w:rsidRDefault="009D68B8" w:rsidP="009D68B8">
            <w:pPr>
              <w:pStyle w:val="StyleWisnow"/>
              <w:rPr>
                <w:color w:val="000000" w:themeColor="text1"/>
              </w:rPr>
            </w:pPr>
            <w:bookmarkStart w:id="1714" w:name="n1963" w:colFirst="0" w:colLast="0"/>
            <w:bookmarkEnd w:id="1713"/>
            <w:r w:rsidRPr="00286216">
              <w:rPr>
                <w:color w:val="000000" w:themeColor="text1"/>
              </w:rPr>
              <w:t>1963.</w:t>
            </w:r>
          </w:p>
        </w:tc>
        <w:tc>
          <w:tcPr>
            <w:tcW w:w="4818" w:type="dxa"/>
          </w:tcPr>
          <w:p w14:paraId="054839F1" w14:textId="77777777" w:rsidR="009D68B8" w:rsidRPr="00286216" w:rsidRDefault="009D68B8" w:rsidP="009D68B8">
            <w:pPr>
              <w:pStyle w:val="StyleZakonu"/>
              <w:rPr>
                <w:color w:val="000000" w:themeColor="text1"/>
              </w:rPr>
            </w:pPr>
            <w:r w:rsidRPr="00286216">
              <w:rPr>
                <w:color w:val="000000" w:themeColor="text1"/>
              </w:rPr>
              <w:t>2) на вимогу будь-якого власника облігацій забезпечувати йому у розумний строк та спосіб доступ до копій документів та інформації, безпосередньо пов’язаних з наданням адміністратором своїх послуг;</w:t>
            </w:r>
          </w:p>
        </w:tc>
        <w:tc>
          <w:tcPr>
            <w:tcW w:w="3686" w:type="dxa"/>
          </w:tcPr>
          <w:p w14:paraId="3EE388B9" w14:textId="08F7BB48" w:rsidR="009D68B8" w:rsidRPr="00286216" w:rsidRDefault="009D68B8" w:rsidP="009D68B8">
            <w:pPr>
              <w:pStyle w:val="StyleProp"/>
              <w:rPr>
                <w:color w:val="000000" w:themeColor="text1"/>
                <w:szCs w:val="18"/>
              </w:rPr>
            </w:pPr>
          </w:p>
        </w:tc>
        <w:tc>
          <w:tcPr>
            <w:tcW w:w="1987" w:type="dxa"/>
          </w:tcPr>
          <w:p w14:paraId="3A01078F" w14:textId="56A6E8C3" w:rsidR="009D68B8" w:rsidRPr="00286216" w:rsidRDefault="009D68B8" w:rsidP="009D68B8">
            <w:pPr>
              <w:pStyle w:val="StyleWisnow"/>
              <w:rPr>
                <w:color w:val="000000" w:themeColor="text1"/>
              </w:rPr>
            </w:pPr>
          </w:p>
        </w:tc>
        <w:tc>
          <w:tcPr>
            <w:tcW w:w="4818" w:type="dxa"/>
          </w:tcPr>
          <w:p w14:paraId="548BD76F" w14:textId="698B85EF" w:rsidR="009D68B8" w:rsidRPr="00286216" w:rsidRDefault="009D68B8" w:rsidP="009D68B8">
            <w:pPr>
              <w:pStyle w:val="StyleZakonu"/>
              <w:rPr>
                <w:color w:val="000000" w:themeColor="text1"/>
              </w:rPr>
            </w:pPr>
            <w:r w:rsidRPr="00286216">
              <w:rPr>
                <w:color w:val="000000" w:themeColor="text1"/>
              </w:rPr>
              <w:t>2) на вимогу будь-якого власника облігацій забезпечувати йому в розумний строк та спосіб доступ до копій документів та інформації, безпосередньо пов’язаних з наданням адміністратором своїх послуг;</w:t>
            </w:r>
          </w:p>
        </w:tc>
      </w:tr>
      <w:tr w:rsidR="009D68B8" w:rsidRPr="00286216" w14:paraId="5C40AF35" w14:textId="77777777" w:rsidTr="00091AA5">
        <w:tc>
          <w:tcPr>
            <w:tcW w:w="576" w:type="dxa"/>
          </w:tcPr>
          <w:p w14:paraId="5DFFD4B2" w14:textId="77777777" w:rsidR="009D68B8" w:rsidRPr="00286216" w:rsidRDefault="009D68B8" w:rsidP="009D68B8">
            <w:pPr>
              <w:pStyle w:val="StyleWisnow"/>
              <w:rPr>
                <w:color w:val="000000" w:themeColor="text1"/>
              </w:rPr>
            </w:pPr>
            <w:bookmarkStart w:id="1715" w:name="n1964" w:colFirst="0" w:colLast="0"/>
            <w:bookmarkEnd w:id="1714"/>
            <w:r w:rsidRPr="00286216">
              <w:rPr>
                <w:color w:val="000000" w:themeColor="text1"/>
              </w:rPr>
              <w:t>1964.</w:t>
            </w:r>
          </w:p>
        </w:tc>
        <w:tc>
          <w:tcPr>
            <w:tcW w:w="4818" w:type="dxa"/>
          </w:tcPr>
          <w:p w14:paraId="3A8F961E" w14:textId="77777777" w:rsidR="009D68B8" w:rsidRPr="00286216" w:rsidRDefault="009D68B8" w:rsidP="009D68B8">
            <w:pPr>
              <w:pStyle w:val="StyleZakonu"/>
              <w:rPr>
                <w:color w:val="000000" w:themeColor="text1"/>
              </w:rPr>
            </w:pPr>
            <w:r w:rsidRPr="00286216">
              <w:rPr>
                <w:color w:val="000000" w:themeColor="text1"/>
              </w:rPr>
              <w:t>3) на запит будь-якого власника облігацій надавати підтвердження наявності або відсутності у адміністратора конфлікту інтересів;</w:t>
            </w:r>
          </w:p>
        </w:tc>
        <w:tc>
          <w:tcPr>
            <w:tcW w:w="3686" w:type="dxa"/>
          </w:tcPr>
          <w:p w14:paraId="317ED47E" w14:textId="77777777" w:rsidR="009D68B8" w:rsidRPr="00286216" w:rsidRDefault="009D68B8" w:rsidP="009D68B8">
            <w:pPr>
              <w:pStyle w:val="StyleProp"/>
              <w:rPr>
                <w:color w:val="000000" w:themeColor="text1"/>
                <w:szCs w:val="18"/>
              </w:rPr>
            </w:pPr>
          </w:p>
        </w:tc>
        <w:tc>
          <w:tcPr>
            <w:tcW w:w="1987" w:type="dxa"/>
          </w:tcPr>
          <w:p w14:paraId="69AAA636" w14:textId="77777777" w:rsidR="009D68B8" w:rsidRPr="00286216" w:rsidRDefault="009D68B8" w:rsidP="009D68B8">
            <w:pPr>
              <w:pStyle w:val="StyleWisnow"/>
              <w:rPr>
                <w:color w:val="000000" w:themeColor="text1"/>
              </w:rPr>
            </w:pPr>
          </w:p>
        </w:tc>
        <w:tc>
          <w:tcPr>
            <w:tcW w:w="4818" w:type="dxa"/>
          </w:tcPr>
          <w:p w14:paraId="52B7478C" w14:textId="5078F2AB" w:rsidR="009D68B8" w:rsidRPr="00286216" w:rsidRDefault="009D68B8" w:rsidP="009D68B8">
            <w:pPr>
              <w:pStyle w:val="StyleZakonu"/>
              <w:rPr>
                <w:color w:val="000000" w:themeColor="text1"/>
              </w:rPr>
            </w:pPr>
            <w:r w:rsidRPr="00286216">
              <w:rPr>
                <w:color w:val="000000" w:themeColor="text1"/>
              </w:rPr>
              <w:t>3) на запит будь-якого власника облігацій надавати підтвердження наявності або відсутності в адміністратора конфлікту інтересів;</w:t>
            </w:r>
          </w:p>
        </w:tc>
      </w:tr>
      <w:tr w:rsidR="009D68B8" w:rsidRPr="00286216" w14:paraId="51AA70B3" w14:textId="77777777" w:rsidTr="00091AA5">
        <w:tc>
          <w:tcPr>
            <w:tcW w:w="576" w:type="dxa"/>
          </w:tcPr>
          <w:p w14:paraId="388E6CEE" w14:textId="77777777" w:rsidR="009D68B8" w:rsidRPr="00286216" w:rsidRDefault="009D68B8" w:rsidP="009D68B8">
            <w:pPr>
              <w:pStyle w:val="StyleWisnow"/>
              <w:rPr>
                <w:color w:val="000000" w:themeColor="text1"/>
              </w:rPr>
            </w:pPr>
            <w:bookmarkStart w:id="1716" w:name="n1965" w:colFirst="0" w:colLast="0"/>
            <w:bookmarkEnd w:id="1715"/>
            <w:r w:rsidRPr="00286216">
              <w:rPr>
                <w:color w:val="000000" w:themeColor="text1"/>
              </w:rPr>
              <w:t>1965.</w:t>
            </w:r>
          </w:p>
        </w:tc>
        <w:tc>
          <w:tcPr>
            <w:tcW w:w="4818" w:type="dxa"/>
          </w:tcPr>
          <w:p w14:paraId="4AF5B6C9" w14:textId="77777777" w:rsidR="009D68B8" w:rsidRPr="00286216" w:rsidRDefault="009D68B8" w:rsidP="009D68B8">
            <w:pPr>
              <w:pStyle w:val="StyleZakonu"/>
              <w:rPr>
                <w:color w:val="000000" w:themeColor="text1"/>
              </w:rPr>
            </w:pPr>
            <w:r w:rsidRPr="00286216">
              <w:rPr>
                <w:color w:val="000000" w:themeColor="text1"/>
              </w:rPr>
              <w:t>4) укласти договір з Центральним депозитарієм цінних паперів або Національним банком України відповідно до законодавства;</w:t>
            </w:r>
          </w:p>
        </w:tc>
        <w:tc>
          <w:tcPr>
            <w:tcW w:w="3686" w:type="dxa"/>
          </w:tcPr>
          <w:p w14:paraId="54FC5A6A" w14:textId="2DE1AB67" w:rsidR="009D68B8" w:rsidRPr="00286216" w:rsidRDefault="009D68B8" w:rsidP="009D68B8">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1013</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4F720C11" w14:textId="71D3C0F1" w:rsidR="009D68B8" w:rsidRPr="00286216" w:rsidRDefault="009D68B8" w:rsidP="009D68B8">
            <w:pPr>
              <w:pStyle w:val="StyleProp"/>
              <w:rPr>
                <w:color w:val="000000" w:themeColor="text1"/>
                <w:spacing w:val="-2"/>
                <w:szCs w:val="18"/>
              </w:rPr>
            </w:pPr>
            <w:r w:rsidRPr="00286216">
              <w:rPr>
                <w:color w:val="000000" w:themeColor="text1"/>
                <w:spacing w:val="-2"/>
                <w:szCs w:val="18"/>
              </w:rPr>
              <w:t>У пунктах 3 і 4 частини 2 ст. 114 слова «</w:t>
            </w:r>
            <w:r w:rsidRPr="00286216">
              <w:rPr>
                <w:color w:val="000000" w:themeColor="text1"/>
                <w:spacing w:val="-2"/>
              </w:rPr>
              <w:t>або Національним банком України» виключити.</w:t>
            </w:r>
          </w:p>
        </w:tc>
        <w:tc>
          <w:tcPr>
            <w:tcW w:w="1987" w:type="dxa"/>
          </w:tcPr>
          <w:p w14:paraId="53F230DB" w14:textId="77777777" w:rsidR="009D68B8" w:rsidRPr="00286216" w:rsidRDefault="009D68B8" w:rsidP="009D68B8">
            <w:pPr>
              <w:pStyle w:val="StyleWisnow"/>
              <w:spacing w:line="180" w:lineRule="exact"/>
              <w:rPr>
                <w:color w:val="000000" w:themeColor="text1"/>
              </w:rPr>
            </w:pPr>
            <w:r w:rsidRPr="00286216">
              <w:rPr>
                <w:color w:val="000000" w:themeColor="text1"/>
              </w:rPr>
              <w:t>Враховано</w:t>
            </w:r>
          </w:p>
          <w:p w14:paraId="6545DA37" w14:textId="0D493181" w:rsidR="009D68B8" w:rsidRPr="00286216" w:rsidRDefault="009D68B8" w:rsidP="009D68B8">
            <w:pPr>
              <w:pStyle w:val="StyleWisnow"/>
              <w:spacing w:line="18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43D15B5A" w14:textId="38E0C216" w:rsidR="009D68B8" w:rsidRPr="00286216" w:rsidRDefault="009D68B8" w:rsidP="009D68B8">
            <w:pPr>
              <w:pStyle w:val="StyleZakonu"/>
              <w:rPr>
                <w:color w:val="000000" w:themeColor="text1"/>
              </w:rPr>
            </w:pPr>
            <w:r w:rsidRPr="00286216">
              <w:rPr>
                <w:color w:val="000000" w:themeColor="text1"/>
              </w:rPr>
              <w:t>4) укласти договір з Центральним депозитарієм цінних паперів відповідно до законодавства;</w:t>
            </w:r>
          </w:p>
        </w:tc>
      </w:tr>
      <w:tr w:rsidR="009D68B8" w:rsidRPr="00286216" w14:paraId="273719A4" w14:textId="77777777" w:rsidTr="00091AA5">
        <w:tc>
          <w:tcPr>
            <w:tcW w:w="576" w:type="dxa"/>
          </w:tcPr>
          <w:p w14:paraId="12B2572D" w14:textId="77777777" w:rsidR="009D68B8" w:rsidRPr="00286216" w:rsidRDefault="009D68B8" w:rsidP="009D68B8">
            <w:pPr>
              <w:pStyle w:val="StyleWisnow"/>
              <w:rPr>
                <w:color w:val="000000" w:themeColor="text1"/>
              </w:rPr>
            </w:pPr>
            <w:bookmarkStart w:id="1717" w:name="n1966" w:colFirst="0" w:colLast="0"/>
            <w:bookmarkEnd w:id="1716"/>
            <w:r w:rsidRPr="00286216">
              <w:rPr>
                <w:color w:val="000000" w:themeColor="text1"/>
              </w:rPr>
              <w:t>1966.</w:t>
            </w:r>
          </w:p>
        </w:tc>
        <w:tc>
          <w:tcPr>
            <w:tcW w:w="4818" w:type="dxa"/>
          </w:tcPr>
          <w:p w14:paraId="5EC70C26" w14:textId="77777777" w:rsidR="009D68B8" w:rsidRPr="00286216" w:rsidRDefault="009D68B8" w:rsidP="009D68B8">
            <w:pPr>
              <w:pStyle w:val="StyleZakonu"/>
              <w:rPr>
                <w:color w:val="000000" w:themeColor="text1"/>
              </w:rPr>
            </w:pPr>
            <w:r w:rsidRPr="00286216">
              <w:rPr>
                <w:color w:val="000000" w:themeColor="text1"/>
              </w:rPr>
              <w:t xml:space="preserve">5) забезпечувати перерахування на рахунок Центрального депозитарію цінних паперів, відкритий у Національному банку України, або рахунок Національного банку України коштів, отриманих у процесі стягнення заборгованості з емітента облігацій та/або особи, яка надає забезпечення за облігаціями, або в процедурі їх банкрутства або ліквідації, з метою </w:t>
            </w:r>
            <w:r w:rsidRPr="00286216">
              <w:rPr>
                <w:color w:val="000000" w:themeColor="text1"/>
              </w:rPr>
              <w:lastRenderedPageBreak/>
              <w:t>подальшого перерахування таких коштів згідно з вимогами законодавства.</w:t>
            </w:r>
          </w:p>
        </w:tc>
        <w:tc>
          <w:tcPr>
            <w:tcW w:w="3686" w:type="dxa"/>
          </w:tcPr>
          <w:p w14:paraId="1529ED7E" w14:textId="23A3F519" w:rsidR="009D68B8" w:rsidRPr="00286216" w:rsidRDefault="009D68B8" w:rsidP="009D68B8">
            <w:pPr>
              <w:pStyle w:val="StyleProp"/>
              <w:rPr>
                <w:color w:val="000000" w:themeColor="text1"/>
                <w:szCs w:val="18"/>
              </w:rPr>
            </w:pPr>
          </w:p>
        </w:tc>
        <w:tc>
          <w:tcPr>
            <w:tcW w:w="1987" w:type="dxa"/>
          </w:tcPr>
          <w:p w14:paraId="0488AC88" w14:textId="65B999F7" w:rsidR="009D68B8" w:rsidRPr="00286216" w:rsidRDefault="009D68B8" w:rsidP="009D68B8">
            <w:pPr>
              <w:pStyle w:val="StyleWisnow"/>
              <w:rPr>
                <w:color w:val="000000" w:themeColor="text1"/>
              </w:rPr>
            </w:pPr>
          </w:p>
        </w:tc>
        <w:tc>
          <w:tcPr>
            <w:tcW w:w="4818" w:type="dxa"/>
          </w:tcPr>
          <w:p w14:paraId="0A4F81E6" w14:textId="2BF277C7" w:rsidR="009D68B8" w:rsidRPr="00286216" w:rsidRDefault="009D68B8" w:rsidP="009D68B8">
            <w:pPr>
              <w:pStyle w:val="StyleZakonu"/>
              <w:rPr>
                <w:color w:val="000000" w:themeColor="text1"/>
              </w:rPr>
            </w:pPr>
            <w:r w:rsidRPr="00286216">
              <w:rPr>
                <w:color w:val="000000" w:themeColor="text1"/>
              </w:rPr>
              <w:t xml:space="preserve">5) забезпечувати перерахування на рахунок Центрального депозитарію цінних паперів, відкритий у Національному банку України, коштів, отриманих у процесі стягнення заборгованості з емітента облігацій та/або особи, яка надає забезпечення за облігаціями, або в процедурі їх банкрутства або ліквідації, з метою подальшого перерахування таких коштів згідно з </w:t>
            </w:r>
            <w:r w:rsidRPr="00286216">
              <w:rPr>
                <w:color w:val="000000" w:themeColor="text1"/>
              </w:rPr>
              <w:lastRenderedPageBreak/>
              <w:t>вимогами законодавства.</w:t>
            </w:r>
          </w:p>
        </w:tc>
      </w:tr>
      <w:tr w:rsidR="009D68B8" w:rsidRPr="00286216" w14:paraId="3EEDB553" w14:textId="77777777" w:rsidTr="00091AA5">
        <w:tc>
          <w:tcPr>
            <w:tcW w:w="576" w:type="dxa"/>
          </w:tcPr>
          <w:p w14:paraId="07DF6E31" w14:textId="77777777" w:rsidR="009D68B8" w:rsidRPr="00286216" w:rsidRDefault="009D68B8" w:rsidP="009D68B8">
            <w:pPr>
              <w:pStyle w:val="StyleWisnow"/>
              <w:rPr>
                <w:color w:val="000000" w:themeColor="text1"/>
              </w:rPr>
            </w:pPr>
            <w:bookmarkStart w:id="1718" w:name="n1967" w:colFirst="0" w:colLast="0"/>
            <w:bookmarkEnd w:id="1717"/>
            <w:r w:rsidRPr="00286216">
              <w:rPr>
                <w:color w:val="000000" w:themeColor="text1"/>
              </w:rPr>
              <w:lastRenderedPageBreak/>
              <w:t>1967.</w:t>
            </w:r>
          </w:p>
        </w:tc>
        <w:tc>
          <w:tcPr>
            <w:tcW w:w="4818" w:type="dxa"/>
          </w:tcPr>
          <w:p w14:paraId="2192F777" w14:textId="77777777" w:rsidR="009D68B8" w:rsidRPr="00286216" w:rsidRDefault="009D68B8" w:rsidP="009D68B8">
            <w:pPr>
              <w:pStyle w:val="StyleZakonu"/>
              <w:rPr>
                <w:color w:val="000000" w:themeColor="text1"/>
              </w:rPr>
            </w:pPr>
            <w:r w:rsidRPr="00286216">
              <w:rPr>
                <w:color w:val="000000" w:themeColor="text1"/>
              </w:rPr>
              <w:t>3. Для виконання своїх обов’язків, адміністратор має право:</w:t>
            </w:r>
          </w:p>
        </w:tc>
        <w:tc>
          <w:tcPr>
            <w:tcW w:w="3686" w:type="dxa"/>
          </w:tcPr>
          <w:p w14:paraId="1E2C4369" w14:textId="77777777" w:rsidR="009D68B8" w:rsidRPr="00286216" w:rsidRDefault="009D68B8" w:rsidP="009D68B8">
            <w:pPr>
              <w:pStyle w:val="StyleProp"/>
              <w:rPr>
                <w:color w:val="000000" w:themeColor="text1"/>
                <w:szCs w:val="18"/>
              </w:rPr>
            </w:pPr>
          </w:p>
        </w:tc>
        <w:tc>
          <w:tcPr>
            <w:tcW w:w="1987" w:type="dxa"/>
          </w:tcPr>
          <w:p w14:paraId="2322C8F2" w14:textId="77777777" w:rsidR="009D68B8" w:rsidRPr="00286216" w:rsidRDefault="009D68B8" w:rsidP="009D68B8">
            <w:pPr>
              <w:pStyle w:val="StyleWisnow"/>
              <w:rPr>
                <w:color w:val="000000" w:themeColor="text1"/>
              </w:rPr>
            </w:pPr>
          </w:p>
        </w:tc>
        <w:tc>
          <w:tcPr>
            <w:tcW w:w="4818" w:type="dxa"/>
          </w:tcPr>
          <w:p w14:paraId="0883AF6E" w14:textId="163BCFBD" w:rsidR="009D68B8" w:rsidRPr="00286216" w:rsidRDefault="009D68B8" w:rsidP="009D68B8">
            <w:pPr>
              <w:pStyle w:val="StyleZakonu"/>
              <w:rPr>
                <w:color w:val="000000" w:themeColor="text1"/>
              </w:rPr>
            </w:pPr>
            <w:r w:rsidRPr="00286216">
              <w:rPr>
                <w:color w:val="000000" w:themeColor="text1"/>
              </w:rPr>
              <w:t>3. Для виконання своїх обов’язків адміністратор має право:</w:t>
            </w:r>
          </w:p>
        </w:tc>
      </w:tr>
      <w:tr w:rsidR="009D68B8" w:rsidRPr="00286216" w14:paraId="2006AA28" w14:textId="77777777" w:rsidTr="00091AA5">
        <w:tc>
          <w:tcPr>
            <w:tcW w:w="576" w:type="dxa"/>
          </w:tcPr>
          <w:p w14:paraId="40520AFE" w14:textId="77777777" w:rsidR="009D68B8" w:rsidRPr="00286216" w:rsidRDefault="009D68B8" w:rsidP="009D68B8">
            <w:pPr>
              <w:pStyle w:val="StyleWisnow"/>
              <w:rPr>
                <w:color w:val="000000" w:themeColor="text1"/>
              </w:rPr>
            </w:pPr>
            <w:bookmarkStart w:id="1719" w:name="n1968" w:colFirst="0" w:colLast="0"/>
            <w:bookmarkEnd w:id="1718"/>
            <w:r w:rsidRPr="00286216">
              <w:rPr>
                <w:color w:val="000000" w:themeColor="text1"/>
              </w:rPr>
              <w:t>1968.</w:t>
            </w:r>
          </w:p>
        </w:tc>
        <w:tc>
          <w:tcPr>
            <w:tcW w:w="4818" w:type="dxa"/>
          </w:tcPr>
          <w:p w14:paraId="267C83F2" w14:textId="77777777" w:rsidR="009D68B8" w:rsidRPr="00286216" w:rsidRDefault="009D68B8" w:rsidP="009D68B8">
            <w:pPr>
              <w:pStyle w:val="StyleZakonu"/>
              <w:rPr>
                <w:color w:val="000000" w:themeColor="text1"/>
              </w:rPr>
            </w:pPr>
            <w:r w:rsidRPr="00286216">
              <w:rPr>
                <w:color w:val="000000" w:themeColor="text1"/>
              </w:rPr>
              <w:t>1) брати участь у підготовці правочинів щодо забезпечення виконання зобов’язань за облігаціями та/або змін до них (до реєстрації проспекту (рішення про емісію цінних паперів) вказане право надається особі, призначеній адміністратором відповідно до договору про призначення адміністратора);</w:t>
            </w:r>
          </w:p>
        </w:tc>
        <w:tc>
          <w:tcPr>
            <w:tcW w:w="3686" w:type="dxa"/>
          </w:tcPr>
          <w:p w14:paraId="11DEB44F" w14:textId="77777777" w:rsidR="009D68B8" w:rsidRPr="00286216" w:rsidRDefault="009D68B8" w:rsidP="009D68B8">
            <w:pPr>
              <w:pStyle w:val="StyleProp"/>
              <w:rPr>
                <w:color w:val="000000" w:themeColor="text1"/>
                <w:szCs w:val="18"/>
              </w:rPr>
            </w:pPr>
          </w:p>
        </w:tc>
        <w:tc>
          <w:tcPr>
            <w:tcW w:w="1987" w:type="dxa"/>
          </w:tcPr>
          <w:p w14:paraId="27B7E290" w14:textId="77777777" w:rsidR="009D68B8" w:rsidRPr="00286216" w:rsidRDefault="009D68B8" w:rsidP="009D68B8">
            <w:pPr>
              <w:pStyle w:val="StyleWisnow"/>
              <w:rPr>
                <w:color w:val="000000" w:themeColor="text1"/>
              </w:rPr>
            </w:pPr>
          </w:p>
        </w:tc>
        <w:tc>
          <w:tcPr>
            <w:tcW w:w="4818" w:type="dxa"/>
          </w:tcPr>
          <w:p w14:paraId="547B7A10" w14:textId="22011336" w:rsidR="009D68B8" w:rsidRPr="00286216" w:rsidRDefault="009D68B8" w:rsidP="009D68B8">
            <w:pPr>
              <w:pStyle w:val="StyleZakonu"/>
              <w:rPr>
                <w:color w:val="000000" w:themeColor="text1"/>
              </w:rPr>
            </w:pPr>
            <w:r w:rsidRPr="00286216">
              <w:rPr>
                <w:color w:val="000000" w:themeColor="text1"/>
              </w:rPr>
              <w:t>1) брати участь у підготовці правочинів щодо забезпечення виконання зобов’язань за облігаціями та/або змін до них (до реєстрації проспекту (рішення про емісію) таке право надається особі, призначеній адміністратором відповідно до договору про призначення адміністратора);</w:t>
            </w:r>
          </w:p>
        </w:tc>
      </w:tr>
      <w:tr w:rsidR="009D68B8" w:rsidRPr="00286216" w14:paraId="1A136410" w14:textId="77777777" w:rsidTr="00091AA5">
        <w:tc>
          <w:tcPr>
            <w:tcW w:w="576" w:type="dxa"/>
          </w:tcPr>
          <w:p w14:paraId="3ABA7B0D" w14:textId="77777777" w:rsidR="009D68B8" w:rsidRPr="00286216" w:rsidRDefault="009D68B8" w:rsidP="009D68B8">
            <w:pPr>
              <w:pStyle w:val="StyleWisnow"/>
              <w:rPr>
                <w:color w:val="000000" w:themeColor="text1"/>
              </w:rPr>
            </w:pPr>
            <w:bookmarkStart w:id="1720" w:name="n1969" w:colFirst="0" w:colLast="0"/>
            <w:bookmarkEnd w:id="1719"/>
            <w:r w:rsidRPr="00286216">
              <w:rPr>
                <w:color w:val="000000" w:themeColor="text1"/>
              </w:rPr>
              <w:t>1969.</w:t>
            </w:r>
          </w:p>
        </w:tc>
        <w:tc>
          <w:tcPr>
            <w:tcW w:w="4818" w:type="dxa"/>
          </w:tcPr>
          <w:p w14:paraId="1F0F763E" w14:textId="77777777" w:rsidR="009D68B8" w:rsidRPr="00286216" w:rsidRDefault="009D68B8" w:rsidP="009D68B8">
            <w:pPr>
              <w:pStyle w:val="StyleZakonu"/>
              <w:rPr>
                <w:color w:val="000000" w:themeColor="text1"/>
              </w:rPr>
            </w:pPr>
            <w:r w:rsidRPr="00286216">
              <w:rPr>
                <w:color w:val="000000" w:themeColor="text1"/>
              </w:rPr>
              <w:t>2) від свого імені та виключно в інтересах власників облігацій звертатися до суду та представляти в суді інтереси власників облігацій у випадках, передбачених цим Законом;</w:t>
            </w:r>
          </w:p>
        </w:tc>
        <w:tc>
          <w:tcPr>
            <w:tcW w:w="3686" w:type="dxa"/>
          </w:tcPr>
          <w:p w14:paraId="2F37FE2B" w14:textId="77777777" w:rsidR="009D68B8" w:rsidRPr="00286216" w:rsidRDefault="009D68B8" w:rsidP="009D68B8">
            <w:pPr>
              <w:pStyle w:val="StyleProp"/>
              <w:rPr>
                <w:color w:val="000000" w:themeColor="text1"/>
                <w:szCs w:val="18"/>
              </w:rPr>
            </w:pPr>
          </w:p>
        </w:tc>
        <w:tc>
          <w:tcPr>
            <w:tcW w:w="1987" w:type="dxa"/>
          </w:tcPr>
          <w:p w14:paraId="121E82B4" w14:textId="77777777" w:rsidR="009D68B8" w:rsidRPr="00286216" w:rsidRDefault="009D68B8" w:rsidP="009D68B8">
            <w:pPr>
              <w:pStyle w:val="StyleWisnow"/>
              <w:rPr>
                <w:color w:val="000000" w:themeColor="text1"/>
              </w:rPr>
            </w:pPr>
          </w:p>
        </w:tc>
        <w:tc>
          <w:tcPr>
            <w:tcW w:w="4818" w:type="dxa"/>
          </w:tcPr>
          <w:p w14:paraId="3788E704" w14:textId="34653FF5" w:rsidR="009D68B8" w:rsidRPr="00286216" w:rsidRDefault="009D68B8" w:rsidP="009D68B8">
            <w:pPr>
              <w:pStyle w:val="StyleZakonu"/>
              <w:rPr>
                <w:color w:val="000000" w:themeColor="text1"/>
              </w:rPr>
            </w:pPr>
            <w:r w:rsidRPr="00286216">
              <w:rPr>
                <w:color w:val="000000" w:themeColor="text1"/>
              </w:rPr>
              <w:t>2) від свого імені та виключно в інтересах власників облігацій звертатися до суду та представляти в суді інтереси власників облігацій у випадках, передбачених цим Законом;</w:t>
            </w:r>
          </w:p>
        </w:tc>
      </w:tr>
      <w:tr w:rsidR="009D68B8" w:rsidRPr="00286216" w14:paraId="412199DE" w14:textId="77777777" w:rsidTr="00091AA5">
        <w:tc>
          <w:tcPr>
            <w:tcW w:w="576" w:type="dxa"/>
          </w:tcPr>
          <w:p w14:paraId="74F28AF5" w14:textId="77777777" w:rsidR="009D68B8" w:rsidRPr="00286216" w:rsidRDefault="009D68B8" w:rsidP="009D68B8">
            <w:pPr>
              <w:pStyle w:val="StyleWisnow"/>
              <w:rPr>
                <w:color w:val="000000" w:themeColor="text1"/>
              </w:rPr>
            </w:pPr>
            <w:bookmarkStart w:id="1721" w:name="n1970" w:colFirst="0" w:colLast="0"/>
            <w:bookmarkEnd w:id="1720"/>
            <w:r w:rsidRPr="00286216">
              <w:rPr>
                <w:color w:val="000000" w:themeColor="text1"/>
              </w:rPr>
              <w:t>1970.</w:t>
            </w:r>
          </w:p>
        </w:tc>
        <w:tc>
          <w:tcPr>
            <w:tcW w:w="4818" w:type="dxa"/>
          </w:tcPr>
          <w:p w14:paraId="17C9CE58" w14:textId="77777777" w:rsidR="009D68B8" w:rsidRPr="00286216" w:rsidRDefault="009D68B8" w:rsidP="009D68B8">
            <w:pPr>
              <w:pStyle w:val="StyleZakonu"/>
              <w:rPr>
                <w:color w:val="000000" w:themeColor="text1"/>
              </w:rPr>
            </w:pPr>
            <w:r w:rsidRPr="00286216">
              <w:rPr>
                <w:color w:val="000000" w:themeColor="text1"/>
              </w:rPr>
              <w:t>3) від свого імені та виключно в інтересах власників облігацій брати участь у провадженнях у справах про банкрутство емітента та осіб, що надають забезпечення за облігаціями, у випадках, передбачених цим Законом;</w:t>
            </w:r>
          </w:p>
        </w:tc>
        <w:tc>
          <w:tcPr>
            <w:tcW w:w="3686" w:type="dxa"/>
          </w:tcPr>
          <w:p w14:paraId="33FDCAD4" w14:textId="77777777" w:rsidR="009D68B8" w:rsidRPr="00286216" w:rsidRDefault="009D68B8" w:rsidP="009D68B8">
            <w:pPr>
              <w:pStyle w:val="StyleProp"/>
              <w:rPr>
                <w:color w:val="000000" w:themeColor="text1"/>
                <w:szCs w:val="18"/>
              </w:rPr>
            </w:pPr>
          </w:p>
        </w:tc>
        <w:tc>
          <w:tcPr>
            <w:tcW w:w="1987" w:type="dxa"/>
          </w:tcPr>
          <w:p w14:paraId="2A5AFE15" w14:textId="77777777" w:rsidR="009D68B8" w:rsidRPr="00286216" w:rsidRDefault="009D68B8" w:rsidP="009D68B8">
            <w:pPr>
              <w:pStyle w:val="StyleWisnow"/>
              <w:rPr>
                <w:color w:val="000000" w:themeColor="text1"/>
              </w:rPr>
            </w:pPr>
          </w:p>
        </w:tc>
        <w:tc>
          <w:tcPr>
            <w:tcW w:w="4818" w:type="dxa"/>
          </w:tcPr>
          <w:p w14:paraId="7FD24803" w14:textId="3BA6F61B" w:rsidR="009D68B8" w:rsidRPr="00286216" w:rsidRDefault="009D68B8" w:rsidP="009D68B8">
            <w:pPr>
              <w:pStyle w:val="StyleZakonu"/>
              <w:rPr>
                <w:color w:val="000000" w:themeColor="text1"/>
              </w:rPr>
            </w:pPr>
            <w:r w:rsidRPr="00286216">
              <w:rPr>
                <w:color w:val="000000" w:themeColor="text1"/>
              </w:rPr>
              <w:t>3) від свого імені та виключно в інтересах власників облігацій брати участь у провадженнях у справах про банкрутство емітента та осіб, які надають забезпечення за облігаціями, у випадках, передбачених цим Законом;</w:t>
            </w:r>
          </w:p>
        </w:tc>
      </w:tr>
      <w:tr w:rsidR="009D68B8" w:rsidRPr="00286216" w14:paraId="13FB4987" w14:textId="77777777" w:rsidTr="00091AA5">
        <w:tc>
          <w:tcPr>
            <w:tcW w:w="576" w:type="dxa"/>
          </w:tcPr>
          <w:p w14:paraId="4118C060" w14:textId="77777777" w:rsidR="009D68B8" w:rsidRPr="00286216" w:rsidRDefault="009D68B8" w:rsidP="009D68B8">
            <w:pPr>
              <w:pStyle w:val="StyleWisnow"/>
              <w:rPr>
                <w:color w:val="000000" w:themeColor="text1"/>
              </w:rPr>
            </w:pPr>
            <w:bookmarkStart w:id="1722" w:name="n1971" w:colFirst="0" w:colLast="0"/>
            <w:bookmarkEnd w:id="1721"/>
            <w:r w:rsidRPr="00286216">
              <w:rPr>
                <w:color w:val="000000" w:themeColor="text1"/>
              </w:rPr>
              <w:t>1971.</w:t>
            </w:r>
          </w:p>
        </w:tc>
        <w:tc>
          <w:tcPr>
            <w:tcW w:w="4818" w:type="dxa"/>
          </w:tcPr>
          <w:p w14:paraId="6D98FDD6" w14:textId="77777777" w:rsidR="009D68B8" w:rsidRPr="00286216" w:rsidRDefault="009D68B8" w:rsidP="009D68B8">
            <w:pPr>
              <w:pStyle w:val="StyleZakonu"/>
              <w:rPr>
                <w:color w:val="000000" w:themeColor="text1"/>
              </w:rPr>
            </w:pPr>
            <w:r w:rsidRPr="00286216">
              <w:rPr>
                <w:color w:val="000000" w:themeColor="text1"/>
              </w:rPr>
              <w:t>4) перевіряти дотримання емітентом та особами, які надають забезпечення за облігаціями, своїх обов’язків (зокрема, вимагати необхідні документи та інформацію, перевіряти дотримання основних фінансових умов облігацій, нормативів);</w:t>
            </w:r>
          </w:p>
        </w:tc>
        <w:tc>
          <w:tcPr>
            <w:tcW w:w="3686" w:type="dxa"/>
          </w:tcPr>
          <w:p w14:paraId="214EE837" w14:textId="77777777" w:rsidR="009D68B8" w:rsidRPr="00286216" w:rsidRDefault="009D68B8" w:rsidP="009D68B8">
            <w:pPr>
              <w:pStyle w:val="StyleProp"/>
              <w:rPr>
                <w:color w:val="000000" w:themeColor="text1"/>
                <w:szCs w:val="18"/>
              </w:rPr>
            </w:pPr>
          </w:p>
        </w:tc>
        <w:tc>
          <w:tcPr>
            <w:tcW w:w="1987" w:type="dxa"/>
          </w:tcPr>
          <w:p w14:paraId="6B2F47FD" w14:textId="77777777" w:rsidR="009D68B8" w:rsidRPr="00286216" w:rsidRDefault="009D68B8" w:rsidP="009D68B8">
            <w:pPr>
              <w:pStyle w:val="StyleWisnow"/>
              <w:rPr>
                <w:color w:val="000000" w:themeColor="text1"/>
              </w:rPr>
            </w:pPr>
          </w:p>
        </w:tc>
        <w:tc>
          <w:tcPr>
            <w:tcW w:w="4818" w:type="dxa"/>
          </w:tcPr>
          <w:p w14:paraId="0FE9B617" w14:textId="16B9C072" w:rsidR="009D68B8" w:rsidRPr="00286216" w:rsidRDefault="009D68B8" w:rsidP="009D68B8">
            <w:pPr>
              <w:pStyle w:val="StyleZakonu"/>
              <w:rPr>
                <w:color w:val="000000" w:themeColor="text1"/>
              </w:rPr>
            </w:pPr>
            <w:r w:rsidRPr="00286216">
              <w:rPr>
                <w:color w:val="000000" w:themeColor="text1"/>
              </w:rPr>
              <w:t>4) перевіряти дотримання емітентом та особами, які надають забезпечення за облігаціями, своїх обов’язків (зокрема, вимагати необхідні документи та інформацію, перевіряти дотримання основних фінансових умов облігацій, нормативів);</w:t>
            </w:r>
          </w:p>
        </w:tc>
      </w:tr>
      <w:tr w:rsidR="009D68B8" w:rsidRPr="00286216" w14:paraId="4A4BC3C9" w14:textId="77777777" w:rsidTr="00091AA5">
        <w:tc>
          <w:tcPr>
            <w:tcW w:w="576" w:type="dxa"/>
          </w:tcPr>
          <w:p w14:paraId="2A408A39" w14:textId="77777777" w:rsidR="009D68B8" w:rsidRPr="00286216" w:rsidRDefault="009D68B8" w:rsidP="009D68B8">
            <w:pPr>
              <w:pStyle w:val="StyleWisnow"/>
              <w:rPr>
                <w:color w:val="000000" w:themeColor="text1"/>
              </w:rPr>
            </w:pPr>
            <w:bookmarkStart w:id="1723" w:name="n1972" w:colFirst="0" w:colLast="0"/>
            <w:bookmarkEnd w:id="1722"/>
            <w:r w:rsidRPr="00286216">
              <w:rPr>
                <w:color w:val="000000" w:themeColor="text1"/>
              </w:rPr>
              <w:t>1972.</w:t>
            </w:r>
          </w:p>
        </w:tc>
        <w:tc>
          <w:tcPr>
            <w:tcW w:w="4818" w:type="dxa"/>
          </w:tcPr>
          <w:p w14:paraId="09037FCE" w14:textId="77777777" w:rsidR="009D68B8" w:rsidRPr="00286216" w:rsidRDefault="009D68B8" w:rsidP="009D68B8">
            <w:pPr>
              <w:pStyle w:val="StyleZakonu"/>
              <w:rPr>
                <w:color w:val="000000" w:themeColor="text1"/>
              </w:rPr>
            </w:pPr>
            <w:r w:rsidRPr="00286216">
              <w:rPr>
                <w:color w:val="000000" w:themeColor="text1"/>
              </w:rPr>
              <w:t>5) надавати згоду на внесення емітентом змін до проспекту (рішення про емісію цінних паперів) та правочинів щодо забезпечення виконання зобов’язань за облігаціями у випадках, передбачених цим Законом;</w:t>
            </w:r>
          </w:p>
        </w:tc>
        <w:tc>
          <w:tcPr>
            <w:tcW w:w="3686" w:type="dxa"/>
          </w:tcPr>
          <w:p w14:paraId="664AC62B" w14:textId="77777777" w:rsidR="009D68B8" w:rsidRPr="00286216" w:rsidRDefault="009D68B8" w:rsidP="009D68B8">
            <w:pPr>
              <w:pStyle w:val="StyleProp"/>
              <w:rPr>
                <w:color w:val="000000" w:themeColor="text1"/>
                <w:szCs w:val="18"/>
              </w:rPr>
            </w:pPr>
          </w:p>
        </w:tc>
        <w:tc>
          <w:tcPr>
            <w:tcW w:w="1987" w:type="dxa"/>
          </w:tcPr>
          <w:p w14:paraId="5DA152A2" w14:textId="77777777" w:rsidR="009D68B8" w:rsidRPr="00286216" w:rsidRDefault="009D68B8" w:rsidP="009D68B8">
            <w:pPr>
              <w:pStyle w:val="StyleWisnow"/>
              <w:rPr>
                <w:color w:val="000000" w:themeColor="text1"/>
              </w:rPr>
            </w:pPr>
          </w:p>
        </w:tc>
        <w:tc>
          <w:tcPr>
            <w:tcW w:w="4818" w:type="dxa"/>
          </w:tcPr>
          <w:p w14:paraId="10EC0A17" w14:textId="1AB2EB3A" w:rsidR="009D68B8" w:rsidRPr="00286216" w:rsidRDefault="009D68B8" w:rsidP="009D68B8">
            <w:pPr>
              <w:pStyle w:val="StyleZakonu"/>
              <w:rPr>
                <w:color w:val="000000" w:themeColor="text1"/>
              </w:rPr>
            </w:pPr>
            <w:r w:rsidRPr="00286216">
              <w:rPr>
                <w:color w:val="000000" w:themeColor="text1"/>
              </w:rPr>
              <w:t>5) надавати згоду на внесення емітентом змін до проспекту (рішення про емісію цінних паперів) та правочинів щодо забезпечення виконання зобов’язань за облігаціями у випадках, передбачених цим Законом;</w:t>
            </w:r>
          </w:p>
        </w:tc>
      </w:tr>
      <w:tr w:rsidR="009D68B8" w:rsidRPr="00286216" w14:paraId="16E1F394" w14:textId="77777777" w:rsidTr="00091AA5">
        <w:tc>
          <w:tcPr>
            <w:tcW w:w="576" w:type="dxa"/>
          </w:tcPr>
          <w:p w14:paraId="57A2CF09" w14:textId="77777777" w:rsidR="009D68B8" w:rsidRPr="00286216" w:rsidRDefault="009D68B8" w:rsidP="009D68B8">
            <w:pPr>
              <w:pStyle w:val="StyleWisnow"/>
              <w:rPr>
                <w:color w:val="000000" w:themeColor="text1"/>
              </w:rPr>
            </w:pPr>
            <w:bookmarkStart w:id="1724" w:name="n1973" w:colFirst="0" w:colLast="0"/>
            <w:bookmarkEnd w:id="1723"/>
            <w:r w:rsidRPr="00286216">
              <w:rPr>
                <w:color w:val="000000" w:themeColor="text1"/>
              </w:rPr>
              <w:t>1973.</w:t>
            </w:r>
          </w:p>
        </w:tc>
        <w:tc>
          <w:tcPr>
            <w:tcW w:w="4818" w:type="dxa"/>
          </w:tcPr>
          <w:p w14:paraId="1BED5E05" w14:textId="77777777" w:rsidR="009D68B8" w:rsidRPr="00286216" w:rsidRDefault="009D68B8" w:rsidP="009D68B8">
            <w:pPr>
              <w:pStyle w:val="StyleZakonu"/>
              <w:rPr>
                <w:color w:val="000000" w:themeColor="text1"/>
              </w:rPr>
            </w:pPr>
            <w:r w:rsidRPr="00286216">
              <w:rPr>
                <w:color w:val="000000" w:themeColor="text1"/>
              </w:rPr>
              <w:t>6) здійснювати повноваження, надані йому рішеннями зборів власників облігацій.</w:t>
            </w:r>
          </w:p>
        </w:tc>
        <w:tc>
          <w:tcPr>
            <w:tcW w:w="3686" w:type="dxa"/>
          </w:tcPr>
          <w:p w14:paraId="7C3C9FCF" w14:textId="77777777" w:rsidR="009D68B8" w:rsidRPr="00286216" w:rsidRDefault="009D68B8" w:rsidP="009D68B8">
            <w:pPr>
              <w:pStyle w:val="StyleProp"/>
              <w:rPr>
                <w:color w:val="000000" w:themeColor="text1"/>
                <w:szCs w:val="18"/>
              </w:rPr>
            </w:pPr>
          </w:p>
        </w:tc>
        <w:tc>
          <w:tcPr>
            <w:tcW w:w="1987" w:type="dxa"/>
          </w:tcPr>
          <w:p w14:paraId="3CCBB8AB" w14:textId="77777777" w:rsidR="009D68B8" w:rsidRPr="00286216" w:rsidRDefault="009D68B8" w:rsidP="009D68B8">
            <w:pPr>
              <w:pStyle w:val="StyleWisnow"/>
              <w:rPr>
                <w:color w:val="000000" w:themeColor="text1"/>
              </w:rPr>
            </w:pPr>
          </w:p>
        </w:tc>
        <w:tc>
          <w:tcPr>
            <w:tcW w:w="4818" w:type="dxa"/>
          </w:tcPr>
          <w:p w14:paraId="6E784452" w14:textId="050B7D41" w:rsidR="009D68B8" w:rsidRPr="00286216" w:rsidRDefault="009D68B8" w:rsidP="009D68B8">
            <w:pPr>
              <w:pStyle w:val="StyleZakonu"/>
              <w:rPr>
                <w:color w:val="000000" w:themeColor="text1"/>
              </w:rPr>
            </w:pPr>
            <w:r w:rsidRPr="00286216">
              <w:rPr>
                <w:color w:val="000000" w:themeColor="text1"/>
              </w:rPr>
              <w:t>6) здійснювати повноваження, надані йому рішеннями зборів власників облігацій.</w:t>
            </w:r>
          </w:p>
        </w:tc>
      </w:tr>
      <w:tr w:rsidR="009D68B8" w:rsidRPr="00286216" w14:paraId="158D80FD" w14:textId="77777777" w:rsidTr="00091AA5">
        <w:tc>
          <w:tcPr>
            <w:tcW w:w="576" w:type="dxa"/>
          </w:tcPr>
          <w:p w14:paraId="754A3CEB" w14:textId="77777777" w:rsidR="009D68B8" w:rsidRPr="00286216" w:rsidRDefault="009D68B8" w:rsidP="009D68B8">
            <w:pPr>
              <w:pStyle w:val="StyleWisnow"/>
              <w:rPr>
                <w:color w:val="000000" w:themeColor="text1"/>
              </w:rPr>
            </w:pPr>
            <w:bookmarkStart w:id="1725" w:name="n1974" w:colFirst="0" w:colLast="0"/>
            <w:bookmarkEnd w:id="1724"/>
            <w:r w:rsidRPr="00286216">
              <w:rPr>
                <w:color w:val="000000" w:themeColor="text1"/>
              </w:rPr>
              <w:t>1974.</w:t>
            </w:r>
          </w:p>
        </w:tc>
        <w:tc>
          <w:tcPr>
            <w:tcW w:w="4818" w:type="dxa"/>
          </w:tcPr>
          <w:p w14:paraId="3C100080" w14:textId="77777777" w:rsidR="009D68B8" w:rsidRPr="00286216" w:rsidRDefault="009D68B8" w:rsidP="009D68B8">
            <w:pPr>
              <w:pStyle w:val="StyleZakonu"/>
              <w:rPr>
                <w:color w:val="000000" w:themeColor="text1"/>
              </w:rPr>
            </w:pPr>
            <w:r w:rsidRPr="00286216">
              <w:rPr>
                <w:color w:val="000000" w:themeColor="text1"/>
              </w:rPr>
              <w:t>4. Емітент, особи, які надають забезпечення за облігаціями, суб’єкт аудиторської діяльності, який надає послуги аудиту фінансової звітності емітенту та таким особам, власники облігацій зобов’язані на запит надавати адміністратору інформацію, необхідну йому для виконання своїх обов’язків.</w:t>
            </w:r>
          </w:p>
        </w:tc>
        <w:tc>
          <w:tcPr>
            <w:tcW w:w="3686" w:type="dxa"/>
          </w:tcPr>
          <w:p w14:paraId="4CF01587" w14:textId="77777777" w:rsidR="009D68B8" w:rsidRPr="00286216" w:rsidRDefault="009D68B8" w:rsidP="009D68B8">
            <w:pPr>
              <w:pStyle w:val="StyleProp"/>
              <w:rPr>
                <w:color w:val="000000" w:themeColor="text1"/>
                <w:szCs w:val="18"/>
              </w:rPr>
            </w:pPr>
          </w:p>
        </w:tc>
        <w:tc>
          <w:tcPr>
            <w:tcW w:w="1987" w:type="dxa"/>
          </w:tcPr>
          <w:p w14:paraId="3176AC84" w14:textId="77777777" w:rsidR="009D68B8" w:rsidRPr="00286216" w:rsidRDefault="009D68B8" w:rsidP="009D68B8">
            <w:pPr>
              <w:pStyle w:val="StyleWisnow"/>
              <w:rPr>
                <w:color w:val="000000" w:themeColor="text1"/>
              </w:rPr>
            </w:pPr>
          </w:p>
        </w:tc>
        <w:tc>
          <w:tcPr>
            <w:tcW w:w="4818" w:type="dxa"/>
          </w:tcPr>
          <w:p w14:paraId="30C520F1" w14:textId="7C65295A" w:rsidR="009D68B8" w:rsidRPr="00286216" w:rsidRDefault="009D68B8" w:rsidP="009D68B8">
            <w:pPr>
              <w:pStyle w:val="StyleZakonu"/>
              <w:rPr>
                <w:color w:val="000000" w:themeColor="text1"/>
              </w:rPr>
            </w:pPr>
            <w:r w:rsidRPr="00286216">
              <w:rPr>
                <w:color w:val="000000" w:themeColor="text1"/>
              </w:rPr>
              <w:t>4. Емітент, особи, які надають забезпечення за облігаціями, суб’єкт аудиторської діяльності, який надає послуги аудиту фінансової звітності емітенту та таким особам, власники облігацій зобов’язані на запит надавати адміністратору інформацію, необхідну йому для виконання своїх обов’язків.</w:t>
            </w:r>
          </w:p>
        </w:tc>
      </w:tr>
      <w:tr w:rsidR="009D68B8" w:rsidRPr="00286216" w14:paraId="6DFE030C" w14:textId="77777777" w:rsidTr="00091AA5">
        <w:tc>
          <w:tcPr>
            <w:tcW w:w="576" w:type="dxa"/>
          </w:tcPr>
          <w:p w14:paraId="709A2FAA" w14:textId="77777777" w:rsidR="009D68B8" w:rsidRPr="00286216" w:rsidRDefault="009D68B8" w:rsidP="009D68B8">
            <w:pPr>
              <w:pStyle w:val="StyleWisnow"/>
              <w:rPr>
                <w:color w:val="000000" w:themeColor="text1"/>
              </w:rPr>
            </w:pPr>
            <w:bookmarkStart w:id="1726" w:name="n1975" w:colFirst="0" w:colLast="0"/>
            <w:bookmarkEnd w:id="1725"/>
            <w:r w:rsidRPr="00286216">
              <w:rPr>
                <w:color w:val="000000" w:themeColor="text1"/>
              </w:rPr>
              <w:t>1975.</w:t>
            </w:r>
          </w:p>
        </w:tc>
        <w:tc>
          <w:tcPr>
            <w:tcW w:w="4818" w:type="dxa"/>
          </w:tcPr>
          <w:p w14:paraId="66239114" w14:textId="77777777" w:rsidR="009D68B8" w:rsidRPr="00286216" w:rsidRDefault="009D68B8" w:rsidP="009D68B8">
            <w:pPr>
              <w:pStyle w:val="StyleZakonu"/>
              <w:rPr>
                <w:color w:val="000000" w:themeColor="text1"/>
              </w:rPr>
            </w:pPr>
            <w:r w:rsidRPr="00286216">
              <w:rPr>
                <w:color w:val="000000" w:themeColor="text1"/>
              </w:rPr>
              <w:t>5. Адміністратор зобов’язаний добросовісно діяти в інтересах всіх власників облігацій відповідного випуску.</w:t>
            </w:r>
          </w:p>
        </w:tc>
        <w:tc>
          <w:tcPr>
            <w:tcW w:w="3686" w:type="dxa"/>
          </w:tcPr>
          <w:p w14:paraId="7D81A413" w14:textId="77777777" w:rsidR="009D68B8" w:rsidRPr="00286216" w:rsidRDefault="009D68B8" w:rsidP="009D68B8">
            <w:pPr>
              <w:pStyle w:val="StyleProp"/>
              <w:rPr>
                <w:color w:val="000000" w:themeColor="text1"/>
                <w:szCs w:val="18"/>
              </w:rPr>
            </w:pPr>
          </w:p>
        </w:tc>
        <w:tc>
          <w:tcPr>
            <w:tcW w:w="1987" w:type="dxa"/>
          </w:tcPr>
          <w:p w14:paraId="718057BF" w14:textId="77777777" w:rsidR="009D68B8" w:rsidRPr="00286216" w:rsidRDefault="009D68B8" w:rsidP="009D68B8">
            <w:pPr>
              <w:pStyle w:val="StyleWisnow"/>
              <w:rPr>
                <w:color w:val="000000" w:themeColor="text1"/>
              </w:rPr>
            </w:pPr>
          </w:p>
        </w:tc>
        <w:tc>
          <w:tcPr>
            <w:tcW w:w="4818" w:type="dxa"/>
          </w:tcPr>
          <w:p w14:paraId="63B33B7C" w14:textId="50CF29FF" w:rsidR="009D68B8" w:rsidRPr="00286216" w:rsidRDefault="009D68B8" w:rsidP="009D68B8">
            <w:pPr>
              <w:pStyle w:val="StyleZakonu"/>
              <w:rPr>
                <w:color w:val="000000" w:themeColor="text1"/>
              </w:rPr>
            </w:pPr>
            <w:r w:rsidRPr="00286216">
              <w:rPr>
                <w:color w:val="000000" w:themeColor="text1"/>
              </w:rPr>
              <w:t>5. Адміністратор зобов’язаний добросовісно діяти в інтересах всіх власників облігацій відповідного випуску.</w:t>
            </w:r>
          </w:p>
        </w:tc>
      </w:tr>
      <w:tr w:rsidR="009D68B8" w:rsidRPr="00286216" w14:paraId="5E4B1EC3" w14:textId="77777777" w:rsidTr="00091AA5">
        <w:tc>
          <w:tcPr>
            <w:tcW w:w="576" w:type="dxa"/>
          </w:tcPr>
          <w:p w14:paraId="44C7DEFE" w14:textId="77777777" w:rsidR="009D68B8" w:rsidRPr="00286216" w:rsidRDefault="009D68B8" w:rsidP="009D68B8">
            <w:pPr>
              <w:pStyle w:val="StyleWisnow"/>
              <w:rPr>
                <w:color w:val="000000" w:themeColor="text1"/>
              </w:rPr>
            </w:pPr>
            <w:bookmarkStart w:id="1727" w:name="n1976" w:colFirst="0" w:colLast="0"/>
            <w:bookmarkEnd w:id="1726"/>
            <w:r w:rsidRPr="00286216">
              <w:rPr>
                <w:color w:val="000000" w:themeColor="text1"/>
              </w:rPr>
              <w:t>1976.</w:t>
            </w:r>
          </w:p>
        </w:tc>
        <w:tc>
          <w:tcPr>
            <w:tcW w:w="4818" w:type="dxa"/>
          </w:tcPr>
          <w:p w14:paraId="42C28506" w14:textId="77777777" w:rsidR="009D68B8" w:rsidRPr="00286216" w:rsidRDefault="009D68B8" w:rsidP="009D68B8">
            <w:pPr>
              <w:pStyle w:val="StyleZakonu"/>
              <w:rPr>
                <w:color w:val="000000" w:themeColor="text1"/>
              </w:rPr>
            </w:pPr>
            <w:r w:rsidRPr="00286216">
              <w:rPr>
                <w:color w:val="000000" w:themeColor="text1"/>
              </w:rPr>
              <w:t xml:space="preserve">6. Адміністратор діє від свого імені в інтересах власників облігацій на підставі договору про призначення адміністратора. Адміністратор діє без </w:t>
            </w:r>
            <w:r w:rsidRPr="00286216">
              <w:rPr>
                <w:color w:val="000000" w:themeColor="text1"/>
              </w:rPr>
              <w:lastRenderedPageBreak/>
              <w:t>довіреності.</w:t>
            </w:r>
          </w:p>
        </w:tc>
        <w:tc>
          <w:tcPr>
            <w:tcW w:w="3686" w:type="dxa"/>
          </w:tcPr>
          <w:p w14:paraId="3B760D59" w14:textId="77777777" w:rsidR="009D68B8" w:rsidRPr="00286216" w:rsidRDefault="009D68B8" w:rsidP="009D68B8">
            <w:pPr>
              <w:pStyle w:val="StyleProp"/>
              <w:rPr>
                <w:color w:val="000000" w:themeColor="text1"/>
                <w:szCs w:val="18"/>
              </w:rPr>
            </w:pPr>
          </w:p>
        </w:tc>
        <w:tc>
          <w:tcPr>
            <w:tcW w:w="1987" w:type="dxa"/>
          </w:tcPr>
          <w:p w14:paraId="3AEAE4D3" w14:textId="77777777" w:rsidR="009D68B8" w:rsidRPr="00286216" w:rsidRDefault="009D68B8" w:rsidP="009D68B8">
            <w:pPr>
              <w:pStyle w:val="StyleWisnow"/>
              <w:rPr>
                <w:color w:val="000000" w:themeColor="text1"/>
              </w:rPr>
            </w:pPr>
          </w:p>
        </w:tc>
        <w:tc>
          <w:tcPr>
            <w:tcW w:w="4818" w:type="dxa"/>
          </w:tcPr>
          <w:p w14:paraId="60595628" w14:textId="0AECC706" w:rsidR="009D68B8" w:rsidRPr="00286216" w:rsidRDefault="009D68B8" w:rsidP="009D68B8">
            <w:pPr>
              <w:pStyle w:val="StyleZakonu"/>
              <w:rPr>
                <w:color w:val="000000" w:themeColor="text1"/>
              </w:rPr>
            </w:pPr>
            <w:r w:rsidRPr="00286216">
              <w:rPr>
                <w:color w:val="000000" w:themeColor="text1"/>
              </w:rPr>
              <w:t xml:space="preserve">6. Адміністратор діє від свого імені в інтересах власників облігацій на підставі договору про призначення адміністратора. Адміністратор діє без </w:t>
            </w:r>
            <w:r w:rsidRPr="00286216">
              <w:rPr>
                <w:color w:val="000000" w:themeColor="text1"/>
              </w:rPr>
              <w:lastRenderedPageBreak/>
              <w:t>довіреності.</w:t>
            </w:r>
          </w:p>
        </w:tc>
      </w:tr>
      <w:tr w:rsidR="009D68B8" w:rsidRPr="00286216" w14:paraId="4E357541" w14:textId="77777777" w:rsidTr="00091AA5">
        <w:tc>
          <w:tcPr>
            <w:tcW w:w="576" w:type="dxa"/>
          </w:tcPr>
          <w:p w14:paraId="02E7FDB4" w14:textId="77777777" w:rsidR="009D68B8" w:rsidRPr="00286216" w:rsidRDefault="009D68B8" w:rsidP="009D68B8">
            <w:pPr>
              <w:pStyle w:val="StyleWisnow"/>
              <w:rPr>
                <w:color w:val="000000" w:themeColor="text1"/>
              </w:rPr>
            </w:pPr>
            <w:bookmarkStart w:id="1728" w:name="n1977" w:colFirst="0" w:colLast="0"/>
            <w:bookmarkEnd w:id="1727"/>
            <w:r w:rsidRPr="00286216">
              <w:rPr>
                <w:color w:val="000000" w:themeColor="text1"/>
              </w:rPr>
              <w:lastRenderedPageBreak/>
              <w:t>1977.</w:t>
            </w:r>
          </w:p>
        </w:tc>
        <w:tc>
          <w:tcPr>
            <w:tcW w:w="4818" w:type="dxa"/>
          </w:tcPr>
          <w:p w14:paraId="18FC9438" w14:textId="77777777" w:rsidR="009D68B8" w:rsidRPr="00286216" w:rsidRDefault="009D68B8" w:rsidP="009D68B8">
            <w:pPr>
              <w:pStyle w:val="StyleZakonu"/>
              <w:rPr>
                <w:color w:val="000000" w:themeColor="text1"/>
              </w:rPr>
            </w:pPr>
            <w:r w:rsidRPr="00286216">
              <w:rPr>
                <w:color w:val="000000" w:themeColor="text1"/>
              </w:rPr>
              <w:t>У всіх правочинах, вчинених адміністратором, та документах, що видаються адміністратором у ході виконання ним своїх обов’язків та/або реалізації своїх прав, повинно зазначатися, що він є адміністратором.</w:t>
            </w:r>
          </w:p>
        </w:tc>
        <w:tc>
          <w:tcPr>
            <w:tcW w:w="3686" w:type="dxa"/>
          </w:tcPr>
          <w:p w14:paraId="2CCEFA2B" w14:textId="77777777" w:rsidR="009D68B8" w:rsidRPr="00286216" w:rsidRDefault="009D68B8" w:rsidP="009D68B8">
            <w:pPr>
              <w:pStyle w:val="StyleProp"/>
              <w:rPr>
                <w:color w:val="000000" w:themeColor="text1"/>
                <w:szCs w:val="18"/>
              </w:rPr>
            </w:pPr>
          </w:p>
        </w:tc>
        <w:tc>
          <w:tcPr>
            <w:tcW w:w="1987" w:type="dxa"/>
          </w:tcPr>
          <w:p w14:paraId="1B601B97" w14:textId="77777777" w:rsidR="009D68B8" w:rsidRPr="00286216" w:rsidRDefault="009D68B8" w:rsidP="009D68B8">
            <w:pPr>
              <w:pStyle w:val="StyleWisnow"/>
              <w:rPr>
                <w:color w:val="000000" w:themeColor="text1"/>
              </w:rPr>
            </w:pPr>
          </w:p>
        </w:tc>
        <w:tc>
          <w:tcPr>
            <w:tcW w:w="4818" w:type="dxa"/>
          </w:tcPr>
          <w:p w14:paraId="510F2CC5" w14:textId="4F803420" w:rsidR="009D68B8" w:rsidRPr="00286216" w:rsidRDefault="009D68B8" w:rsidP="009D68B8">
            <w:pPr>
              <w:pStyle w:val="StyleZakonu"/>
              <w:rPr>
                <w:color w:val="000000" w:themeColor="text1"/>
              </w:rPr>
            </w:pPr>
            <w:r w:rsidRPr="00286216">
              <w:rPr>
                <w:color w:val="000000" w:themeColor="text1"/>
              </w:rPr>
              <w:t>У всіх правочинах, вчинених адміністратором, та документах, що видаються адміністратором у ході виконання ним своїх обов’язків та/або реалізації ним своїх прав, має зазначатися, що він є адміністратором.</w:t>
            </w:r>
          </w:p>
        </w:tc>
      </w:tr>
      <w:tr w:rsidR="009D68B8" w:rsidRPr="00286216" w14:paraId="5A2B74FC" w14:textId="77777777" w:rsidTr="00091AA5">
        <w:tc>
          <w:tcPr>
            <w:tcW w:w="576" w:type="dxa"/>
          </w:tcPr>
          <w:p w14:paraId="73E029D5" w14:textId="77777777" w:rsidR="009D68B8" w:rsidRPr="00286216" w:rsidRDefault="009D68B8" w:rsidP="009D68B8">
            <w:pPr>
              <w:pStyle w:val="StyleWisnow"/>
              <w:rPr>
                <w:color w:val="000000" w:themeColor="text1"/>
              </w:rPr>
            </w:pPr>
            <w:bookmarkStart w:id="1729" w:name="n1978" w:colFirst="0" w:colLast="0"/>
            <w:bookmarkEnd w:id="1728"/>
            <w:r w:rsidRPr="00286216">
              <w:rPr>
                <w:color w:val="000000" w:themeColor="text1"/>
              </w:rPr>
              <w:t>1978.</w:t>
            </w:r>
          </w:p>
        </w:tc>
        <w:tc>
          <w:tcPr>
            <w:tcW w:w="4818" w:type="dxa"/>
          </w:tcPr>
          <w:p w14:paraId="79B1CDCE" w14:textId="77777777" w:rsidR="009D68B8" w:rsidRPr="00286216" w:rsidRDefault="009D68B8" w:rsidP="009D68B8">
            <w:pPr>
              <w:pStyle w:val="StyleZakonu"/>
              <w:rPr>
                <w:color w:val="000000" w:themeColor="text1"/>
              </w:rPr>
            </w:pPr>
            <w:r w:rsidRPr="00286216">
              <w:rPr>
                <w:color w:val="000000" w:themeColor="text1"/>
              </w:rPr>
              <w:t>У разі призначення адміністратор погоджує правочини щодо забезпечення виконання зобов’язань за облігаціями і є стороною кожного з договорів щодо забезпечення виконання зобов’язань за облігаціями.</w:t>
            </w:r>
          </w:p>
        </w:tc>
        <w:tc>
          <w:tcPr>
            <w:tcW w:w="3686" w:type="dxa"/>
          </w:tcPr>
          <w:p w14:paraId="35315ABD" w14:textId="77777777" w:rsidR="009D68B8" w:rsidRPr="00286216" w:rsidRDefault="009D68B8" w:rsidP="009D68B8">
            <w:pPr>
              <w:pStyle w:val="StyleProp"/>
              <w:rPr>
                <w:color w:val="000000" w:themeColor="text1"/>
                <w:szCs w:val="18"/>
              </w:rPr>
            </w:pPr>
          </w:p>
        </w:tc>
        <w:tc>
          <w:tcPr>
            <w:tcW w:w="1987" w:type="dxa"/>
          </w:tcPr>
          <w:p w14:paraId="4172C4B9" w14:textId="77777777" w:rsidR="009D68B8" w:rsidRPr="00286216" w:rsidRDefault="009D68B8" w:rsidP="009D68B8">
            <w:pPr>
              <w:pStyle w:val="StyleWisnow"/>
              <w:rPr>
                <w:color w:val="000000" w:themeColor="text1"/>
              </w:rPr>
            </w:pPr>
          </w:p>
        </w:tc>
        <w:tc>
          <w:tcPr>
            <w:tcW w:w="4818" w:type="dxa"/>
          </w:tcPr>
          <w:p w14:paraId="6AF1D2A8" w14:textId="6E0C80A6" w:rsidR="009D68B8" w:rsidRPr="00286216" w:rsidRDefault="009D68B8" w:rsidP="009D68B8">
            <w:pPr>
              <w:pStyle w:val="StyleZakonu"/>
              <w:rPr>
                <w:color w:val="000000" w:themeColor="text1"/>
              </w:rPr>
            </w:pPr>
            <w:r w:rsidRPr="00286216">
              <w:rPr>
                <w:color w:val="000000" w:themeColor="text1"/>
              </w:rPr>
              <w:t>У разі призначення адміністратор погоджує правочини щодо забезпечення виконання зобов’язань за облігаціями і є стороною кожного з договорів щодо забезпечення виконання зобов’язань за облігаціями.</w:t>
            </w:r>
          </w:p>
        </w:tc>
      </w:tr>
      <w:tr w:rsidR="009D68B8" w:rsidRPr="00286216" w14:paraId="575C9544" w14:textId="77777777" w:rsidTr="00091AA5">
        <w:tc>
          <w:tcPr>
            <w:tcW w:w="576" w:type="dxa"/>
          </w:tcPr>
          <w:p w14:paraId="5033CE6C" w14:textId="77777777" w:rsidR="009D68B8" w:rsidRPr="00286216" w:rsidRDefault="009D68B8" w:rsidP="009D68B8">
            <w:pPr>
              <w:pStyle w:val="StyleWisnow"/>
              <w:rPr>
                <w:color w:val="000000" w:themeColor="text1"/>
              </w:rPr>
            </w:pPr>
            <w:bookmarkStart w:id="1730" w:name="n1979" w:colFirst="0" w:colLast="0"/>
            <w:bookmarkEnd w:id="1729"/>
            <w:r w:rsidRPr="00286216">
              <w:rPr>
                <w:color w:val="000000" w:themeColor="text1"/>
              </w:rPr>
              <w:t>1979.</w:t>
            </w:r>
          </w:p>
        </w:tc>
        <w:tc>
          <w:tcPr>
            <w:tcW w:w="4818" w:type="dxa"/>
          </w:tcPr>
          <w:p w14:paraId="6E82EE22" w14:textId="77777777" w:rsidR="009D68B8" w:rsidRPr="00286216" w:rsidRDefault="009D68B8" w:rsidP="009D68B8">
            <w:pPr>
              <w:pStyle w:val="StyleZakonu"/>
              <w:rPr>
                <w:color w:val="000000" w:themeColor="text1"/>
              </w:rPr>
            </w:pPr>
            <w:r w:rsidRPr="00286216">
              <w:rPr>
                <w:color w:val="000000" w:themeColor="text1"/>
              </w:rPr>
              <w:t>Новий адміністратор є правонаступником адміністратора, повноваження якого припинилися, за кожним з правочинів щодо забезпечення виконання зобов’язань за облігаціями без необхідності вчинення будь-яких інших правочинів з цією метою.</w:t>
            </w:r>
          </w:p>
        </w:tc>
        <w:tc>
          <w:tcPr>
            <w:tcW w:w="3686" w:type="dxa"/>
          </w:tcPr>
          <w:p w14:paraId="2FF67395" w14:textId="77777777" w:rsidR="009D68B8" w:rsidRPr="00286216" w:rsidRDefault="009D68B8" w:rsidP="009D68B8">
            <w:pPr>
              <w:pStyle w:val="StyleProp"/>
              <w:rPr>
                <w:color w:val="000000" w:themeColor="text1"/>
                <w:szCs w:val="18"/>
              </w:rPr>
            </w:pPr>
          </w:p>
        </w:tc>
        <w:tc>
          <w:tcPr>
            <w:tcW w:w="1987" w:type="dxa"/>
          </w:tcPr>
          <w:p w14:paraId="1CBCDDE4" w14:textId="77777777" w:rsidR="009D68B8" w:rsidRPr="00286216" w:rsidRDefault="009D68B8" w:rsidP="009D68B8">
            <w:pPr>
              <w:pStyle w:val="StyleWisnow"/>
              <w:rPr>
                <w:color w:val="000000" w:themeColor="text1"/>
              </w:rPr>
            </w:pPr>
          </w:p>
        </w:tc>
        <w:tc>
          <w:tcPr>
            <w:tcW w:w="4818" w:type="dxa"/>
          </w:tcPr>
          <w:p w14:paraId="1499479A" w14:textId="37652491" w:rsidR="009D68B8" w:rsidRPr="00286216" w:rsidRDefault="009D68B8" w:rsidP="009D68B8">
            <w:pPr>
              <w:pStyle w:val="StyleZakonu"/>
              <w:rPr>
                <w:color w:val="000000" w:themeColor="text1"/>
              </w:rPr>
            </w:pPr>
            <w:r w:rsidRPr="00286216">
              <w:rPr>
                <w:color w:val="000000" w:themeColor="text1"/>
              </w:rPr>
              <w:t>Новий адміністратор є правонаступником адміністратора, повноваження якого припинилися, за кожним з правочинів щодо забезпечення виконання зобов’язань за облігаціями без необхідності вчинення будь-яких інших правочинів з цією метою.</w:t>
            </w:r>
          </w:p>
        </w:tc>
      </w:tr>
      <w:tr w:rsidR="009D68B8" w:rsidRPr="00286216" w14:paraId="2E926E72" w14:textId="77777777" w:rsidTr="00091AA5">
        <w:tc>
          <w:tcPr>
            <w:tcW w:w="576" w:type="dxa"/>
          </w:tcPr>
          <w:p w14:paraId="15D745FF" w14:textId="77777777" w:rsidR="009D68B8" w:rsidRPr="00286216" w:rsidRDefault="009D68B8" w:rsidP="009D68B8">
            <w:pPr>
              <w:pStyle w:val="StyleWisnow"/>
              <w:rPr>
                <w:color w:val="000000" w:themeColor="text1"/>
              </w:rPr>
            </w:pPr>
            <w:bookmarkStart w:id="1731" w:name="n1980" w:colFirst="0" w:colLast="0"/>
            <w:bookmarkEnd w:id="1730"/>
            <w:r w:rsidRPr="00286216">
              <w:rPr>
                <w:color w:val="000000" w:themeColor="text1"/>
              </w:rPr>
              <w:t>1980.</w:t>
            </w:r>
          </w:p>
        </w:tc>
        <w:tc>
          <w:tcPr>
            <w:tcW w:w="4818" w:type="dxa"/>
          </w:tcPr>
          <w:p w14:paraId="7EA4F783" w14:textId="77777777" w:rsidR="009D68B8" w:rsidRPr="00286216" w:rsidRDefault="009D68B8" w:rsidP="009D68B8">
            <w:pPr>
              <w:pStyle w:val="StyleZakonu"/>
              <w:rPr>
                <w:color w:val="000000" w:themeColor="text1"/>
              </w:rPr>
            </w:pPr>
            <w:r w:rsidRPr="00286216">
              <w:rPr>
                <w:color w:val="000000" w:themeColor="text1"/>
              </w:rPr>
              <w:t>7. У випадку покладення на адміністратора певних обов’язків та/або надання йому певних прав зборами власників облігацій, жоден з власників облігацій не може реалізовувати відповідні права в індивідуальному порядку, крім випадків, передбачених законом та/або рішеннями зборів.</w:t>
            </w:r>
          </w:p>
        </w:tc>
        <w:tc>
          <w:tcPr>
            <w:tcW w:w="3686" w:type="dxa"/>
          </w:tcPr>
          <w:p w14:paraId="19B85F6B" w14:textId="77777777" w:rsidR="009D68B8" w:rsidRPr="00286216" w:rsidRDefault="009D68B8" w:rsidP="009D68B8">
            <w:pPr>
              <w:pStyle w:val="StyleProp"/>
              <w:rPr>
                <w:color w:val="000000" w:themeColor="text1"/>
                <w:szCs w:val="18"/>
              </w:rPr>
            </w:pPr>
          </w:p>
        </w:tc>
        <w:tc>
          <w:tcPr>
            <w:tcW w:w="1987" w:type="dxa"/>
          </w:tcPr>
          <w:p w14:paraId="5131450A" w14:textId="77777777" w:rsidR="009D68B8" w:rsidRPr="00286216" w:rsidRDefault="009D68B8" w:rsidP="009D68B8">
            <w:pPr>
              <w:pStyle w:val="StyleWisnow"/>
              <w:rPr>
                <w:color w:val="000000" w:themeColor="text1"/>
              </w:rPr>
            </w:pPr>
          </w:p>
        </w:tc>
        <w:tc>
          <w:tcPr>
            <w:tcW w:w="4818" w:type="dxa"/>
          </w:tcPr>
          <w:p w14:paraId="6A32812C" w14:textId="1CA038E8" w:rsidR="009D68B8" w:rsidRPr="00286216" w:rsidRDefault="009D68B8" w:rsidP="009D68B8">
            <w:pPr>
              <w:pStyle w:val="StyleZakonu"/>
              <w:rPr>
                <w:color w:val="000000" w:themeColor="text1"/>
              </w:rPr>
            </w:pPr>
            <w:r w:rsidRPr="00286216">
              <w:rPr>
                <w:color w:val="000000" w:themeColor="text1"/>
              </w:rPr>
              <w:t>7. У разі покладення на адміністратора певних обов’язків та/або надання йому певних прав зборами власників облігацій жоден з власників облігацій не може реалізовувати відповідні права в індивідуальному порядку, крім випадків, передбачених законом та/або рішеннями зборів.</w:t>
            </w:r>
          </w:p>
        </w:tc>
      </w:tr>
      <w:tr w:rsidR="009D68B8" w:rsidRPr="00286216" w14:paraId="13FBEC09" w14:textId="77777777" w:rsidTr="00091AA5">
        <w:tc>
          <w:tcPr>
            <w:tcW w:w="576" w:type="dxa"/>
          </w:tcPr>
          <w:p w14:paraId="42A3CFC0" w14:textId="77777777" w:rsidR="009D68B8" w:rsidRPr="00286216" w:rsidRDefault="009D68B8" w:rsidP="009D68B8">
            <w:pPr>
              <w:pStyle w:val="StyleWisnow"/>
              <w:rPr>
                <w:color w:val="000000" w:themeColor="text1"/>
              </w:rPr>
            </w:pPr>
            <w:bookmarkStart w:id="1732" w:name="n1981" w:colFirst="0" w:colLast="0"/>
            <w:bookmarkEnd w:id="1731"/>
            <w:r w:rsidRPr="00286216">
              <w:rPr>
                <w:color w:val="000000" w:themeColor="text1"/>
              </w:rPr>
              <w:t>1981.</w:t>
            </w:r>
          </w:p>
        </w:tc>
        <w:tc>
          <w:tcPr>
            <w:tcW w:w="4818" w:type="dxa"/>
          </w:tcPr>
          <w:p w14:paraId="2165C567" w14:textId="77777777" w:rsidR="009D68B8" w:rsidRPr="00286216" w:rsidRDefault="009D68B8" w:rsidP="009D68B8">
            <w:pPr>
              <w:pStyle w:val="StyleZakonu"/>
              <w:rPr>
                <w:color w:val="000000" w:themeColor="text1"/>
              </w:rPr>
            </w:pPr>
            <w:bookmarkStart w:id="1733" w:name="_Ref16418223"/>
            <w:r w:rsidRPr="00286216">
              <w:rPr>
                <w:color w:val="000000" w:themeColor="text1"/>
              </w:rPr>
              <w:t>Стаття 115. Конфлікт інтересів та відповідальність адміністратора</w:t>
            </w:r>
            <w:bookmarkEnd w:id="1733"/>
          </w:p>
        </w:tc>
        <w:tc>
          <w:tcPr>
            <w:tcW w:w="3686" w:type="dxa"/>
          </w:tcPr>
          <w:p w14:paraId="5852D34A" w14:textId="77777777" w:rsidR="009D68B8" w:rsidRPr="00286216" w:rsidRDefault="009D68B8" w:rsidP="009D68B8">
            <w:pPr>
              <w:pStyle w:val="StyleProp"/>
              <w:rPr>
                <w:color w:val="000000" w:themeColor="text1"/>
                <w:szCs w:val="18"/>
              </w:rPr>
            </w:pPr>
          </w:p>
        </w:tc>
        <w:tc>
          <w:tcPr>
            <w:tcW w:w="1987" w:type="dxa"/>
          </w:tcPr>
          <w:p w14:paraId="7C8093AC" w14:textId="77777777" w:rsidR="009D68B8" w:rsidRPr="00286216" w:rsidRDefault="009D68B8" w:rsidP="009D68B8">
            <w:pPr>
              <w:pStyle w:val="StyleWisnow"/>
              <w:rPr>
                <w:color w:val="000000" w:themeColor="text1"/>
              </w:rPr>
            </w:pPr>
          </w:p>
        </w:tc>
        <w:tc>
          <w:tcPr>
            <w:tcW w:w="4818" w:type="dxa"/>
          </w:tcPr>
          <w:p w14:paraId="6BAE2CDC" w14:textId="141341AF" w:rsidR="009D68B8" w:rsidRPr="00286216" w:rsidRDefault="009D68B8" w:rsidP="009D68B8">
            <w:pPr>
              <w:pStyle w:val="StyleZakonu"/>
              <w:rPr>
                <w:color w:val="000000" w:themeColor="text1"/>
              </w:rPr>
            </w:pPr>
            <w:r w:rsidRPr="00286216">
              <w:rPr>
                <w:color w:val="000000" w:themeColor="text1"/>
              </w:rPr>
              <w:t>Стаття 119. Конфлікт інтересів та відповідальність адміністратора</w:t>
            </w:r>
          </w:p>
        </w:tc>
      </w:tr>
      <w:tr w:rsidR="009D68B8" w:rsidRPr="00286216" w14:paraId="060D1199" w14:textId="77777777" w:rsidTr="00091AA5">
        <w:tc>
          <w:tcPr>
            <w:tcW w:w="576" w:type="dxa"/>
          </w:tcPr>
          <w:p w14:paraId="429ACF57" w14:textId="77777777" w:rsidR="009D68B8" w:rsidRPr="00286216" w:rsidRDefault="009D68B8" w:rsidP="009D68B8">
            <w:pPr>
              <w:pStyle w:val="StyleWisnow"/>
              <w:rPr>
                <w:color w:val="000000" w:themeColor="text1"/>
              </w:rPr>
            </w:pPr>
            <w:bookmarkStart w:id="1734" w:name="n1982" w:colFirst="0" w:colLast="0"/>
            <w:bookmarkEnd w:id="1732"/>
            <w:r w:rsidRPr="00286216">
              <w:rPr>
                <w:color w:val="000000" w:themeColor="text1"/>
              </w:rPr>
              <w:t>1982.</w:t>
            </w:r>
          </w:p>
        </w:tc>
        <w:tc>
          <w:tcPr>
            <w:tcW w:w="4818" w:type="dxa"/>
          </w:tcPr>
          <w:p w14:paraId="48110DAD" w14:textId="77777777" w:rsidR="009D68B8" w:rsidRPr="00286216" w:rsidRDefault="009D68B8" w:rsidP="009D68B8">
            <w:pPr>
              <w:pStyle w:val="StyleZakonu"/>
              <w:rPr>
                <w:color w:val="000000" w:themeColor="text1"/>
              </w:rPr>
            </w:pPr>
            <w:r w:rsidRPr="00286216">
              <w:rPr>
                <w:color w:val="000000" w:themeColor="text1"/>
              </w:rPr>
              <w:t>1. Адміністратор, якому стало відомо про наявність або можливість виникнення конфлікту між його інтересами та інтересами власників облігацій (далі - конфлікт інтересів) або про інші обставини, через які адміністратор не може або в майбутньому не зможе виконувати свої обов’язки (зокрема, у зв’язку з порушенням провадження у справі про банкрутство або ліквідацією, зобов’язаний повідомити про такий конфлікт інтересів та/або обставини всім власникам облігацій через депозитарну систему України та емітенту.</w:t>
            </w:r>
          </w:p>
        </w:tc>
        <w:tc>
          <w:tcPr>
            <w:tcW w:w="3686" w:type="dxa"/>
          </w:tcPr>
          <w:p w14:paraId="51469437" w14:textId="77777777" w:rsidR="009D68B8" w:rsidRPr="00286216" w:rsidRDefault="009D68B8" w:rsidP="009D68B8">
            <w:pPr>
              <w:pStyle w:val="StyleProp"/>
              <w:rPr>
                <w:color w:val="000000" w:themeColor="text1"/>
                <w:szCs w:val="18"/>
              </w:rPr>
            </w:pPr>
          </w:p>
        </w:tc>
        <w:tc>
          <w:tcPr>
            <w:tcW w:w="1987" w:type="dxa"/>
          </w:tcPr>
          <w:p w14:paraId="1BB0F12D" w14:textId="77777777" w:rsidR="009D68B8" w:rsidRPr="00286216" w:rsidRDefault="009D68B8" w:rsidP="009D68B8">
            <w:pPr>
              <w:pStyle w:val="StyleWisnow"/>
              <w:rPr>
                <w:color w:val="000000" w:themeColor="text1"/>
              </w:rPr>
            </w:pPr>
          </w:p>
        </w:tc>
        <w:tc>
          <w:tcPr>
            <w:tcW w:w="4818" w:type="dxa"/>
          </w:tcPr>
          <w:p w14:paraId="6E21141A" w14:textId="3961DC0D" w:rsidR="009D68B8" w:rsidRPr="00286216" w:rsidRDefault="009D68B8" w:rsidP="009D68B8">
            <w:pPr>
              <w:pStyle w:val="StyleZakonu"/>
              <w:rPr>
                <w:color w:val="000000" w:themeColor="text1"/>
              </w:rPr>
            </w:pPr>
            <w:r w:rsidRPr="00286216">
              <w:rPr>
                <w:color w:val="000000" w:themeColor="text1"/>
              </w:rPr>
              <w:t>1. Адміністратор, якому стало відомо про наявність або можливість виникнення конфлікту між його інтересами та інтересами власників облігацій (далі - конфлікт інтересів) або про інші обставини, через які адміністратор не може або в майбутньому не зможе виконувати свої обов’язки (зокрема, у зв’язку з порушенням провадження у справі про банкрутство або ліквідацією), зобов’язаний повідомити про такий конфлікт інтересів та/або обставини всім власникам облігацій через депозитарну систему України та емітенту.</w:t>
            </w:r>
          </w:p>
        </w:tc>
      </w:tr>
      <w:tr w:rsidR="009D68B8" w:rsidRPr="00286216" w14:paraId="1BF88DB1" w14:textId="77777777" w:rsidTr="00091AA5">
        <w:tc>
          <w:tcPr>
            <w:tcW w:w="576" w:type="dxa"/>
          </w:tcPr>
          <w:p w14:paraId="3E68E0A4" w14:textId="77777777" w:rsidR="009D68B8" w:rsidRPr="00286216" w:rsidRDefault="009D68B8" w:rsidP="009D68B8">
            <w:pPr>
              <w:pStyle w:val="StyleWisnow"/>
              <w:rPr>
                <w:color w:val="000000" w:themeColor="text1"/>
              </w:rPr>
            </w:pPr>
            <w:bookmarkStart w:id="1735" w:name="n1983" w:colFirst="0" w:colLast="0"/>
            <w:bookmarkEnd w:id="1734"/>
            <w:r w:rsidRPr="00286216">
              <w:rPr>
                <w:color w:val="000000" w:themeColor="text1"/>
              </w:rPr>
              <w:t>1983.</w:t>
            </w:r>
          </w:p>
        </w:tc>
        <w:tc>
          <w:tcPr>
            <w:tcW w:w="4818" w:type="dxa"/>
          </w:tcPr>
          <w:p w14:paraId="587EC70C" w14:textId="77777777" w:rsidR="009D68B8" w:rsidRPr="00286216" w:rsidRDefault="009D68B8" w:rsidP="009D68B8">
            <w:pPr>
              <w:pStyle w:val="StyleZakonu"/>
              <w:rPr>
                <w:color w:val="000000" w:themeColor="text1"/>
              </w:rPr>
            </w:pPr>
            <w:r w:rsidRPr="00286216">
              <w:rPr>
                <w:color w:val="000000" w:themeColor="text1"/>
              </w:rPr>
              <w:t>Конфлікт інтересів вважається наявним, якщо:</w:t>
            </w:r>
          </w:p>
        </w:tc>
        <w:tc>
          <w:tcPr>
            <w:tcW w:w="3686" w:type="dxa"/>
          </w:tcPr>
          <w:p w14:paraId="12A6FE8A" w14:textId="77777777" w:rsidR="009D68B8" w:rsidRPr="00286216" w:rsidRDefault="009D68B8" w:rsidP="009D68B8">
            <w:pPr>
              <w:pStyle w:val="StyleProp"/>
              <w:rPr>
                <w:color w:val="000000" w:themeColor="text1"/>
                <w:szCs w:val="18"/>
              </w:rPr>
            </w:pPr>
          </w:p>
        </w:tc>
        <w:tc>
          <w:tcPr>
            <w:tcW w:w="1987" w:type="dxa"/>
          </w:tcPr>
          <w:p w14:paraId="2B7FAC2E" w14:textId="77777777" w:rsidR="009D68B8" w:rsidRPr="00286216" w:rsidRDefault="009D68B8" w:rsidP="009D68B8">
            <w:pPr>
              <w:pStyle w:val="StyleWisnow"/>
              <w:rPr>
                <w:color w:val="000000" w:themeColor="text1"/>
              </w:rPr>
            </w:pPr>
          </w:p>
        </w:tc>
        <w:tc>
          <w:tcPr>
            <w:tcW w:w="4818" w:type="dxa"/>
          </w:tcPr>
          <w:p w14:paraId="5BFD3574" w14:textId="0F912614" w:rsidR="009D68B8" w:rsidRPr="00286216" w:rsidRDefault="009D68B8" w:rsidP="009D68B8">
            <w:pPr>
              <w:pStyle w:val="StyleZakonu"/>
              <w:rPr>
                <w:color w:val="000000" w:themeColor="text1"/>
              </w:rPr>
            </w:pPr>
            <w:r w:rsidRPr="00286216">
              <w:rPr>
                <w:color w:val="000000" w:themeColor="text1"/>
              </w:rPr>
              <w:t>Конфлікт інтересів вважається наявним, якщо:</w:t>
            </w:r>
          </w:p>
        </w:tc>
      </w:tr>
      <w:tr w:rsidR="009D68B8" w:rsidRPr="00286216" w14:paraId="6463F917" w14:textId="77777777" w:rsidTr="00091AA5">
        <w:tc>
          <w:tcPr>
            <w:tcW w:w="576" w:type="dxa"/>
          </w:tcPr>
          <w:p w14:paraId="29607E04" w14:textId="77777777" w:rsidR="009D68B8" w:rsidRPr="00286216" w:rsidRDefault="009D68B8" w:rsidP="009D68B8">
            <w:pPr>
              <w:pStyle w:val="StyleWisnow"/>
              <w:rPr>
                <w:color w:val="000000" w:themeColor="text1"/>
              </w:rPr>
            </w:pPr>
            <w:bookmarkStart w:id="1736" w:name="n1984" w:colFirst="0" w:colLast="0"/>
            <w:bookmarkEnd w:id="1735"/>
            <w:r w:rsidRPr="00286216">
              <w:rPr>
                <w:color w:val="000000" w:themeColor="text1"/>
              </w:rPr>
              <w:t>1984.</w:t>
            </w:r>
          </w:p>
        </w:tc>
        <w:tc>
          <w:tcPr>
            <w:tcW w:w="4818" w:type="dxa"/>
          </w:tcPr>
          <w:p w14:paraId="75CF3A90" w14:textId="77777777" w:rsidR="009D68B8" w:rsidRPr="00286216" w:rsidRDefault="009D68B8" w:rsidP="009D68B8">
            <w:pPr>
              <w:pStyle w:val="StyleZakonu"/>
              <w:rPr>
                <w:color w:val="000000" w:themeColor="text1"/>
              </w:rPr>
            </w:pPr>
            <w:r w:rsidRPr="00286216">
              <w:rPr>
                <w:color w:val="000000" w:themeColor="text1"/>
              </w:rPr>
              <w:t>1) адміністратор є особою, пов’язаною відносинами контролю з емітентом та/або особою, яка надає забезпечення за облігаціями;</w:t>
            </w:r>
          </w:p>
        </w:tc>
        <w:tc>
          <w:tcPr>
            <w:tcW w:w="3686" w:type="dxa"/>
          </w:tcPr>
          <w:p w14:paraId="2A06A1B9" w14:textId="77777777" w:rsidR="009D68B8" w:rsidRPr="00286216" w:rsidRDefault="009D68B8" w:rsidP="009D68B8">
            <w:pPr>
              <w:pStyle w:val="StyleProp"/>
              <w:rPr>
                <w:color w:val="000000" w:themeColor="text1"/>
                <w:szCs w:val="18"/>
              </w:rPr>
            </w:pPr>
          </w:p>
        </w:tc>
        <w:tc>
          <w:tcPr>
            <w:tcW w:w="1987" w:type="dxa"/>
          </w:tcPr>
          <w:p w14:paraId="5B76EFFA" w14:textId="77777777" w:rsidR="009D68B8" w:rsidRPr="00286216" w:rsidRDefault="009D68B8" w:rsidP="009D68B8">
            <w:pPr>
              <w:pStyle w:val="StyleWisnow"/>
              <w:rPr>
                <w:color w:val="000000" w:themeColor="text1"/>
              </w:rPr>
            </w:pPr>
          </w:p>
        </w:tc>
        <w:tc>
          <w:tcPr>
            <w:tcW w:w="4818" w:type="dxa"/>
          </w:tcPr>
          <w:p w14:paraId="7CE12561" w14:textId="01F7378F" w:rsidR="009D68B8" w:rsidRPr="00286216" w:rsidRDefault="009D68B8" w:rsidP="009D68B8">
            <w:pPr>
              <w:pStyle w:val="StyleZakonu"/>
              <w:rPr>
                <w:color w:val="000000" w:themeColor="text1"/>
              </w:rPr>
            </w:pPr>
            <w:r w:rsidRPr="00286216">
              <w:rPr>
                <w:color w:val="000000" w:themeColor="text1"/>
              </w:rPr>
              <w:t>1) адміністратор є особою, пов’язаною відносинами контролю з емітентом та/або особою, яка надає забезпечення за облігаціями;</w:t>
            </w:r>
          </w:p>
        </w:tc>
      </w:tr>
      <w:tr w:rsidR="009D68B8" w:rsidRPr="00286216" w14:paraId="7EB80D7A" w14:textId="77777777" w:rsidTr="00091AA5">
        <w:tc>
          <w:tcPr>
            <w:tcW w:w="576" w:type="dxa"/>
          </w:tcPr>
          <w:p w14:paraId="6A57D520" w14:textId="77777777" w:rsidR="009D68B8" w:rsidRPr="00286216" w:rsidRDefault="009D68B8" w:rsidP="009D68B8">
            <w:pPr>
              <w:pStyle w:val="StyleWisnow"/>
              <w:rPr>
                <w:color w:val="000000" w:themeColor="text1"/>
              </w:rPr>
            </w:pPr>
            <w:bookmarkStart w:id="1737" w:name="n1985" w:colFirst="0" w:colLast="0"/>
            <w:bookmarkEnd w:id="1736"/>
            <w:r w:rsidRPr="00286216">
              <w:rPr>
                <w:color w:val="000000" w:themeColor="text1"/>
              </w:rPr>
              <w:t>1985.</w:t>
            </w:r>
          </w:p>
        </w:tc>
        <w:tc>
          <w:tcPr>
            <w:tcW w:w="4818" w:type="dxa"/>
          </w:tcPr>
          <w:p w14:paraId="46980A6F" w14:textId="77777777" w:rsidR="009D68B8" w:rsidRPr="00286216" w:rsidRDefault="009D68B8" w:rsidP="009D68B8">
            <w:pPr>
              <w:pStyle w:val="StyleZakonu"/>
              <w:rPr>
                <w:color w:val="000000" w:themeColor="text1"/>
              </w:rPr>
            </w:pPr>
            <w:r w:rsidRPr="00286216">
              <w:rPr>
                <w:color w:val="000000" w:themeColor="text1"/>
              </w:rPr>
              <w:t>2) адміністратор є особою, в якій особи, зазначені у пункті 1 цієї частини, сукупно прямо та/або опосередковано володіють частками, паями або акціями, що відповідає еквіваленту більше 50 відсотків статутного (складеного) капіталу та/або голосів у вищому органі управління;</w:t>
            </w:r>
          </w:p>
        </w:tc>
        <w:tc>
          <w:tcPr>
            <w:tcW w:w="3686" w:type="dxa"/>
          </w:tcPr>
          <w:p w14:paraId="51D52E0C" w14:textId="77777777" w:rsidR="009D68B8" w:rsidRPr="00286216" w:rsidRDefault="009D68B8" w:rsidP="009D68B8">
            <w:pPr>
              <w:pStyle w:val="StyleProp"/>
              <w:rPr>
                <w:color w:val="000000" w:themeColor="text1"/>
                <w:szCs w:val="18"/>
              </w:rPr>
            </w:pPr>
          </w:p>
        </w:tc>
        <w:tc>
          <w:tcPr>
            <w:tcW w:w="1987" w:type="dxa"/>
          </w:tcPr>
          <w:p w14:paraId="7A546782" w14:textId="77777777" w:rsidR="009D68B8" w:rsidRPr="00286216" w:rsidRDefault="009D68B8" w:rsidP="009D68B8">
            <w:pPr>
              <w:pStyle w:val="StyleWisnow"/>
              <w:rPr>
                <w:color w:val="000000" w:themeColor="text1"/>
              </w:rPr>
            </w:pPr>
          </w:p>
        </w:tc>
        <w:tc>
          <w:tcPr>
            <w:tcW w:w="4818" w:type="dxa"/>
          </w:tcPr>
          <w:p w14:paraId="1313EEAD" w14:textId="1FA28D53" w:rsidR="009D68B8" w:rsidRPr="00286216" w:rsidRDefault="009D68B8" w:rsidP="009D68B8">
            <w:pPr>
              <w:pStyle w:val="StyleZakonu"/>
              <w:rPr>
                <w:color w:val="000000" w:themeColor="text1"/>
              </w:rPr>
            </w:pPr>
            <w:r w:rsidRPr="00286216">
              <w:rPr>
                <w:color w:val="000000" w:themeColor="text1"/>
              </w:rPr>
              <w:t>2) адміністратор є особою, в якій особи, зазначені у пункті 1 цієї частини, сукупно прямо та/або опосередковано володіють частками, паями або акціями, що відповідає еквіваленту більш як 50 відсотків статутного (складеного) капіталу та/або голосів у вищому органі управління;</w:t>
            </w:r>
          </w:p>
        </w:tc>
      </w:tr>
      <w:tr w:rsidR="009D68B8" w:rsidRPr="00286216" w14:paraId="22CB6454" w14:textId="77777777" w:rsidTr="00091AA5">
        <w:tc>
          <w:tcPr>
            <w:tcW w:w="576" w:type="dxa"/>
          </w:tcPr>
          <w:p w14:paraId="75EA0F15" w14:textId="77777777" w:rsidR="009D68B8" w:rsidRPr="00286216" w:rsidRDefault="009D68B8" w:rsidP="009D68B8">
            <w:pPr>
              <w:pStyle w:val="StyleWisnow"/>
              <w:rPr>
                <w:color w:val="000000" w:themeColor="text1"/>
              </w:rPr>
            </w:pPr>
            <w:bookmarkStart w:id="1738" w:name="n1986" w:colFirst="0" w:colLast="0"/>
            <w:bookmarkEnd w:id="1737"/>
            <w:r w:rsidRPr="00286216">
              <w:rPr>
                <w:color w:val="000000" w:themeColor="text1"/>
              </w:rPr>
              <w:lastRenderedPageBreak/>
              <w:t>1986.</w:t>
            </w:r>
          </w:p>
        </w:tc>
        <w:tc>
          <w:tcPr>
            <w:tcW w:w="4818" w:type="dxa"/>
          </w:tcPr>
          <w:p w14:paraId="2F518BF2" w14:textId="77777777" w:rsidR="009D68B8" w:rsidRPr="00286216" w:rsidRDefault="009D68B8" w:rsidP="009D68B8">
            <w:pPr>
              <w:pStyle w:val="StyleZakonu"/>
              <w:rPr>
                <w:color w:val="000000" w:themeColor="text1"/>
              </w:rPr>
            </w:pPr>
            <w:r w:rsidRPr="00286216">
              <w:rPr>
                <w:color w:val="000000" w:themeColor="text1"/>
              </w:rPr>
              <w:t>3) адміністратор самостійно або в сукупності з особами, пов’язаними відносинами контролю з ним, є власником (власниками) п’яти відсотків або більшої кількості облігацій відповідного випуску;</w:t>
            </w:r>
          </w:p>
        </w:tc>
        <w:tc>
          <w:tcPr>
            <w:tcW w:w="3686" w:type="dxa"/>
          </w:tcPr>
          <w:p w14:paraId="66728B5E" w14:textId="77777777" w:rsidR="009D68B8" w:rsidRPr="00286216" w:rsidRDefault="009D68B8" w:rsidP="009D68B8">
            <w:pPr>
              <w:pStyle w:val="StyleProp"/>
              <w:rPr>
                <w:color w:val="000000" w:themeColor="text1"/>
                <w:szCs w:val="18"/>
              </w:rPr>
            </w:pPr>
          </w:p>
        </w:tc>
        <w:tc>
          <w:tcPr>
            <w:tcW w:w="1987" w:type="dxa"/>
          </w:tcPr>
          <w:p w14:paraId="535987CA" w14:textId="77777777" w:rsidR="009D68B8" w:rsidRPr="00286216" w:rsidRDefault="009D68B8" w:rsidP="009D68B8">
            <w:pPr>
              <w:pStyle w:val="StyleWisnow"/>
              <w:rPr>
                <w:color w:val="000000" w:themeColor="text1"/>
              </w:rPr>
            </w:pPr>
          </w:p>
        </w:tc>
        <w:tc>
          <w:tcPr>
            <w:tcW w:w="4818" w:type="dxa"/>
          </w:tcPr>
          <w:p w14:paraId="2CBB26C7" w14:textId="3DE97761" w:rsidR="009D68B8" w:rsidRPr="00286216" w:rsidRDefault="009D68B8" w:rsidP="009D68B8">
            <w:pPr>
              <w:pStyle w:val="StyleZakonu"/>
              <w:rPr>
                <w:color w:val="000000" w:themeColor="text1"/>
              </w:rPr>
            </w:pPr>
            <w:r w:rsidRPr="00286216">
              <w:rPr>
                <w:color w:val="000000" w:themeColor="text1"/>
              </w:rPr>
              <w:t>3) адміністратор самостійно або в сукупності з особами, пов’язаними відносинами контролю з ним, є власником (власниками) п’яти відсотків або більшої кількості облігацій відповідного випуску;</w:t>
            </w:r>
          </w:p>
        </w:tc>
      </w:tr>
      <w:tr w:rsidR="009D68B8" w:rsidRPr="00286216" w14:paraId="0E9F88C5" w14:textId="77777777" w:rsidTr="00091AA5">
        <w:tc>
          <w:tcPr>
            <w:tcW w:w="576" w:type="dxa"/>
          </w:tcPr>
          <w:p w14:paraId="6FD4C1A8" w14:textId="77777777" w:rsidR="009D68B8" w:rsidRPr="00286216" w:rsidRDefault="009D68B8" w:rsidP="009D68B8">
            <w:pPr>
              <w:pStyle w:val="StyleWisnow"/>
              <w:rPr>
                <w:color w:val="000000" w:themeColor="text1"/>
              </w:rPr>
            </w:pPr>
            <w:bookmarkStart w:id="1739" w:name="n1987" w:colFirst="0" w:colLast="0"/>
            <w:bookmarkEnd w:id="1738"/>
            <w:r w:rsidRPr="00286216">
              <w:rPr>
                <w:color w:val="000000" w:themeColor="text1"/>
              </w:rPr>
              <w:t>1987.</w:t>
            </w:r>
          </w:p>
        </w:tc>
        <w:tc>
          <w:tcPr>
            <w:tcW w:w="4818" w:type="dxa"/>
          </w:tcPr>
          <w:p w14:paraId="50162D63" w14:textId="77777777" w:rsidR="009D68B8" w:rsidRPr="00286216" w:rsidRDefault="009D68B8" w:rsidP="009D68B8">
            <w:pPr>
              <w:pStyle w:val="StyleZakonu"/>
              <w:rPr>
                <w:color w:val="000000" w:themeColor="text1"/>
              </w:rPr>
            </w:pPr>
            <w:r w:rsidRPr="00286216">
              <w:rPr>
                <w:color w:val="000000" w:themeColor="text1"/>
              </w:rPr>
              <w:t>4) адміністратор надав забезпечення виконання зобов’язань за облігаціями, щодо яких він є адміністратором.</w:t>
            </w:r>
          </w:p>
        </w:tc>
        <w:tc>
          <w:tcPr>
            <w:tcW w:w="3686" w:type="dxa"/>
          </w:tcPr>
          <w:p w14:paraId="7DD80368" w14:textId="77777777" w:rsidR="009D68B8" w:rsidRPr="00286216" w:rsidRDefault="009D68B8" w:rsidP="009D68B8">
            <w:pPr>
              <w:pStyle w:val="StyleProp"/>
              <w:rPr>
                <w:color w:val="000000" w:themeColor="text1"/>
                <w:szCs w:val="18"/>
              </w:rPr>
            </w:pPr>
          </w:p>
        </w:tc>
        <w:tc>
          <w:tcPr>
            <w:tcW w:w="1987" w:type="dxa"/>
          </w:tcPr>
          <w:p w14:paraId="6307A1D1" w14:textId="77777777" w:rsidR="009D68B8" w:rsidRPr="00286216" w:rsidRDefault="009D68B8" w:rsidP="009D68B8">
            <w:pPr>
              <w:pStyle w:val="StyleWisnow"/>
              <w:rPr>
                <w:color w:val="000000" w:themeColor="text1"/>
              </w:rPr>
            </w:pPr>
          </w:p>
        </w:tc>
        <w:tc>
          <w:tcPr>
            <w:tcW w:w="4818" w:type="dxa"/>
          </w:tcPr>
          <w:p w14:paraId="36D7C4A4" w14:textId="46AD5923" w:rsidR="009D68B8" w:rsidRPr="00286216" w:rsidRDefault="009D68B8" w:rsidP="009D68B8">
            <w:pPr>
              <w:pStyle w:val="StyleZakonu"/>
              <w:rPr>
                <w:color w:val="000000" w:themeColor="text1"/>
              </w:rPr>
            </w:pPr>
            <w:r w:rsidRPr="00286216">
              <w:rPr>
                <w:color w:val="000000" w:themeColor="text1"/>
              </w:rPr>
              <w:t>4) адміністратор надав забезпечення виконання зобов’язань за облігаціями, щодо яких він є адміністратором.</w:t>
            </w:r>
          </w:p>
        </w:tc>
      </w:tr>
      <w:tr w:rsidR="009D68B8" w:rsidRPr="00286216" w14:paraId="2DC332C5" w14:textId="77777777" w:rsidTr="00091AA5">
        <w:tc>
          <w:tcPr>
            <w:tcW w:w="576" w:type="dxa"/>
          </w:tcPr>
          <w:p w14:paraId="194EA218" w14:textId="77777777" w:rsidR="009D68B8" w:rsidRPr="00286216" w:rsidRDefault="009D68B8" w:rsidP="009D68B8">
            <w:pPr>
              <w:pStyle w:val="StyleWisnow"/>
              <w:rPr>
                <w:color w:val="000000" w:themeColor="text1"/>
              </w:rPr>
            </w:pPr>
            <w:bookmarkStart w:id="1740" w:name="n1988" w:colFirst="0" w:colLast="0"/>
            <w:bookmarkEnd w:id="1739"/>
            <w:r w:rsidRPr="00286216">
              <w:rPr>
                <w:color w:val="000000" w:themeColor="text1"/>
              </w:rPr>
              <w:t>1988.</w:t>
            </w:r>
          </w:p>
        </w:tc>
        <w:tc>
          <w:tcPr>
            <w:tcW w:w="4818" w:type="dxa"/>
          </w:tcPr>
          <w:p w14:paraId="78AD32DB" w14:textId="77777777" w:rsidR="009D68B8" w:rsidRPr="00286216" w:rsidRDefault="009D68B8" w:rsidP="009D68B8">
            <w:pPr>
              <w:pStyle w:val="StyleZakonu"/>
              <w:rPr>
                <w:color w:val="000000" w:themeColor="text1"/>
              </w:rPr>
            </w:pPr>
            <w:r w:rsidRPr="00286216">
              <w:rPr>
                <w:color w:val="000000" w:themeColor="text1"/>
              </w:rPr>
              <w:t>До призначення (обрання) особи адміністратором вона зобов’язана повідомити емітента (а у разі обрання - власників облігацій) про наявність або можливість виникнення конфлікту інтересів.</w:t>
            </w:r>
          </w:p>
        </w:tc>
        <w:tc>
          <w:tcPr>
            <w:tcW w:w="3686" w:type="dxa"/>
          </w:tcPr>
          <w:p w14:paraId="2784E7FB" w14:textId="77777777" w:rsidR="009D68B8" w:rsidRPr="00286216" w:rsidRDefault="009D68B8" w:rsidP="009D68B8">
            <w:pPr>
              <w:pStyle w:val="StyleProp"/>
              <w:rPr>
                <w:color w:val="000000" w:themeColor="text1"/>
                <w:szCs w:val="18"/>
              </w:rPr>
            </w:pPr>
          </w:p>
        </w:tc>
        <w:tc>
          <w:tcPr>
            <w:tcW w:w="1987" w:type="dxa"/>
          </w:tcPr>
          <w:p w14:paraId="30C45BBB" w14:textId="77777777" w:rsidR="009D68B8" w:rsidRPr="00286216" w:rsidRDefault="009D68B8" w:rsidP="009D68B8">
            <w:pPr>
              <w:pStyle w:val="StyleWisnow"/>
              <w:rPr>
                <w:color w:val="000000" w:themeColor="text1"/>
              </w:rPr>
            </w:pPr>
          </w:p>
        </w:tc>
        <w:tc>
          <w:tcPr>
            <w:tcW w:w="4818" w:type="dxa"/>
          </w:tcPr>
          <w:p w14:paraId="77FFDCB6" w14:textId="7F039E8A" w:rsidR="009D68B8" w:rsidRPr="00286216" w:rsidRDefault="009D68B8" w:rsidP="009D68B8">
            <w:pPr>
              <w:pStyle w:val="StyleZakonu"/>
              <w:rPr>
                <w:color w:val="000000" w:themeColor="text1"/>
              </w:rPr>
            </w:pPr>
            <w:r w:rsidRPr="00286216">
              <w:rPr>
                <w:color w:val="000000" w:themeColor="text1"/>
              </w:rPr>
              <w:t>До призначення (обрання) особи адміністратором вона зобов’язана повідомити емітента (а в разі обрання - власників облігацій) про наявність або можливість виникнення конфлікту інтересів.</w:t>
            </w:r>
          </w:p>
        </w:tc>
      </w:tr>
      <w:tr w:rsidR="009D68B8" w:rsidRPr="00286216" w14:paraId="64425616" w14:textId="77777777" w:rsidTr="00091AA5">
        <w:tc>
          <w:tcPr>
            <w:tcW w:w="576" w:type="dxa"/>
          </w:tcPr>
          <w:p w14:paraId="347F84C3" w14:textId="77777777" w:rsidR="009D68B8" w:rsidRPr="00286216" w:rsidRDefault="009D68B8" w:rsidP="009D68B8">
            <w:pPr>
              <w:pStyle w:val="StyleWisnow"/>
              <w:rPr>
                <w:color w:val="000000" w:themeColor="text1"/>
              </w:rPr>
            </w:pPr>
            <w:bookmarkStart w:id="1741" w:name="n1989" w:colFirst="0" w:colLast="0"/>
            <w:bookmarkEnd w:id="1740"/>
            <w:r w:rsidRPr="00286216">
              <w:rPr>
                <w:color w:val="000000" w:themeColor="text1"/>
              </w:rPr>
              <w:t>1989.</w:t>
            </w:r>
          </w:p>
        </w:tc>
        <w:tc>
          <w:tcPr>
            <w:tcW w:w="4818" w:type="dxa"/>
          </w:tcPr>
          <w:p w14:paraId="1B14F479" w14:textId="77777777" w:rsidR="009D68B8" w:rsidRPr="00286216" w:rsidRDefault="009D68B8" w:rsidP="009D68B8">
            <w:pPr>
              <w:pStyle w:val="StyleZakonu"/>
              <w:rPr>
                <w:color w:val="000000" w:themeColor="text1"/>
              </w:rPr>
            </w:pPr>
            <w:r w:rsidRPr="00286216">
              <w:rPr>
                <w:color w:val="000000" w:themeColor="text1"/>
              </w:rPr>
              <w:t>2. Адміністратор несе відповідальність перед власниками облігацій за невиконання або неналежне виконання своїх обов’язків. Розмір відповідальності адміністратора обмежується десятикратним розміром річної оплати його послуг за договором про призначення адміністратора.</w:t>
            </w:r>
          </w:p>
        </w:tc>
        <w:tc>
          <w:tcPr>
            <w:tcW w:w="3686" w:type="dxa"/>
          </w:tcPr>
          <w:p w14:paraId="0DF39250" w14:textId="77777777" w:rsidR="009D68B8" w:rsidRPr="00286216" w:rsidRDefault="009D68B8" w:rsidP="009D68B8">
            <w:pPr>
              <w:pStyle w:val="StyleProp"/>
              <w:rPr>
                <w:color w:val="000000" w:themeColor="text1"/>
                <w:szCs w:val="18"/>
              </w:rPr>
            </w:pPr>
          </w:p>
        </w:tc>
        <w:tc>
          <w:tcPr>
            <w:tcW w:w="1987" w:type="dxa"/>
          </w:tcPr>
          <w:p w14:paraId="5440BE0F" w14:textId="77777777" w:rsidR="009D68B8" w:rsidRPr="00286216" w:rsidRDefault="009D68B8" w:rsidP="009D68B8">
            <w:pPr>
              <w:pStyle w:val="StyleWisnow"/>
              <w:rPr>
                <w:color w:val="000000" w:themeColor="text1"/>
              </w:rPr>
            </w:pPr>
          </w:p>
        </w:tc>
        <w:tc>
          <w:tcPr>
            <w:tcW w:w="4818" w:type="dxa"/>
          </w:tcPr>
          <w:p w14:paraId="52C82BBA" w14:textId="3EC3A330" w:rsidR="009D68B8" w:rsidRPr="00286216" w:rsidRDefault="009D68B8" w:rsidP="009D68B8">
            <w:pPr>
              <w:pStyle w:val="StyleZakonu"/>
              <w:rPr>
                <w:color w:val="000000" w:themeColor="text1"/>
              </w:rPr>
            </w:pPr>
            <w:r w:rsidRPr="00286216">
              <w:rPr>
                <w:color w:val="000000" w:themeColor="text1"/>
              </w:rPr>
              <w:t>2. Адміністратор несе відповідальність перед власниками облігацій за невиконання або неналежне виконання своїх обов’язків. Розмір відповідальності адміністратора обмежується десятикратним розміром річної оплати його послуг за договором про призначення адміністратора.</w:t>
            </w:r>
          </w:p>
        </w:tc>
      </w:tr>
      <w:tr w:rsidR="009D68B8" w:rsidRPr="00286216" w14:paraId="112CB5CA" w14:textId="77777777" w:rsidTr="00091AA5">
        <w:tc>
          <w:tcPr>
            <w:tcW w:w="576" w:type="dxa"/>
          </w:tcPr>
          <w:p w14:paraId="5FED69D3" w14:textId="77777777" w:rsidR="009D68B8" w:rsidRPr="00286216" w:rsidRDefault="009D68B8" w:rsidP="009D68B8">
            <w:pPr>
              <w:pStyle w:val="StyleWisnow"/>
              <w:rPr>
                <w:color w:val="000000" w:themeColor="text1"/>
              </w:rPr>
            </w:pPr>
            <w:bookmarkStart w:id="1742" w:name="n1990" w:colFirst="0" w:colLast="0"/>
            <w:bookmarkEnd w:id="1741"/>
            <w:r w:rsidRPr="00286216">
              <w:rPr>
                <w:color w:val="000000" w:themeColor="text1"/>
              </w:rPr>
              <w:t>1990.</w:t>
            </w:r>
          </w:p>
        </w:tc>
        <w:tc>
          <w:tcPr>
            <w:tcW w:w="4818" w:type="dxa"/>
          </w:tcPr>
          <w:p w14:paraId="3201A9B5" w14:textId="77777777" w:rsidR="009D68B8" w:rsidRPr="00286216" w:rsidRDefault="009D68B8" w:rsidP="009D68B8">
            <w:pPr>
              <w:pStyle w:val="StyleZakonu"/>
              <w:rPr>
                <w:color w:val="000000" w:themeColor="text1"/>
              </w:rPr>
            </w:pPr>
            <w:r w:rsidRPr="00286216">
              <w:rPr>
                <w:color w:val="000000" w:themeColor="text1"/>
              </w:rPr>
              <w:t>Обмеження розміру відповідальності адміністратора, передбачене абзацом першим цієї частини, не застосовується у разі умисного невиконання (умисного неналежного виконання) адміністратором своїх обов’язків або грубої необережності.</w:t>
            </w:r>
          </w:p>
        </w:tc>
        <w:tc>
          <w:tcPr>
            <w:tcW w:w="3686" w:type="dxa"/>
          </w:tcPr>
          <w:p w14:paraId="04D8475E" w14:textId="77777777" w:rsidR="009D68B8" w:rsidRPr="00286216" w:rsidRDefault="009D68B8" w:rsidP="009D68B8">
            <w:pPr>
              <w:pStyle w:val="StyleProp"/>
              <w:rPr>
                <w:color w:val="000000" w:themeColor="text1"/>
                <w:szCs w:val="18"/>
              </w:rPr>
            </w:pPr>
          </w:p>
        </w:tc>
        <w:tc>
          <w:tcPr>
            <w:tcW w:w="1987" w:type="dxa"/>
          </w:tcPr>
          <w:p w14:paraId="7836A6FA" w14:textId="77777777" w:rsidR="009D68B8" w:rsidRPr="00286216" w:rsidRDefault="009D68B8" w:rsidP="009D68B8">
            <w:pPr>
              <w:pStyle w:val="StyleWisnow"/>
              <w:rPr>
                <w:color w:val="000000" w:themeColor="text1"/>
              </w:rPr>
            </w:pPr>
          </w:p>
        </w:tc>
        <w:tc>
          <w:tcPr>
            <w:tcW w:w="4818" w:type="dxa"/>
          </w:tcPr>
          <w:p w14:paraId="63B0D01C" w14:textId="40AB3BAE" w:rsidR="009D68B8" w:rsidRPr="00286216" w:rsidRDefault="009D68B8" w:rsidP="009D68B8">
            <w:pPr>
              <w:pStyle w:val="StyleZakonu"/>
              <w:rPr>
                <w:color w:val="000000" w:themeColor="text1"/>
              </w:rPr>
            </w:pPr>
            <w:r w:rsidRPr="00286216">
              <w:rPr>
                <w:color w:val="000000" w:themeColor="text1"/>
              </w:rPr>
              <w:t>Обмеження розміру відповідальності адміністратора, передбачене абзацом першим цієї частини, не застосовується в разі умисного невиконання (умисного неналежного виконання) адміністратором своїх обов’язків або грубої необережності.</w:t>
            </w:r>
          </w:p>
        </w:tc>
      </w:tr>
      <w:tr w:rsidR="009D68B8" w:rsidRPr="00286216" w14:paraId="70AE39DF" w14:textId="77777777" w:rsidTr="00091AA5">
        <w:tc>
          <w:tcPr>
            <w:tcW w:w="576" w:type="dxa"/>
          </w:tcPr>
          <w:p w14:paraId="7B46C445" w14:textId="77777777" w:rsidR="009D68B8" w:rsidRPr="00286216" w:rsidRDefault="009D68B8" w:rsidP="009D68B8">
            <w:pPr>
              <w:pStyle w:val="StyleWisnow"/>
              <w:rPr>
                <w:color w:val="000000" w:themeColor="text1"/>
              </w:rPr>
            </w:pPr>
            <w:bookmarkStart w:id="1743" w:name="n1991" w:colFirst="0" w:colLast="0"/>
            <w:bookmarkEnd w:id="1742"/>
            <w:r w:rsidRPr="00286216">
              <w:rPr>
                <w:color w:val="000000" w:themeColor="text1"/>
              </w:rPr>
              <w:t>1991.</w:t>
            </w:r>
          </w:p>
        </w:tc>
        <w:tc>
          <w:tcPr>
            <w:tcW w:w="4818" w:type="dxa"/>
          </w:tcPr>
          <w:p w14:paraId="64E48C9E" w14:textId="77777777" w:rsidR="009D68B8" w:rsidRPr="00286216" w:rsidRDefault="009D68B8" w:rsidP="009D68B8">
            <w:pPr>
              <w:pStyle w:val="StyleZakonu"/>
              <w:rPr>
                <w:color w:val="000000" w:themeColor="text1"/>
              </w:rPr>
            </w:pPr>
            <w:r w:rsidRPr="00286216">
              <w:rPr>
                <w:color w:val="000000" w:themeColor="text1"/>
              </w:rPr>
              <w:t>Стаття 116. Дії адміністратора щодо захисту прав та інтересів власників облігацій</w:t>
            </w:r>
          </w:p>
        </w:tc>
        <w:tc>
          <w:tcPr>
            <w:tcW w:w="3686" w:type="dxa"/>
          </w:tcPr>
          <w:p w14:paraId="2EF3657D" w14:textId="77777777" w:rsidR="009D68B8" w:rsidRPr="00286216" w:rsidRDefault="009D68B8" w:rsidP="009D68B8">
            <w:pPr>
              <w:pStyle w:val="StyleProp"/>
              <w:rPr>
                <w:color w:val="000000" w:themeColor="text1"/>
                <w:szCs w:val="18"/>
              </w:rPr>
            </w:pPr>
          </w:p>
        </w:tc>
        <w:tc>
          <w:tcPr>
            <w:tcW w:w="1987" w:type="dxa"/>
          </w:tcPr>
          <w:p w14:paraId="4A8928F4" w14:textId="77777777" w:rsidR="009D68B8" w:rsidRPr="00286216" w:rsidRDefault="009D68B8" w:rsidP="009D68B8">
            <w:pPr>
              <w:pStyle w:val="StyleWisnow"/>
              <w:rPr>
                <w:color w:val="000000" w:themeColor="text1"/>
              </w:rPr>
            </w:pPr>
          </w:p>
        </w:tc>
        <w:tc>
          <w:tcPr>
            <w:tcW w:w="4818" w:type="dxa"/>
          </w:tcPr>
          <w:p w14:paraId="0AF4E97E" w14:textId="72D1CDE1" w:rsidR="009D68B8" w:rsidRPr="00286216" w:rsidRDefault="009D68B8" w:rsidP="009D68B8">
            <w:pPr>
              <w:pStyle w:val="StyleZakonu"/>
              <w:rPr>
                <w:color w:val="000000" w:themeColor="text1"/>
              </w:rPr>
            </w:pPr>
            <w:r w:rsidRPr="00286216">
              <w:rPr>
                <w:color w:val="000000" w:themeColor="text1"/>
              </w:rPr>
              <w:t>Стаття 120. Дії адміністратора щодо захисту прав та інтересів власників облігацій</w:t>
            </w:r>
          </w:p>
        </w:tc>
      </w:tr>
      <w:tr w:rsidR="009D68B8" w:rsidRPr="00286216" w14:paraId="1EA3CF3F" w14:textId="77777777" w:rsidTr="00091AA5">
        <w:tc>
          <w:tcPr>
            <w:tcW w:w="576" w:type="dxa"/>
          </w:tcPr>
          <w:p w14:paraId="66EF1B91" w14:textId="77777777" w:rsidR="009D68B8" w:rsidRPr="00286216" w:rsidRDefault="009D68B8" w:rsidP="009D68B8">
            <w:pPr>
              <w:pStyle w:val="StyleWisnow"/>
              <w:rPr>
                <w:color w:val="000000" w:themeColor="text1"/>
              </w:rPr>
            </w:pPr>
            <w:bookmarkStart w:id="1744" w:name="n1992" w:colFirst="0" w:colLast="0"/>
            <w:bookmarkEnd w:id="1743"/>
            <w:r w:rsidRPr="00286216">
              <w:rPr>
                <w:color w:val="000000" w:themeColor="text1"/>
              </w:rPr>
              <w:t>1992.</w:t>
            </w:r>
          </w:p>
        </w:tc>
        <w:tc>
          <w:tcPr>
            <w:tcW w:w="4818" w:type="dxa"/>
          </w:tcPr>
          <w:p w14:paraId="7E0177BE" w14:textId="77777777" w:rsidR="009D68B8" w:rsidRPr="00286216" w:rsidRDefault="009D68B8" w:rsidP="009D68B8">
            <w:pPr>
              <w:pStyle w:val="StyleZakonu"/>
              <w:rPr>
                <w:color w:val="000000" w:themeColor="text1"/>
              </w:rPr>
            </w:pPr>
            <w:r w:rsidRPr="00286216">
              <w:rPr>
                <w:color w:val="000000" w:themeColor="text1"/>
              </w:rPr>
              <w:t>1. Для захисту прав та інтересів власників облігацій, з урахуванням особливостей, встановлених цим Законом, адміністратор має право від свого імені й виключно в інтересах власників облігацій вчиняти наступні дії:</w:t>
            </w:r>
          </w:p>
        </w:tc>
        <w:tc>
          <w:tcPr>
            <w:tcW w:w="3686" w:type="dxa"/>
          </w:tcPr>
          <w:p w14:paraId="195BADB6" w14:textId="77777777" w:rsidR="009D68B8" w:rsidRPr="00286216" w:rsidRDefault="009D68B8" w:rsidP="009D68B8">
            <w:pPr>
              <w:pStyle w:val="StyleProp"/>
              <w:rPr>
                <w:color w:val="000000" w:themeColor="text1"/>
                <w:szCs w:val="18"/>
              </w:rPr>
            </w:pPr>
          </w:p>
        </w:tc>
        <w:tc>
          <w:tcPr>
            <w:tcW w:w="1987" w:type="dxa"/>
          </w:tcPr>
          <w:p w14:paraId="6D23D1FE" w14:textId="77777777" w:rsidR="009D68B8" w:rsidRPr="00286216" w:rsidRDefault="009D68B8" w:rsidP="009D68B8">
            <w:pPr>
              <w:pStyle w:val="StyleWisnow"/>
              <w:rPr>
                <w:color w:val="000000" w:themeColor="text1"/>
              </w:rPr>
            </w:pPr>
          </w:p>
        </w:tc>
        <w:tc>
          <w:tcPr>
            <w:tcW w:w="4818" w:type="dxa"/>
          </w:tcPr>
          <w:p w14:paraId="123BE3EE" w14:textId="6569C1B2" w:rsidR="009D68B8" w:rsidRPr="00286216" w:rsidRDefault="009D68B8" w:rsidP="009D68B8">
            <w:pPr>
              <w:pStyle w:val="StyleZakonu"/>
              <w:rPr>
                <w:color w:val="000000" w:themeColor="text1"/>
              </w:rPr>
            </w:pPr>
            <w:r w:rsidRPr="00286216">
              <w:rPr>
                <w:color w:val="000000" w:themeColor="text1"/>
              </w:rPr>
              <w:t>1. Для захисту прав та інтересів власників облігацій з урахуванням особливостей, встановлених цим Законом, адміністратор має право від свого імені й виключно в інтересах власників облігацій вчиняти такі дії:</w:t>
            </w:r>
          </w:p>
        </w:tc>
      </w:tr>
      <w:tr w:rsidR="009D68B8" w:rsidRPr="00286216" w14:paraId="1D5CC7F2" w14:textId="77777777" w:rsidTr="00091AA5">
        <w:tc>
          <w:tcPr>
            <w:tcW w:w="576" w:type="dxa"/>
          </w:tcPr>
          <w:p w14:paraId="0D5256B1" w14:textId="77777777" w:rsidR="009D68B8" w:rsidRPr="00286216" w:rsidRDefault="009D68B8" w:rsidP="009D68B8">
            <w:pPr>
              <w:pStyle w:val="StyleWisnow"/>
              <w:rPr>
                <w:color w:val="000000" w:themeColor="text1"/>
              </w:rPr>
            </w:pPr>
            <w:bookmarkStart w:id="1745" w:name="n1993" w:colFirst="0" w:colLast="0"/>
            <w:bookmarkEnd w:id="1744"/>
            <w:r w:rsidRPr="00286216">
              <w:rPr>
                <w:color w:val="000000" w:themeColor="text1"/>
              </w:rPr>
              <w:t>1993.</w:t>
            </w:r>
          </w:p>
        </w:tc>
        <w:tc>
          <w:tcPr>
            <w:tcW w:w="4818" w:type="dxa"/>
          </w:tcPr>
          <w:p w14:paraId="2AD47D9F" w14:textId="77777777" w:rsidR="009D68B8" w:rsidRPr="00286216" w:rsidRDefault="009D68B8" w:rsidP="009D68B8">
            <w:pPr>
              <w:pStyle w:val="StyleZakonu"/>
              <w:rPr>
                <w:color w:val="000000" w:themeColor="text1"/>
              </w:rPr>
            </w:pPr>
            <w:r w:rsidRPr="00286216">
              <w:rPr>
                <w:color w:val="000000" w:themeColor="text1"/>
              </w:rPr>
              <w:t>1) виступати стороною у спорах про захист прав та інтересів власників облігацій або третьою особою у інших спорах, вирішення яких може вплинути на права та обов’язки власників облігацій, в порядку адміністративного, цивільного, господарського судочинства, а також у третейському суді або міжнародному комерційному арбітражі;</w:t>
            </w:r>
          </w:p>
        </w:tc>
        <w:tc>
          <w:tcPr>
            <w:tcW w:w="3686" w:type="dxa"/>
          </w:tcPr>
          <w:p w14:paraId="34E414E1" w14:textId="77777777" w:rsidR="009D68B8" w:rsidRPr="00286216" w:rsidRDefault="009D68B8" w:rsidP="009D68B8">
            <w:pPr>
              <w:pStyle w:val="StyleProp"/>
              <w:rPr>
                <w:color w:val="000000" w:themeColor="text1"/>
                <w:szCs w:val="18"/>
              </w:rPr>
            </w:pPr>
          </w:p>
        </w:tc>
        <w:tc>
          <w:tcPr>
            <w:tcW w:w="1987" w:type="dxa"/>
          </w:tcPr>
          <w:p w14:paraId="2D01C698" w14:textId="77777777" w:rsidR="009D68B8" w:rsidRPr="00286216" w:rsidRDefault="009D68B8" w:rsidP="009D68B8">
            <w:pPr>
              <w:pStyle w:val="StyleWisnow"/>
              <w:rPr>
                <w:color w:val="000000" w:themeColor="text1"/>
              </w:rPr>
            </w:pPr>
          </w:p>
        </w:tc>
        <w:tc>
          <w:tcPr>
            <w:tcW w:w="4818" w:type="dxa"/>
          </w:tcPr>
          <w:p w14:paraId="382C7A4E" w14:textId="0D2F6C23" w:rsidR="009D68B8" w:rsidRPr="00286216" w:rsidRDefault="009D68B8" w:rsidP="009D68B8">
            <w:pPr>
              <w:pStyle w:val="StyleZakonu"/>
              <w:rPr>
                <w:color w:val="000000" w:themeColor="text1"/>
              </w:rPr>
            </w:pPr>
            <w:r w:rsidRPr="00286216">
              <w:rPr>
                <w:color w:val="000000" w:themeColor="text1"/>
              </w:rPr>
              <w:t>1) виступати стороною у спорах про захист прав та інтересів власників облігацій або третьою особою в інших спорах, вирішення яких може вплинути на права та обов’язки власників облігацій, в порядку адміністративного, цивільного, господарського судочинства, а також у третейському суді або міжнародному комерційному арбітражі;</w:t>
            </w:r>
          </w:p>
        </w:tc>
      </w:tr>
      <w:tr w:rsidR="009D68B8" w:rsidRPr="00286216" w14:paraId="6C476EEF" w14:textId="77777777" w:rsidTr="00091AA5">
        <w:tc>
          <w:tcPr>
            <w:tcW w:w="576" w:type="dxa"/>
          </w:tcPr>
          <w:p w14:paraId="0B6F5EF1" w14:textId="77777777" w:rsidR="009D68B8" w:rsidRPr="00286216" w:rsidRDefault="009D68B8" w:rsidP="009D68B8">
            <w:pPr>
              <w:pStyle w:val="StyleWisnow"/>
              <w:rPr>
                <w:color w:val="000000" w:themeColor="text1"/>
              </w:rPr>
            </w:pPr>
            <w:bookmarkStart w:id="1746" w:name="n1994" w:colFirst="0" w:colLast="0"/>
            <w:bookmarkEnd w:id="1745"/>
            <w:r w:rsidRPr="00286216">
              <w:rPr>
                <w:color w:val="000000" w:themeColor="text1"/>
              </w:rPr>
              <w:t>1994.</w:t>
            </w:r>
          </w:p>
        </w:tc>
        <w:tc>
          <w:tcPr>
            <w:tcW w:w="4818" w:type="dxa"/>
          </w:tcPr>
          <w:p w14:paraId="4A99F6BA" w14:textId="77777777" w:rsidR="009D68B8" w:rsidRPr="00286216" w:rsidRDefault="009D68B8" w:rsidP="009D68B8">
            <w:pPr>
              <w:pStyle w:val="StyleZakonu"/>
              <w:rPr>
                <w:color w:val="000000" w:themeColor="text1"/>
              </w:rPr>
            </w:pPr>
            <w:r w:rsidRPr="00286216">
              <w:rPr>
                <w:color w:val="000000" w:themeColor="text1"/>
              </w:rPr>
              <w:t>2) виступати цивільним позивачем у кримінальних провадженнях;</w:t>
            </w:r>
          </w:p>
        </w:tc>
        <w:tc>
          <w:tcPr>
            <w:tcW w:w="3686" w:type="dxa"/>
          </w:tcPr>
          <w:p w14:paraId="0F9B19BC" w14:textId="77777777" w:rsidR="009D68B8" w:rsidRPr="00286216" w:rsidRDefault="009D68B8" w:rsidP="009D68B8">
            <w:pPr>
              <w:pStyle w:val="StyleProp"/>
              <w:rPr>
                <w:color w:val="000000" w:themeColor="text1"/>
                <w:szCs w:val="18"/>
              </w:rPr>
            </w:pPr>
          </w:p>
        </w:tc>
        <w:tc>
          <w:tcPr>
            <w:tcW w:w="1987" w:type="dxa"/>
          </w:tcPr>
          <w:p w14:paraId="4C3704CF" w14:textId="77777777" w:rsidR="009D68B8" w:rsidRPr="00286216" w:rsidRDefault="009D68B8" w:rsidP="009D68B8">
            <w:pPr>
              <w:pStyle w:val="StyleWisnow"/>
              <w:rPr>
                <w:color w:val="000000" w:themeColor="text1"/>
              </w:rPr>
            </w:pPr>
          </w:p>
        </w:tc>
        <w:tc>
          <w:tcPr>
            <w:tcW w:w="4818" w:type="dxa"/>
          </w:tcPr>
          <w:p w14:paraId="75C045EC" w14:textId="0B37E294" w:rsidR="009D68B8" w:rsidRPr="00286216" w:rsidRDefault="009D68B8" w:rsidP="009D68B8">
            <w:pPr>
              <w:pStyle w:val="StyleZakonu"/>
              <w:rPr>
                <w:color w:val="000000" w:themeColor="text1"/>
              </w:rPr>
            </w:pPr>
            <w:r w:rsidRPr="00286216">
              <w:rPr>
                <w:color w:val="000000" w:themeColor="text1"/>
              </w:rPr>
              <w:t>2) виступати цивільним позивачем у кримінальних провадженнях;</w:t>
            </w:r>
          </w:p>
        </w:tc>
      </w:tr>
      <w:tr w:rsidR="009D68B8" w:rsidRPr="00286216" w14:paraId="7AA6F7F5" w14:textId="77777777" w:rsidTr="00091AA5">
        <w:tc>
          <w:tcPr>
            <w:tcW w:w="576" w:type="dxa"/>
          </w:tcPr>
          <w:p w14:paraId="0B77BEF0" w14:textId="77777777" w:rsidR="009D68B8" w:rsidRPr="00286216" w:rsidRDefault="009D68B8" w:rsidP="009D68B8">
            <w:pPr>
              <w:pStyle w:val="StyleWisnow"/>
              <w:rPr>
                <w:color w:val="000000" w:themeColor="text1"/>
              </w:rPr>
            </w:pPr>
            <w:bookmarkStart w:id="1747" w:name="n1995" w:colFirst="0" w:colLast="0"/>
            <w:bookmarkEnd w:id="1746"/>
            <w:r w:rsidRPr="00286216">
              <w:rPr>
                <w:color w:val="000000" w:themeColor="text1"/>
              </w:rPr>
              <w:t>1995.</w:t>
            </w:r>
          </w:p>
        </w:tc>
        <w:tc>
          <w:tcPr>
            <w:tcW w:w="4818" w:type="dxa"/>
          </w:tcPr>
          <w:p w14:paraId="0BE4B743" w14:textId="77777777" w:rsidR="009D68B8" w:rsidRPr="00286216" w:rsidRDefault="009D68B8" w:rsidP="009D68B8">
            <w:pPr>
              <w:pStyle w:val="StyleZakonu"/>
              <w:rPr>
                <w:color w:val="000000" w:themeColor="text1"/>
              </w:rPr>
            </w:pPr>
            <w:r w:rsidRPr="00286216">
              <w:rPr>
                <w:color w:val="000000" w:themeColor="text1"/>
              </w:rPr>
              <w:t>3) виступати потерпілим у кримінальних провадженнях;</w:t>
            </w:r>
          </w:p>
        </w:tc>
        <w:tc>
          <w:tcPr>
            <w:tcW w:w="3686" w:type="dxa"/>
          </w:tcPr>
          <w:p w14:paraId="6057300C" w14:textId="77777777" w:rsidR="009D68B8" w:rsidRPr="00286216" w:rsidRDefault="009D68B8" w:rsidP="009D68B8">
            <w:pPr>
              <w:pStyle w:val="StyleProp"/>
              <w:rPr>
                <w:color w:val="000000" w:themeColor="text1"/>
                <w:szCs w:val="18"/>
              </w:rPr>
            </w:pPr>
          </w:p>
        </w:tc>
        <w:tc>
          <w:tcPr>
            <w:tcW w:w="1987" w:type="dxa"/>
          </w:tcPr>
          <w:p w14:paraId="0BDB2ABB" w14:textId="77777777" w:rsidR="009D68B8" w:rsidRPr="00286216" w:rsidRDefault="009D68B8" w:rsidP="009D68B8">
            <w:pPr>
              <w:pStyle w:val="StyleWisnow"/>
              <w:rPr>
                <w:color w:val="000000" w:themeColor="text1"/>
              </w:rPr>
            </w:pPr>
          </w:p>
        </w:tc>
        <w:tc>
          <w:tcPr>
            <w:tcW w:w="4818" w:type="dxa"/>
          </w:tcPr>
          <w:p w14:paraId="720310C3" w14:textId="5629A56E" w:rsidR="009D68B8" w:rsidRPr="00286216" w:rsidRDefault="009D68B8" w:rsidP="009D68B8">
            <w:pPr>
              <w:pStyle w:val="StyleZakonu"/>
              <w:rPr>
                <w:color w:val="000000" w:themeColor="text1"/>
              </w:rPr>
            </w:pPr>
            <w:r w:rsidRPr="00286216">
              <w:rPr>
                <w:color w:val="000000" w:themeColor="text1"/>
              </w:rPr>
              <w:t>3) виступати потерпілим у кримінальних провадженнях;</w:t>
            </w:r>
          </w:p>
        </w:tc>
      </w:tr>
      <w:tr w:rsidR="009D68B8" w:rsidRPr="00286216" w14:paraId="080B2196" w14:textId="77777777" w:rsidTr="00091AA5">
        <w:tc>
          <w:tcPr>
            <w:tcW w:w="576" w:type="dxa"/>
          </w:tcPr>
          <w:p w14:paraId="72835A3A" w14:textId="77777777" w:rsidR="009D68B8" w:rsidRPr="00286216" w:rsidRDefault="009D68B8" w:rsidP="009D68B8">
            <w:pPr>
              <w:pStyle w:val="StyleWisnow"/>
              <w:rPr>
                <w:color w:val="000000" w:themeColor="text1"/>
              </w:rPr>
            </w:pPr>
            <w:bookmarkStart w:id="1748" w:name="n1996" w:colFirst="0" w:colLast="0"/>
            <w:bookmarkEnd w:id="1747"/>
            <w:r w:rsidRPr="00286216">
              <w:rPr>
                <w:color w:val="000000" w:themeColor="text1"/>
              </w:rPr>
              <w:t>1996.</w:t>
            </w:r>
          </w:p>
        </w:tc>
        <w:tc>
          <w:tcPr>
            <w:tcW w:w="4818" w:type="dxa"/>
          </w:tcPr>
          <w:p w14:paraId="34295663" w14:textId="77777777" w:rsidR="009D68B8" w:rsidRPr="00286216" w:rsidRDefault="009D68B8" w:rsidP="009D68B8">
            <w:pPr>
              <w:pStyle w:val="StyleZakonu"/>
              <w:rPr>
                <w:color w:val="000000" w:themeColor="text1"/>
              </w:rPr>
            </w:pPr>
            <w:r w:rsidRPr="00286216">
              <w:rPr>
                <w:color w:val="000000" w:themeColor="text1"/>
              </w:rPr>
              <w:t xml:space="preserve">4) виступати стягувачем у виконавчих </w:t>
            </w:r>
            <w:r w:rsidRPr="00286216">
              <w:rPr>
                <w:color w:val="000000" w:themeColor="text1"/>
              </w:rPr>
              <w:lastRenderedPageBreak/>
              <w:t>провадженнях;</w:t>
            </w:r>
          </w:p>
        </w:tc>
        <w:tc>
          <w:tcPr>
            <w:tcW w:w="3686" w:type="dxa"/>
          </w:tcPr>
          <w:p w14:paraId="30E3DC6C" w14:textId="77777777" w:rsidR="009D68B8" w:rsidRPr="00286216" w:rsidRDefault="009D68B8" w:rsidP="009D68B8">
            <w:pPr>
              <w:pStyle w:val="StyleProp"/>
              <w:rPr>
                <w:color w:val="000000" w:themeColor="text1"/>
                <w:szCs w:val="18"/>
              </w:rPr>
            </w:pPr>
          </w:p>
        </w:tc>
        <w:tc>
          <w:tcPr>
            <w:tcW w:w="1987" w:type="dxa"/>
          </w:tcPr>
          <w:p w14:paraId="308BE783" w14:textId="77777777" w:rsidR="009D68B8" w:rsidRPr="00286216" w:rsidRDefault="009D68B8" w:rsidP="009D68B8">
            <w:pPr>
              <w:pStyle w:val="StyleWisnow"/>
              <w:rPr>
                <w:color w:val="000000" w:themeColor="text1"/>
              </w:rPr>
            </w:pPr>
          </w:p>
        </w:tc>
        <w:tc>
          <w:tcPr>
            <w:tcW w:w="4818" w:type="dxa"/>
          </w:tcPr>
          <w:p w14:paraId="023D62FC" w14:textId="538CCEC2" w:rsidR="009D68B8" w:rsidRPr="00286216" w:rsidRDefault="009D68B8" w:rsidP="009D68B8">
            <w:pPr>
              <w:pStyle w:val="StyleZakonu"/>
              <w:rPr>
                <w:color w:val="000000" w:themeColor="text1"/>
              </w:rPr>
            </w:pPr>
            <w:r w:rsidRPr="00286216">
              <w:rPr>
                <w:color w:val="000000" w:themeColor="text1"/>
              </w:rPr>
              <w:t xml:space="preserve">4) виступати стягувачем у виконавчих </w:t>
            </w:r>
            <w:r w:rsidRPr="00286216">
              <w:rPr>
                <w:color w:val="000000" w:themeColor="text1"/>
              </w:rPr>
              <w:lastRenderedPageBreak/>
              <w:t>провадженнях;</w:t>
            </w:r>
          </w:p>
        </w:tc>
      </w:tr>
      <w:tr w:rsidR="009D68B8" w:rsidRPr="00286216" w14:paraId="6D5F5E4C" w14:textId="77777777" w:rsidTr="00091AA5">
        <w:tc>
          <w:tcPr>
            <w:tcW w:w="576" w:type="dxa"/>
          </w:tcPr>
          <w:p w14:paraId="2E142846" w14:textId="77777777" w:rsidR="009D68B8" w:rsidRPr="00286216" w:rsidRDefault="009D68B8" w:rsidP="009D68B8">
            <w:pPr>
              <w:pStyle w:val="StyleWisnow"/>
              <w:rPr>
                <w:color w:val="000000" w:themeColor="text1"/>
              </w:rPr>
            </w:pPr>
            <w:bookmarkStart w:id="1749" w:name="n1997" w:colFirst="0" w:colLast="0"/>
            <w:bookmarkEnd w:id="1748"/>
            <w:r w:rsidRPr="00286216">
              <w:rPr>
                <w:color w:val="000000" w:themeColor="text1"/>
              </w:rPr>
              <w:lastRenderedPageBreak/>
              <w:t>1997.</w:t>
            </w:r>
          </w:p>
        </w:tc>
        <w:tc>
          <w:tcPr>
            <w:tcW w:w="4818" w:type="dxa"/>
          </w:tcPr>
          <w:p w14:paraId="5659D96A" w14:textId="77777777" w:rsidR="009D68B8" w:rsidRPr="00286216" w:rsidRDefault="009D68B8" w:rsidP="009D68B8">
            <w:pPr>
              <w:pStyle w:val="StyleZakonu"/>
              <w:rPr>
                <w:color w:val="000000" w:themeColor="text1"/>
              </w:rPr>
            </w:pPr>
            <w:r w:rsidRPr="00286216">
              <w:rPr>
                <w:color w:val="000000" w:themeColor="text1"/>
              </w:rPr>
              <w:t>5) виступати кредитором у провадженнях у справах про банкрутство боржника, який є емітентом облігацій або особою, яка надає забезпечення за облігаціями (далі разом - боржник, який має зобов’язання за облігаціями);</w:t>
            </w:r>
          </w:p>
        </w:tc>
        <w:tc>
          <w:tcPr>
            <w:tcW w:w="3686" w:type="dxa"/>
          </w:tcPr>
          <w:p w14:paraId="4FF699DA" w14:textId="77777777" w:rsidR="009D68B8" w:rsidRPr="00286216" w:rsidRDefault="009D68B8" w:rsidP="009D68B8">
            <w:pPr>
              <w:pStyle w:val="StyleProp"/>
              <w:rPr>
                <w:color w:val="000000" w:themeColor="text1"/>
                <w:szCs w:val="18"/>
              </w:rPr>
            </w:pPr>
          </w:p>
        </w:tc>
        <w:tc>
          <w:tcPr>
            <w:tcW w:w="1987" w:type="dxa"/>
          </w:tcPr>
          <w:p w14:paraId="4279165D" w14:textId="77777777" w:rsidR="009D68B8" w:rsidRPr="00286216" w:rsidRDefault="009D68B8" w:rsidP="009D68B8">
            <w:pPr>
              <w:pStyle w:val="StyleWisnow"/>
              <w:rPr>
                <w:color w:val="000000" w:themeColor="text1"/>
              </w:rPr>
            </w:pPr>
          </w:p>
        </w:tc>
        <w:tc>
          <w:tcPr>
            <w:tcW w:w="4818" w:type="dxa"/>
          </w:tcPr>
          <w:p w14:paraId="3A5BC347" w14:textId="7586067D" w:rsidR="009D68B8" w:rsidRPr="00286216" w:rsidRDefault="009D68B8" w:rsidP="009D68B8">
            <w:pPr>
              <w:pStyle w:val="StyleZakonu"/>
              <w:rPr>
                <w:color w:val="000000" w:themeColor="text1"/>
              </w:rPr>
            </w:pPr>
            <w:r w:rsidRPr="00286216">
              <w:rPr>
                <w:color w:val="000000" w:themeColor="text1"/>
              </w:rPr>
              <w:t>5) виступати кредитором у провадженнях у справах про банкрутство боржника, який є емітентом облігацій або особою, яка надає забезпечення за облігаціями (далі разом - боржник, який має зобов’язання за облігаціями);</w:t>
            </w:r>
          </w:p>
        </w:tc>
      </w:tr>
      <w:tr w:rsidR="009D68B8" w:rsidRPr="00286216" w14:paraId="5CBB3153" w14:textId="77777777" w:rsidTr="00091AA5">
        <w:tc>
          <w:tcPr>
            <w:tcW w:w="576" w:type="dxa"/>
          </w:tcPr>
          <w:p w14:paraId="7EB16BD6" w14:textId="77777777" w:rsidR="009D68B8" w:rsidRPr="00286216" w:rsidRDefault="009D68B8" w:rsidP="009D68B8">
            <w:pPr>
              <w:pStyle w:val="StyleWisnow"/>
              <w:rPr>
                <w:color w:val="000000" w:themeColor="text1"/>
              </w:rPr>
            </w:pPr>
            <w:bookmarkStart w:id="1750" w:name="n1998" w:colFirst="0" w:colLast="0"/>
            <w:bookmarkEnd w:id="1749"/>
            <w:r w:rsidRPr="00286216">
              <w:rPr>
                <w:color w:val="000000" w:themeColor="text1"/>
              </w:rPr>
              <w:t>1998.</w:t>
            </w:r>
          </w:p>
        </w:tc>
        <w:tc>
          <w:tcPr>
            <w:tcW w:w="4818" w:type="dxa"/>
          </w:tcPr>
          <w:p w14:paraId="7782F609" w14:textId="77777777" w:rsidR="009D68B8" w:rsidRPr="00286216" w:rsidRDefault="009D68B8" w:rsidP="009D68B8">
            <w:pPr>
              <w:pStyle w:val="StyleZakonu"/>
              <w:rPr>
                <w:color w:val="000000" w:themeColor="text1"/>
              </w:rPr>
            </w:pPr>
            <w:r w:rsidRPr="00286216">
              <w:rPr>
                <w:color w:val="000000" w:themeColor="text1"/>
              </w:rPr>
              <w:t>6) виступати кредитором у процедурі ліквідації банку, який є емітентом облігацій або особою, яка надає забезпечення за облігаціями (далі разом - банк, який має зобов’язання за облігаціями).</w:t>
            </w:r>
          </w:p>
        </w:tc>
        <w:tc>
          <w:tcPr>
            <w:tcW w:w="3686" w:type="dxa"/>
          </w:tcPr>
          <w:p w14:paraId="7625BCDD" w14:textId="77777777" w:rsidR="009D68B8" w:rsidRPr="00286216" w:rsidRDefault="009D68B8" w:rsidP="009D68B8">
            <w:pPr>
              <w:pStyle w:val="StyleProp"/>
              <w:rPr>
                <w:color w:val="000000" w:themeColor="text1"/>
                <w:szCs w:val="18"/>
              </w:rPr>
            </w:pPr>
          </w:p>
        </w:tc>
        <w:tc>
          <w:tcPr>
            <w:tcW w:w="1987" w:type="dxa"/>
          </w:tcPr>
          <w:p w14:paraId="20CB6565" w14:textId="77777777" w:rsidR="009D68B8" w:rsidRPr="00286216" w:rsidRDefault="009D68B8" w:rsidP="009D68B8">
            <w:pPr>
              <w:pStyle w:val="StyleWisnow"/>
              <w:rPr>
                <w:color w:val="000000" w:themeColor="text1"/>
              </w:rPr>
            </w:pPr>
          </w:p>
        </w:tc>
        <w:tc>
          <w:tcPr>
            <w:tcW w:w="4818" w:type="dxa"/>
          </w:tcPr>
          <w:p w14:paraId="35FD97F4" w14:textId="59D1AEED" w:rsidR="009D68B8" w:rsidRPr="00286216" w:rsidRDefault="009D68B8" w:rsidP="009D68B8">
            <w:pPr>
              <w:pStyle w:val="StyleZakonu"/>
              <w:rPr>
                <w:color w:val="000000" w:themeColor="text1"/>
              </w:rPr>
            </w:pPr>
            <w:r w:rsidRPr="00286216">
              <w:rPr>
                <w:color w:val="000000" w:themeColor="text1"/>
              </w:rPr>
              <w:t>6) виступати кредитором у процедурі ліквідації банку, який є емітентом облігацій або особою, яка надає забезпечення за облігаціями (далі разом - банк, який має зобов’язання за облігаціями).</w:t>
            </w:r>
          </w:p>
        </w:tc>
      </w:tr>
      <w:tr w:rsidR="009D68B8" w:rsidRPr="00286216" w14:paraId="2AA9D7B6" w14:textId="77777777" w:rsidTr="00091AA5">
        <w:tc>
          <w:tcPr>
            <w:tcW w:w="576" w:type="dxa"/>
          </w:tcPr>
          <w:p w14:paraId="14601426" w14:textId="77777777" w:rsidR="009D68B8" w:rsidRPr="00286216" w:rsidRDefault="009D68B8" w:rsidP="009D68B8">
            <w:pPr>
              <w:pStyle w:val="StyleWisnow"/>
              <w:rPr>
                <w:color w:val="000000" w:themeColor="text1"/>
              </w:rPr>
            </w:pPr>
            <w:bookmarkStart w:id="1751" w:name="n1999" w:colFirst="0" w:colLast="0"/>
            <w:bookmarkEnd w:id="1750"/>
            <w:r w:rsidRPr="00286216">
              <w:rPr>
                <w:color w:val="000000" w:themeColor="text1"/>
              </w:rPr>
              <w:t>1999.</w:t>
            </w:r>
          </w:p>
        </w:tc>
        <w:tc>
          <w:tcPr>
            <w:tcW w:w="4818" w:type="dxa"/>
          </w:tcPr>
          <w:p w14:paraId="44F1A4DC" w14:textId="77777777" w:rsidR="009D68B8" w:rsidRPr="00286216" w:rsidRDefault="009D68B8" w:rsidP="009D68B8">
            <w:pPr>
              <w:pStyle w:val="StyleZakonu"/>
              <w:rPr>
                <w:color w:val="000000" w:themeColor="text1"/>
              </w:rPr>
            </w:pPr>
            <w:bookmarkStart w:id="1752" w:name="_Ref16417488"/>
            <w:r w:rsidRPr="00286216">
              <w:rPr>
                <w:color w:val="000000" w:themeColor="text1"/>
              </w:rPr>
              <w:t>Стаття 117. Особливості вчинення адміністратором дій та правочинів щодо захисту прав та інтересів власників облігацій</w:t>
            </w:r>
            <w:bookmarkEnd w:id="1752"/>
          </w:p>
        </w:tc>
        <w:tc>
          <w:tcPr>
            <w:tcW w:w="3686" w:type="dxa"/>
          </w:tcPr>
          <w:p w14:paraId="054E6876" w14:textId="77777777" w:rsidR="009D68B8" w:rsidRPr="00286216" w:rsidRDefault="009D68B8" w:rsidP="009D68B8">
            <w:pPr>
              <w:pStyle w:val="StyleProp"/>
              <w:rPr>
                <w:color w:val="000000" w:themeColor="text1"/>
                <w:szCs w:val="18"/>
              </w:rPr>
            </w:pPr>
          </w:p>
        </w:tc>
        <w:tc>
          <w:tcPr>
            <w:tcW w:w="1987" w:type="dxa"/>
          </w:tcPr>
          <w:p w14:paraId="2C0A36DC" w14:textId="77777777" w:rsidR="009D68B8" w:rsidRPr="00286216" w:rsidRDefault="009D68B8" w:rsidP="009D68B8">
            <w:pPr>
              <w:pStyle w:val="StyleWisnow"/>
              <w:rPr>
                <w:color w:val="000000" w:themeColor="text1"/>
              </w:rPr>
            </w:pPr>
          </w:p>
        </w:tc>
        <w:tc>
          <w:tcPr>
            <w:tcW w:w="4818" w:type="dxa"/>
          </w:tcPr>
          <w:p w14:paraId="1EE74E0C" w14:textId="4E99D081" w:rsidR="009D68B8" w:rsidRPr="00286216" w:rsidRDefault="009D68B8" w:rsidP="009D68B8">
            <w:pPr>
              <w:pStyle w:val="StyleZakonu"/>
              <w:rPr>
                <w:color w:val="000000" w:themeColor="text1"/>
              </w:rPr>
            </w:pPr>
            <w:r w:rsidRPr="00286216">
              <w:rPr>
                <w:color w:val="000000" w:themeColor="text1"/>
              </w:rPr>
              <w:t>Стаття 121. Особливості вчинення адміністратором дій та правочинів щодо захисту прав та інтересів власників облігацій</w:t>
            </w:r>
          </w:p>
        </w:tc>
      </w:tr>
      <w:tr w:rsidR="009D68B8" w:rsidRPr="00286216" w14:paraId="795B8E01" w14:textId="77777777" w:rsidTr="00091AA5">
        <w:tc>
          <w:tcPr>
            <w:tcW w:w="576" w:type="dxa"/>
          </w:tcPr>
          <w:p w14:paraId="50C5212E" w14:textId="77777777" w:rsidR="009D68B8" w:rsidRPr="00286216" w:rsidRDefault="009D68B8" w:rsidP="009D68B8">
            <w:pPr>
              <w:pStyle w:val="StyleWisnow"/>
              <w:rPr>
                <w:color w:val="000000" w:themeColor="text1"/>
              </w:rPr>
            </w:pPr>
            <w:bookmarkStart w:id="1753" w:name="n2000" w:colFirst="0" w:colLast="0"/>
            <w:bookmarkEnd w:id="1751"/>
            <w:r w:rsidRPr="00286216">
              <w:rPr>
                <w:color w:val="000000" w:themeColor="text1"/>
              </w:rPr>
              <w:t>2000.</w:t>
            </w:r>
          </w:p>
        </w:tc>
        <w:tc>
          <w:tcPr>
            <w:tcW w:w="4818" w:type="dxa"/>
          </w:tcPr>
          <w:p w14:paraId="3596C72A" w14:textId="77777777" w:rsidR="009D68B8" w:rsidRPr="00286216" w:rsidRDefault="009D68B8" w:rsidP="009D68B8">
            <w:pPr>
              <w:pStyle w:val="StyleZakonu"/>
              <w:rPr>
                <w:color w:val="000000" w:themeColor="text1"/>
              </w:rPr>
            </w:pPr>
            <w:r w:rsidRPr="00286216">
              <w:rPr>
                <w:color w:val="000000" w:themeColor="text1"/>
              </w:rPr>
              <w:t>1. У разі отримання заяви власників облігацій про пред’явлення вимоги про дострокове погашення облігацій у порядку, передбаченому цим Законом, адміністратор вчиняє такі дії виключно в інтересах власників облігацій:</w:t>
            </w:r>
          </w:p>
        </w:tc>
        <w:tc>
          <w:tcPr>
            <w:tcW w:w="3686" w:type="dxa"/>
          </w:tcPr>
          <w:p w14:paraId="74636DD9" w14:textId="77777777" w:rsidR="009D68B8" w:rsidRPr="00286216" w:rsidRDefault="009D68B8" w:rsidP="009D68B8">
            <w:pPr>
              <w:pStyle w:val="StyleProp"/>
              <w:rPr>
                <w:color w:val="000000" w:themeColor="text1"/>
                <w:szCs w:val="18"/>
              </w:rPr>
            </w:pPr>
          </w:p>
        </w:tc>
        <w:tc>
          <w:tcPr>
            <w:tcW w:w="1987" w:type="dxa"/>
          </w:tcPr>
          <w:p w14:paraId="257A04A3" w14:textId="77777777" w:rsidR="009D68B8" w:rsidRPr="00286216" w:rsidRDefault="009D68B8" w:rsidP="009D68B8">
            <w:pPr>
              <w:pStyle w:val="StyleWisnow"/>
              <w:rPr>
                <w:color w:val="000000" w:themeColor="text1"/>
              </w:rPr>
            </w:pPr>
          </w:p>
        </w:tc>
        <w:tc>
          <w:tcPr>
            <w:tcW w:w="4818" w:type="dxa"/>
          </w:tcPr>
          <w:p w14:paraId="55109CC8" w14:textId="35060E46" w:rsidR="009D68B8" w:rsidRPr="00286216" w:rsidRDefault="009D68B8" w:rsidP="009D68B8">
            <w:pPr>
              <w:pStyle w:val="StyleZakonu"/>
              <w:rPr>
                <w:color w:val="000000" w:themeColor="text1"/>
              </w:rPr>
            </w:pPr>
            <w:r w:rsidRPr="00286216">
              <w:rPr>
                <w:color w:val="000000" w:themeColor="text1"/>
              </w:rPr>
              <w:t>1. У разі отримання заяви власників облігацій про пред’явлення вимоги про дострокове погашення облігацій у порядку, передбаченому цим Законом, адміністратор виключно в інтересах власників облігацій вчиняє такі дії:</w:t>
            </w:r>
          </w:p>
        </w:tc>
      </w:tr>
      <w:tr w:rsidR="009D68B8" w:rsidRPr="00286216" w14:paraId="54ECC9FD" w14:textId="77777777" w:rsidTr="00091AA5">
        <w:tc>
          <w:tcPr>
            <w:tcW w:w="576" w:type="dxa"/>
          </w:tcPr>
          <w:p w14:paraId="4863A50A" w14:textId="77777777" w:rsidR="009D68B8" w:rsidRPr="00286216" w:rsidRDefault="009D68B8" w:rsidP="009D68B8">
            <w:pPr>
              <w:pStyle w:val="StyleWisnow"/>
              <w:rPr>
                <w:color w:val="000000" w:themeColor="text1"/>
              </w:rPr>
            </w:pPr>
            <w:bookmarkStart w:id="1754" w:name="n2001" w:colFirst="0" w:colLast="0"/>
            <w:bookmarkEnd w:id="1753"/>
            <w:r w:rsidRPr="00286216">
              <w:rPr>
                <w:color w:val="000000" w:themeColor="text1"/>
              </w:rPr>
              <w:t>2001.</w:t>
            </w:r>
          </w:p>
        </w:tc>
        <w:tc>
          <w:tcPr>
            <w:tcW w:w="4818" w:type="dxa"/>
          </w:tcPr>
          <w:p w14:paraId="31BF4108" w14:textId="77777777" w:rsidR="009D68B8" w:rsidRPr="00286216" w:rsidRDefault="009D68B8" w:rsidP="009D68B8">
            <w:pPr>
              <w:pStyle w:val="StyleZakonu"/>
              <w:rPr>
                <w:color w:val="000000" w:themeColor="text1"/>
              </w:rPr>
            </w:pPr>
            <w:r w:rsidRPr="00286216">
              <w:rPr>
                <w:color w:val="000000" w:themeColor="text1"/>
              </w:rPr>
              <w:t>1) подає від свого імені позови та виступає від свого учасником у справах про захист прав та інтересів власників облігацій в порядку адміністративного, господарського судочинства, а також у третейському суді або міжнародному комерційному арбітражі;</w:t>
            </w:r>
          </w:p>
        </w:tc>
        <w:tc>
          <w:tcPr>
            <w:tcW w:w="3686" w:type="dxa"/>
          </w:tcPr>
          <w:p w14:paraId="112EA5ED" w14:textId="77777777" w:rsidR="009D68B8" w:rsidRPr="00286216" w:rsidRDefault="009D68B8" w:rsidP="009D68B8">
            <w:pPr>
              <w:pStyle w:val="StyleProp"/>
              <w:rPr>
                <w:color w:val="000000" w:themeColor="text1"/>
                <w:szCs w:val="18"/>
              </w:rPr>
            </w:pPr>
          </w:p>
        </w:tc>
        <w:tc>
          <w:tcPr>
            <w:tcW w:w="1987" w:type="dxa"/>
          </w:tcPr>
          <w:p w14:paraId="45A03CA7" w14:textId="77777777" w:rsidR="009D68B8" w:rsidRPr="00286216" w:rsidRDefault="009D68B8" w:rsidP="009D68B8">
            <w:pPr>
              <w:pStyle w:val="StyleWisnow"/>
              <w:rPr>
                <w:color w:val="000000" w:themeColor="text1"/>
              </w:rPr>
            </w:pPr>
          </w:p>
        </w:tc>
        <w:tc>
          <w:tcPr>
            <w:tcW w:w="4818" w:type="dxa"/>
          </w:tcPr>
          <w:p w14:paraId="2F43BE6B" w14:textId="761CBB87" w:rsidR="009D68B8" w:rsidRPr="00286216" w:rsidRDefault="009D68B8" w:rsidP="009D68B8">
            <w:pPr>
              <w:pStyle w:val="StyleZakonu"/>
              <w:rPr>
                <w:color w:val="000000" w:themeColor="text1"/>
              </w:rPr>
            </w:pPr>
            <w:r w:rsidRPr="00286216">
              <w:rPr>
                <w:color w:val="000000" w:themeColor="text1"/>
              </w:rPr>
              <w:t>1) подає від свого імені позови та виступає від свого учасником у справах про захист прав та інтересів власників облігацій в порядку адміністративного, господарського судочинства, а також у третейському суді або міжнародному комерційному арбітражі;</w:t>
            </w:r>
          </w:p>
        </w:tc>
      </w:tr>
      <w:tr w:rsidR="009D68B8" w:rsidRPr="00286216" w14:paraId="1FE8B67A" w14:textId="77777777" w:rsidTr="00091AA5">
        <w:tc>
          <w:tcPr>
            <w:tcW w:w="576" w:type="dxa"/>
          </w:tcPr>
          <w:p w14:paraId="1B0DD4D1" w14:textId="77777777" w:rsidR="009D68B8" w:rsidRPr="00286216" w:rsidRDefault="009D68B8" w:rsidP="009D68B8">
            <w:pPr>
              <w:pStyle w:val="StyleWisnow"/>
              <w:rPr>
                <w:color w:val="000000" w:themeColor="text1"/>
              </w:rPr>
            </w:pPr>
            <w:bookmarkStart w:id="1755" w:name="n2002" w:colFirst="0" w:colLast="0"/>
            <w:bookmarkEnd w:id="1754"/>
            <w:r w:rsidRPr="00286216">
              <w:rPr>
                <w:color w:val="000000" w:themeColor="text1"/>
              </w:rPr>
              <w:t>2002.</w:t>
            </w:r>
          </w:p>
        </w:tc>
        <w:tc>
          <w:tcPr>
            <w:tcW w:w="4818" w:type="dxa"/>
          </w:tcPr>
          <w:p w14:paraId="7CAA0A99" w14:textId="77777777" w:rsidR="009D68B8" w:rsidRPr="00286216" w:rsidRDefault="009D68B8" w:rsidP="009D68B8">
            <w:pPr>
              <w:pStyle w:val="StyleZakonu"/>
              <w:rPr>
                <w:color w:val="000000" w:themeColor="text1"/>
              </w:rPr>
            </w:pPr>
            <w:r w:rsidRPr="00286216">
              <w:rPr>
                <w:color w:val="000000" w:themeColor="text1"/>
              </w:rPr>
              <w:t>2) подає від свого імені цивільні позови у кримінальному провадженні та виступає учасником у кримінальному провадженні;</w:t>
            </w:r>
          </w:p>
        </w:tc>
        <w:tc>
          <w:tcPr>
            <w:tcW w:w="3686" w:type="dxa"/>
          </w:tcPr>
          <w:p w14:paraId="22658406" w14:textId="77777777" w:rsidR="009D68B8" w:rsidRPr="00286216" w:rsidRDefault="009D68B8" w:rsidP="009D68B8">
            <w:pPr>
              <w:pStyle w:val="StyleProp"/>
              <w:rPr>
                <w:color w:val="000000" w:themeColor="text1"/>
                <w:szCs w:val="18"/>
              </w:rPr>
            </w:pPr>
          </w:p>
        </w:tc>
        <w:tc>
          <w:tcPr>
            <w:tcW w:w="1987" w:type="dxa"/>
          </w:tcPr>
          <w:p w14:paraId="2B869826" w14:textId="77777777" w:rsidR="009D68B8" w:rsidRPr="00286216" w:rsidRDefault="009D68B8" w:rsidP="009D68B8">
            <w:pPr>
              <w:pStyle w:val="StyleWisnow"/>
              <w:rPr>
                <w:color w:val="000000" w:themeColor="text1"/>
              </w:rPr>
            </w:pPr>
          </w:p>
        </w:tc>
        <w:tc>
          <w:tcPr>
            <w:tcW w:w="4818" w:type="dxa"/>
          </w:tcPr>
          <w:p w14:paraId="6587A598" w14:textId="5B914FC1" w:rsidR="009D68B8" w:rsidRPr="00286216" w:rsidRDefault="009D68B8" w:rsidP="009D68B8">
            <w:pPr>
              <w:pStyle w:val="StyleZakonu"/>
              <w:rPr>
                <w:color w:val="000000" w:themeColor="text1"/>
              </w:rPr>
            </w:pPr>
            <w:r w:rsidRPr="00286216">
              <w:rPr>
                <w:color w:val="000000" w:themeColor="text1"/>
              </w:rPr>
              <w:t>2) подає від свого імені цивільні позови у кримінальному провадженні та виступає учасником у кримінальному провадженні;</w:t>
            </w:r>
          </w:p>
        </w:tc>
      </w:tr>
      <w:tr w:rsidR="009D68B8" w:rsidRPr="00286216" w14:paraId="3F655247" w14:textId="77777777" w:rsidTr="00091AA5">
        <w:tc>
          <w:tcPr>
            <w:tcW w:w="576" w:type="dxa"/>
          </w:tcPr>
          <w:p w14:paraId="3DAD1C45" w14:textId="77777777" w:rsidR="009D68B8" w:rsidRPr="00286216" w:rsidRDefault="009D68B8" w:rsidP="009D68B8">
            <w:pPr>
              <w:pStyle w:val="StyleWisnow"/>
              <w:rPr>
                <w:color w:val="000000" w:themeColor="text1"/>
              </w:rPr>
            </w:pPr>
            <w:bookmarkStart w:id="1756" w:name="n2003" w:colFirst="0" w:colLast="0"/>
            <w:bookmarkEnd w:id="1755"/>
            <w:r w:rsidRPr="00286216">
              <w:rPr>
                <w:color w:val="000000" w:themeColor="text1"/>
              </w:rPr>
              <w:t>2003.</w:t>
            </w:r>
          </w:p>
        </w:tc>
        <w:tc>
          <w:tcPr>
            <w:tcW w:w="4818" w:type="dxa"/>
          </w:tcPr>
          <w:p w14:paraId="35225484" w14:textId="77777777" w:rsidR="009D68B8" w:rsidRPr="00286216" w:rsidRDefault="009D68B8" w:rsidP="009D68B8">
            <w:pPr>
              <w:pStyle w:val="StyleZakonu"/>
              <w:rPr>
                <w:color w:val="000000" w:themeColor="text1"/>
              </w:rPr>
            </w:pPr>
            <w:r w:rsidRPr="00286216">
              <w:rPr>
                <w:color w:val="000000" w:themeColor="text1"/>
              </w:rPr>
              <w:t>3) подає від свого імені заяви про залучення його до кримінального провадження як потерпілого та виступає стороною у кримінальному провадженні;</w:t>
            </w:r>
          </w:p>
        </w:tc>
        <w:tc>
          <w:tcPr>
            <w:tcW w:w="3686" w:type="dxa"/>
          </w:tcPr>
          <w:p w14:paraId="01111071" w14:textId="77777777" w:rsidR="009D68B8" w:rsidRPr="00286216" w:rsidRDefault="009D68B8" w:rsidP="009D68B8">
            <w:pPr>
              <w:pStyle w:val="StyleProp"/>
              <w:rPr>
                <w:color w:val="000000" w:themeColor="text1"/>
                <w:szCs w:val="18"/>
              </w:rPr>
            </w:pPr>
          </w:p>
        </w:tc>
        <w:tc>
          <w:tcPr>
            <w:tcW w:w="1987" w:type="dxa"/>
          </w:tcPr>
          <w:p w14:paraId="06B07348" w14:textId="77777777" w:rsidR="009D68B8" w:rsidRPr="00286216" w:rsidRDefault="009D68B8" w:rsidP="009D68B8">
            <w:pPr>
              <w:pStyle w:val="StyleWisnow"/>
              <w:rPr>
                <w:color w:val="000000" w:themeColor="text1"/>
              </w:rPr>
            </w:pPr>
          </w:p>
        </w:tc>
        <w:tc>
          <w:tcPr>
            <w:tcW w:w="4818" w:type="dxa"/>
          </w:tcPr>
          <w:p w14:paraId="3A43356C" w14:textId="4C5EBF48" w:rsidR="009D68B8" w:rsidRPr="00286216" w:rsidRDefault="009D68B8" w:rsidP="009D68B8">
            <w:pPr>
              <w:pStyle w:val="StyleZakonu"/>
              <w:rPr>
                <w:color w:val="000000" w:themeColor="text1"/>
              </w:rPr>
            </w:pPr>
            <w:r w:rsidRPr="00286216">
              <w:rPr>
                <w:color w:val="000000" w:themeColor="text1"/>
              </w:rPr>
              <w:t>3) подає від свого імені заяви про залучення його до кримінального провадження як потерпілого та виступає стороною у кримінальному провадженні;</w:t>
            </w:r>
          </w:p>
        </w:tc>
      </w:tr>
      <w:tr w:rsidR="009D68B8" w:rsidRPr="00286216" w14:paraId="12590678" w14:textId="77777777" w:rsidTr="00091AA5">
        <w:tc>
          <w:tcPr>
            <w:tcW w:w="576" w:type="dxa"/>
          </w:tcPr>
          <w:p w14:paraId="2D124E74" w14:textId="77777777" w:rsidR="009D68B8" w:rsidRPr="00286216" w:rsidRDefault="009D68B8" w:rsidP="009D68B8">
            <w:pPr>
              <w:pStyle w:val="StyleWisnow"/>
              <w:rPr>
                <w:color w:val="000000" w:themeColor="text1"/>
              </w:rPr>
            </w:pPr>
            <w:bookmarkStart w:id="1757" w:name="n2004" w:colFirst="0" w:colLast="0"/>
            <w:bookmarkEnd w:id="1756"/>
            <w:r w:rsidRPr="00286216">
              <w:rPr>
                <w:color w:val="000000" w:themeColor="text1"/>
              </w:rPr>
              <w:t>2004.</w:t>
            </w:r>
          </w:p>
        </w:tc>
        <w:tc>
          <w:tcPr>
            <w:tcW w:w="4818" w:type="dxa"/>
          </w:tcPr>
          <w:p w14:paraId="325877C2" w14:textId="77777777" w:rsidR="009D68B8" w:rsidRPr="00286216" w:rsidRDefault="009D68B8" w:rsidP="009D68B8">
            <w:pPr>
              <w:pStyle w:val="StyleZakonu"/>
              <w:rPr>
                <w:color w:val="000000" w:themeColor="text1"/>
              </w:rPr>
            </w:pPr>
            <w:r w:rsidRPr="00286216">
              <w:rPr>
                <w:color w:val="000000" w:themeColor="text1"/>
              </w:rPr>
              <w:t>4) подає від свого імені заяви про порушення справи про банкрутство боржника, який має зобов’язання за облігаціями, заявляє грошові вимоги, виступає стороною у таких справах про банкрутство;</w:t>
            </w:r>
          </w:p>
        </w:tc>
        <w:tc>
          <w:tcPr>
            <w:tcW w:w="3686" w:type="dxa"/>
          </w:tcPr>
          <w:p w14:paraId="592A526E" w14:textId="5A7CA1DC" w:rsidR="009D68B8" w:rsidRPr="00286216" w:rsidRDefault="009D68B8" w:rsidP="009D68B8">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1014</w:t>
            </w:r>
            <w:r w:rsidRPr="00286216">
              <w:rPr>
                <w:color w:val="000000" w:themeColor="text1"/>
                <w:spacing w:val="-5"/>
              </w:rPr>
              <w:fldChar w:fldCharType="end"/>
            </w:r>
            <w:r w:rsidRPr="00286216">
              <w:rPr>
                <w:color w:val="000000" w:themeColor="text1"/>
                <w:spacing w:val="-5"/>
              </w:rPr>
              <w:t>-Н.д.Бєлькова О.В. (Реєстр.картка №403)</w:t>
            </w:r>
          </w:p>
          <w:p w14:paraId="06F70920" w14:textId="3783D08F" w:rsidR="009D68B8" w:rsidRPr="00286216" w:rsidRDefault="009D68B8" w:rsidP="009D68B8">
            <w:pPr>
              <w:pStyle w:val="StyleProp"/>
              <w:rPr>
                <w:color w:val="000000" w:themeColor="text1"/>
                <w:szCs w:val="18"/>
              </w:rPr>
            </w:pPr>
            <w:r w:rsidRPr="00286216">
              <w:rPr>
                <w:color w:val="000000" w:themeColor="text1"/>
                <w:lang w:val="ru-RU"/>
              </w:rPr>
              <w:t>У пункті 4 частини 1 статті 117 слова "</w:t>
            </w:r>
            <w:r w:rsidRPr="00286216">
              <w:rPr>
                <w:color w:val="000000" w:themeColor="text1"/>
              </w:rPr>
              <w:t>про порушення справи" замінити словами "про відкриття провадження у справі".</w:t>
            </w:r>
          </w:p>
        </w:tc>
        <w:tc>
          <w:tcPr>
            <w:tcW w:w="1987" w:type="dxa"/>
          </w:tcPr>
          <w:p w14:paraId="4E25B437" w14:textId="4101A3F2" w:rsidR="009D68B8" w:rsidRPr="00286216" w:rsidRDefault="009D68B8" w:rsidP="009D68B8">
            <w:pPr>
              <w:pStyle w:val="StyleWisnow"/>
              <w:rPr>
                <w:color w:val="000000" w:themeColor="text1"/>
              </w:rPr>
            </w:pPr>
            <w:r w:rsidRPr="00286216">
              <w:rPr>
                <w:color w:val="000000" w:themeColor="text1"/>
              </w:rPr>
              <w:t>Враховано</w:t>
            </w:r>
          </w:p>
        </w:tc>
        <w:tc>
          <w:tcPr>
            <w:tcW w:w="4818" w:type="dxa"/>
          </w:tcPr>
          <w:p w14:paraId="177F8689" w14:textId="627B929D" w:rsidR="009D68B8" w:rsidRPr="00286216" w:rsidRDefault="009D68B8" w:rsidP="009D68B8">
            <w:pPr>
              <w:pStyle w:val="StyleZakonu"/>
              <w:rPr>
                <w:color w:val="000000" w:themeColor="text1"/>
              </w:rPr>
            </w:pPr>
            <w:r w:rsidRPr="00286216">
              <w:rPr>
                <w:color w:val="000000" w:themeColor="text1"/>
              </w:rPr>
              <w:t>4) подає від свого імені заяви про відкриття провадження у справі про банкрутство боржника, який має зобов’язання за облігаціями, заявляє грошові вимоги, виступає стороною у таких справах про банкрутство;</w:t>
            </w:r>
          </w:p>
        </w:tc>
      </w:tr>
      <w:tr w:rsidR="009D68B8" w:rsidRPr="00286216" w14:paraId="1AA90BD7" w14:textId="77777777" w:rsidTr="00091AA5">
        <w:tc>
          <w:tcPr>
            <w:tcW w:w="576" w:type="dxa"/>
          </w:tcPr>
          <w:p w14:paraId="7C59F51E" w14:textId="77777777" w:rsidR="009D68B8" w:rsidRPr="00286216" w:rsidRDefault="009D68B8" w:rsidP="009D68B8">
            <w:pPr>
              <w:pStyle w:val="StyleWisnow"/>
              <w:rPr>
                <w:color w:val="000000" w:themeColor="text1"/>
              </w:rPr>
            </w:pPr>
            <w:bookmarkStart w:id="1758" w:name="n2005" w:colFirst="0" w:colLast="0"/>
            <w:bookmarkEnd w:id="1757"/>
            <w:r w:rsidRPr="00286216">
              <w:rPr>
                <w:color w:val="000000" w:themeColor="text1"/>
              </w:rPr>
              <w:t>2005.</w:t>
            </w:r>
          </w:p>
        </w:tc>
        <w:tc>
          <w:tcPr>
            <w:tcW w:w="4818" w:type="dxa"/>
          </w:tcPr>
          <w:p w14:paraId="221D83B3" w14:textId="77777777" w:rsidR="009D68B8" w:rsidRPr="00286216" w:rsidRDefault="009D68B8" w:rsidP="009D68B8">
            <w:pPr>
              <w:pStyle w:val="StyleZakonu"/>
              <w:rPr>
                <w:color w:val="000000" w:themeColor="text1"/>
              </w:rPr>
            </w:pPr>
            <w:r w:rsidRPr="00286216">
              <w:rPr>
                <w:color w:val="000000" w:themeColor="text1"/>
              </w:rPr>
              <w:t>5) голосує від свого імені на комітеті кредиторів з питань визнання боржника, який має зобов’язання за облігаціями, банкрутом і відкриття ліквідаційної процедури;</w:t>
            </w:r>
          </w:p>
        </w:tc>
        <w:tc>
          <w:tcPr>
            <w:tcW w:w="3686" w:type="dxa"/>
          </w:tcPr>
          <w:p w14:paraId="615230FC" w14:textId="43FF9553" w:rsidR="009D68B8" w:rsidRPr="00286216" w:rsidRDefault="009D68B8" w:rsidP="009D68B8">
            <w:pPr>
              <w:pStyle w:val="StyleProp"/>
              <w:spacing w:line="180" w:lineRule="exact"/>
              <w:rPr>
                <w:color w:val="000000" w:themeColor="text1"/>
                <w:szCs w:val="18"/>
              </w:rPr>
            </w:pPr>
          </w:p>
        </w:tc>
        <w:tc>
          <w:tcPr>
            <w:tcW w:w="1987" w:type="dxa"/>
          </w:tcPr>
          <w:p w14:paraId="292E0DEA" w14:textId="4FDD8912" w:rsidR="009D68B8" w:rsidRPr="00286216" w:rsidRDefault="009D68B8" w:rsidP="009D68B8">
            <w:pPr>
              <w:pStyle w:val="StyleWisnow"/>
              <w:rPr>
                <w:color w:val="000000" w:themeColor="text1"/>
              </w:rPr>
            </w:pPr>
          </w:p>
        </w:tc>
        <w:tc>
          <w:tcPr>
            <w:tcW w:w="4818" w:type="dxa"/>
          </w:tcPr>
          <w:p w14:paraId="66D87FBB" w14:textId="5B690E8B" w:rsidR="009D68B8" w:rsidRPr="00286216" w:rsidRDefault="009D68B8" w:rsidP="009D68B8">
            <w:pPr>
              <w:pStyle w:val="StyleZakonu"/>
              <w:rPr>
                <w:color w:val="000000" w:themeColor="text1"/>
              </w:rPr>
            </w:pPr>
            <w:r w:rsidRPr="00286216">
              <w:rPr>
                <w:color w:val="000000" w:themeColor="text1"/>
              </w:rPr>
              <w:t>5) голосує від свого імені на комітеті кредиторів з питань визнання боржника, який має зобов’язання за облігаціями, банкрутом і відкриття ліквідаційної процедури;</w:t>
            </w:r>
          </w:p>
        </w:tc>
      </w:tr>
      <w:tr w:rsidR="009D68B8" w:rsidRPr="00286216" w14:paraId="7E420044" w14:textId="77777777" w:rsidTr="00091AA5">
        <w:tc>
          <w:tcPr>
            <w:tcW w:w="576" w:type="dxa"/>
          </w:tcPr>
          <w:p w14:paraId="623807F4" w14:textId="77777777" w:rsidR="009D68B8" w:rsidRPr="00286216" w:rsidRDefault="009D68B8" w:rsidP="009D68B8">
            <w:pPr>
              <w:pStyle w:val="StyleWisnow"/>
              <w:rPr>
                <w:color w:val="000000" w:themeColor="text1"/>
              </w:rPr>
            </w:pPr>
            <w:bookmarkStart w:id="1759" w:name="n2006" w:colFirst="0" w:colLast="0"/>
            <w:bookmarkEnd w:id="1758"/>
            <w:r w:rsidRPr="00286216">
              <w:rPr>
                <w:color w:val="000000" w:themeColor="text1"/>
              </w:rPr>
              <w:t>2006.</w:t>
            </w:r>
          </w:p>
        </w:tc>
        <w:tc>
          <w:tcPr>
            <w:tcW w:w="4818" w:type="dxa"/>
          </w:tcPr>
          <w:p w14:paraId="1A95F51C" w14:textId="77777777" w:rsidR="009D68B8" w:rsidRPr="00286216" w:rsidRDefault="009D68B8" w:rsidP="009D68B8">
            <w:pPr>
              <w:pStyle w:val="StyleZakonu"/>
              <w:rPr>
                <w:color w:val="000000" w:themeColor="text1"/>
              </w:rPr>
            </w:pPr>
            <w:r w:rsidRPr="00286216">
              <w:rPr>
                <w:color w:val="000000" w:themeColor="text1"/>
              </w:rPr>
              <w:t xml:space="preserve">6) подає від свого імені заяви про відкриття виконавчого провадження щодо примусового виконання рішення та виступає стороною у </w:t>
            </w:r>
            <w:r w:rsidRPr="00286216">
              <w:rPr>
                <w:color w:val="000000" w:themeColor="text1"/>
              </w:rPr>
              <w:lastRenderedPageBreak/>
              <w:t>виконавчому провадженні;</w:t>
            </w:r>
          </w:p>
        </w:tc>
        <w:tc>
          <w:tcPr>
            <w:tcW w:w="3686" w:type="dxa"/>
          </w:tcPr>
          <w:p w14:paraId="05E8E202" w14:textId="77777777" w:rsidR="009D68B8" w:rsidRPr="00286216" w:rsidRDefault="009D68B8" w:rsidP="009D68B8">
            <w:pPr>
              <w:pStyle w:val="StyleProp"/>
              <w:rPr>
                <w:color w:val="000000" w:themeColor="text1"/>
                <w:szCs w:val="18"/>
              </w:rPr>
            </w:pPr>
          </w:p>
        </w:tc>
        <w:tc>
          <w:tcPr>
            <w:tcW w:w="1987" w:type="dxa"/>
          </w:tcPr>
          <w:p w14:paraId="523307FE" w14:textId="77777777" w:rsidR="009D68B8" w:rsidRPr="00286216" w:rsidRDefault="009D68B8" w:rsidP="009D68B8">
            <w:pPr>
              <w:pStyle w:val="StyleWisnow"/>
              <w:rPr>
                <w:color w:val="000000" w:themeColor="text1"/>
              </w:rPr>
            </w:pPr>
          </w:p>
        </w:tc>
        <w:tc>
          <w:tcPr>
            <w:tcW w:w="4818" w:type="dxa"/>
          </w:tcPr>
          <w:p w14:paraId="0AC68DFE" w14:textId="3EB0D542" w:rsidR="009D68B8" w:rsidRPr="00286216" w:rsidRDefault="009D68B8" w:rsidP="009D68B8">
            <w:pPr>
              <w:pStyle w:val="StyleZakonu"/>
              <w:rPr>
                <w:color w:val="000000" w:themeColor="text1"/>
              </w:rPr>
            </w:pPr>
            <w:r w:rsidRPr="00286216">
              <w:rPr>
                <w:color w:val="000000" w:themeColor="text1"/>
              </w:rPr>
              <w:t xml:space="preserve">6) подає від свого імені заяви про відкриття виконавчого провадження щодо примусового виконання рішення та виступає стороною у </w:t>
            </w:r>
            <w:r w:rsidRPr="00286216">
              <w:rPr>
                <w:color w:val="000000" w:themeColor="text1"/>
              </w:rPr>
              <w:lastRenderedPageBreak/>
              <w:t>виконавчому провадженні;</w:t>
            </w:r>
          </w:p>
        </w:tc>
      </w:tr>
      <w:tr w:rsidR="009D68B8" w:rsidRPr="00286216" w14:paraId="0CD0D5A1" w14:textId="77777777" w:rsidTr="00091AA5">
        <w:tc>
          <w:tcPr>
            <w:tcW w:w="576" w:type="dxa"/>
          </w:tcPr>
          <w:p w14:paraId="45113D58" w14:textId="77777777" w:rsidR="009D68B8" w:rsidRPr="00286216" w:rsidRDefault="009D68B8" w:rsidP="009D68B8">
            <w:pPr>
              <w:pStyle w:val="StyleWisnow"/>
              <w:rPr>
                <w:color w:val="000000" w:themeColor="text1"/>
              </w:rPr>
            </w:pPr>
            <w:bookmarkStart w:id="1760" w:name="n2007" w:colFirst="0" w:colLast="0"/>
            <w:bookmarkEnd w:id="1759"/>
            <w:r w:rsidRPr="00286216">
              <w:rPr>
                <w:color w:val="000000" w:themeColor="text1"/>
              </w:rPr>
              <w:lastRenderedPageBreak/>
              <w:t>2007.</w:t>
            </w:r>
          </w:p>
        </w:tc>
        <w:tc>
          <w:tcPr>
            <w:tcW w:w="4818" w:type="dxa"/>
          </w:tcPr>
          <w:p w14:paraId="416B308F" w14:textId="77777777" w:rsidR="009D68B8" w:rsidRPr="00286216" w:rsidRDefault="009D68B8" w:rsidP="009D68B8">
            <w:pPr>
              <w:pStyle w:val="StyleZakonu"/>
              <w:rPr>
                <w:color w:val="000000" w:themeColor="text1"/>
              </w:rPr>
            </w:pPr>
            <w:r w:rsidRPr="00286216">
              <w:rPr>
                <w:color w:val="000000" w:themeColor="text1"/>
              </w:rPr>
              <w:t>7) заявляє від свого імені Фонду гарантування вкладів фізичних осіб свої вимоги до банку, який має зобов’язання за облігаціями, після початку процедури ліквідації.</w:t>
            </w:r>
          </w:p>
        </w:tc>
        <w:tc>
          <w:tcPr>
            <w:tcW w:w="3686" w:type="dxa"/>
          </w:tcPr>
          <w:p w14:paraId="4832C4C0" w14:textId="77777777" w:rsidR="009D68B8" w:rsidRPr="00286216" w:rsidRDefault="009D68B8" w:rsidP="009D68B8">
            <w:pPr>
              <w:pStyle w:val="StyleProp"/>
              <w:rPr>
                <w:color w:val="000000" w:themeColor="text1"/>
                <w:szCs w:val="18"/>
              </w:rPr>
            </w:pPr>
          </w:p>
        </w:tc>
        <w:tc>
          <w:tcPr>
            <w:tcW w:w="1987" w:type="dxa"/>
          </w:tcPr>
          <w:p w14:paraId="5EB2DBAE" w14:textId="77777777" w:rsidR="009D68B8" w:rsidRPr="00286216" w:rsidRDefault="009D68B8" w:rsidP="009D68B8">
            <w:pPr>
              <w:pStyle w:val="StyleWisnow"/>
              <w:rPr>
                <w:color w:val="000000" w:themeColor="text1"/>
              </w:rPr>
            </w:pPr>
          </w:p>
        </w:tc>
        <w:tc>
          <w:tcPr>
            <w:tcW w:w="4818" w:type="dxa"/>
          </w:tcPr>
          <w:p w14:paraId="0EA28B90" w14:textId="01A0E01B" w:rsidR="009D68B8" w:rsidRPr="00286216" w:rsidRDefault="009D68B8" w:rsidP="009D68B8">
            <w:pPr>
              <w:pStyle w:val="StyleZakonu"/>
              <w:rPr>
                <w:color w:val="000000" w:themeColor="text1"/>
              </w:rPr>
            </w:pPr>
            <w:r w:rsidRPr="00286216">
              <w:rPr>
                <w:color w:val="000000" w:themeColor="text1"/>
              </w:rPr>
              <w:t>7) заявляє від свого імені Фонду гарантування вкладів фізичних осіб свої вимоги до банку, який має зобов’язання за облігаціями, після початку процедури ліквідації.</w:t>
            </w:r>
          </w:p>
        </w:tc>
      </w:tr>
      <w:tr w:rsidR="009D68B8" w:rsidRPr="00286216" w14:paraId="7EB9308D" w14:textId="77777777" w:rsidTr="00091AA5">
        <w:tc>
          <w:tcPr>
            <w:tcW w:w="576" w:type="dxa"/>
          </w:tcPr>
          <w:p w14:paraId="42A02B73" w14:textId="77777777" w:rsidR="009D68B8" w:rsidRPr="00286216" w:rsidRDefault="009D68B8" w:rsidP="009D68B8">
            <w:pPr>
              <w:pStyle w:val="StyleWisnow"/>
              <w:rPr>
                <w:color w:val="000000" w:themeColor="text1"/>
              </w:rPr>
            </w:pPr>
            <w:bookmarkStart w:id="1761" w:name="n2008" w:colFirst="0" w:colLast="0"/>
            <w:bookmarkEnd w:id="1760"/>
            <w:r w:rsidRPr="00286216">
              <w:rPr>
                <w:color w:val="000000" w:themeColor="text1"/>
              </w:rPr>
              <w:t>2008.</w:t>
            </w:r>
          </w:p>
        </w:tc>
        <w:tc>
          <w:tcPr>
            <w:tcW w:w="4818" w:type="dxa"/>
          </w:tcPr>
          <w:p w14:paraId="15AFA9D4" w14:textId="77777777" w:rsidR="009D68B8" w:rsidRPr="00286216" w:rsidRDefault="009D68B8" w:rsidP="009D68B8">
            <w:pPr>
              <w:pStyle w:val="StyleZakonu"/>
              <w:rPr>
                <w:color w:val="000000" w:themeColor="text1"/>
              </w:rPr>
            </w:pPr>
            <w:r w:rsidRPr="00286216">
              <w:rPr>
                <w:color w:val="000000" w:themeColor="text1"/>
              </w:rPr>
              <w:t>2. Адміністратор вчиняє наступні дії або правочини виключно в інтересах власників облігацій за умови надання згоди зборами власників облігацій у порядку, передбаченому цим Законом, або згоди всіх власників облігацій:</w:t>
            </w:r>
          </w:p>
        </w:tc>
        <w:tc>
          <w:tcPr>
            <w:tcW w:w="3686" w:type="dxa"/>
          </w:tcPr>
          <w:p w14:paraId="0F12F5B2" w14:textId="77777777" w:rsidR="009D68B8" w:rsidRPr="00286216" w:rsidRDefault="009D68B8" w:rsidP="009D68B8">
            <w:pPr>
              <w:pStyle w:val="StyleProp"/>
              <w:rPr>
                <w:color w:val="000000" w:themeColor="text1"/>
                <w:szCs w:val="18"/>
              </w:rPr>
            </w:pPr>
          </w:p>
        </w:tc>
        <w:tc>
          <w:tcPr>
            <w:tcW w:w="1987" w:type="dxa"/>
          </w:tcPr>
          <w:p w14:paraId="656872AC" w14:textId="77777777" w:rsidR="009D68B8" w:rsidRPr="00286216" w:rsidRDefault="009D68B8" w:rsidP="009D68B8">
            <w:pPr>
              <w:pStyle w:val="StyleWisnow"/>
              <w:rPr>
                <w:color w:val="000000" w:themeColor="text1"/>
              </w:rPr>
            </w:pPr>
          </w:p>
        </w:tc>
        <w:tc>
          <w:tcPr>
            <w:tcW w:w="4818" w:type="dxa"/>
          </w:tcPr>
          <w:p w14:paraId="7304157C" w14:textId="175F9A68" w:rsidR="009D68B8" w:rsidRPr="00286216" w:rsidRDefault="009D68B8" w:rsidP="009D68B8">
            <w:pPr>
              <w:pStyle w:val="StyleZakonu"/>
              <w:rPr>
                <w:color w:val="000000" w:themeColor="text1"/>
              </w:rPr>
            </w:pPr>
            <w:r w:rsidRPr="00286216">
              <w:rPr>
                <w:color w:val="000000" w:themeColor="text1"/>
              </w:rPr>
              <w:t>2. Адміністратор вчиняє такі дії або правочини виключно в інтересах власників облігацій за умови надання згоди зборами власників облігацій у порядку, передбаченому цим Законом, або згоди всіх власників облігацій:</w:t>
            </w:r>
          </w:p>
        </w:tc>
      </w:tr>
      <w:tr w:rsidR="00572342" w:rsidRPr="00286216" w14:paraId="7C1B6307" w14:textId="77777777" w:rsidTr="00091AA5">
        <w:tc>
          <w:tcPr>
            <w:tcW w:w="576" w:type="dxa"/>
          </w:tcPr>
          <w:p w14:paraId="218890D4" w14:textId="77777777" w:rsidR="00572342" w:rsidRPr="00286216" w:rsidRDefault="00572342" w:rsidP="00572342">
            <w:pPr>
              <w:pStyle w:val="StyleWisnow"/>
              <w:rPr>
                <w:color w:val="000000" w:themeColor="text1"/>
              </w:rPr>
            </w:pPr>
            <w:bookmarkStart w:id="1762" w:name="n2009" w:colFirst="0" w:colLast="0"/>
            <w:bookmarkEnd w:id="1761"/>
            <w:r w:rsidRPr="00286216">
              <w:rPr>
                <w:color w:val="000000" w:themeColor="text1"/>
              </w:rPr>
              <w:t>2009.</w:t>
            </w:r>
          </w:p>
        </w:tc>
        <w:tc>
          <w:tcPr>
            <w:tcW w:w="4818" w:type="dxa"/>
          </w:tcPr>
          <w:p w14:paraId="0F28D562" w14:textId="77777777" w:rsidR="00572342" w:rsidRPr="00286216" w:rsidRDefault="00572342" w:rsidP="00572342">
            <w:pPr>
              <w:pStyle w:val="StyleZakonu"/>
              <w:rPr>
                <w:color w:val="000000" w:themeColor="text1"/>
              </w:rPr>
            </w:pPr>
            <w:r w:rsidRPr="00286216">
              <w:rPr>
                <w:color w:val="000000" w:themeColor="text1"/>
              </w:rPr>
              <w:t>1) відмовляється від позову, зменшує розмір позовних вимог, змінює предмет позову, укладає мирову угоду, відмовляється від апеляційної або касаційної скарги у спорі про захист прав та інтересів власників облігацій в порядку адміністративного, цивільного, господарського судочинства, укладає мирову угоду, відмовляється від позову або вимог, припиняє третейський або арбітражний розгляд у випадку розгляду спору в третейському суді або в міжнародному комерційному арбітражі;</w:t>
            </w:r>
          </w:p>
        </w:tc>
        <w:tc>
          <w:tcPr>
            <w:tcW w:w="3686" w:type="dxa"/>
          </w:tcPr>
          <w:p w14:paraId="2C8EC534" w14:textId="77777777" w:rsidR="00572342" w:rsidRPr="00286216" w:rsidRDefault="00572342" w:rsidP="00572342">
            <w:pPr>
              <w:pStyle w:val="StyleProp"/>
              <w:rPr>
                <w:color w:val="000000" w:themeColor="text1"/>
                <w:szCs w:val="18"/>
              </w:rPr>
            </w:pPr>
          </w:p>
        </w:tc>
        <w:tc>
          <w:tcPr>
            <w:tcW w:w="1987" w:type="dxa"/>
          </w:tcPr>
          <w:p w14:paraId="7C3022FF" w14:textId="77777777" w:rsidR="00572342" w:rsidRPr="00286216" w:rsidRDefault="00572342" w:rsidP="00572342">
            <w:pPr>
              <w:pStyle w:val="StyleWisnow"/>
              <w:rPr>
                <w:color w:val="000000" w:themeColor="text1"/>
              </w:rPr>
            </w:pPr>
          </w:p>
        </w:tc>
        <w:tc>
          <w:tcPr>
            <w:tcW w:w="4818" w:type="dxa"/>
          </w:tcPr>
          <w:p w14:paraId="5DBB78EF" w14:textId="6C2525DE" w:rsidR="00572342" w:rsidRPr="00286216" w:rsidRDefault="00572342" w:rsidP="00572342">
            <w:pPr>
              <w:pStyle w:val="StyleZakonu"/>
              <w:rPr>
                <w:color w:val="000000" w:themeColor="text1"/>
              </w:rPr>
            </w:pPr>
            <w:r w:rsidRPr="00286216">
              <w:rPr>
                <w:color w:val="000000" w:themeColor="text1"/>
              </w:rPr>
              <w:t>1) відмовляється від позову, зменшує розмір позовних вимог, змінює предмет позову, укладає мирову угоду, відмовляється від апеляційної або касаційної скарги у спорі про захист прав та інтересів власників облігацій в порядку адміністративного, цивільного, господарського судочинства, укладає мирову угоду, відмовляється від позову або вимог, припиняє третейський або арбітражний розгляд у разі розгляду спору в третейському суді або в міжнародному комерційному арбітражі;</w:t>
            </w:r>
          </w:p>
        </w:tc>
      </w:tr>
      <w:tr w:rsidR="00572342" w:rsidRPr="00286216" w14:paraId="4B3E9C4F" w14:textId="77777777" w:rsidTr="00091AA5">
        <w:tc>
          <w:tcPr>
            <w:tcW w:w="576" w:type="dxa"/>
          </w:tcPr>
          <w:p w14:paraId="41B30D90" w14:textId="77777777" w:rsidR="00572342" w:rsidRPr="00286216" w:rsidRDefault="00572342" w:rsidP="00572342">
            <w:pPr>
              <w:pStyle w:val="StyleWisnow"/>
              <w:rPr>
                <w:color w:val="000000" w:themeColor="text1"/>
              </w:rPr>
            </w:pPr>
            <w:bookmarkStart w:id="1763" w:name="n2010" w:colFirst="0" w:colLast="0"/>
            <w:bookmarkEnd w:id="1762"/>
            <w:r w:rsidRPr="00286216">
              <w:rPr>
                <w:color w:val="000000" w:themeColor="text1"/>
              </w:rPr>
              <w:t>2010.</w:t>
            </w:r>
          </w:p>
        </w:tc>
        <w:tc>
          <w:tcPr>
            <w:tcW w:w="4818" w:type="dxa"/>
          </w:tcPr>
          <w:p w14:paraId="0D1C1745" w14:textId="77777777" w:rsidR="00572342" w:rsidRPr="00286216" w:rsidRDefault="00572342" w:rsidP="00572342">
            <w:pPr>
              <w:pStyle w:val="StyleZakonu"/>
              <w:rPr>
                <w:color w:val="000000" w:themeColor="text1"/>
              </w:rPr>
            </w:pPr>
            <w:r w:rsidRPr="00286216">
              <w:rPr>
                <w:color w:val="000000" w:themeColor="text1"/>
              </w:rPr>
              <w:t>2) відмовляється від обвинувачення, апеляційної чи касаційної скарги, цивільного позову в кримінальному провадженні;</w:t>
            </w:r>
          </w:p>
        </w:tc>
        <w:tc>
          <w:tcPr>
            <w:tcW w:w="3686" w:type="dxa"/>
          </w:tcPr>
          <w:p w14:paraId="09B57043" w14:textId="77777777" w:rsidR="00572342" w:rsidRPr="00286216" w:rsidRDefault="00572342" w:rsidP="00572342">
            <w:pPr>
              <w:pStyle w:val="StyleProp"/>
              <w:rPr>
                <w:color w:val="000000" w:themeColor="text1"/>
                <w:szCs w:val="18"/>
              </w:rPr>
            </w:pPr>
          </w:p>
        </w:tc>
        <w:tc>
          <w:tcPr>
            <w:tcW w:w="1987" w:type="dxa"/>
          </w:tcPr>
          <w:p w14:paraId="10A064AD" w14:textId="77777777" w:rsidR="00572342" w:rsidRPr="00286216" w:rsidRDefault="00572342" w:rsidP="00572342">
            <w:pPr>
              <w:pStyle w:val="StyleWisnow"/>
              <w:rPr>
                <w:color w:val="000000" w:themeColor="text1"/>
              </w:rPr>
            </w:pPr>
          </w:p>
        </w:tc>
        <w:tc>
          <w:tcPr>
            <w:tcW w:w="4818" w:type="dxa"/>
          </w:tcPr>
          <w:p w14:paraId="74430C5F" w14:textId="45480F4A" w:rsidR="00572342" w:rsidRPr="00286216" w:rsidRDefault="00572342" w:rsidP="00572342">
            <w:pPr>
              <w:pStyle w:val="StyleZakonu"/>
              <w:rPr>
                <w:color w:val="000000" w:themeColor="text1"/>
              </w:rPr>
            </w:pPr>
            <w:r w:rsidRPr="00286216">
              <w:rPr>
                <w:color w:val="000000" w:themeColor="text1"/>
              </w:rPr>
              <w:t>2) відмовляється від обвинувачення, апеляційної чи касаційної скарги, цивільного позову в кримінальному провадженні;</w:t>
            </w:r>
          </w:p>
        </w:tc>
      </w:tr>
      <w:tr w:rsidR="00572342" w:rsidRPr="00286216" w14:paraId="6861EC6F" w14:textId="77777777" w:rsidTr="00091AA5">
        <w:tc>
          <w:tcPr>
            <w:tcW w:w="576" w:type="dxa"/>
          </w:tcPr>
          <w:p w14:paraId="3BFF7005" w14:textId="77777777" w:rsidR="00572342" w:rsidRPr="00286216" w:rsidRDefault="00572342" w:rsidP="00572342">
            <w:pPr>
              <w:pStyle w:val="StyleWisnow"/>
              <w:rPr>
                <w:color w:val="000000" w:themeColor="text1"/>
              </w:rPr>
            </w:pPr>
            <w:bookmarkStart w:id="1764" w:name="n2011" w:colFirst="0" w:colLast="0"/>
            <w:bookmarkEnd w:id="1763"/>
            <w:r w:rsidRPr="00286216">
              <w:rPr>
                <w:color w:val="000000" w:themeColor="text1"/>
              </w:rPr>
              <w:t>2011.</w:t>
            </w:r>
          </w:p>
        </w:tc>
        <w:tc>
          <w:tcPr>
            <w:tcW w:w="4818" w:type="dxa"/>
          </w:tcPr>
          <w:p w14:paraId="51794A2E" w14:textId="77777777" w:rsidR="00572342" w:rsidRPr="00286216" w:rsidRDefault="00572342" w:rsidP="00572342">
            <w:pPr>
              <w:pStyle w:val="StyleZakonu"/>
              <w:rPr>
                <w:color w:val="000000" w:themeColor="text1"/>
              </w:rPr>
            </w:pPr>
            <w:r w:rsidRPr="00286216">
              <w:rPr>
                <w:color w:val="000000" w:themeColor="text1"/>
              </w:rPr>
              <w:t>3) досягає примирення на будь-якій стадії адміністративного процесу та укладає угоду про примирення на будь-якій стадії кримінального провадження;</w:t>
            </w:r>
          </w:p>
        </w:tc>
        <w:tc>
          <w:tcPr>
            <w:tcW w:w="3686" w:type="dxa"/>
          </w:tcPr>
          <w:p w14:paraId="351FA2CC" w14:textId="77777777" w:rsidR="00572342" w:rsidRPr="00286216" w:rsidRDefault="00572342" w:rsidP="00572342">
            <w:pPr>
              <w:pStyle w:val="StyleProp"/>
              <w:rPr>
                <w:color w:val="000000" w:themeColor="text1"/>
                <w:szCs w:val="18"/>
              </w:rPr>
            </w:pPr>
          </w:p>
        </w:tc>
        <w:tc>
          <w:tcPr>
            <w:tcW w:w="1987" w:type="dxa"/>
          </w:tcPr>
          <w:p w14:paraId="19B54F04" w14:textId="77777777" w:rsidR="00572342" w:rsidRPr="00286216" w:rsidRDefault="00572342" w:rsidP="00572342">
            <w:pPr>
              <w:pStyle w:val="StyleWisnow"/>
              <w:rPr>
                <w:color w:val="000000" w:themeColor="text1"/>
              </w:rPr>
            </w:pPr>
          </w:p>
        </w:tc>
        <w:tc>
          <w:tcPr>
            <w:tcW w:w="4818" w:type="dxa"/>
          </w:tcPr>
          <w:p w14:paraId="5BA51D4D" w14:textId="4BBC8F63" w:rsidR="00572342" w:rsidRPr="00286216" w:rsidRDefault="00572342" w:rsidP="00572342">
            <w:pPr>
              <w:pStyle w:val="StyleZakonu"/>
              <w:rPr>
                <w:color w:val="000000" w:themeColor="text1"/>
              </w:rPr>
            </w:pPr>
            <w:r w:rsidRPr="00286216">
              <w:rPr>
                <w:color w:val="000000" w:themeColor="text1"/>
              </w:rPr>
              <w:t>3) досягає примирення на будь-якій стадії адміністративного процесу та укладає угоду про примирення на будь-якій стадії кримінального провадження;</w:t>
            </w:r>
          </w:p>
        </w:tc>
      </w:tr>
      <w:tr w:rsidR="00572342" w:rsidRPr="00286216" w14:paraId="4E7467C9" w14:textId="77777777" w:rsidTr="00091AA5">
        <w:tc>
          <w:tcPr>
            <w:tcW w:w="576" w:type="dxa"/>
          </w:tcPr>
          <w:p w14:paraId="0FB859E2" w14:textId="77777777" w:rsidR="00572342" w:rsidRPr="00286216" w:rsidRDefault="00572342" w:rsidP="00572342">
            <w:pPr>
              <w:pStyle w:val="StyleWisnow"/>
              <w:rPr>
                <w:color w:val="000000" w:themeColor="text1"/>
              </w:rPr>
            </w:pPr>
            <w:bookmarkStart w:id="1765" w:name="n2012" w:colFirst="0" w:colLast="0"/>
            <w:bookmarkEnd w:id="1764"/>
            <w:r w:rsidRPr="00286216">
              <w:rPr>
                <w:color w:val="000000" w:themeColor="text1"/>
              </w:rPr>
              <w:t>2012.</w:t>
            </w:r>
          </w:p>
        </w:tc>
        <w:tc>
          <w:tcPr>
            <w:tcW w:w="4818" w:type="dxa"/>
          </w:tcPr>
          <w:p w14:paraId="2E5CFABC" w14:textId="77777777" w:rsidR="00572342" w:rsidRPr="00286216" w:rsidRDefault="00572342" w:rsidP="00572342">
            <w:pPr>
              <w:pStyle w:val="StyleZakonu"/>
              <w:rPr>
                <w:color w:val="000000" w:themeColor="text1"/>
              </w:rPr>
            </w:pPr>
            <w:r w:rsidRPr="00286216">
              <w:rPr>
                <w:color w:val="000000" w:themeColor="text1"/>
              </w:rPr>
              <w:t>4) схвалює від свого імені план санації боржника, який має зобов’язання за облігаціями, до відкриття провадження у справі про банкрутство;</w:t>
            </w:r>
          </w:p>
        </w:tc>
        <w:tc>
          <w:tcPr>
            <w:tcW w:w="3686" w:type="dxa"/>
          </w:tcPr>
          <w:p w14:paraId="400BCAA6" w14:textId="77777777" w:rsidR="00572342" w:rsidRPr="00286216" w:rsidRDefault="00572342" w:rsidP="00572342">
            <w:pPr>
              <w:pStyle w:val="StyleProp"/>
              <w:rPr>
                <w:color w:val="000000" w:themeColor="text1"/>
                <w:szCs w:val="18"/>
              </w:rPr>
            </w:pPr>
          </w:p>
        </w:tc>
        <w:tc>
          <w:tcPr>
            <w:tcW w:w="1987" w:type="dxa"/>
          </w:tcPr>
          <w:p w14:paraId="1F6A1FAB" w14:textId="77777777" w:rsidR="00572342" w:rsidRPr="00286216" w:rsidRDefault="00572342" w:rsidP="00572342">
            <w:pPr>
              <w:pStyle w:val="StyleWisnow"/>
              <w:rPr>
                <w:color w:val="000000" w:themeColor="text1"/>
              </w:rPr>
            </w:pPr>
          </w:p>
        </w:tc>
        <w:tc>
          <w:tcPr>
            <w:tcW w:w="4818" w:type="dxa"/>
          </w:tcPr>
          <w:p w14:paraId="454DA309" w14:textId="6BB16314" w:rsidR="00572342" w:rsidRPr="00286216" w:rsidRDefault="00572342" w:rsidP="00572342">
            <w:pPr>
              <w:pStyle w:val="StyleZakonu"/>
              <w:rPr>
                <w:color w:val="000000" w:themeColor="text1"/>
              </w:rPr>
            </w:pPr>
            <w:r w:rsidRPr="00286216">
              <w:rPr>
                <w:color w:val="000000" w:themeColor="text1"/>
              </w:rPr>
              <w:t>4) схвалює від свого імені план санації боржника, який має зобов’язання за облігаціями, до відкриття провадження у справі про банкрутство;</w:t>
            </w:r>
          </w:p>
        </w:tc>
      </w:tr>
      <w:tr w:rsidR="00572342" w:rsidRPr="00286216" w14:paraId="7470E030" w14:textId="77777777" w:rsidTr="00091AA5">
        <w:tc>
          <w:tcPr>
            <w:tcW w:w="576" w:type="dxa"/>
          </w:tcPr>
          <w:p w14:paraId="62BE69DA" w14:textId="77777777" w:rsidR="00572342" w:rsidRPr="00286216" w:rsidRDefault="00572342" w:rsidP="00572342">
            <w:pPr>
              <w:pStyle w:val="StyleWisnow"/>
              <w:rPr>
                <w:color w:val="000000" w:themeColor="text1"/>
              </w:rPr>
            </w:pPr>
            <w:bookmarkStart w:id="1766" w:name="n2013" w:colFirst="0" w:colLast="0"/>
            <w:bookmarkEnd w:id="1765"/>
            <w:r w:rsidRPr="00286216">
              <w:rPr>
                <w:color w:val="000000" w:themeColor="text1"/>
              </w:rPr>
              <w:t>2013.</w:t>
            </w:r>
          </w:p>
        </w:tc>
        <w:tc>
          <w:tcPr>
            <w:tcW w:w="4818" w:type="dxa"/>
          </w:tcPr>
          <w:p w14:paraId="3DEFB640" w14:textId="3D078000" w:rsidR="00572342" w:rsidRPr="00286216" w:rsidRDefault="00572342" w:rsidP="00572342">
            <w:pPr>
              <w:pStyle w:val="StyleZakonu"/>
              <w:rPr>
                <w:color w:val="000000" w:themeColor="text1"/>
              </w:rPr>
            </w:pPr>
            <w:r w:rsidRPr="00286216">
              <w:rPr>
                <w:color w:val="000000" w:themeColor="text1"/>
              </w:rPr>
              <w:t>5) голосує від свого імені на зборах кредиторів з питань схвалення плану санації боржника, який має зобов’язання за облігаціями, до відкриття провадження у справі про банкрутство, звернення до господарського суду з клопотанням введення процедури санації і затвердження плану санації, схвалення плану санації боржника та схвалення внесення змін до нього, який має зобов’язання за облігаціями, змін та доповнень до нього.</w:t>
            </w:r>
          </w:p>
        </w:tc>
        <w:tc>
          <w:tcPr>
            <w:tcW w:w="3686" w:type="dxa"/>
          </w:tcPr>
          <w:p w14:paraId="4F6C2DD3" w14:textId="75EE1C1D" w:rsidR="00572342" w:rsidRPr="00286216" w:rsidRDefault="00572342" w:rsidP="00572342">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1015</w:t>
            </w:r>
            <w:r w:rsidRPr="00286216">
              <w:rPr>
                <w:color w:val="000000" w:themeColor="text1"/>
                <w:spacing w:val="-5"/>
              </w:rPr>
              <w:fldChar w:fldCharType="end"/>
            </w:r>
            <w:r w:rsidRPr="00286216">
              <w:rPr>
                <w:color w:val="000000" w:themeColor="text1"/>
                <w:spacing w:val="-5"/>
              </w:rPr>
              <w:t>-Н.д.Бєлькова О.В. (Реєстр.картка №403)</w:t>
            </w:r>
          </w:p>
          <w:p w14:paraId="3F46BDB2" w14:textId="0A5ED33C" w:rsidR="00572342" w:rsidRPr="00286216" w:rsidRDefault="00572342" w:rsidP="00572342">
            <w:pPr>
              <w:pStyle w:val="StyleProp"/>
              <w:spacing w:line="180" w:lineRule="exact"/>
              <w:rPr>
                <w:color w:val="000000" w:themeColor="text1"/>
                <w:lang w:val="ru-RU"/>
              </w:rPr>
            </w:pPr>
            <w:r w:rsidRPr="00286216">
              <w:rPr>
                <w:color w:val="000000" w:themeColor="text1"/>
                <w:lang w:val="ru-RU"/>
              </w:rPr>
              <w:t>П. 5 ч. 2 статті 117 викласти у редакції:</w:t>
            </w:r>
          </w:p>
          <w:p w14:paraId="302F77DD" w14:textId="36DFC1F9" w:rsidR="00572342" w:rsidRPr="00286216" w:rsidRDefault="00572342" w:rsidP="00572342">
            <w:pPr>
              <w:pStyle w:val="StyleProp"/>
              <w:spacing w:line="180" w:lineRule="exact"/>
              <w:rPr>
                <w:color w:val="000000" w:themeColor="text1"/>
                <w:szCs w:val="18"/>
              </w:rPr>
            </w:pPr>
            <w:r w:rsidRPr="00286216">
              <w:rPr>
                <w:color w:val="000000" w:themeColor="text1"/>
              </w:rPr>
              <w:t>"5</w:t>
            </w:r>
            <w:r w:rsidRPr="00286216">
              <w:rPr>
                <w:color w:val="000000" w:themeColor="text1"/>
                <w:spacing w:val="-2"/>
              </w:rPr>
              <w:t>) голосує від свого імені на зборах кредиторів з питань схвалення плану санації боржника, який має зобов’язання за облігаціями, до відкриття провадження у справі про банкрутство, звернення до господарського суду з клопотанням введення процедури санації і затвердження плану санації, схвалення плану санації боржника, який має зобов’язання за облігаціями, та схвалення внесення змін до такого плану".</w:t>
            </w:r>
          </w:p>
        </w:tc>
        <w:tc>
          <w:tcPr>
            <w:tcW w:w="1987" w:type="dxa"/>
          </w:tcPr>
          <w:p w14:paraId="28161F1F" w14:textId="60D519B8" w:rsidR="00572342" w:rsidRPr="00286216" w:rsidRDefault="00572342" w:rsidP="00572342">
            <w:pPr>
              <w:pStyle w:val="StyleWisnow"/>
              <w:rPr>
                <w:color w:val="000000" w:themeColor="text1"/>
              </w:rPr>
            </w:pPr>
            <w:r w:rsidRPr="00286216">
              <w:rPr>
                <w:color w:val="000000" w:themeColor="text1"/>
              </w:rPr>
              <w:t>Враховано</w:t>
            </w:r>
          </w:p>
        </w:tc>
        <w:tc>
          <w:tcPr>
            <w:tcW w:w="4818" w:type="dxa"/>
          </w:tcPr>
          <w:p w14:paraId="73B4A6D3" w14:textId="2DB0D32D" w:rsidR="00572342" w:rsidRPr="00286216" w:rsidRDefault="00572342" w:rsidP="00572342">
            <w:pPr>
              <w:pStyle w:val="StyleZakonu"/>
              <w:rPr>
                <w:color w:val="000000" w:themeColor="text1"/>
              </w:rPr>
            </w:pPr>
            <w:r w:rsidRPr="00286216">
              <w:rPr>
                <w:color w:val="000000" w:themeColor="text1"/>
              </w:rPr>
              <w:t>5) голосує від свого імені на зборах кредиторів з питань схвалення плану санації боржника, який має зобов’язання за облігаціями, до відкриття провадження у справі про банкрутство, звернення до господарського суду з клопотанням введення процедури санації і затвердження плану санації, схвалення плану санації боржника, який має зобов’язання за облігаціями, та схвалення внесення змін до такого плану.</w:t>
            </w:r>
          </w:p>
        </w:tc>
      </w:tr>
      <w:tr w:rsidR="00572342" w:rsidRPr="00286216" w14:paraId="33CDA82D" w14:textId="77777777" w:rsidTr="00091AA5">
        <w:tc>
          <w:tcPr>
            <w:tcW w:w="576" w:type="dxa"/>
          </w:tcPr>
          <w:p w14:paraId="2955953D" w14:textId="77777777" w:rsidR="00572342" w:rsidRPr="00286216" w:rsidRDefault="00572342" w:rsidP="00572342">
            <w:pPr>
              <w:pStyle w:val="StyleWisnow"/>
              <w:rPr>
                <w:color w:val="000000" w:themeColor="text1"/>
              </w:rPr>
            </w:pPr>
            <w:bookmarkStart w:id="1767" w:name="n2014" w:colFirst="0" w:colLast="0"/>
            <w:bookmarkEnd w:id="1766"/>
            <w:r w:rsidRPr="00286216">
              <w:rPr>
                <w:color w:val="000000" w:themeColor="text1"/>
              </w:rPr>
              <w:t>2014.</w:t>
            </w:r>
          </w:p>
        </w:tc>
        <w:tc>
          <w:tcPr>
            <w:tcW w:w="4818" w:type="dxa"/>
          </w:tcPr>
          <w:p w14:paraId="534B0C1E" w14:textId="77777777" w:rsidR="00572342" w:rsidRPr="00286216" w:rsidRDefault="00572342" w:rsidP="00572342">
            <w:pPr>
              <w:pStyle w:val="StyleZakonu"/>
              <w:rPr>
                <w:color w:val="000000" w:themeColor="text1"/>
              </w:rPr>
            </w:pPr>
            <w:r w:rsidRPr="00286216">
              <w:rPr>
                <w:color w:val="000000" w:themeColor="text1"/>
              </w:rPr>
              <w:t>Рішення з питань, вказаних у цій частині, може прийматися відповідно до абзацу першого частини третьої статті 107 цього Закону.</w:t>
            </w:r>
          </w:p>
        </w:tc>
        <w:tc>
          <w:tcPr>
            <w:tcW w:w="3686" w:type="dxa"/>
          </w:tcPr>
          <w:p w14:paraId="011CB544" w14:textId="38840020" w:rsidR="00572342" w:rsidRPr="00286216" w:rsidRDefault="00572342" w:rsidP="00572342">
            <w:pPr>
              <w:pStyle w:val="StyleProp"/>
              <w:spacing w:line="180" w:lineRule="exact"/>
              <w:rPr>
                <w:color w:val="000000" w:themeColor="text1"/>
                <w:szCs w:val="18"/>
              </w:rPr>
            </w:pPr>
            <w:r w:rsidRPr="00286216">
              <w:rPr>
                <w:color w:val="000000" w:themeColor="text1"/>
                <w:spacing w:val="-3"/>
              </w:rPr>
              <w:t xml:space="preserve">Рішення зборів власників облігацій щодо питань, передбачених цією частиною, приймається більшістю у ¾ голосів власників облігацій відповідного випуску, які беруть </w:t>
            </w:r>
            <w:r w:rsidRPr="00286216">
              <w:rPr>
                <w:color w:val="000000" w:themeColor="text1"/>
                <w:spacing w:val="-4"/>
              </w:rPr>
              <w:lastRenderedPageBreak/>
              <w:t>участь у голосуванні щодо питань порядку денного зборів власників облігацій, що вважаються правомочними приймати рішення".</w:t>
            </w:r>
          </w:p>
        </w:tc>
        <w:tc>
          <w:tcPr>
            <w:tcW w:w="1987" w:type="dxa"/>
          </w:tcPr>
          <w:p w14:paraId="4562A76D" w14:textId="77777777" w:rsidR="00572342" w:rsidRPr="00286216" w:rsidRDefault="00572342" w:rsidP="00572342">
            <w:pPr>
              <w:pStyle w:val="StyleWisnow"/>
              <w:rPr>
                <w:color w:val="000000" w:themeColor="text1"/>
              </w:rPr>
            </w:pPr>
          </w:p>
        </w:tc>
        <w:tc>
          <w:tcPr>
            <w:tcW w:w="4818" w:type="dxa"/>
          </w:tcPr>
          <w:p w14:paraId="74BDE380" w14:textId="2E17B762" w:rsidR="00572342" w:rsidRPr="00286216" w:rsidRDefault="00572342" w:rsidP="00572342">
            <w:pPr>
              <w:pStyle w:val="StyleZakonu"/>
              <w:rPr>
                <w:color w:val="000000" w:themeColor="text1"/>
              </w:rPr>
            </w:pPr>
            <w:r w:rsidRPr="00286216">
              <w:rPr>
                <w:color w:val="000000" w:themeColor="text1"/>
                <w:spacing w:val="-3"/>
              </w:rPr>
              <w:t xml:space="preserve">Рішення зборів власників облігацій щодо питань, передбачених цією частиною, приймається більшістю у три чверті голосів власників облігацій відповідного випуску, які беруть участь у голосуванні щодо питань </w:t>
            </w:r>
            <w:r w:rsidRPr="00286216">
              <w:rPr>
                <w:color w:val="000000" w:themeColor="text1"/>
                <w:spacing w:val="-3"/>
              </w:rPr>
              <w:lastRenderedPageBreak/>
              <w:t>порядку денного зборів власників облігацій, що вважаються правомочними приймати рішення.</w:t>
            </w:r>
          </w:p>
        </w:tc>
      </w:tr>
      <w:tr w:rsidR="00572342" w:rsidRPr="00286216" w14:paraId="3C599C25" w14:textId="77777777" w:rsidTr="00091AA5">
        <w:tc>
          <w:tcPr>
            <w:tcW w:w="576" w:type="dxa"/>
          </w:tcPr>
          <w:p w14:paraId="73B997CB" w14:textId="77777777" w:rsidR="00572342" w:rsidRPr="00286216" w:rsidRDefault="00572342" w:rsidP="00572342">
            <w:pPr>
              <w:pStyle w:val="StyleWisnow"/>
              <w:rPr>
                <w:color w:val="000000" w:themeColor="text1"/>
              </w:rPr>
            </w:pPr>
            <w:bookmarkStart w:id="1768" w:name="n2015" w:colFirst="0" w:colLast="0"/>
            <w:bookmarkEnd w:id="1767"/>
            <w:r w:rsidRPr="00286216">
              <w:rPr>
                <w:color w:val="000000" w:themeColor="text1"/>
              </w:rPr>
              <w:lastRenderedPageBreak/>
              <w:t>2015.</w:t>
            </w:r>
          </w:p>
        </w:tc>
        <w:tc>
          <w:tcPr>
            <w:tcW w:w="4818" w:type="dxa"/>
          </w:tcPr>
          <w:p w14:paraId="32013198" w14:textId="77777777" w:rsidR="00572342" w:rsidRPr="00286216" w:rsidRDefault="00572342" w:rsidP="00572342">
            <w:pPr>
              <w:pStyle w:val="StyleZakonu"/>
              <w:rPr>
                <w:color w:val="000000" w:themeColor="text1"/>
              </w:rPr>
            </w:pPr>
            <w:r w:rsidRPr="00286216">
              <w:rPr>
                <w:color w:val="000000" w:themeColor="text1"/>
              </w:rPr>
              <w:t>3. Адміністратор без необхідності отримання окремої вимоги власників облігацій та/або рішення зборів власників облігацій зобов’язаний вчиняти будь-які інші необхідні процесуальні дії та подавати будь-які інші необхідні процесуальні документи, передбачені законодавством, виключно в інтересах власників облігацій, які необхідні для захисту прав та інтересів власників облігацій під час судового процесу в порядку адміністративного, цивільного, господарського, кримінального судочинства, виконавчого провадження, розгляду спору в третейському суді або в міжнародному комерційному арбітражі, процедури відновлення платоспроможності та банкрутства боржника, який має зобов’язання за облігаціями, процедури тимчасової адміністрації та ліквідації банку, який має зобов’язання за облігаціями.</w:t>
            </w:r>
          </w:p>
        </w:tc>
        <w:tc>
          <w:tcPr>
            <w:tcW w:w="3686" w:type="dxa"/>
          </w:tcPr>
          <w:p w14:paraId="72D86EF4" w14:textId="77777777" w:rsidR="00572342" w:rsidRPr="00286216" w:rsidRDefault="00572342" w:rsidP="00572342">
            <w:pPr>
              <w:pStyle w:val="StyleProp"/>
              <w:rPr>
                <w:color w:val="000000" w:themeColor="text1"/>
                <w:szCs w:val="18"/>
              </w:rPr>
            </w:pPr>
          </w:p>
        </w:tc>
        <w:tc>
          <w:tcPr>
            <w:tcW w:w="1987" w:type="dxa"/>
          </w:tcPr>
          <w:p w14:paraId="74258591" w14:textId="77777777" w:rsidR="00572342" w:rsidRPr="00286216" w:rsidRDefault="00572342" w:rsidP="00572342">
            <w:pPr>
              <w:pStyle w:val="StyleWisnow"/>
              <w:rPr>
                <w:color w:val="000000" w:themeColor="text1"/>
              </w:rPr>
            </w:pPr>
          </w:p>
        </w:tc>
        <w:tc>
          <w:tcPr>
            <w:tcW w:w="4818" w:type="dxa"/>
          </w:tcPr>
          <w:p w14:paraId="5E82007D" w14:textId="45B57A27" w:rsidR="00572342" w:rsidRPr="00286216" w:rsidRDefault="00572342" w:rsidP="00572342">
            <w:pPr>
              <w:pStyle w:val="StyleZakonu"/>
              <w:rPr>
                <w:color w:val="000000" w:themeColor="text1"/>
              </w:rPr>
            </w:pPr>
            <w:r w:rsidRPr="00286216">
              <w:rPr>
                <w:color w:val="000000" w:themeColor="text1"/>
              </w:rPr>
              <w:t>3. Адміністратор без необхідності отримання окремої вимоги власників облігацій та/або рішення зборів власників облігацій зобов’язаний вчиняти будь-які інші необхідні процесуальні дії та подавати будь-які інші необхідні процесуальні документи, передбачені законодавством, виключно в інтересах власників облігацій, які необхідні для захисту прав та інтересів власників облігацій під час судового процесу в порядку адміністративного, цивільного, господарського, кримінального судочинства, виконавчого провадження, розгляду спору в третейському суді або в міжнародному комерційному арбітражі, процедури відновлення платоспроможності та банкрутства боржника, який має зобов’язання за облігаціями, процедури тимчасової адміністрації та ліквідації банку, який має зобов’язання за облігаціями.</w:t>
            </w:r>
          </w:p>
        </w:tc>
      </w:tr>
      <w:tr w:rsidR="00572342" w:rsidRPr="00286216" w14:paraId="1F8BA9B5" w14:textId="77777777" w:rsidTr="00091AA5">
        <w:tc>
          <w:tcPr>
            <w:tcW w:w="576" w:type="dxa"/>
          </w:tcPr>
          <w:p w14:paraId="54C7FE06" w14:textId="77777777" w:rsidR="00572342" w:rsidRPr="00286216" w:rsidRDefault="00572342" w:rsidP="00572342">
            <w:pPr>
              <w:pStyle w:val="StyleWisnow"/>
              <w:rPr>
                <w:color w:val="000000" w:themeColor="text1"/>
              </w:rPr>
            </w:pPr>
            <w:bookmarkStart w:id="1769" w:name="n2016" w:colFirst="0" w:colLast="0"/>
            <w:bookmarkEnd w:id="1768"/>
            <w:r w:rsidRPr="00286216">
              <w:rPr>
                <w:color w:val="000000" w:themeColor="text1"/>
              </w:rPr>
              <w:t>2016.</w:t>
            </w:r>
          </w:p>
        </w:tc>
        <w:tc>
          <w:tcPr>
            <w:tcW w:w="4818" w:type="dxa"/>
          </w:tcPr>
          <w:p w14:paraId="17690A11" w14:textId="77777777" w:rsidR="00572342" w:rsidRPr="00286216" w:rsidRDefault="00572342" w:rsidP="00572342">
            <w:pPr>
              <w:pStyle w:val="StyleZakonu"/>
              <w:rPr>
                <w:color w:val="000000" w:themeColor="text1"/>
              </w:rPr>
            </w:pPr>
            <w:r w:rsidRPr="00286216">
              <w:rPr>
                <w:color w:val="000000" w:themeColor="text1"/>
              </w:rPr>
              <w:t>4. У випадку, якщо адміністратор протягом розумного строку після отримання відповідних інструкцій від власників облігацій та належного (за оцінкою адміністратора) покриття його витрат не вчиняє будь-яких дій або правочинів, зазначених у частинах першій-третій цієї статті, будь-який власник облігацій може звернутися до адміністратора з письмовою вимогою про негайне вчинення таких дій або правочинів.</w:t>
            </w:r>
          </w:p>
        </w:tc>
        <w:tc>
          <w:tcPr>
            <w:tcW w:w="3686" w:type="dxa"/>
          </w:tcPr>
          <w:p w14:paraId="33B3F881" w14:textId="77777777" w:rsidR="00572342" w:rsidRPr="00286216" w:rsidRDefault="00572342" w:rsidP="00572342">
            <w:pPr>
              <w:pStyle w:val="StyleProp"/>
              <w:rPr>
                <w:color w:val="000000" w:themeColor="text1"/>
                <w:szCs w:val="18"/>
              </w:rPr>
            </w:pPr>
          </w:p>
        </w:tc>
        <w:tc>
          <w:tcPr>
            <w:tcW w:w="1987" w:type="dxa"/>
          </w:tcPr>
          <w:p w14:paraId="1A514DE6" w14:textId="77777777" w:rsidR="00572342" w:rsidRPr="00286216" w:rsidRDefault="00572342" w:rsidP="00572342">
            <w:pPr>
              <w:pStyle w:val="StyleWisnow"/>
              <w:rPr>
                <w:color w:val="000000" w:themeColor="text1"/>
              </w:rPr>
            </w:pPr>
          </w:p>
        </w:tc>
        <w:tc>
          <w:tcPr>
            <w:tcW w:w="4818" w:type="dxa"/>
          </w:tcPr>
          <w:p w14:paraId="3C262CA6" w14:textId="76B2714A" w:rsidR="00572342" w:rsidRPr="00286216" w:rsidRDefault="00572342" w:rsidP="00572342">
            <w:pPr>
              <w:pStyle w:val="StyleZakonu"/>
              <w:rPr>
                <w:color w:val="000000" w:themeColor="text1"/>
              </w:rPr>
            </w:pPr>
            <w:r w:rsidRPr="00286216">
              <w:rPr>
                <w:color w:val="000000" w:themeColor="text1"/>
              </w:rPr>
              <w:t>4. У разі, якщо адміністратор протягом розумного строку після отримання відповідних інструкцій від власників облігацій та належного (за оцінкою адміністратора) покриття його витрат не вчиняє будь-яких дій або правочинів, зазначених у частинах першій-третій цієї статті, будь-який власник облігацій може звернутися до адміністратора з письмовою вимогою про негайне вчинення таких дій або правочинів.</w:t>
            </w:r>
          </w:p>
        </w:tc>
      </w:tr>
      <w:tr w:rsidR="00572342" w:rsidRPr="00286216" w14:paraId="123A4839" w14:textId="77777777" w:rsidTr="00091AA5">
        <w:tc>
          <w:tcPr>
            <w:tcW w:w="576" w:type="dxa"/>
          </w:tcPr>
          <w:p w14:paraId="4BFA5095" w14:textId="77777777" w:rsidR="00572342" w:rsidRPr="00286216" w:rsidRDefault="00572342" w:rsidP="00572342">
            <w:pPr>
              <w:pStyle w:val="StyleWisnow"/>
              <w:rPr>
                <w:color w:val="000000" w:themeColor="text1"/>
              </w:rPr>
            </w:pPr>
            <w:bookmarkStart w:id="1770" w:name="n2017" w:colFirst="0" w:colLast="0"/>
            <w:bookmarkEnd w:id="1769"/>
            <w:r w:rsidRPr="00286216">
              <w:rPr>
                <w:color w:val="000000" w:themeColor="text1"/>
              </w:rPr>
              <w:t>2017.</w:t>
            </w:r>
          </w:p>
        </w:tc>
        <w:tc>
          <w:tcPr>
            <w:tcW w:w="4818" w:type="dxa"/>
          </w:tcPr>
          <w:p w14:paraId="5CF23713" w14:textId="77777777" w:rsidR="00572342" w:rsidRPr="00286216" w:rsidRDefault="00572342" w:rsidP="00572342">
            <w:pPr>
              <w:pStyle w:val="StyleZakonu"/>
              <w:rPr>
                <w:color w:val="000000" w:themeColor="text1"/>
              </w:rPr>
            </w:pPr>
            <w:r w:rsidRPr="00286216">
              <w:rPr>
                <w:color w:val="000000" w:themeColor="text1"/>
              </w:rPr>
              <w:t xml:space="preserve">5. Якщо протягом трьох робочих днів з дати отримання письмової вимоги від власника облігацій адміністратор не вчиняє необхідних дій або правочинів відповідно до інструкцій власників облігацій, не надає жодних пояснень у відповідь на письмову вимогу власника облігацій, відмовляється вчиняти необхідні дії або правочини відповідно до інструкцій власників облігацій або повідомляє про намір вчинити такі дії або правочини у строк, що може призвести до неможливості захисту прав та інтересів власників облігацій або значно ускладнить таку можливість, кожен власник облігацій має право самостійно вчинити вищевказані дії або правочини від свого імені для захисту власних прав і інтересів у порядку, передбаченому чинним законодавством України, незважаючи на наявність арбітражної або </w:t>
            </w:r>
            <w:r w:rsidRPr="00286216">
              <w:rPr>
                <w:color w:val="000000" w:themeColor="text1"/>
              </w:rPr>
              <w:lastRenderedPageBreak/>
              <w:t>третейської угоди між емітентом та/або особами, які надають забезпечення за облігаціями та адміністратором.</w:t>
            </w:r>
          </w:p>
        </w:tc>
        <w:tc>
          <w:tcPr>
            <w:tcW w:w="3686" w:type="dxa"/>
          </w:tcPr>
          <w:p w14:paraId="5337B0AA" w14:textId="77777777" w:rsidR="00572342" w:rsidRPr="00286216" w:rsidRDefault="00572342" w:rsidP="00572342">
            <w:pPr>
              <w:pStyle w:val="StyleProp"/>
              <w:rPr>
                <w:color w:val="000000" w:themeColor="text1"/>
                <w:szCs w:val="18"/>
              </w:rPr>
            </w:pPr>
          </w:p>
        </w:tc>
        <w:tc>
          <w:tcPr>
            <w:tcW w:w="1987" w:type="dxa"/>
          </w:tcPr>
          <w:p w14:paraId="1A813EA7" w14:textId="77777777" w:rsidR="00572342" w:rsidRPr="00286216" w:rsidRDefault="00572342" w:rsidP="00572342">
            <w:pPr>
              <w:pStyle w:val="StyleWisnow"/>
              <w:rPr>
                <w:color w:val="000000" w:themeColor="text1"/>
              </w:rPr>
            </w:pPr>
          </w:p>
        </w:tc>
        <w:tc>
          <w:tcPr>
            <w:tcW w:w="4818" w:type="dxa"/>
          </w:tcPr>
          <w:p w14:paraId="6B4D5EC9" w14:textId="41D1139F" w:rsidR="00572342" w:rsidRPr="00286216" w:rsidRDefault="00572342" w:rsidP="00572342">
            <w:pPr>
              <w:pStyle w:val="StyleZakonu"/>
              <w:rPr>
                <w:color w:val="000000" w:themeColor="text1"/>
              </w:rPr>
            </w:pPr>
            <w:r w:rsidRPr="00286216">
              <w:rPr>
                <w:color w:val="000000" w:themeColor="text1"/>
              </w:rPr>
              <w:t xml:space="preserve">5. Якщо протягом трьох робочих днів з дати отримання письмової вимоги від власника облігацій адміністратор не вчиняє необхідних дій або правочинів відповідно до інструкцій власників облігацій, не надає жодних пояснень у відповідь на письмову вимогу власника облігацій, відмовляється вчиняти необхідних дій або правочинів відповідно до інструкцій власників облігацій або повідомляє про намір вчинити такі дії або правочини у строк, що може призвести до неможливості захисту прав та інтересів власників облігацій або значно ускладнить таку можливість, кожний власник облігацій має право самостійно вчинити зазначені дії або правочини від свого імені для захисту своїх прав і інтересів у порядку, встановлених законодавством, незважаючи на наявність арбітражної або третейської угоди між </w:t>
            </w:r>
            <w:r w:rsidRPr="00286216">
              <w:rPr>
                <w:color w:val="000000" w:themeColor="text1"/>
              </w:rPr>
              <w:lastRenderedPageBreak/>
              <w:t>емітентом та/або особами, які надають забезпечення за облігаціями, та адміністратором.</w:t>
            </w:r>
          </w:p>
        </w:tc>
      </w:tr>
      <w:tr w:rsidR="00572342" w:rsidRPr="00286216" w14:paraId="320363E6" w14:textId="77777777" w:rsidTr="00091AA5">
        <w:tc>
          <w:tcPr>
            <w:tcW w:w="576" w:type="dxa"/>
          </w:tcPr>
          <w:p w14:paraId="60F16847" w14:textId="77777777" w:rsidR="00572342" w:rsidRPr="00286216" w:rsidRDefault="00572342" w:rsidP="00572342">
            <w:pPr>
              <w:pStyle w:val="StyleWisnow"/>
              <w:rPr>
                <w:color w:val="000000" w:themeColor="text1"/>
              </w:rPr>
            </w:pPr>
            <w:bookmarkStart w:id="1771" w:name="n2018" w:colFirst="0" w:colLast="0"/>
            <w:bookmarkEnd w:id="1770"/>
            <w:r w:rsidRPr="00286216">
              <w:rPr>
                <w:color w:val="000000" w:themeColor="text1"/>
              </w:rPr>
              <w:lastRenderedPageBreak/>
              <w:t>2018.</w:t>
            </w:r>
          </w:p>
        </w:tc>
        <w:tc>
          <w:tcPr>
            <w:tcW w:w="4818" w:type="dxa"/>
          </w:tcPr>
          <w:p w14:paraId="283A6720" w14:textId="77777777" w:rsidR="00572342" w:rsidRPr="00286216" w:rsidRDefault="00572342" w:rsidP="00572342">
            <w:pPr>
              <w:pStyle w:val="StyleZakonu"/>
              <w:rPr>
                <w:color w:val="000000" w:themeColor="text1"/>
              </w:rPr>
            </w:pPr>
            <w:r w:rsidRPr="00286216">
              <w:rPr>
                <w:color w:val="000000" w:themeColor="text1"/>
              </w:rPr>
              <w:t>6. У випадку, якщо адміністратор не отримав заяви власників облігацій про пред’явлення вимоги про дострокове погашення облігацій та невчинення відповідних дій або правочинів стосовно емітента та/або особи, яка надає забезпечення за облігаціями, може призвести до неможливості захисту прав та інтересів власників облігацій або значно ускладнить таку можливість, адміністратор зобов’язаний завчасно (у строки, достатні для того, щоб надати можливість власникам облігацій вжити заходів для захисту своїх прав та інтересів) повідомити про зазначені обставини власників облігацій.</w:t>
            </w:r>
          </w:p>
        </w:tc>
        <w:tc>
          <w:tcPr>
            <w:tcW w:w="3686" w:type="dxa"/>
          </w:tcPr>
          <w:p w14:paraId="63930FB7" w14:textId="77777777" w:rsidR="00572342" w:rsidRPr="00286216" w:rsidRDefault="00572342" w:rsidP="00572342">
            <w:pPr>
              <w:pStyle w:val="StyleProp"/>
              <w:rPr>
                <w:color w:val="000000" w:themeColor="text1"/>
                <w:szCs w:val="18"/>
              </w:rPr>
            </w:pPr>
          </w:p>
        </w:tc>
        <w:tc>
          <w:tcPr>
            <w:tcW w:w="1987" w:type="dxa"/>
          </w:tcPr>
          <w:p w14:paraId="1BCEB833" w14:textId="77777777" w:rsidR="00572342" w:rsidRPr="00286216" w:rsidRDefault="00572342" w:rsidP="00572342">
            <w:pPr>
              <w:pStyle w:val="StyleWisnow"/>
              <w:rPr>
                <w:color w:val="000000" w:themeColor="text1"/>
              </w:rPr>
            </w:pPr>
          </w:p>
        </w:tc>
        <w:tc>
          <w:tcPr>
            <w:tcW w:w="4818" w:type="dxa"/>
          </w:tcPr>
          <w:p w14:paraId="647D3266" w14:textId="202274CC" w:rsidR="00572342" w:rsidRPr="00286216" w:rsidRDefault="00572342" w:rsidP="00572342">
            <w:pPr>
              <w:pStyle w:val="StyleZakonu"/>
              <w:rPr>
                <w:color w:val="000000" w:themeColor="text1"/>
              </w:rPr>
            </w:pPr>
            <w:r w:rsidRPr="00286216">
              <w:rPr>
                <w:color w:val="000000" w:themeColor="text1"/>
              </w:rPr>
              <w:t>6. У разі, якщо адміністратор не отримав заяви власників облігацій про пред’явлення вимоги про дострокове погашення облігацій та невчинення відповідних дій або правочинів стосовно емітента та/або особи, яка надає забезпечення за облігаціями, що може призвести до неможливості захисту прав та інтересів власників облігацій або значно ускладнить таку можливість, адміністратор зобов’язаний завчасно (у строки, достатні для того, щоб надати можливість власникам облігацій вжити заходів для захисту своїх прав та інтересів) повідомити про зазначені обставини власників облігацій.</w:t>
            </w:r>
          </w:p>
        </w:tc>
      </w:tr>
      <w:tr w:rsidR="00572342" w:rsidRPr="00286216" w14:paraId="4580C9C5" w14:textId="77777777" w:rsidTr="00091AA5">
        <w:tc>
          <w:tcPr>
            <w:tcW w:w="576" w:type="dxa"/>
          </w:tcPr>
          <w:p w14:paraId="471C3729" w14:textId="77777777" w:rsidR="00572342" w:rsidRPr="00286216" w:rsidRDefault="00572342" w:rsidP="00572342">
            <w:pPr>
              <w:pStyle w:val="StyleWisnow"/>
              <w:rPr>
                <w:color w:val="000000" w:themeColor="text1"/>
              </w:rPr>
            </w:pPr>
            <w:bookmarkStart w:id="1772" w:name="n2019" w:colFirst="0" w:colLast="0"/>
            <w:bookmarkEnd w:id="1771"/>
            <w:r w:rsidRPr="00286216">
              <w:rPr>
                <w:color w:val="000000" w:themeColor="text1"/>
              </w:rPr>
              <w:t>2019.</w:t>
            </w:r>
          </w:p>
        </w:tc>
        <w:tc>
          <w:tcPr>
            <w:tcW w:w="4818" w:type="dxa"/>
          </w:tcPr>
          <w:p w14:paraId="207CFA1C" w14:textId="77777777" w:rsidR="00572342" w:rsidRPr="00286216" w:rsidRDefault="00572342" w:rsidP="00572342">
            <w:pPr>
              <w:pStyle w:val="StyleZakonu"/>
              <w:rPr>
                <w:color w:val="000000" w:themeColor="text1"/>
              </w:rPr>
            </w:pPr>
            <w:r w:rsidRPr="00286216">
              <w:rPr>
                <w:color w:val="000000" w:themeColor="text1"/>
              </w:rPr>
              <w:t>7. Якщо адміністратор відсутній, кожен власник облігацій здійснює захист своїх прав та інтересів самостійно або колективно з іншими власниками.</w:t>
            </w:r>
          </w:p>
        </w:tc>
        <w:tc>
          <w:tcPr>
            <w:tcW w:w="3686" w:type="dxa"/>
          </w:tcPr>
          <w:p w14:paraId="7593D252" w14:textId="77777777" w:rsidR="00572342" w:rsidRPr="00286216" w:rsidRDefault="00572342" w:rsidP="00572342">
            <w:pPr>
              <w:pStyle w:val="StyleProp"/>
              <w:rPr>
                <w:color w:val="000000" w:themeColor="text1"/>
                <w:szCs w:val="18"/>
              </w:rPr>
            </w:pPr>
          </w:p>
        </w:tc>
        <w:tc>
          <w:tcPr>
            <w:tcW w:w="1987" w:type="dxa"/>
          </w:tcPr>
          <w:p w14:paraId="42F87EF0" w14:textId="77777777" w:rsidR="00572342" w:rsidRPr="00286216" w:rsidRDefault="00572342" w:rsidP="00572342">
            <w:pPr>
              <w:pStyle w:val="StyleWisnow"/>
              <w:rPr>
                <w:color w:val="000000" w:themeColor="text1"/>
              </w:rPr>
            </w:pPr>
          </w:p>
        </w:tc>
        <w:tc>
          <w:tcPr>
            <w:tcW w:w="4818" w:type="dxa"/>
          </w:tcPr>
          <w:p w14:paraId="522A8D6F" w14:textId="20C6E341" w:rsidR="00572342" w:rsidRPr="00286216" w:rsidRDefault="00572342" w:rsidP="00572342">
            <w:pPr>
              <w:pStyle w:val="StyleZakonu"/>
              <w:rPr>
                <w:color w:val="000000" w:themeColor="text1"/>
              </w:rPr>
            </w:pPr>
            <w:r w:rsidRPr="00286216">
              <w:rPr>
                <w:color w:val="000000" w:themeColor="text1"/>
              </w:rPr>
              <w:t>7. Якщо адміністратор відсутній, кожений власник облігацій здійснює захист своїх прав та інтересів самостійно або колективно з іншими власниками.</w:t>
            </w:r>
          </w:p>
        </w:tc>
      </w:tr>
      <w:tr w:rsidR="00572342" w:rsidRPr="00286216" w14:paraId="56B343E6" w14:textId="77777777" w:rsidTr="00091AA5">
        <w:tc>
          <w:tcPr>
            <w:tcW w:w="576" w:type="dxa"/>
          </w:tcPr>
          <w:p w14:paraId="78C95A5D" w14:textId="77777777" w:rsidR="00572342" w:rsidRPr="00286216" w:rsidRDefault="00572342" w:rsidP="00572342">
            <w:pPr>
              <w:pStyle w:val="StyleWisnow"/>
              <w:rPr>
                <w:color w:val="000000" w:themeColor="text1"/>
              </w:rPr>
            </w:pPr>
            <w:bookmarkStart w:id="1773" w:name="n2020" w:colFirst="0" w:colLast="0"/>
            <w:bookmarkEnd w:id="1772"/>
            <w:r w:rsidRPr="00286216">
              <w:rPr>
                <w:color w:val="000000" w:themeColor="text1"/>
              </w:rPr>
              <w:t>2020.</w:t>
            </w:r>
          </w:p>
        </w:tc>
        <w:tc>
          <w:tcPr>
            <w:tcW w:w="4818" w:type="dxa"/>
          </w:tcPr>
          <w:p w14:paraId="5F9C8CC8" w14:textId="77777777" w:rsidR="00572342" w:rsidRPr="00286216" w:rsidRDefault="00572342" w:rsidP="00572342">
            <w:pPr>
              <w:pStyle w:val="StyleZakonu"/>
              <w:rPr>
                <w:color w:val="000000" w:themeColor="text1"/>
              </w:rPr>
            </w:pPr>
            <w:r w:rsidRPr="00286216">
              <w:rPr>
                <w:color w:val="000000" w:themeColor="text1"/>
              </w:rPr>
              <w:t>8. Незважаючи на будь-які положення проспекту (рішення про емісію цінних паперів) про інше, для вчинення будь-яких дій або правочинів, зазначених у частинах першій - третій цієї статті, не вимагається перерахування облігацій будь-яким із власників облігацій зі свого рахунку у цінних паперах на рахунок у цінних паперах емітента. Таке перерахування повинно здійснюватися лише у тому випадку, якщо відповідні облігації будуть погашені негайно після перерахування.</w:t>
            </w:r>
          </w:p>
        </w:tc>
        <w:tc>
          <w:tcPr>
            <w:tcW w:w="3686" w:type="dxa"/>
          </w:tcPr>
          <w:p w14:paraId="13D1BD2F" w14:textId="16640363" w:rsidR="00572342" w:rsidRPr="00286216" w:rsidRDefault="00572342" w:rsidP="00572342">
            <w:pPr>
              <w:pStyle w:val="StyleProp"/>
              <w:rPr>
                <w:color w:val="000000" w:themeColor="text1"/>
                <w:szCs w:val="18"/>
              </w:rPr>
            </w:pPr>
          </w:p>
        </w:tc>
        <w:tc>
          <w:tcPr>
            <w:tcW w:w="1987" w:type="dxa"/>
          </w:tcPr>
          <w:p w14:paraId="70537675" w14:textId="5C04BFF0" w:rsidR="00572342" w:rsidRPr="00286216" w:rsidRDefault="00572342" w:rsidP="00572342">
            <w:pPr>
              <w:pStyle w:val="StyleWisnow"/>
              <w:rPr>
                <w:color w:val="000000" w:themeColor="text1"/>
              </w:rPr>
            </w:pPr>
          </w:p>
        </w:tc>
        <w:tc>
          <w:tcPr>
            <w:tcW w:w="4818" w:type="dxa"/>
          </w:tcPr>
          <w:p w14:paraId="4CF46428" w14:textId="3AA4B383" w:rsidR="00572342" w:rsidRPr="00286216" w:rsidRDefault="00572342" w:rsidP="00572342">
            <w:pPr>
              <w:pStyle w:val="StyleZakonu"/>
              <w:rPr>
                <w:color w:val="000000" w:themeColor="text1"/>
              </w:rPr>
            </w:pPr>
            <w:r w:rsidRPr="00286216">
              <w:rPr>
                <w:color w:val="000000" w:themeColor="text1"/>
              </w:rPr>
              <w:t>8. Незважаючи на будь-які положення проспекту (рішення про емісію) про інше, для вчинення будь-яких дій або правочинів, зазначених у частинах першій - третій цієї статті, не вимагається перерахування облігацій будь-яким із власників облігацій зі свого рахунку у цінних паперах на рахунок у цінних паперах емітента. Таке перерахування повинно здійснюватися лише в разі, якщо відповідні облігації будуть погашені негайно після перерахування.</w:t>
            </w:r>
          </w:p>
        </w:tc>
      </w:tr>
      <w:tr w:rsidR="00572342" w:rsidRPr="00286216" w14:paraId="702E3E05" w14:textId="77777777" w:rsidTr="00091AA5">
        <w:tc>
          <w:tcPr>
            <w:tcW w:w="576" w:type="dxa"/>
          </w:tcPr>
          <w:p w14:paraId="3640A193" w14:textId="77777777" w:rsidR="00572342" w:rsidRPr="00286216" w:rsidRDefault="00572342" w:rsidP="00572342">
            <w:pPr>
              <w:pStyle w:val="StyleWisnow"/>
              <w:rPr>
                <w:color w:val="000000" w:themeColor="text1"/>
              </w:rPr>
            </w:pPr>
            <w:bookmarkStart w:id="1774" w:name="n2021" w:colFirst="0" w:colLast="0"/>
            <w:bookmarkEnd w:id="1773"/>
            <w:r w:rsidRPr="00286216">
              <w:rPr>
                <w:color w:val="000000" w:themeColor="text1"/>
              </w:rPr>
              <w:t>2021.</w:t>
            </w:r>
          </w:p>
        </w:tc>
        <w:tc>
          <w:tcPr>
            <w:tcW w:w="4818" w:type="dxa"/>
          </w:tcPr>
          <w:p w14:paraId="68836821" w14:textId="77777777" w:rsidR="00572342" w:rsidRPr="00286216" w:rsidRDefault="00572342" w:rsidP="00572342">
            <w:pPr>
              <w:pStyle w:val="StyleZakonu"/>
              <w:rPr>
                <w:color w:val="000000" w:themeColor="text1"/>
              </w:rPr>
            </w:pPr>
            <w:bookmarkStart w:id="1775" w:name="_Ref19037886"/>
            <w:r w:rsidRPr="00286216">
              <w:rPr>
                <w:color w:val="000000" w:themeColor="text1"/>
              </w:rPr>
              <w:t>Стаття 118. Особливості розподілу коштів між власниками облігацій за участю адміністратора</w:t>
            </w:r>
            <w:bookmarkEnd w:id="1775"/>
          </w:p>
        </w:tc>
        <w:tc>
          <w:tcPr>
            <w:tcW w:w="3686" w:type="dxa"/>
          </w:tcPr>
          <w:p w14:paraId="143EB121" w14:textId="77777777" w:rsidR="00572342" w:rsidRPr="00286216" w:rsidRDefault="00572342" w:rsidP="00572342">
            <w:pPr>
              <w:pStyle w:val="StyleProp"/>
              <w:rPr>
                <w:color w:val="000000" w:themeColor="text1"/>
                <w:szCs w:val="18"/>
              </w:rPr>
            </w:pPr>
          </w:p>
        </w:tc>
        <w:tc>
          <w:tcPr>
            <w:tcW w:w="1987" w:type="dxa"/>
          </w:tcPr>
          <w:p w14:paraId="441DEB1F" w14:textId="77777777" w:rsidR="00572342" w:rsidRPr="00286216" w:rsidRDefault="00572342" w:rsidP="00572342">
            <w:pPr>
              <w:pStyle w:val="StyleWisnow"/>
              <w:rPr>
                <w:color w:val="000000" w:themeColor="text1"/>
              </w:rPr>
            </w:pPr>
          </w:p>
        </w:tc>
        <w:tc>
          <w:tcPr>
            <w:tcW w:w="4818" w:type="dxa"/>
          </w:tcPr>
          <w:p w14:paraId="4AD1DD93" w14:textId="78E5A4A8" w:rsidR="00572342" w:rsidRPr="00286216" w:rsidRDefault="00572342" w:rsidP="00572342">
            <w:pPr>
              <w:pStyle w:val="StyleZakonu"/>
              <w:rPr>
                <w:color w:val="000000" w:themeColor="text1"/>
              </w:rPr>
            </w:pPr>
            <w:r w:rsidRPr="00286216">
              <w:rPr>
                <w:color w:val="000000" w:themeColor="text1"/>
              </w:rPr>
              <w:t>Стаття 122. Особливості розподілу коштів між власниками облігацій за участю адміністратора</w:t>
            </w:r>
          </w:p>
        </w:tc>
      </w:tr>
      <w:tr w:rsidR="00572342" w:rsidRPr="00286216" w14:paraId="437DCF17" w14:textId="77777777" w:rsidTr="00091AA5">
        <w:tc>
          <w:tcPr>
            <w:tcW w:w="576" w:type="dxa"/>
          </w:tcPr>
          <w:p w14:paraId="390E3C0E" w14:textId="77777777" w:rsidR="00572342" w:rsidRPr="00286216" w:rsidRDefault="00572342" w:rsidP="00572342">
            <w:pPr>
              <w:pStyle w:val="StyleWisnow"/>
              <w:rPr>
                <w:color w:val="000000" w:themeColor="text1"/>
              </w:rPr>
            </w:pPr>
            <w:bookmarkStart w:id="1776" w:name="n2022" w:colFirst="0" w:colLast="0"/>
            <w:bookmarkEnd w:id="1774"/>
            <w:r w:rsidRPr="00286216">
              <w:rPr>
                <w:color w:val="000000" w:themeColor="text1"/>
              </w:rPr>
              <w:t>2022.</w:t>
            </w:r>
          </w:p>
        </w:tc>
        <w:tc>
          <w:tcPr>
            <w:tcW w:w="4818" w:type="dxa"/>
          </w:tcPr>
          <w:p w14:paraId="7222B0D6" w14:textId="77777777" w:rsidR="00572342" w:rsidRPr="00286216" w:rsidRDefault="00572342" w:rsidP="00572342">
            <w:pPr>
              <w:pStyle w:val="StyleZakonu"/>
              <w:rPr>
                <w:color w:val="000000" w:themeColor="text1"/>
              </w:rPr>
            </w:pPr>
            <w:r w:rsidRPr="00286216">
              <w:rPr>
                <w:color w:val="000000" w:themeColor="text1"/>
              </w:rPr>
              <w:t xml:space="preserve">1. Будь-які кошти, які підлягають виплаті у процесі стягнення заборгованості з емітента облігацій (крім структурованих іпотечних облігацій, якщо проспектом (рішенням про емісію цінних паперів) та/або договором про управління іпотечним покриттям не передбачений такий порядок виплати), особи, яка надає забезпечення за облігаціями, або в процедурі їх банкрутства або ліквідації за участю адміністратора, зараховуються на рахунок Центрального депозитарію цінних паперів, відкритий у Національному банку України, а у випадку стягнення за участю адміністратора заборгованості з емітента облігацій внутрішніх місцевих позик, особи, яка надає забезпечення за такими облігаціями, або в </w:t>
            </w:r>
            <w:r w:rsidRPr="00286216">
              <w:rPr>
                <w:color w:val="000000" w:themeColor="text1"/>
              </w:rPr>
              <w:lastRenderedPageBreak/>
              <w:t>процедурі банкрутства та ліквідації такої особи - на рахунок Національного банку України, згідно з законодавством.</w:t>
            </w:r>
          </w:p>
        </w:tc>
        <w:tc>
          <w:tcPr>
            <w:tcW w:w="3686" w:type="dxa"/>
          </w:tcPr>
          <w:p w14:paraId="60E0AFD8" w14:textId="4654C461" w:rsidR="00572342" w:rsidRPr="00286216" w:rsidRDefault="00572342" w:rsidP="00572342">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1016</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72E25B2F" w14:textId="77777777" w:rsidR="00572342" w:rsidRPr="00286216" w:rsidRDefault="00572342" w:rsidP="00572342">
            <w:pPr>
              <w:pStyle w:val="StyleProp"/>
              <w:spacing w:line="180" w:lineRule="exact"/>
              <w:rPr>
                <w:color w:val="000000" w:themeColor="text1"/>
              </w:rPr>
            </w:pPr>
            <w:r w:rsidRPr="00286216">
              <w:rPr>
                <w:color w:val="000000" w:themeColor="text1"/>
              </w:rPr>
              <w:t>Частину 1 статті 118 викласти у такій редакції:</w:t>
            </w:r>
          </w:p>
          <w:p w14:paraId="322EAAAA" w14:textId="0DAA8E57" w:rsidR="00572342" w:rsidRPr="00286216" w:rsidRDefault="00572342" w:rsidP="00572342">
            <w:pPr>
              <w:pStyle w:val="StyleProp"/>
              <w:spacing w:line="180" w:lineRule="exact"/>
              <w:rPr>
                <w:rFonts w:eastAsia="Calibri"/>
                <w:color w:val="000000" w:themeColor="text1"/>
                <w:szCs w:val="18"/>
              </w:rPr>
            </w:pPr>
            <w:r w:rsidRPr="00286216">
              <w:rPr>
                <w:color w:val="000000" w:themeColor="text1"/>
              </w:rPr>
              <w:t>"1. Будь-які кошти, які підлягають виплаті за участю адміністратора у процесі стягнення заборгованості з емітента облігацій (крім іпотечних облігацій, якщо проспектом (рішенням про емісію) та/або договором про управління іпотечним покриттям не передбачений інший порядок виплати), особи, яка надає забезпечення за облігаціями, або в процедурі їх банкрутства чи припинення , зараховуються на рахунок Центрального депозитарію цінних паперів, відкритий у Національному банку України.</w:t>
            </w:r>
          </w:p>
          <w:p w14:paraId="6ABA7F23" w14:textId="0C33603F" w:rsidR="00572342" w:rsidRPr="00286216" w:rsidRDefault="00572342" w:rsidP="00572342">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1017</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355F7DA" w14:textId="52E763C0" w:rsidR="00572342" w:rsidRPr="00286216" w:rsidRDefault="00572342" w:rsidP="00572342">
            <w:pPr>
              <w:pStyle w:val="StyleProp"/>
              <w:spacing w:line="180" w:lineRule="exact"/>
              <w:rPr>
                <w:color w:val="000000" w:themeColor="text1"/>
                <w:szCs w:val="18"/>
              </w:rPr>
            </w:pPr>
            <w:r w:rsidRPr="00286216">
              <w:rPr>
                <w:rFonts w:eastAsia="Calibri"/>
                <w:color w:val="000000" w:themeColor="text1"/>
                <w:szCs w:val="18"/>
              </w:rPr>
              <w:t>У частині першій статті 118 Закону «Про ринки капіталу та організовані товарні ринки» вилучити слово «структурованих».</w:t>
            </w:r>
          </w:p>
        </w:tc>
        <w:tc>
          <w:tcPr>
            <w:tcW w:w="1987" w:type="dxa"/>
          </w:tcPr>
          <w:p w14:paraId="271659E5" w14:textId="0B61A482" w:rsidR="00572342" w:rsidRPr="00286216" w:rsidRDefault="00572342" w:rsidP="00572342">
            <w:pPr>
              <w:pStyle w:val="StyleWisnow"/>
              <w:spacing w:line="180" w:lineRule="exact"/>
              <w:rPr>
                <w:color w:val="000000" w:themeColor="text1"/>
              </w:rPr>
            </w:pPr>
            <w:r w:rsidRPr="00286216">
              <w:rPr>
                <w:color w:val="000000" w:themeColor="text1"/>
              </w:rPr>
              <w:lastRenderedPageBreak/>
              <w:t>Враховано</w:t>
            </w:r>
          </w:p>
          <w:p w14:paraId="4EDB0F2E" w14:textId="77777777" w:rsidR="00572342" w:rsidRPr="00286216" w:rsidRDefault="00572342" w:rsidP="00572342">
            <w:pPr>
              <w:pStyle w:val="StyleWisnow"/>
              <w:spacing w:line="180" w:lineRule="exact"/>
              <w:rPr>
                <w:color w:val="000000" w:themeColor="text1"/>
                <w:spacing w:val="-4"/>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p w14:paraId="6182676E" w14:textId="77777777" w:rsidR="00572342" w:rsidRPr="00286216" w:rsidRDefault="00572342" w:rsidP="00572342">
            <w:pPr>
              <w:pStyle w:val="StyleWisnow"/>
              <w:spacing w:line="180" w:lineRule="exact"/>
              <w:rPr>
                <w:color w:val="000000" w:themeColor="text1"/>
                <w:spacing w:val="-4"/>
              </w:rPr>
            </w:pPr>
          </w:p>
          <w:p w14:paraId="2235AB9C" w14:textId="77777777" w:rsidR="00572342" w:rsidRPr="00286216" w:rsidRDefault="00572342" w:rsidP="00572342">
            <w:pPr>
              <w:pStyle w:val="StyleWisnow"/>
              <w:spacing w:line="180" w:lineRule="exact"/>
              <w:rPr>
                <w:color w:val="000000" w:themeColor="text1"/>
                <w:spacing w:val="-4"/>
              </w:rPr>
            </w:pPr>
          </w:p>
          <w:p w14:paraId="63910F40" w14:textId="77777777" w:rsidR="00572342" w:rsidRPr="00286216" w:rsidRDefault="00572342" w:rsidP="00572342">
            <w:pPr>
              <w:pStyle w:val="StyleWisnow"/>
              <w:spacing w:line="180" w:lineRule="exact"/>
              <w:rPr>
                <w:color w:val="000000" w:themeColor="text1"/>
                <w:spacing w:val="-4"/>
              </w:rPr>
            </w:pPr>
          </w:p>
          <w:p w14:paraId="0ACCC7FF" w14:textId="77777777" w:rsidR="00572342" w:rsidRPr="00286216" w:rsidRDefault="00572342" w:rsidP="00572342">
            <w:pPr>
              <w:pStyle w:val="StyleWisnow"/>
              <w:spacing w:line="180" w:lineRule="exact"/>
              <w:rPr>
                <w:color w:val="000000" w:themeColor="text1"/>
                <w:spacing w:val="-4"/>
              </w:rPr>
            </w:pPr>
          </w:p>
          <w:p w14:paraId="4093830D" w14:textId="310A0E43" w:rsidR="00572342" w:rsidRPr="00286216" w:rsidRDefault="00572342" w:rsidP="00572342">
            <w:pPr>
              <w:pStyle w:val="StyleWisnow"/>
              <w:spacing w:line="180" w:lineRule="exact"/>
              <w:rPr>
                <w:color w:val="000000" w:themeColor="text1"/>
                <w:spacing w:val="-4"/>
              </w:rPr>
            </w:pPr>
          </w:p>
          <w:p w14:paraId="69D1F35C" w14:textId="2309E6A9" w:rsidR="00572342" w:rsidRPr="00286216" w:rsidRDefault="00572342" w:rsidP="00572342">
            <w:pPr>
              <w:pStyle w:val="StyleWisnow"/>
              <w:spacing w:line="180" w:lineRule="exact"/>
              <w:rPr>
                <w:color w:val="000000" w:themeColor="text1"/>
                <w:spacing w:val="-4"/>
              </w:rPr>
            </w:pPr>
          </w:p>
          <w:p w14:paraId="4DE2A804" w14:textId="608E1FAE" w:rsidR="00572342" w:rsidRPr="00286216" w:rsidRDefault="00572342" w:rsidP="00572342">
            <w:pPr>
              <w:pStyle w:val="StyleWisnow"/>
              <w:spacing w:line="180" w:lineRule="exact"/>
              <w:rPr>
                <w:color w:val="000000" w:themeColor="text1"/>
                <w:spacing w:val="-4"/>
              </w:rPr>
            </w:pPr>
          </w:p>
          <w:p w14:paraId="47623C57" w14:textId="0934B075" w:rsidR="00572342" w:rsidRPr="00286216" w:rsidRDefault="00572342" w:rsidP="00572342">
            <w:pPr>
              <w:pStyle w:val="StyleWisnow"/>
              <w:spacing w:line="180" w:lineRule="exact"/>
              <w:rPr>
                <w:color w:val="000000" w:themeColor="text1"/>
                <w:spacing w:val="-4"/>
              </w:rPr>
            </w:pPr>
          </w:p>
          <w:p w14:paraId="456220BE" w14:textId="6405E8B0" w:rsidR="00572342" w:rsidRPr="00286216" w:rsidRDefault="00572342" w:rsidP="00572342">
            <w:pPr>
              <w:pStyle w:val="StyleWisnow"/>
              <w:spacing w:line="180" w:lineRule="exact"/>
              <w:rPr>
                <w:color w:val="000000" w:themeColor="text1"/>
                <w:spacing w:val="-4"/>
              </w:rPr>
            </w:pPr>
          </w:p>
          <w:p w14:paraId="51BC8200" w14:textId="77777777" w:rsidR="00572342" w:rsidRPr="00286216" w:rsidRDefault="00572342" w:rsidP="00572342">
            <w:pPr>
              <w:pStyle w:val="StyleWisnow"/>
              <w:spacing w:line="180" w:lineRule="exact"/>
              <w:rPr>
                <w:color w:val="000000" w:themeColor="text1"/>
                <w:spacing w:val="-4"/>
              </w:rPr>
            </w:pPr>
          </w:p>
          <w:p w14:paraId="20BB231C" w14:textId="38DABB2B" w:rsidR="00572342" w:rsidRPr="00286216" w:rsidRDefault="00572342" w:rsidP="00572342">
            <w:pPr>
              <w:pStyle w:val="StyleWisnow"/>
              <w:spacing w:line="180" w:lineRule="exact"/>
              <w:rPr>
                <w:color w:val="000000" w:themeColor="text1"/>
                <w:spacing w:val="-4"/>
              </w:rPr>
            </w:pPr>
          </w:p>
          <w:p w14:paraId="3A4B2ACD" w14:textId="325A3628" w:rsidR="00572342" w:rsidRPr="00286216" w:rsidRDefault="00572342" w:rsidP="00572342">
            <w:pPr>
              <w:pStyle w:val="StyleWisnow"/>
              <w:spacing w:line="180" w:lineRule="exact"/>
              <w:rPr>
                <w:color w:val="000000" w:themeColor="text1"/>
                <w:spacing w:val="-4"/>
              </w:rPr>
            </w:pPr>
          </w:p>
          <w:p w14:paraId="49DC7CE4" w14:textId="07F0F6E0" w:rsidR="00572342" w:rsidRPr="00286216" w:rsidRDefault="00572342" w:rsidP="00572342">
            <w:pPr>
              <w:pStyle w:val="StyleWisnow"/>
              <w:spacing w:line="180" w:lineRule="exact"/>
              <w:rPr>
                <w:color w:val="000000" w:themeColor="text1"/>
                <w:spacing w:val="-4"/>
              </w:rPr>
            </w:pPr>
          </w:p>
          <w:p w14:paraId="54123398" w14:textId="4B957088" w:rsidR="00572342" w:rsidRPr="00286216" w:rsidRDefault="00572342" w:rsidP="00572342">
            <w:pPr>
              <w:pStyle w:val="StyleWisnow"/>
              <w:spacing w:line="180" w:lineRule="exact"/>
              <w:rPr>
                <w:rFonts w:eastAsia="Calibri"/>
                <w:color w:val="000000" w:themeColor="text1"/>
              </w:rPr>
            </w:pPr>
            <w:r w:rsidRPr="00286216">
              <w:rPr>
                <w:rFonts w:eastAsia="Calibri"/>
                <w:color w:val="000000" w:themeColor="text1"/>
              </w:rPr>
              <w:t>Враховано редакційно</w:t>
            </w:r>
          </w:p>
        </w:tc>
        <w:tc>
          <w:tcPr>
            <w:tcW w:w="4818" w:type="dxa"/>
          </w:tcPr>
          <w:p w14:paraId="59524069" w14:textId="723DEC69" w:rsidR="00572342" w:rsidRPr="00286216" w:rsidRDefault="00572342" w:rsidP="00572342">
            <w:pPr>
              <w:pStyle w:val="StyleZakonu"/>
              <w:rPr>
                <w:color w:val="000000" w:themeColor="text1"/>
              </w:rPr>
            </w:pPr>
            <w:r w:rsidRPr="00286216">
              <w:rPr>
                <w:color w:val="000000" w:themeColor="text1"/>
              </w:rPr>
              <w:lastRenderedPageBreak/>
              <w:t>1. Будь-які кошти, які підлягають виплаті за участю адміністратора у процесі стягнення заборгованості з емітента облігацій (крім іпотечних облігацій, якщо проспектом (рішенням про емісію) та/або договором про управління іпотечним покриттям не передбачений інший порядок виплати) та/або особи, яка надає забезпечення за облігаціями, або в процедурі їх банкрутства чи припинення, зараховуються на рахунок Центрального депозитарію цінних паперів, відкритий у Національному банку України.</w:t>
            </w:r>
          </w:p>
        </w:tc>
      </w:tr>
      <w:tr w:rsidR="00572342" w:rsidRPr="00286216" w14:paraId="41737F84" w14:textId="77777777" w:rsidTr="00091AA5">
        <w:tc>
          <w:tcPr>
            <w:tcW w:w="576" w:type="dxa"/>
          </w:tcPr>
          <w:p w14:paraId="4C7E821E" w14:textId="77777777" w:rsidR="00572342" w:rsidRPr="00286216" w:rsidRDefault="00572342" w:rsidP="00572342">
            <w:pPr>
              <w:pStyle w:val="StyleWisnow"/>
              <w:rPr>
                <w:color w:val="000000" w:themeColor="text1"/>
              </w:rPr>
            </w:pPr>
            <w:bookmarkStart w:id="1777" w:name="n2023" w:colFirst="0" w:colLast="0"/>
            <w:bookmarkEnd w:id="1776"/>
            <w:r w:rsidRPr="00286216">
              <w:rPr>
                <w:color w:val="000000" w:themeColor="text1"/>
              </w:rPr>
              <w:lastRenderedPageBreak/>
              <w:t>2023.</w:t>
            </w:r>
          </w:p>
        </w:tc>
        <w:tc>
          <w:tcPr>
            <w:tcW w:w="4818" w:type="dxa"/>
          </w:tcPr>
          <w:p w14:paraId="2C528DCB" w14:textId="77777777" w:rsidR="00572342" w:rsidRPr="00286216" w:rsidRDefault="00572342" w:rsidP="00572342">
            <w:pPr>
              <w:pStyle w:val="StyleZakonu"/>
              <w:rPr>
                <w:color w:val="000000" w:themeColor="text1"/>
              </w:rPr>
            </w:pPr>
            <w:r w:rsidRPr="00286216">
              <w:rPr>
                <w:color w:val="000000" w:themeColor="text1"/>
              </w:rPr>
              <w:t>2. Кошти, зазначені у частині першій цієї статті, переказуються Центральним депозитарієм цінних паперів або Національним банком України після отримання відповідних розпоряджень та документів адміністратора у такій черговості:</w:t>
            </w:r>
          </w:p>
        </w:tc>
        <w:tc>
          <w:tcPr>
            <w:tcW w:w="3686" w:type="dxa"/>
          </w:tcPr>
          <w:p w14:paraId="6E7611D4" w14:textId="5CDC9F28"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1018</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761676DD" w14:textId="556897D5" w:rsidR="00572342" w:rsidRPr="00286216" w:rsidRDefault="00572342" w:rsidP="00572342">
            <w:pPr>
              <w:pStyle w:val="StyleProp"/>
              <w:spacing w:line="180" w:lineRule="exact"/>
              <w:ind w:firstLine="0"/>
              <w:rPr>
                <w:rFonts w:eastAsia="Calibri"/>
                <w:color w:val="000000" w:themeColor="text1"/>
                <w:szCs w:val="18"/>
              </w:rPr>
            </w:pPr>
            <w:r w:rsidRPr="00286216">
              <w:rPr>
                <w:color w:val="000000" w:themeColor="text1"/>
              </w:rPr>
              <w:t>У частині 2 статті 118 слова «або Національним банком України» виключити</w:t>
            </w:r>
            <w:r w:rsidRPr="00286216">
              <w:rPr>
                <w:color w:val="000000" w:themeColor="text1"/>
                <w:lang w:val="ru-RU"/>
              </w:rPr>
              <w:t>.</w:t>
            </w:r>
          </w:p>
        </w:tc>
        <w:tc>
          <w:tcPr>
            <w:tcW w:w="1987" w:type="dxa"/>
          </w:tcPr>
          <w:p w14:paraId="7572A7C6"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56DAFF7C" w14:textId="18FFB8AF" w:rsidR="00572342" w:rsidRPr="00286216" w:rsidRDefault="00572342" w:rsidP="00572342">
            <w:pPr>
              <w:pStyle w:val="StyleWisnow"/>
              <w:spacing w:line="180" w:lineRule="exact"/>
              <w:rPr>
                <w:color w:val="000000" w:themeColor="text1"/>
                <w:spacing w:val="-4"/>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2A8813FC" w14:textId="338C7FD7" w:rsidR="00572342" w:rsidRPr="00286216" w:rsidRDefault="00572342" w:rsidP="00572342">
            <w:pPr>
              <w:pStyle w:val="StyleZakonu"/>
              <w:rPr>
                <w:color w:val="000000" w:themeColor="text1"/>
              </w:rPr>
            </w:pPr>
            <w:r w:rsidRPr="00286216">
              <w:rPr>
                <w:color w:val="000000" w:themeColor="text1"/>
              </w:rPr>
              <w:t>2. Кошти, зазначені у частині першій цієї статті, переказуються Центральним депозитарієм цінних паперів після отримання відповідних розпоряджень та документів адміністратора у такій черговості:</w:t>
            </w:r>
          </w:p>
        </w:tc>
      </w:tr>
      <w:tr w:rsidR="00572342" w:rsidRPr="00286216" w14:paraId="56D59BDF" w14:textId="77777777" w:rsidTr="00091AA5">
        <w:tc>
          <w:tcPr>
            <w:tcW w:w="576" w:type="dxa"/>
          </w:tcPr>
          <w:p w14:paraId="06EFC40C" w14:textId="77777777" w:rsidR="00572342" w:rsidRPr="00286216" w:rsidRDefault="00572342" w:rsidP="00572342">
            <w:pPr>
              <w:pStyle w:val="StyleWisnow"/>
              <w:rPr>
                <w:color w:val="000000" w:themeColor="text1"/>
              </w:rPr>
            </w:pPr>
            <w:bookmarkStart w:id="1778" w:name="n2024" w:colFirst="0" w:colLast="0"/>
            <w:bookmarkEnd w:id="1777"/>
            <w:r w:rsidRPr="00286216">
              <w:rPr>
                <w:color w:val="000000" w:themeColor="text1"/>
              </w:rPr>
              <w:t>2024.</w:t>
            </w:r>
          </w:p>
        </w:tc>
        <w:tc>
          <w:tcPr>
            <w:tcW w:w="4818" w:type="dxa"/>
          </w:tcPr>
          <w:p w14:paraId="3740B2B6" w14:textId="77777777" w:rsidR="00572342" w:rsidRPr="00286216" w:rsidRDefault="00572342" w:rsidP="00572342">
            <w:pPr>
              <w:pStyle w:val="StyleZakonu"/>
              <w:rPr>
                <w:color w:val="000000" w:themeColor="text1"/>
              </w:rPr>
            </w:pPr>
            <w:r w:rsidRPr="00286216">
              <w:rPr>
                <w:color w:val="000000" w:themeColor="text1"/>
              </w:rPr>
              <w:t>1) у першу чергу переказуються кошти, належні до сплати особі чи особам, які покрили витрати адміністратора на здійснення дій та правочинів, пов’язаних із захистом прав та інтересів власників облігацій під час судового процесу, виконавчого провадження, процедури відновлення платоспроможності, банкрутства, ліквідації емітента та/або особи, яка надає забезпечення за облігаціями, у межах фактично здійснених витрат, але не більше суми, наданої такою особою (особами);</w:t>
            </w:r>
          </w:p>
        </w:tc>
        <w:tc>
          <w:tcPr>
            <w:tcW w:w="3686" w:type="dxa"/>
          </w:tcPr>
          <w:p w14:paraId="4814CC5B" w14:textId="77777777" w:rsidR="00572342" w:rsidRPr="00286216" w:rsidRDefault="00572342" w:rsidP="00572342">
            <w:pPr>
              <w:pStyle w:val="StyleProp"/>
              <w:rPr>
                <w:color w:val="000000" w:themeColor="text1"/>
                <w:szCs w:val="18"/>
              </w:rPr>
            </w:pPr>
          </w:p>
        </w:tc>
        <w:tc>
          <w:tcPr>
            <w:tcW w:w="1987" w:type="dxa"/>
          </w:tcPr>
          <w:p w14:paraId="60F08989" w14:textId="77777777" w:rsidR="00572342" w:rsidRPr="00286216" w:rsidRDefault="00572342" w:rsidP="00572342">
            <w:pPr>
              <w:pStyle w:val="StyleWisnow"/>
              <w:rPr>
                <w:color w:val="000000" w:themeColor="text1"/>
              </w:rPr>
            </w:pPr>
          </w:p>
        </w:tc>
        <w:tc>
          <w:tcPr>
            <w:tcW w:w="4818" w:type="dxa"/>
          </w:tcPr>
          <w:p w14:paraId="06D93BBE" w14:textId="1D432F72" w:rsidR="00572342" w:rsidRPr="00286216" w:rsidRDefault="00572342" w:rsidP="00572342">
            <w:pPr>
              <w:pStyle w:val="StyleZakonu"/>
              <w:rPr>
                <w:color w:val="000000" w:themeColor="text1"/>
              </w:rPr>
            </w:pPr>
            <w:r w:rsidRPr="00286216">
              <w:rPr>
                <w:color w:val="000000" w:themeColor="text1"/>
              </w:rPr>
              <w:t>1) у першу чергу переказуються кошти, належні до сплати особі (особам), яка покрила (які покрили) витрати адміністратора на здійснення дій та правочинів, пов’язаних із захистом прав та інтересів власників облігацій під час судового процесу, виконавчого провадження, процедури відновлення платоспроможності, банкрутства, ліквідації емітента та/або особи, яка надає забезпечення за облігаціями, у межах фактично здійснених витрат, але не більше суми, наданої такою особою (особами);</w:t>
            </w:r>
          </w:p>
        </w:tc>
      </w:tr>
      <w:tr w:rsidR="00572342" w:rsidRPr="00286216" w14:paraId="65EEF884" w14:textId="77777777" w:rsidTr="00091AA5">
        <w:tc>
          <w:tcPr>
            <w:tcW w:w="576" w:type="dxa"/>
          </w:tcPr>
          <w:p w14:paraId="5BC9AE86" w14:textId="77777777" w:rsidR="00572342" w:rsidRPr="00286216" w:rsidRDefault="00572342" w:rsidP="00572342">
            <w:pPr>
              <w:pStyle w:val="StyleWisnow"/>
              <w:rPr>
                <w:color w:val="000000" w:themeColor="text1"/>
              </w:rPr>
            </w:pPr>
            <w:bookmarkStart w:id="1779" w:name="n2025" w:colFirst="0" w:colLast="0"/>
            <w:bookmarkEnd w:id="1778"/>
            <w:r w:rsidRPr="00286216">
              <w:rPr>
                <w:color w:val="000000" w:themeColor="text1"/>
              </w:rPr>
              <w:t>2025.</w:t>
            </w:r>
          </w:p>
        </w:tc>
        <w:tc>
          <w:tcPr>
            <w:tcW w:w="4818" w:type="dxa"/>
          </w:tcPr>
          <w:p w14:paraId="633935D3" w14:textId="77777777" w:rsidR="00572342" w:rsidRPr="00286216" w:rsidRDefault="00572342" w:rsidP="00572342">
            <w:pPr>
              <w:pStyle w:val="StyleZakonu"/>
              <w:rPr>
                <w:color w:val="000000" w:themeColor="text1"/>
              </w:rPr>
            </w:pPr>
            <w:r w:rsidRPr="00286216">
              <w:rPr>
                <w:color w:val="000000" w:themeColor="text1"/>
              </w:rPr>
              <w:t>2) у другу чергу переказуються кошти для розподілу між всіма власниками облігацій пропорційно до номінальної вартості непогашених облігацій кожного власника.</w:t>
            </w:r>
          </w:p>
        </w:tc>
        <w:tc>
          <w:tcPr>
            <w:tcW w:w="3686" w:type="dxa"/>
          </w:tcPr>
          <w:p w14:paraId="24D2D61E" w14:textId="77777777" w:rsidR="00572342" w:rsidRPr="00286216" w:rsidRDefault="00572342" w:rsidP="00572342">
            <w:pPr>
              <w:pStyle w:val="StyleProp"/>
              <w:rPr>
                <w:color w:val="000000" w:themeColor="text1"/>
                <w:szCs w:val="18"/>
              </w:rPr>
            </w:pPr>
          </w:p>
        </w:tc>
        <w:tc>
          <w:tcPr>
            <w:tcW w:w="1987" w:type="dxa"/>
          </w:tcPr>
          <w:p w14:paraId="476CF70B" w14:textId="77777777" w:rsidR="00572342" w:rsidRPr="00286216" w:rsidRDefault="00572342" w:rsidP="00572342">
            <w:pPr>
              <w:pStyle w:val="StyleWisnow"/>
              <w:rPr>
                <w:color w:val="000000" w:themeColor="text1"/>
              </w:rPr>
            </w:pPr>
          </w:p>
        </w:tc>
        <w:tc>
          <w:tcPr>
            <w:tcW w:w="4818" w:type="dxa"/>
          </w:tcPr>
          <w:p w14:paraId="3A4E390A" w14:textId="05F56210" w:rsidR="00572342" w:rsidRPr="00286216" w:rsidRDefault="00572342" w:rsidP="00572342">
            <w:pPr>
              <w:pStyle w:val="StyleZakonu"/>
              <w:rPr>
                <w:color w:val="000000" w:themeColor="text1"/>
              </w:rPr>
            </w:pPr>
            <w:r w:rsidRPr="00286216">
              <w:rPr>
                <w:color w:val="000000" w:themeColor="text1"/>
              </w:rPr>
              <w:t>2) у другу чергу переказуються кошти для розподілу між всіма власниками облігацій пропорційно до номінальної вартості непогашених облігацій кожного власника.</w:t>
            </w:r>
          </w:p>
        </w:tc>
      </w:tr>
      <w:tr w:rsidR="00572342" w:rsidRPr="00286216" w14:paraId="6E0AD4CE" w14:textId="77777777" w:rsidTr="00091AA5">
        <w:tc>
          <w:tcPr>
            <w:tcW w:w="576" w:type="dxa"/>
          </w:tcPr>
          <w:p w14:paraId="1BC0CF86" w14:textId="77777777" w:rsidR="00572342" w:rsidRPr="00286216" w:rsidRDefault="00572342" w:rsidP="00572342">
            <w:pPr>
              <w:pStyle w:val="StyleWisnow"/>
              <w:rPr>
                <w:color w:val="000000" w:themeColor="text1"/>
              </w:rPr>
            </w:pPr>
            <w:bookmarkStart w:id="1780" w:name="n2026" w:colFirst="0" w:colLast="0"/>
            <w:bookmarkEnd w:id="1779"/>
            <w:r w:rsidRPr="00286216">
              <w:rPr>
                <w:color w:val="000000" w:themeColor="text1"/>
              </w:rPr>
              <w:t>2026.</w:t>
            </w:r>
          </w:p>
        </w:tc>
        <w:tc>
          <w:tcPr>
            <w:tcW w:w="4818" w:type="dxa"/>
          </w:tcPr>
          <w:p w14:paraId="4EE60CEA" w14:textId="77777777" w:rsidR="00572342" w:rsidRPr="00286216" w:rsidRDefault="00572342" w:rsidP="00572342">
            <w:pPr>
              <w:pStyle w:val="StyleZakonu"/>
              <w:rPr>
                <w:color w:val="000000" w:themeColor="text1"/>
              </w:rPr>
            </w:pPr>
            <w:r w:rsidRPr="00286216">
              <w:rPr>
                <w:color w:val="000000" w:themeColor="text1"/>
              </w:rPr>
              <w:t>3. Жоден з власників облігацій не може отримувати переважного ставлення від адміністратора.</w:t>
            </w:r>
          </w:p>
        </w:tc>
        <w:tc>
          <w:tcPr>
            <w:tcW w:w="3686" w:type="dxa"/>
          </w:tcPr>
          <w:p w14:paraId="6A8A408D" w14:textId="77777777" w:rsidR="00572342" w:rsidRPr="00286216" w:rsidRDefault="00572342" w:rsidP="00572342">
            <w:pPr>
              <w:pStyle w:val="StyleProp"/>
              <w:rPr>
                <w:color w:val="000000" w:themeColor="text1"/>
                <w:szCs w:val="18"/>
              </w:rPr>
            </w:pPr>
          </w:p>
        </w:tc>
        <w:tc>
          <w:tcPr>
            <w:tcW w:w="1987" w:type="dxa"/>
          </w:tcPr>
          <w:p w14:paraId="54DB4F5E" w14:textId="77777777" w:rsidR="00572342" w:rsidRPr="00286216" w:rsidRDefault="00572342" w:rsidP="00572342">
            <w:pPr>
              <w:pStyle w:val="StyleWisnow"/>
              <w:rPr>
                <w:color w:val="000000" w:themeColor="text1"/>
              </w:rPr>
            </w:pPr>
          </w:p>
        </w:tc>
        <w:tc>
          <w:tcPr>
            <w:tcW w:w="4818" w:type="dxa"/>
          </w:tcPr>
          <w:p w14:paraId="7C80A36F" w14:textId="232585DB" w:rsidR="00572342" w:rsidRPr="00286216" w:rsidRDefault="00572342" w:rsidP="00572342">
            <w:pPr>
              <w:pStyle w:val="StyleZakonu"/>
              <w:rPr>
                <w:color w:val="000000" w:themeColor="text1"/>
              </w:rPr>
            </w:pPr>
            <w:r w:rsidRPr="00286216">
              <w:rPr>
                <w:color w:val="000000" w:themeColor="text1"/>
              </w:rPr>
              <w:t>3. Жоден з власників облігацій не може отримувати переважного ставлення від адміністратора.</w:t>
            </w:r>
          </w:p>
        </w:tc>
      </w:tr>
      <w:tr w:rsidR="00572342" w:rsidRPr="00286216" w14:paraId="0F488412" w14:textId="77777777" w:rsidTr="00091AA5">
        <w:tc>
          <w:tcPr>
            <w:tcW w:w="576" w:type="dxa"/>
          </w:tcPr>
          <w:p w14:paraId="3092C9DD" w14:textId="77777777" w:rsidR="00572342" w:rsidRPr="00286216" w:rsidRDefault="00572342" w:rsidP="00572342">
            <w:pPr>
              <w:pStyle w:val="StyleWisnow"/>
              <w:rPr>
                <w:color w:val="000000" w:themeColor="text1"/>
              </w:rPr>
            </w:pPr>
            <w:bookmarkStart w:id="1781" w:name="n2027" w:colFirst="0" w:colLast="0"/>
            <w:bookmarkEnd w:id="1780"/>
            <w:r w:rsidRPr="00286216">
              <w:rPr>
                <w:color w:val="000000" w:themeColor="text1"/>
              </w:rPr>
              <w:t>2027.</w:t>
            </w:r>
          </w:p>
        </w:tc>
        <w:tc>
          <w:tcPr>
            <w:tcW w:w="4818" w:type="dxa"/>
          </w:tcPr>
          <w:p w14:paraId="0A56F3D6" w14:textId="77777777" w:rsidR="00572342" w:rsidRPr="00286216" w:rsidRDefault="00572342" w:rsidP="00572342">
            <w:pPr>
              <w:pStyle w:val="StyleZakonu"/>
              <w:rPr>
                <w:color w:val="000000" w:themeColor="text1"/>
              </w:rPr>
            </w:pPr>
            <w:bookmarkStart w:id="1782" w:name="_Ref16417546"/>
            <w:r w:rsidRPr="00286216">
              <w:rPr>
                <w:color w:val="000000" w:themeColor="text1"/>
              </w:rPr>
              <w:t>Стаття 119. Функції депозитарних установ, Центрального депозитарію цінних паперів, Національного банку України</w:t>
            </w:r>
            <w:bookmarkEnd w:id="1782"/>
          </w:p>
        </w:tc>
        <w:tc>
          <w:tcPr>
            <w:tcW w:w="3686" w:type="dxa"/>
          </w:tcPr>
          <w:p w14:paraId="6BB6CCA6" w14:textId="28E17A36"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1019</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44D51655" w14:textId="18445F5C" w:rsidR="00572342" w:rsidRPr="00286216" w:rsidRDefault="00572342" w:rsidP="00572342">
            <w:pPr>
              <w:pStyle w:val="StyleProp"/>
              <w:rPr>
                <w:color w:val="000000" w:themeColor="text1"/>
                <w:szCs w:val="18"/>
              </w:rPr>
            </w:pPr>
            <w:r w:rsidRPr="00286216">
              <w:rPr>
                <w:color w:val="000000" w:themeColor="text1"/>
                <w:szCs w:val="18"/>
              </w:rPr>
              <w:t>У назві статті 119 слова «</w:t>
            </w:r>
            <w:r w:rsidRPr="00286216">
              <w:rPr>
                <w:color w:val="000000" w:themeColor="text1"/>
              </w:rPr>
              <w:t>Національного банку України» виключити</w:t>
            </w:r>
            <w:r w:rsidRPr="00286216">
              <w:rPr>
                <w:color w:val="000000" w:themeColor="text1"/>
                <w:lang w:val="ru-RU"/>
              </w:rPr>
              <w:t>.</w:t>
            </w:r>
          </w:p>
        </w:tc>
        <w:tc>
          <w:tcPr>
            <w:tcW w:w="1987" w:type="dxa"/>
          </w:tcPr>
          <w:p w14:paraId="50B54AE0"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3DC6A08F" w14:textId="56064A24" w:rsidR="00572342" w:rsidRPr="00286216" w:rsidRDefault="00572342" w:rsidP="00572342">
            <w:pPr>
              <w:pStyle w:val="StyleWisnow"/>
              <w:spacing w:line="20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080A5416" w14:textId="48570B41" w:rsidR="00572342" w:rsidRPr="00286216" w:rsidRDefault="00572342" w:rsidP="00572342">
            <w:pPr>
              <w:pStyle w:val="StyleZakonu"/>
              <w:rPr>
                <w:color w:val="000000" w:themeColor="text1"/>
              </w:rPr>
            </w:pPr>
            <w:r w:rsidRPr="00286216">
              <w:rPr>
                <w:color w:val="000000" w:themeColor="text1"/>
              </w:rPr>
              <w:t>Стаття 123. Функції депозитарних установ</w:t>
            </w:r>
            <w:r w:rsidRPr="00286216">
              <w:rPr>
                <w:color w:val="000000" w:themeColor="text1"/>
                <w:lang w:val="ru-RU"/>
              </w:rPr>
              <w:t xml:space="preserve"> та</w:t>
            </w:r>
            <w:r w:rsidRPr="00286216">
              <w:rPr>
                <w:color w:val="000000" w:themeColor="text1"/>
              </w:rPr>
              <w:t xml:space="preserve"> Центрального депозитарію цінних паперів</w:t>
            </w:r>
          </w:p>
        </w:tc>
      </w:tr>
      <w:tr w:rsidR="00572342" w:rsidRPr="00286216" w14:paraId="5E03B067" w14:textId="77777777" w:rsidTr="00091AA5">
        <w:tc>
          <w:tcPr>
            <w:tcW w:w="576" w:type="dxa"/>
          </w:tcPr>
          <w:p w14:paraId="6BFF633B" w14:textId="77777777" w:rsidR="00572342" w:rsidRPr="00286216" w:rsidRDefault="00572342" w:rsidP="00572342">
            <w:pPr>
              <w:pStyle w:val="StyleWisnow"/>
              <w:rPr>
                <w:color w:val="000000" w:themeColor="text1"/>
              </w:rPr>
            </w:pPr>
            <w:bookmarkStart w:id="1783" w:name="n2028" w:colFirst="0" w:colLast="0"/>
            <w:bookmarkEnd w:id="1781"/>
            <w:r w:rsidRPr="00286216">
              <w:rPr>
                <w:color w:val="000000" w:themeColor="text1"/>
              </w:rPr>
              <w:t>2028.</w:t>
            </w:r>
          </w:p>
        </w:tc>
        <w:tc>
          <w:tcPr>
            <w:tcW w:w="4818" w:type="dxa"/>
          </w:tcPr>
          <w:p w14:paraId="3F8EAD38" w14:textId="77777777" w:rsidR="00572342" w:rsidRPr="00286216" w:rsidRDefault="00572342" w:rsidP="00572342">
            <w:pPr>
              <w:pStyle w:val="StyleZakonu"/>
              <w:rPr>
                <w:color w:val="000000" w:themeColor="text1"/>
              </w:rPr>
            </w:pPr>
            <w:r w:rsidRPr="00286216">
              <w:rPr>
                <w:color w:val="000000" w:themeColor="text1"/>
              </w:rPr>
              <w:t>1. З метою забезпечення проведення зборів власників облігацій, підбиття підсумків голосування на них, виплати коштів, отриманих у процесі стягнення заборгованості з емітента облігацій, особи, яка надає забезпечення за облігаціями, в процедурі їх банкрутства або ліквідації, а також інших випадках, передбачених законодавством, депозитарні установи, Центральний депозитарій цінних паперів, Національний банк України:</w:t>
            </w:r>
          </w:p>
        </w:tc>
        <w:tc>
          <w:tcPr>
            <w:tcW w:w="3686" w:type="dxa"/>
          </w:tcPr>
          <w:p w14:paraId="089DDF26" w14:textId="20D4B11F"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1020</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5F980EA4" w14:textId="0120E9D0" w:rsidR="00572342" w:rsidRPr="00286216" w:rsidRDefault="00572342" w:rsidP="00572342">
            <w:pPr>
              <w:pStyle w:val="StyleProp"/>
              <w:rPr>
                <w:color w:val="000000" w:themeColor="text1"/>
                <w:szCs w:val="18"/>
              </w:rPr>
            </w:pPr>
            <w:r w:rsidRPr="00286216">
              <w:rPr>
                <w:color w:val="000000" w:themeColor="text1"/>
                <w:szCs w:val="18"/>
              </w:rPr>
              <w:t>У абзаці 1 частини 1 статті 119 слова «</w:t>
            </w:r>
            <w:r w:rsidRPr="00286216">
              <w:rPr>
                <w:color w:val="000000" w:themeColor="text1"/>
              </w:rPr>
              <w:t>Національний банк України» виключити</w:t>
            </w:r>
            <w:r w:rsidRPr="00286216">
              <w:rPr>
                <w:color w:val="000000" w:themeColor="text1"/>
                <w:lang w:val="ru-RU"/>
              </w:rPr>
              <w:t>.</w:t>
            </w:r>
          </w:p>
        </w:tc>
        <w:tc>
          <w:tcPr>
            <w:tcW w:w="1987" w:type="dxa"/>
          </w:tcPr>
          <w:p w14:paraId="5DEE28BE"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6776867D" w14:textId="149DDD90" w:rsidR="00572342" w:rsidRPr="00286216" w:rsidRDefault="00572342" w:rsidP="00572342">
            <w:pPr>
              <w:pStyle w:val="StyleWisnow"/>
              <w:spacing w:line="20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49124C3E" w14:textId="0FC3C25F" w:rsidR="00572342" w:rsidRPr="00286216" w:rsidRDefault="00572342" w:rsidP="00572342">
            <w:pPr>
              <w:pStyle w:val="StyleZakonu"/>
              <w:rPr>
                <w:color w:val="000000" w:themeColor="text1"/>
              </w:rPr>
            </w:pPr>
            <w:r w:rsidRPr="00286216">
              <w:rPr>
                <w:color w:val="000000" w:themeColor="text1"/>
              </w:rPr>
              <w:t>1. З метою забезпечення проведення зборів власників облігацій, підбиття підсумків голосування на них, виплати коштів, отриманих у процесі стягнення заборгованості з емітента облігацій та/або особи, яка надає забезпечення за облігаціями, в процедурі їх банкрутства або ліквідації, а також в інших випадках, передбачених законодавством, депозитарні установи та Центральний депозитарій цінних паперів:</w:t>
            </w:r>
          </w:p>
        </w:tc>
      </w:tr>
      <w:tr w:rsidR="00572342" w:rsidRPr="00286216" w14:paraId="0C414CA5" w14:textId="77777777" w:rsidTr="00091AA5">
        <w:tc>
          <w:tcPr>
            <w:tcW w:w="576" w:type="dxa"/>
          </w:tcPr>
          <w:p w14:paraId="4E933D01" w14:textId="77777777" w:rsidR="00572342" w:rsidRPr="00286216" w:rsidRDefault="00572342" w:rsidP="00572342">
            <w:pPr>
              <w:pStyle w:val="StyleWisnow"/>
              <w:rPr>
                <w:color w:val="000000" w:themeColor="text1"/>
              </w:rPr>
            </w:pPr>
            <w:bookmarkStart w:id="1784" w:name="n2029" w:colFirst="0" w:colLast="0"/>
            <w:bookmarkEnd w:id="1783"/>
            <w:r w:rsidRPr="00286216">
              <w:rPr>
                <w:color w:val="000000" w:themeColor="text1"/>
              </w:rPr>
              <w:t>2029.</w:t>
            </w:r>
          </w:p>
        </w:tc>
        <w:tc>
          <w:tcPr>
            <w:tcW w:w="4818" w:type="dxa"/>
          </w:tcPr>
          <w:p w14:paraId="01982430" w14:textId="77777777" w:rsidR="00572342" w:rsidRPr="00286216" w:rsidRDefault="00572342" w:rsidP="00572342">
            <w:pPr>
              <w:pStyle w:val="StyleZakonu"/>
              <w:rPr>
                <w:color w:val="000000" w:themeColor="text1"/>
              </w:rPr>
            </w:pPr>
            <w:r w:rsidRPr="00286216">
              <w:rPr>
                <w:color w:val="000000" w:themeColor="text1"/>
              </w:rPr>
              <w:t xml:space="preserve">1) забезпечують в порядку та у спосіб, передбачені договором про обслуговування рахунка в цінних паперах та депозитарним договором передачу інформації та документів від особи, відповідальної за проведення зборів, власникам облігацій (у тому числі </w:t>
            </w:r>
            <w:r w:rsidRPr="00286216">
              <w:rPr>
                <w:color w:val="000000" w:themeColor="text1"/>
              </w:rPr>
              <w:lastRenderedPageBreak/>
              <w:t>повідомлення про проведення зборів, остаточного порядку денного зборів, інформації про проведення засідання зборів, протоколу зборів) та від власників облігацій особі, відповідальній за проведення зборів (у тому числі інформації про облігації, які не дають їх власникам права голосу на зборах);</w:t>
            </w:r>
          </w:p>
        </w:tc>
        <w:tc>
          <w:tcPr>
            <w:tcW w:w="3686" w:type="dxa"/>
          </w:tcPr>
          <w:p w14:paraId="44B0EA3A" w14:textId="77777777" w:rsidR="00572342" w:rsidRPr="00286216" w:rsidRDefault="00572342" w:rsidP="00572342">
            <w:pPr>
              <w:pStyle w:val="StyleProp"/>
              <w:rPr>
                <w:color w:val="000000" w:themeColor="text1"/>
                <w:szCs w:val="18"/>
              </w:rPr>
            </w:pPr>
          </w:p>
        </w:tc>
        <w:tc>
          <w:tcPr>
            <w:tcW w:w="1987" w:type="dxa"/>
          </w:tcPr>
          <w:p w14:paraId="52169407" w14:textId="77777777" w:rsidR="00572342" w:rsidRPr="00286216" w:rsidRDefault="00572342" w:rsidP="00572342">
            <w:pPr>
              <w:pStyle w:val="StyleWisnow"/>
              <w:rPr>
                <w:color w:val="000000" w:themeColor="text1"/>
              </w:rPr>
            </w:pPr>
          </w:p>
        </w:tc>
        <w:tc>
          <w:tcPr>
            <w:tcW w:w="4818" w:type="dxa"/>
          </w:tcPr>
          <w:p w14:paraId="4739B77F" w14:textId="16E1B1EA" w:rsidR="00572342" w:rsidRPr="00286216" w:rsidRDefault="00572342" w:rsidP="00572342">
            <w:pPr>
              <w:pStyle w:val="StyleZakonu"/>
              <w:rPr>
                <w:color w:val="000000" w:themeColor="text1"/>
              </w:rPr>
            </w:pPr>
            <w:r w:rsidRPr="00286216">
              <w:rPr>
                <w:color w:val="000000" w:themeColor="text1"/>
              </w:rPr>
              <w:t xml:space="preserve">1) забезпечують у порядку та спосіб, передбачені договором про обслуговування рахунка в цінних паперах та депозитарним договором, передачу інформації та документів від особи, відповідальної за проведення зборів, власникам облігацій (у тому числі </w:t>
            </w:r>
            <w:r w:rsidRPr="00286216">
              <w:rPr>
                <w:color w:val="000000" w:themeColor="text1"/>
              </w:rPr>
              <w:lastRenderedPageBreak/>
              <w:t>повідомлення про проведення зборів, остаточного порядку денного зборів, інформації про проведення засідання зборів, протоколу зборів) та від власників облігацій особі, відповідальній за проведення зборів (у тому числі інформації про облігації, які не дають їх власникам права голосу на зборах);</w:t>
            </w:r>
          </w:p>
        </w:tc>
      </w:tr>
      <w:tr w:rsidR="00572342" w:rsidRPr="00286216" w14:paraId="2FF69AFD" w14:textId="77777777" w:rsidTr="00091AA5">
        <w:tc>
          <w:tcPr>
            <w:tcW w:w="576" w:type="dxa"/>
          </w:tcPr>
          <w:p w14:paraId="402610AF" w14:textId="77777777" w:rsidR="00572342" w:rsidRPr="00286216" w:rsidRDefault="00572342" w:rsidP="00572342">
            <w:pPr>
              <w:pStyle w:val="StyleWisnow"/>
              <w:rPr>
                <w:color w:val="000000" w:themeColor="text1"/>
              </w:rPr>
            </w:pPr>
            <w:bookmarkStart w:id="1785" w:name="n2030" w:colFirst="0" w:colLast="0"/>
            <w:bookmarkEnd w:id="1784"/>
            <w:r w:rsidRPr="00286216">
              <w:rPr>
                <w:color w:val="000000" w:themeColor="text1"/>
              </w:rPr>
              <w:lastRenderedPageBreak/>
              <w:t>2030.</w:t>
            </w:r>
          </w:p>
        </w:tc>
        <w:tc>
          <w:tcPr>
            <w:tcW w:w="4818" w:type="dxa"/>
          </w:tcPr>
          <w:p w14:paraId="0F5AF300" w14:textId="77777777" w:rsidR="00572342" w:rsidRPr="00286216" w:rsidRDefault="00572342" w:rsidP="00572342">
            <w:pPr>
              <w:pStyle w:val="StyleZakonu"/>
              <w:rPr>
                <w:color w:val="000000" w:themeColor="text1"/>
              </w:rPr>
            </w:pPr>
            <w:r w:rsidRPr="00286216">
              <w:rPr>
                <w:color w:val="000000" w:themeColor="text1"/>
              </w:rPr>
              <w:t>2) отримують в порядку та у спосіб, передбачені договором про обслуговування рахунка в цінних паперах та депозитарним договором інформацію про голосування власників облігацій з питань порядку денного зборів для наступного її направлення особі, відповідальній за проведення зборів;</w:t>
            </w:r>
          </w:p>
        </w:tc>
        <w:tc>
          <w:tcPr>
            <w:tcW w:w="3686" w:type="dxa"/>
          </w:tcPr>
          <w:p w14:paraId="2F291048" w14:textId="77777777" w:rsidR="00572342" w:rsidRPr="00286216" w:rsidRDefault="00572342" w:rsidP="00572342">
            <w:pPr>
              <w:pStyle w:val="StyleProp"/>
              <w:rPr>
                <w:color w:val="000000" w:themeColor="text1"/>
                <w:szCs w:val="18"/>
              </w:rPr>
            </w:pPr>
          </w:p>
        </w:tc>
        <w:tc>
          <w:tcPr>
            <w:tcW w:w="1987" w:type="dxa"/>
          </w:tcPr>
          <w:p w14:paraId="5562665B" w14:textId="77777777" w:rsidR="00572342" w:rsidRPr="00286216" w:rsidRDefault="00572342" w:rsidP="00572342">
            <w:pPr>
              <w:pStyle w:val="StyleWisnow"/>
              <w:rPr>
                <w:color w:val="000000" w:themeColor="text1"/>
              </w:rPr>
            </w:pPr>
          </w:p>
        </w:tc>
        <w:tc>
          <w:tcPr>
            <w:tcW w:w="4818" w:type="dxa"/>
          </w:tcPr>
          <w:p w14:paraId="3AFDA6D9" w14:textId="3AA5FA5F" w:rsidR="00572342" w:rsidRPr="00286216" w:rsidRDefault="00572342" w:rsidP="00572342">
            <w:pPr>
              <w:pStyle w:val="StyleZakonu"/>
              <w:rPr>
                <w:color w:val="000000" w:themeColor="text1"/>
              </w:rPr>
            </w:pPr>
            <w:r w:rsidRPr="00286216">
              <w:rPr>
                <w:color w:val="000000" w:themeColor="text1"/>
              </w:rPr>
              <w:t>2) отримують у порядку та спосіб, передбачені договором про обслуговування рахунка в цінних паперах та депозитарним договором, інформацію про голосування власників облігацій з питань порядку денного зборів для наступного її подальшого особі, відповідальній за проведення зборів;</w:t>
            </w:r>
          </w:p>
        </w:tc>
      </w:tr>
      <w:tr w:rsidR="00572342" w:rsidRPr="00286216" w14:paraId="157080BE" w14:textId="77777777" w:rsidTr="00091AA5">
        <w:tc>
          <w:tcPr>
            <w:tcW w:w="576" w:type="dxa"/>
          </w:tcPr>
          <w:p w14:paraId="22A4B2AE" w14:textId="77777777" w:rsidR="00572342" w:rsidRPr="00286216" w:rsidRDefault="00572342" w:rsidP="00572342">
            <w:pPr>
              <w:pStyle w:val="StyleWisnow"/>
              <w:rPr>
                <w:color w:val="000000" w:themeColor="text1"/>
              </w:rPr>
            </w:pPr>
            <w:bookmarkStart w:id="1786" w:name="n2031" w:colFirst="0" w:colLast="0"/>
            <w:bookmarkEnd w:id="1785"/>
            <w:r w:rsidRPr="00286216">
              <w:rPr>
                <w:color w:val="000000" w:themeColor="text1"/>
              </w:rPr>
              <w:t>2031.</w:t>
            </w:r>
          </w:p>
        </w:tc>
        <w:tc>
          <w:tcPr>
            <w:tcW w:w="4818" w:type="dxa"/>
          </w:tcPr>
          <w:p w14:paraId="23677DBA" w14:textId="77777777" w:rsidR="00572342" w:rsidRPr="00286216" w:rsidRDefault="00572342" w:rsidP="00572342">
            <w:pPr>
              <w:pStyle w:val="StyleZakonu"/>
              <w:rPr>
                <w:color w:val="000000" w:themeColor="text1"/>
              </w:rPr>
            </w:pPr>
            <w:r w:rsidRPr="00286216">
              <w:rPr>
                <w:color w:val="000000" w:themeColor="text1"/>
              </w:rPr>
              <w:t>3) здійснюють інші функції, передбачені законодавством.</w:t>
            </w:r>
          </w:p>
        </w:tc>
        <w:tc>
          <w:tcPr>
            <w:tcW w:w="3686" w:type="dxa"/>
          </w:tcPr>
          <w:p w14:paraId="544F0B1B" w14:textId="77777777" w:rsidR="00572342" w:rsidRPr="00286216" w:rsidRDefault="00572342" w:rsidP="00572342">
            <w:pPr>
              <w:pStyle w:val="StyleProp"/>
              <w:rPr>
                <w:color w:val="000000" w:themeColor="text1"/>
                <w:szCs w:val="18"/>
              </w:rPr>
            </w:pPr>
          </w:p>
        </w:tc>
        <w:tc>
          <w:tcPr>
            <w:tcW w:w="1987" w:type="dxa"/>
          </w:tcPr>
          <w:p w14:paraId="7769F009" w14:textId="77777777" w:rsidR="00572342" w:rsidRPr="00286216" w:rsidRDefault="00572342" w:rsidP="00572342">
            <w:pPr>
              <w:pStyle w:val="StyleWisnow"/>
              <w:rPr>
                <w:color w:val="000000" w:themeColor="text1"/>
              </w:rPr>
            </w:pPr>
          </w:p>
        </w:tc>
        <w:tc>
          <w:tcPr>
            <w:tcW w:w="4818" w:type="dxa"/>
          </w:tcPr>
          <w:p w14:paraId="362A7252" w14:textId="14BC9A82" w:rsidR="00572342" w:rsidRPr="00286216" w:rsidRDefault="00572342" w:rsidP="00572342">
            <w:pPr>
              <w:pStyle w:val="StyleZakonu"/>
              <w:rPr>
                <w:color w:val="000000" w:themeColor="text1"/>
              </w:rPr>
            </w:pPr>
            <w:r w:rsidRPr="00286216">
              <w:rPr>
                <w:color w:val="000000" w:themeColor="text1"/>
              </w:rPr>
              <w:t>3) здійснюють інші функції, передбачені законодавством.</w:t>
            </w:r>
          </w:p>
        </w:tc>
      </w:tr>
      <w:tr w:rsidR="00572342" w:rsidRPr="00286216" w14:paraId="65979266" w14:textId="77777777" w:rsidTr="00091AA5">
        <w:tc>
          <w:tcPr>
            <w:tcW w:w="576" w:type="dxa"/>
          </w:tcPr>
          <w:p w14:paraId="1807C168" w14:textId="77777777" w:rsidR="00572342" w:rsidRPr="00286216" w:rsidRDefault="00572342" w:rsidP="00572342">
            <w:pPr>
              <w:pStyle w:val="StyleWisnow"/>
              <w:rPr>
                <w:color w:val="000000" w:themeColor="text1"/>
              </w:rPr>
            </w:pPr>
            <w:bookmarkStart w:id="1787" w:name="n2032" w:colFirst="0" w:colLast="0"/>
            <w:bookmarkEnd w:id="1786"/>
            <w:r w:rsidRPr="00286216">
              <w:rPr>
                <w:color w:val="000000" w:themeColor="text1"/>
              </w:rPr>
              <w:t>2032.</w:t>
            </w:r>
          </w:p>
        </w:tc>
        <w:tc>
          <w:tcPr>
            <w:tcW w:w="4818" w:type="dxa"/>
          </w:tcPr>
          <w:p w14:paraId="7C937816" w14:textId="77777777" w:rsidR="00572342" w:rsidRPr="00286216" w:rsidRDefault="00572342" w:rsidP="00572342">
            <w:pPr>
              <w:pStyle w:val="StyleZakonu"/>
              <w:rPr>
                <w:color w:val="000000" w:themeColor="text1"/>
              </w:rPr>
            </w:pPr>
            <w:r w:rsidRPr="00286216">
              <w:rPr>
                <w:color w:val="000000" w:themeColor="text1"/>
              </w:rPr>
              <w:t>2. Крім функцій, вказаних у частині першій цієї статті, депозитарна установа:</w:t>
            </w:r>
          </w:p>
        </w:tc>
        <w:tc>
          <w:tcPr>
            <w:tcW w:w="3686" w:type="dxa"/>
          </w:tcPr>
          <w:p w14:paraId="4072E4DF" w14:textId="77777777" w:rsidR="00572342" w:rsidRPr="00286216" w:rsidRDefault="00572342" w:rsidP="00572342">
            <w:pPr>
              <w:pStyle w:val="StyleProp"/>
              <w:rPr>
                <w:color w:val="000000" w:themeColor="text1"/>
                <w:szCs w:val="18"/>
              </w:rPr>
            </w:pPr>
          </w:p>
        </w:tc>
        <w:tc>
          <w:tcPr>
            <w:tcW w:w="1987" w:type="dxa"/>
          </w:tcPr>
          <w:p w14:paraId="12C302AD" w14:textId="77777777" w:rsidR="00572342" w:rsidRPr="00286216" w:rsidRDefault="00572342" w:rsidP="00572342">
            <w:pPr>
              <w:pStyle w:val="StyleWisnow"/>
              <w:rPr>
                <w:color w:val="000000" w:themeColor="text1"/>
              </w:rPr>
            </w:pPr>
          </w:p>
        </w:tc>
        <w:tc>
          <w:tcPr>
            <w:tcW w:w="4818" w:type="dxa"/>
          </w:tcPr>
          <w:p w14:paraId="5E4A5B25" w14:textId="2AE60EDF" w:rsidR="00572342" w:rsidRPr="00286216" w:rsidRDefault="00572342" w:rsidP="00572342">
            <w:pPr>
              <w:pStyle w:val="StyleZakonu"/>
              <w:rPr>
                <w:color w:val="000000" w:themeColor="text1"/>
              </w:rPr>
            </w:pPr>
            <w:r w:rsidRPr="00286216">
              <w:rPr>
                <w:color w:val="000000" w:themeColor="text1"/>
              </w:rPr>
              <w:t>2. Крім функцій, передбачених частиною першою цієї статті, депозитарна установа:</w:t>
            </w:r>
          </w:p>
        </w:tc>
      </w:tr>
      <w:tr w:rsidR="00572342" w:rsidRPr="00286216" w14:paraId="74869DCD" w14:textId="77777777" w:rsidTr="00091AA5">
        <w:tc>
          <w:tcPr>
            <w:tcW w:w="576" w:type="dxa"/>
          </w:tcPr>
          <w:p w14:paraId="02D84BD8" w14:textId="77777777" w:rsidR="00572342" w:rsidRPr="00286216" w:rsidRDefault="00572342" w:rsidP="00572342">
            <w:pPr>
              <w:pStyle w:val="StyleWisnow"/>
              <w:rPr>
                <w:color w:val="000000" w:themeColor="text1"/>
              </w:rPr>
            </w:pPr>
            <w:bookmarkStart w:id="1788" w:name="n2033" w:colFirst="0" w:colLast="0"/>
            <w:bookmarkEnd w:id="1787"/>
            <w:r w:rsidRPr="00286216">
              <w:rPr>
                <w:color w:val="000000" w:themeColor="text1"/>
              </w:rPr>
              <w:t>2033.</w:t>
            </w:r>
          </w:p>
        </w:tc>
        <w:tc>
          <w:tcPr>
            <w:tcW w:w="4818" w:type="dxa"/>
          </w:tcPr>
          <w:p w14:paraId="3EE24974" w14:textId="77777777" w:rsidR="00572342" w:rsidRPr="00286216" w:rsidRDefault="00572342" w:rsidP="00572342">
            <w:pPr>
              <w:pStyle w:val="StyleZakonu"/>
              <w:rPr>
                <w:color w:val="000000" w:themeColor="text1"/>
              </w:rPr>
            </w:pPr>
            <w:r w:rsidRPr="00286216">
              <w:rPr>
                <w:color w:val="000000" w:themeColor="text1"/>
              </w:rPr>
              <w:t>1) при голосуванні власником облігацій з питань порядку денного зборів власників облігацій отримує від нього письмове запевнення в тому, що він не є особою, зазначеною у пунктах 1-5 частини першої статті 107 цього Закону, або інформацію про належність до вищевказаних осіб.</w:t>
            </w:r>
          </w:p>
        </w:tc>
        <w:tc>
          <w:tcPr>
            <w:tcW w:w="3686" w:type="dxa"/>
          </w:tcPr>
          <w:p w14:paraId="0A28B286" w14:textId="77777777" w:rsidR="00572342" w:rsidRPr="00286216" w:rsidRDefault="00572342" w:rsidP="00572342">
            <w:pPr>
              <w:pStyle w:val="StyleProp"/>
              <w:rPr>
                <w:color w:val="000000" w:themeColor="text1"/>
                <w:szCs w:val="18"/>
              </w:rPr>
            </w:pPr>
          </w:p>
        </w:tc>
        <w:tc>
          <w:tcPr>
            <w:tcW w:w="1987" w:type="dxa"/>
          </w:tcPr>
          <w:p w14:paraId="56557ED1" w14:textId="77777777" w:rsidR="00572342" w:rsidRPr="00286216" w:rsidRDefault="00572342" w:rsidP="00572342">
            <w:pPr>
              <w:pStyle w:val="StyleWisnow"/>
              <w:rPr>
                <w:color w:val="000000" w:themeColor="text1"/>
              </w:rPr>
            </w:pPr>
          </w:p>
        </w:tc>
        <w:tc>
          <w:tcPr>
            <w:tcW w:w="4818" w:type="dxa"/>
          </w:tcPr>
          <w:p w14:paraId="28EF0459" w14:textId="4F92CB51" w:rsidR="00572342" w:rsidRPr="00286216" w:rsidRDefault="00572342" w:rsidP="00572342">
            <w:pPr>
              <w:pStyle w:val="StyleZakonu"/>
              <w:rPr>
                <w:color w:val="000000" w:themeColor="text1"/>
              </w:rPr>
            </w:pPr>
            <w:r w:rsidRPr="00286216">
              <w:rPr>
                <w:color w:val="000000" w:themeColor="text1"/>
              </w:rPr>
              <w:t>1) при голосуванні власником облігацій з питань порядку денного зборів власників облігацій отримує від нього письмове запевнення в тому, що він не є особою, зазначеною у пунктах 1 - 5 частини третьої статті 111 цього Закону, або інформацію про належність до таких осіб;</w:t>
            </w:r>
          </w:p>
        </w:tc>
      </w:tr>
      <w:tr w:rsidR="00572342" w:rsidRPr="00286216" w14:paraId="678894E0" w14:textId="77777777" w:rsidTr="00091AA5">
        <w:tc>
          <w:tcPr>
            <w:tcW w:w="576" w:type="dxa"/>
          </w:tcPr>
          <w:p w14:paraId="6B60A8A6" w14:textId="77777777" w:rsidR="00572342" w:rsidRPr="00286216" w:rsidRDefault="00572342" w:rsidP="00572342">
            <w:pPr>
              <w:pStyle w:val="StyleWisnow"/>
              <w:rPr>
                <w:color w:val="000000" w:themeColor="text1"/>
              </w:rPr>
            </w:pPr>
            <w:bookmarkStart w:id="1789" w:name="n2034" w:colFirst="0" w:colLast="0"/>
            <w:bookmarkEnd w:id="1788"/>
            <w:r w:rsidRPr="00286216">
              <w:rPr>
                <w:color w:val="000000" w:themeColor="text1"/>
              </w:rPr>
              <w:t>2034.</w:t>
            </w:r>
          </w:p>
        </w:tc>
        <w:tc>
          <w:tcPr>
            <w:tcW w:w="4818" w:type="dxa"/>
          </w:tcPr>
          <w:p w14:paraId="7632C6C9" w14:textId="77777777" w:rsidR="00572342" w:rsidRPr="00286216" w:rsidRDefault="00572342" w:rsidP="00572342">
            <w:pPr>
              <w:pStyle w:val="StyleZakonu"/>
              <w:rPr>
                <w:color w:val="000000" w:themeColor="text1"/>
              </w:rPr>
            </w:pPr>
            <w:r w:rsidRPr="00286216">
              <w:rPr>
                <w:color w:val="000000" w:themeColor="text1"/>
              </w:rPr>
              <w:t>2) направляє подану власниками облігацій інформацію про голосування з питань порядку денного зборів, інформацію, передбачену пунктом 1 цієї частини, Центральному депозитарію цінних паперів або Національному банку України;</w:t>
            </w:r>
          </w:p>
        </w:tc>
        <w:tc>
          <w:tcPr>
            <w:tcW w:w="3686" w:type="dxa"/>
          </w:tcPr>
          <w:p w14:paraId="7D4098C6" w14:textId="633472AC"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1021</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15010F2C" w14:textId="48CDC03B" w:rsidR="00572342" w:rsidRPr="00286216" w:rsidRDefault="00572342" w:rsidP="00572342">
            <w:pPr>
              <w:pStyle w:val="StyleProp"/>
              <w:rPr>
                <w:color w:val="000000" w:themeColor="text1"/>
                <w:szCs w:val="18"/>
              </w:rPr>
            </w:pPr>
            <w:r w:rsidRPr="00286216">
              <w:rPr>
                <w:color w:val="000000" w:themeColor="text1"/>
                <w:szCs w:val="18"/>
              </w:rPr>
              <w:t>У пункті 2 частини 2 статті 119 слова «</w:t>
            </w:r>
            <w:r w:rsidRPr="00286216">
              <w:rPr>
                <w:color w:val="000000" w:themeColor="text1"/>
              </w:rPr>
              <w:t>або Національному банку України» виключити</w:t>
            </w:r>
            <w:r w:rsidRPr="00286216">
              <w:rPr>
                <w:color w:val="000000" w:themeColor="text1"/>
                <w:lang w:val="ru-RU"/>
              </w:rPr>
              <w:t>.</w:t>
            </w:r>
          </w:p>
        </w:tc>
        <w:tc>
          <w:tcPr>
            <w:tcW w:w="1987" w:type="dxa"/>
          </w:tcPr>
          <w:p w14:paraId="3F09BE19"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64AFD217" w14:textId="73CEA570" w:rsidR="00572342" w:rsidRPr="00286216" w:rsidRDefault="00572342" w:rsidP="00572342">
            <w:pPr>
              <w:pStyle w:val="StyleWisnow"/>
              <w:spacing w:line="20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481BA4A8" w14:textId="7B6B653F" w:rsidR="00572342" w:rsidRPr="00286216" w:rsidRDefault="00572342" w:rsidP="00572342">
            <w:pPr>
              <w:pStyle w:val="StyleZakonu"/>
              <w:rPr>
                <w:color w:val="000000" w:themeColor="text1"/>
              </w:rPr>
            </w:pPr>
            <w:r w:rsidRPr="00286216">
              <w:rPr>
                <w:color w:val="000000" w:themeColor="text1"/>
              </w:rPr>
              <w:t>2) направляє подану власниками облігацій інформацію про голосування з питань порядку денного зборів та інформацію, передбачену пунктом 1 цієї частини, Центральному депозитарію цінних паперів;</w:t>
            </w:r>
          </w:p>
        </w:tc>
      </w:tr>
      <w:tr w:rsidR="00572342" w:rsidRPr="00286216" w14:paraId="6AF105C2" w14:textId="77777777" w:rsidTr="00091AA5">
        <w:tc>
          <w:tcPr>
            <w:tcW w:w="576" w:type="dxa"/>
          </w:tcPr>
          <w:p w14:paraId="7DC43907" w14:textId="77777777" w:rsidR="00572342" w:rsidRPr="00286216" w:rsidRDefault="00572342" w:rsidP="00572342">
            <w:pPr>
              <w:pStyle w:val="StyleWisnow"/>
              <w:rPr>
                <w:color w:val="000000" w:themeColor="text1"/>
              </w:rPr>
            </w:pPr>
            <w:bookmarkStart w:id="1790" w:name="n2035" w:colFirst="0" w:colLast="0"/>
            <w:bookmarkEnd w:id="1789"/>
            <w:r w:rsidRPr="00286216">
              <w:rPr>
                <w:color w:val="000000" w:themeColor="text1"/>
              </w:rPr>
              <w:t>2035.</w:t>
            </w:r>
          </w:p>
        </w:tc>
        <w:tc>
          <w:tcPr>
            <w:tcW w:w="4818" w:type="dxa"/>
          </w:tcPr>
          <w:p w14:paraId="6BCCB1B5" w14:textId="77777777" w:rsidR="00572342" w:rsidRPr="00286216" w:rsidRDefault="00572342" w:rsidP="00572342">
            <w:pPr>
              <w:pStyle w:val="StyleZakonu"/>
              <w:rPr>
                <w:color w:val="000000" w:themeColor="text1"/>
              </w:rPr>
            </w:pPr>
            <w:r w:rsidRPr="00286216">
              <w:rPr>
                <w:color w:val="000000" w:themeColor="text1"/>
              </w:rPr>
              <w:t>3) встановлює обмеження у розпорядженні облігаціями, власник яких подав вимогу про проведення зборів власників облігацій;</w:t>
            </w:r>
          </w:p>
        </w:tc>
        <w:tc>
          <w:tcPr>
            <w:tcW w:w="3686" w:type="dxa"/>
          </w:tcPr>
          <w:p w14:paraId="26CA69D0" w14:textId="77777777" w:rsidR="00572342" w:rsidRPr="00286216" w:rsidRDefault="00572342" w:rsidP="00572342">
            <w:pPr>
              <w:pStyle w:val="StyleProp"/>
              <w:rPr>
                <w:color w:val="000000" w:themeColor="text1"/>
                <w:szCs w:val="18"/>
              </w:rPr>
            </w:pPr>
          </w:p>
        </w:tc>
        <w:tc>
          <w:tcPr>
            <w:tcW w:w="1987" w:type="dxa"/>
          </w:tcPr>
          <w:p w14:paraId="3E4A0A2F" w14:textId="77777777" w:rsidR="00572342" w:rsidRPr="00286216" w:rsidRDefault="00572342" w:rsidP="00572342">
            <w:pPr>
              <w:pStyle w:val="StyleWisnow"/>
              <w:rPr>
                <w:color w:val="000000" w:themeColor="text1"/>
              </w:rPr>
            </w:pPr>
          </w:p>
        </w:tc>
        <w:tc>
          <w:tcPr>
            <w:tcW w:w="4818" w:type="dxa"/>
          </w:tcPr>
          <w:p w14:paraId="39757AB3" w14:textId="51E3A97B" w:rsidR="00572342" w:rsidRPr="00286216" w:rsidRDefault="00572342" w:rsidP="00572342">
            <w:pPr>
              <w:pStyle w:val="StyleZakonu"/>
              <w:rPr>
                <w:color w:val="000000" w:themeColor="text1"/>
              </w:rPr>
            </w:pPr>
            <w:r w:rsidRPr="00286216">
              <w:rPr>
                <w:color w:val="000000" w:themeColor="text1"/>
              </w:rPr>
              <w:t>3) встановлює обмеження у розпорядженні облігаціями, власник яких подав вимогу про проведення зборів власників облігацій;</w:t>
            </w:r>
          </w:p>
        </w:tc>
      </w:tr>
      <w:tr w:rsidR="00572342" w:rsidRPr="00286216" w14:paraId="067D08E1" w14:textId="77777777" w:rsidTr="00091AA5">
        <w:tc>
          <w:tcPr>
            <w:tcW w:w="576" w:type="dxa"/>
          </w:tcPr>
          <w:p w14:paraId="3B76D06C" w14:textId="77777777" w:rsidR="00572342" w:rsidRPr="00286216" w:rsidRDefault="00572342" w:rsidP="00572342">
            <w:pPr>
              <w:pStyle w:val="StyleWisnow"/>
              <w:rPr>
                <w:color w:val="000000" w:themeColor="text1"/>
              </w:rPr>
            </w:pPr>
            <w:bookmarkStart w:id="1791" w:name="n2036" w:colFirst="0" w:colLast="0"/>
            <w:bookmarkEnd w:id="1790"/>
            <w:r w:rsidRPr="00286216">
              <w:rPr>
                <w:color w:val="000000" w:themeColor="text1"/>
              </w:rPr>
              <w:t>2036.</w:t>
            </w:r>
          </w:p>
        </w:tc>
        <w:tc>
          <w:tcPr>
            <w:tcW w:w="4818" w:type="dxa"/>
          </w:tcPr>
          <w:p w14:paraId="58269D45" w14:textId="77777777" w:rsidR="00572342" w:rsidRPr="00286216" w:rsidRDefault="00572342" w:rsidP="00572342">
            <w:pPr>
              <w:pStyle w:val="StyleZakonu"/>
              <w:rPr>
                <w:color w:val="000000" w:themeColor="text1"/>
              </w:rPr>
            </w:pPr>
            <w:r w:rsidRPr="00286216">
              <w:rPr>
                <w:color w:val="000000" w:themeColor="text1"/>
              </w:rPr>
              <w:t>4) встановлює обмеження у розпорядженні облігаціями, якими власник проголосував з питання порядку денного зборів, на рахунку у цінних паперах власника;</w:t>
            </w:r>
          </w:p>
        </w:tc>
        <w:tc>
          <w:tcPr>
            <w:tcW w:w="3686" w:type="dxa"/>
          </w:tcPr>
          <w:p w14:paraId="49B53446" w14:textId="5F5E16A2" w:rsidR="00572342" w:rsidRPr="00286216" w:rsidRDefault="00572342" w:rsidP="00572342">
            <w:pPr>
              <w:pStyle w:val="StyleAwt"/>
              <w:rPr>
                <w:color w:val="000000" w:themeColor="text1"/>
                <w:spacing w:val="-6"/>
              </w:rPr>
            </w:pPr>
            <w:r w:rsidRPr="00286216">
              <w:rPr>
                <w:color w:val="000000" w:themeColor="text1"/>
                <w:spacing w:val="-6"/>
              </w:rPr>
              <w:t>-</w:t>
            </w:r>
            <w:r w:rsidRPr="00286216">
              <w:rPr>
                <w:color w:val="000000" w:themeColor="text1"/>
                <w:spacing w:val="-6"/>
              </w:rPr>
              <w:fldChar w:fldCharType="begin"/>
            </w:r>
            <w:r w:rsidRPr="00286216">
              <w:rPr>
                <w:color w:val="000000" w:themeColor="text1"/>
                <w:spacing w:val="-6"/>
              </w:rPr>
              <w:instrText xml:space="preserve"> SEQ aa </w:instrText>
            </w:r>
            <w:r w:rsidRPr="00286216">
              <w:rPr>
                <w:color w:val="000000" w:themeColor="text1"/>
                <w:spacing w:val="-6"/>
              </w:rPr>
              <w:fldChar w:fldCharType="separate"/>
            </w:r>
            <w:r w:rsidR="00C46B29">
              <w:rPr>
                <w:noProof/>
                <w:color w:val="000000" w:themeColor="text1"/>
                <w:spacing w:val="-6"/>
              </w:rPr>
              <w:t>1022</w:t>
            </w:r>
            <w:r w:rsidRPr="00286216">
              <w:rPr>
                <w:color w:val="000000" w:themeColor="text1"/>
                <w:spacing w:val="-6"/>
              </w:rPr>
              <w:fldChar w:fldCharType="end"/>
            </w:r>
            <w:r w:rsidRPr="00286216">
              <w:rPr>
                <w:color w:val="000000" w:themeColor="text1"/>
                <w:spacing w:val="-6"/>
              </w:rPr>
              <w:t>-Н.д.Бєлькова О.В. (Реєстр.картка №403)</w:t>
            </w:r>
          </w:p>
          <w:p w14:paraId="5C6C3855" w14:textId="4B91D747" w:rsidR="00572342" w:rsidRPr="00286216" w:rsidRDefault="00572342" w:rsidP="00572342">
            <w:pPr>
              <w:pStyle w:val="StyleProp"/>
              <w:spacing w:line="180" w:lineRule="exact"/>
              <w:rPr>
                <w:color w:val="000000" w:themeColor="text1"/>
                <w:szCs w:val="18"/>
              </w:rPr>
            </w:pPr>
            <w:r w:rsidRPr="00286216">
              <w:rPr>
                <w:color w:val="000000" w:themeColor="text1"/>
              </w:rPr>
              <w:t>Пункти 4 та 5 частини 2 статі 119 виключити.</w:t>
            </w:r>
          </w:p>
        </w:tc>
        <w:tc>
          <w:tcPr>
            <w:tcW w:w="1987" w:type="dxa"/>
          </w:tcPr>
          <w:p w14:paraId="3EB9EDAB" w14:textId="33782A03" w:rsidR="00572342" w:rsidRPr="00286216" w:rsidRDefault="00572342" w:rsidP="00572342">
            <w:pPr>
              <w:pStyle w:val="StyleWisnow"/>
              <w:rPr>
                <w:color w:val="000000" w:themeColor="text1"/>
              </w:rPr>
            </w:pPr>
            <w:r w:rsidRPr="00286216">
              <w:rPr>
                <w:color w:val="000000" w:themeColor="text1"/>
              </w:rPr>
              <w:t>Враховано</w:t>
            </w:r>
          </w:p>
        </w:tc>
        <w:tc>
          <w:tcPr>
            <w:tcW w:w="4818" w:type="dxa"/>
          </w:tcPr>
          <w:p w14:paraId="7DDF9C53" w14:textId="249ABD3C" w:rsidR="00572342" w:rsidRPr="00286216" w:rsidRDefault="00572342" w:rsidP="00572342">
            <w:pPr>
              <w:pStyle w:val="StyleZakonu"/>
              <w:rPr>
                <w:color w:val="000000" w:themeColor="text1"/>
              </w:rPr>
            </w:pPr>
          </w:p>
        </w:tc>
      </w:tr>
      <w:tr w:rsidR="00572342" w:rsidRPr="00286216" w14:paraId="7BAED7E0" w14:textId="77777777" w:rsidTr="00091AA5">
        <w:tc>
          <w:tcPr>
            <w:tcW w:w="576" w:type="dxa"/>
          </w:tcPr>
          <w:p w14:paraId="05CA426F" w14:textId="77777777" w:rsidR="00572342" w:rsidRPr="00286216" w:rsidRDefault="00572342" w:rsidP="00572342">
            <w:pPr>
              <w:pStyle w:val="StyleWisnow"/>
              <w:rPr>
                <w:color w:val="000000" w:themeColor="text1"/>
              </w:rPr>
            </w:pPr>
            <w:bookmarkStart w:id="1792" w:name="n2037" w:colFirst="0" w:colLast="0"/>
            <w:bookmarkEnd w:id="1791"/>
            <w:r w:rsidRPr="00286216">
              <w:rPr>
                <w:color w:val="000000" w:themeColor="text1"/>
              </w:rPr>
              <w:t>2037.</w:t>
            </w:r>
          </w:p>
        </w:tc>
        <w:tc>
          <w:tcPr>
            <w:tcW w:w="4818" w:type="dxa"/>
          </w:tcPr>
          <w:p w14:paraId="3B63539F" w14:textId="77777777" w:rsidR="00572342" w:rsidRPr="00286216" w:rsidRDefault="00572342" w:rsidP="00572342">
            <w:pPr>
              <w:pStyle w:val="StyleZakonu"/>
              <w:rPr>
                <w:color w:val="000000" w:themeColor="text1"/>
              </w:rPr>
            </w:pPr>
            <w:r w:rsidRPr="00286216">
              <w:rPr>
                <w:color w:val="000000" w:themeColor="text1"/>
              </w:rPr>
              <w:t>5) за заявою власника облігацій відкликає подану ним інформацію про голосування з питань порядку денного зборів та скасовує обмеження у розпорядженні відповідною кількістю облігацій;</w:t>
            </w:r>
          </w:p>
        </w:tc>
        <w:tc>
          <w:tcPr>
            <w:tcW w:w="3686" w:type="dxa"/>
          </w:tcPr>
          <w:p w14:paraId="6C8BD68C" w14:textId="77777777" w:rsidR="00572342" w:rsidRPr="00286216" w:rsidRDefault="00572342" w:rsidP="00572342">
            <w:pPr>
              <w:pStyle w:val="StyleProp"/>
              <w:rPr>
                <w:color w:val="000000" w:themeColor="text1"/>
                <w:szCs w:val="18"/>
              </w:rPr>
            </w:pPr>
          </w:p>
        </w:tc>
        <w:tc>
          <w:tcPr>
            <w:tcW w:w="1987" w:type="dxa"/>
          </w:tcPr>
          <w:p w14:paraId="4BB2A641" w14:textId="77777777" w:rsidR="00572342" w:rsidRPr="00286216" w:rsidRDefault="00572342" w:rsidP="00572342">
            <w:pPr>
              <w:pStyle w:val="StyleWisnow"/>
              <w:rPr>
                <w:color w:val="000000" w:themeColor="text1"/>
              </w:rPr>
            </w:pPr>
          </w:p>
        </w:tc>
        <w:tc>
          <w:tcPr>
            <w:tcW w:w="4818" w:type="dxa"/>
          </w:tcPr>
          <w:p w14:paraId="1FA0ECF3" w14:textId="7DB33F9C" w:rsidR="00572342" w:rsidRPr="00286216" w:rsidRDefault="00572342" w:rsidP="00572342">
            <w:pPr>
              <w:pStyle w:val="StyleZakonu"/>
              <w:rPr>
                <w:color w:val="000000" w:themeColor="text1"/>
              </w:rPr>
            </w:pPr>
          </w:p>
        </w:tc>
      </w:tr>
      <w:tr w:rsidR="00572342" w:rsidRPr="00286216" w14:paraId="3144E9B2" w14:textId="77777777" w:rsidTr="00091AA5">
        <w:tc>
          <w:tcPr>
            <w:tcW w:w="576" w:type="dxa"/>
          </w:tcPr>
          <w:p w14:paraId="7D9CB604" w14:textId="77777777" w:rsidR="00572342" w:rsidRPr="00286216" w:rsidRDefault="00572342" w:rsidP="00572342">
            <w:pPr>
              <w:pStyle w:val="StyleWisnow"/>
              <w:rPr>
                <w:color w:val="000000" w:themeColor="text1"/>
              </w:rPr>
            </w:pPr>
            <w:bookmarkStart w:id="1793" w:name="n2038" w:colFirst="0" w:colLast="0"/>
            <w:bookmarkEnd w:id="1792"/>
            <w:r w:rsidRPr="00286216">
              <w:rPr>
                <w:color w:val="000000" w:themeColor="text1"/>
              </w:rPr>
              <w:t>2038.</w:t>
            </w:r>
          </w:p>
        </w:tc>
        <w:tc>
          <w:tcPr>
            <w:tcW w:w="4818" w:type="dxa"/>
          </w:tcPr>
          <w:p w14:paraId="7FFFAB37" w14:textId="77777777" w:rsidR="00572342" w:rsidRPr="00286216" w:rsidRDefault="00572342" w:rsidP="00572342">
            <w:pPr>
              <w:pStyle w:val="StyleZakonu"/>
              <w:rPr>
                <w:color w:val="000000" w:themeColor="text1"/>
              </w:rPr>
            </w:pPr>
            <w:r w:rsidRPr="00286216">
              <w:rPr>
                <w:color w:val="000000" w:themeColor="text1"/>
              </w:rPr>
              <w:t>6) скасовує обмеження у розпорядженні облігаціями після отримання повідомлення від Центрального депозитарію цінних паперів або Національного банку України про завершення голосування з питань порядку денного зборів.</w:t>
            </w:r>
          </w:p>
        </w:tc>
        <w:tc>
          <w:tcPr>
            <w:tcW w:w="3686" w:type="dxa"/>
          </w:tcPr>
          <w:p w14:paraId="64C70AC7" w14:textId="3BAF3BE7"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1023</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36B19D44" w14:textId="77777777" w:rsidR="00572342" w:rsidRPr="00286216" w:rsidRDefault="00572342" w:rsidP="00572342">
            <w:pPr>
              <w:pStyle w:val="StyleProp"/>
              <w:rPr>
                <w:color w:val="000000" w:themeColor="text1"/>
                <w:szCs w:val="18"/>
              </w:rPr>
            </w:pPr>
            <w:r w:rsidRPr="00286216">
              <w:rPr>
                <w:color w:val="000000" w:themeColor="text1"/>
                <w:szCs w:val="18"/>
              </w:rPr>
              <w:t>Пункт 6 частини 2 статті 119 викласти у такій редакції:</w:t>
            </w:r>
          </w:p>
          <w:p w14:paraId="0E584F40" w14:textId="463C3527" w:rsidR="00572342" w:rsidRPr="00286216" w:rsidRDefault="00572342" w:rsidP="00572342">
            <w:pPr>
              <w:pStyle w:val="StyleProp"/>
              <w:rPr>
                <w:color w:val="000000" w:themeColor="text1"/>
                <w:spacing w:val="-2"/>
                <w:szCs w:val="18"/>
              </w:rPr>
            </w:pPr>
            <w:r w:rsidRPr="00286216">
              <w:rPr>
                <w:color w:val="000000" w:themeColor="text1"/>
                <w:spacing w:val="-2"/>
              </w:rPr>
              <w:lastRenderedPageBreak/>
              <w:t>"4) скасовує обмеження у розпорядженні облігаціями після отримання від Центрального депозитарію цінних паперів повідомлення про завершення голосування з питань порядку денного зборів власників облігацій".</w:t>
            </w:r>
          </w:p>
        </w:tc>
        <w:tc>
          <w:tcPr>
            <w:tcW w:w="1987" w:type="dxa"/>
          </w:tcPr>
          <w:p w14:paraId="580B1CCA" w14:textId="77777777" w:rsidR="00572342" w:rsidRPr="00286216" w:rsidRDefault="00572342" w:rsidP="00572342">
            <w:pPr>
              <w:pStyle w:val="StyleWisnow"/>
              <w:spacing w:line="180" w:lineRule="exact"/>
              <w:rPr>
                <w:color w:val="000000" w:themeColor="text1"/>
              </w:rPr>
            </w:pPr>
            <w:r w:rsidRPr="00286216">
              <w:rPr>
                <w:color w:val="000000" w:themeColor="text1"/>
              </w:rPr>
              <w:lastRenderedPageBreak/>
              <w:t>Враховано</w:t>
            </w:r>
          </w:p>
          <w:p w14:paraId="6CE4FDE0" w14:textId="3D5C56D6" w:rsidR="00572342" w:rsidRPr="00286216" w:rsidRDefault="00572342" w:rsidP="00572342">
            <w:pPr>
              <w:pStyle w:val="StyleWisnow"/>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27EC59FC" w14:textId="1447B619" w:rsidR="00572342" w:rsidRPr="00286216" w:rsidRDefault="00572342" w:rsidP="00572342">
            <w:pPr>
              <w:pStyle w:val="StyleZakonu"/>
              <w:rPr>
                <w:color w:val="000000" w:themeColor="text1"/>
              </w:rPr>
            </w:pPr>
            <w:r w:rsidRPr="00286216">
              <w:rPr>
                <w:color w:val="000000" w:themeColor="text1"/>
              </w:rPr>
              <w:t>4) скасовує обмеження у розпорядженні облігаціями після отримання від Центрального депозитарію цінних паперів повідомлення про завершення голосування з питань порядку денного зборів власників облігацій.</w:t>
            </w:r>
          </w:p>
        </w:tc>
      </w:tr>
      <w:tr w:rsidR="00572342" w:rsidRPr="00286216" w14:paraId="0C871200" w14:textId="77777777" w:rsidTr="00091AA5">
        <w:tc>
          <w:tcPr>
            <w:tcW w:w="576" w:type="dxa"/>
          </w:tcPr>
          <w:p w14:paraId="3BC620A4" w14:textId="77777777" w:rsidR="00572342" w:rsidRPr="00286216" w:rsidRDefault="00572342" w:rsidP="00572342">
            <w:pPr>
              <w:pStyle w:val="StyleWisnow"/>
              <w:rPr>
                <w:color w:val="000000" w:themeColor="text1"/>
              </w:rPr>
            </w:pPr>
            <w:bookmarkStart w:id="1794" w:name="n2039" w:colFirst="0" w:colLast="0"/>
            <w:bookmarkEnd w:id="1793"/>
            <w:r w:rsidRPr="00286216">
              <w:rPr>
                <w:color w:val="000000" w:themeColor="text1"/>
              </w:rPr>
              <w:t>2039.</w:t>
            </w:r>
          </w:p>
        </w:tc>
        <w:tc>
          <w:tcPr>
            <w:tcW w:w="4818" w:type="dxa"/>
          </w:tcPr>
          <w:p w14:paraId="3ADEF84A" w14:textId="77777777" w:rsidR="00572342" w:rsidRPr="00286216" w:rsidRDefault="00572342" w:rsidP="00572342">
            <w:pPr>
              <w:pStyle w:val="StyleZakonu"/>
              <w:rPr>
                <w:color w:val="000000" w:themeColor="text1"/>
              </w:rPr>
            </w:pPr>
            <w:r w:rsidRPr="00286216">
              <w:rPr>
                <w:color w:val="000000" w:themeColor="text1"/>
              </w:rPr>
              <w:t>3. Особи, які мають право ініціювати проведення зборів власників облігацій, можуть звернутися з метою проведення зборів до Центрального депозитарію цінних паперів або Національного банку України, в тому числі через депозитарну установу, у випадку якщо:</w:t>
            </w:r>
          </w:p>
        </w:tc>
        <w:tc>
          <w:tcPr>
            <w:tcW w:w="3686" w:type="dxa"/>
          </w:tcPr>
          <w:p w14:paraId="7C564208" w14:textId="48C3204D"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1024</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16E7F804" w14:textId="3B7D79A8" w:rsidR="00572342" w:rsidRPr="00286216" w:rsidRDefault="00572342" w:rsidP="00572342">
            <w:pPr>
              <w:pStyle w:val="StyleProp"/>
              <w:rPr>
                <w:color w:val="000000" w:themeColor="text1"/>
                <w:szCs w:val="18"/>
              </w:rPr>
            </w:pPr>
            <w:r w:rsidRPr="00286216">
              <w:rPr>
                <w:color w:val="000000" w:themeColor="text1"/>
                <w:szCs w:val="18"/>
              </w:rPr>
              <w:t>У абзаці 1 частини 3 статті 119 слова «</w:t>
            </w:r>
            <w:r w:rsidRPr="00286216">
              <w:rPr>
                <w:color w:val="000000" w:themeColor="text1"/>
              </w:rPr>
              <w:t>або Національного банку України» виключити</w:t>
            </w:r>
            <w:r w:rsidRPr="00286216">
              <w:rPr>
                <w:color w:val="000000" w:themeColor="text1"/>
                <w:spacing w:val="-2"/>
              </w:rPr>
              <w:t>.</w:t>
            </w:r>
          </w:p>
        </w:tc>
        <w:tc>
          <w:tcPr>
            <w:tcW w:w="1987" w:type="dxa"/>
          </w:tcPr>
          <w:p w14:paraId="02E76ED2"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5C226FB8" w14:textId="03932B0F" w:rsidR="00572342" w:rsidRPr="00286216" w:rsidRDefault="00572342" w:rsidP="00572342">
            <w:pPr>
              <w:pStyle w:val="StyleWisnow"/>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3024BD83" w14:textId="0CD83FE7" w:rsidR="00572342" w:rsidRPr="00286216" w:rsidRDefault="00572342" w:rsidP="00572342">
            <w:pPr>
              <w:pStyle w:val="StyleZakonu"/>
              <w:rPr>
                <w:color w:val="000000" w:themeColor="text1"/>
              </w:rPr>
            </w:pPr>
            <w:r w:rsidRPr="00286216">
              <w:rPr>
                <w:color w:val="000000" w:themeColor="text1"/>
              </w:rPr>
              <w:t>3. Особи, які мають право ініціювати проведення зборів власників облігацій, можуть звернутися з такою метою до Центрального депозитарію цінних паперів, в тому числі через депозитарну установу, у  таких випадках:</w:t>
            </w:r>
          </w:p>
        </w:tc>
      </w:tr>
      <w:tr w:rsidR="00572342" w:rsidRPr="00286216" w14:paraId="01D450FF" w14:textId="77777777" w:rsidTr="00091AA5">
        <w:tc>
          <w:tcPr>
            <w:tcW w:w="576" w:type="dxa"/>
          </w:tcPr>
          <w:p w14:paraId="34CA4173" w14:textId="77777777" w:rsidR="00572342" w:rsidRPr="00286216" w:rsidRDefault="00572342" w:rsidP="00572342">
            <w:pPr>
              <w:pStyle w:val="StyleWisnow"/>
              <w:rPr>
                <w:color w:val="000000" w:themeColor="text1"/>
              </w:rPr>
            </w:pPr>
            <w:bookmarkStart w:id="1795" w:name="n2040" w:colFirst="0" w:colLast="0"/>
            <w:bookmarkEnd w:id="1794"/>
            <w:r w:rsidRPr="00286216">
              <w:rPr>
                <w:color w:val="000000" w:themeColor="text1"/>
              </w:rPr>
              <w:t>2040.</w:t>
            </w:r>
          </w:p>
        </w:tc>
        <w:tc>
          <w:tcPr>
            <w:tcW w:w="4818" w:type="dxa"/>
          </w:tcPr>
          <w:p w14:paraId="4E3D9C23" w14:textId="77777777" w:rsidR="00572342" w:rsidRPr="00286216" w:rsidRDefault="00572342" w:rsidP="00572342">
            <w:pPr>
              <w:pStyle w:val="StyleZakonu"/>
              <w:rPr>
                <w:color w:val="000000" w:themeColor="text1"/>
              </w:rPr>
            </w:pPr>
            <w:r w:rsidRPr="00286216">
              <w:rPr>
                <w:color w:val="000000" w:themeColor="text1"/>
              </w:rPr>
              <w:t>1) особа, відповідальна за проведення зборів, не виконує своїх обов’язків з проведення зборів, підбиття підсумків голосування на них, оформлення та опублікування протоколу;</w:t>
            </w:r>
          </w:p>
        </w:tc>
        <w:tc>
          <w:tcPr>
            <w:tcW w:w="3686" w:type="dxa"/>
          </w:tcPr>
          <w:p w14:paraId="2C9BCFDF" w14:textId="77777777" w:rsidR="00572342" w:rsidRPr="00286216" w:rsidRDefault="00572342" w:rsidP="00572342">
            <w:pPr>
              <w:pStyle w:val="StyleProp"/>
              <w:rPr>
                <w:color w:val="000000" w:themeColor="text1"/>
                <w:szCs w:val="18"/>
              </w:rPr>
            </w:pPr>
          </w:p>
        </w:tc>
        <w:tc>
          <w:tcPr>
            <w:tcW w:w="1987" w:type="dxa"/>
          </w:tcPr>
          <w:p w14:paraId="708259BA" w14:textId="77777777" w:rsidR="00572342" w:rsidRPr="00286216" w:rsidRDefault="00572342" w:rsidP="00572342">
            <w:pPr>
              <w:pStyle w:val="StyleWisnow"/>
              <w:rPr>
                <w:color w:val="000000" w:themeColor="text1"/>
              </w:rPr>
            </w:pPr>
          </w:p>
        </w:tc>
        <w:tc>
          <w:tcPr>
            <w:tcW w:w="4818" w:type="dxa"/>
          </w:tcPr>
          <w:p w14:paraId="53B92BDB" w14:textId="40A16137" w:rsidR="00572342" w:rsidRPr="00286216" w:rsidRDefault="00572342" w:rsidP="00572342">
            <w:pPr>
              <w:pStyle w:val="StyleZakonu"/>
              <w:rPr>
                <w:color w:val="000000" w:themeColor="text1"/>
              </w:rPr>
            </w:pPr>
            <w:r w:rsidRPr="00286216">
              <w:rPr>
                <w:color w:val="000000" w:themeColor="text1"/>
              </w:rPr>
              <w:t>1) особа, відповідальна за проведення зборів, не виконує своїх обов’язків з проведення зборів, підбиття підсумків голосування на них, оформлення та опублікування протоколу;</w:t>
            </w:r>
          </w:p>
        </w:tc>
      </w:tr>
      <w:tr w:rsidR="00572342" w:rsidRPr="00286216" w14:paraId="08AB27CB" w14:textId="77777777" w:rsidTr="00091AA5">
        <w:tc>
          <w:tcPr>
            <w:tcW w:w="576" w:type="dxa"/>
          </w:tcPr>
          <w:p w14:paraId="4933F158" w14:textId="77777777" w:rsidR="00572342" w:rsidRPr="00286216" w:rsidRDefault="00572342" w:rsidP="00572342">
            <w:pPr>
              <w:pStyle w:val="StyleWisnow"/>
              <w:rPr>
                <w:color w:val="000000" w:themeColor="text1"/>
              </w:rPr>
            </w:pPr>
            <w:bookmarkStart w:id="1796" w:name="n2041" w:colFirst="0" w:colLast="0"/>
            <w:bookmarkEnd w:id="1795"/>
            <w:r w:rsidRPr="00286216">
              <w:rPr>
                <w:color w:val="000000" w:themeColor="text1"/>
              </w:rPr>
              <w:t>2041.</w:t>
            </w:r>
          </w:p>
        </w:tc>
        <w:tc>
          <w:tcPr>
            <w:tcW w:w="4818" w:type="dxa"/>
          </w:tcPr>
          <w:p w14:paraId="68BEAB57" w14:textId="77777777" w:rsidR="00572342" w:rsidRPr="00286216" w:rsidRDefault="00572342" w:rsidP="00572342">
            <w:pPr>
              <w:pStyle w:val="StyleZakonu"/>
              <w:rPr>
                <w:color w:val="000000" w:themeColor="text1"/>
              </w:rPr>
            </w:pPr>
            <w:r w:rsidRPr="00286216">
              <w:rPr>
                <w:color w:val="000000" w:themeColor="text1"/>
              </w:rPr>
              <w:t>2) емітент не виконує свого обов’язку щодо призначення адміністратора;</w:t>
            </w:r>
          </w:p>
        </w:tc>
        <w:tc>
          <w:tcPr>
            <w:tcW w:w="3686" w:type="dxa"/>
          </w:tcPr>
          <w:p w14:paraId="75C00870" w14:textId="77777777" w:rsidR="00572342" w:rsidRPr="00286216" w:rsidRDefault="00572342" w:rsidP="00572342">
            <w:pPr>
              <w:pStyle w:val="StyleProp"/>
              <w:rPr>
                <w:color w:val="000000" w:themeColor="text1"/>
                <w:szCs w:val="18"/>
              </w:rPr>
            </w:pPr>
          </w:p>
        </w:tc>
        <w:tc>
          <w:tcPr>
            <w:tcW w:w="1987" w:type="dxa"/>
          </w:tcPr>
          <w:p w14:paraId="631096BD" w14:textId="77777777" w:rsidR="00572342" w:rsidRPr="00286216" w:rsidRDefault="00572342" w:rsidP="00572342">
            <w:pPr>
              <w:pStyle w:val="StyleWisnow"/>
              <w:rPr>
                <w:color w:val="000000" w:themeColor="text1"/>
              </w:rPr>
            </w:pPr>
          </w:p>
        </w:tc>
        <w:tc>
          <w:tcPr>
            <w:tcW w:w="4818" w:type="dxa"/>
          </w:tcPr>
          <w:p w14:paraId="0E73B9CA" w14:textId="54303DDE" w:rsidR="00572342" w:rsidRPr="00286216" w:rsidRDefault="00572342" w:rsidP="00572342">
            <w:pPr>
              <w:pStyle w:val="StyleZakonu"/>
              <w:rPr>
                <w:color w:val="000000" w:themeColor="text1"/>
              </w:rPr>
            </w:pPr>
            <w:r w:rsidRPr="00286216">
              <w:rPr>
                <w:color w:val="000000" w:themeColor="text1"/>
              </w:rPr>
              <w:t>2) емітент не виконує свого обов’язку щодо призначення адміністратора;</w:t>
            </w:r>
          </w:p>
        </w:tc>
      </w:tr>
      <w:tr w:rsidR="00572342" w:rsidRPr="00286216" w14:paraId="4B887638" w14:textId="77777777" w:rsidTr="00091AA5">
        <w:tc>
          <w:tcPr>
            <w:tcW w:w="576" w:type="dxa"/>
          </w:tcPr>
          <w:p w14:paraId="29224D12" w14:textId="77777777" w:rsidR="00572342" w:rsidRPr="00286216" w:rsidRDefault="00572342" w:rsidP="00572342">
            <w:pPr>
              <w:pStyle w:val="StyleWisnow"/>
              <w:rPr>
                <w:color w:val="000000" w:themeColor="text1"/>
              </w:rPr>
            </w:pPr>
            <w:bookmarkStart w:id="1797" w:name="n2042" w:colFirst="0" w:colLast="0"/>
            <w:bookmarkEnd w:id="1796"/>
            <w:r w:rsidRPr="00286216">
              <w:rPr>
                <w:color w:val="000000" w:themeColor="text1"/>
              </w:rPr>
              <w:t>2042.</w:t>
            </w:r>
          </w:p>
        </w:tc>
        <w:tc>
          <w:tcPr>
            <w:tcW w:w="4818" w:type="dxa"/>
          </w:tcPr>
          <w:p w14:paraId="23F37977" w14:textId="77777777" w:rsidR="00572342" w:rsidRPr="00286216" w:rsidRDefault="00572342" w:rsidP="00572342">
            <w:pPr>
              <w:pStyle w:val="StyleZakonu"/>
              <w:rPr>
                <w:color w:val="000000" w:themeColor="text1"/>
              </w:rPr>
            </w:pPr>
            <w:r w:rsidRPr="00286216">
              <w:rPr>
                <w:color w:val="000000" w:themeColor="text1"/>
              </w:rPr>
              <w:t>3) особи, відповідальні за проведення зборів, не досягли у розумний строк домовленості щодо проведення зборів власників облігацій декількох випусків.</w:t>
            </w:r>
          </w:p>
        </w:tc>
        <w:tc>
          <w:tcPr>
            <w:tcW w:w="3686" w:type="dxa"/>
          </w:tcPr>
          <w:p w14:paraId="4E87A079" w14:textId="77777777" w:rsidR="00572342" w:rsidRPr="00286216" w:rsidRDefault="00572342" w:rsidP="00572342">
            <w:pPr>
              <w:pStyle w:val="StyleProp"/>
              <w:rPr>
                <w:color w:val="000000" w:themeColor="text1"/>
                <w:szCs w:val="18"/>
              </w:rPr>
            </w:pPr>
          </w:p>
        </w:tc>
        <w:tc>
          <w:tcPr>
            <w:tcW w:w="1987" w:type="dxa"/>
          </w:tcPr>
          <w:p w14:paraId="44241E6B" w14:textId="77777777" w:rsidR="00572342" w:rsidRPr="00286216" w:rsidRDefault="00572342" w:rsidP="00572342">
            <w:pPr>
              <w:pStyle w:val="StyleWisnow"/>
              <w:rPr>
                <w:color w:val="000000" w:themeColor="text1"/>
              </w:rPr>
            </w:pPr>
          </w:p>
        </w:tc>
        <w:tc>
          <w:tcPr>
            <w:tcW w:w="4818" w:type="dxa"/>
          </w:tcPr>
          <w:p w14:paraId="38AFCE41" w14:textId="0E656AC4" w:rsidR="00572342" w:rsidRPr="00286216" w:rsidRDefault="00572342" w:rsidP="00572342">
            <w:pPr>
              <w:pStyle w:val="StyleZakonu"/>
              <w:rPr>
                <w:color w:val="000000" w:themeColor="text1"/>
              </w:rPr>
            </w:pPr>
            <w:r w:rsidRPr="00286216">
              <w:rPr>
                <w:color w:val="000000" w:themeColor="text1"/>
              </w:rPr>
              <w:t>3) особи, відповідальні за проведення зборів, не досягли у розумний строк домовленості щодо проведення зборів власників облігацій декількох випусків.</w:t>
            </w:r>
          </w:p>
        </w:tc>
      </w:tr>
      <w:tr w:rsidR="00572342" w:rsidRPr="00286216" w14:paraId="72D3CAB8" w14:textId="77777777" w:rsidTr="00091AA5">
        <w:tc>
          <w:tcPr>
            <w:tcW w:w="576" w:type="dxa"/>
          </w:tcPr>
          <w:p w14:paraId="4D2C1DAE" w14:textId="77777777" w:rsidR="00572342" w:rsidRPr="00286216" w:rsidRDefault="00572342" w:rsidP="00572342">
            <w:pPr>
              <w:pStyle w:val="StyleWisnow"/>
              <w:rPr>
                <w:color w:val="000000" w:themeColor="text1"/>
              </w:rPr>
            </w:pPr>
            <w:bookmarkStart w:id="1798" w:name="n2043" w:colFirst="0" w:colLast="0"/>
            <w:bookmarkEnd w:id="1797"/>
            <w:r w:rsidRPr="00286216">
              <w:rPr>
                <w:color w:val="000000" w:themeColor="text1"/>
              </w:rPr>
              <w:t>2043.</w:t>
            </w:r>
          </w:p>
        </w:tc>
        <w:tc>
          <w:tcPr>
            <w:tcW w:w="4818" w:type="dxa"/>
          </w:tcPr>
          <w:p w14:paraId="307B8629" w14:textId="77777777" w:rsidR="00572342" w:rsidRPr="00286216" w:rsidRDefault="00572342" w:rsidP="00572342">
            <w:pPr>
              <w:pStyle w:val="StyleZakonu"/>
              <w:rPr>
                <w:color w:val="000000" w:themeColor="text1"/>
              </w:rPr>
            </w:pPr>
            <w:r w:rsidRPr="00286216">
              <w:rPr>
                <w:color w:val="000000" w:themeColor="text1"/>
              </w:rPr>
              <w:t>У таких випадках особою, відповідальною за проведення зборів, є відповідно Центральний депозитарій цінних паперів або Національний банк України, до якого звернулася особа, яка має право ініціювати проведення зборів. Проведення зборів, підбиття підсумків голосування на них, оформлення та опублікування протоколу здійснюється відповідно Центральним депозитарієм цінних паперів або Національним банком України у порядку, визначеному законодавством.</w:t>
            </w:r>
          </w:p>
        </w:tc>
        <w:tc>
          <w:tcPr>
            <w:tcW w:w="3686" w:type="dxa"/>
          </w:tcPr>
          <w:p w14:paraId="3DD8ADB6" w14:textId="227F8960" w:rsidR="00572342" w:rsidRPr="00286216" w:rsidRDefault="00572342" w:rsidP="00572342">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1025</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2195E9EC" w14:textId="7A7D4DFB" w:rsidR="00572342" w:rsidRPr="00286216" w:rsidRDefault="00572342" w:rsidP="00572342">
            <w:pPr>
              <w:pStyle w:val="StyleProp"/>
              <w:spacing w:line="180" w:lineRule="exact"/>
              <w:rPr>
                <w:color w:val="000000" w:themeColor="text1"/>
                <w:szCs w:val="18"/>
              </w:rPr>
            </w:pPr>
            <w:r w:rsidRPr="00286216">
              <w:rPr>
                <w:color w:val="000000" w:themeColor="text1"/>
                <w:szCs w:val="18"/>
              </w:rPr>
              <w:t>Останній абзац частини 3 статті 119 викласти у такій редакції:</w:t>
            </w:r>
          </w:p>
          <w:p w14:paraId="0DD6A698" w14:textId="5DCACBFC" w:rsidR="00572342" w:rsidRPr="00286216" w:rsidRDefault="00572342" w:rsidP="00572342">
            <w:pPr>
              <w:pStyle w:val="StyleProp"/>
              <w:spacing w:line="180" w:lineRule="exact"/>
              <w:rPr>
                <w:color w:val="000000" w:themeColor="text1"/>
                <w:szCs w:val="18"/>
              </w:rPr>
            </w:pPr>
            <w:r w:rsidRPr="00286216">
              <w:rPr>
                <w:color w:val="000000" w:themeColor="text1"/>
              </w:rPr>
              <w:t>"У разі звернення особи, яка має право ініціювати проведення зборів власників облігацій, до Центрального депозитарію цінних паперів, він є особою, відповідальною за проведення зборів власників облігацій, та здійснює проведення таких зборів, підбиття підсумків голосування на них, оформлення та опублікування протоколу в порядку, встановленому законодавством".</w:t>
            </w:r>
          </w:p>
        </w:tc>
        <w:tc>
          <w:tcPr>
            <w:tcW w:w="1987" w:type="dxa"/>
          </w:tcPr>
          <w:p w14:paraId="07D5B991" w14:textId="77777777" w:rsidR="00572342" w:rsidRPr="00286216" w:rsidRDefault="00572342" w:rsidP="00572342">
            <w:pPr>
              <w:pStyle w:val="StyleWisnow"/>
              <w:spacing w:line="180" w:lineRule="exact"/>
              <w:rPr>
                <w:color w:val="000000" w:themeColor="text1"/>
              </w:rPr>
            </w:pPr>
            <w:r w:rsidRPr="00286216">
              <w:rPr>
                <w:color w:val="000000" w:themeColor="text1"/>
              </w:rPr>
              <w:t>Враховано</w:t>
            </w:r>
          </w:p>
          <w:p w14:paraId="7EC1C492" w14:textId="2D3CA63A" w:rsidR="00572342" w:rsidRPr="00286216" w:rsidRDefault="00572342" w:rsidP="00572342">
            <w:pPr>
              <w:pStyle w:val="StyleWisnow"/>
              <w:spacing w:line="18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муніціпальних облігацій</w:t>
            </w:r>
          </w:p>
        </w:tc>
        <w:tc>
          <w:tcPr>
            <w:tcW w:w="4818" w:type="dxa"/>
          </w:tcPr>
          <w:p w14:paraId="6A9F0D72" w14:textId="7A8D8DEC" w:rsidR="00572342" w:rsidRPr="00286216" w:rsidRDefault="00572342" w:rsidP="00572342">
            <w:pPr>
              <w:pStyle w:val="StyleZakonu"/>
              <w:rPr>
                <w:color w:val="000000" w:themeColor="text1"/>
              </w:rPr>
            </w:pPr>
            <w:r w:rsidRPr="00286216">
              <w:rPr>
                <w:color w:val="000000" w:themeColor="text1"/>
              </w:rPr>
              <w:t>У разі звернення особи, яка має право ініціювати проведення зборів власників облігацій, до Центрального депозитарію цінних паперів, він є особою, відповідальною за проведення зборів власників облігацій, та здійснює проведення таких зборів, підбиття підсумків голосування на них, оформлення та опублікування протоколу в порядку, встановленому законодавством.</w:t>
            </w:r>
          </w:p>
        </w:tc>
      </w:tr>
      <w:tr w:rsidR="00572342" w:rsidRPr="00286216" w14:paraId="47833C62" w14:textId="77777777" w:rsidTr="00091AA5">
        <w:tc>
          <w:tcPr>
            <w:tcW w:w="576" w:type="dxa"/>
          </w:tcPr>
          <w:p w14:paraId="4214DBCC" w14:textId="77777777" w:rsidR="00572342" w:rsidRPr="00286216" w:rsidRDefault="00572342" w:rsidP="00572342">
            <w:pPr>
              <w:pStyle w:val="StyleWisnow"/>
              <w:rPr>
                <w:color w:val="000000" w:themeColor="text1"/>
              </w:rPr>
            </w:pPr>
            <w:bookmarkStart w:id="1799" w:name="n2044" w:colFirst="0" w:colLast="0"/>
            <w:bookmarkEnd w:id="1798"/>
            <w:r w:rsidRPr="00286216">
              <w:rPr>
                <w:color w:val="000000" w:themeColor="text1"/>
              </w:rPr>
              <w:t>2044.</w:t>
            </w:r>
          </w:p>
        </w:tc>
        <w:tc>
          <w:tcPr>
            <w:tcW w:w="4818" w:type="dxa"/>
          </w:tcPr>
          <w:p w14:paraId="3540EAC4" w14:textId="77777777" w:rsidR="00572342" w:rsidRPr="00286216" w:rsidRDefault="00572342" w:rsidP="00572342">
            <w:pPr>
              <w:pStyle w:val="StyleZakonu"/>
              <w:rPr>
                <w:color w:val="000000" w:themeColor="text1"/>
              </w:rPr>
            </w:pPr>
            <w:r w:rsidRPr="00286216">
              <w:rPr>
                <w:color w:val="000000" w:themeColor="text1"/>
              </w:rPr>
              <w:t>4. Національна комісія з цінних паперів та фондового ринку може встановлювати вимоги до порядку надання послуг особою, відповідальною за проведення зборів власників облігацій.</w:t>
            </w:r>
          </w:p>
        </w:tc>
        <w:tc>
          <w:tcPr>
            <w:tcW w:w="3686" w:type="dxa"/>
          </w:tcPr>
          <w:p w14:paraId="167B29E3" w14:textId="77777777" w:rsidR="00572342" w:rsidRPr="00286216" w:rsidRDefault="00572342" w:rsidP="00572342">
            <w:pPr>
              <w:pStyle w:val="StyleProp"/>
              <w:rPr>
                <w:color w:val="000000" w:themeColor="text1"/>
                <w:szCs w:val="18"/>
              </w:rPr>
            </w:pPr>
          </w:p>
        </w:tc>
        <w:tc>
          <w:tcPr>
            <w:tcW w:w="1987" w:type="dxa"/>
          </w:tcPr>
          <w:p w14:paraId="0E02A449" w14:textId="77777777" w:rsidR="00572342" w:rsidRPr="00286216" w:rsidRDefault="00572342" w:rsidP="00572342">
            <w:pPr>
              <w:pStyle w:val="StyleWisnow"/>
              <w:rPr>
                <w:color w:val="000000" w:themeColor="text1"/>
              </w:rPr>
            </w:pPr>
          </w:p>
        </w:tc>
        <w:tc>
          <w:tcPr>
            <w:tcW w:w="4818" w:type="dxa"/>
          </w:tcPr>
          <w:p w14:paraId="16654E8D" w14:textId="17D2DB3E" w:rsidR="00572342" w:rsidRPr="00286216" w:rsidRDefault="00572342" w:rsidP="00572342">
            <w:pPr>
              <w:pStyle w:val="StyleZakonu"/>
              <w:rPr>
                <w:color w:val="000000" w:themeColor="text1"/>
              </w:rPr>
            </w:pPr>
            <w:r w:rsidRPr="00286216">
              <w:rPr>
                <w:color w:val="000000" w:themeColor="text1"/>
              </w:rPr>
              <w:t>4. Національна комісія з цінних паперів та фондового ринку може встановлювати вимоги до порядку надання послуг особою, відповідальною за проведення зборів власників облігацій.</w:t>
            </w:r>
          </w:p>
        </w:tc>
      </w:tr>
      <w:tr w:rsidR="00D836EB" w:rsidRPr="00286216" w14:paraId="0E6E7F4A" w14:textId="77777777" w:rsidTr="00091AA5">
        <w:tc>
          <w:tcPr>
            <w:tcW w:w="576" w:type="dxa"/>
          </w:tcPr>
          <w:p w14:paraId="10B0482E" w14:textId="77777777" w:rsidR="00D836EB" w:rsidRPr="00286216" w:rsidRDefault="00D836EB" w:rsidP="00D836EB">
            <w:pPr>
              <w:pStyle w:val="StyleWisnow"/>
              <w:rPr>
                <w:color w:val="000000" w:themeColor="text1"/>
              </w:rPr>
            </w:pPr>
            <w:bookmarkStart w:id="1800" w:name="n2045" w:colFirst="0" w:colLast="0"/>
            <w:bookmarkEnd w:id="1799"/>
            <w:r w:rsidRPr="00286216">
              <w:rPr>
                <w:color w:val="000000" w:themeColor="text1"/>
              </w:rPr>
              <w:t>2045.</w:t>
            </w:r>
          </w:p>
        </w:tc>
        <w:tc>
          <w:tcPr>
            <w:tcW w:w="4818" w:type="dxa"/>
          </w:tcPr>
          <w:p w14:paraId="55CDD89D" w14:textId="77777777" w:rsidR="00D836EB" w:rsidRPr="00286216" w:rsidRDefault="00D836EB" w:rsidP="00D836EB">
            <w:pPr>
              <w:pStyle w:val="StyleZakonu"/>
              <w:spacing w:after="0"/>
              <w:ind w:firstLine="0"/>
              <w:jc w:val="center"/>
              <w:rPr>
                <w:color w:val="000000" w:themeColor="text1"/>
              </w:rPr>
            </w:pPr>
            <w:r w:rsidRPr="00286216">
              <w:rPr>
                <w:color w:val="000000" w:themeColor="text1"/>
              </w:rPr>
              <w:t>Розділ VIІІ</w:t>
            </w:r>
          </w:p>
          <w:p w14:paraId="54FBD8F3" w14:textId="77777777" w:rsidR="00D836EB" w:rsidRPr="00286216" w:rsidRDefault="00D836EB" w:rsidP="00D836EB">
            <w:pPr>
              <w:pStyle w:val="StyleZakonu"/>
              <w:ind w:firstLine="0"/>
              <w:jc w:val="center"/>
              <w:rPr>
                <w:color w:val="000000" w:themeColor="text1"/>
                <w:spacing w:val="-4"/>
              </w:rPr>
            </w:pPr>
            <w:r w:rsidRPr="00286216">
              <w:rPr>
                <w:color w:val="000000" w:themeColor="text1"/>
                <w:spacing w:val="-4"/>
              </w:rPr>
              <w:t>РОЗКРИТТЯ ІНФОРМАЦІЇ НА РИНКАХ КАПІТАЛУ ТА ОРГАНІЗОВАНИХ ТОВАРНИХ РИНКАХ</w:t>
            </w:r>
          </w:p>
        </w:tc>
        <w:tc>
          <w:tcPr>
            <w:tcW w:w="3686" w:type="dxa"/>
          </w:tcPr>
          <w:p w14:paraId="5CBEBAEB" w14:textId="77777777" w:rsidR="00D836EB" w:rsidRPr="00286216" w:rsidRDefault="00D836EB" w:rsidP="00D836EB">
            <w:pPr>
              <w:pStyle w:val="StyleProp"/>
              <w:rPr>
                <w:color w:val="000000" w:themeColor="text1"/>
                <w:szCs w:val="18"/>
              </w:rPr>
            </w:pPr>
          </w:p>
        </w:tc>
        <w:tc>
          <w:tcPr>
            <w:tcW w:w="1987" w:type="dxa"/>
          </w:tcPr>
          <w:p w14:paraId="1C159EA4" w14:textId="77777777" w:rsidR="00D836EB" w:rsidRPr="00286216" w:rsidRDefault="00D836EB" w:rsidP="00D836EB">
            <w:pPr>
              <w:pStyle w:val="StyleWisnow"/>
              <w:rPr>
                <w:color w:val="000000" w:themeColor="text1"/>
              </w:rPr>
            </w:pPr>
          </w:p>
        </w:tc>
        <w:tc>
          <w:tcPr>
            <w:tcW w:w="4818" w:type="dxa"/>
          </w:tcPr>
          <w:p w14:paraId="7E484E01" w14:textId="77777777" w:rsidR="00D836EB" w:rsidRPr="00286216" w:rsidRDefault="00D836EB" w:rsidP="00D836EB">
            <w:pPr>
              <w:pStyle w:val="StyleZakonu"/>
              <w:spacing w:after="0"/>
              <w:ind w:firstLine="0"/>
              <w:jc w:val="center"/>
              <w:rPr>
                <w:color w:val="000000" w:themeColor="text1"/>
              </w:rPr>
            </w:pPr>
            <w:r w:rsidRPr="00286216">
              <w:rPr>
                <w:color w:val="000000" w:themeColor="text1"/>
              </w:rPr>
              <w:t xml:space="preserve">Розділ </w:t>
            </w:r>
            <w:r w:rsidRPr="00286216">
              <w:rPr>
                <w:color w:val="000000" w:themeColor="text1"/>
                <w:lang w:val="en-US"/>
              </w:rPr>
              <w:t>IX</w:t>
            </w:r>
          </w:p>
          <w:p w14:paraId="68D354F1" w14:textId="36E568A3" w:rsidR="00D836EB" w:rsidRPr="00286216" w:rsidRDefault="00D836EB" w:rsidP="00D836EB">
            <w:pPr>
              <w:pStyle w:val="StyleZakonu"/>
              <w:ind w:firstLine="0"/>
              <w:jc w:val="center"/>
              <w:rPr>
                <w:color w:val="000000" w:themeColor="text1"/>
                <w:spacing w:val="-4"/>
              </w:rPr>
            </w:pPr>
            <w:r w:rsidRPr="00286216">
              <w:rPr>
                <w:color w:val="000000" w:themeColor="text1"/>
                <w:spacing w:val="-4"/>
              </w:rPr>
              <w:t>РОЗКРИТТЯ ІНФОРМАЦІЇ НА РИНКАХ КАПІТАЛУ ТА ОРГАНІЗОВАНИХ ТОВАРНИХ РИНКАХ</w:t>
            </w:r>
          </w:p>
        </w:tc>
      </w:tr>
      <w:tr w:rsidR="00D836EB" w:rsidRPr="00286216" w14:paraId="240C3CEA" w14:textId="77777777" w:rsidTr="00091AA5">
        <w:tc>
          <w:tcPr>
            <w:tcW w:w="576" w:type="dxa"/>
          </w:tcPr>
          <w:p w14:paraId="4015F646" w14:textId="77777777" w:rsidR="00D836EB" w:rsidRPr="00286216" w:rsidRDefault="00D836EB" w:rsidP="00D836EB">
            <w:pPr>
              <w:pStyle w:val="StyleWisnow"/>
              <w:rPr>
                <w:color w:val="000000" w:themeColor="text1"/>
              </w:rPr>
            </w:pPr>
            <w:bookmarkStart w:id="1801" w:name="n2046" w:colFirst="0" w:colLast="0"/>
            <w:bookmarkEnd w:id="1800"/>
            <w:r w:rsidRPr="00286216">
              <w:rPr>
                <w:color w:val="000000" w:themeColor="text1"/>
              </w:rPr>
              <w:t>2046.</w:t>
            </w:r>
          </w:p>
        </w:tc>
        <w:tc>
          <w:tcPr>
            <w:tcW w:w="4818" w:type="dxa"/>
          </w:tcPr>
          <w:p w14:paraId="2595C4B5" w14:textId="77777777" w:rsidR="00D836EB" w:rsidRPr="00286216" w:rsidRDefault="00D836EB" w:rsidP="00D836EB">
            <w:pPr>
              <w:pStyle w:val="StyleZakonu"/>
              <w:rPr>
                <w:color w:val="000000" w:themeColor="text1"/>
              </w:rPr>
            </w:pPr>
            <w:r w:rsidRPr="00286216">
              <w:rPr>
                <w:color w:val="000000" w:themeColor="text1"/>
              </w:rPr>
              <w:t>Стаття 120. Розкриття регульованої інформації</w:t>
            </w:r>
          </w:p>
        </w:tc>
        <w:tc>
          <w:tcPr>
            <w:tcW w:w="3686" w:type="dxa"/>
          </w:tcPr>
          <w:p w14:paraId="7DA80F18" w14:textId="77777777" w:rsidR="00D836EB" w:rsidRPr="00286216" w:rsidRDefault="00D836EB" w:rsidP="00D836EB">
            <w:pPr>
              <w:pStyle w:val="StyleProp"/>
              <w:rPr>
                <w:color w:val="000000" w:themeColor="text1"/>
                <w:szCs w:val="18"/>
              </w:rPr>
            </w:pPr>
          </w:p>
        </w:tc>
        <w:tc>
          <w:tcPr>
            <w:tcW w:w="1987" w:type="dxa"/>
          </w:tcPr>
          <w:p w14:paraId="33580687" w14:textId="77777777" w:rsidR="00D836EB" w:rsidRPr="00286216" w:rsidRDefault="00D836EB" w:rsidP="00D836EB">
            <w:pPr>
              <w:pStyle w:val="StyleWisnow"/>
              <w:rPr>
                <w:color w:val="000000" w:themeColor="text1"/>
              </w:rPr>
            </w:pPr>
          </w:p>
        </w:tc>
        <w:tc>
          <w:tcPr>
            <w:tcW w:w="4818" w:type="dxa"/>
          </w:tcPr>
          <w:p w14:paraId="52FF37CB" w14:textId="0D0240AE" w:rsidR="00D836EB" w:rsidRPr="00286216" w:rsidRDefault="00D836EB" w:rsidP="00D836EB">
            <w:pPr>
              <w:pStyle w:val="StyleZakonu"/>
              <w:rPr>
                <w:color w:val="000000" w:themeColor="text1"/>
              </w:rPr>
            </w:pPr>
            <w:r w:rsidRPr="00286216">
              <w:rPr>
                <w:color w:val="000000" w:themeColor="text1"/>
              </w:rPr>
              <w:t>Стаття 124. Розкриття регульованої інформації</w:t>
            </w:r>
          </w:p>
        </w:tc>
      </w:tr>
      <w:tr w:rsidR="00D836EB" w:rsidRPr="00286216" w14:paraId="64F8E16E" w14:textId="77777777" w:rsidTr="00091AA5">
        <w:tc>
          <w:tcPr>
            <w:tcW w:w="576" w:type="dxa"/>
          </w:tcPr>
          <w:p w14:paraId="0489B281" w14:textId="77777777" w:rsidR="00D836EB" w:rsidRPr="00286216" w:rsidRDefault="00D836EB" w:rsidP="00D836EB">
            <w:pPr>
              <w:pStyle w:val="StyleWisnow"/>
              <w:rPr>
                <w:color w:val="000000" w:themeColor="text1"/>
              </w:rPr>
            </w:pPr>
            <w:bookmarkStart w:id="1802" w:name="n2047" w:colFirst="0" w:colLast="0"/>
            <w:bookmarkEnd w:id="1801"/>
            <w:r w:rsidRPr="00286216">
              <w:rPr>
                <w:color w:val="000000" w:themeColor="text1"/>
              </w:rPr>
              <w:t>2047.</w:t>
            </w:r>
          </w:p>
        </w:tc>
        <w:tc>
          <w:tcPr>
            <w:tcW w:w="4818" w:type="dxa"/>
          </w:tcPr>
          <w:p w14:paraId="3191BC02" w14:textId="77777777" w:rsidR="00D836EB" w:rsidRPr="00286216" w:rsidRDefault="00D836EB" w:rsidP="00D836EB">
            <w:pPr>
              <w:pStyle w:val="StyleZakonu"/>
              <w:rPr>
                <w:color w:val="000000" w:themeColor="text1"/>
              </w:rPr>
            </w:pPr>
            <w:r w:rsidRPr="00286216">
              <w:rPr>
                <w:color w:val="000000" w:themeColor="text1"/>
              </w:rPr>
              <w:t xml:space="preserve">1. Регульована інформація розкривається у встановленому Національною комісією з цінних паперів та фондового ринку порядку шляхом її </w:t>
            </w:r>
            <w:r w:rsidRPr="00286216">
              <w:rPr>
                <w:color w:val="000000" w:themeColor="text1"/>
              </w:rPr>
              <w:lastRenderedPageBreak/>
              <w:t>розміщення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крім випадку, встановленого частиною четвертою цієї статті.</w:t>
            </w:r>
          </w:p>
        </w:tc>
        <w:tc>
          <w:tcPr>
            <w:tcW w:w="3686" w:type="dxa"/>
          </w:tcPr>
          <w:p w14:paraId="3EE65498" w14:textId="6E492B32" w:rsidR="00D836EB" w:rsidRPr="00286216" w:rsidRDefault="00D836EB" w:rsidP="00D836EB">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1026</w:t>
            </w:r>
            <w:r w:rsidRPr="00286216">
              <w:rPr>
                <w:color w:val="000000" w:themeColor="text1"/>
                <w:spacing w:val="-8"/>
                <w:szCs w:val="18"/>
              </w:rPr>
              <w:fldChar w:fldCharType="end"/>
            </w:r>
            <w:r w:rsidRPr="00286216">
              <w:rPr>
                <w:color w:val="000000" w:themeColor="text1"/>
                <w:spacing w:val="-8"/>
                <w:szCs w:val="18"/>
              </w:rPr>
              <w:t>-Н.д.</w:t>
            </w:r>
            <w:r w:rsidRPr="00286216">
              <w:rPr>
                <w:color w:val="000000" w:themeColor="text1"/>
                <w:spacing w:val="-8"/>
              </w:rPr>
              <w:t>Ніколаєнко</w:t>
            </w:r>
            <w:r w:rsidRPr="00286216">
              <w:rPr>
                <w:color w:val="000000" w:themeColor="text1"/>
                <w:spacing w:val="-8"/>
                <w:szCs w:val="18"/>
              </w:rPr>
              <w:t xml:space="preserve"> А.І. (Реєстр.картка №405)</w:t>
            </w:r>
          </w:p>
          <w:p w14:paraId="25482A14"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 xml:space="preserve">В абзаці першому частини першої статті 120 Закону слова "або у базі даних іншої особи, яка провадить діяльність із </w:t>
            </w:r>
            <w:r w:rsidRPr="00286216">
              <w:rPr>
                <w:color w:val="000000" w:themeColor="text1"/>
                <w:szCs w:val="18"/>
              </w:rPr>
              <w:lastRenderedPageBreak/>
              <w:t>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крім випадку, встановленого частиною четвертою цієї статті" виключити.</w:t>
            </w:r>
          </w:p>
          <w:p w14:paraId="16457B2D" w14:textId="2971AF0A" w:rsidR="00D836EB" w:rsidRPr="00286216" w:rsidRDefault="00D836EB" w:rsidP="00D836EB">
            <w:pPr>
              <w:pStyle w:val="StyleAwt"/>
              <w:rPr>
                <w:color w:val="000000" w:themeColor="text1"/>
                <w:spacing w:val="-6"/>
              </w:rPr>
            </w:pPr>
            <w:r w:rsidRPr="00286216">
              <w:rPr>
                <w:color w:val="000000" w:themeColor="text1"/>
                <w:spacing w:val="-6"/>
              </w:rPr>
              <w:t>-</w:t>
            </w:r>
            <w:r w:rsidRPr="00286216">
              <w:rPr>
                <w:color w:val="000000" w:themeColor="text1"/>
                <w:spacing w:val="-6"/>
              </w:rPr>
              <w:fldChar w:fldCharType="begin"/>
            </w:r>
            <w:r w:rsidRPr="00286216">
              <w:rPr>
                <w:color w:val="000000" w:themeColor="text1"/>
                <w:spacing w:val="-6"/>
              </w:rPr>
              <w:instrText xml:space="preserve"> SEQ aa </w:instrText>
            </w:r>
            <w:r w:rsidRPr="00286216">
              <w:rPr>
                <w:color w:val="000000" w:themeColor="text1"/>
                <w:spacing w:val="-6"/>
              </w:rPr>
              <w:fldChar w:fldCharType="separate"/>
            </w:r>
            <w:r w:rsidR="00C46B29">
              <w:rPr>
                <w:noProof/>
                <w:color w:val="000000" w:themeColor="text1"/>
                <w:spacing w:val="-6"/>
              </w:rPr>
              <w:t>1027</w:t>
            </w:r>
            <w:r w:rsidRPr="00286216">
              <w:rPr>
                <w:color w:val="000000" w:themeColor="text1"/>
                <w:spacing w:val="-6"/>
              </w:rPr>
              <w:fldChar w:fldCharType="end"/>
            </w:r>
            <w:r w:rsidRPr="00286216">
              <w:rPr>
                <w:color w:val="000000" w:themeColor="text1"/>
                <w:spacing w:val="-6"/>
              </w:rPr>
              <w:t>-Н.д.Бєлькова О.В. (Реєстр.картка №403)</w:t>
            </w:r>
          </w:p>
          <w:p w14:paraId="2C746F54"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09DFAA7B" w14:textId="77777777" w:rsidR="00D836EB" w:rsidRPr="00286216" w:rsidRDefault="00D836EB" w:rsidP="00D836EB">
            <w:pPr>
              <w:pStyle w:val="StyleWisnow"/>
              <w:rPr>
                <w:color w:val="000000" w:themeColor="text1"/>
              </w:rPr>
            </w:pPr>
            <w:r w:rsidRPr="00286216">
              <w:rPr>
                <w:color w:val="000000" w:themeColor="text1"/>
              </w:rPr>
              <w:lastRenderedPageBreak/>
              <w:t>Враховано по суті</w:t>
            </w:r>
          </w:p>
          <w:p w14:paraId="649BF6AA" w14:textId="77777777" w:rsidR="00D836EB" w:rsidRPr="00286216" w:rsidRDefault="00D836EB" w:rsidP="00D836EB">
            <w:pPr>
              <w:pStyle w:val="StyleWisnow"/>
              <w:rPr>
                <w:color w:val="000000" w:themeColor="text1"/>
              </w:rPr>
            </w:pPr>
          </w:p>
          <w:p w14:paraId="4E52CA9F" w14:textId="77777777" w:rsidR="00D836EB" w:rsidRPr="00286216" w:rsidRDefault="00D836EB" w:rsidP="00D836EB">
            <w:pPr>
              <w:pStyle w:val="StyleWisnow"/>
              <w:rPr>
                <w:color w:val="000000" w:themeColor="text1"/>
              </w:rPr>
            </w:pPr>
          </w:p>
          <w:p w14:paraId="5934210F" w14:textId="77777777" w:rsidR="00D836EB" w:rsidRPr="00286216" w:rsidRDefault="00D836EB" w:rsidP="00D836EB">
            <w:pPr>
              <w:pStyle w:val="StyleWisnow"/>
              <w:rPr>
                <w:color w:val="000000" w:themeColor="text1"/>
              </w:rPr>
            </w:pPr>
          </w:p>
          <w:p w14:paraId="3FE51A7C" w14:textId="77777777" w:rsidR="00D836EB" w:rsidRPr="00286216" w:rsidRDefault="00D836EB" w:rsidP="00D836EB">
            <w:pPr>
              <w:pStyle w:val="StyleWisnow"/>
              <w:rPr>
                <w:color w:val="000000" w:themeColor="text1"/>
              </w:rPr>
            </w:pPr>
          </w:p>
          <w:p w14:paraId="5335DF50" w14:textId="77777777" w:rsidR="00D836EB" w:rsidRPr="00286216" w:rsidRDefault="00D836EB" w:rsidP="00D836EB">
            <w:pPr>
              <w:pStyle w:val="StyleWisnow"/>
              <w:rPr>
                <w:color w:val="000000" w:themeColor="text1"/>
              </w:rPr>
            </w:pPr>
          </w:p>
          <w:p w14:paraId="54C4D8DA" w14:textId="77777777" w:rsidR="00D836EB" w:rsidRPr="00286216" w:rsidRDefault="00D836EB" w:rsidP="00D836EB">
            <w:pPr>
              <w:pStyle w:val="StyleWisnow"/>
              <w:rPr>
                <w:color w:val="000000" w:themeColor="text1"/>
              </w:rPr>
            </w:pPr>
          </w:p>
          <w:p w14:paraId="1EC00667" w14:textId="77777777" w:rsidR="00D836EB" w:rsidRPr="00286216" w:rsidRDefault="00D836EB" w:rsidP="00D836EB">
            <w:pPr>
              <w:pStyle w:val="StyleWisnow"/>
              <w:rPr>
                <w:color w:val="000000" w:themeColor="text1"/>
              </w:rPr>
            </w:pPr>
          </w:p>
          <w:p w14:paraId="47C263C7" w14:textId="77777777" w:rsidR="00D836EB" w:rsidRPr="00286216" w:rsidRDefault="00D836EB" w:rsidP="00D836EB">
            <w:pPr>
              <w:pStyle w:val="StyleWisnow"/>
              <w:rPr>
                <w:color w:val="000000" w:themeColor="text1"/>
              </w:rPr>
            </w:pPr>
          </w:p>
          <w:p w14:paraId="3409AB2C"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71F87DA4" w14:textId="5999E020" w:rsidR="00D836EB" w:rsidRPr="00286216" w:rsidRDefault="00D836EB" w:rsidP="00D836EB">
            <w:pPr>
              <w:pStyle w:val="StyleZakonu"/>
              <w:rPr>
                <w:color w:val="000000" w:themeColor="text1"/>
              </w:rPr>
            </w:pPr>
            <w:r w:rsidRPr="00286216">
              <w:rPr>
                <w:color w:val="000000" w:themeColor="text1"/>
              </w:rPr>
              <w:lastRenderedPageBreak/>
              <w:t xml:space="preserve">1. Регульована інформація розкривається у встановленому Національною комісією з цінних паперів та фондового ринку порядку шляхом її </w:t>
            </w:r>
            <w:r w:rsidRPr="00286216">
              <w:rPr>
                <w:color w:val="000000" w:themeColor="text1"/>
              </w:rPr>
              <w:lastRenderedPageBreak/>
              <w:t xml:space="preserve">розміщення в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крім випадку, передбаченого частиною четвертою цієї статті.</w:t>
            </w:r>
          </w:p>
        </w:tc>
      </w:tr>
      <w:bookmarkEnd w:id="1802"/>
      <w:tr w:rsidR="00D836EB" w:rsidRPr="00286216" w14:paraId="552E9530" w14:textId="77777777" w:rsidTr="00091AA5">
        <w:tc>
          <w:tcPr>
            <w:tcW w:w="576" w:type="dxa"/>
          </w:tcPr>
          <w:p w14:paraId="3AED25AF" w14:textId="77777777" w:rsidR="00D836EB" w:rsidRPr="00286216" w:rsidRDefault="00D836EB" w:rsidP="00D836EB">
            <w:pPr>
              <w:pStyle w:val="StyleWisnow"/>
              <w:rPr>
                <w:color w:val="000000" w:themeColor="text1"/>
              </w:rPr>
            </w:pPr>
          </w:p>
        </w:tc>
        <w:tc>
          <w:tcPr>
            <w:tcW w:w="4818" w:type="dxa"/>
          </w:tcPr>
          <w:p w14:paraId="36CB738E" w14:textId="77777777" w:rsidR="00D836EB" w:rsidRPr="00286216" w:rsidRDefault="00D836EB" w:rsidP="00D836EB">
            <w:pPr>
              <w:pStyle w:val="StyleZakonu"/>
              <w:rPr>
                <w:color w:val="000000" w:themeColor="text1"/>
              </w:rPr>
            </w:pPr>
          </w:p>
        </w:tc>
        <w:tc>
          <w:tcPr>
            <w:tcW w:w="3686" w:type="dxa"/>
          </w:tcPr>
          <w:p w14:paraId="361CE547" w14:textId="2CCF13B9"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1028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D94B4B4"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У частині першій статті 120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1CE5240D" w14:textId="77777777" w:rsidR="00D836EB" w:rsidRPr="00286216" w:rsidRDefault="00D836EB" w:rsidP="00D836EB">
            <w:pPr>
              <w:pStyle w:val="StyleWisnow"/>
              <w:rPr>
                <w:color w:val="000000" w:themeColor="text1"/>
              </w:rPr>
            </w:pPr>
            <w:r w:rsidRPr="00286216">
              <w:rPr>
                <w:color w:val="000000" w:themeColor="text1"/>
              </w:rPr>
              <w:t>Враховано по суті</w:t>
            </w:r>
          </w:p>
        </w:tc>
        <w:tc>
          <w:tcPr>
            <w:tcW w:w="4818" w:type="dxa"/>
          </w:tcPr>
          <w:p w14:paraId="1DA4C537" w14:textId="77777777" w:rsidR="00D836EB" w:rsidRPr="00286216" w:rsidRDefault="00D836EB" w:rsidP="00D836EB">
            <w:pPr>
              <w:pStyle w:val="StyleZakonu"/>
              <w:rPr>
                <w:color w:val="000000" w:themeColor="text1"/>
              </w:rPr>
            </w:pPr>
          </w:p>
        </w:tc>
      </w:tr>
      <w:tr w:rsidR="00D836EB" w:rsidRPr="00286216" w14:paraId="57293472" w14:textId="77777777" w:rsidTr="00091AA5">
        <w:tc>
          <w:tcPr>
            <w:tcW w:w="576" w:type="dxa"/>
          </w:tcPr>
          <w:p w14:paraId="771E33D7" w14:textId="77777777" w:rsidR="00D836EB" w:rsidRPr="00286216" w:rsidRDefault="00D836EB" w:rsidP="00D836EB">
            <w:pPr>
              <w:pStyle w:val="StyleWisnow"/>
              <w:rPr>
                <w:color w:val="000000" w:themeColor="text1"/>
              </w:rPr>
            </w:pPr>
          </w:p>
        </w:tc>
        <w:tc>
          <w:tcPr>
            <w:tcW w:w="4818" w:type="dxa"/>
          </w:tcPr>
          <w:p w14:paraId="5CB7C467" w14:textId="77777777" w:rsidR="00D836EB" w:rsidRPr="00286216" w:rsidRDefault="00D836EB" w:rsidP="00D836EB">
            <w:pPr>
              <w:pStyle w:val="StyleZakonu"/>
              <w:rPr>
                <w:color w:val="000000" w:themeColor="text1"/>
              </w:rPr>
            </w:pPr>
          </w:p>
        </w:tc>
        <w:tc>
          <w:tcPr>
            <w:tcW w:w="3686" w:type="dxa"/>
          </w:tcPr>
          <w:p w14:paraId="10F682A8" w14:textId="38B70D00" w:rsidR="00D836EB" w:rsidRPr="00286216" w:rsidRDefault="00D836EB" w:rsidP="00D836E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1029</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BFF1556"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Частину першу статті 120 Закону доповнити абзацом такого змісту:</w:t>
            </w:r>
          </w:p>
          <w:p w14:paraId="63E267D2"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зобов’язана самостійно забезпечити існування та функціонування щонайменше однієї системи, яка б створювала умови для безпосереднього, прямого розкриття регульованої інформації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та подання її до Національної комісії з цінних паперів та фондового ринку".</w:t>
            </w:r>
          </w:p>
        </w:tc>
        <w:tc>
          <w:tcPr>
            <w:tcW w:w="1987" w:type="dxa"/>
          </w:tcPr>
          <w:p w14:paraId="5AB871D0" w14:textId="61762890" w:rsidR="00D836EB" w:rsidRPr="00286216" w:rsidRDefault="00D836EB" w:rsidP="00D836EB">
            <w:pPr>
              <w:pStyle w:val="StyleWisnow"/>
              <w:rPr>
                <w:color w:val="000000" w:themeColor="text1"/>
              </w:rPr>
            </w:pPr>
            <w:r w:rsidRPr="00286216">
              <w:rPr>
                <w:color w:val="000000" w:themeColor="text1"/>
              </w:rPr>
              <w:t>Враховано редакційно</w:t>
            </w:r>
          </w:p>
          <w:p w14:paraId="7FB5CC7C" w14:textId="37F84828" w:rsidR="00D836EB" w:rsidRPr="00286216" w:rsidRDefault="00D836EB" w:rsidP="00D836EB">
            <w:pPr>
              <w:pStyle w:val="StyleWisnow"/>
              <w:rPr>
                <w:color w:val="000000" w:themeColor="text1"/>
              </w:rPr>
            </w:pPr>
            <w:r w:rsidRPr="00286216">
              <w:rPr>
                <w:color w:val="000000" w:themeColor="text1"/>
              </w:rPr>
              <w:t>у частині 2 цієї статті</w:t>
            </w:r>
          </w:p>
        </w:tc>
        <w:tc>
          <w:tcPr>
            <w:tcW w:w="4818" w:type="dxa"/>
          </w:tcPr>
          <w:p w14:paraId="7C72B225" w14:textId="31159EC7" w:rsidR="00D836EB" w:rsidRPr="00286216" w:rsidRDefault="00D836EB" w:rsidP="00D836EB">
            <w:pPr>
              <w:pStyle w:val="StyleZakonu"/>
              <w:rPr>
                <w:color w:val="000000" w:themeColor="text1"/>
              </w:rPr>
            </w:pPr>
          </w:p>
        </w:tc>
      </w:tr>
      <w:tr w:rsidR="00D836EB" w:rsidRPr="00286216" w14:paraId="1C4295DF" w14:textId="77777777" w:rsidTr="00091AA5">
        <w:tc>
          <w:tcPr>
            <w:tcW w:w="576" w:type="dxa"/>
          </w:tcPr>
          <w:p w14:paraId="62CDCEC1" w14:textId="77777777" w:rsidR="00D836EB" w:rsidRPr="00286216" w:rsidRDefault="00D836EB" w:rsidP="00D836EB">
            <w:pPr>
              <w:pStyle w:val="StyleWisnow"/>
              <w:rPr>
                <w:color w:val="000000" w:themeColor="text1"/>
              </w:rPr>
            </w:pPr>
            <w:bookmarkStart w:id="1803" w:name="n2048" w:colFirst="0" w:colLast="0"/>
            <w:r w:rsidRPr="00286216">
              <w:rPr>
                <w:color w:val="000000" w:themeColor="text1"/>
              </w:rPr>
              <w:t>2048.</w:t>
            </w:r>
          </w:p>
        </w:tc>
        <w:tc>
          <w:tcPr>
            <w:tcW w:w="4818" w:type="dxa"/>
          </w:tcPr>
          <w:p w14:paraId="0C81BE0C" w14:textId="77777777" w:rsidR="00D836EB" w:rsidRPr="00286216" w:rsidRDefault="00D836EB" w:rsidP="00D836EB">
            <w:pPr>
              <w:pStyle w:val="StyleZakonu"/>
              <w:rPr>
                <w:color w:val="000000" w:themeColor="text1"/>
              </w:rPr>
            </w:pPr>
            <w:r w:rsidRPr="00286216">
              <w:rPr>
                <w:color w:val="000000" w:themeColor="text1"/>
              </w:rPr>
              <w:t>2. Якщо інше не передбачено законодавством регульована інформація також розкривається шляхом:</w:t>
            </w:r>
          </w:p>
        </w:tc>
        <w:tc>
          <w:tcPr>
            <w:tcW w:w="3686" w:type="dxa"/>
          </w:tcPr>
          <w:p w14:paraId="68649678" w14:textId="77777777" w:rsidR="00D836EB" w:rsidRPr="00286216" w:rsidRDefault="00D836EB" w:rsidP="00D836EB">
            <w:pPr>
              <w:pStyle w:val="StyleProp"/>
              <w:rPr>
                <w:color w:val="000000" w:themeColor="text1"/>
                <w:szCs w:val="18"/>
              </w:rPr>
            </w:pPr>
          </w:p>
        </w:tc>
        <w:tc>
          <w:tcPr>
            <w:tcW w:w="1987" w:type="dxa"/>
          </w:tcPr>
          <w:p w14:paraId="75ED57B3" w14:textId="77777777" w:rsidR="00D836EB" w:rsidRPr="00286216" w:rsidRDefault="00D836EB" w:rsidP="00D836EB">
            <w:pPr>
              <w:pStyle w:val="StyleWisnow"/>
              <w:rPr>
                <w:color w:val="000000" w:themeColor="text1"/>
              </w:rPr>
            </w:pPr>
          </w:p>
        </w:tc>
        <w:tc>
          <w:tcPr>
            <w:tcW w:w="4818" w:type="dxa"/>
          </w:tcPr>
          <w:p w14:paraId="2D4A73A0" w14:textId="259D9C3A" w:rsidR="00D836EB" w:rsidRPr="00286216" w:rsidRDefault="00D836EB" w:rsidP="00D836EB">
            <w:pPr>
              <w:pStyle w:val="StyleZakonu"/>
              <w:rPr>
                <w:color w:val="000000" w:themeColor="text1"/>
              </w:rPr>
            </w:pPr>
            <w:r w:rsidRPr="00286216">
              <w:rPr>
                <w:color w:val="000000" w:themeColor="text1"/>
              </w:rPr>
              <w:t>2. Якщо інше не передбачено законодавством, регульована інформація також розкривається шляхом:</w:t>
            </w:r>
          </w:p>
        </w:tc>
      </w:tr>
      <w:tr w:rsidR="00D836EB" w:rsidRPr="00286216" w14:paraId="310CCFDD" w14:textId="77777777" w:rsidTr="00091AA5">
        <w:tc>
          <w:tcPr>
            <w:tcW w:w="576" w:type="dxa"/>
          </w:tcPr>
          <w:p w14:paraId="417C5032" w14:textId="77777777" w:rsidR="00D836EB" w:rsidRPr="00286216" w:rsidRDefault="00D836EB" w:rsidP="00D836EB">
            <w:pPr>
              <w:pStyle w:val="StyleWisnow"/>
              <w:rPr>
                <w:color w:val="000000" w:themeColor="text1"/>
              </w:rPr>
            </w:pPr>
            <w:bookmarkStart w:id="1804" w:name="n2049" w:colFirst="0" w:colLast="0"/>
            <w:bookmarkEnd w:id="1803"/>
            <w:r w:rsidRPr="00286216">
              <w:rPr>
                <w:color w:val="000000" w:themeColor="text1"/>
              </w:rPr>
              <w:t>2049.</w:t>
            </w:r>
          </w:p>
        </w:tc>
        <w:tc>
          <w:tcPr>
            <w:tcW w:w="4818" w:type="dxa"/>
          </w:tcPr>
          <w:p w14:paraId="591D733E" w14:textId="77777777" w:rsidR="00D836EB" w:rsidRPr="00286216" w:rsidRDefault="00D836EB" w:rsidP="00D836EB">
            <w:pPr>
              <w:pStyle w:val="StyleZakonu"/>
              <w:rPr>
                <w:color w:val="000000" w:themeColor="text1"/>
              </w:rPr>
            </w:pPr>
            <w:r w:rsidRPr="00286216">
              <w:rPr>
                <w:color w:val="000000" w:themeColor="text1"/>
              </w:rPr>
              <w:t>1) розміщення її на власному веб-сайті учасника ринків капіталу та/або професійного учасника організованих товарних ринків;</w:t>
            </w:r>
          </w:p>
        </w:tc>
        <w:tc>
          <w:tcPr>
            <w:tcW w:w="3686" w:type="dxa"/>
          </w:tcPr>
          <w:p w14:paraId="5E370D49" w14:textId="36AAD06A" w:rsidR="00D836EB" w:rsidRPr="00286216" w:rsidRDefault="00D836EB" w:rsidP="00D836E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1030</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59DAECA3" w14:textId="0141CD77" w:rsidR="00D836EB" w:rsidRPr="00286216" w:rsidRDefault="00D836EB" w:rsidP="00D836EB">
            <w:pPr>
              <w:pStyle w:val="StyleProp"/>
              <w:spacing w:line="180" w:lineRule="exact"/>
              <w:rPr>
                <w:color w:val="000000" w:themeColor="text1"/>
                <w:szCs w:val="18"/>
              </w:rPr>
            </w:pPr>
            <w:r w:rsidRPr="00286216">
              <w:rPr>
                <w:color w:val="000000" w:themeColor="text1"/>
                <w:szCs w:val="18"/>
              </w:rPr>
              <w:t>Частину другу статті 120 доповнити абзацом четвертим такого змісту:</w:t>
            </w:r>
          </w:p>
        </w:tc>
        <w:tc>
          <w:tcPr>
            <w:tcW w:w="1987" w:type="dxa"/>
          </w:tcPr>
          <w:p w14:paraId="52874205" w14:textId="77777777" w:rsidR="00D836EB" w:rsidRPr="00286216" w:rsidRDefault="00D836EB" w:rsidP="00D836EB">
            <w:pPr>
              <w:pStyle w:val="StyleWisnow"/>
              <w:spacing w:line="180" w:lineRule="exact"/>
              <w:rPr>
                <w:color w:val="000000" w:themeColor="text1"/>
              </w:rPr>
            </w:pPr>
            <w:r w:rsidRPr="00286216">
              <w:rPr>
                <w:color w:val="000000" w:themeColor="text1"/>
              </w:rPr>
              <w:t>Враховано</w:t>
            </w:r>
          </w:p>
          <w:p w14:paraId="3EB4FE42" w14:textId="06F863BD" w:rsidR="00D836EB" w:rsidRPr="00286216" w:rsidRDefault="00D836EB" w:rsidP="00D836EB">
            <w:pPr>
              <w:pStyle w:val="StyleWisnow"/>
              <w:spacing w:line="20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системи розкриття інформації та</w:t>
            </w:r>
          </w:p>
        </w:tc>
        <w:tc>
          <w:tcPr>
            <w:tcW w:w="4818" w:type="dxa"/>
          </w:tcPr>
          <w:p w14:paraId="408B0A09" w14:textId="6D6A5A50" w:rsidR="00D836EB" w:rsidRPr="00286216" w:rsidRDefault="00D836EB" w:rsidP="00D836EB">
            <w:pPr>
              <w:pStyle w:val="StyleZakonu"/>
              <w:rPr>
                <w:color w:val="000000" w:themeColor="text1"/>
              </w:rPr>
            </w:pPr>
            <w:r w:rsidRPr="00286216">
              <w:rPr>
                <w:color w:val="000000" w:themeColor="text1"/>
              </w:rPr>
              <w:t>1) розміщення її на власному веб-сайті учасника ринків капіталу та/або професійного учасника організованих товарних ринків;</w:t>
            </w:r>
          </w:p>
        </w:tc>
      </w:tr>
      <w:tr w:rsidR="00D836EB" w:rsidRPr="00286216" w14:paraId="431A0D2B" w14:textId="77777777" w:rsidTr="00091AA5">
        <w:tc>
          <w:tcPr>
            <w:tcW w:w="576" w:type="dxa"/>
          </w:tcPr>
          <w:p w14:paraId="538F2DE5" w14:textId="77777777" w:rsidR="00D836EB" w:rsidRPr="00286216" w:rsidRDefault="00D836EB" w:rsidP="00D836EB">
            <w:pPr>
              <w:pStyle w:val="StyleWisnow"/>
              <w:rPr>
                <w:color w:val="000000" w:themeColor="text1"/>
              </w:rPr>
            </w:pPr>
            <w:bookmarkStart w:id="1805" w:name="n2050" w:colFirst="0" w:colLast="0"/>
            <w:bookmarkEnd w:id="1804"/>
            <w:r w:rsidRPr="00286216">
              <w:rPr>
                <w:color w:val="000000" w:themeColor="text1"/>
              </w:rPr>
              <w:t>2050.</w:t>
            </w:r>
          </w:p>
        </w:tc>
        <w:tc>
          <w:tcPr>
            <w:tcW w:w="4818" w:type="dxa"/>
          </w:tcPr>
          <w:p w14:paraId="36E09783" w14:textId="77777777" w:rsidR="00D836EB" w:rsidRPr="00286216" w:rsidRDefault="00D836EB" w:rsidP="00D836EB">
            <w:pPr>
              <w:pStyle w:val="StyleZakonu"/>
              <w:rPr>
                <w:color w:val="000000" w:themeColor="text1"/>
              </w:rPr>
            </w:pPr>
            <w:r w:rsidRPr="00286216">
              <w:rPr>
                <w:color w:val="000000" w:themeColor="text1"/>
              </w:rPr>
              <w:t>2) подання її до Національної комісії з цінних паперів та фондового ринку.</w:t>
            </w:r>
          </w:p>
        </w:tc>
        <w:tc>
          <w:tcPr>
            <w:tcW w:w="3686" w:type="dxa"/>
          </w:tcPr>
          <w:p w14:paraId="612156F4" w14:textId="445F758B" w:rsidR="00D836EB" w:rsidRPr="00286216" w:rsidRDefault="00D836EB" w:rsidP="00D836EB">
            <w:pPr>
              <w:pStyle w:val="StyleProp"/>
              <w:rPr>
                <w:color w:val="000000" w:themeColor="text1"/>
                <w:szCs w:val="18"/>
              </w:rPr>
            </w:pPr>
            <w:r w:rsidRPr="00286216">
              <w:rPr>
                <w:color w:val="000000" w:themeColor="text1"/>
              </w:rPr>
              <w:t xml:space="preserve">"Національна комісія з цінних паперів та фондового ринку зобов’язана самостійно забезпечити існування та функціонування </w:t>
            </w:r>
            <w:r w:rsidRPr="00286216">
              <w:rPr>
                <w:color w:val="000000" w:themeColor="text1"/>
              </w:rPr>
              <w:lastRenderedPageBreak/>
              <w:t>щонайменше однієї системи, яка б створювала умови для безпосереднього та прямого подання регульованої інформації до Національної комісії з цінних паперів та фондового ринку".</w:t>
            </w:r>
          </w:p>
        </w:tc>
        <w:tc>
          <w:tcPr>
            <w:tcW w:w="1987" w:type="dxa"/>
          </w:tcPr>
          <w:p w14:paraId="5711AABA" w14:textId="53DDD3B8" w:rsidR="00D836EB" w:rsidRPr="00286216" w:rsidRDefault="00D836EB" w:rsidP="00D836EB">
            <w:pPr>
              <w:pStyle w:val="StyleWisnow"/>
              <w:spacing w:line="200" w:lineRule="exact"/>
              <w:rPr>
                <w:color w:val="000000" w:themeColor="text1"/>
              </w:rPr>
            </w:pPr>
            <w:r w:rsidRPr="00286216">
              <w:rPr>
                <w:color w:val="000000" w:themeColor="text1"/>
              </w:rPr>
              <w:lastRenderedPageBreak/>
              <w:t xml:space="preserve">діяльності інформаційних агентів у частині забезпечення </w:t>
            </w:r>
            <w:r w:rsidRPr="00286216">
              <w:rPr>
                <w:color w:val="000000" w:themeColor="text1"/>
              </w:rPr>
              <w:lastRenderedPageBreak/>
              <w:t>існування системи для прямого подання інформації до НКЦПФР</w:t>
            </w:r>
          </w:p>
        </w:tc>
        <w:tc>
          <w:tcPr>
            <w:tcW w:w="4818" w:type="dxa"/>
          </w:tcPr>
          <w:p w14:paraId="3B9A563A" w14:textId="77777777" w:rsidR="00D836EB" w:rsidRPr="00286216" w:rsidRDefault="00D836EB" w:rsidP="00D836EB">
            <w:pPr>
              <w:pStyle w:val="StyleZakonu"/>
              <w:rPr>
                <w:color w:val="000000" w:themeColor="text1"/>
              </w:rPr>
            </w:pPr>
            <w:r w:rsidRPr="00286216">
              <w:rPr>
                <w:color w:val="000000" w:themeColor="text1"/>
              </w:rPr>
              <w:lastRenderedPageBreak/>
              <w:t>2) подання її до Національної комісії з цінних паперів та фондового ринку.</w:t>
            </w:r>
          </w:p>
          <w:p w14:paraId="5BCF8479" w14:textId="2AEAC1CB" w:rsidR="00D836EB" w:rsidRPr="00286216" w:rsidRDefault="00D836EB" w:rsidP="00D836EB">
            <w:pPr>
              <w:pStyle w:val="StyleZakonu"/>
              <w:rPr>
                <w:color w:val="000000" w:themeColor="text1"/>
              </w:rPr>
            </w:pPr>
            <w:r w:rsidRPr="00286216">
              <w:rPr>
                <w:color w:val="000000" w:themeColor="text1"/>
              </w:rPr>
              <w:t xml:space="preserve">Національна комісія з цінних паперів та фондового </w:t>
            </w:r>
            <w:r w:rsidRPr="00286216">
              <w:rPr>
                <w:color w:val="000000" w:themeColor="text1"/>
              </w:rPr>
              <w:lastRenderedPageBreak/>
              <w:t>ринку зобов’язана самостійно забезпечити існування та функціонування щонайменше однієї системи, що створить умови для безпосереднього та прямого подання регульованої інформації до Національної комісії з цінних паперів та фондового ринку.</w:t>
            </w:r>
          </w:p>
        </w:tc>
      </w:tr>
      <w:tr w:rsidR="00D836EB" w:rsidRPr="00286216" w14:paraId="68F36FDD" w14:textId="77777777" w:rsidTr="00091AA5">
        <w:tc>
          <w:tcPr>
            <w:tcW w:w="576" w:type="dxa"/>
          </w:tcPr>
          <w:p w14:paraId="59780416" w14:textId="77777777" w:rsidR="00D836EB" w:rsidRPr="00286216" w:rsidRDefault="00D836EB" w:rsidP="00D836EB">
            <w:pPr>
              <w:pStyle w:val="StyleWisnow"/>
              <w:rPr>
                <w:color w:val="000000" w:themeColor="text1"/>
              </w:rPr>
            </w:pPr>
            <w:bookmarkStart w:id="1806" w:name="n2051" w:colFirst="0" w:colLast="0"/>
            <w:bookmarkEnd w:id="1805"/>
            <w:r w:rsidRPr="00286216">
              <w:rPr>
                <w:color w:val="000000" w:themeColor="text1"/>
              </w:rPr>
              <w:lastRenderedPageBreak/>
              <w:t>2051.</w:t>
            </w:r>
          </w:p>
        </w:tc>
        <w:tc>
          <w:tcPr>
            <w:tcW w:w="4818" w:type="dxa"/>
          </w:tcPr>
          <w:p w14:paraId="6C41952F" w14:textId="77777777" w:rsidR="00D836EB" w:rsidRPr="00286216" w:rsidRDefault="00D836EB" w:rsidP="00D836EB">
            <w:pPr>
              <w:pStyle w:val="StyleZakonu"/>
              <w:rPr>
                <w:color w:val="000000" w:themeColor="text1"/>
              </w:rPr>
            </w:pPr>
            <w:r w:rsidRPr="00286216">
              <w:rPr>
                <w:color w:val="000000" w:themeColor="text1"/>
              </w:rPr>
              <w:t>Учасники ринків капіталу та професійні учасники організованих товарних ринків зобов’язані розкривати регульовану інформацію відповідно до вимог, в обсязі та строки, встановлені цим Законом та нормативно-правовими актами Національної комісії з цінних паперів та фондового ринку.</w:t>
            </w:r>
          </w:p>
        </w:tc>
        <w:tc>
          <w:tcPr>
            <w:tcW w:w="3686" w:type="dxa"/>
          </w:tcPr>
          <w:p w14:paraId="2B051A12" w14:textId="0916168A" w:rsidR="00D836EB" w:rsidRPr="00286216" w:rsidRDefault="00D836EB" w:rsidP="00D836EB">
            <w:pPr>
              <w:pStyle w:val="StyleProp"/>
              <w:rPr>
                <w:color w:val="000000" w:themeColor="text1"/>
                <w:szCs w:val="18"/>
              </w:rPr>
            </w:pPr>
          </w:p>
        </w:tc>
        <w:tc>
          <w:tcPr>
            <w:tcW w:w="1987" w:type="dxa"/>
          </w:tcPr>
          <w:p w14:paraId="7DC5F0E3" w14:textId="77777777" w:rsidR="00D836EB" w:rsidRPr="00286216" w:rsidRDefault="00D836EB" w:rsidP="00D836EB">
            <w:pPr>
              <w:pStyle w:val="StyleWisnow"/>
              <w:rPr>
                <w:color w:val="000000" w:themeColor="text1"/>
              </w:rPr>
            </w:pPr>
          </w:p>
        </w:tc>
        <w:tc>
          <w:tcPr>
            <w:tcW w:w="4818" w:type="dxa"/>
          </w:tcPr>
          <w:p w14:paraId="2DB73831" w14:textId="65360533" w:rsidR="00D836EB" w:rsidRPr="00286216" w:rsidRDefault="00D836EB" w:rsidP="00D836EB">
            <w:pPr>
              <w:pStyle w:val="StyleZakonu"/>
              <w:rPr>
                <w:color w:val="000000" w:themeColor="text1"/>
              </w:rPr>
            </w:pPr>
            <w:r w:rsidRPr="00286216">
              <w:rPr>
                <w:color w:val="000000" w:themeColor="text1"/>
              </w:rPr>
              <w:t>Учасники ринків капіталу та професійні учасники організованих товарних ринків зобов’язані розкривати регульовану інформацію відповідно до вимог, в обсязі та строки, встановлені цим Законом та нормативно-правовими актами Національної комісії з цінних паперів та фондового ринку.</w:t>
            </w:r>
          </w:p>
        </w:tc>
      </w:tr>
      <w:tr w:rsidR="00D836EB" w:rsidRPr="00286216" w14:paraId="19C28421" w14:textId="77777777" w:rsidTr="00091AA5">
        <w:tc>
          <w:tcPr>
            <w:tcW w:w="576" w:type="dxa"/>
          </w:tcPr>
          <w:p w14:paraId="5E1756BD" w14:textId="77777777" w:rsidR="00D836EB" w:rsidRPr="00286216" w:rsidRDefault="00D836EB" w:rsidP="00D836EB">
            <w:pPr>
              <w:pStyle w:val="StyleWisnow"/>
              <w:rPr>
                <w:color w:val="000000" w:themeColor="text1"/>
              </w:rPr>
            </w:pPr>
            <w:bookmarkStart w:id="1807" w:name="n2052" w:colFirst="0" w:colLast="0"/>
            <w:bookmarkEnd w:id="1806"/>
            <w:r w:rsidRPr="00286216">
              <w:rPr>
                <w:color w:val="000000" w:themeColor="text1"/>
              </w:rPr>
              <w:t>2052.</w:t>
            </w:r>
          </w:p>
        </w:tc>
        <w:tc>
          <w:tcPr>
            <w:tcW w:w="4818" w:type="dxa"/>
          </w:tcPr>
          <w:p w14:paraId="40676840" w14:textId="77777777" w:rsidR="00D836EB" w:rsidRPr="00286216" w:rsidRDefault="00D836EB" w:rsidP="00D836EB">
            <w:pPr>
              <w:pStyle w:val="StyleZakonu"/>
              <w:rPr>
                <w:color w:val="000000" w:themeColor="text1"/>
              </w:rPr>
            </w:pPr>
            <w:r w:rsidRPr="00286216">
              <w:rPr>
                <w:color w:val="000000" w:themeColor="text1"/>
              </w:rPr>
              <w:t>Учасники ринків капіталу (крім інвесторів у фінансові інструменти) та професійні учасники організованих товарних ринків зобов’язані мати власний веб-сайт. Учасник фондового ринку не може обмежувати доступ або встановлювати плату за доступ до інформації, що підлягає обов’язковому розкриттю на такому веб-сайті.</w:t>
            </w:r>
          </w:p>
        </w:tc>
        <w:tc>
          <w:tcPr>
            <w:tcW w:w="3686" w:type="dxa"/>
          </w:tcPr>
          <w:p w14:paraId="5A17460D" w14:textId="77777777" w:rsidR="00D836EB" w:rsidRPr="00286216" w:rsidRDefault="00D836EB" w:rsidP="00D836EB">
            <w:pPr>
              <w:pStyle w:val="StyleProp"/>
              <w:rPr>
                <w:color w:val="000000" w:themeColor="text1"/>
                <w:szCs w:val="18"/>
              </w:rPr>
            </w:pPr>
          </w:p>
        </w:tc>
        <w:tc>
          <w:tcPr>
            <w:tcW w:w="1987" w:type="dxa"/>
          </w:tcPr>
          <w:p w14:paraId="49E742A7" w14:textId="77777777" w:rsidR="00D836EB" w:rsidRPr="00286216" w:rsidRDefault="00D836EB" w:rsidP="00D836EB">
            <w:pPr>
              <w:pStyle w:val="StyleWisnow"/>
              <w:rPr>
                <w:color w:val="000000" w:themeColor="text1"/>
              </w:rPr>
            </w:pPr>
          </w:p>
        </w:tc>
        <w:tc>
          <w:tcPr>
            <w:tcW w:w="4818" w:type="dxa"/>
          </w:tcPr>
          <w:p w14:paraId="47F4EA04" w14:textId="14C827DE" w:rsidR="00D836EB" w:rsidRPr="00286216" w:rsidRDefault="00D836EB" w:rsidP="00D836EB">
            <w:pPr>
              <w:pStyle w:val="StyleZakonu"/>
              <w:rPr>
                <w:color w:val="000000" w:themeColor="text1"/>
              </w:rPr>
            </w:pPr>
            <w:r w:rsidRPr="00286216">
              <w:rPr>
                <w:color w:val="000000" w:themeColor="text1"/>
              </w:rPr>
              <w:t>Учасники ринків капіталу (крім інвесторів у фінансові інструменти) та професійні учасники організованих товарних ринків зобов’язані мати власний веб-сайт. Учасник ринків капіталу не може обмежувати доступ або встановлювати плату за доступ до інформації, що підлягає обов’язковому розкриттю на такому веб-сайті.</w:t>
            </w:r>
          </w:p>
        </w:tc>
      </w:tr>
      <w:tr w:rsidR="00D836EB" w:rsidRPr="00286216" w14:paraId="1521169F" w14:textId="77777777" w:rsidTr="00091AA5">
        <w:tc>
          <w:tcPr>
            <w:tcW w:w="576" w:type="dxa"/>
          </w:tcPr>
          <w:p w14:paraId="5653B64F" w14:textId="77777777" w:rsidR="00D836EB" w:rsidRPr="00286216" w:rsidRDefault="00D836EB" w:rsidP="00D836EB">
            <w:pPr>
              <w:pStyle w:val="StyleWisnow"/>
              <w:rPr>
                <w:color w:val="000000" w:themeColor="text1"/>
              </w:rPr>
            </w:pPr>
            <w:bookmarkStart w:id="1808" w:name="n2053" w:colFirst="0" w:colLast="0"/>
            <w:bookmarkEnd w:id="1807"/>
            <w:r w:rsidRPr="00286216">
              <w:rPr>
                <w:color w:val="000000" w:themeColor="text1"/>
              </w:rPr>
              <w:t>2053.</w:t>
            </w:r>
          </w:p>
        </w:tc>
        <w:tc>
          <w:tcPr>
            <w:tcW w:w="4818" w:type="dxa"/>
          </w:tcPr>
          <w:p w14:paraId="6485EA1C" w14:textId="77777777" w:rsidR="00D836EB" w:rsidRPr="00286216" w:rsidRDefault="00D836EB" w:rsidP="00D836EB">
            <w:pPr>
              <w:pStyle w:val="StyleZakonu"/>
              <w:rPr>
                <w:color w:val="000000" w:themeColor="text1"/>
              </w:rPr>
            </w:pPr>
            <w:r w:rsidRPr="00286216">
              <w:rPr>
                <w:color w:val="000000" w:themeColor="text1"/>
              </w:rPr>
              <w:t>Додаткові вимоги до розкриття регульованої інформації емітентами, цінні папери яких допущені до торгів на регульованому фондовому ринку, встановлюються Національною комісією з цінних паперів та фондового ринку.</w:t>
            </w:r>
          </w:p>
        </w:tc>
        <w:tc>
          <w:tcPr>
            <w:tcW w:w="3686" w:type="dxa"/>
          </w:tcPr>
          <w:p w14:paraId="00732638" w14:textId="77777777" w:rsidR="00D836EB" w:rsidRPr="00286216" w:rsidRDefault="00D836EB" w:rsidP="00D836EB">
            <w:pPr>
              <w:pStyle w:val="StyleProp"/>
              <w:rPr>
                <w:color w:val="000000" w:themeColor="text1"/>
                <w:szCs w:val="18"/>
              </w:rPr>
            </w:pPr>
          </w:p>
        </w:tc>
        <w:tc>
          <w:tcPr>
            <w:tcW w:w="1987" w:type="dxa"/>
          </w:tcPr>
          <w:p w14:paraId="5C8DD0FD" w14:textId="77777777" w:rsidR="00D836EB" w:rsidRPr="00286216" w:rsidRDefault="00D836EB" w:rsidP="00D836EB">
            <w:pPr>
              <w:pStyle w:val="StyleWisnow"/>
              <w:rPr>
                <w:color w:val="000000" w:themeColor="text1"/>
              </w:rPr>
            </w:pPr>
          </w:p>
        </w:tc>
        <w:tc>
          <w:tcPr>
            <w:tcW w:w="4818" w:type="dxa"/>
          </w:tcPr>
          <w:p w14:paraId="47975EEA" w14:textId="0057A855" w:rsidR="00D836EB" w:rsidRPr="00286216" w:rsidRDefault="00D836EB" w:rsidP="00D836EB">
            <w:pPr>
              <w:pStyle w:val="StyleZakonu"/>
              <w:rPr>
                <w:color w:val="000000" w:themeColor="text1"/>
              </w:rPr>
            </w:pPr>
            <w:r w:rsidRPr="00286216">
              <w:rPr>
                <w:color w:val="000000" w:themeColor="text1"/>
              </w:rPr>
              <w:t>Додаткові вимоги до розкриття регульованої інформації емітентами, цінні папери яких допущені до торгів на регульованому фондовому ринку, встановлюються Національною комісією з цінних паперів та фондового ринку.</w:t>
            </w:r>
          </w:p>
        </w:tc>
      </w:tr>
      <w:tr w:rsidR="00D836EB" w:rsidRPr="00286216" w14:paraId="4BB8C954" w14:textId="77777777" w:rsidTr="00091AA5">
        <w:tc>
          <w:tcPr>
            <w:tcW w:w="576" w:type="dxa"/>
          </w:tcPr>
          <w:p w14:paraId="316D7C8C" w14:textId="77777777" w:rsidR="00D836EB" w:rsidRPr="00286216" w:rsidRDefault="00D836EB" w:rsidP="00D836EB">
            <w:pPr>
              <w:pStyle w:val="StyleWisnow"/>
              <w:rPr>
                <w:color w:val="000000" w:themeColor="text1"/>
              </w:rPr>
            </w:pPr>
            <w:bookmarkStart w:id="1809" w:name="n2054" w:colFirst="0" w:colLast="0"/>
            <w:bookmarkEnd w:id="1808"/>
            <w:r w:rsidRPr="00286216">
              <w:rPr>
                <w:color w:val="000000" w:themeColor="text1"/>
              </w:rPr>
              <w:t>2054.</w:t>
            </w:r>
          </w:p>
        </w:tc>
        <w:tc>
          <w:tcPr>
            <w:tcW w:w="4818" w:type="dxa"/>
          </w:tcPr>
          <w:p w14:paraId="504FD5D5" w14:textId="77777777" w:rsidR="00D836EB" w:rsidRPr="00286216" w:rsidRDefault="00D836EB" w:rsidP="00D836EB">
            <w:pPr>
              <w:pStyle w:val="StyleZakonu"/>
              <w:rPr>
                <w:color w:val="000000" w:themeColor="text1"/>
              </w:rPr>
            </w:pPr>
            <w:r w:rsidRPr="00286216">
              <w:rPr>
                <w:color w:val="000000" w:themeColor="text1"/>
              </w:rPr>
              <w:t>3. Інформація про власників голосуючих акцій публічних акціонерних товариств, пакет яких становить 5 і більше відсотків акцій, подається емітентові цінних паперів власником таких акцій у строки, порядку та за формою, що встановлені Національною комісією з цінних паперів та фондового ринку.</w:t>
            </w:r>
          </w:p>
        </w:tc>
        <w:tc>
          <w:tcPr>
            <w:tcW w:w="3686" w:type="dxa"/>
          </w:tcPr>
          <w:p w14:paraId="21CB3774" w14:textId="77777777" w:rsidR="00D836EB" w:rsidRPr="00286216" w:rsidRDefault="00D836EB" w:rsidP="00D836EB">
            <w:pPr>
              <w:pStyle w:val="StyleProp"/>
              <w:rPr>
                <w:color w:val="000000" w:themeColor="text1"/>
                <w:szCs w:val="18"/>
              </w:rPr>
            </w:pPr>
          </w:p>
        </w:tc>
        <w:tc>
          <w:tcPr>
            <w:tcW w:w="1987" w:type="dxa"/>
          </w:tcPr>
          <w:p w14:paraId="0C1B2646" w14:textId="77777777" w:rsidR="00D836EB" w:rsidRPr="00286216" w:rsidRDefault="00D836EB" w:rsidP="00D836EB">
            <w:pPr>
              <w:pStyle w:val="StyleWisnow"/>
              <w:rPr>
                <w:color w:val="000000" w:themeColor="text1"/>
              </w:rPr>
            </w:pPr>
          </w:p>
        </w:tc>
        <w:tc>
          <w:tcPr>
            <w:tcW w:w="4818" w:type="dxa"/>
          </w:tcPr>
          <w:p w14:paraId="089809B3" w14:textId="0ABF702C" w:rsidR="00D836EB" w:rsidRPr="00286216" w:rsidRDefault="00D836EB" w:rsidP="00D836EB">
            <w:pPr>
              <w:pStyle w:val="StyleZakonu"/>
              <w:rPr>
                <w:color w:val="000000" w:themeColor="text1"/>
              </w:rPr>
            </w:pPr>
            <w:r w:rsidRPr="00286216">
              <w:rPr>
                <w:color w:val="000000" w:themeColor="text1"/>
              </w:rPr>
              <w:t>3. Інформація про власників голосуючих акцій публічних акціонерних товариств, пакет яких становить 5 і більше відсотків акцій, подається емітенту цінних паперів власником таких акцій у строки, порядку та за формою, встановлені Національною комісією з цінних паперів та фондового ринку.</w:t>
            </w:r>
          </w:p>
        </w:tc>
      </w:tr>
      <w:tr w:rsidR="00D836EB" w:rsidRPr="00286216" w14:paraId="4AE2F35D" w14:textId="77777777" w:rsidTr="00091AA5">
        <w:tc>
          <w:tcPr>
            <w:tcW w:w="576" w:type="dxa"/>
          </w:tcPr>
          <w:p w14:paraId="0B10894A" w14:textId="77777777" w:rsidR="00D836EB" w:rsidRPr="00286216" w:rsidRDefault="00D836EB" w:rsidP="00D836EB">
            <w:pPr>
              <w:pStyle w:val="StyleWisnow"/>
              <w:rPr>
                <w:color w:val="000000" w:themeColor="text1"/>
              </w:rPr>
            </w:pPr>
            <w:bookmarkStart w:id="1810" w:name="n2055" w:colFirst="0" w:colLast="0"/>
            <w:bookmarkEnd w:id="1809"/>
            <w:r w:rsidRPr="00286216">
              <w:rPr>
                <w:color w:val="000000" w:themeColor="text1"/>
              </w:rPr>
              <w:t>2055.</w:t>
            </w:r>
          </w:p>
        </w:tc>
        <w:tc>
          <w:tcPr>
            <w:tcW w:w="4818" w:type="dxa"/>
          </w:tcPr>
          <w:p w14:paraId="146F9355" w14:textId="77777777" w:rsidR="00D836EB" w:rsidRPr="00286216" w:rsidRDefault="00D836EB" w:rsidP="00D836EB">
            <w:pPr>
              <w:pStyle w:val="StyleZakonu"/>
              <w:rPr>
                <w:color w:val="000000" w:themeColor="text1"/>
              </w:rPr>
            </w:pPr>
            <w:r w:rsidRPr="00286216">
              <w:rPr>
                <w:color w:val="000000" w:themeColor="text1"/>
              </w:rPr>
              <w:t>Інформація про власників голосуючих акцій акціонерних товариств, пакет яких становить 5 і більше відсотків акцій, подається емітентові цінних паперів Центральним депозитарієм цінних паперів на запит емітента у строки, порядку та за формою, що встановлені Національною комісією з цінних паперів та фондового ринку.</w:t>
            </w:r>
          </w:p>
        </w:tc>
        <w:tc>
          <w:tcPr>
            <w:tcW w:w="3686" w:type="dxa"/>
          </w:tcPr>
          <w:p w14:paraId="1773E73E" w14:textId="77777777" w:rsidR="00D836EB" w:rsidRPr="00286216" w:rsidRDefault="00D836EB" w:rsidP="00D836EB">
            <w:pPr>
              <w:pStyle w:val="StyleProp"/>
              <w:rPr>
                <w:color w:val="000000" w:themeColor="text1"/>
                <w:szCs w:val="18"/>
              </w:rPr>
            </w:pPr>
          </w:p>
        </w:tc>
        <w:tc>
          <w:tcPr>
            <w:tcW w:w="1987" w:type="dxa"/>
          </w:tcPr>
          <w:p w14:paraId="547AF450" w14:textId="77777777" w:rsidR="00D836EB" w:rsidRPr="00286216" w:rsidRDefault="00D836EB" w:rsidP="00D836EB">
            <w:pPr>
              <w:pStyle w:val="StyleWisnow"/>
              <w:rPr>
                <w:color w:val="000000" w:themeColor="text1"/>
              </w:rPr>
            </w:pPr>
          </w:p>
        </w:tc>
        <w:tc>
          <w:tcPr>
            <w:tcW w:w="4818" w:type="dxa"/>
          </w:tcPr>
          <w:p w14:paraId="0BFB8326" w14:textId="2316BCFE" w:rsidR="00D836EB" w:rsidRPr="00286216" w:rsidRDefault="00D836EB" w:rsidP="00D836EB">
            <w:pPr>
              <w:pStyle w:val="StyleZakonu"/>
              <w:rPr>
                <w:color w:val="000000" w:themeColor="text1"/>
              </w:rPr>
            </w:pPr>
            <w:r w:rsidRPr="00286216">
              <w:rPr>
                <w:color w:val="000000" w:themeColor="text1"/>
              </w:rPr>
              <w:t>Інформація про власників голосуючих акцій акціонерних товариств, пакет яких становить 5 і більше відсотків акцій, подається емітентову цінних паперів Центральним депозитарієм цінних паперів на запит емітента у строки, порядку та за формою, що встановлені Національною комісією з цінних паперів та фондового ринку.</w:t>
            </w:r>
          </w:p>
        </w:tc>
      </w:tr>
      <w:tr w:rsidR="00D836EB" w:rsidRPr="00286216" w14:paraId="2A537961" w14:textId="77777777" w:rsidTr="00091AA5">
        <w:tc>
          <w:tcPr>
            <w:tcW w:w="576" w:type="dxa"/>
          </w:tcPr>
          <w:p w14:paraId="7F9F1737" w14:textId="77777777" w:rsidR="00D836EB" w:rsidRPr="00286216" w:rsidRDefault="00D836EB" w:rsidP="00D836EB">
            <w:pPr>
              <w:pStyle w:val="StyleWisnow"/>
              <w:rPr>
                <w:color w:val="000000" w:themeColor="text1"/>
              </w:rPr>
            </w:pPr>
            <w:bookmarkStart w:id="1811" w:name="n2056" w:colFirst="0" w:colLast="0"/>
            <w:bookmarkEnd w:id="1810"/>
            <w:r w:rsidRPr="00286216">
              <w:rPr>
                <w:color w:val="000000" w:themeColor="text1"/>
              </w:rPr>
              <w:t>2056.</w:t>
            </w:r>
          </w:p>
        </w:tc>
        <w:tc>
          <w:tcPr>
            <w:tcW w:w="4818" w:type="dxa"/>
          </w:tcPr>
          <w:p w14:paraId="154A906B" w14:textId="77777777" w:rsidR="00D836EB" w:rsidRPr="00286216" w:rsidRDefault="00D836EB" w:rsidP="00D836EB">
            <w:pPr>
              <w:pStyle w:val="StyleZakonu"/>
              <w:rPr>
                <w:color w:val="000000" w:themeColor="text1"/>
              </w:rPr>
            </w:pPr>
            <w:r w:rsidRPr="00286216">
              <w:rPr>
                <w:color w:val="000000" w:themeColor="text1"/>
              </w:rPr>
              <w:t xml:space="preserve">Така інформація обов’язково має містити відомості про розмір пакета такого власника із зазначенням відсотка, кількості, типу та/або класу належних такому власнику акцій та відомості про власника із зазначенням імені (найменування) власника, коду згідно з Єдиним державним реєстром юридичних осіб, фізичних осіб - підприємців та </w:t>
            </w:r>
            <w:r w:rsidRPr="00286216">
              <w:rPr>
                <w:color w:val="000000" w:themeColor="text1"/>
              </w:rPr>
              <w:lastRenderedPageBreak/>
              <w:t>громадських формувань (для юридичної особи - резидента) або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w:t>
            </w:r>
          </w:p>
        </w:tc>
        <w:tc>
          <w:tcPr>
            <w:tcW w:w="3686" w:type="dxa"/>
          </w:tcPr>
          <w:p w14:paraId="68932106" w14:textId="77777777" w:rsidR="00D836EB" w:rsidRPr="00286216" w:rsidRDefault="00D836EB" w:rsidP="00D836EB">
            <w:pPr>
              <w:pStyle w:val="StyleProp"/>
              <w:rPr>
                <w:color w:val="000000" w:themeColor="text1"/>
                <w:szCs w:val="18"/>
              </w:rPr>
            </w:pPr>
          </w:p>
        </w:tc>
        <w:tc>
          <w:tcPr>
            <w:tcW w:w="1987" w:type="dxa"/>
          </w:tcPr>
          <w:p w14:paraId="6F66E04F" w14:textId="77777777" w:rsidR="00D836EB" w:rsidRPr="00286216" w:rsidRDefault="00D836EB" w:rsidP="00D836EB">
            <w:pPr>
              <w:pStyle w:val="StyleWisnow"/>
              <w:rPr>
                <w:color w:val="000000" w:themeColor="text1"/>
              </w:rPr>
            </w:pPr>
          </w:p>
        </w:tc>
        <w:tc>
          <w:tcPr>
            <w:tcW w:w="4818" w:type="dxa"/>
          </w:tcPr>
          <w:p w14:paraId="58B81D93" w14:textId="20237F90" w:rsidR="00D836EB" w:rsidRPr="00286216" w:rsidRDefault="00D836EB" w:rsidP="00D836EB">
            <w:pPr>
              <w:pStyle w:val="StyleZakonu"/>
              <w:rPr>
                <w:color w:val="000000" w:themeColor="text1"/>
              </w:rPr>
            </w:pPr>
            <w:r w:rsidRPr="00286216">
              <w:rPr>
                <w:color w:val="000000" w:themeColor="text1"/>
              </w:rPr>
              <w:t xml:space="preserve">Така інформація обов’язково має містити відомості про розмір пакета такого власника із зазначенням відсотка, кількості, типу та/або класу належних такому власнику акцій та відомості про власника із зазначенням імені (найменування) власника, коду згідно з Єдиним державним реєстром юридичних осіб, фізичних осіб - підприємців та </w:t>
            </w:r>
            <w:r w:rsidRPr="00286216">
              <w:rPr>
                <w:color w:val="000000" w:themeColor="text1"/>
              </w:rPr>
              <w:lastRenderedPageBreak/>
              <w:t>громадських формувань (для юридичної особи - резидента) або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w:t>
            </w:r>
          </w:p>
        </w:tc>
      </w:tr>
      <w:tr w:rsidR="00D836EB" w:rsidRPr="00286216" w14:paraId="4CE06780" w14:textId="77777777" w:rsidTr="00091AA5">
        <w:tc>
          <w:tcPr>
            <w:tcW w:w="576" w:type="dxa"/>
          </w:tcPr>
          <w:p w14:paraId="5F644412" w14:textId="77777777" w:rsidR="00D836EB" w:rsidRPr="00286216" w:rsidRDefault="00D836EB" w:rsidP="00D836EB">
            <w:pPr>
              <w:pStyle w:val="StyleWisnow"/>
              <w:rPr>
                <w:color w:val="000000" w:themeColor="text1"/>
              </w:rPr>
            </w:pPr>
            <w:bookmarkStart w:id="1812" w:name="n2057" w:colFirst="0" w:colLast="0"/>
            <w:bookmarkEnd w:id="1811"/>
            <w:r w:rsidRPr="00286216">
              <w:rPr>
                <w:color w:val="000000" w:themeColor="text1"/>
              </w:rPr>
              <w:lastRenderedPageBreak/>
              <w:t>2057.</w:t>
            </w:r>
          </w:p>
        </w:tc>
        <w:tc>
          <w:tcPr>
            <w:tcW w:w="4818" w:type="dxa"/>
          </w:tcPr>
          <w:p w14:paraId="24944B78" w14:textId="77777777" w:rsidR="00D836EB" w:rsidRPr="00286216" w:rsidRDefault="00D836EB" w:rsidP="00D836EB">
            <w:pPr>
              <w:pStyle w:val="StyleZakonu"/>
              <w:rPr>
                <w:color w:val="000000" w:themeColor="text1"/>
              </w:rPr>
            </w:pPr>
            <w:r w:rsidRPr="00286216">
              <w:rPr>
                <w:color w:val="000000" w:themeColor="text1"/>
              </w:rPr>
              <w:t>Зазначена в абзацах першому та другому цієї частини інформація оприлюднюється емітентом в установленому Національною комісією з цінних паперів та фондового ринку порядку.</w:t>
            </w:r>
          </w:p>
        </w:tc>
        <w:tc>
          <w:tcPr>
            <w:tcW w:w="3686" w:type="dxa"/>
          </w:tcPr>
          <w:p w14:paraId="682007C5" w14:textId="77777777" w:rsidR="00D836EB" w:rsidRPr="00286216" w:rsidRDefault="00D836EB" w:rsidP="00D836EB">
            <w:pPr>
              <w:pStyle w:val="StyleProp"/>
              <w:rPr>
                <w:color w:val="000000" w:themeColor="text1"/>
                <w:szCs w:val="18"/>
              </w:rPr>
            </w:pPr>
          </w:p>
        </w:tc>
        <w:tc>
          <w:tcPr>
            <w:tcW w:w="1987" w:type="dxa"/>
          </w:tcPr>
          <w:p w14:paraId="2FD6EDDA" w14:textId="77777777" w:rsidR="00D836EB" w:rsidRPr="00286216" w:rsidRDefault="00D836EB" w:rsidP="00D836EB">
            <w:pPr>
              <w:pStyle w:val="StyleWisnow"/>
              <w:rPr>
                <w:color w:val="000000" w:themeColor="text1"/>
              </w:rPr>
            </w:pPr>
          </w:p>
        </w:tc>
        <w:tc>
          <w:tcPr>
            <w:tcW w:w="4818" w:type="dxa"/>
          </w:tcPr>
          <w:p w14:paraId="636FA381" w14:textId="269C21E5" w:rsidR="00D836EB" w:rsidRPr="00286216" w:rsidRDefault="00D836EB" w:rsidP="00D836EB">
            <w:pPr>
              <w:pStyle w:val="StyleZakonu"/>
              <w:rPr>
                <w:color w:val="000000" w:themeColor="text1"/>
              </w:rPr>
            </w:pPr>
            <w:r w:rsidRPr="00286216">
              <w:rPr>
                <w:color w:val="000000" w:themeColor="text1"/>
              </w:rPr>
              <w:t>Інформація, зазначена в абзацах першому і другому цієї частини, оприлюднюється емітентом в встановленому Національною комісією з цінних паперів та фондового ринку порядку.</w:t>
            </w:r>
          </w:p>
        </w:tc>
      </w:tr>
      <w:tr w:rsidR="00D836EB" w:rsidRPr="00286216" w14:paraId="50D53A88" w14:textId="77777777" w:rsidTr="00091AA5">
        <w:tc>
          <w:tcPr>
            <w:tcW w:w="576" w:type="dxa"/>
          </w:tcPr>
          <w:p w14:paraId="57EF78F5" w14:textId="77777777" w:rsidR="00D836EB" w:rsidRPr="00286216" w:rsidRDefault="00D836EB" w:rsidP="00D836EB">
            <w:pPr>
              <w:pStyle w:val="StyleWisnow"/>
              <w:rPr>
                <w:color w:val="000000" w:themeColor="text1"/>
              </w:rPr>
            </w:pPr>
            <w:bookmarkStart w:id="1813" w:name="n2058" w:colFirst="0" w:colLast="0"/>
            <w:bookmarkEnd w:id="1812"/>
            <w:r w:rsidRPr="00286216">
              <w:rPr>
                <w:color w:val="000000" w:themeColor="text1"/>
              </w:rPr>
              <w:t>2058.</w:t>
            </w:r>
          </w:p>
        </w:tc>
        <w:tc>
          <w:tcPr>
            <w:tcW w:w="4818" w:type="dxa"/>
          </w:tcPr>
          <w:p w14:paraId="19003895" w14:textId="77777777" w:rsidR="00D836EB" w:rsidRPr="00286216" w:rsidRDefault="00D836EB" w:rsidP="00D836EB">
            <w:pPr>
              <w:pStyle w:val="StyleZakonu"/>
              <w:rPr>
                <w:color w:val="000000" w:themeColor="text1"/>
              </w:rPr>
            </w:pPr>
            <w:r w:rsidRPr="00286216">
              <w:rPr>
                <w:color w:val="000000" w:themeColor="text1"/>
              </w:rPr>
              <w:t>4. Регульована інформація розкривається приватними акціонерними товариствами (у разі якщо щодо цінних паперів такого товариства не здійснювалася публічна пропозиція) виключно шляхом її розміщення на власному веб-сайті та шляхом подання до Національної комісії з цінних паперів та фондового ринку.</w:t>
            </w:r>
          </w:p>
        </w:tc>
        <w:tc>
          <w:tcPr>
            <w:tcW w:w="3686" w:type="dxa"/>
          </w:tcPr>
          <w:p w14:paraId="38875CFC" w14:textId="77777777" w:rsidR="00D836EB" w:rsidRPr="00286216" w:rsidRDefault="00D836EB" w:rsidP="00D836EB">
            <w:pPr>
              <w:pStyle w:val="StyleProp"/>
              <w:rPr>
                <w:color w:val="000000" w:themeColor="text1"/>
                <w:szCs w:val="18"/>
              </w:rPr>
            </w:pPr>
          </w:p>
        </w:tc>
        <w:tc>
          <w:tcPr>
            <w:tcW w:w="1987" w:type="dxa"/>
          </w:tcPr>
          <w:p w14:paraId="3C06F382" w14:textId="77777777" w:rsidR="00D836EB" w:rsidRPr="00286216" w:rsidRDefault="00D836EB" w:rsidP="00D836EB">
            <w:pPr>
              <w:pStyle w:val="StyleWisnow"/>
              <w:rPr>
                <w:color w:val="000000" w:themeColor="text1"/>
              </w:rPr>
            </w:pPr>
          </w:p>
        </w:tc>
        <w:tc>
          <w:tcPr>
            <w:tcW w:w="4818" w:type="dxa"/>
          </w:tcPr>
          <w:p w14:paraId="71B89266" w14:textId="73227DE5" w:rsidR="00D836EB" w:rsidRPr="00286216" w:rsidRDefault="00D836EB" w:rsidP="00D836EB">
            <w:pPr>
              <w:pStyle w:val="StyleZakonu"/>
              <w:rPr>
                <w:color w:val="000000" w:themeColor="text1"/>
              </w:rPr>
            </w:pPr>
            <w:r w:rsidRPr="00286216">
              <w:rPr>
                <w:color w:val="000000" w:themeColor="text1"/>
              </w:rPr>
              <w:t>4. Регульована інформація розкривається приватними акціонерними товариствами (у разі якщо щодо цінних паперів такого товариства не здійснювалася публічна пропозиція) виключно шляхом її розміщення на своєму веб-сайті та шляхом подання до Національної комісії з цінних паперів та фондового ринку.</w:t>
            </w:r>
          </w:p>
        </w:tc>
      </w:tr>
      <w:tr w:rsidR="00D836EB" w:rsidRPr="00286216" w14:paraId="1C4DE4FB" w14:textId="77777777" w:rsidTr="00091AA5">
        <w:tc>
          <w:tcPr>
            <w:tcW w:w="576" w:type="dxa"/>
          </w:tcPr>
          <w:p w14:paraId="1F334767" w14:textId="77777777" w:rsidR="00D836EB" w:rsidRPr="00286216" w:rsidRDefault="00D836EB" w:rsidP="00D836EB">
            <w:pPr>
              <w:pStyle w:val="StyleWisnow"/>
              <w:rPr>
                <w:color w:val="000000" w:themeColor="text1"/>
              </w:rPr>
            </w:pPr>
            <w:bookmarkStart w:id="1814" w:name="n2059" w:colFirst="0" w:colLast="0"/>
            <w:bookmarkEnd w:id="1813"/>
            <w:r w:rsidRPr="00286216">
              <w:rPr>
                <w:color w:val="000000" w:themeColor="text1"/>
              </w:rPr>
              <w:t>2059.</w:t>
            </w:r>
          </w:p>
        </w:tc>
        <w:tc>
          <w:tcPr>
            <w:tcW w:w="4818" w:type="dxa"/>
          </w:tcPr>
          <w:p w14:paraId="0D4705A6" w14:textId="77777777" w:rsidR="00D836EB" w:rsidRPr="00286216" w:rsidRDefault="00D836EB" w:rsidP="00D836EB">
            <w:pPr>
              <w:pStyle w:val="StyleZakonu"/>
              <w:rPr>
                <w:color w:val="000000" w:themeColor="text1"/>
              </w:rPr>
            </w:pPr>
            <w:r w:rsidRPr="00286216">
              <w:rPr>
                <w:color w:val="000000" w:themeColor="text1"/>
              </w:rPr>
              <w:t>5. Приватне акціонерне товариство (у разі якщо таким товариством не здійснювалася публічна пропозиція цінних паперів), 100 відсотків акцій якого прямо або опосередковано належать одній особі, крім товариства, яке є підприємством, що становить суспільний інтерес, та/або 100 відсотків акцій якого прямо або опосередковано належать державі, не розкриває регульовану інформацію, якщо інше не встановлено його статутом.</w:t>
            </w:r>
          </w:p>
        </w:tc>
        <w:tc>
          <w:tcPr>
            <w:tcW w:w="3686" w:type="dxa"/>
          </w:tcPr>
          <w:p w14:paraId="78B072DD" w14:textId="713F3712"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4338604" w14:textId="509CA66B" w:rsidR="00D836EB" w:rsidRPr="00286216" w:rsidRDefault="00D836EB" w:rsidP="00D836EB">
            <w:pPr>
              <w:pStyle w:val="StyleProp"/>
              <w:spacing w:line="180" w:lineRule="exact"/>
              <w:rPr>
                <w:color w:val="000000" w:themeColor="text1"/>
                <w:szCs w:val="18"/>
              </w:rPr>
            </w:pPr>
            <w:r w:rsidRPr="00286216">
              <w:rPr>
                <w:color w:val="000000" w:themeColor="text1"/>
                <w:szCs w:val="18"/>
              </w:rPr>
              <w:t>Абзац перший частини п’ятої статті 120 викласти в такій редакції:</w:t>
            </w:r>
          </w:p>
          <w:p w14:paraId="67A9197F"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«5. Приватне акціонерне товариство (крім товариства, яке  здійснювало публічну пропозицію цінних паперів та/або товариства, яке є підприємством, що становить суспільний інтерес та/або товариства 100 відсотків акцій якого прямо або опосередковано належать державі) 100 відсотків акцій якого прямо або опосередковано належать одній особі не розкриває регульовану інформацію, якщо інше не встановлено його статутом.».</w:t>
            </w:r>
          </w:p>
        </w:tc>
        <w:tc>
          <w:tcPr>
            <w:tcW w:w="1987" w:type="dxa"/>
          </w:tcPr>
          <w:p w14:paraId="5D44195E"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88E0B22" w14:textId="1C9375C6" w:rsidR="00D836EB" w:rsidRPr="00286216" w:rsidRDefault="00D836EB" w:rsidP="00D836EB">
            <w:pPr>
              <w:pStyle w:val="StyleZakonu"/>
              <w:rPr>
                <w:color w:val="000000" w:themeColor="text1"/>
              </w:rPr>
            </w:pPr>
            <w:r w:rsidRPr="00286216">
              <w:rPr>
                <w:color w:val="000000" w:themeColor="text1"/>
                <w:szCs w:val="18"/>
              </w:rPr>
              <w:t>5. Приватне акціонерне товариство (крім товариства, яке  здійснювало публічну пропозицію цінних паперів, та/або товариства, яке є підприємством, що становить суспільний інтерес, та/або товариства, 100 відсотків акцій якого прямо або опосередковано належать державі), 100 відсотків акцій якого прямо або опосередковано належать одній особі, не розкриває регульовану інформацію, якщо інше не встановлено його статутом.</w:t>
            </w:r>
          </w:p>
        </w:tc>
      </w:tr>
      <w:tr w:rsidR="00D836EB" w:rsidRPr="00286216" w14:paraId="217EC9FD" w14:textId="77777777" w:rsidTr="00091AA5">
        <w:tc>
          <w:tcPr>
            <w:tcW w:w="576" w:type="dxa"/>
          </w:tcPr>
          <w:p w14:paraId="13738092" w14:textId="77777777" w:rsidR="00D836EB" w:rsidRPr="00286216" w:rsidRDefault="00D836EB" w:rsidP="00D836EB">
            <w:pPr>
              <w:pStyle w:val="StyleWisnow"/>
              <w:rPr>
                <w:color w:val="000000" w:themeColor="text1"/>
              </w:rPr>
            </w:pPr>
            <w:bookmarkStart w:id="1815" w:name="n2060" w:colFirst="0" w:colLast="0"/>
            <w:bookmarkEnd w:id="1814"/>
            <w:r w:rsidRPr="00286216">
              <w:rPr>
                <w:color w:val="000000" w:themeColor="text1"/>
              </w:rPr>
              <w:t>2060.</w:t>
            </w:r>
          </w:p>
        </w:tc>
        <w:tc>
          <w:tcPr>
            <w:tcW w:w="4818" w:type="dxa"/>
          </w:tcPr>
          <w:p w14:paraId="51182885" w14:textId="77777777" w:rsidR="00D836EB" w:rsidRPr="00286216" w:rsidRDefault="00D836EB" w:rsidP="00D836EB">
            <w:pPr>
              <w:pStyle w:val="StyleZakonu"/>
              <w:rPr>
                <w:color w:val="000000" w:themeColor="text1"/>
              </w:rPr>
            </w:pPr>
            <w:r w:rsidRPr="00286216">
              <w:rPr>
                <w:color w:val="000000" w:themeColor="text1"/>
              </w:rPr>
              <w:t>У такому разі приватне акціонерне товариство повинно розкривати свою структуру власності.</w:t>
            </w:r>
          </w:p>
        </w:tc>
        <w:tc>
          <w:tcPr>
            <w:tcW w:w="3686" w:type="dxa"/>
          </w:tcPr>
          <w:p w14:paraId="26D75B19" w14:textId="77777777" w:rsidR="00D836EB" w:rsidRPr="00286216" w:rsidRDefault="00D836EB" w:rsidP="00D836EB">
            <w:pPr>
              <w:pStyle w:val="StyleProp"/>
              <w:rPr>
                <w:color w:val="000000" w:themeColor="text1"/>
              </w:rPr>
            </w:pPr>
          </w:p>
        </w:tc>
        <w:tc>
          <w:tcPr>
            <w:tcW w:w="1987" w:type="dxa"/>
          </w:tcPr>
          <w:p w14:paraId="2ECE8D53" w14:textId="77777777" w:rsidR="00D836EB" w:rsidRPr="00286216" w:rsidRDefault="00D836EB" w:rsidP="00D836EB">
            <w:pPr>
              <w:pStyle w:val="StyleWisnow"/>
              <w:rPr>
                <w:color w:val="000000" w:themeColor="text1"/>
              </w:rPr>
            </w:pPr>
          </w:p>
        </w:tc>
        <w:tc>
          <w:tcPr>
            <w:tcW w:w="4818" w:type="dxa"/>
          </w:tcPr>
          <w:p w14:paraId="45106851" w14:textId="5E8E8740" w:rsidR="00D836EB" w:rsidRPr="00286216" w:rsidRDefault="00D836EB" w:rsidP="00D836EB">
            <w:pPr>
              <w:pStyle w:val="StyleZakonu"/>
              <w:rPr>
                <w:color w:val="000000" w:themeColor="text1"/>
              </w:rPr>
            </w:pPr>
            <w:r w:rsidRPr="00286216">
              <w:rPr>
                <w:color w:val="000000" w:themeColor="text1"/>
              </w:rPr>
              <w:t>У такому разі приватне акціонерне товариство повинно розкривати свою структуру власності юридичної особи.</w:t>
            </w:r>
          </w:p>
        </w:tc>
      </w:tr>
      <w:bookmarkEnd w:id="1815"/>
      <w:tr w:rsidR="00D836EB" w:rsidRPr="00286216" w14:paraId="715EC709" w14:textId="77777777" w:rsidTr="00091AA5">
        <w:tc>
          <w:tcPr>
            <w:tcW w:w="576" w:type="dxa"/>
          </w:tcPr>
          <w:p w14:paraId="00BBBA49" w14:textId="77777777" w:rsidR="00D836EB" w:rsidRPr="00286216" w:rsidRDefault="00D836EB" w:rsidP="00D836EB">
            <w:pPr>
              <w:pStyle w:val="StyleWisnow"/>
              <w:rPr>
                <w:color w:val="000000" w:themeColor="text1"/>
              </w:rPr>
            </w:pPr>
          </w:p>
        </w:tc>
        <w:tc>
          <w:tcPr>
            <w:tcW w:w="4818" w:type="dxa"/>
          </w:tcPr>
          <w:p w14:paraId="3CE6200B" w14:textId="77777777" w:rsidR="00D836EB" w:rsidRPr="00286216" w:rsidRDefault="00D836EB" w:rsidP="00D836EB">
            <w:pPr>
              <w:pStyle w:val="StyleZakonu"/>
              <w:rPr>
                <w:color w:val="000000" w:themeColor="text1"/>
              </w:rPr>
            </w:pPr>
          </w:p>
        </w:tc>
        <w:tc>
          <w:tcPr>
            <w:tcW w:w="3686" w:type="dxa"/>
          </w:tcPr>
          <w:p w14:paraId="772D1CBA" w14:textId="3A812C96" w:rsidR="00D836EB" w:rsidRPr="00286216" w:rsidRDefault="00D836EB" w:rsidP="00D836E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1032</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18B4033C" w14:textId="757DA0D6" w:rsidR="00D836EB" w:rsidRPr="00286216" w:rsidRDefault="00D836EB" w:rsidP="00D836EB">
            <w:pPr>
              <w:pStyle w:val="StyleProp"/>
              <w:spacing w:line="180" w:lineRule="exact"/>
              <w:rPr>
                <w:color w:val="000000" w:themeColor="text1"/>
                <w:spacing w:val="-4"/>
              </w:rPr>
            </w:pPr>
            <w:r w:rsidRPr="00286216">
              <w:rPr>
                <w:color w:val="000000" w:themeColor="text1"/>
                <w:spacing w:val="-4"/>
              </w:rPr>
              <w:t xml:space="preserve"> «Доповнити ст.120 частиною такого змісту:</w:t>
            </w:r>
          </w:p>
          <w:p w14:paraId="63680F33" w14:textId="101059C4" w:rsidR="00D836EB" w:rsidRPr="00286216" w:rsidRDefault="00D836EB" w:rsidP="00D836EB">
            <w:pPr>
              <w:pStyle w:val="StyleProp"/>
              <w:spacing w:line="180" w:lineRule="exact"/>
              <w:rPr>
                <w:color w:val="000000" w:themeColor="text1"/>
                <w:szCs w:val="18"/>
              </w:rPr>
            </w:pPr>
            <w:r w:rsidRPr="00286216">
              <w:rPr>
                <w:color w:val="000000" w:themeColor="text1"/>
                <w:spacing w:val="-2"/>
              </w:rPr>
              <w:t>"6. Вимоги цього Закону щодо розкриття регульованої інформації також застосовуються до особи, яка надає забезпечення".</w:t>
            </w:r>
          </w:p>
        </w:tc>
        <w:tc>
          <w:tcPr>
            <w:tcW w:w="1987" w:type="dxa"/>
          </w:tcPr>
          <w:p w14:paraId="2A1C0E97" w14:textId="3344B1AC" w:rsidR="00D836EB" w:rsidRPr="00286216" w:rsidRDefault="00D836EB" w:rsidP="00D836EB">
            <w:pPr>
              <w:pStyle w:val="StyleWisnow"/>
              <w:spacing w:line="180" w:lineRule="exact"/>
              <w:rPr>
                <w:color w:val="000000" w:themeColor="text1"/>
              </w:rPr>
            </w:pPr>
            <w:r w:rsidRPr="00286216">
              <w:rPr>
                <w:color w:val="000000" w:themeColor="text1"/>
              </w:rPr>
              <w:t>Враховано</w:t>
            </w:r>
          </w:p>
        </w:tc>
        <w:tc>
          <w:tcPr>
            <w:tcW w:w="4818" w:type="dxa"/>
          </w:tcPr>
          <w:p w14:paraId="11688263" w14:textId="78F1E01E" w:rsidR="00D836EB" w:rsidRPr="00286216" w:rsidRDefault="00D836EB" w:rsidP="00D836EB">
            <w:pPr>
              <w:pStyle w:val="StyleZakonu"/>
              <w:rPr>
                <w:color w:val="000000" w:themeColor="text1"/>
              </w:rPr>
            </w:pPr>
            <w:r w:rsidRPr="00286216">
              <w:rPr>
                <w:color w:val="000000" w:themeColor="text1"/>
              </w:rPr>
              <w:t>6. Вимоги цього Закону щодо розкриття регульованої інформації також застосовуються до особи, яка надає забезпечення.</w:t>
            </w:r>
          </w:p>
        </w:tc>
      </w:tr>
      <w:tr w:rsidR="00D836EB" w:rsidRPr="00286216" w14:paraId="3711E624" w14:textId="77777777" w:rsidTr="00091AA5">
        <w:tc>
          <w:tcPr>
            <w:tcW w:w="576" w:type="dxa"/>
          </w:tcPr>
          <w:p w14:paraId="1817AB3B" w14:textId="77777777" w:rsidR="00D836EB" w:rsidRPr="00286216" w:rsidRDefault="00D836EB" w:rsidP="00D836EB">
            <w:pPr>
              <w:pStyle w:val="StyleWisnow"/>
              <w:rPr>
                <w:color w:val="000000" w:themeColor="text1"/>
              </w:rPr>
            </w:pPr>
            <w:bookmarkStart w:id="1816" w:name="n2061" w:colFirst="0" w:colLast="0"/>
            <w:r w:rsidRPr="00286216">
              <w:rPr>
                <w:color w:val="000000" w:themeColor="text1"/>
              </w:rPr>
              <w:t>2061.</w:t>
            </w:r>
          </w:p>
        </w:tc>
        <w:tc>
          <w:tcPr>
            <w:tcW w:w="4818" w:type="dxa"/>
          </w:tcPr>
          <w:p w14:paraId="5F10B260" w14:textId="77777777" w:rsidR="00D836EB" w:rsidRPr="00286216" w:rsidRDefault="00D836EB" w:rsidP="00D836EB">
            <w:pPr>
              <w:pStyle w:val="StyleZakonu"/>
              <w:rPr>
                <w:color w:val="000000" w:themeColor="text1"/>
              </w:rPr>
            </w:pPr>
            <w:r w:rsidRPr="00286216">
              <w:rPr>
                <w:color w:val="000000" w:themeColor="text1"/>
              </w:rPr>
              <w:t>Стаття 121. Мова розкриття регульованої інформації</w:t>
            </w:r>
          </w:p>
        </w:tc>
        <w:tc>
          <w:tcPr>
            <w:tcW w:w="3686" w:type="dxa"/>
          </w:tcPr>
          <w:p w14:paraId="4646B776" w14:textId="3427EBB6" w:rsidR="00D836EB" w:rsidRPr="00286216" w:rsidRDefault="00D836EB" w:rsidP="00D836EB">
            <w:pPr>
              <w:pStyle w:val="StyleProp"/>
              <w:rPr>
                <w:color w:val="000000" w:themeColor="text1"/>
                <w:szCs w:val="18"/>
              </w:rPr>
            </w:pPr>
          </w:p>
        </w:tc>
        <w:tc>
          <w:tcPr>
            <w:tcW w:w="1987" w:type="dxa"/>
          </w:tcPr>
          <w:p w14:paraId="21F8FC11" w14:textId="3CFFA501" w:rsidR="00D836EB" w:rsidRPr="00286216" w:rsidRDefault="00D836EB" w:rsidP="00D836EB">
            <w:pPr>
              <w:pStyle w:val="StyleWisnow"/>
              <w:spacing w:line="180" w:lineRule="exact"/>
              <w:rPr>
                <w:color w:val="000000" w:themeColor="text1"/>
              </w:rPr>
            </w:pPr>
          </w:p>
        </w:tc>
        <w:tc>
          <w:tcPr>
            <w:tcW w:w="4818" w:type="dxa"/>
          </w:tcPr>
          <w:p w14:paraId="67EAD59D" w14:textId="304428FE" w:rsidR="00D836EB" w:rsidRPr="00286216" w:rsidRDefault="00D836EB" w:rsidP="00D836EB">
            <w:pPr>
              <w:pStyle w:val="StyleZakonu"/>
              <w:rPr>
                <w:color w:val="000000" w:themeColor="text1"/>
              </w:rPr>
            </w:pPr>
            <w:r w:rsidRPr="00286216">
              <w:rPr>
                <w:color w:val="000000" w:themeColor="text1"/>
              </w:rPr>
              <w:t>Стаття 125. Мова розкриття регульованої інформації</w:t>
            </w:r>
          </w:p>
        </w:tc>
      </w:tr>
      <w:tr w:rsidR="00D836EB" w:rsidRPr="00286216" w14:paraId="7ED9FC3A" w14:textId="77777777" w:rsidTr="00091AA5">
        <w:tc>
          <w:tcPr>
            <w:tcW w:w="576" w:type="dxa"/>
          </w:tcPr>
          <w:p w14:paraId="44B6C174" w14:textId="77777777" w:rsidR="00D836EB" w:rsidRPr="00286216" w:rsidRDefault="00D836EB" w:rsidP="00D836EB">
            <w:pPr>
              <w:pStyle w:val="StyleWisnow"/>
              <w:rPr>
                <w:color w:val="000000" w:themeColor="text1"/>
              </w:rPr>
            </w:pPr>
            <w:bookmarkStart w:id="1817" w:name="n2062" w:colFirst="0" w:colLast="0"/>
            <w:bookmarkEnd w:id="1816"/>
            <w:r w:rsidRPr="00286216">
              <w:rPr>
                <w:color w:val="000000" w:themeColor="text1"/>
              </w:rPr>
              <w:t>2062.</w:t>
            </w:r>
          </w:p>
        </w:tc>
        <w:tc>
          <w:tcPr>
            <w:tcW w:w="4818" w:type="dxa"/>
          </w:tcPr>
          <w:p w14:paraId="322858D5" w14:textId="77777777" w:rsidR="00D836EB" w:rsidRPr="00286216" w:rsidRDefault="00D836EB" w:rsidP="00D836EB">
            <w:pPr>
              <w:pStyle w:val="StyleZakonu"/>
              <w:rPr>
                <w:color w:val="000000" w:themeColor="text1"/>
              </w:rPr>
            </w:pPr>
            <w:r w:rsidRPr="00286216">
              <w:rPr>
                <w:color w:val="000000" w:themeColor="text1"/>
              </w:rPr>
              <w:t>1. Регульована інформація розкривається емітентом (крім іноземних емітентів) щонайменше державною мовою України.</w:t>
            </w:r>
          </w:p>
        </w:tc>
        <w:tc>
          <w:tcPr>
            <w:tcW w:w="3686" w:type="dxa"/>
          </w:tcPr>
          <w:p w14:paraId="72369890" w14:textId="5590E716" w:rsidR="00D836EB" w:rsidRPr="00286216" w:rsidRDefault="00D836EB" w:rsidP="00D836E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1033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AC37018" w14:textId="3387CB3E" w:rsidR="00D836EB" w:rsidRPr="00286216" w:rsidRDefault="00D836EB" w:rsidP="00D836EB">
            <w:pPr>
              <w:pStyle w:val="StyleProp"/>
              <w:rPr>
                <w:color w:val="000000" w:themeColor="text1"/>
                <w:szCs w:val="18"/>
              </w:rPr>
            </w:pPr>
            <w:r w:rsidRPr="00286216">
              <w:rPr>
                <w:rFonts w:eastAsia="Calibri"/>
                <w:color w:val="000000" w:themeColor="text1"/>
                <w:szCs w:val="18"/>
              </w:rPr>
              <w:t>Статтю 121 Закону виключити</w:t>
            </w:r>
            <w:r w:rsidRPr="00286216">
              <w:rPr>
                <w:color w:val="000000" w:themeColor="text1"/>
                <w:szCs w:val="18"/>
              </w:rPr>
              <w:t>.</w:t>
            </w:r>
          </w:p>
        </w:tc>
        <w:tc>
          <w:tcPr>
            <w:tcW w:w="1987" w:type="dxa"/>
          </w:tcPr>
          <w:p w14:paraId="7B8CD7F8" w14:textId="77777777" w:rsidR="00D836EB" w:rsidRPr="00286216" w:rsidRDefault="00D836EB" w:rsidP="00D836EB">
            <w:pPr>
              <w:pStyle w:val="StyleWisnow"/>
              <w:spacing w:line="180" w:lineRule="exact"/>
              <w:rPr>
                <w:color w:val="000000" w:themeColor="text1"/>
              </w:rPr>
            </w:pPr>
            <w:r w:rsidRPr="00286216">
              <w:rPr>
                <w:color w:val="000000" w:themeColor="text1"/>
              </w:rPr>
              <w:t>Відхилено</w:t>
            </w:r>
          </w:p>
          <w:p w14:paraId="66B04207" w14:textId="2033DF5E" w:rsidR="00D836EB" w:rsidRPr="00286216" w:rsidRDefault="00D836EB" w:rsidP="00D836EB">
            <w:pPr>
              <w:pStyle w:val="StyleWisnow"/>
              <w:spacing w:line="180" w:lineRule="exact"/>
              <w:rPr>
                <w:color w:val="000000" w:themeColor="text1"/>
              </w:rPr>
            </w:pPr>
            <w:r w:rsidRPr="00286216">
              <w:rPr>
                <w:color w:val="000000" w:themeColor="text1"/>
              </w:rPr>
              <w:t xml:space="preserve">з метою спрощення процесів </w:t>
            </w:r>
            <w:r w:rsidRPr="00286216">
              <w:rPr>
                <w:color w:val="000000" w:themeColor="text1"/>
                <w:spacing w:val="-4"/>
              </w:rPr>
              <w:t>надання адміністративних</w:t>
            </w:r>
            <w:r w:rsidRPr="00286216">
              <w:rPr>
                <w:color w:val="000000" w:themeColor="text1"/>
              </w:rPr>
              <w:t xml:space="preserve"> послуг для учасників ринку з іноземним капіталом;</w:t>
            </w:r>
          </w:p>
        </w:tc>
        <w:tc>
          <w:tcPr>
            <w:tcW w:w="4818" w:type="dxa"/>
          </w:tcPr>
          <w:p w14:paraId="12E1E34F" w14:textId="1691BFAA" w:rsidR="00D836EB" w:rsidRPr="00286216" w:rsidRDefault="00D836EB" w:rsidP="00D836EB">
            <w:pPr>
              <w:pStyle w:val="StyleZakonu"/>
              <w:rPr>
                <w:color w:val="000000" w:themeColor="text1"/>
              </w:rPr>
            </w:pPr>
            <w:r w:rsidRPr="00286216">
              <w:rPr>
                <w:color w:val="000000" w:themeColor="text1"/>
              </w:rPr>
              <w:t>1. Регульована інформація розкривається емітентом (крім іноземних емітентів) щонайменше державною мовою України.</w:t>
            </w:r>
          </w:p>
        </w:tc>
      </w:tr>
      <w:tr w:rsidR="00D836EB" w:rsidRPr="00286216" w14:paraId="6D192B72" w14:textId="77777777" w:rsidTr="00091AA5">
        <w:tc>
          <w:tcPr>
            <w:tcW w:w="576" w:type="dxa"/>
          </w:tcPr>
          <w:p w14:paraId="0BAE358F" w14:textId="77777777" w:rsidR="00D836EB" w:rsidRPr="00286216" w:rsidRDefault="00D836EB" w:rsidP="00D836EB">
            <w:pPr>
              <w:pStyle w:val="StyleWisnow"/>
              <w:rPr>
                <w:color w:val="000000" w:themeColor="text1"/>
              </w:rPr>
            </w:pPr>
            <w:bookmarkStart w:id="1818" w:name="n2063" w:colFirst="0" w:colLast="0"/>
            <w:bookmarkEnd w:id="1817"/>
            <w:r w:rsidRPr="00286216">
              <w:rPr>
                <w:color w:val="000000" w:themeColor="text1"/>
              </w:rPr>
              <w:lastRenderedPageBreak/>
              <w:t>2063.</w:t>
            </w:r>
          </w:p>
        </w:tc>
        <w:tc>
          <w:tcPr>
            <w:tcW w:w="4818" w:type="dxa"/>
          </w:tcPr>
          <w:p w14:paraId="3549656C" w14:textId="77777777" w:rsidR="00D836EB" w:rsidRPr="00286216" w:rsidRDefault="00D836EB" w:rsidP="00D836EB">
            <w:pPr>
              <w:pStyle w:val="StyleZakonu"/>
              <w:rPr>
                <w:color w:val="000000" w:themeColor="text1"/>
              </w:rPr>
            </w:pPr>
            <w:r w:rsidRPr="00286216">
              <w:rPr>
                <w:color w:val="000000" w:themeColor="text1"/>
              </w:rPr>
              <w:t>Регульована інформація розкривається іноземним емітентом відповідно до вимог, встановлених статтею 136 цього Закону.</w:t>
            </w:r>
          </w:p>
        </w:tc>
        <w:tc>
          <w:tcPr>
            <w:tcW w:w="3686" w:type="dxa"/>
          </w:tcPr>
          <w:p w14:paraId="5BC4BC18" w14:textId="77777777" w:rsidR="00D836EB" w:rsidRPr="00286216" w:rsidRDefault="00D836EB" w:rsidP="00D836EB">
            <w:pPr>
              <w:pStyle w:val="StyleProp"/>
              <w:rPr>
                <w:color w:val="000000" w:themeColor="text1"/>
                <w:szCs w:val="18"/>
              </w:rPr>
            </w:pPr>
          </w:p>
        </w:tc>
        <w:tc>
          <w:tcPr>
            <w:tcW w:w="1987" w:type="dxa"/>
          </w:tcPr>
          <w:p w14:paraId="2570D916" w14:textId="77777777" w:rsidR="00D836EB" w:rsidRPr="00286216" w:rsidRDefault="00D836EB" w:rsidP="00D836EB">
            <w:pPr>
              <w:pStyle w:val="StyleWisnow"/>
              <w:rPr>
                <w:color w:val="000000" w:themeColor="text1"/>
              </w:rPr>
            </w:pPr>
          </w:p>
        </w:tc>
        <w:tc>
          <w:tcPr>
            <w:tcW w:w="4818" w:type="dxa"/>
          </w:tcPr>
          <w:p w14:paraId="7544D7D6" w14:textId="768CDA09" w:rsidR="00D836EB" w:rsidRPr="00286216" w:rsidRDefault="00D836EB" w:rsidP="00D836EB">
            <w:pPr>
              <w:pStyle w:val="StyleZakonu"/>
              <w:rPr>
                <w:color w:val="000000" w:themeColor="text1"/>
              </w:rPr>
            </w:pPr>
            <w:r w:rsidRPr="00286216">
              <w:rPr>
                <w:color w:val="000000" w:themeColor="text1"/>
              </w:rPr>
              <w:t>Регульована інформація розкривається іноземним емітентом відповідно до вимог, встановлених статтею 140 цього Закону.</w:t>
            </w:r>
          </w:p>
        </w:tc>
      </w:tr>
      <w:tr w:rsidR="00D836EB" w:rsidRPr="00286216" w14:paraId="2E3B7345" w14:textId="77777777" w:rsidTr="00091AA5">
        <w:tc>
          <w:tcPr>
            <w:tcW w:w="576" w:type="dxa"/>
          </w:tcPr>
          <w:p w14:paraId="79A4943F" w14:textId="77777777" w:rsidR="00D836EB" w:rsidRPr="00286216" w:rsidRDefault="00D836EB" w:rsidP="00D836EB">
            <w:pPr>
              <w:pStyle w:val="StyleWisnow"/>
              <w:rPr>
                <w:color w:val="000000" w:themeColor="text1"/>
              </w:rPr>
            </w:pPr>
            <w:bookmarkStart w:id="1819" w:name="n2064" w:colFirst="0" w:colLast="0"/>
            <w:bookmarkEnd w:id="1818"/>
            <w:r w:rsidRPr="00286216">
              <w:rPr>
                <w:color w:val="000000" w:themeColor="text1"/>
              </w:rPr>
              <w:t>2064.</w:t>
            </w:r>
          </w:p>
        </w:tc>
        <w:tc>
          <w:tcPr>
            <w:tcW w:w="4818" w:type="dxa"/>
          </w:tcPr>
          <w:p w14:paraId="39D81B04" w14:textId="77777777" w:rsidR="00D836EB" w:rsidRPr="00286216" w:rsidRDefault="00D836EB" w:rsidP="00D836EB">
            <w:pPr>
              <w:pStyle w:val="StyleZakonu"/>
              <w:rPr>
                <w:color w:val="000000" w:themeColor="text1"/>
              </w:rPr>
            </w:pPr>
            <w:r w:rsidRPr="00286216">
              <w:rPr>
                <w:color w:val="000000" w:themeColor="text1"/>
              </w:rPr>
              <w:t>2. Акціонери або фізичні чи юридичні особи, передбачені статтею 64</w:t>
            </w:r>
            <w:r w:rsidRPr="00286216">
              <w:rPr>
                <w:color w:val="000000" w:themeColor="text1"/>
                <w:vertAlign w:val="superscript"/>
              </w:rPr>
              <w:t>1</w:t>
            </w:r>
            <w:r w:rsidRPr="00286216">
              <w:rPr>
                <w:color w:val="000000" w:themeColor="text1"/>
              </w:rPr>
              <w:t xml:space="preserve"> Закону України "Про акціонерні товариства", мають право надавати інформацію емітенту та Національній комісії з цінних паперів та фондового ринку державною мовою України або англійською мовою.</w:t>
            </w:r>
          </w:p>
        </w:tc>
        <w:tc>
          <w:tcPr>
            <w:tcW w:w="3686" w:type="dxa"/>
          </w:tcPr>
          <w:p w14:paraId="6CC76173" w14:textId="584B87E0" w:rsidR="00D836EB" w:rsidRPr="00286216" w:rsidRDefault="00D836EB" w:rsidP="00D836EB">
            <w:pPr>
              <w:spacing w:line="220" w:lineRule="exact"/>
              <w:rPr>
                <w:b/>
                <w:i/>
                <w:color w:val="000000" w:themeColor="text1"/>
                <w:spacing w:val="-8"/>
                <w:sz w:val="18"/>
                <w:szCs w:val="18"/>
                <w:u w:val="single"/>
              </w:rPr>
            </w:pPr>
            <w:r w:rsidRPr="00286216">
              <w:rPr>
                <w:b/>
                <w:i/>
                <w:color w:val="000000" w:themeColor="text1"/>
                <w:spacing w:val="-8"/>
                <w:sz w:val="18"/>
                <w:szCs w:val="18"/>
                <w:u w:val="single"/>
              </w:rPr>
              <w:t>-</w:t>
            </w:r>
            <w:r w:rsidRPr="00286216">
              <w:rPr>
                <w:b/>
                <w:i/>
                <w:color w:val="000000" w:themeColor="text1"/>
                <w:spacing w:val="-8"/>
                <w:sz w:val="18"/>
                <w:szCs w:val="18"/>
                <w:u w:val="single"/>
              </w:rPr>
              <w:fldChar w:fldCharType="begin"/>
            </w:r>
            <w:r w:rsidRPr="00286216">
              <w:rPr>
                <w:b/>
                <w:i/>
                <w:color w:val="000000" w:themeColor="text1"/>
                <w:spacing w:val="-8"/>
                <w:sz w:val="18"/>
                <w:szCs w:val="18"/>
                <w:u w:val="single"/>
              </w:rPr>
              <w:instrText xml:space="preserve"> SEQ aa </w:instrText>
            </w:r>
            <w:r w:rsidRPr="00286216">
              <w:rPr>
                <w:b/>
                <w:i/>
                <w:color w:val="000000" w:themeColor="text1"/>
                <w:spacing w:val="-8"/>
                <w:sz w:val="18"/>
                <w:szCs w:val="18"/>
                <w:u w:val="single"/>
              </w:rPr>
              <w:fldChar w:fldCharType="separate"/>
            </w:r>
            <w:r w:rsidR="00C46B29">
              <w:rPr>
                <w:b/>
                <w:i/>
                <w:noProof/>
                <w:color w:val="000000" w:themeColor="text1"/>
                <w:spacing w:val="-8"/>
                <w:sz w:val="18"/>
                <w:szCs w:val="18"/>
                <w:u w:val="single"/>
              </w:rPr>
              <w:t>1034</w:t>
            </w:r>
            <w:r w:rsidRPr="00286216">
              <w:rPr>
                <w:b/>
                <w:i/>
                <w:color w:val="000000" w:themeColor="text1"/>
                <w:spacing w:val="-8"/>
                <w:sz w:val="18"/>
                <w:szCs w:val="18"/>
                <w:u w:val="single"/>
              </w:rPr>
              <w:fldChar w:fldCharType="end"/>
            </w:r>
            <w:r w:rsidRPr="00286216">
              <w:rPr>
                <w:b/>
                <w:i/>
                <w:color w:val="000000" w:themeColor="text1"/>
                <w:spacing w:val="-8"/>
                <w:sz w:val="18"/>
                <w:szCs w:val="18"/>
                <w:u w:val="single"/>
              </w:rPr>
              <w:t>-Н.д.Бєлькова О.В. (Реєстр.картка №403)</w:t>
            </w:r>
          </w:p>
          <w:p w14:paraId="3291321C" w14:textId="37F26A25" w:rsidR="00D836EB" w:rsidRPr="00286216" w:rsidRDefault="00D836EB" w:rsidP="00D836EB">
            <w:pPr>
              <w:pStyle w:val="StyleProp"/>
              <w:rPr>
                <w:color w:val="000000" w:themeColor="text1"/>
                <w:szCs w:val="18"/>
              </w:rPr>
            </w:pPr>
            <w:r w:rsidRPr="00286216">
              <w:rPr>
                <w:color w:val="000000" w:themeColor="text1"/>
              </w:rPr>
              <w:t>Статті 97,121,136 розділу 1 законопроекту виключити.</w:t>
            </w:r>
          </w:p>
        </w:tc>
        <w:tc>
          <w:tcPr>
            <w:tcW w:w="1987" w:type="dxa"/>
          </w:tcPr>
          <w:p w14:paraId="69DEE089" w14:textId="77777777" w:rsidR="00D836EB" w:rsidRPr="00286216" w:rsidRDefault="00D836EB" w:rsidP="00D836EB">
            <w:pPr>
              <w:pStyle w:val="StyleWisnow"/>
              <w:rPr>
                <w:color w:val="000000" w:themeColor="text1"/>
              </w:rPr>
            </w:pPr>
            <w:r w:rsidRPr="00286216">
              <w:rPr>
                <w:color w:val="000000" w:themeColor="text1"/>
              </w:rPr>
              <w:t>Відхилено</w:t>
            </w:r>
          </w:p>
          <w:p w14:paraId="073C24DB" w14:textId="4882F3EE" w:rsidR="00D836EB" w:rsidRPr="00286216" w:rsidRDefault="00D836EB" w:rsidP="00D836EB">
            <w:pPr>
              <w:pStyle w:val="StyleWisnow"/>
              <w:spacing w:line="180" w:lineRule="exact"/>
              <w:rPr>
                <w:color w:val="000000" w:themeColor="text1"/>
              </w:rPr>
            </w:pPr>
            <w:r w:rsidRPr="00286216">
              <w:rPr>
                <w:color w:val="000000" w:themeColor="text1"/>
              </w:rPr>
              <w:t xml:space="preserve">з метою спрощення процесів </w:t>
            </w:r>
            <w:r w:rsidRPr="00286216">
              <w:rPr>
                <w:color w:val="000000" w:themeColor="text1"/>
                <w:spacing w:val="-4"/>
              </w:rPr>
              <w:t>надання адміністративних</w:t>
            </w:r>
            <w:r w:rsidRPr="00286216">
              <w:rPr>
                <w:color w:val="000000" w:themeColor="text1"/>
              </w:rPr>
              <w:t xml:space="preserve"> послуг для учасників ринку з іноземним капіталом</w:t>
            </w:r>
          </w:p>
        </w:tc>
        <w:tc>
          <w:tcPr>
            <w:tcW w:w="4818" w:type="dxa"/>
          </w:tcPr>
          <w:p w14:paraId="295EA061" w14:textId="4512155D" w:rsidR="00D836EB" w:rsidRPr="00286216" w:rsidRDefault="00D836EB" w:rsidP="00D836EB">
            <w:pPr>
              <w:pStyle w:val="StyleZakonu"/>
              <w:rPr>
                <w:color w:val="000000" w:themeColor="text1"/>
              </w:rPr>
            </w:pPr>
            <w:r w:rsidRPr="00286216">
              <w:rPr>
                <w:color w:val="000000" w:themeColor="text1"/>
              </w:rPr>
              <w:t xml:space="preserve">2. Акціонери або фізичні чи юридичні особи, передбачені статтею 64 </w:t>
            </w:r>
            <w:r w:rsidRPr="00286216">
              <w:rPr>
                <w:color w:val="000000" w:themeColor="text1"/>
                <w:vertAlign w:val="superscript"/>
              </w:rPr>
              <w:t>1</w:t>
            </w:r>
            <w:r w:rsidRPr="00286216">
              <w:rPr>
                <w:color w:val="000000" w:themeColor="text1"/>
              </w:rPr>
              <w:t xml:space="preserve"> Закону України "Про акціонерні товариства", мають право надавати інформацію емітенту та Національній комісії з цінних паперів та фондового ринку державною мовою України або англійською мовою.</w:t>
            </w:r>
          </w:p>
        </w:tc>
      </w:tr>
      <w:tr w:rsidR="00D836EB" w:rsidRPr="00286216" w14:paraId="216CB49C" w14:textId="77777777" w:rsidTr="00091AA5">
        <w:tc>
          <w:tcPr>
            <w:tcW w:w="576" w:type="dxa"/>
          </w:tcPr>
          <w:p w14:paraId="39C1E33A" w14:textId="77777777" w:rsidR="00D836EB" w:rsidRPr="00286216" w:rsidRDefault="00D836EB" w:rsidP="00D836EB">
            <w:pPr>
              <w:pStyle w:val="StyleWisnow"/>
              <w:rPr>
                <w:color w:val="000000" w:themeColor="text1"/>
              </w:rPr>
            </w:pPr>
            <w:bookmarkStart w:id="1820" w:name="n2065" w:colFirst="0" w:colLast="0"/>
            <w:bookmarkEnd w:id="1819"/>
            <w:r w:rsidRPr="00286216">
              <w:rPr>
                <w:color w:val="000000" w:themeColor="text1"/>
              </w:rPr>
              <w:t>2065.</w:t>
            </w:r>
          </w:p>
        </w:tc>
        <w:tc>
          <w:tcPr>
            <w:tcW w:w="4818" w:type="dxa"/>
          </w:tcPr>
          <w:p w14:paraId="5E36F4A5" w14:textId="77777777" w:rsidR="00D836EB" w:rsidRPr="00286216" w:rsidRDefault="00D836EB" w:rsidP="00D836EB">
            <w:pPr>
              <w:pStyle w:val="StyleZakonu"/>
              <w:rPr>
                <w:color w:val="000000" w:themeColor="text1"/>
              </w:rPr>
            </w:pPr>
            <w:r w:rsidRPr="00286216">
              <w:rPr>
                <w:color w:val="000000" w:themeColor="text1"/>
              </w:rPr>
              <w:t>3. Інформація розкривається професійними учасниками та саморегулівними організаціями професійних учасників ринків капіталу, щонайменше державною мовою України.</w:t>
            </w:r>
          </w:p>
        </w:tc>
        <w:tc>
          <w:tcPr>
            <w:tcW w:w="3686" w:type="dxa"/>
          </w:tcPr>
          <w:p w14:paraId="7D545034" w14:textId="77777777" w:rsidR="00D836EB" w:rsidRPr="00286216" w:rsidRDefault="00D836EB" w:rsidP="00D836EB">
            <w:pPr>
              <w:pStyle w:val="StyleProp"/>
              <w:rPr>
                <w:color w:val="000000" w:themeColor="text1"/>
                <w:szCs w:val="18"/>
              </w:rPr>
            </w:pPr>
          </w:p>
        </w:tc>
        <w:tc>
          <w:tcPr>
            <w:tcW w:w="1987" w:type="dxa"/>
          </w:tcPr>
          <w:p w14:paraId="2695DB2B" w14:textId="77777777" w:rsidR="00D836EB" w:rsidRPr="00286216" w:rsidRDefault="00D836EB" w:rsidP="00D836EB">
            <w:pPr>
              <w:pStyle w:val="StyleWisnow"/>
              <w:rPr>
                <w:color w:val="000000" w:themeColor="text1"/>
              </w:rPr>
            </w:pPr>
          </w:p>
        </w:tc>
        <w:tc>
          <w:tcPr>
            <w:tcW w:w="4818" w:type="dxa"/>
          </w:tcPr>
          <w:p w14:paraId="5E05D942" w14:textId="2D2CF084" w:rsidR="00D836EB" w:rsidRPr="00286216" w:rsidRDefault="00D836EB" w:rsidP="00D836EB">
            <w:pPr>
              <w:pStyle w:val="StyleZakonu"/>
              <w:rPr>
                <w:color w:val="000000" w:themeColor="text1"/>
              </w:rPr>
            </w:pPr>
            <w:r w:rsidRPr="00286216">
              <w:rPr>
                <w:color w:val="000000" w:themeColor="text1"/>
              </w:rPr>
              <w:t>3. Інформація розкривається професійними учасниками та саморегулівними організаціями професійних учасників ринків капіталу, щонайменше державною мовою України.</w:t>
            </w:r>
          </w:p>
        </w:tc>
      </w:tr>
      <w:tr w:rsidR="00D836EB" w:rsidRPr="00286216" w14:paraId="4EE0740F" w14:textId="77777777" w:rsidTr="00091AA5">
        <w:tc>
          <w:tcPr>
            <w:tcW w:w="576" w:type="dxa"/>
          </w:tcPr>
          <w:p w14:paraId="62599345" w14:textId="77777777" w:rsidR="00D836EB" w:rsidRPr="00286216" w:rsidRDefault="00D836EB" w:rsidP="00D836EB">
            <w:pPr>
              <w:pStyle w:val="StyleWisnow"/>
              <w:rPr>
                <w:color w:val="000000" w:themeColor="text1"/>
              </w:rPr>
            </w:pPr>
            <w:bookmarkStart w:id="1821" w:name="n2066" w:colFirst="0" w:colLast="0"/>
            <w:bookmarkEnd w:id="1820"/>
            <w:r w:rsidRPr="00286216">
              <w:rPr>
                <w:color w:val="000000" w:themeColor="text1"/>
              </w:rPr>
              <w:t>2066.</w:t>
            </w:r>
          </w:p>
        </w:tc>
        <w:tc>
          <w:tcPr>
            <w:tcW w:w="4818" w:type="dxa"/>
          </w:tcPr>
          <w:p w14:paraId="2173ACAA" w14:textId="77777777" w:rsidR="00D836EB" w:rsidRPr="00286216" w:rsidRDefault="00D836EB" w:rsidP="00D836EB">
            <w:pPr>
              <w:pStyle w:val="StyleZakonu"/>
              <w:rPr>
                <w:color w:val="000000" w:themeColor="text1"/>
              </w:rPr>
            </w:pPr>
            <w:bookmarkStart w:id="1822" w:name="_Ref16419226"/>
            <w:r w:rsidRPr="00286216">
              <w:rPr>
                <w:color w:val="000000" w:themeColor="text1"/>
              </w:rPr>
              <w:t>Стаття 122. Регулярна інформація про емітента</w:t>
            </w:r>
            <w:bookmarkEnd w:id="1822"/>
          </w:p>
        </w:tc>
        <w:tc>
          <w:tcPr>
            <w:tcW w:w="3686" w:type="dxa"/>
          </w:tcPr>
          <w:p w14:paraId="6DB3AD21" w14:textId="77777777" w:rsidR="00D836EB" w:rsidRPr="00286216" w:rsidRDefault="00D836EB" w:rsidP="00D836EB">
            <w:pPr>
              <w:pStyle w:val="StyleProp"/>
              <w:rPr>
                <w:color w:val="000000" w:themeColor="text1"/>
                <w:szCs w:val="18"/>
              </w:rPr>
            </w:pPr>
          </w:p>
        </w:tc>
        <w:tc>
          <w:tcPr>
            <w:tcW w:w="1987" w:type="dxa"/>
          </w:tcPr>
          <w:p w14:paraId="2105ADBF" w14:textId="77777777" w:rsidR="00D836EB" w:rsidRPr="00286216" w:rsidRDefault="00D836EB" w:rsidP="00D836EB">
            <w:pPr>
              <w:pStyle w:val="StyleWisnow"/>
              <w:rPr>
                <w:color w:val="000000" w:themeColor="text1"/>
              </w:rPr>
            </w:pPr>
          </w:p>
        </w:tc>
        <w:tc>
          <w:tcPr>
            <w:tcW w:w="4818" w:type="dxa"/>
          </w:tcPr>
          <w:p w14:paraId="71E73B72" w14:textId="7F0BBC77" w:rsidR="00D836EB" w:rsidRPr="00286216" w:rsidRDefault="00D836EB" w:rsidP="00D836EB">
            <w:pPr>
              <w:pStyle w:val="StyleZakonu"/>
              <w:rPr>
                <w:color w:val="000000" w:themeColor="text1"/>
              </w:rPr>
            </w:pPr>
            <w:r w:rsidRPr="00286216">
              <w:rPr>
                <w:color w:val="000000" w:themeColor="text1"/>
              </w:rPr>
              <w:t>Стаття 126. Регулярна інформація про емітента</w:t>
            </w:r>
          </w:p>
        </w:tc>
      </w:tr>
      <w:tr w:rsidR="00D836EB" w:rsidRPr="00286216" w14:paraId="6979165B" w14:textId="77777777" w:rsidTr="00091AA5">
        <w:tc>
          <w:tcPr>
            <w:tcW w:w="576" w:type="dxa"/>
          </w:tcPr>
          <w:p w14:paraId="13D12FCE" w14:textId="77777777" w:rsidR="00D836EB" w:rsidRPr="00286216" w:rsidRDefault="00D836EB" w:rsidP="00D836EB">
            <w:pPr>
              <w:pStyle w:val="StyleWisnow"/>
              <w:rPr>
                <w:color w:val="000000" w:themeColor="text1"/>
              </w:rPr>
            </w:pPr>
            <w:bookmarkStart w:id="1823" w:name="n2067" w:colFirst="0" w:colLast="0"/>
            <w:bookmarkEnd w:id="1821"/>
            <w:r w:rsidRPr="00286216">
              <w:rPr>
                <w:color w:val="000000" w:themeColor="text1"/>
              </w:rPr>
              <w:t>2067.</w:t>
            </w:r>
          </w:p>
        </w:tc>
        <w:tc>
          <w:tcPr>
            <w:tcW w:w="4818" w:type="dxa"/>
          </w:tcPr>
          <w:p w14:paraId="5B23A8D5" w14:textId="77777777" w:rsidR="00D836EB" w:rsidRPr="00286216" w:rsidRDefault="00D836EB" w:rsidP="00D836EB">
            <w:pPr>
              <w:pStyle w:val="StyleZakonu"/>
              <w:rPr>
                <w:color w:val="000000" w:themeColor="text1"/>
              </w:rPr>
            </w:pPr>
            <w:r w:rsidRPr="00286216">
              <w:rPr>
                <w:color w:val="000000" w:themeColor="text1"/>
              </w:rPr>
              <w:t>1. Регулярна інформація про емітента - річна та проміжна звітна інформація про результати фінансово-господарської діяльності емітента, яка розкривається на ринках капіталу та організованих товарних ринках, в тому числі шляхом подання до Національної комісії з цінних паперів та фондового ринку.</w:t>
            </w:r>
          </w:p>
        </w:tc>
        <w:tc>
          <w:tcPr>
            <w:tcW w:w="3686" w:type="dxa"/>
          </w:tcPr>
          <w:p w14:paraId="0210D9A9" w14:textId="77777777" w:rsidR="00D836EB" w:rsidRPr="00286216" w:rsidRDefault="00D836EB" w:rsidP="00D836EB">
            <w:pPr>
              <w:pStyle w:val="StyleProp"/>
              <w:rPr>
                <w:color w:val="000000" w:themeColor="text1"/>
                <w:szCs w:val="18"/>
              </w:rPr>
            </w:pPr>
          </w:p>
        </w:tc>
        <w:tc>
          <w:tcPr>
            <w:tcW w:w="1987" w:type="dxa"/>
          </w:tcPr>
          <w:p w14:paraId="5B7AD98C" w14:textId="77777777" w:rsidR="00D836EB" w:rsidRPr="00286216" w:rsidRDefault="00D836EB" w:rsidP="00D836EB">
            <w:pPr>
              <w:pStyle w:val="StyleWisnow"/>
              <w:rPr>
                <w:color w:val="000000" w:themeColor="text1"/>
              </w:rPr>
            </w:pPr>
          </w:p>
        </w:tc>
        <w:tc>
          <w:tcPr>
            <w:tcW w:w="4818" w:type="dxa"/>
          </w:tcPr>
          <w:p w14:paraId="12F8AFB3" w14:textId="346AAE3F" w:rsidR="00D836EB" w:rsidRPr="00286216" w:rsidRDefault="00D836EB" w:rsidP="00D836EB">
            <w:pPr>
              <w:pStyle w:val="StyleZakonu"/>
              <w:rPr>
                <w:color w:val="000000" w:themeColor="text1"/>
              </w:rPr>
            </w:pPr>
            <w:r w:rsidRPr="00286216">
              <w:rPr>
                <w:color w:val="000000" w:themeColor="text1"/>
              </w:rPr>
              <w:t>1. Регулярна інформація про емітента – це річна та проміжна звітна інформація про результати фінансово-господарської діяльності емітента, яка розкривається на ринках капіталу та організованих товарних ринках, у тому числі шляхом подання до Національної комісії з цінних паперів та фондового ринку.</w:t>
            </w:r>
          </w:p>
        </w:tc>
      </w:tr>
      <w:tr w:rsidR="00D836EB" w:rsidRPr="00286216" w14:paraId="3B6EEBA4" w14:textId="77777777" w:rsidTr="00091AA5">
        <w:tc>
          <w:tcPr>
            <w:tcW w:w="576" w:type="dxa"/>
          </w:tcPr>
          <w:p w14:paraId="655B80F7" w14:textId="77777777" w:rsidR="00D836EB" w:rsidRPr="00286216" w:rsidRDefault="00D836EB" w:rsidP="00D836EB">
            <w:pPr>
              <w:pStyle w:val="StyleWisnow"/>
              <w:rPr>
                <w:color w:val="000000" w:themeColor="text1"/>
              </w:rPr>
            </w:pPr>
            <w:bookmarkStart w:id="1824" w:name="n2068" w:colFirst="0" w:colLast="0"/>
            <w:bookmarkEnd w:id="1823"/>
            <w:r w:rsidRPr="00286216">
              <w:rPr>
                <w:color w:val="000000" w:themeColor="text1"/>
              </w:rPr>
              <w:t>2068.</w:t>
            </w:r>
          </w:p>
        </w:tc>
        <w:tc>
          <w:tcPr>
            <w:tcW w:w="4818" w:type="dxa"/>
          </w:tcPr>
          <w:p w14:paraId="026F70C1" w14:textId="77777777" w:rsidR="00D836EB" w:rsidRPr="00286216" w:rsidRDefault="00D836EB" w:rsidP="00D836EB">
            <w:pPr>
              <w:pStyle w:val="StyleZakonu"/>
              <w:rPr>
                <w:color w:val="000000" w:themeColor="text1"/>
              </w:rPr>
            </w:pPr>
            <w:r w:rsidRPr="00286216">
              <w:rPr>
                <w:color w:val="000000" w:themeColor="text1"/>
              </w:rPr>
              <w:t>2. Звітним періодом для складання річної інформації про емітента є календарний рік.</w:t>
            </w:r>
          </w:p>
        </w:tc>
        <w:tc>
          <w:tcPr>
            <w:tcW w:w="3686" w:type="dxa"/>
          </w:tcPr>
          <w:p w14:paraId="08455A9B" w14:textId="77777777" w:rsidR="00D836EB" w:rsidRPr="00286216" w:rsidRDefault="00D836EB" w:rsidP="00D836EB">
            <w:pPr>
              <w:pStyle w:val="StyleProp"/>
              <w:rPr>
                <w:color w:val="000000" w:themeColor="text1"/>
                <w:szCs w:val="18"/>
              </w:rPr>
            </w:pPr>
          </w:p>
        </w:tc>
        <w:tc>
          <w:tcPr>
            <w:tcW w:w="1987" w:type="dxa"/>
          </w:tcPr>
          <w:p w14:paraId="67B1B284" w14:textId="77777777" w:rsidR="00D836EB" w:rsidRPr="00286216" w:rsidRDefault="00D836EB" w:rsidP="00D836EB">
            <w:pPr>
              <w:pStyle w:val="StyleWisnow"/>
              <w:rPr>
                <w:color w:val="000000" w:themeColor="text1"/>
              </w:rPr>
            </w:pPr>
          </w:p>
        </w:tc>
        <w:tc>
          <w:tcPr>
            <w:tcW w:w="4818" w:type="dxa"/>
          </w:tcPr>
          <w:p w14:paraId="271A6A5B" w14:textId="7AB5FF4F" w:rsidR="00D836EB" w:rsidRPr="00286216" w:rsidRDefault="00D836EB" w:rsidP="00D836EB">
            <w:pPr>
              <w:pStyle w:val="StyleZakonu"/>
              <w:rPr>
                <w:color w:val="000000" w:themeColor="text1"/>
              </w:rPr>
            </w:pPr>
            <w:r w:rsidRPr="00286216">
              <w:rPr>
                <w:color w:val="000000" w:themeColor="text1"/>
              </w:rPr>
              <w:t>2. Звітним періодом для складання річної інформації про емітента є календарний рік.</w:t>
            </w:r>
          </w:p>
        </w:tc>
      </w:tr>
      <w:tr w:rsidR="00D836EB" w:rsidRPr="00286216" w14:paraId="4E6DE503" w14:textId="77777777" w:rsidTr="00091AA5">
        <w:tc>
          <w:tcPr>
            <w:tcW w:w="576" w:type="dxa"/>
          </w:tcPr>
          <w:p w14:paraId="2952D077" w14:textId="77777777" w:rsidR="00D836EB" w:rsidRPr="00286216" w:rsidRDefault="00D836EB" w:rsidP="00D836EB">
            <w:pPr>
              <w:pStyle w:val="StyleWisnow"/>
              <w:rPr>
                <w:color w:val="000000" w:themeColor="text1"/>
              </w:rPr>
            </w:pPr>
            <w:bookmarkStart w:id="1825" w:name="n2069" w:colFirst="0" w:colLast="0"/>
            <w:bookmarkEnd w:id="1824"/>
            <w:r w:rsidRPr="00286216">
              <w:rPr>
                <w:color w:val="000000" w:themeColor="text1"/>
              </w:rPr>
              <w:t>2069.</w:t>
            </w:r>
          </w:p>
        </w:tc>
        <w:tc>
          <w:tcPr>
            <w:tcW w:w="4818" w:type="dxa"/>
          </w:tcPr>
          <w:p w14:paraId="69142F8F" w14:textId="77777777" w:rsidR="00D836EB" w:rsidRPr="00286216" w:rsidRDefault="00D836EB" w:rsidP="00D836EB">
            <w:pPr>
              <w:pStyle w:val="StyleZakonu"/>
              <w:rPr>
                <w:color w:val="000000" w:themeColor="text1"/>
              </w:rPr>
            </w:pPr>
            <w:r w:rsidRPr="00286216">
              <w:rPr>
                <w:color w:val="000000" w:themeColor="text1"/>
              </w:rPr>
              <w:t>Перший звітний період емітента може бути меншим, ніж 12 місяців, та обчислюється для емітентів (крім іноземних) з дня державної реєстрації такого емітента як юридичної особи до 31 грудня звітного року включно.</w:t>
            </w:r>
          </w:p>
        </w:tc>
        <w:tc>
          <w:tcPr>
            <w:tcW w:w="3686" w:type="dxa"/>
          </w:tcPr>
          <w:p w14:paraId="467161FB" w14:textId="77777777" w:rsidR="00D836EB" w:rsidRPr="00286216" w:rsidRDefault="00D836EB" w:rsidP="00D836EB">
            <w:pPr>
              <w:pStyle w:val="StyleProp"/>
              <w:rPr>
                <w:color w:val="000000" w:themeColor="text1"/>
                <w:szCs w:val="18"/>
              </w:rPr>
            </w:pPr>
          </w:p>
        </w:tc>
        <w:tc>
          <w:tcPr>
            <w:tcW w:w="1987" w:type="dxa"/>
          </w:tcPr>
          <w:p w14:paraId="06C8BCA5" w14:textId="77777777" w:rsidR="00D836EB" w:rsidRPr="00286216" w:rsidRDefault="00D836EB" w:rsidP="00D836EB">
            <w:pPr>
              <w:pStyle w:val="StyleWisnow"/>
              <w:rPr>
                <w:color w:val="000000" w:themeColor="text1"/>
              </w:rPr>
            </w:pPr>
          </w:p>
        </w:tc>
        <w:tc>
          <w:tcPr>
            <w:tcW w:w="4818" w:type="dxa"/>
          </w:tcPr>
          <w:p w14:paraId="5DF9ACFA" w14:textId="1B2F9883" w:rsidR="00D836EB" w:rsidRPr="00286216" w:rsidRDefault="00D836EB" w:rsidP="00D836EB">
            <w:pPr>
              <w:pStyle w:val="StyleZakonu"/>
              <w:rPr>
                <w:color w:val="000000" w:themeColor="text1"/>
              </w:rPr>
            </w:pPr>
            <w:r w:rsidRPr="00286216">
              <w:rPr>
                <w:color w:val="000000" w:themeColor="text1"/>
              </w:rPr>
              <w:t>Перший звітний період емітента може бути меншим, за 12 місяців та обчислюється для емітентів (крім іноземних) з дня державної реєстрації такого емітента як юридичної особи до 31 грудня звітного року включно.</w:t>
            </w:r>
          </w:p>
        </w:tc>
      </w:tr>
      <w:tr w:rsidR="00D836EB" w:rsidRPr="00286216" w14:paraId="3A4390B6" w14:textId="77777777" w:rsidTr="00091AA5">
        <w:tc>
          <w:tcPr>
            <w:tcW w:w="576" w:type="dxa"/>
          </w:tcPr>
          <w:p w14:paraId="68F77709" w14:textId="77777777" w:rsidR="00D836EB" w:rsidRPr="00286216" w:rsidRDefault="00D836EB" w:rsidP="00D836EB">
            <w:pPr>
              <w:pStyle w:val="StyleWisnow"/>
              <w:rPr>
                <w:color w:val="000000" w:themeColor="text1"/>
              </w:rPr>
            </w:pPr>
            <w:bookmarkStart w:id="1826" w:name="n2070" w:colFirst="0" w:colLast="0"/>
            <w:bookmarkEnd w:id="1825"/>
            <w:r w:rsidRPr="00286216">
              <w:rPr>
                <w:color w:val="000000" w:themeColor="text1"/>
              </w:rPr>
              <w:t>2070.</w:t>
            </w:r>
          </w:p>
        </w:tc>
        <w:tc>
          <w:tcPr>
            <w:tcW w:w="4818" w:type="dxa"/>
          </w:tcPr>
          <w:p w14:paraId="789E7107" w14:textId="77777777" w:rsidR="00D836EB" w:rsidRPr="00286216" w:rsidRDefault="00D836EB" w:rsidP="00D836EB">
            <w:pPr>
              <w:pStyle w:val="StyleZakonu"/>
              <w:rPr>
                <w:color w:val="000000" w:themeColor="text1"/>
              </w:rPr>
            </w:pPr>
            <w:r w:rsidRPr="00286216">
              <w:rPr>
                <w:color w:val="000000" w:themeColor="text1"/>
              </w:rPr>
              <w:t>3. Річна інформація про емітента повинна містити такі відомості:</w:t>
            </w:r>
          </w:p>
        </w:tc>
        <w:tc>
          <w:tcPr>
            <w:tcW w:w="3686" w:type="dxa"/>
          </w:tcPr>
          <w:p w14:paraId="716314CC" w14:textId="77777777" w:rsidR="00D836EB" w:rsidRPr="00286216" w:rsidRDefault="00D836EB" w:rsidP="00D836EB">
            <w:pPr>
              <w:pStyle w:val="StyleProp"/>
              <w:rPr>
                <w:color w:val="000000" w:themeColor="text1"/>
                <w:szCs w:val="18"/>
              </w:rPr>
            </w:pPr>
          </w:p>
        </w:tc>
        <w:tc>
          <w:tcPr>
            <w:tcW w:w="1987" w:type="dxa"/>
          </w:tcPr>
          <w:p w14:paraId="0121CEAC" w14:textId="77777777" w:rsidR="00D836EB" w:rsidRPr="00286216" w:rsidRDefault="00D836EB" w:rsidP="00D836EB">
            <w:pPr>
              <w:pStyle w:val="StyleWisnow"/>
              <w:rPr>
                <w:color w:val="000000" w:themeColor="text1"/>
              </w:rPr>
            </w:pPr>
          </w:p>
        </w:tc>
        <w:tc>
          <w:tcPr>
            <w:tcW w:w="4818" w:type="dxa"/>
          </w:tcPr>
          <w:p w14:paraId="09025A01" w14:textId="266CF210" w:rsidR="00D836EB" w:rsidRPr="00286216" w:rsidRDefault="00D836EB" w:rsidP="00D836EB">
            <w:pPr>
              <w:pStyle w:val="StyleZakonu"/>
              <w:rPr>
                <w:color w:val="000000" w:themeColor="text1"/>
              </w:rPr>
            </w:pPr>
            <w:r w:rsidRPr="00286216">
              <w:rPr>
                <w:color w:val="000000" w:themeColor="text1"/>
              </w:rPr>
              <w:t>3. Річна інформація про емітента повинна містити такі відомості:</w:t>
            </w:r>
          </w:p>
        </w:tc>
      </w:tr>
      <w:tr w:rsidR="00D836EB" w:rsidRPr="00286216" w14:paraId="53EA1DFF" w14:textId="77777777" w:rsidTr="00091AA5">
        <w:tc>
          <w:tcPr>
            <w:tcW w:w="576" w:type="dxa"/>
          </w:tcPr>
          <w:p w14:paraId="4D136BDF" w14:textId="77777777" w:rsidR="00D836EB" w:rsidRPr="00286216" w:rsidRDefault="00D836EB" w:rsidP="00D836EB">
            <w:pPr>
              <w:pStyle w:val="StyleWisnow"/>
              <w:rPr>
                <w:color w:val="000000" w:themeColor="text1"/>
              </w:rPr>
            </w:pPr>
            <w:bookmarkStart w:id="1827" w:name="n2071" w:colFirst="0" w:colLast="0"/>
            <w:bookmarkEnd w:id="1826"/>
            <w:r w:rsidRPr="00286216">
              <w:rPr>
                <w:color w:val="000000" w:themeColor="text1"/>
              </w:rPr>
              <w:t>2071.</w:t>
            </w:r>
          </w:p>
        </w:tc>
        <w:tc>
          <w:tcPr>
            <w:tcW w:w="4818" w:type="dxa"/>
          </w:tcPr>
          <w:p w14:paraId="7D1E32C2" w14:textId="77777777" w:rsidR="00D836EB" w:rsidRPr="00286216" w:rsidRDefault="00D836EB" w:rsidP="00D836EB">
            <w:pPr>
              <w:pStyle w:val="StyleZakonu"/>
              <w:rPr>
                <w:color w:val="000000" w:themeColor="text1"/>
              </w:rPr>
            </w:pPr>
            <w:r w:rsidRPr="00286216">
              <w:rPr>
                <w:color w:val="000000" w:themeColor="text1"/>
              </w:rPr>
              <w:t>1) найменування та місцезнаходження емітента, розмір його статутного капіталу;</w:t>
            </w:r>
          </w:p>
        </w:tc>
        <w:tc>
          <w:tcPr>
            <w:tcW w:w="3686" w:type="dxa"/>
          </w:tcPr>
          <w:p w14:paraId="0A8E3A23" w14:textId="77777777" w:rsidR="00D836EB" w:rsidRPr="00286216" w:rsidRDefault="00D836EB" w:rsidP="00D836EB">
            <w:pPr>
              <w:pStyle w:val="StyleProp"/>
              <w:rPr>
                <w:color w:val="000000" w:themeColor="text1"/>
                <w:szCs w:val="18"/>
              </w:rPr>
            </w:pPr>
          </w:p>
        </w:tc>
        <w:tc>
          <w:tcPr>
            <w:tcW w:w="1987" w:type="dxa"/>
          </w:tcPr>
          <w:p w14:paraId="0D58F55C" w14:textId="77777777" w:rsidR="00D836EB" w:rsidRPr="00286216" w:rsidRDefault="00D836EB" w:rsidP="00D836EB">
            <w:pPr>
              <w:pStyle w:val="StyleWisnow"/>
              <w:rPr>
                <w:color w:val="000000" w:themeColor="text1"/>
              </w:rPr>
            </w:pPr>
          </w:p>
        </w:tc>
        <w:tc>
          <w:tcPr>
            <w:tcW w:w="4818" w:type="dxa"/>
          </w:tcPr>
          <w:p w14:paraId="28C97715" w14:textId="5B51DC6F" w:rsidR="00D836EB" w:rsidRPr="00286216" w:rsidRDefault="00D836EB" w:rsidP="00D836EB">
            <w:pPr>
              <w:pStyle w:val="StyleZakonu"/>
              <w:rPr>
                <w:color w:val="000000" w:themeColor="text1"/>
              </w:rPr>
            </w:pPr>
            <w:r w:rsidRPr="00286216">
              <w:rPr>
                <w:color w:val="000000" w:themeColor="text1"/>
              </w:rPr>
              <w:t>1) найменування та місцезнаходження емітента, розмір його статутного капіталу;</w:t>
            </w:r>
          </w:p>
        </w:tc>
      </w:tr>
      <w:tr w:rsidR="00D836EB" w:rsidRPr="00286216" w14:paraId="7ABF0344" w14:textId="77777777" w:rsidTr="00091AA5">
        <w:tc>
          <w:tcPr>
            <w:tcW w:w="576" w:type="dxa"/>
          </w:tcPr>
          <w:p w14:paraId="578D9069" w14:textId="77777777" w:rsidR="00D836EB" w:rsidRPr="00286216" w:rsidRDefault="00D836EB" w:rsidP="00D836EB">
            <w:pPr>
              <w:pStyle w:val="StyleWisnow"/>
              <w:rPr>
                <w:color w:val="000000" w:themeColor="text1"/>
              </w:rPr>
            </w:pPr>
            <w:bookmarkStart w:id="1828" w:name="n2072" w:colFirst="0" w:colLast="0"/>
            <w:bookmarkEnd w:id="1827"/>
            <w:r w:rsidRPr="00286216">
              <w:rPr>
                <w:color w:val="000000" w:themeColor="text1"/>
              </w:rPr>
              <w:t>2072.</w:t>
            </w:r>
          </w:p>
        </w:tc>
        <w:tc>
          <w:tcPr>
            <w:tcW w:w="4818" w:type="dxa"/>
          </w:tcPr>
          <w:p w14:paraId="6CE9DEA3" w14:textId="77777777" w:rsidR="00D836EB" w:rsidRPr="00286216" w:rsidRDefault="00D836EB" w:rsidP="00D836EB">
            <w:pPr>
              <w:pStyle w:val="StyleZakonu"/>
              <w:rPr>
                <w:color w:val="000000" w:themeColor="text1"/>
              </w:rPr>
            </w:pPr>
            <w:r w:rsidRPr="00286216">
              <w:rPr>
                <w:color w:val="000000" w:themeColor="text1"/>
              </w:rPr>
              <w:t>2) інформація про орган управління емітента, його посадових осіб та засновників;</w:t>
            </w:r>
          </w:p>
        </w:tc>
        <w:tc>
          <w:tcPr>
            <w:tcW w:w="3686" w:type="dxa"/>
          </w:tcPr>
          <w:p w14:paraId="630F12E4" w14:textId="77777777" w:rsidR="00D836EB" w:rsidRPr="00286216" w:rsidRDefault="00D836EB" w:rsidP="00D836EB">
            <w:pPr>
              <w:pStyle w:val="StyleProp"/>
              <w:rPr>
                <w:color w:val="000000" w:themeColor="text1"/>
                <w:szCs w:val="18"/>
              </w:rPr>
            </w:pPr>
          </w:p>
        </w:tc>
        <w:tc>
          <w:tcPr>
            <w:tcW w:w="1987" w:type="dxa"/>
          </w:tcPr>
          <w:p w14:paraId="5454A273" w14:textId="77777777" w:rsidR="00D836EB" w:rsidRPr="00286216" w:rsidRDefault="00D836EB" w:rsidP="00D836EB">
            <w:pPr>
              <w:pStyle w:val="StyleWisnow"/>
              <w:rPr>
                <w:color w:val="000000" w:themeColor="text1"/>
              </w:rPr>
            </w:pPr>
          </w:p>
        </w:tc>
        <w:tc>
          <w:tcPr>
            <w:tcW w:w="4818" w:type="dxa"/>
          </w:tcPr>
          <w:p w14:paraId="4DE8E5A6" w14:textId="1D3EB549" w:rsidR="00D836EB" w:rsidRPr="00286216" w:rsidRDefault="00D836EB" w:rsidP="00D836EB">
            <w:pPr>
              <w:pStyle w:val="StyleZakonu"/>
              <w:rPr>
                <w:color w:val="000000" w:themeColor="text1"/>
              </w:rPr>
            </w:pPr>
            <w:r w:rsidRPr="00286216">
              <w:rPr>
                <w:color w:val="000000" w:themeColor="text1"/>
              </w:rPr>
              <w:t>2) інформацію про орган управління емітента, його посадових осіб та засновників;</w:t>
            </w:r>
          </w:p>
        </w:tc>
      </w:tr>
      <w:tr w:rsidR="00D836EB" w:rsidRPr="00286216" w14:paraId="3DD8C098" w14:textId="77777777" w:rsidTr="00091AA5">
        <w:tc>
          <w:tcPr>
            <w:tcW w:w="576" w:type="dxa"/>
          </w:tcPr>
          <w:p w14:paraId="0CED5279" w14:textId="77777777" w:rsidR="00D836EB" w:rsidRPr="00286216" w:rsidRDefault="00D836EB" w:rsidP="00D836EB">
            <w:pPr>
              <w:pStyle w:val="StyleWisnow"/>
              <w:rPr>
                <w:color w:val="000000" w:themeColor="text1"/>
              </w:rPr>
            </w:pPr>
            <w:bookmarkStart w:id="1829" w:name="n2073" w:colFirst="0" w:colLast="0"/>
            <w:bookmarkEnd w:id="1828"/>
            <w:r w:rsidRPr="00286216">
              <w:rPr>
                <w:color w:val="000000" w:themeColor="text1"/>
              </w:rPr>
              <w:t>2073.</w:t>
            </w:r>
          </w:p>
        </w:tc>
        <w:tc>
          <w:tcPr>
            <w:tcW w:w="4818" w:type="dxa"/>
          </w:tcPr>
          <w:p w14:paraId="0781AEB9" w14:textId="77777777" w:rsidR="00D836EB" w:rsidRPr="00286216" w:rsidRDefault="00D836EB" w:rsidP="00D836EB">
            <w:pPr>
              <w:pStyle w:val="StyleZakonu"/>
              <w:rPr>
                <w:color w:val="000000" w:themeColor="text1"/>
              </w:rPr>
            </w:pPr>
            <w:r w:rsidRPr="00286216">
              <w:rPr>
                <w:color w:val="000000" w:themeColor="text1"/>
              </w:rPr>
              <w:t>3) інформацію про господарську та фінансову діяльність емітента;</w:t>
            </w:r>
          </w:p>
        </w:tc>
        <w:tc>
          <w:tcPr>
            <w:tcW w:w="3686" w:type="dxa"/>
          </w:tcPr>
          <w:p w14:paraId="15189C9E" w14:textId="77777777" w:rsidR="00D836EB" w:rsidRPr="00286216" w:rsidRDefault="00D836EB" w:rsidP="00D836EB">
            <w:pPr>
              <w:pStyle w:val="StyleProp"/>
              <w:rPr>
                <w:color w:val="000000" w:themeColor="text1"/>
                <w:szCs w:val="18"/>
              </w:rPr>
            </w:pPr>
          </w:p>
        </w:tc>
        <w:tc>
          <w:tcPr>
            <w:tcW w:w="1987" w:type="dxa"/>
          </w:tcPr>
          <w:p w14:paraId="6C3D0FB8" w14:textId="77777777" w:rsidR="00D836EB" w:rsidRPr="00286216" w:rsidRDefault="00D836EB" w:rsidP="00D836EB">
            <w:pPr>
              <w:pStyle w:val="StyleWisnow"/>
              <w:rPr>
                <w:color w:val="000000" w:themeColor="text1"/>
              </w:rPr>
            </w:pPr>
          </w:p>
        </w:tc>
        <w:tc>
          <w:tcPr>
            <w:tcW w:w="4818" w:type="dxa"/>
          </w:tcPr>
          <w:p w14:paraId="7D90FA21" w14:textId="41CCDCD3" w:rsidR="00D836EB" w:rsidRPr="00286216" w:rsidRDefault="00D836EB" w:rsidP="00D836EB">
            <w:pPr>
              <w:pStyle w:val="StyleZakonu"/>
              <w:rPr>
                <w:color w:val="000000" w:themeColor="text1"/>
              </w:rPr>
            </w:pPr>
            <w:r w:rsidRPr="00286216">
              <w:rPr>
                <w:color w:val="000000" w:themeColor="text1"/>
              </w:rPr>
              <w:t>3) інформацію про господарську та фінансову діяльність емітента;</w:t>
            </w:r>
          </w:p>
        </w:tc>
      </w:tr>
      <w:tr w:rsidR="00D836EB" w:rsidRPr="00286216" w14:paraId="035D3C87" w14:textId="77777777" w:rsidTr="00091AA5">
        <w:tc>
          <w:tcPr>
            <w:tcW w:w="576" w:type="dxa"/>
          </w:tcPr>
          <w:p w14:paraId="3F6163C1" w14:textId="77777777" w:rsidR="00D836EB" w:rsidRPr="00286216" w:rsidRDefault="00D836EB" w:rsidP="00D836EB">
            <w:pPr>
              <w:pStyle w:val="StyleWisnow"/>
              <w:rPr>
                <w:color w:val="000000" w:themeColor="text1"/>
              </w:rPr>
            </w:pPr>
            <w:bookmarkStart w:id="1830" w:name="n2074" w:colFirst="0" w:colLast="0"/>
            <w:bookmarkEnd w:id="1829"/>
            <w:r w:rsidRPr="00286216">
              <w:rPr>
                <w:color w:val="000000" w:themeColor="text1"/>
              </w:rPr>
              <w:t>2074.</w:t>
            </w:r>
          </w:p>
        </w:tc>
        <w:tc>
          <w:tcPr>
            <w:tcW w:w="4818" w:type="dxa"/>
          </w:tcPr>
          <w:p w14:paraId="163CC978" w14:textId="77777777" w:rsidR="00D836EB" w:rsidRPr="00286216" w:rsidRDefault="00D836EB" w:rsidP="00D836EB">
            <w:pPr>
              <w:pStyle w:val="StyleZakonu"/>
              <w:rPr>
                <w:color w:val="000000" w:themeColor="text1"/>
              </w:rPr>
            </w:pPr>
            <w:r w:rsidRPr="00286216">
              <w:rPr>
                <w:color w:val="000000" w:themeColor="text1"/>
              </w:rPr>
              <w:t>4) інформацію про цінні папери емітента (вид, форма випуску, тип, кількість), наявність публічної пропозиції та/або допуску до торгів на регульованому фондовому ринку;</w:t>
            </w:r>
          </w:p>
        </w:tc>
        <w:tc>
          <w:tcPr>
            <w:tcW w:w="3686" w:type="dxa"/>
          </w:tcPr>
          <w:p w14:paraId="3509B8B7" w14:textId="77777777" w:rsidR="00D836EB" w:rsidRPr="00286216" w:rsidRDefault="00D836EB" w:rsidP="00D836EB">
            <w:pPr>
              <w:pStyle w:val="StyleProp"/>
              <w:rPr>
                <w:color w:val="000000" w:themeColor="text1"/>
                <w:szCs w:val="18"/>
              </w:rPr>
            </w:pPr>
          </w:p>
        </w:tc>
        <w:tc>
          <w:tcPr>
            <w:tcW w:w="1987" w:type="dxa"/>
          </w:tcPr>
          <w:p w14:paraId="51002031" w14:textId="77777777" w:rsidR="00D836EB" w:rsidRPr="00286216" w:rsidRDefault="00D836EB" w:rsidP="00D836EB">
            <w:pPr>
              <w:pStyle w:val="StyleWisnow"/>
              <w:rPr>
                <w:color w:val="000000" w:themeColor="text1"/>
              </w:rPr>
            </w:pPr>
          </w:p>
        </w:tc>
        <w:tc>
          <w:tcPr>
            <w:tcW w:w="4818" w:type="dxa"/>
          </w:tcPr>
          <w:p w14:paraId="0CDFDE3B" w14:textId="22C32BC6" w:rsidR="00D836EB" w:rsidRPr="00286216" w:rsidRDefault="00D836EB" w:rsidP="00D836EB">
            <w:pPr>
              <w:pStyle w:val="StyleZakonu"/>
              <w:rPr>
                <w:color w:val="000000" w:themeColor="text1"/>
              </w:rPr>
            </w:pPr>
            <w:r w:rsidRPr="00286216">
              <w:rPr>
                <w:color w:val="000000" w:themeColor="text1"/>
              </w:rPr>
              <w:t>4) інформацію про цінні папери емітента (вид, форма випуску, тип, кількість), наявність публічної пропозиції та/або допуску до торгів на регульованому фондовому ринку;</w:t>
            </w:r>
          </w:p>
        </w:tc>
      </w:tr>
      <w:tr w:rsidR="00D836EB" w:rsidRPr="00286216" w14:paraId="524D36AE" w14:textId="77777777" w:rsidTr="00091AA5">
        <w:tc>
          <w:tcPr>
            <w:tcW w:w="576" w:type="dxa"/>
          </w:tcPr>
          <w:p w14:paraId="2AE7B846" w14:textId="77777777" w:rsidR="00D836EB" w:rsidRPr="00286216" w:rsidRDefault="00D836EB" w:rsidP="00D836EB">
            <w:pPr>
              <w:pStyle w:val="StyleWisnow"/>
              <w:rPr>
                <w:color w:val="000000" w:themeColor="text1"/>
              </w:rPr>
            </w:pPr>
            <w:bookmarkStart w:id="1831" w:name="n2075" w:colFirst="0" w:colLast="0"/>
            <w:bookmarkEnd w:id="1830"/>
            <w:r w:rsidRPr="00286216">
              <w:rPr>
                <w:color w:val="000000" w:themeColor="text1"/>
              </w:rPr>
              <w:t>2075.</w:t>
            </w:r>
          </w:p>
        </w:tc>
        <w:tc>
          <w:tcPr>
            <w:tcW w:w="4818" w:type="dxa"/>
          </w:tcPr>
          <w:p w14:paraId="169515DF" w14:textId="77777777" w:rsidR="00D836EB" w:rsidRPr="00286216" w:rsidRDefault="00D836EB" w:rsidP="00D836EB">
            <w:pPr>
              <w:pStyle w:val="StyleZakonu"/>
              <w:rPr>
                <w:color w:val="000000" w:themeColor="text1"/>
              </w:rPr>
            </w:pPr>
            <w:bookmarkStart w:id="1832" w:name="_Ref18525146"/>
            <w:r w:rsidRPr="00286216">
              <w:rPr>
                <w:color w:val="000000" w:themeColor="text1"/>
              </w:rPr>
              <w:t xml:space="preserve">5) річну фінансову звітність, перевірену суб’єктом аудиторської діяльності. При цьому, якщо, відповідно </w:t>
            </w:r>
            <w:r w:rsidRPr="00286216">
              <w:rPr>
                <w:color w:val="000000" w:themeColor="text1"/>
              </w:rPr>
              <w:lastRenderedPageBreak/>
              <w:t>до вимог законодавства, емітент зобов’язаний підготувати консолідовану фінансову звітність, то річна фінансова звітність повинна містити консолідовану фінансову звітність, перевірену суб’єктом аудиторської діяльності, та окремо свою власну фінансову звітність, перевірену суб’єктом аудиторської діяльності;</w:t>
            </w:r>
            <w:bookmarkEnd w:id="1832"/>
          </w:p>
        </w:tc>
        <w:tc>
          <w:tcPr>
            <w:tcW w:w="3686" w:type="dxa"/>
          </w:tcPr>
          <w:p w14:paraId="7074C794" w14:textId="77777777" w:rsidR="00D836EB" w:rsidRPr="00286216" w:rsidRDefault="00D836EB" w:rsidP="00D836EB">
            <w:pPr>
              <w:pStyle w:val="StyleProp"/>
              <w:rPr>
                <w:color w:val="000000" w:themeColor="text1"/>
                <w:szCs w:val="18"/>
              </w:rPr>
            </w:pPr>
          </w:p>
        </w:tc>
        <w:tc>
          <w:tcPr>
            <w:tcW w:w="1987" w:type="dxa"/>
          </w:tcPr>
          <w:p w14:paraId="4B19621D" w14:textId="77777777" w:rsidR="00D836EB" w:rsidRPr="00286216" w:rsidRDefault="00D836EB" w:rsidP="00D836EB">
            <w:pPr>
              <w:pStyle w:val="StyleWisnow"/>
              <w:rPr>
                <w:color w:val="000000" w:themeColor="text1"/>
              </w:rPr>
            </w:pPr>
          </w:p>
        </w:tc>
        <w:tc>
          <w:tcPr>
            <w:tcW w:w="4818" w:type="dxa"/>
          </w:tcPr>
          <w:p w14:paraId="27D5DB5D" w14:textId="3A96AD74" w:rsidR="00D836EB" w:rsidRPr="00286216" w:rsidRDefault="00D836EB" w:rsidP="00D836EB">
            <w:pPr>
              <w:pStyle w:val="StyleZakonu"/>
              <w:rPr>
                <w:color w:val="000000" w:themeColor="text1"/>
              </w:rPr>
            </w:pPr>
            <w:r w:rsidRPr="00286216">
              <w:rPr>
                <w:color w:val="000000" w:themeColor="text1"/>
              </w:rPr>
              <w:t xml:space="preserve">5) річну фінансову звітність, перевірену суб’єктом аудиторської діяльності. При цьому якщо відповідно </w:t>
            </w:r>
            <w:r w:rsidRPr="00286216">
              <w:rPr>
                <w:color w:val="000000" w:themeColor="text1"/>
              </w:rPr>
              <w:lastRenderedPageBreak/>
              <w:t>до законодавства емітент зобов’язаний консолідовану фінансову звітність, річна фінансова звітність повинна містити консолідовану фінансову звітність, перевірену суб’єктом аудиторської діяльності, та окремо власну фінансову звітність, перевірену суб’єктом аудиторської діяльності;</w:t>
            </w:r>
          </w:p>
        </w:tc>
      </w:tr>
      <w:tr w:rsidR="00D836EB" w:rsidRPr="00286216" w14:paraId="4CCAA9E7" w14:textId="77777777" w:rsidTr="00091AA5">
        <w:tc>
          <w:tcPr>
            <w:tcW w:w="576" w:type="dxa"/>
          </w:tcPr>
          <w:p w14:paraId="77379E61" w14:textId="77777777" w:rsidR="00D836EB" w:rsidRPr="00286216" w:rsidRDefault="00D836EB" w:rsidP="00D836EB">
            <w:pPr>
              <w:pStyle w:val="StyleWisnow"/>
              <w:rPr>
                <w:color w:val="000000" w:themeColor="text1"/>
              </w:rPr>
            </w:pPr>
            <w:bookmarkStart w:id="1833" w:name="n2076" w:colFirst="0" w:colLast="0"/>
            <w:bookmarkEnd w:id="1831"/>
            <w:r w:rsidRPr="00286216">
              <w:rPr>
                <w:color w:val="000000" w:themeColor="text1"/>
              </w:rPr>
              <w:lastRenderedPageBreak/>
              <w:t>2076.</w:t>
            </w:r>
          </w:p>
        </w:tc>
        <w:tc>
          <w:tcPr>
            <w:tcW w:w="4818" w:type="dxa"/>
          </w:tcPr>
          <w:p w14:paraId="2BC3E208" w14:textId="77777777" w:rsidR="00D836EB" w:rsidRPr="00286216" w:rsidRDefault="00D836EB" w:rsidP="00D836EB">
            <w:pPr>
              <w:pStyle w:val="StyleZakonu"/>
              <w:rPr>
                <w:color w:val="000000" w:themeColor="text1"/>
              </w:rPr>
            </w:pPr>
            <w:bookmarkStart w:id="1834" w:name="_Ref18525047"/>
            <w:r w:rsidRPr="00286216">
              <w:rPr>
                <w:color w:val="000000" w:themeColor="text1"/>
              </w:rPr>
              <w:t>6) інформацію про вчинення значних правочинів або правочинів, щодо вчинення яких є заінтересованість, або наявність про попереднє надання згоди на вчинення таких правочинів;</w:t>
            </w:r>
            <w:bookmarkEnd w:id="1834"/>
          </w:p>
        </w:tc>
        <w:tc>
          <w:tcPr>
            <w:tcW w:w="3686" w:type="dxa"/>
          </w:tcPr>
          <w:p w14:paraId="14C30AE0" w14:textId="77777777" w:rsidR="00D836EB" w:rsidRPr="00286216" w:rsidRDefault="00D836EB" w:rsidP="00D836EB">
            <w:pPr>
              <w:pStyle w:val="StyleProp"/>
              <w:rPr>
                <w:color w:val="000000" w:themeColor="text1"/>
                <w:szCs w:val="18"/>
              </w:rPr>
            </w:pPr>
          </w:p>
        </w:tc>
        <w:tc>
          <w:tcPr>
            <w:tcW w:w="1987" w:type="dxa"/>
          </w:tcPr>
          <w:p w14:paraId="1984EF2C" w14:textId="77777777" w:rsidR="00D836EB" w:rsidRPr="00286216" w:rsidRDefault="00D836EB" w:rsidP="00D836EB">
            <w:pPr>
              <w:pStyle w:val="StyleWisnow"/>
              <w:rPr>
                <w:color w:val="000000" w:themeColor="text1"/>
              </w:rPr>
            </w:pPr>
          </w:p>
        </w:tc>
        <w:tc>
          <w:tcPr>
            <w:tcW w:w="4818" w:type="dxa"/>
          </w:tcPr>
          <w:p w14:paraId="1BD81C84" w14:textId="42E573A2" w:rsidR="00D836EB" w:rsidRPr="00286216" w:rsidRDefault="00D836EB" w:rsidP="00D836EB">
            <w:pPr>
              <w:pStyle w:val="StyleZakonu"/>
              <w:rPr>
                <w:color w:val="000000" w:themeColor="text1"/>
              </w:rPr>
            </w:pPr>
            <w:r w:rsidRPr="00286216">
              <w:rPr>
                <w:color w:val="000000" w:themeColor="text1"/>
              </w:rPr>
              <w:t>6) інформацію про вчинення значних правочинів або правочинів, щодо вчинення яких є заінтересованість, або про попереднє надання згоди на вчинення таких правочинів;</w:t>
            </w:r>
          </w:p>
        </w:tc>
      </w:tr>
      <w:tr w:rsidR="00D836EB" w:rsidRPr="00286216" w14:paraId="55798715" w14:textId="77777777" w:rsidTr="00091AA5">
        <w:tc>
          <w:tcPr>
            <w:tcW w:w="576" w:type="dxa"/>
          </w:tcPr>
          <w:p w14:paraId="15E4D45E" w14:textId="77777777" w:rsidR="00D836EB" w:rsidRPr="00286216" w:rsidRDefault="00D836EB" w:rsidP="00D836EB">
            <w:pPr>
              <w:pStyle w:val="StyleWisnow"/>
              <w:rPr>
                <w:color w:val="000000" w:themeColor="text1"/>
              </w:rPr>
            </w:pPr>
            <w:bookmarkStart w:id="1835" w:name="n2077" w:colFirst="0" w:colLast="0"/>
            <w:bookmarkEnd w:id="1833"/>
            <w:r w:rsidRPr="00286216">
              <w:rPr>
                <w:color w:val="000000" w:themeColor="text1"/>
              </w:rPr>
              <w:t>2077.</w:t>
            </w:r>
          </w:p>
        </w:tc>
        <w:tc>
          <w:tcPr>
            <w:tcW w:w="4818" w:type="dxa"/>
          </w:tcPr>
          <w:p w14:paraId="06B3DEA3" w14:textId="77777777" w:rsidR="00D836EB" w:rsidRPr="00286216" w:rsidRDefault="00D836EB" w:rsidP="00D836EB">
            <w:pPr>
              <w:pStyle w:val="StyleZakonu"/>
              <w:rPr>
                <w:color w:val="000000" w:themeColor="text1"/>
              </w:rPr>
            </w:pPr>
            <w:bookmarkStart w:id="1836" w:name="_Ref18525114"/>
            <w:r w:rsidRPr="00286216">
              <w:rPr>
                <w:color w:val="000000" w:themeColor="text1"/>
              </w:rPr>
              <w:t>7) відомості про осіб, заінтересованих у вчиненні товариством правочинів із заінтересованістю, та обставини, існування яких створює заінтересованість;</w:t>
            </w:r>
            <w:bookmarkEnd w:id="1836"/>
          </w:p>
        </w:tc>
        <w:tc>
          <w:tcPr>
            <w:tcW w:w="3686" w:type="dxa"/>
          </w:tcPr>
          <w:p w14:paraId="3D70C771" w14:textId="77777777" w:rsidR="00D836EB" w:rsidRPr="00286216" w:rsidRDefault="00D836EB" w:rsidP="00D836EB">
            <w:pPr>
              <w:pStyle w:val="StyleProp"/>
              <w:rPr>
                <w:color w:val="000000" w:themeColor="text1"/>
                <w:szCs w:val="18"/>
              </w:rPr>
            </w:pPr>
          </w:p>
        </w:tc>
        <w:tc>
          <w:tcPr>
            <w:tcW w:w="1987" w:type="dxa"/>
          </w:tcPr>
          <w:p w14:paraId="2AA004AE" w14:textId="77777777" w:rsidR="00D836EB" w:rsidRPr="00286216" w:rsidRDefault="00D836EB" w:rsidP="00D836EB">
            <w:pPr>
              <w:pStyle w:val="StyleWisnow"/>
              <w:rPr>
                <w:color w:val="000000" w:themeColor="text1"/>
              </w:rPr>
            </w:pPr>
          </w:p>
        </w:tc>
        <w:tc>
          <w:tcPr>
            <w:tcW w:w="4818" w:type="dxa"/>
          </w:tcPr>
          <w:p w14:paraId="57E05DC1" w14:textId="3155DB4A" w:rsidR="00D836EB" w:rsidRPr="00286216" w:rsidRDefault="00D836EB" w:rsidP="00D836EB">
            <w:pPr>
              <w:pStyle w:val="StyleZakonu"/>
              <w:rPr>
                <w:color w:val="000000" w:themeColor="text1"/>
              </w:rPr>
            </w:pPr>
            <w:r w:rsidRPr="00286216">
              <w:rPr>
                <w:color w:val="000000" w:themeColor="text1"/>
              </w:rPr>
              <w:t>7) відомості про осіб, заінтересованих у вчиненні товариством правочинів із заінтересованістю, та обставини, існування яких створює заінтересованість;</w:t>
            </w:r>
          </w:p>
        </w:tc>
      </w:tr>
      <w:tr w:rsidR="00D836EB" w:rsidRPr="00286216" w14:paraId="02196DDC" w14:textId="77777777" w:rsidTr="00091AA5">
        <w:tc>
          <w:tcPr>
            <w:tcW w:w="576" w:type="dxa"/>
          </w:tcPr>
          <w:p w14:paraId="324025E5" w14:textId="77777777" w:rsidR="00D836EB" w:rsidRPr="00286216" w:rsidRDefault="00D836EB" w:rsidP="00D836EB">
            <w:pPr>
              <w:pStyle w:val="StyleWisnow"/>
              <w:rPr>
                <w:color w:val="000000" w:themeColor="text1"/>
              </w:rPr>
            </w:pPr>
            <w:bookmarkStart w:id="1837" w:name="n2078" w:colFirst="0" w:colLast="0"/>
            <w:bookmarkEnd w:id="1835"/>
            <w:r w:rsidRPr="00286216">
              <w:rPr>
                <w:color w:val="000000" w:themeColor="text1"/>
              </w:rPr>
              <w:t>2078.</w:t>
            </w:r>
          </w:p>
        </w:tc>
        <w:tc>
          <w:tcPr>
            <w:tcW w:w="4818" w:type="dxa"/>
          </w:tcPr>
          <w:p w14:paraId="61FA7FEE" w14:textId="77777777" w:rsidR="00D836EB" w:rsidRPr="00286216" w:rsidRDefault="00D836EB" w:rsidP="00D836EB">
            <w:pPr>
              <w:pStyle w:val="StyleZakonu"/>
              <w:rPr>
                <w:color w:val="000000" w:themeColor="text1"/>
              </w:rPr>
            </w:pPr>
            <w:r w:rsidRPr="00286216">
              <w:rPr>
                <w:color w:val="000000" w:themeColor="text1"/>
              </w:rPr>
              <w:t>8) перелік власників пакетів 5 і більше відсотків акцій із зазначенням відсотка, кількості, типу та/або класу належних їм акцій та інформацію про зміну акціонерів, яким належать голосуючі акції, розмір пакета яких стає більшим, меншим або рівним пороговому значенню пакета акцій;</w:t>
            </w:r>
          </w:p>
        </w:tc>
        <w:tc>
          <w:tcPr>
            <w:tcW w:w="3686" w:type="dxa"/>
          </w:tcPr>
          <w:p w14:paraId="620AC113" w14:textId="77777777" w:rsidR="00D836EB" w:rsidRPr="00286216" w:rsidRDefault="00D836EB" w:rsidP="00D836EB">
            <w:pPr>
              <w:pStyle w:val="StyleProp"/>
              <w:rPr>
                <w:color w:val="000000" w:themeColor="text1"/>
                <w:szCs w:val="18"/>
              </w:rPr>
            </w:pPr>
          </w:p>
        </w:tc>
        <w:tc>
          <w:tcPr>
            <w:tcW w:w="1987" w:type="dxa"/>
          </w:tcPr>
          <w:p w14:paraId="519DDA28" w14:textId="77777777" w:rsidR="00D836EB" w:rsidRPr="00286216" w:rsidRDefault="00D836EB" w:rsidP="00D836EB">
            <w:pPr>
              <w:pStyle w:val="StyleWisnow"/>
              <w:rPr>
                <w:color w:val="000000" w:themeColor="text1"/>
              </w:rPr>
            </w:pPr>
          </w:p>
        </w:tc>
        <w:tc>
          <w:tcPr>
            <w:tcW w:w="4818" w:type="dxa"/>
          </w:tcPr>
          <w:p w14:paraId="2FC70BB8" w14:textId="7FE6E3AD" w:rsidR="00D836EB" w:rsidRPr="00286216" w:rsidRDefault="00D836EB" w:rsidP="00D836EB">
            <w:pPr>
              <w:pStyle w:val="StyleZakonu"/>
              <w:rPr>
                <w:color w:val="000000" w:themeColor="text1"/>
              </w:rPr>
            </w:pPr>
            <w:r w:rsidRPr="00286216">
              <w:rPr>
                <w:color w:val="000000" w:themeColor="text1"/>
              </w:rPr>
              <w:t>8) перелік власників пакетів 5 і більше відсотків акцій із зазначенням відсотка, кількості, типу та/або класу належних їм акцій та інформацію про зміну акціонерів, яким належать голосуючі акції, розмір пакета яких стає більшим, меншим або дорівнює пороговому значенню пакета акцій;</w:t>
            </w:r>
          </w:p>
        </w:tc>
      </w:tr>
      <w:tr w:rsidR="00D836EB" w:rsidRPr="00286216" w14:paraId="554EEB36" w14:textId="77777777" w:rsidTr="00091AA5">
        <w:tc>
          <w:tcPr>
            <w:tcW w:w="576" w:type="dxa"/>
          </w:tcPr>
          <w:p w14:paraId="2498467F" w14:textId="77777777" w:rsidR="00D836EB" w:rsidRPr="00286216" w:rsidRDefault="00D836EB" w:rsidP="00D836EB">
            <w:pPr>
              <w:pStyle w:val="StyleWisnow"/>
              <w:rPr>
                <w:color w:val="000000" w:themeColor="text1"/>
              </w:rPr>
            </w:pPr>
            <w:bookmarkStart w:id="1838" w:name="n2079" w:colFirst="0" w:colLast="0"/>
            <w:bookmarkEnd w:id="1837"/>
            <w:r w:rsidRPr="00286216">
              <w:rPr>
                <w:color w:val="000000" w:themeColor="text1"/>
              </w:rPr>
              <w:t>2079.</w:t>
            </w:r>
          </w:p>
        </w:tc>
        <w:tc>
          <w:tcPr>
            <w:tcW w:w="4818" w:type="dxa"/>
          </w:tcPr>
          <w:p w14:paraId="00D54B1D" w14:textId="77777777" w:rsidR="00D836EB" w:rsidRPr="00286216" w:rsidRDefault="00D836EB" w:rsidP="00D836EB">
            <w:pPr>
              <w:pStyle w:val="StyleZakonu"/>
              <w:rPr>
                <w:color w:val="000000" w:themeColor="text1"/>
              </w:rPr>
            </w:pPr>
            <w:bookmarkStart w:id="1839" w:name="_Ref18525121"/>
            <w:r w:rsidRPr="00286216">
              <w:rPr>
                <w:color w:val="000000" w:themeColor="text1"/>
              </w:rPr>
              <w:t>9) інформацію про зміну осіб, яким належить право голосу за акціями, сумарна кількість прав за якими стає більшою, меншою або рівною пороговому значенню пакета акцій;</w:t>
            </w:r>
            <w:bookmarkEnd w:id="1839"/>
          </w:p>
        </w:tc>
        <w:tc>
          <w:tcPr>
            <w:tcW w:w="3686" w:type="dxa"/>
          </w:tcPr>
          <w:p w14:paraId="11AF3AE8" w14:textId="77777777" w:rsidR="00D836EB" w:rsidRPr="00286216" w:rsidRDefault="00D836EB" w:rsidP="00D836EB">
            <w:pPr>
              <w:pStyle w:val="StyleProp"/>
              <w:rPr>
                <w:color w:val="000000" w:themeColor="text1"/>
                <w:szCs w:val="18"/>
              </w:rPr>
            </w:pPr>
          </w:p>
        </w:tc>
        <w:tc>
          <w:tcPr>
            <w:tcW w:w="1987" w:type="dxa"/>
          </w:tcPr>
          <w:p w14:paraId="0A737F92" w14:textId="77777777" w:rsidR="00D836EB" w:rsidRPr="00286216" w:rsidRDefault="00D836EB" w:rsidP="00D836EB">
            <w:pPr>
              <w:pStyle w:val="StyleWisnow"/>
              <w:rPr>
                <w:color w:val="000000" w:themeColor="text1"/>
              </w:rPr>
            </w:pPr>
          </w:p>
        </w:tc>
        <w:tc>
          <w:tcPr>
            <w:tcW w:w="4818" w:type="dxa"/>
          </w:tcPr>
          <w:p w14:paraId="0BF1C63E" w14:textId="7C62EDEF" w:rsidR="00D836EB" w:rsidRPr="00286216" w:rsidRDefault="00D836EB" w:rsidP="00D836EB">
            <w:pPr>
              <w:pStyle w:val="StyleZakonu"/>
              <w:rPr>
                <w:color w:val="000000" w:themeColor="text1"/>
              </w:rPr>
            </w:pPr>
            <w:r w:rsidRPr="00286216">
              <w:rPr>
                <w:color w:val="000000" w:themeColor="text1"/>
              </w:rPr>
              <w:t>9) інформацію про зміну осіб, яким належить право голосу за акціями, сумарна кількість прав за якими стає більшою, меншою або дорівнює пороговому значенню пакета акцій;</w:t>
            </w:r>
          </w:p>
        </w:tc>
      </w:tr>
      <w:tr w:rsidR="00D836EB" w:rsidRPr="00286216" w14:paraId="2C9DC6F1" w14:textId="77777777" w:rsidTr="00091AA5">
        <w:tc>
          <w:tcPr>
            <w:tcW w:w="576" w:type="dxa"/>
          </w:tcPr>
          <w:p w14:paraId="4FA25F07" w14:textId="77777777" w:rsidR="00D836EB" w:rsidRPr="00286216" w:rsidRDefault="00D836EB" w:rsidP="00D836EB">
            <w:pPr>
              <w:pStyle w:val="StyleWisnow"/>
              <w:rPr>
                <w:color w:val="000000" w:themeColor="text1"/>
              </w:rPr>
            </w:pPr>
            <w:bookmarkStart w:id="1840" w:name="n2080" w:colFirst="0" w:colLast="0"/>
            <w:bookmarkEnd w:id="1838"/>
            <w:r w:rsidRPr="00286216">
              <w:rPr>
                <w:color w:val="000000" w:themeColor="text1"/>
              </w:rPr>
              <w:t>2080.</w:t>
            </w:r>
          </w:p>
        </w:tc>
        <w:tc>
          <w:tcPr>
            <w:tcW w:w="4818" w:type="dxa"/>
          </w:tcPr>
          <w:p w14:paraId="232480FD" w14:textId="77777777" w:rsidR="00D836EB" w:rsidRPr="00286216" w:rsidRDefault="00D836EB" w:rsidP="00D836EB">
            <w:pPr>
              <w:pStyle w:val="StyleZakonu"/>
              <w:rPr>
                <w:color w:val="000000" w:themeColor="text1"/>
              </w:rPr>
            </w:pPr>
            <w:bookmarkStart w:id="1841" w:name="_Ref18525053"/>
            <w:r w:rsidRPr="00286216">
              <w:rPr>
                <w:color w:val="000000" w:themeColor="text1"/>
              </w:rPr>
              <w:t>10) інформацію про зміну осіб, які є власниками фінансових інструментів, пов’язаних з голосуючими акціями акціонерного товариства, сумарна кількість прав за якими стає більшою, меншою або рівною пороговому значенню пакета акцій;</w:t>
            </w:r>
            <w:bookmarkEnd w:id="1841"/>
          </w:p>
        </w:tc>
        <w:tc>
          <w:tcPr>
            <w:tcW w:w="3686" w:type="dxa"/>
          </w:tcPr>
          <w:p w14:paraId="4A751D89" w14:textId="77777777" w:rsidR="00D836EB" w:rsidRPr="00286216" w:rsidRDefault="00D836EB" w:rsidP="00D836EB">
            <w:pPr>
              <w:pStyle w:val="StyleProp"/>
              <w:rPr>
                <w:color w:val="000000" w:themeColor="text1"/>
                <w:szCs w:val="18"/>
              </w:rPr>
            </w:pPr>
          </w:p>
        </w:tc>
        <w:tc>
          <w:tcPr>
            <w:tcW w:w="1987" w:type="dxa"/>
          </w:tcPr>
          <w:p w14:paraId="09FAF062" w14:textId="77777777" w:rsidR="00D836EB" w:rsidRPr="00286216" w:rsidRDefault="00D836EB" w:rsidP="00D836EB">
            <w:pPr>
              <w:pStyle w:val="StyleWisnow"/>
              <w:rPr>
                <w:color w:val="000000" w:themeColor="text1"/>
              </w:rPr>
            </w:pPr>
          </w:p>
        </w:tc>
        <w:tc>
          <w:tcPr>
            <w:tcW w:w="4818" w:type="dxa"/>
          </w:tcPr>
          <w:p w14:paraId="7AE48A62" w14:textId="4077C016" w:rsidR="00D836EB" w:rsidRPr="00286216" w:rsidRDefault="00D836EB" w:rsidP="00D836EB">
            <w:pPr>
              <w:pStyle w:val="StyleZakonu"/>
              <w:rPr>
                <w:color w:val="000000" w:themeColor="text1"/>
              </w:rPr>
            </w:pPr>
            <w:r w:rsidRPr="00286216">
              <w:rPr>
                <w:color w:val="000000" w:themeColor="text1"/>
              </w:rPr>
              <w:t>10) інформацію про зміну осіб, які є власниками фінансових інструментів, пов’язаних з голосуючими акціями акціонерного товариства, сумарна кількість прав за якими стає більшою, меншою або рівною пороговому значенню пакета акцій;</w:t>
            </w:r>
          </w:p>
        </w:tc>
      </w:tr>
      <w:tr w:rsidR="00D836EB" w:rsidRPr="00286216" w14:paraId="320BFEAC" w14:textId="77777777" w:rsidTr="00091AA5">
        <w:tc>
          <w:tcPr>
            <w:tcW w:w="576" w:type="dxa"/>
          </w:tcPr>
          <w:p w14:paraId="3BE5D069" w14:textId="77777777" w:rsidR="00D836EB" w:rsidRPr="00286216" w:rsidRDefault="00D836EB" w:rsidP="00D836EB">
            <w:pPr>
              <w:pStyle w:val="StyleWisnow"/>
              <w:rPr>
                <w:color w:val="000000" w:themeColor="text1"/>
              </w:rPr>
            </w:pPr>
            <w:bookmarkStart w:id="1842" w:name="n2081" w:colFirst="0" w:colLast="0"/>
            <w:bookmarkEnd w:id="1840"/>
            <w:r w:rsidRPr="00286216">
              <w:rPr>
                <w:color w:val="000000" w:themeColor="text1"/>
              </w:rPr>
              <w:t>2081.</w:t>
            </w:r>
          </w:p>
        </w:tc>
        <w:tc>
          <w:tcPr>
            <w:tcW w:w="4818" w:type="dxa"/>
          </w:tcPr>
          <w:p w14:paraId="7A792335" w14:textId="77777777" w:rsidR="00D836EB" w:rsidRPr="00286216" w:rsidRDefault="00D836EB" w:rsidP="00D836EB">
            <w:pPr>
              <w:pStyle w:val="StyleZakonu"/>
              <w:rPr>
                <w:color w:val="000000" w:themeColor="text1"/>
              </w:rPr>
            </w:pPr>
            <w:r w:rsidRPr="00286216">
              <w:rPr>
                <w:color w:val="000000" w:themeColor="text1"/>
              </w:rPr>
              <w:t>11) звіт керівництва;</w:t>
            </w:r>
          </w:p>
        </w:tc>
        <w:tc>
          <w:tcPr>
            <w:tcW w:w="3686" w:type="dxa"/>
          </w:tcPr>
          <w:p w14:paraId="1448AB02" w14:textId="77777777" w:rsidR="00D836EB" w:rsidRPr="00286216" w:rsidRDefault="00D836EB" w:rsidP="00D836EB">
            <w:pPr>
              <w:pStyle w:val="StyleProp"/>
              <w:rPr>
                <w:color w:val="000000" w:themeColor="text1"/>
                <w:szCs w:val="18"/>
              </w:rPr>
            </w:pPr>
          </w:p>
        </w:tc>
        <w:tc>
          <w:tcPr>
            <w:tcW w:w="1987" w:type="dxa"/>
          </w:tcPr>
          <w:p w14:paraId="42D51DDB" w14:textId="77777777" w:rsidR="00D836EB" w:rsidRPr="00286216" w:rsidRDefault="00D836EB" w:rsidP="00D836EB">
            <w:pPr>
              <w:pStyle w:val="StyleWisnow"/>
              <w:rPr>
                <w:color w:val="000000" w:themeColor="text1"/>
              </w:rPr>
            </w:pPr>
          </w:p>
        </w:tc>
        <w:tc>
          <w:tcPr>
            <w:tcW w:w="4818" w:type="dxa"/>
          </w:tcPr>
          <w:p w14:paraId="04E721E5" w14:textId="1BA175D0" w:rsidR="00D836EB" w:rsidRPr="00286216" w:rsidRDefault="00D836EB" w:rsidP="00D836EB">
            <w:pPr>
              <w:pStyle w:val="StyleZakonu"/>
              <w:rPr>
                <w:color w:val="000000" w:themeColor="text1"/>
              </w:rPr>
            </w:pPr>
            <w:r w:rsidRPr="00286216">
              <w:rPr>
                <w:color w:val="000000" w:themeColor="text1"/>
              </w:rPr>
              <w:t>11) звіт керівництва;</w:t>
            </w:r>
          </w:p>
        </w:tc>
      </w:tr>
      <w:tr w:rsidR="00D836EB" w:rsidRPr="00286216" w14:paraId="36F31BC4" w14:textId="77777777" w:rsidTr="00091AA5">
        <w:tc>
          <w:tcPr>
            <w:tcW w:w="576" w:type="dxa"/>
          </w:tcPr>
          <w:p w14:paraId="1135D3F8" w14:textId="77777777" w:rsidR="00D836EB" w:rsidRPr="00286216" w:rsidRDefault="00D836EB" w:rsidP="00D836EB">
            <w:pPr>
              <w:pStyle w:val="StyleWisnow"/>
              <w:rPr>
                <w:color w:val="000000" w:themeColor="text1"/>
              </w:rPr>
            </w:pPr>
            <w:bookmarkStart w:id="1843" w:name="n2082" w:colFirst="0" w:colLast="0"/>
            <w:bookmarkEnd w:id="1842"/>
            <w:r w:rsidRPr="00286216">
              <w:rPr>
                <w:color w:val="000000" w:themeColor="text1"/>
              </w:rPr>
              <w:t>2082.</w:t>
            </w:r>
          </w:p>
        </w:tc>
        <w:tc>
          <w:tcPr>
            <w:tcW w:w="4818" w:type="dxa"/>
          </w:tcPr>
          <w:p w14:paraId="59118F82" w14:textId="77777777" w:rsidR="00D836EB" w:rsidRPr="00286216" w:rsidRDefault="00D836EB" w:rsidP="00D836EB">
            <w:pPr>
              <w:pStyle w:val="StyleZakonu"/>
              <w:rPr>
                <w:color w:val="000000" w:themeColor="text1"/>
              </w:rPr>
            </w:pPr>
            <w:r w:rsidRPr="00286216">
              <w:rPr>
                <w:color w:val="000000" w:themeColor="text1"/>
              </w:rPr>
              <w:t xml:space="preserve">12) твердження щодо річної інформації, а саме - офіційна позиція осіб, які здійснюють управлінські функції та підписують річну інформацію емітента, про те, що, наскільки це їм відомо, річна фінансова звітність, підготовлена відповідно до стандартів бухгалтерського обліку, що вимагаються Законом України "Про бухгалтерський облік та фінансову звітність в Україні", містить достовірне та об’єктивне подання інформації про стан активів, пасивів, фінансовий стан, прибутки та збитки емітента і юридичних осіб, які перебувають під його контролем, у рамках консолідованої фінансової звітності, а також про те, що звіт керівництва включає достовірне та об’єктивне подання інформації про розвиток і </w:t>
            </w:r>
            <w:r w:rsidRPr="00286216">
              <w:rPr>
                <w:color w:val="000000" w:themeColor="text1"/>
              </w:rPr>
              <w:lastRenderedPageBreak/>
              <w:t>здійснення господарської діяльності і стан емітента і юридичних осіб, які перебувають під його контролем, у рамках консолідованої звітності, разом з описом основних ризиків та невизначеностей, з якими вони стикаються у своїй господарській діяльності;</w:t>
            </w:r>
          </w:p>
        </w:tc>
        <w:tc>
          <w:tcPr>
            <w:tcW w:w="3686" w:type="dxa"/>
          </w:tcPr>
          <w:p w14:paraId="11BB53D5" w14:textId="77777777" w:rsidR="00D836EB" w:rsidRPr="00286216" w:rsidRDefault="00D836EB" w:rsidP="00D836EB">
            <w:pPr>
              <w:pStyle w:val="StyleProp"/>
              <w:rPr>
                <w:color w:val="000000" w:themeColor="text1"/>
                <w:szCs w:val="18"/>
              </w:rPr>
            </w:pPr>
          </w:p>
        </w:tc>
        <w:tc>
          <w:tcPr>
            <w:tcW w:w="1987" w:type="dxa"/>
          </w:tcPr>
          <w:p w14:paraId="5A8BD18B" w14:textId="77777777" w:rsidR="00D836EB" w:rsidRPr="00286216" w:rsidRDefault="00D836EB" w:rsidP="00D836EB">
            <w:pPr>
              <w:pStyle w:val="StyleWisnow"/>
              <w:rPr>
                <w:color w:val="000000" w:themeColor="text1"/>
              </w:rPr>
            </w:pPr>
          </w:p>
        </w:tc>
        <w:tc>
          <w:tcPr>
            <w:tcW w:w="4818" w:type="dxa"/>
          </w:tcPr>
          <w:p w14:paraId="40F2A00E" w14:textId="2FBC5498" w:rsidR="00D836EB" w:rsidRPr="00286216" w:rsidRDefault="00D836EB" w:rsidP="00D836EB">
            <w:pPr>
              <w:pStyle w:val="StyleZakonu"/>
              <w:rPr>
                <w:color w:val="000000" w:themeColor="text1"/>
              </w:rPr>
            </w:pPr>
            <w:r w:rsidRPr="00286216">
              <w:rPr>
                <w:color w:val="000000" w:themeColor="text1"/>
              </w:rPr>
              <w:t xml:space="preserve">12) твердження щодо річної інформації – офіційну позицію осіб, які здійснюють управлінські функції та підписують річну інформацію емітента, про те, що, наскільки їм відомо, річна фінансова звітність, складена відповідно до стандартів бухгалтерського обліку, передбачених Законом України "Про бухгалтерський облік та фінансову звітність в Україні", містить достовірне та об’єктивну інформацію про стан активів, пасивів, фінансовий стан, прибутки та збитки емітента і юридичних осіб, які перебувають під контролем емітента, у рамках консолідованої фінансової звітності, а також про те, що звіт керівництва містить достовірне та об’єктивну інформацію про розвиток і здійснення господарської </w:t>
            </w:r>
            <w:r w:rsidRPr="00286216">
              <w:rPr>
                <w:color w:val="000000" w:themeColor="text1"/>
              </w:rPr>
              <w:lastRenderedPageBreak/>
              <w:t>діяльності, і стан емітента і юридичних осіб, які перебувають під контролем емітента, у рамках консолідованої звітності разом з описом основних ризиків та невизначеностей, з якими вони стикаються у процесі господарської діяльності;</w:t>
            </w:r>
          </w:p>
        </w:tc>
      </w:tr>
      <w:bookmarkEnd w:id="1843"/>
      <w:tr w:rsidR="00D836EB" w:rsidRPr="00286216" w14:paraId="24504A3E" w14:textId="77777777" w:rsidTr="00091AA5">
        <w:tc>
          <w:tcPr>
            <w:tcW w:w="576" w:type="dxa"/>
          </w:tcPr>
          <w:p w14:paraId="277D1083" w14:textId="77777777" w:rsidR="00D836EB" w:rsidRPr="00286216" w:rsidRDefault="00D836EB" w:rsidP="00D836EB">
            <w:pPr>
              <w:pStyle w:val="StyleWisnow"/>
              <w:rPr>
                <w:color w:val="000000" w:themeColor="text1"/>
              </w:rPr>
            </w:pPr>
          </w:p>
        </w:tc>
        <w:tc>
          <w:tcPr>
            <w:tcW w:w="4818" w:type="dxa"/>
          </w:tcPr>
          <w:p w14:paraId="03EF310F" w14:textId="77777777" w:rsidR="00D836EB" w:rsidRPr="00286216" w:rsidRDefault="00D836EB" w:rsidP="00D836EB">
            <w:pPr>
              <w:pStyle w:val="StyleZakonu"/>
              <w:rPr>
                <w:color w:val="000000" w:themeColor="text1"/>
              </w:rPr>
            </w:pPr>
          </w:p>
        </w:tc>
        <w:tc>
          <w:tcPr>
            <w:tcW w:w="3686" w:type="dxa"/>
          </w:tcPr>
          <w:p w14:paraId="0A39BA29" w14:textId="4A36C33A"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7835D60" w14:textId="761EA260" w:rsidR="00D836EB" w:rsidRPr="00286216" w:rsidRDefault="00D836EB" w:rsidP="00D836EB">
            <w:pPr>
              <w:pStyle w:val="StyleProp"/>
              <w:spacing w:line="180" w:lineRule="exact"/>
              <w:rPr>
                <w:color w:val="000000" w:themeColor="text1"/>
                <w:szCs w:val="18"/>
              </w:rPr>
            </w:pPr>
            <w:r w:rsidRPr="00286216">
              <w:rPr>
                <w:color w:val="000000" w:themeColor="text1"/>
                <w:szCs w:val="18"/>
              </w:rPr>
              <w:t>У статті 122 частину 3 доповнити новим пунктом такого змісту:</w:t>
            </w:r>
          </w:p>
          <w:p w14:paraId="75A2039D"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«13) звіт про платежі на користь держави, відповідно до вимог встановлених Законом України «Про бухгалтерський обліку та фінансову звітність»</w:t>
            </w:r>
          </w:p>
        </w:tc>
        <w:tc>
          <w:tcPr>
            <w:tcW w:w="1987" w:type="dxa"/>
          </w:tcPr>
          <w:p w14:paraId="637192C6"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7188FC6" w14:textId="729778CF" w:rsidR="00D836EB" w:rsidRPr="00286216" w:rsidRDefault="00D836EB" w:rsidP="00D836EB">
            <w:pPr>
              <w:pStyle w:val="StyleZakonu"/>
              <w:rPr>
                <w:color w:val="000000" w:themeColor="text1"/>
              </w:rPr>
            </w:pPr>
            <w:r w:rsidRPr="00286216">
              <w:rPr>
                <w:color w:val="000000" w:themeColor="text1"/>
                <w:szCs w:val="18"/>
              </w:rPr>
              <w:t>13) звіт про платежі на користь держави відповідно до Закону України «Про бухгалтерський облік та фінансову звітність</w:t>
            </w:r>
            <w:r w:rsidRPr="00286216">
              <w:rPr>
                <w:color w:val="000000" w:themeColor="text1"/>
              </w:rPr>
              <w:t xml:space="preserve"> Україні</w:t>
            </w:r>
            <w:r w:rsidRPr="00286216">
              <w:rPr>
                <w:color w:val="000000" w:themeColor="text1"/>
                <w:szCs w:val="18"/>
              </w:rPr>
              <w:t>»;</w:t>
            </w:r>
          </w:p>
        </w:tc>
      </w:tr>
      <w:tr w:rsidR="00D836EB" w:rsidRPr="00286216" w14:paraId="42D1C391" w14:textId="77777777" w:rsidTr="00091AA5">
        <w:tc>
          <w:tcPr>
            <w:tcW w:w="576" w:type="dxa"/>
          </w:tcPr>
          <w:p w14:paraId="373CDF8D" w14:textId="77777777" w:rsidR="00D836EB" w:rsidRPr="00286216" w:rsidRDefault="00D836EB" w:rsidP="00D836EB">
            <w:pPr>
              <w:pStyle w:val="StyleWisnow"/>
              <w:rPr>
                <w:color w:val="000000" w:themeColor="text1"/>
              </w:rPr>
            </w:pPr>
            <w:bookmarkStart w:id="1844" w:name="n2083" w:colFirst="0" w:colLast="0"/>
            <w:r w:rsidRPr="00286216">
              <w:rPr>
                <w:color w:val="000000" w:themeColor="text1"/>
              </w:rPr>
              <w:t>2083.</w:t>
            </w:r>
          </w:p>
        </w:tc>
        <w:tc>
          <w:tcPr>
            <w:tcW w:w="4818" w:type="dxa"/>
          </w:tcPr>
          <w:p w14:paraId="3558F273" w14:textId="77777777" w:rsidR="00D836EB" w:rsidRPr="00286216" w:rsidRDefault="00D836EB" w:rsidP="00D836EB">
            <w:pPr>
              <w:pStyle w:val="StyleZakonu"/>
              <w:rPr>
                <w:color w:val="000000" w:themeColor="text1"/>
              </w:rPr>
            </w:pPr>
            <w:r w:rsidRPr="00286216">
              <w:rPr>
                <w:color w:val="000000" w:themeColor="text1"/>
              </w:rPr>
              <w:t>13) відомості про участь емітента в інших юридичних осіб;</w:t>
            </w:r>
          </w:p>
        </w:tc>
        <w:tc>
          <w:tcPr>
            <w:tcW w:w="3686" w:type="dxa"/>
          </w:tcPr>
          <w:p w14:paraId="3059F188" w14:textId="77777777" w:rsidR="00D836EB" w:rsidRPr="00286216" w:rsidRDefault="00D836EB" w:rsidP="00D836EB">
            <w:pPr>
              <w:pStyle w:val="StyleProp"/>
              <w:rPr>
                <w:color w:val="000000" w:themeColor="text1"/>
                <w:szCs w:val="18"/>
              </w:rPr>
            </w:pPr>
          </w:p>
        </w:tc>
        <w:tc>
          <w:tcPr>
            <w:tcW w:w="1987" w:type="dxa"/>
          </w:tcPr>
          <w:p w14:paraId="0593BA63" w14:textId="77777777" w:rsidR="00D836EB" w:rsidRPr="00286216" w:rsidRDefault="00D836EB" w:rsidP="00D836EB">
            <w:pPr>
              <w:pStyle w:val="StyleWisnow"/>
              <w:rPr>
                <w:color w:val="000000" w:themeColor="text1"/>
              </w:rPr>
            </w:pPr>
          </w:p>
        </w:tc>
        <w:tc>
          <w:tcPr>
            <w:tcW w:w="4818" w:type="dxa"/>
          </w:tcPr>
          <w:p w14:paraId="0F62227D" w14:textId="53133B91" w:rsidR="00D836EB" w:rsidRPr="00286216" w:rsidRDefault="00D836EB" w:rsidP="00D836EB">
            <w:pPr>
              <w:pStyle w:val="StyleZakonu"/>
              <w:rPr>
                <w:color w:val="000000" w:themeColor="text1"/>
              </w:rPr>
            </w:pPr>
            <w:r w:rsidRPr="00286216">
              <w:rPr>
                <w:color w:val="000000" w:themeColor="text1"/>
              </w:rPr>
              <w:t>14) відомості про участь емітента в інших юридичних особах;</w:t>
            </w:r>
          </w:p>
        </w:tc>
      </w:tr>
      <w:tr w:rsidR="00D836EB" w:rsidRPr="00286216" w14:paraId="44B5CB72" w14:textId="77777777" w:rsidTr="00091AA5">
        <w:tc>
          <w:tcPr>
            <w:tcW w:w="576" w:type="dxa"/>
          </w:tcPr>
          <w:p w14:paraId="04486753" w14:textId="77777777" w:rsidR="00D836EB" w:rsidRPr="00286216" w:rsidRDefault="00D836EB" w:rsidP="00D836EB">
            <w:pPr>
              <w:pStyle w:val="StyleWisnow"/>
              <w:rPr>
                <w:color w:val="000000" w:themeColor="text1"/>
              </w:rPr>
            </w:pPr>
            <w:bookmarkStart w:id="1845" w:name="n2084" w:colFirst="0" w:colLast="0"/>
            <w:bookmarkEnd w:id="1844"/>
            <w:r w:rsidRPr="00286216">
              <w:rPr>
                <w:color w:val="000000" w:themeColor="text1"/>
              </w:rPr>
              <w:t>2084.</w:t>
            </w:r>
          </w:p>
        </w:tc>
        <w:tc>
          <w:tcPr>
            <w:tcW w:w="4818" w:type="dxa"/>
          </w:tcPr>
          <w:p w14:paraId="68B07FDD" w14:textId="77777777" w:rsidR="00D836EB" w:rsidRPr="00286216" w:rsidRDefault="00D836EB" w:rsidP="00D836EB">
            <w:pPr>
              <w:pStyle w:val="StyleZakonu"/>
              <w:rPr>
                <w:color w:val="000000" w:themeColor="text1"/>
              </w:rPr>
            </w:pPr>
            <w:r w:rsidRPr="00286216">
              <w:rPr>
                <w:color w:val="000000" w:themeColor="text1"/>
              </w:rPr>
              <w:t>14) інформацію про структуру капіталу, в тому числі із зазначенням типів та класів акцій, а також прав та обов’язків акціонерів (учасників);</w:t>
            </w:r>
          </w:p>
        </w:tc>
        <w:tc>
          <w:tcPr>
            <w:tcW w:w="3686" w:type="dxa"/>
          </w:tcPr>
          <w:p w14:paraId="562641A3" w14:textId="77777777" w:rsidR="00D836EB" w:rsidRPr="00286216" w:rsidRDefault="00D836EB" w:rsidP="00D836EB">
            <w:pPr>
              <w:pStyle w:val="StyleProp"/>
              <w:rPr>
                <w:color w:val="000000" w:themeColor="text1"/>
                <w:szCs w:val="18"/>
              </w:rPr>
            </w:pPr>
          </w:p>
        </w:tc>
        <w:tc>
          <w:tcPr>
            <w:tcW w:w="1987" w:type="dxa"/>
          </w:tcPr>
          <w:p w14:paraId="14B0E9D4" w14:textId="77777777" w:rsidR="00D836EB" w:rsidRPr="00286216" w:rsidRDefault="00D836EB" w:rsidP="00D836EB">
            <w:pPr>
              <w:pStyle w:val="StyleWisnow"/>
              <w:rPr>
                <w:color w:val="000000" w:themeColor="text1"/>
              </w:rPr>
            </w:pPr>
          </w:p>
        </w:tc>
        <w:tc>
          <w:tcPr>
            <w:tcW w:w="4818" w:type="dxa"/>
          </w:tcPr>
          <w:p w14:paraId="620714CC" w14:textId="0B7E830D" w:rsidR="00D836EB" w:rsidRPr="00286216" w:rsidRDefault="00D836EB" w:rsidP="00D836EB">
            <w:pPr>
              <w:pStyle w:val="StyleZakonu"/>
              <w:rPr>
                <w:color w:val="000000" w:themeColor="text1"/>
              </w:rPr>
            </w:pPr>
            <w:r w:rsidRPr="00286216">
              <w:rPr>
                <w:color w:val="000000" w:themeColor="text1"/>
              </w:rPr>
              <w:t>15) інформацію про структуру капіталу, із зазначенням типів і класів акцій, а також прав та обов’язків акціонерів (учасників);</w:t>
            </w:r>
          </w:p>
        </w:tc>
      </w:tr>
      <w:tr w:rsidR="00D836EB" w:rsidRPr="00286216" w14:paraId="00851FAA" w14:textId="77777777" w:rsidTr="00091AA5">
        <w:tc>
          <w:tcPr>
            <w:tcW w:w="576" w:type="dxa"/>
          </w:tcPr>
          <w:p w14:paraId="0D4ABF7D" w14:textId="77777777" w:rsidR="00D836EB" w:rsidRPr="00286216" w:rsidRDefault="00D836EB" w:rsidP="00D836EB">
            <w:pPr>
              <w:pStyle w:val="StyleWisnow"/>
              <w:rPr>
                <w:color w:val="000000" w:themeColor="text1"/>
              </w:rPr>
            </w:pPr>
            <w:bookmarkStart w:id="1846" w:name="n2085" w:colFirst="0" w:colLast="0"/>
            <w:bookmarkEnd w:id="1845"/>
            <w:r w:rsidRPr="00286216">
              <w:rPr>
                <w:color w:val="000000" w:themeColor="text1"/>
              </w:rPr>
              <w:t>2085.</w:t>
            </w:r>
          </w:p>
        </w:tc>
        <w:tc>
          <w:tcPr>
            <w:tcW w:w="4818" w:type="dxa"/>
          </w:tcPr>
          <w:p w14:paraId="07A0E78B" w14:textId="77777777" w:rsidR="00D836EB" w:rsidRPr="00286216" w:rsidRDefault="00D836EB" w:rsidP="00D836EB">
            <w:pPr>
              <w:pStyle w:val="StyleZakonu"/>
              <w:rPr>
                <w:color w:val="000000" w:themeColor="text1"/>
              </w:rPr>
            </w:pPr>
            <w:r w:rsidRPr="00286216">
              <w:rPr>
                <w:color w:val="000000" w:themeColor="text1"/>
              </w:rPr>
              <w:t>15) інформацію про будь-які обмеження щодо обігу цінних паперів емітента, в тому числі необхідність отримання від емітента або інших власників цінних паперів згоди на відчуження таких цінних паперів;</w:t>
            </w:r>
          </w:p>
        </w:tc>
        <w:tc>
          <w:tcPr>
            <w:tcW w:w="3686" w:type="dxa"/>
          </w:tcPr>
          <w:p w14:paraId="42DF7DC3" w14:textId="77777777" w:rsidR="00D836EB" w:rsidRPr="00286216" w:rsidRDefault="00D836EB" w:rsidP="00D836EB">
            <w:pPr>
              <w:pStyle w:val="StyleProp"/>
              <w:rPr>
                <w:color w:val="000000" w:themeColor="text1"/>
                <w:szCs w:val="18"/>
              </w:rPr>
            </w:pPr>
          </w:p>
        </w:tc>
        <w:tc>
          <w:tcPr>
            <w:tcW w:w="1987" w:type="dxa"/>
          </w:tcPr>
          <w:p w14:paraId="12E87982" w14:textId="77777777" w:rsidR="00D836EB" w:rsidRPr="00286216" w:rsidRDefault="00D836EB" w:rsidP="00D836EB">
            <w:pPr>
              <w:pStyle w:val="StyleWisnow"/>
              <w:rPr>
                <w:color w:val="000000" w:themeColor="text1"/>
              </w:rPr>
            </w:pPr>
          </w:p>
        </w:tc>
        <w:tc>
          <w:tcPr>
            <w:tcW w:w="4818" w:type="dxa"/>
          </w:tcPr>
          <w:p w14:paraId="7B8A37A1" w14:textId="446A5278" w:rsidR="00D836EB" w:rsidRPr="00286216" w:rsidRDefault="00D836EB" w:rsidP="00D836EB">
            <w:pPr>
              <w:pStyle w:val="StyleZakonu"/>
              <w:rPr>
                <w:color w:val="000000" w:themeColor="text1"/>
              </w:rPr>
            </w:pPr>
            <w:r w:rsidRPr="00286216">
              <w:rPr>
                <w:color w:val="000000" w:themeColor="text1"/>
              </w:rPr>
              <w:t>16) інформацію про будь-які обмеження щодо обігу цінних паперів емітента, у тому числі необхідність отримання від емітента або інших власників цінних паперів згоди на відчуження таких цінних паперів;</w:t>
            </w:r>
          </w:p>
        </w:tc>
      </w:tr>
      <w:tr w:rsidR="00D836EB" w:rsidRPr="00286216" w14:paraId="293F0AAE" w14:textId="77777777" w:rsidTr="00091AA5">
        <w:tc>
          <w:tcPr>
            <w:tcW w:w="576" w:type="dxa"/>
          </w:tcPr>
          <w:p w14:paraId="0E1C801F" w14:textId="77777777" w:rsidR="00D836EB" w:rsidRPr="00286216" w:rsidRDefault="00D836EB" w:rsidP="00D836EB">
            <w:pPr>
              <w:pStyle w:val="StyleWisnow"/>
              <w:rPr>
                <w:color w:val="000000" w:themeColor="text1"/>
              </w:rPr>
            </w:pPr>
            <w:bookmarkStart w:id="1847" w:name="n2086" w:colFirst="0" w:colLast="0"/>
            <w:bookmarkEnd w:id="1846"/>
            <w:r w:rsidRPr="00286216">
              <w:rPr>
                <w:color w:val="000000" w:themeColor="text1"/>
              </w:rPr>
              <w:t>2086.</w:t>
            </w:r>
          </w:p>
        </w:tc>
        <w:tc>
          <w:tcPr>
            <w:tcW w:w="4818" w:type="dxa"/>
          </w:tcPr>
          <w:p w14:paraId="766BE40D" w14:textId="77777777" w:rsidR="00D836EB" w:rsidRPr="00286216" w:rsidRDefault="00D836EB" w:rsidP="00D836EB">
            <w:pPr>
              <w:pStyle w:val="StyleZakonu"/>
              <w:rPr>
                <w:color w:val="000000" w:themeColor="text1"/>
              </w:rPr>
            </w:pPr>
            <w:r w:rsidRPr="00286216">
              <w:rPr>
                <w:color w:val="000000" w:themeColor="text1"/>
              </w:rPr>
              <w:t>16) інформацію про наявність у власності працівників емітента цінних паперів (крім акцій) такого емітента, а щодо акцій - у кожного у розмірі понад 0, 1 відсотка розміру статутного капіталу такого емітента;</w:t>
            </w:r>
          </w:p>
        </w:tc>
        <w:tc>
          <w:tcPr>
            <w:tcW w:w="3686" w:type="dxa"/>
          </w:tcPr>
          <w:p w14:paraId="2418B44F" w14:textId="77777777" w:rsidR="00D836EB" w:rsidRPr="00286216" w:rsidRDefault="00D836EB" w:rsidP="00D836EB">
            <w:pPr>
              <w:pStyle w:val="StyleProp"/>
              <w:rPr>
                <w:color w:val="000000" w:themeColor="text1"/>
                <w:szCs w:val="18"/>
              </w:rPr>
            </w:pPr>
          </w:p>
        </w:tc>
        <w:tc>
          <w:tcPr>
            <w:tcW w:w="1987" w:type="dxa"/>
          </w:tcPr>
          <w:p w14:paraId="62C9F404" w14:textId="77777777" w:rsidR="00D836EB" w:rsidRPr="00286216" w:rsidRDefault="00D836EB" w:rsidP="00D836EB">
            <w:pPr>
              <w:pStyle w:val="StyleWisnow"/>
              <w:rPr>
                <w:color w:val="000000" w:themeColor="text1"/>
              </w:rPr>
            </w:pPr>
          </w:p>
        </w:tc>
        <w:tc>
          <w:tcPr>
            <w:tcW w:w="4818" w:type="dxa"/>
          </w:tcPr>
          <w:p w14:paraId="78A33BEE" w14:textId="6CEA9762" w:rsidR="00D836EB" w:rsidRPr="00286216" w:rsidRDefault="00D836EB" w:rsidP="00D836EB">
            <w:pPr>
              <w:pStyle w:val="StyleZakonu"/>
              <w:rPr>
                <w:color w:val="000000" w:themeColor="text1"/>
              </w:rPr>
            </w:pPr>
            <w:r w:rsidRPr="00286216">
              <w:rPr>
                <w:color w:val="000000" w:themeColor="text1"/>
              </w:rPr>
              <w:t>17) інформацію про наявність у власності працівників емітента цінних паперів (крім акцій) такого емітента, а щодо акцій - у кожного у розмірі понад 0,1 відсотка розміру статутного капіталу такого емітента;</w:t>
            </w:r>
          </w:p>
        </w:tc>
      </w:tr>
      <w:tr w:rsidR="00D836EB" w:rsidRPr="00286216" w14:paraId="6BF16E44" w14:textId="77777777" w:rsidTr="00091AA5">
        <w:tc>
          <w:tcPr>
            <w:tcW w:w="576" w:type="dxa"/>
          </w:tcPr>
          <w:p w14:paraId="72897A5E" w14:textId="77777777" w:rsidR="00D836EB" w:rsidRPr="00286216" w:rsidRDefault="00D836EB" w:rsidP="00D836EB">
            <w:pPr>
              <w:pStyle w:val="StyleWisnow"/>
              <w:rPr>
                <w:color w:val="000000" w:themeColor="text1"/>
              </w:rPr>
            </w:pPr>
            <w:bookmarkStart w:id="1848" w:name="n2087" w:colFirst="0" w:colLast="0"/>
            <w:bookmarkEnd w:id="1847"/>
            <w:r w:rsidRPr="00286216">
              <w:rPr>
                <w:color w:val="000000" w:themeColor="text1"/>
              </w:rPr>
              <w:t>2087.</w:t>
            </w:r>
          </w:p>
        </w:tc>
        <w:tc>
          <w:tcPr>
            <w:tcW w:w="4818" w:type="dxa"/>
          </w:tcPr>
          <w:p w14:paraId="1F285B17" w14:textId="77777777" w:rsidR="00D836EB" w:rsidRPr="00286216" w:rsidRDefault="00D836EB" w:rsidP="00D836EB">
            <w:pPr>
              <w:pStyle w:val="StyleZakonu"/>
              <w:rPr>
                <w:color w:val="000000" w:themeColor="text1"/>
              </w:rPr>
            </w:pPr>
            <w:r w:rsidRPr="00286216">
              <w:rPr>
                <w:color w:val="000000" w:themeColor="text1"/>
              </w:rPr>
              <w:t>17) інформацію про корпоративні договори, укладені акціонерами (учасниками) такого емітента, яка наявна в емітента;</w:t>
            </w:r>
          </w:p>
        </w:tc>
        <w:tc>
          <w:tcPr>
            <w:tcW w:w="3686" w:type="dxa"/>
          </w:tcPr>
          <w:p w14:paraId="6A3B4D68" w14:textId="77777777" w:rsidR="00D836EB" w:rsidRPr="00286216" w:rsidRDefault="00D836EB" w:rsidP="00D836EB">
            <w:pPr>
              <w:pStyle w:val="StyleProp"/>
              <w:rPr>
                <w:color w:val="000000" w:themeColor="text1"/>
                <w:szCs w:val="18"/>
              </w:rPr>
            </w:pPr>
          </w:p>
        </w:tc>
        <w:tc>
          <w:tcPr>
            <w:tcW w:w="1987" w:type="dxa"/>
          </w:tcPr>
          <w:p w14:paraId="001576A3" w14:textId="77777777" w:rsidR="00D836EB" w:rsidRPr="00286216" w:rsidRDefault="00D836EB" w:rsidP="00D836EB">
            <w:pPr>
              <w:pStyle w:val="StyleWisnow"/>
              <w:rPr>
                <w:color w:val="000000" w:themeColor="text1"/>
              </w:rPr>
            </w:pPr>
          </w:p>
        </w:tc>
        <w:tc>
          <w:tcPr>
            <w:tcW w:w="4818" w:type="dxa"/>
          </w:tcPr>
          <w:p w14:paraId="5274F540" w14:textId="6AE9204F" w:rsidR="00D836EB" w:rsidRPr="00286216" w:rsidRDefault="00D836EB" w:rsidP="00D836EB">
            <w:pPr>
              <w:pStyle w:val="StyleZakonu"/>
              <w:rPr>
                <w:color w:val="000000" w:themeColor="text1"/>
              </w:rPr>
            </w:pPr>
            <w:r w:rsidRPr="00286216">
              <w:rPr>
                <w:color w:val="000000" w:themeColor="text1"/>
              </w:rPr>
              <w:t>18) наявну в емітента інформацію про корпоративні договори, укладені акціонерами (учасниками) такого емітента,;</w:t>
            </w:r>
          </w:p>
        </w:tc>
      </w:tr>
      <w:tr w:rsidR="00D836EB" w:rsidRPr="00286216" w14:paraId="7741DCD3" w14:textId="77777777" w:rsidTr="00091AA5">
        <w:tc>
          <w:tcPr>
            <w:tcW w:w="576" w:type="dxa"/>
          </w:tcPr>
          <w:p w14:paraId="28202243" w14:textId="77777777" w:rsidR="00D836EB" w:rsidRPr="00286216" w:rsidRDefault="00D836EB" w:rsidP="00D836EB">
            <w:pPr>
              <w:pStyle w:val="StyleWisnow"/>
              <w:rPr>
                <w:color w:val="000000" w:themeColor="text1"/>
              </w:rPr>
            </w:pPr>
            <w:bookmarkStart w:id="1849" w:name="n2088" w:colFirst="0" w:colLast="0"/>
            <w:bookmarkEnd w:id="1848"/>
            <w:r w:rsidRPr="00286216">
              <w:rPr>
                <w:color w:val="000000" w:themeColor="text1"/>
              </w:rPr>
              <w:t>2088.</w:t>
            </w:r>
          </w:p>
        </w:tc>
        <w:tc>
          <w:tcPr>
            <w:tcW w:w="4818" w:type="dxa"/>
          </w:tcPr>
          <w:p w14:paraId="73CF2C0B" w14:textId="77777777" w:rsidR="00D836EB" w:rsidRPr="00286216" w:rsidRDefault="00D836EB" w:rsidP="00D836EB">
            <w:pPr>
              <w:pStyle w:val="StyleZakonu"/>
              <w:rPr>
                <w:color w:val="000000" w:themeColor="text1"/>
              </w:rPr>
            </w:pPr>
            <w:r w:rsidRPr="00286216">
              <w:rPr>
                <w:color w:val="000000" w:themeColor="text1"/>
              </w:rPr>
              <w:t>18) інформацію про будь-які договори та/або правочини, умовою чинності яких є незмінність осіб, які здійснюють контроль над емітентом;</w:t>
            </w:r>
          </w:p>
        </w:tc>
        <w:tc>
          <w:tcPr>
            <w:tcW w:w="3686" w:type="dxa"/>
          </w:tcPr>
          <w:p w14:paraId="6DD99BAD" w14:textId="77777777" w:rsidR="00D836EB" w:rsidRPr="00286216" w:rsidRDefault="00D836EB" w:rsidP="00D836EB">
            <w:pPr>
              <w:pStyle w:val="StyleProp"/>
              <w:rPr>
                <w:color w:val="000000" w:themeColor="text1"/>
                <w:szCs w:val="18"/>
              </w:rPr>
            </w:pPr>
          </w:p>
        </w:tc>
        <w:tc>
          <w:tcPr>
            <w:tcW w:w="1987" w:type="dxa"/>
          </w:tcPr>
          <w:p w14:paraId="50363B73" w14:textId="77777777" w:rsidR="00D836EB" w:rsidRPr="00286216" w:rsidRDefault="00D836EB" w:rsidP="00D836EB">
            <w:pPr>
              <w:pStyle w:val="StyleWisnow"/>
              <w:rPr>
                <w:color w:val="000000" w:themeColor="text1"/>
              </w:rPr>
            </w:pPr>
          </w:p>
        </w:tc>
        <w:tc>
          <w:tcPr>
            <w:tcW w:w="4818" w:type="dxa"/>
          </w:tcPr>
          <w:p w14:paraId="4B939181" w14:textId="0C75FDC7" w:rsidR="00D836EB" w:rsidRPr="00286216" w:rsidRDefault="00D836EB" w:rsidP="00D836EB">
            <w:pPr>
              <w:pStyle w:val="StyleZakonu"/>
              <w:rPr>
                <w:color w:val="000000" w:themeColor="text1"/>
              </w:rPr>
            </w:pPr>
            <w:r w:rsidRPr="00286216">
              <w:rPr>
                <w:color w:val="000000" w:themeColor="text1"/>
              </w:rPr>
              <w:t>19) інформацію про будь-які договори та/або правочини, умовою чинності яких є незмінність осіб, які здійснюють контроль над емітентом;</w:t>
            </w:r>
          </w:p>
        </w:tc>
      </w:tr>
      <w:tr w:rsidR="00D836EB" w:rsidRPr="00286216" w14:paraId="251FD6A9" w14:textId="77777777" w:rsidTr="00091AA5">
        <w:tc>
          <w:tcPr>
            <w:tcW w:w="576" w:type="dxa"/>
          </w:tcPr>
          <w:p w14:paraId="34C17820" w14:textId="77777777" w:rsidR="00D836EB" w:rsidRPr="00286216" w:rsidRDefault="00D836EB" w:rsidP="00D836EB">
            <w:pPr>
              <w:pStyle w:val="StyleWisnow"/>
              <w:rPr>
                <w:color w:val="000000" w:themeColor="text1"/>
              </w:rPr>
            </w:pPr>
            <w:bookmarkStart w:id="1850" w:name="n2089" w:colFirst="0" w:colLast="0"/>
            <w:bookmarkEnd w:id="1849"/>
            <w:r w:rsidRPr="00286216">
              <w:rPr>
                <w:color w:val="000000" w:themeColor="text1"/>
              </w:rPr>
              <w:t>2089.</w:t>
            </w:r>
          </w:p>
        </w:tc>
        <w:tc>
          <w:tcPr>
            <w:tcW w:w="4818" w:type="dxa"/>
          </w:tcPr>
          <w:p w14:paraId="7D2A25A2" w14:textId="77777777" w:rsidR="00D836EB" w:rsidRPr="00286216" w:rsidRDefault="00D836EB" w:rsidP="00D836EB">
            <w:pPr>
              <w:pStyle w:val="StyleZakonu"/>
              <w:rPr>
                <w:color w:val="000000" w:themeColor="text1"/>
              </w:rPr>
            </w:pPr>
            <w:bookmarkStart w:id="1851" w:name="_Ref18525130"/>
            <w:r w:rsidRPr="00286216">
              <w:rPr>
                <w:color w:val="000000" w:themeColor="text1"/>
              </w:rPr>
              <w:t>19) інформацію про будь-які винагороди або компенсації, які мають бути виплачені посадовим особам емітента в разі їх звільнення;</w:t>
            </w:r>
            <w:bookmarkEnd w:id="1851"/>
          </w:p>
        </w:tc>
        <w:tc>
          <w:tcPr>
            <w:tcW w:w="3686" w:type="dxa"/>
          </w:tcPr>
          <w:p w14:paraId="54F2B907" w14:textId="77777777" w:rsidR="00D836EB" w:rsidRPr="00286216" w:rsidRDefault="00D836EB" w:rsidP="00D836EB">
            <w:pPr>
              <w:pStyle w:val="StyleProp"/>
              <w:rPr>
                <w:color w:val="000000" w:themeColor="text1"/>
                <w:szCs w:val="18"/>
              </w:rPr>
            </w:pPr>
          </w:p>
        </w:tc>
        <w:tc>
          <w:tcPr>
            <w:tcW w:w="1987" w:type="dxa"/>
          </w:tcPr>
          <w:p w14:paraId="7EB12113" w14:textId="77777777" w:rsidR="00D836EB" w:rsidRPr="00286216" w:rsidRDefault="00D836EB" w:rsidP="00D836EB">
            <w:pPr>
              <w:pStyle w:val="StyleWisnow"/>
              <w:rPr>
                <w:color w:val="000000" w:themeColor="text1"/>
              </w:rPr>
            </w:pPr>
          </w:p>
        </w:tc>
        <w:tc>
          <w:tcPr>
            <w:tcW w:w="4818" w:type="dxa"/>
          </w:tcPr>
          <w:p w14:paraId="6C4EC671" w14:textId="7187E492" w:rsidR="00D836EB" w:rsidRPr="00286216" w:rsidRDefault="00D836EB" w:rsidP="00D836EB">
            <w:pPr>
              <w:pStyle w:val="StyleZakonu"/>
              <w:rPr>
                <w:color w:val="000000" w:themeColor="text1"/>
              </w:rPr>
            </w:pPr>
            <w:r w:rsidRPr="00286216">
              <w:rPr>
                <w:color w:val="000000" w:themeColor="text1"/>
              </w:rPr>
              <w:t>20) інформацію про будь-які винагороди або компенсації, що мають бути виплачені посадовим особам емітента в разі їх звільнення;</w:t>
            </w:r>
          </w:p>
        </w:tc>
      </w:tr>
      <w:tr w:rsidR="00D836EB" w:rsidRPr="00286216" w14:paraId="560412CC" w14:textId="77777777" w:rsidTr="00091AA5">
        <w:tc>
          <w:tcPr>
            <w:tcW w:w="576" w:type="dxa"/>
          </w:tcPr>
          <w:p w14:paraId="517AE3BD" w14:textId="77777777" w:rsidR="00D836EB" w:rsidRPr="00286216" w:rsidRDefault="00D836EB" w:rsidP="00D836EB">
            <w:pPr>
              <w:pStyle w:val="StyleWisnow"/>
              <w:rPr>
                <w:color w:val="000000" w:themeColor="text1"/>
              </w:rPr>
            </w:pPr>
            <w:bookmarkStart w:id="1852" w:name="n2090" w:colFirst="0" w:colLast="0"/>
            <w:bookmarkEnd w:id="1850"/>
            <w:r w:rsidRPr="00286216">
              <w:rPr>
                <w:color w:val="000000" w:themeColor="text1"/>
              </w:rPr>
              <w:t>2090.</w:t>
            </w:r>
          </w:p>
        </w:tc>
        <w:tc>
          <w:tcPr>
            <w:tcW w:w="4818" w:type="dxa"/>
          </w:tcPr>
          <w:p w14:paraId="727FBB66" w14:textId="77777777" w:rsidR="00D836EB" w:rsidRPr="00286216" w:rsidRDefault="00D836EB" w:rsidP="00D836EB">
            <w:pPr>
              <w:pStyle w:val="StyleZakonu"/>
              <w:rPr>
                <w:color w:val="000000" w:themeColor="text1"/>
              </w:rPr>
            </w:pPr>
            <w:bookmarkStart w:id="1853" w:name="_Ref18525062"/>
            <w:r w:rsidRPr="00286216">
              <w:rPr>
                <w:color w:val="000000" w:themeColor="text1"/>
              </w:rPr>
              <w:t>20) інформацію про загальну кількість голосуючих акцій та кількість голосуючих акцій, права голосу за якими обмежено, а також кількість голосуючих акцій, права голосу за якими за результатами обмеження таких прав передано іншій особі;</w:t>
            </w:r>
            <w:bookmarkEnd w:id="1853"/>
          </w:p>
        </w:tc>
        <w:tc>
          <w:tcPr>
            <w:tcW w:w="3686" w:type="dxa"/>
          </w:tcPr>
          <w:p w14:paraId="29452DEB" w14:textId="77777777" w:rsidR="00D836EB" w:rsidRPr="00286216" w:rsidRDefault="00D836EB" w:rsidP="00D836EB">
            <w:pPr>
              <w:pStyle w:val="StyleProp"/>
              <w:rPr>
                <w:color w:val="000000" w:themeColor="text1"/>
                <w:szCs w:val="18"/>
              </w:rPr>
            </w:pPr>
          </w:p>
        </w:tc>
        <w:tc>
          <w:tcPr>
            <w:tcW w:w="1987" w:type="dxa"/>
          </w:tcPr>
          <w:p w14:paraId="5DFF5F92" w14:textId="77777777" w:rsidR="00D836EB" w:rsidRPr="00286216" w:rsidRDefault="00D836EB" w:rsidP="00D836EB">
            <w:pPr>
              <w:pStyle w:val="StyleWisnow"/>
              <w:rPr>
                <w:color w:val="000000" w:themeColor="text1"/>
              </w:rPr>
            </w:pPr>
          </w:p>
        </w:tc>
        <w:tc>
          <w:tcPr>
            <w:tcW w:w="4818" w:type="dxa"/>
          </w:tcPr>
          <w:p w14:paraId="29023DA8" w14:textId="35FA4B09" w:rsidR="00D836EB" w:rsidRPr="00286216" w:rsidRDefault="00D836EB" w:rsidP="00D836EB">
            <w:pPr>
              <w:pStyle w:val="StyleZakonu"/>
              <w:rPr>
                <w:color w:val="000000" w:themeColor="text1"/>
              </w:rPr>
            </w:pPr>
            <w:r w:rsidRPr="00286216">
              <w:rPr>
                <w:color w:val="000000" w:themeColor="text1"/>
              </w:rPr>
              <w:t>21) інформацію про загальну кількість голосуючих акцій та кількість голосуючих акцій, право голосу за якими обмежено, а також кількість голосуючих акцій, право голосу за якими за результатами обмеження такого права передано іншій особі;</w:t>
            </w:r>
          </w:p>
        </w:tc>
      </w:tr>
      <w:tr w:rsidR="00D836EB" w:rsidRPr="00286216" w14:paraId="03D4F94D" w14:textId="77777777" w:rsidTr="00091AA5">
        <w:tc>
          <w:tcPr>
            <w:tcW w:w="576" w:type="dxa"/>
          </w:tcPr>
          <w:p w14:paraId="755201DC" w14:textId="77777777" w:rsidR="00D836EB" w:rsidRPr="00286216" w:rsidRDefault="00D836EB" w:rsidP="00D836EB">
            <w:pPr>
              <w:pStyle w:val="StyleWisnow"/>
              <w:rPr>
                <w:color w:val="000000" w:themeColor="text1"/>
              </w:rPr>
            </w:pPr>
            <w:bookmarkStart w:id="1854" w:name="n2091" w:colFirst="0" w:colLast="0"/>
            <w:bookmarkEnd w:id="1852"/>
            <w:r w:rsidRPr="00286216">
              <w:rPr>
                <w:color w:val="000000" w:themeColor="text1"/>
              </w:rPr>
              <w:t>2091.</w:t>
            </w:r>
          </w:p>
        </w:tc>
        <w:tc>
          <w:tcPr>
            <w:tcW w:w="4818" w:type="dxa"/>
          </w:tcPr>
          <w:p w14:paraId="661E4862" w14:textId="77777777" w:rsidR="00D836EB" w:rsidRPr="00286216" w:rsidRDefault="00D836EB" w:rsidP="00D836EB">
            <w:pPr>
              <w:pStyle w:val="StyleZakonu"/>
              <w:rPr>
                <w:color w:val="000000" w:themeColor="text1"/>
              </w:rPr>
            </w:pPr>
            <w:r w:rsidRPr="00286216">
              <w:rPr>
                <w:color w:val="000000" w:themeColor="text1"/>
              </w:rPr>
              <w:t>21) інформацію про виплату дивідендів та інших доходів за цінними паперами у звітному періоді;</w:t>
            </w:r>
          </w:p>
        </w:tc>
        <w:tc>
          <w:tcPr>
            <w:tcW w:w="3686" w:type="dxa"/>
          </w:tcPr>
          <w:p w14:paraId="32CBD45C" w14:textId="77777777" w:rsidR="00D836EB" w:rsidRPr="00286216" w:rsidRDefault="00D836EB" w:rsidP="00D836EB">
            <w:pPr>
              <w:pStyle w:val="StyleProp"/>
              <w:rPr>
                <w:color w:val="000000" w:themeColor="text1"/>
                <w:szCs w:val="18"/>
              </w:rPr>
            </w:pPr>
          </w:p>
        </w:tc>
        <w:tc>
          <w:tcPr>
            <w:tcW w:w="1987" w:type="dxa"/>
          </w:tcPr>
          <w:p w14:paraId="509E9175" w14:textId="77777777" w:rsidR="00D836EB" w:rsidRPr="00286216" w:rsidRDefault="00D836EB" w:rsidP="00D836EB">
            <w:pPr>
              <w:pStyle w:val="StyleWisnow"/>
              <w:rPr>
                <w:color w:val="000000" w:themeColor="text1"/>
              </w:rPr>
            </w:pPr>
          </w:p>
        </w:tc>
        <w:tc>
          <w:tcPr>
            <w:tcW w:w="4818" w:type="dxa"/>
          </w:tcPr>
          <w:p w14:paraId="6E3F0CA5" w14:textId="27B5B01E" w:rsidR="00D836EB" w:rsidRPr="00286216" w:rsidRDefault="00D836EB" w:rsidP="00D836EB">
            <w:pPr>
              <w:pStyle w:val="StyleZakonu"/>
              <w:rPr>
                <w:color w:val="000000" w:themeColor="text1"/>
              </w:rPr>
            </w:pPr>
            <w:r w:rsidRPr="00286216">
              <w:rPr>
                <w:color w:val="000000" w:themeColor="text1"/>
              </w:rPr>
              <w:t>22) інформацію про виплату дивідендів та інших доходів за цінними паперами у звітному періоді;</w:t>
            </w:r>
          </w:p>
        </w:tc>
      </w:tr>
      <w:tr w:rsidR="00D836EB" w:rsidRPr="00286216" w14:paraId="2170CC35" w14:textId="77777777" w:rsidTr="00091AA5">
        <w:tc>
          <w:tcPr>
            <w:tcW w:w="576" w:type="dxa"/>
          </w:tcPr>
          <w:p w14:paraId="1C6CAD0E" w14:textId="77777777" w:rsidR="00D836EB" w:rsidRPr="00286216" w:rsidRDefault="00D836EB" w:rsidP="00D836EB">
            <w:pPr>
              <w:pStyle w:val="StyleWisnow"/>
              <w:rPr>
                <w:color w:val="000000" w:themeColor="text1"/>
              </w:rPr>
            </w:pPr>
            <w:bookmarkStart w:id="1855" w:name="n2092" w:colFirst="0" w:colLast="0"/>
            <w:bookmarkEnd w:id="1854"/>
            <w:r w:rsidRPr="00286216">
              <w:rPr>
                <w:color w:val="000000" w:themeColor="text1"/>
              </w:rPr>
              <w:t>2092.</w:t>
            </w:r>
          </w:p>
        </w:tc>
        <w:tc>
          <w:tcPr>
            <w:tcW w:w="4818" w:type="dxa"/>
          </w:tcPr>
          <w:p w14:paraId="1037C0C4" w14:textId="77777777" w:rsidR="00D836EB" w:rsidRPr="00286216" w:rsidRDefault="00D836EB" w:rsidP="00D836EB">
            <w:pPr>
              <w:pStyle w:val="StyleZakonu"/>
              <w:rPr>
                <w:color w:val="000000" w:themeColor="text1"/>
              </w:rPr>
            </w:pPr>
            <w:r w:rsidRPr="00286216">
              <w:rPr>
                <w:color w:val="000000" w:themeColor="text1"/>
              </w:rPr>
              <w:t xml:space="preserve">22) інформацію про придбання власних акцій </w:t>
            </w:r>
            <w:r w:rsidRPr="00286216">
              <w:rPr>
                <w:color w:val="000000" w:themeColor="text1"/>
              </w:rPr>
              <w:lastRenderedPageBreak/>
              <w:t>емітентом;</w:t>
            </w:r>
          </w:p>
        </w:tc>
        <w:tc>
          <w:tcPr>
            <w:tcW w:w="3686" w:type="dxa"/>
          </w:tcPr>
          <w:p w14:paraId="45EAC80A" w14:textId="77777777" w:rsidR="00D836EB" w:rsidRPr="00286216" w:rsidRDefault="00D836EB" w:rsidP="00D836EB">
            <w:pPr>
              <w:pStyle w:val="StyleProp"/>
              <w:rPr>
                <w:color w:val="000000" w:themeColor="text1"/>
                <w:szCs w:val="18"/>
              </w:rPr>
            </w:pPr>
          </w:p>
        </w:tc>
        <w:tc>
          <w:tcPr>
            <w:tcW w:w="1987" w:type="dxa"/>
          </w:tcPr>
          <w:p w14:paraId="5B09013F" w14:textId="77777777" w:rsidR="00D836EB" w:rsidRPr="00286216" w:rsidRDefault="00D836EB" w:rsidP="00D836EB">
            <w:pPr>
              <w:pStyle w:val="StyleWisnow"/>
              <w:rPr>
                <w:color w:val="000000" w:themeColor="text1"/>
              </w:rPr>
            </w:pPr>
          </w:p>
        </w:tc>
        <w:tc>
          <w:tcPr>
            <w:tcW w:w="4818" w:type="dxa"/>
          </w:tcPr>
          <w:p w14:paraId="0381B105" w14:textId="20FB506B" w:rsidR="00D836EB" w:rsidRPr="00286216" w:rsidRDefault="00D836EB" w:rsidP="00D836EB">
            <w:pPr>
              <w:pStyle w:val="StyleZakonu"/>
              <w:rPr>
                <w:color w:val="000000" w:themeColor="text1"/>
              </w:rPr>
            </w:pPr>
            <w:r w:rsidRPr="00286216">
              <w:rPr>
                <w:color w:val="000000" w:themeColor="text1"/>
              </w:rPr>
              <w:t xml:space="preserve">23) інформацію про придбання емітентом власних </w:t>
            </w:r>
            <w:r w:rsidRPr="00286216">
              <w:rPr>
                <w:color w:val="000000" w:themeColor="text1"/>
              </w:rPr>
              <w:lastRenderedPageBreak/>
              <w:t>акцій;</w:t>
            </w:r>
          </w:p>
        </w:tc>
      </w:tr>
      <w:tr w:rsidR="00D836EB" w:rsidRPr="00286216" w14:paraId="28ED1821" w14:textId="77777777" w:rsidTr="00091AA5">
        <w:tc>
          <w:tcPr>
            <w:tcW w:w="576" w:type="dxa"/>
          </w:tcPr>
          <w:p w14:paraId="7F56DA5A" w14:textId="77777777" w:rsidR="00D836EB" w:rsidRPr="00286216" w:rsidRDefault="00D836EB" w:rsidP="00D836EB">
            <w:pPr>
              <w:pStyle w:val="StyleWisnow"/>
              <w:rPr>
                <w:color w:val="000000" w:themeColor="text1"/>
              </w:rPr>
            </w:pPr>
            <w:bookmarkStart w:id="1856" w:name="n2093" w:colFirst="0" w:colLast="0"/>
            <w:bookmarkEnd w:id="1855"/>
            <w:r w:rsidRPr="00286216">
              <w:rPr>
                <w:color w:val="000000" w:themeColor="text1"/>
              </w:rPr>
              <w:lastRenderedPageBreak/>
              <w:t>2093.</w:t>
            </w:r>
          </w:p>
        </w:tc>
        <w:tc>
          <w:tcPr>
            <w:tcW w:w="4818" w:type="dxa"/>
          </w:tcPr>
          <w:p w14:paraId="4203AB60" w14:textId="77777777" w:rsidR="00D836EB" w:rsidRPr="00286216" w:rsidRDefault="00D836EB" w:rsidP="00D836EB">
            <w:pPr>
              <w:pStyle w:val="StyleZakonu"/>
              <w:rPr>
                <w:color w:val="000000" w:themeColor="text1"/>
              </w:rPr>
            </w:pPr>
            <w:r w:rsidRPr="00286216">
              <w:rPr>
                <w:color w:val="000000" w:themeColor="text1"/>
              </w:rPr>
              <w:t>23) інформацію про наявність філіалів або інших відокремлених структурних підрозділів емітента.</w:t>
            </w:r>
          </w:p>
        </w:tc>
        <w:tc>
          <w:tcPr>
            <w:tcW w:w="3686" w:type="dxa"/>
          </w:tcPr>
          <w:p w14:paraId="21D2654F" w14:textId="77777777" w:rsidR="00D836EB" w:rsidRPr="00286216" w:rsidRDefault="00D836EB" w:rsidP="00D836EB">
            <w:pPr>
              <w:pStyle w:val="StyleProp"/>
              <w:rPr>
                <w:color w:val="000000" w:themeColor="text1"/>
                <w:szCs w:val="18"/>
              </w:rPr>
            </w:pPr>
          </w:p>
        </w:tc>
        <w:tc>
          <w:tcPr>
            <w:tcW w:w="1987" w:type="dxa"/>
          </w:tcPr>
          <w:p w14:paraId="1F853C9A" w14:textId="77777777" w:rsidR="00D836EB" w:rsidRPr="00286216" w:rsidRDefault="00D836EB" w:rsidP="00D836EB">
            <w:pPr>
              <w:pStyle w:val="StyleWisnow"/>
              <w:rPr>
                <w:color w:val="000000" w:themeColor="text1"/>
              </w:rPr>
            </w:pPr>
          </w:p>
        </w:tc>
        <w:tc>
          <w:tcPr>
            <w:tcW w:w="4818" w:type="dxa"/>
          </w:tcPr>
          <w:p w14:paraId="55729C90" w14:textId="5797F51B" w:rsidR="00D836EB" w:rsidRPr="00286216" w:rsidRDefault="00D836EB" w:rsidP="00D836EB">
            <w:pPr>
              <w:pStyle w:val="StyleZakonu"/>
              <w:rPr>
                <w:color w:val="000000" w:themeColor="text1"/>
              </w:rPr>
            </w:pPr>
            <w:r w:rsidRPr="00286216">
              <w:rPr>
                <w:color w:val="000000" w:themeColor="text1"/>
              </w:rPr>
              <w:t>24) інформацію про наявність філіалів або інших відокремлених структурних підрозділів емітента.</w:t>
            </w:r>
          </w:p>
        </w:tc>
      </w:tr>
      <w:tr w:rsidR="00D836EB" w:rsidRPr="00286216" w14:paraId="7F4D01E1" w14:textId="77777777" w:rsidTr="00091AA5">
        <w:tc>
          <w:tcPr>
            <w:tcW w:w="576" w:type="dxa"/>
          </w:tcPr>
          <w:p w14:paraId="2AC37F55" w14:textId="77777777" w:rsidR="00D836EB" w:rsidRPr="00286216" w:rsidRDefault="00D836EB" w:rsidP="00D836EB">
            <w:pPr>
              <w:pStyle w:val="StyleWisnow"/>
              <w:rPr>
                <w:color w:val="000000" w:themeColor="text1"/>
              </w:rPr>
            </w:pPr>
            <w:bookmarkStart w:id="1857" w:name="n2094" w:colFirst="0" w:colLast="0"/>
            <w:bookmarkEnd w:id="1856"/>
            <w:r w:rsidRPr="00286216">
              <w:rPr>
                <w:color w:val="000000" w:themeColor="text1"/>
              </w:rPr>
              <w:t>2094.</w:t>
            </w:r>
          </w:p>
        </w:tc>
        <w:tc>
          <w:tcPr>
            <w:tcW w:w="4818" w:type="dxa"/>
          </w:tcPr>
          <w:p w14:paraId="28F8B573" w14:textId="77777777" w:rsidR="00D836EB" w:rsidRPr="00286216" w:rsidRDefault="00D836EB" w:rsidP="00D836EB">
            <w:pPr>
              <w:pStyle w:val="StyleZakonu"/>
              <w:rPr>
                <w:color w:val="000000" w:themeColor="text1"/>
              </w:rPr>
            </w:pPr>
            <w:r w:rsidRPr="00286216">
              <w:rPr>
                <w:color w:val="000000" w:themeColor="text1"/>
              </w:rPr>
              <w:t>Емітент має право додатково розкривати інші відомості у річній інформації.</w:t>
            </w:r>
          </w:p>
        </w:tc>
        <w:tc>
          <w:tcPr>
            <w:tcW w:w="3686" w:type="dxa"/>
          </w:tcPr>
          <w:p w14:paraId="6855C0E3" w14:textId="77777777" w:rsidR="00D836EB" w:rsidRPr="00286216" w:rsidRDefault="00D836EB" w:rsidP="00D836EB">
            <w:pPr>
              <w:pStyle w:val="StyleProp"/>
              <w:rPr>
                <w:color w:val="000000" w:themeColor="text1"/>
                <w:szCs w:val="18"/>
              </w:rPr>
            </w:pPr>
          </w:p>
        </w:tc>
        <w:tc>
          <w:tcPr>
            <w:tcW w:w="1987" w:type="dxa"/>
          </w:tcPr>
          <w:p w14:paraId="3CD5A293" w14:textId="77777777" w:rsidR="00D836EB" w:rsidRPr="00286216" w:rsidRDefault="00D836EB" w:rsidP="00D836EB">
            <w:pPr>
              <w:pStyle w:val="StyleWisnow"/>
              <w:rPr>
                <w:color w:val="000000" w:themeColor="text1"/>
              </w:rPr>
            </w:pPr>
          </w:p>
        </w:tc>
        <w:tc>
          <w:tcPr>
            <w:tcW w:w="4818" w:type="dxa"/>
          </w:tcPr>
          <w:p w14:paraId="6ACAC0A2" w14:textId="34269817" w:rsidR="00D836EB" w:rsidRPr="00286216" w:rsidRDefault="00D836EB" w:rsidP="00D836EB">
            <w:pPr>
              <w:pStyle w:val="StyleZakonu"/>
              <w:rPr>
                <w:color w:val="000000" w:themeColor="text1"/>
              </w:rPr>
            </w:pPr>
            <w:r w:rsidRPr="00286216">
              <w:rPr>
                <w:color w:val="000000" w:themeColor="text1"/>
              </w:rPr>
              <w:t>Емітент має право додатково розкривати інші відомості у річній інформації.</w:t>
            </w:r>
          </w:p>
        </w:tc>
      </w:tr>
      <w:tr w:rsidR="00D836EB" w:rsidRPr="00286216" w14:paraId="49BF5EDD" w14:textId="77777777" w:rsidTr="00091AA5">
        <w:tc>
          <w:tcPr>
            <w:tcW w:w="576" w:type="dxa"/>
          </w:tcPr>
          <w:p w14:paraId="484E1ED5" w14:textId="77777777" w:rsidR="00D836EB" w:rsidRPr="00286216" w:rsidRDefault="00D836EB" w:rsidP="00D836EB">
            <w:pPr>
              <w:pStyle w:val="StyleWisnow"/>
              <w:rPr>
                <w:color w:val="000000" w:themeColor="text1"/>
              </w:rPr>
            </w:pPr>
            <w:bookmarkStart w:id="1858" w:name="n2095" w:colFirst="0" w:colLast="0"/>
            <w:bookmarkEnd w:id="1857"/>
            <w:r w:rsidRPr="00286216">
              <w:rPr>
                <w:color w:val="000000" w:themeColor="text1"/>
              </w:rPr>
              <w:t>2095.</w:t>
            </w:r>
          </w:p>
        </w:tc>
        <w:tc>
          <w:tcPr>
            <w:tcW w:w="4818" w:type="dxa"/>
          </w:tcPr>
          <w:p w14:paraId="7801A239" w14:textId="77777777" w:rsidR="00D836EB" w:rsidRPr="00286216" w:rsidRDefault="00D836EB" w:rsidP="00D836EB">
            <w:pPr>
              <w:pStyle w:val="StyleZakonu"/>
              <w:rPr>
                <w:color w:val="000000" w:themeColor="text1"/>
              </w:rPr>
            </w:pPr>
            <w:r w:rsidRPr="00286216">
              <w:rPr>
                <w:color w:val="000000" w:themeColor="text1"/>
              </w:rPr>
              <w:t>Річна інформація повинна бути затверджена наглядовою радою емітента до її розкриття відповідно до вимог цього Закону.</w:t>
            </w:r>
          </w:p>
        </w:tc>
        <w:tc>
          <w:tcPr>
            <w:tcW w:w="3686" w:type="dxa"/>
          </w:tcPr>
          <w:p w14:paraId="71B96488" w14:textId="77777777" w:rsidR="00D836EB" w:rsidRPr="00286216" w:rsidRDefault="00D836EB" w:rsidP="00D836EB">
            <w:pPr>
              <w:pStyle w:val="StyleProp"/>
              <w:rPr>
                <w:color w:val="000000" w:themeColor="text1"/>
                <w:szCs w:val="18"/>
              </w:rPr>
            </w:pPr>
          </w:p>
        </w:tc>
        <w:tc>
          <w:tcPr>
            <w:tcW w:w="1987" w:type="dxa"/>
          </w:tcPr>
          <w:p w14:paraId="7052B11C" w14:textId="77777777" w:rsidR="00D836EB" w:rsidRPr="00286216" w:rsidRDefault="00D836EB" w:rsidP="00D836EB">
            <w:pPr>
              <w:pStyle w:val="StyleWisnow"/>
              <w:rPr>
                <w:color w:val="000000" w:themeColor="text1"/>
              </w:rPr>
            </w:pPr>
          </w:p>
        </w:tc>
        <w:tc>
          <w:tcPr>
            <w:tcW w:w="4818" w:type="dxa"/>
          </w:tcPr>
          <w:p w14:paraId="2F617B2E" w14:textId="30916915" w:rsidR="00D836EB" w:rsidRPr="00286216" w:rsidRDefault="00D836EB" w:rsidP="00D836EB">
            <w:pPr>
              <w:pStyle w:val="StyleZakonu"/>
              <w:rPr>
                <w:color w:val="000000" w:themeColor="text1"/>
              </w:rPr>
            </w:pPr>
            <w:r w:rsidRPr="00286216">
              <w:rPr>
                <w:color w:val="000000" w:themeColor="text1"/>
              </w:rPr>
              <w:t>Річна інформація про емітента затверджується наглядовою радою емітента до її розкриття відповідно до вимог цього Закону.</w:t>
            </w:r>
          </w:p>
        </w:tc>
      </w:tr>
      <w:tr w:rsidR="00D836EB" w:rsidRPr="00286216" w14:paraId="324F85A8" w14:textId="77777777" w:rsidTr="00091AA5">
        <w:tc>
          <w:tcPr>
            <w:tcW w:w="576" w:type="dxa"/>
          </w:tcPr>
          <w:p w14:paraId="4DA7253E" w14:textId="77777777" w:rsidR="00D836EB" w:rsidRPr="00286216" w:rsidRDefault="00D836EB" w:rsidP="00D836EB">
            <w:pPr>
              <w:pStyle w:val="StyleWisnow"/>
              <w:rPr>
                <w:color w:val="000000" w:themeColor="text1"/>
              </w:rPr>
            </w:pPr>
            <w:bookmarkStart w:id="1859" w:name="n2096" w:colFirst="0" w:colLast="0"/>
            <w:bookmarkEnd w:id="1858"/>
            <w:r w:rsidRPr="00286216">
              <w:rPr>
                <w:color w:val="000000" w:themeColor="text1"/>
              </w:rPr>
              <w:t>2096.</w:t>
            </w:r>
          </w:p>
        </w:tc>
        <w:tc>
          <w:tcPr>
            <w:tcW w:w="4818" w:type="dxa"/>
          </w:tcPr>
          <w:p w14:paraId="204C9703" w14:textId="77777777" w:rsidR="00D836EB" w:rsidRPr="00286216" w:rsidRDefault="00D836EB" w:rsidP="00D836EB">
            <w:pPr>
              <w:pStyle w:val="StyleZakonu"/>
              <w:rPr>
                <w:color w:val="000000" w:themeColor="text1"/>
              </w:rPr>
            </w:pPr>
            <w:r w:rsidRPr="00286216">
              <w:rPr>
                <w:color w:val="000000" w:themeColor="text1"/>
              </w:rPr>
              <w:t>4. Річна інформація про емітента є регульованою інформацією та підлягає розкриттю емітентом не пізніше 30 квітня року, наступного за звітним.</w:t>
            </w:r>
          </w:p>
        </w:tc>
        <w:tc>
          <w:tcPr>
            <w:tcW w:w="3686" w:type="dxa"/>
          </w:tcPr>
          <w:p w14:paraId="354A1F9D" w14:textId="53558640"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7AB957C"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0C92B2E2" w14:textId="77777777" w:rsidR="00D836EB" w:rsidRPr="00286216" w:rsidRDefault="00D836EB" w:rsidP="00D836EB">
            <w:pPr>
              <w:pStyle w:val="StyleProp"/>
              <w:rPr>
                <w:color w:val="000000" w:themeColor="text1"/>
                <w:szCs w:val="18"/>
              </w:rPr>
            </w:pPr>
            <w:r w:rsidRPr="00286216">
              <w:rPr>
                <w:color w:val="000000" w:themeColor="text1"/>
                <w:szCs w:val="18"/>
              </w:rPr>
              <w:t xml:space="preserve">абзац перший частини четвертої доповнити словами такого змісту: «, крім звіту про платежі на користь держави, який підлягає розкриттю емітентом не пізніше 30 червня року, наступного за звітним». </w:t>
            </w:r>
          </w:p>
        </w:tc>
        <w:tc>
          <w:tcPr>
            <w:tcW w:w="1987" w:type="dxa"/>
          </w:tcPr>
          <w:p w14:paraId="72E52CE3"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5CF807C9" w14:textId="230BA62F" w:rsidR="00D836EB" w:rsidRPr="00286216" w:rsidRDefault="00D836EB" w:rsidP="00D836EB">
            <w:pPr>
              <w:pStyle w:val="StyleZakonu"/>
              <w:rPr>
                <w:color w:val="000000" w:themeColor="text1"/>
              </w:rPr>
            </w:pPr>
            <w:r w:rsidRPr="00286216">
              <w:rPr>
                <w:color w:val="000000" w:themeColor="text1"/>
              </w:rPr>
              <w:t xml:space="preserve">4. Річна інформація про емітента є регульованою інформацією та підлягає розкриттю емітентом не пізніше 30 квітня року, наступного за звітним, </w:t>
            </w:r>
            <w:r w:rsidRPr="00286216">
              <w:rPr>
                <w:color w:val="000000" w:themeColor="text1"/>
                <w:szCs w:val="18"/>
              </w:rPr>
              <w:t>крім звіту про платежі на користь держави, який підлягає розкриттю емітентом не пізніше 30 червня року, наступного за звітним</w:t>
            </w:r>
            <w:r w:rsidRPr="00286216">
              <w:rPr>
                <w:color w:val="000000" w:themeColor="text1"/>
              </w:rPr>
              <w:t>.</w:t>
            </w:r>
          </w:p>
        </w:tc>
      </w:tr>
      <w:tr w:rsidR="00D836EB" w:rsidRPr="00286216" w14:paraId="0BF7AC71" w14:textId="77777777" w:rsidTr="00091AA5">
        <w:tc>
          <w:tcPr>
            <w:tcW w:w="576" w:type="dxa"/>
          </w:tcPr>
          <w:p w14:paraId="2FC75D7E" w14:textId="77777777" w:rsidR="00D836EB" w:rsidRPr="00286216" w:rsidRDefault="00D836EB" w:rsidP="00D836EB">
            <w:pPr>
              <w:pStyle w:val="StyleWisnow"/>
              <w:rPr>
                <w:color w:val="000000" w:themeColor="text1"/>
              </w:rPr>
            </w:pPr>
            <w:bookmarkStart w:id="1860" w:name="n2097" w:colFirst="0" w:colLast="0"/>
            <w:bookmarkEnd w:id="1859"/>
            <w:r w:rsidRPr="00286216">
              <w:rPr>
                <w:color w:val="000000" w:themeColor="text1"/>
              </w:rPr>
              <w:t>2097.</w:t>
            </w:r>
          </w:p>
        </w:tc>
        <w:tc>
          <w:tcPr>
            <w:tcW w:w="4818" w:type="dxa"/>
          </w:tcPr>
          <w:p w14:paraId="0E5A6DFD" w14:textId="77777777" w:rsidR="00D836EB" w:rsidRPr="00286216" w:rsidRDefault="00D836EB" w:rsidP="00D836EB">
            <w:pPr>
              <w:pStyle w:val="StyleZakonu"/>
              <w:rPr>
                <w:color w:val="000000" w:themeColor="text1"/>
              </w:rPr>
            </w:pPr>
            <w:r w:rsidRPr="00286216">
              <w:rPr>
                <w:color w:val="000000" w:themeColor="text1"/>
              </w:rPr>
              <w:t>Річна інформація повинна залишатися в публічному доступі на власному веб-сайті емітента протягом щонайменше 10 років після її розкриття.</w:t>
            </w:r>
          </w:p>
        </w:tc>
        <w:tc>
          <w:tcPr>
            <w:tcW w:w="3686" w:type="dxa"/>
          </w:tcPr>
          <w:p w14:paraId="3E3A33C4" w14:textId="77777777" w:rsidR="00D836EB" w:rsidRPr="00286216" w:rsidRDefault="00D836EB" w:rsidP="00D836EB">
            <w:pPr>
              <w:pStyle w:val="StyleProp"/>
              <w:rPr>
                <w:color w:val="000000" w:themeColor="text1"/>
                <w:szCs w:val="18"/>
              </w:rPr>
            </w:pPr>
          </w:p>
        </w:tc>
        <w:tc>
          <w:tcPr>
            <w:tcW w:w="1987" w:type="dxa"/>
          </w:tcPr>
          <w:p w14:paraId="59E0AA29" w14:textId="77777777" w:rsidR="00D836EB" w:rsidRPr="00286216" w:rsidRDefault="00D836EB" w:rsidP="00D836EB">
            <w:pPr>
              <w:pStyle w:val="StyleWisnow"/>
              <w:rPr>
                <w:color w:val="000000" w:themeColor="text1"/>
              </w:rPr>
            </w:pPr>
          </w:p>
        </w:tc>
        <w:tc>
          <w:tcPr>
            <w:tcW w:w="4818" w:type="dxa"/>
          </w:tcPr>
          <w:p w14:paraId="1AECDD6F" w14:textId="238C1539" w:rsidR="00D836EB" w:rsidRPr="00286216" w:rsidRDefault="00D836EB" w:rsidP="00D836EB">
            <w:pPr>
              <w:pStyle w:val="StyleZakonu"/>
              <w:rPr>
                <w:color w:val="000000" w:themeColor="text1"/>
              </w:rPr>
            </w:pPr>
            <w:r w:rsidRPr="00286216">
              <w:rPr>
                <w:color w:val="000000" w:themeColor="text1"/>
              </w:rPr>
              <w:t>Річна інформація про емітента розміщується на офіційному веб-сайті емітента та загальнодоступною протягом  не менш, як 10 років після її розкриття.</w:t>
            </w:r>
          </w:p>
        </w:tc>
      </w:tr>
      <w:tr w:rsidR="00D836EB" w:rsidRPr="00286216" w14:paraId="41D68A28" w14:textId="77777777" w:rsidTr="00091AA5">
        <w:tc>
          <w:tcPr>
            <w:tcW w:w="576" w:type="dxa"/>
          </w:tcPr>
          <w:p w14:paraId="379F189C" w14:textId="77777777" w:rsidR="00D836EB" w:rsidRPr="00286216" w:rsidRDefault="00D836EB" w:rsidP="00D836EB">
            <w:pPr>
              <w:pStyle w:val="StyleWisnow"/>
              <w:rPr>
                <w:color w:val="000000" w:themeColor="text1"/>
              </w:rPr>
            </w:pPr>
            <w:bookmarkStart w:id="1861" w:name="n2098" w:colFirst="0" w:colLast="0"/>
            <w:bookmarkEnd w:id="1860"/>
            <w:r w:rsidRPr="00286216">
              <w:rPr>
                <w:color w:val="000000" w:themeColor="text1"/>
              </w:rPr>
              <w:t>2098.</w:t>
            </w:r>
          </w:p>
        </w:tc>
        <w:tc>
          <w:tcPr>
            <w:tcW w:w="4818" w:type="dxa"/>
          </w:tcPr>
          <w:p w14:paraId="6D7FDCEE" w14:textId="77777777" w:rsidR="00D836EB" w:rsidRPr="00286216" w:rsidRDefault="00D836EB" w:rsidP="00D836EB">
            <w:pPr>
              <w:pStyle w:val="StyleZakonu"/>
              <w:rPr>
                <w:color w:val="000000" w:themeColor="text1"/>
              </w:rPr>
            </w:pPr>
            <w:r w:rsidRPr="00286216">
              <w:rPr>
                <w:color w:val="000000" w:themeColor="text1"/>
              </w:rPr>
              <w:t>5. Звітним періодом для складання проміжної інформації про емітента є квартал. Проміжна інформація про емітента складається станом на кінець останнього дня кварталу.</w:t>
            </w:r>
          </w:p>
        </w:tc>
        <w:tc>
          <w:tcPr>
            <w:tcW w:w="3686" w:type="dxa"/>
          </w:tcPr>
          <w:p w14:paraId="5D4B8282" w14:textId="77777777" w:rsidR="00D836EB" w:rsidRPr="00286216" w:rsidRDefault="00D836EB" w:rsidP="00D836EB">
            <w:pPr>
              <w:pStyle w:val="StyleProp"/>
              <w:rPr>
                <w:color w:val="000000" w:themeColor="text1"/>
                <w:szCs w:val="18"/>
              </w:rPr>
            </w:pPr>
          </w:p>
        </w:tc>
        <w:tc>
          <w:tcPr>
            <w:tcW w:w="1987" w:type="dxa"/>
          </w:tcPr>
          <w:p w14:paraId="34DA8C5F" w14:textId="77777777" w:rsidR="00D836EB" w:rsidRPr="00286216" w:rsidRDefault="00D836EB" w:rsidP="00D836EB">
            <w:pPr>
              <w:pStyle w:val="StyleWisnow"/>
              <w:rPr>
                <w:color w:val="000000" w:themeColor="text1"/>
              </w:rPr>
            </w:pPr>
          </w:p>
        </w:tc>
        <w:tc>
          <w:tcPr>
            <w:tcW w:w="4818" w:type="dxa"/>
          </w:tcPr>
          <w:p w14:paraId="3F47D581" w14:textId="77ACE9A7" w:rsidR="00D836EB" w:rsidRPr="00286216" w:rsidRDefault="00D836EB" w:rsidP="00D836EB">
            <w:pPr>
              <w:pStyle w:val="StyleZakonu"/>
              <w:rPr>
                <w:color w:val="000000" w:themeColor="text1"/>
              </w:rPr>
            </w:pPr>
            <w:r w:rsidRPr="00286216">
              <w:rPr>
                <w:color w:val="000000" w:themeColor="text1"/>
              </w:rPr>
              <w:t>5. Звітним періодом для складання проміжної інформації про емітента є квартал. Проміжна інформація про емітента складається станом на кінець останнього дня кварталу.</w:t>
            </w:r>
          </w:p>
        </w:tc>
      </w:tr>
      <w:tr w:rsidR="00D836EB" w:rsidRPr="00286216" w14:paraId="730DC564" w14:textId="77777777" w:rsidTr="00091AA5">
        <w:tc>
          <w:tcPr>
            <w:tcW w:w="576" w:type="dxa"/>
          </w:tcPr>
          <w:p w14:paraId="5E7F07A2" w14:textId="77777777" w:rsidR="00D836EB" w:rsidRPr="00286216" w:rsidRDefault="00D836EB" w:rsidP="00D836EB">
            <w:pPr>
              <w:pStyle w:val="StyleWisnow"/>
              <w:rPr>
                <w:color w:val="000000" w:themeColor="text1"/>
              </w:rPr>
            </w:pPr>
            <w:bookmarkStart w:id="1862" w:name="n2099" w:colFirst="0" w:colLast="0"/>
            <w:bookmarkEnd w:id="1861"/>
            <w:r w:rsidRPr="00286216">
              <w:rPr>
                <w:color w:val="000000" w:themeColor="text1"/>
              </w:rPr>
              <w:t>2099.</w:t>
            </w:r>
          </w:p>
        </w:tc>
        <w:tc>
          <w:tcPr>
            <w:tcW w:w="4818" w:type="dxa"/>
          </w:tcPr>
          <w:p w14:paraId="4A54A94B" w14:textId="77777777" w:rsidR="00D836EB" w:rsidRPr="00286216" w:rsidRDefault="00D836EB" w:rsidP="00D836EB">
            <w:pPr>
              <w:pStyle w:val="StyleZakonu"/>
              <w:rPr>
                <w:color w:val="000000" w:themeColor="text1"/>
              </w:rPr>
            </w:pPr>
            <w:r w:rsidRPr="00286216">
              <w:rPr>
                <w:color w:val="000000" w:themeColor="text1"/>
              </w:rPr>
              <w:t>Проміжна інформація про емітента повинна містити такі відомості:</w:t>
            </w:r>
          </w:p>
        </w:tc>
        <w:tc>
          <w:tcPr>
            <w:tcW w:w="3686" w:type="dxa"/>
          </w:tcPr>
          <w:p w14:paraId="2CEF7B1D" w14:textId="77777777" w:rsidR="00D836EB" w:rsidRPr="00286216" w:rsidRDefault="00D836EB" w:rsidP="00D836EB">
            <w:pPr>
              <w:pStyle w:val="StyleProp"/>
              <w:rPr>
                <w:color w:val="000000" w:themeColor="text1"/>
                <w:szCs w:val="18"/>
              </w:rPr>
            </w:pPr>
          </w:p>
        </w:tc>
        <w:tc>
          <w:tcPr>
            <w:tcW w:w="1987" w:type="dxa"/>
          </w:tcPr>
          <w:p w14:paraId="7A52CB58" w14:textId="77777777" w:rsidR="00D836EB" w:rsidRPr="00286216" w:rsidRDefault="00D836EB" w:rsidP="00D836EB">
            <w:pPr>
              <w:pStyle w:val="StyleWisnow"/>
              <w:rPr>
                <w:color w:val="000000" w:themeColor="text1"/>
              </w:rPr>
            </w:pPr>
          </w:p>
        </w:tc>
        <w:tc>
          <w:tcPr>
            <w:tcW w:w="4818" w:type="dxa"/>
          </w:tcPr>
          <w:p w14:paraId="554FD791" w14:textId="0ECD8840" w:rsidR="00D836EB" w:rsidRPr="00286216" w:rsidRDefault="00D836EB" w:rsidP="00D836EB">
            <w:pPr>
              <w:pStyle w:val="StyleZakonu"/>
              <w:rPr>
                <w:color w:val="000000" w:themeColor="text1"/>
              </w:rPr>
            </w:pPr>
            <w:r w:rsidRPr="00286216">
              <w:rPr>
                <w:color w:val="000000" w:themeColor="text1"/>
              </w:rPr>
              <w:t>Проміжна інформація про емітента повинна містити такі відомості:</w:t>
            </w:r>
          </w:p>
        </w:tc>
      </w:tr>
      <w:tr w:rsidR="00D836EB" w:rsidRPr="00286216" w14:paraId="5A91982D" w14:textId="77777777" w:rsidTr="00091AA5">
        <w:tc>
          <w:tcPr>
            <w:tcW w:w="576" w:type="dxa"/>
          </w:tcPr>
          <w:p w14:paraId="725A86DC" w14:textId="77777777" w:rsidR="00D836EB" w:rsidRPr="00286216" w:rsidRDefault="00D836EB" w:rsidP="00D836EB">
            <w:pPr>
              <w:pStyle w:val="StyleWisnow"/>
              <w:rPr>
                <w:color w:val="000000" w:themeColor="text1"/>
              </w:rPr>
            </w:pPr>
            <w:bookmarkStart w:id="1863" w:name="n2100" w:colFirst="0" w:colLast="0"/>
            <w:bookmarkEnd w:id="1862"/>
            <w:r w:rsidRPr="00286216">
              <w:rPr>
                <w:color w:val="000000" w:themeColor="text1"/>
              </w:rPr>
              <w:t>2100.</w:t>
            </w:r>
          </w:p>
        </w:tc>
        <w:tc>
          <w:tcPr>
            <w:tcW w:w="4818" w:type="dxa"/>
          </w:tcPr>
          <w:p w14:paraId="15F497BE" w14:textId="77777777" w:rsidR="00D836EB" w:rsidRPr="00286216" w:rsidRDefault="00D836EB" w:rsidP="00D836EB">
            <w:pPr>
              <w:pStyle w:val="StyleZakonu"/>
              <w:rPr>
                <w:color w:val="000000" w:themeColor="text1"/>
              </w:rPr>
            </w:pPr>
            <w:r w:rsidRPr="00286216">
              <w:rPr>
                <w:color w:val="000000" w:themeColor="text1"/>
              </w:rPr>
              <w:t>1) найменування та місцезнаходження емітента, розмір його статутного капіталу;</w:t>
            </w:r>
          </w:p>
        </w:tc>
        <w:tc>
          <w:tcPr>
            <w:tcW w:w="3686" w:type="dxa"/>
          </w:tcPr>
          <w:p w14:paraId="636E0433" w14:textId="77777777" w:rsidR="00D836EB" w:rsidRPr="00286216" w:rsidRDefault="00D836EB" w:rsidP="00D836EB">
            <w:pPr>
              <w:pStyle w:val="StyleProp"/>
              <w:rPr>
                <w:color w:val="000000" w:themeColor="text1"/>
                <w:szCs w:val="18"/>
              </w:rPr>
            </w:pPr>
          </w:p>
        </w:tc>
        <w:tc>
          <w:tcPr>
            <w:tcW w:w="1987" w:type="dxa"/>
          </w:tcPr>
          <w:p w14:paraId="0EA410DE" w14:textId="77777777" w:rsidR="00D836EB" w:rsidRPr="00286216" w:rsidRDefault="00D836EB" w:rsidP="00D836EB">
            <w:pPr>
              <w:pStyle w:val="StyleWisnow"/>
              <w:rPr>
                <w:color w:val="000000" w:themeColor="text1"/>
              </w:rPr>
            </w:pPr>
          </w:p>
        </w:tc>
        <w:tc>
          <w:tcPr>
            <w:tcW w:w="4818" w:type="dxa"/>
          </w:tcPr>
          <w:p w14:paraId="4727BD2F" w14:textId="16BA7319" w:rsidR="00D836EB" w:rsidRPr="00286216" w:rsidRDefault="00D836EB" w:rsidP="00D836EB">
            <w:pPr>
              <w:pStyle w:val="StyleZakonu"/>
              <w:rPr>
                <w:color w:val="000000" w:themeColor="text1"/>
              </w:rPr>
            </w:pPr>
            <w:r w:rsidRPr="00286216">
              <w:rPr>
                <w:color w:val="000000" w:themeColor="text1"/>
              </w:rPr>
              <w:t>1) найменування та місцезнаходження емітента, розмір його статутного капіталу;</w:t>
            </w:r>
          </w:p>
        </w:tc>
      </w:tr>
      <w:tr w:rsidR="00D836EB" w:rsidRPr="00286216" w14:paraId="5804D942" w14:textId="77777777" w:rsidTr="00091AA5">
        <w:tc>
          <w:tcPr>
            <w:tcW w:w="576" w:type="dxa"/>
          </w:tcPr>
          <w:p w14:paraId="1E87E9F7" w14:textId="77777777" w:rsidR="00D836EB" w:rsidRPr="00286216" w:rsidRDefault="00D836EB" w:rsidP="00D836EB">
            <w:pPr>
              <w:pStyle w:val="StyleWisnow"/>
              <w:rPr>
                <w:color w:val="000000" w:themeColor="text1"/>
              </w:rPr>
            </w:pPr>
            <w:bookmarkStart w:id="1864" w:name="n2101" w:colFirst="0" w:colLast="0"/>
            <w:bookmarkEnd w:id="1863"/>
            <w:r w:rsidRPr="00286216">
              <w:rPr>
                <w:color w:val="000000" w:themeColor="text1"/>
              </w:rPr>
              <w:t>2101.</w:t>
            </w:r>
          </w:p>
        </w:tc>
        <w:tc>
          <w:tcPr>
            <w:tcW w:w="4818" w:type="dxa"/>
          </w:tcPr>
          <w:p w14:paraId="5F27669F" w14:textId="77777777" w:rsidR="00D836EB" w:rsidRPr="00286216" w:rsidRDefault="00D836EB" w:rsidP="00D836EB">
            <w:pPr>
              <w:pStyle w:val="StyleZakonu"/>
              <w:rPr>
                <w:color w:val="000000" w:themeColor="text1"/>
              </w:rPr>
            </w:pPr>
            <w:r w:rsidRPr="00286216">
              <w:rPr>
                <w:color w:val="000000" w:themeColor="text1"/>
              </w:rPr>
              <w:t>2) інформація про орган управління емітента, його посадових осіб та засновників;</w:t>
            </w:r>
          </w:p>
        </w:tc>
        <w:tc>
          <w:tcPr>
            <w:tcW w:w="3686" w:type="dxa"/>
          </w:tcPr>
          <w:p w14:paraId="0598BCF4" w14:textId="77777777" w:rsidR="00D836EB" w:rsidRPr="00286216" w:rsidRDefault="00D836EB" w:rsidP="00D836EB">
            <w:pPr>
              <w:pStyle w:val="StyleProp"/>
              <w:rPr>
                <w:color w:val="000000" w:themeColor="text1"/>
                <w:szCs w:val="18"/>
              </w:rPr>
            </w:pPr>
          </w:p>
        </w:tc>
        <w:tc>
          <w:tcPr>
            <w:tcW w:w="1987" w:type="dxa"/>
          </w:tcPr>
          <w:p w14:paraId="4F95924A" w14:textId="77777777" w:rsidR="00D836EB" w:rsidRPr="00286216" w:rsidRDefault="00D836EB" w:rsidP="00D836EB">
            <w:pPr>
              <w:pStyle w:val="StyleWisnow"/>
              <w:rPr>
                <w:color w:val="000000" w:themeColor="text1"/>
              </w:rPr>
            </w:pPr>
          </w:p>
        </w:tc>
        <w:tc>
          <w:tcPr>
            <w:tcW w:w="4818" w:type="dxa"/>
          </w:tcPr>
          <w:p w14:paraId="3819FCD2" w14:textId="2E9AA5E1" w:rsidR="00D836EB" w:rsidRPr="00286216" w:rsidRDefault="00D836EB" w:rsidP="00D836EB">
            <w:pPr>
              <w:pStyle w:val="StyleZakonu"/>
              <w:rPr>
                <w:color w:val="000000" w:themeColor="text1"/>
              </w:rPr>
            </w:pPr>
            <w:r w:rsidRPr="00286216">
              <w:rPr>
                <w:color w:val="000000" w:themeColor="text1"/>
              </w:rPr>
              <w:t>2) інформацію про орган управління емітента, його посадових осіб та засновників;</w:t>
            </w:r>
          </w:p>
        </w:tc>
      </w:tr>
      <w:tr w:rsidR="00D836EB" w:rsidRPr="00286216" w14:paraId="2BA7BF6E" w14:textId="77777777" w:rsidTr="00091AA5">
        <w:tc>
          <w:tcPr>
            <w:tcW w:w="576" w:type="dxa"/>
          </w:tcPr>
          <w:p w14:paraId="4D0F9211" w14:textId="77777777" w:rsidR="00D836EB" w:rsidRPr="00286216" w:rsidRDefault="00D836EB" w:rsidP="00D836EB">
            <w:pPr>
              <w:pStyle w:val="StyleWisnow"/>
              <w:rPr>
                <w:color w:val="000000" w:themeColor="text1"/>
              </w:rPr>
            </w:pPr>
            <w:bookmarkStart w:id="1865" w:name="n2102" w:colFirst="0" w:colLast="0"/>
            <w:bookmarkEnd w:id="1864"/>
            <w:r w:rsidRPr="00286216">
              <w:rPr>
                <w:color w:val="000000" w:themeColor="text1"/>
              </w:rPr>
              <w:t>2102.</w:t>
            </w:r>
          </w:p>
        </w:tc>
        <w:tc>
          <w:tcPr>
            <w:tcW w:w="4818" w:type="dxa"/>
          </w:tcPr>
          <w:p w14:paraId="69636EE4" w14:textId="77777777" w:rsidR="00D836EB" w:rsidRPr="00286216" w:rsidRDefault="00D836EB" w:rsidP="00D836EB">
            <w:pPr>
              <w:pStyle w:val="StyleZakonu"/>
              <w:rPr>
                <w:color w:val="000000" w:themeColor="text1"/>
              </w:rPr>
            </w:pPr>
            <w:r w:rsidRPr="00286216">
              <w:rPr>
                <w:color w:val="000000" w:themeColor="text1"/>
              </w:rPr>
              <w:t>3) інформацію про господарську та фінансову діяльність емітента;</w:t>
            </w:r>
          </w:p>
        </w:tc>
        <w:tc>
          <w:tcPr>
            <w:tcW w:w="3686" w:type="dxa"/>
          </w:tcPr>
          <w:p w14:paraId="26A1FD11" w14:textId="77777777" w:rsidR="00D836EB" w:rsidRPr="00286216" w:rsidRDefault="00D836EB" w:rsidP="00D836EB">
            <w:pPr>
              <w:pStyle w:val="StyleProp"/>
              <w:rPr>
                <w:color w:val="000000" w:themeColor="text1"/>
                <w:szCs w:val="18"/>
              </w:rPr>
            </w:pPr>
          </w:p>
        </w:tc>
        <w:tc>
          <w:tcPr>
            <w:tcW w:w="1987" w:type="dxa"/>
          </w:tcPr>
          <w:p w14:paraId="2F763FA8" w14:textId="77777777" w:rsidR="00D836EB" w:rsidRPr="00286216" w:rsidRDefault="00D836EB" w:rsidP="00D836EB">
            <w:pPr>
              <w:pStyle w:val="StyleWisnow"/>
              <w:rPr>
                <w:color w:val="000000" w:themeColor="text1"/>
              </w:rPr>
            </w:pPr>
          </w:p>
        </w:tc>
        <w:tc>
          <w:tcPr>
            <w:tcW w:w="4818" w:type="dxa"/>
          </w:tcPr>
          <w:p w14:paraId="6674D8A2" w14:textId="4154CA82" w:rsidR="00D836EB" w:rsidRPr="00286216" w:rsidRDefault="00D836EB" w:rsidP="00D836EB">
            <w:pPr>
              <w:pStyle w:val="StyleZakonu"/>
              <w:rPr>
                <w:color w:val="000000" w:themeColor="text1"/>
              </w:rPr>
            </w:pPr>
            <w:r w:rsidRPr="00286216">
              <w:rPr>
                <w:color w:val="000000" w:themeColor="text1"/>
              </w:rPr>
              <w:t>3) інформацію про господарську та фінансову діяльність емітента;</w:t>
            </w:r>
          </w:p>
        </w:tc>
      </w:tr>
      <w:tr w:rsidR="00D836EB" w:rsidRPr="00286216" w14:paraId="7A671B25" w14:textId="77777777" w:rsidTr="00091AA5">
        <w:tc>
          <w:tcPr>
            <w:tcW w:w="576" w:type="dxa"/>
          </w:tcPr>
          <w:p w14:paraId="5D67AD1C" w14:textId="77777777" w:rsidR="00D836EB" w:rsidRPr="00286216" w:rsidRDefault="00D836EB" w:rsidP="00D836EB">
            <w:pPr>
              <w:pStyle w:val="StyleWisnow"/>
              <w:rPr>
                <w:color w:val="000000" w:themeColor="text1"/>
              </w:rPr>
            </w:pPr>
            <w:bookmarkStart w:id="1866" w:name="n2103" w:colFirst="0" w:colLast="0"/>
            <w:bookmarkEnd w:id="1865"/>
            <w:r w:rsidRPr="00286216">
              <w:rPr>
                <w:color w:val="000000" w:themeColor="text1"/>
              </w:rPr>
              <w:t>2103.</w:t>
            </w:r>
          </w:p>
        </w:tc>
        <w:tc>
          <w:tcPr>
            <w:tcW w:w="4818" w:type="dxa"/>
          </w:tcPr>
          <w:p w14:paraId="6D68F651" w14:textId="77777777" w:rsidR="00D836EB" w:rsidRPr="00286216" w:rsidRDefault="00D836EB" w:rsidP="00D836EB">
            <w:pPr>
              <w:pStyle w:val="StyleZakonu"/>
              <w:rPr>
                <w:color w:val="000000" w:themeColor="text1"/>
              </w:rPr>
            </w:pPr>
            <w:r w:rsidRPr="00286216">
              <w:rPr>
                <w:color w:val="000000" w:themeColor="text1"/>
              </w:rPr>
              <w:t>4) інформацію про цінні папери емітента (вид, форма випуску, тип, кількість);</w:t>
            </w:r>
          </w:p>
        </w:tc>
        <w:tc>
          <w:tcPr>
            <w:tcW w:w="3686" w:type="dxa"/>
          </w:tcPr>
          <w:p w14:paraId="6EBE77E3" w14:textId="77777777" w:rsidR="00D836EB" w:rsidRPr="00286216" w:rsidRDefault="00D836EB" w:rsidP="00D836EB">
            <w:pPr>
              <w:pStyle w:val="StyleProp"/>
              <w:rPr>
                <w:color w:val="000000" w:themeColor="text1"/>
                <w:szCs w:val="18"/>
              </w:rPr>
            </w:pPr>
          </w:p>
        </w:tc>
        <w:tc>
          <w:tcPr>
            <w:tcW w:w="1987" w:type="dxa"/>
          </w:tcPr>
          <w:p w14:paraId="1C0A200D" w14:textId="77777777" w:rsidR="00D836EB" w:rsidRPr="00286216" w:rsidRDefault="00D836EB" w:rsidP="00D836EB">
            <w:pPr>
              <w:pStyle w:val="StyleWisnow"/>
              <w:rPr>
                <w:color w:val="000000" w:themeColor="text1"/>
              </w:rPr>
            </w:pPr>
          </w:p>
        </w:tc>
        <w:tc>
          <w:tcPr>
            <w:tcW w:w="4818" w:type="dxa"/>
          </w:tcPr>
          <w:p w14:paraId="4B7C4B71" w14:textId="5E1DCD77" w:rsidR="00D836EB" w:rsidRPr="00286216" w:rsidRDefault="00D836EB" w:rsidP="00D836EB">
            <w:pPr>
              <w:pStyle w:val="StyleZakonu"/>
              <w:rPr>
                <w:color w:val="000000" w:themeColor="text1"/>
              </w:rPr>
            </w:pPr>
            <w:r w:rsidRPr="00286216">
              <w:rPr>
                <w:color w:val="000000" w:themeColor="text1"/>
              </w:rPr>
              <w:t>4) інформацію про цінні папери емітента (вид, форма випуску, тип, кількість);</w:t>
            </w:r>
          </w:p>
        </w:tc>
      </w:tr>
      <w:tr w:rsidR="00D836EB" w:rsidRPr="00286216" w14:paraId="3635CC94" w14:textId="77777777" w:rsidTr="00091AA5">
        <w:tc>
          <w:tcPr>
            <w:tcW w:w="576" w:type="dxa"/>
          </w:tcPr>
          <w:p w14:paraId="60894643" w14:textId="77777777" w:rsidR="00D836EB" w:rsidRPr="00286216" w:rsidRDefault="00D836EB" w:rsidP="00D836EB">
            <w:pPr>
              <w:pStyle w:val="StyleWisnow"/>
              <w:rPr>
                <w:color w:val="000000" w:themeColor="text1"/>
              </w:rPr>
            </w:pPr>
            <w:bookmarkStart w:id="1867" w:name="n2104" w:colFirst="0" w:colLast="0"/>
            <w:bookmarkEnd w:id="1866"/>
            <w:r w:rsidRPr="00286216">
              <w:rPr>
                <w:color w:val="000000" w:themeColor="text1"/>
              </w:rPr>
              <w:t>2104.</w:t>
            </w:r>
          </w:p>
        </w:tc>
        <w:tc>
          <w:tcPr>
            <w:tcW w:w="4818" w:type="dxa"/>
          </w:tcPr>
          <w:p w14:paraId="0D5960DE" w14:textId="77777777" w:rsidR="00D836EB" w:rsidRPr="00286216" w:rsidRDefault="00D836EB" w:rsidP="00D836EB">
            <w:pPr>
              <w:pStyle w:val="StyleZakonu"/>
              <w:rPr>
                <w:color w:val="000000" w:themeColor="text1"/>
              </w:rPr>
            </w:pPr>
            <w:r w:rsidRPr="00286216">
              <w:rPr>
                <w:color w:val="000000" w:themeColor="text1"/>
              </w:rPr>
              <w:t>5) проміжну фінансову звітність разом із звітом щодо огляду проміжної фінансової інформації;</w:t>
            </w:r>
          </w:p>
        </w:tc>
        <w:tc>
          <w:tcPr>
            <w:tcW w:w="3686" w:type="dxa"/>
          </w:tcPr>
          <w:p w14:paraId="38E5E709" w14:textId="77777777" w:rsidR="00D836EB" w:rsidRPr="00286216" w:rsidRDefault="00D836EB" w:rsidP="00D836EB">
            <w:pPr>
              <w:pStyle w:val="StyleProp"/>
              <w:rPr>
                <w:color w:val="000000" w:themeColor="text1"/>
                <w:szCs w:val="18"/>
              </w:rPr>
            </w:pPr>
          </w:p>
        </w:tc>
        <w:tc>
          <w:tcPr>
            <w:tcW w:w="1987" w:type="dxa"/>
          </w:tcPr>
          <w:p w14:paraId="66DD1B8F" w14:textId="77777777" w:rsidR="00D836EB" w:rsidRPr="00286216" w:rsidRDefault="00D836EB" w:rsidP="00D836EB">
            <w:pPr>
              <w:pStyle w:val="StyleWisnow"/>
              <w:rPr>
                <w:color w:val="000000" w:themeColor="text1"/>
              </w:rPr>
            </w:pPr>
          </w:p>
        </w:tc>
        <w:tc>
          <w:tcPr>
            <w:tcW w:w="4818" w:type="dxa"/>
          </w:tcPr>
          <w:p w14:paraId="4B772E3E" w14:textId="5F076884" w:rsidR="00D836EB" w:rsidRPr="00286216" w:rsidRDefault="00D836EB" w:rsidP="00D836EB">
            <w:pPr>
              <w:pStyle w:val="StyleZakonu"/>
              <w:rPr>
                <w:color w:val="000000" w:themeColor="text1"/>
              </w:rPr>
            </w:pPr>
            <w:r w:rsidRPr="00286216">
              <w:rPr>
                <w:color w:val="000000" w:themeColor="text1"/>
              </w:rPr>
              <w:t>5) проміжну фінансову звітність разом із звітом про огляд проміжної фінансової інформації;</w:t>
            </w:r>
          </w:p>
        </w:tc>
      </w:tr>
      <w:tr w:rsidR="00D836EB" w:rsidRPr="00286216" w14:paraId="4FEAAEDA" w14:textId="77777777" w:rsidTr="00091AA5">
        <w:tc>
          <w:tcPr>
            <w:tcW w:w="576" w:type="dxa"/>
          </w:tcPr>
          <w:p w14:paraId="48F60B41" w14:textId="77777777" w:rsidR="00D836EB" w:rsidRPr="00286216" w:rsidRDefault="00D836EB" w:rsidP="00D836EB">
            <w:pPr>
              <w:pStyle w:val="StyleWisnow"/>
              <w:rPr>
                <w:color w:val="000000" w:themeColor="text1"/>
              </w:rPr>
            </w:pPr>
            <w:bookmarkStart w:id="1868" w:name="n2105" w:colFirst="0" w:colLast="0"/>
            <w:bookmarkEnd w:id="1867"/>
            <w:r w:rsidRPr="00286216">
              <w:rPr>
                <w:color w:val="000000" w:themeColor="text1"/>
              </w:rPr>
              <w:t>2105.</w:t>
            </w:r>
          </w:p>
        </w:tc>
        <w:tc>
          <w:tcPr>
            <w:tcW w:w="4818" w:type="dxa"/>
          </w:tcPr>
          <w:p w14:paraId="221A8D03" w14:textId="77777777" w:rsidR="00D836EB" w:rsidRPr="00286216" w:rsidRDefault="00D836EB" w:rsidP="00D836EB">
            <w:pPr>
              <w:pStyle w:val="StyleZakonu"/>
              <w:rPr>
                <w:color w:val="000000" w:themeColor="text1"/>
              </w:rPr>
            </w:pPr>
            <w:r w:rsidRPr="00286216">
              <w:rPr>
                <w:color w:val="000000" w:themeColor="text1"/>
              </w:rPr>
              <w:t>6) проміжний звіт керівництва;</w:t>
            </w:r>
          </w:p>
        </w:tc>
        <w:tc>
          <w:tcPr>
            <w:tcW w:w="3686" w:type="dxa"/>
          </w:tcPr>
          <w:p w14:paraId="6FA0821B" w14:textId="77777777" w:rsidR="00D836EB" w:rsidRPr="00286216" w:rsidRDefault="00D836EB" w:rsidP="00D836EB">
            <w:pPr>
              <w:pStyle w:val="StyleProp"/>
              <w:rPr>
                <w:color w:val="000000" w:themeColor="text1"/>
                <w:szCs w:val="18"/>
              </w:rPr>
            </w:pPr>
          </w:p>
        </w:tc>
        <w:tc>
          <w:tcPr>
            <w:tcW w:w="1987" w:type="dxa"/>
          </w:tcPr>
          <w:p w14:paraId="7BAC33BA" w14:textId="77777777" w:rsidR="00D836EB" w:rsidRPr="00286216" w:rsidRDefault="00D836EB" w:rsidP="00D836EB">
            <w:pPr>
              <w:pStyle w:val="StyleWisnow"/>
              <w:rPr>
                <w:color w:val="000000" w:themeColor="text1"/>
              </w:rPr>
            </w:pPr>
          </w:p>
        </w:tc>
        <w:tc>
          <w:tcPr>
            <w:tcW w:w="4818" w:type="dxa"/>
          </w:tcPr>
          <w:p w14:paraId="18495265" w14:textId="7C788BE9" w:rsidR="00D836EB" w:rsidRPr="00286216" w:rsidRDefault="00D836EB" w:rsidP="00D836EB">
            <w:pPr>
              <w:pStyle w:val="StyleZakonu"/>
              <w:rPr>
                <w:color w:val="000000" w:themeColor="text1"/>
              </w:rPr>
            </w:pPr>
            <w:r w:rsidRPr="00286216">
              <w:rPr>
                <w:color w:val="000000" w:themeColor="text1"/>
              </w:rPr>
              <w:t>6) проміжний звіт керівництва;</w:t>
            </w:r>
          </w:p>
        </w:tc>
      </w:tr>
      <w:tr w:rsidR="00D836EB" w:rsidRPr="00286216" w14:paraId="55660AFF" w14:textId="77777777" w:rsidTr="00091AA5">
        <w:tc>
          <w:tcPr>
            <w:tcW w:w="576" w:type="dxa"/>
          </w:tcPr>
          <w:p w14:paraId="7942C9F1" w14:textId="77777777" w:rsidR="00D836EB" w:rsidRPr="00286216" w:rsidRDefault="00D836EB" w:rsidP="00D836EB">
            <w:pPr>
              <w:pStyle w:val="StyleWisnow"/>
              <w:rPr>
                <w:color w:val="000000" w:themeColor="text1"/>
              </w:rPr>
            </w:pPr>
            <w:bookmarkStart w:id="1869" w:name="n2106" w:colFirst="0" w:colLast="0"/>
            <w:bookmarkEnd w:id="1868"/>
            <w:r w:rsidRPr="00286216">
              <w:rPr>
                <w:color w:val="000000" w:themeColor="text1"/>
              </w:rPr>
              <w:t>2106.</w:t>
            </w:r>
          </w:p>
        </w:tc>
        <w:tc>
          <w:tcPr>
            <w:tcW w:w="4818" w:type="dxa"/>
          </w:tcPr>
          <w:p w14:paraId="124A2035" w14:textId="77777777" w:rsidR="00D836EB" w:rsidRPr="00286216" w:rsidRDefault="00D836EB" w:rsidP="00D836EB">
            <w:pPr>
              <w:pStyle w:val="StyleZakonu"/>
              <w:rPr>
                <w:color w:val="000000" w:themeColor="text1"/>
              </w:rPr>
            </w:pPr>
            <w:r w:rsidRPr="00286216">
              <w:rPr>
                <w:color w:val="000000" w:themeColor="text1"/>
              </w:rPr>
              <w:t xml:space="preserve">7) твердження щодо проміжної інформації, а саме - офіційна позиція, осіб, які здійснюють управлінські функції, про те, що наскільки це їм відомо, проміжна фінансова звітність, підготовлена відповідно до стандартів бухгалтерського обліку, згідно із Законом України "Про бухгалтерський облік та фінансову звітність в Україні", містить достовірне та об’єктивне </w:t>
            </w:r>
            <w:r w:rsidRPr="00286216">
              <w:rPr>
                <w:color w:val="000000" w:themeColor="text1"/>
              </w:rPr>
              <w:lastRenderedPageBreak/>
              <w:t>подання інформації про стан активів, пасивів, фінансовий стан та прибутки та збитки емітента і юридичних осіб, які перебувають під його контролем, в рамках консолідованої фінансової звітності, і що проміжний звіт керівництва включає достовірне та об’єктивне подання інформації, відповідно до частини четвертої статті 123 цього Закону;</w:t>
            </w:r>
          </w:p>
        </w:tc>
        <w:tc>
          <w:tcPr>
            <w:tcW w:w="3686" w:type="dxa"/>
          </w:tcPr>
          <w:p w14:paraId="40C25C42" w14:textId="77777777" w:rsidR="00D836EB" w:rsidRPr="00286216" w:rsidRDefault="00D836EB" w:rsidP="00D836EB">
            <w:pPr>
              <w:pStyle w:val="StyleProp"/>
              <w:rPr>
                <w:color w:val="000000" w:themeColor="text1"/>
                <w:szCs w:val="18"/>
              </w:rPr>
            </w:pPr>
          </w:p>
        </w:tc>
        <w:tc>
          <w:tcPr>
            <w:tcW w:w="1987" w:type="dxa"/>
          </w:tcPr>
          <w:p w14:paraId="7B5A22FE" w14:textId="77777777" w:rsidR="00D836EB" w:rsidRPr="00286216" w:rsidRDefault="00D836EB" w:rsidP="00D836EB">
            <w:pPr>
              <w:pStyle w:val="StyleWisnow"/>
              <w:rPr>
                <w:color w:val="000000" w:themeColor="text1"/>
              </w:rPr>
            </w:pPr>
          </w:p>
        </w:tc>
        <w:tc>
          <w:tcPr>
            <w:tcW w:w="4818" w:type="dxa"/>
          </w:tcPr>
          <w:p w14:paraId="4BFD745E" w14:textId="084A67ED" w:rsidR="00D836EB" w:rsidRPr="00286216" w:rsidRDefault="00D836EB" w:rsidP="00D836EB">
            <w:pPr>
              <w:pStyle w:val="StyleZakonu"/>
              <w:rPr>
                <w:color w:val="000000" w:themeColor="text1"/>
              </w:rPr>
            </w:pPr>
            <w:r w:rsidRPr="00286216">
              <w:rPr>
                <w:color w:val="000000" w:themeColor="text1"/>
              </w:rPr>
              <w:t xml:space="preserve">7) твердження щодо проміжної інформації – офіційну позицію осіб, які здійснюють управлінські функції, про те, що, наскільки це їм відомо, проміжна фінансова звітність, відповідно до стандартів бухгалтерського обліку, передбачених Законом України "Про бухгалтерський облік та фінансову звітність в Україні", містить достовірне та об’єктивну </w:t>
            </w:r>
            <w:r w:rsidRPr="00286216">
              <w:rPr>
                <w:color w:val="000000" w:themeColor="text1"/>
              </w:rPr>
              <w:lastRenderedPageBreak/>
              <w:t>інформацію про стан активів, пасивів, фінансовий стан, прибутки та збитки емітента і юридичних осіб, які перебувають під контролем емітента, у рамках консолідованої фінансової звітності, що проміжний звіт керівництва містить достовірну та об’єктивну інформацію, що подається відповідно до частини четвертої статті 127 цього Закону;</w:t>
            </w:r>
          </w:p>
        </w:tc>
      </w:tr>
      <w:tr w:rsidR="00D836EB" w:rsidRPr="00286216" w14:paraId="3FBF796B" w14:textId="77777777" w:rsidTr="00091AA5">
        <w:tc>
          <w:tcPr>
            <w:tcW w:w="576" w:type="dxa"/>
          </w:tcPr>
          <w:p w14:paraId="46C0B21A" w14:textId="77777777" w:rsidR="00D836EB" w:rsidRPr="00286216" w:rsidRDefault="00D836EB" w:rsidP="00D836EB">
            <w:pPr>
              <w:pStyle w:val="StyleWisnow"/>
              <w:rPr>
                <w:color w:val="000000" w:themeColor="text1"/>
              </w:rPr>
            </w:pPr>
            <w:bookmarkStart w:id="1870" w:name="n2107" w:colFirst="0" w:colLast="0"/>
            <w:bookmarkEnd w:id="1869"/>
            <w:r w:rsidRPr="00286216">
              <w:rPr>
                <w:color w:val="000000" w:themeColor="text1"/>
              </w:rPr>
              <w:lastRenderedPageBreak/>
              <w:t>2107.</w:t>
            </w:r>
          </w:p>
        </w:tc>
        <w:tc>
          <w:tcPr>
            <w:tcW w:w="4818" w:type="dxa"/>
          </w:tcPr>
          <w:p w14:paraId="697D64A3" w14:textId="77777777" w:rsidR="00D836EB" w:rsidRPr="00286216" w:rsidRDefault="00D836EB" w:rsidP="00D836EB">
            <w:pPr>
              <w:pStyle w:val="StyleZakonu"/>
              <w:rPr>
                <w:color w:val="000000" w:themeColor="text1"/>
              </w:rPr>
            </w:pPr>
            <w:r w:rsidRPr="00286216">
              <w:rPr>
                <w:color w:val="000000" w:themeColor="text1"/>
              </w:rPr>
              <w:t>8) відомості про участь емітента в інших юридичних особах;</w:t>
            </w:r>
          </w:p>
        </w:tc>
        <w:tc>
          <w:tcPr>
            <w:tcW w:w="3686" w:type="dxa"/>
          </w:tcPr>
          <w:p w14:paraId="0A8AAF37" w14:textId="77777777" w:rsidR="00D836EB" w:rsidRPr="00286216" w:rsidRDefault="00D836EB" w:rsidP="00D836EB">
            <w:pPr>
              <w:pStyle w:val="StyleProp"/>
              <w:rPr>
                <w:color w:val="000000" w:themeColor="text1"/>
                <w:szCs w:val="18"/>
              </w:rPr>
            </w:pPr>
          </w:p>
        </w:tc>
        <w:tc>
          <w:tcPr>
            <w:tcW w:w="1987" w:type="dxa"/>
          </w:tcPr>
          <w:p w14:paraId="057076F9" w14:textId="77777777" w:rsidR="00D836EB" w:rsidRPr="00286216" w:rsidRDefault="00D836EB" w:rsidP="00D836EB">
            <w:pPr>
              <w:pStyle w:val="StyleWisnow"/>
              <w:rPr>
                <w:color w:val="000000" w:themeColor="text1"/>
              </w:rPr>
            </w:pPr>
          </w:p>
        </w:tc>
        <w:tc>
          <w:tcPr>
            <w:tcW w:w="4818" w:type="dxa"/>
          </w:tcPr>
          <w:p w14:paraId="4690E574" w14:textId="6C5DDD8C" w:rsidR="00D836EB" w:rsidRPr="00286216" w:rsidRDefault="00D836EB" w:rsidP="00D836EB">
            <w:pPr>
              <w:pStyle w:val="StyleZakonu"/>
              <w:rPr>
                <w:color w:val="000000" w:themeColor="text1"/>
              </w:rPr>
            </w:pPr>
            <w:r w:rsidRPr="00286216">
              <w:rPr>
                <w:color w:val="000000" w:themeColor="text1"/>
              </w:rPr>
              <w:t>8) відомості про участь емітента в інших юридичних особах;</w:t>
            </w:r>
          </w:p>
        </w:tc>
      </w:tr>
      <w:tr w:rsidR="00D836EB" w:rsidRPr="00286216" w14:paraId="3C790A2E" w14:textId="77777777" w:rsidTr="00091AA5">
        <w:tc>
          <w:tcPr>
            <w:tcW w:w="576" w:type="dxa"/>
          </w:tcPr>
          <w:p w14:paraId="2FA1D563" w14:textId="77777777" w:rsidR="00D836EB" w:rsidRPr="00286216" w:rsidRDefault="00D836EB" w:rsidP="00D836EB">
            <w:pPr>
              <w:pStyle w:val="StyleWisnow"/>
              <w:rPr>
                <w:color w:val="000000" w:themeColor="text1"/>
              </w:rPr>
            </w:pPr>
            <w:bookmarkStart w:id="1871" w:name="n2108" w:colFirst="0" w:colLast="0"/>
            <w:bookmarkEnd w:id="1870"/>
            <w:r w:rsidRPr="00286216">
              <w:rPr>
                <w:color w:val="000000" w:themeColor="text1"/>
              </w:rPr>
              <w:t>2108.</w:t>
            </w:r>
          </w:p>
        </w:tc>
        <w:tc>
          <w:tcPr>
            <w:tcW w:w="4818" w:type="dxa"/>
          </w:tcPr>
          <w:p w14:paraId="6E8416CC" w14:textId="77777777" w:rsidR="00D836EB" w:rsidRPr="00286216" w:rsidRDefault="00D836EB" w:rsidP="00D836EB">
            <w:pPr>
              <w:pStyle w:val="StyleZakonu"/>
              <w:rPr>
                <w:color w:val="000000" w:themeColor="text1"/>
              </w:rPr>
            </w:pPr>
            <w:bookmarkStart w:id="1872" w:name="_Ref18525074"/>
            <w:r w:rsidRPr="00286216">
              <w:rPr>
                <w:color w:val="000000" w:themeColor="text1"/>
              </w:rPr>
              <w:t>9) інформацію про вчинення значних правочинів або правочинів, щодо вчинення яких є заінтересованість, осіб, заінтересованих у вчиненні товариством правочинів із заінтересованістю, та обставини, існування яких створює заінтересованість;</w:t>
            </w:r>
            <w:bookmarkEnd w:id="1872"/>
          </w:p>
        </w:tc>
        <w:tc>
          <w:tcPr>
            <w:tcW w:w="3686" w:type="dxa"/>
          </w:tcPr>
          <w:p w14:paraId="5C6B7629" w14:textId="77777777" w:rsidR="00D836EB" w:rsidRPr="00286216" w:rsidRDefault="00D836EB" w:rsidP="00D836EB">
            <w:pPr>
              <w:pStyle w:val="StyleProp"/>
              <w:rPr>
                <w:color w:val="000000" w:themeColor="text1"/>
                <w:szCs w:val="18"/>
              </w:rPr>
            </w:pPr>
          </w:p>
        </w:tc>
        <w:tc>
          <w:tcPr>
            <w:tcW w:w="1987" w:type="dxa"/>
          </w:tcPr>
          <w:p w14:paraId="21A0EC05" w14:textId="77777777" w:rsidR="00D836EB" w:rsidRPr="00286216" w:rsidRDefault="00D836EB" w:rsidP="00D836EB">
            <w:pPr>
              <w:pStyle w:val="StyleWisnow"/>
              <w:rPr>
                <w:color w:val="000000" w:themeColor="text1"/>
              </w:rPr>
            </w:pPr>
          </w:p>
        </w:tc>
        <w:tc>
          <w:tcPr>
            <w:tcW w:w="4818" w:type="dxa"/>
          </w:tcPr>
          <w:p w14:paraId="358B4F96" w14:textId="44BBE00C" w:rsidR="00D836EB" w:rsidRPr="00286216" w:rsidRDefault="00D836EB" w:rsidP="00D836EB">
            <w:pPr>
              <w:pStyle w:val="StyleZakonu"/>
              <w:rPr>
                <w:color w:val="000000" w:themeColor="text1"/>
              </w:rPr>
            </w:pPr>
            <w:r w:rsidRPr="00286216">
              <w:rPr>
                <w:color w:val="000000" w:themeColor="text1"/>
              </w:rPr>
              <w:t>9) інформацію про вчинення значних правочинів або правочинів, щодо вчинення яких є заінтересованість, про осіб, заінтересованих у вчиненні товариством правочинів із заінтересованістю, та обставини, існування яких створює заінтересованість;</w:t>
            </w:r>
          </w:p>
        </w:tc>
      </w:tr>
      <w:tr w:rsidR="00D836EB" w:rsidRPr="00286216" w14:paraId="39D7556B" w14:textId="77777777" w:rsidTr="00091AA5">
        <w:tc>
          <w:tcPr>
            <w:tcW w:w="576" w:type="dxa"/>
          </w:tcPr>
          <w:p w14:paraId="0A8854A4" w14:textId="77777777" w:rsidR="00D836EB" w:rsidRPr="00286216" w:rsidRDefault="00D836EB" w:rsidP="00D836EB">
            <w:pPr>
              <w:pStyle w:val="StyleWisnow"/>
              <w:rPr>
                <w:color w:val="000000" w:themeColor="text1"/>
              </w:rPr>
            </w:pPr>
            <w:bookmarkStart w:id="1873" w:name="n2109" w:colFirst="0" w:colLast="0"/>
            <w:bookmarkEnd w:id="1871"/>
            <w:r w:rsidRPr="00286216">
              <w:rPr>
                <w:color w:val="000000" w:themeColor="text1"/>
              </w:rPr>
              <w:t>2109.</w:t>
            </w:r>
          </w:p>
        </w:tc>
        <w:tc>
          <w:tcPr>
            <w:tcW w:w="4818" w:type="dxa"/>
          </w:tcPr>
          <w:p w14:paraId="2B23C775" w14:textId="77777777" w:rsidR="00D836EB" w:rsidRPr="00286216" w:rsidRDefault="00D836EB" w:rsidP="00D836EB">
            <w:pPr>
              <w:pStyle w:val="StyleZakonu"/>
              <w:rPr>
                <w:color w:val="000000" w:themeColor="text1"/>
              </w:rPr>
            </w:pPr>
            <w:bookmarkStart w:id="1874" w:name="_Ref18525081"/>
            <w:r w:rsidRPr="00286216">
              <w:rPr>
                <w:color w:val="000000" w:themeColor="text1"/>
              </w:rPr>
              <w:t>10) інформацію про загальну кількість голосуючих акцій та кількість голосуючих акцій, права голосу за якими обмежено, а також кількість голосуючих акцій, права голосу за якими за результатами обмеження таких прав передано іншій особі.</w:t>
            </w:r>
            <w:bookmarkEnd w:id="1874"/>
          </w:p>
        </w:tc>
        <w:tc>
          <w:tcPr>
            <w:tcW w:w="3686" w:type="dxa"/>
          </w:tcPr>
          <w:p w14:paraId="16A7AFF8" w14:textId="77777777" w:rsidR="00D836EB" w:rsidRPr="00286216" w:rsidRDefault="00D836EB" w:rsidP="00D836EB">
            <w:pPr>
              <w:pStyle w:val="StyleProp"/>
              <w:rPr>
                <w:color w:val="000000" w:themeColor="text1"/>
                <w:szCs w:val="18"/>
              </w:rPr>
            </w:pPr>
          </w:p>
        </w:tc>
        <w:tc>
          <w:tcPr>
            <w:tcW w:w="1987" w:type="dxa"/>
          </w:tcPr>
          <w:p w14:paraId="3A16761D" w14:textId="77777777" w:rsidR="00D836EB" w:rsidRPr="00286216" w:rsidRDefault="00D836EB" w:rsidP="00D836EB">
            <w:pPr>
              <w:pStyle w:val="StyleWisnow"/>
              <w:rPr>
                <w:color w:val="000000" w:themeColor="text1"/>
              </w:rPr>
            </w:pPr>
          </w:p>
        </w:tc>
        <w:tc>
          <w:tcPr>
            <w:tcW w:w="4818" w:type="dxa"/>
          </w:tcPr>
          <w:p w14:paraId="0ABE1925" w14:textId="68523FAC" w:rsidR="00D836EB" w:rsidRPr="00286216" w:rsidRDefault="00D836EB" w:rsidP="00D836EB">
            <w:pPr>
              <w:pStyle w:val="StyleZakonu"/>
              <w:rPr>
                <w:color w:val="000000" w:themeColor="text1"/>
              </w:rPr>
            </w:pPr>
            <w:r w:rsidRPr="00286216">
              <w:rPr>
                <w:color w:val="000000" w:themeColor="text1"/>
              </w:rPr>
              <w:t>10) інформацію про загальну кількість голосуючих акцій та кількість голосуючих акцій, право голосу за якими обмежено, а також кількість голосуючих акцій, право голосу за якими за результатами обмеження такі права передано іншій особі.</w:t>
            </w:r>
          </w:p>
        </w:tc>
      </w:tr>
      <w:tr w:rsidR="00D836EB" w:rsidRPr="00286216" w14:paraId="40BF2D6F" w14:textId="77777777" w:rsidTr="00091AA5">
        <w:tc>
          <w:tcPr>
            <w:tcW w:w="576" w:type="dxa"/>
          </w:tcPr>
          <w:p w14:paraId="14F4AD76" w14:textId="77777777" w:rsidR="00D836EB" w:rsidRPr="00286216" w:rsidRDefault="00D836EB" w:rsidP="00D836EB">
            <w:pPr>
              <w:pStyle w:val="StyleWisnow"/>
              <w:rPr>
                <w:color w:val="000000" w:themeColor="text1"/>
              </w:rPr>
            </w:pPr>
            <w:bookmarkStart w:id="1875" w:name="n2110" w:colFirst="0" w:colLast="0"/>
            <w:bookmarkEnd w:id="1873"/>
            <w:r w:rsidRPr="00286216">
              <w:rPr>
                <w:color w:val="000000" w:themeColor="text1"/>
              </w:rPr>
              <w:t>2110.</w:t>
            </w:r>
          </w:p>
        </w:tc>
        <w:tc>
          <w:tcPr>
            <w:tcW w:w="4818" w:type="dxa"/>
          </w:tcPr>
          <w:p w14:paraId="09AF3534" w14:textId="77777777" w:rsidR="00D836EB" w:rsidRPr="00286216" w:rsidRDefault="00D836EB" w:rsidP="00D836EB">
            <w:pPr>
              <w:pStyle w:val="StyleZakonu"/>
              <w:rPr>
                <w:color w:val="000000" w:themeColor="text1"/>
              </w:rPr>
            </w:pPr>
            <w:r w:rsidRPr="00286216">
              <w:rPr>
                <w:color w:val="000000" w:themeColor="text1"/>
              </w:rPr>
              <w:t>Емітент має право додатково розкривати інші відомості у проміжній інформації.</w:t>
            </w:r>
          </w:p>
        </w:tc>
        <w:tc>
          <w:tcPr>
            <w:tcW w:w="3686" w:type="dxa"/>
          </w:tcPr>
          <w:p w14:paraId="2198BB3F" w14:textId="77777777" w:rsidR="00D836EB" w:rsidRPr="00286216" w:rsidRDefault="00D836EB" w:rsidP="00D836EB">
            <w:pPr>
              <w:pStyle w:val="StyleProp"/>
              <w:rPr>
                <w:color w:val="000000" w:themeColor="text1"/>
                <w:szCs w:val="18"/>
              </w:rPr>
            </w:pPr>
          </w:p>
        </w:tc>
        <w:tc>
          <w:tcPr>
            <w:tcW w:w="1987" w:type="dxa"/>
          </w:tcPr>
          <w:p w14:paraId="7B5431EE" w14:textId="77777777" w:rsidR="00D836EB" w:rsidRPr="00286216" w:rsidRDefault="00D836EB" w:rsidP="00D836EB">
            <w:pPr>
              <w:pStyle w:val="StyleWisnow"/>
              <w:rPr>
                <w:color w:val="000000" w:themeColor="text1"/>
              </w:rPr>
            </w:pPr>
          </w:p>
        </w:tc>
        <w:tc>
          <w:tcPr>
            <w:tcW w:w="4818" w:type="dxa"/>
          </w:tcPr>
          <w:p w14:paraId="680C73B1" w14:textId="574B0990" w:rsidR="00D836EB" w:rsidRPr="00286216" w:rsidRDefault="00D836EB" w:rsidP="00D836EB">
            <w:pPr>
              <w:pStyle w:val="StyleZakonu"/>
              <w:rPr>
                <w:color w:val="000000" w:themeColor="text1"/>
              </w:rPr>
            </w:pPr>
            <w:r w:rsidRPr="00286216">
              <w:rPr>
                <w:color w:val="000000" w:themeColor="text1"/>
              </w:rPr>
              <w:t>Емітент має право розкривати додатково інші відомості у проміжній інформації.</w:t>
            </w:r>
          </w:p>
        </w:tc>
      </w:tr>
      <w:tr w:rsidR="00D836EB" w:rsidRPr="00286216" w14:paraId="5B68E08A" w14:textId="77777777" w:rsidTr="00091AA5">
        <w:tc>
          <w:tcPr>
            <w:tcW w:w="576" w:type="dxa"/>
          </w:tcPr>
          <w:p w14:paraId="013ED6E4" w14:textId="77777777" w:rsidR="00D836EB" w:rsidRPr="00286216" w:rsidRDefault="00D836EB" w:rsidP="00D836EB">
            <w:pPr>
              <w:pStyle w:val="StyleWisnow"/>
              <w:rPr>
                <w:color w:val="000000" w:themeColor="text1"/>
              </w:rPr>
            </w:pPr>
            <w:bookmarkStart w:id="1876" w:name="n2111" w:colFirst="0" w:colLast="0"/>
            <w:bookmarkEnd w:id="1875"/>
            <w:r w:rsidRPr="00286216">
              <w:rPr>
                <w:color w:val="000000" w:themeColor="text1"/>
              </w:rPr>
              <w:t>2111.</w:t>
            </w:r>
          </w:p>
        </w:tc>
        <w:tc>
          <w:tcPr>
            <w:tcW w:w="4818" w:type="dxa"/>
          </w:tcPr>
          <w:p w14:paraId="62C69AF4" w14:textId="77777777" w:rsidR="00D836EB" w:rsidRPr="00286216" w:rsidRDefault="00D836EB" w:rsidP="00D836EB">
            <w:pPr>
              <w:pStyle w:val="StyleZakonu"/>
              <w:rPr>
                <w:color w:val="000000" w:themeColor="text1"/>
              </w:rPr>
            </w:pPr>
            <w:r w:rsidRPr="00286216">
              <w:rPr>
                <w:color w:val="000000" w:themeColor="text1"/>
              </w:rPr>
              <w:t>У разі якщо, емітент відповідно до законодавства, зобов’язаний складати фінансову звітність відповідно до міжнародних стандартів фінансової звітності, проміжна фінансова звітність емітента складається відповідно до таких стандартів.</w:t>
            </w:r>
          </w:p>
        </w:tc>
        <w:tc>
          <w:tcPr>
            <w:tcW w:w="3686" w:type="dxa"/>
          </w:tcPr>
          <w:p w14:paraId="78337055" w14:textId="5184D8E0"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869758C"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30CF61B0" w14:textId="77777777" w:rsidR="00D836EB" w:rsidRPr="00286216" w:rsidRDefault="00D836EB" w:rsidP="00D836EB">
            <w:pPr>
              <w:pStyle w:val="StyleProp"/>
              <w:rPr>
                <w:color w:val="000000" w:themeColor="text1"/>
                <w:szCs w:val="18"/>
              </w:rPr>
            </w:pPr>
            <w:r w:rsidRPr="00286216">
              <w:rPr>
                <w:color w:val="000000" w:themeColor="text1"/>
                <w:szCs w:val="18"/>
              </w:rPr>
              <w:t>абзац чотирнадцятий частини п’ятої вважати частиною шостою.</w:t>
            </w:r>
          </w:p>
        </w:tc>
        <w:tc>
          <w:tcPr>
            <w:tcW w:w="1987" w:type="dxa"/>
          </w:tcPr>
          <w:p w14:paraId="1EE37102"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6732BED" w14:textId="3B439C26" w:rsidR="00D836EB" w:rsidRPr="00286216" w:rsidRDefault="00D836EB" w:rsidP="00D836EB">
            <w:pPr>
              <w:pStyle w:val="StyleZakonu"/>
              <w:rPr>
                <w:color w:val="000000" w:themeColor="text1"/>
              </w:rPr>
            </w:pPr>
            <w:r w:rsidRPr="00286216">
              <w:rPr>
                <w:color w:val="000000" w:themeColor="text1"/>
              </w:rPr>
              <w:t>6. У разі якщо емітент згідно із законодавством, зобов’язаний складати фінансову звітність відповідно до міжнародних стандартів фінансової звітності, проміжна фінансова звітність емітента складається відповідно до таких стандартів.</w:t>
            </w:r>
          </w:p>
        </w:tc>
      </w:tr>
      <w:tr w:rsidR="00D836EB" w:rsidRPr="00286216" w14:paraId="578E4125" w14:textId="77777777" w:rsidTr="00091AA5">
        <w:tc>
          <w:tcPr>
            <w:tcW w:w="576" w:type="dxa"/>
          </w:tcPr>
          <w:p w14:paraId="617AE5DF" w14:textId="77777777" w:rsidR="00D836EB" w:rsidRPr="00286216" w:rsidRDefault="00D836EB" w:rsidP="00D836EB">
            <w:pPr>
              <w:pStyle w:val="StyleWisnow"/>
              <w:rPr>
                <w:color w:val="000000" w:themeColor="text1"/>
              </w:rPr>
            </w:pPr>
            <w:bookmarkStart w:id="1877" w:name="n2112" w:colFirst="0" w:colLast="0"/>
            <w:bookmarkEnd w:id="1876"/>
            <w:r w:rsidRPr="00286216">
              <w:rPr>
                <w:color w:val="000000" w:themeColor="text1"/>
              </w:rPr>
              <w:t>2112.</w:t>
            </w:r>
          </w:p>
        </w:tc>
        <w:tc>
          <w:tcPr>
            <w:tcW w:w="4818" w:type="dxa"/>
          </w:tcPr>
          <w:p w14:paraId="42D190C0" w14:textId="77777777" w:rsidR="00D836EB" w:rsidRPr="00286216" w:rsidRDefault="00D836EB" w:rsidP="00D836EB">
            <w:pPr>
              <w:pStyle w:val="StyleZakonu"/>
              <w:rPr>
                <w:color w:val="000000" w:themeColor="text1"/>
              </w:rPr>
            </w:pPr>
            <w:r w:rsidRPr="00286216">
              <w:rPr>
                <w:color w:val="000000" w:themeColor="text1"/>
              </w:rPr>
              <w:t>У разі якщо, емітент, відповідно до законодавства, зобов’язаний складати окрему власну фінансову звітність відповідно до національних стандартів фінансової звітності та не зобов’язаний готувати консолідовану фінансову звітність, проміжна фінансова звітність повинна містити принаймні баланс, стислий звіт про прибутки та збитки та примітки до цих звітів. Готуючи баланс та стислий звіт про прибутки та збитки, емітент повинен додержуватися тих самих принципів як при підготовці річної фінансової звітності.</w:t>
            </w:r>
          </w:p>
        </w:tc>
        <w:tc>
          <w:tcPr>
            <w:tcW w:w="3686" w:type="dxa"/>
          </w:tcPr>
          <w:p w14:paraId="7CAAEF70" w14:textId="77777777" w:rsidR="00D836EB" w:rsidRPr="00286216" w:rsidRDefault="00D836EB" w:rsidP="00D836EB">
            <w:pPr>
              <w:pStyle w:val="StyleProp"/>
              <w:rPr>
                <w:color w:val="000000" w:themeColor="text1"/>
                <w:szCs w:val="18"/>
              </w:rPr>
            </w:pPr>
          </w:p>
        </w:tc>
        <w:tc>
          <w:tcPr>
            <w:tcW w:w="1987" w:type="dxa"/>
          </w:tcPr>
          <w:p w14:paraId="44B085C9" w14:textId="77777777" w:rsidR="00D836EB" w:rsidRPr="00286216" w:rsidRDefault="00D836EB" w:rsidP="00D836EB">
            <w:pPr>
              <w:pStyle w:val="StyleWisnow"/>
              <w:rPr>
                <w:color w:val="000000" w:themeColor="text1"/>
              </w:rPr>
            </w:pPr>
          </w:p>
        </w:tc>
        <w:tc>
          <w:tcPr>
            <w:tcW w:w="4818" w:type="dxa"/>
          </w:tcPr>
          <w:p w14:paraId="430951A7" w14:textId="683ED2C2" w:rsidR="00D836EB" w:rsidRPr="00286216" w:rsidRDefault="00D836EB" w:rsidP="00D836EB">
            <w:pPr>
              <w:pStyle w:val="StyleZakonu"/>
              <w:rPr>
                <w:color w:val="000000" w:themeColor="text1"/>
              </w:rPr>
            </w:pPr>
            <w:r w:rsidRPr="00286216">
              <w:rPr>
                <w:color w:val="000000" w:themeColor="text1"/>
              </w:rPr>
              <w:t>У разі якщо емітент згідно із законодавством, зобов’язаний складати окрему власну фінансову звітність відповідно до національних стандартів фінансової звітності та не зобов’язаний складати консолідовану фінансову звітність, проміжна фінансова звітність повинна містити принаймні баланс, стислий звіт про прибутки і збитки та примітки до зазначених звітів, Під час складання балансу та стислого звіту про прибутки і збитки емітент повинен додержуватися принципів, встановлених для підготовки річної фінансової звітності.</w:t>
            </w:r>
          </w:p>
        </w:tc>
      </w:tr>
      <w:tr w:rsidR="00D836EB" w:rsidRPr="00286216" w14:paraId="4E22CA58" w14:textId="77777777" w:rsidTr="00091AA5">
        <w:tc>
          <w:tcPr>
            <w:tcW w:w="576" w:type="dxa"/>
          </w:tcPr>
          <w:p w14:paraId="0765FB3E" w14:textId="77777777" w:rsidR="00D836EB" w:rsidRPr="00286216" w:rsidRDefault="00D836EB" w:rsidP="00D836EB">
            <w:pPr>
              <w:pStyle w:val="StyleWisnow"/>
              <w:rPr>
                <w:color w:val="000000" w:themeColor="text1"/>
              </w:rPr>
            </w:pPr>
            <w:bookmarkStart w:id="1878" w:name="n2113" w:colFirst="0" w:colLast="0"/>
            <w:bookmarkEnd w:id="1877"/>
            <w:r w:rsidRPr="00286216">
              <w:rPr>
                <w:color w:val="000000" w:themeColor="text1"/>
              </w:rPr>
              <w:t>2113.</w:t>
            </w:r>
          </w:p>
        </w:tc>
        <w:tc>
          <w:tcPr>
            <w:tcW w:w="4818" w:type="dxa"/>
          </w:tcPr>
          <w:p w14:paraId="6E6421FB" w14:textId="77777777" w:rsidR="00D836EB" w:rsidRPr="00286216" w:rsidRDefault="00D836EB" w:rsidP="00D836EB">
            <w:pPr>
              <w:pStyle w:val="StyleZakonu"/>
              <w:rPr>
                <w:color w:val="000000" w:themeColor="text1"/>
              </w:rPr>
            </w:pPr>
            <w:r w:rsidRPr="00286216">
              <w:rPr>
                <w:color w:val="000000" w:themeColor="text1"/>
              </w:rPr>
              <w:t xml:space="preserve">Якщо проміжна фінансова звітність була у будь-який способі перевірена суб’єктом аудиторської діяльності, то відповідні документи суб’єкта аудиторської діяльності мають бути включені у повному обсязі до такої звітності. Якщо проміжна </w:t>
            </w:r>
            <w:r w:rsidRPr="00286216">
              <w:rPr>
                <w:color w:val="000000" w:themeColor="text1"/>
              </w:rPr>
              <w:lastRenderedPageBreak/>
              <w:t>фінансова звітність не була перевірена суб’єктом аудиторської діяльності, емітент повинен про це окремо зазначити у своїй проміжній фінансовій інформації.</w:t>
            </w:r>
          </w:p>
        </w:tc>
        <w:tc>
          <w:tcPr>
            <w:tcW w:w="3686" w:type="dxa"/>
          </w:tcPr>
          <w:p w14:paraId="12789DB0" w14:textId="77777777" w:rsidR="00D836EB" w:rsidRPr="00286216" w:rsidRDefault="00D836EB" w:rsidP="00D836EB">
            <w:pPr>
              <w:pStyle w:val="StyleProp"/>
              <w:rPr>
                <w:color w:val="000000" w:themeColor="text1"/>
                <w:szCs w:val="18"/>
              </w:rPr>
            </w:pPr>
          </w:p>
        </w:tc>
        <w:tc>
          <w:tcPr>
            <w:tcW w:w="1987" w:type="dxa"/>
          </w:tcPr>
          <w:p w14:paraId="38461406" w14:textId="77777777" w:rsidR="00D836EB" w:rsidRPr="00286216" w:rsidRDefault="00D836EB" w:rsidP="00D836EB">
            <w:pPr>
              <w:pStyle w:val="StyleWisnow"/>
              <w:rPr>
                <w:color w:val="000000" w:themeColor="text1"/>
              </w:rPr>
            </w:pPr>
          </w:p>
        </w:tc>
        <w:tc>
          <w:tcPr>
            <w:tcW w:w="4818" w:type="dxa"/>
          </w:tcPr>
          <w:p w14:paraId="737AEEA9" w14:textId="7BC8E58B" w:rsidR="00D836EB" w:rsidRPr="00286216" w:rsidRDefault="00D836EB" w:rsidP="00D836EB">
            <w:pPr>
              <w:pStyle w:val="StyleZakonu"/>
              <w:rPr>
                <w:color w:val="000000" w:themeColor="text1"/>
              </w:rPr>
            </w:pPr>
            <w:r w:rsidRPr="00286216">
              <w:rPr>
                <w:color w:val="000000" w:themeColor="text1"/>
              </w:rPr>
              <w:t xml:space="preserve">У разі якщо проміжну фінансову звітність перевірено суб’єктом аудиторської діяльності,  відповідні документи суб’єкта аудиторської діяльності у повному обсязі мають бути включені до такої звітності. Якщо проміжну фінансову звітність не </w:t>
            </w:r>
            <w:r w:rsidRPr="00286216">
              <w:rPr>
                <w:color w:val="000000" w:themeColor="text1"/>
              </w:rPr>
              <w:lastRenderedPageBreak/>
              <w:t>перевірено суб’єктом аудиторської діяльності, емітент повинен про це окремо зазначити у своїй проміжній фінансовій інформації.</w:t>
            </w:r>
          </w:p>
        </w:tc>
      </w:tr>
      <w:tr w:rsidR="00D836EB" w:rsidRPr="00286216" w14:paraId="50BD8C61" w14:textId="77777777" w:rsidTr="00091AA5">
        <w:tc>
          <w:tcPr>
            <w:tcW w:w="576" w:type="dxa"/>
          </w:tcPr>
          <w:p w14:paraId="27B9830A" w14:textId="77777777" w:rsidR="00D836EB" w:rsidRPr="00286216" w:rsidRDefault="00D836EB" w:rsidP="00D836EB">
            <w:pPr>
              <w:pStyle w:val="StyleWisnow"/>
              <w:rPr>
                <w:color w:val="000000" w:themeColor="text1"/>
              </w:rPr>
            </w:pPr>
            <w:bookmarkStart w:id="1879" w:name="n2114" w:colFirst="0" w:colLast="0"/>
            <w:bookmarkEnd w:id="1878"/>
            <w:r w:rsidRPr="00286216">
              <w:rPr>
                <w:color w:val="000000" w:themeColor="text1"/>
              </w:rPr>
              <w:lastRenderedPageBreak/>
              <w:t>2114.</w:t>
            </w:r>
          </w:p>
        </w:tc>
        <w:tc>
          <w:tcPr>
            <w:tcW w:w="4818" w:type="dxa"/>
          </w:tcPr>
          <w:p w14:paraId="12E4CDC8" w14:textId="77777777" w:rsidR="00D836EB" w:rsidRPr="00286216" w:rsidRDefault="00D836EB" w:rsidP="00D836EB">
            <w:pPr>
              <w:pStyle w:val="StyleZakonu"/>
              <w:rPr>
                <w:color w:val="000000" w:themeColor="text1"/>
              </w:rPr>
            </w:pPr>
            <w:r w:rsidRPr="00286216">
              <w:rPr>
                <w:color w:val="000000" w:themeColor="text1"/>
              </w:rPr>
              <w:t>Особливості проміжної фінансової звітності емітентів, які ведуть бухгалтерський облік та складають фінансову звітність за національними стандартами, встановлюються Національною комісією з цінних паперів та фондового ринку за погодженням з Міністерством фінансів України.</w:t>
            </w:r>
          </w:p>
        </w:tc>
        <w:tc>
          <w:tcPr>
            <w:tcW w:w="3686" w:type="dxa"/>
          </w:tcPr>
          <w:p w14:paraId="6EB73F81" w14:textId="77777777" w:rsidR="00D836EB" w:rsidRPr="00286216" w:rsidRDefault="00D836EB" w:rsidP="00D836EB">
            <w:pPr>
              <w:pStyle w:val="StyleProp"/>
              <w:rPr>
                <w:color w:val="000000" w:themeColor="text1"/>
                <w:szCs w:val="18"/>
              </w:rPr>
            </w:pPr>
          </w:p>
        </w:tc>
        <w:tc>
          <w:tcPr>
            <w:tcW w:w="1987" w:type="dxa"/>
          </w:tcPr>
          <w:p w14:paraId="070C2D81" w14:textId="77777777" w:rsidR="00D836EB" w:rsidRPr="00286216" w:rsidRDefault="00D836EB" w:rsidP="00D836EB">
            <w:pPr>
              <w:pStyle w:val="StyleWisnow"/>
              <w:rPr>
                <w:color w:val="000000" w:themeColor="text1"/>
              </w:rPr>
            </w:pPr>
          </w:p>
        </w:tc>
        <w:tc>
          <w:tcPr>
            <w:tcW w:w="4818" w:type="dxa"/>
          </w:tcPr>
          <w:p w14:paraId="793A683B" w14:textId="57A28230" w:rsidR="00D836EB" w:rsidRPr="00286216" w:rsidRDefault="00D836EB" w:rsidP="00D836EB">
            <w:pPr>
              <w:pStyle w:val="StyleZakonu"/>
              <w:rPr>
                <w:color w:val="000000" w:themeColor="text1"/>
              </w:rPr>
            </w:pPr>
            <w:r w:rsidRPr="00286216">
              <w:rPr>
                <w:color w:val="000000" w:themeColor="text1"/>
              </w:rPr>
              <w:t>Особливості проміжної фінансової звітності емітентів, які ведуть бухгалтерський облік та складають фінансову звітність до національних стандартів, встановлюються Національною комісією з цінних паперів та фондового ринку за погодженням з Міністерством фінансів України.</w:t>
            </w:r>
          </w:p>
        </w:tc>
      </w:tr>
      <w:bookmarkEnd w:id="1879"/>
      <w:tr w:rsidR="00D836EB" w:rsidRPr="00286216" w14:paraId="1DDCCE61" w14:textId="77777777" w:rsidTr="00091AA5">
        <w:tc>
          <w:tcPr>
            <w:tcW w:w="576" w:type="dxa"/>
          </w:tcPr>
          <w:p w14:paraId="12BF4347" w14:textId="77777777" w:rsidR="00D836EB" w:rsidRPr="00286216" w:rsidRDefault="00D836EB" w:rsidP="00D836EB">
            <w:pPr>
              <w:pStyle w:val="StyleWisnow"/>
              <w:rPr>
                <w:color w:val="000000" w:themeColor="text1"/>
              </w:rPr>
            </w:pPr>
          </w:p>
        </w:tc>
        <w:tc>
          <w:tcPr>
            <w:tcW w:w="4818" w:type="dxa"/>
          </w:tcPr>
          <w:p w14:paraId="4E84ACB2" w14:textId="77777777" w:rsidR="00D836EB" w:rsidRPr="00286216" w:rsidRDefault="00D836EB" w:rsidP="00D836EB">
            <w:pPr>
              <w:pStyle w:val="StyleZakonu"/>
              <w:rPr>
                <w:color w:val="000000" w:themeColor="text1"/>
              </w:rPr>
            </w:pPr>
          </w:p>
        </w:tc>
        <w:tc>
          <w:tcPr>
            <w:tcW w:w="3686" w:type="dxa"/>
          </w:tcPr>
          <w:p w14:paraId="52E20174" w14:textId="5F94FFF5"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35EA259"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доповнити новою частиною такого змісту:</w:t>
            </w:r>
          </w:p>
          <w:p w14:paraId="2086F6B1"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 xml:space="preserve">«7. Проміжна інформація про емітента є регульованою інформацією та підлягає розкриттю емітентом не пізніше останнього числа місяця, наступного за звітним, крім проміжної консолідованої фінансової звітності, яка підлягає розкриттю не пізніше останнього числа другого місяця наступного за звітним. </w:t>
            </w:r>
          </w:p>
          <w:p w14:paraId="74B2AD47"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Проміжна інформація повинна залишатися в публічному доступі на власному веб-сайті емітента протягом щонайменше 10 років після її розкриття.»;</w:t>
            </w:r>
          </w:p>
          <w:p w14:paraId="05AE79DA"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частину шосту- дев’яту відповідно вважити частинами восьмою-одинадцятою.</w:t>
            </w:r>
          </w:p>
        </w:tc>
        <w:tc>
          <w:tcPr>
            <w:tcW w:w="1987" w:type="dxa"/>
          </w:tcPr>
          <w:p w14:paraId="118559D1"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06957C9" w14:textId="77777777" w:rsidR="00D836EB" w:rsidRPr="00286216" w:rsidRDefault="00D836EB" w:rsidP="00D836EB">
            <w:pPr>
              <w:pStyle w:val="StyleZakonu"/>
              <w:rPr>
                <w:color w:val="000000" w:themeColor="text1"/>
              </w:rPr>
            </w:pPr>
            <w:r w:rsidRPr="00286216">
              <w:rPr>
                <w:color w:val="000000" w:themeColor="text1"/>
              </w:rPr>
              <w:t xml:space="preserve">7. Проміжна інформація про емітента є регульованою інформацією та підлягає розкриттю емітентом не пізніше останнього числа місяця, наступного за звітним, крім проміжної консолідованої фінансової звітності, яка підлягає розкриттю не пізніше останнього числа другого місяця наступного за звітним. </w:t>
            </w:r>
          </w:p>
          <w:p w14:paraId="6C5BEE95" w14:textId="34598686" w:rsidR="00D836EB" w:rsidRPr="00286216" w:rsidRDefault="00D836EB" w:rsidP="00D836EB">
            <w:pPr>
              <w:pStyle w:val="StyleZakonu"/>
              <w:rPr>
                <w:color w:val="000000" w:themeColor="text1"/>
              </w:rPr>
            </w:pPr>
            <w:r w:rsidRPr="00286216">
              <w:rPr>
                <w:color w:val="000000" w:themeColor="text1"/>
              </w:rPr>
              <w:t>Проміжна інформація про емітента розміщується на офіційному веб-сайті емітента та є загальнодоступною протягом не менше, як 10 років після її розкриття.</w:t>
            </w:r>
          </w:p>
        </w:tc>
      </w:tr>
      <w:tr w:rsidR="00D836EB" w:rsidRPr="00286216" w14:paraId="07603B62" w14:textId="77777777" w:rsidTr="00091AA5">
        <w:tc>
          <w:tcPr>
            <w:tcW w:w="576" w:type="dxa"/>
          </w:tcPr>
          <w:p w14:paraId="3AE629A5" w14:textId="77777777" w:rsidR="00D836EB" w:rsidRPr="00286216" w:rsidRDefault="00D836EB" w:rsidP="00D836EB">
            <w:pPr>
              <w:pStyle w:val="StyleWisnow"/>
              <w:rPr>
                <w:color w:val="000000" w:themeColor="text1"/>
              </w:rPr>
            </w:pPr>
            <w:bookmarkStart w:id="1880" w:name="n2115" w:colFirst="0" w:colLast="0"/>
            <w:r w:rsidRPr="00286216">
              <w:rPr>
                <w:color w:val="000000" w:themeColor="text1"/>
              </w:rPr>
              <w:t>2115.</w:t>
            </w:r>
          </w:p>
        </w:tc>
        <w:tc>
          <w:tcPr>
            <w:tcW w:w="4818" w:type="dxa"/>
          </w:tcPr>
          <w:p w14:paraId="2AD86095" w14:textId="77777777" w:rsidR="00D836EB" w:rsidRPr="00286216" w:rsidRDefault="00D836EB" w:rsidP="00D836EB">
            <w:pPr>
              <w:pStyle w:val="StyleZakonu"/>
              <w:rPr>
                <w:color w:val="000000" w:themeColor="text1"/>
              </w:rPr>
            </w:pPr>
            <w:r w:rsidRPr="00286216">
              <w:rPr>
                <w:color w:val="000000" w:themeColor="text1"/>
              </w:rPr>
              <w:t>6. Строки, порядок і форми розкриття регулярної інформації про емітента (річної та проміжної) і відомостей, що містяться у такій інформації, встановлюються Національною комісією з цінних паперів та фондового ринку, яка вживає заходів щодо розкриття зазначеної інформації.</w:t>
            </w:r>
          </w:p>
        </w:tc>
        <w:tc>
          <w:tcPr>
            <w:tcW w:w="3686" w:type="dxa"/>
          </w:tcPr>
          <w:p w14:paraId="49FDEC1A" w14:textId="26128887"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1039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D576F39" w14:textId="77777777" w:rsidR="00D836EB" w:rsidRPr="00286216" w:rsidRDefault="00D836EB" w:rsidP="00D836EB">
            <w:pPr>
              <w:pStyle w:val="StyleProp"/>
              <w:rPr>
                <w:color w:val="000000" w:themeColor="text1"/>
                <w:szCs w:val="18"/>
              </w:rPr>
            </w:pPr>
            <w:r w:rsidRPr="00286216">
              <w:rPr>
                <w:color w:val="000000" w:themeColor="text1"/>
                <w:szCs w:val="18"/>
              </w:rPr>
              <w:t>в частині 6 (новій частині 8) після слів «(річної та проміжної) і» доповнити словом «додаткових».</w:t>
            </w:r>
          </w:p>
        </w:tc>
        <w:tc>
          <w:tcPr>
            <w:tcW w:w="1987" w:type="dxa"/>
          </w:tcPr>
          <w:p w14:paraId="0E52A604"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3B7A5CC" w14:textId="02817013" w:rsidR="00D836EB" w:rsidRPr="00286216" w:rsidRDefault="00D836EB" w:rsidP="00D836EB">
            <w:pPr>
              <w:pStyle w:val="StyleZakonu"/>
              <w:rPr>
                <w:color w:val="000000" w:themeColor="text1"/>
              </w:rPr>
            </w:pPr>
            <w:r w:rsidRPr="00286216">
              <w:rPr>
                <w:color w:val="000000" w:themeColor="text1"/>
              </w:rPr>
              <w:t xml:space="preserve">6. Строки, порядок і форми розкриття регулярної інформації про емітента (річної та проміжної) та </w:t>
            </w:r>
            <w:r w:rsidRPr="00286216">
              <w:rPr>
                <w:color w:val="000000" w:themeColor="text1"/>
                <w:szCs w:val="18"/>
              </w:rPr>
              <w:t>додаткових</w:t>
            </w:r>
            <w:r w:rsidRPr="00286216">
              <w:rPr>
                <w:color w:val="000000" w:themeColor="text1"/>
              </w:rPr>
              <w:t xml:space="preserve"> відомостей, що містяться у такій інформації, встановлюються Національною комісією з цінних паперів та фондового ринку, що вживає заходів для розкриття зазначеної інформації.</w:t>
            </w:r>
          </w:p>
        </w:tc>
      </w:tr>
      <w:tr w:rsidR="00D836EB" w:rsidRPr="00286216" w14:paraId="5CB1C58E" w14:textId="77777777" w:rsidTr="00091AA5">
        <w:tc>
          <w:tcPr>
            <w:tcW w:w="576" w:type="dxa"/>
          </w:tcPr>
          <w:p w14:paraId="11D2E1E4" w14:textId="77777777" w:rsidR="00D836EB" w:rsidRPr="00286216" w:rsidRDefault="00D836EB" w:rsidP="00D836EB">
            <w:pPr>
              <w:pStyle w:val="StyleWisnow"/>
              <w:rPr>
                <w:color w:val="000000" w:themeColor="text1"/>
              </w:rPr>
            </w:pPr>
            <w:bookmarkStart w:id="1881" w:name="n2116" w:colFirst="0" w:colLast="0"/>
            <w:bookmarkEnd w:id="1880"/>
            <w:r w:rsidRPr="00286216">
              <w:rPr>
                <w:color w:val="000000" w:themeColor="text1"/>
              </w:rPr>
              <w:t>2116.</w:t>
            </w:r>
          </w:p>
        </w:tc>
        <w:tc>
          <w:tcPr>
            <w:tcW w:w="4818" w:type="dxa"/>
          </w:tcPr>
          <w:p w14:paraId="62309FA6" w14:textId="77777777" w:rsidR="00D836EB" w:rsidRPr="00286216" w:rsidRDefault="00D836EB" w:rsidP="00D836EB">
            <w:pPr>
              <w:pStyle w:val="StyleZakonu"/>
              <w:rPr>
                <w:color w:val="000000" w:themeColor="text1"/>
              </w:rPr>
            </w:pPr>
            <w:r w:rsidRPr="00286216">
              <w:rPr>
                <w:color w:val="000000" w:themeColor="text1"/>
              </w:rPr>
              <w:t xml:space="preserve">7. Емітенти, які здійснили публічну пропозицію та/або цінні папери яких допущені до торгів на регульованому фондовому ринку, зобов’язані не пізніше 31 січня кожного року оприлюднювати на власному веб-сайті календарний план розміщення регулярної інформації (у т.ч. документів та повідомлень, оприлюднення яких вимагається відповідно до законодавства у складі регулярної інформації)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з оприлюднення регульованої інформації від імені учасників ринків капіталу та/або професійних учасників ринків капіталу та </w:t>
            </w:r>
            <w:r w:rsidRPr="00286216">
              <w:rPr>
                <w:color w:val="000000" w:themeColor="text1"/>
              </w:rPr>
              <w:lastRenderedPageBreak/>
              <w:t>організованих товарних ринків, та на власному веб-сайті (далі - календарний план). Оприлюднення інших документів та повідомлень, у тому числі особливої інформації, що вимагається відповідно до законодавства, здійснюється емітентами без попереднього зазначення інформації про такі оприлюднення у календарному плані.</w:t>
            </w:r>
          </w:p>
        </w:tc>
        <w:tc>
          <w:tcPr>
            <w:tcW w:w="3686" w:type="dxa"/>
          </w:tcPr>
          <w:p w14:paraId="7E698981" w14:textId="6945459A" w:rsidR="00D836EB" w:rsidRPr="00286216" w:rsidRDefault="00D836EB" w:rsidP="00D836EB">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1CD10C7" w14:textId="77777777" w:rsidR="00D836EB" w:rsidRPr="00286216" w:rsidRDefault="00D836EB" w:rsidP="00D836EB">
            <w:pPr>
              <w:pStyle w:val="StyleProp"/>
              <w:spacing w:line="180" w:lineRule="exact"/>
              <w:rPr>
                <w:color w:val="000000" w:themeColor="text1"/>
                <w:szCs w:val="18"/>
              </w:rPr>
            </w:pPr>
            <w:r w:rsidRPr="00286216">
              <w:rPr>
                <w:color w:val="000000" w:themeColor="text1"/>
                <w:szCs w:val="18"/>
              </w:rPr>
              <w:t>У частині сьомій статті 122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p w14:paraId="4651BEB4" w14:textId="139A6C9B" w:rsidR="00D836EB" w:rsidRPr="00286216" w:rsidRDefault="00D836EB" w:rsidP="00D836EB">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1041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E476C05" w14:textId="1B9F9FEC" w:rsidR="00D836EB" w:rsidRPr="00286216" w:rsidRDefault="00D836EB" w:rsidP="00D836EB">
            <w:pPr>
              <w:pStyle w:val="StyleProp"/>
              <w:rPr>
                <w:color w:val="000000" w:themeColor="text1"/>
                <w:szCs w:val="18"/>
              </w:rPr>
            </w:pPr>
            <w:r w:rsidRPr="00286216">
              <w:rPr>
                <w:color w:val="000000" w:themeColor="text1"/>
                <w:szCs w:val="18"/>
              </w:rPr>
              <w:t xml:space="preserve">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w:t>
            </w:r>
            <w:r w:rsidRPr="00286216">
              <w:rPr>
                <w:color w:val="000000" w:themeColor="text1"/>
                <w:szCs w:val="18"/>
              </w:rPr>
              <w:lastRenderedPageBreak/>
              <w:t>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150801B7" w14:textId="77777777" w:rsidR="00D836EB" w:rsidRPr="00286216" w:rsidRDefault="00D836EB" w:rsidP="00D836EB">
            <w:pPr>
              <w:pStyle w:val="StyleWisnow"/>
              <w:rPr>
                <w:color w:val="000000" w:themeColor="text1"/>
              </w:rPr>
            </w:pPr>
            <w:r w:rsidRPr="00286216">
              <w:rPr>
                <w:color w:val="000000" w:themeColor="text1"/>
              </w:rPr>
              <w:lastRenderedPageBreak/>
              <w:t>Враховано по суті</w:t>
            </w:r>
          </w:p>
          <w:p w14:paraId="6F3693BB" w14:textId="77777777" w:rsidR="00D836EB" w:rsidRPr="00286216" w:rsidRDefault="00D836EB" w:rsidP="00D836EB">
            <w:pPr>
              <w:pStyle w:val="StyleWisnow"/>
              <w:rPr>
                <w:color w:val="000000" w:themeColor="text1"/>
              </w:rPr>
            </w:pPr>
          </w:p>
          <w:p w14:paraId="1BCE6D5D" w14:textId="77777777" w:rsidR="00D836EB" w:rsidRPr="00286216" w:rsidRDefault="00D836EB" w:rsidP="00D836EB">
            <w:pPr>
              <w:pStyle w:val="StyleWisnow"/>
              <w:rPr>
                <w:color w:val="000000" w:themeColor="text1"/>
              </w:rPr>
            </w:pPr>
          </w:p>
          <w:p w14:paraId="59464926" w14:textId="77777777" w:rsidR="00D836EB" w:rsidRPr="00286216" w:rsidRDefault="00D836EB" w:rsidP="00D836EB">
            <w:pPr>
              <w:pStyle w:val="StyleWisnow"/>
              <w:rPr>
                <w:color w:val="000000" w:themeColor="text1"/>
              </w:rPr>
            </w:pPr>
          </w:p>
          <w:p w14:paraId="787111C4" w14:textId="77777777" w:rsidR="00D836EB" w:rsidRPr="00286216" w:rsidRDefault="00D836EB" w:rsidP="00D836EB">
            <w:pPr>
              <w:pStyle w:val="StyleWisnow"/>
              <w:rPr>
                <w:color w:val="000000" w:themeColor="text1"/>
              </w:rPr>
            </w:pPr>
          </w:p>
          <w:p w14:paraId="2ADE09BD"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232850D5" w14:textId="559DC9A1" w:rsidR="00D836EB" w:rsidRPr="00286216" w:rsidRDefault="00D836EB" w:rsidP="00D836EB">
            <w:pPr>
              <w:pStyle w:val="StyleZakonu"/>
              <w:rPr>
                <w:color w:val="000000" w:themeColor="text1"/>
              </w:rPr>
            </w:pPr>
            <w:r w:rsidRPr="00286216">
              <w:rPr>
                <w:color w:val="000000" w:themeColor="text1"/>
              </w:rPr>
              <w:t xml:space="preserve">7. Емітенти, які здійснили публічну пропозицію та/або цінні папери яких допущені до торгів на регульованому фондовому ринку, зобов’язані кожного року не пізніше 31 січня оприлюднювати на своєму веб-сайті, та у </w:t>
            </w:r>
            <w:r w:rsidRPr="00286216">
              <w:rPr>
                <w:color w:val="000000" w:themeColor="text1"/>
                <w:szCs w:val="18"/>
              </w:rPr>
              <w:t>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xml:space="preserve">, календарний план розміщення регулярної інформації (у тому числі документів та повідомлень, оприлюднення яких відповідно до законодавства передбачено у складі регулярної інформації) (далі - календарний план). Оприлюднення відповідно до законодавства інших документів та повідомлень, у тому числі особливої інформації, ,здійснюється </w:t>
            </w:r>
            <w:r w:rsidRPr="00286216">
              <w:rPr>
                <w:color w:val="000000" w:themeColor="text1"/>
              </w:rPr>
              <w:lastRenderedPageBreak/>
              <w:t>емітентами без попереднього зазначення інформації про такі оприлюднення у календарному плані.</w:t>
            </w:r>
          </w:p>
        </w:tc>
      </w:tr>
      <w:tr w:rsidR="00D836EB" w:rsidRPr="00286216" w14:paraId="20957A83" w14:textId="77777777" w:rsidTr="00091AA5">
        <w:tc>
          <w:tcPr>
            <w:tcW w:w="576" w:type="dxa"/>
          </w:tcPr>
          <w:p w14:paraId="2AF4D20C" w14:textId="77777777" w:rsidR="00D836EB" w:rsidRPr="00286216" w:rsidRDefault="00D836EB" w:rsidP="00D836EB">
            <w:pPr>
              <w:pStyle w:val="StyleWisnow"/>
              <w:rPr>
                <w:color w:val="000000" w:themeColor="text1"/>
              </w:rPr>
            </w:pPr>
            <w:bookmarkStart w:id="1882" w:name="n2117" w:colFirst="0" w:colLast="0"/>
            <w:bookmarkEnd w:id="1881"/>
            <w:r w:rsidRPr="00286216">
              <w:rPr>
                <w:color w:val="000000" w:themeColor="text1"/>
              </w:rPr>
              <w:lastRenderedPageBreak/>
              <w:t>2117.</w:t>
            </w:r>
          </w:p>
        </w:tc>
        <w:tc>
          <w:tcPr>
            <w:tcW w:w="4818" w:type="dxa"/>
          </w:tcPr>
          <w:p w14:paraId="0D2ADAB3" w14:textId="77777777" w:rsidR="00D836EB" w:rsidRPr="00286216" w:rsidRDefault="00D836EB" w:rsidP="00D836EB">
            <w:pPr>
              <w:pStyle w:val="StyleZakonu"/>
              <w:rPr>
                <w:color w:val="000000" w:themeColor="text1"/>
              </w:rPr>
            </w:pPr>
            <w:r w:rsidRPr="00286216">
              <w:rPr>
                <w:color w:val="000000" w:themeColor="text1"/>
              </w:rPr>
              <w:t>Порядок і форма розкриття календарного плану, а також додаткові вимоги щодо його змісту, встановлюються Національною комісією з цінних паперів та фондового ринку.</w:t>
            </w:r>
          </w:p>
        </w:tc>
        <w:tc>
          <w:tcPr>
            <w:tcW w:w="3686" w:type="dxa"/>
          </w:tcPr>
          <w:p w14:paraId="4014AB51" w14:textId="77777777" w:rsidR="00D836EB" w:rsidRPr="00286216" w:rsidRDefault="00D836EB" w:rsidP="00D836EB">
            <w:pPr>
              <w:pStyle w:val="StyleProp"/>
              <w:rPr>
                <w:color w:val="000000" w:themeColor="text1"/>
                <w:szCs w:val="18"/>
              </w:rPr>
            </w:pPr>
          </w:p>
        </w:tc>
        <w:tc>
          <w:tcPr>
            <w:tcW w:w="1987" w:type="dxa"/>
          </w:tcPr>
          <w:p w14:paraId="73FD154B" w14:textId="77777777" w:rsidR="00D836EB" w:rsidRPr="00286216" w:rsidRDefault="00D836EB" w:rsidP="00D836EB">
            <w:pPr>
              <w:pStyle w:val="StyleWisnow"/>
              <w:rPr>
                <w:color w:val="000000" w:themeColor="text1"/>
              </w:rPr>
            </w:pPr>
          </w:p>
        </w:tc>
        <w:tc>
          <w:tcPr>
            <w:tcW w:w="4818" w:type="dxa"/>
          </w:tcPr>
          <w:p w14:paraId="4F26DA67" w14:textId="21061589" w:rsidR="00D836EB" w:rsidRPr="00286216" w:rsidRDefault="00D836EB" w:rsidP="00D836EB">
            <w:pPr>
              <w:pStyle w:val="StyleZakonu"/>
              <w:rPr>
                <w:color w:val="000000" w:themeColor="text1"/>
              </w:rPr>
            </w:pPr>
            <w:r w:rsidRPr="00286216">
              <w:rPr>
                <w:color w:val="000000" w:themeColor="text1"/>
              </w:rPr>
              <w:t>Порядок і форма розкриття календарного плану,  додаткові вимоги його змісту встановлюються Національною комісією з цінних паперів та фондового ринку.</w:t>
            </w:r>
          </w:p>
        </w:tc>
      </w:tr>
      <w:tr w:rsidR="00D836EB" w:rsidRPr="00286216" w14:paraId="647D2F71" w14:textId="77777777" w:rsidTr="00091AA5">
        <w:tc>
          <w:tcPr>
            <w:tcW w:w="576" w:type="dxa"/>
          </w:tcPr>
          <w:p w14:paraId="2189A5F2" w14:textId="77777777" w:rsidR="00D836EB" w:rsidRPr="00286216" w:rsidRDefault="00D836EB" w:rsidP="00D836EB">
            <w:pPr>
              <w:pStyle w:val="StyleWisnow"/>
              <w:rPr>
                <w:color w:val="000000" w:themeColor="text1"/>
              </w:rPr>
            </w:pPr>
            <w:bookmarkStart w:id="1883" w:name="n2118" w:colFirst="0" w:colLast="0"/>
            <w:bookmarkEnd w:id="1882"/>
            <w:r w:rsidRPr="00286216">
              <w:rPr>
                <w:color w:val="000000" w:themeColor="text1"/>
              </w:rPr>
              <w:t>2118.</w:t>
            </w:r>
          </w:p>
        </w:tc>
        <w:tc>
          <w:tcPr>
            <w:tcW w:w="4818" w:type="dxa"/>
          </w:tcPr>
          <w:p w14:paraId="38AFEACA" w14:textId="77777777" w:rsidR="00D836EB" w:rsidRPr="00286216" w:rsidRDefault="00D836EB" w:rsidP="00D836EB">
            <w:pPr>
              <w:pStyle w:val="StyleZakonu"/>
              <w:rPr>
                <w:color w:val="000000" w:themeColor="text1"/>
              </w:rPr>
            </w:pPr>
            <w:r w:rsidRPr="00286216">
              <w:rPr>
                <w:color w:val="000000" w:themeColor="text1"/>
              </w:rPr>
              <w:t>8. Публічне акціонерне товариство, щодо акцій якого здійснено публічну пропозицію та/або акції якого допущені до торгів на регульованому фондовому ринку, а також банк зобов’язані розкривати інформацію відповідно до вимог цієї статті.</w:t>
            </w:r>
          </w:p>
        </w:tc>
        <w:tc>
          <w:tcPr>
            <w:tcW w:w="3686" w:type="dxa"/>
          </w:tcPr>
          <w:p w14:paraId="4FCF11DC" w14:textId="49E1AD57"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5ED13E4"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0320EC0C" w14:textId="77777777" w:rsidR="00D836EB" w:rsidRPr="00286216" w:rsidRDefault="00D836EB" w:rsidP="00D836EB">
            <w:pPr>
              <w:pStyle w:val="StyleProp"/>
              <w:rPr>
                <w:color w:val="000000" w:themeColor="text1"/>
                <w:szCs w:val="18"/>
              </w:rPr>
            </w:pPr>
            <w:r w:rsidRPr="00286216">
              <w:rPr>
                <w:color w:val="000000" w:themeColor="text1"/>
                <w:szCs w:val="18"/>
              </w:rPr>
              <w:t>в частині 8 (новій частині 10):</w:t>
            </w:r>
          </w:p>
          <w:p w14:paraId="210C3026" w14:textId="77777777" w:rsidR="00D836EB" w:rsidRPr="00286216" w:rsidRDefault="00D836EB" w:rsidP="00D836EB">
            <w:pPr>
              <w:pStyle w:val="StyleProp"/>
              <w:rPr>
                <w:color w:val="000000" w:themeColor="text1"/>
                <w:szCs w:val="18"/>
              </w:rPr>
            </w:pPr>
            <w:r w:rsidRPr="00286216">
              <w:rPr>
                <w:color w:val="000000" w:themeColor="text1"/>
                <w:szCs w:val="18"/>
              </w:rPr>
              <w:t>-в абзаці першому слово «банк»  замінити словами «товариство, яке є підприємством, що становить суспільний інтерес,».</w:t>
            </w:r>
          </w:p>
        </w:tc>
        <w:tc>
          <w:tcPr>
            <w:tcW w:w="1987" w:type="dxa"/>
          </w:tcPr>
          <w:p w14:paraId="6B9FE697"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705E15F4" w14:textId="7E8AC804" w:rsidR="00D836EB" w:rsidRPr="00286216" w:rsidRDefault="00D836EB" w:rsidP="00D836EB">
            <w:pPr>
              <w:pStyle w:val="StyleZakonu"/>
              <w:rPr>
                <w:color w:val="000000" w:themeColor="text1"/>
              </w:rPr>
            </w:pPr>
            <w:r w:rsidRPr="00286216">
              <w:rPr>
                <w:color w:val="000000" w:themeColor="text1"/>
              </w:rPr>
              <w:t xml:space="preserve">8. Публічне акціонерне товариство, щодо акцій якого здійснено публічну пропозицію та/або акції якого допущені до торгів на регульованому фондовому ринку, а також </w:t>
            </w:r>
            <w:r w:rsidRPr="00286216">
              <w:rPr>
                <w:color w:val="000000" w:themeColor="text1"/>
                <w:szCs w:val="18"/>
              </w:rPr>
              <w:t>товариство, яке є підприємством, що становить суспільний інтерес,</w:t>
            </w:r>
            <w:r w:rsidRPr="00286216">
              <w:rPr>
                <w:color w:val="000000" w:themeColor="text1"/>
              </w:rPr>
              <w:t xml:space="preserve"> зобов’язані розкривати інформацію відповідно до вимог цієї статті.</w:t>
            </w:r>
          </w:p>
        </w:tc>
      </w:tr>
      <w:tr w:rsidR="00D836EB" w:rsidRPr="00286216" w14:paraId="500341BB" w14:textId="77777777" w:rsidTr="00091AA5">
        <w:tc>
          <w:tcPr>
            <w:tcW w:w="576" w:type="dxa"/>
          </w:tcPr>
          <w:p w14:paraId="3192015B" w14:textId="77777777" w:rsidR="00D836EB" w:rsidRPr="00286216" w:rsidRDefault="00D836EB" w:rsidP="00D836EB">
            <w:pPr>
              <w:pStyle w:val="StyleWisnow"/>
              <w:rPr>
                <w:color w:val="000000" w:themeColor="text1"/>
              </w:rPr>
            </w:pPr>
            <w:bookmarkStart w:id="1884" w:name="n2119" w:colFirst="0" w:colLast="0"/>
            <w:bookmarkEnd w:id="1883"/>
            <w:r w:rsidRPr="00286216">
              <w:rPr>
                <w:color w:val="000000" w:themeColor="text1"/>
              </w:rPr>
              <w:t>2119.</w:t>
            </w:r>
          </w:p>
        </w:tc>
        <w:tc>
          <w:tcPr>
            <w:tcW w:w="4818" w:type="dxa"/>
          </w:tcPr>
          <w:p w14:paraId="494ACAD6" w14:textId="77777777" w:rsidR="00D836EB" w:rsidRPr="00286216" w:rsidRDefault="00D836EB" w:rsidP="00D836EB">
            <w:pPr>
              <w:pStyle w:val="StyleZakonu"/>
              <w:rPr>
                <w:color w:val="000000" w:themeColor="text1"/>
              </w:rPr>
            </w:pPr>
            <w:r w:rsidRPr="00286216">
              <w:rPr>
                <w:color w:val="000000" w:themeColor="text1"/>
              </w:rPr>
              <w:t>Публічне акціонерне товариство (крім банків), щодо акцій якого не здійснено публічну пропозицію, зобов’язано розкривати інформацію відповідно до вимог цієї статті, крім вимог частини п’ятої цієї статті.</w:t>
            </w:r>
          </w:p>
        </w:tc>
        <w:tc>
          <w:tcPr>
            <w:tcW w:w="3686" w:type="dxa"/>
          </w:tcPr>
          <w:p w14:paraId="55545838" w14:textId="7FD8D3C9"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FC94C70"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08863457" w14:textId="77777777" w:rsidR="00D836EB" w:rsidRPr="00286216" w:rsidRDefault="00D836EB" w:rsidP="00D836EB">
            <w:pPr>
              <w:pStyle w:val="StyleProp"/>
              <w:rPr>
                <w:color w:val="000000" w:themeColor="text1"/>
                <w:szCs w:val="18"/>
              </w:rPr>
            </w:pPr>
            <w:r w:rsidRPr="00286216">
              <w:rPr>
                <w:color w:val="000000" w:themeColor="text1"/>
                <w:szCs w:val="18"/>
              </w:rPr>
              <w:t>в частині 8 (новій частині 10):</w:t>
            </w:r>
          </w:p>
          <w:p w14:paraId="1F92A44E" w14:textId="77777777" w:rsidR="00D836EB" w:rsidRPr="00286216" w:rsidRDefault="00D836EB" w:rsidP="00D836EB">
            <w:pPr>
              <w:pStyle w:val="StyleProp"/>
              <w:rPr>
                <w:color w:val="000000" w:themeColor="text1"/>
                <w:szCs w:val="18"/>
              </w:rPr>
            </w:pPr>
            <w:r w:rsidRPr="00286216">
              <w:rPr>
                <w:color w:val="000000" w:themeColor="text1"/>
                <w:szCs w:val="18"/>
              </w:rPr>
              <w:t>-в абзаці другому слово «банків» замінити словами «товариства, яке є підприємством, що становить суспільний інтерес».</w:t>
            </w:r>
          </w:p>
        </w:tc>
        <w:tc>
          <w:tcPr>
            <w:tcW w:w="1987" w:type="dxa"/>
          </w:tcPr>
          <w:p w14:paraId="57B60EBD"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7E6050A8" w14:textId="7C4928DE" w:rsidR="00D836EB" w:rsidRPr="00286216" w:rsidRDefault="00D836EB" w:rsidP="00D836EB">
            <w:pPr>
              <w:pStyle w:val="StyleZakonu"/>
              <w:rPr>
                <w:color w:val="000000" w:themeColor="text1"/>
              </w:rPr>
            </w:pPr>
            <w:r w:rsidRPr="00286216">
              <w:rPr>
                <w:color w:val="000000" w:themeColor="text1"/>
              </w:rPr>
              <w:t xml:space="preserve">Публічне акціонерне товариство (крім </w:t>
            </w:r>
            <w:r w:rsidRPr="00286216">
              <w:rPr>
                <w:color w:val="000000" w:themeColor="text1"/>
                <w:szCs w:val="18"/>
              </w:rPr>
              <w:t>товариства, яке є підприємством, що становить суспільний інтерес</w:t>
            </w:r>
            <w:r w:rsidRPr="00286216">
              <w:rPr>
                <w:color w:val="000000" w:themeColor="text1"/>
              </w:rPr>
              <w:t>), щодо акцій якого не здійснено публічну пропозицію, зобов’язане розкривати інформацію відповідно до вимог цієї статті, крім вимог частини п’ятої цієї статті.</w:t>
            </w:r>
          </w:p>
        </w:tc>
      </w:tr>
      <w:tr w:rsidR="00D836EB" w:rsidRPr="00286216" w14:paraId="1683AD4C" w14:textId="77777777" w:rsidTr="00091AA5">
        <w:tc>
          <w:tcPr>
            <w:tcW w:w="576" w:type="dxa"/>
          </w:tcPr>
          <w:p w14:paraId="27FD70C9" w14:textId="77777777" w:rsidR="00D836EB" w:rsidRPr="00286216" w:rsidRDefault="00D836EB" w:rsidP="00D836EB">
            <w:pPr>
              <w:pStyle w:val="StyleWisnow"/>
              <w:rPr>
                <w:color w:val="000000" w:themeColor="text1"/>
              </w:rPr>
            </w:pPr>
            <w:bookmarkStart w:id="1885" w:name="n2120" w:colFirst="0" w:colLast="0"/>
            <w:bookmarkEnd w:id="1884"/>
            <w:r w:rsidRPr="00286216">
              <w:rPr>
                <w:color w:val="000000" w:themeColor="text1"/>
              </w:rPr>
              <w:t>2120.</w:t>
            </w:r>
          </w:p>
        </w:tc>
        <w:tc>
          <w:tcPr>
            <w:tcW w:w="4818" w:type="dxa"/>
          </w:tcPr>
          <w:p w14:paraId="40DC9E4B" w14:textId="77777777" w:rsidR="00D836EB" w:rsidRPr="00286216" w:rsidRDefault="00D836EB" w:rsidP="00D836EB">
            <w:pPr>
              <w:pStyle w:val="StyleZakonu"/>
              <w:rPr>
                <w:color w:val="000000" w:themeColor="text1"/>
              </w:rPr>
            </w:pPr>
            <w:r w:rsidRPr="00286216">
              <w:rPr>
                <w:color w:val="000000" w:themeColor="text1"/>
              </w:rPr>
              <w:t>Емітент, щодо інших цінних паперів, крім акцій, якого здійснено публічну пропозицію та/або цінні папери якого допущені до торгів на регульованому фондовому ринку, зобов’язаний розкривати інформацію відповідно до вимог цієї статті, крім вимог пунктів 6 - 10 та 20 частини третьої та пунктів 9, 10 частини п’ятої цієї статті.</w:t>
            </w:r>
          </w:p>
        </w:tc>
        <w:tc>
          <w:tcPr>
            <w:tcW w:w="3686" w:type="dxa"/>
          </w:tcPr>
          <w:p w14:paraId="6AB183D4" w14:textId="4252CAF9"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71B3B07"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2AB43B4F" w14:textId="77777777" w:rsidR="00D836EB" w:rsidRPr="00286216" w:rsidRDefault="00D836EB" w:rsidP="00D836EB">
            <w:pPr>
              <w:pStyle w:val="StyleProp"/>
              <w:rPr>
                <w:color w:val="000000" w:themeColor="text1"/>
                <w:szCs w:val="18"/>
              </w:rPr>
            </w:pPr>
            <w:r w:rsidRPr="00286216">
              <w:rPr>
                <w:color w:val="000000" w:themeColor="text1"/>
                <w:szCs w:val="18"/>
              </w:rPr>
              <w:t>в частині 8 (новій частині 10):</w:t>
            </w:r>
          </w:p>
          <w:p w14:paraId="5F540F47" w14:textId="77777777" w:rsidR="00D836EB" w:rsidRPr="00286216" w:rsidRDefault="00D836EB" w:rsidP="00D836EB">
            <w:pPr>
              <w:pStyle w:val="StyleProp"/>
              <w:rPr>
                <w:color w:val="000000" w:themeColor="text1"/>
                <w:szCs w:val="18"/>
              </w:rPr>
            </w:pPr>
            <w:r w:rsidRPr="00286216">
              <w:rPr>
                <w:color w:val="000000" w:themeColor="text1"/>
                <w:szCs w:val="18"/>
              </w:rPr>
              <w:t>в абзаці третьому цифру «20» замінити цифрою «21»</w:t>
            </w:r>
          </w:p>
        </w:tc>
        <w:tc>
          <w:tcPr>
            <w:tcW w:w="1987" w:type="dxa"/>
          </w:tcPr>
          <w:p w14:paraId="36DAFEDF"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0A706FF5" w14:textId="45C81E80" w:rsidR="00D836EB" w:rsidRPr="00286216" w:rsidRDefault="00D836EB" w:rsidP="00D836EB">
            <w:pPr>
              <w:pStyle w:val="StyleZakonu"/>
              <w:rPr>
                <w:color w:val="000000" w:themeColor="text1"/>
              </w:rPr>
            </w:pPr>
            <w:r w:rsidRPr="00286216">
              <w:rPr>
                <w:color w:val="000000" w:themeColor="text1"/>
              </w:rPr>
              <w:t xml:space="preserve">Емітент, щодо інших цінних паперів (крім акцій) якого здійснено публічну пропозицію та/або цінні папери якого допущені до торгів на регульованому фондовому ринку, зобов’язаний розкривати інформацію відповідно до вимог цієї статті, крім вимог пунктів 6 - 10 та </w:t>
            </w:r>
            <w:r w:rsidRPr="00286216">
              <w:rPr>
                <w:color w:val="000000" w:themeColor="text1"/>
                <w:szCs w:val="18"/>
              </w:rPr>
              <w:t xml:space="preserve">21 </w:t>
            </w:r>
            <w:r w:rsidRPr="00286216">
              <w:rPr>
                <w:color w:val="000000" w:themeColor="text1"/>
              </w:rPr>
              <w:t>частини третьої та пунктів 9, 10 частини п’ятої цієї статті.</w:t>
            </w:r>
          </w:p>
        </w:tc>
      </w:tr>
      <w:tr w:rsidR="00D836EB" w:rsidRPr="00286216" w14:paraId="436D5E26" w14:textId="77777777" w:rsidTr="00091AA5">
        <w:tc>
          <w:tcPr>
            <w:tcW w:w="576" w:type="dxa"/>
          </w:tcPr>
          <w:p w14:paraId="549C054A" w14:textId="77777777" w:rsidR="00D836EB" w:rsidRPr="00286216" w:rsidRDefault="00D836EB" w:rsidP="00D836EB">
            <w:pPr>
              <w:pStyle w:val="StyleWisnow"/>
              <w:rPr>
                <w:color w:val="000000" w:themeColor="text1"/>
              </w:rPr>
            </w:pPr>
            <w:bookmarkStart w:id="1886" w:name="n2121" w:colFirst="0" w:colLast="0"/>
            <w:bookmarkEnd w:id="1885"/>
            <w:r w:rsidRPr="00286216">
              <w:rPr>
                <w:color w:val="000000" w:themeColor="text1"/>
              </w:rPr>
              <w:t>2121.</w:t>
            </w:r>
          </w:p>
        </w:tc>
        <w:tc>
          <w:tcPr>
            <w:tcW w:w="4818" w:type="dxa"/>
          </w:tcPr>
          <w:p w14:paraId="0083C912" w14:textId="77777777" w:rsidR="00D836EB" w:rsidRPr="00286216" w:rsidRDefault="00D836EB" w:rsidP="00D836EB">
            <w:pPr>
              <w:pStyle w:val="StyleZakonu"/>
              <w:rPr>
                <w:color w:val="000000" w:themeColor="text1"/>
              </w:rPr>
            </w:pPr>
            <w:r w:rsidRPr="00286216">
              <w:rPr>
                <w:color w:val="000000" w:themeColor="text1"/>
              </w:rPr>
              <w:t>Приватне акціонерне товариство (щодо інших цінних паперів, крім акцій, якого здійснено публічну пропозицію) зобов’язано розкривати інформацію відповідно до вимог цієї статті, крім вимог пунктів 6, 7, 9, 19 частини третьої та частини п’ятої цієї статті. При цьому для товариства, зазначеного у цьому абзаці, аудиторський звіт розкривається у разі проходження аудиту.</w:t>
            </w:r>
          </w:p>
        </w:tc>
        <w:tc>
          <w:tcPr>
            <w:tcW w:w="3686" w:type="dxa"/>
          </w:tcPr>
          <w:p w14:paraId="5AC55B34" w14:textId="5462CBCB"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048C56A"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62CA4B8C" w14:textId="77777777" w:rsidR="00D836EB" w:rsidRPr="00286216" w:rsidRDefault="00D836EB" w:rsidP="00D836EB">
            <w:pPr>
              <w:pStyle w:val="StyleProp"/>
              <w:rPr>
                <w:color w:val="000000" w:themeColor="text1"/>
                <w:szCs w:val="18"/>
              </w:rPr>
            </w:pPr>
            <w:r w:rsidRPr="00286216">
              <w:rPr>
                <w:color w:val="000000" w:themeColor="text1"/>
                <w:szCs w:val="18"/>
              </w:rPr>
              <w:t>в частині 8 (новій частині 10):</w:t>
            </w:r>
          </w:p>
          <w:p w14:paraId="05C1241D" w14:textId="77777777" w:rsidR="00D836EB" w:rsidRPr="00286216" w:rsidRDefault="00D836EB" w:rsidP="00D836EB">
            <w:pPr>
              <w:pStyle w:val="StyleProp"/>
              <w:rPr>
                <w:color w:val="000000" w:themeColor="text1"/>
                <w:szCs w:val="18"/>
              </w:rPr>
            </w:pPr>
            <w:r w:rsidRPr="00286216">
              <w:rPr>
                <w:color w:val="000000" w:themeColor="text1"/>
                <w:szCs w:val="18"/>
              </w:rPr>
              <w:t>в абзаці четвертому цифру «19» замінити цифрами та знаками «13, 20»</w:t>
            </w:r>
          </w:p>
          <w:p w14:paraId="3D3A2BC5" w14:textId="0C9AFF64" w:rsidR="00D836EB" w:rsidRPr="00286216" w:rsidRDefault="00D836EB" w:rsidP="00D836E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1046</w:t>
            </w:r>
            <w:r w:rsidRPr="00286216">
              <w:rPr>
                <w:color w:val="000000" w:themeColor="text1"/>
                <w:spacing w:val="-8"/>
              </w:rPr>
              <w:fldChar w:fldCharType="end"/>
            </w:r>
            <w:r w:rsidRPr="00286216">
              <w:rPr>
                <w:color w:val="000000" w:themeColor="text1"/>
                <w:spacing w:val="-8"/>
                <w:szCs w:val="18"/>
              </w:rPr>
              <w:t>-Н.д.Ніколаєнко А.І. (Реєстр.картка №405)</w:t>
            </w:r>
          </w:p>
          <w:p w14:paraId="3D281281" w14:textId="1EBE648F" w:rsidR="00D836EB" w:rsidRPr="00286216" w:rsidRDefault="00D836EB" w:rsidP="00D836EB">
            <w:pPr>
              <w:pStyle w:val="StyleProp"/>
              <w:spacing w:line="180" w:lineRule="exact"/>
              <w:rPr>
                <w:color w:val="000000" w:themeColor="text1"/>
                <w:szCs w:val="18"/>
              </w:rPr>
            </w:pPr>
            <w:r w:rsidRPr="00286216">
              <w:rPr>
                <w:color w:val="000000" w:themeColor="text1"/>
                <w:szCs w:val="18"/>
              </w:rPr>
              <w:t>В абзаці 4 частини 8 статті 122 слова «(щодо інших цінних паперів, крім акцій, якого здійснено публічну пропозицію)» замінити словами «(крім тих, що є підприємствами, що становлять суспільний інтерес)», а слова «проходження аудиту» замінити словами «проведення аудиту»</w:t>
            </w:r>
          </w:p>
        </w:tc>
        <w:tc>
          <w:tcPr>
            <w:tcW w:w="1987" w:type="dxa"/>
          </w:tcPr>
          <w:p w14:paraId="455AA6B8" w14:textId="77777777" w:rsidR="00D836EB" w:rsidRPr="00286216" w:rsidRDefault="00D836EB" w:rsidP="00D836EB">
            <w:pPr>
              <w:pStyle w:val="StyleWisnow"/>
              <w:rPr>
                <w:color w:val="000000" w:themeColor="text1"/>
              </w:rPr>
            </w:pPr>
            <w:r w:rsidRPr="00286216">
              <w:rPr>
                <w:color w:val="000000" w:themeColor="text1"/>
              </w:rPr>
              <w:t>Враховано</w:t>
            </w:r>
          </w:p>
          <w:p w14:paraId="41BAC21A" w14:textId="77777777" w:rsidR="00D836EB" w:rsidRPr="00286216" w:rsidRDefault="00D836EB" w:rsidP="00D836EB">
            <w:pPr>
              <w:pStyle w:val="StyleWisnow"/>
              <w:rPr>
                <w:color w:val="000000" w:themeColor="text1"/>
              </w:rPr>
            </w:pPr>
          </w:p>
          <w:p w14:paraId="34B53072" w14:textId="77777777" w:rsidR="00D836EB" w:rsidRPr="00286216" w:rsidRDefault="00D836EB" w:rsidP="00D836EB">
            <w:pPr>
              <w:pStyle w:val="StyleWisnow"/>
              <w:rPr>
                <w:color w:val="000000" w:themeColor="text1"/>
              </w:rPr>
            </w:pPr>
          </w:p>
          <w:p w14:paraId="26104674" w14:textId="77777777" w:rsidR="00D836EB" w:rsidRPr="00286216" w:rsidRDefault="00D836EB" w:rsidP="00D836EB">
            <w:pPr>
              <w:pStyle w:val="StyleWisnow"/>
              <w:rPr>
                <w:color w:val="000000" w:themeColor="text1"/>
              </w:rPr>
            </w:pPr>
          </w:p>
          <w:p w14:paraId="596B9D17" w14:textId="77777777" w:rsidR="00D836EB" w:rsidRPr="00286216" w:rsidRDefault="00D836EB" w:rsidP="00D836EB">
            <w:pPr>
              <w:pStyle w:val="StyleWisnow"/>
              <w:rPr>
                <w:color w:val="000000" w:themeColor="text1"/>
              </w:rPr>
            </w:pPr>
          </w:p>
          <w:p w14:paraId="10766A1A" w14:textId="77777777" w:rsidR="00D836EB" w:rsidRPr="00286216" w:rsidRDefault="00D836EB" w:rsidP="00D836EB">
            <w:pPr>
              <w:pStyle w:val="StyleWisnow"/>
              <w:rPr>
                <w:color w:val="000000" w:themeColor="text1"/>
              </w:rPr>
            </w:pPr>
            <w:r w:rsidRPr="00286216">
              <w:rPr>
                <w:color w:val="000000" w:themeColor="text1"/>
              </w:rPr>
              <w:t>Враховано</w:t>
            </w:r>
          </w:p>
          <w:p w14:paraId="29D12CC1" w14:textId="77777777" w:rsidR="00D836EB" w:rsidRPr="00286216" w:rsidRDefault="00D836EB" w:rsidP="00D836EB">
            <w:pPr>
              <w:pStyle w:val="StyleWisnow"/>
              <w:rPr>
                <w:color w:val="000000" w:themeColor="text1"/>
              </w:rPr>
            </w:pPr>
          </w:p>
        </w:tc>
        <w:tc>
          <w:tcPr>
            <w:tcW w:w="4818" w:type="dxa"/>
          </w:tcPr>
          <w:p w14:paraId="58AEC2A0" w14:textId="229F60DB" w:rsidR="00D836EB" w:rsidRPr="00286216" w:rsidRDefault="00D836EB" w:rsidP="00D836EB">
            <w:pPr>
              <w:pStyle w:val="StyleZakonu"/>
              <w:rPr>
                <w:color w:val="000000" w:themeColor="text1"/>
              </w:rPr>
            </w:pPr>
            <w:r w:rsidRPr="00286216">
              <w:rPr>
                <w:color w:val="000000" w:themeColor="text1"/>
              </w:rPr>
              <w:t xml:space="preserve">Приватне акціонерне товариство </w:t>
            </w:r>
            <w:r w:rsidRPr="00286216">
              <w:rPr>
                <w:color w:val="000000" w:themeColor="text1"/>
                <w:szCs w:val="18"/>
              </w:rPr>
              <w:t>(крім тих, які є підприємствами, що становлять суспільний інтерес)</w:t>
            </w:r>
            <w:r w:rsidRPr="00286216">
              <w:rPr>
                <w:color w:val="000000" w:themeColor="text1"/>
              </w:rPr>
              <w:t xml:space="preserve"> зобов’язане розкривати інформацію відповідно до вимог цієї статті, крім вимог пунктів 6, 7, 9, </w:t>
            </w:r>
            <w:r w:rsidRPr="00286216">
              <w:rPr>
                <w:color w:val="000000" w:themeColor="text1"/>
                <w:szCs w:val="18"/>
              </w:rPr>
              <w:t>13 і 20</w:t>
            </w:r>
            <w:r w:rsidRPr="00286216">
              <w:rPr>
                <w:color w:val="000000" w:themeColor="text1"/>
              </w:rPr>
              <w:t xml:space="preserve"> частини третьої та частини п’ятої цієї статті. Аудиторський звіт для токого підприємства розкривається у разі </w:t>
            </w:r>
            <w:r w:rsidRPr="00286216">
              <w:rPr>
                <w:color w:val="000000" w:themeColor="text1"/>
                <w:szCs w:val="18"/>
              </w:rPr>
              <w:t>проведення аудиту</w:t>
            </w:r>
            <w:r w:rsidRPr="00286216">
              <w:rPr>
                <w:color w:val="000000" w:themeColor="text1"/>
              </w:rPr>
              <w:t>.</w:t>
            </w:r>
          </w:p>
        </w:tc>
      </w:tr>
      <w:tr w:rsidR="00D836EB" w:rsidRPr="00286216" w14:paraId="06FBDB41" w14:textId="77777777" w:rsidTr="00091AA5">
        <w:tc>
          <w:tcPr>
            <w:tcW w:w="576" w:type="dxa"/>
          </w:tcPr>
          <w:p w14:paraId="55C1B278" w14:textId="77777777" w:rsidR="00D836EB" w:rsidRPr="00286216" w:rsidRDefault="00D836EB" w:rsidP="00D836EB">
            <w:pPr>
              <w:pStyle w:val="StyleWisnow"/>
              <w:rPr>
                <w:color w:val="000000" w:themeColor="text1"/>
              </w:rPr>
            </w:pPr>
            <w:bookmarkStart w:id="1887" w:name="n2122" w:colFirst="0" w:colLast="0"/>
            <w:bookmarkEnd w:id="1886"/>
            <w:r w:rsidRPr="00286216">
              <w:rPr>
                <w:color w:val="000000" w:themeColor="text1"/>
              </w:rPr>
              <w:t>2122.</w:t>
            </w:r>
          </w:p>
        </w:tc>
        <w:tc>
          <w:tcPr>
            <w:tcW w:w="4818" w:type="dxa"/>
          </w:tcPr>
          <w:p w14:paraId="02E87732" w14:textId="77777777" w:rsidR="00D836EB" w:rsidRPr="00286216" w:rsidRDefault="00D836EB" w:rsidP="00D836EB">
            <w:pPr>
              <w:pStyle w:val="StyleZakonu"/>
              <w:rPr>
                <w:color w:val="000000" w:themeColor="text1"/>
              </w:rPr>
            </w:pPr>
            <w:r w:rsidRPr="00286216">
              <w:rPr>
                <w:color w:val="000000" w:themeColor="text1"/>
              </w:rPr>
              <w:t xml:space="preserve">Пункт 5 частини третьої цієї статті не застосовується до приватного акціонерного </w:t>
            </w:r>
            <w:r w:rsidRPr="00286216">
              <w:rPr>
                <w:color w:val="000000" w:themeColor="text1"/>
              </w:rPr>
              <w:lastRenderedPageBreak/>
              <w:t>товариства (крім того, яке здійснило публічну пропозицію інших цінних паперів, крім акцій) у частині перевірки суб’єктом аудиторської діяльності річної фінансової звітності.</w:t>
            </w:r>
          </w:p>
        </w:tc>
        <w:tc>
          <w:tcPr>
            <w:tcW w:w="3686" w:type="dxa"/>
          </w:tcPr>
          <w:p w14:paraId="2B316539" w14:textId="272363C0" w:rsidR="00D836EB" w:rsidRPr="00286216" w:rsidRDefault="00D836EB" w:rsidP="00D836EB">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1050E0F" w14:textId="77777777"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w:t>
            </w:r>
          </w:p>
          <w:p w14:paraId="59F91177" w14:textId="77777777" w:rsidR="00D836EB" w:rsidRPr="00286216" w:rsidRDefault="00D836EB" w:rsidP="00D836EB">
            <w:pPr>
              <w:pStyle w:val="StyleProp"/>
              <w:rPr>
                <w:color w:val="000000" w:themeColor="text1"/>
                <w:szCs w:val="18"/>
              </w:rPr>
            </w:pPr>
            <w:r w:rsidRPr="00286216">
              <w:rPr>
                <w:color w:val="000000" w:themeColor="text1"/>
                <w:szCs w:val="18"/>
              </w:rPr>
              <w:lastRenderedPageBreak/>
              <w:t>в частині 8 (новій частині 10):</w:t>
            </w:r>
          </w:p>
          <w:p w14:paraId="431FEF07" w14:textId="77777777" w:rsidR="00D836EB" w:rsidRPr="00286216" w:rsidRDefault="00D836EB" w:rsidP="00D836EB">
            <w:pPr>
              <w:pStyle w:val="StyleProp"/>
              <w:rPr>
                <w:rFonts w:eastAsia="Calibri"/>
                <w:color w:val="000000" w:themeColor="text1"/>
                <w:szCs w:val="18"/>
              </w:rPr>
            </w:pPr>
            <w:r w:rsidRPr="00286216">
              <w:rPr>
                <w:color w:val="000000" w:themeColor="text1"/>
                <w:szCs w:val="18"/>
              </w:rPr>
              <w:t>в абзаці п’ятому після слів «крім акцій» доповнити словами «, та/або товариства, яке є підприємством, що становить суспільний інтерес»</w:t>
            </w:r>
          </w:p>
        </w:tc>
        <w:tc>
          <w:tcPr>
            <w:tcW w:w="1987" w:type="dxa"/>
          </w:tcPr>
          <w:p w14:paraId="3B21AF7E" w14:textId="5544C73F" w:rsidR="00D836EB" w:rsidRPr="00286216" w:rsidRDefault="00D836EB" w:rsidP="00D836EB">
            <w:pPr>
              <w:pStyle w:val="StyleWisnow"/>
              <w:rPr>
                <w:rFonts w:eastAsia="Calibri"/>
                <w:color w:val="000000" w:themeColor="text1"/>
              </w:rPr>
            </w:pPr>
            <w:r w:rsidRPr="00286216">
              <w:rPr>
                <w:rFonts w:eastAsia="Calibri"/>
                <w:color w:val="000000" w:themeColor="text1"/>
              </w:rPr>
              <w:lastRenderedPageBreak/>
              <w:t>Враховано редакційно</w:t>
            </w:r>
          </w:p>
        </w:tc>
        <w:tc>
          <w:tcPr>
            <w:tcW w:w="4818" w:type="dxa"/>
          </w:tcPr>
          <w:p w14:paraId="16564759" w14:textId="3754A50D" w:rsidR="00D836EB" w:rsidRPr="00286216" w:rsidRDefault="00D836EB" w:rsidP="00D836EB">
            <w:pPr>
              <w:pStyle w:val="StyleZakonu"/>
              <w:spacing w:after="0"/>
              <w:rPr>
                <w:color w:val="000000" w:themeColor="text1"/>
              </w:rPr>
            </w:pPr>
            <w:r w:rsidRPr="00286216">
              <w:rPr>
                <w:color w:val="000000" w:themeColor="text1"/>
              </w:rPr>
              <w:t xml:space="preserve">Пункт 5 частини третьої цієї статті не застосовується до приватного акціонерного </w:t>
            </w:r>
            <w:r w:rsidRPr="00286216">
              <w:rPr>
                <w:color w:val="000000" w:themeColor="text1"/>
              </w:rPr>
              <w:lastRenderedPageBreak/>
              <w:t>товариства (крім такого, що здійснило публічну пропозицію інших цінних паперів (крім акцій)</w:t>
            </w:r>
            <w:r w:rsidRPr="00286216">
              <w:rPr>
                <w:color w:val="000000" w:themeColor="text1"/>
                <w:szCs w:val="18"/>
              </w:rPr>
              <w:t xml:space="preserve"> та/або товариства, яке є підприємством, що становить суспільний інтерес</w:t>
            </w:r>
            <w:r w:rsidRPr="00286216">
              <w:rPr>
                <w:color w:val="000000" w:themeColor="text1"/>
              </w:rPr>
              <w:t>) у частині перевірки суб’єктом аудиторської діяльності річної фінансової звітності.</w:t>
            </w:r>
          </w:p>
        </w:tc>
      </w:tr>
      <w:bookmarkEnd w:id="1887"/>
      <w:tr w:rsidR="00D836EB" w:rsidRPr="00286216" w14:paraId="0D72C56D" w14:textId="77777777" w:rsidTr="00091AA5">
        <w:tc>
          <w:tcPr>
            <w:tcW w:w="576" w:type="dxa"/>
          </w:tcPr>
          <w:p w14:paraId="07170FC1" w14:textId="77777777" w:rsidR="00D836EB" w:rsidRPr="00286216" w:rsidRDefault="00D836EB" w:rsidP="00D836EB">
            <w:pPr>
              <w:pStyle w:val="StyleWisnow"/>
              <w:rPr>
                <w:color w:val="000000" w:themeColor="text1"/>
              </w:rPr>
            </w:pPr>
          </w:p>
        </w:tc>
        <w:tc>
          <w:tcPr>
            <w:tcW w:w="4818" w:type="dxa"/>
          </w:tcPr>
          <w:p w14:paraId="1AC40900" w14:textId="77777777" w:rsidR="00D836EB" w:rsidRPr="00286216" w:rsidRDefault="00D836EB" w:rsidP="00D836EB">
            <w:pPr>
              <w:pStyle w:val="StyleZakonu"/>
              <w:rPr>
                <w:color w:val="000000" w:themeColor="text1"/>
              </w:rPr>
            </w:pPr>
          </w:p>
        </w:tc>
        <w:tc>
          <w:tcPr>
            <w:tcW w:w="3686" w:type="dxa"/>
          </w:tcPr>
          <w:p w14:paraId="3FE9A70F" w14:textId="4A1099B2" w:rsidR="00D836EB" w:rsidRPr="00286216" w:rsidRDefault="00D836EB" w:rsidP="00D836E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1048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AD476AB" w14:textId="534B2DB4" w:rsidR="00D836EB" w:rsidRPr="00286216" w:rsidRDefault="00D836EB" w:rsidP="00D836EB">
            <w:pPr>
              <w:pStyle w:val="StyleProp"/>
              <w:spacing w:line="180" w:lineRule="exact"/>
              <w:rPr>
                <w:rFonts w:eastAsia="Calibri"/>
                <w:color w:val="000000" w:themeColor="text1"/>
                <w:szCs w:val="18"/>
              </w:rPr>
            </w:pPr>
            <w:r w:rsidRPr="00286216">
              <w:rPr>
                <w:color w:val="000000" w:themeColor="text1"/>
              </w:rPr>
              <w:t>в абзаці п’ятому частини 8 статті 122 слово «банк»  замінити словами «товариство, яке є підприємством, що становить суспільний інтерес, та є емітентом»</w:t>
            </w:r>
          </w:p>
        </w:tc>
        <w:tc>
          <w:tcPr>
            <w:tcW w:w="1987" w:type="dxa"/>
          </w:tcPr>
          <w:p w14:paraId="53D96D9D" w14:textId="7BB23A2B" w:rsidR="00D836EB" w:rsidRPr="00286216" w:rsidRDefault="00D836EB" w:rsidP="00D836EB">
            <w:pPr>
              <w:pStyle w:val="StyleWisnow"/>
              <w:rPr>
                <w:rFonts w:eastAsia="Calibri"/>
                <w:color w:val="000000" w:themeColor="text1"/>
              </w:rPr>
            </w:pPr>
            <w:r w:rsidRPr="00286216">
              <w:rPr>
                <w:rFonts w:eastAsia="Calibri"/>
                <w:color w:val="000000" w:themeColor="text1"/>
              </w:rPr>
              <w:t>Враховано редакційно</w:t>
            </w:r>
          </w:p>
        </w:tc>
        <w:tc>
          <w:tcPr>
            <w:tcW w:w="4818" w:type="dxa"/>
          </w:tcPr>
          <w:p w14:paraId="574F04AA" w14:textId="77777777" w:rsidR="00D836EB" w:rsidRPr="00286216" w:rsidRDefault="00D836EB" w:rsidP="00D836EB">
            <w:pPr>
              <w:pStyle w:val="StyleZakonu"/>
              <w:rPr>
                <w:color w:val="000000" w:themeColor="text1"/>
              </w:rPr>
            </w:pPr>
          </w:p>
        </w:tc>
      </w:tr>
      <w:tr w:rsidR="00D836EB" w:rsidRPr="00286216" w14:paraId="05FD5178" w14:textId="77777777" w:rsidTr="00091AA5">
        <w:tc>
          <w:tcPr>
            <w:tcW w:w="576" w:type="dxa"/>
          </w:tcPr>
          <w:p w14:paraId="070CAE02" w14:textId="77777777" w:rsidR="00D836EB" w:rsidRPr="00286216" w:rsidRDefault="00D836EB" w:rsidP="00D836EB">
            <w:pPr>
              <w:pStyle w:val="StyleWisnow"/>
              <w:rPr>
                <w:color w:val="000000" w:themeColor="text1"/>
              </w:rPr>
            </w:pPr>
            <w:bookmarkStart w:id="1888" w:name="n2123" w:colFirst="0" w:colLast="0"/>
            <w:r w:rsidRPr="00286216">
              <w:rPr>
                <w:color w:val="000000" w:themeColor="text1"/>
              </w:rPr>
              <w:t>2123.</w:t>
            </w:r>
          </w:p>
        </w:tc>
        <w:tc>
          <w:tcPr>
            <w:tcW w:w="4818" w:type="dxa"/>
          </w:tcPr>
          <w:p w14:paraId="0C7C3A2D" w14:textId="77777777" w:rsidR="00D836EB" w:rsidRPr="00286216" w:rsidRDefault="00D836EB" w:rsidP="00D836EB">
            <w:pPr>
              <w:pStyle w:val="StyleZakonu"/>
              <w:rPr>
                <w:color w:val="000000" w:themeColor="text1"/>
              </w:rPr>
            </w:pPr>
            <w:r w:rsidRPr="00286216">
              <w:rPr>
                <w:color w:val="000000" w:themeColor="text1"/>
              </w:rPr>
              <w:t>Емітент, який не є акціонерним товариством, та який не здійснював публічну пропозицію інших цінних паперів, крім акцій, та цінні папери якого не допущені до торгів на регульованому фондовому ринку, зобов’язаний розкривати інформацію відповідно до вимог цієї статті за винятком вимог пунктів 6-20 частини третьої та частини п’ятої цієї статті.</w:t>
            </w:r>
          </w:p>
        </w:tc>
        <w:tc>
          <w:tcPr>
            <w:tcW w:w="3686" w:type="dxa"/>
          </w:tcPr>
          <w:p w14:paraId="14D093B6" w14:textId="67E98F2E"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1049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CAC2D30" w14:textId="4448B83B" w:rsidR="00D836EB" w:rsidRPr="00286216" w:rsidRDefault="00D836EB" w:rsidP="00D836EB">
            <w:pPr>
              <w:pStyle w:val="StyleProp"/>
              <w:rPr>
                <w:color w:val="000000" w:themeColor="text1"/>
                <w:szCs w:val="18"/>
              </w:rPr>
            </w:pPr>
            <w:r w:rsidRPr="00286216">
              <w:rPr>
                <w:color w:val="000000" w:themeColor="text1"/>
                <w:szCs w:val="18"/>
              </w:rPr>
              <w:t>У статті 122 нової редакції Закону в частині 8 (новій частині 10) в абзаці шостому цифру «20» замінити цифрою «21».</w:t>
            </w:r>
          </w:p>
          <w:p w14:paraId="644E5B95" w14:textId="77777777" w:rsidR="00D836EB" w:rsidRPr="00286216" w:rsidRDefault="00D836EB" w:rsidP="00D836EB">
            <w:pPr>
              <w:pStyle w:val="StyleProp"/>
              <w:rPr>
                <w:color w:val="000000" w:themeColor="text1"/>
                <w:szCs w:val="18"/>
              </w:rPr>
            </w:pPr>
          </w:p>
        </w:tc>
        <w:tc>
          <w:tcPr>
            <w:tcW w:w="1987" w:type="dxa"/>
          </w:tcPr>
          <w:p w14:paraId="2D1C5878" w14:textId="061BE53B"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337AB84E" w14:textId="2BEBB0AB" w:rsidR="00D836EB" w:rsidRPr="00286216" w:rsidRDefault="00D836EB" w:rsidP="00D836EB">
            <w:pPr>
              <w:pStyle w:val="StyleZakonu"/>
              <w:rPr>
                <w:color w:val="000000" w:themeColor="text1"/>
              </w:rPr>
            </w:pPr>
            <w:r w:rsidRPr="00286216">
              <w:rPr>
                <w:color w:val="000000" w:themeColor="text1"/>
              </w:rPr>
              <w:t xml:space="preserve">Емітент, який не є акціонерним товариством та який не здійснював публічну пропозицію інших цінних паперів (крім акцій), цінні папери якого не допущені до торгів на регульованому фондовому ринку, зобов’язаний розкривати інформацію відповідно до вимог цієї статті, крім вимог пунктів 6 – </w:t>
            </w:r>
            <w:r w:rsidRPr="00286216">
              <w:rPr>
                <w:color w:val="000000" w:themeColor="text1"/>
                <w:szCs w:val="18"/>
              </w:rPr>
              <w:t xml:space="preserve">21 </w:t>
            </w:r>
            <w:r w:rsidRPr="00286216">
              <w:rPr>
                <w:color w:val="000000" w:themeColor="text1"/>
              </w:rPr>
              <w:t>частини третьої та частини п’ятої цієї статті.</w:t>
            </w:r>
          </w:p>
        </w:tc>
      </w:tr>
      <w:tr w:rsidR="00D836EB" w:rsidRPr="00286216" w14:paraId="47A3CC32" w14:textId="77777777" w:rsidTr="00091AA5">
        <w:tc>
          <w:tcPr>
            <w:tcW w:w="576" w:type="dxa"/>
          </w:tcPr>
          <w:p w14:paraId="622B26DB" w14:textId="77777777" w:rsidR="00D836EB" w:rsidRPr="00286216" w:rsidRDefault="00D836EB" w:rsidP="00D836EB">
            <w:pPr>
              <w:pStyle w:val="StyleWisnow"/>
              <w:rPr>
                <w:color w:val="000000" w:themeColor="text1"/>
              </w:rPr>
            </w:pPr>
            <w:bookmarkStart w:id="1889" w:name="n2124" w:colFirst="0" w:colLast="0"/>
            <w:bookmarkEnd w:id="1888"/>
            <w:r w:rsidRPr="00286216">
              <w:rPr>
                <w:color w:val="000000" w:themeColor="text1"/>
              </w:rPr>
              <w:t>2124.</w:t>
            </w:r>
          </w:p>
        </w:tc>
        <w:tc>
          <w:tcPr>
            <w:tcW w:w="4818" w:type="dxa"/>
          </w:tcPr>
          <w:p w14:paraId="2C7E9D97" w14:textId="77777777" w:rsidR="00D836EB" w:rsidRPr="00286216" w:rsidRDefault="00D836EB" w:rsidP="00D836EB">
            <w:pPr>
              <w:pStyle w:val="StyleZakonu"/>
              <w:rPr>
                <w:color w:val="000000" w:themeColor="text1"/>
              </w:rPr>
            </w:pPr>
            <w:r w:rsidRPr="00286216">
              <w:rPr>
                <w:color w:val="000000" w:themeColor="text1"/>
              </w:rPr>
              <w:t>Вимоги цієї статті не застосовуються до емітентів таких видів цінних паперів:</w:t>
            </w:r>
          </w:p>
        </w:tc>
        <w:tc>
          <w:tcPr>
            <w:tcW w:w="3686" w:type="dxa"/>
          </w:tcPr>
          <w:p w14:paraId="10707144" w14:textId="77777777" w:rsidR="00D836EB" w:rsidRPr="00286216" w:rsidRDefault="00D836EB" w:rsidP="00D836EB">
            <w:pPr>
              <w:pStyle w:val="StyleProp"/>
              <w:rPr>
                <w:color w:val="000000" w:themeColor="text1"/>
                <w:szCs w:val="18"/>
              </w:rPr>
            </w:pPr>
          </w:p>
        </w:tc>
        <w:tc>
          <w:tcPr>
            <w:tcW w:w="1987" w:type="dxa"/>
          </w:tcPr>
          <w:p w14:paraId="44B5F526" w14:textId="77777777" w:rsidR="00D836EB" w:rsidRPr="00286216" w:rsidRDefault="00D836EB" w:rsidP="00D836EB">
            <w:pPr>
              <w:pStyle w:val="StyleWisnow"/>
              <w:rPr>
                <w:color w:val="000000" w:themeColor="text1"/>
              </w:rPr>
            </w:pPr>
          </w:p>
        </w:tc>
        <w:tc>
          <w:tcPr>
            <w:tcW w:w="4818" w:type="dxa"/>
          </w:tcPr>
          <w:p w14:paraId="138A9C88" w14:textId="77955CC6" w:rsidR="00D836EB" w:rsidRPr="00286216" w:rsidRDefault="00D836EB" w:rsidP="00D836EB">
            <w:pPr>
              <w:pStyle w:val="StyleZakonu"/>
              <w:rPr>
                <w:color w:val="000000" w:themeColor="text1"/>
              </w:rPr>
            </w:pPr>
            <w:r w:rsidRPr="00286216">
              <w:rPr>
                <w:color w:val="000000" w:themeColor="text1"/>
              </w:rPr>
              <w:t>Вимоги цієї статті не застосовуються до емітентів таких видів цінних паперів:</w:t>
            </w:r>
          </w:p>
        </w:tc>
      </w:tr>
      <w:tr w:rsidR="00D836EB" w:rsidRPr="00286216" w14:paraId="1E2FD5A4" w14:textId="77777777" w:rsidTr="00091AA5">
        <w:tc>
          <w:tcPr>
            <w:tcW w:w="576" w:type="dxa"/>
          </w:tcPr>
          <w:p w14:paraId="71DD7C3E" w14:textId="77777777" w:rsidR="00D836EB" w:rsidRPr="00286216" w:rsidRDefault="00D836EB" w:rsidP="00D836EB">
            <w:pPr>
              <w:pStyle w:val="StyleWisnow"/>
              <w:rPr>
                <w:color w:val="000000" w:themeColor="text1"/>
              </w:rPr>
            </w:pPr>
            <w:bookmarkStart w:id="1890" w:name="n2125" w:colFirst="0" w:colLast="0"/>
            <w:bookmarkEnd w:id="1889"/>
            <w:r w:rsidRPr="00286216">
              <w:rPr>
                <w:color w:val="000000" w:themeColor="text1"/>
              </w:rPr>
              <w:t>2125.</w:t>
            </w:r>
          </w:p>
        </w:tc>
        <w:tc>
          <w:tcPr>
            <w:tcW w:w="4818" w:type="dxa"/>
          </w:tcPr>
          <w:p w14:paraId="58F44DCF" w14:textId="77777777" w:rsidR="00D836EB" w:rsidRPr="00286216" w:rsidRDefault="00D836EB" w:rsidP="00D836EB">
            <w:pPr>
              <w:pStyle w:val="StyleZakonu"/>
              <w:rPr>
                <w:color w:val="000000" w:themeColor="text1"/>
              </w:rPr>
            </w:pPr>
            <w:r w:rsidRPr="00286216">
              <w:rPr>
                <w:color w:val="000000" w:themeColor="text1"/>
              </w:rPr>
              <w:t>1) державні облігації України;</w:t>
            </w:r>
          </w:p>
        </w:tc>
        <w:tc>
          <w:tcPr>
            <w:tcW w:w="3686" w:type="dxa"/>
          </w:tcPr>
          <w:p w14:paraId="2F59DEA2" w14:textId="77777777" w:rsidR="00D836EB" w:rsidRPr="00286216" w:rsidRDefault="00D836EB" w:rsidP="00D836EB">
            <w:pPr>
              <w:pStyle w:val="StyleProp"/>
              <w:rPr>
                <w:rFonts w:eastAsia="Calibri"/>
                <w:color w:val="000000" w:themeColor="text1"/>
                <w:szCs w:val="18"/>
              </w:rPr>
            </w:pPr>
          </w:p>
        </w:tc>
        <w:tc>
          <w:tcPr>
            <w:tcW w:w="1987" w:type="dxa"/>
          </w:tcPr>
          <w:p w14:paraId="25BEBDED" w14:textId="77777777" w:rsidR="00D836EB" w:rsidRPr="00286216" w:rsidRDefault="00D836EB" w:rsidP="00D836EB">
            <w:pPr>
              <w:pStyle w:val="StyleWisnow"/>
              <w:spacing w:line="180" w:lineRule="exact"/>
              <w:rPr>
                <w:rFonts w:eastAsia="Calibri"/>
                <w:color w:val="000000" w:themeColor="text1"/>
              </w:rPr>
            </w:pPr>
          </w:p>
        </w:tc>
        <w:tc>
          <w:tcPr>
            <w:tcW w:w="4818" w:type="dxa"/>
          </w:tcPr>
          <w:p w14:paraId="2188F51B" w14:textId="1B4BCDB0" w:rsidR="00D836EB" w:rsidRPr="00286216" w:rsidRDefault="00D836EB" w:rsidP="00D836EB">
            <w:pPr>
              <w:pStyle w:val="StyleZakonu"/>
              <w:rPr>
                <w:color w:val="000000" w:themeColor="text1"/>
              </w:rPr>
            </w:pPr>
            <w:r w:rsidRPr="00286216">
              <w:rPr>
                <w:color w:val="000000" w:themeColor="text1"/>
              </w:rPr>
              <w:t>1) державні облігації України;</w:t>
            </w:r>
          </w:p>
        </w:tc>
      </w:tr>
      <w:tr w:rsidR="00D836EB" w:rsidRPr="00286216" w14:paraId="71057548" w14:textId="77777777" w:rsidTr="00091AA5">
        <w:tc>
          <w:tcPr>
            <w:tcW w:w="576" w:type="dxa"/>
          </w:tcPr>
          <w:p w14:paraId="2C23BD56" w14:textId="77777777" w:rsidR="00D836EB" w:rsidRPr="00286216" w:rsidRDefault="00D836EB" w:rsidP="00D836EB">
            <w:pPr>
              <w:pStyle w:val="StyleWisnow"/>
              <w:rPr>
                <w:color w:val="000000" w:themeColor="text1"/>
              </w:rPr>
            </w:pPr>
            <w:bookmarkStart w:id="1891" w:name="n2126" w:colFirst="0" w:colLast="0"/>
            <w:bookmarkEnd w:id="1890"/>
            <w:r w:rsidRPr="00286216">
              <w:rPr>
                <w:color w:val="000000" w:themeColor="text1"/>
              </w:rPr>
              <w:t>2126.</w:t>
            </w:r>
          </w:p>
        </w:tc>
        <w:tc>
          <w:tcPr>
            <w:tcW w:w="4818" w:type="dxa"/>
          </w:tcPr>
          <w:p w14:paraId="72234E07" w14:textId="77777777" w:rsidR="00D836EB" w:rsidRPr="00286216" w:rsidRDefault="00D836EB" w:rsidP="00D836EB">
            <w:pPr>
              <w:pStyle w:val="StyleZakonu"/>
              <w:rPr>
                <w:color w:val="000000" w:themeColor="text1"/>
              </w:rPr>
            </w:pPr>
            <w:r w:rsidRPr="00286216">
              <w:rPr>
                <w:color w:val="000000" w:themeColor="text1"/>
              </w:rPr>
              <w:t>2) казначейські зобов’язання;</w:t>
            </w:r>
          </w:p>
        </w:tc>
        <w:tc>
          <w:tcPr>
            <w:tcW w:w="3686" w:type="dxa"/>
          </w:tcPr>
          <w:p w14:paraId="4F754ED0" w14:textId="77777777" w:rsidR="00D836EB" w:rsidRPr="00286216" w:rsidRDefault="00D836EB" w:rsidP="00D836EB">
            <w:pPr>
              <w:pStyle w:val="StyleProp"/>
              <w:rPr>
                <w:color w:val="000000" w:themeColor="text1"/>
                <w:szCs w:val="18"/>
              </w:rPr>
            </w:pPr>
          </w:p>
        </w:tc>
        <w:tc>
          <w:tcPr>
            <w:tcW w:w="1987" w:type="dxa"/>
          </w:tcPr>
          <w:p w14:paraId="625D6D88" w14:textId="77777777" w:rsidR="00D836EB" w:rsidRPr="00286216" w:rsidRDefault="00D836EB" w:rsidP="00D836EB">
            <w:pPr>
              <w:pStyle w:val="StyleWisnow"/>
              <w:rPr>
                <w:color w:val="000000" w:themeColor="text1"/>
              </w:rPr>
            </w:pPr>
          </w:p>
        </w:tc>
        <w:tc>
          <w:tcPr>
            <w:tcW w:w="4818" w:type="dxa"/>
          </w:tcPr>
          <w:p w14:paraId="353FF0CB" w14:textId="1C7C3600" w:rsidR="00D836EB" w:rsidRPr="00286216" w:rsidRDefault="00D836EB" w:rsidP="00D836EB">
            <w:pPr>
              <w:pStyle w:val="StyleZakonu"/>
              <w:rPr>
                <w:color w:val="000000" w:themeColor="text1"/>
              </w:rPr>
            </w:pPr>
            <w:r w:rsidRPr="00286216">
              <w:rPr>
                <w:color w:val="000000" w:themeColor="text1"/>
              </w:rPr>
              <w:t>2) казначейські зобов’язання;</w:t>
            </w:r>
          </w:p>
        </w:tc>
      </w:tr>
      <w:tr w:rsidR="00D836EB" w:rsidRPr="00286216" w14:paraId="680E6237" w14:textId="77777777" w:rsidTr="00091AA5">
        <w:tc>
          <w:tcPr>
            <w:tcW w:w="576" w:type="dxa"/>
          </w:tcPr>
          <w:p w14:paraId="79714DAE" w14:textId="77777777" w:rsidR="00D836EB" w:rsidRPr="00286216" w:rsidRDefault="00D836EB" w:rsidP="00D836EB">
            <w:pPr>
              <w:pStyle w:val="StyleWisnow"/>
              <w:rPr>
                <w:color w:val="000000" w:themeColor="text1"/>
              </w:rPr>
            </w:pPr>
            <w:bookmarkStart w:id="1892" w:name="n2127" w:colFirst="0" w:colLast="0"/>
            <w:bookmarkEnd w:id="1891"/>
            <w:r w:rsidRPr="00286216">
              <w:rPr>
                <w:color w:val="000000" w:themeColor="text1"/>
              </w:rPr>
              <w:t>2127.</w:t>
            </w:r>
          </w:p>
        </w:tc>
        <w:tc>
          <w:tcPr>
            <w:tcW w:w="4818" w:type="dxa"/>
          </w:tcPr>
          <w:p w14:paraId="0ABDF63D" w14:textId="77777777" w:rsidR="00D836EB" w:rsidRPr="00286216" w:rsidRDefault="00D836EB" w:rsidP="00D836EB">
            <w:pPr>
              <w:pStyle w:val="StyleZakonu"/>
              <w:rPr>
                <w:color w:val="000000" w:themeColor="text1"/>
              </w:rPr>
            </w:pPr>
            <w:r w:rsidRPr="00286216">
              <w:rPr>
                <w:color w:val="000000" w:themeColor="text1"/>
              </w:rPr>
              <w:t>3) облігації Фонду гарантування вкладів фізичних осіб;</w:t>
            </w:r>
          </w:p>
        </w:tc>
        <w:tc>
          <w:tcPr>
            <w:tcW w:w="3686" w:type="dxa"/>
          </w:tcPr>
          <w:p w14:paraId="349C3689" w14:textId="77777777" w:rsidR="00D836EB" w:rsidRPr="00286216" w:rsidRDefault="00D836EB" w:rsidP="00D836EB">
            <w:pPr>
              <w:pStyle w:val="StyleProp"/>
              <w:rPr>
                <w:color w:val="000000" w:themeColor="text1"/>
                <w:szCs w:val="18"/>
              </w:rPr>
            </w:pPr>
          </w:p>
        </w:tc>
        <w:tc>
          <w:tcPr>
            <w:tcW w:w="1987" w:type="dxa"/>
          </w:tcPr>
          <w:p w14:paraId="67E4FE55" w14:textId="77777777" w:rsidR="00D836EB" w:rsidRPr="00286216" w:rsidRDefault="00D836EB" w:rsidP="00D836EB">
            <w:pPr>
              <w:pStyle w:val="StyleWisnow"/>
              <w:rPr>
                <w:color w:val="000000" w:themeColor="text1"/>
              </w:rPr>
            </w:pPr>
          </w:p>
        </w:tc>
        <w:tc>
          <w:tcPr>
            <w:tcW w:w="4818" w:type="dxa"/>
          </w:tcPr>
          <w:p w14:paraId="56FDF78B" w14:textId="316CB08C" w:rsidR="00D836EB" w:rsidRPr="00286216" w:rsidRDefault="00D836EB" w:rsidP="00D836EB">
            <w:pPr>
              <w:pStyle w:val="StyleZakonu"/>
              <w:rPr>
                <w:color w:val="000000" w:themeColor="text1"/>
              </w:rPr>
            </w:pPr>
            <w:r w:rsidRPr="00286216">
              <w:rPr>
                <w:color w:val="000000" w:themeColor="text1"/>
              </w:rPr>
              <w:t>3) облігації Фонду гарантування вкладів фізичних осіб;</w:t>
            </w:r>
          </w:p>
        </w:tc>
      </w:tr>
      <w:tr w:rsidR="00D836EB" w:rsidRPr="00286216" w14:paraId="1FCBE2F9" w14:textId="77777777" w:rsidTr="00091AA5">
        <w:tc>
          <w:tcPr>
            <w:tcW w:w="576" w:type="dxa"/>
          </w:tcPr>
          <w:p w14:paraId="0ADAC634" w14:textId="77777777" w:rsidR="00D836EB" w:rsidRPr="00286216" w:rsidRDefault="00D836EB" w:rsidP="00D836EB">
            <w:pPr>
              <w:pStyle w:val="StyleWisnow"/>
              <w:rPr>
                <w:color w:val="000000" w:themeColor="text1"/>
              </w:rPr>
            </w:pPr>
            <w:bookmarkStart w:id="1893" w:name="n2128" w:colFirst="0" w:colLast="0"/>
            <w:bookmarkEnd w:id="1892"/>
            <w:r w:rsidRPr="00286216">
              <w:rPr>
                <w:color w:val="000000" w:themeColor="text1"/>
              </w:rPr>
              <w:t>2128.</w:t>
            </w:r>
          </w:p>
        </w:tc>
        <w:tc>
          <w:tcPr>
            <w:tcW w:w="4818" w:type="dxa"/>
          </w:tcPr>
          <w:p w14:paraId="05F273CA" w14:textId="77777777" w:rsidR="00D836EB" w:rsidRPr="00286216" w:rsidRDefault="00D836EB" w:rsidP="00D836EB">
            <w:pPr>
              <w:pStyle w:val="StyleZakonu"/>
              <w:rPr>
                <w:color w:val="000000" w:themeColor="text1"/>
              </w:rPr>
            </w:pPr>
            <w:r w:rsidRPr="00286216">
              <w:rPr>
                <w:color w:val="000000" w:themeColor="text1"/>
              </w:rPr>
              <w:t>4) облігації місцевих позик.</w:t>
            </w:r>
          </w:p>
        </w:tc>
        <w:tc>
          <w:tcPr>
            <w:tcW w:w="3686" w:type="dxa"/>
          </w:tcPr>
          <w:p w14:paraId="4150B704" w14:textId="77777777" w:rsidR="00D836EB" w:rsidRPr="00286216" w:rsidRDefault="00D836EB" w:rsidP="00D836EB">
            <w:pPr>
              <w:pStyle w:val="StyleProp"/>
              <w:rPr>
                <w:color w:val="000000" w:themeColor="text1"/>
                <w:szCs w:val="18"/>
              </w:rPr>
            </w:pPr>
          </w:p>
        </w:tc>
        <w:tc>
          <w:tcPr>
            <w:tcW w:w="1987" w:type="dxa"/>
          </w:tcPr>
          <w:p w14:paraId="5089FBDA" w14:textId="77777777" w:rsidR="00D836EB" w:rsidRPr="00286216" w:rsidRDefault="00D836EB" w:rsidP="00D836EB">
            <w:pPr>
              <w:pStyle w:val="StyleWisnow"/>
              <w:rPr>
                <w:color w:val="000000" w:themeColor="text1"/>
              </w:rPr>
            </w:pPr>
          </w:p>
        </w:tc>
        <w:tc>
          <w:tcPr>
            <w:tcW w:w="4818" w:type="dxa"/>
          </w:tcPr>
          <w:p w14:paraId="588FCD82" w14:textId="56D40859" w:rsidR="00D836EB" w:rsidRPr="00286216" w:rsidRDefault="00D836EB" w:rsidP="00D836EB">
            <w:pPr>
              <w:pStyle w:val="StyleZakonu"/>
              <w:rPr>
                <w:color w:val="000000" w:themeColor="text1"/>
              </w:rPr>
            </w:pPr>
            <w:r w:rsidRPr="00286216">
              <w:rPr>
                <w:color w:val="000000" w:themeColor="text1"/>
              </w:rPr>
              <w:t>4) облігації місцевих позик.</w:t>
            </w:r>
          </w:p>
        </w:tc>
      </w:tr>
      <w:tr w:rsidR="00D836EB" w:rsidRPr="00286216" w14:paraId="1C9A6300" w14:textId="77777777" w:rsidTr="00091AA5">
        <w:tc>
          <w:tcPr>
            <w:tcW w:w="576" w:type="dxa"/>
          </w:tcPr>
          <w:p w14:paraId="6BCF2FC3" w14:textId="77777777" w:rsidR="00D836EB" w:rsidRPr="00286216" w:rsidRDefault="00D836EB" w:rsidP="00D836EB">
            <w:pPr>
              <w:pStyle w:val="StyleWisnow"/>
              <w:rPr>
                <w:color w:val="000000" w:themeColor="text1"/>
              </w:rPr>
            </w:pPr>
            <w:bookmarkStart w:id="1894" w:name="n2129" w:colFirst="0" w:colLast="0"/>
            <w:bookmarkEnd w:id="1893"/>
            <w:r w:rsidRPr="00286216">
              <w:rPr>
                <w:color w:val="000000" w:themeColor="text1"/>
              </w:rPr>
              <w:t>2129.</w:t>
            </w:r>
          </w:p>
        </w:tc>
        <w:tc>
          <w:tcPr>
            <w:tcW w:w="4818" w:type="dxa"/>
          </w:tcPr>
          <w:p w14:paraId="06684CB8" w14:textId="77777777" w:rsidR="00D836EB" w:rsidRPr="00286216" w:rsidRDefault="00D836EB" w:rsidP="00D836EB">
            <w:pPr>
              <w:pStyle w:val="StyleZakonu"/>
              <w:rPr>
                <w:color w:val="000000" w:themeColor="text1"/>
              </w:rPr>
            </w:pPr>
            <w:r w:rsidRPr="00286216">
              <w:rPr>
                <w:color w:val="000000" w:themeColor="text1"/>
              </w:rPr>
              <w:t>Особливості подання та оприлюднення регулярної інформації інститутами спільного інвестування встановлюються законодавством.</w:t>
            </w:r>
          </w:p>
        </w:tc>
        <w:tc>
          <w:tcPr>
            <w:tcW w:w="3686" w:type="dxa"/>
          </w:tcPr>
          <w:p w14:paraId="6A53F280" w14:textId="77777777" w:rsidR="00D836EB" w:rsidRPr="00286216" w:rsidRDefault="00D836EB" w:rsidP="00D836EB">
            <w:pPr>
              <w:pStyle w:val="StyleProp"/>
              <w:rPr>
                <w:color w:val="000000" w:themeColor="text1"/>
                <w:szCs w:val="18"/>
              </w:rPr>
            </w:pPr>
          </w:p>
        </w:tc>
        <w:tc>
          <w:tcPr>
            <w:tcW w:w="1987" w:type="dxa"/>
          </w:tcPr>
          <w:p w14:paraId="318B1987" w14:textId="77777777" w:rsidR="00D836EB" w:rsidRPr="00286216" w:rsidRDefault="00D836EB" w:rsidP="00D836EB">
            <w:pPr>
              <w:pStyle w:val="StyleWisnow"/>
              <w:rPr>
                <w:color w:val="000000" w:themeColor="text1"/>
              </w:rPr>
            </w:pPr>
          </w:p>
        </w:tc>
        <w:tc>
          <w:tcPr>
            <w:tcW w:w="4818" w:type="dxa"/>
          </w:tcPr>
          <w:p w14:paraId="405F21A4" w14:textId="05050291" w:rsidR="00D836EB" w:rsidRPr="00286216" w:rsidRDefault="00D836EB" w:rsidP="00D836EB">
            <w:pPr>
              <w:pStyle w:val="StyleZakonu"/>
              <w:rPr>
                <w:color w:val="000000" w:themeColor="text1"/>
              </w:rPr>
            </w:pPr>
            <w:r w:rsidRPr="00286216">
              <w:rPr>
                <w:color w:val="000000" w:themeColor="text1"/>
              </w:rPr>
              <w:t>Особливості подання та оприлюднення регулярної інформації інститутами спільного інвестування встановлюються законодавством.</w:t>
            </w:r>
          </w:p>
        </w:tc>
      </w:tr>
      <w:tr w:rsidR="00D836EB" w:rsidRPr="00286216" w14:paraId="61EF0D67" w14:textId="77777777" w:rsidTr="00091AA5">
        <w:tc>
          <w:tcPr>
            <w:tcW w:w="576" w:type="dxa"/>
          </w:tcPr>
          <w:p w14:paraId="69D4C958" w14:textId="77777777" w:rsidR="00D836EB" w:rsidRPr="00286216" w:rsidRDefault="00D836EB" w:rsidP="00D836EB">
            <w:pPr>
              <w:pStyle w:val="StyleWisnow"/>
              <w:rPr>
                <w:color w:val="000000" w:themeColor="text1"/>
              </w:rPr>
            </w:pPr>
            <w:bookmarkStart w:id="1895" w:name="n2130" w:colFirst="0" w:colLast="0"/>
            <w:bookmarkEnd w:id="1894"/>
            <w:r w:rsidRPr="00286216">
              <w:rPr>
                <w:color w:val="000000" w:themeColor="text1"/>
              </w:rPr>
              <w:t>2130.</w:t>
            </w:r>
          </w:p>
        </w:tc>
        <w:tc>
          <w:tcPr>
            <w:tcW w:w="4818" w:type="dxa"/>
          </w:tcPr>
          <w:p w14:paraId="233D26B6" w14:textId="77777777" w:rsidR="00D836EB" w:rsidRPr="00286216" w:rsidRDefault="00D836EB" w:rsidP="00D836EB">
            <w:pPr>
              <w:pStyle w:val="StyleZakonu"/>
              <w:rPr>
                <w:color w:val="000000" w:themeColor="text1"/>
              </w:rPr>
            </w:pPr>
            <w:r w:rsidRPr="00286216">
              <w:rPr>
                <w:color w:val="000000" w:themeColor="text1"/>
              </w:rPr>
              <w:t>9. Відповідальність за повноту розкриття інформації, передбаченої цією статтею, несе емітент та/або особа, що здійснює управлінські функції в ньому.</w:t>
            </w:r>
          </w:p>
        </w:tc>
        <w:tc>
          <w:tcPr>
            <w:tcW w:w="3686" w:type="dxa"/>
          </w:tcPr>
          <w:p w14:paraId="7C02E39D" w14:textId="77777777" w:rsidR="00D836EB" w:rsidRPr="00286216" w:rsidRDefault="00D836EB" w:rsidP="00D836EB">
            <w:pPr>
              <w:pStyle w:val="StyleProp"/>
              <w:rPr>
                <w:color w:val="000000" w:themeColor="text1"/>
                <w:szCs w:val="18"/>
              </w:rPr>
            </w:pPr>
          </w:p>
        </w:tc>
        <w:tc>
          <w:tcPr>
            <w:tcW w:w="1987" w:type="dxa"/>
          </w:tcPr>
          <w:p w14:paraId="15E2F387" w14:textId="77777777" w:rsidR="00D836EB" w:rsidRPr="00286216" w:rsidRDefault="00D836EB" w:rsidP="00D836EB">
            <w:pPr>
              <w:pStyle w:val="StyleWisnow"/>
              <w:rPr>
                <w:color w:val="000000" w:themeColor="text1"/>
              </w:rPr>
            </w:pPr>
          </w:p>
        </w:tc>
        <w:tc>
          <w:tcPr>
            <w:tcW w:w="4818" w:type="dxa"/>
          </w:tcPr>
          <w:p w14:paraId="3EA52E53" w14:textId="32D2E30B" w:rsidR="00D836EB" w:rsidRPr="00286216" w:rsidRDefault="00D836EB" w:rsidP="00D836EB">
            <w:pPr>
              <w:pStyle w:val="StyleZakonu"/>
              <w:rPr>
                <w:color w:val="000000" w:themeColor="text1"/>
              </w:rPr>
            </w:pPr>
            <w:r w:rsidRPr="00286216">
              <w:rPr>
                <w:color w:val="000000" w:themeColor="text1"/>
              </w:rPr>
              <w:t>9. Відповідальність за повноту розкриття інформації, передбаченої цією статтею, несе емітент та/або особа, яка здійснює управлінські функції в ньому.</w:t>
            </w:r>
          </w:p>
        </w:tc>
      </w:tr>
      <w:tr w:rsidR="00D836EB" w:rsidRPr="00286216" w14:paraId="62A0C3B2" w14:textId="77777777" w:rsidTr="00091AA5">
        <w:tc>
          <w:tcPr>
            <w:tcW w:w="576" w:type="dxa"/>
          </w:tcPr>
          <w:p w14:paraId="2AE20DCC" w14:textId="77777777" w:rsidR="00D836EB" w:rsidRPr="00286216" w:rsidRDefault="00D836EB" w:rsidP="00D836EB">
            <w:pPr>
              <w:pStyle w:val="StyleWisnow"/>
              <w:rPr>
                <w:color w:val="000000" w:themeColor="text1"/>
              </w:rPr>
            </w:pPr>
            <w:bookmarkStart w:id="1896" w:name="n2131" w:colFirst="0" w:colLast="0"/>
            <w:bookmarkEnd w:id="1895"/>
            <w:r w:rsidRPr="00286216">
              <w:rPr>
                <w:color w:val="000000" w:themeColor="text1"/>
              </w:rPr>
              <w:t>2131.</w:t>
            </w:r>
          </w:p>
        </w:tc>
        <w:tc>
          <w:tcPr>
            <w:tcW w:w="4818" w:type="dxa"/>
          </w:tcPr>
          <w:p w14:paraId="3D381BBC" w14:textId="77777777" w:rsidR="00D836EB" w:rsidRPr="00286216" w:rsidRDefault="00D836EB" w:rsidP="00D836EB">
            <w:pPr>
              <w:pStyle w:val="StyleZakonu"/>
              <w:rPr>
                <w:color w:val="000000" w:themeColor="text1"/>
              </w:rPr>
            </w:pPr>
            <w:bookmarkStart w:id="1897" w:name="_Ref16419160"/>
            <w:r w:rsidRPr="00286216">
              <w:rPr>
                <w:color w:val="000000" w:themeColor="text1"/>
              </w:rPr>
              <w:t>Стаття 123. Звіт керівництва</w:t>
            </w:r>
            <w:bookmarkEnd w:id="1897"/>
          </w:p>
        </w:tc>
        <w:tc>
          <w:tcPr>
            <w:tcW w:w="3686" w:type="dxa"/>
          </w:tcPr>
          <w:p w14:paraId="2C8CBFDC" w14:textId="77777777" w:rsidR="00D836EB" w:rsidRPr="00286216" w:rsidRDefault="00D836EB" w:rsidP="00D836EB">
            <w:pPr>
              <w:pStyle w:val="StyleProp"/>
              <w:rPr>
                <w:color w:val="000000" w:themeColor="text1"/>
                <w:szCs w:val="18"/>
              </w:rPr>
            </w:pPr>
          </w:p>
        </w:tc>
        <w:tc>
          <w:tcPr>
            <w:tcW w:w="1987" w:type="dxa"/>
          </w:tcPr>
          <w:p w14:paraId="2EA9161E" w14:textId="77777777" w:rsidR="00D836EB" w:rsidRPr="00286216" w:rsidRDefault="00D836EB" w:rsidP="00D836EB">
            <w:pPr>
              <w:pStyle w:val="StyleWisnow"/>
              <w:rPr>
                <w:color w:val="000000" w:themeColor="text1"/>
              </w:rPr>
            </w:pPr>
          </w:p>
        </w:tc>
        <w:tc>
          <w:tcPr>
            <w:tcW w:w="4818" w:type="dxa"/>
          </w:tcPr>
          <w:p w14:paraId="27C24368" w14:textId="084BD166" w:rsidR="00D836EB" w:rsidRPr="00286216" w:rsidRDefault="00D836EB" w:rsidP="00D836EB">
            <w:pPr>
              <w:pStyle w:val="StyleZakonu"/>
              <w:rPr>
                <w:color w:val="000000" w:themeColor="text1"/>
              </w:rPr>
            </w:pPr>
            <w:r w:rsidRPr="00286216">
              <w:rPr>
                <w:color w:val="000000" w:themeColor="text1"/>
              </w:rPr>
              <w:t>Стаття 127. Звіт керівництва</w:t>
            </w:r>
          </w:p>
        </w:tc>
      </w:tr>
      <w:tr w:rsidR="00D836EB" w:rsidRPr="00286216" w14:paraId="019FC1A5" w14:textId="77777777" w:rsidTr="00091AA5">
        <w:tc>
          <w:tcPr>
            <w:tcW w:w="576" w:type="dxa"/>
          </w:tcPr>
          <w:p w14:paraId="4C80787A" w14:textId="77777777" w:rsidR="00D836EB" w:rsidRPr="00286216" w:rsidRDefault="00D836EB" w:rsidP="00D836EB">
            <w:pPr>
              <w:pStyle w:val="StyleWisnow"/>
              <w:rPr>
                <w:color w:val="000000" w:themeColor="text1"/>
              </w:rPr>
            </w:pPr>
            <w:bookmarkStart w:id="1898" w:name="n2132" w:colFirst="0" w:colLast="0"/>
            <w:bookmarkEnd w:id="1896"/>
            <w:r w:rsidRPr="00286216">
              <w:rPr>
                <w:color w:val="000000" w:themeColor="text1"/>
              </w:rPr>
              <w:t>2132.</w:t>
            </w:r>
          </w:p>
        </w:tc>
        <w:tc>
          <w:tcPr>
            <w:tcW w:w="4818" w:type="dxa"/>
          </w:tcPr>
          <w:p w14:paraId="779AC0FA" w14:textId="77777777" w:rsidR="00D836EB" w:rsidRPr="00286216" w:rsidRDefault="00D836EB" w:rsidP="00D836EB">
            <w:pPr>
              <w:pStyle w:val="StyleZakonu"/>
              <w:rPr>
                <w:color w:val="000000" w:themeColor="text1"/>
              </w:rPr>
            </w:pPr>
            <w:r w:rsidRPr="00286216">
              <w:rPr>
                <w:color w:val="000000" w:themeColor="text1"/>
              </w:rPr>
              <w:t>1. Річний звіт керівництва, який включається до річної інформації про емітента відповідно до статті 122 цього Закону, повинен містити достовірний огляд розвитку емітента та його діяльності за звітний період, включно з описом ризиків та невизначеностей з якими стикається емітент у своїй господарській діяльності.</w:t>
            </w:r>
          </w:p>
        </w:tc>
        <w:tc>
          <w:tcPr>
            <w:tcW w:w="3686" w:type="dxa"/>
          </w:tcPr>
          <w:p w14:paraId="06EA1CCD" w14:textId="77777777" w:rsidR="00D836EB" w:rsidRPr="00286216" w:rsidRDefault="00D836EB" w:rsidP="00D836EB">
            <w:pPr>
              <w:pStyle w:val="StyleProp"/>
              <w:rPr>
                <w:color w:val="000000" w:themeColor="text1"/>
                <w:szCs w:val="18"/>
              </w:rPr>
            </w:pPr>
          </w:p>
        </w:tc>
        <w:tc>
          <w:tcPr>
            <w:tcW w:w="1987" w:type="dxa"/>
          </w:tcPr>
          <w:p w14:paraId="5E5FA030" w14:textId="77777777" w:rsidR="00D836EB" w:rsidRPr="00286216" w:rsidRDefault="00D836EB" w:rsidP="00D836EB">
            <w:pPr>
              <w:pStyle w:val="StyleWisnow"/>
              <w:rPr>
                <w:color w:val="000000" w:themeColor="text1"/>
              </w:rPr>
            </w:pPr>
          </w:p>
        </w:tc>
        <w:tc>
          <w:tcPr>
            <w:tcW w:w="4818" w:type="dxa"/>
          </w:tcPr>
          <w:p w14:paraId="159148BA" w14:textId="069F028F" w:rsidR="00D836EB" w:rsidRPr="00286216" w:rsidRDefault="00D836EB" w:rsidP="00D836EB">
            <w:pPr>
              <w:pStyle w:val="StyleZakonu"/>
              <w:rPr>
                <w:color w:val="000000" w:themeColor="text1"/>
              </w:rPr>
            </w:pPr>
            <w:r w:rsidRPr="00286216">
              <w:rPr>
                <w:color w:val="000000" w:themeColor="text1"/>
              </w:rPr>
              <w:t>1. Річний звіт керівництва, що включається до річної інформації про емітента відповідно до статті 126 цього Закону, повинен містити достовірний огляд розвитку емітента та його діяльності за звітний період, у тому числі з описом ризиків та невизначеностей, з якими стикається емітент у процесі господарської діяльності.</w:t>
            </w:r>
          </w:p>
        </w:tc>
      </w:tr>
      <w:tr w:rsidR="00D836EB" w:rsidRPr="00286216" w14:paraId="21600909" w14:textId="77777777" w:rsidTr="00091AA5">
        <w:tc>
          <w:tcPr>
            <w:tcW w:w="576" w:type="dxa"/>
          </w:tcPr>
          <w:p w14:paraId="68D481A6" w14:textId="77777777" w:rsidR="00D836EB" w:rsidRPr="00286216" w:rsidRDefault="00D836EB" w:rsidP="00D836EB">
            <w:pPr>
              <w:pStyle w:val="StyleWisnow"/>
              <w:rPr>
                <w:color w:val="000000" w:themeColor="text1"/>
              </w:rPr>
            </w:pPr>
            <w:bookmarkStart w:id="1899" w:name="n2133" w:colFirst="0" w:colLast="0"/>
            <w:bookmarkEnd w:id="1898"/>
            <w:r w:rsidRPr="00286216">
              <w:rPr>
                <w:color w:val="000000" w:themeColor="text1"/>
              </w:rPr>
              <w:t>2133.</w:t>
            </w:r>
          </w:p>
        </w:tc>
        <w:tc>
          <w:tcPr>
            <w:tcW w:w="4818" w:type="dxa"/>
          </w:tcPr>
          <w:p w14:paraId="3B7EABAD" w14:textId="77777777" w:rsidR="00D836EB" w:rsidRPr="00286216" w:rsidRDefault="00D836EB" w:rsidP="00D836EB">
            <w:pPr>
              <w:pStyle w:val="StyleZakonu"/>
              <w:rPr>
                <w:color w:val="000000" w:themeColor="text1"/>
              </w:rPr>
            </w:pPr>
            <w:r w:rsidRPr="00286216">
              <w:rPr>
                <w:color w:val="000000" w:themeColor="text1"/>
              </w:rPr>
              <w:t>Річний звіт керівництва готується відповідно до вимог Національної комісії з цінних паперів та фондового ринку.</w:t>
            </w:r>
          </w:p>
        </w:tc>
        <w:tc>
          <w:tcPr>
            <w:tcW w:w="3686" w:type="dxa"/>
          </w:tcPr>
          <w:p w14:paraId="058CE025" w14:textId="77777777" w:rsidR="00D836EB" w:rsidRPr="00286216" w:rsidRDefault="00D836EB" w:rsidP="00D836EB">
            <w:pPr>
              <w:pStyle w:val="StyleProp"/>
              <w:rPr>
                <w:color w:val="000000" w:themeColor="text1"/>
                <w:szCs w:val="18"/>
              </w:rPr>
            </w:pPr>
          </w:p>
        </w:tc>
        <w:tc>
          <w:tcPr>
            <w:tcW w:w="1987" w:type="dxa"/>
          </w:tcPr>
          <w:p w14:paraId="087FAC2F" w14:textId="77777777" w:rsidR="00D836EB" w:rsidRPr="00286216" w:rsidRDefault="00D836EB" w:rsidP="00D836EB">
            <w:pPr>
              <w:pStyle w:val="StyleWisnow"/>
              <w:rPr>
                <w:color w:val="000000" w:themeColor="text1"/>
              </w:rPr>
            </w:pPr>
          </w:p>
        </w:tc>
        <w:tc>
          <w:tcPr>
            <w:tcW w:w="4818" w:type="dxa"/>
          </w:tcPr>
          <w:p w14:paraId="24FD3827" w14:textId="1AF2AAD6" w:rsidR="00D836EB" w:rsidRPr="00286216" w:rsidRDefault="00D836EB" w:rsidP="00D836EB">
            <w:pPr>
              <w:pStyle w:val="StyleZakonu"/>
              <w:rPr>
                <w:color w:val="000000" w:themeColor="text1"/>
              </w:rPr>
            </w:pPr>
            <w:r w:rsidRPr="00286216">
              <w:rPr>
                <w:color w:val="000000" w:themeColor="text1"/>
              </w:rPr>
              <w:t>Річний звіт керівництва складається відповідно до вимог Національної комісії з цінних паперів та фондового ринку.</w:t>
            </w:r>
          </w:p>
        </w:tc>
      </w:tr>
      <w:tr w:rsidR="00D836EB" w:rsidRPr="00286216" w14:paraId="0151E070" w14:textId="77777777" w:rsidTr="00091AA5">
        <w:tc>
          <w:tcPr>
            <w:tcW w:w="576" w:type="dxa"/>
          </w:tcPr>
          <w:p w14:paraId="7C476214" w14:textId="77777777" w:rsidR="00D836EB" w:rsidRPr="00286216" w:rsidRDefault="00D836EB" w:rsidP="00D836EB">
            <w:pPr>
              <w:pStyle w:val="StyleWisnow"/>
              <w:rPr>
                <w:color w:val="000000" w:themeColor="text1"/>
              </w:rPr>
            </w:pPr>
            <w:bookmarkStart w:id="1900" w:name="n2134" w:colFirst="0" w:colLast="0"/>
            <w:bookmarkEnd w:id="1899"/>
            <w:r w:rsidRPr="00286216">
              <w:rPr>
                <w:color w:val="000000" w:themeColor="text1"/>
              </w:rPr>
              <w:lastRenderedPageBreak/>
              <w:t>2134.</w:t>
            </w:r>
          </w:p>
        </w:tc>
        <w:tc>
          <w:tcPr>
            <w:tcW w:w="4818" w:type="dxa"/>
          </w:tcPr>
          <w:p w14:paraId="598A81DD" w14:textId="77777777" w:rsidR="00D836EB" w:rsidRPr="00286216" w:rsidRDefault="00D836EB" w:rsidP="00D836EB">
            <w:pPr>
              <w:pStyle w:val="StyleZakonu"/>
              <w:rPr>
                <w:color w:val="000000" w:themeColor="text1"/>
              </w:rPr>
            </w:pPr>
            <w:r w:rsidRPr="00286216">
              <w:rPr>
                <w:color w:val="000000" w:themeColor="text1"/>
              </w:rPr>
              <w:t>2. Річний звіт керівництва повинен містити:</w:t>
            </w:r>
          </w:p>
        </w:tc>
        <w:tc>
          <w:tcPr>
            <w:tcW w:w="3686" w:type="dxa"/>
          </w:tcPr>
          <w:p w14:paraId="31A4EB01" w14:textId="77777777" w:rsidR="00D836EB" w:rsidRPr="00286216" w:rsidRDefault="00D836EB" w:rsidP="00D836EB">
            <w:pPr>
              <w:pStyle w:val="StyleProp"/>
              <w:rPr>
                <w:color w:val="000000" w:themeColor="text1"/>
                <w:szCs w:val="18"/>
              </w:rPr>
            </w:pPr>
          </w:p>
        </w:tc>
        <w:tc>
          <w:tcPr>
            <w:tcW w:w="1987" w:type="dxa"/>
          </w:tcPr>
          <w:p w14:paraId="1ED85889" w14:textId="77777777" w:rsidR="00D836EB" w:rsidRPr="00286216" w:rsidRDefault="00D836EB" w:rsidP="00D836EB">
            <w:pPr>
              <w:pStyle w:val="StyleWisnow"/>
              <w:rPr>
                <w:color w:val="000000" w:themeColor="text1"/>
              </w:rPr>
            </w:pPr>
          </w:p>
        </w:tc>
        <w:tc>
          <w:tcPr>
            <w:tcW w:w="4818" w:type="dxa"/>
          </w:tcPr>
          <w:p w14:paraId="6CC94B12" w14:textId="4604DC7D" w:rsidR="00D836EB" w:rsidRPr="00286216" w:rsidRDefault="00D836EB" w:rsidP="00D836EB">
            <w:pPr>
              <w:pStyle w:val="StyleZakonu"/>
              <w:rPr>
                <w:color w:val="000000" w:themeColor="text1"/>
              </w:rPr>
            </w:pPr>
            <w:r w:rsidRPr="00286216">
              <w:rPr>
                <w:color w:val="000000" w:themeColor="text1"/>
              </w:rPr>
              <w:t>2. Річний звіт керівництва повинен містити такі відомості:</w:t>
            </w:r>
          </w:p>
        </w:tc>
      </w:tr>
      <w:tr w:rsidR="00D836EB" w:rsidRPr="00286216" w14:paraId="266362ED" w14:textId="77777777" w:rsidTr="00091AA5">
        <w:tc>
          <w:tcPr>
            <w:tcW w:w="576" w:type="dxa"/>
          </w:tcPr>
          <w:p w14:paraId="3D1BD592" w14:textId="77777777" w:rsidR="00D836EB" w:rsidRPr="00286216" w:rsidRDefault="00D836EB" w:rsidP="00D836EB">
            <w:pPr>
              <w:pStyle w:val="StyleWisnow"/>
              <w:rPr>
                <w:color w:val="000000" w:themeColor="text1"/>
              </w:rPr>
            </w:pPr>
            <w:bookmarkStart w:id="1901" w:name="n2135" w:colFirst="0" w:colLast="0"/>
            <w:bookmarkEnd w:id="1900"/>
            <w:r w:rsidRPr="00286216">
              <w:rPr>
                <w:color w:val="000000" w:themeColor="text1"/>
              </w:rPr>
              <w:t>2135.</w:t>
            </w:r>
          </w:p>
        </w:tc>
        <w:tc>
          <w:tcPr>
            <w:tcW w:w="4818" w:type="dxa"/>
          </w:tcPr>
          <w:p w14:paraId="6FDD144F" w14:textId="77777777" w:rsidR="00D836EB" w:rsidRPr="00286216" w:rsidRDefault="00D836EB" w:rsidP="00D836EB">
            <w:pPr>
              <w:pStyle w:val="StyleZakonu"/>
              <w:rPr>
                <w:color w:val="000000" w:themeColor="text1"/>
              </w:rPr>
            </w:pPr>
            <w:r w:rsidRPr="00286216">
              <w:rPr>
                <w:color w:val="000000" w:themeColor="text1"/>
              </w:rPr>
              <w:t>1) вірогідні перспективи подальшого розвитку емітента;</w:t>
            </w:r>
          </w:p>
        </w:tc>
        <w:tc>
          <w:tcPr>
            <w:tcW w:w="3686" w:type="dxa"/>
          </w:tcPr>
          <w:p w14:paraId="0F6110F0" w14:textId="77777777" w:rsidR="00D836EB" w:rsidRPr="00286216" w:rsidRDefault="00D836EB" w:rsidP="00D836EB">
            <w:pPr>
              <w:pStyle w:val="StyleProp"/>
              <w:rPr>
                <w:color w:val="000000" w:themeColor="text1"/>
                <w:szCs w:val="18"/>
              </w:rPr>
            </w:pPr>
          </w:p>
        </w:tc>
        <w:tc>
          <w:tcPr>
            <w:tcW w:w="1987" w:type="dxa"/>
          </w:tcPr>
          <w:p w14:paraId="19D392F1" w14:textId="77777777" w:rsidR="00D836EB" w:rsidRPr="00286216" w:rsidRDefault="00D836EB" w:rsidP="00D836EB">
            <w:pPr>
              <w:pStyle w:val="StyleWisnow"/>
              <w:rPr>
                <w:color w:val="000000" w:themeColor="text1"/>
              </w:rPr>
            </w:pPr>
          </w:p>
        </w:tc>
        <w:tc>
          <w:tcPr>
            <w:tcW w:w="4818" w:type="dxa"/>
          </w:tcPr>
          <w:p w14:paraId="64B8F387" w14:textId="5B3A96CA" w:rsidR="00D836EB" w:rsidRPr="00286216" w:rsidRDefault="00D836EB" w:rsidP="00D836EB">
            <w:pPr>
              <w:pStyle w:val="StyleZakonu"/>
              <w:rPr>
                <w:color w:val="000000" w:themeColor="text1"/>
              </w:rPr>
            </w:pPr>
            <w:r w:rsidRPr="00286216">
              <w:rPr>
                <w:color w:val="000000" w:themeColor="text1"/>
              </w:rPr>
              <w:t>1) вірогідні перспективи подальшого розвитку емітента;</w:t>
            </w:r>
          </w:p>
        </w:tc>
      </w:tr>
      <w:tr w:rsidR="00D836EB" w:rsidRPr="00286216" w14:paraId="2C372FD6" w14:textId="77777777" w:rsidTr="00091AA5">
        <w:tc>
          <w:tcPr>
            <w:tcW w:w="576" w:type="dxa"/>
          </w:tcPr>
          <w:p w14:paraId="4DD6F29E" w14:textId="77777777" w:rsidR="00D836EB" w:rsidRPr="00286216" w:rsidRDefault="00D836EB" w:rsidP="00D836EB">
            <w:pPr>
              <w:pStyle w:val="StyleWisnow"/>
              <w:rPr>
                <w:color w:val="000000" w:themeColor="text1"/>
              </w:rPr>
            </w:pPr>
            <w:bookmarkStart w:id="1902" w:name="n2136" w:colFirst="0" w:colLast="0"/>
            <w:bookmarkEnd w:id="1901"/>
            <w:r w:rsidRPr="00286216">
              <w:rPr>
                <w:color w:val="000000" w:themeColor="text1"/>
              </w:rPr>
              <w:t>2136.</w:t>
            </w:r>
          </w:p>
        </w:tc>
        <w:tc>
          <w:tcPr>
            <w:tcW w:w="4818" w:type="dxa"/>
          </w:tcPr>
          <w:p w14:paraId="4A266D0B" w14:textId="77777777" w:rsidR="00D836EB" w:rsidRPr="00286216" w:rsidRDefault="00D836EB" w:rsidP="00D836EB">
            <w:pPr>
              <w:pStyle w:val="StyleZakonu"/>
              <w:rPr>
                <w:color w:val="000000" w:themeColor="text1"/>
              </w:rPr>
            </w:pPr>
            <w:r w:rsidRPr="00286216">
              <w:rPr>
                <w:color w:val="000000" w:themeColor="text1"/>
              </w:rPr>
              <w:t>2) інформацію про розвиток емітента;</w:t>
            </w:r>
          </w:p>
        </w:tc>
        <w:tc>
          <w:tcPr>
            <w:tcW w:w="3686" w:type="dxa"/>
          </w:tcPr>
          <w:p w14:paraId="3F320A13" w14:textId="77777777" w:rsidR="00D836EB" w:rsidRPr="00286216" w:rsidRDefault="00D836EB" w:rsidP="00D836EB">
            <w:pPr>
              <w:pStyle w:val="StyleProp"/>
              <w:rPr>
                <w:color w:val="000000" w:themeColor="text1"/>
                <w:szCs w:val="18"/>
              </w:rPr>
            </w:pPr>
          </w:p>
        </w:tc>
        <w:tc>
          <w:tcPr>
            <w:tcW w:w="1987" w:type="dxa"/>
          </w:tcPr>
          <w:p w14:paraId="7DB954E3" w14:textId="77777777" w:rsidR="00D836EB" w:rsidRPr="00286216" w:rsidRDefault="00D836EB" w:rsidP="00D836EB">
            <w:pPr>
              <w:pStyle w:val="StyleWisnow"/>
              <w:rPr>
                <w:color w:val="000000" w:themeColor="text1"/>
              </w:rPr>
            </w:pPr>
          </w:p>
        </w:tc>
        <w:tc>
          <w:tcPr>
            <w:tcW w:w="4818" w:type="dxa"/>
          </w:tcPr>
          <w:p w14:paraId="49FA8E70" w14:textId="2E816993" w:rsidR="00D836EB" w:rsidRPr="00286216" w:rsidRDefault="00D836EB" w:rsidP="00D836EB">
            <w:pPr>
              <w:pStyle w:val="StyleZakonu"/>
              <w:rPr>
                <w:color w:val="000000" w:themeColor="text1"/>
              </w:rPr>
            </w:pPr>
            <w:r w:rsidRPr="00286216">
              <w:rPr>
                <w:color w:val="000000" w:themeColor="text1"/>
              </w:rPr>
              <w:t>2) інформацію про розвиток емітента;</w:t>
            </w:r>
          </w:p>
        </w:tc>
      </w:tr>
      <w:tr w:rsidR="00D836EB" w:rsidRPr="00286216" w14:paraId="4E919398" w14:textId="77777777" w:rsidTr="00091AA5">
        <w:tc>
          <w:tcPr>
            <w:tcW w:w="576" w:type="dxa"/>
          </w:tcPr>
          <w:p w14:paraId="5C32F3B7" w14:textId="77777777" w:rsidR="00D836EB" w:rsidRPr="00286216" w:rsidRDefault="00D836EB" w:rsidP="00D836EB">
            <w:pPr>
              <w:pStyle w:val="StyleWisnow"/>
              <w:rPr>
                <w:color w:val="000000" w:themeColor="text1"/>
              </w:rPr>
            </w:pPr>
            <w:bookmarkStart w:id="1903" w:name="n2137" w:colFirst="0" w:colLast="0"/>
            <w:bookmarkEnd w:id="1902"/>
            <w:r w:rsidRPr="00286216">
              <w:rPr>
                <w:color w:val="000000" w:themeColor="text1"/>
              </w:rPr>
              <w:t>2137.</w:t>
            </w:r>
          </w:p>
        </w:tc>
        <w:tc>
          <w:tcPr>
            <w:tcW w:w="4818" w:type="dxa"/>
          </w:tcPr>
          <w:p w14:paraId="29BC9E8E" w14:textId="77777777" w:rsidR="00D836EB" w:rsidRPr="00286216" w:rsidRDefault="00D836EB" w:rsidP="00D836EB">
            <w:pPr>
              <w:pStyle w:val="StyleZakonu"/>
              <w:rPr>
                <w:color w:val="000000" w:themeColor="text1"/>
              </w:rPr>
            </w:pPr>
            <w:r w:rsidRPr="00286216">
              <w:rPr>
                <w:color w:val="000000" w:themeColor="text1"/>
              </w:rPr>
              <w:t>3) інформацію про укладення деривативних контрактів або вчинення правочинів щодо деривативних (похідних) цінних паперів емітентом, якщо це впливає на оцінку його активів, зобов’язань, фінансового стану і доходів або витрат емітента, зокрема інформацію про:</w:t>
            </w:r>
          </w:p>
        </w:tc>
        <w:tc>
          <w:tcPr>
            <w:tcW w:w="3686" w:type="dxa"/>
          </w:tcPr>
          <w:p w14:paraId="441B76B7" w14:textId="1792A796"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CA62F1B" w14:textId="44F30C7F" w:rsidR="00D836EB" w:rsidRPr="00286216" w:rsidRDefault="00D836EB" w:rsidP="00D836EB">
            <w:pPr>
              <w:pStyle w:val="StyleProp"/>
              <w:rPr>
                <w:color w:val="000000" w:themeColor="text1"/>
                <w:szCs w:val="18"/>
              </w:rPr>
            </w:pPr>
            <w:r w:rsidRPr="00286216">
              <w:rPr>
                <w:color w:val="000000" w:themeColor="text1"/>
                <w:szCs w:val="18"/>
              </w:rPr>
              <w:t>В тексті закону слово «(похідний)» в усіх числах та відмінках виключити.</w:t>
            </w:r>
          </w:p>
          <w:p w14:paraId="3E6A1CD7" w14:textId="0EE6C17A" w:rsidR="00D836EB" w:rsidRPr="00286216" w:rsidRDefault="00D836EB" w:rsidP="00D836E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7E12BAA" w14:textId="501904BF" w:rsidR="00D836EB" w:rsidRPr="00286216" w:rsidRDefault="00D836EB" w:rsidP="00D836EB">
            <w:pPr>
              <w:pStyle w:val="StyleProp"/>
              <w:rPr>
                <w:color w:val="000000" w:themeColor="text1"/>
                <w:szCs w:val="18"/>
              </w:rPr>
            </w:pPr>
            <w:r w:rsidRPr="00286216">
              <w:rPr>
                <w:color w:val="000000" w:themeColor="text1"/>
                <w:szCs w:val="18"/>
              </w:rPr>
              <w:t>В пункті 3 частини другої статті 123 слово «(похідних)» виключити.</w:t>
            </w:r>
          </w:p>
        </w:tc>
        <w:tc>
          <w:tcPr>
            <w:tcW w:w="1987" w:type="dxa"/>
          </w:tcPr>
          <w:p w14:paraId="6454DE24" w14:textId="77777777" w:rsidR="00D836EB" w:rsidRPr="00286216" w:rsidRDefault="00D836EB" w:rsidP="00D836EB">
            <w:pPr>
              <w:pStyle w:val="StyleWisnow"/>
              <w:rPr>
                <w:color w:val="000000" w:themeColor="text1"/>
              </w:rPr>
            </w:pPr>
            <w:r w:rsidRPr="00286216">
              <w:rPr>
                <w:color w:val="000000" w:themeColor="text1"/>
              </w:rPr>
              <w:t>Враховано</w:t>
            </w:r>
          </w:p>
          <w:p w14:paraId="26DAEC90" w14:textId="77777777" w:rsidR="00D836EB" w:rsidRPr="00286216" w:rsidRDefault="00D836EB" w:rsidP="00D836EB">
            <w:pPr>
              <w:pStyle w:val="StyleWisnow"/>
              <w:rPr>
                <w:color w:val="000000" w:themeColor="text1"/>
              </w:rPr>
            </w:pPr>
          </w:p>
          <w:p w14:paraId="31971F05" w14:textId="77777777" w:rsidR="00D836EB" w:rsidRPr="00286216" w:rsidRDefault="00D836EB" w:rsidP="00D836EB">
            <w:pPr>
              <w:pStyle w:val="StyleWisnow"/>
              <w:rPr>
                <w:color w:val="000000" w:themeColor="text1"/>
              </w:rPr>
            </w:pPr>
          </w:p>
          <w:p w14:paraId="0D8DE2F4" w14:textId="77777777"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17485FD8" w14:textId="08AD112F" w:rsidR="00D836EB" w:rsidRPr="00286216" w:rsidRDefault="00D836EB" w:rsidP="00D836EB">
            <w:pPr>
              <w:pStyle w:val="StyleZakonu"/>
              <w:rPr>
                <w:color w:val="000000" w:themeColor="text1"/>
              </w:rPr>
            </w:pPr>
            <w:r w:rsidRPr="00286216">
              <w:rPr>
                <w:color w:val="000000" w:themeColor="text1"/>
              </w:rPr>
              <w:t>3) інформацію про укладення деривативних контрактів або вчинення правочинів щодо деривативних цінних паперів емітентом, якщо це впливає на оцінку його активів, зобов’язань, фінансового стану і доходів або витрат емітента, зокрема інформацію про:</w:t>
            </w:r>
          </w:p>
        </w:tc>
      </w:tr>
      <w:tr w:rsidR="00D836EB" w:rsidRPr="00286216" w14:paraId="335690F8" w14:textId="77777777" w:rsidTr="00091AA5">
        <w:tc>
          <w:tcPr>
            <w:tcW w:w="576" w:type="dxa"/>
          </w:tcPr>
          <w:p w14:paraId="41D81BEA" w14:textId="77777777" w:rsidR="00D836EB" w:rsidRPr="00286216" w:rsidRDefault="00D836EB" w:rsidP="00D836EB">
            <w:pPr>
              <w:pStyle w:val="StyleWisnow"/>
              <w:rPr>
                <w:color w:val="000000" w:themeColor="text1"/>
              </w:rPr>
            </w:pPr>
            <w:bookmarkStart w:id="1904" w:name="n2138" w:colFirst="0" w:colLast="0"/>
            <w:bookmarkEnd w:id="1903"/>
            <w:r w:rsidRPr="00286216">
              <w:rPr>
                <w:color w:val="000000" w:themeColor="text1"/>
              </w:rPr>
              <w:t>2138.</w:t>
            </w:r>
          </w:p>
        </w:tc>
        <w:tc>
          <w:tcPr>
            <w:tcW w:w="4818" w:type="dxa"/>
          </w:tcPr>
          <w:p w14:paraId="1AB3B6DA" w14:textId="77777777" w:rsidR="00D836EB" w:rsidRPr="00286216" w:rsidRDefault="00D836EB" w:rsidP="00D836EB">
            <w:pPr>
              <w:pStyle w:val="StyleZakonu"/>
              <w:rPr>
                <w:color w:val="000000" w:themeColor="text1"/>
              </w:rPr>
            </w:pPr>
            <w:r w:rsidRPr="00286216">
              <w:rPr>
                <w:color w:val="000000" w:themeColor="text1"/>
              </w:rPr>
              <w:t>а) завдання та політику емітента щодо управління фінансовими ризиками, у тому числі політику щодо страхування кожного основного виду прогнозованої операції, для якої використовуються операції хеджування;</w:t>
            </w:r>
          </w:p>
        </w:tc>
        <w:tc>
          <w:tcPr>
            <w:tcW w:w="3686" w:type="dxa"/>
          </w:tcPr>
          <w:p w14:paraId="7B7A90AC" w14:textId="77777777" w:rsidR="00D836EB" w:rsidRPr="00286216" w:rsidRDefault="00D836EB" w:rsidP="00D836EB">
            <w:pPr>
              <w:pStyle w:val="StyleProp"/>
              <w:rPr>
                <w:color w:val="000000" w:themeColor="text1"/>
                <w:szCs w:val="18"/>
              </w:rPr>
            </w:pPr>
          </w:p>
        </w:tc>
        <w:tc>
          <w:tcPr>
            <w:tcW w:w="1987" w:type="dxa"/>
          </w:tcPr>
          <w:p w14:paraId="280D21A1" w14:textId="77777777" w:rsidR="00D836EB" w:rsidRPr="00286216" w:rsidRDefault="00D836EB" w:rsidP="00D836EB">
            <w:pPr>
              <w:pStyle w:val="StyleWisnow"/>
              <w:rPr>
                <w:color w:val="000000" w:themeColor="text1"/>
              </w:rPr>
            </w:pPr>
          </w:p>
        </w:tc>
        <w:tc>
          <w:tcPr>
            <w:tcW w:w="4818" w:type="dxa"/>
          </w:tcPr>
          <w:p w14:paraId="1ACFDCCE" w14:textId="22BADFDD" w:rsidR="00D836EB" w:rsidRPr="00286216" w:rsidRDefault="00D836EB" w:rsidP="00D836EB">
            <w:pPr>
              <w:pStyle w:val="StyleZakonu"/>
              <w:rPr>
                <w:color w:val="000000" w:themeColor="text1"/>
              </w:rPr>
            </w:pPr>
            <w:r w:rsidRPr="00286216">
              <w:rPr>
                <w:color w:val="000000" w:themeColor="text1"/>
              </w:rPr>
              <w:t>а) завдання та політику емітента щодо управління фінансовими ризиками, у тому числі політику щодо страхування кожного основного виду прогнозованої операції, для якої використовуються операції хеджування;</w:t>
            </w:r>
          </w:p>
        </w:tc>
      </w:tr>
      <w:tr w:rsidR="00D836EB" w:rsidRPr="00286216" w14:paraId="0CA54485" w14:textId="77777777" w:rsidTr="00091AA5">
        <w:tc>
          <w:tcPr>
            <w:tcW w:w="576" w:type="dxa"/>
          </w:tcPr>
          <w:p w14:paraId="1B045489" w14:textId="77777777" w:rsidR="00D836EB" w:rsidRPr="00286216" w:rsidRDefault="00D836EB" w:rsidP="00D836EB">
            <w:pPr>
              <w:pStyle w:val="StyleWisnow"/>
              <w:rPr>
                <w:color w:val="000000" w:themeColor="text1"/>
              </w:rPr>
            </w:pPr>
            <w:bookmarkStart w:id="1905" w:name="n2139" w:colFirst="0" w:colLast="0"/>
            <w:bookmarkEnd w:id="1904"/>
            <w:r w:rsidRPr="00286216">
              <w:rPr>
                <w:color w:val="000000" w:themeColor="text1"/>
              </w:rPr>
              <w:t>2139.</w:t>
            </w:r>
          </w:p>
        </w:tc>
        <w:tc>
          <w:tcPr>
            <w:tcW w:w="4818" w:type="dxa"/>
          </w:tcPr>
          <w:p w14:paraId="102BC877" w14:textId="77777777" w:rsidR="00D836EB" w:rsidRPr="00286216" w:rsidRDefault="00D836EB" w:rsidP="00D836EB">
            <w:pPr>
              <w:pStyle w:val="StyleZakonu"/>
              <w:rPr>
                <w:color w:val="000000" w:themeColor="text1"/>
              </w:rPr>
            </w:pPr>
            <w:r w:rsidRPr="00286216">
              <w:rPr>
                <w:color w:val="000000" w:themeColor="text1"/>
              </w:rPr>
              <w:t>б) схильність емітента до цінових ризиків, кредитного ризику, ризику ліквідності та/або ризику грошових потоків;</w:t>
            </w:r>
          </w:p>
        </w:tc>
        <w:tc>
          <w:tcPr>
            <w:tcW w:w="3686" w:type="dxa"/>
          </w:tcPr>
          <w:p w14:paraId="7AB635A6" w14:textId="77777777" w:rsidR="00D836EB" w:rsidRPr="00286216" w:rsidRDefault="00D836EB" w:rsidP="00D836EB">
            <w:pPr>
              <w:pStyle w:val="StyleProp"/>
              <w:rPr>
                <w:color w:val="000000" w:themeColor="text1"/>
                <w:szCs w:val="18"/>
              </w:rPr>
            </w:pPr>
          </w:p>
        </w:tc>
        <w:tc>
          <w:tcPr>
            <w:tcW w:w="1987" w:type="dxa"/>
          </w:tcPr>
          <w:p w14:paraId="3B3518E4" w14:textId="77777777" w:rsidR="00D836EB" w:rsidRPr="00286216" w:rsidRDefault="00D836EB" w:rsidP="00D836EB">
            <w:pPr>
              <w:pStyle w:val="StyleWisnow"/>
              <w:rPr>
                <w:color w:val="000000" w:themeColor="text1"/>
              </w:rPr>
            </w:pPr>
          </w:p>
        </w:tc>
        <w:tc>
          <w:tcPr>
            <w:tcW w:w="4818" w:type="dxa"/>
          </w:tcPr>
          <w:p w14:paraId="7F08B8C4" w14:textId="679AE732" w:rsidR="00D836EB" w:rsidRPr="00286216" w:rsidRDefault="00D836EB" w:rsidP="00D836EB">
            <w:pPr>
              <w:pStyle w:val="StyleZakonu"/>
              <w:rPr>
                <w:color w:val="000000" w:themeColor="text1"/>
              </w:rPr>
            </w:pPr>
            <w:r w:rsidRPr="00286216">
              <w:rPr>
                <w:color w:val="000000" w:themeColor="text1"/>
              </w:rPr>
              <w:t>б) схильність емітента до цінових ризиків, кредитного ризику, ризику ліквідності та/або ризику грошових потоків;</w:t>
            </w:r>
          </w:p>
        </w:tc>
      </w:tr>
      <w:tr w:rsidR="00D836EB" w:rsidRPr="00286216" w14:paraId="70443C22" w14:textId="77777777" w:rsidTr="00091AA5">
        <w:tc>
          <w:tcPr>
            <w:tcW w:w="576" w:type="dxa"/>
          </w:tcPr>
          <w:p w14:paraId="3B426BF9" w14:textId="77777777" w:rsidR="00D836EB" w:rsidRPr="00286216" w:rsidRDefault="00D836EB" w:rsidP="00D836EB">
            <w:pPr>
              <w:pStyle w:val="StyleWisnow"/>
              <w:rPr>
                <w:color w:val="000000" w:themeColor="text1"/>
              </w:rPr>
            </w:pPr>
            <w:bookmarkStart w:id="1906" w:name="n2140" w:colFirst="0" w:colLast="0"/>
            <w:bookmarkEnd w:id="1905"/>
            <w:r w:rsidRPr="00286216">
              <w:rPr>
                <w:color w:val="000000" w:themeColor="text1"/>
              </w:rPr>
              <w:t>2140.</w:t>
            </w:r>
          </w:p>
        </w:tc>
        <w:tc>
          <w:tcPr>
            <w:tcW w:w="4818" w:type="dxa"/>
          </w:tcPr>
          <w:p w14:paraId="7E34F822" w14:textId="77777777" w:rsidR="00D836EB" w:rsidRPr="00286216" w:rsidRDefault="00D836EB" w:rsidP="00D836EB">
            <w:pPr>
              <w:pStyle w:val="StyleZakonu"/>
              <w:rPr>
                <w:color w:val="000000" w:themeColor="text1"/>
              </w:rPr>
            </w:pPr>
            <w:r w:rsidRPr="00286216">
              <w:rPr>
                <w:color w:val="000000" w:themeColor="text1"/>
              </w:rPr>
              <w:t>4) звіт про корпоративне управління.</w:t>
            </w:r>
          </w:p>
        </w:tc>
        <w:tc>
          <w:tcPr>
            <w:tcW w:w="3686" w:type="dxa"/>
          </w:tcPr>
          <w:p w14:paraId="512037E5" w14:textId="77777777" w:rsidR="00D836EB" w:rsidRPr="00286216" w:rsidRDefault="00D836EB" w:rsidP="00D836EB">
            <w:pPr>
              <w:pStyle w:val="StyleProp"/>
              <w:rPr>
                <w:color w:val="000000" w:themeColor="text1"/>
                <w:szCs w:val="18"/>
              </w:rPr>
            </w:pPr>
          </w:p>
        </w:tc>
        <w:tc>
          <w:tcPr>
            <w:tcW w:w="1987" w:type="dxa"/>
          </w:tcPr>
          <w:p w14:paraId="5C0D3CA8" w14:textId="77777777" w:rsidR="00D836EB" w:rsidRPr="00286216" w:rsidRDefault="00D836EB" w:rsidP="00D836EB">
            <w:pPr>
              <w:pStyle w:val="StyleWisnow"/>
              <w:rPr>
                <w:color w:val="000000" w:themeColor="text1"/>
              </w:rPr>
            </w:pPr>
          </w:p>
        </w:tc>
        <w:tc>
          <w:tcPr>
            <w:tcW w:w="4818" w:type="dxa"/>
          </w:tcPr>
          <w:p w14:paraId="02DCEB87" w14:textId="0699B8CB" w:rsidR="00D836EB" w:rsidRPr="00286216" w:rsidRDefault="00D836EB" w:rsidP="00D836EB">
            <w:pPr>
              <w:pStyle w:val="StyleZakonu"/>
              <w:rPr>
                <w:color w:val="000000" w:themeColor="text1"/>
              </w:rPr>
            </w:pPr>
            <w:r w:rsidRPr="00286216">
              <w:rPr>
                <w:color w:val="000000" w:themeColor="text1"/>
              </w:rPr>
              <w:t>4) звіт про корпоративне управління.</w:t>
            </w:r>
          </w:p>
        </w:tc>
      </w:tr>
      <w:tr w:rsidR="00D836EB" w:rsidRPr="00286216" w14:paraId="5248A40D" w14:textId="77777777" w:rsidTr="00091AA5">
        <w:tc>
          <w:tcPr>
            <w:tcW w:w="576" w:type="dxa"/>
          </w:tcPr>
          <w:p w14:paraId="04C3D700" w14:textId="77777777" w:rsidR="00D836EB" w:rsidRPr="00286216" w:rsidRDefault="00D836EB" w:rsidP="00D836EB">
            <w:pPr>
              <w:pStyle w:val="StyleWisnow"/>
              <w:rPr>
                <w:color w:val="000000" w:themeColor="text1"/>
              </w:rPr>
            </w:pPr>
            <w:bookmarkStart w:id="1907" w:name="n2141" w:colFirst="0" w:colLast="0"/>
            <w:bookmarkEnd w:id="1906"/>
            <w:r w:rsidRPr="00286216">
              <w:rPr>
                <w:color w:val="000000" w:themeColor="text1"/>
              </w:rPr>
              <w:t>2141.</w:t>
            </w:r>
          </w:p>
        </w:tc>
        <w:tc>
          <w:tcPr>
            <w:tcW w:w="4818" w:type="dxa"/>
          </w:tcPr>
          <w:p w14:paraId="681BBBBE" w14:textId="77777777" w:rsidR="00D836EB" w:rsidRPr="00286216" w:rsidRDefault="00D836EB" w:rsidP="00D836EB">
            <w:pPr>
              <w:pStyle w:val="StyleZakonu"/>
              <w:rPr>
                <w:color w:val="000000" w:themeColor="text1"/>
              </w:rPr>
            </w:pPr>
            <w:r w:rsidRPr="00286216">
              <w:rPr>
                <w:color w:val="000000" w:themeColor="text1"/>
              </w:rPr>
              <w:t>3. Якщо емітент є фінансовою установою, звіт про корпоративне управління готується відповідно до вимог цього Закону та Закону України "Про фінансові послуги та державне регулювання ринку фінансових послуг".</w:t>
            </w:r>
          </w:p>
        </w:tc>
        <w:tc>
          <w:tcPr>
            <w:tcW w:w="3686" w:type="dxa"/>
          </w:tcPr>
          <w:p w14:paraId="0AFE5054" w14:textId="77777777" w:rsidR="00D836EB" w:rsidRPr="00286216" w:rsidRDefault="00D836EB" w:rsidP="00D836EB">
            <w:pPr>
              <w:pStyle w:val="StyleProp"/>
              <w:rPr>
                <w:color w:val="000000" w:themeColor="text1"/>
                <w:szCs w:val="18"/>
              </w:rPr>
            </w:pPr>
          </w:p>
        </w:tc>
        <w:tc>
          <w:tcPr>
            <w:tcW w:w="1987" w:type="dxa"/>
          </w:tcPr>
          <w:p w14:paraId="595C53FF" w14:textId="77777777" w:rsidR="00D836EB" w:rsidRPr="00286216" w:rsidRDefault="00D836EB" w:rsidP="00D836EB">
            <w:pPr>
              <w:pStyle w:val="StyleWisnow"/>
              <w:rPr>
                <w:color w:val="000000" w:themeColor="text1"/>
              </w:rPr>
            </w:pPr>
          </w:p>
        </w:tc>
        <w:tc>
          <w:tcPr>
            <w:tcW w:w="4818" w:type="dxa"/>
          </w:tcPr>
          <w:p w14:paraId="460F414B" w14:textId="56D4357F" w:rsidR="00D836EB" w:rsidRPr="00286216" w:rsidRDefault="00D836EB" w:rsidP="00D836EB">
            <w:pPr>
              <w:pStyle w:val="StyleZakonu"/>
              <w:rPr>
                <w:color w:val="000000" w:themeColor="text1"/>
              </w:rPr>
            </w:pPr>
            <w:r w:rsidRPr="00286216">
              <w:rPr>
                <w:color w:val="000000" w:themeColor="text1"/>
              </w:rPr>
              <w:t>3. Якщо емітент є фінансовою установою, звіт про корпоративне управління складається відповідно до вимог цього Закону та Закону України "Про фінансові послуги та державне регулювання ринку фінансових послуг".</w:t>
            </w:r>
          </w:p>
        </w:tc>
      </w:tr>
      <w:tr w:rsidR="00D836EB" w:rsidRPr="00286216" w14:paraId="7B56BD35" w14:textId="77777777" w:rsidTr="00091AA5">
        <w:tc>
          <w:tcPr>
            <w:tcW w:w="576" w:type="dxa"/>
          </w:tcPr>
          <w:p w14:paraId="47CA5D57" w14:textId="77777777" w:rsidR="00D836EB" w:rsidRPr="00286216" w:rsidRDefault="00D836EB" w:rsidP="00D836EB">
            <w:pPr>
              <w:pStyle w:val="StyleWisnow"/>
              <w:rPr>
                <w:color w:val="000000" w:themeColor="text1"/>
              </w:rPr>
            </w:pPr>
            <w:bookmarkStart w:id="1908" w:name="n2142" w:colFirst="0" w:colLast="0"/>
            <w:bookmarkEnd w:id="1907"/>
            <w:r w:rsidRPr="00286216">
              <w:rPr>
                <w:color w:val="000000" w:themeColor="text1"/>
              </w:rPr>
              <w:t>2142.</w:t>
            </w:r>
          </w:p>
        </w:tc>
        <w:tc>
          <w:tcPr>
            <w:tcW w:w="4818" w:type="dxa"/>
          </w:tcPr>
          <w:p w14:paraId="396BAB8C" w14:textId="77777777" w:rsidR="00D836EB" w:rsidRPr="00286216" w:rsidRDefault="00D836EB" w:rsidP="00D836EB">
            <w:pPr>
              <w:pStyle w:val="StyleZakonu"/>
              <w:rPr>
                <w:color w:val="000000" w:themeColor="text1"/>
              </w:rPr>
            </w:pPr>
            <w:r w:rsidRPr="00286216">
              <w:rPr>
                <w:color w:val="000000" w:themeColor="text1"/>
              </w:rPr>
              <w:t>Якщо емітент не є фінансовою установою, звіт про корпоративне управління готується відповідно до вимог цього Закону.</w:t>
            </w:r>
          </w:p>
        </w:tc>
        <w:tc>
          <w:tcPr>
            <w:tcW w:w="3686" w:type="dxa"/>
          </w:tcPr>
          <w:p w14:paraId="72A0E4A3" w14:textId="77777777" w:rsidR="00D836EB" w:rsidRPr="00286216" w:rsidRDefault="00D836EB" w:rsidP="00D836EB">
            <w:pPr>
              <w:pStyle w:val="StyleProp"/>
              <w:rPr>
                <w:color w:val="000000" w:themeColor="text1"/>
                <w:szCs w:val="18"/>
              </w:rPr>
            </w:pPr>
          </w:p>
        </w:tc>
        <w:tc>
          <w:tcPr>
            <w:tcW w:w="1987" w:type="dxa"/>
          </w:tcPr>
          <w:p w14:paraId="217025B2" w14:textId="77777777" w:rsidR="00D836EB" w:rsidRPr="00286216" w:rsidRDefault="00D836EB" w:rsidP="00D836EB">
            <w:pPr>
              <w:pStyle w:val="StyleWisnow"/>
              <w:rPr>
                <w:color w:val="000000" w:themeColor="text1"/>
              </w:rPr>
            </w:pPr>
          </w:p>
        </w:tc>
        <w:tc>
          <w:tcPr>
            <w:tcW w:w="4818" w:type="dxa"/>
          </w:tcPr>
          <w:p w14:paraId="6662E777" w14:textId="1305ACD7" w:rsidR="00D836EB" w:rsidRPr="00286216" w:rsidRDefault="00D836EB" w:rsidP="00D836EB">
            <w:pPr>
              <w:pStyle w:val="StyleZakonu"/>
              <w:rPr>
                <w:color w:val="000000" w:themeColor="text1"/>
              </w:rPr>
            </w:pPr>
            <w:r w:rsidRPr="00286216">
              <w:rPr>
                <w:color w:val="000000" w:themeColor="text1"/>
              </w:rPr>
              <w:t>Якщо емітент не є фінансовою установою, звіт про корпоративне управління складається відповідно до вимог цього Закону.</w:t>
            </w:r>
          </w:p>
        </w:tc>
      </w:tr>
      <w:tr w:rsidR="00D836EB" w:rsidRPr="00286216" w14:paraId="58026798" w14:textId="77777777" w:rsidTr="00091AA5">
        <w:tc>
          <w:tcPr>
            <w:tcW w:w="576" w:type="dxa"/>
          </w:tcPr>
          <w:p w14:paraId="49A5998F" w14:textId="77777777" w:rsidR="00D836EB" w:rsidRPr="00286216" w:rsidRDefault="00D836EB" w:rsidP="00D836EB">
            <w:pPr>
              <w:pStyle w:val="StyleWisnow"/>
              <w:rPr>
                <w:color w:val="000000" w:themeColor="text1"/>
              </w:rPr>
            </w:pPr>
            <w:bookmarkStart w:id="1909" w:name="n2143" w:colFirst="0" w:colLast="0"/>
            <w:bookmarkEnd w:id="1908"/>
            <w:r w:rsidRPr="00286216">
              <w:rPr>
                <w:color w:val="000000" w:themeColor="text1"/>
              </w:rPr>
              <w:t>2143.</w:t>
            </w:r>
          </w:p>
        </w:tc>
        <w:tc>
          <w:tcPr>
            <w:tcW w:w="4818" w:type="dxa"/>
          </w:tcPr>
          <w:p w14:paraId="7100CDCD" w14:textId="77777777" w:rsidR="00D836EB" w:rsidRPr="00286216" w:rsidRDefault="00D836EB" w:rsidP="00D836EB">
            <w:pPr>
              <w:pStyle w:val="StyleZakonu"/>
              <w:rPr>
                <w:color w:val="000000" w:themeColor="text1"/>
              </w:rPr>
            </w:pPr>
            <w:r w:rsidRPr="00286216">
              <w:rPr>
                <w:color w:val="000000" w:themeColor="text1"/>
              </w:rPr>
              <w:t>Звіт про корпоративне управління повинен містити:</w:t>
            </w:r>
          </w:p>
        </w:tc>
        <w:tc>
          <w:tcPr>
            <w:tcW w:w="3686" w:type="dxa"/>
          </w:tcPr>
          <w:p w14:paraId="46E41CEB" w14:textId="77777777" w:rsidR="00D836EB" w:rsidRPr="00286216" w:rsidRDefault="00D836EB" w:rsidP="00D836EB">
            <w:pPr>
              <w:pStyle w:val="StyleProp"/>
              <w:rPr>
                <w:color w:val="000000" w:themeColor="text1"/>
                <w:szCs w:val="18"/>
              </w:rPr>
            </w:pPr>
          </w:p>
        </w:tc>
        <w:tc>
          <w:tcPr>
            <w:tcW w:w="1987" w:type="dxa"/>
          </w:tcPr>
          <w:p w14:paraId="38364F7E" w14:textId="77777777" w:rsidR="00D836EB" w:rsidRPr="00286216" w:rsidRDefault="00D836EB" w:rsidP="00D836EB">
            <w:pPr>
              <w:pStyle w:val="StyleWisnow"/>
              <w:rPr>
                <w:color w:val="000000" w:themeColor="text1"/>
              </w:rPr>
            </w:pPr>
          </w:p>
        </w:tc>
        <w:tc>
          <w:tcPr>
            <w:tcW w:w="4818" w:type="dxa"/>
          </w:tcPr>
          <w:p w14:paraId="169472BD" w14:textId="1C1F2A44" w:rsidR="00D836EB" w:rsidRPr="00286216" w:rsidRDefault="00D836EB" w:rsidP="00D836EB">
            <w:pPr>
              <w:pStyle w:val="StyleZakonu"/>
              <w:rPr>
                <w:color w:val="000000" w:themeColor="text1"/>
              </w:rPr>
            </w:pPr>
            <w:r w:rsidRPr="00286216">
              <w:rPr>
                <w:color w:val="000000" w:themeColor="text1"/>
              </w:rPr>
              <w:t>Звіт про корпоративне управління повинен містити такі відомості:</w:t>
            </w:r>
          </w:p>
        </w:tc>
      </w:tr>
      <w:tr w:rsidR="00D836EB" w:rsidRPr="00286216" w14:paraId="07B09427" w14:textId="77777777" w:rsidTr="00091AA5">
        <w:tc>
          <w:tcPr>
            <w:tcW w:w="576" w:type="dxa"/>
          </w:tcPr>
          <w:p w14:paraId="6F4D0F21" w14:textId="77777777" w:rsidR="00D836EB" w:rsidRPr="00286216" w:rsidRDefault="00D836EB" w:rsidP="00D836EB">
            <w:pPr>
              <w:pStyle w:val="StyleWisnow"/>
              <w:rPr>
                <w:color w:val="000000" w:themeColor="text1"/>
              </w:rPr>
            </w:pPr>
            <w:bookmarkStart w:id="1910" w:name="n2144" w:colFirst="0" w:colLast="0"/>
            <w:bookmarkEnd w:id="1909"/>
            <w:r w:rsidRPr="00286216">
              <w:rPr>
                <w:color w:val="000000" w:themeColor="text1"/>
              </w:rPr>
              <w:t>2144.</w:t>
            </w:r>
          </w:p>
        </w:tc>
        <w:tc>
          <w:tcPr>
            <w:tcW w:w="4818" w:type="dxa"/>
          </w:tcPr>
          <w:p w14:paraId="7A4A47D1" w14:textId="77777777" w:rsidR="00D836EB" w:rsidRPr="00286216" w:rsidRDefault="00D836EB" w:rsidP="00D836EB">
            <w:pPr>
              <w:pStyle w:val="StyleZakonu"/>
              <w:rPr>
                <w:color w:val="000000" w:themeColor="text1"/>
              </w:rPr>
            </w:pPr>
            <w:r w:rsidRPr="00286216">
              <w:rPr>
                <w:color w:val="000000" w:themeColor="text1"/>
              </w:rPr>
              <w:t>1) посилання на:</w:t>
            </w:r>
          </w:p>
        </w:tc>
        <w:tc>
          <w:tcPr>
            <w:tcW w:w="3686" w:type="dxa"/>
          </w:tcPr>
          <w:p w14:paraId="778A7334" w14:textId="1F8102F4" w:rsidR="00D836EB" w:rsidRPr="00286216" w:rsidRDefault="00D836EB" w:rsidP="00D836EB">
            <w:pPr>
              <w:spacing w:line="220" w:lineRule="exact"/>
              <w:rPr>
                <w:b/>
                <w:i/>
                <w:color w:val="000000" w:themeColor="text1"/>
                <w:spacing w:val="-8"/>
                <w:sz w:val="18"/>
                <w:szCs w:val="18"/>
                <w:u w:val="single"/>
              </w:rPr>
            </w:pPr>
            <w:r w:rsidRPr="00286216">
              <w:rPr>
                <w:b/>
                <w:i/>
                <w:color w:val="000000" w:themeColor="text1"/>
                <w:spacing w:val="-8"/>
                <w:sz w:val="18"/>
                <w:szCs w:val="18"/>
                <w:u w:val="single"/>
              </w:rPr>
              <w:t>-</w:t>
            </w:r>
            <w:r w:rsidRPr="00286216">
              <w:rPr>
                <w:b/>
                <w:i/>
                <w:color w:val="000000" w:themeColor="text1"/>
                <w:spacing w:val="-8"/>
                <w:sz w:val="18"/>
                <w:szCs w:val="18"/>
                <w:u w:val="single"/>
              </w:rPr>
              <w:fldChar w:fldCharType="begin"/>
            </w:r>
            <w:r w:rsidRPr="00286216">
              <w:rPr>
                <w:b/>
                <w:i/>
                <w:color w:val="000000" w:themeColor="text1"/>
                <w:spacing w:val="-8"/>
                <w:sz w:val="18"/>
                <w:szCs w:val="18"/>
                <w:u w:val="single"/>
              </w:rPr>
              <w:instrText xml:space="preserve"> SEQ aa </w:instrText>
            </w:r>
            <w:r w:rsidRPr="00286216">
              <w:rPr>
                <w:b/>
                <w:i/>
                <w:color w:val="000000" w:themeColor="text1"/>
                <w:spacing w:val="-8"/>
                <w:sz w:val="18"/>
                <w:szCs w:val="18"/>
                <w:u w:val="single"/>
              </w:rPr>
              <w:fldChar w:fldCharType="separate"/>
            </w:r>
            <w:r w:rsidR="00C46B29">
              <w:rPr>
                <w:b/>
                <w:i/>
                <w:noProof/>
                <w:color w:val="000000" w:themeColor="text1"/>
                <w:spacing w:val="-8"/>
                <w:sz w:val="18"/>
                <w:szCs w:val="18"/>
                <w:u w:val="single"/>
              </w:rPr>
              <w:t>1052</w:t>
            </w:r>
            <w:r w:rsidRPr="00286216">
              <w:rPr>
                <w:b/>
                <w:i/>
                <w:color w:val="000000" w:themeColor="text1"/>
                <w:spacing w:val="-8"/>
                <w:sz w:val="18"/>
                <w:szCs w:val="18"/>
                <w:u w:val="single"/>
              </w:rPr>
              <w:fldChar w:fldCharType="end"/>
            </w:r>
            <w:r w:rsidRPr="00286216">
              <w:rPr>
                <w:b/>
                <w:i/>
                <w:color w:val="000000" w:themeColor="text1"/>
                <w:spacing w:val="-8"/>
                <w:sz w:val="18"/>
                <w:szCs w:val="18"/>
                <w:u w:val="single"/>
              </w:rPr>
              <w:t>-Н.д.Бєлькова О.В. (Реєстр.картка №403)</w:t>
            </w:r>
          </w:p>
          <w:p w14:paraId="2BCF39EE" w14:textId="77777777" w:rsidR="00D836EB" w:rsidRPr="00286216" w:rsidRDefault="00D836EB" w:rsidP="00D836EB">
            <w:pPr>
              <w:pStyle w:val="StyleProp"/>
              <w:rPr>
                <w:color w:val="000000" w:themeColor="text1"/>
              </w:rPr>
            </w:pPr>
            <w:r w:rsidRPr="00286216">
              <w:rPr>
                <w:color w:val="000000" w:themeColor="text1"/>
              </w:rPr>
              <w:t>Абзац 1 пункту 1 частини 3 статті 123 викласті у такій редакції:</w:t>
            </w:r>
          </w:p>
          <w:p w14:paraId="0EB20D3F" w14:textId="1D12A41E" w:rsidR="00D836EB" w:rsidRPr="00286216" w:rsidRDefault="00D836EB" w:rsidP="00D836EB">
            <w:pPr>
              <w:pStyle w:val="StyleProp"/>
              <w:rPr>
                <w:color w:val="000000" w:themeColor="text1"/>
                <w:szCs w:val="18"/>
              </w:rPr>
            </w:pPr>
            <w:r w:rsidRPr="00286216">
              <w:rPr>
                <w:color w:val="000000" w:themeColor="text1"/>
              </w:rPr>
              <w:t>"1) одне з таких посилань на".</w:t>
            </w:r>
          </w:p>
        </w:tc>
        <w:tc>
          <w:tcPr>
            <w:tcW w:w="1987" w:type="dxa"/>
          </w:tcPr>
          <w:p w14:paraId="5FB2E827" w14:textId="4C916048" w:rsidR="00D836EB" w:rsidRPr="00286216" w:rsidRDefault="00D836EB" w:rsidP="00D836EB">
            <w:pPr>
              <w:pStyle w:val="StyleWisnow"/>
              <w:rPr>
                <w:color w:val="000000" w:themeColor="text1"/>
              </w:rPr>
            </w:pPr>
            <w:r w:rsidRPr="00286216">
              <w:rPr>
                <w:color w:val="000000" w:themeColor="text1"/>
              </w:rPr>
              <w:t>Враховано</w:t>
            </w:r>
          </w:p>
        </w:tc>
        <w:tc>
          <w:tcPr>
            <w:tcW w:w="4818" w:type="dxa"/>
          </w:tcPr>
          <w:p w14:paraId="6D80F7D5" w14:textId="449405EF" w:rsidR="00D836EB" w:rsidRPr="00286216" w:rsidRDefault="00D836EB" w:rsidP="00D836EB">
            <w:pPr>
              <w:pStyle w:val="StyleZakonu"/>
              <w:rPr>
                <w:color w:val="000000" w:themeColor="text1"/>
              </w:rPr>
            </w:pPr>
            <w:r w:rsidRPr="00286216">
              <w:rPr>
                <w:color w:val="000000" w:themeColor="text1"/>
              </w:rPr>
              <w:t>1) одне з таких посилань на:</w:t>
            </w:r>
          </w:p>
        </w:tc>
      </w:tr>
      <w:tr w:rsidR="00D836EB" w:rsidRPr="00286216" w14:paraId="3D4AF9B5" w14:textId="77777777" w:rsidTr="00091AA5">
        <w:tc>
          <w:tcPr>
            <w:tcW w:w="576" w:type="dxa"/>
          </w:tcPr>
          <w:p w14:paraId="1C3053B1" w14:textId="77777777" w:rsidR="00D836EB" w:rsidRPr="00286216" w:rsidRDefault="00D836EB" w:rsidP="00D836EB">
            <w:pPr>
              <w:pStyle w:val="StyleWisnow"/>
              <w:rPr>
                <w:color w:val="000000" w:themeColor="text1"/>
              </w:rPr>
            </w:pPr>
            <w:bookmarkStart w:id="1911" w:name="n2145" w:colFirst="0" w:colLast="0"/>
            <w:bookmarkEnd w:id="1910"/>
            <w:r w:rsidRPr="00286216">
              <w:rPr>
                <w:color w:val="000000" w:themeColor="text1"/>
              </w:rPr>
              <w:t>2145.</w:t>
            </w:r>
          </w:p>
        </w:tc>
        <w:tc>
          <w:tcPr>
            <w:tcW w:w="4818" w:type="dxa"/>
          </w:tcPr>
          <w:p w14:paraId="050777A2" w14:textId="77777777" w:rsidR="00D836EB" w:rsidRPr="00286216" w:rsidRDefault="00D836EB" w:rsidP="00D836EB">
            <w:pPr>
              <w:pStyle w:val="StyleZakonu"/>
              <w:rPr>
                <w:color w:val="000000" w:themeColor="text1"/>
              </w:rPr>
            </w:pPr>
            <w:r w:rsidRPr="00286216">
              <w:rPr>
                <w:color w:val="000000" w:themeColor="text1"/>
              </w:rPr>
              <w:t>а) власний кодекс корпоративного управління, яким керується емітент;</w:t>
            </w:r>
          </w:p>
        </w:tc>
        <w:tc>
          <w:tcPr>
            <w:tcW w:w="3686" w:type="dxa"/>
          </w:tcPr>
          <w:p w14:paraId="0A853C86" w14:textId="77777777" w:rsidR="00D836EB" w:rsidRPr="00286216" w:rsidRDefault="00D836EB" w:rsidP="00D836EB">
            <w:pPr>
              <w:pStyle w:val="StyleProp"/>
              <w:rPr>
                <w:color w:val="000000" w:themeColor="text1"/>
                <w:szCs w:val="18"/>
              </w:rPr>
            </w:pPr>
          </w:p>
        </w:tc>
        <w:tc>
          <w:tcPr>
            <w:tcW w:w="1987" w:type="dxa"/>
          </w:tcPr>
          <w:p w14:paraId="346F9CC6" w14:textId="77777777" w:rsidR="00D836EB" w:rsidRPr="00286216" w:rsidRDefault="00D836EB" w:rsidP="00D836EB">
            <w:pPr>
              <w:pStyle w:val="StyleWisnow"/>
              <w:rPr>
                <w:color w:val="000000" w:themeColor="text1"/>
              </w:rPr>
            </w:pPr>
          </w:p>
        </w:tc>
        <w:tc>
          <w:tcPr>
            <w:tcW w:w="4818" w:type="dxa"/>
          </w:tcPr>
          <w:p w14:paraId="38DE2555" w14:textId="1196E7CF" w:rsidR="00D836EB" w:rsidRPr="00286216" w:rsidRDefault="00D836EB" w:rsidP="00D836EB">
            <w:pPr>
              <w:pStyle w:val="StyleZakonu"/>
              <w:rPr>
                <w:color w:val="000000" w:themeColor="text1"/>
              </w:rPr>
            </w:pPr>
            <w:r w:rsidRPr="00286216">
              <w:rPr>
                <w:color w:val="000000" w:themeColor="text1"/>
              </w:rPr>
              <w:t>а) власний кодекс корпоративного управління, яким керується емітент;</w:t>
            </w:r>
          </w:p>
        </w:tc>
      </w:tr>
      <w:tr w:rsidR="00D836EB" w:rsidRPr="00286216" w14:paraId="0DAB5757" w14:textId="77777777" w:rsidTr="00091AA5">
        <w:tc>
          <w:tcPr>
            <w:tcW w:w="576" w:type="dxa"/>
          </w:tcPr>
          <w:p w14:paraId="005A67B4" w14:textId="77777777" w:rsidR="00D836EB" w:rsidRPr="00286216" w:rsidRDefault="00D836EB" w:rsidP="00D836EB">
            <w:pPr>
              <w:pStyle w:val="StyleWisnow"/>
              <w:rPr>
                <w:color w:val="000000" w:themeColor="text1"/>
              </w:rPr>
            </w:pPr>
            <w:bookmarkStart w:id="1912" w:name="n2146" w:colFirst="0" w:colLast="0"/>
            <w:bookmarkEnd w:id="1911"/>
            <w:r w:rsidRPr="00286216">
              <w:rPr>
                <w:color w:val="000000" w:themeColor="text1"/>
              </w:rPr>
              <w:t>2146.</w:t>
            </w:r>
          </w:p>
        </w:tc>
        <w:tc>
          <w:tcPr>
            <w:tcW w:w="4818" w:type="dxa"/>
          </w:tcPr>
          <w:p w14:paraId="27491ACA" w14:textId="77777777" w:rsidR="00D836EB" w:rsidRPr="00286216" w:rsidRDefault="00D836EB" w:rsidP="00D836EB">
            <w:pPr>
              <w:pStyle w:val="StyleZakonu"/>
              <w:rPr>
                <w:color w:val="000000" w:themeColor="text1"/>
              </w:rPr>
            </w:pPr>
            <w:r w:rsidRPr="00286216">
              <w:rPr>
                <w:color w:val="000000" w:themeColor="text1"/>
              </w:rPr>
              <w:t>б) кодекс корпоративного управління оператора організованого ринку капіталу, об’єднання юридичних осіб або інший кодекс корпоративного управління, який емітент добровільно вирішив застосовувати;</w:t>
            </w:r>
          </w:p>
        </w:tc>
        <w:tc>
          <w:tcPr>
            <w:tcW w:w="3686" w:type="dxa"/>
          </w:tcPr>
          <w:p w14:paraId="3A958C47" w14:textId="77777777" w:rsidR="00D836EB" w:rsidRPr="00286216" w:rsidRDefault="00D836EB" w:rsidP="00D836EB">
            <w:pPr>
              <w:pStyle w:val="StyleProp"/>
              <w:rPr>
                <w:color w:val="000000" w:themeColor="text1"/>
                <w:szCs w:val="18"/>
              </w:rPr>
            </w:pPr>
          </w:p>
        </w:tc>
        <w:tc>
          <w:tcPr>
            <w:tcW w:w="1987" w:type="dxa"/>
          </w:tcPr>
          <w:p w14:paraId="1633604E" w14:textId="77777777" w:rsidR="00D836EB" w:rsidRPr="00286216" w:rsidRDefault="00D836EB" w:rsidP="00D836EB">
            <w:pPr>
              <w:pStyle w:val="StyleWisnow"/>
              <w:rPr>
                <w:color w:val="000000" w:themeColor="text1"/>
              </w:rPr>
            </w:pPr>
          </w:p>
        </w:tc>
        <w:tc>
          <w:tcPr>
            <w:tcW w:w="4818" w:type="dxa"/>
          </w:tcPr>
          <w:p w14:paraId="4C024203" w14:textId="0B6152DD" w:rsidR="00D836EB" w:rsidRPr="00286216" w:rsidRDefault="00D836EB" w:rsidP="00D836EB">
            <w:pPr>
              <w:pStyle w:val="StyleZakonu"/>
              <w:rPr>
                <w:color w:val="000000" w:themeColor="text1"/>
              </w:rPr>
            </w:pPr>
            <w:r w:rsidRPr="00286216">
              <w:rPr>
                <w:color w:val="000000" w:themeColor="text1"/>
              </w:rPr>
              <w:t>б) кодекс корпоративного управління оператора організованого ринку капіталу, об’єднання юридичних осіб або інший кодекс корпоративного управління, який емітент добровільно вирішив застосовувати;</w:t>
            </w:r>
          </w:p>
        </w:tc>
      </w:tr>
      <w:tr w:rsidR="00D836EB" w:rsidRPr="00286216" w14:paraId="3C36D45F" w14:textId="77777777" w:rsidTr="00091AA5">
        <w:tc>
          <w:tcPr>
            <w:tcW w:w="576" w:type="dxa"/>
          </w:tcPr>
          <w:p w14:paraId="01426DD1" w14:textId="77777777" w:rsidR="00D836EB" w:rsidRPr="00286216" w:rsidRDefault="00D836EB" w:rsidP="00D836EB">
            <w:pPr>
              <w:pStyle w:val="StyleWisnow"/>
              <w:rPr>
                <w:color w:val="000000" w:themeColor="text1"/>
              </w:rPr>
            </w:pPr>
            <w:bookmarkStart w:id="1913" w:name="n2147" w:colFirst="0" w:colLast="0"/>
            <w:bookmarkEnd w:id="1912"/>
            <w:r w:rsidRPr="00286216">
              <w:rPr>
                <w:color w:val="000000" w:themeColor="text1"/>
              </w:rPr>
              <w:t>2147.</w:t>
            </w:r>
          </w:p>
        </w:tc>
        <w:tc>
          <w:tcPr>
            <w:tcW w:w="4818" w:type="dxa"/>
          </w:tcPr>
          <w:p w14:paraId="6C7B89CB" w14:textId="77777777" w:rsidR="00D836EB" w:rsidRPr="00286216" w:rsidRDefault="00D836EB" w:rsidP="00D836EB">
            <w:pPr>
              <w:pStyle w:val="StyleZakonu"/>
              <w:rPr>
                <w:color w:val="000000" w:themeColor="text1"/>
              </w:rPr>
            </w:pPr>
            <w:r w:rsidRPr="00286216">
              <w:rPr>
                <w:color w:val="000000" w:themeColor="text1"/>
              </w:rPr>
              <w:t xml:space="preserve">в) всю відповідну інформацію про практику </w:t>
            </w:r>
            <w:r w:rsidRPr="00286216">
              <w:rPr>
                <w:color w:val="000000" w:themeColor="text1"/>
              </w:rPr>
              <w:lastRenderedPageBreak/>
              <w:t>корпоративного управління, застосовувану понад визначені законодавством вимоги.</w:t>
            </w:r>
          </w:p>
        </w:tc>
        <w:tc>
          <w:tcPr>
            <w:tcW w:w="3686" w:type="dxa"/>
          </w:tcPr>
          <w:p w14:paraId="5A622AA8" w14:textId="77777777" w:rsidR="00D836EB" w:rsidRPr="00286216" w:rsidRDefault="00D836EB" w:rsidP="00D836EB">
            <w:pPr>
              <w:pStyle w:val="StyleProp"/>
              <w:rPr>
                <w:color w:val="000000" w:themeColor="text1"/>
                <w:szCs w:val="18"/>
              </w:rPr>
            </w:pPr>
          </w:p>
        </w:tc>
        <w:tc>
          <w:tcPr>
            <w:tcW w:w="1987" w:type="dxa"/>
          </w:tcPr>
          <w:p w14:paraId="030B426E" w14:textId="77777777" w:rsidR="00D836EB" w:rsidRPr="00286216" w:rsidRDefault="00D836EB" w:rsidP="00D836EB">
            <w:pPr>
              <w:pStyle w:val="StyleWisnow"/>
              <w:rPr>
                <w:color w:val="000000" w:themeColor="text1"/>
              </w:rPr>
            </w:pPr>
          </w:p>
        </w:tc>
        <w:tc>
          <w:tcPr>
            <w:tcW w:w="4818" w:type="dxa"/>
          </w:tcPr>
          <w:p w14:paraId="62002FCE" w14:textId="3FED8C52" w:rsidR="00D836EB" w:rsidRPr="00286216" w:rsidRDefault="00D836EB" w:rsidP="00D836EB">
            <w:pPr>
              <w:pStyle w:val="StyleZakonu"/>
              <w:rPr>
                <w:color w:val="000000" w:themeColor="text1"/>
              </w:rPr>
            </w:pPr>
            <w:r w:rsidRPr="00286216">
              <w:rPr>
                <w:color w:val="000000" w:themeColor="text1"/>
              </w:rPr>
              <w:t xml:space="preserve">в) всю інформацію про практику корпоративного </w:t>
            </w:r>
            <w:r w:rsidRPr="00286216">
              <w:rPr>
                <w:color w:val="000000" w:themeColor="text1"/>
              </w:rPr>
              <w:lastRenderedPageBreak/>
              <w:t>управління, застосовувану понад визначені законодавством вимоги.</w:t>
            </w:r>
          </w:p>
        </w:tc>
      </w:tr>
      <w:tr w:rsidR="00D836EB" w:rsidRPr="00286216" w14:paraId="5793CA55" w14:textId="77777777" w:rsidTr="00091AA5">
        <w:tc>
          <w:tcPr>
            <w:tcW w:w="576" w:type="dxa"/>
          </w:tcPr>
          <w:p w14:paraId="1E7E0586" w14:textId="77777777" w:rsidR="00D836EB" w:rsidRPr="00286216" w:rsidRDefault="00D836EB" w:rsidP="00D836EB">
            <w:pPr>
              <w:pStyle w:val="StyleWisnow"/>
              <w:rPr>
                <w:color w:val="000000" w:themeColor="text1"/>
              </w:rPr>
            </w:pPr>
            <w:bookmarkStart w:id="1914" w:name="n2148" w:colFirst="0" w:colLast="0"/>
            <w:bookmarkEnd w:id="1913"/>
            <w:r w:rsidRPr="00286216">
              <w:rPr>
                <w:color w:val="000000" w:themeColor="text1"/>
              </w:rPr>
              <w:lastRenderedPageBreak/>
              <w:t>2148.</w:t>
            </w:r>
          </w:p>
        </w:tc>
        <w:tc>
          <w:tcPr>
            <w:tcW w:w="4818" w:type="dxa"/>
          </w:tcPr>
          <w:p w14:paraId="63A6A451" w14:textId="77777777" w:rsidR="00D836EB" w:rsidRPr="00286216" w:rsidRDefault="00D836EB" w:rsidP="00D836EB">
            <w:pPr>
              <w:pStyle w:val="StyleZakonu"/>
              <w:rPr>
                <w:color w:val="000000" w:themeColor="text1"/>
              </w:rPr>
            </w:pPr>
            <w:r w:rsidRPr="00286216">
              <w:rPr>
                <w:color w:val="000000" w:themeColor="text1"/>
              </w:rPr>
              <w:t>Якщо робиться посилання на кодекс корпоративного управління, зазначений у підпунктах "а" або "б", емітент також надає посилання, де відповідні тексти перебувають у публічному доступі. Якщо робиться посилання на інформацію, зазначену у підпункті "в", емітент надає інформацію про практику корпоративного управління;</w:t>
            </w:r>
          </w:p>
        </w:tc>
        <w:tc>
          <w:tcPr>
            <w:tcW w:w="3686" w:type="dxa"/>
          </w:tcPr>
          <w:p w14:paraId="0AFAB1F0" w14:textId="77777777" w:rsidR="00D836EB" w:rsidRPr="00286216" w:rsidRDefault="00D836EB" w:rsidP="00D836EB">
            <w:pPr>
              <w:pStyle w:val="StyleProp"/>
              <w:rPr>
                <w:color w:val="000000" w:themeColor="text1"/>
                <w:szCs w:val="18"/>
              </w:rPr>
            </w:pPr>
          </w:p>
        </w:tc>
        <w:tc>
          <w:tcPr>
            <w:tcW w:w="1987" w:type="dxa"/>
          </w:tcPr>
          <w:p w14:paraId="4E88F6FD" w14:textId="77777777" w:rsidR="00D836EB" w:rsidRPr="00286216" w:rsidRDefault="00D836EB" w:rsidP="00D836EB">
            <w:pPr>
              <w:pStyle w:val="StyleWisnow"/>
              <w:rPr>
                <w:color w:val="000000" w:themeColor="text1"/>
              </w:rPr>
            </w:pPr>
          </w:p>
        </w:tc>
        <w:tc>
          <w:tcPr>
            <w:tcW w:w="4818" w:type="dxa"/>
          </w:tcPr>
          <w:p w14:paraId="77782797" w14:textId="34859318" w:rsidR="00D836EB" w:rsidRPr="00286216" w:rsidRDefault="00D836EB" w:rsidP="00D836EB">
            <w:pPr>
              <w:pStyle w:val="StyleZakonu"/>
              <w:rPr>
                <w:color w:val="000000" w:themeColor="text1"/>
              </w:rPr>
            </w:pPr>
            <w:r w:rsidRPr="00286216">
              <w:rPr>
                <w:color w:val="000000" w:themeColor="text1"/>
              </w:rPr>
              <w:t>У разі посилання на кодекс корпоративного управління, зазначений у підпункті "а" або "б", емітент також надає посилання де на текст відповідного кодексу перебувають у публічному доступі. У разі посилання на інформацію, зазначену у підпункті "в", емітент надає інформацію про практику корпоративного управління;</w:t>
            </w:r>
          </w:p>
        </w:tc>
      </w:tr>
      <w:tr w:rsidR="00826C07" w:rsidRPr="00286216" w14:paraId="37FBE23C" w14:textId="77777777" w:rsidTr="00091AA5">
        <w:tc>
          <w:tcPr>
            <w:tcW w:w="576" w:type="dxa"/>
          </w:tcPr>
          <w:p w14:paraId="5BC61018" w14:textId="77777777" w:rsidR="00826C07" w:rsidRPr="00286216" w:rsidRDefault="00826C07" w:rsidP="00826C07">
            <w:pPr>
              <w:pStyle w:val="StyleWisnow"/>
              <w:rPr>
                <w:color w:val="000000" w:themeColor="text1"/>
              </w:rPr>
            </w:pPr>
            <w:bookmarkStart w:id="1915" w:name="n2149" w:colFirst="0" w:colLast="0"/>
            <w:bookmarkEnd w:id="1914"/>
            <w:r w:rsidRPr="00286216">
              <w:rPr>
                <w:color w:val="000000" w:themeColor="text1"/>
              </w:rPr>
              <w:t>2149.</w:t>
            </w:r>
          </w:p>
        </w:tc>
        <w:tc>
          <w:tcPr>
            <w:tcW w:w="4818" w:type="dxa"/>
          </w:tcPr>
          <w:p w14:paraId="5864542A" w14:textId="77777777" w:rsidR="00826C07" w:rsidRPr="00286216" w:rsidRDefault="00826C07" w:rsidP="00826C07">
            <w:pPr>
              <w:pStyle w:val="StyleZakonu"/>
              <w:rPr>
                <w:color w:val="000000" w:themeColor="text1"/>
              </w:rPr>
            </w:pPr>
            <w:r w:rsidRPr="00286216">
              <w:rPr>
                <w:color w:val="000000" w:themeColor="text1"/>
              </w:rPr>
              <w:t>2) якщо емітент відхиляється від положень кодексу корпоративного управління, зазначеного в підпунктах "а" або "б" пункту 1 цієї частини, пояснення із сторони емітента, від яких частин кодексу корпоративного управління такий емітент відхиляється і причини таких відхилень. Якщо емітент прийняв рішення не застосовувати деякі положення кодексу корпоративного управління, зазначеного в підпунктах "а" або "б" пункту 1 цієї частини, він обґрунтовує причини таких дій;</w:t>
            </w:r>
          </w:p>
        </w:tc>
        <w:tc>
          <w:tcPr>
            <w:tcW w:w="3686" w:type="dxa"/>
          </w:tcPr>
          <w:p w14:paraId="1BFDBB3B" w14:textId="77777777" w:rsidR="00826C07" w:rsidRPr="00286216" w:rsidRDefault="00826C07" w:rsidP="00826C07">
            <w:pPr>
              <w:pStyle w:val="StyleProp"/>
              <w:rPr>
                <w:color w:val="000000" w:themeColor="text1"/>
                <w:szCs w:val="18"/>
              </w:rPr>
            </w:pPr>
          </w:p>
        </w:tc>
        <w:tc>
          <w:tcPr>
            <w:tcW w:w="1987" w:type="dxa"/>
          </w:tcPr>
          <w:p w14:paraId="70049674" w14:textId="77777777" w:rsidR="00826C07" w:rsidRPr="00286216" w:rsidRDefault="00826C07" w:rsidP="00826C07">
            <w:pPr>
              <w:pStyle w:val="StyleWisnow"/>
              <w:rPr>
                <w:color w:val="000000" w:themeColor="text1"/>
              </w:rPr>
            </w:pPr>
          </w:p>
        </w:tc>
        <w:tc>
          <w:tcPr>
            <w:tcW w:w="4818" w:type="dxa"/>
          </w:tcPr>
          <w:p w14:paraId="7B0CE00A" w14:textId="6F054035" w:rsidR="00826C07" w:rsidRPr="00286216" w:rsidRDefault="00D836EB" w:rsidP="004D649E">
            <w:pPr>
              <w:pStyle w:val="StyleZakonu"/>
              <w:rPr>
                <w:color w:val="000000" w:themeColor="text1"/>
              </w:rPr>
            </w:pPr>
            <w:r w:rsidRPr="00286216">
              <w:rPr>
                <w:color w:val="000000" w:themeColor="text1"/>
              </w:rPr>
              <w:t>2) пояснення емітента щодо причин відхилення та частини кодексу корпоративного управління, від яких відхиляється емітент у разі відхилення емітента від положень кодексу корпоративного управління передбаченого пунктами “а” або “б” пункту 1 цієї частини</w:t>
            </w:r>
            <w:r w:rsidR="00826C07" w:rsidRPr="00286216">
              <w:rPr>
                <w:color w:val="000000" w:themeColor="text1"/>
              </w:rPr>
              <w:t>. Якщо емітент прийняв рішення не застосовувати деякі положення кодексу корпоративного управління, зазначеного в підпунктах "а" або "б" пункту 1 цієї частини, він обґрунтовує причини таких дій;</w:t>
            </w:r>
          </w:p>
        </w:tc>
      </w:tr>
      <w:tr w:rsidR="00D836EB" w:rsidRPr="00286216" w14:paraId="46760C11" w14:textId="77777777" w:rsidTr="00091AA5">
        <w:tc>
          <w:tcPr>
            <w:tcW w:w="576" w:type="dxa"/>
          </w:tcPr>
          <w:p w14:paraId="5522E259" w14:textId="77777777" w:rsidR="00D836EB" w:rsidRPr="00286216" w:rsidRDefault="00D836EB" w:rsidP="00D836EB">
            <w:pPr>
              <w:pStyle w:val="StyleWisnow"/>
              <w:rPr>
                <w:color w:val="000000" w:themeColor="text1"/>
              </w:rPr>
            </w:pPr>
            <w:bookmarkStart w:id="1916" w:name="n2150" w:colFirst="0" w:colLast="0"/>
            <w:bookmarkEnd w:id="1915"/>
            <w:r w:rsidRPr="00286216">
              <w:rPr>
                <w:color w:val="000000" w:themeColor="text1"/>
              </w:rPr>
              <w:t>2150.</w:t>
            </w:r>
          </w:p>
        </w:tc>
        <w:tc>
          <w:tcPr>
            <w:tcW w:w="4818" w:type="dxa"/>
          </w:tcPr>
          <w:p w14:paraId="36526645" w14:textId="77777777" w:rsidR="00D836EB" w:rsidRPr="00286216" w:rsidRDefault="00D836EB" w:rsidP="00D836EB">
            <w:pPr>
              <w:pStyle w:val="StyleZakonu"/>
              <w:rPr>
                <w:color w:val="000000" w:themeColor="text1"/>
              </w:rPr>
            </w:pPr>
            <w:r w:rsidRPr="00286216">
              <w:rPr>
                <w:color w:val="000000" w:themeColor="text1"/>
              </w:rPr>
              <w:t>3) інформацію про проведені загальні збори акціонерів (учасників) та загальний опис прийнятих на таких зборах разом рішень;</w:t>
            </w:r>
          </w:p>
        </w:tc>
        <w:tc>
          <w:tcPr>
            <w:tcW w:w="3686" w:type="dxa"/>
          </w:tcPr>
          <w:p w14:paraId="122A3B2A" w14:textId="77777777" w:rsidR="00D836EB" w:rsidRPr="00286216" w:rsidRDefault="00D836EB" w:rsidP="00D836EB">
            <w:pPr>
              <w:pStyle w:val="StyleProp"/>
              <w:rPr>
                <w:color w:val="000000" w:themeColor="text1"/>
                <w:szCs w:val="18"/>
              </w:rPr>
            </w:pPr>
          </w:p>
        </w:tc>
        <w:tc>
          <w:tcPr>
            <w:tcW w:w="1987" w:type="dxa"/>
          </w:tcPr>
          <w:p w14:paraId="792C626B" w14:textId="77777777" w:rsidR="00D836EB" w:rsidRPr="00286216" w:rsidRDefault="00D836EB" w:rsidP="00D836EB">
            <w:pPr>
              <w:pStyle w:val="StyleWisnow"/>
              <w:rPr>
                <w:color w:val="000000" w:themeColor="text1"/>
              </w:rPr>
            </w:pPr>
          </w:p>
        </w:tc>
        <w:tc>
          <w:tcPr>
            <w:tcW w:w="4818" w:type="dxa"/>
          </w:tcPr>
          <w:p w14:paraId="36C88A7F" w14:textId="348AE60B" w:rsidR="00D836EB" w:rsidRPr="00286216" w:rsidRDefault="00D836EB" w:rsidP="00D836EB">
            <w:pPr>
              <w:pStyle w:val="StyleZakonu"/>
              <w:rPr>
                <w:color w:val="000000" w:themeColor="text1"/>
              </w:rPr>
            </w:pPr>
            <w:r w:rsidRPr="00286216">
              <w:rPr>
                <w:color w:val="000000" w:themeColor="text1"/>
              </w:rPr>
              <w:t>3) інформацію про проведені загальні збори акціонерів (учасників) та загальний опис прийнятих на таких зборах рішень;</w:t>
            </w:r>
          </w:p>
        </w:tc>
      </w:tr>
      <w:tr w:rsidR="00D836EB" w:rsidRPr="00286216" w14:paraId="26379C58" w14:textId="77777777" w:rsidTr="00091AA5">
        <w:tc>
          <w:tcPr>
            <w:tcW w:w="576" w:type="dxa"/>
          </w:tcPr>
          <w:p w14:paraId="39B9D187" w14:textId="77777777" w:rsidR="00D836EB" w:rsidRPr="00286216" w:rsidRDefault="00D836EB" w:rsidP="00D836EB">
            <w:pPr>
              <w:pStyle w:val="StyleWisnow"/>
              <w:rPr>
                <w:color w:val="000000" w:themeColor="text1"/>
              </w:rPr>
            </w:pPr>
            <w:bookmarkStart w:id="1917" w:name="n2151" w:colFirst="0" w:colLast="0"/>
            <w:bookmarkEnd w:id="1916"/>
            <w:r w:rsidRPr="00286216">
              <w:rPr>
                <w:color w:val="000000" w:themeColor="text1"/>
              </w:rPr>
              <w:t>2151.</w:t>
            </w:r>
          </w:p>
        </w:tc>
        <w:tc>
          <w:tcPr>
            <w:tcW w:w="4818" w:type="dxa"/>
          </w:tcPr>
          <w:p w14:paraId="28A7EA5B" w14:textId="77777777" w:rsidR="00D836EB" w:rsidRPr="00286216" w:rsidRDefault="00D836EB" w:rsidP="00D836EB">
            <w:pPr>
              <w:pStyle w:val="StyleZakonu"/>
              <w:rPr>
                <w:color w:val="000000" w:themeColor="text1"/>
              </w:rPr>
            </w:pPr>
            <w:r w:rsidRPr="00286216">
              <w:rPr>
                <w:color w:val="000000" w:themeColor="text1"/>
              </w:rPr>
              <w:t>4) персональний склад наглядової ради та колегіального виконавчого органу (за наявності) емітента, їхніх комітетів ( за наявності), інформацію про проведені засідання та загальний опис прийнятих на них рішень;</w:t>
            </w:r>
          </w:p>
        </w:tc>
        <w:tc>
          <w:tcPr>
            <w:tcW w:w="3686" w:type="dxa"/>
          </w:tcPr>
          <w:p w14:paraId="4CD67562" w14:textId="77777777" w:rsidR="00D836EB" w:rsidRPr="00286216" w:rsidRDefault="00D836EB" w:rsidP="00D836EB">
            <w:pPr>
              <w:pStyle w:val="StyleProp"/>
              <w:rPr>
                <w:color w:val="000000" w:themeColor="text1"/>
                <w:szCs w:val="18"/>
              </w:rPr>
            </w:pPr>
          </w:p>
        </w:tc>
        <w:tc>
          <w:tcPr>
            <w:tcW w:w="1987" w:type="dxa"/>
          </w:tcPr>
          <w:p w14:paraId="5A61FFA6" w14:textId="77777777" w:rsidR="00D836EB" w:rsidRPr="00286216" w:rsidRDefault="00D836EB" w:rsidP="00D836EB">
            <w:pPr>
              <w:pStyle w:val="StyleWisnow"/>
              <w:rPr>
                <w:color w:val="000000" w:themeColor="text1"/>
              </w:rPr>
            </w:pPr>
          </w:p>
        </w:tc>
        <w:tc>
          <w:tcPr>
            <w:tcW w:w="4818" w:type="dxa"/>
          </w:tcPr>
          <w:p w14:paraId="7C997558" w14:textId="79C0A399" w:rsidR="00D836EB" w:rsidRPr="00286216" w:rsidRDefault="00D836EB" w:rsidP="00D836EB">
            <w:pPr>
              <w:pStyle w:val="StyleZakonu"/>
              <w:rPr>
                <w:color w:val="000000" w:themeColor="text1"/>
              </w:rPr>
            </w:pPr>
            <w:r w:rsidRPr="00286216">
              <w:rPr>
                <w:color w:val="000000" w:themeColor="text1"/>
              </w:rPr>
              <w:t>4) персональний склад наглядової ради та колегіального виконавчого органу (за наявності) емітента, їх комітетів (за наявності), інформацію про проведені засідання та загальний опис прийнятих рішень;</w:t>
            </w:r>
          </w:p>
        </w:tc>
      </w:tr>
      <w:tr w:rsidR="00D836EB" w:rsidRPr="00286216" w14:paraId="62F0AD82" w14:textId="77777777" w:rsidTr="00091AA5">
        <w:tc>
          <w:tcPr>
            <w:tcW w:w="576" w:type="dxa"/>
          </w:tcPr>
          <w:p w14:paraId="3E759AAF" w14:textId="77777777" w:rsidR="00D836EB" w:rsidRPr="00286216" w:rsidRDefault="00D836EB" w:rsidP="00D836EB">
            <w:pPr>
              <w:pStyle w:val="StyleWisnow"/>
              <w:rPr>
                <w:color w:val="000000" w:themeColor="text1"/>
              </w:rPr>
            </w:pPr>
            <w:bookmarkStart w:id="1918" w:name="n2152" w:colFirst="0" w:colLast="0"/>
            <w:bookmarkEnd w:id="1917"/>
            <w:r w:rsidRPr="00286216">
              <w:rPr>
                <w:color w:val="000000" w:themeColor="text1"/>
              </w:rPr>
              <w:t>2152.</w:t>
            </w:r>
          </w:p>
        </w:tc>
        <w:tc>
          <w:tcPr>
            <w:tcW w:w="4818" w:type="dxa"/>
          </w:tcPr>
          <w:p w14:paraId="40BC06B0" w14:textId="77777777" w:rsidR="00D836EB" w:rsidRPr="00286216" w:rsidRDefault="00D836EB" w:rsidP="00D836EB">
            <w:pPr>
              <w:pStyle w:val="StyleZakonu"/>
              <w:rPr>
                <w:color w:val="000000" w:themeColor="text1"/>
              </w:rPr>
            </w:pPr>
            <w:r w:rsidRPr="00286216">
              <w:rPr>
                <w:color w:val="000000" w:themeColor="text1"/>
              </w:rPr>
              <w:t>5) опис основних характеристик систем внутрішнього контролю і управління ризиками емітента;</w:t>
            </w:r>
          </w:p>
        </w:tc>
        <w:tc>
          <w:tcPr>
            <w:tcW w:w="3686" w:type="dxa"/>
          </w:tcPr>
          <w:p w14:paraId="085962FC" w14:textId="77777777" w:rsidR="00D836EB" w:rsidRPr="00286216" w:rsidRDefault="00D836EB" w:rsidP="00D836EB">
            <w:pPr>
              <w:pStyle w:val="StyleProp"/>
              <w:rPr>
                <w:color w:val="000000" w:themeColor="text1"/>
                <w:szCs w:val="18"/>
              </w:rPr>
            </w:pPr>
          </w:p>
        </w:tc>
        <w:tc>
          <w:tcPr>
            <w:tcW w:w="1987" w:type="dxa"/>
          </w:tcPr>
          <w:p w14:paraId="6837173D" w14:textId="77777777" w:rsidR="00D836EB" w:rsidRPr="00286216" w:rsidRDefault="00D836EB" w:rsidP="00D836EB">
            <w:pPr>
              <w:pStyle w:val="StyleWisnow"/>
              <w:rPr>
                <w:color w:val="000000" w:themeColor="text1"/>
              </w:rPr>
            </w:pPr>
          </w:p>
        </w:tc>
        <w:tc>
          <w:tcPr>
            <w:tcW w:w="4818" w:type="dxa"/>
          </w:tcPr>
          <w:p w14:paraId="24837A1F" w14:textId="3753C37E" w:rsidR="00D836EB" w:rsidRPr="00286216" w:rsidRDefault="00D836EB" w:rsidP="00D836EB">
            <w:pPr>
              <w:pStyle w:val="StyleZakonu"/>
              <w:rPr>
                <w:color w:val="000000" w:themeColor="text1"/>
              </w:rPr>
            </w:pPr>
            <w:r w:rsidRPr="00286216">
              <w:rPr>
                <w:color w:val="000000" w:themeColor="text1"/>
              </w:rPr>
              <w:t>5) опис основних характеристик систем внутрішнього контролю і управління ризиками емітента;</w:t>
            </w:r>
          </w:p>
        </w:tc>
      </w:tr>
      <w:tr w:rsidR="00D836EB" w:rsidRPr="00286216" w14:paraId="7A3E0A6A" w14:textId="77777777" w:rsidTr="00091AA5">
        <w:tc>
          <w:tcPr>
            <w:tcW w:w="576" w:type="dxa"/>
          </w:tcPr>
          <w:p w14:paraId="463D418C" w14:textId="77777777" w:rsidR="00D836EB" w:rsidRPr="00286216" w:rsidRDefault="00D836EB" w:rsidP="00D836EB">
            <w:pPr>
              <w:pStyle w:val="StyleWisnow"/>
              <w:rPr>
                <w:color w:val="000000" w:themeColor="text1"/>
              </w:rPr>
            </w:pPr>
            <w:bookmarkStart w:id="1919" w:name="n2153" w:colFirst="0" w:colLast="0"/>
            <w:bookmarkEnd w:id="1918"/>
            <w:r w:rsidRPr="00286216">
              <w:rPr>
                <w:color w:val="000000" w:themeColor="text1"/>
              </w:rPr>
              <w:t>2153.</w:t>
            </w:r>
          </w:p>
        </w:tc>
        <w:tc>
          <w:tcPr>
            <w:tcW w:w="4818" w:type="dxa"/>
          </w:tcPr>
          <w:p w14:paraId="37087239" w14:textId="77777777" w:rsidR="00D836EB" w:rsidRPr="00286216" w:rsidRDefault="00D836EB" w:rsidP="00D836EB">
            <w:pPr>
              <w:pStyle w:val="StyleZakonu"/>
              <w:rPr>
                <w:color w:val="000000" w:themeColor="text1"/>
              </w:rPr>
            </w:pPr>
            <w:r w:rsidRPr="00286216">
              <w:rPr>
                <w:color w:val="000000" w:themeColor="text1"/>
              </w:rPr>
              <w:t>6) перелік осіб, які прямо або опосередковано є власниками значного пакета акцій емітента;</w:t>
            </w:r>
          </w:p>
        </w:tc>
        <w:tc>
          <w:tcPr>
            <w:tcW w:w="3686" w:type="dxa"/>
          </w:tcPr>
          <w:p w14:paraId="5A12D0CB" w14:textId="77777777" w:rsidR="00D836EB" w:rsidRPr="00286216" w:rsidRDefault="00D836EB" w:rsidP="00D836EB">
            <w:pPr>
              <w:pStyle w:val="StyleProp"/>
              <w:rPr>
                <w:color w:val="000000" w:themeColor="text1"/>
                <w:szCs w:val="18"/>
              </w:rPr>
            </w:pPr>
          </w:p>
        </w:tc>
        <w:tc>
          <w:tcPr>
            <w:tcW w:w="1987" w:type="dxa"/>
          </w:tcPr>
          <w:p w14:paraId="1EE0DEA7" w14:textId="77777777" w:rsidR="00D836EB" w:rsidRPr="00286216" w:rsidRDefault="00D836EB" w:rsidP="00D836EB">
            <w:pPr>
              <w:pStyle w:val="StyleWisnow"/>
              <w:rPr>
                <w:color w:val="000000" w:themeColor="text1"/>
              </w:rPr>
            </w:pPr>
          </w:p>
        </w:tc>
        <w:tc>
          <w:tcPr>
            <w:tcW w:w="4818" w:type="dxa"/>
          </w:tcPr>
          <w:p w14:paraId="33CA7D84" w14:textId="6F146F1F" w:rsidR="00D836EB" w:rsidRPr="00286216" w:rsidRDefault="00D836EB" w:rsidP="00D836EB">
            <w:pPr>
              <w:pStyle w:val="StyleZakonu"/>
              <w:rPr>
                <w:color w:val="000000" w:themeColor="text1"/>
              </w:rPr>
            </w:pPr>
            <w:r w:rsidRPr="00286216">
              <w:rPr>
                <w:color w:val="000000" w:themeColor="text1"/>
              </w:rPr>
              <w:t>6) перелік осіб, які прямо або опосередковано є власниками значного пакета акцій емітента;</w:t>
            </w:r>
          </w:p>
        </w:tc>
      </w:tr>
      <w:tr w:rsidR="00D836EB" w:rsidRPr="00286216" w14:paraId="03571CD2" w14:textId="77777777" w:rsidTr="00091AA5">
        <w:tc>
          <w:tcPr>
            <w:tcW w:w="576" w:type="dxa"/>
          </w:tcPr>
          <w:p w14:paraId="39228011" w14:textId="77777777" w:rsidR="00D836EB" w:rsidRPr="00286216" w:rsidRDefault="00D836EB" w:rsidP="00D836EB">
            <w:pPr>
              <w:pStyle w:val="StyleWisnow"/>
              <w:rPr>
                <w:color w:val="000000" w:themeColor="text1"/>
              </w:rPr>
            </w:pPr>
            <w:bookmarkStart w:id="1920" w:name="n2154" w:colFirst="0" w:colLast="0"/>
            <w:bookmarkEnd w:id="1919"/>
            <w:r w:rsidRPr="00286216">
              <w:rPr>
                <w:color w:val="000000" w:themeColor="text1"/>
              </w:rPr>
              <w:t>2154.</w:t>
            </w:r>
          </w:p>
        </w:tc>
        <w:tc>
          <w:tcPr>
            <w:tcW w:w="4818" w:type="dxa"/>
          </w:tcPr>
          <w:p w14:paraId="7B97D3E1" w14:textId="77777777" w:rsidR="00D836EB" w:rsidRPr="00286216" w:rsidRDefault="00D836EB" w:rsidP="00D836EB">
            <w:pPr>
              <w:pStyle w:val="StyleZakonu"/>
              <w:rPr>
                <w:color w:val="000000" w:themeColor="text1"/>
              </w:rPr>
            </w:pPr>
            <w:r w:rsidRPr="00286216">
              <w:rPr>
                <w:color w:val="000000" w:themeColor="text1"/>
              </w:rPr>
              <w:t>7) інформацію про будь-які обмеження прав участі та голосування акціонерів (учасників) на загальних зборах емітента;</w:t>
            </w:r>
          </w:p>
        </w:tc>
        <w:tc>
          <w:tcPr>
            <w:tcW w:w="3686" w:type="dxa"/>
          </w:tcPr>
          <w:p w14:paraId="0AA8586D" w14:textId="77777777" w:rsidR="00D836EB" w:rsidRPr="00286216" w:rsidRDefault="00D836EB" w:rsidP="00D836EB">
            <w:pPr>
              <w:pStyle w:val="StyleProp"/>
              <w:rPr>
                <w:color w:val="000000" w:themeColor="text1"/>
                <w:szCs w:val="18"/>
              </w:rPr>
            </w:pPr>
          </w:p>
        </w:tc>
        <w:tc>
          <w:tcPr>
            <w:tcW w:w="1987" w:type="dxa"/>
          </w:tcPr>
          <w:p w14:paraId="77550079" w14:textId="77777777" w:rsidR="00D836EB" w:rsidRPr="00286216" w:rsidRDefault="00D836EB" w:rsidP="00D836EB">
            <w:pPr>
              <w:pStyle w:val="StyleWisnow"/>
              <w:rPr>
                <w:color w:val="000000" w:themeColor="text1"/>
              </w:rPr>
            </w:pPr>
          </w:p>
        </w:tc>
        <w:tc>
          <w:tcPr>
            <w:tcW w:w="4818" w:type="dxa"/>
          </w:tcPr>
          <w:p w14:paraId="1300089D" w14:textId="28FEAD47" w:rsidR="00D836EB" w:rsidRPr="00286216" w:rsidRDefault="00D836EB" w:rsidP="00D836EB">
            <w:pPr>
              <w:pStyle w:val="StyleZakonu"/>
              <w:rPr>
                <w:color w:val="000000" w:themeColor="text1"/>
              </w:rPr>
            </w:pPr>
            <w:r w:rsidRPr="00286216">
              <w:rPr>
                <w:color w:val="000000" w:themeColor="text1"/>
              </w:rPr>
              <w:t>7) інформацію про будь-які обмеження прав участі та голосування акціонерів (учасників) на загальних зборах емітента;</w:t>
            </w:r>
          </w:p>
        </w:tc>
      </w:tr>
      <w:tr w:rsidR="00D836EB" w:rsidRPr="00286216" w14:paraId="1345CB4E" w14:textId="77777777" w:rsidTr="00091AA5">
        <w:tc>
          <w:tcPr>
            <w:tcW w:w="576" w:type="dxa"/>
          </w:tcPr>
          <w:p w14:paraId="3FF95717" w14:textId="77777777" w:rsidR="00D836EB" w:rsidRPr="00286216" w:rsidRDefault="00D836EB" w:rsidP="00D836EB">
            <w:pPr>
              <w:pStyle w:val="StyleWisnow"/>
              <w:rPr>
                <w:color w:val="000000" w:themeColor="text1"/>
              </w:rPr>
            </w:pPr>
            <w:bookmarkStart w:id="1921" w:name="n2155" w:colFirst="0" w:colLast="0"/>
            <w:bookmarkEnd w:id="1920"/>
            <w:r w:rsidRPr="00286216">
              <w:rPr>
                <w:color w:val="000000" w:themeColor="text1"/>
              </w:rPr>
              <w:t>2155.</w:t>
            </w:r>
          </w:p>
        </w:tc>
        <w:tc>
          <w:tcPr>
            <w:tcW w:w="4818" w:type="dxa"/>
          </w:tcPr>
          <w:p w14:paraId="5B8EED0A" w14:textId="77777777" w:rsidR="00D836EB" w:rsidRPr="00286216" w:rsidRDefault="00D836EB" w:rsidP="00D836EB">
            <w:pPr>
              <w:pStyle w:val="StyleZakonu"/>
              <w:rPr>
                <w:color w:val="000000" w:themeColor="text1"/>
              </w:rPr>
            </w:pPr>
            <w:r w:rsidRPr="00286216">
              <w:rPr>
                <w:color w:val="000000" w:themeColor="text1"/>
              </w:rPr>
              <w:t>8) порядок призначення та звільнення посадових осіб емітента;</w:t>
            </w:r>
          </w:p>
        </w:tc>
        <w:tc>
          <w:tcPr>
            <w:tcW w:w="3686" w:type="dxa"/>
          </w:tcPr>
          <w:p w14:paraId="152870C0" w14:textId="77777777" w:rsidR="00D836EB" w:rsidRPr="00286216" w:rsidRDefault="00D836EB" w:rsidP="00D836EB">
            <w:pPr>
              <w:pStyle w:val="StyleProp"/>
              <w:rPr>
                <w:color w:val="000000" w:themeColor="text1"/>
                <w:szCs w:val="18"/>
              </w:rPr>
            </w:pPr>
          </w:p>
        </w:tc>
        <w:tc>
          <w:tcPr>
            <w:tcW w:w="1987" w:type="dxa"/>
          </w:tcPr>
          <w:p w14:paraId="4B7A409A" w14:textId="77777777" w:rsidR="00D836EB" w:rsidRPr="00286216" w:rsidRDefault="00D836EB" w:rsidP="00D836EB">
            <w:pPr>
              <w:pStyle w:val="StyleWisnow"/>
              <w:rPr>
                <w:color w:val="000000" w:themeColor="text1"/>
              </w:rPr>
            </w:pPr>
          </w:p>
        </w:tc>
        <w:tc>
          <w:tcPr>
            <w:tcW w:w="4818" w:type="dxa"/>
          </w:tcPr>
          <w:p w14:paraId="2C0D3F65" w14:textId="35C82F19" w:rsidR="00D836EB" w:rsidRPr="00286216" w:rsidRDefault="00D836EB" w:rsidP="00D836EB">
            <w:pPr>
              <w:pStyle w:val="StyleZakonu"/>
              <w:rPr>
                <w:color w:val="000000" w:themeColor="text1"/>
              </w:rPr>
            </w:pPr>
            <w:r w:rsidRPr="00286216">
              <w:rPr>
                <w:color w:val="000000" w:themeColor="text1"/>
              </w:rPr>
              <w:t>8) порядок призначення та звільнення посадових осіб емітента;</w:t>
            </w:r>
          </w:p>
        </w:tc>
      </w:tr>
      <w:tr w:rsidR="00D836EB" w:rsidRPr="00286216" w14:paraId="085BC2D9" w14:textId="77777777" w:rsidTr="00091AA5">
        <w:tc>
          <w:tcPr>
            <w:tcW w:w="576" w:type="dxa"/>
          </w:tcPr>
          <w:p w14:paraId="779518FE" w14:textId="77777777" w:rsidR="00D836EB" w:rsidRPr="00286216" w:rsidRDefault="00D836EB" w:rsidP="00D836EB">
            <w:pPr>
              <w:pStyle w:val="StyleWisnow"/>
              <w:rPr>
                <w:color w:val="000000" w:themeColor="text1"/>
              </w:rPr>
            </w:pPr>
            <w:bookmarkStart w:id="1922" w:name="n2156" w:colFirst="0" w:colLast="0"/>
            <w:bookmarkEnd w:id="1921"/>
            <w:r w:rsidRPr="00286216">
              <w:rPr>
                <w:color w:val="000000" w:themeColor="text1"/>
              </w:rPr>
              <w:t>2156.</w:t>
            </w:r>
          </w:p>
        </w:tc>
        <w:tc>
          <w:tcPr>
            <w:tcW w:w="4818" w:type="dxa"/>
          </w:tcPr>
          <w:p w14:paraId="2DECC82D" w14:textId="77777777" w:rsidR="00D836EB" w:rsidRPr="00286216" w:rsidRDefault="00D836EB" w:rsidP="00D836EB">
            <w:pPr>
              <w:pStyle w:val="StyleZakonu"/>
              <w:rPr>
                <w:color w:val="000000" w:themeColor="text1"/>
              </w:rPr>
            </w:pPr>
            <w:r w:rsidRPr="00286216">
              <w:rPr>
                <w:color w:val="000000" w:themeColor="text1"/>
              </w:rPr>
              <w:t>9) повноваження посадових осіб емітента.</w:t>
            </w:r>
          </w:p>
        </w:tc>
        <w:tc>
          <w:tcPr>
            <w:tcW w:w="3686" w:type="dxa"/>
          </w:tcPr>
          <w:p w14:paraId="6FC84295" w14:textId="77777777" w:rsidR="00D836EB" w:rsidRPr="00286216" w:rsidRDefault="00D836EB" w:rsidP="00D836EB">
            <w:pPr>
              <w:pStyle w:val="StyleProp"/>
              <w:rPr>
                <w:color w:val="000000" w:themeColor="text1"/>
                <w:szCs w:val="18"/>
              </w:rPr>
            </w:pPr>
          </w:p>
        </w:tc>
        <w:tc>
          <w:tcPr>
            <w:tcW w:w="1987" w:type="dxa"/>
          </w:tcPr>
          <w:p w14:paraId="70AF3EF8" w14:textId="77777777" w:rsidR="00D836EB" w:rsidRPr="00286216" w:rsidRDefault="00D836EB" w:rsidP="00D836EB">
            <w:pPr>
              <w:pStyle w:val="StyleWisnow"/>
              <w:rPr>
                <w:color w:val="000000" w:themeColor="text1"/>
              </w:rPr>
            </w:pPr>
          </w:p>
        </w:tc>
        <w:tc>
          <w:tcPr>
            <w:tcW w:w="4818" w:type="dxa"/>
          </w:tcPr>
          <w:p w14:paraId="0E0F9F37" w14:textId="7931F63C" w:rsidR="00D836EB" w:rsidRPr="00286216" w:rsidRDefault="00D836EB" w:rsidP="00D836EB">
            <w:pPr>
              <w:pStyle w:val="StyleZakonu"/>
              <w:rPr>
                <w:color w:val="000000" w:themeColor="text1"/>
              </w:rPr>
            </w:pPr>
            <w:r w:rsidRPr="00286216">
              <w:rPr>
                <w:color w:val="000000" w:themeColor="text1"/>
              </w:rPr>
              <w:t>9) повноваження посадових осіб емітента.</w:t>
            </w:r>
          </w:p>
        </w:tc>
      </w:tr>
      <w:tr w:rsidR="00D836EB" w:rsidRPr="00286216" w14:paraId="4BBFD554" w14:textId="77777777" w:rsidTr="00091AA5">
        <w:tc>
          <w:tcPr>
            <w:tcW w:w="576" w:type="dxa"/>
          </w:tcPr>
          <w:p w14:paraId="434EA558" w14:textId="77777777" w:rsidR="00D836EB" w:rsidRPr="00286216" w:rsidRDefault="00D836EB" w:rsidP="00D836EB">
            <w:pPr>
              <w:pStyle w:val="StyleWisnow"/>
              <w:rPr>
                <w:color w:val="000000" w:themeColor="text1"/>
              </w:rPr>
            </w:pPr>
            <w:bookmarkStart w:id="1923" w:name="n2157" w:colFirst="0" w:colLast="0"/>
            <w:bookmarkEnd w:id="1922"/>
            <w:r w:rsidRPr="00286216">
              <w:rPr>
                <w:color w:val="000000" w:themeColor="text1"/>
              </w:rPr>
              <w:t>2157.</w:t>
            </w:r>
          </w:p>
        </w:tc>
        <w:tc>
          <w:tcPr>
            <w:tcW w:w="4818" w:type="dxa"/>
          </w:tcPr>
          <w:p w14:paraId="3B2A08BF" w14:textId="77777777" w:rsidR="00D836EB" w:rsidRPr="00286216" w:rsidRDefault="00D836EB" w:rsidP="00D836EB">
            <w:pPr>
              <w:pStyle w:val="StyleZakonu"/>
              <w:rPr>
                <w:color w:val="000000" w:themeColor="text1"/>
              </w:rPr>
            </w:pPr>
            <w:r w:rsidRPr="00286216">
              <w:rPr>
                <w:color w:val="000000" w:themeColor="text1"/>
              </w:rPr>
              <w:t xml:space="preserve">Емітент зобов’язаний залучати суб’єкта аудиторської діяльності, який повинен висловити свою думку щодо інформації, зазначеної у пунктах 5 - 9 цієї частини, а також перевірити інформацію, зазначену в пунктах 1 - 4 цієї частини. Така </w:t>
            </w:r>
            <w:r w:rsidRPr="00286216">
              <w:rPr>
                <w:color w:val="000000" w:themeColor="text1"/>
              </w:rPr>
              <w:lastRenderedPageBreak/>
              <w:t>інформація включається до складу звіту про корпоративне управління емітента.</w:t>
            </w:r>
          </w:p>
        </w:tc>
        <w:tc>
          <w:tcPr>
            <w:tcW w:w="3686" w:type="dxa"/>
          </w:tcPr>
          <w:p w14:paraId="1379C750" w14:textId="46EA3E84" w:rsidR="00D836EB" w:rsidRPr="00286216" w:rsidRDefault="00D836EB" w:rsidP="00D836EB">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1053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69E50D1" w14:textId="4C1ACE1E" w:rsidR="00D836EB" w:rsidRPr="00286216" w:rsidRDefault="00D836EB" w:rsidP="00D836EB">
            <w:pPr>
              <w:pStyle w:val="StyleProp"/>
              <w:rPr>
                <w:color w:val="000000" w:themeColor="text1"/>
                <w:szCs w:val="18"/>
              </w:rPr>
            </w:pPr>
            <w:r w:rsidRPr="00286216">
              <w:rPr>
                <w:color w:val="000000" w:themeColor="text1"/>
              </w:rPr>
              <w:t xml:space="preserve">Останній абзац частини 3 статті 123 реченням такого змісту: "Вимоги цього абзацу не застосовуються до приватних акціонерних товариств, крім тих, що є </w:t>
            </w:r>
            <w:r w:rsidRPr="00286216">
              <w:rPr>
                <w:color w:val="000000" w:themeColor="text1"/>
              </w:rPr>
              <w:lastRenderedPageBreak/>
              <w:t>підприємствами, що становлять суспільний інтерес".</w:t>
            </w:r>
          </w:p>
        </w:tc>
        <w:tc>
          <w:tcPr>
            <w:tcW w:w="1987" w:type="dxa"/>
          </w:tcPr>
          <w:p w14:paraId="128F3C11" w14:textId="009ABBE6" w:rsidR="00D836EB" w:rsidRPr="00286216" w:rsidRDefault="00D836EB" w:rsidP="00D836EB">
            <w:pPr>
              <w:pStyle w:val="StyleWisnow"/>
              <w:rPr>
                <w:color w:val="000000" w:themeColor="text1"/>
              </w:rPr>
            </w:pPr>
            <w:r w:rsidRPr="00286216">
              <w:rPr>
                <w:rFonts w:eastAsia="Calibri"/>
                <w:color w:val="000000" w:themeColor="text1"/>
              </w:rPr>
              <w:lastRenderedPageBreak/>
              <w:t>Враховано</w:t>
            </w:r>
          </w:p>
        </w:tc>
        <w:tc>
          <w:tcPr>
            <w:tcW w:w="4818" w:type="dxa"/>
          </w:tcPr>
          <w:p w14:paraId="1C001F5C" w14:textId="4B0378D5" w:rsidR="00D836EB" w:rsidRPr="00286216" w:rsidRDefault="00D836EB" w:rsidP="00D836EB">
            <w:pPr>
              <w:pStyle w:val="StyleZakonu"/>
              <w:rPr>
                <w:color w:val="000000" w:themeColor="text1"/>
              </w:rPr>
            </w:pPr>
            <w:r w:rsidRPr="00286216">
              <w:rPr>
                <w:color w:val="000000" w:themeColor="text1"/>
              </w:rPr>
              <w:t xml:space="preserve">Емітент зобов’язаний залучати суб’єкта аудиторської діяльності, який повинен висловити свою думку щодо інформації, зазначеної в пунктах 5 - 9 цієї частини, а також перевірити інформацію, зазначену в пунктах 1 - 4 цієї частини. Така </w:t>
            </w:r>
            <w:r w:rsidRPr="00286216">
              <w:rPr>
                <w:color w:val="000000" w:themeColor="text1"/>
              </w:rPr>
              <w:lastRenderedPageBreak/>
              <w:t>інформація включається до складу звіту про корпоративне управління емітента. Вимоги цього абзацу не застосовуються до приватних акціонерних товариств, крім тих, які є підприємствами, що становлять суспільний інтерес.</w:t>
            </w:r>
          </w:p>
        </w:tc>
      </w:tr>
      <w:tr w:rsidR="00D836EB" w:rsidRPr="00286216" w14:paraId="592451E1" w14:textId="77777777" w:rsidTr="00091AA5">
        <w:tc>
          <w:tcPr>
            <w:tcW w:w="576" w:type="dxa"/>
          </w:tcPr>
          <w:p w14:paraId="1967C73E" w14:textId="77777777" w:rsidR="00D836EB" w:rsidRPr="00286216" w:rsidRDefault="00D836EB" w:rsidP="00D836EB">
            <w:pPr>
              <w:pStyle w:val="StyleWisnow"/>
              <w:rPr>
                <w:color w:val="000000" w:themeColor="text1"/>
              </w:rPr>
            </w:pPr>
            <w:bookmarkStart w:id="1924" w:name="n2158" w:colFirst="0" w:colLast="0"/>
            <w:bookmarkEnd w:id="1923"/>
            <w:r w:rsidRPr="00286216">
              <w:rPr>
                <w:color w:val="000000" w:themeColor="text1"/>
              </w:rPr>
              <w:lastRenderedPageBreak/>
              <w:t>2158.</w:t>
            </w:r>
          </w:p>
        </w:tc>
        <w:tc>
          <w:tcPr>
            <w:tcW w:w="4818" w:type="dxa"/>
          </w:tcPr>
          <w:p w14:paraId="3D535331" w14:textId="77777777" w:rsidR="00D836EB" w:rsidRPr="00286216" w:rsidRDefault="00D836EB" w:rsidP="00D836EB">
            <w:pPr>
              <w:pStyle w:val="StyleZakonu"/>
              <w:rPr>
                <w:color w:val="000000" w:themeColor="text1"/>
              </w:rPr>
            </w:pPr>
            <w:r w:rsidRPr="00286216">
              <w:rPr>
                <w:color w:val="000000" w:themeColor="text1"/>
              </w:rPr>
              <w:t>4. Проміжний звіт керівництва повинен щонайменше містити вказівки на важливі події, які відбулися упродовж звітного періоду, та їх вплив на проміжну фінансову звітність, а також опис основних ризиків та невизначеностей.</w:t>
            </w:r>
          </w:p>
        </w:tc>
        <w:tc>
          <w:tcPr>
            <w:tcW w:w="3686" w:type="dxa"/>
          </w:tcPr>
          <w:p w14:paraId="40AB4515" w14:textId="77777777" w:rsidR="00D836EB" w:rsidRPr="00286216" w:rsidRDefault="00D836EB" w:rsidP="00D836EB">
            <w:pPr>
              <w:pStyle w:val="StyleProp"/>
              <w:rPr>
                <w:color w:val="000000" w:themeColor="text1"/>
                <w:szCs w:val="18"/>
              </w:rPr>
            </w:pPr>
          </w:p>
        </w:tc>
        <w:tc>
          <w:tcPr>
            <w:tcW w:w="1987" w:type="dxa"/>
          </w:tcPr>
          <w:p w14:paraId="05861F02" w14:textId="77777777" w:rsidR="00D836EB" w:rsidRPr="00286216" w:rsidRDefault="00D836EB" w:rsidP="00D836EB">
            <w:pPr>
              <w:pStyle w:val="StyleWisnow"/>
              <w:rPr>
                <w:color w:val="000000" w:themeColor="text1"/>
              </w:rPr>
            </w:pPr>
          </w:p>
        </w:tc>
        <w:tc>
          <w:tcPr>
            <w:tcW w:w="4818" w:type="dxa"/>
          </w:tcPr>
          <w:p w14:paraId="0560442E" w14:textId="1D695933" w:rsidR="00D836EB" w:rsidRPr="00286216" w:rsidRDefault="00D836EB" w:rsidP="00D836EB">
            <w:pPr>
              <w:pStyle w:val="StyleZakonu"/>
              <w:rPr>
                <w:color w:val="000000" w:themeColor="text1"/>
              </w:rPr>
            </w:pPr>
            <w:r w:rsidRPr="00286216">
              <w:rPr>
                <w:color w:val="000000" w:themeColor="text1"/>
              </w:rPr>
              <w:t>4. Проміжний звіт керівництва повинен містити щонайменше вказівки на важливі події, що відбулися упродовж звітного періоду, та їх вплив на проміжну фінансову звітність, а також опис основних ризиків та невизначеностей.</w:t>
            </w:r>
          </w:p>
        </w:tc>
      </w:tr>
      <w:tr w:rsidR="004D649E" w:rsidRPr="00286216" w14:paraId="3D61648B" w14:textId="77777777" w:rsidTr="00091AA5">
        <w:tc>
          <w:tcPr>
            <w:tcW w:w="576" w:type="dxa"/>
          </w:tcPr>
          <w:p w14:paraId="61661547" w14:textId="77777777" w:rsidR="004D649E" w:rsidRPr="00286216" w:rsidRDefault="004D649E" w:rsidP="004D649E">
            <w:pPr>
              <w:pStyle w:val="StyleWisnow"/>
              <w:rPr>
                <w:color w:val="000000" w:themeColor="text1"/>
              </w:rPr>
            </w:pPr>
            <w:bookmarkStart w:id="1925" w:name="n2159" w:colFirst="0" w:colLast="0"/>
            <w:bookmarkEnd w:id="1924"/>
            <w:r w:rsidRPr="00286216">
              <w:rPr>
                <w:color w:val="000000" w:themeColor="text1"/>
              </w:rPr>
              <w:t>2159.</w:t>
            </w:r>
          </w:p>
        </w:tc>
        <w:tc>
          <w:tcPr>
            <w:tcW w:w="4818" w:type="dxa"/>
          </w:tcPr>
          <w:p w14:paraId="244B3E41" w14:textId="77777777" w:rsidR="004D649E" w:rsidRPr="00286216" w:rsidRDefault="004D649E" w:rsidP="004D649E">
            <w:pPr>
              <w:pStyle w:val="StyleZakonu"/>
              <w:rPr>
                <w:color w:val="000000" w:themeColor="text1"/>
              </w:rPr>
            </w:pPr>
            <w:r w:rsidRPr="00286216">
              <w:rPr>
                <w:color w:val="000000" w:themeColor="text1"/>
              </w:rPr>
              <w:t>Стаття 124. Особлива інформація про емітента</w:t>
            </w:r>
          </w:p>
        </w:tc>
        <w:tc>
          <w:tcPr>
            <w:tcW w:w="3686" w:type="dxa"/>
          </w:tcPr>
          <w:p w14:paraId="75A007F2" w14:textId="77777777" w:rsidR="004D649E" w:rsidRPr="00286216" w:rsidRDefault="004D649E" w:rsidP="004D649E">
            <w:pPr>
              <w:pStyle w:val="StyleProp"/>
              <w:rPr>
                <w:color w:val="000000" w:themeColor="text1"/>
                <w:szCs w:val="18"/>
              </w:rPr>
            </w:pPr>
          </w:p>
        </w:tc>
        <w:tc>
          <w:tcPr>
            <w:tcW w:w="1987" w:type="dxa"/>
          </w:tcPr>
          <w:p w14:paraId="175DC1EF" w14:textId="77777777" w:rsidR="004D649E" w:rsidRPr="00286216" w:rsidRDefault="004D649E" w:rsidP="004D649E">
            <w:pPr>
              <w:pStyle w:val="StyleWisnow"/>
              <w:rPr>
                <w:color w:val="000000" w:themeColor="text1"/>
              </w:rPr>
            </w:pPr>
          </w:p>
        </w:tc>
        <w:tc>
          <w:tcPr>
            <w:tcW w:w="4818" w:type="dxa"/>
          </w:tcPr>
          <w:p w14:paraId="02E59A69" w14:textId="7777B57B" w:rsidR="004D649E" w:rsidRPr="00286216" w:rsidRDefault="004D649E" w:rsidP="004D649E">
            <w:pPr>
              <w:pStyle w:val="StyleZakonu"/>
              <w:rPr>
                <w:color w:val="000000" w:themeColor="text1"/>
              </w:rPr>
            </w:pPr>
            <w:r w:rsidRPr="00286216">
              <w:rPr>
                <w:color w:val="000000" w:themeColor="text1"/>
              </w:rPr>
              <w:t>Стаття 128. Особлива інформація про емітента</w:t>
            </w:r>
          </w:p>
        </w:tc>
      </w:tr>
      <w:tr w:rsidR="004D649E" w:rsidRPr="00286216" w14:paraId="684D4D14" w14:textId="77777777" w:rsidTr="00091AA5">
        <w:tc>
          <w:tcPr>
            <w:tcW w:w="576" w:type="dxa"/>
          </w:tcPr>
          <w:p w14:paraId="5C5AFD64" w14:textId="77777777" w:rsidR="004D649E" w:rsidRPr="00286216" w:rsidRDefault="004D649E" w:rsidP="004D649E">
            <w:pPr>
              <w:pStyle w:val="StyleWisnow"/>
              <w:rPr>
                <w:color w:val="000000" w:themeColor="text1"/>
              </w:rPr>
            </w:pPr>
            <w:bookmarkStart w:id="1926" w:name="n2160" w:colFirst="0" w:colLast="0"/>
            <w:bookmarkEnd w:id="1925"/>
            <w:r w:rsidRPr="00286216">
              <w:rPr>
                <w:color w:val="000000" w:themeColor="text1"/>
              </w:rPr>
              <w:t>2160.</w:t>
            </w:r>
          </w:p>
        </w:tc>
        <w:tc>
          <w:tcPr>
            <w:tcW w:w="4818" w:type="dxa"/>
          </w:tcPr>
          <w:p w14:paraId="29B7CE74" w14:textId="77777777" w:rsidR="004D649E" w:rsidRPr="00286216" w:rsidRDefault="004D649E" w:rsidP="004D649E">
            <w:pPr>
              <w:pStyle w:val="StyleZakonu"/>
              <w:rPr>
                <w:color w:val="000000" w:themeColor="text1"/>
              </w:rPr>
            </w:pPr>
            <w:r w:rsidRPr="00286216">
              <w:rPr>
                <w:color w:val="000000" w:themeColor="text1"/>
              </w:rPr>
              <w:t>1. Особлива інформація про емітента - інформація, до якої належать відомості про:</w:t>
            </w:r>
          </w:p>
        </w:tc>
        <w:tc>
          <w:tcPr>
            <w:tcW w:w="3686" w:type="dxa"/>
          </w:tcPr>
          <w:p w14:paraId="0B780BEA" w14:textId="77777777" w:rsidR="004D649E" w:rsidRPr="00286216" w:rsidRDefault="004D649E" w:rsidP="004D649E">
            <w:pPr>
              <w:pStyle w:val="StyleProp"/>
              <w:rPr>
                <w:color w:val="000000" w:themeColor="text1"/>
                <w:szCs w:val="18"/>
              </w:rPr>
            </w:pPr>
          </w:p>
        </w:tc>
        <w:tc>
          <w:tcPr>
            <w:tcW w:w="1987" w:type="dxa"/>
          </w:tcPr>
          <w:p w14:paraId="176DC655" w14:textId="77777777" w:rsidR="004D649E" w:rsidRPr="00286216" w:rsidRDefault="004D649E" w:rsidP="004D649E">
            <w:pPr>
              <w:pStyle w:val="StyleWisnow"/>
              <w:rPr>
                <w:color w:val="000000" w:themeColor="text1"/>
              </w:rPr>
            </w:pPr>
          </w:p>
        </w:tc>
        <w:tc>
          <w:tcPr>
            <w:tcW w:w="4818" w:type="dxa"/>
          </w:tcPr>
          <w:p w14:paraId="695E78CD" w14:textId="583E5B03" w:rsidR="004D649E" w:rsidRPr="00286216" w:rsidRDefault="004D649E" w:rsidP="004D649E">
            <w:pPr>
              <w:pStyle w:val="StyleZakonu"/>
              <w:rPr>
                <w:color w:val="000000" w:themeColor="text1"/>
              </w:rPr>
            </w:pPr>
            <w:r w:rsidRPr="00286216">
              <w:rPr>
                <w:color w:val="000000" w:themeColor="text1"/>
              </w:rPr>
              <w:t>1. Особлива інформація про емітента – це інформація, до якої належать відомості про:</w:t>
            </w:r>
          </w:p>
        </w:tc>
      </w:tr>
      <w:tr w:rsidR="004D649E" w:rsidRPr="00286216" w14:paraId="6235C1ED" w14:textId="77777777" w:rsidTr="00091AA5">
        <w:tc>
          <w:tcPr>
            <w:tcW w:w="576" w:type="dxa"/>
          </w:tcPr>
          <w:p w14:paraId="7892D4B9" w14:textId="77777777" w:rsidR="004D649E" w:rsidRPr="00286216" w:rsidRDefault="004D649E" w:rsidP="004D649E">
            <w:pPr>
              <w:pStyle w:val="StyleWisnow"/>
              <w:rPr>
                <w:color w:val="000000" w:themeColor="text1"/>
              </w:rPr>
            </w:pPr>
            <w:bookmarkStart w:id="1927" w:name="n2161" w:colFirst="0" w:colLast="0"/>
            <w:bookmarkEnd w:id="1926"/>
            <w:r w:rsidRPr="00286216">
              <w:rPr>
                <w:color w:val="000000" w:themeColor="text1"/>
              </w:rPr>
              <w:t>2161.</w:t>
            </w:r>
          </w:p>
        </w:tc>
        <w:tc>
          <w:tcPr>
            <w:tcW w:w="4818" w:type="dxa"/>
          </w:tcPr>
          <w:p w14:paraId="33F7C2F5" w14:textId="77777777" w:rsidR="004D649E" w:rsidRPr="00286216" w:rsidRDefault="004D649E" w:rsidP="004D649E">
            <w:pPr>
              <w:pStyle w:val="StyleZakonu"/>
              <w:rPr>
                <w:color w:val="000000" w:themeColor="text1"/>
              </w:rPr>
            </w:pPr>
            <w:r w:rsidRPr="00286216">
              <w:rPr>
                <w:color w:val="000000" w:themeColor="text1"/>
              </w:rPr>
              <w:t>1) прийняття рішення про емісію цінних паперів на суму, що перевищує 25 відсотків статутного капіталу;</w:t>
            </w:r>
          </w:p>
        </w:tc>
        <w:tc>
          <w:tcPr>
            <w:tcW w:w="3686" w:type="dxa"/>
          </w:tcPr>
          <w:p w14:paraId="42FEED52" w14:textId="77777777" w:rsidR="004D649E" w:rsidRPr="00286216" w:rsidRDefault="004D649E" w:rsidP="004D649E">
            <w:pPr>
              <w:pStyle w:val="StyleProp"/>
              <w:rPr>
                <w:color w:val="000000" w:themeColor="text1"/>
                <w:szCs w:val="18"/>
              </w:rPr>
            </w:pPr>
          </w:p>
        </w:tc>
        <w:tc>
          <w:tcPr>
            <w:tcW w:w="1987" w:type="dxa"/>
          </w:tcPr>
          <w:p w14:paraId="48E34518" w14:textId="77777777" w:rsidR="004D649E" w:rsidRPr="00286216" w:rsidRDefault="004D649E" w:rsidP="004D649E">
            <w:pPr>
              <w:pStyle w:val="StyleWisnow"/>
              <w:rPr>
                <w:color w:val="000000" w:themeColor="text1"/>
              </w:rPr>
            </w:pPr>
          </w:p>
        </w:tc>
        <w:tc>
          <w:tcPr>
            <w:tcW w:w="4818" w:type="dxa"/>
          </w:tcPr>
          <w:p w14:paraId="51DE8F8C" w14:textId="23D57892" w:rsidR="004D649E" w:rsidRPr="00286216" w:rsidRDefault="004D649E" w:rsidP="004D649E">
            <w:pPr>
              <w:pStyle w:val="StyleZakonu"/>
              <w:rPr>
                <w:color w:val="000000" w:themeColor="text1"/>
              </w:rPr>
            </w:pPr>
            <w:r w:rsidRPr="00286216">
              <w:rPr>
                <w:color w:val="000000" w:themeColor="text1"/>
              </w:rPr>
              <w:t>1) рішення емітента про емісію цінних паперів на суму, що перевищує 25 відсотків статутного капіталу;</w:t>
            </w:r>
          </w:p>
        </w:tc>
      </w:tr>
      <w:tr w:rsidR="004D649E" w:rsidRPr="00286216" w14:paraId="425C96B9" w14:textId="77777777" w:rsidTr="00091AA5">
        <w:tc>
          <w:tcPr>
            <w:tcW w:w="576" w:type="dxa"/>
          </w:tcPr>
          <w:p w14:paraId="435D99A8" w14:textId="77777777" w:rsidR="004D649E" w:rsidRPr="00286216" w:rsidRDefault="004D649E" w:rsidP="004D649E">
            <w:pPr>
              <w:pStyle w:val="StyleWisnow"/>
              <w:rPr>
                <w:color w:val="000000" w:themeColor="text1"/>
              </w:rPr>
            </w:pPr>
            <w:bookmarkStart w:id="1928" w:name="n2162" w:colFirst="0" w:colLast="0"/>
            <w:bookmarkEnd w:id="1927"/>
            <w:r w:rsidRPr="00286216">
              <w:rPr>
                <w:color w:val="000000" w:themeColor="text1"/>
              </w:rPr>
              <w:t>2162.</w:t>
            </w:r>
          </w:p>
        </w:tc>
        <w:tc>
          <w:tcPr>
            <w:tcW w:w="4818" w:type="dxa"/>
          </w:tcPr>
          <w:p w14:paraId="78DCA5D5" w14:textId="77777777" w:rsidR="004D649E" w:rsidRPr="00286216" w:rsidRDefault="004D649E" w:rsidP="004D649E">
            <w:pPr>
              <w:pStyle w:val="StyleZakonu"/>
              <w:rPr>
                <w:color w:val="000000" w:themeColor="text1"/>
              </w:rPr>
            </w:pPr>
            <w:r w:rsidRPr="00286216">
              <w:rPr>
                <w:color w:val="000000" w:themeColor="text1"/>
              </w:rPr>
              <w:t>2) прийняття рішення про викуп власних акцій, крім акцій корпоративних інвестиційних фондів інтервального та відкритого типу;</w:t>
            </w:r>
          </w:p>
        </w:tc>
        <w:tc>
          <w:tcPr>
            <w:tcW w:w="3686" w:type="dxa"/>
          </w:tcPr>
          <w:p w14:paraId="43D2DA7C" w14:textId="77777777" w:rsidR="004D649E" w:rsidRPr="00286216" w:rsidRDefault="004D649E" w:rsidP="004D649E">
            <w:pPr>
              <w:pStyle w:val="StyleProp"/>
              <w:rPr>
                <w:color w:val="000000" w:themeColor="text1"/>
                <w:szCs w:val="18"/>
              </w:rPr>
            </w:pPr>
          </w:p>
        </w:tc>
        <w:tc>
          <w:tcPr>
            <w:tcW w:w="1987" w:type="dxa"/>
          </w:tcPr>
          <w:p w14:paraId="0B149580" w14:textId="77777777" w:rsidR="004D649E" w:rsidRPr="00286216" w:rsidRDefault="004D649E" w:rsidP="004D649E">
            <w:pPr>
              <w:pStyle w:val="StyleWisnow"/>
              <w:rPr>
                <w:color w:val="000000" w:themeColor="text1"/>
              </w:rPr>
            </w:pPr>
          </w:p>
        </w:tc>
        <w:tc>
          <w:tcPr>
            <w:tcW w:w="4818" w:type="dxa"/>
          </w:tcPr>
          <w:p w14:paraId="2FB809CC" w14:textId="5CCA5666" w:rsidR="004D649E" w:rsidRPr="00286216" w:rsidRDefault="004D649E" w:rsidP="004D649E">
            <w:pPr>
              <w:pStyle w:val="StyleZakonu"/>
              <w:rPr>
                <w:color w:val="000000" w:themeColor="text1"/>
              </w:rPr>
            </w:pPr>
            <w:r w:rsidRPr="00286216">
              <w:rPr>
                <w:color w:val="000000" w:themeColor="text1"/>
              </w:rPr>
              <w:t>2) рішення про викуп емітентом власних акцій, крім акцій корпоративних інвестиційних фондів інтервального та відкритого типу;</w:t>
            </w:r>
          </w:p>
        </w:tc>
      </w:tr>
      <w:tr w:rsidR="004D649E" w:rsidRPr="00286216" w14:paraId="45D25A1E" w14:textId="77777777" w:rsidTr="00091AA5">
        <w:tc>
          <w:tcPr>
            <w:tcW w:w="576" w:type="dxa"/>
          </w:tcPr>
          <w:p w14:paraId="750F1936" w14:textId="77777777" w:rsidR="004D649E" w:rsidRPr="00286216" w:rsidRDefault="004D649E" w:rsidP="004D649E">
            <w:pPr>
              <w:pStyle w:val="StyleWisnow"/>
              <w:rPr>
                <w:color w:val="000000" w:themeColor="text1"/>
              </w:rPr>
            </w:pPr>
            <w:bookmarkStart w:id="1929" w:name="n2163" w:colFirst="0" w:colLast="0"/>
            <w:bookmarkEnd w:id="1928"/>
            <w:r w:rsidRPr="00286216">
              <w:rPr>
                <w:color w:val="000000" w:themeColor="text1"/>
              </w:rPr>
              <w:t>2163.</w:t>
            </w:r>
          </w:p>
        </w:tc>
        <w:tc>
          <w:tcPr>
            <w:tcW w:w="4818" w:type="dxa"/>
          </w:tcPr>
          <w:p w14:paraId="5F471CEF" w14:textId="77777777" w:rsidR="004D649E" w:rsidRPr="00286216" w:rsidRDefault="004D649E" w:rsidP="004D649E">
            <w:pPr>
              <w:pStyle w:val="StyleZakonu"/>
              <w:rPr>
                <w:color w:val="000000" w:themeColor="text1"/>
              </w:rPr>
            </w:pPr>
            <w:r w:rsidRPr="00286216">
              <w:rPr>
                <w:color w:val="000000" w:themeColor="text1"/>
              </w:rPr>
              <w:t>3) наявність, строк дії та сторони акціонерного договору;</w:t>
            </w:r>
          </w:p>
        </w:tc>
        <w:tc>
          <w:tcPr>
            <w:tcW w:w="3686" w:type="dxa"/>
          </w:tcPr>
          <w:p w14:paraId="462DE174" w14:textId="77777777" w:rsidR="004D649E" w:rsidRPr="00286216" w:rsidRDefault="004D649E" w:rsidP="004D649E">
            <w:pPr>
              <w:pStyle w:val="StyleProp"/>
              <w:rPr>
                <w:color w:val="000000" w:themeColor="text1"/>
                <w:szCs w:val="18"/>
              </w:rPr>
            </w:pPr>
          </w:p>
        </w:tc>
        <w:tc>
          <w:tcPr>
            <w:tcW w:w="1987" w:type="dxa"/>
          </w:tcPr>
          <w:p w14:paraId="692EF6CE" w14:textId="77777777" w:rsidR="004D649E" w:rsidRPr="00286216" w:rsidRDefault="004D649E" w:rsidP="004D649E">
            <w:pPr>
              <w:pStyle w:val="StyleWisnow"/>
              <w:rPr>
                <w:color w:val="000000" w:themeColor="text1"/>
              </w:rPr>
            </w:pPr>
          </w:p>
        </w:tc>
        <w:tc>
          <w:tcPr>
            <w:tcW w:w="4818" w:type="dxa"/>
          </w:tcPr>
          <w:p w14:paraId="49BF2A9B" w14:textId="0B7258F7" w:rsidR="004D649E" w:rsidRPr="00286216" w:rsidRDefault="004D649E" w:rsidP="004D649E">
            <w:pPr>
              <w:pStyle w:val="StyleZakonu"/>
              <w:rPr>
                <w:color w:val="000000" w:themeColor="text1"/>
              </w:rPr>
            </w:pPr>
            <w:r w:rsidRPr="00286216">
              <w:rPr>
                <w:color w:val="000000" w:themeColor="text1"/>
              </w:rPr>
              <w:t>3) наявність, строк дії та сторони акціонерного договору;</w:t>
            </w:r>
          </w:p>
        </w:tc>
      </w:tr>
      <w:tr w:rsidR="004D649E" w:rsidRPr="00286216" w14:paraId="68661A24" w14:textId="77777777" w:rsidTr="00091AA5">
        <w:tc>
          <w:tcPr>
            <w:tcW w:w="576" w:type="dxa"/>
          </w:tcPr>
          <w:p w14:paraId="31D81AA0" w14:textId="77777777" w:rsidR="004D649E" w:rsidRPr="00286216" w:rsidRDefault="004D649E" w:rsidP="004D649E">
            <w:pPr>
              <w:pStyle w:val="StyleWisnow"/>
              <w:rPr>
                <w:color w:val="000000" w:themeColor="text1"/>
              </w:rPr>
            </w:pPr>
            <w:bookmarkStart w:id="1930" w:name="n2164" w:colFirst="0" w:colLast="0"/>
            <w:bookmarkEnd w:id="1929"/>
            <w:r w:rsidRPr="00286216">
              <w:rPr>
                <w:color w:val="000000" w:themeColor="text1"/>
              </w:rPr>
              <w:t>2164.</w:t>
            </w:r>
          </w:p>
        </w:tc>
        <w:tc>
          <w:tcPr>
            <w:tcW w:w="4818" w:type="dxa"/>
          </w:tcPr>
          <w:p w14:paraId="4A822AEA" w14:textId="77777777" w:rsidR="004D649E" w:rsidRPr="00286216" w:rsidRDefault="004D649E" w:rsidP="004D649E">
            <w:pPr>
              <w:pStyle w:val="StyleZakonu"/>
              <w:rPr>
                <w:color w:val="000000" w:themeColor="text1"/>
              </w:rPr>
            </w:pPr>
            <w:r w:rsidRPr="00286216">
              <w:rPr>
                <w:color w:val="000000" w:themeColor="text1"/>
              </w:rPr>
              <w:t>4) факти допуску/скасування допуску цінних паперів до торгів на регульованому фондовому ринку;</w:t>
            </w:r>
          </w:p>
        </w:tc>
        <w:tc>
          <w:tcPr>
            <w:tcW w:w="3686" w:type="dxa"/>
          </w:tcPr>
          <w:p w14:paraId="7EB53516" w14:textId="77777777" w:rsidR="004D649E" w:rsidRPr="00286216" w:rsidRDefault="004D649E" w:rsidP="004D649E">
            <w:pPr>
              <w:pStyle w:val="StyleProp"/>
              <w:rPr>
                <w:color w:val="000000" w:themeColor="text1"/>
                <w:szCs w:val="18"/>
              </w:rPr>
            </w:pPr>
          </w:p>
        </w:tc>
        <w:tc>
          <w:tcPr>
            <w:tcW w:w="1987" w:type="dxa"/>
          </w:tcPr>
          <w:p w14:paraId="08C28448" w14:textId="77777777" w:rsidR="004D649E" w:rsidRPr="00286216" w:rsidRDefault="004D649E" w:rsidP="004D649E">
            <w:pPr>
              <w:pStyle w:val="StyleWisnow"/>
              <w:rPr>
                <w:color w:val="000000" w:themeColor="text1"/>
              </w:rPr>
            </w:pPr>
          </w:p>
        </w:tc>
        <w:tc>
          <w:tcPr>
            <w:tcW w:w="4818" w:type="dxa"/>
          </w:tcPr>
          <w:p w14:paraId="2959783A" w14:textId="6E1B89C4" w:rsidR="004D649E" w:rsidRPr="00286216" w:rsidRDefault="004D649E" w:rsidP="004D649E">
            <w:pPr>
              <w:pStyle w:val="StyleZakonu"/>
              <w:rPr>
                <w:color w:val="000000" w:themeColor="text1"/>
              </w:rPr>
            </w:pPr>
            <w:r w:rsidRPr="00286216">
              <w:rPr>
                <w:color w:val="000000" w:themeColor="text1"/>
              </w:rPr>
              <w:t>4) факти допуску/скасування допуску цінних паперів до торгів на регульованому фондовому ринку;</w:t>
            </w:r>
          </w:p>
        </w:tc>
      </w:tr>
      <w:tr w:rsidR="004D649E" w:rsidRPr="00286216" w14:paraId="68BAEEED" w14:textId="77777777" w:rsidTr="00091AA5">
        <w:tc>
          <w:tcPr>
            <w:tcW w:w="576" w:type="dxa"/>
          </w:tcPr>
          <w:p w14:paraId="3005C573" w14:textId="77777777" w:rsidR="004D649E" w:rsidRPr="00286216" w:rsidRDefault="004D649E" w:rsidP="004D649E">
            <w:pPr>
              <w:pStyle w:val="StyleWisnow"/>
              <w:rPr>
                <w:color w:val="000000" w:themeColor="text1"/>
              </w:rPr>
            </w:pPr>
            <w:bookmarkStart w:id="1931" w:name="n2165" w:colFirst="0" w:colLast="0"/>
            <w:bookmarkEnd w:id="1930"/>
            <w:r w:rsidRPr="00286216">
              <w:rPr>
                <w:color w:val="000000" w:themeColor="text1"/>
              </w:rPr>
              <w:t>2165.</w:t>
            </w:r>
          </w:p>
        </w:tc>
        <w:tc>
          <w:tcPr>
            <w:tcW w:w="4818" w:type="dxa"/>
          </w:tcPr>
          <w:p w14:paraId="6874959B" w14:textId="77777777" w:rsidR="004D649E" w:rsidRPr="00286216" w:rsidRDefault="004D649E" w:rsidP="004D649E">
            <w:pPr>
              <w:pStyle w:val="StyleZakonu"/>
              <w:rPr>
                <w:color w:val="000000" w:themeColor="text1"/>
              </w:rPr>
            </w:pPr>
            <w:r w:rsidRPr="00286216">
              <w:rPr>
                <w:color w:val="000000" w:themeColor="text1"/>
              </w:rPr>
              <w:t>5) прийняття рішення про надання згоди на вчинення значних правочинів або про попереднє надання згоди на вчинення таких правочинів, або прийняття рішення про надання згоди на вчинення правочинів, щодо вчинення яких є заінтересованість;</w:t>
            </w:r>
          </w:p>
        </w:tc>
        <w:tc>
          <w:tcPr>
            <w:tcW w:w="3686" w:type="dxa"/>
          </w:tcPr>
          <w:p w14:paraId="5B9C4A6D" w14:textId="77777777" w:rsidR="004D649E" w:rsidRPr="00286216" w:rsidRDefault="004D649E" w:rsidP="004D649E">
            <w:pPr>
              <w:pStyle w:val="StyleProp"/>
              <w:rPr>
                <w:color w:val="000000" w:themeColor="text1"/>
                <w:szCs w:val="18"/>
              </w:rPr>
            </w:pPr>
          </w:p>
        </w:tc>
        <w:tc>
          <w:tcPr>
            <w:tcW w:w="1987" w:type="dxa"/>
          </w:tcPr>
          <w:p w14:paraId="15E01FC0" w14:textId="77777777" w:rsidR="004D649E" w:rsidRPr="00286216" w:rsidRDefault="004D649E" w:rsidP="004D649E">
            <w:pPr>
              <w:pStyle w:val="StyleWisnow"/>
              <w:rPr>
                <w:color w:val="000000" w:themeColor="text1"/>
              </w:rPr>
            </w:pPr>
          </w:p>
        </w:tc>
        <w:tc>
          <w:tcPr>
            <w:tcW w:w="4818" w:type="dxa"/>
          </w:tcPr>
          <w:p w14:paraId="522ECEA8" w14:textId="41BD82C5" w:rsidR="004D649E" w:rsidRPr="00286216" w:rsidRDefault="004D649E" w:rsidP="004D649E">
            <w:pPr>
              <w:pStyle w:val="StyleZakonu"/>
              <w:rPr>
                <w:color w:val="000000" w:themeColor="text1"/>
              </w:rPr>
            </w:pPr>
            <w:r w:rsidRPr="00286216">
              <w:rPr>
                <w:color w:val="000000" w:themeColor="text1"/>
              </w:rPr>
              <w:t>5) прийняття рішення про надання згоди на вчинення значних правочинів або про попереднє надання згоди на вчинення таких правочинів, або прийняття рішення про надання згоди на вчинення правочинів, щодо вчинення яких є заінтересованість;</w:t>
            </w:r>
          </w:p>
        </w:tc>
      </w:tr>
      <w:tr w:rsidR="004D649E" w:rsidRPr="00286216" w14:paraId="7A34F902" w14:textId="77777777" w:rsidTr="00091AA5">
        <w:tc>
          <w:tcPr>
            <w:tcW w:w="576" w:type="dxa"/>
          </w:tcPr>
          <w:p w14:paraId="666CE984" w14:textId="77777777" w:rsidR="004D649E" w:rsidRPr="00286216" w:rsidRDefault="004D649E" w:rsidP="004D649E">
            <w:pPr>
              <w:pStyle w:val="StyleWisnow"/>
              <w:rPr>
                <w:color w:val="000000" w:themeColor="text1"/>
              </w:rPr>
            </w:pPr>
            <w:bookmarkStart w:id="1932" w:name="n2166" w:colFirst="0" w:colLast="0"/>
            <w:bookmarkEnd w:id="1931"/>
            <w:r w:rsidRPr="00286216">
              <w:rPr>
                <w:color w:val="000000" w:themeColor="text1"/>
              </w:rPr>
              <w:t>2166.</w:t>
            </w:r>
          </w:p>
        </w:tc>
        <w:tc>
          <w:tcPr>
            <w:tcW w:w="4818" w:type="dxa"/>
          </w:tcPr>
          <w:p w14:paraId="7B474A9C" w14:textId="77777777" w:rsidR="004D649E" w:rsidRPr="00286216" w:rsidRDefault="004D649E" w:rsidP="004D649E">
            <w:pPr>
              <w:pStyle w:val="StyleZakonu"/>
              <w:rPr>
                <w:color w:val="000000" w:themeColor="text1"/>
              </w:rPr>
            </w:pPr>
            <w:r w:rsidRPr="00286216">
              <w:rPr>
                <w:color w:val="000000" w:themeColor="text1"/>
              </w:rPr>
              <w:t>6) осіб, заінтересованих у вчиненні товариством правочинів із заінтересованістю, та обставини, існування яких створює заінтересованість;</w:t>
            </w:r>
          </w:p>
        </w:tc>
        <w:tc>
          <w:tcPr>
            <w:tcW w:w="3686" w:type="dxa"/>
          </w:tcPr>
          <w:p w14:paraId="790644D2" w14:textId="77777777" w:rsidR="004D649E" w:rsidRPr="00286216" w:rsidRDefault="004D649E" w:rsidP="004D649E">
            <w:pPr>
              <w:pStyle w:val="StyleProp"/>
              <w:rPr>
                <w:color w:val="000000" w:themeColor="text1"/>
                <w:szCs w:val="18"/>
              </w:rPr>
            </w:pPr>
          </w:p>
        </w:tc>
        <w:tc>
          <w:tcPr>
            <w:tcW w:w="1987" w:type="dxa"/>
          </w:tcPr>
          <w:p w14:paraId="008B19C3" w14:textId="77777777" w:rsidR="004D649E" w:rsidRPr="00286216" w:rsidRDefault="004D649E" w:rsidP="004D649E">
            <w:pPr>
              <w:pStyle w:val="StyleWisnow"/>
              <w:rPr>
                <w:color w:val="000000" w:themeColor="text1"/>
              </w:rPr>
            </w:pPr>
          </w:p>
        </w:tc>
        <w:tc>
          <w:tcPr>
            <w:tcW w:w="4818" w:type="dxa"/>
          </w:tcPr>
          <w:p w14:paraId="73680FD9" w14:textId="4971102B" w:rsidR="004D649E" w:rsidRPr="00286216" w:rsidRDefault="004D649E" w:rsidP="004D649E">
            <w:pPr>
              <w:pStyle w:val="StyleZakonu"/>
              <w:rPr>
                <w:color w:val="000000" w:themeColor="text1"/>
              </w:rPr>
            </w:pPr>
            <w:r w:rsidRPr="00286216">
              <w:rPr>
                <w:color w:val="000000" w:themeColor="text1"/>
              </w:rPr>
              <w:t>6) осіб, заінтересованих у вчиненні товариством правочинів із заінтересованістю, та обставини, існування яких створює заінтересованість;</w:t>
            </w:r>
          </w:p>
        </w:tc>
      </w:tr>
      <w:tr w:rsidR="004D649E" w:rsidRPr="00286216" w14:paraId="016949F8" w14:textId="77777777" w:rsidTr="00091AA5">
        <w:tc>
          <w:tcPr>
            <w:tcW w:w="576" w:type="dxa"/>
          </w:tcPr>
          <w:p w14:paraId="5D41ACCC" w14:textId="77777777" w:rsidR="004D649E" w:rsidRPr="00286216" w:rsidRDefault="004D649E" w:rsidP="004D649E">
            <w:pPr>
              <w:pStyle w:val="StyleWisnow"/>
              <w:rPr>
                <w:color w:val="000000" w:themeColor="text1"/>
              </w:rPr>
            </w:pPr>
            <w:bookmarkStart w:id="1933" w:name="n2167" w:colFirst="0" w:colLast="0"/>
            <w:bookmarkEnd w:id="1932"/>
            <w:r w:rsidRPr="00286216">
              <w:rPr>
                <w:color w:val="000000" w:themeColor="text1"/>
              </w:rPr>
              <w:t>2167.</w:t>
            </w:r>
          </w:p>
        </w:tc>
        <w:tc>
          <w:tcPr>
            <w:tcW w:w="4818" w:type="dxa"/>
          </w:tcPr>
          <w:p w14:paraId="3B8EFDAE" w14:textId="77777777" w:rsidR="004D649E" w:rsidRPr="00286216" w:rsidRDefault="004D649E" w:rsidP="004D649E">
            <w:pPr>
              <w:pStyle w:val="StyleZakonu"/>
              <w:rPr>
                <w:color w:val="000000" w:themeColor="text1"/>
              </w:rPr>
            </w:pPr>
            <w:r w:rsidRPr="00286216">
              <w:rPr>
                <w:color w:val="000000" w:themeColor="text1"/>
              </w:rPr>
              <w:t>7) зміну складу посадових осіб емітента;</w:t>
            </w:r>
          </w:p>
        </w:tc>
        <w:tc>
          <w:tcPr>
            <w:tcW w:w="3686" w:type="dxa"/>
          </w:tcPr>
          <w:p w14:paraId="77A6C171" w14:textId="77777777" w:rsidR="004D649E" w:rsidRPr="00286216" w:rsidRDefault="004D649E" w:rsidP="004D649E">
            <w:pPr>
              <w:pStyle w:val="StyleProp"/>
              <w:rPr>
                <w:color w:val="000000" w:themeColor="text1"/>
                <w:szCs w:val="18"/>
              </w:rPr>
            </w:pPr>
          </w:p>
        </w:tc>
        <w:tc>
          <w:tcPr>
            <w:tcW w:w="1987" w:type="dxa"/>
          </w:tcPr>
          <w:p w14:paraId="535805F5" w14:textId="77777777" w:rsidR="004D649E" w:rsidRPr="00286216" w:rsidRDefault="004D649E" w:rsidP="004D649E">
            <w:pPr>
              <w:pStyle w:val="StyleWisnow"/>
              <w:rPr>
                <w:color w:val="000000" w:themeColor="text1"/>
              </w:rPr>
            </w:pPr>
          </w:p>
        </w:tc>
        <w:tc>
          <w:tcPr>
            <w:tcW w:w="4818" w:type="dxa"/>
          </w:tcPr>
          <w:p w14:paraId="72E97638" w14:textId="5F993DE5" w:rsidR="004D649E" w:rsidRPr="00286216" w:rsidRDefault="004D649E" w:rsidP="004D649E">
            <w:pPr>
              <w:pStyle w:val="StyleZakonu"/>
              <w:rPr>
                <w:color w:val="000000" w:themeColor="text1"/>
              </w:rPr>
            </w:pPr>
            <w:r w:rsidRPr="00286216">
              <w:rPr>
                <w:color w:val="000000" w:themeColor="text1"/>
              </w:rPr>
              <w:t>7) зміну складу посадових осіб емітента;</w:t>
            </w:r>
          </w:p>
        </w:tc>
      </w:tr>
      <w:tr w:rsidR="004D649E" w:rsidRPr="00286216" w14:paraId="1A570C0C" w14:textId="77777777" w:rsidTr="00091AA5">
        <w:tc>
          <w:tcPr>
            <w:tcW w:w="576" w:type="dxa"/>
          </w:tcPr>
          <w:p w14:paraId="3F4759E1" w14:textId="77777777" w:rsidR="004D649E" w:rsidRPr="00286216" w:rsidRDefault="004D649E" w:rsidP="004D649E">
            <w:pPr>
              <w:pStyle w:val="StyleWisnow"/>
              <w:rPr>
                <w:color w:val="000000" w:themeColor="text1"/>
              </w:rPr>
            </w:pPr>
            <w:bookmarkStart w:id="1934" w:name="n2168" w:colFirst="0" w:colLast="0"/>
            <w:bookmarkEnd w:id="1933"/>
            <w:r w:rsidRPr="00286216">
              <w:rPr>
                <w:color w:val="000000" w:themeColor="text1"/>
              </w:rPr>
              <w:t>2168.</w:t>
            </w:r>
          </w:p>
        </w:tc>
        <w:tc>
          <w:tcPr>
            <w:tcW w:w="4818" w:type="dxa"/>
          </w:tcPr>
          <w:p w14:paraId="2F4FDBB7" w14:textId="77777777" w:rsidR="004D649E" w:rsidRPr="00286216" w:rsidRDefault="004D649E" w:rsidP="004D649E">
            <w:pPr>
              <w:pStyle w:val="StyleZakonu"/>
              <w:rPr>
                <w:color w:val="000000" w:themeColor="text1"/>
              </w:rPr>
            </w:pPr>
            <w:r w:rsidRPr="00286216">
              <w:rPr>
                <w:color w:val="000000" w:themeColor="text1"/>
              </w:rPr>
              <w:t>8) зміну акціонерів, яким належать голосуючі акції, розмір пакета яких стає більшим, меншим або рівним пороговому значенню пакета акцій;</w:t>
            </w:r>
          </w:p>
        </w:tc>
        <w:tc>
          <w:tcPr>
            <w:tcW w:w="3686" w:type="dxa"/>
          </w:tcPr>
          <w:p w14:paraId="25ACCBA8" w14:textId="77777777" w:rsidR="004D649E" w:rsidRPr="00286216" w:rsidRDefault="004D649E" w:rsidP="004D649E">
            <w:pPr>
              <w:pStyle w:val="StyleProp"/>
              <w:rPr>
                <w:color w:val="000000" w:themeColor="text1"/>
                <w:szCs w:val="18"/>
              </w:rPr>
            </w:pPr>
          </w:p>
        </w:tc>
        <w:tc>
          <w:tcPr>
            <w:tcW w:w="1987" w:type="dxa"/>
          </w:tcPr>
          <w:p w14:paraId="710DAD24" w14:textId="77777777" w:rsidR="004D649E" w:rsidRPr="00286216" w:rsidRDefault="004D649E" w:rsidP="004D649E">
            <w:pPr>
              <w:pStyle w:val="StyleWisnow"/>
              <w:rPr>
                <w:color w:val="000000" w:themeColor="text1"/>
              </w:rPr>
            </w:pPr>
          </w:p>
        </w:tc>
        <w:tc>
          <w:tcPr>
            <w:tcW w:w="4818" w:type="dxa"/>
          </w:tcPr>
          <w:p w14:paraId="34B8385D" w14:textId="2F6B2E66" w:rsidR="004D649E" w:rsidRPr="00286216" w:rsidRDefault="004D649E" w:rsidP="004D649E">
            <w:pPr>
              <w:pStyle w:val="StyleZakonu"/>
              <w:rPr>
                <w:color w:val="000000" w:themeColor="text1"/>
              </w:rPr>
            </w:pPr>
            <w:r w:rsidRPr="00286216">
              <w:rPr>
                <w:color w:val="000000" w:themeColor="text1"/>
              </w:rPr>
              <w:t>8) зміну акціонерів, яким належать голосуючі акції, розмір пакета яких стає більшим, меншим або дорвнює пороговому значенню пакета акцій;</w:t>
            </w:r>
          </w:p>
        </w:tc>
      </w:tr>
      <w:tr w:rsidR="004D649E" w:rsidRPr="00286216" w14:paraId="0A720443" w14:textId="77777777" w:rsidTr="00091AA5">
        <w:tc>
          <w:tcPr>
            <w:tcW w:w="576" w:type="dxa"/>
          </w:tcPr>
          <w:p w14:paraId="1875EE0C" w14:textId="77777777" w:rsidR="004D649E" w:rsidRPr="00286216" w:rsidRDefault="004D649E" w:rsidP="004D649E">
            <w:pPr>
              <w:pStyle w:val="StyleWisnow"/>
              <w:rPr>
                <w:color w:val="000000" w:themeColor="text1"/>
              </w:rPr>
            </w:pPr>
            <w:bookmarkStart w:id="1935" w:name="n2169" w:colFirst="0" w:colLast="0"/>
            <w:bookmarkEnd w:id="1934"/>
            <w:r w:rsidRPr="00286216">
              <w:rPr>
                <w:color w:val="000000" w:themeColor="text1"/>
              </w:rPr>
              <w:t>2169.</w:t>
            </w:r>
          </w:p>
        </w:tc>
        <w:tc>
          <w:tcPr>
            <w:tcW w:w="4818" w:type="dxa"/>
          </w:tcPr>
          <w:p w14:paraId="7F39F2FC" w14:textId="77777777" w:rsidR="004D649E" w:rsidRPr="00286216" w:rsidRDefault="004D649E" w:rsidP="004D649E">
            <w:pPr>
              <w:pStyle w:val="StyleZakonu"/>
              <w:rPr>
                <w:color w:val="000000" w:themeColor="text1"/>
              </w:rPr>
            </w:pPr>
            <w:r w:rsidRPr="00286216">
              <w:rPr>
                <w:color w:val="000000" w:themeColor="text1"/>
              </w:rPr>
              <w:t>9) зміну осіб, яким належить право голосу за акціями, сумарна кількість прав за якими стає більшою, меншою або рівною пороговому значенню пакета акцій;</w:t>
            </w:r>
          </w:p>
        </w:tc>
        <w:tc>
          <w:tcPr>
            <w:tcW w:w="3686" w:type="dxa"/>
          </w:tcPr>
          <w:p w14:paraId="6D2BA953" w14:textId="77777777" w:rsidR="004D649E" w:rsidRPr="00286216" w:rsidRDefault="004D649E" w:rsidP="004D649E">
            <w:pPr>
              <w:pStyle w:val="StyleProp"/>
              <w:rPr>
                <w:color w:val="000000" w:themeColor="text1"/>
                <w:szCs w:val="18"/>
              </w:rPr>
            </w:pPr>
          </w:p>
        </w:tc>
        <w:tc>
          <w:tcPr>
            <w:tcW w:w="1987" w:type="dxa"/>
          </w:tcPr>
          <w:p w14:paraId="3F0BD80D" w14:textId="77777777" w:rsidR="004D649E" w:rsidRPr="00286216" w:rsidRDefault="004D649E" w:rsidP="004D649E">
            <w:pPr>
              <w:pStyle w:val="StyleWisnow"/>
              <w:rPr>
                <w:color w:val="000000" w:themeColor="text1"/>
              </w:rPr>
            </w:pPr>
          </w:p>
        </w:tc>
        <w:tc>
          <w:tcPr>
            <w:tcW w:w="4818" w:type="dxa"/>
          </w:tcPr>
          <w:p w14:paraId="446C5126" w14:textId="4E8B06A2" w:rsidR="004D649E" w:rsidRPr="00286216" w:rsidRDefault="004D649E" w:rsidP="004D649E">
            <w:pPr>
              <w:pStyle w:val="StyleZakonu"/>
              <w:rPr>
                <w:color w:val="000000" w:themeColor="text1"/>
              </w:rPr>
            </w:pPr>
            <w:r w:rsidRPr="00286216">
              <w:rPr>
                <w:color w:val="000000" w:themeColor="text1"/>
              </w:rPr>
              <w:t>9) зміну осіб, яким належить право голосу за акціями, сумарна кількість прав за якими стає більшою, меншою або дорвнює пороговому значенню пакета акцій;</w:t>
            </w:r>
          </w:p>
        </w:tc>
      </w:tr>
      <w:tr w:rsidR="004D649E" w:rsidRPr="00286216" w14:paraId="7A43B84C" w14:textId="77777777" w:rsidTr="00091AA5">
        <w:tc>
          <w:tcPr>
            <w:tcW w:w="576" w:type="dxa"/>
          </w:tcPr>
          <w:p w14:paraId="531A2F91" w14:textId="77777777" w:rsidR="004D649E" w:rsidRPr="00286216" w:rsidRDefault="004D649E" w:rsidP="004D649E">
            <w:pPr>
              <w:pStyle w:val="StyleWisnow"/>
              <w:rPr>
                <w:color w:val="000000" w:themeColor="text1"/>
              </w:rPr>
            </w:pPr>
            <w:bookmarkStart w:id="1936" w:name="n2170" w:colFirst="0" w:colLast="0"/>
            <w:bookmarkEnd w:id="1935"/>
            <w:r w:rsidRPr="00286216">
              <w:rPr>
                <w:color w:val="000000" w:themeColor="text1"/>
              </w:rPr>
              <w:t>2170.</w:t>
            </w:r>
          </w:p>
        </w:tc>
        <w:tc>
          <w:tcPr>
            <w:tcW w:w="4818" w:type="dxa"/>
          </w:tcPr>
          <w:p w14:paraId="2E9FB47B" w14:textId="77777777" w:rsidR="004D649E" w:rsidRPr="00286216" w:rsidRDefault="004D649E" w:rsidP="004D649E">
            <w:pPr>
              <w:pStyle w:val="StyleZakonu"/>
              <w:rPr>
                <w:color w:val="000000" w:themeColor="text1"/>
              </w:rPr>
            </w:pPr>
            <w:r w:rsidRPr="00286216">
              <w:rPr>
                <w:color w:val="000000" w:themeColor="text1"/>
              </w:rPr>
              <w:t xml:space="preserve">10) зміну осіб, які є власниками фінансових інструментів, пов’язаних з голосуючими акціями акціонерного товариства, у разі якщо сумарна </w:t>
            </w:r>
            <w:r w:rsidRPr="00286216">
              <w:rPr>
                <w:color w:val="000000" w:themeColor="text1"/>
              </w:rPr>
              <w:lastRenderedPageBreak/>
              <w:t>кількість прав за такими акціями стає більшою, меншою або рівною пороговому значенню пакета акцій. У випадку зміни осіб, передбаченої цим пунктом, особи, які ведуть облік прав власності на зазначені фінансові інструменти, зобов’язані надавати емітенту інформацію на його запит;</w:t>
            </w:r>
          </w:p>
        </w:tc>
        <w:tc>
          <w:tcPr>
            <w:tcW w:w="3686" w:type="dxa"/>
          </w:tcPr>
          <w:p w14:paraId="3FDB8E40" w14:textId="77777777" w:rsidR="004D649E" w:rsidRPr="00286216" w:rsidRDefault="004D649E" w:rsidP="004D649E">
            <w:pPr>
              <w:pStyle w:val="StyleProp"/>
              <w:rPr>
                <w:color w:val="000000" w:themeColor="text1"/>
                <w:szCs w:val="18"/>
              </w:rPr>
            </w:pPr>
          </w:p>
        </w:tc>
        <w:tc>
          <w:tcPr>
            <w:tcW w:w="1987" w:type="dxa"/>
          </w:tcPr>
          <w:p w14:paraId="64ED1699" w14:textId="77777777" w:rsidR="004D649E" w:rsidRPr="00286216" w:rsidRDefault="004D649E" w:rsidP="004D649E">
            <w:pPr>
              <w:pStyle w:val="StyleWisnow"/>
              <w:rPr>
                <w:color w:val="000000" w:themeColor="text1"/>
              </w:rPr>
            </w:pPr>
          </w:p>
        </w:tc>
        <w:tc>
          <w:tcPr>
            <w:tcW w:w="4818" w:type="dxa"/>
          </w:tcPr>
          <w:p w14:paraId="7688D441" w14:textId="419DDD9F" w:rsidR="004D649E" w:rsidRPr="00286216" w:rsidRDefault="004D649E" w:rsidP="004D649E">
            <w:pPr>
              <w:pStyle w:val="StyleZakonu"/>
              <w:rPr>
                <w:color w:val="000000" w:themeColor="text1"/>
              </w:rPr>
            </w:pPr>
            <w:r w:rsidRPr="00286216">
              <w:rPr>
                <w:color w:val="000000" w:themeColor="text1"/>
              </w:rPr>
              <w:t xml:space="preserve">10) зміну осіб, які є власниками фінансових інструментів, пов’язаних з голосуючими акціями акціонерного товариства, у разі якщо сумарна </w:t>
            </w:r>
            <w:r w:rsidRPr="00286216">
              <w:rPr>
                <w:color w:val="000000" w:themeColor="text1"/>
              </w:rPr>
              <w:lastRenderedPageBreak/>
              <w:t>кількість прав за такими акціями стає більшою, меншою або дорвнює пороговому значенню пакета акцій. У разі зміни осіб, передбаченої цим пунктом, особи, які ведуть облік прав власності на зазначені фінансові інструменти, зобов’язані надавати емітенту інформацію на його запит;</w:t>
            </w:r>
          </w:p>
        </w:tc>
      </w:tr>
      <w:tr w:rsidR="004D649E" w:rsidRPr="00286216" w14:paraId="5ED54968" w14:textId="77777777" w:rsidTr="00091AA5">
        <w:tc>
          <w:tcPr>
            <w:tcW w:w="576" w:type="dxa"/>
          </w:tcPr>
          <w:p w14:paraId="13023106" w14:textId="77777777" w:rsidR="004D649E" w:rsidRPr="00286216" w:rsidRDefault="004D649E" w:rsidP="004D649E">
            <w:pPr>
              <w:pStyle w:val="StyleWisnow"/>
              <w:rPr>
                <w:color w:val="000000" w:themeColor="text1"/>
              </w:rPr>
            </w:pPr>
            <w:bookmarkStart w:id="1937" w:name="n2171" w:colFirst="0" w:colLast="0"/>
            <w:bookmarkEnd w:id="1936"/>
            <w:r w:rsidRPr="00286216">
              <w:rPr>
                <w:color w:val="000000" w:themeColor="text1"/>
              </w:rPr>
              <w:lastRenderedPageBreak/>
              <w:t>2171.</w:t>
            </w:r>
          </w:p>
        </w:tc>
        <w:tc>
          <w:tcPr>
            <w:tcW w:w="4818" w:type="dxa"/>
          </w:tcPr>
          <w:p w14:paraId="561F7EEE" w14:textId="77777777" w:rsidR="004D649E" w:rsidRPr="00286216" w:rsidRDefault="004D649E" w:rsidP="004D649E">
            <w:pPr>
              <w:pStyle w:val="StyleZakonu"/>
              <w:rPr>
                <w:color w:val="000000" w:themeColor="text1"/>
              </w:rPr>
            </w:pPr>
            <w:r w:rsidRPr="00286216">
              <w:rPr>
                <w:color w:val="000000" w:themeColor="text1"/>
              </w:rPr>
              <w:t>11) рішення емітента про утворення, припинення його філій, представництв;</w:t>
            </w:r>
          </w:p>
        </w:tc>
        <w:tc>
          <w:tcPr>
            <w:tcW w:w="3686" w:type="dxa"/>
          </w:tcPr>
          <w:p w14:paraId="115562CE" w14:textId="77777777" w:rsidR="004D649E" w:rsidRPr="00286216" w:rsidRDefault="004D649E" w:rsidP="004D649E">
            <w:pPr>
              <w:pStyle w:val="StyleProp"/>
              <w:rPr>
                <w:color w:val="000000" w:themeColor="text1"/>
                <w:szCs w:val="18"/>
              </w:rPr>
            </w:pPr>
          </w:p>
        </w:tc>
        <w:tc>
          <w:tcPr>
            <w:tcW w:w="1987" w:type="dxa"/>
          </w:tcPr>
          <w:p w14:paraId="13BC335C" w14:textId="77777777" w:rsidR="004D649E" w:rsidRPr="00286216" w:rsidRDefault="004D649E" w:rsidP="004D649E">
            <w:pPr>
              <w:pStyle w:val="StyleWisnow"/>
              <w:rPr>
                <w:color w:val="000000" w:themeColor="text1"/>
              </w:rPr>
            </w:pPr>
          </w:p>
        </w:tc>
        <w:tc>
          <w:tcPr>
            <w:tcW w:w="4818" w:type="dxa"/>
          </w:tcPr>
          <w:p w14:paraId="360AFE94" w14:textId="5D2C2485" w:rsidR="004D649E" w:rsidRPr="00286216" w:rsidRDefault="004D649E" w:rsidP="004D649E">
            <w:pPr>
              <w:pStyle w:val="StyleZakonu"/>
              <w:rPr>
                <w:color w:val="000000" w:themeColor="text1"/>
              </w:rPr>
            </w:pPr>
            <w:r w:rsidRPr="00286216">
              <w:rPr>
                <w:color w:val="000000" w:themeColor="text1"/>
              </w:rPr>
              <w:t>11) рішення емітента про утворення, припинення його філій, представництв;</w:t>
            </w:r>
          </w:p>
        </w:tc>
      </w:tr>
      <w:tr w:rsidR="004D649E" w:rsidRPr="00286216" w14:paraId="26B283E2" w14:textId="77777777" w:rsidTr="00091AA5">
        <w:tc>
          <w:tcPr>
            <w:tcW w:w="576" w:type="dxa"/>
          </w:tcPr>
          <w:p w14:paraId="376E0C39" w14:textId="77777777" w:rsidR="004D649E" w:rsidRPr="00286216" w:rsidRDefault="004D649E" w:rsidP="004D649E">
            <w:pPr>
              <w:pStyle w:val="StyleWisnow"/>
              <w:rPr>
                <w:color w:val="000000" w:themeColor="text1"/>
              </w:rPr>
            </w:pPr>
            <w:bookmarkStart w:id="1938" w:name="n2172" w:colFirst="0" w:colLast="0"/>
            <w:bookmarkEnd w:id="1937"/>
            <w:r w:rsidRPr="00286216">
              <w:rPr>
                <w:color w:val="000000" w:themeColor="text1"/>
              </w:rPr>
              <w:t>2172.</w:t>
            </w:r>
          </w:p>
        </w:tc>
        <w:tc>
          <w:tcPr>
            <w:tcW w:w="4818" w:type="dxa"/>
          </w:tcPr>
          <w:p w14:paraId="13D7C0B3" w14:textId="77777777" w:rsidR="004D649E" w:rsidRPr="00286216" w:rsidRDefault="004D649E" w:rsidP="004D649E">
            <w:pPr>
              <w:pStyle w:val="StyleZakonu"/>
              <w:rPr>
                <w:color w:val="000000" w:themeColor="text1"/>
              </w:rPr>
            </w:pPr>
            <w:r w:rsidRPr="00286216">
              <w:rPr>
                <w:color w:val="000000" w:themeColor="text1"/>
              </w:rPr>
              <w:t>12) рішення вищого органу емітента про зменшення статутного капіталу;</w:t>
            </w:r>
          </w:p>
        </w:tc>
        <w:tc>
          <w:tcPr>
            <w:tcW w:w="3686" w:type="dxa"/>
          </w:tcPr>
          <w:p w14:paraId="57084C45" w14:textId="77777777" w:rsidR="004D649E" w:rsidRPr="00286216" w:rsidRDefault="004D649E" w:rsidP="004D649E">
            <w:pPr>
              <w:pStyle w:val="StyleProp"/>
              <w:rPr>
                <w:color w:val="000000" w:themeColor="text1"/>
                <w:szCs w:val="18"/>
              </w:rPr>
            </w:pPr>
          </w:p>
        </w:tc>
        <w:tc>
          <w:tcPr>
            <w:tcW w:w="1987" w:type="dxa"/>
          </w:tcPr>
          <w:p w14:paraId="7462EA93" w14:textId="77777777" w:rsidR="004D649E" w:rsidRPr="00286216" w:rsidRDefault="004D649E" w:rsidP="004D649E">
            <w:pPr>
              <w:pStyle w:val="StyleWisnow"/>
              <w:rPr>
                <w:color w:val="000000" w:themeColor="text1"/>
              </w:rPr>
            </w:pPr>
          </w:p>
        </w:tc>
        <w:tc>
          <w:tcPr>
            <w:tcW w:w="4818" w:type="dxa"/>
          </w:tcPr>
          <w:p w14:paraId="11CDFEBE" w14:textId="72292B30" w:rsidR="004D649E" w:rsidRPr="00286216" w:rsidRDefault="004D649E" w:rsidP="004D649E">
            <w:pPr>
              <w:pStyle w:val="StyleZakonu"/>
              <w:rPr>
                <w:color w:val="000000" w:themeColor="text1"/>
              </w:rPr>
            </w:pPr>
            <w:r w:rsidRPr="00286216">
              <w:rPr>
                <w:color w:val="000000" w:themeColor="text1"/>
              </w:rPr>
              <w:t>12) рішення вищого органу емітента про зменшення статутного капіталу;</w:t>
            </w:r>
          </w:p>
        </w:tc>
      </w:tr>
      <w:tr w:rsidR="004D649E" w:rsidRPr="00286216" w14:paraId="77965A94" w14:textId="77777777" w:rsidTr="00091AA5">
        <w:tc>
          <w:tcPr>
            <w:tcW w:w="576" w:type="dxa"/>
          </w:tcPr>
          <w:p w14:paraId="297A4C2C" w14:textId="77777777" w:rsidR="004D649E" w:rsidRPr="00286216" w:rsidRDefault="004D649E" w:rsidP="004D649E">
            <w:pPr>
              <w:pStyle w:val="StyleWisnow"/>
              <w:rPr>
                <w:color w:val="000000" w:themeColor="text1"/>
              </w:rPr>
            </w:pPr>
            <w:bookmarkStart w:id="1939" w:name="n2173" w:colFirst="0" w:colLast="0"/>
            <w:bookmarkEnd w:id="1938"/>
            <w:r w:rsidRPr="00286216">
              <w:rPr>
                <w:color w:val="000000" w:themeColor="text1"/>
              </w:rPr>
              <w:t>2173.</w:t>
            </w:r>
          </w:p>
        </w:tc>
        <w:tc>
          <w:tcPr>
            <w:tcW w:w="4818" w:type="dxa"/>
          </w:tcPr>
          <w:p w14:paraId="53C8EA02" w14:textId="77777777" w:rsidR="004D649E" w:rsidRPr="00286216" w:rsidRDefault="004D649E" w:rsidP="004D649E">
            <w:pPr>
              <w:pStyle w:val="StyleZakonu"/>
              <w:rPr>
                <w:color w:val="000000" w:themeColor="text1"/>
              </w:rPr>
            </w:pPr>
            <w:r w:rsidRPr="00286216">
              <w:rPr>
                <w:color w:val="000000" w:themeColor="text1"/>
              </w:rPr>
              <w:t>13) відкриття провадження у справі про відшкодування емітенту збитків, завданих посадовою особою такого емітента;</w:t>
            </w:r>
          </w:p>
        </w:tc>
        <w:tc>
          <w:tcPr>
            <w:tcW w:w="3686" w:type="dxa"/>
          </w:tcPr>
          <w:p w14:paraId="5DC62724" w14:textId="77777777" w:rsidR="004D649E" w:rsidRPr="00286216" w:rsidRDefault="004D649E" w:rsidP="004D649E">
            <w:pPr>
              <w:pStyle w:val="StyleProp"/>
              <w:rPr>
                <w:color w:val="000000" w:themeColor="text1"/>
                <w:szCs w:val="18"/>
              </w:rPr>
            </w:pPr>
          </w:p>
        </w:tc>
        <w:tc>
          <w:tcPr>
            <w:tcW w:w="1987" w:type="dxa"/>
          </w:tcPr>
          <w:p w14:paraId="15D876CF" w14:textId="77777777" w:rsidR="004D649E" w:rsidRPr="00286216" w:rsidRDefault="004D649E" w:rsidP="004D649E">
            <w:pPr>
              <w:pStyle w:val="StyleWisnow"/>
              <w:rPr>
                <w:color w:val="000000" w:themeColor="text1"/>
              </w:rPr>
            </w:pPr>
          </w:p>
        </w:tc>
        <w:tc>
          <w:tcPr>
            <w:tcW w:w="4818" w:type="dxa"/>
          </w:tcPr>
          <w:p w14:paraId="2C5297CD" w14:textId="08A890C6" w:rsidR="004D649E" w:rsidRPr="00286216" w:rsidRDefault="004D649E" w:rsidP="004D649E">
            <w:pPr>
              <w:pStyle w:val="StyleZakonu"/>
              <w:rPr>
                <w:color w:val="000000" w:themeColor="text1"/>
              </w:rPr>
            </w:pPr>
            <w:r w:rsidRPr="00286216">
              <w:rPr>
                <w:color w:val="000000" w:themeColor="text1"/>
              </w:rPr>
              <w:t>13) відкриття провадження у справі про відшкодування емітенту збитків, завданих посадовою особою такого емітента;</w:t>
            </w:r>
          </w:p>
        </w:tc>
      </w:tr>
      <w:tr w:rsidR="004D649E" w:rsidRPr="00286216" w14:paraId="6AA10E71" w14:textId="77777777" w:rsidTr="00091AA5">
        <w:tc>
          <w:tcPr>
            <w:tcW w:w="576" w:type="dxa"/>
          </w:tcPr>
          <w:p w14:paraId="5E1DC810" w14:textId="77777777" w:rsidR="004D649E" w:rsidRPr="00286216" w:rsidRDefault="004D649E" w:rsidP="004D649E">
            <w:pPr>
              <w:pStyle w:val="StyleWisnow"/>
              <w:rPr>
                <w:color w:val="000000" w:themeColor="text1"/>
              </w:rPr>
            </w:pPr>
            <w:bookmarkStart w:id="1940" w:name="n2174" w:colFirst="0" w:colLast="0"/>
            <w:bookmarkEnd w:id="1939"/>
            <w:r w:rsidRPr="00286216">
              <w:rPr>
                <w:color w:val="000000" w:themeColor="text1"/>
              </w:rPr>
              <w:t>2174.</w:t>
            </w:r>
          </w:p>
        </w:tc>
        <w:tc>
          <w:tcPr>
            <w:tcW w:w="4818" w:type="dxa"/>
          </w:tcPr>
          <w:p w14:paraId="37910805" w14:textId="77777777" w:rsidR="004D649E" w:rsidRPr="00286216" w:rsidRDefault="004D649E" w:rsidP="004D649E">
            <w:pPr>
              <w:pStyle w:val="StyleZakonu"/>
              <w:rPr>
                <w:color w:val="000000" w:themeColor="text1"/>
              </w:rPr>
            </w:pPr>
            <w:r w:rsidRPr="00286216">
              <w:rPr>
                <w:color w:val="000000" w:themeColor="text1"/>
              </w:rPr>
              <w:t>14) відкриття провадження у справі про банкрутство емітента, постановлення ухвали про його санацію;</w:t>
            </w:r>
          </w:p>
        </w:tc>
        <w:tc>
          <w:tcPr>
            <w:tcW w:w="3686" w:type="dxa"/>
          </w:tcPr>
          <w:p w14:paraId="51ED8B78" w14:textId="77777777" w:rsidR="004D649E" w:rsidRPr="00286216" w:rsidRDefault="004D649E" w:rsidP="004D649E">
            <w:pPr>
              <w:pStyle w:val="StyleProp"/>
              <w:rPr>
                <w:color w:val="000000" w:themeColor="text1"/>
                <w:szCs w:val="18"/>
              </w:rPr>
            </w:pPr>
          </w:p>
        </w:tc>
        <w:tc>
          <w:tcPr>
            <w:tcW w:w="1987" w:type="dxa"/>
          </w:tcPr>
          <w:p w14:paraId="210C6AC3" w14:textId="77777777" w:rsidR="004D649E" w:rsidRPr="00286216" w:rsidRDefault="004D649E" w:rsidP="004D649E">
            <w:pPr>
              <w:pStyle w:val="StyleWisnow"/>
              <w:rPr>
                <w:color w:val="000000" w:themeColor="text1"/>
              </w:rPr>
            </w:pPr>
          </w:p>
        </w:tc>
        <w:tc>
          <w:tcPr>
            <w:tcW w:w="4818" w:type="dxa"/>
          </w:tcPr>
          <w:p w14:paraId="74689174" w14:textId="7132E6BD" w:rsidR="004D649E" w:rsidRPr="00286216" w:rsidRDefault="004D649E" w:rsidP="004D649E">
            <w:pPr>
              <w:pStyle w:val="StyleZakonu"/>
              <w:rPr>
                <w:color w:val="000000" w:themeColor="text1"/>
              </w:rPr>
            </w:pPr>
            <w:r w:rsidRPr="00286216">
              <w:rPr>
                <w:color w:val="000000" w:themeColor="text1"/>
              </w:rPr>
              <w:t>14) відкриття провадження у справі про банкрутство емітента, постановлення ухвали про його санацію;</w:t>
            </w:r>
          </w:p>
        </w:tc>
      </w:tr>
      <w:tr w:rsidR="004D649E" w:rsidRPr="00286216" w14:paraId="7C70B2C8" w14:textId="77777777" w:rsidTr="00091AA5">
        <w:tc>
          <w:tcPr>
            <w:tcW w:w="576" w:type="dxa"/>
          </w:tcPr>
          <w:p w14:paraId="3FB3F645" w14:textId="77777777" w:rsidR="004D649E" w:rsidRPr="00286216" w:rsidRDefault="004D649E" w:rsidP="004D649E">
            <w:pPr>
              <w:pStyle w:val="StyleWisnow"/>
              <w:rPr>
                <w:color w:val="000000" w:themeColor="text1"/>
              </w:rPr>
            </w:pPr>
            <w:bookmarkStart w:id="1941" w:name="n2175" w:colFirst="0" w:colLast="0"/>
            <w:bookmarkEnd w:id="1940"/>
            <w:r w:rsidRPr="00286216">
              <w:rPr>
                <w:color w:val="000000" w:themeColor="text1"/>
              </w:rPr>
              <w:t>2175.</w:t>
            </w:r>
          </w:p>
        </w:tc>
        <w:tc>
          <w:tcPr>
            <w:tcW w:w="4818" w:type="dxa"/>
          </w:tcPr>
          <w:p w14:paraId="75FB7A26" w14:textId="77777777" w:rsidR="004D649E" w:rsidRPr="00286216" w:rsidRDefault="004D649E" w:rsidP="004D649E">
            <w:pPr>
              <w:pStyle w:val="StyleZakonu"/>
              <w:rPr>
                <w:color w:val="000000" w:themeColor="text1"/>
              </w:rPr>
            </w:pPr>
            <w:r w:rsidRPr="00286216">
              <w:rPr>
                <w:color w:val="000000" w:themeColor="text1"/>
              </w:rPr>
              <w:t>15) рішення вищого органу емітента або суду про припинення або банкрутство емітента;</w:t>
            </w:r>
          </w:p>
        </w:tc>
        <w:tc>
          <w:tcPr>
            <w:tcW w:w="3686" w:type="dxa"/>
          </w:tcPr>
          <w:p w14:paraId="4B89EFC7" w14:textId="77777777" w:rsidR="004D649E" w:rsidRPr="00286216" w:rsidRDefault="004D649E" w:rsidP="004D649E">
            <w:pPr>
              <w:pStyle w:val="StyleProp"/>
              <w:rPr>
                <w:color w:val="000000" w:themeColor="text1"/>
                <w:szCs w:val="18"/>
              </w:rPr>
            </w:pPr>
          </w:p>
        </w:tc>
        <w:tc>
          <w:tcPr>
            <w:tcW w:w="1987" w:type="dxa"/>
          </w:tcPr>
          <w:p w14:paraId="05C07565" w14:textId="77777777" w:rsidR="004D649E" w:rsidRPr="00286216" w:rsidRDefault="004D649E" w:rsidP="004D649E">
            <w:pPr>
              <w:pStyle w:val="StyleWisnow"/>
              <w:rPr>
                <w:color w:val="000000" w:themeColor="text1"/>
              </w:rPr>
            </w:pPr>
          </w:p>
        </w:tc>
        <w:tc>
          <w:tcPr>
            <w:tcW w:w="4818" w:type="dxa"/>
          </w:tcPr>
          <w:p w14:paraId="43645DD6" w14:textId="257E2585" w:rsidR="004D649E" w:rsidRPr="00286216" w:rsidRDefault="004D649E" w:rsidP="004D649E">
            <w:pPr>
              <w:pStyle w:val="StyleZakonu"/>
              <w:rPr>
                <w:color w:val="000000" w:themeColor="text1"/>
              </w:rPr>
            </w:pPr>
            <w:r w:rsidRPr="00286216">
              <w:rPr>
                <w:color w:val="000000" w:themeColor="text1"/>
              </w:rPr>
              <w:t>15) рішення вищого органу емітента або суду про припинення або банкрутство емітента;</w:t>
            </w:r>
          </w:p>
        </w:tc>
      </w:tr>
      <w:tr w:rsidR="004D649E" w:rsidRPr="00286216" w14:paraId="764665D3" w14:textId="77777777" w:rsidTr="00091AA5">
        <w:tc>
          <w:tcPr>
            <w:tcW w:w="576" w:type="dxa"/>
          </w:tcPr>
          <w:p w14:paraId="0A878CE8" w14:textId="77777777" w:rsidR="004D649E" w:rsidRPr="00286216" w:rsidRDefault="004D649E" w:rsidP="004D649E">
            <w:pPr>
              <w:pStyle w:val="StyleWisnow"/>
              <w:rPr>
                <w:color w:val="000000" w:themeColor="text1"/>
              </w:rPr>
            </w:pPr>
            <w:bookmarkStart w:id="1942" w:name="n2176" w:colFirst="0" w:colLast="0"/>
            <w:bookmarkEnd w:id="1941"/>
            <w:r w:rsidRPr="00286216">
              <w:rPr>
                <w:color w:val="000000" w:themeColor="text1"/>
              </w:rPr>
              <w:t>2176.</w:t>
            </w:r>
          </w:p>
        </w:tc>
        <w:tc>
          <w:tcPr>
            <w:tcW w:w="4818" w:type="dxa"/>
          </w:tcPr>
          <w:p w14:paraId="0D3569A4" w14:textId="77777777" w:rsidR="004D649E" w:rsidRPr="00286216" w:rsidRDefault="004D649E" w:rsidP="004D649E">
            <w:pPr>
              <w:pStyle w:val="StyleZakonu"/>
              <w:rPr>
                <w:color w:val="000000" w:themeColor="text1"/>
              </w:rPr>
            </w:pPr>
            <w:r w:rsidRPr="00286216">
              <w:rPr>
                <w:color w:val="000000" w:themeColor="text1"/>
              </w:rPr>
              <w:t>16) повідомлення про викуп акцій, понад порогові значення пакета акцій;</w:t>
            </w:r>
          </w:p>
        </w:tc>
        <w:tc>
          <w:tcPr>
            <w:tcW w:w="3686" w:type="dxa"/>
          </w:tcPr>
          <w:p w14:paraId="55226562" w14:textId="77777777" w:rsidR="004D649E" w:rsidRPr="00286216" w:rsidRDefault="004D649E" w:rsidP="004D649E">
            <w:pPr>
              <w:pStyle w:val="StyleProp"/>
              <w:rPr>
                <w:color w:val="000000" w:themeColor="text1"/>
                <w:szCs w:val="18"/>
              </w:rPr>
            </w:pPr>
          </w:p>
        </w:tc>
        <w:tc>
          <w:tcPr>
            <w:tcW w:w="1987" w:type="dxa"/>
          </w:tcPr>
          <w:p w14:paraId="23985245" w14:textId="77777777" w:rsidR="004D649E" w:rsidRPr="00286216" w:rsidRDefault="004D649E" w:rsidP="004D649E">
            <w:pPr>
              <w:pStyle w:val="StyleWisnow"/>
              <w:rPr>
                <w:color w:val="000000" w:themeColor="text1"/>
              </w:rPr>
            </w:pPr>
          </w:p>
        </w:tc>
        <w:tc>
          <w:tcPr>
            <w:tcW w:w="4818" w:type="dxa"/>
          </w:tcPr>
          <w:p w14:paraId="2598E999" w14:textId="7E66B7F4" w:rsidR="004D649E" w:rsidRPr="00286216" w:rsidRDefault="004D649E" w:rsidP="004D649E">
            <w:pPr>
              <w:pStyle w:val="StyleZakonu"/>
              <w:rPr>
                <w:color w:val="000000" w:themeColor="text1"/>
              </w:rPr>
            </w:pPr>
            <w:r w:rsidRPr="00286216">
              <w:rPr>
                <w:color w:val="000000" w:themeColor="text1"/>
              </w:rPr>
              <w:t>16) повідомлення про викуп акцій понад порогові значення пакета акцій;</w:t>
            </w:r>
          </w:p>
        </w:tc>
      </w:tr>
      <w:tr w:rsidR="004D649E" w:rsidRPr="00286216" w14:paraId="1309DFE3" w14:textId="77777777" w:rsidTr="00091AA5">
        <w:tc>
          <w:tcPr>
            <w:tcW w:w="576" w:type="dxa"/>
          </w:tcPr>
          <w:p w14:paraId="05BD484A" w14:textId="77777777" w:rsidR="004D649E" w:rsidRPr="00286216" w:rsidRDefault="004D649E" w:rsidP="004D649E">
            <w:pPr>
              <w:pStyle w:val="StyleWisnow"/>
              <w:rPr>
                <w:color w:val="000000" w:themeColor="text1"/>
              </w:rPr>
            </w:pPr>
            <w:bookmarkStart w:id="1943" w:name="n2177" w:colFirst="0" w:colLast="0"/>
            <w:bookmarkEnd w:id="1942"/>
            <w:r w:rsidRPr="00286216">
              <w:rPr>
                <w:color w:val="000000" w:themeColor="text1"/>
              </w:rPr>
              <w:t>2177.</w:t>
            </w:r>
          </w:p>
        </w:tc>
        <w:tc>
          <w:tcPr>
            <w:tcW w:w="4818" w:type="dxa"/>
          </w:tcPr>
          <w:p w14:paraId="498B0371" w14:textId="77777777" w:rsidR="004D649E" w:rsidRPr="00286216" w:rsidRDefault="004D649E" w:rsidP="004D649E">
            <w:pPr>
              <w:pStyle w:val="StyleZakonu"/>
              <w:rPr>
                <w:color w:val="000000" w:themeColor="text1"/>
              </w:rPr>
            </w:pPr>
            <w:r w:rsidRPr="00286216">
              <w:rPr>
                <w:color w:val="000000" w:themeColor="text1"/>
              </w:rPr>
              <w:t>17) зміни до статуту, пов’язані із зміною прав акціонерів;</w:t>
            </w:r>
          </w:p>
        </w:tc>
        <w:tc>
          <w:tcPr>
            <w:tcW w:w="3686" w:type="dxa"/>
          </w:tcPr>
          <w:p w14:paraId="750FE79B" w14:textId="77777777" w:rsidR="004D649E" w:rsidRPr="00286216" w:rsidRDefault="004D649E" w:rsidP="004D649E">
            <w:pPr>
              <w:pStyle w:val="StyleProp"/>
              <w:rPr>
                <w:color w:val="000000" w:themeColor="text1"/>
                <w:szCs w:val="18"/>
              </w:rPr>
            </w:pPr>
          </w:p>
        </w:tc>
        <w:tc>
          <w:tcPr>
            <w:tcW w:w="1987" w:type="dxa"/>
          </w:tcPr>
          <w:p w14:paraId="7E35122D" w14:textId="77777777" w:rsidR="004D649E" w:rsidRPr="00286216" w:rsidRDefault="004D649E" w:rsidP="004D649E">
            <w:pPr>
              <w:pStyle w:val="StyleWisnow"/>
              <w:rPr>
                <w:color w:val="000000" w:themeColor="text1"/>
              </w:rPr>
            </w:pPr>
          </w:p>
        </w:tc>
        <w:tc>
          <w:tcPr>
            <w:tcW w:w="4818" w:type="dxa"/>
          </w:tcPr>
          <w:p w14:paraId="550745B4" w14:textId="71D10BEC" w:rsidR="004D649E" w:rsidRPr="00286216" w:rsidRDefault="004D649E" w:rsidP="004D649E">
            <w:pPr>
              <w:pStyle w:val="StyleZakonu"/>
              <w:rPr>
                <w:color w:val="000000" w:themeColor="text1"/>
              </w:rPr>
            </w:pPr>
            <w:r w:rsidRPr="00286216">
              <w:rPr>
                <w:color w:val="000000" w:themeColor="text1"/>
              </w:rPr>
              <w:t>17) зміни до статуту, пов’язані із зміною прав акціонерів;</w:t>
            </w:r>
          </w:p>
        </w:tc>
      </w:tr>
      <w:tr w:rsidR="004D649E" w:rsidRPr="00286216" w14:paraId="487A0940" w14:textId="77777777" w:rsidTr="00091AA5">
        <w:tc>
          <w:tcPr>
            <w:tcW w:w="576" w:type="dxa"/>
          </w:tcPr>
          <w:p w14:paraId="7CDEC49A" w14:textId="77777777" w:rsidR="004D649E" w:rsidRPr="00286216" w:rsidRDefault="004D649E" w:rsidP="004D649E">
            <w:pPr>
              <w:pStyle w:val="StyleWisnow"/>
              <w:rPr>
                <w:color w:val="000000" w:themeColor="text1"/>
              </w:rPr>
            </w:pPr>
            <w:bookmarkStart w:id="1944" w:name="n2178" w:colFirst="0" w:colLast="0"/>
            <w:bookmarkEnd w:id="1943"/>
            <w:r w:rsidRPr="00286216">
              <w:rPr>
                <w:color w:val="000000" w:themeColor="text1"/>
              </w:rPr>
              <w:t>2178.</w:t>
            </w:r>
          </w:p>
        </w:tc>
        <w:tc>
          <w:tcPr>
            <w:tcW w:w="4818" w:type="dxa"/>
          </w:tcPr>
          <w:p w14:paraId="0929508B" w14:textId="77777777" w:rsidR="004D649E" w:rsidRPr="00286216" w:rsidRDefault="004D649E" w:rsidP="004D649E">
            <w:pPr>
              <w:pStyle w:val="StyleZakonu"/>
              <w:rPr>
                <w:color w:val="000000" w:themeColor="text1"/>
              </w:rPr>
            </w:pPr>
            <w:r w:rsidRPr="00286216">
              <w:rPr>
                <w:color w:val="000000" w:themeColor="text1"/>
              </w:rPr>
              <w:t>18) кількість голосуючих акцій та розмір статутного капіталу за результатами його збільшення або зменшення;</w:t>
            </w:r>
          </w:p>
        </w:tc>
        <w:tc>
          <w:tcPr>
            <w:tcW w:w="3686" w:type="dxa"/>
          </w:tcPr>
          <w:p w14:paraId="11039D12" w14:textId="77777777" w:rsidR="004D649E" w:rsidRPr="00286216" w:rsidRDefault="004D649E" w:rsidP="004D649E">
            <w:pPr>
              <w:pStyle w:val="StyleProp"/>
              <w:rPr>
                <w:color w:val="000000" w:themeColor="text1"/>
                <w:szCs w:val="18"/>
              </w:rPr>
            </w:pPr>
          </w:p>
        </w:tc>
        <w:tc>
          <w:tcPr>
            <w:tcW w:w="1987" w:type="dxa"/>
          </w:tcPr>
          <w:p w14:paraId="52AD7455" w14:textId="77777777" w:rsidR="004D649E" w:rsidRPr="00286216" w:rsidRDefault="004D649E" w:rsidP="004D649E">
            <w:pPr>
              <w:pStyle w:val="StyleWisnow"/>
              <w:rPr>
                <w:color w:val="000000" w:themeColor="text1"/>
              </w:rPr>
            </w:pPr>
          </w:p>
        </w:tc>
        <w:tc>
          <w:tcPr>
            <w:tcW w:w="4818" w:type="dxa"/>
          </w:tcPr>
          <w:p w14:paraId="6354D4F1" w14:textId="10EB13B3" w:rsidR="004D649E" w:rsidRPr="00286216" w:rsidRDefault="004D649E" w:rsidP="004D649E">
            <w:pPr>
              <w:pStyle w:val="StyleZakonu"/>
              <w:rPr>
                <w:color w:val="000000" w:themeColor="text1"/>
              </w:rPr>
            </w:pPr>
            <w:r w:rsidRPr="00286216">
              <w:rPr>
                <w:color w:val="000000" w:themeColor="text1"/>
              </w:rPr>
              <w:t>18) кількість голосуючих акцій та розмір статутного капіталу за результатами його збільшення або зменшення;</w:t>
            </w:r>
          </w:p>
        </w:tc>
      </w:tr>
      <w:tr w:rsidR="004D649E" w:rsidRPr="00286216" w14:paraId="1AA87DCD" w14:textId="77777777" w:rsidTr="00091AA5">
        <w:tc>
          <w:tcPr>
            <w:tcW w:w="576" w:type="dxa"/>
          </w:tcPr>
          <w:p w14:paraId="0CC1C514" w14:textId="77777777" w:rsidR="004D649E" w:rsidRPr="00286216" w:rsidRDefault="004D649E" w:rsidP="004D649E">
            <w:pPr>
              <w:pStyle w:val="StyleWisnow"/>
              <w:rPr>
                <w:color w:val="000000" w:themeColor="text1"/>
              </w:rPr>
            </w:pPr>
            <w:bookmarkStart w:id="1945" w:name="n2179" w:colFirst="0" w:colLast="0"/>
            <w:bookmarkEnd w:id="1944"/>
            <w:r w:rsidRPr="00286216">
              <w:rPr>
                <w:color w:val="000000" w:themeColor="text1"/>
              </w:rPr>
              <w:t>2179.</w:t>
            </w:r>
          </w:p>
        </w:tc>
        <w:tc>
          <w:tcPr>
            <w:tcW w:w="4818" w:type="dxa"/>
          </w:tcPr>
          <w:p w14:paraId="00B2482B" w14:textId="77777777" w:rsidR="004D649E" w:rsidRPr="00286216" w:rsidRDefault="004D649E" w:rsidP="004D649E">
            <w:pPr>
              <w:pStyle w:val="StyleZakonu"/>
              <w:rPr>
                <w:color w:val="000000" w:themeColor="text1"/>
              </w:rPr>
            </w:pPr>
            <w:r w:rsidRPr="00286216">
              <w:rPr>
                <w:color w:val="000000" w:themeColor="text1"/>
              </w:rPr>
              <w:t>19) набуття прямо або опосередковано особою (особами, що діють спільно) з урахуванням кількості акцій, що належать їй та її афілійованим особам,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c>
          <w:tcPr>
            <w:tcW w:w="3686" w:type="dxa"/>
          </w:tcPr>
          <w:p w14:paraId="52873A10" w14:textId="77777777" w:rsidR="004D649E" w:rsidRPr="00286216" w:rsidRDefault="004D649E" w:rsidP="004D649E">
            <w:pPr>
              <w:pStyle w:val="StyleProp"/>
              <w:rPr>
                <w:color w:val="000000" w:themeColor="text1"/>
                <w:szCs w:val="18"/>
              </w:rPr>
            </w:pPr>
          </w:p>
        </w:tc>
        <w:tc>
          <w:tcPr>
            <w:tcW w:w="1987" w:type="dxa"/>
          </w:tcPr>
          <w:p w14:paraId="28CB6A9B" w14:textId="77777777" w:rsidR="004D649E" w:rsidRPr="00286216" w:rsidRDefault="004D649E" w:rsidP="004D649E">
            <w:pPr>
              <w:pStyle w:val="StyleWisnow"/>
              <w:rPr>
                <w:color w:val="000000" w:themeColor="text1"/>
              </w:rPr>
            </w:pPr>
          </w:p>
        </w:tc>
        <w:tc>
          <w:tcPr>
            <w:tcW w:w="4818" w:type="dxa"/>
          </w:tcPr>
          <w:p w14:paraId="1EC585BE" w14:textId="591B3DFB" w:rsidR="004D649E" w:rsidRPr="00286216" w:rsidRDefault="004D649E" w:rsidP="004D649E">
            <w:pPr>
              <w:pStyle w:val="StyleZakonu"/>
              <w:rPr>
                <w:color w:val="000000" w:themeColor="text1"/>
              </w:rPr>
            </w:pPr>
            <w:r w:rsidRPr="00286216">
              <w:rPr>
                <w:color w:val="000000" w:themeColor="text1"/>
              </w:rPr>
              <w:t>19) набуття прямо або опосередковано особою (особами, які діють спільно) з урахуванням кількості акцій, що належать їй та її афілійованим особам,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r>
      <w:tr w:rsidR="004D649E" w:rsidRPr="00286216" w14:paraId="4C152A3C" w14:textId="77777777" w:rsidTr="00091AA5">
        <w:tc>
          <w:tcPr>
            <w:tcW w:w="576" w:type="dxa"/>
          </w:tcPr>
          <w:p w14:paraId="4CEEE8A7" w14:textId="77777777" w:rsidR="004D649E" w:rsidRPr="00286216" w:rsidRDefault="004D649E" w:rsidP="004D649E">
            <w:pPr>
              <w:pStyle w:val="StyleWisnow"/>
              <w:rPr>
                <w:color w:val="000000" w:themeColor="text1"/>
              </w:rPr>
            </w:pPr>
            <w:bookmarkStart w:id="1946" w:name="n2180" w:colFirst="0" w:colLast="0"/>
            <w:bookmarkEnd w:id="1945"/>
            <w:r w:rsidRPr="00286216">
              <w:rPr>
                <w:color w:val="000000" w:themeColor="text1"/>
              </w:rPr>
              <w:t>2180.</w:t>
            </w:r>
          </w:p>
        </w:tc>
        <w:tc>
          <w:tcPr>
            <w:tcW w:w="4818" w:type="dxa"/>
          </w:tcPr>
          <w:p w14:paraId="04603DF1" w14:textId="77777777" w:rsidR="004D649E" w:rsidRPr="00286216" w:rsidRDefault="004D649E" w:rsidP="004D649E">
            <w:pPr>
              <w:pStyle w:val="StyleZakonu"/>
              <w:rPr>
                <w:color w:val="000000" w:themeColor="text1"/>
              </w:rPr>
            </w:pPr>
            <w:r w:rsidRPr="00286216">
              <w:rPr>
                <w:color w:val="000000" w:themeColor="text1"/>
              </w:rPr>
              <w:t xml:space="preserve">20) набуття прямо або опосередковано особою (особами, що діють спільно) з урахуванням кількості акцій, що належать їй та її афілійованим особам, </w:t>
            </w:r>
            <w:r w:rsidRPr="00286216">
              <w:rPr>
                <w:color w:val="000000" w:themeColor="text1"/>
              </w:rPr>
              <w:lastRenderedPageBreak/>
              <w:t>значного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c>
          <w:tcPr>
            <w:tcW w:w="3686" w:type="dxa"/>
          </w:tcPr>
          <w:p w14:paraId="7B34EFE8" w14:textId="77777777" w:rsidR="004D649E" w:rsidRPr="00286216" w:rsidRDefault="004D649E" w:rsidP="004D649E">
            <w:pPr>
              <w:pStyle w:val="StyleProp"/>
              <w:rPr>
                <w:color w:val="000000" w:themeColor="text1"/>
                <w:szCs w:val="18"/>
              </w:rPr>
            </w:pPr>
          </w:p>
        </w:tc>
        <w:tc>
          <w:tcPr>
            <w:tcW w:w="1987" w:type="dxa"/>
          </w:tcPr>
          <w:p w14:paraId="38E4A1AD" w14:textId="77777777" w:rsidR="004D649E" w:rsidRPr="00286216" w:rsidRDefault="004D649E" w:rsidP="004D649E">
            <w:pPr>
              <w:pStyle w:val="StyleWisnow"/>
              <w:rPr>
                <w:color w:val="000000" w:themeColor="text1"/>
              </w:rPr>
            </w:pPr>
          </w:p>
        </w:tc>
        <w:tc>
          <w:tcPr>
            <w:tcW w:w="4818" w:type="dxa"/>
          </w:tcPr>
          <w:p w14:paraId="361B3035" w14:textId="137DE98E" w:rsidR="004D649E" w:rsidRPr="00286216" w:rsidRDefault="004D649E" w:rsidP="004D649E">
            <w:pPr>
              <w:pStyle w:val="StyleZakonu"/>
              <w:rPr>
                <w:color w:val="000000" w:themeColor="text1"/>
              </w:rPr>
            </w:pPr>
            <w:r w:rsidRPr="00286216">
              <w:rPr>
                <w:color w:val="000000" w:themeColor="text1"/>
              </w:rPr>
              <w:t xml:space="preserve">20) набуття прямо або опосередковано особою (особами, які діють спільно) з урахуванням кількості акцій, що належать їй та її афілійованим особам, </w:t>
            </w:r>
            <w:r w:rsidRPr="00286216">
              <w:rPr>
                <w:color w:val="000000" w:themeColor="text1"/>
              </w:rPr>
              <w:lastRenderedPageBreak/>
              <w:t>значного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r>
      <w:tr w:rsidR="004D649E" w:rsidRPr="00286216" w14:paraId="00246AD7" w14:textId="77777777" w:rsidTr="00091AA5">
        <w:tc>
          <w:tcPr>
            <w:tcW w:w="576" w:type="dxa"/>
          </w:tcPr>
          <w:p w14:paraId="6302167D" w14:textId="77777777" w:rsidR="004D649E" w:rsidRPr="00286216" w:rsidRDefault="004D649E" w:rsidP="004D649E">
            <w:pPr>
              <w:pStyle w:val="StyleWisnow"/>
              <w:rPr>
                <w:color w:val="000000" w:themeColor="text1"/>
              </w:rPr>
            </w:pPr>
            <w:bookmarkStart w:id="1947" w:name="n2181" w:colFirst="0" w:colLast="0"/>
            <w:bookmarkEnd w:id="1946"/>
            <w:r w:rsidRPr="00286216">
              <w:rPr>
                <w:color w:val="000000" w:themeColor="text1"/>
              </w:rPr>
              <w:lastRenderedPageBreak/>
              <w:t>2181.</w:t>
            </w:r>
          </w:p>
        </w:tc>
        <w:tc>
          <w:tcPr>
            <w:tcW w:w="4818" w:type="dxa"/>
          </w:tcPr>
          <w:p w14:paraId="62259951" w14:textId="77777777" w:rsidR="004D649E" w:rsidRPr="00286216" w:rsidRDefault="004D649E" w:rsidP="004D649E">
            <w:pPr>
              <w:pStyle w:val="StyleZakonu"/>
              <w:rPr>
                <w:color w:val="000000" w:themeColor="text1"/>
              </w:rPr>
            </w:pPr>
            <w:r w:rsidRPr="00286216">
              <w:rPr>
                <w:color w:val="000000" w:themeColor="text1"/>
              </w:rPr>
              <w:t>21) набуття прямо або опосередковано особою (особами, що діють спільно) з урахуванням кількості акцій, які належать їй та її афілійованим особам, домінуючого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c>
          <w:tcPr>
            <w:tcW w:w="3686" w:type="dxa"/>
          </w:tcPr>
          <w:p w14:paraId="5777A572" w14:textId="77777777" w:rsidR="004D649E" w:rsidRPr="00286216" w:rsidRDefault="004D649E" w:rsidP="004D649E">
            <w:pPr>
              <w:pStyle w:val="StyleProp"/>
              <w:rPr>
                <w:color w:val="000000" w:themeColor="text1"/>
                <w:szCs w:val="18"/>
              </w:rPr>
            </w:pPr>
          </w:p>
        </w:tc>
        <w:tc>
          <w:tcPr>
            <w:tcW w:w="1987" w:type="dxa"/>
          </w:tcPr>
          <w:p w14:paraId="2412EB45" w14:textId="77777777" w:rsidR="004D649E" w:rsidRPr="00286216" w:rsidRDefault="004D649E" w:rsidP="004D649E">
            <w:pPr>
              <w:pStyle w:val="StyleWisnow"/>
              <w:rPr>
                <w:color w:val="000000" w:themeColor="text1"/>
              </w:rPr>
            </w:pPr>
          </w:p>
        </w:tc>
        <w:tc>
          <w:tcPr>
            <w:tcW w:w="4818" w:type="dxa"/>
          </w:tcPr>
          <w:p w14:paraId="04D87C47" w14:textId="1E98344F" w:rsidR="004D649E" w:rsidRPr="00286216" w:rsidRDefault="004D649E" w:rsidP="004D649E">
            <w:pPr>
              <w:pStyle w:val="StyleZakonu"/>
              <w:rPr>
                <w:color w:val="000000" w:themeColor="text1"/>
              </w:rPr>
            </w:pPr>
            <w:r w:rsidRPr="00286216">
              <w:rPr>
                <w:color w:val="000000" w:themeColor="text1"/>
              </w:rPr>
              <w:t>21) набуття прямо або опосередковано особою (особами, які діють спільно) з урахуванням кількості акцій, що належать їй та її афілійованим особам, домінуючого контрольного пакета акцій із зазначенням інформації про найвищу ціну придбання акцій за останні 12 місяців у процесі такого набуття, імені (найменування) власника (власників), коду згідно з Єдиним державним реєстром юридичних осіб, фізичних осіб - підприємців та громадських формувань (для юридичної особи - резидента),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 (власників);</w:t>
            </w:r>
          </w:p>
        </w:tc>
      </w:tr>
      <w:tr w:rsidR="004D649E" w:rsidRPr="00286216" w14:paraId="520C46F0" w14:textId="77777777" w:rsidTr="00091AA5">
        <w:tc>
          <w:tcPr>
            <w:tcW w:w="576" w:type="dxa"/>
          </w:tcPr>
          <w:p w14:paraId="102372AE" w14:textId="77777777" w:rsidR="004D649E" w:rsidRPr="00286216" w:rsidRDefault="004D649E" w:rsidP="004D649E">
            <w:pPr>
              <w:pStyle w:val="StyleWisnow"/>
              <w:rPr>
                <w:color w:val="000000" w:themeColor="text1"/>
              </w:rPr>
            </w:pPr>
            <w:bookmarkStart w:id="1948" w:name="n2182" w:colFirst="0" w:colLast="0"/>
            <w:bookmarkEnd w:id="1947"/>
            <w:r w:rsidRPr="00286216">
              <w:rPr>
                <w:color w:val="000000" w:themeColor="text1"/>
              </w:rPr>
              <w:t>2182.</w:t>
            </w:r>
          </w:p>
        </w:tc>
        <w:tc>
          <w:tcPr>
            <w:tcW w:w="4818" w:type="dxa"/>
          </w:tcPr>
          <w:p w14:paraId="3AF33602" w14:textId="77777777" w:rsidR="004D649E" w:rsidRPr="00286216" w:rsidRDefault="004D649E" w:rsidP="004D649E">
            <w:pPr>
              <w:pStyle w:val="StyleZakonu"/>
              <w:rPr>
                <w:color w:val="000000" w:themeColor="text1"/>
              </w:rPr>
            </w:pPr>
            <w:r w:rsidRPr="00286216">
              <w:rPr>
                <w:color w:val="000000" w:themeColor="text1"/>
              </w:rPr>
              <w:t>22) призначення та припинення повноважень адміністратора за випуском облігацій;</w:t>
            </w:r>
          </w:p>
        </w:tc>
        <w:tc>
          <w:tcPr>
            <w:tcW w:w="3686" w:type="dxa"/>
          </w:tcPr>
          <w:p w14:paraId="1F6BC6CC" w14:textId="77777777" w:rsidR="004D649E" w:rsidRPr="00286216" w:rsidRDefault="004D649E" w:rsidP="004D649E">
            <w:pPr>
              <w:pStyle w:val="StyleProp"/>
              <w:rPr>
                <w:color w:val="000000" w:themeColor="text1"/>
                <w:szCs w:val="18"/>
              </w:rPr>
            </w:pPr>
          </w:p>
        </w:tc>
        <w:tc>
          <w:tcPr>
            <w:tcW w:w="1987" w:type="dxa"/>
          </w:tcPr>
          <w:p w14:paraId="04B64486" w14:textId="77777777" w:rsidR="004D649E" w:rsidRPr="00286216" w:rsidRDefault="004D649E" w:rsidP="004D649E">
            <w:pPr>
              <w:pStyle w:val="StyleWisnow"/>
              <w:rPr>
                <w:color w:val="000000" w:themeColor="text1"/>
              </w:rPr>
            </w:pPr>
          </w:p>
        </w:tc>
        <w:tc>
          <w:tcPr>
            <w:tcW w:w="4818" w:type="dxa"/>
          </w:tcPr>
          <w:p w14:paraId="5F6F75EF" w14:textId="4BCB1311" w:rsidR="004D649E" w:rsidRPr="00286216" w:rsidRDefault="004D649E" w:rsidP="004D649E">
            <w:pPr>
              <w:pStyle w:val="StyleZakonu"/>
              <w:rPr>
                <w:color w:val="000000" w:themeColor="text1"/>
              </w:rPr>
            </w:pPr>
            <w:r w:rsidRPr="00286216">
              <w:rPr>
                <w:color w:val="000000" w:themeColor="text1"/>
              </w:rPr>
              <w:t>22) призначення та припинення повноважень адміністратора за випуском облігацій;</w:t>
            </w:r>
          </w:p>
        </w:tc>
      </w:tr>
      <w:tr w:rsidR="004D649E" w:rsidRPr="00286216" w14:paraId="3B50A412" w14:textId="77777777" w:rsidTr="00091AA5">
        <w:tc>
          <w:tcPr>
            <w:tcW w:w="576" w:type="dxa"/>
          </w:tcPr>
          <w:p w14:paraId="3C0A3B5B" w14:textId="77777777" w:rsidR="004D649E" w:rsidRPr="00286216" w:rsidRDefault="004D649E" w:rsidP="004D649E">
            <w:pPr>
              <w:pStyle w:val="StyleWisnow"/>
              <w:rPr>
                <w:color w:val="000000" w:themeColor="text1"/>
              </w:rPr>
            </w:pPr>
            <w:bookmarkStart w:id="1949" w:name="n2183" w:colFirst="0" w:colLast="0"/>
            <w:bookmarkEnd w:id="1948"/>
            <w:r w:rsidRPr="00286216">
              <w:rPr>
                <w:color w:val="000000" w:themeColor="text1"/>
              </w:rPr>
              <w:t>2183.</w:t>
            </w:r>
          </w:p>
        </w:tc>
        <w:tc>
          <w:tcPr>
            <w:tcW w:w="4818" w:type="dxa"/>
          </w:tcPr>
          <w:p w14:paraId="6F93E78D" w14:textId="77777777" w:rsidR="004D649E" w:rsidRPr="00286216" w:rsidRDefault="004D649E" w:rsidP="004D649E">
            <w:pPr>
              <w:pStyle w:val="StyleZakonu"/>
              <w:rPr>
                <w:color w:val="000000" w:themeColor="text1"/>
              </w:rPr>
            </w:pPr>
            <w:r w:rsidRPr="00286216">
              <w:rPr>
                <w:color w:val="000000" w:themeColor="text1"/>
              </w:rPr>
              <w:t>23) дефолт;</w:t>
            </w:r>
          </w:p>
        </w:tc>
        <w:tc>
          <w:tcPr>
            <w:tcW w:w="3686" w:type="dxa"/>
          </w:tcPr>
          <w:p w14:paraId="1826EFBB" w14:textId="77777777" w:rsidR="004D649E" w:rsidRPr="00286216" w:rsidRDefault="004D649E" w:rsidP="004D649E">
            <w:pPr>
              <w:pStyle w:val="StyleProp"/>
              <w:rPr>
                <w:color w:val="000000" w:themeColor="text1"/>
                <w:szCs w:val="18"/>
              </w:rPr>
            </w:pPr>
          </w:p>
        </w:tc>
        <w:tc>
          <w:tcPr>
            <w:tcW w:w="1987" w:type="dxa"/>
          </w:tcPr>
          <w:p w14:paraId="28C794CE" w14:textId="77777777" w:rsidR="004D649E" w:rsidRPr="00286216" w:rsidRDefault="004D649E" w:rsidP="004D649E">
            <w:pPr>
              <w:pStyle w:val="StyleWisnow"/>
              <w:rPr>
                <w:color w:val="000000" w:themeColor="text1"/>
              </w:rPr>
            </w:pPr>
          </w:p>
        </w:tc>
        <w:tc>
          <w:tcPr>
            <w:tcW w:w="4818" w:type="dxa"/>
          </w:tcPr>
          <w:p w14:paraId="0BA45B56" w14:textId="5353FA5E" w:rsidR="004D649E" w:rsidRPr="00286216" w:rsidRDefault="004D649E" w:rsidP="004D649E">
            <w:pPr>
              <w:pStyle w:val="StyleZakonu"/>
              <w:rPr>
                <w:color w:val="000000" w:themeColor="text1"/>
              </w:rPr>
            </w:pPr>
            <w:r w:rsidRPr="00286216">
              <w:rPr>
                <w:color w:val="000000" w:themeColor="text1"/>
              </w:rPr>
              <w:t>23) дефолт;</w:t>
            </w:r>
          </w:p>
        </w:tc>
      </w:tr>
      <w:tr w:rsidR="004D649E" w:rsidRPr="00286216" w14:paraId="222B13B0" w14:textId="77777777" w:rsidTr="00091AA5">
        <w:tc>
          <w:tcPr>
            <w:tcW w:w="576" w:type="dxa"/>
          </w:tcPr>
          <w:p w14:paraId="1FB3185D" w14:textId="77777777" w:rsidR="004D649E" w:rsidRPr="00286216" w:rsidRDefault="004D649E" w:rsidP="004D649E">
            <w:pPr>
              <w:pStyle w:val="StyleWisnow"/>
              <w:rPr>
                <w:color w:val="000000" w:themeColor="text1"/>
              </w:rPr>
            </w:pPr>
            <w:bookmarkStart w:id="1950" w:name="n2184" w:colFirst="0" w:colLast="0"/>
            <w:bookmarkEnd w:id="1949"/>
            <w:r w:rsidRPr="00286216">
              <w:rPr>
                <w:color w:val="000000" w:themeColor="text1"/>
              </w:rPr>
              <w:t>2184.</w:t>
            </w:r>
          </w:p>
        </w:tc>
        <w:tc>
          <w:tcPr>
            <w:tcW w:w="4818" w:type="dxa"/>
          </w:tcPr>
          <w:p w14:paraId="34BA68C0" w14:textId="77777777" w:rsidR="004D649E" w:rsidRPr="00286216" w:rsidRDefault="004D649E" w:rsidP="004D649E">
            <w:pPr>
              <w:pStyle w:val="StyleZakonu"/>
              <w:rPr>
                <w:color w:val="000000" w:themeColor="text1"/>
              </w:rPr>
            </w:pPr>
            <w:r w:rsidRPr="00286216">
              <w:rPr>
                <w:color w:val="000000" w:themeColor="text1"/>
              </w:rPr>
              <w:t>24) запровадження тимчасової адміністрації;</w:t>
            </w:r>
          </w:p>
        </w:tc>
        <w:tc>
          <w:tcPr>
            <w:tcW w:w="3686" w:type="dxa"/>
          </w:tcPr>
          <w:p w14:paraId="6E5153BB" w14:textId="77777777" w:rsidR="004D649E" w:rsidRPr="00286216" w:rsidRDefault="004D649E" w:rsidP="004D649E">
            <w:pPr>
              <w:pStyle w:val="StyleProp"/>
              <w:rPr>
                <w:color w:val="000000" w:themeColor="text1"/>
                <w:szCs w:val="18"/>
              </w:rPr>
            </w:pPr>
          </w:p>
        </w:tc>
        <w:tc>
          <w:tcPr>
            <w:tcW w:w="1987" w:type="dxa"/>
          </w:tcPr>
          <w:p w14:paraId="41061FCD" w14:textId="77777777" w:rsidR="004D649E" w:rsidRPr="00286216" w:rsidRDefault="004D649E" w:rsidP="004D649E">
            <w:pPr>
              <w:pStyle w:val="StyleWisnow"/>
              <w:rPr>
                <w:color w:val="000000" w:themeColor="text1"/>
              </w:rPr>
            </w:pPr>
          </w:p>
        </w:tc>
        <w:tc>
          <w:tcPr>
            <w:tcW w:w="4818" w:type="dxa"/>
          </w:tcPr>
          <w:p w14:paraId="22FEC07C" w14:textId="68A2F9CD" w:rsidR="004D649E" w:rsidRPr="00286216" w:rsidRDefault="004D649E" w:rsidP="004D649E">
            <w:pPr>
              <w:pStyle w:val="StyleZakonu"/>
              <w:rPr>
                <w:color w:val="000000" w:themeColor="text1"/>
              </w:rPr>
            </w:pPr>
            <w:r w:rsidRPr="00286216">
              <w:rPr>
                <w:color w:val="000000" w:themeColor="text1"/>
              </w:rPr>
              <w:t>24) запровадження тимчасової адміністрації;</w:t>
            </w:r>
          </w:p>
        </w:tc>
      </w:tr>
      <w:tr w:rsidR="004D649E" w:rsidRPr="00286216" w14:paraId="51A59458" w14:textId="77777777" w:rsidTr="00091AA5">
        <w:tc>
          <w:tcPr>
            <w:tcW w:w="576" w:type="dxa"/>
          </w:tcPr>
          <w:p w14:paraId="699F1B14" w14:textId="77777777" w:rsidR="004D649E" w:rsidRPr="00286216" w:rsidRDefault="004D649E" w:rsidP="004D649E">
            <w:pPr>
              <w:pStyle w:val="StyleWisnow"/>
              <w:rPr>
                <w:color w:val="000000" w:themeColor="text1"/>
              </w:rPr>
            </w:pPr>
            <w:bookmarkStart w:id="1951" w:name="n2185" w:colFirst="0" w:colLast="0"/>
            <w:bookmarkEnd w:id="1950"/>
            <w:r w:rsidRPr="00286216">
              <w:rPr>
                <w:color w:val="000000" w:themeColor="text1"/>
              </w:rPr>
              <w:t>2185.</w:t>
            </w:r>
          </w:p>
        </w:tc>
        <w:tc>
          <w:tcPr>
            <w:tcW w:w="4818" w:type="dxa"/>
          </w:tcPr>
          <w:p w14:paraId="17DECDCC" w14:textId="77777777" w:rsidR="004D649E" w:rsidRPr="00286216" w:rsidRDefault="004D649E" w:rsidP="004D649E">
            <w:pPr>
              <w:pStyle w:val="StyleZakonu"/>
              <w:rPr>
                <w:color w:val="000000" w:themeColor="text1"/>
              </w:rPr>
            </w:pPr>
            <w:r w:rsidRPr="00286216">
              <w:rPr>
                <w:color w:val="000000" w:themeColor="text1"/>
              </w:rPr>
              <w:t>25) порушення будь-якого обов’язку емітента облігацій або особи, яка надає забезпечення за облігаціями, встановленого проспектом (рішенням про емісію цінних паперів), або неможливість його виконання;</w:t>
            </w:r>
          </w:p>
        </w:tc>
        <w:tc>
          <w:tcPr>
            <w:tcW w:w="3686" w:type="dxa"/>
          </w:tcPr>
          <w:p w14:paraId="5989C46E" w14:textId="77777777" w:rsidR="004D649E" w:rsidRPr="00286216" w:rsidRDefault="004D649E" w:rsidP="004D649E">
            <w:pPr>
              <w:pStyle w:val="StyleProp"/>
              <w:rPr>
                <w:color w:val="000000" w:themeColor="text1"/>
                <w:szCs w:val="18"/>
              </w:rPr>
            </w:pPr>
          </w:p>
        </w:tc>
        <w:tc>
          <w:tcPr>
            <w:tcW w:w="1987" w:type="dxa"/>
          </w:tcPr>
          <w:p w14:paraId="15418814" w14:textId="77777777" w:rsidR="004D649E" w:rsidRPr="00286216" w:rsidRDefault="004D649E" w:rsidP="004D649E">
            <w:pPr>
              <w:pStyle w:val="StyleWisnow"/>
              <w:rPr>
                <w:color w:val="000000" w:themeColor="text1"/>
              </w:rPr>
            </w:pPr>
          </w:p>
        </w:tc>
        <w:tc>
          <w:tcPr>
            <w:tcW w:w="4818" w:type="dxa"/>
          </w:tcPr>
          <w:p w14:paraId="0E0E321F" w14:textId="34D03DCD" w:rsidR="004D649E" w:rsidRPr="00286216" w:rsidRDefault="004D649E" w:rsidP="004D649E">
            <w:pPr>
              <w:pStyle w:val="StyleZakonu"/>
              <w:rPr>
                <w:color w:val="000000" w:themeColor="text1"/>
              </w:rPr>
            </w:pPr>
            <w:r w:rsidRPr="00286216">
              <w:rPr>
                <w:color w:val="000000" w:themeColor="text1"/>
              </w:rPr>
              <w:t>25) порушення будь-якого обов’язку емітента облігацій або особи, яка надає забезпечення за облігаціями, встановленого проспектом (рішенням про емісію цінних паперів), або неможливість його виконання;</w:t>
            </w:r>
          </w:p>
        </w:tc>
      </w:tr>
      <w:tr w:rsidR="004D649E" w:rsidRPr="00286216" w14:paraId="2373C101" w14:textId="77777777" w:rsidTr="00091AA5">
        <w:tc>
          <w:tcPr>
            <w:tcW w:w="576" w:type="dxa"/>
          </w:tcPr>
          <w:p w14:paraId="5838DFF0" w14:textId="77777777" w:rsidR="004D649E" w:rsidRPr="00286216" w:rsidRDefault="004D649E" w:rsidP="004D649E">
            <w:pPr>
              <w:pStyle w:val="StyleWisnow"/>
              <w:rPr>
                <w:color w:val="000000" w:themeColor="text1"/>
              </w:rPr>
            </w:pPr>
            <w:bookmarkStart w:id="1952" w:name="n2186" w:colFirst="0" w:colLast="0"/>
            <w:bookmarkEnd w:id="1951"/>
            <w:r w:rsidRPr="00286216">
              <w:rPr>
                <w:color w:val="000000" w:themeColor="text1"/>
              </w:rPr>
              <w:t>2186.</w:t>
            </w:r>
          </w:p>
        </w:tc>
        <w:tc>
          <w:tcPr>
            <w:tcW w:w="4818" w:type="dxa"/>
          </w:tcPr>
          <w:p w14:paraId="18F3F094" w14:textId="77777777" w:rsidR="004D649E" w:rsidRPr="00286216" w:rsidRDefault="004D649E" w:rsidP="004D649E">
            <w:pPr>
              <w:pStyle w:val="StyleZakonu"/>
              <w:rPr>
                <w:color w:val="000000" w:themeColor="text1"/>
              </w:rPr>
            </w:pPr>
            <w:r w:rsidRPr="00286216">
              <w:rPr>
                <w:color w:val="000000" w:themeColor="text1"/>
              </w:rPr>
              <w:t>26) припинення особи, яка надає забезпечення за облігаціями, або зміна складу осіб, які надають забезпечення за облігаціями;</w:t>
            </w:r>
          </w:p>
        </w:tc>
        <w:tc>
          <w:tcPr>
            <w:tcW w:w="3686" w:type="dxa"/>
          </w:tcPr>
          <w:p w14:paraId="616110F1" w14:textId="77777777" w:rsidR="004D649E" w:rsidRPr="00286216" w:rsidRDefault="004D649E" w:rsidP="004D649E">
            <w:pPr>
              <w:pStyle w:val="StyleProp"/>
              <w:rPr>
                <w:color w:val="000000" w:themeColor="text1"/>
                <w:szCs w:val="18"/>
              </w:rPr>
            </w:pPr>
          </w:p>
        </w:tc>
        <w:tc>
          <w:tcPr>
            <w:tcW w:w="1987" w:type="dxa"/>
          </w:tcPr>
          <w:p w14:paraId="63D3C9B6" w14:textId="77777777" w:rsidR="004D649E" w:rsidRPr="00286216" w:rsidRDefault="004D649E" w:rsidP="004D649E">
            <w:pPr>
              <w:pStyle w:val="StyleWisnow"/>
              <w:rPr>
                <w:color w:val="000000" w:themeColor="text1"/>
              </w:rPr>
            </w:pPr>
          </w:p>
        </w:tc>
        <w:tc>
          <w:tcPr>
            <w:tcW w:w="4818" w:type="dxa"/>
          </w:tcPr>
          <w:p w14:paraId="4EEE34FE" w14:textId="27E58BF6" w:rsidR="004D649E" w:rsidRPr="00286216" w:rsidRDefault="004D649E" w:rsidP="004D649E">
            <w:pPr>
              <w:pStyle w:val="StyleZakonu"/>
              <w:rPr>
                <w:color w:val="000000" w:themeColor="text1"/>
              </w:rPr>
            </w:pPr>
            <w:r w:rsidRPr="00286216">
              <w:rPr>
                <w:color w:val="000000" w:themeColor="text1"/>
              </w:rPr>
              <w:t>26) припинення особи, яка надає забезпечення за облігаціями, або зміну складу осіб, які надають забезпечення за облігаціями;</w:t>
            </w:r>
          </w:p>
        </w:tc>
      </w:tr>
      <w:tr w:rsidR="004D649E" w:rsidRPr="00286216" w14:paraId="477B5E0C" w14:textId="77777777" w:rsidTr="00091AA5">
        <w:tc>
          <w:tcPr>
            <w:tcW w:w="576" w:type="dxa"/>
          </w:tcPr>
          <w:p w14:paraId="2ABFF6D7" w14:textId="77777777" w:rsidR="004D649E" w:rsidRPr="00286216" w:rsidRDefault="004D649E" w:rsidP="004D649E">
            <w:pPr>
              <w:pStyle w:val="StyleWisnow"/>
              <w:rPr>
                <w:color w:val="000000" w:themeColor="text1"/>
              </w:rPr>
            </w:pPr>
            <w:bookmarkStart w:id="1953" w:name="n2187" w:colFirst="0" w:colLast="0"/>
            <w:bookmarkEnd w:id="1952"/>
            <w:r w:rsidRPr="00286216">
              <w:rPr>
                <w:color w:val="000000" w:themeColor="text1"/>
              </w:rPr>
              <w:t>2187.</w:t>
            </w:r>
          </w:p>
        </w:tc>
        <w:tc>
          <w:tcPr>
            <w:tcW w:w="4818" w:type="dxa"/>
          </w:tcPr>
          <w:p w14:paraId="216D67C8" w14:textId="77777777" w:rsidR="004D649E" w:rsidRPr="00286216" w:rsidRDefault="004D649E" w:rsidP="004D649E">
            <w:pPr>
              <w:pStyle w:val="StyleZakonu"/>
              <w:rPr>
                <w:color w:val="000000" w:themeColor="text1"/>
              </w:rPr>
            </w:pPr>
            <w:r w:rsidRPr="00286216">
              <w:rPr>
                <w:color w:val="000000" w:themeColor="text1"/>
              </w:rPr>
              <w:t>27) прийняття рішення про виплату дивідендів;</w:t>
            </w:r>
          </w:p>
        </w:tc>
        <w:tc>
          <w:tcPr>
            <w:tcW w:w="3686" w:type="dxa"/>
          </w:tcPr>
          <w:p w14:paraId="7D3316AE" w14:textId="77777777" w:rsidR="004D649E" w:rsidRPr="00286216" w:rsidRDefault="004D649E" w:rsidP="004D649E">
            <w:pPr>
              <w:pStyle w:val="StyleProp"/>
              <w:rPr>
                <w:color w:val="000000" w:themeColor="text1"/>
                <w:szCs w:val="18"/>
              </w:rPr>
            </w:pPr>
          </w:p>
        </w:tc>
        <w:tc>
          <w:tcPr>
            <w:tcW w:w="1987" w:type="dxa"/>
          </w:tcPr>
          <w:p w14:paraId="2BFA05CD" w14:textId="77777777" w:rsidR="004D649E" w:rsidRPr="00286216" w:rsidRDefault="004D649E" w:rsidP="004D649E">
            <w:pPr>
              <w:pStyle w:val="StyleWisnow"/>
              <w:rPr>
                <w:color w:val="000000" w:themeColor="text1"/>
              </w:rPr>
            </w:pPr>
          </w:p>
        </w:tc>
        <w:tc>
          <w:tcPr>
            <w:tcW w:w="4818" w:type="dxa"/>
          </w:tcPr>
          <w:p w14:paraId="31BD553A" w14:textId="5C07EDDB" w:rsidR="004D649E" w:rsidRPr="00286216" w:rsidRDefault="004D649E" w:rsidP="004D649E">
            <w:pPr>
              <w:pStyle w:val="StyleZakonu"/>
              <w:rPr>
                <w:color w:val="000000" w:themeColor="text1"/>
              </w:rPr>
            </w:pPr>
            <w:r w:rsidRPr="00286216">
              <w:rPr>
                <w:color w:val="000000" w:themeColor="text1"/>
              </w:rPr>
              <w:t>27) прийняття рішення про виплату дивідендів;</w:t>
            </w:r>
          </w:p>
        </w:tc>
      </w:tr>
      <w:tr w:rsidR="004D649E" w:rsidRPr="00286216" w14:paraId="26E26F51" w14:textId="77777777" w:rsidTr="00091AA5">
        <w:tc>
          <w:tcPr>
            <w:tcW w:w="576" w:type="dxa"/>
          </w:tcPr>
          <w:p w14:paraId="62D3D33D" w14:textId="77777777" w:rsidR="004D649E" w:rsidRPr="00286216" w:rsidRDefault="004D649E" w:rsidP="004D649E">
            <w:pPr>
              <w:pStyle w:val="StyleWisnow"/>
              <w:rPr>
                <w:color w:val="000000" w:themeColor="text1"/>
              </w:rPr>
            </w:pPr>
            <w:bookmarkStart w:id="1954" w:name="n2188" w:colFirst="0" w:colLast="0"/>
            <w:bookmarkEnd w:id="1953"/>
            <w:r w:rsidRPr="00286216">
              <w:rPr>
                <w:color w:val="000000" w:themeColor="text1"/>
              </w:rPr>
              <w:t>2188.</w:t>
            </w:r>
          </w:p>
        </w:tc>
        <w:tc>
          <w:tcPr>
            <w:tcW w:w="4818" w:type="dxa"/>
          </w:tcPr>
          <w:p w14:paraId="735BC60A" w14:textId="77777777" w:rsidR="004D649E" w:rsidRPr="00286216" w:rsidRDefault="004D649E" w:rsidP="004D649E">
            <w:pPr>
              <w:pStyle w:val="StyleZakonu"/>
              <w:rPr>
                <w:color w:val="000000" w:themeColor="text1"/>
              </w:rPr>
            </w:pPr>
            <w:r w:rsidRPr="00286216">
              <w:rPr>
                <w:color w:val="000000" w:themeColor="text1"/>
              </w:rPr>
              <w:t>28) зміну типу акціонерного товариства.</w:t>
            </w:r>
          </w:p>
        </w:tc>
        <w:tc>
          <w:tcPr>
            <w:tcW w:w="3686" w:type="dxa"/>
          </w:tcPr>
          <w:p w14:paraId="22C969A4" w14:textId="77777777" w:rsidR="004D649E" w:rsidRPr="00286216" w:rsidRDefault="004D649E" w:rsidP="004D649E">
            <w:pPr>
              <w:pStyle w:val="StyleProp"/>
              <w:rPr>
                <w:color w:val="000000" w:themeColor="text1"/>
                <w:szCs w:val="18"/>
              </w:rPr>
            </w:pPr>
          </w:p>
        </w:tc>
        <w:tc>
          <w:tcPr>
            <w:tcW w:w="1987" w:type="dxa"/>
          </w:tcPr>
          <w:p w14:paraId="23E683BC" w14:textId="77777777" w:rsidR="004D649E" w:rsidRPr="00286216" w:rsidRDefault="004D649E" w:rsidP="004D649E">
            <w:pPr>
              <w:pStyle w:val="StyleWisnow"/>
              <w:rPr>
                <w:color w:val="000000" w:themeColor="text1"/>
              </w:rPr>
            </w:pPr>
          </w:p>
        </w:tc>
        <w:tc>
          <w:tcPr>
            <w:tcW w:w="4818" w:type="dxa"/>
          </w:tcPr>
          <w:p w14:paraId="5D587DE4" w14:textId="357A5E5C" w:rsidR="004D649E" w:rsidRPr="00286216" w:rsidRDefault="004D649E" w:rsidP="004D649E">
            <w:pPr>
              <w:pStyle w:val="StyleZakonu"/>
              <w:rPr>
                <w:color w:val="000000" w:themeColor="text1"/>
              </w:rPr>
            </w:pPr>
            <w:r w:rsidRPr="00286216">
              <w:rPr>
                <w:color w:val="000000" w:themeColor="text1"/>
              </w:rPr>
              <w:t>28) зміну типу акціонерного товариства;</w:t>
            </w:r>
          </w:p>
        </w:tc>
      </w:tr>
      <w:bookmarkEnd w:id="1954"/>
      <w:tr w:rsidR="00826C07" w:rsidRPr="00286216" w14:paraId="236E2B0C" w14:textId="77777777" w:rsidTr="00091AA5">
        <w:tc>
          <w:tcPr>
            <w:tcW w:w="576" w:type="dxa"/>
          </w:tcPr>
          <w:p w14:paraId="57D547F2" w14:textId="77777777" w:rsidR="00826C07" w:rsidRPr="00286216" w:rsidRDefault="00826C07" w:rsidP="00826C07">
            <w:pPr>
              <w:pStyle w:val="StyleWisnow"/>
              <w:rPr>
                <w:color w:val="000000" w:themeColor="text1"/>
              </w:rPr>
            </w:pPr>
          </w:p>
        </w:tc>
        <w:tc>
          <w:tcPr>
            <w:tcW w:w="4818" w:type="dxa"/>
          </w:tcPr>
          <w:p w14:paraId="2C3600BB" w14:textId="77777777" w:rsidR="00826C07" w:rsidRPr="00286216" w:rsidRDefault="00826C07" w:rsidP="00826C07">
            <w:pPr>
              <w:pStyle w:val="StyleZakonu"/>
              <w:rPr>
                <w:color w:val="000000" w:themeColor="text1"/>
              </w:rPr>
            </w:pPr>
          </w:p>
        </w:tc>
        <w:tc>
          <w:tcPr>
            <w:tcW w:w="3686" w:type="dxa"/>
          </w:tcPr>
          <w:p w14:paraId="2EC6DC67" w14:textId="78D7D5E7"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E02266C" w14:textId="77777777" w:rsidR="00826C07" w:rsidRPr="00286216" w:rsidRDefault="00826C07" w:rsidP="004D649E">
            <w:pPr>
              <w:pStyle w:val="StyleProp"/>
              <w:spacing w:line="180" w:lineRule="exact"/>
              <w:rPr>
                <w:color w:val="000000" w:themeColor="text1"/>
                <w:szCs w:val="18"/>
              </w:rPr>
            </w:pPr>
            <w:r w:rsidRPr="00286216">
              <w:rPr>
                <w:color w:val="000000" w:themeColor="text1"/>
                <w:szCs w:val="18"/>
              </w:rPr>
              <w:t>В статті 124 нової редакції Закону:</w:t>
            </w:r>
          </w:p>
          <w:p w14:paraId="5388D041" w14:textId="77777777" w:rsidR="00826C07" w:rsidRPr="00286216" w:rsidRDefault="00826C07" w:rsidP="004D649E">
            <w:pPr>
              <w:pStyle w:val="StyleProp"/>
              <w:spacing w:line="180" w:lineRule="exact"/>
              <w:rPr>
                <w:color w:val="000000" w:themeColor="text1"/>
                <w:szCs w:val="18"/>
              </w:rPr>
            </w:pPr>
            <w:r w:rsidRPr="00286216">
              <w:rPr>
                <w:color w:val="000000" w:themeColor="text1"/>
                <w:szCs w:val="18"/>
              </w:rPr>
              <w:lastRenderedPageBreak/>
              <w:t>частину першу доповнити двома пунктами такого змісту:</w:t>
            </w:r>
          </w:p>
          <w:p w14:paraId="42AA3158" w14:textId="77777777" w:rsidR="00826C07" w:rsidRPr="00286216" w:rsidRDefault="00826C07" w:rsidP="004D649E">
            <w:pPr>
              <w:pStyle w:val="StyleProp"/>
              <w:spacing w:line="180" w:lineRule="exact"/>
              <w:rPr>
                <w:color w:val="000000" w:themeColor="text1"/>
                <w:szCs w:val="18"/>
              </w:rPr>
            </w:pPr>
            <w:r w:rsidRPr="00286216">
              <w:rPr>
                <w:color w:val="000000" w:themeColor="text1"/>
                <w:szCs w:val="18"/>
              </w:rPr>
              <w:t>«29) зміну прав, що надаються власникам деривативних цінних паперів, базовим активом яких є акції та/або права голосу за акціями, емітентом таких деривативних цінних паперів;</w:t>
            </w:r>
          </w:p>
          <w:p w14:paraId="1633CDBF" w14:textId="77777777" w:rsidR="00826C07" w:rsidRPr="00286216" w:rsidRDefault="00826C07" w:rsidP="004D649E">
            <w:pPr>
              <w:pStyle w:val="StyleProp"/>
              <w:spacing w:line="180" w:lineRule="exact"/>
              <w:rPr>
                <w:color w:val="000000" w:themeColor="text1"/>
                <w:szCs w:val="18"/>
              </w:rPr>
            </w:pPr>
            <w:r w:rsidRPr="00286216">
              <w:rPr>
                <w:color w:val="000000" w:themeColor="text1"/>
                <w:szCs w:val="18"/>
              </w:rPr>
              <w:t>30) зміну прав, що надаються власникам боргових цінних паперів, емітентом таких боргових цінних паперів.».</w:t>
            </w:r>
          </w:p>
        </w:tc>
        <w:tc>
          <w:tcPr>
            <w:tcW w:w="1987" w:type="dxa"/>
          </w:tcPr>
          <w:p w14:paraId="3A47FBA2" w14:textId="2A75C6FD"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tc>
        <w:tc>
          <w:tcPr>
            <w:tcW w:w="4818" w:type="dxa"/>
          </w:tcPr>
          <w:p w14:paraId="768D3D1B" w14:textId="77777777" w:rsidR="00826C07" w:rsidRPr="00286216" w:rsidRDefault="00826C07" w:rsidP="00826C07">
            <w:pPr>
              <w:pStyle w:val="StyleZakonu"/>
              <w:rPr>
                <w:color w:val="000000" w:themeColor="text1"/>
              </w:rPr>
            </w:pPr>
          </w:p>
        </w:tc>
      </w:tr>
      <w:tr w:rsidR="00826C07" w:rsidRPr="00286216" w14:paraId="6BFB9A0B" w14:textId="77777777" w:rsidTr="00091AA5">
        <w:tc>
          <w:tcPr>
            <w:tcW w:w="576" w:type="dxa"/>
          </w:tcPr>
          <w:p w14:paraId="5476371C" w14:textId="77777777" w:rsidR="00826C07" w:rsidRPr="00286216" w:rsidRDefault="00826C07" w:rsidP="00826C07">
            <w:pPr>
              <w:pStyle w:val="StyleWisnow"/>
              <w:rPr>
                <w:color w:val="000000" w:themeColor="text1"/>
              </w:rPr>
            </w:pPr>
          </w:p>
        </w:tc>
        <w:tc>
          <w:tcPr>
            <w:tcW w:w="4818" w:type="dxa"/>
          </w:tcPr>
          <w:p w14:paraId="562D1F83" w14:textId="77777777" w:rsidR="00826C07" w:rsidRPr="00286216" w:rsidRDefault="00826C07" w:rsidP="00826C07">
            <w:pPr>
              <w:pStyle w:val="StyleZakonu"/>
              <w:rPr>
                <w:color w:val="000000" w:themeColor="text1"/>
              </w:rPr>
            </w:pPr>
          </w:p>
        </w:tc>
        <w:tc>
          <w:tcPr>
            <w:tcW w:w="3686" w:type="dxa"/>
          </w:tcPr>
          <w:p w14:paraId="5FFB91A3" w14:textId="2E9ADBD7" w:rsidR="00826C07" w:rsidRPr="00286216" w:rsidRDefault="00826C07" w:rsidP="00826C07">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1055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38A8779" w14:textId="77777777" w:rsidR="00826C07" w:rsidRPr="00286216" w:rsidRDefault="00826C07" w:rsidP="004D649E">
            <w:pPr>
              <w:pStyle w:val="StyleProp"/>
              <w:spacing w:line="180" w:lineRule="exact"/>
              <w:rPr>
                <w:color w:val="000000" w:themeColor="text1"/>
              </w:rPr>
            </w:pPr>
            <w:r w:rsidRPr="00286216">
              <w:rPr>
                <w:color w:val="000000" w:themeColor="text1"/>
              </w:rPr>
              <w:t>Доповнити частину першу  статті 124 новим пунктом такого змісту:</w:t>
            </w:r>
          </w:p>
          <w:p w14:paraId="547C28F6" w14:textId="77777777" w:rsidR="00826C07" w:rsidRPr="00286216" w:rsidRDefault="00826C07" w:rsidP="004D649E">
            <w:pPr>
              <w:pStyle w:val="StyleProp"/>
              <w:spacing w:line="180" w:lineRule="exact"/>
              <w:rPr>
                <w:color w:val="000000" w:themeColor="text1"/>
                <w:szCs w:val="18"/>
              </w:rPr>
            </w:pPr>
            <w:r w:rsidRPr="00286216">
              <w:rPr>
                <w:color w:val="000000" w:themeColor="text1"/>
              </w:rPr>
              <w:t>«29) зміну прав власників депозитарних розписок за такими деривативними цінними паперами у зв’язку зі зміною прав за акціями, що є базовим активом таких деривативних цінних паперів»;</w:t>
            </w:r>
          </w:p>
        </w:tc>
        <w:tc>
          <w:tcPr>
            <w:tcW w:w="1987" w:type="dxa"/>
          </w:tcPr>
          <w:p w14:paraId="3A3C56CF" w14:textId="5AB2B384"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4A2BC4F5" w14:textId="77777777" w:rsidR="00826C07" w:rsidRPr="00286216" w:rsidRDefault="00826C07" w:rsidP="00826C07">
            <w:pPr>
              <w:pStyle w:val="StyleZakonu"/>
              <w:rPr>
                <w:color w:val="000000" w:themeColor="text1"/>
              </w:rPr>
            </w:pPr>
            <w:r w:rsidRPr="00286216">
              <w:rPr>
                <w:color w:val="000000" w:themeColor="text1"/>
              </w:rPr>
              <w:t>29) зміну прав власників депозитарних розписок за такими деривативними цінними паперами у зв’язку зі зміною прав за акціями, що є базовим активом таких деривативних цінних паперів;</w:t>
            </w:r>
          </w:p>
          <w:p w14:paraId="37DB1D30" w14:textId="61FAD972" w:rsidR="00826C07" w:rsidRPr="00286216" w:rsidRDefault="00826C07" w:rsidP="00826C07">
            <w:pPr>
              <w:pStyle w:val="StyleZakonu"/>
              <w:rPr>
                <w:color w:val="000000" w:themeColor="text1"/>
              </w:rPr>
            </w:pPr>
            <w:r w:rsidRPr="00286216">
              <w:rPr>
                <w:color w:val="000000" w:themeColor="text1"/>
                <w:szCs w:val="18"/>
              </w:rPr>
              <w:t>30) зміну прав за борговими цінними паперами</w:t>
            </w:r>
            <w:r w:rsidRPr="00286216">
              <w:rPr>
                <w:color w:val="000000" w:themeColor="text1"/>
              </w:rPr>
              <w:t>.</w:t>
            </w:r>
          </w:p>
        </w:tc>
      </w:tr>
      <w:tr w:rsidR="004D649E" w:rsidRPr="00286216" w14:paraId="489FD671" w14:textId="77777777" w:rsidTr="00091AA5">
        <w:tc>
          <w:tcPr>
            <w:tcW w:w="576" w:type="dxa"/>
          </w:tcPr>
          <w:p w14:paraId="2E518F82" w14:textId="77777777" w:rsidR="004D649E" w:rsidRPr="00286216" w:rsidRDefault="004D649E" w:rsidP="004D649E">
            <w:pPr>
              <w:pStyle w:val="StyleWisnow"/>
              <w:rPr>
                <w:color w:val="000000" w:themeColor="text1"/>
              </w:rPr>
            </w:pPr>
            <w:bookmarkStart w:id="1955" w:name="n2189" w:colFirst="0" w:colLast="0"/>
            <w:r w:rsidRPr="00286216">
              <w:rPr>
                <w:color w:val="000000" w:themeColor="text1"/>
              </w:rPr>
              <w:t>2189.</w:t>
            </w:r>
          </w:p>
        </w:tc>
        <w:tc>
          <w:tcPr>
            <w:tcW w:w="4818" w:type="dxa"/>
          </w:tcPr>
          <w:p w14:paraId="09FB3D48" w14:textId="77777777" w:rsidR="004D649E" w:rsidRPr="00286216" w:rsidRDefault="004D649E" w:rsidP="004D649E">
            <w:pPr>
              <w:pStyle w:val="StyleZakonu"/>
              <w:rPr>
                <w:color w:val="000000" w:themeColor="text1"/>
              </w:rPr>
            </w:pPr>
            <w:r w:rsidRPr="00286216">
              <w:rPr>
                <w:color w:val="000000" w:themeColor="text1"/>
              </w:rPr>
              <w:t>2. Строки, порядок і форми розкриття особливої інформації про емітента та додаткових відомостей, що містяться у такій інформації, встановлюються Національною комісією з цінних паперів та фондового ринку.</w:t>
            </w:r>
          </w:p>
        </w:tc>
        <w:tc>
          <w:tcPr>
            <w:tcW w:w="3686" w:type="dxa"/>
          </w:tcPr>
          <w:p w14:paraId="066A9879" w14:textId="77777777" w:rsidR="004D649E" w:rsidRPr="00286216" w:rsidRDefault="004D649E" w:rsidP="004D649E">
            <w:pPr>
              <w:pStyle w:val="StyleProp"/>
              <w:rPr>
                <w:color w:val="000000" w:themeColor="text1"/>
                <w:szCs w:val="18"/>
              </w:rPr>
            </w:pPr>
          </w:p>
        </w:tc>
        <w:tc>
          <w:tcPr>
            <w:tcW w:w="1987" w:type="dxa"/>
          </w:tcPr>
          <w:p w14:paraId="42681EF7" w14:textId="77777777" w:rsidR="004D649E" w:rsidRPr="00286216" w:rsidRDefault="004D649E" w:rsidP="004D649E">
            <w:pPr>
              <w:pStyle w:val="StyleWisnow"/>
              <w:rPr>
                <w:color w:val="000000" w:themeColor="text1"/>
              </w:rPr>
            </w:pPr>
          </w:p>
        </w:tc>
        <w:tc>
          <w:tcPr>
            <w:tcW w:w="4818" w:type="dxa"/>
          </w:tcPr>
          <w:p w14:paraId="2F78CEBC" w14:textId="4982DA3D" w:rsidR="004D649E" w:rsidRPr="00286216" w:rsidRDefault="004D649E" w:rsidP="004D649E">
            <w:pPr>
              <w:pStyle w:val="StyleZakonu"/>
              <w:rPr>
                <w:color w:val="000000" w:themeColor="text1"/>
              </w:rPr>
            </w:pPr>
            <w:r w:rsidRPr="00286216">
              <w:rPr>
                <w:color w:val="000000" w:themeColor="text1"/>
              </w:rPr>
              <w:t>2. Строки, порядок і форми розкриття особливої інформації про емітента та додаткових відомостей, що містяться у такій інформації, встановлюються Національною комісією з цінних паперів та фондового ринку.</w:t>
            </w:r>
          </w:p>
        </w:tc>
      </w:tr>
      <w:tr w:rsidR="004D649E" w:rsidRPr="00286216" w14:paraId="5E51EBEC" w14:textId="77777777" w:rsidTr="00091AA5">
        <w:tc>
          <w:tcPr>
            <w:tcW w:w="576" w:type="dxa"/>
          </w:tcPr>
          <w:p w14:paraId="36F28637" w14:textId="77777777" w:rsidR="004D649E" w:rsidRPr="00286216" w:rsidRDefault="004D649E" w:rsidP="004D649E">
            <w:pPr>
              <w:pStyle w:val="StyleWisnow"/>
              <w:rPr>
                <w:color w:val="000000" w:themeColor="text1"/>
              </w:rPr>
            </w:pPr>
            <w:bookmarkStart w:id="1956" w:name="n2190" w:colFirst="0" w:colLast="0"/>
            <w:bookmarkEnd w:id="1955"/>
            <w:r w:rsidRPr="00286216">
              <w:rPr>
                <w:color w:val="000000" w:themeColor="text1"/>
              </w:rPr>
              <w:t>2190.</w:t>
            </w:r>
          </w:p>
        </w:tc>
        <w:tc>
          <w:tcPr>
            <w:tcW w:w="4818" w:type="dxa"/>
          </w:tcPr>
          <w:p w14:paraId="1113CBAB" w14:textId="77777777" w:rsidR="004D649E" w:rsidRPr="00286216" w:rsidRDefault="004D649E" w:rsidP="004D649E">
            <w:pPr>
              <w:pStyle w:val="StyleZakonu"/>
              <w:rPr>
                <w:color w:val="000000" w:themeColor="text1"/>
              </w:rPr>
            </w:pPr>
            <w:r w:rsidRPr="00286216">
              <w:rPr>
                <w:color w:val="000000" w:themeColor="text1"/>
              </w:rPr>
              <w:t>3. Національна комісія з цінних паперів та фондового ринку встановлює додаткові вимоги до розкриття особливої інформації про емітента та вживає заходів щодо її розкриття.</w:t>
            </w:r>
          </w:p>
        </w:tc>
        <w:tc>
          <w:tcPr>
            <w:tcW w:w="3686" w:type="dxa"/>
          </w:tcPr>
          <w:p w14:paraId="3F7910E0" w14:textId="77777777" w:rsidR="004D649E" w:rsidRPr="00286216" w:rsidRDefault="004D649E" w:rsidP="004D649E">
            <w:pPr>
              <w:pStyle w:val="StyleProp"/>
              <w:rPr>
                <w:color w:val="000000" w:themeColor="text1"/>
                <w:szCs w:val="18"/>
              </w:rPr>
            </w:pPr>
          </w:p>
        </w:tc>
        <w:tc>
          <w:tcPr>
            <w:tcW w:w="1987" w:type="dxa"/>
          </w:tcPr>
          <w:p w14:paraId="22892C3B" w14:textId="77777777" w:rsidR="004D649E" w:rsidRPr="00286216" w:rsidRDefault="004D649E" w:rsidP="004D649E">
            <w:pPr>
              <w:pStyle w:val="StyleWisnow"/>
              <w:rPr>
                <w:color w:val="000000" w:themeColor="text1"/>
              </w:rPr>
            </w:pPr>
          </w:p>
        </w:tc>
        <w:tc>
          <w:tcPr>
            <w:tcW w:w="4818" w:type="dxa"/>
          </w:tcPr>
          <w:p w14:paraId="03729886" w14:textId="2DD208A8" w:rsidR="004D649E" w:rsidRPr="00286216" w:rsidRDefault="004D649E" w:rsidP="004D649E">
            <w:pPr>
              <w:pStyle w:val="StyleZakonu"/>
              <w:rPr>
                <w:color w:val="000000" w:themeColor="text1"/>
              </w:rPr>
            </w:pPr>
            <w:r w:rsidRPr="00286216">
              <w:rPr>
                <w:color w:val="000000" w:themeColor="text1"/>
              </w:rPr>
              <w:t>3. Національна комісія з цінних паперів та фондового ринку встановлює додаткові вимоги до розкриття особливої інформації про емітента та вживає заходів для її розкриття.</w:t>
            </w:r>
          </w:p>
        </w:tc>
      </w:tr>
      <w:tr w:rsidR="004D649E" w:rsidRPr="00286216" w14:paraId="4DE0F8A8" w14:textId="77777777" w:rsidTr="00091AA5">
        <w:tc>
          <w:tcPr>
            <w:tcW w:w="576" w:type="dxa"/>
          </w:tcPr>
          <w:p w14:paraId="07D4B320" w14:textId="77777777" w:rsidR="004D649E" w:rsidRPr="00286216" w:rsidRDefault="004D649E" w:rsidP="004D649E">
            <w:pPr>
              <w:pStyle w:val="StyleWisnow"/>
              <w:rPr>
                <w:color w:val="000000" w:themeColor="text1"/>
              </w:rPr>
            </w:pPr>
            <w:bookmarkStart w:id="1957" w:name="n2191" w:colFirst="0" w:colLast="0"/>
            <w:bookmarkEnd w:id="1956"/>
            <w:r w:rsidRPr="00286216">
              <w:rPr>
                <w:color w:val="000000" w:themeColor="text1"/>
              </w:rPr>
              <w:t>2191.</w:t>
            </w:r>
          </w:p>
        </w:tc>
        <w:tc>
          <w:tcPr>
            <w:tcW w:w="4818" w:type="dxa"/>
          </w:tcPr>
          <w:p w14:paraId="05E885CE" w14:textId="77777777" w:rsidR="004D649E" w:rsidRPr="00286216" w:rsidRDefault="004D649E" w:rsidP="004D649E">
            <w:pPr>
              <w:pStyle w:val="StyleZakonu"/>
              <w:rPr>
                <w:color w:val="000000" w:themeColor="text1"/>
              </w:rPr>
            </w:pPr>
            <w:r w:rsidRPr="00286216">
              <w:rPr>
                <w:color w:val="000000" w:themeColor="text1"/>
              </w:rPr>
              <w:t>4. Публічне акціонерне товариство та банк зобов’язані розкривати інформацію відповідно до вимог цієї статті. за винятком вимог пунктів 22, 25 та 26 частини першої цієї статті. Якщо публічне акціонерне товариство або банк здійснило емісію облігацій, воно зобов’язане додатково розкривати інформацію відповідно до пунктів 22, 25 та 26 частини першої цієї статті.</w:t>
            </w:r>
          </w:p>
        </w:tc>
        <w:tc>
          <w:tcPr>
            <w:tcW w:w="3686" w:type="dxa"/>
          </w:tcPr>
          <w:p w14:paraId="4461E5A2" w14:textId="77D77E10" w:rsidR="004D649E" w:rsidRPr="00286216" w:rsidRDefault="004D649E" w:rsidP="004D649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6DAE273" w14:textId="79F69454" w:rsidR="004D649E" w:rsidRPr="00286216" w:rsidRDefault="004D649E" w:rsidP="004D649E">
            <w:pPr>
              <w:pStyle w:val="StyleProp"/>
              <w:spacing w:line="180" w:lineRule="exact"/>
              <w:rPr>
                <w:color w:val="000000" w:themeColor="text1"/>
                <w:szCs w:val="18"/>
              </w:rPr>
            </w:pPr>
            <w:r w:rsidRPr="00286216">
              <w:rPr>
                <w:color w:val="000000" w:themeColor="text1"/>
                <w:szCs w:val="18"/>
              </w:rPr>
              <w:t>В статті 124 нової редакції Закону у частині четвертій в першому реченні абзацу першому слово «банк» замінити словами «товариство, яке є підприємством, що становить суспільний інтерес,» та в другому реченні абзацу першому цифри та слово «22, 25 та 26» замінити цифрами та словом «22, 25, 26 та 30».</w:t>
            </w:r>
          </w:p>
          <w:p w14:paraId="0A9A45AB" w14:textId="68C560DC" w:rsidR="004D649E" w:rsidRPr="00286216" w:rsidRDefault="004D649E" w:rsidP="004D649E">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1057</w:t>
            </w:r>
            <w:r w:rsidRPr="00286216">
              <w:rPr>
                <w:color w:val="000000" w:themeColor="text1"/>
                <w:spacing w:val="-8"/>
              </w:rPr>
              <w:fldChar w:fldCharType="end"/>
            </w:r>
            <w:r w:rsidRPr="00286216">
              <w:rPr>
                <w:color w:val="000000" w:themeColor="text1"/>
                <w:spacing w:val="-8"/>
                <w:szCs w:val="18"/>
              </w:rPr>
              <w:t>-Н.д.Ніколаєнко А.І. (Реєстр.картка №405)</w:t>
            </w:r>
          </w:p>
          <w:p w14:paraId="31760D78" w14:textId="7E5E2E23" w:rsidR="004D649E" w:rsidRPr="00286216" w:rsidRDefault="004D649E" w:rsidP="004D649E">
            <w:pPr>
              <w:pStyle w:val="StyleProp"/>
              <w:spacing w:line="180" w:lineRule="exact"/>
              <w:rPr>
                <w:color w:val="000000" w:themeColor="text1"/>
                <w:szCs w:val="18"/>
              </w:rPr>
            </w:pPr>
            <w:r w:rsidRPr="00286216">
              <w:rPr>
                <w:color w:val="000000" w:themeColor="text1"/>
                <w:szCs w:val="18"/>
              </w:rPr>
              <w:t>в абзаці першому частини 4 статті 124 слово «банк»  замінити словами «товариство, яке є підприємством, що становить суспільний інтерес, та є емітентом».</w:t>
            </w:r>
          </w:p>
        </w:tc>
        <w:tc>
          <w:tcPr>
            <w:tcW w:w="1987" w:type="dxa"/>
          </w:tcPr>
          <w:p w14:paraId="18EF957B" w14:textId="77777777" w:rsidR="004D649E" w:rsidRPr="00286216" w:rsidRDefault="004D649E" w:rsidP="004D649E">
            <w:pPr>
              <w:pStyle w:val="StyleWisnow"/>
              <w:rPr>
                <w:color w:val="000000" w:themeColor="text1"/>
              </w:rPr>
            </w:pPr>
            <w:r w:rsidRPr="00286216">
              <w:rPr>
                <w:color w:val="000000" w:themeColor="text1"/>
              </w:rPr>
              <w:t>Враховано</w:t>
            </w:r>
          </w:p>
          <w:p w14:paraId="3A463DD7" w14:textId="77777777" w:rsidR="004D649E" w:rsidRPr="00286216" w:rsidRDefault="004D649E" w:rsidP="004D649E">
            <w:pPr>
              <w:pStyle w:val="StyleWisnow"/>
              <w:rPr>
                <w:color w:val="000000" w:themeColor="text1"/>
              </w:rPr>
            </w:pPr>
          </w:p>
          <w:p w14:paraId="33BF36C0" w14:textId="77777777" w:rsidR="004D649E" w:rsidRPr="00286216" w:rsidRDefault="004D649E" w:rsidP="004D649E">
            <w:pPr>
              <w:pStyle w:val="StyleWisnow"/>
              <w:rPr>
                <w:color w:val="000000" w:themeColor="text1"/>
              </w:rPr>
            </w:pPr>
          </w:p>
          <w:p w14:paraId="49A42ED4" w14:textId="77777777" w:rsidR="004D649E" w:rsidRPr="00286216" w:rsidRDefault="004D649E" w:rsidP="004D649E">
            <w:pPr>
              <w:pStyle w:val="StyleWisnow"/>
              <w:rPr>
                <w:color w:val="000000" w:themeColor="text1"/>
              </w:rPr>
            </w:pPr>
          </w:p>
          <w:p w14:paraId="3AA55501" w14:textId="77777777" w:rsidR="004D649E" w:rsidRPr="00286216" w:rsidRDefault="004D649E" w:rsidP="004D649E">
            <w:pPr>
              <w:pStyle w:val="StyleWisnow"/>
              <w:rPr>
                <w:color w:val="000000" w:themeColor="text1"/>
              </w:rPr>
            </w:pPr>
          </w:p>
          <w:p w14:paraId="73BAE6F8" w14:textId="77777777" w:rsidR="004D649E" w:rsidRPr="00286216" w:rsidRDefault="004D649E" w:rsidP="004D649E">
            <w:pPr>
              <w:pStyle w:val="StyleWisnow"/>
              <w:rPr>
                <w:color w:val="000000" w:themeColor="text1"/>
              </w:rPr>
            </w:pPr>
          </w:p>
          <w:p w14:paraId="643BAF9A" w14:textId="77777777" w:rsidR="004D649E" w:rsidRPr="00286216" w:rsidRDefault="004D649E" w:rsidP="004D649E">
            <w:pPr>
              <w:pStyle w:val="StyleWisnow"/>
              <w:rPr>
                <w:color w:val="000000" w:themeColor="text1"/>
              </w:rPr>
            </w:pPr>
          </w:p>
          <w:p w14:paraId="59A94774" w14:textId="77777777" w:rsidR="004D649E" w:rsidRPr="00286216" w:rsidRDefault="004D649E" w:rsidP="004D649E">
            <w:pPr>
              <w:pStyle w:val="StyleWisnow"/>
              <w:rPr>
                <w:color w:val="000000" w:themeColor="text1"/>
              </w:rPr>
            </w:pPr>
          </w:p>
          <w:p w14:paraId="4E271225" w14:textId="77777777"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4BEFE996" w14:textId="1D7C40A7" w:rsidR="004D649E" w:rsidRPr="00286216" w:rsidRDefault="004D649E" w:rsidP="004D649E">
            <w:pPr>
              <w:pStyle w:val="StyleZakonu"/>
              <w:rPr>
                <w:color w:val="000000" w:themeColor="text1"/>
              </w:rPr>
            </w:pPr>
            <w:r w:rsidRPr="00286216">
              <w:rPr>
                <w:color w:val="000000" w:themeColor="text1"/>
              </w:rPr>
              <w:t xml:space="preserve">4. Публічне акціонерне товариство та </w:t>
            </w:r>
            <w:r w:rsidRPr="00286216">
              <w:rPr>
                <w:color w:val="000000" w:themeColor="text1"/>
                <w:szCs w:val="18"/>
              </w:rPr>
              <w:t>товариство, яке є підприємством, що становить суспільний інтерес, та є емітентом,</w:t>
            </w:r>
            <w:r w:rsidRPr="00286216">
              <w:rPr>
                <w:color w:val="000000" w:themeColor="text1"/>
              </w:rPr>
              <w:t xml:space="preserve"> зобов’язані розкривати інформацію відповідно до вимог цієї статті, крім вимог пунктів 22, 25 та 26 частини першої цієї статті. У разі здійснення публічним акціонерним товариством або </w:t>
            </w:r>
            <w:r w:rsidRPr="00286216">
              <w:rPr>
                <w:color w:val="000000" w:themeColor="text1"/>
                <w:szCs w:val="18"/>
              </w:rPr>
              <w:t>товариством, яке є підприємством, що становить суспільний інтерес, та є емітентом</w:t>
            </w:r>
            <w:r w:rsidRPr="00286216" w:rsidDel="0012303D">
              <w:rPr>
                <w:color w:val="000000" w:themeColor="text1"/>
              </w:rPr>
              <w:t xml:space="preserve"> </w:t>
            </w:r>
            <w:r w:rsidRPr="00286216">
              <w:rPr>
                <w:color w:val="000000" w:themeColor="text1"/>
              </w:rPr>
              <w:t>емісії облігацій, воно зобов’язане додатково розкривати інформацію відповідно до пунктів 22, 25 та 26 частини першої цієї статті.</w:t>
            </w:r>
          </w:p>
        </w:tc>
      </w:tr>
      <w:tr w:rsidR="004D649E" w:rsidRPr="00286216" w14:paraId="36F120A5" w14:textId="77777777" w:rsidTr="00091AA5">
        <w:tc>
          <w:tcPr>
            <w:tcW w:w="576" w:type="dxa"/>
          </w:tcPr>
          <w:p w14:paraId="4AB024B7" w14:textId="77777777" w:rsidR="004D649E" w:rsidRPr="00286216" w:rsidRDefault="004D649E" w:rsidP="004D649E">
            <w:pPr>
              <w:pStyle w:val="StyleWisnow"/>
              <w:rPr>
                <w:color w:val="000000" w:themeColor="text1"/>
              </w:rPr>
            </w:pPr>
            <w:bookmarkStart w:id="1958" w:name="n2192" w:colFirst="0" w:colLast="0"/>
            <w:bookmarkEnd w:id="1957"/>
            <w:r w:rsidRPr="00286216">
              <w:rPr>
                <w:color w:val="000000" w:themeColor="text1"/>
              </w:rPr>
              <w:t>2192.</w:t>
            </w:r>
          </w:p>
        </w:tc>
        <w:tc>
          <w:tcPr>
            <w:tcW w:w="4818" w:type="dxa"/>
          </w:tcPr>
          <w:p w14:paraId="627D5898" w14:textId="77777777" w:rsidR="004D649E" w:rsidRPr="00286216" w:rsidRDefault="004D649E" w:rsidP="004D649E">
            <w:pPr>
              <w:pStyle w:val="StyleZakonu"/>
              <w:rPr>
                <w:color w:val="000000" w:themeColor="text1"/>
              </w:rPr>
            </w:pPr>
            <w:r w:rsidRPr="00286216">
              <w:rPr>
                <w:color w:val="000000" w:themeColor="text1"/>
              </w:rPr>
              <w:t xml:space="preserve">Приватне акціонерне товариство зобов’язано розкривати інформацію відповідно до вимог цієї статті, крім вимог пунктів 3, 9, 10, 16 - 18, та 20 - 26 частини першої цієї статті. При цьому для товариств, зазначених у цьому абзаці, пороговим значенням пакету акцій є 10 відсотків його голосуючих акцій. Якщо приватне акціонерне товариство здійснило емісію облігацій, воно зобов’язане додатково розкривати інформацію відповідно до пунктів 22, 25 </w:t>
            </w:r>
            <w:r w:rsidRPr="00286216">
              <w:rPr>
                <w:color w:val="000000" w:themeColor="text1"/>
              </w:rPr>
              <w:lastRenderedPageBreak/>
              <w:t>та 26 частини першої цієї статті.</w:t>
            </w:r>
          </w:p>
        </w:tc>
        <w:tc>
          <w:tcPr>
            <w:tcW w:w="3686" w:type="dxa"/>
          </w:tcPr>
          <w:p w14:paraId="7DBCB06F" w14:textId="64C6DF53" w:rsidR="004D649E" w:rsidRPr="00286216" w:rsidRDefault="004D649E" w:rsidP="004D649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AC97DC5" w14:textId="77777777" w:rsidR="004D649E" w:rsidRPr="00286216" w:rsidRDefault="004D649E" w:rsidP="004D649E">
            <w:pPr>
              <w:pStyle w:val="StyleProp"/>
              <w:rPr>
                <w:color w:val="000000" w:themeColor="text1"/>
                <w:szCs w:val="18"/>
              </w:rPr>
            </w:pPr>
            <w:r w:rsidRPr="00286216">
              <w:rPr>
                <w:color w:val="000000" w:themeColor="text1"/>
                <w:szCs w:val="18"/>
              </w:rPr>
              <w:t>В статті 124 нової редакції Закону:</w:t>
            </w:r>
          </w:p>
          <w:p w14:paraId="2EEADAB0" w14:textId="77777777" w:rsidR="004D649E" w:rsidRPr="00286216" w:rsidRDefault="004D649E" w:rsidP="004D649E">
            <w:pPr>
              <w:pStyle w:val="StyleProp"/>
              <w:rPr>
                <w:color w:val="000000" w:themeColor="text1"/>
                <w:szCs w:val="18"/>
              </w:rPr>
            </w:pPr>
            <w:r w:rsidRPr="00286216">
              <w:rPr>
                <w:color w:val="000000" w:themeColor="text1"/>
                <w:szCs w:val="18"/>
              </w:rPr>
              <w:t>у частині четвертій:</w:t>
            </w:r>
          </w:p>
          <w:p w14:paraId="02D46FE7" w14:textId="77777777" w:rsidR="004D649E" w:rsidRPr="00286216" w:rsidRDefault="004D649E" w:rsidP="004D649E">
            <w:pPr>
              <w:pStyle w:val="StyleProp"/>
              <w:rPr>
                <w:color w:val="000000" w:themeColor="text1"/>
                <w:szCs w:val="18"/>
              </w:rPr>
            </w:pPr>
            <w:r w:rsidRPr="00286216">
              <w:rPr>
                <w:color w:val="000000" w:themeColor="text1"/>
                <w:szCs w:val="18"/>
              </w:rPr>
              <w:t>в першому реченні в абзаці другому цифри та слово «3, 9,10, 16 – 18, та 20 – 26» замінити цифрами та словом «3, 9,10, 16 – 18, 20 – 26 та 29» та в третьому реченні абзацу другого цифри та слово «22, 25 та 26» замінити цифрами та словом «22, 25, 26 та 30».</w:t>
            </w:r>
          </w:p>
        </w:tc>
        <w:tc>
          <w:tcPr>
            <w:tcW w:w="1987" w:type="dxa"/>
          </w:tcPr>
          <w:p w14:paraId="2AD59BDA" w14:textId="77777777"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5FC8D71B" w14:textId="369B07CD" w:rsidR="004D649E" w:rsidRPr="00286216" w:rsidRDefault="004D649E" w:rsidP="004D649E">
            <w:pPr>
              <w:pStyle w:val="StyleZakonu"/>
              <w:rPr>
                <w:color w:val="000000" w:themeColor="text1"/>
              </w:rPr>
            </w:pPr>
            <w:r w:rsidRPr="00286216">
              <w:rPr>
                <w:color w:val="000000" w:themeColor="text1"/>
              </w:rPr>
              <w:t xml:space="preserve">Приватне акціонерне товариство зобов’язано розкривати інформацію відповідно до вимог цієї статті, крім вимог пунктів </w:t>
            </w:r>
            <w:r w:rsidRPr="00286216">
              <w:rPr>
                <w:color w:val="000000" w:themeColor="text1"/>
                <w:szCs w:val="18"/>
              </w:rPr>
              <w:t xml:space="preserve">3, 9,10, 16 – 18, 20 – 26 та 29 </w:t>
            </w:r>
            <w:r w:rsidRPr="00286216">
              <w:rPr>
                <w:color w:val="000000" w:themeColor="text1"/>
              </w:rPr>
              <w:t xml:space="preserve">частини першої цієї статті. Для приватних акціонерних товариств  пороговим значенням пакета акцій є 10 відсотків його голосуючих акцій. У разі здійснення приватним акціонерним товариством емісії облігацій, воно зобов’язане додатково розкривати інформацію відповідно до пунктів </w:t>
            </w:r>
            <w:r w:rsidRPr="00286216">
              <w:rPr>
                <w:color w:val="000000" w:themeColor="text1"/>
                <w:szCs w:val="18"/>
              </w:rPr>
              <w:t xml:space="preserve">22, 25, </w:t>
            </w:r>
            <w:r w:rsidRPr="00286216">
              <w:rPr>
                <w:color w:val="000000" w:themeColor="text1"/>
                <w:szCs w:val="18"/>
              </w:rPr>
              <w:lastRenderedPageBreak/>
              <w:t>26 та 30</w:t>
            </w:r>
            <w:r w:rsidRPr="00286216">
              <w:rPr>
                <w:color w:val="000000" w:themeColor="text1"/>
              </w:rPr>
              <w:t xml:space="preserve"> частини першої цієї статті.</w:t>
            </w:r>
          </w:p>
        </w:tc>
      </w:tr>
      <w:tr w:rsidR="004D649E" w:rsidRPr="00286216" w14:paraId="57F272FB" w14:textId="77777777" w:rsidTr="00091AA5">
        <w:tc>
          <w:tcPr>
            <w:tcW w:w="576" w:type="dxa"/>
          </w:tcPr>
          <w:p w14:paraId="5B7E1AC1" w14:textId="77777777" w:rsidR="004D649E" w:rsidRPr="00286216" w:rsidRDefault="004D649E" w:rsidP="004D649E">
            <w:pPr>
              <w:pStyle w:val="StyleWisnow"/>
              <w:rPr>
                <w:color w:val="000000" w:themeColor="text1"/>
              </w:rPr>
            </w:pPr>
            <w:bookmarkStart w:id="1959" w:name="n2193" w:colFirst="0" w:colLast="0"/>
            <w:bookmarkEnd w:id="1958"/>
            <w:r w:rsidRPr="00286216">
              <w:rPr>
                <w:color w:val="000000" w:themeColor="text1"/>
              </w:rPr>
              <w:lastRenderedPageBreak/>
              <w:t>2193.</w:t>
            </w:r>
          </w:p>
        </w:tc>
        <w:tc>
          <w:tcPr>
            <w:tcW w:w="4818" w:type="dxa"/>
          </w:tcPr>
          <w:p w14:paraId="0FD53C87" w14:textId="77777777" w:rsidR="004D649E" w:rsidRPr="00286216" w:rsidRDefault="004D649E" w:rsidP="004D649E">
            <w:pPr>
              <w:pStyle w:val="StyleZakonu"/>
              <w:rPr>
                <w:color w:val="000000" w:themeColor="text1"/>
              </w:rPr>
            </w:pPr>
            <w:r w:rsidRPr="00286216">
              <w:rPr>
                <w:color w:val="000000" w:themeColor="text1"/>
              </w:rPr>
              <w:t>Емітент, який не є акціонерним товариством та щодо інших цінних паперів, крім акцій, якого здійснено публічну пропозицію, та/або цінні папери якого допущені до торгів на регульованому фондовому ринку, зобов’язаний розкривати інформацію відповідно до вимог цієї статті, за винятком вимог пунктів 2, 3, 5, 8 - 10, 16 - 21, 23, 24, 27 та 28 частини першої цієї статті. Якщо такий емітент здійснив емісію облігацій, він зобов’язане додатково розкривати інформацію відповідно до пунктів 22, 25 та 26 крім вимог пунктів 2, 3, 5, 8 - 10, 16 - 21 частини першої цієї статті.</w:t>
            </w:r>
          </w:p>
        </w:tc>
        <w:tc>
          <w:tcPr>
            <w:tcW w:w="3686" w:type="dxa"/>
          </w:tcPr>
          <w:p w14:paraId="027FB56D" w14:textId="0D308233" w:rsidR="004D649E" w:rsidRPr="00286216" w:rsidRDefault="004D649E" w:rsidP="004D649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1059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85FDAC7" w14:textId="77777777" w:rsidR="004D649E" w:rsidRPr="00286216" w:rsidRDefault="004D649E" w:rsidP="004D649E">
            <w:pPr>
              <w:pStyle w:val="StyleProp"/>
              <w:rPr>
                <w:color w:val="000000" w:themeColor="text1"/>
                <w:szCs w:val="18"/>
              </w:rPr>
            </w:pPr>
            <w:r w:rsidRPr="00286216">
              <w:rPr>
                <w:color w:val="000000" w:themeColor="text1"/>
                <w:szCs w:val="18"/>
              </w:rPr>
              <w:t>В статті 124 нової редакції Закону:</w:t>
            </w:r>
          </w:p>
          <w:p w14:paraId="10590FBD" w14:textId="77777777" w:rsidR="004D649E" w:rsidRPr="00286216" w:rsidRDefault="004D649E" w:rsidP="004D649E">
            <w:pPr>
              <w:pStyle w:val="StyleProp"/>
              <w:rPr>
                <w:color w:val="000000" w:themeColor="text1"/>
                <w:szCs w:val="18"/>
              </w:rPr>
            </w:pPr>
            <w:r w:rsidRPr="00286216">
              <w:rPr>
                <w:color w:val="000000" w:themeColor="text1"/>
                <w:szCs w:val="18"/>
              </w:rPr>
              <w:t>третій абзац викласти у такій редакції:</w:t>
            </w:r>
          </w:p>
          <w:p w14:paraId="43BD916A" w14:textId="77777777" w:rsidR="004D649E" w:rsidRPr="00286216" w:rsidRDefault="004D649E" w:rsidP="004D649E">
            <w:pPr>
              <w:pStyle w:val="StyleProp"/>
              <w:rPr>
                <w:color w:val="000000" w:themeColor="text1"/>
                <w:szCs w:val="18"/>
              </w:rPr>
            </w:pPr>
            <w:r w:rsidRPr="00286216">
              <w:rPr>
                <w:color w:val="000000" w:themeColor="text1"/>
                <w:szCs w:val="18"/>
              </w:rPr>
              <w:t>«Емітент, який не є акціонерним товариством та щодо інших цінних паперів, крім акцій, якого здійснено публічну пропозицію, та/або цінні папери якого допущені до торгів на регульованому фондовому ринку, зобов’язаний розкривати інформацію відповідно до вимог цієї статті, за винятком вимог пунктів 2, 3, 5, 8 – 10, 16 – 21, 23, 24, 27 – 29  частини першої цієї статті. Якщо такий емітент здійснив емісію облігацій, він зобов’язаний додатково розкривати інформацію відповідно до пунктів 22, 25, 26 та 30 частини першої цієї статті.».</w:t>
            </w:r>
          </w:p>
        </w:tc>
        <w:tc>
          <w:tcPr>
            <w:tcW w:w="1987" w:type="dxa"/>
          </w:tcPr>
          <w:p w14:paraId="5A805B7C" w14:textId="77777777" w:rsidR="004D649E" w:rsidRPr="00286216" w:rsidRDefault="004D649E" w:rsidP="004D649E">
            <w:pPr>
              <w:pStyle w:val="StyleWisnow"/>
              <w:rPr>
                <w:color w:val="000000" w:themeColor="text1"/>
              </w:rPr>
            </w:pPr>
            <w:r w:rsidRPr="00286216">
              <w:rPr>
                <w:color w:val="000000" w:themeColor="text1"/>
              </w:rPr>
              <w:t>Враховано частково</w:t>
            </w:r>
          </w:p>
        </w:tc>
        <w:tc>
          <w:tcPr>
            <w:tcW w:w="4818" w:type="dxa"/>
          </w:tcPr>
          <w:p w14:paraId="094284EF" w14:textId="7AA543F6" w:rsidR="004D649E" w:rsidRPr="00286216" w:rsidRDefault="004D649E" w:rsidP="004D649E">
            <w:pPr>
              <w:pStyle w:val="StyleZakonu"/>
              <w:rPr>
                <w:color w:val="000000" w:themeColor="text1"/>
              </w:rPr>
            </w:pPr>
            <w:r w:rsidRPr="00286216">
              <w:rPr>
                <w:color w:val="000000" w:themeColor="text1"/>
              </w:rPr>
              <w:t>Емітент, який не є акціонерним товариством, та, щодо цінних паперів якого здійснено публічну пропозицію та/або цінні папери якого допущені до торгів на регульованому фондовому ринку, зобов’язаний розкривати інформацію відповідно до вимог цієї статті, крім вимог пунктів 2, 3, 5, 8 – 10, 16 – 21, 23, 24, 27 – 29 частини першої цієї статті. У разі здійснення таким емітентом емісії облігацій, він зобов’язаний додатково розкривати інформацію відповідно до пунктів 22, 25, 26 та 30 частини першої цієї статті.</w:t>
            </w:r>
          </w:p>
        </w:tc>
      </w:tr>
      <w:tr w:rsidR="004D649E" w:rsidRPr="00286216" w14:paraId="7D7F0CCC" w14:textId="77777777" w:rsidTr="00091AA5">
        <w:tc>
          <w:tcPr>
            <w:tcW w:w="576" w:type="dxa"/>
          </w:tcPr>
          <w:p w14:paraId="0B31DCD5" w14:textId="77777777" w:rsidR="004D649E" w:rsidRPr="00286216" w:rsidRDefault="004D649E" w:rsidP="004D649E">
            <w:pPr>
              <w:pStyle w:val="StyleWisnow"/>
              <w:rPr>
                <w:color w:val="000000" w:themeColor="text1"/>
              </w:rPr>
            </w:pPr>
            <w:bookmarkStart w:id="1960" w:name="n2194" w:colFirst="0" w:colLast="0"/>
            <w:bookmarkEnd w:id="1959"/>
            <w:r w:rsidRPr="00286216">
              <w:rPr>
                <w:color w:val="000000" w:themeColor="text1"/>
              </w:rPr>
              <w:t>2194.</w:t>
            </w:r>
          </w:p>
        </w:tc>
        <w:tc>
          <w:tcPr>
            <w:tcW w:w="4818" w:type="dxa"/>
          </w:tcPr>
          <w:p w14:paraId="12F17C19" w14:textId="77777777" w:rsidR="004D649E" w:rsidRPr="00286216" w:rsidRDefault="004D649E" w:rsidP="004D649E">
            <w:pPr>
              <w:pStyle w:val="StyleZakonu"/>
              <w:rPr>
                <w:color w:val="000000" w:themeColor="text1"/>
              </w:rPr>
            </w:pPr>
            <w:r w:rsidRPr="00286216">
              <w:rPr>
                <w:color w:val="000000" w:themeColor="text1"/>
              </w:rPr>
              <w:t>Емітент, який не є акціонерним товариством та щодо цінних паперів якого не здійснено публічну пропозицію, та цінні папери якого не допущені до торгів на регульованому фондовому ринку, не зобов’язаний розкривати інформацію відповідно до вимог цієї статті.</w:t>
            </w:r>
          </w:p>
        </w:tc>
        <w:tc>
          <w:tcPr>
            <w:tcW w:w="3686" w:type="dxa"/>
          </w:tcPr>
          <w:p w14:paraId="55327EB5" w14:textId="77777777" w:rsidR="004D649E" w:rsidRPr="00286216" w:rsidRDefault="004D649E" w:rsidP="004D649E">
            <w:pPr>
              <w:pStyle w:val="StyleProp"/>
              <w:rPr>
                <w:color w:val="000000" w:themeColor="text1"/>
                <w:szCs w:val="18"/>
              </w:rPr>
            </w:pPr>
          </w:p>
        </w:tc>
        <w:tc>
          <w:tcPr>
            <w:tcW w:w="1987" w:type="dxa"/>
          </w:tcPr>
          <w:p w14:paraId="0D33C55E" w14:textId="77777777" w:rsidR="004D649E" w:rsidRPr="00286216" w:rsidRDefault="004D649E" w:rsidP="004D649E">
            <w:pPr>
              <w:pStyle w:val="StyleWisnow"/>
              <w:rPr>
                <w:color w:val="000000" w:themeColor="text1"/>
              </w:rPr>
            </w:pPr>
          </w:p>
        </w:tc>
        <w:tc>
          <w:tcPr>
            <w:tcW w:w="4818" w:type="dxa"/>
          </w:tcPr>
          <w:p w14:paraId="162751EF" w14:textId="2CB428E5" w:rsidR="004D649E" w:rsidRPr="00286216" w:rsidRDefault="004D649E" w:rsidP="004D649E">
            <w:pPr>
              <w:pStyle w:val="StyleZakonu"/>
              <w:rPr>
                <w:color w:val="000000" w:themeColor="text1"/>
              </w:rPr>
            </w:pPr>
            <w:r w:rsidRPr="00286216">
              <w:rPr>
                <w:color w:val="000000" w:themeColor="text1"/>
              </w:rPr>
              <w:t>Емітент, який не є акціонерним товариством, та щодо цінних паперів якого не здійснено публічну пропозицію та цінні папери якого не допущені до торгів на регульованому фондовому ринку, не зобов’язаний розкривати інформацію відповідно до вимог цієї статті.</w:t>
            </w:r>
          </w:p>
        </w:tc>
      </w:tr>
      <w:tr w:rsidR="004D649E" w:rsidRPr="00286216" w14:paraId="43A878D2" w14:textId="77777777" w:rsidTr="00091AA5">
        <w:tc>
          <w:tcPr>
            <w:tcW w:w="576" w:type="dxa"/>
          </w:tcPr>
          <w:p w14:paraId="0E1AD92F" w14:textId="77777777" w:rsidR="004D649E" w:rsidRPr="00286216" w:rsidRDefault="004D649E" w:rsidP="004D649E">
            <w:pPr>
              <w:pStyle w:val="StyleWisnow"/>
              <w:rPr>
                <w:color w:val="000000" w:themeColor="text1"/>
              </w:rPr>
            </w:pPr>
            <w:bookmarkStart w:id="1961" w:name="n2195" w:colFirst="0" w:colLast="0"/>
            <w:bookmarkEnd w:id="1960"/>
            <w:r w:rsidRPr="00286216">
              <w:rPr>
                <w:color w:val="000000" w:themeColor="text1"/>
              </w:rPr>
              <w:t>2195.</w:t>
            </w:r>
          </w:p>
        </w:tc>
        <w:tc>
          <w:tcPr>
            <w:tcW w:w="4818" w:type="dxa"/>
          </w:tcPr>
          <w:p w14:paraId="370AA948" w14:textId="77777777" w:rsidR="004D649E" w:rsidRPr="00286216" w:rsidRDefault="004D649E" w:rsidP="004D649E">
            <w:pPr>
              <w:pStyle w:val="StyleZakonu"/>
              <w:rPr>
                <w:color w:val="000000" w:themeColor="text1"/>
              </w:rPr>
            </w:pPr>
            <w:r w:rsidRPr="00286216">
              <w:rPr>
                <w:color w:val="000000" w:themeColor="text1"/>
              </w:rPr>
              <w:t>Вимоги цієї статті не застосовуються до емітентів таких видів цінних паперів:</w:t>
            </w:r>
          </w:p>
        </w:tc>
        <w:tc>
          <w:tcPr>
            <w:tcW w:w="3686" w:type="dxa"/>
          </w:tcPr>
          <w:p w14:paraId="2F0CF464" w14:textId="77777777" w:rsidR="004D649E" w:rsidRPr="00286216" w:rsidRDefault="004D649E" w:rsidP="004D649E">
            <w:pPr>
              <w:pStyle w:val="StyleProp"/>
              <w:rPr>
                <w:color w:val="000000" w:themeColor="text1"/>
                <w:szCs w:val="18"/>
              </w:rPr>
            </w:pPr>
          </w:p>
        </w:tc>
        <w:tc>
          <w:tcPr>
            <w:tcW w:w="1987" w:type="dxa"/>
          </w:tcPr>
          <w:p w14:paraId="1F0873E0" w14:textId="77777777" w:rsidR="004D649E" w:rsidRPr="00286216" w:rsidRDefault="004D649E" w:rsidP="004D649E">
            <w:pPr>
              <w:pStyle w:val="StyleWisnow"/>
              <w:rPr>
                <w:color w:val="000000" w:themeColor="text1"/>
              </w:rPr>
            </w:pPr>
          </w:p>
        </w:tc>
        <w:tc>
          <w:tcPr>
            <w:tcW w:w="4818" w:type="dxa"/>
          </w:tcPr>
          <w:p w14:paraId="22522029" w14:textId="6A01DFF4" w:rsidR="004D649E" w:rsidRPr="00286216" w:rsidRDefault="004D649E" w:rsidP="004D649E">
            <w:pPr>
              <w:pStyle w:val="StyleZakonu"/>
              <w:rPr>
                <w:color w:val="000000" w:themeColor="text1"/>
              </w:rPr>
            </w:pPr>
            <w:r w:rsidRPr="00286216">
              <w:rPr>
                <w:color w:val="000000" w:themeColor="text1"/>
              </w:rPr>
              <w:t>Вимоги цієї статті не застосовуються до емітентів таких видів цінних паперів:</w:t>
            </w:r>
          </w:p>
        </w:tc>
      </w:tr>
      <w:tr w:rsidR="004D649E" w:rsidRPr="00286216" w14:paraId="48EB7A73" w14:textId="77777777" w:rsidTr="00091AA5">
        <w:tc>
          <w:tcPr>
            <w:tcW w:w="576" w:type="dxa"/>
          </w:tcPr>
          <w:p w14:paraId="312FE569" w14:textId="77777777" w:rsidR="004D649E" w:rsidRPr="00286216" w:rsidRDefault="004D649E" w:rsidP="004D649E">
            <w:pPr>
              <w:pStyle w:val="StyleWisnow"/>
              <w:rPr>
                <w:color w:val="000000" w:themeColor="text1"/>
              </w:rPr>
            </w:pPr>
            <w:bookmarkStart w:id="1962" w:name="n2196" w:colFirst="0" w:colLast="0"/>
            <w:bookmarkEnd w:id="1961"/>
            <w:r w:rsidRPr="00286216">
              <w:rPr>
                <w:color w:val="000000" w:themeColor="text1"/>
              </w:rPr>
              <w:t>2196.</w:t>
            </w:r>
          </w:p>
        </w:tc>
        <w:tc>
          <w:tcPr>
            <w:tcW w:w="4818" w:type="dxa"/>
          </w:tcPr>
          <w:p w14:paraId="1580ADD0" w14:textId="77777777" w:rsidR="004D649E" w:rsidRPr="00286216" w:rsidRDefault="004D649E" w:rsidP="004D649E">
            <w:pPr>
              <w:pStyle w:val="StyleZakonu"/>
              <w:rPr>
                <w:color w:val="000000" w:themeColor="text1"/>
              </w:rPr>
            </w:pPr>
            <w:r w:rsidRPr="00286216">
              <w:rPr>
                <w:color w:val="000000" w:themeColor="text1"/>
              </w:rPr>
              <w:t>1) державні облігації України;</w:t>
            </w:r>
          </w:p>
        </w:tc>
        <w:tc>
          <w:tcPr>
            <w:tcW w:w="3686" w:type="dxa"/>
          </w:tcPr>
          <w:p w14:paraId="0498AEAD" w14:textId="77777777" w:rsidR="004D649E" w:rsidRPr="00286216" w:rsidRDefault="004D649E" w:rsidP="004D649E">
            <w:pPr>
              <w:pStyle w:val="StyleProp"/>
              <w:rPr>
                <w:color w:val="000000" w:themeColor="text1"/>
                <w:szCs w:val="18"/>
              </w:rPr>
            </w:pPr>
          </w:p>
        </w:tc>
        <w:tc>
          <w:tcPr>
            <w:tcW w:w="1987" w:type="dxa"/>
          </w:tcPr>
          <w:p w14:paraId="7071D978" w14:textId="77777777" w:rsidR="004D649E" w:rsidRPr="00286216" w:rsidRDefault="004D649E" w:rsidP="004D649E">
            <w:pPr>
              <w:pStyle w:val="StyleWisnow"/>
              <w:rPr>
                <w:color w:val="000000" w:themeColor="text1"/>
              </w:rPr>
            </w:pPr>
          </w:p>
        </w:tc>
        <w:tc>
          <w:tcPr>
            <w:tcW w:w="4818" w:type="dxa"/>
          </w:tcPr>
          <w:p w14:paraId="5AB0BA64" w14:textId="52C118A3" w:rsidR="004D649E" w:rsidRPr="00286216" w:rsidRDefault="004D649E" w:rsidP="004D649E">
            <w:pPr>
              <w:pStyle w:val="StyleZakonu"/>
              <w:rPr>
                <w:color w:val="000000" w:themeColor="text1"/>
              </w:rPr>
            </w:pPr>
            <w:r w:rsidRPr="00286216">
              <w:rPr>
                <w:color w:val="000000" w:themeColor="text1"/>
              </w:rPr>
              <w:t>1) державні облігації України;</w:t>
            </w:r>
          </w:p>
        </w:tc>
      </w:tr>
      <w:tr w:rsidR="004D649E" w:rsidRPr="00286216" w14:paraId="41914A22" w14:textId="77777777" w:rsidTr="00091AA5">
        <w:tc>
          <w:tcPr>
            <w:tcW w:w="576" w:type="dxa"/>
          </w:tcPr>
          <w:p w14:paraId="0CC56BBE" w14:textId="77777777" w:rsidR="004D649E" w:rsidRPr="00286216" w:rsidRDefault="004D649E" w:rsidP="004D649E">
            <w:pPr>
              <w:pStyle w:val="StyleWisnow"/>
              <w:rPr>
                <w:color w:val="000000" w:themeColor="text1"/>
              </w:rPr>
            </w:pPr>
            <w:bookmarkStart w:id="1963" w:name="n2197" w:colFirst="0" w:colLast="0"/>
            <w:bookmarkEnd w:id="1962"/>
            <w:r w:rsidRPr="00286216">
              <w:rPr>
                <w:color w:val="000000" w:themeColor="text1"/>
              </w:rPr>
              <w:t>2197.</w:t>
            </w:r>
          </w:p>
        </w:tc>
        <w:tc>
          <w:tcPr>
            <w:tcW w:w="4818" w:type="dxa"/>
          </w:tcPr>
          <w:p w14:paraId="0CC302F6" w14:textId="77777777" w:rsidR="004D649E" w:rsidRPr="00286216" w:rsidRDefault="004D649E" w:rsidP="004D649E">
            <w:pPr>
              <w:pStyle w:val="StyleZakonu"/>
              <w:rPr>
                <w:color w:val="000000" w:themeColor="text1"/>
              </w:rPr>
            </w:pPr>
            <w:r w:rsidRPr="00286216">
              <w:rPr>
                <w:color w:val="000000" w:themeColor="text1"/>
              </w:rPr>
              <w:t>2) казначейські зобов’язання;</w:t>
            </w:r>
          </w:p>
        </w:tc>
        <w:tc>
          <w:tcPr>
            <w:tcW w:w="3686" w:type="dxa"/>
          </w:tcPr>
          <w:p w14:paraId="30554DEB" w14:textId="77777777" w:rsidR="004D649E" w:rsidRPr="00286216" w:rsidRDefault="004D649E" w:rsidP="004D649E">
            <w:pPr>
              <w:pStyle w:val="StyleProp"/>
              <w:rPr>
                <w:color w:val="000000" w:themeColor="text1"/>
                <w:szCs w:val="18"/>
              </w:rPr>
            </w:pPr>
          </w:p>
        </w:tc>
        <w:tc>
          <w:tcPr>
            <w:tcW w:w="1987" w:type="dxa"/>
          </w:tcPr>
          <w:p w14:paraId="539AECD6" w14:textId="77777777" w:rsidR="004D649E" w:rsidRPr="00286216" w:rsidRDefault="004D649E" w:rsidP="004D649E">
            <w:pPr>
              <w:pStyle w:val="StyleWisnow"/>
              <w:rPr>
                <w:color w:val="000000" w:themeColor="text1"/>
              </w:rPr>
            </w:pPr>
          </w:p>
        </w:tc>
        <w:tc>
          <w:tcPr>
            <w:tcW w:w="4818" w:type="dxa"/>
          </w:tcPr>
          <w:p w14:paraId="797CBDFB" w14:textId="6F60BA4D" w:rsidR="004D649E" w:rsidRPr="00286216" w:rsidRDefault="004D649E" w:rsidP="004D649E">
            <w:pPr>
              <w:pStyle w:val="StyleZakonu"/>
              <w:rPr>
                <w:color w:val="000000" w:themeColor="text1"/>
              </w:rPr>
            </w:pPr>
            <w:r w:rsidRPr="00286216">
              <w:rPr>
                <w:color w:val="000000" w:themeColor="text1"/>
              </w:rPr>
              <w:t>2) казначейські зобов’язання;</w:t>
            </w:r>
          </w:p>
        </w:tc>
      </w:tr>
      <w:tr w:rsidR="004D649E" w:rsidRPr="00286216" w14:paraId="6416228A" w14:textId="77777777" w:rsidTr="00091AA5">
        <w:tc>
          <w:tcPr>
            <w:tcW w:w="576" w:type="dxa"/>
          </w:tcPr>
          <w:p w14:paraId="7DD5CF3E" w14:textId="77777777" w:rsidR="004D649E" w:rsidRPr="00286216" w:rsidRDefault="004D649E" w:rsidP="004D649E">
            <w:pPr>
              <w:pStyle w:val="StyleWisnow"/>
              <w:rPr>
                <w:color w:val="000000" w:themeColor="text1"/>
              </w:rPr>
            </w:pPr>
            <w:bookmarkStart w:id="1964" w:name="n2198" w:colFirst="0" w:colLast="0"/>
            <w:bookmarkEnd w:id="1963"/>
            <w:r w:rsidRPr="00286216">
              <w:rPr>
                <w:color w:val="000000" w:themeColor="text1"/>
              </w:rPr>
              <w:t>2198.</w:t>
            </w:r>
          </w:p>
        </w:tc>
        <w:tc>
          <w:tcPr>
            <w:tcW w:w="4818" w:type="dxa"/>
          </w:tcPr>
          <w:p w14:paraId="0E7C7603" w14:textId="77777777" w:rsidR="004D649E" w:rsidRPr="00286216" w:rsidRDefault="004D649E" w:rsidP="004D649E">
            <w:pPr>
              <w:pStyle w:val="StyleZakonu"/>
              <w:rPr>
                <w:color w:val="000000" w:themeColor="text1"/>
              </w:rPr>
            </w:pPr>
            <w:r w:rsidRPr="00286216">
              <w:rPr>
                <w:color w:val="000000" w:themeColor="text1"/>
              </w:rPr>
              <w:t>3) облігації Фонду гарантування вкладів фізичних осіб;</w:t>
            </w:r>
          </w:p>
        </w:tc>
        <w:tc>
          <w:tcPr>
            <w:tcW w:w="3686" w:type="dxa"/>
          </w:tcPr>
          <w:p w14:paraId="57C80790" w14:textId="77777777" w:rsidR="004D649E" w:rsidRPr="00286216" w:rsidRDefault="004D649E" w:rsidP="004D649E">
            <w:pPr>
              <w:pStyle w:val="StyleProp"/>
              <w:rPr>
                <w:color w:val="000000" w:themeColor="text1"/>
                <w:szCs w:val="18"/>
              </w:rPr>
            </w:pPr>
          </w:p>
        </w:tc>
        <w:tc>
          <w:tcPr>
            <w:tcW w:w="1987" w:type="dxa"/>
          </w:tcPr>
          <w:p w14:paraId="2FD6FB2D" w14:textId="77777777" w:rsidR="004D649E" w:rsidRPr="00286216" w:rsidRDefault="004D649E" w:rsidP="004D649E">
            <w:pPr>
              <w:pStyle w:val="StyleWisnow"/>
              <w:rPr>
                <w:color w:val="000000" w:themeColor="text1"/>
              </w:rPr>
            </w:pPr>
          </w:p>
        </w:tc>
        <w:tc>
          <w:tcPr>
            <w:tcW w:w="4818" w:type="dxa"/>
          </w:tcPr>
          <w:p w14:paraId="656EBB59" w14:textId="3656C335" w:rsidR="004D649E" w:rsidRPr="00286216" w:rsidRDefault="004D649E" w:rsidP="004D649E">
            <w:pPr>
              <w:pStyle w:val="StyleZakonu"/>
              <w:rPr>
                <w:color w:val="000000" w:themeColor="text1"/>
              </w:rPr>
            </w:pPr>
            <w:r w:rsidRPr="00286216">
              <w:rPr>
                <w:color w:val="000000" w:themeColor="text1"/>
              </w:rPr>
              <w:t>3) облігації Фонду гарантування вкладів фізичних осіб;</w:t>
            </w:r>
          </w:p>
        </w:tc>
      </w:tr>
      <w:tr w:rsidR="004D649E" w:rsidRPr="00286216" w14:paraId="4FD19A7F" w14:textId="77777777" w:rsidTr="00091AA5">
        <w:tc>
          <w:tcPr>
            <w:tcW w:w="576" w:type="dxa"/>
          </w:tcPr>
          <w:p w14:paraId="403806D6" w14:textId="77777777" w:rsidR="004D649E" w:rsidRPr="00286216" w:rsidRDefault="004D649E" w:rsidP="004D649E">
            <w:pPr>
              <w:pStyle w:val="StyleWisnow"/>
              <w:rPr>
                <w:color w:val="000000" w:themeColor="text1"/>
              </w:rPr>
            </w:pPr>
            <w:bookmarkStart w:id="1965" w:name="n2199" w:colFirst="0" w:colLast="0"/>
            <w:bookmarkEnd w:id="1964"/>
            <w:r w:rsidRPr="00286216">
              <w:rPr>
                <w:color w:val="000000" w:themeColor="text1"/>
              </w:rPr>
              <w:t>2199.</w:t>
            </w:r>
          </w:p>
        </w:tc>
        <w:tc>
          <w:tcPr>
            <w:tcW w:w="4818" w:type="dxa"/>
          </w:tcPr>
          <w:p w14:paraId="406B1F80" w14:textId="77777777" w:rsidR="004D649E" w:rsidRPr="00286216" w:rsidRDefault="004D649E" w:rsidP="004D649E">
            <w:pPr>
              <w:pStyle w:val="StyleZakonu"/>
              <w:rPr>
                <w:color w:val="000000" w:themeColor="text1"/>
              </w:rPr>
            </w:pPr>
            <w:r w:rsidRPr="00286216">
              <w:rPr>
                <w:color w:val="000000" w:themeColor="text1"/>
              </w:rPr>
              <w:t>4) облігації місцевих позик.</w:t>
            </w:r>
          </w:p>
        </w:tc>
        <w:tc>
          <w:tcPr>
            <w:tcW w:w="3686" w:type="dxa"/>
          </w:tcPr>
          <w:p w14:paraId="68A45095" w14:textId="77777777" w:rsidR="004D649E" w:rsidRPr="00286216" w:rsidRDefault="004D649E" w:rsidP="004D649E">
            <w:pPr>
              <w:pStyle w:val="StyleProp"/>
              <w:rPr>
                <w:color w:val="000000" w:themeColor="text1"/>
                <w:szCs w:val="18"/>
              </w:rPr>
            </w:pPr>
          </w:p>
        </w:tc>
        <w:tc>
          <w:tcPr>
            <w:tcW w:w="1987" w:type="dxa"/>
          </w:tcPr>
          <w:p w14:paraId="02B4513B" w14:textId="77777777" w:rsidR="004D649E" w:rsidRPr="00286216" w:rsidRDefault="004D649E" w:rsidP="004D649E">
            <w:pPr>
              <w:pStyle w:val="StyleWisnow"/>
              <w:rPr>
                <w:color w:val="000000" w:themeColor="text1"/>
              </w:rPr>
            </w:pPr>
          </w:p>
        </w:tc>
        <w:tc>
          <w:tcPr>
            <w:tcW w:w="4818" w:type="dxa"/>
          </w:tcPr>
          <w:p w14:paraId="5A9CE387" w14:textId="3A2FE2EA" w:rsidR="004D649E" w:rsidRPr="00286216" w:rsidRDefault="004D649E" w:rsidP="004D649E">
            <w:pPr>
              <w:pStyle w:val="StyleZakonu"/>
              <w:rPr>
                <w:color w:val="000000" w:themeColor="text1"/>
              </w:rPr>
            </w:pPr>
            <w:r w:rsidRPr="00286216">
              <w:rPr>
                <w:color w:val="000000" w:themeColor="text1"/>
              </w:rPr>
              <w:t>4) облігації місцевих позик.</w:t>
            </w:r>
          </w:p>
        </w:tc>
      </w:tr>
      <w:tr w:rsidR="004D649E" w:rsidRPr="00286216" w14:paraId="12F3D2E3" w14:textId="77777777" w:rsidTr="00091AA5">
        <w:tc>
          <w:tcPr>
            <w:tcW w:w="576" w:type="dxa"/>
          </w:tcPr>
          <w:p w14:paraId="3720CC8F" w14:textId="77777777" w:rsidR="004D649E" w:rsidRPr="00286216" w:rsidRDefault="004D649E" w:rsidP="004D649E">
            <w:pPr>
              <w:pStyle w:val="StyleWisnow"/>
              <w:rPr>
                <w:color w:val="000000" w:themeColor="text1"/>
              </w:rPr>
            </w:pPr>
            <w:bookmarkStart w:id="1966" w:name="n2200" w:colFirst="0" w:colLast="0"/>
            <w:bookmarkEnd w:id="1965"/>
            <w:r w:rsidRPr="00286216">
              <w:rPr>
                <w:color w:val="000000" w:themeColor="text1"/>
              </w:rPr>
              <w:t>2200.</w:t>
            </w:r>
          </w:p>
        </w:tc>
        <w:tc>
          <w:tcPr>
            <w:tcW w:w="4818" w:type="dxa"/>
          </w:tcPr>
          <w:p w14:paraId="00545C4D" w14:textId="77777777" w:rsidR="004D649E" w:rsidRPr="00286216" w:rsidRDefault="004D649E" w:rsidP="004D649E">
            <w:pPr>
              <w:pStyle w:val="StyleZakonu"/>
              <w:rPr>
                <w:color w:val="000000" w:themeColor="text1"/>
              </w:rPr>
            </w:pPr>
            <w:r w:rsidRPr="00286216">
              <w:rPr>
                <w:color w:val="000000" w:themeColor="text1"/>
              </w:rPr>
              <w:t>Стаття 125. Додаткові вимоги щодо розкриття інформації окремими категоріями емітентів</w:t>
            </w:r>
          </w:p>
        </w:tc>
        <w:tc>
          <w:tcPr>
            <w:tcW w:w="3686" w:type="dxa"/>
          </w:tcPr>
          <w:p w14:paraId="3F659AFD" w14:textId="77777777" w:rsidR="004D649E" w:rsidRPr="00286216" w:rsidRDefault="004D649E" w:rsidP="004D649E">
            <w:pPr>
              <w:pStyle w:val="StyleProp"/>
              <w:rPr>
                <w:color w:val="000000" w:themeColor="text1"/>
                <w:szCs w:val="18"/>
              </w:rPr>
            </w:pPr>
          </w:p>
        </w:tc>
        <w:tc>
          <w:tcPr>
            <w:tcW w:w="1987" w:type="dxa"/>
          </w:tcPr>
          <w:p w14:paraId="37F7AB69" w14:textId="77777777" w:rsidR="004D649E" w:rsidRPr="00286216" w:rsidRDefault="004D649E" w:rsidP="004D649E">
            <w:pPr>
              <w:pStyle w:val="StyleWisnow"/>
              <w:rPr>
                <w:color w:val="000000" w:themeColor="text1"/>
              </w:rPr>
            </w:pPr>
          </w:p>
        </w:tc>
        <w:tc>
          <w:tcPr>
            <w:tcW w:w="4818" w:type="dxa"/>
          </w:tcPr>
          <w:p w14:paraId="3377B8A8" w14:textId="3BF83637" w:rsidR="004D649E" w:rsidRPr="00286216" w:rsidRDefault="004D649E" w:rsidP="004D649E">
            <w:pPr>
              <w:pStyle w:val="StyleZakonu"/>
              <w:rPr>
                <w:color w:val="000000" w:themeColor="text1"/>
              </w:rPr>
            </w:pPr>
            <w:r w:rsidRPr="00286216">
              <w:rPr>
                <w:color w:val="000000" w:themeColor="text1"/>
              </w:rPr>
              <w:t>Стаття 129. Додаткові вимоги щодо розкриття інформації окремими категоріями емітентів</w:t>
            </w:r>
          </w:p>
        </w:tc>
      </w:tr>
      <w:tr w:rsidR="004D649E" w:rsidRPr="00286216" w14:paraId="3B9BE34F" w14:textId="77777777" w:rsidTr="00091AA5">
        <w:tc>
          <w:tcPr>
            <w:tcW w:w="576" w:type="dxa"/>
          </w:tcPr>
          <w:p w14:paraId="2EEDF761" w14:textId="77777777" w:rsidR="004D649E" w:rsidRPr="00286216" w:rsidRDefault="004D649E" w:rsidP="004D649E">
            <w:pPr>
              <w:pStyle w:val="StyleWisnow"/>
              <w:rPr>
                <w:color w:val="000000" w:themeColor="text1"/>
              </w:rPr>
            </w:pPr>
            <w:bookmarkStart w:id="1967" w:name="n2201" w:colFirst="0" w:colLast="0"/>
            <w:bookmarkEnd w:id="1966"/>
            <w:r w:rsidRPr="00286216">
              <w:rPr>
                <w:color w:val="000000" w:themeColor="text1"/>
              </w:rPr>
              <w:t>2201.</w:t>
            </w:r>
          </w:p>
        </w:tc>
        <w:tc>
          <w:tcPr>
            <w:tcW w:w="4818" w:type="dxa"/>
          </w:tcPr>
          <w:p w14:paraId="7A37FE74" w14:textId="77777777" w:rsidR="004D649E" w:rsidRPr="00286216" w:rsidRDefault="004D649E" w:rsidP="004D649E">
            <w:pPr>
              <w:pStyle w:val="StyleZakonu"/>
              <w:rPr>
                <w:color w:val="000000" w:themeColor="text1"/>
              </w:rPr>
            </w:pPr>
            <w:r w:rsidRPr="00286216">
              <w:rPr>
                <w:color w:val="000000" w:themeColor="text1"/>
              </w:rPr>
              <w:t>1. Додаткові вимоги щодо розкриття інформації окремими категоріями емітентів встановлюються Законом України "Про бухгалтерський облік та фінансову звітність в Україні" та нормативно-правовими актами Кабінету Міністрів України.</w:t>
            </w:r>
          </w:p>
        </w:tc>
        <w:tc>
          <w:tcPr>
            <w:tcW w:w="3686" w:type="dxa"/>
          </w:tcPr>
          <w:p w14:paraId="5129AD83" w14:textId="77777777" w:rsidR="004D649E" w:rsidRPr="00286216" w:rsidRDefault="004D649E" w:rsidP="004D649E">
            <w:pPr>
              <w:pStyle w:val="StyleProp"/>
              <w:rPr>
                <w:color w:val="000000" w:themeColor="text1"/>
                <w:szCs w:val="18"/>
              </w:rPr>
            </w:pPr>
          </w:p>
        </w:tc>
        <w:tc>
          <w:tcPr>
            <w:tcW w:w="1987" w:type="dxa"/>
          </w:tcPr>
          <w:p w14:paraId="46F260B8" w14:textId="77777777" w:rsidR="004D649E" w:rsidRPr="00286216" w:rsidRDefault="004D649E" w:rsidP="004D649E">
            <w:pPr>
              <w:pStyle w:val="StyleWisnow"/>
              <w:rPr>
                <w:color w:val="000000" w:themeColor="text1"/>
              </w:rPr>
            </w:pPr>
          </w:p>
        </w:tc>
        <w:tc>
          <w:tcPr>
            <w:tcW w:w="4818" w:type="dxa"/>
          </w:tcPr>
          <w:p w14:paraId="5B753C6C" w14:textId="34B4F74E" w:rsidR="004D649E" w:rsidRPr="00286216" w:rsidRDefault="004D649E" w:rsidP="004D649E">
            <w:pPr>
              <w:pStyle w:val="StyleZakonu"/>
              <w:rPr>
                <w:color w:val="000000" w:themeColor="text1"/>
              </w:rPr>
            </w:pPr>
            <w:r w:rsidRPr="00286216">
              <w:rPr>
                <w:color w:val="000000" w:themeColor="text1"/>
              </w:rPr>
              <w:t>1. Додаткові вимоги щодо розкриття інформації окремими категоріями емітентів встановлюються Законом України "Про бухгалтерський облік та фінансову звітність в Україні" та нормативно-правовими актами Кабінету Міністрів України.</w:t>
            </w:r>
          </w:p>
        </w:tc>
      </w:tr>
      <w:tr w:rsidR="004D649E" w:rsidRPr="00286216" w14:paraId="4B6FE473" w14:textId="77777777" w:rsidTr="00091AA5">
        <w:tc>
          <w:tcPr>
            <w:tcW w:w="576" w:type="dxa"/>
          </w:tcPr>
          <w:p w14:paraId="666C3300" w14:textId="77777777" w:rsidR="004D649E" w:rsidRPr="00286216" w:rsidRDefault="004D649E" w:rsidP="004D649E">
            <w:pPr>
              <w:pStyle w:val="StyleWisnow"/>
              <w:rPr>
                <w:color w:val="000000" w:themeColor="text1"/>
              </w:rPr>
            </w:pPr>
            <w:bookmarkStart w:id="1968" w:name="n2202" w:colFirst="0" w:colLast="0"/>
            <w:bookmarkEnd w:id="1967"/>
            <w:r w:rsidRPr="00286216">
              <w:rPr>
                <w:color w:val="000000" w:themeColor="text1"/>
              </w:rPr>
              <w:t>2202.</w:t>
            </w:r>
          </w:p>
        </w:tc>
        <w:tc>
          <w:tcPr>
            <w:tcW w:w="4818" w:type="dxa"/>
          </w:tcPr>
          <w:p w14:paraId="5FED7704" w14:textId="77777777" w:rsidR="004D649E" w:rsidRPr="00286216" w:rsidRDefault="004D649E" w:rsidP="004D649E">
            <w:pPr>
              <w:pStyle w:val="StyleZakonu"/>
              <w:rPr>
                <w:color w:val="000000" w:themeColor="text1"/>
              </w:rPr>
            </w:pPr>
            <w:r w:rsidRPr="00286216">
              <w:rPr>
                <w:color w:val="000000" w:themeColor="text1"/>
              </w:rPr>
              <w:t>Стаття 126. Особливості розкриття інформації іноземними емітентами</w:t>
            </w:r>
          </w:p>
        </w:tc>
        <w:tc>
          <w:tcPr>
            <w:tcW w:w="3686" w:type="dxa"/>
          </w:tcPr>
          <w:p w14:paraId="33FBC37F" w14:textId="77777777" w:rsidR="004D649E" w:rsidRPr="00286216" w:rsidRDefault="004D649E" w:rsidP="004D649E">
            <w:pPr>
              <w:pStyle w:val="StyleProp"/>
              <w:rPr>
                <w:color w:val="000000" w:themeColor="text1"/>
                <w:szCs w:val="18"/>
              </w:rPr>
            </w:pPr>
          </w:p>
        </w:tc>
        <w:tc>
          <w:tcPr>
            <w:tcW w:w="1987" w:type="dxa"/>
          </w:tcPr>
          <w:p w14:paraId="5C87C051" w14:textId="77777777" w:rsidR="004D649E" w:rsidRPr="00286216" w:rsidRDefault="004D649E" w:rsidP="004D649E">
            <w:pPr>
              <w:pStyle w:val="StyleWisnow"/>
              <w:rPr>
                <w:color w:val="000000" w:themeColor="text1"/>
              </w:rPr>
            </w:pPr>
          </w:p>
        </w:tc>
        <w:tc>
          <w:tcPr>
            <w:tcW w:w="4818" w:type="dxa"/>
          </w:tcPr>
          <w:p w14:paraId="5EE9D3D1" w14:textId="5AF67785" w:rsidR="004D649E" w:rsidRPr="00286216" w:rsidRDefault="004D649E" w:rsidP="004D649E">
            <w:pPr>
              <w:pStyle w:val="StyleZakonu"/>
              <w:rPr>
                <w:color w:val="000000" w:themeColor="text1"/>
              </w:rPr>
            </w:pPr>
            <w:r w:rsidRPr="00286216">
              <w:rPr>
                <w:color w:val="000000" w:themeColor="text1"/>
              </w:rPr>
              <w:t>Стаття 130. Особливості розкриття інформації іноземними емітентами</w:t>
            </w:r>
          </w:p>
        </w:tc>
      </w:tr>
      <w:tr w:rsidR="004D649E" w:rsidRPr="00286216" w14:paraId="0BF301FE" w14:textId="77777777" w:rsidTr="00091AA5">
        <w:tc>
          <w:tcPr>
            <w:tcW w:w="576" w:type="dxa"/>
          </w:tcPr>
          <w:p w14:paraId="1E9BDC5B" w14:textId="77777777" w:rsidR="004D649E" w:rsidRPr="00286216" w:rsidRDefault="004D649E" w:rsidP="004D649E">
            <w:pPr>
              <w:pStyle w:val="StyleWisnow"/>
              <w:rPr>
                <w:color w:val="000000" w:themeColor="text1"/>
              </w:rPr>
            </w:pPr>
            <w:bookmarkStart w:id="1969" w:name="n2203" w:colFirst="0" w:colLast="0"/>
            <w:bookmarkEnd w:id="1968"/>
            <w:r w:rsidRPr="00286216">
              <w:rPr>
                <w:color w:val="000000" w:themeColor="text1"/>
              </w:rPr>
              <w:t>2203.</w:t>
            </w:r>
          </w:p>
        </w:tc>
        <w:tc>
          <w:tcPr>
            <w:tcW w:w="4818" w:type="dxa"/>
          </w:tcPr>
          <w:p w14:paraId="5C615AF6" w14:textId="77777777" w:rsidR="004D649E" w:rsidRPr="00286216" w:rsidRDefault="004D649E" w:rsidP="004D649E">
            <w:pPr>
              <w:pStyle w:val="StyleZakonu"/>
              <w:rPr>
                <w:color w:val="000000" w:themeColor="text1"/>
              </w:rPr>
            </w:pPr>
            <w:r w:rsidRPr="00286216">
              <w:rPr>
                <w:color w:val="000000" w:themeColor="text1"/>
              </w:rPr>
              <w:t xml:space="preserve">1. Звітним періодом для складання річної інформації про іноземного емітента може бути календарний рік або інший проміжок часу тривалістю 12 місяців, дата початку та закінчення якого </w:t>
            </w:r>
            <w:r w:rsidRPr="00286216">
              <w:rPr>
                <w:color w:val="000000" w:themeColor="text1"/>
              </w:rPr>
              <w:lastRenderedPageBreak/>
              <w:t>визначається за законодавством держави походження такого іноземного емітента (далі - фінансовий рік іноземного емітента).</w:t>
            </w:r>
          </w:p>
        </w:tc>
        <w:tc>
          <w:tcPr>
            <w:tcW w:w="3686" w:type="dxa"/>
          </w:tcPr>
          <w:p w14:paraId="1DEB6949" w14:textId="77777777" w:rsidR="004D649E" w:rsidRPr="00286216" w:rsidRDefault="004D649E" w:rsidP="004D649E">
            <w:pPr>
              <w:pStyle w:val="StyleProp"/>
              <w:rPr>
                <w:color w:val="000000" w:themeColor="text1"/>
                <w:szCs w:val="18"/>
              </w:rPr>
            </w:pPr>
          </w:p>
        </w:tc>
        <w:tc>
          <w:tcPr>
            <w:tcW w:w="1987" w:type="dxa"/>
          </w:tcPr>
          <w:p w14:paraId="6B32C7CB" w14:textId="77777777" w:rsidR="004D649E" w:rsidRPr="00286216" w:rsidRDefault="004D649E" w:rsidP="004D649E">
            <w:pPr>
              <w:pStyle w:val="StyleWisnow"/>
              <w:rPr>
                <w:color w:val="000000" w:themeColor="text1"/>
              </w:rPr>
            </w:pPr>
          </w:p>
        </w:tc>
        <w:tc>
          <w:tcPr>
            <w:tcW w:w="4818" w:type="dxa"/>
          </w:tcPr>
          <w:p w14:paraId="1627B261" w14:textId="01F23A34" w:rsidR="004D649E" w:rsidRPr="00286216" w:rsidRDefault="004D649E" w:rsidP="004D649E">
            <w:pPr>
              <w:pStyle w:val="StyleZakonu"/>
              <w:rPr>
                <w:color w:val="000000" w:themeColor="text1"/>
              </w:rPr>
            </w:pPr>
            <w:r w:rsidRPr="00286216">
              <w:rPr>
                <w:color w:val="000000" w:themeColor="text1"/>
              </w:rPr>
              <w:t xml:space="preserve">1. Звітним періодом для складання річної інформації про іноземного емітента є календарний рік або інший проміжок часу тривалістю 12 місяців, дата початку та дата закінчення якого визначаються </w:t>
            </w:r>
            <w:r w:rsidRPr="00286216">
              <w:rPr>
                <w:color w:val="000000" w:themeColor="text1"/>
              </w:rPr>
              <w:lastRenderedPageBreak/>
              <w:t>відповідно до законодавства держави походження такого іноземного емітента (далі - фінансовий рік іноземного емітента).</w:t>
            </w:r>
          </w:p>
        </w:tc>
      </w:tr>
      <w:tr w:rsidR="004D649E" w:rsidRPr="00286216" w14:paraId="64947856" w14:textId="77777777" w:rsidTr="00091AA5">
        <w:tc>
          <w:tcPr>
            <w:tcW w:w="576" w:type="dxa"/>
          </w:tcPr>
          <w:p w14:paraId="04A01D15" w14:textId="77777777" w:rsidR="004D649E" w:rsidRPr="00286216" w:rsidRDefault="004D649E" w:rsidP="004D649E">
            <w:pPr>
              <w:pStyle w:val="StyleWisnow"/>
              <w:rPr>
                <w:color w:val="000000" w:themeColor="text1"/>
              </w:rPr>
            </w:pPr>
            <w:bookmarkStart w:id="1970" w:name="n2204" w:colFirst="0" w:colLast="0"/>
            <w:bookmarkEnd w:id="1969"/>
            <w:r w:rsidRPr="00286216">
              <w:rPr>
                <w:color w:val="000000" w:themeColor="text1"/>
              </w:rPr>
              <w:lastRenderedPageBreak/>
              <w:t>2204.</w:t>
            </w:r>
          </w:p>
        </w:tc>
        <w:tc>
          <w:tcPr>
            <w:tcW w:w="4818" w:type="dxa"/>
          </w:tcPr>
          <w:p w14:paraId="0D885DC3" w14:textId="77777777" w:rsidR="004D649E" w:rsidRPr="00286216" w:rsidRDefault="004D649E" w:rsidP="004D649E">
            <w:pPr>
              <w:pStyle w:val="StyleZakonu"/>
              <w:rPr>
                <w:color w:val="000000" w:themeColor="text1"/>
              </w:rPr>
            </w:pPr>
            <w:r w:rsidRPr="00286216">
              <w:rPr>
                <w:color w:val="000000" w:themeColor="text1"/>
              </w:rPr>
              <w:t>2. Якщо фінансовий рік іноземного емітента є відмінним від календарного року, річна інформація про такого іноземного емітента підлягає оприлюдненню ним не пізніше завершення четвертого місяця наступного за звітним фінансового року іноземного емітента.</w:t>
            </w:r>
          </w:p>
        </w:tc>
        <w:tc>
          <w:tcPr>
            <w:tcW w:w="3686" w:type="dxa"/>
          </w:tcPr>
          <w:p w14:paraId="4381BEFB" w14:textId="77777777" w:rsidR="004D649E" w:rsidRPr="00286216" w:rsidRDefault="004D649E" w:rsidP="004D649E">
            <w:pPr>
              <w:pStyle w:val="StyleProp"/>
              <w:rPr>
                <w:color w:val="000000" w:themeColor="text1"/>
                <w:szCs w:val="18"/>
              </w:rPr>
            </w:pPr>
          </w:p>
        </w:tc>
        <w:tc>
          <w:tcPr>
            <w:tcW w:w="1987" w:type="dxa"/>
          </w:tcPr>
          <w:p w14:paraId="6388856A" w14:textId="77777777" w:rsidR="004D649E" w:rsidRPr="00286216" w:rsidRDefault="004D649E" w:rsidP="004D649E">
            <w:pPr>
              <w:pStyle w:val="StyleWisnow"/>
              <w:rPr>
                <w:color w:val="000000" w:themeColor="text1"/>
              </w:rPr>
            </w:pPr>
          </w:p>
        </w:tc>
        <w:tc>
          <w:tcPr>
            <w:tcW w:w="4818" w:type="dxa"/>
          </w:tcPr>
          <w:p w14:paraId="0773125F" w14:textId="1BFD91F3" w:rsidR="004D649E" w:rsidRPr="00286216" w:rsidRDefault="004D649E" w:rsidP="004D649E">
            <w:pPr>
              <w:pStyle w:val="StyleZakonu"/>
              <w:rPr>
                <w:color w:val="000000" w:themeColor="text1"/>
              </w:rPr>
            </w:pPr>
            <w:r w:rsidRPr="00286216">
              <w:rPr>
                <w:color w:val="000000" w:themeColor="text1"/>
              </w:rPr>
              <w:t>2. Якщо фінансовий рік іноземного емітента є відмінним від календарного року, річна інформація про такого іноземного емітента підлягає оприлюдненню ним не пізніше завершення четвертого місяця наступного за звітним фінансового року іноземного емітента.</w:t>
            </w:r>
          </w:p>
        </w:tc>
      </w:tr>
      <w:tr w:rsidR="004D649E" w:rsidRPr="00286216" w14:paraId="0A1BDE6E" w14:textId="77777777" w:rsidTr="00091AA5">
        <w:tc>
          <w:tcPr>
            <w:tcW w:w="576" w:type="dxa"/>
          </w:tcPr>
          <w:p w14:paraId="2ED9736E" w14:textId="77777777" w:rsidR="004D649E" w:rsidRPr="00286216" w:rsidRDefault="004D649E" w:rsidP="004D649E">
            <w:pPr>
              <w:pStyle w:val="StyleWisnow"/>
              <w:rPr>
                <w:color w:val="000000" w:themeColor="text1"/>
              </w:rPr>
            </w:pPr>
            <w:bookmarkStart w:id="1971" w:name="n2205" w:colFirst="0" w:colLast="0"/>
            <w:bookmarkEnd w:id="1970"/>
            <w:r w:rsidRPr="00286216">
              <w:rPr>
                <w:color w:val="000000" w:themeColor="text1"/>
              </w:rPr>
              <w:t>2205.</w:t>
            </w:r>
          </w:p>
        </w:tc>
        <w:tc>
          <w:tcPr>
            <w:tcW w:w="4818" w:type="dxa"/>
          </w:tcPr>
          <w:p w14:paraId="672E03EC" w14:textId="77777777" w:rsidR="004D649E" w:rsidRPr="00286216" w:rsidRDefault="004D649E" w:rsidP="004D649E">
            <w:pPr>
              <w:pStyle w:val="StyleZakonu"/>
              <w:rPr>
                <w:color w:val="000000" w:themeColor="text1"/>
              </w:rPr>
            </w:pPr>
            <w:r w:rsidRPr="00286216">
              <w:rPr>
                <w:color w:val="000000" w:themeColor="text1"/>
              </w:rPr>
              <w:t>3. Фінансова звітність іноземного емітента має бути складена відповідно до міжнародних стандартів фінансової звітності.</w:t>
            </w:r>
          </w:p>
        </w:tc>
        <w:tc>
          <w:tcPr>
            <w:tcW w:w="3686" w:type="dxa"/>
          </w:tcPr>
          <w:p w14:paraId="6B596114" w14:textId="77777777" w:rsidR="004D649E" w:rsidRPr="00286216" w:rsidRDefault="004D649E" w:rsidP="004D649E">
            <w:pPr>
              <w:pStyle w:val="StyleProp"/>
              <w:rPr>
                <w:color w:val="000000" w:themeColor="text1"/>
                <w:szCs w:val="18"/>
              </w:rPr>
            </w:pPr>
          </w:p>
        </w:tc>
        <w:tc>
          <w:tcPr>
            <w:tcW w:w="1987" w:type="dxa"/>
          </w:tcPr>
          <w:p w14:paraId="5EEE2F21" w14:textId="77777777" w:rsidR="004D649E" w:rsidRPr="00286216" w:rsidRDefault="004D649E" w:rsidP="004D649E">
            <w:pPr>
              <w:pStyle w:val="StyleWisnow"/>
              <w:rPr>
                <w:color w:val="000000" w:themeColor="text1"/>
              </w:rPr>
            </w:pPr>
          </w:p>
        </w:tc>
        <w:tc>
          <w:tcPr>
            <w:tcW w:w="4818" w:type="dxa"/>
          </w:tcPr>
          <w:p w14:paraId="7292F05C" w14:textId="2519ACC7" w:rsidR="004D649E" w:rsidRPr="00286216" w:rsidRDefault="004D649E" w:rsidP="004D649E">
            <w:pPr>
              <w:pStyle w:val="StyleZakonu"/>
              <w:rPr>
                <w:color w:val="000000" w:themeColor="text1"/>
              </w:rPr>
            </w:pPr>
            <w:r w:rsidRPr="00286216">
              <w:rPr>
                <w:color w:val="000000" w:themeColor="text1"/>
              </w:rPr>
              <w:t>3. Фінансова звітність іноземного емітента складається відповідно до міжнародних стандартів фінансової звітності.</w:t>
            </w:r>
          </w:p>
        </w:tc>
      </w:tr>
      <w:tr w:rsidR="004D649E" w:rsidRPr="00286216" w14:paraId="7B5D3A90" w14:textId="77777777" w:rsidTr="00091AA5">
        <w:tc>
          <w:tcPr>
            <w:tcW w:w="576" w:type="dxa"/>
          </w:tcPr>
          <w:p w14:paraId="6A30CFBD" w14:textId="77777777" w:rsidR="004D649E" w:rsidRPr="00286216" w:rsidRDefault="004D649E" w:rsidP="004D649E">
            <w:pPr>
              <w:pStyle w:val="StyleWisnow"/>
              <w:rPr>
                <w:color w:val="000000" w:themeColor="text1"/>
              </w:rPr>
            </w:pPr>
            <w:bookmarkStart w:id="1972" w:name="n2206" w:colFirst="0" w:colLast="0"/>
            <w:bookmarkEnd w:id="1971"/>
            <w:r w:rsidRPr="00286216">
              <w:rPr>
                <w:color w:val="000000" w:themeColor="text1"/>
              </w:rPr>
              <w:t>2206.</w:t>
            </w:r>
          </w:p>
        </w:tc>
        <w:tc>
          <w:tcPr>
            <w:tcW w:w="4818" w:type="dxa"/>
          </w:tcPr>
          <w:p w14:paraId="6D9E8530" w14:textId="77777777" w:rsidR="004D649E" w:rsidRPr="00286216" w:rsidRDefault="004D649E" w:rsidP="004D649E">
            <w:pPr>
              <w:pStyle w:val="StyleZakonu"/>
              <w:rPr>
                <w:color w:val="000000" w:themeColor="text1"/>
              </w:rPr>
            </w:pPr>
            <w:r w:rsidRPr="00286216">
              <w:rPr>
                <w:color w:val="000000" w:themeColor="text1"/>
              </w:rPr>
              <w:t>Іноземний емітент, акції якого допущені до торгів на регульованому фондовому ринку в Україні, зобов’язаний забезпечити додаткове розкриття інформації, передбаченої статтею 64</w:t>
            </w:r>
            <w:r w:rsidRPr="00286216">
              <w:rPr>
                <w:color w:val="000000" w:themeColor="text1"/>
                <w:vertAlign w:val="superscript"/>
              </w:rPr>
              <w:t>1</w:t>
            </w:r>
            <w:r w:rsidRPr="00286216">
              <w:rPr>
                <w:color w:val="000000" w:themeColor="text1"/>
              </w:rPr>
              <w:t xml:space="preserve"> Закону України "Про акціонерні товариства", а також інформації про скликання та проведення загальних зборів акціонерів в обсязі не меншому, за встановлений Законом України "Про акціонерні товариства" в порядку, встановленому Національною комісією з цінних паперів та фондового ринку.</w:t>
            </w:r>
          </w:p>
        </w:tc>
        <w:tc>
          <w:tcPr>
            <w:tcW w:w="3686" w:type="dxa"/>
          </w:tcPr>
          <w:p w14:paraId="7568621E" w14:textId="77777777" w:rsidR="004D649E" w:rsidRPr="00286216" w:rsidRDefault="004D649E" w:rsidP="004D649E">
            <w:pPr>
              <w:pStyle w:val="StyleProp"/>
              <w:rPr>
                <w:color w:val="000000" w:themeColor="text1"/>
                <w:szCs w:val="18"/>
              </w:rPr>
            </w:pPr>
          </w:p>
        </w:tc>
        <w:tc>
          <w:tcPr>
            <w:tcW w:w="1987" w:type="dxa"/>
          </w:tcPr>
          <w:p w14:paraId="40891774" w14:textId="77777777" w:rsidR="004D649E" w:rsidRPr="00286216" w:rsidRDefault="004D649E" w:rsidP="004D649E">
            <w:pPr>
              <w:pStyle w:val="StyleWisnow"/>
              <w:rPr>
                <w:color w:val="000000" w:themeColor="text1"/>
              </w:rPr>
            </w:pPr>
          </w:p>
        </w:tc>
        <w:tc>
          <w:tcPr>
            <w:tcW w:w="4818" w:type="dxa"/>
          </w:tcPr>
          <w:p w14:paraId="66558F09" w14:textId="33A1072D" w:rsidR="004D649E" w:rsidRPr="00286216" w:rsidRDefault="004D649E" w:rsidP="004D649E">
            <w:pPr>
              <w:pStyle w:val="StyleZakonu"/>
              <w:rPr>
                <w:color w:val="000000" w:themeColor="text1"/>
              </w:rPr>
            </w:pPr>
            <w:r w:rsidRPr="00286216">
              <w:rPr>
                <w:color w:val="000000" w:themeColor="text1"/>
              </w:rPr>
              <w:t>Іноземний емітент, акції якого допущені до торгів на регульованому фондовому ринку в Україні, зобов’язаний забезпечити додаткове розкриття інформації, передбаченої статтею 64</w:t>
            </w:r>
            <w:r w:rsidRPr="00286216">
              <w:rPr>
                <w:color w:val="000000" w:themeColor="text1"/>
                <w:vertAlign w:val="superscript"/>
              </w:rPr>
              <w:t>1</w:t>
            </w:r>
            <w:r w:rsidRPr="00286216">
              <w:rPr>
                <w:color w:val="000000" w:themeColor="text1"/>
              </w:rPr>
              <w:t xml:space="preserve"> Закону України "Про акціонерні товариства", а також інформації про скликання та проведення загальних зборів акціонерів в обсязі не меншому, ніж визначений Законом України "Про акціонерні товариства" в порядку, встановленому Національною комісією з цінних паперів та фондового ринку.</w:t>
            </w:r>
          </w:p>
        </w:tc>
      </w:tr>
      <w:tr w:rsidR="004D649E" w:rsidRPr="00286216" w14:paraId="4B304284" w14:textId="77777777" w:rsidTr="00091AA5">
        <w:tc>
          <w:tcPr>
            <w:tcW w:w="576" w:type="dxa"/>
          </w:tcPr>
          <w:p w14:paraId="429C8E8A" w14:textId="77777777" w:rsidR="004D649E" w:rsidRPr="00286216" w:rsidRDefault="004D649E" w:rsidP="004D649E">
            <w:pPr>
              <w:pStyle w:val="StyleWisnow"/>
              <w:rPr>
                <w:color w:val="000000" w:themeColor="text1"/>
              </w:rPr>
            </w:pPr>
            <w:bookmarkStart w:id="1973" w:name="n2207" w:colFirst="0" w:colLast="0"/>
            <w:bookmarkEnd w:id="1972"/>
            <w:r w:rsidRPr="00286216">
              <w:rPr>
                <w:color w:val="000000" w:themeColor="text1"/>
              </w:rPr>
              <w:t>2207.</w:t>
            </w:r>
          </w:p>
        </w:tc>
        <w:tc>
          <w:tcPr>
            <w:tcW w:w="4818" w:type="dxa"/>
          </w:tcPr>
          <w:p w14:paraId="0B151116" w14:textId="77777777" w:rsidR="004D649E" w:rsidRPr="00286216" w:rsidRDefault="004D649E" w:rsidP="004D649E">
            <w:pPr>
              <w:pStyle w:val="StyleZakonu"/>
              <w:rPr>
                <w:color w:val="000000" w:themeColor="text1"/>
              </w:rPr>
            </w:pPr>
            <w:r w:rsidRPr="00286216">
              <w:rPr>
                <w:color w:val="000000" w:themeColor="text1"/>
              </w:rPr>
              <w:t>Стаття 127. Розкриття інформації професійними учасниками ринків капіталу та організованих товарних ринків</w:t>
            </w:r>
          </w:p>
        </w:tc>
        <w:tc>
          <w:tcPr>
            <w:tcW w:w="3686" w:type="dxa"/>
          </w:tcPr>
          <w:p w14:paraId="423D4160" w14:textId="77777777" w:rsidR="004D649E" w:rsidRPr="00286216" w:rsidRDefault="004D649E" w:rsidP="004D649E">
            <w:pPr>
              <w:pStyle w:val="StyleProp"/>
              <w:rPr>
                <w:color w:val="000000" w:themeColor="text1"/>
                <w:szCs w:val="18"/>
              </w:rPr>
            </w:pPr>
          </w:p>
        </w:tc>
        <w:tc>
          <w:tcPr>
            <w:tcW w:w="1987" w:type="dxa"/>
          </w:tcPr>
          <w:p w14:paraId="4301C52F" w14:textId="77777777" w:rsidR="004D649E" w:rsidRPr="00286216" w:rsidRDefault="004D649E" w:rsidP="004D649E">
            <w:pPr>
              <w:pStyle w:val="StyleWisnow"/>
              <w:rPr>
                <w:color w:val="000000" w:themeColor="text1"/>
              </w:rPr>
            </w:pPr>
          </w:p>
        </w:tc>
        <w:tc>
          <w:tcPr>
            <w:tcW w:w="4818" w:type="dxa"/>
          </w:tcPr>
          <w:p w14:paraId="35F67697" w14:textId="7F27D0EC" w:rsidR="004D649E" w:rsidRPr="00286216" w:rsidRDefault="004D649E" w:rsidP="004D649E">
            <w:pPr>
              <w:pStyle w:val="StyleZakonu"/>
              <w:rPr>
                <w:color w:val="000000" w:themeColor="text1"/>
              </w:rPr>
            </w:pPr>
            <w:r w:rsidRPr="00286216">
              <w:rPr>
                <w:color w:val="000000" w:themeColor="text1"/>
              </w:rPr>
              <w:t>Стаття 131. Розкриття інформації професійними учасниками ринків капіталу та організованих товарних ринків</w:t>
            </w:r>
          </w:p>
        </w:tc>
      </w:tr>
      <w:tr w:rsidR="004D649E" w:rsidRPr="00286216" w14:paraId="174DDBFF" w14:textId="77777777" w:rsidTr="00091AA5">
        <w:tc>
          <w:tcPr>
            <w:tcW w:w="576" w:type="dxa"/>
          </w:tcPr>
          <w:p w14:paraId="15749C9F" w14:textId="77777777" w:rsidR="004D649E" w:rsidRPr="00286216" w:rsidRDefault="004D649E" w:rsidP="004D649E">
            <w:pPr>
              <w:pStyle w:val="StyleWisnow"/>
              <w:rPr>
                <w:color w:val="000000" w:themeColor="text1"/>
              </w:rPr>
            </w:pPr>
            <w:bookmarkStart w:id="1974" w:name="n2208" w:colFirst="0" w:colLast="0"/>
            <w:bookmarkEnd w:id="1973"/>
            <w:r w:rsidRPr="00286216">
              <w:rPr>
                <w:color w:val="000000" w:themeColor="text1"/>
              </w:rPr>
              <w:t>2208.</w:t>
            </w:r>
          </w:p>
        </w:tc>
        <w:tc>
          <w:tcPr>
            <w:tcW w:w="4818" w:type="dxa"/>
          </w:tcPr>
          <w:p w14:paraId="35A92AFF" w14:textId="77777777" w:rsidR="004D649E" w:rsidRPr="00286216" w:rsidRDefault="004D649E" w:rsidP="004D649E">
            <w:pPr>
              <w:pStyle w:val="StyleZakonu"/>
              <w:rPr>
                <w:color w:val="000000" w:themeColor="text1"/>
                <w:spacing w:val="-1"/>
              </w:rPr>
            </w:pPr>
            <w:r w:rsidRPr="00286216">
              <w:rPr>
                <w:color w:val="000000" w:themeColor="text1"/>
                <w:spacing w:val="-1"/>
              </w:rPr>
              <w:t>1. Професійні учасники ринків капіталу та організованих товарних ринків зобов’язані розкривати інформацію про себе та свою діяльність відповідно до вимог встановлених цим Законом, іншими законами та нормативно-правовим актами Національної комісії з цінних паперів та фондового ринку.</w:t>
            </w:r>
          </w:p>
        </w:tc>
        <w:tc>
          <w:tcPr>
            <w:tcW w:w="3686" w:type="dxa"/>
          </w:tcPr>
          <w:p w14:paraId="35E34B0F" w14:textId="21A1EA3E"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1060</w:t>
            </w:r>
            <w:r w:rsidRPr="00286216">
              <w:rPr>
                <w:color w:val="000000" w:themeColor="text1"/>
                <w:spacing w:val="-2"/>
              </w:rPr>
              <w:fldChar w:fldCharType="end"/>
            </w:r>
            <w:r w:rsidRPr="00286216">
              <w:rPr>
                <w:color w:val="000000" w:themeColor="text1"/>
                <w:spacing w:val="-2"/>
              </w:rPr>
              <w:t>-Н.д.Шахов С.В. (Реєстр.картка №114)</w:t>
            </w:r>
          </w:p>
          <w:p w14:paraId="6BC350CB" w14:textId="77777777" w:rsidR="004D649E" w:rsidRPr="00286216" w:rsidRDefault="004D649E" w:rsidP="004D649E">
            <w:pPr>
              <w:pStyle w:val="StyleProp"/>
              <w:spacing w:line="190" w:lineRule="exact"/>
              <w:rPr>
                <w:color w:val="000000" w:themeColor="text1"/>
              </w:rPr>
            </w:pPr>
            <w:r w:rsidRPr="00286216">
              <w:rPr>
                <w:color w:val="000000" w:themeColor="text1"/>
              </w:rPr>
              <w:t>В абз. 1 ч. 1 ст. 127 слова "</w:t>
            </w:r>
            <w:r w:rsidRPr="00286216">
              <w:rPr>
                <w:color w:val="000000" w:themeColor="text1"/>
                <w:spacing w:val="-1"/>
              </w:rPr>
              <w:t>Національної комісії з цінних паперів та фондового ринку" замінити словами "</w:t>
            </w:r>
            <w:r w:rsidRPr="00286216">
              <w:rPr>
                <w:color w:val="000000" w:themeColor="text1"/>
              </w:rPr>
              <w:t>регуляторів відповідних ринків, прийнятими у відповідності до закону".</w:t>
            </w:r>
          </w:p>
        </w:tc>
        <w:tc>
          <w:tcPr>
            <w:tcW w:w="1987" w:type="dxa"/>
          </w:tcPr>
          <w:p w14:paraId="3EFF6D7D"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6818240F" w14:textId="05FF0D5E" w:rsidR="004D649E" w:rsidRPr="00286216" w:rsidRDefault="004D649E" w:rsidP="004D649E">
            <w:pPr>
              <w:pStyle w:val="StyleWisnow"/>
              <w:spacing w:line="180" w:lineRule="exact"/>
              <w:rPr>
                <w:color w:val="000000" w:themeColor="text1"/>
              </w:rPr>
            </w:pPr>
            <w:r w:rsidRPr="00286216">
              <w:rPr>
                <w:color w:val="000000" w:themeColor="text1"/>
              </w:rPr>
              <w:t>НКЦПФР - регулятор</w:t>
            </w:r>
          </w:p>
        </w:tc>
        <w:tc>
          <w:tcPr>
            <w:tcW w:w="4818" w:type="dxa"/>
          </w:tcPr>
          <w:p w14:paraId="012C3084" w14:textId="1676A9F0" w:rsidR="004D649E" w:rsidRPr="00286216" w:rsidRDefault="004D649E" w:rsidP="004D649E">
            <w:pPr>
              <w:pStyle w:val="StyleZakonu"/>
              <w:rPr>
                <w:color w:val="000000" w:themeColor="text1"/>
                <w:spacing w:val="-1"/>
              </w:rPr>
            </w:pPr>
            <w:r w:rsidRPr="00286216">
              <w:rPr>
                <w:color w:val="000000" w:themeColor="text1"/>
                <w:spacing w:val="-1"/>
              </w:rPr>
              <w:t>1. Професійні учасники ринків капіталу та організованих товарних ринків зобов’язані розкривати інформацію про себе та свою діяльність відповідно до вимог, встановлених цим Законом, іншими законами та нормативно-правовим актами Національної комісії з цінних паперів та фондового ринку.</w:t>
            </w:r>
          </w:p>
        </w:tc>
      </w:tr>
      <w:tr w:rsidR="004D649E" w:rsidRPr="00286216" w14:paraId="2ECE865A" w14:textId="77777777" w:rsidTr="00091AA5">
        <w:tc>
          <w:tcPr>
            <w:tcW w:w="576" w:type="dxa"/>
          </w:tcPr>
          <w:p w14:paraId="20FD8747" w14:textId="77777777" w:rsidR="004D649E" w:rsidRPr="00286216" w:rsidRDefault="004D649E" w:rsidP="004D649E">
            <w:pPr>
              <w:pStyle w:val="StyleWisnow"/>
              <w:rPr>
                <w:color w:val="000000" w:themeColor="text1"/>
              </w:rPr>
            </w:pPr>
            <w:bookmarkStart w:id="1975" w:name="n2209" w:colFirst="0" w:colLast="0"/>
            <w:bookmarkEnd w:id="1974"/>
            <w:r w:rsidRPr="00286216">
              <w:rPr>
                <w:color w:val="000000" w:themeColor="text1"/>
              </w:rPr>
              <w:t>2209.</w:t>
            </w:r>
          </w:p>
        </w:tc>
        <w:tc>
          <w:tcPr>
            <w:tcW w:w="4818" w:type="dxa"/>
          </w:tcPr>
          <w:p w14:paraId="393B7244" w14:textId="77777777" w:rsidR="004D649E" w:rsidRPr="00286216" w:rsidRDefault="004D649E" w:rsidP="004D649E">
            <w:pPr>
              <w:pStyle w:val="StyleZakonu"/>
              <w:rPr>
                <w:color w:val="000000" w:themeColor="text1"/>
              </w:rPr>
            </w:pPr>
            <w:r w:rsidRPr="00286216">
              <w:rPr>
                <w:color w:val="000000" w:themeColor="text1"/>
              </w:rPr>
              <w:t>Розкриття інформації здійснюється професійними учасниками ринків капіталу та організованих товарних ринків в порядку, встановленому Національною комісією з цінних паперів та фондового ринку, шляхом:</w:t>
            </w:r>
          </w:p>
        </w:tc>
        <w:tc>
          <w:tcPr>
            <w:tcW w:w="3686" w:type="dxa"/>
          </w:tcPr>
          <w:p w14:paraId="389B7721" w14:textId="3EE882EE"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1061</w:t>
            </w:r>
            <w:r w:rsidRPr="00286216">
              <w:rPr>
                <w:color w:val="000000" w:themeColor="text1"/>
                <w:spacing w:val="-2"/>
              </w:rPr>
              <w:fldChar w:fldCharType="end"/>
            </w:r>
            <w:r w:rsidRPr="00286216">
              <w:rPr>
                <w:color w:val="000000" w:themeColor="text1"/>
                <w:spacing w:val="-2"/>
              </w:rPr>
              <w:t>-Н.д.Шахов С.В. (Реєстр.картка №114)</w:t>
            </w:r>
          </w:p>
          <w:p w14:paraId="3F35F5AB" w14:textId="77777777" w:rsidR="004D649E" w:rsidRPr="00286216" w:rsidRDefault="004D649E" w:rsidP="004D649E">
            <w:pPr>
              <w:pStyle w:val="StyleProp"/>
              <w:spacing w:line="190" w:lineRule="exact"/>
              <w:rPr>
                <w:color w:val="000000" w:themeColor="text1"/>
              </w:rPr>
            </w:pPr>
            <w:r w:rsidRPr="00286216">
              <w:rPr>
                <w:color w:val="000000" w:themeColor="text1"/>
              </w:rPr>
              <w:t>В абз. 2 ч.1 ст. 127 слова "регуляторів відповідних ринків, прийнятими у відповідності до закону"</w:t>
            </w:r>
            <w:r w:rsidRPr="00286216">
              <w:rPr>
                <w:color w:val="000000" w:themeColor="text1"/>
                <w:spacing w:val="-1"/>
              </w:rPr>
              <w:t xml:space="preserve"> замінити словами "</w:t>
            </w:r>
            <w:r w:rsidRPr="00286216">
              <w:rPr>
                <w:color w:val="000000" w:themeColor="text1"/>
              </w:rPr>
              <w:t>регулятором відповідного ринку".</w:t>
            </w:r>
          </w:p>
        </w:tc>
        <w:tc>
          <w:tcPr>
            <w:tcW w:w="1987" w:type="dxa"/>
          </w:tcPr>
          <w:p w14:paraId="141E824E"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7179B45D" w14:textId="24B078A9" w:rsidR="004D649E" w:rsidRPr="00286216" w:rsidRDefault="004D649E" w:rsidP="004D649E">
            <w:pPr>
              <w:pStyle w:val="StyleWisnow"/>
              <w:spacing w:line="180" w:lineRule="exact"/>
              <w:rPr>
                <w:color w:val="000000" w:themeColor="text1"/>
              </w:rPr>
            </w:pPr>
            <w:r w:rsidRPr="00286216">
              <w:rPr>
                <w:color w:val="000000" w:themeColor="text1"/>
              </w:rPr>
              <w:t>НКЦПФР - регулятор</w:t>
            </w:r>
          </w:p>
        </w:tc>
        <w:tc>
          <w:tcPr>
            <w:tcW w:w="4818" w:type="dxa"/>
          </w:tcPr>
          <w:p w14:paraId="65093F4E" w14:textId="0AA956CE" w:rsidR="004D649E" w:rsidRPr="00286216" w:rsidRDefault="004D649E" w:rsidP="004D649E">
            <w:pPr>
              <w:pStyle w:val="StyleZakonu"/>
              <w:rPr>
                <w:color w:val="000000" w:themeColor="text1"/>
              </w:rPr>
            </w:pPr>
            <w:r w:rsidRPr="00286216">
              <w:rPr>
                <w:color w:val="000000" w:themeColor="text1"/>
              </w:rPr>
              <w:t>Розкриття інформації здійснюється професійними учасниками ринків капіталу та організованих товарних ринків у порядку, встановленому Національною комісією з цінних паперів та фондового ринку, шляхом:</w:t>
            </w:r>
          </w:p>
        </w:tc>
      </w:tr>
      <w:tr w:rsidR="004D649E" w:rsidRPr="00286216" w14:paraId="6EE011BD" w14:textId="77777777" w:rsidTr="00091AA5">
        <w:tc>
          <w:tcPr>
            <w:tcW w:w="576" w:type="dxa"/>
          </w:tcPr>
          <w:p w14:paraId="4404FD91" w14:textId="77777777" w:rsidR="004D649E" w:rsidRPr="00286216" w:rsidRDefault="004D649E" w:rsidP="004D649E">
            <w:pPr>
              <w:pStyle w:val="StyleWisnow"/>
              <w:rPr>
                <w:color w:val="000000" w:themeColor="text1"/>
              </w:rPr>
            </w:pPr>
            <w:bookmarkStart w:id="1976" w:name="n2210" w:colFirst="0" w:colLast="0"/>
            <w:bookmarkEnd w:id="1975"/>
            <w:r w:rsidRPr="00286216">
              <w:rPr>
                <w:color w:val="000000" w:themeColor="text1"/>
              </w:rPr>
              <w:t>2210.</w:t>
            </w:r>
          </w:p>
        </w:tc>
        <w:tc>
          <w:tcPr>
            <w:tcW w:w="4818" w:type="dxa"/>
          </w:tcPr>
          <w:p w14:paraId="0E807979" w14:textId="77777777" w:rsidR="004D649E" w:rsidRPr="00286216" w:rsidRDefault="004D649E" w:rsidP="004D649E">
            <w:pPr>
              <w:pStyle w:val="StyleZakonu"/>
              <w:rPr>
                <w:color w:val="000000" w:themeColor="text1"/>
              </w:rPr>
            </w:pPr>
            <w:r w:rsidRPr="00286216">
              <w:rPr>
                <w:color w:val="000000" w:themeColor="text1"/>
              </w:rPr>
              <w:t>1) розміщення її на власному веб-сайті професійного учасника ринків капіталу та організованих товарних ринків;</w:t>
            </w:r>
          </w:p>
        </w:tc>
        <w:tc>
          <w:tcPr>
            <w:tcW w:w="3686" w:type="dxa"/>
          </w:tcPr>
          <w:p w14:paraId="71C0C99B" w14:textId="385CF2B7"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1062</w:t>
            </w:r>
            <w:r w:rsidRPr="00286216">
              <w:rPr>
                <w:color w:val="000000" w:themeColor="text1"/>
                <w:spacing w:val="-2"/>
              </w:rPr>
              <w:fldChar w:fldCharType="end"/>
            </w:r>
            <w:r w:rsidRPr="00286216">
              <w:rPr>
                <w:color w:val="000000" w:themeColor="text1"/>
                <w:spacing w:val="-2"/>
              </w:rPr>
              <w:t>-Н.д.Шахов С.В. (Реєстр.картка №114)</w:t>
            </w:r>
          </w:p>
          <w:p w14:paraId="0C03376C" w14:textId="77777777" w:rsidR="004D649E" w:rsidRPr="00286216" w:rsidRDefault="004D649E" w:rsidP="004D649E">
            <w:pPr>
              <w:pStyle w:val="StyleProp"/>
              <w:spacing w:line="190" w:lineRule="exact"/>
              <w:rPr>
                <w:color w:val="000000" w:themeColor="text1"/>
                <w:spacing w:val="-2"/>
              </w:rPr>
            </w:pPr>
            <w:r w:rsidRPr="00286216">
              <w:rPr>
                <w:color w:val="000000" w:themeColor="text1"/>
                <w:spacing w:val="-2"/>
              </w:rPr>
              <w:t>У п. 1 ч. 1 ст. 127 слово "власному" замінити словами "своєму офіційному".</w:t>
            </w:r>
          </w:p>
        </w:tc>
        <w:tc>
          <w:tcPr>
            <w:tcW w:w="1987" w:type="dxa"/>
          </w:tcPr>
          <w:p w14:paraId="7271E44D"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16505569" w14:textId="3FA6390A" w:rsidR="004D649E" w:rsidRPr="00286216" w:rsidRDefault="004D649E" w:rsidP="004D649E">
            <w:pPr>
              <w:pStyle w:val="StyleWisnow"/>
              <w:spacing w:line="180" w:lineRule="exact"/>
              <w:rPr>
                <w:color w:val="000000" w:themeColor="text1"/>
              </w:rPr>
            </w:pPr>
            <w:r w:rsidRPr="00286216">
              <w:rPr>
                <w:color w:val="000000" w:themeColor="text1"/>
              </w:rPr>
              <w:t>Офіціний сайт – державних органів</w:t>
            </w:r>
          </w:p>
        </w:tc>
        <w:tc>
          <w:tcPr>
            <w:tcW w:w="4818" w:type="dxa"/>
          </w:tcPr>
          <w:p w14:paraId="22E9654D" w14:textId="7D08D5E1" w:rsidR="004D649E" w:rsidRPr="00286216" w:rsidRDefault="004D649E" w:rsidP="004D649E">
            <w:pPr>
              <w:pStyle w:val="StyleZakonu"/>
              <w:rPr>
                <w:color w:val="000000" w:themeColor="text1"/>
              </w:rPr>
            </w:pPr>
            <w:r w:rsidRPr="00286216">
              <w:rPr>
                <w:color w:val="000000" w:themeColor="text1"/>
              </w:rPr>
              <w:t>1) розміщення її на своєму веб-сайті професійного учасника ринків капіталу та організованих товарних ринків;</w:t>
            </w:r>
          </w:p>
        </w:tc>
      </w:tr>
      <w:tr w:rsidR="004D649E" w:rsidRPr="00286216" w14:paraId="57028EF8" w14:textId="77777777" w:rsidTr="00091AA5">
        <w:tc>
          <w:tcPr>
            <w:tcW w:w="576" w:type="dxa"/>
          </w:tcPr>
          <w:p w14:paraId="2515668A" w14:textId="77777777" w:rsidR="004D649E" w:rsidRPr="00286216" w:rsidRDefault="004D649E" w:rsidP="004D649E">
            <w:pPr>
              <w:pStyle w:val="StyleWisnow"/>
              <w:rPr>
                <w:color w:val="000000" w:themeColor="text1"/>
              </w:rPr>
            </w:pPr>
            <w:bookmarkStart w:id="1977" w:name="n2211" w:colFirst="0" w:colLast="0"/>
            <w:bookmarkEnd w:id="1976"/>
            <w:r w:rsidRPr="00286216">
              <w:rPr>
                <w:color w:val="000000" w:themeColor="text1"/>
              </w:rPr>
              <w:t>2211.</w:t>
            </w:r>
          </w:p>
        </w:tc>
        <w:tc>
          <w:tcPr>
            <w:tcW w:w="4818" w:type="dxa"/>
          </w:tcPr>
          <w:p w14:paraId="410B7EBF" w14:textId="77777777" w:rsidR="004D649E" w:rsidRPr="00286216" w:rsidRDefault="004D649E" w:rsidP="004D649E">
            <w:pPr>
              <w:pStyle w:val="StyleZakonu"/>
              <w:rPr>
                <w:color w:val="000000" w:themeColor="text1"/>
                <w:spacing w:val="-2"/>
              </w:rPr>
            </w:pPr>
            <w:r w:rsidRPr="00286216">
              <w:rPr>
                <w:color w:val="000000" w:themeColor="text1"/>
                <w:spacing w:val="-2"/>
              </w:rPr>
              <w:t xml:space="preserve">2) розміщення її в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w:t>
            </w:r>
            <w:r w:rsidRPr="00286216">
              <w:rPr>
                <w:color w:val="000000" w:themeColor="text1"/>
                <w:spacing w:val="-2"/>
              </w:rPr>
              <w:lastRenderedPageBreak/>
              <w:t>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710A2B38" w14:textId="61BF8014" w:rsidR="004D649E" w:rsidRPr="00286216" w:rsidRDefault="004D649E" w:rsidP="004D649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1063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E28E846" w14:textId="77777777" w:rsidR="004D649E" w:rsidRPr="00286216" w:rsidRDefault="004D649E" w:rsidP="004D649E">
            <w:pPr>
              <w:pStyle w:val="StyleProp"/>
              <w:spacing w:line="190" w:lineRule="exact"/>
              <w:rPr>
                <w:color w:val="000000" w:themeColor="text1"/>
                <w:szCs w:val="18"/>
              </w:rPr>
            </w:pPr>
            <w:r w:rsidRPr="00286216">
              <w:rPr>
                <w:color w:val="000000" w:themeColor="text1"/>
                <w:szCs w:val="18"/>
              </w:rPr>
              <w:t xml:space="preserve">У пункті 2 частини першої статті 127 слова «та/або професійних учасників ринків капіталу та організованих товарних ринків» замінити словами «та професійних учасників </w:t>
            </w:r>
            <w:r w:rsidRPr="00286216">
              <w:rPr>
                <w:color w:val="000000" w:themeColor="text1"/>
                <w:szCs w:val="18"/>
              </w:rPr>
              <w:lastRenderedPageBreak/>
              <w:t>організованих товарних ринків».</w:t>
            </w:r>
          </w:p>
          <w:p w14:paraId="56596907" w14:textId="6DF7CF0B"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1064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1E80D92" w14:textId="77777777" w:rsidR="004D649E" w:rsidRPr="00286216" w:rsidRDefault="004D649E" w:rsidP="004D649E">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p w14:paraId="1EE076B2" w14:textId="55DFE8C2" w:rsidR="004D649E" w:rsidRPr="00286216" w:rsidRDefault="004D649E" w:rsidP="004D649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1065</w:t>
            </w:r>
            <w:r w:rsidRPr="00286216">
              <w:rPr>
                <w:color w:val="000000" w:themeColor="text1"/>
                <w:spacing w:val="-4"/>
              </w:rPr>
              <w:fldChar w:fldCharType="end"/>
            </w:r>
            <w:r w:rsidRPr="00286216">
              <w:rPr>
                <w:color w:val="000000" w:themeColor="text1"/>
                <w:spacing w:val="-4"/>
              </w:rPr>
              <w:t>-Н.д.Шахов С.В. (Реєстр.картка №114)</w:t>
            </w:r>
          </w:p>
          <w:p w14:paraId="24364CE7" w14:textId="77777777" w:rsidR="004D649E" w:rsidRPr="00286216" w:rsidRDefault="004D649E" w:rsidP="004D649E">
            <w:pPr>
              <w:pStyle w:val="StyleProp"/>
              <w:spacing w:line="190" w:lineRule="exact"/>
              <w:rPr>
                <w:color w:val="000000" w:themeColor="text1"/>
                <w:spacing w:val="-2"/>
              </w:rPr>
            </w:pPr>
            <w:r w:rsidRPr="00286216">
              <w:rPr>
                <w:color w:val="000000" w:themeColor="text1"/>
                <w:spacing w:val="-2"/>
              </w:rPr>
              <w:t>П.2 ч.1 ст.127 викласти у такій редакції:</w:t>
            </w:r>
          </w:p>
          <w:p w14:paraId="52310346" w14:textId="77777777" w:rsidR="004D649E" w:rsidRPr="00286216" w:rsidRDefault="004D649E" w:rsidP="004D649E">
            <w:pPr>
              <w:pStyle w:val="StyleProp"/>
              <w:spacing w:line="180" w:lineRule="exact"/>
              <w:rPr>
                <w:color w:val="000000" w:themeColor="text1"/>
                <w:szCs w:val="18"/>
              </w:rPr>
            </w:pPr>
            <w:r w:rsidRPr="00286216">
              <w:rPr>
                <w:color w:val="000000" w:themeColor="text1"/>
                <w:szCs w:val="18"/>
              </w:rPr>
              <w:t>"2) розміщення її у базі даних регулятора відповідного ринку або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1987" w:type="dxa"/>
          </w:tcPr>
          <w:p w14:paraId="3D57679A" w14:textId="77777777" w:rsidR="004D649E" w:rsidRPr="00286216" w:rsidRDefault="004D649E" w:rsidP="004D649E">
            <w:pPr>
              <w:pStyle w:val="StyleWisnow"/>
              <w:rPr>
                <w:color w:val="000000" w:themeColor="text1"/>
              </w:rPr>
            </w:pPr>
            <w:r w:rsidRPr="00286216">
              <w:rPr>
                <w:color w:val="000000" w:themeColor="text1"/>
              </w:rPr>
              <w:lastRenderedPageBreak/>
              <w:t>Враховано по суті</w:t>
            </w:r>
          </w:p>
          <w:p w14:paraId="5D2E4A3F" w14:textId="77777777" w:rsidR="004D649E" w:rsidRPr="00286216" w:rsidRDefault="004D649E" w:rsidP="004D649E">
            <w:pPr>
              <w:pStyle w:val="StyleWisnow"/>
              <w:rPr>
                <w:color w:val="000000" w:themeColor="text1"/>
              </w:rPr>
            </w:pPr>
          </w:p>
          <w:p w14:paraId="53E341C8" w14:textId="77777777" w:rsidR="004D649E" w:rsidRPr="00286216" w:rsidRDefault="004D649E" w:rsidP="004D649E">
            <w:pPr>
              <w:pStyle w:val="StyleWisnow"/>
              <w:rPr>
                <w:color w:val="000000" w:themeColor="text1"/>
              </w:rPr>
            </w:pPr>
          </w:p>
          <w:p w14:paraId="505F68E7" w14:textId="77777777" w:rsidR="004D649E" w:rsidRPr="00286216" w:rsidRDefault="004D649E" w:rsidP="004D649E">
            <w:pPr>
              <w:pStyle w:val="StyleWisnow"/>
              <w:rPr>
                <w:color w:val="000000" w:themeColor="text1"/>
              </w:rPr>
            </w:pPr>
          </w:p>
          <w:p w14:paraId="77483830" w14:textId="77777777" w:rsidR="004D649E" w:rsidRPr="00286216" w:rsidRDefault="004D649E" w:rsidP="004D649E">
            <w:pPr>
              <w:pStyle w:val="StyleWisnow"/>
              <w:rPr>
                <w:color w:val="000000" w:themeColor="text1"/>
              </w:rPr>
            </w:pPr>
          </w:p>
          <w:p w14:paraId="28A07436" w14:textId="77777777" w:rsidR="004D649E" w:rsidRPr="00286216" w:rsidRDefault="004D649E" w:rsidP="004D649E">
            <w:pPr>
              <w:pStyle w:val="StyleWisnow"/>
              <w:rPr>
                <w:color w:val="000000" w:themeColor="text1"/>
              </w:rPr>
            </w:pPr>
          </w:p>
          <w:p w14:paraId="743345C7" w14:textId="77777777" w:rsidR="004D649E" w:rsidRPr="00286216" w:rsidRDefault="004D649E" w:rsidP="004D649E">
            <w:pPr>
              <w:pStyle w:val="StyleWisnow"/>
              <w:rPr>
                <w:color w:val="000000" w:themeColor="text1"/>
              </w:rPr>
            </w:pPr>
            <w:r w:rsidRPr="00286216">
              <w:rPr>
                <w:color w:val="000000" w:themeColor="text1"/>
              </w:rPr>
              <w:t>Враховано</w:t>
            </w:r>
          </w:p>
          <w:p w14:paraId="6E08DBB3" w14:textId="77777777" w:rsidR="004D649E" w:rsidRPr="00286216" w:rsidRDefault="004D649E" w:rsidP="004D649E">
            <w:pPr>
              <w:pStyle w:val="StyleWisnow"/>
              <w:rPr>
                <w:color w:val="000000" w:themeColor="text1"/>
              </w:rPr>
            </w:pPr>
          </w:p>
          <w:p w14:paraId="64E15E55" w14:textId="77777777" w:rsidR="004D649E" w:rsidRPr="00286216" w:rsidRDefault="004D649E" w:rsidP="004D649E">
            <w:pPr>
              <w:pStyle w:val="StyleWisnow"/>
              <w:rPr>
                <w:color w:val="000000" w:themeColor="text1"/>
              </w:rPr>
            </w:pPr>
          </w:p>
          <w:p w14:paraId="34ECC9E8" w14:textId="77777777" w:rsidR="004D649E" w:rsidRPr="00286216" w:rsidRDefault="004D649E" w:rsidP="004D649E">
            <w:pPr>
              <w:pStyle w:val="StyleWisnow"/>
              <w:rPr>
                <w:color w:val="000000" w:themeColor="text1"/>
              </w:rPr>
            </w:pPr>
          </w:p>
          <w:p w14:paraId="7B0A99C0" w14:textId="77777777" w:rsidR="004D649E" w:rsidRPr="00286216" w:rsidRDefault="004D649E" w:rsidP="004D649E">
            <w:pPr>
              <w:pStyle w:val="StyleWisnow"/>
              <w:rPr>
                <w:color w:val="000000" w:themeColor="text1"/>
              </w:rPr>
            </w:pPr>
          </w:p>
          <w:p w14:paraId="60B95E19" w14:textId="77777777" w:rsidR="004D649E" w:rsidRPr="00286216" w:rsidRDefault="004D649E" w:rsidP="004D649E">
            <w:pPr>
              <w:pStyle w:val="StyleWisnow"/>
              <w:rPr>
                <w:color w:val="000000" w:themeColor="text1"/>
              </w:rPr>
            </w:pPr>
          </w:p>
          <w:p w14:paraId="425BCEF5" w14:textId="77777777" w:rsidR="004D649E" w:rsidRPr="00286216" w:rsidRDefault="004D649E" w:rsidP="004D649E">
            <w:pPr>
              <w:pStyle w:val="StyleWisnow"/>
              <w:rPr>
                <w:color w:val="000000" w:themeColor="text1"/>
              </w:rPr>
            </w:pPr>
          </w:p>
          <w:p w14:paraId="571F59BB" w14:textId="77777777" w:rsidR="004D649E" w:rsidRPr="00286216" w:rsidRDefault="004D649E" w:rsidP="004D649E">
            <w:pPr>
              <w:pStyle w:val="StyleWisnow"/>
              <w:rPr>
                <w:color w:val="000000" w:themeColor="text1"/>
              </w:rPr>
            </w:pPr>
          </w:p>
          <w:p w14:paraId="68C234C5" w14:textId="77777777" w:rsidR="004D649E" w:rsidRPr="00286216" w:rsidRDefault="004D649E" w:rsidP="004D649E">
            <w:pPr>
              <w:pStyle w:val="StyleWisnow"/>
              <w:rPr>
                <w:color w:val="000000" w:themeColor="text1"/>
              </w:rPr>
            </w:pPr>
          </w:p>
          <w:p w14:paraId="7D6F6199" w14:textId="77777777" w:rsidR="004D649E" w:rsidRPr="00286216" w:rsidRDefault="004D649E" w:rsidP="004D649E">
            <w:pPr>
              <w:pStyle w:val="StyleWisnow"/>
              <w:rPr>
                <w:color w:val="000000" w:themeColor="text1"/>
              </w:rPr>
            </w:pPr>
          </w:p>
          <w:p w14:paraId="35002A56" w14:textId="77777777" w:rsidR="004D649E" w:rsidRPr="00286216" w:rsidRDefault="004D649E" w:rsidP="004D649E">
            <w:pPr>
              <w:pStyle w:val="StyleWisnow"/>
              <w:rPr>
                <w:color w:val="000000" w:themeColor="text1"/>
              </w:rPr>
            </w:pPr>
          </w:p>
          <w:p w14:paraId="6264F38A" w14:textId="77777777" w:rsidR="004D649E" w:rsidRPr="00286216" w:rsidRDefault="004D649E" w:rsidP="004D649E">
            <w:pPr>
              <w:pStyle w:val="StyleWisnow"/>
              <w:rPr>
                <w:color w:val="000000" w:themeColor="text1"/>
              </w:rPr>
            </w:pPr>
          </w:p>
          <w:p w14:paraId="55DFEE37" w14:textId="77777777" w:rsidR="004D649E" w:rsidRPr="00286216" w:rsidRDefault="004D649E" w:rsidP="004D649E">
            <w:pPr>
              <w:pStyle w:val="StyleWisnow"/>
              <w:rPr>
                <w:color w:val="000000" w:themeColor="text1"/>
              </w:rPr>
            </w:pPr>
          </w:p>
          <w:p w14:paraId="0AC2A234" w14:textId="77777777" w:rsidR="004D649E" w:rsidRPr="00286216" w:rsidRDefault="004D649E" w:rsidP="004D649E">
            <w:pPr>
              <w:pStyle w:val="StyleWisnow"/>
              <w:rPr>
                <w:color w:val="000000" w:themeColor="text1"/>
              </w:rPr>
            </w:pPr>
          </w:p>
          <w:p w14:paraId="7FC87303" w14:textId="77777777" w:rsidR="004D649E" w:rsidRPr="00286216" w:rsidRDefault="004D649E" w:rsidP="004D649E">
            <w:pPr>
              <w:pStyle w:val="StyleWisnow"/>
              <w:rPr>
                <w:color w:val="000000" w:themeColor="text1"/>
              </w:rPr>
            </w:pPr>
          </w:p>
          <w:p w14:paraId="47F147DB" w14:textId="77777777" w:rsidR="004D649E" w:rsidRPr="00286216" w:rsidRDefault="004D649E" w:rsidP="004D649E">
            <w:pPr>
              <w:pStyle w:val="StyleWisnow"/>
              <w:rPr>
                <w:color w:val="000000" w:themeColor="text1"/>
              </w:rPr>
            </w:pPr>
            <w:r w:rsidRPr="00286216">
              <w:rPr>
                <w:color w:val="000000" w:themeColor="text1"/>
              </w:rPr>
              <w:t>Враховано частково</w:t>
            </w:r>
          </w:p>
        </w:tc>
        <w:tc>
          <w:tcPr>
            <w:tcW w:w="4818" w:type="dxa"/>
          </w:tcPr>
          <w:p w14:paraId="0E5E6983" w14:textId="07C2B905" w:rsidR="004D649E" w:rsidRPr="00286216" w:rsidRDefault="004D649E" w:rsidP="004D649E">
            <w:pPr>
              <w:pStyle w:val="StyleZakonu"/>
              <w:rPr>
                <w:color w:val="000000" w:themeColor="text1"/>
                <w:spacing w:val="-2"/>
              </w:rPr>
            </w:pPr>
            <w:r w:rsidRPr="00286216">
              <w:rPr>
                <w:color w:val="000000" w:themeColor="text1"/>
                <w:spacing w:val="-2"/>
              </w:rPr>
              <w:lastRenderedPageBreak/>
              <w:t xml:space="preserve">2) розміщення її в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spacing w:val="-2"/>
              </w:rPr>
              <w:t>;</w:t>
            </w:r>
          </w:p>
        </w:tc>
      </w:tr>
      <w:tr w:rsidR="004D649E" w:rsidRPr="00286216" w14:paraId="505DB2DB" w14:textId="77777777" w:rsidTr="00091AA5">
        <w:tc>
          <w:tcPr>
            <w:tcW w:w="576" w:type="dxa"/>
          </w:tcPr>
          <w:p w14:paraId="1833ABC5" w14:textId="77777777" w:rsidR="004D649E" w:rsidRPr="00286216" w:rsidRDefault="004D649E" w:rsidP="004D649E">
            <w:pPr>
              <w:pStyle w:val="StyleWisnow"/>
              <w:rPr>
                <w:color w:val="000000" w:themeColor="text1"/>
              </w:rPr>
            </w:pPr>
            <w:bookmarkStart w:id="1978" w:name="n2212" w:colFirst="0" w:colLast="0"/>
            <w:bookmarkEnd w:id="1977"/>
            <w:r w:rsidRPr="00286216">
              <w:rPr>
                <w:color w:val="000000" w:themeColor="text1"/>
              </w:rPr>
              <w:t>2212.</w:t>
            </w:r>
          </w:p>
        </w:tc>
        <w:tc>
          <w:tcPr>
            <w:tcW w:w="4818" w:type="dxa"/>
          </w:tcPr>
          <w:p w14:paraId="115158B8" w14:textId="77777777" w:rsidR="004D649E" w:rsidRPr="00286216" w:rsidRDefault="004D649E" w:rsidP="004D649E">
            <w:pPr>
              <w:pStyle w:val="StyleZakonu"/>
              <w:rPr>
                <w:color w:val="000000" w:themeColor="text1"/>
              </w:rPr>
            </w:pPr>
            <w:r w:rsidRPr="00286216">
              <w:rPr>
                <w:color w:val="000000" w:themeColor="text1"/>
              </w:rPr>
              <w:t>3) подання її до Національної комісії з цінних паперів та фондового ринку.</w:t>
            </w:r>
          </w:p>
        </w:tc>
        <w:tc>
          <w:tcPr>
            <w:tcW w:w="3686" w:type="dxa"/>
          </w:tcPr>
          <w:p w14:paraId="78C54E80" w14:textId="093F4D43"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1066</w:t>
            </w:r>
            <w:r w:rsidRPr="00286216">
              <w:rPr>
                <w:color w:val="000000" w:themeColor="text1"/>
                <w:spacing w:val="-2"/>
              </w:rPr>
              <w:fldChar w:fldCharType="end"/>
            </w:r>
            <w:r w:rsidRPr="00286216">
              <w:rPr>
                <w:color w:val="000000" w:themeColor="text1"/>
                <w:spacing w:val="-2"/>
              </w:rPr>
              <w:t>-Н.д.Шахов С.В. (Реєстр.картка №114)</w:t>
            </w:r>
          </w:p>
          <w:p w14:paraId="44618587"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 xml:space="preserve">У п.3 ч.1 ст.127 слова "Національної комісії </w:t>
            </w:r>
            <w:r w:rsidRPr="00286216">
              <w:rPr>
                <w:color w:val="000000" w:themeColor="text1"/>
                <w:spacing w:val="-4"/>
              </w:rPr>
              <w:t>з цінних паперів та фондового ринку" замінити</w:t>
            </w:r>
            <w:r w:rsidRPr="00286216">
              <w:rPr>
                <w:color w:val="000000" w:themeColor="text1"/>
                <w:spacing w:val="-2"/>
              </w:rPr>
              <w:t xml:space="preserve"> словами "регулятором відповідного ринку".</w:t>
            </w:r>
          </w:p>
        </w:tc>
        <w:tc>
          <w:tcPr>
            <w:tcW w:w="1987" w:type="dxa"/>
          </w:tcPr>
          <w:p w14:paraId="6C4C5DCA"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48B6EEBE" w14:textId="416A243E" w:rsidR="004D649E" w:rsidRPr="00286216" w:rsidRDefault="004D649E" w:rsidP="004D649E">
            <w:pPr>
              <w:pStyle w:val="StyleWisnow"/>
              <w:spacing w:line="180" w:lineRule="exact"/>
              <w:rPr>
                <w:color w:val="000000" w:themeColor="text1"/>
              </w:rPr>
            </w:pPr>
            <w:r w:rsidRPr="00286216">
              <w:rPr>
                <w:color w:val="000000" w:themeColor="text1"/>
              </w:rPr>
              <w:t>НКЦПФР - регулятор</w:t>
            </w:r>
          </w:p>
        </w:tc>
        <w:tc>
          <w:tcPr>
            <w:tcW w:w="4818" w:type="dxa"/>
          </w:tcPr>
          <w:p w14:paraId="2CF1B947" w14:textId="51FA9A98" w:rsidR="004D649E" w:rsidRPr="00286216" w:rsidRDefault="004D649E" w:rsidP="004D649E">
            <w:pPr>
              <w:pStyle w:val="StyleZakonu"/>
              <w:rPr>
                <w:color w:val="000000" w:themeColor="text1"/>
              </w:rPr>
            </w:pPr>
            <w:r w:rsidRPr="00286216">
              <w:rPr>
                <w:color w:val="000000" w:themeColor="text1"/>
              </w:rPr>
              <w:t>3) подання її до Національної комісії з цінних паперів та фондового ринку.</w:t>
            </w:r>
          </w:p>
        </w:tc>
      </w:tr>
      <w:tr w:rsidR="004D649E" w:rsidRPr="00286216" w14:paraId="0FB7DDED" w14:textId="77777777" w:rsidTr="00091AA5">
        <w:tc>
          <w:tcPr>
            <w:tcW w:w="576" w:type="dxa"/>
          </w:tcPr>
          <w:p w14:paraId="35A36223" w14:textId="77777777" w:rsidR="004D649E" w:rsidRPr="00286216" w:rsidRDefault="004D649E" w:rsidP="004D649E">
            <w:pPr>
              <w:pStyle w:val="StyleWisnow"/>
              <w:rPr>
                <w:color w:val="000000" w:themeColor="text1"/>
              </w:rPr>
            </w:pPr>
            <w:bookmarkStart w:id="1979" w:name="n2213" w:colFirst="0" w:colLast="0"/>
            <w:bookmarkEnd w:id="1978"/>
            <w:r w:rsidRPr="00286216">
              <w:rPr>
                <w:color w:val="000000" w:themeColor="text1"/>
              </w:rPr>
              <w:t>2213.</w:t>
            </w:r>
          </w:p>
        </w:tc>
        <w:tc>
          <w:tcPr>
            <w:tcW w:w="4818" w:type="dxa"/>
          </w:tcPr>
          <w:p w14:paraId="57F8A5BD" w14:textId="77777777" w:rsidR="004D649E" w:rsidRPr="00286216" w:rsidRDefault="004D649E" w:rsidP="004D649E">
            <w:pPr>
              <w:pStyle w:val="StyleZakonu"/>
              <w:rPr>
                <w:color w:val="000000" w:themeColor="text1"/>
              </w:rPr>
            </w:pPr>
            <w:r w:rsidRPr="00286216">
              <w:rPr>
                <w:color w:val="000000" w:themeColor="text1"/>
              </w:rPr>
              <w:t>2. Професійні учасники ринків капіталу та організованих товарних ринків, які є системно важливим та/або є підприємствами, що становлять суспільний інтерес, зобов’язані розкривати на власному веб-сайті інформацію про структуру власності такого професійного учасника у обсязі та порядку, встановленому Національною комісією з цінних паперів та фондового ринку.</w:t>
            </w:r>
          </w:p>
        </w:tc>
        <w:tc>
          <w:tcPr>
            <w:tcW w:w="3686" w:type="dxa"/>
          </w:tcPr>
          <w:p w14:paraId="78FB395F" w14:textId="4193BDEC"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1067</w:t>
            </w:r>
            <w:r w:rsidRPr="00286216">
              <w:rPr>
                <w:color w:val="000000" w:themeColor="text1"/>
                <w:spacing w:val="-2"/>
              </w:rPr>
              <w:fldChar w:fldCharType="end"/>
            </w:r>
            <w:r w:rsidRPr="00286216">
              <w:rPr>
                <w:color w:val="000000" w:themeColor="text1"/>
                <w:spacing w:val="-2"/>
              </w:rPr>
              <w:t>-Н.д.Шахов С.В. (Реєстр.картка №114)</w:t>
            </w:r>
          </w:p>
          <w:p w14:paraId="58D4D910"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 xml:space="preserve">В абзаці першому частини першої статті 127 слова "Національною комісією </w:t>
            </w:r>
            <w:r w:rsidRPr="00286216">
              <w:rPr>
                <w:color w:val="000000" w:themeColor="text1"/>
                <w:spacing w:val="-4"/>
              </w:rPr>
              <w:t>з цінних паперів та фондового ринку" замінити</w:t>
            </w:r>
            <w:r w:rsidRPr="00286216">
              <w:rPr>
                <w:color w:val="000000" w:themeColor="text1"/>
                <w:spacing w:val="-2"/>
              </w:rPr>
              <w:t xml:space="preserve"> словами "регулятором відповідного ринку".</w:t>
            </w:r>
          </w:p>
        </w:tc>
        <w:tc>
          <w:tcPr>
            <w:tcW w:w="1987" w:type="dxa"/>
          </w:tcPr>
          <w:p w14:paraId="789815D9"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7D8B1A44" w14:textId="592971A4" w:rsidR="004D649E" w:rsidRPr="00286216" w:rsidRDefault="004D649E" w:rsidP="004D649E">
            <w:pPr>
              <w:pStyle w:val="StyleWisnow"/>
              <w:spacing w:line="180" w:lineRule="exact"/>
              <w:rPr>
                <w:color w:val="000000" w:themeColor="text1"/>
              </w:rPr>
            </w:pPr>
            <w:r w:rsidRPr="00286216">
              <w:rPr>
                <w:color w:val="000000" w:themeColor="text1"/>
              </w:rPr>
              <w:t>НКЦПФР - регулятор</w:t>
            </w:r>
          </w:p>
        </w:tc>
        <w:tc>
          <w:tcPr>
            <w:tcW w:w="4818" w:type="dxa"/>
          </w:tcPr>
          <w:p w14:paraId="5C7BAD65" w14:textId="0B04B979" w:rsidR="004D649E" w:rsidRPr="00286216" w:rsidRDefault="004D649E" w:rsidP="004D649E">
            <w:pPr>
              <w:pStyle w:val="StyleZakonu"/>
              <w:rPr>
                <w:color w:val="000000" w:themeColor="text1"/>
              </w:rPr>
            </w:pPr>
            <w:r w:rsidRPr="00286216">
              <w:rPr>
                <w:color w:val="000000" w:themeColor="text1"/>
              </w:rPr>
              <w:t>2. Професійні учасники ринків капіталу та організованих товарних ринків, які є системно важливим та/або підприємствами, що становлять суспільний інтерес, зобов’язані розкривати на своєму веб-сайті інформацію про структуру власності юридичної особи такого професійного учасника в обсязі та порядку, встановлених Національною комісією з цінних паперів та фондового ринку.</w:t>
            </w:r>
          </w:p>
        </w:tc>
      </w:tr>
      <w:tr w:rsidR="004D649E" w:rsidRPr="00286216" w14:paraId="4CABCD54" w14:textId="77777777" w:rsidTr="00091AA5">
        <w:tc>
          <w:tcPr>
            <w:tcW w:w="576" w:type="dxa"/>
          </w:tcPr>
          <w:p w14:paraId="1BC98599" w14:textId="77777777" w:rsidR="004D649E" w:rsidRPr="00286216" w:rsidRDefault="004D649E" w:rsidP="004D649E">
            <w:pPr>
              <w:pStyle w:val="StyleWisnow"/>
              <w:rPr>
                <w:color w:val="000000" w:themeColor="text1"/>
              </w:rPr>
            </w:pPr>
            <w:bookmarkStart w:id="1980" w:name="n2214" w:colFirst="0" w:colLast="0"/>
            <w:bookmarkEnd w:id="1979"/>
            <w:r w:rsidRPr="00286216">
              <w:rPr>
                <w:color w:val="000000" w:themeColor="text1"/>
              </w:rPr>
              <w:t>2214.</w:t>
            </w:r>
          </w:p>
        </w:tc>
        <w:tc>
          <w:tcPr>
            <w:tcW w:w="4818" w:type="dxa"/>
          </w:tcPr>
          <w:p w14:paraId="1D16F069" w14:textId="77777777" w:rsidR="004D649E" w:rsidRPr="00286216" w:rsidRDefault="004D649E" w:rsidP="004D649E">
            <w:pPr>
              <w:pStyle w:val="StyleZakonu"/>
              <w:rPr>
                <w:color w:val="000000" w:themeColor="text1"/>
              </w:rPr>
            </w:pPr>
            <w:r w:rsidRPr="00286216">
              <w:rPr>
                <w:color w:val="000000" w:themeColor="text1"/>
              </w:rPr>
              <w:t>Професійні учасники ринків капіталу та організованих товарних ринків, зобов’язані подавати до Національної комісії з цінних паперів та фондового ринку інформацію про структуру власності такого професійного учасника у обсязі та порядку, встановленому Національною комісією з цінних паперів та фондового ринку.</w:t>
            </w:r>
          </w:p>
        </w:tc>
        <w:tc>
          <w:tcPr>
            <w:tcW w:w="3686" w:type="dxa"/>
          </w:tcPr>
          <w:p w14:paraId="1411BDF8" w14:textId="338D7947"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1068</w:t>
            </w:r>
            <w:r w:rsidRPr="00286216">
              <w:rPr>
                <w:color w:val="000000" w:themeColor="text1"/>
                <w:spacing w:val="-2"/>
              </w:rPr>
              <w:fldChar w:fldCharType="end"/>
            </w:r>
            <w:r w:rsidRPr="00286216">
              <w:rPr>
                <w:color w:val="000000" w:themeColor="text1"/>
                <w:spacing w:val="-2"/>
              </w:rPr>
              <w:t>-Н.д.Шахов С.В. (Реєстр.картка №114)</w:t>
            </w:r>
          </w:p>
          <w:p w14:paraId="07B1940F"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Абз. 2 ч. 2 ст.127 викласти у такій редакції:</w:t>
            </w:r>
          </w:p>
          <w:p w14:paraId="4289C96F"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"Професійні учасники ринків капіталу та організованих товарних ринків, зобов’язані подавати регулятору відповідного ринку інформацію про структуру власності такого професійного учасника у обсязі та порядку, встановленому таким регулятором".</w:t>
            </w:r>
          </w:p>
        </w:tc>
        <w:tc>
          <w:tcPr>
            <w:tcW w:w="1987" w:type="dxa"/>
          </w:tcPr>
          <w:p w14:paraId="3B0173D4"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41C550F3" w14:textId="7E271D1A" w:rsidR="004D649E" w:rsidRPr="00286216" w:rsidRDefault="004D649E" w:rsidP="004D649E">
            <w:pPr>
              <w:pStyle w:val="StyleWisnow"/>
              <w:spacing w:line="180" w:lineRule="exact"/>
              <w:rPr>
                <w:color w:val="000000" w:themeColor="text1"/>
              </w:rPr>
            </w:pPr>
            <w:r w:rsidRPr="00286216">
              <w:rPr>
                <w:color w:val="000000" w:themeColor="text1"/>
              </w:rPr>
              <w:t>НКЦПФР - регулятор</w:t>
            </w:r>
          </w:p>
        </w:tc>
        <w:tc>
          <w:tcPr>
            <w:tcW w:w="4818" w:type="dxa"/>
          </w:tcPr>
          <w:p w14:paraId="49BF5850" w14:textId="364412F3" w:rsidR="004D649E" w:rsidRPr="00286216" w:rsidRDefault="004D649E" w:rsidP="004D649E">
            <w:pPr>
              <w:pStyle w:val="StyleZakonu"/>
              <w:rPr>
                <w:color w:val="000000" w:themeColor="text1"/>
              </w:rPr>
            </w:pPr>
            <w:r w:rsidRPr="00286216">
              <w:rPr>
                <w:color w:val="000000" w:themeColor="text1"/>
              </w:rPr>
              <w:t>Професійні учасники ринків капіталу та організованих товарних ринків зобов’язані подавати до Національної комісії з цінних паперів та фондового ринку інформацію про структуру власності юридичної особи такого професійного учасника в обсязі та порядку, встановлених Національною комісією з цінних паперів та фондового ринку.</w:t>
            </w:r>
          </w:p>
        </w:tc>
      </w:tr>
      <w:tr w:rsidR="004D649E" w:rsidRPr="00286216" w14:paraId="3A052990" w14:textId="77777777" w:rsidTr="00091AA5">
        <w:tc>
          <w:tcPr>
            <w:tcW w:w="576" w:type="dxa"/>
          </w:tcPr>
          <w:p w14:paraId="75F0E84D" w14:textId="77777777" w:rsidR="004D649E" w:rsidRPr="00286216" w:rsidRDefault="004D649E" w:rsidP="004D649E">
            <w:pPr>
              <w:pStyle w:val="StyleWisnow"/>
              <w:rPr>
                <w:color w:val="000000" w:themeColor="text1"/>
              </w:rPr>
            </w:pPr>
            <w:bookmarkStart w:id="1981" w:name="n2215" w:colFirst="0" w:colLast="0"/>
            <w:bookmarkEnd w:id="1980"/>
            <w:r w:rsidRPr="00286216">
              <w:rPr>
                <w:color w:val="000000" w:themeColor="text1"/>
              </w:rPr>
              <w:t>2215.</w:t>
            </w:r>
          </w:p>
        </w:tc>
        <w:tc>
          <w:tcPr>
            <w:tcW w:w="4818" w:type="dxa"/>
          </w:tcPr>
          <w:p w14:paraId="360CDB8B" w14:textId="77777777" w:rsidR="004D649E" w:rsidRPr="00286216" w:rsidRDefault="004D649E" w:rsidP="004D649E">
            <w:pPr>
              <w:pStyle w:val="StyleZakonu"/>
              <w:rPr>
                <w:color w:val="000000" w:themeColor="text1"/>
              </w:rPr>
            </w:pPr>
            <w:r w:rsidRPr="00286216">
              <w:rPr>
                <w:color w:val="000000" w:themeColor="text1"/>
              </w:rPr>
              <w:t>3. Інвестиційні фірми додатково розкривають інформацію відповідно до вимог статті 45 цього Закону.</w:t>
            </w:r>
          </w:p>
        </w:tc>
        <w:tc>
          <w:tcPr>
            <w:tcW w:w="3686" w:type="dxa"/>
          </w:tcPr>
          <w:p w14:paraId="264F29DB" w14:textId="77777777" w:rsidR="004D649E" w:rsidRPr="00286216" w:rsidRDefault="004D649E" w:rsidP="004D649E">
            <w:pPr>
              <w:pStyle w:val="StyleProp"/>
              <w:rPr>
                <w:color w:val="000000" w:themeColor="text1"/>
                <w:szCs w:val="18"/>
              </w:rPr>
            </w:pPr>
          </w:p>
        </w:tc>
        <w:tc>
          <w:tcPr>
            <w:tcW w:w="1987" w:type="dxa"/>
          </w:tcPr>
          <w:p w14:paraId="46057F8A" w14:textId="77777777" w:rsidR="004D649E" w:rsidRPr="00286216" w:rsidRDefault="004D649E" w:rsidP="004D649E">
            <w:pPr>
              <w:pStyle w:val="StyleWisnow"/>
              <w:rPr>
                <w:color w:val="000000" w:themeColor="text1"/>
              </w:rPr>
            </w:pPr>
          </w:p>
        </w:tc>
        <w:tc>
          <w:tcPr>
            <w:tcW w:w="4818" w:type="dxa"/>
          </w:tcPr>
          <w:p w14:paraId="5BFAA7D3" w14:textId="16160EB8" w:rsidR="004D649E" w:rsidRPr="00286216" w:rsidRDefault="004D649E" w:rsidP="004D649E">
            <w:pPr>
              <w:pStyle w:val="StyleZakonu"/>
              <w:rPr>
                <w:color w:val="000000" w:themeColor="text1"/>
              </w:rPr>
            </w:pPr>
            <w:r w:rsidRPr="00286216">
              <w:rPr>
                <w:color w:val="000000" w:themeColor="text1"/>
              </w:rPr>
              <w:t>3. Інвестиційні фірми додатково розкривають інформацію відповідно до вимог статті 47 цього Закону.</w:t>
            </w:r>
          </w:p>
        </w:tc>
      </w:tr>
      <w:tr w:rsidR="004D649E" w:rsidRPr="00286216" w14:paraId="53C94C77" w14:textId="77777777" w:rsidTr="00091AA5">
        <w:tc>
          <w:tcPr>
            <w:tcW w:w="576" w:type="dxa"/>
          </w:tcPr>
          <w:p w14:paraId="73183FF8" w14:textId="77777777" w:rsidR="004D649E" w:rsidRPr="00286216" w:rsidRDefault="004D649E" w:rsidP="004D649E">
            <w:pPr>
              <w:pStyle w:val="StyleWisnow"/>
              <w:rPr>
                <w:color w:val="000000" w:themeColor="text1"/>
              </w:rPr>
            </w:pPr>
            <w:bookmarkStart w:id="1982" w:name="n2216" w:colFirst="0" w:colLast="0"/>
            <w:bookmarkEnd w:id="1981"/>
            <w:r w:rsidRPr="00286216">
              <w:rPr>
                <w:color w:val="000000" w:themeColor="text1"/>
              </w:rPr>
              <w:t>2216.</w:t>
            </w:r>
          </w:p>
        </w:tc>
        <w:tc>
          <w:tcPr>
            <w:tcW w:w="4818" w:type="dxa"/>
          </w:tcPr>
          <w:p w14:paraId="045AF1F4" w14:textId="77777777" w:rsidR="004D649E" w:rsidRPr="00286216" w:rsidRDefault="004D649E" w:rsidP="004D649E">
            <w:pPr>
              <w:pStyle w:val="StyleZakonu"/>
              <w:rPr>
                <w:color w:val="000000" w:themeColor="text1"/>
              </w:rPr>
            </w:pPr>
            <w:r w:rsidRPr="00286216">
              <w:rPr>
                <w:color w:val="000000" w:themeColor="text1"/>
              </w:rPr>
              <w:t xml:space="preserve">4. Оператори організованих ринків додатково </w:t>
            </w:r>
            <w:r w:rsidRPr="00286216">
              <w:rPr>
                <w:color w:val="000000" w:themeColor="text1"/>
              </w:rPr>
              <w:lastRenderedPageBreak/>
              <w:t>розкривають інформацію відповідно до вимог статті 52 цього Закону.</w:t>
            </w:r>
          </w:p>
        </w:tc>
        <w:tc>
          <w:tcPr>
            <w:tcW w:w="3686" w:type="dxa"/>
          </w:tcPr>
          <w:p w14:paraId="3000BDA3" w14:textId="77777777" w:rsidR="004D649E" w:rsidRPr="00286216" w:rsidRDefault="004D649E" w:rsidP="004D649E">
            <w:pPr>
              <w:pStyle w:val="StyleProp"/>
              <w:rPr>
                <w:color w:val="000000" w:themeColor="text1"/>
                <w:szCs w:val="18"/>
              </w:rPr>
            </w:pPr>
          </w:p>
        </w:tc>
        <w:tc>
          <w:tcPr>
            <w:tcW w:w="1987" w:type="dxa"/>
          </w:tcPr>
          <w:p w14:paraId="2777DF32" w14:textId="77777777" w:rsidR="004D649E" w:rsidRPr="00286216" w:rsidRDefault="004D649E" w:rsidP="004D649E">
            <w:pPr>
              <w:pStyle w:val="StyleWisnow"/>
              <w:rPr>
                <w:color w:val="000000" w:themeColor="text1"/>
              </w:rPr>
            </w:pPr>
          </w:p>
        </w:tc>
        <w:tc>
          <w:tcPr>
            <w:tcW w:w="4818" w:type="dxa"/>
          </w:tcPr>
          <w:p w14:paraId="3CBA57DB" w14:textId="0920D549" w:rsidR="004D649E" w:rsidRPr="00286216" w:rsidRDefault="004D649E" w:rsidP="004D649E">
            <w:pPr>
              <w:pStyle w:val="StyleZakonu"/>
              <w:rPr>
                <w:color w:val="000000" w:themeColor="text1"/>
              </w:rPr>
            </w:pPr>
            <w:r w:rsidRPr="00286216">
              <w:rPr>
                <w:color w:val="000000" w:themeColor="text1"/>
              </w:rPr>
              <w:t xml:space="preserve">4. Оператори організованих ринків додатково </w:t>
            </w:r>
            <w:r w:rsidRPr="00286216">
              <w:rPr>
                <w:color w:val="000000" w:themeColor="text1"/>
              </w:rPr>
              <w:lastRenderedPageBreak/>
              <w:t>розкривають інформацію відповідно до вимог статті 57 цього Закону.</w:t>
            </w:r>
          </w:p>
        </w:tc>
      </w:tr>
      <w:tr w:rsidR="004D649E" w:rsidRPr="00286216" w14:paraId="7BF28003" w14:textId="77777777" w:rsidTr="00091AA5">
        <w:tc>
          <w:tcPr>
            <w:tcW w:w="576" w:type="dxa"/>
          </w:tcPr>
          <w:p w14:paraId="6C875E40" w14:textId="77777777" w:rsidR="004D649E" w:rsidRPr="00286216" w:rsidRDefault="004D649E" w:rsidP="004D649E">
            <w:pPr>
              <w:pStyle w:val="StyleWisnow"/>
              <w:rPr>
                <w:color w:val="000000" w:themeColor="text1"/>
              </w:rPr>
            </w:pPr>
          </w:p>
        </w:tc>
        <w:tc>
          <w:tcPr>
            <w:tcW w:w="4818" w:type="dxa"/>
          </w:tcPr>
          <w:p w14:paraId="2037A21B" w14:textId="77777777" w:rsidR="004D649E" w:rsidRPr="00286216" w:rsidRDefault="004D649E" w:rsidP="004D649E">
            <w:pPr>
              <w:pStyle w:val="StyleZakonu"/>
              <w:rPr>
                <w:color w:val="000000" w:themeColor="text1"/>
              </w:rPr>
            </w:pPr>
          </w:p>
        </w:tc>
        <w:tc>
          <w:tcPr>
            <w:tcW w:w="3686" w:type="dxa"/>
          </w:tcPr>
          <w:p w14:paraId="1152AC2B" w14:textId="212073FC" w:rsidR="004D649E" w:rsidRPr="00286216" w:rsidRDefault="004D649E" w:rsidP="004D649E">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1069</w:t>
            </w:r>
            <w:r w:rsidRPr="00286216">
              <w:rPr>
                <w:color w:val="000000" w:themeColor="text1"/>
                <w:spacing w:val="-8"/>
              </w:rPr>
              <w:fldChar w:fldCharType="end"/>
            </w:r>
            <w:r w:rsidRPr="00286216">
              <w:rPr>
                <w:color w:val="000000" w:themeColor="text1"/>
                <w:spacing w:val="-8"/>
                <w:szCs w:val="18"/>
              </w:rPr>
              <w:t>-Н.д.Ніколаєнко А.І. (Реєстр.картка №405)</w:t>
            </w:r>
          </w:p>
          <w:p w14:paraId="2BA3B69A" w14:textId="77777777" w:rsidR="004D649E" w:rsidRPr="00286216" w:rsidRDefault="004D649E" w:rsidP="004D649E">
            <w:pPr>
              <w:pStyle w:val="StyleProp"/>
              <w:rPr>
                <w:color w:val="000000" w:themeColor="text1"/>
              </w:rPr>
            </w:pPr>
            <w:r w:rsidRPr="00286216">
              <w:rPr>
                <w:color w:val="000000" w:themeColor="text1"/>
              </w:rPr>
              <w:t>Доповнити текст законопроекту статтею 127-1 такого змісту:</w:t>
            </w:r>
          </w:p>
          <w:p w14:paraId="42A108A3" w14:textId="77777777" w:rsidR="004D649E" w:rsidRPr="00286216" w:rsidRDefault="004D649E" w:rsidP="004D649E">
            <w:pPr>
              <w:pStyle w:val="StyleProp"/>
              <w:rPr>
                <w:color w:val="000000" w:themeColor="text1"/>
              </w:rPr>
            </w:pPr>
            <w:r w:rsidRPr="00286216">
              <w:rPr>
                <w:color w:val="000000" w:themeColor="text1"/>
              </w:rPr>
              <w:t>«Стаття 127-1. Розкриття інформації про професійних учасників ринків капіталу та організованих товарних ринків</w:t>
            </w:r>
          </w:p>
          <w:p w14:paraId="36D53520" w14:textId="77777777" w:rsidR="004D649E" w:rsidRPr="00286216" w:rsidRDefault="004D649E" w:rsidP="004D649E">
            <w:pPr>
              <w:pStyle w:val="StyleProp"/>
              <w:rPr>
                <w:color w:val="000000" w:themeColor="text1"/>
              </w:rPr>
            </w:pPr>
            <w:r w:rsidRPr="00286216">
              <w:rPr>
                <w:color w:val="000000" w:themeColor="text1"/>
              </w:rPr>
              <w:t>1. Національна комісія з цінних паперів та фондового ринку забезпечує оприлюднення на власному веб-сайті інформації про професійних учасників ринків капіталу та організованих товарних ринків (відомості про ліцензію, види професійної діяльності згідно з ліцензією, керівників та/або уповноважених осіб, що діють від імені професійного учасника, структуру власності такого професійного учасника) таким чином, щоб забезпечити їх актуальність».</w:t>
            </w:r>
          </w:p>
        </w:tc>
        <w:tc>
          <w:tcPr>
            <w:tcW w:w="1987" w:type="dxa"/>
          </w:tcPr>
          <w:p w14:paraId="2C63D349" w14:textId="24F39B11" w:rsidR="004D649E" w:rsidRPr="00286216" w:rsidRDefault="004D649E" w:rsidP="004D649E">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49C9A7E0" w14:textId="77777777" w:rsidR="004D649E" w:rsidRPr="00286216" w:rsidRDefault="004D649E" w:rsidP="004D649E">
            <w:pPr>
              <w:pStyle w:val="StyleZakonu"/>
              <w:rPr>
                <w:color w:val="000000" w:themeColor="text1"/>
              </w:rPr>
            </w:pPr>
            <w:r w:rsidRPr="00286216">
              <w:rPr>
                <w:color w:val="000000" w:themeColor="text1"/>
              </w:rPr>
              <w:t>Стаття 132. Розкриття інформації про професійних учасників ринків капіталу та організованих товарних ринків</w:t>
            </w:r>
          </w:p>
          <w:p w14:paraId="70C9774C" w14:textId="73045098" w:rsidR="004D649E" w:rsidRPr="00286216" w:rsidRDefault="004D649E" w:rsidP="004D649E">
            <w:pPr>
              <w:pStyle w:val="StyleZakonu"/>
              <w:rPr>
                <w:color w:val="000000" w:themeColor="text1"/>
              </w:rPr>
            </w:pPr>
            <w:r w:rsidRPr="00286216">
              <w:rPr>
                <w:color w:val="000000" w:themeColor="text1"/>
              </w:rPr>
              <w:t>1. Національна комісія з цінних паперів та фондового ринку забезпечує оприлюднення на своєму офіційному веб-сайті інформації про професійних учасників ринків капіталу та організованих товарних ринків (відомості про ліцензію на провадження відповідного виду діяльності в межах професійної діяльності на ринках капіталу та організованих товарних ринках, види діяльності згідно з ліцензією, керівників та/або уповноважених осіб, які діють від імені професійного учасника, структуру власності юридичної особи такого професійного учасника) таким чином, щоб забезпечити їх актуальність.</w:t>
            </w:r>
          </w:p>
        </w:tc>
      </w:tr>
      <w:tr w:rsidR="00826C07" w:rsidRPr="00286216" w14:paraId="15EDE273" w14:textId="77777777" w:rsidTr="00091AA5">
        <w:tc>
          <w:tcPr>
            <w:tcW w:w="576" w:type="dxa"/>
          </w:tcPr>
          <w:p w14:paraId="2125F864" w14:textId="77777777" w:rsidR="00826C07" w:rsidRPr="00286216" w:rsidRDefault="00826C07" w:rsidP="00826C07">
            <w:pPr>
              <w:pStyle w:val="StyleWisnow"/>
              <w:rPr>
                <w:color w:val="000000" w:themeColor="text1"/>
              </w:rPr>
            </w:pPr>
            <w:bookmarkStart w:id="1983" w:name="n2217" w:colFirst="0" w:colLast="0"/>
            <w:bookmarkEnd w:id="1982"/>
            <w:r w:rsidRPr="00286216">
              <w:rPr>
                <w:color w:val="000000" w:themeColor="text1"/>
              </w:rPr>
              <w:t>2217.</w:t>
            </w:r>
          </w:p>
        </w:tc>
        <w:tc>
          <w:tcPr>
            <w:tcW w:w="4818" w:type="dxa"/>
          </w:tcPr>
          <w:p w14:paraId="48B6CD33" w14:textId="77777777" w:rsidR="00826C07" w:rsidRPr="00286216" w:rsidRDefault="00826C07" w:rsidP="00826C07">
            <w:pPr>
              <w:pStyle w:val="StyleZakonu"/>
              <w:rPr>
                <w:color w:val="000000" w:themeColor="text1"/>
              </w:rPr>
            </w:pPr>
            <w:r w:rsidRPr="00286216">
              <w:rPr>
                <w:color w:val="000000" w:themeColor="text1"/>
              </w:rPr>
              <w:t>Стаття 128. Розкриття інформації, що міститься у системі депозитарного обліку цінних паперів</w:t>
            </w:r>
          </w:p>
        </w:tc>
        <w:tc>
          <w:tcPr>
            <w:tcW w:w="3686" w:type="dxa"/>
          </w:tcPr>
          <w:p w14:paraId="27EAF233" w14:textId="77777777" w:rsidR="00826C07" w:rsidRPr="00286216" w:rsidRDefault="00826C07" w:rsidP="00826C07">
            <w:pPr>
              <w:pStyle w:val="StyleProp"/>
              <w:rPr>
                <w:color w:val="000000" w:themeColor="text1"/>
              </w:rPr>
            </w:pPr>
          </w:p>
        </w:tc>
        <w:tc>
          <w:tcPr>
            <w:tcW w:w="1987" w:type="dxa"/>
          </w:tcPr>
          <w:p w14:paraId="7B5A4BBE" w14:textId="77777777" w:rsidR="00826C07" w:rsidRPr="00286216" w:rsidRDefault="00826C07" w:rsidP="00826C07">
            <w:pPr>
              <w:pStyle w:val="StyleWisnow"/>
              <w:rPr>
                <w:color w:val="000000" w:themeColor="text1"/>
              </w:rPr>
            </w:pPr>
          </w:p>
        </w:tc>
        <w:tc>
          <w:tcPr>
            <w:tcW w:w="4818" w:type="dxa"/>
          </w:tcPr>
          <w:p w14:paraId="5218A139" w14:textId="2BD8E77A" w:rsidR="00826C07" w:rsidRPr="00286216" w:rsidRDefault="00826C07" w:rsidP="00826C07">
            <w:pPr>
              <w:pStyle w:val="StyleZakonu"/>
              <w:rPr>
                <w:color w:val="000000" w:themeColor="text1"/>
              </w:rPr>
            </w:pPr>
            <w:r w:rsidRPr="00286216">
              <w:rPr>
                <w:color w:val="000000" w:themeColor="text1"/>
              </w:rPr>
              <w:t>Стаття 133. Розкриття інформації, що міститься у системі депозитарного обліку цінних паперів</w:t>
            </w:r>
          </w:p>
        </w:tc>
      </w:tr>
      <w:tr w:rsidR="004D649E" w:rsidRPr="00286216" w14:paraId="7DD4DD7B" w14:textId="77777777" w:rsidTr="00091AA5">
        <w:tc>
          <w:tcPr>
            <w:tcW w:w="576" w:type="dxa"/>
          </w:tcPr>
          <w:p w14:paraId="621507FA" w14:textId="77777777" w:rsidR="004D649E" w:rsidRPr="00286216" w:rsidRDefault="004D649E" w:rsidP="004D649E">
            <w:pPr>
              <w:pStyle w:val="StyleWisnow"/>
              <w:rPr>
                <w:color w:val="000000" w:themeColor="text1"/>
              </w:rPr>
            </w:pPr>
            <w:bookmarkStart w:id="1984" w:name="n2218" w:colFirst="0" w:colLast="0"/>
            <w:bookmarkEnd w:id="1983"/>
            <w:r w:rsidRPr="00286216">
              <w:rPr>
                <w:color w:val="000000" w:themeColor="text1"/>
              </w:rPr>
              <w:t>2218.</w:t>
            </w:r>
          </w:p>
        </w:tc>
        <w:tc>
          <w:tcPr>
            <w:tcW w:w="4818" w:type="dxa"/>
          </w:tcPr>
          <w:p w14:paraId="5BDFF67B" w14:textId="77777777" w:rsidR="004D649E" w:rsidRPr="00286216" w:rsidRDefault="004D649E" w:rsidP="004D649E">
            <w:pPr>
              <w:pStyle w:val="StyleZakonu"/>
              <w:rPr>
                <w:color w:val="000000" w:themeColor="text1"/>
              </w:rPr>
            </w:pPr>
            <w:r w:rsidRPr="00286216">
              <w:rPr>
                <w:color w:val="000000" w:themeColor="text1"/>
              </w:rPr>
              <w:t>1. Інформація, що міститься у системі депозитарного обліку цінних паперів, розкривається у випадках та порядку, визначених Законом України "Про депозитарну систему України".</w:t>
            </w:r>
          </w:p>
        </w:tc>
        <w:tc>
          <w:tcPr>
            <w:tcW w:w="3686" w:type="dxa"/>
          </w:tcPr>
          <w:p w14:paraId="39FFC5C5" w14:textId="413FBD64"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1070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452DE6D" w14:textId="77777777" w:rsidR="004D649E" w:rsidRPr="00286216" w:rsidRDefault="004D649E" w:rsidP="004D649E">
            <w:pPr>
              <w:pStyle w:val="StyleProp"/>
              <w:spacing w:line="180" w:lineRule="exact"/>
              <w:rPr>
                <w:color w:val="000000" w:themeColor="text1"/>
              </w:rPr>
            </w:pPr>
            <w:r w:rsidRPr="00286216">
              <w:rPr>
                <w:color w:val="000000" w:themeColor="text1"/>
              </w:rPr>
              <w:t>Частину першу статті 128 викласти в такій редакції:</w:t>
            </w:r>
          </w:p>
          <w:p w14:paraId="1A2BB67E" w14:textId="77777777" w:rsidR="004D649E" w:rsidRPr="00286216" w:rsidRDefault="004D649E" w:rsidP="004D649E">
            <w:pPr>
              <w:pStyle w:val="StyleProp"/>
              <w:spacing w:line="180" w:lineRule="exact"/>
              <w:rPr>
                <w:color w:val="000000" w:themeColor="text1"/>
              </w:rPr>
            </w:pPr>
            <w:r w:rsidRPr="00286216">
              <w:rPr>
                <w:color w:val="000000" w:themeColor="text1"/>
              </w:rPr>
              <w:t>«1. Інформація, що міститься у системі депозитарного обліку цінних паперів, розкривається у випадках та порядку, передбаченому цим Законом та Законом України «Про депозитарну систему України».</w:t>
            </w:r>
          </w:p>
        </w:tc>
        <w:tc>
          <w:tcPr>
            <w:tcW w:w="1987" w:type="dxa"/>
          </w:tcPr>
          <w:p w14:paraId="1A04D0C6" w14:textId="77777777" w:rsidR="004D649E" w:rsidRPr="00286216" w:rsidRDefault="004D649E" w:rsidP="004D649E">
            <w:pPr>
              <w:pStyle w:val="StyleWisnow"/>
              <w:rPr>
                <w:color w:val="000000" w:themeColor="text1"/>
              </w:rPr>
            </w:pPr>
            <w:r w:rsidRPr="00286216">
              <w:rPr>
                <w:color w:val="000000" w:themeColor="text1"/>
              </w:rPr>
              <w:t>Враховано</w:t>
            </w:r>
          </w:p>
          <w:p w14:paraId="70FA830B" w14:textId="3A803BB2" w:rsidR="004D649E" w:rsidRPr="00286216" w:rsidRDefault="004D649E" w:rsidP="004D649E">
            <w:pPr>
              <w:pStyle w:val="StyleWisnow"/>
              <w:rPr>
                <w:color w:val="000000" w:themeColor="text1"/>
              </w:rPr>
            </w:pPr>
          </w:p>
        </w:tc>
        <w:tc>
          <w:tcPr>
            <w:tcW w:w="4818" w:type="dxa"/>
          </w:tcPr>
          <w:p w14:paraId="55822BBD" w14:textId="79956DC9" w:rsidR="004D649E" w:rsidRPr="00286216" w:rsidRDefault="004D649E" w:rsidP="004D649E">
            <w:pPr>
              <w:pStyle w:val="StyleZakonu"/>
              <w:rPr>
                <w:color w:val="000000" w:themeColor="text1"/>
              </w:rPr>
            </w:pPr>
            <w:r w:rsidRPr="00286216">
              <w:rPr>
                <w:color w:val="000000" w:themeColor="text1"/>
              </w:rPr>
              <w:t>1. Інформація, що міститься у системі депозитарного обліку цінних паперів, розкривається у випадках та порядку, передбачених цим Законом та Законом України "Про депозитарну систему України".</w:t>
            </w:r>
          </w:p>
        </w:tc>
      </w:tr>
      <w:tr w:rsidR="004D649E" w:rsidRPr="00286216" w14:paraId="61B58F55" w14:textId="77777777" w:rsidTr="00091AA5">
        <w:tc>
          <w:tcPr>
            <w:tcW w:w="576" w:type="dxa"/>
          </w:tcPr>
          <w:p w14:paraId="6A41A022" w14:textId="77777777" w:rsidR="004D649E" w:rsidRPr="00286216" w:rsidRDefault="004D649E" w:rsidP="004D649E">
            <w:pPr>
              <w:pStyle w:val="StyleWisnow"/>
              <w:rPr>
                <w:color w:val="000000" w:themeColor="text1"/>
              </w:rPr>
            </w:pPr>
            <w:bookmarkStart w:id="1985" w:name="n2219" w:colFirst="0" w:colLast="0"/>
            <w:bookmarkEnd w:id="1984"/>
            <w:r w:rsidRPr="00286216">
              <w:rPr>
                <w:color w:val="000000" w:themeColor="text1"/>
              </w:rPr>
              <w:t>2219.</w:t>
            </w:r>
          </w:p>
        </w:tc>
        <w:tc>
          <w:tcPr>
            <w:tcW w:w="4818" w:type="dxa"/>
          </w:tcPr>
          <w:p w14:paraId="72A91A48" w14:textId="77777777" w:rsidR="004D649E" w:rsidRPr="00286216" w:rsidRDefault="004D649E" w:rsidP="004D649E">
            <w:pPr>
              <w:pStyle w:val="StyleZakonu"/>
              <w:rPr>
                <w:color w:val="000000" w:themeColor="text1"/>
              </w:rPr>
            </w:pPr>
            <w:r w:rsidRPr="00286216">
              <w:rPr>
                <w:color w:val="000000" w:themeColor="text1"/>
              </w:rPr>
              <w:t>2. Інформація про власників пакетів (5 відсотків і більше) голосуючих акцій акціонерних товариств подається Національній комісії з цінних паперів та фондового ринку депозитарною установою, на рахунку в цінних паперах якої в Центральному депозитарії обліковуються акції акціонерного товариства, у строки, порядку та за формою, що встановлені Національною комісією з цінних паперів та фондового ринку.</w:t>
            </w:r>
          </w:p>
        </w:tc>
        <w:tc>
          <w:tcPr>
            <w:tcW w:w="3686" w:type="dxa"/>
          </w:tcPr>
          <w:p w14:paraId="5C622581" w14:textId="77777777" w:rsidR="004D649E" w:rsidRPr="00286216" w:rsidRDefault="004D649E" w:rsidP="004D649E">
            <w:pPr>
              <w:pStyle w:val="StyleProp"/>
              <w:rPr>
                <w:color w:val="000000" w:themeColor="text1"/>
              </w:rPr>
            </w:pPr>
          </w:p>
        </w:tc>
        <w:tc>
          <w:tcPr>
            <w:tcW w:w="1987" w:type="dxa"/>
          </w:tcPr>
          <w:p w14:paraId="3C45AEB0" w14:textId="77777777" w:rsidR="004D649E" w:rsidRPr="00286216" w:rsidRDefault="004D649E" w:rsidP="004D649E">
            <w:pPr>
              <w:pStyle w:val="StyleWisnow"/>
              <w:rPr>
                <w:color w:val="000000" w:themeColor="text1"/>
              </w:rPr>
            </w:pPr>
          </w:p>
        </w:tc>
        <w:tc>
          <w:tcPr>
            <w:tcW w:w="4818" w:type="dxa"/>
          </w:tcPr>
          <w:p w14:paraId="584B7432" w14:textId="798D06D1" w:rsidR="004D649E" w:rsidRPr="00286216" w:rsidRDefault="004D649E" w:rsidP="004D649E">
            <w:pPr>
              <w:pStyle w:val="StyleZakonu"/>
              <w:rPr>
                <w:color w:val="000000" w:themeColor="text1"/>
              </w:rPr>
            </w:pPr>
            <w:r w:rsidRPr="00286216">
              <w:rPr>
                <w:color w:val="000000" w:themeColor="text1"/>
              </w:rPr>
              <w:t>2. Інформація про власників пакетів (5 відсотків і більше) голосуючих акцій акціонерних товариств подається до Національної комісії з цінних паперів та фондового ринку депозитарною установою, на рахунку в цінних паперах якої у Центральному депозитарії обліковуються акції акціонерного товариства, у строки, порядку та за формою, що встановлені Національною комісією з цінних паперів та фондового ринку.</w:t>
            </w:r>
          </w:p>
        </w:tc>
      </w:tr>
      <w:tr w:rsidR="004D649E" w:rsidRPr="00286216" w14:paraId="42CF97FE" w14:textId="77777777" w:rsidTr="00091AA5">
        <w:tc>
          <w:tcPr>
            <w:tcW w:w="576" w:type="dxa"/>
          </w:tcPr>
          <w:p w14:paraId="0D48A2AC" w14:textId="77777777" w:rsidR="004D649E" w:rsidRPr="00286216" w:rsidRDefault="004D649E" w:rsidP="004D649E">
            <w:pPr>
              <w:pStyle w:val="StyleWisnow"/>
              <w:rPr>
                <w:color w:val="000000" w:themeColor="text1"/>
              </w:rPr>
            </w:pPr>
            <w:bookmarkStart w:id="1986" w:name="n2220" w:colFirst="0" w:colLast="0"/>
            <w:bookmarkEnd w:id="1985"/>
            <w:r w:rsidRPr="00286216">
              <w:rPr>
                <w:color w:val="000000" w:themeColor="text1"/>
              </w:rPr>
              <w:t>2220.</w:t>
            </w:r>
          </w:p>
        </w:tc>
        <w:tc>
          <w:tcPr>
            <w:tcW w:w="4818" w:type="dxa"/>
          </w:tcPr>
          <w:p w14:paraId="36955E73" w14:textId="77777777" w:rsidR="004D649E" w:rsidRPr="00286216" w:rsidRDefault="004D649E" w:rsidP="004D649E">
            <w:pPr>
              <w:pStyle w:val="StyleZakonu"/>
              <w:rPr>
                <w:color w:val="000000" w:themeColor="text1"/>
              </w:rPr>
            </w:pPr>
            <w:r w:rsidRPr="00286216">
              <w:rPr>
                <w:color w:val="000000" w:themeColor="text1"/>
              </w:rPr>
              <w:t xml:space="preserve">Інформація про власників пакетів (5 відсотків і більше) голосуючих акцій акціонерних товариств є відкритою і оприлюднюється в установленому Національною комісією з цінних паперів та фондового ринку порядку шляхом розміщення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w:t>
            </w:r>
            <w:r w:rsidRPr="00286216">
              <w:rPr>
                <w:color w:val="000000" w:themeColor="text1"/>
              </w:rPr>
              <w:lastRenderedPageBreak/>
              <w:t>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Така інформація обов’язково має містити розмір пакета такого власника із зазначенням відсотка, кількості, типу та/або класу належних такому власнику акцій та відомості про власника із зазначенням імені (найменування) власника, коду згідно з Єдиним державним реєстром юридичних осіб, фізичних осіб - підприємців та громадських формувань (для юридичної особи - резидента) або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w:t>
            </w:r>
          </w:p>
        </w:tc>
        <w:tc>
          <w:tcPr>
            <w:tcW w:w="3686" w:type="dxa"/>
          </w:tcPr>
          <w:p w14:paraId="1B5543F0" w14:textId="62B0A47B" w:rsidR="004D649E" w:rsidRPr="00286216" w:rsidRDefault="004D649E" w:rsidP="004D649E">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1071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11BFFB7" w14:textId="77777777" w:rsidR="004D649E" w:rsidRPr="00286216" w:rsidRDefault="004D649E" w:rsidP="004D649E">
            <w:pPr>
              <w:pStyle w:val="StyleProp"/>
              <w:rPr>
                <w:color w:val="000000" w:themeColor="text1"/>
                <w:szCs w:val="18"/>
              </w:rPr>
            </w:pPr>
            <w:r w:rsidRPr="00286216">
              <w:rPr>
                <w:color w:val="000000" w:themeColor="text1"/>
                <w:szCs w:val="18"/>
              </w:rPr>
              <w:t>У частині другій статті 128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p w14:paraId="1A2DEBCB" w14:textId="77777777" w:rsidR="004D649E" w:rsidRPr="00286216" w:rsidRDefault="004D649E" w:rsidP="004D649E">
            <w:pPr>
              <w:pStyle w:val="StyleProp"/>
              <w:rPr>
                <w:color w:val="000000" w:themeColor="text1"/>
                <w:szCs w:val="18"/>
              </w:rPr>
            </w:pPr>
          </w:p>
          <w:p w14:paraId="1A34C4B4" w14:textId="5EBBB247" w:rsidR="004D649E" w:rsidRPr="00286216" w:rsidRDefault="004D649E" w:rsidP="004D649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1072</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AC7310B" w14:textId="77777777" w:rsidR="004D649E" w:rsidRPr="00286216" w:rsidRDefault="004D649E" w:rsidP="004D649E">
            <w:pPr>
              <w:pStyle w:val="StyleProp"/>
              <w:rPr>
                <w:color w:val="000000" w:themeColor="text1"/>
                <w:szCs w:val="18"/>
              </w:rPr>
            </w:pPr>
            <w:r w:rsidRPr="00286216">
              <w:rPr>
                <w:color w:val="000000" w:themeColor="text1"/>
                <w:szCs w:val="18"/>
              </w:rPr>
              <w:t xml:space="preserve">В тексті законопроекту слова </w:t>
            </w:r>
            <w:r w:rsidRPr="00286216">
              <w:rPr>
                <w:color w:val="000000" w:themeColor="text1"/>
                <w:szCs w:val="18"/>
              </w:rPr>
              <w:lastRenderedPageBreak/>
              <w:t>«Загальнодоступній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56B14B8F" w14:textId="77777777" w:rsidR="004D649E" w:rsidRPr="00286216" w:rsidRDefault="004D649E" w:rsidP="004D649E">
            <w:pPr>
              <w:pStyle w:val="StyleWisnow"/>
              <w:rPr>
                <w:color w:val="000000" w:themeColor="text1"/>
              </w:rPr>
            </w:pPr>
            <w:r w:rsidRPr="00286216">
              <w:rPr>
                <w:color w:val="000000" w:themeColor="text1"/>
              </w:rPr>
              <w:lastRenderedPageBreak/>
              <w:t>Враховано редакційно</w:t>
            </w:r>
          </w:p>
          <w:p w14:paraId="6AACA19C" w14:textId="77777777" w:rsidR="004D649E" w:rsidRPr="00286216" w:rsidRDefault="004D649E" w:rsidP="004D649E">
            <w:pPr>
              <w:pStyle w:val="StyleWisnow"/>
              <w:rPr>
                <w:color w:val="000000" w:themeColor="text1"/>
              </w:rPr>
            </w:pPr>
          </w:p>
          <w:p w14:paraId="7BC0D6C1" w14:textId="77777777" w:rsidR="004D649E" w:rsidRPr="00286216" w:rsidRDefault="004D649E" w:rsidP="004D649E">
            <w:pPr>
              <w:pStyle w:val="StyleWisnow"/>
              <w:rPr>
                <w:color w:val="000000" w:themeColor="text1"/>
              </w:rPr>
            </w:pPr>
          </w:p>
          <w:p w14:paraId="2FFB9856" w14:textId="77777777" w:rsidR="004D649E" w:rsidRPr="00286216" w:rsidRDefault="004D649E" w:rsidP="004D649E">
            <w:pPr>
              <w:pStyle w:val="StyleWisnow"/>
              <w:rPr>
                <w:color w:val="000000" w:themeColor="text1"/>
              </w:rPr>
            </w:pPr>
          </w:p>
          <w:p w14:paraId="620FD636" w14:textId="77777777" w:rsidR="004D649E" w:rsidRPr="00286216" w:rsidRDefault="004D649E" w:rsidP="004D649E">
            <w:pPr>
              <w:pStyle w:val="StyleWisnow"/>
              <w:rPr>
                <w:color w:val="000000" w:themeColor="text1"/>
              </w:rPr>
            </w:pPr>
          </w:p>
          <w:p w14:paraId="1499AD96" w14:textId="77777777" w:rsidR="004D649E" w:rsidRPr="00286216" w:rsidRDefault="004D649E" w:rsidP="004D649E">
            <w:pPr>
              <w:pStyle w:val="StyleWisnow"/>
              <w:rPr>
                <w:color w:val="000000" w:themeColor="text1"/>
              </w:rPr>
            </w:pPr>
          </w:p>
          <w:p w14:paraId="66A51068" w14:textId="77777777" w:rsidR="004D649E" w:rsidRPr="00286216" w:rsidRDefault="004D649E" w:rsidP="004D649E">
            <w:pPr>
              <w:pStyle w:val="StyleWisnow"/>
              <w:rPr>
                <w:color w:val="000000" w:themeColor="text1"/>
              </w:rPr>
            </w:pPr>
          </w:p>
          <w:p w14:paraId="65735978" w14:textId="77777777"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153C3BD2" w14:textId="123229C3" w:rsidR="004D649E" w:rsidRPr="00286216" w:rsidRDefault="004D649E" w:rsidP="004D649E">
            <w:pPr>
              <w:pStyle w:val="StyleZakonu"/>
              <w:rPr>
                <w:color w:val="000000" w:themeColor="text1"/>
              </w:rPr>
            </w:pPr>
            <w:r w:rsidRPr="00286216">
              <w:rPr>
                <w:color w:val="000000" w:themeColor="text1"/>
              </w:rPr>
              <w:t xml:space="preserve">Інформація про власників пакетів (5 відсотків і більше) голосуючих акцій акціонерних товариств є відкритою та оприлюднюється в установленому Національною комісією з цінних паперів та фондового ринку порядку шляхом розміщення у </w:t>
            </w:r>
            <w:r w:rsidRPr="00286216">
              <w:rPr>
                <w:color w:val="000000" w:themeColor="text1"/>
                <w:szCs w:val="18"/>
              </w:rPr>
              <w:t>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xml:space="preserve">. Така інформація </w:t>
            </w:r>
            <w:r w:rsidRPr="00286216">
              <w:rPr>
                <w:color w:val="000000" w:themeColor="text1"/>
              </w:rPr>
              <w:lastRenderedPageBreak/>
              <w:t>обов’язково має містити розмір пакета такого власника із зазначенням відсотка, кількості, типу та/або класу належних такому власнику акцій та відомості про власника із зазначенням імені (найменування) власника, коду згідно з Єдиним державним реєстром юридичних осіб, фізичних осіб - підприємців та громадських формувань (для юридичної особи - резидента) або коду/номера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 власника.</w:t>
            </w:r>
          </w:p>
        </w:tc>
      </w:tr>
      <w:tr w:rsidR="004D649E" w:rsidRPr="00286216" w14:paraId="1EA55F69" w14:textId="77777777" w:rsidTr="00091AA5">
        <w:tc>
          <w:tcPr>
            <w:tcW w:w="576" w:type="dxa"/>
          </w:tcPr>
          <w:p w14:paraId="3106C7A9" w14:textId="77777777" w:rsidR="004D649E" w:rsidRPr="00286216" w:rsidRDefault="004D649E" w:rsidP="004D649E">
            <w:pPr>
              <w:pStyle w:val="StyleWisnow"/>
              <w:rPr>
                <w:color w:val="000000" w:themeColor="text1"/>
              </w:rPr>
            </w:pPr>
          </w:p>
        </w:tc>
        <w:tc>
          <w:tcPr>
            <w:tcW w:w="4818" w:type="dxa"/>
          </w:tcPr>
          <w:p w14:paraId="6C2676CF" w14:textId="77777777" w:rsidR="004D649E" w:rsidRPr="00286216" w:rsidRDefault="004D649E" w:rsidP="004D649E">
            <w:pPr>
              <w:pStyle w:val="StyleZakonu"/>
              <w:rPr>
                <w:color w:val="000000" w:themeColor="text1"/>
              </w:rPr>
            </w:pPr>
          </w:p>
        </w:tc>
        <w:tc>
          <w:tcPr>
            <w:tcW w:w="3686" w:type="dxa"/>
          </w:tcPr>
          <w:p w14:paraId="1AA8C9EE" w14:textId="3303EC81" w:rsidR="004D649E" w:rsidRPr="00286216" w:rsidRDefault="004D649E" w:rsidP="004D649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1073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58576422"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Доповнити розділ 1 законопроекту новою статтею такого змісту:</w:t>
            </w:r>
          </w:p>
          <w:p w14:paraId="2BA960CB"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"Стаття 128-1. Професійна таємниця на ринках капіталу та організованих товарних ринках</w:t>
            </w:r>
          </w:p>
          <w:p w14:paraId="1BF30991" w14:textId="11814B03" w:rsidR="004D649E" w:rsidRPr="00286216" w:rsidRDefault="004D649E" w:rsidP="004D649E">
            <w:pPr>
              <w:pStyle w:val="StyleProp"/>
              <w:spacing w:line="190" w:lineRule="exact"/>
              <w:rPr>
                <w:color w:val="000000" w:themeColor="text1"/>
                <w:spacing w:val="-2"/>
              </w:rPr>
            </w:pPr>
            <w:r w:rsidRPr="00286216">
              <w:rPr>
                <w:color w:val="000000" w:themeColor="text1"/>
                <w:spacing w:val="-2"/>
              </w:rPr>
              <w:t xml:space="preserve">1. Професійною таємницею на ринках капіталу та організованих товарних ринках (далі – професійною таємницею) є  інформація щодо діяльності та/або фінансового стану клієнта </w:t>
            </w:r>
            <w:r w:rsidRPr="00286216">
              <w:rPr>
                <w:color w:val="000000" w:themeColor="text1"/>
              </w:rPr>
              <w:t>та інша передбачена частиною другою цієї статті інформація, що</w:t>
            </w:r>
            <w:r w:rsidRPr="00286216">
              <w:rPr>
                <w:color w:val="000000" w:themeColor="text1"/>
                <w:spacing w:val="-2"/>
              </w:rPr>
              <w:t>, яка стала відомою:</w:t>
            </w:r>
          </w:p>
          <w:p w14:paraId="55C2AD88"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1) професійному учаснику ринків капіталу та організованих товарних ринків у процесі обслуговування клієнта при провадженні професійної діяльності на ринках капіталу та організованих товарних ринках;</w:t>
            </w:r>
          </w:p>
          <w:p w14:paraId="28881A8A"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2) третім особам при провадженні ними діяльності, пов’язаної з діяльністю на ринках капіталу та організованих товарних ринках;</w:t>
            </w:r>
          </w:p>
          <w:p w14:paraId="086EFBB3"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3) третім особам, які надають послуги чи виконують роботи відповідно до договорів, укладених з особами, зазначеними у пунктах 1 та 2 цієї частини;</w:t>
            </w:r>
          </w:p>
          <w:p w14:paraId="24BAB428"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4) Національній комісії з цінних паперів та фондового ринку, Національному банку України, іншим органам державної влади відповідно до їх повноважень.</w:t>
            </w:r>
          </w:p>
          <w:p w14:paraId="299E29DD"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2. Професійною таємницею, зокрема, є інформація та дані:</w:t>
            </w:r>
          </w:p>
          <w:p w14:paraId="33B8DA21"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1) про рахунки клієнтів;</w:t>
            </w:r>
          </w:p>
          <w:p w14:paraId="5594EB78"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 xml:space="preserve">2) про операції, які були проведені на користь чи за дорученням клієнта </w:t>
            </w:r>
            <w:r w:rsidRPr="00286216">
              <w:rPr>
                <w:color w:val="000000" w:themeColor="text1"/>
                <w:sz w:val="18"/>
              </w:rPr>
              <w:lastRenderedPageBreak/>
              <w:t>професійного учасника, вчинені клієнтом професійного учасника правочини;</w:t>
            </w:r>
          </w:p>
          <w:p w14:paraId="4D1A3F5F"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3) про клієнта професійного учасника, крім тієї, що отримана з публічних джерел;</w:t>
            </w:r>
          </w:p>
          <w:p w14:paraId="02FE051E"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4) що міститься у системі депозитарного обліку;</w:t>
            </w:r>
          </w:p>
          <w:p w14:paraId="66170F10"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5) що міститься у системі клірингового обліку;</w:t>
            </w:r>
          </w:p>
          <w:p w14:paraId="1DA9B760"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 xml:space="preserve">6) звітні дані учасника ринків капіталу та професійного учасника організованих товарних ринків за винятком тих, що підлягають оприлюдненню відповідно до законодавства; </w:t>
            </w:r>
          </w:p>
          <w:p w14:paraId="12ECB133"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7) про засоби, що використовуються професійним учасником ринків капіталу та організованих товарних ринків та особами, що провадять діяльність, пов’язану з діяльністю на ринках капіталу та організованих товарних ринках, для захисту інформації;</w:t>
            </w:r>
          </w:p>
          <w:p w14:paraId="1D56A468"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8) про учасників ринків капіталу та професійних учасників організованих товарних ринків чи їх клієнтів, що збирається від таких учасників та професійних учасників органами державної влади;</w:t>
            </w:r>
          </w:p>
          <w:p w14:paraId="1FEDEA12"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9) про професійних учасників ринків капіталу та організованих товарних ринків, їх клієнтів, операції, що ними вчиняються, отримана Національною комісією з цінних паперів та фондового ринку відповідно до міжнародного договору або за принципом взаємності від регулятора ринків капіталу та організованих товарних ринків іншої держави;</w:t>
            </w:r>
          </w:p>
          <w:p w14:paraId="0539888A"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3. Положення цієї статті не поширюються на інформацію, яка підлягає оприлюдненню відповідно до вимог закону, з моменту оприлюднення такої інформації.</w:t>
            </w:r>
          </w:p>
          <w:p w14:paraId="0B37BB00"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4. Національна комісія з цінних паперів та фондового ринку видає нормативно-правові акти з питань зберігання, захисту, використання та розкриття інформації, що становить професійну таємницю".</w:t>
            </w:r>
          </w:p>
        </w:tc>
        <w:tc>
          <w:tcPr>
            <w:tcW w:w="1987" w:type="dxa"/>
          </w:tcPr>
          <w:p w14:paraId="740DB08F" w14:textId="77777777" w:rsidR="004D649E" w:rsidRPr="00286216" w:rsidRDefault="004D649E" w:rsidP="004D649E">
            <w:pPr>
              <w:pStyle w:val="StyleWisnow"/>
              <w:rPr>
                <w:color w:val="000000" w:themeColor="text1"/>
              </w:rPr>
            </w:pPr>
            <w:r w:rsidRPr="00286216">
              <w:rPr>
                <w:color w:val="000000" w:themeColor="text1"/>
              </w:rPr>
              <w:lastRenderedPageBreak/>
              <w:t>Враховано</w:t>
            </w:r>
          </w:p>
        </w:tc>
        <w:tc>
          <w:tcPr>
            <w:tcW w:w="4818" w:type="dxa"/>
          </w:tcPr>
          <w:p w14:paraId="1995D286" w14:textId="77777777" w:rsidR="004D649E" w:rsidRPr="00286216" w:rsidRDefault="004D649E" w:rsidP="004D649E">
            <w:pPr>
              <w:pStyle w:val="StyleZakonu"/>
              <w:rPr>
                <w:color w:val="000000" w:themeColor="text1"/>
              </w:rPr>
            </w:pPr>
            <w:r w:rsidRPr="00286216">
              <w:rPr>
                <w:color w:val="000000" w:themeColor="text1"/>
              </w:rPr>
              <w:t>Стаття 134. Професійна таємниця на ринках капіталу та організованих товарних ринках</w:t>
            </w:r>
          </w:p>
          <w:p w14:paraId="23BA2A5C" w14:textId="77777777" w:rsidR="004D649E" w:rsidRPr="00286216" w:rsidRDefault="004D649E" w:rsidP="004D649E">
            <w:pPr>
              <w:pStyle w:val="StyleZakonu"/>
              <w:rPr>
                <w:color w:val="000000" w:themeColor="text1"/>
              </w:rPr>
            </w:pPr>
            <w:r w:rsidRPr="00286216">
              <w:rPr>
                <w:color w:val="000000" w:themeColor="text1"/>
              </w:rPr>
              <w:t>1. Професійною таємницею на ринках капіталу та організованих товарних ринках (далі – професійна таємниця) є інформація  про діяльність та/або фінансовий стан клієнта, а також інша передбачена частиною другою цієї статті інформація, що стала відомою:</w:t>
            </w:r>
          </w:p>
          <w:p w14:paraId="37F7D06F" w14:textId="77777777" w:rsidR="004D649E" w:rsidRPr="00286216" w:rsidRDefault="004D649E" w:rsidP="004D649E">
            <w:pPr>
              <w:pStyle w:val="StyleZakonu"/>
              <w:rPr>
                <w:color w:val="000000" w:themeColor="text1"/>
              </w:rPr>
            </w:pPr>
            <w:r w:rsidRPr="00286216">
              <w:rPr>
                <w:color w:val="000000" w:themeColor="text1"/>
              </w:rPr>
              <w:t>1) професійному учаснику ринків капіталу та організованих товарних ринків у процесі обслуговування клієнта при провадженні професійної діяльності на ринках капіталу та організованих товарних ринках;</w:t>
            </w:r>
          </w:p>
          <w:p w14:paraId="3903F0F7" w14:textId="77777777" w:rsidR="004D649E" w:rsidRPr="00286216" w:rsidRDefault="004D649E" w:rsidP="004D649E">
            <w:pPr>
              <w:pStyle w:val="StyleZakonu"/>
              <w:rPr>
                <w:color w:val="000000" w:themeColor="text1"/>
              </w:rPr>
            </w:pPr>
            <w:r w:rsidRPr="00286216">
              <w:rPr>
                <w:color w:val="000000" w:themeColor="text1"/>
              </w:rPr>
              <w:t>2) третім особам під час провадження ними діяльності, пов’язаної з ринками капіталу та організованими товарними ринками;</w:t>
            </w:r>
          </w:p>
          <w:p w14:paraId="674007DF" w14:textId="77777777" w:rsidR="004D649E" w:rsidRPr="00286216" w:rsidRDefault="004D649E" w:rsidP="004D649E">
            <w:pPr>
              <w:pStyle w:val="StyleZakonu"/>
              <w:rPr>
                <w:color w:val="000000" w:themeColor="text1"/>
              </w:rPr>
            </w:pPr>
            <w:r w:rsidRPr="00286216">
              <w:rPr>
                <w:color w:val="000000" w:themeColor="text1"/>
              </w:rPr>
              <w:t>3) третім особам, які надають послуги чи виконують роботи відповідно до договорів, укладених з особами, зазначеними у пунктах 1 і 2 цієї частини;</w:t>
            </w:r>
          </w:p>
          <w:p w14:paraId="1E7AF58B" w14:textId="77777777" w:rsidR="004D649E" w:rsidRPr="00286216" w:rsidRDefault="004D649E" w:rsidP="004D649E">
            <w:pPr>
              <w:pStyle w:val="StyleZakonu"/>
              <w:rPr>
                <w:color w:val="000000" w:themeColor="text1"/>
              </w:rPr>
            </w:pPr>
            <w:r w:rsidRPr="00286216">
              <w:rPr>
                <w:color w:val="000000" w:themeColor="text1"/>
              </w:rPr>
              <w:t>4) Національній комісії з цінних паперів та фондового ринку, Національному банку України, іншим органам державної влади відповідно до їх повноважень.</w:t>
            </w:r>
          </w:p>
          <w:p w14:paraId="6E2A8ED0" w14:textId="77777777" w:rsidR="004D649E" w:rsidRPr="00286216" w:rsidRDefault="004D649E" w:rsidP="004D649E">
            <w:pPr>
              <w:pStyle w:val="StyleZakonu"/>
              <w:rPr>
                <w:color w:val="000000" w:themeColor="text1"/>
              </w:rPr>
            </w:pPr>
            <w:r w:rsidRPr="00286216">
              <w:rPr>
                <w:color w:val="000000" w:themeColor="text1"/>
              </w:rPr>
              <w:t>2. Професійною таємницею, зокрема, є інформація та дані:</w:t>
            </w:r>
          </w:p>
          <w:p w14:paraId="71B5C00A" w14:textId="77777777" w:rsidR="004D649E" w:rsidRPr="00286216" w:rsidRDefault="004D649E" w:rsidP="004D649E">
            <w:pPr>
              <w:pStyle w:val="StyleZakonu"/>
              <w:rPr>
                <w:color w:val="000000" w:themeColor="text1"/>
              </w:rPr>
            </w:pPr>
            <w:r w:rsidRPr="00286216">
              <w:rPr>
                <w:color w:val="000000" w:themeColor="text1"/>
              </w:rPr>
              <w:t>1) про рахунки клієнтів;</w:t>
            </w:r>
          </w:p>
          <w:p w14:paraId="649530D9" w14:textId="77777777" w:rsidR="004D649E" w:rsidRPr="00286216" w:rsidRDefault="004D649E" w:rsidP="004D649E">
            <w:pPr>
              <w:pStyle w:val="StyleZakonu"/>
              <w:rPr>
                <w:color w:val="000000" w:themeColor="text1"/>
              </w:rPr>
            </w:pPr>
            <w:r w:rsidRPr="00286216">
              <w:rPr>
                <w:color w:val="000000" w:themeColor="text1"/>
              </w:rPr>
              <w:t xml:space="preserve">2) про операції, проведені на користь чи за </w:t>
            </w:r>
            <w:r w:rsidRPr="00286216">
              <w:rPr>
                <w:color w:val="000000" w:themeColor="text1"/>
              </w:rPr>
              <w:lastRenderedPageBreak/>
              <w:t>дорученням клієнта професійного учасника, про вчинені клієнтом професійного учасника правочини;</w:t>
            </w:r>
          </w:p>
          <w:p w14:paraId="4A7FE05B" w14:textId="77777777" w:rsidR="004D649E" w:rsidRPr="00286216" w:rsidRDefault="004D649E" w:rsidP="004D649E">
            <w:pPr>
              <w:pStyle w:val="StyleZakonu"/>
              <w:rPr>
                <w:color w:val="000000" w:themeColor="text1"/>
              </w:rPr>
            </w:pPr>
            <w:r w:rsidRPr="00286216">
              <w:rPr>
                <w:color w:val="000000" w:themeColor="text1"/>
              </w:rPr>
              <w:t>3) про клієнта професійного учасника, крім  отриманої з публічних джерел;</w:t>
            </w:r>
          </w:p>
          <w:p w14:paraId="26CECFA3" w14:textId="77777777" w:rsidR="004D649E" w:rsidRPr="00286216" w:rsidRDefault="004D649E" w:rsidP="004D649E">
            <w:pPr>
              <w:pStyle w:val="StyleZakonu"/>
              <w:rPr>
                <w:color w:val="000000" w:themeColor="text1"/>
              </w:rPr>
            </w:pPr>
            <w:r w:rsidRPr="00286216">
              <w:rPr>
                <w:color w:val="000000" w:themeColor="text1"/>
              </w:rPr>
              <w:t>4) що міститься у системі депозитарного обліку;</w:t>
            </w:r>
          </w:p>
          <w:p w14:paraId="67006C1D" w14:textId="77777777" w:rsidR="004D649E" w:rsidRPr="00286216" w:rsidRDefault="004D649E" w:rsidP="004D649E">
            <w:pPr>
              <w:pStyle w:val="StyleZakonu"/>
              <w:rPr>
                <w:color w:val="000000" w:themeColor="text1"/>
              </w:rPr>
            </w:pPr>
            <w:r w:rsidRPr="00286216">
              <w:rPr>
                <w:color w:val="000000" w:themeColor="text1"/>
              </w:rPr>
              <w:t>5) що міститься у системі клірингового обліку;</w:t>
            </w:r>
          </w:p>
          <w:p w14:paraId="164094D1" w14:textId="77777777" w:rsidR="004D649E" w:rsidRPr="00286216" w:rsidRDefault="004D649E" w:rsidP="004D649E">
            <w:pPr>
              <w:pStyle w:val="StyleZakonu"/>
              <w:rPr>
                <w:color w:val="000000" w:themeColor="text1"/>
              </w:rPr>
            </w:pPr>
            <w:r w:rsidRPr="00286216">
              <w:rPr>
                <w:color w:val="000000" w:themeColor="text1"/>
              </w:rPr>
              <w:t xml:space="preserve">6) звітні дані учасника ринків капіталу та професійного учасника організованих товарних ринків, крім тих, що підлягають оприлюдненню відповідно до законодавства; </w:t>
            </w:r>
          </w:p>
          <w:p w14:paraId="4699C834" w14:textId="77777777" w:rsidR="004D649E" w:rsidRPr="00286216" w:rsidRDefault="004D649E" w:rsidP="004D649E">
            <w:pPr>
              <w:pStyle w:val="StyleZakonu"/>
              <w:rPr>
                <w:color w:val="000000" w:themeColor="text1"/>
              </w:rPr>
            </w:pPr>
            <w:r w:rsidRPr="00286216">
              <w:rPr>
                <w:color w:val="000000" w:themeColor="text1"/>
              </w:rPr>
              <w:t>7) про засоби, що використовуються професійним учасником ринків капіталу та організованих товарних ринків та особами,  які провадять діяльність, пов’язану з ринками капіталу та організованими товарними ринками, для захисту інформації;</w:t>
            </w:r>
          </w:p>
          <w:p w14:paraId="14A24829" w14:textId="77777777" w:rsidR="004D649E" w:rsidRPr="00286216" w:rsidRDefault="004D649E" w:rsidP="004D649E">
            <w:pPr>
              <w:pStyle w:val="StyleZakonu"/>
              <w:rPr>
                <w:color w:val="000000" w:themeColor="text1"/>
              </w:rPr>
            </w:pPr>
            <w:r w:rsidRPr="00286216">
              <w:rPr>
                <w:color w:val="000000" w:themeColor="text1"/>
              </w:rPr>
              <w:t>8) про учасників ринків капіталу та професійних учасників організованих товарних ринків або їхніх клієнтів,  отримана від таких учасників та професійних учасників органами державної влади;</w:t>
            </w:r>
          </w:p>
          <w:p w14:paraId="30B71B7F" w14:textId="77777777" w:rsidR="004D649E" w:rsidRPr="00286216" w:rsidRDefault="004D649E" w:rsidP="004D649E">
            <w:pPr>
              <w:pStyle w:val="StyleZakonu"/>
              <w:rPr>
                <w:color w:val="000000" w:themeColor="text1"/>
              </w:rPr>
            </w:pPr>
            <w:r w:rsidRPr="00286216">
              <w:rPr>
                <w:color w:val="000000" w:themeColor="text1"/>
              </w:rPr>
              <w:t>9) про професійних учасників ринків капіталу та організованих товарних ринків, їхніх клієнтів, операції, що ними здійснюються, отримана Національною комісією з цінних паперів та фондового ринку відповідно до міжнародного договору або за принципом взаємності від регулятора ринків капіталу та організованих товарних ринків іншої держави;</w:t>
            </w:r>
          </w:p>
          <w:p w14:paraId="7BA69F5D" w14:textId="77777777" w:rsidR="004D649E" w:rsidRPr="00286216" w:rsidRDefault="004D649E" w:rsidP="004D649E">
            <w:pPr>
              <w:pStyle w:val="StyleZakonu"/>
              <w:rPr>
                <w:color w:val="000000" w:themeColor="text1"/>
              </w:rPr>
            </w:pPr>
            <w:r w:rsidRPr="00286216">
              <w:rPr>
                <w:color w:val="000000" w:themeColor="text1"/>
              </w:rPr>
              <w:t>3. Положення цієї статті не поширюються на інформацію,  що підлягає оприлюдненню відповідно до вимог закону, з моменту оприлюднення такої інформації.</w:t>
            </w:r>
          </w:p>
          <w:p w14:paraId="3BC20E24" w14:textId="423CB6E2" w:rsidR="004D649E" w:rsidRPr="00286216" w:rsidRDefault="004D649E" w:rsidP="004D649E">
            <w:pPr>
              <w:pStyle w:val="StyleZakonu"/>
              <w:rPr>
                <w:color w:val="000000" w:themeColor="text1"/>
              </w:rPr>
            </w:pPr>
            <w:r w:rsidRPr="00286216">
              <w:rPr>
                <w:color w:val="000000" w:themeColor="text1"/>
              </w:rPr>
              <w:t>4. Національна комісія з цінних паперів та фондового ринку видає нормативно-правові акти з питань зберігання, захисту, використання та розкриття інформації, що становить професійну таємницю.</w:t>
            </w:r>
          </w:p>
        </w:tc>
      </w:tr>
      <w:tr w:rsidR="004D649E" w:rsidRPr="00286216" w14:paraId="723616DB" w14:textId="77777777" w:rsidTr="00091AA5">
        <w:tc>
          <w:tcPr>
            <w:tcW w:w="576" w:type="dxa"/>
          </w:tcPr>
          <w:p w14:paraId="4949FAF0" w14:textId="77777777" w:rsidR="004D649E" w:rsidRPr="00286216" w:rsidRDefault="004D649E" w:rsidP="004D649E">
            <w:pPr>
              <w:pStyle w:val="StyleWisnow"/>
              <w:rPr>
                <w:color w:val="000000" w:themeColor="text1"/>
              </w:rPr>
            </w:pPr>
          </w:p>
        </w:tc>
        <w:tc>
          <w:tcPr>
            <w:tcW w:w="4818" w:type="dxa"/>
          </w:tcPr>
          <w:p w14:paraId="362CA114" w14:textId="77777777" w:rsidR="004D649E" w:rsidRPr="00286216" w:rsidRDefault="004D649E" w:rsidP="004D649E">
            <w:pPr>
              <w:pStyle w:val="StyleZakonu"/>
              <w:rPr>
                <w:color w:val="000000" w:themeColor="text1"/>
              </w:rPr>
            </w:pPr>
          </w:p>
        </w:tc>
        <w:tc>
          <w:tcPr>
            <w:tcW w:w="3686" w:type="dxa"/>
          </w:tcPr>
          <w:p w14:paraId="692C5893" w14:textId="433955DB" w:rsidR="004D649E" w:rsidRPr="00286216" w:rsidRDefault="004D649E" w:rsidP="004D649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1074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54EF736"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Доповнити новою статтею такого змісту:</w:t>
            </w:r>
          </w:p>
          <w:p w14:paraId="216EBD78"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"Стаття 128-2. Збереження професійної таємниці на ринках капіталу та організованих товарних ринках</w:t>
            </w:r>
          </w:p>
          <w:p w14:paraId="306758D2"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 xml:space="preserve">1. Особи, зазначені в частині першій статті 128-1, яким стала відома інформація, що </w:t>
            </w:r>
            <w:r w:rsidRPr="00286216">
              <w:rPr>
                <w:color w:val="000000" w:themeColor="text1"/>
                <w:sz w:val="18"/>
              </w:rPr>
              <w:lastRenderedPageBreak/>
              <w:t>становить професійну таємницю, зобов’язані забезпечити її збереження шляхом:</w:t>
            </w:r>
          </w:p>
          <w:p w14:paraId="07C73AEC"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1) обмеження кола осіб, які мають доступ до інформації, що становить професійну таємницю;</w:t>
            </w:r>
          </w:p>
          <w:p w14:paraId="012C1FEB"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2) організації спеціального діловодства з документами, що містять професійну таємницю;</w:t>
            </w:r>
          </w:p>
          <w:p w14:paraId="14D125FB"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3) застосування технічних засобів для запобігання несанкціонованому доступу до електронних та інших носіїв інформації;</w:t>
            </w:r>
          </w:p>
          <w:p w14:paraId="36AADD16"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4) застосування застережень щодо збереження професійної таємниці та відповідальності за її розголошення у договорах і угодах.</w:t>
            </w:r>
          </w:p>
          <w:p w14:paraId="53F05E3C"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2. Посадові особи, працівники суб’єктів, зазначених у частині першій статті 128-1, зобов’язані не розголошувати та не використовувати з вигодою для себе чи для третіх осіб інформацію, що становить професійну таємницю та стала відома їм при виконанні своїх обов’язків. Зазначені особи при вступі на посаду, призначенні, укладенні відповідно договору підписують зобов'язання щодо збереження професійної таємниці.</w:t>
            </w:r>
          </w:p>
          <w:p w14:paraId="475BFFA9"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 xml:space="preserve">3. Професійні учасники ринків капіталу та організованих товарних ринків при провадженні ними професійної діяльності або органи державної влади, юридичні та фізичні особи, які при виконанні своїх функцій, визначених законом, які безпосередньо чи опосередковано отримали в установленому законом порядку інформацію, що становить професійну таємницю, зобов’язані забезпечити збереження такої інформації, не розголошувати цю інформацію і не використовувати її на свою користь чи на користь третіх осіб. </w:t>
            </w:r>
          </w:p>
          <w:p w14:paraId="2F6BC465"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4. Особи, винні в порушенні порядку розкриття та використання професійної таємниці, несуть відповідальність згідно із законом.</w:t>
            </w:r>
          </w:p>
          <w:p w14:paraId="545A33E7" w14:textId="77777777" w:rsidR="004D649E" w:rsidRPr="00286216" w:rsidRDefault="004D649E" w:rsidP="004D649E">
            <w:pPr>
              <w:spacing w:line="200" w:lineRule="exact"/>
              <w:ind w:firstLine="227"/>
              <w:jc w:val="both"/>
              <w:rPr>
                <w:color w:val="000000" w:themeColor="text1"/>
                <w:sz w:val="18"/>
              </w:rPr>
            </w:pPr>
            <w:r w:rsidRPr="00286216">
              <w:rPr>
                <w:color w:val="000000" w:themeColor="text1"/>
                <w:sz w:val="18"/>
              </w:rPr>
              <w:t xml:space="preserve">Особи, винні в розголошенні інформації, що становить професійну таємницю та/або її використанні на свою користь чи на користь третіх осіб, що заподіяло учаснику ринків капіталу або професійному учаснику організованих товарних ринків чи його клієнту збитки, зобов'язані відшкодувати завдані збитки та моральну шкоду відповідно </w:t>
            </w:r>
            <w:r w:rsidRPr="00286216">
              <w:rPr>
                <w:color w:val="000000" w:themeColor="text1"/>
                <w:sz w:val="18"/>
              </w:rPr>
              <w:lastRenderedPageBreak/>
              <w:t>до закону".</w:t>
            </w:r>
          </w:p>
        </w:tc>
        <w:tc>
          <w:tcPr>
            <w:tcW w:w="1987" w:type="dxa"/>
          </w:tcPr>
          <w:p w14:paraId="2385FD43" w14:textId="77777777" w:rsidR="004D649E" w:rsidRPr="00286216" w:rsidRDefault="004D649E" w:rsidP="004D649E">
            <w:pPr>
              <w:pStyle w:val="StyleWisnow"/>
              <w:rPr>
                <w:color w:val="000000" w:themeColor="text1"/>
              </w:rPr>
            </w:pPr>
            <w:r w:rsidRPr="00286216">
              <w:rPr>
                <w:color w:val="000000" w:themeColor="text1"/>
              </w:rPr>
              <w:lastRenderedPageBreak/>
              <w:t>Враховано</w:t>
            </w:r>
          </w:p>
        </w:tc>
        <w:tc>
          <w:tcPr>
            <w:tcW w:w="4818" w:type="dxa"/>
          </w:tcPr>
          <w:p w14:paraId="098016FB" w14:textId="77777777" w:rsidR="004D649E" w:rsidRPr="00286216" w:rsidRDefault="004D649E" w:rsidP="004D649E">
            <w:pPr>
              <w:pStyle w:val="StyleZakonu"/>
              <w:rPr>
                <w:color w:val="000000" w:themeColor="text1"/>
              </w:rPr>
            </w:pPr>
            <w:r w:rsidRPr="00286216">
              <w:rPr>
                <w:color w:val="000000" w:themeColor="text1"/>
              </w:rPr>
              <w:t>Стаття 135. Збереження професійної таємниці на ринках капіталу та організованих товарних ринках</w:t>
            </w:r>
          </w:p>
          <w:p w14:paraId="11FE49A4" w14:textId="77777777" w:rsidR="004D649E" w:rsidRPr="00286216" w:rsidRDefault="004D649E" w:rsidP="004D649E">
            <w:pPr>
              <w:pStyle w:val="StyleZakonu"/>
              <w:rPr>
                <w:color w:val="000000" w:themeColor="text1"/>
              </w:rPr>
            </w:pPr>
            <w:r w:rsidRPr="00286216">
              <w:rPr>
                <w:color w:val="000000" w:themeColor="text1"/>
              </w:rPr>
              <w:t>1. Особи, зазначені у частині першій статті 134 цього Закону, яким стала відома інформація, що становить професійну таємницю, зобов’язані забезпечити її збереження шляхом:</w:t>
            </w:r>
          </w:p>
          <w:p w14:paraId="635BE3BB" w14:textId="77777777" w:rsidR="004D649E" w:rsidRPr="00286216" w:rsidRDefault="004D649E" w:rsidP="004D649E">
            <w:pPr>
              <w:pStyle w:val="StyleZakonu"/>
              <w:rPr>
                <w:color w:val="000000" w:themeColor="text1"/>
              </w:rPr>
            </w:pPr>
            <w:r w:rsidRPr="00286216">
              <w:rPr>
                <w:color w:val="000000" w:themeColor="text1"/>
              </w:rPr>
              <w:lastRenderedPageBreak/>
              <w:t>1) обмеження кола осіб, які мають доступ до інформації, що становить професійну таємницю;</w:t>
            </w:r>
          </w:p>
          <w:p w14:paraId="573C5DE4" w14:textId="77777777" w:rsidR="004D649E" w:rsidRPr="00286216" w:rsidRDefault="004D649E" w:rsidP="004D649E">
            <w:pPr>
              <w:pStyle w:val="StyleZakonu"/>
              <w:rPr>
                <w:color w:val="000000" w:themeColor="text1"/>
              </w:rPr>
            </w:pPr>
            <w:r w:rsidRPr="00286216">
              <w:rPr>
                <w:color w:val="000000" w:themeColor="text1"/>
              </w:rPr>
              <w:t>2) організації спеціального діловодства з документами, що містять професійну таємницю;</w:t>
            </w:r>
          </w:p>
          <w:p w14:paraId="41EACF51" w14:textId="77777777" w:rsidR="004D649E" w:rsidRPr="00286216" w:rsidRDefault="004D649E" w:rsidP="004D649E">
            <w:pPr>
              <w:pStyle w:val="StyleZakonu"/>
              <w:rPr>
                <w:color w:val="000000" w:themeColor="text1"/>
              </w:rPr>
            </w:pPr>
            <w:r w:rsidRPr="00286216">
              <w:rPr>
                <w:color w:val="000000" w:themeColor="text1"/>
              </w:rPr>
              <w:t>3) застосування технічних засобів для запобігання несанкціонованому доступу до електронних та інших носіїв інформації;</w:t>
            </w:r>
          </w:p>
          <w:p w14:paraId="682027F2" w14:textId="77777777" w:rsidR="004D649E" w:rsidRPr="00286216" w:rsidRDefault="004D649E" w:rsidP="004D649E">
            <w:pPr>
              <w:pStyle w:val="StyleZakonu"/>
              <w:rPr>
                <w:color w:val="000000" w:themeColor="text1"/>
              </w:rPr>
            </w:pPr>
            <w:r w:rsidRPr="00286216">
              <w:rPr>
                <w:color w:val="000000" w:themeColor="text1"/>
              </w:rPr>
              <w:t>4) застосування застережень щодо збереження професійної таємниці та встановлення відповідальності за її розголошення у договорах і угодах.</w:t>
            </w:r>
          </w:p>
          <w:p w14:paraId="34A960BB" w14:textId="77777777" w:rsidR="004D649E" w:rsidRPr="00286216" w:rsidRDefault="004D649E" w:rsidP="004D649E">
            <w:pPr>
              <w:pStyle w:val="StyleZakonu"/>
              <w:rPr>
                <w:color w:val="000000" w:themeColor="text1"/>
              </w:rPr>
            </w:pPr>
            <w:r w:rsidRPr="00286216">
              <w:rPr>
                <w:color w:val="000000" w:themeColor="text1"/>
              </w:rPr>
              <w:t>2. Посадові особи, працівники суб’єктів, зазначених у частині першій статті 134 цього Закону, зобов’язані не розголошувати та не використовувати у своїх інтересах або інтересах  третіх осіб інформацію, що становить професійну таємницю та стала відома їм  під час виконання їхніх  обов’язків. Зазначені особи  під час вступу на посаду, призначення, укладення відповідного договору підписують зобов'язання щодо збереження професійної таємниці.</w:t>
            </w:r>
          </w:p>
          <w:p w14:paraId="60F0BC66" w14:textId="77777777" w:rsidR="004D649E" w:rsidRPr="00286216" w:rsidRDefault="004D649E" w:rsidP="004D649E">
            <w:pPr>
              <w:pStyle w:val="StyleZakonu"/>
              <w:rPr>
                <w:color w:val="000000" w:themeColor="text1"/>
              </w:rPr>
            </w:pPr>
            <w:r w:rsidRPr="00286216">
              <w:rPr>
                <w:color w:val="000000" w:themeColor="text1"/>
              </w:rPr>
              <w:t xml:space="preserve">3. Професійні учасники ринків капіталу та організованих товарних ринків  під час провадження ними професійної діяльності або органи державної влади, юридичні та фізичні особи, які під час виконання своїх функцій, визначених законом, безпосередньо чи опосередковано отримали в установленому законом порядку інформацію, що становить професійну таємницю, зобов’язані забезпечити збереження такої інформації, не розголошувати і не використовувати її у своїх інтересах або інтересах третіх осіб. </w:t>
            </w:r>
          </w:p>
          <w:p w14:paraId="0E78866D" w14:textId="77777777" w:rsidR="004D649E" w:rsidRPr="00286216" w:rsidRDefault="004D649E" w:rsidP="004D649E">
            <w:pPr>
              <w:pStyle w:val="StyleZakonu"/>
              <w:rPr>
                <w:color w:val="000000" w:themeColor="text1"/>
              </w:rPr>
            </w:pPr>
            <w:r w:rsidRPr="00286216">
              <w:rPr>
                <w:color w:val="000000" w:themeColor="text1"/>
              </w:rPr>
              <w:t>4. Особи, винні у порушенні порядку розкриття та використання професійної таємниці, несуть відповідальність згідно із законом.</w:t>
            </w:r>
          </w:p>
          <w:p w14:paraId="0DD9A907" w14:textId="40C9B041" w:rsidR="004D649E" w:rsidRPr="00286216" w:rsidRDefault="004D649E" w:rsidP="004D649E">
            <w:pPr>
              <w:pStyle w:val="StyleZakonu"/>
              <w:rPr>
                <w:color w:val="000000" w:themeColor="text1"/>
              </w:rPr>
            </w:pPr>
            <w:r w:rsidRPr="00286216">
              <w:rPr>
                <w:color w:val="000000" w:themeColor="text1"/>
              </w:rPr>
              <w:t>Особи, винні в розголошенні та/або використанні у своїх інтересах або інтересах третіх осіб, інформації, що становить професійну таємницю, що заподіяло учаснику ринків капіталу або професійному учаснику організованих товарних ринків чи його клієнту збитки, зобов'язані відшкодувати заподіяні збитки та моральну шкоду відповідно до закону.</w:t>
            </w:r>
          </w:p>
        </w:tc>
      </w:tr>
      <w:tr w:rsidR="004D649E" w:rsidRPr="00286216" w14:paraId="55075715" w14:textId="77777777" w:rsidTr="00091AA5">
        <w:tc>
          <w:tcPr>
            <w:tcW w:w="576" w:type="dxa"/>
          </w:tcPr>
          <w:p w14:paraId="2017BAEF" w14:textId="77777777" w:rsidR="004D649E" w:rsidRPr="00286216" w:rsidRDefault="004D649E" w:rsidP="004D649E">
            <w:pPr>
              <w:pStyle w:val="StyleWisnow"/>
              <w:rPr>
                <w:color w:val="000000" w:themeColor="text1"/>
              </w:rPr>
            </w:pPr>
          </w:p>
        </w:tc>
        <w:tc>
          <w:tcPr>
            <w:tcW w:w="4818" w:type="dxa"/>
          </w:tcPr>
          <w:p w14:paraId="496B218A" w14:textId="77777777" w:rsidR="004D649E" w:rsidRPr="00286216" w:rsidRDefault="004D649E" w:rsidP="004D649E">
            <w:pPr>
              <w:pStyle w:val="StyleZakonu"/>
              <w:rPr>
                <w:color w:val="000000" w:themeColor="text1"/>
              </w:rPr>
            </w:pPr>
          </w:p>
        </w:tc>
        <w:tc>
          <w:tcPr>
            <w:tcW w:w="3686" w:type="dxa"/>
          </w:tcPr>
          <w:p w14:paraId="2DF2863F" w14:textId="4A892354" w:rsidR="004D649E" w:rsidRPr="00286216" w:rsidRDefault="004D649E" w:rsidP="004D649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1075</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C14F3EE" w14:textId="77777777" w:rsidR="004D649E" w:rsidRPr="00286216" w:rsidRDefault="004D649E" w:rsidP="004D649E">
            <w:pPr>
              <w:pStyle w:val="StyleProp"/>
              <w:spacing w:line="190" w:lineRule="exact"/>
              <w:rPr>
                <w:color w:val="000000" w:themeColor="text1"/>
              </w:rPr>
            </w:pPr>
            <w:r w:rsidRPr="00286216">
              <w:rPr>
                <w:color w:val="000000" w:themeColor="text1"/>
              </w:rPr>
              <w:t>Доповнити новою статтею такого змісту:</w:t>
            </w:r>
          </w:p>
          <w:p w14:paraId="5ADED185" w14:textId="77777777" w:rsidR="004D649E" w:rsidRPr="00286216" w:rsidRDefault="004D649E" w:rsidP="004D649E">
            <w:pPr>
              <w:pStyle w:val="StyleProp"/>
              <w:spacing w:line="190" w:lineRule="exact"/>
              <w:rPr>
                <w:color w:val="000000" w:themeColor="text1"/>
              </w:rPr>
            </w:pPr>
            <w:r w:rsidRPr="00286216">
              <w:rPr>
                <w:color w:val="000000" w:themeColor="text1"/>
              </w:rPr>
              <w:t>"Стаття 128-3. Розкриття професійної таємниці</w:t>
            </w:r>
          </w:p>
          <w:p w14:paraId="3118AFE9" w14:textId="77777777" w:rsidR="004D649E" w:rsidRPr="00286216" w:rsidRDefault="004D649E" w:rsidP="004D649E">
            <w:pPr>
              <w:pStyle w:val="StyleProp"/>
              <w:spacing w:line="190" w:lineRule="exact"/>
              <w:rPr>
                <w:color w:val="000000" w:themeColor="text1"/>
              </w:rPr>
            </w:pPr>
            <w:r w:rsidRPr="00286216">
              <w:rPr>
                <w:color w:val="000000" w:themeColor="text1"/>
              </w:rPr>
              <w:t>1. Інформація, що становить професійну таємницю, надається особами, зазначеними у пунктах 1-3 частини першої статті 128-1 за відповідним рішенням суду або на письмовий запит, отриманий від:</w:t>
            </w:r>
          </w:p>
          <w:p w14:paraId="1B215A42"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1) відповідної юридичної чи фізичної особи, якої стосується інформація, що становить професійну таємницю, або з письмового дозволу такої особи; </w:t>
            </w:r>
          </w:p>
          <w:p w14:paraId="69905CEE"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2) бенефіціара стосовно інформації щодо рахунку умовного зберігання в цінних паперах та операцій за ним; </w:t>
            </w:r>
          </w:p>
          <w:p w14:paraId="624A1730" w14:textId="77777777" w:rsidR="004D649E" w:rsidRPr="00286216" w:rsidRDefault="004D649E" w:rsidP="004D649E">
            <w:pPr>
              <w:pStyle w:val="StyleProp"/>
              <w:spacing w:line="190" w:lineRule="exact"/>
              <w:rPr>
                <w:color w:val="000000" w:themeColor="text1"/>
              </w:rPr>
            </w:pPr>
            <w:r w:rsidRPr="00286216">
              <w:rPr>
                <w:color w:val="000000" w:themeColor="text1"/>
              </w:rPr>
              <w:t>3) обтяжувача стосовно інформації щодо залишку цінних паперів, стосовно прав на цінні папери та/або прав за цінними паперами на рахунку в цінних паперах, які є предметом обтяження, стосовно операцій за рахунком в цінних паперах, стосовно обтяжень, щодо яких до учасника ринків капіталу та професійного організованих товарних ринків надійшли повідомлення, та стосовно інших обмежень прав на цінні папери та/або прав за цінними паперами;</w:t>
            </w:r>
          </w:p>
          <w:p w14:paraId="4F686886" w14:textId="77777777" w:rsidR="004D649E" w:rsidRPr="00286216" w:rsidRDefault="004D649E" w:rsidP="004D649E">
            <w:pPr>
              <w:pStyle w:val="StyleProp"/>
              <w:spacing w:line="190" w:lineRule="exact"/>
              <w:rPr>
                <w:color w:val="000000" w:themeColor="text1"/>
              </w:rPr>
            </w:pPr>
            <w:r w:rsidRPr="00286216">
              <w:rPr>
                <w:color w:val="000000" w:themeColor="text1"/>
              </w:rPr>
              <w:t>4) органів прокуратури України, Служби безпеки України, Державного бюро розслідувань, Національної поліції, Національного антикорупційного бюро України, Антимонопольного комітету України, Національного агентства з питань запобігання корупції, Національного агентства України з питань виявлення, розшуку та управління активами, одержаними від корупційних та інших злочинів – стосовно рахунків клієнтів та операцій, які були проведені на користь чи за дорученням клієнта, а саме відомості на конкретно визначену дату або за конкретний проміжок часу та щодо конкретної юридичної або фізичної особи, фізичної особи – підприємця про: наявність рахунків, номери рахунків, залишок цінних паперів та інших активів на рахунках, операції списання з рахунків та/або зарахування на рахунки, призначення платежу, ідентифікаційні дані контрагента, номер рахунку контрагента та код контрагента професійного учасника ринків капіталу та організованих товарних ринків;</w:t>
            </w:r>
          </w:p>
          <w:p w14:paraId="737EBF95" w14:textId="77777777" w:rsidR="004D649E" w:rsidRPr="00286216" w:rsidRDefault="004D649E" w:rsidP="004D649E">
            <w:pPr>
              <w:pStyle w:val="StyleProp"/>
              <w:spacing w:line="190" w:lineRule="exact"/>
              <w:rPr>
                <w:color w:val="000000" w:themeColor="text1"/>
              </w:rPr>
            </w:pPr>
            <w:r w:rsidRPr="00286216">
              <w:rPr>
                <w:color w:val="000000" w:themeColor="text1"/>
              </w:rPr>
              <w:lastRenderedPageBreak/>
              <w:t>5) центрального органу виконавчої влади, що реалізує державну податкову політику, на його запит щодо наявності рахунків у цінних паперах та/або у випадках та в обсязі, визначених Угодою між Урядом України та Урядом Сполучених Штатів Америки для поліпшення виконання податкових правил й застосування положень Закону США "Про податкові вимоги до іноземних рахунків" (FATCA) та іншими міжнародними договорами, що містять положення про обмін інформацією для податкових цілей, згода на обов’язковість яких надана Верховною Радою України, або укладеними на їх підставі міжвідомчими договорами. Порядок розкриття такої інформації встановлюється Національною комісією з цінних паперів та фондового ринку;</w:t>
            </w:r>
          </w:p>
          <w:p w14:paraId="6088AE57" w14:textId="77777777" w:rsidR="004D649E" w:rsidRPr="00286216" w:rsidRDefault="004D649E" w:rsidP="004D649E">
            <w:pPr>
              <w:pStyle w:val="StyleProp"/>
              <w:spacing w:line="190" w:lineRule="exact"/>
              <w:rPr>
                <w:color w:val="000000" w:themeColor="text1"/>
              </w:rPr>
            </w:pPr>
            <w:r w:rsidRPr="00286216">
              <w:rPr>
                <w:color w:val="000000" w:themeColor="text1"/>
              </w:rPr>
              <w:t>6) центрального органу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щодо фінансових операцій, що є об'єктом фінансового моніторингу згідно із законодавством щодо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а також учасників зазначених операцій;</w:t>
            </w:r>
          </w:p>
          <w:p w14:paraId="76951924" w14:textId="77777777" w:rsidR="004D649E" w:rsidRPr="00286216" w:rsidRDefault="004D649E" w:rsidP="004D649E">
            <w:pPr>
              <w:pStyle w:val="StyleProp"/>
              <w:spacing w:line="190" w:lineRule="exact"/>
              <w:rPr>
                <w:color w:val="000000" w:themeColor="text1"/>
              </w:rPr>
            </w:pPr>
            <w:r w:rsidRPr="00286216">
              <w:rPr>
                <w:color w:val="000000" w:themeColor="text1"/>
              </w:rPr>
              <w:t>7) органів державної виконавчої служби, приватних виконавців – з питань виконання рішень судів та рішень, що підлягають примусовому виконанню відповідно до Закону України "Про виконавче провадження", – стосовно рахунків клієнтів та операцій, які були проведені на користь чи за дорученням клієнта, а саме відомості на конкретно визначену дату або за конкретний проміжок часу та щодо конкретної юридичної або фізичної особи, фізичної особи – підприємця про: наявність рахунків, номери рахунків, залишок цінних паперів та інших активів на рахунках професійного учасника ринків капіталу та організованих товарних ринків;</w:t>
            </w:r>
          </w:p>
          <w:p w14:paraId="50F27C9A"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8) Національної комісії з цінних паперів та фондового ринку - щодо відомостей про активи, щодо яких професійним учасником ринків капіталу та організованих товарних </w:t>
            </w:r>
            <w:r w:rsidRPr="00286216">
              <w:rPr>
                <w:color w:val="000000" w:themeColor="text1"/>
              </w:rPr>
              <w:lastRenderedPageBreak/>
              <w:t>ринків було проведено операції, рахунки клієнтів та про відповідні операції з активами цих клієнтів, а також іншу інформацію у випадках, встановлених законом;</w:t>
            </w:r>
          </w:p>
          <w:p w14:paraId="01A309F9" w14:textId="77777777" w:rsidR="004D649E" w:rsidRPr="00286216" w:rsidRDefault="004D649E" w:rsidP="004D649E">
            <w:pPr>
              <w:pStyle w:val="StyleProp"/>
              <w:spacing w:line="190" w:lineRule="exact"/>
              <w:rPr>
                <w:color w:val="000000" w:themeColor="text1"/>
              </w:rPr>
            </w:pPr>
            <w:r w:rsidRPr="00286216">
              <w:rPr>
                <w:color w:val="000000" w:themeColor="text1"/>
              </w:rPr>
              <w:t>9) Національного банку України - щодо відомостей про власників цінних паперів, а також іншу інформацію, встановлену законом;</w:t>
            </w:r>
          </w:p>
          <w:p w14:paraId="66C249C1" w14:textId="77777777" w:rsidR="004D649E" w:rsidRPr="00286216" w:rsidRDefault="004D649E" w:rsidP="004D649E">
            <w:pPr>
              <w:pStyle w:val="StyleProp"/>
              <w:spacing w:line="190" w:lineRule="exact"/>
              <w:rPr>
                <w:color w:val="000000" w:themeColor="text1"/>
              </w:rPr>
            </w:pPr>
            <w:r w:rsidRPr="00286216">
              <w:rPr>
                <w:color w:val="000000" w:themeColor="text1"/>
              </w:rPr>
              <w:t>10) державних нотаріальних контор, приватних нотаріусів, посадових осіб органів місцевого самоврядування, уповноважених на вчинення нотаріальних дій, іноземних консульських установ (для вчинення такими особами нотаріальних дій з охорони спадкового майна, з видачі свідоцтв про право на спадщину, про право власності на частку в спільному майні подружжя в разі смерті одного з подружжя) – щодо наявності рахунків та залишку цінних паперів та інших активів на рахунках померлих власників цих рахунків та/або щодо наявності рахунків умовного зберігання в цінних паперах та цінних паперів на цих рахунках, призначених для перерахування померлим бенефіціарам;</w:t>
            </w:r>
          </w:p>
          <w:p w14:paraId="46946913" w14:textId="77777777" w:rsidR="004D649E" w:rsidRPr="00286216" w:rsidRDefault="004D649E" w:rsidP="004D649E">
            <w:pPr>
              <w:pStyle w:val="StyleProp"/>
              <w:spacing w:line="190" w:lineRule="exact"/>
              <w:rPr>
                <w:color w:val="000000" w:themeColor="text1"/>
              </w:rPr>
            </w:pPr>
            <w:r w:rsidRPr="00286216">
              <w:rPr>
                <w:color w:val="000000" w:themeColor="text1"/>
              </w:rPr>
              <w:t>11) інших професійних учасників ринків капіталів та організованих товарних ринків, відповідальних осіб фінансової групи - у випадках, передбачених цим Законом та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468FDBCA" w14:textId="77777777" w:rsidR="004D649E" w:rsidRPr="00286216" w:rsidRDefault="004D649E" w:rsidP="004D649E">
            <w:pPr>
              <w:pStyle w:val="StyleProp"/>
              <w:spacing w:line="190" w:lineRule="exact"/>
              <w:rPr>
                <w:color w:val="000000" w:themeColor="text1"/>
              </w:rPr>
            </w:pPr>
            <w:r w:rsidRPr="00286216">
              <w:rPr>
                <w:color w:val="000000" w:themeColor="text1"/>
              </w:rPr>
              <w:t>12) осіб, зазначених власником рахунку у відповідному розпорядженні професійного учасника ринків капіталів та організованих товарних ринків, у разі смерті такого власника рахунку – щодо наявності рахунків померлого власника та залишку цінних паперів та інших активів на рахунках.</w:t>
            </w:r>
          </w:p>
          <w:p w14:paraId="17EF9EB7" w14:textId="77777777" w:rsidR="004D649E" w:rsidRPr="00286216" w:rsidRDefault="004D649E" w:rsidP="004D649E">
            <w:pPr>
              <w:pStyle w:val="StyleProp"/>
              <w:spacing w:line="190" w:lineRule="exact"/>
              <w:rPr>
                <w:color w:val="000000" w:themeColor="text1"/>
              </w:rPr>
            </w:pPr>
            <w:r w:rsidRPr="00286216">
              <w:rPr>
                <w:color w:val="000000" w:themeColor="text1"/>
              </w:rPr>
              <w:t>2. Запит суб’єктів, зазначених у пунктах 4-10 частини першої цієї статті:</w:t>
            </w:r>
          </w:p>
          <w:p w14:paraId="5EA88D26" w14:textId="77777777" w:rsidR="004D649E" w:rsidRPr="00286216" w:rsidRDefault="004D649E" w:rsidP="004D649E">
            <w:pPr>
              <w:pStyle w:val="StyleProp"/>
              <w:spacing w:line="190" w:lineRule="exact"/>
              <w:rPr>
                <w:color w:val="000000" w:themeColor="text1"/>
              </w:rPr>
            </w:pPr>
            <w:r w:rsidRPr="00286216">
              <w:rPr>
                <w:color w:val="000000" w:themeColor="text1"/>
              </w:rPr>
              <w:t>1) оформляється на бланку цього суб’єкта встановленої форми;</w:t>
            </w:r>
          </w:p>
          <w:p w14:paraId="033BCD44" w14:textId="77777777" w:rsidR="004D649E" w:rsidRPr="00286216" w:rsidRDefault="004D649E" w:rsidP="004D649E">
            <w:pPr>
              <w:pStyle w:val="StyleProp"/>
              <w:spacing w:line="190" w:lineRule="exact"/>
              <w:rPr>
                <w:color w:val="000000" w:themeColor="text1"/>
              </w:rPr>
            </w:pPr>
            <w:r w:rsidRPr="00286216">
              <w:rPr>
                <w:color w:val="000000" w:themeColor="text1"/>
              </w:rPr>
              <w:t>2) подається за підписом керівника (заступника керівника) цього суб’єкта (а у випадку подачі запиту приватним виконавцем, або приватним нотаріусом - за підписом такого суб’єкта) або його територіального органу, що скріплений гербовою печаткою;</w:t>
            </w:r>
          </w:p>
          <w:p w14:paraId="283E50BE"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3) містить передбачені цим Законом підстави для отримання інформації та </w:t>
            </w:r>
            <w:r w:rsidRPr="00286216">
              <w:rPr>
                <w:color w:val="000000" w:themeColor="text1"/>
              </w:rPr>
              <w:lastRenderedPageBreak/>
              <w:t>посилання на норми закону, відповідно до яких суб’єкт або його територіальний орган має право на її отримання.</w:t>
            </w:r>
          </w:p>
          <w:p w14:paraId="79AC54DA" w14:textId="77777777" w:rsidR="004D649E" w:rsidRPr="00286216" w:rsidRDefault="004D649E" w:rsidP="004D649E">
            <w:pPr>
              <w:pStyle w:val="StyleProp"/>
              <w:spacing w:line="190" w:lineRule="exact"/>
              <w:rPr>
                <w:color w:val="000000" w:themeColor="text1"/>
              </w:rPr>
            </w:pPr>
            <w:r w:rsidRPr="00286216">
              <w:rPr>
                <w:color w:val="000000" w:themeColor="text1"/>
              </w:rPr>
              <w:t>У разі недотримання запитувачем вимог частини першої та другої цієї статті особи, зазначені в пунктах 1-3 частини першої статті 128-1, відмовляють у наданні інформації на такий запит.</w:t>
            </w:r>
          </w:p>
          <w:p w14:paraId="63401924" w14:textId="77777777" w:rsidR="004D649E" w:rsidRPr="00286216" w:rsidRDefault="004D649E" w:rsidP="004D649E">
            <w:pPr>
              <w:pStyle w:val="StyleProp"/>
              <w:spacing w:line="190" w:lineRule="exact"/>
              <w:rPr>
                <w:color w:val="000000" w:themeColor="text1"/>
              </w:rPr>
            </w:pPr>
            <w:r w:rsidRPr="00286216">
              <w:rPr>
                <w:color w:val="000000" w:themeColor="text1"/>
              </w:rPr>
              <w:t>3. Порядок розкриття професійної таємниці, передбачений частинами першою та другою цієї статті, не поширюються на посадових осіб Національної комісії з цінних паперів та фондового ринку під час виконання ними заходів нагляду відповідно до повноважень, наданих законом.</w:t>
            </w:r>
          </w:p>
          <w:p w14:paraId="2D11744A" w14:textId="77777777" w:rsidR="004D649E" w:rsidRPr="00286216" w:rsidRDefault="004D649E" w:rsidP="004D649E">
            <w:pPr>
              <w:pStyle w:val="StyleProp"/>
              <w:spacing w:line="190" w:lineRule="exact"/>
              <w:rPr>
                <w:color w:val="000000" w:themeColor="text1"/>
              </w:rPr>
            </w:pPr>
            <w:r w:rsidRPr="00286216">
              <w:rPr>
                <w:color w:val="000000" w:themeColor="text1"/>
              </w:rPr>
              <w:t>4. Порядок розкриття професійної таємниці, передбачений частинами першою та другою цієї статті, не поширюється на працівників Фонду гарантування вкладів фізичних осіб при здійсненні ними завдання і виконанні повноважень, передбачених Законом України "Про систему гарантування вкладів фізичних осіб".</w:t>
            </w:r>
          </w:p>
          <w:p w14:paraId="11A6F82D" w14:textId="77777777" w:rsidR="004D649E" w:rsidRPr="00286216" w:rsidRDefault="004D649E" w:rsidP="004D649E">
            <w:pPr>
              <w:pStyle w:val="StyleProp"/>
              <w:spacing w:line="190" w:lineRule="exact"/>
              <w:rPr>
                <w:color w:val="000000" w:themeColor="text1"/>
              </w:rPr>
            </w:pPr>
            <w:r w:rsidRPr="00286216">
              <w:rPr>
                <w:color w:val="000000" w:themeColor="text1"/>
              </w:rPr>
              <w:t>Фонд гарантування вкладів фізичних осіб при здійсненні заходів щодо підготовки до запровадження процедури виведення неплатоспроможного банку з ринку, тимчасової адміністрації або ліквідації неплатоспроможного банку має право розкривати інформацію, що становить професійну таємницю, попередньо-кваліфікованим особам, приймаючому банку, перехідному банку, інвестору, що придбаває неплатоспроможний або перехідний банк, іншим особам, які задіяні у процесі здійснення тимчасової адміністрації та ліквідації банку. Зазначені особи зобов'язані забезпечити збереження отриманої інформації, що становить професійну таємницю.</w:t>
            </w:r>
          </w:p>
          <w:p w14:paraId="4D8BA027"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5. Особи, зазначені у пунктах 1-3 частини першої статті 128-1 цього Закону мають право надавати інформацію, що становить професійну таємницю, юридичним та фізичним особам для забезпечення виконання ними своїх функцій або надання послуг відповідно до укладених між такими особами та професійним учасником ринків капіталу та організованих товарних ринках договорів, за умови, що до таких осіб законом, що регулює провадження ними господарської (професійної) діяльності, встановлено вимогу щодо збереження </w:t>
            </w:r>
            <w:r w:rsidRPr="00286216">
              <w:rPr>
                <w:color w:val="000000" w:themeColor="text1"/>
              </w:rPr>
              <w:lastRenderedPageBreak/>
              <w:t xml:space="preserve">відповідної професійної таємниці. </w:t>
            </w:r>
          </w:p>
          <w:p w14:paraId="008BCECA" w14:textId="77777777" w:rsidR="004D649E" w:rsidRPr="00286216" w:rsidRDefault="004D649E" w:rsidP="004D649E">
            <w:pPr>
              <w:pStyle w:val="StyleProp"/>
              <w:spacing w:line="190" w:lineRule="exact"/>
              <w:rPr>
                <w:color w:val="000000" w:themeColor="text1"/>
              </w:rPr>
            </w:pPr>
            <w:r w:rsidRPr="00286216">
              <w:rPr>
                <w:color w:val="000000" w:themeColor="text1"/>
              </w:rPr>
              <w:t>6. Особи, зазначені у пунктах 1-3 частини першої статті 128-1 цього Закону мають право надавати інформацію, що становить професійну таємницю, суду, третейському суду, міжнародному комерційному арбітражу, для захисту своїх прав та законних інтересів у справах, учасником у яких він є, як в Україні так і за кордоном.</w:t>
            </w:r>
          </w:p>
          <w:p w14:paraId="0E88CDF6" w14:textId="77777777" w:rsidR="004D649E" w:rsidRPr="00286216" w:rsidRDefault="004D649E" w:rsidP="004D649E">
            <w:pPr>
              <w:pStyle w:val="StyleProp"/>
              <w:spacing w:line="190" w:lineRule="exact"/>
              <w:rPr>
                <w:color w:val="000000" w:themeColor="text1"/>
              </w:rPr>
            </w:pPr>
            <w:r w:rsidRPr="00286216">
              <w:rPr>
                <w:color w:val="000000" w:themeColor="text1"/>
              </w:rPr>
              <w:t>7. Особливості порядку розкриття професійної таємниці Центральним депозитарієм цінних паперів та Національним банком України, при провадженні ним депозитарної діяльності встановлюються Законом України «Про депозитарну систему України".</w:t>
            </w:r>
          </w:p>
        </w:tc>
        <w:tc>
          <w:tcPr>
            <w:tcW w:w="1987" w:type="dxa"/>
          </w:tcPr>
          <w:p w14:paraId="31522126" w14:textId="77777777" w:rsidR="004D649E" w:rsidRPr="00286216" w:rsidRDefault="004D649E" w:rsidP="004D649E">
            <w:pPr>
              <w:pStyle w:val="StyleWisnow"/>
              <w:rPr>
                <w:color w:val="000000" w:themeColor="text1"/>
              </w:rPr>
            </w:pPr>
            <w:r w:rsidRPr="00286216">
              <w:rPr>
                <w:color w:val="000000" w:themeColor="text1"/>
              </w:rPr>
              <w:lastRenderedPageBreak/>
              <w:t>Враховано</w:t>
            </w:r>
          </w:p>
        </w:tc>
        <w:tc>
          <w:tcPr>
            <w:tcW w:w="4818" w:type="dxa"/>
          </w:tcPr>
          <w:p w14:paraId="4DAD2485" w14:textId="77777777" w:rsidR="004D649E" w:rsidRPr="00286216" w:rsidRDefault="004D649E" w:rsidP="004D649E">
            <w:pPr>
              <w:pStyle w:val="StyleZakonu"/>
              <w:rPr>
                <w:color w:val="000000" w:themeColor="text1"/>
              </w:rPr>
            </w:pPr>
            <w:r w:rsidRPr="00286216">
              <w:rPr>
                <w:color w:val="000000" w:themeColor="text1"/>
              </w:rPr>
              <w:t>Стаття 136. Розкриття професійної таємниці</w:t>
            </w:r>
          </w:p>
          <w:p w14:paraId="065EDBA3" w14:textId="77777777" w:rsidR="004D649E" w:rsidRPr="00286216" w:rsidRDefault="004D649E" w:rsidP="004D649E">
            <w:pPr>
              <w:pStyle w:val="StyleZakonu"/>
              <w:rPr>
                <w:color w:val="000000" w:themeColor="text1"/>
              </w:rPr>
            </w:pPr>
            <w:r w:rsidRPr="00286216">
              <w:rPr>
                <w:color w:val="000000" w:themeColor="text1"/>
              </w:rPr>
              <w:t>1. Інформація, що становить професійну таємницю, надається особами, зазначеними у пунктах 1-3 частини першої статті 134 цього Закону за відповідним рішенням суду або на письмовий запит, отриманий від:</w:t>
            </w:r>
          </w:p>
          <w:p w14:paraId="001C9D1D" w14:textId="77777777" w:rsidR="004D649E" w:rsidRPr="00286216" w:rsidRDefault="004D649E" w:rsidP="004D649E">
            <w:pPr>
              <w:pStyle w:val="StyleZakonu"/>
              <w:rPr>
                <w:color w:val="000000" w:themeColor="text1"/>
              </w:rPr>
            </w:pPr>
            <w:r w:rsidRPr="00286216">
              <w:rPr>
                <w:color w:val="000000" w:themeColor="text1"/>
              </w:rPr>
              <w:t xml:space="preserve">1) відповідної юридичної чи фізичної особи, якої стосується інформація, що становить професійну таємницю, або з письмового дозволу такої особи; </w:t>
            </w:r>
          </w:p>
          <w:p w14:paraId="64C40B0B" w14:textId="77777777" w:rsidR="004D649E" w:rsidRPr="00286216" w:rsidRDefault="004D649E" w:rsidP="004D649E">
            <w:pPr>
              <w:pStyle w:val="StyleZakonu"/>
              <w:rPr>
                <w:color w:val="000000" w:themeColor="text1"/>
              </w:rPr>
            </w:pPr>
            <w:r w:rsidRPr="00286216">
              <w:rPr>
                <w:color w:val="000000" w:themeColor="text1"/>
              </w:rPr>
              <w:t xml:space="preserve">2) бенефіціара щодо інформації про рахунок умовного зберігання в цінних паперах та операцій за ним; </w:t>
            </w:r>
          </w:p>
          <w:p w14:paraId="4FE896F6" w14:textId="77777777" w:rsidR="004D649E" w:rsidRPr="00286216" w:rsidRDefault="004D649E" w:rsidP="004D649E">
            <w:pPr>
              <w:pStyle w:val="StyleZakonu"/>
              <w:rPr>
                <w:color w:val="000000" w:themeColor="text1"/>
              </w:rPr>
            </w:pPr>
            <w:r w:rsidRPr="00286216">
              <w:rPr>
                <w:color w:val="000000" w:themeColor="text1"/>
              </w:rPr>
              <w:t>3) обтяжувача щодо інформації  про залишок цінних паперів,   права на цінні папери та/або права за цінними паперами на рахунку в цінних паперах,  що є предметом обтяження,  про операції за рахунком у цінних паперах, обтяження, щодо яких до учасника ринків капіталу та професійного учасника організованих товарних ринків надійшли повідомлення, та  щодо інших обмежень прав на цінні папери та/або прав за цінними паперами;</w:t>
            </w:r>
          </w:p>
          <w:p w14:paraId="28F44E29" w14:textId="77777777" w:rsidR="004D649E" w:rsidRPr="00286216" w:rsidRDefault="004D649E" w:rsidP="004D649E">
            <w:pPr>
              <w:pStyle w:val="StyleZakonu"/>
              <w:rPr>
                <w:color w:val="000000" w:themeColor="text1"/>
              </w:rPr>
            </w:pPr>
            <w:r w:rsidRPr="00286216">
              <w:rPr>
                <w:color w:val="000000" w:themeColor="text1"/>
              </w:rPr>
              <w:t>4) органів прокуратури України, Служби безпеки України, Державного бюро розслідувань, Національної поліції, Національного антикорупційного бюро України, Антимонопольного комітету України, Національного агентства з питань запобігання корупції, Національного агентства України з питань виявлення, розшуку та управління активами, одержаними від корупційних та інших злочинів –  щодо рахунків клієнтів та операцій, проведених на користь  або за дорученням клієнта, а саме відомості на конкретно визначену дату або за конкретний проміжок часу та  стосовно конкретної юридичної або фізичної особи, фізичної особи – підприємця про: наявність рахунків, номери рахунків, залишок цінних паперів та інших активів на рахунках, операції списання з рахунків та/або зарахування на рахунки, призначення платежу, ідентифікаційні дані контрагента, номер рахунку контрагента та код контрагента професійного учасника ринків капіталу та організованих товарних ринків;</w:t>
            </w:r>
          </w:p>
          <w:p w14:paraId="3F6738DC" w14:textId="77777777" w:rsidR="004D649E" w:rsidRPr="00286216" w:rsidRDefault="004D649E" w:rsidP="004D649E">
            <w:pPr>
              <w:pStyle w:val="StyleZakonu"/>
              <w:rPr>
                <w:color w:val="000000" w:themeColor="text1"/>
              </w:rPr>
            </w:pPr>
            <w:r w:rsidRPr="00286216">
              <w:rPr>
                <w:color w:val="000000" w:themeColor="text1"/>
              </w:rPr>
              <w:t xml:space="preserve">5) центрального органу виконавчої влади, що реалізує державну податкову політику, на його запит </w:t>
            </w:r>
            <w:r w:rsidRPr="00286216">
              <w:rPr>
                <w:color w:val="000000" w:themeColor="text1"/>
              </w:rPr>
              <w:lastRenderedPageBreak/>
              <w:t>щодо наявності рахунків у цінних паперах та/або у випадках та в обсязі, визначених Угодою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 та іншими міжнародними договорами, що містять положення про обмін інформацією для податкових цілей, згода на обов’язковість яких надана Верховною Радою України, або укладеними на їх підставі міжвідомчими договорами. Порядок розкриття такої інформації встановлюється Національною комісією з цінних паперів та фондового ринку;</w:t>
            </w:r>
          </w:p>
          <w:p w14:paraId="75FD3213" w14:textId="77777777" w:rsidR="004D649E" w:rsidRPr="00286216" w:rsidRDefault="004D649E" w:rsidP="004D649E">
            <w:pPr>
              <w:pStyle w:val="StyleZakonu"/>
              <w:rPr>
                <w:color w:val="000000" w:themeColor="text1"/>
              </w:rPr>
            </w:pPr>
            <w:r w:rsidRPr="00286216">
              <w:rPr>
                <w:color w:val="000000" w:themeColor="text1"/>
              </w:rPr>
              <w:t>6) центрального органу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щодо фінансових операцій, що є об'єктом фінансового моніторингу згідно із законодавством щодо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а також учасників зазначених операцій;</w:t>
            </w:r>
          </w:p>
          <w:p w14:paraId="0D770129" w14:textId="77777777" w:rsidR="004D649E" w:rsidRPr="00286216" w:rsidRDefault="004D649E" w:rsidP="004D649E">
            <w:pPr>
              <w:pStyle w:val="StyleZakonu"/>
              <w:rPr>
                <w:color w:val="000000" w:themeColor="text1"/>
              </w:rPr>
            </w:pPr>
            <w:r w:rsidRPr="00286216">
              <w:rPr>
                <w:color w:val="000000" w:themeColor="text1"/>
              </w:rPr>
              <w:t>7) органів державної виконавчої служби, приватних виконавців – з питань виконання рішень судів та рішень, що підлягають примусовому виконанню відповідно до Закону України "Про виконавче провадження", –  щодо рахунків клієнтів та операцій, проведених на користь  або за дорученням клієнта, а саме відомості на конкретно визначену дату або за конкретний проміжок часу та  стосовно конкретної юридичної або фізичної особи, фізичної особи – підприємця про: наявність рахунків, номери рахунків, залишок цінних паперів та інших активів на рахунках професійного учасника ринків капіталу та організованих товарних ринків;</w:t>
            </w:r>
          </w:p>
          <w:p w14:paraId="297437EB" w14:textId="77777777" w:rsidR="004D649E" w:rsidRPr="00286216" w:rsidRDefault="004D649E" w:rsidP="004D649E">
            <w:pPr>
              <w:pStyle w:val="StyleZakonu"/>
              <w:rPr>
                <w:color w:val="000000" w:themeColor="text1"/>
              </w:rPr>
            </w:pPr>
            <w:r w:rsidRPr="00286216">
              <w:rPr>
                <w:color w:val="000000" w:themeColor="text1"/>
              </w:rPr>
              <w:t xml:space="preserve">8) Національної комісії з цінних паперів та фондового ринку - щодо відомостей про активи, щодо яких учасником ринків капіталу та професійним учасником організованих товарних ринків проведено операції, рахунки клієнтів та про відповідні операції з активами  таких клієнтів, а також іншу інформацію у </w:t>
            </w:r>
            <w:r w:rsidRPr="00286216">
              <w:rPr>
                <w:color w:val="000000" w:themeColor="text1"/>
              </w:rPr>
              <w:lastRenderedPageBreak/>
              <w:t>випадках, встановлених законом;</w:t>
            </w:r>
          </w:p>
          <w:p w14:paraId="6A920AC9" w14:textId="77777777" w:rsidR="004D649E" w:rsidRPr="00286216" w:rsidRDefault="004D649E" w:rsidP="004D649E">
            <w:pPr>
              <w:pStyle w:val="StyleZakonu"/>
              <w:rPr>
                <w:color w:val="000000" w:themeColor="text1"/>
              </w:rPr>
            </w:pPr>
            <w:r w:rsidRPr="00286216">
              <w:rPr>
                <w:color w:val="000000" w:themeColor="text1"/>
              </w:rPr>
              <w:t>9) Національного банку України - щодо відомостей про власників цінних паперів, а також іншу інформацію,  передбачену законом;</w:t>
            </w:r>
          </w:p>
          <w:p w14:paraId="7FB4A7BE" w14:textId="77777777" w:rsidR="004D649E" w:rsidRPr="00286216" w:rsidRDefault="004D649E" w:rsidP="004D649E">
            <w:pPr>
              <w:pStyle w:val="StyleZakonu"/>
              <w:rPr>
                <w:color w:val="000000" w:themeColor="text1"/>
              </w:rPr>
            </w:pPr>
            <w:r w:rsidRPr="00286216">
              <w:rPr>
                <w:color w:val="000000" w:themeColor="text1"/>
              </w:rPr>
              <w:t>10) державних нотаріальних контор, приватних нотаріусів, посадових осіб органів місцевого самоврядування, уповноважених на вчинення нотаріальних дій, іноземних консульських установ (для вчинення такими особами нотаріальних дій з охорони спадкового майна, з видачі свідоцтв про право на спадщину, про право власності на частку у спільному майні подружжя в разі смерті одного з подружжя) – щодо наявності рахунків та залишку цінних паперів та інших активів на рахунках померлих власників  таких рахунків та/або щодо наявності рахунків умовного зберігання в цінних паперах та цінних паперів на  таких рахунках, призначених для перерахування померлим бенефіціарам;</w:t>
            </w:r>
          </w:p>
          <w:p w14:paraId="50942559" w14:textId="77777777" w:rsidR="004D649E" w:rsidRPr="00286216" w:rsidRDefault="004D649E" w:rsidP="004D649E">
            <w:pPr>
              <w:pStyle w:val="StyleZakonu"/>
              <w:rPr>
                <w:color w:val="000000" w:themeColor="text1"/>
              </w:rPr>
            </w:pPr>
            <w:r w:rsidRPr="00286216">
              <w:rPr>
                <w:color w:val="000000" w:themeColor="text1"/>
              </w:rPr>
              <w:t>11) інших професійних учасників ринків капіталу та організованих товарних ринків, відповідальних осіб фінансової групи - у випадках, передбачених цим Законом та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5E69B4F3" w14:textId="77777777" w:rsidR="004D649E" w:rsidRPr="00286216" w:rsidRDefault="004D649E" w:rsidP="004D649E">
            <w:pPr>
              <w:pStyle w:val="StyleZakonu"/>
              <w:rPr>
                <w:color w:val="000000" w:themeColor="text1"/>
              </w:rPr>
            </w:pPr>
            <w:r w:rsidRPr="00286216">
              <w:rPr>
                <w:color w:val="000000" w:themeColor="text1"/>
              </w:rPr>
              <w:t>12) осіб, зазначених власником рахунку у відповідному розпорядженні учасника ринків капіталу та професійного учасника організованих товарних ринків, у разі смерті такого власника рахунку – щодо наявності рахунків померлого власника та залишку цінних паперів та інших активів на рахунках.</w:t>
            </w:r>
          </w:p>
          <w:p w14:paraId="184FC484" w14:textId="77777777" w:rsidR="004D649E" w:rsidRPr="00286216" w:rsidRDefault="004D649E" w:rsidP="004D649E">
            <w:pPr>
              <w:pStyle w:val="StyleZakonu"/>
              <w:rPr>
                <w:color w:val="000000" w:themeColor="text1"/>
              </w:rPr>
            </w:pPr>
            <w:r w:rsidRPr="00286216">
              <w:rPr>
                <w:color w:val="000000" w:themeColor="text1"/>
              </w:rPr>
              <w:t>2. Запит суб’єктів, зазначених у пунктах 4-10 частини першої цієї статті:</w:t>
            </w:r>
          </w:p>
          <w:p w14:paraId="4732C78E" w14:textId="77777777" w:rsidR="004D649E" w:rsidRPr="00286216" w:rsidRDefault="004D649E" w:rsidP="004D649E">
            <w:pPr>
              <w:pStyle w:val="StyleZakonu"/>
              <w:rPr>
                <w:color w:val="000000" w:themeColor="text1"/>
              </w:rPr>
            </w:pPr>
            <w:r w:rsidRPr="00286216">
              <w:rPr>
                <w:color w:val="000000" w:themeColor="text1"/>
              </w:rPr>
              <w:t>1) оформляється на бланку такого суб’єкта за встановленою формою;</w:t>
            </w:r>
          </w:p>
          <w:p w14:paraId="021E76FE" w14:textId="77777777" w:rsidR="004D649E" w:rsidRPr="00286216" w:rsidRDefault="004D649E" w:rsidP="004D649E">
            <w:pPr>
              <w:pStyle w:val="StyleZakonu"/>
              <w:rPr>
                <w:color w:val="000000" w:themeColor="text1"/>
              </w:rPr>
            </w:pPr>
            <w:r w:rsidRPr="00286216">
              <w:rPr>
                <w:color w:val="000000" w:themeColor="text1"/>
              </w:rPr>
              <w:t>2) подається за підписом керівника (заступника керівника) такого суб’єкта (у разі подання запиту приватним виконавцем або приватним нотаріусом - за підписом такого суб’єкта) або його територіального органу,  скріпленим гербовою печаткою;</w:t>
            </w:r>
          </w:p>
          <w:p w14:paraId="65C7B108" w14:textId="77777777" w:rsidR="004D649E" w:rsidRPr="00286216" w:rsidRDefault="004D649E" w:rsidP="004D649E">
            <w:pPr>
              <w:pStyle w:val="StyleZakonu"/>
              <w:rPr>
                <w:color w:val="000000" w:themeColor="text1"/>
              </w:rPr>
            </w:pPr>
            <w:r w:rsidRPr="00286216">
              <w:rPr>
                <w:color w:val="000000" w:themeColor="text1"/>
              </w:rPr>
              <w:lastRenderedPageBreak/>
              <w:t>3) містить передбачені цим Законом підстави для отримання інформації, що становить професійну таємницю, та посилання на норми закону, відповідно до яких суб’єкт або його територіальний орган має право на отримання такої інформації.</w:t>
            </w:r>
          </w:p>
          <w:p w14:paraId="38DF7A0B" w14:textId="77777777" w:rsidR="004D649E" w:rsidRPr="00286216" w:rsidRDefault="004D649E" w:rsidP="004D649E">
            <w:pPr>
              <w:pStyle w:val="StyleZakonu"/>
              <w:rPr>
                <w:color w:val="000000" w:themeColor="text1"/>
              </w:rPr>
            </w:pPr>
            <w:r w:rsidRPr="00286216">
              <w:rPr>
                <w:color w:val="000000" w:themeColor="text1"/>
              </w:rPr>
              <w:t>У разі недотримання запитувачем вимог частин першої та другої цієї статті особи, зазначені у пунктах 1-3 частини першої статті 134 цього Закону, відмовляють у наданні інформації на такий запит.</w:t>
            </w:r>
          </w:p>
          <w:p w14:paraId="7059C552" w14:textId="77777777" w:rsidR="004D649E" w:rsidRPr="00286216" w:rsidRDefault="004D649E" w:rsidP="004D649E">
            <w:pPr>
              <w:pStyle w:val="StyleZakonu"/>
              <w:rPr>
                <w:color w:val="000000" w:themeColor="text1"/>
              </w:rPr>
            </w:pPr>
            <w:r w:rsidRPr="00286216">
              <w:rPr>
                <w:color w:val="000000" w:themeColor="text1"/>
              </w:rPr>
              <w:t>3. Порядок розкриття професійної таємниці, передбачений частинами першою та другою цієї статті, не поширюється на посадових осіб Національної комісії з цінних паперів та фондового ринку під час виконання ними заходів нагляду відповідно до повноважень, наданих законом.</w:t>
            </w:r>
          </w:p>
          <w:p w14:paraId="3EF3C603" w14:textId="77777777" w:rsidR="004D649E" w:rsidRPr="00286216" w:rsidRDefault="004D649E" w:rsidP="004D649E">
            <w:pPr>
              <w:pStyle w:val="StyleZakonu"/>
              <w:rPr>
                <w:color w:val="000000" w:themeColor="text1"/>
              </w:rPr>
            </w:pPr>
            <w:r w:rsidRPr="00286216">
              <w:rPr>
                <w:color w:val="000000" w:themeColor="text1"/>
              </w:rPr>
              <w:t>4. Порядок розкриття професійної таємниці, передбачений частинами першою та другою цієї статті, не поширюється на працівників Фонду гарантування вкладів фізичних осіб  під час здійснення ними завдань і виконання повноважень, передбачених Законом України "Про систему гарантування вкладів фізичних осіб".</w:t>
            </w:r>
          </w:p>
          <w:p w14:paraId="2900383C" w14:textId="77777777" w:rsidR="004D649E" w:rsidRPr="00286216" w:rsidRDefault="004D649E" w:rsidP="004D649E">
            <w:pPr>
              <w:pStyle w:val="StyleZakonu"/>
              <w:rPr>
                <w:color w:val="000000" w:themeColor="text1"/>
              </w:rPr>
            </w:pPr>
            <w:r w:rsidRPr="00286216">
              <w:rPr>
                <w:color w:val="000000" w:themeColor="text1"/>
              </w:rPr>
              <w:t>Фонд гарантування вкладів фізичних осіб при здійсненні заходів щодо підготовки до запровадження процедури виведення неплатоспроможного банку з ринку, запровадження тимчасової адміністрації або ліквідації неплатоспроможного банку має право розкривати інформацію, що становить професійну таємницю, попередньо-кваліфікованим особам, приймаючому банку, перехідному банку, інвестору, що придбаває неплатоспроможний або перехідний банк, іншим особам, задіяним у процесі здійснення тимчасової адміністрації  або ліквідації банку. Зазначені особи зобов'язані забезпечити збереження отриманої інформації, що становить професійну таємницю.</w:t>
            </w:r>
          </w:p>
          <w:p w14:paraId="087A12CB" w14:textId="77777777" w:rsidR="004D649E" w:rsidRPr="00286216" w:rsidRDefault="004D649E" w:rsidP="004D649E">
            <w:pPr>
              <w:pStyle w:val="StyleZakonu"/>
              <w:rPr>
                <w:color w:val="000000" w:themeColor="text1"/>
              </w:rPr>
            </w:pPr>
            <w:r w:rsidRPr="00286216">
              <w:rPr>
                <w:color w:val="000000" w:themeColor="text1"/>
              </w:rPr>
              <w:t xml:space="preserve">5. Особи, зазначені у пунктах 1-3 частини першої статті 134 цього Закону, мають право надавати інформацію, що становить професійну таємницю, юридичним та фізичним особам для забезпечення виконання ними своїх функцій або надання послуг відповідно до укладених між такими особами та учасником ринків капіталу та професійним учасником організованих товарних ринків договорів, за умови </w:t>
            </w:r>
            <w:r w:rsidRPr="00286216">
              <w:rPr>
                <w:color w:val="000000" w:themeColor="text1"/>
              </w:rPr>
              <w:lastRenderedPageBreak/>
              <w:t xml:space="preserve">що до таких осіб законом, що регулює провадження ними господарської (професійної) діяльності, встановлено вимогу щодо збереження відповідної професійної таємниці. </w:t>
            </w:r>
          </w:p>
          <w:p w14:paraId="4E2FA3AD" w14:textId="77777777" w:rsidR="004D649E" w:rsidRPr="00286216" w:rsidRDefault="004D649E" w:rsidP="004D649E">
            <w:pPr>
              <w:pStyle w:val="StyleZakonu"/>
              <w:rPr>
                <w:color w:val="000000" w:themeColor="text1"/>
              </w:rPr>
            </w:pPr>
            <w:r w:rsidRPr="00286216">
              <w:rPr>
                <w:color w:val="000000" w:themeColor="text1"/>
              </w:rPr>
              <w:t>6. Особи, зазначені у пунктах 1-3 частини першої статті 134 цього Закону, мають право надавати інформацію, що становить професійну таємницю, суду, третейському суду, міжнародному комерційному арбітражу для захисту своїх прав та законних інтересів у справах, учасниками у яких  вони є, в Україні і за кордоном.</w:t>
            </w:r>
          </w:p>
          <w:p w14:paraId="735D154E" w14:textId="14A70AF4" w:rsidR="004D649E" w:rsidRPr="00286216" w:rsidRDefault="004D649E" w:rsidP="004D649E">
            <w:pPr>
              <w:pStyle w:val="StyleZakonu"/>
              <w:rPr>
                <w:color w:val="000000" w:themeColor="text1"/>
              </w:rPr>
            </w:pPr>
            <w:r w:rsidRPr="00286216">
              <w:rPr>
                <w:color w:val="000000" w:themeColor="text1"/>
              </w:rPr>
              <w:t>7. Особливості порядку розкриття професійної таємниці Центральним депозитарієм цінних паперів та Національним банком України під час  провадження ним депозитарної діяльності встановлюються Законом України "Про депозитарну систему України".</w:t>
            </w:r>
          </w:p>
        </w:tc>
      </w:tr>
      <w:bookmarkEnd w:id="1986"/>
      <w:tr w:rsidR="004D649E" w:rsidRPr="00286216" w14:paraId="499217DC" w14:textId="77777777" w:rsidTr="00091AA5">
        <w:tc>
          <w:tcPr>
            <w:tcW w:w="576" w:type="dxa"/>
          </w:tcPr>
          <w:p w14:paraId="15A4A350" w14:textId="77777777" w:rsidR="004D649E" w:rsidRPr="00286216" w:rsidRDefault="004D649E" w:rsidP="004D649E">
            <w:pPr>
              <w:pStyle w:val="StyleWisnow"/>
              <w:rPr>
                <w:color w:val="000000" w:themeColor="text1"/>
              </w:rPr>
            </w:pPr>
          </w:p>
        </w:tc>
        <w:tc>
          <w:tcPr>
            <w:tcW w:w="4818" w:type="dxa"/>
          </w:tcPr>
          <w:p w14:paraId="53FD5D59" w14:textId="5A903E9E" w:rsidR="004D649E" w:rsidRPr="00286216" w:rsidRDefault="004D649E" w:rsidP="004D649E">
            <w:pPr>
              <w:pStyle w:val="StyleZakonu"/>
              <w:rPr>
                <w:color w:val="000000" w:themeColor="text1"/>
              </w:rPr>
            </w:pPr>
          </w:p>
        </w:tc>
        <w:tc>
          <w:tcPr>
            <w:tcW w:w="3686" w:type="dxa"/>
          </w:tcPr>
          <w:p w14:paraId="39F31100" w14:textId="15A13561" w:rsidR="004D649E" w:rsidRPr="00286216" w:rsidRDefault="004D649E" w:rsidP="004D649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1076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CE00C89" w14:textId="77777777" w:rsidR="004D649E" w:rsidRPr="00286216" w:rsidRDefault="004D649E" w:rsidP="004D649E">
            <w:pPr>
              <w:spacing w:line="190" w:lineRule="exact"/>
              <w:ind w:firstLine="227"/>
              <w:jc w:val="both"/>
              <w:rPr>
                <w:color w:val="000000" w:themeColor="text1"/>
                <w:sz w:val="18"/>
              </w:rPr>
            </w:pPr>
            <w:r w:rsidRPr="00286216">
              <w:rPr>
                <w:color w:val="000000" w:themeColor="text1"/>
                <w:sz w:val="18"/>
              </w:rPr>
              <w:t>Доповнити новою статтею такого змісту:</w:t>
            </w:r>
          </w:p>
          <w:p w14:paraId="7A4DADF2" w14:textId="77777777" w:rsidR="004D649E" w:rsidRPr="00286216" w:rsidRDefault="004D649E" w:rsidP="004D649E">
            <w:pPr>
              <w:pStyle w:val="StyleProp"/>
              <w:spacing w:line="190" w:lineRule="exact"/>
              <w:rPr>
                <w:color w:val="000000" w:themeColor="text1"/>
              </w:rPr>
            </w:pPr>
            <w:r w:rsidRPr="00286216">
              <w:rPr>
                <w:color w:val="000000" w:themeColor="text1"/>
              </w:rPr>
              <w:t>"Стаття 128-4. Порядок розкриття професійної таємниці Національною комісією з цінних паперів та фондового ринку</w:t>
            </w:r>
          </w:p>
          <w:p w14:paraId="11171660" w14:textId="77777777" w:rsidR="004D649E" w:rsidRPr="00286216" w:rsidRDefault="004D649E" w:rsidP="004D649E">
            <w:pPr>
              <w:pStyle w:val="StyleProp"/>
              <w:spacing w:line="190" w:lineRule="exact"/>
              <w:rPr>
                <w:color w:val="000000" w:themeColor="text1"/>
              </w:rPr>
            </w:pPr>
            <w:r w:rsidRPr="00286216">
              <w:rPr>
                <w:color w:val="000000" w:themeColor="text1"/>
              </w:rPr>
              <w:t>1. Інформація щодо юридичних та фізичних осіб, що становить професійну таємницю, розкривається Національною комісією з цінних паперів та фондового ринку у встановленому нею порядку:</w:t>
            </w:r>
          </w:p>
          <w:p w14:paraId="3DC22549" w14:textId="77777777" w:rsidR="004D649E" w:rsidRPr="00286216" w:rsidRDefault="004D649E" w:rsidP="004D649E">
            <w:pPr>
              <w:pStyle w:val="StyleProp"/>
              <w:spacing w:line="190" w:lineRule="exact"/>
              <w:rPr>
                <w:color w:val="000000" w:themeColor="text1"/>
              </w:rPr>
            </w:pPr>
            <w:r w:rsidRPr="00286216">
              <w:rPr>
                <w:color w:val="000000" w:themeColor="text1"/>
              </w:rPr>
              <w:t>1) на запит відповідної фізичної особи, якої стосується інформація, що становить професійну таємницю;</w:t>
            </w:r>
          </w:p>
          <w:p w14:paraId="5C1D3523"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2) на запит відповідної юридичної особи, якої стосується інформація, що становить професійну таємницю; </w:t>
            </w:r>
          </w:p>
          <w:p w14:paraId="678C74D3" w14:textId="77777777" w:rsidR="004D649E" w:rsidRPr="00286216" w:rsidRDefault="004D649E" w:rsidP="004D649E">
            <w:pPr>
              <w:pStyle w:val="StyleProp"/>
              <w:spacing w:line="190" w:lineRule="exact"/>
              <w:rPr>
                <w:color w:val="000000" w:themeColor="text1"/>
              </w:rPr>
            </w:pPr>
            <w:r w:rsidRPr="00286216">
              <w:rPr>
                <w:color w:val="000000" w:themeColor="text1"/>
              </w:rPr>
              <w:t>3) за рішенням суду.</w:t>
            </w:r>
          </w:p>
          <w:p w14:paraId="126ABF30" w14:textId="77777777" w:rsidR="004D649E" w:rsidRPr="00286216" w:rsidRDefault="004D649E" w:rsidP="004D649E">
            <w:pPr>
              <w:pStyle w:val="StyleProp"/>
              <w:spacing w:line="190" w:lineRule="exact"/>
              <w:rPr>
                <w:color w:val="000000" w:themeColor="text1"/>
              </w:rPr>
            </w:pPr>
            <w:r w:rsidRPr="00286216">
              <w:rPr>
                <w:color w:val="000000" w:themeColor="text1"/>
              </w:rPr>
              <w:t>2. Національна комісія з цінних паперів та фондового ринку має право надавати Фонду гарантування вкладів фізичних осіб інформацію про банки – професійні учасники ринків капіталу чи їх клієнтів, у випадках, передбачених Законом України "Про систему гарантування вкладів фізичних осіб".</w:t>
            </w:r>
          </w:p>
          <w:p w14:paraId="24354392"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Національна комісія з цінних паперів та фондового ринку має право розкривати органам державної влади інформацію, яка становить професійну таємницю та була зібрана нею під час виконання нею її функцій, якщо така інформація може свідчити про правопорушення та/або </w:t>
            </w:r>
            <w:r w:rsidRPr="00286216">
              <w:rPr>
                <w:color w:val="000000" w:themeColor="text1"/>
              </w:rPr>
              <w:lastRenderedPageBreak/>
              <w:t>використовуватися для попередження, виявлення, припинення, розслідування правопорушень, притягнення винних осіб до відповідальності за їх вчинення.</w:t>
            </w:r>
          </w:p>
          <w:p w14:paraId="2A6DF52F" w14:textId="77777777" w:rsidR="004D649E" w:rsidRPr="00286216" w:rsidRDefault="004D649E" w:rsidP="004D649E">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має право надавати органам державної виконавчої служби, приватним виконавцям для примусового виконання свої рішення про застосування до юридичних та фізичних осіб санкцій у вигляді накладення штрафу, які відповідно до закону є виконавчими документами та містять інформацію, що становить професійну таємницю. У такому разі органи державної виконавчої служби мають право розкривати одержану від Національної комісії з цінних паперів та фондового ринку інформацію, що становить професійну таємницю, учасникам виконавчого провадження та особам, які залучаються до проведення виконавчих дій.</w:t>
            </w:r>
          </w:p>
          <w:p w14:paraId="5763C7F1" w14:textId="77777777" w:rsidR="004D649E" w:rsidRPr="00286216" w:rsidRDefault="004D649E" w:rsidP="004D649E">
            <w:pPr>
              <w:pStyle w:val="StyleProp"/>
              <w:spacing w:line="190" w:lineRule="exact"/>
              <w:rPr>
                <w:color w:val="000000" w:themeColor="text1"/>
              </w:rPr>
            </w:pPr>
            <w:r w:rsidRPr="00286216">
              <w:rPr>
                <w:color w:val="000000" w:themeColor="text1"/>
              </w:rPr>
              <w:t>3. Національна комісія з цінних паперів та фондового ринку відповідно до міжнародного договору України або за принципом взаємності має право надавати інформацію, яка становить професійну таємницю та була зібрана нею під час виконання нею її функцій, відповідному органу нагляду іншої держави, а також отримувати від такого органу нагляду іншої держави таку інформацію. Національна комісія з цінних паперів та фондового ринку має право розкривати інформацію, що становить професійну таємницю і була отримана ним від органу нагляду іншої держави, винятково за згодою такого органу.</w:t>
            </w:r>
          </w:p>
          <w:p w14:paraId="29FA4769" w14:textId="77777777" w:rsidR="004D649E" w:rsidRPr="00286216" w:rsidRDefault="004D649E" w:rsidP="004D649E">
            <w:pPr>
              <w:pStyle w:val="StyleProp"/>
              <w:spacing w:line="190" w:lineRule="exact"/>
              <w:rPr>
                <w:color w:val="000000" w:themeColor="text1"/>
              </w:rPr>
            </w:pPr>
            <w:r w:rsidRPr="00286216">
              <w:rPr>
                <w:color w:val="000000" w:themeColor="text1"/>
              </w:rPr>
              <w:t>4. Національна комісія з цінних паперів та фондового ринку для забезпечення виконання покладених на неї функцій та виконання визначених законом повноважень має право надавати інформацію, яка становить професійну таємницю та була зібрана нею під час виконання нею її функцій, юридичним та фізичним особам відповідно до укладених між такими особами та Національною комісією з цінних паперів та фондового ринку договорів.</w:t>
            </w:r>
          </w:p>
          <w:p w14:paraId="01925F57" w14:textId="77777777" w:rsidR="004D649E" w:rsidRPr="00286216" w:rsidRDefault="004D649E" w:rsidP="004D649E">
            <w:pPr>
              <w:pStyle w:val="StyleProp"/>
              <w:spacing w:line="190" w:lineRule="exact"/>
              <w:rPr>
                <w:color w:val="000000" w:themeColor="text1"/>
              </w:rPr>
            </w:pPr>
            <w:r w:rsidRPr="00286216">
              <w:rPr>
                <w:color w:val="000000" w:themeColor="text1"/>
              </w:rPr>
              <w:t xml:space="preserve">Національна комісія з цінних паперів та фондового ринку для забезпечення виконання покладених на неї функцій та виконання визначених законом повноважень має право надавати інформацію, яка становить професійну таємницю та була зібрана нею під час виконання нею її </w:t>
            </w:r>
            <w:r w:rsidRPr="00286216">
              <w:rPr>
                <w:color w:val="000000" w:themeColor="text1"/>
              </w:rPr>
              <w:lastRenderedPageBreak/>
              <w:t>функцій, судовим, правоохоронним та/або контролюючим органам інших держав.</w:t>
            </w:r>
          </w:p>
          <w:p w14:paraId="67603810" w14:textId="77777777" w:rsidR="004D649E" w:rsidRPr="00286216" w:rsidRDefault="004D649E" w:rsidP="004D649E">
            <w:pPr>
              <w:pStyle w:val="StyleProp"/>
              <w:spacing w:line="190" w:lineRule="exact"/>
              <w:rPr>
                <w:color w:val="000000" w:themeColor="text1"/>
              </w:rPr>
            </w:pPr>
            <w:r w:rsidRPr="00286216">
              <w:rPr>
                <w:color w:val="000000" w:themeColor="text1"/>
              </w:rPr>
              <w:t>Національна комісія з цінних паперів та фондового ринку має право надавати інформацію, що становить професійну таємницю, суду для захисту своїх прав та законних інтересів у справах, учасником яких вона є".</w:t>
            </w:r>
          </w:p>
        </w:tc>
        <w:tc>
          <w:tcPr>
            <w:tcW w:w="1987" w:type="dxa"/>
          </w:tcPr>
          <w:p w14:paraId="7153A523" w14:textId="77777777" w:rsidR="004D649E" w:rsidRPr="00286216" w:rsidRDefault="004D649E" w:rsidP="004D649E">
            <w:pPr>
              <w:pStyle w:val="StyleWisnow"/>
              <w:rPr>
                <w:color w:val="000000" w:themeColor="text1"/>
              </w:rPr>
            </w:pPr>
            <w:r w:rsidRPr="00286216">
              <w:rPr>
                <w:color w:val="000000" w:themeColor="text1"/>
              </w:rPr>
              <w:lastRenderedPageBreak/>
              <w:t>Враховано</w:t>
            </w:r>
          </w:p>
        </w:tc>
        <w:tc>
          <w:tcPr>
            <w:tcW w:w="4818" w:type="dxa"/>
          </w:tcPr>
          <w:p w14:paraId="01C2DC3D" w14:textId="77777777" w:rsidR="004D649E" w:rsidRPr="00286216" w:rsidRDefault="004D649E" w:rsidP="004D649E">
            <w:pPr>
              <w:pStyle w:val="StyleZakonu"/>
              <w:rPr>
                <w:color w:val="000000" w:themeColor="text1"/>
              </w:rPr>
            </w:pPr>
            <w:r w:rsidRPr="00286216">
              <w:rPr>
                <w:color w:val="000000" w:themeColor="text1"/>
              </w:rPr>
              <w:t>Стаття 137. Порядок розкриття професійної таємниці Національною комісією з цінних паперів та фондового ринку</w:t>
            </w:r>
          </w:p>
          <w:p w14:paraId="2B87B254" w14:textId="77777777" w:rsidR="004D649E" w:rsidRPr="00286216" w:rsidRDefault="004D649E" w:rsidP="004D649E">
            <w:pPr>
              <w:pStyle w:val="StyleZakonu"/>
              <w:rPr>
                <w:color w:val="000000" w:themeColor="text1"/>
              </w:rPr>
            </w:pPr>
            <w:r w:rsidRPr="00286216">
              <w:rPr>
                <w:color w:val="000000" w:themeColor="text1"/>
              </w:rPr>
              <w:t>1. Інформація щодо юридичних та фізичних осіб, що становить професійну таємницю, розкривається Національною комісією з цінних паперів та фондового ринку в установленому нею порядку:</w:t>
            </w:r>
          </w:p>
          <w:p w14:paraId="0FD113C4" w14:textId="77777777" w:rsidR="004D649E" w:rsidRPr="00286216" w:rsidRDefault="004D649E" w:rsidP="004D649E">
            <w:pPr>
              <w:pStyle w:val="StyleZakonu"/>
              <w:rPr>
                <w:color w:val="000000" w:themeColor="text1"/>
              </w:rPr>
            </w:pPr>
            <w:r w:rsidRPr="00286216">
              <w:rPr>
                <w:color w:val="000000" w:themeColor="text1"/>
              </w:rPr>
              <w:t>1) на запит фізичної особи, якої стосується інформація, що становить професійну таємницю;</w:t>
            </w:r>
          </w:p>
          <w:p w14:paraId="62F0091D" w14:textId="77777777" w:rsidR="004D649E" w:rsidRPr="00286216" w:rsidRDefault="004D649E" w:rsidP="004D649E">
            <w:pPr>
              <w:pStyle w:val="StyleZakonu"/>
              <w:rPr>
                <w:color w:val="000000" w:themeColor="text1"/>
              </w:rPr>
            </w:pPr>
            <w:r w:rsidRPr="00286216">
              <w:rPr>
                <w:color w:val="000000" w:themeColor="text1"/>
              </w:rPr>
              <w:t xml:space="preserve">2) на запит юридичної особи, якої стосується інформація, що становить професійну таємницю; </w:t>
            </w:r>
          </w:p>
          <w:p w14:paraId="2D9A7F3E" w14:textId="77777777" w:rsidR="004D649E" w:rsidRPr="00286216" w:rsidRDefault="004D649E" w:rsidP="004D649E">
            <w:pPr>
              <w:pStyle w:val="StyleZakonu"/>
              <w:rPr>
                <w:color w:val="000000" w:themeColor="text1"/>
              </w:rPr>
            </w:pPr>
            <w:r w:rsidRPr="00286216">
              <w:rPr>
                <w:color w:val="000000" w:themeColor="text1"/>
              </w:rPr>
              <w:t>3) за рішенням суду.</w:t>
            </w:r>
          </w:p>
          <w:p w14:paraId="1B1041F8" w14:textId="77777777" w:rsidR="004D649E" w:rsidRPr="00286216" w:rsidRDefault="004D649E" w:rsidP="004D649E">
            <w:pPr>
              <w:pStyle w:val="StyleZakonu"/>
              <w:rPr>
                <w:color w:val="000000" w:themeColor="text1"/>
              </w:rPr>
            </w:pPr>
            <w:r w:rsidRPr="00286216">
              <w:rPr>
                <w:color w:val="000000" w:themeColor="text1"/>
              </w:rPr>
              <w:t>2. Національна комісія з цінних паперів та фондового ринку має право надавати Фонду гарантування вкладів фізичних осіб інформацію про банки – професійні учасники ринків капіталу або їх клієнтів у випадках, передбачених Законом України "Про систему гарантування вкладів фізичних осіб".</w:t>
            </w:r>
          </w:p>
          <w:p w14:paraId="59BF95C4" w14:textId="77777777" w:rsidR="004D649E" w:rsidRPr="00286216" w:rsidRDefault="004D649E" w:rsidP="004D649E">
            <w:pPr>
              <w:pStyle w:val="StyleZakonu"/>
              <w:rPr>
                <w:color w:val="000000" w:themeColor="text1"/>
              </w:rPr>
            </w:pPr>
            <w:r w:rsidRPr="00286216">
              <w:rPr>
                <w:color w:val="000000" w:themeColor="text1"/>
              </w:rPr>
              <w:t xml:space="preserve">Національна комісія з цінних паперів та фондового ринку має право розкривати органам державної влади інформацію,  що становить професійну таємницю, зібрану під час виконання її функцій, якщо така інформація може свідчити про вчинення правопорушення та/або використовуватися для запобігання, виявлення, припинення, розслідування правопорушень, притягнення винних осіб до </w:t>
            </w:r>
            <w:r w:rsidRPr="00286216">
              <w:rPr>
                <w:color w:val="000000" w:themeColor="text1"/>
              </w:rPr>
              <w:lastRenderedPageBreak/>
              <w:t>відповідальності за вчинення правопорушень.</w:t>
            </w:r>
          </w:p>
          <w:p w14:paraId="25E175C4" w14:textId="77777777" w:rsidR="004D649E" w:rsidRPr="00286216" w:rsidRDefault="004D649E" w:rsidP="004D649E">
            <w:pPr>
              <w:pStyle w:val="StyleZakonu"/>
              <w:rPr>
                <w:color w:val="000000" w:themeColor="text1"/>
              </w:rPr>
            </w:pPr>
            <w:r w:rsidRPr="00286216">
              <w:rPr>
                <w:color w:val="000000" w:themeColor="text1"/>
              </w:rPr>
              <w:t>Національна комісія з цінних паперів та фондового ринку має право надавати органам державної виконавчої служби, приватним виконавцям для примусового виконання свої рішення про застосування до юридичних та фізичних осіб санкцій у вигляді накладення штрафу, які відповідно до закону є виконавчими документами та містять інформацію, що становить професійну таємницю. У такому разі органи державної виконавчої служби мають право розкривати одержану від Національної комісії з цінних паперів та фондового ринку інформацію, що становить професійну таємницю, учасникам виконавчого провадження та особам, які залучаються до проведення виконавчих дій.</w:t>
            </w:r>
          </w:p>
          <w:p w14:paraId="556FB9D1" w14:textId="77777777" w:rsidR="004D649E" w:rsidRPr="00286216" w:rsidRDefault="004D649E" w:rsidP="004D649E">
            <w:pPr>
              <w:pStyle w:val="StyleZakonu"/>
              <w:rPr>
                <w:color w:val="000000" w:themeColor="text1"/>
              </w:rPr>
            </w:pPr>
            <w:r w:rsidRPr="00286216">
              <w:rPr>
                <w:color w:val="000000" w:themeColor="text1"/>
              </w:rPr>
              <w:t>3. Національна комісія з цінних паперів та фондового ринку відповідно до міжнародного договору України або за принципом взаємності має право надавати інформацію,  що становить професійну таємницю,  зібрану під час виконання її функцій, органу нагляду іншої держави та  отримувати від такого органу нагляду іншої держави відповідну інформацію. Національна комісія з цінних паперів та фондового ринку має право розкривати інформацію, що становить професійну таємницю і була отримана ним від органу нагляду іншої держави,  виключно за згодою такого органу.</w:t>
            </w:r>
          </w:p>
          <w:p w14:paraId="3A386A0E" w14:textId="77777777" w:rsidR="004D649E" w:rsidRPr="00286216" w:rsidRDefault="004D649E" w:rsidP="004D649E">
            <w:pPr>
              <w:pStyle w:val="StyleZakonu"/>
              <w:rPr>
                <w:color w:val="000000" w:themeColor="text1"/>
              </w:rPr>
            </w:pPr>
            <w:r w:rsidRPr="00286216">
              <w:rPr>
                <w:color w:val="000000" w:themeColor="text1"/>
              </w:rPr>
              <w:t>4. Національна комісія з цінних паперів та фондового ринку для забезпечення виконання покладених на неї функцій та виконання визначених законом повноважень має право надавати інформацію,  що становить професійну таємницю,  зібрану під час виконання її функцій, юридичним та фізичним особам відповідно до укладених між такими особами та Національною комісією з цінних паперів та фондового ринку договорів.</w:t>
            </w:r>
          </w:p>
          <w:p w14:paraId="214980D7" w14:textId="77777777" w:rsidR="004D649E" w:rsidRPr="00286216" w:rsidRDefault="004D649E" w:rsidP="004D649E">
            <w:pPr>
              <w:pStyle w:val="StyleZakonu"/>
              <w:rPr>
                <w:color w:val="000000" w:themeColor="text1"/>
              </w:rPr>
            </w:pPr>
            <w:r w:rsidRPr="00286216">
              <w:rPr>
                <w:color w:val="000000" w:themeColor="text1"/>
              </w:rPr>
              <w:t>Національна комісія з цінних паперів та фондового ринку для забезпечення виконання покладених на неї функцій та виконання визначених законом повноважень має право надавати інформацію, що становить професійну таємницю,  зібрану під час виконання її функцій, судовим, правоохоронним та/або контролюючим органам інших держав.</w:t>
            </w:r>
          </w:p>
          <w:p w14:paraId="16941263" w14:textId="1BE08536" w:rsidR="004D649E" w:rsidRPr="00286216" w:rsidRDefault="004D649E" w:rsidP="004D649E">
            <w:pPr>
              <w:pStyle w:val="StyleZakonu"/>
              <w:rPr>
                <w:color w:val="000000" w:themeColor="text1"/>
              </w:rPr>
            </w:pPr>
            <w:r w:rsidRPr="00286216">
              <w:rPr>
                <w:color w:val="000000" w:themeColor="text1"/>
              </w:rPr>
              <w:t xml:space="preserve">Національна комісія з цінних паперів та фондового </w:t>
            </w:r>
            <w:r w:rsidRPr="00286216">
              <w:rPr>
                <w:color w:val="000000" w:themeColor="text1"/>
              </w:rPr>
              <w:lastRenderedPageBreak/>
              <w:t>ринку має право надавати інформацію, що становить професійну таємницю, суду для захисту своїх прав та законних інтересів у справах, учасником яких вона є.</w:t>
            </w:r>
          </w:p>
        </w:tc>
      </w:tr>
      <w:tr w:rsidR="004D649E" w:rsidRPr="00286216" w14:paraId="0E65C723" w14:textId="77777777" w:rsidTr="00091AA5">
        <w:tc>
          <w:tcPr>
            <w:tcW w:w="576" w:type="dxa"/>
          </w:tcPr>
          <w:p w14:paraId="04AA4019" w14:textId="77777777" w:rsidR="004D649E" w:rsidRPr="00286216" w:rsidRDefault="004D649E" w:rsidP="004D649E">
            <w:pPr>
              <w:pStyle w:val="StyleWisnow"/>
              <w:rPr>
                <w:color w:val="000000" w:themeColor="text1"/>
              </w:rPr>
            </w:pPr>
            <w:bookmarkStart w:id="1987" w:name="n2221" w:colFirst="0" w:colLast="0"/>
            <w:r w:rsidRPr="00286216">
              <w:rPr>
                <w:color w:val="000000" w:themeColor="text1"/>
              </w:rPr>
              <w:lastRenderedPageBreak/>
              <w:t>2221.</w:t>
            </w:r>
          </w:p>
        </w:tc>
        <w:tc>
          <w:tcPr>
            <w:tcW w:w="4818" w:type="dxa"/>
          </w:tcPr>
          <w:p w14:paraId="1269A526" w14:textId="77777777" w:rsidR="004D649E" w:rsidRPr="00286216" w:rsidRDefault="004D649E" w:rsidP="004D649E">
            <w:pPr>
              <w:pStyle w:val="StyleZakonu"/>
              <w:rPr>
                <w:color w:val="000000" w:themeColor="text1"/>
                <w:szCs w:val="18"/>
              </w:rPr>
            </w:pPr>
            <w:r w:rsidRPr="00286216">
              <w:rPr>
                <w:color w:val="000000" w:themeColor="text1"/>
              </w:rPr>
              <w:t>Стаття 129. Реклама фінансових інструментів та ринків капіталу</w:t>
            </w:r>
          </w:p>
        </w:tc>
        <w:tc>
          <w:tcPr>
            <w:tcW w:w="3686" w:type="dxa"/>
          </w:tcPr>
          <w:p w14:paraId="252AC82C" w14:textId="09BCC640" w:rsidR="004D649E" w:rsidRPr="00286216" w:rsidRDefault="004D649E" w:rsidP="004D649E">
            <w:pPr>
              <w:pStyle w:val="StyleAwt"/>
              <w:rPr>
                <w:color w:val="000000" w:themeColor="text1"/>
                <w:spacing w:val="-8"/>
              </w:rPr>
            </w:pPr>
            <w:r w:rsidRPr="00286216">
              <w:rPr>
                <w:color w:val="000000" w:themeColor="text1"/>
                <w:spacing w:val="-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1077</w:t>
            </w:r>
            <w:r w:rsidRPr="00286216">
              <w:rPr>
                <w:color w:val="000000" w:themeColor="text1"/>
                <w:spacing w:val="-8"/>
              </w:rPr>
              <w:fldChar w:fldCharType="end"/>
            </w:r>
            <w:r w:rsidRPr="00286216">
              <w:rPr>
                <w:color w:val="000000" w:themeColor="text1"/>
                <w:spacing w:val="-8"/>
              </w:rPr>
              <w:t>-Н.д.Ніколаєнко А.І. (Реєстр.картка №405)</w:t>
            </w:r>
          </w:p>
          <w:p w14:paraId="79F160C4" w14:textId="31CBF5EC" w:rsidR="004D649E" w:rsidRPr="00286216" w:rsidRDefault="004D649E" w:rsidP="004D649E">
            <w:pPr>
              <w:pStyle w:val="StyleProp"/>
              <w:rPr>
                <w:color w:val="000000" w:themeColor="text1"/>
                <w:spacing w:val="-8"/>
                <w:szCs w:val="18"/>
              </w:rPr>
            </w:pPr>
            <w:r w:rsidRPr="00286216">
              <w:rPr>
                <w:color w:val="000000" w:themeColor="text1"/>
                <w:spacing w:val="-8"/>
              </w:rPr>
              <w:t>Назву та текст статті 130 після слова "капіталу"</w:t>
            </w:r>
          </w:p>
        </w:tc>
        <w:tc>
          <w:tcPr>
            <w:tcW w:w="1987" w:type="dxa"/>
          </w:tcPr>
          <w:p w14:paraId="3C1A47B9" w14:textId="4DAF42F0"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573E5C3F" w14:textId="455DE2DB" w:rsidR="004D649E" w:rsidRPr="00286216" w:rsidRDefault="004D649E" w:rsidP="004D649E">
            <w:pPr>
              <w:pStyle w:val="StyleZakonu"/>
              <w:rPr>
                <w:color w:val="000000" w:themeColor="text1"/>
                <w:szCs w:val="18"/>
              </w:rPr>
            </w:pPr>
            <w:r w:rsidRPr="00286216">
              <w:rPr>
                <w:color w:val="000000" w:themeColor="text1"/>
              </w:rPr>
              <w:t>Стаття 138. Реклама фінансових інструментів, ринків капіталу та організованих товарних ринків</w:t>
            </w:r>
          </w:p>
        </w:tc>
      </w:tr>
      <w:tr w:rsidR="004D649E" w:rsidRPr="00286216" w14:paraId="299B623D" w14:textId="77777777" w:rsidTr="00091AA5">
        <w:tc>
          <w:tcPr>
            <w:tcW w:w="576" w:type="dxa"/>
          </w:tcPr>
          <w:p w14:paraId="719552EB" w14:textId="77777777" w:rsidR="004D649E" w:rsidRPr="00286216" w:rsidRDefault="004D649E" w:rsidP="004D649E">
            <w:pPr>
              <w:pStyle w:val="StyleWisnow"/>
              <w:rPr>
                <w:color w:val="000000" w:themeColor="text1"/>
              </w:rPr>
            </w:pPr>
            <w:bookmarkStart w:id="1988" w:name="n2222" w:colFirst="0" w:colLast="0"/>
            <w:bookmarkEnd w:id="1987"/>
            <w:r w:rsidRPr="00286216">
              <w:rPr>
                <w:color w:val="000000" w:themeColor="text1"/>
              </w:rPr>
              <w:t>2222.</w:t>
            </w:r>
          </w:p>
        </w:tc>
        <w:tc>
          <w:tcPr>
            <w:tcW w:w="4818" w:type="dxa"/>
          </w:tcPr>
          <w:p w14:paraId="089AECF9" w14:textId="77777777" w:rsidR="004D649E" w:rsidRPr="00286216" w:rsidRDefault="004D649E" w:rsidP="004D649E">
            <w:pPr>
              <w:pStyle w:val="StyleZakonu"/>
              <w:rPr>
                <w:color w:val="000000" w:themeColor="text1"/>
              </w:rPr>
            </w:pPr>
            <w:r w:rsidRPr="00286216">
              <w:rPr>
                <w:color w:val="000000" w:themeColor="text1"/>
              </w:rPr>
              <w:t>1. Реклама фінансових інструментів та ринків капіталу регулюється Законом України "Про рекламу".</w:t>
            </w:r>
          </w:p>
        </w:tc>
        <w:tc>
          <w:tcPr>
            <w:tcW w:w="3686" w:type="dxa"/>
          </w:tcPr>
          <w:p w14:paraId="3A81B9A4" w14:textId="173F46A1" w:rsidR="004D649E" w:rsidRPr="00286216" w:rsidRDefault="004D649E" w:rsidP="004D649E">
            <w:pPr>
              <w:pStyle w:val="StyleProp"/>
              <w:spacing w:line="180" w:lineRule="exact"/>
              <w:ind w:firstLine="0"/>
              <w:rPr>
                <w:color w:val="000000" w:themeColor="text1"/>
                <w:szCs w:val="18"/>
              </w:rPr>
            </w:pPr>
            <w:r w:rsidRPr="00286216">
              <w:rPr>
                <w:color w:val="000000" w:themeColor="text1"/>
              </w:rPr>
              <w:t>доповнити словами "та організованих товарних ринків".</w:t>
            </w:r>
          </w:p>
        </w:tc>
        <w:tc>
          <w:tcPr>
            <w:tcW w:w="1987" w:type="dxa"/>
          </w:tcPr>
          <w:p w14:paraId="1DBB905D" w14:textId="77777777" w:rsidR="004D649E" w:rsidRPr="00286216" w:rsidRDefault="004D649E" w:rsidP="004D649E">
            <w:pPr>
              <w:pStyle w:val="StyleWisnow"/>
              <w:rPr>
                <w:color w:val="000000" w:themeColor="text1"/>
              </w:rPr>
            </w:pPr>
          </w:p>
        </w:tc>
        <w:tc>
          <w:tcPr>
            <w:tcW w:w="4818" w:type="dxa"/>
          </w:tcPr>
          <w:p w14:paraId="3F9DF3B6" w14:textId="28045BF3" w:rsidR="004D649E" w:rsidRPr="00286216" w:rsidRDefault="004D649E" w:rsidP="004D649E">
            <w:pPr>
              <w:pStyle w:val="StyleZakonu"/>
              <w:rPr>
                <w:color w:val="000000" w:themeColor="text1"/>
              </w:rPr>
            </w:pPr>
            <w:r w:rsidRPr="00286216">
              <w:rPr>
                <w:color w:val="000000" w:themeColor="text1"/>
              </w:rPr>
              <w:t>1. Реклама фінансових інструментів, ринків капіталу та організованих товарних ринків регулюється Законом України "Про рекламу".</w:t>
            </w:r>
          </w:p>
        </w:tc>
      </w:tr>
      <w:tr w:rsidR="004D649E" w:rsidRPr="00286216" w14:paraId="7719AC58" w14:textId="77777777" w:rsidTr="00091AA5">
        <w:tc>
          <w:tcPr>
            <w:tcW w:w="576" w:type="dxa"/>
          </w:tcPr>
          <w:p w14:paraId="49147ED3" w14:textId="77777777" w:rsidR="004D649E" w:rsidRPr="00286216" w:rsidRDefault="004D649E" w:rsidP="004D649E">
            <w:pPr>
              <w:pStyle w:val="StyleWisnow"/>
              <w:rPr>
                <w:color w:val="000000" w:themeColor="text1"/>
              </w:rPr>
            </w:pPr>
            <w:bookmarkStart w:id="1989" w:name="n2223" w:colFirst="0" w:colLast="0"/>
            <w:bookmarkEnd w:id="1988"/>
            <w:r w:rsidRPr="00286216">
              <w:rPr>
                <w:color w:val="000000" w:themeColor="text1"/>
              </w:rPr>
              <w:t>2223.</w:t>
            </w:r>
          </w:p>
        </w:tc>
        <w:tc>
          <w:tcPr>
            <w:tcW w:w="4818" w:type="dxa"/>
          </w:tcPr>
          <w:p w14:paraId="32523520" w14:textId="77777777" w:rsidR="004D649E" w:rsidRPr="00286216" w:rsidRDefault="004D649E" w:rsidP="004D649E">
            <w:pPr>
              <w:pStyle w:val="StyleZakonu"/>
              <w:spacing w:after="0"/>
              <w:ind w:firstLine="0"/>
              <w:jc w:val="center"/>
              <w:rPr>
                <w:color w:val="000000" w:themeColor="text1"/>
              </w:rPr>
            </w:pPr>
            <w:r w:rsidRPr="00286216">
              <w:rPr>
                <w:color w:val="000000" w:themeColor="text1"/>
              </w:rPr>
              <w:t>Розділ IX</w:t>
            </w:r>
          </w:p>
          <w:p w14:paraId="16CCE99D" w14:textId="77777777" w:rsidR="004D649E" w:rsidRPr="00286216" w:rsidRDefault="004D649E" w:rsidP="004D649E">
            <w:pPr>
              <w:pStyle w:val="StyleZakonu"/>
              <w:ind w:firstLine="0"/>
              <w:jc w:val="center"/>
              <w:rPr>
                <w:color w:val="000000" w:themeColor="text1"/>
              </w:rPr>
            </w:pPr>
            <w:r w:rsidRPr="00286216">
              <w:rPr>
                <w:color w:val="000000" w:themeColor="text1"/>
              </w:rPr>
              <w:t>ПРОТИДІЯ ЗЛОВЖИВАННЯМ НА РИНКАХ КАПІТАЛУ ТА ОРГАНІЗОВАНИХ ТОВАРНИХ РИНКАХ</w:t>
            </w:r>
          </w:p>
        </w:tc>
        <w:tc>
          <w:tcPr>
            <w:tcW w:w="3686" w:type="dxa"/>
          </w:tcPr>
          <w:p w14:paraId="42D419C9" w14:textId="7FFED997" w:rsidR="004D649E" w:rsidRPr="00286216" w:rsidRDefault="004D649E" w:rsidP="004D649E">
            <w:pPr>
              <w:spacing w:line="220" w:lineRule="exact"/>
              <w:rPr>
                <w:b/>
                <w:i/>
                <w:color w:val="000000" w:themeColor="text1"/>
                <w:spacing w:val="-8"/>
                <w:sz w:val="18"/>
                <w:u w:val="single"/>
              </w:rPr>
            </w:pPr>
            <w:r w:rsidRPr="00286216">
              <w:rPr>
                <w:b/>
                <w:i/>
                <w:color w:val="000000" w:themeColor="text1"/>
                <w:spacing w:val="-8"/>
                <w:sz w:val="18"/>
                <w:u w:val="single"/>
              </w:rPr>
              <w:t>-</w:t>
            </w:r>
            <w:r w:rsidRPr="00286216">
              <w:rPr>
                <w:b/>
                <w:i/>
                <w:color w:val="000000" w:themeColor="text1"/>
                <w:spacing w:val="-8"/>
                <w:sz w:val="18"/>
                <w:u w:val="single"/>
              </w:rPr>
              <w:fldChar w:fldCharType="begin"/>
            </w:r>
            <w:r w:rsidRPr="00286216">
              <w:rPr>
                <w:b/>
                <w:i/>
                <w:color w:val="000000" w:themeColor="text1"/>
                <w:spacing w:val="-8"/>
                <w:sz w:val="18"/>
                <w:u w:val="single"/>
              </w:rPr>
              <w:instrText xml:space="preserve"> SEQ aa </w:instrText>
            </w:r>
            <w:r w:rsidRPr="00286216">
              <w:rPr>
                <w:b/>
                <w:i/>
                <w:color w:val="000000" w:themeColor="text1"/>
                <w:spacing w:val="-8"/>
                <w:sz w:val="18"/>
                <w:u w:val="single"/>
              </w:rPr>
              <w:fldChar w:fldCharType="separate"/>
            </w:r>
            <w:r w:rsidR="00C46B29">
              <w:rPr>
                <w:b/>
                <w:i/>
                <w:noProof/>
                <w:color w:val="000000" w:themeColor="text1"/>
                <w:spacing w:val="-8"/>
                <w:sz w:val="18"/>
                <w:u w:val="single"/>
              </w:rPr>
              <w:t>1078</w:t>
            </w:r>
            <w:r w:rsidRPr="00286216">
              <w:rPr>
                <w:b/>
                <w:i/>
                <w:color w:val="000000" w:themeColor="text1"/>
                <w:spacing w:val="-8"/>
                <w:sz w:val="18"/>
                <w:u w:val="single"/>
              </w:rPr>
              <w:fldChar w:fldCharType="end"/>
            </w:r>
            <w:r w:rsidRPr="00286216">
              <w:rPr>
                <w:b/>
                <w:i/>
                <w:color w:val="000000" w:themeColor="text1"/>
                <w:spacing w:val="-8"/>
                <w:sz w:val="18"/>
                <w:u w:val="single"/>
              </w:rPr>
              <w:t>-Н.д.Бєлькова О.В. (Реєстр.картка №403)</w:t>
            </w:r>
          </w:p>
          <w:p w14:paraId="4E2AEF78" w14:textId="2FF598D6"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Розділ IX "ПРОТИДІЯ ЗЛОВЖИВАННЯМ НА РИНКАХ КАПІТАЛУ ТА ОРГАНІЗОВАНИХ ТОВАРНИХ РИНКАХ" у складі статтей 131-134 редакції першого читання перенести після Розділу XI ОБ’ЄДНАННЯ ПРОФЕСІЙНИХ УЧАСНИКІВ РИНКІВ КАПІТАЛУ</w:t>
            </w:r>
          </w:p>
        </w:tc>
        <w:tc>
          <w:tcPr>
            <w:tcW w:w="1987" w:type="dxa"/>
          </w:tcPr>
          <w:p w14:paraId="6031BAB7" w14:textId="1992EA9C"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52FCFF54" w14:textId="77777777" w:rsidR="004D649E" w:rsidRPr="00286216" w:rsidRDefault="004D649E" w:rsidP="004D649E">
            <w:pPr>
              <w:pStyle w:val="StyleZakonu"/>
              <w:spacing w:after="0"/>
              <w:ind w:firstLine="0"/>
              <w:jc w:val="center"/>
              <w:rPr>
                <w:color w:val="000000" w:themeColor="text1"/>
              </w:rPr>
            </w:pPr>
            <w:r w:rsidRPr="00286216">
              <w:rPr>
                <w:color w:val="000000" w:themeColor="text1"/>
              </w:rPr>
              <w:t>Розділ XІІ</w:t>
            </w:r>
          </w:p>
          <w:p w14:paraId="6ED4DC70" w14:textId="4EDC23FD" w:rsidR="004D649E" w:rsidRPr="00286216" w:rsidRDefault="004D649E" w:rsidP="004D649E">
            <w:pPr>
              <w:pStyle w:val="StyleZakonu"/>
              <w:jc w:val="center"/>
              <w:rPr>
                <w:color w:val="000000" w:themeColor="text1"/>
              </w:rPr>
            </w:pPr>
            <w:r w:rsidRPr="00286216">
              <w:rPr>
                <w:color w:val="000000" w:themeColor="text1"/>
              </w:rPr>
              <w:t>ПРОТИДІЯ ЗЛОВЖИВАННЯМ НА РИНКАХ КАПІТАЛУ ТА ОРГАНІЗОВАНИХ ТОВАРНИХ РИНКАХ</w:t>
            </w:r>
          </w:p>
        </w:tc>
      </w:tr>
      <w:tr w:rsidR="004D649E" w:rsidRPr="00286216" w14:paraId="48A4CBD4" w14:textId="77777777" w:rsidTr="00091AA5">
        <w:tc>
          <w:tcPr>
            <w:tcW w:w="576" w:type="dxa"/>
          </w:tcPr>
          <w:p w14:paraId="2EF5AF52" w14:textId="77777777" w:rsidR="004D649E" w:rsidRPr="00286216" w:rsidRDefault="004D649E" w:rsidP="004D649E">
            <w:pPr>
              <w:pStyle w:val="StyleWisnow"/>
              <w:rPr>
                <w:color w:val="000000" w:themeColor="text1"/>
              </w:rPr>
            </w:pPr>
            <w:bookmarkStart w:id="1990" w:name="n2224" w:colFirst="0" w:colLast="0"/>
            <w:bookmarkEnd w:id="1989"/>
            <w:r w:rsidRPr="00286216">
              <w:rPr>
                <w:color w:val="000000" w:themeColor="text1"/>
              </w:rPr>
              <w:t>2224.</w:t>
            </w:r>
          </w:p>
        </w:tc>
        <w:tc>
          <w:tcPr>
            <w:tcW w:w="4818" w:type="dxa"/>
          </w:tcPr>
          <w:p w14:paraId="2253A04D" w14:textId="77777777" w:rsidR="004D649E" w:rsidRPr="00286216" w:rsidRDefault="004D649E" w:rsidP="004D649E">
            <w:pPr>
              <w:pStyle w:val="StyleZakonu"/>
              <w:rPr>
                <w:color w:val="000000" w:themeColor="text1"/>
              </w:rPr>
            </w:pPr>
            <w:r w:rsidRPr="00286216">
              <w:rPr>
                <w:color w:val="000000" w:themeColor="text1"/>
              </w:rPr>
              <w:t>Стаття 130. Розкриття інформації про професійних учасників ринків капіталу та організованих товарних ринків</w:t>
            </w:r>
          </w:p>
        </w:tc>
        <w:tc>
          <w:tcPr>
            <w:tcW w:w="3686" w:type="dxa"/>
          </w:tcPr>
          <w:p w14:paraId="7D3976B2" w14:textId="4D258FEB" w:rsidR="004D649E" w:rsidRPr="00286216" w:rsidRDefault="004D649E" w:rsidP="004D649E">
            <w:pPr>
              <w:pStyle w:val="StyleAwt"/>
              <w:rPr>
                <w:color w:val="000000" w:themeColor="text1"/>
                <w:spacing w:val="-8"/>
              </w:rPr>
            </w:pPr>
            <w:r w:rsidRPr="00286216">
              <w:rPr>
                <w:color w:val="000000" w:themeColor="text1"/>
                <w:spacing w:val="-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1079</w:t>
            </w:r>
            <w:r w:rsidRPr="00286216">
              <w:rPr>
                <w:color w:val="000000" w:themeColor="text1"/>
                <w:spacing w:val="-8"/>
              </w:rPr>
              <w:fldChar w:fldCharType="end"/>
            </w:r>
            <w:r w:rsidRPr="00286216">
              <w:rPr>
                <w:color w:val="000000" w:themeColor="text1"/>
                <w:spacing w:val="-8"/>
              </w:rPr>
              <w:t>-Н.д.Ніколаєнко А.І. (Реєстр.картка №405)</w:t>
            </w:r>
          </w:p>
          <w:p w14:paraId="208B8ADE" w14:textId="77777777" w:rsidR="004D649E" w:rsidRPr="00286216" w:rsidRDefault="004D649E" w:rsidP="004D649E">
            <w:pPr>
              <w:pStyle w:val="StyleProp"/>
              <w:rPr>
                <w:color w:val="000000" w:themeColor="text1"/>
              </w:rPr>
            </w:pPr>
            <w:r w:rsidRPr="00286216">
              <w:rPr>
                <w:color w:val="000000" w:themeColor="text1"/>
              </w:rPr>
              <w:t>Статтю 130 виключити</w:t>
            </w:r>
          </w:p>
        </w:tc>
        <w:tc>
          <w:tcPr>
            <w:tcW w:w="1987" w:type="dxa"/>
          </w:tcPr>
          <w:p w14:paraId="245B3866" w14:textId="4424FD8A" w:rsidR="004D649E" w:rsidRPr="00286216" w:rsidRDefault="004D649E" w:rsidP="004D649E">
            <w:pPr>
              <w:pStyle w:val="StyleWisnow"/>
              <w:spacing w:line="180" w:lineRule="exact"/>
              <w:rPr>
                <w:color w:val="000000" w:themeColor="text1"/>
              </w:rPr>
            </w:pPr>
            <w:r w:rsidRPr="00286216">
              <w:rPr>
                <w:color w:val="000000" w:themeColor="text1"/>
              </w:rPr>
              <w:t>Враховано</w:t>
            </w:r>
          </w:p>
        </w:tc>
        <w:tc>
          <w:tcPr>
            <w:tcW w:w="4818" w:type="dxa"/>
          </w:tcPr>
          <w:p w14:paraId="5A8F5B0C" w14:textId="77777777" w:rsidR="004D649E" w:rsidRPr="00286216" w:rsidRDefault="004D649E" w:rsidP="004D649E">
            <w:pPr>
              <w:pStyle w:val="StyleZakonu"/>
              <w:rPr>
                <w:color w:val="000000" w:themeColor="text1"/>
              </w:rPr>
            </w:pPr>
          </w:p>
        </w:tc>
      </w:tr>
      <w:tr w:rsidR="004D649E" w:rsidRPr="00286216" w14:paraId="44F20E75" w14:textId="77777777" w:rsidTr="00091AA5">
        <w:tc>
          <w:tcPr>
            <w:tcW w:w="576" w:type="dxa"/>
          </w:tcPr>
          <w:p w14:paraId="752C5024" w14:textId="77777777" w:rsidR="004D649E" w:rsidRPr="00286216" w:rsidRDefault="004D649E" w:rsidP="004D649E">
            <w:pPr>
              <w:pStyle w:val="StyleWisnow"/>
              <w:rPr>
                <w:color w:val="000000" w:themeColor="text1"/>
              </w:rPr>
            </w:pPr>
            <w:bookmarkStart w:id="1991" w:name="n2225" w:colFirst="0" w:colLast="0"/>
            <w:bookmarkEnd w:id="1990"/>
            <w:r w:rsidRPr="00286216">
              <w:rPr>
                <w:color w:val="000000" w:themeColor="text1"/>
              </w:rPr>
              <w:t>2225.</w:t>
            </w:r>
          </w:p>
        </w:tc>
        <w:tc>
          <w:tcPr>
            <w:tcW w:w="4818" w:type="dxa"/>
          </w:tcPr>
          <w:p w14:paraId="400B63E6" w14:textId="77777777" w:rsidR="004D649E" w:rsidRPr="00286216" w:rsidRDefault="004D649E" w:rsidP="004D649E">
            <w:pPr>
              <w:pStyle w:val="StyleZakonu"/>
              <w:rPr>
                <w:color w:val="000000" w:themeColor="text1"/>
              </w:rPr>
            </w:pPr>
            <w:r w:rsidRPr="00286216">
              <w:rPr>
                <w:color w:val="000000" w:themeColor="text1"/>
              </w:rPr>
              <w:t>1. Національна комісія з цінних паперів та фондового ринку забезпечує оприлюднення інформації про професійних учасників ринків капіталу та організованих товарних ринків (відомості про ліцензію, види професійної діяльності згідно з ліцензією, керівник та/або уповноважена особа, що діє від імені професійного учасника, структура власності такого професійного учасника).</w:t>
            </w:r>
          </w:p>
        </w:tc>
        <w:tc>
          <w:tcPr>
            <w:tcW w:w="3686" w:type="dxa"/>
          </w:tcPr>
          <w:p w14:paraId="10043AE9" w14:textId="1B806489" w:rsidR="004D649E" w:rsidRPr="00286216" w:rsidRDefault="004D649E" w:rsidP="004D649E">
            <w:pPr>
              <w:pStyle w:val="StyleAwt"/>
              <w:rPr>
                <w:color w:val="000000" w:themeColor="text1"/>
                <w:spacing w:val="-8"/>
              </w:rPr>
            </w:pPr>
            <w:r w:rsidRPr="00286216">
              <w:rPr>
                <w:color w:val="000000" w:themeColor="text1"/>
                <w:spacing w:val="-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1080</w:t>
            </w:r>
            <w:r w:rsidRPr="00286216">
              <w:rPr>
                <w:color w:val="000000" w:themeColor="text1"/>
                <w:spacing w:val="-8"/>
              </w:rPr>
              <w:fldChar w:fldCharType="end"/>
            </w:r>
            <w:r w:rsidRPr="00286216">
              <w:rPr>
                <w:color w:val="000000" w:themeColor="text1"/>
                <w:spacing w:val="-8"/>
              </w:rPr>
              <w:t>-Н.д.Шахов С.В. (Реєстр.картка №114)</w:t>
            </w:r>
          </w:p>
          <w:p w14:paraId="0D54B3A5"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Текст статті 130 викласти у такій редакції:</w:t>
            </w:r>
          </w:p>
          <w:p w14:paraId="057C80DC" w14:textId="77777777" w:rsidR="004D649E" w:rsidRPr="00286216" w:rsidRDefault="004D649E" w:rsidP="004D649E">
            <w:pPr>
              <w:pStyle w:val="StyleProp"/>
              <w:spacing w:line="180" w:lineRule="exact"/>
              <w:rPr>
                <w:color w:val="000000" w:themeColor="text1"/>
                <w:spacing w:val="-3"/>
              </w:rPr>
            </w:pPr>
            <w:r w:rsidRPr="00286216">
              <w:rPr>
                <w:color w:val="000000" w:themeColor="text1"/>
                <w:spacing w:val="-3"/>
              </w:rPr>
              <w:t xml:space="preserve">"1. Регулятор відповідного ринку забезпечує оприлюднення інформації про професійних учасників ринків капіталу та організованих товарних ринків (відомості про ліцензію (іншій дозвільний документ чи підстави), види професійної діяльності згідно з ліцензією </w:t>
            </w:r>
            <w:r w:rsidRPr="00286216">
              <w:rPr>
                <w:color w:val="000000" w:themeColor="text1"/>
                <w:spacing w:val="-4"/>
              </w:rPr>
              <w:t>(іншим дозвільним документом чи підставами),</w:t>
            </w:r>
            <w:r w:rsidRPr="00286216">
              <w:rPr>
                <w:color w:val="000000" w:themeColor="text1"/>
                <w:spacing w:val="-3"/>
              </w:rPr>
              <w:t xml:space="preserve"> керівник та/або уповноважена особа, що діє від імені професійного учасника, структура власності такого професійного учасника)".</w:t>
            </w:r>
          </w:p>
        </w:tc>
        <w:tc>
          <w:tcPr>
            <w:tcW w:w="1987" w:type="dxa"/>
          </w:tcPr>
          <w:p w14:paraId="14682914" w14:textId="77777777" w:rsidR="004D649E" w:rsidRPr="00286216" w:rsidRDefault="004D649E" w:rsidP="004D649E">
            <w:pPr>
              <w:pStyle w:val="StyleWisnow"/>
              <w:spacing w:line="180" w:lineRule="exact"/>
              <w:rPr>
                <w:color w:val="000000" w:themeColor="text1"/>
              </w:rPr>
            </w:pPr>
            <w:r w:rsidRPr="00286216">
              <w:rPr>
                <w:color w:val="000000" w:themeColor="text1"/>
              </w:rPr>
              <w:t>Відхилено</w:t>
            </w:r>
          </w:p>
          <w:p w14:paraId="7AFC9DBB" w14:textId="77777777" w:rsidR="004D649E" w:rsidRPr="00286216" w:rsidRDefault="004D649E" w:rsidP="004D649E">
            <w:pPr>
              <w:pStyle w:val="StyleWisnow"/>
              <w:spacing w:line="180" w:lineRule="exact"/>
              <w:rPr>
                <w:color w:val="000000" w:themeColor="text1"/>
              </w:rPr>
            </w:pPr>
            <w:r w:rsidRPr="00286216">
              <w:rPr>
                <w:color w:val="000000" w:themeColor="text1"/>
              </w:rPr>
              <w:t>у звʼязку із зміною редакції</w:t>
            </w:r>
          </w:p>
        </w:tc>
        <w:tc>
          <w:tcPr>
            <w:tcW w:w="4818" w:type="dxa"/>
          </w:tcPr>
          <w:p w14:paraId="483C1B59" w14:textId="77777777" w:rsidR="004D649E" w:rsidRPr="00286216" w:rsidRDefault="004D649E" w:rsidP="004D649E">
            <w:pPr>
              <w:pStyle w:val="StyleZakonu"/>
              <w:rPr>
                <w:color w:val="000000" w:themeColor="text1"/>
              </w:rPr>
            </w:pPr>
          </w:p>
        </w:tc>
      </w:tr>
      <w:tr w:rsidR="004D649E" w:rsidRPr="00286216" w14:paraId="3D2DD30D" w14:textId="77777777" w:rsidTr="00091AA5">
        <w:tc>
          <w:tcPr>
            <w:tcW w:w="576" w:type="dxa"/>
          </w:tcPr>
          <w:p w14:paraId="15217247" w14:textId="77777777" w:rsidR="004D649E" w:rsidRPr="00286216" w:rsidRDefault="004D649E" w:rsidP="004D649E">
            <w:pPr>
              <w:pStyle w:val="StyleWisnow"/>
              <w:rPr>
                <w:color w:val="000000" w:themeColor="text1"/>
              </w:rPr>
            </w:pPr>
            <w:bookmarkStart w:id="1992" w:name="n2226" w:colFirst="0" w:colLast="0"/>
            <w:bookmarkEnd w:id="1991"/>
            <w:r w:rsidRPr="00286216">
              <w:rPr>
                <w:color w:val="000000" w:themeColor="text1"/>
              </w:rPr>
              <w:t>2226.</w:t>
            </w:r>
          </w:p>
        </w:tc>
        <w:tc>
          <w:tcPr>
            <w:tcW w:w="4818" w:type="dxa"/>
          </w:tcPr>
          <w:p w14:paraId="3F29C41E" w14:textId="77777777" w:rsidR="004D649E" w:rsidRPr="00286216" w:rsidRDefault="004D649E" w:rsidP="004D649E">
            <w:pPr>
              <w:pStyle w:val="StyleZakonu"/>
              <w:rPr>
                <w:color w:val="000000" w:themeColor="text1"/>
              </w:rPr>
            </w:pPr>
            <w:r w:rsidRPr="00286216">
              <w:rPr>
                <w:color w:val="000000" w:themeColor="text1"/>
              </w:rPr>
              <w:t>Стаття 131. Інсайдерська інформація</w:t>
            </w:r>
          </w:p>
        </w:tc>
        <w:tc>
          <w:tcPr>
            <w:tcW w:w="3686" w:type="dxa"/>
          </w:tcPr>
          <w:p w14:paraId="405580D3" w14:textId="77777777" w:rsidR="004D649E" w:rsidRPr="00286216" w:rsidRDefault="004D649E" w:rsidP="004D649E">
            <w:pPr>
              <w:pStyle w:val="StyleProp"/>
              <w:rPr>
                <w:color w:val="000000" w:themeColor="text1"/>
                <w:szCs w:val="18"/>
              </w:rPr>
            </w:pPr>
          </w:p>
        </w:tc>
        <w:tc>
          <w:tcPr>
            <w:tcW w:w="1987" w:type="dxa"/>
          </w:tcPr>
          <w:p w14:paraId="2B3BF4E5" w14:textId="77777777" w:rsidR="004D649E" w:rsidRPr="00286216" w:rsidRDefault="004D649E" w:rsidP="004D649E">
            <w:pPr>
              <w:pStyle w:val="StyleWisnow"/>
              <w:rPr>
                <w:color w:val="000000" w:themeColor="text1"/>
              </w:rPr>
            </w:pPr>
          </w:p>
        </w:tc>
        <w:tc>
          <w:tcPr>
            <w:tcW w:w="4818" w:type="dxa"/>
          </w:tcPr>
          <w:p w14:paraId="362ED1A7" w14:textId="13DEC20E" w:rsidR="004D649E" w:rsidRPr="00286216" w:rsidRDefault="004D649E" w:rsidP="004D649E">
            <w:pPr>
              <w:pStyle w:val="StyleZakonu"/>
              <w:rPr>
                <w:color w:val="000000" w:themeColor="text1"/>
              </w:rPr>
            </w:pPr>
            <w:r w:rsidRPr="00286216">
              <w:rPr>
                <w:color w:val="000000" w:themeColor="text1"/>
              </w:rPr>
              <w:t>Стаття 145. Інсайдерська інформація</w:t>
            </w:r>
          </w:p>
        </w:tc>
      </w:tr>
      <w:tr w:rsidR="004D649E" w:rsidRPr="00286216" w14:paraId="295C1927" w14:textId="77777777" w:rsidTr="00091AA5">
        <w:tc>
          <w:tcPr>
            <w:tcW w:w="576" w:type="dxa"/>
          </w:tcPr>
          <w:p w14:paraId="22067C55" w14:textId="77777777" w:rsidR="004D649E" w:rsidRPr="00286216" w:rsidRDefault="004D649E" w:rsidP="004D649E">
            <w:pPr>
              <w:pStyle w:val="StyleWisnow"/>
              <w:rPr>
                <w:color w:val="000000" w:themeColor="text1"/>
              </w:rPr>
            </w:pPr>
            <w:bookmarkStart w:id="1993" w:name="n2227" w:colFirst="0" w:colLast="0"/>
            <w:bookmarkEnd w:id="1992"/>
            <w:r w:rsidRPr="00286216">
              <w:rPr>
                <w:color w:val="000000" w:themeColor="text1"/>
              </w:rPr>
              <w:t>2227.</w:t>
            </w:r>
          </w:p>
        </w:tc>
        <w:tc>
          <w:tcPr>
            <w:tcW w:w="4818" w:type="dxa"/>
          </w:tcPr>
          <w:p w14:paraId="6DDC7DDA" w14:textId="77777777" w:rsidR="004D649E" w:rsidRPr="00286216" w:rsidRDefault="004D649E" w:rsidP="004D649E">
            <w:pPr>
              <w:pStyle w:val="StyleZakonu"/>
              <w:rPr>
                <w:color w:val="000000" w:themeColor="text1"/>
              </w:rPr>
            </w:pPr>
            <w:r w:rsidRPr="00286216">
              <w:rPr>
                <w:color w:val="000000" w:themeColor="text1"/>
              </w:rPr>
              <w:t>1. Інсайдерська інформація - неоприлюднена інформація про емітента, його цінні папери або про інші фінансові інструменти, що перебувають в обігу на організованому ринку капіталу, у разі якщо оприлюднення такої інформації може істотно вплинути на вартість відповідних фінансових інструментів.</w:t>
            </w:r>
          </w:p>
        </w:tc>
        <w:tc>
          <w:tcPr>
            <w:tcW w:w="3686" w:type="dxa"/>
          </w:tcPr>
          <w:p w14:paraId="3ED4FE25" w14:textId="77777777" w:rsidR="004D649E" w:rsidRPr="00286216" w:rsidRDefault="004D649E" w:rsidP="004D649E">
            <w:pPr>
              <w:pStyle w:val="StyleProp"/>
              <w:rPr>
                <w:color w:val="000000" w:themeColor="text1"/>
                <w:szCs w:val="18"/>
              </w:rPr>
            </w:pPr>
          </w:p>
        </w:tc>
        <w:tc>
          <w:tcPr>
            <w:tcW w:w="1987" w:type="dxa"/>
          </w:tcPr>
          <w:p w14:paraId="0C26A54A" w14:textId="77777777" w:rsidR="004D649E" w:rsidRPr="00286216" w:rsidRDefault="004D649E" w:rsidP="004D649E">
            <w:pPr>
              <w:pStyle w:val="StyleWisnow"/>
              <w:rPr>
                <w:color w:val="000000" w:themeColor="text1"/>
              </w:rPr>
            </w:pPr>
          </w:p>
        </w:tc>
        <w:tc>
          <w:tcPr>
            <w:tcW w:w="4818" w:type="dxa"/>
          </w:tcPr>
          <w:p w14:paraId="419FC52D" w14:textId="6E275CC7" w:rsidR="004D649E" w:rsidRPr="00286216" w:rsidRDefault="004D649E" w:rsidP="004D649E">
            <w:pPr>
              <w:pStyle w:val="StyleZakonu"/>
              <w:rPr>
                <w:color w:val="000000" w:themeColor="text1"/>
              </w:rPr>
            </w:pPr>
            <w:r w:rsidRPr="00286216">
              <w:rPr>
                <w:color w:val="000000" w:themeColor="text1"/>
              </w:rPr>
              <w:t>1. Інсайдерська інформація -  це неоприлюднена інформація про емітента, його цінні папери або інші фінансові інструменти, що перебувають в обігу на організованому ринку капіталу, у разі якщо оприлюднення такої інформації може істотно вплинути на вартість відповідних фінансових інструментів.</w:t>
            </w:r>
          </w:p>
        </w:tc>
      </w:tr>
      <w:tr w:rsidR="004D649E" w:rsidRPr="00286216" w14:paraId="59E16CE1" w14:textId="77777777" w:rsidTr="00091AA5">
        <w:tc>
          <w:tcPr>
            <w:tcW w:w="576" w:type="dxa"/>
          </w:tcPr>
          <w:p w14:paraId="4D3DC3C9" w14:textId="77777777" w:rsidR="004D649E" w:rsidRPr="00286216" w:rsidRDefault="004D649E" w:rsidP="004D649E">
            <w:pPr>
              <w:pStyle w:val="StyleWisnow"/>
              <w:rPr>
                <w:color w:val="000000" w:themeColor="text1"/>
              </w:rPr>
            </w:pPr>
            <w:bookmarkStart w:id="1994" w:name="n2228" w:colFirst="0" w:colLast="0"/>
            <w:bookmarkEnd w:id="1993"/>
            <w:r w:rsidRPr="00286216">
              <w:rPr>
                <w:color w:val="000000" w:themeColor="text1"/>
              </w:rPr>
              <w:t>2228.</w:t>
            </w:r>
          </w:p>
        </w:tc>
        <w:tc>
          <w:tcPr>
            <w:tcW w:w="4818" w:type="dxa"/>
          </w:tcPr>
          <w:p w14:paraId="558CCEF5" w14:textId="77777777" w:rsidR="004D649E" w:rsidRPr="00286216" w:rsidRDefault="004D649E" w:rsidP="004D649E">
            <w:pPr>
              <w:pStyle w:val="StyleZakonu"/>
              <w:rPr>
                <w:color w:val="000000" w:themeColor="text1"/>
              </w:rPr>
            </w:pPr>
            <w:r w:rsidRPr="00286216">
              <w:rPr>
                <w:color w:val="000000" w:themeColor="text1"/>
              </w:rPr>
              <w:t xml:space="preserve">2. Інформація щодо оцінки вартості цінних паперів та/або фінансово-господарського стану емітента, якщо вона отримана виключно на основі оприлюдненої інформації або інформації з інших </w:t>
            </w:r>
            <w:r w:rsidRPr="00286216">
              <w:rPr>
                <w:color w:val="000000" w:themeColor="text1"/>
              </w:rPr>
              <w:lastRenderedPageBreak/>
              <w:t>публічних джерел, не заборонених законодавством, не є інсайдерською інформацією.</w:t>
            </w:r>
          </w:p>
        </w:tc>
        <w:tc>
          <w:tcPr>
            <w:tcW w:w="3686" w:type="dxa"/>
          </w:tcPr>
          <w:p w14:paraId="15EC7E26" w14:textId="77777777" w:rsidR="004D649E" w:rsidRPr="00286216" w:rsidRDefault="004D649E" w:rsidP="004D649E">
            <w:pPr>
              <w:pStyle w:val="StyleProp"/>
              <w:rPr>
                <w:color w:val="000000" w:themeColor="text1"/>
                <w:szCs w:val="18"/>
              </w:rPr>
            </w:pPr>
          </w:p>
        </w:tc>
        <w:tc>
          <w:tcPr>
            <w:tcW w:w="1987" w:type="dxa"/>
          </w:tcPr>
          <w:p w14:paraId="2CB035EC" w14:textId="77777777" w:rsidR="004D649E" w:rsidRPr="00286216" w:rsidRDefault="004D649E" w:rsidP="004D649E">
            <w:pPr>
              <w:pStyle w:val="StyleWisnow"/>
              <w:rPr>
                <w:color w:val="000000" w:themeColor="text1"/>
              </w:rPr>
            </w:pPr>
          </w:p>
        </w:tc>
        <w:tc>
          <w:tcPr>
            <w:tcW w:w="4818" w:type="dxa"/>
          </w:tcPr>
          <w:p w14:paraId="7F116876" w14:textId="009CCEB4" w:rsidR="004D649E" w:rsidRPr="00286216" w:rsidRDefault="004D649E" w:rsidP="004D649E">
            <w:pPr>
              <w:pStyle w:val="StyleZakonu"/>
              <w:rPr>
                <w:color w:val="000000" w:themeColor="text1"/>
              </w:rPr>
            </w:pPr>
            <w:r w:rsidRPr="00286216">
              <w:rPr>
                <w:color w:val="000000" w:themeColor="text1"/>
              </w:rPr>
              <w:t xml:space="preserve">2. Інформація щодо оцінки вартості цінних паперів та/або фінансово-господарського стану емітента, якщо вона отримана виключно на основі оприлюдненої інформації або інформації з інших </w:t>
            </w:r>
            <w:r w:rsidRPr="00286216">
              <w:rPr>
                <w:color w:val="000000" w:themeColor="text1"/>
              </w:rPr>
              <w:lastRenderedPageBreak/>
              <w:t>публічних джерел, не заборонених законодавством, не є інсайдерською інформацією.</w:t>
            </w:r>
          </w:p>
        </w:tc>
      </w:tr>
      <w:tr w:rsidR="004D649E" w:rsidRPr="00286216" w14:paraId="2B96E0CC" w14:textId="77777777" w:rsidTr="00091AA5">
        <w:tc>
          <w:tcPr>
            <w:tcW w:w="576" w:type="dxa"/>
          </w:tcPr>
          <w:p w14:paraId="381AD0E0" w14:textId="77777777" w:rsidR="004D649E" w:rsidRPr="00286216" w:rsidRDefault="004D649E" w:rsidP="004D649E">
            <w:pPr>
              <w:pStyle w:val="StyleWisnow"/>
              <w:rPr>
                <w:color w:val="000000" w:themeColor="text1"/>
              </w:rPr>
            </w:pPr>
            <w:bookmarkStart w:id="1995" w:name="n2229" w:colFirst="0" w:colLast="0"/>
            <w:bookmarkEnd w:id="1994"/>
            <w:r w:rsidRPr="00286216">
              <w:rPr>
                <w:color w:val="000000" w:themeColor="text1"/>
              </w:rPr>
              <w:lastRenderedPageBreak/>
              <w:t>2229.</w:t>
            </w:r>
          </w:p>
        </w:tc>
        <w:tc>
          <w:tcPr>
            <w:tcW w:w="4818" w:type="dxa"/>
          </w:tcPr>
          <w:p w14:paraId="77CBF2BE" w14:textId="77777777" w:rsidR="004D649E" w:rsidRPr="00286216" w:rsidRDefault="004D649E" w:rsidP="004D649E">
            <w:pPr>
              <w:pStyle w:val="StyleZakonu"/>
              <w:rPr>
                <w:color w:val="000000" w:themeColor="text1"/>
              </w:rPr>
            </w:pPr>
            <w:r w:rsidRPr="00286216">
              <w:rPr>
                <w:color w:val="000000" w:themeColor="text1"/>
              </w:rPr>
              <w:t>3. Інформація не вважається інсайдерською з моменту її оприлюднення відповідно до закону.</w:t>
            </w:r>
          </w:p>
        </w:tc>
        <w:tc>
          <w:tcPr>
            <w:tcW w:w="3686" w:type="dxa"/>
          </w:tcPr>
          <w:p w14:paraId="662C6D44" w14:textId="77777777" w:rsidR="004D649E" w:rsidRPr="00286216" w:rsidRDefault="004D649E" w:rsidP="004D649E">
            <w:pPr>
              <w:pStyle w:val="StyleProp"/>
              <w:rPr>
                <w:color w:val="000000" w:themeColor="text1"/>
                <w:szCs w:val="18"/>
              </w:rPr>
            </w:pPr>
          </w:p>
        </w:tc>
        <w:tc>
          <w:tcPr>
            <w:tcW w:w="1987" w:type="dxa"/>
          </w:tcPr>
          <w:p w14:paraId="5168A87D" w14:textId="77777777" w:rsidR="004D649E" w:rsidRPr="00286216" w:rsidRDefault="004D649E" w:rsidP="004D649E">
            <w:pPr>
              <w:pStyle w:val="StyleWisnow"/>
              <w:rPr>
                <w:color w:val="000000" w:themeColor="text1"/>
              </w:rPr>
            </w:pPr>
          </w:p>
        </w:tc>
        <w:tc>
          <w:tcPr>
            <w:tcW w:w="4818" w:type="dxa"/>
          </w:tcPr>
          <w:p w14:paraId="371494A2" w14:textId="4DA98C71" w:rsidR="004D649E" w:rsidRPr="00286216" w:rsidRDefault="004D649E" w:rsidP="004D649E">
            <w:pPr>
              <w:pStyle w:val="StyleZakonu"/>
              <w:rPr>
                <w:color w:val="000000" w:themeColor="text1"/>
              </w:rPr>
            </w:pPr>
            <w:r w:rsidRPr="00286216">
              <w:rPr>
                <w:color w:val="000000" w:themeColor="text1"/>
              </w:rPr>
              <w:t>3. Інформація не вважається інсайдерською з моменту її оприлюднення відповідно до закону.</w:t>
            </w:r>
          </w:p>
        </w:tc>
      </w:tr>
      <w:tr w:rsidR="004D649E" w:rsidRPr="00286216" w14:paraId="631D257F" w14:textId="77777777" w:rsidTr="00091AA5">
        <w:tc>
          <w:tcPr>
            <w:tcW w:w="576" w:type="dxa"/>
          </w:tcPr>
          <w:p w14:paraId="563AB2B2" w14:textId="77777777" w:rsidR="004D649E" w:rsidRPr="00286216" w:rsidRDefault="004D649E" w:rsidP="004D649E">
            <w:pPr>
              <w:pStyle w:val="StyleWisnow"/>
              <w:rPr>
                <w:color w:val="000000" w:themeColor="text1"/>
              </w:rPr>
            </w:pPr>
            <w:bookmarkStart w:id="1996" w:name="n2230" w:colFirst="0" w:colLast="0"/>
            <w:bookmarkEnd w:id="1995"/>
            <w:r w:rsidRPr="00286216">
              <w:rPr>
                <w:color w:val="000000" w:themeColor="text1"/>
              </w:rPr>
              <w:t>2230.</w:t>
            </w:r>
          </w:p>
        </w:tc>
        <w:tc>
          <w:tcPr>
            <w:tcW w:w="4818" w:type="dxa"/>
          </w:tcPr>
          <w:p w14:paraId="24E64689" w14:textId="77777777" w:rsidR="004D649E" w:rsidRPr="00286216" w:rsidRDefault="004D649E" w:rsidP="004D649E">
            <w:pPr>
              <w:pStyle w:val="StyleZakonu"/>
              <w:rPr>
                <w:color w:val="000000" w:themeColor="text1"/>
              </w:rPr>
            </w:pPr>
            <w:r w:rsidRPr="00286216">
              <w:rPr>
                <w:color w:val="000000" w:themeColor="text1"/>
              </w:rPr>
              <w:t>Стаття 132. Заборона використання інсайдерської інформації</w:t>
            </w:r>
          </w:p>
        </w:tc>
        <w:tc>
          <w:tcPr>
            <w:tcW w:w="3686" w:type="dxa"/>
          </w:tcPr>
          <w:p w14:paraId="312CB084" w14:textId="77777777" w:rsidR="004D649E" w:rsidRPr="00286216" w:rsidRDefault="004D649E" w:rsidP="004D649E">
            <w:pPr>
              <w:pStyle w:val="StyleProp"/>
              <w:rPr>
                <w:color w:val="000000" w:themeColor="text1"/>
                <w:szCs w:val="18"/>
              </w:rPr>
            </w:pPr>
          </w:p>
        </w:tc>
        <w:tc>
          <w:tcPr>
            <w:tcW w:w="1987" w:type="dxa"/>
          </w:tcPr>
          <w:p w14:paraId="1A7C7B04" w14:textId="77777777" w:rsidR="004D649E" w:rsidRPr="00286216" w:rsidRDefault="004D649E" w:rsidP="004D649E">
            <w:pPr>
              <w:pStyle w:val="StyleWisnow"/>
              <w:rPr>
                <w:color w:val="000000" w:themeColor="text1"/>
              </w:rPr>
            </w:pPr>
          </w:p>
        </w:tc>
        <w:tc>
          <w:tcPr>
            <w:tcW w:w="4818" w:type="dxa"/>
          </w:tcPr>
          <w:p w14:paraId="348811BC" w14:textId="7B8BDC34" w:rsidR="004D649E" w:rsidRPr="00286216" w:rsidRDefault="004D649E" w:rsidP="004D649E">
            <w:pPr>
              <w:pStyle w:val="StyleZakonu"/>
              <w:rPr>
                <w:color w:val="000000" w:themeColor="text1"/>
              </w:rPr>
            </w:pPr>
            <w:r w:rsidRPr="00286216">
              <w:rPr>
                <w:color w:val="000000" w:themeColor="text1"/>
              </w:rPr>
              <w:t>Стаття 146. Заборона використання інсайдерської інформації</w:t>
            </w:r>
          </w:p>
        </w:tc>
      </w:tr>
      <w:tr w:rsidR="004D649E" w:rsidRPr="00286216" w14:paraId="0AF42AC2" w14:textId="77777777" w:rsidTr="00091AA5">
        <w:tc>
          <w:tcPr>
            <w:tcW w:w="576" w:type="dxa"/>
          </w:tcPr>
          <w:p w14:paraId="70346EEC" w14:textId="77777777" w:rsidR="004D649E" w:rsidRPr="00286216" w:rsidRDefault="004D649E" w:rsidP="004D649E">
            <w:pPr>
              <w:pStyle w:val="StyleWisnow"/>
              <w:rPr>
                <w:color w:val="000000" w:themeColor="text1"/>
              </w:rPr>
            </w:pPr>
            <w:bookmarkStart w:id="1997" w:name="n2231" w:colFirst="0" w:colLast="0"/>
            <w:bookmarkEnd w:id="1996"/>
            <w:r w:rsidRPr="00286216">
              <w:rPr>
                <w:color w:val="000000" w:themeColor="text1"/>
              </w:rPr>
              <w:t>2231.</w:t>
            </w:r>
          </w:p>
        </w:tc>
        <w:tc>
          <w:tcPr>
            <w:tcW w:w="4818" w:type="dxa"/>
          </w:tcPr>
          <w:p w14:paraId="26904241" w14:textId="77777777" w:rsidR="004D649E" w:rsidRPr="00286216" w:rsidRDefault="004D649E" w:rsidP="004D649E">
            <w:pPr>
              <w:pStyle w:val="StyleZakonu"/>
              <w:rPr>
                <w:color w:val="000000" w:themeColor="text1"/>
              </w:rPr>
            </w:pPr>
            <w:r w:rsidRPr="00286216">
              <w:rPr>
                <w:color w:val="000000" w:themeColor="text1"/>
              </w:rPr>
              <w:t>1. Особі, яка володіє інсайдерською інформацією, забороняється:</w:t>
            </w:r>
          </w:p>
        </w:tc>
        <w:tc>
          <w:tcPr>
            <w:tcW w:w="3686" w:type="dxa"/>
          </w:tcPr>
          <w:p w14:paraId="074A8E75" w14:textId="77777777" w:rsidR="004D649E" w:rsidRPr="00286216" w:rsidRDefault="004D649E" w:rsidP="004D649E">
            <w:pPr>
              <w:pStyle w:val="StyleProp"/>
              <w:rPr>
                <w:color w:val="000000" w:themeColor="text1"/>
                <w:szCs w:val="18"/>
              </w:rPr>
            </w:pPr>
          </w:p>
        </w:tc>
        <w:tc>
          <w:tcPr>
            <w:tcW w:w="1987" w:type="dxa"/>
          </w:tcPr>
          <w:p w14:paraId="5247E5FC" w14:textId="77777777" w:rsidR="004D649E" w:rsidRPr="00286216" w:rsidRDefault="004D649E" w:rsidP="004D649E">
            <w:pPr>
              <w:pStyle w:val="StyleWisnow"/>
              <w:rPr>
                <w:color w:val="000000" w:themeColor="text1"/>
              </w:rPr>
            </w:pPr>
          </w:p>
        </w:tc>
        <w:tc>
          <w:tcPr>
            <w:tcW w:w="4818" w:type="dxa"/>
          </w:tcPr>
          <w:p w14:paraId="2B4ED954" w14:textId="6B05079B" w:rsidR="004D649E" w:rsidRPr="00286216" w:rsidRDefault="004D649E" w:rsidP="004D649E">
            <w:pPr>
              <w:pStyle w:val="StyleZakonu"/>
              <w:rPr>
                <w:color w:val="000000" w:themeColor="text1"/>
              </w:rPr>
            </w:pPr>
            <w:r w:rsidRPr="00286216">
              <w:rPr>
                <w:color w:val="000000" w:themeColor="text1"/>
              </w:rPr>
              <w:t>1. Особі, яка володіє інсайдерською інформацією, забороняється:</w:t>
            </w:r>
          </w:p>
        </w:tc>
      </w:tr>
      <w:tr w:rsidR="004D649E" w:rsidRPr="00286216" w14:paraId="1488474E" w14:textId="77777777" w:rsidTr="00091AA5">
        <w:tc>
          <w:tcPr>
            <w:tcW w:w="576" w:type="dxa"/>
          </w:tcPr>
          <w:p w14:paraId="541913A4" w14:textId="77777777" w:rsidR="004D649E" w:rsidRPr="00286216" w:rsidRDefault="004D649E" w:rsidP="004D649E">
            <w:pPr>
              <w:pStyle w:val="StyleWisnow"/>
              <w:rPr>
                <w:color w:val="000000" w:themeColor="text1"/>
              </w:rPr>
            </w:pPr>
            <w:bookmarkStart w:id="1998" w:name="n2232" w:colFirst="0" w:colLast="0"/>
            <w:bookmarkEnd w:id="1997"/>
            <w:r w:rsidRPr="00286216">
              <w:rPr>
                <w:color w:val="000000" w:themeColor="text1"/>
              </w:rPr>
              <w:t>2232.</w:t>
            </w:r>
          </w:p>
        </w:tc>
        <w:tc>
          <w:tcPr>
            <w:tcW w:w="4818" w:type="dxa"/>
          </w:tcPr>
          <w:p w14:paraId="61135923" w14:textId="77777777" w:rsidR="004D649E" w:rsidRPr="00286216" w:rsidRDefault="004D649E" w:rsidP="004D649E">
            <w:pPr>
              <w:pStyle w:val="StyleZakonu"/>
              <w:rPr>
                <w:color w:val="000000" w:themeColor="text1"/>
              </w:rPr>
            </w:pPr>
            <w:r w:rsidRPr="00286216">
              <w:rPr>
                <w:color w:val="000000" w:themeColor="text1"/>
              </w:rPr>
              <w:t>1) вчиняти з використанням інсайдерської інформації на власну користь або на користь інших осіб правочини щодо фінансових інструментів, яких стосується інсайдерська інформація, до моменту оприлюднення такої інформації;</w:t>
            </w:r>
          </w:p>
        </w:tc>
        <w:tc>
          <w:tcPr>
            <w:tcW w:w="3686" w:type="dxa"/>
          </w:tcPr>
          <w:p w14:paraId="3E4F7665" w14:textId="77777777" w:rsidR="004D649E" w:rsidRPr="00286216" w:rsidRDefault="004D649E" w:rsidP="004D649E">
            <w:pPr>
              <w:pStyle w:val="StyleProp"/>
              <w:rPr>
                <w:color w:val="000000" w:themeColor="text1"/>
                <w:szCs w:val="18"/>
              </w:rPr>
            </w:pPr>
          </w:p>
        </w:tc>
        <w:tc>
          <w:tcPr>
            <w:tcW w:w="1987" w:type="dxa"/>
          </w:tcPr>
          <w:p w14:paraId="097DE300" w14:textId="77777777" w:rsidR="004D649E" w:rsidRPr="00286216" w:rsidRDefault="004D649E" w:rsidP="004D649E">
            <w:pPr>
              <w:pStyle w:val="StyleWisnow"/>
              <w:rPr>
                <w:color w:val="000000" w:themeColor="text1"/>
              </w:rPr>
            </w:pPr>
          </w:p>
        </w:tc>
        <w:tc>
          <w:tcPr>
            <w:tcW w:w="4818" w:type="dxa"/>
          </w:tcPr>
          <w:p w14:paraId="3D7A3677" w14:textId="4B4E4394" w:rsidR="004D649E" w:rsidRPr="00286216" w:rsidRDefault="004D649E" w:rsidP="004D649E">
            <w:pPr>
              <w:pStyle w:val="StyleZakonu"/>
              <w:rPr>
                <w:color w:val="000000" w:themeColor="text1"/>
              </w:rPr>
            </w:pPr>
            <w:r w:rsidRPr="00286216">
              <w:rPr>
                <w:color w:val="000000" w:themeColor="text1"/>
              </w:rPr>
              <w:t>1) вчиняти з використанням інсайдерської інформації на власну користь або на користь інших осіб правочини щодо фінансових інструментів, яких стосується інсайдерська інформація, до моменту оприлюднення такої інформації;</w:t>
            </w:r>
          </w:p>
        </w:tc>
      </w:tr>
      <w:tr w:rsidR="004D649E" w:rsidRPr="00286216" w14:paraId="48DD631C" w14:textId="77777777" w:rsidTr="00091AA5">
        <w:tc>
          <w:tcPr>
            <w:tcW w:w="576" w:type="dxa"/>
          </w:tcPr>
          <w:p w14:paraId="4B24272B" w14:textId="77777777" w:rsidR="004D649E" w:rsidRPr="00286216" w:rsidRDefault="004D649E" w:rsidP="004D649E">
            <w:pPr>
              <w:pStyle w:val="StyleWisnow"/>
              <w:rPr>
                <w:color w:val="000000" w:themeColor="text1"/>
              </w:rPr>
            </w:pPr>
            <w:bookmarkStart w:id="1999" w:name="n2233" w:colFirst="0" w:colLast="0"/>
            <w:bookmarkEnd w:id="1998"/>
            <w:r w:rsidRPr="00286216">
              <w:rPr>
                <w:color w:val="000000" w:themeColor="text1"/>
              </w:rPr>
              <w:t>2233.</w:t>
            </w:r>
          </w:p>
        </w:tc>
        <w:tc>
          <w:tcPr>
            <w:tcW w:w="4818" w:type="dxa"/>
          </w:tcPr>
          <w:p w14:paraId="44FF806D" w14:textId="77777777" w:rsidR="004D649E" w:rsidRPr="00286216" w:rsidRDefault="004D649E" w:rsidP="004D649E">
            <w:pPr>
              <w:pStyle w:val="StyleZakonu"/>
              <w:rPr>
                <w:color w:val="000000" w:themeColor="text1"/>
              </w:rPr>
            </w:pPr>
            <w:r w:rsidRPr="00286216">
              <w:rPr>
                <w:color w:val="000000" w:themeColor="text1"/>
              </w:rPr>
              <w:t>2) передавати інсайдерську інформацію або надавати доступ до неї іншим особам, крім розкриття інформації в межах виконання професійних, трудових або службових обов’язків та в інших випадках, передбачених законодавством;</w:t>
            </w:r>
          </w:p>
        </w:tc>
        <w:tc>
          <w:tcPr>
            <w:tcW w:w="3686" w:type="dxa"/>
          </w:tcPr>
          <w:p w14:paraId="18EEAD57" w14:textId="77777777" w:rsidR="004D649E" w:rsidRPr="00286216" w:rsidRDefault="004D649E" w:rsidP="004D649E">
            <w:pPr>
              <w:pStyle w:val="StyleProp"/>
              <w:rPr>
                <w:color w:val="000000" w:themeColor="text1"/>
                <w:szCs w:val="18"/>
              </w:rPr>
            </w:pPr>
          </w:p>
        </w:tc>
        <w:tc>
          <w:tcPr>
            <w:tcW w:w="1987" w:type="dxa"/>
          </w:tcPr>
          <w:p w14:paraId="177CB0FC" w14:textId="77777777" w:rsidR="004D649E" w:rsidRPr="00286216" w:rsidRDefault="004D649E" w:rsidP="004D649E">
            <w:pPr>
              <w:pStyle w:val="StyleWisnow"/>
              <w:rPr>
                <w:color w:val="000000" w:themeColor="text1"/>
              </w:rPr>
            </w:pPr>
          </w:p>
        </w:tc>
        <w:tc>
          <w:tcPr>
            <w:tcW w:w="4818" w:type="dxa"/>
          </w:tcPr>
          <w:p w14:paraId="259E66E0" w14:textId="1032C214" w:rsidR="004D649E" w:rsidRPr="00286216" w:rsidRDefault="004D649E" w:rsidP="004D649E">
            <w:pPr>
              <w:pStyle w:val="StyleZakonu"/>
              <w:rPr>
                <w:color w:val="000000" w:themeColor="text1"/>
              </w:rPr>
            </w:pPr>
            <w:r w:rsidRPr="00286216">
              <w:rPr>
                <w:color w:val="000000" w:themeColor="text1"/>
              </w:rPr>
              <w:t>2) передавати інсайдерську інформацію або надавати доступ до неї іншим особам, крім розкриття інформації в межах виконання професійних, трудових або службових обов’язків та в інших випадках, передбачених законодавством;</w:t>
            </w:r>
          </w:p>
        </w:tc>
      </w:tr>
      <w:tr w:rsidR="004D649E" w:rsidRPr="00286216" w14:paraId="297C0B4C" w14:textId="77777777" w:rsidTr="00091AA5">
        <w:tc>
          <w:tcPr>
            <w:tcW w:w="576" w:type="dxa"/>
          </w:tcPr>
          <w:p w14:paraId="70300ACD" w14:textId="77777777" w:rsidR="004D649E" w:rsidRPr="00286216" w:rsidRDefault="004D649E" w:rsidP="004D649E">
            <w:pPr>
              <w:pStyle w:val="StyleWisnow"/>
              <w:rPr>
                <w:color w:val="000000" w:themeColor="text1"/>
              </w:rPr>
            </w:pPr>
            <w:bookmarkStart w:id="2000" w:name="n2234" w:colFirst="0" w:colLast="0"/>
            <w:bookmarkEnd w:id="1999"/>
            <w:r w:rsidRPr="00286216">
              <w:rPr>
                <w:color w:val="000000" w:themeColor="text1"/>
              </w:rPr>
              <w:t>2234.</w:t>
            </w:r>
          </w:p>
        </w:tc>
        <w:tc>
          <w:tcPr>
            <w:tcW w:w="4818" w:type="dxa"/>
          </w:tcPr>
          <w:p w14:paraId="7E1B4E4F" w14:textId="77777777" w:rsidR="004D649E" w:rsidRPr="00286216" w:rsidRDefault="004D649E" w:rsidP="004D649E">
            <w:pPr>
              <w:pStyle w:val="StyleZakonu"/>
              <w:rPr>
                <w:color w:val="000000" w:themeColor="text1"/>
              </w:rPr>
            </w:pPr>
            <w:r w:rsidRPr="00286216">
              <w:rPr>
                <w:color w:val="000000" w:themeColor="text1"/>
              </w:rPr>
              <w:t>3) давати будь-якій особі рекомендації стосовно фінансових інструментів, щодо яких він володіє інсайдерською інформацією, до моменту оприлюднення такої інформації.</w:t>
            </w:r>
          </w:p>
        </w:tc>
        <w:tc>
          <w:tcPr>
            <w:tcW w:w="3686" w:type="dxa"/>
          </w:tcPr>
          <w:p w14:paraId="78982601" w14:textId="77777777" w:rsidR="004D649E" w:rsidRPr="00286216" w:rsidRDefault="004D649E" w:rsidP="004D649E">
            <w:pPr>
              <w:pStyle w:val="StyleProp"/>
              <w:rPr>
                <w:color w:val="000000" w:themeColor="text1"/>
                <w:szCs w:val="18"/>
              </w:rPr>
            </w:pPr>
          </w:p>
        </w:tc>
        <w:tc>
          <w:tcPr>
            <w:tcW w:w="1987" w:type="dxa"/>
          </w:tcPr>
          <w:p w14:paraId="7FF6F78F" w14:textId="77777777" w:rsidR="004D649E" w:rsidRPr="00286216" w:rsidRDefault="004D649E" w:rsidP="004D649E">
            <w:pPr>
              <w:pStyle w:val="StyleWisnow"/>
              <w:rPr>
                <w:color w:val="000000" w:themeColor="text1"/>
              </w:rPr>
            </w:pPr>
          </w:p>
        </w:tc>
        <w:tc>
          <w:tcPr>
            <w:tcW w:w="4818" w:type="dxa"/>
          </w:tcPr>
          <w:p w14:paraId="40842B40" w14:textId="3212B592" w:rsidR="004D649E" w:rsidRPr="00286216" w:rsidRDefault="004D649E" w:rsidP="004D649E">
            <w:pPr>
              <w:pStyle w:val="StyleZakonu"/>
              <w:rPr>
                <w:color w:val="000000" w:themeColor="text1"/>
              </w:rPr>
            </w:pPr>
            <w:r w:rsidRPr="00286216">
              <w:rPr>
                <w:color w:val="000000" w:themeColor="text1"/>
              </w:rPr>
              <w:t>3) надавати будь-якій особі рекомендації стосовно фінансових інструментів, щодо яких він володіє інсайдерською інформацією, до моменту оприлюднення такої інформації.</w:t>
            </w:r>
          </w:p>
        </w:tc>
      </w:tr>
      <w:tr w:rsidR="004D649E" w:rsidRPr="00286216" w14:paraId="70C640C1" w14:textId="77777777" w:rsidTr="00091AA5">
        <w:tc>
          <w:tcPr>
            <w:tcW w:w="576" w:type="dxa"/>
          </w:tcPr>
          <w:p w14:paraId="16CA1C4F" w14:textId="77777777" w:rsidR="004D649E" w:rsidRPr="00286216" w:rsidRDefault="004D649E" w:rsidP="004D649E">
            <w:pPr>
              <w:pStyle w:val="StyleWisnow"/>
              <w:rPr>
                <w:color w:val="000000" w:themeColor="text1"/>
              </w:rPr>
            </w:pPr>
            <w:bookmarkStart w:id="2001" w:name="n2235" w:colFirst="0" w:colLast="0"/>
            <w:bookmarkEnd w:id="2000"/>
            <w:r w:rsidRPr="00286216">
              <w:rPr>
                <w:color w:val="000000" w:themeColor="text1"/>
              </w:rPr>
              <w:t>2235.</w:t>
            </w:r>
          </w:p>
        </w:tc>
        <w:tc>
          <w:tcPr>
            <w:tcW w:w="4818" w:type="dxa"/>
          </w:tcPr>
          <w:p w14:paraId="62ACB0EE" w14:textId="77777777" w:rsidR="004D649E" w:rsidRPr="00286216" w:rsidRDefault="004D649E" w:rsidP="004D649E">
            <w:pPr>
              <w:pStyle w:val="StyleZakonu"/>
              <w:rPr>
                <w:color w:val="000000" w:themeColor="text1"/>
              </w:rPr>
            </w:pPr>
            <w:r w:rsidRPr="00286216">
              <w:rPr>
                <w:color w:val="000000" w:themeColor="text1"/>
              </w:rPr>
              <w:t>2. Використання інсайдерської інформації під час зондування ринків капіталу відповідно до статті 133 цього Закону, а саме - передача її потенційним інвесторам не є порушенням заборони використання інсайдерської інформації, передбаченої частиною першою цієї статті.</w:t>
            </w:r>
          </w:p>
        </w:tc>
        <w:tc>
          <w:tcPr>
            <w:tcW w:w="3686" w:type="dxa"/>
          </w:tcPr>
          <w:p w14:paraId="160C7713" w14:textId="77777777" w:rsidR="004D649E" w:rsidRPr="00286216" w:rsidRDefault="004D649E" w:rsidP="004D649E">
            <w:pPr>
              <w:pStyle w:val="StyleProp"/>
              <w:rPr>
                <w:color w:val="000000" w:themeColor="text1"/>
                <w:szCs w:val="18"/>
              </w:rPr>
            </w:pPr>
          </w:p>
        </w:tc>
        <w:tc>
          <w:tcPr>
            <w:tcW w:w="1987" w:type="dxa"/>
          </w:tcPr>
          <w:p w14:paraId="7740DADB" w14:textId="77777777" w:rsidR="004D649E" w:rsidRPr="00286216" w:rsidRDefault="004D649E" w:rsidP="004D649E">
            <w:pPr>
              <w:pStyle w:val="StyleWisnow"/>
              <w:rPr>
                <w:color w:val="000000" w:themeColor="text1"/>
              </w:rPr>
            </w:pPr>
          </w:p>
        </w:tc>
        <w:tc>
          <w:tcPr>
            <w:tcW w:w="4818" w:type="dxa"/>
          </w:tcPr>
          <w:p w14:paraId="12CC62A1" w14:textId="77777777" w:rsidR="004D649E" w:rsidRPr="00286216" w:rsidRDefault="004D649E" w:rsidP="004D649E">
            <w:pPr>
              <w:pStyle w:val="StyleZakonu"/>
              <w:rPr>
                <w:color w:val="000000" w:themeColor="text1"/>
              </w:rPr>
            </w:pPr>
            <w:r w:rsidRPr="00286216">
              <w:rPr>
                <w:color w:val="000000" w:themeColor="text1"/>
              </w:rPr>
              <w:t>2. Передача інсайдерської інформації потенційним інвесторам під час зондування ринків капіталу відповідно до статті 147 цього Закону не є порушенням заборони використання інсайдерської інформації, передбаченої частиною першою цієї статті.</w:t>
            </w:r>
          </w:p>
          <w:p w14:paraId="0E19044A" w14:textId="24E3C05C" w:rsidR="004D649E" w:rsidRPr="00286216" w:rsidRDefault="004D649E" w:rsidP="004D649E">
            <w:pPr>
              <w:pStyle w:val="StyleZakonu"/>
              <w:rPr>
                <w:color w:val="000000" w:themeColor="text1"/>
              </w:rPr>
            </w:pPr>
          </w:p>
        </w:tc>
      </w:tr>
      <w:tr w:rsidR="004D649E" w:rsidRPr="00286216" w14:paraId="449A240C" w14:textId="77777777" w:rsidTr="00091AA5">
        <w:tc>
          <w:tcPr>
            <w:tcW w:w="576" w:type="dxa"/>
          </w:tcPr>
          <w:p w14:paraId="00AF1CF6" w14:textId="77777777" w:rsidR="004D649E" w:rsidRPr="00286216" w:rsidRDefault="004D649E" w:rsidP="004D649E">
            <w:pPr>
              <w:pStyle w:val="StyleWisnow"/>
              <w:rPr>
                <w:color w:val="000000" w:themeColor="text1"/>
              </w:rPr>
            </w:pPr>
            <w:bookmarkStart w:id="2002" w:name="n2236" w:colFirst="0" w:colLast="0"/>
            <w:bookmarkEnd w:id="2001"/>
            <w:r w:rsidRPr="00286216">
              <w:rPr>
                <w:color w:val="000000" w:themeColor="text1"/>
              </w:rPr>
              <w:t>2236.</w:t>
            </w:r>
          </w:p>
        </w:tc>
        <w:tc>
          <w:tcPr>
            <w:tcW w:w="4818" w:type="dxa"/>
          </w:tcPr>
          <w:p w14:paraId="58F6ABC2" w14:textId="77777777" w:rsidR="004D649E" w:rsidRPr="00286216" w:rsidRDefault="004D649E" w:rsidP="004D649E">
            <w:pPr>
              <w:pStyle w:val="StyleZakonu"/>
              <w:rPr>
                <w:color w:val="000000" w:themeColor="text1"/>
              </w:rPr>
            </w:pPr>
            <w:r w:rsidRPr="00286216">
              <w:rPr>
                <w:color w:val="000000" w:themeColor="text1"/>
              </w:rPr>
              <w:t>3. Оператор організованого ринку капіталу повинен повідомити Національну комісію з цінних паперів та фондового ринку про операції з фінансовими інструментами, які здійснюються на організованому ринку капіталу, якщо існує підозра в тому, що під час здійснення таких операцій використовується або може бути використана інсайдерська інформація.</w:t>
            </w:r>
          </w:p>
        </w:tc>
        <w:tc>
          <w:tcPr>
            <w:tcW w:w="3686" w:type="dxa"/>
          </w:tcPr>
          <w:p w14:paraId="0A2819A2" w14:textId="6292F54C" w:rsidR="004D649E" w:rsidRPr="00286216" w:rsidRDefault="004D649E" w:rsidP="004D649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1081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F6C06DC" w14:textId="77777777" w:rsidR="004D649E" w:rsidRPr="00286216" w:rsidRDefault="004D649E" w:rsidP="004D649E">
            <w:pPr>
              <w:pStyle w:val="StyleProp"/>
              <w:rPr>
                <w:color w:val="000000" w:themeColor="text1"/>
                <w:szCs w:val="18"/>
              </w:rPr>
            </w:pPr>
            <w:r w:rsidRPr="00286216">
              <w:rPr>
                <w:color w:val="000000" w:themeColor="text1"/>
                <w:szCs w:val="18"/>
              </w:rPr>
              <w:t>Доповнити частину третю статті 132 після слова «повинен» словами «офіційним каналом зв’язку».</w:t>
            </w:r>
          </w:p>
          <w:p w14:paraId="4F94DC2E" w14:textId="3FAFE03D" w:rsidR="004D649E" w:rsidRPr="00286216" w:rsidRDefault="004D649E" w:rsidP="004D649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1082</w:t>
            </w:r>
            <w:r w:rsidRPr="00286216">
              <w:rPr>
                <w:color w:val="000000" w:themeColor="text1"/>
                <w:spacing w:val="-4"/>
              </w:rPr>
              <w:fldChar w:fldCharType="end"/>
            </w:r>
            <w:r w:rsidRPr="00286216">
              <w:rPr>
                <w:color w:val="000000" w:themeColor="text1"/>
                <w:spacing w:val="-4"/>
              </w:rPr>
              <w:t>-Н.д.Шахов С.В. (Реєстр.картка №114)</w:t>
            </w:r>
          </w:p>
          <w:p w14:paraId="1CCFC155" w14:textId="77777777" w:rsidR="004D649E" w:rsidRPr="00286216" w:rsidRDefault="004D649E" w:rsidP="004D649E">
            <w:pPr>
              <w:pStyle w:val="StyleProp"/>
              <w:spacing w:line="190" w:lineRule="exact"/>
              <w:rPr>
                <w:color w:val="000000" w:themeColor="text1"/>
                <w:szCs w:val="18"/>
              </w:rPr>
            </w:pPr>
            <w:r w:rsidRPr="00286216">
              <w:rPr>
                <w:color w:val="000000" w:themeColor="text1"/>
                <w:spacing w:val="-2"/>
              </w:rPr>
              <w:t>У ч. 3 ст. 132 слова "</w:t>
            </w:r>
            <w:r w:rsidRPr="00286216">
              <w:rPr>
                <w:color w:val="000000" w:themeColor="text1"/>
              </w:rPr>
              <w:t>Національну комісію з цінних паперів та фондового ринку" замінити словами "</w:t>
            </w:r>
            <w:r w:rsidRPr="00286216">
              <w:rPr>
                <w:color w:val="000000" w:themeColor="text1"/>
                <w:spacing w:val="-2"/>
              </w:rPr>
              <w:t>регулятора відповідного ринку".</w:t>
            </w:r>
          </w:p>
        </w:tc>
        <w:tc>
          <w:tcPr>
            <w:tcW w:w="1987" w:type="dxa"/>
          </w:tcPr>
          <w:p w14:paraId="69388D94" w14:textId="77777777" w:rsidR="004D649E" w:rsidRPr="00286216" w:rsidRDefault="004D649E" w:rsidP="004D649E">
            <w:pPr>
              <w:pStyle w:val="StyleWisnow"/>
              <w:rPr>
                <w:color w:val="000000" w:themeColor="text1"/>
              </w:rPr>
            </w:pPr>
            <w:r w:rsidRPr="00286216">
              <w:rPr>
                <w:color w:val="000000" w:themeColor="text1"/>
              </w:rPr>
              <w:t>Враховано</w:t>
            </w:r>
          </w:p>
          <w:p w14:paraId="399C4D58" w14:textId="77777777" w:rsidR="004D649E" w:rsidRPr="00286216" w:rsidRDefault="004D649E" w:rsidP="004D649E">
            <w:pPr>
              <w:pStyle w:val="StyleWisnow"/>
              <w:rPr>
                <w:color w:val="000000" w:themeColor="text1"/>
              </w:rPr>
            </w:pPr>
          </w:p>
          <w:p w14:paraId="3C4FF5FF" w14:textId="77777777" w:rsidR="004D649E" w:rsidRPr="00286216" w:rsidRDefault="004D649E" w:rsidP="004D649E">
            <w:pPr>
              <w:pStyle w:val="StyleWisnow"/>
              <w:rPr>
                <w:color w:val="000000" w:themeColor="text1"/>
              </w:rPr>
            </w:pPr>
          </w:p>
          <w:p w14:paraId="629D06FC" w14:textId="77777777" w:rsidR="004D649E" w:rsidRPr="00286216" w:rsidRDefault="004D649E" w:rsidP="004D649E">
            <w:pPr>
              <w:pStyle w:val="StyleWisnow"/>
              <w:rPr>
                <w:color w:val="000000" w:themeColor="text1"/>
              </w:rPr>
            </w:pPr>
          </w:p>
          <w:p w14:paraId="56926EF8" w14:textId="77777777" w:rsidR="004D649E" w:rsidRPr="00286216" w:rsidRDefault="004D649E" w:rsidP="004D649E">
            <w:pPr>
              <w:pStyle w:val="StyleWisnow"/>
              <w:rPr>
                <w:color w:val="000000" w:themeColor="text1"/>
              </w:rPr>
            </w:pPr>
            <w:r w:rsidRPr="00286216">
              <w:rPr>
                <w:color w:val="000000" w:themeColor="text1"/>
              </w:rPr>
              <w:t>Відхилено</w:t>
            </w:r>
          </w:p>
          <w:p w14:paraId="4AB80698" w14:textId="50575F4A" w:rsidR="004D649E" w:rsidRPr="00286216" w:rsidRDefault="004D649E" w:rsidP="004D649E">
            <w:pPr>
              <w:pStyle w:val="StyleWisnow"/>
              <w:rPr>
                <w:color w:val="000000" w:themeColor="text1"/>
              </w:rPr>
            </w:pPr>
            <w:r w:rsidRPr="00286216">
              <w:rPr>
                <w:color w:val="000000" w:themeColor="text1"/>
              </w:rPr>
              <w:t>НКЦПФР - регулятор ринків капіталу</w:t>
            </w:r>
          </w:p>
        </w:tc>
        <w:tc>
          <w:tcPr>
            <w:tcW w:w="4818" w:type="dxa"/>
          </w:tcPr>
          <w:p w14:paraId="10E1E1A5" w14:textId="37048862" w:rsidR="004D649E" w:rsidRPr="00286216" w:rsidRDefault="004D649E" w:rsidP="004D649E">
            <w:pPr>
              <w:pStyle w:val="StyleZakonu"/>
              <w:rPr>
                <w:color w:val="000000" w:themeColor="text1"/>
              </w:rPr>
            </w:pPr>
            <w:r w:rsidRPr="00286216">
              <w:rPr>
                <w:color w:val="000000" w:themeColor="text1"/>
              </w:rPr>
              <w:t xml:space="preserve">3. Оператор організованого ринку капіталу повинен </w:t>
            </w:r>
            <w:r w:rsidRPr="00286216">
              <w:rPr>
                <w:color w:val="000000" w:themeColor="text1"/>
                <w:szCs w:val="18"/>
              </w:rPr>
              <w:t>офіційним каналом зв’язку</w:t>
            </w:r>
            <w:r w:rsidRPr="00286216">
              <w:rPr>
                <w:color w:val="000000" w:themeColor="text1"/>
              </w:rPr>
              <w:t xml:space="preserve"> повідомити Національну комісію з цінних паперів та фондового ринку про здійснення на організованому ринку капіталу операцій з фінансовими інструментами, ,  у разі виникнення підозри , що під час здійснення таких операцій використовується або може бути використана інсайдерська інформація.</w:t>
            </w:r>
          </w:p>
        </w:tc>
      </w:tr>
      <w:tr w:rsidR="004D649E" w:rsidRPr="00286216" w14:paraId="110B5DF1" w14:textId="77777777" w:rsidTr="00091AA5">
        <w:tc>
          <w:tcPr>
            <w:tcW w:w="576" w:type="dxa"/>
          </w:tcPr>
          <w:p w14:paraId="6865C789" w14:textId="77777777" w:rsidR="004D649E" w:rsidRPr="00286216" w:rsidRDefault="004D649E" w:rsidP="004D649E">
            <w:pPr>
              <w:pStyle w:val="StyleWisnow"/>
              <w:rPr>
                <w:color w:val="000000" w:themeColor="text1"/>
              </w:rPr>
            </w:pPr>
            <w:bookmarkStart w:id="2003" w:name="n2237" w:colFirst="0" w:colLast="0"/>
            <w:bookmarkEnd w:id="2002"/>
            <w:r w:rsidRPr="00286216">
              <w:rPr>
                <w:color w:val="000000" w:themeColor="text1"/>
              </w:rPr>
              <w:t>2237.</w:t>
            </w:r>
          </w:p>
        </w:tc>
        <w:tc>
          <w:tcPr>
            <w:tcW w:w="4818" w:type="dxa"/>
          </w:tcPr>
          <w:p w14:paraId="23A4B12E" w14:textId="77777777" w:rsidR="004D649E" w:rsidRPr="00286216" w:rsidRDefault="004D649E" w:rsidP="004D649E">
            <w:pPr>
              <w:pStyle w:val="StyleZakonu"/>
              <w:rPr>
                <w:color w:val="000000" w:themeColor="text1"/>
              </w:rPr>
            </w:pPr>
            <w:r w:rsidRPr="00286216">
              <w:rPr>
                <w:color w:val="000000" w:themeColor="text1"/>
              </w:rPr>
              <w:t>4. Відповідальність за протиправне використання інсайдерської інформації встановлюється законом.</w:t>
            </w:r>
          </w:p>
        </w:tc>
        <w:tc>
          <w:tcPr>
            <w:tcW w:w="3686" w:type="dxa"/>
          </w:tcPr>
          <w:p w14:paraId="002E0676" w14:textId="77777777" w:rsidR="004D649E" w:rsidRPr="00286216" w:rsidRDefault="004D649E" w:rsidP="004D649E">
            <w:pPr>
              <w:pStyle w:val="StyleProp"/>
              <w:spacing w:line="180" w:lineRule="exact"/>
              <w:rPr>
                <w:color w:val="000000" w:themeColor="text1"/>
                <w:spacing w:val="-2"/>
              </w:rPr>
            </w:pPr>
          </w:p>
        </w:tc>
        <w:tc>
          <w:tcPr>
            <w:tcW w:w="1987" w:type="dxa"/>
          </w:tcPr>
          <w:p w14:paraId="00BA7AB1" w14:textId="77777777" w:rsidR="004D649E" w:rsidRPr="00286216" w:rsidRDefault="004D649E" w:rsidP="004D649E">
            <w:pPr>
              <w:pStyle w:val="StyleWisnow"/>
              <w:spacing w:line="180" w:lineRule="exact"/>
              <w:rPr>
                <w:color w:val="000000" w:themeColor="text1"/>
              </w:rPr>
            </w:pPr>
          </w:p>
        </w:tc>
        <w:tc>
          <w:tcPr>
            <w:tcW w:w="4818" w:type="dxa"/>
          </w:tcPr>
          <w:p w14:paraId="0D019705" w14:textId="0A01750B" w:rsidR="004D649E" w:rsidRPr="00286216" w:rsidRDefault="004D649E" w:rsidP="004D649E">
            <w:pPr>
              <w:pStyle w:val="StyleZakonu"/>
              <w:rPr>
                <w:color w:val="000000" w:themeColor="text1"/>
              </w:rPr>
            </w:pPr>
            <w:r w:rsidRPr="00286216">
              <w:rPr>
                <w:color w:val="000000" w:themeColor="text1"/>
              </w:rPr>
              <w:t>4. Відповідальність за протиправне використання інсайдерської інформації встановлюється законом.</w:t>
            </w:r>
          </w:p>
        </w:tc>
      </w:tr>
      <w:tr w:rsidR="004D649E" w:rsidRPr="00286216" w14:paraId="16C1F430" w14:textId="77777777" w:rsidTr="00091AA5">
        <w:tc>
          <w:tcPr>
            <w:tcW w:w="576" w:type="dxa"/>
          </w:tcPr>
          <w:p w14:paraId="7C1FAB68" w14:textId="77777777" w:rsidR="004D649E" w:rsidRPr="00286216" w:rsidRDefault="004D649E" w:rsidP="004D649E">
            <w:pPr>
              <w:pStyle w:val="StyleWisnow"/>
              <w:rPr>
                <w:color w:val="000000" w:themeColor="text1"/>
              </w:rPr>
            </w:pPr>
            <w:bookmarkStart w:id="2004" w:name="n2238" w:colFirst="0" w:colLast="0"/>
            <w:bookmarkEnd w:id="2003"/>
            <w:r w:rsidRPr="00286216">
              <w:rPr>
                <w:color w:val="000000" w:themeColor="text1"/>
              </w:rPr>
              <w:t>2238.</w:t>
            </w:r>
          </w:p>
        </w:tc>
        <w:tc>
          <w:tcPr>
            <w:tcW w:w="4818" w:type="dxa"/>
          </w:tcPr>
          <w:p w14:paraId="65FFB236" w14:textId="77777777" w:rsidR="004D649E" w:rsidRPr="00286216" w:rsidRDefault="004D649E" w:rsidP="004D649E">
            <w:pPr>
              <w:pStyle w:val="StyleZakonu"/>
              <w:rPr>
                <w:color w:val="000000" w:themeColor="text1"/>
              </w:rPr>
            </w:pPr>
            <w:bookmarkStart w:id="2005" w:name="_Ref16411466"/>
            <w:r w:rsidRPr="00286216">
              <w:rPr>
                <w:color w:val="000000" w:themeColor="text1"/>
              </w:rPr>
              <w:t>Стаття 133. Зондування ринків капіталу</w:t>
            </w:r>
            <w:bookmarkEnd w:id="2005"/>
          </w:p>
        </w:tc>
        <w:tc>
          <w:tcPr>
            <w:tcW w:w="3686" w:type="dxa"/>
          </w:tcPr>
          <w:p w14:paraId="1D649E28" w14:textId="77777777" w:rsidR="004D649E" w:rsidRPr="00286216" w:rsidRDefault="004D649E" w:rsidP="004D649E">
            <w:pPr>
              <w:pStyle w:val="StyleProp"/>
              <w:rPr>
                <w:color w:val="000000" w:themeColor="text1"/>
                <w:szCs w:val="18"/>
              </w:rPr>
            </w:pPr>
          </w:p>
        </w:tc>
        <w:tc>
          <w:tcPr>
            <w:tcW w:w="1987" w:type="dxa"/>
          </w:tcPr>
          <w:p w14:paraId="38142485" w14:textId="77777777" w:rsidR="004D649E" w:rsidRPr="00286216" w:rsidRDefault="004D649E" w:rsidP="004D649E">
            <w:pPr>
              <w:pStyle w:val="StyleWisnow"/>
              <w:rPr>
                <w:color w:val="000000" w:themeColor="text1"/>
              </w:rPr>
            </w:pPr>
          </w:p>
        </w:tc>
        <w:tc>
          <w:tcPr>
            <w:tcW w:w="4818" w:type="dxa"/>
          </w:tcPr>
          <w:p w14:paraId="77C9E0CC" w14:textId="4805FD2A" w:rsidR="004D649E" w:rsidRPr="00286216" w:rsidRDefault="004D649E" w:rsidP="004D649E">
            <w:pPr>
              <w:pStyle w:val="StyleZakonu"/>
              <w:rPr>
                <w:color w:val="000000" w:themeColor="text1"/>
              </w:rPr>
            </w:pPr>
            <w:r w:rsidRPr="00286216">
              <w:rPr>
                <w:color w:val="000000" w:themeColor="text1"/>
              </w:rPr>
              <w:t>Стаття 147. Зондування ринків капіталу</w:t>
            </w:r>
          </w:p>
        </w:tc>
      </w:tr>
      <w:tr w:rsidR="004D649E" w:rsidRPr="00286216" w14:paraId="25ADEE38" w14:textId="77777777" w:rsidTr="00091AA5">
        <w:tc>
          <w:tcPr>
            <w:tcW w:w="576" w:type="dxa"/>
          </w:tcPr>
          <w:p w14:paraId="29C19581" w14:textId="77777777" w:rsidR="004D649E" w:rsidRPr="00286216" w:rsidRDefault="004D649E" w:rsidP="004D649E">
            <w:pPr>
              <w:pStyle w:val="StyleWisnow"/>
              <w:rPr>
                <w:color w:val="000000" w:themeColor="text1"/>
              </w:rPr>
            </w:pPr>
            <w:bookmarkStart w:id="2006" w:name="n2239" w:colFirst="0" w:colLast="0"/>
            <w:bookmarkEnd w:id="2004"/>
            <w:r w:rsidRPr="00286216">
              <w:rPr>
                <w:color w:val="000000" w:themeColor="text1"/>
              </w:rPr>
              <w:t>2239.</w:t>
            </w:r>
          </w:p>
        </w:tc>
        <w:tc>
          <w:tcPr>
            <w:tcW w:w="4818" w:type="dxa"/>
          </w:tcPr>
          <w:p w14:paraId="029134F5" w14:textId="77777777" w:rsidR="004D649E" w:rsidRPr="00286216" w:rsidRDefault="004D649E" w:rsidP="004D649E">
            <w:pPr>
              <w:pStyle w:val="StyleZakonu"/>
              <w:rPr>
                <w:color w:val="000000" w:themeColor="text1"/>
              </w:rPr>
            </w:pPr>
            <w:r w:rsidRPr="00286216">
              <w:rPr>
                <w:color w:val="000000" w:themeColor="text1"/>
              </w:rPr>
              <w:t xml:space="preserve">1. Зондування ринків капіталу є передачею інформації одному або декільком потенційним </w:t>
            </w:r>
            <w:r w:rsidRPr="00286216">
              <w:rPr>
                <w:color w:val="000000" w:themeColor="text1"/>
              </w:rPr>
              <w:lastRenderedPageBreak/>
              <w:t>інвесторам до оголошення інформації про вчинення правочину з фінансовими інструментами (в тому числі і за межами України) з метою визначення зацікавленості потенційних інвесторів (в тому числі нерезидентів) у можливому правочині щодо фінансових інструментів, а також його умов та основних характеристик його предмета (таких як вид, тип, обсяг, строк та умови відчуження):</w:t>
            </w:r>
          </w:p>
        </w:tc>
        <w:tc>
          <w:tcPr>
            <w:tcW w:w="3686" w:type="dxa"/>
          </w:tcPr>
          <w:p w14:paraId="17A94C3C" w14:textId="77777777" w:rsidR="004D649E" w:rsidRPr="00286216" w:rsidRDefault="004D649E" w:rsidP="004D649E">
            <w:pPr>
              <w:pStyle w:val="StyleProp"/>
              <w:jc w:val="center"/>
              <w:rPr>
                <w:color w:val="000000" w:themeColor="text1"/>
                <w:szCs w:val="18"/>
              </w:rPr>
            </w:pPr>
          </w:p>
        </w:tc>
        <w:tc>
          <w:tcPr>
            <w:tcW w:w="1987" w:type="dxa"/>
          </w:tcPr>
          <w:p w14:paraId="54DE5A3D" w14:textId="77777777" w:rsidR="004D649E" w:rsidRPr="00286216" w:rsidRDefault="004D649E" w:rsidP="004D649E">
            <w:pPr>
              <w:pStyle w:val="StyleWisnow"/>
              <w:spacing w:line="180" w:lineRule="exact"/>
              <w:rPr>
                <w:color w:val="000000" w:themeColor="text1"/>
              </w:rPr>
            </w:pPr>
          </w:p>
        </w:tc>
        <w:tc>
          <w:tcPr>
            <w:tcW w:w="4818" w:type="dxa"/>
          </w:tcPr>
          <w:p w14:paraId="07190310" w14:textId="77777777" w:rsidR="004D649E" w:rsidRPr="00286216" w:rsidRDefault="004D649E" w:rsidP="004D649E">
            <w:pPr>
              <w:pStyle w:val="StyleZakonu"/>
              <w:rPr>
                <w:color w:val="000000" w:themeColor="text1"/>
              </w:rPr>
            </w:pPr>
            <w:r w:rsidRPr="00286216">
              <w:rPr>
                <w:color w:val="000000" w:themeColor="text1"/>
              </w:rPr>
              <w:t xml:space="preserve">1. Зондування ринків капіталу є передачею інформації одному або кільком потенційним </w:t>
            </w:r>
            <w:r w:rsidRPr="00286216">
              <w:rPr>
                <w:color w:val="000000" w:themeColor="text1"/>
              </w:rPr>
              <w:lastRenderedPageBreak/>
              <w:t xml:space="preserve">інвесторам до оголошення інформації про вчинення правочину з фінансовими інструментами, у  тому числі за межами України, з метою визначення  заінтересованості потенційних інвесторів, у тому числі нерезидентів, у можливому правочині щодо фінансових інструментів, а також його умов та основних характеристик його предмета (вид, тип, обсяг, строк та умови відчуження). </w:t>
            </w:r>
          </w:p>
          <w:p w14:paraId="7138A8BA" w14:textId="65973D53" w:rsidR="004D649E" w:rsidRPr="00286216" w:rsidRDefault="004D649E" w:rsidP="004D649E">
            <w:pPr>
              <w:pStyle w:val="StyleZakonu"/>
              <w:rPr>
                <w:color w:val="000000" w:themeColor="text1"/>
              </w:rPr>
            </w:pPr>
            <w:r w:rsidRPr="00286216">
              <w:rPr>
                <w:color w:val="000000" w:themeColor="text1"/>
              </w:rPr>
              <w:t>Зондування ринків капіталу може здійснюватися:</w:t>
            </w:r>
          </w:p>
        </w:tc>
      </w:tr>
      <w:tr w:rsidR="004D649E" w:rsidRPr="00286216" w14:paraId="795C5AC5" w14:textId="77777777" w:rsidTr="00091AA5">
        <w:tc>
          <w:tcPr>
            <w:tcW w:w="576" w:type="dxa"/>
          </w:tcPr>
          <w:p w14:paraId="1C989D8F" w14:textId="77777777" w:rsidR="004D649E" w:rsidRPr="00286216" w:rsidRDefault="004D649E" w:rsidP="004D649E">
            <w:pPr>
              <w:pStyle w:val="StyleWisnow"/>
              <w:rPr>
                <w:color w:val="000000" w:themeColor="text1"/>
              </w:rPr>
            </w:pPr>
            <w:bookmarkStart w:id="2007" w:name="n2240" w:colFirst="0" w:colLast="0"/>
            <w:bookmarkEnd w:id="2006"/>
            <w:r w:rsidRPr="00286216">
              <w:rPr>
                <w:color w:val="000000" w:themeColor="text1"/>
              </w:rPr>
              <w:lastRenderedPageBreak/>
              <w:t>2240.</w:t>
            </w:r>
          </w:p>
        </w:tc>
        <w:tc>
          <w:tcPr>
            <w:tcW w:w="4818" w:type="dxa"/>
          </w:tcPr>
          <w:p w14:paraId="25E127CE" w14:textId="77777777" w:rsidR="004D649E" w:rsidRPr="00286216" w:rsidRDefault="004D649E" w:rsidP="004D649E">
            <w:pPr>
              <w:pStyle w:val="StyleZakonu"/>
              <w:rPr>
                <w:color w:val="000000" w:themeColor="text1"/>
              </w:rPr>
            </w:pPr>
            <w:r w:rsidRPr="00286216">
              <w:rPr>
                <w:color w:val="000000" w:themeColor="text1"/>
              </w:rPr>
              <w:t>1) емітентом;</w:t>
            </w:r>
          </w:p>
        </w:tc>
        <w:tc>
          <w:tcPr>
            <w:tcW w:w="3686" w:type="dxa"/>
          </w:tcPr>
          <w:p w14:paraId="49C0CDCC" w14:textId="77777777" w:rsidR="004D649E" w:rsidRPr="00286216" w:rsidRDefault="004D649E" w:rsidP="004D649E">
            <w:pPr>
              <w:pStyle w:val="StyleProp"/>
              <w:rPr>
                <w:color w:val="000000" w:themeColor="text1"/>
                <w:szCs w:val="18"/>
              </w:rPr>
            </w:pPr>
          </w:p>
        </w:tc>
        <w:tc>
          <w:tcPr>
            <w:tcW w:w="1987" w:type="dxa"/>
          </w:tcPr>
          <w:p w14:paraId="04A3DB49" w14:textId="77777777" w:rsidR="004D649E" w:rsidRPr="00286216" w:rsidRDefault="004D649E" w:rsidP="004D649E">
            <w:pPr>
              <w:pStyle w:val="StyleWisnow"/>
              <w:rPr>
                <w:color w:val="000000" w:themeColor="text1"/>
              </w:rPr>
            </w:pPr>
          </w:p>
        </w:tc>
        <w:tc>
          <w:tcPr>
            <w:tcW w:w="4818" w:type="dxa"/>
          </w:tcPr>
          <w:p w14:paraId="1D2040A2" w14:textId="254211F4" w:rsidR="004D649E" w:rsidRPr="00286216" w:rsidRDefault="004D649E" w:rsidP="004D649E">
            <w:pPr>
              <w:pStyle w:val="StyleZakonu"/>
              <w:rPr>
                <w:color w:val="000000" w:themeColor="text1"/>
              </w:rPr>
            </w:pPr>
            <w:r w:rsidRPr="00286216">
              <w:rPr>
                <w:color w:val="000000" w:themeColor="text1"/>
              </w:rPr>
              <w:t>1) емітентом;</w:t>
            </w:r>
          </w:p>
        </w:tc>
      </w:tr>
      <w:tr w:rsidR="004D649E" w:rsidRPr="00286216" w14:paraId="6796D4B2" w14:textId="77777777" w:rsidTr="00091AA5">
        <w:tc>
          <w:tcPr>
            <w:tcW w:w="576" w:type="dxa"/>
          </w:tcPr>
          <w:p w14:paraId="67132230" w14:textId="77777777" w:rsidR="004D649E" w:rsidRPr="00286216" w:rsidRDefault="004D649E" w:rsidP="004D649E">
            <w:pPr>
              <w:pStyle w:val="StyleWisnow"/>
              <w:rPr>
                <w:color w:val="000000" w:themeColor="text1"/>
              </w:rPr>
            </w:pPr>
            <w:bookmarkStart w:id="2008" w:name="n2241" w:colFirst="0" w:colLast="0"/>
            <w:bookmarkEnd w:id="2007"/>
            <w:r w:rsidRPr="00286216">
              <w:rPr>
                <w:color w:val="000000" w:themeColor="text1"/>
              </w:rPr>
              <w:t>2241.</w:t>
            </w:r>
          </w:p>
        </w:tc>
        <w:tc>
          <w:tcPr>
            <w:tcW w:w="4818" w:type="dxa"/>
          </w:tcPr>
          <w:p w14:paraId="6413778F" w14:textId="77777777" w:rsidR="004D649E" w:rsidRPr="00286216" w:rsidRDefault="004D649E" w:rsidP="004D649E">
            <w:pPr>
              <w:pStyle w:val="StyleZakonu"/>
              <w:rPr>
                <w:color w:val="000000" w:themeColor="text1"/>
              </w:rPr>
            </w:pPr>
            <w:r w:rsidRPr="00286216">
              <w:rPr>
                <w:color w:val="000000" w:themeColor="text1"/>
              </w:rPr>
              <w:t>2) власником фінансового інструмента (оферентом) в таких кількостях або за таку вартість, що правочин відрізняється від звичайного правочину і допускає метод продажу, заснований на попередній оцінці потенційної зацікавленості потенційних інвесторів;</w:t>
            </w:r>
          </w:p>
        </w:tc>
        <w:tc>
          <w:tcPr>
            <w:tcW w:w="3686" w:type="dxa"/>
          </w:tcPr>
          <w:p w14:paraId="59DE86E8" w14:textId="77777777" w:rsidR="004D649E" w:rsidRPr="00286216" w:rsidRDefault="004D649E" w:rsidP="004D649E">
            <w:pPr>
              <w:pStyle w:val="StyleProp"/>
              <w:rPr>
                <w:rFonts w:eastAsia="Calibri"/>
                <w:color w:val="000000" w:themeColor="text1"/>
                <w:szCs w:val="18"/>
              </w:rPr>
            </w:pPr>
          </w:p>
        </w:tc>
        <w:tc>
          <w:tcPr>
            <w:tcW w:w="1987" w:type="dxa"/>
          </w:tcPr>
          <w:p w14:paraId="48EA69F1" w14:textId="77777777" w:rsidR="004D649E" w:rsidRPr="00286216" w:rsidRDefault="004D649E" w:rsidP="004D649E">
            <w:pPr>
              <w:pStyle w:val="StyleWisnow"/>
              <w:spacing w:line="180" w:lineRule="exact"/>
              <w:rPr>
                <w:color w:val="000000" w:themeColor="text1"/>
              </w:rPr>
            </w:pPr>
          </w:p>
        </w:tc>
        <w:tc>
          <w:tcPr>
            <w:tcW w:w="4818" w:type="dxa"/>
          </w:tcPr>
          <w:p w14:paraId="63EF1F76" w14:textId="04C5C331" w:rsidR="004D649E" w:rsidRPr="00286216" w:rsidRDefault="004D649E" w:rsidP="004D649E">
            <w:pPr>
              <w:pStyle w:val="StyleZakonu"/>
              <w:rPr>
                <w:color w:val="000000" w:themeColor="text1"/>
              </w:rPr>
            </w:pPr>
            <w:r w:rsidRPr="00286216">
              <w:rPr>
                <w:color w:val="000000" w:themeColor="text1"/>
              </w:rPr>
              <w:t>2) власником фінансового інструменту (оферентом) у таких кількостях або за такою вартістю, що відрізняє правочин від звичайного правочину і допускає метод продажу, заснований на попередній оцінці потенційної заінтересованості потенційних інвесторів;</w:t>
            </w:r>
          </w:p>
        </w:tc>
      </w:tr>
      <w:tr w:rsidR="004D649E" w:rsidRPr="00286216" w14:paraId="11D30F76" w14:textId="77777777" w:rsidTr="00091AA5">
        <w:tc>
          <w:tcPr>
            <w:tcW w:w="576" w:type="dxa"/>
          </w:tcPr>
          <w:p w14:paraId="206AA0E9" w14:textId="77777777" w:rsidR="004D649E" w:rsidRPr="00286216" w:rsidRDefault="004D649E" w:rsidP="004D649E">
            <w:pPr>
              <w:pStyle w:val="StyleWisnow"/>
              <w:rPr>
                <w:color w:val="000000" w:themeColor="text1"/>
              </w:rPr>
            </w:pPr>
            <w:bookmarkStart w:id="2009" w:name="n2242" w:colFirst="0" w:colLast="0"/>
            <w:bookmarkEnd w:id="2008"/>
            <w:r w:rsidRPr="00286216">
              <w:rPr>
                <w:color w:val="000000" w:themeColor="text1"/>
              </w:rPr>
              <w:t>2242.</w:t>
            </w:r>
          </w:p>
        </w:tc>
        <w:tc>
          <w:tcPr>
            <w:tcW w:w="4818" w:type="dxa"/>
          </w:tcPr>
          <w:p w14:paraId="35ABC1DE" w14:textId="77777777" w:rsidR="004D649E" w:rsidRPr="00286216" w:rsidRDefault="004D649E" w:rsidP="004D649E">
            <w:pPr>
              <w:pStyle w:val="StyleZakonu"/>
              <w:rPr>
                <w:color w:val="000000" w:themeColor="text1"/>
              </w:rPr>
            </w:pPr>
            <w:r w:rsidRPr="00286216">
              <w:rPr>
                <w:color w:val="000000" w:themeColor="text1"/>
              </w:rPr>
              <w:t>3) третьою особою, що діє від імені або в інтересах особи, зазначеної в пунктах 1 -2 цієї частини.</w:t>
            </w:r>
          </w:p>
        </w:tc>
        <w:tc>
          <w:tcPr>
            <w:tcW w:w="3686" w:type="dxa"/>
          </w:tcPr>
          <w:p w14:paraId="19393678" w14:textId="77777777" w:rsidR="004D649E" w:rsidRPr="00286216" w:rsidRDefault="004D649E" w:rsidP="004D649E">
            <w:pPr>
              <w:pStyle w:val="StyleProp"/>
              <w:rPr>
                <w:color w:val="000000" w:themeColor="text1"/>
                <w:szCs w:val="18"/>
              </w:rPr>
            </w:pPr>
          </w:p>
        </w:tc>
        <w:tc>
          <w:tcPr>
            <w:tcW w:w="1987" w:type="dxa"/>
          </w:tcPr>
          <w:p w14:paraId="42EB64BF" w14:textId="77777777" w:rsidR="004D649E" w:rsidRPr="00286216" w:rsidRDefault="004D649E" w:rsidP="004D649E">
            <w:pPr>
              <w:pStyle w:val="StyleWisnow"/>
              <w:spacing w:line="180" w:lineRule="exact"/>
              <w:rPr>
                <w:color w:val="000000" w:themeColor="text1"/>
              </w:rPr>
            </w:pPr>
          </w:p>
        </w:tc>
        <w:tc>
          <w:tcPr>
            <w:tcW w:w="4818" w:type="dxa"/>
          </w:tcPr>
          <w:p w14:paraId="5B84D458" w14:textId="28B18A4B" w:rsidR="004D649E" w:rsidRPr="00286216" w:rsidRDefault="004D649E" w:rsidP="004D649E">
            <w:pPr>
              <w:pStyle w:val="StyleZakonu"/>
              <w:rPr>
                <w:color w:val="000000" w:themeColor="text1"/>
              </w:rPr>
            </w:pPr>
            <w:r w:rsidRPr="00286216">
              <w:rPr>
                <w:color w:val="000000" w:themeColor="text1"/>
              </w:rPr>
              <w:t>3) третьою особою, яка діє від імені або в інтересах особи, зазначеної у пунктах 1  і 2 цієї частини.</w:t>
            </w:r>
          </w:p>
        </w:tc>
      </w:tr>
      <w:tr w:rsidR="004D649E" w:rsidRPr="00286216" w14:paraId="758AC882" w14:textId="77777777" w:rsidTr="00091AA5">
        <w:tc>
          <w:tcPr>
            <w:tcW w:w="576" w:type="dxa"/>
          </w:tcPr>
          <w:p w14:paraId="6904CD06" w14:textId="77777777" w:rsidR="004D649E" w:rsidRPr="00286216" w:rsidRDefault="004D649E" w:rsidP="004D649E">
            <w:pPr>
              <w:pStyle w:val="StyleWisnow"/>
              <w:rPr>
                <w:color w:val="000000" w:themeColor="text1"/>
              </w:rPr>
            </w:pPr>
            <w:bookmarkStart w:id="2010" w:name="n2243" w:colFirst="0" w:colLast="0"/>
            <w:bookmarkEnd w:id="2009"/>
            <w:r w:rsidRPr="00286216">
              <w:rPr>
                <w:color w:val="000000" w:themeColor="text1"/>
              </w:rPr>
              <w:t>2243.</w:t>
            </w:r>
          </w:p>
        </w:tc>
        <w:tc>
          <w:tcPr>
            <w:tcW w:w="4818" w:type="dxa"/>
          </w:tcPr>
          <w:p w14:paraId="783A50FE" w14:textId="77777777" w:rsidR="004D649E" w:rsidRPr="00286216" w:rsidRDefault="004D649E" w:rsidP="004D649E">
            <w:pPr>
              <w:pStyle w:val="StyleZakonu"/>
              <w:rPr>
                <w:color w:val="000000" w:themeColor="text1"/>
              </w:rPr>
            </w:pPr>
            <w:r w:rsidRPr="00286216">
              <w:rPr>
                <w:color w:val="000000" w:themeColor="text1"/>
              </w:rPr>
              <w:t>2. Передача інсайдерської інформації особою, яка збирається купити контрольний пакет акцій, акціонерам також вважається зондуванням ринку за умови, що:</w:t>
            </w:r>
          </w:p>
        </w:tc>
        <w:tc>
          <w:tcPr>
            <w:tcW w:w="3686" w:type="dxa"/>
          </w:tcPr>
          <w:p w14:paraId="70421D1A" w14:textId="77777777" w:rsidR="004D649E" w:rsidRPr="00286216" w:rsidRDefault="004D649E" w:rsidP="004D649E">
            <w:pPr>
              <w:pStyle w:val="StyleProp"/>
              <w:rPr>
                <w:color w:val="000000" w:themeColor="text1"/>
                <w:szCs w:val="18"/>
              </w:rPr>
            </w:pPr>
          </w:p>
        </w:tc>
        <w:tc>
          <w:tcPr>
            <w:tcW w:w="1987" w:type="dxa"/>
          </w:tcPr>
          <w:p w14:paraId="33635FF6" w14:textId="77777777" w:rsidR="004D649E" w:rsidRPr="00286216" w:rsidRDefault="004D649E" w:rsidP="004D649E">
            <w:pPr>
              <w:pStyle w:val="StyleWisnow"/>
              <w:spacing w:line="180" w:lineRule="exact"/>
              <w:rPr>
                <w:color w:val="000000" w:themeColor="text1"/>
              </w:rPr>
            </w:pPr>
          </w:p>
        </w:tc>
        <w:tc>
          <w:tcPr>
            <w:tcW w:w="4818" w:type="dxa"/>
          </w:tcPr>
          <w:p w14:paraId="06654167" w14:textId="00BBA71A" w:rsidR="004D649E" w:rsidRPr="00286216" w:rsidRDefault="004D649E" w:rsidP="004D649E">
            <w:pPr>
              <w:pStyle w:val="StyleZakonu"/>
              <w:rPr>
                <w:color w:val="000000" w:themeColor="text1"/>
              </w:rPr>
            </w:pPr>
            <w:r w:rsidRPr="00286216">
              <w:rPr>
                <w:color w:val="000000" w:themeColor="text1"/>
              </w:rPr>
              <w:t>2. Передача особою, яка має намір купити контрольний пакет акцій, інсайдерської інформації акціонерам також вважається зондуванням ринку, за умови що:</w:t>
            </w:r>
          </w:p>
        </w:tc>
      </w:tr>
      <w:tr w:rsidR="004D649E" w:rsidRPr="00286216" w14:paraId="6135FEBD" w14:textId="77777777" w:rsidTr="00091AA5">
        <w:tc>
          <w:tcPr>
            <w:tcW w:w="576" w:type="dxa"/>
          </w:tcPr>
          <w:p w14:paraId="683B16FD" w14:textId="77777777" w:rsidR="004D649E" w:rsidRPr="00286216" w:rsidRDefault="004D649E" w:rsidP="004D649E">
            <w:pPr>
              <w:pStyle w:val="StyleWisnow"/>
              <w:rPr>
                <w:color w:val="000000" w:themeColor="text1"/>
              </w:rPr>
            </w:pPr>
            <w:bookmarkStart w:id="2011" w:name="n2244" w:colFirst="0" w:colLast="0"/>
            <w:bookmarkEnd w:id="2010"/>
            <w:r w:rsidRPr="00286216">
              <w:rPr>
                <w:color w:val="000000" w:themeColor="text1"/>
              </w:rPr>
              <w:t>2244.</w:t>
            </w:r>
          </w:p>
        </w:tc>
        <w:tc>
          <w:tcPr>
            <w:tcW w:w="4818" w:type="dxa"/>
          </w:tcPr>
          <w:p w14:paraId="3DEDDA2D" w14:textId="77777777" w:rsidR="004D649E" w:rsidRPr="00286216" w:rsidRDefault="004D649E" w:rsidP="004D649E">
            <w:pPr>
              <w:pStyle w:val="StyleZakonu"/>
              <w:rPr>
                <w:color w:val="000000" w:themeColor="text1"/>
              </w:rPr>
            </w:pPr>
            <w:r w:rsidRPr="00286216">
              <w:rPr>
                <w:color w:val="000000" w:themeColor="text1"/>
              </w:rPr>
              <w:t>1) інформація, необхідна акціонерам, для того, щоб вони могли сформувати свою думку щодо готовності запропонувати свої акції до продажу такій особі;</w:t>
            </w:r>
          </w:p>
        </w:tc>
        <w:tc>
          <w:tcPr>
            <w:tcW w:w="3686" w:type="dxa"/>
          </w:tcPr>
          <w:p w14:paraId="68D7CA42" w14:textId="77777777" w:rsidR="004D649E" w:rsidRPr="00286216" w:rsidRDefault="004D649E" w:rsidP="004D649E">
            <w:pPr>
              <w:pStyle w:val="StyleProp"/>
              <w:rPr>
                <w:color w:val="000000" w:themeColor="text1"/>
                <w:szCs w:val="18"/>
              </w:rPr>
            </w:pPr>
          </w:p>
        </w:tc>
        <w:tc>
          <w:tcPr>
            <w:tcW w:w="1987" w:type="dxa"/>
          </w:tcPr>
          <w:p w14:paraId="397744FB"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2F9E2674" w14:textId="1D2F08FF" w:rsidR="004D649E" w:rsidRPr="00286216" w:rsidRDefault="004D649E" w:rsidP="004D649E">
            <w:pPr>
              <w:pStyle w:val="StyleZakonu"/>
              <w:rPr>
                <w:color w:val="000000" w:themeColor="text1"/>
              </w:rPr>
            </w:pPr>
            <w:r w:rsidRPr="00286216">
              <w:rPr>
                <w:color w:val="000000" w:themeColor="text1"/>
              </w:rPr>
              <w:t>1) інформація необхідна акціонерам для  формування ними думки щодо готовності запропонувати свої акції до продажу такій особі;</w:t>
            </w:r>
          </w:p>
        </w:tc>
      </w:tr>
      <w:tr w:rsidR="004D649E" w:rsidRPr="00286216" w14:paraId="2AC0C1CC" w14:textId="77777777" w:rsidTr="00091AA5">
        <w:tc>
          <w:tcPr>
            <w:tcW w:w="576" w:type="dxa"/>
          </w:tcPr>
          <w:p w14:paraId="6F7A8740" w14:textId="77777777" w:rsidR="004D649E" w:rsidRPr="00286216" w:rsidRDefault="004D649E" w:rsidP="004D649E">
            <w:pPr>
              <w:pStyle w:val="StyleWisnow"/>
              <w:rPr>
                <w:color w:val="000000" w:themeColor="text1"/>
              </w:rPr>
            </w:pPr>
            <w:bookmarkStart w:id="2012" w:name="n2245" w:colFirst="0" w:colLast="0"/>
            <w:bookmarkEnd w:id="2011"/>
            <w:r w:rsidRPr="00286216">
              <w:rPr>
                <w:color w:val="000000" w:themeColor="text1"/>
              </w:rPr>
              <w:t>2245.</w:t>
            </w:r>
          </w:p>
        </w:tc>
        <w:tc>
          <w:tcPr>
            <w:tcW w:w="4818" w:type="dxa"/>
          </w:tcPr>
          <w:p w14:paraId="4AA3A659" w14:textId="77777777" w:rsidR="004D649E" w:rsidRPr="00286216" w:rsidRDefault="004D649E" w:rsidP="004D649E">
            <w:pPr>
              <w:pStyle w:val="StyleZakonu"/>
              <w:rPr>
                <w:color w:val="000000" w:themeColor="text1"/>
              </w:rPr>
            </w:pPr>
            <w:r w:rsidRPr="00286216">
              <w:rPr>
                <w:color w:val="000000" w:themeColor="text1"/>
              </w:rPr>
              <w:t>2) волевиявлення акціонерів щодо готовності продажу власних акцій обґрунтовано вимагається для прийняття рішення про набуття контрольного пакету акцій.</w:t>
            </w:r>
          </w:p>
        </w:tc>
        <w:tc>
          <w:tcPr>
            <w:tcW w:w="3686" w:type="dxa"/>
          </w:tcPr>
          <w:p w14:paraId="0331872B" w14:textId="77777777" w:rsidR="004D649E" w:rsidRPr="00286216" w:rsidRDefault="004D649E" w:rsidP="004D649E">
            <w:pPr>
              <w:pStyle w:val="StyleProp"/>
              <w:rPr>
                <w:color w:val="000000" w:themeColor="text1"/>
                <w:szCs w:val="18"/>
              </w:rPr>
            </w:pPr>
          </w:p>
        </w:tc>
        <w:tc>
          <w:tcPr>
            <w:tcW w:w="1987" w:type="dxa"/>
          </w:tcPr>
          <w:p w14:paraId="1E1B2024"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1ACBC4E" w14:textId="28A2775E" w:rsidR="004D649E" w:rsidRPr="00286216" w:rsidRDefault="004D649E" w:rsidP="004D649E">
            <w:pPr>
              <w:pStyle w:val="StyleZakonu"/>
              <w:rPr>
                <w:color w:val="000000" w:themeColor="text1"/>
              </w:rPr>
            </w:pPr>
            <w:r w:rsidRPr="00286216">
              <w:rPr>
                <w:color w:val="000000" w:themeColor="text1"/>
              </w:rPr>
              <w:t>2) волевиявлення акціонерів щодо готовності продажу власних акцій обґрунтовано вимагається для прийняття рішення про набуття контрольного пакета акцій.</w:t>
            </w:r>
          </w:p>
        </w:tc>
      </w:tr>
      <w:tr w:rsidR="004D649E" w:rsidRPr="00286216" w14:paraId="0F4495EC" w14:textId="77777777" w:rsidTr="00091AA5">
        <w:tc>
          <w:tcPr>
            <w:tcW w:w="576" w:type="dxa"/>
          </w:tcPr>
          <w:p w14:paraId="3FD77132" w14:textId="77777777" w:rsidR="004D649E" w:rsidRPr="00286216" w:rsidRDefault="004D649E" w:rsidP="004D649E">
            <w:pPr>
              <w:pStyle w:val="StyleWisnow"/>
              <w:rPr>
                <w:color w:val="000000" w:themeColor="text1"/>
              </w:rPr>
            </w:pPr>
            <w:bookmarkStart w:id="2013" w:name="n2246" w:colFirst="0" w:colLast="0"/>
            <w:bookmarkEnd w:id="2012"/>
            <w:r w:rsidRPr="00286216">
              <w:rPr>
                <w:color w:val="000000" w:themeColor="text1"/>
              </w:rPr>
              <w:t>2246.</w:t>
            </w:r>
          </w:p>
        </w:tc>
        <w:tc>
          <w:tcPr>
            <w:tcW w:w="4818" w:type="dxa"/>
          </w:tcPr>
          <w:p w14:paraId="471E6CF2" w14:textId="77777777" w:rsidR="004D649E" w:rsidRPr="00286216" w:rsidRDefault="004D649E" w:rsidP="004D649E">
            <w:pPr>
              <w:pStyle w:val="StyleZakonu"/>
              <w:rPr>
                <w:color w:val="000000" w:themeColor="text1"/>
              </w:rPr>
            </w:pPr>
            <w:r w:rsidRPr="00286216">
              <w:rPr>
                <w:color w:val="000000" w:themeColor="text1"/>
              </w:rPr>
              <w:t xml:space="preserve">3. Особа, зазначена в пунктах 1-3 частини першої цієї статті, що передає інформацію, повинна до проведення зондування ринку оцінити, чи передбачає таке зондування ринку передачу інсайдерської інформації. Особа, зазначена в частині першій цієї статті, що передає інформацію, повинна у письмовій формі фіксувати свій висновок і його обґрунтування. Така особа повинна надати такі документи Національній комісії з цінних паперів та фондового ринку на її запит. Це зобов’язання застосовується до кожного випадку передачі інсайдерської інформації в ході зондування фондового ринку. Особа, зазначена в </w:t>
            </w:r>
            <w:r w:rsidRPr="00286216">
              <w:rPr>
                <w:color w:val="000000" w:themeColor="text1"/>
              </w:rPr>
              <w:lastRenderedPageBreak/>
              <w:t>пунктах 1-3 частини першої цієї статті, що передає інформацію, повинна відповідним чином оновлювати документи, зазначені в цій частині.</w:t>
            </w:r>
          </w:p>
        </w:tc>
        <w:tc>
          <w:tcPr>
            <w:tcW w:w="3686" w:type="dxa"/>
          </w:tcPr>
          <w:p w14:paraId="75465B53" w14:textId="2C0A5C25" w:rsidR="004D649E" w:rsidRPr="00286216" w:rsidRDefault="004D649E" w:rsidP="004D649E">
            <w:pPr>
              <w:pStyle w:val="StyleAwt"/>
              <w:rPr>
                <w:color w:val="000000" w:themeColor="text1"/>
                <w:spacing w:val="-4"/>
              </w:rPr>
            </w:pPr>
            <w:r w:rsidRPr="00286216">
              <w:rPr>
                <w:color w:val="000000" w:themeColor="text1"/>
                <w:spacing w:val="-4"/>
              </w:rPr>
              <w:lastRenderedPageBreak/>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1083</w:t>
            </w:r>
            <w:r w:rsidRPr="00286216">
              <w:rPr>
                <w:color w:val="000000" w:themeColor="text1"/>
                <w:spacing w:val="-4"/>
              </w:rPr>
              <w:fldChar w:fldCharType="end"/>
            </w:r>
            <w:r w:rsidRPr="00286216">
              <w:rPr>
                <w:color w:val="000000" w:themeColor="text1"/>
                <w:spacing w:val="-4"/>
              </w:rPr>
              <w:t>-Н.д.Шахов С.В. (Реєстр.картка №114)</w:t>
            </w:r>
          </w:p>
          <w:p w14:paraId="272A7012" w14:textId="77777777" w:rsidR="004D649E" w:rsidRPr="00286216" w:rsidRDefault="004D649E" w:rsidP="004D649E">
            <w:pPr>
              <w:pStyle w:val="StyleProp"/>
              <w:rPr>
                <w:color w:val="000000" w:themeColor="text1"/>
                <w:szCs w:val="18"/>
              </w:rPr>
            </w:pPr>
            <w:r w:rsidRPr="00286216">
              <w:rPr>
                <w:color w:val="000000" w:themeColor="text1"/>
                <w:spacing w:val="-2"/>
              </w:rPr>
              <w:t>У ч. 3 ст. 133 слова "</w:t>
            </w:r>
            <w:r w:rsidRPr="00286216">
              <w:rPr>
                <w:color w:val="000000" w:themeColor="text1"/>
              </w:rPr>
              <w:t>Національній комісії з цінних паперів та фондового ринку на її запит" замінити словами "</w:t>
            </w:r>
            <w:r w:rsidRPr="00286216">
              <w:rPr>
                <w:color w:val="000000" w:themeColor="text1"/>
                <w:spacing w:val="-2"/>
              </w:rPr>
              <w:t>регулятору відповідного ринку на його запит".</w:t>
            </w:r>
          </w:p>
        </w:tc>
        <w:tc>
          <w:tcPr>
            <w:tcW w:w="1987" w:type="dxa"/>
          </w:tcPr>
          <w:p w14:paraId="221A3231" w14:textId="77777777" w:rsidR="004D649E" w:rsidRPr="00286216" w:rsidRDefault="004D649E" w:rsidP="004D649E">
            <w:pPr>
              <w:pStyle w:val="StyleWisnow"/>
              <w:rPr>
                <w:color w:val="000000" w:themeColor="text1"/>
              </w:rPr>
            </w:pPr>
            <w:r w:rsidRPr="00286216">
              <w:rPr>
                <w:color w:val="000000" w:themeColor="text1"/>
              </w:rPr>
              <w:t>Відхилено</w:t>
            </w:r>
          </w:p>
          <w:p w14:paraId="6204387F" w14:textId="6DCEAB5C" w:rsidR="004D649E" w:rsidRPr="00286216" w:rsidRDefault="004D649E" w:rsidP="004D649E">
            <w:pPr>
              <w:pStyle w:val="StyleWisnow"/>
              <w:spacing w:line="180" w:lineRule="exact"/>
              <w:rPr>
                <w:rFonts w:eastAsia="Calibri"/>
                <w:color w:val="000000" w:themeColor="text1"/>
              </w:rPr>
            </w:pPr>
            <w:r w:rsidRPr="00286216">
              <w:rPr>
                <w:color w:val="000000" w:themeColor="text1"/>
              </w:rPr>
              <w:t>НКЦПФР - регулятор ринків капіталу</w:t>
            </w:r>
          </w:p>
        </w:tc>
        <w:tc>
          <w:tcPr>
            <w:tcW w:w="4818" w:type="dxa"/>
          </w:tcPr>
          <w:p w14:paraId="56F850E7" w14:textId="1610DB63" w:rsidR="004D649E" w:rsidRPr="00286216" w:rsidRDefault="004D649E" w:rsidP="004D649E">
            <w:pPr>
              <w:pStyle w:val="StyleZakonu"/>
              <w:rPr>
                <w:color w:val="000000" w:themeColor="text1"/>
              </w:rPr>
            </w:pPr>
            <w:r w:rsidRPr="00286216">
              <w:rPr>
                <w:color w:val="000000" w:themeColor="text1"/>
              </w:rPr>
              <w:t xml:space="preserve">3. Особа, зазначена у пунктах 1-3 частини першої цієї статті,  яка передає інформацію, повинна до проведення зондування ринку оцінити, чи передбачає таке зондування ринку передачу інсайдерської інформації. Особа, зазначена в частині першій цієї статті, яка передає інформацію, повинна у письмовій формі сформувати свій висновок та його обґрунтування. Така особа повинна надати  зазначені документи Національній комісії з цінних паперів та фондового ринку на її запит. Це зобов’язання застосовується до кожного випадку передачі інсайдерської інформації у  процесі зондування </w:t>
            </w:r>
            <w:r w:rsidRPr="00286216">
              <w:rPr>
                <w:color w:val="000000" w:themeColor="text1"/>
              </w:rPr>
              <w:lastRenderedPageBreak/>
              <w:t>ринків капіталу. Особа, зазначена в пунктах 1-3 частини першої цієї статті,  яка передає інформацію, повинна відповідним чином оновлювати документи, зазначені в цій частині.</w:t>
            </w:r>
          </w:p>
        </w:tc>
      </w:tr>
      <w:tr w:rsidR="004D649E" w:rsidRPr="00286216" w14:paraId="55EDC762" w14:textId="77777777" w:rsidTr="00091AA5">
        <w:tc>
          <w:tcPr>
            <w:tcW w:w="576" w:type="dxa"/>
          </w:tcPr>
          <w:p w14:paraId="553836B4" w14:textId="77777777" w:rsidR="004D649E" w:rsidRPr="00286216" w:rsidRDefault="004D649E" w:rsidP="004D649E">
            <w:pPr>
              <w:pStyle w:val="StyleWisnow"/>
              <w:rPr>
                <w:color w:val="000000" w:themeColor="text1"/>
              </w:rPr>
            </w:pPr>
            <w:bookmarkStart w:id="2014" w:name="n2247" w:colFirst="0" w:colLast="0"/>
            <w:bookmarkEnd w:id="2013"/>
            <w:r w:rsidRPr="00286216">
              <w:rPr>
                <w:color w:val="000000" w:themeColor="text1"/>
              </w:rPr>
              <w:lastRenderedPageBreak/>
              <w:t>2247.</w:t>
            </w:r>
          </w:p>
        </w:tc>
        <w:tc>
          <w:tcPr>
            <w:tcW w:w="4818" w:type="dxa"/>
          </w:tcPr>
          <w:p w14:paraId="68978B87" w14:textId="77777777" w:rsidR="004D649E" w:rsidRPr="00286216" w:rsidRDefault="004D649E" w:rsidP="004D649E">
            <w:pPr>
              <w:pStyle w:val="StyleZakonu"/>
              <w:rPr>
                <w:color w:val="000000" w:themeColor="text1"/>
              </w:rPr>
            </w:pPr>
            <w:r w:rsidRPr="00286216">
              <w:rPr>
                <w:color w:val="000000" w:themeColor="text1"/>
              </w:rPr>
              <w:t>4. Передача інсайдерської інформації в рамках зондування ринку вважається вчиненою у ході нормального здійснення особою, зазначеною в частині першій цієї статті, своєї трудової або професійної діяльності або обов’язків, якщо така особа дотримується вимог, встановлених частинами третьою та п’ятою цієї статті.</w:t>
            </w:r>
          </w:p>
        </w:tc>
        <w:tc>
          <w:tcPr>
            <w:tcW w:w="3686" w:type="dxa"/>
          </w:tcPr>
          <w:p w14:paraId="18D0A8B7" w14:textId="77777777" w:rsidR="004D649E" w:rsidRPr="00286216" w:rsidRDefault="004D649E" w:rsidP="004D649E">
            <w:pPr>
              <w:pStyle w:val="StyleProp"/>
              <w:rPr>
                <w:color w:val="000000" w:themeColor="text1"/>
                <w:szCs w:val="18"/>
              </w:rPr>
            </w:pPr>
          </w:p>
        </w:tc>
        <w:tc>
          <w:tcPr>
            <w:tcW w:w="1987" w:type="dxa"/>
          </w:tcPr>
          <w:p w14:paraId="17E532D3"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EDB80EC" w14:textId="7CC1E969" w:rsidR="004D649E" w:rsidRPr="00286216" w:rsidRDefault="004D649E" w:rsidP="004D649E">
            <w:pPr>
              <w:pStyle w:val="StyleZakonu"/>
              <w:rPr>
                <w:color w:val="000000" w:themeColor="text1"/>
              </w:rPr>
            </w:pPr>
            <w:r w:rsidRPr="00286216">
              <w:rPr>
                <w:color w:val="000000" w:themeColor="text1"/>
              </w:rPr>
              <w:t>4. Передача інсайдерської інформації в рамках зондування ринку вважається вчиненою у процесі нормального здійснення особою, зазначеною в частині першій цієї статті, своєї трудової або професійної діяльності або обов’язків,  за умови що така особа дотримується вимог, встановлених частинами третьою та п’ятою цієї статті.</w:t>
            </w:r>
          </w:p>
        </w:tc>
      </w:tr>
      <w:tr w:rsidR="004D649E" w:rsidRPr="00286216" w14:paraId="2AAAC631" w14:textId="77777777" w:rsidTr="00091AA5">
        <w:tc>
          <w:tcPr>
            <w:tcW w:w="576" w:type="dxa"/>
          </w:tcPr>
          <w:p w14:paraId="1E06D8CA" w14:textId="77777777" w:rsidR="004D649E" w:rsidRPr="00286216" w:rsidRDefault="004D649E" w:rsidP="004D649E">
            <w:pPr>
              <w:pStyle w:val="StyleWisnow"/>
              <w:rPr>
                <w:color w:val="000000" w:themeColor="text1"/>
              </w:rPr>
            </w:pPr>
            <w:bookmarkStart w:id="2015" w:name="n2248" w:colFirst="0" w:colLast="0"/>
            <w:bookmarkEnd w:id="2014"/>
            <w:r w:rsidRPr="00286216">
              <w:rPr>
                <w:color w:val="000000" w:themeColor="text1"/>
              </w:rPr>
              <w:t>2248.</w:t>
            </w:r>
          </w:p>
        </w:tc>
        <w:tc>
          <w:tcPr>
            <w:tcW w:w="4818" w:type="dxa"/>
          </w:tcPr>
          <w:p w14:paraId="07B77D3A" w14:textId="77777777" w:rsidR="004D649E" w:rsidRPr="00286216" w:rsidRDefault="004D649E" w:rsidP="004D649E">
            <w:pPr>
              <w:pStyle w:val="StyleZakonu"/>
              <w:rPr>
                <w:color w:val="000000" w:themeColor="text1"/>
              </w:rPr>
            </w:pPr>
            <w:r w:rsidRPr="00286216">
              <w:rPr>
                <w:color w:val="000000" w:themeColor="text1"/>
              </w:rPr>
              <w:t>5. Особа, зазначена в частині першій цієї статті, що передає інформацію, до проведення зондування ринку повинна:</w:t>
            </w:r>
          </w:p>
        </w:tc>
        <w:tc>
          <w:tcPr>
            <w:tcW w:w="3686" w:type="dxa"/>
          </w:tcPr>
          <w:p w14:paraId="254BC442" w14:textId="77777777" w:rsidR="004D649E" w:rsidRPr="00286216" w:rsidRDefault="004D649E" w:rsidP="004D649E">
            <w:pPr>
              <w:pStyle w:val="StyleProp"/>
              <w:rPr>
                <w:color w:val="000000" w:themeColor="text1"/>
                <w:szCs w:val="18"/>
              </w:rPr>
            </w:pPr>
          </w:p>
        </w:tc>
        <w:tc>
          <w:tcPr>
            <w:tcW w:w="1987" w:type="dxa"/>
          </w:tcPr>
          <w:p w14:paraId="66B4D591"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272015B" w14:textId="29F164F3" w:rsidR="004D649E" w:rsidRPr="00286216" w:rsidRDefault="004D649E" w:rsidP="004D649E">
            <w:pPr>
              <w:pStyle w:val="StyleZakonu"/>
              <w:rPr>
                <w:color w:val="000000" w:themeColor="text1"/>
              </w:rPr>
            </w:pPr>
            <w:r w:rsidRPr="00286216">
              <w:rPr>
                <w:color w:val="000000" w:themeColor="text1"/>
              </w:rPr>
              <w:t>5. Особа, зазначена в частині першій цієї статті, яка передає інформацію, до проведення зондування ринку повинна:</w:t>
            </w:r>
          </w:p>
        </w:tc>
      </w:tr>
      <w:tr w:rsidR="004D649E" w:rsidRPr="00286216" w14:paraId="0FAA4F0F" w14:textId="77777777" w:rsidTr="00091AA5">
        <w:tc>
          <w:tcPr>
            <w:tcW w:w="576" w:type="dxa"/>
          </w:tcPr>
          <w:p w14:paraId="7482203D" w14:textId="77777777" w:rsidR="004D649E" w:rsidRPr="00286216" w:rsidRDefault="004D649E" w:rsidP="004D649E">
            <w:pPr>
              <w:pStyle w:val="StyleWisnow"/>
              <w:rPr>
                <w:color w:val="000000" w:themeColor="text1"/>
              </w:rPr>
            </w:pPr>
            <w:bookmarkStart w:id="2016" w:name="n2249" w:colFirst="0" w:colLast="0"/>
            <w:bookmarkEnd w:id="2015"/>
            <w:r w:rsidRPr="00286216">
              <w:rPr>
                <w:color w:val="000000" w:themeColor="text1"/>
              </w:rPr>
              <w:t>2249.</w:t>
            </w:r>
          </w:p>
        </w:tc>
        <w:tc>
          <w:tcPr>
            <w:tcW w:w="4818" w:type="dxa"/>
          </w:tcPr>
          <w:p w14:paraId="3F1BA737" w14:textId="77777777" w:rsidR="004D649E" w:rsidRPr="00286216" w:rsidRDefault="004D649E" w:rsidP="004D649E">
            <w:pPr>
              <w:pStyle w:val="StyleZakonu"/>
              <w:rPr>
                <w:color w:val="000000" w:themeColor="text1"/>
              </w:rPr>
            </w:pPr>
            <w:r w:rsidRPr="00286216">
              <w:rPr>
                <w:color w:val="000000" w:themeColor="text1"/>
              </w:rPr>
              <w:t>1) отримати у порядку, встановленому Національною комісією з цінних паперів та фондового ринку, згоду на передання інсайдерської інформації особі, відносно якої проводиться зондування - потенційному інвестору;</w:t>
            </w:r>
          </w:p>
        </w:tc>
        <w:tc>
          <w:tcPr>
            <w:tcW w:w="3686" w:type="dxa"/>
          </w:tcPr>
          <w:p w14:paraId="22EAC7EB" w14:textId="05B0B86D" w:rsidR="004D649E" w:rsidRPr="00286216" w:rsidRDefault="004D649E" w:rsidP="004D649E">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1084</w:t>
            </w:r>
            <w:r w:rsidRPr="00286216">
              <w:rPr>
                <w:color w:val="000000" w:themeColor="text1"/>
                <w:spacing w:val="-4"/>
              </w:rPr>
              <w:fldChar w:fldCharType="end"/>
            </w:r>
            <w:r w:rsidRPr="00286216">
              <w:rPr>
                <w:color w:val="000000" w:themeColor="text1"/>
                <w:spacing w:val="-4"/>
              </w:rPr>
              <w:t>-Н.д.Шахов С.В. (Реєстр.картка №114)</w:t>
            </w:r>
          </w:p>
          <w:p w14:paraId="24043B2B" w14:textId="77777777" w:rsidR="004D649E" w:rsidRPr="00286216" w:rsidRDefault="004D649E" w:rsidP="004D649E">
            <w:pPr>
              <w:pStyle w:val="StyleProp"/>
              <w:spacing w:line="190" w:lineRule="exact"/>
              <w:rPr>
                <w:color w:val="000000" w:themeColor="text1"/>
                <w:szCs w:val="18"/>
              </w:rPr>
            </w:pPr>
            <w:r w:rsidRPr="00286216">
              <w:rPr>
                <w:color w:val="000000" w:themeColor="text1"/>
                <w:spacing w:val="-2"/>
              </w:rPr>
              <w:t>У п.1 ч. 5 ст. 133 слова "</w:t>
            </w:r>
            <w:r w:rsidRPr="00286216">
              <w:rPr>
                <w:color w:val="000000" w:themeColor="text1"/>
              </w:rPr>
              <w:t>Національною комісією з цінних паперів та фондового ринку" замінити словами "</w:t>
            </w:r>
            <w:r w:rsidRPr="00286216">
              <w:rPr>
                <w:color w:val="000000" w:themeColor="text1"/>
                <w:spacing w:val="-2"/>
              </w:rPr>
              <w:t>регулятором відповідного ринку".</w:t>
            </w:r>
          </w:p>
        </w:tc>
        <w:tc>
          <w:tcPr>
            <w:tcW w:w="1987" w:type="dxa"/>
          </w:tcPr>
          <w:p w14:paraId="515EAE52" w14:textId="77777777" w:rsidR="004D649E" w:rsidRPr="00286216" w:rsidRDefault="004D649E" w:rsidP="004D649E">
            <w:pPr>
              <w:pStyle w:val="StyleWisnow"/>
              <w:rPr>
                <w:color w:val="000000" w:themeColor="text1"/>
              </w:rPr>
            </w:pPr>
            <w:r w:rsidRPr="00286216">
              <w:rPr>
                <w:color w:val="000000" w:themeColor="text1"/>
              </w:rPr>
              <w:t>Відхилено</w:t>
            </w:r>
          </w:p>
          <w:p w14:paraId="3852677E" w14:textId="2C90EC13" w:rsidR="004D649E" w:rsidRPr="00286216" w:rsidRDefault="004D649E" w:rsidP="004D649E">
            <w:pPr>
              <w:pStyle w:val="StyleWisnow"/>
              <w:spacing w:line="180" w:lineRule="exact"/>
              <w:rPr>
                <w:rFonts w:eastAsia="Calibri"/>
                <w:color w:val="000000" w:themeColor="text1"/>
              </w:rPr>
            </w:pPr>
            <w:r w:rsidRPr="00286216">
              <w:rPr>
                <w:color w:val="000000" w:themeColor="text1"/>
              </w:rPr>
              <w:t>НКЦПФР - регулятор ринків капіталу</w:t>
            </w:r>
          </w:p>
        </w:tc>
        <w:tc>
          <w:tcPr>
            <w:tcW w:w="4818" w:type="dxa"/>
          </w:tcPr>
          <w:p w14:paraId="4C590F3C" w14:textId="0AAA4842" w:rsidR="004D649E" w:rsidRPr="00286216" w:rsidRDefault="004D649E" w:rsidP="004D649E">
            <w:pPr>
              <w:pStyle w:val="StyleZakonu"/>
              <w:rPr>
                <w:color w:val="000000" w:themeColor="text1"/>
              </w:rPr>
            </w:pPr>
            <w:r w:rsidRPr="00286216">
              <w:rPr>
                <w:color w:val="000000" w:themeColor="text1"/>
              </w:rPr>
              <w:t>1) отримати у порядку, встановленому Національною комісією з цінних паперів та фондового ринку, згоду на передачу інсайдерської інформації особі, стосовно якої проводиться зондування - потенційному інвестору;</w:t>
            </w:r>
          </w:p>
        </w:tc>
      </w:tr>
      <w:tr w:rsidR="004D649E" w:rsidRPr="00286216" w14:paraId="18900B47" w14:textId="77777777" w:rsidTr="00091AA5">
        <w:tc>
          <w:tcPr>
            <w:tcW w:w="576" w:type="dxa"/>
          </w:tcPr>
          <w:p w14:paraId="13A7B942" w14:textId="77777777" w:rsidR="004D649E" w:rsidRPr="00286216" w:rsidRDefault="004D649E" w:rsidP="004D649E">
            <w:pPr>
              <w:pStyle w:val="StyleWisnow"/>
              <w:rPr>
                <w:color w:val="000000" w:themeColor="text1"/>
              </w:rPr>
            </w:pPr>
            <w:bookmarkStart w:id="2017" w:name="n2250" w:colFirst="0" w:colLast="0"/>
            <w:bookmarkEnd w:id="2016"/>
            <w:r w:rsidRPr="00286216">
              <w:rPr>
                <w:color w:val="000000" w:themeColor="text1"/>
              </w:rPr>
              <w:t>2250.</w:t>
            </w:r>
          </w:p>
        </w:tc>
        <w:tc>
          <w:tcPr>
            <w:tcW w:w="4818" w:type="dxa"/>
          </w:tcPr>
          <w:p w14:paraId="247AE568" w14:textId="77777777" w:rsidR="004D649E" w:rsidRPr="00286216" w:rsidRDefault="004D649E" w:rsidP="004D649E">
            <w:pPr>
              <w:pStyle w:val="StyleZakonu"/>
              <w:rPr>
                <w:color w:val="000000" w:themeColor="text1"/>
              </w:rPr>
            </w:pPr>
            <w:r w:rsidRPr="00286216">
              <w:rPr>
                <w:color w:val="000000" w:themeColor="text1"/>
              </w:rPr>
              <w:t>2) проінформувати особу, відносно якої проводиться зондування ринку, про те, що їй заборонено використовувати таку інсайдерську інформацію або намагатися її використовувати від свого імені або від імені третіх осіб, прямо або опосередковано для набуття або відчуження (заміни сторін) фінансових інструментів, яких така інформація стосується;</w:t>
            </w:r>
          </w:p>
        </w:tc>
        <w:tc>
          <w:tcPr>
            <w:tcW w:w="3686" w:type="dxa"/>
          </w:tcPr>
          <w:p w14:paraId="19BF84C0" w14:textId="77777777" w:rsidR="004D649E" w:rsidRPr="00286216" w:rsidRDefault="004D649E" w:rsidP="004D649E">
            <w:pPr>
              <w:pStyle w:val="StyleProp"/>
              <w:rPr>
                <w:color w:val="000000" w:themeColor="text1"/>
                <w:szCs w:val="18"/>
              </w:rPr>
            </w:pPr>
          </w:p>
        </w:tc>
        <w:tc>
          <w:tcPr>
            <w:tcW w:w="1987" w:type="dxa"/>
          </w:tcPr>
          <w:p w14:paraId="6354758A"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3A2E2D63" w14:textId="1D5AE283" w:rsidR="004D649E" w:rsidRPr="00286216" w:rsidRDefault="004D649E" w:rsidP="004D649E">
            <w:pPr>
              <w:pStyle w:val="StyleZakonu"/>
              <w:rPr>
                <w:color w:val="000000" w:themeColor="text1"/>
              </w:rPr>
            </w:pPr>
            <w:r w:rsidRPr="00286216">
              <w:rPr>
                <w:color w:val="000000" w:themeColor="text1"/>
              </w:rPr>
              <w:t>2) поінформувати особу, стосовно  якої проводиться зондування ринку, про заборону використання такої інсайдерської інформації або намагання її використання від свого імені  чи від імені третіх осіб, прямо або опосередковано для набуття або відчуження (заміни сторін) фінансових інструментів, яких така інформація стосується;</w:t>
            </w:r>
          </w:p>
        </w:tc>
      </w:tr>
      <w:tr w:rsidR="004D649E" w:rsidRPr="00286216" w14:paraId="31BE0976" w14:textId="77777777" w:rsidTr="00091AA5">
        <w:tc>
          <w:tcPr>
            <w:tcW w:w="576" w:type="dxa"/>
          </w:tcPr>
          <w:p w14:paraId="690D743D" w14:textId="77777777" w:rsidR="004D649E" w:rsidRPr="00286216" w:rsidRDefault="004D649E" w:rsidP="004D649E">
            <w:pPr>
              <w:pStyle w:val="StyleWisnow"/>
              <w:rPr>
                <w:color w:val="000000" w:themeColor="text1"/>
              </w:rPr>
            </w:pPr>
            <w:bookmarkStart w:id="2018" w:name="n2251" w:colFirst="0" w:colLast="0"/>
            <w:bookmarkEnd w:id="2017"/>
            <w:r w:rsidRPr="00286216">
              <w:rPr>
                <w:color w:val="000000" w:themeColor="text1"/>
              </w:rPr>
              <w:t>2251.</w:t>
            </w:r>
          </w:p>
        </w:tc>
        <w:tc>
          <w:tcPr>
            <w:tcW w:w="4818" w:type="dxa"/>
          </w:tcPr>
          <w:p w14:paraId="44313302" w14:textId="77777777" w:rsidR="004D649E" w:rsidRPr="00286216" w:rsidRDefault="004D649E" w:rsidP="004D649E">
            <w:pPr>
              <w:pStyle w:val="StyleZakonu"/>
              <w:rPr>
                <w:color w:val="000000" w:themeColor="text1"/>
              </w:rPr>
            </w:pPr>
            <w:r w:rsidRPr="00286216">
              <w:rPr>
                <w:color w:val="000000" w:themeColor="text1"/>
              </w:rPr>
              <w:t>3) поінформувати особу, відносно якої проводиться зондування ринку, про те, що їй заборонено використовувати таку інформацію або намагатися її використовувати за допомогою скасування або зміни вже виданого наказу та/або розпорядження відносно фінансових інструментів, яких така інсайдерська інформація стосується;</w:t>
            </w:r>
          </w:p>
        </w:tc>
        <w:tc>
          <w:tcPr>
            <w:tcW w:w="3686" w:type="dxa"/>
          </w:tcPr>
          <w:p w14:paraId="1BF8AB43" w14:textId="78C74763" w:rsidR="004D649E" w:rsidRPr="00286216" w:rsidRDefault="004D649E" w:rsidP="004D649E">
            <w:pPr>
              <w:pStyle w:val="StyleAwt"/>
              <w:rPr>
                <w:color w:val="000000" w:themeColor="text1"/>
                <w:spacing w:val="-8"/>
              </w:rPr>
            </w:pPr>
            <w:r w:rsidRPr="00286216">
              <w:rPr>
                <w:color w:val="000000" w:themeColor="text1"/>
                <w:spacing w:val="-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1085</w:t>
            </w:r>
            <w:r w:rsidRPr="00286216">
              <w:rPr>
                <w:color w:val="000000" w:themeColor="text1"/>
                <w:spacing w:val="-8"/>
              </w:rPr>
              <w:fldChar w:fldCharType="end"/>
            </w:r>
            <w:r w:rsidRPr="00286216">
              <w:rPr>
                <w:color w:val="000000" w:themeColor="text1"/>
                <w:spacing w:val="-8"/>
              </w:rPr>
              <w:t>-Н.д.Ніколаєнко А.І. (Реєстр.картка №405)</w:t>
            </w:r>
          </w:p>
          <w:p w14:paraId="2E7EAE51" w14:textId="2F3BF000" w:rsidR="004D649E" w:rsidRPr="00286216" w:rsidRDefault="004D649E" w:rsidP="004D649E">
            <w:pPr>
              <w:pStyle w:val="StyleProp"/>
              <w:rPr>
                <w:color w:val="000000" w:themeColor="text1"/>
              </w:rPr>
            </w:pPr>
            <w:r w:rsidRPr="00286216">
              <w:rPr>
                <w:color w:val="000000" w:themeColor="text1"/>
              </w:rPr>
              <w:t>У пункті 3 частини п’ятої статті 133 слова «виданого наказу та/або розпорядження» замінити словами «надісланої заявки або котирування».</w:t>
            </w:r>
          </w:p>
        </w:tc>
        <w:tc>
          <w:tcPr>
            <w:tcW w:w="1987" w:type="dxa"/>
          </w:tcPr>
          <w:p w14:paraId="4CF2240E" w14:textId="75688F1B" w:rsidR="004D649E" w:rsidRPr="00286216" w:rsidRDefault="004D649E" w:rsidP="004D649E">
            <w:pPr>
              <w:pStyle w:val="StyleWisnow"/>
              <w:spacing w:line="180" w:lineRule="exact"/>
              <w:rPr>
                <w:rFonts w:eastAsia="Calibri"/>
                <w:color w:val="000000" w:themeColor="text1"/>
              </w:rPr>
            </w:pPr>
            <w:r w:rsidRPr="00286216">
              <w:rPr>
                <w:color w:val="000000" w:themeColor="text1"/>
              </w:rPr>
              <w:t>Враховано</w:t>
            </w:r>
          </w:p>
        </w:tc>
        <w:tc>
          <w:tcPr>
            <w:tcW w:w="4818" w:type="dxa"/>
          </w:tcPr>
          <w:p w14:paraId="005E03A2" w14:textId="0656C8B4" w:rsidR="004D649E" w:rsidRPr="00286216" w:rsidRDefault="004D649E" w:rsidP="004D649E">
            <w:pPr>
              <w:pStyle w:val="StyleZakonu"/>
              <w:rPr>
                <w:color w:val="000000" w:themeColor="text1"/>
              </w:rPr>
            </w:pPr>
            <w:r w:rsidRPr="00286216">
              <w:rPr>
                <w:color w:val="000000" w:themeColor="text1"/>
              </w:rPr>
              <w:t>3) поінформувати особу,  стосовно якої проводиться зондування ринку, про заборонену використання такої інформації або намагання її використання шляхом скасування або зміни вже надісланої заявки або котирування щодо фінансових інструментів, яких така інсайдерська інформація стосується;</w:t>
            </w:r>
          </w:p>
        </w:tc>
      </w:tr>
      <w:tr w:rsidR="004D649E" w:rsidRPr="00286216" w14:paraId="6339B013" w14:textId="77777777" w:rsidTr="00091AA5">
        <w:tc>
          <w:tcPr>
            <w:tcW w:w="576" w:type="dxa"/>
          </w:tcPr>
          <w:p w14:paraId="627DC2C4" w14:textId="77777777" w:rsidR="004D649E" w:rsidRPr="00286216" w:rsidRDefault="004D649E" w:rsidP="004D649E">
            <w:pPr>
              <w:pStyle w:val="StyleWisnow"/>
              <w:rPr>
                <w:color w:val="000000" w:themeColor="text1"/>
              </w:rPr>
            </w:pPr>
            <w:bookmarkStart w:id="2019" w:name="n2252" w:colFirst="0" w:colLast="0"/>
            <w:bookmarkEnd w:id="2018"/>
            <w:r w:rsidRPr="00286216">
              <w:rPr>
                <w:color w:val="000000" w:themeColor="text1"/>
              </w:rPr>
              <w:t>2252.</w:t>
            </w:r>
          </w:p>
        </w:tc>
        <w:tc>
          <w:tcPr>
            <w:tcW w:w="4818" w:type="dxa"/>
          </w:tcPr>
          <w:p w14:paraId="0DA5CBB2" w14:textId="77777777" w:rsidR="004D649E" w:rsidRPr="00286216" w:rsidRDefault="004D649E" w:rsidP="004D649E">
            <w:pPr>
              <w:pStyle w:val="StyleZakonu"/>
              <w:rPr>
                <w:color w:val="000000" w:themeColor="text1"/>
              </w:rPr>
            </w:pPr>
            <w:r w:rsidRPr="00286216">
              <w:rPr>
                <w:color w:val="000000" w:themeColor="text1"/>
              </w:rPr>
              <w:t>4) поінформувати особу, відносно якої проводиться зондування ринку, про те, що надання письмової згоди на одержання інформації зобов’язує її забезпечувати дотримання режиму конфіденційності такої інформації.</w:t>
            </w:r>
          </w:p>
        </w:tc>
        <w:tc>
          <w:tcPr>
            <w:tcW w:w="3686" w:type="dxa"/>
          </w:tcPr>
          <w:p w14:paraId="2C84341F" w14:textId="77777777" w:rsidR="004D649E" w:rsidRPr="00286216" w:rsidRDefault="004D649E" w:rsidP="004D649E">
            <w:pPr>
              <w:pStyle w:val="StyleProp"/>
              <w:rPr>
                <w:color w:val="000000" w:themeColor="text1"/>
                <w:szCs w:val="18"/>
              </w:rPr>
            </w:pPr>
          </w:p>
        </w:tc>
        <w:tc>
          <w:tcPr>
            <w:tcW w:w="1987" w:type="dxa"/>
          </w:tcPr>
          <w:p w14:paraId="66D05589"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616E6586" w14:textId="212F6BB5" w:rsidR="004D649E" w:rsidRPr="00286216" w:rsidRDefault="004D649E" w:rsidP="004D649E">
            <w:pPr>
              <w:pStyle w:val="StyleZakonu"/>
              <w:rPr>
                <w:color w:val="000000" w:themeColor="text1"/>
              </w:rPr>
            </w:pPr>
            <w:r w:rsidRPr="00286216">
              <w:rPr>
                <w:color w:val="000000" w:themeColor="text1"/>
              </w:rPr>
              <w:t>4) поінформувати особу,  стосовно якої проводиться зондування ринку, про зобов’язання її щодо забезпечення дотримання режиму конфіденційності  інформації, у разі надання письмової згоди на одержання такої інформації.</w:t>
            </w:r>
          </w:p>
        </w:tc>
      </w:tr>
      <w:tr w:rsidR="004D649E" w:rsidRPr="00286216" w14:paraId="0C4FB064" w14:textId="77777777" w:rsidTr="00091AA5">
        <w:tc>
          <w:tcPr>
            <w:tcW w:w="576" w:type="dxa"/>
          </w:tcPr>
          <w:p w14:paraId="3724C668" w14:textId="77777777" w:rsidR="004D649E" w:rsidRPr="00286216" w:rsidRDefault="004D649E" w:rsidP="004D649E">
            <w:pPr>
              <w:pStyle w:val="StyleWisnow"/>
              <w:rPr>
                <w:color w:val="000000" w:themeColor="text1"/>
              </w:rPr>
            </w:pPr>
            <w:bookmarkStart w:id="2020" w:name="n2253" w:colFirst="0" w:colLast="0"/>
            <w:bookmarkEnd w:id="2019"/>
            <w:r w:rsidRPr="00286216">
              <w:rPr>
                <w:color w:val="000000" w:themeColor="text1"/>
              </w:rPr>
              <w:t>2253.</w:t>
            </w:r>
          </w:p>
        </w:tc>
        <w:tc>
          <w:tcPr>
            <w:tcW w:w="4818" w:type="dxa"/>
          </w:tcPr>
          <w:p w14:paraId="18DC6724" w14:textId="77777777" w:rsidR="004D649E" w:rsidRPr="00286216" w:rsidRDefault="004D649E" w:rsidP="004D649E">
            <w:pPr>
              <w:pStyle w:val="StyleZakonu"/>
              <w:rPr>
                <w:color w:val="000000" w:themeColor="text1"/>
              </w:rPr>
            </w:pPr>
            <w:r w:rsidRPr="00286216">
              <w:rPr>
                <w:color w:val="000000" w:themeColor="text1"/>
              </w:rPr>
              <w:t xml:space="preserve">Особа, зазначена в частині першій цієї статті, що передає інформацію, повинна вести облік усієї інформації, переданої особі, відносно якої проводиться зондування ринку, у тому числі інформації, переданої відповідно до пунктів 1-4 цієї </w:t>
            </w:r>
            <w:r w:rsidRPr="00286216">
              <w:rPr>
                <w:color w:val="000000" w:themeColor="text1"/>
              </w:rPr>
              <w:lastRenderedPageBreak/>
              <w:t>частини, а також вести облік відомостей про потенційних інвесторів, яким була передана інформація, в тому числі юридичних і фізичних осіб, що діють від імені потенційного інвестора, дату і час передачі. Особа, зазначена в частині першій цієї статті, що передає інформацію, повинна надати такі дані обліку Національній комісії з цінних паперів та фондового ринку на її запит.</w:t>
            </w:r>
          </w:p>
        </w:tc>
        <w:tc>
          <w:tcPr>
            <w:tcW w:w="3686" w:type="dxa"/>
          </w:tcPr>
          <w:p w14:paraId="5A6D7E02" w14:textId="7F776729" w:rsidR="004D649E" w:rsidRPr="00286216" w:rsidRDefault="004D649E" w:rsidP="004D649E">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1086</w:t>
            </w:r>
            <w:r w:rsidRPr="00286216">
              <w:rPr>
                <w:color w:val="000000" w:themeColor="text1"/>
                <w:spacing w:val="-2"/>
              </w:rPr>
              <w:fldChar w:fldCharType="end"/>
            </w:r>
            <w:r w:rsidRPr="00286216">
              <w:rPr>
                <w:color w:val="000000" w:themeColor="text1"/>
                <w:spacing w:val="-2"/>
              </w:rPr>
              <w:t>-Н.д.Шахов С.В. (Реєстр.картка №114)</w:t>
            </w:r>
          </w:p>
          <w:p w14:paraId="3587F9D4" w14:textId="77777777" w:rsidR="004D649E" w:rsidRPr="00286216" w:rsidRDefault="004D649E" w:rsidP="004D649E">
            <w:pPr>
              <w:pStyle w:val="StyleProp"/>
              <w:spacing w:line="190" w:lineRule="exact"/>
              <w:rPr>
                <w:color w:val="000000" w:themeColor="text1"/>
                <w:szCs w:val="18"/>
              </w:rPr>
            </w:pPr>
            <w:r w:rsidRPr="00286216">
              <w:rPr>
                <w:color w:val="000000" w:themeColor="text1"/>
                <w:spacing w:val="-2"/>
              </w:rPr>
              <w:t>В останньому абзаці частини п'ятої статті 133 слова "</w:t>
            </w:r>
            <w:r w:rsidRPr="00286216">
              <w:rPr>
                <w:color w:val="000000" w:themeColor="text1"/>
              </w:rPr>
              <w:t>Національній комісії з цінних паперів та фондового ринку на її запит" замінити словами "</w:t>
            </w:r>
            <w:r w:rsidRPr="00286216">
              <w:rPr>
                <w:color w:val="000000" w:themeColor="text1"/>
                <w:spacing w:val="-2"/>
              </w:rPr>
              <w:t xml:space="preserve">регулятору відповідного </w:t>
            </w:r>
            <w:r w:rsidRPr="00286216">
              <w:rPr>
                <w:color w:val="000000" w:themeColor="text1"/>
                <w:spacing w:val="-2"/>
              </w:rPr>
              <w:lastRenderedPageBreak/>
              <w:t>ринку на його запит".</w:t>
            </w:r>
          </w:p>
        </w:tc>
        <w:tc>
          <w:tcPr>
            <w:tcW w:w="1987" w:type="dxa"/>
          </w:tcPr>
          <w:p w14:paraId="3C881175" w14:textId="77777777" w:rsidR="004D649E" w:rsidRPr="00286216" w:rsidRDefault="004D649E" w:rsidP="004D649E">
            <w:pPr>
              <w:pStyle w:val="StyleWisnow"/>
              <w:rPr>
                <w:color w:val="000000" w:themeColor="text1"/>
              </w:rPr>
            </w:pPr>
            <w:r w:rsidRPr="00286216">
              <w:rPr>
                <w:color w:val="000000" w:themeColor="text1"/>
              </w:rPr>
              <w:lastRenderedPageBreak/>
              <w:t>Відхилено</w:t>
            </w:r>
          </w:p>
          <w:p w14:paraId="4B128E5E" w14:textId="4EBD4DEC" w:rsidR="004D649E" w:rsidRPr="00286216" w:rsidRDefault="004D649E" w:rsidP="004D649E">
            <w:pPr>
              <w:pStyle w:val="StyleWisnow"/>
              <w:spacing w:line="180" w:lineRule="exact"/>
              <w:rPr>
                <w:rFonts w:eastAsia="Calibri"/>
                <w:color w:val="000000" w:themeColor="text1"/>
              </w:rPr>
            </w:pPr>
            <w:r w:rsidRPr="00286216">
              <w:rPr>
                <w:color w:val="000000" w:themeColor="text1"/>
              </w:rPr>
              <w:t>НКЦПФР - регулятор ринків капіталу</w:t>
            </w:r>
          </w:p>
        </w:tc>
        <w:tc>
          <w:tcPr>
            <w:tcW w:w="4818" w:type="dxa"/>
          </w:tcPr>
          <w:p w14:paraId="21EC9653" w14:textId="4BFBBAD9" w:rsidR="004D649E" w:rsidRPr="00286216" w:rsidRDefault="004D649E" w:rsidP="004D649E">
            <w:pPr>
              <w:pStyle w:val="StyleZakonu"/>
              <w:rPr>
                <w:color w:val="000000" w:themeColor="text1"/>
              </w:rPr>
            </w:pPr>
            <w:r w:rsidRPr="00286216">
              <w:rPr>
                <w:color w:val="000000" w:themeColor="text1"/>
              </w:rPr>
              <w:t xml:space="preserve">Особа, зазначена в частині першій цієї статті, яка передає інформацію, повинна вести облік усієї інформації, переданої особі,  стосовно якої проводиться зондування ринку, у тому числі інформації, переданої відповідно до пунктів 1-4 цієї </w:t>
            </w:r>
            <w:r w:rsidRPr="00286216">
              <w:rPr>
                <w:color w:val="000000" w:themeColor="text1"/>
              </w:rPr>
              <w:lastRenderedPageBreak/>
              <w:t>частини, а також вести облік відомостей про потенційних інвесторів, яким передано інформацію, у тому числі юридичних і фізичних осіб, які діють від імені потенційного інвестора, дату і час передачі. Особа, зазначена в частині першій цієї статті,  яка передає інформацію, повинна надати такі дані обліку Національній комісії з цінних паперів та фондового ринку на її запит.</w:t>
            </w:r>
          </w:p>
        </w:tc>
      </w:tr>
      <w:tr w:rsidR="004D649E" w:rsidRPr="00286216" w14:paraId="0E897F79" w14:textId="77777777" w:rsidTr="00091AA5">
        <w:tc>
          <w:tcPr>
            <w:tcW w:w="576" w:type="dxa"/>
          </w:tcPr>
          <w:p w14:paraId="682EB5AE" w14:textId="77777777" w:rsidR="004D649E" w:rsidRPr="00286216" w:rsidRDefault="004D649E" w:rsidP="004D649E">
            <w:pPr>
              <w:pStyle w:val="StyleWisnow"/>
              <w:rPr>
                <w:color w:val="000000" w:themeColor="text1"/>
              </w:rPr>
            </w:pPr>
            <w:bookmarkStart w:id="2021" w:name="n2254" w:colFirst="0" w:colLast="0"/>
            <w:bookmarkEnd w:id="2020"/>
            <w:r w:rsidRPr="00286216">
              <w:rPr>
                <w:color w:val="000000" w:themeColor="text1"/>
              </w:rPr>
              <w:lastRenderedPageBreak/>
              <w:t>2254.</w:t>
            </w:r>
          </w:p>
        </w:tc>
        <w:tc>
          <w:tcPr>
            <w:tcW w:w="4818" w:type="dxa"/>
          </w:tcPr>
          <w:p w14:paraId="62FCCDBE" w14:textId="77777777" w:rsidR="004D649E" w:rsidRPr="00286216" w:rsidRDefault="004D649E" w:rsidP="004D649E">
            <w:pPr>
              <w:pStyle w:val="StyleZakonu"/>
              <w:rPr>
                <w:color w:val="000000" w:themeColor="text1"/>
              </w:rPr>
            </w:pPr>
            <w:r w:rsidRPr="00286216">
              <w:rPr>
                <w:color w:val="000000" w:themeColor="text1"/>
              </w:rPr>
              <w:t>6. Якщо інформація, яка була передана в ході зондування ринку, перестає бути інсайдерською інформацією за оцінкою особи, зазначеної в частині першій цієї статті, що передає її, така особа в найкоротший термін повинна проінформувати про це одержувача інформації.</w:t>
            </w:r>
          </w:p>
        </w:tc>
        <w:tc>
          <w:tcPr>
            <w:tcW w:w="3686" w:type="dxa"/>
          </w:tcPr>
          <w:p w14:paraId="176DE3B1" w14:textId="77777777" w:rsidR="004D649E" w:rsidRPr="00286216" w:rsidRDefault="004D649E" w:rsidP="004D649E">
            <w:pPr>
              <w:pStyle w:val="StyleProp"/>
              <w:rPr>
                <w:color w:val="000000" w:themeColor="text1"/>
                <w:szCs w:val="18"/>
              </w:rPr>
            </w:pPr>
          </w:p>
        </w:tc>
        <w:tc>
          <w:tcPr>
            <w:tcW w:w="1987" w:type="dxa"/>
          </w:tcPr>
          <w:p w14:paraId="6DC4C5D4"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30E64FA0" w14:textId="7F0B16F4" w:rsidR="004D649E" w:rsidRPr="00286216" w:rsidRDefault="004D649E" w:rsidP="004D649E">
            <w:pPr>
              <w:pStyle w:val="StyleZakonu"/>
              <w:rPr>
                <w:color w:val="000000" w:themeColor="text1"/>
              </w:rPr>
            </w:pPr>
            <w:r w:rsidRPr="00286216">
              <w:rPr>
                <w:color w:val="000000" w:themeColor="text1"/>
              </w:rPr>
              <w:t>6. Якщо інформація, передана в  процесі зондування ринку, перестає бути інсайдерською інформацією, за оцінкою особи, зазначеної в частині першій цієї статті,  яка передає її, така особа у найкоротший  строк повинна поінформувати про це одержувача інформації.</w:t>
            </w:r>
          </w:p>
        </w:tc>
      </w:tr>
      <w:tr w:rsidR="004D649E" w:rsidRPr="00286216" w14:paraId="3321D6EC" w14:textId="77777777" w:rsidTr="00091AA5">
        <w:tc>
          <w:tcPr>
            <w:tcW w:w="576" w:type="dxa"/>
          </w:tcPr>
          <w:p w14:paraId="4BEC1056" w14:textId="77777777" w:rsidR="004D649E" w:rsidRPr="00286216" w:rsidRDefault="004D649E" w:rsidP="004D649E">
            <w:pPr>
              <w:pStyle w:val="StyleWisnow"/>
              <w:rPr>
                <w:color w:val="000000" w:themeColor="text1"/>
              </w:rPr>
            </w:pPr>
            <w:bookmarkStart w:id="2022" w:name="n2255" w:colFirst="0" w:colLast="0"/>
            <w:bookmarkEnd w:id="2021"/>
            <w:r w:rsidRPr="00286216">
              <w:rPr>
                <w:color w:val="000000" w:themeColor="text1"/>
              </w:rPr>
              <w:t>2255.</w:t>
            </w:r>
          </w:p>
        </w:tc>
        <w:tc>
          <w:tcPr>
            <w:tcW w:w="4818" w:type="dxa"/>
          </w:tcPr>
          <w:p w14:paraId="3A3B82BE" w14:textId="77777777" w:rsidR="004D649E" w:rsidRPr="00286216" w:rsidRDefault="004D649E" w:rsidP="004D649E">
            <w:pPr>
              <w:pStyle w:val="StyleZakonu"/>
              <w:rPr>
                <w:color w:val="000000" w:themeColor="text1"/>
              </w:rPr>
            </w:pPr>
            <w:r w:rsidRPr="00286216">
              <w:rPr>
                <w:color w:val="000000" w:themeColor="text1"/>
              </w:rPr>
              <w:t>Особа, зазначена в частині першій цієї статті, що передає інформацію, повинна вести облік повідомлень (інформації), переданої відповідно до цієї частини та повинна надати таку інформацію Національній комісії з цінних паперів та фондового ринку на її запит.</w:t>
            </w:r>
          </w:p>
        </w:tc>
        <w:tc>
          <w:tcPr>
            <w:tcW w:w="3686" w:type="dxa"/>
          </w:tcPr>
          <w:p w14:paraId="18138227" w14:textId="77777777" w:rsidR="004D649E" w:rsidRPr="00286216" w:rsidRDefault="004D649E" w:rsidP="004D649E">
            <w:pPr>
              <w:pStyle w:val="StyleProp"/>
              <w:rPr>
                <w:color w:val="000000" w:themeColor="text1"/>
                <w:szCs w:val="18"/>
              </w:rPr>
            </w:pPr>
          </w:p>
        </w:tc>
        <w:tc>
          <w:tcPr>
            <w:tcW w:w="1987" w:type="dxa"/>
          </w:tcPr>
          <w:p w14:paraId="3F74BE73"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7CBB2906" w14:textId="2EC8FA14" w:rsidR="004D649E" w:rsidRPr="00286216" w:rsidRDefault="004D649E" w:rsidP="004D649E">
            <w:pPr>
              <w:pStyle w:val="StyleZakonu"/>
              <w:rPr>
                <w:color w:val="000000" w:themeColor="text1"/>
              </w:rPr>
            </w:pPr>
            <w:r w:rsidRPr="00286216">
              <w:rPr>
                <w:color w:val="000000" w:themeColor="text1"/>
              </w:rPr>
              <w:t>Особа, зазначена в частині першій цієї статті, яка передає інформацію, повинна вести облік повідомлень та інформації, передбачених цією частиною, та надати відповідну інформацію Національній комісії з цінних паперів та фондового ринку на її запит.</w:t>
            </w:r>
          </w:p>
        </w:tc>
      </w:tr>
      <w:tr w:rsidR="004D649E" w:rsidRPr="00286216" w14:paraId="2271C967" w14:textId="77777777" w:rsidTr="00091AA5">
        <w:tc>
          <w:tcPr>
            <w:tcW w:w="576" w:type="dxa"/>
          </w:tcPr>
          <w:p w14:paraId="343EEC6F" w14:textId="77777777" w:rsidR="004D649E" w:rsidRPr="00286216" w:rsidRDefault="004D649E" w:rsidP="004D649E">
            <w:pPr>
              <w:pStyle w:val="StyleWisnow"/>
              <w:rPr>
                <w:color w:val="000000" w:themeColor="text1"/>
              </w:rPr>
            </w:pPr>
            <w:bookmarkStart w:id="2023" w:name="n2256" w:colFirst="0" w:colLast="0"/>
            <w:bookmarkEnd w:id="2022"/>
            <w:r w:rsidRPr="00286216">
              <w:rPr>
                <w:color w:val="000000" w:themeColor="text1"/>
              </w:rPr>
              <w:t>2256.</w:t>
            </w:r>
          </w:p>
        </w:tc>
        <w:tc>
          <w:tcPr>
            <w:tcW w:w="4818" w:type="dxa"/>
          </w:tcPr>
          <w:p w14:paraId="6D0129D9" w14:textId="77777777" w:rsidR="004D649E" w:rsidRPr="00286216" w:rsidRDefault="004D649E" w:rsidP="004D649E">
            <w:pPr>
              <w:pStyle w:val="StyleZakonu"/>
              <w:rPr>
                <w:color w:val="000000" w:themeColor="text1"/>
              </w:rPr>
            </w:pPr>
            <w:r w:rsidRPr="00286216">
              <w:rPr>
                <w:color w:val="000000" w:themeColor="text1"/>
              </w:rPr>
              <w:t>7. Особа, відносно якої проводиться зондування ринку, повинна самостійно оцінювати, чи володіє вона інсайдерською інформацією і момент, з якого вона перестає володіти інсайдерською інформацією.</w:t>
            </w:r>
          </w:p>
        </w:tc>
        <w:tc>
          <w:tcPr>
            <w:tcW w:w="3686" w:type="dxa"/>
          </w:tcPr>
          <w:p w14:paraId="60AF6DA1" w14:textId="77777777" w:rsidR="004D649E" w:rsidRPr="00286216" w:rsidRDefault="004D649E" w:rsidP="004D649E">
            <w:pPr>
              <w:pStyle w:val="StyleProp"/>
              <w:rPr>
                <w:color w:val="000000" w:themeColor="text1"/>
                <w:szCs w:val="18"/>
              </w:rPr>
            </w:pPr>
          </w:p>
        </w:tc>
        <w:tc>
          <w:tcPr>
            <w:tcW w:w="1987" w:type="dxa"/>
          </w:tcPr>
          <w:p w14:paraId="450DA6CF"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37C52D90" w14:textId="6B2DAA93" w:rsidR="004D649E" w:rsidRPr="00286216" w:rsidRDefault="004D649E" w:rsidP="004D649E">
            <w:pPr>
              <w:pStyle w:val="StyleZakonu"/>
              <w:rPr>
                <w:color w:val="000000" w:themeColor="text1"/>
              </w:rPr>
            </w:pPr>
            <w:r w:rsidRPr="00286216">
              <w:rPr>
                <w:color w:val="000000" w:themeColor="text1"/>
              </w:rPr>
              <w:t>7. Особа,  стосовно якої проводиться зондування ринку, повинна самостійно оцінювати, чи володіє вона інсайдерською інформацією і момент, з якого вона перестає володіти інсайдерською інформацією.</w:t>
            </w:r>
          </w:p>
        </w:tc>
      </w:tr>
      <w:tr w:rsidR="004D649E" w:rsidRPr="00286216" w14:paraId="30E1AC33" w14:textId="77777777" w:rsidTr="00091AA5">
        <w:tc>
          <w:tcPr>
            <w:tcW w:w="576" w:type="dxa"/>
          </w:tcPr>
          <w:p w14:paraId="024830F7" w14:textId="77777777" w:rsidR="004D649E" w:rsidRPr="00286216" w:rsidRDefault="004D649E" w:rsidP="004D649E">
            <w:pPr>
              <w:pStyle w:val="StyleWisnow"/>
              <w:rPr>
                <w:color w:val="000000" w:themeColor="text1"/>
              </w:rPr>
            </w:pPr>
            <w:bookmarkStart w:id="2024" w:name="n2257" w:colFirst="0" w:colLast="0"/>
            <w:bookmarkEnd w:id="2023"/>
            <w:r w:rsidRPr="00286216">
              <w:rPr>
                <w:color w:val="000000" w:themeColor="text1"/>
              </w:rPr>
              <w:t>2257.</w:t>
            </w:r>
          </w:p>
        </w:tc>
        <w:tc>
          <w:tcPr>
            <w:tcW w:w="4818" w:type="dxa"/>
          </w:tcPr>
          <w:p w14:paraId="268B1E37" w14:textId="77777777" w:rsidR="004D649E" w:rsidRPr="00286216" w:rsidRDefault="004D649E" w:rsidP="004D649E">
            <w:pPr>
              <w:pStyle w:val="StyleZakonu"/>
              <w:rPr>
                <w:color w:val="000000" w:themeColor="text1"/>
              </w:rPr>
            </w:pPr>
            <w:r w:rsidRPr="00286216">
              <w:rPr>
                <w:color w:val="000000" w:themeColor="text1"/>
              </w:rPr>
              <w:t>8. Особа, зазначена в частині першій цієї статті, що передає інформацію, повинна зберігати документи, передбачені цією статтею, як мінімум протягом п’яти років.</w:t>
            </w:r>
          </w:p>
        </w:tc>
        <w:tc>
          <w:tcPr>
            <w:tcW w:w="3686" w:type="dxa"/>
          </w:tcPr>
          <w:p w14:paraId="4212FD73" w14:textId="77777777" w:rsidR="004D649E" w:rsidRPr="00286216" w:rsidRDefault="004D649E" w:rsidP="004D649E">
            <w:pPr>
              <w:pStyle w:val="StyleProp"/>
              <w:rPr>
                <w:color w:val="000000" w:themeColor="text1"/>
                <w:szCs w:val="18"/>
              </w:rPr>
            </w:pPr>
          </w:p>
        </w:tc>
        <w:tc>
          <w:tcPr>
            <w:tcW w:w="1987" w:type="dxa"/>
          </w:tcPr>
          <w:p w14:paraId="6D91EA9C"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1E2479A" w14:textId="5B8964F8" w:rsidR="004D649E" w:rsidRPr="00286216" w:rsidRDefault="004D649E" w:rsidP="004D649E">
            <w:pPr>
              <w:pStyle w:val="StyleZakonu"/>
              <w:rPr>
                <w:color w:val="000000" w:themeColor="text1"/>
              </w:rPr>
            </w:pPr>
            <w:r w:rsidRPr="00286216">
              <w:rPr>
                <w:color w:val="000000" w:themeColor="text1"/>
              </w:rPr>
              <w:t>8. Особа, зазначена в частині першій цієї статті, яка передає інформацію, повинна зберігати документи, передбачені цією статтею, протягом не менше п’яти років.</w:t>
            </w:r>
          </w:p>
        </w:tc>
      </w:tr>
      <w:tr w:rsidR="004D649E" w:rsidRPr="00286216" w14:paraId="37D3D044" w14:textId="77777777" w:rsidTr="00091AA5">
        <w:tc>
          <w:tcPr>
            <w:tcW w:w="576" w:type="dxa"/>
          </w:tcPr>
          <w:p w14:paraId="5C97DE6B" w14:textId="77777777" w:rsidR="004D649E" w:rsidRPr="00286216" w:rsidRDefault="004D649E" w:rsidP="004D649E">
            <w:pPr>
              <w:pStyle w:val="StyleWisnow"/>
              <w:rPr>
                <w:color w:val="000000" w:themeColor="text1"/>
              </w:rPr>
            </w:pPr>
            <w:bookmarkStart w:id="2025" w:name="n2258" w:colFirst="0" w:colLast="0"/>
            <w:bookmarkEnd w:id="2024"/>
            <w:r w:rsidRPr="00286216">
              <w:rPr>
                <w:color w:val="000000" w:themeColor="text1"/>
              </w:rPr>
              <w:t>2258.</w:t>
            </w:r>
          </w:p>
        </w:tc>
        <w:tc>
          <w:tcPr>
            <w:tcW w:w="4818" w:type="dxa"/>
          </w:tcPr>
          <w:p w14:paraId="493C8A0F" w14:textId="77777777" w:rsidR="004D649E" w:rsidRPr="00286216" w:rsidRDefault="004D649E" w:rsidP="004D649E">
            <w:pPr>
              <w:pStyle w:val="StyleZakonu"/>
              <w:rPr>
                <w:color w:val="000000" w:themeColor="text1"/>
              </w:rPr>
            </w:pPr>
            <w:r w:rsidRPr="00286216">
              <w:rPr>
                <w:color w:val="000000" w:themeColor="text1"/>
              </w:rPr>
              <w:t>9. Порядок проведення зондування на ринках капіталу, зокрема обов’язки особи, відносно якої проводиться зондування, а також передачі інформації про зондування ринків капіталу та ведення обліку документів про зондування ринків капіталу, встановлюється Національною комісією з цінних паперів та фондового ринку.</w:t>
            </w:r>
          </w:p>
        </w:tc>
        <w:tc>
          <w:tcPr>
            <w:tcW w:w="3686" w:type="dxa"/>
          </w:tcPr>
          <w:p w14:paraId="32893D76" w14:textId="5F9566A6"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1087</w:t>
            </w:r>
            <w:r w:rsidRPr="00286216">
              <w:rPr>
                <w:color w:val="000000" w:themeColor="text1"/>
                <w:spacing w:val="-2"/>
              </w:rPr>
              <w:fldChar w:fldCharType="end"/>
            </w:r>
            <w:r w:rsidRPr="00286216">
              <w:rPr>
                <w:color w:val="000000" w:themeColor="text1"/>
                <w:spacing w:val="-2"/>
              </w:rPr>
              <w:t>-Н.д.Шахов С.В. (Реєстр.картка №114)</w:t>
            </w:r>
          </w:p>
          <w:p w14:paraId="5607B3CE" w14:textId="77777777" w:rsidR="004D649E" w:rsidRPr="00286216" w:rsidRDefault="004D649E" w:rsidP="004D649E">
            <w:pPr>
              <w:pStyle w:val="StyleProp"/>
              <w:spacing w:line="190" w:lineRule="exact"/>
              <w:rPr>
                <w:color w:val="000000" w:themeColor="text1"/>
                <w:szCs w:val="18"/>
              </w:rPr>
            </w:pPr>
            <w:r w:rsidRPr="00286216">
              <w:rPr>
                <w:color w:val="000000" w:themeColor="text1"/>
                <w:spacing w:val="-2"/>
              </w:rPr>
              <w:t>У частині 9 статті 133 слова "</w:t>
            </w:r>
            <w:r w:rsidRPr="00286216">
              <w:rPr>
                <w:color w:val="000000" w:themeColor="text1"/>
              </w:rPr>
              <w:t>Національною комісією з цінних паперів та фондового ринку" замінити словами "</w:t>
            </w:r>
            <w:r w:rsidRPr="00286216">
              <w:rPr>
                <w:color w:val="000000" w:themeColor="text1"/>
                <w:spacing w:val="-2"/>
              </w:rPr>
              <w:t>регулятором відповідного ринку".</w:t>
            </w:r>
          </w:p>
        </w:tc>
        <w:tc>
          <w:tcPr>
            <w:tcW w:w="1987" w:type="dxa"/>
          </w:tcPr>
          <w:p w14:paraId="0089BACF" w14:textId="77777777" w:rsidR="004D649E" w:rsidRPr="00286216" w:rsidRDefault="004D649E" w:rsidP="004D649E">
            <w:pPr>
              <w:pStyle w:val="StyleWisnow"/>
              <w:rPr>
                <w:color w:val="000000" w:themeColor="text1"/>
              </w:rPr>
            </w:pPr>
            <w:r w:rsidRPr="00286216">
              <w:rPr>
                <w:color w:val="000000" w:themeColor="text1"/>
              </w:rPr>
              <w:t>Відхилено</w:t>
            </w:r>
          </w:p>
          <w:p w14:paraId="3ED049ED" w14:textId="4F633957" w:rsidR="004D649E" w:rsidRPr="00286216" w:rsidRDefault="004D649E" w:rsidP="004D649E">
            <w:pPr>
              <w:pStyle w:val="StyleWisnow"/>
              <w:spacing w:line="180" w:lineRule="exact"/>
              <w:rPr>
                <w:rFonts w:eastAsia="Calibri"/>
                <w:color w:val="000000" w:themeColor="text1"/>
              </w:rPr>
            </w:pPr>
            <w:r w:rsidRPr="00286216">
              <w:rPr>
                <w:color w:val="000000" w:themeColor="text1"/>
              </w:rPr>
              <w:t>НКЦПФР - регулятор ринків капіталу</w:t>
            </w:r>
          </w:p>
        </w:tc>
        <w:tc>
          <w:tcPr>
            <w:tcW w:w="4818" w:type="dxa"/>
          </w:tcPr>
          <w:p w14:paraId="57B0E1D0" w14:textId="569A6E4B" w:rsidR="004D649E" w:rsidRPr="00286216" w:rsidRDefault="004D649E" w:rsidP="004D649E">
            <w:pPr>
              <w:pStyle w:val="StyleZakonu"/>
              <w:rPr>
                <w:color w:val="000000" w:themeColor="text1"/>
              </w:rPr>
            </w:pPr>
            <w:r w:rsidRPr="00286216">
              <w:rPr>
                <w:color w:val="000000" w:themeColor="text1"/>
              </w:rPr>
              <w:t>9. Порядок проведення зондування на ринках капіталу, зокрема визначення обов’язків особи,  стосовно якої проводиться зондування,  порядок передачі інформації про зондування ринків капіталу та ведення обліку документів про зондування ринків капіталу встановлюються Національною комісією з цінних паперів та фондового ринку.</w:t>
            </w:r>
          </w:p>
        </w:tc>
      </w:tr>
      <w:tr w:rsidR="004D649E" w:rsidRPr="00286216" w14:paraId="3820DFA1" w14:textId="77777777" w:rsidTr="00091AA5">
        <w:tc>
          <w:tcPr>
            <w:tcW w:w="576" w:type="dxa"/>
          </w:tcPr>
          <w:p w14:paraId="53E9832A" w14:textId="77777777" w:rsidR="004D649E" w:rsidRPr="00286216" w:rsidRDefault="004D649E" w:rsidP="004D649E">
            <w:pPr>
              <w:pStyle w:val="StyleWisnow"/>
              <w:rPr>
                <w:color w:val="000000" w:themeColor="text1"/>
              </w:rPr>
            </w:pPr>
            <w:bookmarkStart w:id="2026" w:name="n2259" w:colFirst="0" w:colLast="0"/>
            <w:bookmarkEnd w:id="2025"/>
            <w:r w:rsidRPr="00286216">
              <w:rPr>
                <w:color w:val="000000" w:themeColor="text1"/>
              </w:rPr>
              <w:t>2259.</w:t>
            </w:r>
          </w:p>
        </w:tc>
        <w:tc>
          <w:tcPr>
            <w:tcW w:w="4818" w:type="dxa"/>
          </w:tcPr>
          <w:p w14:paraId="4059C085" w14:textId="77777777" w:rsidR="004D649E" w:rsidRPr="00286216" w:rsidRDefault="004D649E" w:rsidP="004D649E">
            <w:pPr>
              <w:pStyle w:val="StyleZakonu"/>
              <w:rPr>
                <w:color w:val="000000" w:themeColor="text1"/>
              </w:rPr>
            </w:pPr>
            <w:bookmarkStart w:id="2027" w:name="_Ref20215509"/>
            <w:r w:rsidRPr="00286216">
              <w:rPr>
                <w:color w:val="000000" w:themeColor="text1"/>
              </w:rPr>
              <w:t>Стаття 134. Маніпулювання на організованих ринках</w:t>
            </w:r>
            <w:bookmarkEnd w:id="2027"/>
          </w:p>
        </w:tc>
        <w:tc>
          <w:tcPr>
            <w:tcW w:w="3686" w:type="dxa"/>
          </w:tcPr>
          <w:p w14:paraId="4E3B7520" w14:textId="07200109" w:rsidR="004D649E" w:rsidRPr="00286216" w:rsidRDefault="004D649E" w:rsidP="004D649E">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rPr>
              <w:fldChar w:fldCharType="begin"/>
            </w:r>
            <w:r w:rsidRPr="00286216">
              <w:rPr>
                <w:color w:val="000000" w:themeColor="text1"/>
                <w:spacing w:val="-8"/>
              </w:rPr>
              <w:instrText xml:space="preserve"> SEQ aa </w:instrText>
            </w:r>
            <w:r w:rsidRPr="00286216">
              <w:rPr>
                <w:color w:val="000000" w:themeColor="text1"/>
                <w:spacing w:val="-8"/>
              </w:rPr>
              <w:fldChar w:fldCharType="separate"/>
            </w:r>
            <w:r w:rsidR="00C46B29">
              <w:rPr>
                <w:noProof/>
                <w:color w:val="000000" w:themeColor="text1"/>
                <w:spacing w:val="-8"/>
              </w:rPr>
              <w:t>1088</w:t>
            </w:r>
            <w:r w:rsidRPr="00286216">
              <w:rPr>
                <w:color w:val="000000" w:themeColor="text1"/>
                <w:spacing w:val="-8"/>
              </w:rPr>
              <w:fldChar w:fldCharType="end"/>
            </w:r>
            <w:r w:rsidRPr="00286216">
              <w:rPr>
                <w:color w:val="000000" w:themeColor="text1"/>
                <w:spacing w:val="-8"/>
                <w:szCs w:val="18"/>
              </w:rPr>
              <w:t>-Н.д.Ніколаєнко А.І. (Реєстр.картка №405)</w:t>
            </w:r>
          </w:p>
          <w:p w14:paraId="5A09190D" w14:textId="4EA8802A" w:rsidR="004D649E" w:rsidRPr="00286216" w:rsidRDefault="004D649E" w:rsidP="004D649E">
            <w:pPr>
              <w:pStyle w:val="StyleProp"/>
              <w:rPr>
                <w:color w:val="000000" w:themeColor="text1"/>
              </w:rPr>
            </w:pPr>
            <w:r w:rsidRPr="00286216">
              <w:rPr>
                <w:color w:val="000000" w:themeColor="text1"/>
              </w:rPr>
              <w:t>Статтю 134 викласти в такій редакції:</w:t>
            </w:r>
          </w:p>
        </w:tc>
        <w:tc>
          <w:tcPr>
            <w:tcW w:w="1987" w:type="dxa"/>
          </w:tcPr>
          <w:p w14:paraId="2A12EC0E" w14:textId="77777777" w:rsidR="004D649E" w:rsidRPr="00286216" w:rsidRDefault="004D649E" w:rsidP="004D649E">
            <w:pPr>
              <w:pStyle w:val="StyleWisnow"/>
              <w:rPr>
                <w:color w:val="000000" w:themeColor="text1"/>
              </w:rPr>
            </w:pPr>
            <w:r w:rsidRPr="00286216">
              <w:rPr>
                <w:color w:val="000000" w:themeColor="text1"/>
              </w:rPr>
              <w:t>Враховано</w:t>
            </w:r>
          </w:p>
        </w:tc>
        <w:tc>
          <w:tcPr>
            <w:tcW w:w="4818" w:type="dxa"/>
          </w:tcPr>
          <w:p w14:paraId="32F690E1" w14:textId="196C0548" w:rsidR="004D649E" w:rsidRPr="00286216" w:rsidRDefault="004D649E" w:rsidP="004D649E">
            <w:pPr>
              <w:pStyle w:val="StyleZakonu"/>
              <w:rPr>
                <w:color w:val="000000" w:themeColor="text1"/>
              </w:rPr>
            </w:pPr>
            <w:r w:rsidRPr="00286216">
              <w:rPr>
                <w:color w:val="000000" w:themeColor="text1"/>
              </w:rPr>
              <w:t>Стаття 148. Маніпулювання на організованих ринках</w:t>
            </w:r>
          </w:p>
        </w:tc>
      </w:tr>
      <w:tr w:rsidR="004D649E" w:rsidRPr="00286216" w14:paraId="0019CBB0" w14:textId="77777777" w:rsidTr="00091AA5">
        <w:tc>
          <w:tcPr>
            <w:tcW w:w="576" w:type="dxa"/>
          </w:tcPr>
          <w:p w14:paraId="602FFFCC" w14:textId="77777777" w:rsidR="004D649E" w:rsidRPr="00286216" w:rsidRDefault="004D649E" w:rsidP="004D649E">
            <w:pPr>
              <w:pStyle w:val="StyleWisnow"/>
              <w:rPr>
                <w:color w:val="000000" w:themeColor="text1"/>
              </w:rPr>
            </w:pPr>
            <w:bookmarkStart w:id="2028" w:name="n2260" w:colFirst="0" w:colLast="0"/>
            <w:bookmarkEnd w:id="2026"/>
            <w:r w:rsidRPr="00286216">
              <w:rPr>
                <w:color w:val="000000" w:themeColor="text1"/>
              </w:rPr>
              <w:t>2260.</w:t>
            </w:r>
          </w:p>
        </w:tc>
        <w:tc>
          <w:tcPr>
            <w:tcW w:w="4818" w:type="dxa"/>
          </w:tcPr>
          <w:p w14:paraId="2C752CEC" w14:textId="77777777" w:rsidR="004D649E" w:rsidRPr="00286216" w:rsidRDefault="004D649E" w:rsidP="004D649E">
            <w:pPr>
              <w:pStyle w:val="StyleZakonu"/>
              <w:rPr>
                <w:color w:val="000000" w:themeColor="text1"/>
              </w:rPr>
            </w:pPr>
            <w:r w:rsidRPr="00286216">
              <w:rPr>
                <w:color w:val="000000" w:themeColor="text1"/>
              </w:rPr>
              <w:t>1. Маніпулюванням на організованих ринках є:</w:t>
            </w:r>
          </w:p>
        </w:tc>
        <w:tc>
          <w:tcPr>
            <w:tcW w:w="3686" w:type="dxa"/>
          </w:tcPr>
          <w:p w14:paraId="26491E39" w14:textId="7D76CA6D" w:rsidR="004D649E" w:rsidRPr="00286216" w:rsidRDefault="004D649E" w:rsidP="004D649E">
            <w:pPr>
              <w:pStyle w:val="StyleProp"/>
              <w:spacing w:line="180" w:lineRule="exact"/>
              <w:rPr>
                <w:color w:val="000000" w:themeColor="text1"/>
              </w:rPr>
            </w:pPr>
            <w:r w:rsidRPr="00286216">
              <w:rPr>
                <w:color w:val="000000" w:themeColor="text1"/>
              </w:rPr>
              <w:t>«Стаття 134. Маніпулювання на організованих ринках</w:t>
            </w:r>
          </w:p>
        </w:tc>
        <w:tc>
          <w:tcPr>
            <w:tcW w:w="1987" w:type="dxa"/>
          </w:tcPr>
          <w:p w14:paraId="5E1924EE" w14:textId="77777777" w:rsidR="004D649E" w:rsidRPr="00286216" w:rsidRDefault="004D649E" w:rsidP="004D649E">
            <w:pPr>
              <w:pStyle w:val="StyleWisnow"/>
              <w:rPr>
                <w:color w:val="000000" w:themeColor="text1"/>
              </w:rPr>
            </w:pPr>
          </w:p>
        </w:tc>
        <w:tc>
          <w:tcPr>
            <w:tcW w:w="4818" w:type="dxa"/>
          </w:tcPr>
          <w:p w14:paraId="05AAAF75" w14:textId="607A25FC" w:rsidR="004D649E" w:rsidRPr="00286216" w:rsidRDefault="004D649E" w:rsidP="004D649E">
            <w:pPr>
              <w:pStyle w:val="StyleZakonu"/>
              <w:rPr>
                <w:color w:val="000000" w:themeColor="text1"/>
              </w:rPr>
            </w:pPr>
            <w:r w:rsidRPr="00286216">
              <w:rPr>
                <w:color w:val="000000" w:themeColor="text1"/>
              </w:rPr>
              <w:t xml:space="preserve">1. Маніпулюванням на організованих ринках є: </w:t>
            </w:r>
          </w:p>
        </w:tc>
      </w:tr>
      <w:tr w:rsidR="004D649E" w:rsidRPr="00286216" w14:paraId="15A9D184" w14:textId="77777777" w:rsidTr="00091AA5">
        <w:tc>
          <w:tcPr>
            <w:tcW w:w="576" w:type="dxa"/>
          </w:tcPr>
          <w:p w14:paraId="78A7CA8B" w14:textId="77777777" w:rsidR="004D649E" w:rsidRPr="00286216" w:rsidRDefault="004D649E" w:rsidP="004D649E">
            <w:pPr>
              <w:pStyle w:val="StyleWisnow"/>
              <w:rPr>
                <w:color w:val="000000" w:themeColor="text1"/>
              </w:rPr>
            </w:pPr>
            <w:bookmarkStart w:id="2029" w:name="n2261" w:colFirst="0" w:colLast="0"/>
            <w:bookmarkEnd w:id="2028"/>
            <w:r w:rsidRPr="00286216">
              <w:rPr>
                <w:color w:val="000000" w:themeColor="text1"/>
              </w:rPr>
              <w:t>2261.</w:t>
            </w:r>
          </w:p>
        </w:tc>
        <w:tc>
          <w:tcPr>
            <w:tcW w:w="4818" w:type="dxa"/>
          </w:tcPr>
          <w:p w14:paraId="58122BC2" w14:textId="77777777" w:rsidR="004D649E" w:rsidRPr="00286216" w:rsidRDefault="004D649E" w:rsidP="004D649E">
            <w:pPr>
              <w:pStyle w:val="StyleZakonu"/>
              <w:rPr>
                <w:color w:val="000000" w:themeColor="text1"/>
              </w:rPr>
            </w:pPr>
            <w:r w:rsidRPr="00286216">
              <w:rPr>
                <w:color w:val="000000" w:themeColor="text1"/>
              </w:rPr>
              <w:t xml:space="preserve">1) здійснення або намагання здійснити операції чи надання наказу та/або розпорядження на укладання деривативних контрактів, купівлю або продаж фінансових інструментів та/або активів, допущених до торгів на організованих ринках, які надають або </w:t>
            </w:r>
            <w:r w:rsidRPr="00286216">
              <w:rPr>
                <w:color w:val="000000" w:themeColor="text1"/>
              </w:rPr>
              <w:lastRenderedPageBreak/>
              <w:t>можуть надавати уявлення щодо поставки, придбання або ціни деривативного контракту, фінансового інструменту та/або активу, допущеного до торгів на організованих ринках, що не відповідають дійсності, та вчиняються одноосібно або за попередньою змовою групою осіб і призводять до встановлення інших цін, ніж ті, що існували б за відсутності таких операцій або заявок;</w:t>
            </w:r>
          </w:p>
        </w:tc>
        <w:tc>
          <w:tcPr>
            <w:tcW w:w="3686" w:type="dxa"/>
          </w:tcPr>
          <w:p w14:paraId="6FB2FE94" w14:textId="58EEB573" w:rsidR="004D649E" w:rsidRPr="00286216" w:rsidRDefault="004D649E" w:rsidP="004D649E">
            <w:pPr>
              <w:pStyle w:val="StyleProp"/>
              <w:spacing w:line="180" w:lineRule="exact"/>
              <w:rPr>
                <w:color w:val="000000" w:themeColor="text1"/>
                <w:szCs w:val="18"/>
              </w:rPr>
            </w:pPr>
            <w:r w:rsidRPr="00286216">
              <w:rPr>
                <w:color w:val="000000" w:themeColor="text1"/>
              </w:rPr>
              <w:lastRenderedPageBreak/>
              <w:t>1. Маніпулюванням на організованих ринках є:</w:t>
            </w:r>
          </w:p>
          <w:p w14:paraId="359D197C" w14:textId="16705D2B" w:rsidR="004D649E" w:rsidRPr="00286216" w:rsidRDefault="004D649E" w:rsidP="004D649E">
            <w:pPr>
              <w:pStyle w:val="StyleProp"/>
              <w:spacing w:line="180" w:lineRule="exact"/>
              <w:rPr>
                <w:color w:val="000000" w:themeColor="text1"/>
                <w:spacing w:val="-2"/>
                <w:szCs w:val="18"/>
              </w:rPr>
            </w:pPr>
            <w:r w:rsidRPr="00286216">
              <w:rPr>
                <w:color w:val="000000" w:themeColor="text1"/>
                <w:szCs w:val="18"/>
              </w:rPr>
              <w:t xml:space="preserve">1) здійснення або намагання здійснити операції чи надсилання заявки або котирування щодо укладання деривативних контрактів, </w:t>
            </w:r>
            <w:r w:rsidRPr="00286216">
              <w:rPr>
                <w:color w:val="000000" w:themeColor="text1"/>
                <w:spacing w:val="-2"/>
                <w:szCs w:val="18"/>
              </w:rPr>
              <w:t xml:space="preserve">купівлю або продаж фінансових </w:t>
            </w:r>
            <w:r w:rsidRPr="00286216">
              <w:rPr>
                <w:color w:val="000000" w:themeColor="text1"/>
                <w:spacing w:val="-2"/>
                <w:szCs w:val="18"/>
              </w:rPr>
              <w:lastRenderedPageBreak/>
              <w:t>інструментів та/або інших активів, допущених до торгів на організованих ринках, які надають або можуть надавати уявлення щодо поставки, придбання або ціни деривативного контракту, фінансового інструменту та/або активу, допущеного до торгів на організованих ринках, що не відповідають дійсності, та вчиняються одноосібно або за попередньою змовою групою осіб і призводять до встановлення інших цін, ніж ті, що існували б за відсутності таких операцій або заявок;</w:t>
            </w:r>
          </w:p>
          <w:p w14:paraId="66E77D11" w14:textId="13411D98"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2) здійснення або намагання здійснити операції чи надсилання заявки або котирування щодо укладання деривативних контрактів, купівлю або продаж фінансових інструментів та/або інших активів, допущених до торгів на організованих ринках, шляхом вчинення умисних протиправних дій;</w:t>
            </w:r>
          </w:p>
          <w:p w14:paraId="59B5D8E7"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3) поширення інформації через засоби масової інформації, у тому числі електронні засоби масової інформації, або будь-якими іншими способами, що не відповідають дійсності, зокрема поширення недостовірної інформації, у разі коли особа, яка поширила таку інформацію, знала або повинна була знати, що ця інформація була недостовірною, та яке призводить або може призвести до введення в оману учасників ринку щодо:</w:t>
            </w:r>
          </w:p>
          <w:p w14:paraId="304F0D0E"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а) ціни, попиту, пропозиції або обсягів укладених на організованих ринках фінансових інструментів та правочинів щодо них; </w:t>
            </w:r>
          </w:p>
          <w:p w14:paraId="63B4A495"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б) ціни, попиту, пропозиції або обсягів торгів іншими, ніж зазначено у пункті «а», активами, допущеними до торгів на організованих ринках;</w:t>
            </w:r>
          </w:p>
          <w:p w14:paraId="241AC172"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в) ціни, попиту, пропозиції або обсягів торгів на організованих ринках базовим активом фінансових інструментів;</w:t>
            </w:r>
          </w:p>
          <w:p w14:paraId="0876F1FB"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г) значення базового показника деривативного контракту;</w:t>
            </w:r>
          </w:p>
          <w:p w14:paraId="317BF9AC" w14:textId="7AB18CE4"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4) укладання деривативних контрактів, купівля або продаж фінансових інструментів та/або інших активів, допущених до торгів на організованому ринку, перед закриттям торговельної сесії організованого ринку з метою введення в оману учасників ринку щодо цін, які склалися наприкінці торговельної сесії; </w:t>
            </w:r>
          </w:p>
          <w:p w14:paraId="7C260B5B"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5) неодноразове протягом торговельного дня укладення двома або більше учасниками торгів деривативних контрактів, договорів купівлі-продажу фінансових інструментів та/або інших активів, допущених до торгів на організованому ринку, у власних інтересах чи за рахунок одного і того ж клієнта, за якими </w:t>
            </w:r>
            <w:r w:rsidRPr="00286216">
              <w:rPr>
                <w:color w:val="000000" w:themeColor="text1"/>
                <w:spacing w:val="-2"/>
                <w:szCs w:val="18"/>
              </w:rPr>
              <w:lastRenderedPageBreak/>
              <w:t>кожен з учасників торгів виступає як сторона деривативного контракту, продавець та покупець одного і того ж фінансового інструменту та/або іншого активу, допущеного до торгів на організованому ринку, за однаковою ціною в однаковій кількості або які не мають очевидного економічного сенсу або очевидної законної мети хоча б для одного з учасників торгів (або їх клієнтів), а також надання клієнтом кільком учасникам торгів доручення на укладення в його інтересах одного або більше деривативних контрактів, договорів з одним і тим самим фінансовим інструментом та/або іншим активом, допущеним до торгів на організованому ринку, під час яких покупець та продавець діють в інтересах клієнта;</w:t>
            </w:r>
          </w:p>
          <w:p w14:paraId="5A8E9406" w14:textId="6F400B8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6) здійснення протягом торговельного дня або намагання здійснити операції чи подання надсилання заявки або котирування щодо укладення деривативних контрактів, купівлю або продаж фінансових інструментів та/або інших активів, допущених до торгів на організованому ринку, а також фінансових інструментів та/або продукції, що є базовим активом фінансових інструментів, що не мають очевидного економічного сенсу або очевидної законної мети, якщо за результатами таких торгів власник таких активів, фінансових інструментів та/або продукції не змінюється;</w:t>
            </w:r>
          </w:p>
          <w:p w14:paraId="2AD18EA9"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7) неодноразове невиконання учасником організованого ринку зобов’язань за контрактами, укладеними протягом торговельного дня у власних інтересах або за рахунок клієнтів, якщо укладення зазначених контрактів спричинило значне збільшення або зниження ціни деривативного контракту, іншого фінансового інструменту та/або іншого активу, допущеного до торгів на організованому ринку, за умови, що такі контракти мали суттєвий вплив на ціну такого активу;</w:t>
            </w:r>
          </w:p>
          <w:p w14:paraId="445AB320" w14:textId="5C1A068F"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8) укладення на організованому ринку деривативних контрактів та договорів  щодо фінансових інструментів та/або інших активів, допущених до торгів на організованому ринку, за ціною, що суттєво відхиляється від ціни відповідного деривативного контракту, фінансового інструменту та/або активу, яка склалася на такому організованому ринку тієї самої торговельної сесії (поточна ціна) шляхом подання безадресних заявок або котирувань за умови що, договори укладені від імені та/або за рахунок осіб, між якими (працівниками яких) існувала попередня </w:t>
            </w:r>
            <w:r w:rsidRPr="00286216">
              <w:rPr>
                <w:color w:val="000000" w:themeColor="text1"/>
                <w:spacing w:val="-2"/>
                <w:szCs w:val="18"/>
              </w:rPr>
              <w:lastRenderedPageBreak/>
              <w:t>домовленість про укладення деривативного контракту, придбання або продаж фінансового інструменту та/або іншого активу, допущеного до торгів на організованому ринку, за ціною, що суттєво відхиляється від поточної ціни.</w:t>
            </w:r>
          </w:p>
          <w:p w14:paraId="6696A246"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2. Не є маніпулюванням на організованих ринках дії, що мають на меті: </w:t>
            </w:r>
          </w:p>
          <w:p w14:paraId="3BDC347E"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1) підтримання цін на емісійні цінні папери у зв’язку з їх публічним розміщенням або обігом, за умови, що такі дії вчиняються учасником  організованого ринку капіталу на підставі договору про виконання функцій маркет-мейкера з оператором відповідного організованого ринку ;</w:t>
            </w:r>
          </w:p>
          <w:p w14:paraId="09D6902E"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 xml:space="preserve">2) підтримання цін на цінні папери відкритих або інтервальних інститутів спільного інвестування у зв’язку з їх викупом у випадках, установлених законом; </w:t>
            </w:r>
          </w:p>
          <w:p w14:paraId="4B44A345" w14:textId="77777777" w:rsidR="004D649E" w:rsidRPr="00286216" w:rsidRDefault="004D649E" w:rsidP="004D649E">
            <w:pPr>
              <w:pStyle w:val="StyleProp"/>
              <w:spacing w:line="180" w:lineRule="exact"/>
              <w:rPr>
                <w:color w:val="000000" w:themeColor="text1"/>
                <w:spacing w:val="-2"/>
                <w:szCs w:val="18"/>
              </w:rPr>
            </w:pPr>
            <w:r w:rsidRPr="00286216">
              <w:rPr>
                <w:color w:val="000000" w:themeColor="text1"/>
                <w:spacing w:val="-2"/>
                <w:szCs w:val="18"/>
              </w:rPr>
              <w:t>3) підтримання цін, попиту, пропозиції або обсягів укладення деривативних контрактів, торгів фінансовими інструментами та/або іншими активами, допущеними до торгів на організованому ринку, за умови, що такі дії вчиняються учасником на підставі  договору про виконання функцій маркет-мейкера з оператором такого ринку.</w:t>
            </w:r>
          </w:p>
          <w:p w14:paraId="3D12EB3E" w14:textId="18439748" w:rsidR="004D649E" w:rsidRPr="00286216" w:rsidRDefault="004D649E" w:rsidP="004D649E">
            <w:pPr>
              <w:pStyle w:val="StyleProp"/>
              <w:spacing w:line="180" w:lineRule="exact"/>
              <w:rPr>
                <w:color w:val="000000" w:themeColor="text1"/>
                <w:spacing w:val="-4"/>
                <w:szCs w:val="18"/>
              </w:rPr>
            </w:pPr>
            <w:r w:rsidRPr="00286216">
              <w:rPr>
                <w:color w:val="000000" w:themeColor="text1"/>
                <w:spacing w:val="-4"/>
              </w:rPr>
              <w:t>Не є маніпулюванням на організованих ринках дії, що вчиняються Національним банком України, органами державної влади у зв’язку з реалізацією грошово-кредитної політики або політики управління державним боргом.</w:t>
            </w:r>
          </w:p>
          <w:p w14:paraId="0765F65A" w14:textId="686D9C7F" w:rsidR="004D649E" w:rsidRPr="00286216" w:rsidRDefault="004D649E" w:rsidP="004D649E">
            <w:pPr>
              <w:pStyle w:val="StyleProp"/>
              <w:spacing w:line="180" w:lineRule="exact"/>
              <w:rPr>
                <w:color w:val="000000" w:themeColor="text1"/>
                <w:szCs w:val="18"/>
              </w:rPr>
            </w:pPr>
            <w:r w:rsidRPr="00286216">
              <w:rPr>
                <w:color w:val="000000" w:themeColor="text1"/>
                <w:spacing w:val="-2"/>
              </w:rPr>
              <w:t>Положення цієї статті поширюються на товарні біржі, що мають ліцензію на провадження професійної діяльності з організації торгівлі продукцією</w:t>
            </w:r>
            <w:r w:rsidRPr="00286216">
              <w:rPr>
                <w:color w:val="000000" w:themeColor="text1"/>
              </w:rPr>
              <w:t>, отриману відповідно до вимог Закону України "Про товарні біржі".</w:t>
            </w:r>
          </w:p>
        </w:tc>
        <w:tc>
          <w:tcPr>
            <w:tcW w:w="1987" w:type="dxa"/>
          </w:tcPr>
          <w:p w14:paraId="6DA892AA"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0D2F0226" w14:textId="77777777" w:rsidR="004D649E" w:rsidRPr="00286216" w:rsidRDefault="004D649E" w:rsidP="004D649E">
            <w:pPr>
              <w:pStyle w:val="StyleZakonu"/>
              <w:rPr>
                <w:color w:val="000000" w:themeColor="text1"/>
              </w:rPr>
            </w:pPr>
            <w:r w:rsidRPr="00286216">
              <w:rPr>
                <w:color w:val="000000" w:themeColor="text1"/>
              </w:rPr>
              <w:t xml:space="preserve">1) здійснення або намагання здійснити операції чи </w:t>
            </w:r>
            <w:r w:rsidRPr="00286216">
              <w:rPr>
                <w:color w:val="000000" w:themeColor="text1"/>
                <w:szCs w:val="18"/>
              </w:rPr>
              <w:t xml:space="preserve">надсилання заявки або котирування щодо </w:t>
            </w:r>
            <w:r w:rsidRPr="00286216">
              <w:rPr>
                <w:color w:val="000000" w:themeColor="text1"/>
              </w:rPr>
              <w:t xml:space="preserve">укладення деривативних контрактів, купівлю або продаж фінансових інструментів та/або інших активів, допущених до торгів на організованих ринках, які </w:t>
            </w:r>
            <w:r w:rsidRPr="00286216">
              <w:rPr>
                <w:color w:val="000000" w:themeColor="text1"/>
              </w:rPr>
              <w:lastRenderedPageBreak/>
              <w:t>надають або можуть надавати уявлення щодо поставки, придбання або ціни деривативного контракту, фінансового інструменту та/або активу, допущеного до торгів на організованих ринках, що не відповідають дійсності, та вчиняються одноосібно або за попередньою змовою групою осіб і призводять до встановлення інших цін, ніж ті, що існували б за відсутності таких операцій або заявок;</w:t>
            </w:r>
          </w:p>
          <w:p w14:paraId="5F72354F" w14:textId="77777777" w:rsidR="004D649E" w:rsidRPr="00286216" w:rsidRDefault="004D649E" w:rsidP="004D649E">
            <w:pPr>
              <w:pStyle w:val="StyleZakonu"/>
              <w:rPr>
                <w:color w:val="000000" w:themeColor="text1"/>
              </w:rPr>
            </w:pPr>
            <w:r w:rsidRPr="00286216">
              <w:rPr>
                <w:color w:val="000000" w:themeColor="text1"/>
              </w:rPr>
              <w:t xml:space="preserve">2) здійснення або намагання здійснити операції чи </w:t>
            </w:r>
            <w:r w:rsidRPr="00286216">
              <w:rPr>
                <w:color w:val="000000" w:themeColor="text1"/>
                <w:szCs w:val="18"/>
              </w:rPr>
              <w:t>надсилання заявки або котирування щодо</w:t>
            </w:r>
            <w:r w:rsidRPr="00286216">
              <w:rPr>
                <w:color w:val="000000" w:themeColor="text1"/>
              </w:rPr>
              <w:t xml:space="preserve"> укладення деривативних контрактів, купівлю або продаж фінансових інструментів та/або інших активів, допущених до торгів на організованих ринках, шляхом вчинення умисних протиправних дій;</w:t>
            </w:r>
          </w:p>
          <w:p w14:paraId="3B73F8CF" w14:textId="77777777" w:rsidR="004D649E" w:rsidRPr="00286216" w:rsidRDefault="004D649E" w:rsidP="004D649E">
            <w:pPr>
              <w:pStyle w:val="StyleZakonu"/>
              <w:rPr>
                <w:color w:val="000000" w:themeColor="text1"/>
              </w:rPr>
            </w:pPr>
            <w:r w:rsidRPr="00286216">
              <w:rPr>
                <w:color w:val="000000" w:themeColor="text1"/>
              </w:rPr>
              <w:t>3) поширення через засоби масової інформації, у тому числі електронні засоби масової інформації, або будь-яким іншим способом інформації, що не відповідає дійсності, зокрема недостовірної інформації, у разі коли особа, яка поширила таку інформацію, знала або повинна була знати про недостовірність такої інформації , що призводить або може призвести до введення в оману учасників ринку щодо:</w:t>
            </w:r>
          </w:p>
          <w:p w14:paraId="6B1CE042" w14:textId="77777777" w:rsidR="004D649E" w:rsidRPr="00286216" w:rsidRDefault="004D649E" w:rsidP="004D649E">
            <w:pPr>
              <w:pStyle w:val="StyleZakonu"/>
              <w:rPr>
                <w:color w:val="000000" w:themeColor="text1"/>
              </w:rPr>
            </w:pPr>
            <w:r w:rsidRPr="00286216">
              <w:rPr>
                <w:color w:val="000000" w:themeColor="text1"/>
              </w:rPr>
              <w:t xml:space="preserve">а) ціни, попиту, пропозиції або обсягів укладених на організованих ринках фінансових інструментів та правочинів щодо них; </w:t>
            </w:r>
          </w:p>
          <w:p w14:paraId="4DD4339F" w14:textId="77777777" w:rsidR="004D649E" w:rsidRPr="00286216" w:rsidRDefault="004D649E" w:rsidP="004D649E">
            <w:pPr>
              <w:pStyle w:val="StyleZakonu"/>
              <w:rPr>
                <w:color w:val="000000" w:themeColor="text1"/>
              </w:rPr>
            </w:pPr>
            <w:r w:rsidRPr="00286216">
              <w:rPr>
                <w:color w:val="000000" w:themeColor="text1"/>
              </w:rPr>
              <w:t>б) ціни, попиту, пропозиції або обсягів торгів іншими, ніж зазначено у пункті «а», активами, допущеними до торгів на організованих ринках;</w:t>
            </w:r>
          </w:p>
          <w:p w14:paraId="60CD271D" w14:textId="77777777" w:rsidR="004D649E" w:rsidRPr="00286216" w:rsidRDefault="004D649E" w:rsidP="004D649E">
            <w:pPr>
              <w:pStyle w:val="StyleZakonu"/>
              <w:rPr>
                <w:color w:val="000000" w:themeColor="text1"/>
              </w:rPr>
            </w:pPr>
            <w:r w:rsidRPr="00286216">
              <w:rPr>
                <w:color w:val="000000" w:themeColor="text1"/>
              </w:rPr>
              <w:t>в) ціни, попиту, пропозиції або обсягів торгів на організованих ринках базовим активом фінансових інструментів;</w:t>
            </w:r>
          </w:p>
          <w:p w14:paraId="396260E6" w14:textId="77777777" w:rsidR="004D649E" w:rsidRPr="00286216" w:rsidRDefault="004D649E" w:rsidP="004D649E">
            <w:pPr>
              <w:pStyle w:val="StyleZakonu"/>
              <w:rPr>
                <w:color w:val="000000" w:themeColor="text1"/>
                <w:szCs w:val="18"/>
              </w:rPr>
            </w:pPr>
            <w:r w:rsidRPr="00286216">
              <w:rPr>
                <w:color w:val="000000" w:themeColor="text1"/>
                <w:szCs w:val="18"/>
              </w:rPr>
              <w:t>г) значення базового показника деривативного контракту;</w:t>
            </w:r>
          </w:p>
          <w:p w14:paraId="0E2C1779" w14:textId="77777777" w:rsidR="004D649E" w:rsidRPr="00286216" w:rsidRDefault="004D649E" w:rsidP="004D649E">
            <w:pPr>
              <w:pStyle w:val="StyleZakonu"/>
              <w:rPr>
                <w:color w:val="000000" w:themeColor="text1"/>
              </w:rPr>
            </w:pPr>
            <w:r w:rsidRPr="00286216">
              <w:rPr>
                <w:color w:val="000000" w:themeColor="text1"/>
              </w:rPr>
              <w:t xml:space="preserve">4) укладання деривативних контрактів, купівля або продаж фінансових інструментів та/або інших активів, допущених до торгів на організованому ринку, перед закриттям торговельної сесії організованого ринку з метою введення в оману учасників ринку щодо цін, що склалися наприкінці торговельної сесії; </w:t>
            </w:r>
          </w:p>
          <w:p w14:paraId="4C8D2E1C" w14:textId="77777777" w:rsidR="004D649E" w:rsidRPr="00286216" w:rsidRDefault="004D649E" w:rsidP="004D649E">
            <w:pPr>
              <w:pStyle w:val="StyleZakonu"/>
              <w:rPr>
                <w:color w:val="000000" w:themeColor="text1"/>
              </w:rPr>
            </w:pPr>
            <w:r w:rsidRPr="00286216">
              <w:rPr>
                <w:color w:val="000000" w:themeColor="text1"/>
              </w:rPr>
              <w:t xml:space="preserve">5) неодноразове протягом торговельного дня укладання двома або більше учасниками торгів </w:t>
            </w:r>
            <w:r w:rsidRPr="00286216">
              <w:rPr>
                <w:color w:val="000000" w:themeColor="text1"/>
              </w:rPr>
              <w:lastRenderedPageBreak/>
              <w:t>деривативних контрактів, договорів купівлі-продажу фінансових інструментів та/або інших активів, допущених до торгів на організованому ринку, у власних інтересах чи за рахунок одного і того  самого клієнта, за якими кожен з учасників торгів виступає як сторона деривативного контракту, продавець та покупець одного і того самого фінансового інструменту та/або іншого активу, допущеного до торгів на організованому ринку, за однаковою ціною в однаковій кількості або які не мають очевидного економічного сенсу або очевидної законної мети хоча б для одного з учасників торгів або їх клієнтів, а також надання клієнтом кільком учасникам торгів доручення на укладення в його інтересах одного або більше деривативних контрактів, договорів з одним і тим самим фінансовим інструментом та/або іншим активом, допущеним до торгів на організованому ринку, під час яких покупець та продавець діють в інтересах клієнта;</w:t>
            </w:r>
          </w:p>
          <w:p w14:paraId="5F2EC801" w14:textId="77777777" w:rsidR="004D649E" w:rsidRPr="00286216" w:rsidRDefault="004D649E" w:rsidP="004D649E">
            <w:pPr>
              <w:pStyle w:val="StyleZakonu"/>
              <w:rPr>
                <w:color w:val="000000" w:themeColor="text1"/>
              </w:rPr>
            </w:pPr>
            <w:r w:rsidRPr="00286216">
              <w:rPr>
                <w:color w:val="000000" w:themeColor="text1"/>
              </w:rPr>
              <w:t xml:space="preserve">6) здійснення протягом торговельного дня або намагання здійснити операції чи </w:t>
            </w:r>
            <w:r w:rsidRPr="00286216">
              <w:rPr>
                <w:color w:val="000000" w:themeColor="text1"/>
                <w:szCs w:val="18"/>
              </w:rPr>
              <w:t>надсилання заявки або котирування щодо</w:t>
            </w:r>
            <w:r w:rsidRPr="00286216">
              <w:rPr>
                <w:color w:val="000000" w:themeColor="text1"/>
              </w:rPr>
              <w:t xml:space="preserve"> укладення деривативних контрактів, купівлю або продаж фінансових інструментів та/або інших активів, допущених до торгів на організованому ринку, а також фінансових інструментів та/або продукції, що є базовим активом фінансових інструментів, що не мають очевидного економічного сенсу або очевидної законної мети, якщо за результатами таких торгів власник таких активів, фінансових інструментів та/або продукції не змінюється;</w:t>
            </w:r>
          </w:p>
          <w:p w14:paraId="20BBB46B" w14:textId="77777777" w:rsidR="004D649E" w:rsidRPr="00286216" w:rsidRDefault="004D649E" w:rsidP="004D649E">
            <w:pPr>
              <w:pStyle w:val="StyleZakonu"/>
              <w:rPr>
                <w:color w:val="000000" w:themeColor="text1"/>
              </w:rPr>
            </w:pPr>
            <w:r w:rsidRPr="00286216">
              <w:rPr>
                <w:color w:val="000000" w:themeColor="text1"/>
              </w:rPr>
              <w:t>7) неодноразове невиконання учасником організованого ринку зобов’язань за контрактами, укладеними протягом торговельного дня у власних інтересах або за рахунок клієнтів, якщо укладення зазначених контрактів призвело до   істотного збільшення або зниження ціни деривативного контракту, іншого фінансового інструменту та/або іншого активу, допущеного до торгів на організованому ринку, за умови що такі контракти мали  вагомий істотний вплив на ціну такого активу;</w:t>
            </w:r>
          </w:p>
          <w:p w14:paraId="63B44437" w14:textId="5C052F7B" w:rsidR="004D649E" w:rsidRPr="00286216" w:rsidRDefault="004D649E" w:rsidP="004D649E">
            <w:pPr>
              <w:pStyle w:val="StyleZakonu"/>
              <w:rPr>
                <w:color w:val="000000" w:themeColor="text1"/>
              </w:rPr>
            </w:pPr>
            <w:r w:rsidRPr="00286216">
              <w:rPr>
                <w:color w:val="000000" w:themeColor="text1"/>
              </w:rPr>
              <w:t xml:space="preserve">8) укладення на організованому ринку деривативних контрактів та договорів  щодо фінансових інструментів та/або інших активів, допущених до торгів на організованому ринку, за </w:t>
            </w:r>
            <w:r w:rsidRPr="00286216">
              <w:rPr>
                <w:color w:val="000000" w:themeColor="text1"/>
              </w:rPr>
              <w:lastRenderedPageBreak/>
              <w:t xml:space="preserve">ціною, що суттєво відхиляється від ціни відповідного деривативного контракту, фінансового інструменту та/або активу, що склалася на такому організованому ринку тієї самої торговельної сесії (поточна ціна) шляхом подання безадресних </w:t>
            </w:r>
            <w:r w:rsidRPr="00286216">
              <w:rPr>
                <w:color w:val="000000" w:themeColor="text1"/>
                <w:szCs w:val="18"/>
              </w:rPr>
              <w:t>заявок або котирувань</w:t>
            </w:r>
            <w:r w:rsidRPr="00286216">
              <w:rPr>
                <w:color w:val="000000" w:themeColor="text1"/>
              </w:rPr>
              <w:t>, за умови укладення договорів від імені та/або за рахунок осіб, між якими (працівниками яких) існувала попередня домовленість про укладення деривативного контракту, придбання або продаж фінансового інструменту та/або іншого активу, допущеного до торгів на організованому ринку, за ціною, що суттєво відхиляється від поточної ціни.</w:t>
            </w:r>
          </w:p>
        </w:tc>
      </w:tr>
      <w:tr w:rsidR="004D649E" w:rsidRPr="00286216" w14:paraId="5A6B09DD" w14:textId="77777777" w:rsidTr="00091AA5">
        <w:tc>
          <w:tcPr>
            <w:tcW w:w="576" w:type="dxa"/>
          </w:tcPr>
          <w:p w14:paraId="2ED77F22" w14:textId="77777777" w:rsidR="004D649E" w:rsidRPr="00286216" w:rsidRDefault="004D649E" w:rsidP="004D649E">
            <w:pPr>
              <w:pStyle w:val="StyleWisnow"/>
              <w:rPr>
                <w:color w:val="000000" w:themeColor="text1"/>
              </w:rPr>
            </w:pPr>
            <w:bookmarkStart w:id="2030" w:name="n2262" w:colFirst="0" w:colLast="0"/>
            <w:bookmarkEnd w:id="2029"/>
            <w:r w:rsidRPr="00286216">
              <w:rPr>
                <w:color w:val="000000" w:themeColor="text1"/>
              </w:rPr>
              <w:lastRenderedPageBreak/>
              <w:t>2262.</w:t>
            </w:r>
          </w:p>
        </w:tc>
        <w:tc>
          <w:tcPr>
            <w:tcW w:w="4818" w:type="dxa"/>
          </w:tcPr>
          <w:p w14:paraId="1C350E73" w14:textId="77777777" w:rsidR="004D649E" w:rsidRPr="00286216" w:rsidRDefault="004D649E" w:rsidP="004D649E">
            <w:pPr>
              <w:pStyle w:val="StyleZakonu"/>
              <w:rPr>
                <w:color w:val="000000" w:themeColor="text1"/>
              </w:rPr>
            </w:pPr>
            <w:r w:rsidRPr="00286216">
              <w:rPr>
                <w:color w:val="000000" w:themeColor="text1"/>
              </w:rPr>
              <w:t>2) здійснення або намагання здійснити операції чи надання наказу та/або розпорядження на укладання деривативних контрактів, купівлю або продаж фінансових інструментів та/або активів, допущених до торгів на організованих ринках, шляхом вчинення умисних протиправних дій, в тому числі шахрайства чи використання інсайдерської інформації;</w:t>
            </w:r>
          </w:p>
        </w:tc>
        <w:tc>
          <w:tcPr>
            <w:tcW w:w="3686" w:type="dxa"/>
          </w:tcPr>
          <w:p w14:paraId="3A78161D" w14:textId="7D038065"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1089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BF52330" w14:textId="77777777" w:rsidR="004D649E" w:rsidRPr="00286216" w:rsidRDefault="004D649E" w:rsidP="004D649E">
            <w:pPr>
              <w:pStyle w:val="StyleProp"/>
              <w:spacing w:line="180" w:lineRule="exact"/>
              <w:rPr>
                <w:color w:val="000000" w:themeColor="text1"/>
                <w:szCs w:val="18"/>
              </w:rPr>
            </w:pPr>
            <w:r w:rsidRPr="00286216">
              <w:rPr>
                <w:color w:val="000000" w:themeColor="text1"/>
                <w:szCs w:val="18"/>
              </w:rPr>
              <w:t>В пункті 2 частини першої статті 134 слова «в тому числі шахрайства чи використання інсайдерської інформації» виключити</w:t>
            </w:r>
          </w:p>
        </w:tc>
        <w:tc>
          <w:tcPr>
            <w:tcW w:w="1987" w:type="dxa"/>
          </w:tcPr>
          <w:p w14:paraId="7653BB4E"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Враховано редакційно</w:t>
            </w:r>
          </w:p>
        </w:tc>
        <w:tc>
          <w:tcPr>
            <w:tcW w:w="4818" w:type="dxa"/>
          </w:tcPr>
          <w:p w14:paraId="05459B7F" w14:textId="77777777" w:rsidR="004D649E" w:rsidRPr="00286216" w:rsidRDefault="004D649E" w:rsidP="004D649E">
            <w:pPr>
              <w:pStyle w:val="StyleZakonu"/>
              <w:rPr>
                <w:color w:val="000000" w:themeColor="text1"/>
              </w:rPr>
            </w:pPr>
          </w:p>
        </w:tc>
      </w:tr>
      <w:tr w:rsidR="004D649E" w:rsidRPr="00286216" w14:paraId="49A82008" w14:textId="77777777" w:rsidTr="00091AA5">
        <w:tc>
          <w:tcPr>
            <w:tcW w:w="576" w:type="dxa"/>
          </w:tcPr>
          <w:p w14:paraId="57663C00" w14:textId="77777777" w:rsidR="004D649E" w:rsidRPr="00286216" w:rsidRDefault="004D649E" w:rsidP="004D649E">
            <w:pPr>
              <w:pStyle w:val="StyleWisnow"/>
              <w:rPr>
                <w:color w:val="000000" w:themeColor="text1"/>
              </w:rPr>
            </w:pPr>
            <w:bookmarkStart w:id="2031" w:name="n2263" w:colFirst="0" w:colLast="0"/>
            <w:bookmarkEnd w:id="2030"/>
            <w:r w:rsidRPr="00286216">
              <w:rPr>
                <w:color w:val="000000" w:themeColor="text1"/>
              </w:rPr>
              <w:t>2263.</w:t>
            </w:r>
          </w:p>
        </w:tc>
        <w:tc>
          <w:tcPr>
            <w:tcW w:w="4818" w:type="dxa"/>
          </w:tcPr>
          <w:p w14:paraId="0818A83E" w14:textId="77777777" w:rsidR="004D649E" w:rsidRPr="00286216" w:rsidRDefault="004D649E" w:rsidP="004D649E">
            <w:pPr>
              <w:pStyle w:val="StyleZakonu"/>
              <w:rPr>
                <w:color w:val="000000" w:themeColor="text1"/>
              </w:rPr>
            </w:pPr>
            <w:r w:rsidRPr="00286216">
              <w:rPr>
                <w:color w:val="000000" w:themeColor="text1"/>
              </w:rPr>
              <w:t xml:space="preserve">3) поширення інформації через засоби масової інформації, у тому числі електронні засоби масової інформації, або будь-якими іншими способами, що не відповідають дійсності, зокрема поширення недостовірної інформації, у разі коли особа, яка поширила таку інформацію, знала або повинна була </w:t>
            </w:r>
            <w:r w:rsidRPr="00286216">
              <w:rPr>
                <w:color w:val="000000" w:themeColor="text1"/>
              </w:rPr>
              <w:lastRenderedPageBreak/>
              <w:t>знати, що ця інформація була недостовірною, та яке призводить або може призвести до введення в оману учасників ринку щодо:</w:t>
            </w:r>
          </w:p>
        </w:tc>
        <w:tc>
          <w:tcPr>
            <w:tcW w:w="3686" w:type="dxa"/>
          </w:tcPr>
          <w:p w14:paraId="34FAF6A4" w14:textId="77777777" w:rsidR="004D649E" w:rsidRPr="00286216" w:rsidRDefault="004D649E" w:rsidP="004D649E">
            <w:pPr>
              <w:pStyle w:val="StyleProp"/>
              <w:rPr>
                <w:color w:val="000000" w:themeColor="text1"/>
                <w:szCs w:val="18"/>
              </w:rPr>
            </w:pPr>
          </w:p>
        </w:tc>
        <w:tc>
          <w:tcPr>
            <w:tcW w:w="1987" w:type="dxa"/>
          </w:tcPr>
          <w:p w14:paraId="1AD4BA30"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6DF77749" w14:textId="77777777" w:rsidR="004D649E" w:rsidRPr="00286216" w:rsidRDefault="004D649E" w:rsidP="004D649E">
            <w:pPr>
              <w:pStyle w:val="StyleZakonu"/>
              <w:rPr>
                <w:color w:val="000000" w:themeColor="text1"/>
              </w:rPr>
            </w:pPr>
          </w:p>
        </w:tc>
      </w:tr>
      <w:tr w:rsidR="004D649E" w:rsidRPr="00286216" w14:paraId="6BA3C81F" w14:textId="77777777" w:rsidTr="00091AA5">
        <w:tc>
          <w:tcPr>
            <w:tcW w:w="576" w:type="dxa"/>
          </w:tcPr>
          <w:p w14:paraId="51E1BE21" w14:textId="77777777" w:rsidR="004D649E" w:rsidRPr="00286216" w:rsidRDefault="004D649E" w:rsidP="004D649E">
            <w:pPr>
              <w:pStyle w:val="StyleWisnow"/>
              <w:rPr>
                <w:color w:val="000000" w:themeColor="text1"/>
              </w:rPr>
            </w:pPr>
            <w:bookmarkStart w:id="2032" w:name="n2264" w:colFirst="0" w:colLast="0"/>
            <w:bookmarkEnd w:id="2031"/>
            <w:r w:rsidRPr="00286216">
              <w:rPr>
                <w:color w:val="000000" w:themeColor="text1"/>
              </w:rPr>
              <w:t>2264.</w:t>
            </w:r>
          </w:p>
        </w:tc>
        <w:tc>
          <w:tcPr>
            <w:tcW w:w="4818" w:type="dxa"/>
          </w:tcPr>
          <w:p w14:paraId="5C47CF0E" w14:textId="77777777" w:rsidR="004D649E" w:rsidRPr="00286216" w:rsidRDefault="004D649E" w:rsidP="004D649E">
            <w:pPr>
              <w:pStyle w:val="StyleZakonu"/>
              <w:rPr>
                <w:color w:val="000000" w:themeColor="text1"/>
              </w:rPr>
            </w:pPr>
            <w:r w:rsidRPr="00286216">
              <w:rPr>
                <w:color w:val="000000" w:themeColor="text1"/>
              </w:rPr>
              <w:t>а) ціни, попиту, пропозиції або обсягів укладених на організованих ринках деривативних контрактів;</w:t>
            </w:r>
          </w:p>
        </w:tc>
        <w:tc>
          <w:tcPr>
            <w:tcW w:w="3686" w:type="dxa"/>
          </w:tcPr>
          <w:p w14:paraId="49DF2879" w14:textId="77777777" w:rsidR="004D649E" w:rsidRPr="00286216" w:rsidRDefault="004D649E" w:rsidP="004D649E">
            <w:pPr>
              <w:pStyle w:val="StyleProp"/>
              <w:rPr>
                <w:color w:val="000000" w:themeColor="text1"/>
                <w:szCs w:val="18"/>
              </w:rPr>
            </w:pPr>
          </w:p>
        </w:tc>
        <w:tc>
          <w:tcPr>
            <w:tcW w:w="1987" w:type="dxa"/>
          </w:tcPr>
          <w:p w14:paraId="11208260"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27365D3E" w14:textId="77777777" w:rsidR="004D649E" w:rsidRPr="00286216" w:rsidRDefault="004D649E" w:rsidP="004D649E">
            <w:pPr>
              <w:pStyle w:val="StyleZakonu"/>
              <w:rPr>
                <w:color w:val="000000" w:themeColor="text1"/>
              </w:rPr>
            </w:pPr>
          </w:p>
        </w:tc>
      </w:tr>
      <w:tr w:rsidR="004D649E" w:rsidRPr="00286216" w14:paraId="605990EE" w14:textId="77777777" w:rsidTr="00091AA5">
        <w:tc>
          <w:tcPr>
            <w:tcW w:w="576" w:type="dxa"/>
          </w:tcPr>
          <w:p w14:paraId="05413ABC" w14:textId="77777777" w:rsidR="004D649E" w:rsidRPr="00286216" w:rsidRDefault="004D649E" w:rsidP="004D649E">
            <w:pPr>
              <w:pStyle w:val="StyleWisnow"/>
              <w:rPr>
                <w:color w:val="000000" w:themeColor="text1"/>
              </w:rPr>
            </w:pPr>
            <w:bookmarkStart w:id="2033" w:name="n2265" w:colFirst="0" w:colLast="0"/>
            <w:bookmarkEnd w:id="2032"/>
            <w:r w:rsidRPr="00286216">
              <w:rPr>
                <w:color w:val="000000" w:themeColor="text1"/>
              </w:rPr>
              <w:t>2265.</w:t>
            </w:r>
          </w:p>
        </w:tc>
        <w:tc>
          <w:tcPr>
            <w:tcW w:w="4818" w:type="dxa"/>
          </w:tcPr>
          <w:p w14:paraId="3277004F" w14:textId="77777777" w:rsidR="004D649E" w:rsidRPr="00286216" w:rsidRDefault="004D649E" w:rsidP="004D649E">
            <w:pPr>
              <w:pStyle w:val="StyleZakonu"/>
              <w:rPr>
                <w:color w:val="000000" w:themeColor="text1"/>
              </w:rPr>
            </w:pPr>
            <w:r w:rsidRPr="00286216">
              <w:rPr>
                <w:color w:val="000000" w:themeColor="text1"/>
              </w:rPr>
              <w:t>б) ціни, попиту, пропозиції або обсягів торгів на організованих ринках активами, допущеними до торгів на організованих ринках;</w:t>
            </w:r>
          </w:p>
        </w:tc>
        <w:tc>
          <w:tcPr>
            <w:tcW w:w="3686" w:type="dxa"/>
          </w:tcPr>
          <w:p w14:paraId="1A53B184" w14:textId="77777777" w:rsidR="004D649E" w:rsidRPr="00286216" w:rsidRDefault="004D649E" w:rsidP="004D649E">
            <w:pPr>
              <w:pStyle w:val="StyleProp"/>
              <w:rPr>
                <w:color w:val="000000" w:themeColor="text1"/>
                <w:szCs w:val="18"/>
              </w:rPr>
            </w:pPr>
          </w:p>
        </w:tc>
        <w:tc>
          <w:tcPr>
            <w:tcW w:w="1987" w:type="dxa"/>
          </w:tcPr>
          <w:p w14:paraId="17CDCE20"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D696BCE" w14:textId="77777777" w:rsidR="004D649E" w:rsidRPr="00286216" w:rsidRDefault="004D649E" w:rsidP="004D649E">
            <w:pPr>
              <w:pStyle w:val="StyleZakonu"/>
              <w:rPr>
                <w:color w:val="000000" w:themeColor="text1"/>
              </w:rPr>
            </w:pPr>
          </w:p>
        </w:tc>
      </w:tr>
      <w:tr w:rsidR="004D649E" w:rsidRPr="00286216" w14:paraId="3BDC364B" w14:textId="77777777" w:rsidTr="00091AA5">
        <w:tc>
          <w:tcPr>
            <w:tcW w:w="576" w:type="dxa"/>
          </w:tcPr>
          <w:p w14:paraId="6719E528" w14:textId="77777777" w:rsidR="004D649E" w:rsidRPr="00286216" w:rsidRDefault="004D649E" w:rsidP="004D649E">
            <w:pPr>
              <w:pStyle w:val="StyleWisnow"/>
              <w:rPr>
                <w:color w:val="000000" w:themeColor="text1"/>
              </w:rPr>
            </w:pPr>
            <w:bookmarkStart w:id="2034" w:name="n2266" w:colFirst="0" w:colLast="0"/>
            <w:bookmarkEnd w:id="2033"/>
            <w:r w:rsidRPr="00286216">
              <w:rPr>
                <w:color w:val="000000" w:themeColor="text1"/>
              </w:rPr>
              <w:t>2266.</w:t>
            </w:r>
          </w:p>
        </w:tc>
        <w:tc>
          <w:tcPr>
            <w:tcW w:w="4818" w:type="dxa"/>
          </w:tcPr>
          <w:p w14:paraId="6779228B" w14:textId="77777777" w:rsidR="004D649E" w:rsidRPr="00286216" w:rsidRDefault="004D649E" w:rsidP="004D649E">
            <w:pPr>
              <w:pStyle w:val="StyleZakonu"/>
              <w:rPr>
                <w:color w:val="000000" w:themeColor="text1"/>
              </w:rPr>
            </w:pPr>
            <w:r w:rsidRPr="00286216">
              <w:rPr>
                <w:color w:val="000000" w:themeColor="text1"/>
              </w:rPr>
              <w:t>в) ціни, попиту, пропозиції або обсягів торгів на організованих ринках базовим показником фінансових інструментів;</w:t>
            </w:r>
          </w:p>
        </w:tc>
        <w:tc>
          <w:tcPr>
            <w:tcW w:w="3686" w:type="dxa"/>
          </w:tcPr>
          <w:p w14:paraId="2D2F27BB" w14:textId="5B492440" w:rsidR="004D649E" w:rsidRPr="00286216" w:rsidRDefault="004D649E" w:rsidP="004D649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1090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51406BB" w14:textId="77777777" w:rsidR="004D649E" w:rsidRPr="00286216" w:rsidRDefault="004D649E" w:rsidP="004D649E">
            <w:pPr>
              <w:pStyle w:val="StyleProp"/>
              <w:rPr>
                <w:color w:val="000000" w:themeColor="text1"/>
                <w:szCs w:val="18"/>
              </w:rPr>
            </w:pPr>
            <w:r w:rsidRPr="00286216">
              <w:rPr>
                <w:color w:val="000000" w:themeColor="text1"/>
                <w:szCs w:val="18"/>
              </w:rPr>
              <w:t>У підпункті «в» пункту 3 частини першої статті 134 слово «показником» замінити словом «активом».</w:t>
            </w:r>
          </w:p>
        </w:tc>
        <w:tc>
          <w:tcPr>
            <w:tcW w:w="1987" w:type="dxa"/>
          </w:tcPr>
          <w:p w14:paraId="6C52E695" w14:textId="43B6B236"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Враховано редакційно</w:t>
            </w:r>
          </w:p>
          <w:p w14:paraId="4364DA3D" w14:textId="78C0DC08"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у запропонованій редакції статті</w:t>
            </w:r>
          </w:p>
        </w:tc>
        <w:tc>
          <w:tcPr>
            <w:tcW w:w="4818" w:type="dxa"/>
          </w:tcPr>
          <w:p w14:paraId="0F153699" w14:textId="77777777" w:rsidR="004D649E" w:rsidRPr="00286216" w:rsidRDefault="004D649E" w:rsidP="004D649E">
            <w:pPr>
              <w:pStyle w:val="StyleZakonu"/>
              <w:rPr>
                <w:color w:val="000000" w:themeColor="text1"/>
              </w:rPr>
            </w:pPr>
          </w:p>
        </w:tc>
      </w:tr>
      <w:tr w:rsidR="004D649E" w:rsidRPr="00286216" w14:paraId="6DE08EA3" w14:textId="77777777" w:rsidTr="00091AA5">
        <w:tc>
          <w:tcPr>
            <w:tcW w:w="576" w:type="dxa"/>
          </w:tcPr>
          <w:p w14:paraId="0A1BA341" w14:textId="77777777" w:rsidR="004D649E" w:rsidRPr="00286216" w:rsidRDefault="004D649E" w:rsidP="004D649E">
            <w:pPr>
              <w:pStyle w:val="StyleWisnow"/>
              <w:rPr>
                <w:color w:val="000000" w:themeColor="text1"/>
              </w:rPr>
            </w:pPr>
            <w:bookmarkStart w:id="2035" w:name="n2267" w:colFirst="0" w:colLast="0"/>
            <w:bookmarkEnd w:id="2034"/>
            <w:r w:rsidRPr="00286216">
              <w:rPr>
                <w:color w:val="000000" w:themeColor="text1"/>
              </w:rPr>
              <w:t>2267.</w:t>
            </w:r>
          </w:p>
        </w:tc>
        <w:tc>
          <w:tcPr>
            <w:tcW w:w="4818" w:type="dxa"/>
          </w:tcPr>
          <w:p w14:paraId="6152BD71" w14:textId="77777777" w:rsidR="004D649E" w:rsidRPr="00286216" w:rsidRDefault="004D649E" w:rsidP="004D649E">
            <w:pPr>
              <w:pStyle w:val="StyleZakonu"/>
              <w:rPr>
                <w:color w:val="000000" w:themeColor="text1"/>
              </w:rPr>
            </w:pPr>
            <w:r w:rsidRPr="00286216">
              <w:rPr>
                <w:color w:val="000000" w:themeColor="text1"/>
              </w:rPr>
              <w:t>4) укладання деривативних контрактів, купівля або продаж фінансових інструментів та/або активів, допущених до торгів на організованому ринку перед закриттям торговельної сесії організованого ринку з метою введення в оману учасників ринку щодо цін, які склалися наприкінці торговельної сесії;</w:t>
            </w:r>
          </w:p>
        </w:tc>
        <w:tc>
          <w:tcPr>
            <w:tcW w:w="3686" w:type="dxa"/>
          </w:tcPr>
          <w:p w14:paraId="3E3A872B" w14:textId="77777777" w:rsidR="004D649E" w:rsidRPr="00286216" w:rsidRDefault="004D649E" w:rsidP="004D649E">
            <w:pPr>
              <w:pStyle w:val="StyleProp"/>
              <w:rPr>
                <w:color w:val="000000" w:themeColor="text1"/>
                <w:szCs w:val="18"/>
              </w:rPr>
            </w:pPr>
          </w:p>
        </w:tc>
        <w:tc>
          <w:tcPr>
            <w:tcW w:w="1987" w:type="dxa"/>
          </w:tcPr>
          <w:p w14:paraId="666064C5"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B06C5D7" w14:textId="77777777" w:rsidR="004D649E" w:rsidRPr="00286216" w:rsidRDefault="004D649E" w:rsidP="004D649E">
            <w:pPr>
              <w:pStyle w:val="StyleZakonu"/>
              <w:rPr>
                <w:color w:val="000000" w:themeColor="text1"/>
              </w:rPr>
            </w:pPr>
          </w:p>
        </w:tc>
      </w:tr>
      <w:tr w:rsidR="004D649E" w:rsidRPr="00286216" w14:paraId="268AFF64" w14:textId="77777777" w:rsidTr="00091AA5">
        <w:tc>
          <w:tcPr>
            <w:tcW w:w="576" w:type="dxa"/>
          </w:tcPr>
          <w:p w14:paraId="5ACCF2A2" w14:textId="77777777" w:rsidR="004D649E" w:rsidRPr="00286216" w:rsidRDefault="004D649E" w:rsidP="004D649E">
            <w:pPr>
              <w:pStyle w:val="StyleWisnow"/>
              <w:rPr>
                <w:color w:val="000000" w:themeColor="text1"/>
              </w:rPr>
            </w:pPr>
            <w:bookmarkStart w:id="2036" w:name="n2268" w:colFirst="0" w:colLast="0"/>
            <w:bookmarkEnd w:id="2035"/>
            <w:r w:rsidRPr="00286216">
              <w:rPr>
                <w:color w:val="000000" w:themeColor="text1"/>
              </w:rPr>
              <w:t>2268.</w:t>
            </w:r>
          </w:p>
        </w:tc>
        <w:tc>
          <w:tcPr>
            <w:tcW w:w="4818" w:type="dxa"/>
          </w:tcPr>
          <w:p w14:paraId="03850E97" w14:textId="77777777" w:rsidR="004D649E" w:rsidRPr="00286216" w:rsidRDefault="004D649E" w:rsidP="004D649E">
            <w:pPr>
              <w:pStyle w:val="StyleZakonu"/>
              <w:rPr>
                <w:color w:val="000000" w:themeColor="text1"/>
              </w:rPr>
            </w:pPr>
            <w:r w:rsidRPr="00286216">
              <w:rPr>
                <w:color w:val="000000" w:themeColor="text1"/>
              </w:rPr>
              <w:t>5) неодноразове протягом торговельного дня укладення двома або більше учасниками торгів деривативних контрактів, договорів купівлі чи продажу фінансових інструментів та/або активів, допущених до торгів на організованому ринку, у власних інтересах чи за рахунок одного і того ж клієнта, за якими кожен з учасників торгів виступає як сторона деривативного контракту, продавець та покупець одного і того ж фінансового інструменту та/або активу, допущеного до торгів на організованому ринку, за однаковою ціною в однаковій кількості або які не мають очевидного економічного сенсу або очевидної законної мети хоча б для одного з учасників торгів (або їх клієнтів), а також надання клієнтом кільком учасникам торгів доручення на укладення в його інтересах одного або більше деривативних контрактів, договорів з одним і тим самим фінансовим інструментом та/або активом, допущеним до торгів на організованому ринку, під час яких покупець та продавець діють в інтересах клієнта;</w:t>
            </w:r>
          </w:p>
        </w:tc>
        <w:tc>
          <w:tcPr>
            <w:tcW w:w="3686" w:type="dxa"/>
          </w:tcPr>
          <w:p w14:paraId="228D7340" w14:textId="77777777" w:rsidR="004D649E" w:rsidRPr="00286216" w:rsidRDefault="004D649E" w:rsidP="004D649E">
            <w:pPr>
              <w:pStyle w:val="StyleProp"/>
              <w:rPr>
                <w:color w:val="000000" w:themeColor="text1"/>
                <w:szCs w:val="18"/>
              </w:rPr>
            </w:pPr>
          </w:p>
        </w:tc>
        <w:tc>
          <w:tcPr>
            <w:tcW w:w="1987" w:type="dxa"/>
          </w:tcPr>
          <w:p w14:paraId="278B212A"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F84039A" w14:textId="77777777" w:rsidR="004D649E" w:rsidRPr="00286216" w:rsidRDefault="004D649E" w:rsidP="004D649E">
            <w:pPr>
              <w:pStyle w:val="StyleZakonu"/>
              <w:rPr>
                <w:color w:val="000000" w:themeColor="text1"/>
              </w:rPr>
            </w:pPr>
          </w:p>
        </w:tc>
      </w:tr>
      <w:tr w:rsidR="004D649E" w:rsidRPr="00286216" w14:paraId="6DE0C4E7" w14:textId="77777777" w:rsidTr="00091AA5">
        <w:tc>
          <w:tcPr>
            <w:tcW w:w="576" w:type="dxa"/>
          </w:tcPr>
          <w:p w14:paraId="3D746E01" w14:textId="77777777" w:rsidR="004D649E" w:rsidRPr="00286216" w:rsidRDefault="004D649E" w:rsidP="004D649E">
            <w:pPr>
              <w:pStyle w:val="StyleWisnow"/>
              <w:rPr>
                <w:color w:val="000000" w:themeColor="text1"/>
              </w:rPr>
            </w:pPr>
            <w:bookmarkStart w:id="2037" w:name="n2269" w:colFirst="0" w:colLast="0"/>
            <w:bookmarkEnd w:id="2036"/>
            <w:r w:rsidRPr="00286216">
              <w:rPr>
                <w:color w:val="000000" w:themeColor="text1"/>
              </w:rPr>
              <w:t>2269.</w:t>
            </w:r>
          </w:p>
        </w:tc>
        <w:tc>
          <w:tcPr>
            <w:tcW w:w="4818" w:type="dxa"/>
          </w:tcPr>
          <w:p w14:paraId="36ACEB90" w14:textId="77777777" w:rsidR="004D649E" w:rsidRPr="00286216" w:rsidRDefault="004D649E" w:rsidP="004D649E">
            <w:pPr>
              <w:pStyle w:val="StyleZakonu"/>
              <w:rPr>
                <w:color w:val="000000" w:themeColor="text1"/>
              </w:rPr>
            </w:pPr>
            <w:r w:rsidRPr="00286216">
              <w:rPr>
                <w:color w:val="000000" w:themeColor="text1"/>
              </w:rPr>
              <w:t xml:space="preserve">6) здійснення протягом торговельного дня або намагання здійснити операції чи подання наказу та/або розпорядження на укладення деривативних контрактів, купівлю або продаж фінансових інструментів та/або активів, допущених до торгів на </w:t>
            </w:r>
            <w:r w:rsidRPr="00286216">
              <w:rPr>
                <w:color w:val="000000" w:themeColor="text1"/>
              </w:rPr>
              <w:lastRenderedPageBreak/>
              <w:t>організованому ринку, а також фінансових інструментів та/або продукції, що є базовим активом фінансових інструментів, що не мають очевидного економічного сенсу або очевидної законної мети, якщо за результатами таких торгів власник таких активів, фінансових інструментів та/або продукції не змінюється;</w:t>
            </w:r>
          </w:p>
        </w:tc>
        <w:tc>
          <w:tcPr>
            <w:tcW w:w="3686" w:type="dxa"/>
          </w:tcPr>
          <w:p w14:paraId="22D5CCEE" w14:textId="77777777" w:rsidR="004D649E" w:rsidRPr="00286216" w:rsidRDefault="004D649E" w:rsidP="004D649E">
            <w:pPr>
              <w:pStyle w:val="StyleProp"/>
              <w:rPr>
                <w:color w:val="000000" w:themeColor="text1"/>
                <w:szCs w:val="18"/>
              </w:rPr>
            </w:pPr>
          </w:p>
        </w:tc>
        <w:tc>
          <w:tcPr>
            <w:tcW w:w="1987" w:type="dxa"/>
          </w:tcPr>
          <w:p w14:paraId="7F238339"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06E2DD4" w14:textId="77777777" w:rsidR="004D649E" w:rsidRPr="00286216" w:rsidRDefault="004D649E" w:rsidP="004D649E">
            <w:pPr>
              <w:pStyle w:val="StyleZakonu"/>
              <w:rPr>
                <w:color w:val="000000" w:themeColor="text1"/>
              </w:rPr>
            </w:pPr>
          </w:p>
        </w:tc>
      </w:tr>
      <w:tr w:rsidR="004D649E" w:rsidRPr="00286216" w14:paraId="73A4461E" w14:textId="77777777" w:rsidTr="00091AA5">
        <w:tc>
          <w:tcPr>
            <w:tcW w:w="576" w:type="dxa"/>
          </w:tcPr>
          <w:p w14:paraId="62EEB62C" w14:textId="77777777" w:rsidR="004D649E" w:rsidRPr="00286216" w:rsidRDefault="004D649E" w:rsidP="004D649E">
            <w:pPr>
              <w:pStyle w:val="StyleWisnow"/>
              <w:rPr>
                <w:color w:val="000000" w:themeColor="text1"/>
              </w:rPr>
            </w:pPr>
            <w:bookmarkStart w:id="2038" w:name="n2270" w:colFirst="0" w:colLast="0"/>
            <w:bookmarkEnd w:id="2037"/>
            <w:r w:rsidRPr="00286216">
              <w:rPr>
                <w:color w:val="000000" w:themeColor="text1"/>
              </w:rPr>
              <w:t>2270.</w:t>
            </w:r>
          </w:p>
        </w:tc>
        <w:tc>
          <w:tcPr>
            <w:tcW w:w="4818" w:type="dxa"/>
          </w:tcPr>
          <w:p w14:paraId="7ACF9152" w14:textId="77777777" w:rsidR="004D649E" w:rsidRPr="00286216" w:rsidRDefault="004D649E" w:rsidP="004D649E">
            <w:pPr>
              <w:pStyle w:val="StyleZakonu"/>
              <w:rPr>
                <w:color w:val="000000" w:themeColor="text1"/>
              </w:rPr>
            </w:pPr>
            <w:r w:rsidRPr="00286216">
              <w:rPr>
                <w:color w:val="000000" w:themeColor="text1"/>
              </w:rPr>
              <w:t>7) неодноразове невиконання учасником організованого ринку зобов’язань за контрактами, укладеними протягом торговельного дня у власних інтересах або за рахунок клієнтів, якщо укладення зазначених контрактів спричинило значне збільшення або зниження ціни деривативного контракту, фінансового інструменту та/або активу, допущеного до торгів на організованому ринку, за умови, що такі контракти мали суттєвий вплив на ціну такого активу;</w:t>
            </w:r>
          </w:p>
        </w:tc>
        <w:tc>
          <w:tcPr>
            <w:tcW w:w="3686" w:type="dxa"/>
          </w:tcPr>
          <w:p w14:paraId="0806E0BE" w14:textId="77777777" w:rsidR="004D649E" w:rsidRPr="00286216" w:rsidRDefault="004D649E" w:rsidP="004D649E">
            <w:pPr>
              <w:pStyle w:val="StyleProp"/>
              <w:rPr>
                <w:color w:val="000000" w:themeColor="text1"/>
                <w:szCs w:val="18"/>
              </w:rPr>
            </w:pPr>
          </w:p>
        </w:tc>
        <w:tc>
          <w:tcPr>
            <w:tcW w:w="1987" w:type="dxa"/>
          </w:tcPr>
          <w:p w14:paraId="0AE88682"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157CE685" w14:textId="77777777" w:rsidR="004D649E" w:rsidRPr="00286216" w:rsidRDefault="004D649E" w:rsidP="004D649E">
            <w:pPr>
              <w:pStyle w:val="StyleZakonu"/>
              <w:rPr>
                <w:color w:val="000000" w:themeColor="text1"/>
              </w:rPr>
            </w:pPr>
          </w:p>
        </w:tc>
      </w:tr>
      <w:tr w:rsidR="004D649E" w:rsidRPr="00286216" w14:paraId="711EBC1A" w14:textId="77777777" w:rsidTr="00091AA5">
        <w:tc>
          <w:tcPr>
            <w:tcW w:w="576" w:type="dxa"/>
          </w:tcPr>
          <w:p w14:paraId="0022E9E2" w14:textId="77777777" w:rsidR="004D649E" w:rsidRPr="00286216" w:rsidRDefault="004D649E" w:rsidP="004D649E">
            <w:pPr>
              <w:pStyle w:val="StyleWisnow"/>
              <w:rPr>
                <w:color w:val="000000" w:themeColor="text1"/>
              </w:rPr>
            </w:pPr>
            <w:bookmarkStart w:id="2039" w:name="n2271" w:colFirst="0" w:colLast="0"/>
            <w:bookmarkEnd w:id="2038"/>
            <w:r w:rsidRPr="00286216">
              <w:rPr>
                <w:color w:val="000000" w:themeColor="text1"/>
              </w:rPr>
              <w:t>2271.</w:t>
            </w:r>
          </w:p>
        </w:tc>
        <w:tc>
          <w:tcPr>
            <w:tcW w:w="4818" w:type="dxa"/>
          </w:tcPr>
          <w:p w14:paraId="567335AD" w14:textId="77777777" w:rsidR="004D649E" w:rsidRPr="00286216" w:rsidRDefault="004D649E" w:rsidP="004D649E">
            <w:pPr>
              <w:pStyle w:val="StyleZakonu"/>
              <w:rPr>
                <w:color w:val="000000" w:themeColor="text1"/>
              </w:rPr>
            </w:pPr>
            <w:r w:rsidRPr="00286216">
              <w:rPr>
                <w:color w:val="000000" w:themeColor="text1"/>
              </w:rPr>
              <w:t>8) укладення на організованому ринку деривативних контрактів та договорів щодо фінансових інструментів та/або активів, допущених до торгів на організованому ринку, за ціною, що суттєво відхиляється від ціни відповідного деривативного контракту, фінансового інструменту та/або активу, яка склалася на такому організованому ринку тієї самої торговельної сесії (поточна ціна) шляхом подання безадресних заявок, за умови що, договори укладені від імені та/або за рахунок осіб, між якими (працівниками яких) існувала попередня домовленість про укладення деривативного контракту, придбання або продаж фінансового інструменту та/або активу, допущеного до торгів на організованому ринку, за ціною, що суттєво відхиляється від поточної ціни.</w:t>
            </w:r>
          </w:p>
        </w:tc>
        <w:tc>
          <w:tcPr>
            <w:tcW w:w="3686" w:type="dxa"/>
          </w:tcPr>
          <w:p w14:paraId="1CDF1EFE" w14:textId="77777777" w:rsidR="004D649E" w:rsidRPr="00286216" w:rsidRDefault="004D649E" w:rsidP="004D649E">
            <w:pPr>
              <w:pStyle w:val="StyleProp"/>
              <w:rPr>
                <w:color w:val="000000" w:themeColor="text1"/>
                <w:szCs w:val="18"/>
              </w:rPr>
            </w:pPr>
          </w:p>
        </w:tc>
        <w:tc>
          <w:tcPr>
            <w:tcW w:w="1987" w:type="dxa"/>
          </w:tcPr>
          <w:p w14:paraId="36B4C2C7"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FA1113A" w14:textId="77777777" w:rsidR="004D649E" w:rsidRPr="00286216" w:rsidRDefault="004D649E" w:rsidP="004D649E">
            <w:pPr>
              <w:pStyle w:val="StyleZakonu"/>
              <w:rPr>
                <w:color w:val="000000" w:themeColor="text1"/>
              </w:rPr>
            </w:pPr>
          </w:p>
        </w:tc>
      </w:tr>
      <w:tr w:rsidR="004D649E" w:rsidRPr="00286216" w14:paraId="5F190563" w14:textId="77777777" w:rsidTr="00091AA5">
        <w:tc>
          <w:tcPr>
            <w:tcW w:w="576" w:type="dxa"/>
          </w:tcPr>
          <w:p w14:paraId="43233013" w14:textId="77777777" w:rsidR="004D649E" w:rsidRPr="00286216" w:rsidRDefault="004D649E" w:rsidP="004D649E">
            <w:pPr>
              <w:pStyle w:val="StyleWisnow"/>
              <w:rPr>
                <w:color w:val="000000" w:themeColor="text1"/>
              </w:rPr>
            </w:pPr>
            <w:bookmarkStart w:id="2040" w:name="n2272" w:colFirst="0" w:colLast="0"/>
            <w:bookmarkEnd w:id="2039"/>
            <w:r w:rsidRPr="00286216">
              <w:rPr>
                <w:color w:val="000000" w:themeColor="text1"/>
              </w:rPr>
              <w:t>2272.</w:t>
            </w:r>
          </w:p>
        </w:tc>
        <w:tc>
          <w:tcPr>
            <w:tcW w:w="4818" w:type="dxa"/>
          </w:tcPr>
          <w:p w14:paraId="37F821D8" w14:textId="77777777" w:rsidR="004D649E" w:rsidRPr="00286216" w:rsidRDefault="004D649E" w:rsidP="004D649E">
            <w:pPr>
              <w:pStyle w:val="StyleZakonu"/>
              <w:rPr>
                <w:color w:val="000000" w:themeColor="text1"/>
              </w:rPr>
            </w:pPr>
            <w:r w:rsidRPr="00286216">
              <w:rPr>
                <w:color w:val="000000" w:themeColor="text1"/>
              </w:rPr>
              <w:t>2. Не є маніпулюванням на організованих ринках дії, що мають на меті:</w:t>
            </w:r>
          </w:p>
        </w:tc>
        <w:tc>
          <w:tcPr>
            <w:tcW w:w="3686" w:type="dxa"/>
          </w:tcPr>
          <w:p w14:paraId="4537263F" w14:textId="77777777" w:rsidR="004D649E" w:rsidRPr="00286216" w:rsidRDefault="004D649E" w:rsidP="004D649E">
            <w:pPr>
              <w:pStyle w:val="StyleProp"/>
              <w:rPr>
                <w:color w:val="000000" w:themeColor="text1"/>
                <w:szCs w:val="18"/>
              </w:rPr>
            </w:pPr>
          </w:p>
        </w:tc>
        <w:tc>
          <w:tcPr>
            <w:tcW w:w="1987" w:type="dxa"/>
          </w:tcPr>
          <w:p w14:paraId="6FC3235D"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2C3096E1" w14:textId="131EAE4D" w:rsidR="004D649E" w:rsidRPr="00286216" w:rsidRDefault="004D649E" w:rsidP="004D649E">
            <w:pPr>
              <w:pStyle w:val="StyleZakonu"/>
              <w:rPr>
                <w:color w:val="000000" w:themeColor="text1"/>
              </w:rPr>
            </w:pPr>
            <w:r w:rsidRPr="00286216">
              <w:rPr>
                <w:color w:val="000000" w:themeColor="text1"/>
              </w:rPr>
              <w:t>2. Не є маніпулюванням на організованих ринках дії, що мають на меті:</w:t>
            </w:r>
          </w:p>
        </w:tc>
      </w:tr>
      <w:tr w:rsidR="004D649E" w:rsidRPr="00286216" w14:paraId="76CBB8D7" w14:textId="77777777" w:rsidTr="00091AA5">
        <w:tc>
          <w:tcPr>
            <w:tcW w:w="576" w:type="dxa"/>
          </w:tcPr>
          <w:p w14:paraId="5DF08406" w14:textId="77777777" w:rsidR="004D649E" w:rsidRPr="00286216" w:rsidRDefault="004D649E" w:rsidP="004D649E">
            <w:pPr>
              <w:pStyle w:val="StyleWisnow"/>
              <w:rPr>
                <w:color w:val="000000" w:themeColor="text1"/>
              </w:rPr>
            </w:pPr>
            <w:bookmarkStart w:id="2041" w:name="n2273" w:colFirst="0" w:colLast="0"/>
            <w:bookmarkEnd w:id="2040"/>
            <w:r w:rsidRPr="00286216">
              <w:rPr>
                <w:color w:val="000000" w:themeColor="text1"/>
              </w:rPr>
              <w:t>2273.</w:t>
            </w:r>
          </w:p>
        </w:tc>
        <w:tc>
          <w:tcPr>
            <w:tcW w:w="4818" w:type="dxa"/>
          </w:tcPr>
          <w:p w14:paraId="6F05CAF2" w14:textId="77777777" w:rsidR="004D649E" w:rsidRPr="00286216" w:rsidRDefault="004D649E" w:rsidP="004D649E">
            <w:pPr>
              <w:pStyle w:val="StyleZakonu"/>
              <w:rPr>
                <w:color w:val="000000" w:themeColor="text1"/>
              </w:rPr>
            </w:pPr>
            <w:r w:rsidRPr="00286216">
              <w:rPr>
                <w:color w:val="000000" w:themeColor="text1"/>
              </w:rPr>
              <w:t>1) підтримання цін на емісійні цінні папери у зв’язку з їх публічним розміщенням або обігом, за умови, що такі дії вчиняються учасником організованого ринку капіталу на підставі договору про виконання функцій маркет-мейкера з емітентом таких цінних паперів;</w:t>
            </w:r>
          </w:p>
        </w:tc>
        <w:tc>
          <w:tcPr>
            <w:tcW w:w="3686" w:type="dxa"/>
          </w:tcPr>
          <w:p w14:paraId="4C478DEA" w14:textId="77777777" w:rsidR="004D649E" w:rsidRPr="00286216" w:rsidRDefault="004D649E" w:rsidP="004D649E">
            <w:pPr>
              <w:pStyle w:val="StyleProp"/>
              <w:rPr>
                <w:color w:val="000000" w:themeColor="text1"/>
                <w:szCs w:val="18"/>
              </w:rPr>
            </w:pPr>
          </w:p>
        </w:tc>
        <w:tc>
          <w:tcPr>
            <w:tcW w:w="1987" w:type="dxa"/>
          </w:tcPr>
          <w:p w14:paraId="701C2857"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034485C0" w14:textId="080B0E81" w:rsidR="004D649E" w:rsidRPr="00286216" w:rsidRDefault="004D649E" w:rsidP="004D649E">
            <w:pPr>
              <w:pStyle w:val="StyleZakonu"/>
              <w:rPr>
                <w:color w:val="000000" w:themeColor="text1"/>
              </w:rPr>
            </w:pPr>
            <w:r w:rsidRPr="00286216">
              <w:rPr>
                <w:color w:val="000000" w:themeColor="text1"/>
              </w:rPr>
              <w:t>1) підтримання цін на емісійні цінні папери у зв’язку з їх публічним розміщенням або обігом, за умови вчинення учасником  організованого ринку капіталу таких дій на підставі договору про виконання функцій маркет-мейкера, укладеного з оператором такого ринку;</w:t>
            </w:r>
          </w:p>
        </w:tc>
      </w:tr>
      <w:tr w:rsidR="004D649E" w:rsidRPr="00286216" w14:paraId="3019CFE1" w14:textId="77777777" w:rsidTr="00091AA5">
        <w:tc>
          <w:tcPr>
            <w:tcW w:w="576" w:type="dxa"/>
          </w:tcPr>
          <w:p w14:paraId="007F02C1" w14:textId="77777777" w:rsidR="004D649E" w:rsidRPr="00286216" w:rsidRDefault="004D649E" w:rsidP="004D649E">
            <w:pPr>
              <w:pStyle w:val="StyleWisnow"/>
              <w:rPr>
                <w:color w:val="000000" w:themeColor="text1"/>
              </w:rPr>
            </w:pPr>
            <w:bookmarkStart w:id="2042" w:name="n2274" w:colFirst="0" w:colLast="0"/>
            <w:bookmarkEnd w:id="2041"/>
            <w:r w:rsidRPr="00286216">
              <w:rPr>
                <w:color w:val="000000" w:themeColor="text1"/>
              </w:rPr>
              <w:t>2274.</w:t>
            </w:r>
          </w:p>
        </w:tc>
        <w:tc>
          <w:tcPr>
            <w:tcW w:w="4818" w:type="dxa"/>
          </w:tcPr>
          <w:p w14:paraId="239946DC" w14:textId="77777777" w:rsidR="004D649E" w:rsidRPr="00286216" w:rsidRDefault="004D649E" w:rsidP="004D649E">
            <w:pPr>
              <w:pStyle w:val="StyleZakonu"/>
              <w:rPr>
                <w:color w:val="000000" w:themeColor="text1"/>
              </w:rPr>
            </w:pPr>
            <w:r w:rsidRPr="00286216">
              <w:rPr>
                <w:color w:val="000000" w:themeColor="text1"/>
              </w:rPr>
              <w:t>2) підтримання цін на цінні папери відкритих або інтервальних інститутів спільного інвестування у зв’язку з їх викупом у випадках, установлених законом;</w:t>
            </w:r>
          </w:p>
        </w:tc>
        <w:tc>
          <w:tcPr>
            <w:tcW w:w="3686" w:type="dxa"/>
          </w:tcPr>
          <w:p w14:paraId="4A4027DC" w14:textId="77777777" w:rsidR="004D649E" w:rsidRPr="00286216" w:rsidRDefault="004D649E" w:rsidP="004D649E">
            <w:pPr>
              <w:pStyle w:val="StyleProp"/>
              <w:rPr>
                <w:color w:val="000000" w:themeColor="text1"/>
                <w:szCs w:val="18"/>
              </w:rPr>
            </w:pPr>
          </w:p>
        </w:tc>
        <w:tc>
          <w:tcPr>
            <w:tcW w:w="1987" w:type="dxa"/>
          </w:tcPr>
          <w:p w14:paraId="1A460245"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0AD1DD0C" w14:textId="2335BE2D" w:rsidR="004D649E" w:rsidRPr="00286216" w:rsidRDefault="004D649E" w:rsidP="004D649E">
            <w:pPr>
              <w:pStyle w:val="StyleZakonu"/>
              <w:rPr>
                <w:color w:val="000000" w:themeColor="text1"/>
              </w:rPr>
            </w:pPr>
            <w:r w:rsidRPr="00286216">
              <w:rPr>
                <w:color w:val="000000" w:themeColor="text1"/>
              </w:rPr>
              <w:t>2) підтримання цін на цінні папери відкритих або інтервальних інститутів спільного інвестування у зв’язку з їх викупом у випадках, передбачених законом;</w:t>
            </w:r>
          </w:p>
        </w:tc>
      </w:tr>
      <w:tr w:rsidR="004D649E" w:rsidRPr="00286216" w14:paraId="625213A9" w14:textId="77777777" w:rsidTr="00091AA5">
        <w:tc>
          <w:tcPr>
            <w:tcW w:w="576" w:type="dxa"/>
          </w:tcPr>
          <w:p w14:paraId="6948BF41" w14:textId="77777777" w:rsidR="004D649E" w:rsidRPr="00286216" w:rsidRDefault="004D649E" w:rsidP="004D649E">
            <w:pPr>
              <w:pStyle w:val="StyleWisnow"/>
              <w:rPr>
                <w:color w:val="000000" w:themeColor="text1"/>
              </w:rPr>
            </w:pPr>
            <w:bookmarkStart w:id="2043" w:name="n2275" w:colFirst="0" w:colLast="0"/>
            <w:bookmarkEnd w:id="2042"/>
            <w:r w:rsidRPr="00286216">
              <w:rPr>
                <w:color w:val="000000" w:themeColor="text1"/>
              </w:rPr>
              <w:lastRenderedPageBreak/>
              <w:t>2275.</w:t>
            </w:r>
          </w:p>
        </w:tc>
        <w:tc>
          <w:tcPr>
            <w:tcW w:w="4818" w:type="dxa"/>
          </w:tcPr>
          <w:p w14:paraId="26DE1C9F" w14:textId="77777777" w:rsidR="004D649E" w:rsidRPr="00286216" w:rsidRDefault="004D649E" w:rsidP="004D649E">
            <w:pPr>
              <w:pStyle w:val="StyleZakonu"/>
              <w:rPr>
                <w:color w:val="000000" w:themeColor="text1"/>
              </w:rPr>
            </w:pPr>
            <w:r w:rsidRPr="00286216">
              <w:rPr>
                <w:color w:val="000000" w:themeColor="text1"/>
              </w:rPr>
              <w:t>3) підтримання цін, попиту, пропозиції або обсягів укладення деривативних контрактів, торгів фінансовими інструментами та/або активами, допущеними до торгів на організованому ринку, за умови, що такі дії вчиняються учасником на підставі</w:t>
            </w:r>
            <w:r w:rsidRPr="00286216">
              <w:rPr>
                <w:color w:val="000000" w:themeColor="text1"/>
                <w:shd w:val="clear" w:color="auto" w:fill="FFFFFF"/>
              </w:rPr>
              <w:t xml:space="preserve"> </w:t>
            </w:r>
            <w:r w:rsidRPr="00286216">
              <w:rPr>
                <w:color w:val="000000" w:themeColor="text1"/>
              </w:rPr>
              <w:t>договору про виконання функцій маркет-мейкера з оператором такого ринку.</w:t>
            </w:r>
          </w:p>
        </w:tc>
        <w:tc>
          <w:tcPr>
            <w:tcW w:w="3686" w:type="dxa"/>
          </w:tcPr>
          <w:p w14:paraId="31FCCAD7" w14:textId="77777777" w:rsidR="004D649E" w:rsidRPr="00286216" w:rsidRDefault="004D649E" w:rsidP="004D649E">
            <w:pPr>
              <w:pStyle w:val="StyleProp"/>
              <w:rPr>
                <w:color w:val="000000" w:themeColor="text1"/>
                <w:szCs w:val="18"/>
              </w:rPr>
            </w:pPr>
          </w:p>
        </w:tc>
        <w:tc>
          <w:tcPr>
            <w:tcW w:w="1987" w:type="dxa"/>
          </w:tcPr>
          <w:p w14:paraId="49FE7418"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1B89C54" w14:textId="6AD6502A" w:rsidR="004D649E" w:rsidRPr="00286216" w:rsidRDefault="004D649E" w:rsidP="004D649E">
            <w:pPr>
              <w:pStyle w:val="StyleZakonu"/>
              <w:rPr>
                <w:color w:val="000000" w:themeColor="text1"/>
              </w:rPr>
            </w:pPr>
            <w:r w:rsidRPr="00286216">
              <w:rPr>
                <w:color w:val="000000" w:themeColor="text1"/>
              </w:rPr>
              <w:t>3) підтримання цін, попиту, пропозиції або обсягів укладення деривативних контрактів, торгів фінансовими інструментами та/або іншими активами, допущеними до торгів на організованому ринку, за умови, що такі дії вчиняються учасником організованого ринку капіталу на підставі  договору про виконання функцій маркет-мейкера, укладеного з оператором такого ринку.</w:t>
            </w:r>
          </w:p>
        </w:tc>
      </w:tr>
      <w:tr w:rsidR="004D649E" w:rsidRPr="00286216" w14:paraId="3532A7A6" w14:textId="77777777" w:rsidTr="00091AA5">
        <w:tc>
          <w:tcPr>
            <w:tcW w:w="576" w:type="dxa"/>
          </w:tcPr>
          <w:p w14:paraId="01C92FBD" w14:textId="77777777" w:rsidR="004D649E" w:rsidRPr="00286216" w:rsidRDefault="004D649E" w:rsidP="004D649E">
            <w:pPr>
              <w:pStyle w:val="StyleWisnow"/>
              <w:rPr>
                <w:color w:val="000000" w:themeColor="text1"/>
              </w:rPr>
            </w:pPr>
            <w:bookmarkStart w:id="2044" w:name="n2276" w:colFirst="0" w:colLast="0"/>
            <w:bookmarkEnd w:id="2043"/>
            <w:r w:rsidRPr="00286216">
              <w:rPr>
                <w:color w:val="000000" w:themeColor="text1"/>
              </w:rPr>
              <w:t>2276.</w:t>
            </w:r>
          </w:p>
        </w:tc>
        <w:tc>
          <w:tcPr>
            <w:tcW w:w="4818" w:type="dxa"/>
          </w:tcPr>
          <w:p w14:paraId="1E390402" w14:textId="77777777" w:rsidR="004D649E" w:rsidRPr="00286216" w:rsidRDefault="004D649E" w:rsidP="004D649E">
            <w:pPr>
              <w:pStyle w:val="StyleZakonu"/>
              <w:rPr>
                <w:color w:val="000000" w:themeColor="text1"/>
              </w:rPr>
            </w:pPr>
            <w:r w:rsidRPr="00286216">
              <w:rPr>
                <w:color w:val="000000" w:themeColor="text1"/>
              </w:rPr>
              <w:t>Не є маніпулюванням на організованих ринках дії, що вчиняються органами державної влади у зв’язку з реалізацією грошово-кредитної політики або політики управління державним боргом.</w:t>
            </w:r>
          </w:p>
        </w:tc>
        <w:tc>
          <w:tcPr>
            <w:tcW w:w="3686" w:type="dxa"/>
          </w:tcPr>
          <w:p w14:paraId="734F5795" w14:textId="53BE7E52"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1091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C5B89DD" w14:textId="49EC0D08" w:rsidR="004D649E" w:rsidRPr="00286216" w:rsidRDefault="004D649E" w:rsidP="004D649E">
            <w:pPr>
              <w:pStyle w:val="StyleProp"/>
              <w:rPr>
                <w:color w:val="000000" w:themeColor="text1"/>
                <w:szCs w:val="18"/>
              </w:rPr>
            </w:pPr>
            <w:r w:rsidRPr="00286216">
              <w:rPr>
                <w:color w:val="000000" w:themeColor="text1"/>
              </w:rPr>
              <w:t>Абзац 5 частини 9 статті 134 після слова "вчиняються" доповнити словами "Національним банком України".</w:t>
            </w:r>
          </w:p>
        </w:tc>
        <w:tc>
          <w:tcPr>
            <w:tcW w:w="1987" w:type="dxa"/>
          </w:tcPr>
          <w:p w14:paraId="2EC49231" w14:textId="4245E8BD"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Враховано редакційно</w:t>
            </w:r>
          </w:p>
        </w:tc>
        <w:tc>
          <w:tcPr>
            <w:tcW w:w="4818" w:type="dxa"/>
          </w:tcPr>
          <w:p w14:paraId="46293067" w14:textId="16503561" w:rsidR="004D649E" w:rsidRPr="00286216" w:rsidRDefault="004D649E" w:rsidP="004D649E">
            <w:pPr>
              <w:pStyle w:val="StyleZakonu"/>
              <w:rPr>
                <w:color w:val="000000" w:themeColor="text1"/>
              </w:rPr>
            </w:pPr>
            <w:r w:rsidRPr="00286216">
              <w:rPr>
                <w:color w:val="000000" w:themeColor="text1"/>
              </w:rPr>
              <w:t>Не є маніпулюванням на організованих ринках дії, що вчиняються Національним банком України, органами державної влади  з метою  реалізації грошово-кредитної політики або політики управління державним боргом.</w:t>
            </w:r>
          </w:p>
        </w:tc>
      </w:tr>
      <w:tr w:rsidR="004D649E" w:rsidRPr="00286216" w14:paraId="3722AFA1" w14:textId="77777777" w:rsidTr="00091AA5">
        <w:tc>
          <w:tcPr>
            <w:tcW w:w="576" w:type="dxa"/>
          </w:tcPr>
          <w:p w14:paraId="7356690A" w14:textId="77777777" w:rsidR="004D649E" w:rsidRPr="00286216" w:rsidRDefault="004D649E" w:rsidP="004D649E">
            <w:pPr>
              <w:pStyle w:val="StyleWisnow"/>
              <w:rPr>
                <w:color w:val="000000" w:themeColor="text1"/>
              </w:rPr>
            </w:pPr>
            <w:bookmarkStart w:id="2045" w:name="n2277" w:colFirst="0" w:colLast="0"/>
            <w:bookmarkEnd w:id="2044"/>
            <w:r w:rsidRPr="00286216">
              <w:rPr>
                <w:color w:val="000000" w:themeColor="text1"/>
              </w:rPr>
              <w:t>2277.</w:t>
            </w:r>
          </w:p>
        </w:tc>
        <w:tc>
          <w:tcPr>
            <w:tcW w:w="4818" w:type="dxa"/>
          </w:tcPr>
          <w:p w14:paraId="55088763" w14:textId="77777777" w:rsidR="004D649E" w:rsidRPr="00286216" w:rsidRDefault="004D649E" w:rsidP="004D649E">
            <w:pPr>
              <w:pStyle w:val="StyleZakonu"/>
              <w:rPr>
                <w:color w:val="000000" w:themeColor="text1"/>
              </w:rPr>
            </w:pPr>
            <w:r w:rsidRPr="00286216">
              <w:rPr>
                <w:color w:val="000000" w:themeColor="text1"/>
              </w:rPr>
              <w:t>Положення цієї статті поширюються на товарні біржі, що створені та функціонують відповідно до Закону України "Про товарну біржу".</w:t>
            </w:r>
          </w:p>
        </w:tc>
        <w:tc>
          <w:tcPr>
            <w:tcW w:w="3686" w:type="dxa"/>
          </w:tcPr>
          <w:p w14:paraId="433ECA64" w14:textId="173752D3"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1092</w:t>
            </w:r>
            <w:r w:rsidRPr="00286216">
              <w:rPr>
                <w:color w:val="000000" w:themeColor="text1"/>
                <w:spacing w:val="-2"/>
              </w:rPr>
              <w:fldChar w:fldCharType="end"/>
            </w:r>
            <w:r w:rsidRPr="00286216">
              <w:rPr>
                <w:color w:val="000000" w:themeColor="text1"/>
                <w:spacing w:val="-2"/>
              </w:rPr>
              <w:t>-Н.д.Шахов С.В. (Реєстр.картка №114)</w:t>
            </w:r>
          </w:p>
          <w:p w14:paraId="5AE7279B"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Останній абзац частини 9 статті 134 доповнити словами "в частині що не суперечить законодавству про товарні ринки".</w:t>
            </w:r>
          </w:p>
        </w:tc>
        <w:tc>
          <w:tcPr>
            <w:tcW w:w="1987" w:type="dxa"/>
          </w:tcPr>
          <w:p w14:paraId="6733633B"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Відхилено</w:t>
            </w:r>
          </w:p>
          <w:p w14:paraId="70E757DF" w14:textId="13669716"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Закон "Про товарну біржу" є складовою законодавства про товарні ринки</w:t>
            </w:r>
          </w:p>
        </w:tc>
        <w:tc>
          <w:tcPr>
            <w:tcW w:w="4818" w:type="dxa"/>
          </w:tcPr>
          <w:p w14:paraId="7622FBCC" w14:textId="49262396" w:rsidR="004D649E" w:rsidRPr="00286216" w:rsidRDefault="004D649E" w:rsidP="004D649E">
            <w:pPr>
              <w:pStyle w:val="StyleZakonu"/>
              <w:rPr>
                <w:color w:val="000000" w:themeColor="text1"/>
              </w:rPr>
            </w:pPr>
            <w:r w:rsidRPr="00286216">
              <w:rPr>
                <w:color w:val="000000" w:themeColor="text1"/>
              </w:rPr>
              <w:t>Положення цієї статті поширюються на товарні біржі, що мають ліцензію на провадження професійної діяльності з організації торгівлі продукцією, отриману відповідно до вимог Закону України "Про товарні біржі".</w:t>
            </w:r>
          </w:p>
        </w:tc>
      </w:tr>
      <w:bookmarkEnd w:id="2045"/>
      <w:tr w:rsidR="004D649E" w:rsidRPr="00286216" w14:paraId="3D97721F" w14:textId="77777777" w:rsidTr="00091AA5">
        <w:tc>
          <w:tcPr>
            <w:tcW w:w="576" w:type="dxa"/>
          </w:tcPr>
          <w:p w14:paraId="48B88A54" w14:textId="77777777" w:rsidR="004D649E" w:rsidRPr="00286216" w:rsidRDefault="004D649E" w:rsidP="004D649E">
            <w:pPr>
              <w:pStyle w:val="StyleWisnow"/>
              <w:rPr>
                <w:color w:val="000000" w:themeColor="text1"/>
              </w:rPr>
            </w:pPr>
          </w:p>
        </w:tc>
        <w:tc>
          <w:tcPr>
            <w:tcW w:w="4818" w:type="dxa"/>
          </w:tcPr>
          <w:p w14:paraId="6A9FA65C" w14:textId="77777777" w:rsidR="004D649E" w:rsidRPr="00286216" w:rsidRDefault="004D649E" w:rsidP="004D649E">
            <w:pPr>
              <w:pStyle w:val="StyleZakonu"/>
              <w:spacing w:after="0"/>
              <w:ind w:firstLine="0"/>
              <w:jc w:val="center"/>
              <w:rPr>
                <w:color w:val="000000" w:themeColor="text1"/>
              </w:rPr>
            </w:pPr>
          </w:p>
        </w:tc>
        <w:tc>
          <w:tcPr>
            <w:tcW w:w="3686" w:type="dxa"/>
          </w:tcPr>
          <w:p w14:paraId="09BDFC34" w14:textId="4E28945F" w:rsidR="004D649E" w:rsidRPr="00286216" w:rsidRDefault="004D649E" w:rsidP="004D649E">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1093</w:t>
            </w:r>
            <w:r w:rsidRPr="00286216">
              <w:rPr>
                <w:color w:val="000000" w:themeColor="text1"/>
                <w:spacing w:val="-2"/>
              </w:rPr>
              <w:fldChar w:fldCharType="end"/>
            </w:r>
            <w:r w:rsidRPr="00286216">
              <w:rPr>
                <w:color w:val="000000" w:themeColor="text1"/>
                <w:spacing w:val="-2"/>
              </w:rPr>
              <w:t>-Н.д.Шахов С.В. (Реєстр.картка №114)</w:t>
            </w:r>
          </w:p>
          <w:p w14:paraId="58811621"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Статтю 134 доповнити такою частиною:</w:t>
            </w:r>
          </w:p>
          <w:p w14:paraId="6B3AD584" w14:textId="77777777" w:rsidR="004D649E" w:rsidRPr="00286216" w:rsidRDefault="004D649E" w:rsidP="004D649E">
            <w:pPr>
              <w:pStyle w:val="StyleProp"/>
              <w:spacing w:line="180" w:lineRule="exact"/>
              <w:rPr>
                <w:color w:val="000000" w:themeColor="text1"/>
                <w:spacing w:val="-2"/>
              </w:rPr>
            </w:pPr>
            <w:r w:rsidRPr="00286216">
              <w:rPr>
                <w:color w:val="000000" w:themeColor="text1"/>
                <w:spacing w:val="-2"/>
              </w:rPr>
              <w:t>"3. Законодавством про товарні ринки можуть бути визначені інші випадки, дії та ознаки маніпулювання, ніж зазначені в цій статті, що застосовуються до учасників  товарних спот-ринків та ринків поставних товарних деривативних контрактів".</w:t>
            </w:r>
          </w:p>
        </w:tc>
        <w:tc>
          <w:tcPr>
            <w:tcW w:w="1987" w:type="dxa"/>
          </w:tcPr>
          <w:p w14:paraId="4B1E0783" w14:textId="77777777" w:rsidR="004D649E" w:rsidRPr="00286216" w:rsidRDefault="004D649E" w:rsidP="004D649E">
            <w:pPr>
              <w:pStyle w:val="StyleWisnow"/>
              <w:rPr>
                <w:color w:val="000000" w:themeColor="text1"/>
              </w:rPr>
            </w:pPr>
            <w:r w:rsidRPr="00286216">
              <w:rPr>
                <w:color w:val="000000" w:themeColor="text1"/>
              </w:rPr>
              <w:t>Відхилено</w:t>
            </w:r>
          </w:p>
          <w:p w14:paraId="5A130F6B" w14:textId="7F1CB9B4" w:rsidR="004D649E" w:rsidRPr="00286216" w:rsidRDefault="004D649E" w:rsidP="004D649E">
            <w:pPr>
              <w:pStyle w:val="StyleWisnow"/>
              <w:spacing w:line="180" w:lineRule="exact"/>
              <w:rPr>
                <w:rFonts w:eastAsia="Calibri"/>
                <w:color w:val="000000" w:themeColor="text1"/>
              </w:rPr>
            </w:pPr>
            <w:r w:rsidRPr="00286216">
              <w:rPr>
                <w:color w:val="000000" w:themeColor="text1"/>
              </w:rPr>
              <w:t>Закон Про товарну біржу містить норм щодо ознак маніпулювання</w:t>
            </w:r>
          </w:p>
        </w:tc>
        <w:tc>
          <w:tcPr>
            <w:tcW w:w="4818" w:type="dxa"/>
          </w:tcPr>
          <w:p w14:paraId="28436C1E" w14:textId="77777777" w:rsidR="004D649E" w:rsidRPr="00286216" w:rsidRDefault="004D649E" w:rsidP="004D649E">
            <w:pPr>
              <w:pStyle w:val="StyleZakonu"/>
              <w:rPr>
                <w:color w:val="000000" w:themeColor="text1"/>
              </w:rPr>
            </w:pPr>
          </w:p>
        </w:tc>
      </w:tr>
      <w:tr w:rsidR="004D649E" w:rsidRPr="00286216" w14:paraId="7FEBF400" w14:textId="77777777" w:rsidTr="00091AA5">
        <w:tc>
          <w:tcPr>
            <w:tcW w:w="576" w:type="dxa"/>
          </w:tcPr>
          <w:p w14:paraId="7601E414" w14:textId="77777777" w:rsidR="004D649E" w:rsidRPr="00286216" w:rsidRDefault="004D649E" w:rsidP="004D649E">
            <w:pPr>
              <w:pStyle w:val="StyleWisnow"/>
              <w:rPr>
                <w:color w:val="000000" w:themeColor="text1"/>
              </w:rPr>
            </w:pPr>
            <w:bookmarkStart w:id="2046" w:name="n2278" w:colFirst="0" w:colLast="0"/>
            <w:r w:rsidRPr="00286216">
              <w:rPr>
                <w:color w:val="000000" w:themeColor="text1"/>
              </w:rPr>
              <w:t>2278.</w:t>
            </w:r>
          </w:p>
        </w:tc>
        <w:tc>
          <w:tcPr>
            <w:tcW w:w="4818" w:type="dxa"/>
          </w:tcPr>
          <w:p w14:paraId="4197C4C8" w14:textId="77777777" w:rsidR="004D649E" w:rsidRPr="00286216" w:rsidRDefault="004D649E" w:rsidP="004D649E">
            <w:pPr>
              <w:pStyle w:val="StyleZakonu"/>
              <w:spacing w:after="0"/>
              <w:ind w:firstLine="0"/>
              <w:jc w:val="center"/>
              <w:rPr>
                <w:color w:val="000000" w:themeColor="text1"/>
              </w:rPr>
            </w:pPr>
            <w:r w:rsidRPr="00286216">
              <w:rPr>
                <w:color w:val="000000" w:themeColor="text1"/>
              </w:rPr>
              <w:t>Розділ Х</w:t>
            </w:r>
          </w:p>
          <w:p w14:paraId="76650DAF" w14:textId="77777777" w:rsidR="004D649E" w:rsidRPr="00286216" w:rsidRDefault="004D649E" w:rsidP="004D649E">
            <w:pPr>
              <w:pStyle w:val="StyleZakonu"/>
              <w:ind w:firstLine="0"/>
              <w:jc w:val="center"/>
              <w:rPr>
                <w:color w:val="000000" w:themeColor="text1"/>
              </w:rPr>
            </w:pPr>
            <w:r w:rsidRPr="00286216">
              <w:rPr>
                <w:color w:val="000000" w:themeColor="text1"/>
              </w:rPr>
              <w:t>РЕГУЛЮВАННЯ РИНКІВ КАПІТАЛУ ТА ОРГАНІЗОВАНИХ ТОВАРНИХ РИНКІВ</w:t>
            </w:r>
          </w:p>
        </w:tc>
        <w:tc>
          <w:tcPr>
            <w:tcW w:w="3686" w:type="dxa"/>
          </w:tcPr>
          <w:p w14:paraId="1DCAFB65" w14:textId="77777777" w:rsidR="004D649E" w:rsidRPr="00286216" w:rsidRDefault="004D649E" w:rsidP="004D649E">
            <w:pPr>
              <w:pStyle w:val="StyleProp"/>
              <w:rPr>
                <w:color w:val="000000" w:themeColor="text1"/>
                <w:szCs w:val="18"/>
              </w:rPr>
            </w:pPr>
          </w:p>
        </w:tc>
        <w:tc>
          <w:tcPr>
            <w:tcW w:w="1987" w:type="dxa"/>
          </w:tcPr>
          <w:p w14:paraId="0F1B1F3F"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6BC1CFEF" w14:textId="77777777" w:rsidR="004D649E" w:rsidRPr="00286216" w:rsidRDefault="004D649E" w:rsidP="004D649E">
            <w:pPr>
              <w:pStyle w:val="StyleZakonu"/>
              <w:spacing w:after="0"/>
              <w:ind w:firstLine="0"/>
              <w:jc w:val="center"/>
              <w:rPr>
                <w:color w:val="000000" w:themeColor="text1"/>
              </w:rPr>
            </w:pPr>
            <w:r w:rsidRPr="00286216">
              <w:rPr>
                <w:color w:val="000000" w:themeColor="text1"/>
              </w:rPr>
              <w:t>Розділ Х</w:t>
            </w:r>
          </w:p>
          <w:p w14:paraId="3EA94C96" w14:textId="0552EC94" w:rsidR="004D649E" w:rsidRPr="00286216" w:rsidRDefault="004D649E" w:rsidP="004D649E">
            <w:pPr>
              <w:pStyle w:val="StyleZakonu"/>
              <w:ind w:firstLine="0"/>
              <w:jc w:val="center"/>
              <w:rPr>
                <w:color w:val="000000" w:themeColor="text1"/>
              </w:rPr>
            </w:pPr>
            <w:r w:rsidRPr="00286216">
              <w:rPr>
                <w:color w:val="000000" w:themeColor="text1"/>
              </w:rPr>
              <w:t>РЕГУЛЮВАННЯ РИНКІВ КАПІТАЛУ ТА ОРГАНІЗОВАНИХ ТОВАРНИХ РИНКІВ</w:t>
            </w:r>
          </w:p>
        </w:tc>
      </w:tr>
      <w:tr w:rsidR="004D649E" w:rsidRPr="00286216" w14:paraId="0AE52F7D" w14:textId="77777777" w:rsidTr="00091AA5">
        <w:tc>
          <w:tcPr>
            <w:tcW w:w="576" w:type="dxa"/>
          </w:tcPr>
          <w:p w14:paraId="19FC9837" w14:textId="77777777" w:rsidR="004D649E" w:rsidRPr="00286216" w:rsidRDefault="004D649E" w:rsidP="004D649E">
            <w:pPr>
              <w:pStyle w:val="StyleWisnow"/>
              <w:rPr>
                <w:color w:val="000000" w:themeColor="text1"/>
              </w:rPr>
            </w:pPr>
            <w:bookmarkStart w:id="2047" w:name="n2279" w:colFirst="0" w:colLast="0"/>
            <w:bookmarkEnd w:id="2046"/>
            <w:r w:rsidRPr="00286216">
              <w:rPr>
                <w:color w:val="000000" w:themeColor="text1"/>
              </w:rPr>
              <w:t>2279.</w:t>
            </w:r>
          </w:p>
        </w:tc>
        <w:tc>
          <w:tcPr>
            <w:tcW w:w="4818" w:type="dxa"/>
          </w:tcPr>
          <w:p w14:paraId="0A684555" w14:textId="77777777" w:rsidR="004D649E" w:rsidRPr="00286216" w:rsidRDefault="004D649E" w:rsidP="004D649E">
            <w:pPr>
              <w:pStyle w:val="StyleZakonu"/>
              <w:rPr>
                <w:color w:val="000000" w:themeColor="text1"/>
              </w:rPr>
            </w:pPr>
            <w:bookmarkStart w:id="2048" w:name="_Ref16415330"/>
            <w:r w:rsidRPr="00286216">
              <w:rPr>
                <w:color w:val="000000" w:themeColor="text1"/>
              </w:rPr>
              <w:t>Стаття 135. Регулювання ринків капіталу</w:t>
            </w:r>
            <w:bookmarkEnd w:id="2048"/>
          </w:p>
        </w:tc>
        <w:tc>
          <w:tcPr>
            <w:tcW w:w="3686" w:type="dxa"/>
          </w:tcPr>
          <w:p w14:paraId="5D388F11" w14:textId="77777777" w:rsidR="004D649E" w:rsidRPr="00286216" w:rsidRDefault="004D649E" w:rsidP="004D649E">
            <w:pPr>
              <w:pStyle w:val="StyleProp"/>
              <w:rPr>
                <w:color w:val="000000" w:themeColor="text1"/>
                <w:szCs w:val="18"/>
              </w:rPr>
            </w:pPr>
          </w:p>
        </w:tc>
        <w:tc>
          <w:tcPr>
            <w:tcW w:w="1987" w:type="dxa"/>
          </w:tcPr>
          <w:p w14:paraId="5DD55A10"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5CECFE50" w14:textId="1E232956" w:rsidR="004D649E" w:rsidRPr="00286216" w:rsidRDefault="004D649E" w:rsidP="004D649E">
            <w:pPr>
              <w:pStyle w:val="StyleZakonu"/>
              <w:rPr>
                <w:color w:val="000000" w:themeColor="text1"/>
              </w:rPr>
            </w:pPr>
            <w:r w:rsidRPr="00286216">
              <w:rPr>
                <w:color w:val="000000" w:themeColor="text1"/>
              </w:rPr>
              <w:t>Стаття 139. Регулювання ринків капіталу</w:t>
            </w:r>
          </w:p>
        </w:tc>
      </w:tr>
      <w:tr w:rsidR="004D649E" w:rsidRPr="00286216" w14:paraId="37CBB11C" w14:textId="77777777" w:rsidTr="00091AA5">
        <w:tc>
          <w:tcPr>
            <w:tcW w:w="576" w:type="dxa"/>
          </w:tcPr>
          <w:p w14:paraId="155B7B85" w14:textId="77777777" w:rsidR="004D649E" w:rsidRPr="00286216" w:rsidRDefault="004D649E" w:rsidP="004D649E">
            <w:pPr>
              <w:pStyle w:val="StyleWisnow"/>
              <w:rPr>
                <w:color w:val="000000" w:themeColor="text1"/>
              </w:rPr>
            </w:pPr>
            <w:bookmarkStart w:id="2049" w:name="n2280" w:colFirst="0" w:colLast="0"/>
            <w:bookmarkEnd w:id="2047"/>
            <w:r w:rsidRPr="00286216">
              <w:rPr>
                <w:color w:val="000000" w:themeColor="text1"/>
              </w:rPr>
              <w:t>2280.</w:t>
            </w:r>
          </w:p>
        </w:tc>
        <w:tc>
          <w:tcPr>
            <w:tcW w:w="4818" w:type="dxa"/>
          </w:tcPr>
          <w:p w14:paraId="719E5E20" w14:textId="77777777" w:rsidR="004D649E" w:rsidRPr="00286216" w:rsidRDefault="004D649E" w:rsidP="004D649E">
            <w:pPr>
              <w:pStyle w:val="StyleZakonu"/>
              <w:rPr>
                <w:color w:val="000000" w:themeColor="text1"/>
              </w:rPr>
            </w:pPr>
            <w:r w:rsidRPr="00286216">
              <w:rPr>
                <w:color w:val="000000" w:themeColor="text1"/>
              </w:rPr>
              <w:t>1. Регулювання ринків капіталу здійснює держава та саморегулівні організації.</w:t>
            </w:r>
          </w:p>
        </w:tc>
        <w:tc>
          <w:tcPr>
            <w:tcW w:w="3686" w:type="dxa"/>
          </w:tcPr>
          <w:p w14:paraId="638DF665" w14:textId="77777777" w:rsidR="004D649E" w:rsidRPr="00286216" w:rsidRDefault="004D649E" w:rsidP="004D649E">
            <w:pPr>
              <w:pStyle w:val="StyleProp"/>
              <w:rPr>
                <w:color w:val="000000" w:themeColor="text1"/>
                <w:szCs w:val="18"/>
              </w:rPr>
            </w:pPr>
          </w:p>
        </w:tc>
        <w:tc>
          <w:tcPr>
            <w:tcW w:w="1987" w:type="dxa"/>
          </w:tcPr>
          <w:p w14:paraId="58327BCC"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23C42BA9" w14:textId="780AB752" w:rsidR="004D649E" w:rsidRPr="00286216" w:rsidRDefault="004D649E" w:rsidP="004D649E">
            <w:pPr>
              <w:pStyle w:val="StyleZakonu"/>
              <w:rPr>
                <w:color w:val="000000" w:themeColor="text1"/>
              </w:rPr>
            </w:pPr>
            <w:r w:rsidRPr="00286216">
              <w:rPr>
                <w:color w:val="000000" w:themeColor="text1"/>
              </w:rPr>
              <w:t>1. Регулювання ринків капіталу здійснюють держава та саморегулівні організації.</w:t>
            </w:r>
          </w:p>
        </w:tc>
      </w:tr>
      <w:tr w:rsidR="004D649E" w:rsidRPr="00286216" w14:paraId="147F0232" w14:textId="77777777" w:rsidTr="00091AA5">
        <w:tc>
          <w:tcPr>
            <w:tcW w:w="576" w:type="dxa"/>
          </w:tcPr>
          <w:p w14:paraId="1C565A4A" w14:textId="77777777" w:rsidR="004D649E" w:rsidRPr="00286216" w:rsidRDefault="004D649E" w:rsidP="004D649E">
            <w:pPr>
              <w:pStyle w:val="StyleWisnow"/>
              <w:rPr>
                <w:color w:val="000000" w:themeColor="text1"/>
              </w:rPr>
            </w:pPr>
            <w:bookmarkStart w:id="2050" w:name="n2281" w:colFirst="0" w:colLast="0"/>
            <w:bookmarkEnd w:id="2049"/>
            <w:r w:rsidRPr="00286216">
              <w:rPr>
                <w:color w:val="000000" w:themeColor="text1"/>
              </w:rPr>
              <w:t>2281.</w:t>
            </w:r>
          </w:p>
        </w:tc>
        <w:tc>
          <w:tcPr>
            <w:tcW w:w="4818" w:type="dxa"/>
          </w:tcPr>
          <w:p w14:paraId="37D27790" w14:textId="77777777" w:rsidR="004D649E" w:rsidRPr="00286216" w:rsidRDefault="004D649E" w:rsidP="004D649E">
            <w:pPr>
              <w:pStyle w:val="StyleZakonu"/>
              <w:rPr>
                <w:color w:val="000000" w:themeColor="text1"/>
              </w:rPr>
            </w:pPr>
            <w:r w:rsidRPr="00286216">
              <w:rPr>
                <w:color w:val="000000" w:themeColor="text1"/>
              </w:rPr>
              <w:t>2. Державне регулювання ринків капіталу здійснює Національна комісія з цінних паперів та фондового ринку, а також інші державні органи у межах своїх повноважень, визначених законом.</w:t>
            </w:r>
          </w:p>
        </w:tc>
        <w:tc>
          <w:tcPr>
            <w:tcW w:w="3686" w:type="dxa"/>
          </w:tcPr>
          <w:p w14:paraId="2041AF5F" w14:textId="77777777" w:rsidR="004D649E" w:rsidRPr="00286216" w:rsidRDefault="004D649E" w:rsidP="004D649E">
            <w:pPr>
              <w:pStyle w:val="StyleProp"/>
              <w:rPr>
                <w:color w:val="000000" w:themeColor="text1"/>
                <w:szCs w:val="18"/>
              </w:rPr>
            </w:pPr>
          </w:p>
        </w:tc>
        <w:tc>
          <w:tcPr>
            <w:tcW w:w="1987" w:type="dxa"/>
          </w:tcPr>
          <w:p w14:paraId="12F1A41C"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5B317C6B" w14:textId="6444B278" w:rsidR="004D649E" w:rsidRPr="00286216" w:rsidRDefault="004D649E" w:rsidP="004D649E">
            <w:pPr>
              <w:pStyle w:val="StyleZakonu"/>
              <w:rPr>
                <w:color w:val="000000" w:themeColor="text1"/>
              </w:rPr>
            </w:pPr>
            <w:r w:rsidRPr="00286216">
              <w:rPr>
                <w:color w:val="000000" w:themeColor="text1"/>
              </w:rPr>
              <w:t>2. Державне регулювання ринків капіталу здійснює Національна комісія з цінних паперів та фондового ринку, а також інші державні органи у межах повноважень, визначених законом.</w:t>
            </w:r>
          </w:p>
        </w:tc>
      </w:tr>
      <w:tr w:rsidR="004D649E" w:rsidRPr="00286216" w14:paraId="5BCD6054" w14:textId="77777777" w:rsidTr="00091AA5">
        <w:tc>
          <w:tcPr>
            <w:tcW w:w="576" w:type="dxa"/>
          </w:tcPr>
          <w:p w14:paraId="6783EC2A" w14:textId="77777777" w:rsidR="004D649E" w:rsidRPr="00286216" w:rsidRDefault="004D649E" w:rsidP="004D649E">
            <w:pPr>
              <w:pStyle w:val="StyleWisnow"/>
              <w:rPr>
                <w:color w:val="000000" w:themeColor="text1"/>
              </w:rPr>
            </w:pPr>
            <w:bookmarkStart w:id="2051" w:name="n2282" w:colFirst="0" w:colLast="0"/>
            <w:bookmarkEnd w:id="2050"/>
            <w:r w:rsidRPr="00286216">
              <w:rPr>
                <w:color w:val="000000" w:themeColor="text1"/>
              </w:rPr>
              <w:t>2282.</w:t>
            </w:r>
          </w:p>
        </w:tc>
        <w:tc>
          <w:tcPr>
            <w:tcW w:w="4818" w:type="dxa"/>
          </w:tcPr>
          <w:p w14:paraId="4B07E358" w14:textId="77777777" w:rsidR="004D649E" w:rsidRPr="00286216" w:rsidRDefault="004D649E" w:rsidP="004D649E">
            <w:pPr>
              <w:pStyle w:val="StyleZakonu"/>
              <w:rPr>
                <w:color w:val="000000" w:themeColor="text1"/>
              </w:rPr>
            </w:pPr>
            <w:r w:rsidRPr="00286216">
              <w:rPr>
                <w:color w:val="000000" w:themeColor="text1"/>
              </w:rPr>
              <w:t>3. Державне регулювання регульованих грошових ринків здійснюється:</w:t>
            </w:r>
          </w:p>
        </w:tc>
        <w:tc>
          <w:tcPr>
            <w:tcW w:w="3686" w:type="dxa"/>
          </w:tcPr>
          <w:p w14:paraId="08A989E1" w14:textId="77777777" w:rsidR="004D649E" w:rsidRPr="00286216" w:rsidRDefault="004D649E" w:rsidP="004D649E">
            <w:pPr>
              <w:pStyle w:val="StyleProp"/>
              <w:rPr>
                <w:color w:val="000000" w:themeColor="text1"/>
                <w:szCs w:val="18"/>
              </w:rPr>
            </w:pPr>
          </w:p>
        </w:tc>
        <w:tc>
          <w:tcPr>
            <w:tcW w:w="1987" w:type="dxa"/>
          </w:tcPr>
          <w:p w14:paraId="6B1B2738"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0BBC8F2D" w14:textId="1E3B341C" w:rsidR="004D649E" w:rsidRPr="00286216" w:rsidRDefault="004D649E" w:rsidP="004D649E">
            <w:pPr>
              <w:pStyle w:val="StyleZakonu"/>
              <w:rPr>
                <w:color w:val="000000" w:themeColor="text1"/>
              </w:rPr>
            </w:pPr>
            <w:r w:rsidRPr="00286216">
              <w:rPr>
                <w:color w:val="000000" w:themeColor="text1"/>
              </w:rPr>
              <w:t>3. Державне регулювання регульованих грошових ринків здійснюється:</w:t>
            </w:r>
          </w:p>
        </w:tc>
      </w:tr>
      <w:tr w:rsidR="004D649E" w:rsidRPr="00286216" w14:paraId="34DB97DD" w14:textId="77777777" w:rsidTr="00091AA5">
        <w:tc>
          <w:tcPr>
            <w:tcW w:w="576" w:type="dxa"/>
          </w:tcPr>
          <w:p w14:paraId="70F54C15" w14:textId="77777777" w:rsidR="004D649E" w:rsidRPr="00286216" w:rsidRDefault="004D649E" w:rsidP="004D649E">
            <w:pPr>
              <w:pStyle w:val="StyleWisnow"/>
              <w:rPr>
                <w:color w:val="000000" w:themeColor="text1"/>
              </w:rPr>
            </w:pPr>
            <w:bookmarkStart w:id="2052" w:name="n2283" w:colFirst="0" w:colLast="0"/>
            <w:bookmarkEnd w:id="2051"/>
            <w:r w:rsidRPr="00286216">
              <w:rPr>
                <w:color w:val="000000" w:themeColor="text1"/>
              </w:rPr>
              <w:t>2283.</w:t>
            </w:r>
          </w:p>
        </w:tc>
        <w:tc>
          <w:tcPr>
            <w:tcW w:w="4818" w:type="dxa"/>
          </w:tcPr>
          <w:p w14:paraId="0D74AC1B" w14:textId="77777777" w:rsidR="004D649E" w:rsidRPr="00286216" w:rsidRDefault="004D649E" w:rsidP="004D649E">
            <w:pPr>
              <w:pStyle w:val="StyleZakonu"/>
              <w:rPr>
                <w:color w:val="000000" w:themeColor="text1"/>
              </w:rPr>
            </w:pPr>
            <w:r w:rsidRPr="00286216">
              <w:rPr>
                <w:color w:val="000000" w:themeColor="text1"/>
              </w:rPr>
              <w:t>1) Національною комісією з цінних паперів та фондового ринку - щодо правил функціонування регульованого ринку, клірингу зобов’язань за договорами, укладеними на такому ринку, а також протидії маніпулюванню та іншим зловживанням на такому регульованому грошовому ринку;</w:t>
            </w:r>
          </w:p>
        </w:tc>
        <w:tc>
          <w:tcPr>
            <w:tcW w:w="3686" w:type="dxa"/>
          </w:tcPr>
          <w:p w14:paraId="4FFB3FA1" w14:textId="77777777" w:rsidR="004D649E" w:rsidRPr="00286216" w:rsidRDefault="004D649E" w:rsidP="004D649E">
            <w:pPr>
              <w:pStyle w:val="StyleProp"/>
              <w:rPr>
                <w:color w:val="000000" w:themeColor="text1"/>
                <w:szCs w:val="18"/>
              </w:rPr>
            </w:pPr>
          </w:p>
        </w:tc>
        <w:tc>
          <w:tcPr>
            <w:tcW w:w="1987" w:type="dxa"/>
          </w:tcPr>
          <w:p w14:paraId="74C4E9B0" w14:textId="77777777" w:rsidR="004D649E" w:rsidRPr="00286216" w:rsidRDefault="004D649E" w:rsidP="004D649E">
            <w:pPr>
              <w:pStyle w:val="StyleWisnow"/>
              <w:spacing w:line="180" w:lineRule="exact"/>
              <w:rPr>
                <w:rFonts w:eastAsia="Calibri"/>
                <w:color w:val="000000" w:themeColor="text1"/>
              </w:rPr>
            </w:pPr>
          </w:p>
        </w:tc>
        <w:tc>
          <w:tcPr>
            <w:tcW w:w="4818" w:type="dxa"/>
          </w:tcPr>
          <w:p w14:paraId="4145FBD9" w14:textId="2F99DD51" w:rsidR="004D649E" w:rsidRPr="00286216" w:rsidRDefault="004D649E" w:rsidP="004D649E">
            <w:pPr>
              <w:pStyle w:val="StyleZakonu"/>
              <w:rPr>
                <w:color w:val="000000" w:themeColor="text1"/>
              </w:rPr>
            </w:pPr>
            <w:r w:rsidRPr="00286216">
              <w:rPr>
                <w:color w:val="000000" w:themeColor="text1"/>
              </w:rPr>
              <w:t>1) Національною комісією з цінних паперів та фондового ринку - щодо правил функціонування регульованого ринку, клірингу зобов’язань за договорами, укладеними на такому ринку, а також протидії маніпулюванню та іншим зловживанням на такому регульованому грошовому ринку;</w:t>
            </w:r>
          </w:p>
        </w:tc>
      </w:tr>
      <w:tr w:rsidR="004D649E" w:rsidRPr="00286216" w14:paraId="7520220B" w14:textId="77777777" w:rsidTr="00091AA5">
        <w:tc>
          <w:tcPr>
            <w:tcW w:w="576" w:type="dxa"/>
          </w:tcPr>
          <w:p w14:paraId="675DBF91" w14:textId="77777777" w:rsidR="004D649E" w:rsidRPr="00286216" w:rsidRDefault="004D649E" w:rsidP="004D649E">
            <w:pPr>
              <w:pStyle w:val="StyleWisnow"/>
              <w:rPr>
                <w:color w:val="000000" w:themeColor="text1"/>
              </w:rPr>
            </w:pPr>
            <w:bookmarkStart w:id="2053" w:name="n2284" w:colFirst="0" w:colLast="0"/>
            <w:bookmarkEnd w:id="2052"/>
            <w:r w:rsidRPr="00286216">
              <w:rPr>
                <w:color w:val="000000" w:themeColor="text1"/>
              </w:rPr>
              <w:lastRenderedPageBreak/>
              <w:t>2284.</w:t>
            </w:r>
          </w:p>
        </w:tc>
        <w:tc>
          <w:tcPr>
            <w:tcW w:w="4818" w:type="dxa"/>
          </w:tcPr>
          <w:p w14:paraId="128B060E" w14:textId="77777777" w:rsidR="004D649E" w:rsidRPr="00286216" w:rsidRDefault="004D649E" w:rsidP="004D649E">
            <w:pPr>
              <w:pStyle w:val="StyleZakonu"/>
              <w:rPr>
                <w:color w:val="000000" w:themeColor="text1"/>
              </w:rPr>
            </w:pPr>
            <w:r w:rsidRPr="00286216">
              <w:rPr>
                <w:color w:val="000000" w:themeColor="text1"/>
              </w:rPr>
              <w:t>2) Національним банком України - щодо правил поставки інструментів грошового ринку та валютних цінностей, допущених до торгів на такому ринку.</w:t>
            </w:r>
          </w:p>
        </w:tc>
        <w:tc>
          <w:tcPr>
            <w:tcW w:w="3686" w:type="dxa"/>
          </w:tcPr>
          <w:p w14:paraId="7A73FB88" w14:textId="37AEC7DE"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1094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5E3F896" w14:textId="0C284689" w:rsidR="004D649E" w:rsidRPr="00286216" w:rsidRDefault="004D649E" w:rsidP="004D649E">
            <w:pPr>
              <w:pStyle w:val="StyleProp"/>
              <w:spacing w:line="180" w:lineRule="exact"/>
              <w:rPr>
                <w:color w:val="000000" w:themeColor="text1"/>
                <w:szCs w:val="18"/>
              </w:rPr>
            </w:pPr>
            <w:r w:rsidRPr="00286216">
              <w:rPr>
                <w:color w:val="000000" w:themeColor="text1"/>
              </w:rPr>
              <w:t>Пункт 2 частини третьої статті 135 після слів «інструментів грошового ринку» доповнити словами «крім цінних паперів».</w:t>
            </w:r>
          </w:p>
        </w:tc>
        <w:tc>
          <w:tcPr>
            <w:tcW w:w="1987" w:type="dxa"/>
          </w:tcPr>
          <w:p w14:paraId="45C492EB"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Враховано</w:t>
            </w:r>
          </w:p>
        </w:tc>
        <w:tc>
          <w:tcPr>
            <w:tcW w:w="4818" w:type="dxa"/>
          </w:tcPr>
          <w:p w14:paraId="2145281A" w14:textId="7F6381E7" w:rsidR="004D649E" w:rsidRPr="00286216" w:rsidRDefault="004D649E" w:rsidP="004D649E">
            <w:pPr>
              <w:pStyle w:val="StyleZakonu"/>
              <w:spacing w:after="0"/>
              <w:rPr>
                <w:color w:val="000000" w:themeColor="text1"/>
              </w:rPr>
            </w:pPr>
            <w:r w:rsidRPr="00286216">
              <w:rPr>
                <w:color w:val="000000" w:themeColor="text1"/>
              </w:rPr>
              <w:t>2) Національним банком України - щодо правил поставки інструментів грошового ринку (крім цінних паперів) та валютних цінностей, допущених до торгів на такому ринку.</w:t>
            </w:r>
          </w:p>
        </w:tc>
      </w:tr>
      <w:bookmarkEnd w:id="2053"/>
      <w:tr w:rsidR="004D649E" w:rsidRPr="00286216" w14:paraId="56ADF0E3" w14:textId="77777777" w:rsidTr="00091AA5">
        <w:tc>
          <w:tcPr>
            <w:tcW w:w="576" w:type="dxa"/>
          </w:tcPr>
          <w:p w14:paraId="6CC6ED77" w14:textId="77777777" w:rsidR="004D649E" w:rsidRPr="00286216" w:rsidRDefault="004D649E" w:rsidP="004D649E">
            <w:pPr>
              <w:pStyle w:val="StyleWisnow"/>
              <w:rPr>
                <w:color w:val="000000" w:themeColor="text1"/>
              </w:rPr>
            </w:pPr>
          </w:p>
        </w:tc>
        <w:tc>
          <w:tcPr>
            <w:tcW w:w="4818" w:type="dxa"/>
          </w:tcPr>
          <w:p w14:paraId="2690D69C" w14:textId="77777777" w:rsidR="004D649E" w:rsidRPr="00286216" w:rsidRDefault="004D649E" w:rsidP="004D649E">
            <w:pPr>
              <w:pStyle w:val="StyleZakonu"/>
              <w:rPr>
                <w:color w:val="000000" w:themeColor="text1"/>
              </w:rPr>
            </w:pPr>
          </w:p>
        </w:tc>
        <w:tc>
          <w:tcPr>
            <w:tcW w:w="3686" w:type="dxa"/>
          </w:tcPr>
          <w:p w14:paraId="1D85D333" w14:textId="34AFF214" w:rsidR="004D649E" w:rsidRPr="00286216" w:rsidRDefault="004D649E" w:rsidP="004D649E">
            <w:pPr>
              <w:pStyle w:val="StyleAwt"/>
              <w:rPr>
                <w:color w:val="000000" w:themeColor="text1"/>
                <w:spacing w:val="-2"/>
                <w:szCs w:val="18"/>
              </w:rPr>
            </w:pPr>
            <w:r w:rsidRPr="00286216">
              <w:rPr>
                <w:color w:val="000000" w:themeColor="text1"/>
                <w:spacing w:val="-2"/>
                <w:szCs w:val="18"/>
              </w:rPr>
              <w:t>-</w:t>
            </w:r>
            <w:r w:rsidRPr="00286216">
              <w:rPr>
                <w:color w:val="000000" w:themeColor="text1"/>
                <w:spacing w:val="-2"/>
                <w:szCs w:val="18"/>
              </w:rPr>
              <w:fldChar w:fldCharType="begin"/>
            </w:r>
            <w:r w:rsidRPr="00286216">
              <w:rPr>
                <w:color w:val="000000" w:themeColor="text1"/>
                <w:spacing w:val="-2"/>
                <w:szCs w:val="18"/>
              </w:rPr>
              <w:instrText xml:space="preserve"> SEQ aa </w:instrText>
            </w:r>
            <w:r w:rsidRPr="00286216">
              <w:rPr>
                <w:color w:val="000000" w:themeColor="text1"/>
                <w:spacing w:val="-2"/>
                <w:szCs w:val="18"/>
              </w:rPr>
              <w:fldChar w:fldCharType="separate"/>
            </w:r>
            <w:r w:rsidR="00C46B29">
              <w:rPr>
                <w:noProof/>
                <w:color w:val="000000" w:themeColor="text1"/>
                <w:spacing w:val="-2"/>
                <w:szCs w:val="18"/>
              </w:rPr>
              <w:t>1095</w:t>
            </w:r>
            <w:r w:rsidRPr="00286216">
              <w:rPr>
                <w:color w:val="000000" w:themeColor="text1"/>
                <w:spacing w:val="-2"/>
                <w:szCs w:val="18"/>
              </w:rPr>
              <w:fldChar w:fldCharType="end"/>
            </w:r>
            <w:r w:rsidRPr="00286216">
              <w:rPr>
                <w:color w:val="000000" w:themeColor="text1"/>
                <w:spacing w:val="-2"/>
                <w:szCs w:val="18"/>
              </w:rPr>
              <w:t>-Н.д.Цабаль В.В.(Реєстр.картка №444)</w:t>
            </w:r>
          </w:p>
          <w:p w14:paraId="32040BAB" w14:textId="204009B5" w:rsidR="004D649E" w:rsidRPr="00286216" w:rsidRDefault="004D649E" w:rsidP="004D649E">
            <w:pPr>
              <w:pStyle w:val="StyleProp"/>
              <w:rPr>
                <w:color w:val="000000" w:themeColor="text1"/>
                <w:spacing w:val="-4"/>
              </w:rPr>
            </w:pPr>
            <w:r w:rsidRPr="00286216">
              <w:rPr>
                <w:color w:val="000000" w:themeColor="text1"/>
                <w:spacing w:val="-4"/>
              </w:rPr>
              <w:t>У пункті 2 частини 3 статті 135 слова «інструментів грошового ринку та» виключити.</w:t>
            </w:r>
          </w:p>
        </w:tc>
        <w:tc>
          <w:tcPr>
            <w:tcW w:w="1987" w:type="dxa"/>
          </w:tcPr>
          <w:p w14:paraId="4C886A6D"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Відхилено</w:t>
            </w:r>
          </w:p>
          <w:p w14:paraId="6040652D" w14:textId="30758D52" w:rsidR="004D649E" w:rsidRPr="00286216" w:rsidDel="00432018" w:rsidRDefault="004D649E" w:rsidP="004D649E">
            <w:pPr>
              <w:pStyle w:val="StyleWisnow"/>
              <w:spacing w:line="180" w:lineRule="exact"/>
              <w:rPr>
                <w:rFonts w:eastAsia="Calibri"/>
                <w:color w:val="000000" w:themeColor="text1"/>
              </w:rPr>
            </w:pPr>
            <w:r w:rsidRPr="00286216">
              <w:rPr>
                <w:rFonts w:eastAsia="Calibri"/>
                <w:color w:val="000000" w:themeColor="text1"/>
              </w:rPr>
              <w:t>такі інструменти (крім цінних паперів) – компетенція НБУ</w:t>
            </w:r>
          </w:p>
        </w:tc>
        <w:tc>
          <w:tcPr>
            <w:tcW w:w="4818" w:type="dxa"/>
          </w:tcPr>
          <w:p w14:paraId="2176692F" w14:textId="77777777" w:rsidR="004D649E" w:rsidRPr="00286216" w:rsidRDefault="004D649E" w:rsidP="004D649E">
            <w:pPr>
              <w:pStyle w:val="StyleZakonu"/>
              <w:rPr>
                <w:color w:val="000000" w:themeColor="text1"/>
              </w:rPr>
            </w:pPr>
          </w:p>
        </w:tc>
      </w:tr>
      <w:tr w:rsidR="004D649E" w:rsidRPr="00286216" w14:paraId="56444EDA" w14:textId="77777777" w:rsidTr="00091AA5">
        <w:tc>
          <w:tcPr>
            <w:tcW w:w="576" w:type="dxa"/>
          </w:tcPr>
          <w:p w14:paraId="69FF12DF" w14:textId="77777777" w:rsidR="004D649E" w:rsidRPr="00286216" w:rsidRDefault="004D649E" w:rsidP="004D649E">
            <w:pPr>
              <w:pStyle w:val="StyleWisnow"/>
              <w:rPr>
                <w:color w:val="000000" w:themeColor="text1"/>
              </w:rPr>
            </w:pPr>
            <w:bookmarkStart w:id="2054" w:name="n2285" w:colFirst="0" w:colLast="0"/>
            <w:r w:rsidRPr="00286216">
              <w:rPr>
                <w:color w:val="000000" w:themeColor="text1"/>
              </w:rPr>
              <w:t>2285.</w:t>
            </w:r>
          </w:p>
        </w:tc>
        <w:tc>
          <w:tcPr>
            <w:tcW w:w="4818" w:type="dxa"/>
          </w:tcPr>
          <w:p w14:paraId="7983F01E" w14:textId="77777777" w:rsidR="004D649E" w:rsidRPr="00286216" w:rsidRDefault="004D649E" w:rsidP="004D649E">
            <w:pPr>
              <w:pStyle w:val="StyleZakonu"/>
              <w:rPr>
                <w:color w:val="000000" w:themeColor="text1"/>
              </w:rPr>
            </w:pPr>
            <w:bookmarkStart w:id="2055" w:name="_Ref18584943"/>
            <w:bookmarkStart w:id="2056" w:name="_Ref18735957"/>
            <w:r w:rsidRPr="00286216">
              <w:rPr>
                <w:color w:val="000000" w:themeColor="text1"/>
              </w:rPr>
              <w:t>Стаття 136. Мова документів, що створюються та/або оприлюднюються та/або подаються до Національної комісії з цінних паперів та фондового ринку іноземними юридичними особами та фізичними особами</w:t>
            </w:r>
            <w:bookmarkEnd w:id="2055"/>
            <w:r w:rsidRPr="00286216">
              <w:rPr>
                <w:color w:val="000000" w:themeColor="text1"/>
              </w:rPr>
              <w:t>-іноземцями</w:t>
            </w:r>
            <w:bookmarkEnd w:id="2056"/>
          </w:p>
        </w:tc>
        <w:tc>
          <w:tcPr>
            <w:tcW w:w="3686" w:type="dxa"/>
          </w:tcPr>
          <w:p w14:paraId="559F9972" w14:textId="18E0D6A0" w:rsidR="004D649E" w:rsidRPr="00286216" w:rsidRDefault="004D649E" w:rsidP="004D649E">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1096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1D696FA1" w14:textId="6A2D6DD9" w:rsidR="004D649E" w:rsidRPr="00286216" w:rsidRDefault="004D649E" w:rsidP="004D649E">
            <w:pPr>
              <w:pStyle w:val="StyleProp"/>
              <w:rPr>
                <w:color w:val="000000" w:themeColor="text1"/>
                <w:szCs w:val="18"/>
              </w:rPr>
            </w:pPr>
            <w:r w:rsidRPr="00286216">
              <w:rPr>
                <w:color w:val="000000" w:themeColor="text1"/>
              </w:rPr>
              <w:t>Статті 97,121,136 розділу 1 законопроекту виключити.</w:t>
            </w:r>
          </w:p>
        </w:tc>
        <w:tc>
          <w:tcPr>
            <w:tcW w:w="1987" w:type="dxa"/>
          </w:tcPr>
          <w:p w14:paraId="21D62A40"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Відхилено</w:t>
            </w:r>
          </w:p>
          <w:p w14:paraId="70EC404A" w14:textId="29217E31"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з метою імплементація актів ЄС відповідно до Угоди про ассоціацію</w:t>
            </w:r>
          </w:p>
        </w:tc>
        <w:tc>
          <w:tcPr>
            <w:tcW w:w="4818" w:type="dxa"/>
          </w:tcPr>
          <w:p w14:paraId="326B37B1" w14:textId="47EFBD6B" w:rsidR="004D649E" w:rsidRPr="00286216" w:rsidRDefault="004D649E" w:rsidP="004D649E">
            <w:pPr>
              <w:pStyle w:val="StyleZakonu"/>
              <w:rPr>
                <w:color w:val="000000" w:themeColor="text1"/>
              </w:rPr>
            </w:pPr>
            <w:r w:rsidRPr="00286216">
              <w:rPr>
                <w:color w:val="000000" w:themeColor="text1"/>
              </w:rPr>
              <w:t>Стаття 140. Мова документів, що створюються та/або оприлюднюються, та/або подаються до Національної комісії з цінних паперів та фондового ринку іноземними юридичними особами та фізичними особами - іноземцями</w:t>
            </w:r>
          </w:p>
        </w:tc>
      </w:tr>
      <w:tr w:rsidR="004D649E" w:rsidRPr="00286216" w14:paraId="475A12C8" w14:textId="77777777" w:rsidTr="00091AA5">
        <w:tc>
          <w:tcPr>
            <w:tcW w:w="576" w:type="dxa"/>
          </w:tcPr>
          <w:p w14:paraId="1591DAF6" w14:textId="77777777" w:rsidR="004D649E" w:rsidRPr="00286216" w:rsidRDefault="004D649E" w:rsidP="004D649E">
            <w:pPr>
              <w:pStyle w:val="StyleWisnow"/>
              <w:rPr>
                <w:color w:val="000000" w:themeColor="text1"/>
              </w:rPr>
            </w:pPr>
            <w:bookmarkStart w:id="2057" w:name="n2286" w:colFirst="0" w:colLast="0"/>
            <w:bookmarkEnd w:id="2054"/>
            <w:r w:rsidRPr="00286216">
              <w:rPr>
                <w:color w:val="000000" w:themeColor="text1"/>
              </w:rPr>
              <w:t>2286.</w:t>
            </w:r>
          </w:p>
        </w:tc>
        <w:tc>
          <w:tcPr>
            <w:tcW w:w="4818" w:type="dxa"/>
          </w:tcPr>
          <w:p w14:paraId="1789DA13" w14:textId="77777777" w:rsidR="004D649E" w:rsidRPr="00286216" w:rsidRDefault="004D649E" w:rsidP="004D649E">
            <w:pPr>
              <w:pStyle w:val="StyleZakonu"/>
              <w:rPr>
                <w:color w:val="000000" w:themeColor="text1"/>
              </w:rPr>
            </w:pPr>
            <w:r w:rsidRPr="00286216">
              <w:rPr>
                <w:color w:val="000000" w:themeColor="text1"/>
              </w:rPr>
              <w:t>1. Документи, що у порядку, передбаченому цим Законом, створюються та/або оприлюднюються та/або подаються до Національної комісії з цінних паперів та фондового ринку іноземними юридичними особами та фізичними особами-іноземцями можуть бути складені на їх вибір англійською мовою або державною мовою України.</w:t>
            </w:r>
          </w:p>
        </w:tc>
        <w:tc>
          <w:tcPr>
            <w:tcW w:w="3686" w:type="dxa"/>
          </w:tcPr>
          <w:p w14:paraId="1E7FC20D" w14:textId="1BAA6D9A" w:rsidR="004D649E" w:rsidRPr="00286216" w:rsidRDefault="004D649E" w:rsidP="004D649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1097</w:t>
            </w:r>
            <w:r w:rsidRPr="00286216">
              <w:rPr>
                <w:color w:val="000000" w:themeColor="text1"/>
                <w:spacing w:val="-3"/>
              </w:rPr>
              <w:fldChar w:fldCharType="end"/>
            </w:r>
            <w:r w:rsidRPr="00286216">
              <w:rPr>
                <w:color w:val="000000" w:themeColor="text1"/>
                <w:spacing w:val="-3"/>
              </w:rPr>
              <w:t>-Н.д.Шахов С.В. (Реєстр.картка №114)</w:t>
            </w:r>
          </w:p>
          <w:p w14:paraId="26443A93" w14:textId="77777777" w:rsidR="004D649E" w:rsidRPr="00286216" w:rsidRDefault="004D649E" w:rsidP="004D649E">
            <w:pPr>
              <w:pStyle w:val="StyleProp"/>
              <w:spacing w:line="180" w:lineRule="exact"/>
              <w:rPr>
                <w:color w:val="000000" w:themeColor="text1"/>
              </w:rPr>
            </w:pPr>
            <w:r w:rsidRPr="00286216">
              <w:rPr>
                <w:color w:val="000000" w:themeColor="text1"/>
                <w:spacing w:val="-2"/>
              </w:rPr>
              <w:t>У частині першій статті 136 слова "</w:t>
            </w:r>
            <w:r w:rsidRPr="00286216">
              <w:rPr>
                <w:color w:val="000000" w:themeColor="text1"/>
              </w:rPr>
              <w:t>до Національної комісії з цінних паперів та фондового ринку" замінити словами "</w:t>
            </w:r>
            <w:r w:rsidRPr="00286216">
              <w:rPr>
                <w:color w:val="000000" w:themeColor="text1"/>
                <w:spacing w:val="-2"/>
              </w:rPr>
              <w:t>регулятору відповідного ринку".</w:t>
            </w:r>
          </w:p>
          <w:p w14:paraId="2287E8AE" w14:textId="242B69B4" w:rsidR="004D649E" w:rsidRPr="00286216" w:rsidRDefault="004D649E" w:rsidP="004D649E">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1098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2F6156E" w14:textId="77777777" w:rsidR="004D649E" w:rsidRPr="00286216" w:rsidRDefault="004D649E" w:rsidP="004D649E">
            <w:pPr>
              <w:pStyle w:val="StyleProp"/>
              <w:spacing w:line="180" w:lineRule="exact"/>
              <w:rPr>
                <w:rFonts w:eastAsia="Calibri"/>
                <w:color w:val="000000" w:themeColor="text1"/>
                <w:szCs w:val="18"/>
              </w:rPr>
            </w:pPr>
            <w:r w:rsidRPr="00286216">
              <w:rPr>
                <w:rFonts w:eastAsia="Calibri"/>
                <w:color w:val="000000" w:themeColor="text1"/>
                <w:szCs w:val="18"/>
              </w:rPr>
              <w:t>В абзаці першому частини першої статті 136 Закону України «Про ринки капіталу та організовані товарні ринки» слова «можуть бути складені на їх вибір англійською мовою та/або державною мовою України» замінити словами «складаються англійською мовою та/або державною мовою України».</w:t>
            </w:r>
          </w:p>
        </w:tc>
        <w:tc>
          <w:tcPr>
            <w:tcW w:w="1987" w:type="dxa"/>
          </w:tcPr>
          <w:p w14:paraId="45A0FBF8"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Відхилено</w:t>
            </w:r>
          </w:p>
          <w:p w14:paraId="4BEF3F38" w14:textId="046F4A7C"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 xml:space="preserve">НКЦПФР - регулятор </w:t>
            </w:r>
          </w:p>
          <w:p w14:paraId="3459374A" w14:textId="77777777" w:rsidR="004D649E" w:rsidRPr="00286216" w:rsidRDefault="004D649E" w:rsidP="004D649E">
            <w:pPr>
              <w:pStyle w:val="StyleWisnow"/>
              <w:spacing w:line="180" w:lineRule="exact"/>
              <w:rPr>
                <w:rFonts w:eastAsia="Calibri"/>
                <w:color w:val="000000" w:themeColor="text1"/>
              </w:rPr>
            </w:pPr>
          </w:p>
          <w:p w14:paraId="5DAAD398" w14:textId="77777777" w:rsidR="004D649E" w:rsidRPr="00286216" w:rsidRDefault="004D649E" w:rsidP="004D649E">
            <w:pPr>
              <w:pStyle w:val="StyleWisnow"/>
              <w:spacing w:line="180" w:lineRule="exact"/>
              <w:rPr>
                <w:rFonts w:eastAsia="Calibri"/>
                <w:color w:val="000000" w:themeColor="text1"/>
              </w:rPr>
            </w:pPr>
          </w:p>
          <w:p w14:paraId="7D845385" w14:textId="77777777" w:rsidR="004D649E" w:rsidRPr="00286216" w:rsidRDefault="004D649E" w:rsidP="004D649E">
            <w:pPr>
              <w:pStyle w:val="StyleWisnow"/>
              <w:spacing w:line="180" w:lineRule="exact"/>
              <w:rPr>
                <w:rFonts w:eastAsia="Calibri"/>
                <w:color w:val="000000" w:themeColor="text1"/>
              </w:rPr>
            </w:pPr>
          </w:p>
          <w:p w14:paraId="58850555" w14:textId="77777777" w:rsidR="004D649E" w:rsidRPr="00286216" w:rsidRDefault="004D649E" w:rsidP="004D649E">
            <w:pPr>
              <w:pStyle w:val="StyleWisnow"/>
              <w:spacing w:line="180" w:lineRule="exact"/>
              <w:rPr>
                <w:rFonts w:eastAsia="Calibri"/>
                <w:color w:val="000000" w:themeColor="text1"/>
              </w:rPr>
            </w:pPr>
          </w:p>
          <w:p w14:paraId="022A7D00"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Враховано</w:t>
            </w:r>
          </w:p>
          <w:p w14:paraId="330A2ACA" w14:textId="77777777" w:rsidR="004D649E" w:rsidRPr="00286216" w:rsidRDefault="004D649E" w:rsidP="004D649E">
            <w:pPr>
              <w:pStyle w:val="StyleWisnow"/>
              <w:spacing w:line="180" w:lineRule="exact"/>
              <w:rPr>
                <w:color w:val="000000" w:themeColor="text1"/>
              </w:rPr>
            </w:pPr>
          </w:p>
        </w:tc>
        <w:tc>
          <w:tcPr>
            <w:tcW w:w="4818" w:type="dxa"/>
          </w:tcPr>
          <w:p w14:paraId="28184D4C" w14:textId="3BD9AC93" w:rsidR="004D649E" w:rsidRPr="00286216" w:rsidRDefault="004D649E" w:rsidP="004D649E">
            <w:pPr>
              <w:pStyle w:val="StyleZakonu"/>
              <w:rPr>
                <w:color w:val="000000" w:themeColor="text1"/>
              </w:rPr>
            </w:pPr>
            <w:r w:rsidRPr="00286216">
              <w:rPr>
                <w:color w:val="000000" w:themeColor="text1"/>
              </w:rPr>
              <w:t xml:space="preserve">1. Документи, що у порядку, передбаченому цим Законом, створюються та/або оприлюднюються, та/або подаються до Національної комісії з цінних паперів та фондового ринку іноземними юридичними особами та фізичними особами -– іноземцями, </w:t>
            </w:r>
            <w:r w:rsidRPr="00286216">
              <w:rPr>
                <w:color w:val="000000" w:themeColor="text1"/>
                <w:szCs w:val="18"/>
              </w:rPr>
              <w:t>складаються англійською мовою та/або державною мовою України</w:t>
            </w:r>
            <w:r w:rsidRPr="00286216">
              <w:rPr>
                <w:color w:val="000000" w:themeColor="text1"/>
              </w:rPr>
              <w:t>.</w:t>
            </w:r>
          </w:p>
        </w:tc>
      </w:tr>
      <w:tr w:rsidR="004D649E" w:rsidRPr="00286216" w14:paraId="03097FF5" w14:textId="77777777" w:rsidTr="00091AA5">
        <w:tc>
          <w:tcPr>
            <w:tcW w:w="576" w:type="dxa"/>
          </w:tcPr>
          <w:p w14:paraId="658F6902" w14:textId="77777777" w:rsidR="004D649E" w:rsidRPr="00286216" w:rsidRDefault="004D649E" w:rsidP="004D649E">
            <w:pPr>
              <w:pStyle w:val="StyleWisnow"/>
              <w:rPr>
                <w:color w:val="000000" w:themeColor="text1"/>
              </w:rPr>
            </w:pPr>
            <w:bookmarkStart w:id="2058" w:name="n2287" w:colFirst="0" w:colLast="0"/>
            <w:bookmarkEnd w:id="2057"/>
            <w:r w:rsidRPr="00286216">
              <w:rPr>
                <w:color w:val="000000" w:themeColor="text1"/>
              </w:rPr>
              <w:t>2287.</w:t>
            </w:r>
          </w:p>
        </w:tc>
        <w:tc>
          <w:tcPr>
            <w:tcW w:w="4818" w:type="dxa"/>
          </w:tcPr>
          <w:p w14:paraId="49BC5036" w14:textId="77777777" w:rsidR="004D649E" w:rsidRPr="00286216" w:rsidRDefault="004D649E" w:rsidP="004D649E">
            <w:pPr>
              <w:pStyle w:val="StyleZakonu"/>
              <w:rPr>
                <w:color w:val="000000" w:themeColor="text1"/>
              </w:rPr>
            </w:pPr>
            <w:r w:rsidRPr="00286216">
              <w:rPr>
                <w:color w:val="000000" w:themeColor="text1"/>
              </w:rPr>
              <w:t>У разі оформлення проспекту англійською мовою анотація проспекту перекладається на державну мову України.</w:t>
            </w:r>
          </w:p>
        </w:tc>
        <w:tc>
          <w:tcPr>
            <w:tcW w:w="3686" w:type="dxa"/>
          </w:tcPr>
          <w:p w14:paraId="585E0354" w14:textId="77777777" w:rsidR="004D649E" w:rsidRPr="00286216" w:rsidRDefault="004D649E" w:rsidP="004D649E">
            <w:pPr>
              <w:pStyle w:val="StyleProp"/>
              <w:rPr>
                <w:i/>
                <w:color w:val="000000" w:themeColor="text1"/>
                <w:szCs w:val="18"/>
              </w:rPr>
            </w:pPr>
          </w:p>
        </w:tc>
        <w:tc>
          <w:tcPr>
            <w:tcW w:w="1987" w:type="dxa"/>
          </w:tcPr>
          <w:p w14:paraId="29B293F2" w14:textId="77777777" w:rsidR="004D649E" w:rsidRPr="00286216" w:rsidRDefault="004D649E" w:rsidP="004D649E">
            <w:pPr>
              <w:pStyle w:val="StyleWisnow"/>
              <w:rPr>
                <w:color w:val="000000" w:themeColor="text1"/>
              </w:rPr>
            </w:pPr>
          </w:p>
        </w:tc>
        <w:tc>
          <w:tcPr>
            <w:tcW w:w="4818" w:type="dxa"/>
          </w:tcPr>
          <w:p w14:paraId="42E26A01" w14:textId="272EE62D" w:rsidR="004D649E" w:rsidRPr="00286216" w:rsidRDefault="004D649E" w:rsidP="004D649E">
            <w:pPr>
              <w:pStyle w:val="StyleZakonu"/>
              <w:rPr>
                <w:color w:val="000000" w:themeColor="text1"/>
              </w:rPr>
            </w:pPr>
            <w:r w:rsidRPr="00286216">
              <w:rPr>
                <w:color w:val="000000" w:themeColor="text1"/>
              </w:rPr>
              <w:t>У разі оформлення проспекту англійською мовою анотація проспекту перекладається на державну мову України.</w:t>
            </w:r>
          </w:p>
        </w:tc>
      </w:tr>
      <w:tr w:rsidR="004D649E" w:rsidRPr="00286216" w14:paraId="03DDBF88" w14:textId="77777777" w:rsidTr="00091AA5">
        <w:tc>
          <w:tcPr>
            <w:tcW w:w="576" w:type="dxa"/>
          </w:tcPr>
          <w:p w14:paraId="1E7E9A72" w14:textId="77777777" w:rsidR="004D649E" w:rsidRPr="00286216" w:rsidRDefault="004D649E" w:rsidP="004D649E">
            <w:pPr>
              <w:pStyle w:val="StyleWisnow"/>
              <w:rPr>
                <w:color w:val="000000" w:themeColor="text1"/>
              </w:rPr>
            </w:pPr>
            <w:bookmarkStart w:id="2059" w:name="n2288" w:colFirst="0" w:colLast="0"/>
            <w:bookmarkEnd w:id="2058"/>
            <w:r w:rsidRPr="00286216">
              <w:rPr>
                <w:color w:val="000000" w:themeColor="text1"/>
              </w:rPr>
              <w:t>2288.</w:t>
            </w:r>
          </w:p>
        </w:tc>
        <w:tc>
          <w:tcPr>
            <w:tcW w:w="4818" w:type="dxa"/>
          </w:tcPr>
          <w:p w14:paraId="79F7C2FB" w14:textId="77777777" w:rsidR="004D649E" w:rsidRPr="00286216" w:rsidRDefault="004D649E" w:rsidP="004D649E">
            <w:pPr>
              <w:pStyle w:val="StyleZakonu"/>
              <w:rPr>
                <w:color w:val="000000" w:themeColor="text1"/>
              </w:rPr>
            </w:pPr>
            <w:r w:rsidRPr="00286216">
              <w:rPr>
                <w:color w:val="000000" w:themeColor="text1"/>
              </w:rPr>
              <w:t>2. На документах, створених іноземною особою, іншою ніж зазначена в частині першій цієї статті, що оприлюднюються та/або подаються до Національної комісії з цінних паперів та фондового ринку у порядку, передбаченому цим Законом, компетентним органом держави, в якій документ був створений, повинен бути проставлений апостиль, якщо зазначене передбачено міжнародними договорами, згода на обов’язковість яких надана Верховною Радою України. Якщо проставляння апостилю не передбачено міжнародними договорами, згода на обов’язковість яких надана Верховною Радою України, такі документи підлягають легалізації органами Міністерства закордонних справ України.</w:t>
            </w:r>
          </w:p>
        </w:tc>
        <w:tc>
          <w:tcPr>
            <w:tcW w:w="3686" w:type="dxa"/>
          </w:tcPr>
          <w:p w14:paraId="31001789" w14:textId="276EEFAA" w:rsidR="004D649E" w:rsidRPr="00286216" w:rsidRDefault="004D649E" w:rsidP="004D649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1099</w:t>
            </w:r>
            <w:r w:rsidRPr="00286216">
              <w:rPr>
                <w:color w:val="000000" w:themeColor="text1"/>
                <w:spacing w:val="-3"/>
              </w:rPr>
              <w:fldChar w:fldCharType="end"/>
            </w:r>
            <w:r w:rsidRPr="00286216">
              <w:rPr>
                <w:color w:val="000000" w:themeColor="text1"/>
                <w:spacing w:val="-3"/>
              </w:rPr>
              <w:t>-Н.д.Шахов С.В. (Реєстр.картка №114)</w:t>
            </w:r>
          </w:p>
          <w:p w14:paraId="6B93C273" w14:textId="77777777" w:rsidR="004D649E" w:rsidRPr="00286216" w:rsidRDefault="004D649E" w:rsidP="004D649E">
            <w:pPr>
              <w:pStyle w:val="StyleProp"/>
              <w:spacing w:line="180" w:lineRule="exact"/>
              <w:rPr>
                <w:color w:val="000000" w:themeColor="text1"/>
              </w:rPr>
            </w:pPr>
            <w:r w:rsidRPr="00286216">
              <w:rPr>
                <w:color w:val="000000" w:themeColor="text1"/>
                <w:spacing w:val="-2"/>
              </w:rPr>
              <w:t>У частині другій статті 136 слова "</w:t>
            </w:r>
            <w:r w:rsidRPr="00286216">
              <w:rPr>
                <w:color w:val="000000" w:themeColor="text1"/>
              </w:rPr>
              <w:t>до Національної комісії з цінних паперів та фондового ринку" замінити словами "</w:t>
            </w:r>
            <w:r w:rsidRPr="00286216">
              <w:rPr>
                <w:color w:val="000000" w:themeColor="text1"/>
                <w:spacing w:val="-2"/>
              </w:rPr>
              <w:t>регулятору відповідного ринку".</w:t>
            </w:r>
          </w:p>
        </w:tc>
        <w:tc>
          <w:tcPr>
            <w:tcW w:w="1987" w:type="dxa"/>
          </w:tcPr>
          <w:p w14:paraId="1E97B442" w14:textId="77777777"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Відхилено</w:t>
            </w:r>
          </w:p>
          <w:p w14:paraId="6B55ACD6" w14:textId="301F28F3" w:rsidR="004D649E" w:rsidRPr="00286216" w:rsidRDefault="004D649E" w:rsidP="004D649E">
            <w:pPr>
              <w:pStyle w:val="StyleWisnow"/>
              <w:spacing w:line="180" w:lineRule="exact"/>
              <w:rPr>
                <w:rFonts w:eastAsia="Calibri"/>
                <w:color w:val="000000" w:themeColor="text1"/>
              </w:rPr>
            </w:pPr>
            <w:r w:rsidRPr="00286216">
              <w:rPr>
                <w:rFonts w:eastAsia="Calibri"/>
                <w:color w:val="000000" w:themeColor="text1"/>
              </w:rPr>
              <w:t>НКЦПФР - регулятор</w:t>
            </w:r>
          </w:p>
        </w:tc>
        <w:tc>
          <w:tcPr>
            <w:tcW w:w="4818" w:type="dxa"/>
          </w:tcPr>
          <w:p w14:paraId="50D48421" w14:textId="53D39A1B" w:rsidR="004D649E" w:rsidRPr="00286216" w:rsidRDefault="004D649E" w:rsidP="004D649E">
            <w:pPr>
              <w:pStyle w:val="StyleZakonu"/>
              <w:rPr>
                <w:color w:val="000000" w:themeColor="text1"/>
              </w:rPr>
            </w:pPr>
            <w:r w:rsidRPr="00286216">
              <w:rPr>
                <w:color w:val="000000" w:themeColor="text1"/>
              </w:rPr>
              <w:t>2. На документах, створених іноземною особою, іншою, ніж зазначена в частині першій цієї статті, що оприлюднюються та/або подаються до Національної комісії з цінних паперів та фондового ринку у порядку, передбаченому цим Законом, компетентним органом держави, в якій документ був створений, повинен бути проставлений апостиль, якщо передбачено міжнародними договорами, згода на обов’язковість яких надана Верховною Радою України. Якщо проставляння апостиля не передбачено міжнародними договорами, згода на обов’язковість яких надана Верховною Радою України, такі документи підлягають легалізації органами Міністерства закордонних справ України.</w:t>
            </w:r>
          </w:p>
        </w:tc>
      </w:tr>
      <w:tr w:rsidR="004D649E" w:rsidRPr="00286216" w14:paraId="68745388" w14:textId="77777777" w:rsidTr="00091AA5">
        <w:tc>
          <w:tcPr>
            <w:tcW w:w="576" w:type="dxa"/>
          </w:tcPr>
          <w:p w14:paraId="6D097A34" w14:textId="77777777" w:rsidR="004D649E" w:rsidRPr="00286216" w:rsidRDefault="004D649E" w:rsidP="004D649E">
            <w:pPr>
              <w:pStyle w:val="StyleWisnow"/>
              <w:rPr>
                <w:color w:val="000000" w:themeColor="text1"/>
              </w:rPr>
            </w:pPr>
            <w:bookmarkStart w:id="2060" w:name="n2289" w:colFirst="0" w:colLast="0"/>
            <w:bookmarkEnd w:id="2059"/>
            <w:r w:rsidRPr="00286216">
              <w:rPr>
                <w:color w:val="000000" w:themeColor="text1"/>
              </w:rPr>
              <w:t>2289.</w:t>
            </w:r>
          </w:p>
        </w:tc>
        <w:tc>
          <w:tcPr>
            <w:tcW w:w="4818" w:type="dxa"/>
          </w:tcPr>
          <w:p w14:paraId="1FA206C4" w14:textId="77777777" w:rsidR="004D649E" w:rsidRPr="00286216" w:rsidRDefault="004D649E" w:rsidP="004D649E">
            <w:pPr>
              <w:pStyle w:val="StyleZakonu"/>
              <w:rPr>
                <w:color w:val="000000" w:themeColor="text1"/>
              </w:rPr>
            </w:pPr>
            <w:r w:rsidRPr="00286216">
              <w:rPr>
                <w:color w:val="000000" w:themeColor="text1"/>
              </w:rPr>
              <w:t>Якщо такі документи створені іншою мовою, ніж зазначена в частині першій цієї статті, вірність перекладу таких документів повинна бути засвідчена у встановленому законодавством порядку.</w:t>
            </w:r>
          </w:p>
        </w:tc>
        <w:tc>
          <w:tcPr>
            <w:tcW w:w="3686" w:type="dxa"/>
          </w:tcPr>
          <w:p w14:paraId="25EA5A02" w14:textId="77777777" w:rsidR="004D649E" w:rsidRPr="00286216" w:rsidRDefault="004D649E" w:rsidP="004D649E">
            <w:pPr>
              <w:pStyle w:val="StyleProp"/>
              <w:rPr>
                <w:rFonts w:eastAsia="Calibri"/>
                <w:color w:val="000000" w:themeColor="text1"/>
                <w:szCs w:val="18"/>
              </w:rPr>
            </w:pPr>
          </w:p>
        </w:tc>
        <w:tc>
          <w:tcPr>
            <w:tcW w:w="1987" w:type="dxa"/>
          </w:tcPr>
          <w:p w14:paraId="2A8BB92C" w14:textId="77777777" w:rsidR="004D649E" w:rsidRPr="00286216" w:rsidRDefault="004D649E" w:rsidP="004D649E">
            <w:pPr>
              <w:pStyle w:val="StyleWisnow"/>
              <w:spacing w:line="180" w:lineRule="exact"/>
              <w:rPr>
                <w:color w:val="000000" w:themeColor="text1"/>
              </w:rPr>
            </w:pPr>
          </w:p>
        </w:tc>
        <w:tc>
          <w:tcPr>
            <w:tcW w:w="4818" w:type="dxa"/>
          </w:tcPr>
          <w:p w14:paraId="4D4B9A89" w14:textId="42BB3BDC" w:rsidR="004D649E" w:rsidRPr="00286216" w:rsidRDefault="004D649E" w:rsidP="004D649E">
            <w:pPr>
              <w:pStyle w:val="StyleZakonu"/>
              <w:rPr>
                <w:color w:val="000000" w:themeColor="text1"/>
              </w:rPr>
            </w:pPr>
            <w:r w:rsidRPr="00286216">
              <w:rPr>
                <w:color w:val="000000" w:themeColor="text1"/>
              </w:rPr>
              <w:t>Якщо такі документи створені іншою мовою, ніж зазначена в частині першій цієї статті, правильність перекладу таких документів повинна бути засвідчена у встановленому законодавством порядку.</w:t>
            </w:r>
          </w:p>
        </w:tc>
      </w:tr>
      <w:tr w:rsidR="004D649E" w:rsidRPr="00286216" w14:paraId="281AF212" w14:textId="77777777" w:rsidTr="00091AA5">
        <w:tc>
          <w:tcPr>
            <w:tcW w:w="576" w:type="dxa"/>
          </w:tcPr>
          <w:p w14:paraId="51B57979" w14:textId="77777777" w:rsidR="004D649E" w:rsidRPr="00286216" w:rsidRDefault="004D649E" w:rsidP="004D649E">
            <w:pPr>
              <w:pStyle w:val="StyleWisnow"/>
              <w:rPr>
                <w:color w:val="000000" w:themeColor="text1"/>
              </w:rPr>
            </w:pPr>
            <w:bookmarkStart w:id="2061" w:name="n2290" w:colFirst="0" w:colLast="0"/>
            <w:bookmarkEnd w:id="2060"/>
            <w:r w:rsidRPr="00286216">
              <w:rPr>
                <w:color w:val="000000" w:themeColor="text1"/>
              </w:rPr>
              <w:lastRenderedPageBreak/>
              <w:t>2290.</w:t>
            </w:r>
          </w:p>
        </w:tc>
        <w:tc>
          <w:tcPr>
            <w:tcW w:w="4818" w:type="dxa"/>
          </w:tcPr>
          <w:p w14:paraId="3A01F478" w14:textId="77777777" w:rsidR="004D649E" w:rsidRPr="00286216" w:rsidRDefault="004D649E" w:rsidP="004D649E">
            <w:pPr>
              <w:pStyle w:val="StyleZakonu"/>
              <w:rPr>
                <w:color w:val="000000" w:themeColor="text1"/>
              </w:rPr>
            </w:pPr>
            <w:r w:rsidRPr="00286216">
              <w:rPr>
                <w:color w:val="000000" w:themeColor="text1"/>
              </w:rPr>
              <w:t>Для цілей цієї статті термін "іноземна особа" вживається у значенні, наведеному у статті 73 Закону України "Про міжнародне приватне право".</w:t>
            </w:r>
          </w:p>
        </w:tc>
        <w:tc>
          <w:tcPr>
            <w:tcW w:w="3686" w:type="dxa"/>
          </w:tcPr>
          <w:p w14:paraId="780C6D71" w14:textId="77777777" w:rsidR="004D649E" w:rsidRPr="00286216" w:rsidRDefault="004D649E" w:rsidP="004D649E">
            <w:pPr>
              <w:pStyle w:val="StyleProp"/>
              <w:rPr>
                <w:color w:val="000000" w:themeColor="text1"/>
                <w:szCs w:val="18"/>
              </w:rPr>
            </w:pPr>
          </w:p>
        </w:tc>
        <w:tc>
          <w:tcPr>
            <w:tcW w:w="1987" w:type="dxa"/>
          </w:tcPr>
          <w:p w14:paraId="0FCF7DB1" w14:textId="77777777" w:rsidR="004D649E" w:rsidRPr="00286216" w:rsidRDefault="004D649E" w:rsidP="004D649E">
            <w:pPr>
              <w:pStyle w:val="StyleWisnow"/>
              <w:rPr>
                <w:color w:val="000000" w:themeColor="text1"/>
              </w:rPr>
            </w:pPr>
          </w:p>
        </w:tc>
        <w:tc>
          <w:tcPr>
            <w:tcW w:w="4818" w:type="dxa"/>
          </w:tcPr>
          <w:p w14:paraId="2615A9AC" w14:textId="509B0DE1" w:rsidR="004D649E" w:rsidRPr="00286216" w:rsidRDefault="004D649E" w:rsidP="004D649E">
            <w:pPr>
              <w:pStyle w:val="StyleZakonu"/>
              <w:rPr>
                <w:color w:val="000000" w:themeColor="text1"/>
              </w:rPr>
            </w:pPr>
            <w:r w:rsidRPr="00286216">
              <w:rPr>
                <w:color w:val="000000" w:themeColor="text1"/>
              </w:rPr>
              <w:t>Для цілей цієї статті термін "іноземна особа" вживається у значенні, наведеному у статті 73 Закону України "Про міжнародне приватне право".</w:t>
            </w:r>
          </w:p>
        </w:tc>
      </w:tr>
      <w:tr w:rsidR="00826C07" w:rsidRPr="00286216" w14:paraId="22B01886" w14:textId="77777777" w:rsidTr="00091AA5">
        <w:tc>
          <w:tcPr>
            <w:tcW w:w="576" w:type="dxa"/>
          </w:tcPr>
          <w:p w14:paraId="2CC55410" w14:textId="77777777" w:rsidR="00826C07" w:rsidRPr="00286216" w:rsidRDefault="00826C07" w:rsidP="00826C07">
            <w:pPr>
              <w:pStyle w:val="StyleWisnow"/>
              <w:rPr>
                <w:color w:val="000000" w:themeColor="text1"/>
              </w:rPr>
            </w:pPr>
            <w:bookmarkStart w:id="2062" w:name="n2291" w:colFirst="0" w:colLast="0"/>
            <w:bookmarkEnd w:id="2061"/>
            <w:r w:rsidRPr="00286216">
              <w:rPr>
                <w:color w:val="000000" w:themeColor="text1"/>
              </w:rPr>
              <w:t>2291.</w:t>
            </w:r>
          </w:p>
        </w:tc>
        <w:tc>
          <w:tcPr>
            <w:tcW w:w="4818" w:type="dxa"/>
          </w:tcPr>
          <w:p w14:paraId="2936B425" w14:textId="77777777" w:rsidR="00826C07" w:rsidRPr="00286216" w:rsidRDefault="00826C07" w:rsidP="00826C07">
            <w:pPr>
              <w:pStyle w:val="StyleZakonu"/>
              <w:rPr>
                <w:color w:val="000000" w:themeColor="text1"/>
              </w:rPr>
            </w:pPr>
            <w:r w:rsidRPr="00286216">
              <w:rPr>
                <w:color w:val="000000" w:themeColor="text1"/>
              </w:rPr>
              <w:t>Стаття 137. Регулювання організованих товарних ринків</w:t>
            </w:r>
          </w:p>
        </w:tc>
        <w:tc>
          <w:tcPr>
            <w:tcW w:w="3686" w:type="dxa"/>
          </w:tcPr>
          <w:p w14:paraId="32A9AA1D" w14:textId="53FA63C1"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1100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1EFD6A1" w14:textId="77777777" w:rsidR="00826C07" w:rsidRPr="00286216" w:rsidRDefault="00826C07" w:rsidP="00826C0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909ABE3" w14:textId="77777777" w:rsidR="00826C07" w:rsidRPr="00286216" w:rsidRDefault="00826C07" w:rsidP="00826C07">
            <w:pPr>
              <w:pStyle w:val="StyleProp"/>
              <w:rPr>
                <w:color w:val="000000" w:themeColor="text1"/>
              </w:rPr>
            </w:pPr>
            <w:r w:rsidRPr="00286216">
              <w:rPr>
                <w:color w:val="000000" w:themeColor="text1"/>
              </w:rPr>
              <w:t>Статтю 137 виключити</w:t>
            </w:r>
          </w:p>
          <w:p w14:paraId="631415A7" w14:textId="5833014E" w:rsidR="00826C07" w:rsidRPr="00286216" w:rsidRDefault="00826C07" w:rsidP="00826C07">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1101</w:t>
            </w:r>
            <w:r w:rsidRPr="00286216">
              <w:rPr>
                <w:color w:val="000000" w:themeColor="text1"/>
                <w:spacing w:val="-3"/>
              </w:rPr>
              <w:fldChar w:fldCharType="end"/>
            </w:r>
            <w:r w:rsidRPr="00286216">
              <w:rPr>
                <w:color w:val="000000" w:themeColor="text1"/>
                <w:spacing w:val="-3"/>
              </w:rPr>
              <w:t>-Н.д.Шахов С.В. (Реєстр.картка №114)</w:t>
            </w:r>
          </w:p>
          <w:p w14:paraId="148FA0FB" w14:textId="77777777" w:rsidR="00826C07" w:rsidRPr="00286216" w:rsidRDefault="00826C07" w:rsidP="00826C07">
            <w:pPr>
              <w:pStyle w:val="StyleProp"/>
              <w:spacing w:line="180" w:lineRule="exact"/>
              <w:rPr>
                <w:color w:val="000000" w:themeColor="text1"/>
                <w:spacing w:val="-2"/>
              </w:rPr>
            </w:pPr>
            <w:r w:rsidRPr="00286216">
              <w:rPr>
                <w:color w:val="000000" w:themeColor="text1"/>
                <w:spacing w:val="-2"/>
              </w:rPr>
              <w:t xml:space="preserve">Назву ст. 137 доповнити словами "та ринків </w:t>
            </w:r>
            <w:r w:rsidRPr="00286216">
              <w:rPr>
                <w:color w:val="000000" w:themeColor="text1"/>
                <w:spacing w:val="-3"/>
              </w:rPr>
              <w:t>поставних товарних деривативних контрактів".</w:t>
            </w:r>
          </w:p>
        </w:tc>
        <w:tc>
          <w:tcPr>
            <w:tcW w:w="1987" w:type="dxa"/>
          </w:tcPr>
          <w:p w14:paraId="651F7394" w14:textId="77777777" w:rsidR="00826C07" w:rsidRPr="00286216" w:rsidRDefault="00826C07" w:rsidP="00826C07">
            <w:pPr>
              <w:pStyle w:val="StyleWisnow"/>
              <w:rPr>
                <w:color w:val="000000" w:themeColor="text1"/>
              </w:rPr>
            </w:pPr>
            <w:r w:rsidRPr="00286216">
              <w:rPr>
                <w:color w:val="000000" w:themeColor="text1"/>
              </w:rPr>
              <w:t>Враховано</w:t>
            </w:r>
          </w:p>
          <w:p w14:paraId="02A1F007" w14:textId="77777777" w:rsidR="00826C07" w:rsidRPr="00286216" w:rsidRDefault="00826C07" w:rsidP="00826C07">
            <w:pPr>
              <w:pStyle w:val="StyleWisnow"/>
              <w:rPr>
                <w:color w:val="000000" w:themeColor="text1"/>
              </w:rPr>
            </w:pPr>
          </w:p>
          <w:p w14:paraId="1981E84E" w14:textId="77777777" w:rsidR="00826C07" w:rsidRPr="00286216" w:rsidRDefault="00826C07" w:rsidP="00826C07">
            <w:pPr>
              <w:pStyle w:val="StyleWisnow"/>
              <w:rPr>
                <w:color w:val="000000" w:themeColor="text1"/>
              </w:rPr>
            </w:pPr>
          </w:p>
          <w:p w14:paraId="19742E11" w14:textId="77777777" w:rsidR="00826C07" w:rsidRPr="00286216" w:rsidRDefault="00826C07" w:rsidP="00826C07">
            <w:pPr>
              <w:pStyle w:val="StyleWisnow"/>
              <w:spacing w:line="180" w:lineRule="exact"/>
              <w:rPr>
                <w:color w:val="000000" w:themeColor="text1"/>
              </w:rPr>
            </w:pPr>
            <w:r w:rsidRPr="00286216">
              <w:rPr>
                <w:color w:val="000000" w:themeColor="text1"/>
              </w:rPr>
              <w:t xml:space="preserve">Відхилено </w:t>
            </w:r>
          </w:p>
          <w:p w14:paraId="1918071D" w14:textId="5D98DB6B" w:rsidR="00826C07" w:rsidRPr="00286216" w:rsidRDefault="00826C07" w:rsidP="00826C07">
            <w:pPr>
              <w:pStyle w:val="StyleWisnow"/>
              <w:spacing w:line="180" w:lineRule="exact"/>
              <w:rPr>
                <w:color w:val="000000" w:themeColor="text1"/>
              </w:rPr>
            </w:pPr>
            <w:r w:rsidRPr="00286216">
              <w:rPr>
                <w:color w:val="000000" w:themeColor="text1"/>
              </w:rPr>
              <w:t>у звʼязку із зміною редакції</w:t>
            </w:r>
          </w:p>
        </w:tc>
        <w:tc>
          <w:tcPr>
            <w:tcW w:w="4818" w:type="dxa"/>
          </w:tcPr>
          <w:p w14:paraId="49D59B35" w14:textId="77777777" w:rsidR="00826C07" w:rsidRPr="00286216" w:rsidRDefault="00826C07" w:rsidP="00826C07">
            <w:pPr>
              <w:pStyle w:val="StyleZakonu"/>
              <w:rPr>
                <w:color w:val="000000" w:themeColor="text1"/>
              </w:rPr>
            </w:pPr>
          </w:p>
        </w:tc>
      </w:tr>
      <w:tr w:rsidR="00826C07" w:rsidRPr="00286216" w14:paraId="44A38C38" w14:textId="77777777" w:rsidTr="00091AA5">
        <w:tc>
          <w:tcPr>
            <w:tcW w:w="576" w:type="dxa"/>
          </w:tcPr>
          <w:p w14:paraId="58A97F1B" w14:textId="77777777" w:rsidR="00826C07" w:rsidRPr="00286216" w:rsidRDefault="00826C07" w:rsidP="00826C07">
            <w:pPr>
              <w:pStyle w:val="StyleWisnow"/>
              <w:rPr>
                <w:color w:val="000000" w:themeColor="text1"/>
              </w:rPr>
            </w:pPr>
            <w:bookmarkStart w:id="2063" w:name="n2292" w:colFirst="0" w:colLast="0"/>
            <w:bookmarkEnd w:id="2062"/>
            <w:r w:rsidRPr="00286216">
              <w:rPr>
                <w:color w:val="000000" w:themeColor="text1"/>
              </w:rPr>
              <w:t>2292.</w:t>
            </w:r>
          </w:p>
        </w:tc>
        <w:tc>
          <w:tcPr>
            <w:tcW w:w="4818" w:type="dxa"/>
          </w:tcPr>
          <w:p w14:paraId="797E1203" w14:textId="77777777" w:rsidR="00826C07" w:rsidRPr="00286216" w:rsidRDefault="00826C07" w:rsidP="00826C07">
            <w:pPr>
              <w:pStyle w:val="StyleZakonu"/>
              <w:rPr>
                <w:color w:val="000000" w:themeColor="text1"/>
              </w:rPr>
            </w:pPr>
            <w:r w:rsidRPr="00286216">
              <w:rPr>
                <w:color w:val="000000" w:themeColor="text1"/>
              </w:rPr>
              <w:t>1. Державне регулювання організованих товарних ринків здійснюється:</w:t>
            </w:r>
          </w:p>
        </w:tc>
        <w:tc>
          <w:tcPr>
            <w:tcW w:w="3686" w:type="dxa"/>
          </w:tcPr>
          <w:p w14:paraId="7485E9CF" w14:textId="41BD92EE" w:rsidR="00826C07" w:rsidRPr="00286216" w:rsidRDefault="00826C07" w:rsidP="00826C07">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1102</w:t>
            </w:r>
            <w:r w:rsidRPr="00286216">
              <w:rPr>
                <w:color w:val="000000" w:themeColor="text1"/>
                <w:spacing w:val="-3"/>
              </w:rPr>
              <w:fldChar w:fldCharType="end"/>
            </w:r>
            <w:r w:rsidRPr="00286216">
              <w:rPr>
                <w:color w:val="000000" w:themeColor="text1"/>
                <w:spacing w:val="-3"/>
              </w:rPr>
              <w:t>-Н.д.Шахов С.В. (Реєстр.картка №114)</w:t>
            </w:r>
          </w:p>
          <w:p w14:paraId="5067999E"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Текст статті 137 викласти у такій редакції:</w:t>
            </w:r>
          </w:p>
          <w:p w14:paraId="317D2023" w14:textId="77777777" w:rsidR="00826C07" w:rsidRPr="00286216" w:rsidRDefault="00826C07" w:rsidP="00826C07">
            <w:pPr>
              <w:pStyle w:val="StyleProp"/>
              <w:spacing w:line="180" w:lineRule="exact"/>
              <w:rPr>
                <w:color w:val="000000" w:themeColor="text1"/>
                <w:spacing w:val="-2"/>
                <w:szCs w:val="18"/>
              </w:rPr>
            </w:pPr>
            <w:r w:rsidRPr="00286216">
              <w:rPr>
                <w:color w:val="000000" w:themeColor="text1"/>
                <w:spacing w:val="-2"/>
                <w:szCs w:val="18"/>
              </w:rPr>
              <w:t>"1. Державне регулювання організованих товарних ринків та ринків поставних товарних деривативних контрактів здійснюється регуляторами товарних ринків щодо:</w:t>
            </w:r>
          </w:p>
          <w:p w14:paraId="28469B1C"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1) правил функціонування організованих товарних ринків;</w:t>
            </w:r>
          </w:p>
          <w:p w14:paraId="37B94415"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2) правил фізичної поставки продукції та здійснення розрахунків у грошових коштах;</w:t>
            </w:r>
          </w:p>
          <w:p w14:paraId="5975BB56"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 xml:space="preserve">3) клірингу зобов’язань за правочинами, вчиненими на таких організованих ринках, </w:t>
            </w:r>
          </w:p>
          <w:p w14:paraId="14A0A6B0" w14:textId="77777777" w:rsidR="00826C07" w:rsidRPr="00286216" w:rsidRDefault="00826C07" w:rsidP="00826C07">
            <w:pPr>
              <w:pStyle w:val="StyleProp"/>
              <w:spacing w:line="180" w:lineRule="exact"/>
              <w:rPr>
                <w:color w:val="000000" w:themeColor="text1"/>
                <w:szCs w:val="18"/>
              </w:rPr>
            </w:pPr>
            <w:r w:rsidRPr="00286216">
              <w:rPr>
                <w:color w:val="000000" w:themeColor="text1"/>
                <w:szCs w:val="18"/>
              </w:rPr>
              <w:t>4) протидії маніпулюванню та іншим зловживанням на таких організованих товарних ринках".</w:t>
            </w:r>
          </w:p>
        </w:tc>
        <w:tc>
          <w:tcPr>
            <w:tcW w:w="1987" w:type="dxa"/>
          </w:tcPr>
          <w:p w14:paraId="72277C9C" w14:textId="77777777" w:rsidR="00826C07" w:rsidRPr="00286216" w:rsidRDefault="00826C07" w:rsidP="00826C07">
            <w:pPr>
              <w:pStyle w:val="StyleWisnow"/>
              <w:rPr>
                <w:color w:val="000000" w:themeColor="text1"/>
              </w:rPr>
            </w:pPr>
            <w:r w:rsidRPr="00286216">
              <w:rPr>
                <w:color w:val="000000" w:themeColor="text1"/>
              </w:rPr>
              <w:t xml:space="preserve">Відхилено </w:t>
            </w:r>
          </w:p>
          <w:p w14:paraId="6FE4623B" w14:textId="77777777" w:rsidR="00826C07" w:rsidRPr="00286216" w:rsidRDefault="00826C07" w:rsidP="00826C07">
            <w:pPr>
              <w:pStyle w:val="StyleWisnow"/>
              <w:spacing w:line="180" w:lineRule="exact"/>
              <w:rPr>
                <w:color w:val="000000" w:themeColor="text1"/>
                <w:spacing w:val="-2"/>
              </w:rPr>
            </w:pPr>
            <w:r w:rsidRPr="00286216">
              <w:rPr>
                <w:color w:val="000000" w:themeColor="text1"/>
                <w:spacing w:val="-2"/>
              </w:rPr>
              <w:t>у звʼязку із зміною редакції та виключенням статті</w:t>
            </w:r>
            <w:r w:rsidRPr="00286216" w:rsidDel="00197DD0">
              <w:rPr>
                <w:color w:val="000000" w:themeColor="text1"/>
                <w:spacing w:val="-2"/>
              </w:rPr>
              <w:t xml:space="preserve"> </w:t>
            </w:r>
          </w:p>
        </w:tc>
        <w:tc>
          <w:tcPr>
            <w:tcW w:w="4818" w:type="dxa"/>
          </w:tcPr>
          <w:p w14:paraId="2799717D" w14:textId="77777777" w:rsidR="00826C07" w:rsidRPr="00286216" w:rsidRDefault="00826C07" w:rsidP="00826C07">
            <w:pPr>
              <w:pStyle w:val="StyleZakonu"/>
              <w:rPr>
                <w:color w:val="000000" w:themeColor="text1"/>
              </w:rPr>
            </w:pPr>
          </w:p>
        </w:tc>
      </w:tr>
      <w:tr w:rsidR="0036727A" w:rsidRPr="00286216" w14:paraId="451012F5" w14:textId="77777777" w:rsidTr="00091AA5">
        <w:tc>
          <w:tcPr>
            <w:tcW w:w="576" w:type="dxa"/>
          </w:tcPr>
          <w:p w14:paraId="514728F1" w14:textId="77777777" w:rsidR="0036727A" w:rsidRPr="00286216" w:rsidRDefault="0036727A" w:rsidP="0036727A">
            <w:pPr>
              <w:pStyle w:val="StyleWisnow"/>
              <w:rPr>
                <w:color w:val="000000" w:themeColor="text1"/>
              </w:rPr>
            </w:pPr>
            <w:bookmarkStart w:id="2064" w:name="n2293" w:colFirst="0" w:colLast="0"/>
            <w:bookmarkEnd w:id="2063"/>
            <w:r w:rsidRPr="00286216">
              <w:rPr>
                <w:color w:val="000000" w:themeColor="text1"/>
              </w:rPr>
              <w:t>2293.</w:t>
            </w:r>
          </w:p>
        </w:tc>
        <w:tc>
          <w:tcPr>
            <w:tcW w:w="4818" w:type="dxa"/>
          </w:tcPr>
          <w:p w14:paraId="31FA9545" w14:textId="77777777" w:rsidR="0036727A" w:rsidRPr="00286216" w:rsidRDefault="0036727A" w:rsidP="0036727A">
            <w:pPr>
              <w:pStyle w:val="StyleZakonu"/>
              <w:rPr>
                <w:color w:val="000000" w:themeColor="text1"/>
              </w:rPr>
            </w:pPr>
            <w:r w:rsidRPr="00286216">
              <w:rPr>
                <w:color w:val="000000" w:themeColor="text1"/>
              </w:rPr>
              <w:t>1) Національною комісією з цінних паперів та фондового ринку - щодо правил функціонування регульованих ринків, клірингу зобов’язань за правочинами, вчиненими на таких регульованих ринках, а також протидії маніпулюванню та іншим зловживанням на таких регульованих товарних ринках;</w:t>
            </w:r>
          </w:p>
        </w:tc>
        <w:tc>
          <w:tcPr>
            <w:tcW w:w="3686" w:type="dxa"/>
          </w:tcPr>
          <w:p w14:paraId="439B2B8B" w14:textId="2E260657" w:rsidR="0036727A" w:rsidRPr="00286216" w:rsidRDefault="0036727A" w:rsidP="0036727A">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1103</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2E24F49" w14:textId="77777777" w:rsidR="0036727A" w:rsidRPr="00286216" w:rsidRDefault="0036727A" w:rsidP="0036727A">
            <w:pPr>
              <w:pStyle w:val="StyleProp"/>
              <w:rPr>
                <w:color w:val="000000" w:themeColor="text1"/>
              </w:rPr>
            </w:pPr>
            <w:r w:rsidRPr="00286216">
              <w:rPr>
                <w:color w:val="000000" w:themeColor="text1"/>
              </w:rPr>
              <w:t>Розділ 1 доповнити статтею такого змісту:</w:t>
            </w:r>
          </w:p>
          <w:p w14:paraId="2F086A8E" w14:textId="65A05088" w:rsidR="0036727A" w:rsidRPr="00286216" w:rsidRDefault="0036727A" w:rsidP="0036727A">
            <w:pPr>
              <w:pStyle w:val="StyleProp"/>
              <w:spacing w:line="180" w:lineRule="exact"/>
              <w:rPr>
                <w:color w:val="000000" w:themeColor="text1"/>
                <w:spacing w:val="-2"/>
              </w:rPr>
            </w:pPr>
            <w:r w:rsidRPr="00286216">
              <w:rPr>
                <w:color w:val="000000" w:themeColor="text1"/>
              </w:rPr>
              <w:t>«</w:t>
            </w:r>
            <w:r w:rsidRPr="00286216">
              <w:rPr>
                <w:color w:val="000000" w:themeColor="text1"/>
                <w:spacing w:val="-2"/>
              </w:rPr>
              <w:t xml:space="preserve">Стаття. Порядок взаємодії між Національною комісією з цінних паперів та фондового ринку та Національним банком України </w:t>
            </w:r>
          </w:p>
          <w:p w14:paraId="70EC848D" w14:textId="77777777" w:rsidR="0036727A" w:rsidRPr="00286216" w:rsidRDefault="0036727A" w:rsidP="0036727A">
            <w:pPr>
              <w:pStyle w:val="StyleProp"/>
              <w:spacing w:line="180" w:lineRule="exact"/>
              <w:rPr>
                <w:color w:val="000000" w:themeColor="text1"/>
                <w:spacing w:val="-2"/>
              </w:rPr>
            </w:pPr>
            <w:r w:rsidRPr="00286216">
              <w:rPr>
                <w:color w:val="000000" w:themeColor="text1"/>
                <w:spacing w:val="-2"/>
              </w:rPr>
              <w:t>1. Організаційні та процедурні питання взаємодії з нагляду за професійними учасниками ринків капіталу, що є банками визначаються порядком інформаційної взаємодії між Національною комісією з цінних паперів та фондового ринку та Національним банком України.</w:t>
            </w:r>
          </w:p>
          <w:p w14:paraId="753D4B3C" w14:textId="75320A79" w:rsidR="0036727A" w:rsidRPr="00286216" w:rsidRDefault="0036727A" w:rsidP="0036727A">
            <w:pPr>
              <w:pStyle w:val="StyleProp"/>
              <w:spacing w:line="180" w:lineRule="exact"/>
              <w:rPr>
                <w:color w:val="000000" w:themeColor="text1"/>
              </w:rPr>
            </w:pPr>
            <w:r w:rsidRPr="00286216">
              <w:rPr>
                <w:color w:val="000000" w:themeColor="text1"/>
                <w:spacing w:val="-2"/>
              </w:rPr>
              <w:t>2. У процесі здійснення інформаційної взаємодії Національна комісія з цінних паперів та фондового ринку та Національний банк України, забезпечують захист та конфіденційність отриманої інформації з урахуванням вимог законів та міжнародних договорів України».</w:t>
            </w:r>
          </w:p>
        </w:tc>
        <w:tc>
          <w:tcPr>
            <w:tcW w:w="1987" w:type="dxa"/>
          </w:tcPr>
          <w:p w14:paraId="4B7C2E76" w14:textId="5A77077B" w:rsidR="0036727A" w:rsidRPr="00286216" w:rsidRDefault="0036727A" w:rsidP="0036727A">
            <w:pPr>
              <w:pStyle w:val="StyleWisnow"/>
              <w:rPr>
                <w:color w:val="000000" w:themeColor="text1"/>
              </w:rPr>
            </w:pPr>
            <w:r w:rsidRPr="00286216">
              <w:rPr>
                <w:color w:val="000000" w:themeColor="text1"/>
              </w:rPr>
              <w:t>Враховано</w:t>
            </w:r>
          </w:p>
        </w:tc>
        <w:tc>
          <w:tcPr>
            <w:tcW w:w="4818" w:type="dxa"/>
          </w:tcPr>
          <w:p w14:paraId="439D91B1" w14:textId="77777777" w:rsidR="0036727A" w:rsidRPr="00286216" w:rsidRDefault="0036727A" w:rsidP="0036727A">
            <w:pPr>
              <w:pStyle w:val="StyleZakonu"/>
              <w:rPr>
                <w:color w:val="000000" w:themeColor="text1"/>
              </w:rPr>
            </w:pPr>
            <w:r w:rsidRPr="00286216">
              <w:rPr>
                <w:color w:val="000000" w:themeColor="text1"/>
              </w:rPr>
              <w:t xml:space="preserve">Стаття 141. Порядок взаємодії Національної комісії з цінних паперів та фондового ринку та Національного банку України </w:t>
            </w:r>
          </w:p>
          <w:p w14:paraId="0EEB0A26" w14:textId="77777777" w:rsidR="0036727A" w:rsidRPr="00286216" w:rsidRDefault="0036727A" w:rsidP="0036727A">
            <w:pPr>
              <w:pStyle w:val="StyleZakonu"/>
              <w:rPr>
                <w:color w:val="000000" w:themeColor="text1"/>
              </w:rPr>
            </w:pPr>
            <w:r w:rsidRPr="00286216">
              <w:rPr>
                <w:color w:val="000000" w:themeColor="text1"/>
              </w:rPr>
              <w:t>1. Організаційні та процедурні питання взаємодії з нагляду за професійними учасниками ринків капіталу, що є банками, визначаються порядком інформаційної взаємодії Національної комісії з цінних паперів та фондового ринку та Національного банку України.</w:t>
            </w:r>
          </w:p>
          <w:p w14:paraId="760F53D5" w14:textId="69F1034F" w:rsidR="0036727A" w:rsidRPr="00286216" w:rsidRDefault="0036727A" w:rsidP="0036727A">
            <w:pPr>
              <w:pStyle w:val="StyleZakonu"/>
              <w:rPr>
                <w:color w:val="000000" w:themeColor="text1"/>
              </w:rPr>
            </w:pPr>
            <w:r w:rsidRPr="00286216">
              <w:rPr>
                <w:color w:val="000000" w:themeColor="text1"/>
              </w:rPr>
              <w:t>2. У процесі здійснення інформаційної взаємодії Національна комісія з цінних паперів та фондового ринку та Національний банк України забезпечують захист та конфіденційність отриманої інформації з урахуванням вимог законів та міжнародних договорів України.</w:t>
            </w:r>
          </w:p>
        </w:tc>
      </w:tr>
      <w:tr w:rsidR="0036727A" w:rsidRPr="00286216" w14:paraId="444EA992" w14:textId="77777777" w:rsidTr="00091AA5">
        <w:tc>
          <w:tcPr>
            <w:tcW w:w="576" w:type="dxa"/>
          </w:tcPr>
          <w:p w14:paraId="14B40F28" w14:textId="77777777" w:rsidR="0036727A" w:rsidRPr="00286216" w:rsidRDefault="0036727A" w:rsidP="0036727A">
            <w:pPr>
              <w:pStyle w:val="StyleWisnow"/>
              <w:rPr>
                <w:color w:val="000000" w:themeColor="text1"/>
              </w:rPr>
            </w:pPr>
            <w:bookmarkStart w:id="2065" w:name="n2294" w:colFirst="0" w:colLast="0"/>
            <w:bookmarkEnd w:id="2064"/>
            <w:r w:rsidRPr="00286216">
              <w:rPr>
                <w:color w:val="000000" w:themeColor="text1"/>
              </w:rPr>
              <w:t>2294.</w:t>
            </w:r>
          </w:p>
        </w:tc>
        <w:tc>
          <w:tcPr>
            <w:tcW w:w="4818" w:type="dxa"/>
          </w:tcPr>
          <w:p w14:paraId="5AB63650" w14:textId="77777777" w:rsidR="0036727A" w:rsidRPr="00286216" w:rsidRDefault="0036727A" w:rsidP="0036727A">
            <w:pPr>
              <w:pStyle w:val="StyleZakonu"/>
              <w:rPr>
                <w:color w:val="000000" w:themeColor="text1"/>
              </w:rPr>
            </w:pPr>
            <w:r w:rsidRPr="00286216">
              <w:rPr>
                <w:color w:val="000000" w:themeColor="text1"/>
              </w:rPr>
              <w:t>2) регулятором відповідного товарного ринку - щодо правил фізичної поставки продукції.</w:t>
            </w:r>
          </w:p>
        </w:tc>
        <w:tc>
          <w:tcPr>
            <w:tcW w:w="3686" w:type="dxa"/>
          </w:tcPr>
          <w:p w14:paraId="1B4E9187" w14:textId="77777777" w:rsidR="0036727A" w:rsidRPr="00286216" w:rsidRDefault="0036727A" w:rsidP="0036727A">
            <w:pPr>
              <w:pStyle w:val="StyleProp"/>
              <w:rPr>
                <w:color w:val="000000" w:themeColor="text1"/>
                <w:spacing w:val="-2"/>
                <w:szCs w:val="18"/>
              </w:rPr>
            </w:pPr>
          </w:p>
        </w:tc>
        <w:tc>
          <w:tcPr>
            <w:tcW w:w="1987" w:type="dxa"/>
          </w:tcPr>
          <w:p w14:paraId="3031A230" w14:textId="77777777" w:rsidR="0036727A" w:rsidRPr="00286216" w:rsidRDefault="0036727A" w:rsidP="0036727A">
            <w:pPr>
              <w:pStyle w:val="StyleWisnow"/>
              <w:rPr>
                <w:color w:val="000000" w:themeColor="text1"/>
              </w:rPr>
            </w:pPr>
          </w:p>
        </w:tc>
        <w:tc>
          <w:tcPr>
            <w:tcW w:w="4818" w:type="dxa"/>
          </w:tcPr>
          <w:p w14:paraId="7B27E37A" w14:textId="77777777" w:rsidR="0036727A" w:rsidRPr="00286216" w:rsidRDefault="0036727A" w:rsidP="0036727A">
            <w:pPr>
              <w:pStyle w:val="StyleZakonu"/>
              <w:rPr>
                <w:color w:val="000000" w:themeColor="text1"/>
              </w:rPr>
            </w:pPr>
          </w:p>
        </w:tc>
      </w:tr>
      <w:bookmarkEnd w:id="2065"/>
      <w:tr w:rsidR="0036727A" w:rsidRPr="00286216" w14:paraId="26CBEA6C" w14:textId="77777777" w:rsidTr="00091AA5">
        <w:tc>
          <w:tcPr>
            <w:tcW w:w="576" w:type="dxa"/>
          </w:tcPr>
          <w:p w14:paraId="18CC0F66" w14:textId="77777777" w:rsidR="0036727A" w:rsidRPr="00286216" w:rsidRDefault="0036727A" w:rsidP="0036727A">
            <w:pPr>
              <w:pStyle w:val="StyleWisnow"/>
              <w:rPr>
                <w:color w:val="000000" w:themeColor="text1"/>
              </w:rPr>
            </w:pPr>
          </w:p>
        </w:tc>
        <w:tc>
          <w:tcPr>
            <w:tcW w:w="4818" w:type="dxa"/>
          </w:tcPr>
          <w:p w14:paraId="677768DC" w14:textId="77777777" w:rsidR="0036727A" w:rsidRPr="00286216" w:rsidRDefault="0036727A" w:rsidP="0036727A">
            <w:pPr>
              <w:pStyle w:val="StyleZakonu"/>
              <w:spacing w:after="0"/>
              <w:ind w:firstLine="0"/>
              <w:jc w:val="center"/>
              <w:rPr>
                <w:color w:val="000000" w:themeColor="text1"/>
              </w:rPr>
            </w:pPr>
          </w:p>
        </w:tc>
        <w:tc>
          <w:tcPr>
            <w:tcW w:w="3686" w:type="dxa"/>
          </w:tcPr>
          <w:p w14:paraId="6AFEB196" w14:textId="4EB26534" w:rsidR="0036727A" w:rsidRPr="00286216" w:rsidRDefault="0036727A" w:rsidP="0036727A">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1104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7EFB663" w14:textId="77777777" w:rsidR="0036727A" w:rsidRPr="00286216" w:rsidRDefault="0036727A" w:rsidP="0036727A">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234C736" w14:textId="77777777" w:rsidR="0036727A" w:rsidRPr="00286216" w:rsidRDefault="0036727A" w:rsidP="0036727A">
            <w:pPr>
              <w:pStyle w:val="StyleProp"/>
              <w:rPr>
                <w:color w:val="000000" w:themeColor="text1"/>
              </w:rPr>
            </w:pPr>
            <w:r w:rsidRPr="00286216">
              <w:rPr>
                <w:color w:val="000000" w:themeColor="text1"/>
              </w:rPr>
              <w:t>Доповнити статтею 137-1 такого змісту:</w:t>
            </w:r>
          </w:p>
          <w:p w14:paraId="4DCB34E3" w14:textId="77777777" w:rsidR="0036727A" w:rsidRPr="00286216" w:rsidRDefault="0036727A" w:rsidP="0036727A">
            <w:pPr>
              <w:pStyle w:val="StyleProp"/>
              <w:spacing w:line="180" w:lineRule="exact"/>
              <w:rPr>
                <w:color w:val="000000" w:themeColor="text1"/>
                <w:spacing w:val="-2"/>
              </w:rPr>
            </w:pPr>
            <w:r w:rsidRPr="00286216">
              <w:rPr>
                <w:color w:val="000000" w:themeColor="text1"/>
              </w:rPr>
              <w:t>"</w:t>
            </w:r>
            <w:r w:rsidRPr="00286216">
              <w:rPr>
                <w:color w:val="000000" w:themeColor="text1"/>
                <w:spacing w:val="-2"/>
              </w:rPr>
              <w:t xml:space="preserve">Стаття 137-1. Порядок взаємодії між Національною комісією, що здійснює державне регулювання у сферах енергетики та </w:t>
            </w:r>
            <w:r w:rsidRPr="00286216">
              <w:rPr>
                <w:color w:val="000000" w:themeColor="text1"/>
                <w:spacing w:val="-2"/>
              </w:rPr>
              <w:lastRenderedPageBreak/>
              <w:t>комунальних послуг, Національною комісією з цінних паперів та фондового ринку та Антимонопольним комітетом України.</w:t>
            </w:r>
          </w:p>
          <w:p w14:paraId="07B8D33E" w14:textId="77777777" w:rsidR="0036727A" w:rsidRPr="00286216" w:rsidRDefault="0036727A" w:rsidP="0036727A">
            <w:pPr>
              <w:pStyle w:val="StyleProp"/>
              <w:spacing w:line="180" w:lineRule="exact"/>
              <w:rPr>
                <w:color w:val="000000" w:themeColor="text1"/>
                <w:spacing w:val="-2"/>
              </w:rPr>
            </w:pPr>
            <w:r w:rsidRPr="00286216">
              <w:rPr>
                <w:color w:val="000000" w:themeColor="text1"/>
                <w:spacing w:val="-2"/>
              </w:rPr>
              <w:t>1. Організаційні та процедурні питання взаємодії з нагляду за оптовими енергетичними ринками, що функціонують відповідно до Закону України «Про ринок електричної енергії» та Закону України «Про ринок природного газу» визначаються порядком інформаційної взаємодії між Національною комісією, що здійснює державне регулювання у сферах енергетики та комунальних послуг, Національною комісією з цінних паперів та фондового ринку та Антимонопольним комітетом України.</w:t>
            </w:r>
          </w:p>
          <w:p w14:paraId="588C9EC7" w14:textId="77777777" w:rsidR="0036727A" w:rsidRPr="00286216" w:rsidRDefault="0036727A" w:rsidP="0036727A">
            <w:pPr>
              <w:pStyle w:val="StyleProp"/>
              <w:spacing w:line="180" w:lineRule="exact"/>
              <w:rPr>
                <w:color w:val="000000" w:themeColor="text1"/>
                <w:spacing w:val="-2"/>
              </w:rPr>
            </w:pPr>
            <w:r w:rsidRPr="00286216">
              <w:rPr>
                <w:color w:val="000000" w:themeColor="text1"/>
                <w:spacing w:val="-2"/>
              </w:rPr>
              <w:t xml:space="preserve">2. Порядок інформаційної взаємодії затверджується спільним рішенням Національної комісії, що здійснює державне регулювання у сферах енергетики та комунальних послуг, Національної комісії з цінних паперів та фондового ринку та Антимонопольного комітету України у встановленому законодавством порядку. </w:t>
            </w:r>
          </w:p>
          <w:p w14:paraId="25B42D68" w14:textId="77777777" w:rsidR="0036727A" w:rsidRPr="00286216" w:rsidRDefault="0036727A" w:rsidP="0036727A">
            <w:pPr>
              <w:pStyle w:val="StyleProp"/>
              <w:spacing w:line="180" w:lineRule="exact"/>
              <w:rPr>
                <w:color w:val="000000" w:themeColor="text1"/>
                <w:szCs w:val="18"/>
              </w:rPr>
            </w:pPr>
            <w:r w:rsidRPr="00286216">
              <w:rPr>
                <w:color w:val="000000" w:themeColor="text1"/>
                <w:spacing w:val="-2"/>
              </w:rPr>
              <w:t>3. У процесі здійснення інформаційної взаємодії Національна комісія, що здійснює державне регулювання у сферах енергетики та комунальних послуг, Національна комісія з цінних паперів та фондового ринку та Антимонопольний комітет України забезпечують захист та конфіденційність отриманої інформації з урахуванням вимог законів України «Про інформацію», «Про доступ до публічної інформації» та міжнародних договорів України".</w:t>
            </w:r>
          </w:p>
        </w:tc>
        <w:tc>
          <w:tcPr>
            <w:tcW w:w="1987" w:type="dxa"/>
          </w:tcPr>
          <w:p w14:paraId="0C3EC4F4" w14:textId="77777777" w:rsidR="0036727A" w:rsidRPr="00286216" w:rsidRDefault="0036727A" w:rsidP="0036727A">
            <w:pPr>
              <w:pStyle w:val="StyleWisnow"/>
              <w:rPr>
                <w:color w:val="000000" w:themeColor="text1"/>
              </w:rPr>
            </w:pPr>
            <w:r w:rsidRPr="00286216">
              <w:rPr>
                <w:color w:val="000000" w:themeColor="text1"/>
              </w:rPr>
              <w:lastRenderedPageBreak/>
              <w:t>Враховано</w:t>
            </w:r>
          </w:p>
          <w:p w14:paraId="5F1673C5" w14:textId="77777777" w:rsidR="0036727A" w:rsidRPr="00286216" w:rsidRDefault="0036727A" w:rsidP="0036727A">
            <w:pPr>
              <w:pStyle w:val="StyleWisnow"/>
              <w:rPr>
                <w:color w:val="000000" w:themeColor="text1"/>
              </w:rPr>
            </w:pPr>
          </w:p>
          <w:p w14:paraId="7B643011" w14:textId="77777777" w:rsidR="0036727A" w:rsidRPr="00286216" w:rsidRDefault="0036727A" w:rsidP="0036727A">
            <w:pPr>
              <w:pStyle w:val="StyleWisnow"/>
              <w:rPr>
                <w:color w:val="000000" w:themeColor="text1"/>
              </w:rPr>
            </w:pPr>
          </w:p>
        </w:tc>
        <w:tc>
          <w:tcPr>
            <w:tcW w:w="4818" w:type="dxa"/>
          </w:tcPr>
          <w:p w14:paraId="78978032" w14:textId="77777777" w:rsidR="0036727A" w:rsidRPr="00286216" w:rsidRDefault="0036727A" w:rsidP="0036727A">
            <w:pPr>
              <w:pStyle w:val="StyleZakonu"/>
              <w:rPr>
                <w:color w:val="000000" w:themeColor="text1"/>
              </w:rPr>
            </w:pPr>
            <w:r w:rsidRPr="00286216">
              <w:rPr>
                <w:color w:val="000000" w:themeColor="text1"/>
              </w:rPr>
              <w:t>Стаття 142. Порядок взаємодії Національної комісії, що здійснює державне регулювання у сферах енергетики та комунальних послуг, Національної комісії з цінних паперів та фондового ринку та Антимонопольного комітету України.</w:t>
            </w:r>
          </w:p>
          <w:p w14:paraId="671E0542" w14:textId="77777777" w:rsidR="0036727A" w:rsidRPr="00286216" w:rsidRDefault="0036727A" w:rsidP="0036727A">
            <w:pPr>
              <w:pStyle w:val="StyleZakonu"/>
              <w:rPr>
                <w:color w:val="000000" w:themeColor="text1"/>
              </w:rPr>
            </w:pPr>
            <w:r w:rsidRPr="00286216">
              <w:rPr>
                <w:color w:val="000000" w:themeColor="text1"/>
              </w:rPr>
              <w:lastRenderedPageBreak/>
              <w:t>1. Організаційні та процедурні питання взаємодії з нагляду за оптовими енергетичними ринками, що функціонують відповідно до Закону України «Про ринок електричної енергії» та Закону України «Про ринок природного газу», визначаються порядком інформаційної взаємодії Національної комісії, що здійснює державне регулювання у сферах енергетики та комунальних послуг, Національної комісії з цінних паперів та фондового ринку та Антимонопольного комітету України.</w:t>
            </w:r>
          </w:p>
          <w:p w14:paraId="05BCA200" w14:textId="77777777" w:rsidR="0036727A" w:rsidRPr="00286216" w:rsidRDefault="0036727A" w:rsidP="0036727A">
            <w:pPr>
              <w:pStyle w:val="StyleZakonu"/>
              <w:rPr>
                <w:color w:val="000000" w:themeColor="text1"/>
              </w:rPr>
            </w:pPr>
            <w:r w:rsidRPr="00286216">
              <w:rPr>
                <w:color w:val="000000" w:themeColor="text1"/>
              </w:rPr>
              <w:t xml:space="preserve">2. Порядок інформаційної взаємодії затверджується спільним рішенням Національної комісії, що здійснює державне регулювання у сферах енергетики та комунальних послуг, Національної комісії з цінних паперів та фондового ринку та Антимонопольного комітету України у встановленому законодавством порядку. </w:t>
            </w:r>
          </w:p>
          <w:p w14:paraId="2EDE7219" w14:textId="309F987E" w:rsidR="0036727A" w:rsidRPr="00286216" w:rsidRDefault="0036727A" w:rsidP="0036727A">
            <w:pPr>
              <w:pStyle w:val="StyleZakonu"/>
              <w:rPr>
                <w:color w:val="000000" w:themeColor="text1"/>
              </w:rPr>
            </w:pPr>
            <w:r w:rsidRPr="00286216">
              <w:rPr>
                <w:color w:val="000000" w:themeColor="text1"/>
              </w:rPr>
              <w:t>3. У процесі здійснення інформаційної взаємодії Національна комісія, що здійснює державне регулювання у сферах енергетики та комунальних послуг, Національна комісія з цінних паперів та фондового ринку та Антимонопольний комітет України забезпечують захист та конфіденційність отриманої інформації з урахуванням вимог законів України «Про інформацію», «Про доступ до публічної інформації» та міжнародних договорів України.</w:t>
            </w:r>
          </w:p>
        </w:tc>
      </w:tr>
      <w:tr w:rsidR="0036727A" w:rsidRPr="00286216" w14:paraId="00FEB8C6" w14:textId="77777777" w:rsidTr="00091AA5">
        <w:tc>
          <w:tcPr>
            <w:tcW w:w="576" w:type="dxa"/>
          </w:tcPr>
          <w:p w14:paraId="77ECF3B1" w14:textId="77777777" w:rsidR="0036727A" w:rsidRPr="00286216" w:rsidRDefault="0036727A" w:rsidP="0036727A">
            <w:pPr>
              <w:pStyle w:val="StyleWisnow"/>
              <w:rPr>
                <w:color w:val="000000" w:themeColor="text1"/>
              </w:rPr>
            </w:pPr>
            <w:bookmarkStart w:id="2066" w:name="n2295" w:colFirst="0" w:colLast="0"/>
            <w:r w:rsidRPr="00286216">
              <w:rPr>
                <w:color w:val="000000" w:themeColor="text1"/>
              </w:rPr>
              <w:lastRenderedPageBreak/>
              <w:t>2295.</w:t>
            </w:r>
          </w:p>
        </w:tc>
        <w:tc>
          <w:tcPr>
            <w:tcW w:w="4818" w:type="dxa"/>
          </w:tcPr>
          <w:p w14:paraId="584DD1EC" w14:textId="77777777" w:rsidR="0036727A" w:rsidRPr="00286216" w:rsidRDefault="0036727A" w:rsidP="0036727A">
            <w:pPr>
              <w:pStyle w:val="StyleZakonu"/>
              <w:spacing w:after="0"/>
              <w:ind w:firstLine="0"/>
              <w:jc w:val="center"/>
              <w:rPr>
                <w:color w:val="000000" w:themeColor="text1"/>
              </w:rPr>
            </w:pPr>
            <w:r w:rsidRPr="00286216">
              <w:rPr>
                <w:color w:val="000000" w:themeColor="text1"/>
              </w:rPr>
              <w:t>Розділ ХІ</w:t>
            </w:r>
          </w:p>
          <w:p w14:paraId="3C7B380E" w14:textId="77777777" w:rsidR="0036727A" w:rsidRPr="00286216" w:rsidRDefault="0036727A" w:rsidP="0036727A">
            <w:pPr>
              <w:pStyle w:val="StyleZakonu"/>
              <w:ind w:firstLine="0"/>
              <w:jc w:val="center"/>
              <w:rPr>
                <w:color w:val="000000" w:themeColor="text1"/>
              </w:rPr>
            </w:pPr>
            <w:r w:rsidRPr="00286216">
              <w:rPr>
                <w:color w:val="000000" w:themeColor="text1"/>
              </w:rPr>
              <w:t>ОБ’ЄДНАННЯ ПРОФЕСІЙНИХ УЧАСНИКІВ РИНКІВ КАПІТАЛУ</w:t>
            </w:r>
          </w:p>
        </w:tc>
        <w:tc>
          <w:tcPr>
            <w:tcW w:w="3686" w:type="dxa"/>
          </w:tcPr>
          <w:p w14:paraId="5E224B73" w14:textId="77777777" w:rsidR="0036727A" w:rsidRPr="00286216" w:rsidRDefault="0036727A" w:rsidP="0036727A">
            <w:pPr>
              <w:pStyle w:val="StyleProp"/>
              <w:rPr>
                <w:color w:val="000000" w:themeColor="text1"/>
                <w:szCs w:val="18"/>
              </w:rPr>
            </w:pPr>
          </w:p>
        </w:tc>
        <w:tc>
          <w:tcPr>
            <w:tcW w:w="1987" w:type="dxa"/>
          </w:tcPr>
          <w:p w14:paraId="64B556DD" w14:textId="77777777" w:rsidR="0036727A" w:rsidRPr="00286216" w:rsidRDefault="0036727A" w:rsidP="0036727A">
            <w:pPr>
              <w:pStyle w:val="StyleWisnow"/>
              <w:rPr>
                <w:color w:val="000000" w:themeColor="text1"/>
              </w:rPr>
            </w:pPr>
          </w:p>
        </w:tc>
        <w:tc>
          <w:tcPr>
            <w:tcW w:w="4818" w:type="dxa"/>
          </w:tcPr>
          <w:p w14:paraId="51EE8C4D" w14:textId="77777777" w:rsidR="0036727A" w:rsidRPr="00286216" w:rsidRDefault="0036727A" w:rsidP="0036727A">
            <w:pPr>
              <w:pStyle w:val="StyleZakonu"/>
              <w:spacing w:after="0"/>
              <w:ind w:firstLine="0"/>
              <w:jc w:val="center"/>
              <w:rPr>
                <w:color w:val="000000" w:themeColor="text1"/>
              </w:rPr>
            </w:pPr>
            <w:r w:rsidRPr="00286216">
              <w:rPr>
                <w:color w:val="000000" w:themeColor="text1"/>
              </w:rPr>
              <w:t>Розділ ХІ</w:t>
            </w:r>
          </w:p>
          <w:p w14:paraId="6BCF0BA5" w14:textId="478950E5" w:rsidR="0036727A" w:rsidRPr="00286216" w:rsidRDefault="0036727A" w:rsidP="0036727A">
            <w:pPr>
              <w:pStyle w:val="StyleZakonu"/>
              <w:ind w:firstLine="0"/>
              <w:jc w:val="center"/>
              <w:rPr>
                <w:color w:val="000000" w:themeColor="text1"/>
              </w:rPr>
            </w:pPr>
            <w:r w:rsidRPr="00286216">
              <w:rPr>
                <w:color w:val="000000" w:themeColor="text1"/>
              </w:rPr>
              <w:t>ОБ’ЄДНАННЯ ПРОФЕСІЙНИХ УЧАСНИКІВ РИНКІВ КАПІТАЛУ</w:t>
            </w:r>
          </w:p>
        </w:tc>
      </w:tr>
      <w:tr w:rsidR="0036727A" w:rsidRPr="00286216" w14:paraId="095DC0CD" w14:textId="77777777" w:rsidTr="00091AA5">
        <w:tc>
          <w:tcPr>
            <w:tcW w:w="576" w:type="dxa"/>
          </w:tcPr>
          <w:p w14:paraId="470332E9" w14:textId="77777777" w:rsidR="0036727A" w:rsidRPr="00286216" w:rsidRDefault="0036727A" w:rsidP="0036727A">
            <w:pPr>
              <w:pStyle w:val="StyleWisnow"/>
              <w:rPr>
                <w:color w:val="000000" w:themeColor="text1"/>
              </w:rPr>
            </w:pPr>
            <w:bookmarkStart w:id="2067" w:name="n2296" w:colFirst="0" w:colLast="0"/>
            <w:bookmarkEnd w:id="2066"/>
            <w:r w:rsidRPr="00286216">
              <w:rPr>
                <w:color w:val="000000" w:themeColor="text1"/>
              </w:rPr>
              <w:t>2296.</w:t>
            </w:r>
          </w:p>
        </w:tc>
        <w:tc>
          <w:tcPr>
            <w:tcW w:w="4818" w:type="dxa"/>
          </w:tcPr>
          <w:p w14:paraId="60C4EA36" w14:textId="77777777" w:rsidR="0036727A" w:rsidRPr="00286216" w:rsidRDefault="0036727A" w:rsidP="0036727A">
            <w:pPr>
              <w:pStyle w:val="StyleZakonu"/>
              <w:rPr>
                <w:color w:val="000000" w:themeColor="text1"/>
              </w:rPr>
            </w:pPr>
            <w:bookmarkStart w:id="2068" w:name="_Ref17367832"/>
            <w:r w:rsidRPr="00286216">
              <w:rPr>
                <w:color w:val="000000" w:themeColor="text1"/>
              </w:rPr>
              <w:t>Стаття 138. Об’єднання професійних учасників ринків капіталу</w:t>
            </w:r>
            <w:bookmarkEnd w:id="2068"/>
          </w:p>
        </w:tc>
        <w:tc>
          <w:tcPr>
            <w:tcW w:w="3686" w:type="dxa"/>
          </w:tcPr>
          <w:p w14:paraId="7D5A0F8D" w14:textId="77777777" w:rsidR="0036727A" w:rsidRPr="00286216" w:rsidRDefault="0036727A" w:rsidP="0036727A">
            <w:pPr>
              <w:pStyle w:val="StyleProp"/>
              <w:rPr>
                <w:color w:val="000000" w:themeColor="text1"/>
                <w:szCs w:val="18"/>
              </w:rPr>
            </w:pPr>
          </w:p>
        </w:tc>
        <w:tc>
          <w:tcPr>
            <w:tcW w:w="1987" w:type="dxa"/>
          </w:tcPr>
          <w:p w14:paraId="031390AF" w14:textId="77777777" w:rsidR="0036727A" w:rsidRPr="00286216" w:rsidRDefault="0036727A" w:rsidP="0036727A">
            <w:pPr>
              <w:pStyle w:val="StyleWisnow"/>
              <w:rPr>
                <w:color w:val="000000" w:themeColor="text1"/>
              </w:rPr>
            </w:pPr>
          </w:p>
        </w:tc>
        <w:tc>
          <w:tcPr>
            <w:tcW w:w="4818" w:type="dxa"/>
          </w:tcPr>
          <w:p w14:paraId="20A231D0" w14:textId="379A8642" w:rsidR="0036727A" w:rsidRPr="00286216" w:rsidRDefault="0036727A" w:rsidP="0036727A">
            <w:pPr>
              <w:pStyle w:val="StyleZakonu"/>
              <w:rPr>
                <w:color w:val="000000" w:themeColor="text1"/>
              </w:rPr>
            </w:pPr>
            <w:r w:rsidRPr="00286216">
              <w:rPr>
                <w:color w:val="000000" w:themeColor="text1"/>
              </w:rPr>
              <w:t>Стаття 143. Об’єднання професійних учасників ринків капіталу</w:t>
            </w:r>
          </w:p>
        </w:tc>
      </w:tr>
      <w:tr w:rsidR="0036727A" w:rsidRPr="00286216" w14:paraId="0E556C7D" w14:textId="77777777" w:rsidTr="00091AA5">
        <w:tc>
          <w:tcPr>
            <w:tcW w:w="576" w:type="dxa"/>
          </w:tcPr>
          <w:p w14:paraId="6CBA207B" w14:textId="77777777" w:rsidR="0036727A" w:rsidRPr="00286216" w:rsidRDefault="0036727A" w:rsidP="0036727A">
            <w:pPr>
              <w:pStyle w:val="StyleWisnow"/>
              <w:rPr>
                <w:color w:val="000000" w:themeColor="text1"/>
              </w:rPr>
            </w:pPr>
            <w:bookmarkStart w:id="2069" w:name="n2297" w:colFirst="0" w:colLast="0"/>
            <w:bookmarkEnd w:id="2067"/>
            <w:r w:rsidRPr="00286216">
              <w:rPr>
                <w:color w:val="000000" w:themeColor="text1"/>
              </w:rPr>
              <w:t>2297.</w:t>
            </w:r>
          </w:p>
        </w:tc>
        <w:tc>
          <w:tcPr>
            <w:tcW w:w="4818" w:type="dxa"/>
          </w:tcPr>
          <w:p w14:paraId="3B7D0EBD" w14:textId="77777777" w:rsidR="0036727A" w:rsidRPr="00286216" w:rsidRDefault="0036727A" w:rsidP="0036727A">
            <w:pPr>
              <w:pStyle w:val="StyleZakonu"/>
              <w:rPr>
                <w:color w:val="000000" w:themeColor="text1"/>
              </w:rPr>
            </w:pPr>
            <w:r w:rsidRPr="00286216">
              <w:rPr>
                <w:color w:val="000000" w:themeColor="text1"/>
              </w:rPr>
              <w:t>1. Об'єднання професійних учасників ринків капіталу може об'єднувати учасників, які здійснюють різні види професійної діяльності на ринках капіталу, і має бути зареєстровано в порядку, встановленому Національною комісією з цінних паперів та фондового ринку.</w:t>
            </w:r>
          </w:p>
        </w:tc>
        <w:tc>
          <w:tcPr>
            <w:tcW w:w="3686" w:type="dxa"/>
          </w:tcPr>
          <w:p w14:paraId="47AB2C78" w14:textId="77777777" w:rsidR="0036727A" w:rsidRPr="00286216" w:rsidRDefault="0036727A" w:rsidP="0036727A">
            <w:pPr>
              <w:pStyle w:val="StyleProp"/>
              <w:rPr>
                <w:color w:val="000000" w:themeColor="text1"/>
                <w:szCs w:val="18"/>
              </w:rPr>
            </w:pPr>
          </w:p>
        </w:tc>
        <w:tc>
          <w:tcPr>
            <w:tcW w:w="1987" w:type="dxa"/>
          </w:tcPr>
          <w:p w14:paraId="0CD5E032" w14:textId="77777777" w:rsidR="0036727A" w:rsidRPr="00286216" w:rsidRDefault="0036727A" w:rsidP="0036727A">
            <w:pPr>
              <w:pStyle w:val="StyleWisnow"/>
              <w:rPr>
                <w:color w:val="000000" w:themeColor="text1"/>
              </w:rPr>
            </w:pPr>
          </w:p>
        </w:tc>
        <w:tc>
          <w:tcPr>
            <w:tcW w:w="4818" w:type="dxa"/>
          </w:tcPr>
          <w:p w14:paraId="0406A786" w14:textId="0950C784" w:rsidR="0036727A" w:rsidRPr="00286216" w:rsidRDefault="0036727A" w:rsidP="0036727A">
            <w:pPr>
              <w:pStyle w:val="StyleZakonu"/>
              <w:rPr>
                <w:color w:val="000000" w:themeColor="text1"/>
              </w:rPr>
            </w:pPr>
            <w:r w:rsidRPr="00286216">
              <w:rPr>
                <w:color w:val="000000" w:themeColor="text1"/>
              </w:rPr>
              <w:t>1. Об'єднання професійних учасників ринків капіталу може об'єднувати учасників, які здійснюють різні види професійної діяльності на ринках капіталу, і має бути зареєстровано в порядку, встановленому Національною комісією з цінних паперів та фондового ринку.</w:t>
            </w:r>
          </w:p>
        </w:tc>
      </w:tr>
      <w:tr w:rsidR="0036727A" w:rsidRPr="00286216" w14:paraId="694CF967" w14:textId="77777777" w:rsidTr="00091AA5">
        <w:tc>
          <w:tcPr>
            <w:tcW w:w="576" w:type="dxa"/>
          </w:tcPr>
          <w:p w14:paraId="7E2FC2B6" w14:textId="77777777" w:rsidR="0036727A" w:rsidRPr="00286216" w:rsidRDefault="0036727A" w:rsidP="0036727A">
            <w:pPr>
              <w:pStyle w:val="StyleWisnow"/>
              <w:rPr>
                <w:color w:val="000000" w:themeColor="text1"/>
              </w:rPr>
            </w:pPr>
            <w:bookmarkStart w:id="2070" w:name="n2298" w:colFirst="0" w:colLast="0"/>
            <w:bookmarkEnd w:id="2069"/>
            <w:r w:rsidRPr="00286216">
              <w:rPr>
                <w:color w:val="000000" w:themeColor="text1"/>
              </w:rPr>
              <w:t>2298.</w:t>
            </w:r>
          </w:p>
        </w:tc>
        <w:tc>
          <w:tcPr>
            <w:tcW w:w="4818" w:type="dxa"/>
          </w:tcPr>
          <w:p w14:paraId="094DAF04" w14:textId="77777777" w:rsidR="0036727A" w:rsidRPr="00286216" w:rsidRDefault="0036727A" w:rsidP="0036727A">
            <w:pPr>
              <w:pStyle w:val="StyleZakonu"/>
              <w:rPr>
                <w:color w:val="000000" w:themeColor="text1"/>
              </w:rPr>
            </w:pPr>
            <w:r w:rsidRPr="00286216">
              <w:rPr>
                <w:color w:val="000000" w:themeColor="text1"/>
              </w:rPr>
              <w:t>Умовою прийняття рішення про реєстрацію об'єднання професійних учасників ринків капіталу є його відповідність таким вимогам:</w:t>
            </w:r>
          </w:p>
        </w:tc>
        <w:tc>
          <w:tcPr>
            <w:tcW w:w="3686" w:type="dxa"/>
          </w:tcPr>
          <w:p w14:paraId="043FD957" w14:textId="77777777" w:rsidR="0036727A" w:rsidRPr="00286216" w:rsidRDefault="0036727A" w:rsidP="0036727A">
            <w:pPr>
              <w:pStyle w:val="StyleProp"/>
              <w:rPr>
                <w:color w:val="000000" w:themeColor="text1"/>
                <w:szCs w:val="18"/>
              </w:rPr>
            </w:pPr>
          </w:p>
        </w:tc>
        <w:tc>
          <w:tcPr>
            <w:tcW w:w="1987" w:type="dxa"/>
          </w:tcPr>
          <w:p w14:paraId="20818A84" w14:textId="77777777" w:rsidR="0036727A" w:rsidRPr="00286216" w:rsidRDefault="0036727A" w:rsidP="0036727A">
            <w:pPr>
              <w:pStyle w:val="StyleWisnow"/>
              <w:rPr>
                <w:color w:val="000000" w:themeColor="text1"/>
              </w:rPr>
            </w:pPr>
          </w:p>
        </w:tc>
        <w:tc>
          <w:tcPr>
            <w:tcW w:w="4818" w:type="dxa"/>
          </w:tcPr>
          <w:p w14:paraId="24ABAE5D" w14:textId="34EAB6FA" w:rsidR="0036727A" w:rsidRPr="00286216" w:rsidRDefault="0036727A" w:rsidP="0036727A">
            <w:pPr>
              <w:pStyle w:val="StyleZakonu"/>
              <w:rPr>
                <w:color w:val="000000" w:themeColor="text1"/>
              </w:rPr>
            </w:pPr>
            <w:r w:rsidRPr="00286216">
              <w:rPr>
                <w:color w:val="000000" w:themeColor="text1"/>
              </w:rPr>
              <w:t>Умовою прийняття рішення про реєстрацію об'єднання професійних учасників ринків капіталу є його відповідність таким вимогам:</w:t>
            </w:r>
          </w:p>
        </w:tc>
      </w:tr>
      <w:tr w:rsidR="0036727A" w:rsidRPr="00286216" w14:paraId="58B61BF1" w14:textId="77777777" w:rsidTr="00091AA5">
        <w:tc>
          <w:tcPr>
            <w:tcW w:w="576" w:type="dxa"/>
          </w:tcPr>
          <w:p w14:paraId="4908D988" w14:textId="77777777" w:rsidR="0036727A" w:rsidRPr="00286216" w:rsidRDefault="0036727A" w:rsidP="0036727A">
            <w:pPr>
              <w:pStyle w:val="StyleWisnow"/>
              <w:rPr>
                <w:color w:val="000000" w:themeColor="text1"/>
              </w:rPr>
            </w:pPr>
            <w:bookmarkStart w:id="2071" w:name="n2299" w:colFirst="0" w:colLast="0"/>
            <w:bookmarkEnd w:id="2070"/>
            <w:r w:rsidRPr="00286216">
              <w:rPr>
                <w:color w:val="000000" w:themeColor="text1"/>
              </w:rPr>
              <w:t>2299.</w:t>
            </w:r>
          </w:p>
        </w:tc>
        <w:tc>
          <w:tcPr>
            <w:tcW w:w="4818" w:type="dxa"/>
          </w:tcPr>
          <w:p w14:paraId="738E0C92" w14:textId="77777777" w:rsidR="0036727A" w:rsidRPr="00286216" w:rsidRDefault="0036727A" w:rsidP="0036727A">
            <w:pPr>
              <w:pStyle w:val="StyleZakonu"/>
              <w:rPr>
                <w:color w:val="000000" w:themeColor="text1"/>
              </w:rPr>
            </w:pPr>
            <w:r w:rsidRPr="00286216">
              <w:rPr>
                <w:color w:val="000000" w:themeColor="text1"/>
              </w:rPr>
              <w:t xml:space="preserve">об'єднання повинно включати не менше 35 відсотків професійних учасників ринків капіталу за кожним з видів професійної діяльності, визначених </w:t>
            </w:r>
            <w:r w:rsidRPr="00286216">
              <w:rPr>
                <w:color w:val="000000" w:themeColor="text1"/>
              </w:rPr>
              <w:lastRenderedPageBreak/>
              <w:t>цим Законом, які воно об'єднує;</w:t>
            </w:r>
          </w:p>
        </w:tc>
        <w:tc>
          <w:tcPr>
            <w:tcW w:w="3686" w:type="dxa"/>
          </w:tcPr>
          <w:p w14:paraId="2B8538E6" w14:textId="77777777" w:rsidR="0036727A" w:rsidRPr="00286216" w:rsidRDefault="0036727A" w:rsidP="0036727A">
            <w:pPr>
              <w:pStyle w:val="StyleProp"/>
              <w:rPr>
                <w:color w:val="000000" w:themeColor="text1"/>
                <w:szCs w:val="18"/>
              </w:rPr>
            </w:pPr>
          </w:p>
        </w:tc>
        <w:tc>
          <w:tcPr>
            <w:tcW w:w="1987" w:type="dxa"/>
          </w:tcPr>
          <w:p w14:paraId="30E48CC6" w14:textId="77777777" w:rsidR="0036727A" w:rsidRPr="00286216" w:rsidRDefault="0036727A" w:rsidP="0036727A">
            <w:pPr>
              <w:pStyle w:val="StyleWisnow"/>
              <w:rPr>
                <w:color w:val="000000" w:themeColor="text1"/>
              </w:rPr>
            </w:pPr>
          </w:p>
        </w:tc>
        <w:tc>
          <w:tcPr>
            <w:tcW w:w="4818" w:type="dxa"/>
          </w:tcPr>
          <w:p w14:paraId="4AF94AC4" w14:textId="4B59AD91" w:rsidR="0036727A" w:rsidRPr="00286216" w:rsidRDefault="0036727A" w:rsidP="0036727A">
            <w:pPr>
              <w:pStyle w:val="StyleZakonu"/>
              <w:rPr>
                <w:color w:val="000000" w:themeColor="text1"/>
              </w:rPr>
            </w:pPr>
            <w:r w:rsidRPr="00286216">
              <w:rPr>
                <w:color w:val="000000" w:themeColor="text1"/>
              </w:rPr>
              <w:t xml:space="preserve">об'єднання повинно включати не менше 35 відсотків професійних учасників ринків капіталу за кожним з видів професійної діяльності, визначених </w:t>
            </w:r>
            <w:r w:rsidRPr="00286216">
              <w:rPr>
                <w:color w:val="000000" w:themeColor="text1"/>
              </w:rPr>
              <w:lastRenderedPageBreak/>
              <w:t>цим Законом, які воно об'єднує;</w:t>
            </w:r>
          </w:p>
        </w:tc>
      </w:tr>
      <w:tr w:rsidR="0036727A" w:rsidRPr="00286216" w14:paraId="61449E2C" w14:textId="77777777" w:rsidTr="00091AA5">
        <w:tc>
          <w:tcPr>
            <w:tcW w:w="576" w:type="dxa"/>
          </w:tcPr>
          <w:p w14:paraId="5D5AC51D" w14:textId="77777777" w:rsidR="0036727A" w:rsidRPr="00286216" w:rsidRDefault="0036727A" w:rsidP="0036727A">
            <w:pPr>
              <w:pStyle w:val="StyleWisnow"/>
              <w:rPr>
                <w:color w:val="000000" w:themeColor="text1"/>
              </w:rPr>
            </w:pPr>
            <w:bookmarkStart w:id="2072" w:name="n2300" w:colFirst="0" w:colLast="0"/>
            <w:bookmarkEnd w:id="2071"/>
            <w:r w:rsidRPr="00286216">
              <w:rPr>
                <w:color w:val="000000" w:themeColor="text1"/>
              </w:rPr>
              <w:lastRenderedPageBreak/>
              <w:t>2300.</w:t>
            </w:r>
          </w:p>
        </w:tc>
        <w:tc>
          <w:tcPr>
            <w:tcW w:w="4818" w:type="dxa"/>
          </w:tcPr>
          <w:p w14:paraId="7E48DE32" w14:textId="77777777" w:rsidR="0036727A" w:rsidRPr="00286216" w:rsidRDefault="0036727A" w:rsidP="0036727A">
            <w:pPr>
              <w:pStyle w:val="StyleZakonu"/>
              <w:rPr>
                <w:color w:val="000000" w:themeColor="text1"/>
              </w:rPr>
            </w:pPr>
            <w:r w:rsidRPr="00286216">
              <w:rPr>
                <w:color w:val="000000" w:themeColor="text1"/>
              </w:rPr>
              <w:t>наявність правил і стандартів професійної діяльності на ринках капіталу, що є обов'язковими для виконання всіма членами об'єднання;</w:t>
            </w:r>
          </w:p>
        </w:tc>
        <w:tc>
          <w:tcPr>
            <w:tcW w:w="3686" w:type="dxa"/>
          </w:tcPr>
          <w:p w14:paraId="4C811D3F" w14:textId="77777777" w:rsidR="0036727A" w:rsidRPr="00286216" w:rsidRDefault="0036727A" w:rsidP="0036727A">
            <w:pPr>
              <w:pStyle w:val="StyleProp"/>
              <w:rPr>
                <w:color w:val="000000" w:themeColor="text1"/>
                <w:szCs w:val="18"/>
              </w:rPr>
            </w:pPr>
          </w:p>
        </w:tc>
        <w:tc>
          <w:tcPr>
            <w:tcW w:w="1987" w:type="dxa"/>
          </w:tcPr>
          <w:p w14:paraId="104BE81C" w14:textId="77777777" w:rsidR="0036727A" w:rsidRPr="00286216" w:rsidRDefault="0036727A" w:rsidP="0036727A">
            <w:pPr>
              <w:pStyle w:val="StyleWisnow"/>
              <w:rPr>
                <w:color w:val="000000" w:themeColor="text1"/>
              </w:rPr>
            </w:pPr>
          </w:p>
        </w:tc>
        <w:tc>
          <w:tcPr>
            <w:tcW w:w="4818" w:type="dxa"/>
          </w:tcPr>
          <w:p w14:paraId="4B143511" w14:textId="40673D79" w:rsidR="0036727A" w:rsidRPr="00286216" w:rsidRDefault="0036727A" w:rsidP="0036727A">
            <w:pPr>
              <w:pStyle w:val="StyleZakonu"/>
              <w:rPr>
                <w:color w:val="000000" w:themeColor="text1"/>
              </w:rPr>
            </w:pPr>
            <w:r w:rsidRPr="00286216">
              <w:rPr>
                <w:color w:val="000000" w:themeColor="text1"/>
              </w:rPr>
              <w:t>наявність правил і стандартів професійної діяльності на ринках капіталу, що є обов'язковими для виконання всіма членами об'єднання;</w:t>
            </w:r>
          </w:p>
        </w:tc>
      </w:tr>
      <w:tr w:rsidR="0036727A" w:rsidRPr="00286216" w14:paraId="10E267E3" w14:textId="77777777" w:rsidTr="00091AA5">
        <w:tc>
          <w:tcPr>
            <w:tcW w:w="576" w:type="dxa"/>
          </w:tcPr>
          <w:p w14:paraId="2074E563" w14:textId="77777777" w:rsidR="0036727A" w:rsidRPr="00286216" w:rsidRDefault="0036727A" w:rsidP="0036727A">
            <w:pPr>
              <w:pStyle w:val="StyleWisnow"/>
              <w:rPr>
                <w:color w:val="000000" w:themeColor="text1"/>
              </w:rPr>
            </w:pPr>
            <w:bookmarkStart w:id="2073" w:name="n2301" w:colFirst="0" w:colLast="0"/>
            <w:bookmarkEnd w:id="2072"/>
            <w:r w:rsidRPr="00286216">
              <w:rPr>
                <w:color w:val="000000" w:themeColor="text1"/>
              </w:rPr>
              <w:t>2301.</w:t>
            </w:r>
          </w:p>
        </w:tc>
        <w:tc>
          <w:tcPr>
            <w:tcW w:w="4818" w:type="dxa"/>
          </w:tcPr>
          <w:p w14:paraId="3F90D3EB" w14:textId="77777777" w:rsidR="0036727A" w:rsidRPr="00286216" w:rsidRDefault="0036727A" w:rsidP="0036727A">
            <w:pPr>
              <w:pStyle w:val="StyleZakonu"/>
              <w:rPr>
                <w:color w:val="000000" w:themeColor="text1"/>
              </w:rPr>
            </w:pPr>
            <w:r w:rsidRPr="00286216">
              <w:rPr>
                <w:color w:val="000000" w:themeColor="text1"/>
              </w:rPr>
              <w:t>статус неприбуткової організації;</w:t>
            </w:r>
          </w:p>
        </w:tc>
        <w:tc>
          <w:tcPr>
            <w:tcW w:w="3686" w:type="dxa"/>
          </w:tcPr>
          <w:p w14:paraId="321EA6C1" w14:textId="59B16EFA" w:rsidR="0036727A" w:rsidRPr="00286216" w:rsidRDefault="0036727A" w:rsidP="0036727A">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1105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CEFFF6C" w14:textId="77777777" w:rsidR="0036727A" w:rsidRPr="00286216" w:rsidRDefault="0036727A" w:rsidP="0036727A">
            <w:pPr>
              <w:pStyle w:val="StyleProp"/>
              <w:rPr>
                <w:color w:val="000000" w:themeColor="text1"/>
                <w:szCs w:val="18"/>
              </w:rPr>
            </w:pPr>
            <w:r w:rsidRPr="00286216">
              <w:rPr>
                <w:color w:val="000000" w:themeColor="text1"/>
                <w:szCs w:val="18"/>
              </w:rPr>
              <w:t xml:space="preserve"> «Абзац п’ятий частини першої статті 138 розділу 1 проекту доповнити словами «відповідно до податкового законодавства»»</w:t>
            </w:r>
          </w:p>
        </w:tc>
        <w:tc>
          <w:tcPr>
            <w:tcW w:w="1987" w:type="dxa"/>
          </w:tcPr>
          <w:p w14:paraId="7E26ACBF" w14:textId="77777777" w:rsidR="0036727A" w:rsidRPr="00286216" w:rsidRDefault="0036727A" w:rsidP="0036727A">
            <w:pPr>
              <w:pStyle w:val="StyleWisnow"/>
              <w:rPr>
                <w:color w:val="000000" w:themeColor="text1"/>
              </w:rPr>
            </w:pPr>
            <w:r w:rsidRPr="00286216">
              <w:rPr>
                <w:color w:val="000000" w:themeColor="text1"/>
              </w:rPr>
              <w:t>Враховано</w:t>
            </w:r>
          </w:p>
        </w:tc>
        <w:tc>
          <w:tcPr>
            <w:tcW w:w="4818" w:type="dxa"/>
          </w:tcPr>
          <w:p w14:paraId="2CBE0569" w14:textId="5C8CA359" w:rsidR="0036727A" w:rsidRPr="00286216" w:rsidRDefault="0036727A" w:rsidP="0036727A">
            <w:pPr>
              <w:pStyle w:val="StyleZakonu"/>
              <w:rPr>
                <w:color w:val="000000" w:themeColor="text1"/>
              </w:rPr>
            </w:pPr>
            <w:r w:rsidRPr="00286216">
              <w:rPr>
                <w:color w:val="000000" w:themeColor="text1"/>
              </w:rPr>
              <w:t xml:space="preserve">статус неприбуткової організації </w:t>
            </w:r>
            <w:r w:rsidRPr="00286216">
              <w:rPr>
                <w:color w:val="000000" w:themeColor="text1"/>
                <w:szCs w:val="18"/>
              </w:rPr>
              <w:t>відповідно до податкового законодавства</w:t>
            </w:r>
            <w:r w:rsidRPr="00286216">
              <w:rPr>
                <w:color w:val="000000" w:themeColor="text1"/>
              </w:rPr>
              <w:t>;</w:t>
            </w:r>
          </w:p>
        </w:tc>
      </w:tr>
      <w:tr w:rsidR="0036727A" w:rsidRPr="00286216" w14:paraId="5B80D8B5" w14:textId="77777777" w:rsidTr="00091AA5">
        <w:tc>
          <w:tcPr>
            <w:tcW w:w="576" w:type="dxa"/>
          </w:tcPr>
          <w:p w14:paraId="58B821AA" w14:textId="77777777" w:rsidR="0036727A" w:rsidRPr="00286216" w:rsidRDefault="0036727A" w:rsidP="0036727A">
            <w:pPr>
              <w:pStyle w:val="StyleWisnow"/>
              <w:rPr>
                <w:color w:val="000000" w:themeColor="text1"/>
              </w:rPr>
            </w:pPr>
            <w:bookmarkStart w:id="2074" w:name="n2302" w:colFirst="0" w:colLast="0"/>
            <w:bookmarkEnd w:id="2073"/>
            <w:r w:rsidRPr="00286216">
              <w:rPr>
                <w:color w:val="000000" w:themeColor="text1"/>
              </w:rPr>
              <w:t>2302.</w:t>
            </w:r>
          </w:p>
        </w:tc>
        <w:tc>
          <w:tcPr>
            <w:tcW w:w="4818" w:type="dxa"/>
          </w:tcPr>
          <w:p w14:paraId="2AF06B6C" w14:textId="77777777" w:rsidR="0036727A" w:rsidRPr="00286216" w:rsidRDefault="0036727A" w:rsidP="0036727A">
            <w:pPr>
              <w:pStyle w:val="StyleZakonu"/>
              <w:rPr>
                <w:color w:val="000000" w:themeColor="text1"/>
              </w:rPr>
            </w:pPr>
            <w:r w:rsidRPr="00286216">
              <w:rPr>
                <w:color w:val="000000" w:themeColor="text1"/>
              </w:rPr>
              <w:t>наявність у власності для забезпечення статутної діяльності активів у розмірі не менше 600 тисяч гривень.</w:t>
            </w:r>
          </w:p>
        </w:tc>
        <w:tc>
          <w:tcPr>
            <w:tcW w:w="3686" w:type="dxa"/>
          </w:tcPr>
          <w:p w14:paraId="6455E0F4" w14:textId="77777777" w:rsidR="0036727A" w:rsidRPr="00286216" w:rsidRDefault="0036727A" w:rsidP="0036727A">
            <w:pPr>
              <w:pStyle w:val="StyleProp"/>
              <w:rPr>
                <w:color w:val="000000" w:themeColor="text1"/>
                <w:szCs w:val="18"/>
              </w:rPr>
            </w:pPr>
          </w:p>
        </w:tc>
        <w:tc>
          <w:tcPr>
            <w:tcW w:w="1987" w:type="dxa"/>
          </w:tcPr>
          <w:p w14:paraId="4DA3DEDC" w14:textId="77777777" w:rsidR="0036727A" w:rsidRPr="00286216" w:rsidRDefault="0036727A" w:rsidP="0036727A">
            <w:pPr>
              <w:pStyle w:val="StyleWisnow"/>
              <w:rPr>
                <w:color w:val="000000" w:themeColor="text1"/>
              </w:rPr>
            </w:pPr>
          </w:p>
        </w:tc>
        <w:tc>
          <w:tcPr>
            <w:tcW w:w="4818" w:type="dxa"/>
          </w:tcPr>
          <w:p w14:paraId="22A97F2E" w14:textId="7290D39E" w:rsidR="0036727A" w:rsidRPr="00286216" w:rsidRDefault="0036727A" w:rsidP="0036727A">
            <w:pPr>
              <w:pStyle w:val="StyleZakonu"/>
              <w:rPr>
                <w:color w:val="000000" w:themeColor="text1"/>
              </w:rPr>
            </w:pPr>
            <w:r w:rsidRPr="00286216">
              <w:rPr>
                <w:color w:val="000000" w:themeColor="text1"/>
              </w:rPr>
              <w:t>наявність у власності для забезпечення статутної діяльності активів у розмірі не менше 600 тисяч гривень.</w:t>
            </w:r>
          </w:p>
        </w:tc>
      </w:tr>
      <w:tr w:rsidR="0036727A" w:rsidRPr="00286216" w14:paraId="24A85CFE" w14:textId="77777777" w:rsidTr="00091AA5">
        <w:tc>
          <w:tcPr>
            <w:tcW w:w="576" w:type="dxa"/>
          </w:tcPr>
          <w:p w14:paraId="79067F27" w14:textId="77777777" w:rsidR="0036727A" w:rsidRPr="00286216" w:rsidRDefault="0036727A" w:rsidP="0036727A">
            <w:pPr>
              <w:pStyle w:val="StyleWisnow"/>
              <w:rPr>
                <w:color w:val="000000" w:themeColor="text1"/>
              </w:rPr>
            </w:pPr>
            <w:bookmarkStart w:id="2075" w:name="n2303" w:colFirst="0" w:colLast="0"/>
            <w:bookmarkEnd w:id="2074"/>
            <w:r w:rsidRPr="00286216">
              <w:rPr>
                <w:color w:val="000000" w:themeColor="text1"/>
              </w:rPr>
              <w:t>2303.</w:t>
            </w:r>
          </w:p>
        </w:tc>
        <w:tc>
          <w:tcPr>
            <w:tcW w:w="4818" w:type="dxa"/>
          </w:tcPr>
          <w:p w14:paraId="0948EE7C" w14:textId="77777777" w:rsidR="0036727A" w:rsidRPr="00286216" w:rsidRDefault="0036727A" w:rsidP="0036727A">
            <w:pPr>
              <w:pStyle w:val="StyleZakonu"/>
              <w:rPr>
                <w:color w:val="000000" w:themeColor="text1"/>
              </w:rPr>
            </w:pPr>
            <w:r w:rsidRPr="00286216">
              <w:rPr>
                <w:color w:val="000000" w:themeColor="text1"/>
              </w:rPr>
              <w:t>Об'єднання професійних учасників ринків капіталу зобов'язане дотримуватися вимог, встановлених цією статтею, протягом усього періоду своєї діяльності.</w:t>
            </w:r>
          </w:p>
        </w:tc>
        <w:tc>
          <w:tcPr>
            <w:tcW w:w="3686" w:type="dxa"/>
          </w:tcPr>
          <w:p w14:paraId="4DF1D381" w14:textId="77777777" w:rsidR="0036727A" w:rsidRPr="00286216" w:rsidRDefault="0036727A" w:rsidP="0036727A">
            <w:pPr>
              <w:pStyle w:val="StyleProp"/>
              <w:rPr>
                <w:color w:val="000000" w:themeColor="text1"/>
                <w:szCs w:val="18"/>
              </w:rPr>
            </w:pPr>
          </w:p>
        </w:tc>
        <w:tc>
          <w:tcPr>
            <w:tcW w:w="1987" w:type="dxa"/>
          </w:tcPr>
          <w:p w14:paraId="514BC824" w14:textId="77777777" w:rsidR="0036727A" w:rsidRPr="00286216" w:rsidRDefault="0036727A" w:rsidP="0036727A">
            <w:pPr>
              <w:pStyle w:val="StyleWisnow"/>
              <w:rPr>
                <w:color w:val="000000" w:themeColor="text1"/>
              </w:rPr>
            </w:pPr>
          </w:p>
        </w:tc>
        <w:tc>
          <w:tcPr>
            <w:tcW w:w="4818" w:type="dxa"/>
          </w:tcPr>
          <w:p w14:paraId="6349E378" w14:textId="365F2128" w:rsidR="0036727A" w:rsidRPr="00286216" w:rsidRDefault="0036727A" w:rsidP="0036727A">
            <w:pPr>
              <w:pStyle w:val="StyleZakonu"/>
              <w:rPr>
                <w:color w:val="000000" w:themeColor="text1"/>
              </w:rPr>
            </w:pPr>
            <w:r w:rsidRPr="00286216">
              <w:rPr>
                <w:color w:val="000000" w:themeColor="text1"/>
              </w:rPr>
              <w:t>Об'єднання професійних учасників ринків капіталу зобов'язане дотримуватися вимог, встановлених цією статтею, протягом усього періоду своєї діяльності.</w:t>
            </w:r>
          </w:p>
        </w:tc>
      </w:tr>
      <w:tr w:rsidR="0036727A" w:rsidRPr="00286216" w14:paraId="68F19138" w14:textId="77777777" w:rsidTr="00091AA5">
        <w:tc>
          <w:tcPr>
            <w:tcW w:w="576" w:type="dxa"/>
          </w:tcPr>
          <w:p w14:paraId="6A04536A" w14:textId="77777777" w:rsidR="0036727A" w:rsidRPr="00286216" w:rsidRDefault="0036727A" w:rsidP="0036727A">
            <w:pPr>
              <w:pStyle w:val="StyleWisnow"/>
              <w:rPr>
                <w:color w:val="000000" w:themeColor="text1"/>
              </w:rPr>
            </w:pPr>
            <w:bookmarkStart w:id="2076" w:name="n2304" w:colFirst="0" w:colLast="0"/>
            <w:bookmarkEnd w:id="2075"/>
            <w:r w:rsidRPr="00286216">
              <w:rPr>
                <w:color w:val="000000" w:themeColor="text1"/>
              </w:rPr>
              <w:t>2304.</w:t>
            </w:r>
          </w:p>
        </w:tc>
        <w:tc>
          <w:tcPr>
            <w:tcW w:w="4818" w:type="dxa"/>
          </w:tcPr>
          <w:p w14:paraId="4300ECDD" w14:textId="77777777" w:rsidR="0036727A" w:rsidRPr="00286216" w:rsidRDefault="0036727A" w:rsidP="0036727A">
            <w:pPr>
              <w:pStyle w:val="StyleZakonu"/>
              <w:rPr>
                <w:color w:val="000000" w:themeColor="text1"/>
              </w:rPr>
            </w:pPr>
            <w:r w:rsidRPr="00286216">
              <w:rPr>
                <w:color w:val="000000" w:themeColor="text1"/>
              </w:rPr>
              <w:t>Підставою для відмови в реєстрації об'єднання професійних учасників ринків капіталу може бути:</w:t>
            </w:r>
          </w:p>
        </w:tc>
        <w:tc>
          <w:tcPr>
            <w:tcW w:w="3686" w:type="dxa"/>
          </w:tcPr>
          <w:p w14:paraId="158BAE95" w14:textId="77777777" w:rsidR="0036727A" w:rsidRPr="00286216" w:rsidRDefault="0036727A" w:rsidP="0036727A">
            <w:pPr>
              <w:pStyle w:val="StyleProp"/>
              <w:rPr>
                <w:color w:val="000000" w:themeColor="text1"/>
                <w:szCs w:val="18"/>
              </w:rPr>
            </w:pPr>
          </w:p>
        </w:tc>
        <w:tc>
          <w:tcPr>
            <w:tcW w:w="1987" w:type="dxa"/>
          </w:tcPr>
          <w:p w14:paraId="2AB54ADE" w14:textId="77777777" w:rsidR="0036727A" w:rsidRPr="00286216" w:rsidRDefault="0036727A" w:rsidP="0036727A">
            <w:pPr>
              <w:pStyle w:val="StyleWisnow"/>
              <w:rPr>
                <w:color w:val="000000" w:themeColor="text1"/>
              </w:rPr>
            </w:pPr>
          </w:p>
        </w:tc>
        <w:tc>
          <w:tcPr>
            <w:tcW w:w="4818" w:type="dxa"/>
          </w:tcPr>
          <w:p w14:paraId="0805FE18" w14:textId="488749E2" w:rsidR="0036727A" w:rsidRPr="00286216" w:rsidRDefault="0036727A" w:rsidP="0036727A">
            <w:pPr>
              <w:pStyle w:val="StyleZakonu"/>
              <w:rPr>
                <w:color w:val="000000" w:themeColor="text1"/>
              </w:rPr>
            </w:pPr>
            <w:r w:rsidRPr="00286216">
              <w:rPr>
                <w:color w:val="000000" w:themeColor="text1"/>
              </w:rPr>
              <w:t>Підставою для відмови в реєстрації об'єднання професійних учасників ринків капіталу може бути:</w:t>
            </w:r>
          </w:p>
        </w:tc>
      </w:tr>
      <w:tr w:rsidR="0036727A" w:rsidRPr="00286216" w14:paraId="3E1F2D1F" w14:textId="77777777" w:rsidTr="00091AA5">
        <w:tc>
          <w:tcPr>
            <w:tcW w:w="576" w:type="dxa"/>
          </w:tcPr>
          <w:p w14:paraId="165CFB85" w14:textId="77777777" w:rsidR="0036727A" w:rsidRPr="00286216" w:rsidRDefault="0036727A" w:rsidP="0036727A">
            <w:pPr>
              <w:pStyle w:val="StyleWisnow"/>
              <w:rPr>
                <w:color w:val="000000" w:themeColor="text1"/>
              </w:rPr>
            </w:pPr>
            <w:bookmarkStart w:id="2077" w:name="n2305" w:colFirst="0" w:colLast="0"/>
            <w:bookmarkEnd w:id="2076"/>
            <w:r w:rsidRPr="00286216">
              <w:rPr>
                <w:color w:val="000000" w:themeColor="text1"/>
              </w:rPr>
              <w:t>2305.</w:t>
            </w:r>
          </w:p>
        </w:tc>
        <w:tc>
          <w:tcPr>
            <w:tcW w:w="4818" w:type="dxa"/>
          </w:tcPr>
          <w:p w14:paraId="0829DF8F" w14:textId="77777777" w:rsidR="0036727A" w:rsidRPr="00286216" w:rsidRDefault="0036727A" w:rsidP="0036727A">
            <w:pPr>
              <w:pStyle w:val="StyleZakonu"/>
              <w:rPr>
                <w:color w:val="000000" w:themeColor="text1"/>
              </w:rPr>
            </w:pPr>
            <w:r w:rsidRPr="00286216">
              <w:rPr>
                <w:color w:val="000000" w:themeColor="text1"/>
              </w:rPr>
              <w:t>відсутність документів, визначених законодавством, необхідних для реєстрації об'єднання;</w:t>
            </w:r>
          </w:p>
        </w:tc>
        <w:tc>
          <w:tcPr>
            <w:tcW w:w="3686" w:type="dxa"/>
          </w:tcPr>
          <w:p w14:paraId="497213F1" w14:textId="77777777" w:rsidR="0036727A" w:rsidRPr="00286216" w:rsidRDefault="0036727A" w:rsidP="0036727A">
            <w:pPr>
              <w:pStyle w:val="StyleProp"/>
              <w:rPr>
                <w:color w:val="000000" w:themeColor="text1"/>
                <w:szCs w:val="18"/>
              </w:rPr>
            </w:pPr>
          </w:p>
        </w:tc>
        <w:tc>
          <w:tcPr>
            <w:tcW w:w="1987" w:type="dxa"/>
          </w:tcPr>
          <w:p w14:paraId="3873D7B9" w14:textId="77777777" w:rsidR="0036727A" w:rsidRPr="00286216" w:rsidRDefault="0036727A" w:rsidP="0036727A">
            <w:pPr>
              <w:pStyle w:val="StyleWisnow"/>
              <w:rPr>
                <w:color w:val="000000" w:themeColor="text1"/>
              </w:rPr>
            </w:pPr>
          </w:p>
        </w:tc>
        <w:tc>
          <w:tcPr>
            <w:tcW w:w="4818" w:type="dxa"/>
          </w:tcPr>
          <w:p w14:paraId="4F279F82" w14:textId="320F56A4" w:rsidR="0036727A" w:rsidRPr="00286216" w:rsidRDefault="0036727A" w:rsidP="0036727A">
            <w:pPr>
              <w:pStyle w:val="StyleZakonu"/>
              <w:rPr>
                <w:color w:val="000000" w:themeColor="text1"/>
              </w:rPr>
            </w:pPr>
            <w:r w:rsidRPr="00286216">
              <w:rPr>
                <w:color w:val="000000" w:themeColor="text1"/>
              </w:rPr>
              <w:t>відсутність документів, визначених законодавством, необхідних для реєстрації об'єднання;</w:t>
            </w:r>
          </w:p>
        </w:tc>
      </w:tr>
      <w:tr w:rsidR="0036727A" w:rsidRPr="00286216" w14:paraId="27061D4F" w14:textId="77777777" w:rsidTr="00091AA5">
        <w:tc>
          <w:tcPr>
            <w:tcW w:w="576" w:type="dxa"/>
          </w:tcPr>
          <w:p w14:paraId="4D12D182" w14:textId="77777777" w:rsidR="0036727A" w:rsidRPr="00286216" w:rsidRDefault="0036727A" w:rsidP="0036727A">
            <w:pPr>
              <w:pStyle w:val="StyleWisnow"/>
              <w:rPr>
                <w:color w:val="000000" w:themeColor="text1"/>
              </w:rPr>
            </w:pPr>
            <w:bookmarkStart w:id="2078" w:name="n2306" w:colFirst="0" w:colLast="0"/>
            <w:bookmarkEnd w:id="2077"/>
            <w:r w:rsidRPr="00286216">
              <w:rPr>
                <w:color w:val="000000" w:themeColor="text1"/>
              </w:rPr>
              <w:t>2306.</w:t>
            </w:r>
          </w:p>
        </w:tc>
        <w:tc>
          <w:tcPr>
            <w:tcW w:w="4818" w:type="dxa"/>
          </w:tcPr>
          <w:p w14:paraId="65FC3A7F" w14:textId="77777777" w:rsidR="0036727A" w:rsidRPr="00286216" w:rsidRDefault="0036727A" w:rsidP="0036727A">
            <w:pPr>
              <w:pStyle w:val="StyleZakonu"/>
              <w:rPr>
                <w:color w:val="000000" w:themeColor="text1"/>
              </w:rPr>
            </w:pPr>
            <w:r w:rsidRPr="00286216">
              <w:rPr>
                <w:color w:val="000000" w:themeColor="text1"/>
              </w:rPr>
              <w:t>невідповідність поданих документів та даних, які вони містять, вимогам законодавства;</w:t>
            </w:r>
          </w:p>
        </w:tc>
        <w:tc>
          <w:tcPr>
            <w:tcW w:w="3686" w:type="dxa"/>
          </w:tcPr>
          <w:p w14:paraId="185D04EA" w14:textId="77777777" w:rsidR="0036727A" w:rsidRPr="00286216" w:rsidRDefault="0036727A" w:rsidP="0036727A">
            <w:pPr>
              <w:pStyle w:val="StyleProp"/>
              <w:rPr>
                <w:color w:val="000000" w:themeColor="text1"/>
                <w:szCs w:val="18"/>
              </w:rPr>
            </w:pPr>
          </w:p>
        </w:tc>
        <w:tc>
          <w:tcPr>
            <w:tcW w:w="1987" w:type="dxa"/>
          </w:tcPr>
          <w:p w14:paraId="43923244" w14:textId="77777777" w:rsidR="0036727A" w:rsidRPr="00286216" w:rsidRDefault="0036727A" w:rsidP="0036727A">
            <w:pPr>
              <w:pStyle w:val="StyleWisnow"/>
              <w:rPr>
                <w:color w:val="000000" w:themeColor="text1"/>
              </w:rPr>
            </w:pPr>
          </w:p>
        </w:tc>
        <w:tc>
          <w:tcPr>
            <w:tcW w:w="4818" w:type="dxa"/>
          </w:tcPr>
          <w:p w14:paraId="5A9F2974" w14:textId="4F0D4952" w:rsidR="0036727A" w:rsidRPr="00286216" w:rsidRDefault="0036727A" w:rsidP="0036727A">
            <w:pPr>
              <w:pStyle w:val="StyleZakonu"/>
              <w:rPr>
                <w:color w:val="000000" w:themeColor="text1"/>
              </w:rPr>
            </w:pPr>
            <w:r w:rsidRPr="00286216">
              <w:rPr>
                <w:color w:val="000000" w:themeColor="text1"/>
              </w:rPr>
              <w:t>невідповідність поданих документів та даних, які вони містять, вимогам законодавства;</w:t>
            </w:r>
          </w:p>
        </w:tc>
      </w:tr>
      <w:tr w:rsidR="0036727A" w:rsidRPr="00286216" w14:paraId="0DA66931" w14:textId="77777777" w:rsidTr="00091AA5">
        <w:tc>
          <w:tcPr>
            <w:tcW w:w="576" w:type="dxa"/>
          </w:tcPr>
          <w:p w14:paraId="309F3532" w14:textId="77777777" w:rsidR="0036727A" w:rsidRPr="00286216" w:rsidRDefault="0036727A" w:rsidP="0036727A">
            <w:pPr>
              <w:pStyle w:val="StyleWisnow"/>
              <w:rPr>
                <w:color w:val="000000" w:themeColor="text1"/>
              </w:rPr>
            </w:pPr>
            <w:bookmarkStart w:id="2079" w:name="n2307" w:colFirst="0" w:colLast="0"/>
            <w:bookmarkEnd w:id="2078"/>
            <w:r w:rsidRPr="00286216">
              <w:rPr>
                <w:color w:val="000000" w:themeColor="text1"/>
              </w:rPr>
              <w:t>2307.</w:t>
            </w:r>
          </w:p>
        </w:tc>
        <w:tc>
          <w:tcPr>
            <w:tcW w:w="4818" w:type="dxa"/>
          </w:tcPr>
          <w:p w14:paraId="66C87C4E" w14:textId="77777777" w:rsidR="0036727A" w:rsidRPr="00286216" w:rsidRDefault="0036727A" w:rsidP="0036727A">
            <w:pPr>
              <w:pStyle w:val="StyleZakonu"/>
              <w:rPr>
                <w:color w:val="000000" w:themeColor="text1"/>
              </w:rPr>
            </w:pPr>
            <w:r w:rsidRPr="00286216">
              <w:rPr>
                <w:color w:val="000000" w:themeColor="text1"/>
              </w:rPr>
              <w:t>невиконання вимог цієї частини.</w:t>
            </w:r>
          </w:p>
        </w:tc>
        <w:tc>
          <w:tcPr>
            <w:tcW w:w="3686" w:type="dxa"/>
          </w:tcPr>
          <w:p w14:paraId="34559E91" w14:textId="77777777" w:rsidR="0036727A" w:rsidRPr="00286216" w:rsidRDefault="0036727A" w:rsidP="0036727A">
            <w:pPr>
              <w:pStyle w:val="StyleProp"/>
              <w:rPr>
                <w:color w:val="000000" w:themeColor="text1"/>
                <w:szCs w:val="18"/>
              </w:rPr>
            </w:pPr>
          </w:p>
        </w:tc>
        <w:tc>
          <w:tcPr>
            <w:tcW w:w="1987" w:type="dxa"/>
          </w:tcPr>
          <w:p w14:paraId="53B0FF89" w14:textId="77777777" w:rsidR="0036727A" w:rsidRPr="00286216" w:rsidRDefault="0036727A" w:rsidP="0036727A">
            <w:pPr>
              <w:pStyle w:val="StyleWisnow"/>
              <w:rPr>
                <w:color w:val="000000" w:themeColor="text1"/>
              </w:rPr>
            </w:pPr>
          </w:p>
        </w:tc>
        <w:tc>
          <w:tcPr>
            <w:tcW w:w="4818" w:type="dxa"/>
          </w:tcPr>
          <w:p w14:paraId="484802F6" w14:textId="2A7CAB0A" w:rsidR="0036727A" w:rsidRPr="00286216" w:rsidRDefault="0036727A" w:rsidP="0036727A">
            <w:pPr>
              <w:pStyle w:val="StyleZakonu"/>
              <w:rPr>
                <w:color w:val="000000" w:themeColor="text1"/>
              </w:rPr>
            </w:pPr>
            <w:r w:rsidRPr="00286216">
              <w:rPr>
                <w:color w:val="000000" w:themeColor="text1"/>
              </w:rPr>
              <w:t>невиконання вимог цієї частини.</w:t>
            </w:r>
          </w:p>
        </w:tc>
      </w:tr>
      <w:tr w:rsidR="0036727A" w:rsidRPr="00286216" w14:paraId="57EBD5E5" w14:textId="77777777" w:rsidTr="00091AA5">
        <w:tc>
          <w:tcPr>
            <w:tcW w:w="576" w:type="dxa"/>
          </w:tcPr>
          <w:p w14:paraId="441E3DC4" w14:textId="77777777" w:rsidR="0036727A" w:rsidRPr="00286216" w:rsidRDefault="0036727A" w:rsidP="0036727A">
            <w:pPr>
              <w:pStyle w:val="StyleWisnow"/>
              <w:rPr>
                <w:color w:val="000000" w:themeColor="text1"/>
              </w:rPr>
            </w:pPr>
            <w:bookmarkStart w:id="2080" w:name="n2308" w:colFirst="0" w:colLast="0"/>
            <w:bookmarkEnd w:id="2079"/>
            <w:r w:rsidRPr="00286216">
              <w:rPr>
                <w:color w:val="000000" w:themeColor="text1"/>
              </w:rPr>
              <w:t>2308.</w:t>
            </w:r>
          </w:p>
        </w:tc>
        <w:tc>
          <w:tcPr>
            <w:tcW w:w="4818" w:type="dxa"/>
          </w:tcPr>
          <w:p w14:paraId="57344E2F" w14:textId="77777777" w:rsidR="0036727A" w:rsidRPr="00286216" w:rsidRDefault="0036727A" w:rsidP="0036727A">
            <w:pPr>
              <w:pStyle w:val="StyleZakonu"/>
              <w:rPr>
                <w:color w:val="000000" w:themeColor="text1"/>
              </w:rPr>
            </w:pPr>
            <w:r w:rsidRPr="00286216">
              <w:rPr>
                <w:color w:val="000000" w:themeColor="text1"/>
              </w:rPr>
              <w:t>Після усунення порушення/порушень, що були підставою для прийняття рішення Національною комісією з цінних паперів та фондового ринку про відмову в реєстрації об'єднання, таке об'єднання має право повторно подати документи, визначені законодавством, для його реєстрації як об'єднання професійних учасників ринків капіталу.</w:t>
            </w:r>
          </w:p>
        </w:tc>
        <w:tc>
          <w:tcPr>
            <w:tcW w:w="3686" w:type="dxa"/>
          </w:tcPr>
          <w:p w14:paraId="0CA853F1" w14:textId="77777777" w:rsidR="0036727A" w:rsidRPr="00286216" w:rsidRDefault="0036727A" w:rsidP="0036727A">
            <w:pPr>
              <w:pStyle w:val="StyleProp"/>
              <w:rPr>
                <w:color w:val="000000" w:themeColor="text1"/>
                <w:szCs w:val="18"/>
              </w:rPr>
            </w:pPr>
          </w:p>
        </w:tc>
        <w:tc>
          <w:tcPr>
            <w:tcW w:w="1987" w:type="dxa"/>
          </w:tcPr>
          <w:p w14:paraId="30A9097C" w14:textId="77777777" w:rsidR="0036727A" w:rsidRPr="00286216" w:rsidRDefault="0036727A" w:rsidP="0036727A">
            <w:pPr>
              <w:pStyle w:val="StyleWisnow"/>
              <w:rPr>
                <w:color w:val="000000" w:themeColor="text1"/>
              </w:rPr>
            </w:pPr>
          </w:p>
        </w:tc>
        <w:tc>
          <w:tcPr>
            <w:tcW w:w="4818" w:type="dxa"/>
          </w:tcPr>
          <w:p w14:paraId="5FDDB815" w14:textId="06E122DB" w:rsidR="0036727A" w:rsidRPr="00286216" w:rsidRDefault="0036727A" w:rsidP="0036727A">
            <w:pPr>
              <w:pStyle w:val="StyleZakonu"/>
              <w:rPr>
                <w:color w:val="000000" w:themeColor="text1"/>
              </w:rPr>
            </w:pPr>
            <w:r w:rsidRPr="00286216">
              <w:rPr>
                <w:color w:val="000000" w:themeColor="text1"/>
              </w:rPr>
              <w:t>Після усунення порушення/порушень, що  стали підставою для прийняття Національною комісією з цінних паперів та фондового ринку рішення про відмову в реєстрації об'єднання, таке об'єднання має право повторно подати документи, визначені законодавством, для його реєстрації як об'єднання професійних учасників ринків капіталу.</w:t>
            </w:r>
          </w:p>
        </w:tc>
      </w:tr>
      <w:tr w:rsidR="0036727A" w:rsidRPr="00286216" w14:paraId="5990CFB8" w14:textId="77777777" w:rsidTr="00091AA5">
        <w:tc>
          <w:tcPr>
            <w:tcW w:w="576" w:type="dxa"/>
          </w:tcPr>
          <w:p w14:paraId="0D798AFC" w14:textId="77777777" w:rsidR="0036727A" w:rsidRPr="00286216" w:rsidRDefault="0036727A" w:rsidP="0036727A">
            <w:pPr>
              <w:pStyle w:val="StyleWisnow"/>
              <w:rPr>
                <w:color w:val="000000" w:themeColor="text1"/>
              </w:rPr>
            </w:pPr>
            <w:bookmarkStart w:id="2081" w:name="n2309" w:colFirst="0" w:colLast="0"/>
            <w:bookmarkEnd w:id="2080"/>
            <w:r w:rsidRPr="00286216">
              <w:rPr>
                <w:color w:val="000000" w:themeColor="text1"/>
              </w:rPr>
              <w:t>2309.</w:t>
            </w:r>
          </w:p>
        </w:tc>
        <w:tc>
          <w:tcPr>
            <w:tcW w:w="4818" w:type="dxa"/>
          </w:tcPr>
          <w:p w14:paraId="0AD5A264" w14:textId="77777777" w:rsidR="0036727A" w:rsidRPr="00286216" w:rsidRDefault="0036727A" w:rsidP="0036727A">
            <w:pPr>
              <w:pStyle w:val="StyleZakonu"/>
              <w:rPr>
                <w:color w:val="000000" w:themeColor="text1"/>
              </w:rPr>
            </w:pPr>
            <w:r w:rsidRPr="00286216">
              <w:rPr>
                <w:color w:val="000000" w:themeColor="text1"/>
              </w:rPr>
              <w:t>Анулювання реєстрації об'єднання професійних учасників ринків капіталу здійснюється за рішенням Національної комісії з цінних паперів та фондового ринку в таких випадках:</w:t>
            </w:r>
          </w:p>
        </w:tc>
        <w:tc>
          <w:tcPr>
            <w:tcW w:w="3686" w:type="dxa"/>
          </w:tcPr>
          <w:p w14:paraId="40C39CB0" w14:textId="77777777" w:rsidR="0036727A" w:rsidRPr="00286216" w:rsidRDefault="0036727A" w:rsidP="0036727A">
            <w:pPr>
              <w:pStyle w:val="StyleProp"/>
              <w:rPr>
                <w:color w:val="000000" w:themeColor="text1"/>
                <w:szCs w:val="18"/>
              </w:rPr>
            </w:pPr>
          </w:p>
        </w:tc>
        <w:tc>
          <w:tcPr>
            <w:tcW w:w="1987" w:type="dxa"/>
          </w:tcPr>
          <w:p w14:paraId="2B5ED4EB" w14:textId="77777777" w:rsidR="0036727A" w:rsidRPr="00286216" w:rsidRDefault="0036727A" w:rsidP="0036727A">
            <w:pPr>
              <w:pStyle w:val="StyleWisnow"/>
              <w:rPr>
                <w:color w:val="000000" w:themeColor="text1"/>
              </w:rPr>
            </w:pPr>
          </w:p>
        </w:tc>
        <w:tc>
          <w:tcPr>
            <w:tcW w:w="4818" w:type="dxa"/>
          </w:tcPr>
          <w:p w14:paraId="701B120F" w14:textId="0222BFFA" w:rsidR="0036727A" w:rsidRPr="00286216" w:rsidRDefault="0036727A" w:rsidP="0036727A">
            <w:pPr>
              <w:pStyle w:val="StyleZakonu"/>
              <w:rPr>
                <w:color w:val="000000" w:themeColor="text1"/>
              </w:rPr>
            </w:pPr>
            <w:r w:rsidRPr="00286216">
              <w:rPr>
                <w:color w:val="000000" w:themeColor="text1"/>
              </w:rPr>
              <w:t>Анулювання реєстрації об'єднання професійних учасників ринків капіталу здійснюється за рішенням Національної комісії з цінних паперів та фондового ринку в таких випадках:</w:t>
            </w:r>
          </w:p>
        </w:tc>
      </w:tr>
      <w:tr w:rsidR="0036727A" w:rsidRPr="00286216" w14:paraId="58223610" w14:textId="77777777" w:rsidTr="00091AA5">
        <w:tc>
          <w:tcPr>
            <w:tcW w:w="576" w:type="dxa"/>
          </w:tcPr>
          <w:p w14:paraId="237DB2DE" w14:textId="77777777" w:rsidR="0036727A" w:rsidRPr="00286216" w:rsidRDefault="0036727A" w:rsidP="0036727A">
            <w:pPr>
              <w:pStyle w:val="StyleWisnow"/>
              <w:rPr>
                <w:color w:val="000000" w:themeColor="text1"/>
              </w:rPr>
            </w:pPr>
            <w:bookmarkStart w:id="2082" w:name="n2310" w:colFirst="0" w:colLast="0"/>
            <w:bookmarkEnd w:id="2081"/>
            <w:r w:rsidRPr="00286216">
              <w:rPr>
                <w:color w:val="000000" w:themeColor="text1"/>
              </w:rPr>
              <w:t>2310.</w:t>
            </w:r>
          </w:p>
        </w:tc>
        <w:tc>
          <w:tcPr>
            <w:tcW w:w="4818" w:type="dxa"/>
          </w:tcPr>
          <w:p w14:paraId="2843AD24" w14:textId="77777777" w:rsidR="0036727A" w:rsidRPr="00286216" w:rsidRDefault="0036727A" w:rsidP="0036727A">
            <w:pPr>
              <w:pStyle w:val="StyleZakonu"/>
              <w:rPr>
                <w:color w:val="000000" w:themeColor="text1"/>
              </w:rPr>
            </w:pPr>
            <w:r w:rsidRPr="00286216">
              <w:rPr>
                <w:color w:val="000000" w:themeColor="text1"/>
              </w:rPr>
              <w:t>на підставі відповідної заяви об'єднання професійних учасників ринків капіталу;</w:t>
            </w:r>
          </w:p>
        </w:tc>
        <w:tc>
          <w:tcPr>
            <w:tcW w:w="3686" w:type="dxa"/>
          </w:tcPr>
          <w:p w14:paraId="47560449" w14:textId="77777777" w:rsidR="0036727A" w:rsidRPr="00286216" w:rsidRDefault="0036727A" w:rsidP="0036727A">
            <w:pPr>
              <w:pStyle w:val="StyleProp"/>
              <w:rPr>
                <w:color w:val="000000" w:themeColor="text1"/>
                <w:szCs w:val="18"/>
              </w:rPr>
            </w:pPr>
          </w:p>
        </w:tc>
        <w:tc>
          <w:tcPr>
            <w:tcW w:w="1987" w:type="dxa"/>
          </w:tcPr>
          <w:p w14:paraId="49EF45ED" w14:textId="77777777" w:rsidR="0036727A" w:rsidRPr="00286216" w:rsidRDefault="0036727A" w:rsidP="0036727A">
            <w:pPr>
              <w:pStyle w:val="StyleWisnow"/>
              <w:rPr>
                <w:color w:val="000000" w:themeColor="text1"/>
              </w:rPr>
            </w:pPr>
          </w:p>
        </w:tc>
        <w:tc>
          <w:tcPr>
            <w:tcW w:w="4818" w:type="dxa"/>
          </w:tcPr>
          <w:p w14:paraId="7B5A7407" w14:textId="45C3F82B" w:rsidR="0036727A" w:rsidRPr="00286216" w:rsidRDefault="0036727A" w:rsidP="0036727A">
            <w:pPr>
              <w:pStyle w:val="StyleZakonu"/>
              <w:rPr>
                <w:color w:val="000000" w:themeColor="text1"/>
              </w:rPr>
            </w:pPr>
            <w:r w:rsidRPr="00286216">
              <w:rPr>
                <w:color w:val="000000" w:themeColor="text1"/>
              </w:rPr>
              <w:t>на підставі відповідної заяви об'єднання професійних учасників ринків капіталу;</w:t>
            </w:r>
          </w:p>
        </w:tc>
      </w:tr>
      <w:tr w:rsidR="0036727A" w:rsidRPr="00286216" w14:paraId="37D43592" w14:textId="77777777" w:rsidTr="00091AA5">
        <w:tc>
          <w:tcPr>
            <w:tcW w:w="576" w:type="dxa"/>
          </w:tcPr>
          <w:p w14:paraId="3380F807" w14:textId="77777777" w:rsidR="0036727A" w:rsidRPr="00286216" w:rsidRDefault="0036727A" w:rsidP="0036727A">
            <w:pPr>
              <w:pStyle w:val="StyleWisnow"/>
              <w:rPr>
                <w:color w:val="000000" w:themeColor="text1"/>
              </w:rPr>
            </w:pPr>
            <w:bookmarkStart w:id="2083" w:name="n2311" w:colFirst="0" w:colLast="0"/>
            <w:bookmarkEnd w:id="2082"/>
            <w:r w:rsidRPr="00286216">
              <w:rPr>
                <w:color w:val="000000" w:themeColor="text1"/>
              </w:rPr>
              <w:t>2311.</w:t>
            </w:r>
          </w:p>
        </w:tc>
        <w:tc>
          <w:tcPr>
            <w:tcW w:w="4818" w:type="dxa"/>
          </w:tcPr>
          <w:p w14:paraId="75B7F3D0" w14:textId="77777777" w:rsidR="0036727A" w:rsidRPr="00286216" w:rsidRDefault="0036727A" w:rsidP="0036727A">
            <w:pPr>
              <w:pStyle w:val="StyleZakonu"/>
              <w:rPr>
                <w:color w:val="000000" w:themeColor="text1"/>
              </w:rPr>
            </w:pPr>
            <w:r w:rsidRPr="00286216">
              <w:rPr>
                <w:color w:val="000000" w:themeColor="text1"/>
              </w:rPr>
              <w:t>невиконання об'єднанням професійних учасників ринків капіталу рішень Національної комісії з цінних паперів та фондового ринку, постанов уповноважених осіб Комісії;</w:t>
            </w:r>
          </w:p>
        </w:tc>
        <w:tc>
          <w:tcPr>
            <w:tcW w:w="3686" w:type="dxa"/>
          </w:tcPr>
          <w:p w14:paraId="2D117983" w14:textId="77777777" w:rsidR="0036727A" w:rsidRPr="00286216" w:rsidRDefault="0036727A" w:rsidP="0036727A">
            <w:pPr>
              <w:pStyle w:val="StyleProp"/>
              <w:rPr>
                <w:color w:val="000000" w:themeColor="text1"/>
                <w:szCs w:val="18"/>
              </w:rPr>
            </w:pPr>
          </w:p>
        </w:tc>
        <w:tc>
          <w:tcPr>
            <w:tcW w:w="1987" w:type="dxa"/>
          </w:tcPr>
          <w:p w14:paraId="126F4F50" w14:textId="77777777" w:rsidR="0036727A" w:rsidRPr="00286216" w:rsidRDefault="0036727A" w:rsidP="0036727A">
            <w:pPr>
              <w:pStyle w:val="StyleWisnow"/>
              <w:rPr>
                <w:color w:val="000000" w:themeColor="text1"/>
              </w:rPr>
            </w:pPr>
          </w:p>
        </w:tc>
        <w:tc>
          <w:tcPr>
            <w:tcW w:w="4818" w:type="dxa"/>
          </w:tcPr>
          <w:p w14:paraId="534276CB" w14:textId="4C7A0D0B" w:rsidR="0036727A" w:rsidRPr="00286216" w:rsidRDefault="0036727A" w:rsidP="0036727A">
            <w:pPr>
              <w:pStyle w:val="StyleZakonu"/>
              <w:rPr>
                <w:color w:val="000000" w:themeColor="text1"/>
              </w:rPr>
            </w:pPr>
            <w:r w:rsidRPr="00286216">
              <w:rPr>
                <w:color w:val="000000" w:themeColor="text1"/>
              </w:rPr>
              <w:t>невиконання об'єднанням професійних учасників ринків капіталу рішень Національної комісії з цінних паперів та фондового ринку, постанов уповноважених осіб Національної комісії з цінних паперів та фондового ринку;</w:t>
            </w:r>
          </w:p>
        </w:tc>
      </w:tr>
      <w:tr w:rsidR="0036727A" w:rsidRPr="00286216" w14:paraId="64D686F6" w14:textId="77777777" w:rsidTr="00091AA5">
        <w:tc>
          <w:tcPr>
            <w:tcW w:w="576" w:type="dxa"/>
          </w:tcPr>
          <w:p w14:paraId="6317E420" w14:textId="77777777" w:rsidR="0036727A" w:rsidRPr="00286216" w:rsidRDefault="0036727A" w:rsidP="0036727A">
            <w:pPr>
              <w:pStyle w:val="StyleWisnow"/>
              <w:rPr>
                <w:color w:val="000000" w:themeColor="text1"/>
              </w:rPr>
            </w:pPr>
            <w:bookmarkStart w:id="2084" w:name="n2312" w:colFirst="0" w:colLast="0"/>
            <w:bookmarkEnd w:id="2083"/>
            <w:r w:rsidRPr="00286216">
              <w:rPr>
                <w:color w:val="000000" w:themeColor="text1"/>
              </w:rPr>
              <w:t>2312.</w:t>
            </w:r>
          </w:p>
        </w:tc>
        <w:tc>
          <w:tcPr>
            <w:tcW w:w="4818" w:type="dxa"/>
          </w:tcPr>
          <w:p w14:paraId="26978169" w14:textId="77777777" w:rsidR="0036727A" w:rsidRPr="00286216" w:rsidRDefault="0036727A" w:rsidP="0036727A">
            <w:pPr>
              <w:pStyle w:val="StyleZakonu"/>
              <w:rPr>
                <w:color w:val="000000" w:themeColor="text1"/>
              </w:rPr>
            </w:pPr>
            <w:r w:rsidRPr="00286216">
              <w:rPr>
                <w:color w:val="000000" w:themeColor="text1"/>
              </w:rPr>
              <w:t xml:space="preserve">встановлення Національною комісією з цінних паперів та фондового ринку факту невідповідності </w:t>
            </w:r>
            <w:r w:rsidRPr="00286216">
              <w:rPr>
                <w:color w:val="000000" w:themeColor="text1"/>
              </w:rPr>
              <w:lastRenderedPageBreak/>
              <w:t>об'єднання професійних учасників ринків капіталу вимогам, встановленим цією частиною.</w:t>
            </w:r>
          </w:p>
        </w:tc>
        <w:tc>
          <w:tcPr>
            <w:tcW w:w="3686" w:type="dxa"/>
          </w:tcPr>
          <w:p w14:paraId="1D4C4E32" w14:textId="77777777" w:rsidR="0036727A" w:rsidRPr="00286216" w:rsidRDefault="0036727A" w:rsidP="0036727A">
            <w:pPr>
              <w:pStyle w:val="StyleProp"/>
              <w:rPr>
                <w:color w:val="000000" w:themeColor="text1"/>
                <w:szCs w:val="18"/>
              </w:rPr>
            </w:pPr>
          </w:p>
        </w:tc>
        <w:tc>
          <w:tcPr>
            <w:tcW w:w="1987" w:type="dxa"/>
          </w:tcPr>
          <w:p w14:paraId="13609EB9" w14:textId="77777777" w:rsidR="0036727A" w:rsidRPr="00286216" w:rsidRDefault="0036727A" w:rsidP="0036727A">
            <w:pPr>
              <w:pStyle w:val="StyleWisnow"/>
              <w:rPr>
                <w:color w:val="000000" w:themeColor="text1"/>
              </w:rPr>
            </w:pPr>
          </w:p>
        </w:tc>
        <w:tc>
          <w:tcPr>
            <w:tcW w:w="4818" w:type="dxa"/>
          </w:tcPr>
          <w:p w14:paraId="7CB5C86A" w14:textId="5D0B7C5D" w:rsidR="0036727A" w:rsidRPr="00286216" w:rsidRDefault="0036727A" w:rsidP="0036727A">
            <w:pPr>
              <w:pStyle w:val="StyleZakonu"/>
              <w:rPr>
                <w:color w:val="000000" w:themeColor="text1"/>
              </w:rPr>
            </w:pPr>
            <w:r w:rsidRPr="00286216">
              <w:rPr>
                <w:color w:val="000000" w:themeColor="text1"/>
              </w:rPr>
              <w:t xml:space="preserve">встановлення Національною комісією з цінних паперів та фондового ринку факту невідповідності </w:t>
            </w:r>
            <w:r w:rsidRPr="00286216">
              <w:rPr>
                <w:color w:val="000000" w:themeColor="text1"/>
              </w:rPr>
              <w:lastRenderedPageBreak/>
              <w:t>об'єднання професійних учасників ринків капіталу вимогам, встановленим цією частиною.</w:t>
            </w:r>
          </w:p>
        </w:tc>
      </w:tr>
      <w:tr w:rsidR="0036727A" w:rsidRPr="00286216" w14:paraId="2C612F34" w14:textId="77777777" w:rsidTr="00091AA5">
        <w:tc>
          <w:tcPr>
            <w:tcW w:w="576" w:type="dxa"/>
          </w:tcPr>
          <w:p w14:paraId="15048055" w14:textId="77777777" w:rsidR="0036727A" w:rsidRPr="00286216" w:rsidRDefault="0036727A" w:rsidP="0036727A">
            <w:pPr>
              <w:pStyle w:val="StyleWisnow"/>
              <w:rPr>
                <w:color w:val="000000" w:themeColor="text1"/>
              </w:rPr>
            </w:pPr>
            <w:bookmarkStart w:id="2085" w:name="n2313" w:colFirst="0" w:colLast="0"/>
            <w:bookmarkEnd w:id="2084"/>
            <w:r w:rsidRPr="00286216">
              <w:rPr>
                <w:color w:val="000000" w:themeColor="text1"/>
              </w:rPr>
              <w:lastRenderedPageBreak/>
              <w:t>2313.</w:t>
            </w:r>
          </w:p>
        </w:tc>
        <w:tc>
          <w:tcPr>
            <w:tcW w:w="4818" w:type="dxa"/>
          </w:tcPr>
          <w:p w14:paraId="68BC051C" w14:textId="77777777" w:rsidR="0036727A" w:rsidRPr="00286216" w:rsidRDefault="0036727A" w:rsidP="0036727A">
            <w:pPr>
              <w:pStyle w:val="StyleZakonu"/>
              <w:rPr>
                <w:color w:val="000000" w:themeColor="text1"/>
              </w:rPr>
            </w:pPr>
            <w:r w:rsidRPr="00286216">
              <w:rPr>
                <w:color w:val="000000" w:themeColor="text1"/>
              </w:rPr>
              <w:t>2. Об'єднання професійних учасників ринків капіталу набуває статусу саморегулівної організації (далі - СРО) за певним видом професійної діяльності на ринках капіталу з дня надання йому статусу СРО Національною комісією з цінних паперів та фондового ринку. Порядок надання об'єднанню професійних учасників ринків капіталу статусу СРО та позбавлення такого статусу встановлюється Національною комісією з цінних паперів та фондового ринку з урахуванням вимог цього Закону.</w:t>
            </w:r>
          </w:p>
        </w:tc>
        <w:tc>
          <w:tcPr>
            <w:tcW w:w="3686" w:type="dxa"/>
          </w:tcPr>
          <w:p w14:paraId="101CE0E9" w14:textId="77777777" w:rsidR="0036727A" w:rsidRPr="00286216" w:rsidRDefault="0036727A" w:rsidP="0036727A">
            <w:pPr>
              <w:pStyle w:val="StyleProp"/>
              <w:rPr>
                <w:color w:val="000000" w:themeColor="text1"/>
                <w:szCs w:val="18"/>
              </w:rPr>
            </w:pPr>
          </w:p>
        </w:tc>
        <w:tc>
          <w:tcPr>
            <w:tcW w:w="1987" w:type="dxa"/>
          </w:tcPr>
          <w:p w14:paraId="3EED070A" w14:textId="77777777" w:rsidR="0036727A" w:rsidRPr="00286216" w:rsidRDefault="0036727A" w:rsidP="0036727A">
            <w:pPr>
              <w:pStyle w:val="StyleWisnow"/>
              <w:rPr>
                <w:color w:val="000000" w:themeColor="text1"/>
              </w:rPr>
            </w:pPr>
          </w:p>
        </w:tc>
        <w:tc>
          <w:tcPr>
            <w:tcW w:w="4818" w:type="dxa"/>
          </w:tcPr>
          <w:p w14:paraId="2633CD8C" w14:textId="7D374AE9" w:rsidR="0036727A" w:rsidRPr="00286216" w:rsidRDefault="0036727A" w:rsidP="0036727A">
            <w:pPr>
              <w:pStyle w:val="StyleZakonu"/>
              <w:rPr>
                <w:color w:val="000000" w:themeColor="text1"/>
              </w:rPr>
            </w:pPr>
            <w:r w:rsidRPr="00286216">
              <w:rPr>
                <w:color w:val="000000" w:themeColor="text1"/>
              </w:rPr>
              <w:t>2. Об'єднання професійних учасників ринків капіталу набуває статусу саморегулівної організації (далі - СРО) за певним видом професійної діяльності на ринках капіталу з дня надання йому статусу СРО Національною комісією з цінних паперів та фондового ринку. Порядок надання об'єднанню професійних учасників ринків капіталу статусу СРО та позбавлення такого статусу встановлюється Національною комісією з цінних паперів та фондового ринку з урахуванням вимог цього Закону.</w:t>
            </w:r>
          </w:p>
        </w:tc>
      </w:tr>
      <w:tr w:rsidR="0036727A" w:rsidRPr="00286216" w14:paraId="64768FDC" w14:textId="77777777" w:rsidTr="00091AA5">
        <w:tc>
          <w:tcPr>
            <w:tcW w:w="576" w:type="dxa"/>
          </w:tcPr>
          <w:p w14:paraId="275CB256" w14:textId="77777777" w:rsidR="0036727A" w:rsidRPr="00286216" w:rsidRDefault="0036727A" w:rsidP="0036727A">
            <w:pPr>
              <w:pStyle w:val="StyleWisnow"/>
              <w:rPr>
                <w:color w:val="000000" w:themeColor="text1"/>
              </w:rPr>
            </w:pPr>
            <w:bookmarkStart w:id="2086" w:name="n2314" w:colFirst="0" w:colLast="0"/>
            <w:bookmarkEnd w:id="2085"/>
            <w:r w:rsidRPr="00286216">
              <w:rPr>
                <w:color w:val="000000" w:themeColor="text1"/>
              </w:rPr>
              <w:t>2314.</w:t>
            </w:r>
          </w:p>
        </w:tc>
        <w:tc>
          <w:tcPr>
            <w:tcW w:w="4818" w:type="dxa"/>
          </w:tcPr>
          <w:p w14:paraId="2A325BEB" w14:textId="77777777" w:rsidR="0036727A" w:rsidRPr="00286216" w:rsidRDefault="0036727A" w:rsidP="0036727A">
            <w:pPr>
              <w:pStyle w:val="StyleZakonu"/>
              <w:rPr>
                <w:color w:val="000000" w:themeColor="text1"/>
              </w:rPr>
            </w:pPr>
            <w:r w:rsidRPr="00286216">
              <w:rPr>
                <w:color w:val="000000" w:themeColor="text1"/>
              </w:rPr>
              <w:t>Одне об'єднання професійних учасників ринків капіталу може набути статус СРО за декількома видами професійної діяльності на ринках капіталу за умови дотримання вимог частини третьої цієї статті.</w:t>
            </w:r>
          </w:p>
        </w:tc>
        <w:tc>
          <w:tcPr>
            <w:tcW w:w="3686" w:type="dxa"/>
          </w:tcPr>
          <w:p w14:paraId="68FD1591" w14:textId="77777777" w:rsidR="0036727A" w:rsidRPr="00286216" w:rsidRDefault="0036727A" w:rsidP="0036727A">
            <w:pPr>
              <w:pStyle w:val="StyleProp"/>
              <w:rPr>
                <w:color w:val="000000" w:themeColor="text1"/>
                <w:szCs w:val="18"/>
              </w:rPr>
            </w:pPr>
          </w:p>
        </w:tc>
        <w:tc>
          <w:tcPr>
            <w:tcW w:w="1987" w:type="dxa"/>
          </w:tcPr>
          <w:p w14:paraId="50315BA7" w14:textId="77777777" w:rsidR="0036727A" w:rsidRPr="00286216" w:rsidRDefault="0036727A" w:rsidP="0036727A">
            <w:pPr>
              <w:pStyle w:val="StyleWisnow"/>
              <w:rPr>
                <w:color w:val="000000" w:themeColor="text1"/>
              </w:rPr>
            </w:pPr>
          </w:p>
        </w:tc>
        <w:tc>
          <w:tcPr>
            <w:tcW w:w="4818" w:type="dxa"/>
          </w:tcPr>
          <w:p w14:paraId="1095F8CD" w14:textId="6F767CEC" w:rsidR="0036727A" w:rsidRPr="00286216" w:rsidRDefault="0036727A" w:rsidP="0036727A">
            <w:pPr>
              <w:pStyle w:val="StyleZakonu"/>
              <w:rPr>
                <w:color w:val="000000" w:themeColor="text1"/>
              </w:rPr>
            </w:pPr>
            <w:r w:rsidRPr="00286216">
              <w:rPr>
                <w:color w:val="000000" w:themeColor="text1"/>
              </w:rPr>
              <w:t>Одне об'єднання професійних учасників ринків капіталу може набути статус СРО за кількома видами професійної діяльності на ринках капіталу за умови дотримання вимог частини третьої цієї статті.</w:t>
            </w:r>
          </w:p>
        </w:tc>
      </w:tr>
      <w:tr w:rsidR="0036727A" w:rsidRPr="00286216" w14:paraId="69BDB388" w14:textId="77777777" w:rsidTr="00091AA5">
        <w:tc>
          <w:tcPr>
            <w:tcW w:w="576" w:type="dxa"/>
          </w:tcPr>
          <w:p w14:paraId="3379DE63" w14:textId="77777777" w:rsidR="0036727A" w:rsidRPr="00286216" w:rsidRDefault="0036727A" w:rsidP="0036727A">
            <w:pPr>
              <w:pStyle w:val="StyleWisnow"/>
              <w:rPr>
                <w:color w:val="000000" w:themeColor="text1"/>
              </w:rPr>
            </w:pPr>
            <w:bookmarkStart w:id="2087" w:name="n2315" w:colFirst="0" w:colLast="0"/>
            <w:bookmarkEnd w:id="2086"/>
            <w:r w:rsidRPr="00286216">
              <w:rPr>
                <w:color w:val="000000" w:themeColor="text1"/>
              </w:rPr>
              <w:t>2315.</w:t>
            </w:r>
          </w:p>
        </w:tc>
        <w:tc>
          <w:tcPr>
            <w:tcW w:w="4818" w:type="dxa"/>
          </w:tcPr>
          <w:p w14:paraId="65555248" w14:textId="77777777" w:rsidR="0036727A" w:rsidRPr="00286216" w:rsidRDefault="0036727A" w:rsidP="0036727A">
            <w:pPr>
              <w:pStyle w:val="StyleZakonu"/>
              <w:rPr>
                <w:color w:val="000000" w:themeColor="text1"/>
              </w:rPr>
            </w:pPr>
            <w:r w:rsidRPr="00286216">
              <w:rPr>
                <w:color w:val="000000" w:themeColor="text1"/>
              </w:rPr>
              <w:t>Набуття об'єднанням статусу СРО професійних учасників ринків капіталу, вступ до нього професійних учасників ринків капіталу, прийняття правил, положень та інших документів СРО професійних учасників ринків капіталу та внесення змін до них не належать до узгоджених дій суб'єктів господарювання.</w:t>
            </w:r>
          </w:p>
        </w:tc>
        <w:tc>
          <w:tcPr>
            <w:tcW w:w="3686" w:type="dxa"/>
          </w:tcPr>
          <w:p w14:paraId="15427797" w14:textId="77777777" w:rsidR="0036727A" w:rsidRPr="00286216" w:rsidRDefault="0036727A" w:rsidP="0036727A">
            <w:pPr>
              <w:pStyle w:val="StyleProp"/>
              <w:rPr>
                <w:color w:val="000000" w:themeColor="text1"/>
                <w:szCs w:val="18"/>
              </w:rPr>
            </w:pPr>
          </w:p>
        </w:tc>
        <w:tc>
          <w:tcPr>
            <w:tcW w:w="1987" w:type="dxa"/>
          </w:tcPr>
          <w:p w14:paraId="31F290C2" w14:textId="77777777" w:rsidR="0036727A" w:rsidRPr="00286216" w:rsidRDefault="0036727A" w:rsidP="0036727A">
            <w:pPr>
              <w:pStyle w:val="StyleWisnow"/>
              <w:rPr>
                <w:color w:val="000000" w:themeColor="text1"/>
              </w:rPr>
            </w:pPr>
          </w:p>
        </w:tc>
        <w:tc>
          <w:tcPr>
            <w:tcW w:w="4818" w:type="dxa"/>
          </w:tcPr>
          <w:p w14:paraId="41A81F18" w14:textId="29C81DA9" w:rsidR="0036727A" w:rsidRPr="00286216" w:rsidRDefault="0036727A" w:rsidP="0036727A">
            <w:pPr>
              <w:pStyle w:val="StyleZakonu"/>
              <w:rPr>
                <w:color w:val="000000" w:themeColor="text1"/>
              </w:rPr>
            </w:pPr>
            <w:r w:rsidRPr="00286216">
              <w:rPr>
                <w:color w:val="000000" w:themeColor="text1"/>
              </w:rPr>
              <w:t>Набуття об'єднанням професійних учасників ринків капіталу статусу СРО, вступ професійних учасників ринків капіталу до  такого об'єднання, прийняття правил, положень та інших документів СРО професійних учасників ринків капіталу та внесення змін до них не належать до узгоджених дій суб'єктів господарювання.</w:t>
            </w:r>
          </w:p>
        </w:tc>
      </w:tr>
      <w:tr w:rsidR="0036727A" w:rsidRPr="00286216" w14:paraId="6EF8AF1D" w14:textId="77777777" w:rsidTr="00091AA5">
        <w:tc>
          <w:tcPr>
            <w:tcW w:w="576" w:type="dxa"/>
          </w:tcPr>
          <w:p w14:paraId="2D9D641D" w14:textId="77777777" w:rsidR="0036727A" w:rsidRPr="00286216" w:rsidRDefault="0036727A" w:rsidP="0036727A">
            <w:pPr>
              <w:pStyle w:val="StyleWisnow"/>
              <w:rPr>
                <w:color w:val="000000" w:themeColor="text1"/>
              </w:rPr>
            </w:pPr>
            <w:bookmarkStart w:id="2088" w:name="n2316" w:colFirst="0" w:colLast="0"/>
            <w:bookmarkEnd w:id="2087"/>
            <w:r w:rsidRPr="00286216">
              <w:rPr>
                <w:color w:val="000000" w:themeColor="text1"/>
              </w:rPr>
              <w:t>2316.</w:t>
            </w:r>
          </w:p>
        </w:tc>
        <w:tc>
          <w:tcPr>
            <w:tcW w:w="4818" w:type="dxa"/>
          </w:tcPr>
          <w:p w14:paraId="0A16821B" w14:textId="77777777" w:rsidR="0036727A" w:rsidRPr="00286216" w:rsidRDefault="0036727A" w:rsidP="0036727A">
            <w:pPr>
              <w:pStyle w:val="StyleZakonu"/>
              <w:rPr>
                <w:color w:val="000000" w:themeColor="text1"/>
              </w:rPr>
            </w:pPr>
            <w:r w:rsidRPr="00286216">
              <w:rPr>
                <w:color w:val="000000" w:themeColor="text1"/>
              </w:rPr>
              <w:t>Після надання об'єднанню професійних учасників ринків капіталу статусу СРО за певним видом професійної діяльності на ринках капіталу професійні учасники ринків капіталу, які є членами інших професійних об'єднань, що зареєстровані Національною комісією з цінних паперів та фондового ринку за цим видом професійної діяльності, повинні у тримісячний строк стати членами такої СРО та бути її членами протягом всього строку наявності в неї статусу СРО.</w:t>
            </w:r>
          </w:p>
        </w:tc>
        <w:tc>
          <w:tcPr>
            <w:tcW w:w="3686" w:type="dxa"/>
          </w:tcPr>
          <w:p w14:paraId="1C8A09EC" w14:textId="77777777" w:rsidR="0036727A" w:rsidRPr="00286216" w:rsidRDefault="0036727A" w:rsidP="0036727A">
            <w:pPr>
              <w:pStyle w:val="StyleProp"/>
              <w:rPr>
                <w:color w:val="000000" w:themeColor="text1"/>
                <w:szCs w:val="18"/>
              </w:rPr>
            </w:pPr>
          </w:p>
        </w:tc>
        <w:tc>
          <w:tcPr>
            <w:tcW w:w="1987" w:type="dxa"/>
          </w:tcPr>
          <w:p w14:paraId="76AB5A7A" w14:textId="77777777" w:rsidR="0036727A" w:rsidRPr="00286216" w:rsidRDefault="0036727A" w:rsidP="0036727A">
            <w:pPr>
              <w:pStyle w:val="StyleWisnow"/>
              <w:rPr>
                <w:color w:val="000000" w:themeColor="text1"/>
              </w:rPr>
            </w:pPr>
          </w:p>
        </w:tc>
        <w:tc>
          <w:tcPr>
            <w:tcW w:w="4818" w:type="dxa"/>
          </w:tcPr>
          <w:p w14:paraId="26BAFFEB" w14:textId="3F80371F" w:rsidR="0036727A" w:rsidRPr="00286216" w:rsidRDefault="0036727A" w:rsidP="0036727A">
            <w:pPr>
              <w:pStyle w:val="StyleZakonu"/>
              <w:rPr>
                <w:color w:val="000000" w:themeColor="text1"/>
              </w:rPr>
            </w:pPr>
            <w:r w:rsidRPr="00286216">
              <w:rPr>
                <w:color w:val="000000" w:themeColor="text1"/>
              </w:rPr>
              <w:t>Після надання об'єднанню професійних учасників ринків капіталу статусу СРО за певним видом професійної діяльності на ринках капіталу професійні учасники ринків капіталу, які є членами інших професійних об'єднань, зареєстрованих Національною комісією з цінних паперів та фондового ринку за цим видом професійної діяльності, повинні у тримісячний строк стати членами такої СРО та бути її членами протягом всього строку наявності в неї статусу СРО.</w:t>
            </w:r>
          </w:p>
        </w:tc>
      </w:tr>
      <w:tr w:rsidR="0036727A" w:rsidRPr="00286216" w14:paraId="185805A1" w14:textId="77777777" w:rsidTr="00091AA5">
        <w:tc>
          <w:tcPr>
            <w:tcW w:w="576" w:type="dxa"/>
          </w:tcPr>
          <w:p w14:paraId="5562D615" w14:textId="77777777" w:rsidR="0036727A" w:rsidRPr="00286216" w:rsidRDefault="0036727A" w:rsidP="0036727A">
            <w:pPr>
              <w:pStyle w:val="StyleWisnow"/>
              <w:rPr>
                <w:color w:val="000000" w:themeColor="text1"/>
              </w:rPr>
            </w:pPr>
            <w:bookmarkStart w:id="2089" w:name="n2317" w:colFirst="0" w:colLast="0"/>
            <w:bookmarkEnd w:id="2088"/>
            <w:r w:rsidRPr="00286216">
              <w:rPr>
                <w:color w:val="000000" w:themeColor="text1"/>
              </w:rPr>
              <w:t>2317.</w:t>
            </w:r>
          </w:p>
        </w:tc>
        <w:tc>
          <w:tcPr>
            <w:tcW w:w="4818" w:type="dxa"/>
          </w:tcPr>
          <w:p w14:paraId="4BBBC8DB" w14:textId="77777777" w:rsidR="0036727A" w:rsidRPr="00286216" w:rsidRDefault="0036727A" w:rsidP="0036727A">
            <w:pPr>
              <w:pStyle w:val="StyleZakonu"/>
              <w:rPr>
                <w:color w:val="000000" w:themeColor="text1"/>
              </w:rPr>
            </w:pPr>
            <w:r w:rsidRPr="00286216">
              <w:rPr>
                <w:color w:val="000000" w:themeColor="text1"/>
              </w:rPr>
              <w:t>3. Для набуття статусу СРО об'єднання професійних учасників ринків капіталу повинно подати до Національної комісії з цінних паперів та фондового ринку необхідні документи та відповідати таким вимогам:</w:t>
            </w:r>
          </w:p>
        </w:tc>
        <w:tc>
          <w:tcPr>
            <w:tcW w:w="3686" w:type="dxa"/>
          </w:tcPr>
          <w:p w14:paraId="7E15629B" w14:textId="77777777" w:rsidR="0036727A" w:rsidRPr="00286216" w:rsidRDefault="0036727A" w:rsidP="0036727A">
            <w:pPr>
              <w:pStyle w:val="StyleProp"/>
              <w:rPr>
                <w:color w:val="000000" w:themeColor="text1"/>
                <w:szCs w:val="18"/>
              </w:rPr>
            </w:pPr>
          </w:p>
        </w:tc>
        <w:tc>
          <w:tcPr>
            <w:tcW w:w="1987" w:type="dxa"/>
          </w:tcPr>
          <w:p w14:paraId="1574C77A" w14:textId="77777777" w:rsidR="0036727A" w:rsidRPr="00286216" w:rsidRDefault="0036727A" w:rsidP="0036727A">
            <w:pPr>
              <w:pStyle w:val="StyleWisnow"/>
              <w:rPr>
                <w:color w:val="000000" w:themeColor="text1"/>
              </w:rPr>
            </w:pPr>
          </w:p>
        </w:tc>
        <w:tc>
          <w:tcPr>
            <w:tcW w:w="4818" w:type="dxa"/>
          </w:tcPr>
          <w:p w14:paraId="3C154DD7" w14:textId="427A780A" w:rsidR="0036727A" w:rsidRPr="00286216" w:rsidRDefault="0036727A" w:rsidP="0036727A">
            <w:pPr>
              <w:pStyle w:val="StyleZakonu"/>
              <w:rPr>
                <w:color w:val="000000" w:themeColor="text1"/>
              </w:rPr>
            </w:pPr>
            <w:r w:rsidRPr="00286216">
              <w:rPr>
                <w:color w:val="000000" w:themeColor="text1"/>
              </w:rPr>
              <w:t>3. Для набуття статусу СРО об'єднання професійних учасників ринків капіталу повинно подати до Національної комісії з цінних паперів та фондового ринку необхідні документи та відповідати таким вимогам:</w:t>
            </w:r>
          </w:p>
        </w:tc>
      </w:tr>
      <w:tr w:rsidR="0036727A" w:rsidRPr="00286216" w14:paraId="7A496EE9" w14:textId="77777777" w:rsidTr="00091AA5">
        <w:tc>
          <w:tcPr>
            <w:tcW w:w="576" w:type="dxa"/>
          </w:tcPr>
          <w:p w14:paraId="03DCA0C6" w14:textId="77777777" w:rsidR="0036727A" w:rsidRPr="00286216" w:rsidRDefault="0036727A" w:rsidP="0036727A">
            <w:pPr>
              <w:pStyle w:val="StyleWisnow"/>
              <w:rPr>
                <w:color w:val="000000" w:themeColor="text1"/>
              </w:rPr>
            </w:pPr>
            <w:bookmarkStart w:id="2090" w:name="n2318" w:colFirst="0" w:colLast="0"/>
            <w:bookmarkEnd w:id="2089"/>
            <w:r w:rsidRPr="00286216">
              <w:rPr>
                <w:color w:val="000000" w:themeColor="text1"/>
              </w:rPr>
              <w:t>2318.</w:t>
            </w:r>
          </w:p>
        </w:tc>
        <w:tc>
          <w:tcPr>
            <w:tcW w:w="4818" w:type="dxa"/>
          </w:tcPr>
          <w:p w14:paraId="421070A5" w14:textId="77777777" w:rsidR="0036727A" w:rsidRPr="00286216" w:rsidRDefault="0036727A" w:rsidP="0036727A">
            <w:pPr>
              <w:pStyle w:val="StyleZakonu"/>
              <w:rPr>
                <w:color w:val="000000" w:themeColor="text1"/>
              </w:rPr>
            </w:pPr>
            <w:r w:rsidRPr="00286216">
              <w:rPr>
                <w:color w:val="000000" w:themeColor="text1"/>
              </w:rPr>
              <w:t>об'єднувати більше 75 відсотків професійних учасників ринків капіталу за одним з видів професійної діяльності, визначених цим Законом;</w:t>
            </w:r>
          </w:p>
        </w:tc>
        <w:tc>
          <w:tcPr>
            <w:tcW w:w="3686" w:type="dxa"/>
          </w:tcPr>
          <w:p w14:paraId="0BBE43EF" w14:textId="77777777" w:rsidR="0036727A" w:rsidRPr="00286216" w:rsidRDefault="0036727A" w:rsidP="0036727A">
            <w:pPr>
              <w:pStyle w:val="StyleProp"/>
              <w:rPr>
                <w:color w:val="000000" w:themeColor="text1"/>
                <w:szCs w:val="18"/>
              </w:rPr>
            </w:pPr>
          </w:p>
        </w:tc>
        <w:tc>
          <w:tcPr>
            <w:tcW w:w="1987" w:type="dxa"/>
          </w:tcPr>
          <w:p w14:paraId="1D40E112" w14:textId="77777777" w:rsidR="0036727A" w:rsidRPr="00286216" w:rsidRDefault="0036727A" w:rsidP="0036727A">
            <w:pPr>
              <w:pStyle w:val="StyleWisnow"/>
              <w:rPr>
                <w:color w:val="000000" w:themeColor="text1"/>
              </w:rPr>
            </w:pPr>
          </w:p>
        </w:tc>
        <w:tc>
          <w:tcPr>
            <w:tcW w:w="4818" w:type="dxa"/>
          </w:tcPr>
          <w:p w14:paraId="5D0740AF" w14:textId="363FD5A3" w:rsidR="0036727A" w:rsidRPr="00286216" w:rsidRDefault="0036727A" w:rsidP="0036727A">
            <w:pPr>
              <w:pStyle w:val="StyleZakonu"/>
              <w:rPr>
                <w:color w:val="000000" w:themeColor="text1"/>
              </w:rPr>
            </w:pPr>
            <w:r w:rsidRPr="00286216">
              <w:rPr>
                <w:color w:val="000000" w:themeColor="text1"/>
              </w:rPr>
              <w:t>1) об'єднувати більше 75 відсотків професійних учасників ринків капіталу за одним з видів професійної діяльності, визначених цим Законом;</w:t>
            </w:r>
          </w:p>
        </w:tc>
      </w:tr>
      <w:tr w:rsidR="0036727A" w:rsidRPr="00286216" w14:paraId="7B80EDED" w14:textId="77777777" w:rsidTr="00091AA5">
        <w:tc>
          <w:tcPr>
            <w:tcW w:w="576" w:type="dxa"/>
          </w:tcPr>
          <w:p w14:paraId="6E30CBB7" w14:textId="77777777" w:rsidR="0036727A" w:rsidRPr="00286216" w:rsidRDefault="0036727A" w:rsidP="0036727A">
            <w:pPr>
              <w:pStyle w:val="StyleWisnow"/>
              <w:rPr>
                <w:color w:val="000000" w:themeColor="text1"/>
              </w:rPr>
            </w:pPr>
            <w:bookmarkStart w:id="2091" w:name="n2319" w:colFirst="0" w:colLast="0"/>
            <w:bookmarkEnd w:id="2090"/>
            <w:r w:rsidRPr="00286216">
              <w:rPr>
                <w:color w:val="000000" w:themeColor="text1"/>
              </w:rPr>
              <w:t>2319.</w:t>
            </w:r>
          </w:p>
        </w:tc>
        <w:tc>
          <w:tcPr>
            <w:tcW w:w="4818" w:type="dxa"/>
          </w:tcPr>
          <w:p w14:paraId="61041B0C" w14:textId="77777777" w:rsidR="0036727A" w:rsidRPr="00286216" w:rsidRDefault="0036727A" w:rsidP="0036727A">
            <w:pPr>
              <w:pStyle w:val="StyleZakonu"/>
              <w:rPr>
                <w:color w:val="000000" w:themeColor="text1"/>
              </w:rPr>
            </w:pPr>
            <w:r w:rsidRPr="00286216">
              <w:rPr>
                <w:color w:val="000000" w:themeColor="text1"/>
              </w:rPr>
              <w:t xml:space="preserve">мати затверджені внутрішні документи СРО (внутрішні правила СРО, Правила (стандарти) професійної діяльності на ринках капіталу, інші </w:t>
            </w:r>
            <w:r w:rsidRPr="00286216">
              <w:rPr>
                <w:color w:val="000000" w:themeColor="text1"/>
              </w:rPr>
              <w:lastRenderedPageBreak/>
              <w:t>внутрішні документи СРО) для реалізації визначених статутом об'єднання функцій;</w:t>
            </w:r>
          </w:p>
        </w:tc>
        <w:tc>
          <w:tcPr>
            <w:tcW w:w="3686" w:type="dxa"/>
          </w:tcPr>
          <w:p w14:paraId="758E8707" w14:textId="77777777" w:rsidR="0036727A" w:rsidRPr="00286216" w:rsidRDefault="0036727A" w:rsidP="0036727A">
            <w:pPr>
              <w:pStyle w:val="StyleProp"/>
              <w:rPr>
                <w:color w:val="000000" w:themeColor="text1"/>
                <w:szCs w:val="18"/>
              </w:rPr>
            </w:pPr>
          </w:p>
        </w:tc>
        <w:tc>
          <w:tcPr>
            <w:tcW w:w="1987" w:type="dxa"/>
          </w:tcPr>
          <w:p w14:paraId="77DF186B" w14:textId="77777777" w:rsidR="0036727A" w:rsidRPr="00286216" w:rsidRDefault="0036727A" w:rsidP="0036727A">
            <w:pPr>
              <w:pStyle w:val="StyleWisnow"/>
              <w:rPr>
                <w:color w:val="000000" w:themeColor="text1"/>
              </w:rPr>
            </w:pPr>
          </w:p>
        </w:tc>
        <w:tc>
          <w:tcPr>
            <w:tcW w:w="4818" w:type="dxa"/>
          </w:tcPr>
          <w:p w14:paraId="44B8AAE5" w14:textId="22B3FC12" w:rsidR="0036727A" w:rsidRPr="00286216" w:rsidRDefault="0036727A" w:rsidP="0036727A">
            <w:pPr>
              <w:pStyle w:val="StyleZakonu"/>
              <w:rPr>
                <w:color w:val="000000" w:themeColor="text1"/>
              </w:rPr>
            </w:pPr>
            <w:r w:rsidRPr="00286216">
              <w:rPr>
                <w:color w:val="000000" w:themeColor="text1"/>
              </w:rPr>
              <w:t xml:space="preserve">2) мати затверджені внутрішні документи СРО (внутрішні правила СРО, правила (стандарти) професійної діяльності на ринках капіталу, інші </w:t>
            </w:r>
            <w:r w:rsidRPr="00286216">
              <w:rPr>
                <w:color w:val="000000" w:themeColor="text1"/>
              </w:rPr>
              <w:lastRenderedPageBreak/>
              <w:t>внутрішні документи СРО) для реалізації визначених статутом об'єднання функцій;</w:t>
            </w:r>
          </w:p>
        </w:tc>
      </w:tr>
      <w:tr w:rsidR="0036727A" w:rsidRPr="00286216" w14:paraId="53635E9E" w14:textId="77777777" w:rsidTr="00091AA5">
        <w:tc>
          <w:tcPr>
            <w:tcW w:w="576" w:type="dxa"/>
          </w:tcPr>
          <w:p w14:paraId="1C349C07" w14:textId="77777777" w:rsidR="0036727A" w:rsidRPr="00286216" w:rsidRDefault="0036727A" w:rsidP="0036727A">
            <w:pPr>
              <w:pStyle w:val="StyleWisnow"/>
              <w:rPr>
                <w:color w:val="000000" w:themeColor="text1"/>
              </w:rPr>
            </w:pPr>
            <w:bookmarkStart w:id="2092" w:name="n2320" w:colFirst="0" w:colLast="0"/>
            <w:bookmarkEnd w:id="2091"/>
            <w:r w:rsidRPr="00286216">
              <w:rPr>
                <w:color w:val="000000" w:themeColor="text1"/>
              </w:rPr>
              <w:lastRenderedPageBreak/>
              <w:t>2320.</w:t>
            </w:r>
          </w:p>
        </w:tc>
        <w:tc>
          <w:tcPr>
            <w:tcW w:w="4818" w:type="dxa"/>
          </w:tcPr>
          <w:p w14:paraId="295286FF" w14:textId="77777777" w:rsidR="0036727A" w:rsidRPr="00286216" w:rsidRDefault="0036727A" w:rsidP="0036727A">
            <w:pPr>
              <w:pStyle w:val="StyleZakonu"/>
              <w:rPr>
                <w:color w:val="000000" w:themeColor="text1"/>
              </w:rPr>
            </w:pPr>
            <w:r w:rsidRPr="00286216">
              <w:rPr>
                <w:color w:val="000000" w:themeColor="text1"/>
              </w:rPr>
              <w:t>керівник та заступники керівника виконавчого органу СРО, керівники структурних підрозділів СРО не можуть перебувати у трудових відносинах із членами СРО та прямо або опосередковано бути пов'язаними відносинами контролю з членами СРО, мати судимість за корисливі чи посадові злочини, не зняту або не погашену в установленому законом порядку, та повинні мати стаж роботи на ринках капіталу не менше п'яти років.</w:t>
            </w:r>
          </w:p>
        </w:tc>
        <w:tc>
          <w:tcPr>
            <w:tcW w:w="3686" w:type="dxa"/>
          </w:tcPr>
          <w:p w14:paraId="5E119EEE" w14:textId="77777777" w:rsidR="0036727A" w:rsidRPr="00286216" w:rsidRDefault="0036727A" w:rsidP="0036727A">
            <w:pPr>
              <w:pStyle w:val="StyleProp"/>
              <w:rPr>
                <w:color w:val="000000" w:themeColor="text1"/>
                <w:szCs w:val="18"/>
              </w:rPr>
            </w:pPr>
          </w:p>
        </w:tc>
        <w:tc>
          <w:tcPr>
            <w:tcW w:w="1987" w:type="dxa"/>
          </w:tcPr>
          <w:p w14:paraId="650AF670" w14:textId="77777777" w:rsidR="0036727A" w:rsidRPr="00286216" w:rsidRDefault="0036727A" w:rsidP="0036727A">
            <w:pPr>
              <w:pStyle w:val="StyleWisnow"/>
              <w:rPr>
                <w:color w:val="000000" w:themeColor="text1"/>
              </w:rPr>
            </w:pPr>
          </w:p>
        </w:tc>
        <w:tc>
          <w:tcPr>
            <w:tcW w:w="4818" w:type="dxa"/>
          </w:tcPr>
          <w:p w14:paraId="709D08B1" w14:textId="614DE546" w:rsidR="0036727A" w:rsidRPr="00286216" w:rsidRDefault="0036727A" w:rsidP="0036727A">
            <w:pPr>
              <w:pStyle w:val="StyleZakonu"/>
              <w:rPr>
                <w:color w:val="000000" w:themeColor="text1"/>
              </w:rPr>
            </w:pPr>
            <w:r w:rsidRPr="00286216">
              <w:rPr>
                <w:color w:val="000000" w:themeColor="text1"/>
              </w:rPr>
              <w:t>3) керівник та заступники керівника виконавчого органу СРО, керівники структурних підрозділів СРО не можуть перебувати у трудових відносинах із членами СРО та прямо або опосередковано бути пов'язаними відносинами контролю з членами СРО, мати судимість за корисливі чи посадові злочини, не зняту або не погашену в установленому законом порядку, та повинні мати стаж роботи на ринках капіталу не менше п'яти років.</w:t>
            </w:r>
          </w:p>
        </w:tc>
      </w:tr>
      <w:tr w:rsidR="0036727A" w:rsidRPr="00286216" w14:paraId="2A8DC502" w14:textId="77777777" w:rsidTr="00091AA5">
        <w:tc>
          <w:tcPr>
            <w:tcW w:w="576" w:type="dxa"/>
          </w:tcPr>
          <w:p w14:paraId="2631B807" w14:textId="77777777" w:rsidR="0036727A" w:rsidRPr="00286216" w:rsidRDefault="0036727A" w:rsidP="0036727A">
            <w:pPr>
              <w:pStyle w:val="StyleWisnow"/>
              <w:rPr>
                <w:color w:val="000000" w:themeColor="text1"/>
              </w:rPr>
            </w:pPr>
            <w:bookmarkStart w:id="2093" w:name="n2321" w:colFirst="0" w:colLast="0"/>
            <w:bookmarkEnd w:id="2092"/>
            <w:r w:rsidRPr="00286216">
              <w:rPr>
                <w:color w:val="000000" w:themeColor="text1"/>
              </w:rPr>
              <w:t>2321.</w:t>
            </w:r>
          </w:p>
        </w:tc>
        <w:tc>
          <w:tcPr>
            <w:tcW w:w="4818" w:type="dxa"/>
          </w:tcPr>
          <w:p w14:paraId="5C6DBC35" w14:textId="77777777" w:rsidR="0036727A" w:rsidRPr="00286216" w:rsidRDefault="0036727A" w:rsidP="0036727A">
            <w:pPr>
              <w:pStyle w:val="StyleZakonu"/>
              <w:rPr>
                <w:color w:val="000000" w:themeColor="text1"/>
              </w:rPr>
            </w:pPr>
            <w:r w:rsidRPr="00286216">
              <w:rPr>
                <w:color w:val="000000" w:themeColor="text1"/>
              </w:rPr>
              <w:t>Вимоги щодо приміщень СРО, технічного забезпечення та програмного забезпечення, кваліфікаційні вимоги до керівників СРО, вимоги до розміру активів СРО встановлюються нормативно-правовими актами Національної комісії з цінних паперів та фондового ринку.</w:t>
            </w:r>
          </w:p>
        </w:tc>
        <w:tc>
          <w:tcPr>
            <w:tcW w:w="3686" w:type="dxa"/>
          </w:tcPr>
          <w:p w14:paraId="78DA2B05" w14:textId="77777777" w:rsidR="0036727A" w:rsidRPr="00286216" w:rsidRDefault="0036727A" w:rsidP="0036727A">
            <w:pPr>
              <w:pStyle w:val="StyleProp"/>
              <w:rPr>
                <w:color w:val="000000" w:themeColor="text1"/>
                <w:szCs w:val="18"/>
              </w:rPr>
            </w:pPr>
          </w:p>
        </w:tc>
        <w:tc>
          <w:tcPr>
            <w:tcW w:w="1987" w:type="dxa"/>
          </w:tcPr>
          <w:p w14:paraId="64B162FD" w14:textId="77777777" w:rsidR="0036727A" w:rsidRPr="00286216" w:rsidRDefault="0036727A" w:rsidP="0036727A">
            <w:pPr>
              <w:pStyle w:val="StyleWisnow"/>
              <w:rPr>
                <w:color w:val="000000" w:themeColor="text1"/>
              </w:rPr>
            </w:pPr>
          </w:p>
        </w:tc>
        <w:tc>
          <w:tcPr>
            <w:tcW w:w="4818" w:type="dxa"/>
          </w:tcPr>
          <w:p w14:paraId="042F6DA3" w14:textId="2E1A00B4" w:rsidR="0036727A" w:rsidRPr="00286216" w:rsidRDefault="0036727A" w:rsidP="0036727A">
            <w:pPr>
              <w:pStyle w:val="StyleZakonu"/>
              <w:rPr>
                <w:color w:val="000000" w:themeColor="text1"/>
              </w:rPr>
            </w:pPr>
            <w:r w:rsidRPr="00286216">
              <w:rPr>
                <w:color w:val="000000" w:themeColor="text1"/>
              </w:rPr>
              <w:t>Вимоги щодо приміщень СРО, технічного забезпечення та програмного забезпечення, кваліфікаційні вимоги до керівників СРО, вимоги до розміру активів СРО встановлюються нормативно-правовими актами Національної комісії з цінних паперів та фондового ринку.</w:t>
            </w:r>
          </w:p>
        </w:tc>
      </w:tr>
      <w:tr w:rsidR="0036727A" w:rsidRPr="00286216" w14:paraId="0702BBE6" w14:textId="77777777" w:rsidTr="00091AA5">
        <w:tc>
          <w:tcPr>
            <w:tcW w:w="576" w:type="dxa"/>
          </w:tcPr>
          <w:p w14:paraId="1BCB9972" w14:textId="77777777" w:rsidR="0036727A" w:rsidRPr="00286216" w:rsidRDefault="0036727A" w:rsidP="0036727A">
            <w:pPr>
              <w:pStyle w:val="StyleWisnow"/>
              <w:rPr>
                <w:color w:val="000000" w:themeColor="text1"/>
              </w:rPr>
            </w:pPr>
            <w:bookmarkStart w:id="2094" w:name="n2322" w:colFirst="0" w:colLast="0"/>
            <w:bookmarkEnd w:id="2093"/>
            <w:r w:rsidRPr="00286216">
              <w:rPr>
                <w:color w:val="000000" w:themeColor="text1"/>
              </w:rPr>
              <w:t>2322.</w:t>
            </w:r>
          </w:p>
        </w:tc>
        <w:tc>
          <w:tcPr>
            <w:tcW w:w="4818" w:type="dxa"/>
          </w:tcPr>
          <w:p w14:paraId="6CCA7B56" w14:textId="77777777" w:rsidR="0036727A" w:rsidRPr="00286216" w:rsidRDefault="0036727A" w:rsidP="0036727A">
            <w:pPr>
              <w:pStyle w:val="StyleZakonu"/>
              <w:rPr>
                <w:color w:val="000000" w:themeColor="text1"/>
              </w:rPr>
            </w:pPr>
            <w:r w:rsidRPr="00286216">
              <w:rPr>
                <w:color w:val="000000" w:themeColor="text1"/>
              </w:rPr>
              <w:t>СРО зобов'язана дотримуватися вимог, установлених цією статтею, протягом всього строку чинності свідоцтва, передбаченого частиною четвертою цієї статті.</w:t>
            </w:r>
          </w:p>
        </w:tc>
        <w:tc>
          <w:tcPr>
            <w:tcW w:w="3686" w:type="dxa"/>
          </w:tcPr>
          <w:p w14:paraId="2EEA72AD" w14:textId="77777777" w:rsidR="0036727A" w:rsidRPr="00286216" w:rsidRDefault="0036727A" w:rsidP="0036727A">
            <w:pPr>
              <w:pStyle w:val="StyleProp"/>
              <w:rPr>
                <w:color w:val="000000" w:themeColor="text1"/>
                <w:szCs w:val="18"/>
              </w:rPr>
            </w:pPr>
          </w:p>
        </w:tc>
        <w:tc>
          <w:tcPr>
            <w:tcW w:w="1987" w:type="dxa"/>
          </w:tcPr>
          <w:p w14:paraId="733E27FE" w14:textId="77777777" w:rsidR="0036727A" w:rsidRPr="00286216" w:rsidRDefault="0036727A" w:rsidP="0036727A">
            <w:pPr>
              <w:pStyle w:val="StyleWisnow"/>
              <w:rPr>
                <w:color w:val="000000" w:themeColor="text1"/>
              </w:rPr>
            </w:pPr>
          </w:p>
        </w:tc>
        <w:tc>
          <w:tcPr>
            <w:tcW w:w="4818" w:type="dxa"/>
          </w:tcPr>
          <w:p w14:paraId="3291309D" w14:textId="4460A617" w:rsidR="0036727A" w:rsidRPr="00286216" w:rsidRDefault="0036727A" w:rsidP="0036727A">
            <w:pPr>
              <w:pStyle w:val="StyleZakonu"/>
              <w:rPr>
                <w:color w:val="000000" w:themeColor="text1"/>
              </w:rPr>
            </w:pPr>
            <w:r w:rsidRPr="00286216">
              <w:rPr>
                <w:color w:val="000000" w:themeColor="text1"/>
              </w:rPr>
              <w:t>СРО зобов'язана дотримуватися вимог, встановлених цією статтею, протягом усього строку  дії свідоцтва, передбаченого частиною четвертою цієї статті.</w:t>
            </w:r>
          </w:p>
        </w:tc>
      </w:tr>
      <w:tr w:rsidR="0036727A" w:rsidRPr="00286216" w14:paraId="0A7D42E0" w14:textId="77777777" w:rsidTr="00091AA5">
        <w:tc>
          <w:tcPr>
            <w:tcW w:w="576" w:type="dxa"/>
          </w:tcPr>
          <w:p w14:paraId="0EEF1743" w14:textId="77777777" w:rsidR="0036727A" w:rsidRPr="00286216" w:rsidRDefault="0036727A" w:rsidP="0036727A">
            <w:pPr>
              <w:pStyle w:val="StyleWisnow"/>
              <w:rPr>
                <w:color w:val="000000" w:themeColor="text1"/>
              </w:rPr>
            </w:pPr>
            <w:bookmarkStart w:id="2095" w:name="n2323" w:colFirst="0" w:colLast="0"/>
            <w:bookmarkEnd w:id="2094"/>
            <w:r w:rsidRPr="00286216">
              <w:rPr>
                <w:color w:val="000000" w:themeColor="text1"/>
              </w:rPr>
              <w:t>2323.</w:t>
            </w:r>
          </w:p>
        </w:tc>
        <w:tc>
          <w:tcPr>
            <w:tcW w:w="4818" w:type="dxa"/>
          </w:tcPr>
          <w:p w14:paraId="055C1B5E" w14:textId="77777777" w:rsidR="0036727A" w:rsidRPr="00286216" w:rsidRDefault="0036727A" w:rsidP="0036727A">
            <w:pPr>
              <w:pStyle w:val="StyleZakonu"/>
              <w:rPr>
                <w:color w:val="000000" w:themeColor="text1"/>
              </w:rPr>
            </w:pPr>
            <w:r w:rsidRPr="00286216">
              <w:rPr>
                <w:color w:val="000000" w:themeColor="text1"/>
              </w:rPr>
              <w:t>4. За результатами розгляду поданих об'єднанням документів Національна комісія з цінних паперів та фондового ринку своїм рішенням надає об'єднанню професійних учасників ринків капіталу статус СРО та видає відповідне свідоцтво про надання статусу саморегулівної організації професійних учасників ринків капіталу (далі - свідоцтво СРО), строк дії якого встановлюється рішенням Національної комісії з цінних паперів та фондового ринку і не може бути меншим п'яти років, або своїм вмотивованим рішенням відмовляє в наданні статусу СРО.</w:t>
            </w:r>
          </w:p>
        </w:tc>
        <w:tc>
          <w:tcPr>
            <w:tcW w:w="3686" w:type="dxa"/>
          </w:tcPr>
          <w:p w14:paraId="39929734" w14:textId="77777777" w:rsidR="0036727A" w:rsidRPr="00286216" w:rsidRDefault="0036727A" w:rsidP="0036727A">
            <w:pPr>
              <w:pStyle w:val="StyleProp"/>
              <w:rPr>
                <w:color w:val="000000" w:themeColor="text1"/>
                <w:szCs w:val="18"/>
              </w:rPr>
            </w:pPr>
          </w:p>
        </w:tc>
        <w:tc>
          <w:tcPr>
            <w:tcW w:w="1987" w:type="dxa"/>
          </w:tcPr>
          <w:p w14:paraId="47BF6641" w14:textId="77777777" w:rsidR="0036727A" w:rsidRPr="00286216" w:rsidRDefault="0036727A" w:rsidP="0036727A">
            <w:pPr>
              <w:pStyle w:val="StyleWisnow"/>
              <w:rPr>
                <w:color w:val="000000" w:themeColor="text1"/>
              </w:rPr>
            </w:pPr>
          </w:p>
        </w:tc>
        <w:tc>
          <w:tcPr>
            <w:tcW w:w="4818" w:type="dxa"/>
          </w:tcPr>
          <w:p w14:paraId="14C2A694" w14:textId="41283148" w:rsidR="0036727A" w:rsidRPr="00286216" w:rsidRDefault="0036727A" w:rsidP="0036727A">
            <w:pPr>
              <w:pStyle w:val="StyleZakonu"/>
              <w:rPr>
                <w:color w:val="000000" w:themeColor="text1"/>
              </w:rPr>
            </w:pPr>
            <w:r w:rsidRPr="00286216">
              <w:rPr>
                <w:color w:val="000000" w:themeColor="text1"/>
              </w:rPr>
              <w:t>4. За результатами розгляду поданих об'єднанням професійних учасників ринків капіталу документів Національна комісія з цінних паперів та фондового ринку приймає рішення  щодо надання об'єднанню професійних учасників ринків капіталу статусу СРО та видає відповідне свідоцтво про надання статусу саморегулівної організації професійних учасників ринків капіталу (далі - свідоцтво СРО), строк дії якого встановлюється рішенням Національної комісії з цінних паперів та фондового ринку і не може  становити менше п'яти років, або своїм вмотивованим рішенням відмовляє в наданні статусу СРО.</w:t>
            </w:r>
          </w:p>
        </w:tc>
      </w:tr>
      <w:tr w:rsidR="0036727A" w:rsidRPr="00286216" w14:paraId="1152AA34" w14:textId="77777777" w:rsidTr="00091AA5">
        <w:tc>
          <w:tcPr>
            <w:tcW w:w="576" w:type="dxa"/>
          </w:tcPr>
          <w:p w14:paraId="027B4D51" w14:textId="77777777" w:rsidR="0036727A" w:rsidRPr="00286216" w:rsidRDefault="0036727A" w:rsidP="0036727A">
            <w:pPr>
              <w:pStyle w:val="StyleWisnow"/>
              <w:rPr>
                <w:color w:val="000000" w:themeColor="text1"/>
              </w:rPr>
            </w:pPr>
            <w:bookmarkStart w:id="2096" w:name="n2324" w:colFirst="0" w:colLast="0"/>
            <w:bookmarkEnd w:id="2095"/>
            <w:r w:rsidRPr="00286216">
              <w:rPr>
                <w:color w:val="000000" w:themeColor="text1"/>
              </w:rPr>
              <w:t>2324.</w:t>
            </w:r>
          </w:p>
        </w:tc>
        <w:tc>
          <w:tcPr>
            <w:tcW w:w="4818" w:type="dxa"/>
          </w:tcPr>
          <w:p w14:paraId="4F51C9E8" w14:textId="77777777" w:rsidR="0036727A" w:rsidRPr="00286216" w:rsidRDefault="0036727A" w:rsidP="0036727A">
            <w:pPr>
              <w:pStyle w:val="StyleZakonu"/>
              <w:rPr>
                <w:color w:val="000000" w:themeColor="text1"/>
              </w:rPr>
            </w:pPr>
            <w:r w:rsidRPr="00286216">
              <w:rPr>
                <w:color w:val="000000" w:themeColor="text1"/>
              </w:rPr>
              <w:t>Підставою для відмови в наданні статусу СРО є:</w:t>
            </w:r>
          </w:p>
        </w:tc>
        <w:tc>
          <w:tcPr>
            <w:tcW w:w="3686" w:type="dxa"/>
          </w:tcPr>
          <w:p w14:paraId="0FBBACF1" w14:textId="77777777" w:rsidR="0036727A" w:rsidRPr="00286216" w:rsidRDefault="0036727A" w:rsidP="0036727A">
            <w:pPr>
              <w:pStyle w:val="StyleProp"/>
              <w:rPr>
                <w:color w:val="000000" w:themeColor="text1"/>
                <w:szCs w:val="18"/>
              </w:rPr>
            </w:pPr>
          </w:p>
        </w:tc>
        <w:tc>
          <w:tcPr>
            <w:tcW w:w="1987" w:type="dxa"/>
          </w:tcPr>
          <w:p w14:paraId="2DE653FF" w14:textId="77777777" w:rsidR="0036727A" w:rsidRPr="00286216" w:rsidRDefault="0036727A" w:rsidP="0036727A">
            <w:pPr>
              <w:pStyle w:val="StyleWisnow"/>
              <w:rPr>
                <w:color w:val="000000" w:themeColor="text1"/>
              </w:rPr>
            </w:pPr>
          </w:p>
        </w:tc>
        <w:tc>
          <w:tcPr>
            <w:tcW w:w="4818" w:type="dxa"/>
          </w:tcPr>
          <w:p w14:paraId="78312B2F" w14:textId="5A156888" w:rsidR="0036727A" w:rsidRPr="00286216" w:rsidRDefault="0036727A" w:rsidP="0036727A">
            <w:pPr>
              <w:pStyle w:val="StyleZakonu"/>
              <w:rPr>
                <w:color w:val="000000" w:themeColor="text1"/>
              </w:rPr>
            </w:pPr>
            <w:r w:rsidRPr="00286216">
              <w:rPr>
                <w:color w:val="000000" w:themeColor="text1"/>
              </w:rPr>
              <w:t>Підставою для відмови в наданні статусу СРО є:</w:t>
            </w:r>
          </w:p>
        </w:tc>
      </w:tr>
      <w:tr w:rsidR="0036727A" w:rsidRPr="00286216" w14:paraId="162088BB" w14:textId="77777777" w:rsidTr="00091AA5">
        <w:tc>
          <w:tcPr>
            <w:tcW w:w="576" w:type="dxa"/>
          </w:tcPr>
          <w:p w14:paraId="2B5857BF" w14:textId="77777777" w:rsidR="0036727A" w:rsidRPr="00286216" w:rsidRDefault="0036727A" w:rsidP="0036727A">
            <w:pPr>
              <w:pStyle w:val="StyleWisnow"/>
              <w:rPr>
                <w:color w:val="000000" w:themeColor="text1"/>
              </w:rPr>
            </w:pPr>
            <w:bookmarkStart w:id="2097" w:name="n2325" w:colFirst="0" w:colLast="0"/>
            <w:bookmarkEnd w:id="2096"/>
            <w:r w:rsidRPr="00286216">
              <w:rPr>
                <w:color w:val="000000" w:themeColor="text1"/>
              </w:rPr>
              <w:t>2325.</w:t>
            </w:r>
          </w:p>
        </w:tc>
        <w:tc>
          <w:tcPr>
            <w:tcW w:w="4818" w:type="dxa"/>
          </w:tcPr>
          <w:p w14:paraId="772AFF78" w14:textId="77777777" w:rsidR="0036727A" w:rsidRPr="00286216" w:rsidRDefault="0036727A" w:rsidP="0036727A">
            <w:pPr>
              <w:pStyle w:val="StyleZakonu"/>
              <w:rPr>
                <w:color w:val="000000" w:themeColor="text1"/>
              </w:rPr>
            </w:pPr>
            <w:r w:rsidRPr="00286216">
              <w:rPr>
                <w:color w:val="000000" w:themeColor="text1"/>
              </w:rPr>
              <w:t>відсутність документів, визначених законодавством, необхідних для реєстрації об'єднання як СРО;</w:t>
            </w:r>
          </w:p>
        </w:tc>
        <w:tc>
          <w:tcPr>
            <w:tcW w:w="3686" w:type="dxa"/>
          </w:tcPr>
          <w:p w14:paraId="47978A91" w14:textId="77777777" w:rsidR="0036727A" w:rsidRPr="00286216" w:rsidRDefault="0036727A" w:rsidP="0036727A">
            <w:pPr>
              <w:pStyle w:val="StyleProp"/>
              <w:rPr>
                <w:color w:val="000000" w:themeColor="text1"/>
                <w:szCs w:val="18"/>
              </w:rPr>
            </w:pPr>
          </w:p>
        </w:tc>
        <w:tc>
          <w:tcPr>
            <w:tcW w:w="1987" w:type="dxa"/>
          </w:tcPr>
          <w:p w14:paraId="1BABACC7" w14:textId="77777777" w:rsidR="0036727A" w:rsidRPr="00286216" w:rsidRDefault="0036727A" w:rsidP="0036727A">
            <w:pPr>
              <w:pStyle w:val="StyleWisnow"/>
              <w:rPr>
                <w:color w:val="000000" w:themeColor="text1"/>
              </w:rPr>
            </w:pPr>
          </w:p>
        </w:tc>
        <w:tc>
          <w:tcPr>
            <w:tcW w:w="4818" w:type="dxa"/>
          </w:tcPr>
          <w:p w14:paraId="24100870" w14:textId="04D4E152" w:rsidR="0036727A" w:rsidRPr="00286216" w:rsidRDefault="0036727A" w:rsidP="0036727A">
            <w:pPr>
              <w:pStyle w:val="StyleZakonu"/>
              <w:rPr>
                <w:color w:val="000000" w:themeColor="text1"/>
              </w:rPr>
            </w:pPr>
            <w:r w:rsidRPr="00286216">
              <w:rPr>
                <w:color w:val="000000" w:themeColor="text1"/>
              </w:rPr>
              <w:t>відсутність документів, визначених законодавством, необхідних для реєстрації об'єднання як СРО;</w:t>
            </w:r>
          </w:p>
        </w:tc>
      </w:tr>
      <w:tr w:rsidR="0036727A" w:rsidRPr="00286216" w14:paraId="4B0B8BED" w14:textId="77777777" w:rsidTr="00091AA5">
        <w:tc>
          <w:tcPr>
            <w:tcW w:w="576" w:type="dxa"/>
          </w:tcPr>
          <w:p w14:paraId="792A31D1" w14:textId="77777777" w:rsidR="0036727A" w:rsidRPr="00286216" w:rsidRDefault="0036727A" w:rsidP="0036727A">
            <w:pPr>
              <w:pStyle w:val="StyleWisnow"/>
              <w:rPr>
                <w:color w:val="000000" w:themeColor="text1"/>
              </w:rPr>
            </w:pPr>
            <w:bookmarkStart w:id="2098" w:name="n2326" w:colFirst="0" w:colLast="0"/>
            <w:bookmarkEnd w:id="2097"/>
            <w:r w:rsidRPr="00286216">
              <w:rPr>
                <w:color w:val="000000" w:themeColor="text1"/>
              </w:rPr>
              <w:t>2326.</w:t>
            </w:r>
          </w:p>
        </w:tc>
        <w:tc>
          <w:tcPr>
            <w:tcW w:w="4818" w:type="dxa"/>
          </w:tcPr>
          <w:p w14:paraId="62C60E7E" w14:textId="77777777" w:rsidR="0036727A" w:rsidRPr="00286216" w:rsidRDefault="0036727A" w:rsidP="0036727A">
            <w:pPr>
              <w:pStyle w:val="StyleZakonu"/>
              <w:rPr>
                <w:color w:val="000000" w:themeColor="text1"/>
              </w:rPr>
            </w:pPr>
            <w:r w:rsidRPr="00286216">
              <w:rPr>
                <w:color w:val="000000" w:themeColor="text1"/>
              </w:rPr>
              <w:t>невідповідність поданих документів та даних, які вони містять, вимогам законодавства;</w:t>
            </w:r>
          </w:p>
        </w:tc>
        <w:tc>
          <w:tcPr>
            <w:tcW w:w="3686" w:type="dxa"/>
          </w:tcPr>
          <w:p w14:paraId="6326E372" w14:textId="77777777" w:rsidR="0036727A" w:rsidRPr="00286216" w:rsidRDefault="0036727A" w:rsidP="0036727A">
            <w:pPr>
              <w:pStyle w:val="StyleProp"/>
              <w:rPr>
                <w:color w:val="000000" w:themeColor="text1"/>
                <w:szCs w:val="18"/>
              </w:rPr>
            </w:pPr>
          </w:p>
        </w:tc>
        <w:tc>
          <w:tcPr>
            <w:tcW w:w="1987" w:type="dxa"/>
          </w:tcPr>
          <w:p w14:paraId="65F066ED" w14:textId="77777777" w:rsidR="0036727A" w:rsidRPr="00286216" w:rsidRDefault="0036727A" w:rsidP="0036727A">
            <w:pPr>
              <w:pStyle w:val="StyleWisnow"/>
              <w:rPr>
                <w:color w:val="000000" w:themeColor="text1"/>
              </w:rPr>
            </w:pPr>
          </w:p>
        </w:tc>
        <w:tc>
          <w:tcPr>
            <w:tcW w:w="4818" w:type="dxa"/>
          </w:tcPr>
          <w:p w14:paraId="52A97C1F" w14:textId="7F78CEA8" w:rsidR="0036727A" w:rsidRPr="00286216" w:rsidRDefault="0036727A" w:rsidP="0036727A">
            <w:pPr>
              <w:pStyle w:val="StyleZakonu"/>
              <w:rPr>
                <w:color w:val="000000" w:themeColor="text1"/>
              </w:rPr>
            </w:pPr>
            <w:r w:rsidRPr="00286216">
              <w:rPr>
                <w:color w:val="000000" w:themeColor="text1"/>
              </w:rPr>
              <w:t>невідповідність поданих документів та даних, які вони містять, вимогам законодавства;</w:t>
            </w:r>
          </w:p>
        </w:tc>
      </w:tr>
      <w:tr w:rsidR="0036727A" w:rsidRPr="00286216" w14:paraId="275EFF7C" w14:textId="77777777" w:rsidTr="00091AA5">
        <w:tc>
          <w:tcPr>
            <w:tcW w:w="576" w:type="dxa"/>
          </w:tcPr>
          <w:p w14:paraId="1503D4B3" w14:textId="77777777" w:rsidR="0036727A" w:rsidRPr="00286216" w:rsidRDefault="0036727A" w:rsidP="0036727A">
            <w:pPr>
              <w:pStyle w:val="StyleWisnow"/>
              <w:rPr>
                <w:color w:val="000000" w:themeColor="text1"/>
              </w:rPr>
            </w:pPr>
            <w:bookmarkStart w:id="2099" w:name="n2327" w:colFirst="0" w:colLast="0"/>
            <w:bookmarkEnd w:id="2098"/>
            <w:r w:rsidRPr="00286216">
              <w:rPr>
                <w:color w:val="000000" w:themeColor="text1"/>
              </w:rPr>
              <w:t>2327.</w:t>
            </w:r>
          </w:p>
        </w:tc>
        <w:tc>
          <w:tcPr>
            <w:tcW w:w="4818" w:type="dxa"/>
          </w:tcPr>
          <w:p w14:paraId="4F038316" w14:textId="77777777" w:rsidR="0036727A" w:rsidRPr="00286216" w:rsidRDefault="0036727A" w:rsidP="0036727A">
            <w:pPr>
              <w:pStyle w:val="StyleZakonu"/>
              <w:rPr>
                <w:color w:val="000000" w:themeColor="text1"/>
              </w:rPr>
            </w:pPr>
            <w:r w:rsidRPr="00286216">
              <w:rPr>
                <w:color w:val="000000" w:themeColor="text1"/>
              </w:rPr>
              <w:t>невиконання вимог частини третьої цієї статті.</w:t>
            </w:r>
          </w:p>
        </w:tc>
        <w:tc>
          <w:tcPr>
            <w:tcW w:w="3686" w:type="dxa"/>
          </w:tcPr>
          <w:p w14:paraId="54C8B556" w14:textId="77777777" w:rsidR="0036727A" w:rsidRPr="00286216" w:rsidRDefault="0036727A" w:rsidP="0036727A">
            <w:pPr>
              <w:pStyle w:val="StyleProp"/>
              <w:rPr>
                <w:color w:val="000000" w:themeColor="text1"/>
                <w:szCs w:val="18"/>
              </w:rPr>
            </w:pPr>
          </w:p>
        </w:tc>
        <w:tc>
          <w:tcPr>
            <w:tcW w:w="1987" w:type="dxa"/>
          </w:tcPr>
          <w:p w14:paraId="32E195FC" w14:textId="77777777" w:rsidR="0036727A" w:rsidRPr="00286216" w:rsidRDefault="0036727A" w:rsidP="0036727A">
            <w:pPr>
              <w:pStyle w:val="StyleWisnow"/>
              <w:rPr>
                <w:color w:val="000000" w:themeColor="text1"/>
              </w:rPr>
            </w:pPr>
          </w:p>
        </w:tc>
        <w:tc>
          <w:tcPr>
            <w:tcW w:w="4818" w:type="dxa"/>
          </w:tcPr>
          <w:p w14:paraId="1343B40D" w14:textId="17BD8723" w:rsidR="0036727A" w:rsidRPr="00286216" w:rsidRDefault="0036727A" w:rsidP="0036727A">
            <w:pPr>
              <w:pStyle w:val="StyleZakonu"/>
              <w:rPr>
                <w:color w:val="000000" w:themeColor="text1"/>
              </w:rPr>
            </w:pPr>
            <w:r w:rsidRPr="00286216">
              <w:rPr>
                <w:color w:val="000000" w:themeColor="text1"/>
              </w:rPr>
              <w:t>невиконання вимог частини третьої цієї статті.</w:t>
            </w:r>
          </w:p>
        </w:tc>
      </w:tr>
      <w:tr w:rsidR="0036727A" w:rsidRPr="00286216" w14:paraId="2ABD1DB9" w14:textId="77777777" w:rsidTr="00091AA5">
        <w:tc>
          <w:tcPr>
            <w:tcW w:w="576" w:type="dxa"/>
          </w:tcPr>
          <w:p w14:paraId="027C0AB2" w14:textId="77777777" w:rsidR="0036727A" w:rsidRPr="00286216" w:rsidRDefault="0036727A" w:rsidP="0036727A">
            <w:pPr>
              <w:pStyle w:val="StyleWisnow"/>
              <w:rPr>
                <w:color w:val="000000" w:themeColor="text1"/>
              </w:rPr>
            </w:pPr>
            <w:bookmarkStart w:id="2100" w:name="n2328" w:colFirst="0" w:colLast="0"/>
            <w:bookmarkEnd w:id="2099"/>
            <w:r w:rsidRPr="00286216">
              <w:rPr>
                <w:color w:val="000000" w:themeColor="text1"/>
              </w:rPr>
              <w:t>2328.</w:t>
            </w:r>
          </w:p>
        </w:tc>
        <w:tc>
          <w:tcPr>
            <w:tcW w:w="4818" w:type="dxa"/>
          </w:tcPr>
          <w:p w14:paraId="6BB30F8D" w14:textId="77777777" w:rsidR="0036727A" w:rsidRPr="00286216" w:rsidRDefault="0036727A" w:rsidP="0036727A">
            <w:pPr>
              <w:pStyle w:val="StyleZakonu"/>
              <w:rPr>
                <w:color w:val="000000" w:themeColor="text1"/>
              </w:rPr>
            </w:pPr>
            <w:r w:rsidRPr="00286216">
              <w:rPr>
                <w:color w:val="000000" w:themeColor="text1"/>
              </w:rPr>
              <w:t xml:space="preserve">Після усунення порушення/порушень, що були підставою для прийняття рішення Національною комісією з цінних паперів та фондового ринку про </w:t>
            </w:r>
            <w:r w:rsidRPr="00286216">
              <w:rPr>
                <w:color w:val="000000" w:themeColor="text1"/>
              </w:rPr>
              <w:lastRenderedPageBreak/>
              <w:t>відмову у наданні об'єднанню статусу СРО, таке об'єднання має право повторно подати документи, визначені законодавством, для набуття статусу СРО.</w:t>
            </w:r>
          </w:p>
        </w:tc>
        <w:tc>
          <w:tcPr>
            <w:tcW w:w="3686" w:type="dxa"/>
          </w:tcPr>
          <w:p w14:paraId="4F68799A" w14:textId="77777777" w:rsidR="0036727A" w:rsidRPr="00286216" w:rsidRDefault="0036727A" w:rsidP="0036727A">
            <w:pPr>
              <w:pStyle w:val="StyleProp"/>
              <w:rPr>
                <w:color w:val="000000" w:themeColor="text1"/>
                <w:szCs w:val="18"/>
              </w:rPr>
            </w:pPr>
          </w:p>
        </w:tc>
        <w:tc>
          <w:tcPr>
            <w:tcW w:w="1987" w:type="dxa"/>
          </w:tcPr>
          <w:p w14:paraId="760DF091" w14:textId="77777777" w:rsidR="0036727A" w:rsidRPr="00286216" w:rsidRDefault="0036727A" w:rsidP="0036727A">
            <w:pPr>
              <w:pStyle w:val="StyleWisnow"/>
              <w:rPr>
                <w:color w:val="000000" w:themeColor="text1"/>
              </w:rPr>
            </w:pPr>
          </w:p>
        </w:tc>
        <w:tc>
          <w:tcPr>
            <w:tcW w:w="4818" w:type="dxa"/>
          </w:tcPr>
          <w:p w14:paraId="0FD2F2E6" w14:textId="474965E6" w:rsidR="0036727A" w:rsidRPr="00286216" w:rsidRDefault="0036727A" w:rsidP="0036727A">
            <w:pPr>
              <w:pStyle w:val="StyleZakonu"/>
              <w:rPr>
                <w:color w:val="000000" w:themeColor="text1"/>
              </w:rPr>
            </w:pPr>
            <w:r w:rsidRPr="00286216">
              <w:rPr>
                <w:color w:val="000000" w:themeColor="text1"/>
              </w:rPr>
              <w:t xml:space="preserve">Після усунення порушення/порушень, що  стали підставою для прийняття Національною комісією з цінних паперів та фондового ринку рішення про </w:t>
            </w:r>
            <w:r w:rsidRPr="00286216">
              <w:rPr>
                <w:color w:val="000000" w:themeColor="text1"/>
              </w:rPr>
              <w:lastRenderedPageBreak/>
              <w:t>відмову у наданні об'єднанню статусу СРО, таке об'єднання має право повторно подати документи, визначені законодавством, для набуття статусу СРО.</w:t>
            </w:r>
          </w:p>
        </w:tc>
      </w:tr>
      <w:tr w:rsidR="0036727A" w:rsidRPr="00286216" w14:paraId="0BEFA819" w14:textId="77777777" w:rsidTr="00091AA5">
        <w:tc>
          <w:tcPr>
            <w:tcW w:w="576" w:type="dxa"/>
          </w:tcPr>
          <w:p w14:paraId="342A1694" w14:textId="77777777" w:rsidR="0036727A" w:rsidRPr="00286216" w:rsidRDefault="0036727A" w:rsidP="0036727A">
            <w:pPr>
              <w:pStyle w:val="StyleWisnow"/>
              <w:rPr>
                <w:color w:val="000000" w:themeColor="text1"/>
              </w:rPr>
            </w:pPr>
            <w:bookmarkStart w:id="2101" w:name="n2329" w:colFirst="0" w:colLast="0"/>
            <w:bookmarkEnd w:id="2100"/>
            <w:r w:rsidRPr="00286216">
              <w:rPr>
                <w:color w:val="000000" w:themeColor="text1"/>
              </w:rPr>
              <w:lastRenderedPageBreak/>
              <w:t>2329.</w:t>
            </w:r>
          </w:p>
        </w:tc>
        <w:tc>
          <w:tcPr>
            <w:tcW w:w="4818" w:type="dxa"/>
          </w:tcPr>
          <w:p w14:paraId="4DB0F379" w14:textId="77777777" w:rsidR="0036727A" w:rsidRPr="00286216" w:rsidRDefault="0036727A" w:rsidP="0036727A">
            <w:pPr>
              <w:pStyle w:val="StyleZakonu"/>
              <w:rPr>
                <w:color w:val="000000" w:themeColor="text1"/>
              </w:rPr>
            </w:pPr>
            <w:r w:rsidRPr="00286216">
              <w:rPr>
                <w:color w:val="000000" w:themeColor="text1"/>
              </w:rPr>
              <w:t>5. Позбавлення статусу СРО здійснюється за рішенням Національної комісії з цінних паперів та фондового ринку у таких випадках:</w:t>
            </w:r>
          </w:p>
        </w:tc>
        <w:tc>
          <w:tcPr>
            <w:tcW w:w="3686" w:type="dxa"/>
          </w:tcPr>
          <w:p w14:paraId="18793C48" w14:textId="77777777" w:rsidR="0036727A" w:rsidRPr="00286216" w:rsidRDefault="0036727A" w:rsidP="0036727A">
            <w:pPr>
              <w:pStyle w:val="StyleProp"/>
              <w:rPr>
                <w:color w:val="000000" w:themeColor="text1"/>
                <w:szCs w:val="18"/>
              </w:rPr>
            </w:pPr>
          </w:p>
        </w:tc>
        <w:tc>
          <w:tcPr>
            <w:tcW w:w="1987" w:type="dxa"/>
          </w:tcPr>
          <w:p w14:paraId="7E0A4907" w14:textId="77777777" w:rsidR="0036727A" w:rsidRPr="00286216" w:rsidRDefault="0036727A" w:rsidP="0036727A">
            <w:pPr>
              <w:pStyle w:val="StyleWisnow"/>
              <w:rPr>
                <w:color w:val="000000" w:themeColor="text1"/>
              </w:rPr>
            </w:pPr>
          </w:p>
        </w:tc>
        <w:tc>
          <w:tcPr>
            <w:tcW w:w="4818" w:type="dxa"/>
          </w:tcPr>
          <w:p w14:paraId="6BA09E8E" w14:textId="03EE3518" w:rsidR="0036727A" w:rsidRPr="00286216" w:rsidRDefault="0036727A" w:rsidP="0036727A">
            <w:pPr>
              <w:pStyle w:val="StyleZakonu"/>
              <w:rPr>
                <w:color w:val="000000" w:themeColor="text1"/>
              </w:rPr>
            </w:pPr>
            <w:r w:rsidRPr="00286216">
              <w:rPr>
                <w:color w:val="000000" w:themeColor="text1"/>
              </w:rPr>
              <w:t>5. Позбавлення статусу СРО здійснюється за рішенням Національної комісії з цінних паперів та фондового ринку у таких випадках:</w:t>
            </w:r>
          </w:p>
        </w:tc>
      </w:tr>
      <w:tr w:rsidR="0036727A" w:rsidRPr="00286216" w14:paraId="139E5825" w14:textId="77777777" w:rsidTr="00091AA5">
        <w:tc>
          <w:tcPr>
            <w:tcW w:w="576" w:type="dxa"/>
          </w:tcPr>
          <w:p w14:paraId="041079F6" w14:textId="77777777" w:rsidR="0036727A" w:rsidRPr="00286216" w:rsidRDefault="0036727A" w:rsidP="0036727A">
            <w:pPr>
              <w:pStyle w:val="StyleWisnow"/>
              <w:rPr>
                <w:color w:val="000000" w:themeColor="text1"/>
              </w:rPr>
            </w:pPr>
            <w:bookmarkStart w:id="2102" w:name="n2330" w:colFirst="0" w:colLast="0"/>
            <w:bookmarkEnd w:id="2101"/>
            <w:r w:rsidRPr="00286216">
              <w:rPr>
                <w:color w:val="000000" w:themeColor="text1"/>
              </w:rPr>
              <w:t>2330.</w:t>
            </w:r>
          </w:p>
        </w:tc>
        <w:tc>
          <w:tcPr>
            <w:tcW w:w="4818" w:type="dxa"/>
          </w:tcPr>
          <w:p w14:paraId="072392A9" w14:textId="77777777" w:rsidR="0036727A" w:rsidRPr="00286216" w:rsidRDefault="0036727A" w:rsidP="0036727A">
            <w:pPr>
              <w:pStyle w:val="StyleZakonu"/>
              <w:rPr>
                <w:color w:val="000000" w:themeColor="text1"/>
              </w:rPr>
            </w:pPr>
            <w:r w:rsidRPr="00286216">
              <w:rPr>
                <w:color w:val="000000" w:themeColor="text1"/>
              </w:rPr>
              <w:t>на підставі заяви СРО про скасування Комісією свідоцтва СРО;</w:t>
            </w:r>
          </w:p>
        </w:tc>
        <w:tc>
          <w:tcPr>
            <w:tcW w:w="3686" w:type="dxa"/>
          </w:tcPr>
          <w:p w14:paraId="7ABE0B06" w14:textId="77777777" w:rsidR="0036727A" w:rsidRPr="00286216" w:rsidRDefault="0036727A" w:rsidP="0036727A">
            <w:pPr>
              <w:pStyle w:val="StyleProp"/>
              <w:rPr>
                <w:color w:val="000000" w:themeColor="text1"/>
                <w:szCs w:val="18"/>
              </w:rPr>
            </w:pPr>
          </w:p>
        </w:tc>
        <w:tc>
          <w:tcPr>
            <w:tcW w:w="1987" w:type="dxa"/>
          </w:tcPr>
          <w:p w14:paraId="67B9D6C5" w14:textId="77777777" w:rsidR="0036727A" w:rsidRPr="00286216" w:rsidRDefault="0036727A" w:rsidP="0036727A">
            <w:pPr>
              <w:pStyle w:val="StyleWisnow"/>
              <w:rPr>
                <w:color w:val="000000" w:themeColor="text1"/>
              </w:rPr>
            </w:pPr>
          </w:p>
        </w:tc>
        <w:tc>
          <w:tcPr>
            <w:tcW w:w="4818" w:type="dxa"/>
          </w:tcPr>
          <w:p w14:paraId="5F712B7E" w14:textId="56FDE507" w:rsidR="0036727A" w:rsidRPr="00286216" w:rsidRDefault="0036727A" w:rsidP="0036727A">
            <w:pPr>
              <w:pStyle w:val="StyleZakonu"/>
              <w:rPr>
                <w:color w:val="000000" w:themeColor="text1"/>
              </w:rPr>
            </w:pPr>
            <w:r w:rsidRPr="00286216">
              <w:rPr>
                <w:color w:val="000000" w:themeColor="text1"/>
              </w:rPr>
              <w:t>на підставі заяви СРО про скасування Національною комісією з цінних паперів та фондового ринку свідоцтва СРО;</w:t>
            </w:r>
          </w:p>
        </w:tc>
      </w:tr>
      <w:tr w:rsidR="0036727A" w:rsidRPr="00286216" w14:paraId="11CDAC7C" w14:textId="77777777" w:rsidTr="00091AA5">
        <w:tc>
          <w:tcPr>
            <w:tcW w:w="576" w:type="dxa"/>
          </w:tcPr>
          <w:p w14:paraId="3CA82EFA" w14:textId="77777777" w:rsidR="0036727A" w:rsidRPr="00286216" w:rsidRDefault="0036727A" w:rsidP="0036727A">
            <w:pPr>
              <w:pStyle w:val="StyleWisnow"/>
              <w:rPr>
                <w:color w:val="000000" w:themeColor="text1"/>
              </w:rPr>
            </w:pPr>
            <w:bookmarkStart w:id="2103" w:name="n2331" w:colFirst="0" w:colLast="0"/>
            <w:bookmarkEnd w:id="2102"/>
            <w:r w:rsidRPr="00286216">
              <w:rPr>
                <w:color w:val="000000" w:themeColor="text1"/>
              </w:rPr>
              <w:t>2331.</w:t>
            </w:r>
          </w:p>
        </w:tc>
        <w:tc>
          <w:tcPr>
            <w:tcW w:w="4818" w:type="dxa"/>
          </w:tcPr>
          <w:p w14:paraId="1B1EF4C1" w14:textId="77777777" w:rsidR="0036727A" w:rsidRPr="00286216" w:rsidRDefault="0036727A" w:rsidP="0036727A">
            <w:pPr>
              <w:pStyle w:val="StyleZakonu"/>
              <w:rPr>
                <w:color w:val="000000" w:themeColor="text1"/>
              </w:rPr>
            </w:pPr>
            <w:r w:rsidRPr="00286216">
              <w:rPr>
                <w:color w:val="000000" w:themeColor="text1"/>
              </w:rPr>
              <w:t>невиконання СРО рішень Комісії, постанов уповноважених осіб Комісії;</w:t>
            </w:r>
          </w:p>
        </w:tc>
        <w:tc>
          <w:tcPr>
            <w:tcW w:w="3686" w:type="dxa"/>
          </w:tcPr>
          <w:p w14:paraId="0DA051FB" w14:textId="77777777" w:rsidR="0036727A" w:rsidRPr="00286216" w:rsidRDefault="0036727A" w:rsidP="0036727A">
            <w:pPr>
              <w:pStyle w:val="StyleProp"/>
              <w:rPr>
                <w:color w:val="000000" w:themeColor="text1"/>
                <w:szCs w:val="18"/>
              </w:rPr>
            </w:pPr>
          </w:p>
        </w:tc>
        <w:tc>
          <w:tcPr>
            <w:tcW w:w="1987" w:type="dxa"/>
          </w:tcPr>
          <w:p w14:paraId="5A75B0B2" w14:textId="77777777" w:rsidR="0036727A" w:rsidRPr="00286216" w:rsidRDefault="0036727A" w:rsidP="0036727A">
            <w:pPr>
              <w:pStyle w:val="StyleWisnow"/>
              <w:rPr>
                <w:color w:val="000000" w:themeColor="text1"/>
              </w:rPr>
            </w:pPr>
          </w:p>
        </w:tc>
        <w:tc>
          <w:tcPr>
            <w:tcW w:w="4818" w:type="dxa"/>
          </w:tcPr>
          <w:p w14:paraId="70088470" w14:textId="1C0BC160" w:rsidR="0036727A" w:rsidRPr="00286216" w:rsidRDefault="0036727A" w:rsidP="0036727A">
            <w:pPr>
              <w:pStyle w:val="StyleZakonu"/>
              <w:rPr>
                <w:color w:val="000000" w:themeColor="text1"/>
              </w:rPr>
            </w:pPr>
            <w:r w:rsidRPr="00286216">
              <w:rPr>
                <w:color w:val="000000" w:themeColor="text1"/>
              </w:rPr>
              <w:t>невиконання СРО рішень Національної комісії з цінних паперів та фондового ринку, постанов уповноважених осіб Національної комісії з цінних паперів та фондового ринку;</w:t>
            </w:r>
          </w:p>
        </w:tc>
      </w:tr>
      <w:tr w:rsidR="0036727A" w:rsidRPr="00286216" w14:paraId="1A1758B0" w14:textId="77777777" w:rsidTr="00091AA5">
        <w:tc>
          <w:tcPr>
            <w:tcW w:w="576" w:type="dxa"/>
          </w:tcPr>
          <w:p w14:paraId="1A5EC4D3" w14:textId="77777777" w:rsidR="0036727A" w:rsidRPr="00286216" w:rsidRDefault="0036727A" w:rsidP="0036727A">
            <w:pPr>
              <w:pStyle w:val="StyleWisnow"/>
              <w:rPr>
                <w:color w:val="000000" w:themeColor="text1"/>
              </w:rPr>
            </w:pPr>
            <w:bookmarkStart w:id="2104" w:name="n2332" w:colFirst="0" w:colLast="0"/>
            <w:bookmarkEnd w:id="2103"/>
            <w:r w:rsidRPr="00286216">
              <w:rPr>
                <w:color w:val="000000" w:themeColor="text1"/>
              </w:rPr>
              <w:t>2332.</w:t>
            </w:r>
          </w:p>
        </w:tc>
        <w:tc>
          <w:tcPr>
            <w:tcW w:w="4818" w:type="dxa"/>
          </w:tcPr>
          <w:p w14:paraId="40B199D6" w14:textId="77777777" w:rsidR="0036727A" w:rsidRPr="00286216" w:rsidRDefault="0036727A" w:rsidP="0036727A">
            <w:pPr>
              <w:pStyle w:val="StyleZakonu"/>
              <w:rPr>
                <w:color w:val="000000" w:themeColor="text1"/>
              </w:rPr>
            </w:pPr>
            <w:r w:rsidRPr="00286216">
              <w:rPr>
                <w:color w:val="000000" w:themeColor="text1"/>
              </w:rPr>
              <w:t>встановлення Комісією факту невідповідності СРО вимогам, встановленим цією статтею.</w:t>
            </w:r>
          </w:p>
        </w:tc>
        <w:tc>
          <w:tcPr>
            <w:tcW w:w="3686" w:type="dxa"/>
          </w:tcPr>
          <w:p w14:paraId="78676FA5" w14:textId="77777777" w:rsidR="0036727A" w:rsidRPr="00286216" w:rsidRDefault="0036727A" w:rsidP="0036727A">
            <w:pPr>
              <w:pStyle w:val="StyleProp"/>
              <w:rPr>
                <w:color w:val="000000" w:themeColor="text1"/>
                <w:szCs w:val="18"/>
              </w:rPr>
            </w:pPr>
          </w:p>
        </w:tc>
        <w:tc>
          <w:tcPr>
            <w:tcW w:w="1987" w:type="dxa"/>
          </w:tcPr>
          <w:p w14:paraId="33330308" w14:textId="77777777" w:rsidR="0036727A" w:rsidRPr="00286216" w:rsidRDefault="0036727A" w:rsidP="0036727A">
            <w:pPr>
              <w:pStyle w:val="StyleWisnow"/>
              <w:rPr>
                <w:color w:val="000000" w:themeColor="text1"/>
              </w:rPr>
            </w:pPr>
          </w:p>
        </w:tc>
        <w:tc>
          <w:tcPr>
            <w:tcW w:w="4818" w:type="dxa"/>
          </w:tcPr>
          <w:p w14:paraId="47080792" w14:textId="0186D076" w:rsidR="0036727A" w:rsidRPr="00286216" w:rsidRDefault="0036727A" w:rsidP="0036727A">
            <w:pPr>
              <w:pStyle w:val="StyleZakonu"/>
              <w:rPr>
                <w:color w:val="000000" w:themeColor="text1"/>
              </w:rPr>
            </w:pPr>
            <w:r w:rsidRPr="00286216">
              <w:rPr>
                <w:color w:val="000000" w:themeColor="text1"/>
              </w:rPr>
              <w:t>встановлення Комісією факту невідповідності СРО вимогам, встановленим цією статтею.</w:t>
            </w:r>
          </w:p>
        </w:tc>
      </w:tr>
      <w:tr w:rsidR="0036727A" w:rsidRPr="00286216" w14:paraId="681D11FC" w14:textId="77777777" w:rsidTr="00091AA5">
        <w:tc>
          <w:tcPr>
            <w:tcW w:w="576" w:type="dxa"/>
          </w:tcPr>
          <w:p w14:paraId="0CB219F4" w14:textId="77777777" w:rsidR="0036727A" w:rsidRPr="00286216" w:rsidRDefault="0036727A" w:rsidP="0036727A">
            <w:pPr>
              <w:pStyle w:val="StyleWisnow"/>
              <w:rPr>
                <w:color w:val="000000" w:themeColor="text1"/>
              </w:rPr>
            </w:pPr>
            <w:bookmarkStart w:id="2105" w:name="n2333" w:colFirst="0" w:colLast="0"/>
            <w:bookmarkEnd w:id="2104"/>
            <w:r w:rsidRPr="00286216">
              <w:rPr>
                <w:color w:val="000000" w:themeColor="text1"/>
              </w:rPr>
              <w:t>2333.</w:t>
            </w:r>
          </w:p>
        </w:tc>
        <w:tc>
          <w:tcPr>
            <w:tcW w:w="4818" w:type="dxa"/>
          </w:tcPr>
          <w:p w14:paraId="279A5A18" w14:textId="77777777" w:rsidR="0036727A" w:rsidRPr="00286216" w:rsidRDefault="0036727A" w:rsidP="0036727A">
            <w:pPr>
              <w:pStyle w:val="StyleZakonu"/>
              <w:rPr>
                <w:color w:val="000000" w:themeColor="text1"/>
              </w:rPr>
            </w:pPr>
            <w:bookmarkStart w:id="2106" w:name="_Ref16419323"/>
            <w:r w:rsidRPr="00286216">
              <w:rPr>
                <w:color w:val="000000" w:themeColor="text1"/>
              </w:rPr>
              <w:t>Стаття 139. Саморегулівна організація професійних учасників ринків капіталу</w:t>
            </w:r>
            <w:bookmarkEnd w:id="2106"/>
          </w:p>
        </w:tc>
        <w:tc>
          <w:tcPr>
            <w:tcW w:w="3686" w:type="dxa"/>
          </w:tcPr>
          <w:p w14:paraId="677F03E3" w14:textId="77777777" w:rsidR="0036727A" w:rsidRPr="00286216" w:rsidRDefault="0036727A" w:rsidP="0036727A">
            <w:pPr>
              <w:pStyle w:val="StyleProp"/>
              <w:rPr>
                <w:color w:val="000000" w:themeColor="text1"/>
                <w:szCs w:val="18"/>
              </w:rPr>
            </w:pPr>
          </w:p>
        </w:tc>
        <w:tc>
          <w:tcPr>
            <w:tcW w:w="1987" w:type="dxa"/>
          </w:tcPr>
          <w:p w14:paraId="0EC50C03" w14:textId="77777777" w:rsidR="0036727A" w:rsidRPr="00286216" w:rsidRDefault="0036727A" w:rsidP="0036727A">
            <w:pPr>
              <w:pStyle w:val="StyleWisnow"/>
              <w:rPr>
                <w:color w:val="000000" w:themeColor="text1"/>
              </w:rPr>
            </w:pPr>
          </w:p>
        </w:tc>
        <w:tc>
          <w:tcPr>
            <w:tcW w:w="4818" w:type="dxa"/>
          </w:tcPr>
          <w:p w14:paraId="386A7BD3" w14:textId="234B3238" w:rsidR="0036727A" w:rsidRPr="00286216" w:rsidRDefault="0036727A" w:rsidP="0036727A">
            <w:pPr>
              <w:pStyle w:val="StyleZakonu"/>
              <w:rPr>
                <w:color w:val="000000" w:themeColor="text1"/>
              </w:rPr>
            </w:pPr>
            <w:r w:rsidRPr="00286216">
              <w:rPr>
                <w:color w:val="000000" w:themeColor="text1"/>
              </w:rPr>
              <w:t xml:space="preserve">Стаття 144. </w:t>
            </w:r>
            <w:r w:rsidR="00236A0D" w:rsidRPr="00286216">
              <w:rPr>
                <w:color w:val="000000" w:themeColor="text1"/>
              </w:rPr>
              <w:t>Саморегулівна організація професійних учасників ринків капіталу</w:t>
            </w:r>
          </w:p>
        </w:tc>
      </w:tr>
      <w:tr w:rsidR="0036727A" w:rsidRPr="00286216" w14:paraId="76F4D74B" w14:textId="77777777" w:rsidTr="00091AA5">
        <w:tc>
          <w:tcPr>
            <w:tcW w:w="576" w:type="dxa"/>
          </w:tcPr>
          <w:p w14:paraId="3E47E390" w14:textId="77777777" w:rsidR="0036727A" w:rsidRPr="00286216" w:rsidRDefault="0036727A" w:rsidP="0036727A">
            <w:pPr>
              <w:pStyle w:val="StyleWisnow"/>
              <w:rPr>
                <w:color w:val="000000" w:themeColor="text1"/>
              </w:rPr>
            </w:pPr>
            <w:bookmarkStart w:id="2107" w:name="n2334" w:colFirst="0" w:colLast="0"/>
            <w:bookmarkEnd w:id="2105"/>
            <w:r w:rsidRPr="00286216">
              <w:rPr>
                <w:color w:val="000000" w:themeColor="text1"/>
              </w:rPr>
              <w:t>2334.</w:t>
            </w:r>
          </w:p>
        </w:tc>
        <w:tc>
          <w:tcPr>
            <w:tcW w:w="4818" w:type="dxa"/>
          </w:tcPr>
          <w:p w14:paraId="66F1DE2E" w14:textId="77777777" w:rsidR="0036727A" w:rsidRPr="00286216" w:rsidRDefault="0036727A" w:rsidP="0036727A">
            <w:pPr>
              <w:pStyle w:val="StyleZakonu"/>
              <w:rPr>
                <w:color w:val="000000" w:themeColor="text1"/>
              </w:rPr>
            </w:pPr>
            <w:r w:rsidRPr="00286216">
              <w:rPr>
                <w:color w:val="000000" w:themeColor="text1"/>
              </w:rPr>
              <w:t>Повноваження об'єднання професійних учасників ринків капіталу та саморегулівної організації професійних учасників ринків капіталу</w:t>
            </w:r>
          </w:p>
        </w:tc>
        <w:tc>
          <w:tcPr>
            <w:tcW w:w="3686" w:type="dxa"/>
          </w:tcPr>
          <w:p w14:paraId="67E586DD" w14:textId="77777777" w:rsidR="0036727A" w:rsidRPr="00286216" w:rsidRDefault="0036727A" w:rsidP="0036727A">
            <w:pPr>
              <w:pStyle w:val="StyleProp"/>
              <w:rPr>
                <w:color w:val="000000" w:themeColor="text1"/>
                <w:szCs w:val="18"/>
              </w:rPr>
            </w:pPr>
          </w:p>
        </w:tc>
        <w:tc>
          <w:tcPr>
            <w:tcW w:w="1987" w:type="dxa"/>
          </w:tcPr>
          <w:p w14:paraId="6B73CBA9" w14:textId="77777777" w:rsidR="0036727A" w:rsidRPr="00286216" w:rsidRDefault="0036727A" w:rsidP="0036727A">
            <w:pPr>
              <w:pStyle w:val="StyleWisnow"/>
              <w:rPr>
                <w:color w:val="000000" w:themeColor="text1"/>
              </w:rPr>
            </w:pPr>
          </w:p>
        </w:tc>
        <w:tc>
          <w:tcPr>
            <w:tcW w:w="4818" w:type="dxa"/>
          </w:tcPr>
          <w:p w14:paraId="54590A81" w14:textId="40621B1E" w:rsidR="0036727A" w:rsidRPr="00286216" w:rsidRDefault="0036727A" w:rsidP="0036727A">
            <w:pPr>
              <w:pStyle w:val="StyleZakonu"/>
              <w:rPr>
                <w:color w:val="000000" w:themeColor="text1"/>
              </w:rPr>
            </w:pPr>
            <w:r w:rsidRPr="00286216">
              <w:rPr>
                <w:color w:val="000000" w:themeColor="text1"/>
              </w:rPr>
              <w:t>Повноваження об'єднання професійних учасників ринків капіталу та саморегулівної організації професійних учасників ринків капіталу</w:t>
            </w:r>
          </w:p>
        </w:tc>
      </w:tr>
      <w:tr w:rsidR="0036727A" w:rsidRPr="00286216" w14:paraId="6D357D28" w14:textId="77777777" w:rsidTr="00091AA5">
        <w:tc>
          <w:tcPr>
            <w:tcW w:w="576" w:type="dxa"/>
          </w:tcPr>
          <w:p w14:paraId="29F44FAF" w14:textId="77777777" w:rsidR="0036727A" w:rsidRPr="00286216" w:rsidRDefault="0036727A" w:rsidP="0036727A">
            <w:pPr>
              <w:pStyle w:val="StyleWisnow"/>
              <w:rPr>
                <w:color w:val="000000" w:themeColor="text1"/>
              </w:rPr>
            </w:pPr>
            <w:bookmarkStart w:id="2108" w:name="n2335" w:colFirst="0" w:colLast="0"/>
            <w:bookmarkEnd w:id="2107"/>
            <w:r w:rsidRPr="00286216">
              <w:rPr>
                <w:color w:val="000000" w:themeColor="text1"/>
              </w:rPr>
              <w:t>2335.</w:t>
            </w:r>
          </w:p>
        </w:tc>
        <w:tc>
          <w:tcPr>
            <w:tcW w:w="4818" w:type="dxa"/>
          </w:tcPr>
          <w:p w14:paraId="1CA1B4BC" w14:textId="77777777" w:rsidR="0036727A" w:rsidRPr="00286216" w:rsidRDefault="0036727A" w:rsidP="0036727A">
            <w:pPr>
              <w:pStyle w:val="StyleZakonu"/>
              <w:rPr>
                <w:color w:val="000000" w:themeColor="text1"/>
              </w:rPr>
            </w:pPr>
            <w:r w:rsidRPr="00286216">
              <w:rPr>
                <w:color w:val="000000" w:themeColor="text1"/>
              </w:rPr>
              <w:t>1. Об'єднання професійних учасників ринків капіталу, включаючи об'єднання, що набуло статусу СРО, має такі повноваження:</w:t>
            </w:r>
          </w:p>
        </w:tc>
        <w:tc>
          <w:tcPr>
            <w:tcW w:w="3686" w:type="dxa"/>
          </w:tcPr>
          <w:p w14:paraId="029F40B4" w14:textId="77777777" w:rsidR="0036727A" w:rsidRPr="00286216" w:rsidRDefault="0036727A" w:rsidP="0036727A">
            <w:pPr>
              <w:pStyle w:val="StyleProp"/>
              <w:rPr>
                <w:color w:val="000000" w:themeColor="text1"/>
                <w:szCs w:val="18"/>
              </w:rPr>
            </w:pPr>
          </w:p>
        </w:tc>
        <w:tc>
          <w:tcPr>
            <w:tcW w:w="1987" w:type="dxa"/>
          </w:tcPr>
          <w:p w14:paraId="3281F9E8" w14:textId="77777777" w:rsidR="0036727A" w:rsidRPr="00286216" w:rsidRDefault="0036727A" w:rsidP="0036727A">
            <w:pPr>
              <w:pStyle w:val="StyleWisnow"/>
              <w:rPr>
                <w:color w:val="000000" w:themeColor="text1"/>
              </w:rPr>
            </w:pPr>
          </w:p>
        </w:tc>
        <w:tc>
          <w:tcPr>
            <w:tcW w:w="4818" w:type="dxa"/>
          </w:tcPr>
          <w:p w14:paraId="3F5CFBD2" w14:textId="226E1B7E" w:rsidR="0036727A" w:rsidRPr="00286216" w:rsidRDefault="0036727A" w:rsidP="0036727A">
            <w:pPr>
              <w:pStyle w:val="StyleZakonu"/>
              <w:rPr>
                <w:color w:val="000000" w:themeColor="text1"/>
              </w:rPr>
            </w:pPr>
            <w:r w:rsidRPr="00286216">
              <w:rPr>
                <w:color w:val="000000" w:themeColor="text1"/>
              </w:rPr>
              <w:t>1. Об'єднання професійних учасників ринків капіталу( у тому числі об'єднання, що набуло статусу СРО, має повноваження щодо:</w:t>
            </w:r>
          </w:p>
        </w:tc>
      </w:tr>
      <w:tr w:rsidR="0036727A" w:rsidRPr="00286216" w14:paraId="3C7183A7" w14:textId="77777777" w:rsidTr="00091AA5">
        <w:tc>
          <w:tcPr>
            <w:tcW w:w="576" w:type="dxa"/>
          </w:tcPr>
          <w:p w14:paraId="380F4784" w14:textId="77777777" w:rsidR="0036727A" w:rsidRPr="00286216" w:rsidRDefault="0036727A" w:rsidP="0036727A">
            <w:pPr>
              <w:pStyle w:val="StyleWisnow"/>
              <w:rPr>
                <w:color w:val="000000" w:themeColor="text1"/>
              </w:rPr>
            </w:pPr>
            <w:bookmarkStart w:id="2109" w:name="n2336" w:colFirst="0" w:colLast="0"/>
            <w:bookmarkEnd w:id="2108"/>
            <w:r w:rsidRPr="00286216">
              <w:rPr>
                <w:color w:val="000000" w:themeColor="text1"/>
              </w:rPr>
              <w:t>2336.</w:t>
            </w:r>
          </w:p>
        </w:tc>
        <w:tc>
          <w:tcPr>
            <w:tcW w:w="4818" w:type="dxa"/>
          </w:tcPr>
          <w:p w14:paraId="3D3760A7" w14:textId="77777777" w:rsidR="0036727A" w:rsidRPr="00286216" w:rsidRDefault="0036727A" w:rsidP="0036727A">
            <w:pPr>
              <w:pStyle w:val="StyleZakonu"/>
              <w:rPr>
                <w:color w:val="000000" w:themeColor="text1"/>
              </w:rPr>
            </w:pPr>
            <w:r w:rsidRPr="00286216">
              <w:rPr>
                <w:color w:val="000000" w:themeColor="text1"/>
              </w:rPr>
              <w:t>1) впровадження норм професійної етики у практичній діяльності учасників об'єднання;</w:t>
            </w:r>
          </w:p>
        </w:tc>
        <w:tc>
          <w:tcPr>
            <w:tcW w:w="3686" w:type="dxa"/>
          </w:tcPr>
          <w:p w14:paraId="1083CE5F" w14:textId="77777777" w:rsidR="0036727A" w:rsidRPr="00286216" w:rsidRDefault="0036727A" w:rsidP="0036727A">
            <w:pPr>
              <w:pStyle w:val="StyleProp"/>
              <w:rPr>
                <w:color w:val="000000" w:themeColor="text1"/>
                <w:szCs w:val="18"/>
              </w:rPr>
            </w:pPr>
          </w:p>
        </w:tc>
        <w:tc>
          <w:tcPr>
            <w:tcW w:w="1987" w:type="dxa"/>
          </w:tcPr>
          <w:p w14:paraId="2B90D4FA" w14:textId="77777777" w:rsidR="0036727A" w:rsidRPr="00286216" w:rsidRDefault="0036727A" w:rsidP="0036727A">
            <w:pPr>
              <w:pStyle w:val="StyleWisnow"/>
              <w:rPr>
                <w:color w:val="000000" w:themeColor="text1"/>
              </w:rPr>
            </w:pPr>
          </w:p>
        </w:tc>
        <w:tc>
          <w:tcPr>
            <w:tcW w:w="4818" w:type="dxa"/>
          </w:tcPr>
          <w:p w14:paraId="6E4732B7" w14:textId="1D8E373C" w:rsidR="0036727A" w:rsidRPr="00286216" w:rsidRDefault="0036727A" w:rsidP="0036727A">
            <w:pPr>
              <w:pStyle w:val="StyleZakonu"/>
              <w:rPr>
                <w:color w:val="000000" w:themeColor="text1"/>
              </w:rPr>
            </w:pPr>
            <w:r w:rsidRPr="00286216">
              <w:rPr>
                <w:color w:val="000000" w:themeColor="text1"/>
              </w:rPr>
              <w:t>1) впровадження норм професійної етики у практичній діяльності учасників об'єднання;</w:t>
            </w:r>
          </w:p>
        </w:tc>
      </w:tr>
      <w:tr w:rsidR="0036727A" w:rsidRPr="00286216" w14:paraId="44138B03" w14:textId="77777777" w:rsidTr="00091AA5">
        <w:tc>
          <w:tcPr>
            <w:tcW w:w="576" w:type="dxa"/>
          </w:tcPr>
          <w:p w14:paraId="69D46A2B" w14:textId="77777777" w:rsidR="0036727A" w:rsidRPr="00286216" w:rsidRDefault="0036727A" w:rsidP="0036727A">
            <w:pPr>
              <w:pStyle w:val="StyleWisnow"/>
              <w:rPr>
                <w:color w:val="000000" w:themeColor="text1"/>
              </w:rPr>
            </w:pPr>
            <w:bookmarkStart w:id="2110" w:name="n2337" w:colFirst="0" w:colLast="0"/>
            <w:bookmarkEnd w:id="2109"/>
            <w:r w:rsidRPr="00286216">
              <w:rPr>
                <w:color w:val="000000" w:themeColor="text1"/>
              </w:rPr>
              <w:t>2337.</w:t>
            </w:r>
          </w:p>
        </w:tc>
        <w:tc>
          <w:tcPr>
            <w:tcW w:w="4818" w:type="dxa"/>
          </w:tcPr>
          <w:p w14:paraId="14F9DEEC" w14:textId="77777777" w:rsidR="0036727A" w:rsidRPr="00286216" w:rsidRDefault="0036727A" w:rsidP="0036727A">
            <w:pPr>
              <w:pStyle w:val="StyleZakonu"/>
              <w:rPr>
                <w:color w:val="000000" w:themeColor="text1"/>
              </w:rPr>
            </w:pPr>
            <w:r w:rsidRPr="00286216">
              <w:rPr>
                <w:color w:val="000000" w:themeColor="text1"/>
              </w:rPr>
              <w:t>2) розроблення і затвердження методичних рекомендацій щодо провадження відповідного виду професійної діяльності на ринках капіталу;</w:t>
            </w:r>
          </w:p>
        </w:tc>
        <w:tc>
          <w:tcPr>
            <w:tcW w:w="3686" w:type="dxa"/>
          </w:tcPr>
          <w:p w14:paraId="50E9BB68" w14:textId="77777777" w:rsidR="0036727A" w:rsidRPr="00286216" w:rsidRDefault="0036727A" w:rsidP="0036727A">
            <w:pPr>
              <w:pStyle w:val="StyleProp"/>
              <w:rPr>
                <w:color w:val="000000" w:themeColor="text1"/>
                <w:szCs w:val="18"/>
              </w:rPr>
            </w:pPr>
          </w:p>
        </w:tc>
        <w:tc>
          <w:tcPr>
            <w:tcW w:w="1987" w:type="dxa"/>
          </w:tcPr>
          <w:p w14:paraId="31C75D0C" w14:textId="77777777" w:rsidR="0036727A" w:rsidRPr="00286216" w:rsidRDefault="0036727A" w:rsidP="0036727A">
            <w:pPr>
              <w:pStyle w:val="StyleWisnow"/>
              <w:rPr>
                <w:color w:val="000000" w:themeColor="text1"/>
              </w:rPr>
            </w:pPr>
          </w:p>
        </w:tc>
        <w:tc>
          <w:tcPr>
            <w:tcW w:w="4818" w:type="dxa"/>
          </w:tcPr>
          <w:p w14:paraId="48496E26" w14:textId="6809B983" w:rsidR="0036727A" w:rsidRPr="00286216" w:rsidRDefault="0036727A" w:rsidP="0036727A">
            <w:pPr>
              <w:pStyle w:val="StyleZakonu"/>
              <w:rPr>
                <w:color w:val="000000" w:themeColor="text1"/>
              </w:rPr>
            </w:pPr>
            <w:r w:rsidRPr="00286216">
              <w:rPr>
                <w:color w:val="000000" w:themeColor="text1"/>
              </w:rPr>
              <w:t>2) розроблення та затвердження методичних рекомендацій щодо провадження відповідного виду професійної діяльності на ринках капіталу;</w:t>
            </w:r>
          </w:p>
        </w:tc>
      </w:tr>
      <w:tr w:rsidR="0036727A" w:rsidRPr="00286216" w14:paraId="0931FE8F" w14:textId="77777777" w:rsidTr="00091AA5">
        <w:tc>
          <w:tcPr>
            <w:tcW w:w="576" w:type="dxa"/>
          </w:tcPr>
          <w:p w14:paraId="3CC8B873" w14:textId="77777777" w:rsidR="0036727A" w:rsidRPr="00286216" w:rsidRDefault="0036727A" w:rsidP="0036727A">
            <w:pPr>
              <w:pStyle w:val="StyleWisnow"/>
              <w:rPr>
                <w:color w:val="000000" w:themeColor="text1"/>
              </w:rPr>
            </w:pPr>
            <w:bookmarkStart w:id="2111" w:name="n2338" w:colFirst="0" w:colLast="0"/>
            <w:bookmarkEnd w:id="2110"/>
            <w:r w:rsidRPr="00286216">
              <w:rPr>
                <w:color w:val="000000" w:themeColor="text1"/>
              </w:rPr>
              <w:t>2338.</w:t>
            </w:r>
          </w:p>
        </w:tc>
        <w:tc>
          <w:tcPr>
            <w:tcW w:w="4818" w:type="dxa"/>
          </w:tcPr>
          <w:p w14:paraId="7B58DCC1" w14:textId="77777777" w:rsidR="0036727A" w:rsidRPr="00286216" w:rsidRDefault="0036727A" w:rsidP="0036727A">
            <w:pPr>
              <w:pStyle w:val="StyleZakonu"/>
              <w:rPr>
                <w:color w:val="000000" w:themeColor="text1"/>
              </w:rPr>
            </w:pPr>
            <w:r w:rsidRPr="00286216">
              <w:rPr>
                <w:color w:val="000000" w:themeColor="text1"/>
              </w:rPr>
              <w:t>3) впровадження ефективних механізмів розв'язання спорів, пов'язаних з професійною діяльністю учасників об'єднання;</w:t>
            </w:r>
          </w:p>
        </w:tc>
        <w:tc>
          <w:tcPr>
            <w:tcW w:w="3686" w:type="dxa"/>
          </w:tcPr>
          <w:p w14:paraId="1B19D52C" w14:textId="77777777" w:rsidR="0036727A" w:rsidRPr="00286216" w:rsidRDefault="0036727A" w:rsidP="0036727A">
            <w:pPr>
              <w:pStyle w:val="StyleProp"/>
              <w:rPr>
                <w:color w:val="000000" w:themeColor="text1"/>
                <w:szCs w:val="18"/>
              </w:rPr>
            </w:pPr>
          </w:p>
        </w:tc>
        <w:tc>
          <w:tcPr>
            <w:tcW w:w="1987" w:type="dxa"/>
          </w:tcPr>
          <w:p w14:paraId="4913B29B" w14:textId="77777777" w:rsidR="0036727A" w:rsidRPr="00286216" w:rsidRDefault="0036727A" w:rsidP="0036727A">
            <w:pPr>
              <w:pStyle w:val="StyleWisnow"/>
              <w:rPr>
                <w:color w:val="000000" w:themeColor="text1"/>
              </w:rPr>
            </w:pPr>
          </w:p>
        </w:tc>
        <w:tc>
          <w:tcPr>
            <w:tcW w:w="4818" w:type="dxa"/>
          </w:tcPr>
          <w:p w14:paraId="13B7B1F0" w14:textId="2E96A449" w:rsidR="0036727A" w:rsidRPr="00286216" w:rsidRDefault="0036727A" w:rsidP="0036727A">
            <w:pPr>
              <w:pStyle w:val="StyleZakonu"/>
              <w:rPr>
                <w:color w:val="000000" w:themeColor="text1"/>
              </w:rPr>
            </w:pPr>
            <w:r w:rsidRPr="00286216">
              <w:rPr>
                <w:color w:val="000000" w:themeColor="text1"/>
              </w:rPr>
              <w:t>3) впровадження ефективних механізмів розв'язання спорів, пов'язаних з професійною діяльністю учасників об'єднання;</w:t>
            </w:r>
          </w:p>
        </w:tc>
      </w:tr>
      <w:tr w:rsidR="0036727A" w:rsidRPr="00286216" w14:paraId="09B56610" w14:textId="77777777" w:rsidTr="00091AA5">
        <w:tc>
          <w:tcPr>
            <w:tcW w:w="576" w:type="dxa"/>
          </w:tcPr>
          <w:p w14:paraId="5DFF7A88" w14:textId="77777777" w:rsidR="0036727A" w:rsidRPr="00286216" w:rsidRDefault="0036727A" w:rsidP="0036727A">
            <w:pPr>
              <w:pStyle w:val="StyleWisnow"/>
              <w:rPr>
                <w:color w:val="000000" w:themeColor="text1"/>
              </w:rPr>
            </w:pPr>
            <w:bookmarkStart w:id="2112" w:name="n2339" w:colFirst="0" w:colLast="0"/>
            <w:bookmarkEnd w:id="2111"/>
            <w:r w:rsidRPr="00286216">
              <w:rPr>
                <w:color w:val="000000" w:themeColor="text1"/>
              </w:rPr>
              <w:t>2339.</w:t>
            </w:r>
          </w:p>
        </w:tc>
        <w:tc>
          <w:tcPr>
            <w:tcW w:w="4818" w:type="dxa"/>
          </w:tcPr>
          <w:p w14:paraId="2D0C914B" w14:textId="77777777" w:rsidR="0036727A" w:rsidRPr="00286216" w:rsidRDefault="0036727A" w:rsidP="0036727A">
            <w:pPr>
              <w:pStyle w:val="StyleZakonu"/>
              <w:rPr>
                <w:color w:val="000000" w:themeColor="text1"/>
              </w:rPr>
            </w:pPr>
            <w:r w:rsidRPr="00286216">
              <w:rPr>
                <w:color w:val="000000" w:themeColor="text1"/>
              </w:rPr>
              <w:t>4) моніторинг дотримання Статуту та внутрішніх документів об'єднання його учасниками.</w:t>
            </w:r>
          </w:p>
        </w:tc>
        <w:tc>
          <w:tcPr>
            <w:tcW w:w="3686" w:type="dxa"/>
          </w:tcPr>
          <w:p w14:paraId="562EB493" w14:textId="77777777" w:rsidR="0036727A" w:rsidRPr="00286216" w:rsidRDefault="0036727A" w:rsidP="0036727A">
            <w:pPr>
              <w:pStyle w:val="StyleProp"/>
              <w:rPr>
                <w:color w:val="000000" w:themeColor="text1"/>
                <w:szCs w:val="18"/>
              </w:rPr>
            </w:pPr>
          </w:p>
        </w:tc>
        <w:tc>
          <w:tcPr>
            <w:tcW w:w="1987" w:type="dxa"/>
          </w:tcPr>
          <w:p w14:paraId="58D24C6F" w14:textId="77777777" w:rsidR="0036727A" w:rsidRPr="00286216" w:rsidRDefault="0036727A" w:rsidP="0036727A">
            <w:pPr>
              <w:pStyle w:val="StyleWisnow"/>
              <w:rPr>
                <w:color w:val="000000" w:themeColor="text1"/>
              </w:rPr>
            </w:pPr>
          </w:p>
        </w:tc>
        <w:tc>
          <w:tcPr>
            <w:tcW w:w="4818" w:type="dxa"/>
          </w:tcPr>
          <w:p w14:paraId="16CB20C8" w14:textId="21B4057E" w:rsidR="0036727A" w:rsidRPr="00286216" w:rsidRDefault="0036727A" w:rsidP="0036727A">
            <w:pPr>
              <w:pStyle w:val="StyleZakonu"/>
              <w:rPr>
                <w:color w:val="000000" w:themeColor="text1"/>
              </w:rPr>
            </w:pPr>
            <w:r w:rsidRPr="00286216">
              <w:rPr>
                <w:color w:val="000000" w:themeColor="text1"/>
              </w:rPr>
              <w:t>4) здійснення моніторингу дотримання статуту та внутрішніх документів об'єднання його учасниками.</w:t>
            </w:r>
          </w:p>
        </w:tc>
      </w:tr>
      <w:tr w:rsidR="0036727A" w:rsidRPr="00286216" w14:paraId="6C1BACE0" w14:textId="77777777" w:rsidTr="00091AA5">
        <w:tc>
          <w:tcPr>
            <w:tcW w:w="576" w:type="dxa"/>
          </w:tcPr>
          <w:p w14:paraId="0F191948" w14:textId="77777777" w:rsidR="0036727A" w:rsidRPr="00286216" w:rsidRDefault="0036727A" w:rsidP="0036727A">
            <w:pPr>
              <w:pStyle w:val="StyleWisnow"/>
              <w:rPr>
                <w:color w:val="000000" w:themeColor="text1"/>
              </w:rPr>
            </w:pPr>
            <w:bookmarkStart w:id="2113" w:name="n2340" w:colFirst="0" w:colLast="0"/>
            <w:bookmarkEnd w:id="2112"/>
            <w:r w:rsidRPr="00286216">
              <w:rPr>
                <w:color w:val="000000" w:themeColor="text1"/>
              </w:rPr>
              <w:t>2340.</w:t>
            </w:r>
          </w:p>
        </w:tc>
        <w:tc>
          <w:tcPr>
            <w:tcW w:w="4818" w:type="dxa"/>
          </w:tcPr>
          <w:p w14:paraId="50EB8BBD" w14:textId="77777777" w:rsidR="0036727A" w:rsidRPr="00286216" w:rsidRDefault="0036727A" w:rsidP="0036727A">
            <w:pPr>
              <w:pStyle w:val="StyleZakonu"/>
              <w:rPr>
                <w:color w:val="000000" w:themeColor="text1"/>
              </w:rPr>
            </w:pPr>
            <w:r w:rsidRPr="00286216">
              <w:rPr>
                <w:color w:val="000000" w:themeColor="text1"/>
              </w:rPr>
              <w:t>2. СРО, крім повноважень, зазначених у частині першій цієї статті, додатково має такі повноваження:</w:t>
            </w:r>
          </w:p>
        </w:tc>
        <w:tc>
          <w:tcPr>
            <w:tcW w:w="3686" w:type="dxa"/>
          </w:tcPr>
          <w:p w14:paraId="775CAE6B" w14:textId="77777777" w:rsidR="0036727A" w:rsidRPr="00286216" w:rsidRDefault="0036727A" w:rsidP="0036727A">
            <w:pPr>
              <w:pStyle w:val="StyleProp"/>
              <w:rPr>
                <w:color w:val="000000" w:themeColor="text1"/>
                <w:szCs w:val="18"/>
              </w:rPr>
            </w:pPr>
          </w:p>
        </w:tc>
        <w:tc>
          <w:tcPr>
            <w:tcW w:w="1987" w:type="dxa"/>
          </w:tcPr>
          <w:p w14:paraId="399C3A21" w14:textId="77777777" w:rsidR="0036727A" w:rsidRPr="00286216" w:rsidRDefault="0036727A" w:rsidP="0036727A">
            <w:pPr>
              <w:pStyle w:val="StyleWisnow"/>
              <w:rPr>
                <w:color w:val="000000" w:themeColor="text1"/>
              </w:rPr>
            </w:pPr>
          </w:p>
        </w:tc>
        <w:tc>
          <w:tcPr>
            <w:tcW w:w="4818" w:type="dxa"/>
          </w:tcPr>
          <w:p w14:paraId="396ED62F" w14:textId="42654C81" w:rsidR="0036727A" w:rsidRPr="00286216" w:rsidRDefault="0036727A" w:rsidP="0036727A">
            <w:pPr>
              <w:pStyle w:val="StyleZakonu"/>
              <w:rPr>
                <w:color w:val="000000" w:themeColor="text1"/>
              </w:rPr>
            </w:pPr>
            <w:r w:rsidRPr="00286216">
              <w:rPr>
                <w:color w:val="000000" w:themeColor="text1"/>
              </w:rPr>
              <w:t>2. СРО, крім повноважень, зазначених у частині першій цієї статті, додатково має повноваження щодо:</w:t>
            </w:r>
          </w:p>
        </w:tc>
      </w:tr>
      <w:tr w:rsidR="0036727A" w:rsidRPr="00286216" w14:paraId="4630CCF4" w14:textId="77777777" w:rsidTr="00091AA5">
        <w:tc>
          <w:tcPr>
            <w:tcW w:w="576" w:type="dxa"/>
          </w:tcPr>
          <w:p w14:paraId="7CC40B7A" w14:textId="77777777" w:rsidR="0036727A" w:rsidRPr="00286216" w:rsidRDefault="0036727A" w:rsidP="0036727A">
            <w:pPr>
              <w:pStyle w:val="StyleWisnow"/>
              <w:rPr>
                <w:color w:val="000000" w:themeColor="text1"/>
              </w:rPr>
            </w:pPr>
            <w:bookmarkStart w:id="2114" w:name="n2341" w:colFirst="0" w:colLast="0"/>
            <w:bookmarkEnd w:id="2113"/>
            <w:r w:rsidRPr="00286216">
              <w:rPr>
                <w:color w:val="000000" w:themeColor="text1"/>
              </w:rPr>
              <w:t>2341.</w:t>
            </w:r>
          </w:p>
        </w:tc>
        <w:tc>
          <w:tcPr>
            <w:tcW w:w="4818" w:type="dxa"/>
          </w:tcPr>
          <w:p w14:paraId="07F93C23" w14:textId="77777777" w:rsidR="0036727A" w:rsidRPr="00286216" w:rsidRDefault="0036727A" w:rsidP="0036727A">
            <w:pPr>
              <w:pStyle w:val="StyleZakonu"/>
              <w:rPr>
                <w:color w:val="000000" w:themeColor="text1"/>
              </w:rPr>
            </w:pPr>
            <w:r w:rsidRPr="00286216">
              <w:rPr>
                <w:color w:val="000000" w:themeColor="text1"/>
              </w:rPr>
              <w:t>1) розроблення і затвердження обов'язкових для виконання членами СРО Правил (стандартів) провадження відповідного виду професійної діяльності на ринках капіталу, за винятком тих Правил (стандартів), які прямо встановлені законом;</w:t>
            </w:r>
          </w:p>
        </w:tc>
        <w:tc>
          <w:tcPr>
            <w:tcW w:w="3686" w:type="dxa"/>
          </w:tcPr>
          <w:p w14:paraId="7F84C515" w14:textId="77777777" w:rsidR="0036727A" w:rsidRPr="00286216" w:rsidRDefault="0036727A" w:rsidP="0036727A">
            <w:pPr>
              <w:pStyle w:val="StyleProp"/>
              <w:rPr>
                <w:color w:val="000000" w:themeColor="text1"/>
                <w:szCs w:val="18"/>
              </w:rPr>
            </w:pPr>
          </w:p>
        </w:tc>
        <w:tc>
          <w:tcPr>
            <w:tcW w:w="1987" w:type="dxa"/>
          </w:tcPr>
          <w:p w14:paraId="2389A394" w14:textId="77777777" w:rsidR="0036727A" w:rsidRPr="00286216" w:rsidRDefault="0036727A" w:rsidP="0036727A">
            <w:pPr>
              <w:pStyle w:val="StyleWisnow"/>
              <w:rPr>
                <w:color w:val="000000" w:themeColor="text1"/>
              </w:rPr>
            </w:pPr>
          </w:p>
        </w:tc>
        <w:tc>
          <w:tcPr>
            <w:tcW w:w="4818" w:type="dxa"/>
          </w:tcPr>
          <w:p w14:paraId="72551C6F" w14:textId="59E6FD5B" w:rsidR="0036727A" w:rsidRPr="00286216" w:rsidRDefault="0036727A" w:rsidP="0036727A">
            <w:pPr>
              <w:pStyle w:val="StyleZakonu"/>
              <w:rPr>
                <w:color w:val="000000" w:themeColor="text1"/>
              </w:rPr>
            </w:pPr>
            <w:r w:rsidRPr="00286216">
              <w:rPr>
                <w:color w:val="000000" w:themeColor="text1"/>
              </w:rPr>
              <w:t>1) розроблення  та затвердження обов'язкових для виконання членами СРО правил (стандартів) провадження відповідного виду професійної діяльності на ринках капіталу,  крім  правил (стандартів), що прямо встановлені законом;</w:t>
            </w:r>
          </w:p>
        </w:tc>
      </w:tr>
      <w:tr w:rsidR="0036727A" w:rsidRPr="00286216" w14:paraId="06A0A601" w14:textId="77777777" w:rsidTr="00091AA5">
        <w:tc>
          <w:tcPr>
            <w:tcW w:w="576" w:type="dxa"/>
          </w:tcPr>
          <w:p w14:paraId="59338594" w14:textId="77777777" w:rsidR="0036727A" w:rsidRPr="00286216" w:rsidRDefault="0036727A" w:rsidP="0036727A">
            <w:pPr>
              <w:pStyle w:val="StyleWisnow"/>
              <w:rPr>
                <w:color w:val="000000" w:themeColor="text1"/>
              </w:rPr>
            </w:pPr>
            <w:bookmarkStart w:id="2115" w:name="n2342" w:colFirst="0" w:colLast="0"/>
            <w:bookmarkEnd w:id="2114"/>
            <w:r w:rsidRPr="00286216">
              <w:rPr>
                <w:color w:val="000000" w:themeColor="text1"/>
              </w:rPr>
              <w:t>2342.</w:t>
            </w:r>
          </w:p>
        </w:tc>
        <w:tc>
          <w:tcPr>
            <w:tcW w:w="4818" w:type="dxa"/>
          </w:tcPr>
          <w:p w14:paraId="28986FE9" w14:textId="77777777" w:rsidR="0036727A" w:rsidRPr="00286216" w:rsidRDefault="0036727A" w:rsidP="0036727A">
            <w:pPr>
              <w:pStyle w:val="StyleZakonu"/>
              <w:rPr>
                <w:color w:val="000000" w:themeColor="text1"/>
              </w:rPr>
            </w:pPr>
            <w:r w:rsidRPr="00286216">
              <w:rPr>
                <w:color w:val="000000" w:themeColor="text1"/>
              </w:rPr>
              <w:t xml:space="preserve">2) розроблення заходів, спрямованих на запобігання порушенням членами СРО норм </w:t>
            </w:r>
            <w:r w:rsidRPr="00286216">
              <w:rPr>
                <w:color w:val="000000" w:themeColor="text1"/>
              </w:rPr>
              <w:lastRenderedPageBreak/>
              <w:t>законодавства та внутрішніх документів СРО, у тому числі при припиненні ними своєї професійної діяльності;</w:t>
            </w:r>
          </w:p>
        </w:tc>
        <w:tc>
          <w:tcPr>
            <w:tcW w:w="3686" w:type="dxa"/>
          </w:tcPr>
          <w:p w14:paraId="7B09FBC2" w14:textId="77777777" w:rsidR="0036727A" w:rsidRPr="00286216" w:rsidRDefault="0036727A" w:rsidP="0036727A">
            <w:pPr>
              <w:pStyle w:val="StyleProp"/>
              <w:rPr>
                <w:color w:val="000000" w:themeColor="text1"/>
                <w:szCs w:val="18"/>
              </w:rPr>
            </w:pPr>
          </w:p>
        </w:tc>
        <w:tc>
          <w:tcPr>
            <w:tcW w:w="1987" w:type="dxa"/>
          </w:tcPr>
          <w:p w14:paraId="490C3192" w14:textId="77777777" w:rsidR="0036727A" w:rsidRPr="00286216" w:rsidRDefault="0036727A" w:rsidP="0036727A">
            <w:pPr>
              <w:pStyle w:val="StyleWisnow"/>
              <w:rPr>
                <w:color w:val="000000" w:themeColor="text1"/>
              </w:rPr>
            </w:pPr>
          </w:p>
        </w:tc>
        <w:tc>
          <w:tcPr>
            <w:tcW w:w="4818" w:type="dxa"/>
          </w:tcPr>
          <w:p w14:paraId="73D67DAF" w14:textId="475E5791" w:rsidR="0036727A" w:rsidRPr="00286216" w:rsidRDefault="0036727A" w:rsidP="0036727A">
            <w:pPr>
              <w:pStyle w:val="StyleZakonu"/>
              <w:rPr>
                <w:color w:val="000000" w:themeColor="text1"/>
              </w:rPr>
            </w:pPr>
            <w:r w:rsidRPr="00286216">
              <w:rPr>
                <w:color w:val="000000" w:themeColor="text1"/>
              </w:rPr>
              <w:t xml:space="preserve">2) розроблення заходів, спрямованих на запобігання порушенню членами СРО норм </w:t>
            </w:r>
            <w:r w:rsidRPr="00286216">
              <w:rPr>
                <w:color w:val="000000" w:themeColor="text1"/>
              </w:rPr>
              <w:lastRenderedPageBreak/>
              <w:t>законодавства та внутрішніх документів СРО, у тому числі  у разі припинення ними  професійної діяльності;</w:t>
            </w:r>
          </w:p>
        </w:tc>
      </w:tr>
      <w:tr w:rsidR="0036727A" w:rsidRPr="00286216" w14:paraId="26B6D407" w14:textId="77777777" w:rsidTr="00091AA5">
        <w:tc>
          <w:tcPr>
            <w:tcW w:w="576" w:type="dxa"/>
          </w:tcPr>
          <w:p w14:paraId="5C0D188D" w14:textId="77777777" w:rsidR="0036727A" w:rsidRPr="00286216" w:rsidRDefault="0036727A" w:rsidP="0036727A">
            <w:pPr>
              <w:pStyle w:val="StyleWisnow"/>
              <w:rPr>
                <w:color w:val="000000" w:themeColor="text1"/>
              </w:rPr>
            </w:pPr>
            <w:bookmarkStart w:id="2116" w:name="n2343" w:colFirst="0" w:colLast="0"/>
            <w:bookmarkEnd w:id="2115"/>
            <w:r w:rsidRPr="00286216">
              <w:rPr>
                <w:color w:val="000000" w:themeColor="text1"/>
              </w:rPr>
              <w:lastRenderedPageBreak/>
              <w:t>2343.</w:t>
            </w:r>
          </w:p>
        </w:tc>
        <w:tc>
          <w:tcPr>
            <w:tcW w:w="4818" w:type="dxa"/>
          </w:tcPr>
          <w:p w14:paraId="7D73CF28" w14:textId="77777777" w:rsidR="0036727A" w:rsidRPr="00286216" w:rsidRDefault="0036727A" w:rsidP="0036727A">
            <w:pPr>
              <w:pStyle w:val="StyleZakonu"/>
              <w:rPr>
                <w:color w:val="000000" w:themeColor="text1"/>
              </w:rPr>
            </w:pPr>
            <w:r w:rsidRPr="00286216">
              <w:rPr>
                <w:color w:val="000000" w:themeColor="text1"/>
              </w:rPr>
              <w:t>3) застосування заходів дисциплінарного впливу до членів СРО у разі виявлення порушень Статуту СРО, внутрішніх документів СРО.</w:t>
            </w:r>
          </w:p>
        </w:tc>
        <w:tc>
          <w:tcPr>
            <w:tcW w:w="3686" w:type="dxa"/>
          </w:tcPr>
          <w:p w14:paraId="5EDF2DFC" w14:textId="77777777" w:rsidR="0036727A" w:rsidRPr="00286216" w:rsidRDefault="0036727A" w:rsidP="0036727A">
            <w:pPr>
              <w:pStyle w:val="StyleProp"/>
              <w:rPr>
                <w:color w:val="000000" w:themeColor="text1"/>
                <w:szCs w:val="18"/>
              </w:rPr>
            </w:pPr>
          </w:p>
        </w:tc>
        <w:tc>
          <w:tcPr>
            <w:tcW w:w="1987" w:type="dxa"/>
          </w:tcPr>
          <w:p w14:paraId="32F41183" w14:textId="77777777" w:rsidR="0036727A" w:rsidRPr="00286216" w:rsidRDefault="0036727A" w:rsidP="0036727A">
            <w:pPr>
              <w:pStyle w:val="StyleWisnow"/>
              <w:rPr>
                <w:color w:val="000000" w:themeColor="text1"/>
              </w:rPr>
            </w:pPr>
          </w:p>
        </w:tc>
        <w:tc>
          <w:tcPr>
            <w:tcW w:w="4818" w:type="dxa"/>
          </w:tcPr>
          <w:p w14:paraId="585096D2" w14:textId="321ADF6F" w:rsidR="0036727A" w:rsidRPr="00286216" w:rsidRDefault="0036727A" w:rsidP="0036727A">
            <w:pPr>
              <w:pStyle w:val="StyleZakonu"/>
              <w:rPr>
                <w:color w:val="000000" w:themeColor="text1"/>
              </w:rPr>
            </w:pPr>
            <w:r w:rsidRPr="00286216">
              <w:rPr>
                <w:color w:val="000000" w:themeColor="text1"/>
              </w:rPr>
              <w:t>3) застосування заходів дисциплінарного впливу до членів СРО у разі виявлення порушень статуту  чи внутрішніх документів СРО.</w:t>
            </w:r>
          </w:p>
        </w:tc>
      </w:tr>
      <w:tr w:rsidR="0036727A" w:rsidRPr="00286216" w14:paraId="6A24337F" w14:textId="77777777" w:rsidTr="00091AA5">
        <w:tc>
          <w:tcPr>
            <w:tcW w:w="576" w:type="dxa"/>
          </w:tcPr>
          <w:p w14:paraId="4EF0CCEF" w14:textId="77777777" w:rsidR="0036727A" w:rsidRPr="00286216" w:rsidRDefault="0036727A" w:rsidP="0036727A">
            <w:pPr>
              <w:pStyle w:val="StyleWisnow"/>
              <w:rPr>
                <w:color w:val="000000" w:themeColor="text1"/>
              </w:rPr>
            </w:pPr>
            <w:bookmarkStart w:id="2117" w:name="n2344" w:colFirst="0" w:colLast="0"/>
            <w:bookmarkEnd w:id="2116"/>
            <w:r w:rsidRPr="00286216">
              <w:rPr>
                <w:color w:val="000000" w:themeColor="text1"/>
              </w:rPr>
              <w:t>2344.</w:t>
            </w:r>
          </w:p>
        </w:tc>
        <w:tc>
          <w:tcPr>
            <w:tcW w:w="4818" w:type="dxa"/>
          </w:tcPr>
          <w:p w14:paraId="06F2D61A" w14:textId="77777777" w:rsidR="0036727A" w:rsidRPr="00286216" w:rsidRDefault="0036727A" w:rsidP="0036727A">
            <w:pPr>
              <w:pStyle w:val="StyleZakonu"/>
              <w:rPr>
                <w:color w:val="000000" w:themeColor="text1"/>
              </w:rPr>
            </w:pPr>
            <w:r w:rsidRPr="00286216">
              <w:rPr>
                <w:color w:val="000000" w:themeColor="text1"/>
              </w:rPr>
              <w:t>3. Об'єднання професійних учасників ринків капіталу (включаючи СРО) можуть виконувати інші повноваження, передбачені законом та статутом такого об'єднання, якщо передбачені в ньому повноваження не суперечать вимогам законодавства, а СРО може додатково виконувати також і повноваження, передбачені у відповідному рішенні Національної комісії з цінних паперів та фондового ринку про делегування повноважень з регулювання ринків капіталу, прийнятому відповідно до частини п'ятої цієї статті.</w:t>
            </w:r>
          </w:p>
        </w:tc>
        <w:tc>
          <w:tcPr>
            <w:tcW w:w="3686" w:type="dxa"/>
          </w:tcPr>
          <w:p w14:paraId="2D0C5ECA" w14:textId="77777777" w:rsidR="0036727A" w:rsidRPr="00286216" w:rsidRDefault="0036727A" w:rsidP="0036727A">
            <w:pPr>
              <w:pStyle w:val="StyleProp"/>
              <w:rPr>
                <w:color w:val="000000" w:themeColor="text1"/>
                <w:szCs w:val="18"/>
              </w:rPr>
            </w:pPr>
          </w:p>
        </w:tc>
        <w:tc>
          <w:tcPr>
            <w:tcW w:w="1987" w:type="dxa"/>
          </w:tcPr>
          <w:p w14:paraId="4E9D3FD4" w14:textId="77777777" w:rsidR="0036727A" w:rsidRPr="00286216" w:rsidRDefault="0036727A" w:rsidP="0036727A">
            <w:pPr>
              <w:pStyle w:val="StyleWisnow"/>
              <w:rPr>
                <w:color w:val="000000" w:themeColor="text1"/>
              </w:rPr>
            </w:pPr>
          </w:p>
        </w:tc>
        <w:tc>
          <w:tcPr>
            <w:tcW w:w="4818" w:type="dxa"/>
          </w:tcPr>
          <w:p w14:paraId="01A676B2" w14:textId="641B3DDC" w:rsidR="0036727A" w:rsidRPr="00286216" w:rsidRDefault="0036727A" w:rsidP="0036727A">
            <w:pPr>
              <w:pStyle w:val="StyleZakonu"/>
              <w:rPr>
                <w:color w:val="000000" w:themeColor="text1"/>
              </w:rPr>
            </w:pPr>
            <w:r w:rsidRPr="00286216">
              <w:rPr>
                <w:color w:val="000000" w:themeColor="text1"/>
              </w:rPr>
              <w:t>3. Об'єднання професійних учасників ринків капіталу, у тому числі СРО, можуть виконувати інші повноваження, передбачені законом та статутом такого об'єднання, якщо передбачені в ньому повноваження не суперечать вимогам законодавства. СРО може додатково виконувати також і повноваження, передбачені у відповідному рішенні Національної комісії з цінних паперів та фондового ринку про делегування повноважень з регулювання ринків капіталу, прийнятому відповідно до частини п'ятої цієї статті.</w:t>
            </w:r>
          </w:p>
        </w:tc>
      </w:tr>
      <w:tr w:rsidR="0036727A" w:rsidRPr="00286216" w14:paraId="252C7B49" w14:textId="77777777" w:rsidTr="00091AA5">
        <w:tc>
          <w:tcPr>
            <w:tcW w:w="576" w:type="dxa"/>
          </w:tcPr>
          <w:p w14:paraId="09D88F1E" w14:textId="77777777" w:rsidR="0036727A" w:rsidRPr="00286216" w:rsidRDefault="0036727A" w:rsidP="0036727A">
            <w:pPr>
              <w:pStyle w:val="StyleWisnow"/>
              <w:rPr>
                <w:color w:val="000000" w:themeColor="text1"/>
              </w:rPr>
            </w:pPr>
            <w:bookmarkStart w:id="2118" w:name="n2345" w:colFirst="0" w:colLast="0"/>
            <w:bookmarkEnd w:id="2117"/>
            <w:r w:rsidRPr="00286216">
              <w:rPr>
                <w:color w:val="000000" w:themeColor="text1"/>
              </w:rPr>
              <w:t>2345.</w:t>
            </w:r>
          </w:p>
        </w:tc>
        <w:tc>
          <w:tcPr>
            <w:tcW w:w="4818" w:type="dxa"/>
          </w:tcPr>
          <w:p w14:paraId="53F73A21" w14:textId="77777777" w:rsidR="0036727A" w:rsidRPr="00286216" w:rsidRDefault="0036727A" w:rsidP="0036727A">
            <w:pPr>
              <w:pStyle w:val="StyleZakonu"/>
              <w:rPr>
                <w:color w:val="000000" w:themeColor="text1"/>
              </w:rPr>
            </w:pPr>
            <w:r w:rsidRPr="00286216">
              <w:rPr>
                <w:color w:val="000000" w:themeColor="text1"/>
              </w:rPr>
              <w:t>4. СРО несе відповідальність за невиконання чи неналежне виконання покладених на неї повноважень у встановленому законодавством порядку.</w:t>
            </w:r>
          </w:p>
        </w:tc>
        <w:tc>
          <w:tcPr>
            <w:tcW w:w="3686" w:type="dxa"/>
          </w:tcPr>
          <w:p w14:paraId="4E7DE1B9" w14:textId="77777777" w:rsidR="0036727A" w:rsidRPr="00286216" w:rsidRDefault="0036727A" w:rsidP="0036727A">
            <w:pPr>
              <w:pStyle w:val="StyleProp"/>
              <w:rPr>
                <w:color w:val="000000" w:themeColor="text1"/>
                <w:szCs w:val="18"/>
              </w:rPr>
            </w:pPr>
          </w:p>
        </w:tc>
        <w:tc>
          <w:tcPr>
            <w:tcW w:w="1987" w:type="dxa"/>
          </w:tcPr>
          <w:p w14:paraId="4E4958F6" w14:textId="77777777" w:rsidR="0036727A" w:rsidRPr="00286216" w:rsidRDefault="0036727A" w:rsidP="0036727A">
            <w:pPr>
              <w:pStyle w:val="StyleWisnow"/>
              <w:rPr>
                <w:color w:val="000000" w:themeColor="text1"/>
              </w:rPr>
            </w:pPr>
          </w:p>
        </w:tc>
        <w:tc>
          <w:tcPr>
            <w:tcW w:w="4818" w:type="dxa"/>
          </w:tcPr>
          <w:p w14:paraId="6EE6BEA4" w14:textId="58B9ACD2" w:rsidR="0036727A" w:rsidRPr="00286216" w:rsidRDefault="0036727A" w:rsidP="0036727A">
            <w:pPr>
              <w:pStyle w:val="StyleZakonu"/>
              <w:rPr>
                <w:color w:val="000000" w:themeColor="text1"/>
              </w:rPr>
            </w:pPr>
            <w:r w:rsidRPr="00286216">
              <w:rPr>
                <w:color w:val="000000" w:themeColor="text1"/>
              </w:rPr>
              <w:t>4. СРО несе відповідальність за невиконання чи неналежне виконання покладених на неї повноважень у встановленому законодавством порядку.</w:t>
            </w:r>
          </w:p>
        </w:tc>
      </w:tr>
      <w:tr w:rsidR="0036727A" w:rsidRPr="00286216" w14:paraId="210B0DEA" w14:textId="77777777" w:rsidTr="00091AA5">
        <w:tc>
          <w:tcPr>
            <w:tcW w:w="576" w:type="dxa"/>
          </w:tcPr>
          <w:p w14:paraId="368273F7" w14:textId="77777777" w:rsidR="0036727A" w:rsidRPr="00286216" w:rsidRDefault="0036727A" w:rsidP="0036727A">
            <w:pPr>
              <w:pStyle w:val="StyleWisnow"/>
              <w:rPr>
                <w:color w:val="000000" w:themeColor="text1"/>
              </w:rPr>
            </w:pPr>
            <w:bookmarkStart w:id="2119" w:name="n2346" w:colFirst="0" w:colLast="0"/>
            <w:bookmarkEnd w:id="2118"/>
            <w:r w:rsidRPr="00286216">
              <w:rPr>
                <w:color w:val="000000" w:themeColor="text1"/>
              </w:rPr>
              <w:t>2346.</w:t>
            </w:r>
          </w:p>
        </w:tc>
        <w:tc>
          <w:tcPr>
            <w:tcW w:w="4818" w:type="dxa"/>
          </w:tcPr>
          <w:p w14:paraId="45A79968" w14:textId="77777777" w:rsidR="0036727A" w:rsidRPr="00286216" w:rsidRDefault="0036727A" w:rsidP="0036727A">
            <w:pPr>
              <w:pStyle w:val="StyleZakonu"/>
              <w:rPr>
                <w:color w:val="000000" w:themeColor="text1"/>
              </w:rPr>
            </w:pPr>
            <w:r w:rsidRPr="00286216">
              <w:rPr>
                <w:color w:val="000000" w:themeColor="text1"/>
              </w:rPr>
              <w:t>5. Національна комісія з цінних паперів та фондового ринку може делегувати СРО повноваження з регулювання ринків капіталу, визначені законами України, в установленому нею порядку за заявою цієї СРО.</w:t>
            </w:r>
          </w:p>
        </w:tc>
        <w:tc>
          <w:tcPr>
            <w:tcW w:w="3686" w:type="dxa"/>
          </w:tcPr>
          <w:p w14:paraId="49B4F9FB" w14:textId="77777777" w:rsidR="0036727A" w:rsidRPr="00286216" w:rsidRDefault="0036727A" w:rsidP="0036727A">
            <w:pPr>
              <w:pStyle w:val="StyleProp"/>
              <w:rPr>
                <w:color w:val="000000" w:themeColor="text1"/>
                <w:szCs w:val="18"/>
              </w:rPr>
            </w:pPr>
          </w:p>
        </w:tc>
        <w:tc>
          <w:tcPr>
            <w:tcW w:w="1987" w:type="dxa"/>
          </w:tcPr>
          <w:p w14:paraId="3EE6EBCC" w14:textId="77777777" w:rsidR="0036727A" w:rsidRPr="00286216" w:rsidRDefault="0036727A" w:rsidP="0036727A">
            <w:pPr>
              <w:pStyle w:val="StyleWisnow"/>
              <w:rPr>
                <w:color w:val="000000" w:themeColor="text1"/>
              </w:rPr>
            </w:pPr>
          </w:p>
        </w:tc>
        <w:tc>
          <w:tcPr>
            <w:tcW w:w="4818" w:type="dxa"/>
          </w:tcPr>
          <w:p w14:paraId="3BF0D43D" w14:textId="21B9870A" w:rsidR="0036727A" w:rsidRPr="00286216" w:rsidRDefault="0036727A" w:rsidP="0036727A">
            <w:pPr>
              <w:pStyle w:val="StyleZakonu"/>
              <w:rPr>
                <w:color w:val="000000" w:themeColor="text1"/>
              </w:rPr>
            </w:pPr>
            <w:r w:rsidRPr="00286216">
              <w:rPr>
                <w:color w:val="000000" w:themeColor="text1"/>
              </w:rPr>
              <w:t>5. Національна комісія з цінних паперів та фондового ринку може делегувати СРО визначені законом повноваження з регулювання ринків капіталу ,  у встановленому нею порядку за заявою  відповідної СРО.</w:t>
            </w:r>
          </w:p>
        </w:tc>
      </w:tr>
      <w:tr w:rsidR="0036727A" w:rsidRPr="00286216" w14:paraId="536992CE" w14:textId="77777777" w:rsidTr="00091AA5">
        <w:tc>
          <w:tcPr>
            <w:tcW w:w="576" w:type="dxa"/>
          </w:tcPr>
          <w:p w14:paraId="4021971C" w14:textId="77777777" w:rsidR="0036727A" w:rsidRPr="00286216" w:rsidRDefault="0036727A" w:rsidP="0036727A">
            <w:pPr>
              <w:pStyle w:val="StyleWisnow"/>
              <w:rPr>
                <w:color w:val="000000" w:themeColor="text1"/>
              </w:rPr>
            </w:pPr>
            <w:bookmarkStart w:id="2120" w:name="n2347" w:colFirst="0" w:colLast="0"/>
            <w:bookmarkEnd w:id="2119"/>
            <w:r w:rsidRPr="00286216">
              <w:rPr>
                <w:color w:val="000000" w:themeColor="text1"/>
              </w:rPr>
              <w:t>2347.</w:t>
            </w:r>
          </w:p>
        </w:tc>
        <w:tc>
          <w:tcPr>
            <w:tcW w:w="4818" w:type="dxa"/>
          </w:tcPr>
          <w:p w14:paraId="63AEE37D" w14:textId="77777777" w:rsidR="0036727A" w:rsidRPr="00286216" w:rsidRDefault="0036727A" w:rsidP="0036727A">
            <w:pPr>
              <w:pStyle w:val="StyleZakonu"/>
              <w:rPr>
                <w:color w:val="000000" w:themeColor="text1"/>
              </w:rPr>
            </w:pPr>
            <w:r w:rsidRPr="00286216">
              <w:rPr>
                <w:color w:val="000000" w:themeColor="text1"/>
              </w:rPr>
              <w:t>У місячний строк після отримання заяви від СРО Національна комісія з цінних паперів та фондового ринку приймає рішення про делегування або відмову в делегуванні СРО повноважень.</w:t>
            </w:r>
          </w:p>
        </w:tc>
        <w:tc>
          <w:tcPr>
            <w:tcW w:w="3686" w:type="dxa"/>
          </w:tcPr>
          <w:p w14:paraId="475A15D7" w14:textId="77777777" w:rsidR="0036727A" w:rsidRPr="00286216" w:rsidRDefault="0036727A" w:rsidP="0036727A">
            <w:pPr>
              <w:pStyle w:val="StyleProp"/>
              <w:rPr>
                <w:color w:val="000000" w:themeColor="text1"/>
                <w:szCs w:val="18"/>
              </w:rPr>
            </w:pPr>
          </w:p>
        </w:tc>
        <w:tc>
          <w:tcPr>
            <w:tcW w:w="1987" w:type="dxa"/>
          </w:tcPr>
          <w:p w14:paraId="6604B45E" w14:textId="77777777" w:rsidR="0036727A" w:rsidRPr="00286216" w:rsidRDefault="0036727A" w:rsidP="0036727A">
            <w:pPr>
              <w:pStyle w:val="StyleWisnow"/>
              <w:rPr>
                <w:color w:val="000000" w:themeColor="text1"/>
              </w:rPr>
            </w:pPr>
          </w:p>
        </w:tc>
        <w:tc>
          <w:tcPr>
            <w:tcW w:w="4818" w:type="dxa"/>
          </w:tcPr>
          <w:p w14:paraId="5D885D21" w14:textId="3A1E2772" w:rsidR="0036727A" w:rsidRPr="00286216" w:rsidRDefault="0036727A" w:rsidP="0036727A">
            <w:pPr>
              <w:pStyle w:val="StyleZakonu"/>
              <w:rPr>
                <w:color w:val="000000" w:themeColor="text1"/>
              </w:rPr>
            </w:pPr>
            <w:r w:rsidRPr="00286216">
              <w:rPr>
                <w:color w:val="000000" w:themeColor="text1"/>
              </w:rPr>
              <w:t>У місячний строк після отримання відповідної заяви від СРО Національна комісія з цінних паперів та фондового ринку приймає рішення про делегування або відмову в делегуванні СРО повноважень.</w:t>
            </w:r>
          </w:p>
        </w:tc>
      </w:tr>
      <w:tr w:rsidR="0036727A" w:rsidRPr="00286216" w14:paraId="61028CC7" w14:textId="77777777" w:rsidTr="00091AA5">
        <w:tc>
          <w:tcPr>
            <w:tcW w:w="576" w:type="dxa"/>
          </w:tcPr>
          <w:p w14:paraId="1431BE2F" w14:textId="77777777" w:rsidR="0036727A" w:rsidRPr="00286216" w:rsidRDefault="0036727A" w:rsidP="0036727A">
            <w:pPr>
              <w:pStyle w:val="StyleWisnow"/>
              <w:rPr>
                <w:color w:val="000000" w:themeColor="text1"/>
              </w:rPr>
            </w:pPr>
            <w:bookmarkStart w:id="2121" w:name="n2348" w:colFirst="0" w:colLast="0"/>
            <w:bookmarkEnd w:id="2120"/>
            <w:r w:rsidRPr="00286216">
              <w:rPr>
                <w:color w:val="000000" w:themeColor="text1"/>
              </w:rPr>
              <w:t>2348.</w:t>
            </w:r>
          </w:p>
        </w:tc>
        <w:tc>
          <w:tcPr>
            <w:tcW w:w="4818" w:type="dxa"/>
          </w:tcPr>
          <w:p w14:paraId="5359C047" w14:textId="77777777" w:rsidR="0036727A" w:rsidRPr="00286216" w:rsidRDefault="0036727A" w:rsidP="0036727A">
            <w:pPr>
              <w:pStyle w:val="StyleZakonu"/>
              <w:rPr>
                <w:color w:val="000000" w:themeColor="text1"/>
              </w:rPr>
            </w:pPr>
            <w:r w:rsidRPr="00286216">
              <w:rPr>
                <w:color w:val="000000" w:themeColor="text1"/>
              </w:rPr>
              <w:t>У рішенні про делегування СРО повноважень зазначаються:</w:t>
            </w:r>
          </w:p>
        </w:tc>
        <w:tc>
          <w:tcPr>
            <w:tcW w:w="3686" w:type="dxa"/>
          </w:tcPr>
          <w:p w14:paraId="35324E44" w14:textId="77777777" w:rsidR="0036727A" w:rsidRPr="00286216" w:rsidRDefault="0036727A" w:rsidP="0036727A">
            <w:pPr>
              <w:pStyle w:val="StyleProp"/>
              <w:rPr>
                <w:color w:val="000000" w:themeColor="text1"/>
                <w:szCs w:val="18"/>
              </w:rPr>
            </w:pPr>
          </w:p>
        </w:tc>
        <w:tc>
          <w:tcPr>
            <w:tcW w:w="1987" w:type="dxa"/>
          </w:tcPr>
          <w:p w14:paraId="65F164D0" w14:textId="77777777" w:rsidR="0036727A" w:rsidRPr="00286216" w:rsidRDefault="0036727A" w:rsidP="0036727A">
            <w:pPr>
              <w:pStyle w:val="StyleWisnow"/>
              <w:rPr>
                <w:color w:val="000000" w:themeColor="text1"/>
              </w:rPr>
            </w:pPr>
          </w:p>
        </w:tc>
        <w:tc>
          <w:tcPr>
            <w:tcW w:w="4818" w:type="dxa"/>
          </w:tcPr>
          <w:p w14:paraId="78B55ECB" w14:textId="1C020FB6" w:rsidR="0036727A" w:rsidRPr="00286216" w:rsidRDefault="0036727A" w:rsidP="0036727A">
            <w:pPr>
              <w:pStyle w:val="StyleZakonu"/>
              <w:rPr>
                <w:color w:val="000000" w:themeColor="text1"/>
              </w:rPr>
            </w:pPr>
            <w:r w:rsidRPr="00286216">
              <w:rPr>
                <w:color w:val="000000" w:themeColor="text1"/>
              </w:rPr>
              <w:t>У рішенні про делегування СРО повноважень зазначаються:</w:t>
            </w:r>
          </w:p>
        </w:tc>
      </w:tr>
      <w:tr w:rsidR="0036727A" w:rsidRPr="00286216" w14:paraId="171C7422" w14:textId="77777777" w:rsidTr="00091AA5">
        <w:tc>
          <w:tcPr>
            <w:tcW w:w="576" w:type="dxa"/>
          </w:tcPr>
          <w:p w14:paraId="39DF9206" w14:textId="77777777" w:rsidR="0036727A" w:rsidRPr="00286216" w:rsidRDefault="0036727A" w:rsidP="0036727A">
            <w:pPr>
              <w:pStyle w:val="StyleWisnow"/>
              <w:rPr>
                <w:color w:val="000000" w:themeColor="text1"/>
              </w:rPr>
            </w:pPr>
            <w:bookmarkStart w:id="2122" w:name="n2349" w:colFirst="0" w:colLast="0"/>
            <w:bookmarkEnd w:id="2121"/>
            <w:r w:rsidRPr="00286216">
              <w:rPr>
                <w:color w:val="000000" w:themeColor="text1"/>
              </w:rPr>
              <w:t>2349.</w:t>
            </w:r>
          </w:p>
        </w:tc>
        <w:tc>
          <w:tcPr>
            <w:tcW w:w="4818" w:type="dxa"/>
          </w:tcPr>
          <w:p w14:paraId="50F1C0F4" w14:textId="77777777" w:rsidR="0036727A" w:rsidRPr="00286216" w:rsidRDefault="0036727A" w:rsidP="0036727A">
            <w:pPr>
              <w:pStyle w:val="StyleZakonu"/>
              <w:rPr>
                <w:color w:val="000000" w:themeColor="text1"/>
              </w:rPr>
            </w:pPr>
            <w:r w:rsidRPr="00286216">
              <w:rPr>
                <w:color w:val="000000" w:themeColor="text1"/>
              </w:rPr>
              <w:t>найменування СРО, якій делегуються повноваження;</w:t>
            </w:r>
          </w:p>
        </w:tc>
        <w:tc>
          <w:tcPr>
            <w:tcW w:w="3686" w:type="dxa"/>
          </w:tcPr>
          <w:p w14:paraId="65842322" w14:textId="77777777" w:rsidR="0036727A" w:rsidRPr="00286216" w:rsidRDefault="0036727A" w:rsidP="0036727A">
            <w:pPr>
              <w:pStyle w:val="StyleProp"/>
              <w:rPr>
                <w:color w:val="000000" w:themeColor="text1"/>
                <w:szCs w:val="18"/>
              </w:rPr>
            </w:pPr>
          </w:p>
        </w:tc>
        <w:tc>
          <w:tcPr>
            <w:tcW w:w="1987" w:type="dxa"/>
          </w:tcPr>
          <w:p w14:paraId="1944CF08" w14:textId="77777777" w:rsidR="0036727A" w:rsidRPr="00286216" w:rsidRDefault="0036727A" w:rsidP="0036727A">
            <w:pPr>
              <w:pStyle w:val="StyleWisnow"/>
              <w:rPr>
                <w:color w:val="000000" w:themeColor="text1"/>
              </w:rPr>
            </w:pPr>
          </w:p>
        </w:tc>
        <w:tc>
          <w:tcPr>
            <w:tcW w:w="4818" w:type="dxa"/>
          </w:tcPr>
          <w:p w14:paraId="7FC72D29" w14:textId="1FB98211" w:rsidR="0036727A" w:rsidRPr="00286216" w:rsidRDefault="0036727A" w:rsidP="0036727A">
            <w:pPr>
              <w:pStyle w:val="StyleZakonu"/>
              <w:rPr>
                <w:color w:val="000000" w:themeColor="text1"/>
              </w:rPr>
            </w:pPr>
            <w:r w:rsidRPr="00286216">
              <w:rPr>
                <w:color w:val="000000" w:themeColor="text1"/>
              </w:rPr>
              <w:t>1) найменування СРО, якій делегуються повноваження;</w:t>
            </w:r>
          </w:p>
        </w:tc>
      </w:tr>
      <w:tr w:rsidR="0036727A" w:rsidRPr="00286216" w14:paraId="221159F6" w14:textId="77777777" w:rsidTr="00091AA5">
        <w:tc>
          <w:tcPr>
            <w:tcW w:w="576" w:type="dxa"/>
          </w:tcPr>
          <w:p w14:paraId="39A0081B" w14:textId="77777777" w:rsidR="0036727A" w:rsidRPr="00286216" w:rsidRDefault="0036727A" w:rsidP="0036727A">
            <w:pPr>
              <w:pStyle w:val="StyleWisnow"/>
              <w:rPr>
                <w:color w:val="000000" w:themeColor="text1"/>
              </w:rPr>
            </w:pPr>
            <w:bookmarkStart w:id="2123" w:name="n2350" w:colFirst="0" w:colLast="0"/>
            <w:bookmarkEnd w:id="2122"/>
            <w:r w:rsidRPr="00286216">
              <w:rPr>
                <w:color w:val="000000" w:themeColor="text1"/>
              </w:rPr>
              <w:t>2350.</w:t>
            </w:r>
          </w:p>
        </w:tc>
        <w:tc>
          <w:tcPr>
            <w:tcW w:w="4818" w:type="dxa"/>
          </w:tcPr>
          <w:p w14:paraId="4B63BFC9" w14:textId="77777777" w:rsidR="0036727A" w:rsidRPr="00286216" w:rsidRDefault="0036727A" w:rsidP="0036727A">
            <w:pPr>
              <w:pStyle w:val="StyleZakonu"/>
              <w:rPr>
                <w:color w:val="000000" w:themeColor="text1"/>
              </w:rPr>
            </w:pPr>
            <w:r w:rsidRPr="00286216">
              <w:rPr>
                <w:color w:val="000000" w:themeColor="text1"/>
              </w:rPr>
              <w:t>повноваження, які делегуються;</w:t>
            </w:r>
          </w:p>
        </w:tc>
        <w:tc>
          <w:tcPr>
            <w:tcW w:w="3686" w:type="dxa"/>
          </w:tcPr>
          <w:p w14:paraId="4CC162E7" w14:textId="77777777" w:rsidR="0036727A" w:rsidRPr="00286216" w:rsidRDefault="0036727A" w:rsidP="0036727A">
            <w:pPr>
              <w:pStyle w:val="StyleProp"/>
              <w:rPr>
                <w:color w:val="000000" w:themeColor="text1"/>
                <w:szCs w:val="18"/>
              </w:rPr>
            </w:pPr>
          </w:p>
        </w:tc>
        <w:tc>
          <w:tcPr>
            <w:tcW w:w="1987" w:type="dxa"/>
          </w:tcPr>
          <w:p w14:paraId="31FC0C70" w14:textId="77777777" w:rsidR="0036727A" w:rsidRPr="00286216" w:rsidRDefault="0036727A" w:rsidP="0036727A">
            <w:pPr>
              <w:pStyle w:val="StyleWisnow"/>
              <w:rPr>
                <w:color w:val="000000" w:themeColor="text1"/>
              </w:rPr>
            </w:pPr>
          </w:p>
        </w:tc>
        <w:tc>
          <w:tcPr>
            <w:tcW w:w="4818" w:type="dxa"/>
          </w:tcPr>
          <w:p w14:paraId="2D75FA55" w14:textId="131A3A42" w:rsidR="0036727A" w:rsidRPr="00286216" w:rsidRDefault="0036727A" w:rsidP="0036727A">
            <w:pPr>
              <w:pStyle w:val="StyleZakonu"/>
              <w:rPr>
                <w:color w:val="000000" w:themeColor="text1"/>
              </w:rPr>
            </w:pPr>
            <w:r w:rsidRPr="00286216">
              <w:rPr>
                <w:color w:val="000000" w:themeColor="text1"/>
              </w:rPr>
              <w:t>2) повноваження,  що делегуються;</w:t>
            </w:r>
          </w:p>
        </w:tc>
      </w:tr>
      <w:tr w:rsidR="0036727A" w:rsidRPr="00286216" w14:paraId="753BF229" w14:textId="77777777" w:rsidTr="00091AA5">
        <w:tc>
          <w:tcPr>
            <w:tcW w:w="576" w:type="dxa"/>
          </w:tcPr>
          <w:p w14:paraId="0EB4E5FF" w14:textId="77777777" w:rsidR="0036727A" w:rsidRPr="00286216" w:rsidRDefault="0036727A" w:rsidP="0036727A">
            <w:pPr>
              <w:pStyle w:val="StyleWisnow"/>
              <w:rPr>
                <w:color w:val="000000" w:themeColor="text1"/>
              </w:rPr>
            </w:pPr>
            <w:bookmarkStart w:id="2124" w:name="n2351" w:colFirst="0" w:colLast="0"/>
            <w:bookmarkEnd w:id="2123"/>
            <w:r w:rsidRPr="00286216">
              <w:rPr>
                <w:color w:val="000000" w:themeColor="text1"/>
              </w:rPr>
              <w:t>2351.</w:t>
            </w:r>
          </w:p>
        </w:tc>
        <w:tc>
          <w:tcPr>
            <w:tcW w:w="4818" w:type="dxa"/>
          </w:tcPr>
          <w:p w14:paraId="4CE820E2" w14:textId="77777777" w:rsidR="0036727A" w:rsidRPr="00286216" w:rsidRDefault="0036727A" w:rsidP="0036727A">
            <w:pPr>
              <w:pStyle w:val="StyleZakonu"/>
              <w:rPr>
                <w:color w:val="000000" w:themeColor="text1"/>
              </w:rPr>
            </w:pPr>
            <w:r w:rsidRPr="00286216">
              <w:rPr>
                <w:color w:val="000000" w:themeColor="text1"/>
              </w:rPr>
              <w:t>строк, на який делегуються повноваження, який не може бути більшим, ніж строк чинності свідоцтва СРО;</w:t>
            </w:r>
          </w:p>
        </w:tc>
        <w:tc>
          <w:tcPr>
            <w:tcW w:w="3686" w:type="dxa"/>
          </w:tcPr>
          <w:p w14:paraId="00424F41" w14:textId="77777777" w:rsidR="0036727A" w:rsidRPr="00286216" w:rsidRDefault="0036727A" w:rsidP="0036727A">
            <w:pPr>
              <w:pStyle w:val="StyleProp"/>
              <w:rPr>
                <w:color w:val="000000" w:themeColor="text1"/>
                <w:szCs w:val="18"/>
              </w:rPr>
            </w:pPr>
          </w:p>
        </w:tc>
        <w:tc>
          <w:tcPr>
            <w:tcW w:w="1987" w:type="dxa"/>
          </w:tcPr>
          <w:p w14:paraId="0AE7193A" w14:textId="77777777" w:rsidR="0036727A" w:rsidRPr="00286216" w:rsidRDefault="0036727A" w:rsidP="0036727A">
            <w:pPr>
              <w:pStyle w:val="StyleWisnow"/>
              <w:rPr>
                <w:color w:val="000000" w:themeColor="text1"/>
              </w:rPr>
            </w:pPr>
          </w:p>
        </w:tc>
        <w:tc>
          <w:tcPr>
            <w:tcW w:w="4818" w:type="dxa"/>
          </w:tcPr>
          <w:p w14:paraId="5EBF8AC8" w14:textId="7259D3F4" w:rsidR="0036727A" w:rsidRPr="00286216" w:rsidRDefault="0036727A" w:rsidP="0036727A">
            <w:pPr>
              <w:pStyle w:val="StyleZakonu"/>
              <w:rPr>
                <w:color w:val="000000" w:themeColor="text1"/>
              </w:rPr>
            </w:pPr>
            <w:r w:rsidRPr="00286216">
              <w:rPr>
                <w:color w:val="000000" w:themeColor="text1"/>
              </w:rPr>
              <w:t>3) строк, на який делегуються повноваження,  що не може бути більшим, ніж строк дії свідоцтва СРО;</w:t>
            </w:r>
          </w:p>
        </w:tc>
      </w:tr>
      <w:tr w:rsidR="0036727A" w:rsidRPr="00286216" w14:paraId="63E4BA1E" w14:textId="77777777" w:rsidTr="00091AA5">
        <w:tc>
          <w:tcPr>
            <w:tcW w:w="576" w:type="dxa"/>
          </w:tcPr>
          <w:p w14:paraId="17C605CF" w14:textId="77777777" w:rsidR="0036727A" w:rsidRPr="00286216" w:rsidRDefault="0036727A" w:rsidP="0036727A">
            <w:pPr>
              <w:pStyle w:val="StyleWisnow"/>
              <w:rPr>
                <w:color w:val="000000" w:themeColor="text1"/>
              </w:rPr>
            </w:pPr>
            <w:bookmarkStart w:id="2125" w:name="n2352" w:colFirst="0" w:colLast="0"/>
            <w:bookmarkEnd w:id="2124"/>
            <w:r w:rsidRPr="00286216">
              <w:rPr>
                <w:color w:val="000000" w:themeColor="text1"/>
              </w:rPr>
              <w:t>2352.</w:t>
            </w:r>
          </w:p>
        </w:tc>
        <w:tc>
          <w:tcPr>
            <w:tcW w:w="4818" w:type="dxa"/>
          </w:tcPr>
          <w:p w14:paraId="22D993DE" w14:textId="77777777" w:rsidR="0036727A" w:rsidRPr="00286216" w:rsidRDefault="0036727A" w:rsidP="0036727A">
            <w:pPr>
              <w:pStyle w:val="StyleZakonu"/>
              <w:rPr>
                <w:color w:val="000000" w:themeColor="text1"/>
              </w:rPr>
            </w:pPr>
            <w:r w:rsidRPr="00286216">
              <w:rPr>
                <w:color w:val="000000" w:themeColor="text1"/>
              </w:rPr>
              <w:t>порядок державного контролю за здійсненням делегованих повноважень.</w:t>
            </w:r>
          </w:p>
        </w:tc>
        <w:tc>
          <w:tcPr>
            <w:tcW w:w="3686" w:type="dxa"/>
          </w:tcPr>
          <w:p w14:paraId="100A71EF" w14:textId="77777777" w:rsidR="0036727A" w:rsidRPr="00286216" w:rsidRDefault="0036727A" w:rsidP="0036727A">
            <w:pPr>
              <w:pStyle w:val="StyleProp"/>
              <w:rPr>
                <w:color w:val="000000" w:themeColor="text1"/>
                <w:szCs w:val="18"/>
              </w:rPr>
            </w:pPr>
          </w:p>
        </w:tc>
        <w:tc>
          <w:tcPr>
            <w:tcW w:w="1987" w:type="dxa"/>
          </w:tcPr>
          <w:p w14:paraId="7BC19FD5" w14:textId="77777777" w:rsidR="0036727A" w:rsidRPr="00286216" w:rsidRDefault="0036727A" w:rsidP="0036727A">
            <w:pPr>
              <w:pStyle w:val="StyleWisnow"/>
              <w:rPr>
                <w:color w:val="000000" w:themeColor="text1"/>
              </w:rPr>
            </w:pPr>
          </w:p>
        </w:tc>
        <w:tc>
          <w:tcPr>
            <w:tcW w:w="4818" w:type="dxa"/>
          </w:tcPr>
          <w:p w14:paraId="4E1DAF8E" w14:textId="5A445499" w:rsidR="0036727A" w:rsidRPr="00286216" w:rsidRDefault="0036727A" w:rsidP="0036727A">
            <w:pPr>
              <w:pStyle w:val="StyleZakonu"/>
              <w:rPr>
                <w:color w:val="000000" w:themeColor="text1"/>
              </w:rPr>
            </w:pPr>
            <w:r w:rsidRPr="00286216">
              <w:rPr>
                <w:color w:val="000000" w:themeColor="text1"/>
              </w:rPr>
              <w:t>4) порядок державного контролю за здійсненням делегованих повноважень.</w:t>
            </w:r>
          </w:p>
        </w:tc>
      </w:tr>
      <w:bookmarkEnd w:id="2125"/>
      <w:tr w:rsidR="0036727A" w:rsidRPr="00286216" w14:paraId="628B42A1" w14:textId="77777777" w:rsidTr="00091AA5">
        <w:tc>
          <w:tcPr>
            <w:tcW w:w="576" w:type="dxa"/>
          </w:tcPr>
          <w:p w14:paraId="58C50171" w14:textId="77777777" w:rsidR="0036727A" w:rsidRPr="00286216" w:rsidRDefault="0036727A" w:rsidP="0036727A">
            <w:pPr>
              <w:pStyle w:val="StyleWisnow"/>
              <w:rPr>
                <w:color w:val="000000" w:themeColor="text1"/>
              </w:rPr>
            </w:pPr>
            <w:r w:rsidRPr="00286216">
              <w:rPr>
                <w:color w:val="000000" w:themeColor="text1"/>
              </w:rPr>
              <w:t>2353.</w:t>
            </w:r>
          </w:p>
        </w:tc>
        <w:tc>
          <w:tcPr>
            <w:tcW w:w="4818" w:type="dxa"/>
          </w:tcPr>
          <w:p w14:paraId="18D51F26" w14:textId="77777777" w:rsidR="0036727A" w:rsidRPr="00286216" w:rsidRDefault="0036727A" w:rsidP="0036727A">
            <w:pPr>
              <w:pStyle w:val="StyleZakonu"/>
              <w:rPr>
                <w:color w:val="000000" w:themeColor="text1"/>
              </w:rPr>
            </w:pPr>
            <w:r w:rsidRPr="00286216">
              <w:rPr>
                <w:color w:val="000000" w:themeColor="text1"/>
              </w:rPr>
              <w:t xml:space="preserve">Рішення про делегування СРО повноважень підлягає державній реєстрації в Міністерстві юстиції </w:t>
            </w:r>
            <w:r w:rsidRPr="00286216">
              <w:rPr>
                <w:color w:val="000000" w:themeColor="text1"/>
              </w:rPr>
              <w:lastRenderedPageBreak/>
              <w:t>України як нормативно-правовий акт та оприлюдненню відповідно до законодавства.</w:t>
            </w:r>
          </w:p>
        </w:tc>
        <w:tc>
          <w:tcPr>
            <w:tcW w:w="3686" w:type="dxa"/>
          </w:tcPr>
          <w:p w14:paraId="4318B924" w14:textId="77777777" w:rsidR="0036727A" w:rsidRPr="00286216" w:rsidRDefault="0036727A" w:rsidP="0036727A">
            <w:pPr>
              <w:pStyle w:val="StyleProp"/>
              <w:rPr>
                <w:color w:val="000000" w:themeColor="text1"/>
                <w:szCs w:val="18"/>
              </w:rPr>
            </w:pPr>
          </w:p>
        </w:tc>
        <w:tc>
          <w:tcPr>
            <w:tcW w:w="1987" w:type="dxa"/>
          </w:tcPr>
          <w:p w14:paraId="268366BB" w14:textId="77777777" w:rsidR="0036727A" w:rsidRPr="00286216" w:rsidRDefault="0036727A" w:rsidP="0036727A">
            <w:pPr>
              <w:pStyle w:val="StyleWisnow"/>
              <w:rPr>
                <w:color w:val="000000" w:themeColor="text1"/>
              </w:rPr>
            </w:pPr>
          </w:p>
        </w:tc>
        <w:tc>
          <w:tcPr>
            <w:tcW w:w="4818" w:type="dxa"/>
          </w:tcPr>
          <w:p w14:paraId="1A08E6CF" w14:textId="47751BB2" w:rsidR="0036727A" w:rsidRPr="00286216" w:rsidRDefault="0036727A" w:rsidP="0036727A">
            <w:pPr>
              <w:pStyle w:val="StyleZakonu"/>
              <w:rPr>
                <w:color w:val="000000" w:themeColor="text1"/>
              </w:rPr>
            </w:pPr>
            <w:r w:rsidRPr="00286216">
              <w:rPr>
                <w:color w:val="000000" w:themeColor="text1"/>
              </w:rPr>
              <w:t xml:space="preserve">Рішення про делегування СРО повноважень підлягає державній реєстрації в Міністерстві юстиції </w:t>
            </w:r>
            <w:r w:rsidRPr="00286216">
              <w:rPr>
                <w:color w:val="000000" w:themeColor="text1"/>
              </w:rPr>
              <w:lastRenderedPageBreak/>
              <w:t>України як нормативно-правовий акт та оприлюднюється відповідно до законодавства.</w:t>
            </w:r>
          </w:p>
        </w:tc>
      </w:tr>
      <w:tr w:rsidR="0036727A" w:rsidRPr="00286216" w14:paraId="084DE4B7" w14:textId="77777777" w:rsidTr="00091AA5">
        <w:tc>
          <w:tcPr>
            <w:tcW w:w="576" w:type="dxa"/>
          </w:tcPr>
          <w:p w14:paraId="1387F382" w14:textId="77777777" w:rsidR="0036727A" w:rsidRPr="00286216" w:rsidRDefault="0036727A" w:rsidP="0036727A">
            <w:pPr>
              <w:pStyle w:val="StyleWisnow"/>
              <w:rPr>
                <w:color w:val="000000" w:themeColor="text1"/>
              </w:rPr>
            </w:pPr>
          </w:p>
        </w:tc>
        <w:tc>
          <w:tcPr>
            <w:tcW w:w="4818" w:type="dxa"/>
          </w:tcPr>
          <w:p w14:paraId="61956D9C" w14:textId="77777777" w:rsidR="0036727A" w:rsidRPr="00286216" w:rsidRDefault="0036727A" w:rsidP="0036727A">
            <w:pPr>
              <w:pStyle w:val="StyleZakonu"/>
              <w:rPr>
                <w:color w:val="000000" w:themeColor="text1"/>
              </w:rPr>
            </w:pPr>
          </w:p>
        </w:tc>
        <w:tc>
          <w:tcPr>
            <w:tcW w:w="3686" w:type="dxa"/>
          </w:tcPr>
          <w:p w14:paraId="1BD1E92F" w14:textId="04A33C88" w:rsidR="0036727A" w:rsidRPr="00286216" w:rsidRDefault="0036727A" w:rsidP="0036727A">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1106</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1BAB2F03" w14:textId="2083144F" w:rsidR="0036727A" w:rsidRPr="00286216" w:rsidRDefault="0036727A" w:rsidP="0036727A">
            <w:pPr>
              <w:pStyle w:val="StyleProp"/>
              <w:rPr>
                <w:color w:val="000000" w:themeColor="text1"/>
                <w:spacing w:val="-4"/>
              </w:rPr>
            </w:pPr>
            <w:r w:rsidRPr="00286216">
              <w:rPr>
                <w:color w:val="000000" w:themeColor="text1"/>
                <w:spacing w:val="-4"/>
              </w:rPr>
              <w:t>У звʼязку із пропозицією щодо викладення тексту законопроекту в редакції проектів трьох законів доповнити розділ І законопроекту абзацами такого змісту:</w:t>
            </w:r>
          </w:p>
          <w:p w14:paraId="11375238" w14:textId="77777777" w:rsidR="0036727A" w:rsidRPr="00286216" w:rsidRDefault="0036727A" w:rsidP="0036727A">
            <w:pPr>
              <w:pStyle w:val="StyleProp"/>
              <w:rPr>
                <w:color w:val="000000" w:themeColor="text1"/>
              </w:rPr>
            </w:pPr>
            <w:r w:rsidRPr="00286216">
              <w:rPr>
                <w:color w:val="000000" w:themeColor="text1"/>
              </w:rPr>
              <w:t xml:space="preserve">«Розділ ХІІ </w:t>
            </w:r>
          </w:p>
          <w:p w14:paraId="77F2E932" w14:textId="77777777" w:rsidR="0036727A" w:rsidRPr="00286216" w:rsidRDefault="0036727A" w:rsidP="0036727A">
            <w:pPr>
              <w:pStyle w:val="StyleProp"/>
              <w:spacing w:line="190" w:lineRule="exact"/>
              <w:rPr>
                <w:color w:val="000000" w:themeColor="text1"/>
              </w:rPr>
            </w:pPr>
            <w:r w:rsidRPr="00286216">
              <w:rPr>
                <w:color w:val="000000" w:themeColor="text1"/>
              </w:rPr>
              <w:t>ПРИКІНЦЕВІ ТА ПЕРЕХІДНІ ПОЛОЖЕННЯ</w:t>
            </w:r>
          </w:p>
          <w:p w14:paraId="29C63719" w14:textId="77777777" w:rsidR="0036727A" w:rsidRPr="00286216" w:rsidRDefault="0036727A" w:rsidP="0036727A">
            <w:pPr>
              <w:pStyle w:val="StyleProp"/>
              <w:spacing w:line="190" w:lineRule="exact"/>
              <w:rPr>
                <w:color w:val="000000" w:themeColor="text1"/>
              </w:rPr>
            </w:pPr>
            <w:r w:rsidRPr="00286216">
              <w:rPr>
                <w:color w:val="000000" w:themeColor="text1"/>
              </w:rPr>
              <w:t>1. Цей Закон набирає чинності з 1 липня 2021 року, крім:</w:t>
            </w:r>
          </w:p>
          <w:p w14:paraId="343C798C" w14:textId="42C4D7C9" w:rsidR="0036727A" w:rsidRPr="00286216" w:rsidRDefault="0036727A" w:rsidP="0036727A">
            <w:pPr>
              <w:pStyle w:val="StyleProp"/>
              <w:spacing w:line="190" w:lineRule="exact"/>
              <w:rPr>
                <w:color w:val="000000" w:themeColor="text1"/>
              </w:rPr>
            </w:pPr>
            <w:r w:rsidRPr="00286216">
              <w:rPr>
                <w:color w:val="000000" w:themeColor="text1"/>
              </w:rPr>
              <w:t xml:space="preserve">1) пунктів </w:t>
            </w:r>
            <w:r w:rsidRPr="00286216">
              <w:rPr>
                <w:color w:val="000000" w:themeColor="text1"/>
                <w:lang w:val="ru-RU"/>
              </w:rPr>
              <w:t xml:space="preserve">7, 14 – </w:t>
            </w:r>
            <w:r w:rsidRPr="00286216">
              <w:rPr>
                <w:color w:val="000000" w:themeColor="text1"/>
              </w:rPr>
              <w:t>19 цього Розділу, які набирають чинності з дня, наступного за днем опублікування цього Закону;</w:t>
            </w:r>
          </w:p>
          <w:p w14:paraId="0F0FC3EF" w14:textId="77777777" w:rsidR="0036727A" w:rsidRPr="00286216" w:rsidRDefault="0036727A" w:rsidP="0036727A">
            <w:pPr>
              <w:pStyle w:val="StyleProp"/>
              <w:spacing w:line="190" w:lineRule="exact"/>
              <w:rPr>
                <w:color w:val="000000" w:themeColor="text1"/>
              </w:rPr>
            </w:pPr>
            <w:r w:rsidRPr="00286216">
              <w:rPr>
                <w:color w:val="000000" w:themeColor="text1"/>
              </w:rPr>
              <w:t>2) абзацу четвертого та сьомого частини другої статті 51 та частини другої статті 69 цього Закону, які набирають чинності з 1 січня 2024 року.</w:t>
            </w:r>
          </w:p>
          <w:p w14:paraId="6ADC53A8" w14:textId="77777777" w:rsidR="0036727A" w:rsidRPr="00286216" w:rsidRDefault="0036727A" w:rsidP="0036727A">
            <w:pPr>
              <w:pStyle w:val="StyleProp"/>
              <w:spacing w:line="190" w:lineRule="exact"/>
              <w:rPr>
                <w:color w:val="000000" w:themeColor="text1"/>
              </w:rPr>
            </w:pPr>
            <w:r w:rsidRPr="00286216">
              <w:rPr>
                <w:color w:val="000000" w:themeColor="text1"/>
              </w:rPr>
              <w:t>2. З дня набрання чинності цим Законом визнаються такими, що втратили чинність:</w:t>
            </w:r>
          </w:p>
          <w:p w14:paraId="218237D7" w14:textId="77777777" w:rsidR="0036727A" w:rsidRPr="00286216" w:rsidRDefault="0036727A" w:rsidP="0036727A">
            <w:pPr>
              <w:pStyle w:val="StyleProp"/>
              <w:spacing w:line="190" w:lineRule="exact"/>
              <w:rPr>
                <w:color w:val="000000" w:themeColor="text1"/>
              </w:rPr>
            </w:pPr>
            <w:r w:rsidRPr="00286216">
              <w:rPr>
                <w:color w:val="000000" w:themeColor="text1"/>
              </w:rPr>
              <w:t>1) Закон України "Про приватизаційні папери" (Відомості Верховної Ради України , 1992 р., № 24, ст.352 з наступними змінами);</w:t>
            </w:r>
          </w:p>
          <w:p w14:paraId="1BA4E47C" w14:textId="77777777" w:rsidR="0036727A" w:rsidRPr="00286216" w:rsidRDefault="0036727A" w:rsidP="0036727A">
            <w:pPr>
              <w:pStyle w:val="StyleProp"/>
              <w:spacing w:line="190" w:lineRule="exact"/>
              <w:rPr>
                <w:color w:val="000000" w:themeColor="text1"/>
              </w:rPr>
            </w:pPr>
            <w:r w:rsidRPr="00286216">
              <w:rPr>
                <w:color w:val="000000" w:themeColor="text1"/>
              </w:rPr>
              <w:t>2) Закон України "Про цінні папери та фондовий ринок» (Відомості Верховної Ради України, 2006 р., № 31, ст. 268 з наступними змінами).</w:t>
            </w:r>
          </w:p>
          <w:p w14:paraId="1FDE376D" w14:textId="7644CF19" w:rsidR="0036727A" w:rsidRPr="00286216" w:rsidRDefault="0036727A" w:rsidP="0036727A">
            <w:pPr>
              <w:pStyle w:val="StyleProp"/>
              <w:spacing w:line="190" w:lineRule="exact"/>
              <w:rPr>
                <w:color w:val="000000" w:themeColor="text1"/>
              </w:rPr>
            </w:pPr>
            <w:r w:rsidRPr="00286216">
              <w:rPr>
                <w:color w:val="000000" w:themeColor="text1"/>
              </w:rPr>
              <w:t>3. Критерії отримання статусу кваліфікованого інвестора, передбачені пунктом 7 частини першої та пунктом 2 частини другої статті 6 цього Закону, застосовуються:</w:t>
            </w:r>
          </w:p>
          <w:p w14:paraId="2B0103ED"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липня до 31 грудня 2021 року з коефіцієнтом 3;</w:t>
            </w:r>
          </w:p>
          <w:p w14:paraId="61005ED5"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2022 року з коефіцієнтом 6;</w:t>
            </w:r>
          </w:p>
          <w:p w14:paraId="6642F302"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2023 року з коефіцієнтом 9;</w:t>
            </w:r>
          </w:p>
          <w:p w14:paraId="31718791"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2024 року з коефіцієнтом 12;</w:t>
            </w:r>
          </w:p>
          <w:p w14:paraId="6B6A9878"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2026 року з коефіцієнтом 15;</w:t>
            </w:r>
          </w:p>
          <w:p w14:paraId="736828C7"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2027 року з коефіцієнтом 18;</w:t>
            </w:r>
          </w:p>
          <w:p w14:paraId="7DF15DCA"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2028 року з коефіцієнтом 21;</w:t>
            </w:r>
          </w:p>
          <w:p w14:paraId="2FA80632"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до 31 грудня 2029 року з коефіцієнтом 24;</w:t>
            </w:r>
          </w:p>
          <w:p w14:paraId="5C0270B9" w14:textId="77777777" w:rsidR="0036727A" w:rsidRPr="00286216" w:rsidRDefault="0036727A" w:rsidP="0036727A">
            <w:pPr>
              <w:pStyle w:val="StyleProp"/>
              <w:spacing w:line="190" w:lineRule="exact"/>
              <w:rPr>
                <w:color w:val="000000" w:themeColor="text1"/>
              </w:rPr>
            </w:pPr>
            <w:r w:rsidRPr="00286216">
              <w:rPr>
                <w:color w:val="000000" w:themeColor="text1"/>
              </w:rPr>
              <w:lastRenderedPageBreak/>
              <w:t>у період з 1 січня до 31 грудня 2030 року з коефіцієнтом 27;</w:t>
            </w:r>
          </w:p>
          <w:p w14:paraId="64AB4AC3" w14:textId="77777777" w:rsidR="0036727A" w:rsidRPr="00286216" w:rsidRDefault="0036727A" w:rsidP="0036727A">
            <w:pPr>
              <w:pStyle w:val="StyleProp"/>
              <w:spacing w:line="190" w:lineRule="exact"/>
              <w:rPr>
                <w:color w:val="000000" w:themeColor="text1"/>
              </w:rPr>
            </w:pPr>
            <w:r w:rsidRPr="00286216">
              <w:rPr>
                <w:color w:val="000000" w:themeColor="text1"/>
              </w:rPr>
              <w:t>після 1 січня 2031 року з коефіцієнтом 30.</w:t>
            </w:r>
          </w:p>
          <w:p w14:paraId="1A6007B7" w14:textId="77777777" w:rsidR="0036727A" w:rsidRPr="00286216" w:rsidRDefault="0036727A" w:rsidP="0036727A">
            <w:pPr>
              <w:pStyle w:val="StyleProp"/>
              <w:spacing w:line="190" w:lineRule="exact"/>
              <w:rPr>
                <w:color w:val="000000" w:themeColor="text1"/>
              </w:rPr>
            </w:pPr>
            <w:r w:rsidRPr="00286216">
              <w:rPr>
                <w:color w:val="000000" w:themeColor="text1"/>
              </w:rPr>
              <w:t>4. Вимоги до початкового капіталу інвестиційної фірми, передбачені частиною третьою статті 44 цього Закону, застосовуються:</w:t>
            </w:r>
          </w:p>
          <w:p w14:paraId="7114A808"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липня 2021 року по 31 грудня 2022 року з коефіцієнтом 0,5;</w:t>
            </w:r>
          </w:p>
          <w:p w14:paraId="407F2FB8" w14:textId="77777777" w:rsidR="0036727A" w:rsidRPr="00286216" w:rsidRDefault="0036727A" w:rsidP="0036727A">
            <w:pPr>
              <w:pStyle w:val="StyleProp"/>
              <w:spacing w:line="190" w:lineRule="exact"/>
              <w:rPr>
                <w:color w:val="000000" w:themeColor="text1"/>
              </w:rPr>
            </w:pPr>
            <w:r w:rsidRPr="00286216">
              <w:rPr>
                <w:color w:val="000000" w:themeColor="text1"/>
              </w:rPr>
              <w:t>у період з 1 січня 2023 року по 31 грудня 2023 року з коефіцієнтом 0,75.</w:t>
            </w:r>
          </w:p>
          <w:p w14:paraId="6A568693" w14:textId="77777777" w:rsidR="0036727A" w:rsidRPr="00286216" w:rsidRDefault="0036727A" w:rsidP="0036727A">
            <w:pPr>
              <w:pStyle w:val="StyleProp"/>
              <w:spacing w:line="190" w:lineRule="exact"/>
              <w:rPr>
                <w:color w:val="000000" w:themeColor="text1"/>
              </w:rPr>
            </w:pPr>
            <w:r w:rsidRPr="00286216">
              <w:rPr>
                <w:color w:val="000000" w:themeColor="text1"/>
              </w:rPr>
              <w:t>5. На період до 1 січня 2023 року оператори регульованих ринків деривативних контрактів та оператори багатосторонніх торгівельних майданчиків деривативних контрактів можуть провадити клірингову діяльність центрального контрагента щодо деривативних контрактів, які укладаються на регульованих ринках та багатосторонніх торгівельних майданчиках, управління діяльністю яких  здійснюють такі оператори. Провадження зазначеної діяльності можливе лише у разі наявності чинної ліцензії на провадження клірингової діяльності з визначення зобов’язань та реєстрації відповідно до цього Закону правил провадження клірингової діяльності, що передбачають правила провадження клірингової діяльності щодо деривативних контрактів. Такі  оператори під час провадження зазначеної діяльності мають право виступати стороною деривативних контрактів, що укладаються на регульованому ринку або багатосторонньому торгівельному майданчику, управління діяльністю яких вони здійснюють.</w:t>
            </w:r>
          </w:p>
          <w:p w14:paraId="2BA0BAC8" w14:textId="77777777" w:rsidR="0036727A" w:rsidRPr="00286216" w:rsidRDefault="0036727A" w:rsidP="0036727A">
            <w:pPr>
              <w:pStyle w:val="StyleProp"/>
              <w:spacing w:line="190" w:lineRule="exact"/>
              <w:rPr>
                <w:color w:val="000000" w:themeColor="text1"/>
              </w:rPr>
            </w:pPr>
            <w:r w:rsidRPr="00286216">
              <w:rPr>
                <w:color w:val="000000" w:themeColor="text1"/>
              </w:rPr>
              <w:t>У разі провадження зазначеним в абзаці першому цього пункту оператором клірингової діяльності центрального контрагента вимоги частини шостої статті 51, пункту 9 частини першої статті 53 цього Закону не застосовуються.</w:t>
            </w:r>
          </w:p>
          <w:p w14:paraId="1475A25A" w14:textId="502A64F2" w:rsidR="0036727A" w:rsidRPr="00286216" w:rsidRDefault="0036727A" w:rsidP="0036727A">
            <w:pPr>
              <w:pStyle w:val="StyleProp"/>
              <w:spacing w:line="190" w:lineRule="exact"/>
              <w:rPr>
                <w:color w:val="000000" w:themeColor="text1"/>
              </w:rPr>
            </w:pPr>
            <w:r w:rsidRPr="00286216">
              <w:rPr>
                <w:color w:val="000000" w:themeColor="text1"/>
              </w:rPr>
              <w:t xml:space="preserve">Після 1 січня 2023 року зазначені в абзаці першому цього пункту оператори можуть провадити клірингову діяльність центрального контрагента щодо деривативних контрактів, у разі якщо жодна юридична особа (у тому числі іноземна) не матиме чинної ліцензії на провадження клірингової діяльності центрального контрагента та зареєстрованих відповідно до закону правил провадження клірингової діяльності, що передбачають правила </w:t>
            </w:r>
            <w:r w:rsidRPr="00286216">
              <w:rPr>
                <w:color w:val="000000" w:themeColor="text1"/>
              </w:rPr>
              <w:lastRenderedPageBreak/>
              <w:t>провадження клірингової діяльності щодо деривативних контрактів.</w:t>
            </w:r>
          </w:p>
          <w:p w14:paraId="7FE20E37" w14:textId="77777777" w:rsidR="0036727A" w:rsidRPr="00286216" w:rsidRDefault="0036727A" w:rsidP="0036727A">
            <w:pPr>
              <w:pStyle w:val="StyleProp"/>
              <w:spacing w:line="190" w:lineRule="exact"/>
              <w:rPr>
                <w:color w:val="000000" w:themeColor="text1"/>
              </w:rPr>
            </w:pPr>
            <w:r w:rsidRPr="00286216">
              <w:rPr>
                <w:color w:val="000000" w:themeColor="text1"/>
              </w:rPr>
              <w:t>Зазначені в абзаці першому цього пункту оператори припиняють здійснення клірингової діяльності центрального контрагента після 1 січня 2023 року, за умови якщо з дати реєстрації зазначених в абзаці третьому цього пункту правил минуло шість місяців.</w:t>
            </w:r>
          </w:p>
          <w:p w14:paraId="1E4844AD" w14:textId="77777777" w:rsidR="0036727A" w:rsidRPr="00286216" w:rsidRDefault="0036727A" w:rsidP="0036727A">
            <w:pPr>
              <w:pStyle w:val="StyleProp"/>
              <w:spacing w:line="190" w:lineRule="exact"/>
              <w:rPr>
                <w:color w:val="000000" w:themeColor="text1"/>
              </w:rPr>
            </w:pPr>
            <w:r w:rsidRPr="00286216">
              <w:rPr>
                <w:color w:val="000000" w:themeColor="text1"/>
              </w:rPr>
              <w:t>6. На період до 1 січня 2023 року Публічне акціонерне товариство «Розрахунковий центр з обслуговування договорів на фінансових ринках» може на підставі ліцензії на провадження клірингової діяльності з визначення зобов’язань провадити клірингову діяльність центрального контрагента за правочинами щодо цінних паперів, за умови реєстрації відповідно до цього Закону правил провадження клірингової діяльності, що передбачають правила провадження клірингової діяльності за правочинами щодо цінних паперів.</w:t>
            </w:r>
          </w:p>
          <w:p w14:paraId="557F5B84" w14:textId="77777777" w:rsidR="0036727A" w:rsidRPr="00286216" w:rsidRDefault="0036727A" w:rsidP="0036727A">
            <w:pPr>
              <w:pStyle w:val="StyleProp"/>
              <w:spacing w:line="190" w:lineRule="exact"/>
              <w:rPr>
                <w:color w:val="000000" w:themeColor="text1"/>
              </w:rPr>
            </w:pPr>
            <w:r w:rsidRPr="00286216">
              <w:rPr>
                <w:color w:val="000000" w:themeColor="text1"/>
              </w:rPr>
              <w:t>Після 1 січня 2023 року Публічне акціонерне товариство «Розрахунковий центр з обслуговування договорів на фінансових ринках» може провадити клірингову діяльність центрального контрагента за правочинами щодо цінних паперів, у разі якщо жодна інша юридична особа (у тому числі іноземна) не матиме чинної ліцензії на провадження клірингової діяльності центрального контрагента та зареєстрованих відповідно до цього Закону правил провадження клірингової діяльності центрального контрагента, що передбачатимуть провадження клірингової діяльності центрального контрагента за правочинами щодо цінних паперів або у разі якщо таку ліцензію отримає Публічне акціонерне товариство «Розрахунковий центр з обслуговування договорів на фінансових ринках».</w:t>
            </w:r>
          </w:p>
          <w:p w14:paraId="11E6B969" w14:textId="77777777" w:rsidR="0036727A" w:rsidRPr="00286216" w:rsidRDefault="0036727A" w:rsidP="0036727A">
            <w:pPr>
              <w:pStyle w:val="StyleProp"/>
              <w:spacing w:line="190" w:lineRule="exact"/>
              <w:rPr>
                <w:color w:val="000000" w:themeColor="text1"/>
              </w:rPr>
            </w:pPr>
            <w:r w:rsidRPr="00286216">
              <w:rPr>
                <w:color w:val="000000" w:themeColor="text1"/>
              </w:rPr>
              <w:t xml:space="preserve">Публічне акціонерне товариство «Розрахунковий центр з обслуговування договорів на фінансових ринках», за умови відсутності у нього чинної ліцензії на провадження клірингової діяльності центрального контрагента, припиняє провадження клірингової діяльності центрального контрагента за правочинами щодо цінних паперів після 1 січня 2023 року, за умови якщо минуло шість місяців з дати реєстрації іншою юридичною особою </w:t>
            </w:r>
            <w:r w:rsidRPr="00286216">
              <w:rPr>
                <w:color w:val="000000" w:themeColor="text1"/>
              </w:rPr>
              <w:lastRenderedPageBreak/>
              <w:t>зазначених в абзаці третьому цього пункту правил.</w:t>
            </w:r>
          </w:p>
          <w:p w14:paraId="5B63BE8B" w14:textId="77777777" w:rsidR="0036727A" w:rsidRPr="00286216" w:rsidRDefault="0036727A" w:rsidP="0036727A">
            <w:pPr>
              <w:pStyle w:val="StyleProp"/>
              <w:spacing w:line="190" w:lineRule="exact"/>
              <w:rPr>
                <w:color w:val="000000" w:themeColor="text1"/>
              </w:rPr>
            </w:pPr>
            <w:r w:rsidRPr="00286216">
              <w:rPr>
                <w:color w:val="000000" w:themeColor="text1"/>
              </w:rPr>
              <w:t>7. Національному банку України до 1 січня 2021 року відкрити рахунок Публічному акціонерному товариству «Розрахунковий центр з обслуговування договорів на фінансових ринках» для забезпечення здійснення цим товариством грошових розрахунків як кліринговою установою.</w:t>
            </w:r>
          </w:p>
          <w:p w14:paraId="1C91CCB0" w14:textId="77777777" w:rsidR="0036727A" w:rsidRPr="00286216" w:rsidRDefault="0036727A" w:rsidP="0036727A">
            <w:pPr>
              <w:pStyle w:val="StyleProp"/>
              <w:spacing w:line="190" w:lineRule="exact"/>
              <w:rPr>
                <w:color w:val="000000" w:themeColor="text1"/>
              </w:rPr>
            </w:pPr>
            <w:r w:rsidRPr="00286216">
              <w:rPr>
                <w:color w:val="000000" w:themeColor="text1"/>
              </w:rPr>
              <w:t>Національному банку України до 1 січня 2021 року відкрити рахунок Публічному акціонерному товариству «Національний депозитарій України» для забезпечення здійснення виплати доходів за цінними паперами.</w:t>
            </w:r>
          </w:p>
          <w:p w14:paraId="20664EE3" w14:textId="7DBCCC7B" w:rsidR="0036727A" w:rsidRPr="00286216" w:rsidRDefault="0036727A" w:rsidP="0036727A">
            <w:pPr>
              <w:pStyle w:val="StyleProp"/>
              <w:spacing w:line="190" w:lineRule="exact"/>
              <w:rPr>
                <w:color w:val="000000" w:themeColor="text1"/>
              </w:rPr>
            </w:pPr>
            <w:r w:rsidRPr="00286216">
              <w:rPr>
                <w:color w:val="000000" w:themeColor="text1"/>
              </w:rPr>
              <w:t>8. На період до 1 липня 2024 року Національний банк України може провадити діяльність торгового репозиторію.</w:t>
            </w:r>
          </w:p>
          <w:p w14:paraId="0FED10DE" w14:textId="4EFD9886" w:rsidR="0036727A" w:rsidRPr="00286216" w:rsidRDefault="0036727A" w:rsidP="0036727A">
            <w:pPr>
              <w:pStyle w:val="StyleProp"/>
              <w:spacing w:line="190" w:lineRule="exact"/>
              <w:rPr>
                <w:color w:val="000000" w:themeColor="text1"/>
              </w:rPr>
            </w:pPr>
            <w:r w:rsidRPr="00286216">
              <w:rPr>
                <w:color w:val="000000" w:themeColor="text1"/>
              </w:rPr>
              <w:t>Після 1 липня 2024 року Національний банк України може провадити діяльність торгового репозиторію виключно на підставі окремого рішення Національної комісії з цінних паперів та фондового ринку.</w:t>
            </w:r>
          </w:p>
          <w:p w14:paraId="14ACC32F" w14:textId="77777777" w:rsidR="0036727A" w:rsidRPr="00286216" w:rsidRDefault="0036727A" w:rsidP="0036727A">
            <w:pPr>
              <w:pStyle w:val="StyleProp"/>
              <w:spacing w:line="190" w:lineRule="exact"/>
              <w:rPr>
                <w:color w:val="000000" w:themeColor="text1"/>
              </w:rPr>
            </w:pPr>
            <w:r w:rsidRPr="00286216">
              <w:rPr>
                <w:color w:val="000000" w:themeColor="text1"/>
              </w:rPr>
              <w:t>Порядок провадження Національним банком України діяльності торгового репозиторію встановлюється Національним банком України за погодженням з Національною комісією з цінних паперів та фондового ринку відповідно до вимог цього Закону.</w:t>
            </w:r>
          </w:p>
          <w:p w14:paraId="42C88DD5" w14:textId="77777777" w:rsidR="0036727A" w:rsidRPr="00286216" w:rsidRDefault="0036727A" w:rsidP="0036727A">
            <w:pPr>
              <w:pStyle w:val="StyleProp"/>
              <w:spacing w:line="190" w:lineRule="exact"/>
              <w:rPr>
                <w:color w:val="000000" w:themeColor="text1"/>
              </w:rPr>
            </w:pPr>
            <w:r w:rsidRPr="00286216">
              <w:rPr>
                <w:color w:val="000000" w:themeColor="text1"/>
              </w:rPr>
              <w:t>Національний банк України провадить діяльність торгового репозиторію без проходження процедури авторизації, передбаченої статтею 88 цього Закону.</w:t>
            </w:r>
          </w:p>
          <w:p w14:paraId="22F60138" w14:textId="77777777" w:rsidR="0036727A" w:rsidRPr="00286216" w:rsidRDefault="0036727A" w:rsidP="0036727A">
            <w:pPr>
              <w:pStyle w:val="StyleProp"/>
              <w:spacing w:line="190" w:lineRule="exact"/>
              <w:rPr>
                <w:color w:val="000000" w:themeColor="text1"/>
              </w:rPr>
            </w:pPr>
            <w:r w:rsidRPr="00286216">
              <w:rPr>
                <w:color w:val="000000" w:themeColor="text1"/>
              </w:rPr>
              <w:t xml:space="preserve">9. З дня набрання чинності цим Законом професійні учасники ринків капіталу та організованих товарних ринків, що функціонують у формі товариства з обмеженою відповідальністю або товариства з додатковою відповідальністю, та в яких не створена наглядова рада або інший орган, відповідальний за здійснення нагляду, можуть на загальних зборах учасників прийняти рішення про тимчасове, до 1 січня 2023 року, покладення виконання функцій органу, відповідального за здійснення нагляду, на загальні збори учасників. </w:t>
            </w:r>
            <w:r w:rsidRPr="00286216">
              <w:rPr>
                <w:color w:val="000000" w:themeColor="text1"/>
                <w:spacing w:val="-3"/>
              </w:rPr>
              <w:t>П</w:t>
            </w:r>
            <w:r w:rsidRPr="00286216">
              <w:rPr>
                <w:color w:val="000000" w:themeColor="text1"/>
              </w:rPr>
              <w:t xml:space="preserve">ри цьому у разі прийняття передбаченого цим пунктом рішення до 1 січня 2023 року вимоги абзаців першого-третього частини сьомої статті 76 цього Закону не поширюються на загальні збори учасників, </w:t>
            </w:r>
            <w:r w:rsidRPr="00286216">
              <w:rPr>
                <w:color w:val="000000" w:themeColor="text1"/>
              </w:rPr>
              <w:lastRenderedPageBreak/>
              <w:t>що виконують функції органу, відповідального за здійснення нагляду.</w:t>
            </w:r>
          </w:p>
          <w:p w14:paraId="529976D7" w14:textId="77777777" w:rsidR="0036727A" w:rsidRPr="00286216" w:rsidRDefault="0036727A" w:rsidP="0036727A">
            <w:pPr>
              <w:pStyle w:val="StyleProp"/>
              <w:spacing w:line="190" w:lineRule="exact"/>
              <w:rPr>
                <w:color w:val="000000" w:themeColor="text1"/>
              </w:rPr>
            </w:pPr>
            <w:r w:rsidRPr="00286216">
              <w:rPr>
                <w:color w:val="000000" w:themeColor="text1"/>
              </w:rPr>
              <w:t>10. Ліцензії на провадження професійної діяльності на ринку цінних паперів з дня набрання чинності цим Законом вважаються переоформленими таким чином:</w:t>
            </w:r>
          </w:p>
          <w:p w14:paraId="64710A78" w14:textId="77777777" w:rsidR="0036727A" w:rsidRPr="00286216" w:rsidRDefault="0036727A" w:rsidP="0036727A">
            <w:pPr>
              <w:pStyle w:val="StyleProp"/>
              <w:spacing w:line="190" w:lineRule="exact"/>
              <w:rPr>
                <w:color w:val="000000" w:themeColor="text1"/>
              </w:rPr>
            </w:pPr>
            <w:r w:rsidRPr="00286216">
              <w:rPr>
                <w:color w:val="000000" w:themeColor="text1"/>
              </w:rPr>
              <w:t>1) професійна діяльність на ринку цінних паперів - брокерська діяльність на професійну діяльність на ринках капіталу з торгівлі фінансовими інструментами, яка передбачає:</w:t>
            </w:r>
          </w:p>
          <w:p w14:paraId="5FAB7ACE" w14:textId="77777777" w:rsidR="0036727A" w:rsidRPr="00286216" w:rsidRDefault="0036727A" w:rsidP="0036727A">
            <w:pPr>
              <w:pStyle w:val="StyleProp"/>
              <w:spacing w:line="190" w:lineRule="exact"/>
              <w:rPr>
                <w:color w:val="000000" w:themeColor="text1"/>
              </w:rPr>
            </w:pPr>
            <w:r w:rsidRPr="00286216">
              <w:rPr>
                <w:color w:val="000000" w:themeColor="text1"/>
              </w:rPr>
              <w:t>а) субброкерську діяльність;</w:t>
            </w:r>
          </w:p>
          <w:p w14:paraId="5093092D" w14:textId="77777777" w:rsidR="0036727A" w:rsidRPr="00286216" w:rsidRDefault="0036727A" w:rsidP="0036727A">
            <w:pPr>
              <w:pStyle w:val="StyleProp"/>
              <w:spacing w:line="190" w:lineRule="exact"/>
              <w:rPr>
                <w:color w:val="000000" w:themeColor="text1"/>
              </w:rPr>
            </w:pPr>
            <w:r w:rsidRPr="00286216">
              <w:rPr>
                <w:color w:val="000000" w:themeColor="text1"/>
              </w:rPr>
              <w:t>б) брокерську діяльність;</w:t>
            </w:r>
          </w:p>
          <w:p w14:paraId="33D3E31B" w14:textId="77777777" w:rsidR="0036727A" w:rsidRPr="00286216" w:rsidRDefault="0036727A" w:rsidP="0036727A">
            <w:pPr>
              <w:pStyle w:val="StyleProp"/>
              <w:spacing w:line="190" w:lineRule="exact"/>
              <w:rPr>
                <w:color w:val="000000" w:themeColor="text1"/>
              </w:rPr>
            </w:pPr>
            <w:r w:rsidRPr="00286216">
              <w:rPr>
                <w:color w:val="000000" w:themeColor="text1"/>
              </w:rPr>
              <w:t>2) професійна діяльність на ринку цінних паперів - дилерська діяльність на професійну діяльність на ринках капіталу з торгівлі фінансовими інструментами, яка передбачає дилерську діяльність;</w:t>
            </w:r>
          </w:p>
          <w:p w14:paraId="62BC61E4" w14:textId="77777777" w:rsidR="0036727A" w:rsidRPr="00286216" w:rsidRDefault="0036727A" w:rsidP="0036727A">
            <w:pPr>
              <w:pStyle w:val="StyleProp"/>
              <w:spacing w:line="190" w:lineRule="exact"/>
              <w:rPr>
                <w:color w:val="000000" w:themeColor="text1"/>
              </w:rPr>
            </w:pPr>
            <w:r w:rsidRPr="00286216">
              <w:rPr>
                <w:color w:val="000000" w:themeColor="text1"/>
              </w:rPr>
              <w:t>3) професійна діяльність на ринку цінних паперів - андеррайтинг на професійну діяльність на ринках капіталу з торгівлі фінансовими інструментами, яка передбачає діяльність розміщення без надання гарантії;</w:t>
            </w:r>
          </w:p>
          <w:p w14:paraId="700454EC" w14:textId="77777777" w:rsidR="0036727A" w:rsidRPr="00286216" w:rsidRDefault="0036727A" w:rsidP="0036727A">
            <w:pPr>
              <w:pStyle w:val="StyleProp"/>
              <w:spacing w:line="190" w:lineRule="exact"/>
              <w:rPr>
                <w:color w:val="000000" w:themeColor="text1"/>
              </w:rPr>
            </w:pPr>
            <w:r w:rsidRPr="00286216">
              <w:rPr>
                <w:color w:val="000000" w:themeColor="text1"/>
              </w:rPr>
              <w:t>4) професійна діяльність на ринку цінних паперів - діяльність з управління цінними паперами на професійну діяльність на ринках капіталу з торгівлі фінансовими інструментами, яка передбачає діяльність з управління портфелем фінансових інструментів;</w:t>
            </w:r>
          </w:p>
          <w:p w14:paraId="713ACD8E" w14:textId="77777777" w:rsidR="0036727A" w:rsidRPr="00286216" w:rsidRDefault="0036727A" w:rsidP="0036727A">
            <w:pPr>
              <w:pStyle w:val="StyleProp"/>
              <w:spacing w:line="190" w:lineRule="exact"/>
              <w:rPr>
                <w:color w:val="000000" w:themeColor="text1"/>
              </w:rPr>
            </w:pPr>
            <w:r w:rsidRPr="00286216">
              <w:rPr>
                <w:color w:val="000000" w:themeColor="text1"/>
              </w:rPr>
              <w:t>5) професійна діяльність на ринку цінних паперів - діяльність з організації торгівлі на фондовому ринку на професійну діяльність на ринках капіталу - клірингову діяльність з визначення зобов’язань та професійну діяльність на ринках капіталу з організації торгівлі, яка передбачає:</w:t>
            </w:r>
          </w:p>
          <w:p w14:paraId="77ECA91C" w14:textId="77777777" w:rsidR="0036727A" w:rsidRPr="00286216" w:rsidRDefault="0036727A" w:rsidP="0036727A">
            <w:pPr>
              <w:pStyle w:val="StyleProp"/>
              <w:spacing w:line="190" w:lineRule="exact"/>
              <w:rPr>
                <w:color w:val="000000" w:themeColor="text1"/>
              </w:rPr>
            </w:pPr>
            <w:r w:rsidRPr="00286216">
              <w:rPr>
                <w:color w:val="000000" w:themeColor="text1"/>
              </w:rPr>
              <w:t>а) діяльність з організації торгівлі цінними паперами на регульованому фондовому ринку;</w:t>
            </w:r>
          </w:p>
          <w:p w14:paraId="4D207FFF" w14:textId="77777777" w:rsidR="0036727A" w:rsidRPr="00286216" w:rsidRDefault="0036727A" w:rsidP="0036727A">
            <w:pPr>
              <w:pStyle w:val="StyleProp"/>
              <w:spacing w:line="190" w:lineRule="exact"/>
              <w:rPr>
                <w:color w:val="000000" w:themeColor="text1"/>
              </w:rPr>
            </w:pPr>
            <w:r w:rsidRPr="00286216">
              <w:rPr>
                <w:color w:val="000000" w:themeColor="text1"/>
              </w:rPr>
              <w:t>б) діяльність з організації укладання деривативних контрактів на регульованому ринку деривативних контрактів;</w:t>
            </w:r>
          </w:p>
          <w:p w14:paraId="72DB37F8" w14:textId="77777777" w:rsidR="0036727A" w:rsidRPr="00286216" w:rsidRDefault="0036727A" w:rsidP="0036727A">
            <w:pPr>
              <w:pStyle w:val="StyleProp"/>
              <w:spacing w:line="190" w:lineRule="exact"/>
              <w:rPr>
                <w:color w:val="000000" w:themeColor="text1"/>
              </w:rPr>
            </w:pPr>
            <w:r w:rsidRPr="00286216">
              <w:rPr>
                <w:color w:val="000000" w:themeColor="text1"/>
              </w:rPr>
              <w:t>в) діяльність з організації торгівлі цінними паперами на фондовому багатосторонньому торгівельному майданчику;</w:t>
            </w:r>
          </w:p>
          <w:p w14:paraId="5EFF193B" w14:textId="77777777" w:rsidR="0036727A" w:rsidRPr="00286216" w:rsidRDefault="0036727A" w:rsidP="0036727A">
            <w:pPr>
              <w:pStyle w:val="StyleProp"/>
              <w:spacing w:line="190" w:lineRule="exact"/>
              <w:rPr>
                <w:color w:val="000000" w:themeColor="text1"/>
              </w:rPr>
            </w:pPr>
            <w:r w:rsidRPr="00286216">
              <w:rPr>
                <w:color w:val="000000" w:themeColor="text1"/>
              </w:rPr>
              <w:t>г) діяльність з організації укладання деривативних контрактів на багатосторонньому торгівельному майданчику деривативних контрактів.</w:t>
            </w:r>
          </w:p>
          <w:p w14:paraId="7B77DB40" w14:textId="77777777" w:rsidR="0036727A" w:rsidRPr="00286216" w:rsidRDefault="0036727A" w:rsidP="0036727A">
            <w:pPr>
              <w:pStyle w:val="StyleProp"/>
              <w:spacing w:line="190" w:lineRule="exact"/>
              <w:rPr>
                <w:color w:val="000000" w:themeColor="text1"/>
              </w:rPr>
            </w:pPr>
            <w:r w:rsidRPr="00286216">
              <w:rPr>
                <w:color w:val="000000" w:themeColor="text1"/>
              </w:rPr>
              <w:t xml:space="preserve">6) професійна діяльність на ринку цінних паперів - клірингова діяльність на професійну діяльність на ринках капіталу - </w:t>
            </w:r>
            <w:r w:rsidRPr="00286216">
              <w:rPr>
                <w:color w:val="000000" w:themeColor="text1"/>
              </w:rPr>
              <w:lastRenderedPageBreak/>
              <w:t>клірингову діяльність з визначення зобов’язань.</w:t>
            </w:r>
          </w:p>
          <w:p w14:paraId="35282DFB" w14:textId="77777777" w:rsidR="0036727A" w:rsidRPr="00286216" w:rsidRDefault="0036727A" w:rsidP="0036727A">
            <w:pPr>
              <w:pStyle w:val="StyleProp"/>
              <w:rPr>
                <w:color w:val="000000" w:themeColor="text1"/>
              </w:rPr>
            </w:pPr>
            <w:r w:rsidRPr="00286216">
              <w:rPr>
                <w:color w:val="000000" w:themeColor="text1"/>
              </w:rPr>
              <w:t>Для професійних учасників ринків капіталу, які на день набрання чинності цим Законом мали декілька чинних ліцензій на провадження професійної діяльності на ринку цінних паперів переоформлення таких ліцензій здійснюється відповідно до цього Закону окремо для кожної ліцензії.</w:t>
            </w:r>
          </w:p>
          <w:p w14:paraId="1D7EB95F" w14:textId="77777777" w:rsidR="0036727A" w:rsidRPr="00286216" w:rsidRDefault="0036727A" w:rsidP="0036727A">
            <w:pPr>
              <w:pStyle w:val="StyleProp"/>
              <w:spacing w:line="190" w:lineRule="exact"/>
              <w:rPr>
                <w:color w:val="000000" w:themeColor="text1"/>
              </w:rPr>
            </w:pPr>
            <w:r w:rsidRPr="00286216">
              <w:rPr>
                <w:color w:val="000000" w:themeColor="text1"/>
              </w:rPr>
              <w:t>11. Юридичні особи, ліцензії яких вважаються переоформленими відповідно до пункту 10 цього розділу, зобов’язані подати до Національної комісії з цінних паперів та фондового ринку внутрішні документи, що підтверджують приведення їхньої діяльності у відповідність із вимогами цього Закону, в порядку та строки, встановлені Національною комісією з цінних паперів та фондового ринку, але не пізніше ніж через рік з дня набрання чинності цим Законом.</w:t>
            </w:r>
          </w:p>
          <w:p w14:paraId="219A437C" w14:textId="77777777" w:rsidR="0036727A" w:rsidRPr="00286216" w:rsidRDefault="0036727A" w:rsidP="0036727A">
            <w:pPr>
              <w:pStyle w:val="StyleProp"/>
              <w:spacing w:line="190" w:lineRule="exact"/>
              <w:rPr>
                <w:color w:val="000000" w:themeColor="text1"/>
              </w:rPr>
            </w:pPr>
            <w:r w:rsidRPr="00286216">
              <w:rPr>
                <w:color w:val="000000" w:themeColor="text1"/>
              </w:rPr>
              <w:t>Невиконання вимог цього пункту є підставою для анулювання відповідної ліцензії.</w:t>
            </w:r>
          </w:p>
          <w:p w14:paraId="361BBAF3" w14:textId="77777777" w:rsidR="0036727A" w:rsidRPr="00286216" w:rsidRDefault="0036727A" w:rsidP="0036727A">
            <w:pPr>
              <w:pStyle w:val="StyleProp"/>
              <w:spacing w:line="190" w:lineRule="exact"/>
              <w:rPr>
                <w:color w:val="000000" w:themeColor="text1"/>
              </w:rPr>
            </w:pPr>
            <w:r w:rsidRPr="00286216">
              <w:rPr>
                <w:color w:val="000000" w:themeColor="text1"/>
              </w:rPr>
              <w:t>12. Інші ліцензії (крім наведених у пункті 10 цього розділу), дозволи, сертифікати, свідоцтва та інші документи дозвільного характеру на ринку цінних паперів (фондовому ринку), видані Національною комісією з цінних паперів та фондового ринку, вважаються переоформленими на відповідні документи на ринках капіталу у зв’язку з набранням чинності цим Законом.</w:t>
            </w:r>
          </w:p>
          <w:p w14:paraId="60DFBA04" w14:textId="77777777" w:rsidR="0036727A" w:rsidRPr="00286216" w:rsidRDefault="0036727A" w:rsidP="0036727A">
            <w:pPr>
              <w:pStyle w:val="StyleProp"/>
              <w:spacing w:line="190" w:lineRule="exact"/>
              <w:rPr>
                <w:color w:val="000000" w:themeColor="text1"/>
              </w:rPr>
            </w:pPr>
            <w:r w:rsidRPr="00286216">
              <w:rPr>
                <w:color w:val="000000" w:themeColor="text1"/>
              </w:rPr>
              <w:t>13. Встановити, що на період до 1 січня 2022 року банки мають право видавати ощадні сертифікати на бланках ощадних (депозитних) сертифікатів, виготовлених до дня набрання чинності цим Законом.</w:t>
            </w:r>
          </w:p>
          <w:p w14:paraId="1EB6B2EF" w14:textId="77777777" w:rsidR="0036727A" w:rsidRPr="00286216" w:rsidRDefault="0036727A" w:rsidP="0036727A">
            <w:pPr>
              <w:pStyle w:val="StyleProp"/>
              <w:spacing w:line="190" w:lineRule="exact"/>
              <w:rPr>
                <w:color w:val="000000" w:themeColor="text1"/>
              </w:rPr>
            </w:pPr>
            <w:r w:rsidRPr="00286216">
              <w:rPr>
                <w:color w:val="000000" w:themeColor="text1"/>
              </w:rPr>
              <w:t>14. До 1 липня 2021 року  Публічне акціонерне товариство «Розрахунковий центр з обслуговування договорів на фінансових ринках» має право поєднувати клірингову діяльність з визначення зобов’язань та клірингову діяльність Центрального контрагента з банківською діяльністю.</w:t>
            </w:r>
          </w:p>
          <w:p w14:paraId="01F01F12" w14:textId="61FB4B4C" w:rsidR="0036727A" w:rsidRPr="00286216" w:rsidRDefault="0036727A" w:rsidP="0036727A">
            <w:pPr>
              <w:pStyle w:val="StyleProp"/>
              <w:spacing w:line="190" w:lineRule="exact"/>
              <w:rPr>
                <w:color w:val="000000" w:themeColor="text1"/>
              </w:rPr>
            </w:pPr>
            <w:r w:rsidRPr="00286216">
              <w:rPr>
                <w:color w:val="000000" w:themeColor="text1"/>
              </w:rPr>
              <w:t>15. Тимчасово на період до 1 січня 2022 року Розділ VІІІ цього Закону застосовується до облігацій внутрішніх місцевих позик з особливостями, встановленими відповідно до тимчасового порядку, затвердженого Національною комісією з цінних паперів та фондового ринку за погодженням з Національним банком України.</w:t>
            </w:r>
          </w:p>
          <w:p w14:paraId="73E4B36D" w14:textId="77777777" w:rsidR="0036727A" w:rsidRPr="00286216" w:rsidRDefault="0036727A" w:rsidP="0036727A">
            <w:pPr>
              <w:pStyle w:val="StyleProp"/>
              <w:spacing w:line="190" w:lineRule="exact"/>
              <w:rPr>
                <w:color w:val="000000" w:themeColor="text1"/>
              </w:rPr>
            </w:pPr>
            <w:r w:rsidRPr="00286216">
              <w:rPr>
                <w:color w:val="000000" w:themeColor="text1"/>
              </w:rPr>
              <w:lastRenderedPageBreak/>
              <w:t>Національній комісії з цінних паперів та фондового ринку до 1 липня 2021 року розробити та за погодженням з Національним банком України затвердити передбачений цим пунктом тимчасовий порядок.</w:t>
            </w:r>
          </w:p>
          <w:p w14:paraId="27C45E27" w14:textId="77777777" w:rsidR="0036727A" w:rsidRPr="00286216" w:rsidRDefault="0036727A" w:rsidP="0036727A">
            <w:pPr>
              <w:pStyle w:val="StyleProp"/>
              <w:spacing w:line="190" w:lineRule="exact"/>
              <w:rPr>
                <w:color w:val="000000" w:themeColor="text1"/>
              </w:rPr>
            </w:pPr>
            <w:r w:rsidRPr="00286216">
              <w:rPr>
                <w:color w:val="000000" w:themeColor="text1"/>
              </w:rPr>
              <w:t>Передбачений цим пунктом нормативно-правовий акт розробляється, розглядається, приймається та оприлюднюється без урахування вимог Закону України "Про засади державної регуляторної політики у сфері господарської діяльності".</w:t>
            </w:r>
          </w:p>
          <w:p w14:paraId="335CCAD2" w14:textId="77777777" w:rsidR="0036727A" w:rsidRPr="00286216" w:rsidRDefault="0036727A" w:rsidP="0036727A">
            <w:pPr>
              <w:pStyle w:val="StyleProp"/>
              <w:spacing w:line="190" w:lineRule="exact"/>
              <w:rPr>
                <w:color w:val="000000" w:themeColor="text1"/>
              </w:rPr>
            </w:pPr>
            <w:r w:rsidRPr="00286216">
              <w:rPr>
                <w:color w:val="000000" w:themeColor="text1"/>
              </w:rPr>
              <w:t>Такий акт, прийнятий Національною комісією з цінних паперів та фондового ринку на виконання цього Закону, не підлягає державній реєстрації в Міністерстві юстиції України. Зазначений акт Національної комісії з цінних паперів та фондового ринку оприлюднюється на її офіційному веб-сайті та набирає чинності з дня його офіційного опублікування.</w:t>
            </w:r>
          </w:p>
          <w:p w14:paraId="09DDAD2A" w14:textId="77777777" w:rsidR="0036727A" w:rsidRPr="00286216" w:rsidRDefault="0036727A" w:rsidP="0036727A">
            <w:pPr>
              <w:pStyle w:val="StyleProp"/>
              <w:spacing w:line="190" w:lineRule="exact"/>
              <w:rPr>
                <w:color w:val="000000" w:themeColor="text1"/>
              </w:rPr>
            </w:pPr>
            <w:r w:rsidRPr="00286216">
              <w:rPr>
                <w:color w:val="000000" w:themeColor="text1"/>
              </w:rPr>
              <w:t>Офіційним опублікуванням такого акта Національної комісії з цінних паперів та фондового ринку вважається його оприлюднення на офіційному веб-сайті Національної комісії з цінних паперів та фондового ринку.</w:t>
            </w:r>
          </w:p>
          <w:p w14:paraId="1848D3B1" w14:textId="77777777" w:rsidR="0036727A" w:rsidRPr="00286216" w:rsidRDefault="0036727A" w:rsidP="0036727A">
            <w:pPr>
              <w:pStyle w:val="StyleProp"/>
              <w:spacing w:line="190" w:lineRule="exact"/>
              <w:rPr>
                <w:color w:val="000000" w:themeColor="text1"/>
              </w:rPr>
            </w:pPr>
            <w:r w:rsidRPr="00286216">
              <w:rPr>
                <w:color w:val="000000" w:themeColor="text1"/>
              </w:rPr>
              <w:t>16. Кабінету Міністрів України вжити заходів щодо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3CEDDFF4" w14:textId="77777777" w:rsidR="0036727A" w:rsidRPr="00286216" w:rsidRDefault="0036727A" w:rsidP="0036727A">
            <w:pPr>
              <w:pStyle w:val="StyleProp"/>
              <w:spacing w:line="190" w:lineRule="exact"/>
              <w:rPr>
                <w:color w:val="000000" w:themeColor="text1"/>
              </w:rPr>
            </w:pPr>
            <w:r w:rsidRPr="00286216">
              <w:rPr>
                <w:color w:val="000000" w:themeColor="text1"/>
              </w:rPr>
              <w:t>приведення своїх нормативно-правових актів у відповідність із цим Законом;</w:t>
            </w:r>
          </w:p>
          <w:p w14:paraId="0CB56564" w14:textId="77777777" w:rsidR="0036727A" w:rsidRPr="00286216" w:rsidRDefault="0036727A" w:rsidP="0036727A">
            <w:pPr>
              <w:pStyle w:val="StyleProp"/>
              <w:spacing w:line="190" w:lineRule="exact"/>
              <w:rPr>
                <w:color w:val="000000" w:themeColor="text1"/>
              </w:rPr>
            </w:pPr>
            <w:r w:rsidRPr="00286216">
              <w:rPr>
                <w:color w:val="000000" w:themeColor="text1"/>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25FF6753" w14:textId="77777777" w:rsidR="0036727A" w:rsidRPr="00286216" w:rsidRDefault="0036727A" w:rsidP="0036727A">
            <w:pPr>
              <w:pStyle w:val="StyleProp"/>
              <w:spacing w:line="190" w:lineRule="exact"/>
              <w:rPr>
                <w:color w:val="000000" w:themeColor="text1"/>
              </w:rPr>
            </w:pPr>
            <w:r w:rsidRPr="00286216">
              <w:rPr>
                <w:color w:val="000000" w:themeColor="text1"/>
              </w:rPr>
              <w:t>17.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388A9C81" w14:textId="20B59DD6" w:rsidR="0036727A" w:rsidRPr="00286216" w:rsidRDefault="0036727A" w:rsidP="0036727A">
            <w:pPr>
              <w:pStyle w:val="StyleProp"/>
              <w:spacing w:line="190" w:lineRule="exact"/>
              <w:rPr>
                <w:color w:val="000000" w:themeColor="text1"/>
              </w:rPr>
            </w:pPr>
            <w:r w:rsidRPr="00286216">
              <w:rPr>
                <w:color w:val="000000" w:themeColor="text1"/>
              </w:rPr>
              <w:t>18. Національній комісії з цінних паперів та фондового ринку до дня набрання чинності цим Законом розробити та затвердити нормативно-правові акти, передбачені цим Законом, а також затвердити порядок виконання пунктів 10 та 12 цього Розділу.</w:t>
            </w:r>
          </w:p>
          <w:p w14:paraId="22777985" w14:textId="6F6FA11A" w:rsidR="0036727A" w:rsidRPr="00286216" w:rsidRDefault="0036727A" w:rsidP="0036727A">
            <w:pPr>
              <w:pStyle w:val="StyleProp"/>
              <w:spacing w:line="190" w:lineRule="exact"/>
              <w:rPr>
                <w:b/>
                <w:i/>
                <w:color w:val="000000" w:themeColor="text1"/>
                <w:u w:val="single"/>
              </w:rPr>
            </w:pPr>
            <w:r w:rsidRPr="00286216">
              <w:rPr>
                <w:color w:val="000000" w:themeColor="text1"/>
              </w:rPr>
              <w:t xml:space="preserve">19. Національному банку України до дня набрання чинності цим Законом привести свої нормативно-правові акти у відповідність </w:t>
            </w:r>
            <w:r w:rsidRPr="00286216">
              <w:rPr>
                <w:color w:val="000000" w:themeColor="text1"/>
              </w:rPr>
              <w:lastRenderedPageBreak/>
              <w:t>із цим Законом"</w:t>
            </w:r>
            <w:r w:rsidRPr="00286216">
              <w:rPr>
                <w:color w:val="000000" w:themeColor="text1"/>
                <w:spacing w:val="-2"/>
              </w:rPr>
              <w:t>.</w:t>
            </w:r>
          </w:p>
        </w:tc>
        <w:tc>
          <w:tcPr>
            <w:tcW w:w="1987" w:type="dxa"/>
          </w:tcPr>
          <w:p w14:paraId="4B652845" w14:textId="77777777" w:rsidR="0036727A" w:rsidRPr="00286216" w:rsidRDefault="0036727A" w:rsidP="0036727A">
            <w:pPr>
              <w:pStyle w:val="StyleWisnow"/>
              <w:rPr>
                <w:color w:val="000000" w:themeColor="text1"/>
              </w:rPr>
            </w:pPr>
            <w:r w:rsidRPr="00286216">
              <w:rPr>
                <w:color w:val="000000" w:themeColor="text1"/>
              </w:rPr>
              <w:lastRenderedPageBreak/>
              <w:t>Враховано</w:t>
            </w:r>
          </w:p>
          <w:p w14:paraId="4852975D" w14:textId="44F0F536" w:rsidR="0036727A" w:rsidRPr="00286216" w:rsidRDefault="0036727A" w:rsidP="0036727A">
            <w:pPr>
              <w:pStyle w:val="StyleWisnow"/>
              <w:spacing w:line="180" w:lineRule="exact"/>
              <w:rPr>
                <w:color w:val="000000" w:themeColor="text1"/>
              </w:rPr>
            </w:pPr>
            <w:r w:rsidRPr="00286216">
              <w:rPr>
                <w:color w:val="000000" w:themeColor="text1"/>
              </w:rPr>
              <w:t>відповідно до узгодженої позиції щодо термінів набрання чинності Законом та його окремими положеннями, а також згідно з дорученням Комітету щодо техніко-юридичного доопрацювання редакції законопроекту</w:t>
            </w:r>
          </w:p>
        </w:tc>
        <w:tc>
          <w:tcPr>
            <w:tcW w:w="4818" w:type="dxa"/>
          </w:tcPr>
          <w:p w14:paraId="0ABCCD7D" w14:textId="77777777" w:rsidR="0036727A" w:rsidRPr="00286216" w:rsidRDefault="0036727A" w:rsidP="0036727A">
            <w:pPr>
              <w:pStyle w:val="StyleZakonu"/>
              <w:rPr>
                <w:color w:val="000000" w:themeColor="text1"/>
              </w:rPr>
            </w:pPr>
            <w:r w:rsidRPr="00286216">
              <w:rPr>
                <w:color w:val="000000" w:themeColor="text1"/>
              </w:rPr>
              <w:t>Розділ ХІІ</w:t>
            </w:r>
            <w:r w:rsidRPr="00286216">
              <w:rPr>
                <w:color w:val="000000" w:themeColor="text1"/>
                <w:lang w:val="en-US"/>
              </w:rPr>
              <w:t>I</w:t>
            </w:r>
            <w:r w:rsidRPr="00286216">
              <w:rPr>
                <w:color w:val="000000" w:themeColor="text1"/>
              </w:rPr>
              <w:t xml:space="preserve"> </w:t>
            </w:r>
          </w:p>
          <w:p w14:paraId="0823E531" w14:textId="77777777" w:rsidR="0036727A" w:rsidRPr="00286216" w:rsidRDefault="0036727A" w:rsidP="0036727A">
            <w:pPr>
              <w:pStyle w:val="StyleZakonu"/>
              <w:rPr>
                <w:color w:val="000000" w:themeColor="text1"/>
              </w:rPr>
            </w:pPr>
            <w:r w:rsidRPr="00286216">
              <w:rPr>
                <w:color w:val="000000" w:themeColor="text1"/>
              </w:rPr>
              <w:t>ПРИКІНЦЕВІ ТА ПЕРЕХІДНІ ПОЛОЖЕННЯ</w:t>
            </w:r>
          </w:p>
          <w:p w14:paraId="641C45CA" w14:textId="77777777" w:rsidR="0036727A" w:rsidRPr="00286216" w:rsidRDefault="0036727A" w:rsidP="0036727A">
            <w:pPr>
              <w:pStyle w:val="StyleZakonu"/>
              <w:rPr>
                <w:color w:val="000000" w:themeColor="text1"/>
              </w:rPr>
            </w:pPr>
            <w:r w:rsidRPr="00286216">
              <w:rPr>
                <w:color w:val="000000" w:themeColor="text1"/>
              </w:rPr>
              <w:t>1. Цей Закон набирає чинності з 1 липня 2021 року, крім:</w:t>
            </w:r>
          </w:p>
          <w:p w14:paraId="2BAE510B" w14:textId="77777777" w:rsidR="0036727A" w:rsidRPr="00286216" w:rsidRDefault="0036727A" w:rsidP="0036727A">
            <w:pPr>
              <w:pStyle w:val="StyleZakonu"/>
              <w:rPr>
                <w:color w:val="000000" w:themeColor="text1"/>
              </w:rPr>
            </w:pPr>
            <w:r w:rsidRPr="00286216">
              <w:rPr>
                <w:color w:val="000000" w:themeColor="text1"/>
              </w:rPr>
              <w:t>1) пунктів 7, 14 – 19 цього розділу, які набирають чинності з дня, наступного за днем опублікування цього Закону;</w:t>
            </w:r>
          </w:p>
          <w:p w14:paraId="5967D3BC" w14:textId="77777777" w:rsidR="0036727A" w:rsidRPr="00286216" w:rsidRDefault="0036727A" w:rsidP="0036727A">
            <w:pPr>
              <w:pStyle w:val="StyleZakonu"/>
              <w:rPr>
                <w:color w:val="000000" w:themeColor="text1"/>
              </w:rPr>
            </w:pPr>
            <w:r w:rsidRPr="00286216">
              <w:rPr>
                <w:color w:val="000000" w:themeColor="text1"/>
              </w:rPr>
              <w:t>2) абзацу четвертого та сьомого частини другої статті 51 та частини другої статті 69 цього Закону, які набирають чинності з 1 січня 2024 року.</w:t>
            </w:r>
          </w:p>
          <w:p w14:paraId="7F32AABC" w14:textId="77777777" w:rsidR="0036727A" w:rsidRPr="00286216" w:rsidRDefault="0036727A" w:rsidP="0036727A">
            <w:pPr>
              <w:pStyle w:val="StyleZakonu"/>
              <w:rPr>
                <w:color w:val="000000" w:themeColor="text1"/>
              </w:rPr>
            </w:pPr>
            <w:r w:rsidRPr="00286216">
              <w:rPr>
                <w:color w:val="000000" w:themeColor="text1"/>
              </w:rPr>
              <w:t>2. З дня набрання чинності цим Законом визнаються такими, що втратили чинність:</w:t>
            </w:r>
          </w:p>
          <w:p w14:paraId="55CCED86" w14:textId="77777777" w:rsidR="0036727A" w:rsidRPr="00286216" w:rsidRDefault="0036727A" w:rsidP="0036727A">
            <w:pPr>
              <w:pStyle w:val="StyleZakonu"/>
              <w:rPr>
                <w:color w:val="000000" w:themeColor="text1"/>
              </w:rPr>
            </w:pPr>
            <w:r w:rsidRPr="00286216">
              <w:rPr>
                <w:color w:val="000000" w:themeColor="text1"/>
              </w:rPr>
              <w:t>1) Закон України "Про приватизаційні папери" (Відомості Верховної Ради України, 1992 р., № 24, ст. 352 із наступними змінами);</w:t>
            </w:r>
          </w:p>
          <w:p w14:paraId="31C11801" w14:textId="77777777" w:rsidR="0036727A" w:rsidRPr="00286216" w:rsidRDefault="0036727A" w:rsidP="0036727A">
            <w:pPr>
              <w:pStyle w:val="StyleZakonu"/>
              <w:rPr>
                <w:color w:val="000000" w:themeColor="text1"/>
              </w:rPr>
            </w:pPr>
            <w:r w:rsidRPr="00286216">
              <w:rPr>
                <w:color w:val="000000" w:themeColor="text1"/>
              </w:rPr>
              <w:t>2) Закон України "Про цінні папери та фондовий ринок» (Відомості Верховної Ради України, 2006 р., № 31, ст. 268 із наступними змінами).</w:t>
            </w:r>
          </w:p>
          <w:p w14:paraId="57C2AE89" w14:textId="77777777" w:rsidR="0036727A" w:rsidRPr="00286216" w:rsidRDefault="0036727A" w:rsidP="0036727A">
            <w:pPr>
              <w:pStyle w:val="StyleZakonu"/>
              <w:rPr>
                <w:color w:val="000000" w:themeColor="text1"/>
              </w:rPr>
            </w:pPr>
            <w:r w:rsidRPr="00286216">
              <w:rPr>
                <w:color w:val="000000" w:themeColor="text1"/>
              </w:rPr>
              <w:t>3. Критерії отримання статусу кваліфікованого інвестора, передбачені пунктом 7 частини першої та пунктом 2 частини другої статті 6 цього Закону, застосовуються:</w:t>
            </w:r>
          </w:p>
          <w:p w14:paraId="62AEA53E" w14:textId="77777777" w:rsidR="0036727A" w:rsidRPr="00286216" w:rsidRDefault="0036727A" w:rsidP="0036727A">
            <w:pPr>
              <w:pStyle w:val="StyleZakonu"/>
              <w:rPr>
                <w:color w:val="000000" w:themeColor="text1"/>
              </w:rPr>
            </w:pPr>
            <w:r w:rsidRPr="00286216">
              <w:rPr>
                <w:color w:val="000000" w:themeColor="text1"/>
              </w:rPr>
              <w:t>у період з 1 липня до 31 грудня 2021 року з коефіцієнтом 3;</w:t>
            </w:r>
          </w:p>
          <w:p w14:paraId="610635CE"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2022 року з коефіцієнтом 6;</w:t>
            </w:r>
          </w:p>
          <w:p w14:paraId="464B0A75"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2023 року з коефіцієнтом 9;</w:t>
            </w:r>
          </w:p>
          <w:p w14:paraId="47DD168D"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2024 року з коефіцієнтом 12;</w:t>
            </w:r>
          </w:p>
          <w:p w14:paraId="07B6F638"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2026 року з коефіцієнтом 15;</w:t>
            </w:r>
          </w:p>
          <w:p w14:paraId="11107167"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2027 року з коефіцієнтом 18;</w:t>
            </w:r>
          </w:p>
          <w:p w14:paraId="3EDB3297"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2028 року з коефіцієнтом 21;</w:t>
            </w:r>
          </w:p>
          <w:p w14:paraId="7A30B134" w14:textId="77777777" w:rsidR="0036727A" w:rsidRPr="00286216" w:rsidRDefault="0036727A" w:rsidP="0036727A">
            <w:pPr>
              <w:pStyle w:val="StyleZakonu"/>
              <w:rPr>
                <w:color w:val="000000" w:themeColor="text1"/>
              </w:rPr>
            </w:pPr>
            <w:r w:rsidRPr="00286216">
              <w:rPr>
                <w:color w:val="000000" w:themeColor="text1"/>
              </w:rPr>
              <w:t>у період з 1 січня до 31 грудня 2029 року з коефіцієнтом 24;</w:t>
            </w:r>
          </w:p>
          <w:p w14:paraId="390B1CBD" w14:textId="77777777" w:rsidR="0036727A" w:rsidRPr="00286216" w:rsidRDefault="0036727A" w:rsidP="0036727A">
            <w:pPr>
              <w:pStyle w:val="StyleZakonu"/>
              <w:rPr>
                <w:color w:val="000000" w:themeColor="text1"/>
              </w:rPr>
            </w:pPr>
            <w:r w:rsidRPr="00286216">
              <w:rPr>
                <w:color w:val="000000" w:themeColor="text1"/>
              </w:rPr>
              <w:t xml:space="preserve">у період з 1 січня до 31 грудня 2030 року з </w:t>
            </w:r>
            <w:r w:rsidRPr="00286216">
              <w:rPr>
                <w:color w:val="000000" w:themeColor="text1"/>
              </w:rPr>
              <w:lastRenderedPageBreak/>
              <w:t>коефіцієнтом 27;</w:t>
            </w:r>
          </w:p>
          <w:p w14:paraId="7A5A5A72" w14:textId="77777777" w:rsidR="0036727A" w:rsidRPr="00286216" w:rsidRDefault="0036727A" w:rsidP="0036727A">
            <w:pPr>
              <w:pStyle w:val="StyleZakonu"/>
              <w:rPr>
                <w:color w:val="000000" w:themeColor="text1"/>
              </w:rPr>
            </w:pPr>
            <w:r w:rsidRPr="00286216">
              <w:rPr>
                <w:color w:val="000000" w:themeColor="text1"/>
              </w:rPr>
              <w:t>після 1 січня 2031 року з коефіцієнтом 30.</w:t>
            </w:r>
          </w:p>
          <w:p w14:paraId="774CB4CE" w14:textId="77777777" w:rsidR="0036727A" w:rsidRPr="00286216" w:rsidRDefault="0036727A" w:rsidP="0036727A">
            <w:pPr>
              <w:pStyle w:val="StyleZakonu"/>
              <w:rPr>
                <w:color w:val="000000" w:themeColor="text1"/>
              </w:rPr>
            </w:pPr>
            <w:r w:rsidRPr="00286216">
              <w:rPr>
                <w:color w:val="000000" w:themeColor="text1"/>
              </w:rPr>
              <w:t>4. Вимоги до початкового капіталу інвестиційної фірми, передбачені частиною третьою статті 44 цього Закону, застосовуються:</w:t>
            </w:r>
          </w:p>
          <w:p w14:paraId="54C14A88" w14:textId="77777777" w:rsidR="0036727A" w:rsidRPr="00286216" w:rsidRDefault="0036727A" w:rsidP="0036727A">
            <w:pPr>
              <w:pStyle w:val="StyleZakonu"/>
              <w:rPr>
                <w:color w:val="000000" w:themeColor="text1"/>
              </w:rPr>
            </w:pPr>
            <w:r w:rsidRPr="00286216">
              <w:rPr>
                <w:color w:val="000000" w:themeColor="text1"/>
              </w:rPr>
              <w:t>у період з 1 липня 2021 року по 31 грудня 2022 року з коефіцієнтом 0,5;</w:t>
            </w:r>
          </w:p>
          <w:p w14:paraId="16551B73" w14:textId="77777777" w:rsidR="0036727A" w:rsidRPr="00286216" w:rsidRDefault="0036727A" w:rsidP="0036727A">
            <w:pPr>
              <w:pStyle w:val="StyleZakonu"/>
              <w:rPr>
                <w:color w:val="000000" w:themeColor="text1"/>
              </w:rPr>
            </w:pPr>
            <w:r w:rsidRPr="00286216">
              <w:rPr>
                <w:color w:val="000000" w:themeColor="text1"/>
              </w:rPr>
              <w:t>у період з 1 січня 2023 року по 31 грудня 2023 року з коефіцієнтом 0,75.</w:t>
            </w:r>
          </w:p>
          <w:p w14:paraId="5A0ACEA9" w14:textId="77777777" w:rsidR="0036727A" w:rsidRPr="00286216" w:rsidRDefault="0036727A" w:rsidP="0036727A">
            <w:pPr>
              <w:pStyle w:val="StyleZakonu"/>
              <w:rPr>
                <w:color w:val="000000" w:themeColor="text1"/>
              </w:rPr>
            </w:pPr>
            <w:r w:rsidRPr="00286216">
              <w:rPr>
                <w:color w:val="000000" w:themeColor="text1"/>
              </w:rPr>
              <w:t>5. На період до 1 січня 2023 року оператори регульованих ринків деривативних контрактів та оператори багатосторонніх торгівельних майданчиків деривативних контрактів можуть провадити клірингову діяльність центрального контрагента щодо деривативних контрактів, що укладаються на регульованих ринках та багатосторонніх торгівельних майданчиках, управління діяльністю яких  здійснюють такі оператори. Провадження зазначеної діяльності можливе лише у разі наявності чинної ліцензії на провадження клірингової діяльності з визначення зобов’язань та реєстрації відповідно до цього Закону правил провадження клірингової діяльності, що передбачають правила провадження клірингової діяльності щодо деривативних контрактів. Такі  оператори під час провадження зазначеної діяльності мають право виступати стороною деривативних контрактів, що укладаються на регульованому ринку або багатосторонньому торгівельному майданчику, управління діяльністю яких вони здійснюють.</w:t>
            </w:r>
          </w:p>
          <w:p w14:paraId="6BA718F6" w14:textId="77777777" w:rsidR="0036727A" w:rsidRPr="00286216" w:rsidRDefault="0036727A" w:rsidP="0036727A">
            <w:pPr>
              <w:pStyle w:val="StyleZakonu"/>
              <w:rPr>
                <w:color w:val="000000" w:themeColor="text1"/>
              </w:rPr>
            </w:pPr>
            <w:r w:rsidRPr="00286216">
              <w:rPr>
                <w:color w:val="000000" w:themeColor="text1"/>
              </w:rPr>
              <w:t>У разі провадження зазначеним в абзаці першому цього пункту оператором клірингової діяльності центрального контрагента вимоги частини шостої статті 51, пункту 9 частини першої статті 53 цього Закону не застосовуються.</w:t>
            </w:r>
          </w:p>
          <w:p w14:paraId="047580F8" w14:textId="77777777" w:rsidR="0036727A" w:rsidRPr="00286216" w:rsidRDefault="0036727A" w:rsidP="0036727A">
            <w:pPr>
              <w:pStyle w:val="StyleZakonu"/>
              <w:rPr>
                <w:color w:val="000000" w:themeColor="text1"/>
              </w:rPr>
            </w:pPr>
            <w:r w:rsidRPr="00286216">
              <w:rPr>
                <w:color w:val="000000" w:themeColor="text1"/>
              </w:rPr>
              <w:t xml:space="preserve">Після 1 січня 2023 року зазначені в абзаці першому цього пункту оператори можуть провадити клірингову діяльність центрального контрагента щодо деривативних контрактів, у разі якщо жодна юридична особа (у тому числі іноземна) не матиме чинної ліцензії на провадження клірингової діяльності центрального контрагента та зареєстрованих відповідно до закону правил провадження клірингової діяльності, що </w:t>
            </w:r>
            <w:r w:rsidRPr="00286216">
              <w:rPr>
                <w:color w:val="000000" w:themeColor="text1"/>
              </w:rPr>
              <w:lastRenderedPageBreak/>
              <w:t>передбачають правила провадження клірингової діяльності щодо деривативних контрактів.</w:t>
            </w:r>
          </w:p>
          <w:p w14:paraId="2AE15747" w14:textId="77777777" w:rsidR="0036727A" w:rsidRPr="00286216" w:rsidRDefault="0036727A" w:rsidP="0036727A">
            <w:pPr>
              <w:pStyle w:val="StyleZakonu"/>
              <w:rPr>
                <w:color w:val="000000" w:themeColor="text1"/>
              </w:rPr>
            </w:pPr>
            <w:r w:rsidRPr="00286216">
              <w:rPr>
                <w:color w:val="000000" w:themeColor="text1"/>
              </w:rPr>
              <w:t>Зазначені в абзаці першому цього пункту оператори припиняють здійснення клірингової діяльності центрального контрагента після 1 січня 2023 року, за умови що з дати реєстрації зазначених в абзаці третьому цього пункту правил минуло шість місяців.</w:t>
            </w:r>
          </w:p>
          <w:p w14:paraId="21DE0694" w14:textId="77777777" w:rsidR="0036727A" w:rsidRPr="00286216" w:rsidRDefault="0036727A" w:rsidP="0036727A">
            <w:pPr>
              <w:pStyle w:val="StyleZakonu"/>
              <w:rPr>
                <w:color w:val="000000" w:themeColor="text1"/>
              </w:rPr>
            </w:pPr>
            <w:r w:rsidRPr="00286216">
              <w:rPr>
                <w:color w:val="000000" w:themeColor="text1"/>
              </w:rPr>
              <w:t>6. На період до 1 січня 2023 року Публічне акціонерне товариство «Розрахунковий центр з обслуговування договорів на фінансових ринках»  має право на підставі ліцензії на провадження клірингової діяльності з визначення зобов’язань провадити клірингову діяльність центрального контрагента за правочинами щодо цінних паперів, за умови реєстрації відповідно до цього Закону правил провадження клірингової діяльності, що передбачають правила провадження клірингової діяльності за правочинами щодо цінних паперів.</w:t>
            </w:r>
          </w:p>
          <w:p w14:paraId="5DAF0FB0" w14:textId="77777777" w:rsidR="0036727A" w:rsidRPr="00286216" w:rsidRDefault="0036727A" w:rsidP="0036727A">
            <w:pPr>
              <w:pStyle w:val="StyleZakonu"/>
              <w:rPr>
                <w:color w:val="000000" w:themeColor="text1"/>
              </w:rPr>
            </w:pPr>
            <w:r w:rsidRPr="00286216">
              <w:rPr>
                <w:color w:val="000000" w:themeColor="text1"/>
              </w:rPr>
              <w:t>Після 1 січня 2023 року Публічне акціонерне товариство «Розрахунковий центр з обслуговування договорів на фінансових ринках»  має право провадити клірингову діяльність центрального контрагента за правочинами щодо цінних паперів, у разі якщо жодна інша юридична особа (у тому числі іноземна) не матиме чинної ліцензії на провадження клірингової діяльності центрального контрагента та зареєстрованих відповідно до цього Закону правил провадження клірингової діяльності центрального контрагента, що передбачатимуть провадження клірингової діяльності центрального контрагента за правочинами щодо цінних паперів або у разі якщо таку ліцензію отримає Публічне акціонерне товариство «Розрахунковий центр з обслуговування договорів на фінансових ринках».</w:t>
            </w:r>
          </w:p>
          <w:p w14:paraId="1FF9CE6C" w14:textId="77777777" w:rsidR="0036727A" w:rsidRPr="00286216" w:rsidRDefault="0036727A" w:rsidP="0036727A">
            <w:pPr>
              <w:pStyle w:val="StyleZakonu"/>
              <w:rPr>
                <w:color w:val="000000" w:themeColor="text1"/>
              </w:rPr>
            </w:pPr>
            <w:r w:rsidRPr="00286216">
              <w:rPr>
                <w:color w:val="000000" w:themeColor="text1"/>
              </w:rPr>
              <w:t xml:space="preserve">Публічне акціонерне товариство «Розрахунковий центр з обслуговування договорів на фінансових ринках»,  уразі відсутності у нього чинної ліцензії на провадження клірингової діяльності центрального контрагента припиняє провадження клірингової діяльності центрального контрагента за правочинами щодо цінних паперів після 1 січня 2023 року, за умови що минуло шість місяців з дати реєстрації іншою юридичною особою зазначених в абзаці третьому </w:t>
            </w:r>
            <w:r w:rsidRPr="00286216">
              <w:rPr>
                <w:color w:val="000000" w:themeColor="text1"/>
              </w:rPr>
              <w:lastRenderedPageBreak/>
              <w:t>цього пункту правил.</w:t>
            </w:r>
          </w:p>
          <w:p w14:paraId="4D70C5E6" w14:textId="77777777" w:rsidR="0036727A" w:rsidRPr="00286216" w:rsidRDefault="0036727A" w:rsidP="0036727A">
            <w:pPr>
              <w:pStyle w:val="StyleZakonu"/>
              <w:rPr>
                <w:color w:val="000000" w:themeColor="text1"/>
              </w:rPr>
            </w:pPr>
            <w:r w:rsidRPr="00286216">
              <w:rPr>
                <w:color w:val="000000" w:themeColor="text1"/>
              </w:rPr>
              <w:t>7. Національному банку України до 1 січня 2021 року відкрити рахунок Публічному акціонерному товариству «Розрахунковий центр з обслуговування договорів на фінансових ринках» для забезпечення здійснення  зазначеним товариством грошових розрахунків як кліринговою установою.</w:t>
            </w:r>
          </w:p>
          <w:p w14:paraId="7A64D906" w14:textId="77777777" w:rsidR="0036727A" w:rsidRPr="00286216" w:rsidRDefault="0036727A" w:rsidP="0036727A">
            <w:pPr>
              <w:pStyle w:val="StyleZakonu"/>
              <w:rPr>
                <w:color w:val="000000" w:themeColor="text1"/>
              </w:rPr>
            </w:pPr>
            <w:r w:rsidRPr="00286216">
              <w:rPr>
                <w:color w:val="000000" w:themeColor="text1"/>
              </w:rPr>
              <w:t>Національному банку України до 1 січня 2021 року відкрити рахунок Публічному акціонерному товариству «Національний депозитарій України» для забезпечення здійснення виплати доходів за цінними паперами.</w:t>
            </w:r>
          </w:p>
          <w:p w14:paraId="09E6BE88" w14:textId="77777777" w:rsidR="0036727A" w:rsidRPr="00286216" w:rsidRDefault="0036727A" w:rsidP="0036727A">
            <w:pPr>
              <w:pStyle w:val="StyleZakonu"/>
              <w:rPr>
                <w:color w:val="000000" w:themeColor="text1"/>
              </w:rPr>
            </w:pPr>
            <w:r w:rsidRPr="00286216">
              <w:rPr>
                <w:color w:val="000000" w:themeColor="text1"/>
              </w:rPr>
              <w:t>8. На період до 1 липня 2024 року Національний банк України може провадити діяльність торгового репозиторію.</w:t>
            </w:r>
          </w:p>
          <w:p w14:paraId="74282AEA" w14:textId="77777777" w:rsidR="0036727A" w:rsidRPr="00286216" w:rsidRDefault="0036727A" w:rsidP="0036727A">
            <w:pPr>
              <w:pStyle w:val="StyleZakonu"/>
              <w:rPr>
                <w:color w:val="000000" w:themeColor="text1"/>
              </w:rPr>
            </w:pPr>
            <w:r w:rsidRPr="00286216">
              <w:rPr>
                <w:color w:val="000000" w:themeColor="text1"/>
              </w:rPr>
              <w:t>Після 1 липня 2024 року Національний банк України може провадити діяльність торгового репозиторію виключно на підставі окремого рішення Національної комісії з цінних паперів та фондового ринку.</w:t>
            </w:r>
          </w:p>
          <w:p w14:paraId="44034619" w14:textId="77777777" w:rsidR="0036727A" w:rsidRPr="00286216" w:rsidRDefault="0036727A" w:rsidP="0036727A">
            <w:pPr>
              <w:pStyle w:val="StyleZakonu"/>
              <w:rPr>
                <w:color w:val="000000" w:themeColor="text1"/>
              </w:rPr>
            </w:pPr>
            <w:r w:rsidRPr="00286216">
              <w:rPr>
                <w:color w:val="000000" w:themeColor="text1"/>
              </w:rPr>
              <w:t>Порядок провадження Національним банком України діяльності торгового репозиторію встановлюється Національним банком України за погодженням з Національною комісією з цінних паперів та фондового ринку відповідно до вимог цього Закону.</w:t>
            </w:r>
          </w:p>
          <w:p w14:paraId="4CA506EC" w14:textId="77777777" w:rsidR="0036727A" w:rsidRPr="00286216" w:rsidRDefault="0036727A" w:rsidP="0036727A">
            <w:pPr>
              <w:pStyle w:val="StyleZakonu"/>
              <w:rPr>
                <w:color w:val="000000" w:themeColor="text1"/>
              </w:rPr>
            </w:pPr>
            <w:r w:rsidRPr="00286216">
              <w:rPr>
                <w:color w:val="000000" w:themeColor="text1"/>
              </w:rPr>
              <w:t>Національний банк України провадить діяльність торгового репозиторію без проходження процедури авторизації, передбаченої статтею 88 цього Закону.</w:t>
            </w:r>
          </w:p>
          <w:p w14:paraId="72075D67" w14:textId="77777777" w:rsidR="0036727A" w:rsidRPr="00286216" w:rsidRDefault="0036727A" w:rsidP="0036727A">
            <w:pPr>
              <w:pStyle w:val="StyleZakonu"/>
              <w:rPr>
                <w:color w:val="000000" w:themeColor="text1"/>
              </w:rPr>
            </w:pPr>
            <w:r w:rsidRPr="00286216">
              <w:rPr>
                <w:color w:val="000000" w:themeColor="text1"/>
              </w:rPr>
              <w:t xml:space="preserve">9. З дня набрання чинності цим Законом професійні учасники ринків капіталу та організованих товарних ринків, що функціонують у формі товариства з обмеженою відповідальністю або товариства з додатковою відповідальністю, та в яких не створено наглядову раду або інший орган, відповідальний за здійснення нагляду, можуть на загальних зборах учасників прийняти рішення про тимчасове, до 1 січня 2023 року, покладення виконання функцій органу, відповідального за здійснення нагляду, на загальні збори учасників. При цьому у разі прийняття передбаченого цим пунктом рішення до 1 січня 2023 року вимоги абзаців першого-третього частини сьомої статті 76 цього Закону не поширюються на загальні збори учасників, </w:t>
            </w:r>
            <w:r w:rsidRPr="00286216">
              <w:rPr>
                <w:color w:val="000000" w:themeColor="text1"/>
              </w:rPr>
              <w:lastRenderedPageBreak/>
              <w:t>що виконують функції органу, відповідального за здійснення нагляду.</w:t>
            </w:r>
          </w:p>
          <w:p w14:paraId="1F97382C" w14:textId="77777777" w:rsidR="0036727A" w:rsidRPr="00286216" w:rsidRDefault="0036727A" w:rsidP="0036727A">
            <w:pPr>
              <w:pStyle w:val="StyleZakonu"/>
              <w:rPr>
                <w:color w:val="000000" w:themeColor="text1"/>
              </w:rPr>
            </w:pPr>
            <w:r w:rsidRPr="00286216">
              <w:rPr>
                <w:color w:val="000000" w:themeColor="text1"/>
              </w:rPr>
              <w:t>10. Ліцензії на провадження професійної діяльності на ринку цінних паперів з дня набрання чинності цим Законом вважаються переоформленими таким чином:</w:t>
            </w:r>
          </w:p>
          <w:p w14:paraId="0752BE4A" w14:textId="77777777" w:rsidR="0036727A" w:rsidRPr="00286216" w:rsidRDefault="0036727A" w:rsidP="0036727A">
            <w:pPr>
              <w:pStyle w:val="StyleZakonu"/>
              <w:rPr>
                <w:color w:val="000000" w:themeColor="text1"/>
              </w:rPr>
            </w:pPr>
            <w:r w:rsidRPr="00286216">
              <w:rPr>
                <w:color w:val="000000" w:themeColor="text1"/>
              </w:rPr>
              <w:t>1) професійна діяльність на ринку цінних паперів - брокерська діяльність на професійну діяльність на ринках капіталу з торгівлі фінансовими інструментами, щопередбачає:</w:t>
            </w:r>
          </w:p>
          <w:p w14:paraId="0C5AC93E" w14:textId="77777777" w:rsidR="0036727A" w:rsidRPr="00286216" w:rsidRDefault="0036727A" w:rsidP="0036727A">
            <w:pPr>
              <w:pStyle w:val="StyleZakonu"/>
              <w:rPr>
                <w:color w:val="000000" w:themeColor="text1"/>
              </w:rPr>
            </w:pPr>
            <w:r w:rsidRPr="00286216">
              <w:rPr>
                <w:color w:val="000000" w:themeColor="text1"/>
              </w:rPr>
              <w:t>а) субброкерську діяльність;</w:t>
            </w:r>
          </w:p>
          <w:p w14:paraId="11E71762" w14:textId="77777777" w:rsidR="0036727A" w:rsidRPr="00286216" w:rsidRDefault="0036727A" w:rsidP="0036727A">
            <w:pPr>
              <w:pStyle w:val="StyleZakonu"/>
              <w:rPr>
                <w:color w:val="000000" w:themeColor="text1"/>
              </w:rPr>
            </w:pPr>
            <w:r w:rsidRPr="00286216">
              <w:rPr>
                <w:color w:val="000000" w:themeColor="text1"/>
              </w:rPr>
              <w:t>б) брокерську діяльність;</w:t>
            </w:r>
          </w:p>
          <w:p w14:paraId="6978C57E" w14:textId="77777777" w:rsidR="0036727A" w:rsidRPr="00286216" w:rsidRDefault="0036727A" w:rsidP="0036727A">
            <w:pPr>
              <w:pStyle w:val="StyleZakonu"/>
              <w:rPr>
                <w:color w:val="000000" w:themeColor="text1"/>
              </w:rPr>
            </w:pPr>
            <w:r w:rsidRPr="00286216">
              <w:rPr>
                <w:color w:val="000000" w:themeColor="text1"/>
              </w:rPr>
              <w:t>2) професійна діяльність на ринку цінних паперів - дилерська діяльність на професійну діяльність на ринках капіталу з торгівлі фінансовими інструментами, що передбачає дилерську діяльність;</w:t>
            </w:r>
          </w:p>
          <w:p w14:paraId="593D6A22" w14:textId="77777777" w:rsidR="0036727A" w:rsidRPr="00286216" w:rsidRDefault="0036727A" w:rsidP="0036727A">
            <w:pPr>
              <w:pStyle w:val="StyleZakonu"/>
              <w:rPr>
                <w:color w:val="000000" w:themeColor="text1"/>
              </w:rPr>
            </w:pPr>
            <w:r w:rsidRPr="00286216">
              <w:rPr>
                <w:color w:val="000000" w:themeColor="text1"/>
              </w:rPr>
              <w:t>3) професійна діяльність на ринку цінних паперів - андеррайтинг на професійну діяльність на ринках капіталу з торгівлі фінансовими інструментами, що передбачає діяльність розміщення без надання гарантії;</w:t>
            </w:r>
          </w:p>
          <w:p w14:paraId="241D81C1" w14:textId="77777777" w:rsidR="0036727A" w:rsidRPr="00286216" w:rsidRDefault="0036727A" w:rsidP="0036727A">
            <w:pPr>
              <w:pStyle w:val="StyleZakonu"/>
              <w:rPr>
                <w:color w:val="000000" w:themeColor="text1"/>
              </w:rPr>
            </w:pPr>
            <w:r w:rsidRPr="00286216">
              <w:rPr>
                <w:color w:val="000000" w:themeColor="text1"/>
              </w:rPr>
              <w:t>4) професійна діяльність на ринку цінних паперів - діяльність з управління цінними паперами на професійну діяльність на ринках капіталу з торгівлі фінансовими інструментами,  що передбачає діяльність з управління портфелем фінансових інструментів;</w:t>
            </w:r>
          </w:p>
          <w:p w14:paraId="1B079611" w14:textId="77777777" w:rsidR="0036727A" w:rsidRPr="00286216" w:rsidRDefault="0036727A" w:rsidP="0036727A">
            <w:pPr>
              <w:pStyle w:val="StyleZakonu"/>
              <w:rPr>
                <w:color w:val="000000" w:themeColor="text1"/>
              </w:rPr>
            </w:pPr>
            <w:r w:rsidRPr="00286216">
              <w:rPr>
                <w:color w:val="000000" w:themeColor="text1"/>
              </w:rPr>
              <w:t>5) професійна діяльність на ринку цінних паперів - діяльність з організації торгівлі на фондовому ринку на професійну діяльність на ринках капіталу - клірингову діяльність з визначення зобов’язань та професійну діяльність на ринках капіталу з організації торгівлі,  що передбачає:</w:t>
            </w:r>
          </w:p>
          <w:p w14:paraId="0D14D28F" w14:textId="77777777" w:rsidR="0036727A" w:rsidRPr="00286216" w:rsidRDefault="0036727A" w:rsidP="0036727A">
            <w:pPr>
              <w:pStyle w:val="StyleZakonu"/>
              <w:rPr>
                <w:color w:val="000000" w:themeColor="text1"/>
              </w:rPr>
            </w:pPr>
            <w:r w:rsidRPr="00286216">
              <w:rPr>
                <w:color w:val="000000" w:themeColor="text1"/>
              </w:rPr>
              <w:t>а) діяльність з організації торгівлі цінними паперами на регульованому фондовому ринку;</w:t>
            </w:r>
          </w:p>
          <w:p w14:paraId="72DE7D41" w14:textId="77777777" w:rsidR="0036727A" w:rsidRPr="00286216" w:rsidRDefault="0036727A" w:rsidP="0036727A">
            <w:pPr>
              <w:pStyle w:val="StyleZakonu"/>
              <w:rPr>
                <w:color w:val="000000" w:themeColor="text1"/>
              </w:rPr>
            </w:pPr>
            <w:r w:rsidRPr="00286216">
              <w:rPr>
                <w:color w:val="000000" w:themeColor="text1"/>
              </w:rPr>
              <w:t>б) діяльність з організації укладання деривативних контрактів на регульованому ринку деривативних контрактів;</w:t>
            </w:r>
          </w:p>
          <w:p w14:paraId="5C78277D" w14:textId="77777777" w:rsidR="0036727A" w:rsidRPr="00286216" w:rsidRDefault="0036727A" w:rsidP="0036727A">
            <w:pPr>
              <w:pStyle w:val="StyleZakonu"/>
              <w:rPr>
                <w:color w:val="000000" w:themeColor="text1"/>
              </w:rPr>
            </w:pPr>
            <w:r w:rsidRPr="00286216">
              <w:rPr>
                <w:color w:val="000000" w:themeColor="text1"/>
              </w:rPr>
              <w:t>в) діяльність з організації торгівлі цінними паперами на фондовому багатосторонньому торгівельному майданчику;</w:t>
            </w:r>
          </w:p>
          <w:p w14:paraId="088FD070" w14:textId="77777777" w:rsidR="0036727A" w:rsidRPr="00286216" w:rsidRDefault="0036727A" w:rsidP="0036727A">
            <w:pPr>
              <w:pStyle w:val="StyleZakonu"/>
              <w:rPr>
                <w:color w:val="000000" w:themeColor="text1"/>
              </w:rPr>
            </w:pPr>
            <w:r w:rsidRPr="00286216">
              <w:rPr>
                <w:color w:val="000000" w:themeColor="text1"/>
              </w:rPr>
              <w:t xml:space="preserve">г) діяльність з організації укладання деривативних </w:t>
            </w:r>
            <w:r w:rsidRPr="00286216">
              <w:rPr>
                <w:color w:val="000000" w:themeColor="text1"/>
              </w:rPr>
              <w:lastRenderedPageBreak/>
              <w:t>контрактів на багатосторонньому торгівельному майданчику деривативних контрактів;</w:t>
            </w:r>
          </w:p>
          <w:p w14:paraId="103C0CFE" w14:textId="77777777" w:rsidR="0036727A" w:rsidRPr="00286216" w:rsidRDefault="0036727A" w:rsidP="0036727A">
            <w:pPr>
              <w:pStyle w:val="StyleZakonu"/>
              <w:rPr>
                <w:color w:val="000000" w:themeColor="text1"/>
              </w:rPr>
            </w:pPr>
            <w:r w:rsidRPr="00286216">
              <w:rPr>
                <w:color w:val="000000" w:themeColor="text1"/>
              </w:rPr>
              <w:t>6) професійна діяльність на ринку цінних паперів - клірингова діяльність на професійну діяльність на ринках капіталу - клірингову діяльність з визначення зобов’язань.</w:t>
            </w:r>
          </w:p>
          <w:p w14:paraId="0C51A8A7" w14:textId="77777777" w:rsidR="0036727A" w:rsidRPr="00286216" w:rsidRDefault="0036727A" w:rsidP="0036727A">
            <w:pPr>
              <w:pStyle w:val="StyleZakonu"/>
              <w:rPr>
                <w:color w:val="000000" w:themeColor="text1"/>
              </w:rPr>
            </w:pPr>
            <w:r w:rsidRPr="00286216">
              <w:rPr>
                <w:color w:val="000000" w:themeColor="text1"/>
              </w:rPr>
              <w:t>Для професійних учасників ринків капіталу, які на день набрання чинності цим Законом мали кілька чинних ліцензій на провадження професійної діяльності на ринку цінних паперів, переоформлення таких ліцензій здійснюється відповідно до цього Закону окремо для кожної ліцензії.</w:t>
            </w:r>
          </w:p>
          <w:p w14:paraId="33BFBAA7" w14:textId="77777777" w:rsidR="0036727A" w:rsidRPr="00286216" w:rsidRDefault="0036727A" w:rsidP="0036727A">
            <w:pPr>
              <w:pStyle w:val="StyleZakonu"/>
              <w:rPr>
                <w:color w:val="000000" w:themeColor="text1"/>
              </w:rPr>
            </w:pPr>
            <w:r w:rsidRPr="00286216">
              <w:rPr>
                <w:color w:val="000000" w:themeColor="text1"/>
              </w:rPr>
              <w:t>11. Юридичні особи, ліцензії яких вважаються переоформленими відповідно до пункту 10 цього розділу, зобов’язані подати до Національної комісії з цінних паперів та фондового ринку внутрішні документи, що підтверджують приведення їхньої діяльності у відповідність з вимогами цього Закону, в порядку та строки, встановлені Національною комісією з цінних паперів та фондового ринку, але не пізніше ніж через рік з дня набрання чинності цим Законом.</w:t>
            </w:r>
          </w:p>
          <w:p w14:paraId="5D68640B" w14:textId="77777777" w:rsidR="0036727A" w:rsidRPr="00286216" w:rsidRDefault="0036727A" w:rsidP="0036727A">
            <w:pPr>
              <w:pStyle w:val="StyleZakonu"/>
              <w:rPr>
                <w:color w:val="000000" w:themeColor="text1"/>
              </w:rPr>
            </w:pPr>
            <w:r w:rsidRPr="00286216">
              <w:rPr>
                <w:color w:val="000000" w:themeColor="text1"/>
              </w:rPr>
              <w:t>Невиконання вимог цього пункту є підставою для анулювання відповідної ліцензії.</w:t>
            </w:r>
          </w:p>
          <w:p w14:paraId="08D2EFDD" w14:textId="77777777" w:rsidR="0036727A" w:rsidRPr="00286216" w:rsidRDefault="0036727A" w:rsidP="0036727A">
            <w:pPr>
              <w:pStyle w:val="StyleZakonu"/>
              <w:rPr>
                <w:color w:val="000000" w:themeColor="text1"/>
              </w:rPr>
            </w:pPr>
            <w:r w:rsidRPr="00286216">
              <w:rPr>
                <w:color w:val="000000" w:themeColor="text1"/>
              </w:rPr>
              <w:t>12. Інші ліцензії (крім наведених у пункті 10 цього розділу), дозволи, сертифікати, свідоцтва та інші документи дозвільного характеру на ринку цінних паперів (фондовому ринку), видані Національною комісією з цінних паперів та фондового ринку, вважаються переоформленими на відповідні документи на ринках капіталу у зв’язку з набранням чинності цим Законом.</w:t>
            </w:r>
          </w:p>
          <w:p w14:paraId="1F489A0C" w14:textId="77777777" w:rsidR="0036727A" w:rsidRPr="00286216" w:rsidRDefault="0036727A" w:rsidP="0036727A">
            <w:pPr>
              <w:pStyle w:val="StyleZakonu"/>
              <w:rPr>
                <w:color w:val="000000" w:themeColor="text1"/>
              </w:rPr>
            </w:pPr>
            <w:r w:rsidRPr="00286216">
              <w:rPr>
                <w:color w:val="000000" w:themeColor="text1"/>
              </w:rPr>
              <w:t>13. Встановити, що на період до 1 січня 2022 року банки мають право видавати ощадні сертифікати на бланках ощадних (депозитних) сертифікатів, виготовлених до дня набрання чинності цим Законом.</w:t>
            </w:r>
          </w:p>
          <w:p w14:paraId="3F4A9101" w14:textId="77777777" w:rsidR="0036727A" w:rsidRPr="00286216" w:rsidRDefault="0036727A" w:rsidP="0036727A">
            <w:pPr>
              <w:pStyle w:val="StyleZakonu"/>
              <w:rPr>
                <w:color w:val="000000" w:themeColor="text1"/>
              </w:rPr>
            </w:pPr>
            <w:r w:rsidRPr="00286216">
              <w:rPr>
                <w:color w:val="000000" w:themeColor="text1"/>
              </w:rPr>
              <w:t>14. До 1 липня 2021 року  Публічне акціонерне товариство «Розрахунковий центр з обслуговування договорів на фінансових ринках» має право поєднувати клірингову діяльність з визначення зобов’язань та клірингову діяльність центрального контрагента з банківською діяльністю.</w:t>
            </w:r>
          </w:p>
          <w:p w14:paraId="2AA9BA9E" w14:textId="77777777" w:rsidR="0036727A" w:rsidRPr="00286216" w:rsidRDefault="0036727A" w:rsidP="0036727A">
            <w:pPr>
              <w:pStyle w:val="StyleZakonu"/>
              <w:rPr>
                <w:color w:val="000000" w:themeColor="text1"/>
              </w:rPr>
            </w:pPr>
            <w:r w:rsidRPr="00286216">
              <w:rPr>
                <w:color w:val="000000" w:themeColor="text1"/>
              </w:rPr>
              <w:t xml:space="preserve">15. Тимчасово на період до 1 січня 2022 року,  </w:t>
            </w:r>
            <w:r w:rsidRPr="00286216">
              <w:rPr>
                <w:color w:val="000000" w:themeColor="text1"/>
              </w:rPr>
              <w:lastRenderedPageBreak/>
              <w:t>розділ VІІІ цього Закону застосовується до облігацій внутрішніх місцевих позик з особливостями, встановленими відповідно до тимчасового порядку, затвердженого Національною комісією з цінних паперів та фондового ринку за погодженням з Національним банком України.</w:t>
            </w:r>
          </w:p>
          <w:p w14:paraId="4C68FE6A" w14:textId="77777777" w:rsidR="0036727A" w:rsidRPr="00286216" w:rsidRDefault="0036727A" w:rsidP="0036727A">
            <w:pPr>
              <w:pStyle w:val="StyleZakonu"/>
              <w:rPr>
                <w:color w:val="000000" w:themeColor="text1"/>
              </w:rPr>
            </w:pPr>
            <w:r w:rsidRPr="00286216">
              <w:rPr>
                <w:color w:val="000000" w:themeColor="text1"/>
              </w:rPr>
              <w:t>Національній комісії з цінних паперів та фондового ринку до 1 липня 2021 року розробити та за погодженням з Національним банком України затвердити передбачений цим пунктом тимчасовий порядок.</w:t>
            </w:r>
          </w:p>
          <w:p w14:paraId="72F4F921" w14:textId="77777777" w:rsidR="0036727A" w:rsidRPr="00286216" w:rsidRDefault="0036727A" w:rsidP="0036727A">
            <w:pPr>
              <w:pStyle w:val="StyleZakonu"/>
              <w:rPr>
                <w:color w:val="000000" w:themeColor="text1"/>
              </w:rPr>
            </w:pPr>
            <w:r w:rsidRPr="00286216">
              <w:rPr>
                <w:color w:val="000000" w:themeColor="text1"/>
              </w:rPr>
              <w:t>Передбачений цим пунктом нормативно-правовий акт розробляється, розглядається, приймається та оприлюднюється без урахування вимог Закону України "Про засади державної регуляторної політики у сфері господарської діяльності".</w:t>
            </w:r>
          </w:p>
          <w:p w14:paraId="3B0651E9" w14:textId="77777777" w:rsidR="0036727A" w:rsidRPr="00286216" w:rsidRDefault="0036727A" w:rsidP="0036727A">
            <w:pPr>
              <w:pStyle w:val="StyleZakonu"/>
              <w:rPr>
                <w:color w:val="000000" w:themeColor="text1"/>
              </w:rPr>
            </w:pPr>
            <w:r w:rsidRPr="00286216">
              <w:rPr>
                <w:color w:val="000000" w:themeColor="text1"/>
              </w:rPr>
              <w:t>Такий акт, прийнятий Національною комісією з цінних паперів та фондового ринку на виконання цього Закону, не підлягає державній реєстрації в Міністерстві юстиції України. Зазначений акт оприлюднюється на офіційному веб-сайті Національної комісії з цінних паперів та фондового ринку та набирає чинності з дня його офіційного опублікування.</w:t>
            </w:r>
          </w:p>
          <w:p w14:paraId="7C813946" w14:textId="77777777" w:rsidR="0036727A" w:rsidRPr="00286216" w:rsidRDefault="0036727A" w:rsidP="0036727A">
            <w:pPr>
              <w:pStyle w:val="StyleZakonu"/>
              <w:rPr>
                <w:color w:val="000000" w:themeColor="text1"/>
              </w:rPr>
            </w:pPr>
            <w:r w:rsidRPr="00286216">
              <w:rPr>
                <w:color w:val="000000" w:themeColor="text1"/>
              </w:rPr>
              <w:t>Офіційним опублікуванням такого акта Національної комісії з цінних паперів та фондового ринку вважається його оприлюднення на офіційному веб-сайті Національної комісії з цінних паперів та фондового ринку.</w:t>
            </w:r>
          </w:p>
          <w:p w14:paraId="047F2646" w14:textId="77777777" w:rsidR="0036727A" w:rsidRPr="00286216" w:rsidRDefault="0036727A" w:rsidP="0036727A">
            <w:pPr>
              <w:pStyle w:val="StyleZakonu"/>
              <w:rPr>
                <w:color w:val="000000" w:themeColor="text1"/>
              </w:rPr>
            </w:pPr>
            <w:r w:rsidRPr="00286216">
              <w:rPr>
                <w:color w:val="000000" w:themeColor="text1"/>
              </w:rPr>
              <w:t>16. Кабінету Міністрів України вжити заходів для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1CEBF804" w14:textId="77777777" w:rsidR="0036727A" w:rsidRPr="00286216" w:rsidRDefault="0036727A" w:rsidP="0036727A">
            <w:pPr>
              <w:pStyle w:val="StyleZakonu"/>
              <w:rPr>
                <w:color w:val="000000" w:themeColor="text1"/>
              </w:rPr>
            </w:pPr>
            <w:r w:rsidRPr="00286216">
              <w:rPr>
                <w:color w:val="000000" w:themeColor="text1"/>
              </w:rPr>
              <w:t>приведення своїх нормативно-правових актів у відповідність із цим Законом;</w:t>
            </w:r>
          </w:p>
          <w:p w14:paraId="239667DA" w14:textId="77777777" w:rsidR="0036727A" w:rsidRPr="00286216" w:rsidRDefault="0036727A" w:rsidP="0036727A">
            <w:pPr>
              <w:pStyle w:val="StyleZakonu"/>
              <w:rPr>
                <w:color w:val="000000" w:themeColor="text1"/>
              </w:rPr>
            </w:pPr>
            <w:r w:rsidRPr="00286216">
              <w:rPr>
                <w:color w:val="000000" w:themeColor="text1"/>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5C1AEB16" w14:textId="77777777" w:rsidR="0036727A" w:rsidRPr="00286216" w:rsidRDefault="0036727A" w:rsidP="0036727A">
            <w:pPr>
              <w:pStyle w:val="StyleZakonu"/>
              <w:rPr>
                <w:color w:val="000000" w:themeColor="text1"/>
              </w:rPr>
            </w:pPr>
            <w:r w:rsidRPr="00286216">
              <w:rPr>
                <w:color w:val="000000" w:themeColor="text1"/>
              </w:rPr>
              <w:t>17.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0FB9A37B" w14:textId="77777777" w:rsidR="0036727A" w:rsidRPr="00286216" w:rsidRDefault="0036727A" w:rsidP="0036727A">
            <w:pPr>
              <w:pStyle w:val="StyleZakonu"/>
              <w:rPr>
                <w:color w:val="000000" w:themeColor="text1"/>
              </w:rPr>
            </w:pPr>
            <w:r w:rsidRPr="00286216">
              <w:rPr>
                <w:color w:val="000000" w:themeColor="text1"/>
              </w:rPr>
              <w:lastRenderedPageBreak/>
              <w:t>18. Національній комісії з цінних паперів та фондового ринку до дня набрання чинності цим Законом розробити та затвердити нормативно-правові акти, передбачені цим Законом, та затвердити порядок виконання пунктів 10 та 12 цього розділу.</w:t>
            </w:r>
          </w:p>
          <w:p w14:paraId="0DA4DA0D" w14:textId="5FC15C28" w:rsidR="0036727A" w:rsidRPr="00286216" w:rsidRDefault="0036727A" w:rsidP="0036727A">
            <w:pPr>
              <w:pStyle w:val="StyleZakonu"/>
              <w:spacing w:after="0"/>
              <w:rPr>
                <w:color w:val="000000" w:themeColor="text1"/>
              </w:rPr>
            </w:pPr>
            <w:r w:rsidRPr="00286216">
              <w:rPr>
                <w:color w:val="000000" w:themeColor="text1"/>
              </w:rPr>
              <w:t>19. Національному банку України до дня набрання чинності цим Законом привести свої нормативно-правові акти у відповідність із цим Законом.</w:t>
            </w:r>
          </w:p>
        </w:tc>
      </w:tr>
      <w:tr w:rsidR="00826C07" w:rsidRPr="00286216" w14:paraId="4CF5BA5E" w14:textId="77777777" w:rsidTr="00091AA5">
        <w:tc>
          <w:tcPr>
            <w:tcW w:w="576" w:type="dxa"/>
          </w:tcPr>
          <w:p w14:paraId="2F4BF89A" w14:textId="38A2CDAA" w:rsidR="00826C07" w:rsidRPr="00286216" w:rsidRDefault="00826C07" w:rsidP="00826C07">
            <w:pPr>
              <w:pStyle w:val="StyleWisnow"/>
              <w:rPr>
                <w:color w:val="000000" w:themeColor="text1"/>
              </w:rPr>
            </w:pPr>
            <w:bookmarkStart w:id="2126" w:name="n2353" w:colFirst="0" w:colLast="0"/>
          </w:p>
        </w:tc>
        <w:tc>
          <w:tcPr>
            <w:tcW w:w="4818" w:type="dxa"/>
          </w:tcPr>
          <w:p w14:paraId="108D07A9" w14:textId="77777777" w:rsidR="00826C07" w:rsidRPr="00286216" w:rsidRDefault="00826C07" w:rsidP="00826C07">
            <w:pPr>
              <w:pStyle w:val="StyleZakonu"/>
              <w:rPr>
                <w:color w:val="000000" w:themeColor="text1"/>
              </w:rPr>
            </w:pPr>
          </w:p>
        </w:tc>
        <w:tc>
          <w:tcPr>
            <w:tcW w:w="3686" w:type="dxa"/>
          </w:tcPr>
          <w:p w14:paraId="0D6B9E76" w14:textId="4AEBCC69"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1107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4AAD3F4" w14:textId="77777777" w:rsidR="00826C07" w:rsidRPr="00286216" w:rsidRDefault="00826C07" w:rsidP="00826C07">
            <w:pPr>
              <w:spacing w:line="180" w:lineRule="exact"/>
              <w:ind w:firstLine="227"/>
              <w:jc w:val="both"/>
              <w:rPr>
                <w:color w:val="000000" w:themeColor="text1"/>
                <w:sz w:val="18"/>
              </w:rPr>
            </w:pPr>
            <w:r w:rsidRPr="00286216">
              <w:rPr>
                <w:color w:val="000000" w:themeColor="text1"/>
                <w:sz w:val="18"/>
              </w:rPr>
              <w:t>Доповнити розділ І новим розділом такого змісту:</w:t>
            </w:r>
          </w:p>
          <w:p w14:paraId="7C1EEF18" w14:textId="1C92F866" w:rsidR="00826C07" w:rsidRPr="00286216" w:rsidRDefault="00826C07" w:rsidP="00826C07">
            <w:pPr>
              <w:spacing w:line="180" w:lineRule="exact"/>
              <w:ind w:firstLine="227"/>
              <w:jc w:val="both"/>
              <w:rPr>
                <w:color w:val="000000" w:themeColor="text1"/>
                <w:sz w:val="18"/>
              </w:rPr>
            </w:pPr>
            <w:r w:rsidRPr="00286216">
              <w:rPr>
                <w:color w:val="000000" w:themeColor="text1"/>
                <w:sz w:val="18"/>
              </w:rPr>
              <w:t>«Розділ ХІІ ПРИКІНЦЕВІ ТА ПЕРЕІДНІ ПОЛОЖЕННЯ</w:t>
            </w:r>
          </w:p>
          <w:p w14:paraId="49C7549E" w14:textId="77777777" w:rsidR="00826C07" w:rsidRPr="00286216" w:rsidRDefault="00826C07" w:rsidP="00826C07">
            <w:pPr>
              <w:spacing w:line="180" w:lineRule="exact"/>
              <w:ind w:firstLine="227"/>
              <w:jc w:val="both"/>
              <w:rPr>
                <w:color w:val="000000" w:themeColor="text1"/>
                <w:sz w:val="18"/>
              </w:rPr>
            </w:pPr>
            <w:r w:rsidRPr="00286216">
              <w:rPr>
                <w:color w:val="000000" w:themeColor="text1"/>
                <w:sz w:val="18"/>
              </w:rPr>
              <w:t>1. Цей Закон набирає чинності з 1 січня 2021 року.</w:t>
            </w:r>
          </w:p>
          <w:p w14:paraId="7F06169F" w14:textId="41FACA33" w:rsidR="00826C07" w:rsidRPr="00286216" w:rsidRDefault="00826C07" w:rsidP="00826C07">
            <w:pPr>
              <w:pStyle w:val="StyleProp"/>
              <w:spacing w:line="180" w:lineRule="exact"/>
              <w:rPr>
                <w:b/>
                <w:color w:val="000000" w:themeColor="text1"/>
                <w:szCs w:val="18"/>
              </w:rPr>
            </w:pPr>
            <w:r w:rsidRPr="00286216">
              <w:rPr>
                <w:color w:val="000000" w:themeColor="text1"/>
              </w:rPr>
              <w:t xml:space="preserve">2. З дня набрання чинності цим Законом професійні учасники ринків капіталу та організованих товарних ринків, що функціонують у формі товариства з обмеженою відповідальністю або товариства з додатковою відповідальністю, та в яких не створена наглядова рада або інший орган, відповідальний за здійснення нагляду, можуть прийняти рішення про тимчасове, до 31 грудня 2022 року включно, покладення виконання функцій органу, відповідального за здійснення нагляду, на загальні збори учасників. </w:t>
            </w:r>
            <w:r w:rsidRPr="00286216">
              <w:rPr>
                <w:color w:val="000000" w:themeColor="text1"/>
                <w:spacing w:val="-3"/>
              </w:rPr>
              <w:t>П</w:t>
            </w:r>
            <w:r w:rsidRPr="00286216">
              <w:rPr>
                <w:color w:val="000000" w:themeColor="text1"/>
              </w:rPr>
              <w:t>ри цьому вимоги абзаців першого-третього частини сьомої статті 72 не поширюються на загальні збори учасників, що виконують функції органу, відповідального за здійснення нагляду».</w:t>
            </w:r>
          </w:p>
        </w:tc>
        <w:tc>
          <w:tcPr>
            <w:tcW w:w="1987" w:type="dxa"/>
          </w:tcPr>
          <w:p w14:paraId="279EE12D" w14:textId="77777777" w:rsidR="00826C07" w:rsidRPr="00286216" w:rsidRDefault="00826C07" w:rsidP="00826C07">
            <w:pPr>
              <w:pStyle w:val="StyleWisnow"/>
              <w:rPr>
                <w:color w:val="000000" w:themeColor="text1"/>
              </w:rPr>
            </w:pPr>
            <w:r w:rsidRPr="00286216">
              <w:rPr>
                <w:color w:val="000000" w:themeColor="text1"/>
              </w:rPr>
              <w:t xml:space="preserve">Враховано </w:t>
            </w:r>
          </w:p>
          <w:p w14:paraId="1531484D" w14:textId="77777777" w:rsidR="00826C07" w:rsidRPr="00286216" w:rsidRDefault="00826C07" w:rsidP="00826C07">
            <w:pPr>
              <w:pStyle w:val="StyleWisnow"/>
              <w:spacing w:line="180" w:lineRule="exact"/>
              <w:rPr>
                <w:color w:val="000000" w:themeColor="text1"/>
              </w:rPr>
            </w:pPr>
            <w:r w:rsidRPr="00286216">
              <w:rPr>
                <w:color w:val="000000" w:themeColor="text1"/>
              </w:rPr>
              <w:t>у запропонованій редакції розділу</w:t>
            </w:r>
          </w:p>
        </w:tc>
        <w:tc>
          <w:tcPr>
            <w:tcW w:w="4818" w:type="dxa"/>
          </w:tcPr>
          <w:p w14:paraId="1EAF7A5B" w14:textId="77777777" w:rsidR="00826C07" w:rsidRPr="00286216" w:rsidRDefault="00826C07" w:rsidP="00826C07">
            <w:pPr>
              <w:pStyle w:val="StyleZakonu"/>
              <w:rPr>
                <w:color w:val="000000" w:themeColor="text1"/>
              </w:rPr>
            </w:pPr>
          </w:p>
        </w:tc>
      </w:tr>
      <w:tr w:rsidR="00826C07" w:rsidRPr="00286216" w14:paraId="55E318C1" w14:textId="77777777" w:rsidTr="00091AA5">
        <w:tc>
          <w:tcPr>
            <w:tcW w:w="576" w:type="dxa"/>
          </w:tcPr>
          <w:p w14:paraId="09FB82AA" w14:textId="77777777" w:rsidR="00826C07" w:rsidRPr="00286216" w:rsidRDefault="00826C07" w:rsidP="00826C07">
            <w:pPr>
              <w:pStyle w:val="StyleWisnow"/>
              <w:rPr>
                <w:color w:val="000000" w:themeColor="text1"/>
              </w:rPr>
            </w:pPr>
          </w:p>
        </w:tc>
        <w:tc>
          <w:tcPr>
            <w:tcW w:w="4818" w:type="dxa"/>
          </w:tcPr>
          <w:p w14:paraId="10D0776C" w14:textId="77777777" w:rsidR="00826C07" w:rsidRPr="00286216" w:rsidRDefault="00826C07" w:rsidP="00826C07">
            <w:pPr>
              <w:pStyle w:val="StyleZakonu"/>
              <w:rPr>
                <w:color w:val="000000" w:themeColor="text1"/>
              </w:rPr>
            </w:pPr>
          </w:p>
        </w:tc>
        <w:tc>
          <w:tcPr>
            <w:tcW w:w="3686" w:type="dxa"/>
          </w:tcPr>
          <w:p w14:paraId="28821E89" w14:textId="50915549" w:rsidR="00826C07" w:rsidRPr="00286216" w:rsidRDefault="00826C07" w:rsidP="00826C07">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1108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22DA3F5E" w14:textId="77777777" w:rsidR="00826C07" w:rsidRPr="00286216" w:rsidRDefault="00826C07" w:rsidP="00826C07">
            <w:pPr>
              <w:pStyle w:val="StyleProp"/>
              <w:spacing w:line="180" w:lineRule="exact"/>
              <w:rPr>
                <w:color w:val="000000" w:themeColor="text1"/>
              </w:rPr>
            </w:pPr>
            <w:r w:rsidRPr="00286216">
              <w:rPr>
                <w:color w:val="000000" w:themeColor="text1"/>
              </w:rPr>
              <w:t>Передбачити такій перехідні вимоги до початкового капіталу інвестиційної фірми:</w:t>
            </w:r>
          </w:p>
          <w:p w14:paraId="29BDCB92" w14:textId="77777777" w:rsidR="00826C07" w:rsidRPr="00286216" w:rsidRDefault="00826C07" w:rsidP="00826C07">
            <w:pPr>
              <w:pStyle w:val="StyleProp"/>
              <w:spacing w:line="180" w:lineRule="exact"/>
              <w:rPr>
                <w:color w:val="000000" w:themeColor="text1"/>
              </w:rPr>
            </w:pPr>
            <w:r w:rsidRPr="00286216">
              <w:rPr>
                <w:color w:val="000000" w:themeColor="text1"/>
              </w:rPr>
              <w:t>«Вимоги до початкового капіталу інвестиційної фірми, передбачені частиною третьою статті 42 Закону України "Про ринки капіталу та організовані товарні ринки", застосовуються:</w:t>
            </w:r>
          </w:p>
          <w:p w14:paraId="71377262" w14:textId="77777777" w:rsidR="00826C07" w:rsidRPr="00286216" w:rsidRDefault="00826C07" w:rsidP="00826C07">
            <w:pPr>
              <w:pStyle w:val="StyleProp"/>
              <w:spacing w:line="180" w:lineRule="exact"/>
              <w:rPr>
                <w:color w:val="000000" w:themeColor="text1"/>
              </w:rPr>
            </w:pPr>
            <w:r w:rsidRPr="00286216">
              <w:rPr>
                <w:color w:val="000000" w:themeColor="text1"/>
              </w:rPr>
              <w:t>У період з 1 січня 2021 року по 31 грудня 2022 року з коефіцієнтом 0,5;</w:t>
            </w:r>
          </w:p>
          <w:p w14:paraId="772C0B57" w14:textId="77777777" w:rsidR="00826C07" w:rsidRPr="00286216" w:rsidRDefault="00826C07" w:rsidP="00826C07">
            <w:pPr>
              <w:pStyle w:val="StyleProp"/>
              <w:spacing w:line="180" w:lineRule="exact"/>
              <w:rPr>
                <w:b/>
                <w:color w:val="000000" w:themeColor="text1"/>
              </w:rPr>
            </w:pPr>
            <w:r w:rsidRPr="00286216">
              <w:rPr>
                <w:color w:val="000000" w:themeColor="text1"/>
              </w:rPr>
              <w:t>У період з 1 січня 2023 року по 31 грудня 2023 року з коефіцієнтом 0,75».</w:t>
            </w:r>
          </w:p>
        </w:tc>
        <w:tc>
          <w:tcPr>
            <w:tcW w:w="1987" w:type="dxa"/>
          </w:tcPr>
          <w:p w14:paraId="6FBBFE9D" w14:textId="77777777" w:rsidR="00826C07" w:rsidRPr="00286216" w:rsidRDefault="00826C07" w:rsidP="00826C07">
            <w:pPr>
              <w:pStyle w:val="StyleWisnow"/>
              <w:rPr>
                <w:color w:val="000000" w:themeColor="text1"/>
              </w:rPr>
            </w:pPr>
            <w:r w:rsidRPr="00286216">
              <w:rPr>
                <w:color w:val="000000" w:themeColor="text1"/>
              </w:rPr>
              <w:t>Враховано</w:t>
            </w:r>
          </w:p>
          <w:p w14:paraId="1A23D089" w14:textId="15CDDCA8" w:rsidR="00826C07" w:rsidRPr="00286216" w:rsidRDefault="00826C07" w:rsidP="00826C07">
            <w:pPr>
              <w:pStyle w:val="StyleWisnow"/>
              <w:rPr>
                <w:color w:val="000000" w:themeColor="text1"/>
              </w:rPr>
            </w:pPr>
            <w:r w:rsidRPr="00286216">
              <w:rPr>
                <w:color w:val="000000" w:themeColor="text1"/>
              </w:rPr>
              <w:t>у запропонованій редакції цього розділу</w:t>
            </w:r>
          </w:p>
          <w:p w14:paraId="6B03E937" w14:textId="77777777" w:rsidR="00826C07" w:rsidRPr="00286216" w:rsidRDefault="00826C07" w:rsidP="00826C07">
            <w:pPr>
              <w:pStyle w:val="StyleWisnow"/>
              <w:rPr>
                <w:color w:val="000000" w:themeColor="text1"/>
              </w:rPr>
            </w:pPr>
            <w:r w:rsidRPr="00286216">
              <w:rPr>
                <w:color w:val="000000" w:themeColor="text1"/>
              </w:rPr>
              <w:t>в пункті 4</w:t>
            </w:r>
          </w:p>
        </w:tc>
        <w:tc>
          <w:tcPr>
            <w:tcW w:w="4818" w:type="dxa"/>
          </w:tcPr>
          <w:p w14:paraId="1016CDD5" w14:textId="77777777" w:rsidR="00826C07" w:rsidRPr="00286216" w:rsidRDefault="00826C07" w:rsidP="00826C07">
            <w:pPr>
              <w:pStyle w:val="StyleZakonu"/>
              <w:rPr>
                <w:color w:val="000000" w:themeColor="text1"/>
              </w:rPr>
            </w:pPr>
          </w:p>
        </w:tc>
      </w:tr>
      <w:tr w:rsidR="00826C07" w:rsidRPr="00286216" w14:paraId="26BF7E05" w14:textId="77777777" w:rsidTr="00091AA5">
        <w:tc>
          <w:tcPr>
            <w:tcW w:w="576" w:type="dxa"/>
          </w:tcPr>
          <w:p w14:paraId="04397CAF" w14:textId="77777777" w:rsidR="00826C07" w:rsidRPr="00286216" w:rsidRDefault="00826C07" w:rsidP="00826C07">
            <w:pPr>
              <w:pStyle w:val="StyleWisnow"/>
              <w:rPr>
                <w:color w:val="000000" w:themeColor="text1"/>
              </w:rPr>
            </w:pPr>
            <w:bookmarkStart w:id="2127" w:name="n2354" w:colFirst="0" w:colLast="0"/>
            <w:bookmarkEnd w:id="2126"/>
            <w:r w:rsidRPr="00286216">
              <w:rPr>
                <w:color w:val="000000" w:themeColor="text1"/>
              </w:rPr>
              <w:t>2354.</w:t>
            </w:r>
          </w:p>
        </w:tc>
        <w:tc>
          <w:tcPr>
            <w:tcW w:w="4818" w:type="dxa"/>
          </w:tcPr>
          <w:p w14:paraId="2C70ED83" w14:textId="77777777" w:rsidR="00826C07" w:rsidRPr="00286216" w:rsidRDefault="00826C07" w:rsidP="00BB35BA">
            <w:pPr>
              <w:pStyle w:val="StyleZakonu"/>
              <w:spacing w:after="0"/>
              <w:rPr>
                <w:color w:val="000000" w:themeColor="text1"/>
              </w:rPr>
            </w:pPr>
            <w:r w:rsidRPr="00286216">
              <w:rPr>
                <w:color w:val="000000" w:themeColor="text1"/>
              </w:rPr>
              <w:t>Розділ 2.</w:t>
            </w:r>
            <w:r w:rsidRPr="00286216">
              <w:rPr>
                <w:b/>
                <w:color w:val="000000" w:themeColor="text1"/>
              </w:rPr>
              <w:t xml:space="preserve"> </w:t>
            </w:r>
            <w:r w:rsidRPr="00286216">
              <w:rPr>
                <w:color w:val="000000" w:themeColor="text1"/>
              </w:rPr>
              <w:t>Внести зміни до Закону України "Про товарну біржу" (Відомості Верховної Ради України (ВВР), 1992, N 10, ст.139, із наступними змінами), виклавши його в такій редакції:</w:t>
            </w:r>
          </w:p>
        </w:tc>
        <w:tc>
          <w:tcPr>
            <w:tcW w:w="3686" w:type="dxa"/>
          </w:tcPr>
          <w:p w14:paraId="3954A86E" w14:textId="33EC62BF" w:rsidR="00826C07" w:rsidRPr="00286216" w:rsidRDefault="00826C07" w:rsidP="00826C07">
            <w:pPr>
              <w:pStyle w:val="StyleAwt"/>
              <w:spacing w:line="180" w:lineRule="exact"/>
              <w:rPr>
                <w:color w:val="000000" w:themeColor="text1"/>
                <w:spacing w:val="-3"/>
              </w:rPr>
            </w:pPr>
          </w:p>
          <w:p w14:paraId="5CC301A1" w14:textId="7501E9CC" w:rsidR="00826C07" w:rsidRPr="00286216" w:rsidRDefault="00826C07" w:rsidP="00826C07">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1109</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tc>
        <w:tc>
          <w:tcPr>
            <w:tcW w:w="1987" w:type="dxa"/>
          </w:tcPr>
          <w:p w14:paraId="45A92C41" w14:textId="5A9F4785" w:rsidR="00826C07" w:rsidRDefault="00826C07" w:rsidP="00BB35BA">
            <w:pPr>
              <w:pStyle w:val="StyleWisnow"/>
              <w:spacing w:line="180" w:lineRule="exact"/>
              <w:rPr>
                <w:color w:val="000000" w:themeColor="text1"/>
              </w:rPr>
            </w:pPr>
          </w:p>
          <w:p w14:paraId="2B87A644" w14:textId="77777777" w:rsidR="00BB35BA" w:rsidRPr="00286216" w:rsidRDefault="00BB35BA" w:rsidP="00BB35BA">
            <w:pPr>
              <w:pStyle w:val="StyleWisnow"/>
              <w:spacing w:line="180" w:lineRule="exact"/>
              <w:rPr>
                <w:color w:val="000000" w:themeColor="text1"/>
              </w:rPr>
            </w:pPr>
          </w:p>
          <w:p w14:paraId="1A82EDB9" w14:textId="1BBC5EB4" w:rsidR="00826C07" w:rsidRPr="00286216" w:rsidRDefault="00826C07" w:rsidP="00BB35BA">
            <w:pPr>
              <w:pStyle w:val="StyleWisnow"/>
              <w:spacing w:line="180" w:lineRule="exact"/>
              <w:rPr>
                <w:color w:val="000000" w:themeColor="text1"/>
              </w:rPr>
            </w:pPr>
            <w:r w:rsidRPr="00286216">
              <w:rPr>
                <w:color w:val="000000" w:themeColor="text1"/>
              </w:rPr>
              <w:t>Враховано</w:t>
            </w:r>
          </w:p>
          <w:p w14:paraId="40EC4F2A" w14:textId="5FE37A80" w:rsidR="00826C07" w:rsidRPr="00286216" w:rsidRDefault="00826C07" w:rsidP="00BB35BA">
            <w:pPr>
              <w:pStyle w:val="StyleWisnow"/>
              <w:spacing w:line="180" w:lineRule="exact"/>
              <w:rPr>
                <w:color w:val="000000" w:themeColor="text1"/>
              </w:rPr>
            </w:pPr>
            <w:r w:rsidRPr="00286216">
              <w:rPr>
                <w:color w:val="000000" w:themeColor="text1"/>
              </w:rPr>
              <w:t xml:space="preserve">з дотриманням правил </w:t>
            </w:r>
            <w:r w:rsidR="00BB35BA" w:rsidRPr="00BB35BA">
              <w:rPr>
                <w:color w:val="000000"/>
                <w:spacing w:val="-6"/>
              </w:rPr>
              <w:t>нормопроектувальної</w:t>
            </w:r>
            <w:r w:rsidR="00BB35BA" w:rsidRPr="00286216">
              <w:rPr>
                <w:color w:val="000000" w:themeColor="text1"/>
              </w:rPr>
              <w:t xml:space="preserve"> </w:t>
            </w:r>
          </w:p>
        </w:tc>
        <w:tc>
          <w:tcPr>
            <w:tcW w:w="4818" w:type="dxa"/>
          </w:tcPr>
          <w:p w14:paraId="44A5C691" w14:textId="77777777" w:rsidR="00826C07" w:rsidRPr="00286216" w:rsidRDefault="00826C07" w:rsidP="00826C07">
            <w:pPr>
              <w:pStyle w:val="StyleZakonu"/>
              <w:rPr>
                <w:color w:val="000000" w:themeColor="text1"/>
              </w:rPr>
            </w:pPr>
          </w:p>
        </w:tc>
      </w:tr>
      <w:tr w:rsidR="001A75A4" w:rsidRPr="00286216" w14:paraId="08B95D93" w14:textId="77777777" w:rsidTr="00091AA5">
        <w:tc>
          <w:tcPr>
            <w:tcW w:w="576" w:type="dxa"/>
          </w:tcPr>
          <w:p w14:paraId="173FDD7E" w14:textId="77777777" w:rsidR="00BB35BA" w:rsidRDefault="00BB35BA" w:rsidP="001A75A4">
            <w:pPr>
              <w:pStyle w:val="StyleWisnow"/>
              <w:rPr>
                <w:color w:val="000000" w:themeColor="text1"/>
              </w:rPr>
            </w:pPr>
            <w:bookmarkStart w:id="2128" w:name="n2355" w:colFirst="0" w:colLast="0"/>
            <w:bookmarkEnd w:id="2127"/>
          </w:p>
          <w:p w14:paraId="1B525B63" w14:textId="3F96CCE9" w:rsidR="001A75A4" w:rsidRPr="00286216" w:rsidRDefault="001A75A4" w:rsidP="001A75A4">
            <w:pPr>
              <w:pStyle w:val="StyleWisnow"/>
              <w:rPr>
                <w:color w:val="000000" w:themeColor="text1"/>
              </w:rPr>
            </w:pPr>
            <w:r w:rsidRPr="00286216">
              <w:rPr>
                <w:color w:val="000000" w:themeColor="text1"/>
              </w:rPr>
              <w:t>2355.</w:t>
            </w:r>
          </w:p>
        </w:tc>
        <w:tc>
          <w:tcPr>
            <w:tcW w:w="4818" w:type="dxa"/>
          </w:tcPr>
          <w:p w14:paraId="671E2A96" w14:textId="77777777" w:rsidR="00BB35BA" w:rsidRDefault="00BB35BA" w:rsidP="001A75A4">
            <w:pPr>
              <w:pStyle w:val="StyleZakonu"/>
              <w:spacing w:after="0"/>
              <w:ind w:firstLine="0"/>
              <w:jc w:val="center"/>
              <w:rPr>
                <w:bCs/>
                <w:color w:val="000000" w:themeColor="text1"/>
                <w:lang w:eastAsia="uk-UA"/>
              </w:rPr>
            </w:pPr>
          </w:p>
          <w:p w14:paraId="4188A913" w14:textId="3639EBF7" w:rsidR="001A75A4" w:rsidRPr="00286216" w:rsidRDefault="001A75A4" w:rsidP="001A75A4">
            <w:pPr>
              <w:pStyle w:val="StyleZakonu"/>
              <w:spacing w:after="0"/>
              <w:ind w:firstLine="0"/>
              <w:jc w:val="center"/>
              <w:rPr>
                <w:color w:val="000000" w:themeColor="text1"/>
              </w:rPr>
            </w:pPr>
            <w:r w:rsidRPr="00286216">
              <w:rPr>
                <w:bCs/>
                <w:color w:val="000000" w:themeColor="text1"/>
                <w:lang w:eastAsia="uk-UA"/>
              </w:rPr>
              <w:t>"</w:t>
            </w:r>
            <w:r w:rsidRPr="00286216">
              <w:rPr>
                <w:color w:val="000000" w:themeColor="text1"/>
              </w:rPr>
              <w:t>ЗАКОН УКРАЇНИ</w:t>
            </w:r>
          </w:p>
          <w:p w14:paraId="32CB1C03" w14:textId="77777777" w:rsidR="001A75A4" w:rsidRPr="00286216" w:rsidRDefault="001A75A4" w:rsidP="001A75A4">
            <w:pPr>
              <w:pStyle w:val="StyleZakonu"/>
              <w:ind w:firstLine="0"/>
              <w:jc w:val="center"/>
              <w:rPr>
                <w:color w:val="000000" w:themeColor="text1"/>
              </w:rPr>
            </w:pPr>
            <w:bookmarkStart w:id="2129" w:name="o2"/>
            <w:bookmarkEnd w:id="2129"/>
            <w:r w:rsidRPr="00286216">
              <w:rPr>
                <w:color w:val="000000" w:themeColor="text1"/>
              </w:rPr>
              <w:t>Про товарну біржу</w:t>
            </w:r>
          </w:p>
        </w:tc>
        <w:tc>
          <w:tcPr>
            <w:tcW w:w="3686" w:type="dxa"/>
          </w:tcPr>
          <w:p w14:paraId="41E868A0"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 xml:space="preserve">У звʼязку із великим обсягом законопроекту, для оптимізації підготовки до розгляду в другому читанні, а також з метою спрощення правозастосування у разі, якщо він </w:t>
            </w:r>
            <w:r w:rsidRPr="00286216">
              <w:rPr>
                <w:color w:val="000000" w:themeColor="text1"/>
                <w:spacing w:val="-2"/>
              </w:rPr>
              <w:lastRenderedPageBreak/>
              <w:t>буде прийнятий в цілому, пропонується викласти текст законопроекту в редакції проектів трьох законів з такими назвами:</w:t>
            </w:r>
          </w:p>
          <w:p w14:paraId="34FE7E53" w14:textId="0C02A2F0" w:rsidR="001A75A4" w:rsidRPr="00286216" w:rsidRDefault="001A75A4" w:rsidP="00BB35BA">
            <w:pPr>
              <w:pStyle w:val="StyleProp"/>
              <w:spacing w:line="190" w:lineRule="exact"/>
              <w:rPr>
                <w:color w:val="000000" w:themeColor="text1"/>
              </w:rPr>
            </w:pPr>
            <w:r w:rsidRPr="00286216">
              <w:rPr>
                <w:color w:val="000000" w:themeColor="text1"/>
              </w:rPr>
              <w:t>1. "Про ринки капіталу та організовані товарні ринки";</w:t>
            </w:r>
          </w:p>
        </w:tc>
        <w:tc>
          <w:tcPr>
            <w:tcW w:w="1987" w:type="dxa"/>
          </w:tcPr>
          <w:p w14:paraId="22410AD3" w14:textId="1112D21B" w:rsidR="001A75A4" w:rsidRPr="00286216" w:rsidRDefault="00BB35BA" w:rsidP="001A75A4">
            <w:pPr>
              <w:pStyle w:val="StyleWisnow"/>
              <w:spacing w:line="200" w:lineRule="exact"/>
              <w:rPr>
                <w:color w:val="000000" w:themeColor="text1"/>
              </w:rPr>
            </w:pPr>
            <w:r w:rsidRPr="00BB35BA">
              <w:rPr>
                <w:color w:val="000000"/>
              </w:rPr>
              <w:lastRenderedPageBreak/>
              <w:t>техніки</w:t>
            </w:r>
          </w:p>
        </w:tc>
        <w:tc>
          <w:tcPr>
            <w:tcW w:w="4818" w:type="dxa"/>
          </w:tcPr>
          <w:p w14:paraId="3B2E10BB" w14:textId="77777777" w:rsidR="00BB35BA" w:rsidRDefault="00BB35BA" w:rsidP="001A75A4">
            <w:pPr>
              <w:pStyle w:val="StyleZakonu"/>
              <w:spacing w:after="0"/>
              <w:ind w:firstLine="0"/>
              <w:jc w:val="center"/>
              <w:rPr>
                <w:color w:val="000000" w:themeColor="text1"/>
              </w:rPr>
            </w:pPr>
          </w:p>
          <w:p w14:paraId="348C641F" w14:textId="5FE04E70" w:rsidR="001A75A4" w:rsidRPr="00286216" w:rsidRDefault="001A75A4" w:rsidP="001A75A4">
            <w:pPr>
              <w:pStyle w:val="StyleZakonu"/>
              <w:spacing w:after="0"/>
              <w:ind w:firstLine="0"/>
              <w:jc w:val="center"/>
              <w:rPr>
                <w:color w:val="000000" w:themeColor="text1"/>
              </w:rPr>
            </w:pPr>
            <w:r w:rsidRPr="00286216">
              <w:rPr>
                <w:color w:val="000000" w:themeColor="text1"/>
              </w:rPr>
              <w:t>ЗАКОН УКРАЇНИ</w:t>
            </w:r>
          </w:p>
          <w:p w14:paraId="6F4016D8" w14:textId="08E9DAF9" w:rsidR="001A75A4" w:rsidRPr="00286216" w:rsidRDefault="001A75A4" w:rsidP="001A75A4">
            <w:pPr>
              <w:pStyle w:val="StyleZakonu"/>
              <w:ind w:firstLine="0"/>
              <w:jc w:val="center"/>
              <w:rPr>
                <w:color w:val="000000" w:themeColor="text1"/>
              </w:rPr>
            </w:pPr>
            <w:r w:rsidRPr="00286216">
              <w:rPr>
                <w:color w:val="000000" w:themeColor="text1"/>
              </w:rPr>
              <w:t>Про товарні біржі</w:t>
            </w:r>
          </w:p>
        </w:tc>
      </w:tr>
      <w:tr w:rsidR="001A75A4" w:rsidRPr="00286216" w14:paraId="4C059F18" w14:textId="77777777" w:rsidTr="00091AA5">
        <w:tc>
          <w:tcPr>
            <w:tcW w:w="576" w:type="dxa"/>
          </w:tcPr>
          <w:p w14:paraId="4A4782AE" w14:textId="77777777" w:rsidR="001A75A4" w:rsidRPr="00286216" w:rsidRDefault="001A75A4" w:rsidP="001A75A4">
            <w:pPr>
              <w:pStyle w:val="StyleWisnow"/>
              <w:rPr>
                <w:color w:val="000000" w:themeColor="text1"/>
              </w:rPr>
            </w:pPr>
            <w:bookmarkStart w:id="2130" w:name="n2356" w:colFirst="0" w:colLast="0"/>
            <w:bookmarkEnd w:id="2128"/>
            <w:r w:rsidRPr="00286216">
              <w:rPr>
                <w:color w:val="000000" w:themeColor="text1"/>
              </w:rPr>
              <w:t>2356.</w:t>
            </w:r>
          </w:p>
        </w:tc>
        <w:tc>
          <w:tcPr>
            <w:tcW w:w="4818" w:type="dxa"/>
          </w:tcPr>
          <w:p w14:paraId="346D227B" w14:textId="77777777" w:rsidR="001A75A4" w:rsidRPr="00286216" w:rsidRDefault="001A75A4" w:rsidP="001A75A4">
            <w:pPr>
              <w:pStyle w:val="StyleZakonu"/>
              <w:spacing w:after="0"/>
              <w:ind w:firstLine="0"/>
              <w:jc w:val="center"/>
              <w:rPr>
                <w:color w:val="000000" w:themeColor="text1"/>
              </w:rPr>
            </w:pPr>
            <w:bookmarkStart w:id="2131" w:name="o4"/>
            <w:bookmarkStart w:id="2132" w:name="o5"/>
            <w:bookmarkStart w:id="2133" w:name="o6"/>
            <w:bookmarkStart w:id="2134" w:name="o7"/>
            <w:bookmarkStart w:id="2135" w:name="o8"/>
            <w:bookmarkStart w:id="2136" w:name="o9"/>
            <w:bookmarkStart w:id="2137" w:name="o10"/>
            <w:bookmarkStart w:id="2138" w:name="o11"/>
            <w:bookmarkStart w:id="2139" w:name="o12"/>
            <w:bookmarkStart w:id="2140" w:name="o13"/>
            <w:bookmarkEnd w:id="2131"/>
            <w:bookmarkEnd w:id="2132"/>
            <w:bookmarkEnd w:id="2133"/>
            <w:bookmarkEnd w:id="2134"/>
            <w:bookmarkEnd w:id="2135"/>
            <w:bookmarkEnd w:id="2136"/>
            <w:bookmarkEnd w:id="2137"/>
            <w:bookmarkEnd w:id="2138"/>
            <w:bookmarkEnd w:id="2139"/>
            <w:bookmarkEnd w:id="2140"/>
            <w:r w:rsidRPr="00286216">
              <w:rPr>
                <w:color w:val="000000" w:themeColor="text1"/>
              </w:rPr>
              <w:t>Розділ I</w:t>
            </w:r>
          </w:p>
          <w:p w14:paraId="59D09748" w14:textId="77777777" w:rsidR="001A75A4" w:rsidRPr="00286216" w:rsidRDefault="001A75A4" w:rsidP="001A75A4">
            <w:pPr>
              <w:pStyle w:val="StyleZakonu"/>
              <w:ind w:firstLine="0"/>
              <w:jc w:val="center"/>
              <w:rPr>
                <w:color w:val="000000" w:themeColor="text1"/>
              </w:rPr>
            </w:pPr>
            <w:bookmarkStart w:id="2141" w:name="o14"/>
            <w:bookmarkEnd w:id="2141"/>
            <w:r w:rsidRPr="00286216">
              <w:rPr>
                <w:color w:val="000000" w:themeColor="text1"/>
              </w:rPr>
              <w:t>ЗАГАЛЬНІ ПОЛОЖЕННЯ</w:t>
            </w:r>
          </w:p>
        </w:tc>
        <w:tc>
          <w:tcPr>
            <w:tcW w:w="3686" w:type="dxa"/>
          </w:tcPr>
          <w:p w14:paraId="44AC3F77" w14:textId="77777777" w:rsidR="001A75A4" w:rsidRPr="00286216" w:rsidRDefault="001A75A4" w:rsidP="00BB35BA">
            <w:pPr>
              <w:pStyle w:val="StyleProp"/>
              <w:spacing w:line="190" w:lineRule="exact"/>
              <w:rPr>
                <w:color w:val="000000" w:themeColor="text1"/>
              </w:rPr>
            </w:pPr>
            <w:r w:rsidRPr="00286216">
              <w:rPr>
                <w:color w:val="000000" w:themeColor="text1"/>
              </w:rPr>
              <w:t>2. "Про товарні біржі";</w:t>
            </w:r>
          </w:p>
          <w:p w14:paraId="324893C0" w14:textId="1F0B91EC" w:rsidR="001A75A4" w:rsidRPr="00286216" w:rsidRDefault="001A75A4" w:rsidP="00BB35BA">
            <w:pPr>
              <w:pStyle w:val="StyleProp"/>
              <w:spacing w:line="180" w:lineRule="exact"/>
              <w:rPr>
                <w:color w:val="000000" w:themeColor="text1"/>
                <w:szCs w:val="18"/>
              </w:rPr>
            </w:pPr>
            <w:r w:rsidRPr="00286216">
              <w:rPr>
                <w:color w:val="000000" w:themeColor="text1"/>
              </w:rPr>
              <w:t>3.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1987" w:type="dxa"/>
          </w:tcPr>
          <w:p w14:paraId="25590A7D" w14:textId="77777777" w:rsidR="001A75A4" w:rsidRPr="00286216" w:rsidRDefault="001A75A4" w:rsidP="001A75A4">
            <w:pPr>
              <w:pStyle w:val="StyleWisnow"/>
              <w:rPr>
                <w:color w:val="000000" w:themeColor="text1"/>
              </w:rPr>
            </w:pPr>
          </w:p>
        </w:tc>
        <w:tc>
          <w:tcPr>
            <w:tcW w:w="4818" w:type="dxa"/>
          </w:tcPr>
          <w:p w14:paraId="338CECCF"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w:t>
            </w:r>
          </w:p>
          <w:p w14:paraId="268EB6C0" w14:textId="40659066" w:rsidR="001A75A4" w:rsidRPr="00286216" w:rsidRDefault="001A75A4" w:rsidP="001A75A4">
            <w:pPr>
              <w:pStyle w:val="StyleZakonu"/>
              <w:ind w:firstLine="0"/>
              <w:jc w:val="center"/>
              <w:rPr>
                <w:color w:val="000000" w:themeColor="text1"/>
              </w:rPr>
            </w:pPr>
            <w:r w:rsidRPr="00286216">
              <w:rPr>
                <w:color w:val="000000" w:themeColor="text1"/>
              </w:rPr>
              <w:t>ЗАГАЛЬНІ ПОЛОЖЕННЯ</w:t>
            </w:r>
          </w:p>
        </w:tc>
      </w:tr>
      <w:tr w:rsidR="001A75A4" w:rsidRPr="00286216" w14:paraId="67E2BD20" w14:textId="77777777" w:rsidTr="00091AA5">
        <w:tc>
          <w:tcPr>
            <w:tcW w:w="576" w:type="dxa"/>
          </w:tcPr>
          <w:p w14:paraId="0EB5302B" w14:textId="77777777" w:rsidR="001A75A4" w:rsidRPr="00286216" w:rsidRDefault="001A75A4" w:rsidP="001A75A4">
            <w:pPr>
              <w:pStyle w:val="StyleWisnow"/>
              <w:rPr>
                <w:color w:val="000000" w:themeColor="text1"/>
              </w:rPr>
            </w:pPr>
            <w:bookmarkStart w:id="2142" w:name="n2357" w:colFirst="0" w:colLast="0"/>
            <w:bookmarkEnd w:id="2130"/>
            <w:r w:rsidRPr="00286216">
              <w:rPr>
                <w:color w:val="000000" w:themeColor="text1"/>
              </w:rPr>
              <w:t>2357.</w:t>
            </w:r>
          </w:p>
        </w:tc>
        <w:tc>
          <w:tcPr>
            <w:tcW w:w="4818" w:type="dxa"/>
          </w:tcPr>
          <w:p w14:paraId="580589EE" w14:textId="77777777" w:rsidR="001A75A4" w:rsidRPr="00286216" w:rsidRDefault="001A75A4" w:rsidP="001A75A4">
            <w:pPr>
              <w:pStyle w:val="StyleZakonu"/>
              <w:rPr>
                <w:color w:val="000000" w:themeColor="text1"/>
                <w:shd w:val="clear" w:color="auto" w:fill="FFFFFF"/>
              </w:rPr>
            </w:pPr>
            <w:bookmarkStart w:id="2143" w:name="o15"/>
            <w:bookmarkEnd w:id="2143"/>
            <w:r w:rsidRPr="00286216">
              <w:rPr>
                <w:color w:val="000000" w:themeColor="text1"/>
              </w:rPr>
              <w:t xml:space="preserve">Стаття 1. </w:t>
            </w:r>
            <w:r w:rsidRPr="00286216">
              <w:rPr>
                <w:color w:val="000000" w:themeColor="text1"/>
                <w:shd w:val="clear" w:color="auto" w:fill="FFFFFF"/>
              </w:rPr>
              <w:t>Сфера застосування Закону</w:t>
            </w:r>
          </w:p>
        </w:tc>
        <w:tc>
          <w:tcPr>
            <w:tcW w:w="3686" w:type="dxa"/>
          </w:tcPr>
          <w:p w14:paraId="67896505" w14:textId="55C83B92" w:rsidR="001A75A4" w:rsidRPr="00286216" w:rsidRDefault="001A75A4" w:rsidP="001A75A4">
            <w:pPr>
              <w:pStyle w:val="StyleProp"/>
              <w:rPr>
                <w:color w:val="000000" w:themeColor="text1"/>
                <w:szCs w:val="18"/>
              </w:rPr>
            </w:pPr>
          </w:p>
        </w:tc>
        <w:tc>
          <w:tcPr>
            <w:tcW w:w="1987" w:type="dxa"/>
          </w:tcPr>
          <w:p w14:paraId="1CF570CC" w14:textId="77777777" w:rsidR="001A75A4" w:rsidRPr="00286216" w:rsidRDefault="001A75A4" w:rsidP="001A75A4">
            <w:pPr>
              <w:pStyle w:val="StyleWisnow"/>
              <w:rPr>
                <w:color w:val="000000" w:themeColor="text1"/>
              </w:rPr>
            </w:pPr>
          </w:p>
        </w:tc>
        <w:tc>
          <w:tcPr>
            <w:tcW w:w="4818" w:type="dxa"/>
          </w:tcPr>
          <w:p w14:paraId="0EF4FEE1" w14:textId="1C78ED41"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 </w:t>
            </w:r>
            <w:r w:rsidRPr="00286216">
              <w:rPr>
                <w:color w:val="000000" w:themeColor="text1"/>
                <w:shd w:val="clear" w:color="auto" w:fill="FFFFFF"/>
              </w:rPr>
              <w:t>Сфера застосування Закону</w:t>
            </w:r>
          </w:p>
        </w:tc>
      </w:tr>
      <w:tr w:rsidR="001A75A4" w:rsidRPr="00286216" w14:paraId="69640D39" w14:textId="77777777" w:rsidTr="00091AA5">
        <w:tc>
          <w:tcPr>
            <w:tcW w:w="576" w:type="dxa"/>
          </w:tcPr>
          <w:p w14:paraId="007E6818" w14:textId="77777777" w:rsidR="001A75A4" w:rsidRPr="00286216" w:rsidRDefault="001A75A4" w:rsidP="001A75A4">
            <w:pPr>
              <w:pStyle w:val="StyleWisnow"/>
              <w:rPr>
                <w:color w:val="000000" w:themeColor="text1"/>
              </w:rPr>
            </w:pPr>
            <w:bookmarkStart w:id="2144" w:name="n2358" w:colFirst="0" w:colLast="0"/>
            <w:bookmarkEnd w:id="2142"/>
            <w:r w:rsidRPr="00286216">
              <w:rPr>
                <w:color w:val="000000" w:themeColor="text1"/>
              </w:rPr>
              <w:t>2358.</w:t>
            </w:r>
          </w:p>
        </w:tc>
        <w:tc>
          <w:tcPr>
            <w:tcW w:w="4818" w:type="dxa"/>
          </w:tcPr>
          <w:p w14:paraId="0C6C10AD" w14:textId="77777777" w:rsidR="001A75A4" w:rsidRPr="00286216" w:rsidRDefault="001A75A4" w:rsidP="001A75A4">
            <w:pPr>
              <w:pStyle w:val="StyleZakonu"/>
              <w:rPr>
                <w:color w:val="000000" w:themeColor="text1"/>
                <w:lang w:eastAsia="uk-UA"/>
              </w:rPr>
            </w:pPr>
            <w:r w:rsidRPr="00286216">
              <w:rPr>
                <w:color w:val="000000" w:themeColor="text1"/>
                <w:lang w:eastAsia="uk-UA"/>
              </w:rPr>
              <w:t>1. Цей Закон визначає правові умови створення та функціонування товарних бірж на території України.</w:t>
            </w:r>
          </w:p>
        </w:tc>
        <w:tc>
          <w:tcPr>
            <w:tcW w:w="3686" w:type="dxa"/>
          </w:tcPr>
          <w:p w14:paraId="28C879EB" w14:textId="0CF8EE06"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1110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DF9ECC6"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7FD3331" w14:textId="77777777" w:rsidR="001A75A4" w:rsidRPr="00286216" w:rsidRDefault="001A75A4" w:rsidP="00BB35BA">
            <w:pPr>
              <w:pStyle w:val="StyleProp"/>
              <w:spacing w:line="180" w:lineRule="exact"/>
              <w:rPr>
                <w:color w:val="000000" w:themeColor="text1"/>
                <w:szCs w:val="18"/>
                <w:lang w:eastAsia="uk-UA"/>
              </w:rPr>
            </w:pPr>
            <w:r w:rsidRPr="00286216">
              <w:rPr>
                <w:color w:val="000000" w:themeColor="text1"/>
                <w:spacing w:val="-2"/>
              </w:rPr>
              <w:t>У частині першій статті 1 нової редакції Закону "Про товарну біржу" після слів «</w:t>
            </w:r>
            <w:r w:rsidRPr="00286216">
              <w:rPr>
                <w:color w:val="000000" w:themeColor="text1"/>
                <w:lang w:eastAsia="uk-UA"/>
              </w:rPr>
              <w:t>товарних бірж»</w:t>
            </w:r>
            <w:r w:rsidRPr="00286216">
              <w:rPr>
                <w:color w:val="000000" w:themeColor="text1"/>
                <w:spacing w:val="-2"/>
              </w:rPr>
              <w:t xml:space="preserve"> доповнити словами "</w:t>
            </w:r>
            <w:r w:rsidRPr="00286216">
              <w:rPr>
                <w:color w:val="000000" w:themeColor="text1"/>
                <w:lang w:eastAsia="uk-UA"/>
              </w:rPr>
              <w:t>як організованих товарних ринків</w:t>
            </w:r>
            <w:r w:rsidRPr="00286216">
              <w:rPr>
                <w:color w:val="000000" w:themeColor="text1"/>
                <w:spacing w:val="-3"/>
              </w:rPr>
              <w:t>".</w:t>
            </w:r>
          </w:p>
        </w:tc>
        <w:tc>
          <w:tcPr>
            <w:tcW w:w="1987" w:type="dxa"/>
          </w:tcPr>
          <w:p w14:paraId="77A1DD64" w14:textId="77777777" w:rsidR="001A75A4" w:rsidRPr="00286216" w:rsidRDefault="001A75A4" w:rsidP="001A75A4">
            <w:pPr>
              <w:pStyle w:val="StyleWisnow"/>
              <w:rPr>
                <w:color w:val="000000" w:themeColor="text1"/>
                <w:lang w:eastAsia="uk-UA"/>
              </w:rPr>
            </w:pPr>
            <w:r w:rsidRPr="00286216">
              <w:rPr>
                <w:color w:val="000000" w:themeColor="text1"/>
                <w:lang w:eastAsia="uk-UA"/>
              </w:rPr>
              <w:t>Враховано</w:t>
            </w:r>
          </w:p>
        </w:tc>
        <w:tc>
          <w:tcPr>
            <w:tcW w:w="4818" w:type="dxa"/>
          </w:tcPr>
          <w:p w14:paraId="17B72DC8" w14:textId="3DB17177" w:rsidR="001A75A4" w:rsidRPr="00286216" w:rsidRDefault="001A75A4" w:rsidP="001A75A4">
            <w:pPr>
              <w:pStyle w:val="StyleZakonu"/>
              <w:rPr>
                <w:color w:val="000000" w:themeColor="text1"/>
                <w:lang w:eastAsia="uk-UA"/>
              </w:rPr>
            </w:pPr>
            <w:r w:rsidRPr="00286216">
              <w:rPr>
                <w:color w:val="000000" w:themeColor="text1"/>
                <w:lang w:eastAsia="uk-UA"/>
              </w:rPr>
              <w:t>1. Цей Закон визначає правові умови створення та функціонування товарних бірж на території України як організованих товарних ринків.</w:t>
            </w:r>
          </w:p>
        </w:tc>
      </w:tr>
      <w:tr w:rsidR="001A75A4" w:rsidRPr="00286216" w14:paraId="0A570AE5" w14:textId="77777777" w:rsidTr="00091AA5">
        <w:tc>
          <w:tcPr>
            <w:tcW w:w="576" w:type="dxa"/>
          </w:tcPr>
          <w:p w14:paraId="3E5C2D0E" w14:textId="77777777" w:rsidR="001A75A4" w:rsidRPr="00286216" w:rsidRDefault="001A75A4" w:rsidP="001A75A4">
            <w:pPr>
              <w:pStyle w:val="StyleWisnow"/>
              <w:rPr>
                <w:color w:val="000000" w:themeColor="text1"/>
              </w:rPr>
            </w:pPr>
            <w:bookmarkStart w:id="2145" w:name="n2359" w:colFirst="0" w:colLast="0"/>
            <w:bookmarkEnd w:id="2144"/>
            <w:r w:rsidRPr="00286216">
              <w:rPr>
                <w:color w:val="000000" w:themeColor="text1"/>
              </w:rPr>
              <w:t>2359.</w:t>
            </w:r>
          </w:p>
        </w:tc>
        <w:tc>
          <w:tcPr>
            <w:tcW w:w="4818" w:type="dxa"/>
          </w:tcPr>
          <w:p w14:paraId="71395AC2" w14:textId="77777777" w:rsidR="001A75A4" w:rsidRPr="00286216" w:rsidRDefault="001A75A4" w:rsidP="001A75A4">
            <w:pPr>
              <w:pStyle w:val="StyleZakonu"/>
              <w:rPr>
                <w:color w:val="000000" w:themeColor="text1"/>
                <w:lang w:eastAsia="uk-UA"/>
              </w:rPr>
            </w:pPr>
            <w:r w:rsidRPr="00286216">
              <w:rPr>
                <w:color w:val="000000" w:themeColor="text1"/>
                <w:lang w:eastAsia="uk-UA"/>
              </w:rPr>
              <w:t>2. Діяльність товарних бірж регулюється цим Законом та нормативно-правовими актами, прийнятими на виконання цього Закону. Закон України "Про ринки капіталу та організовані товарні ринки" застосовується до товарних бірж у випадках прямо передбачених цим Законом.</w:t>
            </w:r>
          </w:p>
        </w:tc>
        <w:tc>
          <w:tcPr>
            <w:tcW w:w="3686" w:type="dxa"/>
          </w:tcPr>
          <w:p w14:paraId="405BBB2A" w14:textId="7E628146" w:rsidR="001A75A4" w:rsidRPr="00286216" w:rsidRDefault="001A75A4" w:rsidP="001A75A4">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1111</w:t>
            </w:r>
            <w:r w:rsidRPr="00286216">
              <w:rPr>
                <w:color w:val="000000" w:themeColor="text1"/>
                <w:spacing w:val="-3"/>
              </w:rPr>
              <w:fldChar w:fldCharType="end"/>
            </w:r>
            <w:r w:rsidRPr="00286216">
              <w:rPr>
                <w:color w:val="000000" w:themeColor="text1"/>
                <w:spacing w:val="-3"/>
              </w:rPr>
              <w:t>-Н.д.Шахов С.В. (Реєстр.картка №114)</w:t>
            </w:r>
          </w:p>
          <w:p w14:paraId="1A28094F" w14:textId="77777777" w:rsidR="001A75A4" w:rsidRPr="00286216" w:rsidRDefault="001A75A4" w:rsidP="001A75A4">
            <w:pPr>
              <w:pStyle w:val="StyleProp"/>
              <w:spacing w:line="180" w:lineRule="exact"/>
              <w:rPr>
                <w:color w:val="000000" w:themeColor="text1"/>
                <w:spacing w:val="-2"/>
              </w:rPr>
            </w:pPr>
            <w:r w:rsidRPr="00286216">
              <w:rPr>
                <w:color w:val="000000" w:themeColor="text1"/>
                <w:spacing w:val="-2"/>
              </w:rPr>
              <w:t>Перше речення частини другої статті 1 нової редакції Закону "Про товарну біржу" доповнити словами "а також законодавством про товарні ринки</w:t>
            </w:r>
            <w:r w:rsidRPr="00286216">
              <w:rPr>
                <w:color w:val="000000" w:themeColor="text1"/>
                <w:spacing w:val="-3"/>
              </w:rPr>
              <w:t>".</w:t>
            </w:r>
          </w:p>
        </w:tc>
        <w:tc>
          <w:tcPr>
            <w:tcW w:w="1987" w:type="dxa"/>
          </w:tcPr>
          <w:p w14:paraId="0CF9E761"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6A2E393F" w14:textId="4266B64A" w:rsidR="001A75A4" w:rsidRPr="00286216" w:rsidRDefault="001A75A4" w:rsidP="001A75A4">
            <w:pPr>
              <w:pStyle w:val="StyleZakonu"/>
              <w:rPr>
                <w:color w:val="000000" w:themeColor="text1"/>
                <w:lang w:eastAsia="uk-UA"/>
              </w:rPr>
            </w:pPr>
            <w:r w:rsidRPr="00286216">
              <w:rPr>
                <w:color w:val="000000" w:themeColor="text1"/>
              </w:rPr>
              <w:t>2. Діяльність товарних бірж регулюється цим Законом та нормативно-правовими актами, прийнятими на виконання цього Закону, а також іншими актами законодавства щодо товарних бірж.</w:t>
            </w:r>
          </w:p>
        </w:tc>
      </w:tr>
      <w:tr w:rsidR="001A75A4" w:rsidRPr="00286216" w14:paraId="7594E171" w14:textId="77777777" w:rsidTr="00091AA5">
        <w:tc>
          <w:tcPr>
            <w:tcW w:w="576" w:type="dxa"/>
          </w:tcPr>
          <w:p w14:paraId="4849A0F9" w14:textId="77777777" w:rsidR="001A75A4" w:rsidRPr="00286216" w:rsidRDefault="001A75A4" w:rsidP="001A75A4">
            <w:pPr>
              <w:pStyle w:val="StyleWisnow"/>
              <w:rPr>
                <w:color w:val="000000" w:themeColor="text1"/>
              </w:rPr>
            </w:pPr>
            <w:bookmarkStart w:id="2146" w:name="n2360" w:colFirst="0" w:colLast="0"/>
            <w:bookmarkEnd w:id="2145"/>
            <w:r w:rsidRPr="00286216">
              <w:rPr>
                <w:color w:val="000000" w:themeColor="text1"/>
              </w:rPr>
              <w:t>2360.</w:t>
            </w:r>
          </w:p>
        </w:tc>
        <w:tc>
          <w:tcPr>
            <w:tcW w:w="4818" w:type="dxa"/>
          </w:tcPr>
          <w:p w14:paraId="4BB1499F" w14:textId="77777777" w:rsidR="001A75A4" w:rsidRPr="00286216" w:rsidRDefault="001A75A4" w:rsidP="001A75A4">
            <w:pPr>
              <w:pStyle w:val="StyleZakonu"/>
              <w:rPr>
                <w:color w:val="000000" w:themeColor="text1"/>
              </w:rPr>
            </w:pPr>
            <w:r w:rsidRPr="00286216">
              <w:rPr>
                <w:color w:val="000000" w:themeColor="text1"/>
              </w:rPr>
              <w:t xml:space="preserve">3. </w:t>
            </w:r>
            <w:r w:rsidRPr="00286216">
              <w:rPr>
                <w:color w:val="000000" w:themeColor="text1"/>
                <w:lang w:eastAsia="uk-UA"/>
              </w:rPr>
              <w:t>У випадку, якщо Законом України "Про ринки капіталу та організовані товарні ринки" встановлені інші вимоги, ніж ті, що передбачені цим Законом, до правовідносин щодо створення та функціонування товарних бірж, застосовуються положення цього Закону.</w:t>
            </w:r>
          </w:p>
        </w:tc>
        <w:tc>
          <w:tcPr>
            <w:tcW w:w="3686" w:type="dxa"/>
          </w:tcPr>
          <w:p w14:paraId="6B623871" w14:textId="24CC93A2"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1112</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21C4588"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01A43D44" w14:textId="450F554C" w:rsidR="001A75A4" w:rsidRPr="00286216" w:rsidRDefault="001A75A4" w:rsidP="001A75A4">
            <w:pPr>
              <w:pStyle w:val="StyleProp"/>
              <w:spacing w:line="180" w:lineRule="exact"/>
              <w:rPr>
                <w:color w:val="000000" w:themeColor="text1"/>
                <w:spacing w:val="-2"/>
              </w:rPr>
            </w:pPr>
            <w:r w:rsidRPr="00286216">
              <w:rPr>
                <w:color w:val="000000" w:themeColor="text1"/>
                <w:spacing w:val="-2"/>
              </w:rPr>
              <w:t>Частину 3 статті 1 нової редакції Закону "Про товарну біржу" викласти в такій редакції:</w:t>
            </w:r>
          </w:p>
          <w:p w14:paraId="14CEF86D" w14:textId="77777777" w:rsidR="001A75A4" w:rsidRPr="00286216" w:rsidRDefault="001A75A4" w:rsidP="001A75A4">
            <w:pPr>
              <w:pStyle w:val="StyleProp"/>
              <w:spacing w:line="180" w:lineRule="exact"/>
              <w:rPr>
                <w:color w:val="000000" w:themeColor="text1"/>
                <w:spacing w:val="-3"/>
              </w:rPr>
            </w:pPr>
            <w:r w:rsidRPr="00286216">
              <w:rPr>
                <w:color w:val="000000" w:themeColor="text1"/>
                <w:lang w:eastAsia="uk-UA"/>
              </w:rPr>
              <w:t>«До правовідносин щодо створення та функціонування товарних бірж застосовуються положення статей 67 – 72, 127 – 128-4 Закону України "Про ринки капіталу та організовані товарні ринки".</w:t>
            </w:r>
            <w:r w:rsidRPr="00286216">
              <w:rPr>
                <w:color w:val="000000" w:themeColor="text1"/>
                <w:spacing w:val="-3"/>
              </w:rPr>
              <w:t>.</w:t>
            </w:r>
          </w:p>
        </w:tc>
        <w:tc>
          <w:tcPr>
            <w:tcW w:w="1987" w:type="dxa"/>
          </w:tcPr>
          <w:p w14:paraId="631D3335"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724253C7" w14:textId="41B43E6C" w:rsidR="001A75A4" w:rsidRPr="00286216" w:rsidRDefault="001A75A4" w:rsidP="001A75A4">
            <w:pPr>
              <w:pStyle w:val="StyleZakonu"/>
              <w:rPr>
                <w:color w:val="000000" w:themeColor="text1"/>
              </w:rPr>
            </w:pPr>
            <w:r w:rsidRPr="00286216">
              <w:rPr>
                <w:color w:val="000000" w:themeColor="text1"/>
                <w:lang w:eastAsia="uk-UA"/>
              </w:rPr>
              <w:t>3. До правовідносин щодо створення та функціонування товарних бірж застосовуються положення статей 71 – 76, 131 – 137 Закону України "Про ринки капіталу та організовані товарні ринки".</w:t>
            </w:r>
          </w:p>
        </w:tc>
      </w:tr>
      <w:tr w:rsidR="001A75A4" w:rsidRPr="00286216" w14:paraId="6ACF7DC7" w14:textId="77777777" w:rsidTr="00091AA5">
        <w:tc>
          <w:tcPr>
            <w:tcW w:w="576" w:type="dxa"/>
          </w:tcPr>
          <w:p w14:paraId="6B999878" w14:textId="77777777" w:rsidR="001A75A4" w:rsidRPr="00286216" w:rsidRDefault="001A75A4" w:rsidP="001A75A4">
            <w:pPr>
              <w:pStyle w:val="StyleWisnow"/>
              <w:rPr>
                <w:color w:val="000000" w:themeColor="text1"/>
              </w:rPr>
            </w:pPr>
            <w:bookmarkStart w:id="2147" w:name="n2361" w:colFirst="0" w:colLast="0"/>
            <w:bookmarkEnd w:id="2146"/>
            <w:r w:rsidRPr="00286216">
              <w:rPr>
                <w:color w:val="000000" w:themeColor="text1"/>
              </w:rPr>
              <w:t>2361.</w:t>
            </w:r>
          </w:p>
        </w:tc>
        <w:tc>
          <w:tcPr>
            <w:tcW w:w="4818" w:type="dxa"/>
          </w:tcPr>
          <w:p w14:paraId="7E7B2D80" w14:textId="77777777" w:rsidR="001A75A4" w:rsidRPr="00286216" w:rsidRDefault="001A75A4" w:rsidP="001A75A4">
            <w:pPr>
              <w:pStyle w:val="StyleZakonu"/>
              <w:rPr>
                <w:color w:val="000000" w:themeColor="text1"/>
                <w:lang w:eastAsia="uk-UA"/>
              </w:rPr>
            </w:pPr>
            <w:r w:rsidRPr="00286216">
              <w:rPr>
                <w:color w:val="000000" w:themeColor="text1"/>
                <w:lang w:eastAsia="uk-UA"/>
              </w:rPr>
              <w:t>4. Дія цього Закону не поширюється на відносини, пов’язані з вчиненням і виконанням правочинів щодо речей, визначених індивідуальними ознаками.</w:t>
            </w:r>
          </w:p>
        </w:tc>
        <w:tc>
          <w:tcPr>
            <w:tcW w:w="3686" w:type="dxa"/>
          </w:tcPr>
          <w:p w14:paraId="568D75B8" w14:textId="146504A8"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1113</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BE9F52E" w14:textId="77777777" w:rsidR="001A75A4" w:rsidRPr="00286216" w:rsidRDefault="001A75A4" w:rsidP="001A75A4">
            <w:pPr>
              <w:pStyle w:val="StyleProp"/>
              <w:spacing w:line="190" w:lineRule="exact"/>
              <w:rPr>
                <w:color w:val="000000" w:themeColor="text1"/>
              </w:rPr>
            </w:pPr>
            <w:r w:rsidRPr="00286216">
              <w:rPr>
                <w:color w:val="000000" w:themeColor="text1"/>
              </w:rPr>
              <w:t>Доповнити статтю 1 новою частиною такого змісту:</w:t>
            </w:r>
          </w:p>
          <w:p w14:paraId="296F9751" w14:textId="77777777" w:rsidR="001A75A4" w:rsidRPr="00286216" w:rsidRDefault="001A75A4" w:rsidP="001A75A4">
            <w:pPr>
              <w:pStyle w:val="StyleProp"/>
              <w:spacing w:line="190" w:lineRule="exact"/>
              <w:rPr>
                <w:color w:val="000000" w:themeColor="text1"/>
                <w:szCs w:val="18"/>
                <w:lang w:eastAsia="uk-UA"/>
              </w:rPr>
            </w:pPr>
            <w:r w:rsidRPr="00286216">
              <w:rPr>
                <w:color w:val="000000" w:themeColor="text1"/>
              </w:rPr>
              <w:t xml:space="preserve">"5. Дія цього Закону не поширюється на діяльність оператора ринку електричної енергії, оператора системи передачі, оператора газотранспортної системи та на відносини, пов’язані з  функціонуванням ринку електричної енергії відповідно до Закону України «Про ринок електричної енергії»,  функціонуванням ринку природного газу відповідно до Закону України «Про ринок природного газу» та функціонуванням сфери теплопостачання відповідно до Закону України «Про державне регулювання у сфері комунальних послуг». Відносини, пов’язані з діяльністю у сферах енергетики та комунальних послуг </w:t>
            </w:r>
            <w:r w:rsidRPr="00286216">
              <w:rPr>
                <w:color w:val="000000" w:themeColor="text1"/>
              </w:rPr>
              <w:lastRenderedPageBreak/>
              <w:t>регулюються Національною комісією,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tc>
        <w:tc>
          <w:tcPr>
            <w:tcW w:w="1987" w:type="dxa"/>
          </w:tcPr>
          <w:p w14:paraId="390CBB58" w14:textId="77777777" w:rsidR="001A75A4" w:rsidRPr="00286216" w:rsidRDefault="001A75A4" w:rsidP="001A75A4">
            <w:pPr>
              <w:pStyle w:val="StyleWisnow"/>
              <w:rPr>
                <w:color w:val="000000" w:themeColor="text1"/>
                <w:lang w:eastAsia="uk-UA"/>
              </w:rPr>
            </w:pPr>
            <w:r w:rsidRPr="00286216">
              <w:rPr>
                <w:color w:val="000000" w:themeColor="text1"/>
                <w:lang w:eastAsia="uk-UA"/>
              </w:rPr>
              <w:lastRenderedPageBreak/>
              <w:t>Враховано</w:t>
            </w:r>
          </w:p>
          <w:p w14:paraId="387BEC4C" w14:textId="77777777" w:rsidR="001A75A4" w:rsidRPr="00286216" w:rsidRDefault="001A75A4" w:rsidP="001A75A4">
            <w:pPr>
              <w:pStyle w:val="StyleWisnow"/>
              <w:rPr>
                <w:color w:val="000000" w:themeColor="text1"/>
                <w:lang w:eastAsia="uk-UA"/>
              </w:rPr>
            </w:pPr>
          </w:p>
        </w:tc>
        <w:tc>
          <w:tcPr>
            <w:tcW w:w="4818" w:type="dxa"/>
          </w:tcPr>
          <w:p w14:paraId="2DF1E0F0" w14:textId="77777777" w:rsidR="001A75A4" w:rsidRPr="00286216" w:rsidRDefault="001A75A4" w:rsidP="001A75A4">
            <w:pPr>
              <w:pStyle w:val="StyleZakonu"/>
              <w:rPr>
                <w:color w:val="000000" w:themeColor="text1"/>
                <w:lang w:eastAsia="uk-UA"/>
              </w:rPr>
            </w:pPr>
            <w:r w:rsidRPr="00286216">
              <w:rPr>
                <w:color w:val="000000" w:themeColor="text1"/>
                <w:lang w:eastAsia="uk-UA"/>
              </w:rPr>
              <w:t>4. Дія цього Закону не поширюється на відносини, пов’язані з вчиненням і виконанням правочинів щодо речей, визначених індивідуальними ознаками.</w:t>
            </w:r>
          </w:p>
          <w:p w14:paraId="735DA6A8" w14:textId="334F28A3" w:rsidR="001A75A4" w:rsidRPr="00286216" w:rsidRDefault="001A75A4" w:rsidP="001A75A4">
            <w:pPr>
              <w:pStyle w:val="StyleZakonu"/>
              <w:spacing w:after="0"/>
              <w:rPr>
                <w:color w:val="000000" w:themeColor="text1"/>
                <w:lang w:eastAsia="uk-UA"/>
              </w:rPr>
            </w:pPr>
            <w:r w:rsidRPr="00286216">
              <w:rPr>
                <w:color w:val="000000" w:themeColor="text1"/>
              </w:rPr>
              <w:t xml:space="preserve">5. Дія цього Закону не поширюється на діяльність оператора ринку електричної енергії, оператора системи передачі, оператора газотранспортної системи та на відносини, пов’язані з  функціонуванням ринку електричної енергії відповідно до Закону України «Про ринок електричної енергії»,  функціонуванням ринку природного газу відповідно до Закону України «Про ринок природного газу» та функціонуванням сфери теплопостачання відповідно до Закону України «Про державне регулювання у сфері комунальних послуг». Відносини, пов’язані з діяльністю у сферах </w:t>
            </w:r>
            <w:r w:rsidRPr="00286216">
              <w:rPr>
                <w:color w:val="000000" w:themeColor="text1"/>
              </w:rPr>
              <w:lastRenderedPageBreak/>
              <w:t>енергетики та комунальних послуг, регулюються Національною комісією,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tc>
      </w:tr>
      <w:bookmarkEnd w:id="2147"/>
      <w:tr w:rsidR="001A75A4" w:rsidRPr="00286216" w14:paraId="41CADBDC" w14:textId="77777777" w:rsidTr="00091AA5">
        <w:tc>
          <w:tcPr>
            <w:tcW w:w="576" w:type="dxa"/>
          </w:tcPr>
          <w:p w14:paraId="35193A26" w14:textId="77777777" w:rsidR="001A75A4" w:rsidRPr="00286216" w:rsidRDefault="001A75A4" w:rsidP="001A75A4">
            <w:pPr>
              <w:pStyle w:val="StyleWisnow"/>
              <w:rPr>
                <w:color w:val="000000" w:themeColor="text1"/>
              </w:rPr>
            </w:pPr>
          </w:p>
        </w:tc>
        <w:tc>
          <w:tcPr>
            <w:tcW w:w="4818" w:type="dxa"/>
          </w:tcPr>
          <w:p w14:paraId="23D88B37" w14:textId="77777777" w:rsidR="001A75A4" w:rsidRPr="00286216" w:rsidRDefault="001A75A4" w:rsidP="001A75A4">
            <w:pPr>
              <w:pStyle w:val="StyleZakonu"/>
              <w:rPr>
                <w:color w:val="000000" w:themeColor="text1"/>
              </w:rPr>
            </w:pPr>
          </w:p>
        </w:tc>
        <w:tc>
          <w:tcPr>
            <w:tcW w:w="3686" w:type="dxa"/>
          </w:tcPr>
          <w:p w14:paraId="4561746D" w14:textId="6E81CED1" w:rsidR="001A75A4" w:rsidRPr="00286216" w:rsidRDefault="001A75A4" w:rsidP="001A75A4">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1114</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46BC6352" w14:textId="77777777" w:rsidR="001A75A4" w:rsidRPr="00286216" w:rsidRDefault="001A75A4" w:rsidP="001A75A4">
            <w:pPr>
              <w:pStyle w:val="StyleProp"/>
              <w:spacing w:line="180" w:lineRule="exact"/>
              <w:rPr>
                <w:color w:val="000000" w:themeColor="text1"/>
                <w:spacing w:val="-2"/>
              </w:rPr>
            </w:pPr>
            <w:r w:rsidRPr="00286216">
              <w:rPr>
                <w:color w:val="000000" w:themeColor="text1"/>
                <w:spacing w:val="-2"/>
              </w:rPr>
              <w:t>Доповнити:</w:t>
            </w:r>
          </w:p>
          <w:p w14:paraId="443B25F1" w14:textId="77777777" w:rsidR="001A75A4" w:rsidRPr="00286216" w:rsidRDefault="001A75A4" w:rsidP="001A75A4">
            <w:pPr>
              <w:pStyle w:val="StyleProp"/>
              <w:spacing w:line="180" w:lineRule="exact"/>
              <w:rPr>
                <w:color w:val="000000" w:themeColor="text1"/>
                <w:spacing w:val="-3"/>
              </w:rPr>
            </w:pPr>
            <w:r w:rsidRPr="00286216">
              <w:rPr>
                <w:color w:val="000000" w:themeColor="text1"/>
                <w:spacing w:val="-3"/>
              </w:rPr>
              <w:t xml:space="preserve">"Дія цього Закону не поширюється на відносини, пов’язані з укладенням і виконанням правочинів на товарному ринку щодо електроенергії, природного газу та іншої продукції (товару, майна), визначеної родовими ознаками, у разу якщо правові засади та особливості регулювання такого виду </w:t>
            </w:r>
            <w:r w:rsidRPr="00286216">
              <w:rPr>
                <w:color w:val="000000" w:themeColor="text1"/>
                <w:spacing w:val="-4"/>
              </w:rPr>
              <w:t>товарного ринку продукції (товару, майна) визначені іншим спеціальним законом України.</w:t>
            </w:r>
          </w:p>
          <w:p w14:paraId="2C2B70A2"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pacing w:val="-2"/>
              </w:rPr>
              <w:t>Юридичні особи, створені на підставі спеціального закону, які є операторами певного товарного ринку та здійснюють діяльність з організації торгівлі певним видом товарною продукції (природний газ, електрична енергія, суміжна продукція тощо), визначеної спеціальним законом, не є товарною біржою у розумінні цього Закону</w:t>
            </w:r>
            <w:r w:rsidRPr="00286216">
              <w:rPr>
                <w:color w:val="000000" w:themeColor="text1"/>
              </w:rPr>
              <w:t>".</w:t>
            </w:r>
          </w:p>
        </w:tc>
        <w:tc>
          <w:tcPr>
            <w:tcW w:w="1987" w:type="dxa"/>
          </w:tcPr>
          <w:p w14:paraId="198CC7C7" w14:textId="77777777" w:rsidR="001A75A4" w:rsidRPr="00286216" w:rsidRDefault="001A75A4" w:rsidP="001A75A4">
            <w:pPr>
              <w:pStyle w:val="StyleWisnow"/>
              <w:rPr>
                <w:color w:val="000000" w:themeColor="text1"/>
                <w:lang w:eastAsia="uk-UA"/>
              </w:rPr>
            </w:pPr>
            <w:r w:rsidRPr="00286216">
              <w:rPr>
                <w:color w:val="000000" w:themeColor="text1"/>
                <w:lang w:eastAsia="uk-UA"/>
              </w:rPr>
              <w:t>Враховано частково</w:t>
            </w:r>
          </w:p>
        </w:tc>
        <w:tc>
          <w:tcPr>
            <w:tcW w:w="4818" w:type="dxa"/>
          </w:tcPr>
          <w:p w14:paraId="48D8D75D" w14:textId="77777777" w:rsidR="001A75A4" w:rsidRPr="00286216" w:rsidRDefault="001A75A4" w:rsidP="001A75A4">
            <w:pPr>
              <w:pStyle w:val="StyleZakonu"/>
              <w:rPr>
                <w:color w:val="000000" w:themeColor="text1"/>
              </w:rPr>
            </w:pPr>
          </w:p>
        </w:tc>
      </w:tr>
      <w:tr w:rsidR="001A75A4" w:rsidRPr="00286216" w14:paraId="790989CC" w14:textId="77777777" w:rsidTr="00091AA5">
        <w:tc>
          <w:tcPr>
            <w:tcW w:w="576" w:type="dxa"/>
          </w:tcPr>
          <w:p w14:paraId="1E614EEE" w14:textId="77777777" w:rsidR="001A75A4" w:rsidRPr="00286216" w:rsidRDefault="001A75A4" w:rsidP="001A75A4">
            <w:pPr>
              <w:pStyle w:val="StyleWisnow"/>
              <w:rPr>
                <w:color w:val="000000" w:themeColor="text1"/>
              </w:rPr>
            </w:pPr>
            <w:bookmarkStart w:id="2148" w:name="n2362" w:colFirst="0" w:colLast="0"/>
            <w:r w:rsidRPr="00286216">
              <w:rPr>
                <w:color w:val="000000" w:themeColor="text1"/>
              </w:rPr>
              <w:t>2362.</w:t>
            </w:r>
          </w:p>
        </w:tc>
        <w:tc>
          <w:tcPr>
            <w:tcW w:w="4818" w:type="dxa"/>
          </w:tcPr>
          <w:p w14:paraId="161DC94B"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2. </w:t>
            </w:r>
            <w:r w:rsidRPr="00286216">
              <w:rPr>
                <w:color w:val="000000" w:themeColor="text1"/>
                <w:shd w:val="clear" w:color="auto" w:fill="FFFFFF"/>
              </w:rPr>
              <w:t>Визначення термінів</w:t>
            </w:r>
          </w:p>
        </w:tc>
        <w:tc>
          <w:tcPr>
            <w:tcW w:w="3686" w:type="dxa"/>
          </w:tcPr>
          <w:p w14:paraId="0FC00B01" w14:textId="77777777" w:rsidR="001A75A4" w:rsidRPr="00286216" w:rsidRDefault="001A75A4" w:rsidP="001A75A4">
            <w:pPr>
              <w:pStyle w:val="StyleProp"/>
              <w:rPr>
                <w:color w:val="000000" w:themeColor="text1"/>
                <w:szCs w:val="18"/>
              </w:rPr>
            </w:pPr>
          </w:p>
        </w:tc>
        <w:tc>
          <w:tcPr>
            <w:tcW w:w="1987" w:type="dxa"/>
          </w:tcPr>
          <w:p w14:paraId="5572E726" w14:textId="77777777" w:rsidR="001A75A4" w:rsidRPr="00286216" w:rsidRDefault="001A75A4" w:rsidP="001A75A4">
            <w:pPr>
              <w:pStyle w:val="StyleWisnow"/>
              <w:rPr>
                <w:color w:val="000000" w:themeColor="text1"/>
              </w:rPr>
            </w:pPr>
          </w:p>
        </w:tc>
        <w:tc>
          <w:tcPr>
            <w:tcW w:w="4818" w:type="dxa"/>
          </w:tcPr>
          <w:p w14:paraId="341A8914" w14:textId="0E9EE29E"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2. </w:t>
            </w:r>
            <w:r w:rsidRPr="00286216">
              <w:rPr>
                <w:color w:val="000000" w:themeColor="text1"/>
                <w:shd w:val="clear" w:color="auto" w:fill="FFFFFF"/>
              </w:rPr>
              <w:t>Визначення термінів</w:t>
            </w:r>
          </w:p>
        </w:tc>
      </w:tr>
      <w:tr w:rsidR="001A75A4" w:rsidRPr="00286216" w14:paraId="35362699" w14:textId="77777777" w:rsidTr="00091AA5">
        <w:tc>
          <w:tcPr>
            <w:tcW w:w="576" w:type="dxa"/>
          </w:tcPr>
          <w:p w14:paraId="7DF84686" w14:textId="77777777" w:rsidR="001A75A4" w:rsidRPr="00286216" w:rsidRDefault="001A75A4" w:rsidP="001A75A4">
            <w:pPr>
              <w:pStyle w:val="StyleWisnow"/>
              <w:rPr>
                <w:color w:val="000000" w:themeColor="text1"/>
              </w:rPr>
            </w:pPr>
            <w:bookmarkStart w:id="2149" w:name="n2363" w:colFirst="0" w:colLast="0"/>
            <w:bookmarkEnd w:id="2148"/>
            <w:r w:rsidRPr="00286216">
              <w:rPr>
                <w:color w:val="000000" w:themeColor="text1"/>
              </w:rPr>
              <w:t>2363.</w:t>
            </w:r>
          </w:p>
        </w:tc>
        <w:tc>
          <w:tcPr>
            <w:tcW w:w="4818" w:type="dxa"/>
          </w:tcPr>
          <w:p w14:paraId="38B686C7" w14:textId="77777777" w:rsidR="001A75A4" w:rsidRPr="00286216" w:rsidRDefault="001A75A4" w:rsidP="001A75A4">
            <w:pPr>
              <w:pStyle w:val="StyleZakonu"/>
              <w:rPr>
                <w:color w:val="000000" w:themeColor="text1"/>
              </w:rPr>
            </w:pPr>
            <w:r w:rsidRPr="00286216">
              <w:rPr>
                <w:color w:val="000000" w:themeColor="text1"/>
              </w:rPr>
              <w:t>1. У цьому Законі терміни вживаються в такому значенні:</w:t>
            </w:r>
          </w:p>
        </w:tc>
        <w:tc>
          <w:tcPr>
            <w:tcW w:w="3686" w:type="dxa"/>
          </w:tcPr>
          <w:p w14:paraId="4D5D631F" w14:textId="77777777" w:rsidR="001A75A4" w:rsidRPr="00286216" w:rsidRDefault="001A75A4" w:rsidP="001A75A4">
            <w:pPr>
              <w:pStyle w:val="StyleProp"/>
              <w:rPr>
                <w:color w:val="000000" w:themeColor="text1"/>
                <w:szCs w:val="18"/>
              </w:rPr>
            </w:pPr>
          </w:p>
        </w:tc>
        <w:tc>
          <w:tcPr>
            <w:tcW w:w="1987" w:type="dxa"/>
          </w:tcPr>
          <w:p w14:paraId="12B08C82" w14:textId="77777777" w:rsidR="001A75A4" w:rsidRPr="00286216" w:rsidRDefault="001A75A4" w:rsidP="001A75A4">
            <w:pPr>
              <w:pStyle w:val="StyleWisnow"/>
              <w:rPr>
                <w:color w:val="000000" w:themeColor="text1"/>
              </w:rPr>
            </w:pPr>
          </w:p>
        </w:tc>
        <w:tc>
          <w:tcPr>
            <w:tcW w:w="4818" w:type="dxa"/>
          </w:tcPr>
          <w:p w14:paraId="1A0B0E74" w14:textId="46B9CCF5" w:rsidR="001A75A4" w:rsidRPr="00286216" w:rsidRDefault="001A75A4" w:rsidP="001A75A4">
            <w:pPr>
              <w:pStyle w:val="StyleZakonu"/>
              <w:rPr>
                <w:color w:val="000000" w:themeColor="text1"/>
              </w:rPr>
            </w:pPr>
            <w:r w:rsidRPr="00286216">
              <w:rPr>
                <w:color w:val="000000" w:themeColor="text1"/>
              </w:rPr>
              <w:t>1. У цьому Законі наведені нижче терміни вживаються в такому значенні:</w:t>
            </w:r>
          </w:p>
        </w:tc>
      </w:tr>
      <w:tr w:rsidR="001A75A4" w:rsidRPr="00286216" w14:paraId="42CE00BB" w14:textId="77777777" w:rsidTr="00091AA5">
        <w:tc>
          <w:tcPr>
            <w:tcW w:w="576" w:type="dxa"/>
          </w:tcPr>
          <w:p w14:paraId="797386BB" w14:textId="77777777" w:rsidR="001A75A4" w:rsidRPr="00286216" w:rsidRDefault="001A75A4" w:rsidP="001A75A4">
            <w:pPr>
              <w:pStyle w:val="StyleWisnow"/>
              <w:rPr>
                <w:rFonts w:eastAsia="MS Mincho"/>
                <w:color w:val="000000" w:themeColor="text1"/>
              </w:rPr>
            </w:pPr>
            <w:bookmarkStart w:id="2150" w:name="n2364" w:colFirst="0" w:colLast="0"/>
            <w:bookmarkEnd w:id="2149"/>
            <w:r w:rsidRPr="00286216">
              <w:rPr>
                <w:rFonts w:eastAsia="MS Mincho"/>
                <w:color w:val="000000" w:themeColor="text1"/>
              </w:rPr>
              <w:t>2364.</w:t>
            </w:r>
          </w:p>
        </w:tc>
        <w:tc>
          <w:tcPr>
            <w:tcW w:w="4818" w:type="dxa"/>
          </w:tcPr>
          <w:p w14:paraId="6004BB41"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 біржова угода - зафіксоване та зареєстроване товарною біржою в електронній торговій системі прийняття учасниками торгів зобов’язань укласти біржовий договор щодо біржового товару, згідно з правилами товарної біржі;</w:t>
            </w:r>
          </w:p>
        </w:tc>
        <w:tc>
          <w:tcPr>
            <w:tcW w:w="3686" w:type="dxa"/>
          </w:tcPr>
          <w:p w14:paraId="30908840"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33C7DEB6" w14:textId="77777777" w:rsidR="001A75A4" w:rsidRPr="00286216" w:rsidRDefault="001A75A4" w:rsidP="001A75A4">
            <w:pPr>
              <w:pStyle w:val="StyleWisnow"/>
              <w:rPr>
                <w:rFonts w:eastAsia="MS Mincho"/>
                <w:color w:val="000000" w:themeColor="text1"/>
                <w:lang w:eastAsia="uk-UA"/>
              </w:rPr>
            </w:pPr>
          </w:p>
        </w:tc>
        <w:tc>
          <w:tcPr>
            <w:tcW w:w="4818" w:type="dxa"/>
          </w:tcPr>
          <w:p w14:paraId="15B7AF55" w14:textId="3D3FCF38"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 біржова угода - зафіксоване та зареєстроване товарною біржею в електронній торговій системі прийняття учасниками торгів зобов’язання укласти біржовий договір щодо біржового товару згідно з правилами товарної біржі;</w:t>
            </w:r>
          </w:p>
        </w:tc>
      </w:tr>
      <w:tr w:rsidR="001A75A4" w:rsidRPr="00286216" w14:paraId="1579FA89" w14:textId="77777777" w:rsidTr="00091AA5">
        <w:tc>
          <w:tcPr>
            <w:tcW w:w="576" w:type="dxa"/>
          </w:tcPr>
          <w:p w14:paraId="73FEF041" w14:textId="77777777" w:rsidR="001A75A4" w:rsidRPr="00286216" w:rsidRDefault="001A75A4" w:rsidP="001A75A4">
            <w:pPr>
              <w:pStyle w:val="StyleWisnow"/>
              <w:rPr>
                <w:rFonts w:eastAsia="MS Mincho"/>
                <w:color w:val="000000" w:themeColor="text1"/>
              </w:rPr>
            </w:pPr>
            <w:bookmarkStart w:id="2151" w:name="n2365" w:colFirst="0" w:colLast="0"/>
            <w:bookmarkEnd w:id="2150"/>
            <w:r w:rsidRPr="00286216">
              <w:rPr>
                <w:rFonts w:eastAsia="MS Mincho"/>
                <w:color w:val="000000" w:themeColor="text1"/>
              </w:rPr>
              <w:t>2365.</w:t>
            </w:r>
          </w:p>
        </w:tc>
        <w:tc>
          <w:tcPr>
            <w:tcW w:w="4818" w:type="dxa"/>
          </w:tcPr>
          <w:p w14:paraId="1653E427"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2) біржові операції - сукупність дій товарної біржі та учасників торгів, спрямована на укладання та виконання біржових угод та біржових договорів;</w:t>
            </w:r>
          </w:p>
        </w:tc>
        <w:tc>
          <w:tcPr>
            <w:tcW w:w="3686" w:type="dxa"/>
          </w:tcPr>
          <w:p w14:paraId="2B646D6F" w14:textId="587DD590"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1115</w:t>
            </w:r>
            <w:r w:rsidRPr="00286216">
              <w:rPr>
                <w:color w:val="000000" w:themeColor="text1"/>
                <w:spacing w:val="-2"/>
              </w:rPr>
              <w:fldChar w:fldCharType="end"/>
            </w:r>
            <w:r w:rsidRPr="00286216">
              <w:rPr>
                <w:color w:val="000000" w:themeColor="text1"/>
                <w:spacing w:val="-2"/>
              </w:rPr>
              <w:t>-Н.д.Шахов С.В. (Реєстр.картка №114)</w:t>
            </w:r>
          </w:p>
          <w:p w14:paraId="46C6F6D1" w14:textId="77777777" w:rsidR="001A75A4" w:rsidRPr="00286216" w:rsidRDefault="001A75A4" w:rsidP="001A75A4">
            <w:pPr>
              <w:pStyle w:val="StyleProp"/>
              <w:spacing w:line="180" w:lineRule="exact"/>
              <w:rPr>
                <w:rFonts w:eastAsia="MS Mincho"/>
                <w:color w:val="000000" w:themeColor="text1"/>
                <w:szCs w:val="18"/>
                <w:lang w:eastAsia="uk-UA"/>
              </w:rPr>
            </w:pPr>
            <w:r w:rsidRPr="00286216">
              <w:rPr>
                <w:rFonts w:eastAsia="MS Mincho"/>
                <w:color w:val="000000" w:themeColor="text1"/>
                <w:szCs w:val="18"/>
                <w:lang w:eastAsia="uk-UA"/>
              </w:rPr>
              <w:t>П.2 ч.1 ст.2 викласти у такій редакції:</w:t>
            </w:r>
          </w:p>
          <w:p w14:paraId="59F7924E" w14:textId="77777777" w:rsidR="001A75A4" w:rsidRPr="00286216" w:rsidRDefault="001A75A4" w:rsidP="001A75A4">
            <w:pPr>
              <w:pStyle w:val="StyleProp"/>
              <w:spacing w:line="180" w:lineRule="exact"/>
              <w:rPr>
                <w:rFonts w:eastAsia="MS Mincho"/>
                <w:color w:val="000000" w:themeColor="text1"/>
                <w:szCs w:val="18"/>
                <w:lang w:eastAsia="uk-UA"/>
              </w:rPr>
            </w:pPr>
            <w:r w:rsidRPr="00286216">
              <w:rPr>
                <w:rFonts w:eastAsia="MS Mincho"/>
                <w:color w:val="000000" w:themeColor="text1"/>
                <w:szCs w:val="18"/>
                <w:lang w:eastAsia="uk-UA"/>
              </w:rPr>
              <w:t>"2) біржові операції – дія (сукупність дій) товарної біржі та/або учасників торгів, спрямована на укладання та виконання біржових угод та біржових договорів".</w:t>
            </w:r>
          </w:p>
        </w:tc>
        <w:tc>
          <w:tcPr>
            <w:tcW w:w="1987" w:type="dxa"/>
          </w:tcPr>
          <w:p w14:paraId="302BC38C" w14:textId="22F8D51B"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tc>
        <w:tc>
          <w:tcPr>
            <w:tcW w:w="4818" w:type="dxa"/>
          </w:tcPr>
          <w:p w14:paraId="19F98BEE" w14:textId="3D36A662"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5) біржові операції - </w:t>
            </w:r>
            <w:r w:rsidRPr="00286216">
              <w:rPr>
                <w:rFonts w:eastAsia="MS Mincho"/>
                <w:color w:val="000000" w:themeColor="text1"/>
                <w:szCs w:val="18"/>
                <w:lang w:eastAsia="uk-UA"/>
              </w:rPr>
              <w:t xml:space="preserve">дія (сукупність дій) товарної біржі та/або </w:t>
            </w:r>
            <w:r w:rsidRPr="00286216">
              <w:rPr>
                <w:rFonts w:eastAsia="MS Mincho"/>
                <w:color w:val="000000" w:themeColor="text1"/>
                <w:lang w:eastAsia="uk-UA"/>
              </w:rPr>
              <w:t>учасників торгів, спрямована на укладання і виконання біржових угод та біржових договорів;</w:t>
            </w:r>
          </w:p>
        </w:tc>
      </w:tr>
      <w:tr w:rsidR="001A75A4" w:rsidRPr="00286216" w14:paraId="39F118B2" w14:textId="77777777" w:rsidTr="00091AA5">
        <w:tc>
          <w:tcPr>
            <w:tcW w:w="576" w:type="dxa"/>
          </w:tcPr>
          <w:p w14:paraId="038D21C8" w14:textId="77777777" w:rsidR="001A75A4" w:rsidRPr="00286216" w:rsidRDefault="001A75A4" w:rsidP="001A75A4">
            <w:pPr>
              <w:pStyle w:val="StyleWisnow"/>
              <w:rPr>
                <w:rFonts w:eastAsia="MS Mincho"/>
                <w:color w:val="000000" w:themeColor="text1"/>
              </w:rPr>
            </w:pPr>
            <w:bookmarkStart w:id="2152" w:name="n2366" w:colFirst="0" w:colLast="0"/>
            <w:bookmarkEnd w:id="2151"/>
            <w:r w:rsidRPr="00286216">
              <w:rPr>
                <w:rFonts w:eastAsia="MS Mincho"/>
                <w:color w:val="000000" w:themeColor="text1"/>
              </w:rPr>
              <w:t>2366.</w:t>
            </w:r>
          </w:p>
        </w:tc>
        <w:tc>
          <w:tcPr>
            <w:tcW w:w="4818" w:type="dxa"/>
          </w:tcPr>
          <w:p w14:paraId="5855981F"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3) біржові торги - організоване подання учасниками біржових торгів заявок на купівлю/продаж біржових товарів, укладання біржових угод (біржових договорів) та вчинення інших дій на товарній біржі щодо таких біржових товарів відповідно до правил товарної біржі;</w:t>
            </w:r>
          </w:p>
        </w:tc>
        <w:tc>
          <w:tcPr>
            <w:tcW w:w="3686" w:type="dxa"/>
          </w:tcPr>
          <w:p w14:paraId="66B9CC61"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00E28D65" w14:textId="77777777" w:rsidR="001A75A4" w:rsidRPr="00286216" w:rsidRDefault="001A75A4" w:rsidP="001A75A4">
            <w:pPr>
              <w:pStyle w:val="StyleWisnow"/>
              <w:rPr>
                <w:rFonts w:eastAsia="MS Mincho"/>
                <w:color w:val="000000" w:themeColor="text1"/>
                <w:lang w:eastAsia="uk-UA"/>
              </w:rPr>
            </w:pPr>
          </w:p>
        </w:tc>
        <w:tc>
          <w:tcPr>
            <w:tcW w:w="4818" w:type="dxa"/>
          </w:tcPr>
          <w:p w14:paraId="0E56FB3D" w14:textId="4E0A4ECA"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6) біржові торги - організоване подання учасниками біржових торгів заявок на купівлю/продаж біржових товарів, укладання біржових угод (біржових договорів) та вчинення інших дій на товарній біржі щодо таких біржових товарів відповідно до правил товарної біржі;</w:t>
            </w:r>
          </w:p>
        </w:tc>
      </w:tr>
      <w:tr w:rsidR="001A75A4" w:rsidRPr="00286216" w14:paraId="1069D826" w14:textId="77777777" w:rsidTr="00091AA5">
        <w:tc>
          <w:tcPr>
            <w:tcW w:w="576" w:type="dxa"/>
          </w:tcPr>
          <w:p w14:paraId="714D3938" w14:textId="77777777" w:rsidR="001A75A4" w:rsidRPr="00286216" w:rsidRDefault="001A75A4" w:rsidP="001A75A4">
            <w:pPr>
              <w:pStyle w:val="StyleWisnow"/>
              <w:rPr>
                <w:rFonts w:eastAsia="MS Mincho"/>
                <w:color w:val="000000" w:themeColor="text1"/>
              </w:rPr>
            </w:pPr>
            <w:bookmarkStart w:id="2153" w:name="n2367" w:colFirst="0" w:colLast="0"/>
            <w:bookmarkEnd w:id="2152"/>
            <w:r w:rsidRPr="00286216">
              <w:rPr>
                <w:rFonts w:eastAsia="MS Mincho"/>
                <w:color w:val="000000" w:themeColor="text1"/>
              </w:rPr>
              <w:t>2367.</w:t>
            </w:r>
          </w:p>
        </w:tc>
        <w:tc>
          <w:tcPr>
            <w:tcW w:w="4818" w:type="dxa"/>
          </w:tcPr>
          <w:p w14:paraId="3A9905B1"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4) біржовий договір - договір, що передбачає поставку біржового товару, відповідно до умов якого фактичне постачання біржового товару відбувається </w:t>
            </w:r>
            <w:r w:rsidRPr="00286216">
              <w:rPr>
                <w:rFonts w:eastAsia="MS Mincho"/>
                <w:color w:val="000000" w:themeColor="text1"/>
                <w:lang w:eastAsia="uk-UA"/>
              </w:rPr>
              <w:lastRenderedPageBreak/>
              <w:t>відразу після проведення розрахунків за таким договором та який укладається в ході або за результатами біржових торгів у відповідності до правил товарної біржі;</w:t>
            </w:r>
          </w:p>
        </w:tc>
        <w:tc>
          <w:tcPr>
            <w:tcW w:w="3686" w:type="dxa"/>
          </w:tcPr>
          <w:p w14:paraId="1B7C23F4" w14:textId="60E166B9" w:rsidR="001A75A4" w:rsidRPr="00286216" w:rsidRDefault="001A75A4" w:rsidP="001A75A4">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1116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47C1A84" w14:textId="77777777" w:rsidR="001A75A4" w:rsidRPr="00286216" w:rsidRDefault="001A75A4" w:rsidP="001A75A4">
            <w:pPr>
              <w:pStyle w:val="StyleProp"/>
              <w:spacing w:line="180" w:lineRule="exact"/>
              <w:rPr>
                <w:rFonts w:eastAsia="MS Mincho"/>
                <w:color w:val="000000" w:themeColor="text1"/>
                <w:szCs w:val="18"/>
              </w:rPr>
            </w:pPr>
            <w:r w:rsidRPr="00286216">
              <w:rPr>
                <w:rFonts w:eastAsia="MS Mincho"/>
                <w:color w:val="000000" w:themeColor="text1"/>
                <w:szCs w:val="18"/>
              </w:rPr>
              <w:t xml:space="preserve">У пункті 4 частини першої статті 2 слова "поставку біржового товару, відповідно до </w:t>
            </w:r>
            <w:r w:rsidRPr="00286216">
              <w:rPr>
                <w:rFonts w:eastAsia="MS Mincho"/>
                <w:color w:val="000000" w:themeColor="text1"/>
                <w:szCs w:val="18"/>
              </w:rPr>
              <w:lastRenderedPageBreak/>
              <w:t>умов якого фактичне постачання біржового товару відбувається відразу після проведення розрахунків за таким договором" замінити словами "оплатну передачу біржового товару після проведення розрахунків за таким договором в межах найбільшого з наступних проміжків часу – двох робочих днів або проміжку часу, визначеного звичаєм ділового обороту, зафіксованим правилами товарної біржі".</w:t>
            </w:r>
          </w:p>
        </w:tc>
        <w:tc>
          <w:tcPr>
            <w:tcW w:w="1987" w:type="dxa"/>
          </w:tcPr>
          <w:p w14:paraId="2811E962"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lastRenderedPageBreak/>
              <w:t>Враховано</w:t>
            </w:r>
          </w:p>
        </w:tc>
        <w:tc>
          <w:tcPr>
            <w:tcW w:w="4818" w:type="dxa"/>
          </w:tcPr>
          <w:p w14:paraId="52332D9E" w14:textId="7576CCD2"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2) біржовий договір - договір, що передбачає </w:t>
            </w:r>
            <w:r w:rsidRPr="00286216">
              <w:rPr>
                <w:rFonts w:eastAsia="MS Mincho"/>
                <w:color w:val="000000" w:themeColor="text1"/>
                <w:szCs w:val="18"/>
              </w:rPr>
              <w:t xml:space="preserve">оплатну передачу біржового товару після проведення розрахунків за таким договором у межах найбільшого </w:t>
            </w:r>
            <w:r w:rsidRPr="00286216">
              <w:rPr>
                <w:rFonts w:eastAsia="MS Mincho"/>
                <w:color w:val="000000" w:themeColor="text1"/>
                <w:szCs w:val="18"/>
              </w:rPr>
              <w:lastRenderedPageBreak/>
              <w:t xml:space="preserve">з таких проміжків часу – двох робочих днів або проміжку часу, визначеного звичаєм ділового обороту, зафіксованим правилами товарної біржі, </w:t>
            </w:r>
            <w:r w:rsidRPr="00286216">
              <w:rPr>
                <w:rFonts w:eastAsia="MS Mincho"/>
                <w:color w:val="000000" w:themeColor="text1"/>
                <w:lang w:eastAsia="uk-UA"/>
              </w:rPr>
              <w:t>та який укладається в ході або за результатами біржових торгів  відповідно до правил товарної біржі;</w:t>
            </w:r>
          </w:p>
        </w:tc>
      </w:tr>
      <w:bookmarkEnd w:id="2153"/>
      <w:tr w:rsidR="001A75A4" w:rsidRPr="00286216" w14:paraId="26D850A0" w14:textId="77777777" w:rsidTr="00091AA5">
        <w:tc>
          <w:tcPr>
            <w:tcW w:w="576" w:type="dxa"/>
          </w:tcPr>
          <w:p w14:paraId="4795E3CD" w14:textId="77777777" w:rsidR="001A75A4" w:rsidRPr="00286216" w:rsidRDefault="001A75A4" w:rsidP="001A75A4">
            <w:pPr>
              <w:pStyle w:val="StyleWisnow"/>
              <w:rPr>
                <w:rFonts w:eastAsia="MS Mincho"/>
                <w:color w:val="000000" w:themeColor="text1"/>
              </w:rPr>
            </w:pPr>
          </w:p>
        </w:tc>
        <w:tc>
          <w:tcPr>
            <w:tcW w:w="4818" w:type="dxa"/>
          </w:tcPr>
          <w:p w14:paraId="5C50F993" w14:textId="77777777" w:rsidR="001A75A4" w:rsidRPr="00286216" w:rsidRDefault="001A75A4" w:rsidP="001A75A4">
            <w:pPr>
              <w:pStyle w:val="StyleZakonu"/>
              <w:rPr>
                <w:rFonts w:eastAsia="MS Mincho"/>
                <w:color w:val="000000" w:themeColor="text1"/>
                <w:lang w:eastAsia="uk-UA"/>
              </w:rPr>
            </w:pPr>
          </w:p>
        </w:tc>
        <w:tc>
          <w:tcPr>
            <w:tcW w:w="3686" w:type="dxa"/>
          </w:tcPr>
          <w:p w14:paraId="29836EE5" w14:textId="6E7D24D5"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1117</w:t>
            </w:r>
            <w:r w:rsidRPr="00286216">
              <w:rPr>
                <w:color w:val="000000" w:themeColor="text1"/>
                <w:spacing w:val="-2"/>
              </w:rPr>
              <w:fldChar w:fldCharType="end"/>
            </w:r>
            <w:r w:rsidRPr="00286216">
              <w:rPr>
                <w:color w:val="000000" w:themeColor="text1"/>
                <w:spacing w:val="-2"/>
              </w:rPr>
              <w:t>-Н.д.Шахов С.В. (Реєстр.картка №114)</w:t>
            </w:r>
          </w:p>
          <w:p w14:paraId="32420FA6" w14:textId="77777777" w:rsidR="001A75A4" w:rsidRPr="00286216" w:rsidRDefault="001A75A4" w:rsidP="001A75A4">
            <w:pPr>
              <w:pStyle w:val="StyleProp"/>
              <w:rPr>
                <w:rFonts w:eastAsia="MS Mincho"/>
                <w:color w:val="000000" w:themeColor="text1"/>
                <w:szCs w:val="18"/>
                <w:lang w:eastAsia="uk-UA"/>
              </w:rPr>
            </w:pPr>
            <w:r w:rsidRPr="00286216">
              <w:rPr>
                <w:rFonts w:eastAsia="MS Mincho"/>
                <w:color w:val="000000" w:themeColor="text1"/>
                <w:szCs w:val="18"/>
                <w:lang w:eastAsia="uk-UA"/>
              </w:rPr>
              <w:t>П.4 ч.1 ст.2 викласти у такій редакції:</w:t>
            </w:r>
          </w:p>
          <w:p w14:paraId="2B5F1F95" w14:textId="77777777" w:rsidR="001A75A4" w:rsidRPr="00286216" w:rsidRDefault="001A75A4" w:rsidP="001A75A4">
            <w:pPr>
              <w:pStyle w:val="StyleProp"/>
              <w:spacing w:line="180" w:lineRule="exact"/>
              <w:rPr>
                <w:rFonts w:eastAsia="MS Mincho"/>
                <w:color w:val="000000" w:themeColor="text1"/>
                <w:szCs w:val="18"/>
                <w:lang w:eastAsia="uk-UA"/>
              </w:rPr>
            </w:pPr>
            <w:r w:rsidRPr="00286216">
              <w:rPr>
                <w:rFonts w:eastAsia="MS Mincho"/>
                <w:color w:val="000000" w:themeColor="text1"/>
                <w:szCs w:val="18"/>
                <w:lang w:eastAsia="uk-UA"/>
              </w:rPr>
              <w:t>"4) біржовий договір – договір, що передбачає поставку біржового товару та здійснення розрахунків за таким договором на умовах, зазначених у такому договорі та/або правилах товарної біржі, та який укладається в ході або за результатами біржових торгів у відповідності до правил товарної біржі".</w:t>
            </w:r>
          </w:p>
        </w:tc>
        <w:tc>
          <w:tcPr>
            <w:tcW w:w="1987" w:type="dxa"/>
          </w:tcPr>
          <w:p w14:paraId="7B4B6D85"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 частково</w:t>
            </w:r>
          </w:p>
        </w:tc>
        <w:tc>
          <w:tcPr>
            <w:tcW w:w="4818" w:type="dxa"/>
          </w:tcPr>
          <w:p w14:paraId="17B571B8" w14:textId="77777777" w:rsidR="001A75A4" w:rsidRPr="00286216" w:rsidRDefault="001A75A4" w:rsidP="001A75A4">
            <w:pPr>
              <w:pStyle w:val="StyleZakonu"/>
              <w:rPr>
                <w:rFonts w:eastAsia="MS Mincho"/>
                <w:color w:val="000000" w:themeColor="text1"/>
                <w:lang w:eastAsia="uk-UA"/>
              </w:rPr>
            </w:pPr>
          </w:p>
        </w:tc>
      </w:tr>
      <w:tr w:rsidR="001A75A4" w:rsidRPr="00286216" w14:paraId="0D54C5B2" w14:textId="77777777" w:rsidTr="00091AA5">
        <w:tc>
          <w:tcPr>
            <w:tcW w:w="576" w:type="dxa"/>
          </w:tcPr>
          <w:p w14:paraId="5399C71E" w14:textId="77777777" w:rsidR="001A75A4" w:rsidRPr="00286216" w:rsidRDefault="001A75A4" w:rsidP="001A75A4">
            <w:pPr>
              <w:pStyle w:val="StyleWisnow"/>
              <w:rPr>
                <w:rFonts w:eastAsia="MS Mincho"/>
                <w:color w:val="000000" w:themeColor="text1"/>
              </w:rPr>
            </w:pPr>
            <w:bookmarkStart w:id="2154" w:name="n2368" w:colFirst="0" w:colLast="0"/>
            <w:r w:rsidRPr="00286216">
              <w:rPr>
                <w:rFonts w:eastAsia="MS Mincho"/>
                <w:color w:val="000000" w:themeColor="text1"/>
              </w:rPr>
              <w:t>2368.</w:t>
            </w:r>
          </w:p>
        </w:tc>
        <w:tc>
          <w:tcPr>
            <w:tcW w:w="4818" w:type="dxa"/>
          </w:tcPr>
          <w:p w14:paraId="4D789E31"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5) біржовий курс (ринкова ціна біржового товару) -ціна, сформована в конкурентний спосіб за результатами біржових торгів, що розраховується в порядку, визначеному правилами товарної біржі; товарна біржа має право здійснювати в ході біржових торгів розрахунок поточного біржового курсу;</w:t>
            </w:r>
          </w:p>
        </w:tc>
        <w:tc>
          <w:tcPr>
            <w:tcW w:w="3686" w:type="dxa"/>
          </w:tcPr>
          <w:p w14:paraId="2759A4E7"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3518095C" w14:textId="77777777" w:rsidR="001A75A4" w:rsidRPr="00286216" w:rsidRDefault="001A75A4" w:rsidP="001A75A4">
            <w:pPr>
              <w:pStyle w:val="StyleWisnow"/>
              <w:rPr>
                <w:rFonts w:eastAsia="MS Mincho"/>
                <w:color w:val="000000" w:themeColor="text1"/>
                <w:lang w:eastAsia="uk-UA"/>
              </w:rPr>
            </w:pPr>
          </w:p>
        </w:tc>
        <w:tc>
          <w:tcPr>
            <w:tcW w:w="4818" w:type="dxa"/>
          </w:tcPr>
          <w:p w14:paraId="762BE749" w14:textId="385DE77C"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3) біржовий курс (ринкова ціна біржового товару) - ціна, сформована в конкурентний спосіб за результатами біржових торгів, що розраховується в порядку, визначеному правилами товарної біржі. Товарна біржа має право здійснювати в ході біржових торгів розрахунок поточного біржового курсу;</w:t>
            </w:r>
          </w:p>
        </w:tc>
      </w:tr>
      <w:tr w:rsidR="001A75A4" w:rsidRPr="00286216" w14:paraId="66487357" w14:textId="77777777" w:rsidTr="00091AA5">
        <w:tc>
          <w:tcPr>
            <w:tcW w:w="576" w:type="dxa"/>
          </w:tcPr>
          <w:p w14:paraId="0830FFFB" w14:textId="77777777" w:rsidR="001A75A4" w:rsidRPr="00286216" w:rsidRDefault="001A75A4" w:rsidP="001A75A4">
            <w:pPr>
              <w:pStyle w:val="StyleWisnow"/>
              <w:rPr>
                <w:rFonts w:eastAsia="MS Mincho"/>
                <w:color w:val="000000" w:themeColor="text1"/>
              </w:rPr>
            </w:pPr>
            <w:bookmarkStart w:id="2155" w:name="n2369" w:colFirst="0" w:colLast="0"/>
            <w:bookmarkEnd w:id="2154"/>
            <w:r w:rsidRPr="00286216">
              <w:rPr>
                <w:rFonts w:eastAsia="MS Mincho"/>
                <w:color w:val="000000" w:themeColor="text1"/>
              </w:rPr>
              <w:t>2369.</w:t>
            </w:r>
          </w:p>
        </w:tc>
        <w:tc>
          <w:tcPr>
            <w:tcW w:w="4818" w:type="dxa"/>
          </w:tcPr>
          <w:p w14:paraId="5AD8EA24"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6) біржовий товар - актив, допущений до торгів на товарній біржі, згідно з правилами такої товарної біржі, а саме - продукція та інше майно, визначене родовими ознаками;</w:t>
            </w:r>
          </w:p>
        </w:tc>
        <w:tc>
          <w:tcPr>
            <w:tcW w:w="3686" w:type="dxa"/>
          </w:tcPr>
          <w:p w14:paraId="4E9B5C7D" w14:textId="2440137B"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1118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9381974" w14:textId="77777777" w:rsidR="001A75A4" w:rsidRPr="00286216" w:rsidRDefault="001A75A4" w:rsidP="001A75A4">
            <w:pPr>
              <w:pStyle w:val="StyleProp"/>
              <w:rPr>
                <w:rFonts w:eastAsia="MS Mincho"/>
                <w:color w:val="000000" w:themeColor="text1"/>
                <w:szCs w:val="18"/>
              </w:rPr>
            </w:pPr>
            <w:r w:rsidRPr="00286216">
              <w:rPr>
                <w:rFonts w:eastAsia="MS Mincho"/>
                <w:color w:val="000000" w:themeColor="text1"/>
                <w:szCs w:val="18"/>
              </w:rPr>
              <w:t>У пункті 6 частини першої статті 2 слова «інше майно, визначене» замінити словами «інші речі, визначені».</w:t>
            </w:r>
          </w:p>
        </w:tc>
        <w:tc>
          <w:tcPr>
            <w:tcW w:w="1987" w:type="dxa"/>
          </w:tcPr>
          <w:p w14:paraId="38353C26"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tc>
        <w:tc>
          <w:tcPr>
            <w:tcW w:w="4818" w:type="dxa"/>
          </w:tcPr>
          <w:p w14:paraId="6D5162CE" w14:textId="0D55D519"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4) біржовий товар - актив, допущений до торгів на товарній біржі згідно з правилами такої товарної біржі, а саме продукція та </w:t>
            </w:r>
            <w:r w:rsidRPr="00286216">
              <w:rPr>
                <w:rFonts w:eastAsia="MS Mincho"/>
                <w:color w:val="000000" w:themeColor="text1"/>
                <w:szCs w:val="18"/>
              </w:rPr>
              <w:t>інші речі, визначені</w:t>
            </w:r>
            <w:r w:rsidRPr="00286216">
              <w:rPr>
                <w:rFonts w:eastAsia="MS Mincho"/>
                <w:color w:val="000000" w:themeColor="text1"/>
                <w:lang w:eastAsia="uk-UA"/>
              </w:rPr>
              <w:t xml:space="preserve"> родовими ознаками;</w:t>
            </w:r>
          </w:p>
        </w:tc>
      </w:tr>
      <w:tr w:rsidR="001A75A4" w:rsidRPr="00286216" w14:paraId="23AE3178" w14:textId="77777777" w:rsidTr="00091AA5">
        <w:tc>
          <w:tcPr>
            <w:tcW w:w="576" w:type="dxa"/>
          </w:tcPr>
          <w:p w14:paraId="047DD036" w14:textId="77777777" w:rsidR="001A75A4" w:rsidRPr="00286216" w:rsidRDefault="001A75A4" w:rsidP="001A75A4">
            <w:pPr>
              <w:pStyle w:val="StyleWisnow"/>
              <w:rPr>
                <w:rFonts w:eastAsia="MS Mincho"/>
                <w:color w:val="000000" w:themeColor="text1"/>
              </w:rPr>
            </w:pPr>
            <w:bookmarkStart w:id="2156" w:name="n2370" w:colFirst="0" w:colLast="0"/>
            <w:bookmarkEnd w:id="2155"/>
            <w:r w:rsidRPr="00286216">
              <w:rPr>
                <w:rFonts w:eastAsia="MS Mincho"/>
                <w:color w:val="000000" w:themeColor="text1"/>
              </w:rPr>
              <w:t>2370.</w:t>
            </w:r>
          </w:p>
        </w:tc>
        <w:tc>
          <w:tcPr>
            <w:tcW w:w="4818" w:type="dxa"/>
          </w:tcPr>
          <w:p w14:paraId="69A967E7"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7) електронна торгова система - </w:t>
            </w:r>
            <w:r w:rsidRPr="00286216">
              <w:rPr>
                <w:color w:val="000000" w:themeColor="text1"/>
              </w:rPr>
              <w:t>багатостороння система</w:t>
            </w:r>
            <w:r w:rsidRPr="00286216">
              <w:rPr>
                <w:rFonts w:eastAsia="MS Mincho"/>
                <w:color w:val="000000" w:themeColor="text1"/>
                <w:lang w:eastAsia="uk-UA"/>
              </w:rPr>
              <w:t>, вимоги до якої встановлені цим Законом, за допомогою якої товарна біржа організовує біржові торги в електронній формі;</w:t>
            </w:r>
          </w:p>
        </w:tc>
        <w:tc>
          <w:tcPr>
            <w:tcW w:w="3686" w:type="dxa"/>
          </w:tcPr>
          <w:p w14:paraId="23040347"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6BFE8605" w14:textId="77777777" w:rsidR="001A75A4" w:rsidRPr="00286216" w:rsidRDefault="001A75A4" w:rsidP="001A75A4">
            <w:pPr>
              <w:pStyle w:val="StyleWisnow"/>
              <w:rPr>
                <w:rFonts w:eastAsia="MS Mincho"/>
                <w:color w:val="000000" w:themeColor="text1"/>
                <w:lang w:eastAsia="uk-UA"/>
              </w:rPr>
            </w:pPr>
          </w:p>
        </w:tc>
        <w:tc>
          <w:tcPr>
            <w:tcW w:w="4818" w:type="dxa"/>
          </w:tcPr>
          <w:p w14:paraId="1E6855BF" w14:textId="242B356C"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7) електронна торгова система - </w:t>
            </w:r>
            <w:r w:rsidRPr="00286216">
              <w:rPr>
                <w:color w:val="000000" w:themeColor="text1"/>
              </w:rPr>
              <w:t>багатостороння система</w:t>
            </w:r>
            <w:r w:rsidRPr="00286216">
              <w:rPr>
                <w:rFonts w:eastAsia="MS Mincho"/>
                <w:color w:val="000000" w:themeColor="text1"/>
                <w:lang w:eastAsia="uk-UA"/>
              </w:rPr>
              <w:t>, вимоги до якої встановлені цим Законом, за допомогою якої товарна біржа організовує біржові торги в електронній формі;</w:t>
            </w:r>
          </w:p>
        </w:tc>
      </w:tr>
      <w:tr w:rsidR="001A75A4" w:rsidRPr="00286216" w14:paraId="0166DB5E" w14:textId="77777777" w:rsidTr="00091AA5">
        <w:tc>
          <w:tcPr>
            <w:tcW w:w="576" w:type="dxa"/>
          </w:tcPr>
          <w:p w14:paraId="6CAC7B18" w14:textId="77777777" w:rsidR="001A75A4" w:rsidRPr="00286216" w:rsidRDefault="001A75A4" w:rsidP="001A75A4">
            <w:pPr>
              <w:pStyle w:val="StyleWisnow"/>
              <w:rPr>
                <w:rFonts w:eastAsia="MS Mincho"/>
                <w:color w:val="000000" w:themeColor="text1"/>
              </w:rPr>
            </w:pPr>
            <w:bookmarkStart w:id="2157" w:name="n2371" w:colFirst="0" w:colLast="0"/>
            <w:bookmarkEnd w:id="2156"/>
            <w:r w:rsidRPr="00286216">
              <w:rPr>
                <w:rFonts w:eastAsia="MS Mincho"/>
                <w:color w:val="000000" w:themeColor="text1"/>
              </w:rPr>
              <w:t>2371.</w:t>
            </w:r>
          </w:p>
        </w:tc>
        <w:tc>
          <w:tcPr>
            <w:tcW w:w="4818" w:type="dxa"/>
          </w:tcPr>
          <w:p w14:paraId="2FFB31E5"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8) клієнт - юридична або фізична особа, в тому числі фізична особа-підприємець, яка продає та/або придбаває біржовий товар за посередництва учасника торгів;</w:t>
            </w:r>
          </w:p>
        </w:tc>
        <w:tc>
          <w:tcPr>
            <w:tcW w:w="3686" w:type="dxa"/>
          </w:tcPr>
          <w:p w14:paraId="52B5E081" w14:textId="0B645AC7"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1119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6728530" w14:textId="77777777" w:rsidR="001A75A4" w:rsidRPr="00286216" w:rsidRDefault="001A75A4" w:rsidP="001A75A4">
            <w:pPr>
              <w:pStyle w:val="StyleProp"/>
              <w:rPr>
                <w:rFonts w:eastAsia="MS Mincho"/>
                <w:color w:val="000000" w:themeColor="text1"/>
                <w:szCs w:val="18"/>
              </w:rPr>
            </w:pPr>
            <w:r w:rsidRPr="00286216">
              <w:rPr>
                <w:rFonts w:eastAsia="MS Mincho"/>
                <w:color w:val="000000" w:themeColor="text1"/>
                <w:szCs w:val="18"/>
              </w:rPr>
              <w:t>Пункт 8 частини першої статті 2 після слів «за посередництва» доповнити словом «(представництва)».</w:t>
            </w:r>
          </w:p>
        </w:tc>
        <w:tc>
          <w:tcPr>
            <w:tcW w:w="1987" w:type="dxa"/>
          </w:tcPr>
          <w:p w14:paraId="126C517D"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tc>
        <w:tc>
          <w:tcPr>
            <w:tcW w:w="4818" w:type="dxa"/>
          </w:tcPr>
          <w:p w14:paraId="607EF416" w14:textId="1947C05D"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8) клієнт - юридична або фізична особа, у тому числі фізична особа-підприємець, яка продає та/або придбаває біржовий товар за посередництва (</w:t>
            </w:r>
            <w:r w:rsidRPr="00286216">
              <w:rPr>
                <w:rFonts w:eastAsia="MS Mincho"/>
                <w:color w:val="000000" w:themeColor="text1"/>
                <w:szCs w:val="18"/>
              </w:rPr>
              <w:t>представництва)</w:t>
            </w:r>
            <w:r w:rsidRPr="00286216">
              <w:rPr>
                <w:rFonts w:eastAsia="MS Mincho"/>
                <w:color w:val="000000" w:themeColor="text1"/>
                <w:lang w:eastAsia="uk-UA"/>
              </w:rPr>
              <w:t xml:space="preserve"> учасника торгів;</w:t>
            </w:r>
          </w:p>
        </w:tc>
      </w:tr>
      <w:tr w:rsidR="001A75A4" w:rsidRPr="00286216" w14:paraId="00156D69" w14:textId="77777777" w:rsidTr="00091AA5">
        <w:tc>
          <w:tcPr>
            <w:tcW w:w="576" w:type="dxa"/>
          </w:tcPr>
          <w:p w14:paraId="61FA63C9" w14:textId="77777777" w:rsidR="001A75A4" w:rsidRPr="00286216" w:rsidRDefault="001A75A4" w:rsidP="001A75A4">
            <w:pPr>
              <w:pStyle w:val="StyleWisnow"/>
              <w:rPr>
                <w:rFonts w:eastAsia="MS Mincho"/>
                <w:color w:val="000000" w:themeColor="text1"/>
              </w:rPr>
            </w:pPr>
            <w:bookmarkStart w:id="2158" w:name="n2372" w:colFirst="0" w:colLast="0"/>
            <w:bookmarkEnd w:id="2157"/>
            <w:r w:rsidRPr="00286216">
              <w:rPr>
                <w:rFonts w:eastAsia="MS Mincho"/>
                <w:color w:val="000000" w:themeColor="text1"/>
              </w:rPr>
              <w:t>2372.</w:t>
            </w:r>
          </w:p>
        </w:tc>
        <w:tc>
          <w:tcPr>
            <w:tcW w:w="4818" w:type="dxa"/>
          </w:tcPr>
          <w:p w14:paraId="5DD31087" w14:textId="77777777" w:rsidR="001A75A4" w:rsidRPr="00286216" w:rsidRDefault="001A75A4" w:rsidP="001A75A4">
            <w:pPr>
              <w:pStyle w:val="StyleZakonu"/>
              <w:rPr>
                <w:rFonts w:eastAsia="MS Mincho"/>
                <w:color w:val="000000" w:themeColor="text1"/>
                <w:lang w:eastAsia="uk-UA"/>
              </w:rPr>
            </w:pPr>
            <w:bookmarkStart w:id="2159" w:name="OLE_LINK3"/>
            <w:r w:rsidRPr="00286216">
              <w:rPr>
                <w:rFonts w:eastAsia="MS Mincho"/>
                <w:color w:val="000000" w:themeColor="text1"/>
                <w:lang w:eastAsia="uk-UA"/>
              </w:rPr>
              <w:t xml:space="preserve">9) організація торгівлі </w:t>
            </w:r>
            <w:r w:rsidRPr="00286216">
              <w:rPr>
                <w:color w:val="000000" w:themeColor="text1"/>
                <w:lang w:eastAsia="uk-UA"/>
              </w:rPr>
              <w:t>продукцією на товарних біржах</w:t>
            </w:r>
            <w:r w:rsidRPr="00286216">
              <w:rPr>
                <w:rFonts w:eastAsia="MS Mincho"/>
                <w:color w:val="000000" w:themeColor="text1"/>
                <w:lang w:eastAsia="uk-UA"/>
              </w:rPr>
              <w:t xml:space="preserve"> </w:t>
            </w:r>
            <w:bookmarkEnd w:id="2159"/>
            <w:r w:rsidRPr="00286216">
              <w:rPr>
                <w:rFonts w:eastAsia="MS Mincho"/>
                <w:color w:val="000000" w:themeColor="text1"/>
                <w:lang w:eastAsia="uk-UA"/>
              </w:rPr>
              <w:t xml:space="preserve">(організація біржової торгівлі) - діяльність товарної біржі зі створення та функціонування електронної торгової системи, яка у встановленому Національною комісією з цінних паперів та фондового ринку порядку, </w:t>
            </w:r>
            <w:r w:rsidRPr="00286216">
              <w:rPr>
                <w:color w:val="000000" w:themeColor="text1"/>
              </w:rPr>
              <w:t xml:space="preserve">забезпечує централізоване вчинення (укладання) та централізоване виконання правочинів (біржових договорів (угод) </w:t>
            </w:r>
            <w:r w:rsidRPr="00286216">
              <w:rPr>
                <w:rFonts w:eastAsia="MS Mincho"/>
                <w:color w:val="000000" w:themeColor="text1"/>
                <w:lang w:eastAsia="uk-UA"/>
              </w:rPr>
              <w:t xml:space="preserve">щодо біржових товарів), згідно з недискреційними правилами, встановленими товарною біржою та зареєстрованими </w:t>
            </w:r>
            <w:r w:rsidRPr="00286216">
              <w:rPr>
                <w:rFonts w:eastAsia="MS Mincho"/>
                <w:color w:val="000000" w:themeColor="text1"/>
                <w:lang w:eastAsia="uk-UA"/>
              </w:rPr>
              <w:lastRenderedPageBreak/>
              <w:t>у встановленому цим Законом порядку;</w:t>
            </w:r>
          </w:p>
        </w:tc>
        <w:tc>
          <w:tcPr>
            <w:tcW w:w="3686" w:type="dxa"/>
          </w:tcPr>
          <w:p w14:paraId="052DEFAD" w14:textId="789166FC" w:rsidR="001A75A4" w:rsidRPr="00286216" w:rsidRDefault="001A75A4" w:rsidP="001A75A4">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1120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E507126" w14:textId="77777777" w:rsidR="001A75A4" w:rsidRPr="00286216" w:rsidRDefault="001A75A4" w:rsidP="001A75A4">
            <w:pPr>
              <w:pStyle w:val="StyleProp"/>
              <w:rPr>
                <w:rFonts w:eastAsia="MS Mincho"/>
                <w:color w:val="000000" w:themeColor="text1"/>
                <w:szCs w:val="18"/>
              </w:rPr>
            </w:pPr>
            <w:r w:rsidRPr="00286216">
              <w:rPr>
                <w:rFonts w:eastAsia="MS Mincho"/>
                <w:color w:val="000000" w:themeColor="text1"/>
                <w:szCs w:val="18"/>
              </w:rPr>
              <w:t>Пункт 9 частини першої статті 2 після слів «діяльність товарної біржі» доповнити словами «(оператора регульованого товарного ринку)».</w:t>
            </w:r>
          </w:p>
          <w:p w14:paraId="7F11AC92" w14:textId="1FF57C17"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1121</w:t>
            </w:r>
            <w:r w:rsidRPr="00286216">
              <w:rPr>
                <w:color w:val="000000" w:themeColor="text1"/>
                <w:spacing w:val="-2"/>
              </w:rPr>
              <w:fldChar w:fldCharType="end"/>
            </w:r>
            <w:r w:rsidRPr="00286216">
              <w:rPr>
                <w:color w:val="000000" w:themeColor="text1"/>
                <w:spacing w:val="-2"/>
              </w:rPr>
              <w:t>-Н.д.Шахов С.В. (Реєстр.картка №114)</w:t>
            </w:r>
          </w:p>
          <w:p w14:paraId="64166136" w14:textId="77777777" w:rsidR="001A75A4" w:rsidRPr="00286216" w:rsidRDefault="001A75A4" w:rsidP="001A75A4">
            <w:pPr>
              <w:pStyle w:val="StyleProp"/>
              <w:rPr>
                <w:rFonts w:eastAsia="MS Mincho"/>
                <w:color w:val="000000" w:themeColor="text1"/>
                <w:szCs w:val="18"/>
                <w:lang w:eastAsia="uk-UA"/>
              </w:rPr>
            </w:pPr>
            <w:r w:rsidRPr="00286216">
              <w:rPr>
                <w:rFonts w:eastAsia="MS Mincho"/>
                <w:color w:val="000000" w:themeColor="text1"/>
                <w:szCs w:val="18"/>
                <w:lang w:eastAsia="uk-UA"/>
              </w:rPr>
              <w:t>П.9 ч.1 ст.2 викласти у такій редакції:</w:t>
            </w:r>
          </w:p>
          <w:p w14:paraId="499C3E57" w14:textId="77777777" w:rsidR="001A75A4" w:rsidRPr="00286216" w:rsidRDefault="001A75A4" w:rsidP="001A75A4">
            <w:pPr>
              <w:pStyle w:val="StyleProp"/>
              <w:spacing w:line="180" w:lineRule="exact"/>
              <w:rPr>
                <w:rFonts w:eastAsia="MS Mincho"/>
                <w:color w:val="000000" w:themeColor="text1"/>
                <w:szCs w:val="18"/>
              </w:rPr>
            </w:pPr>
            <w:r w:rsidRPr="00286216">
              <w:rPr>
                <w:rFonts w:eastAsia="MS Mincho"/>
                <w:color w:val="000000" w:themeColor="text1"/>
                <w:szCs w:val="18"/>
              </w:rPr>
              <w:t xml:space="preserve">"9) організація торгівлі продукцією на товарних біржах (організація біржової торгівлі) – діяльність товарної біржі зі створення організаційних, технологічних, </w:t>
            </w:r>
            <w:r w:rsidRPr="00286216">
              <w:rPr>
                <w:rFonts w:eastAsia="MS Mincho"/>
                <w:color w:val="000000" w:themeColor="text1"/>
                <w:szCs w:val="18"/>
              </w:rPr>
              <w:lastRenderedPageBreak/>
              <w:t>інформаційних, правових та інших умов для забезпечення централізованого вчинення (укладання) та централізоване виконання правочинів (біржових договорів (угод) щодо біржових товарів), згідно з недискреційними правилами, встановленими товарною біржою та зареєстрованими у встановленому цим Законом порядку".</w:t>
            </w:r>
          </w:p>
        </w:tc>
        <w:tc>
          <w:tcPr>
            <w:tcW w:w="1987" w:type="dxa"/>
          </w:tcPr>
          <w:p w14:paraId="0A1074C3"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lastRenderedPageBreak/>
              <w:t>Відхилено</w:t>
            </w:r>
          </w:p>
          <w:p w14:paraId="345C188F"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перегляд концепції з урахуванням позиції НКРЕКП</w:t>
            </w:r>
          </w:p>
          <w:p w14:paraId="4C26F6DF" w14:textId="77777777" w:rsidR="001A75A4" w:rsidRPr="00286216" w:rsidRDefault="001A75A4" w:rsidP="001A75A4">
            <w:pPr>
              <w:pStyle w:val="StyleWisnow"/>
              <w:rPr>
                <w:rFonts w:eastAsia="MS Mincho"/>
                <w:color w:val="000000" w:themeColor="text1"/>
                <w:lang w:eastAsia="uk-UA"/>
              </w:rPr>
            </w:pPr>
          </w:p>
          <w:p w14:paraId="0DCAC26B" w14:textId="77777777" w:rsidR="001A75A4" w:rsidRPr="00286216" w:rsidRDefault="001A75A4" w:rsidP="001A75A4">
            <w:pPr>
              <w:pStyle w:val="StyleWisnow"/>
              <w:rPr>
                <w:color w:val="000000" w:themeColor="text1"/>
              </w:rPr>
            </w:pPr>
            <w:r w:rsidRPr="00286216">
              <w:rPr>
                <w:color w:val="000000" w:themeColor="text1"/>
              </w:rPr>
              <w:t>Відхилено</w:t>
            </w:r>
          </w:p>
          <w:p w14:paraId="36914BC7" w14:textId="7B764473" w:rsidR="001A75A4" w:rsidRPr="00286216" w:rsidRDefault="001A75A4" w:rsidP="001A75A4">
            <w:pPr>
              <w:pStyle w:val="StyleWisnow"/>
              <w:spacing w:line="180" w:lineRule="exact"/>
              <w:rPr>
                <w:rFonts w:eastAsia="MS Mincho"/>
                <w:color w:val="000000" w:themeColor="text1"/>
                <w:lang w:eastAsia="uk-UA"/>
              </w:rPr>
            </w:pPr>
            <w:r w:rsidRPr="00286216">
              <w:rPr>
                <w:color w:val="000000" w:themeColor="text1"/>
              </w:rPr>
              <w:t xml:space="preserve">відповідно до концепції цього законопроекту функціонал товарної біржі не тотожний функціоналу </w:t>
            </w:r>
            <w:r w:rsidRPr="00286216">
              <w:rPr>
                <w:color w:val="000000" w:themeColor="text1"/>
              </w:rPr>
              <w:lastRenderedPageBreak/>
              <w:t>регульованого товарного ринку</w:t>
            </w:r>
          </w:p>
          <w:p w14:paraId="7F14E103" w14:textId="77777777" w:rsidR="001A75A4" w:rsidRPr="00286216" w:rsidRDefault="001A75A4" w:rsidP="001A75A4">
            <w:pPr>
              <w:pStyle w:val="StyleWisnow"/>
              <w:rPr>
                <w:rFonts w:eastAsia="MS Mincho"/>
                <w:color w:val="000000" w:themeColor="text1"/>
                <w:lang w:eastAsia="uk-UA"/>
              </w:rPr>
            </w:pPr>
          </w:p>
        </w:tc>
        <w:tc>
          <w:tcPr>
            <w:tcW w:w="4818" w:type="dxa"/>
          </w:tcPr>
          <w:p w14:paraId="5F093A7B" w14:textId="7C7B96F2"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lastRenderedPageBreak/>
              <w:t xml:space="preserve">9) організація торгівлі </w:t>
            </w:r>
            <w:r w:rsidRPr="00286216">
              <w:rPr>
                <w:color w:val="000000" w:themeColor="text1"/>
                <w:lang w:eastAsia="uk-UA"/>
              </w:rPr>
              <w:t>продукцією на товарних біржах</w:t>
            </w:r>
            <w:r w:rsidRPr="00286216">
              <w:rPr>
                <w:rFonts w:eastAsia="MS Mincho"/>
                <w:color w:val="000000" w:themeColor="text1"/>
                <w:lang w:eastAsia="uk-UA"/>
              </w:rPr>
              <w:t xml:space="preserve"> (організація біржової торгівлі) - діяльність товарної біржі  із створення та функціонування електронної торгової системи, яка у встановленому Національною комісією з цінних паперів та фондового ринку порядку </w:t>
            </w:r>
            <w:r w:rsidRPr="00286216">
              <w:rPr>
                <w:color w:val="000000" w:themeColor="text1"/>
              </w:rPr>
              <w:t xml:space="preserve">забезпечує централізоване вчинення (укладання) та централізоване виконання правочинів (біржових договорів (угод) </w:t>
            </w:r>
            <w:r w:rsidRPr="00286216">
              <w:rPr>
                <w:rFonts w:eastAsia="MS Mincho"/>
                <w:color w:val="000000" w:themeColor="text1"/>
                <w:lang w:eastAsia="uk-UA"/>
              </w:rPr>
              <w:t xml:space="preserve">щодо біржових товарів) згідно з недискреційними правилами, встановленими товарною біржою та зареєстрованими </w:t>
            </w:r>
            <w:r w:rsidRPr="00286216">
              <w:rPr>
                <w:rFonts w:eastAsia="MS Mincho"/>
                <w:color w:val="000000" w:themeColor="text1"/>
                <w:lang w:eastAsia="uk-UA"/>
              </w:rPr>
              <w:lastRenderedPageBreak/>
              <w:t>у встановленому цим Законом порядку;</w:t>
            </w:r>
          </w:p>
        </w:tc>
      </w:tr>
      <w:tr w:rsidR="001A75A4" w:rsidRPr="00286216" w14:paraId="27A3BBEC" w14:textId="77777777" w:rsidTr="00091AA5">
        <w:tc>
          <w:tcPr>
            <w:tcW w:w="576" w:type="dxa"/>
          </w:tcPr>
          <w:p w14:paraId="5112F7C3" w14:textId="77777777" w:rsidR="001A75A4" w:rsidRPr="00286216" w:rsidRDefault="001A75A4" w:rsidP="001A75A4">
            <w:pPr>
              <w:pStyle w:val="StyleWisnow"/>
              <w:rPr>
                <w:rFonts w:eastAsia="MS Mincho"/>
                <w:color w:val="000000" w:themeColor="text1"/>
              </w:rPr>
            </w:pPr>
            <w:bookmarkStart w:id="2160" w:name="n2373" w:colFirst="0" w:colLast="0"/>
            <w:bookmarkEnd w:id="2158"/>
            <w:r w:rsidRPr="00286216">
              <w:rPr>
                <w:rFonts w:eastAsia="MS Mincho"/>
                <w:color w:val="000000" w:themeColor="text1"/>
              </w:rPr>
              <w:lastRenderedPageBreak/>
              <w:t>2373.</w:t>
            </w:r>
          </w:p>
        </w:tc>
        <w:tc>
          <w:tcPr>
            <w:tcW w:w="4818" w:type="dxa"/>
          </w:tcPr>
          <w:p w14:paraId="5FB7CA88"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10) позабіржові операції - сукупність дій сторін позабіржового договору, спрямована на його укладення та виконання;</w:t>
            </w:r>
          </w:p>
        </w:tc>
        <w:tc>
          <w:tcPr>
            <w:tcW w:w="3686" w:type="dxa"/>
          </w:tcPr>
          <w:p w14:paraId="28E1B0F4" w14:textId="318CDF1E"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1122</w:t>
            </w:r>
            <w:r w:rsidRPr="00286216">
              <w:rPr>
                <w:color w:val="000000" w:themeColor="text1"/>
                <w:spacing w:val="-2"/>
              </w:rPr>
              <w:fldChar w:fldCharType="end"/>
            </w:r>
            <w:r w:rsidRPr="00286216">
              <w:rPr>
                <w:color w:val="000000" w:themeColor="text1"/>
                <w:spacing w:val="-2"/>
              </w:rPr>
              <w:t>-Н.д.Шахов С.В. (Реєстр.картка №114)</w:t>
            </w:r>
          </w:p>
          <w:p w14:paraId="754E498B" w14:textId="77777777" w:rsidR="001A75A4" w:rsidRPr="00286216" w:rsidRDefault="001A75A4" w:rsidP="001A75A4">
            <w:pPr>
              <w:pStyle w:val="StyleProp"/>
              <w:spacing w:line="180" w:lineRule="exact"/>
              <w:rPr>
                <w:rFonts w:eastAsia="MS Mincho"/>
                <w:color w:val="000000" w:themeColor="text1"/>
                <w:spacing w:val="-6"/>
                <w:szCs w:val="18"/>
                <w:lang w:eastAsia="uk-UA"/>
              </w:rPr>
            </w:pPr>
            <w:r w:rsidRPr="00286216">
              <w:rPr>
                <w:rFonts w:eastAsia="MS Mincho"/>
                <w:color w:val="000000" w:themeColor="text1"/>
                <w:spacing w:val="-6"/>
                <w:szCs w:val="18"/>
                <w:lang w:eastAsia="uk-UA"/>
              </w:rPr>
              <w:t>У п.10 ч.1 ст.2 слова "сукупність дій сторін" замінити словами "дія (сукупність дій) сторони (сторін)".</w:t>
            </w:r>
          </w:p>
          <w:p w14:paraId="57C1EB28" w14:textId="48E1A014" w:rsidR="001A75A4" w:rsidRPr="00286216" w:rsidRDefault="001A75A4" w:rsidP="001A75A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1123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5674A2D" w14:textId="77777777" w:rsidR="001A75A4" w:rsidRPr="00286216" w:rsidRDefault="001A75A4" w:rsidP="001A75A4">
            <w:pPr>
              <w:pStyle w:val="StyleProp"/>
              <w:rPr>
                <w:color w:val="000000" w:themeColor="text1"/>
                <w:szCs w:val="18"/>
              </w:rPr>
            </w:pPr>
            <w:r w:rsidRPr="00286216">
              <w:rPr>
                <w:color w:val="000000" w:themeColor="text1"/>
                <w:szCs w:val="18"/>
              </w:rPr>
              <w:t>Пункт 10 викласти в новій редакції:</w:t>
            </w:r>
          </w:p>
          <w:p w14:paraId="269588BA" w14:textId="77777777" w:rsidR="001A75A4" w:rsidRPr="00286216" w:rsidRDefault="001A75A4" w:rsidP="001A75A4">
            <w:pPr>
              <w:pStyle w:val="StyleProp"/>
              <w:rPr>
                <w:rFonts w:eastAsia="MS Mincho"/>
                <w:color w:val="000000" w:themeColor="text1"/>
                <w:spacing w:val="-4"/>
                <w:szCs w:val="18"/>
                <w:lang w:eastAsia="uk-UA"/>
              </w:rPr>
            </w:pPr>
            <w:r w:rsidRPr="00286216">
              <w:rPr>
                <w:color w:val="000000" w:themeColor="text1"/>
                <w:szCs w:val="18"/>
              </w:rPr>
              <w:t>«позабіржові операції – сукупність дій сторін договору щодо продукції, укладеного поза товарною біржою, спрямована на його укладення та виконання».</w:t>
            </w:r>
          </w:p>
        </w:tc>
        <w:tc>
          <w:tcPr>
            <w:tcW w:w="1987" w:type="dxa"/>
          </w:tcPr>
          <w:p w14:paraId="51AAFC05"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p w14:paraId="27932B5A" w14:textId="77777777" w:rsidR="001A75A4" w:rsidRPr="00286216" w:rsidRDefault="001A75A4" w:rsidP="001A75A4">
            <w:pPr>
              <w:pStyle w:val="StyleWisnow"/>
              <w:rPr>
                <w:rFonts w:eastAsia="MS Mincho"/>
                <w:color w:val="000000" w:themeColor="text1"/>
                <w:lang w:eastAsia="uk-UA"/>
              </w:rPr>
            </w:pPr>
          </w:p>
          <w:p w14:paraId="53F2E5E0" w14:textId="77777777" w:rsidR="001A75A4" w:rsidRPr="00286216" w:rsidRDefault="001A75A4" w:rsidP="001A75A4">
            <w:pPr>
              <w:pStyle w:val="StyleWisnow"/>
              <w:rPr>
                <w:rFonts w:eastAsia="MS Mincho"/>
                <w:color w:val="000000" w:themeColor="text1"/>
                <w:lang w:eastAsia="uk-UA"/>
              </w:rPr>
            </w:pPr>
          </w:p>
          <w:p w14:paraId="7598074A" w14:textId="77777777" w:rsidR="001A75A4" w:rsidRPr="00286216" w:rsidRDefault="001A75A4" w:rsidP="001A75A4">
            <w:pPr>
              <w:pStyle w:val="StyleWisnow"/>
              <w:rPr>
                <w:rFonts w:eastAsia="MS Mincho"/>
                <w:color w:val="000000" w:themeColor="text1"/>
                <w:lang w:eastAsia="uk-UA"/>
              </w:rPr>
            </w:pPr>
          </w:p>
          <w:p w14:paraId="4EC90E80"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 редакційно</w:t>
            </w:r>
          </w:p>
          <w:p w14:paraId="123E2144" w14:textId="77777777" w:rsidR="001A75A4" w:rsidRPr="00286216" w:rsidRDefault="001A75A4" w:rsidP="001A75A4">
            <w:pPr>
              <w:pStyle w:val="StyleWisnow"/>
              <w:rPr>
                <w:rFonts w:eastAsia="MS Mincho"/>
                <w:color w:val="000000" w:themeColor="text1"/>
                <w:lang w:eastAsia="uk-UA"/>
              </w:rPr>
            </w:pPr>
          </w:p>
        </w:tc>
        <w:tc>
          <w:tcPr>
            <w:tcW w:w="4818" w:type="dxa"/>
          </w:tcPr>
          <w:p w14:paraId="748EDC3B" w14:textId="2EFE5FDB"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10) позабіржові операції - </w:t>
            </w:r>
            <w:r w:rsidRPr="00286216">
              <w:rPr>
                <w:rFonts w:eastAsia="MS Mincho"/>
                <w:color w:val="000000" w:themeColor="text1"/>
                <w:spacing w:val="-4"/>
                <w:szCs w:val="18"/>
                <w:lang w:eastAsia="uk-UA"/>
              </w:rPr>
              <w:t xml:space="preserve">дія (сукупність дій) сторони (сторін) </w:t>
            </w:r>
            <w:r w:rsidRPr="00286216">
              <w:rPr>
                <w:rFonts w:eastAsia="MS Mincho"/>
                <w:color w:val="000000" w:themeColor="text1"/>
                <w:lang w:eastAsia="uk-UA"/>
              </w:rPr>
              <w:t xml:space="preserve">позабіржового </w:t>
            </w:r>
            <w:r w:rsidRPr="00286216">
              <w:rPr>
                <w:color w:val="000000" w:themeColor="text1"/>
                <w:szCs w:val="18"/>
              </w:rPr>
              <w:t>договору щодо продукції, укладеного поза товарною біржею, спрямована на укладення та виконання такого договору</w:t>
            </w:r>
            <w:r w:rsidRPr="00286216">
              <w:rPr>
                <w:rFonts w:eastAsia="MS Mincho"/>
                <w:color w:val="000000" w:themeColor="text1"/>
                <w:lang w:eastAsia="uk-UA"/>
              </w:rPr>
              <w:t>;</w:t>
            </w:r>
          </w:p>
        </w:tc>
      </w:tr>
      <w:tr w:rsidR="001A75A4" w:rsidRPr="00286216" w14:paraId="5BAD9BE3" w14:textId="77777777" w:rsidTr="00091AA5">
        <w:tc>
          <w:tcPr>
            <w:tcW w:w="576" w:type="dxa"/>
          </w:tcPr>
          <w:p w14:paraId="4F6D0335" w14:textId="77777777" w:rsidR="001A75A4" w:rsidRPr="00286216" w:rsidRDefault="001A75A4" w:rsidP="001A75A4">
            <w:pPr>
              <w:pStyle w:val="StyleWisnow"/>
              <w:rPr>
                <w:rFonts w:eastAsia="MS Mincho"/>
                <w:color w:val="000000" w:themeColor="text1"/>
              </w:rPr>
            </w:pPr>
            <w:bookmarkStart w:id="2161" w:name="n2374" w:colFirst="0" w:colLast="0"/>
            <w:bookmarkEnd w:id="2160"/>
            <w:r w:rsidRPr="00286216">
              <w:rPr>
                <w:rFonts w:eastAsia="MS Mincho"/>
                <w:color w:val="000000" w:themeColor="text1"/>
              </w:rPr>
              <w:t>2374.</w:t>
            </w:r>
          </w:p>
        </w:tc>
        <w:tc>
          <w:tcPr>
            <w:tcW w:w="4818" w:type="dxa"/>
          </w:tcPr>
          <w:p w14:paraId="2420E41E"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11) позабіржовий договір - договір, який укладається не за результатами біржових торгів, та за яким передбачається перехід права власності на біржовий чи інший товар;</w:t>
            </w:r>
          </w:p>
        </w:tc>
        <w:tc>
          <w:tcPr>
            <w:tcW w:w="3686" w:type="dxa"/>
          </w:tcPr>
          <w:p w14:paraId="1CDC20E7" w14:textId="77354822" w:rsidR="001A75A4" w:rsidRPr="00286216" w:rsidRDefault="001A75A4" w:rsidP="001A75A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1124</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3E6F4C4" w14:textId="77777777" w:rsidR="001A75A4" w:rsidRPr="00286216" w:rsidRDefault="001A75A4" w:rsidP="001A75A4">
            <w:pPr>
              <w:pStyle w:val="StyleProp"/>
              <w:rPr>
                <w:color w:val="000000" w:themeColor="text1"/>
                <w:szCs w:val="18"/>
              </w:rPr>
            </w:pPr>
            <w:r w:rsidRPr="00286216">
              <w:rPr>
                <w:color w:val="000000" w:themeColor="text1"/>
                <w:szCs w:val="18"/>
              </w:rPr>
              <w:t>Пункт 11 частини першої виключити</w:t>
            </w:r>
          </w:p>
          <w:p w14:paraId="0E48DB8C" w14:textId="43C7416C"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1125</w:t>
            </w:r>
            <w:r w:rsidRPr="00286216">
              <w:rPr>
                <w:color w:val="000000" w:themeColor="text1"/>
                <w:spacing w:val="-2"/>
              </w:rPr>
              <w:fldChar w:fldCharType="end"/>
            </w:r>
            <w:r w:rsidRPr="00286216">
              <w:rPr>
                <w:color w:val="000000" w:themeColor="text1"/>
                <w:spacing w:val="-2"/>
              </w:rPr>
              <w:t>-Н.д.Шахов С.В. (Реєстр.картка №114)</w:t>
            </w:r>
          </w:p>
          <w:p w14:paraId="1C1B4342" w14:textId="2EDC5BFC" w:rsidR="001A75A4" w:rsidRPr="00286216" w:rsidRDefault="001A75A4" w:rsidP="001A75A4">
            <w:pPr>
              <w:pStyle w:val="StyleProp"/>
              <w:rPr>
                <w:rFonts w:eastAsia="MS Mincho"/>
                <w:color w:val="000000" w:themeColor="text1"/>
                <w:spacing w:val="-5"/>
                <w:szCs w:val="18"/>
                <w:lang w:eastAsia="uk-UA"/>
              </w:rPr>
            </w:pPr>
            <w:r w:rsidRPr="00286216">
              <w:rPr>
                <w:rFonts w:eastAsia="MS Mincho"/>
                <w:color w:val="000000" w:themeColor="text1"/>
                <w:spacing w:val="-5"/>
                <w:szCs w:val="18"/>
                <w:lang w:eastAsia="uk-UA"/>
              </w:rPr>
              <w:t>П. 11 ч. 1 ст. 2 після слів "не за результатами" доповнити словами "та не в ході".</w:t>
            </w:r>
          </w:p>
        </w:tc>
        <w:tc>
          <w:tcPr>
            <w:tcW w:w="1987" w:type="dxa"/>
          </w:tcPr>
          <w:p w14:paraId="5CEFF3B2" w14:textId="77777777" w:rsidR="001A75A4" w:rsidRPr="00286216" w:rsidRDefault="001A75A4"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p w14:paraId="7C64E0C2" w14:textId="77777777" w:rsidR="001A75A4" w:rsidRPr="00286216" w:rsidRDefault="001A75A4" w:rsidP="001A75A4">
            <w:pPr>
              <w:pStyle w:val="StyleWisnow"/>
              <w:rPr>
                <w:rFonts w:eastAsia="MS Mincho"/>
                <w:color w:val="000000" w:themeColor="text1"/>
                <w:lang w:eastAsia="uk-UA"/>
              </w:rPr>
            </w:pPr>
          </w:p>
          <w:p w14:paraId="450F5E4C" w14:textId="77777777" w:rsidR="001A75A4" w:rsidRPr="00286216" w:rsidRDefault="001A75A4" w:rsidP="004A0490">
            <w:pPr>
              <w:pStyle w:val="StyleWisnow"/>
              <w:spacing w:line="180" w:lineRule="exact"/>
              <w:rPr>
                <w:rFonts w:eastAsia="MS Mincho"/>
                <w:color w:val="000000" w:themeColor="text1"/>
                <w:lang w:eastAsia="uk-UA"/>
              </w:rPr>
            </w:pPr>
            <w:r w:rsidRPr="00286216">
              <w:rPr>
                <w:rFonts w:eastAsia="MS Mincho"/>
                <w:color w:val="000000" w:themeColor="text1"/>
                <w:lang w:eastAsia="uk-UA"/>
              </w:rPr>
              <w:t>Відхилено</w:t>
            </w:r>
          </w:p>
          <w:p w14:paraId="79A17222" w14:textId="1B054826" w:rsidR="001A75A4" w:rsidRPr="00286216" w:rsidRDefault="001A75A4" w:rsidP="004A0490">
            <w:pPr>
              <w:pStyle w:val="StyleWisnow"/>
              <w:spacing w:line="180" w:lineRule="exact"/>
              <w:rPr>
                <w:rFonts w:eastAsia="MS Mincho"/>
                <w:color w:val="000000" w:themeColor="text1"/>
                <w:lang w:eastAsia="uk-UA"/>
              </w:rPr>
            </w:pPr>
            <w:r w:rsidRPr="00286216">
              <w:rPr>
                <w:rFonts w:eastAsia="MS Mincho"/>
                <w:color w:val="000000" w:themeColor="text1"/>
                <w:lang w:eastAsia="uk-UA"/>
              </w:rPr>
              <w:t>у звʼязку із зміною редакції</w:t>
            </w:r>
          </w:p>
        </w:tc>
        <w:tc>
          <w:tcPr>
            <w:tcW w:w="4818" w:type="dxa"/>
          </w:tcPr>
          <w:p w14:paraId="41A46B1A" w14:textId="77777777" w:rsidR="001A75A4" w:rsidRPr="00286216" w:rsidRDefault="001A75A4" w:rsidP="001A75A4">
            <w:pPr>
              <w:pStyle w:val="StyleZakonu"/>
              <w:rPr>
                <w:rFonts w:eastAsia="MS Mincho"/>
                <w:color w:val="000000" w:themeColor="text1"/>
                <w:lang w:eastAsia="uk-UA"/>
              </w:rPr>
            </w:pPr>
          </w:p>
        </w:tc>
      </w:tr>
      <w:tr w:rsidR="001A75A4" w:rsidRPr="00286216" w14:paraId="669112DA" w14:textId="77777777" w:rsidTr="00091AA5">
        <w:tc>
          <w:tcPr>
            <w:tcW w:w="576" w:type="dxa"/>
          </w:tcPr>
          <w:p w14:paraId="2E422C55" w14:textId="77777777" w:rsidR="001A75A4" w:rsidRPr="00286216" w:rsidRDefault="001A75A4" w:rsidP="001A75A4">
            <w:pPr>
              <w:pStyle w:val="StyleWisnow"/>
              <w:rPr>
                <w:rFonts w:eastAsia="MS Mincho"/>
                <w:color w:val="000000" w:themeColor="text1"/>
              </w:rPr>
            </w:pPr>
            <w:bookmarkStart w:id="2162" w:name="n2375" w:colFirst="0" w:colLast="0"/>
            <w:bookmarkEnd w:id="2161"/>
            <w:r w:rsidRPr="00286216">
              <w:rPr>
                <w:rFonts w:eastAsia="MS Mincho"/>
                <w:color w:val="000000" w:themeColor="text1"/>
              </w:rPr>
              <w:t>2375.</w:t>
            </w:r>
          </w:p>
        </w:tc>
        <w:tc>
          <w:tcPr>
            <w:tcW w:w="4818" w:type="dxa"/>
          </w:tcPr>
          <w:p w14:paraId="3BAB7CB1"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12) продукція - </w:t>
            </w:r>
            <w:r w:rsidRPr="00286216">
              <w:rPr>
                <w:color w:val="000000" w:themeColor="text1"/>
              </w:rPr>
              <w:t>сільськогосподарська продукція, деревина, мінерали, паливно-енергетичні ресурси, сировина, метали, дорогоцінне каміння, матеріальна продукція рибальства, паливної, хімічної, легкої, харчової та інших видів промисловості, викиди парникових газів та інші види забруднення навколишнього середовища, а також інше майно, визначене родовими ознаками;</w:t>
            </w:r>
          </w:p>
        </w:tc>
        <w:tc>
          <w:tcPr>
            <w:tcW w:w="3686" w:type="dxa"/>
          </w:tcPr>
          <w:p w14:paraId="3CDB548A" w14:textId="1815B969"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1126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546FB7D" w14:textId="77777777" w:rsidR="001A75A4" w:rsidRPr="00286216" w:rsidRDefault="001A75A4" w:rsidP="001A75A4">
            <w:pPr>
              <w:pStyle w:val="StyleProp"/>
              <w:rPr>
                <w:rFonts w:eastAsia="MS Mincho"/>
                <w:color w:val="000000" w:themeColor="text1"/>
                <w:szCs w:val="18"/>
              </w:rPr>
            </w:pPr>
            <w:r w:rsidRPr="00286216">
              <w:rPr>
                <w:rFonts w:eastAsia="MS Mincho"/>
                <w:color w:val="000000" w:themeColor="text1"/>
                <w:szCs w:val="18"/>
              </w:rPr>
              <w:t>У пункті 12 частини першої статті 2 слова «викиди парникових газів та інші види забруднення навколишнього середовища,» виключити.</w:t>
            </w:r>
          </w:p>
        </w:tc>
        <w:tc>
          <w:tcPr>
            <w:tcW w:w="1987" w:type="dxa"/>
          </w:tcPr>
          <w:p w14:paraId="4F2ABD94" w14:textId="0557DFBF" w:rsidR="001A75A4" w:rsidRPr="00286216" w:rsidRDefault="004A0490" w:rsidP="001A75A4">
            <w:pPr>
              <w:pStyle w:val="StyleWisnow"/>
              <w:rPr>
                <w:rFonts w:eastAsia="MS Mincho"/>
                <w:color w:val="000000" w:themeColor="text1"/>
                <w:lang w:eastAsia="uk-UA"/>
              </w:rPr>
            </w:pPr>
            <w:r w:rsidRPr="00286216">
              <w:rPr>
                <w:rFonts w:eastAsia="MS Mincho"/>
                <w:color w:val="000000" w:themeColor="text1"/>
                <w:lang w:eastAsia="uk-UA"/>
              </w:rPr>
              <w:t>Враховано</w:t>
            </w:r>
          </w:p>
        </w:tc>
        <w:tc>
          <w:tcPr>
            <w:tcW w:w="4818" w:type="dxa"/>
          </w:tcPr>
          <w:p w14:paraId="35B7C86F" w14:textId="53B77ED2"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 xml:space="preserve">12) продукція - </w:t>
            </w:r>
            <w:r w:rsidRPr="00286216">
              <w:rPr>
                <w:color w:val="000000" w:themeColor="text1"/>
              </w:rPr>
              <w:t>сільськогосподарська продукція, деревина, мінерали, паливно-енергетичні ресурси, сировина, метали, дорогоцінне каміння, матеріальна продукція рибальства, паливної, хімічної, легкої, харчової та інших галузей промисловості, а також інші споживані речі, визначені родовими ознаками;</w:t>
            </w:r>
          </w:p>
        </w:tc>
      </w:tr>
      <w:tr w:rsidR="001A75A4" w:rsidRPr="00286216" w14:paraId="4F7A4CAB" w14:textId="77777777" w:rsidTr="00091AA5">
        <w:tc>
          <w:tcPr>
            <w:tcW w:w="576" w:type="dxa"/>
          </w:tcPr>
          <w:p w14:paraId="668D2ECD" w14:textId="77777777" w:rsidR="001A75A4" w:rsidRPr="00286216" w:rsidRDefault="001A75A4" w:rsidP="001A75A4">
            <w:pPr>
              <w:pStyle w:val="StyleWisnow"/>
              <w:rPr>
                <w:rFonts w:eastAsia="MS Mincho"/>
                <w:color w:val="000000" w:themeColor="text1"/>
              </w:rPr>
            </w:pPr>
            <w:bookmarkStart w:id="2163" w:name="n2376" w:colFirst="0" w:colLast="0"/>
            <w:bookmarkEnd w:id="2162"/>
            <w:r w:rsidRPr="00286216">
              <w:rPr>
                <w:rFonts w:eastAsia="MS Mincho"/>
                <w:color w:val="000000" w:themeColor="text1"/>
              </w:rPr>
              <w:t>2376.</w:t>
            </w:r>
          </w:p>
        </w:tc>
        <w:tc>
          <w:tcPr>
            <w:tcW w:w="4818" w:type="dxa"/>
          </w:tcPr>
          <w:p w14:paraId="5149671B"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13) реєстр біржових товарів - перелік товарів, що допущені до біржових торгів відповідно до порядку, визначеного правилами товарної біржі;</w:t>
            </w:r>
          </w:p>
        </w:tc>
        <w:tc>
          <w:tcPr>
            <w:tcW w:w="3686" w:type="dxa"/>
          </w:tcPr>
          <w:p w14:paraId="08056196"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517D64C0" w14:textId="77777777" w:rsidR="001A75A4" w:rsidRPr="00286216" w:rsidRDefault="001A75A4" w:rsidP="001A75A4">
            <w:pPr>
              <w:pStyle w:val="StyleWisnow"/>
              <w:rPr>
                <w:rFonts w:eastAsia="MS Mincho"/>
                <w:color w:val="000000" w:themeColor="text1"/>
                <w:lang w:eastAsia="uk-UA"/>
              </w:rPr>
            </w:pPr>
          </w:p>
        </w:tc>
        <w:tc>
          <w:tcPr>
            <w:tcW w:w="4818" w:type="dxa"/>
          </w:tcPr>
          <w:p w14:paraId="528EE880" w14:textId="47748D5D"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13) реєстр біржових товарів - перелік товарів,  допущених до біржових торгів відповідно до порядку, визначеного правилами товарної біржі;</w:t>
            </w:r>
          </w:p>
        </w:tc>
      </w:tr>
      <w:tr w:rsidR="001A75A4" w:rsidRPr="00286216" w14:paraId="5245C92C" w14:textId="77777777" w:rsidTr="00091AA5">
        <w:tc>
          <w:tcPr>
            <w:tcW w:w="576" w:type="dxa"/>
          </w:tcPr>
          <w:p w14:paraId="21DC119E" w14:textId="77777777" w:rsidR="001A75A4" w:rsidRPr="00286216" w:rsidRDefault="001A75A4" w:rsidP="001A75A4">
            <w:pPr>
              <w:pStyle w:val="StyleWisnow"/>
              <w:rPr>
                <w:rFonts w:eastAsia="MS Mincho"/>
                <w:color w:val="000000" w:themeColor="text1"/>
              </w:rPr>
            </w:pPr>
            <w:bookmarkStart w:id="2164" w:name="n2377" w:colFirst="0" w:colLast="0"/>
            <w:bookmarkEnd w:id="2163"/>
            <w:r w:rsidRPr="00286216">
              <w:rPr>
                <w:rFonts w:eastAsia="MS Mincho"/>
                <w:color w:val="000000" w:themeColor="text1"/>
              </w:rPr>
              <w:t>2377.</w:t>
            </w:r>
          </w:p>
        </w:tc>
        <w:tc>
          <w:tcPr>
            <w:tcW w:w="4818" w:type="dxa"/>
          </w:tcPr>
          <w:p w14:paraId="129C978B"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14) ринкова ціна біржового товару - ціна, сформована в конкурентний спосіб в ході біржових торгів або за результатами біржових торгів;</w:t>
            </w:r>
          </w:p>
        </w:tc>
        <w:tc>
          <w:tcPr>
            <w:tcW w:w="3686" w:type="dxa"/>
          </w:tcPr>
          <w:p w14:paraId="1C6E6B5E"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5319ADA5" w14:textId="77777777" w:rsidR="001A75A4" w:rsidRPr="00286216" w:rsidRDefault="001A75A4" w:rsidP="001A75A4">
            <w:pPr>
              <w:pStyle w:val="StyleWisnow"/>
              <w:rPr>
                <w:rFonts w:eastAsia="MS Mincho"/>
                <w:color w:val="000000" w:themeColor="text1"/>
                <w:lang w:eastAsia="uk-UA"/>
              </w:rPr>
            </w:pPr>
          </w:p>
        </w:tc>
        <w:tc>
          <w:tcPr>
            <w:tcW w:w="4818" w:type="dxa"/>
          </w:tcPr>
          <w:p w14:paraId="1B276B22" w14:textId="449FA4D6"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14) ринкова ціна біржового товару - ціна, сформована в конкурентний спосіб в ході біржових торгів або за результатами біржових торгів;</w:t>
            </w:r>
          </w:p>
        </w:tc>
      </w:tr>
      <w:tr w:rsidR="001A75A4" w:rsidRPr="00286216" w14:paraId="25AB5F65" w14:textId="77777777" w:rsidTr="00091AA5">
        <w:tc>
          <w:tcPr>
            <w:tcW w:w="576" w:type="dxa"/>
          </w:tcPr>
          <w:p w14:paraId="5A43844F" w14:textId="77777777" w:rsidR="001A75A4" w:rsidRPr="00286216" w:rsidRDefault="001A75A4" w:rsidP="001A75A4">
            <w:pPr>
              <w:pStyle w:val="StyleWisnow"/>
              <w:rPr>
                <w:rFonts w:eastAsia="MS Mincho"/>
                <w:color w:val="000000" w:themeColor="text1"/>
              </w:rPr>
            </w:pPr>
            <w:bookmarkStart w:id="2165" w:name="n2378" w:colFirst="0" w:colLast="0"/>
            <w:bookmarkEnd w:id="2164"/>
            <w:r w:rsidRPr="00286216">
              <w:rPr>
                <w:rFonts w:eastAsia="MS Mincho"/>
                <w:color w:val="000000" w:themeColor="text1"/>
              </w:rPr>
              <w:t>2378.</w:t>
            </w:r>
          </w:p>
        </w:tc>
        <w:tc>
          <w:tcPr>
            <w:tcW w:w="4818" w:type="dxa"/>
          </w:tcPr>
          <w:p w14:paraId="6B37B70B"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15) торговий день - робочий день товарної біржі, в якому проводяться торгові сесії;</w:t>
            </w:r>
          </w:p>
        </w:tc>
        <w:tc>
          <w:tcPr>
            <w:tcW w:w="3686" w:type="dxa"/>
          </w:tcPr>
          <w:p w14:paraId="537613DC"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73E4CA4B" w14:textId="77777777" w:rsidR="001A75A4" w:rsidRPr="00286216" w:rsidRDefault="001A75A4" w:rsidP="001A75A4">
            <w:pPr>
              <w:pStyle w:val="StyleWisnow"/>
              <w:rPr>
                <w:rFonts w:eastAsia="MS Mincho"/>
                <w:color w:val="000000" w:themeColor="text1"/>
                <w:lang w:eastAsia="uk-UA"/>
              </w:rPr>
            </w:pPr>
          </w:p>
        </w:tc>
        <w:tc>
          <w:tcPr>
            <w:tcW w:w="4818" w:type="dxa"/>
          </w:tcPr>
          <w:p w14:paraId="2B318440" w14:textId="3D6F1810"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16) торговий день - робочий день товарної біржі, у який проводяться торгові сесії;</w:t>
            </w:r>
          </w:p>
        </w:tc>
      </w:tr>
      <w:tr w:rsidR="001A75A4" w:rsidRPr="00286216" w14:paraId="6A7C8BC0" w14:textId="77777777" w:rsidTr="00091AA5">
        <w:tc>
          <w:tcPr>
            <w:tcW w:w="576" w:type="dxa"/>
          </w:tcPr>
          <w:p w14:paraId="3A777EDB" w14:textId="77777777" w:rsidR="001A75A4" w:rsidRPr="00286216" w:rsidRDefault="001A75A4" w:rsidP="001A75A4">
            <w:pPr>
              <w:pStyle w:val="StyleWisnow"/>
              <w:rPr>
                <w:rFonts w:eastAsia="MS Mincho"/>
                <w:color w:val="000000" w:themeColor="text1"/>
              </w:rPr>
            </w:pPr>
            <w:bookmarkStart w:id="2166" w:name="n2379" w:colFirst="0" w:colLast="0"/>
            <w:bookmarkEnd w:id="2165"/>
            <w:r w:rsidRPr="00286216">
              <w:rPr>
                <w:rFonts w:eastAsia="MS Mincho"/>
                <w:color w:val="000000" w:themeColor="text1"/>
              </w:rPr>
              <w:t>2379.</w:t>
            </w:r>
          </w:p>
        </w:tc>
        <w:tc>
          <w:tcPr>
            <w:tcW w:w="4818" w:type="dxa"/>
          </w:tcPr>
          <w:p w14:paraId="154A773F"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16) торгова сесія - період часу протягом торгового дня, у який здійснюються біржові торги;</w:t>
            </w:r>
          </w:p>
        </w:tc>
        <w:tc>
          <w:tcPr>
            <w:tcW w:w="3686" w:type="dxa"/>
          </w:tcPr>
          <w:p w14:paraId="64CD5DA3"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358E276F" w14:textId="77777777" w:rsidR="001A75A4" w:rsidRPr="00286216" w:rsidRDefault="001A75A4" w:rsidP="001A75A4">
            <w:pPr>
              <w:pStyle w:val="StyleWisnow"/>
              <w:rPr>
                <w:rFonts w:eastAsia="MS Mincho"/>
                <w:color w:val="000000" w:themeColor="text1"/>
                <w:lang w:eastAsia="uk-UA"/>
              </w:rPr>
            </w:pPr>
          </w:p>
        </w:tc>
        <w:tc>
          <w:tcPr>
            <w:tcW w:w="4818" w:type="dxa"/>
          </w:tcPr>
          <w:p w14:paraId="298B9269" w14:textId="5A0D2995"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15) торгова сесія - період часу протягом торгового дня, у який здійснюються біржові торги;</w:t>
            </w:r>
          </w:p>
        </w:tc>
      </w:tr>
      <w:tr w:rsidR="001A75A4" w:rsidRPr="00286216" w14:paraId="4E9471CE" w14:textId="77777777" w:rsidTr="00091AA5">
        <w:tc>
          <w:tcPr>
            <w:tcW w:w="576" w:type="dxa"/>
          </w:tcPr>
          <w:p w14:paraId="470A3B23" w14:textId="77777777" w:rsidR="001A75A4" w:rsidRPr="00286216" w:rsidRDefault="001A75A4" w:rsidP="001A75A4">
            <w:pPr>
              <w:pStyle w:val="StyleWisnow"/>
              <w:rPr>
                <w:rFonts w:eastAsia="MS Mincho"/>
                <w:color w:val="000000" w:themeColor="text1"/>
              </w:rPr>
            </w:pPr>
            <w:bookmarkStart w:id="2167" w:name="n2380" w:colFirst="0" w:colLast="0"/>
            <w:bookmarkEnd w:id="2166"/>
            <w:r w:rsidRPr="00286216">
              <w:rPr>
                <w:rFonts w:eastAsia="MS Mincho"/>
                <w:color w:val="000000" w:themeColor="text1"/>
              </w:rPr>
              <w:t>2380.</w:t>
            </w:r>
          </w:p>
        </w:tc>
        <w:tc>
          <w:tcPr>
            <w:tcW w:w="4818" w:type="dxa"/>
          </w:tcPr>
          <w:p w14:paraId="6E8B8740" w14:textId="77777777"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17) учасник торгів (учасники торгів) -член товарної біржі, а також у випадках, встановлених законодавством та/або правилами товарної біржі, інша особа, яким відповідно до цього Закону та правил товарної біржі надано право здійснювати торгівлю на такій товарній біржі.</w:t>
            </w:r>
          </w:p>
        </w:tc>
        <w:tc>
          <w:tcPr>
            <w:tcW w:w="3686" w:type="dxa"/>
          </w:tcPr>
          <w:p w14:paraId="79D0A4C6" w14:textId="77777777" w:rsidR="001A75A4" w:rsidRPr="00286216" w:rsidRDefault="001A75A4" w:rsidP="001A75A4">
            <w:pPr>
              <w:pStyle w:val="StyleProp"/>
              <w:rPr>
                <w:rFonts w:eastAsia="MS Mincho"/>
                <w:color w:val="000000" w:themeColor="text1"/>
                <w:szCs w:val="18"/>
                <w:lang w:eastAsia="uk-UA"/>
              </w:rPr>
            </w:pPr>
          </w:p>
        </w:tc>
        <w:tc>
          <w:tcPr>
            <w:tcW w:w="1987" w:type="dxa"/>
          </w:tcPr>
          <w:p w14:paraId="544E29F4" w14:textId="77777777" w:rsidR="001A75A4" w:rsidRPr="00286216" w:rsidRDefault="001A75A4" w:rsidP="001A75A4">
            <w:pPr>
              <w:pStyle w:val="StyleWisnow"/>
              <w:rPr>
                <w:rFonts w:eastAsia="MS Mincho"/>
                <w:color w:val="000000" w:themeColor="text1"/>
                <w:lang w:eastAsia="uk-UA"/>
              </w:rPr>
            </w:pPr>
          </w:p>
        </w:tc>
        <w:tc>
          <w:tcPr>
            <w:tcW w:w="4818" w:type="dxa"/>
          </w:tcPr>
          <w:p w14:paraId="55AC5061" w14:textId="34EDA6FD" w:rsidR="001A75A4" w:rsidRPr="00286216" w:rsidRDefault="001A75A4" w:rsidP="001A75A4">
            <w:pPr>
              <w:pStyle w:val="StyleZakonu"/>
              <w:rPr>
                <w:rFonts w:eastAsia="MS Mincho"/>
                <w:color w:val="000000" w:themeColor="text1"/>
                <w:lang w:eastAsia="uk-UA"/>
              </w:rPr>
            </w:pPr>
            <w:r w:rsidRPr="00286216">
              <w:rPr>
                <w:rFonts w:eastAsia="MS Mincho"/>
                <w:color w:val="000000" w:themeColor="text1"/>
                <w:lang w:eastAsia="uk-UA"/>
              </w:rPr>
              <w:t>17) учасник торгів (учасники торгів) - член товарної біржі, а також у випадках, встановлених законодавством та/або правилами товарної біржі, інша особа, яким відповідно до цього Закону та правил товарної біржі надано право здійснювати торгівлю на такій товарній біржі.</w:t>
            </w:r>
          </w:p>
        </w:tc>
      </w:tr>
      <w:tr w:rsidR="001A75A4" w:rsidRPr="00286216" w14:paraId="4B582AE0" w14:textId="77777777" w:rsidTr="00091AA5">
        <w:tc>
          <w:tcPr>
            <w:tcW w:w="576" w:type="dxa"/>
          </w:tcPr>
          <w:p w14:paraId="2FDEBA23" w14:textId="77777777" w:rsidR="001A75A4" w:rsidRPr="00286216" w:rsidRDefault="001A75A4" w:rsidP="001A75A4">
            <w:pPr>
              <w:pStyle w:val="StyleWisnow"/>
              <w:rPr>
                <w:color w:val="000000" w:themeColor="text1"/>
              </w:rPr>
            </w:pPr>
            <w:bookmarkStart w:id="2168" w:name="n2381" w:colFirst="0" w:colLast="0"/>
            <w:bookmarkEnd w:id="2167"/>
            <w:r w:rsidRPr="00286216">
              <w:rPr>
                <w:color w:val="000000" w:themeColor="text1"/>
              </w:rPr>
              <w:lastRenderedPageBreak/>
              <w:t>2381.</w:t>
            </w:r>
          </w:p>
        </w:tc>
        <w:tc>
          <w:tcPr>
            <w:tcW w:w="4818" w:type="dxa"/>
          </w:tcPr>
          <w:p w14:paraId="0E97A370" w14:textId="77777777" w:rsidR="001A75A4" w:rsidRPr="00286216" w:rsidRDefault="001A75A4" w:rsidP="001A75A4">
            <w:pPr>
              <w:pStyle w:val="StyleZakonu"/>
              <w:rPr>
                <w:color w:val="000000" w:themeColor="text1"/>
              </w:rPr>
            </w:pPr>
            <w:r w:rsidRPr="00286216">
              <w:rPr>
                <w:color w:val="000000" w:themeColor="text1"/>
              </w:rPr>
              <w:t>2. Терміни "багатостороння система", "БТМ", "генеральна угода", "</w:t>
            </w:r>
            <w:r w:rsidRPr="00286216">
              <w:rPr>
                <w:color w:val="000000" w:themeColor="text1"/>
                <w:lang w:eastAsia="uk-UA"/>
              </w:rPr>
              <w:t>деривативні контракти</w:t>
            </w:r>
            <w:r w:rsidRPr="00286216">
              <w:rPr>
                <w:color w:val="000000" w:themeColor="text1"/>
              </w:rPr>
              <w:t>", "деривативні (похідні) фінансові інструменти", "значний вплив на управління або діяльність юридичної особи", "кліринг", "</w:t>
            </w:r>
            <w:r w:rsidRPr="00286216">
              <w:rPr>
                <w:rFonts w:eastAsia="MS Mincho"/>
                <w:color w:val="000000" w:themeColor="text1"/>
                <w:lang w:eastAsia="uk-UA"/>
              </w:rPr>
              <w:t>клірингова діяльність", "неттінг", "</w:t>
            </w:r>
            <w:r w:rsidRPr="00286216">
              <w:rPr>
                <w:color w:val="000000" w:themeColor="text1"/>
                <w:lang w:eastAsia="uk-UA"/>
              </w:rPr>
              <w:t>організований товарний ринок",</w:t>
            </w:r>
            <w:r w:rsidRPr="00286216">
              <w:rPr>
                <w:rFonts w:eastAsia="MS Mincho"/>
                <w:color w:val="000000" w:themeColor="text1"/>
                <w:lang w:eastAsia="uk-UA"/>
              </w:rPr>
              <w:t xml:space="preserve"> "ОТМ", "</w:t>
            </w:r>
            <w:r w:rsidRPr="00286216">
              <w:rPr>
                <w:color w:val="000000" w:themeColor="text1"/>
              </w:rPr>
              <w:t>поставні деривативні контракти</w:t>
            </w:r>
            <w:r w:rsidRPr="00286216">
              <w:rPr>
                <w:rFonts w:eastAsia="MS Mincho"/>
                <w:color w:val="000000" w:themeColor="text1"/>
                <w:lang w:eastAsia="uk-UA"/>
              </w:rPr>
              <w:t>", "</w:t>
            </w:r>
            <w:r w:rsidRPr="00286216">
              <w:rPr>
                <w:color w:val="000000" w:themeColor="text1"/>
                <w:lang w:eastAsia="uk-UA"/>
              </w:rPr>
              <w:t>регулятор",</w:t>
            </w:r>
            <w:r w:rsidRPr="00286216">
              <w:rPr>
                <w:rFonts w:eastAsia="MS Mincho"/>
                <w:color w:val="000000" w:themeColor="text1"/>
                <w:lang w:eastAsia="uk-UA"/>
              </w:rPr>
              <w:t xml:space="preserve"> "</w:t>
            </w:r>
            <w:r w:rsidRPr="00286216">
              <w:rPr>
                <w:color w:val="000000" w:themeColor="text1"/>
              </w:rPr>
              <w:t xml:space="preserve">регульований ринок", </w:t>
            </w:r>
            <w:r w:rsidRPr="00286216">
              <w:rPr>
                <w:rFonts w:eastAsia="MS Mincho"/>
                <w:color w:val="000000" w:themeColor="text1"/>
                <w:lang w:eastAsia="uk-UA"/>
              </w:rPr>
              <w:t>"</w:t>
            </w:r>
            <w:r w:rsidRPr="00286216">
              <w:rPr>
                <w:color w:val="000000" w:themeColor="text1"/>
              </w:rPr>
              <w:t>товарні деривативні контракти</w:t>
            </w:r>
            <w:r w:rsidRPr="00286216">
              <w:rPr>
                <w:rFonts w:eastAsia="MS Mincho"/>
                <w:color w:val="000000" w:themeColor="text1"/>
                <w:lang w:eastAsia="uk-UA"/>
              </w:rPr>
              <w:t>", центральний контрагент", "</w:t>
            </w:r>
            <w:r w:rsidRPr="00286216">
              <w:rPr>
                <w:color w:val="000000" w:themeColor="text1"/>
              </w:rPr>
              <w:t>централізоване виконання правочинів" та "централізоване вчинення правочинів" вживаються у цьому Законі у значенні, наведеному в Законі України "Про ринки капіталу та організовані товарні ринки".</w:t>
            </w:r>
          </w:p>
        </w:tc>
        <w:tc>
          <w:tcPr>
            <w:tcW w:w="3686" w:type="dxa"/>
          </w:tcPr>
          <w:p w14:paraId="6A65C78B" w14:textId="2728D2D7"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1127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DA500C0"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1E1ABD1D" w14:textId="77777777" w:rsidR="001A75A4" w:rsidRPr="00286216" w:rsidRDefault="001A75A4" w:rsidP="001A75A4">
            <w:pPr>
              <w:pStyle w:val="StyleProp"/>
              <w:spacing w:line="180" w:lineRule="exact"/>
              <w:rPr>
                <w:color w:val="000000" w:themeColor="text1"/>
              </w:rPr>
            </w:pPr>
            <w:r w:rsidRPr="00286216">
              <w:rPr>
                <w:color w:val="000000" w:themeColor="text1"/>
              </w:rPr>
              <w:t>У частині другій статті 2 нової редакції Закону України «Про товарну біржу» слова «</w:t>
            </w:r>
            <w:r w:rsidRPr="00286216">
              <w:rPr>
                <w:rFonts w:eastAsia="MS Mincho"/>
                <w:color w:val="000000" w:themeColor="text1"/>
              </w:rPr>
              <w:t>"</w:t>
            </w:r>
            <w:r w:rsidRPr="00286216">
              <w:rPr>
                <w:color w:val="000000" w:themeColor="text1"/>
              </w:rPr>
              <w:t>організований товарний ринок",</w:t>
            </w:r>
            <w:r w:rsidRPr="00286216">
              <w:rPr>
                <w:rFonts w:eastAsia="MS Mincho"/>
                <w:color w:val="000000" w:themeColor="text1"/>
              </w:rPr>
              <w:t xml:space="preserve">  "</w:t>
            </w:r>
            <w:r w:rsidRPr="00286216">
              <w:rPr>
                <w:color w:val="000000" w:themeColor="text1"/>
              </w:rPr>
              <w:t>регулятор",</w:t>
            </w:r>
            <w:r w:rsidRPr="00286216">
              <w:rPr>
                <w:rFonts w:eastAsia="MS Mincho"/>
                <w:color w:val="000000" w:themeColor="text1"/>
              </w:rPr>
              <w:t xml:space="preserve"> "</w:t>
            </w:r>
            <w:r w:rsidRPr="00286216">
              <w:rPr>
                <w:color w:val="000000" w:themeColor="text1"/>
              </w:rPr>
              <w:t>регульований ринок",» виключити.</w:t>
            </w:r>
          </w:p>
          <w:p w14:paraId="02D5C294" w14:textId="385BA50C"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1128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964E5A" w14:textId="77777777" w:rsidR="001A75A4" w:rsidRPr="00286216" w:rsidRDefault="001A75A4" w:rsidP="001A75A4">
            <w:pPr>
              <w:pStyle w:val="StyleProp"/>
              <w:rPr>
                <w:color w:val="000000" w:themeColor="text1"/>
                <w:szCs w:val="18"/>
              </w:rPr>
            </w:pPr>
            <w:r w:rsidRPr="00286216">
              <w:rPr>
                <w:color w:val="000000" w:themeColor="text1"/>
                <w:szCs w:val="18"/>
              </w:rPr>
              <w:t>Доповнити абзац перший частини другої статті 2 після літер «ОТМ» словами «офіційний канал зв’язку».</w:t>
            </w:r>
          </w:p>
          <w:p w14:paraId="6A48C170" w14:textId="1F88746F"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1129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431E85E" w14:textId="77777777" w:rsidR="001A75A4" w:rsidRPr="00286216" w:rsidRDefault="001A75A4" w:rsidP="001A75A4">
            <w:pPr>
              <w:spacing w:line="200" w:lineRule="exact"/>
              <w:ind w:firstLine="227"/>
              <w:jc w:val="both"/>
              <w:rPr>
                <w:color w:val="000000" w:themeColor="text1"/>
                <w:sz w:val="18"/>
              </w:rPr>
            </w:pPr>
            <w:r w:rsidRPr="00286216">
              <w:rPr>
                <w:color w:val="000000" w:themeColor="text1"/>
                <w:sz w:val="18"/>
              </w:rPr>
              <w:t>У запропонованій законопроектом новій редакції Закону України «Про товарну біржу» (розділ 2) у частині 2 статті 2 слово та символи «(похідні)» виключити.</w:t>
            </w:r>
          </w:p>
          <w:p w14:paraId="09AC093C" w14:textId="5F183287" w:rsidR="001A75A4" w:rsidRPr="00286216" w:rsidRDefault="001A75A4" w:rsidP="001A75A4">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1130</w:t>
            </w:r>
            <w:r w:rsidRPr="00286216">
              <w:rPr>
                <w:color w:val="000000" w:themeColor="text1"/>
                <w:spacing w:val="-4"/>
              </w:rPr>
              <w:fldChar w:fldCharType="end"/>
            </w:r>
            <w:r w:rsidRPr="00286216">
              <w:rPr>
                <w:color w:val="000000" w:themeColor="text1"/>
                <w:spacing w:val="-4"/>
              </w:rPr>
              <w:t>-Н.д.Шахов С.В. (Реєстр.картка №114)</w:t>
            </w:r>
          </w:p>
          <w:p w14:paraId="27EB0748" w14:textId="77777777" w:rsidR="001A75A4" w:rsidRPr="00286216" w:rsidRDefault="001A75A4" w:rsidP="001A75A4">
            <w:pPr>
              <w:spacing w:line="200" w:lineRule="exact"/>
              <w:ind w:firstLine="227"/>
              <w:jc w:val="both"/>
              <w:rPr>
                <w:color w:val="000000" w:themeColor="text1"/>
                <w:spacing w:val="-1"/>
                <w:szCs w:val="18"/>
              </w:rPr>
            </w:pPr>
            <w:r w:rsidRPr="00286216">
              <w:rPr>
                <w:color w:val="000000" w:themeColor="text1"/>
                <w:spacing w:val="-1"/>
                <w:sz w:val="18"/>
              </w:rPr>
              <w:t>У частині другій статті 2 слово "регулятор" замінити словами "регулятор (регулятор ринку), регулятор товарного ринку".</w:t>
            </w:r>
          </w:p>
        </w:tc>
        <w:tc>
          <w:tcPr>
            <w:tcW w:w="1987" w:type="dxa"/>
          </w:tcPr>
          <w:p w14:paraId="7E832FBE" w14:textId="77777777" w:rsidR="001A75A4" w:rsidRPr="00286216" w:rsidRDefault="001A75A4" w:rsidP="001A75A4">
            <w:pPr>
              <w:pStyle w:val="StyleWisnow"/>
              <w:rPr>
                <w:color w:val="000000" w:themeColor="text1"/>
              </w:rPr>
            </w:pPr>
            <w:r w:rsidRPr="00286216">
              <w:rPr>
                <w:color w:val="000000" w:themeColor="text1"/>
              </w:rPr>
              <w:t>Враховано</w:t>
            </w:r>
          </w:p>
          <w:p w14:paraId="09CB7D05" w14:textId="77777777" w:rsidR="001A75A4" w:rsidRPr="00286216" w:rsidRDefault="001A75A4" w:rsidP="001A75A4">
            <w:pPr>
              <w:pStyle w:val="StyleWisnow"/>
              <w:rPr>
                <w:color w:val="000000" w:themeColor="text1"/>
              </w:rPr>
            </w:pPr>
          </w:p>
          <w:p w14:paraId="5E87D8FE" w14:textId="77777777" w:rsidR="001A75A4" w:rsidRPr="00286216" w:rsidRDefault="001A75A4" w:rsidP="001A75A4">
            <w:pPr>
              <w:pStyle w:val="StyleWisnow"/>
              <w:rPr>
                <w:color w:val="000000" w:themeColor="text1"/>
              </w:rPr>
            </w:pPr>
          </w:p>
          <w:p w14:paraId="1C9C809C" w14:textId="77777777" w:rsidR="001A75A4" w:rsidRPr="00286216" w:rsidRDefault="001A75A4" w:rsidP="001A75A4">
            <w:pPr>
              <w:pStyle w:val="StyleWisnow"/>
              <w:rPr>
                <w:color w:val="000000" w:themeColor="text1"/>
              </w:rPr>
            </w:pPr>
          </w:p>
          <w:p w14:paraId="0A1C50B2" w14:textId="77777777" w:rsidR="001A75A4" w:rsidRPr="00286216" w:rsidRDefault="001A75A4" w:rsidP="001A75A4">
            <w:pPr>
              <w:pStyle w:val="StyleWisnow"/>
              <w:rPr>
                <w:color w:val="000000" w:themeColor="text1"/>
              </w:rPr>
            </w:pPr>
          </w:p>
          <w:p w14:paraId="7B507A8D" w14:textId="77777777" w:rsidR="001A75A4" w:rsidRPr="00286216" w:rsidRDefault="001A75A4" w:rsidP="001A75A4">
            <w:pPr>
              <w:pStyle w:val="StyleWisnow"/>
              <w:rPr>
                <w:color w:val="000000" w:themeColor="text1"/>
              </w:rPr>
            </w:pPr>
          </w:p>
          <w:p w14:paraId="49DEAC04" w14:textId="77777777" w:rsidR="001A75A4" w:rsidRPr="00286216" w:rsidRDefault="001A75A4" w:rsidP="001A75A4">
            <w:pPr>
              <w:pStyle w:val="StyleWisnow"/>
              <w:rPr>
                <w:color w:val="000000" w:themeColor="text1"/>
              </w:rPr>
            </w:pPr>
            <w:r w:rsidRPr="00286216">
              <w:rPr>
                <w:color w:val="000000" w:themeColor="text1"/>
              </w:rPr>
              <w:t>Враховано</w:t>
            </w:r>
          </w:p>
          <w:p w14:paraId="7E79F85B" w14:textId="77777777" w:rsidR="001A75A4" w:rsidRPr="00286216" w:rsidRDefault="001A75A4" w:rsidP="001A75A4">
            <w:pPr>
              <w:pStyle w:val="StyleWisnow"/>
              <w:rPr>
                <w:color w:val="000000" w:themeColor="text1"/>
              </w:rPr>
            </w:pPr>
          </w:p>
          <w:p w14:paraId="2839B245" w14:textId="77777777" w:rsidR="001A75A4" w:rsidRPr="00286216" w:rsidRDefault="001A75A4" w:rsidP="001A75A4">
            <w:pPr>
              <w:pStyle w:val="StyleWisnow"/>
              <w:rPr>
                <w:color w:val="000000" w:themeColor="text1"/>
              </w:rPr>
            </w:pPr>
          </w:p>
          <w:p w14:paraId="4878DA9B" w14:textId="77777777" w:rsidR="001A75A4" w:rsidRPr="00286216" w:rsidRDefault="001A75A4" w:rsidP="001A75A4">
            <w:pPr>
              <w:pStyle w:val="StyleWisnow"/>
              <w:rPr>
                <w:color w:val="000000" w:themeColor="text1"/>
              </w:rPr>
            </w:pPr>
          </w:p>
          <w:p w14:paraId="5F674878" w14:textId="77777777" w:rsidR="001A75A4" w:rsidRPr="00286216" w:rsidRDefault="001A75A4" w:rsidP="001A75A4">
            <w:pPr>
              <w:pStyle w:val="StyleWisnow"/>
              <w:rPr>
                <w:color w:val="000000" w:themeColor="text1"/>
              </w:rPr>
            </w:pPr>
            <w:r w:rsidRPr="00286216">
              <w:rPr>
                <w:color w:val="000000" w:themeColor="text1"/>
              </w:rPr>
              <w:t>Враховано</w:t>
            </w:r>
          </w:p>
          <w:p w14:paraId="6B958151" w14:textId="77777777" w:rsidR="001A75A4" w:rsidRPr="00286216" w:rsidRDefault="001A75A4" w:rsidP="001A75A4">
            <w:pPr>
              <w:pStyle w:val="StyleWisnow"/>
              <w:rPr>
                <w:color w:val="000000" w:themeColor="text1"/>
              </w:rPr>
            </w:pPr>
          </w:p>
          <w:p w14:paraId="618F00A0" w14:textId="77777777" w:rsidR="001A75A4" w:rsidRPr="00286216" w:rsidRDefault="001A75A4" w:rsidP="001A75A4">
            <w:pPr>
              <w:pStyle w:val="StyleWisnow"/>
              <w:rPr>
                <w:color w:val="000000" w:themeColor="text1"/>
              </w:rPr>
            </w:pPr>
          </w:p>
          <w:p w14:paraId="4617F23C" w14:textId="38576765" w:rsidR="001A75A4" w:rsidRPr="00286216" w:rsidRDefault="001A75A4" w:rsidP="001A75A4">
            <w:pPr>
              <w:pStyle w:val="StyleWisnow"/>
              <w:rPr>
                <w:color w:val="000000" w:themeColor="text1"/>
              </w:rPr>
            </w:pPr>
          </w:p>
          <w:p w14:paraId="0C26527B" w14:textId="77777777" w:rsidR="004A0490" w:rsidRPr="00286216" w:rsidRDefault="004A0490" w:rsidP="001A75A4">
            <w:pPr>
              <w:pStyle w:val="StyleWisnow"/>
              <w:rPr>
                <w:color w:val="000000" w:themeColor="text1"/>
              </w:rPr>
            </w:pPr>
          </w:p>
          <w:p w14:paraId="1FB4C828" w14:textId="77777777" w:rsidR="001A75A4" w:rsidRPr="00286216" w:rsidRDefault="001A75A4" w:rsidP="001A75A4">
            <w:pPr>
              <w:pStyle w:val="StyleWisnow"/>
              <w:rPr>
                <w:color w:val="000000" w:themeColor="text1"/>
              </w:rPr>
            </w:pPr>
            <w:r w:rsidRPr="00286216">
              <w:rPr>
                <w:color w:val="000000" w:themeColor="text1"/>
              </w:rPr>
              <w:t>Відхилено</w:t>
            </w:r>
          </w:p>
          <w:p w14:paraId="4F40E957" w14:textId="7580F3E0" w:rsidR="001A75A4" w:rsidRPr="00286216" w:rsidRDefault="001A75A4" w:rsidP="001A75A4">
            <w:pPr>
              <w:pStyle w:val="StyleWisnow"/>
              <w:rPr>
                <w:color w:val="000000" w:themeColor="text1"/>
              </w:rPr>
            </w:pPr>
            <w:r w:rsidRPr="00286216">
              <w:rPr>
                <w:color w:val="000000" w:themeColor="text1"/>
              </w:rPr>
              <w:t>регулятор – НКЦПФР</w:t>
            </w:r>
          </w:p>
        </w:tc>
        <w:tc>
          <w:tcPr>
            <w:tcW w:w="4818" w:type="dxa"/>
          </w:tcPr>
          <w:p w14:paraId="1C2BFB93" w14:textId="77777777" w:rsidR="001A75A4" w:rsidRPr="00286216" w:rsidRDefault="001A75A4" w:rsidP="001A75A4">
            <w:pPr>
              <w:pStyle w:val="StyleZakonu"/>
              <w:rPr>
                <w:color w:val="000000" w:themeColor="text1"/>
              </w:rPr>
            </w:pPr>
            <w:r w:rsidRPr="00286216">
              <w:rPr>
                <w:color w:val="000000" w:themeColor="text1"/>
              </w:rPr>
              <w:t>2. Терміни "багатостороння система", "БТМ", "генеральна угода", "</w:t>
            </w:r>
            <w:r w:rsidRPr="00286216">
              <w:rPr>
                <w:color w:val="000000" w:themeColor="text1"/>
                <w:lang w:eastAsia="uk-UA"/>
              </w:rPr>
              <w:t>деривативні контракти</w:t>
            </w:r>
            <w:r w:rsidRPr="00286216">
              <w:rPr>
                <w:color w:val="000000" w:themeColor="text1"/>
              </w:rPr>
              <w:t>", "деривативні фінансові інструменти", "значний вплив на управління або діяльність юридичної особи", "кліринг", "</w:t>
            </w:r>
            <w:r w:rsidRPr="00286216">
              <w:rPr>
                <w:rFonts w:eastAsia="MS Mincho"/>
                <w:color w:val="000000" w:themeColor="text1"/>
                <w:lang w:eastAsia="uk-UA"/>
              </w:rPr>
              <w:t>клірингова діяльність", "неттінг", "ОТМ", "</w:t>
            </w:r>
            <w:r w:rsidRPr="00286216">
              <w:rPr>
                <w:color w:val="000000" w:themeColor="text1"/>
                <w:szCs w:val="18"/>
              </w:rPr>
              <w:t>офіційний канал зв’язку",</w:t>
            </w:r>
            <w:r w:rsidRPr="00286216">
              <w:rPr>
                <w:rFonts w:eastAsia="MS Mincho"/>
                <w:color w:val="000000" w:themeColor="text1"/>
                <w:lang w:eastAsia="uk-UA"/>
              </w:rPr>
              <w:t xml:space="preserve"> "</w:t>
            </w:r>
            <w:r w:rsidRPr="00286216">
              <w:rPr>
                <w:color w:val="000000" w:themeColor="text1"/>
              </w:rPr>
              <w:t>поставні деривативні контракти</w:t>
            </w:r>
            <w:r w:rsidRPr="00286216">
              <w:rPr>
                <w:rFonts w:eastAsia="MS Mincho"/>
                <w:color w:val="000000" w:themeColor="text1"/>
                <w:lang w:eastAsia="uk-UA"/>
              </w:rPr>
              <w:t>","</w:t>
            </w:r>
            <w:r w:rsidRPr="00286216">
              <w:rPr>
                <w:color w:val="000000" w:themeColor="text1"/>
              </w:rPr>
              <w:t>товарні деривативні контракти</w:t>
            </w:r>
            <w:r w:rsidRPr="00286216">
              <w:rPr>
                <w:rFonts w:eastAsia="MS Mincho"/>
                <w:color w:val="000000" w:themeColor="text1"/>
                <w:lang w:eastAsia="uk-UA"/>
              </w:rPr>
              <w:t>", "центральний контрагент", "</w:t>
            </w:r>
            <w:r w:rsidRPr="00286216">
              <w:rPr>
                <w:color w:val="000000" w:themeColor="text1"/>
              </w:rPr>
              <w:t>централізоване виконання правочинів" та "централізоване вчинення правочинів" вживаються в цьому Законі у значеннях, наведених у Законі України "Про ринки капіталу та організовані товарні ринки".</w:t>
            </w:r>
          </w:p>
          <w:p w14:paraId="5E5EEAB3" w14:textId="77777777" w:rsidR="001A75A4" w:rsidRPr="00286216" w:rsidRDefault="001A75A4" w:rsidP="001A75A4">
            <w:pPr>
              <w:pStyle w:val="StyleZakonu"/>
              <w:rPr>
                <w:color w:val="000000" w:themeColor="text1"/>
              </w:rPr>
            </w:pPr>
          </w:p>
          <w:p w14:paraId="7A5ECCFC" w14:textId="77777777" w:rsidR="001A75A4" w:rsidRPr="00286216" w:rsidRDefault="001A75A4" w:rsidP="001A75A4">
            <w:pPr>
              <w:pStyle w:val="StyleZakonu"/>
              <w:rPr>
                <w:color w:val="000000" w:themeColor="text1"/>
              </w:rPr>
            </w:pPr>
          </w:p>
          <w:p w14:paraId="08449D6E" w14:textId="5B31186A" w:rsidR="001A75A4" w:rsidRPr="00286216" w:rsidRDefault="001A75A4" w:rsidP="001A75A4">
            <w:pPr>
              <w:pStyle w:val="StyleZakonu"/>
              <w:rPr>
                <w:color w:val="000000" w:themeColor="text1"/>
              </w:rPr>
            </w:pPr>
            <w:r w:rsidRPr="00286216">
              <w:rPr>
                <w:color w:val="000000" w:themeColor="text1"/>
              </w:rPr>
              <w:t>Термін "захист інформації" вживається в цьому Законі у значенні, наведеному в Законі України "Про інформацію".</w:t>
            </w:r>
          </w:p>
        </w:tc>
      </w:tr>
      <w:tr w:rsidR="001A75A4" w:rsidRPr="00286216" w14:paraId="3C0737D4" w14:textId="77777777" w:rsidTr="00091AA5">
        <w:tc>
          <w:tcPr>
            <w:tcW w:w="576" w:type="dxa"/>
          </w:tcPr>
          <w:p w14:paraId="1071A9C5" w14:textId="77777777" w:rsidR="001A75A4" w:rsidRPr="00286216" w:rsidRDefault="001A75A4" w:rsidP="001A75A4">
            <w:pPr>
              <w:pStyle w:val="StyleWisnow"/>
              <w:rPr>
                <w:color w:val="000000" w:themeColor="text1"/>
              </w:rPr>
            </w:pPr>
          </w:p>
        </w:tc>
        <w:tc>
          <w:tcPr>
            <w:tcW w:w="4818" w:type="dxa"/>
          </w:tcPr>
          <w:p w14:paraId="738AAE99" w14:textId="77777777" w:rsidR="001A75A4" w:rsidRPr="00286216" w:rsidRDefault="001A75A4" w:rsidP="001A75A4">
            <w:pPr>
              <w:pStyle w:val="StyleZakonu"/>
              <w:rPr>
                <w:color w:val="000000" w:themeColor="text1"/>
              </w:rPr>
            </w:pPr>
          </w:p>
        </w:tc>
        <w:tc>
          <w:tcPr>
            <w:tcW w:w="3686" w:type="dxa"/>
          </w:tcPr>
          <w:p w14:paraId="2A592117" w14:textId="33A9DA8F"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1131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8572C6C" w14:textId="77777777" w:rsidR="001A75A4" w:rsidRPr="00286216" w:rsidRDefault="001A75A4" w:rsidP="001A75A4">
            <w:pPr>
              <w:pStyle w:val="StyleProp"/>
              <w:rPr>
                <w:color w:val="000000" w:themeColor="text1"/>
                <w:szCs w:val="18"/>
              </w:rPr>
            </w:pPr>
            <w:r w:rsidRPr="00286216">
              <w:rPr>
                <w:color w:val="000000" w:themeColor="text1"/>
                <w:szCs w:val="18"/>
              </w:rPr>
              <w:t>Доповнити частину другу статті 2 новим абзацом такого змісту:</w:t>
            </w:r>
          </w:p>
          <w:p w14:paraId="03500680" w14:textId="77777777" w:rsidR="001A75A4" w:rsidRPr="00286216" w:rsidRDefault="001A75A4" w:rsidP="001A75A4">
            <w:pPr>
              <w:pStyle w:val="StyleProp"/>
              <w:rPr>
                <w:color w:val="000000" w:themeColor="text1"/>
                <w:szCs w:val="18"/>
              </w:rPr>
            </w:pPr>
            <w:r w:rsidRPr="00286216">
              <w:rPr>
                <w:color w:val="000000" w:themeColor="text1"/>
                <w:szCs w:val="18"/>
              </w:rPr>
              <w:t>«Термін «істотна участь» вживається у цьому Законі у значенні, наведеному в Законі України «Про фінансові послуги та державне регулювання ринків фінансових послуг».</w:t>
            </w:r>
          </w:p>
        </w:tc>
        <w:tc>
          <w:tcPr>
            <w:tcW w:w="1987" w:type="dxa"/>
          </w:tcPr>
          <w:p w14:paraId="3016191E"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5ACE6BB7" w14:textId="69740772" w:rsidR="001A75A4" w:rsidRPr="00286216" w:rsidRDefault="001A75A4" w:rsidP="001A75A4">
            <w:pPr>
              <w:pStyle w:val="StyleZakonu"/>
              <w:rPr>
                <w:color w:val="000000" w:themeColor="text1"/>
              </w:rPr>
            </w:pPr>
            <w:r w:rsidRPr="00286216">
              <w:rPr>
                <w:color w:val="000000" w:themeColor="text1"/>
              </w:rPr>
              <w:t>Термін "істотна участь" вживається в цьому Законі у значенні, наведеному в Законі України "Про фінансові послуги та державне регулювання ринків фінансових послуг".</w:t>
            </w:r>
          </w:p>
        </w:tc>
      </w:tr>
      <w:tr w:rsidR="001A75A4" w:rsidRPr="00286216" w14:paraId="5377B367" w14:textId="77777777" w:rsidTr="00091AA5">
        <w:tc>
          <w:tcPr>
            <w:tcW w:w="576" w:type="dxa"/>
          </w:tcPr>
          <w:p w14:paraId="7BF58C84" w14:textId="77777777" w:rsidR="001A75A4" w:rsidRPr="00286216" w:rsidRDefault="001A75A4" w:rsidP="001A75A4">
            <w:pPr>
              <w:pStyle w:val="StyleWisnow"/>
              <w:rPr>
                <w:color w:val="000000" w:themeColor="text1"/>
              </w:rPr>
            </w:pPr>
            <w:bookmarkStart w:id="2169" w:name="n2382" w:colFirst="0" w:colLast="0"/>
            <w:bookmarkEnd w:id="2168"/>
            <w:r w:rsidRPr="00286216">
              <w:rPr>
                <w:color w:val="000000" w:themeColor="text1"/>
              </w:rPr>
              <w:t>2382.</w:t>
            </w:r>
          </w:p>
        </w:tc>
        <w:tc>
          <w:tcPr>
            <w:tcW w:w="4818" w:type="dxa"/>
          </w:tcPr>
          <w:p w14:paraId="161C8F41" w14:textId="77777777" w:rsidR="001A75A4" w:rsidRPr="00286216" w:rsidRDefault="001A75A4" w:rsidP="001A75A4">
            <w:pPr>
              <w:pStyle w:val="StyleZakonu"/>
              <w:rPr>
                <w:color w:val="000000" w:themeColor="text1"/>
                <w:shd w:val="clear" w:color="auto" w:fill="FFFFFF"/>
              </w:rPr>
            </w:pPr>
            <w:bookmarkStart w:id="2170" w:name="_Ref20335636"/>
            <w:r w:rsidRPr="00286216">
              <w:rPr>
                <w:color w:val="000000" w:themeColor="text1"/>
              </w:rPr>
              <w:t xml:space="preserve">Стаття 3. </w:t>
            </w:r>
            <w:r w:rsidRPr="00286216">
              <w:rPr>
                <w:color w:val="000000" w:themeColor="text1"/>
                <w:shd w:val="clear" w:color="auto" w:fill="FFFFFF"/>
              </w:rPr>
              <w:t>Правове становище товарної біржі</w:t>
            </w:r>
            <w:bookmarkEnd w:id="2170"/>
          </w:p>
        </w:tc>
        <w:tc>
          <w:tcPr>
            <w:tcW w:w="3686" w:type="dxa"/>
          </w:tcPr>
          <w:p w14:paraId="60B06849" w14:textId="77777777" w:rsidR="001A75A4" w:rsidRPr="00286216" w:rsidRDefault="001A75A4" w:rsidP="001A75A4">
            <w:pPr>
              <w:pStyle w:val="StyleProp"/>
              <w:rPr>
                <w:color w:val="000000" w:themeColor="text1"/>
                <w:szCs w:val="18"/>
              </w:rPr>
            </w:pPr>
          </w:p>
        </w:tc>
        <w:tc>
          <w:tcPr>
            <w:tcW w:w="1987" w:type="dxa"/>
          </w:tcPr>
          <w:p w14:paraId="6A9D90C8" w14:textId="77777777" w:rsidR="001A75A4" w:rsidRPr="00286216" w:rsidRDefault="001A75A4" w:rsidP="001A75A4">
            <w:pPr>
              <w:pStyle w:val="StyleWisnow"/>
              <w:rPr>
                <w:color w:val="000000" w:themeColor="text1"/>
              </w:rPr>
            </w:pPr>
          </w:p>
        </w:tc>
        <w:tc>
          <w:tcPr>
            <w:tcW w:w="4818" w:type="dxa"/>
          </w:tcPr>
          <w:p w14:paraId="39C847CF" w14:textId="18E7F0EC"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3. </w:t>
            </w:r>
            <w:r w:rsidRPr="00286216">
              <w:rPr>
                <w:color w:val="000000" w:themeColor="text1"/>
                <w:shd w:val="clear" w:color="auto" w:fill="FFFFFF"/>
              </w:rPr>
              <w:t>Правове становище товарної біржі</w:t>
            </w:r>
          </w:p>
        </w:tc>
      </w:tr>
      <w:tr w:rsidR="001A75A4" w:rsidRPr="00286216" w14:paraId="74FE9687" w14:textId="77777777" w:rsidTr="00091AA5">
        <w:tc>
          <w:tcPr>
            <w:tcW w:w="576" w:type="dxa"/>
          </w:tcPr>
          <w:p w14:paraId="322A6324" w14:textId="77777777" w:rsidR="001A75A4" w:rsidRPr="00286216" w:rsidRDefault="001A75A4" w:rsidP="001A75A4">
            <w:pPr>
              <w:pStyle w:val="StyleWisnow"/>
              <w:rPr>
                <w:color w:val="000000" w:themeColor="text1"/>
              </w:rPr>
            </w:pPr>
            <w:bookmarkStart w:id="2171" w:name="n2383" w:colFirst="0" w:colLast="0"/>
            <w:bookmarkEnd w:id="2169"/>
            <w:r w:rsidRPr="00286216">
              <w:rPr>
                <w:color w:val="000000" w:themeColor="text1"/>
              </w:rPr>
              <w:t>2383.</w:t>
            </w:r>
          </w:p>
        </w:tc>
        <w:tc>
          <w:tcPr>
            <w:tcW w:w="4818" w:type="dxa"/>
          </w:tcPr>
          <w:p w14:paraId="1F2A2510" w14:textId="77777777" w:rsidR="001A75A4" w:rsidRPr="00286216" w:rsidRDefault="001A75A4" w:rsidP="001A75A4">
            <w:pPr>
              <w:pStyle w:val="StyleZakonu"/>
              <w:rPr>
                <w:color w:val="000000" w:themeColor="text1"/>
                <w:lang w:eastAsia="uk-UA"/>
              </w:rPr>
            </w:pPr>
            <w:bookmarkStart w:id="2172" w:name="o16"/>
            <w:bookmarkStart w:id="2173" w:name="o17"/>
            <w:bookmarkEnd w:id="2172"/>
            <w:bookmarkEnd w:id="2173"/>
            <w:r w:rsidRPr="00286216">
              <w:rPr>
                <w:color w:val="000000" w:themeColor="text1"/>
                <w:lang w:eastAsia="uk-UA"/>
              </w:rPr>
              <w:t xml:space="preserve">1. Товарна біржа є юридичною особою, що функціонує у формі акціонерного товариства, товариства з обмеженою відповідальністю або товариства з додатковою відповідальністю та провадить діяльність з </w:t>
            </w:r>
            <w:r w:rsidRPr="00286216">
              <w:rPr>
                <w:rFonts w:eastAsia="MS Mincho"/>
                <w:color w:val="000000" w:themeColor="text1"/>
                <w:lang w:eastAsia="uk-UA"/>
              </w:rPr>
              <w:t xml:space="preserve">організації торгівлі </w:t>
            </w:r>
            <w:r w:rsidRPr="00286216">
              <w:rPr>
                <w:color w:val="000000" w:themeColor="text1"/>
                <w:lang w:eastAsia="uk-UA"/>
              </w:rPr>
              <w:t>продукцією на товарних біржах,</w:t>
            </w:r>
            <w:r w:rsidRPr="00286216">
              <w:rPr>
                <w:rFonts w:eastAsia="MS Mincho"/>
                <w:color w:val="000000" w:themeColor="text1"/>
                <w:lang w:eastAsia="uk-UA"/>
              </w:rPr>
              <w:t xml:space="preserve"> </w:t>
            </w:r>
            <w:r w:rsidRPr="00286216">
              <w:rPr>
                <w:color w:val="000000" w:themeColor="text1"/>
              </w:rPr>
              <w:t>а також інші види діяльності, передбачені у цьому Законі</w:t>
            </w:r>
            <w:r w:rsidRPr="00286216">
              <w:rPr>
                <w:color w:val="000000" w:themeColor="text1"/>
                <w:lang w:eastAsia="uk-UA"/>
              </w:rPr>
              <w:t>.</w:t>
            </w:r>
          </w:p>
        </w:tc>
        <w:tc>
          <w:tcPr>
            <w:tcW w:w="3686" w:type="dxa"/>
          </w:tcPr>
          <w:p w14:paraId="2EDC8725" w14:textId="77777777" w:rsidR="001A75A4" w:rsidRPr="00286216" w:rsidRDefault="001A75A4" w:rsidP="001A75A4">
            <w:pPr>
              <w:pStyle w:val="StyleProp"/>
              <w:rPr>
                <w:color w:val="000000" w:themeColor="text1"/>
                <w:szCs w:val="18"/>
                <w:lang w:eastAsia="uk-UA"/>
              </w:rPr>
            </w:pPr>
          </w:p>
        </w:tc>
        <w:tc>
          <w:tcPr>
            <w:tcW w:w="1987" w:type="dxa"/>
          </w:tcPr>
          <w:p w14:paraId="5D394FFC" w14:textId="77777777" w:rsidR="001A75A4" w:rsidRPr="00286216" w:rsidRDefault="001A75A4" w:rsidP="001A75A4">
            <w:pPr>
              <w:pStyle w:val="StyleWisnow"/>
              <w:rPr>
                <w:color w:val="000000" w:themeColor="text1"/>
                <w:lang w:eastAsia="uk-UA"/>
              </w:rPr>
            </w:pPr>
          </w:p>
        </w:tc>
        <w:tc>
          <w:tcPr>
            <w:tcW w:w="4818" w:type="dxa"/>
          </w:tcPr>
          <w:p w14:paraId="7ABE6390" w14:textId="774892B4" w:rsidR="001A75A4" w:rsidRPr="00286216" w:rsidRDefault="001A75A4" w:rsidP="001A75A4">
            <w:pPr>
              <w:pStyle w:val="StyleZakonu"/>
              <w:rPr>
                <w:color w:val="000000" w:themeColor="text1"/>
                <w:lang w:eastAsia="uk-UA"/>
              </w:rPr>
            </w:pPr>
            <w:r w:rsidRPr="00286216">
              <w:rPr>
                <w:color w:val="000000" w:themeColor="text1"/>
                <w:lang w:eastAsia="uk-UA"/>
              </w:rPr>
              <w:t xml:space="preserve">1. Товарна біржа є юридичною особою, що функціонує у формі акціонерного товариства, товариства з обмеженою відповідальністю або товариства з додатковою відповідальністю та провадить діяльність з </w:t>
            </w:r>
            <w:r w:rsidRPr="00286216">
              <w:rPr>
                <w:rFonts w:eastAsia="MS Mincho"/>
                <w:color w:val="000000" w:themeColor="text1"/>
                <w:lang w:eastAsia="uk-UA"/>
              </w:rPr>
              <w:t xml:space="preserve">організації торгівлі </w:t>
            </w:r>
            <w:r w:rsidRPr="00286216">
              <w:rPr>
                <w:color w:val="000000" w:themeColor="text1"/>
                <w:lang w:eastAsia="uk-UA"/>
              </w:rPr>
              <w:t>продукцією на товарних біржах,</w:t>
            </w:r>
            <w:r w:rsidRPr="00286216">
              <w:rPr>
                <w:rFonts w:eastAsia="MS Mincho"/>
                <w:color w:val="000000" w:themeColor="text1"/>
                <w:lang w:eastAsia="uk-UA"/>
              </w:rPr>
              <w:t xml:space="preserve"> </w:t>
            </w:r>
            <w:r w:rsidRPr="00286216">
              <w:rPr>
                <w:color w:val="000000" w:themeColor="text1"/>
              </w:rPr>
              <w:t>а також інші види діяльності, передбачені цим Законом</w:t>
            </w:r>
            <w:r w:rsidRPr="00286216">
              <w:rPr>
                <w:color w:val="000000" w:themeColor="text1"/>
                <w:lang w:eastAsia="uk-UA"/>
              </w:rPr>
              <w:t>.</w:t>
            </w:r>
          </w:p>
        </w:tc>
      </w:tr>
      <w:tr w:rsidR="001A75A4" w:rsidRPr="00286216" w14:paraId="569440EC" w14:textId="77777777" w:rsidTr="00091AA5">
        <w:tc>
          <w:tcPr>
            <w:tcW w:w="576" w:type="dxa"/>
          </w:tcPr>
          <w:p w14:paraId="65E1A5C3" w14:textId="77777777" w:rsidR="001A75A4" w:rsidRPr="00286216" w:rsidRDefault="001A75A4" w:rsidP="001A75A4">
            <w:pPr>
              <w:pStyle w:val="StyleWisnow"/>
              <w:rPr>
                <w:color w:val="000000" w:themeColor="text1"/>
              </w:rPr>
            </w:pPr>
            <w:bookmarkStart w:id="2174" w:name="n2384" w:colFirst="0" w:colLast="0"/>
            <w:bookmarkEnd w:id="2171"/>
            <w:r w:rsidRPr="00286216">
              <w:rPr>
                <w:color w:val="000000" w:themeColor="text1"/>
              </w:rPr>
              <w:t>2384.</w:t>
            </w:r>
          </w:p>
        </w:tc>
        <w:tc>
          <w:tcPr>
            <w:tcW w:w="4818" w:type="dxa"/>
          </w:tcPr>
          <w:p w14:paraId="1CA11943"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На товарній біржі можуть укладатись виключно біржові договори на умовах спот - договори умови, яких передбачають, що фактичне постачання біржового товару заплановано здійснюється в межах </w:t>
            </w:r>
            <w:r w:rsidRPr="00286216">
              <w:rPr>
                <w:color w:val="000000" w:themeColor="text1"/>
              </w:rPr>
              <w:t xml:space="preserve">найбільшого </w:t>
            </w:r>
            <w:r w:rsidRPr="00286216">
              <w:rPr>
                <w:color w:val="000000" w:themeColor="text1"/>
                <w:lang w:eastAsia="uk-UA"/>
              </w:rPr>
              <w:t>з наступних проміжків часу:</w:t>
            </w:r>
          </w:p>
        </w:tc>
        <w:tc>
          <w:tcPr>
            <w:tcW w:w="3686" w:type="dxa"/>
          </w:tcPr>
          <w:p w14:paraId="6B52D6A2" w14:textId="29406E83"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1132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4010700" w14:textId="77777777" w:rsidR="001A75A4" w:rsidRPr="00286216" w:rsidRDefault="001A75A4" w:rsidP="001A75A4">
            <w:pPr>
              <w:pStyle w:val="StyleProp"/>
              <w:rPr>
                <w:color w:val="000000" w:themeColor="text1"/>
                <w:szCs w:val="18"/>
                <w:lang w:eastAsia="uk-UA"/>
              </w:rPr>
            </w:pPr>
            <w:r w:rsidRPr="00286216">
              <w:rPr>
                <w:color w:val="000000" w:themeColor="text1"/>
                <w:szCs w:val="18"/>
              </w:rPr>
              <w:t>В розділі 2 у статті 3 в абзаці другому частини першої слова «найбільшого» замінити словами «найменшого»</w:t>
            </w:r>
          </w:p>
        </w:tc>
        <w:tc>
          <w:tcPr>
            <w:tcW w:w="1987" w:type="dxa"/>
          </w:tcPr>
          <w:p w14:paraId="16767879" w14:textId="77777777" w:rsidR="001A75A4" w:rsidRPr="00286216" w:rsidRDefault="001A75A4" w:rsidP="001A75A4">
            <w:pPr>
              <w:pStyle w:val="StyleWisnow"/>
              <w:rPr>
                <w:color w:val="000000" w:themeColor="text1"/>
              </w:rPr>
            </w:pPr>
            <w:r w:rsidRPr="00286216">
              <w:rPr>
                <w:color w:val="000000" w:themeColor="text1"/>
              </w:rPr>
              <w:t>Відхилено</w:t>
            </w:r>
          </w:p>
          <w:p w14:paraId="59F87BE5" w14:textId="77777777" w:rsidR="001A75A4" w:rsidRPr="00286216" w:rsidRDefault="001A75A4" w:rsidP="001A75A4">
            <w:pPr>
              <w:pStyle w:val="StyleWisnow"/>
              <w:rPr>
                <w:color w:val="000000" w:themeColor="text1"/>
                <w:lang w:eastAsia="uk-UA"/>
              </w:rPr>
            </w:pPr>
            <w:r w:rsidRPr="00286216">
              <w:rPr>
                <w:color w:val="000000" w:themeColor="text1"/>
              </w:rPr>
              <w:t>Суперечить регламенту 565/2017</w:t>
            </w:r>
          </w:p>
        </w:tc>
        <w:tc>
          <w:tcPr>
            <w:tcW w:w="4818" w:type="dxa"/>
          </w:tcPr>
          <w:p w14:paraId="2CB5D40A" w14:textId="0D5E9E45" w:rsidR="001A75A4" w:rsidRPr="00286216" w:rsidRDefault="001A75A4" w:rsidP="001A75A4">
            <w:pPr>
              <w:pStyle w:val="StyleZakonu"/>
              <w:rPr>
                <w:color w:val="000000" w:themeColor="text1"/>
                <w:lang w:eastAsia="uk-UA"/>
              </w:rPr>
            </w:pPr>
            <w:r w:rsidRPr="00286216">
              <w:rPr>
                <w:color w:val="000000" w:themeColor="text1"/>
                <w:lang w:eastAsia="uk-UA"/>
              </w:rPr>
              <w:t xml:space="preserve">На товарній біржі можуть укладатися виключно біржові договори на умовах спот – договори, умови яких передбачають, що фактичне постачання біржового товару заплановано здійснюється в межах </w:t>
            </w:r>
            <w:r w:rsidRPr="00286216">
              <w:rPr>
                <w:color w:val="000000" w:themeColor="text1"/>
              </w:rPr>
              <w:t xml:space="preserve">найбільшого </w:t>
            </w:r>
            <w:r w:rsidRPr="00286216">
              <w:rPr>
                <w:color w:val="000000" w:themeColor="text1"/>
                <w:lang w:eastAsia="uk-UA"/>
              </w:rPr>
              <w:t>з таких проміжків часу:</w:t>
            </w:r>
          </w:p>
        </w:tc>
      </w:tr>
      <w:tr w:rsidR="001A75A4" w:rsidRPr="00286216" w14:paraId="28CF1D4B" w14:textId="77777777" w:rsidTr="00091AA5">
        <w:tc>
          <w:tcPr>
            <w:tcW w:w="576" w:type="dxa"/>
          </w:tcPr>
          <w:p w14:paraId="108B8DE8" w14:textId="77777777" w:rsidR="001A75A4" w:rsidRPr="00286216" w:rsidRDefault="001A75A4" w:rsidP="001A75A4">
            <w:pPr>
              <w:pStyle w:val="StyleWisnow"/>
              <w:rPr>
                <w:color w:val="000000" w:themeColor="text1"/>
              </w:rPr>
            </w:pPr>
            <w:bookmarkStart w:id="2175" w:name="n2385" w:colFirst="0" w:colLast="0"/>
            <w:bookmarkEnd w:id="2174"/>
            <w:r w:rsidRPr="00286216">
              <w:rPr>
                <w:color w:val="000000" w:themeColor="text1"/>
              </w:rPr>
              <w:t>2385.</w:t>
            </w:r>
          </w:p>
        </w:tc>
        <w:tc>
          <w:tcPr>
            <w:tcW w:w="4818" w:type="dxa"/>
          </w:tcPr>
          <w:p w14:paraId="54CFAD89" w14:textId="77777777" w:rsidR="001A75A4" w:rsidRPr="00286216" w:rsidRDefault="001A75A4" w:rsidP="001A75A4">
            <w:pPr>
              <w:pStyle w:val="StyleZakonu"/>
              <w:rPr>
                <w:color w:val="000000" w:themeColor="text1"/>
                <w:lang w:eastAsia="uk-UA"/>
              </w:rPr>
            </w:pPr>
            <w:r w:rsidRPr="00286216">
              <w:rPr>
                <w:color w:val="000000" w:themeColor="text1"/>
                <w:lang w:eastAsia="uk-UA"/>
              </w:rPr>
              <w:t>3) двох робочих днів;</w:t>
            </w:r>
          </w:p>
        </w:tc>
        <w:tc>
          <w:tcPr>
            <w:tcW w:w="3686" w:type="dxa"/>
          </w:tcPr>
          <w:p w14:paraId="3E4139B6" w14:textId="4F2378B1"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1133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74FC5E5" w14:textId="77777777" w:rsidR="001A75A4" w:rsidRPr="00286216" w:rsidRDefault="001A75A4" w:rsidP="001A75A4">
            <w:pPr>
              <w:pStyle w:val="StyleProp"/>
              <w:rPr>
                <w:color w:val="000000" w:themeColor="text1"/>
                <w:szCs w:val="18"/>
              </w:rPr>
            </w:pPr>
            <w:r w:rsidRPr="00286216">
              <w:rPr>
                <w:color w:val="000000" w:themeColor="text1"/>
                <w:szCs w:val="18"/>
              </w:rPr>
              <w:t>Абзаци третій-четвертий частини першої статті 3 викласти в такій редакції:</w:t>
            </w:r>
          </w:p>
          <w:p w14:paraId="7A67C6AB" w14:textId="77777777" w:rsidR="001A75A4" w:rsidRPr="00286216" w:rsidRDefault="001A75A4" w:rsidP="001A75A4">
            <w:pPr>
              <w:pStyle w:val="StyleProp"/>
              <w:rPr>
                <w:color w:val="000000" w:themeColor="text1"/>
                <w:szCs w:val="18"/>
              </w:rPr>
            </w:pPr>
            <w:r w:rsidRPr="00286216">
              <w:rPr>
                <w:color w:val="000000" w:themeColor="text1"/>
                <w:szCs w:val="18"/>
              </w:rPr>
              <w:t>«1) двох робочих днів;</w:t>
            </w:r>
          </w:p>
          <w:p w14:paraId="7A3D7E36" w14:textId="77777777" w:rsidR="001A75A4" w:rsidRPr="00286216" w:rsidRDefault="001A75A4" w:rsidP="001A75A4">
            <w:pPr>
              <w:pStyle w:val="StyleProp"/>
              <w:rPr>
                <w:color w:val="000000" w:themeColor="text1"/>
                <w:szCs w:val="18"/>
              </w:rPr>
            </w:pPr>
            <w:r w:rsidRPr="00286216">
              <w:rPr>
                <w:color w:val="000000" w:themeColor="text1"/>
                <w:szCs w:val="18"/>
              </w:rPr>
              <w:t>2) проміжку часу, визначеного звичаєм ділового обороту, зафіксованим правилами товарної біржі».</w:t>
            </w:r>
          </w:p>
          <w:p w14:paraId="241FD3A2" w14:textId="2D3C15CB"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1134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406A49F" w14:textId="77777777" w:rsidR="001A75A4" w:rsidRPr="00286216" w:rsidRDefault="001A75A4" w:rsidP="001A75A4">
            <w:pPr>
              <w:pStyle w:val="StyleProp"/>
              <w:rPr>
                <w:color w:val="000000" w:themeColor="text1"/>
                <w:szCs w:val="18"/>
                <w:lang w:eastAsia="uk-UA"/>
              </w:rPr>
            </w:pPr>
            <w:r w:rsidRPr="00286216">
              <w:rPr>
                <w:color w:val="000000" w:themeColor="text1"/>
                <w:szCs w:val="18"/>
              </w:rPr>
              <w:lastRenderedPageBreak/>
              <w:t>В статті 3 розділу 2 в абзацах третьому та четвертому частини першої пункти «3) та 4)» змінити на пункти «1) та 2)».</w:t>
            </w:r>
          </w:p>
        </w:tc>
        <w:tc>
          <w:tcPr>
            <w:tcW w:w="1987" w:type="dxa"/>
          </w:tcPr>
          <w:p w14:paraId="3DE65F7F" w14:textId="77777777" w:rsidR="001A75A4" w:rsidRPr="00286216" w:rsidRDefault="001A75A4" w:rsidP="001A75A4">
            <w:pPr>
              <w:pStyle w:val="StyleWisnow"/>
              <w:rPr>
                <w:color w:val="000000" w:themeColor="text1"/>
                <w:lang w:eastAsia="uk-UA"/>
              </w:rPr>
            </w:pPr>
            <w:r w:rsidRPr="00286216">
              <w:rPr>
                <w:color w:val="000000" w:themeColor="text1"/>
                <w:lang w:eastAsia="uk-UA"/>
              </w:rPr>
              <w:lastRenderedPageBreak/>
              <w:t>Враховано</w:t>
            </w:r>
          </w:p>
          <w:p w14:paraId="49EA6F2A" w14:textId="77777777" w:rsidR="001A75A4" w:rsidRPr="00286216" w:rsidRDefault="001A75A4" w:rsidP="001A75A4">
            <w:pPr>
              <w:pStyle w:val="StyleWisnow"/>
              <w:rPr>
                <w:color w:val="000000" w:themeColor="text1"/>
                <w:lang w:eastAsia="uk-UA"/>
              </w:rPr>
            </w:pPr>
          </w:p>
          <w:p w14:paraId="41B78AE7" w14:textId="77777777" w:rsidR="001A75A4" w:rsidRPr="00286216" w:rsidRDefault="001A75A4" w:rsidP="001A75A4">
            <w:pPr>
              <w:pStyle w:val="StyleWisnow"/>
              <w:rPr>
                <w:color w:val="000000" w:themeColor="text1"/>
                <w:lang w:eastAsia="uk-UA"/>
              </w:rPr>
            </w:pPr>
          </w:p>
          <w:p w14:paraId="3958A84B" w14:textId="77777777" w:rsidR="001A75A4" w:rsidRPr="00286216" w:rsidRDefault="001A75A4" w:rsidP="001A75A4">
            <w:pPr>
              <w:pStyle w:val="StyleWisnow"/>
              <w:rPr>
                <w:color w:val="000000" w:themeColor="text1"/>
                <w:lang w:eastAsia="uk-UA"/>
              </w:rPr>
            </w:pPr>
          </w:p>
          <w:p w14:paraId="193D2010" w14:textId="77777777" w:rsidR="001A75A4" w:rsidRPr="00286216" w:rsidRDefault="001A75A4" w:rsidP="001A75A4">
            <w:pPr>
              <w:pStyle w:val="StyleWisnow"/>
              <w:rPr>
                <w:color w:val="000000" w:themeColor="text1"/>
                <w:lang w:eastAsia="uk-UA"/>
              </w:rPr>
            </w:pPr>
          </w:p>
          <w:p w14:paraId="5903BEFB" w14:textId="77777777" w:rsidR="001A75A4" w:rsidRPr="00286216" w:rsidRDefault="001A75A4" w:rsidP="001A75A4">
            <w:pPr>
              <w:pStyle w:val="StyleWisnow"/>
              <w:rPr>
                <w:color w:val="000000" w:themeColor="text1"/>
                <w:lang w:eastAsia="uk-UA"/>
              </w:rPr>
            </w:pPr>
          </w:p>
          <w:p w14:paraId="7FC293B9" w14:textId="77777777" w:rsidR="001A75A4" w:rsidRPr="00286216" w:rsidRDefault="001A75A4" w:rsidP="001A75A4">
            <w:pPr>
              <w:pStyle w:val="StyleWisnow"/>
              <w:rPr>
                <w:color w:val="000000" w:themeColor="text1"/>
                <w:lang w:eastAsia="uk-UA"/>
              </w:rPr>
            </w:pPr>
          </w:p>
          <w:p w14:paraId="66AA19AA" w14:textId="77777777" w:rsidR="001A75A4" w:rsidRPr="00286216" w:rsidRDefault="001A75A4" w:rsidP="001A75A4">
            <w:pPr>
              <w:pStyle w:val="StyleWisnow"/>
              <w:rPr>
                <w:color w:val="000000" w:themeColor="text1"/>
                <w:lang w:eastAsia="uk-UA"/>
              </w:rPr>
            </w:pPr>
            <w:r w:rsidRPr="00286216">
              <w:rPr>
                <w:color w:val="000000" w:themeColor="text1"/>
                <w:lang w:eastAsia="uk-UA"/>
              </w:rPr>
              <w:lastRenderedPageBreak/>
              <w:t>Враховано редакційно</w:t>
            </w:r>
          </w:p>
          <w:p w14:paraId="26A77988" w14:textId="77777777" w:rsidR="001A75A4" w:rsidRPr="00286216" w:rsidRDefault="001A75A4" w:rsidP="001A75A4">
            <w:pPr>
              <w:pStyle w:val="StyleWisnow"/>
              <w:rPr>
                <w:color w:val="000000" w:themeColor="text1"/>
                <w:lang w:eastAsia="uk-UA"/>
              </w:rPr>
            </w:pPr>
          </w:p>
        </w:tc>
        <w:tc>
          <w:tcPr>
            <w:tcW w:w="4818" w:type="dxa"/>
          </w:tcPr>
          <w:p w14:paraId="01EE2A08" w14:textId="17C74EDF" w:rsidR="001A75A4" w:rsidRPr="00286216" w:rsidRDefault="001A75A4" w:rsidP="001A75A4">
            <w:pPr>
              <w:pStyle w:val="StyleZakonu"/>
              <w:rPr>
                <w:color w:val="000000" w:themeColor="text1"/>
              </w:rPr>
            </w:pPr>
            <w:r w:rsidRPr="00286216">
              <w:rPr>
                <w:color w:val="000000" w:themeColor="text1"/>
              </w:rPr>
              <w:lastRenderedPageBreak/>
              <w:t>1) двох робочих днів;</w:t>
            </w:r>
          </w:p>
        </w:tc>
      </w:tr>
      <w:tr w:rsidR="001A75A4" w:rsidRPr="00286216" w14:paraId="60A8E55B" w14:textId="77777777" w:rsidTr="00091AA5">
        <w:tc>
          <w:tcPr>
            <w:tcW w:w="576" w:type="dxa"/>
          </w:tcPr>
          <w:p w14:paraId="2CA39C6B" w14:textId="77777777" w:rsidR="001A75A4" w:rsidRPr="00286216" w:rsidRDefault="001A75A4" w:rsidP="001A75A4">
            <w:pPr>
              <w:pStyle w:val="StyleWisnow"/>
              <w:rPr>
                <w:color w:val="000000" w:themeColor="text1"/>
              </w:rPr>
            </w:pPr>
            <w:bookmarkStart w:id="2176" w:name="n2386" w:colFirst="0" w:colLast="0"/>
            <w:bookmarkEnd w:id="2175"/>
            <w:r w:rsidRPr="00286216">
              <w:rPr>
                <w:color w:val="000000" w:themeColor="text1"/>
              </w:rPr>
              <w:t>2386.</w:t>
            </w:r>
          </w:p>
        </w:tc>
        <w:tc>
          <w:tcPr>
            <w:tcW w:w="4818" w:type="dxa"/>
          </w:tcPr>
          <w:p w14:paraId="1BB47B02" w14:textId="77777777" w:rsidR="001A75A4" w:rsidRPr="00286216" w:rsidRDefault="001A75A4" w:rsidP="001A75A4">
            <w:pPr>
              <w:pStyle w:val="StyleZakonu"/>
              <w:rPr>
                <w:color w:val="000000" w:themeColor="text1"/>
                <w:lang w:eastAsia="uk-UA"/>
              </w:rPr>
            </w:pPr>
            <w:r w:rsidRPr="00286216">
              <w:rPr>
                <w:color w:val="000000" w:themeColor="text1"/>
                <w:lang w:eastAsia="uk-UA"/>
              </w:rPr>
              <w:t>4) проміжку часу, визначеного правилами товарної біржі.</w:t>
            </w:r>
          </w:p>
        </w:tc>
        <w:tc>
          <w:tcPr>
            <w:tcW w:w="3686" w:type="dxa"/>
          </w:tcPr>
          <w:p w14:paraId="75DFAFCC" w14:textId="6C7FAB6F" w:rsidR="001A75A4" w:rsidRPr="00286216" w:rsidRDefault="001A75A4" w:rsidP="001A75A4">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1135</w:t>
            </w:r>
            <w:r w:rsidRPr="00286216">
              <w:rPr>
                <w:color w:val="000000" w:themeColor="text1"/>
                <w:spacing w:val="-4"/>
              </w:rPr>
              <w:fldChar w:fldCharType="end"/>
            </w:r>
            <w:r w:rsidRPr="00286216">
              <w:rPr>
                <w:color w:val="000000" w:themeColor="text1"/>
                <w:spacing w:val="-4"/>
              </w:rPr>
              <w:t>-Н.д.Шахов С.В. (Реєстр.картка №114)</w:t>
            </w:r>
          </w:p>
          <w:p w14:paraId="21682E88"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У ч.1 ст.3 абзаци 2,3,4 замінити чотирма абзацами такого змісту:</w:t>
            </w:r>
          </w:p>
          <w:p w14:paraId="34CDCFFA"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"На товарній біржі можуть укладатись біржові договори на умовах спот та правочини з поставними товарними деривативними контрактами.</w:t>
            </w:r>
          </w:p>
          <w:p w14:paraId="56B088FA"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Умови спот передбачають, що фактичне постачання біржового товару заплановано здійснюється в межах найбільшого з наступних проміжків часу:</w:t>
            </w:r>
          </w:p>
          <w:p w14:paraId="4D83D2E2"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1) двох робочих днів;</w:t>
            </w:r>
          </w:p>
          <w:p w14:paraId="553E0FCD"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2) проміжку часу, визначеного правилами товарної біржі.</w:t>
            </w:r>
          </w:p>
          <w:p w14:paraId="48F1144C"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pacing w:val="-1"/>
              </w:rPr>
              <w:t>На товарній біржі можуть укладатися договори (угоди) на інших умовах, що визначені правилами біржі та/або законодавством про товарні ринки".</w:t>
            </w:r>
          </w:p>
        </w:tc>
        <w:tc>
          <w:tcPr>
            <w:tcW w:w="1987" w:type="dxa"/>
          </w:tcPr>
          <w:p w14:paraId="63A485DE" w14:textId="77777777" w:rsidR="001A75A4" w:rsidRPr="00286216" w:rsidRDefault="001A75A4" w:rsidP="001A75A4">
            <w:pPr>
              <w:pStyle w:val="StyleWisnow"/>
              <w:rPr>
                <w:color w:val="000000" w:themeColor="text1"/>
              </w:rPr>
            </w:pPr>
            <w:r w:rsidRPr="00286216">
              <w:rPr>
                <w:color w:val="000000" w:themeColor="text1"/>
              </w:rPr>
              <w:t>Відхилено</w:t>
            </w:r>
          </w:p>
          <w:p w14:paraId="39B082D2" w14:textId="77777777" w:rsidR="001A75A4" w:rsidRPr="00286216" w:rsidRDefault="001A75A4" w:rsidP="001A75A4">
            <w:pPr>
              <w:pStyle w:val="StyleWisnow"/>
              <w:rPr>
                <w:color w:val="000000" w:themeColor="text1"/>
                <w:lang w:eastAsia="uk-UA"/>
              </w:rPr>
            </w:pPr>
            <w:r w:rsidRPr="00286216">
              <w:rPr>
                <w:color w:val="000000" w:themeColor="text1"/>
              </w:rPr>
              <w:t>Деривативні контракти є предметом регулювання закону про ринки капіталу та не можуть укладатися на товарних біржах</w:t>
            </w:r>
          </w:p>
        </w:tc>
        <w:tc>
          <w:tcPr>
            <w:tcW w:w="4818" w:type="dxa"/>
          </w:tcPr>
          <w:p w14:paraId="542987E5" w14:textId="77777777" w:rsidR="001A75A4" w:rsidRPr="00286216" w:rsidRDefault="001A75A4" w:rsidP="001A75A4">
            <w:pPr>
              <w:pStyle w:val="StyleZakonu"/>
              <w:rPr>
                <w:color w:val="000000" w:themeColor="text1"/>
              </w:rPr>
            </w:pPr>
            <w:r w:rsidRPr="00286216">
              <w:rPr>
                <w:color w:val="000000" w:themeColor="text1"/>
              </w:rPr>
              <w:t>2) проміжку часу, визначеного звичаєм ділового обороту, зафіксованим правилами товарної біржі.</w:t>
            </w:r>
          </w:p>
          <w:p w14:paraId="25E516D0" w14:textId="77777777" w:rsidR="001A75A4" w:rsidRPr="00286216" w:rsidRDefault="001A75A4" w:rsidP="001A75A4">
            <w:pPr>
              <w:pStyle w:val="StyleZakonu"/>
              <w:rPr>
                <w:color w:val="000000" w:themeColor="text1"/>
                <w:lang w:eastAsia="uk-UA"/>
              </w:rPr>
            </w:pPr>
          </w:p>
        </w:tc>
      </w:tr>
      <w:tr w:rsidR="001A75A4" w:rsidRPr="00286216" w14:paraId="0635E63C" w14:textId="77777777" w:rsidTr="00091AA5">
        <w:tc>
          <w:tcPr>
            <w:tcW w:w="576" w:type="dxa"/>
          </w:tcPr>
          <w:p w14:paraId="4A73ABF3" w14:textId="77777777" w:rsidR="001A75A4" w:rsidRPr="00286216" w:rsidRDefault="001A75A4" w:rsidP="001A75A4">
            <w:pPr>
              <w:pStyle w:val="StyleWisnow"/>
              <w:rPr>
                <w:color w:val="000000" w:themeColor="text1"/>
              </w:rPr>
            </w:pPr>
            <w:bookmarkStart w:id="2177" w:name="n2387" w:colFirst="0" w:colLast="0"/>
            <w:bookmarkEnd w:id="2176"/>
            <w:r w:rsidRPr="00286216">
              <w:rPr>
                <w:color w:val="000000" w:themeColor="text1"/>
              </w:rPr>
              <w:t>2387.</w:t>
            </w:r>
          </w:p>
        </w:tc>
        <w:tc>
          <w:tcPr>
            <w:tcW w:w="4818" w:type="dxa"/>
          </w:tcPr>
          <w:p w14:paraId="52986597"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2. Юридична особа набуває статусу товарної біржі з моменту отримання ліцензії на провадження </w:t>
            </w:r>
            <w:r w:rsidRPr="00286216">
              <w:rPr>
                <w:color w:val="000000" w:themeColor="text1"/>
              </w:rPr>
              <w:t>діяльності з організації торгівлі продукцією на товарних біржах, що видається</w:t>
            </w:r>
            <w:r w:rsidRPr="00286216">
              <w:rPr>
                <w:color w:val="000000" w:themeColor="text1"/>
                <w:lang w:eastAsia="uk-UA"/>
              </w:rPr>
              <w:t xml:space="preserve"> Національною комісією з цінних паперів та фондового ринку в порядку, передбаченому статтями - Закону України "Про ринки капіталу та організовані товарні ринки".</w:t>
            </w:r>
          </w:p>
        </w:tc>
        <w:tc>
          <w:tcPr>
            <w:tcW w:w="3686" w:type="dxa"/>
          </w:tcPr>
          <w:p w14:paraId="3B7E234E" w14:textId="60F46F38"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1136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11D2BD1"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0726F1E2" w14:textId="77777777" w:rsidR="001A75A4" w:rsidRPr="00286216" w:rsidRDefault="001A75A4" w:rsidP="001A75A4">
            <w:pPr>
              <w:pStyle w:val="StyleProp"/>
              <w:spacing w:line="180" w:lineRule="exact"/>
              <w:rPr>
                <w:color w:val="000000" w:themeColor="text1"/>
                <w:szCs w:val="18"/>
              </w:rPr>
            </w:pPr>
            <w:r w:rsidRPr="00286216">
              <w:rPr>
                <w:color w:val="000000" w:themeColor="text1"/>
                <w:spacing w:val="-1"/>
              </w:rPr>
              <w:t xml:space="preserve">У абзаці першому частини другої статті 2 </w:t>
            </w:r>
            <w:r w:rsidRPr="00286216">
              <w:rPr>
                <w:color w:val="000000" w:themeColor="text1"/>
              </w:rPr>
              <w:t>нової редакції Закону України «Про товарну біржу» слово «</w:t>
            </w:r>
            <w:r w:rsidRPr="00286216">
              <w:rPr>
                <w:color w:val="000000" w:themeColor="text1"/>
                <w:lang w:eastAsia="uk-UA"/>
              </w:rPr>
              <w:t>статтями</w:t>
            </w:r>
            <w:r w:rsidRPr="00286216">
              <w:rPr>
                <w:color w:val="000000" w:themeColor="text1"/>
              </w:rPr>
              <w:t xml:space="preserve">» </w:t>
            </w:r>
            <w:r w:rsidRPr="00286216">
              <w:rPr>
                <w:color w:val="000000" w:themeColor="text1"/>
                <w:szCs w:val="18"/>
              </w:rPr>
              <w:t>замінити словами та цифрами «</w:t>
            </w:r>
            <w:r w:rsidRPr="00286216">
              <w:rPr>
                <w:color w:val="000000" w:themeColor="text1"/>
                <w:lang w:eastAsia="uk-UA"/>
              </w:rPr>
              <w:t>статтями 67-69</w:t>
            </w:r>
            <w:r w:rsidRPr="00286216">
              <w:rPr>
                <w:color w:val="000000" w:themeColor="text1"/>
                <w:szCs w:val="18"/>
              </w:rPr>
              <w:t>».</w:t>
            </w:r>
          </w:p>
          <w:p w14:paraId="34582B88" w14:textId="03CB9C7C"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1137</w:t>
            </w:r>
            <w:r w:rsidRPr="00286216">
              <w:rPr>
                <w:color w:val="000000" w:themeColor="text1"/>
                <w:spacing w:val="-2"/>
              </w:rPr>
              <w:fldChar w:fldCharType="end"/>
            </w:r>
            <w:r w:rsidRPr="00286216">
              <w:rPr>
                <w:color w:val="000000" w:themeColor="text1"/>
                <w:spacing w:val="-2"/>
              </w:rPr>
              <w:t>-Н.д.Шахов С.В. (Реєстр.картка №114)</w:t>
            </w:r>
          </w:p>
          <w:p w14:paraId="358AE0FD"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Ч. 2</w:t>
            </w:r>
            <w:r w:rsidRPr="00286216">
              <w:rPr>
                <w:color w:val="000000" w:themeColor="text1"/>
                <w:spacing w:val="-1"/>
                <w:sz w:val="16"/>
                <w:szCs w:val="16"/>
              </w:rPr>
              <w:t xml:space="preserve"> </w:t>
            </w:r>
            <w:r w:rsidRPr="00286216">
              <w:rPr>
                <w:color w:val="000000" w:themeColor="text1"/>
                <w:spacing w:val="-1"/>
              </w:rPr>
              <w:t>ст.</w:t>
            </w:r>
            <w:r w:rsidRPr="00286216">
              <w:rPr>
                <w:color w:val="000000" w:themeColor="text1"/>
                <w:spacing w:val="-1"/>
                <w:sz w:val="16"/>
                <w:szCs w:val="16"/>
              </w:rPr>
              <w:t xml:space="preserve"> </w:t>
            </w:r>
            <w:r w:rsidRPr="00286216">
              <w:rPr>
                <w:color w:val="000000" w:themeColor="text1"/>
                <w:spacing w:val="-1"/>
              </w:rPr>
              <w:t>3</w:t>
            </w:r>
            <w:r w:rsidRPr="00286216">
              <w:rPr>
                <w:color w:val="000000" w:themeColor="text1"/>
                <w:spacing w:val="-1"/>
                <w:sz w:val="16"/>
                <w:szCs w:val="16"/>
              </w:rPr>
              <w:t xml:space="preserve"> </w:t>
            </w:r>
            <w:r w:rsidRPr="00286216">
              <w:rPr>
                <w:color w:val="000000" w:themeColor="text1"/>
                <w:spacing w:val="-1"/>
              </w:rPr>
              <w:t>викласти у такій редакції:</w:t>
            </w:r>
          </w:p>
          <w:p w14:paraId="2BE628EC"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"2. Юридична особа набуває статусу товарної біржі і має право провадити діяльність з організації торгівлі продукцією на умовах спот та за поставними товарними деривативними контрактами з моменту її державної реєстрації як юридичної особи та за умови дотримання вимог,  встановлених цим Законом, Законом України «Про ринки капіталу та організовані товарні ринки» та законодавством про товарні ринки.</w:t>
            </w:r>
          </w:p>
        </w:tc>
        <w:tc>
          <w:tcPr>
            <w:tcW w:w="1987" w:type="dxa"/>
          </w:tcPr>
          <w:p w14:paraId="37BCA580" w14:textId="77777777" w:rsidR="001A75A4" w:rsidRPr="00286216" w:rsidRDefault="001A75A4" w:rsidP="001A75A4">
            <w:pPr>
              <w:pStyle w:val="StyleWisnow"/>
              <w:rPr>
                <w:color w:val="000000" w:themeColor="text1"/>
              </w:rPr>
            </w:pPr>
            <w:r w:rsidRPr="00286216">
              <w:rPr>
                <w:color w:val="000000" w:themeColor="text1"/>
              </w:rPr>
              <w:t>Враховано</w:t>
            </w:r>
          </w:p>
          <w:p w14:paraId="5B25E914" w14:textId="77777777" w:rsidR="001A75A4" w:rsidRPr="00286216" w:rsidRDefault="001A75A4" w:rsidP="001A75A4">
            <w:pPr>
              <w:pStyle w:val="StyleWisnow"/>
              <w:rPr>
                <w:color w:val="000000" w:themeColor="text1"/>
              </w:rPr>
            </w:pPr>
          </w:p>
          <w:p w14:paraId="586B8C57" w14:textId="77777777" w:rsidR="001A75A4" w:rsidRPr="00286216" w:rsidRDefault="001A75A4" w:rsidP="001A75A4">
            <w:pPr>
              <w:pStyle w:val="StyleWisnow"/>
              <w:rPr>
                <w:color w:val="000000" w:themeColor="text1"/>
              </w:rPr>
            </w:pPr>
          </w:p>
          <w:p w14:paraId="30F3CAE9" w14:textId="77777777" w:rsidR="001A75A4" w:rsidRPr="00286216" w:rsidRDefault="001A75A4" w:rsidP="001A75A4">
            <w:pPr>
              <w:pStyle w:val="StyleWisnow"/>
              <w:rPr>
                <w:color w:val="000000" w:themeColor="text1"/>
              </w:rPr>
            </w:pPr>
          </w:p>
          <w:p w14:paraId="13BC164D" w14:textId="77777777" w:rsidR="001A75A4" w:rsidRPr="00286216" w:rsidRDefault="001A75A4" w:rsidP="001A75A4">
            <w:pPr>
              <w:pStyle w:val="StyleWisnow"/>
              <w:rPr>
                <w:color w:val="000000" w:themeColor="text1"/>
              </w:rPr>
            </w:pPr>
          </w:p>
          <w:p w14:paraId="4A26F50C" w14:textId="77777777" w:rsidR="001A75A4" w:rsidRPr="00286216" w:rsidRDefault="001A75A4" w:rsidP="001A75A4">
            <w:pPr>
              <w:pStyle w:val="StyleWisnow"/>
              <w:spacing w:line="180" w:lineRule="exact"/>
              <w:rPr>
                <w:color w:val="000000" w:themeColor="text1"/>
              </w:rPr>
            </w:pPr>
          </w:p>
          <w:p w14:paraId="31B050A8" w14:textId="77777777" w:rsidR="001A75A4" w:rsidRPr="00286216" w:rsidRDefault="001A75A4" w:rsidP="001A75A4">
            <w:pPr>
              <w:pStyle w:val="StyleWisnow"/>
              <w:spacing w:line="180" w:lineRule="exact"/>
              <w:rPr>
                <w:color w:val="000000" w:themeColor="text1"/>
              </w:rPr>
            </w:pPr>
            <w:r w:rsidRPr="00286216">
              <w:rPr>
                <w:color w:val="000000" w:themeColor="text1"/>
              </w:rPr>
              <w:t>Відхилено</w:t>
            </w:r>
          </w:p>
          <w:p w14:paraId="5412F7D9" w14:textId="4EBC2105" w:rsidR="001A75A4" w:rsidRPr="00286216" w:rsidRDefault="001A75A4" w:rsidP="001A75A4">
            <w:pPr>
              <w:pStyle w:val="StyleWisnow"/>
              <w:spacing w:line="180" w:lineRule="exact"/>
              <w:rPr>
                <w:color w:val="000000" w:themeColor="text1"/>
                <w:lang w:eastAsia="uk-UA"/>
              </w:rPr>
            </w:pPr>
            <w:r w:rsidRPr="00286216">
              <w:rPr>
                <w:color w:val="000000" w:themeColor="text1"/>
              </w:rPr>
              <w:t>деривативні контракти є предметом регулювання закону про ринки капіталу та не можуть укладатися на товарних біржах</w:t>
            </w:r>
          </w:p>
        </w:tc>
        <w:tc>
          <w:tcPr>
            <w:tcW w:w="4818" w:type="dxa"/>
          </w:tcPr>
          <w:p w14:paraId="76BB3039" w14:textId="7453E5FF" w:rsidR="001A75A4" w:rsidRPr="00286216" w:rsidRDefault="001A75A4" w:rsidP="001A75A4">
            <w:pPr>
              <w:pStyle w:val="StyleZakonu"/>
              <w:rPr>
                <w:color w:val="000000" w:themeColor="text1"/>
                <w:lang w:eastAsia="uk-UA"/>
              </w:rPr>
            </w:pPr>
            <w:r w:rsidRPr="00286216">
              <w:rPr>
                <w:color w:val="000000" w:themeColor="text1"/>
                <w:lang w:eastAsia="uk-UA"/>
              </w:rPr>
              <w:t xml:space="preserve">2. Юридична особа набуває статусу товарної біржі з дня отримання ліцензії на провадження </w:t>
            </w:r>
            <w:r w:rsidRPr="00286216">
              <w:rPr>
                <w:color w:val="000000" w:themeColor="text1"/>
              </w:rPr>
              <w:t>діяльності з організації торгівлі продукцією на товарних біржах, що видається</w:t>
            </w:r>
            <w:r w:rsidRPr="00286216">
              <w:rPr>
                <w:color w:val="000000" w:themeColor="text1"/>
                <w:lang w:eastAsia="uk-UA"/>
              </w:rPr>
              <w:t xml:space="preserve"> Національною комісією з цінних паперів та фондового ринку в порядку, передбаченому статтями 71 і 72 Закону України "Про ринки капіталу та організовані товарні ринки".</w:t>
            </w:r>
          </w:p>
        </w:tc>
      </w:tr>
      <w:tr w:rsidR="001A75A4" w:rsidRPr="00286216" w14:paraId="2E505B2B" w14:textId="77777777" w:rsidTr="00091AA5">
        <w:tc>
          <w:tcPr>
            <w:tcW w:w="576" w:type="dxa"/>
          </w:tcPr>
          <w:p w14:paraId="5CCE3215" w14:textId="77777777" w:rsidR="001A75A4" w:rsidRPr="00286216" w:rsidRDefault="001A75A4" w:rsidP="001A75A4">
            <w:pPr>
              <w:pStyle w:val="StyleWisnow"/>
              <w:rPr>
                <w:color w:val="000000" w:themeColor="text1"/>
              </w:rPr>
            </w:pPr>
            <w:bookmarkStart w:id="2178" w:name="n2388" w:colFirst="0" w:colLast="0"/>
            <w:bookmarkEnd w:id="2177"/>
            <w:r w:rsidRPr="00286216">
              <w:rPr>
                <w:color w:val="000000" w:themeColor="text1"/>
              </w:rPr>
              <w:t>2388.</w:t>
            </w:r>
          </w:p>
        </w:tc>
        <w:tc>
          <w:tcPr>
            <w:tcW w:w="4818" w:type="dxa"/>
          </w:tcPr>
          <w:p w14:paraId="6D6448DC" w14:textId="77777777" w:rsidR="001A75A4" w:rsidRPr="00286216" w:rsidRDefault="001A75A4" w:rsidP="001A75A4">
            <w:pPr>
              <w:pStyle w:val="StyleZakonu"/>
              <w:rPr>
                <w:color w:val="000000" w:themeColor="text1"/>
              </w:rPr>
            </w:pPr>
            <w:r w:rsidRPr="00286216">
              <w:rPr>
                <w:color w:val="000000" w:themeColor="text1"/>
              </w:rPr>
              <w:t>Юридична особа, яка отримала ліцензію на провадження діяльності з організації торгівлі продукцією на товарних біржах є професійним учасником організованих товарних ринків.</w:t>
            </w:r>
          </w:p>
        </w:tc>
        <w:tc>
          <w:tcPr>
            <w:tcW w:w="3686" w:type="dxa"/>
          </w:tcPr>
          <w:p w14:paraId="3B4C1C14"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У випадку, якщо Законом України «Про ринки капіталу та організовані товарні ринки» встановлені інші вимоги до організації, функціонування, регулювання товарних спот-ринків та ринків поставних товарних деривативних контрактів і провадження діяльності на таких ринках (у тому числі, клірингової діяльності), ніж ті, що передбачені законодавством про товарні ринки, то застосовуються положення законодавства про товарні ринки.</w:t>
            </w:r>
          </w:p>
        </w:tc>
        <w:tc>
          <w:tcPr>
            <w:tcW w:w="1987" w:type="dxa"/>
          </w:tcPr>
          <w:p w14:paraId="71DE045A" w14:textId="77777777" w:rsidR="001A75A4" w:rsidRPr="00286216" w:rsidRDefault="001A75A4" w:rsidP="001A75A4">
            <w:pPr>
              <w:pStyle w:val="StyleWisnow"/>
              <w:rPr>
                <w:color w:val="000000" w:themeColor="text1"/>
              </w:rPr>
            </w:pPr>
          </w:p>
        </w:tc>
        <w:tc>
          <w:tcPr>
            <w:tcW w:w="4818" w:type="dxa"/>
          </w:tcPr>
          <w:p w14:paraId="6D59EFC5" w14:textId="3368C6B8" w:rsidR="001A75A4" w:rsidRPr="00286216" w:rsidRDefault="001A75A4" w:rsidP="001A75A4">
            <w:pPr>
              <w:pStyle w:val="StyleZakonu"/>
              <w:rPr>
                <w:color w:val="000000" w:themeColor="text1"/>
              </w:rPr>
            </w:pPr>
            <w:r w:rsidRPr="00286216">
              <w:rPr>
                <w:color w:val="000000" w:themeColor="text1"/>
              </w:rPr>
              <w:t>Юридична особа, яка отримала ліцензію на провадження діяльності з організації торгівлі продукцією на товарних біржах, є професійним учасником організованих товарних ринків.</w:t>
            </w:r>
          </w:p>
        </w:tc>
      </w:tr>
      <w:tr w:rsidR="001A75A4" w:rsidRPr="00286216" w14:paraId="3F230B55" w14:textId="77777777" w:rsidTr="00091AA5">
        <w:tc>
          <w:tcPr>
            <w:tcW w:w="576" w:type="dxa"/>
          </w:tcPr>
          <w:p w14:paraId="5BC64B2C" w14:textId="77777777" w:rsidR="001A75A4" w:rsidRPr="00286216" w:rsidRDefault="001A75A4" w:rsidP="001A75A4">
            <w:pPr>
              <w:pStyle w:val="StyleWisnow"/>
              <w:rPr>
                <w:color w:val="000000" w:themeColor="text1"/>
              </w:rPr>
            </w:pPr>
            <w:bookmarkStart w:id="2179" w:name="n2389" w:colFirst="0" w:colLast="0"/>
            <w:bookmarkEnd w:id="2178"/>
            <w:r w:rsidRPr="00286216">
              <w:rPr>
                <w:color w:val="000000" w:themeColor="text1"/>
              </w:rPr>
              <w:t>2389.</w:t>
            </w:r>
          </w:p>
        </w:tc>
        <w:tc>
          <w:tcPr>
            <w:tcW w:w="4818" w:type="dxa"/>
          </w:tcPr>
          <w:p w14:paraId="613ECCEB" w14:textId="77777777" w:rsidR="001A75A4" w:rsidRPr="00286216" w:rsidRDefault="001A75A4" w:rsidP="001A75A4">
            <w:pPr>
              <w:pStyle w:val="StyleZakonu"/>
              <w:rPr>
                <w:color w:val="000000" w:themeColor="text1"/>
              </w:rPr>
            </w:pPr>
            <w:r w:rsidRPr="00286216">
              <w:rPr>
                <w:color w:val="000000" w:themeColor="text1"/>
              </w:rPr>
              <w:t xml:space="preserve">Товарна біржа починає функціонувати після реєстрації Національною комісією з цінних паперів та фондового ринку правил </w:t>
            </w:r>
            <w:r w:rsidRPr="00286216">
              <w:rPr>
                <w:color w:val="000000" w:themeColor="text1"/>
                <w:shd w:val="clear" w:color="auto" w:fill="FFFFFF"/>
              </w:rPr>
              <w:t xml:space="preserve">товарної біржі відповідно до </w:t>
            </w:r>
            <w:r w:rsidRPr="00286216">
              <w:rPr>
                <w:color w:val="000000" w:themeColor="text1"/>
                <w:shd w:val="clear" w:color="auto" w:fill="FFFFFF"/>
              </w:rPr>
              <w:lastRenderedPageBreak/>
              <w:t>статті 9 цього Закону</w:t>
            </w:r>
            <w:r w:rsidRPr="00286216">
              <w:rPr>
                <w:color w:val="000000" w:themeColor="text1"/>
              </w:rPr>
              <w:t>.</w:t>
            </w:r>
          </w:p>
        </w:tc>
        <w:tc>
          <w:tcPr>
            <w:tcW w:w="3686" w:type="dxa"/>
          </w:tcPr>
          <w:p w14:paraId="41484FD4"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lastRenderedPageBreak/>
              <w:t xml:space="preserve">Юридична особа набуває статусу професійного учасника ринків капіталу та організованих товарних ринків у випадках та на підставах, визначених Законом України </w:t>
            </w:r>
            <w:r w:rsidRPr="00286216">
              <w:rPr>
                <w:color w:val="000000" w:themeColor="text1"/>
                <w:szCs w:val="18"/>
              </w:rPr>
              <w:lastRenderedPageBreak/>
              <w:t>«Про ринки капіталу та організовані товарні ринки», з врахуванням вимог цього Закону".</w:t>
            </w:r>
          </w:p>
        </w:tc>
        <w:tc>
          <w:tcPr>
            <w:tcW w:w="1987" w:type="dxa"/>
          </w:tcPr>
          <w:p w14:paraId="0E2B468B" w14:textId="77777777" w:rsidR="001A75A4" w:rsidRPr="00286216" w:rsidRDefault="001A75A4" w:rsidP="001A75A4">
            <w:pPr>
              <w:pStyle w:val="StyleWisnow"/>
              <w:rPr>
                <w:color w:val="000000" w:themeColor="text1"/>
              </w:rPr>
            </w:pPr>
          </w:p>
        </w:tc>
        <w:tc>
          <w:tcPr>
            <w:tcW w:w="4818" w:type="dxa"/>
          </w:tcPr>
          <w:p w14:paraId="2D3E03C3" w14:textId="68A37083" w:rsidR="001A75A4" w:rsidRPr="00286216" w:rsidRDefault="001A75A4" w:rsidP="001A75A4">
            <w:pPr>
              <w:pStyle w:val="StyleZakonu"/>
              <w:rPr>
                <w:color w:val="000000" w:themeColor="text1"/>
              </w:rPr>
            </w:pPr>
            <w:r w:rsidRPr="00286216">
              <w:rPr>
                <w:color w:val="000000" w:themeColor="text1"/>
              </w:rPr>
              <w:t xml:space="preserve">Товарна біржа починає функціонувати після реєстрації Національною комісією з цінних паперів та фондового ринку правил </w:t>
            </w:r>
            <w:r w:rsidRPr="00286216">
              <w:rPr>
                <w:color w:val="000000" w:themeColor="text1"/>
                <w:shd w:val="clear" w:color="auto" w:fill="FFFFFF"/>
              </w:rPr>
              <w:t xml:space="preserve">товарної біржі відповідно до </w:t>
            </w:r>
            <w:r w:rsidRPr="00286216">
              <w:rPr>
                <w:color w:val="000000" w:themeColor="text1"/>
                <w:shd w:val="clear" w:color="auto" w:fill="FFFFFF"/>
              </w:rPr>
              <w:lastRenderedPageBreak/>
              <w:t>статті 9 цього Закону</w:t>
            </w:r>
            <w:r w:rsidRPr="00286216">
              <w:rPr>
                <w:color w:val="000000" w:themeColor="text1"/>
              </w:rPr>
              <w:t>.</w:t>
            </w:r>
          </w:p>
        </w:tc>
      </w:tr>
      <w:tr w:rsidR="001A75A4" w:rsidRPr="00286216" w14:paraId="734B61F7" w14:textId="77777777" w:rsidTr="00091AA5">
        <w:tc>
          <w:tcPr>
            <w:tcW w:w="576" w:type="dxa"/>
          </w:tcPr>
          <w:p w14:paraId="3E769E43" w14:textId="77777777" w:rsidR="001A75A4" w:rsidRPr="00286216" w:rsidRDefault="001A75A4" w:rsidP="001A75A4">
            <w:pPr>
              <w:pStyle w:val="StyleWisnow"/>
              <w:rPr>
                <w:color w:val="000000" w:themeColor="text1"/>
              </w:rPr>
            </w:pPr>
            <w:bookmarkStart w:id="2180" w:name="n2390" w:colFirst="0" w:colLast="0"/>
            <w:bookmarkEnd w:id="2179"/>
            <w:r w:rsidRPr="00286216">
              <w:rPr>
                <w:color w:val="000000" w:themeColor="text1"/>
              </w:rPr>
              <w:lastRenderedPageBreak/>
              <w:t>2390.</w:t>
            </w:r>
          </w:p>
        </w:tc>
        <w:tc>
          <w:tcPr>
            <w:tcW w:w="4818" w:type="dxa"/>
          </w:tcPr>
          <w:p w14:paraId="67A236C5" w14:textId="77777777" w:rsidR="001A75A4" w:rsidRPr="00286216" w:rsidRDefault="001A75A4" w:rsidP="001A75A4">
            <w:pPr>
              <w:pStyle w:val="StyleZakonu"/>
              <w:rPr>
                <w:color w:val="000000" w:themeColor="text1"/>
                <w:lang w:eastAsia="uk-UA"/>
              </w:rPr>
            </w:pPr>
            <w:bookmarkStart w:id="2181" w:name="_Ref20335630"/>
            <w:r w:rsidRPr="00286216">
              <w:rPr>
                <w:color w:val="000000" w:themeColor="text1"/>
                <w:lang w:eastAsia="uk-UA"/>
              </w:rPr>
              <w:t>3. Товарна біржа, крім ліцензії на провадження діяльності з організації торгівлі продукцією на товарній біржі, має право у порядку встановленому Законом України "Про ринки капіталу та організовані товарні ринки" отримати ліцензію (ліцензії) на провадження наступних видів професійної діяльності на ринках капіталу:</w:t>
            </w:r>
            <w:bookmarkEnd w:id="2181"/>
          </w:p>
        </w:tc>
        <w:tc>
          <w:tcPr>
            <w:tcW w:w="3686" w:type="dxa"/>
          </w:tcPr>
          <w:p w14:paraId="551C19E1" w14:textId="4D76707C"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1138</w:t>
            </w:r>
            <w:r w:rsidRPr="00286216">
              <w:rPr>
                <w:color w:val="000000" w:themeColor="text1"/>
                <w:spacing w:val="-2"/>
              </w:rPr>
              <w:fldChar w:fldCharType="end"/>
            </w:r>
            <w:r w:rsidRPr="00286216">
              <w:rPr>
                <w:color w:val="000000" w:themeColor="text1"/>
                <w:spacing w:val="-2"/>
              </w:rPr>
              <w:t>-Н.д.Шахов С.В. (Реєстр.картка №114)</w:t>
            </w:r>
          </w:p>
          <w:p w14:paraId="32199F4F"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Абзаци 1, 2 частини 3 статті 3 замінити трьома абзацами такого змісту:</w:t>
            </w:r>
          </w:p>
          <w:p w14:paraId="1C0179FC"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"3. Товарна біржа, крім провадження діяльності з організації торгівлі продукцією на товарних біржах та поставними товарними деривативними контрактами, має право у порядку, встановленому Законом України «Про ринки капіталу та організовані товарні ринки», провадити наступні види професійної діяльності на ринках капіталу та організованих товарних ринках:</w:t>
            </w:r>
          </w:p>
        </w:tc>
        <w:tc>
          <w:tcPr>
            <w:tcW w:w="1987" w:type="dxa"/>
          </w:tcPr>
          <w:p w14:paraId="7FB17BAE" w14:textId="77777777" w:rsidR="001A75A4" w:rsidRPr="00286216" w:rsidRDefault="001A75A4" w:rsidP="001A75A4">
            <w:pPr>
              <w:pStyle w:val="StyleWisnow"/>
              <w:rPr>
                <w:color w:val="000000" w:themeColor="text1"/>
              </w:rPr>
            </w:pPr>
            <w:r w:rsidRPr="00286216">
              <w:rPr>
                <w:color w:val="000000" w:themeColor="text1"/>
              </w:rPr>
              <w:t>Відхилено</w:t>
            </w:r>
          </w:p>
          <w:p w14:paraId="56E2B8D2" w14:textId="032CE1D2" w:rsidR="001A75A4" w:rsidRPr="00286216" w:rsidRDefault="001A75A4" w:rsidP="001A75A4">
            <w:pPr>
              <w:pStyle w:val="StyleWisnow"/>
              <w:spacing w:line="180" w:lineRule="exact"/>
              <w:rPr>
                <w:color w:val="000000" w:themeColor="text1"/>
                <w:lang w:eastAsia="uk-UA"/>
              </w:rPr>
            </w:pPr>
            <w:r w:rsidRPr="00286216">
              <w:rPr>
                <w:color w:val="000000" w:themeColor="text1"/>
              </w:rPr>
              <w:t>деривативні контракти є предметом регулювання закону про ринки капіталу та не можуть укладатися на товарних біржах</w:t>
            </w:r>
          </w:p>
        </w:tc>
        <w:tc>
          <w:tcPr>
            <w:tcW w:w="4818" w:type="dxa"/>
          </w:tcPr>
          <w:p w14:paraId="52D93ECF" w14:textId="2FE60ACF" w:rsidR="001A75A4" w:rsidRPr="00286216" w:rsidRDefault="001A75A4" w:rsidP="001A75A4">
            <w:pPr>
              <w:pStyle w:val="StyleZakonu"/>
              <w:rPr>
                <w:color w:val="000000" w:themeColor="text1"/>
                <w:lang w:eastAsia="uk-UA"/>
              </w:rPr>
            </w:pPr>
            <w:r w:rsidRPr="00286216">
              <w:rPr>
                <w:color w:val="000000" w:themeColor="text1"/>
                <w:lang w:eastAsia="uk-UA"/>
              </w:rPr>
              <w:t>3. Товарна біржа, крім ліцензії на провадження діяльності з організації торгівлі продукцією на товарній біржі, має право у порядку, встановленому Законом України "Про ринки капіталу та організовані товарні ринки", отримати ліцензію (ліцензії) на провадження на ринках капіталу таких видів діяльності:</w:t>
            </w:r>
          </w:p>
        </w:tc>
      </w:tr>
      <w:tr w:rsidR="001A75A4" w:rsidRPr="00286216" w14:paraId="7863B227" w14:textId="77777777" w:rsidTr="00091AA5">
        <w:tc>
          <w:tcPr>
            <w:tcW w:w="576" w:type="dxa"/>
          </w:tcPr>
          <w:p w14:paraId="2DFA279C" w14:textId="77777777" w:rsidR="001A75A4" w:rsidRPr="00286216" w:rsidRDefault="001A75A4" w:rsidP="001A75A4">
            <w:pPr>
              <w:pStyle w:val="StyleWisnow"/>
              <w:rPr>
                <w:color w:val="000000" w:themeColor="text1"/>
              </w:rPr>
            </w:pPr>
            <w:bookmarkStart w:id="2182" w:name="n2391" w:colFirst="0" w:colLast="0"/>
            <w:bookmarkEnd w:id="2180"/>
            <w:r w:rsidRPr="00286216">
              <w:rPr>
                <w:color w:val="000000" w:themeColor="text1"/>
              </w:rPr>
              <w:t>2391.</w:t>
            </w:r>
          </w:p>
        </w:tc>
        <w:tc>
          <w:tcPr>
            <w:tcW w:w="4818" w:type="dxa"/>
          </w:tcPr>
          <w:p w14:paraId="70CE4E48" w14:textId="77777777" w:rsidR="001A75A4" w:rsidRPr="00286216" w:rsidRDefault="001A75A4" w:rsidP="001A75A4">
            <w:pPr>
              <w:pStyle w:val="StyleZakonu"/>
              <w:rPr>
                <w:color w:val="000000" w:themeColor="text1"/>
              </w:rPr>
            </w:pPr>
            <w:r w:rsidRPr="00286216">
              <w:rPr>
                <w:color w:val="000000" w:themeColor="text1"/>
              </w:rPr>
              <w:t>1) клірингову діяльність з визначення зобов’язань;</w:t>
            </w:r>
          </w:p>
        </w:tc>
        <w:tc>
          <w:tcPr>
            <w:tcW w:w="3686" w:type="dxa"/>
          </w:tcPr>
          <w:p w14:paraId="359E0C5B"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1) клірингову діяльність з визначення зобов’язань;</w:t>
            </w:r>
          </w:p>
          <w:p w14:paraId="0B4CBDA1"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2) клірингову діяльність центрального контрагента (в межах і на умовах, визначених законом)".</w:t>
            </w:r>
          </w:p>
          <w:p w14:paraId="1A13704E"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lang w:eastAsia="uk-UA"/>
              </w:rPr>
              <w:t>Змінити подальшу нумерацію пунктів.</w:t>
            </w:r>
          </w:p>
        </w:tc>
        <w:tc>
          <w:tcPr>
            <w:tcW w:w="1987" w:type="dxa"/>
          </w:tcPr>
          <w:p w14:paraId="76C81741" w14:textId="77777777" w:rsidR="001A75A4" w:rsidRPr="00286216" w:rsidRDefault="001A75A4" w:rsidP="001A75A4">
            <w:pPr>
              <w:pStyle w:val="StyleWisnow"/>
              <w:rPr>
                <w:color w:val="000000" w:themeColor="text1"/>
              </w:rPr>
            </w:pPr>
          </w:p>
        </w:tc>
        <w:tc>
          <w:tcPr>
            <w:tcW w:w="4818" w:type="dxa"/>
          </w:tcPr>
          <w:p w14:paraId="75311E48" w14:textId="60217BF4" w:rsidR="001A75A4" w:rsidRPr="00286216" w:rsidRDefault="001A75A4" w:rsidP="001A75A4">
            <w:pPr>
              <w:pStyle w:val="StyleZakonu"/>
              <w:rPr>
                <w:color w:val="000000" w:themeColor="text1"/>
              </w:rPr>
            </w:pPr>
            <w:r w:rsidRPr="00286216">
              <w:rPr>
                <w:color w:val="000000" w:themeColor="text1"/>
              </w:rPr>
              <w:t>1) клірингова діяльність з визначення зобов’язань;</w:t>
            </w:r>
          </w:p>
        </w:tc>
      </w:tr>
      <w:tr w:rsidR="001A75A4" w:rsidRPr="00286216" w14:paraId="1C3C2CCF" w14:textId="77777777" w:rsidTr="00091AA5">
        <w:tc>
          <w:tcPr>
            <w:tcW w:w="576" w:type="dxa"/>
          </w:tcPr>
          <w:p w14:paraId="23B68811" w14:textId="77777777" w:rsidR="001A75A4" w:rsidRPr="00286216" w:rsidRDefault="001A75A4" w:rsidP="001A75A4">
            <w:pPr>
              <w:pStyle w:val="StyleWisnow"/>
              <w:rPr>
                <w:color w:val="000000" w:themeColor="text1"/>
              </w:rPr>
            </w:pPr>
            <w:bookmarkStart w:id="2183" w:name="n2392" w:colFirst="0" w:colLast="0"/>
            <w:bookmarkEnd w:id="2182"/>
            <w:r w:rsidRPr="00286216">
              <w:rPr>
                <w:color w:val="000000" w:themeColor="text1"/>
              </w:rPr>
              <w:t>2392.</w:t>
            </w:r>
          </w:p>
        </w:tc>
        <w:tc>
          <w:tcPr>
            <w:tcW w:w="4818" w:type="dxa"/>
          </w:tcPr>
          <w:p w14:paraId="2C8EBE6E" w14:textId="77777777" w:rsidR="001A75A4" w:rsidRPr="00286216" w:rsidRDefault="001A75A4" w:rsidP="001A75A4">
            <w:pPr>
              <w:pStyle w:val="StyleZakonu"/>
              <w:rPr>
                <w:color w:val="000000" w:themeColor="text1"/>
              </w:rPr>
            </w:pPr>
            <w:r w:rsidRPr="00286216">
              <w:rPr>
                <w:color w:val="000000" w:themeColor="text1"/>
              </w:rPr>
              <w:t>2) організацію торгівлі деривативними (похідними) фінансовими інструментами на регульованому ринку деривативних (похідних) фінансових інструментів;</w:t>
            </w:r>
          </w:p>
        </w:tc>
        <w:tc>
          <w:tcPr>
            <w:tcW w:w="3686" w:type="dxa"/>
          </w:tcPr>
          <w:p w14:paraId="7B2C5C05" w14:textId="75815AC5"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FD338C1"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Абзаци третій-шостий частини третьої статті 3 викласти в такій редакції:</w:t>
            </w:r>
          </w:p>
          <w:p w14:paraId="15353795"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«2) діяльність з організації укладання деривативних контрактів на регульованому ринку деривативних фінансових інструментів;</w:t>
            </w:r>
          </w:p>
          <w:p w14:paraId="35A1FF29"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3) діяльність з організації укладання деривативних контрактів на БТМ деривативних фінансових інструментів;</w:t>
            </w:r>
          </w:p>
          <w:p w14:paraId="22C68BEE"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4) діяльність з організації укладення деривативних фінансових інструментів на ОТМ деривативних фінансових інструментів.</w:t>
            </w:r>
          </w:p>
          <w:p w14:paraId="35F3009A"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Товарна біржа, крім ліцензії на провадження діяльності з організації торгівлі продукцією на товарних біржах, має право у порядку встановленому Законом України «Про ринки капіталу та організовані товарні ринки» отримати ліцензію на провадження професійної діяльності на організованих товарних ринках – діяльності з організації торгівлі продукцією на регульованих товарних ринках».</w:t>
            </w:r>
          </w:p>
        </w:tc>
        <w:tc>
          <w:tcPr>
            <w:tcW w:w="1987" w:type="dxa"/>
          </w:tcPr>
          <w:p w14:paraId="466AF74D" w14:textId="42A6277C" w:rsidR="001A75A4" w:rsidRPr="00286216" w:rsidRDefault="001A75A4" w:rsidP="001A75A4">
            <w:pPr>
              <w:pStyle w:val="StyleWisnow"/>
              <w:rPr>
                <w:color w:val="000000" w:themeColor="text1"/>
              </w:rPr>
            </w:pPr>
            <w:r w:rsidRPr="00286216">
              <w:rPr>
                <w:color w:val="000000" w:themeColor="text1"/>
              </w:rPr>
              <w:t>Враховано редакційно</w:t>
            </w:r>
          </w:p>
        </w:tc>
        <w:tc>
          <w:tcPr>
            <w:tcW w:w="4818" w:type="dxa"/>
          </w:tcPr>
          <w:p w14:paraId="109E1945" w14:textId="4E1FF938" w:rsidR="001A75A4" w:rsidRPr="00286216" w:rsidRDefault="001A75A4" w:rsidP="001A75A4">
            <w:pPr>
              <w:pStyle w:val="StyleZakonu"/>
              <w:rPr>
                <w:color w:val="000000" w:themeColor="text1"/>
              </w:rPr>
            </w:pPr>
            <w:r w:rsidRPr="00286216">
              <w:rPr>
                <w:color w:val="000000" w:themeColor="text1"/>
              </w:rPr>
              <w:t>2) діяльність з організації укладання деривативних контрактів на регульованому ринку деривативних контрактів;</w:t>
            </w:r>
          </w:p>
        </w:tc>
      </w:tr>
      <w:tr w:rsidR="001A75A4" w:rsidRPr="00286216" w14:paraId="5BA32B55" w14:textId="77777777" w:rsidTr="00091AA5">
        <w:tc>
          <w:tcPr>
            <w:tcW w:w="576" w:type="dxa"/>
          </w:tcPr>
          <w:p w14:paraId="4B8FB247" w14:textId="77777777" w:rsidR="001A75A4" w:rsidRPr="00286216" w:rsidRDefault="001A75A4" w:rsidP="001A75A4">
            <w:pPr>
              <w:pStyle w:val="StyleWisnow"/>
              <w:rPr>
                <w:color w:val="000000" w:themeColor="text1"/>
              </w:rPr>
            </w:pPr>
          </w:p>
        </w:tc>
        <w:tc>
          <w:tcPr>
            <w:tcW w:w="4818" w:type="dxa"/>
          </w:tcPr>
          <w:p w14:paraId="62B726A8" w14:textId="77777777" w:rsidR="001A75A4" w:rsidRPr="00286216" w:rsidRDefault="001A75A4" w:rsidP="001A75A4">
            <w:pPr>
              <w:pStyle w:val="StyleZakonu"/>
              <w:rPr>
                <w:color w:val="000000" w:themeColor="text1"/>
              </w:rPr>
            </w:pPr>
          </w:p>
        </w:tc>
        <w:tc>
          <w:tcPr>
            <w:tcW w:w="3686" w:type="dxa"/>
          </w:tcPr>
          <w:p w14:paraId="2752E535" w14:textId="2D2F026D"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1140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22FE47E"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В розділі 2 у статті 3 пункти 2, 3 та 4 частини третьої викласти у такій редакції:</w:t>
            </w:r>
          </w:p>
          <w:p w14:paraId="725D7F20"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 xml:space="preserve">«2) організацію обігу деривативних контрактів на регульованому ринку деривативних контрактів; </w:t>
            </w:r>
          </w:p>
          <w:p w14:paraId="07E2E82A"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3) організацію обігу деривативних контрактів на БТМ деривативних контрактів;</w:t>
            </w:r>
          </w:p>
          <w:p w14:paraId="26F13859"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4) організацію обігу деривативних контрактів на ОТМ деривативних контрактів.»</w:t>
            </w:r>
          </w:p>
        </w:tc>
        <w:tc>
          <w:tcPr>
            <w:tcW w:w="1987" w:type="dxa"/>
          </w:tcPr>
          <w:p w14:paraId="0F0B84CD" w14:textId="77777777" w:rsidR="001A75A4" w:rsidRPr="00286216" w:rsidRDefault="001A75A4" w:rsidP="001A75A4">
            <w:pPr>
              <w:pStyle w:val="StyleWisnow"/>
              <w:rPr>
                <w:color w:val="000000" w:themeColor="text1"/>
              </w:rPr>
            </w:pPr>
            <w:r w:rsidRPr="00286216">
              <w:rPr>
                <w:color w:val="000000" w:themeColor="text1"/>
              </w:rPr>
              <w:t>Відхилено</w:t>
            </w:r>
          </w:p>
          <w:p w14:paraId="47F2777A" w14:textId="77777777" w:rsidR="001A75A4" w:rsidRPr="00286216" w:rsidRDefault="001A75A4" w:rsidP="001A75A4">
            <w:pPr>
              <w:pStyle w:val="StyleWisnow"/>
              <w:rPr>
                <w:color w:val="000000" w:themeColor="text1"/>
              </w:rPr>
            </w:pPr>
            <w:r w:rsidRPr="00286216">
              <w:rPr>
                <w:color w:val="000000" w:themeColor="text1"/>
              </w:rPr>
              <w:t>обіг - це процес, а не вид професійної діяльності</w:t>
            </w:r>
          </w:p>
        </w:tc>
        <w:tc>
          <w:tcPr>
            <w:tcW w:w="4818" w:type="dxa"/>
          </w:tcPr>
          <w:p w14:paraId="3BDE5657" w14:textId="77777777" w:rsidR="001A75A4" w:rsidRPr="00286216" w:rsidRDefault="001A75A4" w:rsidP="001A75A4">
            <w:pPr>
              <w:pStyle w:val="StyleZakonu"/>
              <w:rPr>
                <w:color w:val="000000" w:themeColor="text1"/>
              </w:rPr>
            </w:pPr>
          </w:p>
        </w:tc>
      </w:tr>
      <w:tr w:rsidR="001A75A4" w:rsidRPr="00286216" w14:paraId="58DB00C4" w14:textId="77777777" w:rsidTr="00091AA5">
        <w:tc>
          <w:tcPr>
            <w:tcW w:w="576" w:type="dxa"/>
          </w:tcPr>
          <w:p w14:paraId="1DC25304" w14:textId="77777777" w:rsidR="001A75A4" w:rsidRPr="00286216" w:rsidRDefault="001A75A4" w:rsidP="001A75A4">
            <w:pPr>
              <w:pStyle w:val="StyleWisnow"/>
              <w:rPr>
                <w:color w:val="000000" w:themeColor="text1"/>
              </w:rPr>
            </w:pPr>
            <w:bookmarkStart w:id="2184" w:name="n2393" w:colFirst="0" w:colLast="0"/>
            <w:bookmarkEnd w:id="2183"/>
            <w:r w:rsidRPr="00286216">
              <w:rPr>
                <w:color w:val="000000" w:themeColor="text1"/>
              </w:rPr>
              <w:t>2393.</w:t>
            </w:r>
          </w:p>
        </w:tc>
        <w:tc>
          <w:tcPr>
            <w:tcW w:w="4818" w:type="dxa"/>
          </w:tcPr>
          <w:p w14:paraId="42F792F3" w14:textId="77777777" w:rsidR="001A75A4" w:rsidRPr="00286216" w:rsidRDefault="001A75A4" w:rsidP="001A75A4">
            <w:pPr>
              <w:pStyle w:val="StyleZakonu"/>
              <w:rPr>
                <w:color w:val="000000" w:themeColor="text1"/>
              </w:rPr>
            </w:pPr>
            <w:r w:rsidRPr="00286216">
              <w:rPr>
                <w:color w:val="000000" w:themeColor="text1"/>
              </w:rPr>
              <w:t xml:space="preserve">3) організацію торгівлі деривативними </w:t>
            </w:r>
            <w:r w:rsidRPr="00286216">
              <w:rPr>
                <w:color w:val="000000" w:themeColor="text1"/>
              </w:rPr>
              <w:lastRenderedPageBreak/>
              <w:t>(похідними) фінансовими інструментами на БТМ деривативних (похідних) фінансових інструментів;</w:t>
            </w:r>
          </w:p>
        </w:tc>
        <w:tc>
          <w:tcPr>
            <w:tcW w:w="3686" w:type="dxa"/>
          </w:tcPr>
          <w:p w14:paraId="2ECD4D98" w14:textId="77777777" w:rsidR="001A75A4" w:rsidRPr="00286216" w:rsidRDefault="001A75A4" w:rsidP="001A75A4">
            <w:pPr>
              <w:pStyle w:val="StyleProp"/>
              <w:rPr>
                <w:color w:val="000000" w:themeColor="text1"/>
                <w:szCs w:val="18"/>
              </w:rPr>
            </w:pPr>
          </w:p>
        </w:tc>
        <w:tc>
          <w:tcPr>
            <w:tcW w:w="1987" w:type="dxa"/>
          </w:tcPr>
          <w:p w14:paraId="1526877A" w14:textId="77777777" w:rsidR="001A75A4" w:rsidRPr="00286216" w:rsidRDefault="001A75A4" w:rsidP="001A75A4">
            <w:pPr>
              <w:pStyle w:val="StyleWisnow"/>
              <w:rPr>
                <w:color w:val="000000" w:themeColor="text1"/>
              </w:rPr>
            </w:pPr>
          </w:p>
        </w:tc>
        <w:tc>
          <w:tcPr>
            <w:tcW w:w="4818" w:type="dxa"/>
          </w:tcPr>
          <w:p w14:paraId="02282333" w14:textId="52286129" w:rsidR="001A75A4" w:rsidRPr="00286216" w:rsidRDefault="001A75A4" w:rsidP="001A75A4">
            <w:pPr>
              <w:pStyle w:val="StyleZakonu"/>
              <w:rPr>
                <w:color w:val="000000" w:themeColor="text1"/>
              </w:rPr>
            </w:pPr>
            <w:r w:rsidRPr="00286216">
              <w:rPr>
                <w:color w:val="000000" w:themeColor="text1"/>
              </w:rPr>
              <w:t xml:space="preserve">3) діяльність з організації укладання деривативних </w:t>
            </w:r>
            <w:r w:rsidRPr="00286216">
              <w:rPr>
                <w:color w:val="000000" w:themeColor="text1"/>
              </w:rPr>
              <w:lastRenderedPageBreak/>
              <w:t>контрактів на БТМ деривативних контрактів;</w:t>
            </w:r>
          </w:p>
        </w:tc>
      </w:tr>
      <w:tr w:rsidR="001A75A4" w:rsidRPr="00286216" w14:paraId="2772DD3B" w14:textId="77777777" w:rsidTr="00091AA5">
        <w:tc>
          <w:tcPr>
            <w:tcW w:w="576" w:type="dxa"/>
          </w:tcPr>
          <w:p w14:paraId="64B9439C" w14:textId="77777777" w:rsidR="001A75A4" w:rsidRPr="00286216" w:rsidRDefault="001A75A4" w:rsidP="001A75A4">
            <w:pPr>
              <w:pStyle w:val="StyleWisnow"/>
              <w:rPr>
                <w:color w:val="000000" w:themeColor="text1"/>
              </w:rPr>
            </w:pPr>
            <w:bookmarkStart w:id="2185" w:name="n2394" w:colFirst="0" w:colLast="0"/>
            <w:bookmarkEnd w:id="2184"/>
            <w:r w:rsidRPr="00286216">
              <w:rPr>
                <w:color w:val="000000" w:themeColor="text1"/>
              </w:rPr>
              <w:lastRenderedPageBreak/>
              <w:t>2394.</w:t>
            </w:r>
          </w:p>
        </w:tc>
        <w:tc>
          <w:tcPr>
            <w:tcW w:w="4818" w:type="dxa"/>
          </w:tcPr>
          <w:p w14:paraId="32639170" w14:textId="77777777" w:rsidR="001A75A4" w:rsidRPr="00286216" w:rsidRDefault="001A75A4" w:rsidP="001A75A4">
            <w:pPr>
              <w:pStyle w:val="StyleZakonu"/>
              <w:rPr>
                <w:color w:val="000000" w:themeColor="text1"/>
              </w:rPr>
            </w:pPr>
            <w:r w:rsidRPr="00286216">
              <w:rPr>
                <w:color w:val="000000" w:themeColor="text1"/>
              </w:rPr>
              <w:t>4) організацію торгівлі деривативними (похідними) фінансовими інструментами на ОТМ деривативних (похідних) фінансових інструментів).</w:t>
            </w:r>
          </w:p>
        </w:tc>
        <w:tc>
          <w:tcPr>
            <w:tcW w:w="3686" w:type="dxa"/>
          </w:tcPr>
          <w:p w14:paraId="30CF4064" w14:textId="7117F8C7"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1141</w:t>
            </w:r>
            <w:r w:rsidRPr="00286216">
              <w:rPr>
                <w:color w:val="000000" w:themeColor="text1"/>
                <w:spacing w:val="-2"/>
              </w:rPr>
              <w:fldChar w:fldCharType="end"/>
            </w:r>
            <w:r w:rsidRPr="00286216">
              <w:rPr>
                <w:color w:val="000000" w:themeColor="text1"/>
                <w:spacing w:val="-2"/>
              </w:rPr>
              <w:t>-Н.д.Шахов С.В. (Реєстр.картка №114)</w:t>
            </w:r>
          </w:p>
          <w:p w14:paraId="19E619D7"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Частину 3 статті 3 доповнити новим пунктом 6 (з урахуванням зміни нумерації):</w:t>
            </w:r>
          </w:p>
          <w:p w14:paraId="2B7A1AF5"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"6) організацію торгівлі продукцією на регульованому товарному ринку".</w:t>
            </w:r>
          </w:p>
        </w:tc>
        <w:tc>
          <w:tcPr>
            <w:tcW w:w="1987" w:type="dxa"/>
          </w:tcPr>
          <w:p w14:paraId="0668F848" w14:textId="77777777" w:rsidR="001A75A4" w:rsidRPr="00286216" w:rsidRDefault="001A75A4" w:rsidP="001A75A4">
            <w:pPr>
              <w:pStyle w:val="StyleWisnow"/>
              <w:rPr>
                <w:color w:val="000000" w:themeColor="text1"/>
              </w:rPr>
            </w:pPr>
            <w:r w:rsidRPr="00286216">
              <w:rPr>
                <w:color w:val="000000" w:themeColor="text1"/>
              </w:rPr>
              <w:t xml:space="preserve">Відхилено </w:t>
            </w:r>
          </w:p>
          <w:p w14:paraId="04099C61" w14:textId="77777777" w:rsidR="001A75A4" w:rsidRPr="00286216" w:rsidRDefault="001A75A4" w:rsidP="001A75A4">
            <w:pPr>
              <w:pStyle w:val="StyleWisnow"/>
              <w:spacing w:line="180" w:lineRule="exact"/>
              <w:rPr>
                <w:color w:val="000000" w:themeColor="text1"/>
                <w:lang w:eastAsia="uk-UA"/>
              </w:rPr>
            </w:pPr>
            <w:r w:rsidRPr="00286216">
              <w:rPr>
                <w:color w:val="000000" w:themeColor="text1"/>
              </w:rPr>
              <w:t>У зв’язку з тим, що діяльність з організації торгівлі продукцією не є діяльністю на ринках капіталу</w:t>
            </w:r>
          </w:p>
        </w:tc>
        <w:tc>
          <w:tcPr>
            <w:tcW w:w="4818" w:type="dxa"/>
          </w:tcPr>
          <w:p w14:paraId="7FC0EDE1" w14:textId="7228B792" w:rsidR="001A75A4" w:rsidRPr="00286216" w:rsidRDefault="001A75A4" w:rsidP="001A75A4">
            <w:pPr>
              <w:pStyle w:val="StyleZakonu"/>
              <w:rPr>
                <w:color w:val="000000" w:themeColor="text1"/>
              </w:rPr>
            </w:pPr>
            <w:r w:rsidRPr="00286216">
              <w:rPr>
                <w:color w:val="000000" w:themeColor="text1"/>
              </w:rPr>
              <w:t>4) діяльність з організації укладання деривативних фінансових інструментів на ОТМ деривативних контрактів.</w:t>
            </w:r>
          </w:p>
        </w:tc>
      </w:tr>
      <w:tr w:rsidR="001A75A4" w:rsidRPr="00286216" w14:paraId="5B318775" w14:textId="77777777" w:rsidTr="00091AA5">
        <w:tc>
          <w:tcPr>
            <w:tcW w:w="576" w:type="dxa"/>
          </w:tcPr>
          <w:p w14:paraId="7C9DEA16" w14:textId="77777777" w:rsidR="001A75A4" w:rsidRPr="00286216" w:rsidRDefault="001A75A4" w:rsidP="001A75A4">
            <w:pPr>
              <w:pStyle w:val="StyleWisnow"/>
              <w:rPr>
                <w:color w:val="000000" w:themeColor="text1"/>
              </w:rPr>
            </w:pPr>
            <w:bookmarkStart w:id="2186" w:name="n2395" w:colFirst="0" w:colLast="0"/>
            <w:bookmarkEnd w:id="2185"/>
            <w:r w:rsidRPr="00286216">
              <w:rPr>
                <w:color w:val="000000" w:themeColor="text1"/>
              </w:rPr>
              <w:t>2395.</w:t>
            </w:r>
          </w:p>
        </w:tc>
        <w:tc>
          <w:tcPr>
            <w:tcW w:w="4818" w:type="dxa"/>
          </w:tcPr>
          <w:p w14:paraId="512A3D09" w14:textId="77777777" w:rsidR="001A75A4" w:rsidRPr="00286216" w:rsidRDefault="001A75A4" w:rsidP="001A75A4">
            <w:pPr>
              <w:pStyle w:val="StyleZakonu"/>
              <w:rPr>
                <w:color w:val="000000" w:themeColor="text1"/>
                <w:lang w:eastAsia="uk-UA"/>
              </w:rPr>
            </w:pPr>
            <w:bookmarkStart w:id="2187" w:name="_Ref20396086"/>
            <w:r w:rsidRPr="00286216">
              <w:rPr>
                <w:color w:val="000000" w:themeColor="text1"/>
                <w:lang w:eastAsia="uk-UA"/>
              </w:rPr>
              <w:t>Товарна біржа, крім ліцензії на провадження діяльності з організації торгівлі продукцією на товарній біржі, має право у порядку встановленому Законом України "Про ринки капіталу та організовані товарні ринки" отримати ліцензію на провадження професійної діяльності на організованих товарних ринках - діяльності з організації торгівлі продукцією на регульованому товарному ринку.</w:t>
            </w:r>
          </w:p>
        </w:tc>
        <w:tc>
          <w:tcPr>
            <w:tcW w:w="3686" w:type="dxa"/>
          </w:tcPr>
          <w:p w14:paraId="5C74639A" w14:textId="58F7F093"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1142</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81DE2E8"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2D96E7ED" w14:textId="77777777" w:rsidR="001A75A4" w:rsidRPr="00286216" w:rsidRDefault="001A75A4" w:rsidP="001A75A4">
            <w:pPr>
              <w:pStyle w:val="StyleProp"/>
              <w:spacing w:line="180" w:lineRule="exact"/>
              <w:rPr>
                <w:color w:val="000000" w:themeColor="text1"/>
                <w:spacing w:val="-3"/>
              </w:rPr>
            </w:pPr>
            <w:r w:rsidRPr="00286216">
              <w:rPr>
                <w:color w:val="000000" w:themeColor="text1"/>
                <w:spacing w:val="-2"/>
              </w:rPr>
              <w:t>Абзац шостий  частини третьої статті 3 нової редакції Закону «Про товарну біржу» виключити</w:t>
            </w:r>
            <w:r w:rsidRPr="00286216">
              <w:rPr>
                <w:color w:val="000000" w:themeColor="text1"/>
                <w:spacing w:val="-3"/>
              </w:rPr>
              <w:t>.</w:t>
            </w:r>
          </w:p>
          <w:p w14:paraId="114C3C80" w14:textId="1D115188"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1143</w:t>
            </w:r>
            <w:r w:rsidRPr="00286216">
              <w:rPr>
                <w:color w:val="000000" w:themeColor="text1"/>
                <w:spacing w:val="-2"/>
              </w:rPr>
              <w:fldChar w:fldCharType="end"/>
            </w:r>
            <w:r w:rsidRPr="00286216">
              <w:rPr>
                <w:color w:val="000000" w:themeColor="text1"/>
                <w:spacing w:val="-2"/>
              </w:rPr>
              <w:t>-Н.д.Шахов С.В. (Реєстр.картка №114)</w:t>
            </w:r>
          </w:p>
          <w:p w14:paraId="34B9C654"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Останній абзац частини 3 статті 3 викласти у такій редакції:</w:t>
            </w:r>
          </w:p>
          <w:p w14:paraId="55FA5776"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"Товарна біржа має право отримати ліцензію (або інший дозвільний документ, визначений законодавством про товарні ринки), яка буде містити декілька або всі зазначені в даній статті види провадження професійної діяльності".</w:t>
            </w:r>
          </w:p>
        </w:tc>
        <w:tc>
          <w:tcPr>
            <w:tcW w:w="1987" w:type="dxa"/>
          </w:tcPr>
          <w:p w14:paraId="7FFA26A0" w14:textId="77777777" w:rsidR="001A75A4" w:rsidRPr="00286216" w:rsidRDefault="001A75A4" w:rsidP="001A75A4">
            <w:pPr>
              <w:pStyle w:val="StyleWisnow"/>
              <w:rPr>
                <w:color w:val="000000" w:themeColor="text1"/>
              </w:rPr>
            </w:pPr>
            <w:r w:rsidRPr="00286216">
              <w:rPr>
                <w:color w:val="000000" w:themeColor="text1"/>
              </w:rPr>
              <w:t>Враховано</w:t>
            </w:r>
          </w:p>
          <w:p w14:paraId="3AA8C362" w14:textId="77777777" w:rsidR="001A75A4" w:rsidRPr="00286216" w:rsidRDefault="001A75A4" w:rsidP="001A75A4">
            <w:pPr>
              <w:pStyle w:val="StyleWisnow"/>
              <w:rPr>
                <w:color w:val="000000" w:themeColor="text1"/>
              </w:rPr>
            </w:pPr>
          </w:p>
          <w:p w14:paraId="775C58CB" w14:textId="77777777" w:rsidR="001A75A4" w:rsidRPr="00286216" w:rsidRDefault="001A75A4" w:rsidP="001A75A4">
            <w:pPr>
              <w:pStyle w:val="StyleWisnow"/>
              <w:rPr>
                <w:color w:val="000000" w:themeColor="text1"/>
              </w:rPr>
            </w:pPr>
          </w:p>
          <w:p w14:paraId="2CC76DEA" w14:textId="77777777" w:rsidR="001A75A4" w:rsidRPr="00286216" w:rsidRDefault="001A75A4" w:rsidP="001A75A4">
            <w:pPr>
              <w:pStyle w:val="StyleWisnow"/>
              <w:rPr>
                <w:color w:val="000000" w:themeColor="text1"/>
              </w:rPr>
            </w:pPr>
          </w:p>
          <w:p w14:paraId="79D081BF" w14:textId="77777777" w:rsidR="001A75A4" w:rsidRPr="00286216" w:rsidRDefault="001A75A4" w:rsidP="001A75A4">
            <w:pPr>
              <w:pStyle w:val="StyleWisnow"/>
              <w:rPr>
                <w:color w:val="000000" w:themeColor="text1"/>
              </w:rPr>
            </w:pPr>
          </w:p>
          <w:p w14:paraId="4F0E7120" w14:textId="77777777" w:rsidR="001A75A4" w:rsidRPr="00286216" w:rsidRDefault="001A75A4" w:rsidP="001A75A4">
            <w:pPr>
              <w:pStyle w:val="StyleWisnow"/>
              <w:rPr>
                <w:color w:val="000000" w:themeColor="text1"/>
              </w:rPr>
            </w:pPr>
            <w:r w:rsidRPr="00286216">
              <w:rPr>
                <w:color w:val="000000" w:themeColor="text1"/>
              </w:rPr>
              <w:t>Відхилено</w:t>
            </w:r>
          </w:p>
          <w:p w14:paraId="7816B276" w14:textId="77777777" w:rsidR="001A75A4" w:rsidRPr="00286216" w:rsidRDefault="001A75A4" w:rsidP="001A75A4">
            <w:pPr>
              <w:pStyle w:val="StyleWisnow"/>
              <w:spacing w:line="180" w:lineRule="exact"/>
              <w:rPr>
                <w:color w:val="000000" w:themeColor="text1"/>
                <w:lang w:eastAsia="uk-UA"/>
              </w:rPr>
            </w:pPr>
            <w:r w:rsidRPr="00286216">
              <w:rPr>
                <w:color w:val="000000" w:themeColor="text1"/>
              </w:rPr>
              <w:t>Законом не передбачено наявність інших дозвільних документів, крім ліцензії</w:t>
            </w:r>
          </w:p>
        </w:tc>
        <w:tc>
          <w:tcPr>
            <w:tcW w:w="4818" w:type="dxa"/>
          </w:tcPr>
          <w:p w14:paraId="19C950E8" w14:textId="77777777" w:rsidR="001A75A4" w:rsidRPr="00286216" w:rsidRDefault="001A75A4" w:rsidP="001A75A4">
            <w:pPr>
              <w:pStyle w:val="StyleZakonu"/>
              <w:rPr>
                <w:color w:val="000000" w:themeColor="text1"/>
                <w:lang w:eastAsia="uk-UA"/>
              </w:rPr>
            </w:pPr>
          </w:p>
        </w:tc>
      </w:tr>
      <w:tr w:rsidR="001A75A4" w:rsidRPr="00286216" w14:paraId="6DE83CE7" w14:textId="77777777" w:rsidTr="00091AA5">
        <w:tc>
          <w:tcPr>
            <w:tcW w:w="576" w:type="dxa"/>
          </w:tcPr>
          <w:p w14:paraId="16266FAB" w14:textId="77777777" w:rsidR="001A75A4" w:rsidRPr="00286216" w:rsidRDefault="001A75A4" w:rsidP="001A75A4">
            <w:pPr>
              <w:pStyle w:val="StyleWisnow"/>
              <w:rPr>
                <w:color w:val="000000" w:themeColor="text1"/>
              </w:rPr>
            </w:pPr>
            <w:bookmarkStart w:id="2188" w:name="n2396" w:colFirst="0" w:colLast="0"/>
            <w:bookmarkEnd w:id="2186"/>
            <w:bookmarkEnd w:id="2187"/>
            <w:r w:rsidRPr="00286216">
              <w:rPr>
                <w:color w:val="000000" w:themeColor="text1"/>
              </w:rPr>
              <w:t>2396.</w:t>
            </w:r>
          </w:p>
        </w:tc>
        <w:tc>
          <w:tcPr>
            <w:tcW w:w="4818" w:type="dxa"/>
          </w:tcPr>
          <w:p w14:paraId="5B96B6A1" w14:textId="77777777" w:rsidR="001A75A4" w:rsidRPr="00286216" w:rsidRDefault="001A75A4" w:rsidP="001A75A4">
            <w:pPr>
              <w:pStyle w:val="StyleZakonu"/>
              <w:rPr>
                <w:color w:val="000000" w:themeColor="text1"/>
              </w:rPr>
            </w:pPr>
            <w:bookmarkStart w:id="2189" w:name="_Ref20847042"/>
            <w:r w:rsidRPr="00286216">
              <w:rPr>
                <w:color w:val="000000" w:themeColor="text1"/>
              </w:rPr>
              <w:t>4. Товарна біржа не може бути учасником біржових торгів та здійснювати торгівлю біржовими товарами за свій рахунок або за рахунок третіх осіб і бути стороною біржової угоди (договору) щодо купівлі-продажу біржових товарів, що укладаються на цій товарній біржі.</w:t>
            </w:r>
            <w:bookmarkEnd w:id="2189"/>
          </w:p>
        </w:tc>
        <w:tc>
          <w:tcPr>
            <w:tcW w:w="3686" w:type="dxa"/>
          </w:tcPr>
          <w:p w14:paraId="3FE93194" w14:textId="6B7656EA"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1144</w:t>
            </w:r>
            <w:r w:rsidRPr="00286216">
              <w:rPr>
                <w:color w:val="000000" w:themeColor="text1"/>
                <w:spacing w:val="-2"/>
              </w:rPr>
              <w:fldChar w:fldCharType="end"/>
            </w:r>
            <w:r w:rsidRPr="00286216">
              <w:rPr>
                <w:color w:val="000000" w:themeColor="text1"/>
                <w:spacing w:val="-2"/>
              </w:rPr>
              <w:t>-Н.д.Шахов С.В. (Реєстр.картка №114)</w:t>
            </w:r>
          </w:p>
          <w:p w14:paraId="701FD49A" w14:textId="77777777" w:rsidR="001A75A4" w:rsidRPr="00286216" w:rsidRDefault="001A75A4" w:rsidP="001A75A4">
            <w:pPr>
              <w:pStyle w:val="StyleProp"/>
              <w:spacing w:line="180" w:lineRule="exact"/>
              <w:rPr>
                <w:color w:val="000000" w:themeColor="text1"/>
                <w:spacing w:val="-1"/>
              </w:rPr>
            </w:pPr>
            <w:r w:rsidRPr="00286216">
              <w:rPr>
                <w:color w:val="000000" w:themeColor="text1"/>
                <w:spacing w:val="-1"/>
              </w:rPr>
              <w:t>Абз. 1 ч. 4</w:t>
            </w:r>
            <w:r w:rsidRPr="00286216">
              <w:rPr>
                <w:color w:val="000000" w:themeColor="text1"/>
                <w:spacing w:val="-1"/>
                <w:sz w:val="16"/>
                <w:szCs w:val="16"/>
              </w:rPr>
              <w:t xml:space="preserve"> </w:t>
            </w:r>
            <w:r w:rsidRPr="00286216">
              <w:rPr>
                <w:color w:val="000000" w:themeColor="text1"/>
                <w:spacing w:val="-1"/>
              </w:rPr>
              <w:t>ст. 3</w:t>
            </w:r>
            <w:r w:rsidRPr="00286216">
              <w:rPr>
                <w:color w:val="000000" w:themeColor="text1"/>
                <w:spacing w:val="-1"/>
                <w:sz w:val="16"/>
                <w:szCs w:val="16"/>
              </w:rPr>
              <w:t xml:space="preserve"> </w:t>
            </w:r>
            <w:r w:rsidRPr="00286216">
              <w:rPr>
                <w:color w:val="000000" w:themeColor="text1"/>
                <w:spacing w:val="-1"/>
              </w:rPr>
              <w:t>викласти у такій редакції:</w:t>
            </w:r>
          </w:p>
          <w:p w14:paraId="102C0FFC"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"4. Товарна біржа не може бути учасником біржових торгів та здійснювати торгівлю біржовими товарами за свій рахунок або за рахунок третіх осіб і бути стороною біржової угоди (договору) щодо купівлі-продажу біржових товарів, що укладаються на цій товарній біржі окрім, як при виконанні товарною біржою клірингової діяльності центрального контрагента відповідно до цього Закону (або іншого, ніж центральний контрагент, виду комерційного посередництва, не забороненого законом та/або  комерційного представництва) у цілях підвищення рівня гарантованості та оперативності здійснення розрахунків і поставки за біржовими угодами (договорами) згідно з правилами товарної біржі".</w:t>
            </w:r>
          </w:p>
        </w:tc>
        <w:tc>
          <w:tcPr>
            <w:tcW w:w="1987" w:type="dxa"/>
          </w:tcPr>
          <w:p w14:paraId="056DE9BA" w14:textId="77777777" w:rsidR="001A75A4" w:rsidRPr="00286216" w:rsidRDefault="001A75A4" w:rsidP="001A75A4">
            <w:pPr>
              <w:pStyle w:val="StyleWisnow"/>
              <w:rPr>
                <w:color w:val="000000" w:themeColor="text1"/>
              </w:rPr>
            </w:pPr>
            <w:r w:rsidRPr="00286216">
              <w:rPr>
                <w:color w:val="000000" w:themeColor="text1"/>
              </w:rPr>
              <w:t>Відхилено</w:t>
            </w:r>
          </w:p>
          <w:p w14:paraId="64AC3A5E" w14:textId="6BDFFA72" w:rsidR="001A75A4" w:rsidRPr="00286216" w:rsidRDefault="001A75A4" w:rsidP="001A75A4">
            <w:pPr>
              <w:pStyle w:val="StyleWisnow"/>
              <w:spacing w:line="180" w:lineRule="exact"/>
              <w:rPr>
                <w:color w:val="000000" w:themeColor="text1"/>
              </w:rPr>
            </w:pPr>
            <w:r w:rsidRPr="00286216">
              <w:rPr>
                <w:color w:val="000000" w:themeColor="text1"/>
              </w:rPr>
              <w:t>клірингова діяльність центрального контрагента є видом діяльності, що не може бути поєднаним з діяльністю, не пов’язаною з визначення зобов’язань</w:t>
            </w:r>
          </w:p>
        </w:tc>
        <w:tc>
          <w:tcPr>
            <w:tcW w:w="4818" w:type="dxa"/>
          </w:tcPr>
          <w:p w14:paraId="3E481206" w14:textId="5D0F95B8" w:rsidR="001A75A4" w:rsidRPr="00286216" w:rsidRDefault="001A75A4" w:rsidP="001A75A4">
            <w:pPr>
              <w:pStyle w:val="StyleZakonu"/>
              <w:rPr>
                <w:color w:val="000000" w:themeColor="text1"/>
              </w:rPr>
            </w:pPr>
            <w:r w:rsidRPr="00286216">
              <w:rPr>
                <w:color w:val="000000" w:themeColor="text1"/>
              </w:rPr>
              <w:t>4. Товарна біржа не може бути учасником біржових торгів та здійснювати торгівлю біржовими товарами за власний рахунок або за рахунок третіх осіб і бути стороною біржової угоди (договору) щодо купівлі-продажу біржових товарів, що укладається на такій товарній біржі.</w:t>
            </w:r>
          </w:p>
        </w:tc>
      </w:tr>
      <w:tr w:rsidR="001A75A4" w:rsidRPr="00286216" w14:paraId="51D2083D" w14:textId="77777777" w:rsidTr="00091AA5">
        <w:tc>
          <w:tcPr>
            <w:tcW w:w="576" w:type="dxa"/>
          </w:tcPr>
          <w:p w14:paraId="01756A20" w14:textId="77777777" w:rsidR="001A75A4" w:rsidRPr="00286216" w:rsidRDefault="001A75A4" w:rsidP="001A75A4">
            <w:pPr>
              <w:pStyle w:val="StyleWisnow"/>
              <w:rPr>
                <w:color w:val="000000" w:themeColor="text1"/>
              </w:rPr>
            </w:pPr>
            <w:bookmarkStart w:id="2190" w:name="n2397" w:colFirst="0" w:colLast="0"/>
            <w:bookmarkEnd w:id="2188"/>
            <w:r w:rsidRPr="00286216">
              <w:rPr>
                <w:color w:val="000000" w:themeColor="text1"/>
              </w:rPr>
              <w:t>2397.</w:t>
            </w:r>
          </w:p>
        </w:tc>
        <w:tc>
          <w:tcPr>
            <w:tcW w:w="4818" w:type="dxa"/>
          </w:tcPr>
          <w:p w14:paraId="1074F903" w14:textId="77777777" w:rsidR="001A75A4" w:rsidRPr="00286216" w:rsidRDefault="001A75A4" w:rsidP="001A75A4">
            <w:pPr>
              <w:pStyle w:val="StyleZakonu"/>
              <w:rPr>
                <w:color w:val="000000" w:themeColor="text1"/>
                <w:lang w:eastAsia="uk-UA"/>
              </w:rPr>
            </w:pPr>
            <w:r w:rsidRPr="00286216">
              <w:rPr>
                <w:color w:val="000000" w:themeColor="text1"/>
                <w:lang w:eastAsia="uk-UA"/>
              </w:rPr>
              <w:t>Товарна біржа може здійснювати позабіржові операції з біржовим чи іншим товаром у випадках, передбачених законодавством.</w:t>
            </w:r>
          </w:p>
        </w:tc>
        <w:tc>
          <w:tcPr>
            <w:tcW w:w="3686" w:type="dxa"/>
          </w:tcPr>
          <w:p w14:paraId="7281A215" w14:textId="0484476F"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1145</w:t>
            </w:r>
            <w:r w:rsidRPr="00286216">
              <w:rPr>
                <w:color w:val="000000" w:themeColor="text1"/>
                <w:spacing w:val="-2"/>
              </w:rPr>
              <w:fldChar w:fldCharType="end"/>
            </w:r>
            <w:r w:rsidRPr="00286216">
              <w:rPr>
                <w:color w:val="000000" w:themeColor="text1"/>
                <w:spacing w:val="-2"/>
              </w:rPr>
              <w:t>-Н.д.Шахов С.В. (Реєстр.картка №114)</w:t>
            </w:r>
          </w:p>
          <w:p w14:paraId="7233FB98"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Доповнити статтю 3 розділу ІІ після частини 4 новою частиною такого змісту:</w:t>
            </w:r>
          </w:p>
          <w:p w14:paraId="4F47F778"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 xml:space="preserve">"5. Кліринговою діяльністю товарної біржі з визначення зобов’язань за біржовими угодами (біржовими договорами) визнається </w:t>
            </w:r>
            <w:r w:rsidRPr="00286216">
              <w:rPr>
                <w:color w:val="000000" w:themeColor="text1"/>
                <w:spacing w:val="-2"/>
                <w:szCs w:val="18"/>
                <w:lang w:eastAsia="uk-UA"/>
              </w:rPr>
              <w:t>клірингова діяльність, відмінна від клірингової</w:t>
            </w:r>
            <w:r w:rsidRPr="00286216">
              <w:rPr>
                <w:color w:val="000000" w:themeColor="text1"/>
                <w:szCs w:val="18"/>
                <w:lang w:eastAsia="uk-UA"/>
              </w:rPr>
              <w:t xml:space="preserve"> діяльності центрального контрагента, яка передбачає неттінг зустрічних зобов’язань за біржовими угодами (договорами)".</w:t>
            </w:r>
          </w:p>
        </w:tc>
        <w:tc>
          <w:tcPr>
            <w:tcW w:w="1987" w:type="dxa"/>
          </w:tcPr>
          <w:p w14:paraId="16ED9D2C" w14:textId="77777777" w:rsidR="001A75A4" w:rsidRPr="00286216" w:rsidRDefault="001A75A4" w:rsidP="001A75A4">
            <w:pPr>
              <w:pStyle w:val="StyleWisnow"/>
              <w:rPr>
                <w:color w:val="000000" w:themeColor="text1"/>
              </w:rPr>
            </w:pPr>
            <w:r w:rsidRPr="00286216">
              <w:rPr>
                <w:color w:val="000000" w:themeColor="text1"/>
              </w:rPr>
              <w:t xml:space="preserve">Відхилено </w:t>
            </w:r>
          </w:p>
          <w:p w14:paraId="34B36E03" w14:textId="77777777" w:rsidR="001A75A4" w:rsidRPr="00286216" w:rsidRDefault="001A75A4" w:rsidP="001A75A4">
            <w:pPr>
              <w:pStyle w:val="StyleWisnow"/>
              <w:rPr>
                <w:color w:val="000000" w:themeColor="text1"/>
                <w:lang w:eastAsia="uk-UA"/>
              </w:rPr>
            </w:pPr>
            <w:r w:rsidRPr="00286216">
              <w:rPr>
                <w:color w:val="000000" w:themeColor="text1"/>
              </w:rPr>
              <w:t>Регулювання клірингової діяльності  передбачено законом про ринки капіталу</w:t>
            </w:r>
          </w:p>
        </w:tc>
        <w:tc>
          <w:tcPr>
            <w:tcW w:w="4818" w:type="dxa"/>
          </w:tcPr>
          <w:p w14:paraId="62903870" w14:textId="38124D9D" w:rsidR="001A75A4" w:rsidRPr="00286216" w:rsidRDefault="001A75A4" w:rsidP="001A75A4">
            <w:pPr>
              <w:pStyle w:val="StyleZakonu"/>
              <w:rPr>
                <w:color w:val="000000" w:themeColor="text1"/>
                <w:lang w:eastAsia="uk-UA"/>
              </w:rPr>
            </w:pPr>
            <w:r w:rsidRPr="00286216">
              <w:rPr>
                <w:color w:val="000000" w:themeColor="text1"/>
                <w:lang w:eastAsia="uk-UA"/>
              </w:rPr>
              <w:t>Товарна біржа може здійснювати позабіржові операції з біржовим чи іншим товаром у випадках, передбачених законодавством.</w:t>
            </w:r>
          </w:p>
        </w:tc>
      </w:tr>
      <w:tr w:rsidR="001A75A4" w:rsidRPr="00286216" w14:paraId="66628FD6" w14:textId="77777777" w:rsidTr="00091AA5">
        <w:tc>
          <w:tcPr>
            <w:tcW w:w="576" w:type="dxa"/>
          </w:tcPr>
          <w:p w14:paraId="0192E70D" w14:textId="77777777" w:rsidR="001A75A4" w:rsidRPr="00286216" w:rsidRDefault="001A75A4" w:rsidP="001A75A4">
            <w:pPr>
              <w:pStyle w:val="StyleWisnow"/>
              <w:rPr>
                <w:color w:val="000000" w:themeColor="text1"/>
              </w:rPr>
            </w:pPr>
            <w:bookmarkStart w:id="2191" w:name="n2398" w:colFirst="0" w:colLast="0"/>
            <w:bookmarkEnd w:id="2190"/>
            <w:r w:rsidRPr="00286216">
              <w:rPr>
                <w:color w:val="000000" w:themeColor="text1"/>
              </w:rPr>
              <w:t>2398.</w:t>
            </w:r>
          </w:p>
        </w:tc>
        <w:tc>
          <w:tcPr>
            <w:tcW w:w="4818" w:type="dxa"/>
          </w:tcPr>
          <w:p w14:paraId="7BB69DDC"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5. </w:t>
            </w:r>
            <w:r w:rsidRPr="00286216">
              <w:rPr>
                <w:color w:val="000000" w:themeColor="text1"/>
              </w:rPr>
              <w:t xml:space="preserve">Слова "товарна біржа" та похідні від них дозволяється використовувати у назві лише </w:t>
            </w:r>
            <w:r w:rsidRPr="00286216">
              <w:rPr>
                <w:color w:val="000000" w:themeColor="text1"/>
              </w:rPr>
              <w:lastRenderedPageBreak/>
              <w:t>юридичним особам, які провадять професійну діяльність на товарних ринках згідно цього Закону.</w:t>
            </w:r>
            <w:bookmarkStart w:id="2192" w:name="o18"/>
            <w:bookmarkStart w:id="2193" w:name="o19"/>
            <w:bookmarkStart w:id="2194" w:name="o20"/>
            <w:bookmarkStart w:id="2195" w:name="o21"/>
            <w:bookmarkEnd w:id="2192"/>
            <w:bookmarkEnd w:id="2193"/>
            <w:bookmarkEnd w:id="2194"/>
            <w:bookmarkEnd w:id="2195"/>
          </w:p>
        </w:tc>
        <w:tc>
          <w:tcPr>
            <w:tcW w:w="3686" w:type="dxa"/>
          </w:tcPr>
          <w:p w14:paraId="27D2ED59" w14:textId="7F7E2A33" w:rsidR="001A75A4" w:rsidRPr="00286216" w:rsidRDefault="001A75A4" w:rsidP="001A75A4">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1146</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1E8280D"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rPr>
              <w:t xml:space="preserve">Доповнити частину п’яту статті 3 перед </w:t>
            </w:r>
            <w:r w:rsidRPr="00286216">
              <w:rPr>
                <w:color w:val="000000" w:themeColor="text1"/>
              </w:rPr>
              <w:lastRenderedPageBreak/>
              <w:t>словом «товарних» словом «організованих»</w:t>
            </w:r>
          </w:p>
        </w:tc>
        <w:tc>
          <w:tcPr>
            <w:tcW w:w="1987" w:type="dxa"/>
          </w:tcPr>
          <w:p w14:paraId="225567D2" w14:textId="77777777" w:rsidR="001A75A4" w:rsidRPr="00286216" w:rsidRDefault="001A75A4" w:rsidP="001A75A4">
            <w:pPr>
              <w:pStyle w:val="StyleWisnow"/>
              <w:rPr>
                <w:color w:val="000000" w:themeColor="text1"/>
                <w:lang w:eastAsia="uk-UA"/>
              </w:rPr>
            </w:pPr>
            <w:r w:rsidRPr="00286216">
              <w:rPr>
                <w:color w:val="000000" w:themeColor="text1"/>
                <w:lang w:eastAsia="uk-UA"/>
              </w:rPr>
              <w:lastRenderedPageBreak/>
              <w:t>Враховано</w:t>
            </w:r>
          </w:p>
        </w:tc>
        <w:tc>
          <w:tcPr>
            <w:tcW w:w="4818" w:type="dxa"/>
          </w:tcPr>
          <w:p w14:paraId="417CA8BF" w14:textId="5AF38B80" w:rsidR="001A75A4" w:rsidRPr="00286216" w:rsidRDefault="001A75A4" w:rsidP="001A75A4">
            <w:pPr>
              <w:pStyle w:val="StyleZakonu"/>
              <w:rPr>
                <w:color w:val="000000" w:themeColor="text1"/>
                <w:lang w:eastAsia="uk-UA"/>
              </w:rPr>
            </w:pPr>
            <w:r w:rsidRPr="00286216">
              <w:rPr>
                <w:color w:val="000000" w:themeColor="text1"/>
                <w:lang w:eastAsia="uk-UA"/>
              </w:rPr>
              <w:t xml:space="preserve">5. </w:t>
            </w:r>
            <w:r w:rsidRPr="00286216">
              <w:rPr>
                <w:color w:val="000000" w:themeColor="text1"/>
              </w:rPr>
              <w:t xml:space="preserve">Слова "товарна біржа", "оператор організованого ринку", «організований ринок» та </w:t>
            </w:r>
            <w:r w:rsidRPr="00286216">
              <w:rPr>
                <w:color w:val="000000" w:themeColor="text1"/>
              </w:rPr>
              <w:lastRenderedPageBreak/>
              <w:t>похідні від них дозволяється використовувати у назві лише юридичним особам, які отримали ліцензію на провадження діяльності з організації торгівлі продукцією на товарних біржах, відповідно до вимог цього Закону.</w:t>
            </w:r>
          </w:p>
        </w:tc>
      </w:tr>
      <w:tr w:rsidR="001A75A4" w:rsidRPr="00286216" w14:paraId="7794DBD8" w14:textId="77777777" w:rsidTr="00091AA5">
        <w:tc>
          <w:tcPr>
            <w:tcW w:w="576" w:type="dxa"/>
          </w:tcPr>
          <w:p w14:paraId="6E34E685" w14:textId="77777777" w:rsidR="001A75A4" w:rsidRPr="00286216" w:rsidRDefault="001A75A4" w:rsidP="001A75A4">
            <w:pPr>
              <w:pStyle w:val="StyleWisnow"/>
              <w:rPr>
                <w:color w:val="000000" w:themeColor="text1"/>
              </w:rPr>
            </w:pPr>
            <w:bookmarkStart w:id="2196" w:name="n2399" w:colFirst="0" w:colLast="0"/>
            <w:bookmarkEnd w:id="2191"/>
            <w:r w:rsidRPr="00286216">
              <w:rPr>
                <w:color w:val="000000" w:themeColor="text1"/>
              </w:rPr>
              <w:lastRenderedPageBreak/>
              <w:t>2399.</w:t>
            </w:r>
          </w:p>
        </w:tc>
        <w:tc>
          <w:tcPr>
            <w:tcW w:w="4818" w:type="dxa"/>
          </w:tcPr>
          <w:p w14:paraId="7E7C7E17"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II</w:t>
            </w:r>
          </w:p>
          <w:p w14:paraId="08FE2947" w14:textId="77777777" w:rsidR="001A75A4" w:rsidRPr="00286216" w:rsidRDefault="001A75A4" w:rsidP="001A75A4">
            <w:pPr>
              <w:pStyle w:val="StyleZakonu"/>
              <w:ind w:firstLine="0"/>
              <w:jc w:val="center"/>
              <w:rPr>
                <w:color w:val="000000" w:themeColor="text1"/>
              </w:rPr>
            </w:pPr>
            <w:bookmarkStart w:id="2197" w:name="o48"/>
            <w:bookmarkEnd w:id="2197"/>
            <w:r w:rsidRPr="00286216">
              <w:rPr>
                <w:color w:val="000000" w:themeColor="text1"/>
              </w:rPr>
              <w:t>СТВОРЕННЯ ТА УПРАВЛІННЯ ТОВАРНОЮ БІРЖЕЮ</w:t>
            </w:r>
          </w:p>
        </w:tc>
        <w:tc>
          <w:tcPr>
            <w:tcW w:w="3686" w:type="dxa"/>
          </w:tcPr>
          <w:p w14:paraId="19823215" w14:textId="77777777" w:rsidR="001A75A4" w:rsidRPr="00286216" w:rsidRDefault="001A75A4" w:rsidP="001A75A4">
            <w:pPr>
              <w:pStyle w:val="StyleProp"/>
              <w:spacing w:line="180" w:lineRule="exact"/>
              <w:rPr>
                <w:color w:val="000000" w:themeColor="text1"/>
                <w:szCs w:val="18"/>
                <w:lang w:eastAsia="uk-UA"/>
              </w:rPr>
            </w:pPr>
          </w:p>
        </w:tc>
        <w:tc>
          <w:tcPr>
            <w:tcW w:w="1987" w:type="dxa"/>
          </w:tcPr>
          <w:p w14:paraId="32C80654" w14:textId="77777777" w:rsidR="001A75A4" w:rsidRPr="00286216" w:rsidRDefault="001A75A4" w:rsidP="001A75A4">
            <w:pPr>
              <w:pStyle w:val="StyleWisnow"/>
              <w:rPr>
                <w:color w:val="000000" w:themeColor="text1"/>
              </w:rPr>
            </w:pPr>
          </w:p>
        </w:tc>
        <w:tc>
          <w:tcPr>
            <w:tcW w:w="4818" w:type="dxa"/>
          </w:tcPr>
          <w:p w14:paraId="260860A5"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II</w:t>
            </w:r>
          </w:p>
          <w:p w14:paraId="3D22B55F" w14:textId="2A70695E" w:rsidR="001A75A4" w:rsidRPr="00286216" w:rsidRDefault="001A75A4" w:rsidP="001A75A4">
            <w:pPr>
              <w:pStyle w:val="StyleZakonu"/>
              <w:ind w:firstLine="0"/>
              <w:jc w:val="center"/>
              <w:rPr>
                <w:color w:val="000000" w:themeColor="text1"/>
              </w:rPr>
            </w:pPr>
            <w:r w:rsidRPr="00286216">
              <w:rPr>
                <w:color w:val="000000" w:themeColor="text1"/>
              </w:rPr>
              <w:t>СТВОРЕННЯ ТА УПРАВЛІННЯ ТОВАРНОЮ БІРЖЕЮ</w:t>
            </w:r>
          </w:p>
        </w:tc>
      </w:tr>
      <w:tr w:rsidR="001A75A4" w:rsidRPr="00286216" w14:paraId="4838C7E9" w14:textId="77777777" w:rsidTr="00091AA5">
        <w:tc>
          <w:tcPr>
            <w:tcW w:w="576" w:type="dxa"/>
          </w:tcPr>
          <w:p w14:paraId="24C2E19C" w14:textId="77777777" w:rsidR="001A75A4" w:rsidRPr="00286216" w:rsidRDefault="001A75A4" w:rsidP="001A75A4">
            <w:pPr>
              <w:pStyle w:val="StyleWisnow"/>
              <w:rPr>
                <w:color w:val="000000" w:themeColor="text1"/>
              </w:rPr>
            </w:pPr>
            <w:bookmarkStart w:id="2198" w:name="n2400" w:colFirst="0" w:colLast="0"/>
            <w:bookmarkEnd w:id="2196"/>
            <w:r w:rsidRPr="00286216">
              <w:rPr>
                <w:color w:val="000000" w:themeColor="text1"/>
              </w:rPr>
              <w:t>2400.</w:t>
            </w:r>
          </w:p>
        </w:tc>
        <w:tc>
          <w:tcPr>
            <w:tcW w:w="4818" w:type="dxa"/>
          </w:tcPr>
          <w:p w14:paraId="6355E620" w14:textId="77777777" w:rsidR="001A75A4" w:rsidRPr="00286216" w:rsidRDefault="001A75A4" w:rsidP="001A75A4">
            <w:pPr>
              <w:pStyle w:val="StyleZakonu"/>
              <w:rPr>
                <w:color w:val="000000" w:themeColor="text1"/>
                <w:shd w:val="clear" w:color="auto" w:fill="FFFFFF"/>
              </w:rPr>
            </w:pPr>
            <w:bookmarkStart w:id="2199" w:name="o49"/>
            <w:bookmarkEnd w:id="2199"/>
            <w:r w:rsidRPr="00286216">
              <w:rPr>
                <w:color w:val="000000" w:themeColor="text1"/>
              </w:rPr>
              <w:t xml:space="preserve">Стаття 4. </w:t>
            </w:r>
            <w:r w:rsidRPr="00286216">
              <w:rPr>
                <w:color w:val="000000" w:themeColor="text1"/>
                <w:shd w:val="clear" w:color="auto" w:fill="FFFFFF"/>
              </w:rPr>
              <w:t>Загальні умови створення товарної біржі</w:t>
            </w:r>
          </w:p>
        </w:tc>
        <w:tc>
          <w:tcPr>
            <w:tcW w:w="3686" w:type="dxa"/>
          </w:tcPr>
          <w:p w14:paraId="716A4C43" w14:textId="77777777" w:rsidR="001A75A4" w:rsidRPr="00286216" w:rsidRDefault="001A75A4" w:rsidP="001A75A4">
            <w:pPr>
              <w:pStyle w:val="StyleProp"/>
              <w:rPr>
                <w:color w:val="000000" w:themeColor="text1"/>
                <w:szCs w:val="18"/>
              </w:rPr>
            </w:pPr>
          </w:p>
        </w:tc>
        <w:tc>
          <w:tcPr>
            <w:tcW w:w="1987" w:type="dxa"/>
          </w:tcPr>
          <w:p w14:paraId="15FCA319" w14:textId="77777777" w:rsidR="001A75A4" w:rsidRPr="00286216" w:rsidRDefault="001A75A4" w:rsidP="001A75A4">
            <w:pPr>
              <w:pStyle w:val="StyleWisnow"/>
              <w:rPr>
                <w:color w:val="000000" w:themeColor="text1"/>
              </w:rPr>
            </w:pPr>
          </w:p>
        </w:tc>
        <w:tc>
          <w:tcPr>
            <w:tcW w:w="4818" w:type="dxa"/>
          </w:tcPr>
          <w:p w14:paraId="1809BA32" w14:textId="17969E1B"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4. </w:t>
            </w:r>
            <w:r w:rsidRPr="00286216">
              <w:rPr>
                <w:color w:val="000000" w:themeColor="text1"/>
                <w:shd w:val="clear" w:color="auto" w:fill="FFFFFF"/>
              </w:rPr>
              <w:t>Загальні умови створення товарної біржі</w:t>
            </w:r>
          </w:p>
        </w:tc>
      </w:tr>
      <w:tr w:rsidR="001A75A4" w:rsidRPr="00286216" w14:paraId="1775567B" w14:textId="77777777" w:rsidTr="00091AA5">
        <w:tc>
          <w:tcPr>
            <w:tcW w:w="576" w:type="dxa"/>
          </w:tcPr>
          <w:p w14:paraId="455A14E1" w14:textId="77777777" w:rsidR="001A75A4" w:rsidRPr="00286216" w:rsidRDefault="001A75A4" w:rsidP="001A75A4">
            <w:pPr>
              <w:pStyle w:val="StyleWisnow"/>
              <w:rPr>
                <w:color w:val="000000" w:themeColor="text1"/>
              </w:rPr>
            </w:pPr>
            <w:bookmarkStart w:id="2200" w:name="n2401" w:colFirst="0" w:colLast="0"/>
            <w:bookmarkEnd w:id="2198"/>
            <w:r w:rsidRPr="00286216">
              <w:rPr>
                <w:color w:val="000000" w:themeColor="text1"/>
              </w:rPr>
              <w:t>2401.</w:t>
            </w:r>
          </w:p>
        </w:tc>
        <w:tc>
          <w:tcPr>
            <w:tcW w:w="4818" w:type="dxa"/>
          </w:tcPr>
          <w:p w14:paraId="2BDFD069" w14:textId="77777777" w:rsidR="001A75A4" w:rsidRPr="00286216" w:rsidRDefault="001A75A4" w:rsidP="001A75A4">
            <w:pPr>
              <w:pStyle w:val="StyleZakonu"/>
              <w:rPr>
                <w:color w:val="000000" w:themeColor="text1"/>
              </w:rPr>
            </w:pPr>
            <w:bookmarkStart w:id="2201" w:name="o50"/>
            <w:bookmarkEnd w:id="2201"/>
            <w:r w:rsidRPr="00286216">
              <w:rPr>
                <w:color w:val="000000" w:themeColor="text1"/>
              </w:rPr>
              <w:t>1. Товарна біржа здійснює підприємницьку діяльність, має на меті одержання прибутку та провадить свою діяльність відповідно до Цивільного та Господарського кодексів України, законів, що регулюють питання утворення, діяльності та припинення юридичних осіб, з урахуванням особливостей, визначених цим Законом.</w:t>
            </w:r>
          </w:p>
        </w:tc>
        <w:tc>
          <w:tcPr>
            <w:tcW w:w="3686" w:type="dxa"/>
          </w:tcPr>
          <w:p w14:paraId="444B095C" w14:textId="13EF69B1" w:rsidR="001A75A4" w:rsidRPr="00286216" w:rsidRDefault="001A75A4" w:rsidP="001A75A4">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1147</w:t>
            </w:r>
            <w:r w:rsidRPr="00286216">
              <w:rPr>
                <w:color w:val="000000" w:themeColor="text1"/>
                <w:spacing w:val="-10"/>
              </w:rPr>
              <w:fldChar w:fldCharType="end"/>
            </w:r>
            <w:r w:rsidRPr="00286216">
              <w:rPr>
                <w:color w:val="000000" w:themeColor="text1"/>
                <w:spacing w:val="-10"/>
              </w:rPr>
              <w:t>-Н.д.Гетманцев Д.О.(Реєстр.картка №245)</w:t>
            </w:r>
          </w:p>
          <w:p w14:paraId="0DB2F7A0" w14:textId="77777777" w:rsidR="001A75A4" w:rsidRPr="00286216" w:rsidRDefault="001A75A4" w:rsidP="001A75A4">
            <w:pPr>
              <w:pStyle w:val="StyleProp"/>
              <w:spacing w:line="190" w:lineRule="exact"/>
              <w:rPr>
                <w:color w:val="000000" w:themeColor="text1"/>
              </w:rPr>
            </w:pPr>
            <w:r w:rsidRPr="00286216">
              <w:rPr>
                <w:color w:val="000000" w:themeColor="text1"/>
              </w:rPr>
              <w:t>У Розділі 2, яким пропонується внести зміни до Закону України «Про товарну біржу» шляхом викладення його новій редакції у статті 4 у частині першій слова «Цивільного та Господарського кодексів України, законів, що регулюють питання утворення, діяльності та припинення юридичних осіб,» замінити словами «законодавства України».</w:t>
            </w:r>
          </w:p>
        </w:tc>
        <w:tc>
          <w:tcPr>
            <w:tcW w:w="1987" w:type="dxa"/>
          </w:tcPr>
          <w:p w14:paraId="25D26980"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14262C11" w14:textId="08635CB1" w:rsidR="001A75A4" w:rsidRPr="00286216" w:rsidRDefault="001A75A4" w:rsidP="001A75A4">
            <w:pPr>
              <w:pStyle w:val="StyleZakonu"/>
              <w:rPr>
                <w:color w:val="000000" w:themeColor="text1"/>
              </w:rPr>
            </w:pPr>
            <w:r w:rsidRPr="00286216">
              <w:rPr>
                <w:color w:val="000000" w:themeColor="text1"/>
              </w:rPr>
              <w:t>1. Товарна біржа здійснює підприємницьку діяльність, має на меті одержання прибутку та провадить свою діяльність відповідно до законодавства України з урахуванням особливостей, визначених цим Законом.</w:t>
            </w:r>
          </w:p>
        </w:tc>
      </w:tr>
      <w:tr w:rsidR="001A75A4" w:rsidRPr="00286216" w14:paraId="678822B8" w14:textId="77777777" w:rsidTr="00091AA5">
        <w:tc>
          <w:tcPr>
            <w:tcW w:w="576" w:type="dxa"/>
          </w:tcPr>
          <w:p w14:paraId="0B83590B" w14:textId="77777777" w:rsidR="001A75A4" w:rsidRPr="00286216" w:rsidRDefault="001A75A4" w:rsidP="001A75A4">
            <w:pPr>
              <w:pStyle w:val="StyleWisnow"/>
              <w:rPr>
                <w:color w:val="000000" w:themeColor="text1"/>
              </w:rPr>
            </w:pPr>
            <w:bookmarkStart w:id="2202" w:name="n2402" w:colFirst="0" w:colLast="0"/>
            <w:bookmarkEnd w:id="2200"/>
            <w:r w:rsidRPr="00286216">
              <w:rPr>
                <w:color w:val="000000" w:themeColor="text1"/>
              </w:rPr>
              <w:t>2402.</w:t>
            </w:r>
          </w:p>
        </w:tc>
        <w:tc>
          <w:tcPr>
            <w:tcW w:w="4818" w:type="dxa"/>
          </w:tcPr>
          <w:p w14:paraId="48FBC2DA" w14:textId="77777777" w:rsidR="001A75A4" w:rsidRPr="00286216" w:rsidRDefault="001A75A4" w:rsidP="001A75A4">
            <w:pPr>
              <w:pStyle w:val="StyleZakonu"/>
              <w:rPr>
                <w:color w:val="000000" w:themeColor="text1"/>
              </w:rPr>
            </w:pPr>
            <w:bookmarkStart w:id="2203" w:name="o51"/>
            <w:bookmarkEnd w:id="2203"/>
            <w:r w:rsidRPr="00286216">
              <w:rPr>
                <w:color w:val="000000" w:themeColor="text1"/>
              </w:rPr>
              <w:t>2. Засновниками та акціонерами (учасниками) товарної біржі можуть бути фізичні та юридичні особи - резиденти та нерезиденти.</w:t>
            </w:r>
          </w:p>
        </w:tc>
        <w:tc>
          <w:tcPr>
            <w:tcW w:w="3686" w:type="dxa"/>
          </w:tcPr>
          <w:p w14:paraId="7D6F0673" w14:textId="77777777" w:rsidR="001A75A4" w:rsidRPr="00286216" w:rsidRDefault="001A75A4" w:rsidP="001A75A4">
            <w:pPr>
              <w:pStyle w:val="StyleProp"/>
              <w:spacing w:line="180" w:lineRule="exact"/>
              <w:rPr>
                <w:color w:val="000000" w:themeColor="text1"/>
                <w:szCs w:val="18"/>
                <w:lang w:eastAsia="uk-UA"/>
              </w:rPr>
            </w:pPr>
          </w:p>
        </w:tc>
        <w:tc>
          <w:tcPr>
            <w:tcW w:w="1987" w:type="dxa"/>
          </w:tcPr>
          <w:p w14:paraId="27576124" w14:textId="77777777" w:rsidR="001A75A4" w:rsidRPr="00286216" w:rsidRDefault="001A75A4" w:rsidP="001A75A4">
            <w:pPr>
              <w:pStyle w:val="StyleWisnow"/>
              <w:rPr>
                <w:color w:val="000000" w:themeColor="text1"/>
                <w:lang w:eastAsia="uk-UA"/>
              </w:rPr>
            </w:pPr>
          </w:p>
        </w:tc>
        <w:tc>
          <w:tcPr>
            <w:tcW w:w="4818" w:type="dxa"/>
          </w:tcPr>
          <w:p w14:paraId="5E366330" w14:textId="6184814E" w:rsidR="001A75A4" w:rsidRPr="00286216" w:rsidRDefault="001A75A4" w:rsidP="001A75A4">
            <w:pPr>
              <w:pStyle w:val="StyleZakonu"/>
              <w:rPr>
                <w:color w:val="000000" w:themeColor="text1"/>
              </w:rPr>
            </w:pPr>
            <w:r w:rsidRPr="00286216">
              <w:rPr>
                <w:color w:val="000000" w:themeColor="text1"/>
              </w:rPr>
              <w:t>2. Засновниками та акціонерами (учасниками) товарної біржі можуть бути фізичні та юридичні особи - резиденти та нерезиденти.</w:t>
            </w:r>
          </w:p>
        </w:tc>
      </w:tr>
      <w:tr w:rsidR="001A75A4" w:rsidRPr="00286216" w14:paraId="761C4F59" w14:textId="77777777" w:rsidTr="00091AA5">
        <w:tc>
          <w:tcPr>
            <w:tcW w:w="576" w:type="dxa"/>
          </w:tcPr>
          <w:p w14:paraId="6CA8D777" w14:textId="77777777" w:rsidR="001A75A4" w:rsidRPr="00286216" w:rsidRDefault="001A75A4" w:rsidP="001A75A4">
            <w:pPr>
              <w:pStyle w:val="StyleWisnow"/>
              <w:rPr>
                <w:color w:val="000000" w:themeColor="text1"/>
              </w:rPr>
            </w:pPr>
            <w:bookmarkStart w:id="2204" w:name="n2403" w:colFirst="0" w:colLast="0"/>
            <w:bookmarkEnd w:id="2202"/>
            <w:r w:rsidRPr="00286216">
              <w:rPr>
                <w:color w:val="000000" w:themeColor="text1"/>
              </w:rPr>
              <w:t>2403.</w:t>
            </w:r>
          </w:p>
        </w:tc>
        <w:tc>
          <w:tcPr>
            <w:tcW w:w="4818" w:type="dxa"/>
          </w:tcPr>
          <w:p w14:paraId="245EDC47" w14:textId="77777777" w:rsidR="001A75A4" w:rsidRPr="00286216" w:rsidRDefault="001A75A4" w:rsidP="001A75A4">
            <w:pPr>
              <w:pStyle w:val="StyleZakonu"/>
              <w:rPr>
                <w:color w:val="000000" w:themeColor="text1"/>
                <w:lang w:eastAsia="uk-UA"/>
              </w:rPr>
            </w:pPr>
            <w:r w:rsidRPr="00286216">
              <w:rPr>
                <w:color w:val="000000" w:themeColor="text1"/>
                <w:lang w:eastAsia="uk-UA"/>
              </w:rPr>
              <w:t>Національна комісія з цінних паперів та фондового ринку визначає умови отримання іноземними юридичними особами ліцензії на провадження діяльності з організації торгівлі продукцією на товарних біржах.</w:t>
            </w:r>
          </w:p>
        </w:tc>
        <w:tc>
          <w:tcPr>
            <w:tcW w:w="3686" w:type="dxa"/>
          </w:tcPr>
          <w:p w14:paraId="663566EF" w14:textId="09226CAF" w:rsidR="001A75A4" w:rsidRPr="00286216" w:rsidRDefault="001A75A4" w:rsidP="001A75A4">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1148</w:t>
            </w:r>
            <w:r w:rsidRPr="00286216">
              <w:rPr>
                <w:color w:val="000000" w:themeColor="text1"/>
                <w:spacing w:val="-6"/>
                <w:szCs w:val="18"/>
              </w:rPr>
              <w:fldChar w:fldCharType="end"/>
            </w:r>
            <w:r w:rsidRPr="00286216">
              <w:rPr>
                <w:color w:val="000000" w:themeColor="text1"/>
                <w:spacing w:val="-6"/>
                <w:szCs w:val="18"/>
              </w:rPr>
              <w:t>-Н.д.Шахов С.В. (Реєстр.картка №114)</w:t>
            </w:r>
          </w:p>
          <w:p w14:paraId="29BAC22E"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Абзац другий частини другої статті 4 розділу ІІ виключити.</w:t>
            </w:r>
          </w:p>
        </w:tc>
        <w:tc>
          <w:tcPr>
            <w:tcW w:w="1987" w:type="dxa"/>
          </w:tcPr>
          <w:p w14:paraId="7CB83300" w14:textId="77777777" w:rsidR="001A75A4" w:rsidRPr="00286216" w:rsidRDefault="001A75A4" w:rsidP="001A75A4">
            <w:pPr>
              <w:pStyle w:val="StyleWisnow"/>
              <w:rPr>
                <w:color w:val="000000" w:themeColor="text1"/>
              </w:rPr>
            </w:pPr>
            <w:r w:rsidRPr="00286216">
              <w:rPr>
                <w:color w:val="000000" w:themeColor="text1"/>
              </w:rPr>
              <w:t xml:space="preserve">Відхилено </w:t>
            </w:r>
          </w:p>
          <w:p w14:paraId="41899477" w14:textId="2BDBFC94" w:rsidR="001A75A4" w:rsidRPr="00286216" w:rsidRDefault="001A75A4" w:rsidP="001A75A4">
            <w:pPr>
              <w:pStyle w:val="StyleWisnow"/>
              <w:spacing w:line="180" w:lineRule="exact"/>
              <w:rPr>
                <w:color w:val="000000" w:themeColor="text1"/>
                <w:lang w:eastAsia="uk-UA"/>
              </w:rPr>
            </w:pPr>
            <w:r w:rsidRPr="00286216">
              <w:rPr>
                <w:color w:val="000000" w:themeColor="text1"/>
              </w:rPr>
              <w:t>позаяк за Угодою про Асоціацію іноземні компанії можуть працювати на українському ринку капіталу, Закон повинен наділяти НКЦПФР можливостю регулювати їх діяльність в Україні, насамперед, через ліцензійні умови</w:t>
            </w:r>
          </w:p>
        </w:tc>
        <w:tc>
          <w:tcPr>
            <w:tcW w:w="4818" w:type="dxa"/>
          </w:tcPr>
          <w:p w14:paraId="561170AC" w14:textId="3E8B8F4F" w:rsidR="001A75A4" w:rsidRPr="00286216" w:rsidRDefault="001A75A4" w:rsidP="001A75A4">
            <w:pPr>
              <w:pStyle w:val="StyleZakonu"/>
              <w:rPr>
                <w:color w:val="000000" w:themeColor="text1"/>
                <w:lang w:eastAsia="uk-UA"/>
              </w:rPr>
            </w:pPr>
            <w:r w:rsidRPr="00286216">
              <w:rPr>
                <w:color w:val="000000" w:themeColor="text1"/>
                <w:lang w:eastAsia="uk-UA"/>
              </w:rPr>
              <w:t>Національна комісія з цінних паперів та фондового ринку визначає умови отримання іноземними юридичними особами ліцензії на провадження діяльності з організації торгівлі продукцією на товарних біржах.</w:t>
            </w:r>
          </w:p>
        </w:tc>
      </w:tr>
      <w:tr w:rsidR="001A75A4" w:rsidRPr="00286216" w14:paraId="1F88C98F" w14:textId="77777777" w:rsidTr="00091AA5">
        <w:tc>
          <w:tcPr>
            <w:tcW w:w="576" w:type="dxa"/>
          </w:tcPr>
          <w:p w14:paraId="371CF382" w14:textId="77777777" w:rsidR="001A75A4" w:rsidRPr="00286216" w:rsidRDefault="001A75A4" w:rsidP="001A75A4">
            <w:pPr>
              <w:pStyle w:val="StyleWisnow"/>
              <w:rPr>
                <w:color w:val="000000" w:themeColor="text1"/>
              </w:rPr>
            </w:pPr>
            <w:bookmarkStart w:id="2205" w:name="n2404" w:colFirst="0" w:colLast="0"/>
            <w:bookmarkEnd w:id="2204"/>
            <w:r w:rsidRPr="00286216">
              <w:rPr>
                <w:color w:val="000000" w:themeColor="text1"/>
              </w:rPr>
              <w:t>2404.</w:t>
            </w:r>
          </w:p>
        </w:tc>
        <w:tc>
          <w:tcPr>
            <w:tcW w:w="4818" w:type="dxa"/>
          </w:tcPr>
          <w:p w14:paraId="6CB68489" w14:textId="77777777" w:rsidR="001A75A4" w:rsidRPr="00286216" w:rsidRDefault="001A75A4" w:rsidP="001A75A4">
            <w:pPr>
              <w:pStyle w:val="StyleZakonu"/>
              <w:rPr>
                <w:color w:val="000000" w:themeColor="text1"/>
                <w:lang w:eastAsia="uk-UA"/>
              </w:rPr>
            </w:pPr>
            <w:r w:rsidRPr="00286216">
              <w:rPr>
                <w:color w:val="000000" w:themeColor="text1"/>
                <w:lang w:eastAsia="uk-UA"/>
              </w:rPr>
              <w:t>Товарною біржою не може бути іноземна юридична особа, яка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tc>
        <w:tc>
          <w:tcPr>
            <w:tcW w:w="3686" w:type="dxa"/>
          </w:tcPr>
          <w:p w14:paraId="31077275" w14:textId="6A8AF93A" w:rsidR="001A75A4" w:rsidRPr="00286216" w:rsidRDefault="001A75A4" w:rsidP="001A75A4">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1149</w:t>
            </w:r>
            <w:r w:rsidRPr="00286216">
              <w:rPr>
                <w:color w:val="000000" w:themeColor="text1"/>
                <w:spacing w:val="-10"/>
              </w:rPr>
              <w:fldChar w:fldCharType="end"/>
            </w:r>
            <w:r w:rsidRPr="00286216">
              <w:rPr>
                <w:color w:val="000000" w:themeColor="text1"/>
                <w:spacing w:val="-10"/>
              </w:rPr>
              <w:t>-Н.д.Гетманцев Д.О.(Реєстр.картка №245)</w:t>
            </w:r>
          </w:p>
          <w:p w14:paraId="05BEC18F" w14:textId="77777777" w:rsidR="001A75A4" w:rsidRPr="00286216" w:rsidRDefault="001A75A4" w:rsidP="001A75A4">
            <w:pPr>
              <w:pStyle w:val="StyleProp"/>
              <w:spacing w:line="190" w:lineRule="exact"/>
              <w:rPr>
                <w:color w:val="000000" w:themeColor="text1"/>
              </w:rPr>
            </w:pPr>
            <w:r w:rsidRPr="00286216">
              <w:rPr>
                <w:color w:val="000000" w:themeColor="text1"/>
              </w:rPr>
              <w:t>У статті 4 абзац третій-четвертий частини другої викласти у редакції:</w:t>
            </w:r>
          </w:p>
          <w:p w14:paraId="02143045" w14:textId="77777777" w:rsidR="001A75A4" w:rsidRPr="00286216" w:rsidRDefault="001A75A4" w:rsidP="001A75A4">
            <w:pPr>
              <w:pStyle w:val="StyleProp"/>
              <w:spacing w:line="190" w:lineRule="exact"/>
              <w:rPr>
                <w:color w:val="000000" w:themeColor="text1"/>
              </w:rPr>
            </w:pPr>
            <w:r w:rsidRPr="00286216">
              <w:rPr>
                <w:color w:val="000000" w:themeColor="text1"/>
              </w:rPr>
              <w:t>«Товарною біржою не може бути юридична особа, яка відповідає хоча б одному із таких критеріїв:</w:t>
            </w:r>
          </w:p>
          <w:p w14:paraId="5B8C65B6" w14:textId="77777777" w:rsidR="001A75A4" w:rsidRPr="00286216" w:rsidRDefault="001A75A4" w:rsidP="001A75A4">
            <w:pPr>
              <w:pStyle w:val="StyleProp"/>
              <w:spacing w:line="190" w:lineRule="exact"/>
              <w:rPr>
                <w:color w:val="000000" w:themeColor="text1"/>
              </w:rPr>
            </w:pPr>
            <w:r w:rsidRPr="00286216">
              <w:rPr>
                <w:color w:val="000000" w:themeColor="text1"/>
              </w:rPr>
              <w:t>- є нерезидентом України, у тому числі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3426DC20" w14:textId="77777777" w:rsidR="001A75A4" w:rsidRPr="00286216" w:rsidRDefault="001A75A4" w:rsidP="001A75A4">
            <w:pPr>
              <w:pStyle w:val="StyleProp"/>
              <w:spacing w:line="190" w:lineRule="exact"/>
              <w:rPr>
                <w:color w:val="000000" w:themeColor="text1"/>
              </w:rPr>
            </w:pPr>
            <w:r w:rsidRPr="00286216">
              <w:rPr>
                <w:color w:val="000000" w:themeColor="text1"/>
              </w:rPr>
              <w:t>- відносно юридичної особи застосовані санкції відповідно до Закону України "Про санкції";</w:t>
            </w:r>
          </w:p>
          <w:p w14:paraId="51D77C69" w14:textId="77777777" w:rsidR="001A75A4" w:rsidRPr="00286216" w:rsidRDefault="001A75A4" w:rsidP="001A75A4">
            <w:pPr>
              <w:pStyle w:val="StyleProp"/>
              <w:spacing w:line="190" w:lineRule="exact"/>
              <w:rPr>
                <w:color w:val="000000" w:themeColor="text1"/>
              </w:rPr>
            </w:pPr>
            <w:r w:rsidRPr="00286216">
              <w:rPr>
                <w:color w:val="000000" w:themeColor="text1"/>
              </w:rPr>
              <w:lastRenderedPageBreak/>
              <w:t>- юридична особа включена до переліку осіб, пов'язаних з провадженням терористичної діяльності, або щодо якої застосовано міжнародні санкції;</w:t>
            </w:r>
          </w:p>
          <w:p w14:paraId="52CC983E" w14:textId="77777777" w:rsidR="001A75A4" w:rsidRPr="00286216" w:rsidRDefault="001A75A4" w:rsidP="001A75A4">
            <w:pPr>
              <w:pStyle w:val="StyleProp"/>
              <w:spacing w:line="190" w:lineRule="exact"/>
              <w:rPr>
                <w:color w:val="000000" w:themeColor="text1"/>
              </w:rPr>
            </w:pPr>
            <w:r w:rsidRPr="00286216">
              <w:rPr>
                <w:color w:val="000000" w:themeColor="text1"/>
              </w:rPr>
              <w:t>- юридична особа має податковий борг, який не погашений протягом двох місяців з дня його виникнення;</w:t>
            </w:r>
          </w:p>
          <w:p w14:paraId="0DF96309" w14:textId="77777777" w:rsidR="001A75A4" w:rsidRPr="00286216" w:rsidRDefault="001A75A4" w:rsidP="001A75A4">
            <w:pPr>
              <w:pStyle w:val="StyleProp"/>
              <w:spacing w:line="190" w:lineRule="exact"/>
              <w:rPr>
                <w:color w:val="000000" w:themeColor="text1"/>
              </w:rPr>
            </w:pPr>
            <w:r w:rsidRPr="00286216">
              <w:rPr>
                <w:color w:val="000000" w:themeColor="text1"/>
              </w:rPr>
              <w:t>- юридична особа не відповідає вимогам, що встановлені законодавством для товарних бірж.</w:t>
            </w:r>
          </w:p>
          <w:p w14:paraId="335901F3" w14:textId="77777777" w:rsidR="001A75A4" w:rsidRPr="00286216" w:rsidRDefault="001A75A4" w:rsidP="001A75A4">
            <w:pPr>
              <w:pStyle w:val="StyleProp"/>
              <w:spacing w:line="190" w:lineRule="exact"/>
              <w:rPr>
                <w:color w:val="000000" w:themeColor="text1"/>
              </w:rPr>
            </w:pPr>
            <w:r w:rsidRPr="00286216">
              <w:rPr>
                <w:color w:val="000000" w:themeColor="text1"/>
              </w:rPr>
              <w:t>Власником істотної участі в професійному учаснику ринків капіталу не може бути юридична або фізична особа, яка відповідає хоча б одному із таких критеріїв:</w:t>
            </w:r>
          </w:p>
          <w:p w14:paraId="78AC8B29" w14:textId="77777777" w:rsidR="001A75A4" w:rsidRPr="00286216" w:rsidRDefault="001A75A4" w:rsidP="001A75A4">
            <w:pPr>
              <w:pStyle w:val="StyleProp"/>
              <w:spacing w:line="190" w:lineRule="exact"/>
              <w:rPr>
                <w:color w:val="000000" w:themeColor="text1"/>
              </w:rPr>
            </w:pPr>
            <w:r w:rsidRPr="00286216">
              <w:rPr>
                <w:color w:val="000000" w:themeColor="text1"/>
              </w:rPr>
              <w:t>а) є резидентом держави, що здійснює збройну агресію проти України у значенні, наведеному у статті 1 Закону України «Про оборону України»;</w:t>
            </w:r>
          </w:p>
          <w:p w14:paraId="0E639377" w14:textId="77777777" w:rsidR="001A75A4" w:rsidRPr="00286216" w:rsidRDefault="001A75A4" w:rsidP="001A75A4">
            <w:pPr>
              <w:pStyle w:val="StyleProp"/>
              <w:spacing w:line="190" w:lineRule="exact"/>
              <w:rPr>
                <w:color w:val="000000" w:themeColor="text1"/>
              </w:rPr>
            </w:pPr>
            <w:r w:rsidRPr="00286216">
              <w:rPr>
                <w:color w:val="000000" w:themeColor="text1"/>
              </w:rPr>
              <w:t>б)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p w14:paraId="1D1D018B" w14:textId="77777777" w:rsidR="001A75A4" w:rsidRPr="00286216" w:rsidRDefault="001A75A4" w:rsidP="001A75A4">
            <w:pPr>
              <w:pStyle w:val="StyleProp"/>
              <w:spacing w:line="190" w:lineRule="exact"/>
              <w:rPr>
                <w:color w:val="000000" w:themeColor="text1"/>
              </w:rPr>
            </w:pPr>
            <w:r w:rsidRPr="00286216">
              <w:rPr>
                <w:color w:val="000000" w:themeColor="text1"/>
              </w:rPr>
              <w:t>в) до особи або до її посадових осіб застосовані санкції відповідно до Закону України "Про санкції";</w:t>
            </w:r>
          </w:p>
          <w:p w14:paraId="7CD0E5A5" w14:textId="77777777" w:rsidR="001A75A4" w:rsidRPr="00286216" w:rsidRDefault="001A75A4" w:rsidP="001A75A4">
            <w:pPr>
              <w:pStyle w:val="StyleProp"/>
              <w:spacing w:line="190" w:lineRule="exact"/>
              <w:rPr>
                <w:color w:val="000000" w:themeColor="text1"/>
              </w:rPr>
            </w:pPr>
            <w:r w:rsidRPr="00286216">
              <w:rPr>
                <w:color w:val="000000" w:themeColor="text1"/>
              </w:rPr>
              <w:t>г) особа або її посадові особи включені до переліку осіб, пов'язаних з провадженням терористичної діяльності, або щодо яких застосовано міжнародні санкції;</w:t>
            </w:r>
          </w:p>
          <w:p w14:paraId="7506D4F6" w14:textId="77777777" w:rsidR="001A75A4" w:rsidRPr="00286216" w:rsidRDefault="001A75A4" w:rsidP="001A75A4">
            <w:pPr>
              <w:pStyle w:val="StyleProp"/>
              <w:spacing w:line="190" w:lineRule="exact"/>
              <w:rPr>
                <w:color w:val="000000" w:themeColor="text1"/>
              </w:rPr>
            </w:pPr>
            <w:r w:rsidRPr="00286216">
              <w:rPr>
                <w:color w:val="000000" w:themeColor="text1"/>
              </w:rPr>
              <w:t>ґ) особа, підконтрольна особам, зазначеним в пунктах «а» - «г» цього абзацу, або має таких осіб у своїй структурі власності;</w:t>
            </w:r>
          </w:p>
          <w:p w14:paraId="2224E279" w14:textId="77777777" w:rsidR="001A75A4" w:rsidRPr="00286216" w:rsidRDefault="001A75A4" w:rsidP="001A75A4">
            <w:pPr>
              <w:pStyle w:val="StyleProp"/>
              <w:spacing w:line="190" w:lineRule="exact"/>
              <w:rPr>
                <w:color w:val="000000" w:themeColor="text1"/>
              </w:rPr>
            </w:pPr>
            <w:r w:rsidRPr="00286216">
              <w:rPr>
                <w:color w:val="000000" w:themeColor="text1"/>
              </w:rPr>
              <w:t>д) не відповідає вимогам, передбаченим законодавством.»;</w:t>
            </w:r>
          </w:p>
        </w:tc>
        <w:tc>
          <w:tcPr>
            <w:tcW w:w="1987" w:type="dxa"/>
          </w:tcPr>
          <w:p w14:paraId="7C10EE3B" w14:textId="77777777" w:rsidR="001A75A4" w:rsidRPr="00286216" w:rsidRDefault="001A75A4" w:rsidP="001A75A4">
            <w:pPr>
              <w:pStyle w:val="StyleWisnow"/>
              <w:rPr>
                <w:color w:val="000000" w:themeColor="text1"/>
                <w:lang w:eastAsia="uk-UA"/>
              </w:rPr>
            </w:pPr>
            <w:r w:rsidRPr="00286216">
              <w:rPr>
                <w:color w:val="000000" w:themeColor="text1"/>
                <w:lang w:eastAsia="uk-UA"/>
              </w:rPr>
              <w:lastRenderedPageBreak/>
              <w:t>Враховано частково</w:t>
            </w:r>
          </w:p>
        </w:tc>
        <w:tc>
          <w:tcPr>
            <w:tcW w:w="4818" w:type="dxa"/>
          </w:tcPr>
          <w:p w14:paraId="70884C03" w14:textId="77777777" w:rsidR="001A75A4" w:rsidRPr="00286216" w:rsidRDefault="001A75A4" w:rsidP="001A75A4">
            <w:pPr>
              <w:pStyle w:val="StyleZakonu"/>
              <w:rPr>
                <w:color w:val="000000" w:themeColor="text1"/>
              </w:rPr>
            </w:pPr>
            <w:r w:rsidRPr="00286216">
              <w:rPr>
                <w:color w:val="000000" w:themeColor="text1"/>
              </w:rPr>
              <w:t>Товарною біржею не може бути юридична особа, яка відповідає хоча б одному з таких критеріїв:</w:t>
            </w:r>
          </w:p>
          <w:p w14:paraId="37D90028" w14:textId="77777777" w:rsidR="001A75A4" w:rsidRPr="00286216" w:rsidRDefault="001A75A4" w:rsidP="001A75A4">
            <w:pPr>
              <w:pStyle w:val="StyleZakonu"/>
              <w:rPr>
                <w:color w:val="000000" w:themeColor="text1"/>
              </w:rPr>
            </w:pPr>
            <w:r w:rsidRPr="00286216">
              <w:rPr>
                <w:color w:val="000000" w:themeColor="text1"/>
              </w:rPr>
              <w:t>1) юридична особа створена відповідно до законодавства держави, що здійснює збройну агресію проти України у значенні, наведеному у статті 1 Закону України «Про оборону України»;</w:t>
            </w:r>
          </w:p>
          <w:p w14:paraId="1AE7DC1F" w14:textId="77777777" w:rsidR="001A75A4" w:rsidRPr="00286216" w:rsidRDefault="001A75A4" w:rsidP="001A75A4">
            <w:pPr>
              <w:pStyle w:val="StyleZakonu"/>
              <w:rPr>
                <w:color w:val="000000" w:themeColor="text1"/>
              </w:rPr>
            </w:pPr>
            <w:r w:rsidRPr="00286216">
              <w:rPr>
                <w:color w:val="000000" w:themeColor="text1"/>
              </w:rPr>
              <w:t>2)  до юридичної особи застосовано санкції відповідно до Закону України "Про санкції";</w:t>
            </w:r>
          </w:p>
          <w:p w14:paraId="4BF43FB8" w14:textId="77777777" w:rsidR="001A75A4" w:rsidRPr="00286216" w:rsidRDefault="001A75A4" w:rsidP="001A75A4">
            <w:pPr>
              <w:pStyle w:val="StyleZakonu"/>
              <w:rPr>
                <w:color w:val="000000" w:themeColor="text1"/>
              </w:rPr>
            </w:pPr>
            <w:r w:rsidRPr="00286216">
              <w:rPr>
                <w:color w:val="000000" w:themeColor="text1"/>
              </w:rPr>
              <w:t>3)  юридична особа включена до переліку осіб, пов'язаних з провадженням терористичної діяльності або стосовно яких застосовано міжнародні санкції;</w:t>
            </w:r>
          </w:p>
          <w:p w14:paraId="743D40FE" w14:textId="77777777" w:rsidR="001A75A4" w:rsidRPr="00286216" w:rsidRDefault="001A75A4" w:rsidP="001A75A4">
            <w:pPr>
              <w:pStyle w:val="StyleZakonu"/>
              <w:rPr>
                <w:color w:val="000000" w:themeColor="text1"/>
              </w:rPr>
            </w:pPr>
            <w:r w:rsidRPr="00286216">
              <w:rPr>
                <w:color w:val="000000" w:themeColor="text1"/>
              </w:rPr>
              <w:t xml:space="preserve">4) особа підконтрольна особам, зазначеним у </w:t>
            </w:r>
            <w:r w:rsidRPr="00286216">
              <w:rPr>
                <w:color w:val="000000" w:themeColor="text1"/>
              </w:rPr>
              <w:lastRenderedPageBreak/>
              <w:t>пунктах 1 – 3 цієї частини або має таких осіб у своїй структурі власності;</w:t>
            </w:r>
          </w:p>
          <w:p w14:paraId="40A5465A" w14:textId="6CF35797" w:rsidR="001A75A4" w:rsidRPr="00286216" w:rsidRDefault="001A75A4" w:rsidP="001A75A4">
            <w:pPr>
              <w:pStyle w:val="StyleZakonu"/>
              <w:rPr>
                <w:color w:val="000000" w:themeColor="text1"/>
                <w:lang w:eastAsia="uk-UA"/>
              </w:rPr>
            </w:pPr>
            <w:r w:rsidRPr="00286216">
              <w:rPr>
                <w:color w:val="000000" w:themeColor="text1"/>
              </w:rPr>
              <w:t>5)  юридична особа не відповідає вимогам, встановленим законодавством про товарні біржі.</w:t>
            </w:r>
          </w:p>
        </w:tc>
      </w:tr>
      <w:tr w:rsidR="001A75A4" w:rsidRPr="00286216" w14:paraId="7F68D57D" w14:textId="77777777" w:rsidTr="00091AA5">
        <w:tc>
          <w:tcPr>
            <w:tcW w:w="576" w:type="dxa"/>
          </w:tcPr>
          <w:p w14:paraId="5DA924C6" w14:textId="77777777" w:rsidR="001A75A4" w:rsidRPr="00286216" w:rsidRDefault="001A75A4" w:rsidP="001A75A4">
            <w:pPr>
              <w:pStyle w:val="StyleWisnow"/>
              <w:rPr>
                <w:color w:val="000000" w:themeColor="text1"/>
              </w:rPr>
            </w:pPr>
            <w:bookmarkStart w:id="2206" w:name="n2405" w:colFirst="0" w:colLast="0"/>
            <w:bookmarkEnd w:id="2205"/>
            <w:r w:rsidRPr="00286216">
              <w:rPr>
                <w:color w:val="000000" w:themeColor="text1"/>
              </w:rPr>
              <w:lastRenderedPageBreak/>
              <w:t>2405.</w:t>
            </w:r>
          </w:p>
        </w:tc>
        <w:tc>
          <w:tcPr>
            <w:tcW w:w="4818" w:type="dxa"/>
          </w:tcPr>
          <w:p w14:paraId="3CF4B81D"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Власником істотної участі в товарній біржі не може бути іноземна юридична або фізична особа, яка </w:t>
            </w:r>
            <w:r w:rsidRPr="00286216">
              <w:rPr>
                <w:color w:val="000000" w:themeColor="text1"/>
              </w:rPr>
              <w:t xml:space="preserve">є резидентом держави, що здійснює збройну агресію проти України у значенні, наведеному у статті 1 Закону України "Про оборону України", а також особа до якої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w:t>
            </w:r>
            <w:r w:rsidRPr="00286216">
              <w:rPr>
                <w:color w:val="000000" w:themeColor="text1"/>
              </w:rPr>
              <w:lastRenderedPageBreak/>
              <w:t>фінансових операцій.</w:t>
            </w:r>
          </w:p>
        </w:tc>
        <w:tc>
          <w:tcPr>
            <w:tcW w:w="3686" w:type="dxa"/>
          </w:tcPr>
          <w:p w14:paraId="134817DD" w14:textId="2FAA5A34" w:rsidR="001A75A4" w:rsidRPr="00286216" w:rsidRDefault="001A75A4" w:rsidP="001A75A4">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1150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FC83F44" w14:textId="77777777" w:rsidR="001A75A4" w:rsidRPr="00286216" w:rsidRDefault="001A75A4" w:rsidP="001A75A4">
            <w:pPr>
              <w:pStyle w:val="StyleProp"/>
              <w:rPr>
                <w:color w:val="000000" w:themeColor="text1"/>
                <w:szCs w:val="18"/>
                <w:lang w:eastAsia="uk-UA"/>
              </w:rPr>
            </w:pPr>
            <w:r w:rsidRPr="00286216">
              <w:rPr>
                <w:color w:val="000000" w:themeColor="text1"/>
              </w:rPr>
              <w:t>Останній абзац частини другої статті 4 виключити</w:t>
            </w:r>
          </w:p>
        </w:tc>
        <w:tc>
          <w:tcPr>
            <w:tcW w:w="1987" w:type="dxa"/>
          </w:tcPr>
          <w:p w14:paraId="50300691" w14:textId="77777777" w:rsidR="001A75A4" w:rsidRPr="00286216" w:rsidRDefault="001A75A4" w:rsidP="001A75A4">
            <w:pPr>
              <w:pStyle w:val="StyleWisnow"/>
              <w:rPr>
                <w:color w:val="000000" w:themeColor="text1"/>
                <w:lang w:eastAsia="uk-UA"/>
              </w:rPr>
            </w:pPr>
            <w:r w:rsidRPr="00286216">
              <w:rPr>
                <w:color w:val="000000" w:themeColor="text1"/>
                <w:lang w:eastAsia="uk-UA"/>
              </w:rPr>
              <w:t>Враховано</w:t>
            </w:r>
          </w:p>
        </w:tc>
        <w:tc>
          <w:tcPr>
            <w:tcW w:w="4818" w:type="dxa"/>
          </w:tcPr>
          <w:p w14:paraId="5D78D3F9" w14:textId="77777777" w:rsidR="001A75A4" w:rsidRPr="00286216" w:rsidRDefault="001A75A4" w:rsidP="001A75A4">
            <w:pPr>
              <w:pStyle w:val="StyleZakonu"/>
              <w:rPr>
                <w:color w:val="000000" w:themeColor="text1"/>
                <w:lang w:eastAsia="uk-UA"/>
              </w:rPr>
            </w:pPr>
          </w:p>
        </w:tc>
      </w:tr>
      <w:tr w:rsidR="001A75A4" w:rsidRPr="00286216" w14:paraId="7CB439A9" w14:textId="77777777" w:rsidTr="00091AA5">
        <w:tc>
          <w:tcPr>
            <w:tcW w:w="576" w:type="dxa"/>
          </w:tcPr>
          <w:p w14:paraId="73D31B09" w14:textId="77777777" w:rsidR="001A75A4" w:rsidRPr="00286216" w:rsidRDefault="001A75A4" w:rsidP="001A75A4">
            <w:pPr>
              <w:pStyle w:val="StyleWisnow"/>
              <w:rPr>
                <w:color w:val="000000" w:themeColor="text1"/>
              </w:rPr>
            </w:pPr>
            <w:bookmarkStart w:id="2207" w:name="n2406" w:colFirst="0" w:colLast="0"/>
            <w:bookmarkEnd w:id="2206"/>
            <w:r w:rsidRPr="00286216">
              <w:rPr>
                <w:color w:val="000000" w:themeColor="text1"/>
              </w:rPr>
              <w:t>2406.</w:t>
            </w:r>
          </w:p>
        </w:tc>
        <w:tc>
          <w:tcPr>
            <w:tcW w:w="4818" w:type="dxa"/>
          </w:tcPr>
          <w:p w14:paraId="04C12794" w14:textId="77777777" w:rsidR="001A75A4" w:rsidRPr="00286216" w:rsidRDefault="001A75A4" w:rsidP="001A75A4">
            <w:pPr>
              <w:pStyle w:val="StyleZakonu"/>
              <w:rPr>
                <w:color w:val="000000" w:themeColor="text1"/>
              </w:rPr>
            </w:pPr>
            <w:bookmarkStart w:id="2208" w:name="o52"/>
            <w:bookmarkStart w:id="2209" w:name="o53"/>
            <w:bookmarkEnd w:id="2208"/>
            <w:bookmarkEnd w:id="2209"/>
            <w:r w:rsidRPr="00286216">
              <w:rPr>
                <w:color w:val="000000" w:themeColor="text1"/>
              </w:rPr>
              <w:t>3. Створення та припинення товарної біржі у формі акціонерного товариства здійснюється відповідно до Закону України "Про акціонерні товариства". Створення та припинення товарної біржі у формі товариства з обмеженою відповідальністю, або товариства з додатковою відповідальністю здійснюється відповідно до Закону України "Про товариства з обмеженою та додатковою відповідальністю".</w:t>
            </w:r>
          </w:p>
        </w:tc>
        <w:tc>
          <w:tcPr>
            <w:tcW w:w="3686" w:type="dxa"/>
          </w:tcPr>
          <w:p w14:paraId="0117FD43" w14:textId="545F0D37" w:rsidR="001A75A4" w:rsidRPr="00286216" w:rsidRDefault="001A75A4" w:rsidP="001A75A4">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1151</w:t>
            </w:r>
            <w:r w:rsidRPr="00286216">
              <w:rPr>
                <w:color w:val="000000" w:themeColor="text1"/>
                <w:spacing w:val="-10"/>
              </w:rPr>
              <w:fldChar w:fldCharType="end"/>
            </w:r>
            <w:r w:rsidRPr="00286216">
              <w:rPr>
                <w:color w:val="000000" w:themeColor="text1"/>
                <w:spacing w:val="-10"/>
              </w:rPr>
              <w:t>-Н.д.Гетманцев Д.О.(Реєстр.картка №245)</w:t>
            </w:r>
          </w:p>
          <w:p w14:paraId="105B9210" w14:textId="77777777" w:rsidR="001A75A4" w:rsidRPr="00286216" w:rsidRDefault="001A75A4" w:rsidP="001A75A4">
            <w:pPr>
              <w:pStyle w:val="StyleProp"/>
              <w:rPr>
                <w:color w:val="000000" w:themeColor="text1"/>
              </w:rPr>
            </w:pPr>
            <w:r w:rsidRPr="00286216">
              <w:rPr>
                <w:color w:val="000000" w:themeColor="text1"/>
              </w:rPr>
              <w:t>У статті 4 частину третю виключити.</w:t>
            </w:r>
          </w:p>
        </w:tc>
        <w:tc>
          <w:tcPr>
            <w:tcW w:w="1987" w:type="dxa"/>
          </w:tcPr>
          <w:p w14:paraId="23FF356D"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10B14BC3" w14:textId="77777777" w:rsidR="001A75A4" w:rsidRPr="00286216" w:rsidRDefault="001A75A4" w:rsidP="001A75A4">
            <w:pPr>
              <w:pStyle w:val="StyleZakonu"/>
              <w:rPr>
                <w:color w:val="000000" w:themeColor="text1"/>
              </w:rPr>
            </w:pPr>
          </w:p>
        </w:tc>
      </w:tr>
      <w:tr w:rsidR="001A75A4" w:rsidRPr="00286216" w14:paraId="5A02B647" w14:textId="77777777" w:rsidTr="00091AA5">
        <w:tc>
          <w:tcPr>
            <w:tcW w:w="576" w:type="dxa"/>
          </w:tcPr>
          <w:p w14:paraId="29150B55" w14:textId="77777777" w:rsidR="001A75A4" w:rsidRPr="00286216" w:rsidRDefault="001A75A4" w:rsidP="001A75A4">
            <w:pPr>
              <w:pStyle w:val="StyleWisnow"/>
              <w:rPr>
                <w:color w:val="000000" w:themeColor="text1"/>
              </w:rPr>
            </w:pPr>
            <w:bookmarkStart w:id="2210" w:name="n2407" w:colFirst="0" w:colLast="0"/>
            <w:bookmarkEnd w:id="2207"/>
            <w:r w:rsidRPr="00286216">
              <w:rPr>
                <w:color w:val="000000" w:themeColor="text1"/>
              </w:rPr>
              <w:t>2407.</w:t>
            </w:r>
          </w:p>
        </w:tc>
        <w:tc>
          <w:tcPr>
            <w:tcW w:w="4818" w:type="dxa"/>
          </w:tcPr>
          <w:p w14:paraId="27609293" w14:textId="77777777" w:rsidR="001A75A4" w:rsidRPr="00286216" w:rsidRDefault="001A75A4" w:rsidP="001A75A4">
            <w:pPr>
              <w:pStyle w:val="StyleZakonu"/>
              <w:rPr>
                <w:color w:val="000000" w:themeColor="text1"/>
              </w:rPr>
            </w:pPr>
            <w:r w:rsidRPr="00286216">
              <w:rPr>
                <w:color w:val="000000" w:themeColor="text1"/>
              </w:rPr>
              <w:t xml:space="preserve">4. Юридична особа набуває статусу товарної біржі з дня отримання </w:t>
            </w:r>
            <w:r w:rsidRPr="00286216">
              <w:rPr>
                <w:color w:val="000000" w:themeColor="text1"/>
                <w:lang w:eastAsia="uk-UA"/>
              </w:rPr>
              <w:t>ліцензії на провадження діяльності з організації торгівлі продукцією на товарних біржах</w:t>
            </w:r>
            <w:r w:rsidRPr="00286216">
              <w:rPr>
                <w:color w:val="000000" w:themeColor="text1"/>
              </w:rPr>
              <w:t>.</w:t>
            </w:r>
          </w:p>
        </w:tc>
        <w:tc>
          <w:tcPr>
            <w:tcW w:w="3686" w:type="dxa"/>
          </w:tcPr>
          <w:p w14:paraId="3EE3CAF3" w14:textId="32824E10"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1152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3ED92EF" w14:textId="77777777" w:rsidR="001A75A4" w:rsidRPr="00286216" w:rsidRDefault="001A75A4" w:rsidP="001A75A4">
            <w:pPr>
              <w:pStyle w:val="StyleProp"/>
              <w:rPr>
                <w:color w:val="000000" w:themeColor="text1"/>
                <w:szCs w:val="18"/>
              </w:rPr>
            </w:pPr>
            <w:r w:rsidRPr="00286216">
              <w:rPr>
                <w:color w:val="000000" w:themeColor="text1"/>
                <w:szCs w:val="18"/>
              </w:rPr>
              <w:t>Частину четверту статті 4 виключити</w:t>
            </w:r>
          </w:p>
        </w:tc>
        <w:tc>
          <w:tcPr>
            <w:tcW w:w="1987" w:type="dxa"/>
          </w:tcPr>
          <w:p w14:paraId="0C2ABFAE"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5F083C6B" w14:textId="77777777" w:rsidR="001A75A4" w:rsidRPr="00286216" w:rsidRDefault="001A75A4" w:rsidP="001A75A4">
            <w:pPr>
              <w:pStyle w:val="StyleZakonu"/>
              <w:rPr>
                <w:color w:val="000000" w:themeColor="text1"/>
              </w:rPr>
            </w:pPr>
          </w:p>
        </w:tc>
      </w:tr>
      <w:tr w:rsidR="001A75A4" w:rsidRPr="00286216" w14:paraId="2E41E592" w14:textId="77777777" w:rsidTr="00091AA5">
        <w:tc>
          <w:tcPr>
            <w:tcW w:w="576" w:type="dxa"/>
          </w:tcPr>
          <w:p w14:paraId="3517A0BA" w14:textId="77777777" w:rsidR="001A75A4" w:rsidRPr="00286216" w:rsidRDefault="001A75A4" w:rsidP="001A75A4">
            <w:pPr>
              <w:pStyle w:val="StyleWisnow"/>
              <w:rPr>
                <w:color w:val="000000" w:themeColor="text1"/>
              </w:rPr>
            </w:pPr>
            <w:bookmarkStart w:id="2211" w:name="n2408" w:colFirst="0" w:colLast="0"/>
            <w:bookmarkEnd w:id="2210"/>
            <w:r w:rsidRPr="00286216">
              <w:rPr>
                <w:color w:val="000000" w:themeColor="text1"/>
              </w:rPr>
              <w:t>2408.</w:t>
            </w:r>
          </w:p>
        </w:tc>
        <w:tc>
          <w:tcPr>
            <w:tcW w:w="4818" w:type="dxa"/>
          </w:tcPr>
          <w:p w14:paraId="667DDEBA" w14:textId="77777777" w:rsidR="001A75A4" w:rsidRPr="00286216" w:rsidRDefault="001A75A4" w:rsidP="001A75A4">
            <w:pPr>
              <w:pStyle w:val="StyleZakonu"/>
              <w:rPr>
                <w:color w:val="000000" w:themeColor="text1"/>
              </w:rPr>
            </w:pPr>
            <w:r w:rsidRPr="00286216">
              <w:rPr>
                <w:color w:val="000000" w:themeColor="text1"/>
              </w:rPr>
              <w:t xml:space="preserve">Товарна біржа починає функціонувати після реєстрації Національною комісією з цінних паперів та фондового ринку правил </w:t>
            </w:r>
            <w:r w:rsidRPr="00286216">
              <w:rPr>
                <w:color w:val="000000" w:themeColor="text1"/>
                <w:shd w:val="clear" w:color="auto" w:fill="FFFFFF"/>
              </w:rPr>
              <w:t>товарної біржі відповідно до статті 9 цього Закону</w:t>
            </w:r>
            <w:r w:rsidRPr="00286216">
              <w:rPr>
                <w:color w:val="000000" w:themeColor="text1"/>
              </w:rPr>
              <w:t>.</w:t>
            </w:r>
          </w:p>
        </w:tc>
        <w:tc>
          <w:tcPr>
            <w:tcW w:w="3686" w:type="dxa"/>
          </w:tcPr>
          <w:p w14:paraId="05D679A3" w14:textId="418A325B"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1153</w:t>
            </w:r>
            <w:r w:rsidRPr="00286216">
              <w:rPr>
                <w:color w:val="000000" w:themeColor="text1"/>
                <w:spacing w:val="-2"/>
              </w:rPr>
              <w:fldChar w:fldCharType="end"/>
            </w:r>
            <w:r w:rsidRPr="00286216">
              <w:rPr>
                <w:color w:val="000000" w:themeColor="text1"/>
                <w:spacing w:val="-2"/>
              </w:rPr>
              <w:t>-Н.д.Шахов С.В. (Реєстр.картка №114)</w:t>
            </w:r>
          </w:p>
          <w:p w14:paraId="1005238E"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Частину четверту статті 4 розділу ІІ виключити.</w:t>
            </w:r>
          </w:p>
        </w:tc>
        <w:tc>
          <w:tcPr>
            <w:tcW w:w="1987" w:type="dxa"/>
          </w:tcPr>
          <w:p w14:paraId="3031C10C" w14:textId="77777777" w:rsidR="001A75A4" w:rsidRPr="00286216" w:rsidRDefault="001A75A4" w:rsidP="001A75A4">
            <w:pPr>
              <w:pStyle w:val="StyleWisnow"/>
              <w:rPr>
                <w:color w:val="000000" w:themeColor="text1"/>
                <w:lang w:eastAsia="uk-UA"/>
              </w:rPr>
            </w:pPr>
            <w:r w:rsidRPr="00286216">
              <w:rPr>
                <w:color w:val="000000" w:themeColor="text1"/>
                <w:lang w:eastAsia="uk-UA"/>
              </w:rPr>
              <w:t>Враховано</w:t>
            </w:r>
          </w:p>
        </w:tc>
        <w:tc>
          <w:tcPr>
            <w:tcW w:w="4818" w:type="dxa"/>
          </w:tcPr>
          <w:p w14:paraId="7FC7C79E" w14:textId="77777777" w:rsidR="001A75A4" w:rsidRPr="00286216" w:rsidRDefault="001A75A4" w:rsidP="001A75A4">
            <w:pPr>
              <w:pStyle w:val="StyleZakonu"/>
              <w:rPr>
                <w:color w:val="000000" w:themeColor="text1"/>
              </w:rPr>
            </w:pPr>
          </w:p>
        </w:tc>
      </w:tr>
      <w:tr w:rsidR="001A75A4" w:rsidRPr="00286216" w14:paraId="425974DA" w14:textId="77777777" w:rsidTr="00091AA5">
        <w:tc>
          <w:tcPr>
            <w:tcW w:w="576" w:type="dxa"/>
          </w:tcPr>
          <w:p w14:paraId="3110DE8B" w14:textId="77777777" w:rsidR="001A75A4" w:rsidRPr="00286216" w:rsidRDefault="001A75A4" w:rsidP="001A75A4">
            <w:pPr>
              <w:pStyle w:val="StyleWisnow"/>
              <w:rPr>
                <w:color w:val="000000" w:themeColor="text1"/>
              </w:rPr>
            </w:pPr>
            <w:bookmarkStart w:id="2212" w:name="n2409" w:colFirst="0" w:colLast="0"/>
            <w:bookmarkEnd w:id="2211"/>
            <w:r w:rsidRPr="00286216">
              <w:rPr>
                <w:color w:val="000000" w:themeColor="text1"/>
              </w:rPr>
              <w:t>2409.</w:t>
            </w:r>
          </w:p>
        </w:tc>
        <w:tc>
          <w:tcPr>
            <w:tcW w:w="4818" w:type="dxa"/>
          </w:tcPr>
          <w:p w14:paraId="6F363F6D" w14:textId="77777777" w:rsidR="001A75A4" w:rsidRPr="00286216" w:rsidRDefault="001A75A4" w:rsidP="001A75A4">
            <w:pPr>
              <w:pStyle w:val="StyleZakonu"/>
              <w:rPr>
                <w:color w:val="000000" w:themeColor="text1"/>
                <w:shd w:val="clear" w:color="auto" w:fill="FFFFFF"/>
              </w:rPr>
            </w:pPr>
            <w:bookmarkStart w:id="2213" w:name="o54"/>
            <w:bookmarkEnd w:id="2213"/>
            <w:r w:rsidRPr="00286216">
              <w:rPr>
                <w:color w:val="000000" w:themeColor="text1"/>
              </w:rPr>
              <w:t xml:space="preserve">Стаття 5. </w:t>
            </w:r>
            <w:r w:rsidRPr="00286216">
              <w:rPr>
                <w:color w:val="000000" w:themeColor="text1"/>
                <w:shd w:val="clear" w:color="auto" w:fill="FFFFFF"/>
              </w:rPr>
              <w:t>Статут товарної біржі</w:t>
            </w:r>
          </w:p>
        </w:tc>
        <w:tc>
          <w:tcPr>
            <w:tcW w:w="3686" w:type="dxa"/>
          </w:tcPr>
          <w:p w14:paraId="0F2C3D00" w14:textId="77777777" w:rsidR="001A75A4" w:rsidRPr="00286216" w:rsidRDefault="001A75A4" w:rsidP="001A75A4">
            <w:pPr>
              <w:pStyle w:val="StyleProp"/>
              <w:rPr>
                <w:color w:val="000000" w:themeColor="text1"/>
                <w:szCs w:val="18"/>
              </w:rPr>
            </w:pPr>
          </w:p>
        </w:tc>
        <w:tc>
          <w:tcPr>
            <w:tcW w:w="1987" w:type="dxa"/>
          </w:tcPr>
          <w:p w14:paraId="2F2CDAFB" w14:textId="77777777" w:rsidR="001A75A4" w:rsidRPr="00286216" w:rsidRDefault="001A75A4" w:rsidP="001A75A4">
            <w:pPr>
              <w:pStyle w:val="StyleWisnow"/>
              <w:rPr>
                <w:color w:val="000000" w:themeColor="text1"/>
              </w:rPr>
            </w:pPr>
          </w:p>
        </w:tc>
        <w:tc>
          <w:tcPr>
            <w:tcW w:w="4818" w:type="dxa"/>
          </w:tcPr>
          <w:p w14:paraId="66D98894" w14:textId="5C75DA1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5. </w:t>
            </w:r>
            <w:r w:rsidRPr="00286216">
              <w:rPr>
                <w:color w:val="000000" w:themeColor="text1"/>
                <w:shd w:val="clear" w:color="auto" w:fill="FFFFFF"/>
              </w:rPr>
              <w:t>Статут товарної біржі</w:t>
            </w:r>
          </w:p>
        </w:tc>
      </w:tr>
      <w:tr w:rsidR="001A75A4" w:rsidRPr="00286216" w14:paraId="7BBCB965" w14:textId="77777777" w:rsidTr="00091AA5">
        <w:tc>
          <w:tcPr>
            <w:tcW w:w="576" w:type="dxa"/>
          </w:tcPr>
          <w:p w14:paraId="7CE495ED" w14:textId="77777777" w:rsidR="001A75A4" w:rsidRPr="00286216" w:rsidRDefault="001A75A4" w:rsidP="001A75A4">
            <w:pPr>
              <w:pStyle w:val="StyleWisnow"/>
              <w:rPr>
                <w:color w:val="000000" w:themeColor="text1"/>
              </w:rPr>
            </w:pPr>
            <w:bookmarkStart w:id="2214" w:name="n2410" w:colFirst="0" w:colLast="0"/>
            <w:bookmarkEnd w:id="2212"/>
            <w:r w:rsidRPr="00286216">
              <w:rPr>
                <w:color w:val="000000" w:themeColor="text1"/>
              </w:rPr>
              <w:t>2410.</w:t>
            </w:r>
          </w:p>
        </w:tc>
        <w:tc>
          <w:tcPr>
            <w:tcW w:w="4818" w:type="dxa"/>
          </w:tcPr>
          <w:p w14:paraId="685890EB" w14:textId="77777777" w:rsidR="001A75A4" w:rsidRPr="00286216" w:rsidRDefault="001A75A4" w:rsidP="001A75A4">
            <w:pPr>
              <w:pStyle w:val="StyleZakonu"/>
              <w:rPr>
                <w:color w:val="000000" w:themeColor="text1"/>
              </w:rPr>
            </w:pPr>
            <w:bookmarkStart w:id="2215" w:name="o55"/>
            <w:bookmarkEnd w:id="2215"/>
            <w:r w:rsidRPr="00286216">
              <w:rPr>
                <w:color w:val="000000" w:themeColor="text1"/>
              </w:rPr>
              <w:t>1. Товарна біржа діє на підставі статуту, який затверджується її вищим органом управління.</w:t>
            </w:r>
          </w:p>
        </w:tc>
        <w:tc>
          <w:tcPr>
            <w:tcW w:w="3686" w:type="dxa"/>
          </w:tcPr>
          <w:p w14:paraId="28BC6FE6" w14:textId="77777777" w:rsidR="001A75A4" w:rsidRPr="00286216" w:rsidRDefault="001A75A4" w:rsidP="001A75A4">
            <w:pPr>
              <w:pStyle w:val="StyleProp"/>
              <w:rPr>
                <w:color w:val="000000" w:themeColor="text1"/>
                <w:szCs w:val="18"/>
              </w:rPr>
            </w:pPr>
          </w:p>
        </w:tc>
        <w:tc>
          <w:tcPr>
            <w:tcW w:w="1987" w:type="dxa"/>
          </w:tcPr>
          <w:p w14:paraId="601D8CF1" w14:textId="77777777" w:rsidR="001A75A4" w:rsidRPr="00286216" w:rsidRDefault="001A75A4" w:rsidP="001A75A4">
            <w:pPr>
              <w:pStyle w:val="StyleWisnow"/>
              <w:rPr>
                <w:color w:val="000000" w:themeColor="text1"/>
              </w:rPr>
            </w:pPr>
          </w:p>
        </w:tc>
        <w:tc>
          <w:tcPr>
            <w:tcW w:w="4818" w:type="dxa"/>
          </w:tcPr>
          <w:p w14:paraId="68B4D0D7" w14:textId="1F290EA7" w:rsidR="001A75A4" w:rsidRPr="00286216" w:rsidRDefault="001A75A4" w:rsidP="001A75A4">
            <w:pPr>
              <w:pStyle w:val="StyleZakonu"/>
              <w:rPr>
                <w:color w:val="000000" w:themeColor="text1"/>
              </w:rPr>
            </w:pPr>
            <w:r w:rsidRPr="00286216">
              <w:rPr>
                <w:color w:val="000000" w:themeColor="text1"/>
              </w:rPr>
              <w:t>1. Товарна біржа діє на підставі статуту, який затверджується її вищим органом управління.</w:t>
            </w:r>
          </w:p>
        </w:tc>
      </w:tr>
      <w:tr w:rsidR="001A75A4" w:rsidRPr="00286216" w14:paraId="6E3D1DEE" w14:textId="77777777" w:rsidTr="00091AA5">
        <w:tc>
          <w:tcPr>
            <w:tcW w:w="576" w:type="dxa"/>
          </w:tcPr>
          <w:p w14:paraId="12214A1C" w14:textId="77777777" w:rsidR="001A75A4" w:rsidRPr="00286216" w:rsidRDefault="001A75A4" w:rsidP="001A75A4">
            <w:pPr>
              <w:pStyle w:val="StyleWisnow"/>
              <w:rPr>
                <w:color w:val="000000" w:themeColor="text1"/>
              </w:rPr>
            </w:pPr>
            <w:bookmarkStart w:id="2216" w:name="n2411" w:colFirst="0" w:colLast="0"/>
            <w:bookmarkEnd w:id="2214"/>
            <w:r w:rsidRPr="00286216">
              <w:rPr>
                <w:color w:val="000000" w:themeColor="text1"/>
              </w:rPr>
              <w:t>2411.</w:t>
            </w:r>
          </w:p>
        </w:tc>
        <w:tc>
          <w:tcPr>
            <w:tcW w:w="4818" w:type="dxa"/>
          </w:tcPr>
          <w:p w14:paraId="2224D5BC" w14:textId="77777777" w:rsidR="001A75A4" w:rsidRPr="00286216" w:rsidRDefault="001A75A4" w:rsidP="001A75A4">
            <w:pPr>
              <w:pStyle w:val="StyleZakonu"/>
              <w:rPr>
                <w:color w:val="000000" w:themeColor="text1"/>
              </w:rPr>
            </w:pPr>
            <w:r w:rsidRPr="00286216">
              <w:rPr>
                <w:color w:val="000000" w:themeColor="text1"/>
              </w:rPr>
              <w:t>2. Статут товарної біржі має відповідати вимогам, встановленим законом. У статуті товарної біржі зазначаються її найменування, порядок управління і формування органів та їх компетенція, мета діяльності, підстави та порядок припинення діяльності товарної біржі, розподілу майна товарної біржі у разі її ліквідації, а також інша інформація, передбачена відповідним законодавством, що регулює діяльність господарських товариств відповідної організаційної форми.</w:t>
            </w:r>
          </w:p>
        </w:tc>
        <w:tc>
          <w:tcPr>
            <w:tcW w:w="3686" w:type="dxa"/>
          </w:tcPr>
          <w:p w14:paraId="7A2864A9" w14:textId="2DB58AD0"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1154</w:t>
            </w:r>
            <w:r w:rsidRPr="00286216">
              <w:rPr>
                <w:color w:val="000000" w:themeColor="text1"/>
                <w:spacing w:val="-2"/>
              </w:rPr>
              <w:fldChar w:fldCharType="end"/>
            </w:r>
            <w:r w:rsidRPr="00286216">
              <w:rPr>
                <w:color w:val="000000" w:themeColor="text1"/>
                <w:spacing w:val="-2"/>
              </w:rPr>
              <w:t>-Н.д.Шахов С.В. (Реєстр.картка №114)</w:t>
            </w:r>
          </w:p>
          <w:p w14:paraId="7AAA9FA7" w14:textId="77777777" w:rsidR="001A75A4" w:rsidRPr="00286216" w:rsidRDefault="001A75A4" w:rsidP="001A75A4">
            <w:pPr>
              <w:pStyle w:val="StyleProp"/>
              <w:spacing w:line="190" w:lineRule="exact"/>
              <w:rPr>
                <w:color w:val="000000" w:themeColor="text1"/>
                <w:szCs w:val="18"/>
                <w:lang w:eastAsia="uk-UA"/>
              </w:rPr>
            </w:pPr>
            <w:r w:rsidRPr="00286216">
              <w:rPr>
                <w:color w:val="000000" w:themeColor="text1"/>
                <w:szCs w:val="18"/>
                <w:lang w:eastAsia="uk-UA"/>
              </w:rPr>
              <w:t>У частині другій статті 5 розділу ІІ слова "</w:t>
            </w:r>
            <w:r w:rsidRPr="00286216">
              <w:rPr>
                <w:color w:val="000000" w:themeColor="text1"/>
              </w:rPr>
              <w:t>відповідної організаційної форми" замінити словами "відповідної організаційно-правової форми".</w:t>
            </w:r>
          </w:p>
        </w:tc>
        <w:tc>
          <w:tcPr>
            <w:tcW w:w="1987" w:type="dxa"/>
          </w:tcPr>
          <w:p w14:paraId="7EBBB809"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0290208B" w14:textId="4C7BB004" w:rsidR="001A75A4" w:rsidRPr="00286216" w:rsidRDefault="001A75A4" w:rsidP="001A75A4">
            <w:pPr>
              <w:pStyle w:val="StyleZakonu"/>
              <w:rPr>
                <w:color w:val="000000" w:themeColor="text1"/>
              </w:rPr>
            </w:pPr>
            <w:r w:rsidRPr="00286216">
              <w:rPr>
                <w:color w:val="000000" w:themeColor="text1"/>
              </w:rPr>
              <w:t>2. Статут товарної біржі має відповідати вимогам, встановленим законом. У статуті товарної біржі визначаються її найменування, порядок управління і формування органів та їх компетенція, мета діяльності, підстави та порядок припинення діяльності товарної біржі, розподілу майна товарної біржі у разі її ліквідації, а також зазначається інша інформація, передбачена законодавством, що регулює діяльність господарських товариств відповідної організаційно-правової форми.</w:t>
            </w:r>
          </w:p>
        </w:tc>
      </w:tr>
      <w:tr w:rsidR="001A75A4" w:rsidRPr="00286216" w14:paraId="5F0304A0" w14:textId="77777777" w:rsidTr="00091AA5">
        <w:tc>
          <w:tcPr>
            <w:tcW w:w="576" w:type="dxa"/>
          </w:tcPr>
          <w:p w14:paraId="39B21E76" w14:textId="77777777" w:rsidR="001A75A4" w:rsidRPr="00286216" w:rsidRDefault="001A75A4" w:rsidP="001A75A4">
            <w:pPr>
              <w:pStyle w:val="StyleWisnow"/>
              <w:rPr>
                <w:color w:val="000000" w:themeColor="text1"/>
              </w:rPr>
            </w:pPr>
            <w:bookmarkStart w:id="2217" w:name="n2412" w:colFirst="0" w:colLast="0"/>
            <w:bookmarkEnd w:id="2216"/>
            <w:r w:rsidRPr="00286216">
              <w:rPr>
                <w:color w:val="000000" w:themeColor="text1"/>
              </w:rPr>
              <w:t>2412.</w:t>
            </w:r>
          </w:p>
        </w:tc>
        <w:tc>
          <w:tcPr>
            <w:tcW w:w="4818" w:type="dxa"/>
          </w:tcPr>
          <w:p w14:paraId="01476E1C"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6. </w:t>
            </w:r>
            <w:r w:rsidRPr="00286216">
              <w:rPr>
                <w:color w:val="000000" w:themeColor="text1"/>
                <w:shd w:val="clear" w:color="auto" w:fill="FFFFFF"/>
              </w:rPr>
              <w:t>Органи управління товарною біржою</w:t>
            </w:r>
          </w:p>
        </w:tc>
        <w:tc>
          <w:tcPr>
            <w:tcW w:w="3686" w:type="dxa"/>
          </w:tcPr>
          <w:p w14:paraId="2C57E876" w14:textId="77777777" w:rsidR="001A75A4" w:rsidRPr="00286216" w:rsidRDefault="001A75A4" w:rsidP="001A75A4">
            <w:pPr>
              <w:pStyle w:val="StyleProp"/>
              <w:rPr>
                <w:color w:val="000000" w:themeColor="text1"/>
                <w:szCs w:val="18"/>
              </w:rPr>
            </w:pPr>
          </w:p>
        </w:tc>
        <w:tc>
          <w:tcPr>
            <w:tcW w:w="1987" w:type="dxa"/>
          </w:tcPr>
          <w:p w14:paraId="437DCADD" w14:textId="77777777" w:rsidR="001A75A4" w:rsidRPr="00286216" w:rsidRDefault="001A75A4" w:rsidP="001A75A4">
            <w:pPr>
              <w:pStyle w:val="StyleWisnow"/>
              <w:rPr>
                <w:color w:val="000000" w:themeColor="text1"/>
              </w:rPr>
            </w:pPr>
          </w:p>
        </w:tc>
        <w:tc>
          <w:tcPr>
            <w:tcW w:w="4818" w:type="dxa"/>
          </w:tcPr>
          <w:p w14:paraId="4BDC5704" w14:textId="1B0EB1F3"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6. </w:t>
            </w:r>
            <w:r w:rsidRPr="00286216">
              <w:rPr>
                <w:color w:val="000000" w:themeColor="text1"/>
                <w:shd w:val="clear" w:color="auto" w:fill="FFFFFF"/>
              </w:rPr>
              <w:t>Органи управління товарною біржею</w:t>
            </w:r>
          </w:p>
        </w:tc>
      </w:tr>
      <w:tr w:rsidR="001A75A4" w:rsidRPr="00286216" w14:paraId="1A3E89A6" w14:textId="77777777" w:rsidTr="00091AA5">
        <w:tc>
          <w:tcPr>
            <w:tcW w:w="576" w:type="dxa"/>
          </w:tcPr>
          <w:p w14:paraId="11D5559B" w14:textId="77777777" w:rsidR="001A75A4" w:rsidRPr="00286216" w:rsidRDefault="001A75A4" w:rsidP="001A75A4">
            <w:pPr>
              <w:pStyle w:val="StyleWisnow"/>
              <w:rPr>
                <w:color w:val="000000" w:themeColor="text1"/>
              </w:rPr>
            </w:pPr>
            <w:bookmarkStart w:id="2218" w:name="n2413" w:colFirst="0" w:colLast="0"/>
            <w:bookmarkEnd w:id="2217"/>
            <w:r w:rsidRPr="00286216">
              <w:rPr>
                <w:color w:val="000000" w:themeColor="text1"/>
              </w:rPr>
              <w:t>2413.</w:t>
            </w:r>
          </w:p>
        </w:tc>
        <w:tc>
          <w:tcPr>
            <w:tcW w:w="4818" w:type="dxa"/>
          </w:tcPr>
          <w:p w14:paraId="4041C8DE" w14:textId="77777777" w:rsidR="001A75A4" w:rsidRPr="00286216" w:rsidRDefault="001A75A4" w:rsidP="001A75A4">
            <w:pPr>
              <w:pStyle w:val="StyleZakonu"/>
              <w:rPr>
                <w:color w:val="000000" w:themeColor="text1"/>
              </w:rPr>
            </w:pPr>
            <w:r w:rsidRPr="00286216">
              <w:rPr>
                <w:color w:val="000000" w:themeColor="text1"/>
              </w:rPr>
              <w:t>1. Порядок утворення та діяльності органів управління товарної біржі, їх компетенція і повноваження визначаються статутом з урахуванням вимог законодавства, що встановлені для організаційно-правової форми господарського товариства, в якій утворено товарну біржу, та цього Закону.</w:t>
            </w:r>
          </w:p>
        </w:tc>
        <w:tc>
          <w:tcPr>
            <w:tcW w:w="3686" w:type="dxa"/>
          </w:tcPr>
          <w:p w14:paraId="36C3B0E9" w14:textId="77777777" w:rsidR="001A75A4" w:rsidRPr="00286216" w:rsidRDefault="001A75A4" w:rsidP="001A75A4">
            <w:pPr>
              <w:pStyle w:val="StyleProp"/>
              <w:rPr>
                <w:color w:val="000000" w:themeColor="text1"/>
                <w:szCs w:val="18"/>
              </w:rPr>
            </w:pPr>
          </w:p>
        </w:tc>
        <w:tc>
          <w:tcPr>
            <w:tcW w:w="1987" w:type="dxa"/>
          </w:tcPr>
          <w:p w14:paraId="0C66A055" w14:textId="77777777" w:rsidR="001A75A4" w:rsidRPr="00286216" w:rsidRDefault="001A75A4" w:rsidP="001A75A4">
            <w:pPr>
              <w:pStyle w:val="StyleWisnow"/>
              <w:rPr>
                <w:color w:val="000000" w:themeColor="text1"/>
              </w:rPr>
            </w:pPr>
          </w:p>
        </w:tc>
        <w:tc>
          <w:tcPr>
            <w:tcW w:w="4818" w:type="dxa"/>
          </w:tcPr>
          <w:p w14:paraId="58218D82" w14:textId="6C65A135" w:rsidR="001A75A4" w:rsidRPr="00286216" w:rsidRDefault="001A75A4" w:rsidP="001A75A4">
            <w:pPr>
              <w:pStyle w:val="StyleZakonu"/>
              <w:rPr>
                <w:color w:val="000000" w:themeColor="text1"/>
              </w:rPr>
            </w:pPr>
            <w:r w:rsidRPr="00286216">
              <w:rPr>
                <w:color w:val="000000" w:themeColor="text1"/>
              </w:rPr>
              <w:t>1. Порядок формування та діяльності органів управління товарною біржею, їх компетенція і повноваження визначаються статутом з урахуванням вимог законодавства, встановлених для організаційно-правової форми господарського товариства, в якій утворено товарну біржу, та цього Закону.</w:t>
            </w:r>
          </w:p>
        </w:tc>
      </w:tr>
      <w:tr w:rsidR="001A75A4" w:rsidRPr="00286216" w14:paraId="510DE813" w14:textId="77777777" w:rsidTr="00091AA5">
        <w:tc>
          <w:tcPr>
            <w:tcW w:w="576" w:type="dxa"/>
          </w:tcPr>
          <w:p w14:paraId="6C335B7A" w14:textId="77777777" w:rsidR="001A75A4" w:rsidRPr="00286216" w:rsidRDefault="001A75A4" w:rsidP="001A75A4">
            <w:pPr>
              <w:pStyle w:val="StyleWisnow"/>
              <w:rPr>
                <w:color w:val="000000" w:themeColor="text1"/>
              </w:rPr>
            </w:pPr>
            <w:bookmarkStart w:id="2219" w:name="n2414" w:colFirst="0" w:colLast="0"/>
            <w:bookmarkEnd w:id="2218"/>
            <w:r w:rsidRPr="00286216">
              <w:rPr>
                <w:color w:val="000000" w:themeColor="text1"/>
              </w:rPr>
              <w:t>2414.</w:t>
            </w:r>
          </w:p>
        </w:tc>
        <w:tc>
          <w:tcPr>
            <w:tcW w:w="4818" w:type="dxa"/>
          </w:tcPr>
          <w:p w14:paraId="09493DAD" w14:textId="77777777" w:rsidR="001A75A4" w:rsidRPr="00286216" w:rsidRDefault="001A75A4" w:rsidP="001A75A4">
            <w:pPr>
              <w:pStyle w:val="StyleZakonu"/>
              <w:rPr>
                <w:color w:val="000000" w:themeColor="text1"/>
              </w:rPr>
            </w:pPr>
            <w:r w:rsidRPr="00286216">
              <w:rPr>
                <w:color w:val="000000" w:themeColor="text1"/>
              </w:rPr>
              <w:t>2. Органи управління товарною біржою створюються відповідно до Закону України "Про акціонерні товариства" у разі функціонування товарної біржі у формі акціонерного товариства.</w:t>
            </w:r>
          </w:p>
        </w:tc>
        <w:tc>
          <w:tcPr>
            <w:tcW w:w="3686" w:type="dxa"/>
          </w:tcPr>
          <w:p w14:paraId="59CFCE1E" w14:textId="616C014C" w:rsidR="001A75A4" w:rsidRPr="00286216" w:rsidRDefault="001A75A4" w:rsidP="001A75A4">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1155</w:t>
            </w:r>
            <w:r w:rsidRPr="00286216">
              <w:rPr>
                <w:color w:val="000000" w:themeColor="text1"/>
                <w:spacing w:val="-10"/>
              </w:rPr>
              <w:fldChar w:fldCharType="end"/>
            </w:r>
            <w:r w:rsidRPr="00286216">
              <w:rPr>
                <w:color w:val="000000" w:themeColor="text1"/>
                <w:spacing w:val="-10"/>
              </w:rPr>
              <w:t>-Н.д.Гетманцев Д.О.(Реєстр.картка №245)</w:t>
            </w:r>
          </w:p>
          <w:p w14:paraId="14233E8D" w14:textId="77777777" w:rsidR="001A75A4" w:rsidRPr="00286216" w:rsidRDefault="001A75A4" w:rsidP="001A75A4">
            <w:pPr>
              <w:pStyle w:val="StyleProp"/>
              <w:rPr>
                <w:color w:val="000000" w:themeColor="text1"/>
              </w:rPr>
            </w:pPr>
            <w:r w:rsidRPr="00286216">
              <w:rPr>
                <w:color w:val="000000" w:themeColor="text1"/>
              </w:rPr>
              <w:t>Частину другу статті шостої виключити</w:t>
            </w:r>
          </w:p>
        </w:tc>
        <w:tc>
          <w:tcPr>
            <w:tcW w:w="1987" w:type="dxa"/>
          </w:tcPr>
          <w:p w14:paraId="27235F0C"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13020F34" w14:textId="77777777" w:rsidR="001A75A4" w:rsidRPr="00286216" w:rsidRDefault="001A75A4" w:rsidP="001A75A4">
            <w:pPr>
              <w:pStyle w:val="StyleZakonu"/>
              <w:rPr>
                <w:color w:val="000000" w:themeColor="text1"/>
              </w:rPr>
            </w:pPr>
          </w:p>
        </w:tc>
      </w:tr>
      <w:tr w:rsidR="001A75A4" w:rsidRPr="00286216" w14:paraId="1A14E746" w14:textId="77777777" w:rsidTr="00091AA5">
        <w:tc>
          <w:tcPr>
            <w:tcW w:w="576" w:type="dxa"/>
          </w:tcPr>
          <w:p w14:paraId="1D8D04DC" w14:textId="77777777" w:rsidR="001A75A4" w:rsidRPr="00286216" w:rsidRDefault="001A75A4" w:rsidP="001A75A4">
            <w:pPr>
              <w:pStyle w:val="StyleWisnow"/>
              <w:rPr>
                <w:color w:val="000000" w:themeColor="text1"/>
              </w:rPr>
            </w:pPr>
            <w:bookmarkStart w:id="2220" w:name="n2415" w:colFirst="0" w:colLast="0"/>
            <w:bookmarkEnd w:id="2219"/>
            <w:r w:rsidRPr="00286216">
              <w:rPr>
                <w:color w:val="000000" w:themeColor="text1"/>
              </w:rPr>
              <w:lastRenderedPageBreak/>
              <w:t>2415.</w:t>
            </w:r>
          </w:p>
        </w:tc>
        <w:tc>
          <w:tcPr>
            <w:tcW w:w="4818" w:type="dxa"/>
          </w:tcPr>
          <w:p w14:paraId="46002B3C" w14:textId="77777777" w:rsidR="001A75A4" w:rsidRPr="00286216" w:rsidRDefault="001A75A4" w:rsidP="001A75A4">
            <w:pPr>
              <w:pStyle w:val="StyleZakonu"/>
              <w:rPr>
                <w:color w:val="000000" w:themeColor="text1"/>
              </w:rPr>
            </w:pPr>
            <w:r w:rsidRPr="00286216">
              <w:rPr>
                <w:color w:val="000000" w:themeColor="text1"/>
              </w:rPr>
              <w:t>Органи управління товарною біржою створюються відповідно до Закону України "Про товариства з обмеженою та додатковою відповідальністю" у разі функціонування товарної біржі у формі товариства з обмеженою відповідальністю, або товариства з додатковою відповідальністю.</w:t>
            </w:r>
          </w:p>
        </w:tc>
        <w:tc>
          <w:tcPr>
            <w:tcW w:w="3686" w:type="dxa"/>
          </w:tcPr>
          <w:p w14:paraId="0F87894C" w14:textId="77777777" w:rsidR="001A75A4" w:rsidRPr="00286216" w:rsidRDefault="001A75A4" w:rsidP="001A75A4">
            <w:pPr>
              <w:pStyle w:val="StyleProp"/>
              <w:rPr>
                <w:color w:val="000000" w:themeColor="text1"/>
                <w:szCs w:val="18"/>
              </w:rPr>
            </w:pPr>
          </w:p>
        </w:tc>
        <w:tc>
          <w:tcPr>
            <w:tcW w:w="1987" w:type="dxa"/>
          </w:tcPr>
          <w:p w14:paraId="5DAADCAF" w14:textId="77777777" w:rsidR="001A75A4" w:rsidRPr="00286216" w:rsidRDefault="001A75A4" w:rsidP="001A75A4">
            <w:pPr>
              <w:pStyle w:val="StyleWisnow"/>
              <w:rPr>
                <w:color w:val="000000" w:themeColor="text1"/>
              </w:rPr>
            </w:pPr>
          </w:p>
        </w:tc>
        <w:tc>
          <w:tcPr>
            <w:tcW w:w="4818" w:type="dxa"/>
          </w:tcPr>
          <w:p w14:paraId="7EE108A0" w14:textId="77777777" w:rsidR="001A75A4" w:rsidRPr="00286216" w:rsidRDefault="001A75A4" w:rsidP="001A75A4">
            <w:pPr>
              <w:pStyle w:val="StyleZakonu"/>
              <w:rPr>
                <w:color w:val="000000" w:themeColor="text1"/>
              </w:rPr>
            </w:pPr>
          </w:p>
        </w:tc>
      </w:tr>
      <w:tr w:rsidR="001A75A4" w:rsidRPr="00286216" w14:paraId="1FCF1FFC" w14:textId="77777777" w:rsidTr="00091AA5">
        <w:tc>
          <w:tcPr>
            <w:tcW w:w="576" w:type="dxa"/>
          </w:tcPr>
          <w:p w14:paraId="2EF939BA" w14:textId="77777777" w:rsidR="001A75A4" w:rsidRPr="00286216" w:rsidRDefault="001A75A4" w:rsidP="001A75A4">
            <w:pPr>
              <w:pStyle w:val="StyleWisnow"/>
              <w:rPr>
                <w:color w:val="000000" w:themeColor="text1"/>
              </w:rPr>
            </w:pPr>
            <w:bookmarkStart w:id="2221" w:name="n2416" w:colFirst="0" w:colLast="0"/>
            <w:bookmarkEnd w:id="2220"/>
            <w:r w:rsidRPr="00286216">
              <w:rPr>
                <w:color w:val="000000" w:themeColor="text1"/>
              </w:rPr>
              <w:t>2416.</w:t>
            </w:r>
          </w:p>
        </w:tc>
        <w:tc>
          <w:tcPr>
            <w:tcW w:w="4818" w:type="dxa"/>
          </w:tcPr>
          <w:p w14:paraId="2A28717C"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IІI</w:t>
            </w:r>
          </w:p>
          <w:p w14:paraId="6C965E83" w14:textId="77777777" w:rsidR="001A75A4" w:rsidRPr="00286216" w:rsidRDefault="001A75A4" w:rsidP="001A75A4">
            <w:pPr>
              <w:pStyle w:val="StyleZakonu"/>
              <w:ind w:firstLine="0"/>
              <w:jc w:val="center"/>
              <w:rPr>
                <w:color w:val="000000" w:themeColor="text1"/>
              </w:rPr>
            </w:pPr>
            <w:r w:rsidRPr="00286216">
              <w:rPr>
                <w:color w:val="000000" w:themeColor="text1"/>
              </w:rPr>
              <w:t>ФУНКЦІОНУВАННЯ ТОВАРНОЮ БІРЖЕЮ</w:t>
            </w:r>
          </w:p>
        </w:tc>
        <w:tc>
          <w:tcPr>
            <w:tcW w:w="3686" w:type="dxa"/>
          </w:tcPr>
          <w:p w14:paraId="5FB4B7D5" w14:textId="08FF175D"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1156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2FD441E" w14:textId="77777777" w:rsidR="001A75A4" w:rsidRPr="00286216" w:rsidRDefault="001A75A4" w:rsidP="001A75A4">
            <w:pPr>
              <w:pStyle w:val="StyleProp"/>
              <w:rPr>
                <w:color w:val="000000" w:themeColor="text1"/>
                <w:szCs w:val="18"/>
              </w:rPr>
            </w:pPr>
            <w:r w:rsidRPr="00286216">
              <w:rPr>
                <w:color w:val="000000" w:themeColor="text1"/>
                <w:szCs w:val="18"/>
              </w:rPr>
              <w:t>В розділі 2 Законопроекту, яким викладається Закон України «Про товарну біржу» в новій редакції:</w:t>
            </w:r>
          </w:p>
          <w:p w14:paraId="392AEF4B" w14:textId="77777777" w:rsidR="001A75A4" w:rsidRPr="00286216" w:rsidRDefault="001A75A4" w:rsidP="001A75A4">
            <w:pPr>
              <w:pStyle w:val="StyleProp"/>
              <w:rPr>
                <w:color w:val="000000" w:themeColor="text1"/>
                <w:szCs w:val="18"/>
              </w:rPr>
            </w:pPr>
            <w:r w:rsidRPr="00286216">
              <w:rPr>
                <w:color w:val="000000" w:themeColor="text1"/>
                <w:szCs w:val="18"/>
              </w:rPr>
              <w:t>назву розділу ІІІ викласти у такій редакції «ФУНКЦІОНУВАННЯ ТОВАРНОЇ БІРЖІ»</w:t>
            </w:r>
          </w:p>
        </w:tc>
        <w:tc>
          <w:tcPr>
            <w:tcW w:w="1987" w:type="dxa"/>
          </w:tcPr>
          <w:p w14:paraId="3F2AD328"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4B62A74A"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IІI</w:t>
            </w:r>
          </w:p>
          <w:p w14:paraId="6198039A" w14:textId="22B89BF3" w:rsidR="001A75A4" w:rsidRPr="00286216" w:rsidRDefault="001A75A4" w:rsidP="001A75A4">
            <w:pPr>
              <w:pStyle w:val="StyleZakonu"/>
              <w:ind w:firstLine="0"/>
              <w:jc w:val="center"/>
              <w:rPr>
                <w:color w:val="000000" w:themeColor="text1"/>
              </w:rPr>
            </w:pPr>
            <w:r w:rsidRPr="00286216">
              <w:rPr>
                <w:color w:val="000000" w:themeColor="text1"/>
              </w:rPr>
              <w:t xml:space="preserve">ФУНКЦІОНУВАННЯ </w:t>
            </w:r>
            <w:r w:rsidRPr="00286216">
              <w:rPr>
                <w:color w:val="000000" w:themeColor="text1"/>
                <w:szCs w:val="18"/>
              </w:rPr>
              <w:t>ТОВАРНОЇ БІРЖІ</w:t>
            </w:r>
          </w:p>
        </w:tc>
      </w:tr>
      <w:tr w:rsidR="001A75A4" w:rsidRPr="00286216" w14:paraId="2D39C03E" w14:textId="77777777" w:rsidTr="00091AA5">
        <w:tc>
          <w:tcPr>
            <w:tcW w:w="576" w:type="dxa"/>
          </w:tcPr>
          <w:p w14:paraId="680AD5BE" w14:textId="77777777" w:rsidR="001A75A4" w:rsidRPr="00286216" w:rsidRDefault="001A75A4" w:rsidP="001A75A4">
            <w:pPr>
              <w:pStyle w:val="StyleWisnow"/>
              <w:rPr>
                <w:color w:val="000000" w:themeColor="text1"/>
              </w:rPr>
            </w:pPr>
            <w:bookmarkStart w:id="2222" w:name="n2417" w:colFirst="0" w:colLast="0"/>
            <w:bookmarkEnd w:id="2221"/>
            <w:r w:rsidRPr="00286216">
              <w:rPr>
                <w:color w:val="000000" w:themeColor="text1"/>
              </w:rPr>
              <w:t>2417.</w:t>
            </w:r>
          </w:p>
        </w:tc>
        <w:tc>
          <w:tcPr>
            <w:tcW w:w="4818" w:type="dxa"/>
          </w:tcPr>
          <w:p w14:paraId="02B6DA01"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7. </w:t>
            </w:r>
            <w:r w:rsidRPr="00286216">
              <w:rPr>
                <w:color w:val="000000" w:themeColor="text1"/>
                <w:shd w:val="clear" w:color="auto" w:fill="FFFFFF"/>
              </w:rPr>
              <w:t>Провадження діяльності товарної біржі</w:t>
            </w:r>
          </w:p>
        </w:tc>
        <w:tc>
          <w:tcPr>
            <w:tcW w:w="3686" w:type="dxa"/>
          </w:tcPr>
          <w:p w14:paraId="3BD61521" w14:textId="77777777" w:rsidR="001A75A4" w:rsidRPr="00286216" w:rsidRDefault="001A75A4" w:rsidP="001A75A4">
            <w:pPr>
              <w:pStyle w:val="StyleProp"/>
              <w:rPr>
                <w:color w:val="000000" w:themeColor="text1"/>
                <w:szCs w:val="18"/>
              </w:rPr>
            </w:pPr>
          </w:p>
        </w:tc>
        <w:tc>
          <w:tcPr>
            <w:tcW w:w="1987" w:type="dxa"/>
          </w:tcPr>
          <w:p w14:paraId="1EF578BF" w14:textId="77777777" w:rsidR="001A75A4" w:rsidRPr="00286216" w:rsidRDefault="001A75A4" w:rsidP="001A75A4">
            <w:pPr>
              <w:pStyle w:val="StyleWisnow"/>
              <w:rPr>
                <w:color w:val="000000" w:themeColor="text1"/>
              </w:rPr>
            </w:pPr>
          </w:p>
        </w:tc>
        <w:tc>
          <w:tcPr>
            <w:tcW w:w="4818" w:type="dxa"/>
          </w:tcPr>
          <w:p w14:paraId="4A25F521" w14:textId="7A98A3CC"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7. </w:t>
            </w:r>
            <w:r w:rsidRPr="00286216">
              <w:rPr>
                <w:color w:val="000000" w:themeColor="text1"/>
                <w:shd w:val="clear" w:color="auto" w:fill="FFFFFF"/>
              </w:rPr>
              <w:t>Провадження діяльності товарної біржі</w:t>
            </w:r>
          </w:p>
        </w:tc>
      </w:tr>
      <w:tr w:rsidR="001A75A4" w:rsidRPr="00286216" w14:paraId="216D0EDF" w14:textId="77777777" w:rsidTr="00091AA5">
        <w:tc>
          <w:tcPr>
            <w:tcW w:w="576" w:type="dxa"/>
          </w:tcPr>
          <w:p w14:paraId="1B90C86B" w14:textId="77777777" w:rsidR="001A75A4" w:rsidRPr="00286216" w:rsidRDefault="001A75A4" w:rsidP="001A75A4">
            <w:pPr>
              <w:pStyle w:val="StyleWisnow"/>
              <w:rPr>
                <w:color w:val="000000" w:themeColor="text1"/>
              </w:rPr>
            </w:pPr>
            <w:bookmarkStart w:id="2223" w:name="n2418" w:colFirst="0" w:colLast="0"/>
            <w:bookmarkEnd w:id="2222"/>
            <w:r w:rsidRPr="00286216">
              <w:rPr>
                <w:color w:val="000000" w:themeColor="text1"/>
              </w:rPr>
              <w:t>2418.</w:t>
            </w:r>
          </w:p>
        </w:tc>
        <w:tc>
          <w:tcPr>
            <w:tcW w:w="4818" w:type="dxa"/>
          </w:tcPr>
          <w:p w14:paraId="1C6565B3" w14:textId="77777777" w:rsidR="001A75A4" w:rsidRPr="00286216" w:rsidRDefault="001A75A4" w:rsidP="001A75A4">
            <w:pPr>
              <w:pStyle w:val="StyleZakonu"/>
              <w:rPr>
                <w:color w:val="000000" w:themeColor="text1"/>
              </w:rPr>
            </w:pPr>
            <w:r w:rsidRPr="00286216">
              <w:rPr>
                <w:color w:val="000000" w:themeColor="text1"/>
              </w:rPr>
              <w:t>1. Товарна біржа здійснює адміністрування та забезпечує функціонування електронної торгової системи, яка відповідає вимогам, встановленим цим Законом.</w:t>
            </w:r>
          </w:p>
        </w:tc>
        <w:tc>
          <w:tcPr>
            <w:tcW w:w="3686" w:type="dxa"/>
          </w:tcPr>
          <w:p w14:paraId="78FB39AC" w14:textId="77777777" w:rsidR="001A75A4" w:rsidRPr="00286216" w:rsidRDefault="001A75A4" w:rsidP="001A75A4">
            <w:pPr>
              <w:pStyle w:val="StyleProp"/>
              <w:rPr>
                <w:color w:val="000000" w:themeColor="text1"/>
                <w:szCs w:val="18"/>
              </w:rPr>
            </w:pPr>
          </w:p>
        </w:tc>
        <w:tc>
          <w:tcPr>
            <w:tcW w:w="1987" w:type="dxa"/>
          </w:tcPr>
          <w:p w14:paraId="58E07DC9" w14:textId="77777777" w:rsidR="001A75A4" w:rsidRPr="00286216" w:rsidRDefault="001A75A4" w:rsidP="001A75A4">
            <w:pPr>
              <w:pStyle w:val="StyleWisnow"/>
              <w:rPr>
                <w:color w:val="000000" w:themeColor="text1"/>
              </w:rPr>
            </w:pPr>
          </w:p>
        </w:tc>
        <w:tc>
          <w:tcPr>
            <w:tcW w:w="4818" w:type="dxa"/>
          </w:tcPr>
          <w:p w14:paraId="37465D10" w14:textId="7F3565E9" w:rsidR="001A75A4" w:rsidRPr="00286216" w:rsidRDefault="001A75A4" w:rsidP="001A75A4">
            <w:pPr>
              <w:pStyle w:val="StyleZakonu"/>
              <w:rPr>
                <w:color w:val="000000" w:themeColor="text1"/>
              </w:rPr>
            </w:pPr>
            <w:r w:rsidRPr="00286216">
              <w:rPr>
                <w:color w:val="000000" w:themeColor="text1"/>
              </w:rPr>
              <w:t>1. Товарна біржа здійснює адміністрування та забезпечує функціонування електронної торгової системи, яка відповідає вимогам, встановленим цим Законом.</w:t>
            </w:r>
          </w:p>
        </w:tc>
      </w:tr>
      <w:tr w:rsidR="001A75A4" w:rsidRPr="00286216" w14:paraId="26255C98" w14:textId="77777777" w:rsidTr="00091AA5">
        <w:tc>
          <w:tcPr>
            <w:tcW w:w="576" w:type="dxa"/>
          </w:tcPr>
          <w:p w14:paraId="6FE0559A" w14:textId="77777777" w:rsidR="001A75A4" w:rsidRPr="00286216" w:rsidRDefault="001A75A4" w:rsidP="001A75A4">
            <w:pPr>
              <w:pStyle w:val="StyleWisnow"/>
              <w:rPr>
                <w:color w:val="000000" w:themeColor="text1"/>
              </w:rPr>
            </w:pPr>
            <w:bookmarkStart w:id="2224" w:name="n2419" w:colFirst="0" w:colLast="0"/>
            <w:bookmarkEnd w:id="2223"/>
            <w:r w:rsidRPr="00286216">
              <w:rPr>
                <w:color w:val="000000" w:themeColor="text1"/>
              </w:rPr>
              <w:t>2419.</w:t>
            </w:r>
          </w:p>
        </w:tc>
        <w:tc>
          <w:tcPr>
            <w:tcW w:w="4818" w:type="dxa"/>
          </w:tcPr>
          <w:p w14:paraId="0C40F7EC" w14:textId="77777777" w:rsidR="001A75A4" w:rsidRPr="00286216" w:rsidRDefault="001A75A4" w:rsidP="001A75A4">
            <w:pPr>
              <w:pStyle w:val="StyleZakonu"/>
              <w:rPr>
                <w:color w:val="000000" w:themeColor="text1"/>
                <w:lang w:eastAsia="uk-UA"/>
              </w:rPr>
            </w:pPr>
            <w:r w:rsidRPr="00286216">
              <w:rPr>
                <w:color w:val="000000" w:themeColor="text1"/>
                <w:lang w:eastAsia="uk-UA"/>
              </w:rPr>
              <w:t>Недискреційні правила функціонування товарної біржі не передбачають можливість її впливу на подані учасниками торгів наказів та/або розпоряджень, котирувань та доручення (далі - розпорядження учасника торгів).</w:t>
            </w:r>
          </w:p>
        </w:tc>
        <w:tc>
          <w:tcPr>
            <w:tcW w:w="3686" w:type="dxa"/>
          </w:tcPr>
          <w:p w14:paraId="3373DFB1" w14:textId="736E36B3"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1157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5CC84AA" w14:textId="77777777" w:rsidR="001A75A4" w:rsidRPr="00286216" w:rsidRDefault="001A75A4" w:rsidP="001A75A4">
            <w:pPr>
              <w:pStyle w:val="StyleProp"/>
              <w:spacing w:line="190" w:lineRule="exact"/>
              <w:rPr>
                <w:color w:val="000000" w:themeColor="text1"/>
                <w:szCs w:val="18"/>
              </w:rPr>
            </w:pPr>
            <w:r w:rsidRPr="00286216">
              <w:rPr>
                <w:color w:val="000000" w:themeColor="text1"/>
                <w:szCs w:val="18"/>
              </w:rPr>
              <w:t>У частині першій статті 7 слова «на подані учасниками торгів наказів та/або розпоряджень, котирувань» замінити словами «на направлені учасниками торгів накази та/або розпорядження, котирування».</w:t>
            </w:r>
          </w:p>
          <w:p w14:paraId="35C17C75" w14:textId="2C486A8B" w:rsidR="001A75A4" w:rsidRPr="00286216" w:rsidRDefault="001A75A4" w:rsidP="001A75A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1158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7F5963A9" w14:textId="65747F84" w:rsidR="001A75A4" w:rsidRPr="00286216" w:rsidRDefault="001A75A4" w:rsidP="001A75A4">
            <w:pPr>
              <w:pStyle w:val="StyleProp"/>
              <w:spacing w:line="190" w:lineRule="exact"/>
              <w:rPr>
                <w:color w:val="000000" w:themeColor="text1"/>
                <w:spacing w:val="-4"/>
                <w:szCs w:val="18"/>
              </w:rPr>
            </w:pPr>
            <w:r w:rsidRPr="00286216">
              <w:rPr>
                <w:color w:val="000000" w:themeColor="text1"/>
                <w:spacing w:val="-4"/>
              </w:rPr>
              <w:t>У частині 1 статті 7 слова "подані учасниками торгів наказів та/або розпоряджень, котирувань" замінити словами "надіслані учасниками торгів заявки або котирування".</w:t>
            </w:r>
          </w:p>
        </w:tc>
        <w:tc>
          <w:tcPr>
            <w:tcW w:w="1987" w:type="dxa"/>
          </w:tcPr>
          <w:p w14:paraId="0CB4541A" w14:textId="77777777" w:rsidR="001A75A4" w:rsidRPr="00286216" w:rsidRDefault="001A75A4" w:rsidP="001A75A4">
            <w:pPr>
              <w:pStyle w:val="StyleWisnow"/>
              <w:rPr>
                <w:color w:val="000000" w:themeColor="text1"/>
                <w:lang w:eastAsia="uk-UA"/>
              </w:rPr>
            </w:pPr>
            <w:r w:rsidRPr="00286216">
              <w:rPr>
                <w:color w:val="000000" w:themeColor="text1"/>
                <w:lang w:eastAsia="uk-UA"/>
              </w:rPr>
              <w:t>Враховано частково</w:t>
            </w:r>
          </w:p>
          <w:p w14:paraId="322AB6A7" w14:textId="77777777" w:rsidR="001A75A4" w:rsidRPr="00286216" w:rsidRDefault="001A75A4" w:rsidP="001A75A4">
            <w:pPr>
              <w:pStyle w:val="StyleWisnow"/>
              <w:rPr>
                <w:color w:val="000000" w:themeColor="text1"/>
                <w:lang w:eastAsia="uk-UA"/>
              </w:rPr>
            </w:pPr>
          </w:p>
          <w:p w14:paraId="6B7C618D" w14:textId="77777777" w:rsidR="001A75A4" w:rsidRPr="00286216" w:rsidRDefault="001A75A4" w:rsidP="001A75A4">
            <w:pPr>
              <w:pStyle w:val="StyleWisnow"/>
              <w:rPr>
                <w:color w:val="000000" w:themeColor="text1"/>
                <w:lang w:eastAsia="uk-UA"/>
              </w:rPr>
            </w:pPr>
          </w:p>
          <w:p w14:paraId="21F588D5" w14:textId="77777777" w:rsidR="001A75A4" w:rsidRPr="00286216" w:rsidRDefault="001A75A4" w:rsidP="001A75A4">
            <w:pPr>
              <w:pStyle w:val="StyleWisnow"/>
              <w:rPr>
                <w:color w:val="000000" w:themeColor="text1"/>
                <w:lang w:eastAsia="uk-UA"/>
              </w:rPr>
            </w:pPr>
          </w:p>
          <w:p w14:paraId="2444B0F7" w14:textId="77777777" w:rsidR="001A75A4" w:rsidRPr="00286216" w:rsidRDefault="001A75A4" w:rsidP="001A75A4">
            <w:pPr>
              <w:pStyle w:val="StyleWisnow"/>
              <w:rPr>
                <w:color w:val="000000" w:themeColor="text1"/>
                <w:lang w:eastAsia="uk-UA"/>
              </w:rPr>
            </w:pPr>
          </w:p>
          <w:p w14:paraId="1E6BCE6C" w14:textId="77777777" w:rsidR="001A75A4" w:rsidRPr="00286216" w:rsidRDefault="001A75A4" w:rsidP="001A75A4">
            <w:pPr>
              <w:pStyle w:val="StyleWisnow"/>
              <w:rPr>
                <w:color w:val="000000" w:themeColor="text1"/>
                <w:lang w:eastAsia="uk-UA"/>
              </w:rPr>
            </w:pPr>
          </w:p>
          <w:p w14:paraId="23514CD9" w14:textId="0FB65E7F" w:rsidR="001A75A4" w:rsidRPr="00286216" w:rsidRDefault="001A75A4" w:rsidP="001A75A4">
            <w:pPr>
              <w:pStyle w:val="StyleWisnow"/>
              <w:rPr>
                <w:color w:val="000000" w:themeColor="text1"/>
                <w:lang w:eastAsia="uk-UA"/>
              </w:rPr>
            </w:pPr>
            <w:r w:rsidRPr="00286216">
              <w:rPr>
                <w:color w:val="000000" w:themeColor="text1"/>
                <w:lang w:eastAsia="uk-UA"/>
              </w:rPr>
              <w:t>Враховано</w:t>
            </w:r>
          </w:p>
        </w:tc>
        <w:tc>
          <w:tcPr>
            <w:tcW w:w="4818" w:type="dxa"/>
          </w:tcPr>
          <w:p w14:paraId="00FDDD74" w14:textId="7EA0B809" w:rsidR="001A75A4" w:rsidRPr="00286216" w:rsidRDefault="001A75A4" w:rsidP="001A75A4">
            <w:pPr>
              <w:pStyle w:val="StyleZakonu"/>
              <w:rPr>
                <w:color w:val="000000" w:themeColor="text1"/>
                <w:lang w:eastAsia="uk-UA"/>
              </w:rPr>
            </w:pPr>
            <w:r w:rsidRPr="00286216">
              <w:rPr>
                <w:color w:val="000000" w:themeColor="text1"/>
                <w:lang w:eastAsia="uk-UA"/>
              </w:rPr>
              <w:t xml:space="preserve">Недискреційні правила функціонування товарної біржі не повинні передбачати можливість впливу товарної біржі </w:t>
            </w:r>
            <w:r w:rsidRPr="00286216">
              <w:rPr>
                <w:color w:val="000000" w:themeColor="text1"/>
                <w:szCs w:val="18"/>
              </w:rPr>
              <w:t xml:space="preserve">на </w:t>
            </w:r>
            <w:r w:rsidRPr="00286216">
              <w:rPr>
                <w:color w:val="000000" w:themeColor="text1"/>
                <w:spacing w:val="-4"/>
              </w:rPr>
              <w:t>надіслані учасниками торгів заявки або котирування</w:t>
            </w:r>
            <w:r w:rsidRPr="00286216">
              <w:rPr>
                <w:color w:val="000000" w:themeColor="text1"/>
                <w:lang w:eastAsia="uk-UA"/>
              </w:rPr>
              <w:t xml:space="preserve"> (далі - заявки).</w:t>
            </w:r>
          </w:p>
        </w:tc>
      </w:tr>
      <w:tr w:rsidR="001A75A4" w:rsidRPr="00286216" w14:paraId="2BA642ED" w14:textId="77777777" w:rsidTr="00091AA5">
        <w:tc>
          <w:tcPr>
            <w:tcW w:w="576" w:type="dxa"/>
          </w:tcPr>
          <w:p w14:paraId="025E0891" w14:textId="77777777" w:rsidR="001A75A4" w:rsidRPr="00286216" w:rsidRDefault="001A75A4" w:rsidP="001A75A4">
            <w:pPr>
              <w:pStyle w:val="StyleWisnow"/>
              <w:rPr>
                <w:color w:val="000000" w:themeColor="text1"/>
              </w:rPr>
            </w:pPr>
          </w:p>
        </w:tc>
        <w:tc>
          <w:tcPr>
            <w:tcW w:w="4818" w:type="dxa"/>
          </w:tcPr>
          <w:p w14:paraId="6C7B5D61" w14:textId="77777777" w:rsidR="001A75A4" w:rsidRPr="00286216" w:rsidRDefault="001A75A4" w:rsidP="001A75A4">
            <w:pPr>
              <w:pStyle w:val="StyleZakonu"/>
              <w:rPr>
                <w:color w:val="000000" w:themeColor="text1"/>
              </w:rPr>
            </w:pPr>
          </w:p>
        </w:tc>
        <w:tc>
          <w:tcPr>
            <w:tcW w:w="3686" w:type="dxa"/>
          </w:tcPr>
          <w:p w14:paraId="53BA4B5D" w14:textId="446A25E4"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1159</w:t>
            </w:r>
            <w:r w:rsidRPr="00286216">
              <w:rPr>
                <w:color w:val="000000" w:themeColor="text1"/>
                <w:spacing w:val="-2"/>
              </w:rPr>
              <w:fldChar w:fldCharType="end"/>
            </w:r>
            <w:r w:rsidRPr="00286216">
              <w:rPr>
                <w:color w:val="000000" w:themeColor="text1"/>
                <w:spacing w:val="-2"/>
              </w:rPr>
              <w:t>-Н.д.Шахов С.В. (Реєстр.картка №114)</w:t>
            </w:r>
          </w:p>
          <w:p w14:paraId="2CE9FDFC" w14:textId="77777777" w:rsidR="001A75A4" w:rsidRPr="00286216" w:rsidRDefault="001A75A4" w:rsidP="001A75A4">
            <w:pPr>
              <w:pStyle w:val="StyleProp"/>
              <w:rPr>
                <w:color w:val="000000" w:themeColor="text1"/>
                <w:szCs w:val="18"/>
                <w:lang w:eastAsia="uk-UA"/>
              </w:rPr>
            </w:pPr>
            <w:r w:rsidRPr="00286216">
              <w:rPr>
                <w:color w:val="000000" w:themeColor="text1"/>
                <w:szCs w:val="18"/>
                <w:lang w:eastAsia="uk-UA"/>
              </w:rPr>
              <w:t>Абз.2 ч.1 ст.7 викласти у такій редакції:</w:t>
            </w:r>
          </w:p>
          <w:p w14:paraId="27C1862A" w14:textId="77777777" w:rsidR="001A75A4" w:rsidRPr="00286216" w:rsidRDefault="001A75A4" w:rsidP="001A75A4">
            <w:pPr>
              <w:pStyle w:val="StyleProp"/>
              <w:spacing w:line="190" w:lineRule="exact"/>
              <w:rPr>
                <w:color w:val="000000" w:themeColor="text1"/>
                <w:szCs w:val="18"/>
              </w:rPr>
            </w:pPr>
            <w:r w:rsidRPr="00286216">
              <w:rPr>
                <w:color w:val="000000" w:themeColor="text1"/>
              </w:rPr>
              <w:t>"Недискреційні правила функціонування товарної біржі не передбачають можливість її впливу на  біржові операції учасників торгів та їх зміст (зокрема в разі подання в ЕТС заявок на купівлю/продаж біржових товарів - щодо напрямку заявок – купівля чи продаж, ціни, обсягу), та/або накази/розпорядження щодо грошового забезпечення під біржові операції чи інші доручення, пов’язані з біржовими операціями (далі – розпорядження учасника торгів)".</w:t>
            </w:r>
          </w:p>
        </w:tc>
        <w:tc>
          <w:tcPr>
            <w:tcW w:w="1987" w:type="dxa"/>
          </w:tcPr>
          <w:p w14:paraId="4644B606" w14:textId="77777777" w:rsidR="001A75A4" w:rsidRPr="00286216" w:rsidRDefault="001A75A4" w:rsidP="001A75A4">
            <w:pPr>
              <w:pStyle w:val="StyleWisnow"/>
              <w:rPr>
                <w:color w:val="000000" w:themeColor="text1"/>
              </w:rPr>
            </w:pPr>
            <w:r w:rsidRPr="00286216">
              <w:rPr>
                <w:color w:val="000000" w:themeColor="text1"/>
              </w:rPr>
              <w:t>Враховано частково</w:t>
            </w:r>
          </w:p>
        </w:tc>
        <w:tc>
          <w:tcPr>
            <w:tcW w:w="4818" w:type="dxa"/>
          </w:tcPr>
          <w:p w14:paraId="5507E9EE" w14:textId="0CCD3082" w:rsidR="001A75A4" w:rsidRPr="00286216" w:rsidRDefault="001A75A4" w:rsidP="001A75A4">
            <w:pPr>
              <w:pStyle w:val="StyleZakonu"/>
              <w:rPr>
                <w:color w:val="000000" w:themeColor="text1"/>
              </w:rPr>
            </w:pPr>
          </w:p>
        </w:tc>
      </w:tr>
      <w:tr w:rsidR="001A75A4" w:rsidRPr="00286216" w14:paraId="2AAAE7B0" w14:textId="77777777" w:rsidTr="00091AA5">
        <w:tc>
          <w:tcPr>
            <w:tcW w:w="576" w:type="dxa"/>
          </w:tcPr>
          <w:p w14:paraId="2462546B" w14:textId="77777777" w:rsidR="001A75A4" w:rsidRPr="00286216" w:rsidRDefault="001A75A4" w:rsidP="001A75A4">
            <w:pPr>
              <w:pStyle w:val="StyleWisnow"/>
              <w:rPr>
                <w:color w:val="000000" w:themeColor="text1"/>
              </w:rPr>
            </w:pPr>
            <w:bookmarkStart w:id="2225" w:name="n2420" w:colFirst="0" w:colLast="0"/>
            <w:bookmarkEnd w:id="2224"/>
            <w:r w:rsidRPr="00286216">
              <w:rPr>
                <w:color w:val="000000" w:themeColor="text1"/>
              </w:rPr>
              <w:t>2420.</w:t>
            </w:r>
          </w:p>
        </w:tc>
        <w:tc>
          <w:tcPr>
            <w:tcW w:w="4818" w:type="dxa"/>
          </w:tcPr>
          <w:p w14:paraId="6B4D49EF" w14:textId="77777777" w:rsidR="001A75A4" w:rsidRPr="00286216" w:rsidRDefault="001A75A4" w:rsidP="001A75A4">
            <w:pPr>
              <w:pStyle w:val="StyleZakonu"/>
              <w:rPr>
                <w:color w:val="000000" w:themeColor="text1"/>
              </w:rPr>
            </w:pPr>
            <w:r w:rsidRPr="00286216">
              <w:rPr>
                <w:color w:val="000000" w:themeColor="text1"/>
              </w:rPr>
              <w:t xml:space="preserve">2. Розмір початкового капіталу товарної біржі повинен відповідати вимогам щодо його розрахунку, встановленим статтею 66 Закону України </w:t>
            </w:r>
            <w:r w:rsidRPr="00286216">
              <w:rPr>
                <w:color w:val="000000" w:themeColor="text1"/>
                <w:lang w:eastAsia="uk-UA"/>
              </w:rPr>
              <w:t>"Про ринки капіталу та організовані товарні ринки"</w:t>
            </w:r>
            <w:r w:rsidRPr="00286216">
              <w:rPr>
                <w:color w:val="000000" w:themeColor="text1"/>
              </w:rPr>
              <w:t xml:space="preserve">, та вимогам щодо його розміру, встановленим Національною комісією з цінних паперів та фондового ринку, та його мінімальний розмір не може бути меншим ніж </w:t>
            </w:r>
            <w:r w:rsidRPr="00286216">
              <w:rPr>
                <w:color w:val="000000" w:themeColor="text1"/>
              </w:rPr>
              <w:lastRenderedPageBreak/>
              <w:t>730 тисяч євро за офіційним курсом Національного банку України, що діяв на дату подання до Національної комісії з цінних паперів та фондового ринку заяви про видачу ліцензії.</w:t>
            </w:r>
          </w:p>
        </w:tc>
        <w:tc>
          <w:tcPr>
            <w:tcW w:w="3686" w:type="dxa"/>
          </w:tcPr>
          <w:p w14:paraId="0F1A5774" w14:textId="27AE5972" w:rsidR="001A75A4" w:rsidRPr="00286216" w:rsidRDefault="001A75A4" w:rsidP="001A75A4">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1160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099B9E9" w14:textId="77777777" w:rsidR="001A75A4" w:rsidRPr="00286216" w:rsidRDefault="001A75A4" w:rsidP="001A75A4">
            <w:pPr>
              <w:pStyle w:val="StyleProp"/>
              <w:spacing w:line="190" w:lineRule="exact"/>
              <w:rPr>
                <w:color w:val="000000" w:themeColor="text1"/>
                <w:szCs w:val="18"/>
              </w:rPr>
            </w:pPr>
            <w:r w:rsidRPr="00286216">
              <w:rPr>
                <w:color w:val="000000" w:themeColor="text1"/>
                <w:szCs w:val="18"/>
              </w:rPr>
              <w:t>У частині другій статті 7 цифри "730" замінити цифрами "50".</w:t>
            </w:r>
          </w:p>
          <w:p w14:paraId="247DDF09" w14:textId="2CA787AF"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1161</w:t>
            </w:r>
            <w:r w:rsidRPr="00286216">
              <w:rPr>
                <w:color w:val="000000" w:themeColor="text1"/>
                <w:spacing w:val="-2"/>
              </w:rPr>
              <w:fldChar w:fldCharType="end"/>
            </w:r>
            <w:r w:rsidRPr="00286216">
              <w:rPr>
                <w:color w:val="000000" w:themeColor="text1"/>
                <w:spacing w:val="-2"/>
              </w:rPr>
              <w:t>-Н.д.Шахов С.В. (Реєстр.картка №114)</w:t>
            </w:r>
          </w:p>
          <w:p w14:paraId="0BE22960"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Частину 2 ст. 7 викласти у такій редакції:</w:t>
            </w:r>
          </w:p>
          <w:p w14:paraId="7E5A0354" w14:textId="77777777" w:rsidR="001A75A4" w:rsidRPr="00286216" w:rsidRDefault="001A75A4" w:rsidP="001A75A4">
            <w:pPr>
              <w:pStyle w:val="StyleProp"/>
              <w:spacing w:line="180" w:lineRule="exact"/>
              <w:rPr>
                <w:color w:val="000000" w:themeColor="text1"/>
                <w:szCs w:val="18"/>
              </w:rPr>
            </w:pPr>
            <w:r w:rsidRPr="00286216">
              <w:rPr>
                <w:color w:val="000000" w:themeColor="text1"/>
              </w:rPr>
              <w:t>"</w:t>
            </w:r>
            <w:r w:rsidRPr="00286216">
              <w:rPr>
                <w:color w:val="000000" w:themeColor="text1"/>
                <w:szCs w:val="18"/>
              </w:rPr>
              <w:t xml:space="preserve">2. Розмір початкового капіталу товарної біржі повинен відповідати вимогам щодо його розрахунку, встановленим статтею 66 </w:t>
            </w:r>
            <w:r w:rsidRPr="00286216">
              <w:rPr>
                <w:color w:val="000000" w:themeColor="text1"/>
                <w:szCs w:val="18"/>
              </w:rPr>
              <w:lastRenderedPageBreak/>
              <w:t>Закону України «Про ринки капіталу та організовані товарні ринки», та вимогам щодо його розміру, встановленим Національною комісією з цінних паперів та фондового ринку, та його мінімальний розмір не може бути меншим, ніж 20 млн гривень".</w:t>
            </w:r>
          </w:p>
        </w:tc>
        <w:tc>
          <w:tcPr>
            <w:tcW w:w="1987" w:type="dxa"/>
          </w:tcPr>
          <w:p w14:paraId="5E3E9F98" w14:textId="77777777" w:rsidR="001A75A4" w:rsidRPr="00286216" w:rsidRDefault="001A75A4" w:rsidP="001A75A4">
            <w:pPr>
              <w:pStyle w:val="StyleWisnow"/>
              <w:rPr>
                <w:color w:val="000000" w:themeColor="text1"/>
              </w:rPr>
            </w:pPr>
            <w:r w:rsidRPr="00286216">
              <w:rPr>
                <w:color w:val="000000" w:themeColor="text1"/>
              </w:rPr>
              <w:lastRenderedPageBreak/>
              <w:t>Відхилено</w:t>
            </w:r>
          </w:p>
          <w:p w14:paraId="237D6602" w14:textId="77777777" w:rsidR="001A75A4" w:rsidRPr="00286216" w:rsidRDefault="001A75A4" w:rsidP="001A75A4">
            <w:pPr>
              <w:pStyle w:val="StyleWisnow"/>
              <w:rPr>
                <w:color w:val="000000" w:themeColor="text1"/>
              </w:rPr>
            </w:pPr>
          </w:p>
          <w:p w14:paraId="1CBF21C3" w14:textId="77777777" w:rsidR="001A75A4" w:rsidRPr="00286216" w:rsidRDefault="001A75A4" w:rsidP="001A75A4">
            <w:pPr>
              <w:pStyle w:val="StyleWisnow"/>
              <w:rPr>
                <w:color w:val="000000" w:themeColor="text1"/>
              </w:rPr>
            </w:pPr>
          </w:p>
          <w:p w14:paraId="6B7EF0CE"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7FE90D29" w14:textId="3E1E2851" w:rsidR="001A75A4" w:rsidRPr="00286216" w:rsidRDefault="001A75A4" w:rsidP="001A75A4">
            <w:pPr>
              <w:pStyle w:val="StyleZakonu"/>
              <w:rPr>
                <w:color w:val="000000" w:themeColor="text1"/>
              </w:rPr>
            </w:pPr>
            <w:r w:rsidRPr="00286216">
              <w:rPr>
                <w:color w:val="000000" w:themeColor="text1"/>
                <w:szCs w:val="18"/>
              </w:rPr>
              <w:t xml:space="preserve">2. Розмір початкового капіталу товарної біржі має відповідати вимогам щодо його розрахунку, встановленим статтею 66 Закону України «Про ринки капіталу та організовані товарні ринки», та вимогам щодо його розміру, встановленим Національною комісією з цінних паперів та фондового ринку, та його мінімальний розмір не може бути меншим, ніж </w:t>
            </w:r>
            <w:r w:rsidRPr="00286216">
              <w:rPr>
                <w:color w:val="000000" w:themeColor="text1"/>
                <w:szCs w:val="18"/>
              </w:rPr>
              <w:lastRenderedPageBreak/>
              <w:t>20 млн гривень.</w:t>
            </w:r>
          </w:p>
        </w:tc>
      </w:tr>
      <w:tr w:rsidR="001A75A4" w:rsidRPr="00286216" w14:paraId="2FECF095" w14:textId="77777777" w:rsidTr="00091AA5">
        <w:tc>
          <w:tcPr>
            <w:tcW w:w="576" w:type="dxa"/>
          </w:tcPr>
          <w:p w14:paraId="79872646" w14:textId="77777777" w:rsidR="001A75A4" w:rsidRPr="00286216" w:rsidRDefault="001A75A4" w:rsidP="001A75A4">
            <w:pPr>
              <w:pStyle w:val="StyleWisnow"/>
              <w:rPr>
                <w:color w:val="000000" w:themeColor="text1"/>
              </w:rPr>
            </w:pPr>
            <w:bookmarkStart w:id="2226" w:name="n2421" w:colFirst="0" w:colLast="0"/>
            <w:bookmarkEnd w:id="2225"/>
            <w:r w:rsidRPr="00286216">
              <w:rPr>
                <w:color w:val="000000" w:themeColor="text1"/>
              </w:rPr>
              <w:lastRenderedPageBreak/>
              <w:t>2421.</w:t>
            </w:r>
          </w:p>
        </w:tc>
        <w:tc>
          <w:tcPr>
            <w:tcW w:w="4818" w:type="dxa"/>
          </w:tcPr>
          <w:p w14:paraId="50D43561" w14:textId="77777777" w:rsidR="001A75A4" w:rsidRPr="00286216" w:rsidRDefault="001A75A4" w:rsidP="001A75A4">
            <w:pPr>
              <w:pStyle w:val="StyleZakonu"/>
              <w:rPr>
                <w:color w:val="000000" w:themeColor="text1"/>
              </w:rPr>
            </w:pPr>
            <w:r w:rsidRPr="00286216">
              <w:rPr>
                <w:color w:val="000000" w:themeColor="text1"/>
              </w:rPr>
              <w:t>3. Особа, яка має намір набути статусу товарної біржі, а також товарна біржа протягом всього періоду своєї діяльності повинна відповідати ліцензійним умовам провадження діяльності з організації торгівлі продукцією на товарних біржах, якими є: організаційні та операційні вимоги, вимоги до розміру статутного і власного капіталу, порядку його визначення, ліквідності, кваліфікаційним вимоги до фахівців товарних бірж, вимоги до технічного та програмного забезпечення, вимоги щодо джерел походження коштів, за рахунок яких формується статутний капітал товарної біржі, інші вимоги та показники, що обмежують ризики діяльності товарної біржі, що встановлені цим Законом та нормативно-правовими актами Національної комісії з цінних паперів та фондового ринку.</w:t>
            </w:r>
          </w:p>
        </w:tc>
        <w:tc>
          <w:tcPr>
            <w:tcW w:w="3686" w:type="dxa"/>
          </w:tcPr>
          <w:p w14:paraId="78109E14" w14:textId="3A43B1FA"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1162</w:t>
            </w:r>
            <w:r w:rsidRPr="00286216">
              <w:rPr>
                <w:color w:val="000000" w:themeColor="text1"/>
                <w:spacing w:val="-2"/>
              </w:rPr>
              <w:fldChar w:fldCharType="end"/>
            </w:r>
            <w:r w:rsidRPr="00286216">
              <w:rPr>
                <w:color w:val="000000" w:themeColor="text1"/>
                <w:spacing w:val="-2"/>
              </w:rPr>
              <w:t>-Н.д.Шахов С.В. (Реєстр.картка №114)</w:t>
            </w:r>
          </w:p>
          <w:p w14:paraId="308D6F49"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Частину 3 ст. 7 викласти у такій редакції:</w:t>
            </w:r>
          </w:p>
          <w:p w14:paraId="3CF30D79" w14:textId="77777777" w:rsidR="001A75A4" w:rsidRPr="00286216" w:rsidRDefault="001A75A4" w:rsidP="001A75A4">
            <w:pPr>
              <w:pStyle w:val="StyleProp"/>
              <w:spacing w:line="190" w:lineRule="exact"/>
              <w:rPr>
                <w:color w:val="000000" w:themeColor="text1"/>
                <w:szCs w:val="18"/>
              </w:rPr>
            </w:pPr>
            <w:r w:rsidRPr="00286216">
              <w:rPr>
                <w:color w:val="000000" w:themeColor="text1"/>
                <w:szCs w:val="18"/>
              </w:rPr>
              <w:t>"3. Особа, яка має намір набути статусу товарної біржі, а також товарна біржа протягом всього періоду своєї діяльності, повинна відповідати вимогам, встановленим законодавством, якими є: вимоги до розміру статутного і власного капіталу, ліквідності, вимоги щодо джерел походження коштів, за рахунок яких формується статутний капітал товарної біржі, а також вимогам до технічного та програмного забезпечення ЕТС, що встановлені цим Законом".</w:t>
            </w:r>
          </w:p>
        </w:tc>
        <w:tc>
          <w:tcPr>
            <w:tcW w:w="1987" w:type="dxa"/>
          </w:tcPr>
          <w:p w14:paraId="5358BF83" w14:textId="77777777" w:rsidR="001A75A4" w:rsidRPr="00286216" w:rsidRDefault="001A75A4" w:rsidP="001A75A4">
            <w:pPr>
              <w:pStyle w:val="StyleWisnow"/>
              <w:rPr>
                <w:color w:val="000000" w:themeColor="text1"/>
              </w:rPr>
            </w:pPr>
            <w:r w:rsidRPr="00286216">
              <w:rPr>
                <w:color w:val="000000" w:themeColor="text1"/>
              </w:rPr>
              <w:t>Відхилено</w:t>
            </w:r>
          </w:p>
          <w:p w14:paraId="0EB7D54A" w14:textId="6C46241E" w:rsidR="001A75A4" w:rsidRPr="00286216" w:rsidRDefault="001A75A4" w:rsidP="001A75A4">
            <w:pPr>
              <w:pStyle w:val="StyleWisnow"/>
              <w:rPr>
                <w:color w:val="000000" w:themeColor="text1"/>
              </w:rPr>
            </w:pPr>
            <w:r w:rsidRPr="00286216">
              <w:rPr>
                <w:color w:val="000000" w:themeColor="text1"/>
              </w:rPr>
              <w:t>запропонований перелік не дозволятиме НКЦПФР впливати на ризики у діяльності товарних бірж</w:t>
            </w:r>
          </w:p>
        </w:tc>
        <w:tc>
          <w:tcPr>
            <w:tcW w:w="4818" w:type="dxa"/>
          </w:tcPr>
          <w:p w14:paraId="3D7E4369" w14:textId="08F43EA1" w:rsidR="001A75A4" w:rsidRPr="00286216" w:rsidRDefault="001A75A4" w:rsidP="001A75A4">
            <w:pPr>
              <w:pStyle w:val="StyleZakonu"/>
              <w:rPr>
                <w:color w:val="000000" w:themeColor="text1"/>
              </w:rPr>
            </w:pPr>
            <w:r w:rsidRPr="00286216">
              <w:rPr>
                <w:color w:val="000000" w:themeColor="text1"/>
              </w:rPr>
              <w:t>3. Особа, яка має намір набути статусу товарної біржі, а також товарна біржа протягом всього періоду своєї діяльності повинні відповідати ліцензійним умовам провадження діяльності з організації торгівлі продукцією на товарних біржах, а саме: організаційним та операційним вимогам, вимогам до розміру статутного і власного капіталу, порядку його визначення, ліквідності, кваліфікаційним вимогам до фахівців товарних бірж, вимогам до технічного та програмного забезпечення, вимогам щодо джерел походження коштів, за рахунок яких формується статутний капітал товарної біржі, іншим вимогам і показникам, що обмежують ризики діяльності товарної біржі, які встановлені цим Законом та нормативно-правовими актами Національної комісії з цінних паперів та фондового ринку.</w:t>
            </w:r>
          </w:p>
        </w:tc>
      </w:tr>
      <w:tr w:rsidR="001A75A4" w:rsidRPr="00286216" w14:paraId="5D52F444" w14:textId="77777777" w:rsidTr="00091AA5">
        <w:tc>
          <w:tcPr>
            <w:tcW w:w="576" w:type="dxa"/>
          </w:tcPr>
          <w:p w14:paraId="2FD64B03" w14:textId="77777777" w:rsidR="001A75A4" w:rsidRPr="00286216" w:rsidRDefault="001A75A4" w:rsidP="001A75A4">
            <w:pPr>
              <w:pStyle w:val="StyleWisnow"/>
              <w:rPr>
                <w:color w:val="000000" w:themeColor="text1"/>
              </w:rPr>
            </w:pPr>
            <w:bookmarkStart w:id="2227" w:name="n2422" w:colFirst="0" w:colLast="0"/>
            <w:bookmarkEnd w:id="2226"/>
            <w:r w:rsidRPr="00286216">
              <w:rPr>
                <w:color w:val="000000" w:themeColor="text1"/>
              </w:rPr>
              <w:t>2422.</w:t>
            </w:r>
          </w:p>
        </w:tc>
        <w:tc>
          <w:tcPr>
            <w:tcW w:w="4818" w:type="dxa"/>
          </w:tcPr>
          <w:p w14:paraId="4B08857C" w14:textId="77777777" w:rsidR="001A75A4" w:rsidRPr="00286216" w:rsidRDefault="001A75A4" w:rsidP="001A75A4">
            <w:pPr>
              <w:pStyle w:val="StyleZakonu"/>
              <w:rPr>
                <w:color w:val="000000" w:themeColor="text1"/>
              </w:rPr>
            </w:pPr>
            <w:r w:rsidRPr="00286216">
              <w:rPr>
                <w:color w:val="000000" w:themeColor="text1"/>
              </w:rPr>
              <w:t>4. Товарній біржі та її працівникам забороняється надавати фізичним та/або юридичним особам рекомендації щодо звернення для отримання послуг до конкретних учасників торгів, а також рекомендацій щодо придбання того чи іншого біржового товару.</w:t>
            </w:r>
          </w:p>
        </w:tc>
        <w:tc>
          <w:tcPr>
            <w:tcW w:w="3686" w:type="dxa"/>
          </w:tcPr>
          <w:p w14:paraId="20F5C642" w14:textId="77777777" w:rsidR="001A75A4" w:rsidRPr="00286216" w:rsidRDefault="001A75A4" w:rsidP="001A75A4">
            <w:pPr>
              <w:pStyle w:val="StyleProp"/>
              <w:rPr>
                <w:color w:val="000000" w:themeColor="text1"/>
                <w:szCs w:val="18"/>
              </w:rPr>
            </w:pPr>
          </w:p>
        </w:tc>
        <w:tc>
          <w:tcPr>
            <w:tcW w:w="1987" w:type="dxa"/>
          </w:tcPr>
          <w:p w14:paraId="0FC38E26" w14:textId="77777777" w:rsidR="001A75A4" w:rsidRPr="00286216" w:rsidRDefault="001A75A4" w:rsidP="001A75A4">
            <w:pPr>
              <w:pStyle w:val="StyleWisnow"/>
              <w:rPr>
                <w:color w:val="000000" w:themeColor="text1"/>
              </w:rPr>
            </w:pPr>
          </w:p>
        </w:tc>
        <w:tc>
          <w:tcPr>
            <w:tcW w:w="4818" w:type="dxa"/>
          </w:tcPr>
          <w:p w14:paraId="5C30F5CF" w14:textId="0C5AB44B" w:rsidR="001A75A4" w:rsidRPr="00286216" w:rsidRDefault="001A75A4" w:rsidP="001A75A4">
            <w:pPr>
              <w:pStyle w:val="StyleZakonu"/>
              <w:rPr>
                <w:color w:val="000000" w:themeColor="text1"/>
              </w:rPr>
            </w:pPr>
            <w:r w:rsidRPr="00286216">
              <w:rPr>
                <w:color w:val="000000" w:themeColor="text1"/>
              </w:rPr>
              <w:t>4. Товарній біржі та її працівникам забороняється надавати фізичним та/або юридичним особам рекомендації щодо звернення для отримання послуг до конкретних учасників торгів, а також рекомендації щодо придбання того чи іншого біржового товару.</w:t>
            </w:r>
          </w:p>
        </w:tc>
      </w:tr>
      <w:tr w:rsidR="001A75A4" w:rsidRPr="00286216" w14:paraId="28949DB6" w14:textId="77777777" w:rsidTr="00091AA5">
        <w:tc>
          <w:tcPr>
            <w:tcW w:w="576" w:type="dxa"/>
          </w:tcPr>
          <w:p w14:paraId="5271CE63" w14:textId="77777777" w:rsidR="001A75A4" w:rsidRPr="00286216" w:rsidRDefault="001A75A4" w:rsidP="001A75A4">
            <w:pPr>
              <w:pStyle w:val="StyleWisnow"/>
              <w:rPr>
                <w:color w:val="000000" w:themeColor="text1"/>
              </w:rPr>
            </w:pPr>
            <w:bookmarkStart w:id="2228" w:name="n2423" w:colFirst="0" w:colLast="0"/>
            <w:bookmarkEnd w:id="2227"/>
            <w:r w:rsidRPr="00286216">
              <w:rPr>
                <w:color w:val="000000" w:themeColor="text1"/>
              </w:rPr>
              <w:t>2423.</w:t>
            </w:r>
          </w:p>
        </w:tc>
        <w:tc>
          <w:tcPr>
            <w:tcW w:w="4818" w:type="dxa"/>
          </w:tcPr>
          <w:p w14:paraId="73078534" w14:textId="77777777" w:rsidR="001A75A4" w:rsidRPr="00286216" w:rsidRDefault="001A75A4" w:rsidP="001A75A4">
            <w:pPr>
              <w:pStyle w:val="StyleZakonu"/>
              <w:rPr>
                <w:color w:val="000000" w:themeColor="text1"/>
              </w:rPr>
            </w:pPr>
            <w:r w:rsidRPr="00286216">
              <w:rPr>
                <w:color w:val="000000" w:themeColor="text1"/>
              </w:rPr>
              <w:t>5. Працівники товарної біржі не мають права брати участь у біржових або позабіржових операціях з біржовими товарами, виконувати роботи, що пов’язані з участю у біржових торгах, на підставі трудових, цивільно-правових договорів з учасниками біржових торгів та їх пов’язаними особами, використовувати, розголошувати у власних інтересах або інтересах третіх осіб інформацію, яка не підлягає розкриттю, про учасників торгів, їх клієнтів та їх діяльність.</w:t>
            </w:r>
          </w:p>
        </w:tc>
        <w:tc>
          <w:tcPr>
            <w:tcW w:w="3686" w:type="dxa"/>
          </w:tcPr>
          <w:p w14:paraId="028E028C" w14:textId="77777777" w:rsidR="001A75A4" w:rsidRPr="00286216" w:rsidRDefault="001A75A4" w:rsidP="001A75A4">
            <w:pPr>
              <w:pStyle w:val="StyleProp"/>
              <w:rPr>
                <w:color w:val="000000" w:themeColor="text1"/>
                <w:szCs w:val="18"/>
              </w:rPr>
            </w:pPr>
          </w:p>
        </w:tc>
        <w:tc>
          <w:tcPr>
            <w:tcW w:w="1987" w:type="dxa"/>
          </w:tcPr>
          <w:p w14:paraId="1D0462A5" w14:textId="77777777" w:rsidR="001A75A4" w:rsidRPr="00286216" w:rsidRDefault="001A75A4" w:rsidP="001A75A4">
            <w:pPr>
              <w:pStyle w:val="StyleWisnow"/>
              <w:rPr>
                <w:color w:val="000000" w:themeColor="text1"/>
              </w:rPr>
            </w:pPr>
          </w:p>
        </w:tc>
        <w:tc>
          <w:tcPr>
            <w:tcW w:w="4818" w:type="dxa"/>
          </w:tcPr>
          <w:p w14:paraId="4C4906BF" w14:textId="74658818" w:rsidR="001A75A4" w:rsidRPr="00286216" w:rsidRDefault="001A75A4" w:rsidP="001A75A4">
            <w:pPr>
              <w:pStyle w:val="StyleZakonu"/>
              <w:rPr>
                <w:color w:val="000000" w:themeColor="text1"/>
              </w:rPr>
            </w:pPr>
            <w:r w:rsidRPr="00286216">
              <w:rPr>
                <w:color w:val="000000" w:themeColor="text1"/>
              </w:rPr>
              <w:t>5. Працівники товарної біржі не мають права брати участь у біржових або позабіржових операціях з біржовими товарами, виконувати роботи, пов’язані з участю у біржових торгах, на підставі трудових, цивільно-правових договорів з учасниками біржових торгів та їх пов’язаними особами, використовувати, розголошувати у власних інтересах або інтересах третіх осіб інформацію, яка не підлягає розкриттю, про учасників торгів, їхніх клієнтів та їхню діяльність.</w:t>
            </w:r>
          </w:p>
        </w:tc>
      </w:tr>
      <w:tr w:rsidR="001A75A4" w:rsidRPr="00286216" w14:paraId="64AD224F" w14:textId="77777777" w:rsidTr="00091AA5">
        <w:tc>
          <w:tcPr>
            <w:tcW w:w="576" w:type="dxa"/>
          </w:tcPr>
          <w:p w14:paraId="68731E2A" w14:textId="77777777" w:rsidR="001A75A4" w:rsidRPr="00286216" w:rsidRDefault="001A75A4" w:rsidP="001A75A4">
            <w:pPr>
              <w:pStyle w:val="StyleWisnow"/>
              <w:rPr>
                <w:color w:val="000000" w:themeColor="text1"/>
              </w:rPr>
            </w:pPr>
            <w:bookmarkStart w:id="2229" w:name="n2424" w:colFirst="0" w:colLast="0"/>
            <w:bookmarkEnd w:id="2228"/>
            <w:r w:rsidRPr="00286216">
              <w:rPr>
                <w:color w:val="000000" w:themeColor="text1"/>
              </w:rPr>
              <w:t>2424.</w:t>
            </w:r>
          </w:p>
        </w:tc>
        <w:tc>
          <w:tcPr>
            <w:tcW w:w="4818" w:type="dxa"/>
          </w:tcPr>
          <w:p w14:paraId="2359234D" w14:textId="77777777" w:rsidR="001A75A4" w:rsidRPr="00286216" w:rsidRDefault="001A75A4" w:rsidP="001A75A4">
            <w:pPr>
              <w:pStyle w:val="StyleZakonu"/>
              <w:rPr>
                <w:color w:val="000000" w:themeColor="text1"/>
              </w:rPr>
            </w:pPr>
            <w:r w:rsidRPr="00286216">
              <w:rPr>
                <w:color w:val="000000" w:themeColor="text1"/>
              </w:rPr>
              <w:t xml:space="preserve">6. Інформація щодо біржових торгів, вимоги до якої встановлені Національною комісією з цінних паперів та фондового ринку підлягає розкриттю на веб-сайті товарної біржі та зберіганню не менше трьох років. Товарна біржа здійснює зберігання паперових та/або електронних документів щодо укладення (виконання) біржових угод (договорів) протягом не менше трьох років, якщо інше не </w:t>
            </w:r>
            <w:r w:rsidRPr="00286216">
              <w:rPr>
                <w:color w:val="000000" w:themeColor="text1"/>
              </w:rPr>
              <w:lastRenderedPageBreak/>
              <w:t>передбачено законодавством.</w:t>
            </w:r>
          </w:p>
        </w:tc>
        <w:tc>
          <w:tcPr>
            <w:tcW w:w="3686" w:type="dxa"/>
          </w:tcPr>
          <w:p w14:paraId="2DAC05FC" w14:textId="3AB5FE5D" w:rsidR="001A75A4" w:rsidRPr="00286216" w:rsidRDefault="001A75A4" w:rsidP="001A75A4">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1163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B6E5330" w14:textId="77777777" w:rsidR="001A75A4" w:rsidRPr="00286216" w:rsidRDefault="001A75A4" w:rsidP="001A75A4">
            <w:pPr>
              <w:pStyle w:val="StyleProp"/>
              <w:spacing w:line="190" w:lineRule="exact"/>
              <w:rPr>
                <w:color w:val="000000" w:themeColor="text1"/>
              </w:rPr>
            </w:pPr>
            <w:r w:rsidRPr="00286216">
              <w:rPr>
                <w:color w:val="000000" w:themeColor="text1"/>
              </w:rPr>
              <w:t>Перше речення частини шостої статті 7 викласти в такій редакції:</w:t>
            </w:r>
          </w:p>
          <w:p w14:paraId="127A2C96" w14:textId="77777777" w:rsidR="001A75A4" w:rsidRPr="00286216" w:rsidRDefault="001A75A4" w:rsidP="001A75A4">
            <w:pPr>
              <w:pStyle w:val="StyleProp"/>
              <w:spacing w:line="190" w:lineRule="exact"/>
              <w:rPr>
                <w:color w:val="000000" w:themeColor="text1"/>
              </w:rPr>
            </w:pPr>
            <w:r w:rsidRPr="00286216">
              <w:rPr>
                <w:color w:val="000000" w:themeColor="text1"/>
              </w:rPr>
              <w:t xml:space="preserve">«Товарна біржа на своєму веб-сайті розкриває відповідно до вимог, встановлених Національною комісією з цінних паперів та фондового ринку, інформацію щодо біржових торгів, зокрема: щодо опису біржового товару, кількості укладених та виконаних біржових договорів, ціни </w:t>
            </w:r>
            <w:r w:rsidRPr="00286216">
              <w:rPr>
                <w:color w:val="000000" w:themeColor="text1"/>
              </w:rPr>
              <w:lastRenderedPageBreak/>
              <w:t xml:space="preserve">біржового товару». </w:t>
            </w:r>
          </w:p>
          <w:p w14:paraId="740D294A" w14:textId="6262DE5A"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1164</w:t>
            </w:r>
            <w:r w:rsidRPr="00286216">
              <w:rPr>
                <w:color w:val="000000" w:themeColor="text1"/>
                <w:spacing w:val="-2"/>
              </w:rPr>
              <w:fldChar w:fldCharType="end"/>
            </w:r>
            <w:r w:rsidRPr="00286216">
              <w:rPr>
                <w:color w:val="000000" w:themeColor="text1"/>
                <w:spacing w:val="-2"/>
              </w:rPr>
              <w:t>-Н.д.Шахов С.В. (Реєстр.картка №114)</w:t>
            </w:r>
          </w:p>
          <w:p w14:paraId="37F601EE" w14:textId="77777777" w:rsidR="001A75A4" w:rsidRPr="00286216" w:rsidRDefault="001A75A4" w:rsidP="001A75A4">
            <w:pPr>
              <w:pStyle w:val="StyleProp"/>
              <w:spacing w:line="190" w:lineRule="exact"/>
              <w:rPr>
                <w:color w:val="000000" w:themeColor="text1"/>
                <w:szCs w:val="18"/>
              </w:rPr>
            </w:pPr>
            <w:r w:rsidRPr="00286216">
              <w:rPr>
                <w:color w:val="000000" w:themeColor="text1"/>
                <w:szCs w:val="18"/>
                <w:lang w:eastAsia="uk-UA"/>
              </w:rPr>
              <w:t>У частині 6 ст. 7 слова "вимоги до якої встановлені Національною комісією з цінних паперів та фондового ринку" замінити словами "</w:t>
            </w:r>
            <w:r w:rsidRPr="00286216">
              <w:rPr>
                <w:color w:val="000000" w:themeColor="text1"/>
                <w:szCs w:val="18"/>
              </w:rPr>
              <w:t>визначена цим Законом".</w:t>
            </w:r>
          </w:p>
        </w:tc>
        <w:tc>
          <w:tcPr>
            <w:tcW w:w="1987" w:type="dxa"/>
          </w:tcPr>
          <w:p w14:paraId="73B4DFA6" w14:textId="77777777" w:rsidR="001A75A4" w:rsidRPr="00286216" w:rsidRDefault="001A75A4" w:rsidP="001A75A4">
            <w:pPr>
              <w:pStyle w:val="StyleWisnow"/>
              <w:rPr>
                <w:color w:val="000000" w:themeColor="text1"/>
              </w:rPr>
            </w:pPr>
            <w:r w:rsidRPr="00286216">
              <w:rPr>
                <w:color w:val="000000" w:themeColor="text1"/>
              </w:rPr>
              <w:lastRenderedPageBreak/>
              <w:t>Враховано</w:t>
            </w:r>
          </w:p>
          <w:p w14:paraId="7CF4DB7C" w14:textId="77777777" w:rsidR="001A75A4" w:rsidRPr="00286216" w:rsidRDefault="001A75A4" w:rsidP="001A75A4">
            <w:pPr>
              <w:pStyle w:val="StyleWisnow"/>
              <w:rPr>
                <w:color w:val="000000" w:themeColor="text1"/>
              </w:rPr>
            </w:pPr>
          </w:p>
          <w:p w14:paraId="589531BC" w14:textId="77777777" w:rsidR="001A75A4" w:rsidRPr="00286216" w:rsidRDefault="001A75A4" w:rsidP="001A75A4">
            <w:pPr>
              <w:pStyle w:val="StyleWisnow"/>
              <w:rPr>
                <w:color w:val="000000" w:themeColor="text1"/>
              </w:rPr>
            </w:pPr>
          </w:p>
          <w:p w14:paraId="6EA1E5B7" w14:textId="77777777" w:rsidR="001A75A4" w:rsidRPr="00286216" w:rsidRDefault="001A75A4" w:rsidP="001A75A4">
            <w:pPr>
              <w:pStyle w:val="StyleWisnow"/>
              <w:rPr>
                <w:color w:val="000000" w:themeColor="text1"/>
              </w:rPr>
            </w:pPr>
          </w:p>
          <w:p w14:paraId="53F69750" w14:textId="77777777" w:rsidR="001A75A4" w:rsidRPr="00286216" w:rsidRDefault="001A75A4" w:rsidP="001A75A4">
            <w:pPr>
              <w:pStyle w:val="StyleWisnow"/>
              <w:rPr>
                <w:color w:val="000000" w:themeColor="text1"/>
              </w:rPr>
            </w:pPr>
          </w:p>
          <w:p w14:paraId="3617BF64" w14:textId="77777777" w:rsidR="001A75A4" w:rsidRPr="00286216" w:rsidRDefault="001A75A4" w:rsidP="001A75A4">
            <w:pPr>
              <w:pStyle w:val="StyleWisnow"/>
              <w:rPr>
                <w:color w:val="000000" w:themeColor="text1"/>
              </w:rPr>
            </w:pPr>
          </w:p>
          <w:p w14:paraId="48162550" w14:textId="77777777" w:rsidR="001A75A4" w:rsidRPr="00286216" w:rsidRDefault="001A75A4" w:rsidP="001A75A4">
            <w:pPr>
              <w:pStyle w:val="StyleWisnow"/>
              <w:rPr>
                <w:color w:val="000000" w:themeColor="text1"/>
              </w:rPr>
            </w:pPr>
          </w:p>
          <w:p w14:paraId="14A23A91" w14:textId="77777777" w:rsidR="001A75A4" w:rsidRPr="00286216" w:rsidRDefault="001A75A4" w:rsidP="001A75A4">
            <w:pPr>
              <w:pStyle w:val="StyleWisnow"/>
              <w:rPr>
                <w:color w:val="000000" w:themeColor="text1"/>
              </w:rPr>
            </w:pPr>
          </w:p>
          <w:p w14:paraId="2EAD919C" w14:textId="77777777" w:rsidR="001A75A4" w:rsidRPr="00286216" w:rsidRDefault="001A75A4" w:rsidP="001A75A4">
            <w:pPr>
              <w:pStyle w:val="StyleWisnow"/>
              <w:rPr>
                <w:color w:val="000000" w:themeColor="text1"/>
              </w:rPr>
            </w:pPr>
          </w:p>
          <w:p w14:paraId="53B7EBB5" w14:textId="77777777" w:rsidR="001A75A4" w:rsidRPr="00286216" w:rsidRDefault="001A75A4" w:rsidP="001A75A4">
            <w:pPr>
              <w:pStyle w:val="StyleWisnow"/>
              <w:rPr>
                <w:color w:val="000000" w:themeColor="text1"/>
              </w:rPr>
            </w:pPr>
          </w:p>
          <w:p w14:paraId="51DA5705" w14:textId="77777777" w:rsidR="001A75A4" w:rsidRPr="00286216" w:rsidRDefault="001A75A4" w:rsidP="001A75A4">
            <w:pPr>
              <w:pStyle w:val="StyleWisnow"/>
              <w:rPr>
                <w:color w:val="000000" w:themeColor="text1"/>
              </w:rPr>
            </w:pPr>
            <w:r w:rsidRPr="00286216">
              <w:rPr>
                <w:color w:val="000000" w:themeColor="text1"/>
              </w:rPr>
              <w:t>Враховано по суті</w:t>
            </w:r>
          </w:p>
        </w:tc>
        <w:tc>
          <w:tcPr>
            <w:tcW w:w="4818" w:type="dxa"/>
          </w:tcPr>
          <w:p w14:paraId="7622FE72" w14:textId="77777777" w:rsidR="001A75A4" w:rsidRPr="00286216" w:rsidRDefault="001A75A4" w:rsidP="001A75A4">
            <w:pPr>
              <w:pStyle w:val="StyleZakonu"/>
              <w:rPr>
                <w:color w:val="000000" w:themeColor="text1"/>
              </w:rPr>
            </w:pPr>
            <w:r w:rsidRPr="00286216">
              <w:rPr>
                <w:color w:val="000000" w:themeColor="text1"/>
              </w:rPr>
              <w:lastRenderedPageBreak/>
              <w:t xml:space="preserve">6. Товарна біржа на своєму веб-сайті розкриває відповідно до вимог, встановлених Національною комісією з цінних паперів та фондового ринку, інформацію щодо біржових торгів, зокрема: щодо опису біржового товару, кількості укладених та виконаних біржових договорів, ціни біржового товару. Товарна біржа здійснює зберігання паперових та/або електронних документів щодо укладення (виконання) біржових угод (договорів) протягом не </w:t>
            </w:r>
            <w:r w:rsidRPr="00286216">
              <w:rPr>
                <w:color w:val="000000" w:themeColor="text1"/>
              </w:rPr>
              <w:lastRenderedPageBreak/>
              <w:t>менше трьох років, якщо інше не передбачено законодавством.</w:t>
            </w:r>
          </w:p>
          <w:p w14:paraId="534DA483" w14:textId="77777777" w:rsidR="001A75A4" w:rsidRPr="00286216" w:rsidRDefault="001A75A4" w:rsidP="001A75A4">
            <w:pPr>
              <w:pStyle w:val="StyleZakonu"/>
              <w:rPr>
                <w:color w:val="000000" w:themeColor="text1"/>
              </w:rPr>
            </w:pPr>
          </w:p>
        </w:tc>
      </w:tr>
      <w:tr w:rsidR="001A75A4" w:rsidRPr="00286216" w14:paraId="3BD23ABB" w14:textId="77777777" w:rsidTr="00091AA5">
        <w:tc>
          <w:tcPr>
            <w:tcW w:w="576" w:type="dxa"/>
          </w:tcPr>
          <w:p w14:paraId="610A200A" w14:textId="77777777" w:rsidR="001A75A4" w:rsidRPr="00286216" w:rsidRDefault="001A75A4" w:rsidP="001A75A4">
            <w:pPr>
              <w:pStyle w:val="StyleWisnow"/>
              <w:rPr>
                <w:color w:val="000000" w:themeColor="text1"/>
              </w:rPr>
            </w:pPr>
            <w:bookmarkStart w:id="2230" w:name="n2425" w:colFirst="0" w:colLast="0"/>
            <w:bookmarkEnd w:id="2229"/>
            <w:r w:rsidRPr="00286216">
              <w:rPr>
                <w:color w:val="000000" w:themeColor="text1"/>
              </w:rPr>
              <w:lastRenderedPageBreak/>
              <w:t>2425.</w:t>
            </w:r>
          </w:p>
        </w:tc>
        <w:tc>
          <w:tcPr>
            <w:tcW w:w="4818" w:type="dxa"/>
          </w:tcPr>
          <w:p w14:paraId="5C7C1CB0" w14:textId="77777777" w:rsidR="001A75A4" w:rsidRPr="00286216" w:rsidRDefault="001A75A4" w:rsidP="001A75A4">
            <w:pPr>
              <w:pStyle w:val="StyleZakonu"/>
              <w:rPr>
                <w:color w:val="000000" w:themeColor="text1"/>
              </w:rPr>
            </w:pPr>
            <w:r w:rsidRPr="00286216">
              <w:rPr>
                <w:color w:val="000000" w:themeColor="text1"/>
              </w:rPr>
              <w:t>7. Юридична або фізична особа, яка набула участь у товарній біржі або збільшила її таким чином, що така особа прямо та/або опосередковано, самостійно чи спільно з іншими особами володіє 10, 25, 50 та 75 і більше відсотками статутного капіталу товарної біржі чи правом голосу акцій (часток) у статутному капіталі товарної біржі та/або незалежно від формального володіння справляє значний вплив на управління або діяльність товарної біржі, зобов’язана повідомити про таке набуття Національну комісію з цінних паперів та фондового ринку у встановленому нею порядку .</w:t>
            </w:r>
          </w:p>
        </w:tc>
        <w:tc>
          <w:tcPr>
            <w:tcW w:w="3686" w:type="dxa"/>
          </w:tcPr>
          <w:p w14:paraId="20656BD9" w14:textId="3D27D7FE" w:rsidR="001A75A4" w:rsidRPr="00286216" w:rsidRDefault="001A75A4" w:rsidP="001A75A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1165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DE72A7D" w14:textId="77777777" w:rsidR="001A75A4" w:rsidRPr="00286216" w:rsidRDefault="001A75A4" w:rsidP="001A75A4">
            <w:pPr>
              <w:pStyle w:val="StyleProp"/>
              <w:spacing w:line="190" w:lineRule="exact"/>
              <w:rPr>
                <w:color w:val="000000" w:themeColor="text1"/>
              </w:rPr>
            </w:pPr>
            <w:r w:rsidRPr="00286216">
              <w:rPr>
                <w:color w:val="000000" w:themeColor="text1"/>
              </w:rPr>
              <w:t>Викласти частину 7 ст. 7 у такій редакції:</w:t>
            </w:r>
          </w:p>
          <w:p w14:paraId="5855E243" w14:textId="77777777" w:rsidR="001A75A4" w:rsidRPr="00286216" w:rsidRDefault="001A75A4" w:rsidP="001A75A4">
            <w:pPr>
              <w:pStyle w:val="StyleProp"/>
              <w:spacing w:line="190" w:lineRule="exact"/>
              <w:rPr>
                <w:color w:val="000000" w:themeColor="text1"/>
              </w:rPr>
            </w:pPr>
            <w:r w:rsidRPr="00286216">
              <w:rPr>
                <w:color w:val="000000" w:themeColor="text1"/>
              </w:rPr>
              <w:t>"7. Власником істотної участі в товарній біржі не може бути юридична або фізична особа, яка відповідає хоча б одному із таких критеріїв:</w:t>
            </w:r>
          </w:p>
          <w:p w14:paraId="71D6110F" w14:textId="77777777" w:rsidR="001A75A4" w:rsidRPr="00286216" w:rsidRDefault="001A75A4" w:rsidP="001A75A4">
            <w:pPr>
              <w:pStyle w:val="StyleProp"/>
              <w:spacing w:line="190" w:lineRule="exact"/>
              <w:rPr>
                <w:color w:val="000000" w:themeColor="text1"/>
              </w:rPr>
            </w:pPr>
            <w:r w:rsidRPr="00286216">
              <w:rPr>
                <w:color w:val="000000" w:themeColor="text1"/>
              </w:rPr>
              <w:t>1) є резидентом держави, що здійснює збройну агресію проти України у значенні, наведеному у статті 1 Закону України «Про оборону України»;</w:t>
            </w:r>
          </w:p>
          <w:p w14:paraId="3C595BCB" w14:textId="77777777" w:rsidR="001A75A4" w:rsidRPr="00286216" w:rsidRDefault="001A75A4" w:rsidP="001A75A4">
            <w:pPr>
              <w:pStyle w:val="StyleProp"/>
              <w:spacing w:line="190" w:lineRule="exact"/>
              <w:rPr>
                <w:color w:val="000000" w:themeColor="text1"/>
              </w:rPr>
            </w:pPr>
            <w:r w:rsidRPr="00286216">
              <w:rPr>
                <w:color w:val="000000" w:themeColor="text1"/>
              </w:rPr>
              <w:t>2)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рішень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p w14:paraId="4B235196" w14:textId="77777777" w:rsidR="001A75A4" w:rsidRPr="00286216" w:rsidRDefault="001A75A4" w:rsidP="001A75A4">
            <w:pPr>
              <w:pStyle w:val="StyleProp"/>
              <w:spacing w:line="190" w:lineRule="exact"/>
              <w:rPr>
                <w:color w:val="000000" w:themeColor="text1"/>
              </w:rPr>
            </w:pPr>
            <w:r w:rsidRPr="00286216">
              <w:rPr>
                <w:color w:val="000000" w:themeColor="text1"/>
              </w:rPr>
              <w:t>3) до особи або до її посадових осіб застосовані санкції відповідно до Закону України "Про санкції";</w:t>
            </w:r>
          </w:p>
          <w:p w14:paraId="24FDD557" w14:textId="77777777" w:rsidR="001A75A4" w:rsidRPr="00286216" w:rsidRDefault="001A75A4" w:rsidP="001A75A4">
            <w:pPr>
              <w:pStyle w:val="StyleProp"/>
              <w:spacing w:line="190" w:lineRule="exact"/>
              <w:rPr>
                <w:color w:val="000000" w:themeColor="text1"/>
              </w:rPr>
            </w:pPr>
            <w:r w:rsidRPr="00286216">
              <w:rPr>
                <w:color w:val="000000" w:themeColor="text1"/>
              </w:rPr>
              <w:t>4) особа або її посадові особи включені до переліку осіб, пов'язаних з провадженням терористичної діяльності, або стосовно яких застосовано міжнародні санкції;</w:t>
            </w:r>
          </w:p>
          <w:p w14:paraId="38EE2906" w14:textId="77777777" w:rsidR="001A75A4" w:rsidRPr="00286216" w:rsidRDefault="001A75A4" w:rsidP="001A75A4">
            <w:pPr>
              <w:pStyle w:val="StyleProp"/>
              <w:spacing w:line="190" w:lineRule="exact"/>
              <w:rPr>
                <w:color w:val="000000" w:themeColor="text1"/>
              </w:rPr>
            </w:pPr>
            <w:r w:rsidRPr="00286216">
              <w:rPr>
                <w:color w:val="000000" w:themeColor="text1"/>
              </w:rPr>
              <w:t xml:space="preserve">5) особа, підконтрольна особам, зазначеним в пунктах 1-4 цієї частини, або має таких осіб у своїй структурі власності; </w:t>
            </w:r>
          </w:p>
          <w:p w14:paraId="23A88A6C" w14:textId="77777777" w:rsidR="001A75A4" w:rsidRPr="00286216" w:rsidRDefault="001A75A4" w:rsidP="001A75A4">
            <w:pPr>
              <w:pStyle w:val="StyleProp"/>
              <w:spacing w:line="180" w:lineRule="exact"/>
              <w:rPr>
                <w:color w:val="000000" w:themeColor="text1"/>
                <w:szCs w:val="18"/>
              </w:rPr>
            </w:pPr>
            <w:r w:rsidRPr="00286216">
              <w:rPr>
                <w:color w:val="000000" w:themeColor="text1"/>
              </w:rPr>
              <w:t>6) не відповідає вимогам, передбаченим законодавством".</w:t>
            </w:r>
          </w:p>
        </w:tc>
        <w:tc>
          <w:tcPr>
            <w:tcW w:w="1987" w:type="dxa"/>
          </w:tcPr>
          <w:p w14:paraId="13D31067"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04049B99" w14:textId="77777777" w:rsidR="001A75A4" w:rsidRPr="00286216" w:rsidRDefault="001A75A4" w:rsidP="001A75A4">
            <w:pPr>
              <w:pStyle w:val="StyleZakonu"/>
              <w:rPr>
                <w:color w:val="000000" w:themeColor="text1"/>
              </w:rPr>
            </w:pPr>
            <w:r w:rsidRPr="00286216">
              <w:rPr>
                <w:color w:val="000000" w:themeColor="text1"/>
              </w:rPr>
              <w:t>7. Власником істотної участі у товарній біржі не може бути юридична або фізична особа, яка відповідає хоча б одному з таких критеріїв:</w:t>
            </w:r>
          </w:p>
          <w:p w14:paraId="3FD1FD2C" w14:textId="77777777" w:rsidR="001A75A4" w:rsidRPr="00286216" w:rsidRDefault="001A75A4" w:rsidP="001A75A4">
            <w:pPr>
              <w:pStyle w:val="StyleZakonu"/>
              <w:rPr>
                <w:color w:val="000000" w:themeColor="text1"/>
              </w:rPr>
            </w:pPr>
            <w:r w:rsidRPr="00286216">
              <w:rPr>
                <w:color w:val="000000" w:themeColor="text1"/>
              </w:rPr>
              <w:t>1) є резидентом держави, що здійснює збройну агресію проти України у значенні, наведеному у статті 1 Закону України «Про оборону України»;</w:t>
            </w:r>
          </w:p>
          <w:p w14:paraId="75EA4A7C" w14:textId="77777777" w:rsidR="001A75A4" w:rsidRPr="00286216" w:rsidRDefault="001A75A4" w:rsidP="001A75A4">
            <w:pPr>
              <w:pStyle w:val="StyleZakonu"/>
              <w:rPr>
                <w:color w:val="000000" w:themeColor="text1"/>
              </w:rPr>
            </w:pPr>
            <w:r w:rsidRPr="00286216">
              <w:rPr>
                <w:color w:val="000000" w:themeColor="text1"/>
              </w:rPr>
              <w:t>2) до особи або до її посадових осіб застосовані санкції згідно з резолюціями Ради Безпеки Організації Об’єднаних Націй, інших міжнародних організацій, рішеннями Ради Європейського Союзу, інших міждержавних об’єднань, членом (учасником) яких є Україна, які передбачають обмеження або заборону торговельних та/або фінансових операцій;</w:t>
            </w:r>
          </w:p>
          <w:p w14:paraId="38387E85" w14:textId="77777777" w:rsidR="001A75A4" w:rsidRPr="00286216" w:rsidRDefault="001A75A4" w:rsidP="001A75A4">
            <w:pPr>
              <w:pStyle w:val="StyleZakonu"/>
              <w:rPr>
                <w:color w:val="000000" w:themeColor="text1"/>
              </w:rPr>
            </w:pPr>
            <w:r w:rsidRPr="00286216">
              <w:rPr>
                <w:color w:val="000000" w:themeColor="text1"/>
              </w:rPr>
              <w:t>3) до особи або до її посадових осіб застосовані санкції відповідно до Закону України "Про санкції";</w:t>
            </w:r>
          </w:p>
          <w:p w14:paraId="6A5A7760" w14:textId="77777777" w:rsidR="001A75A4" w:rsidRPr="00286216" w:rsidRDefault="001A75A4" w:rsidP="001A75A4">
            <w:pPr>
              <w:pStyle w:val="StyleZakonu"/>
              <w:rPr>
                <w:color w:val="000000" w:themeColor="text1"/>
              </w:rPr>
            </w:pPr>
            <w:r w:rsidRPr="00286216">
              <w:rPr>
                <w:color w:val="000000" w:themeColor="text1"/>
              </w:rPr>
              <w:t>4) особа або її посадові особи включені до переліку осіб, пов'язаних з провадженням терористичної діяльності або стосовно яких застосовано міжнародні санкції;</w:t>
            </w:r>
          </w:p>
          <w:p w14:paraId="2BA28D85" w14:textId="77777777" w:rsidR="001A75A4" w:rsidRPr="00286216" w:rsidRDefault="001A75A4" w:rsidP="001A75A4">
            <w:pPr>
              <w:pStyle w:val="StyleZakonu"/>
              <w:rPr>
                <w:color w:val="000000" w:themeColor="text1"/>
              </w:rPr>
            </w:pPr>
            <w:r w:rsidRPr="00286216">
              <w:rPr>
                <w:color w:val="000000" w:themeColor="text1"/>
              </w:rPr>
              <w:t xml:space="preserve">5) особа підконтрольна особам, зазначеним у пунктах 1- 4 цієї частини, або має таких осіб у своїй структурі власності; </w:t>
            </w:r>
          </w:p>
          <w:p w14:paraId="5FB19C9E" w14:textId="161BF385" w:rsidR="001A75A4" w:rsidRPr="00286216" w:rsidRDefault="001A75A4" w:rsidP="001A75A4">
            <w:pPr>
              <w:pStyle w:val="StyleZakonu"/>
              <w:rPr>
                <w:color w:val="000000" w:themeColor="text1"/>
              </w:rPr>
            </w:pPr>
            <w:r w:rsidRPr="00286216">
              <w:rPr>
                <w:color w:val="000000" w:themeColor="text1"/>
              </w:rPr>
              <w:t>6) не відповідає вимогам, встановленим законодавством.</w:t>
            </w:r>
          </w:p>
        </w:tc>
      </w:tr>
      <w:bookmarkEnd w:id="2230"/>
      <w:tr w:rsidR="001A75A4" w:rsidRPr="00286216" w14:paraId="14A1355A" w14:textId="77777777" w:rsidTr="00091AA5">
        <w:tc>
          <w:tcPr>
            <w:tcW w:w="576" w:type="dxa"/>
          </w:tcPr>
          <w:p w14:paraId="0B23EFE7" w14:textId="77777777" w:rsidR="001A75A4" w:rsidRPr="00286216" w:rsidRDefault="001A75A4" w:rsidP="001A75A4">
            <w:pPr>
              <w:pStyle w:val="StyleWisnow"/>
              <w:rPr>
                <w:color w:val="000000" w:themeColor="text1"/>
              </w:rPr>
            </w:pPr>
          </w:p>
        </w:tc>
        <w:tc>
          <w:tcPr>
            <w:tcW w:w="4818" w:type="dxa"/>
          </w:tcPr>
          <w:p w14:paraId="7CB72DD5" w14:textId="77777777" w:rsidR="001A75A4" w:rsidRPr="00286216" w:rsidRDefault="001A75A4" w:rsidP="001A75A4">
            <w:pPr>
              <w:pStyle w:val="StyleZakonu"/>
              <w:rPr>
                <w:color w:val="000000" w:themeColor="text1"/>
              </w:rPr>
            </w:pPr>
          </w:p>
        </w:tc>
        <w:tc>
          <w:tcPr>
            <w:tcW w:w="3686" w:type="dxa"/>
          </w:tcPr>
          <w:p w14:paraId="1A663812" w14:textId="6DEE11AF"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1166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E81CF66" w14:textId="77777777" w:rsidR="001A75A4" w:rsidRPr="00286216" w:rsidRDefault="001A75A4" w:rsidP="00BB35BA">
            <w:pPr>
              <w:pStyle w:val="StyleProp"/>
              <w:spacing w:line="180" w:lineRule="exact"/>
              <w:rPr>
                <w:color w:val="000000" w:themeColor="text1"/>
                <w:szCs w:val="18"/>
              </w:rPr>
            </w:pPr>
            <w:r w:rsidRPr="00286216">
              <w:rPr>
                <w:color w:val="000000" w:themeColor="text1"/>
                <w:szCs w:val="18"/>
              </w:rPr>
              <w:t>Доповнити частину сьому статті 7 словами «офіційним каналом зв’язку».</w:t>
            </w:r>
          </w:p>
          <w:p w14:paraId="34FE531F" w14:textId="0D138990"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1167</w:t>
            </w:r>
            <w:r w:rsidRPr="00286216">
              <w:rPr>
                <w:color w:val="000000" w:themeColor="text1"/>
                <w:spacing w:val="-2"/>
              </w:rPr>
              <w:fldChar w:fldCharType="end"/>
            </w:r>
            <w:r w:rsidRPr="00286216">
              <w:rPr>
                <w:color w:val="000000" w:themeColor="text1"/>
                <w:spacing w:val="-2"/>
              </w:rPr>
              <w:t>-Н.д.Шахов С.В. (Реєстр.картка №114)</w:t>
            </w:r>
          </w:p>
          <w:p w14:paraId="1BC7A8A7"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lang w:eastAsia="uk-UA"/>
              </w:rPr>
              <w:t>У частині 7 ст. 7 слова "Національну комісію з цінних паперів та фондового ринку у встановленому нею порядку" замінити словами "</w:t>
            </w:r>
            <w:r w:rsidRPr="00286216">
              <w:rPr>
                <w:color w:val="000000" w:themeColor="text1"/>
                <w:szCs w:val="18"/>
              </w:rPr>
              <w:t>регулятора відповідного ринку".</w:t>
            </w:r>
          </w:p>
          <w:p w14:paraId="1FF73993" w14:textId="74AD12AA"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1168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6A687100" w14:textId="77777777" w:rsidR="001A75A4" w:rsidRPr="00286216" w:rsidRDefault="001A75A4" w:rsidP="001A75A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43C3FA78" w14:textId="77777777" w:rsidR="001A75A4" w:rsidRPr="00286216" w:rsidRDefault="001A75A4" w:rsidP="00BB35BA">
            <w:pPr>
              <w:pStyle w:val="StyleProp"/>
              <w:spacing w:line="180" w:lineRule="exact"/>
              <w:rPr>
                <w:color w:val="000000" w:themeColor="text1"/>
                <w:szCs w:val="18"/>
              </w:rPr>
            </w:pPr>
            <w:r w:rsidRPr="00286216">
              <w:rPr>
                <w:color w:val="000000" w:themeColor="text1"/>
                <w:spacing w:val="-2"/>
              </w:rPr>
              <w:t xml:space="preserve">У частині 7 статті 7 нової редакції Закону «Про товарну біржу» слова "повідомити про таке набуття Національну комісію з цінних паперів та фондового ринку у встановленому нею порядку" замінити словами "погодити намір такого набуття в порядку, </w:t>
            </w:r>
            <w:r w:rsidRPr="00286216">
              <w:rPr>
                <w:color w:val="000000" w:themeColor="text1"/>
                <w:spacing w:val="-2"/>
              </w:rPr>
              <w:lastRenderedPageBreak/>
              <w:t>встановленому статтями 70 та 71 Закону України «Про ринки капіталу та організовані товарні ринки»".</w:t>
            </w:r>
          </w:p>
        </w:tc>
        <w:tc>
          <w:tcPr>
            <w:tcW w:w="1987" w:type="dxa"/>
          </w:tcPr>
          <w:p w14:paraId="506CB5E5" w14:textId="77777777" w:rsidR="001A75A4" w:rsidRPr="00286216" w:rsidRDefault="001A75A4" w:rsidP="001A75A4">
            <w:pPr>
              <w:pStyle w:val="StyleWisnow"/>
              <w:rPr>
                <w:color w:val="000000" w:themeColor="text1"/>
              </w:rPr>
            </w:pPr>
            <w:r w:rsidRPr="00286216">
              <w:rPr>
                <w:color w:val="000000" w:themeColor="text1"/>
              </w:rPr>
              <w:lastRenderedPageBreak/>
              <w:t>Враховано</w:t>
            </w:r>
          </w:p>
          <w:p w14:paraId="758AE609" w14:textId="77777777" w:rsidR="001A75A4" w:rsidRPr="00286216" w:rsidRDefault="001A75A4" w:rsidP="001A75A4">
            <w:pPr>
              <w:pStyle w:val="StyleWisnow"/>
              <w:rPr>
                <w:color w:val="000000" w:themeColor="text1"/>
              </w:rPr>
            </w:pPr>
          </w:p>
          <w:p w14:paraId="6CA7CAEC" w14:textId="77777777" w:rsidR="001A75A4" w:rsidRPr="00286216" w:rsidRDefault="001A75A4" w:rsidP="001A75A4">
            <w:pPr>
              <w:pStyle w:val="StyleWisnow"/>
              <w:rPr>
                <w:color w:val="000000" w:themeColor="text1"/>
              </w:rPr>
            </w:pPr>
          </w:p>
          <w:p w14:paraId="7C20B00C" w14:textId="77777777" w:rsidR="001A75A4" w:rsidRPr="00286216" w:rsidRDefault="001A75A4" w:rsidP="001A75A4">
            <w:pPr>
              <w:pStyle w:val="StyleWisnow"/>
              <w:rPr>
                <w:color w:val="000000" w:themeColor="text1"/>
              </w:rPr>
            </w:pPr>
            <w:r w:rsidRPr="00286216">
              <w:rPr>
                <w:color w:val="000000" w:themeColor="text1"/>
              </w:rPr>
              <w:t>Відхилено</w:t>
            </w:r>
          </w:p>
          <w:p w14:paraId="7EAB5A0F" w14:textId="569349A5" w:rsidR="001A75A4" w:rsidRPr="00286216" w:rsidRDefault="001A75A4" w:rsidP="001A75A4">
            <w:pPr>
              <w:pStyle w:val="StyleWisnow"/>
              <w:rPr>
                <w:color w:val="000000" w:themeColor="text1"/>
              </w:rPr>
            </w:pPr>
            <w:r w:rsidRPr="00286216">
              <w:rPr>
                <w:color w:val="000000" w:themeColor="text1"/>
              </w:rPr>
              <w:t>регулятор – НКЦПФР</w:t>
            </w:r>
            <w:r w:rsidRPr="00286216" w:rsidDel="002B013D">
              <w:rPr>
                <w:color w:val="000000" w:themeColor="text1"/>
              </w:rPr>
              <w:t xml:space="preserve"> </w:t>
            </w:r>
          </w:p>
          <w:p w14:paraId="0E249E97" w14:textId="791E6BB6" w:rsidR="001A75A4" w:rsidRDefault="001A75A4" w:rsidP="001A75A4">
            <w:pPr>
              <w:pStyle w:val="StyleWisnow"/>
              <w:rPr>
                <w:color w:val="000000" w:themeColor="text1"/>
              </w:rPr>
            </w:pPr>
          </w:p>
          <w:p w14:paraId="1F171D4E" w14:textId="76CD445B" w:rsidR="00BB35BA" w:rsidRDefault="00BB35BA" w:rsidP="001A75A4">
            <w:pPr>
              <w:pStyle w:val="StyleWisnow"/>
              <w:rPr>
                <w:color w:val="000000" w:themeColor="text1"/>
              </w:rPr>
            </w:pPr>
          </w:p>
          <w:p w14:paraId="4EFFA5AC"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4083A016" w14:textId="1D74B52F" w:rsidR="001A75A4" w:rsidRPr="00286216" w:rsidRDefault="001A75A4" w:rsidP="001A75A4">
            <w:pPr>
              <w:pStyle w:val="StyleZakonu"/>
              <w:rPr>
                <w:color w:val="000000" w:themeColor="text1"/>
              </w:rPr>
            </w:pPr>
            <w:r w:rsidRPr="00286216">
              <w:rPr>
                <w:color w:val="000000" w:themeColor="text1"/>
              </w:rPr>
              <w:t>8. Юридична або фізична особа, яка набула участь у товарній біржі або збільшила її таким чином, що така особа прямо та/або опосередковано, самостійно чи спільно з іншими особами володіє 10, 25, 50, 75 і більше відсотками статутного капіталу товарної біржі чи правом голосу акцій (часток) у статутному капіталі товарної біржі та/або незалежно від формального володіння справляє значний вплив на управління або діяльність товарної біржі, зобов’язана погодити намір такого набуття в порядку, встановленому статтями 74 і 75 Закону України «Про ринки капіталу та організовані товарні ринки».</w:t>
            </w:r>
          </w:p>
        </w:tc>
      </w:tr>
      <w:tr w:rsidR="001A75A4" w:rsidRPr="00286216" w14:paraId="7626A7EF" w14:textId="77777777" w:rsidTr="00091AA5">
        <w:tc>
          <w:tcPr>
            <w:tcW w:w="576" w:type="dxa"/>
          </w:tcPr>
          <w:p w14:paraId="07886A82" w14:textId="77777777" w:rsidR="001A75A4" w:rsidRPr="00286216" w:rsidRDefault="001A75A4" w:rsidP="001A75A4">
            <w:pPr>
              <w:pStyle w:val="StyleWisnow"/>
              <w:rPr>
                <w:color w:val="000000" w:themeColor="text1"/>
              </w:rPr>
            </w:pPr>
            <w:bookmarkStart w:id="2231" w:name="n2426" w:colFirst="0" w:colLast="0"/>
            <w:r w:rsidRPr="00286216">
              <w:rPr>
                <w:color w:val="000000" w:themeColor="text1"/>
              </w:rPr>
              <w:lastRenderedPageBreak/>
              <w:t>2426.</w:t>
            </w:r>
          </w:p>
        </w:tc>
        <w:tc>
          <w:tcPr>
            <w:tcW w:w="4818" w:type="dxa"/>
          </w:tcPr>
          <w:p w14:paraId="176AA22B"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8. </w:t>
            </w:r>
            <w:r w:rsidRPr="00286216">
              <w:rPr>
                <w:color w:val="000000" w:themeColor="text1"/>
                <w:shd w:val="clear" w:color="auto" w:fill="FFFFFF"/>
              </w:rPr>
              <w:t>Вимоги до електронної торгової системи</w:t>
            </w:r>
          </w:p>
        </w:tc>
        <w:tc>
          <w:tcPr>
            <w:tcW w:w="3686" w:type="dxa"/>
          </w:tcPr>
          <w:p w14:paraId="70DC1426" w14:textId="77777777" w:rsidR="001A75A4" w:rsidRPr="00286216" w:rsidRDefault="001A75A4" w:rsidP="001A75A4">
            <w:pPr>
              <w:pStyle w:val="StyleProp"/>
              <w:rPr>
                <w:color w:val="000000" w:themeColor="text1"/>
                <w:szCs w:val="18"/>
              </w:rPr>
            </w:pPr>
          </w:p>
        </w:tc>
        <w:tc>
          <w:tcPr>
            <w:tcW w:w="1987" w:type="dxa"/>
          </w:tcPr>
          <w:p w14:paraId="45FDEF6A" w14:textId="77777777" w:rsidR="001A75A4" w:rsidRPr="00286216" w:rsidRDefault="001A75A4" w:rsidP="001A75A4">
            <w:pPr>
              <w:pStyle w:val="StyleWisnow"/>
              <w:rPr>
                <w:color w:val="000000" w:themeColor="text1"/>
              </w:rPr>
            </w:pPr>
          </w:p>
        </w:tc>
        <w:tc>
          <w:tcPr>
            <w:tcW w:w="4818" w:type="dxa"/>
          </w:tcPr>
          <w:p w14:paraId="39D687DB" w14:textId="344F3B33"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8. </w:t>
            </w:r>
            <w:r w:rsidRPr="00286216">
              <w:rPr>
                <w:color w:val="000000" w:themeColor="text1"/>
                <w:shd w:val="clear" w:color="auto" w:fill="FFFFFF"/>
              </w:rPr>
              <w:t>Вимоги до електронної торгової системи</w:t>
            </w:r>
          </w:p>
        </w:tc>
      </w:tr>
      <w:tr w:rsidR="001A75A4" w:rsidRPr="00286216" w14:paraId="70C7B1C3" w14:textId="77777777" w:rsidTr="00091AA5">
        <w:tc>
          <w:tcPr>
            <w:tcW w:w="576" w:type="dxa"/>
          </w:tcPr>
          <w:p w14:paraId="440571B0" w14:textId="77777777" w:rsidR="001A75A4" w:rsidRPr="00286216" w:rsidRDefault="001A75A4" w:rsidP="001A75A4">
            <w:pPr>
              <w:pStyle w:val="StyleWisnow"/>
              <w:rPr>
                <w:color w:val="000000" w:themeColor="text1"/>
              </w:rPr>
            </w:pPr>
            <w:bookmarkStart w:id="2232" w:name="n2427" w:colFirst="0" w:colLast="0"/>
            <w:bookmarkEnd w:id="2231"/>
            <w:r w:rsidRPr="00286216">
              <w:rPr>
                <w:color w:val="000000" w:themeColor="text1"/>
              </w:rPr>
              <w:t>2427.</w:t>
            </w:r>
          </w:p>
        </w:tc>
        <w:tc>
          <w:tcPr>
            <w:tcW w:w="4818" w:type="dxa"/>
          </w:tcPr>
          <w:p w14:paraId="1FE73C24"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1. </w:t>
            </w:r>
            <w:r w:rsidRPr="00286216">
              <w:rPr>
                <w:color w:val="000000" w:themeColor="text1"/>
              </w:rPr>
              <w:t>Електронна торгова системи товарної біржі повинна відповідати вимогам, зазначеним у цій статті.</w:t>
            </w:r>
          </w:p>
        </w:tc>
        <w:tc>
          <w:tcPr>
            <w:tcW w:w="3686" w:type="dxa"/>
          </w:tcPr>
          <w:p w14:paraId="04FAE455" w14:textId="77777777" w:rsidR="001A75A4" w:rsidRPr="00286216" w:rsidRDefault="001A75A4" w:rsidP="001A75A4">
            <w:pPr>
              <w:pStyle w:val="StyleProp"/>
              <w:rPr>
                <w:rFonts w:cs="Times New Roman (Body CS)"/>
                <w:color w:val="000000" w:themeColor="text1"/>
                <w:szCs w:val="18"/>
              </w:rPr>
            </w:pPr>
          </w:p>
        </w:tc>
        <w:tc>
          <w:tcPr>
            <w:tcW w:w="1987" w:type="dxa"/>
          </w:tcPr>
          <w:p w14:paraId="28164DA6" w14:textId="77777777" w:rsidR="001A75A4" w:rsidRPr="00286216" w:rsidRDefault="001A75A4" w:rsidP="001A75A4">
            <w:pPr>
              <w:pStyle w:val="StyleWisnow"/>
              <w:rPr>
                <w:rFonts w:cs="Times New Roman (Body CS)"/>
                <w:color w:val="000000" w:themeColor="text1"/>
              </w:rPr>
            </w:pPr>
          </w:p>
        </w:tc>
        <w:tc>
          <w:tcPr>
            <w:tcW w:w="4818" w:type="dxa"/>
          </w:tcPr>
          <w:p w14:paraId="7AAD98B1" w14:textId="0E87090B" w:rsidR="001A75A4" w:rsidRPr="00286216" w:rsidRDefault="001A75A4" w:rsidP="001A75A4">
            <w:pPr>
              <w:pStyle w:val="StyleZakonu"/>
              <w:rPr>
                <w:color w:val="000000" w:themeColor="text1"/>
              </w:rPr>
            </w:pPr>
            <w:r w:rsidRPr="00286216">
              <w:rPr>
                <w:rFonts w:cs="Times New Roman (Body CS)"/>
                <w:color w:val="000000" w:themeColor="text1"/>
              </w:rPr>
              <w:t xml:space="preserve">1. </w:t>
            </w:r>
            <w:r w:rsidRPr="00286216">
              <w:rPr>
                <w:color w:val="000000" w:themeColor="text1"/>
              </w:rPr>
              <w:t>Електронна торгова системи товарної біржі повинна відповідати вимогам, зазначеним у цій статті.</w:t>
            </w:r>
          </w:p>
        </w:tc>
      </w:tr>
      <w:tr w:rsidR="001A75A4" w:rsidRPr="00286216" w14:paraId="5261F2DC" w14:textId="77777777" w:rsidTr="00091AA5">
        <w:tc>
          <w:tcPr>
            <w:tcW w:w="576" w:type="dxa"/>
          </w:tcPr>
          <w:p w14:paraId="37FB8299" w14:textId="77777777" w:rsidR="001A75A4" w:rsidRPr="00286216" w:rsidRDefault="001A75A4" w:rsidP="001A75A4">
            <w:pPr>
              <w:pStyle w:val="StyleWisnow"/>
              <w:rPr>
                <w:color w:val="000000" w:themeColor="text1"/>
              </w:rPr>
            </w:pPr>
            <w:bookmarkStart w:id="2233" w:name="n2428" w:colFirst="0" w:colLast="0"/>
            <w:bookmarkEnd w:id="2232"/>
            <w:r w:rsidRPr="00286216">
              <w:rPr>
                <w:color w:val="000000" w:themeColor="text1"/>
              </w:rPr>
              <w:t>2428.</w:t>
            </w:r>
          </w:p>
        </w:tc>
        <w:tc>
          <w:tcPr>
            <w:tcW w:w="4818" w:type="dxa"/>
          </w:tcPr>
          <w:p w14:paraId="46CDEBB1"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2. </w:t>
            </w:r>
            <w:r w:rsidRPr="00286216">
              <w:rPr>
                <w:color w:val="000000" w:themeColor="text1"/>
              </w:rPr>
              <w:t>Електронна торгова система товарної біржі повинна забезпечувати:</w:t>
            </w:r>
          </w:p>
        </w:tc>
        <w:tc>
          <w:tcPr>
            <w:tcW w:w="3686" w:type="dxa"/>
          </w:tcPr>
          <w:p w14:paraId="64D7C369" w14:textId="77777777" w:rsidR="001A75A4" w:rsidRPr="00286216" w:rsidRDefault="001A75A4" w:rsidP="001A75A4">
            <w:pPr>
              <w:pStyle w:val="StyleProp"/>
              <w:rPr>
                <w:rFonts w:cs="Times New Roman (Body CS)"/>
                <w:color w:val="000000" w:themeColor="text1"/>
                <w:szCs w:val="18"/>
              </w:rPr>
            </w:pPr>
          </w:p>
        </w:tc>
        <w:tc>
          <w:tcPr>
            <w:tcW w:w="1987" w:type="dxa"/>
          </w:tcPr>
          <w:p w14:paraId="44707261" w14:textId="77777777" w:rsidR="001A75A4" w:rsidRPr="00286216" w:rsidRDefault="001A75A4" w:rsidP="001A75A4">
            <w:pPr>
              <w:pStyle w:val="StyleWisnow"/>
              <w:rPr>
                <w:rFonts w:cs="Times New Roman (Body CS)"/>
                <w:color w:val="000000" w:themeColor="text1"/>
              </w:rPr>
            </w:pPr>
          </w:p>
        </w:tc>
        <w:tc>
          <w:tcPr>
            <w:tcW w:w="4818" w:type="dxa"/>
          </w:tcPr>
          <w:p w14:paraId="28E0C7E9" w14:textId="637DDF60" w:rsidR="001A75A4" w:rsidRPr="00286216" w:rsidRDefault="001A75A4" w:rsidP="001A75A4">
            <w:pPr>
              <w:pStyle w:val="StyleZakonu"/>
              <w:rPr>
                <w:color w:val="000000" w:themeColor="text1"/>
              </w:rPr>
            </w:pPr>
            <w:r w:rsidRPr="00286216">
              <w:rPr>
                <w:rFonts w:cs="Times New Roman (Body CS)"/>
                <w:color w:val="000000" w:themeColor="text1"/>
              </w:rPr>
              <w:t xml:space="preserve">2. </w:t>
            </w:r>
            <w:r w:rsidRPr="00286216">
              <w:rPr>
                <w:color w:val="000000" w:themeColor="text1"/>
              </w:rPr>
              <w:t>Електронна торгова система товарної біржі повинна забезпечувати:</w:t>
            </w:r>
          </w:p>
        </w:tc>
      </w:tr>
      <w:tr w:rsidR="001A75A4" w:rsidRPr="00286216" w14:paraId="1670905B" w14:textId="77777777" w:rsidTr="00091AA5">
        <w:tc>
          <w:tcPr>
            <w:tcW w:w="576" w:type="dxa"/>
          </w:tcPr>
          <w:p w14:paraId="12AECB20" w14:textId="77777777" w:rsidR="001A75A4" w:rsidRPr="00286216" w:rsidRDefault="001A75A4" w:rsidP="001A75A4">
            <w:pPr>
              <w:pStyle w:val="StyleWisnow"/>
              <w:rPr>
                <w:color w:val="000000" w:themeColor="text1"/>
              </w:rPr>
            </w:pPr>
            <w:bookmarkStart w:id="2234" w:name="n2429" w:colFirst="0" w:colLast="0"/>
            <w:bookmarkEnd w:id="2233"/>
            <w:r w:rsidRPr="00286216">
              <w:rPr>
                <w:color w:val="000000" w:themeColor="text1"/>
              </w:rPr>
              <w:t>2429.</w:t>
            </w:r>
          </w:p>
        </w:tc>
        <w:tc>
          <w:tcPr>
            <w:tcW w:w="4818" w:type="dxa"/>
          </w:tcPr>
          <w:p w14:paraId="56B33F00" w14:textId="77777777" w:rsidR="001A75A4" w:rsidRPr="00286216" w:rsidRDefault="001A75A4" w:rsidP="001A75A4">
            <w:pPr>
              <w:pStyle w:val="StyleZakonu"/>
              <w:rPr>
                <w:color w:val="000000" w:themeColor="text1"/>
              </w:rPr>
            </w:pPr>
            <w:r w:rsidRPr="00286216">
              <w:rPr>
                <w:color w:val="000000" w:themeColor="text1"/>
              </w:rPr>
              <w:t>1) приймання, обробку та передачу від учасників біржових торгів заявок на купівлю-продаж біржових товарів, фіксацію укладених біржових угод (договорів);</w:t>
            </w:r>
          </w:p>
        </w:tc>
        <w:tc>
          <w:tcPr>
            <w:tcW w:w="3686" w:type="dxa"/>
          </w:tcPr>
          <w:p w14:paraId="3584BB91" w14:textId="77777777" w:rsidR="001A75A4" w:rsidRPr="00286216" w:rsidRDefault="001A75A4" w:rsidP="001A75A4">
            <w:pPr>
              <w:pStyle w:val="StyleProp"/>
              <w:rPr>
                <w:color w:val="000000" w:themeColor="text1"/>
                <w:szCs w:val="18"/>
              </w:rPr>
            </w:pPr>
          </w:p>
        </w:tc>
        <w:tc>
          <w:tcPr>
            <w:tcW w:w="1987" w:type="dxa"/>
          </w:tcPr>
          <w:p w14:paraId="401C77FA" w14:textId="77777777" w:rsidR="001A75A4" w:rsidRPr="00286216" w:rsidRDefault="001A75A4" w:rsidP="001A75A4">
            <w:pPr>
              <w:pStyle w:val="StyleWisnow"/>
              <w:rPr>
                <w:color w:val="000000" w:themeColor="text1"/>
              </w:rPr>
            </w:pPr>
          </w:p>
        </w:tc>
        <w:tc>
          <w:tcPr>
            <w:tcW w:w="4818" w:type="dxa"/>
          </w:tcPr>
          <w:p w14:paraId="1F33848B" w14:textId="6C7A54FE" w:rsidR="001A75A4" w:rsidRPr="00286216" w:rsidRDefault="001A75A4" w:rsidP="001A75A4">
            <w:pPr>
              <w:pStyle w:val="StyleZakonu"/>
              <w:rPr>
                <w:color w:val="000000" w:themeColor="text1"/>
              </w:rPr>
            </w:pPr>
            <w:r w:rsidRPr="00286216">
              <w:rPr>
                <w:color w:val="000000" w:themeColor="text1"/>
              </w:rPr>
              <w:t>1) приймання, обробку та передачу від учасників біржових торгів заявок на купівлю-продаж біржових товарів, фіксацію укладених біржових угод (договорів);</w:t>
            </w:r>
          </w:p>
        </w:tc>
      </w:tr>
      <w:tr w:rsidR="001A75A4" w:rsidRPr="00286216" w14:paraId="5F3F04C7" w14:textId="77777777" w:rsidTr="00091AA5">
        <w:tc>
          <w:tcPr>
            <w:tcW w:w="576" w:type="dxa"/>
          </w:tcPr>
          <w:p w14:paraId="775EADF3" w14:textId="77777777" w:rsidR="001A75A4" w:rsidRPr="00286216" w:rsidRDefault="001A75A4" w:rsidP="001A75A4">
            <w:pPr>
              <w:pStyle w:val="StyleWisnow"/>
              <w:rPr>
                <w:color w:val="000000" w:themeColor="text1"/>
              </w:rPr>
            </w:pPr>
            <w:bookmarkStart w:id="2235" w:name="n2430" w:colFirst="0" w:colLast="0"/>
            <w:bookmarkEnd w:id="2234"/>
            <w:r w:rsidRPr="00286216">
              <w:rPr>
                <w:color w:val="000000" w:themeColor="text1"/>
              </w:rPr>
              <w:t>2430.</w:t>
            </w:r>
          </w:p>
        </w:tc>
        <w:tc>
          <w:tcPr>
            <w:tcW w:w="4818" w:type="dxa"/>
          </w:tcPr>
          <w:p w14:paraId="06443AA4" w14:textId="77777777" w:rsidR="001A75A4" w:rsidRPr="00286216" w:rsidRDefault="001A75A4" w:rsidP="001A75A4">
            <w:pPr>
              <w:pStyle w:val="StyleZakonu"/>
              <w:rPr>
                <w:color w:val="000000" w:themeColor="text1"/>
              </w:rPr>
            </w:pPr>
            <w:r w:rsidRPr="00286216">
              <w:rPr>
                <w:color w:val="000000" w:themeColor="text1"/>
              </w:rPr>
              <w:t>2) доступ учасників біржових торгів протягом торговельної сесії, в яку здійснюються біржові торги, до інформації про учасників біржових торгів та клієнтів учасників біржових торгів, які користуються прямим електронним доступом;</w:t>
            </w:r>
          </w:p>
        </w:tc>
        <w:tc>
          <w:tcPr>
            <w:tcW w:w="3686" w:type="dxa"/>
          </w:tcPr>
          <w:p w14:paraId="028A66B2" w14:textId="77777777" w:rsidR="001A75A4" w:rsidRPr="00286216" w:rsidRDefault="001A75A4" w:rsidP="001A75A4">
            <w:pPr>
              <w:pStyle w:val="StyleProp"/>
              <w:rPr>
                <w:color w:val="000000" w:themeColor="text1"/>
                <w:szCs w:val="18"/>
              </w:rPr>
            </w:pPr>
          </w:p>
        </w:tc>
        <w:tc>
          <w:tcPr>
            <w:tcW w:w="1987" w:type="dxa"/>
          </w:tcPr>
          <w:p w14:paraId="12926839" w14:textId="77777777" w:rsidR="001A75A4" w:rsidRPr="00286216" w:rsidRDefault="001A75A4" w:rsidP="001A75A4">
            <w:pPr>
              <w:pStyle w:val="StyleWisnow"/>
              <w:rPr>
                <w:color w:val="000000" w:themeColor="text1"/>
              </w:rPr>
            </w:pPr>
          </w:p>
        </w:tc>
        <w:tc>
          <w:tcPr>
            <w:tcW w:w="4818" w:type="dxa"/>
          </w:tcPr>
          <w:p w14:paraId="15B516F9" w14:textId="387AE54F" w:rsidR="001A75A4" w:rsidRPr="00286216" w:rsidRDefault="001A75A4" w:rsidP="001A75A4">
            <w:pPr>
              <w:pStyle w:val="StyleZakonu"/>
              <w:rPr>
                <w:color w:val="000000" w:themeColor="text1"/>
              </w:rPr>
            </w:pPr>
            <w:r w:rsidRPr="00286216">
              <w:rPr>
                <w:color w:val="000000" w:themeColor="text1"/>
              </w:rPr>
              <w:t>2) доступ учасників біржових торгів протягом торговельної сесії, під час якої здійснюються біржові торги, до інформації про учасників біржових торгів та клієнтів учасників біржових торгів, які користуються прямим електронним доступом;</w:t>
            </w:r>
          </w:p>
        </w:tc>
      </w:tr>
      <w:tr w:rsidR="001A75A4" w:rsidRPr="00286216" w14:paraId="64CBEE74" w14:textId="77777777" w:rsidTr="00091AA5">
        <w:tc>
          <w:tcPr>
            <w:tcW w:w="576" w:type="dxa"/>
          </w:tcPr>
          <w:p w14:paraId="0FA73A96" w14:textId="77777777" w:rsidR="001A75A4" w:rsidRPr="00286216" w:rsidRDefault="001A75A4" w:rsidP="001A75A4">
            <w:pPr>
              <w:pStyle w:val="StyleWisnow"/>
              <w:rPr>
                <w:color w:val="000000" w:themeColor="text1"/>
              </w:rPr>
            </w:pPr>
            <w:bookmarkStart w:id="2236" w:name="n2431" w:colFirst="0" w:colLast="0"/>
            <w:bookmarkEnd w:id="2235"/>
            <w:r w:rsidRPr="00286216">
              <w:rPr>
                <w:color w:val="000000" w:themeColor="text1"/>
              </w:rPr>
              <w:t>2431.</w:t>
            </w:r>
          </w:p>
        </w:tc>
        <w:tc>
          <w:tcPr>
            <w:tcW w:w="4818" w:type="dxa"/>
          </w:tcPr>
          <w:p w14:paraId="1D7F3C60" w14:textId="77777777" w:rsidR="001A75A4" w:rsidRPr="00286216" w:rsidRDefault="001A75A4" w:rsidP="001A75A4">
            <w:pPr>
              <w:pStyle w:val="StyleZakonu"/>
              <w:rPr>
                <w:color w:val="000000" w:themeColor="text1"/>
              </w:rPr>
            </w:pPr>
            <w:r w:rsidRPr="00286216">
              <w:rPr>
                <w:color w:val="000000" w:themeColor="text1"/>
              </w:rPr>
              <w:t>3) підготовку інформації, необхідної для виконання біржових угод (договорів);</w:t>
            </w:r>
          </w:p>
        </w:tc>
        <w:tc>
          <w:tcPr>
            <w:tcW w:w="3686" w:type="dxa"/>
          </w:tcPr>
          <w:p w14:paraId="353BE4F9" w14:textId="77777777" w:rsidR="001A75A4" w:rsidRPr="00286216" w:rsidRDefault="001A75A4" w:rsidP="001A75A4">
            <w:pPr>
              <w:pStyle w:val="StyleProp"/>
              <w:rPr>
                <w:color w:val="000000" w:themeColor="text1"/>
                <w:szCs w:val="18"/>
              </w:rPr>
            </w:pPr>
          </w:p>
        </w:tc>
        <w:tc>
          <w:tcPr>
            <w:tcW w:w="1987" w:type="dxa"/>
          </w:tcPr>
          <w:p w14:paraId="55CC03D7" w14:textId="77777777" w:rsidR="001A75A4" w:rsidRPr="00286216" w:rsidRDefault="001A75A4" w:rsidP="001A75A4">
            <w:pPr>
              <w:pStyle w:val="StyleWisnow"/>
              <w:rPr>
                <w:color w:val="000000" w:themeColor="text1"/>
              </w:rPr>
            </w:pPr>
          </w:p>
        </w:tc>
        <w:tc>
          <w:tcPr>
            <w:tcW w:w="4818" w:type="dxa"/>
          </w:tcPr>
          <w:p w14:paraId="0EBC31B7" w14:textId="0CD95086" w:rsidR="001A75A4" w:rsidRPr="00286216" w:rsidRDefault="001A75A4" w:rsidP="001A75A4">
            <w:pPr>
              <w:pStyle w:val="StyleZakonu"/>
              <w:rPr>
                <w:color w:val="000000" w:themeColor="text1"/>
              </w:rPr>
            </w:pPr>
            <w:r w:rsidRPr="00286216">
              <w:rPr>
                <w:color w:val="000000" w:themeColor="text1"/>
              </w:rPr>
              <w:t>3) підготовку інформації, необхідної для виконання біржових угод (договорів);</w:t>
            </w:r>
          </w:p>
        </w:tc>
      </w:tr>
      <w:tr w:rsidR="001A75A4" w:rsidRPr="00286216" w14:paraId="2C788F77" w14:textId="77777777" w:rsidTr="00091AA5">
        <w:tc>
          <w:tcPr>
            <w:tcW w:w="576" w:type="dxa"/>
          </w:tcPr>
          <w:p w14:paraId="7E87C216" w14:textId="77777777" w:rsidR="001A75A4" w:rsidRPr="00286216" w:rsidRDefault="001A75A4" w:rsidP="001A75A4">
            <w:pPr>
              <w:pStyle w:val="StyleWisnow"/>
              <w:rPr>
                <w:color w:val="000000" w:themeColor="text1"/>
              </w:rPr>
            </w:pPr>
            <w:bookmarkStart w:id="2237" w:name="n2432" w:colFirst="0" w:colLast="0"/>
            <w:bookmarkEnd w:id="2236"/>
            <w:r w:rsidRPr="00286216">
              <w:rPr>
                <w:color w:val="000000" w:themeColor="text1"/>
              </w:rPr>
              <w:t>2432.</w:t>
            </w:r>
          </w:p>
        </w:tc>
        <w:tc>
          <w:tcPr>
            <w:tcW w:w="4818" w:type="dxa"/>
          </w:tcPr>
          <w:p w14:paraId="392DC00D" w14:textId="77777777" w:rsidR="001A75A4" w:rsidRPr="00286216" w:rsidRDefault="001A75A4" w:rsidP="001A75A4">
            <w:pPr>
              <w:pStyle w:val="StyleZakonu"/>
              <w:rPr>
                <w:color w:val="000000" w:themeColor="text1"/>
              </w:rPr>
            </w:pPr>
            <w:r w:rsidRPr="00286216">
              <w:rPr>
                <w:color w:val="000000" w:themeColor="text1"/>
              </w:rPr>
              <w:t>4) захист інформації (у тому числі на електронних носіях), що стосується укладання біржових угод (договорів), від втрати або несанкціонованого доступу. Захист має відповідати вимогам законодавства про електронний документообіг та забезпечувати неможливість витоку, знищення та блокування інформації, порушення цілісності та режиму доступу до інформації;</w:t>
            </w:r>
          </w:p>
        </w:tc>
        <w:tc>
          <w:tcPr>
            <w:tcW w:w="3686" w:type="dxa"/>
          </w:tcPr>
          <w:p w14:paraId="2B2D8884" w14:textId="77777777" w:rsidR="001A75A4" w:rsidRPr="00286216" w:rsidRDefault="001A75A4" w:rsidP="001A75A4">
            <w:pPr>
              <w:pStyle w:val="StyleProp"/>
              <w:rPr>
                <w:color w:val="000000" w:themeColor="text1"/>
                <w:szCs w:val="18"/>
              </w:rPr>
            </w:pPr>
          </w:p>
        </w:tc>
        <w:tc>
          <w:tcPr>
            <w:tcW w:w="1987" w:type="dxa"/>
          </w:tcPr>
          <w:p w14:paraId="0CDB08F9" w14:textId="77777777" w:rsidR="001A75A4" w:rsidRPr="00286216" w:rsidRDefault="001A75A4" w:rsidP="001A75A4">
            <w:pPr>
              <w:pStyle w:val="StyleWisnow"/>
              <w:rPr>
                <w:color w:val="000000" w:themeColor="text1"/>
              </w:rPr>
            </w:pPr>
          </w:p>
        </w:tc>
        <w:tc>
          <w:tcPr>
            <w:tcW w:w="4818" w:type="dxa"/>
          </w:tcPr>
          <w:p w14:paraId="49F3E3D7" w14:textId="091C3690" w:rsidR="001A75A4" w:rsidRPr="00286216" w:rsidRDefault="001A75A4" w:rsidP="001A75A4">
            <w:pPr>
              <w:pStyle w:val="StyleZakonu"/>
              <w:rPr>
                <w:color w:val="000000" w:themeColor="text1"/>
              </w:rPr>
            </w:pPr>
            <w:r w:rsidRPr="00286216">
              <w:rPr>
                <w:color w:val="000000" w:themeColor="text1"/>
              </w:rPr>
              <w:t>4) захист інформації (у тому числі на електронних носіях), що стосується укладання біржових угод (договорів), від втрати або несанкціонованого доступу. Захист має відповідати вимогам законодавства про електронний документообіг та забезпечувати неможливість витоку, знищення та блокування інформації, порушення цілісності інформації та режиму доступу до інформації;</w:t>
            </w:r>
          </w:p>
        </w:tc>
      </w:tr>
      <w:tr w:rsidR="001A75A4" w:rsidRPr="00286216" w14:paraId="44A45564" w14:textId="77777777" w:rsidTr="00091AA5">
        <w:tc>
          <w:tcPr>
            <w:tcW w:w="576" w:type="dxa"/>
          </w:tcPr>
          <w:p w14:paraId="28249256" w14:textId="77777777" w:rsidR="001A75A4" w:rsidRPr="00286216" w:rsidRDefault="001A75A4" w:rsidP="001A75A4">
            <w:pPr>
              <w:pStyle w:val="StyleWisnow"/>
              <w:rPr>
                <w:color w:val="000000" w:themeColor="text1"/>
              </w:rPr>
            </w:pPr>
            <w:bookmarkStart w:id="2238" w:name="n2433" w:colFirst="0" w:colLast="0"/>
            <w:bookmarkEnd w:id="2237"/>
            <w:r w:rsidRPr="00286216">
              <w:rPr>
                <w:color w:val="000000" w:themeColor="text1"/>
              </w:rPr>
              <w:t>2433.</w:t>
            </w:r>
          </w:p>
        </w:tc>
        <w:tc>
          <w:tcPr>
            <w:tcW w:w="4818" w:type="dxa"/>
          </w:tcPr>
          <w:p w14:paraId="1E0EB95F" w14:textId="77777777" w:rsidR="001A75A4" w:rsidRPr="00286216" w:rsidRDefault="001A75A4" w:rsidP="001A75A4">
            <w:pPr>
              <w:pStyle w:val="StyleZakonu"/>
              <w:rPr>
                <w:color w:val="000000" w:themeColor="text1"/>
              </w:rPr>
            </w:pPr>
            <w:r w:rsidRPr="00286216">
              <w:rPr>
                <w:color w:val="000000" w:themeColor="text1"/>
              </w:rPr>
              <w:t>5) обмін інформацією в електронній торговельній системі товарної біржі шляхом створення, відправлення, передавання, одержання, зберігання, оброблення, використання та знищення документів в електронному вигляді;</w:t>
            </w:r>
          </w:p>
        </w:tc>
        <w:tc>
          <w:tcPr>
            <w:tcW w:w="3686" w:type="dxa"/>
          </w:tcPr>
          <w:p w14:paraId="35EA39F8" w14:textId="77777777" w:rsidR="001A75A4" w:rsidRPr="00286216" w:rsidRDefault="001A75A4" w:rsidP="001A75A4">
            <w:pPr>
              <w:pStyle w:val="StyleProp"/>
              <w:rPr>
                <w:color w:val="000000" w:themeColor="text1"/>
                <w:szCs w:val="18"/>
              </w:rPr>
            </w:pPr>
          </w:p>
        </w:tc>
        <w:tc>
          <w:tcPr>
            <w:tcW w:w="1987" w:type="dxa"/>
          </w:tcPr>
          <w:p w14:paraId="75BEAB5E" w14:textId="77777777" w:rsidR="001A75A4" w:rsidRPr="00286216" w:rsidRDefault="001A75A4" w:rsidP="001A75A4">
            <w:pPr>
              <w:pStyle w:val="StyleWisnow"/>
              <w:rPr>
                <w:color w:val="000000" w:themeColor="text1"/>
              </w:rPr>
            </w:pPr>
          </w:p>
        </w:tc>
        <w:tc>
          <w:tcPr>
            <w:tcW w:w="4818" w:type="dxa"/>
          </w:tcPr>
          <w:p w14:paraId="2EC131E8" w14:textId="51ABEDE0" w:rsidR="001A75A4" w:rsidRPr="00286216" w:rsidRDefault="001A75A4" w:rsidP="001A75A4">
            <w:pPr>
              <w:pStyle w:val="StyleZakonu"/>
              <w:rPr>
                <w:color w:val="000000" w:themeColor="text1"/>
              </w:rPr>
            </w:pPr>
            <w:r w:rsidRPr="00286216">
              <w:rPr>
                <w:color w:val="000000" w:themeColor="text1"/>
              </w:rPr>
              <w:t>5) обмін інформацією в електронній торговельній системі товарної біржі шляхом створення, відправлення, передавання, одержання, зберігання, оброблення, використання та знищення документів в електронному вигляді;</w:t>
            </w:r>
          </w:p>
        </w:tc>
      </w:tr>
      <w:tr w:rsidR="001A75A4" w:rsidRPr="00286216" w14:paraId="67D051AE" w14:textId="77777777" w:rsidTr="00091AA5">
        <w:tc>
          <w:tcPr>
            <w:tcW w:w="576" w:type="dxa"/>
          </w:tcPr>
          <w:p w14:paraId="6F6CBB6F" w14:textId="77777777" w:rsidR="001A75A4" w:rsidRPr="00286216" w:rsidRDefault="001A75A4" w:rsidP="001A75A4">
            <w:pPr>
              <w:pStyle w:val="StyleWisnow"/>
              <w:rPr>
                <w:color w:val="000000" w:themeColor="text1"/>
              </w:rPr>
            </w:pPr>
            <w:bookmarkStart w:id="2239" w:name="n2434" w:colFirst="0" w:colLast="0"/>
            <w:bookmarkEnd w:id="2238"/>
            <w:r w:rsidRPr="00286216">
              <w:rPr>
                <w:color w:val="000000" w:themeColor="text1"/>
              </w:rPr>
              <w:t>2434.</w:t>
            </w:r>
          </w:p>
        </w:tc>
        <w:tc>
          <w:tcPr>
            <w:tcW w:w="4818" w:type="dxa"/>
          </w:tcPr>
          <w:p w14:paraId="395F96EC" w14:textId="77777777" w:rsidR="001A75A4" w:rsidRPr="00286216" w:rsidRDefault="001A75A4" w:rsidP="001A75A4">
            <w:pPr>
              <w:pStyle w:val="StyleZakonu"/>
              <w:rPr>
                <w:color w:val="000000" w:themeColor="text1"/>
              </w:rPr>
            </w:pPr>
            <w:r w:rsidRPr="00286216">
              <w:rPr>
                <w:color w:val="000000" w:themeColor="text1"/>
              </w:rPr>
              <w:t>6) формування та підтримку баз даних про хід та результати біржових торгів з фіксацією часу подання учасниками біржових торгів заявок та укладання біржових угод (договорів);</w:t>
            </w:r>
          </w:p>
        </w:tc>
        <w:tc>
          <w:tcPr>
            <w:tcW w:w="3686" w:type="dxa"/>
          </w:tcPr>
          <w:p w14:paraId="232DB07B" w14:textId="77777777" w:rsidR="001A75A4" w:rsidRPr="00286216" w:rsidRDefault="001A75A4" w:rsidP="001A75A4">
            <w:pPr>
              <w:pStyle w:val="StyleProp"/>
              <w:rPr>
                <w:color w:val="000000" w:themeColor="text1"/>
                <w:szCs w:val="18"/>
              </w:rPr>
            </w:pPr>
          </w:p>
        </w:tc>
        <w:tc>
          <w:tcPr>
            <w:tcW w:w="1987" w:type="dxa"/>
          </w:tcPr>
          <w:p w14:paraId="2AD822DF" w14:textId="77777777" w:rsidR="001A75A4" w:rsidRPr="00286216" w:rsidRDefault="001A75A4" w:rsidP="001A75A4">
            <w:pPr>
              <w:pStyle w:val="StyleWisnow"/>
              <w:rPr>
                <w:color w:val="000000" w:themeColor="text1"/>
              </w:rPr>
            </w:pPr>
          </w:p>
        </w:tc>
        <w:tc>
          <w:tcPr>
            <w:tcW w:w="4818" w:type="dxa"/>
          </w:tcPr>
          <w:p w14:paraId="40BE83BA" w14:textId="3EC46F6C" w:rsidR="001A75A4" w:rsidRPr="00286216" w:rsidRDefault="001A75A4" w:rsidP="001A75A4">
            <w:pPr>
              <w:pStyle w:val="StyleZakonu"/>
              <w:rPr>
                <w:color w:val="000000" w:themeColor="text1"/>
              </w:rPr>
            </w:pPr>
            <w:r w:rsidRPr="00286216">
              <w:rPr>
                <w:color w:val="000000" w:themeColor="text1"/>
              </w:rPr>
              <w:t>6) формування та підтримку баз даних про хід та результати біржових торгів з фіксацією часу подання учасниками біржових торгів заявок та укладання біржових угод (договорів);</w:t>
            </w:r>
          </w:p>
        </w:tc>
      </w:tr>
      <w:tr w:rsidR="001A75A4" w:rsidRPr="00286216" w14:paraId="40526D8A" w14:textId="77777777" w:rsidTr="00091AA5">
        <w:tc>
          <w:tcPr>
            <w:tcW w:w="576" w:type="dxa"/>
          </w:tcPr>
          <w:p w14:paraId="3DDA7B9E" w14:textId="77777777" w:rsidR="001A75A4" w:rsidRPr="00286216" w:rsidRDefault="001A75A4" w:rsidP="001A75A4">
            <w:pPr>
              <w:pStyle w:val="StyleWisnow"/>
              <w:rPr>
                <w:color w:val="000000" w:themeColor="text1"/>
              </w:rPr>
            </w:pPr>
            <w:bookmarkStart w:id="2240" w:name="n2435" w:colFirst="0" w:colLast="0"/>
            <w:bookmarkEnd w:id="2239"/>
            <w:r w:rsidRPr="00286216">
              <w:rPr>
                <w:color w:val="000000" w:themeColor="text1"/>
              </w:rPr>
              <w:t>2435.</w:t>
            </w:r>
          </w:p>
        </w:tc>
        <w:tc>
          <w:tcPr>
            <w:tcW w:w="4818" w:type="dxa"/>
          </w:tcPr>
          <w:p w14:paraId="01C53C76" w14:textId="77777777" w:rsidR="001A75A4" w:rsidRPr="00286216" w:rsidRDefault="001A75A4" w:rsidP="001A75A4">
            <w:pPr>
              <w:pStyle w:val="StyleZakonu"/>
              <w:rPr>
                <w:color w:val="000000" w:themeColor="text1"/>
              </w:rPr>
            </w:pPr>
            <w:r w:rsidRPr="00286216">
              <w:rPr>
                <w:color w:val="000000" w:themeColor="text1"/>
              </w:rPr>
              <w:t>7) можливість укладення біржових угод (договорів) у вигляді документа на папері або електронного документа з можливістю відтворення документа у паперовому вигляді, оригінали яких зберігаються на товарній біржі</w:t>
            </w:r>
          </w:p>
        </w:tc>
        <w:tc>
          <w:tcPr>
            <w:tcW w:w="3686" w:type="dxa"/>
          </w:tcPr>
          <w:p w14:paraId="06AD291A" w14:textId="7C633C26"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1169</w:t>
            </w:r>
            <w:r w:rsidRPr="00286216">
              <w:rPr>
                <w:color w:val="000000" w:themeColor="text1"/>
                <w:spacing w:val="-2"/>
              </w:rPr>
              <w:fldChar w:fldCharType="end"/>
            </w:r>
            <w:r w:rsidRPr="00286216">
              <w:rPr>
                <w:color w:val="000000" w:themeColor="text1"/>
                <w:spacing w:val="-2"/>
              </w:rPr>
              <w:t>-Н.д.Шахов С.В. (Реєстр.картка №114)</w:t>
            </w:r>
          </w:p>
          <w:p w14:paraId="3C0E80B2" w14:textId="77777777" w:rsidR="001A75A4" w:rsidRPr="00286216" w:rsidRDefault="001A75A4" w:rsidP="001A75A4">
            <w:pPr>
              <w:pStyle w:val="StyleProp"/>
              <w:spacing w:line="190" w:lineRule="exact"/>
              <w:rPr>
                <w:color w:val="000000" w:themeColor="text1"/>
                <w:szCs w:val="18"/>
                <w:lang w:eastAsia="uk-UA"/>
              </w:rPr>
            </w:pPr>
            <w:r w:rsidRPr="00286216">
              <w:rPr>
                <w:color w:val="000000" w:themeColor="text1"/>
                <w:szCs w:val="18"/>
                <w:lang w:eastAsia="uk-UA"/>
              </w:rPr>
              <w:t>П. 7 ч. 2 ст. 8 викласти у такій редакції:</w:t>
            </w:r>
          </w:p>
          <w:p w14:paraId="136C0A9E"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lang w:eastAsia="uk-UA"/>
              </w:rPr>
              <w:t>"7) можливість відтворення електронного документа, сформованого в ЕТС, у паперовому вигляді".</w:t>
            </w:r>
          </w:p>
        </w:tc>
        <w:tc>
          <w:tcPr>
            <w:tcW w:w="1987" w:type="dxa"/>
          </w:tcPr>
          <w:p w14:paraId="32E01169" w14:textId="77777777" w:rsidR="001A75A4" w:rsidRPr="00286216" w:rsidRDefault="001A75A4" w:rsidP="001A75A4">
            <w:pPr>
              <w:pStyle w:val="StyleWisnow"/>
              <w:rPr>
                <w:color w:val="000000" w:themeColor="text1"/>
              </w:rPr>
            </w:pPr>
            <w:r w:rsidRPr="00286216">
              <w:rPr>
                <w:color w:val="000000" w:themeColor="text1"/>
              </w:rPr>
              <w:t>Враховано редакційно</w:t>
            </w:r>
          </w:p>
        </w:tc>
        <w:tc>
          <w:tcPr>
            <w:tcW w:w="4818" w:type="dxa"/>
          </w:tcPr>
          <w:p w14:paraId="5908C3F5" w14:textId="77777777" w:rsidR="001A75A4" w:rsidRPr="00286216" w:rsidRDefault="001A75A4" w:rsidP="001A75A4">
            <w:pPr>
              <w:pStyle w:val="StyleZakonu"/>
              <w:rPr>
                <w:color w:val="000000" w:themeColor="text1"/>
              </w:rPr>
            </w:pPr>
          </w:p>
        </w:tc>
      </w:tr>
      <w:tr w:rsidR="001A75A4" w:rsidRPr="00286216" w14:paraId="67288BE7" w14:textId="77777777" w:rsidTr="00091AA5">
        <w:tc>
          <w:tcPr>
            <w:tcW w:w="576" w:type="dxa"/>
          </w:tcPr>
          <w:p w14:paraId="35411150" w14:textId="77777777" w:rsidR="001A75A4" w:rsidRPr="00286216" w:rsidRDefault="001A75A4" w:rsidP="001A75A4">
            <w:pPr>
              <w:pStyle w:val="StyleWisnow"/>
              <w:rPr>
                <w:color w:val="000000" w:themeColor="text1"/>
              </w:rPr>
            </w:pPr>
          </w:p>
        </w:tc>
        <w:tc>
          <w:tcPr>
            <w:tcW w:w="4818" w:type="dxa"/>
          </w:tcPr>
          <w:p w14:paraId="1C41FD29" w14:textId="77777777" w:rsidR="001A75A4" w:rsidRPr="00286216" w:rsidRDefault="001A75A4" w:rsidP="001A75A4">
            <w:pPr>
              <w:pStyle w:val="StyleZakonu"/>
              <w:rPr>
                <w:color w:val="000000" w:themeColor="text1"/>
              </w:rPr>
            </w:pPr>
          </w:p>
        </w:tc>
        <w:tc>
          <w:tcPr>
            <w:tcW w:w="3686" w:type="dxa"/>
          </w:tcPr>
          <w:p w14:paraId="2A99D23B" w14:textId="6A87ECE1" w:rsidR="001A75A4" w:rsidRPr="00286216" w:rsidRDefault="001A75A4" w:rsidP="001A75A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1170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A22EE15" w14:textId="77777777" w:rsidR="001A75A4" w:rsidRPr="00286216" w:rsidRDefault="001A75A4" w:rsidP="001A75A4">
            <w:pPr>
              <w:pStyle w:val="StyleProp"/>
              <w:spacing w:line="180" w:lineRule="exact"/>
              <w:rPr>
                <w:color w:val="000000" w:themeColor="text1"/>
              </w:rPr>
            </w:pPr>
            <w:r w:rsidRPr="00286216">
              <w:rPr>
                <w:color w:val="000000" w:themeColor="text1"/>
              </w:rPr>
              <w:t>Пункт 7 частини другої статті 8 викласти у такій редакції:</w:t>
            </w:r>
          </w:p>
          <w:p w14:paraId="591494DD" w14:textId="77777777" w:rsidR="001A75A4" w:rsidRPr="00286216" w:rsidRDefault="001A75A4" w:rsidP="001A75A4">
            <w:pPr>
              <w:pStyle w:val="StyleProp"/>
              <w:spacing w:line="180" w:lineRule="exact"/>
              <w:rPr>
                <w:color w:val="000000" w:themeColor="text1"/>
              </w:rPr>
            </w:pPr>
            <w:r w:rsidRPr="00286216">
              <w:rPr>
                <w:color w:val="000000" w:themeColor="text1"/>
              </w:rPr>
              <w:lastRenderedPageBreak/>
              <w:t>"7) можливість укладення біржових угод (договорів) у формі електронних договорів";</w:t>
            </w:r>
          </w:p>
        </w:tc>
        <w:tc>
          <w:tcPr>
            <w:tcW w:w="1987" w:type="dxa"/>
          </w:tcPr>
          <w:p w14:paraId="059FB815" w14:textId="77777777" w:rsidR="001A75A4" w:rsidRPr="00286216" w:rsidRDefault="001A75A4" w:rsidP="001A75A4">
            <w:pPr>
              <w:pStyle w:val="StyleWisnow"/>
              <w:rPr>
                <w:color w:val="000000" w:themeColor="text1"/>
              </w:rPr>
            </w:pPr>
            <w:r w:rsidRPr="00286216">
              <w:rPr>
                <w:color w:val="000000" w:themeColor="text1"/>
              </w:rPr>
              <w:lastRenderedPageBreak/>
              <w:t>Враховано</w:t>
            </w:r>
          </w:p>
        </w:tc>
        <w:tc>
          <w:tcPr>
            <w:tcW w:w="4818" w:type="dxa"/>
          </w:tcPr>
          <w:p w14:paraId="5B65B047" w14:textId="61C44639" w:rsidR="001A75A4" w:rsidRPr="00286216" w:rsidRDefault="001A75A4" w:rsidP="001A75A4">
            <w:pPr>
              <w:pStyle w:val="StyleZakonu"/>
              <w:rPr>
                <w:color w:val="000000" w:themeColor="text1"/>
              </w:rPr>
            </w:pPr>
            <w:r w:rsidRPr="00286216">
              <w:rPr>
                <w:color w:val="000000" w:themeColor="text1"/>
              </w:rPr>
              <w:t>7) можливість укладання біржових угод (договорів) у формі електронних договорів;</w:t>
            </w:r>
          </w:p>
        </w:tc>
      </w:tr>
      <w:tr w:rsidR="001A75A4" w:rsidRPr="00286216" w14:paraId="18E7ED81" w14:textId="77777777" w:rsidTr="00091AA5">
        <w:tc>
          <w:tcPr>
            <w:tcW w:w="576" w:type="dxa"/>
          </w:tcPr>
          <w:p w14:paraId="198BFD47" w14:textId="77777777" w:rsidR="001A75A4" w:rsidRPr="00286216" w:rsidRDefault="001A75A4" w:rsidP="001A75A4">
            <w:pPr>
              <w:pStyle w:val="StyleWisnow"/>
              <w:rPr>
                <w:color w:val="000000" w:themeColor="text1"/>
              </w:rPr>
            </w:pPr>
            <w:bookmarkStart w:id="2241" w:name="n2436" w:colFirst="0" w:colLast="0"/>
            <w:bookmarkEnd w:id="2240"/>
            <w:r w:rsidRPr="00286216">
              <w:rPr>
                <w:color w:val="000000" w:themeColor="text1"/>
              </w:rPr>
              <w:t>2436.</w:t>
            </w:r>
          </w:p>
        </w:tc>
        <w:tc>
          <w:tcPr>
            <w:tcW w:w="4818" w:type="dxa"/>
          </w:tcPr>
          <w:p w14:paraId="2A8056E6" w14:textId="77777777" w:rsidR="001A75A4" w:rsidRPr="00286216" w:rsidRDefault="001A75A4" w:rsidP="001A75A4">
            <w:pPr>
              <w:pStyle w:val="StyleZakonu"/>
              <w:rPr>
                <w:color w:val="000000" w:themeColor="text1"/>
              </w:rPr>
            </w:pPr>
            <w:r w:rsidRPr="00286216">
              <w:rPr>
                <w:color w:val="000000" w:themeColor="text1"/>
              </w:rPr>
              <w:t>8) відповідність іншим вимогам встановленим Національною комісією з цінних паперів та фондового ринку.</w:t>
            </w:r>
          </w:p>
        </w:tc>
        <w:tc>
          <w:tcPr>
            <w:tcW w:w="3686" w:type="dxa"/>
          </w:tcPr>
          <w:p w14:paraId="189281AF" w14:textId="7A846A86"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1171</w:t>
            </w:r>
            <w:r w:rsidRPr="00286216">
              <w:rPr>
                <w:color w:val="000000" w:themeColor="text1"/>
                <w:spacing w:val="-2"/>
              </w:rPr>
              <w:fldChar w:fldCharType="end"/>
            </w:r>
            <w:r w:rsidRPr="00286216">
              <w:rPr>
                <w:color w:val="000000" w:themeColor="text1"/>
                <w:spacing w:val="-2"/>
              </w:rPr>
              <w:t>-Н.д.Шахов С.В. (Реєстр.картка №114)</w:t>
            </w:r>
          </w:p>
          <w:p w14:paraId="4785DF08" w14:textId="77777777" w:rsidR="001A75A4" w:rsidRPr="00286216" w:rsidRDefault="001A75A4" w:rsidP="001A75A4">
            <w:pPr>
              <w:pStyle w:val="StyleProp"/>
              <w:spacing w:line="180" w:lineRule="atLeast"/>
              <w:rPr>
                <w:color w:val="000000" w:themeColor="text1"/>
                <w:szCs w:val="18"/>
                <w:lang w:eastAsia="uk-UA"/>
              </w:rPr>
            </w:pPr>
            <w:r w:rsidRPr="00286216">
              <w:rPr>
                <w:color w:val="000000" w:themeColor="text1"/>
                <w:szCs w:val="18"/>
                <w:lang w:eastAsia="uk-UA"/>
              </w:rPr>
              <w:t>П. 8 ч. 2 ст. 8 викласти у такій редакції:</w:t>
            </w:r>
          </w:p>
          <w:p w14:paraId="75CA022E" w14:textId="77777777" w:rsidR="001A75A4" w:rsidRPr="00286216" w:rsidRDefault="001A75A4" w:rsidP="001A75A4">
            <w:pPr>
              <w:pStyle w:val="StyleProp"/>
              <w:spacing w:line="180" w:lineRule="atLeast"/>
              <w:rPr>
                <w:color w:val="000000" w:themeColor="text1"/>
                <w:spacing w:val="-8"/>
                <w:szCs w:val="18"/>
              </w:rPr>
            </w:pPr>
            <w:r w:rsidRPr="00286216">
              <w:rPr>
                <w:color w:val="000000" w:themeColor="text1"/>
                <w:spacing w:val="-8"/>
                <w:szCs w:val="18"/>
              </w:rPr>
              <w:t>"8)</w:t>
            </w:r>
            <w:r w:rsidRPr="00286216">
              <w:rPr>
                <w:color w:val="000000" w:themeColor="text1"/>
                <w:spacing w:val="-8"/>
                <w:sz w:val="16"/>
                <w:szCs w:val="16"/>
              </w:rPr>
              <w:t xml:space="preserve"> </w:t>
            </w:r>
            <w:r w:rsidRPr="00286216">
              <w:rPr>
                <w:color w:val="000000" w:themeColor="text1"/>
                <w:spacing w:val="-8"/>
                <w:szCs w:val="18"/>
              </w:rPr>
              <w:t>забезпечення</w:t>
            </w:r>
            <w:r w:rsidRPr="00286216">
              <w:rPr>
                <w:color w:val="000000" w:themeColor="text1"/>
                <w:spacing w:val="-8"/>
                <w:sz w:val="16"/>
                <w:szCs w:val="16"/>
              </w:rPr>
              <w:t xml:space="preserve"> </w:t>
            </w:r>
            <w:r w:rsidRPr="00286216">
              <w:rPr>
                <w:color w:val="000000" w:themeColor="text1"/>
                <w:spacing w:val="-8"/>
                <w:szCs w:val="18"/>
              </w:rPr>
              <w:t>резервного</w:t>
            </w:r>
            <w:r w:rsidRPr="00286216">
              <w:rPr>
                <w:color w:val="000000" w:themeColor="text1"/>
                <w:spacing w:val="-8"/>
                <w:sz w:val="14"/>
                <w:szCs w:val="14"/>
              </w:rPr>
              <w:t xml:space="preserve"> </w:t>
            </w:r>
            <w:r w:rsidRPr="00286216">
              <w:rPr>
                <w:color w:val="000000" w:themeColor="text1"/>
                <w:spacing w:val="-8"/>
                <w:szCs w:val="18"/>
              </w:rPr>
              <w:t>копіювання</w:t>
            </w:r>
            <w:r w:rsidRPr="00286216">
              <w:rPr>
                <w:color w:val="000000" w:themeColor="text1"/>
                <w:spacing w:val="-8"/>
                <w:sz w:val="14"/>
                <w:szCs w:val="14"/>
              </w:rPr>
              <w:t xml:space="preserve"> </w:t>
            </w:r>
            <w:r w:rsidRPr="00286216">
              <w:rPr>
                <w:color w:val="000000" w:themeColor="text1"/>
                <w:spacing w:val="-8"/>
                <w:szCs w:val="18"/>
              </w:rPr>
              <w:t>даних"</w:t>
            </w:r>
          </w:p>
        </w:tc>
        <w:tc>
          <w:tcPr>
            <w:tcW w:w="1987" w:type="dxa"/>
          </w:tcPr>
          <w:p w14:paraId="61C29B77" w14:textId="77777777" w:rsidR="001A75A4" w:rsidRPr="00286216" w:rsidRDefault="001A75A4" w:rsidP="001A75A4">
            <w:pPr>
              <w:pStyle w:val="StyleWisnow"/>
              <w:rPr>
                <w:color w:val="000000" w:themeColor="text1"/>
              </w:rPr>
            </w:pPr>
            <w:r w:rsidRPr="00286216">
              <w:rPr>
                <w:color w:val="000000" w:themeColor="text1"/>
              </w:rPr>
              <w:t>Враховано редакційно</w:t>
            </w:r>
          </w:p>
        </w:tc>
        <w:tc>
          <w:tcPr>
            <w:tcW w:w="4818" w:type="dxa"/>
          </w:tcPr>
          <w:p w14:paraId="01D30EB5" w14:textId="0373F771" w:rsidR="001A75A4" w:rsidRPr="00286216" w:rsidRDefault="001A75A4" w:rsidP="001A75A4">
            <w:pPr>
              <w:pStyle w:val="StyleZakonu"/>
              <w:rPr>
                <w:color w:val="000000" w:themeColor="text1"/>
              </w:rPr>
            </w:pPr>
            <w:r w:rsidRPr="00286216">
              <w:rPr>
                <w:color w:val="000000" w:themeColor="text1"/>
              </w:rPr>
              <w:t>8) можливість відтворення електронного документа, сформованого в електронній торговій системі, у паперовому вигляді.</w:t>
            </w:r>
          </w:p>
        </w:tc>
      </w:tr>
      <w:tr w:rsidR="001A75A4" w:rsidRPr="00286216" w14:paraId="1220CE19" w14:textId="77777777" w:rsidTr="00091AA5">
        <w:tc>
          <w:tcPr>
            <w:tcW w:w="576" w:type="dxa"/>
          </w:tcPr>
          <w:p w14:paraId="148F26BD" w14:textId="77777777" w:rsidR="001A75A4" w:rsidRPr="00286216" w:rsidRDefault="001A75A4" w:rsidP="001A75A4">
            <w:pPr>
              <w:pStyle w:val="StyleWisnow"/>
              <w:rPr>
                <w:color w:val="000000" w:themeColor="text1"/>
              </w:rPr>
            </w:pPr>
            <w:bookmarkStart w:id="2242" w:name="n2437" w:colFirst="0" w:colLast="0"/>
            <w:bookmarkEnd w:id="2241"/>
            <w:r w:rsidRPr="00286216">
              <w:rPr>
                <w:color w:val="000000" w:themeColor="text1"/>
              </w:rPr>
              <w:t>2437.</w:t>
            </w:r>
          </w:p>
        </w:tc>
        <w:tc>
          <w:tcPr>
            <w:tcW w:w="4818" w:type="dxa"/>
          </w:tcPr>
          <w:p w14:paraId="52CDE5F8"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3. </w:t>
            </w:r>
            <w:r w:rsidRPr="00286216">
              <w:rPr>
                <w:color w:val="000000" w:themeColor="text1"/>
              </w:rPr>
              <w:t>Електронна торгова система може забезпечувати інші функції, зокрема, які обумовлюються технологією торгів щодо вчинення біржових операцій та укладання біржових угод (біржових договорів).</w:t>
            </w:r>
          </w:p>
        </w:tc>
        <w:tc>
          <w:tcPr>
            <w:tcW w:w="3686" w:type="dxa"/>
          </w:tcPr>
          <w:p w14:paraId="3FFC359C" w14:textId="77777777" w:rsidR="001A75A4" w:rsidRPr="00286216" w:rsidRDefault="001A75A4" w:rsidP="001A75A4">
            <w:pPr>
              <w:pStyle w:val="StyleProp"/>
              <w:rPr>
                <w:rFonts w:cs="Times New Roman (Body CS)"/>
                <w:color w:val="000000" w:themeColor="text1"/>
                <w:szCs w:val="18"/>
              </w:rPr>
            </w:pPr>
          </w:p>
        </w:tc>
        <w:tc>
          <w:tcPr>
            <w:tcW w:w="1987" w:type="dxa"/>
          </w:tcPr>
          <w:p w14:paraId="49A16555" w14:textId="77777777" w:rsidR="001A75A4" w:rsidRPr="00286216" w:rsidRDefault="001A75A4" w:rsidP="001A75A4">
            <w:pPr>
              <w:pStyle w:val="StyleWisnow"/>
              <w:rPr>
                <w:rFonts w:cs="Times New Roman (Body CS)"/>
                <w:color w:val="000000" w:themeColor="text1"/>
              </w:rPr>
            </w:pPr>
          </w:p>
        </w:tc>
        <w:tc>
          <w:tcPr>
            <w:tcW w:w="4818" w:type="dxa"/>
          </w:tcPr>
          <w:p w14:paraId="4FB9488B" w14:textId="75DA86EA" w:rsidR="001A75A4" w:rsidRPr="00286216" w:rsidRDefault="001A75A4" w:rsidP="001A75A4">
            <w:pPr>
              <w:pStyle w:val="StyleZakonu"/>
              <w:rPr>
                <w:color w:val="000000" w:themeColor="text1"/>
              </w:rPr>
            </w:pPr>
            <w:r w:rsidRPr="00286216">
              <w:rPr>
                <w:rFonts w:cs="Times New Roman (Body CS)"/>
                <w:color w:val="000000" w:themeColor="text1"/>
              </w:rPr>
              <w:t xml:space="preserve">3. </w:t>
            </w:r>
            <w:r w:rsidRPr="00286216">
              <w:rPr>
                <w:color w:val="000000" w:themeColor="text1"/>
              </w:rPr>
              <w:t>Електронна торгова система може забезпечувати інші функції, зокрема зумовлені технологією торгів щодо вчинення біржових операцій та укладання біржових угод (біржових договорів).</w:t>
            </w:r>
          </w:p>
        </w:tc>
      </w:tr>
      <w:tr w:rsidR="001A75A4" w:rsidRPr="00286216" w14:paraId="1EF145A8" w14:textId="77777777" w:rsidTr="00091AA5">
        <w:tc>
          <w:tcPr>
            <w:tcW w:w="576" w:type="dxa"/>
          </w:tcPr>
          <w:p w14:paraId="0F8F4125" w14:textId="77777777" w:rsidR="001A75A4" w:rsidRPr="00286216" w:rsidRDefault="001A75A4" w:rsidP="001A75A4">
            <w:pPr>
              <w:pStyle w:val="StyleWisnow"/>
              <w:rPr>
                <w:color w:val="000000" w:themeColor="text1"/>
              </w:rPr>
            </w:pPr>
            <w:bookmarkStart w:id="2243" w:name="n2438" w:colFirst="0" w:colLast="0"/>
            <w:bookmarkEnd w:id="2242"/>
            <w:r w:rsidRPr="00286216">
              <w:rPr>
                <w:color w:val="000000" w:themeColor="text1"/>
              </w:rPr>
              <w:t>2438.</w:t>
            </w:r>
          </w:p>
        </w:tc>
        <w:tc>
          <w:tcPr>
            <w:tcW w:w="4818" w:type="dxa"/>
          </w:tcPr>
          <w:p w14:paraId="05C2D46E"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4. </w:t>
            </w:r>
            <w:r w:rsidRPr="00286216">
              <w:rPr>
                <w:color w:val="000000" w:themeColor="text1"/>
              </w:rPr>
              <w:t>Товарна біржа за допомогою програмного продукту повинна, зокрема, забезпечувати:</w:t>
            </w:r>
          </w:p>
        </w:tc>
        <w:tc>
          <w:tcPr>
            <w:tcW w:w="3686" w:type="dxa"/>
          </w:tcPr>
          <w:p w14:paraId="1E5C24FA" w14:textId="77777777" w:rsidR="001A75A4" w:rsidRPr="00286216" w:rsidRDefault="001A75A4" w:rsidP="001A75A4">
            <w:pPr>
              <w:pStyle w:val="StyleProp"/>
              <w:rPr>
                <w:rFonts w:cs="Times New Roman (Body CS)"/>
                <w:color w:val="000000" w:themeColor="text1"/>
                <w:szCs w:val="18"/>
              </w:rPr>
            </w:pPr>
          </w:p>
        </w:tc>
        <w:tc>
          <w:tcPr>
            <w:tcW w:w="1987" w:type="dxa"/>
          </w:tcPr>
          <w:p w14:paraId="50035A52" w14:textId="77777777" w:rsidR="001A75A4" w:rsidRPr="00286216" w:rsidRDefault="001A75A4" w:rsidP="001A75A4">
            <w:pPr>
              <w:pStyle w:val="StyleWisnow"/>
              <w:rPr>
                <w:rFonts w:cs="Times New Roman (Body CS)"/>
                <w:color w:val="000000" w:themeColor="text1"/>
              </w:rPr>
            </w:pPr>
          </w:p>
        </w:tc>
        <w:tc>
          <w:tcPr>
            <w:tcW w:w="4818" w:type="dxa"/>
          </w:tcPr>
          <w:p w14:paraId="2BACCAEA" w14:textId="7167DC44" w:rsidR="001A75A4" w:rsidRPr="00286216" w:rsidRDefault="001A75A4" w:rsidP="001A75A4">
            <w:pPr>
              <w:pStyle w:val="StyleZakonu"/>
              <w:rPr>
                <w:color w:val="000000" w:themeColor="text1"/>
              </w:rPr>
            </w:pPr>
            <w:r w:rsidRPr="00286216">
              <w:rPr>
                <w:rFonts w:cs="Times New Roman (Body CS)"/>
                <w:color w:val="000000" w:themeColor="text1"/>
              </w:rPr>
              <w:t xml:space="preserve">4. </w:t>
            </w:r>
            <w:r w:rsidRPr="00286216">
              <w:rPr>
                <w:color w:val="000000" w:themeColor="text1"/>
              </w:rPr>
              <w:t>Товарна біржа за допомогою програмного продукту повинна, зокрема, забезпечувати:</w:t>
            </w:r>
          </w:p>
        </w:tc>
      </w:tr>
      <w:tr w:rsidR="001A75A4" w:rsidRPr="00286216" w14:paraId="62119996" w14:textId="77777777" w:rsidTr="00091AA5">
        <w:tc>
          <w:tcPr>
            <w:tcW w:w="576" w:type="dxa"/>
          </w:tcPr>
          <w:p w14:paraId="2909FEEC" w14:textId="77777777" w:rsidR="001A75A4" w:rsidRPr="00286216" w:rsidRDefault="001A75A4" w:rsidP="001A75A4">
            <w:pPr>
              <w:pStyle w:val="StyleWisnow"/>
              <w:rPr>
                <w:color w:val="000000" w:themeColor="text1"/>
              </w:rPr>
            </w:pPr>
            <w:bookmarkStart w:id="2244" w:name="n2439" w:colFirst="0" w:colLast="0"/>
            <w:bookmarkEnd w:id="2243"/>
            <w:r w:rsidRPr="00286216">
              <w:rPr>
                <w:color w:val="000000" w:themeColor="text1"/>
              </w:rPr>
              <w:t>2439.</w:t>
            </w:r>
          </w:p>
        </w:tc>
        <w:tc>
          <w:tcPr>
            <w:tcW w:w="4818" w:type="dxa"/>
          </w:tcPr>
          <w:p w14:paraId="7F8562BF" w14:textId="77777777" w:rsidR="001A75A4" w:rsidRPr="00286216" w:rsidRDefault="001A75A4" w:rsidP="001A75A4">
            <w:pPr>
              <w:pStyle w:val="StyleZakonu"/>
              <w:rPr>
                <w:color w:val="000000" w:themeColor="text1"/>
                <w:lang w:eastAsia="en-US"/>
              </w:rPr>
            </w:pPr>
            <w:r w:rsidRPr="00286216">
              <w:rPr>
                <w:color w:val="000000" w:themeColor="text1"/>
                <w:lang w:eastAsia="en-US"/>
              </w:rPr>
              <w:t>1) неможливість укладання біржового контракту (договору) за заявками, які подаються в інтересах одного і того ж клієнта учасника/учасників торгів.</w:t>
            </w:r>
          </w:p>
        </w:tc>
        <w:tc>
          <w:tcPr>
            <w:tcW w:w="3686" w:type="dxa"/>
          </w:tcPr>
          <w:p w14:paraId="3B2A3060" w14:textId="688F776B"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1172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C8E976F"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У пункті 1 частини четвертої статті 8 слова «заявками, які подаються» замінити словами «зустрічними однорідними розпорядженнями учасника торгів, які направляються».</w:t>
            </w:r>
          </w:p>
        </w:tc>
        <w:tc>
          <w:tcPr>
            <w:tcW w:w="1987" w:type="dxa"/>
          </w:tcPr>
          <w:p w14:paraId="65545EE1" w14:textId="4E3FFC1A" w:rsidR="001A75A4" w:rsidRPr="00286216" w:rsidRDefault="001A75A4" w:rsidP="001A75A4">
            <w:pPr>
              <w:pStyle w:val="StyleWisnow"/>
              <w:rPr>
                <w:color w:val="000000" w:themeColor="text1"/>
                <w:lang w:eastAsia="en-US"/>
              </w:rPr>
            </w:pPr>
            <w:r w:rsidRPr="00286216">
              <w:rPr>
                <w:color w:val="000000" w:themeColor="text1"/>
                <w:lang w:eastAsia="en-US"/>
              </w:rPr>
              <w:t>Враховано частково</w:t>
            </w:r>
          </w:p>
        </w:tc>
        <w:tc>
          <w:tcPr>
            <w:tcW w:w="4818" w:type="dxa"/>
          </w:tcPr>
          <w:p w14:paraId="70C8CA9B" w14:textId="3ECAEC94" w:rsidR="001A75A4" w:rsidRPr="00286216" w:rsidRDefault="001A75A4" w:rsidP="001A75A4">
            <w:pPr>
              <w:pStyle w:val="StyleZakonu"/>
              <w:rPr>
                <w:color w:val="000000" w:themeColor="text1"/>
                <w:lang w:eastAsia="en-US"/>
              </w:rPr>
            </w:pPr>
            <w:r w:rsidRPr="00286216">
              <w:rPr>
                <w:color w:val="000000" w:themeColor="text1"/>
                <w:lang w:eastAsia="en-US"/>
              </w:rPr>
              <w:t xml:space="preserve">1) неможливість укладання біржового контракту (договору) за </w:t>
            </w:r>
            <w:r w:rsidRPr="00286216">
              <w:rPr>
                <w:color w:val="000000" w:themeColor="text1"/>
                <w:szCs w:val="18"/>
              </w:rPr>
              <w:t>зустрічними однорідними заявками учасника торгів, які направляються</w:t>
            </w:r>
            <w:r w:rsidRPr="00286216">
              <w:rPr>
                <w:color w:val="000000" w:themeColor="text1"/>
                <w:lang w:eastAsia="en-US"/>
              </w:rPr>
              <w:t xml:space="preserve"> в інтересах одного і того самого клієнта учасника (учасників) торгів;</w:t>
            </w:r>
          </w:p>
        </w:tc>
      </w:tr>
      <w:tr w:rsidR="001A75A4" w:rsidRPr="00286216" w14:paraId="029B7B05" w14:textId="77777777" w:rsidTr="00091AA5">
        <w:tc>
          <w:tcPr>
            <w:tcW w:w="576" w:type="dxa"/>
          </w:tcPr>
          <w:p w14:paraId="583E044E" w14:textId="77777777" w:rsidR="001A75A4" w:rsidRPr="00286216" w:rsidRDefault="001A75A4" w:rsidP="001A75A4">
            <w:pPr>
              <w:pStyle w:val="StyleWisnow"/>
              <w:rPr>
                <w:color w:val="000000" w:themeColor="text1"/>
              </w:rPr>
            </w:pPr>
            <w:bookmarkStart w:id="2245" w:name="n2440" w:colFirst="0" w:colLast="0"/>
            <w:bookmarkEnd w:id="2244"/>
            <w:r w:rsidRPr="00286216">
              <w:rPr>
                <w:color w:val="000000" w:themeColor="text1"/>
              </w:rPr>
              <w:t>2440.</w:t>
            </w:r>
          </w:p>
        </w:tc>
        <w:tc>
          <w:tcPr>
            <w:tcW w:w="4818" w:type="dxa"/>
          </w:tcPr>
          <w:p w14:paraId="5E3804FE" w14:textId="77777777" w:rsidR="001A75A4" w:rsidRPr="00286216" w:rsidRDefault="001A75A4" w:rsidP="001A75A4">
            <w:pPr>
              <w:pStyle w:val="StyleZakonu"/>
              <w:rPr>
                <w:color w:val="000000" w:themeColor="text1"/>
                <w:lang w:eastAsia="en-US"/>
              </w:rPr>
            </w:pPr>
            <w:r w:rsidRPr="00286216">
              <w:rPr>
                <w:color w:val="000000" w:themeColor="text1"/>
                <w:lang w:eastAsia="en-US"/>
              </w:rPr>
              <w:t>2) отримувати інформацію про ситуацію цінової нестабільності;</w:t>
            </w:r>
          </w:p>
        </w:tc>
        <w:tc>
          <w:tcPr>
            <w:tcW w:w="3686" w:type="dxa"/>
          </w:tcPr>
          <w:p w14:paraId="26246A41" w14:textId="77777777" w:rsidR="001A75A4" w:rsidRPr="00286216" w:rsidRDefault="001A75A4" w:rsidP="001A75A4">
            <w:pPr>
              <w:pStyle w:val="StyleProp"/>
              <w:rPr>
                <w:color w:val="000000" w:themeColor="text1"/>
                <w:szCs w:val="18"/>
                <w:lang w:eastAsia="en-US"/>
              </w:rPr>
            </w:pPr>
          </w:p>
        </w:tc>
        <w:tc>
          <w:tcPr>
            <w:tcW w:w="1987" w:type="dxa"/>
          </w:tcPr>
          <w:p w14:paraId="5E0CFB41" w14:textId="77777777" w:rsidR="001A75A4" w:rsidRPr="00286216" w:rsidRDefault="001A75A4" w:rsidP="001A75A4">
            <w:pPr>
              <w:pStyle w:val="StyleWisnow"/>
              <w:rPr>
                <w:color w:val="000000" w:themeColor="text1"/>
                <w:lang w:eastAsia="en-US"/>
              </w:rPr>
            </w:pPr>
          </w:p>
        </w:tc>
        <w:tc>
          <w:tcPr>
            <w:tcW w:w="4818" w:type="dxa"/>
          </w:tcPr>
          <w:p w14:paraId="330FDCEF" w14:textId="5BC47F7D" w:rsidR="001A75A4" w:rsidRPr="00286216" w:rsidRDefault="001A75A4" w:rsidP="001A75A4">
            <w:pPr>
              <w:pStyle w:val="StyleZakonu"/>
              <w:rPr>
                <w:color w:val="000000" w:themeColor="text1"/>
                <w:lang w:eastAsia="en-US"/>
              </w:rPr>
            </w:pPr>
            <w:r w:rsidRPr="00286216">
              <w:rPr>
                <w:color w:val="000000" w:themeColor="text1"/>
                <w:lang w:eastAsia="en-US"/>
              </w:rPr>
              <w:t>2) отримання інформації про ситуацію цінової нестабільності;</w:t>
            </w:r>
          </w:p>
        </w:tc>
      </w:tr>
      <w:tr w:rsidR="001A75A4" w:rsidRPr="00286216" w14:paraId="647C0515" w14:textId="77777777" w:rsidTr="00091AA5">
        <w:tc>
          <w:tcPr>
            <w:tcW w:w="576" w:type="dxa"/>
          </w:tcPr>
          <w:p w14:paraId="21CB1927" w14:textId="77777777" w:rsidR="001A75A4" w:rsidRPr="00286216" w:rsidRDefault="001A75A4" w:rsidP="001A75A4">
            <w:pPr>
              <w:pStyle w:val="StyleWisnow"/>
              <w:rPr>
                <w:color w:val="000000" w:themeColor="text1"/>
              </w:rPr>
            </w:pPr>
            <w:bookmarkStart w:id="2246" w:name="n2441" w:colFirst="0" w:colLast="0"/>
            <w:bookmarkEnd w:id="2245"/>
            <w:r w:rsidRPr="00286216">
              <w:rPr>
                <w:color w:val="000000" w:themeColor="text1"/>
              </w:rPr>
              <w:t>2441.</w:t>
            </w:r>
          </w:p>
        </w:tc>
        <w:tc>
          <w:tcPr>
            <w:tcW w:w="4818" w:type="dxa"/>
          </w:tcPr>
          <w:p w14:paraId="0790B8B4" w14:textId="77777777" w:rsidR="001A75A4" w:rsidRPr="00286216" w:rsidRDefault="001A75A4" w:rsidP="001A75A4">
            <w:pPr>
              <w:pStyle w:val="StyleZakonu"/>
              <w:rPr>
                <w:color w:val="000000" w:themeColor="text1"/>
                <w:lang w:eastAsia="en-US"/>
              </w:rPr>
            </w:pPr>
            <w:r w:rsidRPr="00286216">
              <w:rPr>
                <w:color w:val="000000" w:themeColor="text1"/>
                <w:lang w:eastAsia="en-US"/>
              </w:rPr>
              <w:t>3) отримувати інформацію про всі укладені біржові контракти (договори) за адресними заявками, в яких ціни не відповідають кращим цінам на купівлю/продаж, які існували на момент укладання біржових контрактів (договорів);</w:t>
            </w:r>
          </w:p>
        </w:tc>
        <w:tc>
          <w:tcPr>
            <w:tcW w:w="3686" w:type="dxa"/>
          </w:tcPr>
          <w:p w14:paraId="560A791A" w14:textId="0B60F8E7"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1173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AD4BE9F" w14:textId="77777777" w:rsidR="001A75A4" w:rsidRPr="00286216" w:rsidRDefault="001A75A4" w:rsidP="001A75A4">
            <w:pPr>
              <w:pStyle w:val="StyleProp"/>
              <w:rPr>
                <w:color w:val="000000" w:themeColor="text1"/>
                <w:szCs w:val="18"/>
              </w:rPr>
            </w:pPr>
            <w:r w:rsidRPr="00286216">
              <w:rPr>
                <w:color w:val="000000" w:themeColor="text1"/>
                <w:szCs w:val="18"/>
              </w:rPr>
              <w:t>У пункті 3 частини четвертої статті 8 слово «заявками» замінити словами «розпорядженнями учасника торгів»</w:t>
            </w:r>
          </w:p>
        </w:tc>
        <w:tc>
          <w:tcPr>
            <w:tcW w:w="1987" w:type="dxa"/>
          </w:tcPr>
          <w:p w14:paraId="7EA1D457" w14:textId="3397FC2D" w:rsidR="001A75A4" w:rsidRPr="00286216" w:rsidRDefault="001A75A4" w:rsidP="001A75A4">
            <w:pPr>
              <w:pStyle w:val="StyleWisnow"/>
              <w:rPr>
                <w:color w:val="000000" w:themeColor="text1"/>
                <w:lang w:eastAsia="en-US"/>
              </w:rPr>
            </w:pPr>
            <w:r w:rsidRPr="00286216">
              <w:rPr>
                <w:color w:val="000000" w:themeColor="text1"/>
                <w:lang w:eastAsia="en-US"/>
              </w:rPr>
              <w:t>Враховано частково</w:t>
            </w:r>
          </w:p>
        </w:tc>
        <w:tc>
          <w:tcPr>
            <w:tcW w:w="4818" w:type="dxa"/>
          </w:tcPr>
          <w:p w14:paraId="215C141B" w14:textId="06399B1B" w:rsidR="001A75A4" w:rsidRPr="00286216" w:rsidRDefault="001A75A4" w:rsidP="001A75A4">
            <w:pPr>
              <w:pStyle w:val="StyleZakonu"/>
              <w:rPr>
                <w:color w:val="000000" w:themeColor="text1"/>
                <w:lang w:eastAsia="en-US"/>
              </w:rPr>
            </w:pPr>
            <w:r w:rsidRPr="00286216">
              <w:rPr>
                <w:color w:val="000000" w:themeColor="text1"/>
                <w:lang w:eastAsia="en-US"/>
              </w:rPr>
              <w:t xml:space="preserve">3) отримання інформації про всі укладені біржові контракти (договори) за адресними </w:t>
            </w:r>
            <w:r w:rsidRPr="00286216">
              <w:rPr>
                <w:color w:val="000000" w:themeColor="text1"/>
                <w:szCs w:val="18"/>
              </w:rPr>
              <w:t>заявками учасника торгів</w:t>
            </w:r>
            <w:r w:rsidRPr="00286216">
              <w:rPr>
                <w:color w:val="000000" w:themeColor="text1"/>
                <w:lang w:eastAsia="en-US"/>
              </w:rPr>
              <w:t>, в яких ціни не відповідають кращим цінам на купівлю/продаж, що існували на момент укладання біржових контрактів (договорів).</w:t>
            </w:r>
          </w:p>
        </w:tc>
      </w:tr>
      <w:tr w:rsidR="001A75A4" w:rsidRPr="00286216" w14:paraId="2B32EA3B" w14:textId="77777777" w:rsidTr="00091AA5">
        <w:tc>
          <w:tcPr>
            <w:tcW w:w="576" w:type="dxa"/>
          </w:tcPr>
          <w:p w14:paraId="04DBD617" w14:textId="77777777" w:rsidR="001A75A4" w:rsidRPr="00286216" w:rsidRDefault="001A75A4" w:rsidP="001A75A4">
            <w:pPr>
              <w:pStyle w:val="StyleWisnow"/>
              <w:rPr>
                <w:color w:val="000000" w:themeColor="text1"/>
              </w:rPr>
            </w:pPr>
            <w:bookmarkStart w:id="2247" w:name="n2442" w:colFirst="0" w:colLast="0"/>
            <w:bookmarkEnd w:id="2246"/>
            <w:r w:rsidRPr="00286216">
              <w:rPr>
                <w:color w:val="000000" w:themeColor="text1"/>
              </w:rPr>
              <w:t>2442.</w:t>
            </w:r>
          </w:p>
        </w:tc>
        <w:tc>
          <w:tcPr>
            <w:tcW w:w="4818" w:type="dxa"/>
          </w:tcPr>
          <w:p w14:paraId="00B0F392"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5. </w:t>
            </w:r>
            <w:r w:rsidRPr="00286216">
              <w:rPr>
                <w:color w:val="000000" w:themeColor="text1"/>
              </w:rPr>
              <w:t>Товарна біржа може мати у власності та/або на праві користування декілька електронних торгових систем та програмно-технічних комплексів, які на постійній основі забезпечують належне функціонування та захист електронної торгової системи (електронних торгових систем).</w:t>
            </w:r>
          </w:p>
        </w:tc>
        <w:tc>
          <w:tcPr>
            <w:tcW w:w="3686" w:type="dxa"/>
          </w:tcPr>
          <w:p w14:paraId="1F7CD8E5" w14:textId="77777777" w:rsidR="001A75A4" w:rsidRPr="00286216" w:rsidRDefault="001A75A4" w:rsidP="001A75A4">
            <w:pPr>
              <w:pStyle w:val="StyleProp"/>
              <w:rPr>
                <w:rFonts w:cs="Times New Roman (Body CS)"/>
                <w:color w:val="000000" w:themeColor="text1"/>
                <w:szCs w:val="18"/>
              </w:rPr>
            </w:pPr>
          </w:p>
        </w:tc>
        <w:tc>
          <w:tcPr>
            <w:tcW w:w="1987" w:type="dxa"/>
          </w:tcPr>
          <w:p w14:paraId="13998D28" w14:textId="77777777" w:rsidR="001A75A4" w:rsidRPr="00286216" w:rsidRDefault="001A75A4" w:rsidP="001A75A4">
            <w:pPr>
              <w:pStyle w:val="StyleWisnow"/>
              <w:rPr>
                <w:rFonts w:cs="Times New Roman (Body CS)"/>
                <w:color w:val="000000" w:themeColor="text1"/>
              </w:rPr>
            </w:pPr>
          </w:p>
        </w:tc>
        <w:tc>
          <w:tcPr>
            <w:tcW w:w="4818" w:type="dxa"/>
          </w:tcPr>
          <w:p w14:paraId="04C8ECD9" w14:textId="7D13EDF9" w:rsidR="001A75A4" w:rsidRPr="00286216" w:rsidRDefault="001A75A4" w:rsidP="001A75A4">
            <w:pPr>
              <w:pStyle w:val="StyleZakonu"/>
              <w:rPr>
                <w:color w:val="000000" w:themeColor="text1"/>
              </w:rPr>
            </w:pPr>
            <w:r w:rsidRPr="00286216">
              <w:rPr>
                <w:rFonts w:cs="Times New Roman (Body CS)"/>
                <w:color w:val="000000" w:themeColor="text1"/>
              </w:rPr>
              <w:t xml:space="preserve">5. </w:t>
            </w:r>
            <w:r w:rsidRPr="00286216">
              <w:rPr>
                <w:color w:val="000000" w:themeColor="text1"/>
              </w:rPr>
              <w:t>Товарна біржа може мати у власності та/або у користувані декілька електронних торгових систем та програмно-технічних комплексів, які на постійній основі забезпечують належне функціонування та захист електронної торгової системи (електронних торгових систем).</w:t>
            </w:r>
          </w:p>
        </w:tc>
      </w:tr>
      <w:tr w:rsidR="001A75A4" w:rsidRPr="00286216" w14:paraId="4297474A" w14:textId="77777777" w:rsidTr="00091AA5">
        <w:tc>
          <w:tcPr>
            <w:tcW w:w="576" w:type="dxa"/>
          </w:tcPr>
          <w:p w14:paraId="5B50ADC4" w14:textId="77777777" w:rsidR="001A75A4" w:rsidRPr="00286216" w:rsidRDefault="001A75A4" w:rsidP="001A75A4">
            <w:pPr>
              <w:pStyle w:val="StyleWisnow"/>
              <w:rPr>
                <w:color w:val="000000" w:themeColor="text1"/>
              </w:rPr>
            </w:pPr>
            <w:bookmarkStart w:id="2248" w:name="n2443" w:colFirst="0" w:colLast="0"/>
            <w:bookmarkEnd w:id="2247"/>
            <w:r w:rsidRPr="00286216">
              <w:rPr>
                <w:color w:val="000000" w:themeColor="text1"/>
              </w:rPr>
              <w:t>2443.</w:t>
            </w:r>
          </w:p>
        </w:tc>
        <w:tc>
          <w:tcPr>
            <w:tcW w:w="4818" w:type="dxa"/>
          </w:tcPr>
          <w:p w14:paraId="41270F9B" w14:textId="77777777" w:rsidR="001A75A4" w:rsidRPr="00286216" w:rsidRDefault="001A75A4" w:rsidP="001A75A4">
            <w:pPr>
              <w:pStyle w:val="StyleZakonu"/>
              <w:rPr>
                <w:color w:val="000000" w:themeColor="text1"/>
              </w:rPr>
            </w:pPr>
            <w:r w:rsidRPr="00286216">
              <w:rPr>
                <w:rFonts w:cs="Times New Roman (Body CS)"/>
                <w:color w:val="000000" w:themeColor="text1"/>
              </w:rPr>
              <w:t xml:space="preserve">6. </w:t>
            </w:r>
            <w:r w:rsidRPr="00286216">
              <w:rPr>
                <w:color w:val="000000" w:themeColor="text1"/>
              </w:rPr>
              <w:t>Програмне та технічне забезпечення, що використовується товарною біржею, повинно бути розроблено/виготовлено суб’єктом господарювання, щодо якого не застосовано спеціальні економічні та інші обмежувальні заходи (санкції) відповідно до Закону України "Про санкції".</w:t>
            </w:r>
          </w:p>
        </w:tc>
        <w:tc>
          <w:tcPr>
            <w:tcW w:w="3686" w:type="dxa"/>
          </w:tcPr>
          <w:p w14:paraId="128E95E9" w14:textId="77777777" w:rsidR="001A75A4" w:rsidRPr="00286216" w:rsidRDefault="001A75A4" w:rsidP="001A75A4">
            <w:pPr>
              <w:pStyle w:val="StyleProp"/>
              <w:rPr>
                <w:rFonts w:cs="Times New Roman (Body CS)"/>
                <w:color w:val="000000" w:themeColor="text1"/>
                <w:szCs w:val="18"/>
              </w:rPr>
            </w:pPr>
          </w:p>
        </w:tc>
        <w:tc>
          <w:tcPr>
            <w:tcW w:w="1987" w:type="dxa"/>
          </w:tcPr>
          <w:p w14:paraId="0319D501" w14:textId="77777777" w:rsidR="001A75A4" w:rsidRPr="00286216" w:rsidRDefault="001A75A4" w:rsidP="001A75A4">
            <w:pPr>
              <w:pStyle w:val="StyleWisnow"/>
              <w:rPr>
                <w:rFonts w:cs="Times New Roman (Body CS)"/>
                <w:color w:val="000000" w:themeColor="text1"/>
              </w:rPr>
            </w:pPr>
          </w:p>
        </w:tc>
        <w:tc>
          <w:tcPr>
            <w:tcW w:w="4818" w:type="dxa"/>
          </w:tcPr>
          <w:p w14:paraId="110D342C" w14:textId="2F112AFE" w:rsidR="001A75A4" w:rsidRPr="00286216" w:rsidRDefault="001A75A4" w:rsidP="001A75A4">
            <w:pPr>
              <w:pStyle w:val="StyleZakonu"/>
              <w:rPr>
                <w:color w:val="000000" w:themeColor="text1"/>
              </w:rPr>
            </w:pPr>
            <w:r w:rsidRPr="00286216">
              <w:rPr>
                <w:rFonts w:cs="Times New Roman (Body CS)"/>
                <w:color w:val="000000" w:themeColor="text1"/>
              </w:rPr>
              <w:t xml:space="preserve">6. </w:t>
            </w:r>
            <w:r w:rsidRPr="00286216">
              <w:rPr>
                <w:color w:val="000000" w:themeColor="text1"/>
              </w:rPr>
              <w:t>Програмне та технічне забезпечення, що використовується товарною біржею, має бути розроблено/виготовлено суб’єктом господарювання, до якого не застосовано спеціальні економічні та інші обмежувальні заходи (санкції) відповідно до Закону України "Про санкції".</w:t>
            </w:r>
          </w:p>
        </w:tc>
      </w:tr>
      <w:tr w:rsidR="001A75A4" w:rsidRPr="00286216" w14:paraId="5823E20E" w14:textId="77777777" w:rsidTr="00091AA5">
        <w:tc>
          <w:tcPr>
            <w:tcW w:w="576" w:type="dxa"/>
          </w:tcPr>
          <w:p w14:paraId="4096C16B" w14:textId="77777777" w:rsidR="001A75A4" w:rsidRPr="00286216" w:rsidRDefault="001A75A4" w:rsidP="001A75A4">
            <w:pPr>
              <w:pStyle w:val="StyleWisnow"/>
              <w:rPr>
                <w:color w:val="000000" w:themeColor="text1"/>
              </w:rPr>
            </w:pPr>
            <w:bookmarkStart w:id="2249" w:name="n2444" w:colFirst="0" w:colLast="0"/>
            <w:bookmarkEnd w:id="2248"/>
            <w:r w:rsidRPr="00286216">
              <w:rPr>
                <w:color w:val="000000" w:themeColor="text1"/>
              </w:rPr>
              <w:t>2444.</w:t>
            </w:r>
          </w:p>
        </w:tc>
        <w:tc>
          <w:tcPr>
            <w:tcW w:w="4818" w:type="dxa"/>
          </w:tcPr>
          <w:p w14:paraId="7286F00C" w14:textId="77777777" w:rsidR="001A75A4" w:rsidRPr="00286216" w:rsidRDefault="001A75A4" w:rsidP="001A75A4">
            <w:pPr>
              <w:pStyle w:val="StyleZakonu"/>
              <w:rPr>
                <w:color w:val="000000" w:themeColor="text1"/>
                <w:shd w:val="clear" w:color="auto" w:fill="FFFFFF"/>
              </w:rPr>
            </w:pPr>
            <w:bookmarkStart w:id="2250" w:name="_Ref20336554"/>
            <w:r w:rsidRPr="00286216">
              <w:rPr>
                <w:color w:val="000000" w:themeColor="text1"/>
              </w:rPr>
              <w:t xml:space="preserve">Стаття 9. </w:t>
            </w:r>
            <w:r w:rsidRPr="00286216">
              <w:rPr>
                <w:color w:val="000000" w:themeColor="text1"/>
                <w:shd w:val="clear" w:color="auto" w:fill="FFFFFF"/>
              </w:rPr>
              <w:t>Правила товарної біржі</w:t>
            </w:r>
            <w:bookmarkEnd w:id="2250"/>
          </w:p>
        </w:tc>
        <w:tc>
          <w:tcPr>
            <w:tcW w:w="3686" w:type="dxa"/>
          </w:tcPr>
          <w:p w14:paraId="3DB3F5D2" w14:textId="77777777" w:rsidR="001A75A4" w:rsidRPr="00286216" w:rsidRDefault="001A75A4" w:rsidP="001A75A4">
            <w:pPr>
              <w:pStyle w:val="StyleProp"/>
              <w:rPr>
                <w:color w:val="000000" w:themeColor="text1"/>
                <w:szCs w:val="18"/>
              </w:rPr>
            </w:pPr>
          </w:p>
        </w:tc>
        <w:tc>
          <w:tcPr>
            <w:tcW w:w="1987" w:type="dxa"/>
          </w:tcPr>
          <w:p w14:paraId="3BEA3DB3" w14:textId="77777777" w:rsidR="001A75A4" w:rsidRPr="00286216" w:rsidRDefault="001A75A4" w:rsidP="001A75A4">
            <w:pPr>
              <w:pStyle w:val="StyleWisnow"/>
              <w:rPr>
                <w:color w:val="000000" w:themeColor="text1"/>
              </w:rPr>
            </w:pPr>
          </w:p>
        </w:tc>
        <w:tc>
          <w:tcPr>
            <w:tcW w:w="4818" w:type="dxa"/>
          </w:tcPr>
          <w:p w14:paraId="244DCFA6" w14:textId="7EA635C9"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9. </w:t>
            </w:r>
            <w:r w:rsidRPr="00286216">
              <w:rPr>
                <w:color w:val="000000" w:themeColor="text1"/>
                <w:shd w:val="clear" w:color="auto" w:fill="FFFFFF"/>
              </w:rPr>
              <w:t>Правила товарної біржі</w:t>
            </w:r>
          </w:p>
        </w:tc>
      </w:tr>
      <w:tr w:rsidR="001A75A4" w:rsidRPr="00286216" w14:paraId="52E96EAD" w14:textId="77777777" w:rsidTr="00091AA5">
        <w:tc>
          <w:tcPr>
            <w:tcW w:w="576" w:type="dxa"/>
          </w:tcPr>
          <w:p w14:paraId="73A40940" w14:textId="77777777" w:rsidR="001A75A4" w:rsidRPr="00286216" w:rsidRDefault="001A75A4" w:rsidP="001A75A4">
            <w:pPr>
              <w:pStyle w:val="StyleWisnow"/>
              <w:rPr>
                <w:color w:val="000000" w:themeColor="text1"/>
              </w:rPr>
            </w:pPr>
            <w:bookmarkStart w:id="2251" w:name="n2445" w:colFirst="0" w:colLast="0"/>
            <w:bookmarkEnd w:id="2249"/>
            <w:r w:rsidRPr="00286216">
              <w:rPr>
                <w:color w:val="000000" w:themeColor="text1"/>
              </w:rPr>
              <w:t>2445.</w:t>
            </w:r>
          </w:p>
        </w:tc>
        <w:tc>
          <w:tcPr>
            <w:tcW w:w="4818" w:type="dxa"/>
          </w:tcPr>
          <w:p w14:paraId="7703D81A"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1. Правила </w:t>
            </w:r>
            <w:r w:rsidRPr="00286216">
              <w:rPr>
                <w:color w:val="000000" w:themeColor="text1"/>
                <w:shd w:val="clear" w:color="auto" w:fill="FFFFFF"/>
              </w:rPr>
              <w:t xml:space="preserve">товарної біржі </w:t>
            </w:r>
            <w:r w:rsidRPr="00286216">
              <w:rPr>
                <w:color w:val="000000" w:themeColor="text1"/>
                <w:lang w:eastAsia="uk-UA"/>
              </w:rPr>
              <w:t xml:space="preserve">розробляються відповідно до вимог, встановлених цим Законом та Національною комісією з цінних паперів та фондового ринку, і є основним документом, що регламентує порядок здійснення біржових операцій, укладання біржових угод і біржових договорів, ведення біржової торгівлі та розв'язання спорів з цих </w:t>
            </w:r>
            <w:r w:rsidRPr="00286216">
              <w:rPr>
                <w:color w:val="000000" w:themeColor="text1"/>
                <w:lang w:eastAsia="uk-UA"/>
              </w:rPr>
              <w:lastRenderedPageBreak/>
              <w:t>питань.</w:t>
            </w:r>
          </w:p>
        </w:tc>
        <w:tc>
          <w:tcPr>
            <w:tcW w:w="3686" w:type="dxa"/>
          </w:tcPr>
          <w:p w14:paraId="69866763" w14:textId="120E1C87" w:rsidR="001A75A4" w:rsidRPr="00286216" w:rsidRDefault="001A75A4" w:rsidP="001A75A4">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1174</w:t>
            </w:r>
            <w:r w:rsidRPr="00286216">
              <w:rPr>
                <w:color w:val="000000" w:themeColor="text1"/>
                <w:spacing w:val="-2"/>
              </w:rPr>
              <w:fldChar w:fldCharType="end"/>
            </w:r>
            <w:r w:rsidRPr="00286216">
              <w:rPr>
                <w:color w:val="000000" w:themeColor="text1"/>
                <w:spacing w:val="-2"/>
              </w:rPr>
              <w:t>-Н.д.Шахов С.В. (Реєстр.картка №114)</w:t>
            </w:r>
          </w:p>
          <w:p w14:paraId="64392A3D" w14:textId="77777777" w:rsidR="001A75A4" w:rsidRPr="00286216" w:rsidRDefault="001A75A4" w:rsidP="001A75A4">
            <w:pPr>
              <w:pStyle w:val="StyleProp"/>
              <w:spacing w:line="190" w:lineRule="exact"/>
              <w:rPr>
                <w:color w:val="000000" w:themeColor="text1"/>
                <w:szCs w:val="18"/>
                <w:lang w:eastAsia="uk-UA"/>
              </w:rPr>
            </w:pPr>
            <w:r w:rsidRPr="00286216">
              <w:rPr>
                <w:color w:val="000000" w:themeColor="text1"/>
                <w:szCs w:val="18"/>
                <w:lang w:eastAsia="uk-UA"/>
              </w:rPr>
              <w:t>У ч. 1 ст. 9 слова "та Національною комісією з цінних паперів та фондового ринку" виключити.</w:t>
            </w:r>
          </w:p>
        </w:tc>
        <w:tc>
          <w:tcPr>
            <w:tcW w:w="1987" w:type="dxa"/>
          </w:tcPr>
          <w:p w14:paraId="001647DF"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71CFE417" w14:textId="37ED70AF" w:rsidR="001A75A4" w:rsidRPr="00286216" w:rsidRDefault="001A75A4" w:rsidP="001A75A4">
            <w:pPr>
              <w:pStyle w:val="StyleWisnow"/>
              <w:rPr>
                <w:color w:val="000000" w:themeColor="text1"/>
                <w:lang w:eastAsia="uk-UA"/>
              </w:rPr>
            </w:pPr>
            <w:r w:rsidRPr="00286216">
              <w:rPr>
                <w:color w:val="000000" w:themeColor="text1"/>
              </w:rPr>
              <w:t>регулятор – НКЦПФР</w:t>
            </w:r>
          </w:p>
        </w:tc>
        <w:tc>
          <w:tcPr>
            <w:tcW w:w="4818" w:type="dxa"/>
          </w:tcPr>
          <w:p w14:paraId="4F6E3B65" w14:textId="12F145E6" w:rsidR="001A75A4" w:rsidRPr="00286216" w:rsidRDefault="001A75A4" w:rsidP="001A75A4">
            <w:pPr>
              <w:pStyle w:val="StyleZakonu"/>
              <w:rPr>
                <w:color w:val="000000" w:themeColor="text1"/>
                <w:lang w:eastAsia="uk-UA"/>
              </w:rPr>
            </w:pPr>
            <w:r w:rsidRPr="00286216">
              <w:rPr>
                <w:color w:val="000000" w:themeColor="text1"/>
                <w:lang w:eastAsia="uk-UA"/>
              </w:rPr>
              <w:t xml:space="preserve">1. Правила </w:t>
            </w:r>
            <w:r w:rsidRPr="00286216">
              <w:rPr>
                <w:color w:val="000000" w:themeColor="text1"/>
                <w:shd w:val="clear" w:color="auto" w:fill="FFFFFF"/>
              </w:rPr>
              <w:t xml:space="preserve">товарної біржі </w:t>
            </w:r>
            <w:r w:rsidRPr="00286216">
              <w:rPr>
                <w:color w:val="000000" w:themeColor="text1"/>
                <w:lang w:eastAsia="uk-UA"/>
              </w:rPr>
              <w:t xml:space="preserve">розробляються відповідно до вимог, встановлених цим Законом та Національною комісією з цінних паперів та фондового ринку, і є основним документом, що регламентує порядок здійснення біржових операцій, укладання біржових угод і біржових договорів, ведення біржової торгівлі та розв'язання спорів з цих </w:t>
            </w:r>
            <w:r w:rsidRPr="00286216">
              <w:rPr>
                <w:color w:val="000000" w:themeColor="text1"/>
                <w:lang w:eastAsia="uk-UA"/>
              </w:rPr>
              <w:lastRenderedPageBreak/>
              <w:t>питань.</w:t>
            </w:r>
          </w:p>
        </w:tc>
      </w:tr>
      <w:tr w:rsidR="001A75A4" w:rsidRPr="00286216" w14:paraId="6E9F17E0" w14:textId="77777777" w:rsidTr="00091AA5">
        <w:tc>
          <w:tcPr>
            <w:tcW w:w="576" w:type="dxa"/>
          </w:tcPr>
          <w:p w14:paraId="6047CCA5" w14:textId="77777777" w:rsidR="001A75A4" w:rsidRPr="00286216" w:rsidRDefault="001A75A4" w:rsidP="001A75A4">
            <w:pPr>
              <w:pStyle w:val="StyleWisnow"/>
              <w:rPr>
                <w:color w:val="000000" w:themeColor="text1"/>
              </w:rPr>
            </w:pPr>
            <w:bookmarkStart w:id="2252" w:name="n2446" w:colFirst="0" w:colLast="0"/>
            <w:bookmarkEnd w:id="2251"/>
            <w:r w:rsidRPr="00286216">
              <w:rPr>
                <w:color w:val="000000" w:themeColor="text1"/>
              </w:rPr>
              <w:lastRenderedPageBreak/>
              <w:t>2446.</w:t>
            </w:r>
          </w:p>
        </w:tc>
        <w:tc>
          <w:tcPr>
            <w:tcW w:w="4818" w:type="dxa"/>
          </w:tcPr>
          <w:p w14:paraId="3D82C210"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2. Правила </w:t>
            </w:r>
            <w:r w:rsidRPr="00286216">
              <w:rPr>
                <w:color w:val="000000" w:themeColor="text1"/>
                <w:shd w:val="clear" w:color="auto" w:fill="FFFFFF"/>
              </w:rPr>
              <w:t xml:space="preserve">товарної біржі </w:t>
            </w:r>
            <w:r w:rsidRPr="00286216">
              <w:rPr>
                <w:color w:val="000000" w:themeColor="text1"/>
                <w:lang w:eastAsia="uk-UA"/>
              </w:rPr>
              <w:t>після отримання товарною біржою ліцензії на провадження діяльності з організації торгівлі продукцією на товарних біржах затверджуються уповноваженим органом (посадовою особою) товарної біржі, а також регулятором відповідного товарного ринку та/або центральним органом виконавчої влади, що забезпечує формування та реалізує державну політику у відповідних сферах (в разі, якщо така вимога встановлена їх нормативно-правовими актами) та реєструються Національною комісією з цінних паперів та фондового ринку.</w:t>
            </w:r>
          </w:p>
        </w:tc>
        <w:tc>
          <w:tcPr>
            <w:tcW w:w="3686" w:type="dxa"/>
          </w:tcPr>
          <w:p w14:paraId="5C5BBDC5" w14:textId="555C0FCA"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1175</w:t>
            </w:r>
            <w:r w:rsidRPr="00286216">
              <w:rPr>
                <w:color w:val="000000" w:themeColor="text1"/>
                <w:spacing w:val="-2"/>
              </w:rPr>
              <w:fldChar w:fldCharType="end"/>
            </w:r>
            <w:r w:rsidRPr="00286216">
              <w:rPr>
                <w:color w:val="000000" w:themeColor="text1"/>
                <w:spacing w:val="-2"/>
              </w:rPr>
              <w:t>-Н.д.Шахов С.В. (Реєстр.картка №114)</w:t>
            </w:r>
          </w:p>
          <w:p w14:paraId="468C263A" w14:textId="77777777" w:rsidR="001A75A4" w:rsidRPr="00286216" w:rsidRDefault="001A75A4" w:rsidP="001A75A4">
            <w:pPr>
              <w:pStyle w:val="StyleProp"/>
              <w:rPr>
                <w:color w:val="000000" w:themeColor="text1"/>
                <w:szCs w:val="18"/>
                <w:lang w:eastAsia="uk-UA"/>
              </w:rPr>
            </w:pPr>
            <w:r w:rsidRPr="00286216">
              <w:rPr>
                <w:color w:val="000000" w:themeColor="text1"/>
                <w:szCs w:val="18"/>
                <w:lang w:eastAsia="uk-UA"/>
              </w:rPr>
              <w:t>Ч. 2 ст. 9 викласти у такій редакції:</w:t>
            </w:r>
          </w:p>
          <w:p w14:paraId="09A35BFC" w14:textId="77777777" w:rsidR="001A75A4" w:rsidRPr="00286216" w:rsidRDefault="001A75A4" w:rsidP="001A75A4">
            <w:pPr>
              <w:pStyle w:val="StyleProp"/>
              <w:spacing w:line="180" w:lineRule="exact"/>
              <w:rPr>
                <w:rFonts w:eastAsia="Calibri"/>
                <w:color w:val="000000" w:themeColor="text1"/>
                <w:lang w:eastAsia="en-US"/>
              </w:rPr>
            </w:pPr>
            <w:r w:rsidRPr="00286216">
              <w:rPr>
                <w:color w:val="000000" w:themeColor="text1"/>
                <w:szCs w:val="18"/>
                <w:lang w:eastAsia="uk-UA"/>
              </w:rPr>
              <w:t>"</w:t>
            </w:r>
            <w:r w:rsidRPr="00286216">
              <w:rPr>
                <w:color w:val="000000" w:themeColor="text1"/>
                <w:lang w:eastAsia="uk-UA"/>
              </w:rPr>
              <w:t xml:space="preserve">2. Правила </w:t>
            </w:r>
            <w:r w:rsidRPr="00286216">
              <w:rPr>
                <w:rFonts w:eastAsia="Calibri"/>
                <w:color w:val="000000" w:themeColor="text1"/>
                <w:shd w:val="clear" w:color="auto" w:fill="FFFFFF"/>
                <w:lang w:eastAsia="en-US"/>
              </w:rPr>
              <w:t>товарної біржі</w:t>
            </w:r>
            <w:r w:rsidRPr="00286216">
              <w:rPr>
                <w:color w:val="000000" w:themeColor="text1"/>
                <w:lang w:eastAsia="uk-UA"/>
              </w:rPr>
              <w:t>, а також зміни до правил затверджуються уповноваженим органом (посадовою особою) товарної біржі та реєструються регулятором відповідного ринку, якщо це передбачено законодавством.</w:t>
            </w:r>
          </w:p>
          <w:p w14:paraId="5B0C8F03"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lang w:eastAsia="uk-UA"/>
              </w:rPr>
              <w:t>Якщо законодавством передбачена реєстрація правил товарної біржі, то регулятор відповідного ринку здійснює реєстрацію правил (зміни до правил) товарної біржі (особи, що має намір провадити діяльність з організації торгівлі продукцією на товарних біржах) в строк до 15 днів з дня їх отримання</w:t>
            </w:r>
            <w:r w:rsidRPr="00286216">
              <w:rPr>
                <w:color w:val="000000" w:themeColor="text1"/>
                <w:szCs w:val="24"/>
                <w:lang w:eastAsia="uk-UA"/>
              </w:rPr>
              <w:t>"</w:t>
            </w:r>
            <w:r w:rsidRPr="00286216">
              <w:rPr>
                <w:color w:val="000000" w:themeColor="text1"/>
                <w:lang w:eastAsia="uk-UA"/>
              </w:rPr>
              <w:t>.</w:t>
            </w:r>
          </w:p>
        </w:tc>
        <w:tc>
          <w:tcPr>
            <w:tcW w:w="1987" w:type="dxa"/>
          </w:tcPr>
          <w:p w14:paraId="0BD75656"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5F17D876" w14:textId="09BF10E0" w:rsidR="001A75A4" w:rsidRPr="00286216" w:rsidRDefault="001A75A4" w:rsidP="001A75A4">
            <w:pPr>
              <w:pStyle w:val="StyleWisnow"/>
              <w:rPr>
                <w:color w:val="000000" w:themeColor="text1"/>
                <w:lang w:eastAsia="uk-UA"/>
              </w:rPr>
            </w:pPr>
            <w:r w:rsidRPr="00286216">
              <w:rPr>
                <w:color w:val="000000" w:themeColor="text1"/>
              </w:rPr>
              <w:t>регулятор – НКЦПФР</w:t>
            </w:r>
          </w:p>
        </w:tc>
        <w:tc>
          <w:tcPr>
            <w:tcW w:w="4818" w:type="dxa"/>
          </w:tcPr>
          <w:p w14:paraId="30D8220D" w14:textId="79204BFA" w:rsidR="001A75A4" w:rsidRPr="00286216" w:rsidRDefault="001A75A4" w:rsidP="001A75A4">
            <w:pPr>
              <w:pStyle w:val="StyleZakonu"/>
              <w:rPr>
                <w:color w:val="000000" w:themeColor="text1"/>
                <w:lang w:eastAsia="uk-UA"/>
              </w:rPr>
            </w:pPr>
            <w:r w:rsidRPr="00286216">
              <w:rPr>
                <w:color w:val="000000" w:themeColor="text1"/>
                <w:lang w:eastAsia="uk-UA"/>
              </w:rPr>
              <w:t xml:space="preserve">2. Правила </w:t>
            </w:r>
            <w:r w:rsidRPr="00286216">
              <w:rPr>
                <w:color w:val="000000" w:themeColor="text1"/>
                <w:shd w:val="clear" w:color="auto" w:fill="FFFFFF"/>
              </w:rPr>
              <w:t xml:space="preserve">товарної біржі </w:t>
            </w:r>
            <w:r w:rsidRPr="00286216">
              <w:rPr>
                <w:color w:val="000000" w:themeColor="text1"/>
                <w:lang w:eastAsia="uk-UA"/>
              </w:rPr>
              <w:t>після отримання товарною біржею ліцензії на провадження діяльності з організації торгівлі продукцією на товарних біржах затверджуються уповноваженим органом (посадовою особою) товарної біржі, а також регулятором відповідного товарного ринку та/або центральним органом виконавчої влади, що забезпечує формування та реалізує державну політику у відповідних сферах (у разі якщо така вимога встановлена їх нормативно-правовими актами), та реєструються Національною комісією з цінних паперів та фондового ринку.</w:t>
            </w:r>
          </w:p>
        </w:tc>
      </w:tr>
      <w:tr w:rsidR="001A75A4" w:rsidRPr="00286216" w14:paraId="76C075BA" w14:textId="77777777" w:rsidTr="00091AA5">
        <w:tc>
          <w:tcPr>
            <w:tcW w:w="576" w:type="dxa"/>
          </w:tcPr>
          <w:p w14:paraId="6863CD55" w14:textId="77777777" w:rsidR="001A75A4" w:rsidRPr="00286216" w:rsidRDefault="001A75A4" w:rsidP="001A75A4">
            <w:pPr>
              <w:pStyle w:val="StyleWisnow"/>
              <w:rPr>
                <w:color w:val="000000" w:themeColor="text1"/>
              </w:rPr>
            </w:pPr>
            <w:bookmarkStart w:id="2253" w:name="n2447" w:colFirst="0" w:colLast="0"/>
            <w:bookmarkEnd w:id="2252"/>
            <w:r w:rsidRPr="00286216">
              <w:rPr>
                <w:color w:val="000000" w:themeColor="text1"/>
              </w:rPr>
              <w:t>2447.</w:t>
            </w:r>
          </w:p>
        </w:tc>
        <w:tc>
          <w:tcPr>
            <w:tcW w:w="4818" w:type="dxa"/>
          </w:tcPr>
          <w:p w14:paraId="57C91184" w14:textId="77777777" w:rsidR="001A75A4" w:rsidRPr="00286216" w:rsidRDefault="001A75A4" w:rsidP="001A75A4">
            <w:pPr>
              <w:pStyle w:val="StyleZakonu"/>
              <w:rPr>
                <w:color w:val="000000" w:themeColor="text1"/>
                <w:lang w:eastAsia="uk-UA"/>
              </w:rPr>
            </w:pPr>
            <w:r w:rsidRPr="00286216">
              <w:rPr>
                <w:color w:val="000000" w:themeColor="text1"/>
                <w:lang w:eastAsia="uk-UA"/>
              </w:rPr>
              <w:t xml:space="preserve">3. Правила </w:t>
            </w:r>
            <w:r w:rsidRPr="00286216">
              <w:rPr>
                <w:color w:val="000000" w:themeColor="text1"/>
                <w:shd w:val="clear" w:color="auto" w:fill="FFFFFF"/>
              </w:rPr>
              <w:t>товарної біржі</w:t>
            </w:r>
            <w:r w:rsidRPr="00286216">
              <w:rPr>
                <w:color w:val="000000" w:themeColor="text1"/>
                <w:lang w:eastAsia="uk-UA"/>
              </w:rPr>
              <w:t>, а також зміни до них є дійсними після їх реєстрації в Національній комісії з цінних паперів та фондового ринку у встановленому нею порядку.</w:t>
            </w:r>
          </w:p>
        </w:tc>
        <w:tc>
          <w:tcPr>
            <w:tcW w:w="3686" w:type="dxa"/>
          </w:tcPr>
          <w:p w14:paraId="57B1D469" w14:textId="0EA2FBA6"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1176</w:t>
            </w:r>
            <w:r w:rsidRPr="00286216">
              <w:rPr>
                <w:color w:val="000000" w:themeColor="text1"/>
                <w:spacing w:val="-2"/>
              </w:rPr>
              <w:fldChar w:fldCharType="end"/>
            </w:r>
            <w:r w:rsidRPr="00286216">
              <w:rPr>
                <w:color w:val="000000" w:themeColor="text1"/>
                <w:spacing w:val="-2"/>
              </w:rPr>
              <w:t>-Н.д.Шахов С.В. (Реєстр.картка №114)</w:t>
            </w:r>
          </w:p>
          <w:p w14:paraId="5C2EA9B8" w14:textId="77777777" w:rsidR="001A75A4" w:rsidRPr="00286216" w:rsidRDefault="001A75A4" w:rsidP="001A75A4">
            <w:pPr>
              <w:pStyle w:val="StyleProp"/>
              <w:spacing w:line="180" w:lineRule="exact"/>
              <w:rPr>
                <w:color w:val="000000" w:themeColor="text1"/>
                <w:spacing w:val="-2"/>
                <w:szCs w:val="18"/>
                <w:lang w:eastAsia="uk-UA"/>
              </w:rPr>
            </w:pPr>
            <w:r w:rsidRPr="00286216">
              <w:rPr>
                <w:color w:val="000000" w:themeColor="text1"/>
                <w:spacing w:val="-2"/>
                <w:szCs w:val="18"/>
                <w:lang w:eastAsia="uk-UA"/>
              </w:rPr>
              <w:t>Ч. 3 ст. 9 викласти у такій редакції:</w:t>
            </w:r>
          </w:p>
          <w:p w14:paraId="0531CF10"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pacing w:val="-2"/>
                <w:szCs w:val="18"/>
                <w:lang w:eastAsia="uk-UA"/>
              </w:rPr>
              <w:t xml:space="preserve">"3. Правила товарної біржі, а також зміни до них набувають чинності для третіх осіб після їх реєстрації регулятором відповідного ринку у встановленому ним порядку, якщо </w:t>
            </w:r>
            <w:r w:rsidRPr="00286216">
              <w:rPr>
                <w:color w:val="000000" w:themeColor="text1"/>
                <w:spacing w:val="-5"/>
                <w:szCs w:val="18"/>
                <w:lang w:eastAsia="uk-UA"/>
              </w:rPr>
              <w:t>реєстрація правил передбачена законодавством".</w:t>
            </w:r>
          </w:p>
        </w:tc>
        <w:tc>
          <w:tcPr>
            <w:tcW w:w="1987" w:type="dxa"/>
          </w:tcPr>
          <w:p w14:paraId="62E15CC5"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7AB0E81A" w14:textId="7D4413BF" w:rsidR="001A75A4" w:rsidRPr="00286216" w:rsidRDefault="001A75A4" w:rsidP="001A75A4">
            <w:pPr>
              <w:pStyle w:val="StyleWisnow"/>
              <w:rPr>
                <w:color w:val="000000" w:themeColor="text1"/>
                <w:lang w:eastAsia="uk-UA"/>
              </w:rPr>
            </w:pPr>
            <w:r w:rsidRPr="00286216">
              <w:rPr>
                <w:color w:val="000000" w:themeColor="text1"/>
              </w:rPr>
              <w:t>регулятор – НКЦПФР</w:t>
            </w:r>
          </w:p>
        </w:tc>
        <w:tc>
          <w:tcPr>
            <w:tcW w:w="4818" w:type="dxa"/>
          </w:tcPr>
          <w:p w14:paraId="6FC514EB" w14:textId="5E685123" w:rsidR="001A75A4" w:rsidRPr="00286216" w:rsidRDefault="001A75A4" w:rsidP="001A75A4">
            <w:pPr>
              <w:pStyle w:val="StyleZakonu"/>
              <w:rPr>
                <w:color w:val="000000" w:themeColor="text1"/>
                <w:lang w:eastAsia="uk-UA"/>
              </w:rPr>
            </w:pPr>
            <w:r w:rsidRPr="00286216">
              <w:rPr>
                <w:color w:val="000000" w:themeColor="text1"/>
                <w:lang w:eastAsia="uk-UA"/>
              </w:rPr>
              <w:t xml:space="preserve">3. Правила </w:t>
            </w:r>
            <w:r w:rsidRPr="00286216">
              <w:rPr>
                <w:color w:val="000000" w:themeColor="text1"/>
                <w:shd w:val="clear" w:color="auto" w:fill="FFFFFF"/>
              </w:rPr>
              <w:t>товарної біржі</w:t>
            </w:r>
            <w:r w:rsidRPr="00286216">
              <w:rPr>
                <w:color w:val="000000" w:themeColor="text1"/>
                <w:lang w:eastAsia="uk-UA"/>
              </w:rPr>
              <w:t>, а також зміни до них є дійсними після їх реєстрації в Національній комісії з цінних паперів та фондового ринку у встановленому нею порядку.</w:t>
            </w:r>
          </w:p>
        </w:tc>
      </w:tr>
      <w:tr w:rsidR="001A75A4" w:rsidRPr="00286216" w14:paraId="4F1A17FA" w14:textId="77777777" w:rsidTr="00091AA5">
        <w:tc>
          <w:tcPr>
            <w:tcW w:w="576" w:type="dxa"/>
          </w:tcPr>
          <w:p w14:paraId="5071523C" w14:textId="77777777" w:rsidR="001A75A4" w:rsidRPr="00286216" w:rsidRDefault="001A75A4" w:rsidP="001A75A4">
            <w:pPr>
              <w:pStyle w:val="StyleWisnow"/>
              <w:rPr>
                <w:color w:val="000000" w:themeColor="text1"/>
              </w:rPr>
            </w:pPr>
            <w:bookmarkStart w:id="2254" w:name="n2448" w:colFirst="0" w:colLast="0"/>
            <w:bookmarkEnd w:id="2253"/>
            <w:r w:rsidRPr="00286216">
              <w:rPr>
                <w:color w:val="000000" w:themeColor="text1"/>
              </w:rPr>
              <w:t>2448.</w:t>
            </w:r>
          </w:p>
        </w:tc>
        <w:tc>
          <w:tcPr>
            <w:tcW w:w="4818" w:type="dxa"/>
          </w:tcPr>
          <w:p w14:paraId="266CB6C4" w14:textId="77777777" w:rsidR="001A75A4" w:rsidRPr="00286216" w:rsidRDefault="001A75A4" w:rsidP="001A75A4">
            <w:pPr>
              <w:pStyle w:val="StyleZakonu"/>
              <w:rPr>
                <w:color w:val="000000" w:themeColor="text1"/>
                <w:lang w:eastAsia="uk-UA"/>
              </w:rPr>
            </w:pPr>
            <w:bookmarkStart w:id="2255" w:name="_Ref20405976"/>
            <w:r w:rsidRPr="00286216">
              <w:rPr>
                <w:color w:val="000000" w:themeColor="text1"/>
                <w:lang w:eastAsia="uk-UA"/>
              </w:rPr>
              <w:t xml:space="preserve">4. У правилах </w:t>
            </w:r>
            <w:r w:rsidRPr="00286216">
              <w:rPr>
                <w:color w:val="000000" w:themeColor="text1"/>
                <w:shd w:val="clear" w:color="auto" w:fill="FFFFFF"/>
              </w:rPr>
              <w:t xml:space="preserve">товарної біржі </w:t>
            </w:r>
            <w:r w:rsidRPr="00286216">
              <w:rPr>
                <w:color w:val="000000" w:themeColor="text1"/>
                <w:lang w:eastAsia="uk-UA"/>
              </w:rPr>
              <w:t>визначається:</w:t>
            </w:r>
            <w:bookmarkEnd w:id="2255"/>
          </w:p>
        </w:tc>
        <w:tc>
          <w:tcPr>
            <w:tcW w:w="3686" w:type="dxa"/>
          </w:tcPr>
          <w:p w14:paraId="33AC576B" w14:textId="77777777" w:rsidR="001A75A4" w:rsidRPr="00286216" w:rsidRDefault="001A75A4" w:rsidP="001A75A4">
            <w:pPr>
              <w:pStyle w:val="StyleProp"/>
              <w:rPr>
                <w:color w:val="000000" w:themeColor="text1"/>
                <w:szCs w:val="18"/>
                <w:lang w:eastAsia="uk-UA"/>
              </w:rPr>
            </w:pPr>
          </w:p>
        </w:tc>
        <w:tc>
          <w:tcPr>
            <w:tcW w:w="1987" w:type="dxa"/>
          </w:tcPr>
          <w:p w14:paraId="75A27205" w14:textId="77777777" w:rsidR="001A75A4" w:rsidRPr="00286216" w:rsidRDefault="001A75A4" w:rsidP="001A75A4">
            <w:pPr>
              <w:pStyle w:val="StyleWisnow"/>
              <w:rPr>
                <w:color w:val="000000" w:themeColor="text1"/>
                <w:lang w:eastAsia="uk-UA"/>
              </w:rPr>
            </w:pPr>
          </w:p>
        </w:tc>
        <w:tc>
          <w:tcPr>
            <w:tcW w:w="4818" w:type="dxa"/>
          </w:tcPr>
          <w:p w14:paraId="73FD14F6" w14:textId="36BC5EEF" w:rsidR="001A75A4" w:rsidRPr="00286216" w:rsidRDefault="001A75A4" w:rsidP="001A75A4">
            <w:pPr>
              <w:pStyle w:val="StyleZakonu"/>
              <w:rPr>
                <w:color w:val="000000" w:themeColor="text1"/>
                <w:lang w:eastAsia="uk-UA"/>
              </w:rPr>
            </w:pPr>
            <w:r w:rsidRPr="00286216">
              <w:rPr>
                <w:color w:val="000000" w:themeColor="text1"/>
                <w:lang w:eastAsia="uk-UA"/>
              </w:rPr>
              <w:t xml:space="preserve">4. У правилах </w:t>
            </w:r>
            <w:r w:rsidRPr="00286216">
              <w:rPr>
                <w:color w:val="000000" w:themeColor="text1"/>
                <w:shd w:val="clear" w:color="auto" w:fill="FFFFFF"/>
              </w:rPr>
              <w:t xml:space="preserve">товарної біржі </w:t>
            </w:r>
            <w:r w:rsidRPr="00286216">
              <w:rPr>
                <w:color w:val="000000" w:themeColor="text1"/>
                <w:lang w:eastAsia="uk-UA"/>
              </w:rPr>
              <w:t>визначаються:</w:t>
            </w:r>
          </w:p>
        </w:tc>
      </w:tr>
      <w:tr w:rsidR="001A75A4" w:rsidRPr="00286216" w14:paraId="15CD8888" w14:textId="77777777" w:rsidTr="00091AA5">
        <w:tc>
          <w:tcPr>
            <w:tcW w:w="576" w:type="dxa"/>
          </w:tcPr>
          <w:p w14:paraId="3716C057" w14:textId="77777777" w:rsidR="001A75A4" w:rsidRPr="00286216" w:rsidRDefault="001A75A4" w:rsidP="001A75A4">
            <w:pPr>
              <w:pStyle w:val="StyleWisnow"/>
              <w:rPr>
                <w:color w:val="000000" w:themeColor="text1"/>
              </w:rPr>
            </w:pPr>
            <w:bookmarkStart w:id="2256" w:name="n2449" w:colFirst="0" w:colLast="0"/>
            <w:bookmarkEnd w:id="2254"/>
            <w:r w:rsidRPr="00286216">
              <w:rPr>
                <w:color w:val="000000" w:themeColor="text1"/>
              </w:rPr>
              <w:t>2449.</w:t>
            </w:r>
          </w:p>
        </w:tc>
        <w:tc>
          <w:tcPr>
            <w:tcW w:w="4818" w:type="dxa"/>
          </w:tcPr>
          <w:p w14:paraId="7EDDA05E" w14:textId="77777777" w:rsidR="001A75A4" w:rsidRPr="00286216" w:rsidRDefault="001A75A4" w:rsidP="001A75A4">
            <w:pPr>
              <w:pStyle w:val="StyleZakonu"/>
              <w:rPr>
                <w:color w:val="000000" w:themeColor="text1"/>
              </w:rPr>
            </w:pPr>
            <w:r w:rsidRPr="00286216">
              <w:rPr>
                <w:color w:val="000000" w:themeColor="text1"/>
              </w:rPr>
              <w:t>1) порядок організації та проведення біржових торгів;</w:t>
            </w:r>
          </w:p>
        </w:tc>
        <w:tc>
          <w:tcPr>
            <w:tcW w:w="3686" w:type="dxa"/>
          </w:tcPr>
          <w:p w14:paraId="175E4364" w14:textId="77777777" w:rsidR="001A75A4" w:rsidRPr="00286216" w:rsidRDefault="001A75A4" w:rsidP="001A75A4">
            <w:pPr>
              <w:pStyle w:val="StyleProp"/>
              <w:rPr>
                <w:color w:val="000000" w:themeColor="text1"/>
                <w:szCs w:val="18"/>
              </w:rPr>
            </w:pPr>
          </w:p>
        </w:tc>
        <w:tc>
          <w:tcPr>
            <w:tcW w:w="1987" w:type="dxa"/>
          </w:tcPr>
          <w:p w14:paraId="164C15F1" w14:textId="77777777" w:rsidR="001A75A4" w:rsidRPr="00286216" w:rsidRDefault="001A75A4" w:rsidP="001A75A4">
            <w:pPr>
              <w:pStyle w:val="StyleWisnow"/>
              <w:rPr>
                <w:color w:val="000000" w:themeColor="text1"/>
              </w:rPr>
            </w:pPr>
          </w:p>
        </w:tc>
        <w:tc>
          <w:tcPr>
            <w:tcW w:w="4818" w:type="dxa"/>
          </w:tcPr>
          <w:p w14:paraId="7FF28461" w14:textId="625EBB4C" w:rsidR="001A75A4" w:rsidRPr="00286216" w:rsidRDefault="001A75A4" w:rsidP="001A75A4">
            <w:pPr>
              <w:pStyle w:val="StyleZakonu"/>
              <w:rPr>
                <w:color w:val="000000" w:themeColor="text1"/>
              </w:rPr>
            </w:pPr>
            <w:r w:rsidRPr="00286216">
              <w:rPr>
                <w:color w:val="000000" w:themeColor="text1"/>
              </w:rPr>
              <w:t>1) порядок організації та проведення біржових торгів;</w:t>
            </w:r>
          </w:p>
        </w:tc>
      </w:tr>
      <w:tr w:rsidR="001A75A4" w:rsidRPr="00286216" w14:paraId="6AEA721F" w14:textId="77777777" w:rsidTr="00091AA5">
        <w:tc>
          <w:tcPr>
            <w:tcW w:w="576" w:type="dxa"/>
          </w:tcPr>
          <w:p w14:paraId="08FB96A9" w14:textId="77777777" w:rsidR="001A75A4" w:rsidRPr="00286216" w:rsidRDefault="001A75A4" w:rsidP="001A75A4">
            <w:pPr>
              <w:pStyle w:val="StyleWisnow"/>
              <w:rPr>
                <w:color w:val="000000" w:themeColor="text1"/>
              </w:rPr>
            </w:pPr>
            <w:bookmarkStart w:id="2257" w:name="n2450" w:colFirst="0" w:colLast="0"/>
            <w:bookmarkEnd w:id="2256"/>
            <w:r w:rsidRPr="00286216">
              <w:rPr>
                <w:color w:val="000000" w:themeColor="text1"/>
              </w:rPr>
              <w:t>2450.</w:t>
            </w:r>
          </w:p>
        </w:tc>
        <w:tc>
          <w:tcPr>
            <w:tcW w:w="4818" w:type="dxa"/>
          </w:tcPr>
          <w:p w14:paraId="36CF8F49" w14:textId="77777777" w:rsidR="001A75A4" w:rsidRPr="00286216" w:rsidRDefault="001A75A4" w:rsidP="001A75A4">
            <w:pPr>
              <w:pStyle w:val="StyleZakonu"/>
              <w:rPr>
                <w:color w:val="000000" w:themeColor="text1"/>
              </w:rPr>
            </w:pPr>
            <w:r w:rsidRPr="00286216">
              <w:rPr>
                <w:color w:val="000000" w:themeColor="text1"/>
              </w:rPr>
              <w:t>2) порядок набуття статусу члена біржі та учасника торгів, надання, призупинення та припинення прав членів біржі та учасників торгів;</w:t>
            </w:r>
          </w:p>
        </w:tc>
        <w:tc>
          <w:tcPr>
            <w:tcW w:w="3686" w:type="dxa"/>
          </w:tcPr>
          <w:p w14:paraId="53B8BEB5" w14:textId="77777777" w:rsidR="001A75A4" w:rsidRPr="00286216" w:rsidRDefault="001A75A4" w:rsidP="001A75A4">
            <w:pPr>
              <w:pStyle w:val="StyleProp"/>
              <w:rPr>
                <w:color w:val="000000" w:themeColor="text1"/>
                <w:szCs w:val="18"/>
              </w:rPr>
            </w:pPr>
          </w:p>
        </w:tc>
        <w:tc>
          <w:tcPr>
            <w:tcW w:w="1987" w:type="dxa"/>
          </w:tcPr>
          <w:p w14:paraId="717901C3" w14:textId="77777777" w:rsidR="001A75A4" w:rsidRPr="00286216" w:rsidRDefault="001A75A4" w:rsidP="001A75A4">
            <w:pPr>
              <w:pStyle w:val="StyleWisnow"/>
              <w:rPr>
                <w:color w:val="000000" w:themeColor="text1"/>
              </w:rPr>
            </w:pPr>
          </w:p>
        </w:tc>
        <w:tc>
          <w:tcPr>
            <w:tcW w:w="4818" w:type="dxa"/>
          </w:tcPr>
          <w:p w14:paraId="4A459824" w14:textId="427D4EFE" w:rsidR="001A75A4" w:rsidRPr="00286216" w:rsidRDefault="001A75A4" w:rsidP="001A75A4">
            <w:pPr>
              <w:pStyle w:val="StyleZakonu"/>
              <w:rPr>
                <w:color w:val="000000" w:themeColor="text1"/>
              </w:rPr>
            </w:pPr>
            <w:r w:rsidRPr="00286216">
              <w:rPr>
                <w:color w:val="000000" w:themeColor="text1"/>
              </w:rPr>
              <w:t>2) порядок набуття статусу члена біржі та учасника торгів, надання, зупинення та припинення прав членів біржі та учасників торгів;</w:t>
            </w:r>
          </w:p>
        </w:tc>
      </w:tr>
      <w:tr w:rsidR="001A75A4" w:rsidRPr="00286216" w14:paraId="71803A0B" w14:textId="77777777" w:rsidTr="00091AA5">
        <w:tc>
          <w:tcPr>
            <w:tcW w:w="576" w:type="dxa"/>
          </w:tcPr>
          <w:p w14:paraId="3F28EF52" w14:textId="77777777" w:rsidR="001A75A4" w:rsidRPr="00286216" w:rsidRDefault="001A75A4" w:rsidP="001A75A4">
            <w:pPr>
              <w:pStyle w:val="StyleWisnow"/>
              <w:rPr>
                <w:color w:val="000000" w:themeColor="text1"/>
              </w:rPr>
            </w:pPr>
            <w:bookmarkStart w:id="2258" w:name="n2451" w:colFirst="0" w:colLast="0"/>
            <w:bookmarkEnd w:id="2257"/>
            <w:r w:rsidRPr="00286216">
              <w:rPr>
                <w:color w:val="000000" w:themeColor="text1"/>
              </w:rPr>
              <w:t>2451.</w:t>
            </w:r>
          </w:p>
        </w:tc>
        <w:tc>
          <w:tcPr>
            <w:tcW w:w="4818" w:type="dxa"/>
          </w:tcPr>
          <w:p w14:paraId="2071F189" w14:textId="77777777" w:rsidR="001A75A4" w:rsidRPr="00286216" w:rsidRDefault="001A75A4" w:rsidP="001A75A4">
            <w:pPr>
              <w:pStyle w:val="StyleZakonu"/>
              <w:rPr>
                <w:color w:val="000000" w:themeColor="text1"/>
              </w:rPr>
            </w:pPr>
            <w:r w:rsidRPr="00286216">
              <w:rPr>
                <w:color w:val="000000" w:themeColor="text1"/>
              </w:rPr>
              <w:t>3) порядок допуску біржових товарів до торгів, зупинення та скасування такого допуску;</w:t>
            </w:r>
          </w:p>
        </w:tc>
        <w:tc>
          <w:tcPr>
            <w:tcW w:w="3686" w:type="dxa"/>
          </w:tcPr>
          <w:p w14:paraId="4E4BD8F4" w14:textId="77777777" w:rsidR="001A75A4" w:rsidRPr="00286216" w:rsidRDefault="001A75A4" w:rsidP="001A75A4">
            <w:pPr>
              <w:pStyle w:val="StyleProp"/>
              <w:rPr>
                <w:color w:val="000000" w:themeColor="text1"/>
                <w:szCs w:val="18"/>
              </w:rPr>
            </w:pPr>
          </w:p>
        </w:tc>
        <w:tc>
          <w:tcPr>
            <w:tcW w:w="1987" w:type="dxa"/>
          </w:tcPr>
          <w:p w14:paraId="4ECEEDB8" w14:textId="77777777" w:rsidR="001A75A4" w:rsidRPr="00286216" w:rsidRDefault="001A75A4" w:rsidP="001A75A4">
            <w:pPr>
              <w:pStyle w:val="StyleWisnow"/>
              <w:rPr>
                <w:color w:val="000000" w:themeColor="text1"/>
              </w:rPr>
            </w:pPr>
          </w:p>
        </w:tc>
        <w:tc>
          <w:tcPr>
            <w:tcW w:w="4818" w:type="dxa"/>
          </w:tcPr>
          <w:p w14:paraId="738286F4" w14:textId="76C28D7E" w:rsidR="001A75A4" w:rsidRPr="00286216" w:rsidRDefault="001A75A4" w:rsidP="001A75A4">
            <w:pPr>
              <w:pStyle w:val="StyleZakonu"/>
              <w:rPr>
                <w:color w:val="000000" w:themeColor="text1"/>
              </w:rPr>
            </w:pPr>
            <w:r w:rsidRPr="00286216">
              <w:rPr>
                <w:color w:val="000000" w:themeColor="text1"/>
              </w:rPr>
              <w:t>3) порядок допуску біржових товарів до торгів, зупинення та скасування такого допуску;</w:t>
            </w:r>
          </w:p>
        </w:tc>
      </w:tr>
      <w:tr w:rsidR="001A75A4" w:rsidRPr="00286216" w14:paraId="4477BBBB" w14:textId="77777777" w:rsidTr="00091AA5">
        <w:tc>
          <w:tcPr>
            <w:tcW w:w="576" w:type="dxa"/>
          </w:tcPr>
          <w:p w14:paraId="5F3FBE7E" w14:textId="77777777" w:rsidR="001A75A4" w:rsidRPr="00286216" w:rsidRDefault="001A75A4" w:rsidP="001A75A4">
            <w:pPr>
              <w:pStyle w:val="StyleWisnow"/>
              <w:rPr>
                <w:color w:val="000000" w:themeColor="text1"/>
              </w:rPr>
            </w:pPr>
            <w:bookmarkStart w:id="2259" w:name="n2452" w:colFirst="0" w:colLast="0"/>
            <w:bookmarkEnd w:id="2258"/>
            <w:r w:rsidRPr="00286216">
              <w:rPr>
                <w:color w:val="000000" w:themeColor="text1"/>
              </w:rPr>
              <w:t>2452.</w:t>
            </w:r>
          </w:p>
        </w:tc>
        <w:tc>
          <w:tcPr>
            <w:tcW w:w="4818" w:type="dxa"/>
          </w:tcPr>
          <w:p w14:paraId="2B7BC36A" w14:textId="77777777" w:rsidR="001A75A4" w:rsidRPr="00286216" w:rsidRDefault="001A75A4" w:rsidP="001A75A4">
            <w:pPr>
              <w:pStyle w:val="StyleZakonu"/>
              <w:rPr>
                <w:color w:val="000000" w:themeColor="text1"/>
              </w:rPr>
            </w:pPr>
            <w:r w:rsidRPr="00286216">
              <w:rPr>
                <w:color w:val="000000" w:themeColor="text1"/>
              </w:rPr>
              <w:t xml:space="preserve">4) порядок </w:t>
            </w:r>
            <w:r w:rsidRPr="00286216">
              <w:rPr>
                <w:rFonts w:eastAsia="MS Mincho"/>
                <w:color w:val="000000" w:themeColor="text1"/>
                <w:lang w:eastAsia="uk-UA"/>
              </w:rPr>
              <w:t xml:space="preserve">визначення </w:t>
            </w:r>
            <w:r w:rsidRPr="00286216">
              <w:rPr>
                <w:color w:val="000000" w:themeColor="text1"/>
              </w:rPr>
              <w:t>та оприлюднення біржового курсу;</w:t>
            </w:r>
          </w:p>
        </w:tc>
        <w:tc>
          <w:tcPr>
            <w:tcW w:w="3686" w:type="dxa"/>
          </w:tcPr>
          <w:p w14:paraId="4604729A" w14:textId="77777777" w:rsidR="001A75A4" w:rsidRPr="00286216" w:rsidRDefault="001A75A4" w:rsidP="001A75A4">
            <w:pPr>
              <w:pStyle w:val="StyleProp"/>
              <w:rPr>
                <w:color w:val="000000" w:themeColor="text1"/>
                <w:szCs w:val="18"/>
              </w:rPr>
            </w:pPr>
          </w:p>
        </w:tc>
        <w:tc>
          <w:tcPr>
            <w:tcW w:w="1987" w:type="dxa"/>
          </w:tcPr>
          <w:p w14:paraId="33AD6785" w14:textId="77777777" w:rsidR="001A75A4" w:rsidRPr="00286216" w:rsidRDefault="001A75A4" w:rsidP="001A75A4">
            <w:pPr>
              <w:pStyle w:val="StyleWisnow"/>
              <w:rPr>
                <w:color w:val="000000" w:themeColor="text1"/>
              </w:rPr>
            </w:pPr>
          </w:p>
        </w:tc>
        <w:tc>
          <w:tcPr>
            <w:tcW w:w="4818" w:type="dxa"/>
          </w:tcPr>
          <w:p w14:paraId="1E693089" w14:textId="45D5B141" w:rsidR="001A75A4" w:rsidRPr="00286216" w:rsidRDefault="001A75A4" w:rsidP="001A75A4">
            <w:pPr>
              <w:pStyle w:val="StyleZakonu"/>
              <w:rPr>
                <w:color w:val="000000" w:themeColor="text1"/>
              </w:rPr>
            </w:pPr>
            <w:r w:rsidRPr="00286216">
              <w:rPr>
                <w:color w:val="000000" w:themeColor="text1"/>
              </w:rPr>
              <w:t xml:space="preserve">4) порядок </w:t>
            </w:r>
            <w:r w:rsidRPr="00286216">
              <w:rPr>
                <w:rFonts w:eastAsia="MS Mincho"/>
                <w:color w:val="000000" w:themeColor="text1"/>
                <w:lang w:eastAsia="uk-UA"/>
              </w:rPr>
              <w:t xml:space="preserve">визначення </w:t>
            </w:r>
            <w:r w:rsidRPr="00286216">
              <w:rPr>
                <w:color w:val="000000" w:themeColor="text1"/>
              </w:rPr>
              <w:t>та оприлюднення біржового курсу;</w:t>
            </w:r>
          </w:p>
        </w:tc>
      </w:tr>
      <w:tr w:rsidR="001A75A4" w:rsidRPr="00286216" w14:paraId="08361362" w14:textId="77777777" w:rsidTr="00091AA5">
        <w:tc>
          <w:tcPr>
            <w:tcW w:w="576" w:type="dxa"/>
          </w:tcPr>
          <w:p w14:paraId="4069C51B" w14:textId="77777777" w:rsidR="001A75A4" w:rsidRPr="00286216" w:rsidRDefault="001A75A4" w:rsidP="001A75A4">
            <w:pPr>
              <w:pStyle w:val="StyleWisnow"/>
              <w:rPr>
                <w:color w:val="000000" w:themeColor="text1"/>
              </w:rPr>
            </w:pPr>
            <w:bookmarkStart w:id="2260" w:name="n2453" w:colFirst="0" w:colLast="0"/>
            <w:bookmarkEnd w:id="2259"/>
            <w:r w:rsidRPr="00286216">
              <w:rPr>
                <w:color w:val="000000" w:themeColor="text1"/>
              </w:rPr>
              <w:t>2453.</w:t>
            </w:r>
          </w:p>
        </w:tc>
        <w:tc>
          <w:tcPr>
            <w:tcW w:w="4818" w:type="dxa"/>
          </w:tcPr>
          <w:p w14:paraId="34BB8449" w14:textId="77777777" w:rsidR="001A75A4" w:rsidRPr="00286216" w:rsidRDefault="001A75A4" w:rsidP="001A75A4">
            <w:pPr>
              <w:pStyle w:val="StyleZakonu"/>
              <w:rPr>
                <w:color w:val="000000" w:themeColor="text1"/>
              </w:rPr>
            </w:pPr>
            <w:r w:rsidRPr="00286216">
              <w:rPr>
                <w:color w:val="000000" w:themeColor="text1"/>
              </w:rPr>
              <w:t>5) права, обов’язки, відповідальність товарної біржі перед членами біржі, учасниками торгів та третіми особами, а також зазначених осіб перед товарною біржою;</w:t>
            </w:r>
          </w:p>
        </w:tc>
        <w:tc>
          <w:tcPr>
            <w:tcW w:w="3686" w:type="dxa"/>
          </w:tcPr>
          <w:p w14:paraId="18CEB871" w14:textId="77777777" w:rsidR="001A75A4" w:rsidRPr="00286216" w:rsidRDefault="001A75A4" w:rsidP="001A75A4">
            <w:pPr>
              <w:pStyle w:val="StyleProp"/>
              <w:rPr>
                <w:color w:val="000000" w:themeColor="text1"/>
                <w:szCs w:val="18"/>
              </w:rPr>
            </w:pPr>
          </w:p>
        </w:tc>
        <w:tc>
          <w:tcPr>
            <w:tcW w:w="1987" w:type="dxa"/>
          </w:tcPr>
          <w:p w14:paraId="4D868B4F" w14:textId="77777777" w:rsidR="001A75A4" w:rsidRPr="00286216" w:rsidRDefault="001A75A4" w:rsidP="001A75A4">
            <w:pPr>
              <w:pStyle w:val="StyleWisnow"/>
              <w:rPr>
                <w:color w:val="000000" w:themeColor="text1"/>
              </w:rPr>
            </w:pPr>
          </w:p>
        </w:tc>
        <w:tc>
          <w:tcPr>
            <w:tcW w:w="4818" w:type="dxa"/>
          </w:tcPr>
          <w:p w14:paraId="3D9B41BF" w14:textId="76B30AF8" w:rsidR="001A75A4" w:rsidRPr="00286216" w:rsidRDefault="001A75A4" w:rsidP="001A75A4">
            <w:pPr>
              <w:pStyle w:val="StyleZakonu"/>
              <w:rPr>
                <w:color w:val="000000" w:themeColor="text1"/>
              </w:rPr>
            </w:pPr>
            <w:r w:rsidRPr="00286216">
              <w:rPr>
                <w:color w:val="000000" w:themeColor="text1"/>
              </w:rPr>
              <w:t>5) права, обов’язки, відповідальність товарної біржі перед членами біржі, учасниками торгів та третіми особами, а також відповідальність зазначених осіб перед товарною біржею;</w:t>
            </w:r>
          </w:p>
        </w:tc>
      </w:tr>
      <w:tr w:rsidR="001A75A4" w:rsidRPr="00286216" w14:paraId="5D2F9295" w14:textId="77777777" w:rsidTr="00091AA5">
        <w:tc>
          <w:tcPr>
            <w:tcW w:w="576" w:type="dxa"/>
          </w:tcPr>
          <w:p w14:paraId="1D9245A9" w14:textId="77777777" w:rsidR="001A75A4" w:rsidRPr="00286216" w:rsidRDefault="001A75A4" w:rsidP="001A75A4">
            <w:pPr>
              <w:pStyle w:val="StyleWisnow"/>
              <w:rPr>
                <w:color w:val="000000" w:themeColor="text1"/>
              </w:rPr>
            </w:pPr>
            <w:bookmarkStart w:id="2261" w:name="n2454" w:colFirst="0" w:colLast="0"/>
            <w:bookmarkEnd w:id="2260"/>
            <w:r w:rsidRPr="00286216">
              <w:rPr>
                <w:color w:val="000000" w:themeColor="text1"/>
              </w:rPr>
              <w:t>2454.</w:t>
            </w:r>
          </w:p>
        </w:tc>
        <w:tc>
          <w:tcPr>
            <w:tcW w:w="4818" w:type="dxa"/>
          </w:tcPr>
          <w:p w14:paraId="0F871A92" w14:textId="77777777" w:rsidR="001A75A4" w:rsidRPr="00286216" w:rsidRDefault="001A75A4" w:rsidP="001A75A4">
            <w:pPr>
              <w:pStyle w:val="StyleZakonu"/>
              <w:rPr>
                <w:color w:val="000000" w:themeColor="text1"/>
              </w:rPr>
            </w:pPr>
            <w:r w:rsidRPr="00286216">
              <w:rPr>
                <w:color w:val="000000" w:themeColor="text1"/>
              </w:rPr>
              <w:t>6) порядок взаємодії з особою, яка провадить клірингову діяльність з визначення зобов’язань, або з Центральним контрагентом за правочинами щодо біржових товарів, крім випадків, коли товарна біржа провадить самостійно на підставі окремої ліцензії клірингову діяльність із визначення зобов’язань;</w:t>
            </w:r>
          </w:p>
        </w:tc>
        <w:tc>
          <w:tcPr>
            <w:tcW w:w="3686" w:type="dxa"/>
          </w:tcPr>
          <w:p w14:paraId="4D131307" w14:textId="22539F8C"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1177</w:t>
            </w:r>
            <w:r w:rsidRPr="00286216">
              <w:rPr>
                <w:color w:val="000000" w:themeColor="text1"/>
                <w:spacing w:val="-2"/>
              </w:rPr>
              <w:fldChar w:fldCharType="end"/>
            </w:r>
            <w:r w:rsidRPr="00286216">
              <w:rPr>
                <w:color w:val="000000" w:themeColor="text1"/>
                <w:spacing w:val="-2"/>
              </w:rPr>
              <w:t>-Н.д.Шахов С.В. (Реєстр.картка №114)</w:t>
            </w:r>
          </w:p>
          <w:p w14:paraId="6FCDD206" w14:textId="77777777" w:rsidR="001A75A4" w:rsidRPr="00286216" w:rsidRDefault="001A75A4" w:rsidP="001A75A4">
            <w:pPr>
              <w:pStyle w:val="StyleProp"/>
              <w:spacing w:line="180" w:lineRule="exact"/>
              <w:rPr>
                <w:color w:val="000000" w:themeColor="text1"/>
                <w:szCs w:val="18"/>
              </w:rPr>
            </w:pPr>
            <w:r w:rsidRPr="00286216">
              <w:rPr>
                <w:color w:val="000000" w:themeColor="text1"/>
                <w:spacing w:val="-2"/>
                <w:szCs w:val="18"/>
                <w:lang w:eastAsia="uk-UA"/>
              </w:rPr>
              <w:t>У п. 6 ч. 4 ст. 9 слова "клірингову діяльність із визначення зобов’язань" замінити словами "</w:t>
            </w:r>
            <w:r w:rsidRPr="00286216">
              <w:rPr>
                <w:color w:val="000000" w:themeColor="text1"/>
                <w:szCs w:val="18"/>
              </w:rPr>
              <w:t>зазначені види клірингової діяльності"</w:t>
            </w:r>
          </w:p>
        </w:tc>
        <w:tc>
          <w:tcPr>
            <w:tcW w:w="1987" w:type="dxa"/>
          </w:tcPr>
          <w:p w14:paraId="45FF3241" w14:textId="77777777" w:rsidR="001A75A4" w:rsidRPr="00286216" w:rsidRDefault="001A75A4" w:rsidP="001A75A4">
            <w:pPr>
              <w:pStyle w:val="StyleWisnow"/>
              <w:rPr>
                <w:color w:val="000000" w:themeColor="text1"/>
              </w:rPr>
            </w:pPr>
            <w:r w:rsidRPr="00286216">
              <w:rPr>
                <w:color w:val="000000" w:themeColor="text1"/>
              </w:rPr>
              <w:t>Відхилено</w:t>
            </w:r>
          </w:p>
          <w:p w14:paraId="6A37CE0A" w14:textId="37B67A01" w:rsidR="001A75A4" w:rsidRPr="00286216" w:rsidRDefault="001A75A4" w:rsidP="001A75A4">
            <w:pPr>
              <w:pStyle w:val="StyleWisnow"/>
              <w:rPr>
                <w:color w:val="000000" w:themeColor="text1"/>
              </w:rPr>
            </w:pPr>
            <w:r w:rsidRPr="00286216">
              <w:rPr>
                <w:color w:val="000000" w:themeColor="text1"/>
              </w:rPr>
              <w:t>біржа не може провадити діяльність центрального контрагента</w:t>
            </w:r>
          </w:p>
        </w:tc>
        <w:tc>
          <w:tcPr>
            <w:tcW w:w="4818" w:type="dxa"/>
          </w:tcPr>
          <w:p w14:paraId="79E83B15" w14:textId="45B32F15" w:rsidR="001A75A4" w:rsidRPr="00286216" w:rsidRDefault="001A75A4" w:rsidP="001A75A4">
            <w:pPr>
              <w:pStyle w:val="StyleZakonu"/>
              <w:rPr>
                <w:color w:val="000000" w:themeColor="text1"/>
              </w:rPr>
            </w:pPr>
            <w:r w:rsidRPr="00286216">
              <w:rPr>
                <w:color w:val="000000" w:themeColor="text1"/>
              </w:rPr>
              <w:t>6) порядок взаємодії з особою, яка провадить клірингову діяльність з визначення зобов’язань, або з центральним контрагентом за правочинами щодо біржових товарів, крім випадків провадження клірингової діяльності, товарною біржею самостійно відповідно до ліцензії, передбаченої пунктом 1 частини третьої статті 8 цього Закону;</w:t>
            </w:r>
          </w:p>
        </w:tc>
      </w:tr>
      <w:tr w:rsidR="001A75A4" w:rsidRPr="00286216" w14:paraId="64839A57" w14:textId="77777777" w:rsidTr="00091AA5">
        <w:tc>
          <w:tcPr>
            <w:tcW w:w="576" w:type="dxa"/>
          </w:tcPr>
          <w:p w14:paraId="05174502" w14:textId="77777777" w:rsidR="001A75A4" w:rsidRPr="00286216" w:rsidRDefault="001A75A4" w:rsidP="001A75A4">
            <w:pPr>
              <w:pStyle w:val="StyleWisnow"/>
              <w:rPr>
                <w:color w:val="000000" w:themeColor="text1"/>
              </w:rPr>
            </w:pPr>
            <w:bookmarkStart w:id="2262" w:name="n2455" w:colFirst="0" w:colLast="0"/>
            <w:bookmarkEnd w:id="2261"/>
            <w:r w:rsidRPr="00286216">
              <w:rPr>
                <w:color w:val="000000" w:themeColor="text1"/>
              </w:rPr>
              <w:t>2455.</w:t>
            </w:r>
          </w:p>
        </w:tc>
        <w:tc>
          <w:tcPr>
            <w:tcW w:w="4818" w:type="dxa"/>
          </w:tcPr>
          <w:p w14:paraId="68BF2043" w14:textId="77777777" w:rsidR="001A75A4" w:rsidRPr="00286216" w:rsidRDefault="001A75A4" w:rsidP="001A75A4">
            <w:pPr>
              <w:pStyle w:val="StyleZakonu"/>
              <w:rPr>
                <w:color w:val="000000" w:themeColor="text1"/>
              </w:rPr>
            </w:pPr>
            <w:r w:rsidRPr="00286216">
              <w:rPr>
                <w:color w:val="000000" w:themeColor="text1"/>
              </w:rPr>
              <w:t>7) порядок розкриття інформації про діяльність товарної біржі та її оприлюднення в обсягах та порядку, передбачених законодавством;</w:t>
            </w:r>
          </w:p>
        </w:tc>
        <w:tc>
          <w:tcPr>
            <w:tcW w:w="3686" w:type="dxa"/>
          </w:tcPr>
          <w:p w14:paraId="07458F92" w14:textId="4748E102"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1178</w:t>
            </w:r>
            <w:r w:rsidRPr="00286216">
              <w:rPr>
                <w:color w:val="000000" w:themeColor="text1"/>
                <w:spacing w:val="-2"/>
              </w:rPr>
              <w:fldChar w:fldCharType="end"/>
            </w:r>
            <w:r w:rsidRPr="00286216">
              <w:rPr>
                <w:color w:val="000000" w:themeColor="text1"/>
                <w:spacing w:val="-2"/>
              </w:rPr>
              <w:t>-Н.д.Шахов С.В. (Реєстр.картка №114)</w:t>
            </w:r>
          </w:p>
          <w:p w14:paraId="12A196BA" w14:textId="77777777" w:rsidR="001A75A4" w:rsidRPr="00286216" w:rsidRDefault="001A75A4" w:rsidP="001A75A4">
            <w:pPr>
              <w:pStyle w:val="StyleProp"/>
              <w:spacing w:line="180" w:lineRule="exact"/>
              <w:rPr>
                <w:color w:val="000000" w:themeColor="text1"/>
                <w:spacing w:val="-2"/>
                <w:szCs w:val="18"/>
                <w:lang w:eastAsia="uk-UA"/>
              </w:rPr>
            </w:pPr>
            <w:r w:rsidRPr="00286216">
              <w:rPr>
                <w:color w:val="000000" w:themeColor="text1"/>
                <w:spacing w:val="-2"/>
                <w:szCs w:val="18"/>
                <w:lang w:eastAsia="uk-UA"/>
              </w:rPr>
              <w:t>У п. 7 ч. 4 ст. 9 слово "законодавством" замінити словом "законом".</w:t>
            </w:r>
          </w:p>
        </w:tc>
        <w:tc>
          <w:tcPr>
            <w:tcW w:w="1987" w:type="dxa"/>
          </w:tcPr>
          <w:p w14:paraId="5C202A5F"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59065F51" w14:textId="6519EC88" w:rsidR="001A75A4" w:rsidRPr="00286216" w:rsidRDefault="001A75A4" w:rsidP="001A75A4">
            <w:pPr>
              <w:pStyle w:val="StyleZakonu"/>
              <w:rPr>
                <w:color w:val="000000" w:themeColor="text1"/>
              </w:rPr>
            </w:pPr>
            <w:r w:rsidRPr="00286216">
              <w:rPr>
                <w:color w:val="000000" w:themeColor="text1"/>
              </w:rPr>
              <w:t xml:space="preserve">7) порядок розкриття інформації про діяльність товарної біржі та її оприлюднення в обсягах та порядку, передбачених </w:t>
            </w:r>
            <w:r w:rsidRPr="00286216">
              <w:rPr>
                <w:color w:val="000000" w:themeColor="text1"/>
                <w:spacing w:val="-2"/>
                <w:szCs w:val="18"/>
                <w:lang w:eastAsia="uk-UA"/>
              </w:rPr>
              <w:t>законом</w:t>
            </w:r>
            <w:r w:rsidRPr="00286216">
              <w:rPr>
                <w:color w:val="000000" w:themeColor="text1"/>
              </w:rPr>
              <w:t>;</w:t>
            </w:r>
          </w:p>
        </w:tc>
      </w:tr>
      <w:tr w:rsidR="001A75A4" w:rsidRPr="00286216" w14:paraId="786DE481" w14:textId="77777777" w:rsidTr="00091AA5">
        <w:tc>
          <w:tcPr>
            <w:tcW w:w="576" w:type="dxa"/>
          </w:tcPr>
          <w:p w14:paraId="27C4D55F" w14:textId="77777777" w:rsidR="001A75A4" w:rsidRPr="00286216" w:rsidRDefault="001A75A4" w:rsidP="001A75A4">
            <w:pPr>
              <w:pStyle w:val="StyleWisnow"/>
              <w:rPr>
                <w:color w:val="000000" w:themeColor="text1"/>
              </w:rPr>
            </w:pPr>
            <w:bookmarkStart w:id="2263" w:name="n2456" w:colFirst="0" w:colLast="0"/>
            <w:bookmarkEnd w:id="2262"/>
            <w:r w:rsidRPr="00286216">
              <w:rPr>
                <w:color w:val="000000" w:themeColor="text1"/>
              </w:rPr>
              <w:lastRenderedPageBreak/>
              <w:t>2456.</w:t>
            </w:r>
          </w:p>
        </w:tc>
        <w:tc>
          <w:tcPr>
            <w:tcW w:w="4818" w:type="dxa"/>
          </w:tcPr>
          <w:p w14:paraId="453A6837" w14:textId="77777777" w:rsidR="001A75A4" w:rsidRPr="00286216" w:rsidRDefault="001A75A4" w:rsidP="001A75A4">
            <w:pPr>
              <w:pStyle w:val="StyleZakonu"/>
              <w:rPr>
                <w:color w:val="000000" w:themeColor="text1"/>
              </w:rPr>
            </w:pPr>
            <w:r w:rsidRPr="00286216">
              <w:rPr>
                <w:color w:val="000000" w:themeColor="text1"/>
              </w:rPr>
              <w:t>8) порядок здійснення моніторингу біржових торгів та інших заходів, що здійснюються товарною біржою для протидії маніпулюванням, інсайдерській торгівлі та іншим зловживанням на товарних біржах.</w:t>
            </w:r>
          </w:p>
        </w:tc>
        <w:tc>
          <w:tcPr>
            <w:tcW w:w="3686" w:type="dxa"/>
          </w:tcPr>
          <w:p w14:paraId="6CBCE37D" w14:textId="77777777" w:rsidR="001A75A4" w:rsidRPr="00286216" w:rsidRDefault="001A75A4" w:rsidP="001A75A4">
            <w:pPr>
              <w:pStyle w:val="StyleProp"/>
              <w:rPr>
                <w:color w:val="000000" w:themeColor="text1"/>
                <w:szCs w:val="18"/>
              </w:rPr>
            </w:pPr>
          </w:p>
        </w:tc>
        <w:tc>
          <w:tcPr>
            <w:tcW w:w="1987" w:type="dxa"/>
          </w:tcPr>
          <w:p w14:paraId="257026A0" w14:textId="77777777" w:rsidR="001A75A4" w:rsidRPr="00286216" w:rsidRDefault="001A75A4" w:rsidP="001A75A4">
            <w:pPr>
              <w:pStyle w:val="StyleWisnow"/>
              <w:rPr>
                <w:color w:val="000000" w:themeColor="text1"/>
              </w:rPr>
            </w:pPr>
          </w:p>
        </w:tc>
        <w:tc>
          <w:tcPr>
            <w:tcW w:w="4818" w:type="dxa"/>
          </w:tcPr>
          <w:p w14:paraId="5A869779" w14:textId="7DEB58C5" w:rsidR="001A75A4" w:rsidRPr="00286216" w:rsidRDefault="001A75A4" w:rsidP="001A75A4">
            <w:pPr>
              <w:pStyle w:val="StyleZakonu"/>
              <w:rPr>
                <w:color w:val="000000" w:themeColor="text1"/>
              </w:rPr>
            </w:pPr>
            <w:r w:rsidRPr="00286216">
              <w:rPr>
                <w:color w:val="000000" w:themeColor="text1"/>
              </w:rPr>
              <w:t>8) порядок здійснення моніторингу біржових торгів та інших заходів, що здійснюються товарною біржею для протидії маніпулюванням, інсайдерській торгівлі та іншим зловживанням на товарних біржах.</w:t>
            </w:r>
          </w:p>
        </w:tc>
      </w:tr>
      <w:tr w:rsidR="001A75A4" w:rsidRPr="00286216" w14:paraId="5787D5AC" w14:textId="77777777" w:rsidTr="00091AA5">
        <w:tc>
          <w:tcPr>
            <w:tcW w:w="576" w:type="dxa"/>
          </w:tcPr>
          <w:p w14:paraId="2AE42A1E" w14:textId="77777777" w:rsidR="001A75A4" w:rsidRPr="00286216" w:rsidRDefault="001A75A4" w:rsidP="001A75A4">
            <w:pPr>
              <w:pStyle w:val="StyleWisnow"/>
              <w:rPr>
                <w:color w:val="000000" w:themeColor="text1"/>
              </w:rPr>
            </w:pPr>
            <w:bookmarkStart w:id="2264" w:name="n2457" w:colFirst="0" w:colLast="0"/>
            <w:bookmarkEnd w:id="2263"/>
            <w:r w:rsidRPr="00286216">
              <w:rPr>
                <w:color w:val="000000" w:themeColor="text1"/>
              </w:rPr>
              <w:t>2457.</w:t>
            </w:r>
          </w:p>
        </w:tc>
        <w:tc>
          <w:tcPr>
            <w:tcW w:w="4818" w:type="dxa"/>
          </w:tcPr>
          <w:p w14:paraId="0E30811E" w14:textId="77777777" w:rsidR="001A75A4" w:rsidRPr="00286216" w:rsidRDefault="001A75A4" w:rsidP="001A75A4">
            <w:pPr>
              <w:pStyle w:val="StyleZakonu"/>
              <w:rPr>
                <w:color w:val="000000" w:themeColor="text1"/>
                <w:lang w:eastAsia="uk-UA"/>
              </w:rPr>
            </w:pPr>
            <w:bookmarkStart w:id="2265" w:name="_Ref20405980"/>
            <w:r w:rsidRPr="00286216">
              <w:rPr>
                <w:color w:val="000000" w:themeColor="text1"/>
                <w:lang w:eastAsia="uk-UA"/>
              </w:rPr>
              <w:t xml:space="preserve">5. Правила </w:t>
            </w:r>
            <w:r w:rsidRPr="00286216">
              <w:rPr>
                <w:color w:val="000000" w:themeColor="text1"/>
              </w:rPr>
              <w:t>товарної біржі</w:t>
            </w:r>
            <w:r w:rsidRPr="00286216">
              <w:rPr>
                <w:color w:val="000000" w:themeColor="text1"/>
                <w:lang w:eastAsia="uk-UA"/>
              </w:rPr>
              <w:t xml:space="preserve"> можуть передбачати:</w:t>
            </w:r>
            <w:bookmarkEnd w:id="2265"/>
          </w:p>
        </w:tc>
        <w:tc>
          <w:tcPr>
            <w:tcW w:w="3686" w:type="dxa"/>
          </w:tcPr>
          <w:p w14:paraId="75D6028F" w14:textId="77777777" w:rsidR="001A75A4" w:rsidRPr="00286216" w:rsidRDefault="001A75A4" w:rsidP="001A75A4">
            <w:pPr>
              <w:pStyle w:val="StyleProp"/>
              <w:rPr>
                <w:color w:val="000000" w:themeColor="text1"/>
                <w:szCs w:val="18"/>
                <w:lang w:eastAsia="uk-UA"/>
              </w:rPr>
            </w:pPr>
          </w:p>
        </w:tc>
        <w:tc>
          <w:tcPr>
            <w:tcW w:w="1987" w:type="dxa"/>
          </w:tcPr>
          <w:p w14:paraId="2E2D1DAA" w14:textId="77777777" w:rsidR="001A75A4" w:rsidRPr="00286216" w:rsidRDefault="001A75A4" w:rsidP="001A75A4">
            <w:pPr>
              <w:pStyle w:val="StyleWisnow"/>
              <w:rPr>
                <w:color w:val="000000" w:themeColor="text1"/>
                <w:lang w:eastAsia="uk-UA"/>
              </w:rPr>
            </w:pPr>
          </w:p>
        </w:tc>
        <w:tc>
          <w:tcPr>
            <w:tcW w:w="4818" w:type="dxa"/>
          </w:tcPr>
          <w:p w14:paraId="13D7C406" w14:textId="0F2EDF7C" w:rsidR="001A75A4" w:rsidRPr="00286216" w:rsidRDefault="001A75A4" w:rsidP="001A75A4">
            <w:pPr>
              <w:pStyle w:val="StyleZakonu"/>
              <w:rPr>
                <w:color w:val="000000" w:themeColor="text1"/>
                <w:lang w:eastAsia="uk-UA"/>
              </w:rPr>
            </w:pPr>
            <w:r w:rsidRPr="00286216">
              <w:rPr>
                <w:color w:val="000000" w:themeColor="text1"/>
                <w:lang w:eastAsia="uk-UA"/>
              </w:rPr>
              <w:t xml:space="preserve">5. Правила </w:t>
            </w:r>
            <w:r w:rsidRPr="00286216">
              <w:rPr>
                <w:color w:val="000000" w:themeColor="text1"/>
              </w:rPr>
              <w:t>товарної біржі</w:t>
            </w:r>
            <w:r w:rsidRPr="00286216">
              <w:rPr>
                <w:color w:val="000000" w:themeColor="text1"/>
                <w:lang w:eastAsia="uk-UA"/>
              </w:rPr>
              <w:t xml:space="preserve"> можуть передбачати:</w:t>
            </w:r>
          </w:p>
        </w:tc>
      </w:tr>
      <w:tr w:rsidR="001A75A4" w:rsidRPr="00286216" w14:paraId="3922EE2E" w14:textId="77777777" w:rsidTr="00091AA5">
        <w:tc>
          <w:tcPr>
            <w:tcW w:w="576" w:type="dxa"/>
          </w:tcPr>
          <w:p w14:paraId="111D09DE" w14:textId="77777777" w:rsidR="001A75A4" w:rsidRPr="00286216" w:rsidRDefault="001A75A4" w:rsidP="001A75A4">
            <w:pPr>
              <w:pStyle w:val="StyleWisnow"/>
              <w:rPr>
                <w:color w:val="000000" w:themeColor="text1"/>
              </w:rPr>
            </w:pPr>
            <w:bookmarkStart w:id="2266" w:name="n2458" w:colFirst="0" w:colLast="0"/>
            <w:bookmarkEnd w:id="2264"/>
            <w:r w:rsidRPr="00286216">
              <w:rPr>
                <w:color w:val="000000" w:themeColor="text1"/>
              </w:rPr>
              <w:t>2458.</w:t>
            </w:r>
          </w:p>
        </w:tc>
        <w:tc>
          <w:tcPr>
            <w:tcW w:w="4818" w:type="dxa"/>
          </w:tcPr>
          <w:p w14:paraId="22105015" w14:textId="77777777" w:rsidR="001A75A4" w:rsidRPr="00286216" w:rsidRDefault="001A75A4" w:rsidP="001A75A4">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наступними особами:</w:t>
            </w:r>
          </w:p>
        </w:tc>
        <w:tc>
          <w:tcPr>
            <w:tcW w:w="3686" w:type="dxa"/>
          </w:tcPr>
          <w:p w14:paraId="66DD0593" w14:textId="77777777" w:rsidR="001A75A4" w:rsidRPr="00286216" w:rsidRDefault="001A75A4" w:rsidP="001A75A4">
            <w:pPr>
              <w:pStyle w:val="StyleProp"/>
              <w:rPr>
                <w:color w:val="000000" w:themeColor="text1"/>
                <w:szCs w:val="18"/>
              </w:rPr>
            </w:pPr>
          </w:p>
        </w:tc>
        <w:tc>
          <w:tcPr>
            <w:tcW w:w="1987" w:type="dxa"/>
          </w:tcPr>
          <w:p w14:paraId="482BD156" w14:textId="77777777" w:rsidR="001A75A4" w:rsidRPr="00286216" w:rsidRDefault="001A75A4" w:rsidP="001A75A4">
            <w:pPr>
              <w:pStyle w:val="StyleWisnow"/>
              <w:rPr>
                <w:color w:val="000000" w:themeColor="text1"/>
              </w:rPr>
            </w:pPr>
          </w:p>
        </w:tc>
        <w:tc>
          <w:tcPr>
            <w:tcW w:w="4818" w:type="dxa"/>
          </w:tcPr>
          <w:p w14:paraId="540AB086" w14:textId="05109DA7" w:rsidR="001A75A4" w:rsidRPr="00286216" w:rsidRDefault="001A75A4" w:rsidP="001A75A4">
            <w:pPr>
              <w:pStyle w:val="StyleZakonu"/>
              <w:rPr>
                <w:color w:val="000000" w:themeColor="text1"/>
              </w:rPr>
            </w:pPr>
            <w:r w:rsidRPr="00286216">
              <w:rPr>
                <w:color w:val="000000" w:themeColor="text1"/>
              </w:rPr>
              <w:t>1) створення та забезпечення функціонування механізму виявлення, запобігання та усунення конфліктів інтересів між будь-якими такими особами:</w:t>
            </w:r>
          </w:p>
        </w:tc>
      </w:tr>
      <w:tr w:rsidR="001A75A4" w:rsidRPr="00286216" w14:paraId="2810B384" w14:textId="77777777" w:rsidTr="00091AA5">
        <w:tc>
          <w:tcPr>
            <w:tcW w:w="576" w:type="dxa"/>
          </w:tcPr>
          <w:p w14:paraId="0C182AF6" w14:textId="77777777" w:rsidR="001A75A4" w:rsidRPr="00286216" w:rsidRDefault="001A75A4" w:rsidP="001A75A4">
            <w:pPr>
              <w:pStyle w:val="StyleWisnow"/>
              <w:rPr>
                <w:color w:val="000000" w:themeColor="text1"/>
              </w:rPr>
            </w:pPr>
            <w:bookmarkStart w:id="2267" w:name="n2459" w:colFirst="0" w:colLast="0"/>
            <w:bookmarkEnd w:id="2266"/>
            <w:r w:rsidRPr="00286216">
              <w:rPr>
                <w:color w:val="000000" w:themeColor="text1"/>
              </w:rPr>
              <w:t>2459.</w:t>
            </w:r>
          </w:p>
        </w:tc>
        <w:tc>
          <w:tcPr>
            <w:tcW w:w="4818" w:type="dxa"/>
          </w:tcPr>
          <w:p w14:paraId="1634E773" w14:textId="77777777" w:rsidR="001A75A4" w:rsidRPr="00286216" w:rsidRDefault="001A75A4" w:rsidP="001A75A4">
            <w:pPr>
              <w:pStyle w:val="StyleZakonu"/>
              <w:rPr>
                <w:color w:val="000000" w:themeColor="text1"/>
              </w:rPr>
            </w:pPr>
            <w:r w:rsidRPr="00286216">
              <w:rPr>
                <w:color w:val="000000" w:themeColor="text1"/>
              </w:rPr>
              <w:t>а) товарною біржою;</w:t>
            </w:r>
          </w:p>
        </w:tc>
        <w:tc>
          <w:tcPr>
            <w:tcW w:w="3686" w:type="dxa"/>
          </w:tcPr>
          <w:p w14:paraId="069FF694" w14:textId="77777777" w:rsidR="001A75A4" w:rsidRPr="00286216" w:rsidRDefault="001A75A4" w:rsidP="001A75A4">
            <w:pPr>
              <w:pStyle w:val="StyleProp"/>
              <w:rPr>
                <w:color w:val="000000" w:themeColor="text1"/>
                <w:szCs w:val="18"/>
              </w:rPr>
            </w:pPr>
          </w:p>
        </w:tc>
        <w:tc>
          <w:tcPr>
            <w:tcW w:w="1987" w:type="dxa"/>
          </w:tcPr>
          <w:p w14:paraId="41C35066" w14:textId="77777777" w:rsidR="001A75A4" w:rsidRPr="00286216" w:rsidRDefault="001A75A4" w:rsidP="001A75A4">
            <w:pPr>
              <w:pStyle w:val="StyleWisnow"/>
              <w:rPr>
                <w:color w:val="000000" w:themeColor="text1"/>
              </w:rPr>
            </w:pPr>
          </w:p>
        </w:tc>
        <w:tc>
          <w:tcPr>
            <w:tcW w:w="4818" w:type="dxa"/>
          </w:tcPr>
          <w:p w14:paraId="7CF04194" w14:textId="72659377" w:rsidR="001A75A4" w:rsidRPr="00286216" w:rsidRDefault="001A75A4" w:rsidP="001A75A4">
            <w:pPr>
              <w:pStyle w:val="StyleZakonu"/>
              <w:rPr>
                <w:color w:val="000000" w:themeColor="text1"/>
              </w:rPr>
            </w:pPr>
            <w:r w:rsidRPr="00286216">
              <w:rPr>
                <w:color w:val="000000" w:themeColor="text1"/>
              </w:rPr>
              <w:t>а) товарною біржею;</w:t>
            </w:r>
          </w:p>
        </w:tc>
      </w:tr>
      <w:tr w:rsidR="001A75A4" w:rsidRPr="00286216" w14:paraId="61A5EFEE" w14:textId="77777777" w:rsidTr="00091AA5">
        <w:tc>
          <w:tcPr>
            <w:tcW w:w="576" w:type="dxa"/>
          </w:tcPr>
          <w:p w14:paraId="23C3A666" w14:textId="77777777" w:rsidR="001A75A4" w:rsidRPr="00286216" w:rsidRDefault="001A75A4" w:rsidP="001A75A4">
            <w:pPr>
              <w:pStyle w:val="StyleWisnow"/>
              <w:rPr>
                <w:color w:val="000000" w:themeColor="text1"/>
              </w:rPr>
            </w:pPr>
            <w:bookmarkStart w:id="2268" w:name="n2460" w:colFirst="0" w:colLast="0"/>
            <w:bookmarkEnd w:id="2267"/>
            <w:r w:rsidRPr="00286216">
              <w:rPr>
                <w:color w:val="000000" w:themeColor="text1"/>
              </w:rPr>
              <w:t>2460.</w:t>
            </w:r>
          </w:p>
        </w:tc>
        <w:tc>
          <w:tcPr>
            <w:tcW w:w="4818" w:type="dxa"/>
          </w:tcPr>
          <w:p w14:paraId="23D3498F" w14:textId="77777777" w:rsidR="001A75A4" w:rsidRPr="00286216" w:rsidRDefault="001A75A4" w:rsidP="001A75A4">
            <w:pPr>
              <w:pStyle w:val="StyleZakonu"/>
              <w:rPr>
                <w:color w:val="000000" w:themeColor="text1"/>
              </w:rPr>
            </w:pPr>
            <w:r w:rsidRPr="00286216">
              <w:rPr>
                <w:color w:val="000000" w:themeColor="text1"/>
              </w:rPr>
              <w:t>б) акціонерами (учасниками) товарної біржи;</w:t>
            </w:r>
          </w:p>
        </w:tc>
        <w:tc>
          <w:tcPr>
            <w:tcW w:w="3686" w:type="dxa"/>
          </w:tcPr>
          <w:p w14:paraId="7BB9B6C2" w14:textId="77777777" w:rsidR="001A75A4" w:rsidRPr="00286216" w:rsidRDefault="001A75A4" w:rsidP="001A75A4">
            <w:pPr>
              <w:pStyle w:val="StyleProp"/>
              <w:rPr>
                <w:color w:val="000000" w:themeColor="text1"/>
                <w:szCs w:val="18"/>
              </w:rPr>
            </w:pPr>
          </w:p>
        </w:tc>
        <w:tc>
          <w:tcPr>
            <w:tcW w:w="1987" w:type="dxa"/>
          </w:tcPr>
          <w:p w14:paraId="1EA51914" w14:textId="77777777" w:rsidR="001A75A4" w:rsidRPr="00286216" w:rsidRDefault="001A75A4" w:rsidP="001A75A4">
            <w:pPr>
              <w:pStyle w:val="StyleWisnow"/>
              <w:rPr>
                <w:color w:val="000000" w:themeColor="text1"/>
              </w:rPr>
            </w:pPr>
          </w:p>
        </w:tc>
        <w:tc>
          <w:tcPr>
            <w:tcW w:w="4818" w:type="dxa"/>
          </w:tcPr>
          <w:p w14:paraId="3EBFDD9F" w14:textId="020E847E" w:rsidR="001A75A4" w:rsidRPr="00286216" w:rsidRDefault="001A75A4" w:rsidP="001A75A4">
            <w:pPr>
              <w:pStyle w:val="StyleZakonu"/>
              <w:rPr>
                <w:color w:val="000000" w:themeColor="text1"/>
              </w:rPr>
            </w:pPr>
            <w:r w:rsidRPr="00286216">
              <w:rPr>
                <w:color w:val="000000" w:themeColor="text1"/>
              </w:rPr>
              <w:t>б) акціонерами (учасниками) товарної біржи;</w:t>
            </w:r>
          </w:p>
        </w:tc>
      </w:tr>
      <w:tr w:rsidR="001A75A4" w:rsidRPr="00286216" w14:paraId="19306F8A" w14:textId="77777777" w:rsidTr="00091AA5">
        <w:tc>
          <w:tcPr>
            <w:tcW w:w="576" w:type="dxa"/>
          </w:tcPr>
          <w:p w14:paraId="35F26F21" w14:textId="77777777" w:rsidR="001A75A4" w:rsidRPr="00286216" w:rsidRDefault="001A75A4" w:rsidP="001A75A4">
            <w:pPr>
              <w:pStyle w:val="StyleWisnow"/>
              <w:rPr>
                <w:color w:val="000000" w:themeColor="text1"/>
              </w:rPr>
            </w:pPr>
            <w:bookmarkStart w:id="2269" w:name="n2461" w:colFirst="0" w:colLast="0"/>
            <w:bookmarkEnd w:id="2268"/>
            <w:r w:rsidRPr="00286216">
              <w:rPr>
                <w:color w:val="000000" w:themeColor="text1"/>
              </w:rPr>
              <w:t>2461.</w:t>
            </w:r>
          </w:p>
        </w:tc>
        <w:tc>
          <w:tcPr>
            <w:tcW w:w="4818" w:type="dxa"/>
          </w:tcPr>
          <w:p w14:paraId="309E0D85" w14:textId="77777777" w:rsidR="001A75A4" w:rsidRPr="00286216" w:rsidRDefault="001A75A4" w:rsidP="001A75A4">
            <w:pPr>
              <w:pStyle w:val="StyleZakonu"/>
              <w:rPr>
                <w:color w:val="000000" w:themeColor="text1"/>
              </w:rPr>
            </w:pPr>
            <w:r w:rsidRPr="00286216">
              <w:rPr>
                <w:color w:val="000000" w:themeColor="text1"/>
              </w:rPr>
              <w:t>в) учасниками торгів;</w:t>
            </w:r>
          </w:p>
        </w:tc>
        <w:tc>
          <w:tcPr>
            <w:tcW w:w="3686" w:type="dxa"/>
          </w:tcPr>
          <w:p w14:paraId="3A797A90" w14:textId="77777777" w:rsidR="001A75A4" w:rsidRPr="00286216" w:rsidRDefault="001A75A4" w:rsidP="001A75A4">
            <w:pPr>
              <w:pStyle w:val="StyleProp"/>
              <w:rPr>
                <w:color w:val="000000" w:themeColor="text1"/>
                <w:szCs w:val="18"/>
              </w:rPr>
            </w:pPr>
          </w:p>
        </w:tc>
        <w:tc>
          <w:tcPr>
            <w:tcW w:w="1987" w:type="dxa"/>
          </w:tcPr>
          <w:p w14:paraId="615FB895" w14:textId="77777777" w:rsidR="001A75A4" w:rsidRPr="00286216" w:rsidRDefault="001A75A4" w:rsidP="001A75A4">
            <w:pPr>
              <w:pStyle w:val="StyleWisnow"/>
              <w:rPr>
                <w:color w:val="000000" w:themeColor="text1"/>
              </w:rPr>
            </w:pPr>
          </w:p>
        </w:tc>
        <w:tc>
          <w:tcPr>
            <w:tcW w:w="4818" w:type="dxa"/>
          </w:tcPr>
          <w:p w14:paraId="303916E7" w14:textId="73DDEC92" w:rsidR="001A75A4" w:rsidRPr="00286216" w:rsidRDefault="001A75A4" w:rsidP="001A75A4">
            <w:pPr>
              <w:pStyle w:val="StyleZakonu"/>
              <w:rPr>
                <w:color w:val="000000" w:themeColor="text1"/>
              </w:rPr>
            </w:pPr>
            <w:r w:rsidRPr="00286216">
              <w:rPr>
                <w:color w:val="000000" w:themeColor="text1"/>
              </w:rPr>
              <w:t>в) учасниками торгів;</w:t>
            </w:r>
          </w:p>
        </w:tc>
      </w:tr>
      <w:tr w:rsidR="001A75A4" w:rsidRPr="00286216" w14:paraId="65E47BC6" w14:textId="77777777" w:rsidTr="00091AA5">
        <w:tc>
          <w:tcPr>
            <w:tcW w:w="576" w:type="dxa"/>
          </w:tcPr>
          <w:p w14:paraId="7233CFE1" w14:textId="77777777" w:rsidR="001A75A4" w:rsidRPr="00286216" w:rsidRDefault="001A75A4" w:rsidP="001A75A4">
            <w:pPr>
              <w:pStyle w:val="StyleWisnow"/>
              <w:rPr>
                <w:color w:val="000000" w:themeColor="text1"/>
              </w:rPr>
            </w:pPr>
            <w:bookmarkStart w:id="2270" w:name="n2462" w:colFirst="0" w:colLast="0"/>
            <w:bookmarkEnd w:id="2269"/>
            <w:r w:rsidRPr="00286216">
              <w:rPr>
                <w:color w:val="000000" w:themeColor="text1"/>
              </w:rPr>
              <w:t>2462.</w:t>
            </w:r>
          </w:p>
        </w:tc>
        <w:tc>
          <w:tcPr>
            <w:tcW w:w="4818" w:type="dxa"/>
          </w:tcPr>
          <w:p w14:paraId="48BAE745" w14:textId="77777777" w:rsidR="001A75A4" w:rsidRPr="00286216" w:rsidRDefault="001A75A4" w:rsidP="001A75A4">
            <w:pPr>
              <w:pStyle w:val="StyleZakonu"/>
              <w:rPr>
                <w:color w:val="000000" w:themeColor="text1"/>
              </w:rPr>
            </w:pPr>
            <w:r w:rsidRPr="00286216">
              <w:rPr>
                <w:color w:val="000000" w:themeColor="text1"/>
              </w:rPr>
              <w:t>2) порядок здійснення контролю за додержанням учасниками торгів правил товарної біржі;</w:t>
            </w:r>
          </w:p>
        </w:tc>
        <w:tc>
          <w:tcPr>
            <w:tcW w:w="3686" w:type="dxa"/>
          </w:tcPr>
          <w:p w14:paraId="454717B6" w14:textId="77777777" w:rsidR="001A75A4" w:rsidRPr="00286216" w:rsidRDefault="001A75A4" w:rsidP="001A75A4">
            <w:pPr>
              <w:pStyle w:val="StyleProp"/>
              <w:rPr>
                <w:color w:val="000000" w:themeColor="text1"/>
                <w:szCs w:val="18"/>
              </w:rPr>
            </w:pPr>
          </w:p>
        </w:tc>
        <w:tc>
          <w:tcPr>
            <w:tcW w:w="1987" w:type="dxa"/>
          </w:tcPr>
          <w:p w14:paraId="53656C32" w14:textId="77777777" w:rsidR="001A75A4" w:rsidRPr="00286216" w:rsidRDefault="001A75A4" w:rsidP="001A75A4">
            <w:pPr>
              <w:pStyle w:val="StyleWisnow"/>
              <w:rPr>
                <w:color w:val="000000" w:themeColor="text1"/>
              </w:rPr>
            </w:pPr>
          </w:p>
        </w:tc>
        <w:tc>
          <w:tcPr>
            <w:tcW w:w="4818" w:type="dxa"/>
          </w:tcPr>
          <w:p w14:paraId="74F49426" w14:textId="08E6F42A" w:rsidR="001A75A4" w:rsidRPr="00286216" w:rsidRDefault="001A75A4" w:rsidP="001A75A4">
            <w:pPr>
              <w:pStyle w:val="StyleZakonu"/>
              <w:rPr>
                <w:color w:val="000000" w:themeColor="text1"/>
              </w:rPr>
            </w:pPr>
            <w:r w:rsidRPr="00286216">
              <w:rPr>
                <w:color w:val="000000" w:themeColor="text1"/>
              </w:rPr>
              <w:t>2) порядок здійснення контролю за додержанням учасниками торгів правил товарної біржі;</w:t>
            </w:r>
          </w:p>
        </w:tc>
      </w:tr>
      <w:tr w:rsidR="001A75A4" w:rsidRPr="00286216" w14:paraId="2B4BFA56" w14:textId="77777777" w:rsidTr="00091AA5">
        <w:tc>
          <w:tcPr>
            <w:tcW w:w="576" w:type="dxa"/>
          </w:tcPr>
          <w:p w14:paraId="096D5272" w14:textId="77777777" w:rsidR="001A75A4" w:rsidRPr="00286216" w:rsidRDefault="001A75A4" w:rsidP="001A75A4">
            <w:pPr>
              <w:pStyle w:val="StyleWisnow"/>
              <w:rPr>
                <w:color w:val="000000" w:themeColor="text1"/>
              </w:rPr>
            </w:pPr>
            <w:bookmarkStart w:id="2271" w:name="n2463" w:colFirst="0" w:colLast="0"/>
            <w:bookmarkEnd w:id="2270"/>
            <w:r w:rsidRPr="00286216">
              <w:rPr>
                <w:color w:val="000000" w:themeColor="text1"/>
              </w:rPr>
              <w:t>2463.</w:t>
            </w:r>
          </w:p>
        </w:tc>
        <w:tc>
          <w:tcPr>
            <w:tcW w:w="4818" w:type="dxa"/>
          </w:tcPr>
          <w:p w14:paraId="42008807" w14:textId="77777777" w:rsidR="001A75A4" w:rsidRPr="00286216" w:rsidRDefault="001A75A4" w:rsidP="001A75A4">
            <w:pPr>
              <w:pStyle w:val="StyleZakonu"/>
              <w:rPr>
                <w:color w:val="000000" w:themeColor="text1"/>
              </w:rPr>
            </w:pPr>
            <w:r w:rsidRPr="00286216">
              <w:rPr>
                <w:color w:val="000000" w:themeColor="text1"/>
              </w:rPr>
              <w:t>3) накладення санкцій за порушення правил товарної біржі;</w:t>
            </w:r>
          </w:p>
        </w:tc>
        <w:tc>
          <w:tcPr>
            <w:tcW w:w="3686" w:type="dxa"/>
          </w:tcPr>
          <w:p w14:paraId="296F3941" w14:textId="77777777" w:rsidR="001A75A4" w:rsidRPr="00286216" w:rsidRDefault="001A75A4" w:rsidP="001A75A4">
            <w:pPr>
              <w:pStyle w:val="StyleProp"/>
              <w:rPr>
                <w:color w:val="000000" w:themeColor="text1"/>
                <w:szCs w:val="18"/>
              </w:rPr>
            </w:pPr>
          </w:p>
        </w:tc>
        <w:tc>
          <w:tcPr>
            <w:tcW w:w="1987" w:type="dxa"/>
          </w:tcPr>
          <w:p w14:paraId="2AF43BBF" w14:textId="77777777" w:rsidR="001A75A4" w:rsidRPr="00286216" w:rsidRDefault="001A75A4" w:rsidP="001A75A4">
            <w:pPr>
              <w:pStyle w:val="StyleWisnow"/>
              <w:rPr>
                <w:color w:val="000000" w:themeColor="text1"/>
              </w:rPr>
            </w:pPr>
          </w:p>
        </w:tc>
        <w:tc>
          <w:tcPr>
            <w:tcW w:w="4818" w:type="dxa"/>
          </w:tcPr>
          <w:p w14:paraId="76A4CCA6" w14:textId="4E9BB3B3" w:rsidR="001A75A4" w:rsidRPr="00286216" w:rsidRDefault="001A75A4" w:rsidP="001A75A4">
            <w:pPr>
              <w:pStyle w:val="StyleZakonu"/>
              <w:rPr>
                <w:color w:val="000000" w:themeColor="text1"/>
              </w:rPr>
            </w:pPr>
            <w:r w:rsidRPr="00286216">
              <w:rPr>
                <w:color w:val="000000" w:themeColor="text1"/>
              </w:rPr>
              <w:t>3) застосування санкцій за порушення правил товарної біржі;</w:t>
            </w:r>
          </w:p>
        </w:tc>
      </w:tr>
      <w:tr w:rsidR="001A75A4" w:rsidRPr="00286216" w14:paraId="627AEB9B" w14:textId="77777777" w:rsidTr="00091AA5">
        <w:tc>
          <w:tcPr>
            <w:tcW w:w="576" w:type="dxa"/>
          </w:tcPr>
          <w:p w14:paraId="1CCF7CCD" w14:textId="77777777" w:rsidR="001A75A4" w:rsidRPr="00286216" w:rsidRDefault="001A75A4" w:rsidP="001A75A4">
            <w:pPr>
              <w:pStyle w:val="StyleWisnow"/>
              <w:rPr>
                <w:color w:val="000000" w:themeColor="text1"/>
              </w:rPr>
            </w:pPr>
            <w:bookmarkStart w:id="2272" w:name="n2464" w:colFirst="0" w:colLast="0"/>
            <w:bookmarkEnd w:id="2271"/>
            <w:r w:rsidRPr="00286216">
              <w:rPr>
                <w:color w:val="000000" w:themeColor="text1"/>
              </w:rPr>
              <w:t>2464.</w:t>
            </w:r>
          </w:p>
        </w:tc>
        <w:tc>
          <w:tcPr>
            <w:tcW w:w="4818" w:type="dxa"/>
          </w:tcPr>
          <w:p w14:paraId="5EF389DB" w14:textId="77777777" w:rsidR="001A75A4" w:rsidRPr="00286216" w:rsidRDefault="001A75A4" w:rsidP="001A75A4">
            <w:pPr>
              <w:pStyle w:val="StyleZakonu"/>
              <w:rPr>
                <w:color w:val="000000" w:themeColor="text1"/>
              </w:rPr>
            </w:pPr>
            <w:r w:rsidRPr="00286216">
              <w:rPr>
                <w:color w:val="000000" w:themeColor="text1"/>
              </w:rPr>
              <w:t>4) інші положення на розсуд товарної біржі, та/або які вимагаються законодавством, зокрема нормативно-правовими актами Національної комісії з цінних паперів та фондового ринку.</w:t>
            </w:r>
          </w:p>
        </w:tc>
        <w:tc>
          <w:tcPr>
            <w:tcW w:w="3686" w:type="dxa"/>
          </w:tcPr>
          <w:p w14:paraId="3FFC780A" w14:textId="0941B393"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1179</w:t>
            </w:r>
            <w:r w:rsidRPr="00286216">
              <w:rPr>
                <w:color w:val="000000" w:themeColor="text1"/>
                <w:spacing w:val="-2"/>
              </w:rPr>
              <w:fldChar w:fldCharType="end"/>
            </w:r>
            <w:r w:rsidRPr="00286216">
              <w:rPr>
                <w:color w:val="000000" w:themeColor="text1"/>
                <w:spacing w:val="-2"/>
              </w:rPr>
              <w:t>-Н.д.Шахов С.В. (Реєстр.картка №114)</w:t>
            </w:r>
          </w:p>
          <w:p w14:paraId="5395FD89" w14:textId="77777777" w:rsidR="001A75A4" w:rsidRPr="00286216" w:rsidRDefault="001A75A4" w:rsidP="001A75A4">
            <w:pPr>
              <w:pStyle w:val="StyleProp"/>
              <w:spacing w:line="180" w:lineRule="exact"/>
              <w:rPr>
                <w:color w:val="000000" w:themeColor="text1"/>
                <w:spacing w:val="-4"/>
                <w:szCs w:val="18"/>
                <w:lang w:eastAsia="uk-UA"/>
              </w:rPr>
            </w:pPr>
            <w:r w:rsidRPr="00286216">
              <w:rPr>
                <w:color w:val="000000" w:themeColor="text1"/>
                <w:spacing w:val="-2"/>
                <w:szCs w:val="18"/>
                <w:lang w:eastAsia="uk-UA"/>
              </w:rPr>
              <w:t xml:space="preserve">У п. 4 ч. 5 ст. 9 слова "зокрема нормативно-правовими актами Національної комісії з </w:t>
            </w:r>
            <w:r w:rsidRPr="00286216">
              <w:rPr>
                <w:color w:val="000000" w:themeColor="text1"/>
                <w:spacing w:val="-5"/>
                <w:szCs w:val="18"/>
                <w:lang w:eastAsia="uk-UA"/>
              </w:rPr>
              <w:t>цінних паперів та фондового ринку" виключити.</w:t>
            </w:r>
          </w:p>
        </w:tc>
        <w:tc>
          <w:tcPr>
            <w:tcW w:w="1987" w:type="dxa"/>
          </w:tcPr>
          <w:p w14:paraId="3C2C4BCF"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0A651247" w14:textId="17129FF7" w:rsidR="001A75A4" w:rsidRPr="00286216" w:rsidRDefault="001A75A4" w:rsidP="001A75A4">
            <w:pPr>
              <w:pStyle w:val="StyleZakonu"/>
              <w:rPr>
                <w:color w:val="000000" w:themeColor="text1"/>
              </w:rPr>
            </w:pPr>
            <w:r w:rsidRPr="00286216">
              <w:rPr>
                <w:color w:val="000000" w:themeColor="text1"/>
              </w:rPr>
              <w:t>4) інші положення на розсуд товарної біржі та/або які вимагаються законодавством.</w:t>
            </w:r>
          </w:p>
        </w:tc>
      </w:tr>
      <w:tr w:rsidR="001A75A4" w:rsidRPr="00286216" w14:paraId="6DC29458" w14:textId="77777777" w:rsidTr="00091AA5">
        <w:tc>
          <w:tcPr>
            <w:tcW w:w="576" w:type="dxa"/>
          </w:tcPr>
          <w:p w14:paraId="20AD93E5" w14:textId="77777777" w:rsidR="001A75A4" w:rsidRPr="00286216" w:rsidRDefault="001A75A4" w:rsidP="001A75A4">
            <w:pPr>
              <w:pStyle w:val="StyleWisnow"/>
              <w:rPr>
                <w:color w:val="000000" w:themeColor="text1"/>
              </w:rPr>
            </w:pPr>
            <w:bookmarkStart w:id="2273" w:name="n2465" w:colFirst="0" w:colLast="0"/>
            <w:bookmarkEnd w:id="2272"/>
            <w:r w:rsidRPr="00286216">
              <w:rPr>
                <w:color w:val="000000" w:themeColor="text1"/>
              </w:rPr>
              <w:t>2465.</w:t>
            </w:r>
          </w:p>
        </w:tc>
        <w:tc>
          <w:tcPr>
            <w:tcW w:w="4818" w:type="dxa"/>
          </w:tcPr>
          <w:p w14:paraId="3E0F71F6" w14:textId="77777777" w:rsidR="001A75A4" w:rsidRPr="00286216" w:rsidRDefault="001A75A4" w:rsidP="001A75A4">
            <w:pPr>
              <w:pStyle w:val="StyleZakonu"/>
              <w:rPr>
                <w:color w:val="000000" w:themeColor="text1"/>
              </w:rPr>
            </w:pPr>
            <w:r w:rsidRPr="00286216">
              <w:rPr>
                <w:color w:val="000000" w:themeColor="text1"/>
              </w:rPr>
              <w:t>6. Правила товарної біржі можуть складатись з одного чи декількох документів та мати назви, відмінні від зазначених в переліку передбаченому у частинах 4 та 5 цієї статті. Інші внутрішні документи товарної біржі не підлягають реєстрації Національною комісією з цінних паперів та фондового ринку.</w:t>
            </w:r>
          </w:p>
        </w:tc>
        <w:tc>
          <w:tcPr>
            <w:tcW w:w="3686" w:type="dxa"/>
          </w:tcPr>
          <w:p w14:paraId="7193C5ED" w14:textId="70782E2B"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1180</w:t>
            </w:r>
            <w:r w:rsidRPr="00286216">
              <w:rPr>
                <w:color w:val="000000" w:themeColor="text1"/>
                <w:spacing w:val="-2"/>
              </w:rPr>
              <w:fldChar w:fldCharType="end"/>
            </w:r>
            <w:r w:rsidRPr="00286216">
              <w:rPr>
                <w:color w:val="000000" w:themeColor="text1"/>
                <w:spacing w:val="-2"/>
              </w:rPr>
              <w:t>-Н.д.Шахов С.В. (Реєстр.картка №114)</w:t>
            </w:r>
          </w:p>
          <w:p w14:paraId="4D1D13F3" w14:textId="77777777" w:rsidR="001A75A4" w:rsidRPr="00286216" w:rsidRDefault="001A75A4" w:rsidP="001A75A4">
            <w:pPr>
              <w:pStyle w:val="StyleProp"/>
              <w:spacing w:line="180" w:lineRule="exact"/>
              <w:rPr>
                <w:color w:val="000000" w:themeColor="text1"/>
                <w:spacing w:val="-4"/>
                <w:szCs w:val="18"/>
                <w:lang w:eastAsia="uk-UA"/>
              </w:rPr>
            </w:pPr>
            <w:r w:rsidRPr="00286216">
              <w:rPr>
                <w:color w:val="000000" w:themeColor="text1"/>
                <w:szCs w:val="18"/>
                <w:lang w:eastAsia="uk-UA"/>
              </w:rPr>
              <w:t>У ч. 5 ст. 9 слова "Національною комісією з цінних паперів та фондового ринку" виключити</w:t>
            </w:r>
            <w:r w:rsidRPr="00286216">
              <w:rPr>
                <w:color w:val="000000" w:themeColor="text1"/>
                <w:spacing w:val="-5"/>
                <w:szCs w:val="18"/>
                <w:lang w:eastAsia="uk-UA"/>
              </w:rPr>
              <w:t>.</w:t>
            </w:r>
          </w:p>
        </w:tc>
        <w:tc>
          <w:tcPr>
            <w:tcW w:w="1987" w:type="dxa"/>
          </w:tcPr>
          <w:p w14:paraId="6F933F0B"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5EC84CF6" w14:textId="77777777" w:rsidR="001A75A4" w:rsidRPr="00286216" w:rsidRDefault="001A75A4" w:rsidP="001A75A4">
            <w:pPr>
              <w:pStyle w:val="StyleZakonu"/>
              <w:rPr>
                <w:color w:val="000000" w:themeColor="text1"/>
              </w:rPr>
            </w:pPr>
            <w:r w:rsidRPr="00286216">
              <w:rPr>
                <w:color w:val="000000" w:themeColor="text1"/>
              </w:rPr>
              <w:t>6. Правила товарної біржі можуть складатися з одного чи декількох документів та мати назви, відмінні від зазначених у переліку передбаченому у частинах четвертій і п</w:t>
            </w:r>
            <w:r w:rsidRPr="00286216">
              <w:rPr>
                <w:color w:val="000000" w:themeColor="text1"/>
                <w:shd w:val="clear" w:color="auto" w:fill="FFFFFF"/>
              </w:rPr>
              <w:t>'</w:t>
            </w:r>
            <w:r w:rsidRPr="00286216">
              <w:rPr>
                <w:color w:val="000000" w:themeColor="text1"/>
              </w:rPr>
              <w:t xml:space="preserve">ятій цієї статті. </w:t>
            </w:r>
          </w:p>
          <w:p w14:paraId="7EE68D2B" w14:textId="453D71B4" w:rsidR="001A75A4" w:rsidRPr="00286216" w:rsidRDefault="001A75A4" w:rsidP="001A75A4">
            <w:pPr>
              <w:pStyle w:val="StyleZakonu"/>
              <w:rPr>
                <w:color w:val="000000" w:themeColor="text1"/>
              </w:rPr>
            </w:pPr>
            <w:r w:rsidRPr="00286216">
              <w:rPr>
                <w:color w:val="000000" w:themeColor="text1"/>
              </w:rPr>
              <w:t>Інші внутрішні документи товарної біржі не підлягають реєстрації.</w:t>
            </w:r>
          </w:p>
        </w:tc>
      </w:tr>
      <w:tr w:rsidR="001A75A4" w:rsidRPr="00286216" w14:paraId="29C2F9E1" w14:textId="77777777" w:rsidTr="00091AA5">
        <w:tc>
          <w:tcPr>
            <w:tcW w:w="576" w:type="dxa"/>
          </w:tcPr>
          <w:p w14:paraId="5CC1D932" w14:textId="77777777" w:rsidR="001A75A4" w:rsidRPr="00286216" w:rsidRDefault="001A75A4" w:rsidP="001A75A4">
            <w:pPr>
              <w:pStyle w:val="StyleWisnow"/>
              <w:rPr>
                <w:color w:val="000000" w:themeColor="text1"/>
              </w:rPr>
            </w:pPr>
            <w:bookmarkStart w:id="2274" w:name="n2466" w:colFirst="0" w:colLast="0"/>
            <w:bookmarkEnd w:id="2273"/>
            <w:r w:rsidRPr="00286216">
              <w:rPr>
                <w:color w:val="000000" w:themeColor="text1"/>
              </w:rPr>
              <w:t>2466.</w:t>
            </w:r>
          </w:p>
        </w:tc>
        <w:tc>
          <w:tcPr>
            <w:tcW w:w="4818" w:type="dxa"/>
          </w:tcPr>
          <w:p w14:paraId="13B63C4B" w14:textId="77777777" w:rsidR="001A75A4" w:rsidRPr="00286216" w:rsidRDefault="001A75A4" w:rsidP="001A75A4">
            <w:pPr>
              <w:pStyle w:val="StyleZakonu"/>
              <w:rPr>
                <w:color w:val="000000" w:themeColor="text1"/>
                <w:lang w:eastAsia="uk-UA"/>
              </w:rPr>
            </w:pPr>
            <w:r w:rsidRPr="00286216">
              <w:rPr>
                <w:color w:val="000000" w:themeColor="text1"/>
                <w:lang w:eastAsia="uk-UA"/>
              </w:rPr>
              <w:t>7. Національна комісія з цінних паперів та фондового ринку здійснює контроль за діяльністю товарних бірж, зокрема перевірки дотримання ними їх правил.</w:t>
            </w:r>
          </w:p>
        </w:tc>
        <w:tc>
          <w:tcPr>
            <w:tcW w:w="3686" w:type="dxa"/>
          </w:tcPr>
          <w:p w14:paraId="5133B6A7" w14:textId="2B1300E8"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1181</w:t>
            </w:r>
            <w:r w:rsidRPr="00286216">
              <w:rPr>
                <w:color w:val="000000" w:themeColor="text1"/>
                <w:spacing w:val="-2"/>
              </w:rPr>
              <w:fldChar w:fldCharType="end"/>
            </w:r>
            <w:r w:rsidRPr="00286216">
              <w:rPr>
                <w:color w:val="000000" w:themeColor="text1"/>
                <w:spacing w:val="-2"/>
              </w:rPr>
              <w:t>-Н.д.Шахов С.В. (Реєстр.картка №114)</w:t>
            </w:r>
          </w:p>
          <w:p w14:paraId="47F3015B" w14:textId="77777777" w:rsidR="001A75A4" w:rsidRPr="00286216" w:rsidRDefault="001A75A4" w:rsidP="001A75A4">
            <w:pPr>
              <w:pStyle w:val="StyleProp"/>
              <w:spacing w:line="180" w:lineRule="exact"/>
              <w:rPr>
                <w:color w:val="000000" w:themeColor="text1"/>
                <w:spacing w:val="-2"/>
                <w:szCs w:val="18"/>
                <w:lang w:eastAsia="uk-UA"/>
              </w:rPr>
            </w:pPr>
            <w:r w:rsidRPr="00286216">
              <w:rPr>
                <w:color w:val="000000" w:themeColor="text1"/>
                <w:spacing w:val="-2"/>
                <w:szCs w:val="18"/>
                <w:lang w:eastAsia="uk-UA"/>
              </w:rPr>
              <w:t>Частину 7 ст. 9 викласти у такій редакції:</w:t>
            </w:r>
          </w:p>
          <w:p w14:paraId="5087CDFC"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"7. Регулятор відповідного ринку здійснює контроль за діяльністю товарних бірж, зокрема перевірки дотримання ними їх правил, у випадках і в межах, встановлених законодавством".</w:t>
            </w:r>
          </w:p>
        </w:tc>
        <w:tc>
          <w:tcPr>
            <w:tcW w:w="1987" w:type="dxa"/>
          </w:tcPr>
          <w:p w14:paraId="4864FF02"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6F3BABD7" w14:textId="5867AF19" w:rsidR="001A75A4" w:rsidRPr="00286216" w:rsidRDefault="001A75A4" w:rsidP="001A75A4">
            <w:pPr>
              <w:pStyle w:val="StyleWisnow"/>
              <w:rPr>
                <w:color w:val="000000" w:themeColor="text1"/>
                <w:lang w:eastAsia="uk-UA"/>
              </w:rPr>
            </w:pPr>
            <w:r w:rsidRPr="00286216">
              <w:rPr>
                <w:color w:val="000000" w:themeColor="text1"/>
              </w:rPr>
              <w:t>регулятор – НКЦПФР</w:t>
            </w:r>
            <w:r w:rsidRPr="00286216" w:rsidDel="002B013D">
              <w:rPr>
                <w:color w:val="000000" w:themeColor="text1"/>
              </w:rPr>
              <w:t xml:space="preserve"> </w:t>
            </w:r>
          </w:p>
        </w:tc>
        <w:tc>
          <w:tcPr>
            <w:tcW w:w="4818" w:type="dxa"/>
          </w:tcPr>
          <w:p w14:paraId="5F3C5CDA" w14:textId="68E65BFC" w:rsidR="001A75A4" w:rsidRPr="00286216" w:rsidRDefault="001A75A4" w:rsidP="001A75A4">
            <w:pPr>
              <w:pStyle w:val="StyleZakonu"/>
              <w:rPr>
                <w:color w:val="000000" w:themeColor="text1"/>
                <w:lang w:eastAsia="uk-UA"/>
              </w:rPr>
            </w:pPr>
            <w:r w:rsidRPr="00286216">
              <w:rPr>
                <w:color w:val="000000" w:themeColor="text1"/>
                <w:lang w:eastAsia="uk-UA"/>
              </w:rPr>
              <w:t>7. Національна комісія з цінних паперів та фондового ринку здійснює контроль за діяльністю товарних бірж, зокрема перевірку дотримання правил товарної біржі.</w:t>
            </w:r>
          </w:p>
        </w:tc>
      </w:tr>
      <w:tr w:rsidR="001A75A4" w:rsidRPr="00286216" w14:paraId="44F1745A" w14:textId="77777777" w:rsidTr="00091AA5">
        <w:tc>
          <w:tcPr>
            <w:tcW w:w="576" w:type="dxa"/>
          </w:tcPr>
          <w:p w14:paraId="37F8E8AF" w14:textId="77777777" w:rsidR="001A75A4" w:rsidRPr="00286216" w:rsidRDefault="001A75A4" w:rsidP="001A75A4">
            <w:pPr>
              <w:pStyle w:val="StyleWisnow"/>
              <w:rPr>
                <w:color w:val="000000" w:themeColor="text1"/>
              </w:rPr>
            </w:pPr>
            <w:bookmarkStart w:id="2275" w:name="n2467" w:colFirst="0" w:colLast="0"/>
            <w:bookmarkEnd w:id="2274"/>
            <w:r w:rsidRPr="00286216">
              <w:rPr>
                <w:color w:val="000000" w:themeColor="text1"/>
              </w:rPr>
              <w:t>2467.</w:t>
            </w:r>
          </w:p>
        </w:tc>
        <w:tc>
          <w:tcPr>
            <w:tcW w:w="4818" w:type="dxa"/>
          </w:tcPr>
          <w:p w14:paraId="63034109"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10. </w:t>
            </w:r>
            <w:r w:rsidRPr="00286216">
              <w:rPr>
                <w:color w:val="000000" w:themeColor="text1"/>
                <w:shd w:val="clear" w:color="auto" w:fill="FFFFFF"/>
              </w:rPr>
              <w:t>Права товарної біржі</w:t>
            </w:r>
          </w:p>
        </w:tc>
        <w:tc>
          <w:tcPr>
            <w:tcW w:w="3686" w:type="dxa"/>
          </w:tcPr>
          <w:p w14:paraId="0EE2F0B5" w14:textId="77777777" w:rsidR="001A75A4" w:rsidRPr="00286216" w:rsidRDefault="001A75A4" w:rsidP="001A75A4">
            <w:pPr>
              <w:pStyle w:val="StyleProp"/>
              <w:rPr>
                <w:color w:val="000000" w:themeColor="text1"/>
                <w:szCs w:val="18"/>
              </w:rPr>
            </w:pPr>
          </w:p>
        </w:tc>
        <w:tc>
          <w:tcPr>
            <w:tcW w:w="1987" w:type="dxa"/>
          </w:tcPr>
          <w:p w14:paraId="3338FB97" w14:textId="77777777" w:rsidR="001A75A4" w:rsidRPr="00286216" w:rsidRDefault="001A75A4" w:rsidP="001A75A4">
            <w:pPr>
              <w:pStyle w:val="StyleWisnow"/>
              <w:rPr>
                <w:color w:val="000000" w:themeColor="text1"/>
              </w:rPr>
            </w:pPr>
          </w:p>
        </w:tc>
        <w:tc>
          <w:tcPr>
            <w:tcW w:w="4818" w:type="dxa"/>
          </w:tcPr>
          <w:p w14:paraId="2C188D4C" w14:textId="56B5F726"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10. </w:t>
            </w:r>
            <w:r w:rsidRPr="00286216">
              <w:rPr>
                <w:color w:val="000000" w:themeColor="text1"/>
                <w:shd w:val="clear" w:color="auto" w:fill="FFFFFF"/>
              </w:rPr>
              <w:t>Права товарної біржі</w:t>
            </w:r>
          </w:p>
        </w:tc>
      </w:tr>
      <w:tr w:rsidR="001A75A4" w:rsidRPr="00286216" w14:paraId="526B555A" w14:textId="77777777" w:rsidTr="00091AA5">
        <w:tc>
          <w:tcPr>
            <w:tcW w:w="576" w:type="dxa"/>
          </w:tcPr>
          <w:p w14:paraId="7E096F11" w14:textId="77777777" w:rsidR="001A75A4" w:rsidRPr="00286216" w:rsidRDefault="001A75A4" w:rsidP="001A75A4">
            <w:pPr>
              <w:pStyle w:val="StyleWisnow"/>
              <w:rPr>
                <w:color w:val="000000" w:themeColor="text1"/>
              </w:rPr>
            </w:pPr>
            <w:bookmarkStart w:id="2276" w:name="n2468" w:colFirst="0" w:colLast="0"/>
            <w:bookmarkEnd w:id="2275"/>
            <w:r w:rsidRPr="00286216">
              <w:rPr>
                <w:color w:val="000000" w:themeColor="text1"/>
              </w:rPr>
              <w:t>2468.</w:t>
            </w:r>
          </w:p>
        </w:tc>
        <w:tc>
          <w:tcPr>
            <w:tcW w:w="4818" w:type="dxa"/>
          </w:tcPr>
          <w:p w14:paraId="4AF6DF3A" w14:textId="77777777" w:rsidR="001A75A4" w:rsidRPr="00286216" w:rsidRDefault="001A75A4" w:rsidP="001A75A4">
            <w:pPr>
              <w:pStyle w:val="StyleZakonu"/>
              <w:rPr>
                <w:color w:val="000000" w:themeColor="text1"/>
              </w:rPr>
            </w:pPr>
            <w:r w:rsidRPr="00286216">
              <w:rPr>
                <w:color w:val="000000" w:themeColor="text1"/>
              </w:rPr>
              <w:t>1. Товарна біржа, зокрема, має право:</w:t>
            </w:r>
          </w:p>
        </w:tc>
        <w:tc>
          <w:tcPr>
            <w:tcW w:w="3686" w:type="dxa"/>
          </w:tcPr>
          <w:p w14:paraId="7BDE9E3E" w14:textId="77777777" w:rsidR="001A75A4" w:rsidRPr="00286216" w:rsidRDefault="001A75A4" w:rsidP="001A75A4">
            <w:pPr>
              <w:pStyle w:val="StyleProp"/>
              <w:rPr>
                <w:color w:val="000000" w:themeColor="text1"/>
                <w:szCs w:val="18"/>
              </w:rPr>
            </w:pPr>
          </w:p>
        </w:tc>
        <w:tc>
          <w:tcPr>
            <w:tcW w:w="1987" w:type="dxa"/>
          </w:tcPr>
          <w:p w14:paraId="26699920" w14:textId="77777777" w:rsidR="001A75A4" w:rsidRPr="00286216" w:rsidRDefault="001A75A4" w:rsidP="001A75A4">
            <w:pPr>
              <w:pStyle w:val="StyleWisnow"/>
              <w:rPr>
                <w:color w:val="000000" w:themeColor="text1"/>
              </w:rPr>
            </w:pPr>
          </w:p>
        </w:tc>
        <w:tc>
          <w:tcPr>
            <w:tcW w:w="4818" w:type="dxa"/>
          </w:tcPr>
          <w:p w14:paraId="3C2429FB" w14:textId="66F1B749" w:rsidR="001A75A4" w:rsidRPr="00286216" w:rsidRDefault="001A75A4" w:rsidP="001A75A4">
            <w:pPr>
              <w:pStyle w:val="StyleZakonu"/>
              <w:rPr>
                <w:color w:val="000000" w:themeColor="text1"/>
              </w:rPr>
            </w:pPr>
            <w:r w:rsidRPr="00286216">
              <w:rPr>
                <w:color w:val="000000" w:themeColor="text1"/>
              </w:rPr>
              <w:t>1. Товарна біржа зокрема має право:</w:t>
            </w:r>
          </w:p>
        </w:tc>
      </w:tr>
      <w:tr w:rsidR="001A75A4" w:rsidRPr="00286216" w14:paraId="3FFB1716" w14:textId="77777777" w:rsidTr="00091AA5">
        <w:tc>
          <w:tcPr>
            <w:tcW w:w="576" w:type="dxa"/>
          </w:tcPr>
          <w:p w14:paraId="7AB64F5C" w14:textId="77777777" w:rsidR="001A75A4" w:rsidRPr="00286216" w:rsidRDefault="001A75A4" w:rsidP="001A75A4">
            <w:pPr>
              <w:pStyle w:val="StyleWisnow"/>
              <w:rPr>
                <w:color w:val="000000" w:themeColor="text1"/>
              </w:rPr>
            </w:pPr>
            <w:bookmarkStart w:id="2277" w:name="n2469" w:colFirst="0" w:colLast="0"/>
            <w:bookmarkEnd w:id="2276"/>
            <w:r w:rsidRPr="00286216">
              <w:rPr>
                <w:color w:val="000000" w:themeColor="text1"/>
              </w:rPr>
              <w:t>2469.</w:t>
            </w:r>
          </w:p>
        </w:tc>
        <w:tc>
          <w:tcPr>
            <w:tcW w:w="4818" w:type="dxa"/>
          </w:tcPr>
          <w:p w14:paraId="3F0F6B51" w14:textId="77777777" w:rsidR="001A75A4" w:rsidRPr="00286216" w:rsidRDefault="001A75A4" w:rsidP="001A75A4">
            <w:pPr>
              <w:pStyle w:val="StyleZakonu"/>
              <w:rPr>
                <w:color w:val="000000" w:themeColor="text1"/>
              </w:rPr>
            </w:pPr>
            <w:r w:rsidRPr="00286216">
              <w:rPr>
                <w:color w:val="000000" w:themeColor="text1"/>
              </w:rPr>
              <w:t>1) розробляти та затверджувати правила товарної біржі відповідно до цього Закону;</w:t>
            </w:r>
          </w:p>
        </w:tc>
        <w:tc>
          <w:tcPr>
            <w:tcW w:w="3686" w:type="dxa"/>
          </w:tcPr>
          <w:p w14:paraId="4D94D5AC" w14:textId="77777777" w:rsidR="001A75A4" w:rsidRPr="00286216" w:rsidRDefault="001A75A4" w:rsidP="001A75A4">
            <w:pPr>
              <w:pStyle w:val="StyleProp"/>
              <w:rPr>
                <w:color w:val="000000" w:themeColor="text1"/>
                <w:szCs w:val="18"/>
              </w:rPr>
            </w:pPr>
          </w:p>
        </w:tc>
        <w:tc>
          <w:tcPr>
            <w:tcW w:w="1987" w:type="dxa"/>
          </w:tcPr>
          <w:p w14:paraId="61D5F9C1" w14:textId="77777777" w:rsidR="001A75A4" w:rsidRPr="00286216" w:rsidRDefault="001A75A4" w:rsidP="001A75A4">
            <w:pPr>
              <w:pStyle w:val="StyleWisnow"/>
              <w:rPr>
                <w:color w:val="000000" w:themeColor="text1"/>
              </w:rPr>
            </w:pPr>
          </w:p>
        </w:tc>
        <w:tc>
          <w:tcPr>
            <w:tcW w:w="4818" w:type="dxa"/>
          </w:tcPr>
          <w:p w14:paraId="68DB4BE2" w14:textId="4BEF2879" w:rsidR="001A75A4" w:rsidRPr="00286216" w:rsidRDefault="001A75A4" w:rsidP="001A75A4">
            <w:pPr>
              <w:pStyle w:val="StyleZakonu"/>
              <w:rPr>
                <w:color w:val="000000" w:themeColor="text1"/>
              </w:rPr>
            </w:pPr>
            <w:r w:rsidRPr="00286216">
              <w:rPr>
                <w:color w:val="000000" w:themeColor="text1"/>
              </w:rPr>
              <w:t>1) розробляти та затверджувати правила товарної біржі відповідно до цього Закону;</w:t>
            </w:r>
          </w:p>
        </w:tc>
      </w:tr>
      <w:tr w:rsidR="001A75A4" w:rsidRPr="00286216" w14:paraId="6CF40F0B" w14:textId="77777777" w:rsidTr="00091AA5">
        <w:tc>
          <w:tcPr>
            <w:tcW w:w="576" w:type="dxa"/>
          </w:tcPr>
          <w:p w14:paraId="1EB175BF" w14:textId="77777777" w:rsidR="001A75A4" w:rsidRPr="00286216" w:rsidRDefault="001A75A4" w:rsidP="001A75A4">
            <w:pPr>
              <w:pStyle w:val="StyleWisnow"/>
              <w:rPr>
                <w:color w:val="000000" w:themeColor="text1"/>
              </w:rPr>
            </w:pPr>
            <w:bookmarkStart w:id="2278" w:name="n2470" w:colFirst="0" w:colLast="0"/>
            <w:bookmarkEnd w:id="2277"/>
            <w:r w:rsidRPr="00286216">
              <w:rPr>
                <w:color w:val="000000" w:themeColor="text1"/>
              </w:rPr>
              <w:t>2470.</w:t>
            </w:r>
          </w:p>
        </w:tc>
        <w:tc>
          <w:tcPr>
            <w:tcW w:w="4818" w:type="dxa"/>
          </w:tcPr>
          <w:p w14:paraId="18FED032" w14:textId="77777777" w:rsidR="001A75A4" w:rsidRPr="00286216" w:rsidRDefault="001A75A4" w:rsidP="001A75A4">
            <w:pPr>
              <w:pStyle w:val="StyleZakonu"/>
              <w:rPr>
                <w:color w:val="000000" w:themeColor="text1"/>
              </w:rPr>
            </w:pPr>
            <w:r w:rsidRPr="00286216">
              <w:rPr>
                <w:color w:val="000000" w:themeColor="text1"/>
              </w:rPr>
              <w:t>2) утворювати підрозділи (у тому числі відокремлені), комітети, комісії, біржові секції тощо та затверджувати положення про них;</w:t>
            </w:r>
          </w:p>
        </w:tc>
        <w:tc>
          <w:tcPr>
            <w:tcW w:w="3686" w:type="dxa"/>
          </w:tcPr>
          <w:p w14:paraId="0285BD4C" w14:textId="77777777" w:rsidR="001A75A4" w:rsidRPr="00286216" w:rsidRDefault="001A75A4" w:rsidP="001A75A4">
            <w:pPr>
              <w:pStyle w:val="StyleProp"/>
              <w:rPr>
                <w:color w:val="000000" w:themeColor="text1"/>
                <w:szCs w:val="18"/>
              </w:rPr>
            </w:pPr>
          </w:p>
        </w:tc>
        <w:tc>
          <w:tcPr>
            <w:tcW w:w="1987" w:type="dxa"/>
          </w:tcPr>
          <w:p w14:paraId="5FBBC9C0" w14:textId="77777777" w:rsidR="001A75A4" w:rsidRPr="00286216" w:rsidRDefault="001A75A4" w:rsidP="001A75A4">
            <w:pPr>
              <w:pStyle w:val="StyleWisnow"/>
              <w:rPr>
                <w:color w:val="000000" w:themeColor="text1"/>
              </w:rPr>
            </w:pPr>
          </w:p>
        </w:tc>
        <w:tc>
          <w:tcPr>
            <w:tcW w:w="4818" w:type="dxa"/>
          </w:tcPr>
          <w:p w14:paraId="4237ACFC" w14:textId="15E03C14" w:rsidR="001A75A4" w:rsidRPr="00286216" w:rsidRDefault="001A75A4" w:rsidP="001A75A4">
            <w:pPr>
              <w:pStyle w:val="StyleZakonu"/>
              <w:rPr>
                <w:color w:val="000000" w:themeColor="text1"/>
              </w:rPr>
            </w:pPr>
            <w:r w:rsidRPr="00286216">
              <w:rPr>
                <w:color w:val="000000" w:themeColor="text1"/>
              </w:rPr>
              <w:t>2) утворювати підрозділи (у тому числі відокремлені), комітети, комісії, біржові секції тощо та затверджувати положення про них;</w:t>
            </w:r>
          </w:p>
        </w:tc>
      </w:tr>
      <w:tr w:rsidR="001A75A4" w:rsidRPr="00286216" w14:paraId="5F8C3D78" w14:textId="77777777" w:rsidTr="00091AA5">
        <w:tc>
          <w:tcPr>
            <w:tcW w:w="576" w:type="dxa"/>
          </w:tcPr>
          <w:p w14:paraId="69F20E7B" w14:textId="77777777" w:rsidR="001A75A4" w:rsidRPr="00286216" w:rsidRDefault="001A75A4" w:rsidP="001A75A4">
            <w:pPr>
              <w:pStyle w:val="StyleWisnow"/>
              <w:rPr>
                <w:color w:val="000000" w:themeColor="text1"/>
              </w:rPr>
            </w:pPr>
            <w:bookmarkStart w:id="2279" w:name="n2471" w:colFirst="0" w:colLast="0"/>
            <w:bookmarkEnd w:id="2278"/>
            <w:r w:rsidRPr="00286216">
              <w:rPr>
                <w:color w:val="000000" w:themeColor="text1"/>
              </w:rPr>
              <w:t>2471.</w:t>
            </w:r>
          </w:p>
        </w:tc>
        <w:tc>
          <w:tcPr>
            <w:tcW w:w="4818" w:type="dxa"/>
          </w:tcPr>
          <w:p w14:paraId="06227DB2" w14:textId="77777777" w:rsidR="001A75A4" w:rsidRPr="00286216" w:rsidRDefault="001A75A4" w:rsidP="001A75A4">
            <w:pPr>
              <w:pStyle w:val="StyleZakonu"/>
              <w:rPr>
                <w:color w:val="000000" w:themeColor="text1"/>
              </w:rPr>
            </w:pPr>
            <w:r w:rsidRPr="00286216">
              <w:rPr>
                <w:color w:val="000000" w:themeColor="text1"/>
              </w:rPr>
              <w:t xml:space="preserve">3) розробляти стандартні (типові) умови біржових угод (договорів) відповідно до вимог, встановлених </w:t>
            </w:r>
            <w:r w:rsidRPr="00286216">
              <w:rPr>
                <w:color w:val="000000" w:themeColor="text1"/>
              </w:rPr>
              <w:lastRenderedPageBreak/>
              <w:t>цим Законом;</w:t>
            </w:r>
          </w:p>
        </w:tc>
        <w:tc>
          <w:tcPr>
            <w:tcW w:w="3686" w:type="dxa"/>
          </w:tcPr>
          <w:p w14:paraId="743CD68D" w14:textId="77777777" w:rsidR="001A75A4" w:rsidRPr="00286216" w:rsidRDefault="001A75A4" w:rsidP="001A75A4">
            <w:pPr>
              <w:pStyle w:val="StyleProp"/>
              <w:rPr>
                <w:color w:val="000000" w:themeColor="text1"/>
                <w:szCs w:val="18"/>
              </w:rPr>
            </w:pPr>
          </w:p>
        </w:tc>
        <w:tc>
          <w:tcPr>
            <w:tcW w:w="1987" w:type="dxa"/>
          </w:tcPr>
          <w:p w14:paraId="5CFFC499" w14:textId="77777777" w:rsidR="001A75A4" w:rsidRPr="00286216" w:rsidRDefault="001A75A4" w:rsidP="001A75A4">
            <w:pPr>
              <w:pStyle w:val="StyleWisnow"/>
              <w:rPr>
                <w:color w:val="000000" w:themeColor="text1"/>
              </w:rPr>
            </w:pPr>
          </w:p>
        </w:tc>
        <w:tc>
          <w:tcPr>
            <w:tcW w:w="4818" w:type="dxa"/>
          </w:tcPr>
          <w:p w14:paraId="5B2618A4" w14:textId="42000C8F" w:rsidR="001A75A4" w:rsidRPr="00286216" w:rsidRDefault="001A75A4" w:rsidP="001A75A4">
            <w:pPr>
              <w:pStyle w:val="StyleZakonu"/>
              <w:rPr>
                <w:color w:val="000000" w:themeColor="text1"/>
              </w:rPr>
            </w:pPr>
            <w:r w:rsidRPr="00286216">
              <w:rPr>
                <w:color w:val="000000" w:themeColor="text1"/>
              </w:rPr>
              <w:t xml:space="preserve">3) розробляти стандартні (типові) умови біржових угод (договорів) відповідно до вимог, встановлених </w:t>
            </w:r>
            <w:r w:rsidRPr="00286216">
              <w:rPr>
                <w:color w:val="000000" w:themeColor="text1"/>
              </w:rPr>
              <w:lastRenderedPageBreak/>
              <w:t>цим Законом;</w:t>
            </w:r>
          </w:p>
        </w:tc>
      </w:tr>
      <w:tr w:rsidR="001A75A4" w:rsidRPr="00286216" w14:paraId="68859146" w14:textId="77777777" w:rsidTr="00091AA5">
        <w:tc>
          <w:tcPr>
            <w:tcW w:w="576" w:type="dxa"/>
          </w:tcPr>
          <w:p w14:paraId="221F0208" w14:textId="77777777" w:rsidR="001A75A4" w:rsidRPr="00286216" w:rsidRDefault="001A75A4" w:rsidP="001A75A4">
            <w:pPr>
              <w:pStyle w:val="StyleWisnow"/>
              <w:rPr>
                <w:color w:val="000000" w:themeColor="text1"/>
              </w:rPr>
            </w:pPr>
            <w:bookmarkStart w:id="2280" w:name="n2472" w:colFirst="0" w:colLast="0"/>
            <w:bookmarkEnd w:id="2279"/>
            <w:r w:rsidRPr="00286216">
              <w:rPr>
                <w:color w:val="000000" w:themeColor="text1"/>
              </w:rPr>
              <w:lastRenderedPageBreak/>
              <w:t>2472.</w:t>
            </w:r>
          </w:p>
        </w:tc>
        <w:tc>
          <w:tcPr>
            <w:tcW w:w="4818" w:type="dxa"/>
          </w:tcPr>
          <w:p w14:paraId="1A9DB3CB" w14:textId="77777777" w:rsidR="001A75A4" w:rsidRPr="00286216" w:rsidRDefault="001A75A4" w:rsidP="001A75A4">
            <w:pPr>
              <w:pStyle w:val="StyleZakonu"/>
              <w:rPr>
                <w:color w:val="000000" w:themeColor="text1"/>
              </w:rPr>
            </w:pPr>
            <w:r w:rsidRPr="00286216">
              <w:rPr>
                <w:color w:val="000000" w:themeColor="text1"/>
              </w:rPr>
              <w:t>4) призупиняти на деякий час або зупиняти біржові торги певним біржовим товаром, якщо ціни на такий біржовий товар протягом торгової сесії відхиляються більше, ніж на визначений правилами товарної біржі рівень;</w:t>
            </w:r>
          </w:p>
        </w:tc>
        <w:tc>
          <w:tcPr>
            <w:tcW w:w="3686" w:type="dxa"/>
          </w:tcPr>
          <w:p w14:paraId="2F071FC8" w14:textId="77777777" w:rsidR="001A75A4" w:rsidRPr="00286216" w:rsidRDefault="001A75A4" w:rsidP="001A75A4">
            <w:pPr>
              <w:pStyle w:val="StyleProp"/>
              <w:rPr>
                <w:color w:val="000000" w:themeColor="text1"/>
                <w:szCs w:val="18"/>
              </w:rPr>
            </w:pPr>
          </w:p>
        </w:tc>
        <w:tc>
          <w:tcPr>
            <w:tcW w:w="1987" w:type="dxa"/>
          </w:tcPr>
          <w:p w14:paraId="3F5AF580" w14:textId="77777777" w:rsidR="001A75A4" w:rsidRPr="00286216" w:rsidRDefault="001A75A4" w:rsidP="001A75A4">
            <w:pPr>
              <w:pStyle w:val="StyleWisnow"/>
              <w:rPr>
                <w:color w:val="000000" w:themeColor="text1"/>
              </w:rPr>
            </w:pPr>
          </w:p>
        </w:tc>
        <w:tc>
          <w:tcPr>
            <w:tcW w:w="4818" w:type="dxa"/>
          </w:tcPr>
          <w:p w14:paraId="1F891208" w14:textId="59792BCC" w:rsidR="001A75A4" w:rsidRPr="00286216" w:rsidRDefault="001A75A4" w:rsidP="001A75A4">
            <w:pPr>
              <w:pStyle w:val="StyleZakonu"/>
              <w:rPr>
                <w:color w:val="000000" w:themeColor="text1"/>
              </w:rPr>
            </w:pPr>
            <w:r w:rsidRPr="00286216">
              <w:rPr>
                <w:color w:val="000000" w:themeColor="text1"/>
              </w:rPr>
              <w:t>4) зупиняти на деякий час або припиняти біржові торги певним біржовим товаром, якщо ціни на такий біржовий товар протягом торгової сесії відхиляються більше, ніж на визначений правилами товарної біржі рівень;</w:t>
            </w:r>
          </w:p>
        </w:tc>
      </w:tr>
      <w:tr w:rsidR="001A75A4" w:rsidRPr="00286216" w14:paraId="3CCB505B" w14:textId="77777777" w:rsidTr="00091AA5">
        <w:tc>
          <w:tcPr>
            <w:tcW w:w="576" w:type="dxa"/>
          </w:tcPr>
          <w:p w14:paraId="6723187F" w14:textId="77777777" w:rsidR="001A75A4" w:rsidRPr="00286216" w:rsidRDefault="001A75A4" w:rsidP="001A75A4">
            <w:pPr>
              <w:pStyle w:val="StyleWisnow"/>
              <w:rPr>
                <w:color w:val="000000" w:themeColor="text1"/>
              </w:rPr>
            </w:pPr>
            <w:bookmarkStart w:id="2281" w:name="n2473" w:colFirst="0" w:colLast="0"/>
            <w:bookmarkEnd w:id="2280"/>
            <w:r w:rsidRPr="00286216">
              <w:rPr>
                <w:color w:val="000000" w:themeColor="text1"/>
              </w:rPr>
              <w:t>2473.</w:t>
            </w:r>
          </w:p>
        </w:tc>
        <w:tc>
          <w:tcPr>
            <w:tcW w:w="4818" w:type="dxa"/>
          </w:tcPr>
          <w:p w14:paraId="486FB9D2" w14:textId="77777777" w:rsidR="001A75A4" w:rsidRPr="00286216" w:rsidRDefault="001A75A4" w:rsidP="001A75A4">
            <w:pPr>
              <w:pStyle w:val="StyleZakonu"/>
              <w:rPr>
                <w:color w:val="000000" w:themeColor="text1"/>
              </w:rPr>
            </w:pPr>
            <w:r w:rsidRPr="00286216">
              <w:rPr>
                <w:color w:val="000000" w:themeColor="text1"/>
              </w:rPr>
              <w:t>5) установлювати та стягувати внески та плату за отримання учасниками торгів права здійснювати торгівлю на товарній біржі в якості члена біржі, за укладання та/або реєстрацію біржових угод (договорів) членами біржі та за надання інших послуг згідно з цим Законом та статутом та/або правилами товарною біржою;</w:t>
            </w:r>
          </w:p>
        </w:tc>
        <w:tc>
          <w:tcPr>
            <w:tcW w:w="3686" w:type="dxa"/>
          </w:tcPr>
          <w:p w14:paraId="01388688" w14:textId="61D769CF"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1182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08DCFB1"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Пункт 5 частини першої статті 10 викласти в такій редакції:</w:t>
            </w:r>
          </w:p>
          <w:p w14:paraId="0B65B3AA"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«5) установлювати та стягувати внески та плату за отримання членами біржі права здійснювати торгівлю на товарній біржі в якості учасника торгів, за укладання та/або реєстрацію біржових угод та за надання інших послуг згідно з цим Законом та статутом та/або правилами товарної біржі».</w:t>
            </w:r>
          </w:p>
        </w:tc>
        <w:tc>
          <w:tcPr>
            <w:tcW w:w="1987" w:type="dxa"/>
          </w:tcPr>
          <w:p w14:paraId="57AA313C"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372FB8A5" w14:textId="39BA2FE9" w:rsidR="001A75A4" w:rsidRPr="00286216" w:rsidRDefault="001A75A4" w:rsidP="001A75A4">
            <w:pPr>
              <w:pStyle w:val="StyleZakonu"/>
              <w:rPr>
                <w:color w:val="000000" w:themeColor="text1"/>
              </w:rPr>
            </w:pPr>
            <w:r w:rsidRPr="00286216">
              <w:rPr>
                <w:color w:val="000000" w:themeColor="text1"/>
                <w:szCs w:val="18"/>
              </w:rPr>
              <w:t>5) установлювати і стягувати внески та плату за отримання членами біржі права здійснювати торгівлю на товарній біржі в якості учасника торгів, за укладання та/або реєстрацію біржових угод (договорів) та за надання інших послуг згідно з цим Законом, статутом та/або правилами товарної біржі;</w:t>
            </w:r>
          </w:p>
        </w:tc>
      </w:tr>
      <w:tr w:rsidR="001A75A4" w:rsidRPr="00286216" w14:paraId="4A83361E" w14:textId="77777777" w:rsidTr="00091AA5">
        <w:tc>
          <w:tcPr>
            <w:tcW w:w="576" w:type="dxa"/>
          </w:tcPr>
          <w:p w14:paraId="5ED698A9" w14:textId="77777777" w:rsidR="001A75A4" w:rsidRPr="00286216" w:rsidRDefault="001A75A4" w:rsidP="001A75A4">
            <w:pPr>
              <w:pStyle w:val="StyleWisnow"/>
              <w:rPr>
                <w:color w:val="000000" w:themeColor="text1"/>
              </w:rPr>
            </w:pPr>
            <w:bookmarkStart w:id="2282" w:name="n2474" w:colFirst="0" w:colLast="0"/>
            <w:bookmarkEnd w:id="2281"/>
            <w:r w:rsidRPr="00286216">
              <w:rPr>
                <w:color w:val="000000" w:themeColor="text1"/>
              </w:rPr>
              <w:t>2474.</w:t>
            </w:r>
          </w:p>
        </w:tc>
        <w:tc>
          <w:tcPr>
            <w:tcW w:w="4818" w:type="dxa"/>
          </w:tcPr>
          <w:p w14:paraId="69AB70EC" w14:textId="77777777" w:rsidR="001A75A4" w:rsidRPr="00286216" w:rsidRDefault="001A75A4" w:rsidP="001A75A4">
            <w:pPr>
              <w:pStyle w:val="StyleZakonu"/>
              <w:rPr>
                <w:color w:val="000000" w:themeColor="text1"/>
              </w:rPr>
            </w:pPr>
            <w:r w:rsidRPr="00286216">
              <w:rPr>
                <w:color w:val="000000" w:themeColor="text1"/>
              </w:rPr>
              <w:t>6) установлювати і стягувати штрафи та застосовувати інші санкції за порушення правил товарної біржі.</w:t>
            </w:r>
          </w:p>
        </w:tc>
        <w:tc>
          <w:tcPr>
            <w:tcW w:w="3686" w:type="dxa"/>
          </w:tcPr>
          <w:p w14:paraId="7117EC4B" w14:textId="77777777" w:rsidR="001A75A4" w:rsidRPr="00286216" w:rsidRDefault="001A75A4" w:rsidP="001A75A4">
            <w:pPr>
              <w:pStyle w:val="StyleProp"/>
              <w:rPr>
                <w:color w:val="000000" w:themeColor="text1"/>
                <w:szCs w:val="18"/>
              </w:rPr>
            </w:pPr>
          </w:p>
        </w:tc>
        <w:tc>
          <w:tcPr>
            <w:tcW w:w="1987" w:type="dxa"/>
          </w:tcPr>
          <w:p w14:paraId="3DD0DBED" w14:textId="77777777" w:rsidR="001A75A4" w:rsidRPr="00286216" w:rsidRDefault="001A75A4" w:rsidP="001A75A4">
            <w:pPr>
              <w:pStyle w:val="StyleWisnow"/>
              <w:rPr>
                <w:color w:val="000000" w:themeColor="text1"/>
              </w:rPr>
            </w:pPr>
          </w:p>
        </w:tc>
        <w:tc>
          <w:tcPr>
            <w:tcW w:w="4818" w:type="dxa"/>
          </w:tcPr>
          <w:p w14:paraId="1091F57B" w14:textId="69FDD287" w:rsidR="001A75A4" w:rsidRPr="00286216" w:rsidRDefault="001A75A4" w:rsidP="001A75A4">
            <w:pPr>
              <w:pStyle w:val="StyleZakonu"/>
              <w:rPr>
                <w:color w:val="000000" w:themeColor="text1"/>
              </w:rPr>
            </w:pPr>
            <w:r w:rsidRPr="00286216">
              <w:rPr>
                <w:color w:val="000000" w:themeColor="text1"/>
              </w:rPr>
              <w:t>6) установлювати і стягувати штрафи та застосовувати інші санкції за порушення правил товарної біржі.</w:t>
            </w:r>
          </w:p>
        </w:tc>
      </w:tr>
      <w:tr w:rsidR="001A75A4" w:rsidRPr="00286216" w14:paraId="1301AE55" w14:textId="77777777" w:rsidTr="00091AA5">
        <w:tc>
          <w:tcPr>
            <w:tcW w:w="576" w:type="dxa"/>
          </w:tcPr>
          <w:p w14:paraId="26BFECD9" w14:textId="77777777" w:rsidR="001A75A4" w:rsidRPr="00286216" w:rsidRDefault="001A75A4" w:rsidP="001A75A4">
            <w:pPr>
              <w:pStyle w:val="StyleWisnow"/>
              <w:rPr>
                <w:color w:val="000000" w:themeColor="text1"/>
              </w:rPr>
            </w:pPr>
            <w:bookmarkStart w:id="2283" w:name="n2475" w:colFirst="0" w:colLast="0"/>
            <w:bookmarkEnd w:id="2282"/>
            <w:r w:rsidRPr="00286216">
              <w:rPr>
                <w:color w:val="000000" w:themeColor="text1"/>
              </w:rPr>
              <w:t>2475.</w:t>
            </w:r>
          </w:p>
        </w:tc>
        <w:tc>
          <w:tcPr>
            <w:tcW w:w="4818" w:type="dxa"/>
          </w:tcPr>
          <w:p w14:paraId="2BEE1368" w14:textId="77777777" w:rsidR="001A75A4" w:rsidRPr="00286216" w:rsidRDefault="001A75A4" w:rsidP="001A75A4">
            <w:pPr>
              <w:pStyle w:val="StyleZakonu"/>
              <w:rPr>
                <w:color w:val="000000" w:themeColor="text1"/>
                <w:shd w:val="clear" w:color="auto" w:fill="FFFFFF"/>
              </w:rPr>
            </w:pPr>
            <w:bookmarkStart w:id="2284" w:name="_Ref20335997"/>
            <w:r w:rsidRPr="00286216">
              <w:rPr>
                <w:color w:val="000000" w:themeColor="text1"/>
              </w:rPr>
              <w:t xml:space="preserve">Стаття 11. </w:t>
            </w:r>
            <w:r w:rsidRPr="00286216">
              <w:rPr>
                <w:color w:val="000000" w:themeColor="text1"/>
                <w:shd w:val="clear" w:color="auto" w:fill="FFFFFF"/>
              </w:rPr>
              <w:t>Обов'язки товарної біржі</w:t>
            </w:r>
            <w:bookmarkEnd w:id="2284"/>
          </w:p>
        </w:tc>
        <w:tc>
          <w:tcPr>
            <w:tcW w:w="3686" w:type="dxa"/>
          </w:tcPr>
          <w:p w14:paraId="676B36B3" w14:textId="77777777" w:rsidR="001A75A4" w:rsidRPr="00286216" w:rsidRDefault="001A75A4" w:rsidP="001A75A4">
            <w:pPr>
              <w:pStyle w:val="StyleProp"/>
              <w:rPr>
                <w:color w:val="000000" w:themeColor="text1"/>
                <w:szCs w:val="18"/>
              </w:rPr>
            </w:pPr>
          </w:p>
        </w:tc>
        <w:tc>
          <w:tcPr>
            <w:tcW w:w="1987" w:type="dxa"/>
          </w:tcPr>
          <w:p w14:paraId="171E5A87" w14:textId="77777777" w:rsidR="001A75A4" w:rsidRPr="00286216" w:rsidRDefault="001A75A4" w:rsidP="001A75A4">
            <w:pPr>
              <w:pStyle w:val="StyleWisnow"/>
              <w:rPr>
                <w:color w:val="000000" w:themeColor="text1"/>
              </w:rPr>
            </w:pPr>
          </w:p>
        </w:tc>
        <w:tc>
          <w:tcPr>
            <w:tcW w:w="4818" w:type="dxa"/>
          </w:tcPr>
          <w:p w14:paraId="0283BD4C" w14:textId="2EF996AA"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11. </w:t>
            </w:r>
            <w:r w:rsidRPr="00286216">
              <w:rPr>
                <w:color w:val="000000" w:themeColor="text1"/>
                <w:shd w:val="clear" w:color="auto" w:fill="FFFFFF"/>
              </w:rPr>
              <w:t>Зобов'язання товарної біржі</w:t>
            </w:r>
          </w:p>
        </w:tc>
      </w:tr>
      <w:tr w:rsidR="001A75A4" w:rsidRPr="00286216" w14:paraId="472B0C12" w14:textId="77777777" w:rsidTr="00091AA5">
        <w:tc>
          <w:tcPr>
            <w:tcW w:w="576" w:type="dxa"/>
          </w:tcPr>
          <w:p w14:paraId="42899C51" w14:textId="77777777" w:rsidR="001A75A4" w:rsidRPr="00286216" w:rsidRDefault="001A75A4" w:rsidP="001A75A4">
            <w:pPr>
              <w:pStyle w:val="StyleWisnow"/>
              <w:rPr>
                <w:color w:val="000000" w:themeColor="text1"/>
              </w:rPr>
            </w:pPr>
            <w:bookmarkStart w:id="2285" w:name="n2476" w:colFirst="0" w:colLast="0"/>
            <w:bookmarkEnd w:id="2283"/>
            <w:r w:rsidRPr="00286216">
              <w:rPr>
                <w:color w:val="000000" w:themeColor="text1"/>
              </w:rPr>
              <w:t>2476.</w:t>
            </w:r>
          </w:p>
        </w:tc>
        <w:tc>
          <w:tcPr>
            <w:tcW w:w="4818" w:type="dxa"/>
          </w:tcPr>
          <w:p w14:paraId="343EAB10" w14:textId="77777777" w:rsidR="001A75A4" w:rsidRPr="00286216" w:rsidRDefault="001A75A4" w:rsidP="001A75A4">
            <w:pPr>
              <w:pStyle w:val="StyleZakonu"/>
              <w:rPr>
                <w:color w:val="000000" w:themeColor="text1"/>
              </w:rPr>
            </w:pPr>
            <w:r w:rsidRPr="00286216">
              <w:rPr>
                <w:color w:val="000000" w:themeColor="text1"/>
              </w:rPr>
              <w:t>1. Товарна біржа зобов’язана:</w:t>
            </w:r>
          </w:p>
        </w:tc>
        <w:tc>
          <w:tcPr>
            <w:tcW w:w="3686" w:type="dxa"/>
          </w:tcPr>
          <w:p w14:paraId="63356445" w14:textId="77777777" w:rsidR="001A75A4" w:rsidRPr="00286216" w:rsidRDefault="001A75A4" w:rsidP="001A75A4">
            <w:pPr>
              <w:pStyle w:val="StyleProp"/>
              <w:rPr>
                <w:color w:val="000000" w:themeColor="text1"/>
                <w:szCs w:val="18"/>
              </w:rPr>
            </w:pPr>
          </w:p>
        </w:tc>
        <w:tc>
          <w:tcPr>
            <w:tcW w:w="1987" w:type="dxa"/>
          </w:tcPr>
          <w:p w14:paraId="125494A5" w14:textId="77777777" w:rsidR="001A75A4" w:rsidRPr="00286216" w:rsidRDefault="001A75A4" w:rsidP="001A75A4">
            <w:pPr>
              <w:pStyle w:val="StyleWisnow"/>
              <w:rPr>
                <w:color w:val="000000" w:themeColor="text1"/>
              </w:rPr>
            </w:pPr>
          </w:p>
        </w:tc>
        <w:tc>
          <w:tcPr>
            <w:tcW w:w="4818" w:type="dxa"/>
          </w:tcPr>
          <w:p w14:paraId="51D72ECB" w14:textId="359888F7" w:rsidR="001A75A4" w:rsidRPr="00286216" w:rsidRDefault="001A75A4" w:rsidP="001A75A4">
            <w:pPr>
              <w:pStyle w:val="StyleZakonu"/>
              <w:rPr>
                <w:color w:val="000000" w:themeColor="text1"/>
              </w:rPr>
            </w:pPr>
            <w:r w:rsidRPr="00286216">
              <w:rPr>
                <w:color w:val="000000" w:themeColor="text1"/>
              </w:rPr>
              <w:t>1. Товарна біржа зобов’язана:</w:t>
            </w:r>
          </w:p>
        </w:tc>
      </w:tr>
      <w:tr w:rsidR="001A75A4" w:rsidRPr="00286216" w14:paraId="0E329BE1" w14:textId="77777777" w:rsidTr="00091AA5">
        <w:tc>
          <w:tcPr>
            <w:tcW w:w="576" w:type="dxa"/>
          </w:tcPr>
          <w:p w14:paraId="597ADEB6" w14:textId="77777777" w:rsidR="001A75A4" w:rsidRPr="00286216" w:rsidRDefault="001A75A4" w:rsidP="001A75A4">
            <w:pPr>
              <w:pStyle w:val="StyleWisnow"/>
              <w:rPr>
                <w:color w:val="000000" w:themeColor="text1"/>
              </w:rPr>
            </w:pPr>
            <w:bookmarkStart w:id="2286" w:name="n2477" w:colFirst="0" w:colLast="0"/>
            <w:bookmarkEnd w:id="2285"/>
            <w:r w:rsidRPr="00286216">
              <w:rPr>
                <w:color w:val="000000" w:themeColor="text1"/>
              </w:rPr>
              <w:t>2477.</w:t>
            </w:r>
          </w:p>
        </w:tc>
        <w:tc>
          <w:tcPr>
            <w:tcW w:w="4818" w:type="dxa"/>
          </w:tcPr>
          <w:p w14:paraId="59BED398" w14:textId="77777777" w:rsidR="001A75A4" w:rsidRPr="00286216" w:rsidRDefault="001A75A4" w:rsidP="001A75A4">
            <w:pPr>
              <w:pStyle w:val="StyleZakonu"/>
              <w:rPr>
                <w:color w:val="000000" w:themeColor="text1"/>
              </w:rPr>
            </w:pPr>
            <w:r w:rsidRPr="00286216">
              <w:rPr>
                <w:color w:val="000000" w:themeColor="text1"/>
              </w:rPr>
              <w:t>1) забезпечувати організацію та проведення біржових торгів;</w:t>
            </w:r>
          </w:p>
        </w:tc>
        <w:tc>
          <w:tcPr>
            <w:tcW w:w="3686" w:type="dxa"/>
          </w:tcPr>
          <w:p w14:paraId="08C84224" w14:textId="77777777" w:rsidR="001A75A4" w:rsidRPr="00286216" w:rsidRDefault="001A75A4" w:rsidP="001A75A4">
            <w:pPr>
              <w:pStyle w:val="StyleProp"/>
              <w:rPr>
                <w:color w:val="000000" w:themeColor="text1"/>
                <w:szCs w:val="18"/>
              </w:rPr>
            </w:pPr>
          </w:p>
        </w:tc>
        <w:tc>
          <w:tcPr>
            <w:tcW w:w="1987" w:type="dxa"/>
          </w:tcPr>
          <w:p w14:paraId="059E2357" w14:textId="77777777" w:rsidR="001A75A4" w:rsidRPr="00286216" w:rsidRDefault="001A75A4" w:rsidP="001A75A4">
            <w:pPr>
              <w:pStyle w:val="StyleWisnow"/>
              <w:rPr>
                <w:color w:val="000000" w:themeColor="text1"/>
              </w:rPr>
            </w:pPr>
          </w:p>
        </w:tc>
        <w:tc>
          <w:tcPr>
            <w:tcW w:w="4818" w:type="dxa"/>
          </w:tcPr>
          <w:p w14:paraId="1EBE864B" w14:textId="0B474E94" w:rsidR="001A75A4" w:rsidRPr="00286216" w:rsidRDefault="001A75A4" w:rsidP="001A75A4">
            <w:pPr>
              <w:pStyle w:val="StyleZakonu"/>
              <w:rPr>
                <w:color w:val="000000" w:themeColor="text1"/>
              </w:rPr>
            </w:pPr>
            <w:r w:rsidRPr="00286216">
              <w:rPr>
                <w:color w:val="000000" w:themeColor="text1"/>
              </w:rPr>
              <w:t>1) забезпечувати організацію та проведення біржових торгів;</w:t>
            </w:r>
          </w:p>
        </w:tc>
      </w:tr>
      <w:tr w:rsidR="001A75A4" w:rsidRPr="00286216" w14:paraId="4CC35271" w14:textId="77777777" w:rsidTr="00091AA5">
        <w:tc>
          <w:tcPr>
            <w:tcW w:w="576" w:type="dxa"/>
          </w:tcPr>
          <w:p w14:paraId="4692B5CB" w14:textId="77777777" w:rsidR="001A75A4" w:rsidRPr="00286216" w:rsidRDefault="001A75A4" w:rsidP="001A75A4">
            <w:pPr>
              <w:pStyle w:val="StyleWisnow"/>
              <w:rPr>
                <w:color w:val="000000" w:themeColor="text1"/>
              </w:rPr>
            </w:pPr>
            <w:bookmarkStart w:id="2287" w:name="n2478" w:colFirst="0" w:colLast="0"/>
            <w:bookmarkEnd w:id="2286"/>
            <w:r w:rsidRPr="00286216">
              <w:rPr>
                <w:color w:val="000000" w:themeColor="text1"/>
              </w:rPr>
              <w:t>2478.</w:t>
            </w:r>
          </w:p>
        </w:tc>
        <w:tc>
          <w:tcPr>
            <w:tcW w:w="4818" w:type="dxa"/>
          </w:tcPr>
          <w:p w14:paraId="05550949" w14:textId="77777777" w:rsidR="001A75A4" w:rsidRPr="00286216" w:rsidRDefault="001A75A4" w:rsidP="001A75A4">
            <w:pPr>
              <w:pStyle w:val="StyleZakonu"/>
              <w:rPr>
                <w:color w:val="000000" w:themeColor="text1"/>
              </w:rPr>
            </w:pPr>
            <w:r w:rsidRPr="00286216">
              <w:rPr>
                <w:color w:val="000000" w:themeColor="text1"/>
              </w:rPr>
              <w:t>2) здійснювати моніторинг за біржовими торгами та контроль за дотриманням учасниками торгів правил товарної біржі, у тому числі у цілях запобігання маніпулюванню на товарній біржові та інсайдерській торгівлі;</w:t>
            </w:r>
          </w:p>
        </w:tc>
        <w:tc>
          <w:tcPr>
            <w:tcW w:w="3686" w:type="dxa"/>
          </w:tcPr>
          <w:p w14:paraId="2A51F583" w14:textId="77777777" w:rsidR="001A75A4" w:rsidRPr="00286216" w:rsidRDefault="001A75A4" w:rsidP="001A75A4">
            <w:pPr>
              <w:pStyle w:val="StyleProp"/>
              <w:rPr>
                <w:color w:val="000000" w:themeColor="text1"/>
                <w:szCs w:val="18"/>
              </w:rPr>
            </w:pPr>
          </w:p>
        </w:tc>
        <w:tc>
          <w:tcPr>
            <w:tcW w:w="1987" w:type="dxa"/>
          </w:tcPr>
          <w:p w14:paraId="25445AB7" w14:textId="77777777" w:rsidR="001A75A4" w:rsidRPr="00286216" w:rsidRDefault="001A75A4" w:rsidP="001A75A4">
            <w:pPr>
              <w:pStyle w:val="StyleWisnow"/>
              <w:rPr>
                <w:color w:val="000000" w:themeColor="text1"/>
              </w:rPr>
            </w:pPr>
          </w:p>
        </w:tc>
        <w:tc>
          <w:tcPr>
            <w:tcW w:w="4818" w:type="dxa"/>
          </w:tcPr>
          <w:p w14:paraId="4A58D3D4" w14:textId="55CB566B" w:rsidR="001A75A4" w:rsidRPr="00286216" w:rsidRDefault="001A75A4" w:rsidP="001A75A4">
            <w:pPr>
              <w:pStyle w:val="StyleZakonu"/>
              <w:rPr>
                <w:color w:val="000000" w:themeColor="text1"/>
              </w:rPr>
            </w:pPr>
            <w:r w:rsidRPr="00286216">
              <w:rPr>
                <w:color w:val="000000" w:themeColor="text1"/>
              </w:rPr>
              <w:t>2) здійснювати моніторинг біржових торгів та контроль за дотриманням учасниками торгів правил товарної біржі, у тому числі з метою запобігання маніпулюванню на товарній біржі та інсайдерській торгівлі;</w:t>
            </w:r>
          </w:p>
        </w:tc>
      </w:tr>
      <w:tr w:rsidR="001A75A4" w:rsidRPr="00286216" w14:paraId="6B5834C8" w14:textId="77777777" w:rsidTr="00091AA5">
        <w:tc>
          <w:tcPr>
            <w:tcW w:w="576" w:type="dxa"/>
          </w:tcPr>
          <w:p w14:paraId="7C3E9E80" w14:textId="77777777" w:rsidR="001A75A4" w:rsidRPr="00286216" w:rsidRDefault="001A75A4" w:rsidP="001A75A4">
            <w:pPr>
              <w:pStyle w:val="StyleWisnow"/>
              <w:rPr>
                <w:color w:val="000000" w:themeColor="text1"/>
              </w:rPr>
            </w:pPr>
            <w:bookmarkStart w:id="2288" w:name="n2479" w:colFirst="0" w:colLast="0"/>
            <w:bookmarkEnd w:id="2287"/>
            <w:r w:rsidRPr="00286216">
              <w:rPr>
                <w:color w:val="000000" w:themeColor="text1"/>
              </w:rPr>
              <w:t>2479.</w:t>
            </w:r>
          </w:p>
        </w:tc>
        <w:tc>
          <w:tcPr>
            <w:tcW w:w="4818" w:type="dxa"/>
          </w:tcPr>
          <w:p w14:paraId="09539275" w14:textId="77777777" w:rsidR="001A75A4" w:rsidRPr="00286216" w:rsidRDefault="001A75A4" w:rsidP="001A75A4">
            <w:pPr>
              <w:pStyle w:val="StyleZakonu"/>
              <w:rPr>
                <w:color w:val="000000" w:themeColor="text1"/>
              </w:rPr>
            </w:pPr>
            <w:r w:rsidRPr="00286216">
              <w:rPr>
                <w:color w:val="000000" w:themeColor="text1"/>
              </w:rPr>
              <w:t>3) вести реєстр учасників торгів, їх заявок, укладених угод і договорів;</w:t>
            </w:r>
          </w:p>
        </w:tc>
        <w:tc>
          <w:tcPr>
            <w:tcW w:w="3686" w:type="dxa"/>
          </w:tcPr>
          <w:p w14:paraId="66265304" w14:textId="77777777" w:rsidR="001A75A4" w:rsidRPr="00286216" w:rsidRDefault="001A75A4" w:rsidP="001A75A4">
            <w:pPr>
              <w:pStyle w:val="StyleProp"/>
              <w:rPr>
                <w:color w:val="000000" w:themeColor="text1"/>
                <w:szCs w:val="18"/>
              </w:rPr>
            </w:pPr>
          </w:p>
        </w:tc>
        <w:tc>
          <w:tcPr>
            <w:tcW w:w="1987" w:type="dxa"/>
          </w:tcPr>
          <w:p w14:paraId="674BA95A" w14:textId="77777777" w:rsidR="001A75A4" w:rsidRPr="00286216" w:rsidRDefault="001A75A4" w:rsidP="001A75A4">
            <w:pPr>
              <w:pStyle w:val="StyleWisnow"/>
              <w:rPr>
                <w:color w:val="000000" w:themeColor="text1"/>
              </w:rPr>
            </w:pPr>
          </w:p>
        </w:tc>
        <w:tc>
          <w:tcPr>
            <w:tcW w:w="4818" w:type="dxa"/>
          </w:tcPr>
          <w:p w14:paraId="5CACC6EC" w14:textId="6550A107" w:rsidR="001A75A4" w:rsidRPr="00286216" w:rsidRDefault="001A75A4" w:rsidP="001A75A4">
            <w:pPr>
              <w:pStyle w:val="StyleZakonu"/>
              <w:rPr>
                <w:color w:val="000000" w:themeColor="text1"/>
              </w:rPr>
            </w:pPr>
            <w:r w:rsidRPr="00286216">
              <w:rPr>
                <w:color w:val="000000" w:themeColor="text1"/>
              </w:rPr>
              <w:t>3) вести реєстр учасників торгів, їхніх заявок, укладених угод і договорів;</w:t>
            </w:r>
          </w:p>
        </w:tc>
      </w:tr>
      <w:tr w:rsidR="001A75A4" w:rsidRPr="00286216" w14:paraId="0F6A5A54" w14:textId="77777777" w:rsidTr="00091AA5">
        <w:tc>
          <w:tcPr>
            <w:tcW w:w="576" w:type="dxa"/>
          </w:tcPr>
          <w:p w14:paraId="31EDCFD2" w14:textId="77777777" w:rsidR="001A75A4" w:rsidRPr="00286216" w:rsidRDefault="001A75A4" w:rsidP="001A75A4">
            <w:pPr>
              <w:pStyle w:val="StyleWisnow"/>
              <w:rPr>
                <w:color w:val="000000" w:themeColor="text1"/>
              </w:rPr>
            </w:pPr>
            <w:bookmarkStart w:id="2289" w:name="n2480" w:colFirst="0" w:colLast="0"/>
            <w:bookmarkEnd w:id="2288"/>
            <w:r w:rsidRPr="00286216">
              <w:rPr>
                <w:color w:val="000000" w:themeColor="text1"/>
              </w:rPr>
              <w:t>2480.</w:t>
            </w:r>
          </w:p>
        </w:tc>
        <w:tc>
          <w:tcPr>
            <w:tcW w:w="4818" w:type="dxa"/>
          </w:tcPr>
          <w:p w14:paraId="0B4A8C2D" w14:textId="77777777" w:rsidR="001A75A4" w:rsidRPr="00286216" w:rsidRDefault="001A75A4" w:rsidP="001A75A4">
            <w:pPr>
              <w:pStyle w:val="StyleZakonu"/>
              <w:rPr>
                <w:color w:val="000000" w:themeColor="text1"/>
              </w:rPr>
            </w:pPr>
            <w:r w:rsidRPr="00286216">
              <w:rPr>
                <w:color w:val="000000" w:themeColor="text1"/>
              </w:rPr>
              <w:t>4) оприлюднювати на своєму сайті перелік учасників торгів з зазначенням учасників торгів, допуск до торгів яким призупинено або припинено, реєстр біржових товарів;</w:t>
            </w:r>
          </w:p>
        </w:tc>
        <w:tc>
          <w:tcPr>
            <w:tcW w:w="3686" w:type="dxa"/>
          </w:tcPr>
          <w:p w14:paraId="45F04881" w14:textId="77777777" w:rsidR="001A75A4" w:rsidRPr="00286216" w:rsidRDefault="001A75A4" w:rsidP="001A75A4">
            <w:pPr>
              <w:pStyle w:val="StyleProp"/>
              <w:rPr>
                <w:color w:val="000000" w:themeColor="text1"/>
                <w:szCs w:val="18"/>
              </w:rPr>
            </w:pPr>
          </w:p>
        </w:tc>
        <w:tc>
          <w:tcPr>
            <w:tcW w:w="1987" w:type="dxa"/>
          </w:tcPr>
          <w:p w14:paraId="2E1A5282" w14:textId="77777777" w:rsidR="001A75A4" w:rsidRPr="00286216" w:rsidRDefault="001A75A4" w:rsidP="001A75A4">
            <w:pPr>
              <w:pStyle w:val="StyleWisnow"/>
              <w:rPr>
                <w:color w:val="000000" w:themeColor="text1"/>
              </w:rPr>
            </w:pPr>
          </w:p>
        </w:tc>
        <w:tc>
          <w:tcPr>
            <w:tcW w:w="4818" w:type="dxa"/>
          </w:tcPr>
          <w:p w14:paraId="42DC104E" w14:textId="31F5F296" w:rsidR="001A75A4" w:rsidRPr="00286216" w:rsidRDefault="001A75A4" w:rsidP="001A75A4">
            <w:pPr>
              <w:pStyle w:val="StyleZakonu"/>
              <w:rPr>
                <w:color w:val="000000" w:themeColor="text1"/>
              </w:rPr>
            </w:pPr>
            <w:r w:rsidRPr="00286216">
              <w:rPr>
                <w:color w:val="000000" w:themeColor="text1"/>
              </w:rPr>
              <w:t>4) оприлюднювати на своєму веб-сайті перелік учасників торгів із зазначенням учасників торгів, допуск яких до торгів зупинено або припинено, реєстр біржових товарів;</w:t>
            </w:r>
          </w:p>
        </w:tc>
      </w:tr>
      <w:tr w:rsidR="001A75A4" w:rsidRPr="00286216" w14:paraId="5B09F797" w14:textId="77777777" w:rsidTr="00091AA5">
        <w:tc>
          <w:tcPr>
            <w:tcW w:w="576" w:type="dxa"/>
          </w:tcPr>
          <w:p w14:paraId="7E1801C2" w14:textId="77777777" w:rsidR="001A75A4" w:rsidRPr="00286216" w:rsidRDefault="001A75A4" w:rsidP="001A75A4">
            <w:pPr>
              <w:pStyle w:val="StyleWisnow"/>
              <w:rPr>
                <w:color w:val="000000" w:themeColor="text1"/>
              </w:rPr>
            </w:pPr>
            <w:bookmarkStart w:id="2290" w:name="n2481" w:colFirst="0" w:colLast="0"/>
            <w:bookmarkEnd w:id="2289"/>
            <w:r w:rsidRPr="00286216">
              <w:rPr>
                <w:color w:val="000000" w:themeColor="text1"/>
              </w:rPr>
              <w:t>2481.</w:t>
            </w:r>
          </w:p>
        </w:tc>
        <w:tc>
          <w:tcPr>
            <w:tcW w:w="4818" w:type="dxa"/>
          </w:tcPr>
          <w:p w14:paraId="7A0866FC" w14:textId="77777777" w:rsidR="001A75A4" w:rsidRPr="00286216" w:rsidRDefault="001A75A4" w:rsidP="001A75A4">
            <w:pPr>
              <w:pStyle w:val="StyleZakonu"/>
              <w:rPr>
                <w:color w:val="000000" w:themeColor="text1"/>
              </w:rPr>
            </w:pPr>
            <w:r w:rsidRPr="00286216">
              <w:rPr>
                <w:color w:val="000000" w:themeColor="text1"/>
              </w:rPr>
              <w:t>5) розкривати інформацію, передбачену законодавством, у порядку, встановленому Національною комісією з цінних паперів та фондового ринку;</w:t>
            </w:r>
          </w:p>
        </w:tc>
        <w:tc>
          <w:tcPr>
            <w:tcW w:w="3686" w:type="dxa"/>
          </w:tcPr>
          <w:p w14:paraId="2F63C6F6" w14:textId="3042D3D9"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1183</w:t>
            </w:r>
            <w:r w:rsidRPr="00286216">
              <w:rPr>
                <w:color w:val="000000" w:themeColor="text1"/>
                <w:spacing w:val="-2"/>
              </w:rPr>
              <w:fldChar w:fldCharType="end"/>
            </w:r>
            <w:r w:rsidRPr="00286216">
              <w:rPr>
                <w:color w:val="000000" w:themeColor="text1"/>
                <w:spacing w:val="-2"/>
              </w:rPr>
              <w:t>-Н.д.Шахов С.В. (Реєстр.картка №114)</w:t>
            </w:r>
          </w:p>
          <w:p w14:paraId="21D4971F"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У п. 5 ч. 1 ст. 11 слова "у порядку, встановленому Національною комісією з цінних паперів та фондового ринку" виключити.</w:t>
            </w:r>
          </w:p>
        </w:tc>
        <w:tc>
          <w:tcPr>
            <w:tcW w:w="1987" w:type="dxa"/>
          </w:tcPr>
          <w:p w14:paraId="73B64C3C"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3397A10B" w14:textId="0CED8570" w:rsidR="001A75A4" w:rsidRPr="00286216" w:rsidRDefault="001A75A4" w:rsidP="001A75A4">
            <w:pPr>
              <w:pStyle w:val="StyleZakonu"/>
              <w:rPr>
                <w:color w:val="000000" w:themeColor="text1"/>
              </w:rPr>
            </w:pPr>
            <w:r w:rsidRPr="00286216">
              <w:rPr>
                <w:color w:val="000000" w:themeColor="text1"/>
              </w:rPr>
              <w:t>5) розкривати інформацію, передбачену законодавством;</w:t>
            </w:r>
          </w:p>
        </w:tc>
      </w:tr>
      <w:tr w:rsidR="001A75A4" w:rsidRPr="00286216" w14:paraId="68BEEE33" w14:textId="77777777" w:rsidTr="00091AA5">
        <w:tc>
          <w:tcPr>
            <w:tcW w:w="576" w:type="dxa"/>
          </w:tcPr>
          <w:p w14:paraId="286C3878" w14:textId="77777777" w:rsidR="001A75A4" w:rsidRPr="00286216" w:rsidRDefault="001A75A4" w:rsidP="001A75A4">
            <w:pPr>
              <w:pStyle w:val="StyleWisnow"/>
              <w:rPr>
                <w:color w:val="000000" w:themeColor="text1"/>
              </w:rPr>
            </w:pPr>
            <w:bookmarkStart w:id="2291" w:name="n2482" w:colFirst="0" w:colLast="0"/>
            <w:bookmarkEnd w:id="2290"/>
            <w:r w:rsidRPr="00286216">
              <w:rPr>
                <w:color w:val="000000" w:themeColor="text1"/>
              </w:rPr>
              <w:t>2482.</w:t>
            </w:r>
          </w:p>
        </w:tc>
        <w:tc>
          <w:tcPr>
            <w:tcW w:w="4818" w:type="dxa"/>
          </w:tcPr>
          <w:p w14:paraId="5ABF1A8D" w14:textId="77777777" w:rsidR="001A75A4" w:rsidRPr="00286216" w:rsidRDefault="001A75A4" w:rsidP="001A75A4">
            <w:pPr>
              <w:pStyle w:val="StyleZakonu"/>
              <w:rPr>
                <w:color w:val="000000" w:themeColor="text1"/>
              </w:rPr>
            </w:pPr>
            <w:r w:rsidRPr="00286216">
              <w:rPr>
                <w:color w:val="000000" w:themeColor="text1"/>
              </w:rPr>
              <w:t>6) виконувати інші обов’язки, пов’язані зі здійсненням діяльності з організації торгівлі продукцією на товарних біржах.</w:t>
            </w:r>
          </w:p>
        </w:tc>
        <w:tc>
          <w:tcPr>
            <w:tcW w:w="3686" w:type="dxa"/>
          </w:tcPr>
          <w:p w14:paraId="706A6D95" w14:textId="77777777" w:rsidR="001A75A4" w:rsidRPr="00286216" w:rsidRDefault="001A75A4" w:rsidP="001A75A4">
            <w:pPr>
              <w:pStyle w:val="StyleProp"/>
              <w:rPr>
                <w:color w:val="000000" w:themeColor="text1"/>
                <w:szCs w:val="18"/>
              </w:rPr>
            </w:pPr>
          </w:p>
        </w:tc>
        <w:tc>
          <w:tcPr>
            <w:tcW w:w="1987" w:type="dxa"/>
          </w:tcPr>
          <w:p w14:paraId="3DFAEF94" w14:textId="77777777" w:rsidR="001A75A4" w:rsidRPr="00286216" w:rsidRDefault="001A75A4" w:rsidP="001A75A4">
            <w:pPr>
              <w:pStyle w:val="StyleWisnow"/>
              <w:rPr>
                <w:color w:val="000000" w:themeColor="text1"/>
              </w:rPr>
            </w:pPr>
          </w:p>
        </w:tc>
        <w:tc>
          <w:tcPr>
            <w:tcW w:w="4818" w:type="dxa"/>
          </w:tcPr>
          <w:p w14:paraId="5EC5E3BF" w14:textId="15496E9E" w:rsidR="001A75A4" w:rsidRPr="00286216" w:rsidRDefault="001A75A4" w:rsidP="001A75A4">
            <w:pPr>
              <w:pStyle w:val="StyleZakonu"/>
              <w:rPr>
                <w:color w:val="000000" w:themeColor="text1"/>
              </w:rPr>
            </w:pPr>
            <w:r w:rsidRPr="00286216">
              <w:rPr>
                <w:color w:val="000000" w:themeColor="text1"/>
              </w:rPr>
              <w:t>6) виконувати інші обов’язки, пов’язані із здійсненням діяльності з організації торгівлі продукцією на товарних біржах.</w:t>
            </w:r>
          </w:p>
        </w:tc>
      </w:tr>
      <w:tr w:rsidR="001A75A4" w:rsidRPr="00286216" w14:paraId="43E30DC2" w14:textId="77777777" w:rsidTr="00091AA5">
        <w:tc>
          <w:tcPr>
            <w:tcW w:w="576" w:type="dxa"/>
          </w:tcPr>
          <w:p w14:paraId="7FC5163B" w14:textId="77777777" w:rsidR="001A75A4" w:rsidRPr="00286216" w:rsidRDefault="001A75A4" w:rsidP="001A75A4">
            <w:pPr>
              <w:pStyle w:val="StyleWisnow"/>
              <w:rPr>
                <w:color w:val="000000" w:themeColor="text1"/>
              </w:rPr>
            </w:pPr>
            <w:bookmarkStart w:id="2292" w:name="n2483" w:colFirst="0" w:colLast="0"/>
            <w:bookmarkEnd w:id="2291"/>
            <w:r w:rsidRPr="00286216">
              <w:rPr>
                <w:color w:val="000000" w:themeColor="text1"/>
              </w:rPr>
              <w:t>2483.</w:t>
            </w:r>
          </w:p>
        </w:tc>
        <w:tc>
          <w:tcPr>
            <w:tcW w:w="4818" w:type="dxa"/>
          </w:tcPr>
          <w:p w14:paraId="46F2D15D" w14:textId="77777777" w:rsidR="001A75A4" w:rsidRPr="00286216" w:rsidRDefault="001A75A4" w:rsidP="001A75A4">
            <w:pPr>
              <w:pStyle w:val="StyleZakonu"/>
              <w:rPr>
                <w:color w:val="000000" w:themeColor="text1"/>
              </w:rPr>
            </w:pPr>
            <w:r w:rsidRPr="00286216">
              <w:rPr>
                <w:color w:val="000000" w:themeColor="text1"/>
              </w:rPr>
              <w:t xml:space="preserve">2. Товарна біржа зобов’язана до подання правил товарної біржі на реєстрацію Національній комісії з цінних паперів та фондового ринку укласти договір </w:t>
            </w:r>
            <w:r w:rsidRPr="00286216">
              <w:rPr>
                <w:color w:val="000000" w:themeColor="text1"/>
              </w:rPr>
              <w:lastRenderedPageBreak/>
              <w:t>про здійснення клірингу з особою, яка провадить клірингову діяльність, крім випадку провадження клірингової діяльності товарною біржою самостійно відповідно до частини 3 статті 3 цього Закону.</w:t>
            </w:r>
          </w:p>
        </w:tc>
        <w:tc>
          <w:tcPr>
            <w:tcW w:w="3686" w:type="dxa"/>
          </w:tcPr>
          <w:p w14:paraId="6C56C768" w14:textId="5AE06B2B" w:rsidR="001A75A4" w:rsidRPr="00286216" w:rsidRDefault="001A75A4" w:rsidP="001A75A4">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1184</w:t>
            </w:r>
            <w:r w:rsidRPr="00286216">
              <w:rPr>
                <w:color w:val="000000" w:themeColor="text1"/>
                <w:spacing w:val="-2"/>
              </w:rPr>
              <w:fldChar w:fldCharType="end"/>
            </w:r>
            <w:r w:rsidRPr="00286216">
              <w:rPr>
                <w:color w:val="000000" w:themeColor="text1"/>
                <w:spacing w:val="-2"/>
              </w:rPr>
              <w:t>-Н.д.Шахов С.В. (Реєстр.картка №114)</w:t>
            </w:r>
          </w:p>
          <w:p w14:paraId="582CCCD4"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В абз. 1 ч. 2 ст. 11 слово "випадку" замінити словом "випадків".</w:t>
            </w:r>
          </w:p>
        </w:tc>
        <w:tc>
          <w:tcPr>
            <w:tcW w:w="1987" w:type="dxa"/>
          </w:tcPr>
          <w:p w14:paraId="49BAB828"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1B37B9E4" w14:textId="5E6B4B0F" w:rsidR="001A75A4" w:rsidRPr="00286216" w:rsidRDefault="001A75A4" w:rsidP="001A75A4">
            <w:pPr>
              <w:pStyle w:val="StyleZakonu"/>
              <w:rPr>
                <w:color w:val="000000" w:themeColor="text1"/>
              </w:rPr>
            </w:pPr>
            <w:r w:rsidRPr="00286216">
              <w:rPr>
                <w:color w:val="000000" w:themeColor="text1"/>
              </w:rPr>
              <w:t xml:space="preserve">2. Товарна біржа зобов’язана до подання на реєстрацію правил товарної біржі до Національної комісії з цінних паперів та фондового ринку укласти з </w:t>
            </w:r>
            <w:r w:rsidRPr="00286216">
              <w:rPr>
                <w:color w:val="000000" w:themeColor="text1"/>
              </w:rPr>
              <w:lastRenderedPageBreak/>
              <w:t xml:space="preserve">особою, яка провадить клірингову діяльність, договір про здійснення клірингу, крім </w:t>
            </w:r>
            <w:r w:rsidRPr="00286216">
              <w:rPr>
                <w:color w:val="000000" w:themeColor="text1"/>
                <w:szCs w:val="18"/>
                <w:lang w:eastAsia="uk-UA"/>
              </w:rPr>
              <w:t>випадків</w:t>
            </w:r>
            <w:r w:rsidRPr="00286216">
              <w:rPr>
                <w:color w:val="000000" w:themeColor="text1"/>
              </w:rPr>
              <w:t xml:space="preserve"> провадження клірингової діяльності товарною біржею самостійно відповідно до ліцензії, передбаченої пунктом 1 частини третьої статті 3 цього Закону.</w:t>
            </w:r>
          </w:p>
        </w:tc>
      </w:tr>
      <w:tr w:rsidR="001A75A4" w:rsidRPr="00286216" w14:paraId="71DD96AE" w14:textId="77777777" w:rsidTr="00091AA5">
        <w:tc>
          <w:tcPr>
            <w:tcW w:w="576" w:type="dxa"/>
          </w:tcPr>
          <w:p w14:paraId="7893B293" w14:textId="77777777" w:rsidR="001A75A4" w:rsidRPr="00286216" w:rsidRDefault="001A75A4" w:rsidP="001A75A4">
            <w:pPr>
              <w:pStyle w:val="StyleWisnow"/>
              <w:rPr>
                <w:color w:val="000000" w:themeColor="text1"/>
              </w:rPr>
            </w:pPr>
            <w:bookmarkStart w:id="2293" w:name="n2484" w:colFirst="0" w:colLast="0"/>
            <w:bookmarkEnd w:id="2292"/>
            <w:r w:rsidRPr="00286216">
              <w:rPr>
                <w:color w:val="000000" w:themeColor="text1"/>
              </w:rPr>
              <w:lastRenderedPageBreak/>
              <w:t>2484.</w:t>
            </w:r>
          </w:p>
        </w:tc>
        <w:tc>
          <w:tcPr>
            <w:tcW w:w="4818" w:type="dxa"/>
          </w:tcPr>
          <w:p w14:paraId="5536AF35" w14:textId="77777777" w:rsidR="001A75A4" w:rsidRPr="00286216" w:rsidRDefault="001A75A4" w:rsidP="001A75A4">
            <w:pPr>
              <w:pStyle w:val="StyleZakonu"/>
              <w:rPr>
                <w:color w:val="000000" w:themeColor="text1"/>
              </w:rPr>
            </w:pPr>
            <w:r w:rsidRPr="00286216">
              <w:rPr>
                <w:color w:val="000000" w:themeColor="text1"/>
              </w:rPr>
              <w:t>Вимоги до зазначеного договору встановлюються Національною комісією з цінних паперів та фондового ринку.</w:t>
            </w:r>
          </w:p>
        </w:tc>
        <w:tc>
          <w:tcPr>
            <w:tcW w:w="3686" w:type="dxa"/>
          </w:tcPr>
          <w:p w14:paraId="2DEC5D32" w14:textId="2DD752A2"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1185</w:t>
            </w:r>
            <w:r w:rsidRPr="00286216">
              <w:rPr>
                <w:color w:val="000000" w:themeColor="text1"/>
                <w:spacing w:val="-2"/>
              </w:rPr>
              <w:fldChar w:fldCharType="end"/>
            </w:r>
            <w:r w:rsidRPr="00286216">
              <w:rPr>
                <w:color w:val="000000" w:themeColor="text1"/>
                <w:spacing w:val="-2"/>
              </w:rPr>
              <w:t>-Н.д.Шахов С.В. (Реєстр.картка №114)</w:t>
            </w:r>
          </w:p>
          <w:p w14:paraId="5FC011F1" w14:textId="77777777" w:rsidR="001A75A4" w:rsidRPr="00286216" w:rsidRDefault="001A75A4" w:rsidP="001A75A4">
            <w:pPr>
              <w:pStyle w:val="StyleProp"/>
              <w:rPr>
                <w:color w:val="000000" w:themeColor="text1"/>
                <w:szCs w:val="18"/>
                <w:lang w:eastAsia="uk-UA"/>
              </w:rPr>
            </w:pPr>
            <w:r w:rsidRPr="00286216">
              <w:rPr>
                <w:color w:val="000000" w:themeColor="text1"/>
                <w:szCs w:val="18"/>
                <w:lang w:eastAsia="uk-UA"/>
              </w:rPr>
              <w:t>Абз. 2 ч. 2 ст. 11 викласти у такій редакції:</w:t>
            </w:r>
          </w:p>
          <w:p w14:paraId="667D2F07"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"Регулятором відповідного ринку можуть встановлюватися вимоги до зазначеного договору".</w:t>
            </w:r>
          </w:p>
        </w:tc>
        <w:tc>
          <w:tcPr>
            <w:tcW w:w="1987" w:type="dxa"/>
          </w:tcPr>
          <w:p w14:paraId="2C4E6BB4"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779EAFDC" w14:textId="6DD5C93B" w:rsidR="001A75A4" w:rsidRPr="00286216" w:rsidRDefault="001A75A4" w:rsidP="001A75A4">
            <w:pPr>
              <w:pStyle w:val="StyleWisnow"/>
              <w:rPr>
                <w:color w:val="000000" w:themeColor="text1"/>
              </w:rPr>
            </w:pPr>
            <w:r w:rsidRPr="00286216">
              <w:rPr>
                <w:color w:val="000000" w:themeColor="text1"/>
              </w:rPr>
              <w:t>регулятор – НКЦПФР</w:t>
            </w:r>
          </w:p>
        </w:tc>
        <w:tc>
          <w:tcPr>
            <w:tcW w:w="4818" w:type="dxa"/>
          </w:tcPr>
          <w:p w14:paraId="1DCD8E6C" w14:textId="7F143071" w:rsidR="001A75A4" w:rsidRPr="00286216" w:rsidRDefault="001A75A4" w:rsidP="001A75A4">
            <w:pPr>
              <w:pStyle w:val="StyleZakonu"/>
              <w:rPr>
                <w:color w:val="000000" w:themeColor="text1"/>
              </w:rPr>
            </w:pPr>
            <w:r w:rsidRPr="00286216">
              <w:rPr>
                <w:color w:val="000000" w:themeColor="text1"/>
              </w:rPr>
              <w:t>Вимоги до зазначеного договору встановлюються Національною комісією з цінних паперів та фондового ринку.</w:t>
            </w:r>
          </w:p>
        </w:tc>
      </w:tr>
      <w:tr w:rsidR="001A75A4" w:rsidRPr="00286216" w14:paraId="70C3CE53" w14:textId="77777777" w:rsidTr="00091AA5">
        <w:tc>
          <w:tcPr>
            <w:tcW w:w="576" w:type="dxa"/>
          </w:tcPr>
          <w:p w14:paraId="5CEA7C0F" w14:textId="77777777" w:rsidR="001A75A4" w:rsidRPr="00286216" w:rsidRDefault="001A75A4" w:rsidP="001A75A4">
            <w:pPr>
              <w:pStyle w:val="StyleWisnow"/>
              <w:rPr>
                <w:color w:val="000000" w:themeColor="text1"/>
              </w:rPr>
            </w:pPr>
            <w:bookmarkStart w:id="2294" w:name="n2485" w:colFirst="0" w:colLast="0"/>
            <w:bookmarkEnd w:id="2293"/>
            <w:r w:rsidRPr="00286216">
              <w:rPr>
                <w:color w:val="000000" w:themeColor="text1"/>
              </w:rPr>
              <w:t>2485.</w:t>
            </w:r>
          </w:p>
        </w:tc>
        <w:tc>
          <w:tcPr>
            <w:tcW w:w="4818" w:type="dxa"/>
          </w:tcPr>
          <w:p w14:paraId="2AA62630" w14:textId="77777777" w:rsidR="001A75A4" w:rsidRPr="00286216" w:rsidRDefault="001A75A4" w:rsidP="001A75A4">
            <w:pPr>
              <w:pStyle w:val="StyleZakonu"/>
              <w:rPr>
                <w:color w:val="000000" w:themeColor="text1"/>
                <w:lang w:eastAsia="uk-UA"/>
              </w:rPr>
            </w:pPr>
            <w:r w:rsidRPr="00286216">
              <w:rPr>
                <w:color w:val="000000" w:themeColor="text1"/>
              </w:rPr>
              <w:t>До укладення зазначеного договору товарна біржа не має права провадити діяльність з організації торгівлі продукцією на товарній біржі, якщо інше не встановлено нормативними актами Національної комісії з цінних паперів та фондового ринку.</w:t>
            </w:r>
          </w:p>
        </w:tc>
        <w:tc>
          <w:tcPr>
            <w:tcW w:w="3686" w:type="dxa"/>
          </w:tcPr>
          <w:p w14:paraId="4313D801" w14:textId="1CB5A8B8"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1186</w:t>
            </w:r>
            <w:r w:rsidRPr="00286216">
              <w:rPr>
                <w:color w:val="000000" w:themeColor="text1"/>
                <w:spacing w:val="-2"/>
              </w:rPr>
              <w:fldChar w:fldCharType="end"/>
            </w:r>
            <w:r w:rsidRPr="00286216">
              <w:rPr>
                <w:color w:val="000000" w:themeColor="text1"/>
                <w:spacing w:val="-2"/>
              </w:rPr>
              <w:t>-Н.д.Шахов С.В. (Реєстр.картка №114)</w:t>
            </w:r>
          </w:p>
          <w:p w14:paraId="6B526CA9" w14:textId="77777777" w:rsidR="001A75A4" w:rsidRPr="00286216" w:rsidRDefault="001A75A4" w:rsidP="001A75A4">
            <w:pPr>
              <w:pStyle w:val="StyleProp"/>
              <w:spacing w:line="180" w:lineRule="exact"/>
              <w:rPr>
                <w:color w:val="000000" w:themeColor="text1"/>
                <w:szCs w:val="18"/>
                <w:lang w:eastAsia="uk-UA"/>
              </w:rPr>
            </w:pPr>
            <w:r w:rsidRPr="00286216">
              <w:rPr>
                <w:color w:val="000000" w:themeColor="text1"/>
                <w:szCs w:val="18"/>
                <w:lang w:eastAsia="uk-UA"/>
              </w:rPr>
              <w:t>В абз. 3 ч. 2 ст. 11 слова "нормативними актами Національної комісії з цінних паперів та фондового ринку" замінити словом "законодавством".</w:t>
            </w:r>
          </w:p>
        </w:tc>
        <w:tc>
          <w:tcPr>
            <w:tcW w:w="1987" w:type="dxa"/>
          </w:tcPr>
          <w:p w14:paraId="541F887A" w14:textId="77777777" w:rsidR="001A75A4" w:rsidRPr="00286216" w:rsidRDefault="001A75A4" w:rsidP="001A75A4">
            <w:pPr>
              <w:pStyle w:val="StyleWisnow"/>
              <w:rPr>
                <w:color w:val="000000" w:themeColor="text1"/>
              </w:rPr>
            </w:pPr>
            <w:r w:rsidRPr="00286216">
              <w:rPr>
                <w:color w:val="000000" w:themeColor="text1"/>
              </w:rPr>
              <w:t>Відхилено</w:t>
            </w:r>
          </w:p>
          <w:p w14:paraId="58C39E8A" w14:textId="3D95D0CC" w:rsidR="001A75A4" w:rsidRPr="00286216" w:rsidRDefault="001A75A4" w:rsidP="001A75A4">
            <w:pPr>
              <w:pStyle w:val="StyleWisnow"/>
              <w:rPr>
                <w:color w:val="000000" w:themeColor="text1"/>
              </w:rPr>
            </w:pPr>
            <w:r w:rsidRPr="00286216">
              <w:rPr>
                <w:color w:val="000000" w:themeColor="text1"/>
              </w:rPr>
              <w:t>прийняття правки створить правову невизначеність</w:t>
            </w:r>
          </w:p>
        </w:tc>
        <w:tc>
          <w:tcPr>
            <w:tcW w:w="4818" w:type="dxa"/>
          </w:tcPr>
          <w:p w14:paraId="63A5F563" w14:textId="77777777" w:rsidR="001A75A4" w:rsidRPr="00286216" w:rsidRDefault="001A75A4" w:rsidP="001A75A4">
            <w:pPr>
              <w:pStyle w:val="StyleZakonu"/>
              <w:rPr>
                <w:color w:val="000000" w:themeColor="text1"/>
              </w:rPr>
            </w:pPr>
          </w:p>
        </w:tc>
      </w:tr>
      <w:tr w:rsidR="001A75A4" w:rsidRPr="00286216" w14:paraId="21443582" w14:textId="77777777" w:rsidTr="00091AA5">
        <w:tc>
          <w:tcPr>
            <w:tcW w:w="576" w:type="dxa"/>
          </w:tcPr>
          <w:p w14:paraId="22CF2D8E" w14:textId="77777777" w:rsidR="001A75A4" w:rsidRPr="00286216" w:rsidRDefault="001A75A4" w:rsidP="001A75A4">
            <w:pPr>
              <w:pStyle w:val="StyleWisnow"/>
              <w:rPr>
                <w:color w:val="000000" w:themeColor="text1"/>
              </w:rPr>
            </w:pPr>
            <w:bookmarkStart w:id="2295" w:name="n2486" w:colFirst="0" w:colLast="0"/>
            <w:bookmarkEnd w:id="2294"/>
            <w:r w:rsidRPr="00286216">
              <w:rPr>
                <w:color w:val="000000" w:themeColor="text1"/>
              </w:rPr>
              <w:t>2486.</w:t>
            </w:r>
          </w:p>
        </w:tc>
        <w:tc>
          <w:tcPr>
            <w:tcW w:w="4818" w:type="dxa"/>
          </w:tcPr>
          <w:p w14:paraId="01136D8B"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12. </w:t>
            </w:r>
            <w:r w:rsidRPr="00286216">
              <w:rPr>
                <w:color w:val="000000" w:themeColor="text1"/>
                <w:shd w:val="clear" w:color="auto" w:fill="FFFFFF"/>
              </w:rPr>
              <w:t>Біржовий курс, індекси та інші показники біржової торгівлі</w:t>
            </w:r>
          </w:p>
        </w:tc>
        <w:tc>
          <w:tcPr>
            <w:tcW w:w="3686" w:type="dxa"/>
          </w:tcPr>
          <w:p w14:paraId="615E0F83" w14:textId="77777777" w:rsidR="001A75A4" w:rsidRPr="00286216" w:rsidRDefault="001A75A4" w:rsidP="001A75A4">
            <w:pPr>
              <w:pStyle w:val="StyleProp"/>
              <w:rPr>
                <w:color w:val="000000" w:themeColor="text1"/>
                <w:szCs w:val="18"/>
              </w:rPr>
            </w:pPr>
          </w:p>
        </w:tc>
        <w:tc>
          <w:tcPr>
            <w:tcW w:w="1987" w:type="dxa"/>
          </w:tcPr>
          <w:p w14:paraId="70860043" w14:textId="77777777" w:rsidR="001A75A4" w:rsidRPr="00286216" w:rsidRDefault="001A75A4" w:rsidP="001A75A4">
            <w:pPr>
              <w:pStyle w:val="StyleWisnow"/>
              <w:rPr>
                <w:color w:val="000000" w:themeColor="text1"/>
              </w:rPr>
            </w:pPr>
          </w:p>
        </w:tc>
        <w:tc>
          <w:tcPr>
            <w:tcW w:w="4818" w:type="dxa"/>
          </w:tcPr>
          <w:p w14:paraId="5FC4F051" w14:textId="64E2508C"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12. </w:t>
            </w:r>
            <w:r w:rsidRPr="00286216">
              <w:rPr>
                <w:color w:val="000000" w:themeColor="text1"/>
                <w:shd w:val="clear" w:color="auto" w:fill="FFFFFF"/>
              </w:rPr>
              <w:t>Біржовий курс, індекси та інші показники біржової торгівлі</w:t>
            </w:r>
          </w:p>
        </w:tc>
      </w:tr>
      <w:tr w:rsidR="001A75A4" w:rsidRPr="00286216" w14:paraId="678144E0" w14:textId="77777777" w:rsidTr="00091AA5">
        <w:tc>
          <w:tcPr>
            <w:tcW w:w="576" w:type="dxa"/>
          </w:tcPr>
          <w:p w14:paraId="50C58D26" w14:textId="77777777" w:rsidR="001A75A4" w:rsidRPr="00286216" w:rsidRDefault="001A75A4" w:rsidP="001A75A4">
            <w:pPr>
              <w:pStyle w:val="StyleWisnow"/>
              <w:rPr>
                <w:color w:val="000000" w:themeColor="text1"/>
              </w:rPr>
            </w:pPr>
            <w:bookmarkStart w:id="2296" w:name="n2487" w:colFirst="0" w:colLast="0"/>
            <w:bookmarkEnd w:id="2295"/>
            <w:r w:rsidRPr="00286216">
              <w:rPr>
                <w:color w:val="000000" w:themeColor="text1"/>
              </w:rPr>
              <w:t>2487.</w:t>
            </w:r>
          </w:p>
        </w:tc>
        <w:tc>
          <w:tcPr>
            <w:tcW w:w="4818" w:type="dxa"/>
          </w:tcPr>
          <w:p w14:paraId="45C4CB3D" w14:textId="77777777" w:rsidR="001A75A4" w:rsidRPr="00286216" w:rsidRDefault="001A75A4" w:rsidP="001A75A4">
            <w:pPr>
              <w:pStyle w:val="StyleZakonu"/>
              <w:rPr>
                <w:color w:val="000000" w:themeColor="text1"/>
              </w:rPr>
            </w:pPr>
            <w:r w:rsidRPr="00286216">
              <w:rPr>
                <w:color w:val="000000" w:themeColor="text1"/>
              </w:rPr>
              <w:t>1. Товарна біржа за результатами біржових торгів зобов’язана розраховувати та оприлюднювати біржовий курс біржового товару не пізніше робочого дня, наступного після торгового дня, в який відбувалися біржові торги відповідним біржовим товаром.</w:t>
            </w:r>
          </w:p>
        </w:tc>
        <w:tc>
          <w:tcPr>
            <w:tcW w:w="3686" w:type="dxa"/>
          </w:tcPr>
          <w:p w14:paraId="29B5B43C" w14:textId="77777777" w:rsidR="001A75A4" w:rsidRPr="00286216" w:rsidRDefault="001A75A4" w:rsidP="001A75A4">
            <w:pPr>
              <w:pStyle w:val="StyleProp"/>
              <w:rPr>
                <w:color w:val="000000" w:themeColor="text1"/>
                <w:szCs w:val="18"/>
              </w:rPr>
            </w:pPr>
          </w:p>
        </w:tc>
        <w:tc>
          <w:tcPr>
            <w:tcW w:w="1987" w:type="dxa"/>
          </w:tcPr>
          <w:p w14:paraId="3AD029CE" w14:textId="77777777" w:rsidR="001A75A4" w:rsidRPr="00286216" w:rsidRDefault="001A75A4" w:rsidP="001A75A4">
            <w:pPr>
              <w:pStyle w:val="StyleWisnow"/>
              <w:rPr>
                <w:color w:val="000000" w:themeColor="text1"/>
              </w:rPr>
            </w:pPr>
          </w:p>
        </w:tc>
        <w:tc>
          <w:tcPr>
            <w:tcW w:w="4818" w:type="dxa"/>
          </w:tcPr>
          <w:p w14:paraId="5EE08CAA" w14:textId="7A7EAC99" w:rsidR="001A75A4" w:rsidRPr="00286216" w:rsidRDefault="001A75A4" w:rsidP="001A75A4">
            <w:pPr>
              <w:pStyle w:val="StyleZakonu"/>
              <w:rPr>
                <w:color w:val="000000" w:themeColor="text1"/>
              </w:rPr>
            </w:pPr>
            <w:r w:rsidRPr="00286216">
              <w:rPr>
                <w:color w:val="000000" w:themeColor="text1"/>
              </w:rPr>
              <w:t>1. Товарна біржа за результатами біржових торгів зобов’язана розраховувати та оприлюднювати біржовий курс біржового товару не пізніше робочого дня, наступного після торгового дня, в який відбувалися біржові торги відповідним біржовим товаром.</w:t>
            </w:r>
          </w:p>
        </w:tc>
      </w:tr>
      <w:tr w:rsidR="001A75A4" w:rsidRPr="00286216" w14:paraId="6F9F2A0D" w14:textId="77777777" w:rsidTr="00091AA5">
        <w:tc>
          <w:tcPr>
            <w:tcW w:w="576" w:type="dxa"/>
          </w:tcPr>
          <w:p w14:paraId="653C2D86" w14:textId="77777777" w:rsidR="001A75A4" w:rsidRPr="00286216" w:rsidRDefault="001A75A4" w:rsidP="001A75A4">
            <w:pPr>
              <w:pStyle w:val="StyleWisnow"/>
              <w:rPr>
                <w:color w:val="000000" w:themeColor="text1"/>
              </w:rPr>
            </w:pPr>
            <w:bookmarkStart w:id="2297" w:name="n2488" w:colFirst="0" w:colLast="0"/>
            <w:bookmarkEnd w:id="2296"/>
            <w:r w:rsidRPr="00286216">
              <w:rPr>
                <w:color w:val="000000" w:themeColor="text1"/>
              </w:rPr>
              <w:t>2488.</w:t>
            </w:r>
          </w:p>
        </w:tc>
        <w:tc>
          <w:tcPr>
            <w:tcW w:w="4818" w:type="dxa"/>
          </w:tcPr>
          <w:p w14:paraId="50AB59F3" w14:textId="77777777" w:rsidR="001A75A4" w:rsidRPr="00286216" w:rsidRDefault="001A75A4" w:rsidP="001A75A4">
            <w:pPr>
              <w:pStyle w:val="StyleZakonu"/>
              <w:rPr>
                <w:color w:val="000000" w:themeColor="text1"/>
              </w:rPr>
            </w:pPr>
            <w:r w:rsidRPr="00286216">
              <w:rPr>
                <w:color w:val="000000" w:themeColor="text1"/>
              </w:rPr>
              <w:t>2. Товарна біржа може розраховувати індекси та інші показники біржової торгівлі. При виконанні таких розрахунків товарна біржа може використовувати загальнодоступну інформацію та інформацію, одержану в ході або за результатами біржових торгів, інформацію з біржових договорів та біржових операцій.</w:t>
            </w:r>
          </w:p>
        </w:tc>
        <w:tc>
          <w:tcPr>
            <w:tcW w:w="3686" w:type="dxa"/>
          </w:tcPr>
          <w:p w14:paraId="58A6AB2C" w14:textId="77777777" w:rsidR="001A75A4" w:rsidRPr="00286216" w:rsidRDefault="001A75A4" w:rsidP="001A75A4">
            <w:pPr>
              <w:pStyle w:val="StyleProp"/>
              <w:rPr>
                <w:color w:val="000000" w:themeColor="text1"/>
                <w:szCs w:val="18"/>
              </w:rPr>
            </w:pPr>
          </w:p>
        </w:tc>
        <w:tc>
          <w:tcPr>
            <w:tcW w:w="1987" w:type="dxa"/>
          </w:tcPr>
          <w:p w14:paraId="0D01A668" w14:textId="77777777" w:rsidR="001A75A4" w:rsidRPr="00286216" w:rsidRDefault="001A75A4" w:rsidP="001A75A4">
            <w:pPr>
              <w:pStyle w:val="StyleWisnow"/>
              <w:rPr>
                <w:color w:val="000000" w:themeColor="text1"/>
              </w:rPr>
            </w:pPr>
          </w:p>
        </w:tc>
        <w:tc>
          <w:tcPr>
            <w:tcW w:w="4818" w:type="dxa"/>
          </w:tcPr>
          <w:p w14:paraId="13599B15" w14:textId="4F256064" w:rsidR="001A75A4" w:rsidRPr="00286216" w:rsidRDefault="001A75A4" w:rsidP="001A75A4">
            <w:pPr>
              <w:pStyle w:val="StyleZakonu"/>
              <w:rPr>
                <w:color w:val="000000" w:themeColor="text1"/>
              </w:rPr>
            </w:pPr>
            <w:r w:rsidRPr="00286216">
              <w:rPr>
                <w:color w:val="000000" w:themeColor="text1"/>
              </w:rPr>
              <w:t>2. Товарна біржа може розраховувати індекси та інші показники біржової торгівлі. При виконанні таких розрахунків товарна біржа може використовувати загальнодоступну інформацію та інформацію, одержану в ході або за результатами біржових торгів, інформацію з біржових договорів та біржових операцій.</w:t>
            </w:r>
          </w:p>
        </w:tc>
      </w:tr>
      <w:tr w:rsidR="001A75A4" w:rsidRPr="00286216" w14:paraId="1F765CA0" w14:textId="77777777" w:rsidTr="00091AA5">
        <w:tc>
          <w:tcPr>
            <w:tcW w:w="576" w:type="dxa"/>
          </w:tcPr>
          <w:p w14:paraId="481D221E" w14:textId="77777777" w:rsidR="001A75A4" w:rsidRPr="00286216" w:rsidRDefault="001A75A4" w:rsidP="001A75A4">
            <w:pPr>
              <w:pStyle w:val="StyleWisnow"/>
              <w:rPr>
                <w:color w:val="000000" w:themeColor="text1"/>
              </w:rPr>
            </w:pPr>
            <w:bookmarkStart w:id="2298" w:name="n2489" w:colFirst="0" w:colLast="0"/>
            <w:bookmarkEnd w:id="2297"/>
            <w:r w:rsidRPr="00286216">
              <w:rPr>
                <w:color w:val="000000" w:themeColor="text1"/>
              </w:rPr>
              <w:t>2489.</w:t>
            </w:r>
          </w:p>
        </w:tc>
        <w:tc>
          <w:tcPr>
            <w:tcW w:w="4818" w:type="dxa"/>
          </w:tcPr>
          <w:p w14:paraId="20B2BA3C"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13. </w:t>
            </w:r>
            <w:r w:rsidRPr="00286216">
              <w:rPr>
                <w:color w:val="000000" w:themeColor="text1"/>
                <w:shd w:val="clear" w:color="auto" w:fill="FFFFFF"/>
              </w:rPr>
              <w:t>Розкриття інформації на товарному біржовому ринку</w:t>
            </w:r>
          </w:p>
        </w:tc>
        <w:tc>
          <w:tcPr>
            <w:tcW w:w="3686" w:type="dxa"/>
          </w:tcPr>
          <w:p w14:paraId="039F4167" w14:textId="742061F0"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1187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F9CC957"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У назві статті 13 слова «товарному біржовому ринку» замінити словами «товарній біржі».</w:t>
            </w:r>
          </w:p>
        </w:tc>
        <w:tc>
          <w:tcPr>
            <w:tcW w:w="1987" w:type="dxa"/>
          </w:tcPr>
          <w:p w14:paraId="0CE4B592"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3D1666E6" w14:textId="70691598"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13. </w:t>
            </w:r>
            <w:r w:rsidRPr="00286216">
              <w:rPr>
                <w:color w:val="000000" w:themeColor="text1"/>
                <w:shd w:val="clear" w:color="auto" w:fill="FFFFFF"/>
              </w:rPr>
              <w:t xml:space="preserve">Розкриття інформації </w:t>
            </w:r>
            <w:r w:rsidRPr="00286216">
              <w:rPr>
                <w:color w:val="000000" w:themeColor="text1"/>
                <w:szCs w:val="18"/>
                <w:lang w:eastAsia="uk-UA"/>
              </w:rPr>
              <w:t>та звітність на</w:t>
            </w:r>
            <w:r w:rsidRPr="00286216">
              <w:rPr>
                <w:color w:val="000000" w:themeColor="text1"/>
                <w:shd w:val="clear" w:color="auto" w:fill="FFFFFF"/>
              </w:rPr>
              <w:t xml:space="preserve"> </w:t>
            </w:r>
            <w:r w:rsidRPr="00286216">
              <w:rPr>
                <w:color w:val="000000" w:themeColor="text1"/>
                <w:szCs w:val="18"/>
              </w:rPr>
              <w:t>товарній біржі</w:t>
            </w:r>
          </w:p>
        </w:tc>
      </w:tr>
      <w:bookmarkEnd w:id="2298"/>
      <w:tr w:rsidR="001A75A4" w:rsidRPr="00286216" w14:paraId="7C522D88" w14:textId="77777777" w:rsidTr="00091AA5">
        <w:tc>
          <w:tcPr>
            <w:tcW w:w="576" w:type="dxa"/>
          </w:tcPr>
          <w:p w14:paraId="1ACC1C27" w14:textId="77777777" w:rsidR="001A75A4" w:rsidRPr="00286216" w:rsidRDefault="001A75A4" w:rsidP="001A75A4">
            <w:pPr>
              <w:pStyle w:val="StyleWisnow"/>
              <w:rPr>
                <w:color w:val="000000" w:themeColor="text1"/>
              </w:rPr>
            </w:pPr>
          </w:p>
        </w:tc>
        <w:tc>
          <w:tcPr>
            <w:tcW w:w="4818" w:type="dxa"/>
          </w:tcPr>
          <w:p w14:paraId="2360B639" w14:textId="77777777" w:rsidR="001A75A4" w:rsidRPr="00286216" w:rsidRDefault="001A75A4" w:rsidP="001A75A4">
            <w:pPr>
              <w:pStyle w:val="StyleZakonu"/>
              <w:rPr>
                <w:color w:val="000000" w:themeColor="text1"/>
              </w:rPr>
            </w:pPr>
          </w:p>
        </w:tc>
        <w:tc>
          <w:tcPr>
            <w:tcW w:w="3686" w:type="dxa"/>
          </w:tcPr>
          <w:p w14:paraId="503B6912" w14:textId="6384B5F8" w:rsidR="001A75A4" w:rsidRPr="00286216" w:rsidRDefault="001A75A4" w:rsidP="001A75A4">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1188</w:t>
            </w:r>
            <w:r w:rsidRPr="00286216">
              <w:rPr>
                <w:color w:val="000000" w:themeColor="text1"/>
                <w:spacing w:val="-4"/>
              </w:rPr>
              <w:fldChar w:fldCharType="end"/>
            </w:r>
            <w:r w:rsidRPr="00286216">
              <w:rPr>
                <w:color w:val="000000" w:themeColor="text1"/>
                <w:spacing w:val="-4"/>
              </w:rPr>
              <w:t>-Н.д.Шахов С.В. (Реєстр.картка №114)</w:t>
            </w:r>
          </w:p>
          <w:p w14:paraId="123AB281" w14:textId="77777777" w:rsidR="001A75A4" w:rsidRPr="00286216" w:rsidRDefault="001A75A4" w:rsidP="001A75A4">
            <w:pPr>
              <w:pStyle w:val="StyleProp"/>
              <w:rPr>
                <w:color w:val="000000" w:themeColor="text1"/>
                <w:szCs w:val="18"/>
              </w:rPr>
            </w:pPr>
            <w:r w:rsidRPr="00286216">
              <w:rPr>
                <w:color w:val="000000" w:themeColor="text1"/>
                <w:szCs w:val="18"/>
                <w:lang w:eastAsia="uk-UA"/>
              </w:rPr>
              <w:t>Назву статті 13 після слова "інформації" доповнити словами "та звітність".</w:t>
            </w:r>
          </w:p>
        </w:tc>
        <w:tc>
          <w:tcPr>
            <w:tcW w:w="1987" w:type="dxa"/>
          </w:tcPr>
          <w:p w14:paraId="70DEC5F8"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2D5DA365" w14:textId="77777777" w:rsidR="001A75A4" w:rsidRPr="00286216" w:rsidRDefault="001A75A4" w:rsidP="001A75A4">
            <w:pPr>
              <w:pStyle w:val="StyleZakonu"/>
              <w:rPr>
                <w:color w:val="000000" w:themeColor="text1"/>
              </w:rPr>
            </w:pPr>
          </w:p>
        </w:tc>
      </w:tr>
      <w:tr w:rsidR="001A75A4" w:rsidRPr="00286216" w14:paraId="3582C241" w14:textId="77777777" w:rsidTr="00091AA5">
        <w:tc>
          <w:tcPr>
            <w:tcW w:w="576" w:type="dxa"/>
          </w:tcPr>
          <w:p w14:paraId="77A9C46C" w14:textId="77777777" w:rsidR="001A75A4" w:rsidRPr="00286216" w:rsidRDefault="001A75A4" w:rsidP="001A75A4">
            <w:pPr>
              <w:pStyle w:val="StyleWisnow"/>
              <w:rPr>
                <w:color w:val="000000" w:themeColor="text1"/>
              </w:rPr>
            </w:pPr>
            <w:bookmarkStart w:id="2299" w:name="n2490" w:colFirst="0" w:colLast="0"/>
            <w:r w:rsidRPr="00286216">
              <w:rPr>
                <w:color w:val="000000" w:themeColor="text1"/>
              </w:rPr>
              <w:t>2490.</w:t>
            </w:r>
          </w:p>
        </w:tc>
        <w:tc>
          <w:tcPr>
            <w:tcW w:w="4818" w:type="dxa"/>
          </w:tcPr>
          <w:p w14:paraId="46E1538D" w14:textId="77777777" w:rsidR="001A75A4" w:rsidRPr="00286216" w:rsidRDefault="001A75A4" w:rsidP="001A75A4">
            <w:pPr>
              <w:pStyle w:val="StyleZakonu"/>
              <w:rPr>
                <w:color w:val="000000" w:themeColor="text1"/>
              </w:rPr>
            </w:pPr>
            <w:bookmarkStart w:id="2300" w:name="_Ref20153153"/>
            <w:r w:rsidRPr="00286216">
              <w:rPr>
                <w:color w:val="000000" w:themeColor="text1"/>
              </w:rPr>
              <w:t>1. Товарна біржа зобов'язана оприлюднювати та надавати Національній комісії з цінних паперів та фондового ринку інформацію, передбачену законом та/або нормативно-правовими актами Національної комісії з цінних паперів та фондового ринку, а саме про:</w:t>
            </w:r>
            <w:bookmarkEnd w:id="2300"/>
          </w:p>
        </w:tc>
        <w:tc>
          <w:tcPr>
            <w:tcW w:w="3686" w:type="dxa"/>
          </w:tcPr>
          <w:p w14:paraId="4D4F2CDA" w14:textId="11952B82" w:rsidR="001A75A4" w:rsidRPr="00286216" w:rsidRDefault="001A75A4" w:rsidP="001A75A4">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1189</w:t>
            </w:r>
            <w:r w:rsidRPr="00286216">
              <w:rPr>
                <w:color w:val="000000" w:themeColor="text1"/>
                <w:spacing w:val="-4"/>
              </w:rPr>
              <w:fldChar w:fldCharType="end"/>
            </w:r>
            <w:r w:rsidRPr="00286216">
              <w:rPr>
                <w:color w:val="000000" w:themeColor="text1"/>
                <w:spacing w:val="-4"/>
              </w:rPr>
              <w:t>-Н.д.Шахов С.В. (Реєстр.картка №114)</w:t>
            </w:r>
          </w:p>
          <w:p w14:paraId="71787EDC"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Абз.1 ч. 1 ст.13 викласти у такій редакції:</w:t>
            </w:r>
          </w:p>
          <w:p w14:paraId="36A7ABB1"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"1. Товарна біржа зобов'язана оприлюднювати та надавати регулятору відповідного ринку інформацію, передбачену цим Законом, а саме про:"</w:t>
            </w:r>
          </w:p>
        </w:tc>
        <w:tc>
          <w:tcPr>
            <w:tcW w:w="1987" w:type="dxa"/>
          </w:tcPr>
          <w:p w14:paraId="5972832F" w14:textId="77777777" w:rsidR="001A75A4" w:rsidRPr="00286216" w:rsidRDefault="001A75A4" w:rsidP="001A75A4">
            <w:pPr>
              <w:pStyle w:val="StyleWisnow"/>
              <w:rPr>
                <w:color w:val="000000" w:themeColor="text1"/>
              </w:rPr>
            </w:pPr>
            <w:r w:rsidRPr="00286216">
              <w:rPr>
                <w:color w:val="000000" w:themeColor="text1"/>
              </w:rPr>
              <w:t>Відхилено</w:t>
            </w:r>
          </w:p>
          <w:p w14:paraId="191F92C5" w14:textId="4D5A68AC" w:rsidR="001A75A4" w:rsidRPr="00286216" w:rsidRDefault="001A75A4" w:rsidP="001A75A4">
            <w:pPr>
              <w:pStyle w:val="StyleWisnow"/>
              <w:rPr>
                <w:color w:val="000000" w:themeColor="text1"/>
              </w:rPr>
            </w:pPr>
            <w:r w:rsidRPr="00286216">
              <w:rPr>
                <w:color w:val="000000" w:themeColor="text1"/>
              </w:rPr>
              <w:t>регулятор – НКЦПФР</w:t>
            </w:r>
          </w:p>
        </w:tc>
        <w:tc>
          <w:tcPr>
            <w:tcW w:w="4818" w:type="dxa"/>
          </w:tcPr>
          <w:p w14:paraId="6B4E4A3C" w14:textId="47D1329B" w:rsidR="001A75A4" w:rsidRPr="00286216" w:rsidRDefault="001A75A4" w:rsidP="001A75A4">
            <w:pPr>
              <w:pStyle w:val="StyleZakonu"/>
              <w:rPr>
                <w:color w:val="000000" w:themeColor="text1"/>
              </w:rPr>
            </w:pPr>
            <w:r w:rsidRPr="00286216">
              <w:rPr>
                <w:color w:val="000000" w:themeColor="text1"/>
              </w:rPr>
              <w:t>1. Товарна біржа зобов'язана оприлюднювати та подавати до Національної комісії з цінних паперів та фондового ринку інформацію, передбачену законом та/або нормативно-правовими актами Національної комісії з цінних паперів та фондового ринку, а саме:</w:t>
            </w:r>
          </w:p>
        </w:tc>
      </w:tr>
      <w:tr w:rsidR="001A75A4" w:rsidRPr="00286216" w14:paraId="53D7D0E3" w14:textId="77777777" w:rsidTr="00091AA5">
        <w:tc>
          <w:tcPr>
            <w:tcW w:w="576" w:type="dxa"/>
          </w:tcPr>
          <w:p w14:paraId="74630529" w14:textId="77777777" w:rsidR="001A75A4" w:rsidRPr="00286216" w:rsidRDefault="001A75A4" w:rsidP="001A75A4">
            <w:pPr>
              <w:pStyle w:val="StyleWisnow"/>
              <w:rPr>
                <w:color w:val="000000" w:themeColor="text1"/>
              </w:rPr>
            </w:pPr>
            <w:bookmarkStart w:id="2301" w:name="n2491" w:colFirst="0" w:colLast="0"/>
            <w:bookmarkEnd w:id="2299"/>
            <w:r w:rsidRPr="00286216">
              <w:rPr>
                <w:color w:val="000000" w:themeColor="text1"/>
              </w:rPr>
              <w:t>2491.</w:t>
            </w:r>
          </w:p>
        </w:tc>
        <w:tc>
          <w:tcPr>
            <w:tcW w:w="4818" w:type="dxa"/>
          </w:tcPr>
          <w:p w14:paraId="15C9F606" w14:textId="77777777" w:rsidR="001A75A4" w:rsidRPr="00286216" w:rsidRDefault="001A75A4" w:rsidP="001A75A4">
            <w:pPr>
              <w:pStyle w:val="StyleZakonu"/>
              <w:rPr>
                <w:color w:val="000000" w:themeColor="text1"/>
              </w:rPr>
            </w:pPr>
            <w:r w:rsidRPr="00286216">
              <w:rPr>
                <w:color w:val="000000" w:themeColor="text1"/>
              </w:rPr>
              <w:t>1) перелік учасників торгів, допущених до біржових торгів;</w:t>
            </w:r>
          </w:p>
        </w:tc>
        <w:tc>
          <w:tcPr>
            <w:tcW w:w="3686" w:type="dxa"/>
          </w:tcPr>
          <w:p w14:paraId="7FF00F08" w14:textId="77777777" w:rsidR="001A75A4" w:rsidRPr="00286216" w:rsidRDefault="001A75A4" w:rsidP="001A75A4">
            <w:pPr>
              <w:pStyle w:val="StyleProp"/>
              <w:rPr>
                <w:color w:val="000000" w:themeColor="text1"/>
                <w:szCs w:val="18"/>
              </w:rPr>
            </w:pPr>
          </w:p>
        </w:tc>
        <w:tc>
          <w:tcPr>
            <w:tcW w:w="1987" w:type="dxa"/>
          </w:tcPr>
          <w:p w14:paraId="377D915B" w14:textId="77777777" w:rsidR="001A75A4" w:rsidRPr="00286216" w:rsidRDefault="001A75A4" w:rsidP="001A75A4">
            <w:pPr>
              <w:pStyle w:val="StyleWisnow"/>
              <w:rPr>
                <w:color w:val="000000" w:themeColor="text1"/>
              </w:rPr>
            </w:pPr>
          </w:p>
        </w:tc>
        <w:tc>
          <w:tcPr>
            <w:tcW w:w="4818" w:type="dxa"/>
          </w:tcPr>
          <w:p w14:paraId="673E15D1" w14:textId="75922680" w:rsidR="001A75A4" w:rsidRPr="00286216" w:rsidRDefault="001A75A4" w:rsidP="001A75A4">
            <w:pPr>
              <w:pStyle w:val="StyleZakonu"/>
              <w:rPr>
                <w:color w:val="000000" w:themeColor="text1"/>
              </w:rPr>
            </w:pPr>
            <w:r w:rsidRPr="00286216">
              <w:rPr>
                <w:color w:val="000000" w:themeColor="text1"/>
              </w:rPr>
              <w:t>1) перелік учасників торгів, допущених до біржових торгів;</w:t>
            </w:r>
          </w:p>
        </w:tc>
      </w:tr>
      <w:tr w:rsidR="001A75A4" w:rsidRPr="00286216" w14:paraId="358E8FE2" w14:textId="77777777" w:rsidTr="00091AA5">
        <w:tc>
          <w:tcPr>
            <w:tcW w:w="576" w:type="dxa"/>
          </w:tcPr>
          <w:p w14:paraId="197565C4" w14:textId="77777777" w:rsidR="001A75A4" w:rsidRPr="00286216" w:rsidRDefault="001A75A4" w:rsidP="001A75A4">
            <w:pPr>
              <w:pStyle w:val="StyleWisnow"/>
              <w:rPr>
                <w:color w:val="000000" w:themeColor="text1"/>
              </w:rPr>
            </w:pPr>
            <w:bookmarkStart w:id="2302" w:name="n2492" w:colFirst="0" w:colLast="0"/>
            <w:bookmarkEnd w:id="2301"/>
            <w:r w:rsidRPr="00286216">
              <w:rPr>
                <w:color w:val="000000" w:themeColor="text1"/>
              </w:rPr>
              <w:lastRenderedPageBreak/>
              <w:t>2492.</w:t>
            </w:r>
          </w:p>
        </w:tc>
        <w:tc>
          <w:tcPr>
            <w:tcW w:w="4818" w:type="dxa"/>
          </w:tcPr>
          <w:p w14:paraId="47CDC6C0" w14:textId="77777777" w:rsidR="001A75A4" w:rsidRPr="00286216" w:rsidRDefault="001A75A4" w:rsidP="001A75A4">
            <w:pPr>
              <w:pStyle w:val="StyleZakonu"/>
              <w:rPr>
                <w:color w:val="000000" w:themeColor="text1"/>
              </w:rPr>
            </w:pPr>
            <w:r w:rsidRPr="00286216">
              <w:rPr>
                <w:color w:val="000000" w:themeColor="text1"/>
              </w:rPr>
              <w:t>2) реєстр біржових товарів;</w:t>
            </w:r>
          </w:p>
        </w:tc>
        <w:tc>
          <w:tcPr>
            <w:tcW w:w="3686" w:type="dxa"/>
          </w:tcPr>
          <w:p w14:paraId="3C4E9695" w14:textId="77777777" w:rsidR="001A75A4" w:rsidRPr="00286216" w:rsidRDefault="001A75A4" w:rsidP="001A75A4">
            <w:pPr>
              <w:pStyle w:val="StyleProp"/>
              <w:rPr>
                <w:color w:val="000000" w:themeColor="text1"/>
                <w:szCs w:val="18"/>
              </w:rPr>
            </w:pPr>
          </w:p>
        </w:tc>
        <w:tc>
          <w:tcPr>
            <w:tcW w:w="1987" w:type="dxa"/>
          </w:tcPr>
          <w:p w14:paraId="2DF39C02" w14:textId="77777777" w:rsidR="001A75A4" w:rsidRPr="00286216" w:rsidRDefault="001A75A4" w:rsidP="001A75A4">
            <w:pPr>
              <w:pStyle w:val="StyleWisnow"/>
              <w:rPr>
                <w:color w:val="000000" w:themeColor="text1"/>
              </w:rPr>
            </w:pPr>
          </w:p>
        </w:tc>
        <w:tc>
          <w:tcPr>
            <w:tcW w:w="4818" w:type="dxa"/>
          </w:tcPr>
          <w:p w14:paraId="75B4D64F" w14:textId="49B45701" w:rsidR="001A75A4" w:rsidRPr="00286216" w:rsidRDefault="001A75A4" w:rsidP="001A75A4">
            <w:pPr>
              <w:pStyle w:val="StyleZakonu"/>
              <w:rPr>
                <w:color w:val="000000" w:themeColor="text1"/>
              </w:rPr>
            </w:pPr>
            <w:r w:rsidRPr="00286216">
              <w:rPr>
                <w:color w:val="000000" w:themeColor="text1"/>
              </w:rPr>
              <w:t>2) реєстр біржових товарів;</w:t>
            </w:r>
          </w:p>
        </w:tc>
      </w:tr>
      <w:tr w:rsidR="001A75A4" w:rsidRPr="00286216" w14:paraId="794FF874" w14:textId="77777777" w:rsidTr="00091AA5">
        <w:tc>
          <w:tcPr>
            <w:tcW w:w="576" w:type="dxa"/>
          </w:tcPr>
          <w:p w14:paraId="39329C41" w14:textId="77777777" w:rsidR="001A75A4" w:rsidRPr="00286216" w:rsidRDefault="001A75A4" w:rsidP="001A75A4">
            <w:pPr>
              <w:pStyle w:val="StyleWisnow"/>
              <w:rPr>
                <w:color w:val="000000" w:themeColor="text1"/>
              </w:rPr>
            </w:pPr>
            <w:bookmarkStart w:id="2303" w:name="n2493" w:colFirst="0" w:colLast="0"/>
            <w:bookmarkEnd w:id="2302"/>
            <w:r w:rsidRPr="00286216">
              <w:rPr>
                <w:color w:val="000000" w:themeColor="text1"/>
              </w:rPr>
              <w:t>2493.</w:t>
            </w:r>
          </w:p>
        </w:tc>
        <w:tc>
          <w:tcPr>
            <w:tcW w:w="4818" w:type="dxa"/>
          </w:tcPr>
          <w:p w14:paraId="65A14A92" w14:textId="77777777" w:rsidR="001A75A4" w:rsidRPr="00286216" w:rsidRDefault="001A75A4" w:rsidP="001A75A4">
            <w:pPr>
              <w:pStyle w:val="StyleZakonu"/>
              <w:rPr>
                <w:color w:val="000000" w:themeColor="text1"/>
              </w:rPr>
            </w:pPr>
            <w:r w:rsidRPr="00286216">
              <w:rPr>
                <w:color w:val="000000" w:themeColor="text1"/>
              </w:rPr>
              <w:t>3) обсяг торгівлі товарами (зокрема, номенклатуру товарів, їх загальну вартість та кількість згідно з укладеними договорами, біржовий курс щодо кожного товару, що перебуває в обігу на товарній біржі тощо);</w:t>
            </w:r>
          </w:p>
        </w:tc>
        <w:tc>
          <w:tcPr>
            <w:tcW w:w="3686" w:type="dxa"/>
          </w:tcPr>
          <w:p w14:paraId="77B69E86" w14:textId="77777777" w:rsidR="001A75A4" w:rsidRPr="00286216" w:rsidRDefault="001A75A4" w:rsidP="001A75A4">
            <w:pPr>
              <w:pStyle w:val="StyleProp"/>
              <w:rPr>
                <w:color w:val="000000" w:themeColor="text1"/>
                <w:szCs w:val="18"/>
              </w:rPr>
            </w:pPr>
          </w:p>
        </w:tc>
        <w:tc>
          <w:tcPr>
            <w:tcW w:w="1987" w:type="dxa"/>
          </w:tcPr>
          <w:p w14:paraId="33EC7291" w14:textId="77777777" w:rsidR="001A75A4" w:rsidRPr="00286216" w:rsidRDefault="001A75A4" w:rsidP="001A75A4">
            <w:pPr>
              <w:pStyle w:val="StyleWisnow"/>
              <w:rPr>
                <w:color w:val="000000" w:themeColor="text1"/>
              </w:rPr>
            </w:pPr>
          </w:p>
        </w:tc>
        <w:tc>
          <w:tcPr>
            <w:tcW w:w="4818" w:type="dxa"/>
          </w:tcPr>
          <w:p w14:paraId="10F3F022" w14:textId="4BA08009" w:rsidR="001A75A4" w:rsidRPr="00286216" w:rsidRDefault="001A75A4" w:rsidP="001A75A4">
            <w:pPr>
              <w:pStyle w:val="StyleZakonu"/>
              <w:rPr>
                <w:color w:val="000000" w:themeColor="text1"/>
              </w:rPr>
            </w:pPr>
            <w:r w:rsidRPr="00286216">
              <w:rPr>
                <w:color w:val="000000" w:themeColor="text1"/>
              </w:rPr>
              <w:t>3) обсяг торгівлі товарами ( номенклатура товарів, їх загальна вартість та кількість згідно з укладеними договорами, біржовий курс щодо кожного товару, що перебуває в обігу на товарній біржі, тощо);</w:t>
            </w:r>
          </w:p>
        </w:tc>
      </w:tr>
      <w:tr w:rsidR="001A75A4" w:rsidRPr="00286216" w14:paraId="2A5DF05E" w14:textId="77777777" w:rsidTr="00091AA5">
        <w:tc>
          <w:tcPr>
            <w:tcW w:w="576" w:type="dxa"/>
          </w:tcPr>
          <w:p w14:paraId="0BFB6B83" w14:textId="77777777" w:rsidR="001A75A4" w:rsidRPr="00286216" w:rsidRDefault="001A75A4" w:rsidP="001A75A4">
            <w:pPr>
              <w:pStyle w:val="StyleWisnow"/>
              <w:rPr>
                <w:color w:val="000000" w:themeColor="text1"/>
              </w:rPr>
            </w:pPr>
            <w:bookmarkStart w:id="2304" w:name="n2494" w:colFirst="0" w:colLast="0"/>
            <w:bookmarkEnd w:id="2303"/>
            <w:r w:rsidRPr="00286216">
              <w:rPr>
                <w:color w:val="000000" w:themeColor="text1"/>
              </w:rPr>
              <w:t>2494.</w:t>
            </w:r>
          </w:p>
        </w:tc>
        <w:tc>
          <w:tcPr>
            <w:tcW w:w="4818" w:type="dxa"/>
          </w:tcPr>
          <w:p w14:paraId="47582D52" w14:textId="77777777" w:rsidR="001A75A4" w:rsidRPr="00286216" w:rsidRDefault="001A75A4" w:rsidP="001A75A4">
            <w:pPr>
              <w:pStyle w:val="StyleZakonu"/>
              <w:rPr>
                <w:color w:val="000000" w:themeColor="text1"/>
              </w:rPr>
            </w:pPr>
            <w:r w:rsidRPr="00286216">
              <w:rPr>
                <w:color w:val="000000" w:themeColor="text1"/>
              </w:rPr>
              <w:t>4) інформацію щодо позабіржових операцій у випадках і в межах, встановлених законодавством;</w:t>
            </w:r>
          </w:p>
        </w:tc>
        <w:tc>
          <w:tcPr>
            <w:tcW w:w="3686" w:type="dxa"/>
          </w:tcPr>
          <w:p w14:paraId="1CCF8D7D" w14:textId="77777777" w:rsidR="001A75A4" w:rsidRPr="00286216" w:rsidRDefault="001A75A4" w:rsidP="001A75A4">
            <w:pPr>
              <w:pStyle w:val="StyleProp"/>
              <w:rPr>
                <w:color w:val="000000" w:themeColor="text1"/>
                <w:szCs w:val="18"/>
              </w:rPr>
            </w:pPr>
          </w:p>
        </w:tc>
        <w:tc>
          <w:tcPr>
            <w:tcW w:w="1987" w:type="dxa"/>
          </w:tcPr>
          <w:p w14:paraId="6173C10F" w14:textId="77777777" w:rsidR="001A75A4" w:rsidRPr="00286216" w:rsidRDefault="001A75A4" w:rsidP="001A75A4">
            <w:pPr>
              <w:pStyle w:val="StyleWisnow"/>
              <w:rPr>
                <w:color w:val="000000" w:themeColor="text1"/>
              </w:rPr>
            </w:pPr>
          </w:p>
        </w:tc>
        <w:tc>
          <w:tcPr>
            <w:tcW w:w="4818" w:type="dxa"/>
          </w:tcPr>
          <w:p w14:paraId="30C255AF" w14:textId="6AB78630" w:rsidR="001A75A4" w:rsidRPr="00286216" w:rsidRDefault="001A75A4" w:rsidP="001A75A4">
            <w:pPr>
              <w:pStyle w:val="StyleZakonu"/>
              <w:rPr>
                <w:color w:val="000000" w:themeColor="text1"/>
              </w:rPr>
            </w:pPr>
            <w:r w:rsidRPr="00286216">
              <w:rPr>
                <w:color w:val="000000" w:themeColor="text1"/>
              </w:rPr>
              <w:t>4) інформацію щодо позабіржових операцій у випадках і в межах, встановлених законодавством.</w:t>
            </w:r>
          </w:p>
        </w:tc>
      </w:tr>
      <w:tr w:rsidR="001A75A4" w:rsidRPr="00286216" w14:paraId="32644DA0" w14:textId="77777777" w:rsidTr="00091AA5">
        <w:tc>
          <w:tcPr>
            <w:tcW w:w="576" w:type="dxa"/>
          </w:tcPr>
          <w:p w14:paraId="70DB1F29" w14:textId="77777777" w:rsidR="001A75A4" w:rsidRPr="00286216" w:rsidRDefault="001A75A4" w:rsidP="001A75A4">
            <w:pPr>
              <w:pStyle w:val="StyleWisnow"/>
              <w:rPr>
                <w:color w:val="000000" w:themeColor="text1"/>
              </w:rPr>
            </w:pPr>
            <w:bookmarkStart w:id="2305" w:name="n2495" w:colFirst="0" w:colLast="0"/>
            <w:bookmarkEnd w:id="2304"/>
            <w:r w:rsidRPr="00286216">
              <w:rPr>
                <w:color w:val="000000" w:themeColor="text1"/>
              </w:rPr>
              <w:t>2495.</w:t>
            </w:r>
          </w:p>
        </w:tc>
        <w:tc>
          <w:tcPr>
            <w:tcW w:w="4818" w:type="dxa"/>
          </w:tcPr>
          <w:p w14:paraId="21476002" w14:textId="77777777" w:rsidR="001A75A4" w:rsidRPr="00286216" w:rsidRDefault="001A75A4" w:rsidP="001A75A4">
            <w:pPr>
              <w:pStyle w:val="StyleZakonu"/>
              <w:rPr>
                <w:color w:val="000000" w:themeColor="text1"/>
              </w:rPr>
            </w:pPr>
            <w:r w:rsidRPr="00286216">
              <w:rPr>
                <w:color w:val="000000" w:themeColor="text1"/>
              </w:rPr>
              <w:t>5) іншу інформацію відповідно до вимог, установлених Національною комісією з цінних паперів та фондового ринку для кожного виду організованого ринку.</w:t>
            </w:r>
          </w:p>
        </w:tc>
        <w:tc>
          <w:tcPr>
            <w:tcW w:w="3686" w:type="dxa"/>
          </w:tcPr>
          <w:p w14:paraId="4A3AE6CC" w14:textId="3FBB4D60"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1190</w:t>
            </w:r>
            <w:r w:rsidRPr="00286216">
              <w:rPr>
                <w:color w:val="000000" w:themeColor="text1"/>
                <w:spacing w:val="-2"/>
              </w:rPr>
              <w:fldChar w:fldCharType="end"/>
            </w:r>
            <w:r w:rsidRPr="00286216">
              <w:rPr>
                <w:color w:val="000000" w:themeColor="text1"/>
                <w:spacing w:val="-2"/>
              </w:rPr>
              <w:t>-Н.д.Шахов С.В. (Реєстр.картка №114)</w:t>
            </w:r>
          </w:p>
          <w:p w14:paraId="50B4F12E" w14:textId="77777777" w:rsidR="001A75A4" w:rsidRPr="00286216" w:rsidRDefault="001A75A4" w:rsidP="001A75A4">
            <w:pPr>
              <w:pStyle w:val="StyleProp"/>
              <w:rPr>
                <w:color w:val="000000" w:themeColor="text1"/>
                <w:szCs w:val="18"/>
              </w:rPr>
            </w:pPr>
            <w:r w:rsidRPr="00286216">
              <w:rPr>
                <w:color w:val="000000" w:themeColor="text1"/>
                <w:szCs w:val="18"/>
              </w:rPr>
              <w:t>П. 5 ч. 1 ст. 13 виключити.</w:t>
            </w:r>
          </w:p>
        </w:tc>
        <w:tc>
          <w:tcPr>
            <w:tcW w:w="1987" w:type="dxa"/>
          </w:tcPr>
          <w:p w14:paraId="48956015"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2593CE76" w14:textId="77777777" w:rsidR="001A75A4" w:rsidRPr="00286216" w:rsidRDefault="001A75A4" w:rsidP="001A75A4">
            <w:pPr>
              <w:pStyle w:val="StyleZakonu"/>
              <w:rPr>
                <w:color w:val="000000" w:themeColor="text1"/>
              </w:rPr>
            </w:pPr>
          </w:p>
        </w:tc>
      </w:tr>
      <w:tr w:rsidR="001A75A4" w:rsidRPr="00286216" w14:paraId="74436259" w14:textId="77777777" w:rsidTr="00091AA5">
        <w:tc>
          <w:tcPr>
            <w:tcW w:w="576" w:type="dxa"/>
          </w:tcPr>
          <w:p w14:paraId="4D02B4E9" w14:textId="77777777" w:rsidR="001A75A4" w:rsidRPr="00286216" w:rsidRDefault="001A75A4" w:rsidP="001A75A4">
            <w:pPr>
              <w:pStyle w:val="StyleWisnow"/>
              <w:rPr>
                <w:color w:val="000000" w:themeColor="text1"/>
              </w:rPr>
            </w:pPr>
            <w:bookmarkStart w:id="2306" w:name="n2496" w:colFirst="0" w:colLast="0"/>
            <w:bookmarkEnd w:id="2305"/>
            <w:r w:rsidRPr="00286216">
              <w:rPr>
                <w:color w:val="000000" w:themeColor="text1"/>
              </w:rPr>
              <w:t>2496.</w:t>
            </w:r>
          </w:p>
        </w:tc>
        <w:tc>
          <w:tcPr>
            <w:tcW w:w="4818" w:type="dxa"/>
          </w:tcPr>
          <w:p w14:paraId="7BE33AEA" w14:textId="77777777" w:rsidR="001A75A4" w:rsidRPr="00286216" w:rsidRDefault="001A75A4" w:rsidP="001A75A4">
            <w:pPr>
              <w:pStyle w:val="StyleZakonu"/>
              <w:rPr>
                <w:color w:val="000000" w:themeColor="text1"/>
              </w:rPr>
            </w:pPr>
            <w:r w:rsidRPr="00286216">
              <w:rPr>
                <w:color w:val="000000" w:themeColor="text1"/>
              </w:rPr>
              <w:t>2. Національна комісія з цінних паперів та фондового ринку встановлює строки, порядок і форми подання інформації, зазначеної у частині першій цієї статті, та здійснює контроль за розкриттям інформації товарною біржою.</w:t>
            </w:r>
          </w:p>
        </w:tc>
        <w:tc>
          <w:tcPr>
            <w:tcW w:w="3686" w:type="dxa"/>
          </w:tcPr>
          <w:p w14:paraId="57580EE7" w14:textId="42455184"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1191</w:t>
            </w:r>
            <w:r w:rsidRPr="00286216">
              <w:rPr>
                <w:color w:val="000000" w:themeColor="text1"/>
                <w:spacing w:val="-2"/>
              </w:rPr>
              <w:fldChar w:fldCharType="end"/>
            </w:r>
            <w:r w:rsidRPr="00286216">
              <w:rPr>
                <w:color w:val="000000" w:themeColor="text1"/>
                <w:spacing w:val="-2"/>
              </w:rPr>
              <w:t>-Н.д.Шахов С.В. (Реєстр.картка №114)</w:t>
            </w:r>
          </w:p>
          <w:p w14:paraId="6840A356"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У частині 2 ст. 13 слова "</w:t>
            </w:r>
            <w:r w:rsidRPr="00286216">
              <w:rPr>
                <w:color w:val="000000" w:themeColor="text1"/>
              </w:rPr>
              <w:t>Національна комісія з цінних паперів та фондового ринку" замінити словами "Регулятор відповідного ринку".</w:t>
            </w:r>
          </w:p>
        </w:tc>
        <w:tc>
          <w:tcPr>
            <w:tcW w:w="1987" w:type="dxa"/>
          </w:tcPr>
          <w:p w14:paraId="12C6F7E8" w14:textId="77777777" w:rsidR="001A75A4" w:rsidRPr="00286216" w:rsidRDefault="001A75A4" w:rsidP="001A75A4">
            <w:pPr>
              <w:pStyle w:val="StyleWisnow"/>
              <w:rPr>
                <w:color w:val="000000" w:themeColor="text1"/>
              </w:rPr>
            </w:pPr>
            <w:r w:rsidRPr="00286216">
              <w:rPr>
                <w:color w:val="000000" w:themeColor="text1"/>
              </w:rPr>
              <w:t>Відхилено</w:t>
            </w:r>
          </w:p>
          <w:p w14:paraId="762134B4" w14:textId="6DF81E3D" w:rsidR="001A75A4" w:rsidRPr="00286216" w:rsidRDefault="001A75A4" w:rsidP="001A75A4">
            <w:pPr>
              <w:pStyle w:val="StyleWisnow"/>
              <w:rPr>
                <w:color w:val="000000" w:themeColor="text1"/>
              </w:rPr>
            </w:pPr>
            <w:r w:rsidRPr="00286216">
              <w:rPr>
                <w:color w:val="000000" w:themeColor="text1"/>
              </w:rPr>
              <w:t>регулятор – НКЦПФР</w:t>
            </w:r>
          </w:p>
        </w:tc>
        <w:tc>
          <w:tcPr>
            <w:tcW w:w="4818" w:type="dxa"/>
          </w:tcPr>
          <w:p w14:paraId="72EFCAC8" w14:textId="2DB9E273" w:rsidR="001A75A4" w:rsidRPr="00286216" w:rsidRDefault="001A75A4" w:rsidP="001A75A4">
            <w:pPr>
              <w:pStyle w:val="StyleZakonu"/>
              <w:rPr>
                <w:color w:val="000000" w:themeColor="text1"/>
              </w:rPr>
            </w:pPr>
            <w:r w:rsidRPr="00286216">
              <w:rPr>
                <w:color w:val="000000" w:themeColor="text1"/>
              </w:rPr>
              <w:t>2. Національна комісія з цінних паперів та фондового ринку встановлює строки, порядок і форми подання інформації, зазначеної у частині першій цієї статті, та здійснює контроль за розкриттям інформації товарною біржею.</w:t>
            </w:r>
          </w:p>
        </w:tc>
      </w:tr>
      <w:tr w:rsidR="001A75A4" w:rsidRPr="00286216" w14:paraId="2A8C1142" w14:textId="77777777" w:rsidTr="00091AA5">
        <w:tc>
          <w:tcPr>
            <w:tcW w:w="576" w:type="dxa"/>
          </w:tcPr>
          <w:p w14:paraId="5820EEBC" w14:textId="77777777" w:rsidR="001A75A4" w:rsidRPr="00286216" w:rsidRDefault="001A75A4" w:rsidP="001A75A4">
            <w:pPr>
              <w:pStyle w:val="StyleWisnow"/>
              <w:rPr>
                <w:color w:val="000000" w:themeColor="text1"/>
              </w:rPr>
            </w:pPr>
            <w:bookmarkStart w:id="2307" w:name="n2497" w:colFirst="0" w:colLast="0"/>
            <w:bookmarkEnd w:id="2306"/>
            <w:r w:rsidRPr="00286216">
              <w:rPr>
                <w:color w:val="000000" w:themeColor="text1"/>
              </w:rPr>
              <w:t>2497.</w:t>
            </w:r>
          </w:p>
        </w:tc>
        <w:tc>
          <w:tcPr>
            <w:tcW w:w="4818" w:type="dxa"/>
          </w:tcPr>
          <w:p w14:paraId="02738CA0" w14:textId="77777777" w:rsidR="001A75A4" w:rsidRPr="00286216" w:rsidRDefault="001A75A4" w:rsidP="001A75A4">
            <w:pPr>
              <w:pStyle w:val="StyleZakonu"/>
              <w:rPr>
                <w:color w:val="000000" w:themeColor="text1"/>
              </w:rPr>
            </w:pPr>
            <w:r w:rsidRPr="00286216">
              <w:rPr>
                <w:color w:val="000000" w:themeColor="text1"/>
              </w:rPr>
              <w:t>3. Товарні біржі зобов’язані розміщувати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інформацію зазначену у частині 1 цієї статті.</w:t>
            </w:r>
          </w:p>
        </w:tc>
        <w:tc>
          <w:tcPr>
            <w:tcW w:w="3686" w:type="dxa"/>
          </w:tcPr>
          <w:p w14:paraId="25E67FF0" w14:textId="7389C361" w:rsidR="001A75A4" w:rsidRPr="00286216" w:rsidRDefault="001A75A4" w:rsidP="001A75A4">
            <w:pPr>
              <w:pStyle w:val="StyleAwt"/>
              <w:rPr>
                <w:color w:val="000000" w:themeColor="text1"/>
                <w:spacing w:val="-5"/>
                <w:szCs w:val="18"/>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1192</w:t>
            </w:r>
            <w:r w:rsidRPr="00286216">
              <w:rPr>
                <w:color w:val="000000" w:themeColor="text1"/>
                <w:spacing w:val="-5"/>
              </w:rPr>
              <w:fldChar w:fldCharType="end"/>
            </w:r>
            <w:r w:rsidRPr="00286216">
              <w:rPr>
                <w:color w:val="000000" w:themeColor="text1"/>
                <w:spacing w:val="-5"/>
              </w:rPr>
              <w:t>-Н.д.</w:t>
            </w:r>
            <w:r w:rsidRPr="00286216">
              <w:rPr>
                <w:color w:val="000000" w:themeColor="text1"/>
                <w:spacing w:val="-5"/>
                <w:szCs w:val="18"/>
              </w:rPr>
              <w:t>Бєлькова О.В. (Реєстр.картка №403)</w:t>
            </w:r>
          </w:p>
          <w:p w14:paraId="16C6DB4E" w14:textId="77777777" w:rsidR="001A75A4" w:rsidRPr="00286216" w:rsidRDefault="001A75A4" w:rsidP="001A75A4">
            <w:pPr>
              <w:pStyle w:val="StyleProp"/>
              <w:spacing w:line="180" w:lineRule="exact"/>
              <w:rPr>
                <w:color w:val="000000" w:themeColor="text1"/>
                <w:szCs w:val="18"/>
              </w:rPr>
            </w:pPr>
            <w:r w:rsidRPr="00286216">
              <w:rPr>
                <w:color w:val="000000" w:themeColor="text1"/>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65D803E5" w14:textId="77777777" w:rsidR="001A75A4" w:rsidRPr="00286216" w:rsidRDefault="001A75A4" w:rsidP="001A75A4">
            <w:pPr>
              <w:pStyle w:val="StyleWisnow"/>
              <w:rPr>
                <w:color w:val="000000" w:themeColor="text1"/>
              </w:rPr>
            </w:pPr>
            <w:r w:rsidRPr="00286216">
              <w:rPr>
                <w:color w:val="000000" w:themeColor="text1"/>
              </w:rPr>
              <w:t>Враховано</w:t>
            </w:r>
          </w:p>
        </w:tc>
        <w:tc>
          <w:tcPr>
            <w:tcW w:w="4818" w:type="dxa"/>
          </w:tcPr>
          <w:p w14:paraId="2B1A49C0" w14:textId="291FBE8F" w:rsidR="001A75A4" w:rsidRPr="00286216" w:rsidRDefault="001A75A4" w:rsidP="001A75A4">
            <w:pPr>
              <w:pStyle w:val="StyleZakonu"/>
              <w:rPr>
                <w:color w:val="000000" w:themeColor="text1"/>
              </w:rPr>
            </w:pPr>
            <w:r w:rsidRPr="00286216">
              <w:rPr>
                <w:color w:val="000000" w:themeColor="text1"/>
              </w:rPr>
              <w:t>3. Товарні біржі зобов’язані розміщувати у базі даних особи, яка провадить діяльність з оприлюднення регульованої інформації від імені учасників ринків капіталу та професійних учасників організованих товарних ринків, інформацію, зазначену у частині першій цієї статті.</w:t>
            </w:r>
          </w:p>
        </w:tc>
      </w:tr>
      <w:tr w:rsidR="001A75A4" w:rsidRPr="00286216" w14:paraId="6B6D80A1" w14:textId="77777777" w:rsidTr="00091AA5">
        <w:tc>
          <w:tcPr>
            <w:tcW w:w="576" w:type="dxa"/>
          </w:tcPr>
          <w:p w14:paraId="5A7EE7E4" w14:textId="77777777" w:rsidR="001A75A4" w:rsidRPr="00286216" w:rsidRDefault="001A75A4" w:rsidP="001A75A4">
            <w:pPr>
              <w:pStyle w:val="StyleWisnow"/>
              <w:rPr>
                <w:color w:val="000000" w:themeColor="text1"/>
              </w:rPr>
            </w:pPr>
          </w:p>
        </w:tc>
        <w:tc>
          <w:tcPr>
            <w:tcW w:w="4818" w:type="dxa"/>
          </w:tcPr>
          <w:p w14:paraId="51930AA4" w14:textId="77777777" w:rsidR="001A75A4" w:rsidRPr="00286216" w:rsidRDefault="001A75A4" w:rsidP="001A75A4">
            <w:pPr>
              <w:pStyle w:val="StyleZakonu"/>
              <w:rPr>
                <w:color w:val="000000" w:themeColor="text1"/>
              </w:rPr>
            </w:pPr>
          </w:p>
        </w:tc>
        <w:tc>
          <w:tcPr>
            <w:tcW w:w="3686" w:type="dxa"/>
          </w:tcPr>
          <w:p w14:paraId="110C163D" w14:textId="71B2B686" w:rsidR="001A75A4" w:rsidRPr="00286216" w:rsidRDefault="001A75A4" w:rsidP="001A75A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1193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7BDE1C7"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У частині третій статті 13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6A8B4AEF" w14:textId="77777777" w:rsidR="001A75A4" w:rsidRPr="00286216" w:rsidRDefault="001A75A4" w:rsidP="001A75A4">
            <w:pPr>
              <w:pStyle w:val="StyleWisnow"/>
              <w:rPr>
                <w:color w:val="000000" w:themeColor="text1"/>
              </w:rPr>
            </w:pPr>
            <w:r w:rsidRPr="00286216">
              <w:rPr>
                <w:color w:val="000000" w:themeColor="text1"/>
              </w:rPr>
              <w:t>Враховано по суті</w:t>
            </w:r>
          </w:p>
        </w:tc>
        <w:tc>
          <w:tcPr>
            <w:tcW w:w="4818" w:type="dxa"/>
          </w:tcPr>
          <w:p w14:paraId="7CC6A323" w14:textId="77777777" w:rsidR="001A75A4" w:rsidRPr="00286216" w:rsidRDefault="001A75A4" w:rsidP="001A75A4">
            <w:pPr>
              <w:pStyle w:val="StyleZakonu"/>
              <w:rPr>
                <w:color w:val="000000" w:themeColor="text1"/>
              </w:rPr>
            </w:pPr>
          </w:p>
        </w:tc>
      </w:tr>
      <w:tr w:rsidR="001A75A4" w:rsidRPr="00286216" w14:paraId="7A2BAC74" w14:textId="77777777" w:rsidTr="00091AA5">
        <w:tc>
          <w:tcPr>
            <w:tcW w:w="576" w:type="dxa"/>
          </w:tcPr>
          <w:p w14:paraId="62EC97B3" w14:textId="77777777" w:rsidR="001A75A4" w:rsidRPr="00286216" w:rsidRDefault="001A75A4" w:rsidP="001A75A4">
            <w:pPr>
              <w:pStyle w:val="StyleWisnow"/>
              <w:rPr>
                <w:color w:val="000000" w:themeColor="text1"/>
              </w:rPr>
            </w:pPr>
          </w:p>
        </w:tc>
        <w:tc>
          <w:tcPr>
            <w:tcW w:w="4818" w:type="dxa"/>
          </w:tcPr>
          <w:p w14:paraId="29848791" w14:textId="77777777" w:rsidR="001A75A4" w:rsidRPr="00286216" w:rsidRDefault="001A75A4" w:rsidP="001A75A4">
            <w:pPr>
              <w:pStyle w:val="StyleZakonu"/>
              <w:rPr>
                <w:color w:val="000000" w:themeColor="text1"/>
              </w:rPr>
            </w:pPr>
          </w:p>
        </w:tc>
        <w:tc>
          <w:tcPr>
            <w:tcW w:w="3686" w:type="dxa"/>
          </w:tcPr>
          <w:p w14:paraId="5C51A1D6" w14:textId="5A592DC8"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1194</w:t>
            </w:r>
            <w:r w:rsidRPr="00286216">
              <w:rPr>
                <w:color w:val="000000" w:themeColor="text1"/>
                <w:spacing w:val="-2"/>
              </w:rPr>
              <w:fldChar w:fldCharType="end"/>
            </w:r>
            <w:r w:rsidRPr="00286216">
              <w:rPr>
                <w:color w:val="000000" w:themeColor="text1"/>
                <w:spacing w:val="-2"/>
              </w:rPr>
              <w:t>-Н.д.Шахов С.В. (Реєстр.картка №114)</w:t>
            </w:r>
          </w:p>
          <w:p w14:paraId="42BA789E" w14:textId="77777777" w:rsidR="001A75A4" w:rsidRPr="00286216" w:rsidRDefault="001A75A4" w:rsidP="001A75A4">
            <w:pPr>
              <w:pStyle w:val="StyleProp"/>
              <w:spacing w:line="180" w:lineRule="exact"/>
              <w:rPr>
                <w:color w:val="000000" w:themeColor="text1"/>
                <w:szCs w:val="18"/>
              </w:rPr>
            </w:pPr>
            <w:r w:rsidRPr="00286216">
              <w:rPr>
                <w:color w:val="000000" w:themeColor="text1"/>
                <w:szCs w:val="18"/>
              </w:rPr>
              <w:t>Частину 3 ст. 13 виключити.</w:t>
            </w:r>
          </w:p>
        </w:tc>
        <w:tc>
          <w:tcPr>
            <w:tcW w:w="1987" w:type="dxa"/>
          </w:tcPr>
          <w:p w14:paraId="06B21221" w14:textId="77777777" w:rsidR="001A75A4" w:rsidRPr="00286216" w:rsidRDefault="001A75A4" w:rsidP="001A75A4">
            <w:pPr>
              <w:pStyle w:val="StyleWisnow"/>
              <w:rPr>
                <w:color w:val="000000" w:themeColor="text1"/>
              </w:rPr>
            </w:pPr>
            <w:r w:rsidRPr="00286216">
              <w:rPr>
                <w:color w:val="000000" w:themeColor="text1"/>
              </w:rPr>
              <w:t>Відхилено</w:t>
            </w:r>
          </w:p>
          <w:p w14:paraId="786E2F76" w14:textId="62AD00EB" w:rsidR="001A75A4" w:rsidRPr="00286216" w:rsidRDefault="001A75A4" w:rsidP="001A75A4">
            <w:pPr>
              <w:pStyle w:val="StyleWisnow"/>
              <w:spacing w:line="180" w:lineRule="exact"/>
              <w:rPr>
                <w:color w:val="000000" w:themeColor="text1"/>
              </w:rPr>
            </w:pPr>
            <w:r w:rsidRPr="00286216">
              <w:rPr>
                <w:color w:val="000000" w:themeColor="text1"/>
              </w:rPr>
              <w:t>функціонування товарних ринків повинно бути прозорим</w:t>
            </w:r>
          </w:p>
        </w:tc>
        <w:tc>
          <w:tcPr>
            <w:tcW w:w="4818" w:type="dxa"/>
          </w:tcPr>
          <w:p w14:paraId="361FB9E7" w14:textId="77777777" w:rsidR="001A75A4" w:rsidRPr="00286216" w:rsidRDefault="001A75A4" w:rsidP="001A75A4">
            <w:pPr>
              <w:pStyle w:val="StyleZakonu"/>
              <w:rPr>
                <w:color w:val="000000" w:themeColor="text1"/>
              </w:rPr>
            </w:pPr>
          </w:p>
        </w:tc>
      </w:tr>
      <w:tr w:rsidR="001A75A4" w:rsidRPr="00286216" w14:paraId="01BFEF69" w14:textId="77777777" w:rsidTr="00091AA5">
        <w:tc>
          <w:tcPr>
            <w:tcW w:w="576" w:type="dxa"/>
          </w:tcPr>
          <w:p w14:paraId="7883E0AA" w14:textId="77777777" w:rsidR="001A75A4" w:rsidRPr="00286216" w:rsidRDefault="001A75A4" w:rsidP="001A75A4">
            <w:pPr>
              <w:pStyle w:val="StyleWisnow"/>
              <w:rPr>
                <w:color w:val="000000" w:themeColor="text1"/>
              </w:rPr>
            </w:pPr>
            <w:bookmarkStart w:id="2308" w:name="n2498" w:colFirst="0" w:colLast="0"/>
            <w:bookmarkEnd w:id="2307"/>
            <w:r w:rsidRPr="00286216">
              <w:rPr>
                <w:color w:val="000000" w:themeColor="text1"/>
              </w:rPr>
              <w:t>2498.</w:t>
            </w:r>
          </w:p>
        </w:tc>
        <w:tc>
          <w:tcPr>
            <w:tcW w:w="4818" w:type="dxa"/>
          </w:tcPr>
          <w:p w14:paraId="764EC3C7" w14:textId="77777777" w:rsidR="001A75A4" w:rsidRPr="00286216" w:rsidRDefault="001A75A4" w:rsidP="001A75A4">
            <w:pPr>
              <w:pStyle w:val="StyleZakonu"/>
              <w:rPr>
                <w:color w:val="000000" w:themeColor="text1"/>
              </w:rPr>
            </w:pPr>
            <w:r w:rsidRPr="00286216">
              <w:rPr>
                <w:color w:val="000000" w:themeColor="text1"/>
              </w:rPr>
              <w:t xml:space="preserve">4. Товарна біржа здійснює розкриття узагальненої інформації відповідно до правил товарної біржі та забезпечує безперешкодний доступ до такої інформації. Розкриття інформації товарна біржа здійснює шляхом опублікування на веб-сайті </w:t>
            </w:r>
            <w:r w:rsidRPr="00286216">
              <w:rPr>
                <w:color w:val="000000" w:themeColor="text1"/>
              </w:rPr>
              <w:lastRenderedPageBreak/>
              <w:t>організатора торгівлі. Товарній біржі забороняється надавати недостовірну інформацію.</w:t>
            </w:r>
          </w:p>
        </w:tc>
        <w:tc>
          <w:tcPr>
            <w:tcW w:w="3686" w:type="dxa"/>
          </w:tcPr>
          <w:p w14:paraId="46B9AA65" w14:textId="77777777" w:rsidR="001A75A4" w:rsidRPr="00286216" w:rsidRDefault="001A75A4" w:rsidP="001A75A4">
            <w:pPr>
              <w:pStyle w:val="StyleProp"/>
              <w:rPr>
                <w:color w:val="000000" w:themeColor="text1"/>
                <w:szCs w:val="18"/>
              </w:rPr>
            </w:pPr>
          </w:p>
        </w:tc>
        <w:tc>
          <w:tcPr>
            <w:tcW w:w="1987" w:type="dxa"/>
          </w:tcPr>
          <w:p w14:paraId="5BCABD55" w14:textId="77777777" w:rsidR="001A75A4" w:rsidRPr="00286216" w:rsidRDefault="001A75A4" w:rsidP="001A75A4">
            <w:pPr>
              <w:pStyle w:val="StyleWisnow"/>
              <w:rPr>
                <w:color w:val="000000" w:themeColor="text1"/>
              </w:rPr>
            </w:pPr>
          </w:p>
        </w:tc>
        <w:tc>
          <w:tcPr>
            <w:tcW w:w="4818" w:type="dxa"/>
          </w:tcPr>
          <w:p w14:paraId="0BCE3B27" w14:textId="0804D3F0" w:rsidR="001A75A4" w:rsidRPr="00286216" w:rsidRDefault="001A75A4" w:rsidP="001A75A4">
            <w:pPr>
              <w:pStyle w:val="StyleZakonu"/>
              <w:rPr>
                <w:color w:val="000000" w:themeColor="text1"/>
              </w:rPr>
            </w:pPr>
            <w:r w:rsidRPr="00286216">
              <w:rPr>
                <w:color w:val="000000" w:themeColor="text1"/>
              </w:rPr>
              <w:t xml:space="preserve">4. Товарна біржа здійснює розкриття узагальненої інформації відповідно до правил товарної біржі та забезпечує безперешкодний доступ до такої інформації. Розкриття інформації товарна біржа здійснює шляхом опублікування на веб-сайті </w:t>
            </w:r>
            <w:r w:rsidRPr="00286216">
              <w:rPr>
                <w:color w:val="000000" w:themeColor="text1"/>
              </w:rPr>
              <w:lastRenderedPageBreak/>
              <w:t>організатора торгівлі. Товарній біржі забороняється надавати недостовірну інформацію.</w:t>
            </w:r>
          </w:p>
        </w:tc>
      </w:tr>
      <w:tr w:rsidR="001A75A4" w:rsidRPr="00286216" w14:paraId="5D4D2970" w14:textId="77777777" w:rsidTr="00091AA5">
        <w:tc>
          <w:tcPr>
            <w:tcW w:w="576" w:type="dxa"/>
          </w:tcPr>
          <w:p w14:paraId="3B503103" w14:textId="77777777" w:rsidR="001A75A4" w:rsidRPr="00286216" w:rsidRDefault="001A75A4" w:rsidP="001A75A4">
            <w:pPr>
              <w:pStyle w:val="StyleWisnow"/>
              <w:rPr>
                <w:color w:val="000000" w:themeColor="text1"/>
              </w:rPr>
            </w:pPr>
            <w:bookmarkStart w:id="2309" w:name="n2499" w:colFirst="0" w:colLast="0"/>
            <w:bookmarkEnd w:id="2308"/>
            <w:r w:rsidRPr="00286216">
              <w:rPr>
                <w:color w:val="000000" w:themeColor="text1"/>
              </w:rPr>
              <w:lastRenderedPageBreak/>
              <w:t>2499.</w:t>
            </w:r>
          </w:p>
        </w:tc>
        <w:tc>
          <w:tcPr>
            <w:tcW w:w="4818" w:type="dxa"/>
          </w:tcPr>
          <w:p w14:paraId="0E751DD5" w14:textId="77777777" w:rsidR="001A75A4" w:rsidRPr="00286216" w:rsidRDefault="001A75A4" w:rsidP="001A75A4">
            <w:pPr>
              <w:pStyle w:val="StyleZakonu"/>
              <w:rPr>
                <w:color w:val="000000" w:themeColor="text1"/>
              </w:rPr>
            </w:pPr>
            <w:r w:rsidRPr="00286216">
              <w:rPr>
                <w:color w:val="000000" w:themeColor="text1"/>
              </w:rPr>
              <w:t>5. Зміст біржових угод (договорів) не підлягає розкриттю (за винятком найменування товару, кількості, ціни, місця і строку виконання), крім випадків, передбачених законодавством України.</w:t>
            </w:r>
          </w:p>
        </w:tc>
        <w:tc>
          <w:tcPr>
            <w:tcW w:w="3686" w:type="dxa"/>
          </w:tcPr>
          <w:p w14:paraId="3E062169" w14:textId="77777777" w:rsidR="001A75A4" w:rsidRPr="00286216" w:rsidRDefault="001A75A4" w:rsidP="001A75A4">
            <w:pPr>
              <w:pStyle w:val="StyleProp"/>
              <w:rPr>
                <w:color w:val="000000" w:themeColor="text1"/>
                <w:szCs w:val="18"/>
              </w:rPr>
            </w:pPr>
          </w:p>
        </w:tc>
        <w:tc>
          <w:tcPr>
            <w:tcW w:w="1987" w:type="dxa"/>
          </w:tcPr>
          <w:p w14:paraId="0C3C995B" w14:textId="77777777" w:rsidR="001A75A4" w:rsidRPr="00286216" w:rsidRDefault="001A75A4" w:rsidP="001A75A4">
            <w:pPr>
              <w:pStyle w:val="StyleWisnow"/>
              <w:rPr>
                <w:color w:val="000000" w:themeColor="text1"/>
              </w:rPr>
            </w:pPr>
          </w:p>
        </w:tc>
        <w:tc>
          <w:tcPr>
            <w:tcW w:w="4818" w:type="dxa"/>
          </w:tcPr>
          <w:p w14:paraId="0BD3F43B" w14:textId="7ED72A75" w:rsidR="001A75A4" w:rsidRPr="00286216" w:rsidRDefault="001A75A4" w:rsidP="001A75A4">
            <w:pPr>
              <w:pStyle w:val="StyleZakonu"/>
              <w:rPr>
                <w:color w:val="000000" w:themeColor="text1"/>
              </w:rPr>
            </w:pPr>
            <w:r w:rsidRPr="00286216">
              <w:rPr>
                <w:color w:val="000000" w:themeColor="text1"/>
              </w:rPr>
              <w:t>5. Зміст біржових угод (договорів) не підлягає розкриттю (за винятком найменування товару, кількості, ціни, місця і строку виконання), крім випадків, передбачених законодавством України.</w:t>
            </w:r>
          </w:p>
        </w:tc>
      </w:tr>
      <w:tr w:rsidR="001A75A4" w:rsidRPr="00286216" w14:paraId="709C21B9" w14:textId="77777777" w:rsidTr="00091AA5">
        <w:tc>
          <w:tcPr>
            <w:tcW w:w="576" w:type="dxa"/>
          </w:tcPr>
          <w:p w14:paraId="743B9BC1" w14:textId="77777777" w:rsidR="001A75A4" w:rsidRPr="00286216" w:rsidRDefault="001A75A4" w:rsidP="001A75A4">
            <w:pPr>
              <w:pStyle w:val="StyleWisnow"/>
              <w:rPr>
                <w:color w:val="000000" w:themeColor="text1"/>
              </w:rPr>
            </w:pPr>
            <w:bookmarkStart w:id="2310" w:name="n2500" w:colFirst="0" w:colLast="0"/>
            <w:bookmarkEnd w:id="2309"/>
            <w:r w:rsidRPr="00286216">
              <w:rPr>
                <w:color w:val="000000" w:themeColor="text1"/>
              </w:rPr>
              <w:t>2500.</w:t>
            </w:r>
          </w:p>
        </w:tc>
        <w:tc>
          <w:tcPr>
            <w:tcW w:w="4818" w:type="dxa"/>
          </w:tcPr>
          <w:p w14:paraId="2DD334CC" w14:textId="77777777" w:rsidR="001A75A4" w:rsidRPr="00286216" w:rsidRDefault="001A75A4" w:rsidP="001A75A4">
            <w:pPr>
              <w:pStyle w:val="StyleZakonu"/>
              <w:rPr>
                <w:color w:val="000000" w:themeColor="text1"/>
              </w:rPr>
            </w:pPr>
            <w:r w:rsidRPr="00286216">
              <w:rPr>
                <w:color w:val="000000" w:themeColor="text1"/>
              </w:rPr>
              <w:t>6. Не пізніше як через 90 календарних днів після закінчення фінансового року товарна біржа оприлюднює на власному веб-сайті річний звіт щодо результатів біржових торгів за звітний рік станом на кінець року.</w:t>
            </w:r>
          </w:p>
        </w:tc>
        <w:tc>
          <w:tcPr>
            <w:tcW w:w="3686" w:type="dxa"/>
          </w:tcPr>
          <w:p w14:paraId="1A9D4F5A" w14:textId="77777777" w:rsidR="001A75A4" w:rsidRPr="00286216" w:rsidRDefault="001A75A4" w:rsidP="001A75A4">
            <w:pPr>
              <w:pStyle w:val="StyleProp"/>
              <w:rPr>
                <w:color w:val="000000" w:themeColor="text1"/>
                <w:szCs w:val="18"/>
              </w:rPr>
            </w:pPr>
          </w:p>
        </w:tc>
        <w:tc>
          <w:tcPr>
            <w:tcW w:w="1987" w:type="dxa"/>
          </w:tcPr>
          <w:p w14:paraId="1FF9EFFC" w14:textId="77777777" w:rsidR="001A75A4" w:rsidRPr="00286216" w:rsidRDefault="001A75A4" w:rsidP="001A75A4">
            <w:pPr>
              <w:pStyle w:val="StyleWisnow"/>
              <w:rPr>
                <w:color w:val="000000" w:themeColor="text1"/>
              </w:rPr>
            </w:pPr>
          </w:p>
        </w:tc>
        <w:tc>
          <w:tcPr>
            <w:tcW w:w="4818" w:type="dxa"/>
          </w:tcPr>
          <w:p w14:paraId="52786A8A" w14:textId="469A79E5" w:rsidR="001A75A4" w:rsidRPr="00286216" w:rsidRDefault="001A75A4" w:rsidP="001A75A4">
            <w:pPr>
              <w:pStyle w:val="StyleZakonu"/>
              <w:rPr>
                <w:color w:val="000000" w:themeColor="text1"/>
              </w:rPr>
            </w:pPr>
            <w:r w:rsidRPr="00286216">
              <w:rPr>
                <w:color w:val="000000" w:themeColor="text1"/>
              </w:rPr>
              <w:t>6. Не пізніш як через 90 календарних днів після закінчення фінансового року товарна біржа оприлюднює на своємо веб-сайті річний звіт про результаті біржових торгів за звітний рік станом на кінець року.</w:t>
            </w:r>
          </w:p>
        </w:tc>
      </w:tr>
      <w:tr w:rsidR="001A75A4" w:rsidRPr="00286216" w14:paraId="7CDA19E4" w14:textId="77777777" w:rsidTr="00091AA5">
        <w:tc>
          <w:tcPr>
            <w:tcW w:w="576" w:type="dxa"/>
          </w:tcPr>
          <w:p w14:paraId="30C69E22" w14:textId="77777777" w:rsidR="001A75A4" w:rsidRPr="00286216" w:rsidRDefault="001A75A4" w:rsidP="001A75A4">
            <w:pPr>
              <w:pStyle w:val="StyleWisnow"/>
              <w:rPr>
                <w:color w:val="000000" w:themeColor="text1"/>
              </w:rPr>
            </w:pPr>
            <w:bookmarkStart w:id="2311" w:name="n2501" w:colFirst="0" w:colLast="0"/>
            <w:bookmarkEnd w:id="2310"/>
            <w:r w:rsidRPr="00286216">
              <w:rPr>
                <w:color w:val="000000" w:themeColor="text1"/>
              </w:rPr>
              <w:t>2501.</w:t>
            </w:r>
          </w:p>
        </w:tc>
        <w:tc>
          <w:tcPr>
            <w:tcW w:w="4818" w:type="dxa"/>
          </w:tcPr>
          <w:p w14:paraId="4EAD55CB" w14:textId="77777777" w:rsidR="001A75A4" w:rsidRPr="00286216" w:rsidRDefault="001A75A4" w:rsidP="001A75A4">
            <w:pPr>
              <w:pStyle w:val="StyleZakonu"/>
              <w:rPr>
                <w:color w:val="000000" w:themeColor="text1"/>
                <w:lang w:eastAsia="uk-UA"/>
              </w:rPr>
            </w:pPr>
            <w:r w:rsidRPr="00286216">
              <w:rPr>
                <w:color w:val="000000" w:themeColor="text1"/>
                <w:lang w:eastAsia="uk-UA"/>
              </w:rPr>
              <w:t>В разі наявності фактів щодо вчинення правопорушень на товарній біржі з боку товарної біржі та/або учасників торгів, річний звіт про результати біржових торгів має містити відомості щодо таких правопорушень.</w:t>
            </w:r>
          </w:p>
        </w:tc>
        <w:tc>
          <w:tcPr>
            <w:tcW w:w="3686" w:type="dxa"/>
          </w:tcPr>
          <w:p w14:paraId="6AC1259C" w14:textId="77777777" w:rsidR="001A75A4" w:rsidRPr="00286216" w:rsidRDefault="001A75A4" w:rsidP="001A75A4">
            <w:pPr>
              <w:pStyle w:val="StyleProp"/>
              <w:rPr>
                <w:color w:val="000000" w:themeColor="text1"/>
                <w:szCs w:val="18"/>
                <w:lang w:eastAsia="uk-UA"/>
              </w:rPr>
            </w:pPr>
          </w:p>
        </w:tc>
        <w:tc>
          <w:tcPr>
            <w:tcW w:w="1987" w:type="dxa"/>
          </w:tcPr>
          <w:p w14:paraId="0ECCBBD9" w14:textId="77777777" w:rsidR="001A75A4" w:rsidRPr="00286216" w:rsidRDefault="001A75A4" w:rsidP="001A75A4">
            <w:pPr>
              <w:pStyle w:val="StyleWisnow"/>
              <w:rPr>
                <w:color w:val="000000" w:themeColor="text1"/>
                <w:lang w:eastAsia="uk-UA"/>
              </w:rPr>
            </w:pPr>
          </w:p>
        </w:tc>
        <w:tc>
          <w:tcPr>
            <w:tcW w:w="4818" w:type="dxa"/>
          </w:tcPr>
          <w:p w14:paraId="5F4F3611" w14:textId="3C9E0B2D" w:rsidR="001A75A4" w:rsidRPr="00286216" w:rsidRDefault="001A75A4" w:rsidP="001A75A4">
            <w:pPr>
              <w:pStyle w:val="StyleZakonu"/>
              <w:rPr>
                <w:color w:val="000000" w:themeColor="text1"/>
                <w:lang w:eastAsia="uk-UA"/>
              </w:rPr>
            </w:pPr>
            <w:r w:rsidRPr="00286216">
              <w:rPr>
                <w:color w:val="000000" w:themeColor="text1"/>
                <w:lang w:eastAsia="uk-UA"/>
              </w:rPr>
              <w:t>У разі наявності фактів вчинення правопорушень на товарній біржі з боку товарної біржі та/або учасників торгів річний звіт про результати біржових торгів має містити відомості щодо таких правопорушень.</w:t>
            </w:r>
          </w:p>
        </w:tc>
      </w:tr>
      <w:tr w:rsidR="001A75A4" w:rsidRPr="00286216" w14:paraId="3761887A" w14:textId="77777777" w:rsidTr="00091AA5">
        <w:tc>
          <w:tcPr>
            <w:tcW w:w="576" w:type="dxa"/>
          </w:tcPr>
          <w:p w14:paraId="5620395C" w14:textId="77777777" w:rsidR="001A75A4" w:rsidRPr="00286216" w:rsidRDefault="001A75A4" w:rsidP="001A75A4">
            <w:pPr>
              <w:pStyle w:val="StyleWisnow"/>
              <w:rPr>
                <w:color w:val="000000" w:themeColor="text1"/>
              </w:rPr>
            </w:pPr>
            <w:bookmarkStart w:id="2312" w:name="n2502" w:colFirst="0" w:colLast="0"/>
            <w:bookmarkEnd w:id="2311"/>
            <w:r w:rsidRPr="00286216">
              <w:rPr>
                <w:color w:val="000000" w:themeColor="text1"/>
              </w:rPr>
              <w:t>2502.</w:t>
            </w:r>
          </w:p>
        </w:tc>
        <w:tc>
          <w:tcPr>
            <w:tcW w:w="4818" w:type="dxa"/>
          </w:tcPr>
          <w:p w14:paraId="2D45703D" w14:textId="77777777" w:rsidR="001A75A4" w:rsidRPr="00286216" w:rsidRDefault="001A75A4" w:rsidP="001A75A4">
            <w:pPr>
              <w:pStyle w:val="StyleZakonu"/>
              <w:rPr>
                <w:color w:val="000000" w:themeColor="text1"/>
              </w:rPr>
            </w:pPr>
            <w:r w:rsidRPr="00286216">
              <w:rPr>
                <w:color w:val="000000" w:themeColor="text1"/>
              </w:rPr>
              <w:t>7. Товарна біржа може розкривати додаткову інформацію з урахуванням обмежень, визначених законодавством та/або договором(ами) між товарною біржею та учасником(ами) торгів.</w:t>
            </w:r>
          </w:p>
        </w:tc>
        <w:tc>
          <w:tcPr>
            <w:tcW w:w="3686" w:type="dxa"/>
          </w:tcPr>
          <w:p w14:paraId="5BEFAAA0" w14:textId="77777777" w:rsidR="001A75A4" w:rsidRPr="00286216" w:rsidRDefault="001A75A4" w:rsidP="001A75A4">
            <w:pPr>
              <w:pStyle w:val="StyleProp"/>
              <w:rPr>
                <w:color w:val="000000" w:themeColor="text1"/>
                <w:szCs w:val="18"/>
              </w:rPr>
            </w:pPr>
          </w:p>
        </w:tc>
        <w:tc>
          <w:tcPr>
            <w:tcW w:w="1987" w:type="dxa"/>
          </w:tcPr>
          <w:p w14:paraId="1471AD7F" w14:textId="77777777" w:rsidR="001A75A4" w:rsidRPr="00286216" w:rsidRDefault="001A75A4" w:rsidP="001A75A4">
            <w:pPr>
              <w:pStyle w:val="StyleWisnow"/>
              <w:rPr>
                <w:color w:val="000000" w:themeColor="text1"/>
              </w:rPr>
            </w:pPr>
          </w:p>
        </w:tc>
        <w:tc>
          <w:tcPr>
            <w:tcW w:w="4818" w:type="dxa"/>
          </w:tcPr>
          <w:p w14:paraId="68198DCB" w14:textId="51E7216A" w:rsidR="001A75A4" w:rsidRPr="00286216" w:rsidRDefault="001A75A4" w:rsidP="001A75A4">
            <w:pPr>
              <w:pStyle w:val="StyleZakonu"/>
              <w:rPr>
                <w:color w:val="000000" w:themeColor="text1"/>
              </w:rPr>
            </w:pPr>
            <w:r w:rsidRPr="00286216">
              <w:rPr>
                <w:color w:val="000000" w:themeColor="text1"/>
              </w:rPr>
              <w:t>7. Товарна біржа може розкривати додаткову інформацію з урахуванням обмежень, визначених законодавством та/або договорами) між товарною біржею та учасниками) торгів.</w:t>
            </w:r>
          </w:p>
        </w:tc>
      </w:tr>
      <w:tr w:rsidR="001A75A4" w:rsidRPr="00286216" w14:paraId="41366E13" w14:textId="77777777" w:rsidTr="00091AA5">
        <w:tc>
          <w:tcPr>
            <w:tcW w:w="576" w:type="dxa"/>
          </w:tcPr>
          <w:p w14:paraId="33BD8118" w14:textId="77777777" w:rsidR="001A75A4" w:rsidRPr="00286216" w:rsidRDefault="001A75A4" w:rsidP="001A75A4">
            <w:pPr>
              <w:pStyle w:val="StyleWisnow"/>
              <w:rPr>
                <w:color w:val="000000" w:themeColor="text1"/>
              </w:rPr>
            </w:pPr>
            <w:bookmarkStart w:id="2313" w:name="n2503" w:colFirst="0" w:colLast="0"/>
            <w:bookmarkEnd w:id="2312"/>
            <w:r w:rsidRPr="00286216">
              <w:rPr>
                <w:color w:val="000000" w:themeColor="text1"/>
              </w:rPr>
              <w:t>2503.</w:t>
            </w:r>
          </w:p>
        </w:tc>
        <w:tc>
          <w:tcPr>
            <w:tcW w:w="4818" w:type="dxa"/>
          </w:tcPr>
          <w:p w14:paraId="080E4838" w14:textId="77777777" w:rsidR="001A75A4" w:rsidRPr="00286216" w:rsidRDefault="001A75A4" w:rsidP="001A75A4">
            <w:pPr>
              <w:pStyle w:val="StyleZakonu"/>
              <w:rPr>
                <w:color w:val="000000" w:themeColor="text1"/>
              </w:rPr>
            </w:pPr>
            <w:r w:rsidRPr="00286216">
              <w:rPr>
                <w:color w:val="000000" w:themeColor="text1"/>
              </w:rPr>
              <w:t>8. Строки, порядок і форми розкриття інформації товарною біржою встановлюються Національною комісією з цінних паперів та фондового ринку.</w:t>
            </w:r>
          </w:p>
        </w:tc>
        <w:tc>
          <w:tcPr>
            <w:tcW w:w="3686" w:type="dxa"/>
          </w:tcPr>
          <w:p w14:paraId="26F53F4C" w14:textId="308FDC5C"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1195</w:t>
            </w:r>
            <w:r w:rsidRPr="00286216">
              <w:rPr>
                <w:color w:val="000000" w:themeColor="text1"/>
                <w:spacing w:val="-2"/>
              </w:rPr>
              <w:fldChar w:fldCharType="end"/>
            </w:r>
            <w:r w:rsidRPr="00286216">
              <w:rPr>
                <w:color w:val="000000" w:themeColor="text1"/>
                <w:spacing w:val="-2"/>
              </w:rPr>
              <w:t>-Н.д.Шахов С.В. (Реєстр.картка №114)</w:t>
            </w:r>
          </w:p>
          <w:p w14:paraId="298A0DDE" w14:textId="77777777" w:rsidR="001A75A4" w:rsidRPr="00286216" w:rsidRDefault="001A75A4" w:rsidP="001A75A4">
            <w:pPr>
              <w:pStyle w:val="StyleProp"/>
              <w:rPr>
                <w:color w:val="000000" w:themeColor="text1"/>
                <w:szCs w:val="18"/>
              </w:rPr>
            </w:pPr>
            <w:r w:rsidRPr="00286216">
              <w:rPr>
                <w:color w:val="000000" w:themeColor="text1"/>
                <w:szCs w:val="18"/>
              </w:rPr>
              <w:t>Частину 8 ст. 13 виключити.</w:t>
            </w:r>
          </w:p>
        </w:tc>
        <w:tc>
          <w:tcPr>
            <w:tcW w:w="1987" w:type="dxa"/>
          </w:tcPr>
          <w:p w14:paraId="3042CD86" w14:textId="77777777" w:rsidR="001A75A4" w:rsidRPr="00286216" w:rsidRDefault="001A75A4" w:rsidP="001A75A4">
            <w:pPr>
              <w:pStyle w:val="StyleWisnow"/>
              <w:rPr>
                <w:color w:val="000000" w:themeColor="text1"/>
              </w:rPr>
            </w:pPr>
            <w:r w:rsidRPr="00286216">
              <w:rPr>
                <w:color w:val="000000" w:themeColor="text1"/>
              </w:rPr>
              <w:t>Відхилено</w:t>
            </w:r>
          </w:p>
          <w:p w14:paraId="0DD35949" w14:textId="140214F4" w:rsidR="001A75A4" w:rsidRPr="00286216" w:rsidRDefault="00BB35BA" w:rsidP="00BB35BA">
            <w:pPr>
              <w:pStyle w:val="StyleWisnow"/>
              <w:spacing w:line="180" w:lineRule="exact"/>
              <w:rPr>
                <w:color w:val="000000" w:themeColor="text1"/>
              </w:rPr>
            </w:pPr>
            <w:r>
              <w:rPr>
                <w:color w:val="000000" w:themeColor="text1"/>
              </w:rPr>
              <w:t>в</w:t>
            </w:r>
            <w:r w:rsidR="001A75A4" w:rsidRPr="00286216">
              <w:rPr>
                <w:color w:val="000000" w:themeColor="text1"/>
              </w:rPr>
              <w:t>ідсутність такого порядку створить правову невизначеність</w:t>
            </w:r>
          </w:p>
        </w:tc>
        <w:tc>
          <w:tcPr>
            <w:tcW w:w="4818" w:type="dxa"/>
          </w:tcPr>
          <w:p w14:paraId="00150390" w14:textId="4B17282F" w:rsidR="001A75A4" w:rsidRPr="00286216" w:rsidRDefault="001A75A4" w:rsidP="001A75A4">
            <w:pPr>
              <w:pStyle w:val="StyleZakonu"/>
              <w:rPr>
                <w:color w:val="000000" w:themeColor="text1"/>
              </w:rPr>
            </w:pPr>
            <w:r w:rsidRPr="00286216">
              <w:rPr>
                <w:color w:val="000000" w:themeColor="text1"/>
              </w:rPr>
              <w:t>8. Строки, порядок і форми розкриття інформації товарною біржею встановлюються Національною комісією з цінних паперів та фондового ринку.</w:t>
            </w:r>
          </w:p>
        </w:tc>
      </w:tr>
      <w:tr w:rsidR="001A75A4" w:rsidRPr="00286216" w14:paraId="263B6C34" w14:textId="77777777" w:rsidTr="00091AA5">
        <w:tc>
          <w:tcPr>
            <w:tcW w:w="576" w:type="dxa"/>
          </w:tcPr>
          <w:p w14:paraId="6029A2AC" w14:textId="77777777" w:rsidR="001A75A4" w:rsidRPr="00286216" w:rsidRDefault="001A75A4" w:rsidP="001A75A4">
            <w:pPr>
              <w:pStyle w:val="StyleWisnow"/>
              <w:rPr>
                <w:color w:val="000000" w:themeColor="text1"/>
              </w:rPr>
            </w:pPr>
            <w:bookmarkStart w:id="2314" w:name="n2504" w:colFirst="0" w:colLast="0"/>
            <w:bookmarkEnd w:id="2313"/>
            <w:r w:rsidRPr="00286216">
              <w:rPr>
                <w:color w:val="000000" w:themeColor="text1"/>
              </w:rPr>
              <w:t>2504.</w:t>
            </w:r>
          </w:p>
        </w:tc>
        <w:tc>
          <w:tcPr>
            <w:tcW w:w="4818" w:type="dxa"/>
          </w:tcPr>
          <w:p w14:paraId="38528ACF" w14:textId="77777777" w:rsidR="001A75A4" w:rsidRPr="00286216" w:rsidRDefault="001A75A4" w:rsidP="001A75A4">
            <w:pPr>
              <w:pStyle w:val="StyleZakonu"/>
              <w:spacing w:after="0"/>
              <w:ind w:firstLine="0"/>
              <w:jc w:val="center"/>
              <w:rPr>
                <w:color w:val="000000" w:themeColor="text1"/>
              </w:rPr>
            </w:pPr>
            <w:bookmarkStart w:id="2315" w:name="o56"/>
            <w:bookmarkStart w:id="2316" w:name="o57"/>
            <w:bookmarkStart w:id="2317" w:name="o58"/>
            <w:bookmarkStart w:id="2318" w:name="o59"/>
            <w:bookmarkStart w:id="2319" w:name="o60"/>
            <w:bookmarkStart w:id="2320" w:name="o61"/>
            <w:bookmarkStart w:id="2321" w:name="o62"/>
            <w:bookmarkStart w:id="2322" w:name="o63"/>
            <w:bookmarkStart w:id="2323" w:name="o64"/>
            <w:bookmarkStart w:id="2324" w:name="o65"/>
            <w:bookmarkStart w:id="2325" w:name="o66"/>
            <w:bookmarkStart w:id="2326" w:name="o67"/>
            <w:bookmarkStart w:id="2327" w:name="o68"/>
            <w:bookmarkStart w:id="2328" w:name="o69"/>
            <w:bookmarkStart w:id="2329" w:name="o70"/>
            <w:bookmarkStart w:id="2330" w:name="o71"/>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Pr="00286216">
              <w:rPr>
                <w:color w:val="000000" w:themeColor="text1"/>
              </w:rPr>
              <w:t xml:space="preserve">Розділ </w:t>
            </w:r>
            <w:bookmarkStart w:id="2331" w:name="o72"/>
            <w:bookmarkEnd w:id="2331"/>
            <w:r w:rsidRPr="00286216">
              <w:rPr>
                <w:color w:val="000000" w:themeColor="text1"/>
              </w:rPr>
              <w:t>IV</w:t>
            </w:r>
          </w:p>
          <w:p w14:paraId="51A3F75F" w14:textId="77777777" w:rsidR="001A75A4" w:rsidRPr="00286216" w:rsidRDefault="001A75A4" w:rsidP="001A75A4">
            <w:pPr>
              <w:pStyle w:val="StyleZakonu"/>
              <w:ind w:firstLine="0"/>
              <w:jc w:val="center"/>
              <w:rPr>
                <w:color w:val="000000" w:themeColor="text1"/>
              </w:rPr>
            </w:pPr>
            <w:r w:rsidRPr="00286216">
              <w:rPr>
                <w:color w:val="000000" w:themeColor="text1"/>
              </w:rPr>
              <w:t>ЧЛЕНИ ТОВАРНОЇ БІРЖІ</w:t>
            </w:r>
          </w:p>
        </w:tc>
        <w:tc>
          <w:tcPr>
            <w:tcW w:w="3686" w:type="dxa"/>
          </w:tcPr>
          <w:p w14:paraId="1A55DEFE" w14:textId="77777777" w:rsidR="001A75A4" w:rsidRPr="00286216" w:rsidRDefault="001A75A4" w:rsidP="001A75A4">
            <w:pPr>
              <w:pStyle w:val="StyleProp"/>
              <w:rPr>
                <w:color w:val="000000" w:themeColor="text1"/>
                <w:szCs w:val="18"/>
              </w:rPr>
            </w:pPr>
          </w:p>
        </w:tc>
        <w:tc>
          <w:tcPr>
            <w:tcW w:w="1987" w:type="dxa"/>
          </w:tcPr>
          <w:p w14:paraId="6B5863D4" w14:textId="77777777" w:rsidR="001A75A4" w:rsidRPr="00286216" w:rsidRDefault="001A75A4" w:rsidP="001A75A4">
            <w:pPr>
              <w:pStyle w:val="StyleWisnow"/>
              <w:rPr>
                <w:color w:val="000000" w:themeColor="text1"/>
              </w:rPr>
            </w:pPr>
          </w:p>
        </w:tc>
        <w:tc>
          <w:tcPr>
            <w:tcW w:w="4818" w:type="dxa"/>
          </w:tcPr>
          <w:p w14:paraId="4934D2FC"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IV</w:t>
            </w:r>
          </w:p>
          <w:p w14:paraId="02D7A757" w14:textId="0A8EE1C5" w:rsidR="001A75A4" w:rsidRPr="00286216" w:rsidRDefault="001A75A4" w:rsidP="001A75A4">
            <w:pPr>
              <w:pStyle w:val="StyleZakonu"/>
              <w:ind w:firstLine="0"/>
              <w:jc w:val="center"/>
              <w:rPr>
                <w:color w:val="000000" w:themeColor="text1"/>
              </w:rPr>
            </w:pPr>
            <w:r w:rsidRPr="00286216">
              <w:rPr>
                <w:color w:val="000000" w:themeColor="text1"/>
              </w:rPr>
              <w:t>ЧЛЕНИ ТОВАРНОЇ БІРЖІ</w:t>
            </w:r>
          </w:p>
        </w:tc>
      </w:tr>
      <w:tr w:rsidR="001A75A4" w:rsidRPr="00286216" w14:paraId="3C0184CD" w14:textId="77777777" w:rsidTr="00091AA5">
        <w:tc>
          <w:tcPr>
            <w:tcW w:w="576" w:type="dxa"/>
          </w:tcPr>
          <w:p w14:paraId="50B2D831" w14:textId="77777777" w:rsidR="001A75A4" w:rsidRPr="00286216" w:rsidRDefault="001A75A4" w:rsidP="001A75A4">
            <w:pPr>
              <w:pStyle w:val="StyleWisnow"/>
              <w:rPr>
                <w:color w:val="000000" w:themeColor="text1"/>
              </w:rPr>
            </w:pPr>
            <w:bookmarkStart w:id="2332" w:name="n2505" w:colFirst="0" w:colLast="0"/>
            <w:bookmarkEnd w:id="2314"/>
            <w:r w:rsidRPr="00286216">
              <w:rPr>
                <w:color w:val="000000" w:themeColor="text1"/>
              </w:rPr>
              <w:t>2505.</w:t>
            </w:r>
          </w:p>
        </w:tc>
        <w:tc>
          <w:tcPr>
            <w:tcW w:w="4818" w:type="dxa"/>
          </w:tcPr>
          <w:p w14:paraId="781C9D59"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14. </w:t>
            </w:r>
            <w:r w:rsidRPr="00286216">
              <w:rPr>
                <w:color w:val="000000" w:themeColor="text1"/>
                <w:shd w:val="clear" w:color="auto" w:fill="FFFFFF"/>
              </w:rPr>
              <w:t>Умови членства у товарній біржі</w:t>
            </w:r>
          </w:p>
        </w:tc>
        <w:tc>
          <w:tcPr>
            <w:tcW w:w="3686" w:type="dxa"/>
          </w:tcPr>
          <w:p w14:paraId="7CCD5F75" w14:textId="77777777" w:rsidR="001A75A4" w:rsidRPr="00286216" w:rsidRDefault="001A75A4" w:rsidP="001A75A4">
            <w:pPr>
              <w:pStyle w:val="StyleProp"/>
              <w:rPr>
                <w:color w:val="000000" w:themeColor="text1"/>
                <w:szCs w:val="18"/>
              </w:rPr>
            </w:pPr>
          </w:p>
        </w:tc>
        <w:tc>
          <w:tcPr>
            <w:tcW w:w="1987" w:type="dxa"/>
          </w:tcPr>
          <w:p w14:paraId="6DD3FCB8" w14:textId="77777777" w:rsidR="001A75A4" w:rsidRPr="00286216" w:rsidRDefault="001A75A4" w:rsidP="001A75A4">
            <w:pPr>
              <w:pStyle w:val="StyleWisnow"/>
              <w:rPr>
                <w:color w:val="000000" w:themeColor="text1"/>
              </w:rPr>
            </w:pPr>
          </w:p>
        </w:tc>
        <w:tc>
          <w:tcPr>
            <w:tcW w:w="4818" w:type="dxa"/>
          </w:tcPr>
          <w:p w14:paraId="78930A5D" w14:textId="64184ACD"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14. </w:t>
            </w:r>
            <w:r w:rsidRPr="00286216">
              <w:rPr>
                <w:color w:val="000000" w:themeColor="text1"/>
                <w:shd w:val="clear" w:color="auto" w:fill="FFFFFF"/>
              </w:rPr>
              <w:t>Умови членства у товарній біржі</w:t>
            </w:r>
          </w:p>
        </w:tc>
      </w:tr>
      <w:tr w:rsidR="001A75A4" w:rsidRPr="00286216" w14:paraId="6D2B01AC" w14:textId="77777777" w:rsidTr="00091AA5">
        <w:tc>
          <w:tcPr>
            <w:tcW w:w="576" w:type="dxa"/>
          </w:tcPr>
          <w:p w14:paraId="21507F6C" w14:textId="77777777" w:rsidR="001A75A4" w:rsidRPr="00286216" w:rsidRDefault="001A75A4" w:rsidP="001A75A4">
            <w:pPr>
              <w:pStyle w:val="StyleWisnow"/>
              <w:rPr>
                <w:color w:val="000000" w:themeColor="text1"/>
              </w:rPr>
            </w:pPr>
            <w:bookmarkStart w:id="2333" w:name="n2506" w:colFirst="0" w:colLast="0"/>
            <w:bookmarkEnd w:id="2332"/>
            <w:r w:rsidRPr="00286216">
              <w:rPr>
                <w:color w:val="000000" w:themeColor="text1"/>
              </w:rPr>
              <w:t>2506.</w:t>
            </w:r>
          </w:p>
        </w:tc>
        <w:tc>
          <w:tcPr>
            <w:tcW w:w="4818" w:type="dxa"/>
          </w:tcPr>
          <w:p w14:paraId="283508A2" w14:textId="77777777" w:rsidR="001A75A4" w:rsidRPr="00286216" w:rsidRDefault="001A75A4" w:rsidP="001A75A4">
            <w:pPr>
              <w:pStyle w:val="StyleZakonu"/>
              <w:rPr>
                <w:color w:val="000000" w:themeColor="text1"/>
              </w:rPr>
            </w:pPr>
            <w:bookmarkStart w:id="2334" w:name="o74"/>
            <w:bookmarkEnd w:id="2334"/>
            <w:r w:rsidRPr="00286216">
              <w:rPr>
                <w:color w:val="000000" w:themeColor="text1"/>
              </w:rPr>
              <w:t>1. Членами товарної біржі можуть бути виключно юридичні особи - засновники (акціонери, учасники - в залежності від організаційно-правової форми, в якій утворена товарна біржа), а також інші юридичні особи - резиденти і нерезиденти. Порядок прийняття у члени біржі та вибуття із складу її членів визначається правилами товарної біржі.</w:t>
            </w:r>
          </w:p>
        </w:tc>
        <w:tc>
          <w:tcPr>
            <w:tcW w:w="3686" w:type="dxa"/>
          </w:tcPr>
          <w:p w14:paraId="159903C0" w14:textId="77777777" w:rsidR="001A75A4" w:rsidRPr="00286216" w:rsidRDefault="001A75A4" w:rsidP="001A75A4">
            <w:pPr>
              <w:pStyle w:val="StyleProp"/>
              <w:rPr>
                <w:color w:val="000000" w:themeColor="text1"/>
                <w:szCs w:val="18"/>
              </w:rPr>
            </w:pPr>
          </w:p>
        </w:tc>
        <w:tc>
          <w:tcPr>
            <w:tcW w:w="1987" w:type="dxa"/>
          </w:tcPr>
          <w:p w14:paraId="2A318883" w14:textId="77777777" w:rsidR="001A75A4" w:rsidRPr="00286216" w:rsidRDefault="001A75A4" w:rsidP="001A75A4">
            <w:pPr>
              <w:pStyle w:val="StyleWisnow"/>
              <w:rPr>
                <w:color w:val="000000" w:themeColor="text1"/>
              </w:rPr>
            </w:pPr>
          </w:p>
        </w:tc>
        <w:tc>
          <w:tcPr>
            <w:tcW w:w="4818" w:type="dxa"/>
          </w:tcPr>
          <w:p w14:paraId="494EC010" w14:textId="32D8F2D9" w:rsidR="001A75A4" w:rsidRPr="00286216" w:rsidRDefault="001A75A4" w:rsidP="001A75A4">
            <w:pPr>
              <w:pStyle w:val="StyleZakonu"/>
              <w:rPr>
                <w:color w:val="000000" w:themeColor="text1"/>
              </w:rPr>
            </w:pPr>
            <w:r w:rsidRPr="00286216">
              <w:rPr>
                <w:color w:val="000000" w:themeColor="text1"/>
              </w:rPr>
              <w:t>1. Членами товарної біржі можуть бути юридичні особи - засновники (акціонери, учасники - взалежно від організаційно-правової форми, в якій утворена товарна біржа), а також інші юридичні особи - резиденти і нерезиденти. Порядок прийняття у члени біржі та вибуття із складу її членів визначається правилами товарної біржі.</w:t>
            </w:r>
          </w:p>
        </w:tc>
      </w:tr>
      <w:tr w:rsidR="001A75A4" w:rsidRPr="00286216" w14:paraId="2C54AAF7" w14:textId="77777777" w:rsidTr="00091AA5">
        <w:tc>
          <w:tcPr>
            <w:tcW w:w="576" w:type="dxa"/>
          </w:tcPr>
          <w:p w14:paraId="25EC17DA" w14:textId="77777777" w:rsidR="001A75A4" w:rsidRPr="00286216" w:rsidRDefault="001A75A4" w:rsidP="001A75A4">
            <w:pPr>
              <w:pStyle w:val="StyleWisnow"/>
              <w:rPr>
                <w:color w:val="000000" w:themeColor="text1"/>
              </w:rPr>
            </w:pPr>
            <w:bookmarkStart w:id="2335" w:name="n2507" w:colFirst="0" w:colLast="0"/>
            <w:bookmarkEnd w:id="2333"/>
            <w:r w:rsidRPr="00286216">
              <w:rPr>
                <w:color w:val="000000" w:themeColor="text1"/>
              </w:rPr>
              <w:t>2507.</w:t>
            </w:r>
          </w:p>
        </w:tc>
        <w:tc>
          <w:tcPr>
            <w:tcW w:w="4818" w:type="dxa"/>
          </w:tcPr>
          <w:p w14:paraId="6D5BBD1E" w14:textId="77777777" w:rsidR="001A75A4" w:rsidRPr="00286216" w:rsidRDefault="001A75A4" w:rsidP="001A75A4">
            <w:pPr>
              <w:pStyle w:val="StyleZakonu"/>
              <w:rPr>
                <w:color w:val="000000" w:themeColor="text1"/>
                <w:lang w:eastAsia="uk-UA"/>
              </w:rPr>
            </w:pPr>
            <w:r w:rsidRPr="00286216">
              <w:rPr>
                <w:color w:val="000000" w:themeColor="text1"/>
                <w:lang w:eastAsia="uk-UA"/>
              </w:rPr>
              <w:t>Фізичні особи-підприємці можуть бути членами біржі за умови, якщо це передбачено статутом товарної біржі.</w:t>
            </w:r>
          </w:p>
        </w:tc>
        <w:tc>
          <w:tcPr>
            <w:tcW w:w="3686" w:type="dxa"/>
          </w:tcPr>
          <w:p w14:paraId="73730734" w14:textId="77777777" w:rsidR="001A75A4" w:rsidRPr="00286216" w:rsidRDefault="001A75A4" w:rsidP="001A75A4">
            <w:pPr>
              <w:pStyle w:val="StyleProp"/>
              <w:rPr>
                <w:color w:val="000000" w:themeColor="text1"/>
                <w:szCs w:val="18"/>
                <w:lang w:eastAsia="uk-UA"/>
              </w:rPr>
            </w:pPr>
          </w:p>
        </w:tc>
        <w:tc>
          <w:tcPr>
            <w:tcW w:w="1987" w:type="dxa"/>
          </w:tcPr>
          <w:p w14:paraId="1EE857E5" w14:textId="77777777" w:rsidR="001A75A4" w:rsidRPr="00286216" w:rsidRDefault="001A75A4" w:rsidP="001A75A4">
            <w:pPr>
              <w:pStyle w:val="StyleWisnow"/>
              <w:rPr>
                <w:color w:val="000000" w:themeColor="text1"/>
                <w:lang w:eastAsia="uk-UA"/>
              </w:rPr>
            </w:pPr>
          </w:p>
        </w:tc>
        <w:tc>
          <w:tcPr>
            <w:tcW w:w="4818" w:type="dxa"/>
          </w:tcPr>
          <w:p w14:paraId="5280A55C" w14:textId="5B22C554" w:rsidR="001A75A4" w:rsidRPr="00286216" w:rsidRDefault="001A75A4" w:rsidP="001A75A4">
            <w:pPr>
              <w:pStyle w:val="StyleZakonu"/>
              <w:rPr>
                <w:color w:val="000000" w:themeColor="text1"/>
                <w:lang w:eastAsia="uk-UA"/>
              </w:rPr>
            </w:pPr>
            <w:r w:rsidRPr="00286216">
              <w:rPr>
                <w:color w:val="000000" w:themeColor="text1"/>
                <w:lang w:eastAsia="uk-UA"/>
              </w:rPr>
              <w:t>Фізичні особи-підприємці можуть бути членами товарної біржі, якщо це передбачено статутом товарної біржі.</w:t>
            </w:r>
          </w:p>
        </w:tc>
      </w:tr>
      <w:tr w:rsidR="001A75A4" w:rsidRPr="00286216" w14:paraId="50EA6197" w14:textId="77777777" w:rsidTr="00091AA5">
        <w:tc>
          <w:tcPr>
            <w:tcW w:w="576" w:type="dxa"/>
          </w:tcPr>
          <w:p w14:paraId="472F98D3" w14:textId="77777777" w:rsidR="001A75A4" w:rsidRPr="00286216" w:rsidRDefault="001A75A4" w:rsidP="001A75A4">
            <w:pPr>
              <w:pStyle w:val="StyleWisnow"/>
              <w:rPr>
                <w:color w:val="000000" w:themeColor="text1"/>
              </w:rPr>
            </w:pPr>
            <w:bookmarkStart w:id="2336" w:name="n2508" w:colFirst="0" w:colLast="0"/>
            <w:bookmarkEnd w:id="2335"/>
            <w:r w:rsidRPr="00286216">
              <w:rPr>
                <w:color w:val="000000" w:themeColor="text1"/>
              </w:rPr>
              <w:t>2508.</w:t>
            </w:r>
          </w:p>
        </w:tc>
        <w:tc>
          <w:tcPr>
            <w:tcW w:w="4818" w:type="dxa"/>
          </w:tcPr>
          <w:p w14:paraId="0806C15B" w14:textId="77777777" w:rsidR="001A75A4" w:rsidRPr="00286216" w:rsidRDefault="001A75A4" w:rsidP="001A75A4">
            <w:pPr>
              <w:pStyle w:val="StyleZakonu"/>
              <w:rPr>
                <w:color w:val="000000" w:themeColor="text1"/>
              </w:rPr>
            </w:pPr>
            <w:r w:rsidRPr="00286216">
              <w:rPr>
                <w:color w:val="000000" w:themeColor="text1"/>
                <w:lang w:eastAsia="uk-UA"/>
              </w:rPr>
              <w:t xml:space="preserve">Членом товарної біржі не може бути іноземна особа, яка </w:t>
            </w:r>
            <w:r w:rsidRPr="00286216">
              <w:rPr>
                <w:color w:val="000000" w:themeColor="text1"/>
              </w:rPr>
              <w:t xml:space="preserve">є резидентом </w:t>
            </w:r>
            <w:r w:rsidRPr="00286216">
              <w:rPr>
                <w:color w:val="000000" w:themeColor="text1"/>
                <w:lang w:eastAsia="uk-UA"/>
              </w:rPr>
              <w:t>держави що здійснює збройну агресію проти України у значенні, наведеному у статті 1 Закону України "Про оборону України"</w:t>
            </w:r>
            <w:r w:rsidRPr="00286216">
              <w:rPr>
                <w:color w:val="000000" w:themeColor="text1"/>
              </w:rPr>
              <w:t xml:space="preserve">, а також особа до якої застосовані санкції згідно з резолюціями Ради Безпеки Організації Об’єднаних Націй, інших міжнародних організацій, рішень Ради </w:t>
            </w:r>
            <w:r w:rsidRPr="00286216">
              <w:rPr>
                <w:color w:val="000000" w:themeColor="text1"/>
              </w:rPr>
              <w:lastRenderedPageBreak/>
              <w:t>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tc>
        <w:tc>
          <w:tcPr>
            <w:tcW w:w="3686" w:type="dxa"/>
          </w:tcPr>
          <w:p w14:paraId="0634665A" w14:textId="77777777" w:rsidR="001A75A4" w:rsidRPr="00286216" w:rsidRDefault="001A75A4" w:rsidP="001A75A4">
            <w:pPr>
              <w:pStyle w:val="StyleProp"/>
              <w:rPr>
                <w:color w:val="000000" w:themeColor="text1"/>
                <w:szCs w:val="18"/>
                <w:lang w:eastAsia="uk-UA"/>
              </w:rPr>
            </w:pPr>
          </w:p>
        </w:tc>
        <w:tc>
          <w:tcPr>
            <w:tcW w:w="1987" w:type="dxa"/>
          </w:tcPr>
          <w:p w14:paraId="23473734" w14:textId="77777777" w:rsidR="001A75A4" w:rsidRPr="00286216" w:rsidRDefault="001A75A4" w:rsidP="001A75A4">
            <w:pPr>
              <w:pStyle w:val="StyleWisnow"/>
              <w:rPr>
                <w:color w:val="000000" w:themeColor="text1"/>
                <w:lang w:eastAsia="uk-UA"/>
              </w:rPr>
            </w:pPr>
          </w:p>
        </w:tc>
        <w:tc>
          <w:tcPr>
            <w:tcW w:w="4818" w:type="dxa"/>
          </w:tcPr>
          <w:p w14:paraId="7E1D9BAE" w14:textId="70597ED9" w:rsidR="001A75A4" w:rsidRPr="00286216" w:rsidRDefault="001A75A4" w:rsidP="001A75A4">
            <w:pPr>
              <w:pStyle w:val="StyleZakonu"/>
              <w:rPr>
                <w:color w:val="000000" w:themeColor="text1"/>
              </w:rPr>
            </w:pPr>
            <w:r w:rsidRPr="00286216">
              <w:rPr>
                <w:color w:val="000000" w:themeColor="text1"/>
                <w:lang w:eastAsia="uk-UA"/>
              </w:rPr>
              <w:t xml:space="preserve">Членом товарної біржі не може бути іноземна особа, яка </w:t>
            </w:r>
            <w:r w:rsidRPr="00286216">
              <w:rPr>
                <w:color w:val="000000" w:themeColor="text1"/>
              </w:rPr>
              <w:t xml:space="preserve">є резидентом </w:t>
            </w:r>
            <w:r w:rsidRPr="00286216">
              <w:rPr>
                <w:color w:val="000000" w:themeColor="text1"/>
                <w:lang w:eastAsia="uk-UA"/>
              </w:rPr>
              <w:t>держави, що здійснює збройну агресію проти України у значенні, наведеному у статті 1 Закону України "Про оборону України"</w:t>
            </w:r>
            <w:r w:rsidRPr="00286216">
              <w:rPr>
                <w:color w:val="000000" w:themeColor="text1"/>
              </w:rPr>
              <w:t xml:space="preserve">, а також особа, до якої застосовано санкції згідно з резолюціями Ради Безпеки Організації Об’єднаних Націй, інших міжнародних організацій, </w:t>
            </w:r>
            <w:r w:rsidRPr="00286216">
              <w:rPr>
                <w:color w:val="000000" w:themeColor="text1"/>
              </w:rPr>
              <w:lastRenderedPageBreak/>
              <w:t>рішеннями Ради Європейського Союзу, інших міждержавних об’єднань, та членом (учасником) яких є Україна, які передбачають обмеження або заборону торговельних та/або фінансових операцій.</w:t>
            </w:r>
          </w:p>
        </w:tc>
      </w:tr>
      <w:tr w:rsidR="001A75A4" w:rsidRPr="00286216" w14:paraId="51DA82E6" w14:textId="77777777" w:rsidTr="00091AA5">
        <w:tc>
          <w:tcPr>
            <w:tcW w:w="576" w:type="dxa"/>
          </w:tcPr>
          <w:p w14:paraId="4AAEAF9A" w14:textId="77777777" w:rsidR="001A75A4" w:rsidRPr="00286216" w:rsidRDefault="001A75A4" w:rsidP="001A75A4">
            <w:pPr>
              <w:pStyle w:val="StyleWisnow"/>
              <w:rPr>
                <w:color w:val="000000" w:themeColor="text1"/>
              </w:rPr>
            </w:pPr>
            <w:bookmarkStart w:id="2337" w:name="n2509" w:colFirst="0" w:colLast="0"/>
            <w:bookmarkEnd w:id="2336"/>
            <w:r w:rsidRPr="00286216">
              <w:rPr>
                <w:color w:val="000000" w:themeColor="text1"/>
              </w:rPr>
              <w:lastRenderedPageBreak/>
              <w:t>2509.</w:t>
            </w:r>
          </w:p>
        </w:tc>
        <w:tc>
          <w:tcPr>
            <w:tcW w:w="4818" w:type="dxa"/>
          </w:tcPr>
          <w:p w14:paraId="2A93874E"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15. </w:t>
            </w:r>
            <w:r w:rsidRPr="00286216">
              <w:rPr>
                <w:color w:val="000000" w:themeColor="text1"/>
                <w:shd w:val="clear" w:color="auto" w:fill="FFFFFF"/>
              </w:rPr>
              <w:t>Права та обов’язки членів біржі</w:t>
            </w:r>
          </w:p>
        </w:tc>
        <w:tc>
          <w:tcPr>
            <w:tcW w:w="3686" w:type="dxa"/>
          </w:tcPr>
          <w:p w14:paraId="78BA8570" w14:textId="77777777" w:rsidR="001A75A4" w:rsidRPr="00286216" w:rsidRDefault="001A75A4" w:rsidP="001A75A4">
            <w:pPr>
              <w:pStyle w:val="StyleProp"/>
              <w:rPr>
                <w:color w:val="000000" w:themeColor="text1"/>
                <w:szCs w:val="18"/>
              </w:rPr>
            </w:pPr>
          </w:p>
        </w:tc>
        <w:tc>
          <w:tcPr>
            <w:tcW w:w="1987" w:type="dxa"/>
          </w:tcPr>
          <w:p w14:paraId="269E0C2E" w14:textId="77777777" w:rsidR="001A75A4" w:rsidRPr="00286216" w:rsidRDefault="001A75A4" w:rsidP="001A75A4">
            <w:pPr>
              <w:pStyle w:val="StyleWisnow"/>
              <w:rPr>
                <w:color w:val="000000" w:themeColor="text1"/>
              </w:rPr>
            </w:pPr>
          </w:p>
        </w:tc>
        <w:tc>
          <w:tcPr>
            <w:tcW w:w="4818" w:type="dxa"/>
          </w:tcPr>
          <w:p w14:paraId="1846092B" w14:textId="02A0180F"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15. </w:t>
            </w:r>
            <w:r w:rsidRPr="00286216">
              <w:rPr>
                <w:color w:val="000000" w:themeColor="text1"/>
                <w:shd w:val="clear" w:color="auto" w:fill="FFFFFF"/>
              </w:rPr>
              <w:t>Права та обов’язки членів товарної біржі</w:t>
            </w:r>
          </w:p>
        </w:tc>
      </w:tr>
      <w:tr w:rsidR="001A75A4" w:rsidRPr="00286216" w14:paraId="4F32E78E" w14:textId="77777777" w:rsidTr="00091AA5">
        <w:tc>
          <w:tcPr>
            <w:tcW w:w="576" w:type="dxa"/>
          </w:tcPr>
          <w:p w14:paraId="46DC87F2" w14:textId="77777777" w:rsidR="001A75A4" w:rsidRPr="00286216" w:rsidRDefault="001A75A4" w:rsidP="001A75A4">
            <w:pPr>
              <w:pStyle w:val="StyleWisnow"/>
              <w:rPr>
                <w:color w:val="000000" w:themeColor="text1"/>
              </w:rPr>
            </w:pPr>
            <w:bookmarkStart w:id="2338" w:name="n2510" w:colFirst="0" w:colLast="0"/>
            <w:bookmarkEnd w:id="2337"/>
            <w:r w:rsidRPr="00286216">
              <w:rPr>
                <w:color w:val="000000" w:themeColor="text1"/>
              </w:rPr>
              <w:t>2510.</w:t>
            </w:r>
          </w:p>
        </w:tc>
        <w:tc>
          <w:tcPr>
            <w:tcW w:w="4818" w:type="dxa"/>
          </w:tcPr>
          <w:p w14:paraId="15583951" w14:textId="77777777" w:rsidR="001A75A4" w:rsidRPr="00286216" w:rsidRDefault="001A75A4" w:rsidP="001A75A4">
            <w:pPr>
              <w:pStyle w:val="StyleZakonu"/>
              <w:rPr>
                <w:color w:val="000000" w:themeColor="text1"/>
              </w:rPr>
            </w:pPr>
            <w:r w:rsidRPr="00286216">
              <w:rPr>
                <w:color w:val="000000" w:themeColor="text1"/>
              </w:rPr>
              <w:t>1. Правилами товарної біржі визначаються права та обов’язки членів біржі як учасників торгів, а також інших учасників торгів у випадках, встановлених законодавством та/або правилами товарної біржі.</w:t>
            </w:r>
          </w:p>
        </w:tc>
        <w:tc>
          <w:tcPr>
            <w:tcW w:w="3686" w:type="dxa"/>
          </w:tcPr>
          <w:p w14:paraId="749B8934" w14:textId="77777777" w:rsidR="001A75A4" w:rsidRPr="00286216" w:rsidRDefault="001A75A4" w:rsidP="001A75A4">
            <w:pPr>
              <w:pStyle w:val="StyleProp"/>
              <w:rPr>
                <w:color w:val="000000" w:themeColor="text1"/>
                <w:szCs w:val="18"/>
              </w:rPr>
            </w:pPr>
          </w:p>
        </w:tc>
        <w:tc>
          <w:tcPr>
            <w:tcW w:w="1987" w:type="dxa"/>
          </w:tcPr>
          <w:p w14:paraId="0DEB7340" w14:textId="77777777" w:rsidR="001A75A4" w:rsidRPr="00286216" w:rsidRDefault="001A75A4" w:rsidP="001A75A4">
            <w:pPr>
              <w:pStyle w:val="StyleWisnow"/>
              <w:rPr>
                <w:color w:val="000000" w:themeColor="text1"/>
              </w:rPr>
            </w:pPr>
          </w:p>
        </w:tc>
        <w:tc>
          <w:tcPr>
            <w:tcW w:w="4818" w:type="dxa"/>
          </w:tcPr>
          <w:p w14:paraId="1CB10C55" w14:textId="53539C7C" w:rsidR="001A75A4" w:rsidRPr="00286216" w:rsidRDefault="001A75A4" w:rsidP="001A75A4">
            <w:pPr>
              <w:pStyle w:val="StyleZakonu"/>
              <w:rPr>
                <w:color w:val="000000" w:themeColor="text1"/>
              </w:rPr>
            </w:pPr>
            <w:r w:rsidRPr="00286216">
              <w:rPr>
                <w:color w:val="000000" w:themeColor="text1"/>
              </w:rPr>
              <w:t>1. Правилами товарної біржі визначаються права та обов’язки членів товарної біржі як учасників торгів, а також інших учасників торгів у випадках, встановлених законодавством та/або правилами товарної біржі.</w:t>
            </w:r>
          </w:p>
        </w:tc>
      </w:tr>
      <w:tr w:rsidR="001A75A4" w:rsidRPr="00286216" w14:paraId="638C24F1" w14:textId="77777777" w:rsidTr="00091AA5">
        <w:tc>
          <w:tcPr>
            <w:tcW w:w="576" w:type="dxa"/>
          </w:tcPr>
          <w:p w14:paraId="6EEA01C8" w14:textId="77777777" w:rsidR="001A75A4" w:rsidRPr="00286216" w:rsidRDefault="001A75A4" w:rsidP="001A75A4">
            <w:pPr>
              <w:pStyle w:val="StyleWisnow"/>
              <w:rPr>
                <w:color w:val="000000" w:themeColor="text1"/>
              </w:rPr>
            </w:pPr>
            <w:bookmarkStart w:id="2339" w:name="n2511" w:colFirst="0" w:colLast="0"/>
            <w:bookmarkEnd w:id="2338"/>
            <w:r w:rsidRPr="00286216">
              <w:rPr>
                <w:color w:val="000000" w:themeColor="text1"/>
              </w:rPr>
              <w:t>2511.</w:t>
            </w:r>
          </w:p>
        </w:tc>
        <w:tc>
          <w:tcPr>
            <w:tcW w:w="4818" w:type="dxa"/>
          </w:tcPr>
          <w:p w14:paraId="225355A3" w14:textId="77777777" w:rsidR="001A75A4" w:rsidRPr="00286216" w:rsidRDefault="001A75A4" w:rsidP="001A75A4">
            <w:pPr>
              <w:pStyle w:val="StyleZakonu"/>
              <w:rPr>
                <w:color w:val="000000" w:themeColor="text1"/>
              </w:rPr>
            </w:pPr>
            <w:r w:rsidRPr="00286216">
              <w:rPr>
                <w:color w:val="000000" w:themeColor="text1"/>
              </w:rPr>
              <w:t>2. Члени біржі мають право:</w:t>
            </w:r>
          </w:p>
        </w:tc>
        <w:tc>
          <w:tcPr>
            <w:tcW w:w="3686" w:type="dxa"/>
          </w:tcPr>
          <w:p w14:paraId="72090AFB" w14:textId="77777777" w:rsidR="001A75A4" w:rsidRPr="00286216" w:rsidRDefault="001A75A4" w:rsidP="001A75A4">
            <w:pPr>
              <w:pStyle w:val="StyleProp"/>
              <w:rPr>
                <w:color w:val="000000" w:themeColor="text1"/>
                <w:szCs w:val="18"/>
              </w:rPr>
            </w:pPr>
          </w:p>
        </w:tc>
        <w:tc>
          <w:tcPr>
            <w:tcW w:w="1987" w:type="dxa"/>
          </w:tcPr>
          <w:p w14:paraId="5FF724EF" w14:textId="77777777" w:rsidR="001A75A4" w:rsidRPr="00286216" w:rsidRDefault="001A75A4" w:rsidP="001A75A4">
            <w:pPr>
              <w:pStyle w:val="StyleWisnow"/>
              <w:rPr>
                <w:color w:val="000000" w:themeColor="text1"/>
              </w:rPr>
            </w:pPr>
          </w:p>
        </w:tc>
        <w:tc>
          <w:tcPr>
            <w:tcW w:w="4818" w:type="dxa"/>
          </w:tcPr>
          <w:p w14:paraId="2750D871" w14:textId="2A4C4D50" w:rsidR="001A75A4" w:rsidRPr="00286216" w:rsidRDefault="001A75A4" w:rsidP="001A75A4">
            <w:pPr>
              <w:pStyle w:val="StyleZakonu"/>
              <w:rPr>
                <w:color w:val="000000" w:themeColor="text1"/>
              </w:rPr>
            </w:pPr>
            <w:r w:rsidRPr="00286216">
              <w:rPr>
                <w:color w:val="000000" w:themeColor="text1"/>
              </w:rPr>
              <w:t>2. Члени товарної біржі мають право:</w:t>
            </w:r>
          </w:p>
        </w:tc>
      </w:tr>
      <w:tr w:rsidR="001A75A4" w:rsidRPr="00286216" w14:paraId="6A76A4E5" w14:textId="77777777" w:rsidTr="00091AA5">
        <w:tc>
          <w:tcPr>
            <w:tcW w:w="576" w:type="dxa"/>
          </w:tcPr>
          <w:p w14:paraId="12720CBE" w14:textId="77777777" w:rsidR="001A75A4" w:rsidRPr="00286216" w:rsidRDefault="001A75A4" w:rsidP="001A75A4">
            <w:pPr>
              <w:pStyle w:val="StyleWisnow"/>
              <w:rPr>
                <w:color w:val="000000" w:themeColor="text1"/>
              </w:rPr>
            </w:pPr>
            <w:bookmarkStart w:id="2340" w:name="n2512" w:colFirst="0" w:colLast="0"/>
            <w:bookmarkEnd w:id="2339"/>
            <w:r w:rsidRPr="00286216">
              <w:rPr>
                <w:color w:val="000000" w:themeColor="text1"/>
              </w:rPr>
              <w:t>2512.</w:t>
            </w:r>
          </w:p>
        </w:tc>
        <w:tc>
          <w:tcPr>
            <w:tcW w:w="4818" w:type="dxa"/>
          </w:tcPr>
          <w:p w14:paraId="3C5F8AAC" w14:textId="77777777" w:rsidR="001A75A4" w:rsidRPr="00286216" w:rsidRDefault="001A75A4" w:rsidP="001A75A4">
            <w:pPr>
              <w:pStyle w:val="StyleZakonu"/>
              <w:rPr>
                <w:color w:val="000000" w:themeColor="text1"/>
              </w:rPr>
            </w:pPr>
            <w:r w:rsidRPr="00286216">
              <w:rPr>
                <w:color w:val="000000" w:themeColor="text1"/>
              </w:rPr>
              <w:t>1) брати участь у біржових торгах;</w:t>
            </w:r>
          </w:p>
        </w:tc>
        <w:tc>
          <w:tcPr>
            <w:tcW w:w="3686" w:type="dxa"/>
          </w:tcPr>
          <w:p w14:paraId="3857C46C" w14:textId="77777777" w:rsidR="001A75A4" w:rsidRPr="00286216" w:rsidRDefault="001A75A4" w:rsidP="001A75A4">
            <w:pPr>
              <w:pStyle w:val="StyleProp"/>
              <w:rPr>
                <w:color w:val="000000" w:themeColor="text1"/>
                <w:szCs w:val="18"/>
              </w:rPr>
            </w:pPr>
          </w:p>
        </w:tc>
        <w:tc>
          <w:tcPr>
            <w:tcW w:w="1987" w:type="dxa"/>
          </w:tcPr>
          <w:p w14:paraId="1A173835" w14:textId="77777777" w:rsidR="001A75A4" w:rsidRPr="00286216" w:rsidRDefault="001A75A4" w:rsidP="001A75A4">
            <w:pPr>
              <w:pStyle w:val="StyleWisnow"/>
              <w:rPr>
                <w:color w:val="000000" w:themeColor="text1"/>
              </w:rPr>
            </w:pPr>
          </w:p>
        </w:tc>
        <w:tc>
          <w:tcPr>
            <w:tcW w:w="4818" w:type="dxa"/>
          </w:tcPr>
          <w:p w14:paraId="07D3FBFC" w14:textId="1C9E91ED" w:rsidR="001A75A4" w:rsidRPr="00286216" w:rsidRDefault="001A75A4" w:rsidP="001A75A4">
            <w:pPr>
              <w:pStyle w:val="StyleZakonu"/>
              <w:rPr>
                <w:color w:val="000000" w:themeColor="text1"/>
              </w:rPr>
            </w:pPr>
            <w:r w:rsidRPr="00286216">
              <w:rPr>
                <w:color w:val="000000" w:themeColor="text1"/>
              </w:rPr>
              <w:t>1) брати участь у біржових торгах;</w:t>
            </w:r>
          </w:p>
        </w:tc>
      </w:tr>
      <w:tr w:rsidR="001A75A4" w:rsidRPr="00286216" w14:paraId="4B34DC84" w14:textId="77777777" w:rsidTr="00091AA5">
        <w:tc>
          <w:tcPr>
            <w:tcW w:w="576" w:type="dxa"/>
          </w:tcPr>
          <w:p w14:paraId="64A0E7CA" w14:textId="77777777" w:rsidR="001A75A4" w:rsidRPr="00286216" w:rsidRDefault="001A75A4" w:rsidP="001A75A4">
            <w:pPr>
              <w:pStyle w:val="StyleWisnow"/>
              <w:rPr>
                <w:color w:val="000000" w:themeColor="text1"/>
              </w:rPr>
            </w:pPr>
            <w:bookmarkStart w:id="2341" w:name="n2513" w:colFirst="0" w:colLast="0"/>
            <w:bookmarkEnd w:id="2340"/>
            <w:r w:rsidRPr="00286216">
              <w:rPr>
                <w:color w:val="000000" w:themeColor="text1"/>
              </w:rPr>
              <w:t>2513.</w:t>
            </w:r>
          </w:p>
        </w:tc>
        <w:tc>
          <w:tcPr>
            <w:tcW w:w="4818" w:type="dxa"/>
          </w:tcPr>
          <w:p w14:paraId="0BE9213A" w14:textId="77777777" w:rsidR="001A75A4" w:rsidRPr="00286216" w:rsidRDefault="001A75A4" w:rsidP="001A75A4">
            <w:pPr>
              <w:pStyle w:val="StyleZakonu"/>
              <w:rPr>
                <w:color w:val="000000" w:themeColor="text1"/>
              </w:rPr>
            </w:pPr>
            <w:r w:rsidRPr="00286216">
              <w:rPr>
                <w:color w:val="000000" w:themeColor="text1"/>
              </w:rPr>
              <w:t>2) отримувати інші послуги товарної біржі;</w:t>
            </w:r>
          </w:p>
        </w:tc>
        <w:tc>
          <w:tcPr>
            <w:tcW w:w="3686" w:type="dxa"/>
          </w:tcPr>
          <w:p w14:paraId="09AC76AE" w14:textId="77777777" w:rsidR="001A75A4" w:rsidRPr="00286216" w:rsidRDefault="001A75A4" w:rsidP="001A75A4">
            <w:pPr>
              <w:pStyle w:val="StyleProp"/>
              <w:rPr>
                <w:color w:val="000000" w:themeColor="text1"/>
                <w:szCs w:val="18"/>
              </w:rPr>
            </w:pPr>
          </w:p>
        </w:tc>
        <w:tc>
          <w:tcPr>
            <w:tcW w:w="1987" w:type="dxa"/>
          </w:tcPr>
          <w:p w14:paraId="3851A510" w14:textId="77777777" w:rsidR="001A75A4" w:rsidRPr="00286216" w:rsidRDefault="001A75A4" w:rsidP="001A75A4">
            <w:pPr>
              <w:pStyle w:val="StyleWisnow"/>
              <w:rPr>
                <w:color w:val="000000" w:themeColor="text1"/>
              </w:rPr>
            </w:pPr>
          </w:p>
        </w:tc>
        <w:tc>
          <w:tcPr>
            <w:tcW w:w="4818" w:type="dxa"/>
          </w:tcPr>
          <w:p w14:paraId="2F3624F7" w14:textId="5E1E18E6" w:rsidR="001A75A4" w:rsidRPr="00286216" w:rsidRDefault="001A75A4" w:rsidP="001A75A4">
            <w:pPr>
              <w:pStyle w:val="StyleZakonu"/>
              <w:rPr>
                <w:color w:val="000000" w:themeColor="text1"/>
              </w:rPr>
            </w:pPr>
            <w:r w:rsidRPr="00286216">
              <w:rPr>
                <w:color w:val="000000" w:themeColor="text1"/>
              </w:rPr>
              <w:t>2) отримувати інші послуги товарної біржі;</w:t>
            </w:r>
          </w:p>
        </w:tc>
      </w:tr>
      <w:tr w:rsidR="001A75A4" w:rsidRPr="00286216" w14:paraId="475E13D8" w14:textId="77777777" w:rsidTr="00091AA5">
        <w:tc>
          <w:tcPr>
            <w:tcW w:w="576" w:type="dxa"/>
          </w:tcPr>
          <w:p w14:paraId="45FC840D" w14:textId="77777777" w:rsidR="001A75A4" w:rsidRPr="00286216" w:rsidRDefault="001A75A4" w:rsidP="001A75A4">
            <w:pPr>
              <w:pStyle w:val="StyleWisnow"/>
              <w:rPr>
                <w:color w:val="000000" w:themeColor="text1"/>
              </w:rPr>
            </w:pPr>
            <w:bookmarkStart w:id="2342" w:name="n2514" w:colFirst="0" w:colLast="0"/>
            <w:bookmarkEnd w:id="2341"/>
            <w:r w:rsidRPr="00286216">
              <w:rPr>
                <w:color w:val="000000" w:themeColor="text1"/>
              </w:rPr>
              <w:t>2514.</w:t>
            </w:r>
          </w:p>
        </w:tc>
        <w:tc>
          <w:tcPr>
            <w:tcW w:w="4818" w:type="dxa"/>
          </w:tcPr>
          <w:p w14:paraId="0362C73C" w14:textId="77777777" w:rsidR="001A75A4" w:rsidRPr="00286216" w:rsidRDefault="001A75A4" w:rsidP="001A75A4">
            <w:pPr>
              <w:pStyle w:val="StyleZakonu"/>
              <w:rPr>
                <w:color w:val="000000" w:themeColor="text1"/>
              </w:rPr>
            </w:pPr>
            <w:r w:rsidRPr="00286216">
              <w:rPr>
                <w:color w:val="000000" w:themeColor="text1"/>
              </w:rPr>
              <w:t>3) мати інші права відповідно до законодавства та правил товарної біржі.</w:t>
            </w:r>
          </w:p>
        </w:tc>
        <w:tc>
          <w:tcPr>
            <w:tcW w:w="3686" w:type="dxa"/>
          </w:tcPr>
          <w:p w14:paraId="7F81FA79" w14:textId="77777777" w:rsidR="001A75A4" w:rsidRPr="00286216" w:rsidRDefault="001A75A4" w:rsidP="001A75A4">
            <w:pPr>
              <w:pStyle w:val="StyleProp"/>
              <w:rPr>
                <w:color w:val="000000" w:themeColor="text1"/>
                <w:szCs w:val="18"/>
              </w:rPr>
            </w:pPr>
          </w:p>
        </w:tc>
        <w:tc>
          <w:tcPr>
            <w:tcW w:w="1987" w:type="dxa"/>
          </w:tcPr>
          <w:p w14:paraId="3872DE35" w14:textId="77777777" w:rsidR="001A75A4" w:rsidRPr="00286216" w:rsidRDefault="001A75A4" w:rsidP="001A75A4">
            <w:pPr>
              <w:pStyle w:val="StyleWisnow"/>
              <w:rPr>
                <w:color w:val="000000" w:themeColor="text1"/>
              </w:rPr>
            </w:pPr>
          </w:p>
        </w:tc>
        <w:tc>
          <w:tcPr>
            <w:tcW w:w="4818" w:type="dxa"/>
          </w:tcPr>
          <w:p w14:paraId="29C3609C" w14:textId="07FE6A1B" w:rsidR="001A75A4" w:rsidRPr="00286216" w:rsidRDefault="001A75A4" w:rsidP="001A75A4">
            <w:pPr>
              <w:pStyle w:val="StyleZakonu"/>
              <w:rPr>
                <w:color w:val="000000" w:themeColor="text1"/>
              </w:rPr>
            </w:pPr>
            <w:r w:rsidRPr="00286216">
              <w:rPr>
                <w:color w:val="000000" w:themeColor="text1"/>
              </w:rPr>
              <w:t>3) мати інші права відповідно до законодавства та правил товарної біржі.</w:t>
            </w:r>
          </w:p>
        </w:tc>
      </w:tr>
      <w:tr w:rsidR="001A75A4" w:rsidRPr="00286216" w14:paraId="7966414A" w14:textId="77777777" w:rsidTr="00091AA5">
        <w:tc>
          <w:tcPr>
            <w:tcW w:w="576" w:type="dxa"/>
          </w:tcPr>
          <w:p w14:paraId="7F2C10C5" w14:textId="77777777" w:rsidR="001A75A4" w:rsidRPr="00286216" w:rsidRDefault="001A75A4" w:rsidP="001A75A4">
            <w:pPr>
              <w:pStyle w:val="StyleWisnow"/>
              <w:rPr>
                <w:color w:val="000000" w:themeColor="text1"/>
              </w:rPr>
            </w:pPr>
            <w:bookmarkStart w:id="2343" w:name="n2515" w:colFirst="0" w:colLast="0"/>
            <w:bookmarkEnd w:id="2342"/>
            <w:r w:rsidRPr="00286216">
              <w:rPr>
                <w:color w:val="000000" w:themeColor="text1"/>
              </w:rPr>
              <w:t>2515.</w:t>
            </w:r>
          </w:p>
        </w:tc>
        <w:tc>
          <w:tcPr>
            <w:tcW w:w="4818" w:type="dxa"/>
          </w:tcPr>
          <w:p w14:paraId="588C4476" w14:textId="77777777" w:rsidR="001A75A4" w:rsidRPr="00286216" w:rsidRDefault="001A75A4" w:rsidP="001A75A4">
            <w:pPr>
              <w:pStyle w:val="StyleZakonu"/>
              <w:rPr>
                <w:color w:val="000000" w:themeColor="text1"/>
              </w:rPr>
            </w:pPr>
            <w:r w:rsidRPr="00286216">
              <w:rPr>
                <w:color w:val="000000" w:themeColor="text1"/>
              </w:rPr>
              <w:t>3. Товарна біржа має право встановлювати для членів біржі певні права, обов’язки, вимоги, зокрема, вимоги до заходів з управління ризиками невиконання зобов’язань за біржовими угодами (біржовими договорами) тощо.</w:t>
            </w:r>
          </w:p>
        </w:tc>
        <w:tc>
          <w:tcPr>
            <w:tcW w:w="3686" w:type="dxa"/>
          </w:tcPr>
          <w:p w14:paraId="182B361E" w14:textId="77777777" w:rsidR="001A75A4" w:rsidRPr="00286216" w:rsidRDefault="001A75A4" w:rsidP="001A75A4">
            <w:pPr>
              <w:pStyle w:val="StyleProp"/>
              <w:rPr>
                <w:color w:val="000000" w:themeColor="text1"/>
                <w:szCs w:val="18"/>
              </w:rPr>
            </w:pPr>
          </w:p>
        </w:tc>
        <w:tc>
          <w:tcPr>
            <w:tcW w:w="1987" w:type="dxa"/>
          </w:tcPr>
          <w:p w14:paraId="4CC7C8CE" w14:textId="77777777" w:rsidR="001A75A4" w:rsidRPr="00286216" w:rsidRDefault="001A75A4" w:rsidP="001A75A4">
            <w:pPr>
              <w:pStyle w:val="StyleWisnow"/>
              <w:rPr>
                <w:color w:val="000000" w:themeColor="text1"/>
              </w:rPr>
            </w:pPr>
          </w:p>
        </w:tc>
        <w:tc>
          <w:tcPr>
            <w:tcW w:w="4818" w:type="dxa"/>
          </w:tcPr>
          <w:p w14:paraId="276F719C" w14:textId="1F564A80" w:rsidR="001A75A4" w:rsidRPr="00286216" w:rsidRDefault="001A75A4" w:rsidP="001A75A4">
            <w:pPr>
              <w:pStyle w:val="StyleZakonu"/>
              <w:rPr>
                <w:color w:val="000000" w:themeColor="text1"/>
              </w:rPr>
            </w:pPr>
            <w:r w:rsidRPr="00286216">
              <w:rPr>
                <w:color w:val="000000" w:themeColor="text1"/>
              </w:rPr>
              <w:t>3. Товарна біржа має право встановлювати для членів біржі певні права, обов’язки, вимоги, зокрема вимоги до заходів з управління ризиками невиконання зобов’язань за біржовими угодами (договорами) тощо.</w:t>
            </w:r>
          </w:p>
        </w:tc>
      </w:tr>
      <w:tr w:rsidR="001A75A4" w:rsidRPr="00286216" w14:paraId="4ADFFE96" w14:textId="77777777" w:rsidTr="00091AA5">
        <w:tc>
          <w:tcPr>
            <w:tcW w:w="576" w:type="dxa"/>
          </w:tcPr>
          <w:p w14:paraId="62E3A8FE" w14:textId="77777777" w:rsidR="001A75A4" w:rsidRPr="00286216" w:rsidRDefault="001A75A4" w:rsidP="001A75A4">
            <w:pPr>
              <w:pStyle w:val="StyleWisnow"/>
              <w:rPr>
                <w:color w:val="000000" w:themeColor="text1"/>
              </w:rPr>
            </w:pPr>
            <w:bookmarkStart w:id="2344" w:name="n2516" w:colFirst="0" w:colLast="0"/>
            <w:bookmarkEnd w:id="2343"/>
            <w:r w:rsidRPr="00286216">
              <w:rPr>
                <w:color w:val="000000" w:themeColor="text1"/>
              </w:rPr>
              <w:t>2516.</w:t>
            </w:r>
          </w:p>
        </w:tc>
        <w:tc>
          <w:tcPr>
            <w:tcW w:w="4818" w:type="dxa"/>
          </w:tcPr>
          <w:p w14:paraId="52D714E1" w14:textId="77777777" w:rsidR="001A75A4" w:rsidRPr="00286216" w:rsidRDefault="001A75A4" w:rsidP="001A75A4">
            <w:pPr>
              <w:pStyle w:val="StyleZakonu"/>
              <w:rPr>
                <w:color w:val="000000" w:themeColor="text1"/>
              </w:rPr>
            </w:pPr>
            <w:r w:rsidRPr="00286216">
              <w:rPr>
                <w:color w:val="000000" w:themeColor="text1"/>
              </w:rPr>
              <w:t>4. Товарна біржі має право призупинити або припинити права членів біржі, зокрема, щодо участі у біржових торгах, у разі порушення ними вимог законодавства та/або правил товарної біржі.</w:t>
            </w:r>
          </w:p>
        </w:tc>
        <w:tc>
          <w:tcPr>
            <w:tcW w:w="3686" w:type="dxa"/>
          </w:tcPr>
          <w:p w14:paraId="2048D834" w14:textId="77777777" w:rsidR="001A75A4" w:rsidRPr="00286216" w:rsidRDefault="001A75A4" w:rsidP="001A75A4">
            <w:pPr>
              <w:pStyle w:val="StyleProp"/>
              <w:rPr>
                <w:color w:val="000000" w:themeColor="text1"/>
                <w:szCs w:val="18"/>
              </w:rPr>
            </w:pPr>
          </w:p>
        </w:tc>
        <w:tc>
          <w:tcPr>
            <w:tcW w:w="1987" w:type="dxa"/>
          </w:tcPr>
          <w:p w14:paraId="259AFBEA" w14:textId="77777777" w:rsidR="001A75A4" w:rsidRPr="00286216" w:rsidRDefault="001A75A4" w:rsidP="001A75A4">
            <w:pPr>
              <w:pStyle w:val="StyleWisnow"/>
              <w:rPr>
                <w:color w:val="000000" w:themeColor="text1"/>
              </w:rPr>
            </w:pPr>
          </w:p>
        </w:tc>
        <w:tc>
          <w:tcPr>
            <w:tcW w:w="4818" w:type="dxa"/>
          </w:tcPr>
          <w:p w14:paraId="45BEFC40" w14:textId="3B29AA78" w:rsidR="001A75A4" w:rsidRPr="00286216" w:rsidRDefault="001A75A4" w:rsidP="001A75A4">
            <w:pPr>
              <w:pStyle w:val="StyleZakonu"/>
              <w:rPr>
                <w:color w:val="000000" w:themeColor="text1"/>
              </w:rPr>
            </w:pPr>
            <w:r w:rsidRPr="00286216">
              <w:rPr>
                <w:color w:val="000000" w:themeColor="text1"/>
              </w:rPr>
              <w:t>4. Товарна біржа має право зупинити або припинити права членів біржі, зокрема щодо участі у біржових торгах, у разі порушення ними вимог законодавства та/або правил товарної біржі.</w:t>
            </w:r>
          </w:p>
        </w:tc>
      </w:tr>
      <w:tr w:rsidR="001A75A4" w:rsidRPr="00286216" w14:paraId="67E77294" w14:textId="77777777" w:rsidTr="00091AA5">
        <w:tc>
          <w:tcPr>
            <w:tcW w:w="576" w:type="dxa"/>
          </w:tcPr>
          <w:p w14:paraId="0E36AA72" w14:textId="77777777" w:rsidR="001A75A4" w:rsidRPr="00286216" w:rsidRDefault="001A75A4" w:rsidP="001A75A4">
            <w:pPr>
              <w:pStyle w:val="StyleWisnow"/>
              <w:rPr>
                <w:color w:val="000000" w:themeColor="text1"/>
              </w:rPr>
            </w:pPr>
            <w:bookmarkStart w:id="2345" w:name="n2517" w:colFirst="0" w:colLast="0"/>
            <w:bookmarkEnd w:id="2344"/>
            <w:r w:rsidRPr="00286216">
              <w:rPr>
                <w:color w:val="000000" w:themeColor="text1"/>
              </w:rPr>
              <w:t>2517.</w:t>
            </w:r>
          </w:p>
        </w:tc>
        <w:tc>
          <w:tcPr>
            <w:tcW w:w="4818" w:type="dxa"/>
          </w:tcPr>
          <w:p w14:paraId="623584BE" w14:textId="77777777" w:rsidR="001A75A4" w:rsidRPr="00286216" w:rsidRDefault="001A75A4" w:rsidP="001A75A4">
            <w:pPr>
              <w:pStyle w:val="StyleZakonu"/>
              <w:rPr>
                <w:color w:val="000000" w:themeColor="text1"/>
              </w:rPr>
            </w:pPr>
            <w:r w:rsidRPr="00286216">
              <w:rPr>
                <w:color w:val="000000" w:themeColor="text1"/>
              </w:rPr>
              <w:t>5. Члени біржі зобов’язані:</w:t>
            </w:r>
          </w:p>
        </w:tc>
        <w:tc>
          <w:tcPr>
            <w:tcW w:w="3686" w:type="dxa"/>
          </w:tcPr>
          <w:p w14:paraId="3A32691B" w14:textId="77777777" w:rsidR="001A75A4" w:rsidRPr="00286216" w:rsidRDefault="001A75A4" w:rsidP="001A75A4">
            <w:pPr>
              <w:pStyle w:val="StyleProp"/>
              <w:rPr>
                <w:color w:val="000000" w:themeColor="text1"/>
                <w:szCs w:val="18"/>
              </w:rPr>
            </w:pPr>
          </w:p>
        </w:tc>
        <w:tc>
          <w:tcPr>
            <w:tcW w:w="1987" w:type="dxa"/>
          </w:tcPr>
          <w:p w14:paraId="3AF702DB" w14:textId="77777777" w:rsidR="001A75A4" w:rsidRPr="00286216" w:rsidRDefault="001A75A4" w:rsidP="001A75A4">
            <w:pPr>
              <w:pStyle w:val="StyleWisnow"/>
              <w:rPr>
                <w:color w:val="000000" w:themeColor="text1"/>
              </w:rPr>
            </w:pPr>
          </w:p>
        </w:tc>
        <w:tc>
          <w:tcPr>
            <w:tcW w:w="4818" w:type="dxa"/>
          </w:tcPr>
          <w:p w14:paraId="3135616D" w14:textId="14D6D29F" w:rsidR="001A75A4" w:rsidRPr="00286216" w:rsidRDefault="001A75A4" w:rsidP="001A75A4">
            <w:pPr>
              <w:pStyle w:val="StyleZakonu"/>
              <w:rPr>
                <w:color w:val="000000" w:themeColor="text1"/>
              </w:rPr>
            </w:pPr>
            <w:r w:rsidRPr="00286216">
              <w:rPr>
                <w:color w:val="000000" w:themeColor="text1"/>
              </w:rPr>
              <w:t>5. Члени товарної біржі зобов’язані:</w:t>
            </w:r>
          </w:p>
        </w:tc>
      </w:tr>
      <w:tr w:rsidR="001A75A4" w:rsidRPr="00286216" w14:paraId="5C5D2BD9" w14:textId="77777777" w:rsidTr="00091AA5">
        <w:tc>
          <w:tcPr>
            <w:tcW w:w="576" w:type="dxa"/>
          </w:tcPr>
          <w:p w14:paraId="35238BC1" w14:textId="77777777" w:rsidR="001A75A4" w:rsidRPr="00286216" w:rsidRDefault="001A75A4" w:rsidP="001A75A4">
            <w:pPr>
              <w:pStyle w:val="StyleWisnow"/>
              <w:rPr>
                <w:color w:val="000000" w:themeColor="text1"/>
              </w:rPr>
            </w:pPr>
            <w:bookmarkStart w:id="2346" w:name="n2518" w:colFirst="0" w:colLast="0"/>
            <w:bookmarkEnd w:id="2345"/>
            <w:r w:rsidRPr="00286216">
              <w:rPr>
                <w:color w:val="000000" w:themeColor="text1"/>
              </w:rPr>
              <w:t>2518.</w:t>
            </w:r>
          </w:p>
        </w:tc>
        <w:tc>
          <w:tcPr>
            <w:tcW w:w="4818" w:type="dxa"/>
          </w:tcPr>
          <w:p w14:paraId="2FB54BD9" w14:textId="77777777" w:rsidR="001A75A4" w:rsidRPr="00286216" w:rsidRDefault="001A75A4" w:rsidP="001A75A4">
            <w:pPr>
              <w:pStyle w:val="StyleZakonu"/>
              <w:rPr>
                <w:color w:val="000000" w:themeColor="text1"/>
              </w:rPr>
            </w:pPr>
            <w:r w:rsidRPr="00286216">
              <w:rPr>
                <w:color w:val="000000" w:themeColor="text1"/>
              </w:rPr>
              <w:t>1) дотримуватися вимог і показників, що обмежують ризики діяльності на організованих товарних ринках, встановлених цим Законом та товарною біржою;</w:t>
            </w:r>
          </w:p>
        </w:tc>
        <w:tc>
          <w:tcPr>
            <w:tcW w:w="3686" w:type="dxa"/>
          </w:tcPr>
          <w:p w14:paraId="592B8A6A" w14:textId="77777777" w:rsidR="001A75A4" w:rsidRPr="00286216" w:rsidRDefault="001A75A4" w:rsidP="001A75A4">
            <w:pPr>
              <w:pStyle w:val="StyleProp"/>
              <w:rPr>
                <w:color w:val="000000" w:themeColor="text1"/>
                <w:szCs w:val="18"/>
              </w:rPr>
            </w:pPr>
          </w:p>
        </w:tc>
        <w:tc>
          <w:tcPr>
            <w:tcW w:w="1987" w:type="dxa"/>
          </w:tcPr>
          <w:p w14:paraId="7669E264" w14:textId="77777777" w:rsidR="001A75A4" w:rsidRPr="00286216" w:rsidRDefault="001A75A4" w:rsidP="001A75A4">
            <w:pPr>
              <w:pStyle w:val="StyleWisnow"/>
              <w:rPr>
                <w:color w:val="000000" w:themeColor="text1"/>
              </w:rPr>
            </w:pPr>
          </w:p>
        </w:tc>
        <w:tc>
          <w:tcPr>
            <w:tcW w:w="4818" w:type="dxa"/>
          </w:tcPr>
          <w:p w14:paraId="571F0705" w14:textId="07142318" w:rsidR="001A75A4" w:rsidRPr="00286216" w:rsidRDefault="001A75A4" w:rsidP="001A75A4">
            <w:pPr>
              <w:pStyle w:val="StyleZakonu"/>
              <w:rPr>
                <w:color w:val="000000" w:themeColor="text1"/>
              </w:rPr>
            </w:pPr>
            <w:r w:rsidRPr="00286216">
              <w:rPr>
                <w:color w:val="000000" w:themeColor="text1"/>
              </w:rPr>
              <w:t>1) дотримуватися вимог і показників, що обмежують ризики діяльності на організованих товарних ринках, встановлених цим Законом та товарною біржею;</w:t>
            </w:r>
          </w:p>
        </w:tc>
      </w:tr>
      <w:tr w:rsidR="001A75A4" w:rsidRPr="00286216" w14:paraId="75107BAE" w14:textId="77777777" w:rsidTr="00091AA5">
        <w:tc>
          <w:tcPr>
            <w:tcW w:w="576" w:type="dxa"/>
          </w:tcPr>
          <w:p w14:paraId="7D680649" w14:textId="77777777" w:rsidR="001A75A4" w:rsidRPr="00286216" w:rsidRDefault="001A75A4" w:rsidP="001A75A4">
            <w:pPr>
              <w:pStyle w:val="StyleWisnow"/>
              <w:rPr>
                <w:color w:val="000000" w:themeColor="text1"/>
              </w:rPr>
            </w:pPr>
            <w:bookmarkStart w:id="2347" w:name="n2519" w:colFirst="0" w:colLast="0"/>
            <w:bookmarkEnd w:id="2346"/>
            <w:r w:rsidRPr="00286216">
              <w:rPr>
                <w:color w:val="000000" w:themeColor="text1"/>
              </w:rPr>
              <w:t>2519.</w:t>
            </w:r>
          </w:p>
        </w:tc>
        <w:tc>
          <w:tcPr>
            <w:tcW w:w="4818" w:type="dxa"/>
          </w:tcPr>
          <w:p w14:paraId="1AC61249" w14:textId="77777777" w:rsidR="001A75A4" w:rsidRPr="00286216" w:rsidRDefault="001A75A4" w:rsidP="001A75A4">
            <w:pPr>
              <w:pStyle w:val="StyleZakonu"/>
              <w:rPr>
                <w:color w:val="000000" w:themeColor="text1"/>
              </w:rPr>
            </w:pPr>
            <w:r w:rsidRPr="00286216">
              <w:rPr>
                <w:color w:val="000000" w:themeColor="text1"/>
              </w:rPr>
              <w:t>2) дотримуватися правил товарної біржі;</w:t>
            </w:r>
          </w:p>
        </w:tc>
        <w:tc>
          <w:tcPr>
            <w:tcW w:w="3686" w:type="dxa"/>
          </w:tcPr>
          <w:p w14:paraId="3BB8466C" w14:textId="77777777" w:rsidR="001A75A4" w:rsidRPr="00286216" w:rsidRDefault="001A75A4" w:rsidP="001A75A4">
            <w:pPr>
              <w:pStyle w:val="StyleProp"/>
              <w:rPr>
                <w:color w:val="000000" w:themeColor="text1"/>
                <w:szCs w:val="18"/>
              </w:rPr>
            </w:pPr>
          </w:p>
        </w:tc>
        <w:tc>
          <w:tcPr>
            <w:tcW w:w="1987" w:type="dxa"/>
          </w:tcPr>
          <w:p w14:paraId="27727726" w14:textId="77777777" w:rsidR="001A75A4" w:rsidRPr="00286216" w:rsidRDefault="001A75A4" w:rsidP="001A75A4">
            <w:pPr>
              <w:pStyle w:val="StyleWisnow"/>
              <w:rPr>
                <w:color w:val="000000" w:themeColor="text1"/>
              </w:rPr>
            </w:pPr>
          </w:p>
        </w:tc>
        <w:tc>
          <w:tcPr>
            <w:tcW w:w="4818" w:type="dxa"/>
          </w:tcPr>
          <w:p w14:paraId="6D51C571" w14:textId="66195962" w:rsidR="001A75A4" w:rsidRPr="00286216" w:rsidRDefault="001A75A4" w:rsidP="001A75A4">
            <w:pPr>
              <w:pStyle w:val="StyleZakonu"/>
              <w:rPr>
                <w:color w:val="000000" w:themeColor="text1"/>
              </w:rPr>
            </w:pPr>
            <w:r w:rsidRPr="00286216">
              <w:rPr>
                <w:color w:val="000000" w:themeColor="text1"/>
              </w:rPr>
              <w:t>2) дотримуватися правил товарної біржі;</w:t>
            </w:r>
          </w:p>
        </w:tc>
      </w:tr>
      <w:tr w:rsidR="001A75A4" w:rsidRPr="00286216" w14:paraId="33E4F25B" w14:textId="77777777" w:rsidTr="00091AA5">
        <w:tc>
          <w:tcPr>
            <w:tcW w:w="576" w:type="dxa"/>
          </w:tcPr>
          <w:p w14:paraId="1465B754" w14:textId="77777777" w:rsidR="001A75A4" w:rsidRPr="00286216" w:rsidRDefault="001A75A4" w:rsidP="001A75A4">
            <w:pPr>
              <w:pStyle w:val="StyleWisnow"/>
              <w:rPr>
                <w:color w:val="000000" w:themeColor="text1"/>
              </w:rPr>
            </w:pPr>
            <w:bookmarkStart w:id="2348" w:name="n2520" w:colFirst="0" w:colLast="0"/>
            <w:bookmarkEnd w:id="2347"/>
            <w:r w:rsidRPr="00286216">
              <w:rPr>
                <w:color w:val="000000" w:themeColor="text1"/>
              </w:rPr>
              <w:t>2520.</w:t>
            </w:r>
          </w:p>
        </w:tc>
        <w:tc>
          <w:tcPr>
            <w:tcW w:w="4818" w:type="dxa"/>
          </w:tcPr>
          <w:p w14:paraId="1D36C166" w14:textId="77777777" w:rsidR="001A75A4" w:rsidRPr="00286216" w:rsidRDefault="001A75A4" w:rsidP="001A75A4">
            <w:pPr>
              <w:pStyle w:val="StyleZakonu"/>
              <w:rPr>
                <w:color w:val="000000" w:themeColor="text1"/>
              </w:rPr>
            </w:pPr>
            <w:r w:rsidRPr="00286216">
              <w:rPr>
                <w:color w:val="000000" w:themeColor="text1"/>
              </w:rPr>
              <w:t>3) вести облік біржових операцій (а у випадках, визначених законодавством, позабіржових операцій) за власними операціями та за кожним клієнтом окремо та зберігати таку інформацію протягом щонайменше трьох років;</w:t>
            </w:r>
          </w:p>
        </w:tc>
        <w:tc>
          <w:tcPr>
            <w:tcW w:w="3686" w:type="dxa"/>
          </w:tcPr>
          <w:p w14:paraId="58A61C27" w14:textId="77777777" w:rsidR="001A75A4" w:rsidRPr="00286216" w:rsidRDefault="001A75A4" w:rsidP="001A75A4">
            <w:pPr>
              <w:pStyle w:val="StyleProp"/>
              <w:rPr>
                <w:color w:val="000000" w:themeColor="text1"/>
                <w:szCs w:val="18"/>
              </w:rPr>
            </w:pPr>
          </w:p>
        </w:tc>
        <w:tc>
          <w:tcPr>
            <w:tcW w:w="1987" w:type="dxa"/>
          </w:tcPr>
          <w:p w14:paraId="7792E38C" w14:textId="77777777" w:rsidR="001A75A4" w:rsidRPr="00286216" w:rsidRDefault="001A75A4" w:rsidP="001A75A4">
            <w:pPr>
              <w:pStyle w:val="StyleWisnow"/>
              <w:rPr>
                <w:color w:val="000000" w:themeColor="text1"/>
              </w:rPr>
            </w:pPr>
          </w:p>
        </w:tc>
        <w:tc>
          <w:tcPr>
            <w:tcW w:w="4818" w:type="dxa"/>
          </w:tcPr>
          <w:p w14:paraId="59307AD4" w14:textId="56C1F0AA" w:rsidR="001A75A4" w:rsidRPr="00286216" w:rsidRDefault="001A75A4" w:rsidP="001A75A4">
            <w:pPr>
              <w:pStyle w:val="StyleZakonu"/>
              <w:rPr>
                <w:color w:val="000000" w:themeColor="text1"/>
              </w:rPr>
            </w:pPr>
            <w:r w:rsidRPr="00286216">
              <w:rPr>
                <w:color w:val="000000" w:themeColor="text1"/>
              </w:rPr>
              <w:t>3) вести облік біржових операцій (а у випадках, визначених законодавством, позабіржових операцій) за власними операціями та за кожним клієнтом окремо і зберігати таку інформацію протягом щонайменше трьох років;</w:t>
            </w:r>
          </w:p>
        </w:tc>
      </w:tr>
      <w:tr w:rsidR="001A75A4" w:rsidRPr="00286216" w14:paraId="0792D0EE" w14:textId="77777777" w:rsidTr="00091AA5">
        <w:tc>
          <w:tcPr>
            <w:tcW w:w="576" w:type="dxa"/>
          </w:tcPr>
          <w:p w14:paraId="713250A4" w14:textId="77777777" w:rsidR="001A75A4" w:rsidRPr="00286216" w:rsidRDefault="001A75A4" w:rsidP="001A75A4">
            <w:pPr>
              <w:pStyle w:val="StyleWisnow"/>
              <w:rPr>
                <w:color w:val="000000" w:themeColor="text1"/>
              </w:rPr>
            </w:pPr>
            <w:bookmarkStart w:id="2349" w:name="n2521" w:colFirst="0" w:colLast="0"/>
            <w:bookmarkEnd w:id="2348"/>
            <w:r w:rsidRPr="00286216">
              <w:rPr>
                <w:color w:val="000000" w:themeColor="text1"/>
              </w:rPr>
              <w:t>2521.</w:t>
            </w:r>
          </w:p>
        </w:tc>
        <w:tc>
          <w:tcPr>
            <w:tcW w:w="4818" w:type="dxa"/>
          </w:tcPr>
          <w:p w14:paraId="324C9DA3" w14:textId="77777777" w:rsidR="001A75A4" w:rsidRPr="00286216" w:rsidRDefault="001A75A4" w:rsidP="001A75A4">
            <w:pPr>
              <w:pStyle w:val="StyleZakonu"/>
              <w:rPr>
                <w:color w:val="000000" w:themeColor="text1"/>
              </w:rPr>
            </w:pPr>
            <w:r w:rsidRPr="00286216">
              <w:rPr>
                <w:color w:val="000000" w:themeColor="text1"/>
              </w:rPr>
              <w:t>4) своєчасно інформувати товарну біржу про зміни у своєму фінансовому становищі, а також про інші зміни, що можуть негативно вплинути на виконання зобов’язань перед клієнтами, іншими учасниками торгів та товарною біржою;</w:t>
            </w:r>
          </w:p>
        </w:tc>
        <w:tc>
          <w:tcPr>
            <w:tcW w:w="3686" w:type="dxa"/>
          </w:tcPr>
          <w:p w14:paraId="40484C02" w14:textId="77777777" w:rsidR="001A75A4" w:rsidRPr="00286216" w:rsidRDefault="001A75A4" w:rsidP="001A75A4">
            <w:pPr>
              <w:pStyle w:val="StyleProp"/>
              <w:rPr>
                <w:color w:val="000000" w:themeColor="text1"/>
                <w:szCs w:val="18"/>
              </w:rPr>
            </w:pPr>
          </w:p>
        </w:tc>
        <w:tc>
          <w:tcPr>
            <w:tcW w:w="1987" w:type="dxa"/>
          </w:tcPr>
          <w:p w14:paraId="3098C1BE" w14:textId="77777777" w:rsidR="001A75A4" w:rsidRPr="00286216" w:rsidRDefault="001A75A4" w:rsidP="001A75A4">
            <w:pPr>
              <w:pStyle w:val="StyleWisnow"/>
              <w:rPr>
                <w:color w:val="000000" w:themeColor="text1"/>
              </w:rPr>
            </w:pPr>
          </w:p>
        </w:tc>
        <w:tc>
          <w:tcPr>
            <w:tcW w:w="4818" w:type="dxa"/>
          </w:tcPr>
          <w:p w14:paraId="6F4D67C5" w14:textId="0555D091" w:rsidR="001A75A4" w:rsidRPr="00286216" w:rsidRDefault="001A75A4" w:rsidP="001A75A4">
            <w:pPr>
              <w:pStyle w:val="StyleZakonu"/>
              <w:rPr>
                <w:color w:val="000000" w:themeColor="text1"/>
              </w:rPr>
            </w:pPr>
            <w:r w:rsidRPr="00286216">
              <w:rPr>
                <w:color w:val="000000" w:themeColor="text1"/>
              </w:rPr>
              <w:t>4) своєчасно інформувати товарну біржу про зміни у своєму фінансовому стані, а також про інші зміни, що можуть негативно вплинути на виконання зобов’язань перед клієнтами, іншими учасниками торгів та товарною біржею;</w:t>
            </w:r>
          </w:p>
        </w:tc>
      </w:tr>
      <w:tr w:rsidR="001A75A4" w:rsidRPr="00286216" w14:paraId="1A7F1FA8" w14:textId="77777777" w:rsidTr="00091AA5">
        <w:tc>
          <w:tcPr>
            <w:tcW w:w="576" w:type="dxa"/>
          </w:tcPr>
          <w:p w14:paraId="2665DE5A" w14:textId="77777777" w:rsidR="001A75A4" w:rsidRPr="00286216" w:rsidRDefault="001A75A4" w:rsidP="001A75A4">
            <w:pPr>
              <w:pStyle w:val="StyleWisnow"/>
              <w:rPr>
                <w:color w:val="000000" w:themeColor="text1"/>
              </w:rPr>
            </w:pPr>
            <w:bookmarkStart w:id="2350" w:name="n2522" w:colFirst="0" w:colLast="0"/>
            <w:bookmarkEnd w:id="2349"/>
            <w:r w:rsidRPr="00286216">
              <w:rPr>
                <w:color w:val="000000" w:themeColor="text1"/>
              </w:rPr>
              <w:t>2522.</w:t>
            </w:r>
          </w:p>
        </w:tc>
        <w:tc>
          <w:tcPr>
            <w:tcW w:w="4818" w:type="dxa"/>
          </w:tcPr>
          <w:p w14:paraId="2D0FFCC3" w14:textId="77777777" w:rsidR="001A75A4" w:rsidRPr="00286216" w:rsidRDefault="001A75A4" w:rsidP="001A75A4">
            <w:pPr>
              <w:pStyle w:val="StyleZakonu"/>
              <w:rPr>
                <w:color w:val="000000" w:themeColor="text1"/>
              </w:rPr>
            </w:pPr>
            <w:r w:rsidRPr="00286216">
              <w:rPr>
                <w:color w:val="000000" w:themeColor="text1"/>
              </w:rPr>
              <w:t xml:space="preserve">5) розкривати інформацію в порядку, обсягах та в </w:t>
            </w:r>
            <w:r w:rsidRPr="00286216">
              <w:rPr>
                <w:color w:val="000000" w:themeColor="text1"/>
              </w:rPr>
              <w:lastRenderedPageBreak/>
              <w:t>строки, передбачені законодавством;</w:t>
            </w:r>
          </w:p>
        </w:tc>
        <w:tc>
          <w:tcPr>
            <w:tcW w:w="3686" w:type="dxa"/>
          </w:tcPr>
          <w:p w14:paraId="5960850D" w14:textId="77777777" w:rsidR="001A75A4" w:rsidRPr="00286216" w:rsidRDefault="001A75A4" w:rsidP="001A75A4">
            <w:pPr>
              <w:pStyle w:val="StyleProp"/>
              <w:rPr>
                <w:color w:val="000000" w:themeColor="text1"/>
                <w:szCs w:val="18"/>
              </w:rPr>
            </w:pPr>
          </w:p>
        </w:tc>
        <w:tc>
          <w:tcPr>
            <w:tcW w:w="1987" w:type="dxa"/>
          </w:tcPr>
          <w:p w14:paraId="66DD371C" w14:textId="77777777" w:rsidR="001A75A4" w:rsidRPr="00286216" w:rsidRDefault="001A75A4" w:rsidP="001A75A4">
            <w:pPr>
              <w:pStyle w:val="StyleWisnow"/>
              <w:rPr>
                <w:color w:val="000000" w:themeColor="text1"/>
              </w:rPr>
            </w:pPr>
          </w:p>
        </w:tc>
        <w:tc>
          <w:tcPr>
            <w:tcW w:w="4818" w:type="dxa"/>
          </w:tcPr>
          <w:p w14:paraId="4F9822E2" w14:textId="4F5A1E82" w:rsidR="001A75A4" w:rsidRPr="00286216" w:rsidRDefault="001A75A4" w:rsidP="001A75A4">
            <w:pPr>
              <w:pStyle w:val="StyleZakonu"/>
              <w:rPr>
                <w:color w:val="000000" w:themeColor="text1"/>
              </w:rPr>
            </w:pPr>
            <w:r w:rsidRPr="00286216">
              <w:rPr>
                <w:color w:val="000000" w:themeColor="text1"/>
              </w:rPr>
              <w:t xml:space="preserve">5) розкривати інформацію в порядку, обсягах та у </w:t>
            </w:r>
            <w:r w:rsidRPr="00286216">
              <w:rPr>
                <w:color w:val="000000" w:themeColor="text1"/>
              </w:rPr>
              <w:lastRenderedPageBreak/>
              <w:t>строки, передбачені законодавством;</w:t>
            </w:r>
          </w:p>
        </w:tc>
      </w:tr>
      <w:tr w:rsidR="001A75A4" w:rsidRPr="00286216" w14:paraId="5AD9F51F" w14:textId="77777777" w:rsidTr="00091AA5">
        <w:tc>
          <w:tcPr>
            <w:tcW w:w="576" w:type="dxa"/>
          </w:tcPr>
          <w:p w14:paraId="19EE248F" w14:textId="77777777" w:rsidR="001A75A4" w:rsidRPr="00286216" w:rsidRDefault="001A75A4" w:rsidP="001A75A4">
            <w:pPr>
              <w:pStyle w:val="StyleWisnow"/>
              <w:rPr>
                <w:color w:val="000000" w:themeColor="text1"/>
              </w:rPr>
            </w:pPr>
            <w:bookmarkStart w:id="2351" w:name="n2523" w:colFirst="0" w:colLast="0"/>
            <w:bookmarkEnd w:id="2350"/>
            <w:r w:rsidRPr="00286216">
              <w:rPr>
                <w:color w:val="000000" w:themeColor="text1"/>
              </w:rPr>
              <w:lastRenderedPageBreak/>
              <w:t>2523.</w:t>
            </w:r>
          </w:p>
        </w:tc>
        <w:tc>
          <w:tcPr>
            <w:tcW w:w="4818" w:type="dxa"/>
          </w:tcPr>
          <w:p w14:paraId="5FFD4216" w14:textId="77777777" w:rsidR="001A75A4" w:rsidRPr="00286216" w:rsidRDefault="001A75A4" w:rsidP="001A75A4">
            <w:pPr>
              <w:pStyle w:val="StyleZakonu"/>
              <w:rPr>
                <w:color w:val="000000" w:themeColor="text1"/>
              </w:rPr>
            </w:pPr>
            <w:r w:rsidRPr="00286216">
              <w:rPr>
                <w:color w:val="000000" w:themeColor="text1"/>
              </w:rPr>
              <w:t>6) сплачувати членські внески та/або інші збори, визначені товарною біржою;</w:t>
            </w:r>
          </w:p>
        </w:tc>
        <w:tc>
          <w:tcPr>
            <w:tcW w:w="3686" w:type="dxa"/>
          </w:tcPr>
          <w:p w14:paraId="11DD326B" w14:textId="77777777" w:rsidR="001A75A4" w:rsidRPr="00286216" w:rsidRDefault="001A75A4" w:rsidP="001A75A4">
            <w:pPr>
              <w:pStyle w:val="StyleProp"/>
              <w:rPr>
                <w:color w:val="000000" w:themeColor="text1"/>
                <w:szCs w:val="18"/>
              </w:rPr>
            </w:pPr>
          </w:p>
        </w:tc>
        <w:tc>
          <w:tcPr>
            <w:tcW w:w="1987" w:type="dxa"/>
          </w:tcPr>
          <w:p w14:paraId="6DE3DFFA" w14:textId="77777777" w:rsidR="001A75A4" w:rsidRPr="00286216" w:rsidRDefault="001A75A4" w:rsidP="001A75A4">
            <w:pPr>
              <w:pStyle w:val="StyleWisnow"/>
              <w:rPr>
                <w:color w:val="000000" w:themeColor="text1"/>
              </w:rPr>
            </w:pPr>
          </w:p>
        </w:tc>
        <w:tc>
          <w:tcPr>
            <w:tcW w:w="4818" w:type="dxa"/>
          </w:tcPr>
          <w:p w14:paraId="5A1460FF" w14:textId="7DBDA587" w:rsidR="001A75A4" w:rsidRPr="00286216" w:rsidRDefault="001A75A4" w:rsidP="001A75A4">
            <w:pPr>
              <w:pStyle w:val="StyleZakonu"/>
              <w:rPr>
                <w:color w:val="000000" w:themeColor="text1"/>
              </w:rPr>
            </w:pPr>
            <w:r w:rsidRPr="00286216">
              <w:rPr>
                <w:color w:val="000000" w:themeColor="text1"/>
              </w:rPr>
              <w:t>6) сплачувати членські внески та/або інші збори, визначені товарною біржею;</w:t>
            </w:r>
          </w:p>
        </w:tc>
      </w:tr>
      <w:tr w:rsidR="001A75A4" w:rsidRPr="00286216" w14:paraId="18337DF1" w14:textId="77777777" w:rsidTr="00091AA5">
        <w:tc>
          <w:tcPr>
            <w:tcW w:w="576" w:type="dxa"/>
          </w:tcPr>
          <w:p w14:paraId="769D81F9" w14:textId="77777777" w:rsidR="001A75A4" w:rsidRPr="00286216" w:rsidRDefault="001A75A4" w:rsidP="001A75A4">
            <w:pPr>
              <w:pStyle w:val="StyleWisnow"/>
              <w:rPr>
                <w:color w:val="000000" w:themeColor="text1"/>
              </w:rPr>
            </w:pPr>
            <w:bookmarkStart w:id="2352" w:name="n2524" w:colFirst="0" w:colLast="0"/>
            <w:bookmarkEnd w:id="2351"/>
            <w:r w:rsidRPr="00286216">
              <w:rPr>
                <w:color w:val="000000" w:themeColor="text1"/>
              </w:rPr>
              <w:t>2524.</w:t>
            </w:r>
          </w:p>
        </w:tc>
        <w:tc>
          <w:tcPr>
            <w:tcW w:w="4818" w:type="dxa"/>
          </w:tcPr>
          <w:p w14:paraId="139013E3" w14:textId="77777777" w:rsidR="001A75A4" w:rsidRPr="00286216" w:rsidRDefault="001A75A4" w:rsidP="001A75A4">
            <w:pPr>
              <w:pStyle w:val="StyleZakonu"/>
              <w:rPr>
                <w:color w:val="000000" w:themeColor="text1"/>
              </w:rPr>
            </w:pPr>
            <w:r w:rsidRPr="00286216">
              <w:rPr>
                <w:color w:val="000000" w:themeColor="text1"/>
              </w:rPr>
              <w:t>7) не розголошувати конфіденційні відомості та комерційну таємницю про діяльність товарної біржі;</w:t>
            </w:r>
          </w:p>
        </w:tc>
        <w:tc>
          <w:tcPr>
            <w:tcW w:w="3686" w:type="dxa"/>
          </w:tcPr>
          <w:p w14:paraId="1957AAA2" w14:textId="77777777" w:rsidR="001A75A4" w:rsidRPr="00286216" w:rsidRDefault="001A75A4" w:rsidP="001A75A4">
            <w:pPr>
              <w:pStyle w:val="StyleProp"/>
              <w:rPr>
                <w:color w:val="000000" w:themeColor="text1"/>
                <w:szCs w:val="18"/>
              </w:rPr>
            </w:pPr>
          </w:p>
        </w:tc>
        <w:tc>
          <w:tcPr>
            <w:tcW w:w="1987" w:type="dxa"/>
          </w:tcPr>
          <w:p w14:paraId="5339C10C" w14:textId="77777777" w:rsidR="001A75A4" w:rsidRPr="00286216" w:rsidRDefault="001A75A4" w:rsidP="001A75A4">
            <w:pPr>
              <w:pStyle w:val="StyleWisnow"/>
              <w:rPr>
                <w:color w:val="000000" w:themeColor="text1"/>
              </w:rPr>
            </w:pPr>
          </w:p>
        </w:tc>
        <w:tc>
          <w:tcPr>
            <w:tcW w:w="4818" w:type="dxa"/>
          </w:tcPr>
          <w:p w14:paraId="69AFCC0A" w14:textId="3E8AE8A6" w:rsidR="001A75A4" w:rsidRPr="00286216" w:rsidRDefault="001A75A4" w:rsidP="001A75A4">
            <w:pPr>
              <w:pStyle w:val="StyleZakonu"/>
              <w:rPr>
                <w:color w:val="000000" w:themeColor="text1"/>
              </w:rPr>
            </w:pPr>
            <w:r w:rsidRPr="00286216">
              <w:rPr>
                <w:color w:val="000000" w:themeColor="text1"/>
              </w:rPr>
              <w:t>7) не розголошувати конфіденційні відомості та комерційну таємницю про діяльність товарної біржі;</w:t>
            </w:r>
          </w:p>
        </w:tc>
      </w:tr>
      <w:tr w:rsidR="001A75A4" w:rsidRPr="00286216" w14:paraId="23C6FAAF" w14:textId="77777777" w:rsidTr="00091AA5">
        <w:tc>
          <w:tcPr>
            <w:tcW w:w="576" w:type="dxa"/>
          </w:tcPr>
          <w:p w14:paraId="0A734605" w14:textId="77777777" w:rsidR="001A75A4" w:rsidRPr="00286216" w:rsidRDefault="001A75A4" w:rsidP="001A75A4">
            <w:pPr>
              <w:pStyle w:val="StyleWisnow"/>
              <w:rPr>
                <w:color w:val="000000" w:themeColor="text1"/>
              </w:rPr>
            </w:pPr>
            <w:bookmarkStart w:id="2353" w:name="n2525" w:colFirst="0" w:colLast="0"/>
            <w:bookmarkEnd w:id="2352"/>
            <w:r w:rsidRPr="00286216">
              <w:rPr>
                <w:color w:val="000000" w:themeColor="text1"/>
              </w:rPr>
              <w:t>2525.</w:t>
            </w:r>
          </w:p>
        </w:tc>
        <w:tc>
          <w:tcPr>
            <w:tcW w:w="4818" w:type="dxa"/>
          </w:tcPr>
          <w:p w14:paraId="0351DB87" w14:textId="77777777" w:rsidR="001A75A4" w:rsidRPr="00286216" w:rsidRDefault="001A75A4" w:rsidP="001A75A4">
            <w:pPr>
              <w:pStyle w:val="StyleZakonu"/>
              <w:rPr>
                <w:color w:val="000000" w:themeColor="text1"/>
              </w:rPr>
            </w:pPr>
            <w:r w:rsidRPr="00286216">
              <w:rPr>
                <w:color w:val="000000" w:themeColor="text1"/>
              </w:rPr>
              <w:t>8) виконувати інші обов’язки, визначені правилами товарної біржі.</w:t>
            </w:r>
          </w:p>
        </w:tc>
        <w:tc>
          <w:tcPr>
            <w:tcW w:w="3686" w:type="dxa"/>
          </w:tcPr>
          <w:p w14:paraId="765F75DF" w14:textId="77777777" w:rsidR="001A75A4" w:rsidRPr="00286216" w:rsidRDefault="001A75A4" w:rsidP="001A75A4">
            <w:pPr>
              <w:pStyle w:val="StyleProp"/>
              <w:rPr>
                <w:color w:val="000000" w:themeColor="text1"/>
                <w:szCs w:val="18"/>
              </w:rPr>
            </w:pPr>
          </w:p>
        </w:tc>
        <w:tc>
          <w:tcPr>
            <w:tcW w:w="1987" w:type="dxa"/>
          </w:tcPr>
          <w:p w14:paraId="4739F62F" w14:textId="77777777" w:rsidR="001A75A4" w:rsidRPr="00286216" w:rsidRDefault="001A75A4" w:rsidP="001A75A4">
            <w:pPr>
              <w:pStyle w:val="StyleWisnow"/>
              <w:rPr>
                <w:color w:val="000000" w:themeColor="text1"/>
              </w:rPr>
            </w:pPr>
          </w:p>
        </w:tc>
        <w:tc>
          <w:tcPr>
            <w:tcW w:w="4818" w:type="dxa"/>
          </w:tcPr>
          <w:p w14:paraId="15A63188" w14:textId="5136DD10" w:rsidR="001A75A4" w:rsidRPr="00286216" w:rsidRDefault="001A75A4" w:rsidP="001A75A4">
            <w:pPr>
              <w:pStyle w:val="StyleZakonu"/>
              <w:rPr>
                <w:color w:val="000000" w:themeColor="text1"/>
              </w:rPr>
            </w:pPr>
            <w:r w:rsidRPr="00286216">
              <w:rPr>
                <w:color w:val="000000" w:themeColor="text1"/>
              </w:rPr>
              <w:t>8) виконувати інші обов’язки, визначені правилами товарної біржі.</w:t>
            </w:r>
          </w:p>
        </w:tc>
      </w:tr>
      <w:tr w:rsidR="001A75A4" w:rsidRPr="00286216" w14:paraId="580AEA2E" w14:textId="77777777" w:rsidTr="00091AA5">
        <w:tc>
          <w:tcPr>
            <w:tcW w:w="576" w:type="dxa"/>
          </w:tcPr>
          <w:p w14:paraId="238BE1F8" w14:textId="77777777" w:rsidR="001A75A4" w:rsidRPr="00286216" w:rsidRDefault="001A75A4" w:rsidP="001A75A4">
            <w:pPr>
              <w:pStyle w:val="StyleWisnow"/>
              <w:rPr>
                <w:color w:val="000000" w:themeColor="text1"/>
              </w:rPr>
            </w:pPr>
            <w:bookmarkStart w:id="2354" w:name="n2526" w:colFirst="0" w:colLast="0"/>
            <w:bookmarkEnd w:id="2353"/>
            <w:r w:rsidRPr="00286216">
              <w:rPr>
                <w:color w:val="000000" w:themeColor="text1"/>
              </w:rPr>
              <w:t>2526.</w:t>
            </w:r>
          </w:p>
        </w:tc>
        <w:tc>
          <w:tcPr>
            <w:tcW w:w="4818" w:type="dxa"/>
          </w:tcPr>
          <w:p w14:paraId="4868AB21" w14:textId="77777777" w:rsidR="001A75A4" w:rsidRPr="00286216" w:rsidRDefault="001A75A4" w:rsidP="001A75A4">
            <w:pPr>
              <w:pStyle w:val="StyleZakonu"/>
              <w:rPr>
                <w:color w:val="000000" w:themeColor="text1"/>
              </w:rPr>
            </w:pPr>
            <w:r w:rsidRPr="00286216">
              <w:rPr>
                <w:color w:val="000000" w:themeColor="text1"/>
              </w:rPr>
              <w:t>6. Член біржі повинен призначити біржового брокера, зазначеного у статті 16 цього Закону, для участі в біржових торгах з належним оформленням відповідних документів щодо представництва відповідно до вимог законодавства та/або правил товарної біржі.</w:t>
            </w:r>
          </w:p>
        </w:tc>
        <w:tc>
          <w:tcPr>
            <w:tcW w:w="3686" w:type="dxa"/>
          </w:tcPr>
          <w:p w14:paraId="7279E821" w14:textId="77777777" w:rsidR="001A75A4" w:rsidRPr="00286216" w:rsidRDefault="001A75A4" w:rsidP="001A75A4">
            <w:pPr>
              <w:pStyle w:val="StyleProp"/>
              <w:rPr>
                <w:color w:val="000000" w:themeColor="text1"/>
                <w:szCs w:val="18"/>
              </w:rPr>
            </w:pPr>
          </w:p>
        </w:tc>
        <w:tc>
          <w:tcPr>
            <w:tcW w:w="1987" w:type="dxa"/>
          </w:tcPr>
          <w:p w14:paraId="49CB1D58" w14:textId="77777777" w:rsidR="001A75A4" w:rsidRPr="00286216" w:rsidRDefault="001A75A4" w:rsidP="001A75A4">
            <w:pPr>
              <w:pStyle w:val="StyleWisnow"/>
              <w:rPr>
                <w:color w:val="000000" w:themeColor="text1"/>
              </w:rPr>
            </w:pPr>
          </w:p>
        </w:tc>
        <w:tc>
          <w:tcPr>
            <w:tcW w:w="4818" w:type="dxa"/>
          </w:tcPr>
          <w:p w14:paraId="10318D6B" w14:textId="5ADEC4FF" w:rsidR="001A75A4" w:rsidRPr="00286216" w:rsidRDefault="001A75A4" w:rsidP="001A75A4">
            <w:pPr>
              <w:pStyle w:val="StyleZakonu"/>
              <w:rPr>
                <w:color w:val="000000" w:themeColor="text1"/>
              </w:rPr>
            </w:pPr>
            <w:r w:rsidRPr="00286216">
              <w:rPr>
                <w:color w:val="000000" w:themeColor="text1"/>
              </w:rPr>
              <w:t>6. Член товарної біржі повинен призначити біржового брокера, зазначеного у статті 16 цього Закону, для участі в біржових торгах з належним оформленням відповідних документів щодо представництва відповідно до вимог законодавства та/або правил товарної біржі.</w:t>
            </w:r>
          </w:p>
        </w:tc>
      </w:tr>
      <w:tr w:rsidR="001A75A4" w:rsidRPr="00286216" w14:paraId="6C6676EC" w14:textId="77777777" w:rsidTr="00091AA5">
        <w:tc>
          <w:tcPr>
            <w:tcW w:w="576" w:type="dxa"/>
          </w:tcPr>
          <w:p w14:paraId="35C6DC46" w14:textId="77777777" w:rsidR="001A75A4" w:rsidRPr="00286216" w:rsidRDefault="001A75A4" w:rsidP="001A75A4">
            <w:pPr>
              <w:pStyle w:val="StyleWisnow"/>
              <w:rPr>
                <w:color w:val="000000" w:themeColor="text1"/>
              </w:rPr>
            </w:pPr>
            <w:bookmarkStart w:id="2355" w:name="n2527" w:colFirst="0" w:colLast="0"/>
            <w:bookmarkEnd w:id="2354"/>
            <w:r w:rsidRPr="00286216">
              <w:rPr>
                <w:color w:val="000000" w:themeColor="text1"/>
              </w:rPr>
              <w:t>2527.</w:t>
            </w:r>
          </w:p>
        </w:tc>
        <w:tc>
          <w:tcPr>
            <w:tcW w:w="4818" w:type="dxa"/>
          </w:tcPr>
          <w:p w14:paraId="28FD430C" w14:textId="77777777" w:rsidR="001A75A4" w:rsidRPr="00286216" w:rsidRDefault="001A75A4" w:rsidP="001A75A4">
            <w:pPr>
              <w:pStyle w:val="StyleZakonu"/>
              <w:rPr>
                <w:color w:val="000000" w:themeColor="text1"/>
              </w:rPr>
            </w:pPr>
            <w:r w:rsidRPr="00286216">
              <w:rPr>
                <w:color w:val="000000" w:themeColor="text1"/>
              </w:rPr>
              <w:t>7. Члени біржі, до початку надання послуг клієнту, повинні укладати договори у письмовій формі з кожним клієнтом та здійснювати на товарній біржі реєстрацію таких клієнтів в порядку, визначеному правилами товарної біржі. Цей договір повинен визначати умови надання послуг та винагороду за надані клієнту послуги, права та обов’язки сторін, а також визначати, що послуги за цим договором надаються з урахуванням вимог цього Закону та правил товарної біржі, а також правил клірингу особи, що провадить клірингову діяльність за правочинами, що вчиняються на такій біржі. Ці умови можуть зазначатись шляхом посилання на інші документи, які є доступними клієнту для ознайомлення.</w:t>
            </w:r>
          </w:p>
        </w:tc>
        <w:tc>
          <w:tcPr>
            <w:tcW w:w="3686" w:type="dxa"/>
          </w:tcPr>
          <w:p w14:paraId="1701E021" w14:textId="77777777" w:rsidR="001A75A4" w:rsidRPr="00286216" w:rsidRDefault="001A75A4" w:rsidP="001A75A4">
            <w:pPr>
              <w:pStyle w:val="StyleProp"/>
              <w:rPr>
                <w:color w:val="000000" w:themeColor="text1"/>
                <w:szCs w:val="18"/>
              </w:rPr>
            </w:pPr>
          </w:p>
        </w:tc>
        <w:tc>
          <w:tcPr>
            <w:tcW w:w="1987" w:type="dxa"/>
          </w:tcPr>
          <w:p w14:paraId="3E001161" w14:textId="77777777" w:rsidR="001A75A4" w:rsidRPr="00286216" w:rsidRDefault="001A75A4" w:rsidP="001A75A4">
            <w:pPr>
              <w:pStyle w:val="StyleWisnow"/>
              <w:rPr>
                <w:color w:val="000000" w:themeColor="text1"/>
              </w:rPr>
            </w:pPr>
          </w:p>
        </w:tc>
        <w:tc>
          <w:tcPr>
            <w:tcW w:w="4818" w:type="dxa"/>
          </w:tcPr>
          <w:p w14:paraId="23A78357" w14:textId="1BD31791" w:rsidR="001A75A4" w:rsidRPr="00286216" w:rsidRDefault="001A75A4" w:rsidP="001A75A4">
            <w:pPr>
              <w:pStyle w:val="StyleZakonu"/>
              <w:rPr>
                <w:color w:val="000000" w:themeColor="text1"/>
              </w:rPr>
            </w:pPr>
            <w:r w:rsidRPr="00286216">
              <w:rPr>
                <w:color w:val="000000" w:themeColor="text1"/>
              </w:rPr>
              <w:t>7. Члени товарної біржі, до початку надання послуг клієнту повинні укласти договір у письмовій формі з кожним клієнтом та здійснювати на товарній біржі реєстрацію таких клієнтів у порядку, визначеному правилами товарної біржі. Цей договір повинен визначати умови надання послуг та винагороду за надані клієнту послуги, права та обов’язки сторін, а також, що послуги за цим договором надаються з урахуванням вимог цього Закону та правил товарної біржі, а також правил клірингу особи, яка провадить клірингову діяльність за правочинами, що вчиняються на такій біржі. Такі умови можуть зазначатися шляхом посилання на інші документи, які є доступними клієнту для ознайомлення.</w:t>
            </w:r>
          </w:p>
        </w:tc>
      </w:tr>
      <w:tr w:rsidR="001A75A4" w:rsidRPr="00286216" w14:paraId="44EA0145" w14:textId="77777777" w:rsidTr="00091AA5">
        <w:tc>
          <w:tcPr>
            <w:tcW w:w="576" w:type="dxa"/>
          </w:tcPr>
          <w:p w14:paraId="31ED1F2A" w14:textId="77777777" w:rsidR="001A75A4" w:rsidRPr="00286216" w:rsidRDefault="001A75A4" w:rsidP="001A75A4">
            <w:pPr>
              <w:pStyle w:val="StyleWisnow"/>
              <w:rPr>
                <w:color w:val="000000" w:themeColor="text1"/>
              </w:rPr>
            </w:pPr>
            <w:bookmarkStart w:id="2356" w:name="n2528" w:colFirst="0" w:colLast="0"/>
            <w:bookmarkEnd w:id="2355"/>
            <w:r w:rsidRPr="00286216">
              <w:rPr>
                <w:color w:val="000000" w:themeColor="text1"/>
              </w:rPr>
              <w:t>2528.</w:t>
            </w:r>
          </w:p>
        </w:tc>
        <w:tc>
          <w:tcPr>
            <w:tcW w:w="4818" w:type="dxa"/>
          </w:tcPr>
          <w:p w14:paraId="70D16998" w14:textId="77777777" w:rsidR="001A75A4" w:rsidRPr="00286216" w:rsidRDefault="001A75A4" w:rsidP="001A75A4">
            <w:pPr>
              <w:pStyle w:val="StyleZakonu"/>
              <w:rPr>
                <w:color w:val="000000" w:themeColor="text1"/>
              </w:rPr>
            </w:pPr>
            <w:r w:rsidRPr="00286216">
              <w:rPr>
                <w:color w:val="000000" w:themeColor="text1"/>
              </w:rPr>
              <w:t>Член біржі повинен погодити з клієнтом будь-які зміни та доповнення, що стосуються таких документів.</w:t>
            </w:r>
          </w:p>
        </w:tc>
        <w:tc>
          <w:tcPr>
            <w:tcW w:w="3686" w:type="dxa"/>
          </w:tcPr>
          <w:p w14:paraId="2CCCD62B" w14:textId="77777777" w:rsidR="001A75A4" w:rsidRPr="00286216" w:rsidRDefault="001A75A4" w:rsidP="001A75A4">
            <w:pPr>
              <w:pStyle w:val="StyleProp"/>
              <w:rPr>
                <w:color w:val="000000" w:themeColor="text1"/>
                <w:szCs w:val="18"/>
              </w:rPr>
            </w:pPr>
          </w:p>
        </w:tc>
        <w:tc>
          <w:tcPr>
            <w:tcW w:w="1987" w:type="dxa"/>
          </w:tcPr>
          <w:p w14:paraId="49410377" w14:textId="77777777" w:rsidR="001A75A4" w:rsidRPr="00286216" w:rsidRDefault="001A75A4" w:rsidP="001A75A4">
            <w:pPr>
              <w:pStyle w:val="StyleWisnow"/>
              <w:rPr>
                <w:color w:val="000000" w:themeColor="text1"/>
              </w:rPr>
            </w:pPr>
          </w:p>
        </w:tc>
        <w:tc>
          <w:tcPr>
            <w:tcW w:w="4818" w:type="dxa"/>
          </w:tcPr>
          <w:p w14:paraId="5E2ECFE2" w14:textId="6C44B2FA" w:rsidR="001A75A4" w:rsidRPr="00286216" w:rsidRDefault="001A75A4" w:rsidP="001A75A4">
            <w:pPr>
              <w:pStyle w:val="StyleZakonu"/>
              <w:rPr>
                <w:color w:val="000000" w:themeColor="text1"/>
              </w:rPr>
            </w:pPr>
            <w:r w:rsidRPr="00286216">
              <w:rPr>
                <w:color w:val="000000" w:themeColor="text1"/>
              </w:rPr>
              <w:t>Член товарної біржі повинен погоджувати з клієнтом будь-які зміни та доповнення, що стосуються таких документів.</w:t>
            </w:r>
          </w:p>
        </w:tc>
      </w:tr>
      <w:tr w:rsidR="001A75A4" w:rsidRPr="00286216" w14:paraId="58A34405" w14:textId="77777777" w:rsidTr="00091AA5">
        <w:tc>
          <w:tcPr>
            <w:tcW w:w="576" w:type="dxa"/>
          </w:tcPr>
          <w:p w14:paraId="603F8AAF" w14:textId="77777777" w:rsidR="001A75A4" w:rsidRPr="00286216" w:rsidRDefault="001A75A4" w:rsidP="001A75A4">
            <w:pPr>
              <w:pStyle w:val="StyleWisnow"/>
              <w:rPr>
                <w:color w:val="000000" w:themeColor="text1"/>
              </w:rPr>
            </w:pPr>
            <w:bookmarkStart w:id="2357" w:name="n2529" w:colFirst="0" w:colLast="0"/>
            <w:bookmarkEnd w:id="2356"/>
            <w:r w:rsidRPr="00286216">
              <w:rPr>
                <w:color w:val="000000" w:themeColor="text1"/>
              </w:rPr>
              <w:t>2529.</w:t>
            </w:r>
          </w:p>
        </w:tc>
        <w:tc>
          <w:tcPr>
            <w:tcW w:w="4818" w:type="dxa"/>
          </w:tcPr>
          <w:p w14:paraId="00B83485" w14:textId="77777777" w:rsidR="001A75A4" w:rsidRPr="00286216" w:rsidRDefault="001A75A4" w:rsidP="001A75A4">
            <w:pPr>
              <w:pStyle w:val="StyleZakonu"/>
              <w:rPr>
                <w:color w:val="000000" w:themeColor="text1"/>
              </w:rPr>
            </w:pPr>
            <w:r w:rsidRPr="00286216">
              <w:rPr>
                <w:color w:val="000000" w:themeColor="text1"/>
              </w:rPr>
              <w:t>Перед початком надання послуг клієнту член біржі повинен проінформувати клієнта про будь-які можливі конфлікти інтересів між інтересами клієнта та його власними, та/або інтересами інших клієнтів такого члена біржі.</w:t>
            </w:r>
          </w:p>
        </w:tc>
        <w:tc>
          <w:tcPr>
            <w:tcW w:w="3686" w:type="dxa"/>
          </w:tcPr>
          <w:p w14:paraId="35C376BC" w14:textId="77777777" w:rsidR="001A75A4" w:rsidRPr="00286216" w:rsidRDefault="001A75A4" w:rsidP="001A75A4">
            <w:pPr>
              <w:pStyle w:val="StyleProp"/>
              <w:rPr>
                <w:color w:val="000000" w:themeColor="text1"/>
                <w:szCs w:val="18"/>
              </w:rPr>
            </w:pPr>
          </w:p>
        </w:tc>
        <w:tc>
          <w:tcPr>
            <w:tcW w:w="1987" w:type="dxa"/>
          </w:tcPr>
          <w:p w14:paraId="26AEC86A" w14:textId="77777777" w:rsidR="001A75A4" w:rsidRPr="00286216" w:rsidRDefault="001A75A4" w:rsidP="001A75A4">
            <w:pPr>
              <w:pStyle w:val="StyleWisnow"/>
              <w:rPr>
                <w:color w:val="000000" w:themeColor="text1"/>
              </w:rPr>
            </w:pPr>
          </w:p>
        </w:tc>
        <w:tc>
          <w:tcPr>
            <w:tcW w:w="4818" w:type="dxa"/>
          </w:tcPr>
          <w:p w14:paraId="1A4B5FB4" w14:textId="7E199AF2" w:rsidR="001A75A4" w:rsidRPr="00286216" w:rsidRDefault="001A75A4" w:rsidP="001A75A4">
            <w:pPr>
              <w:pStyle w:val="StyleZakonu"/>
              <w:rPr>
                <w:color w:val="000000" w:themeColor="text1"/>
              </w:rPr>
            </w:pPr>
            <w:r w:rsidRPr="00286216">
              <w:rPr>
                <w:color w:val="000000" w:themeColor="text1"/>
              </w:rPr>
              <w:t>Перед початком надання послуг клієнту член товарної біржі повинен поінформувати клієнта про будь-які можливі конфлікти інтересів між інтересами клієнта та його власними, та/або інтересами інших клієнтів такого члена товарної біржі.</w:t>
            </w:r>
          </w:p>
        </w:tc>
      </w:tr>
      <w:tr w:rsidR="001A75A4" w:rsidRPr="00286216" w14:paraId="05CAFE7A" w14:textId="77777777" w:rsidTr="00091AA5">
        <w:tc>
          <w:tcPr>
            <w:tcW w:w="576" w:type="dxa"/>
          </w:tcPr>
          <w:p w14:paraId="0A756689" w14:textId="77777777" w:rsidR="001A75A4" w:rsidRPr="00286216" w:rsidRDefault="001A75A4" w:rsidP="001A75A4">
            <w:pPr>
              <w:pStyle w:val="StyleWisnow"/>
              <w:rPr>
                <w:color w:val="000000" w:themeColor="text1"/>
              </w:rPr>
            </w:pPr>
            <w:bookmarkStart w:id="2358" w:name="n2530" w:colFirst="0" w:colLast="0"/>
            <w:bookmarkEnd w:id="2357"/>
            <w:r w:rsidRPr="00286216">
              <w:rPr>
                <w:color w:val="000000" w:themeColor="text1"/>
              </w:rPr>
              <w:t>2530.</w:t>
            </w:r>
          </w:p>
        </w:tc>
        <w:tc>
          <w:tcPr>
            <w:tcW w:w="4818" w:type="dxa"/>
          </w:tcPr>
          <w:p w14:paraId="54EB4CC4" w14:textId="77777777" w:rsidR="001A75A4" w:rsidRPr="00286216" w:rsidRDefault="001A75A4" w:rsidP="001A75A4">
            <w:pPr>
              <w:pStyle w:val="StyleZakonu"/>
              <w:rPr>
                <w:color w:val="000000" w:themeColor="text1"/>
              </w:rPr>
            </w:pPr>
            <w:r w:rsidRPr="00286216">
              <w:rPr>
                <w:color w:val="000000" w:themeColor="text1"/>
              </w:rPr>
              <w:t>Порядок підтвердження членом біржі біржової операції, вчиненої на користь клієнта, визначається договором між членом біржі та клієнтом.</w:t>
            </w:r>
          </w:p>
        </w:tc>
        <w:tc>
          <w:tcPr>
            <w:tcW w:w="3686" w:type="dxa"/>
          </w:tcPr>
          <w:p w14:paraId="61ECE17A" w14:textId="77777777" w:rsidR="001A75A4" w:rsidRPr="00286216" w:rsidRDefault="001A75A4" w:rsidP="001A75A4">
            <w:pPr>
              <w:pStyle w:val="StyleProp"/>
              <w:rPr>
                <w:color w:val="000000" w:themeColor="text1"/>
                <w:szCs w:val="18"/>
              </w:rPr>
            </w:pPr>
          </w:p>
        </w:tc>
        <w:tc>
          <w:tcPr>
            <w:tcW w:w="1987" w:type="dxa"/>
          </w:tcPr>
          <w:p w14:paraId="57930333" w14:textId="77777777" w:rsidR="001A75A4" w:rsidRPr="00286216" w:rsidRDefault="001A75A4" w:rsidP="001A75A4">
            <w:pPr>
              <w:pStyle w:val="StyleWisnow"/>
              <w:rPr>
                <w:color w:val="000000" w:themeColor="text1"/>
              </w:rPr>
            </w:pPr>
          </w:p>
        </w:tc>
        <w:tc>
          <w:tcPr>
            <w:tcW w:w="4818" w:type="dxa"/>
          </w:tcPr>
          <w:p w14:paraId="3DEE9B5C" w14:textId="196DDEFF" w:rsidR="001A75A4" w:rsidRPr="00286216" w:rsidRDefault="001A75A4" w:rsidP="001A75A4">
            <w:pPr>
              <w:pStyle w:val="StyleZakonu"/>
              <w:rPr>
                <w:color w:val="000000" w:themeColor="text1"/>
              </w:rPr>
            </w:pPr>
            <w:r w:rsidRPr="00286216">
              <w:rPr>
                <w:color w:val="000000" w:themeColor="text1"/>
              </w:rPr>
              <w:t>Порядок підтвердження членом біржі біржової операції, вчиненої на користь клієнта, визначається договором між членом біржі та клієнтом.</w:t>
            </w:r>
          </w:p>
        </w:tc>
      </w:tr>
      <w:tr w:rsidR="001A75A4" w:rsidRPr="00286216" w14:paraId="2EC9C3CD" w14:textId="77777777" w:rsidTr="00091AA5">
        <w:tc>
          <w:tcPr>
            <w:tcW w:w="576" w:type="dxa"/>
          </w:tcPr>
          <w:p w14:paraId="579150EE" w14:textId="77777777" w:rsidR="001A75A4" w:rsidRPr="00286216" w:rsidRDefault="001A75A4" w:rsidP="001A75A4">
            <w:pPr>
              <w:pStyle w:val="StyleWisnow"/>
              <w:rPr>
                <w:color w:val="000000" w:themeColor="text1"/>
              </w:rPr>
            </w:pPr>
            <w:bookmarkStart w:id="2359" w:name="n2531" w:colFirst="0" w:colLast="0"/>
            <w:bookmarkEnd w:id="2358"/>
            <w:r w:rsidRPr="00286216">
              <w:rPr>
                <w:color w:val="000000" w:themeColor="text1"/>
              </w:rPr>
              <w:t>2531.</w:t>
            </w:r>
          </w:p>
        </w:tc>
        <w:tc>
          <w:tcPr>
            <w:tcW w:w="4818" w:type="dxa"/>
          </w:tcPr>
          <w:p w14:paraId="7CDAA6A7" w14:textId="77777777" w:rsidR="001A75A4" w:rsidRPr="00286216" w:rsidRDefault="001A75A4" w:rsidP="001A75A4">
            <w:pPr>
              <w:pStyle w:val="StyleZakonu"/>
              <w:rPr>
                <w:color w:val="000000" w:themeColor="text1"/>
              </w:rPr>
            </w:pPr>
            <w:r w:rsidRPr="00286216">
              <w:rPr>
                <w:color w:val="000000" w:themeColor="text1"/>
              </w:rPr>
              <w:t xml:space="preserve">8. У процесі біржових торгів або надання консультацій клієнту член біржі повинен надавати пріоритет інтересам клієнта над власними, а також діяти в інтересах клієнта у відповідності з вимогами </w:t>
            </w:r>
            <w:r w:rsidRPr="00286216">
              <w:rPr>
                <w:color w:val="000000" w:themeColor="text1"/>
              </w:rPr>
              <w:lastRenderedPageBreak/>
              <w:t>цього Закону та інших актів законодавства.</w:t>
            </w:r>
          </w:p>
        </w:tc>
        <w:tc>
          <w:tcPr>
            <w:tcW w:w="3686" w:type="dxa"/>
          </w:tcPr>
          <w:p w14:paraId="6B385FF5" w14:textId="77777777" w:rsidR="001A75A4" w:rsidRPr="00286216" w:rsidRDefault="001A75A4" w:rsidP="001A75A4">
            <w:pPr>
              <w:pStyle w:val="StyleProp"/>
              <w:rPr>
                <w:color w:val="000000" w:themeColor="text1"/>
                <w:szCs w:val="18"/>
              </w:rPr>
            </w:pPr>
          </w:p>
        </w:tc>
        <w:tc>
          <w:tcPr>
            <w:tcW w:w="1987" w:type="dxa"/>
          </w:tcPr>
          <w:p w14:paraId="6CC62D9E" w14:textId="77777777" w:rsidR="001A75A4" w:rsidRPr="00286216" w:rsidRDefault="001A75A4" w:rsidP="001A75A4">
            <w:pPr>
              <w:pStyle w:val="StyleWisnow"/>
              <w:rPr>
                <w:color w:val="000000" w:themeColor="text1"/>
              </w:rPr>
            </w:pPr>
          </w:p>
        </w:tc>
        <w:tc>
          <w:tcPr>
            <w:tcW w:w="4818" w:type="dxa"/>
          </w:tcPr>
          <w:p w14:paraId="09D0EABB" w14:textId="4515F06F" w:rsidR="001A75A4" w:rsidRPr="00286216" w:rsidRDefault="001A75A4" w:rsidP="001A75A4">
            <w:pPr>
              <w:pStyle w:val="StyleZakonu"/>
              <w:rPr>
                <w:color w:val="000000" w:themeColor="text1"/>
              </w:rPr>
            </w:pPr>
            <w:r w:rsidRPr="00286216">
              <w:rPr>
                <w:color w:val="000000" w:themeColor="text1"/>
              </w:rPr>
              <w:t xml:space="preserve">8. У процесі біржових торгів або надання консультацій клієнту член товарної біржі повинен надавати пріоритет інтересам клієнта над власними, а також діяти в інтересах клієнта  відповідно до вимог </w:t>
            </w:r>
            <w:r w:rsidRPr="00286216">
              <w:rPr>
                <w:color w:val="000000" w:themeColor="text1"/>
              </w:rPr>
              <w:lastRenderedPageBreak/>
              <w:t>цього Закону та інших актів законодавства.</w:t>
            </w:r>
          </w:p>
        </w:tc>
      </w:tr>
      <w:tr w:rsidR="001A75A4" w:rsidRPr="00286216" w14:paraId="086CB6CD" w14:textId="77777777" w:rsidTr="00091AA5">
        <w:tc>
          <w:tcPr>
            <w:tcW w:w="576" w:type="dxa"/>
          </w:tcPr>
          <w:p w14:paraId="0D696E56" w14:textId="77777777" w:rsidR="001A75A4" w:rsidRPr="00286216" w:rsidRDefault="001A75A4" w:rsidP="001A75A4">
            <w:pPr>
              <w:pStyle w:val="StyleWisnow"/>
              <w:rPr>
                <w:color w:val="000000" w:themeColor="text1"/>
              </w:rPr>
            </w:pPr>
            <w:bookmarkStart w:id="2360" w:name="n2532" w:colFirst="0" w:colLast="0"/>
            <w:bookmarkEnd w:id="2359"/>
            <w:r w:rsidRPr="00286216">
              <w:rPr>
                <w:color w:val="000000" w:themeColor="text1"/>
              </w:rPr>
              <w:lastRenderedPageBreak/>
              <w:t>2532.</w:t>
            </w:r>
          </w:p>
        </w:tc>
        <w:tc>
          <w:tcPr>
            <w:tcW w:w="4818" w:type="dxa"/>
          </w:tcPr>
          <w:p w14:paraId="20BA8B12" w14:textId="77777777" w:rsidR="001A75A4" w:rsidRPr="00286216" w:rsidRDefault="001A75A4" w:rsidP="001A75A4">
            <w:pPr>
              <w:pStyle w:val="StyleZakonu"/>
              <w:rPr>
                <w:color w:val="000000" w:themeColor="text1"/>
              </w:rPr>
            </w:pPr>
            <w:r w:rsidRPr="00286216">
              <w:rPr>
                <w:color w:val="000000" w:themeColor="text1"/>
              </w:rPr>
              <w:t>Член біржі повинен вжити всіх розумних заходів для того, щоб отримати найкращий результат при виконанні розпоряджень клієнта, враховуючи ціну, витрати, швидкість, вірогідність здійснення виконання та розрахунків та інші фактори щодо виконання такого розпорядження. За наявності розпорядження клієнта член біржі повинен виконати таке розпорядження відповідно до вказівок клієнта, з урахуванням вимог щодо запобіганню будь-яких зловживань, у тому числі, маніпулюванню на товарній біржі та у відповідності до правил такої товарної біржі.</w:t>
            </w:r>
          </w:p>
        </w:tc>
        <w:tc>
          <w:tcPr>
            <w:tcW w:w="3686" w:type="dxa"/>
          </w:tcPr>
          <w:p w14:paraId="2F76035D" w14:textId="77777777" w:rsidR="001A75A4" w:rsidRPr="00286216" w:rsidRDefault="001A75A4" w:rsidP="001A75A4">
            <w:pPr>
              <w:pStyle w:val="StyleProp"/>
              <w:rPr>
                <w:color w:val="000000" w:themeColor="text1"/>
                <w:szCs w:val="18"/>
              </w:rPr>
            </w:pPr>
          </w:p>
        </w:tc>
        <w:tc>
          <w:tcPr>
            <w:tcW w:w="1987" w:type="dxa"/>
          </w:tcPr>
          <w:p w14:paraId="5D6BC7BF" w14:textId="77777777" w:rsidR="001A75A4" w:rsidRPr="00286216" w:rsidRDefault="001A75A4" w:rsidP="001A75A4">
            <w:pPr>
              <w:pStyle w:val="StyleWisnow"/>
              <w:rPr>
                <w:color w:val="000000" w:themeColor="text1"/>
              </w:rPr>
            </w:pPr>
          </w:p>
        </w:tc>
        <w:tc>
          <w:tcPr>
            <w:tcW w:w="4818" w:type="dxa"/>
          </w:tcPr>
          <w:p w14:paraId="0ADAD6BD" w14:textId="5746E5A9" w:rsidR="001A75A4" w:rsidRPr="00286216" w:rsidRDefault="001A75A4" w:rsidP="001A75A4">
            <w:pPr>
              <w:pStyle w:val="StyleZakonu"/>
              <w:rPr>
                <w:color w:val="000000" w:themeColor="text1"/>
              </w:rPr>
            </w:pPr>
            <w:r w:rsidRPr="00286216">
              <w:rPr>
                <w:color w:val="000000" w:themeColor="text1"/>
              </w:rPr>
              <w:t>Член товарної біржі повинен вживати всіх розумних заходів для отримання найкращого результату під час виконанні заявок клієнта, враховуючи ціну, витрати, швидкість, вірогідність здійснення виконання і розрахунків та інші фактори щодо виконання такої заявки. За наявності заявки клієнта член товарної біржі повинен виконати таку заявку відповідно до вказівок клієнта, з урахуванням вимог щодо запобігання будь-яким зловживанням, у тому числі маніпулюванню на товарній біржі, та відповідно до правил такої товарної біржі.</w:t>
            </w:r>
          </w:p>
        </w:tc>
      </w:tr>
      <w:tr w:rsidR="001A75A4" w:rsidRPr="00286216" w14:paraId="1392E40B" w14:textId="77777777" w:rsidTr="00091AA5">
        <w:tc>
          <w:tcPr>
            <w:tcW w:w="576" w:type="dxa"/>
          </w:tcPr>
          <w:p w14:paraId="4DAD9B68" w14:textId="77777777" w:rsidR="001A75A4" w:rsidRPr="00286216" w:rsidRDefault="001A75A4" w:rsidP="001A75A4">
            <w:pPr>
              <w:pStyle w:val="StyleWisnow"/>
              <w:rPr>
                <w:color w:val="000000" w:themeColor="text1"/>
              </w:rPr>
            </w:pPr>
            <w:bookmarkStart w:id="2361" w:name="n2533" w:colFirst="0" w:colLast="0"/>
            <w:bookmarkEnd w:id="2360"/>
            <w:r w:rsidRPr="00286216">
              <w:rPr>
                <w:color w:val="000000" w:themeColor="text1"/>
              </w:rPr>
              <w:t>2533.</w:t>
            </w:r>
          </w:p>
        </w:tc>
        <w:tc>
          <w:tcPr>
            <w:tcW w:w="4818" w:type="dxa"/>
          </w:tcPr>
          <w:p w14:paraId="182FC2D2" w14:textId="77777777" w:rsidR="001A75A4" w:rsidRPr="00286216" w:rsidRDefault="001A75A4" w:rsidP="001A75A4">
            <w:pPr>
              <w:pStyle w:val="StyleZakonu"/>
              <w:rPr>
                <w:color w:val="000000" w:themeColor="text1"/>
              </w:rPr>
            </w:pPr>
            <w:r w:rsidRPr="00286216">
              <w:rPr>
                <w:color w:val="000000" w:themeColor="text1"/>
              </w:rPr>
              <w:t>Розпорядження клієнтів щодо одного й того самого біржового товару виконуються в порядку їх надходження. Розпорядження клієнта, отримане членом біржі раніше, має пріоритет виконання порівняно з розпорядженням щодо того самого біржового товару, отриманого членом біржі від іншого клієнта пізніше.</w:t>
            </w:r>
          </w:p>
        </w:tc>
        <w:tc>
          <w:tcPr>
            <w:tcW w:w="3686" w:type="dxa"/>
          </w:tcPr>
          <w:p w14:paraId="7B51A430" w14:textId="77777777" w:rsidR="001A75A4" w:rsidRPr="00286216" w:rsidRDefault="001A75A4" w:rsidP="001A75A4">
            <w:pPr>
              <w:pStyle w:val="StyleProp"/>
              <w:rPr>
                <w:color w:val="000000" w:themeColor="text1"/>
                <w:szCs w:val="18"/>
              </w:rPr>
            </w:pPr>
          </w:p>
        </w:tc>
        <w:tc>
          <w:tcPr>
            <w:tcW w:w="1987" w:type="dxa"/>
          </w:tcPr>
          <w:p w14:paraId="0614C498" w14:textId="77777777" w:rsidR="001A75A4" w:rsidRPr="00286216" w:rsidRDefault="001A75A4" w:rsidP="001A75A4">
            <w:pPr>
              <w:pStyle w:val="StyleWisnow"/>
              <w:rPr>
                <w:color w:val="000000" w:themeColor="text1"/>
              </w:rPr>
            </w:pPr>
          </w:p>
        </w:tc>
        <w:tc>
          <w:tcPr>
            <w:tcW w:w="4818" w:type="dxa"/>
          </w:tcPr>
          <w:p w14:paraId="65C6B822" w14:textId="5B45F681" w:rsidR="001A75A4" w:rsidRPr="00286216" w:rsidRDefault="001A75A4" w:rsidP="001A75A4">
            <w:pPr>
              <w:pStyle w:val="StyleZakonu"/>
              <w:rPr>
                <w:color w:val="000000" w:themeColor="text1"/>
              </w:rPr>
            </w:pPr>
            <w:r w:rsidRPr="00286216">
              <w:rPr>
                <w:color w:val="000000" w:themeColor="text1"/>
              </w:rPr>
              <w:t>Заявки клієнтів щодо одного й того самого біржового товару виконуються в порядку їх надходження. Заявка клієнта, отримана членом товарної біржі раніше, має пріоритет виконання порівняно із заявкою щодо того самого біржового товару, отриманою членом біржі від іншого клієнта пізніше.</w:t>
            </w:r>
          </w:p>
        </w:tc>
      </w:tr>
      <w:tr w:rsidR="001A75A4" w:rsidRPr="00286216" w14:paraId="3E22F636" w14:textId="77777777" w:rsidTr="00091AA5">
        <w:tc>
          <w:tcPr>
            <w:tcW w:w="576" w:type="dxa"/>
          </w:tcPr>
          <w:p w14:paraId="05433EDC" w14:textId="77777777" w:rsidR="001A75A4" w:rsidRPr="00286216" w:rsidRDefault="001A75A4" w:rsidP="001A75A4">
            <w:pPr>
              <w:pStyle w:val="StyleWisnow"/>
              <w:rPr>
                <w:color w:val="000000" w:themeColor="text1"/>
              </w:rPr>
            </w:pPr>
            <w:bookmarkStart w:id="2362" w:name="n2534" w:colFirst="0" w:colLast="0"/>
            <w:bookmarkEnd w:id="2361"/>
            <w:r w:rsidRPr="00286216">
              <w:rPr>
                <w:color w:val="000000" w:themeColor="text1"/>
              </w:rPr>
              <w:t>2534.</w:t>
            </w:r>
          </w:p>
        </w:tc>
        <w:tc>
          <w:tcPr>
            <w:tcW w:w="4818" w:type="dxa"/>
          </w:tcPr>
          <w:p w14:paraId="7FCF2E9F" w14:textId="77777777" w:rsidR="001A75A4" w:rsidRPr="00286216" w:rsidRDefault="001A75A4" w:rsidP="001A75A4">
            <w:pPr>
              <w:pStyle w:val="StyleZakonu"/>
              <w:rPr>
                <w:color w:val="000000" w:themeColor="text1"/>
              </w:rPr>
            </w:pPr>
            <w:r w:rsidRPr="00286216">
              <w:rPr>
                <w:color w:val="000000" w:themeColor="text1"/>
              </w:rPr>
              <w:t>Розпорядження клієнта щодо певного біржового товару, отримане членом біржі, має пріоритет виконання порівняно зі здійсненням членом біржі власних операцій щодо того самого товару.</w:t>
            </w:r>
          </w:p>
        </w:tc>
        <w:tc>
          <w:tcPr>
            <w:tcW w:w="3686" w:type="dxa"/>
          </w:tcPr>
          <w:p w14:paraId="4A3C8C83" w14:textId="77777777" w:rsidR="001A75A4" w:rsidRPr="00286216" w:rsidRDefault="001A75A4" w:rsidP="001A75A4">
            <w:pPr>
              <w:pStyle w:val="StyleProp"/>
              <w:rPr>
                <w:color w:val="000000" w:themeColor="text1"/>
                <w:szCs w:val="18"/>
              </w:rPr>
            </w:pPr>
          </w:p>
        </w:tc>
        <w:tc>
          <w:tcPr>
            <w:tcW w:w="1987" w:type="dxa"/>
          </w:tcPr>
          <w:p w14:paraId="0FE75615" w14:textId="77777777" w:rsidR="001A75A4" w:rsidRPr="00286216" w:rsidRDefault="001A75A4" w:rsidP="001A75A4">
            <w:pPr>
              <w:pStyle w:val="StyleWisnow"/>
              <w:rPr>
                <w:color w:val="000000" w:themeColor="text1"/>
              </w:rPr>
            </w:pPr>
          </w:p>
        </w:tc>
        <w:tc>
          <w:tcPr>
            <w:tcW w:w="4818" w:type="dxa"/>
          </w:tcPr>
          <w:p w14:paraId="38DE2AF6" w14:textId="16587127" w:rsidR="001A75A4" w:rsidRPr="00286216" w:rsidRDefault="001A75A4" w:rsidP="001A75A4">
            <w:pPr>
              <w:pStyle w:val="StyleZakonu"/>
              <w:rPr>
                <w:color w:val="000000" w:themeColor="text1"/>
              </w:rPr>
            </w:pPr>
            <w:r w:rsidRPr="00286216">
              <w:rPr>
                <w:color w:val="000000" w:themeColor="text1"/>
              </w:rPr>
              <w:t>Заявка клієнта щодо певного біржового товару, отримана членом товарної біржі, має пріоритет виконання порівняно із здійсненням членом товарної біржі власних операцій щодо того самого товару.</w:t>
            </w:r>
          </w:p>
        </w:tc>
      </w:tr>
      <w:tr w:rsidR="001A75A4" w:rsidRPr="00286216" w14:paraId="2103683F" w14:textId="77777777" w:rsidTr="00091AA5">
        <w:tc>
          <w:tcPr>
            <w:tcW w:w="576" w:type="dxa"/>
          </w:tcPr>
          <w:p w14:paraId="5E4C3D19" w14:textId="77777777" w:rsidR="001A75A4" w:rsidRPr="00286216" w:rsidRDefault="001A75A4" w:rsidP="001A75A4">
            <w:pPr>
              <w:pStyle w:val="StyleWisnow"/>
              <w:rPr>
                <w:color w:val="000000" w:themeColor="text1"/>
              </w:rPr>
            </w:pPr>
            <w:bookmarkStart w:id="2363" w:name="n2535" w:colFirst="0" w:colLast="0"/>
            <w:bookmarkEnd w:id="2362"/>
            <w:r w:rsidRPr="00286216">
              <w:rPr>
                <w:color w:val="000000" w:themeColor="text1"/>
              </w:rPr>
              <w:t>2535.</w:t>
            </w:r>
          </w:p>
        </w:tc>
        <w:tc>
          <w:tcPr>
            <w:tcW w:w="4818" w:type="dxa"/>
          </w:tcPr>
          <w:p w14:paraId="2DD0CCDD" w14:textId="77777777" w:rsidR="001A75A4" w:rsidRPr="00286216" w:rsidRDefault="001A75A4" w:rsidP="001A75A4">
            <w:pPr>
              <w:pStyle w:val="StyleZakonu"/>
              <w:rPr>
                <w:color w:val="000000" w:themeColor="text1"/>
              </w:rPr>
            </w:pPr>
            <w:r w:rsidRPr="00286216">
              <w:rPr>
                <w:color w:val="000000" w:themeColor="text1"/>
              </w:rPr>
              <w:t>9. Вся інформація адресована членами біржі своїм клієнтам чи потенційним клієнтам, повинна бути прозорою, зрозумілою та не оманливою.</w:t>
            </w:r>
          </w:p>
        </w:tc>
        <w:tc>
          <w:tcPr>
            <w:tcW w:w="3686" w:type="dxa"/>
          </w:tcPr>
          <w:p w14:paraId="3E4FF986" w14:textId="77777777" w:rsidR="001A75A4" w:rsidRPr="00286216" w:rsidRDefault="001A75A4" w:rsidP="001A75A4">
            <w:pPr>
              <w:pStyle w:val="StyleProp"/>
              <w:rPr>
                <w:color w:val="000000" w:themeColor="text1"/>
                <w:szCs w:val="18"/>
              </w:rPr>
            </w:pPr>
          </w:p>
        </w:tc>
        <w:tc>
          <w:tcPr>
            <w:tcW w:w="1987" w:type="dxa"/>
          </w:tcPr>
          <w:p w14:paraId="1D246F36" w14:textId="77777777" w:rsidR="001A75A4" w:rsidRPr="00286216" w:rsidRDefault="001A75A4" w:rsidP="001A75A4">
            <w:pPr>
              <w:pStyle w:val="StyleWisnow"/>
              <w:rPr>
                <w:color w:val="000000" w:themeColor="text1"/>
              </w:rPr>
            </w:pPr>
          </w:p>
        </w:tc>
        <w:tc>
          <w:tcPr>
            <w:tcW w:w="4818" w:type="dxa"/>
          </w:tcPr>
          <w:p w14:paraId="19CB22D1" w14:textId="597E2B4C" w:rsidR="001A75A4" w:rsidRPr="00286216" w:rsidRDefault="001A75A4" w:rsidP="001A75A4">
            <w:pPr>
              <w:pStyle w:val="StyleZakonu"/>
              <w:rPr>
                <w:color w:val="000000" w:themeColor="text1"/>
              </w:rPr>
            </w:pPr>
            <w:r w:rsidRPr="00286216">
              <w:rPr>
                <w:color w:val="000000" w:themeColor="text1"/>
              </w:rPr>
              <w:t>9. Вся інформація, адресована членами товарної  біржі своїм клієнтам чи потенційним клієнтам, повинна бути прозорою, зрозумілою та не вводити в оману.</w:t>
            </w:r>
          </w:p>
        </w:tc>
      </w:tr>
      <w:tr w:rsidR="001A75A4" w:rsidRPr="00286216" w14:paraId="02BE9B89" w14:textId="77777777" w:rsidTr="00091AA5">
        <w:tc>
          <w:tcPr>
            <w:tcW w:w="576" w:type="dxa"/>
          </w:tcPr>
          <w:p w14:paraId="1AC2F4D5" w14:textId="77777777" w:rsidR="001A75A4" w:rsidRPr="00286216" w:rsidRDefault="001A75A4" w:rsidP="001A75A4">
            <w:pPr>
              <w:pStyle w:val="StyleWisnow"/>
              <w:rPr>
                <w:color w:val="000000" w:themeColor="text1"/>
              </w:rPr>
            </w:pPr>
            <w:bookmarkStart w:id="2364" w:name="n2536" w:colFirst="0" w:colLast="0"/>
            <w:bookmarkEnd w:id="2363"/>
            <w:r w:rsidRPr="00286216">
              <w:rPr>
                <w:color w:val="000000" w:themeColor="text1"/>
              </w:rPr>
              <w:t>2536.</w:t>
            </w:r>
          </w:p>
        </w:tc>
        <w:tc>
          <w:tcPr>
            <w:tcW w:w="4818" w:type="dxa"/>
          </w:tcPr>
          <w:p w14:paraId="44374ED8" w14:textId="77777777" w:rsidR="001A75A4" w:rsidRPr="00286216" w:rsidRDefault="001A75A4" w:rsidP="001A75A4">
            <w:pPr>
              <w:pStyle w:val="StyleZakonu"/>
              <w:rPr>
                <w:color w:val="000000" w:themeColor="text1"/>
              </w:rPr>
            </w:pPr>
            <w:r w:rsidRPr="00286216">
              <w:rPr>
                <w:color w:val="000000" w:themeColor="text1"/>
              </w:rPr>
              <w:t>10. Член біржі повинен обліковувати кошти та інші активи клієнта окремо від своїх власних, для того, щоб кошти клієнта не використовувались на цілі інші, ніж цілі клієнта, та не були предметом вимог кредиторів члена біржі, та такі активи не використовувались в інтересах інших клієнтів, якщо інше не погоджено у договорі між членом біржі та його клієнтом.</w:t>
            </w:r>
          </w:p>
        </w:tc>
        <w:tc>
          <w:tcPr>
            <w:tcW w:w="3686" w:type="dxa"/>
          </w:tcPr>
          <w:p w14:paraId="18D8888A" w14:textId="77777777" w:rsidR="001A75A4" w:rsidRPr="00286216" w:rsidRDefault="001A75A4" w:rsidP="001A75A4">
            <w:pPr>
              <w:pStyle w:val="StyleProp"/>
              <w:rPr>
                <w:color w:val="000000" w:themeColor="text1"/>
                <w:szCs w:val="18"/>
              </w:rPr>
            </w:pPr>
          </w:p>
        </w:tc>
        <w:tc>
          <w:tcPr>
            <w:tcW w:w="1987" w:type="dxa"/>
          </w:tcPr>
          <w:p w14:paraId="45FAE854" w14:textId="77777777" w:rsidR="001A75A4" w:rsidRPr="00286216" w:rsidRDefault="001A75A4" w:rsidP="001A75A4">
            <w:pPr>
              <w:pStyle w:val="StyleWisnow"/>
              <w:rPr>
                <w:color w:val="000000" w:themeColor="text1"/>
              </w:rPr>
            </w:pPr>
          </w:p>
        </w:tc>
        <w:tc>
          <w:tcPr>
            <w:tcW w:w="4818" w:type="dxa"/>
          </w:tcPr>
          <w:p w14:paraId="45AFC252" w14:textId="0F5804F2" w:rsidR="001A75A4" w:rsidRPr="00286216" w:rsidRDefault="001A75A4" w:rsidP="001A75A4">
            <w:pPr>
              <w:pStyle w:val="StyleZakonu"/>
              <w:rPr>
                <w:color w:val="000000" w:themeColor="text1"/>
              </w:rPr>
            </w:pPr>
            <w:r w:rsidRPr="00286216">
              <w:rPr>
                <w:color w:val="000000" w:themeColor="text1"/>
              </w:rPr>
              <w:t>10. Член товарної біржі повинен обліковувати кошти та інші активи клієнта окремо від своїх власних, для того щоб кошти клієнта не використовувалися на цілі інші, ніж цілі клієнта, не були предметом вимог кредиторів члена біржі, не використовувалися в інтересах інших клієнтів, якщо інше не погоджено у договорі між членом товарної біржі та його клієнтом.</w:t>
            </w:r>
          </w:p>
        </w:tc>
      </w:tr>
      <w:tr w:rsidR="001A75A4" w:rsidRPr="00286216" w14:paraId="7F6766F7" w14:textId="77777777" w:rsidTr="00091AA5">
        <w:tc>
          <w:tcPr>
            <w:tcW w:w="576" w:type="dxa"/>
          </w:tcPr>
          <w:p w14:paraId="65617EC7" w14:textId="77777777" w:rsidR="001A75A4" w:rsidRPr="00286216" w:rsidRDefault="001A75A4" w:rsidP="001A75A4">
            <w:pPr>
              <w:pStyle w:val="StyleWisnow"/>
              <w:rPr>
                <w:color w:val="000000" w:themeColor="text1"/>
              </w:rPr>
            </w:pPr>
            <w:bookmarkStart w:id="2365" w:name="n2537" w:colFirst="0" w:colLast="0"/>
            <w:bookmarkEnd w:id="2364"/>
            <w:r w:rsidRPr="00286216">
              <w:rPr>
                <w:color w:val="000000" w:themeColor="text1"/>
              </w:rPr>
              <w:t>2537.</w:t>
            </w:r>
          </w:p>
        </w:tc>
        <w:tc>
          <w:tcPr>
            <w:tcW w:w="4818" w:type="dxa"/>
          </w:tcPr>
          <w:p w14:paraId="68499858" w14:textId="77777777" w:rsidR="001A75A4" w:rsidRPr="00286216" w:rsidRDefault="001A75A4" w:rsidP="001A75A4">
            <w:pPr>
              <w:pStyle w:val="StyleZakonu"/>
              <w:rPr>
                <w:color w:val="000000" w:themeColor="text1"/>
              </w:rPr>
            </w:pPr>
            <w:r w:rsidRPr="00286216">
              <w:rPr>
                <w:color w:val="000000" w:themeColor="text1"/>
              </w:rPr>
              <w:t>11. Член біржі не має права:</w:t>
            </w:r>
          </w:p>
        </w:tc>
        <w:tc>
          <w:tcPr>
            <w:tcW w:w="3686" w:type="dxa"/>
          </w:tcPr>
          <w:p w14:paraId="6A666911" w14:textId="77777777" w:rsidR="001A75A4" w:rsidRPr="00286216" w:rsidRDefault="001A75A4" w:rsidP="001A75A4">
            <w:pPr>
              <w:pStyle w:val="StyleProp"/>
              <w:rPr>
                <w:color w:val="000000" w:themeColor="text1"/>
                <w:szCs w:val="18"/>
              </w:rPr>
            </w:pPr>
          </w:p>
        </w:tc>
        <w:tc>
          <w:tcPr>
            <w:tcW w:w="1987" w:type="dxa"/>
          </w:tcPr>
          <w:p w14:paraId="75D9B01A" w14:textId="77777777" w:rsidR="001A75A4" w:rsidRPr="00286216" w:rsidRDefault="001A75A4" w:rsidP="001A75A4">
            <w:pPr>
              <w:pStyle w:val="StyleWisnow"/>
              <w:rPr>
                <w:color w:val="000000" w:themeColor="text1"/>
              </w:rPr>
            </w:pPr>
          </w:p>
        </w:tc>
        <w:tc>
          <w:tcPr>
            <w:tcW w:w="4818" w:type="dxa"/>
          </w:tcPr>
          <w:p w14:paraId="3B45CA1C" w14:textId="45C6942B" w:rsidR="001A75A4" w:rsidRPr="00286216" w:rsidRDefault="001A75A4" w:rsidP="001A75A4">
            <w:pPr>
              <w:pStyle w:val="StyleZakonu"/>
              <w:rPr>
                <w:color w:val="000000" w:themeColor="text1"/>
              </w:rPr>
            </w:pPr>
            <w:r w:rsidRPr="00286216">
              <w:rPr>
                <w:color w:val="000000" w:themeColor="text1"/>
              </w:rPr>
              <w:t>11. Член товарної біржі не має права:</w:t>
            </w:r>
          </w:p>
        </w:tc>
      </w:tr>
      <w:tr w:rsidR="001A75A4" w:rsidRPr="00286216" w14:paraId="003FA806" w14:textId="77777777" w:rsidTr="00091AA5">
        <w:tc>
          <w:tcPr>
            <w:tcW w:w="576" w:type="dxa"/>
          </w:tcPr>
          <w:p w14:paraId="3CE606EB" w14:textId="77777777" w:rsidR="001A75A4" w:rsidRPr="00286216" w:rsidRDefault="001A75A4" w:rsidP="001A75A4">
            <w:pPr>
              <w:pStyle w:val="StyleWisnow"/>
              <w:rPr>
                <w:color w:val="000000" w:themeColor="text1"/>
              </w:rPr>
            </w:pPr>
            <w:bookmarkStart w:id="2366" w:name="n2538" w:colFirst="0" w:colLast="0"/>
            <w:bookmarkEnd w:id="2365"/>
            <w:r w:rsidRPr="00286216">
              <w:rPr>
                <w:color w:val="000000" w:themeColor="text1"/>
              </w:rPr>
              <w:t>2538.</w:t>
            </w:r>
          </w:p>
        </w:tc>
        <w:tc>
          <w:tcPr>
            <w:tcW w:w="4818" w:type="dxa"/>
          </w:tcPr>
          <w:p w14:paraId="5FA44281" w14:textId="77777777" w:rsidR="001A75A4" w:rsidRPr="00286216" w:rsidRDefault="001A75A4" w:rsidP="001A75A4">
            <w:pPr>
              <w:pStyle w:val="StyleZakonu"/>
              <w:rPr>
                <w:color w:val="000000" w:themeColor="text1"/>
              </w:rPr>
            </w:pPr>
            <w:r w:rsidRPr="00286216">
              <w:rPr>
                <w:color w:val="000000" w:themeColor="text1"/>
              </w:rPr>
              <w:t>1) передавати в заставу, об’єднувати чи розпоряджатись активами клієнта без попередньої письмової згоди клієнта;</w:t>
            </w:r>
          </w:p>
        </w:tc>
        <w:tc>
          <w:tcPr>
            <w:tcW w:w="3686" w:type="dxa"/>
          </w:tcPr>
          <w:p w14:paraId="3B984699" w14:textId="77777777" w:rsidR="001A75A4" w:rsidRPr="00286216" w:rsidRDefault="001A75A4" w:rsidP="001A75A4">
            <w:pPr>
              <w:pStyle w:val="StyleProp"/>
              <w:rPr>
                <w:color w:val="000000" w:themeColor="text1"/>
                <w:szCs w:val="18"/>
              </w:rPr>
            </w:pPr>
          </w:p>
        </w:tc>
        <w:tc>
          <w:tcPr>
            <w:tcW w:w="1987" w:type="dxa"/>
          </w:tcPr>
          <w:p w14:paraId="5BD93F76" w14:textId="77777777" w:rsidR="001A75A4" w:rsidRPr="00286216" w:rsidRDefault="001A75A4" w:rsidP="001A75A4">
            <w:pPr>
              <w:pStyle w:val="StyleWisnow"/>
              <w:rPr>
                <w:color w:val="000000" w:themeColor="text1"/>
              </w:rPr>
            </w:pPr>
          </w:p>
        </w:tc>
        <w:tc>
          <w:tcPr>
            <w:tcW w:w="4818" w:type="dxa"/>
          </w:tcPr>
          <w:p w14:paraId="38647094" w14:textId="20879B7D" w:rsidR="001A75A4" w:rsidRPr="00286216" w:rsidRDefault="001A75A4" w:rsidP="001A75A4">
            <w:pPr>
              <w:pStyle w:val="StyleZakonu"/>
              <w:rPr>
                <w:color w:val="000000" w:themeColor="text1"/>
              </w:rPr>
            </w:pPr>
            <w:r w:rsidRPr="00286216">
              <w:rPr>
                <w:color w:val="000000" w:themeColor="text1"/>
              </w:rPr>
              <w:t>1) передавати в заставу, об’єднувати чи розпоряджатися активами клієнта без попередньої письмової згоди клієнта;</w:t>
            </w:r>
          </w:p>
        </w:tc>
      </w:tr>
      <w:tr w:rsidR="001A75A4" w:rsidRPr="00286216" w14:paraId="5720ED2F" w14:textId="77777777" w:rsidTr="00091AA5">
        <w:tc>
          <w:tcPr>
            <w:tcW w:w="576" w:type="dxa"/>
          </w:tcPr>
          <w:p w14:paraId="251DA1E2" w14:textId="77777777" w:rsidR="001A75A4" w:rsidRPr="00286216" w:rsidRDefault="001A75A4" w:rsidP="001A75A4">
            <w:pPr>
              <w:pStyle w:val="StyleWisnow"/>
              <w:rPr>
                <w:color w:val="000000" w:themeColor="text1"/>
              </w:rPr>
            </w:pPr>
            <w:bookmarkStart w:id="2367" w:name="n2539" w:colFirst="0" w:colLast="0"/>
            <w:bookmarkEnd w:id="2366"/>
            <w:r w:rsidRPr="00286216">
              <w:rPr>
                <w:color w:val="000000" w:themeColor="text1"/>
              </w:rPr>
              <w:t>2539.</w:t>
            </w:r>
          </w:p>
        </w:tc>
        <w:tc>
          <w:tcPr>
            <w:tcW w:w="4818" w:type="dxa"/>
          </w:tcPr>
          <w:p w14:paraId="7CD81B50" w14:textId="77777777" w:rsidR="001A75A4" w:rsidRPr="00286216" w:rsidRDefault="001A75A4" w:rsidP="001A75A4">
            <w:pPr>
              <w:pStyle w:val="StyleZakonu"/>
              <w:rPr>
                <w:color w:val="000000" w:themeColor="text1"/>
              </w:rPr>
            </w:pPr>
            <w:r w:rsidRPr="00286216">
              <w:rPr>
                <w:color w:val="000000" w:themeColor="text1"/>
              </w:rPr>
              <w:t xml:space="preserve">2) виконувати операції на користь клієнта без попередньої згоди клієнта, за винятком випадків, коли клієнт надав згоду на здійснення торгівлі без </w:t>
            </w:r>
            <w:r w:rsidRPr="00286216">
              <w:rPr>
                <w:color w:val="000000" w:themeColor="text1"/>
              </w:rPr>
              <w:lastRenderedPageBreak/>
              <w:t>отримання його попередньої згоди.</w:t>
            </w:r>
          </w:p>
        </w:tc>
        <w:tc>
          <w:tcPr>
            <w:tcW w:w="3686" w:type="dxa"/>
          </w:tcPr>
          <w:p w14:paraId="099CCDD8" w14:textId="77777777" w:rsidR="001A75A4" w:rsidRPr="00286216" w:rsidRDefault="001A75A4" w:rsidP="001A75A4">
            <w:pPr>
              <w:pStyle w:val="StyleProp"/>
              <w:rPr>
                <w:color w:val="000000" w:themeColor="text1"/>
                <w:szCs w:val="18"/>
              </w:rPr>
            </w:pPr>
          </w:p>
        </w:tc>
        <w:tc>
          <w:tcPr>
            <w:tcW w:w="1987" w:type="dxa"/>
          </w:tcPr>
          <w:p w14:paraId="5F917BA8" w14:textId="77777777" w:rsidR="001A75A4" w:rsidRPr="00286216" w:rsidRDefault="001A75A4" w:rsidP="001A75A4">
            <w:pPr>
              <w:pStyle w:val="StyleWisnow"/>
              <w:rPr>
                <w:color w:val="000000" w:themeColor="text1"/>
              </w:rPr>
            </w:pPr>
          </w:p>
        </w:tc>
        <w:tc>
          <w:tcPr>
            <w:tcW w:w="4818" w:type="dxa"/>
          </w:tcPr>
          <w:p w14:paraId="6B41D1F7" w14:textId="6CE0FE9E" w:rsidR="001A75A4" w:rsidRPr="00286216" w:rsidRDefault="001A75A4" w:rsidP="001A75A4">
            <w:pPr>
              <w:pStyle w:val="StyleZakonu"/>
              <w:rPr>
                <w:color w:val="000000" w:themeColor="text1"/>
              </w:rPr>
            </w:pPr>
            <w:r w:rsidRPr="00286216">
              <w:rPr>
                <w:color w:val="000000" w:themeColor="text1"/>
              </w:rPr>
              <w:t xml:space="preserve">2) виконувати операції на користь клієнта без попередньої згоди клієнта, крім випадків, якщо клієнт надав згоду на здійснення торгівлі без отримання його </w:t>
            </w:r>
            <w:r w:rsidRPr="00286216">
              <w:rPr>
                <w:color w:val="000000" w:themeColor="text1"/>
              </w:rPr>
              <w:lastRenderedPageBreak/>
              <w:t>попередньої згоди.</w:t>
            </w:r>
          </w:p>
        </w:tc>
      </w:tr>
      <w:tr w:rsidR="001A75A4" w:rsidRPr="00286216" w14:paraId="3E96E4A9" w14:textId="77777777" w:rsidTr="00091AA5">
        <w:tc>
          <w:tcPr>
            <w:tcW w:w="576" w:type="dxa"/>
          </w:tcPr>
          <w:p w14:paraId="2538190A" w14:textId="77777777" w:rsidR="001A75A4" w:rsidRPr="00286216" w:rsidRDefault="001A75A4" w:rsidP="001A75A4">
            <w:pPr>
              <w:pStyle w:val="StyleWisnow"/>
              <w:rPr>
                <w:color w:val="000000" w:themeColor="text1"/>
              </w:rPr>
            </w:pPr>
            <w:bookmarkStart w:id="2368" w:name="n2540" w:colFirst="0" w:colLast="0"/>
            <w:bookmarkEnd w:id="2367"/>
            <w:r w:rsidRPr="00286216">
              <w:rPr>
                <w:color w:val="000000" w:themeColor="text1"/>
              </w:rPr>
              <w:lastRenderedPageBreak/>
              <w:t>2540.</w:t>
            </w:r>
          </w:p>
        </w:tc>
        <w:tc>
          <w:tcPr>
            <w:tcW w:w="4818" w:type="dxa"/>
          </w:tcPr>
          <w:p w14:paraId="74255CDC" w14:textId="77777777" w:rsidR="001A75A4" w:rsidRPr="00286216" w:rsidRDefault="001A75A4" w:rsidP="001A75A4">
            <w:pPr>
              <w:pStyle w:val="StyleZakonu"/>
              <w:rPr>
                <w:color w:val="000000" w:themeColor="text1"/>
              </w:rPr>
            </w:pPr>
            <w:r w:rsidRPr="00286216">
              <w:rPr>
                <w:color w:val="000000" w:themeColor="text1"/>
              </w:rPr>
              <w:t>12. Члени біржі мають право брати участь у торгівлі відповідними товарами більш, ніж на одній товарній біржі, якщо інше не встановлено законодавством.</w:t>
            </w:r>
          </w:p>
        </w:tc>
        <w:tc>
          <w:tcPr>
            <w:tcW w:w="3686" w:type="dxa"/>
          </w:tcPr>
          <w:p w14:paraId="58686805" w14:textId="77777777" w:rsidR="001A75A4" w:rsidRPr="00286216" w:rsidRDefault="001A75A4" w:rsidP="001A75A4">
            <w:pPr>
              <w:pStyle w:val="StyleProp"/>
              <w:rPr>
                <w:color w:val="000000" w:themeColor="text1"/>
                <w:szCs w:val="18"/>
              </w:rPr>
            </w:pPr>
          </w:p>
        </w:tc>
        <w:tc>
          <w:tcPr>
            <w:tcW w:w="1987" w:type="dxa"/>
          </w:tcPr>
          <w:p w14:paraId="386B6AA6" w14:textId="77777777" w:rsidR="001A75A4" w:rsidRPr="00286216" w:rsidRDefault="001A75A4" w:rsidP="001A75A4">
            <w:pPr>
              <w:pStyle w:val="StyleWisnow"/>
              <w:rPr>
                <w:color w:val="000000" w:themeColor="text1"/>
              </w:rPr>
            </w:pPr>
          </w:p>
        </w:tc>
        <w:tc>
          <w:tcPr>
            <w:tcW w:w="4818" w:type="dxa"/>
          </w:tcPr>
          <w:p w14:paraId="0BE72C30" w14:textId="00C889ED" w:rsidR="001A75A4" w:rsidRPr="00286216" w:rsidRDefault="001A75A4" w:rsidP="001A75A4">
            <w:pPr>
              <w:pStyle w:val="StyleZakonu"/>
              <w:rPr>
                <w:color w:val="000000" w:themeColor="text1"/>
              </w:rPr>
            </w:pPr>
            <w:r w:rsidRPr="00286216">
              <w:rPr>
                <w:color w:val="000000" w:themeColor="text1"/>
              </w:rPr>
              <w:t>12. Члени товарної біржі мають право брати участь у торгівлі відповідними товарами більш як на одній товарній біржі, якщо інше не встановлено законодавством.</w:t>
            </w:r>
          </w:p>
        </w:tc>
      </w:tr>
      <w:tr w:rsidR="001A75A4" w:rsidRPr="00286216" w14:paraId="3AEF86B1" w14:textId="77777777" w:rsidTr="00091AA5">
        <w:tc>
          <w:tcPr>
            <w:tcW w:w="576" w:type="dxa"/>
          </w:tcPr>
          <w:p w14:paraId="3DCEFC37" w14:textId="77777777" w:rsidR="001A75A4" w:rsidRPr="00286216" w:rsidRDefault="001A75A4" w:rsidP="001A75A4">
            <w:pPr>
              <w:pStyle w:val="StyleWisnow"/>
              <w:rPr>
                <w:color w:val="000000" w:themeColor="text1"/>
              </w:rPr>
            </w:pPr>
            <w:bookmarkStart w:id="2369" w:name="n2541" w:colFirst="0" w:colLast="0"/>
            <w:bookmarkEnd w:id="2368"/>
            <w:r w:rsidRPr="00286216">
              <w:rPr>
                <w:color w:val="000000" w:themeColor="text1"/>
              </w:rPr>
              <w:t>2541.</w:t>
            </w:r>
          </w:p>
        </w:tc>
        <w:tc>
          <w:tcPr>
            <w:tcW w:w="4818" w:type="dxa"/>
          </w:tcPr>
          <w:p w14:paraId="48AE9522" w14:textId="77777777" w:rsidR="001A75A4" w:rsidRPr="00286216" w:rsidRDefault="001A75A4" w:rsidP="001A75A4">
            <w:pPr>
              <w:pStyle w:val="StyleZakonu"/>
              <w:rPr>
                <w:color w:val="000000" w:themeColor="text1"/>
              </w:rPr>
            </w:pPr>
            <w:r w:rsidRPr="00286216">
              <w:rPr>
                <w:color w:val="000000" w:themeColor="text1"/>
              </w:rPr>
              <w:t>13. Члени біржі та інші учасники торгів можуть мати інші права, визначені статутом та/або правилами біржі.</w:t>
            </w:r>
          </w:p>
        </w:tc>
        <w:tc>
          <w:tcPr>
            <w:tcW w:w="3686" w:type="dxa"/>
          </w:tcPr>
          <w:p w14:paraId="6C9C1A4E" w14:textId="77777777" w:rsidR="001A75A4" w:rsidRPr="00286216" w:rsidRDefault="001A75A4" w:rsidP="001A75A4">
            <w:pPr>
              <w:pStyle w:val="StyleProp"/>
              <w:rPr>
                <w:color w:val="000000" w:themeColor="text1"/>
                <w:szCs w:val="18"/>
              </w:rPr>
            </w:pPr>
          </w:p>
        </w:tc>
        <w:tc>
          <w:tcPr>
            <w:tcW w:w="1987" w:type="dxa"/>
          </w:tcPr>
          <w:p w14:paraId="3BAA2430" w14:textId="77777777" w:rsidR="001A75A4" w:rsidRPr="00286216" w:rsidRDefault="001A75A4" w:rsidP="001A75A4">
            <w:pPr>
              <w:pStyle w:val="StyleWisnow"/>
              <w:rPr>
                <w:color w:val="000000" w:themeColor="text1"/>
              </w:rPr>
            </w:pPr>
          </w:p>
        </w:tc>
        <w:tc>
          <w:tcPr>
            <w:tcW w:w="4818" w:type="dxa"/>
          </w:tcPr>
          <w:p w14:paraId="093B170A" w14:textId="023BE9AE" w:rsidR="001A75A4" w:rsidRPr="00286216" w:rsidRDefault="001A75A4" w:rsidP="001A75A4">
            <w:pPr>
              <w:pStyle w:val="StyleZakonu"/>
              <w:rPr>
                <w:color w:val="000000" w:themeColor="text1"/>
              </w:rPr>
            </w:pPr>
            <w:r w:rsidRPr="00286216">
              <w:rPr>
                <w:color w:val="000000" w:themeColor="text1"/>
              </w:rPr>
              <w:t>13. Члени товарної біржі та інші учасники торгів можуть мати інші права, визначені статутом та/або правилами товарної біржі.</w:t>
            </w:r>
          </w:p>
        </w:tc>
      </w:tr>
      <w:tr w:rsidR="001A75A4" w:rsidRPr="00286216" w14:paraId="1C3459B1" w14:textId="77777777" w:rsidTr="00091AA5">
        <w:tc>
          <w:tcPr>
            <w:tcW w:w="576" w:type="dxa"/>
          </w:tcPr>
          <w:p w14:paraId="120F06A6" w14:textId="77777777" w:rsidR="001A75A4" w:rsidRPr="00286216" w:rsidRDefault="001A75A4" w:rsidP="001A75A4">
            <w:pPr>
              <w:pStyle w:val="StyleWisnow"/>
              <w:rPr>
                <w:color w:val="000000" w:themeColor="text1"/>
              </w:rPr>
            </w:pPr>
            <w:bookmarkStart w:id="2370" w:name="n2542" w:colFirst="0" w:colLast="0"/>
            <w:bookmarkEnd w:id="2369"/>
            <w:r w:rsidRPr="00286216">
              <w:rPr>
                <w:color w:val="000000" w:themeColor="text1"/>
              </w:rPr>
              <w:t>2542.</w:t>
            </w:r>
          </w:p>
        </w:tc>
        <w:tc>
          <w:tcPr>
            <w:tcW w:w="4818" w:type="dxa"/>
          </w:tcPr>
          <w:p w14:paraId="657ED9AE" w14:textId="77777777" w:rsidR="001A75A4" w:rsidRPr="00286216" w:rsidRDefault="001A75A4" w:rsidP="001A75A4">
            <w:pPr>
              <w:pStyle w:val="StyleZakonu"/>
              <w:rPr>
                <w:color w:val="000000" w:themeColor="text1"/>
                <w:shd w:val="clear" w:color="auto" w:fill="FFFFFF"/>
              </w:rPr>
            </w:pPr>
            <w:bookmarkStart w:id="2371" w:name="_Ref20163552"/>
            <w:r w:rsidRPr="00286216">
              <w:rPr>
                <w:color w:val="000000" w:themeColor="text1"/>
              </w:rPr>
              <w:t xml:space="preserve">Стаття 16. </w:t>
            </w:r>
            <w:r w:rsidRPr="00286216">
              <w:rPr>
                <w:color w:val="000000" w:themeColor="text1"/>
                <w:shd w:val="clear" w:color="auto" w:fill="FFFFFF"/>
              </w:rPr>
              <w:t>Біржові брокери</w:t>
            </w:r>
            <w:bookmarkEnd w:id="2371"/>
          </w:p>
        </w:tc>
        <w:tc>
          <w:tcPr>
            <w:tcW w:w="3686" w:type="dxa"/>
          </w:tcPr>
          <w:p w14:paraId="4E71DE13" w14:textId="77777777" w:rsidR="001A75A4" w:rsidRPr="00286216" w:rsidRDefault="001A75A4" w:rsidP="001A75A4">
            <w:pPr>
              <w:pStyle w:val="StyleProp"/>
              <w:rPr>
                <w:color w:val="000000" w:themeColor="text1"/>
                <w:szCs w:val="18"/>
              </w:rPr>
            </w:pPr>
          </w:p>
        </w:tc>
        <w:tc>
          <w:tcPr>
            <w:tcW w:w="1987" w:type="dxa"/>
          </w:tcPr>
          <w:p w14:paraId="01614E08" w14:textId="77777777" w:rsidR="001A75A4" w:rsidRPr="00286216" w:rsidRDefault="001A75A4" w:rsidP="001A75A4">
            <w:pPr>
              <w:pStyle w:val="StyleWisnow"/>
              <w:rPr>
                <w:color w:val="000000" w:themeColor="text1"/>
              </w:rPr>
            </w:pPr>
          </w:p>
        </w:tc>
        <w:tc>
          <w:tcPr>
            <w:tcW w:w="4818" w:type="dxa"/>
          </w:tcPr>
          <w:p w14:paraId="0CFB3531" w14:textId="0AE5953E"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16. </w:t>
            </w:r>
            <w:r w:rsidRPr="00286216">
              <w:rPr>
                <w:color w:val="000000" w:themeColor="text1"/>
                <w:shd w:val="clear" w:color="auto" w:fill="FFFFFF"/>
              </w:rPr>
              <w:t>Біржові брокери</w:t>
            </w:r>
          </w:p>
        </w:tc>
      </w:tr>
      <w:tr w:rsidR="001A75A4" w:rsidRPr="00286216" w14:paraId="1AC51C34" w14:textId="77777777" w:rsidTr="00091AA5">
        <w:tc>
          <w:tcPr>
            <w:tcW w:w="576" w:type="dxa"/>
          </w:tcPr>
          <w:p w14:paraId="1F61A5D2" w14:textId="77777777" w:rsidR="001A75A4" w:rsidRPr="00286216" w:rsidRDefault="001A75A4" w:rsidP="001A75A4">
            <w:pPr>
              <w:pStyle w:val="StyleWisnow"/>
              <w:rPr>
                <w:color w:val="000000" w:themeColor="text1"/>
              </w:rPr>
            </w:pPr>
            <w:bookmarkStart w:id="2372" w:name="n2543" w:colFirst="0" w:colLast="0"/>
            <w:bookmarkEnd w:id="2370"/>
            <w:r w:rsidRPr="00286216">
              <w:rPr>
                <w:color w:val="000000" w:themeColor="text1"/>
              </w:rPr>
              <w:t>2543.</w:t>
            </w:r>
          </w:p>
        </w:tc>
        <w:tc>
          <w:tcPr>
            <w:tcW w:w="4818" w:type="dxa"/>
          </w:tcPr>
          <w:p w14:paraId="00232234" w14:textId="5839247F" w:rsidR="001A75A4" w:rsidRPr="00286216" w:rsidRDefault="001A75A4" w:rsidP="00BB35BA">
            <w:pPr>
              <w:pStyle w:val="StyleZakonu"/>
              <w:rPr>
                <w:color w:val="000000" w:themeColor="text1"/>
                <w:lang w:eastAsia="uk-UA"/>
              </w:rPr>
            </w:pPr>
            <w:r w:rsidRPr="00286216">
              <w:rPr>
                <w:color w:val="000000" w:themeColor="text1"/>
                <w:lang w:eastAsia="uk-UA"/>
              </w:rPr>
              <w:t>1. Біржові брокери (брокери) є уповноваженими фізичними особами</w:t>
            </w:r>
            <w:r w:rsidR="00BB35BA">
              <w:rPr>
                <w:color w:val="000000" w:themeColor="text1"/>
                <w:lang w:eastAsia="uk-UA"/>
              </w:rPr>
              <w:t xml:space="preserve"> </w:t>
            </w:r>
            <w:r w:rsidRPr="00286216">
              <w:rPr>
                <w:color w:val="000000" w:themeColor="text1"/>
                <w:lang w:eastAsia="uk-UA"/>
              </w:rPr>
              <w:t>членів біржі, що зареєстровані на товарній біржі відповідно до її статуту, обов'язки яких полягають у виконанні доручень членів біржі, яких вони представляють, щодо здійснення біржових операцій, а у випадках, встановлених законодавством, позабіржових операцій.</w:t>
            </w:r>
          </w:p>
        </w:tc>
        <w:tc>
          <w:tcPr>
            <w:tcW w:w="3686" w:type="dxa"/>
          </w:tcPr>
          <w:p w14:paraId="5EE3C37F" w14:textId="77777777" w:rsidR="001A75A4" w:rsidRPr="00286216" w:rsidRDefault="001A75A4" w:rsidP="001A75A4">
            <w:pPr>
              <w:pStyle w:val="StyleProp"/>
              <w:rPr>
                <w:color w:val="000000" w:themeColor="text1"/>
                <w:szCs w:val="18"/>
                <w:lang w:eastAsia="uk-UA"/>
              </w:rPr>
            </w:pPr>
          </w:p>
        </w:tc>
        <w:tc>
          <w:tcPr>
            <w:tcW w:w="1987" w:type="dxa"/>
          </w:tcPr>
          <w:p w14:paraId="62CFD3D6" w14:textId="77777777" w:rsidR="001A75A4" w:rsidRPr="00286216" w:rsidRDefault="001A75A4" w:rsidP="001A75A4">
            <w:pPr>
              <w:pStyle w:val="StyleWisnow"/>
              <w:rPr>
                <w:color w:val="000000" w:themeColor="text1"/>
                <w:lang w:eastAsia="uk-UA"/>
              </w:rPr>
            </w:pPr>
          </w:p>
        </w:tc>
        <w:tc>
          <w:tcPr>
            <w:tcW w:w="4818" w:type="dxa"/>
          </w:tcPr>
          <w:p w14:paraId="59FEB07A" w14:textId="6F45E60E" w:rsidR="001A75A4" w:rsidRPr="00286216" w:rsidRDefault="001A75A4" w:rsidP="001A75A4">
            <w:pPr>
              <w:pStyle w:val="StyleZakonu"/>
              <w:rPr>
                <w:color w:val="000000" w:themeColor="text1"/>
                <w:lang w:eastAsia="uk-UA"/>
              </w:rPr>
            </w:pPr>
            <w:r w:rsidRPr="00286216">
              <w:rPr>
                <w:color w:val="000000" w:themeColor="text1"/>
                <w:lang w:eastAsia="uk-UA"/>
              </w:rPr>
              <w:t>1. Біржові брокери (брокери) є уповноваженими фізичними особами членів товарної біржі, що зареєстровані на товарній біржі відповідно до її статуту, обов'язки яких полягають у виконанні доручень членів товарної біржі, яких вони представляють, щодо здійснення біржових операцій, а у випадках, встановлених законодавством, позабіржових операцій.</w:t>
            </w:r>
          </w:p>
        </w:tc>
      </w:tr>
      <w:tr w:rsidR="001A75A4" w:rsidRPr="00286216" w14:paraId="4C8C66AC" w14:textId="77777777" w:rsidTr="00091AA5">
        <w:tc>
          <w:tcPr>
            <w:tcW w:w="576" w:type="dxa"/>
          </w:tcPr>
          <w:p w14:paraId="16D7AF3D" w14:textId="77777777" w:rsidR="001A75A4" w:rsidRPr="00286216" w:rsidRDefault="001A75A4" w:rsidP="001A75A4">
            <w:pPr>
              <w:pStyle w:val="StyleWisnow"/>
              <w:rPr>
                <w:color w:val="000000" w:themeColor="text1"/>
              </w:rPr>
            </w:pPr>
            <w:bookmarkStart w:id="2373" w:name="n2544" w:colFirst="0" w:colLast="0"/>
            <w:bookmarkEnd w:id="2372"/>
            <w:r w:rsidRPr="00286216">
              <w:rPr>
                <w:color w:val="000000" w:themeColor="text1"/>
              </w:rPr>
              <w:t>2544.</w:t>
            </w:r>
          </w:p>
        </w:tc>
        <w:tc>
          <w:tcPr>
            <w:tcW w:w="4818" w:type="dxa"/>
          </w:tcPr>
          <w:p w14:paraId="6B6A8169" w14:textId="77777777" w:rsidR="001A75A4" w:rsidRPr="00286216" w:rsidRDefault="001A75A4" w:rsidP="001A75A4">
            <w:pPr>
              <w:pStyle w:val="StyleZakonu"/>
              <w:rPr>
                <w:color w:val="000000" w:themeColor="text1"/>
                <w:lang w:eastAsia="uk-UA"/>
              </w:rPr>
            </w:pPr>
            <w:r w:rsidRPr="00286216">
              <w:rPr>
                <w:color w:val="000000" w:themeColor="text1"/>
                <w:lang w:eastAsia="uk-UA"/>
              </w:rPr>
              <w:t>2. Брокерам забороняється розголошувати комерційні таємниці щодо здійснюваних за їх участю біржових операцій клієнтів, одночасно обслуговувати двох або більше клієнтів, інтереси яких суперечать один одному.</w:t>
            </w:r>
          </w:p>
        </w:tc>
        <w:tc>
          <w:tcPr>
            <w:tcW w:w="3686" w:type="dxa"/>
          </w:tcPr>
          <w:p w14:paraId="6FF39992" w14:textId="77777777" w:rsidR="001A75A4" w:rsidRPr="00286216" w:rsidRDefault="001A75A4" w:rsidP="001A75A4">
            <w:pPr>
              <w:pStyle w:val="StyleProp"/>
              <w:rPr>
                <w:color w:val="000000" w:themeColor="text1"/>
                <w:szCs w:val="18"/>
                <w:lang w:eastAsia="uk-UA"/>
              </w:rPr>
            </w:pPr>
          </w:p>
        </w:tc>
        <w:tc>
          <w:tcPr>
            <w:tcW w:w="1987" w:type="dxa"/>
          </w:tcPr>
          <w:p w14:paraId="6F575CC3" w14:textId="77777777" w:rsidR="001A75A4" w:rsidRPr="00286216" w:rsidRDefault="001A75A4" w:rsidP="001A75A4">
            <w:pPr>
              <w:pStyle w:val="StyleWisnow"/>
              <w:rPr>
                <w:color w:val="000000" w:themeColor="text1"/>
                <w:lang w:eastAsia="uk-UA"/>
              </w:rPr>
            </w:pPr>
          </w:p>
        </w:tc>
        <w:tc>
          <w:tcPr>
            <w:tcW w:w="4818" w:type="dxa"/>
          </w:tcPr>
          <w:p w14:paraId="058EA63F" w14:textId="3F1C3DAA" w:rsidR="001A75A4" w:rsidRPr="00286216" w:rsidRDefault="001A75A4" w:rsidP="001A75A4">
            <w:pPr>
              <w:pStyle w:val="StyleZakonu"/>
              <w:rPr>
                <w:color w:val="000000" w:themeColor="text1"/>
                <w:lang w:eastAsia="uk-UA"/>
              </w:rPr>
            </w:pPr>
            <w:r w:rsidRPr="00286216">
              <w:rPr>
                <w:color w:val="000000" w:themeColor="text1"/>
                <w:lang w:eastAsia="uk-UA"/>
              </w:rPr>
              <w:t>2. Брокерам забороняється розголошувати комерційні таємниці щодо здійснюваних за їх участю біржових операцій клієнтів, одночасно обслуговувати двох або більше клієнтів, інтереси яких суперечать один одному.</w:t>
            </w:r>
          </w:p>
        </w:tc>
      </w:tr>
      <w:tr w:rsidR="001A75A4" w:rsidRPr="00286216" w14:paraId="3F962074" w14:textId="77777777" w:rsidTr="00091AA5">
        <w:tc>
          <w:tcPr>
            <w:tcW w:w="576" w:type="dxa"/>
          </w:tcPr>
          <w:p w14:paraId="414BBFA2" w14:textId="77777777" w:rsidR="001A75A4" w:rsidRPr="00286216" w:rsidRDefault="001A75A4" w:rsidP="001A75A4">
            <w:pPr>
              <w:pStyle w:val="StyleWisnow"/>
              <w:rPr>
                <w:color w:val="000000" w:themeColor="text1"/>
              </w:rPr>
            </w:pPr>
            <w:bookmarkStart w:id="2374" w:name="n2545" w:colFirst="0" w:colLast="0"/>
            <w:bookmarkEnd w:id="2373"/>
            <w:r w:rsidRPr="00286216">
              <w:rPr>
                <w:color w:val="000000" w:themeColor="text1"/>
              </w:rPr>
              <w:t>2545.</w:t>
            </w:r>
          </w:p>
        </w:tc>
        <w:tc>
          <w:tcPr>
            <w:tcW w:w="4818" w:type="dxa"/>
          </w:tcPr>
          <w:p w14:paraId="120379F4" w14:textId="77777777" w:rsidR="001A75A4" w:rsidRPr="00286216" w:rsidRDefault="001A75A4" w:rsidP="001A75A4">
            <w:pPr>
              <w:pStyle w:val="StyleZakonu"/>
              <w:spacing w:after="0"/>
              <w:ind w:firstLine="0"/>
              <w:jc w:val="center"/>
              <w:rPr>
                <w:color w:val="000000" w:themeColor="text1"/>
              </w:rPr>
            </w:pPr>
            <w:bookmarkStart w:id="2375" w:name="o75"/>
            <w:bookmarkStart w:id="2376" w:name="o76"/>
            <w:bookmarkStart w:id="2377" w:name="o77"/>
            <w:bookmarkStart w:id="2378" w:name="o78"/>
            <w:bookmarkStart w:id="2379" w:name="o79"/>
            <w:bookmarkStart w:id="2380" w:name="o80"/>
            <w:bookmarkStart w:id="2381" w:name="o81"/>
            <w:bookmarkStart w:id="2382" w:name="o82"/>
            <w:bookmarkStart w:id="2383" w:name="o83"/>
            <w:bookmarkStart w:id="2384" w:name="o84"/>
            <w:bookmarkStart w:id="2385" w:name="o85"/>
            <w:bookmarkStart w:id="2386" w:name="o86"/>
            <w:bookmarkStart w:id="2387" w:name="o87"/>
            <w:bookmarkStart w:id="2388" w:name="o88"/>
            <w:bookmarkStart w:id="2389" w:name="o89"/>
            <w:bookmarkStart w:id="2390" w:name="o90"/>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rsidRPr="00286216">
              <w:rPr>
                <w:color w:val="000000" w:themeColor="text1"/>
              </w:rPr>
              <w:t>Розділ V</w:t>
            </w:r>
          </w:p>
          <w:p w14:paraId="2A6A3FC9" w14:textId="77777777" w:rsidR="001A75A4" w:rsidRPr="00286216" w:rsidRDefault="001A75A4" w:rsidP="001A75A4">
            <w:pPr>
              <w:pStyle w:val="StyleZakonu"/>
              <w:ind w:firstLine="0"/>
              <w:jc w:val="center"/>
              <w:rPr>
                <w:color w:val="000000" w:themeColor="text1"/>
              </w:rPr>
            </w:pPr>
            <w:bookmarkStart w:id="2391" w:name="o91"/>
            <w:bookmarkStart w:id="2392" w:name="o92"/>
            <w:bookmarkStart w:id="2393" w:name="o93"/>
            <w:bookmarkStart w:id="2394" w:name="o94"/>
            <w:bookmarkStart w:id="2395" w:name="o95"/>
            <w:bookmarkStart w:id="2396" w:name="o96"/>
            <w:bookmarkStart w:id="2397" w:name="o97"/>
            <w:bookmarkStart w:id="2398" w:name="o98"/>
            <w:bookmarkStart w:id="2399" w:name="o99"/>
            <w:bookmarkStart w:id="2400" w:name="o100"/>
            <w:bookmarkStart w:id="2401" w:name="o101"/>
            <w:bookmarkStart w:id="2402" w:name="o102"/>
            <w:bookmarkEnd w:id="2391"/>
            <w:bookmarkEnd w:id="2392"/>
            <w:bookmarkEnd w:id="2393"/>
            <w:bookmarkEnd w:id="2394"/>
            <w:bookmarkEnd w:id="2395"/>
            <w:bookmarkEnd w:id="2396"/>
            <w:bookmarkEnd w:id="2397"/>
            <w:bookmarkEnd w:id="2398"/>
            <w:bookmarkEnd w:id="2399"/>
            <w:bookmarkEnd w:id="2400"/>
            <w:bookmarkEnd w:id="2401"/>
            <w:bookmarkEnd w:id="2402"/>
            <w:r w:rsidRPr="00286216">
              <w:rPr>
                <w:color w:val="000000" w:themeColor="text1"/>
              </w:rPr>
              <w:t>АКТИВИ ТОВАРНОЇ БІРЖІ ТА ГАРАНТІЇ ЇЇ МАЙНОВИХ ПРАВ</w:t>
            </w:r>
          </w:p>
        </w:tc>
        <w:tc>
          <w:tcPr>
            <w:tcW w:w="3686" w:type="dxa"/>
          </w:tcPr>
          <w:p w14:paraId="491DDA0F" w14:textId="77777777" w:rsidR="001A75A4" w:rsidRPr="00286216" w:rsidRDefault="001A75A4" w:rsidP="001A75A4">
            <w:pPr>
              <w:pStyle w:val="StyleProp"/>
              <w:rPr>
                <w:color w:val="000000" w:themeColor="text1"/>
                <w:szCs w:val="18"/>
              </w:rPr>
            </w:pPr>
          </w:p>
        </w:tc>
        <w:tc>
          <w:tcPr>
            <w:tcW w:w="1987" w:type="dxa"/>
          </w:tcPr>
          <w:p w14:paraId="19435BB3" w14:textId="77777777" w:rsidR="001A75A4" w:rsidRPr="00286216" w:rsidRDefault="001A75A4" w:rsidP="001A75A4">
            <w:pPr>
              <w:pStyle w:val="StyleWisnow"/>
              <w:rPr>
                <w:color w:val="000000" w:themeColor="text1"/>
              </w:rPr>
            </w:pPr>
          </w:p>
        </w:tc>
        <w:tc>
          <w:tcPr>
            <w:tcW w:w="4818" w:type="dxa"/>
          </w:tcPr>
          <w:p w14:paraId="0F6C0438"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V</w:t>
            </w:r>
          </w:p>
          <w:p w14:paraId="4EB2E208" w14:textId="3DEA811B" w:rsidR="001A75A4" w:rsidRPr="00286216" w:rsidRDefault="001A75A4" w:rsidP="001A75A4">
            <w:pPr>
              <w:pStyle w:val="StyleZakonu"/>
              <w:ind w:firstLine="0"/>
              <w:jc w:val="center"/>
              <w:rPr>
                <w:color w:val="000000" w:themeColor="text1"/>
              </w:rPr>
            </w:pPr>
            <w:r w:rsidRPr="00286216">
              <w:rPr>
                <w:color w:val="000000" w:themeColor="text1"/>
              </w:rPr>
              <w:t>АКТИВИ ТОВАРНОЇ БІРЖІ ТА ГАРАНТІЇ ЇЇ МАЙНОВИХ ПРАВ</w:t>
            </w:r>
          </w:p>
        </w:tc>
      </w:tr>
      <w:tr w:rsidR="001A75A4" w:rsidRPr="00286216" w14:paraId="56B04420" w14:textId="77777777" w:rsidTr="00091AA5">
        <w:tc>
          <w:tcPr>
            <w:tcW w:w="576" w:type="dxa"/>
          </w:tcPr>
          <w:p w14:paraId="7D67C9EB" w14:textId="77777777" w:rsidR="001A75A4" w:rsidRPr="00286216" w:rsidRDefault="001A75A4" w:rsidP="001A75A4">
            <w:pPr>
              <w:pStyle w:val="StyleWisnow"/>
              <w:rPr>
                <w:color w:val="000000" w:themeColor="text1"/>
              </w:rPr>
            </w:pPr>
            <w:bookmarkStart w:id="2403" w:name="n2546" w:colFirst="0" w:colLast="0"/>
            <w:bookmarkEnd w:id="2374"/>
            <w:r w:rsidRPr="00286216">
              <w:rPr>
                <w:color w:val="000000" w:themeColor="text1"/>
              </w:rPr>
              <w:t>2546.</w:t>
            </w:r>
          </w:p>
        </w:tc>
        <w:tc>
          <w:tcPr>
            <w:tcW w:w="4818" w:type="dxa"/>
          </w:tcPr>
          <w:p w14:paraId="11BA3D07" w14:textId="77777777" w:rsidR="001A75A4" w:rsidRPr="00286216" w:rsidRDefault="001A75A4" w:rsidP="001A75A4">
            <w:pPr>
              <w:pStyle w:val="StyleZakonu"/>
              <w:rPr>
                <w:color w:val="000000" w:themeColor="text1"/>
                <w:shd w:val="clear" w:color="auto" w:fill="FFFFFF"/>
              </w:rPr>
            </w:pPr>
            <w:bookmarkStart w:id="2404" w:name="o103"/>
            <w:bookmarkEnd w:id="2404"/>
            <w:r w:rsidRPr="00286216">
              <w:rPr>
                <w:color w:val="000000" w:themeColor="text1"/>
              </w:rPr>
              <w:t xml:space="preserve">Стаття 17. </w:t>
            </w:r>
            <w:r w:rsidRPr="00286216">
              <w:rPr>
                <w:color w:val="000000" w:themeColor="text1"/>
                <w:shd w:val="clear" w:color="auto" w:fill="FFFFFF"/>
              </w:rPr>
              <w:t>Активи товарної біржі</w:t>
            </w:r>
          </w:p>
        </w:tc>
        <w:tc>
          <w:tcPr>
            <w:tcW w:w="3686" w:type="dxa"/>
          </w:tcPr>
          <w:p w14:paraId="30C3E460" w14:textId="77777777" w:rsidR="001A75A4" w:rsidRPr="00286216" w:rsidRDefault="001A75A4" w:rsidP="001A75A4">
            <w:pPr>
              <w:pStyle w:val="StyleProp"/>
              <w:rPr>
                <w:color w:val="000000" w:themeColor="text1"/>
                <w:szCs w:val="18"/>
              </w:rPr>
            </w:pPr>
          </w:p>
        </w:tc>
        <w:tc>
          <w:tcPr>
            <w:tcW w:w="1987" w:type="dxa"/>
          </w:tcPr>
          <w:p w14:paraId="661CFE81" w14:textId="77777777" w:rsidR="001A75A4" w:rsidRPr="00286216" w:rsidRDefault="001A75A4" w:rsidP="001A75A4">
            <w:pPr>
              <w:pStyle w:val="StyleWisnow"/>
              <w:rPr>
                <w:color w:val="000000" w:themeColor="text1"/>
              </w:rPr>
            </w:pPr>
          </w:p>
        </w:tc>
        <w:tc>
          <w:tcPr>
            <w:tcW w:w="4818" w:type="dxa"/>
          </w:tcPr>
          <w:p w14:paraId="015C8D95" w14:textId="6E8F3864"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17. </w:t>
            </w:r>
            <w:r w:rsidRPr="00286216">
              <w:rPr>
                <w:color w:val="000000" w:themeColor="text1"/>
                <w:shd w:val="clear" w:color="auto" w:fill="FFFFFF"/>
              </w:rPr>
              <w:t>Активи товарної біржі</w:t>
            </w:r>
          </w:p>
        </w:tc>
      </w:tr>
      <w:tr w:rsidR="001A75A4" w:rsidRPr="00286216" w14:paraId="7AFE4618" w14:textId="77777777" w:rsidTr="00091AA5">
        <w:tc>
          <w:tcPr>
            <w:tcW w:w="576" w:type="dxa"/>
          </w:tcPr>
          <w:p w14:paraId="433265E7" w14:textId="77777777" w:rsidR="001A75A4" w:rsidRPr="00286216" w:rsidRDefault="001A75A4" w:rsidP="001A75A4">
            <w:pPr>
              <w:pStyle w:val="StyleWisnow"/>
              <w:rPr>
                <w:color w:val="000000" w:themeColor="text1"/>
              </w:rPr>
            </w:pPr>
            <w:bookmarkStart w:id="2405" w:name="n2547" w:colFirst="0" w:colLast="0"/>
            <w:bookmarkEnd w:id="2403"/>
            <w:r w:rsidRPr="00286216">
              <w:rPr>
                <w:color w:val="000000" w:themeColor="text1"/>
              </w:rPr>
              <w:t>2547.</w:t>
            </w:r>
          </w:p>
        </w:tc>
        <w:tc>
          <w:tcPr>
            <w:tcW w:w="4818" w:type="dxa"/>
          </w:tcPr>
          <w:p w14:paraId="7F7C31E5" w14:textId="77777777" w:rsidR="001A75A4" w:rsidRPr="00286216" w:rsidRDefault="001A75A4" w:rsidP="001A75A4">
            <w:pPr>
              <w:pStyle w:val="StyleZakonu"/>
              <w:rPr>
                <w:color w:val="000000" w:themeColor="text1"/>
              </w:rPr>
            </w:pPr>
            <w:bookmarkStart w:id="2406" w:name="o104"/>
            <w:bookmarkEnd w:id="2406"/>
            <w:r w:rsidRPr="00286216">
              <w:rPr>
                <w:color w:val="000000" w:themeColor="text1"/>
              </w:rPr>
              <w:t>1. Активи, в тому числі майно, товарної біржі формують її капітал. Біржі належить майно, набуте на підставах, не заборонених законом.</w:t>
            </w:r>
          </w:p>
        </w:tc>
        <w:tc>
          <w:tcPr>
            <w:tcW w:w="3686" w:type="dxa"/>
          </w:tcPr>
          <w:p w14:paraId="5A931C5F" w14:textId="77777777" w:rsidR="001A75A4" w:rsidRPr="00286216" w:rsidRDefault="001A75A4" w:rsidP="001A75A4">
            <w:pPr>
              <w:pStyle w:val="StyleProp"/>
              <w:rPr>
                <w:color w:val="000000" w:themeColor="text1"/>
                <w:szCs w:val="18"/>
              </w:rPr>
            </w:pPr>
          </w:p>
        </w:tc>
        <w:tc>
          <w:tcPr>
            <w:tcW w:w="1987" w:type="dxa"/>
          </w:tcPr>
          <w:p w14:paraId="58B43DDB" w14:textId="77777777" w:rsidR="001A75A4" w:rsidRPr="00286216" w:rsidRDefault="001A75A4" w:rsidP="001A75A4">
            <w:pPr>
              <w:pStyle w:val="StyleWisnow"/>
              <w:rPr>
                <w:color w:val="000000" w:themeColor="text1"/>
              </w:rPr>
            </w:pPr>
          </w:p>
        </w:tc>
        <w:tc>
          <w:tcPr>
            <w:tcW w:w="4818" w:type="dxa"/>
          </w:tcPr>
          <w:p w14:paraId="15B5D021" w14:textId="6A79A573" w:rsidR="001A75A4" w:rsidRPr="00286216" w:rsidRDefault="001A75A4" w:rsidP="001A75A4">
            <w:pPr>
              <w:pStyle w:val="StyleZakonu"/>
              <w:rPr>
                <w:color w:val="000000" w:themeColor="text1"/>
              </w:rPr>
            </w:pPr>
            <w:r w:rsidRPr="00286216">
              <w:rPr>
                <w:color w:val="000000" w:themeColor="text1"/>
              </w:rPr>
              <w:t>1. Активи, у тому числі майно, товарної біржі формують її капітал. Товарній біржі належить майно, набуте на підставах, не заборонених законом.</w:t>
            </w:r>
          </w:p>
        </w:tc>
      </w:tr>
      <w:tr w:rsidR="001A75A4" w:rsidRPr="00286216" w14:paraId="6D7566EF" w14:textId="77777777" w:rsidTr="00091AA5">
        <w:tc>
          <w:tcPr>
            <w:tcW w:w="576" w:type="dxa"/>
          </w:tcPr>
          <w:p w14:paraId="07D40B32" w14:textId="77777777" w:rsidR="001A75A4" w:rsidRPr="00286216" w:rsidRDefault="001A75A4" w:rsidP="001A75A4">
            <w:pPr>
              <w:pStyle w:val="StyleWisnow"/>
              <w:rPr>
                <w:color w:val="000000" w:themeColor="text1"/>
              </w:rPr>
            </w:pPr>
            <w:bookmarkStart w:id="2407" w:name="n2548" w:colFirst="0" w:colLast="0"/>
            <w:bookmarkEnd w:id="2405"/>
            <w:r w:rsidRPr="00286216">
              <w:rPr>
                <w:color w:val="000000" w:themeColor="text1"/>
              </w:rPr>
              <w:t>2548.</w:t>
            </w:r>
          </w:p>
        </w:tc>
        <w:tc>
          <w:tcPr>
            <w:tcW w:w="4818" w:type="dxa"/>
          </w:tcPr>
          <w:p w14:paraId="6CBE3608" w14:textId="77777777" w:rsidR="001A75A4" w:rsidRPr="00286216" w:rsidRDefault="001A75A4" w:rsidP="001A75A4">
            <w:pPr>
              <w:pStyle w:val="StyleZakonu"/>
              <w:rPr>
                <w:color w:val="000000" w:themeColor="text1"/>
              </w:rPr>
            </w:pPr>
            <w:bookmarkStart w:id="2408" w:name="o105"/>
            <w:bookmarkEnd w:id="2408"/>
            <w:r w:rsidRPr="00286216">
              <w:rPr>
                <w:color w:val="000000" w:themeColor="text1"/>
              </w:rPr>
              <w:t>2. Майно товарної біржі формується за рахунок:</w:t>
            </w:r>
          </w:p>
        </w:tc>
        <w:tc>
          <w:tcPr>
            <w:tcW w:w="3686" w:type="dxa"/>
          </w:tcPr>
          <w:p w14:paraId="582BCBF0" w14:textId="77777777" w:rsidR="001A75A4" w:rsidRPr="00286216" w:rsidRDefault="001A75A4" w:rsidP="001A75A4">
            <w:pPr>
              <w:pStyle w:val="StyleProp"/>
              <w:rPr>
                <w:color w:val="000000" w:themeColor="text1"/>
                <w:szCs w:val="18"/>
              </w:rPr>
            </w:pPr>
          </w:p>
        </w:tc>
        <w:tc>
          <w:tcPr>
            <w:tcW w:w="1987" w:type="dxa"/>
          </w:tcPr>
          <w:p w14:paraId="233B99EB" w14:textId="77777777" w:rsidR="001A75A4" w:rsidRPr="00286216" w:rsidRDefault="001A75A4" w:rsidP="001A75A4">
            <w:pPr>
              <w:pStyle w:val="StyleWisnow"/>
              <w:rPr>
                <w:color w:val="000000" w:themeColor="text1"/>
              </w:rPr>
            </w:pPr>
          </w:p>
        </w:tc>
        <w:tc>
          <w:tcPr>
            <w:tcW w:w="4818" w:type="dxa"/>
          </w:tcPr>
          <w:p w14:paraId="408C9D25" w14:textId="731E638E" w:rsidR="001A75A4" w:rsidRPr="00286216" w:rsidRDefault="001A75A4" w:rsidP="001A75A4">
            <w:pPr>
              <w:pStyle w:val="StyleZakonu"/>
              <w:rPr>
                <w:color w:val="000000" w:themeColor="text1"/>
              </w:rPr>
            </w:pPr>
            <w:r w:rsidRPr="00286216">
              <w:rPr>
                <w:color w:val="000000" w:themeColor="text1"/>
              </w:rPr>
              <w:t>2. Майно товарної біржі формується за рахунок:</w:t>
            </w:r>
          </w:p>
        </w:tc>
      </w:tr>
      <w:tr w:rsidR="001A75A4" w:rsidRPr="00286216" w14:paraId="2FE891EC" w14:textId="77777777" w:rsidTr="00091AA5">
        <w:tc>
          <w:tcPr>
            <w:tcW w:w="576" w:type="dxa"/>
          </w:tcPr>
          <w:p w14:paraId="4BFADE80" w14:textId="77777777" w:rsidR="001A75A4" w:rsidRPr="00286216" w:rsidRDefault="001A75A4" w:rsidP="001A75A4">
            <w:pPr>
              <w:pStyle w:val="StyleWisnow"/>
              <w:rPr>
                <w:color w:val="000000" w:themeColor="text1"/>
              </w:rPr>
            </w:pPr>
            <w:bookmarkStart w:id="2409" w:name="n2549" w:colFirst="0" w:colLast="0"/>
            <w:bookmarkEnd w:id="2407"/>
            <w:r w:rsidRPr="00286216">
              <w:rPr>
                <w:color w:val="000000" w:themeColor="text1"/>
              </w:rPr>
              <w:t>2549.</w:t>
            </w:r>
          </w:p>
        </w:tc>
        <w:tc>
          <w:tcPr>
            <w:tcW w:w="4818" w:type="dxa"/>
          </w:tcPr>
          <w:p w14:paraId="7236C21E" w14:textId="77777777" w:rsidR="001A75A4" w:rsidRPr="00286216" w:rsidRDefault="001A75A4" w:rsidP="001A75A4">
            <w:pPr>
              <w:pStyle w:val="StyleZakonu"/>
              <w:rPr>
                <w:color w:val="000000" w:themeColor="text1"/>
              </w:rPr>
            </w:pPr>
            <w:bookmarkStart w:id="2410" w:name="o106"/>
            <w:bookmarkEnd w:id="2410"/>
            <w:r w:rsidRPr="00286216">
              <w:rPr>
                <w:color w:val="000000" w:themeColor="text1"/>
              </w:rPr>
              <w:t>1) майна, переданого їй у власність засновниками і акціонерами (учасниками) при формуванні статутного капіталу;</w:t>
            </w:r>
          </w:p>
        </w:tc>
        <w:tc>
          <w:tcPr>
            <w:tcW w:w="3686" w:type="dxa"/>
          </w:tcPr>
          <w:p w14:paraId="39C1EF23" w14:textId="77777777" w:rsidR="001A75A4" w:rsidRPr="00286216" w:rsidRDefault="001A75A4" w:rsidP="001A75A4">
            <w:pPr>
              <w:pStyle w:val="StyleProp"/>
              <w:rPr>
                <w:color w:val="000000" w:themeColor="text1"/>
                <w:szCs w:val="18"/>
              </w:rPr>
            </w:pPr>
          </w:p>
        </w:tc>
        <w:tc>
          <w:tcPr>
            <w:tcW w:w="1987" w:type="dxa"/>
          </w:tcPr>
          <w:p w14:paraId="5FFFDD77" w14:textId="77777777" w:rsidR="001A75A4" w:rsidRPr="00286216" w:rsidRDefault="001A75A4" w:rsidP="001A75A4">
            <w:pPr>
              <w:pStyle w:val="StyleWisnow"/>
              <w:rPr>
                <w:color w:val="000000" w:themeColor="text1"/>
              </w:rPr>
            </w:pPr>
          </w:p>
        </w:tc>
        <w:tc>
          <w:tcPr>
            <w:tcW w:w="4818" w:type="dxa"/>
          </w:tcPr>
          <w:p w14:paraId="75E01091" w14:textId="39445DED" w:rsidR="001A75A4" w:rsidRPr="00286216" w:rsidRDefault="001A75A4" w:rsidP="001A75A4">
            <w:pPr>
              <w:pStyle w:val="StyleZakonu"/>
              <w:rPr>
                <w:color w:val="000000" w:themeColor="text1"/>
              </w:rPr>
            </w:pPr>
            <w:r w:rsidRPr="00286216">
              <w:rPr>
                <w:color w:val="000000" w:themeColor="text1"/>
              </w:rPr>
              <w:t>1) майна, переданого їй у власність засновниками і акціонерами (учасниками) при формуванні статутного капіталу;</w:t>
            </w:r>
          </w:p>
        </w:tc>
      </w:tr>
      <w:tr w:rsidR="001A75A4" w:rsidRPr="00286216" w14:paraId="374939A5" w14:textId="77777777" w:rsidTr="00091AA5">
        <w:tc>
          <w:tcPr>
            <w:tcW w:w="576" w:type="dxa"/>
          </w:tcPr>
          <w:p w14:paraId="0832DF55" w14:textId="77777777" w:rsidR="001A75A4" w:rsidRPr="00286216" w:rsidRDefault="001A75A4" w:rsidP="001A75A4">
            <w:pPr>
              <w:pStyle w:val="StyleWisnow"/>
              <w:rPr>
                <w:color w:val="000000" w:themeColor="text1"/>
              </w:rPr>
            </w:pPr>
            <w:bookmarkStart w:id="2411" w:name="n2550" w:colFirst="0" w:colLast="0"/>
            <w:bookmarkEnd w:id="2409"/>
            <w:r w:rsidRPr="00286216">
              <w:rPr>
                <w:color w:val="000000" w:themeColor="text1"/>
              </w:rPr>
              <w:t>2550.</w:t>
            </w:r>
          </w:p>
        </w:tc>
        <w:tc>
          <w:tcPr>
            <w:tcW w:w="4818" w:type="dxa"/>
          </w:tcPr>
          <w:p w14:paraId="22AE7621" w14:textId="77777777" w:rsidR="001A75A4" w:rsidRPr="00286216" w:rsidRDefault="001A75A4" w:rsidP="001A75A4">
            <w:pPr>
              <w:pStyle w:val="StyleZakonu"/>
              <w:rPr>
                <w:color w:val="000000" w:themeColor="text1"/>
              </w:rPr>
            </w:pPr>
            <w:r w:rsidRPr="00286216">
              <w:rPr>
                <w:color w:val="000000" w:themeColor="text1"/>
              </w:rPr>
              <w:t>2) надходжень від членів біржі (членські внески, плата за біржові операції та/або за інші послуги, що пропонуються біржою чи є обов’язковими для членів біржі та/або учасників торгів чи інших осіб);</w:t>
            </w:r>
          </w:p>
        </w:tc>
        <w:tc>
          <w:tcPr>
            <w:tcW w:w="3686" w:type="dxa"/>
          </w:tcPr>
          <w:p w14:paraId="19F696F3" w14:textId="77777777" w:rsidR="001A75A4" w:rsidRPr="00286216" w:rsidRDefault="001A75A4" w:rsidP="001A75A4">
            <w:pPr>
              <w:pStyle w:val="StyleProp"/>
              <w:rPr>
                <w:color w:val="000000" w:themeColor="text1"/>
                <w:szCs w:val="18"/>
              </w:rPr>
            </w:pPr>
          </w:p>
        </w:tc>
        <w:tc>
          <w:tcPr>
            <w:tcW w:w="1987" w:type="dxa"/>
          </w:tcPr>
          <w:p w14:paraId="24099C48" w14:textId="77777777" w:rsidR="001A75A4" w:rsidRPr="00286216" w:rsidRDefault="001A75A4" w:rsidP="001A75A4">
            <w:pPr>
              <w:pStyle w:val="StyleWisnow"/>
              <w:rPr>
                <w:color w:val="000000" w:themeColor="text1"/>
              </w:rPr>
            </w:pPr>
          </w:p>
        </w:tc>
        <w:tc>
          <w:tcPr>
            <w:tcW w:w="4818" w:type="dxa"/>
          </w:tcPr>
          <w:p w14:paraId="1FBD2BE2" w14:textId="7934B5E5" w:rsidR="001A75A4" w:rsidRPr="00286216" w:rsidRDefault="001A75A4" w:rsidP="001A75A4">
            <w:pPr>
              <w:pStyle w:val="StyleZakonu"/>
              <w:rPr>
                <w:color w:val="000000" w:themeColor="text1"/>
              </w:rPr>
            </w:pPr>
            <w:r w:rsidRPr="00286216">
              <w:rPr>
                <w:color w:val="000000" w:themeColor="text1"/>
              </w:rPr>
              <w:t>2) надходжень від членів товарної біржі (членські внески, плата за біржові операції та/або за інші послуги, що пропонуються біржею чи є обов’язковими для членів товарної біржі та/або учасників торгів чи інших осіб);</w:t>
            </w:r>
          </w:p>
        </w:tc>
      </w:tr>
      <w:tr w:rsidR="001A75A4" w:rsidRPr="00286216" w14:paraId="6323D963" w14:textId="77777777" w:rsidTr="00091AA5">
        <w:tc>
          <w:tcPr>
            <w:tcW w:w="576" w:type="dxa"/>
          </w:tcPr>
          <w:p w14:paraId="0F353FCB" w14:textId="77777777" w:rsidR="001A75A4" w:rsidRPr="00286216" w:rsidRDefault="001A75A4" w:rsidP="001A75A4">
            <w:pPr>
              <w:pStyle w:val="StyleWisnow"/>
              <w:rPr>
                <w:color w:val="000000" w:themeColor="text1"/>
              </w:rPr>
            </w:pPr>
            <w:bookmarkStart w:id="2412" w:name="n2551" w:colFirst="0" w:colLast="0"/>
            <w:bookmarkEnd w:id="2411"/>
            <w:r w:rsidRPr="00286216">
              <w:rPr>
                <w:color w:val="000000" w:themeColor="text1"/>
              </w:rPr>
              <w:t>2551.</w:t>
            </w:r>
          </w:p>
        </w:tc>
        <w:tc>
          <w:tcPr>
            <w:tcW w:w="4818" w:type="dxa"/>
          </w:tcPr>
          <w:p w14:paraId="08DD01DA" w14:textId="77777777" w:rsidR="001A75A4" w:rsidRPr="00286216" w:rsidRDefault="001A75A4" w:rsidP="001A75A4">
            <w:pPr>
              <w:pStyle w:val="StyleZakonu"/>
              <w:rPr>
                <w:color w:val="000000" w:themeColor="text1"/>
              </w:rPr>
            </w:pPr>
            <w:r w:rsidRPr="00286216">
              <w:rPr>
                <w:color w:val="000000" w:themeColor="text1"/>
              </w:rPr>
              <w:t>3) надходжень від надання біржою інформаційних та інших послуг, відповідно до закону, третім особам;</w:t>
            </w:r>
          </w:p>
        </w:tc>
        <w:tc>
          <w:tcPr>
            <w:tcW w:w="3686" w:type="dxa"/>
          </w:tcPr>
          <w:p w14:paraId="219CB707" w14:textId="77777777" w:rsidR="001A75A4" w:rsidRPr="00286216" w:rsidRDefault="001A75A4" w:rsidP="001A75A4">
            <w:pPr>
              <w:pStyle w:val="StyleProp"/>
              <w:rPr>
                <w:color w:val="000000" w:themeColor="text1"/>
                <w:szCs w:val="18"/>
              </w:rPr>
            </w:pPr>
          </w:p>
        </w:tc>
        <w:tc>
          <w:tcPr>
            <w:tcW w:w="1987" w:type="dxa"/>
          </w:tcPr>
          <w:p w14:paraId="14264F2D" w14:textId="77777777" w:rsidR="001A75A4" w:rsidRPr="00286216" w:rsidRDefault="001A75A4" w:rsidP="001A75A4">
            <w:pPr>
              <w:pStyle w:val="StyleWisnow"/>
              <w:rPr>
                <w:color w:val="000000" w:themeColor="text1"/>
              </w:rPr>
            </w:pPr>
          </w:p>
        </w:tc>
        <w:tc>
          <w:tcPr>
            <w:tcW w:w="4818" w:type="dxa"/>
          </w:tcPr>
          <w:p w14:paraId="1CB83DB4" w14:textId="1F024DB3" w:rsidR="001A75A4" w:rsidRPr="00286216" w:rsidRDefault="001A75A4" w:rsidP="001A75A4">
            <w:pPr>
              <w:pStyle w:val="StyleZakonu"/>
              <w:rPr>
                <w:color w:val="000000" w:themeColor="text1"/>
              </w:rPr>
            </w:pPr>
            <w:r w:rsidRPr="00286216">
              <w:rPr>
                <w:color w:val="000000" w:themeColor="text1"/>
              </w:rPr>
              <w:t>3) надходжень від надання товарною біржею відповідно до закону інформаційних та інших послуг третім особам;</w:t>
            </w:r>
          </w:p>
        </w:tc>
      </w:tr>
      <w:tr w:rsidR="001A75A4" w:rsidRPr="00286216" w14:paraId="153C9230" w14:textId="77777777" w:rsidTr="00091AA5">
        <w:tc>
          <w:tcPr>
            <w:tcW w:w="576" w:type="dxa"/>
          </w:tcPr>
          <w:p w14:paraId="7157913D" w14:textId="77777777" w:rsidR="001A75A4" w:rsidRPr="00286216" w:rsidRDefault="001A75A4" w:rsidP="001A75A4">
            <w:pPr>
              <w:pStyle w:val="StyleWisnow"/>
              <w:rPr>
                <w:color w:val="000000" w:themeColor="text1"/>
              </w:rPr>
            </w:pPr>
            <w:bookmarkStart w:id="2413" w:name="n2552" w:colFirst="0" w:colLast="0"/>
            <w:bookmarkEnd w:id="2412"/>
            <w:r w:rsidRPr="00286216">
              <w:rPr>
                <w:color w:val="000000" w:themeColor="text1"/>
              </w:rPr>
              <w:t>2552.</w:t>
            </w:r>
          </w:p>
        </w:tc>
        <w:tc>
          <w:tcPr>
            <w:tcW w:w="4818" w:type="dxa"/>
          </w:tcPr>
          <w:p w14:paraId="476BCF0A" w14:textId="77777777" w:rsidR="001A75A4" w:rsidRPr="00286216" w:rsidRDefault="001A75A4" w:rsidP="001A75A4">
            <w:pPr>
              <w:pStyle w:val="StyleZakonu"/>
              <w:rPr>
                <w:color w:val="000000" w:themeColor="text1"/>
              </w:rPr>
            </w:pPr>
            <w:r w:rsidRPr="00286216">
              <w:rPr>
                <w:color w:val="000000" w:themeColor="text1"/>
              </w:rPr>
              <w:t>4) штрафів за порушення правил товарної біржі;</w:t>
            </w:r>
          </w:p>
        </w:tc>
        <w:tc>
          <w:tcPr>
            <w:tcW w:w="3686" w:type="dxa"/>
          </w:tcPr>
          <w:p w14:paraId="0DF29278" w14:textId="77777777" w:rsidR="001A75A4" w:rsidRPr="00286216" w:rsidRDefault="001A75A4" w:rsidP="001A75A4">
            <w:pPr>
              <w:pStyle w:val="StyleProp"/>
              <w:rPr>
                <w:color w:val="000000" w:themeColor="text1"/>
                <w:szCs w:val="18"/>
              </w:rPr>
            </w:pPr>
          </w:p>
        </w:tc>
        <w:tc>
          <w:tcPr>
            <w:tcW w:w="1987" w:type="dxa"/>
          </w:tcPr>
          <w:p w14:paraId="2DE9C549" w14:textId="77777777" w:rsidR="001A75A4" w:rsidRPr="00286216" w:rsidRDefault="001A75A4" w:rsidP="001A75A4">
            <w:pPr>
              <w:pStyle w:val="StyleWisnow"/>
              <w:rPr>
                <w:color w:val="000000" w:themeColor="text1"/>
              </w:rPr>
            </w:pPr>
          </w:p>
        </w:tc>
        <w:tc>
          <w:tcPr>
            <w:tcW w:w="4818" w:type="dxa"/>
          </w:tcPr>
          <w:p w14:paraId="7C424421" w14:textId="59E6D168" w:rsidR="001A75A4" w:rsidRPr="00286216" w:rsidRDefault="001A75A4" w:rsidP="001A75A4">
            <w:pPr>
              <w:pStyle w:val="StyleZakonu"/>
              <w:rPr>
                <w:color w:val="000000" w:themeColor="text1"/>
              </w:rPr>
            </w:pPr>
            <w:r w:rsidRPr="00286216">
              <w:rPr>
                <w:color w:val="000000" w:themeColor="text1"/>
              </w:rPr>
              <w:t>4) штрафів за порушення правил товарної біржі;</w:t>
            </w:r>
          </w:p>
        </w:tc>
      </w:tr>
      <w:tr w:rsidR="001A75A4" w:rsidRPr="00286216" w14:paraId="0A97A9CB" w14:textId="77777777" w:rsidTr="00091AA5">
        <w:tc>
          <w:tcPr>
            <w:tcW w:w="576" w:type="dxa"/>
          </w:tcPr>
          <w:p w14:paraId="4FC0FA01" w14:textId="77777777" w:rsidR="001A75A4" w:rsidRPr="00286216" w:rsidRDefault="001A75A4" w:rsidP="001A75A4">
            <w:pPr>
              <w:pStyle w:val="StyleWisnow"/>
              <w:rPr>
                <w:color w:val="000000" w:themeColor="text1"/>
              </w:rPr>
            </w:pPr>
            <w:bookmarkStart w:id="2414" w:name="n2553" w:colFirst="0" w:colLast="0"/>
            <w:bookmarkEnd w:id="2413"/>
            <w:r w:rsidRPr="00286216">
              <w:rPr>
                <w:color w:val="000000" w:themeColor="text1"/>
              </w:rPr>
              <w:lastRenderedPageBreak/>
              <w:t>2553.</w:t>
            </w:r>
          </w:p>
        </w:tc>
        <w:tc>
          <w:tcPr>
            <w:tcW w:w="4818" w:type="dxa"/>
          </w:tcPr>
          <w:p w14:paraId="3943C58A" w14:textId="77777777" w:rsidR="001A75A4" w:rsidRPr="00286216" w:rsidRDefault="001A75A4" w:rsidP="001A75A4">
            <w:pPr>
              <w:pStyle w:val="StyleZakonu"/>
              <w:rPr>
                <w:color w:val="000000" w:themeColor="text1"/>
              </w:rPr>
            </w:pPr>
            <w:r w:rsidRPr="00286216">
              <w:rPr>
                <w:color w:val="000000" w:themeColor="text1"/>
              </w:rPr>
              <w:t>5) іншого майна та/або грошових коштів способами, що не суперечать чинному законодавству.</w:t>
            </w:r>
          </w:p>
        </w:tc>
        <w:tc>
          <w:tcPr>
            <w:tcW w:w="3686" w:type="dxa"/>
          </w:tcPr>
          <w:p w14:paraId="77FE1C6A" w14:textId="77777777" w:rsidR="001A75A4" w:rsidRPr="00286216" w:rsidRDefault="001A75A4" w:rsidP="001A75A4">
            <w:pPr>
              <w:pStyle w:val="StyleProp"/>
              <w:rPr>
                <w:color w:val="000000" w:themeColor="text1"/>
                <w:szCs w:val="18"/>
              </w:rPr>
            </w:pPr>
          </w:p>
        </w:tc>
        <w:tc>
          <w:tcPr>
            <w:tcW w:w="1987" w:type="dxa"/>
          </w:tcPr>
          <w:p w14:paraId="6A95142D" w14:textId="77777777" w:rsidR="001A75A4" w:rsidRPr="00286216" w:rsidRDefault="001A75A4" w:rsidP="001A75A4">
            <w:pPr>
              <w:pStyle w:val="StyleWisnow"/>
              <w:rPr>
                <w:color w:val="000000" w:themeColor="text1"/>
              </w:rPr>
            </w:pPr>
          </w:p>
        </w:tc>
        <w:tc>
          <w:tcPr>
            <w:tcW w:w="4818" w:type="dxa"/>
          </w:tcPr>
          <w:p w14:paraId="74340458" w14:textId="1C96791F" w:rsidR="001A75A4" w:rsidRPr="00286216" w:rsidRDefault="001A75A4" w:rsidP="001A75A4">
            <w:pPr>
              <w:pStyle w:val="StyleZakonu"/>
              <w:rPr>
                <w:color w:val="000000" w:themeColor="text1"/>
              </w:rPr>
            </w:pPr>
            <w:r w:rsidRPr="00286216">
              <w:rPr>
                <w:color w:val="000000" w:themeColor="text1"/>
              </w:rPr>
              <w:t>5) іншого майна та/або грошових коштів у спосіб, що не суперечить законодавству.</w:t>
            </w:r>
          </w:p>
        </w:tc>
      </w:tr>
      <w:tr w:rsidR="001A75A4" w:rsidRPr="00286216" w14:paraId="6B5B426B" w14:textId="77777777" w:rsidTr="00091AA5">
        <w:tc>
          <w:tcPr>
            <w:tcW w:w="576" w:type="dxa"/>
          </w:tcPr>
          <w:p w14:paraId="7759941B" w14:textId="77777777" w:rsidR="001A75A4" w:rsidRPr="00286216" w:rsidRDefault="001A75A4" w:rsidP="001A75A4">
            <w:pPr>
              <w:pStyle w:val="StyleWisnow"/>
              <w:rPr>
                <w:color w:val="000000" w:themeColor="text1"/>
              </w:rPr>
            </w:pPr>
            <w:bookmarkStart w:id="2415" w:name="n2554" w:colFirst="0" w:colLast="0"/>
            <w:bookmarkEnd w:id="2414"/>
            <w:r w:rsidRPr="00286216">
              <w:rPr>
                <w:color w:val="000000" w:themeColor="text1"/>
              </w:rPr>
              <w:t>2554.</w:t>
            </w:r>
          </w:p>
        </w:tc>
        <w:tc>
          <w:tcPr>
            <w:tcW w:w="4818" w:type="dxa"/>
          </w:tcPr>
          <w:p w14:paraId="4293B4F6" w14:textId="77777777" w:rsidR="001A75A4" w:rsidRPr="00286216" w:rsidRDefault="001A75A4" w:rsidP="001A75A4">
            <w:pPr>
              <w:pStyle w:val="StyleZakonu"/>
              <w:rPr>
                <w:color w:val="000000" w:themeColor="text1"/>
              </w:rPr>
            </w:pPr>
            <w:bookmarkStart w:id="2416" w:name="o107"/>
            <w:bookmarkStart w:id="2417" w:name="o108"/>
            <w:bookmarkStart w:id="2418" w:name="o109"/>
            <w:bookmarkStart w:id="2419" w:name="o110"/>
            <w:bookmarkEnd w:id="2416"/>
            <w:bookmarkEnd w:id="2417"/>
            <w:bookmarkEnd w:id="2418"/>
            <w:bookmarkEnd w:id="2419"/>
            <w:r w:rsidRPr="00286216">
              <w:rPr>
                <w:color w:val="000000" w:themeColor="text1"/>
              </w:rPr>
              <w:t>3. Майно біржі належить їй на праві власності.</w:t>
            </w:r>
          </w:p>
        </w:tc>
        <w:tc>
          <w:tcPr>
            <w:tcW w:w="3686" w:type="dxa"/>
          </w:tcPr>
          <w:p w14:paraId="37922399" w14:textId="77777777" w:rsidR="001A75A4" w:rsidRPr="00286216" w:rsidRDefault="001A75A4" w:rsidP="001A75A4">
            <w:pPr>
              <w:pStyle w:val="StyleProp"/>
              <w:rPr>
                <w:color w:val="000000" w:themeColor="text1"/>
                <w:szCs w:val="18"/>
              </w:rPr>
            </w:pPr>
          </w:p>
        </w:tc>
        <w:tc>
          <w:tcPr>
            <w:tcW w:w="1987" w:type="dxa"/>
          </w:tcPr>
          <w:p w14:paraId="7C6C8370" w14:textId="77777777" w:rsidR="001A75A4" w:rsidRPr="00286216" w:rsidRDefault="001A75A4" w:rsidP="001A75A4">
            <w:pPr>
              <w:pStyle w:val="StyleWisnow"/>
              <w:rPr>
                <w:color w:val="000000" w:themeColor="text1"/>
              </w:rPr>
            </w:pPr>
          </w:p>
        </w:tc>
        <w:tc>
          <w:tcPr>
            <w:tcW w:w="4818" w:type="dxa"/>
          </w:tcPr>
          <w:p w14:paraId="69FB5E3D" w14:textId="588F28D3" w:rsidR="001A75A4" w:rsidRPr="00286216" w:rsidRDefault="001A75A4" w:rsidP="001A75A4">
            <w:pPr>
              <w:pStyle w:val="StyleZakonu"/>
              <w:rPr>
                <w:color w:val="000000" w:themeColor="text1"/>
              </w:rPr>
            </w:pPr>
            <w:r w:rsidRPr="00286216">
              <w:rPr>
                <w:color w:val="000000" w:themeColor="text1"/>
              </w:rPr>
              <w:t>3. Майно товарної біржі належить їй на праві власності.</w:t>
            </w:r>
          </w:p>
        </w:tc>
      </w:tr>
      <w:tr w:rsidR="001A75A4" w:rsidRPr="00286216" w14:paraId="1BE24AF5" w14:textId="77777777" w:rsidTr="00091AA5">
        <w:tc>
          <w:tcPr>
            <w:tcW w:w="576" w:type="dxa"/>
          </w:tcPr>
          <w:p w14:paraId="270FF12B" w14:textId="77777777" w:rsidR="001A75A4" w:rsidRPr="00286216" w:rsidRDefault="001A75A4" w:rsidP="001A75A4">
            <w:pPr>
              <w:pStyle w:val="StyleWisnow"/>
              <w:rPr>
                <w:color w:val="000000" w:themeColor="text1"/>
              </w:rPr>
            </w:pPr>
            <w:bookmarkStart w:id="2420" w:name="n2555" w:colFirst="0" w:colLast="0"/>
            <w:bookmarkEnd w:id="2415"/>
            <w:r w:rsidRPr="00286216">
              <w:rPr>
                <w:color w:val="000000" w:themeColor="text1"/>
              </w:rPr>
              <w:t>2555.</w:t>
            </w:r>
          </w:p>
        </w:tc>
        <w:tc>
          <w:tcPr>
            <w:tcW w:w="4818" w:type="dxa"/>
          </w:tcPr>
          <w:p w14:paraId="29A3C07C" w14:textId="77777777" w:rsidR="001A75A4" w:rsidRPr="00286216" w:rsidRDefault="001A75A4" w:rsidP="001A75A4">
            <w:pPr>
              <w:pStyle w:val="StyleZakonu"/>
              <w:rPr>
                <w:color w:val="000000" w:themeColor="text1"/>
              </w:rPr>
            </w:pPr>
            <w:bookmarkStart w:id="2421" w:name="o111"/>
            <w:bookmarkEnd w:id="2421"/>
            <w:r w:rsidRPr="00286216">
              <w:rPr>
                <w:color w:val="000000" w:themeColor="text1"/>
              </w:rPr>
              <w:t>4. Порядок використання майна товарної біржі визначається органами управління в порядку, визначеному статутом біржі.</w:t>
            </w:r>
          </w:p>
        </w:tc>
        <w:tc>
          <w:tcPr>
            <w:tcW w:w="3686" w:type="dxa"/>
          </w:tcPr>
          <w:p w14:paraId="0A1C21ED" w14:textId="77777777" w:rsidR="001A75A4" w:rsidRPr="00286216" w:rsidRDefault="001A75A4" w:rsidP="001A75A4">
            <w:pPr>
              <w:pStyle w:val="StyleProp"/>
              <w:rPr>
                <w:color w:val="000000" w:themeColor="text1"/>
                <w:szCs w:val="18"/>
              </w:rPr>
            </w:pPr>
          </w:p>
        </w:tc>
        <w:tc>
          <w:tcPr>
            <w:tcW w:w="1987" w:type="dxa"/>
          </w:tcPr>
          <w:p w14:paraId="744E4282" w14:textId="77777777" w:rsidR="001A75A4" w:rsidRPr="00286216" w:rsidRDefault="001A75A4" w:rsidP="001A75A4">
            <w:pPr>
              <w:pStyle w:val="StyleWisnow"/>
              <w:rPr>
                <w:color w:val="000000" w:themeColor="text1"/>
              </w:rPr>
            </w:pPr>
          </w:p>
        </w:tc>
        <w:tc>
          <w:tcPr>
            <w:tcW w:w="4818" w:type="dxa"/>
          </w:tcPr>
          <w:p w14:paraId="795A6504" w14:textId="272D9A9E" w:rsidR="001A75A4" w:rsidRPr="00286216" w:rsidRDefault="001A75A4" w:rsidP="001A75A4">
            <w:pPr>
              <w:pStyle w:val="StyleZakonu"/>
              <w:rPr>
                <w:color w:val="000000" w:themeColor="text1"/>
              </w:rPr>
            </w:pPr>
            <w:r w:rsidRPr="00286216">
              <w:rPr>
                <w:color w:val="000000" w:themeColor="text1"/>
              </w:rPr>
              <w:t>4. Порядок використання майна товарної біржі визначається органами управління в порядку, визначеному статутом товарної біржі.</w:t>
            </w:r>
          </w:p>
        </w:tc>
      </w:tr>
      <w:tr w:rsidR="001A75A4" w:rsidRPr="00286216" w14:paraId="21A1F6BD" w14:textId="77777777" w:rsidTr="00091AA5">
        <w:tc>
          <w:tcPr>
            <w:tcW w:w="576" w:type="dxa"/>
          </w:tcPr>
          <w:p w14:paraId="53626043" w14:textId="77777777" w:rsidR="001A75A4" w:rsidRPr="00286216" w:rsidRDefault="001A75A4" w:rsidP="001A75A4">
            <w:pPr>
              <w:pStyle w:val="StyleWisnow"/>
              <w:rPr>
                <w:color w:val="000000" w:themeColor="text1"/>
              </w:rPr>
            </w:pPr>
            <w:bookmarkStart w:id="2422" w:name="n2556" w:colFirst="0" w:colLast="0"/>
            <w:bookmarkEnd w:id="2420"/>
            <w:r w:rsidRPr="00286216">
              <w:rPr>
                <w:color w:val="000000" w:themeColor="text1"/>
              </w:rPr>
              <w:t>2556.</w:t>
            </w:r>
          </w:p>
        </w:tc>
        <w:tc>
          <w:tcPr>
            <w:tcW w:w="4818" w:type="dxa"/>
          </w:tcPr>
          <w:p w14:paraId="0013BA38" w14:textId="77777777" w:rsidR="001A75A4" w:rsidRPr="00286216" w:rsidRDefault="001A75A4" w:rsidP="001A75A4">
            <w:pPr>
              <w:pStyle w:val="StyleZakonu"/>
              <w:rPr>
                <w:color w:val="000000" w:themeColor="text1"/>
                <w:shd w:val="clear" w:color="auto" w:fill="FFFFFF"/>
              </w:rPr>
            </w:pPr>
            <w:bookmarkStart w:id="2423" w:name="o112"/>
            <w:bookmarkEnd w:id="2423"/>
            <w:r w:rsidRPr="00286216">
              <w:rPr>
                <w:color w:val="000000" w:themeColor="text1"/>
              </w:rPr>
              <w:t xml:space="preserve">Стаття 18. </w:t>
            </w:r>
            <w:r w:rsidRPr="00286216">
              <w:rPr>
                <w:color w:val="000000" w:themeColor="text1"/>
                <w:shd w:val="clear" w:color="auto" w:fill="FFFFFF"/>
              </w:rPr>
              <w:t>Гарантії майнових прав товарної біржі</w:t>
            </w:r>
          </w:p>
        </w:tc>
        <w:tc>
          <w:tcPr>
            <w:tcW w:w="3686" w:type="dxa"/>
          </w:tcPr>
          <w:p w14:paraId="0FDB9B96" w14:textId="77777777" w:rsidR="001A75A4" w:rsidRPr="00286216" w:rsidRDefault="001A75A4" w:rsidP="001A75A4">
            <w:pPr>
              <w:pStyle w:val="StyleProp"/>
              <w:rPr>
                <w:color w:val="000000" w:themeColor="text1"/>
                <w:szCs w:val="18"/>
              </w:rPr>
            </w:pPr>
          </w:p>
        </w:tc>
        <w:tc>
          <w:tcPr>
            <w:tcW w:w="1987" w:type="dxa"/>
          </w:tcPr>
          <w:p w14:paraId="76EC8788" w14:textId="77777777" w:rsidR="001A75A4" w:rsidRPr="00286216" w:rsidRDefault="001A75A4" w:rsidP="001A75A4">
            <w:pPr>
              <w:pStyle w:val="StyleWisnow"/>
              <w:rPr>
                <w:color w:val="000000" w:themeColor="text1"/>
              </w:rPr>
            </w:pPr>
          </w:p>
        </w:tc>
        <w:tc>
          <w:tcPr>
            <w:tcW w:w="4818" w:type="dxa"/>
          </w:tcPr>
          <w:p w14:paraId="6B18632F" w14:textId="333BD4FE"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18. </w:t>
            </w:r>
            <w:r w:rsidRPr="00286216">
              <w:rPr>
                <w:color w:val="000000" w:themeColor="text1"/>
                <w:shd w:val="clear" w:color="auto" w:fill="FFFFFF"/>
              </w:rPr>
              <w:t>Гарантії майнових прав товарної біржі</w:t>
            </w:r>
          </w:p>
        </w:tc>
      </w:tr>
      <w:tr w:rsidR="001A75A4" w:rsidRPr="00286216" w14:paraId="174C9C4D" w14:textId="77777777" w:rsidTr="00091AA5">
        <w:tc>
          <w:tcPr>
            <w:tcW w:w="576" w:type="dxa"/>
          </w:tcPr>
          <w:p w14:paraId="5D838374" w14:textId="77777777" w:rsidR="001A75A4" w:rsidRPr="00286216" w:rsidRDefault="001A75A4" w:rsidP="001A75A4">
            <w:pPr>
              <w:pStyle w:val="StyleWisnow"/>
              <w:rPr>
                <w:color w:val="000000" w:themeColor="text1"/>
              </w:rPr>
            </w:pPr>
            <w:bookmarkStart w:id="2424" w:name="n2557" w:colFirst="0" w:colLast="0"/>
            <w:bookmarkEnd w:id="2422"/>
            <w:r w:rsidRPr="00286216">
              <w:rPr>
                <w:color w:val="000000" w:themeColor="text1"/>
              </w:rPr>
              <w:t>2557.</w:t>
            </w:r>
          </w:p>
        </w:tc>
        <w:tc>
          <w:tcPr>
            <w:tcW w:w="4818" w:type="dxa"/>
          </w:tcPr>
          <w:p w14:paraId="1956EE55" w14:textId="77777777" w:rsidR="001A75A4" w:rsidRPr="00286216" w:rsidRDefault="001A75A4" w:rsidP="001A75A4">
            <w:pPr>
              <w:pStyle w:val="StyleZakonu"/>
              <w:rPr>
                <w:color w:val="000000" w:themeColor="text1"/>
              </w:rPr>
            </w:pPr>
            <w:bookmarkStart w:id="2425" w:name="o113"/>
            <w:bookmarkEnd w:id="2425"/>
            <w:r w:rsidRPr="00286216">
              <w:rPr>
                <w:color w:val="000000" w:themeColor="text1"/>
              </w:rPr>
              <w:t>1. Держава гарантує захист майнових прав товарної біржі. Вилучення майна біржі не допускається, крім випадків, передбачених законом.</w:t>
            </w:r>
          </w:p>
        </w:tc>
        <w:tc>
          <w:tcPr>
            <w:tcW w:w="3686" w:type="dxa"/>
          </w:tcPr>
          <w:p w14:paraId="3701E9A7" w14:textId="77777777" w:rsidR="001A75A4" w:rsidRPr="00286216" w:rsidRDefault="001A75A4" w:rsidP="001A75A4">
            <w:pPr>
              <w:pStyle w:val="StyleProp"/>
              <w:rPr>
                <w:color w:val="000000" w:themeColor="text1"/>
                <w:szCs w:val="18"/>
              </w:rPr>
            </w:pPr>
          </w:p>
        </w:tc>
        <w:tc>
          <w:tcPr>
            <w:tcW w:w="1987" w:type="dxa"/>
          </w:tcPr>
          <w:p w14:paraId="5F6D7D0A" w14:textId="77777777" w:rsidR="001A75A4" w:rsidRPr="00286216" w:rsidRDefault="001A75A4" w:rsidP="001A75A4">
            <w:pPr>
              <w:pStyle w:val="StyleWisnow"/>
              <w:rPr>
                <w:color w:val="000000" w:themeColor="text1"/>
              </w:rPr>
            </w:pPr>
          </w:p>
        </w:tc>
        <w:tc>
          <w:tcPr>
            <w:tcW w:w="4818" w:type="dxa"/>
          </w:tcPr>
          <w:p w14:paraId="0662CC84" w14:textId="1CD51FB1" w:rsidR="001A75A4" w:rsidRPr="00286216" w:rsidRDefault="001A75A4" w:rsidP="001A75A4">
            <w:pPr>
              <w:pStyle w:val="StyleZakonu"/>
              <w:rPr>
                <w:color w:val="000000" w:themeColor="text1"/>
              </w:rPr>
            </w:pPr>
            <w:r w:rsidRPr="00286216">
              <w:rPr>
                <w:color w:val="000000" w:themeColor="text1"/>
              </w:rPr>
              <w:t>1. Держава гарантує захист майнових прав товарної біржі. Вилучення майна біржі не допускається, крім випадків, передбачених законом.</w:t>
            </w:r>
          </w:p>
        </w:tc>
      </w:tr>
      <w:tr w:rsidR="001A75A4" w:rsidRPr="00286216" w14:paraId="48605C2D" w14:textId="77777777" w:rsidTr="00091AA5">
        <w:tc>
          <w:tcPr>
            <w:tcW w:w="576" w:type="dxa"/>
          </w:tcPr>
          <w:p w14:paraId="71150039" w14:textId="77777777" w:rsidR="001A75A4" w:rsidRPr="00286216" w:rsidRDefault="001A75A4" w:rsidP="001A75A4">
            <w:pPr>
              <w:pStyle w:val="StyleWisnow"/>
              <w:rPr>
                <w:color w:val="000000" w:themeColor="text1"/>
              </w:rPr>
            </w:pPr>
            <w:bookmarkStart w:id="2426" w:name="n2558" w:colFirst="0" w:colLast="0"/>
            <w:bookmarkEnd w:id="2424"/>
            <w:r w:rsidRPr="00286216">
              <w:rPr>
                <w:color w:val="000000" w:themeColor="text1"/>
              </w:rPr>
              <w:t>2558.</w:t>
            </w:r>
          </w:p>
        </w:tc>
        <w:tc>
          <w:tcPr>
            <w:tcW w:w="4818" w:type="dxa"/>
          </w:tcPr>
          <w:p w14:paraId="4DB68B22" w14:textId="77777777" w:rsidR="001A75A4" w:rsidRPr="00286216" w:rsidRDefault="001A75A4" w:rsidP="001A75A4">
            <w:pPr>
              <w:pStyle w:val="StyleZakonu"/>
              <w:rPr>
                <w:color w:val="000000" w:themeColor="text1"/>
                <w:lang w:eastAsia="uk-UA"/>
              </w:rPr>
            </w:pPr>
            <w:bookmarkStart w:id="2427" w:name="o114"/>
            <w:bookmarkEnd w:id="2427"/>
            <w:r w:rsidRPr="00286216">
              <w:rPr>
                <w:color w:val="000000" w:themeColor="text1"/>
                <w:lang w:eastAsia="uk-UA"/>
              </w:rPr>
              <w:t xml:space="preserve">2. </w:t>
            </w:r>
            <w:r w:rsidRPr="00286216">
              <w:rPr>
                <w:color w:val="000000" w:themeColor="text1"/>
              </w:rPr>
              <w:t xml:space="preserve">Збитки, завдані товарній біржі та/або учасникам торгів (клієнтам учасників торгів) внаслідок порушення їх майнових прав, незаконного втручання в їх діяльність, відшкодовуються </w:t>
            </w:r>
            <w:r w:rsidRPr="00286216">
              <w:rPr>
                <w:color w:val="000000" w:themeColor="text1"/>
                <w:lang w:eastAsia="uk-UA"/>
              </w:rPr>
              <w:t>у встановленому законодавством порядку.</w:t>
            </w:r>
          </w:p>
        </w:tc>
        <w:tc>
          <w:tcPr>
            <w:tcW w:w="3686" w:type="dxa"/>
          </w:tcPr>
          <w:p w14:paraId="6F047E13" w14:textId="77777777" w:rsidR="001A75A4" w:rsidRPr="00286216" w:rsidRDefault="001A75A4" w:rsidP="001A75A4">
            <w:pPr>
              <w:pStyle w:val="StyleProp"/>
              <w:rPr>
                <w:color w:val="000000" w:themeColor="text1"/>
                <w:szCs w:val="18"/>
                <w:lang w:eastAsia="uk-UA"/>
              </w:rPr>
            </w:pPr>
          </w:p>
        </w:tc>
        <w:tc>
          <w:tcPr>
            <w:tcW w:w="1987" w:type="dxa"/>
          </w:tcPr>
          <w:p w14:paraId="1A65A03B" w14:textId="77777777" w:rsidR="001A75A4" w:rsidRPr="00286216" w:rsidRDefault="001A75A4" w:rsidP="001A75A4">
            <w:pPr>
              <w:pStyle w:val="StyleWisnow"/>
              <w:rPr>
                <w:color w:val="000000" w:themeColor="text1"/>
                <w:lang w:eastAsia="uk-UA"/>
              </w:rPr>
            </w:pPr>
          </w:p>
        </w:tc>
        <w:tc>
          <w:tcPr>
            <w:tcW w:w="4818" w:type="dxa"/>
          </w:tcPr>
          <w:p w14:paraId="47C0BEB1" w14:textId="6A4ECAFA" w:rsidR="001A75A4" w:rsidRPr="00286216" w:rsidRDefault="001A75A4" w:rsidP="001A75A4">
            <w:pPr>
              <w:pStyle w:val="StyleZakonu"/>
              <w:rPr>
                <w:color w:val="000000" w:themeColor="text1"/>
                <w:lang w:eastAsia="uk-UA"/>
              </w:rPr>
            </w:pPr>
            <w:r w:rsidRPr="00286216">
              <w:rPr>
                <w:color w:val="000000" w:themeColor="text1"/>
                <w:lang w:eastAsia="uk-UA"/>
              </w:rPr>
              <w:t xml:space="preserve">2. </w:t>
            </w:r>
            <w:r w:rsidRPr="00286216">
              <w:rPr>
                <w:color w:val="000000" w:themeColor="text1"/>
              </w:rPr>
              <w:t xml:space="preserve">Збитки, завдані товарній біржі та/або учасникам торгів (клієнтам учасників торгів) внаслідок порушення майнових прав, незаконного втручання в діяльність, відшкодовуються </w:t>
            </w:r>
            <w:r w:rsidRPr="00286216">
              <w:rPr>
                <w:color w:val="000000" w:themeColor="text1"/>
                <w:lang w:eastAsia="uk-UA"/>
              </w:rPr>
              <w:t>у встановленому законодавством порядку.</w:t>
            </w:r>
          </w:p>
        </w:tc>
      </w:tr>
      <w:tr w:rsidR="001A75A4" w:rsidRPr="00286216" w14:paraId="05BAD554" w14:textId="77777777" w:rsidTr="00091AA5">
        <w:tc>
          <w:tcPr>
            <w:tcW w:w="576" w:type="dxa"/>
          </w:tcPr>
          <w:p w14:paraId="33BCF5F4" w14:textId="77777777" w:rsidR="001A75A4" w:rsidRPr="00286216" w:rsidRDefault="001A75A4" w:rsidP="001A75A4">
            <w:pPr>
              <w:pStyle w:val="StyleWisnow"/>
              <w:rPr>
                <w:color w:val="000000" w:themeColor="text1"/>
              </w:rPr>
            </w:pPr>
            <w:bookmarkStart w:id="2428" w:name="n2559" w:colFirst="0" w:colLast="0"/>
            <w:bookmarkEnd w:id="2426"/>
            <w:r w:rsidRPr="00286216">
              <w:rPr>
                <w:color w:val="000000" w:themeColor="text1"/>
              </w:rPr>
              <w:t>2559.</w:t>
            </w:r>
          </w:p>
        </w:tc>
        <w:tc>
          <w:tcPr>
            <w:tcW w:w="4818" w:type="dxa"/>
          </w:tcPr>
          <w:p w14:paraId="73344FAE" w14:textId="77777777" w:rsidR="001A75A4" w:rsidRPr="00286216" w:rsidRDefault="001A75A4" w:rsidP="001A75A4">
            <w:pPr>
              <w:pStyle w:val="StyleZakonu"/>
              <w:spacing w:after="0"/>
              <w:ind w:firstLine="0"/>
              <w:jc w:val="center"/>
              <w:rPr>
                <w:color w:val="000000" w:themeColor="text1"/>
              </w:rPr>
            </w:pPr>
            <w:bookmarkStart w:id="2429" w:name="o159"/>
            <w:bookmarkEnd w:id="2429"/>
            <w:r w:rsidRPr="00286216">
              <w:rPr>
                <w:color w:val="000000" w:themeColor="text1"/>
              </w:rPr>
              <w:t>Розділ VI</w:t>
            </w:r>
          </w:p>
          <w:p w14:paraId="38E1AF56" w14:textId="77777777" w:rsidR="001A75A4" w:rsidRPr="00286216" w:rsidRDefault="001A75A4" w:rsidP="001A75A4">
            <w:pPr>
              <w:pStyle w:val="StyleZakonu"/>
              <w:ind w:firstLine="0"/>
              <w:jc w:val="center"/>
              <w:rPr>
                <w:color w:val="000000" w:themeColor="text1"/>
              </w:rPr>
            </w:pPr>
            <w:bookmarkStart w:id="2430" w:name="o160"/>
            <w:bookmarkEnd w:id="2430"/>
            <w:r w:rsidRPr="00286216">
              <w:rPr>
                <w:color w:val="000000" w:themeColor="text1"/>
              </w:rPr>
              <w:t>РЕГУЛЮВАННЯ ТОВАРНИХ БІРЖ</w:t>
            </w:r>
          </w:p>
        </w:tc>
        <w:tc>
          <w:tcPr>
            <w:tcW w:w="3686" w:type="dxa"/>
          </w:tcPr>
          <w:p w14:paraId="45104A16" w14:textId="77777777" w:rsidR="001A75A4" w:rsidRPr="00286216" w:rsidRDefault="001A75A4" w:rsidP="001A75A4">
            <w:pPr>
              <w:pStyle w:val="StyleProp"/>
              <w:rPr>
                <w:color w:val="000000" w:themeColor="text1"/>
                <w:szCs w:val="18"/>
              </w:rPr>
            </w:pPr>
          </w:p>
        </w:tc>
        <w:tc>
          <w:tcPr>
            <w:tcW w:w="1987" w:type="dxa"/>
          </w:tcPr>
          <w:p w14:paraId="1CF711A6" w14:textId="77777777" w:rsidR="001A75A4" w:rsidRPr="00286216" w:rsidRDefault="001A75A4" w:rsidP="001A75A4">
            <w:pPr>
              <w:pStyle w:val="StyleWisnow"/>
              <w:rPr>
                <w:color w:val="000000" w:themeColor="text1"/>
              </w:rPr>
            </w:pPr>
          </w:p>
        </w:tc>
        <w:tc>
          <w:tcPr>
            <w:tcW w:w="4818" w:type="dxa"/>
          </w:tcPr>
          <w:p w14:paraId="4ED2BD7A" w14:textId="77777777" w:rsidR="001A75A4" w:rsidRPr="00286216" w:rsidRDefault="001A75A4" w:rsidP="001A75A4">
            <w:pPr>
              <w:pStyle w:val="StyleZakonu"/>
              <w:spacing w:after="0"/>
              <w:ind w:firstLine="0"/>
              <w:jc w:val="center"/>
              <w:rPr>
                <w:color w:val="000000" w:themeColor="text1"/>
              </w:rPr>
            </w:pPr>
            <w:r w:rsidRPr="00286216">
              <w:rPr>
                <w:color w:val="000000" w:themeColor="text1"/>
              </w:rPr>
              <w:t>Розділ VI</w:t>
            </w:r>
          </w:p>
          <w:p w14:paraId="638523CA" w14:textId="05BBD9D9" w:rsidR="001A75A4" w:rsidRPr="00286216" w:rsidRDefault="001A75A4" w:rsidP="001A75A4">
            <w:pPr>
              <w:pStyle w:val="StyleZakonu"/>
              <w:ind w:firstLine="0"/>
              <w:jc w:val="center"/>
              <w:rPr>
                <w:color w:val="000000" w:themeColor="text1"/>
              </w:rPr>
            </w:pPr>
            <w:r w:rsidRPr="00286216">
              <w:rPr>
                <w:color w:val="000000" w:themeColor="text1"/>
              </w:rPr>
              <w:t>РЕГУЛЮВАННЯ ДІЯЛЬНОСТІ ТОВАРНИХ БІРЖ</w:t>
            </w:r>
          </w:p>
        </w:tc>
      </w:tr>
      <w:tr w:rsidR="001A75A4" w:rsidRPr="00286216" w14:paraId="7F109228" w14:textId="77777777" w:rsidTr="00091AA5">
        <w:tc>
          <w:tcPr>
            <w:tcW w:w="576" w:type="dxa"/>
          </w:tcPr>
          <w:p w14:paraId="6B969BEE" w14:textId="77777777" w:rsidR="001A75A4" w:rsidRPr="00286216" w:rsidRDefault="001A75A4" w:rsidP="001A75A4">
            <w:pPr>
              <w:pStyle w:val="StyleWisnow"/>
              <w:rPr>
                <w:color w:val="000000" w:themeColor="text1"/>
              </w:rPr>
            </w:pPr>
            <w:bookmarkStart w:id="2431" w:name="n2560" w:colFirst="0" w:colLast="0"/>
            <w:bookmarkEnd w:id="2428"/>
            <w:r w:rsidRPr="00286216">
              <w:rPr>
                <w:color w:val="000000" w:themeColor="text1"/>
              </w:rPr>
              <w:t>2560.</w:t>
            </w:r>
          </w:p>
        </w:tc>
        <w:tc>
          <w:tcPr>
            <w:tcW w:w="4818" w:type="dxa"/>
          </w:tcPr>
          <w:p w14:paraId="0BE8DDF1"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19. </w:t>
            </w:r>
            <w:r w:rsidRPr="00286216">
              <w:rPr>
                <w:color w:val="000000" w:themeColor="text1"/>
                <w:shd w:val="clear" w:color="auto" w:fill="FFFFFF"/>
              </w:rPr>
              <w:t>Державне регулювання товарної біржі</w:t>
            </w:r>
          </w:p>
        </w:tc>
        <w:tc>
          <w:tcPr>
            <w:tcW w:w="3686" w:type="dxa"/>
          </w:tcPr>
          <w:p w14:paraId="7F97305A" w14:textId="77777777" w:rsidR="001A75A4" w:rsidRPr="00286216" w:rsidRDefault="001A75A4" w:rsidP="001A75A4">
            <w:pPr>
              <w:pStyle w:val="StyleProp"/>
              <w:rPr>
                <w:color w:val="000000" w:themeColor="text1"/>
                <w:szCs w:val="18"/>
              </w:rPr>
            </w:pPr>
          </w:p>
        </w:tc>
        <w:tc>
          <w:tcPr>
            <w:tcW w:w="1987" w:type="dxa"/>
          </w:tcPr>
          <w:p w14:paraId="6626E9AC" w14:textId="77777777" w:rsidR="001A75A4" w:rsidRPr="00286216" w:rsidRDefault="001A75A4" w:rsidP="001A75A4">
            <w:pPr>
              <w:pStyle w:val="StyleWisnow"/>
              <w:rPr>
                <w:color w:val="000000" w:themeColor="text1"/>
              </w:rPr>
            </w:pPr>
          </w:p>
        </w:tc>
        <w:tc>
          <w:tcPr>
            <w:tcW w:w="4818" w:type="dxa"/>
          </w:tcPr>
          <w:p w14:paraId="7DDF6AC9" w14:textId="49C467A3"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19. </w:t>
            </w:r>
            <w:r w:rsidRPr="00286216">
              <w:rPr>
                <w:color w:val="000000" w:themeColor="text1"/>
                <w:shd w:val="clear" w:color="auto" w:fill="FFFFFF"/>
              </w:rPr>
              <w:t>Державне регулювання діяльності товарної біржі</w:t>
            </w:r>
          </w:p>
        </w:tc>
      </w:tr>
      <w:tr w:rsidR="001A75A4" w:rsidRPr="00286216" w14:paraId="64A63C82" w14:textId="77777777" w:rsidTr="00091AA5">
        <w:tc>
          <w:tcPr>
            <w:tcW w:w="576" w:type="dxa"/>
          </w:tcPr>
          <w:p w14:paraId="39C41386" w14:textId="77777777" w:rsidR="001A75A4" w:rsidRPr="00286216" w:rsidRDefault="001A75A4" w:rsidP="001A75A4">
            <w:pPr>
              <w:pStyle w:val="StyleWisnow"/>
              <w:rPr>
                <w:color w:val="000000" w:themeColor="text1"/>
              </w:rPr>
            </w:pPr>
            <w:bookmarkStart w:id="2432" w:name="n2561" w:colFirst="0" w:colLast="0"/>
            <w:bookmarkEnd w:id="2431"/>
            <w:r w:rsidRPr="00286216">
              <w:rPr>
                <w:color w:val="000000" w:themeColor="text1"/>
              </w:rPr>
              <w:t>2561.</w:t>
            </w:r>
          </w:p>
        </w:tc>
        <w:tc>
          <w:tcPr>
            <w:tcW w:w="4818" w:type="dxa"/>
          </w:tcPr>
          <w:p w14:paraId="322DD36C"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1. Державне регулювання товарних бірж здійснюється Національною комісією з цінних паперів та фондового ринку.</w:t>
            </w:r>
          </w:p>
        </w:tc>
        <w:tc>
          <w:tcPr>
            <w:tcW w:w="3686" w:type="dxa"/>
          </w:tcPr>
          <w:p w14:paraId="2314A49D" w14:textId="5EA139B0"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1196</w:t>
            </w:r>
            <w:r w:rsidRPr="00286216">
              <w:rPr>
                <w:color w:val="000000" w:themeColor="text1"/>
                <w:spacing w:val="-2"/>
              </w:rPr>
              <w:fldChar w:fldCharType="end"/>
            </w:r>
            <w:r w:rsidRPr="00286216">
              <w:rPr>
                <w:color w:val="000000" w:themeColor="text1"/>
                <w:spacing w:val="-2"/>
              </w:rPr>
              <w:t>-Н.д.Шахов С.В. (Реєстр.картка №114)</w:t>
            </w:r>
          </w:p>
          <w:p w14:paraId="69FBCE5C" w14:textId="77777777" w:rsidR="001A75A4" w:rsidRPr="00286216" w:rsidRDefault="001A75A4" w:rsidP="001A75A4">
            <w:pPr>
              <w:pStyle w:val="StyleProp"/>
              <w:rPr>
                <w:color w:val="000000" w:themeColor="text1"/>
                <w:szCs w:val="18"/>
              </w:rPr>
            </w:pPr>
            <w:r w:rsidRPr="00286216">
              <w:rPr>
                <w:color w:val="000000" w:themeColor="text1"/>
                <w:szCs w:val="18"/>
              </w:rPr>
              <w:t>Частину 1 ст. 19 викласти у такій редакції:</w:t>
            </w:r>
          </w:p>
          <w:p w14:paraId="7C288984" w14:textId="77777777" w:rsidR="001A75A4" w:rsidRPr="00286216" w:rsidRDefault="001A75A4" w:rsidP="001A75A4">
            <w:pPr>
              <w:pStyle w:val="StyleProp"/>
              <w:spacing w:line="180" w:lineRule="exact"/>
              <w:rPr>
                <w:color w:val="000000" w:themeColor="text1"/>
                <w:spacing w:val="-2"/>
                <w:szCs w:val="18"/>
              </w:rPr>
            </w:pPr>
            <w:r w:rsidRPr="00286216">
              <w:rPr>
                <w:color w:val="000000" w:themeColor="text1"/>
                <w:spacing w:val="-2"/>
                <w:szCs w:val="18"/>
              </w:rPr>
              <w:t>"1. Державне регулювання товарних бірж здійснюється регуляторами відповідних ринків відповідно до Закону України "Про ринки капіталу та організовані товарні ринки".</w:t>
            </w:r>
          </w:p>
        </w:tc>
        <w:tc>
          <w:tcPr>
            <w:tcW w:w="1987" w:type="dxa"/>
          </w:tcPr>
          <w:p w14:paraId="5147646D" w14:textId="77777777" w:rsidR="001A75A4" w:rsidRPr="00286216" w:rsidRDefault="001A75A4" w:rsidP="001A75A4">
            <w:pPr>
              <w:pStyle w:val="StyleWisnow"/>
              <w:rPr>
                <w:color w:val="000000" w:themeColor="text1"/>
                <w:lang w:eastAsia="uk-UA"/>
              </w:rPr>
            </w:pPr>
            <w:r w:rsidRPr="00286216">
              <w:rPr>
                <w:color w:val="000000" w:themeColor="text1"/>
                <w:lang w:eastAsia="uk-UA"/>
              </w:rPr>
              <w:t>Відхилено</w:t>
            </w:r>
          </w:p>
          <w:p w14:paraId="74CEFBD3" w14:textId="4604F477" w:rsidR="001A75A4" w:rsidRPr="00286216" w:rsidRDefault="001A75A4" w:rsidP="001A75A4">
            <w:pPr>
              <w:pStyle w:val="StyleWisnow"/>
              <w:rPr>
                <w:color w:val="000000" w:themeColor="text1"/>
              </w:rPr>
            </w:pPr>
            <w:r w:rsidRPr="00286216">
              <w:rPr>
                <w:color w:val="000000" w:themeColor="text1"/>
              </w:rPr>
              <w:t xml:space="preserve">НКЦПФР - </w:t>
            </w:r>
            <w:r w:rsidRPr="00286216">
              <w:rPr>
                <w:color w:val="000000" w:themeColor="text1"/>
                <w:lang w:eastAsia="uk-UA"/>
              </w:rPr>
              <w:t>регулятор</w:t>
            </w:r>
          </w:p>
        </w:tc>
        <w:tc>
          <w:tcPr>
            <w:tcW w:w="4818" w:type="dxa"/>
          </w:tcPr>
          <w:p w14:paraId="439FCDC8" w14:textId="42278E7E" w:rsidR="001A75A4" w:rsidRPr="00286216" w:rsidRDefault="001A75A4" w:rsidP="001A75A4">
            <w:pPr>
              <w:pStyle w:val="StyleZakonu"/>
              <w:rPr>
                <w:iCs/>
                <w:color w:val="000000" w:themeColor="text1"/>
                <w:lang w:eastAsia="uk-UA"/>
              </w:rPr>
            </w:pPr>
            <w:r w:rsidRPr="00286216">
              <w:rPr>
                <w:iCs/>
                <w:color w:val="000000" w:themeColor="text1"/>
                <w:lang w:eastAsia="uk-UA"/>
              </w:rPr>
              <w:t>1. Державне регулювання діяльності товарних бірж здійснюється Національною комісією з цінних паперів та фондового ринку.</w:t>
            </w:r>
          </w:p>
        </w:tc>
      </w:tr>
      <w:tr w:rsidR="001A75A4" w:rsidRPr="00286216" w14:paraId="622C78C1" w14:textId="77777777" w:rsidTr="00091AA5">
        <w:tc>
          <w:tcPr>
            <w:tcW w:w="576" w:type="dxa"/>
          </w:tcPr>
          <w:p w14:paraId="586C32AC" w14:textId="77777777" w:rsidR="001A75A4" w:rsidRPr="00286216" w:rsidRDefault="001A75A4" w:rsidP="001A75A4">
            <w:pPr>
              <w:pStyle w:val="StyleWisnow"/>
              <w:rPr>
                <w:color w:val="000000" w:themeColor="text1"/>
              </w:rPr>
            </w:pPr>
            <w:bookmarkStart w:id="2433" w:name="n2562" w:colFirst="0" w:colLast="0"/>
            <w:bookmarkEnd w:id="2432"/>
            <w:r w:rsidRPr="00286216">
              <w:rPr>
                <w:color w:val="000000" w:themeColor="text1"/>
              </w:rPr>
              <w:t>2562.</w:t>
            </w:r>
          </w:p>
        </w:tc>
        <w:tc>
          <w:tcPr>
            <w:tcW w:w="4818" w:type="dxa"/>
          </w:tcPr>
          <w:p w14:paraId="49E0DC75"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2. Державне регулювання товарних бірж здійснюється шляхом:</w:t>
            </w:r>
          </w:p>
        </w:tc>
        <w:tc>
          <w:tcPr>
            <w:tcW w:w="3686" w:type="dxa"/>
          </w:tcPr>
          <w:p w14:paraId="52764487" w14:textId="77777777" w:rsidR="001A75A4" w:rsidRPr="00286216" w:rsidRDefault="001A75A4" w:rsidP="001A75A4">
            <w:pPr>
              <w:pStyle w:val="StyleProp"/>
              <w:rPr>
                <w:iCs/>
                <w:color w:val="000000" w:themeColor="text1"/>
                <w:szCs w:val="18"/>
                <w:lang w:eastAsia="uk-UA"/>
              </w:rPr>
            </w:pPr>
          </w:p>
        </w:tc>
        <w:tc>
          <w:tcPr>
            <w:tcW w:w="1987" w:type="dxa"/>
          </w:tcPr>
          <w:p w14:paraId="1E2FC896" w14:textId="77777777" w:rsidR="001A75A4" w:rsidRPr="00286216" w:rsidRDefault="001A75A4" w:rsidP="001A75A4">
            <w:pPr>
              <w:pStyle w:val="StyleWisnow"/>
              <w:rPr>
                <w:iCs/>
                <w:color w:val="000000" w:themeColor="text1"/>
                <w:lang w:eastAsia="uk-UA"/>
              </w:rPr>
            </w:pPr>
          </w:p>
        </w:tc>
        <w:tc>
          <w:tcPr>
            <w:tcW w:w="4818" w:type="dxa"/>
          </w:tcPr>
          <w:p w14:paraId="2A2ED84B" w14:textId="446B4D86" w:rsidR="001A75A4" w:rsidRPr="00286216" w:rsidRDefault="001A75A4" w:rsidP="001A75A4">
            <w:pPr>
              <w:pStyle w:val="StyleZakonu"/>
              <w:rPr>
                <w:iCs/>
                <w:color w:val="000000" w:themeColor="text1"/>
                <w:lang w:eastAsia="uk-UA"/>
              </w:rPr>
            </w:pPr>
            <w:r w:rsidRPr="00286216">
              <w:rPr>
                <w:iCs/>
                <w:color w:val="000000" w:themeColor="text1"/>
                <w:lang w:eastAsia="uk-UA"/>
              </w:rPr>
              <w:t>2. Державне регулювання діяльності товарних бірж здійснюється шляхом:</w:t>
            </w:r>
          </w:p>
        </w:tc>
      </w:tr>
      <w:tr w:rsidR="001A75A4" w:rsidRPr="00286216" w14:paraId="0EB5335E" w14:textId="77777777" w:rsidTr="00091AA5">
        <w:tc>
          <w:tcPr>
            <w:tcW w:w="576" w:type="dxa"/>
          </w:tcPr>
          <w:p w14:paraId="5F217734" w14:textId="77777777" w:rsidR="001A75A4" w:rsidRPr="00286216" w:rsidRDefault="001A75A4" w:rsidP="001A75A4">
            <w:pPr>
              <w:pStyle w:val="StyleWisnow"/>
              <w:rPr>
                <w:color w:val="000000" w:themeColor="text1"/>
              </w:rPr>
            </w:pPr>
            <w:bookmarkStart w:id="2434" w:name="n2563" w:colFirst="0" w:colLast="0"/>
            <w:bookmarkEnd w:id="2433"/>
            <w:r w:rsidRPr="00286216">
              <w:rPr>
                <w:color w:val="000000" w:themeColor="text1"/>
              </w:rPr>
              <w:t>2563.</w:t>
            </w:r>
          </w:p>
        </w:tc>
        <w:tc>
          <w:tcPr>
            <w:tcW w:w="4818" w:type="dxa"/>
          </w:tcPr>
          <w:p w14:paraId="21E6DFBB"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1) розроблення нормативно-правових актів щодо товарних бірж;</w:t>
            </w:r>
          </w:p>
        </w:tc>
        <w:tc>
          <w:tcPr>
            <w:tcW w:w="3686" w:type="dxa"/>
          </w:tcPr>
          <w:p w14:paraId="3121DA9B" w14:textId="77777777" w:rsidR="001A75A4" w:rsidRPr="00286216" w:rsidRDefault="001A75A4" w:rsidP="001A75A4">
            <w:pPr>
              <w:pStyle w:val="StyleProp"/>
              <w:rPr>
                <w:iCs/>
                <w:color w:val="000000" w:themeColor="text1"/>
                <w:szCs w:val="18"/>
                <w:lang w:eastAsia="uk-UA"/>
              </w:rPr>
            </w:pPr>
          </w:p>
        </w:tc>
        <w:tc>
          <w:tcPr>
            <w:tcW w:w="1987" w:type="dxa"/>
          </w:tcPr>
          <w:p w14:paraId="7ACC45B2" w14:textId="77777777" w:rsidR="001A75A4" w:rsidRPr="00286216" w:rsidRDefault="001A75A4" w:rsidP="001A75A4">
            <w:pPr>
              <w:pStyle w:val="StyleWisnow"/>
              <w:rPr>
                <w:iCs/>
                <w:color w:val="000000" w:themeColor="text1"/>
                <w:lang w:eastAsia="uk-UA"/>
              </w:rPr>
            </w:pPr>
          </w:p>
        </w:tc>
        <w:tc>
          <w:tcPr>
            <w:tcW w:w="4818" w:type="dxa"/>
          </w:tcPr>
          <w:p w14:paraId="099AB242" w14:textId="3BF12896" w:rsidR="001A75A4" w:rsidRPr="00286216" w:rsidRDefault="001A75A4" w:rsidP="001A75A4">
            <w:pPr>
              <w:pStyle w:val="StyleZakonu"/>
              <w:rPr>
                <w:iCs/>
                <w:color w:val="000000" w:themeColor="text1"/>
                <w:lang w:eastAsia="uk-UA"/>
              </w:rPr>
            </w:pPr>
            <w:r w:rsidRPr="00286216">
              <w:rPr>
                <w:iCs/>
                <w:color w:val="000000" w:themeColor="text1"/>
                <w:lang w:eastAsia="uk-UA"/>
              </w:rPr>
              <w:t>1) розроблення нормативно-правових актів щодо товарних бірж;</w:t>
            </w:r>
          </w:p>
        </w:tc>
      </w:tr>
      <w:tr w:rsidR="001A75A4" w:rsidRPr="00286216" w14:paraId="67AC6116" w14:textId="77777777" w:rsidTr="00091AA5">
        <w:tc>
          <w:tcPr>
            <w:tcW w:w="576" w:type="dxa"/>
          </w:tcPr>
          <w:p w14:paraId="58806920" w14:textId="77777777" w:rsidR="001A75A4" w:rsidRPr="00286216" w:rsidRDefault="001A75A4" w:rsidP="001A75A4">
            <w:pPr>
              <w:pStyle w:val="StyleWisnow"/>
              <w:rPr>
                <w:color w:val="000000" w:themeColor="text1"/>
              </w:rPr>
            </w:pPr>
            <w:bookmarkStart w:id="2435" w:name="n2564" w:colFirst="0" w:colLast="0"/>
            <w:bookmarkEnd w:id="2434"/>
            <w:r w:rsidRPr="00286216">
              <w:rPr>
                <w:color w:val="000000" w:themeColor="text1"/>
              </w:rPr>
              <w:t>2564.</w:t>
            </w:r>
          </w:p>
        </w:tc>
        <w:tc>
          <w:tcPr>
            <w:tcW w:w="4818" w:type="dxa"/>
          </w:tcPr>
          <w:p w14:paraId="514DD182"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2) ліцензування товарних бірж щодо організації торгівлі продукцією на товарних біржах;</w:t>
            </w:r>
          </w:p>
        </w:tc>
        <w:tc>
          <w:tcPr>
            <w:tcW w:w="3686" w:type="dxa"/>
          </w:tcPr>
          <w:p w14:paraId="316B3CBF" w14:textId="280EFCFF"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1197</w:t>
            </w:r>
            <w:r w:rsidRPr="00286216">
              <w:rPr>
                <w:color w:val="000000" w:themeColor="text1"/>
                <w:spacing w:val="-2"/>
              </w:rPr>
              <w:fldChar w:fldCharType="end"/>
            </w:r>
            <w:r w:rsidRPr="00286216">
              <w:rPr>
                <w:color w:val="000000" w:themeColor="text1"/>
                <w:spacing w:val="-2"/>
              </w:rPr>
              <w:t>-Н.д.Шахов С.В. (Реєстр.картка №114)</w:t>
            </w:r>
          </w:p>
          <w:p w14:paraId="7A064107" w14:textId="77777777" w:rsidR="001A75A4" w:rsidRPr="00286216" w:rsidRDefault="001A75A4" w:rsidP="00BB35BA">
            <w:pPr>
              <w:pStyle w:val="StyleProp"/>
              <w:spacing w:line="180" w:lineRule="exact"/>
              <w:rPr>
                <w:color w:val="000000" w:themeColor="text1"/>
                <w:szCs w:val="18"/>
              </w:rPr>
            </w:pPr>
            <w:r w:rsidRPr="00286216">
              <w:rPr>
                <w:color w:val="000000" w:themeColor="text1"/>
                <w:szCs w:val="18"/>
              </w:rPr>
              <w:t>П. 2 ч. 1 ст. 19 викласти у такій редакції:</w:t>
            </w:r>
          </w:p>
          <w:p w14:paraId="5CF99AFC" w14:textId="77777777" w:rsidR="001A75A4" w:rsidRPr="00286216" w:rsidRDefault="001A75A4" w:rsidP="00BB35BA">
            <w:pPr>
              <w:pStyle w:val="StyleProp"/>
              <w:spacing w:line="180" w:lineRule="exact"/>
              <w:rPr>
                <w:iCs/>
                <w:color w:val="000000" w:themeColor="text1"/>
                <w:szCs w:val="18"/>
                <w:lang w:eastAsia="uk-UA"/>
              </w:rPr>
            </w:pPr>
            <w:r w:rsidRPr="00286216">
              <w:rPr>
                <w:iCs/>
                <w:color w:val="000000" w:themeColor="text1"/>
                <w:szCs w:val="18"/>
                <w:lang w:eastAsia="uk-UA"/>
              </w:rPr>
              <w:t>"2) ліцензування або надання інших дозвільних документів чи визначення інших підстав для товарних бірж щодо організації торгівлі продукцією на товарних біржах, у тому числі, на умовах спот та за поставними товарними деривативними контрактами".</w:t>
            </w:r>
          </w:p>
        </w:tc>
        <w:tc>
          <w:tcPr>
            <w:tcW w:w="1987" w:type="dxa"/>
          </w:tcPr>
          <w:p w14:paraId="1C13A9A0" w14:textId="77777777" w:rsidR="001A75A4" w:rsidRPr="00286216" w:rsidRDefault="001A75A4" w:rsidP="001A75A4">
            <w:pPr>
              <w:pStyle w:val="StyleWisnow"/>
              <w:rPr>
                <w:color w:val="000000" w:themeColor="text1"/>
              </w:rPr>
            </w:pPr>
            <w:r w:rsidRPr="00286216">
              <w:rPr>
                <w:color w:val="000000" w:themeColor="text1"/>
              </w:rPr>
              <w:t>Відхилено</w:t>
            </w:r>
          </w:p>
          <w:p w14:paraId="2C841A1F" w14:textId="79255929" w:rsidR="001A75A4" w:rsidRPr="00286216" w:rsidRDefault="001A75A4" w:rsidP="001A75A4">
            <w:pPr>
              <w:pStyle w:val="StyleWisnow"/>
              <w:rPr>
                <w:iCs/>
                <w:color w:val="000000" w:themeColor="text1"/>
                <w:lang w:eastAsia="uk-UA"/>
              </w:rPr>
            </w:pPr>
            <w:r w:rsidRPr="00286216">
              <w:rPr>
                <w:color w:val="000000" w:themeColor="text1"/>
              </w:rPr>
              <w:t>дозвільних документів, окрім ліцензій, не передбачено законом</w:t>
            </w:r>
          </w:p>
        </w:tc>
        <w:tc>
          <w:tcPr>
            <w:tcW w:w="4818" w:type="dxa"/>
          </w:tcPr>
          <w:p w14:paraId="62EAE051" w14:textId="299AAB4B" w:rsidR="001A75A4" w:rsidRPr="00286216" w:rsidRDefault="001A75A4" w:rsidP="001A75A4">
            <w:pPr>
              <w:pStyle w:val="StyleZakonu"/>
              <w:rPr>
                <w:iCs/>
                <w:color w:val="000000" w:themeColor="text1"/>
                <w:lang w:eastAsia="uk-UA"/>
              </w:rPr>
            </w:pPr>
            <w:r w:rsidRPr="00286216">
              <w:rPr>
                <w:iCs/>
                <w:color w:val="000000" w:themeColor="text1"/>
                <w:lang w:eastAsia="uk-UA"/>
              </w:rPr>
              <w:t>2) ліцензування товарних бірж щодо організації торгівлі продукцією на товарних біржах;</w:t>
            </w:r>
          </w:p>
        </w:tc>
      </w:tr>
      <w:tr w:rsidR="001A75A4" w:rsidRPr="00286216" w14:paraId="00E5ABC5" w14:textId="77777777" w:rsidTr="00091AA5">
        <w:tc>
          <w:tcPr>
            <w:tcW w:w="576" w:type="dxa"/>
          </w:tcPr>
          <w:p w14:paraId="5B1564C7" w14:textId="77777777" w:rsidR="001A75A4" w:rsidRPr="00286216" w:rsidRDefault="001A75A4" w:rsidP="001A75A4">
            <w:pPr>
              <w:pStyle w:val="StyleWisnow"/>
              <w:rPr>
                <w:color w:val="000000" w:themeColor="text1"/>
              </w:rPr>
            </w:pPr>
            <w:bookmarkStart w:id="2436" w:name="n2565" w:colFirst="0" w:colLast="0"/>
            <w:bookmarkEnd w:id="2435"/>
            <w:r w:rsidRPr="00286216">
              <w:rPr>
                <w:color w:val="000000" w:themeColor="text1"/>
              </w:rPr>
              <w:t>2565.</w:t>
            </w:r>
          </w:p>
        </w:tc>
        <w:tc>
          <w:tcPr>
            <w:tcW w:w="4818" w:type="dxa"/>
          </w:tcPr>
          <w:p w14:paraId="5EC813B0"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3) реєстрації правил товарної біржі та змін до них;</w:t>
            </w:r>
          </w:p>
        </w:tc>
        <w:tc>
          <w:tcPr>
            <w:tcW w:w="3686" w:type="dxa"/>
          </w:tcPr>
          <w:p w14:paraId="3CA82845" w14:textId="77777777" w:rsidR="001A75A4" w:rsidRPr="00286216" w:rsidRDefault="001A75A4" w:rsidP="001A75A4">
            <w:pPr>
              <w:pStyle w:val="StyleProp"/>
              <w:rPr>
                <w:iCs/>
                <w:color w:val="000000" w:themeColor="text1"/>
                <w:szCs w:val="18"/>
                <w:lang w:eastAsia="uk-UA"/>
              </w:rPr>
            </w:pPr>
          </w:p>
        </w:tc>
        <w:tc>
          <w:tcPr>
            <w:tcW w:w="1987" w:type="dxa"/>
          </w:tcPr>
          <w:p w14:paraId="1A1DB709" w14:textId="77777777" w:rsidR="001A75A4" w:rsidRPr="00286216" w:rsidRDefault="001A75A4" w:rsidP="001A75A4">
            <w:pPr>
              <w:pStyle w:val="StyleWisnow"/>
              <w:rPr>
                <w:iCs/>
                <w:color w:val="000000" w:themeColor="text1"/>
                <w:lang w:eastAsia="uk-UA"/>
              </w:rPr>
            </w:pPr>
          </w:p>
        </w:tc>
        <w:tc>
          <w:tcPr>
            <w:tcW w:w="4818" w:type="dxa"/>
          </w:tcPr>
          <w:p w14:paraId="01039131" w14:textId="71F5E92F" w:rsidR="001A75A4" w:rsidRPr="00286216" w:rsidRDefault="001A75A4" w:rsidP="001A75A4">
            <w:pPr>
              <w:pStyle w:val="StyleZakonu"/>
              <w:rPr>
                <w:iCs/>
                <w:color w:val="000000" w:themeColor="text1"/>
                <w:lang w:eastAsia="uk-UA"/>
              </w:rPr>
            </w:pPr>
            <w:r w:rsidRPr="00286216">
              <w:rPr>
                <w:iCs/>
                <w:color w:val="000000" w:themeColor="text1"/>
                <w:lang w:eastAsia="uk-UA"/>
              </w:rPr>
              <w:t>3) реєстрації правил товарної біржі та змін до них;</w:t>
            </w:r>
          </w:p>
        </w:tc>
      </w:tr>
      <w:tr w:rsidR="001A75A4" w:rsidRPr="00286216" w14:paraId="599C51B6" w14:textId="77777777" w:rsidTr="00091AA5">
        <w:tc>
          <w:tcPr>
            <w:tcW w:w="576" w:type="dxa"/>
          </w:tcPr>
          <w:p w14:paraId="05FB4311" w14:textId="77777777" w:rsidR="001A75A4" w:rsidRPr="00286216" w:rsidRDefault="001A75A4" w:rsidP="001A75A4">
            <w:pPr>
              <w:pStyle w:val="StyleWisnow"/>
              <w:rPr>
                <w:color w:val="000000" w:themeColor="text1"/>
              </w:rPr>
            </w:pPr>
            <w:bookmarkStart w:id="2437" w:name="n2566" w:colFirst="0" w:colLast="0"/>
            <w:bookmarkEnd w:id="2436"/>
            <w:r w:rsidRPr="00286216">
              <w:rPr>
                <w:color w:val="000000" w:themeColor="text1"/>
              </w:rPr>
              <w:t>2566.</w:t>
            </w:r>
          </w:p>
        </w:tc>
        <w:tc>
          <w:tcPr>
            <w:tcW w:w="4818" w:type="dxa"/>
          </w:tcPr>
          <w:p w14:paraId="13489F62"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4) установлення для товарних бірж вимог до регулятивного капіталу та інших показників, що обмежують ризики їх діяльності;</w:t>
            </w:r>
          </w:p>
        </w:tc>
        <w:tc>
          <w:tcPr>
            <w:tcW w:w="3686" w:type="dxa"/>
          </w:tcPr>
          <w:p w14:paraId="64172047" w14:textId="186E8AE9" w:rsidR="001A75A4" w:rsidRPr="00286216" w:rsidRDefault="001A75A4" w:rsidP="001A75A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1198</w:t>
            </w:r>
            <w:r w:rsidRPr="00286216">
              <w:rPr>
                <w:color w:val="000000" w:themeColor="text1"/>
                <w:spacing w:val="-2"/>
              </w:rPr>
              <w:fldChar w:fldCharType="end"/>
            </w:r>
            <w:r w:rsidRPr="00286216">
              <w:rPr>
                <w:color w:val="000000" w:themeColor="text1"/>
                <w:spacing w:val="-2"/>
              </w:rPr>
              <w:t>-Н.д.Шахов С.В. (Реєстр.картка №114)</w:t>
            </w:r>
          </w:p>
          <w:p w14:paraId="663E34EF" w14:textId="77777777" w:rsidR="001A75A4" w:rsidRPr="00286216" w:rsidRDefault="001A75A4" w:rsidP="001A75A4">
            <w:pPr>
              <w:pStyle w:val="StyleProp"/>
              <w:spacing w:line="180" w:lineRule="exact"/>
              <w:rPr>
                <w:iCs/>
                <w:color w:val="000000" w:themeColor="text1"/>
                <w:szCs w:val="18"/>
                <w:lang w:eastAsia="uk-UA"/>
              </w:rPr>
            </w:pPr>
            <w:r w:rsidRPr="00286216">
              <w:rPr>
                <w:color w:val="000000" w:themeColor="text1"/>
              </w:rPr>
              <w:t>П. 4 ч. 1 ст. 19 після слів "інших показників" доповнити словами "встановлених цим Законом".</w:t>
            </w:r>
          </w:p>
        </w:tc>
        <w:tc>
          <w:tcPr>
            <w:tcW w:w="1987" w:type="dxa"/>
          </w:tcPr>
          <w:p w14:paraId="7B81994D" w14:textId="77777777" w:rsidR="001A75A4" w:rsidRPr="00286216" w:rsidRDefault="001A75A4" w:rsidP="001A75A4">
            <w:pPr>
              <w:pStyle w:val="StyleWisnow"/>
              <w:rPr>
                <w:iCs/>
                <w:color w:val="000000" w:themeColor="text1"/>
                <w:lang w:eastAsia="uk-UA"/>
              </w:rPr>
            </w:pPr>
            <w:r w:rsidRPr="00286216">
              <w:rPr>
                <w:iCs/>
                <w:color w:val="000000" w:themeColor="text1"/>
                <w:lang w:eastAsia="uk-UA"/>
              </w:rPr>
              <w:t>Відхилено</w:t>
            </w:r>
          </w:p>
          <w:p w14:paraId="35E30F11" w14:textId="77777777" w:rsidR="001A75A4" w:rsidRPr="00286216" w:rsidRDefault="001A75A4" w:rsidP="001A75A4">
            <w:pPr>
              <w:pStyle w:val="StyleWisnow"/>
              <w:rPr>
                <w:iCs/>
                <w:color w:val="000000" w:themeColor="text1"/>
                <w:lang w:eastAsia="uk-UA"/>
              </w:rPr>
            </w:pPr>
            <w:r w:rsidRPr="00286216">
              <w:rPr>
                <w:color w:val="000000" w:themeColor="text1"/>
              </w:rPr>
              <w:t>регулятивний капітал – не єдиний показник, що обмежує ризики діяльності</w:t>
            </w:r>
          </w:p>
        </w:tc>
        <w:tc>
          <w:tcPr>
            <w:tcW w:w="4818" w:type="dxa"/>
          </w:tcPr>
          <w:p w14:paraId="62C5CED3" w14:textId="47F532BB" w:rsidR="001A75A4" w:rsidRPr="00286216" w:rsidRDefault="001A75A4" w:rsidP="001A75A4">
            <w:pPr>
              <w:pStyle w:val="StyleZakonu"/>
              <w:rPr>
                <w:iCs/>
                <w:color w:val="000000" w:themeColor="text1"/>
                <w:lang w:eastAsia="uk-UA"/>
              </w:rPr>
            </w:pPr>
            <w:r w:rsidRPr="00286216">
              <w:rPr>
                <w:iCs/>
                <w:color w:val="000000" w:themeColor="text1"/>
                <w:lang w:eastAsia="uk-UA"/>
              </w:rPr>
              <w:t>4) установлення для товарних бірж вимог до регулятивного капіталу та інших показників, що обмежують ризики їх діяльності;</w:t>
            </w:r>
          </w:p>
        </w:tc>
      </w:tr>
      <w:tr w:rsidR="001A75A4" w:rsidRPr="00286216" w14:paraId="47CF5931" w14:textId="77777777" w:rsidTr="00091AA5">
        <w:tc>
          <w:tcPr>
            <w:tcW w:w="576" w:type="dxa"/>
          </w:tcPr>
          <w:p w14:paraId="5CF7A3E2" w14:textId="77777777" w:rsidR="001A75A4" w:rsidRPr="00286216" w:rsidRDefault="001A75A4" w:rsidP="001A75A4">
            <w:pPr>
              <w:pStyle w:val="StyleWisnow"/>
              <w:rPr>
                <w:color w:val="000000" w:themeColor="text1"/>
              </w:rPr>
            </w:pPr>
            <w:bookmarkStart w:id="2438" w:name="n2567" w:colFirst="0" w:colLast="0"/>
            <w:bookmarkEnd w:id="2437"/>
            <w:r w:rsidRPr="00286216">
              <w:rPr>
                <w:color w:val="000000" w:themeColor="text1"/>
              </w:rPr>
              <w:t>2567.</w:t>
            </w:r>
          </w:p>
        </w:tc>
        <w:tc>
          <w:tcPr>
            <w:tcW w:w="4818" w:type="dxa"/>
          </w:tcPr>
          <w:p w14:paraId="2356FD1B"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 xml:space="preserve">5) визначення вимог та порядку звітування та </w:t>
            </w:r>
            <w:r w:rsidRPr="00286216">
              <w:rPr>
                <w:iCs/>
                <w:color w:val="000000" w:themeColor="text1"/>
                <w:lang w:eastAsia="uk-UA"/>
              </w:rPr>
              <w:lastRenderedPageBreak/>
              <w:t>розкриття інформації товарною біржою;</w:t>
            </w:r>
          </w:p>
        </w:tc>
        <w:tc>
          <w:tcPr>
            <w:tcW w:w="3686" w:type="dxa"/>
          </w:tcPr>
          <w:p w14:paraId="5B38ACC7" w14:textId="77777777" w:rsidR="001A75A4" w:rsidRPr="00286216" w:rsidRDefault="001A75A4" w:rsidP="001A75A4">
            <w:pPr>
              <w:pStyle w:val="StyleProp"/>
              <w:rPr>
                <w:iCs/>
                <w:color w:val="000000" w:themeColor="text1"/>
                <w:szCs w:val="18"/>
                <w:lang w:eastAsia="uk-UA"/>
              </w:rPr>
            </w:pPr>
          </w:p>
        </w:tc>
        <w:tc>
          <w:tcPr>
            <w:tcW w:w="1987" w:type="dxa"/>
          </w:tcPr>
          <w:p w14:paraId="2849426F" w14:textId="77777777" w:rsidR="001A75A4" w:rsidRPr="00286216" w:rsidRDefault="001A75A4" w:rsidP="001A75A4">
            <w:pPr>
              <w:pStyle w:val="StyleWisnow"/>
              <w:rPr>
                <w:iCs/>
                <w:color w:val="000000" w:themeColor="text1"/>
                <w:lang w:eastAsia="uk-UA"/>
              </w:rPr>
            </w:pPr>
          </w:p>
        </w:tc>
        <w:tc>
          <w:tcPr>
            <w:tcW w:w="4818" w:type="dxa"/>
          </w:tcPr>
          <w:p w14:paraId="1D8664A2" w14:textId="5E46B132" w:rsidR="001A75A4" w:rsidRPr="00286216" w:rsidRDefault="001A75A4" w:rsidP="001A75A4">
            <w:pPr>
              <w:pStyle w:val="StyleZakonu"/>
              <w:rPr>
                <w:iCs/>
                <w:color w:val="000000" w:themeColor="text1"/>
                <w:lang w:eastAsia="uk-UA"/>
              </w:rPr>
            </w:pPr>
            <w:r w:rsidRPr="00286216">
              <w:rPr>
                <w:iCs/>
                <w:color w:val="000000" w:themeColor="text1"/>
                <w:lang w:eastAsia="uk-UA"/>
              </w:rPr>
              <w:t xml:space="preserve">5) визначення вимог до порядку звітування та </w:t>
            </w:r>
            <w:r w:rsidRPr="00286216">
              <w:rPr>
                <w:iCs/>
                <w:color w:val="000000" w:themeColor="text1"/>
                <w:lang w:eastAsia="uk-UA"/>
              </w:rPr>
              <w:lastRenderedPageBreak/>
              <w:t>розкриття інформації товарною біржею;</w:t>
            </w:r>
          </w:p>
        </w:tc>
      </w:tr>
      <w:tr w:rsidR="001A75A4" w:rsidRPr="00286216" w14:paraId="7DB3653F" w14:textId="77777777" w:rsidTr="00091AA5">
        <w:tc>
          <w:tcPr>
            <w:tcW w:w="576" w:type="dxa"/>
          </w:tcPr>
          <w:p w14:paraId="789D8B6F" w14:textId="77777777" w:rsidR="001A75A4" w:rsidRPr="00286216" w:rsidRDefault="001A75A4" w:rsidP="001A75A4">
            <w:pPr>
              <w:pStyle w:val="StyleWisnow"/>
              <w:rPr>
                <w:color w:val="000000" w:themeColor="text1"/>
              </w:rPr>
            </w:pPr>
            <w:bookmarkStart w:id="2439" w:name="n2568" w:colFirst="0" w:colLast="0"/>
            <w:bookmarkEnd w:id="2438"/>
            <w:r w:rsidRPr="00286216">
              <w:rPr>
                <w:color w:val="000000" w:themeColor="text1"/>
              </w:rPr>
              <w:lastRenderedPageBreak/>
              <w:t>2568.</w:t>
            </w:r>
          </w:p>
        </w:tc>
        <w:tc>
          <w:tcPr>
            <w:tcW w:w="4818" w:type="dxa"/>
          </w:tcPr>
          <w:p w14:paraId="4EFB0AF9"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6) встановлення наявності ознак маніпулювання та інших зловживань на товарній біржі;</w:t>
            </w:r>
          </w:p>
        </w:tc>
        <w:tc>
          <w:tcPr>
            <w:tcW w:w="3686" w:type="dxa"/>
          </w:tcPr>
          <w:p w14:paraId="0FE0D0CC" w14:textId="77777777" w:rsidR="001A75A4" w:rsidRPr="00286216" w:rsidRDefault="001A75A4" w:rsidP="001A75A4">
            <w:pPr>
              <w:pStyle w:val="StyleProp"/>
              <w:rPr>
                <w:iCs/>
                <w:color w:val="000000" w:themeColor="text1"/>
                <w:szCs w:val="18"/>
                <w:lang w:eastAsia="uk-UA"/>
              </w:rPr>
            </w:pPr>
          </w:p>
        </w:tc>
        <w:tc>
          <w:tcPr>
            <w:tcW w:w="1987" w:type="dxa"/>
          </w:tcPr>
          <w:p w14:paraId="3EB6C986" w14:textId="77777777" w:rsidR="001A75A4" w:rsidRPr="00286216" w:rsidRDefault="001A75A4" w:rsidP="001A75A4">
            <w:pPr>
              <w:pStyle w:val="StyleWisnow"/>
              <w:rPr>
                <w:iCs/>
                <w:color w:val="000000" w:themeColor="text1"/>
                <w:lang w:eastAsia="uk-UA"/>
              </w:rPr>
            </w:pPr>
          </w:p>
        </w:tc>
        <w:tc>
          <w:tcPr>
            <w:tcW w:w="4818" w:type="dxa"/>
          </w:tcPr>
          <w:p w14:paraId="055DE1FD" w14:textId="401B7615" w:rsidR="001A75A4" w:rsidRPr="00286216" w:rsidRDefault="001A75A4" w:rsidP="001A75A4">
            <w:pPr>
              <w:pStyle w:val="StyleZakonu"/>
              <w:rPr>
                <w:iCs/>
                <w:color w:val="000000" w:themeColor="text1"/>
                <w:lang w:eastAsia="uk-UA"/>
              </w:rPr>
            </w:pPr>
            <w:r w:rsidRPr="00286216">
              <w:rPr>
                <w:iCs/>
                <w:color w:val="000000" w:themeColor="text1"/>
                <w:lang w:eastAsia="uk-UA"/>
              </w:rPr>
              <w:t>6) встановлення наявності ознак маніпулювання та інших зловживань на товарній біржі;</w:t>
            </w:r>
          </w:p>
        </w:tc>
      </w:tr>
      <w:tr w:rsidR="001A75A4" w:rsidRPr="00286216" w14:paraId="4998C32C" w14:textId="77777777" w:rsidTr="00091AA5">
        <w:tc>
          <w:tcPr>
            <w:tcW w:w="576" w:type="dxa"/>
          </w:tcPr>
          <w:p w14:paraId="664026E2" w14:textId="77777777" w:rsidR="001A75A4" w:rsidRPr="00286216" w:rsidRDefault="001A75A4" w:rsidP="001A75A4">
            <w:pPr>
              <w:pStyle w:val="StyleWisnow"/>
              <w:rPr>
                <w:color w:val="000000" w:themeColor="text1"/>
              </w:rPr>
            </w:pPr>
            <w:bookmarkStart w:id="2440" w:name="n2569" w:colFirst="0" w:colLast="0"/>
            <w:bookmarkEnd w:id="2439"/>
            <w:r w:rsidRPr="00286216">
              <w:rPr>
                <w:color w:val="000000" w:themeColor="text1"/>
              </w:rPr>
              <w:t>2569.</w:t>
            </w:r>
          </w:p>
        </w:tc>
        <w:tc>
          <w:tcPr>
            <w:tcW w:w="4818" w:type="dxa"/>
          </w:tcPr>
          <w:p w14:paraId="462095D3"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 xml:space="preserve">7) встановлення за погодженням з </w:t>
            </w:r>
            <w:r w:rsidRPr="00286216">
              <w:rPr>
                <w:color w:val="000000" w:themeColor="text1"/>
                <w:lang w:eastAsia="uk-UA"/>
              </w:rPr>
              <w:t xml:space="preserve">регулятором відповідного товарного ринку та/або центральним органом виконавчої влади, що забезпечує формування та реалізує державну політику у відповідних сферах </w:t>
            </w:r>
            <w:r w:rsidRPr="00286216">
              <w:rPr>
                <w:iCs/>
                <w:color w:val="000000" w:themeColor="text1"/>
                <w:lang w:eastAsia="uk-UA"/>
              </w:rPr>
              <w:t>критеріїв цінової нестабільності біржового товару на товарній біржі залежно від виду, ліквідності та/або ринкової ціни такого біржового товару;</w:t>
            </w:r>
          </w:p>
        </w:tc>
        <w:tc>
          <w:tcPr>
            <w:tcW w:w="3686" w:type="dxa"/>
          </w:tcPr>
          <w:p w14:paraId="6B20A4CE" w14:textId="4DE5B247" w:rsidR="001A75A4" w:rsidRPr="00286216" w:rsidRDefault="001A75A4" w:rsidP="001A75A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1199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E5F54EA" w14:textId="77777777" w:rsidR="001A75A4" w:rsidRPr="00286216" w:rsidRDefault="001A75A4" w:rsidP="001A75A4">
            <w:pPr>
              <w:pStyle w:val="StyleProp"/>
              <w:rPr>
                <w:iCs/>
                <w:color w:val="000000" w:themeColor="text1"/>
                <w:szCs w:val="18"/>
                <w:lang w:eastAsia="uk-UA"/>
              </w:rPr>
            </w:pPr>
            <w:r w:rsidRPr="00286216">
              <w:rPr>
                <w:color w:val="000000" w:themeColor="text1"/>
              </w:rPr>
              <w:t>У пункті 4 частини першої статті 19 розділу ІІ с</w:t>
            </w:r>
            <w:r w:rsidRPr="00286216">
              <w:rPr>
                <w:color w:val="000000" w:themeColor="text1"/>
                <w:szCs w:val="18"/>
              </w:rPr>
              <w:t>лова «регулятором відповідного товарного ринку та/або» виключити</w:t>
            </w:r>
          </w:p>
        </w:tc>
        <w:tc>
          <w:tcPr>
            <w:tcW w:w="1987" w:type="dxa"/>
          </w:tcPr>
          <w:p w14:paraId="0A498C5F" w14:textId="1DF0D595" w:rsidR="001A75A4" w:rsidRPr="00286216" w:rsidRDefault="001A75A4" w:rsidP="001A75A4">
            <w:pPr>
              <w:pStyle w:val="StyleWisnow"/>
              <w:rPr>
                <w:iCs/>
                <w:color w:val="000000" w:themeColor="text1"/>
                <w:lang w:eastAsia="uk-UA"/>
              </w:rPr>
            </w:pPr>
            <w:r w:rsidRPr="00286216">
              <w:rPr>
                <w:iCs/>
                <w:color w:val="000000" w:themeColor="text1"/>
                <w:lang w:eastAsia="uk-UA"/>
              </w:rPr>
              <w:t>Враховано</w:t>
            </w:r>
          </w:p>
        </w:tc>
        <w:tc>
          <w:tcPr>
            <w:tcW w:w="4818" w:type="dxa"/>
          </w:tcPr>
          <w:p w14:paraId="429AD98D" w14:textId="7387AC82" w:rsidR="001A75A4" w:rsidRPr="00286216" w:rsidRDefault="001A75A4" w:rsidP="001A75A4">
            <w:pPr>
              <w:pStyle w:val="StyleZakonu"/>
              <w:rPr>
                <w:iCs/>
                <w:color w:val="000000" w:themeColor="text1"/>
                <w:lang w:eastAsia="uk-UA"/>
              </w:rPr>
            </w:pPr>
            <w:r w:rsidRPr="00286216">
              <w:rPr>
                <w:iCs/>
                <w:color w:val="000000" w:themeColor="text1"/>
                <w:lang w:eastAsia="uk-UA"/>
              </w:rPr>
              <w:t xml:space="preserve">7) встановлення за погодженням із </w:t>
            </w:r>
            <w:r w:rsidRPr="00286216">
              <w:rPr>
                <w:color w:val="000000" w:themeColor="text1"/>
                <w:lang w:eastAsia="uk-UA"/>
              </w:rPr>
              <w:t xml:space="preserve">центральним органом виконавчої влади, що забезпечує формування та реалізує державну політику у відповідної сфері </w:t>
            </w:r>
            <w:r w:rsidRPr="00286216">
              <w:rPr>
                <w:iCs/>
                <w:color w:val="000000" w:themeColor="text1"/>
                <w:lang w:eastAsia="uk-UA"/>
              </w:rPr>
              <w:t>критеріїв цінової нестабільності біржового товару на товарній біржі залежно від виду, ліквідності та/або ринкової ціни такого біржового товару;</w:t>
            </w:r>
          </w:p>
        </w:tc>
      </w:tr>
      <w:tr w:rsidR="001A75A4" w:rsidRPr="00286216" w14:paraId="2B2B3F3E" w14:textId="77777777" w:rsidTr="00091AA5">
        <w:tc>
          <w:tcPr>
            <w:tcW w:w="576" w:type="dxa"/>
          </w:tcPr>
          <w:p w14:paraId="04845DBB" w14:textId="77777777" w:rsidR="001A75A4" w:rsidRPr="00286216" w:rsidRDefault="001A75A4" w:rsidP="001A75A4">
            <w:pPr>
              <w:pStyle w:val="StyleWisnow"/>
              <w:rPr>
                <w:color w:val="000000" w:themeColor="text1"/>
              </w:rPr>
            </w:pPr>
            <w:bookmarkStart w:id="2441" w:name="n2570" w:colFirst="0" w:colLast="0"/>
            <w:bookmarkEnd w:id="2440"/>
            <w:r w:rsidRPr="00286216">
              <w:rPr>
                <w:color w:val="000000" w:themeColor="text1"/>
              </w:rPr>
              <w:t>2570.</w:t>
            </w:r>
          </w:p>
        </w:tc>
        <w:tc>
          <w:tcPr>
            <w:tcW w:w="4818" w:type="dxa"/>
          </w:tcPr>
          <w:p w14:paraId="650C943E"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8) здійснення нагляду та контролю за додержанням товарними біржами встановлених законодавством вимог щодо їх діяльності та застосування відповідних санкцій за їх порушення;</w:t>
            </w:r>
          </w:p>
        </w:tc>
        <w:tc>
          <w:tcPr>
            <w:tcW w:w="3686" w:type="dxa"/>
          </w:tcPr>
          <w:p w14:paraId="2E9FE90A" w14:textId="77777777" w:rsidR="001A75A4" w:rsidRPr="00286216" w:rsidRDefault="001A75A4" w:rsidP="001A75A4">
            <w:pPr>
              <w:pStyle w:val="StyleProp"/>
              <w:rPr>
                <w:iCs/>
                <w:color w:val="000000" w:themeColor="text1"/>
                <w:szCs w:val="18"/>
                <w:lang w:eastAsia="uk-UA"/>
              </w:rPr>
            </w:pPr>
          </w:p>
        </w:tc>
        <w:tc>
          <w:tcPr>
            <w:tcW w:w="1987" w:type="dxa"/>
          </w:tcPr>
          <w:p w14:paraId="47BBE84B" w14:textId="77777777" w:rsidR="001A75A4" w:rsidRPr="00286216" w:rsidRDefault="001A75A4" w:rsidP="001A75A4">
            <w:pPr>
              <w:pStyle w:val="StyleWisnow"/>
              <w:rPr>
                <w:iCs/>
                <w:color w:val="000000" w:themeColor="text1"/>
                <w:lang w:eastAsia="uk-UA"/>
              </w:rPr>
            </w:pPr>
          </w:p>
        </w:tc>
        <w:tc>
          <w:tcPr>
            <w:tcW w:w="4818" w:type="dxa"/>
          </w:tcPr>
          <w:p w14:paraId="0ECB5FEA" w14:textId="78A02BE2" w:rsidR="001A75A4" w:rsidRPr="00286216" w:rsidRDefault="001A75A4" w:rsidP="001A75A4">
            <w:pPr>
              <w:pStyle w:val="StyleZakonu"/>
              <w:rPr>
                <w:iCs/>
                <w:color w:val="000000" w:themeColor="text1"/>
                <w:lang w:eastAsia="uk-UA"/>
              </w:rPr>
            </w:pPr>
            <w:r w:rsidRPr="00286216">
              <w:rPr>
                <w:iCs/>
                <w:color w:val="000000" w:themeColor="text1"/>
                <w:lang w:eastAsia="uk-UA"/>
              </w:rPr>
              <w:t>8) здійснення нагляду та контролю за додержанням товарними біржами встановлених законодавством вимог щодо їхньої діяльності та застосування відповідних санкцій за їх порушення;</w:t>
            </w:r>
          </w:p>
        </w:tc>
      </w:tr>
      <w:tr w:rsidR="001A75A4" w:rsidRPr="00286216" w14:paraId="1DA3325E" w14:textId="77777777" w:rsidTr="00091AA5">
        <w:tc>
          <w:tcPr>
            <w:tcW w:w="576" w:type="dxa"/>
          </w:tcPr>
          <w:p w14:paraId="3525FFF2" w14:textId="77777777" w:rsidR="001A75A4" w:rsidRPr="00286216" w:rsidRDefault="001A75A4" w:rsidP="001A75A4">
            <w:pPr>
              <w:pStyle w:val="StyleWisnow"/>
              <w:rPr>
                <w:color w:val="000000" w:themeColor="text1"/>
              </w:rPr>
            </w:pPr>
            <w:bookmarkStart w:id="2442" w:name="n2571" w:colFirst="0" w:colLast="0"/>
            <w:bookmarkEnd w:id="2441"/>
            <w:r w:rsidRPr="00286216">
              <w:rPr>
                <w:color w:val="000000" w:themeColor="text1"/>
              </w:rPr>
              <w:t>2571.</w:t>
            </w:r>
          </w:p>
        </w:tc>
        <w:tc>
          <w:tcPr>
            <w:tcW w:w="4818" w:type="dxa"/>
          </w:tcPr>
          <w:p w14:paraId="0DD8B943" w14:textId="77777777" w:rsidR="001A75A4" w:rsidRPr="00286216" w:rsidRDefault="001A75A4" w:rsidP="001A75A4">
            <w:pPr>
              <w:pStyle w:val="StyleZakonu"/>
              <w:rPr>
                <w:iCs/>
                <w:color w:val="000000" w:themeColor="text1"/>
                <w:lang w:eastAsia="uk-UA"/>
              </w:rPr>
            </w:pPr>
            <w:r w:rsidRPr="00286216">
              <w:rPr>
                <w:iCs/>
                <w:color w:val="000000" w:themeColor="text1"/>
                <w:lang w:eastAsia="uk-UA"/>
              </w:rPr>
              <w:t>9) виконання інших повноважень, передбачених законом.</w:t>
            </w:r>
          </w:p>
        </w:tc>
        <w:tc>
          <w:tcPr>
            <w:tcW w:w="3686" w:type="dxa"/>
          </w:tcPr>
          <w:p w14:paraId="4E480AB8" w14:textId="77777777" w:rsidR="001A75A4" w:rsidRPr="00286216" w:rsidRDefault="001A75A4" w:rsidP="001A75A4">
            <w:pPr>
              <w:pStyle w:val="StyleProp"/>
              <w:rPr>
                <w:iCs/>
                <w:color w:val="000000" w:themeColor="text1"/>
                <w:szCs w:val="18"/>
                <w:lang w:eastAsia="uk-UA"/>
              </w:rPr>
            </w:pPr>
          </w:p>
        </w:tc>
        <w:tc>
          <w:tcPr>
            <w:tcW w:w="1987" w:type="dxa"/>
          </w:tcPr>
          <w:p w14:paraId="3CD00458" w14:textId="77777777" w:rsidR="001A75A4" w:rsidRPr="00286216" w:rsidRDefault="001A75A4" w:rsidP="001A75A4">
            <w:pPr>
              <w:pStyle w:val="StyleWisnow"/>
              <w:rPr>
                <w:iCs/>
                <w:color w:val="000000" w:themeColor="text1"/>
                <w:lang w:eastAsia="uk-UA"/>
              </w:rPr>
            </w:pPr>
          </w:p>
        </w:tc>
        <w:tc>
          <w:tcPr>
            <w:tcW w:w="4818" w:type="dxa"/>
          </w:tcPr>
          <w:p w14:paraId="13437319" w14:textId="771033A2" w:rsidR="001A75A4" w:rsidRPr="00286216" w:rsidRDefault="001A75A4" w:rsidP="001A75A4">
            <w:pPr>
              <w:pStyle w:val="StyleZakonu"/>
              <w:rPr>
                <w:iCs/>
                <w:color w:val="000000" w:themeColor="text1"/>
                <w:lang w:eastAsia="uk-UA"/>
              </w:rPr>
            </w:pPr>
            <w:r w:rsidRPr="00286216">
              <w:rPr>
                <w:iCs/>
                <w:color w:val="000000" w:themeColor="text1"/>
                <w:lang w:eastAsia="uk-UA"/>
              </w:rPr>
              <w:t>9) виконання інших повноважень, передбачених законом.</w:t>
            </w:r>
          </w:p>
        </w:tc>
      </w:tr>
      <w:tr w:rsidR="001A75A4" w:rsidRPr="00286216" w14:paraId="630AC861" w14:textId="77777777" w:rsidTr="00091AA5">
        <w:tc>
          <w:tcPr>
            <w:tcW w:w="576" w:type="dxa"/>
          </w:tcPr>
          <w:p w14:paraId="18D0010A" w14:textId="77777777" w:rsidR="001A75A4" w:rsidRPr="00286216" w:rsidRDefault="001A75A4" w:rsidP="001A75A4">
            <w:pPr>
              <w:pStyle w:val="StyleWisnow"/>
              <w:rPr>
                <w:color w:val="000000" w:themeColor="text1"/>
              </w:rPr>
            </w:pPr>
            <w:bookmarkStart w:id="2443" w:name="n2572" w:colFirst="0" w:colLast="0"/>
            <w:bookmarkEnd w:id="2442"/>
            <w:r w:rsidRPr="00286216">
              <w:rPr>
                <w:color w:val="000000" w:themeColor="text1"/>
              </w:rPr>
              <w:t>2572.</w:t>
            </w:r>
          </w:p>
        </w:tc>
        <w:tc>
          <w:tcPr>
            <w:tcW w:w="4818" w:type="dxa"/>
          </w:tcPr>
          <w:p w14:paraId="7EC49BA5" w14:textId="77777777" w:rsidR="001A75A4" w:rsidRPr="00286216" w:rsidRDefault="001A75A4" w:rsidP="001A75A4">
            <w:pPr>
              <w:pStyle w:val="StyleZakonu"/>
              <w:rPr>
                <w:color w:val="000000" w:themeColor="text1"/>
                <w:lang w:eastAsia="uk-UA"/>
              </w:rPr>
            </w:pPr>
            <w:r w:rsidRPr="00286216">
              <w:rPr>
                <w:color w:val="000000" w:themeColor="text1"/>
                <w:lang w:eastAsia="uk-UA"/>
              </w:rPr>
              <w:t>При виконанні своїх функцій Національна комісія з цінних паперів та фондового ринку діє у спосіб, на підставі та в межах повноважень, встановлених цим Законом та Законом України "Про державне регулювання ринків капіталу та організованих товарних ринків".</w:t>
            </w:r>
          </w:p>
        </w:tc>
        <w:tc>
          <w:tcPr>
            <w:tcW w:w="3686" w:type="dxa"/>
          </w:tcPr>
          <w:p w14:paraId="5793FFED" w14:textId="77777777" w:rsidR="001A75A4" w:rsidRPr="00286216" w:rsidRDefault="001A75A4" w:rsidP="001A75A4">
            <w:pPr>
              <w:pStyle w:val="StyleProp"/>
              <w:rPr>
                <w:color w:val="000000" w:themeColor="text1"/>
                <w:szCs w:val="18"/>
                <w:lang w:eastAsia="uk-UA"/>
              </w:rPr>
            </w:pPr>
          </w:p>
        </w:tc>
        <w:tc>
          <w:tcPr>
            <w:tcW w:w="1987" w:type="dxa"/>
          </w:tcPr>
          <w:p w14:paraId="63CE1205" w14:textId="77777777" w:rsidR="001A75A4" w:rsidRPr="00286216" w:rsidRDefault="001A75A4" w:rsidP="001A75A4">
            <w:pPr>
              <w:pStyle w:val="StyleWisnow"/>
              <w:rPr>
                <w:color w:val="000000" w:themeColor="text1"/>
                <w:lang w:eastAsia="uk-UA"/>
              </w:rPr>
            </w:pPr>
          </w:p>
        </w:tc>
        <w:tc>
          <w:tcPr>
            <w:tcW w:w="4818" w:type="dxa"/>
          </w:tcPr>
          <w:p w14:paraId="73962B5F" w14:textId="7E5D6296" w:rsidR="001A75A4" w:rsidRPr="00286216" w:rsidRDefault="001A75A4" w:rsidP="001A75A4">
            <w:pPr>
              <w:pStyle w:val="StyleZakonu"/>
              <w:rPr>
                <w:color w:val="000000" w:themeColor="text1"/>
                <w:lang w:eastAsia="uk-UA"/>
              </w:rPr>
            </w:pPr>
            <w:r w:rsidRPr="00286216">
              <w:rPr>
                <w:color w:val="000000" w:themeColor="text1"/>
                <w:lang w:eastAsia="uk-UA"/>
              </w:rPr>
              <w:t>При виконанні своїх функцій Національна комісія з цінних паперів та фондового ринку діє у спосіб, на підставі та в межах повноважень, встановлених цим Законом та Законом України "Про державне регулювання ринків капіталу та організованих товарних ринків".</w:t>
            </w:r>
          </w:p>
        </w:tc>
      </w:tr>
      <w:tr w:rsidR="001A75A4" w:rsidRPr="00286216" w14:paraId="503D3210" w14:textId="77777777" w:rsidTr="00091AA5">
        <w:tc>
          <w:tcPr>
            <w:tcW w:w="576" w:type="dxa"/>
          </w:tcPr>
          <w:p w14:paraId="2FB62E98" w14:textId="77777777" w:rsidR="001A75A4" w:rsidRPr="00286216" w:rsidRDefault="001A75A4" w:rsidP="001A75A4">
            <w:pPr>
              <w:pStyle w:val="StyleWisnow"/>
              <w:rPr>
                <w:color w:val="000000" w:themeColor="text1"/>
              </w:rPr>
            </w:pPr>
            <w:bookmarkStart w:id="2444" w:name="n2573" w:colFirst="0" w:colLast="0"/>
            <w:bookmarkEnd w:id="2443"/>
            <w:r w:rsidRPr="00286216">
              <w:rPr>
                <w:color w:val="000000" w:themeColor="text1"/>
              </w:rPr>
              <w:t>2573.</w:t>
            </w:r>
          </w:p>
        </w:tc>
        <w:tc>
          <w:tcPr>
            <w:tcW w:w="4818" w:type="dxa"/>
          </w:tcPr>
          <w:p w14:paraId="7B2652A2" w14:textId="77777777"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20. </w:t>
            </w:r>
            <w:r w:rsidRPr="00286216">
              <w:rPr>
                <w:color w:val="000000" w:themeColor="text1"/>
                <w:shd w:val="clear" w:color="auto" w:fill="FFFFFF"/>
              </w:rPr>
              <w:t>Маніпулювання на товарних біржах</w:t>
            </w:r>
          </w:p>
        </w:tc>
        <w:tc>
          <w:tcPr>
            <w:tcW w:w="3686" w:type="dxa"/>
          </w:tcPr>
          <w:p w14:paraId="083D13C1" w14:textId="77777777" w:rsidR="001A75A4" w:rsidRPr="00286216" w:rsidRDefault="001A75A4" w:rsidP="001A75A4">
            <w:pPr>
              <w:pStyle w:val="StyleProp"/>
              <w:rPr>
                <w:color w:val="000000" w:themeColor="text1"/>
                <w:szCs w:val="18"/>
              </w:rPr>
            </w:pPr>
          </w:p>
        </w:tc>
        <w:tc>
          <w:tcPr>
            <w:tcW w:w="1987" w:type="dxa"/>
          </w:tcPr>
          <w:p w14:paraId="2A2B932E" w14:textId="77777777" w:rsidR="001A75A4" w:rsidRPr="00286216" w:rsidRDefault="001A75A4" w:rsidP="001A75A4">
            <w:pPr>
              <w:pStyle w:val="StyleWisnow"/>
              <w:rPr>
                <w:color w:val="000000" w:themeColor="text1"/>
              </w:rPr>
            </w:pPr>
          </w:p>
        </w:tc>
        <w:tc>
          <w:tcPr>
            <w:tcW w:w="4818" w:type="dxa"/>
          </w:tcPr>
          <w:p w14:paraId="64BA0ACC" w14:textId="005FF32C" w:rsidR="001A75A4" w:rsidRPr="00286216" w:rsidRDefault="001A75A4" w:rsidP="001A75A4">
            <w:pPr>
              <w:pStyle w:val="StyleZakonu"/>
              <w:rPr>
                <w:color w:val="000000" w:themeColor="text1"/>
                <w:shd w:val="clear" w:color="auto" w:fill="FFFFFF"/>
              </w:rPr>
            </w:pPr>
            <w:r w:rsidRPr="00286216">
              <w:rPr>
                <w:color w:val="000000" w:themeColor="text1"/>
              </w:rPr>
              <w:t xml:space="preserve">Стаття 20. </w:t>
            </w:r>
            <w:r w:rsidRPr="00286216">
              <w:rPr>
                <w:color w:val="000000" w:themeColor="text1"/>
                <w:shd w:val="clear" w:color="auto" w:fill="FFFFFF"/>
              </w:rPr>
              <w:t>Маніпулювання на товарних біржах</w:t>
            </w:r>
          </w:p>
        </w:tc>
      </w:tr>
      <w:tr w:rsidR="001A75A4" w:rsidRPr="00286216" w14:paraId="3D6F9F6D" w14:textId="77777777" w:rsidTr="00091AA5">
        <w:tc>
          <w:tcPr>
            <w:tcW w:w="576" w:type="dxa"/>
          </w:tcPr>
          <w:p w14:paraId="56B6769D" w14:textId="77777777" w:rsidR="001A75A4" w:rsidRPr="00286216" w:rsidRDefault="001A75A4" w:rsidP="001A75A4">
            <w:pPr>
              <w:pStyle w:val="StyleWisnow"/>
              <w:rPr>
                <w:color w:val="000000" w:themeColor="text1"/>
              </w:rPr>
            </w:pPr>
            <w:bookmarkStart w:id="2445" w:name="n2574" w:colFirst="0" w:colLast="0"/>
            <w:bookmarkEnd w:id="2444"/>
            <w:r w:rsidRPr="00286216">
              <w:rPr>
                <w:color w:val="000000" w:themeColor="text1"/>
              </w:rPr>
              <w:t>2574.</w:t>
            </w:r>
          </w:p>
        </w:tc>
        <w:tc>
          <w:tcPr>
            <w:tcW w:w="4818" w:type="dxa"/>
          </w:tcPr>
          <w:p w14:paraId="30F146F8" w14:textId="77777777" w:rsidR="001A75A4" w:rsidRPr="00286216" w:rsidRDefault="001A75A4" w:rsidP="001A75A4">
            <w:pPr>
              <w:pStyle w:val="StyleZakonu"/>
              <w:rPr>
                <w:color w:val="000000" w:themeColor="text1"/>
              </w:rPr>
            </w:pPr>
            <w:r w:rsidRPr="00286216">
              <w:rPr>
                <w:color w:val="000000" w:themeColor="text1"/>
              </w:rPr>
              <w:t>3. Маніпулюванням на товарних біржах є дії передбачені статтею 134 Закону України "Про ринки капіталу та організовані товарні ринки".</w:t>
            </w:r>
          </w:p>
        </w:tc>
        <w:tc>
          <w:tcPr>
            <w:tcW w:w="3686" w:type="dxa"/>
          </w:tcPr>
          <w:p w14:paraId="333C5B15" w14:textId="77777777" w:rsidR="001A75A4" w:rsidRPr="00286216" w:rsidRDefault="001A75A4" w:rsidP="001A75A4">
            <w:pPr>
              <w:pStyle w:val="StyleProp"/>
              <w:rPr>
                <w:color w:val="000000" w:themeColor="text1"/>
                <w:szCs w:val="18"/>
              </w:rPr>
            </w:pPr>
          </w:p>
        </w:tc>
        <w:tc>
          <w:tcPr>
            <w:tcW w:w="1987" w:type="dxa"/>
          </w:tcPr>
          <w:p w14:paraId="2D7EF6F1" w14:textId="77777777" w:rsidR="001A75A4" w:rsidRPr="00286216" w:rsidRDefault="001A75A4" w:rsidP="001A75A4">
            <w:pPr>
              <w:pStyle w:val="StyleWisnow"/>
              <w:rPr>
                <w:color w:val="000000" w:themeColor="text1"/>
              </w:rPr>
            </w:pPr>
          </w:p>
        </w:tc>
        <w:tc>
          <w:tcPr>
            <w:tcW w:w="4818" w:type="dxa"/>
          </w:tcPr>
          <w:p w14:paraId="7AD44BDF" w14:textId="3E331CB4" w:rsidR="001A75A4" w:rsidRPr="00286216" w:rsidRDefault="001A75A4" w:rsidP="001A75A4">
            <w:pPr>
              <w:pStyle w:val="StyleZakonu"/>
              <w:rPr>
                <w:color w:val="000000" w:themeColor="text1"/>
              </w:rPr>
            </w:pPr>
            <w:r w:rsidRPr="00286216">
              <w:rPr>
                <w:color w:val="000000" w:themeColor="text1"/>
              </w:rPr>
              <w:t>1. Маніпулюванням на товарних біржах є дії, передбачені статтею 148 Закону України "Про ринки капіталу та організовані товарні ринки".</w:t>
            </w:r>
          </w:p>
        </w:tc>
      </w:tr>
      <w:bookmarkEnd w:id="2445"/>
      <w:tr w:rsidR="001A75A4" w:rsidRPr="00286216" w14:paraId="34580C61" w14:textId="77777777" w:rsidTr="00091AA5">
        <w:tc>
          <w:tcPr>
            <w:tcW w:w="576" w:type="dxa"/>
          </w:tcPr>
          <w:p w14:paraId="7E43E459" w14:textId="77777777" w:rsidR="001A75A4" w:rsidRPr="00286216" w:rsidRDefault="001A75A4" w:rsidP="001A75A4">
            <w:pPr>
              <w:pStyle w:val="StyleWisnow"/>
              <w:rPr>
                <w:color w:val="000000" w:themeColor="text1"/>
              </w:rPr>
            </w:pPr>
          </w:p>
        </w:tc>
        <w:tc>
          <w:tcPr>
            <w:tcW w:w="4818" w:type="dxa"/>
          </w:tcPr>
          <w:p w14:paraId="0D9C1CAD" w14:textId="77777777" w:rsidR="001A75A4" w:rsidRPr="00286216" w:rsidRDefault="001A75A4" w:rsidP="001A75A4">
            <w:pPr>
              <w:pStyle w:val="StyleZakonu"/>
              <w:spacing w:after="0"/>
              <w:rPr>
                <w:color w:val="000000" w:themeColor="text1"/>
              </w:rPr>
            </w:pPr>
          </w:p>
        </w:tc>
        <w:tc>
          <w:tcPr>
            <w:tcW w:w="3686" w:type="dxa"/>
          </w:tcPr>
          <w:p w14:paraId="3904D384" w14:textId="4AA2E0B4" w:rsidR="001A75A4" w:rsidRPr="00286216" w:rsidRDefault="001A75A4" w:rsidP="001A75A4">
            <w:pPr>
              <w:pStyle w:val="StyleAwt"/>
              <w:rPr>
                <w:b w:val="0"/>
                <w:i w:val="0"/>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1200</w:t>
            </w:r>
            <w:r w:rsidRPr="00286216">
              <w:rPr>
                <w:color w:val="000000" w:themeColor="text1"/>
                <w:spacing w:val="-4"/>
              </w:rPr>
              <w:fldChar w:fldCharType="end"/>
            </w:r>
            <w:r w:rsidRPr="00286216">
              <w:rPr>
                <w:color w:val="000000" w:themeColor="text1"/>
                <w:spacing w:val="-4"/>
              </w:rPr>
              <w:t xml:space="preserve">-Народні депутати України – члени </w:t>
            </w:r>
            <w:r w:rsidRPr="00286216">
              <w:rPr>
                <w:color w:val="000000" w:themeColor="text1"/>
                <w:spacing w:val="-3"/>
              </w:rPr>
              <w:t>Комітету з питань фінансів, податкової та митної політики Гетманцев Д.О. та інші</w:t>
            </w:r>
          </w:p>
          <w:p w14:paraId="59121345" w14:textId="4C9F91F5" w:rsidR="001A75A4" w:rsidRPr="00286216" w:rsidRDefault="001A75A4" w:rsidP="00BB35BA">
            <w:pPr>
              <w:pStyle w:val="StyleProp"/>
              <w:spacing w:line="190" w:lineRule="exact"/>
              <w:rPr>
                <w:color w:val="000000" w:themeColor="text1"/>
                <w:spacing w:val="-4"/>
              </w:rPr>
            </w:pPr>
            <w:r w:rsidRPr="00286216">
              <w:rPr>
                <w:color w:val="000000" w:themeColor="text1"/>
                <w:spacing w:val="-4"/>
              </w:rPr>
              <w:t>У звʼязку із пропозицією щодо викладення тексту законопроекту в редакції проектів трьох законів доповнити розділ 2 законопроекту абзацами такого змісту:</w:t>
            </w:r>
          </w:p>
          <w:p w14:paraId="525F0EA5" w14:textId="0D49E43D" w:rsidR="001A75A4" w:rsidRPr="00286216" w:rsidRDefault="001A75A4" w:rsidP="00BB35BA">
            <w:pPr>
              <w:pStyle w:val="StyleProp"/>
              <w:spacing w:line="190" w:lineRule="exact"/>
              <w:rPr>
                <w:color w:val="000000" w:themeColor="text1"/>
                <w:spacing w:val="-2"/>
              </w:rPr>
            </w:pPr>
            <w:r w:rsidRPr="00286216">
              <w:rPr>
                <w:color w:val="000000" w:themeColor="text1"/>
                <w:spacing w:val="-2"/>
              </w:rPr>
              <w:t>"Розділ VIІ ПРИКІНЦЕВІ ТА ПЕРЕХІДНІ ПОЛОЖЕННЯ1. Цей Закон набирає чинності з 1 липня 2021 року, крім пунктів 2, 4, 6 - 8 цього Розділу, які набирають чинності з дня, наступного за днем опублікування цього Закону.</w:t>
            </w:r>
          </w:p>
          <w:p w14:paraId="23C1B865"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 xml:space="preserve">2. З дня опублікування цього Закону товарні біржі мають право змінювати організаційно-правову форму на товариства з обмеженою відповідальністю, товариства з додатковою відповідальністю або акціонерні товариства.  </w:t>
            </w:r>
          </w:p>
          <w:p w14:paraId="59CBB61C"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 xml:space="preserve">3. З 1 липня 2021 року товарні біржі мають </w:t>
            </w:r>
            <w:r w:rsidRPr="00286216">
              <w:rPr>
                <w:color w:val="000000" w:themeColor="text1"/>
                <w:spacing w:val="-2"/>
              </w:rPr>
              <w:lastRenderedPageBreak/>
              <w:t xml:space="preserve">право провадити свою діяльність виключно за умови отримання ліцензії на провадження професійної діяльності на організованих товарних ринках – діяльності з організації торгівлі продукцією на товарних біржах. </w:t>
            </w:r>
          </w:p>
          <w:p w14:paraId="77162B95"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З 1 липня 2021 року слова «товарна біржа» та похідні від них дозволяється використовувати у назві лише юридичним особам, які провадять професійну діяльність на організованих товарних ринках.</w:t>
            </w:r>
          </w:p>
          <w:p w14:paraId="2892E40C"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4. Національній комісії з цінних паперів та фондового ринку до 1 січня 2021 розробити та затвердити нормативно-правові акти, що необхідні для видачі відповідно до вимог цього Закону та Закону України «Про ринки капіталу та організовані товарні ринки» ліцензій на провадження професійної діяльності на організованих товарних ринках – діяльності з організації торгівлі продукцією на товарних біржах та реєстрації правил товарних бірж, передбачивши при цьому набрання такими нормативно-правовими актами чинності з 1 січня 2021 року, а дію таких ліцензій та правил – з дня набрання чинності цим Законом.</w:t>
            </w:r>
          </w:p>
          <w:p w14:paraId="26437003"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Відповідно до нормативно-правових актів, передбачених абзацом першим цього пункту, з 1 січня 2021 року Національна комісія з цінних паперів та фондового ринку має право видавати ліцензії на провадження професійної діяльності на організованих товарних ринках – діяльності з організації торгівлі продукцією на товарних біржах та здійснювати реєстрацію правил товарних бірж. При цьому такі ліцензії та правила починають діяти з дня набрання чинності цим Законом.</w:t>
            </w:r>
          </w:p>
          <w:p w14:paraId="47ABE4C9" w14:textId="78920119" w:rsidR="001A75A4" w:rsidRPr="00286216" w:rsidRDefault="001A75A4" w:rsidP="00BB35BA">
            <w:pPr>
              <w:pStyle w:val="StyleProp"/>
              <w:spacing w:line="190" w:lineRule="exact"/>
              <w:rPr>
                <w:color w:val="000000" w:themeColor="text1"/>
                <w:spacing w:val="-2"/>
              </w:rPr>
            </w:pPr>
            <w:r w:rsidRPr="00286216">
              <w:rPr>
                <w:color w:val="000000" w:themeColor="text1"/>
                <w:spacing w:val="-2"/>
              </w:rPr>
              <w:t xml:space="preserve">5. На період до 1 січня 2023 року товарні біржі можуть провадити клірингову діяльність центрального контрагента щодо біржових договорів. Провадження зазначеної діяльності можливе лише у разі наявності чинної ліцензії на провадження клірингової діяльності з визначення зобов’язань та реєстрації відповідно до Закону України "Про ринки капіталу та організовані товарні ринки" правил провадження клірингової діяльності, що передбачають правила провадження клірингової діяльності щодо біржових договорів. Такі товарні біржі під час провадження зазначеної діяльності можуть бути учасниками біржових торгів і здійснювати торгівлю біржовими товарами за свій рахунок або за рахунок третіх осіб та бути </w:t>
            </w:r>
            <w:r w:rsidRPr="00286216">
              <w:rPr>
                <w:color w:val="000000" w:themeColor="text1"/>
                <w:spacing w:val="-2"/>
              </w:rPr>
              <w:lastRenderedPageBreak/>
              <w:t>стороною біржового договору щодо купівлі-продажу біржових товарів, що укладаються на цих товарних біржах.</w:t>
            </w:r>
          </w:p>
          <w:p w14:paraId="2874DB06"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У разі провадження товарною біржою клірингової діяльності центрального контрагента щодо біржових договорів, вимоги частини другої статті 11 цього Закону не застосовуються.</w:t>
            </w:r>
          </w:p>
          <w:p w14:paraId="26032D27" w14:textId="77777777" w:rsidR="001A75A4" w:rsidRPr="00286216" w:rsidRDefault="001A75A4" w:rsidP="00BB35BA">
            <w:pPr>
              <w:pStyle w:val="StyleProp"/>
              <w:spacing w:line="190" w:lineRule="exact"/>
              <w:rPr>
                <w:color w:val="000000" w:themeColor="text1"/>
                <w:spacing w:val="-3"/>
              </w:rPr>
            </w:pPr>
            <w:r w:rsidRPr="00286216">
              <w:rPr>
                <w:color w:val="000000" w:themeColor="text1"/>
                <w:spacing w:val="-3"/>
              </w:rPr>
              <w:t>Після 1 січня 2023 року зазначені в абзаці першому цього пункту товарні біржі можуть провадити клірингову діяльність центрального контрагента щодо біржових договорів, у разі якщо жодна юридична особа (у тому числі іноземна) не матиме чинної ліцензії на провадження професійної діяльності на ринках капіталу – клірингової діяльності центрального контрагента та зареєстрованих відповідно до закону правил провадження клірингової діяльності центрального контрагента, що передбачатимуть провадження клірингової діяльності центрального контрагента щодо біржових договорів.</w:t>
            </w:r>
          </w:p>
          <w:p w14:paraId="62E7FEF1"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Зазначені в абзаці першому цього пункту товарні біржі припиняють провадження клірингової діяльності центрального контрагента щодо біржових договорів після 1 січня 2023 року, за умови якщо з дати реєстрації зазначених в абзаці третьому цього пункту правил минуло шість місяців.</w:t>
            </w:r>
          </w:p>
          <w:p w14:paraId="792C5237"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6. Кабінету Міністрів України вжити заходів щодо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345B130C"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приведення своїх нормативно-правових актів у відповідність із цим Законом;</w:t>
            </w:r>
          </w:p>
          <w:p w14:paraId="24F691FF"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224BA6ED" w14:textId="77777777" w:rsidR="001A75A4" w:rsidRPr="00286216" w:rsidRDefault="001A75A4" w:rsidP="00BB35BA">
            <w:pPr>
              <w:pStyle w:val="StyleProp"/>
              <w:spacing w:line="190" w:lineRule="exact"/>
              <w:rPr>
                <w:color w:val="000000" w:themeColor="text1"/>
                <w:spacing w:val="-2"/>
              </w:rPr>
            </w:pPr>
            <w:r w:rsidRPr="00286216">
              <w:rPr>
                <w:color w:val="000000" w:themeColor="text1"/>
                <w:spacing w:val="-2"/>
              </w:rPr>
              <w:t>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7898A6AB" w14:textId="07F291E9" w:rsidR="001A75A4" w:rsidRPr="00286216" w:rsidRDefault="001A75A4" w:rsidP="00BB35BA">
            <w:pPr>
              <w:pStyle w:val="StyleProp"/>
              <w:spacing w:line="190" w:lineRule="exact"/>
              <w:rPr>
                <w:color w:val="000000" w:themeColor="text1"/>
              </w:rPr>
            </w:pPr>
            <w:r w:rsidRPr="00286216">
              <w:rPr>
                <w:color w:val="000000" w:themeColor="text1"/>
                <w:spacing w:val="-2"/>
              </w:rPr>
              <w:t>8. Національній комісії з цінних паперів та фондового ринку до дня набрання чинності цим Законом розробити та затвердити нормативно-правові акти, передбачені цим Законом".</w:t>
            </w:r>
          </w:p>
        </w:tc>
        <w:tc>
          <w:tcPr>
            <w:tcW w:w="1987" w:type="dxa"/>
          </w:tcPr>
          <w:p w14:paraId="38F7179A" w14:textId="77777777" w:rsidR="001A75A4" w:rsidRPr="00286216" w:rsidRDefault="001A75A4" w:rsidP="001A75A4">
            <w:pPr>
              <w:pStyle w:val="StyleWisnow"/>
              <w:rPr>
                <w:color w:val="000000" w:themeColor="text1"/>
              </w:rPr>
            </w:pPr>
            <w:r w:rsidRPr="00286216">
              <w:rPr>
                <w:color w:val="000000" w:themeColor="text1"/>
              </w:rPr>
              <w:lastRenderedPageBreak/>
              <w:t>Враховано</w:t>
            </w:r>
          </w:p>
          <w:p w14:paraId="133EE303" w14:textId="05D75E66" w:rsidR="001A75A4" w:rsidRPr="00286216" w:rsidRDefault="001A75A4" w:rsidP="001A75A4">
            <w:pPr>
              <w:pStyle w:val="StyleWisnow"/>
              <w:spacing w:line="180" w:lineRule="exact"/>
              <w:rPr>
                <w:color w:val="000000" w:themeColor="text1"/>
              </w:rPr>
            </w:pPr>
            <w:r w:rsidRPr="00286216">
              <w:rPr>
                <w:color w:val="000000" w:themeColor="text1"/>
              </w:rPr>
              <w:t>згідно з узгодженою позицією щодо набрання чинності Законом та його окремими положеннями та відповідно до  доручення Комітету щодо техніко-юридичного доопрацювання редакції законопроекту</w:t>
            </w:r>
          </w:p>
        </w:tc>
        <w:tc>
          <w:tcPr>
            <w:tcW w:w="4818" w:type="dxa"/>
          </w:tcPr>
          <w:p w14:paraId="49E0FA49" w14:textId="77777777" w:rsidR="001A75A4" w:rsidRPr="00286216" w:rsidRDefault="001A75A4" w:rsidP="001A75A4">
            <w:pPr>
              <w:pStyle w:val="StyleZakonu"/>
              <w:rPr>
                <w:color w:val="000000" w:themeColor="text1"/>
              </w:rPr>
            </w:pPr>
            <w:r w:rsidRPr="00286216">
              <w:rPr>
                <w:color w:val="000000" w:themeColor="text1"/>
              </w:rPr>
              <w:t>Розділ VIІ</w:t>
            </w:r>
          </w:p>
          <w:p w14:paraId="56EE94A4" w14:textId="77777777" w:rsidR="001A75A4" w:rsidRPr="00286216" w:rsidRDefault="001A75A4" w:rsidP="001A75A4">
            <w:pPr>
              <w:pStyle w:val="StyleZakonu"/>
              <w:rPr>
                <w:color w:val="000000" w:themeColor="text1"/>
              </w:rPr>
            </w:pPr>
            <w:r w:rsidRPr="00286216">
              <w:rPr>
                <w:color w:val="000000" w:themeColor="text1"/>
              </w:rPr>
              <w:t>ПРИКІНЦЕВІ ТА ПЕРЕХІДНІ ПОЛОЖЕННЯ</w:t>
            </w:r>
          </w:p>
          <w:p w14:paraId="19C9346B" w14:textId="77777777" w:rsidR="001A75A4" w:rsidRPr="00286216" w:rsidRDefault="001A75A4" w:rsidP="001A75A4">
            <w:pPr>
              <w:pStyle w:val="StyleZakonu"/>
              <w:rPr>
                <w:color w:val="000000" w:themeColor="text1"/>
              </w:rPr>
            </w:pPr>
            <w:r w:rsidRPr="00286216">
              <w:rPr>
                <w:color w:val="000000" w:themeColor="text1"/>
              </w:rPr>
              <w:t>1. Цей Закон набирає чинності з 1 липня 2021 року, крім пунктів 2, 4, 6 - 8 цього Розділу, які набирають чинності з дня, наступного за днем опублікування цього Закону.</w:t>
            </w:r>
          </w:p>
          <w:p w14:paraId="56ECA25E" w14:textId="77777777" w:rsidR="001A75A4" w:rsidRPr="00286216" w:rsidRDefault="001A75A4" w:rsidP="001A75A4">
            <w:pPr>
              <w:pStyle w:val="StyleZakonu"/>
              <w:rPr>
                <w:color w:val="000000" w:themeColor="text1"/>
              </w:rPr>
            </w:pPr>
            <w:r w:rsidRPr="00286216">
              <w:rPr>
                <w:color w:val="000000" w:themeColor="text1"/>
              </w:rPr>
              <w:t xml:space="preserve">2. З дня опублікування цього Закону товарні біржі мають право змінювати організаційно-правову форму на товариства з обмеженою відповідальністю, товариства з додатковою відповідальністю або акціонерні товариства.  </w:t>
            </w:r>
          </w:p>
          <w:p w14:paraId="4F1DE483" w14:textId="77777777" w:rsidR="001A75A4" w:rsidRPr="00286216" w:rsidRDefault="001A75A4" w:rsidP="001A75A4">
            <w:pPr>
              <w:pStyle w:val="StyleZakonu"/>
              <w:rPr>
                <w:color w:val="000000" w:themeColor="text1"/>
              </w:rPr>
            </w:pPr>
            <w:r w:rsidRPr="00286216">
              <w:rPr>
                <w:color w:val="000000" w:themeColor="text1"/>
              </w:rPr>
              <w:t xml:space="preserve">3. З 1 липня 2021 року товарні біржі мають право провадити свою діяльність виключно за умови отримання ліцензії на провадження професійної діяльності на організованих товарних ринках – діяльності з організації торгівлі продукцією на </w:t>
            </w:r>
            <w:r w:rsidRPr="00286216">
              <w:rPr>
                <w:color w:val="000000" w:themeColor="text1"/>
              </w:rPr>
              <w:lastRenderedPageBreak/>
              <w:t xml:space="preserve">товарних біржах. </w:t>
            </w:r>
          </w:p>
          <w:p w14:paraId="48D452CD" w14:textId="77777777" w:rsidR="001A75A4" w:rsidRPr="00286216" w:rsidRDefault="001A75A4" w:rsidP="001A75A4">
            <w:pPr>
              <w:pStyle w:val="StyleZakonu"/>
              <w:rPr>
                <w:color w:val="000000" w:themeColor="text1"/>
              </w:rPr>
            </w:pPr>
            <w:r w:rsidRPr="00286216">
              <w:rPr>
                <w:color w:val="000000" w:themeColor="text1"/>
              </w:rPr>
              <w:t>З 1 липня 2021 року слова «товарна біржа» та похідні від них дозволяється використовувати у назві лише юридичним особам, які провадять професійну діяльність на організованих товарних ринках.</w:t>
            </w:r>
          </w:p>
          <w:p w14:paraId="14795AD1" w14:textId="77777777" w:rsidR="001A75A4" w:rsidRPr="00286216" w:rsidRDefault="001A75A4" w:rsidP="001A75A4">
            <w:pPr>
              <w:pStyle w:val="StyleZakonu"/>
              <w:rPr>
                <w:color w:val="000000" w:themeColor="text1"/>
              </w:rPr>
            </w:pPr>
            <w:r w:rsidRPr="00286216">
              <w:rPr>
                <w:color w:val="000000" w:themeColor="text1"/>
              </w:rPr>
              <w:t>4. Національній комісії з цінних паперів та фондового ринку до 1 січня 2021 розробити та затвердити нормативно-правові акти, необхідні для видачі відповідно до вимог цього Закону та Закону України «Про ринки капіталу та організовані товарні ринки» ліцензій на провадження професійної діяльності на організованих товарних ринках – діяльності з організації торгівлі продукцією на товарних біржах та реєстрації правил товарних бірж, передбачивши при цьому набрання такими нормативно-правовими актами чинності з 1 січня 2021 року, а дію таких ліцензій та правил – з дня набрання чинності цим Законом.</w:t>
            </w:r>
          </w:p>
          <w:p w14:paraId="0E9DBD53" w14:textId="77777777" w:rsidR="001A75A4" w:rsidRPr="00286216" w:rsidRDefault="001A75A4" w:rsidP="001A75A4">
            <w:pPr>
              <w:pStyle w:val="StyleZakonu"/>
              <w:rPr>
                <w:color w:val="000000" w:themeColor="text1"/>
              </w:rPr>
            </w:pPr>
            <w:r w:rsidRPr="00286216">
              <w:rPr>
                <w:color w:val="000000" w:themeColor="text1"/>
              </w:rPr>
              <w:t>Відповідно до нормативно-правових актів, передбачених абзацом першим цього пункту, з 1 січня 2021 року Національна комісія з цінних паперів та фондового ринку має право видавати ліцензії на провадження професійної діяльності на організованих товарних ринках – діяльності з організації торгівлі продукцією на товарних біржах та здійснювати реєстрацію правил товарних бірж. При цьому такі ліцензії та правила починають діяти з дня набрання чинності цим Законом.</w:t>
            </w:r>
          </w:p>
          <w:p w14:paraId="5474D1DF" w14:textId="77777777" w:rsidR="001A75A4" w:rsidRPr="00286216" w:rsidRDefault="001A75A4" w:rsidP="001A75A4">
            <w:pPr>
              <w:pStyle w:val="StyleZakonu"/>
              <w:rPr>
                <w:color w:val="000000" w:themeColor="text1"/>
              </w:rPr>
            </w:pPr>
            <w:r w:rsidRPr="00286216">
              <w:rPr>
                <w:color w:val="000000" w:themeColor="text1"/>
              </w:rPr>
              <w:t xml:space="preserve">5. На період до 1 січня 2023 року товарні біржі можуть провадити клірингову діяльність центрального контрагента щодо біржових договорів. Провадження зазначеної діяльності можливе лише у разі наявності чинної ліцензії на провадження клірингової діяльності з визначення зобов’язань та реєстрації відповідно до Закону України "Про ринки капіталу та організовані товарні ринки" правил провадження клірингової діяльності, що передбачають правила провадження клірингової діяльності щодо біржових договорів. Такі товарні біржі під час провадження зазначеної діяльності можуть бути учасниками біржових торгів і здійснювати торгівлю біржовими товарами за свій рахунок або за рахунок третіх осіб та бути стороною біржового договору щодо купівлі-продажу біржових </w:t>
            </w:r>
            <w:r w:rsidRPr="00286216">
              <w:rPr>
                <w:color w:val="000000" w:themeColor="text1"/>
              </w:rPr>
              <w:lastRenderedPageBreak/>
              <w:t>товарів, що укладаються на цих товарних біржах.</w:t>
            </w:r>
          </w:p>
          <w:p w14:paraId="20A4451C" w14:textId="77777777" w:rsidR="001A75A4" w:rsidRPr="00286216" w:rsidRDefault="001A75A4" w:rsidP="001A75A4">
            <w:pPr>
              <w:pStyle w:val="StyleZakonu"/>
              <w:rPr>
                <w:color w:val="000000" w:themeColor="text1"/>
              </w:rPr>
            </w:pPr>
            <w:r w:rsidRPr="00286216">
              <w:rPr>
                <w:color w:val="000000" w:themeColor="text1"/>
              </w:rPr>
              <w:t>У разі провадження товарною біржою клірингової діяльності центрального контрагента щодо біржових договорів, вимоги частини другої статті 11 цього Закону не застосовуються.</w:t>
            </w:r>
          </w:p>
          <w:p w14:paraId="58FC08A1" w14:textId="77777777" w:rsidR="001A75A4" w:rsidRPr="00286216" w:rsidRDefault="001A75A4" w:rsidP="001A75A4">
            <w:pPr>
              <w:pStyle w:val="StyleZakonu"/>
              <w:rPr>
                <w:color w:val="000000" w:themeColor="text1"/>
              </w:rPr>
            </w:pPr>
            <w:r w:rsidRPr="00286216">
              <w:rPr>
                <w:color w:val="000000" w:themeColor="text1"/>
              </w:rPr>
              <w:t>Після 1 січня 2023 року зазначені в абзаці першому цього пункту товарні біржі можуть провадити клірингову діяльність центрального контрагента щодо біржових договорів, у разі якщо жодна юридична особа (у тому числі іноземна) не матиме чинної ліцензії на провадження професійної діяльності на ринках капіталу – клірингової діяльності центрального контрагента та зареєстрованих відповідно до закону правил провадження клірингової діяльності центрального контрагента, що передбачатимуть провадження клірингової діяльності центрального контрагента щодо біржових договорів.</w:t>
            </w:r>
          </w:p>
          <w:p w14:paraId="57E3F0F0" w14:textId="77777777" w:rsidR="001A75A4" w:rsidRPr="00286216" w:rsidRDefault="001A75A4" w:rsidP="001A75A4">
            <w:pPr>
              <w:pStyle w:val="StyleZakonu"/>
              <w:rPr>
                <w:color w:val="000000" w:themeColor="text1"/>
              </w:rPr>
            </w:pPr>
            <w:r w:rsidRPr="00286216">
              <w:rPr>
                <w:color w:val="000000" w:themeColor="text1"/>
              </w:rPr>
              <w:t>Зазначені в абзаці першому цього пункту товарні біржі припиняють провадження клірингової діяльності центрального контрагента щодо біржових договорів після 1 січня 2023 року, за умови якщо з дати реєстрації зазначених в абзаці третьому цього пункту правил минуло шість місяців.</w:t>
            </w:r>
          </w:p>
          <w:p w14:paraId="5E9F08F8" w14:textId="77777777" w:rsidR="001A75A4" w:rsidRPr="00286216" w:rsidRDefault="001A75A4" w:rsidP="001A75A4">
            <w:pPr>
              <w:pStyle w:val="StyleZakonu"/>
              <w:rPr>
                <w:color w:val="000000" w:themeColor="text1"/>
              </w:rPr>
            </w:pPr>
            <w:r w:rsidRPr="00286216">
              <w:rPr>
                <w:color w:val="000000" w:themeColor="text1"/>
              </w:rPr>
              <w:t>6. Кабінету Міністрів України вжити заходів щодо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1627ED82" w14:textId="77777777" w:rsidR="001A75A4" w:rsidRPr="00286216" w:rsidRDefault="001A75A4" w:rsidP="001A75A4">
            <w:pPr>
              <w:pStyle w:val="StyleZakonu"/>
              <w:rPr>
                <w:color w:val="000000" w:themeColor="text1"/>
              </w:rPr>
            </w:pPr>
            <w:r w:rsidRPr="00286216">
              <w:rPr>
                <w:color w:val="000000" w:themeColor="text1"/>
              </w:rPr>
              <w:t>приведення своїх нормативно-правових актів у відповідність із цим Законом;</w:t>
            </w:r>
          </w:p>
          <w:p w14:paraId="14CF5EC8" w14:textId="77777777" w:rsidR="001A75A4" w:rsidRPr="00286216" w:rsidRDefault="001A75A4" w:rsidP="001A75A4">
            <w:pPr>
              <w:pStyle w:val="StyleZakonu"/>
              <w:rPr>
                <w:color w:val="000000" w:themeColor="text1"/>
              </w:rPr>
            </w:pPr>
            <w:r w:rsidRPr="00286216">
              <w:rPr>
                <w:color w:val="000000" w:themeColor="text1"/>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7273EE3A" w14:textId="77777777" w:rsidR="001A75A4" w:rsidRPr="00286216" w:rsidRDefault="001A75A4" w:rsidP="001A75A4">
            <w:pPr>
              <w:pStyle w:val="StyleZakonu"/>
              <w:rPr>
                <w:color w:val="000000" w:themeColor="text1"/>
              </w:rPr>
            </w:pPr>
            <w:r w:rsidRPr="00286216">
              <w:rPr>
                <w:color w:val="000000" w:themeColor="text1"/>
              </w:rPr>
              <w:t>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1CF9A91B" w14:textId="77777777" w:rsidR="001A75A4" w:rsidRDefault="001A75A4" w:rsidP="001A75A4">
            <w:pPr>
              <w:pStyle w:val="StyleZakonu"/>
              <w:rPr>
                <w:color w:val="000000" w:themeColor="text1"/>
              </w:rPr>
            </w:pPr>
            <w:r w:rsidRPr="00286216">
              <w:rPr>
                <w:color w:val="000000" w:themeColor="text1"/>
              </w:rPr>
              <w:t>8. Національній комісії з цінних паперів та фондового ринку до дня набрання чинності цим Законом розробити та затвердити нормативно-правові акти, передбачені цим Законом.</w:t>
            </w:r>
          </w:p>
          <w:p w14:paraId="6AC8CC71" w14:textId="3A2AF4AF" w:rsidR="00BB35BA" w:rsidRPr="00286216" w:rsidRDefault="00BB35BA" w:rsidP="001A75A4">
            <w:pPr>
              <w:pStyle w:val="StyleZakonu"/>
              <w:rPr>
                <w:color w:val="000000" w:themeColor="text1"/>
              </w:rPr>
            </w:pPr>
          </w:p>
        </w:tc>
      </w:tr>
      <w:tr w:rsidR="00826C07" w:rsidRPr="00286216" w14:paraId="0B64D644" w14:textId="77777777" w:rsidTr="00091AA5">
        <w:tc>
          <w:tcPr>
            <w:tcW w:w="576" w:type="dxa"/>
          </w:tcPr>
          <w:p w14:paraId="30DFAC7F" w14:textId="6075FC7F" w:rsidR="00826C07" w:rsidRPr="00286216" w:rsidRDefault="00826C07" w:rsidP="00826C07">
            <w:pPr>
              <w:pStyle w:val="StyleWisnow"/>
              <w:rPr>
                <w:color w:val="000000" w:themeColor="text1"/>
              </w:rPr>
            </w:pPr>
            <w:bookmarkStart w:id="2446" w:name="n2575" w:colFirst="0" w:colLast="0"/>
            <w:r w:rsidRPr="00286216">
              <w:rPr>
                <w:color w:val="000000" w:themeColor="text1"/>
              </w:rPr>
              <w:lastRenderedPageBreak/>
              <w:t>2575.</w:t>
            </w:r>
          </w:p>
        </w:tc>
        <w:tc>
          <w:tcPr>
            <w:tcW w:w="4818" w:type="dxa"/>
          </w:tcPr>
          <w:p w14:paraId="0FE95403" w14:textId="77777777" w:rsidR="00826C07" w:rsidRPr="00286216" w:rsidRDefault="00826C07" w:rsidP="00826C07">
            <w:pPr>
              <w:pStyle w:val="StyleZakonu"/>
              <w:spacing w:after="0"/>
              <w:rPr>
                <w:color w:val="000000" w:themeColor="text1"/>
              </w:rPr>
            </w:pPr>
            <w:r w:rsidRPr="00286216">
              <w:rPr>
                <w:color w:val="000000" w:themeColor="text1"/>
              </w:rPr>
              <w:t xml:space="preserve">Розділ 3. </w:t>
            </w:r>
            <w:r w:rsidRPr="00286216">
              <w:rPr>
                <w:bCs/>
                <w:color w:val="000000" w:themeColor="text1"/>
                <w:shd w:val="clear" w:color="auto" w:fill="FFFFFF"/>
              </w:rPr>
              <w:t>Внести зміни до таких законодавчих актів України</w:t>
            </w:r>
            <w:r w:rsidRPr="00286216">
              <w:rPr>
                <w:color w:val="000000" w:themeColor="text1"/>
              </w:rPr>
              <w:t>:</w:t>
            </w:r>
          </w:p>
        </w:tc>
        <w:tc>
          <w:tcPr>
            <w:tcW w:w="3686" w:type="dxa"/>
          </w:tcPr>
          <w:p w14:paraId="0518A6D2" w14:textId="5C7A2096" w:rsidR="00826C07" w:rsidRPr="00286216" w:rsidRDefault="00826C07" w:rsidP="00826C07">
            <w:pPr>
              <w:pStyle w:val="StyleAwt"/>
              <w:rPr>
                <w:b w:val="0"/>
                <w:i w:val="0"/>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1201</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1767F501" w14:textId="77777777" w:rsidR="00826C07" w:rsidRPr="00286216" w:rsidRDefault="00826C07" w:rsidP="00826C07">
            <w:pPr>
              <w:pStyle w:val="StyleProp"/>
              <w:spacing w:line="190" w:lineRule="exact"/>
              <w:rPr>
                <w:color w:val="000000" w:themeColor="text1"/>
                <w:spacing w:val="-2"/>
              </w:rPr>
            </w:pPr>
            <w:r w:rsidRPr="00286216">
              <w:rPr>
                <w:color w:val="000000" w:themeColor="text1"/>
                <w:spacing w:val="-2"/>
              </w:rPr>
              <w:t>У звʼязку із великим обсягом законопроекту, для оптимізації підготовки до розгляду в другому читанні, а також з метою спрощення правозастосування у разі, якщо він буде прийнятий в цілому, пропонується викласти текст законопроекту в редакції проектів трьох законів з такими назвами:</w:t>
            </w:r>
          </w:p>
          <w:p w14:paraId="3838CE04" w14:textId="77777777" w:rsidR="00826C07" w:rsidRPr="00286216" w:rsidRDefault="00826C07" w:rsidP="00826C07">
            <w:pPr>
              <w:pStyle w:val="StyleProp"/>
              <w:rPr>
                <w:color w:val="000000" w:themeColor="text1"/>
              </w:rPr>
            </w:pPr>
            <w:r w:rsidRPr="00286216">
              <w:rPr>
                <w:color w:val="000000" w:themeColor="text1"/>
              </w:rPr>
              <w:t>1. "Про ринки капіталу та організовані товарні ринки";</w:t>
            </w:r>
          </w:p>
          <w:p w14:paraId="7616A362" w14:textId="77777777" w:rsidR="00826C07" w:rsidRPr="00286216" w:rsidRDefault="00826C07" w:rsidP="00826C07">
            <w:pPr>
              <w:pStyle w:val="StyleProp"/>
              <w:spacing w:line="190" w:lineRule="exact"/>
              <w:rPr>
                <w:color w:val="000000" w:themeColor="text1"/>
              </w:rPr>
            </w:pPr>
            <w:r w:rsidRPr="00286216">
              <w:rPr>
                <w:color w:val="000000" w:themeColor="text1"/>
              </w:rPr>
              <w:t>2. "Про товарні біржі";</w:t>
            </w:r>
          </w:p>
          <w:p w14:paraId="3D59B9B9" w14:textId="44ED0950" w:rsidR="00826C07" w:rsidRPr="00286216" w:rsidRDefault="00826C07" w:rsidP="00BB35BA">
            <w:pPr>
              <w:pStyle w:val="StyleProp"/>
              <w:rPr>
                <w:b/>
                <w:color w:val="000000" w:themeColor="text1"/>
                <w:szCs w:val="18"/>
              </w:rPr>
            </w:pPr>
            <w:r w:rsidRPr="00286216">
              <w:rPr>
                <w:color w:val="000000" w:themeColor="text1"/>
              </w:rPr>
              <w:t>3.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1987" w:type="dxa"/>
          </w:tcPr>
          <w:p w14:paraId="3E697EB3" w14:textId="06A58A45" w:rsidR="00826C07" w:rsidRPr="00286216" w:rsidRDefault="00826C07" w:rsidP="00826C07">
            <w:pPr>
              <w:pStyle w:val="StyleWisnow"/>
              <w:spacing w:line="210" w:lineRule="exact"/>
              <w:rPr>
                <w:color w:val="000000" w:themeColor="text1"/>
              </w:rPr>
            </w:pPr>
            <w:r w:rsidRPr="00286216">
              <w:rPr>
                <w:color w:val="000000" w:themeColor="text1"/>
              </w:rPr>
              <w:t xml:space="preserve">Враховано </w:t>
            </w:r>
          </w:p>
          <w:p w14:paraId="3636CB0B" w14:textId="6C62CF39" w:rsidR="00826C07" w:rsidRPr="00286216" w:rsidRDefault="00826C07" w:rsidP="00826C07">
            <w:pPr>
              <w:pStyle w:val="StyleWisnow"/>
              <w:rPr>
                <w:color w:val="000000" w:themeColor="text1"/>
              </w:rPr>
            </w:pPr>
            <w:r w:rsidRPr="00286216">
              <w:rPr>
                <w:color w:val="000000" w:themeColor="text1"/>
              </w:rPr>
              <w:t xml:space="preserve">з дотриманням правил </w:t>
            </w:r>
            <w:r w:rsidRPr="00286216">
              <w:rPr>
                <w:color w:val="000000" w:themeColor="text1"/>
                <w:spacing w:val="-6"/>
              </w:rPr>
              <w:t>нормопроектувальної</w:t>
            </w:r>
            <w:r w:rsidRPr="00286216">
              <w:rPr>
                <w:color w:val="000000" w:themeColor="text1"/>
              </w:rPr>
              <w:t xml:space="preserve"> техніки</w:t>
            </w:r>
          </w:p>
        </w:tc>
        <w:tc>
          <w:tcPr>
            <w:tcW w:w="4818" w:type="dxa"/>
          </w:tcPr>
          <w:p w14:paraId="6F1840DB" w14:textId="77777777" w:rsidR="00826C07" w:rsidRPr="00286216" w:rsidRDefault="00826C07" w:rsidP="00826C07">
            <w:pPr>
              <w:pStyle w:val="StyleZakonu"/>
              <w:ind w:firstLine="0"/>
              <w:jc w:val="center"/>
              <w:rPr>
                <w:color w:val="000000" w:themeColor="text1"/>
              </w:rPr>
            </w:pPr>
            <w:r w:rsidRPr="00286216">
              <w:rPr>
                <w:color w:val="000000" w:themeColor="text1"/>
              </w:rPr>
              <w:t>ЗАКОН УКРАЇНИ</w:t>
            </w:r>
          </w:p>
          <w:p w14:paraId="107D05ED" w14:textId="05617861" w:rsidR="00826C07" w:rsidRPr="00286216" w:rsidRDefault="00826C07" w:rsidP="00826C07">
            <w:pPr>
              <w:pStyle w:val="StyleZakonu"/>
              <w:ind w:firstLine="0"/>
              <w:jc w:val="center"/>
              <w:rPr>
                <w:color w:val="000000" w:themeColor="text1"/>
              </w:rPr>
            </w:pPr>
            <w:r w:rsidRPr="00286216">
              <w:rPr>
                <w:color w:val="000000" w:themeColor="text1"/>
              </w:rPr>
              <w:t>Про внесення змін до деяких законодавчих актів України у зв’язку з прийняттям законів України "Про ринки капіталу та організовані товарні ринки" та "Про товарні біржі"</w:t>
            </w:r>
          </w:p>
          <w:p w14:paraId="3860955F" w14:textId="77777777" w:rsidR="00826C07" w:rsidRPr="00286216" w:rsidRDefault="00826C07" w:rsidP="00826C07">
            <w:pPr>
              <w:pStyle w:val="StyleZakonu"/>
              <w:rPr>
                <w:color w:val="000000" w:themeColor="text1"/>
              </w:rPr>
            </w:pPr>
          </w:p>
          <w:p w14:paraId="27590C06" w14:textId="50787380" w:rsidR="00826C07" w:rsidRPr="00286216" w:rsidRDefault="00826C07" w:rsidP="00826C07">
            <w:pPr>
              <w:pStyle w:val="StyleZakonu"/>
              <w:rPr>
                <w:color w:val="000000" w:themeColor="text1"/>
              </w:rPr>
            </w:pPr>
            <w:r w:rsidRPr="00286216">
              <w:rPr>
                <w:color w:val="000000" w:themeColor="text1"/>
              </w:rPr>
              <w:t>Верховна Рада України  п о с т а н о в л я є:</w:t>
            </w:r>
          </w:p>
          <w:p w14:paraId="37F3CAFE" w14:textId="77777777" w:rsidR="00826C07" w:rsidRPr="00286216" w:rsidRDefault="00826C07" w:rsidP="00826C07">
            <w:pPr>
              <w:pStyle w:val="StyleZakonu"/>
              <w:rPr>
                <w:color w:val="000000" w:themeColor="text1"/>
              </w:rPr>
            </w:pPr>
          </w:p>
          <w:p w14:paraId="1E2EFB21" w14:textId="77777777" w:rsidR="00826C07" w:rsidRPr="00286216" w:rsidRDefault="00826C07" w:rsidP="00826C07">
            <w:pPr>
              <w:pStyle w:val="StyleZakonu"/>
              <w:rPr>
                <w:color w:val="000000" w:themeColor="text1"/>
              </w:rPr>
            </w:pPr>
            <w:r w:rsidRPr="00286216">
              <w:rPr>
                <w:color w:val="000000" w:themeColor="text1"/>
              </w:rPr>
              <w:t>I. Внести зміни до таких законодавчих актів України:</w:t>
            </w:r>
          </w:p>
        </w:tc>
      </w:tr>
      <w:tr w:rsidR="00826C07" w:rsidRPr="00286216" w14:paraId="75117B92" w14:textId="77777777" w:rsidTr="00091AA5">
        <w:tc>
          <w:tcPr>
            <w:tcW w:w="576" w:type="dxa"/>
          </w:tcPr>
          <w:p w14:paraId="367CA7CD" w14:textId="77777777" w:rsidR="00826C07" w:rsidRPr="00286216" w:rsidRDefault="00826C07" w:rsidP="00826C07">
            <w:pPr>
              <w:pStyle w:val="StyleWisnow"/>
              <w:rPr>
                <w:color w:val="000000" w:themeColor="text1"/>
              </w:rPr>
            </w:pPr>
            <w:bookmarkStart w:id="2447" w:name="n2576" w:colFirst="0" w:colLast="0"/>
            <w:bookmarkEnd w:id="2446"/>
            <w:r w:rsidRPr="00286216">
              <w:rPr>
                <w:color w:val="000000" w:themeColor="text1"/>
              </w:rPr>
              <w:t>2576.</w:t>
            </w:r>
          </w:p>
        </w:tc>
        <w:tc>
          <w:tcPr>
            <w:tcW w:w="4818" w:type="dxa"/>
          </w:tcPr>
          <w:p w14:paraId="673E26AE" w14:textId="77777777" w:rsidR="00826C07" w:rsidRPr="00286216" w:rsidRDefault="00826C07" w:rsidP="00826C07">
            <w:pPr>
              <w:pStyle w:val="StyleZakonu"/>
              <w:rPr>
                <w:color w:val="000000" w:themeColor="text1"/>
              </w:rPr>
            </w:pPr>
            <w:r w:rsidRPr="00286216">
              <w:rPr>
                <w:color w:val="000000" w:themeColor="text1"/>
              </w:rPr>
              <w:t>1. У Кодексі України про адміністративні правопорушення (Відомості Верховної Ради УРСР, 1984 p., додаток до №51, ст. 1122, із наступними змінами):</w:t>
            </w:r>
          </w:p>
        </w:tc>
        <w:tc>
          <w:tcPr>
            <w:tcW w:w="3686" w:type="dxa"/>
          </w:tcPr>
          <w:p w14:paraId="565EDECA" w14:textId="77777777" w:rsidR="00826C07" w:rsidRPr="00286216" w:rsidRDefault="00826C07" w:rsidP="00826C07">
            <w:pPr>
              <w:pStyle w:val="StyleProp"/>
              <w:rPr>
                <w:color w:val="000000" w:themeColor="text1"/>
                <w:szCs w:val="18"/>
              </w:rPr>
            </w:pPr>
          </w:p>
        </w:tc>
        <w:tc>
          <w:tcPr>
            <w:tcW w:w="1987" w:type="dxa"/>
          </w:tcPr>
          <w:p w14:paraId="1095D5B6" w14:textId="77777777" w:rsidR="00826C07" w:rsidRPr="00286216" w:rsidRDefault="00826C07" w:rsidP="00826C07">
            <w:pPr>
              <w:pStyle w:val="StyleWisnow"/>
              <w:rPr>
                <w:color w:val="000000" w:themeColor="text1"/>
              </w:rPr>
            </w:pPr>
          </w:p>
        </w:tc>
        <w:tc>
          <w:tcPr>
            <w:tcW w:w="4818" w:type="dxa"/>
          </w:tcPr>
          <w:p w14:paraId="5F3450ED" w14:textId="2C258511" w:rsidR="00826C07" w:rsidRPr="00286216" w:rsidRDefault="00826C07" w:rsidP="00EF1DBC">
            <w:pPr>
              <w:pStyle w:val="StyleZakonu"/>
              <w:rPr>
                <w:color w:val="000000" w:themeColor="text1"/>
              </w:rPr>
            </w:pPr>
            <w:r w:rsidRPr="00286216">
              <w:rPr>
                <w:color w:val="000000" w:themeColor="text1"/>
              </w:rPr>
              <w:t>1. У Кодексі України про адміністративні правопорушення (Відомості Верховної Ради УРСР, 1984 p., додаток до №51, ст. 1122):</w:t>
            </w:r>
          </w:p>
        </w:tc>
      </w:tr>
      <w:tr w:rsidR="00826C07" w:rsidRPr="00286216" w14:paraId="753C3900" w14:textId="77777777" w:rsidTr="00091AA5">
        <w:tc>
          <w:tcPr>
            <w:tcW w:w="576" w:type="dxa"/>
          </w:tcPr>
          <w:p w14:paraId="3ABE8A53" w14:textId="77777777" w:rsidR="00826C07" w:rsidRPr="00286216" w:rsidRDefault="00826C07" w:rsidP="00826C07">
            <w:pPr>
              <w:pStyle w:val="StyleWisnow"/>
              <w:rPr>
                <w:color w:val="000000" w:themeColor="text1"/>
              </w:rPr>
            </w:pPr>
            <w:bookmarkStart w:id="2448" w:name="n2577" w:colFirst="0" w:colLast="0"/>
            <w:bookmarkEnd w:id="2447"/>
            <w:r w:rsidRPr="00286216">
              <w:rPr>
                <w:color w:val="000000" w:themeColor="text1"/>
              </w:rPr>
              <w:t>2577.</w:t>
            </w:r>
          </w:p>
        </w:tc>
        <w:tc>
          <w:tcPr>
            <w:tcW w:w="4818" w:type="dxa"/>
          </w:tcPr>
          <w:p w14:paraId="3ACD566A" w14:textId="77777777" w:rsidR="00826C07" w:rsidRPr="00286216" w:rsidRDefault="00826C07" w:rsidP="00826C07">
            <w:pPr>
              <w:pStyle w:val="StyleZakonu"/>
              <w:rPr>
                <w:color w:val="000000" w:themeColor="text1"/>
              </w:rPr>
            </w:pPr>
            <w:r w:rsidRPr="00286216">
              <w:rPr>
                <w:color w:val="000000" w:themeColor="text1"/>
              </w:rPr>
              <w:t>1) у статті 163:</w:t>
            </w:r>
          </w:p>
        </w:tc>
        <w:tc>
          <w:tcPr>
            <w:tcW w:w="3686" w:type="dxa"/>
          </w:tcPr>
          <w:p w14:paraId="7278E630" w14:textId="5B79EC15"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323BCCB" w14:textId="77777777" w:rsidR="00826C07" w:rsidRPr="00286216" w:rsidRDefault="00826C07" w:rsidP="00826C07">
            <w:pPr>
              <w:pStyle w:val="StyleProp"/>
              <w:rPr>
                <w:color w:val="000000" w:themeColor="text1"/>
                <w:szCs w:val="18"/>
              </w:rPr>
            </w:pPr>
            <w:r w:rsidRPr="00286216">
              <w:rPr>
                <w:color w:val="000000" w:themeColor="text1"/>
                <w:szCs w:val="18"/>
              </w:rPr>
              <w:t>Підпункт 1 пункту 1 викласти в такій редакції:</w:t>
            </w:r>
          </w:p>
          <w:p w14:paraId="2D0E8D3E" w14:textId="77777777" w:rsidR="00826C07" w:rsidRPr="00286216" w:rsidRDefault="00826C07" w:rsidP="00826C07">
            <w:pPr>
              <w:pStyle w:val="StyleProp"/>
              <w:rPr>
                <w:color w:val="000000" w:themeColor="text1"/>
                <w:szCs w:val="18"/>
              </w:rPr>
            </w:pPr>
            <w:r w:rsidRPr="00286216">
              <w:rPr>
                <w:color w:val="000000" w:themeColor="text1"/>
                <w:szCs w:val="18"/>
              </w:rPr>
              <w:t>«1) статтю 163 викласти в такій редакції:</w:t>
            </w:r>
          </w:p>
          <w:p w14:paraId="224D40AB" w14:textId="77777777" w:rsidR="00826C07" w:rsidRPr="00286216" w:rsidRDefault="00826C07" w:rsidP="00826C07">
            <w:pPr>
              <w:pStyle w:val="StyleProp"/>
              <w:rPr>
                <w:color w:val="000000" w:themeColor="text1"/>
                <w:szCs w:val="18"/>
              </w:rPr>
            </w:pPr>
            <w:r w:rsidRPr="00286216">
              <w:rPr>
                <w:color w:val="000000" w:themeColor="text1"/>
                <w:szCs w:val="18"/>
              </w:rPr>
              <w:t>«Стаття 163. Порушення порядку здійснення емісії цінних паперів</w:t>
            </w:r>
          </w:p>
          <w:p w14:paraId="08B69BFE" w14:textId="77777777" w:rsidR="00826C07" w:rsidRPr="00286216" w:rsidRDefault="00826C07" w:rsidP="00826C07">
            <w:pPr>
              <w:pStyle w:val="StyleProp"/>
              <w:rPr>
                <w:color w:val="000000" w:themeColor="text1"/>
                <w:szCs w:val="18"/>
              </w:rPr>
            </w:pPr>
            <w:r w:rsidRPr="00286216">
              <w:rPr>
                <w:color w:val="000000" w:themeColor="text1"/>
                <w:szCs w:val="18"/>
              </w:rPr>
              <w:t>Порушення установленого законом порядку здійснення емісії цінних паперів, –</w:t>
            </w:r>
          </w:p>
          <w:p w14:paraId="608B17C5" w14:textId="77777777" w:rsidR="00826C07" w:rsidRPr="00286216" w:rsidRDefault="00826C07" w:rsidP="00826C07">
            <w:pPr>
              <w:pStyle w:val="StyleProp"/>
              <w:rPr>
                <w:color w:val="000000" w:themeColor="text1"/>
                <w:szCs w:val="18"/>
              </w:rPr>
            </w:pPr>
            <w:r w:rsidRPr="00286216">
              <w:rPr>
                <w:color w:val="000000" w:themeColor="text1"/>
                <w:szCs w:val="18"/>
              </w:rPr>
              <w:t>тягне за собою накладення штрафу на посадових осіб емітента від двохсот до п’ятисот неоподатковуваних мінімумів доходів громадян.</w:t>
            </w:r>
          </w:p>
          <w:p w14:paraId="531BB8C2" w14:textId="77777777" w:rsidR="00826C07" w:rsidRPr="00286216" w:rsidRDefault="00826C07" w:rsidP="00826C07">
            <w:pPr>
              <w:pStyle w:val="StyleProp"/>
              <w:rPr>
                <w:color w:val="000000" w:themeColor="text1"/>
                <w:szCs w:val="18"/>
              </w:rPr>
            </w:pPr>
            <w:r w:rsidRPr="00286216">
              <w:rPr>
                <w:color w:val="000000" w:themeColor="text1"/>
                <w:szCs w:val="18"/>
              </w:rPr>
              <w:t>Дії, передбачені частиною першою цієї статті, якщо розмір емісії є значним, –</w:t>
            </w:r>
          </w:p>
          <w:p w14:paraId="698BBC4C" w14:textId="77777777" w:rsidR="00826C07" w:rsidRPr="00286216" w:rsidRDefault="00826C07" w:rsidP="00826C07">
            <w:pPr>
              <w:pStyle w:val="StyleProp"/>
              <w:rPr>
                <w:color w:val="000000" w:themeColor="text1"/>
                <w:szCs w:val="18"/>
              </w:rPr>
            </w:pPr>
            <w:r w:rsidRPr="00286216">
              <w:rPr>
                <w:color w:val="000000" w:themeColor="text1"/>
                <w:szCs w:val="18"/>
              </w:rPr>
              <w:t>тягнуть за собою накладення штрафу на посадових осіб емітента від однієї тисячі до двох тисяч неоподатковуваних мінімумів доходів громадян.</w:t>
            </w:r>
          </w:p>
          <w:p w14:paraId="30C396F0" w14:textId="77777777" w:rsidR="00826C07" w:rsidRPr="00286216" w:rsidRDefault="00826C07" w:rsidP="00826C07">
            <w:pPr>
              <w:pStyle w:val="StyleProp"/>
              <w:rPr>
                <w:color w:val="000000" w:themeColor="text1"/>
                <w:szCs w:val="18"/>
              </w:rPr>
            </w:pPr>
            <w:r w:rsidRPr="00286216">
              <w:rPr>
                <w:color w:val="000000" w:themeColor="text1"/>
                <w:szCs w:val="18"/>
              </w:rPr>
              <w:t>Примітка. Розмір емісії вважається значним, якщо номінальна вартість випуску цінних паперів у п’ятсот і більше разів перевищує неоподатковуваний мінімум доходів громадян».</w:t>
            </w:r>
          </w:p>
        </w:tc>
        <w:tc>
          <w:tcPr>
            <w:tcW w:w="1987" w:type="dxa"/>
          </w:tcPr>
          <w:p w14:paraId="5A823B2B" w14:textId="77777777" w:rsidR="00826C07" w:rsidRPr="00286216" w:rsidRDefault="00826C07" w:rsidP="00826C07">
            <w:pPr>
              <w:pStyle w:val="StyleWisnow"/>
              <w:rPr>
                <w:color w:val="000000" w:themeColor="text1"/>
              </w:rPr>
            </w:pPr>
            <w:r w:rsidRPr="00286216">
              <w:rPr>
                <w:color w:val="000000" w:themeColor="text1"/>
              </w:rPr>
              <w:t>Відхилено</w:t>
            </w:r>
          </w:p>
          <w:p w14:paraId="5124D37C" w14:textId="33A19E59" w:rsidR="00826C07" w:rsidRPr="00286216" w:rsidRDefault="00826C07" w:rsidP="00826C07">
            <w:pPr>
              <w:pStyle w:val="StyleWisnow"/>
              <w:spacing w:line="180" w:lineRule="exact"/>
              <w:rPr>
                <w:color w:val="000000" w:themeColor="text1"/>
              </w:rPr>
            </w:pPr>
            <w:r w:rsidRPr="00286216">
              <w:rPr>
                <w:color w:val="000000" w:themeColor="text1"/>
              </w:rPr>
              <w:t>ускладнює правозастосовчу практику</w:t>
            </w:r>
          </w:p>
        </w:tc>
        <w:tc>
          <w:tcPr>
            <w:tcW w:w="4818" w:type="dxa"/>
          </w:tcPr>
          <w:p w14:paraId="0CD22759" w14:textId="77777777" w:rsidR="00826C07" w:rsidRPr="00286216" w:rsidRDefault="00826C07" w:rsidP="00826C07">
            <w:pPr>
              <w:pStyle w:val="StyleZakonu"/>
              <w:rPr>
                <w:color w:val="000000" w:themeColor="text1"/>
              </w:rPr>
            </w:pPr>
            <w:r w:rsidRPr="00286216">
              <w:rPr>
                <w:color w:val="000000" w:themeColor="text1"/>
              </w:rPr>
              <w:t>1) у статті 163:</w:t>
            </w:r>
          </w:p>
        </w:tc>
      </w:tr>
      <w:tr w:rsidR="00EF1DBC" w:rsidRPr="00286216" w14:paraId="66F317D9" w14:textId="77777777" w:rsidTr="00091AA5">
        <w:tc>
          <w:tcPr>
            <w:tcW w:w="576" w:type="dxa"/>
          </w:tcPr>
          <w:p w14:paraId="2263B3A2" w14:textId="77777777" w:rsidR="00EF1DBC" w:rsidRPr="00286216" w:rsidRDefault="00EF1DBC" w:rsidP="00EF1DBC">
            <w:pPr>
              <w:pStyle w:val="StyleWisnow"/>
              <w:rPr>
                <w:color w:val="000000" w:themeColor="text1"/>
              </w:rPr>
            </w:pPr>
            <w:bookmarkStart w:id="2449" w:name="n2578" w:colFirst="0" w:colLast="0"/>
            <w:bookmarkEnd w:id="2448"/>
            <w:r w:rsidRPr="00286216">
              <w:rPr>
                <w:color w:val="000000" w:themeColor="text1"/>
              </w:rPr>
              <w:t>2578.</w:t>
            </w:r>
          </w:p>
        </w:tc>
        <w:tc>
          <w:tcPr>
            <w:tcW w:w="4818" w:type="dxa"/>
          </w:tcPr>
          <w:p w14:paraId="65EF006D" w14:textId="77777777" w:rsidR="00EF1DBC" w:rsidRPr="00286216" w:rsidRDefault="00EF1DBC" w:rsidP="00EF1DBC">
            <w:pPr>
              <w:pStyle w:val="StyleZakonu"/>
              <w:rPr>
                <w:color w:val="000000" w:themeColor="text1"/>
              </w:rPr>
            </w:pPr>
            <w:r w:rsidRPr="00286216">
              <w:rPr>
                <w:color w:val="000000" w:themeColor="text1"/>
              </w:rPr>
              <w:t>а) абзац перший частини першої викласти в такій редакції:</w:t>
            </w:r>
          </w:p>
        </w:tc>
        <w:tc>
          <w:tcPr>
            <w:tcW w:w="3686" w:type="dxa"/>
          </w:tcPr>
          <w:p w14:paraId="1CF046BE" w14:textId="77777777" w:rsidR="00EF1DBC" w:rsidRPr="00286216" w:rsidRDefault="00EF1DBC" w:rsidP="00EF1DBC">
            <w:pPr>
              <w:pStyle w:val="StyleProp"/>
              <w:rPr>
                <w:color w:val="000000" w:themeColor="text1"/>
                <w:szCs w:val="18"/>
              </w:rPr>
            </w:pPr>
          </w:p>
        </w:tc>
        <w:tc>
          <w:tcPr>
            <w:tcW w:w="1987" w:type="dxa"/>
          </w:tcPr>
          <w:p w14:paraId="48D6A524" w14:textId="77777777" w:rsidR="00EF1DBC" w:rsidRPr="00286216" w:rsidRDefault="00EF1DBC" w:rsidP="00EF1DBC">
            <w:pPr>
              <w:pStyle w:val="StyleWisnow"/>
              <w:rPr>
                <w:color w:val="000000" w:themeColor="text1"/>
              </w:rPr>
            </w:pPr>
          </w:p>
        </w:tc>
        <w:tc>
          <w:tcPr>
            <w:tcW w:w="4818" w:type="dxa"/>
          </w:tcPr>
          <w:p w14:paraId="6D8A1FCE" w14:textId="1A01B2D5" w:rsidR="00EF1DBC" w:rsidRPr="00286216" w:rsidRDefault="00EF1DBC" w:rsidP="00EF1DBC">
            <w:pPr>
              <w:pStyle w:val="StyleZakonu"/>
              <w:rPr>
                <w:color w:val="000000" w:themeColor="text1"/>
              </w:rPr>
            </w:pPr>
            <w:r w:rsidRPr="00286216">
              <w:rPr>
                <w:color w:val="000000" w:themeColor="text1"/>
              </w:rPr>
              <w:t>а) абзац перший частини першої викласти в такій редакції:</w:t>
            </w:r>
          </w:p>
        </w:tc>
      </w:tr>
      <w:tr w:rsidR="00EF1DBC" w:rsidRPr="00286216" w14:paraId="51CBA91F" w14:textId="77777777" w:rsidTr="00091AA5">
        <w:tc>
          <w:tcPr>
            <w:tcW w:w="576" w:type="dxa"/>
          </w:tcPr>
          <w:p w14:paraId="16E6BCF9" w14:textId="77777777" w:rsidR="00EF1DBC" w:rsidRPr="00286216" w:rsidRDefault="00EF1DBC" w:rsidP="00EF1DBC">
            <w:pPr>
              <w:pStyle w:val="StyleWisnow"/>
              <w:rPr>
                <w:color w:val="000000" w:themeColor="text1"/>
              </w:rPr>
            </w:pPr>
            <w:bookmarkStart w:id="2450" w:name="n2579" w:colFirst="0" w:colLast="0"/>
            <w:bookmarkEnd w:id="2449"/>
            <w:r w:rsidRPr="00286216">
              <w:rPr>
                <w:color w:val="000000" w:themeColor="text1"/>
              </w:rPr>
              <w:t>2579.</w:t>
            </w:r>
          </w:p>
        </w:tc>
        <w:tc>
          <w:tcPr>
            <w:tcW w:w="4818" w:type="dxa"/>
          </w:tcPr>
          <w:p w14:paraId="2CEC4778" w14:textId="77777777" w:rsidR="00EF1DBC" w:rsidRPr="00286216" w:rsidRDefault="00EF1DBC" w:rsidP="00EF1DBC">
            <w:pPr>
              <w:pStyle w:val="StyleZakonu"/>
              <w:rPr>
                <w:color w:val="000000" w:themeColor="text1"/>
              </w:rPr>
            </w:pPr>
            <w:r w:rsidRPr="00286216">
              <w:rPr>
                <w:color w:val="000000" w:themeColor="text1"/>
              </w:rPr>
              <w:t xml:space="preserve">"Порушення установленого законом порядку </w:t>
            </w:r>
            <w:r w:rsidRPr="00286216">
              <w:rPr>
                <w:color w:val="000000" w:themeColor="text1"/>
              </w:rPr>
              <w:lastRenderedPageBreak/>
              <w:t>здійснення емісії цінних паперів, -";</w:t>
            </w:r>
          </w:p>
        </w:tc>
        <w:tc>
          <w:tcPr>
            <w:tcW w:w="3686" w:type="dxa"/>
          </w:tcPr>
          <w:p w14:paraId="7F7E841B" w14:textId="77777777" w:rsidR="00EF1DBC" w:rsidRPr="00286216" w:rsidRDefault="00EF1DBC" w:rsidP="00EF1DBC">
            <w:pPr>
              <w:pStyle w:val="StyleProp"/>
              <w:rPr>
                <w:color w:val="000000" w:themeColor="text1"/>
                <w:szCs w:val="18"/>
              </w:rPr>
            </w:pPr>
          </w:p>
        </w:tc>
        <w:tc>
          <w:tcPr>
            <w:tcW w:w="1987" w:type="dxa"/>
          </w:tcPr>
          <w:p w14:paraId="339F04E2" w14:textId="77777777" w:rsidR="00EF1DBC" w:rsidRPr="00286216" w:rsidRDefault="00EF1DBC" w:rsidP="00EF1DBC">
            <w:pPr>
              <w:pStyle w:val="StyleWisnow"/>
              <w:rPr>
                <w:color w:val="000000" w:themeColor="text1"/>
              </w:rPr>
            </w:pPr>
          </w:p>
        </w:tc>
        <w:tc>
          <w:tcPr>
            <w:tcW w:w="4818" w:type="dxa"/>
          </w:tcPr>
          <w:p w14:paraId="768B1C5A" w14:textId="1713C303" w:rsidR="00EF1DBC" w:rsidRPr="00286216" w:rsidRDefault="00EF1DBC" w:rsidP="00EF1DBC">
            <w:pPr>
              <w:pStyle w:val="StyleZakonu"/>
              <w:rPr>
                <w:color w:val="000000" w:themeColor="text1"/>
              </w:rPr>
            </w:pPr>
            <w:r w:rsidRPr="00286216">
              <w:rPr>
                <w:color w:val="000000" w:themeColor="text1"/>
              </w:rPr>
              <w:t xml:space="preserve">"Порушення установленого законом порядку </w:t>
            </w:r>
            <w:r w:rsidRPr="00286216">
              <w:rPr>
                <w:color w:val="000000" w:themeColor="text1"/>
              </w:rPr>
              <w:lastRenderedPageBreak/>
              <w:t>здійснення емісії цінних паперів";</w:t>
            </w:r>
          </w:p>
        </w:tc>
      </w:tr>
      <w:tr w:rsidR="00EF1DBC" w:rsidRPr="00286216" w14:paraId="2B7A2CFC" w14:textId="77777777" w:rsidTr="00091AA5">
        <w:tc>
          <w:tcPr>
            <w:tcW w:w="576" w:type="dxa"/>
          </w:tcPr>
          <w:p w14:paraId="0D23F0FE" w14:textId="77777777" w:rsidR="00EF1DBC" w:rsidRPr="00286216" w:rsidRDefault="00EF1DBC" w:rsidP="00EF1DBC">
            <w:pPr>
              <w:pStyle w:val="StyleWisnow"/>
              <w:rPr>
                <w:color w:val="000000" w:themeColor="text1"/>
              </w:rPr>
            </w:pPr>
            <w:bookmarkStart w:id="2451" w:name="n2580" w:colFirst="0" w:colLast="0"/>
            <w:bookmarkEnd w:id="2450"/>
            <w:r w:rsidRPr="00286216">
              <w:rPr>
                <w:color w:val="000000" w:themeColor="text1"/>
              </w:rPr>
              <w:lastRenderedPageBreak/>
              <w:t>2580.</w:t>
            </w:r>
          </w:p>
        </w:tc>
        <w:tc>
          <w:tcPr>
            <w:tcW w:w="4818" w:type="dxa"/>
          </w:tcPr>
          <w:p w14:paraId="36E0F4E0" w14:textId="77777777" w:rsidR="00EF1DBC" w:rsidRPr="00286216" w:rsidRDefault="00EF1DBC" w:rsidP="00EF1DBC">
            <w:pPr>
              <w:pStyle w:val="StyleZakonu"/>
              <w:rPr>
                <w:color w:val="000000" w:themeColor="text1"/>
              </w:rPr>
            </w:pPr>
            <w:r w:rsidRPr="00286216">
              <w:rPr>
                <w:color w:val="000000" w:themeColor="text1"/>
              </w:rPr>
              <w:t>б) у абзаці першому частини другої слова та знаки ", вчинене уповноваженою особою, " виключити;</w:t>
            </w:r>
          </w:p>
        </w:tc>
        <w:tc>
          <w:tcPr>
            <w:tcW w:w="3686" w:type="dxa"/>
          </w:tcPr>
          <w:p w14:paraId="6F1EFC7B" w14:textId="77777777" w:rsidR="00EF1DBC" w:rsidRPr="00286216" w:rsidRDefault="00EF1DBC" w:rsidP="00EF1DBC">
            <w:pPr>
              <w:pStyle w:val="StyleProp"/>
              <w:rPr>
                <w:color w:val="000000" w:themeColor="text1"/>
                <w:szCs w:val="18"/>
              </w:rPr>
            </w:pPr>
          </w:p>
        </w:tc>
        <w:tc>
          <w:tcPr>
            <w:tcW w:w="1987" w:type="dxa"/>
          </w:tcPr>
          <w:p w14:paraId="12C8E2FD" w14:textId="77777777" w:rsidR="00EF1DBC" w:rsidRPr="00286216" w:rsidRDefault="00EF1DBC" w:rsidP="00EF1DBC">
            <w:pPr>
              <w:pStyle w:val="StyleWisnow"/>
              <w:rPr>
                <w:color w:val="000000" w:themeColor="text1"/>
              </w:rPr>
            </w:pPr>
          </w:p>
        </w:tc>
        <w:tc>
          <w:tcPr>
            <w:tcW w:w="4818" w:type="dxa"/>
          </w:tcPr>
          <w:p w14:paraId="3FB8B164" w14:textId="185E2EF1" w:rsidR="00EF1DBC" w:rsidRPr="00286216" w:rsidRDefault="00EF1DBC" w:rsidP="00EF1DBC">
            <w:pPr>
              <w:pStyle w:val="StyleZakonu"/>
              <w:rPr>
                <w:color w:val="000000" w:themeColor="text1"/>
              </w:rPr>
            </w:pPr>
            <w:r w:rsidRPr="00286216">
              <w:rPr>
                <w:color w:val="000000" w:themeColor="text1"/>
              </w:rPr>
              <w:t>б) в абзаці першому частини другої слова "вчинене уповноваженою особою" виключити;</w:t>
            </w:r>
          </w:p>
        </w:tc>
      </w:tr>
      <w:tr w:rsidR="00EF1DBC" w:rsidRPr="00286216" w14:paraId="2C48BBAE" w14:textId="77777777" w:rsidTr="00091AA5">
        <w:tc>
          <w:tcPr>
            <w:tcW w:w="576" w:type="dxa"/>
          </w:tcPr>
          <w:p w14:paraId="091C895B" w14:textId="77777777" w:rsidR="00EF1DBC" w:rsidRPr="00286216" w:rsidRDefault="00EF1DBC" w:rsidP="00EF1DBC">
            <w:pPr>
              <w:pStyle w:val="StyleWisnow"/>
              <w:rPr>
                <w:color w:val="000000" w:themeColor="text1"/>
              </w:rPr>
            </w:pPr>
            <w:bookmarkStart w:id="2452" w:name="n2581" w:colFirst="0" w:colLast="0"/>
            <w:bookmarkEnd w:id="2451"/>
            <w:r w:rsidRPr="00286216">
              <w:rPr>
                <w:color w:val="000000" w:themeColor="text1"/>
              </w:rPr>
              <w:t>2581.</w:t>
            </w:r>
          </w:p>
        </w:tc>
        <w:tc>
          <w:tcPr>
            <w:tcW w:w="4818" w:type="dxa"/>
          </w:tcPr>
          <w:p w14:paraId="26CE1850" w14:textId="77777777" w:rsidR="00EF1DBC" w:rsidRPr="00286216" w:rsidRDefault="00EF1DBC" w:rsidP="00EF1DBC">
            <w:pPr>
              <w:pStyle w:val="StyleZakonu"/>
              <w:rPr>
                <w:color w:val="000000" w:themeColor="text1"/>
              </w:rPr>
            </w:pPr>
            <w:r w:rsidRPr="00286216">
              <w:rPr>
                <w:color w:val="000000" w:themeColor="text1"/>
              </w:rPr>
              <w:t>2) абзац перший статті 163</w:t>
            </w:r>
            <w:r w:rsidRPr="00286216">
              <w:rPr>
                <w:color w:val="000000" w:themeColor="text1"/>
                <w:vertAlign w:val="superscript"/>
              </w:rPr>
              <w:t>5</w:t>
            </w:r>
            <w:r w:rsidRPr="00286216">
              <w:rPr>
                <w:color w:val="000000" w:themeColor="text1"/>
              </w:rPr>
              <w:t xml:space="preserve"> після слів "емітента" доповнити словами "цінних паперів", слова "інвестору у цінні папери (в тому числі акціонеру)" замінити словами "інвестору у фінансові інструменти, який набув право власності на цінні папери такого емітента, ";</w:t>
            </w:r>
          </w:p>
        </w:tc>
        <w:tc>
          <w:tcPr>
            <w:tcW w:w="3686" w:type="dxa"/>
          </w:tcPr>
          <w:p w14:paraId="4B878E01" w14:textId="77777777" w:rsidR="00EF1DBC" w:rsidRPr="00286216" w:rsidRDefault="00EF1DBC" w:rsidP="00EF1DBC">
            <w:pPr>
              <w:pStyle w:val="StyleProp"/>
              <w:rPr>
                <w:color w:val="000000" w:themeColor="text1"/>
                <w:szCs w:val="18"/>
              </w:rPr>
            </w:pPr>
          </w:p>
        </w:tc>
        <w:tc>
          <w:tcPr>
            <w:tcW w:w="1987" w:type="dxa"/>
          </w:tcPr>
          <w:p w14:paraId="2A5F8725" w14:textId="77777777" w:rsidR="00EF1DBC" w:rsidRPr="00286216" w:rsidRDefault="00EF1DBC" w:rsidP="00EF1DBC">
            <w:pPr>
              <w:pStyle w:val="StyleWisnow"/>
              <w:rPr>
                <w:color w:val="000000" w:themeColor="text1"/>
              </w:rPr>
            </w:pPr>
          </w:p>
        </w:tc>
        <w:tc>
          <w:tcPr>
            <w:tcW w:w="4818" w:type="dxa"/>
          </w:tcPr>
          <w:p w14:paraId="2DD0548F" w14:textId="37366386" w:rsidR="00EF1DBC" w:rsidRPr="00286216" w:rsidRDefault="00EF1DBC" w:rsidP="00EF1DBC">
            <w:pPr>
              <w:pStyle w:val="StyleZakonu"/>
              <w:rPr>
                <w:color w:val="000000" w:themeColor="text1"/>
              </w:rPr>
            </w:pPr>
            <w:r w:rsidRPr="00286216">
              <w:rPr>
                <w:color w:val="000000" w:themeColor="text1"/>
              </w:rPr>
              <w:t>2) в абзаці першому статті 163</w:t>
            </w:r>
            <w:r w:rsidRPr="00286216">
              <w:rPr>
                <w:color w:val="000000" w:themeColor="text1"/>
                <w:vertAlign w:val="superscript"/>
              </w:rPr>
              <w:t>5</w:t>
            </w:r>
            <w:r w:rsidRPr="00286216">
              <w:rPr>
                <w:color w:val="000000" w:themeColor="text1"/>
              </w:rPr>
              <w:t xml:space="preserve"> слова "інвестору у цінні папери (в тому числі акціонеру)" замінити словами "інвестору у фінансові інструменти, який набув право власності на цінні папери такого емітента, ", після слова "емітента" доповнити словами "цінних паперів",;</w:t>
            </w:r>
          </w:p>
        </w:tc>
      </w:tr>
      <w:tr w:rsidR="00EF1DBC" w:rsidRPr="00286216" w14:paraId="24A04E2C" w14:textId="77777777" w:rsidTr="00091AA5">
        <w:tc>
          <w:tcPr>
            <w:tcW w:w="576" w:type="dxa"/>
          </w:tcPr>
          <w:p w14:paraId="7D54D1DB" w14:textId="77777777" w:rsidR="00EF1DBC" w:rsidRPr="00286216" w:rsidRDefault="00EF1DBC" w:rsidP="00EF1DBC">
            <w:pPr>
              <w:pStyle w:val="StyleWisnow"/>
              <w:rPr>
                <w:color w:val="000000" w:themeColor="text1"/>
              </w:rPr>
            </w:pPr>
            <w:bookmarkStart w:id="2453" w:name="n2582" w:colFirst="0" w:colLast="0"/>
            <w:bookmarkEnd w:id="2452"/>
            <w:r w:rsidRPr="00286216">
              <w:rPr>
                <w:color w:val="000000" w:themeColor="text1"/>
              </w:rPr>
              <w:t>2582.</w:t>
            </w:r>
          </w:p>
        </w:tc>
        <w:tc>
          <w:tcPr>
            <w:tcW w:w="4818" w:type="dxa"/>
          </w:tcPr>
          <w:p w14:paraId="3A03C1FC" w14:textId="77777777" w:rsidR="00EF1DBC" w:rsidRPr="00286216" w:rsidRDefault="00EF1DBC" w:rsidP="00EF1DBC">
            <w:pPr>
              <w:pStyle w:val="StyleZakonu"/>
              <w:rPr>
                <w:color w:val="000000" w:themeColor="text1"/>
              </w:rPr>
            </w:pPr>
            <w:r w:rsidRPr="00286216">
              <w:rPr>
                <w:color w:val="000000" w:themeColor="text1"/>
              </w:rPr>
              <w:t>3) назву статті 163</w:t>
            </w:r>
            <w:r w:rsidRPr="00286216">
              <w:rPr>
                <w:color w:val="000000" w:themeColor="text1"/>
                <w:vertAlign w:val="superscript"/>
              </w:rPr>
              <w:t xml:space="preserve">6 </w:t>
            </w:r>
            <w:r w:rsidRPr="00286216">
              <w:rPr>
                <w:color w:val="000000" w:themeColor="text1"/>
              </w:rPr>
              <w:t>викласти в такій редакції:</w:t>
            </w:r>
          </w:p>
        </w:tc>
        <w:tc>
          <w:tcPr>
            <w:tcW w:w="3686" w:type="dxa"/>
          </w:tcPr>
          <w:p w14:paraId="3D35AB1A" w14:textId="77777777" w:rsidR="00EF1DBC" w:rsidRPr="00286216" w:rsidRDefault="00EF1DBC" w:rsidP="00EF1DBC">
            <w:pPr>
              <w:pStyle w:val="StyleProp"/>
              <w:rPr>
                <w:color w:val="000000" w:themeColor="text1"/>
                <w:szCs w:val="18"/>
              </w:rPr>
            </w:pPr>
          </w:p>
        </w:tc>
        <w:tc>
          <w:tcPr>
            <w:tcW w:w="1987" w:type="dxa"/>
          </w:tcPr>
          <w:p w14:paraId="4EF1D405" w14:textId="77777777" w:rsidR="00EF1DBC" w:rsidRPr="00286216" w:rsidRDefault="00EF1DBC" w:rsidP="00EF1DBC">
            <w:pPr>
              <w:pStyle w:val="StyleWisnow"/>
              <w:rPr>
                <w:color w:val="000000" w:themeColor="text1"/>
              </w:rPr>
            </w:pPr>
          </w:p>
        </w:tc>
        <w:tc>
          <w:tcPr>
            <w:tcW w:w="4818" w:type="dxa"/>
          </w:tcPr>
          <w:p w14:paraId="2E5F99E9" w14:textId="38BCDF67" w:rsidR="00EF1DBC" w:rsidRPr="00286216" w:rsidRDefault="00EF1DBC" w:rsidP="00EF1DBC">
            <w:pPr>
              <w:pStyle w:val="StyleZakonu"/>
              <w:rPr>
                <w:color w:val="000000" w:themeColor="text1"/>
              </w:rPr>
            </w:pPr>
            <w:r w:rsidRPr="00286216">
              <w:rPr>
                <w:color w:val="000000" w:themeColor="text1"/>
              </w:rPr>
              <w:t>3) назву статті 163</w:t>
            </w:r>
            <w:r w:rsidRPr="00286216">
              <w:rPr>
                <w:color w:val="000000" w:themeColor="text1"/>
                <w:vertAlign w:val="superscript"/>
              </w:rPr>
              <w:t xml:space="preserve">6 </w:t>
            </w:r>
            <w:r w:rsidRPr="00286216">
              <w:rPr>
                <w:color w:val="000000" w:themeColor="text1"/>
              </w:rPr>
              <w:t>викласти в такій редакції:</w:t>
            </w:r>
          </w:p>
        </w:tc>
      </w:tr>
      <w:tr w:rsidR="00EF1DBC" w:rsidRPr="00286216" w14:paraId="3C5F2E08" w14:textId="77777777" w:rsidTr="00091AA5">
        <w:tc>
          <w:tcPr>
            <w:tcW w:w="576" w:type="dxa"/>
          </w:tcPr>
          <w:p w14:paraId="34E3AF3F" w14:textId="77777777" w:rsidR="00EF1DBC" w:rsidRPr="00286216" w:rsidRDefault="00EF1DBC" w:rsidP="00EF1DBC">
            <w:pPr>
              <w:pStyle w:val="StyleWisnow"/>
              <w:rPr>
                <w:color w:val="000000" w:themeColor="text1"/>
              </w:rPr>
            </w:pPr>
            <w:bookmarkStart w:id="2454" w:name="n2583" w:colFirst="0" w:colLast="0"/>
            <w:bookmarkEnd w:id="2453"/>
            <w:r w:rsidRPr="00286216">
              <w:rPr>
                <w:color w:val="000000" w:themeColor="text1"/>
              </w:rPr>
              <w:t>2583.</w:t>
            </w:r>
          </w:p>
        </w:tc>
        <w:tc>
          <w:tcPr>
            <w:tcW w:w="4818" w:type="dxa"/>
          </w:tcPr>
          <w:p w14:paraId="1DC6E5BF" w14:textId="77777777" w:rsidR="00EF1DBC" w:rsidRPr="00286216" w:rsidRDefault="00EF1DBC" w:rsidP="00EF1DBC">
            <w:pPr>
              <w:pStyle w:val="StyleZakonu"/>
              <w:rPr>
                <w:color w:val="000000" w:themeColor="text1"/>
              </w:rPr>
            </w:pPr>
            <w:r w:rsidRPr="00286216">
              <w:rPr>
                <w:color w:val="000000" w:themeColor="text1"/>
              </w:rPr>
              <w:t>"163</w:t>
            </w:r>
            <w:r w:rsidRPr="00286216">
              <w:rPr>
                <w:color w:val="000000" w:themeColor="text1"/>
                <w:vertAlign w:val="superscript"/>
              </w:rPr>
              <w:t>6</w:t>
            </w:r>
            <w:r w:rsidRPr="00286216">
              <w:rPr>
                <w:color w:val="000000" w:themeColor="text1"/>
              </w:rPr>
              <w:t>.</w:t>
            </w:r>
            <w:r w:rsidRPr="00286216">
              <w:rPr>
                <w:color w:val="000000" w:themeColor="text1"/>
                <w:vertAlign w:val="superscript"/>
              </w:rPr>
              <w:t xml:space="preserve"> </w:t>
            </w:r>
            <w:r w:rsidRPr="00286216">
              <w:rPr>
                <w:color w:val="000000" w:themeColor="text1"/>
              </w:rPr>
              <w:t>Ненадання документів, надання яких передбачено законодавством про депозитарну систему України";</w:t>
            </w:r>
          </w:p>
        </w:tc>
        <w:tc>
          <w:tcPr>
            <w:tcW w:w="3686" w:type="dxa"/>
          </w:tcPr>
          <w:p w14:paraId="72688C67" w14:textId="77777777" w:rsidR="00EF1DBC" w:rsidRPr="00286216" w:rsidRDefault="00EF1DBC" w:rsidP="00EF1DBC">
            <w:pPr>
              <w:pStyle w:val="StyleProp"/>
              <w:rPr>
                <w:color w:val="000000" w:themeColor="text1"/>
                <w:szCs w:val="18"/>
              </w:rPr>
            </w:pPr>
          </w:p>
        </w:tc>
        <w:tc>
          <w:tcPr>
            <w:tcW w:w="1987" w:type="dxa"/>
          </w:tcPr>
          <w:p w14:paraId="2FDF3837" w14:textId="77777777" w:rsidR="00EF1DBC" w:rsidRPr="00286216" w:rsidRDefault="00EF1DBC" w:rsidP="00EF1DBC">
            <w:pPr>
              <w:pStyle w:val="StyleWisnow"/>
              <w:rPr>
                <w:color w:val="000000" w:themeColor="text1"/>
              </w:rPr>
            </w:pPr>
          </w:p>
        </w:tc>
        <w:tc>
          <w:tcPr>
            <w:tcW w:w="4818" w:type="dxa"/>
          </w:tcPr>
          <w:p w14:paraId="217C65EE" w14:textId="018F3AC7" w:rsidR="00EF1DBC" w:rsidRPr="00286216" w:rsidRDefault="00EF1DBC" w:rsidP="00EF1DBC">
            <w:pPr>
              <w:pStyle w:val="StyleZakonu"/>
              <w:rPr>
                <w:color w:val="000000" w:themeColor="text1"/>
              </w:rPr>
            </w:pPr>
            <w:r w:rsidRPr="00286216">
              <w:rPr>
                <w:color w:val="000000" w:themeColor="text1"/>
              </w:rPr>
              <w:t>"Стаття 163</w:t>
            </w:r>
            <w:r w:rsidRPr="00286216">
              <w:rPr>
                <w:color w:val="000000" w:themeColor="text1"/>
                <w:vertAlign w:val="superscript"/>
              </w:rPr>
              <w:t>6</w:t>
            </w:r>
            <w:r w:rsidRPr="00286216">
              <w:rPr>
                <w:color w:val="000000" w:themeColor="text1"/>
              </w:rPr>
              <w:t>.</w:t>
            </w:r>
            <w:r w:rsidRPr="00286216">
              <w:rPr>
                <w:color w:val="000000" w:themeColor="text1"/>
                <w:vertAlign w:val="superscript"/>
              </w:rPr>
              <w:t xml:space="preserve"> </w:t>
            </w:r>
            <w:r w:rsidRPr="00286216">
              <w:rPr>
                <w:color w:val="000000" w:themeColor="text1"/>
              </w:rPr>
              <w:t>Ненадання документів, надання яких передбачено законодавством про депозитарну систему України";</w:t>
            </w:r>
          </w:p>
        </w:tc>
      </w:tr>
      <w:tr w:rsidR="00EF1DBC" w:rsidRPr="00286216" w14:paraId="5691FDC8" w14:textId="77777777" w:rsidTr="00091AA5">
        <w:tc>
          <w:tcPr>
            <w:tcW w:w="576" w:type="dxa"/>
          </w:tcPr>
          <w:p w14:paraId="2A75C931" w14:textId="77777777" w:rsidR="00EF1DBC" w:rsidRPr="00286216" w:rsidRDefault="00EF1DBC" w:rsidP="00EF1DBC">
            <w:pPr>
              <w:pStyle w:val="StyleWisnow"/>
              <w:rPr>
                <w:color w:val="000000" w:themeColor="text1"/>
              </w:rPr>
            </w:pPr>
            <w:bookmarkStart w:id="2455" w:name="n2584" w:colFirst="0" w:colLast="0"/>
            <w:bookmarkEnd w:id="2454"/>
            <w:r w:rsidRPr="00286216">
              <w:rPr>
                <w:color w:val="000000" w:themeColor="text1"/>
              </w:rPr>
              <w:t>2584.</w:t>
            </w:r>
          </w:p>
        </w:tc>
        <w:tc>
          <w:tcPr>
            <w:tcW w:w="4818" w:type="dxa"/>
          </w:tcPr>
          <w:p w14:paraId="03B41FF1" w14:textId="77777777" w:rsidR="00EF1DBC" w:rsidRPr="00286216" w:rsidRDefault="00EF1DBC" w:rsidP="00EF1DBC">
            <w:pPr>
              <w:pStyle w:val="StyleZakonu"/>
              <w:rPr>
                <w:color w:val="000000" w:themeColor="text1"/>
              </w:rPr>
            </w:pPr>
            <w:r w:rsidRPr="00286216">
              <w:rPr>
                <w:color w:val="000000" w:themeColor="text1"/>
              </w:rPr>
              <w:t>4) у статті 163</w:t>
            </w:r>
            <w:r w:rsidRPr="00286216">
              <w:rPr>
                <w:color w:val="000000" w:themeColor="text1"/>
                <w:vertAlign w:val="superscript"/>
              </w:rPr>
              <w:t>7</w:t>
            </w:r>
            <w:r w:rsidRPr="00286216">
              <w:rPr>
                <w:color w:val="000000" w:themeColor="text1"/>
              </w:rPr>
              <w:t>:</w:t>
            </w:r>
          </w:p>
        </w:tc>
        <w:tc>
          <w:tcPr>
            <w:tcW w:w="3686" w:type="dxa"/>
          </w:tcPr>
          <w:p w14:paraId="303A0A70" w14:textId="77777777" w:rsidR="00EF1DBC" w:rsidRPr="00286216" w:rsidRDefault="00EF1DBC" w:rsidP="00EF1DBC">
            <w:pPr>
              <w:pStyle w:val="StyleProp"/>
              <w:rPr>
                <w:color w:val="000000" w:themeColor="text1"/>
                <w:szCs w:val="18"/>
              </w:rPr>
            </w:pPr>
          </w:p>
        </w:tc>
        <w:tc>
          <w:tcPr>
            <w:tcW w:w="1987" w:type="dxa"/>
          </w:tcPr>
          <w:p w14:paraId="3DAF32C5" w14:textId="77777777" w:rsidR="00EF1DBC" w:rsidRPr="00286216" w:rsidRDefault="00EF1DBC" w:rsidP="00EF1DBC">
            <w:pPr>
              <w:pStyle w:val="StyleWisnow"/>
              <w:rPr>
                <w:color w:val="000000" w:themeColor="text1"/>
              </w:rPr>
            </w:pPr>
          </w:p>
        </w:tc>
        <w:tc>
          <w:tcPr>
            <w:tcW w:w="4818" w:type="dxa"/>
          </w:tcPr>
          <w:p w14:paraId="053B7F5E" w14:textId="077BA86A" w:rsidR="00EF1DBC" w:rsidRPr="00286216" w:rsidRDefault="00EF1DBC" w:rsidP="00EF1DBC">
            <w:pPr>
              <w:pStyle w:val="StyleZakonu"/>
              <w:rPr>
                <w:color w:val="000000" w:themeColor="text1"/>
              </w:rPr>
            </w:pPr>
            <w:r w:rsidRPr="00286216">
              <w:rPr>
                <w:color w:val="000000" w:themeColor="text1"/>
              </w:rPr>
              <w:t>4) у статті 163</w:t>
            </w:r>
            <w:r w:rsidRPr="00286216">
              <w:rPr>
                <w:color w:val="000000" w:themeColor="text1"/>
                <w:vertAlign w:val="superscript"/>
              </w:rPr>
              <w:t>7</w:t>
            </w:r>
            <w:r w:rsidRPr="00286216">
              <w:rPr>
                <w:color w:val="000000" w:themeColor="text1"/>
              </w:rPr>
              <w:t xml:space="preserve"> назву і абзац перший частини першої викласти в такій редакції:</w:t>
            </w:r>
          </w:p>
        </w:tc>
      </w:tr>
      <w:tr w:rsidR="00EF1DBC" w:rsidRPr="00286216" w14:paraId="39051E3F" w14:textId="77777777" w:rsidTr="00091AA5">
        <w:tc>
          <w:tcPr>
            <w:tcW w:w="576" w:type="dxa"/>
          </w:tcPr>
          <w:p w14:paraId="39C1CA2F" w14:textId="77777777" w:rsidR="00EF1DBC" w:rsidRPr="00286216" w:rsidRDefault="00EF1DBC" w:rsidP="00EF1DBC">
            <w:pPr>
              <w:pStyle w:val="StyleWisnow"/>
              <w:rPr>
                <w:color w:val="000000" w:themeColor="text1"/>
              </w:rPr>
            </w:pPr>
            <w:bookmarkStart w:id="2456" w:name="n2585" w:colFirst="0" w:colLast="0"/>
            <w:bookmarkEnd w:id="2455"/>
            <w:r w:rsidRPr="00286216">
              <w:rPr>
                <w:color w:val="000000" w:themeColor="text1"/>
              </w:rPr>
              <w:t>2585.</w:t>
            </w:r>
          </w:p>
        </w:tc>
        <w:tc>
          <w:tcPr>
            <w:tcW w:w="4818" w:type="dxa"/>
          </w:tcPr>
          <w:p w14:paraId="5A762F76" w14:textId="77777777" w:rsidR="00EF1DBC" w:rsidRPr="00286216" w:rsidRDefault="00EF1DBC" w:rsidP="00EF1DBC">
            <w:pPr>
              <w:pStyle w:val="StyleZakonu"/>
              <w:rPr>
                <w:color w:val="000000" w:themeColor="text1"/>
              </w:rPr>
            </w:pPr>
            <w:r w:rsidRPr="00286216">
              <w:rPr>
                <w:color w:val="000000" w:themeColor="text1"/>
              </w:rPr>
              <w:t>а) назву статті викласти в такій редакції:</w:t>
            </w:r>
          </w:p>
        </w:tc>
        <w:tc>
          <w:tcPr>
            <w:tcW w:w="3686" w:type="dxa"/>
          </w:tcPr>
          <w:p w14:paraId="0307992A" w14:textId="77777777" w:rsidR="00EF1DBC" w:rsidRPr="00286216" w:rsidRDefault="00EF1DBC" w:rsidP="00EF1DBC">
            <w:pPr>
              <w:pStyle w:val="StyleProp"/>
              <w:rPr>
                <w:color w:val="000000" w:themeColor="text1"/>
                <w:szCs w:val="18"/>
              </w:rPr>
            </w:pPr>
          </w:p>
        </w:tc>
        <w:tc>
          <w:tcPr>
            <w:tcW w:w="1987" w:type="dxa"/>
          </w:tcPr>
          <w:p w14:paraId="558B84D2" w14:textId="77777777" w:rsidR="00EF1DBC" w:rsidRPr="00286216" w:rsidRDefault="00EF1DBC" w:rsidP="00EF1DBC">
            <w:pPr>
              <w:pStyle w:val="StyleWisnow"/>
              <w:rPr>
                <w:color w:val="000000" w:themeColor="text1"/>
              </w:rPr>
            </w:pPr>
          </w:p>
        </w:tc>
        <w:tc>
          <w:tcPr>
            <w:tcW w:w="4818" w:type="dxa"/>
          </w:tcPr>
          <w:p w14:paraId="64735EB4" w14:textId="2DF8A2C8" w:rsidR="00EF1DBC" w:rsidRPr="00286216" w:rsidRDefault="00EF1DBC" w:rsidP="00EF1DBC">
            <w:pPr>
              <w:pStyle w:val="StyleZakonu"/>
              <w:rPr>
                <w:color w:val="000000" w:themeColor="text1"/>
              </w:rPr>
            </w:pPr>
          </w:p>
        </w:tc>
      </w:tr>
      <w:tr w:rsidR="00EF1DBC" w:rsidRPr="00286216" w14:paraId="4A3BBAA8" w14:textId="77777777" w:rsidTr="00091AA5">
        <w:tc>
          <w:tcPr>
            <w:tcW w:w="576" w:type="dxa"/>
          </w:tcPr>
          <w:p w14:paraId="14661E39" w14:textId="77777777" w:rsidR="00EF1DBC" w:rsidRPr="00286216" w:rsidRDefault="00EF1DBC" w:rsidP="00EF1DBC">
            <w:pPr>
              <w:pStyle w:val="StyleWisnow"/>
              <w:rPr>
                <w:color w:val="000000" w:themeColor="text1"/>
              </w:rPr>
            </w:pPr>
            <w:bookmarkStart w:id="2457" w:name="n2586" w:colFirst="0" w:colLast="0"/>
            <w:bookmarkEnd w:id="2456"/>
            <w:r w:rsidRPr="00286216">
              <w:rPr>
                <w:color w:val="000000" w:themeColor="text1"/>
              </w:rPr>
              <w:t>2586.</w:t>
            </w:r>
          </w:p>
        </w:tc>
        <w:tc>
          <w:tcPr>
            <w:tcW w:w="4818" w:type="dxa"/>
          </w:tcPr>
          <w:p w14:paraId="2CA22130" w14:textId="77777777" w:rsidR="00EF1DBC" w:rsidRPr="00286216" w:rsidRDefault="00EF1DBC" w:rsidP="00EF1DBC">
            <w:pPr>
              <w:pStyle w:val="StyleZakonu"/>
              <w:rPr>
                <w:color w:val="000000" w:themeColor="text1"/>
              </w:rPr>
            </w:pPr>
            <w:r w:rsidRPr="00286216">
              <w:rPr>
                <w:color w:val="000000" w:themeColor="text1"/>
              </w:rPr>
              <w:t>"Стаття 163</w:t>
            </w:r>
            <w:r w:rsidRPr="00286216">
              <w:rPr>
                <w:color w:val="000000" w:themeColor="text1"/>
                <w:vertAlign w:val="superscript"/>
              </w:rPr>
              <w:t>7</w:t>
            </w:r>
            <w:r w:rsidRPr="00286216">
              <w:rPr>
                <w:color w:val="000000" w:themeColor="text1"/>
              </w:rPr>
              <w:t>. Діяльність на ринках капіталу та організованих товарних ринках без ліцензії";</w:t>
            </w:r>
          </w:p>
        </w:tc>
        <w:tc>
          <w:tcPr>
            <w:tcW w:w="3686" w:type="dxa"/>
          </w:tcPr>
          <w:p w14:paraId="62DFF5EB" w14:textId="3D4B1366" w:rsidR="00EF1DBC" w:rsidRPr="00286216" w:rsidRDefault="00EF1DBC" w:rsidP="00EF1DBC">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1203</w:t>
            </w:r>
            <w:r w:rsidRPr="00286216">
              <w:rPr>
                <w:color w:val="000000" w:themeColor="text1"/>
                <w:spacing w:val="-10"/>
              </w:rPr>
              <w:fldChar w:fldCharType="end"/>
            </w:r>
            <w:r w:rsidRPr="00286216">
              <w:rPr>
                <w:color w:val="000000" w:themeColor="text1"/>
                <w:spacing w:val="-10"/>
              </w:rPr>
              <w:t>-Н.д.Гетманцев Д.О.(Реєстр.картка №245)</w:t>
            </w:r>
          </w:p>
          <w:p w14:paraId="44EA1D26" w14:textId="77777777" w:rsidR="00EF1DBC" w:rsidRPr="00286216" w:rsidRDefault="00EF1DBC" w:rsidP="00EF1DBC">
            <w:pPr>
              <w:pStyle w:val="StyleProp"/>
              <w:rPr>
                <w:color w:val="000000" w:themeColor="text1"/>
              </w:rPr>
            </w:pPr>
            <w:r w:rsidRPr="00286216">
              <w:rPr>
                <w:color w:val="000000" w:themeColor="text1"/>
              </w:rPr>
              <w:t xml:space="preserve">У Розділі 3, яким пропонується внести зміни до </w:t>
            </w:r>
            <w:r w:rsidRPr="00286216">
              <w:rPr>
                <w:bCs/>
                <w:color w:val="000000" w:themeColor="text1"/>
              </w:rPr>
              <w:t xml:space="preserve">законодавчих актів України </w:t>
            </w:r>
            <w:r w:rsidRPr="00286216">
              <w:rPr>
                <w:color w:val="000000" w:themeColor="text1"/>
              </w:rPr>
              <w:t>У пункті 1 у підпункті четвертому абзац другий викласти у редакції:</w:t>
            </w:r>
          </w:p>
          <w:p w14:paraId="646D2068" w14:textId="77777777" w:rsidR="00EF1DBC" w:rsidRPr="00286216" w:rsidRDefault="00EF1DBC" w:rsidP="00EF1DBC">
            <w:pPr>
              <w:pStyle w:val="StyleProp"/>
              <w:rPr>
                <w:b/>
                <w:i/>
                <w:color w:val="000000" w:themeColor="text1"/>
              </w:rPr>
            </w:pPr>
            <w:r w:rsidRPr="00286216">
              <w:rPr>
                <w:color w:val="000000" w:themeColor="text1"/>
              </w:rPr>
              <w:t>«Стаття 163-7. Порушення порядку діяльності на ринках капіталу та організованих товарних ринках»</w:t>
            </w:r>
          </w:p>
        </w:tc>
        <w:tc>
          <w:tcPr>
            <w:tcW w:w="1987" w:type="dxa"/>
          </w:tcPr>
          <w:p w14:paraId="49811B4F"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79018441" w14:textId="574A1CBC" w:rsidR="00EF1DBC" w:rsidRPr="00286216" w:rsidRDefault="00EF1DBC" w:rsidP="00EF1DBC">
            <w:pPr>
              <w:pStyle w:val="StyleZakonu"/>
              <w:rPr>
                <w:color w:val="000000" w:themeColor="text1"/>
              </w:rPr>
            </w:pPr>
            <w:r w:rsidRPr="00286216">
              <w:rPr>
                <w:color w:val="000000" w:themeColor="text1"/>
              </w:rPr>
              <w:t>"Стаття 163</w:t>
            </w:r>
            <w:r w:rsidRPr="00286216">
              <w:rPr>
                <w:color w:val="000000" w:themeColor="text1"/>
                <w:vertAlign w:val="superscript"/>
              </w:rPr>
              <w:t>7</w:t>
            </w:r>
            <w:r w:rsidRPr="00286216">
              <w:rPr>
                <w:color w:val="000000" w:themeColor="text1"/>
              </w:rPr>
              <w:t>. Порушення порядку діяльності на ринках капіталу та організованих товарних ринках</w:t>
            </w:r>
          </w:p>
        </w:tc>
      </w:tr>
      <w:tr w:rsidR="00EF1DBC" w:rsidRPr="00286216" w14:paraId="5DAD0AC9" w14:textId="77777777" w:rsidTr="00091AA5">
        <w:tc>
          <w:tcPr>
            <w:tcW w:w="576" w:type="dxa"/>
          </w:tcPr>
          <w:p w14:paraId="7074A169" w14:textId="77777777" w:rsidR="00EF1DBC" w:rsidRPr="00286216" w:rsidRDefault="00EF1DBC" w:rsidP="00EF1DBC">
            <w:pPr>
              <w:pStyle w:val="StyleWisnow"/>
              <w:rPr>
                <w:color w:val="000000" w:themeColor="text1"/>
              </w:rPr>
            </w:pPr>
            <w:bookmarkStart w:id="2458" w:name="n2587" w:colFirst="0" w:colLast="0"/>
            <w:bookmarkEnd w:id="2457"/>
            <w:r w:rsidRPr="00286216">
              <w:rPr>
                <w:color w:val="000000" w:themeColor="text1"/>
              </w:rPr>
              <w:t>2587.</w:t>
            </w:r>
          </w:p>
        </w:tc>
        <w:tc>
          <w:tcPr>
            <w:tcW w:w="4818" w:type="dxa"/>
          </w:tcPr>
          <w:p w14:paraId="456125F1" w14:textId="77777777" w:rsidR="00EF1DBC" w:rsidRPr="00286216" w:rsidRDefault="00EF1DBC" w:rsidP="00EF1DBC">
            <w:pPr>
              <w:pStyle w:val="StyleZakonu"/>
              <w:rPr>
                <w:color w:val="000000" w:themeColor="text1"/>
              </w:rPr>
            </w:pPr>
            <w:r w:rsidRPr="00286216">
              <w:rPr>
                <w:color w:val="000000" w:themeColor="text1"/>
              </w:rPr>
              <w:t>б) абзац перший частини першої викласти в такій редакції:</w:t>
            </w:r>
          </w:p>
        </w:tc>
        <w:tc>
          <w:tcPr>
            <w:tcW w:w="3686" w:type="dxa"/>
          </w:tcPr>
          <w:p w14:paraId="3AF95E80" w14:textId="77777777" w:rsidR="00EF1DBC" w:rsidRPr="00286216" w:rsidRDefault="00EF1DBC" w:rsidP="00EF1DBC">
            <w:pPr>
              <w:pStyle w:val="StyleProp"/>
              <w:rPr>
                <w:color w:val="000000" w:themeColor="text1"/>
                <w:szCs w:val="18"/>
              </w:rPr>
            </w:pPr>
          </w:p>
        </w:tc>
        <w:tc>
          <w:tcPr>
            <w:tcW w:w="1987" w:type="dxa"/>
          </w:tcPr>
          <w:p w14:paraId="0BAB2713" w14:textId="77777777" w:rsidR="00EF1DBC" w:rsidRPr="00286216" w:rsidRDefault="00EF1DBC" w:rsidP="00EF1DBC">
            <w:pPr>
              <w:pStyle w:val="StyleWisnow"/>
              <w:rPr>
                <w:color w:val="000000" w:themeColor="text1"/>
              </w:rPr>
            </w:pPr>
          </w:p>
        </w:tc>
        <w:tc>
          <w:tcPr>
            <w:tcW w:w="4818" w:type="dxa"/>
          </w:tcPr>
          <w:p w14:paraId="4006BDD2" w14:textId="513D3E80" w:rsidR="00EF1DBC" w:rsidRPr="00286216" w:rsidRDefault="00EF1DBC" w:rsidP="00EF1DBC">
            <w:pPr>
              <w:pStyle w:val="StyleZakonu"/>
              <w:rPr>
                <w:color w:val="000000" w:themeColor="text1"/>
              </w:rPr>
            </w:pPr>
          </w:p>
        </w:tc>
      </w:tr>
      <w:tr w:rsidR="00EF1DBC" w:rsidRPr="00286216" w14:paraId="634D7B26" w14:textId="77777777" w:rsidTr="00091AA5">
        <w:tc>
          <w:tcPr>
            <w:tcW w:w="576" w:type="dxa"/>
          </w:tcPr>
          <w:p w14:paraId="5283B7A1" w14:textId="77777777" w:rsidR="00EF1DBC" w:rsidRPr="00286216" w:rsidRDefault="00EF1DBC" w:rsidP="00EF1DBC">
            <w:pPr>
              <w:pStyle w:val="StyleWisnow"/>
              <w:rPr>
                <w:color w:val="000000" w:themeColor="text1"/>
              </w:rPr>
            </w:pPr>
            <w:bookmarkStart w:id="2459" w:name="n2588" w:colFirst="0" w:colLast="0"/>
            <w:bookmarkEnd w:id="2458"/>
            <w:r w:rsidRPr="00286216">
              <w:rPr>
                <w:color w:val="000000" w:themeColor="text1"/>
              </w:rPr>
              <w:t>2588.</w:t>
            </w:r>
          </w:p>
        </w:tc>
        <w:tc>
          <w:tcPr>
            <w:tcW w:w="4818" w:type="dxa"/>
          </w:tcPr>
          <w:p w14:paraId="222889EF" w14:textId="77777777" w:rsidR="00EF1DBC" w:rsidRPr="00286216" w:rsidRDefault="00EF1DBC" w:rsidP="00EF1DBC">
            <w:pPr>
              <w:pStyle w:val="StyleZakonu"/>
              <w:rPr>
                <w:color w:val="000000" w:themeColor="text1"/>
              </w:rPr>
            </w:pPr>
            <w:r w:rsidRPr="00286216">
              <w:rPr>
                <w:color w:val="000000" w:themeColor="text1"/>
              </w:rPr>
              <w:t>"Провадження професійної діяльності на ринках капіталу та організованих товарних ринках, що підлягає ліцензуванню відповідно до закону, без ліцензії на провадження окремих видів такої діяльності, провадження частини відповідного виду діяльності, що підлягає ліцензуванню, іншої ніж та, на яку надано ліцензію, або здійснення з порушенням умов ліцензування операції з фінансовими інструментами та активами, допущеними до торгів на організованому ринку, яка належить до професійної діяльності на ринках капіталу та організованих товарних ринках, чи операції з активами у системі накопичувального пенсійного забезпечення -";</w:t>
            </w:r>
          </w:p>
        </w:tc>
        <w:tc>
          <w:tcPr>
            <w:tcW w:w="3686" w:type="dxa"/>
          </w:tcPr>
          <w:p w14:paraId="084065A0" w14:textId="5BB164C2"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1204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9876FC3" w14:textId="77777777" w:rsidR="00EF1DBC" w:rsidRPr="00286216" w:rsidRDefault="00EF1DBC" w:rsidP="00EF1DBC">
            <w:pPr>
              <w:pStyle w:val="StyleProp"/>
              <w:rPr>
                <w:color w:val="000000" w:themeColor="text1"/>
                <w:szCs w:val="18"/>
              </w:rPr>
            </w:pPr>
            <w:r w:rsidRPr="00286216">
              <w:rPr>
                <w:color w:val="000000" w:themeColor="text1"/>
                <w:szCs w:val="18"/>
              </w:rPr>
              <w:t>Абзац другий підпункту «б» підпункту 4 пункту 1 викласти в такій редакції:</w:t>
            </w:r>
          </w:p>
          <w:p w14:paraId="4BD74E00" w14:textId="77777777" w:rsidR="00EF1DBC" w:rsidRPr="00286216" w:rsidRDefault="00EF1DBC" w:rsidP="00EF1DBC">
            <w:pPr>
              <w:pStyle w:val="StyleProp"/>
              <w:rPr>
                <w:color w:val="000000" w:themeColor="text1"/>
                <w:szCs w:val="18"/>
              </w:rPr>
            </w:pPr>
            <w:r w:rsidRPr="00286216">
              <w:rPr>
                <w:color w:val="000000" w:themeColor="text1"/>
                <w:szCs w:val="18"/>
              </w:rPr>
              <w:t xml:space="preserve">«Здійснення посадовою особою суб'єкта господарювання операції, яка належить до професійної діяльності на ринках капіталу та організованих товарних ринках без отримання таким суб’єктом господарювання ліцензії на провадження окремих видів такої діяльності, здійснення посадовою особою суб'єкта господарювання операції, яка належить до відповідного виду професійної діяльності на ринках капіталу та організованих товарних ринках, іншого ніж той, на який суб’єктом господарювання отримано ліцензію, або здійснення посадовою особою суб’єкта господарювання операцій з фінансовими інструментами та активами, допущеними до торгів на організованому ринку, яка належить до </w:t>
            </w:r>
            <w:r w:rsidRPr="00286216">
              <w:rPr>
                <w:color w:val="000000" w:themeColor="text1"/>
                <w:szCs w:val="18"/>
              </w:rPr>
              <w:lastRenderedPageBreak/>
              <w:t>професійної діяльності на ринках капіталу та організованих товарних ринках, чи операції з активами у системі накопичувального пенсійного забезпечення з порушенням умов провадження ліцензійної діяльності –»</w:t>
            </w:r>
          </w:p>
        </w:tc>
        <w:tc>
          <w:tcPr>
            <w:tcW w:w="1987" w:type="dxa"/>
          </w:tcPr>
          <w:p w14:paraId="1DD83EC1" w14:textId="77777777" w:rsidR="00EF1DBC" w:rsidRPr="00286216" w:rsidRDefault="00EF1DBC" w:rsidP="00EF1DBC">
            <w:pPr>
              <w:pStyle w:val="StyleWisnow"/>
              <w:rPr>
                <w:color w:val="000000" w:themeColor="text1"/>
              </w:rPr>
            </w:pPr>
            <w:r w:rsidRPr="00286216">
              <w:rPr>
                <w:color w:val="000000" w:themeColor="text1"/>
              </w:rPr>
              <w:lastRenderedPageBreak/>
              <w:t>Враховано</w:t>
            </w:r>
          </w:p>
          <w:p w14:paraId="0BEC230C" w14:textId="10D80EF9" w:rsidR="00EF1DBC" w:rsidRPr="00286216" w:rsidRDefault="00EF1DBC" w:rsidP="00EF1DBC">
            <w:pPr>
              <w:pStyle w:val="StyleWisnow"/>
              <w:rPr>
                <w:color w:val="000000" w:themeColor="text1"/>
              </w:rPr>
            </w:pPr>
            <w:r w:rsidRPr="00286216">
              <w:rPr>
                <w:color w:val="000000" w:themeColor="text1"/>
              </w:rPr>
              <w:t>частково</w:t>
            </w:r>
          </w:p>
        </w:tc>
        <w:tc>
          <w:tcPr>
            <w:tcW w:w="4818" w:type="dxa"/>
          </w:tcPr>
          <w:p w14:paraId="3593850D" w14:textId="77777777" w:rsidR="00EF1DBC" w:rsidRPr="00286216" w:rsidRDefault="00EF1DBC" w:rsidP="00EF1DBC">
            <w:pPr>
              <w:pStyle w:val="StyleZakonu"/>
              <w:rPr>
                <w:color w:val="000000" w:themeColor="text1"/>
                <w:szCs w:val="18"/>
              </w:rPr>
            </w:pPr>
            <w:r w:rsidRPr="00286216">
              <w:rPr>
                <w:color w:val="000000" w:themeColor="text1"/>
                <w:szCs w:val="18"/>
              </w:rPr>
              <w:t>Здійснення фізичною особою операції (операцій), пов’язаних з безпосереднім провадженням професійної діяльності на ринках капіталу та організованих товарних ринках, для здійснення якої (яких) необхідна наявність відповідної ліцензії, без ліцензії на провадження відповідного виду діяльності в межах такої професійної діяльності або провадження відповідного виду діяльності, що підлягає ліцензуванню на підставі ліцензії, іншої ніж та, що надає право на провадження такого виду діяльності, або провадження професійної діяльності на ринках капіталу та організованих товарних ринках з порушенням умов ліцензування";</w:t>
            </w:r>
          </w:p>
          <w:p w14:paraId="7D0927EC" w14:textId="1A7B4CD2" w:rsidR="00EF1DBC" w:rsidRPr="00286216" w:rsidRDefault="00EF1DBC" w:rsidP="00EF1DBC">
            <w:pPr>
              <w:pStyle w:val="StyleZakonu"/>
              <w:rPr>
                <w:color w:val="000000" w:themeColor="text1"/>
              </w:rPr>
            </w:pPr>
          </w:p>
        </w:tc>
      </w:tr>
      <w:bookmarkEnd w:id="2459"/>
      <w:tr w:rsidR="00EF1DBC" w:rsidRPr="00286216" w14:paraId="4112E57C" w14:textId="77777777" w:rsidTr="00091AA5">
        <w:tc>
          <w:tcPr>
            <w:tcW w:w="576" w:type="dxa"/>
          </w:tcPr>
          <w:p w14:paraId="2E7A48BB" w14:textId="77777777" w:rsidR="00EF1DBC" w:rsidRPr="00286216" w:rsidRDefault="00EF1DBC" w:rsidP="00EF1DBC">
            <w:pPr>
              <w:pStyle w:val="StyleWisnow"/>
              <w:rPr>
                <w:color w:val="000000" w:themeColor="text1"/>
              </w:rPr>
            </w:pPr>
          </w:p>
        </w:tc>
        <w:tc>
          <w:tcPr>
            <w:tcW w:w="4818" w:type="dxa"/>
          </w:tcPr>
          <w:p w14:paraId="2445054D" w14:textId="77777777" w:rsidR="00EF1DBC" w:rsidRPr="00286216" w:rsidRDefault="00EF1DBC" w:rsidP="00EF1DBC">
            <w:pPr>
              <w:pStyle w:val="StyleZakonu"/>
              <w:rPr>
                <w:color w:val="000000" w:themeColor="text1"/>
              </w:rPr>
            </w:pPr>
          </w:p>
        </w:tc>
        <w:tc>
          <w:tcPr>
            <w:tcW w:w="3686" w:type="dxa"/>
          </w:tcPr>
          <w:p w14:paraId="06E92CE0" w14:textId="06DD1352" w:rsidR="00EF1DBC" w:rsidRPr="00286216" w:rsidRDefault="00EF1DBC" w:rsidP="00EF1DBC">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1205</w:t>
            </w:r>
            <w:r w:rsidRPr="00286216">
              <w:rPr>
                <w:color w:val="000000" w:themeColor="text1"/>
                <w:spacing w:val="-10"/>
              </w:rPr>
              <w:fldChar w:fldCharType="end"/>
            </w:r>
            <w:r w:rsidRPr="00286216">
              <w:rPr>
                <w:color w:val="000000" w:themeColor="text1"/>
                <w:spacing w:val="-10"/>
              </w:rPr>
              <w:t>-Н.д.Гетманцев Д.О.(Реєстр.картка №245)</w:t>
            </w:r>
          </w:p>
          <w:p w14:paraId="3A6B2EF2" w14:textId="77777777" w:rsidR="00EF1DBC" w:rsidRPr="00286216" w:rsidRDefault="00EF1DBC" w:rsidP="00EF1DBC">
            <w:pPr>
              <w:pStyle w:val="StyleProp"/>
              <w:rPr>
                <w:color w:val="000000" w:themeColor="text1"/>
              </w:rPr>
            </w:pPr>
            <w:r w:rsidRPr="00286216">
              <w:rPr>
                <w:color w:val="000000" w:themeColor="text1"/>
              </w:rPr>
              <w:t>У пункті 1 у підпункті четвертому в абзаці другому після слів «видів такої діяльності» додати слова та знак «, без реєстрації правил функціонування організованого ринку у разі обов’язковості такої реєстрації».</w:t>
            </w:r>
          </w:p>
        </w:tc>
        <w:tc>
          <w:tcPr>
            <w:tcW w:w="1987" w:type="dxa"/>
          </w:tcPr>
          <w:p w14:paraId="3CF4BBC7" w14:textId="77777777" w:rsidR="00EF1DBC" w:rsidRPr="00286216" w:rsidRDefault="00EF1DBC" w:rsidP="00EF1DBC">
            <w:pPr>
              <w:pStyle w:val="StyleWisnow"/>
              <w:rPr>
                <w:color w:val="000000" w:themeColor="text1"/>
              </w:rPr>
            </w:pPr>
            <w:r w:rsidRPr="00286216">
              <w:rPr>
                <w:color w:val="000000" w:themeColor="text1"/>
              </w:rPr>
              <w:t>Відхилено</w:t>
            </w:r>
          </w:p>
          <w:p w14:paraId="13D48E2C" w14:textId="22C14397" w:rsidR="00EF1DBC" w:rsidRPr="00286216" w:rsidRDefault="00EF1DBC" w:rsidP="00EF1DBC">
            <w:pPr>
              <w:pStyle w:val="StyleWisnow"/>
              <w:rPr>
                <w:color w:val="000000" w:themeColor="text1"/>
              </w:rPr>
            </w:pPr>
            <w:r w:rsidRPr="00286216">
              <w:rPr>
                <w:color w:val="000000" w:themeColor="text1"/>
              </w:rPr>
              <w:t>зміна редакції</w:t>
            </w:r>
          </w:p>
        </w:tc>
        <w:tc>
          <w:tcPr>
            <w:tcW w:w="4818" w:type="dxa"/>
          </w:tcPr>
          <w:p w14:paraId="5C5EEF65" w14:textId="77777777" w:rsidR="00EF1DBC" w:rsidRPr="00286216" w:rsidRDefault="00EF1DBC" w:rsidP="00EF1DBC">
            <w:pPr>
              <w:pStyle w:val="StyleZakonu"/>
              <w:rPr>
                <w:color w:val="000000" w:themeColor="text1"/>
              </w:rPr>
            </w:pPr>
          </w:p>
        </w:tc>
      </w:tr>
      <w:tr w:rsidR="00EF1DBC" w:rsidRPr="00286216" w14:paraId="5FAFC53F" w14:textId="77777777" w:rsidTr="00091AA5">
        <w:tc>
          <w:tcPr>
            <w:tcW w:w="576" w:type="dxa"/>
          </w:tcPr>
          <w:p w14:paraId="0CFAA030" w14:textId="77777777" w:rsidR="00EF1DBC" w:rsidRPr="00286216" w:rsidRDefault="00EF1DBC" w:rsidP="00EF1DBC">
            <w:pPr>
              <w:pStyle w:val="StyleWisnow"/>
              <w:rPr>
                <w:color w:val="000000" w:themeColor="text1"/>
              </w:rPr>
            </w:pPr>
            <w:bookmarkStart w:id="2460" w:name="n2589" w:colFirst="0" w:colLast="0"/>
            <w:r w:rsidRPr="00286216">
              <w:rPr>
                <w:color w:val="000000" w:themeColor="text1"/>
              </w:rPr>
              <w:t>2589.</w:t>
            </w:r>
          </w:p>
        </w:tc>
        <w:tc>
          <w:tcPr>
            <w:tcW w:w="4818" w:type="dxa"/>
          </w:tcPr>
          <w:p w14:paraId="05E018A0" w14:textId="77777777" w:rsidR="00EF1DBC" w:rsidRPr="00286216" w:rsidRDefault="00EF1DBC" w:rsidP="00EF1DBC">
            <w:pPr>
              <w:pStyle w:val="StyleZakonu"/>
              <w:rPr>
                <w:color w:val="000000" w:themeColor="text1"/>
              </w:rPr>
            </w:pPr>
            <w:r w:rsidRPr="00286216">
              <w:rPr>
                <w:color w:val="000000" w:themeColor="text1"/>
              </w:rPr>
              <w:t>5) у статті 163</w:t>
            </w:r>
            <w:r w:rsidRPr="00286216">
              <w:rPr>
                <w:color w:val="000000" w:themeColor="text1"/>
                <w:vertAlign w:val="superscript"/>
              </w:rPr>
              <w:t>8</w:t>
            </w:r>
            <w:r w:rsidRPr="00286216">
              <w:rPr>
                <w:color w:val="000000" w:themeColor="text1"/>
              </w:rPr>
              <w:t>:</w:t>
            </w:r>
          </w:p>
        </w:tc>
        <w:tc>
          <w:tcPr>
            <w:tcW w:w="3686" w:type="dxa"/>
          </w:tcPr>
          <w:p w14:paraId="011D54AC" w14:textId="77777777" w:rsidR="00EF1DBC" w:rsidRPr="00286216" w:rsidRDefault="00EF1DBC" w:rsidP="00EF1DBC">
            <w:pPr>
              <w:pStyle w:val="StyleProp"/>
              <w:rPr>
                <w:color w:val="000000" w:themeColor="text1"/>
              </w:rPr>
            </w:pPr>
          </w:p>
        </w:tc>
        <w:tc>
          <w:tcPr>
            <w:tcW w:w="1987" w:type="dxa"/>
          </w:tcPr>
          <w:p w14:paraId="5D45F3D8" w14:textId="77777777" w:rsidR="00EF1DBC" w:rsidRPr="00286216" w:rsidRDefault="00EF1DBC" w:rsidP="00EF1DBC">
            <w:pPr>
              <w:pStyle w:val="StyleWisnow"/>
              <w:rPr>
                <w:color w:val="000000" w:themeColor="text1"/>
              </w:rPr>
            </w:pPr>
          </w:p>
        </w:tc>
        <w:tc>
          <w:tcPr>
            <w:tcW w:w="4818" w:type="dxa"/>
          </w:tcPr>
          <w:p w14:paraId="5FA8897F" w14:textId="52933FBD" w:rsidR="00EF1DBC" w:rsidRPr="00286216" w:rsidRDefault="00EF1DBC" w:rsidP="00EF1DBC">
            <w:pPr>
              <w:pStyle w:val="StyleZakonu"/>
              <w:rPr>
                <w:color w:val="000000" w:themeColor="text1"/>
              </w:rPr>
            </w:pPr>
            <w:r w:rsidRPr="00286216">
              <w:rPr>
                <w:color w:val="000000" w:themeColor="text1"/>
              </w:rPr>
              <w:t>5) у статті 163</w:t>
            </w:r>
            <w:r w:rsidRPr="00286216">
              <w:rPr>
                <w:color w:val="000000" w:themeColor="text1"/>
                <w:vertAlign w:val="superscript"/>
              </w:rPr>
              <w:t>8</w:t>
            </w:r>
            <w:r w:rsidRPr="00286216">
              <w:rPr>
                <w:color w:val="000000" w:themeColor="text1"/>
              </w:rPr>
              <w:t>:</w:t>
            </w:r>
          </w:p>
        </w:tc>
      </w:tr>
      <w:tr w:rsidR="00EF1DBC" w:rsidRPr="00286216" w14:paraId="73930543" w14:textId="77777777" w:rsidTr="00091AA5">
        <w:tc>
          <w:tcPr>
            <w:tcW w:w="576" w:type="dxa"/>
          </w:tcPr>
          <w:p w14:paraId="752EE23E" w14:textId="77777777" w:rsidR="00EF1DBC" w:rsidRPr="00286216" w:rsidRDefault="00EF1DBC" w:rsidP="00EF1DBC">
            <w:pPr>
              <w:pStyle w:val="StyleWisnow"/>
              <w:rPr>
                <w:color w:val="000000" w:themeColor="text1"/>
              </w:rPr>
            </w:pPr>
            <w:bookmarkStart w:id="2461" w:name="n2590" w:colFirst="0" w:colLast="0"/>
            <w:bookmarkEnd w:id="2460"/>
            <w:r w:rsidRPr="00286216">
              <w:rPr>
                <w:color w:val="000000" w:themeColor="text1"/>
              </w:rPr>
              <w:t>2590.</w:t>
            </w:r>
          </w:p>
        </w:tc>
        <w:tc>
          <w:tcPr>
            <w:tcW w:w="4818" w:type="dxa"/>
          </w:tcPr>
          <w:p w14:paraId="22AA54FE" w14:textId="77777777" w:rsidR="00EF1DBC" w:rsidRPr="00286216" w:rsidRDefault="00EF1DBC" w:rsidP="00EF1DBC">
            <w:pPr>
              <w:pStyle w:val="StyleZakonu"/>
              <w:rPr>
                <w:color w:val="000000" w:themeColor="text1"/>
              </w:rPr>
            </w:pPr>
            <w:r w:rsidRPr="00286216">
              <w:rPr>
                <w:color w:val="000000" w:themeColor="text1"/>
              </w:rPr>
              <w:t>а) у назві статті слова "на фондовому ринку" замінити словами "на організованих ринках"</w:t>
            </w:r>
          </w:p>
        </w:tc>
        <w:tc>
          <w:tcPr>
            <w:tcW w:w="3686" w:type="dxa"/>
          </w:tcPr>
          <w:p w14:paraId="7B8B6079" w14:textId="77777777" w:rsidR="00EF1DBC" w:rsidRPr="00286216" w:rsidRDefault="00EF1DBC" w:rsidP="00EF1DBC">
            <w:pPr>
              <w:pStyle w:val="StyleProp"/>
              <w:rPr>
                <w:color w:val="000000" w:themeColor="text1"/>
              </w:rPr>
            </w:pPr>
          </w:p>
        </w:tc>
        <w:tc>
          <w:tcPr>
            <w:tcW w:w="1987" w:type="dxa"/>
          </w:tcPr>
          <w:p w14:paraId="2D00F7BF" w14:textId="77777777" w:rsidR="00EF1DBC" w:rsidRPr="00286216" w:rsidRDefault="00EF1DBC" w:rsidP="00EF1DBC">
            <w:pPr>
              <w:pStyle w:val="StyleWisnow"/>
              <w:rPr>
                <w:color w:val="000000" w:themeColor="text1"/>
              </w:rPr>
            </w:pPr>
          </w:p>
        </w:tc>
        <w:tc>
          <w:tcPr>
            <w:tcW w:w="4818" w:type="dxa"/>
          </w:tcPr>
          <w:p w14:paraId="192D228C" w14:textId="248B12D8" w:rsidR="00EF1DBC" w:rsidRPr="00286216" w:rsidRDefault="00EF1DBC" w:rsidP="00EF1DBC">
            <w:pPr>
              <w:pStyle w:val="StyleZakonu"/>
              <w:rPr>
                <w:color w:val="000000" w:themeColor="text1"/>
              </w:rPr>
            </w:pPr>
            <w:r w:rsidRPr="00286216">
              <w:rPr>
                <w:color w:val="000000" w:themeColor="text1"/>
              </w:rPr>
              <w:t>а) у назві слова "на фондовому ринку" замінити словами "на організованих ринках";</w:t>
            </w:r>
          </w:p>
        </w:tc>
      </w:tr>
      <w:tr w:rsidR="00EF1DBC" w:rsidRPr="00286216" w14:paraId="18F0C9AF" w14:textId="77777777" w:rsidTr="00091AA5">
        <w:tc>
          <w:tcPr>
            <w:tcW w:w="576" w:type="dxa"/>
          </w:tcPr>
          <w:p w14:paraId="6A3DC237" w14:textId="77777777" w:rsidR="00EF1DBC" w:rsidRPr="00286216" w:rsidRDefault="00EF1DBC" w:rsidP="00EF1DBC">
            <w:pPr>
              <w:pStyle w:val="StyleWisnow"/>
              <w:rPr>
                <w:color w:val="000000" w:themeColor="text1"/>
              </w:rPr>
            </w:pPr>
            <w:bookmarkStart w:id="2462" w:name="n2591" w:colFirst="0" w:colLast="0"/>
            <w:bookmarkEnd w:id="2461"/>
            <w:r w:rsidRPr="00286216">
              <w:rPr>
                <w:color w:val="000000" w:themeColor="text1"/>
              </w:rPr>
              <w:t>2591.</w:t>
            </w:r>
          </w:p>
        </w:tc>
        <w:tc>
          <w:tcPr>
            <w:tcW w:w="4818" w:type="dxa"/>
          </w:tcPr>
          <w:p w14:paraId="5E50A0F4" w14:textId="77777777" w:rsidR="00EF1DBC" w:rsidRPr="00286216" w:rsidRDefault="00EF1DBC" w:rsidP="00EF1DBC">
            <w:pPr>
              <w:pStyle w:val="StyleZakonu"/>
              <w:rPr>
                <w:color w:val="000000" w:themeColor="text1"/>
              </w:rPr>
            </w:pPr>
            <w:r w:rsidRPr="00286216">
              <w:rPr>
                <w:color w:val="000000" w:themeColor="text1"/>
              </w:rPr>
              <w:t>б) абзац перший частини першої викласти в такій редакції:</w:t>
            </w:r>
          </w:p>
        </w:tc>
        <w:tc>
          <w:tcPr>
            <w:tcW w:w="3686" w:type="dxa"/>
          </w:tcPr>
          <w:p w14:paraId="563B9CD6" w14:textId="77777777" w:rsidR="00EF1DBC" w:rsidRPr="00286216" w:rsidRDefault="00EF1DBC" w:rsidP="00EF1DBC">
            <w:pPr>
              <w:pStyle w:val="StyleProp"/>
              <w:rPr>
                <w:color w:val="000000" w:themeColor="text1"/>
              </w:rPr>
            </w:pPr>
          </w:p>
        </w:tc>
        <w:tc>
          <w:tcPr>
            <w:tcW w:w="1987" w:type="dxa"/>
          </w:tcPr>
          <w:p w14:paraId="47FCA2AC" w14:textId="77777777" w:rsidR="00EF1DBC" w:rsidRPr="00286216" w:rsidRDefault="00EF1DBC" w:rsidP="00EF1DBC">
            <w:pPr>
              <w:pStyle w:val="StyleWisnow"/>
              <w:rPr>
                <w:color w:val="000000" w:themeColor="text1"/>
              </w:rPr>
            </w:pPr>
          </w:p>
        </w:tc>
        <w:tc>
          <w:tcPr>
            <w:tcW w:w="4818" w:type="dxa"/>
          </w:tcPr>
          <w:p w14:paraId="7754DBCA" w14:textId="77777777" w:rsidR="00EF1DBC" w:rsidRPr="00286216" w:rsidRDefault="00EF1DBC" w:rsidP="00EF1DBC">
            <w:pPr>
              <w:pStyle w:val="StyleZakonu"/>
              <w:rPr>
                <w:color w:val="000000" w:themeColor="text1"/>
              </w:rPr>
            </w:pPr>
            <w:r w:rsidRPr="00286216">
              <w:rPr>
                <w:color w:val="000000" w:themeColor="text1"/>
              </w:rPr>
              <w:t>б) у частині першій:</w:t>
            </w:r>
          </w:p>
          <w:p w14:paraId="41F96DA9" w14:textId="0D80C873" w:rsidR="00EF1DBC" w:rsidRPr="00286216" w:rsidRDefault="00EF1DBC" w:rsidP="00EF1DBC">
            <w:pPr>
              <w:pStyle w:val="StyleZakonu"/>
              <w:rPr>
                <w:color w:val="000000" w:themeColor="text1"/>
              </w:rPr>
            </w:pPr>
            <w:r w:rsidRPr="00286216">
              <w:rPr>
                <w:color w:val="000000" w:themeColor="text1"/>
              </w:rPr>
              <w:t>абзац перший викласти в такій редакції:</w:t>
            </w:r>
          </w:p>
        </w:tc>
      </w:tr>
      <w:tr w:rsidR="00EF1DBC" w:rsidRPr="00286216" w14:paraId="69AE06CA" w14:textId="77777777" w:rsidTr="00091AA5">
        <w:tc>
          <w:tcPr>
            <w:tcW w:w="576" w:type="dxa"/>
          </w:tcPr>
          <w:p w14:paraId="6875F785" w14:textId="77777777" w:rsidR="00EF1DBC" w:rsidRPr="00286216" w:rsidRDefault="00EF1DBC" w:rsidP="00EF1DBC">
            <w:pPr>
              <w:pStyle w:val="StyleWisnow"/>
              <w:rPr>
                <w:color w:val="000000" w:themeColor="text1"/>
              </w:rPr>
            </w:pPr>
            <w:bookmarkStart w:id="2463" w:name="n2592" w:colFirst="0" w:colLast="0"/>
            <w:bookmarkEnd w:id="2462"/>
            <w:r w:rsidRPr="00286216">
              <w:rPr>
                <w:color w:val="000000" w:themeColor="text1"/>
              </w:rPr>
              <w:t>2592.</w:t>
            </w:r>
          </w:p>
        </w:tc>
        <w:tc>
          <w:tcPr>
            <w:tcW w:w="4818" w:type="dxa"/>
          </w:tcPr>
          <w:p w14:paraId="10A584F5" w14:textId="77777777" w:rsidR="00EF1DBC" w:rsidRPr="00286216" w:rsidRDefault="00EF1DBC" w:rsidP="00EF1DBC">
            <w:pPr>
              <w:pStyle w:val="StyleZakonu"/>
              <w:rPr>
                <w:color w:val="000000" w:themeColor="text1"/>
              </w:rPr>
            </w:pPr>
            <w:r w:rsidRPr="00286216">
              <w:rPr>
                <w:color w:val="000000" w:themeColor="text1"/>
              </w:rPr>
              <w:t>"Умисні дії, що мають ознаки маніпулювання на організованих ринках, встановлені відповідно до законодавства про ринки капіталу та організовані товарні ринки, -";</w:t>
            </w:r>
          </w:p>
        </w:tc>
        <w:tc>
          <w:tcPr>
            <w:tcW w:w="3686" w:type="dxa"/>
          </w:tcPr>
          <w:p w14:paraId="38EA641A" w14:textId="6F70C097" w:rsidR="00EF1DBC" w:rsidRPr="00286216" w:rsidRDefault="00EF1DBC" w:rsidP="00EF1DBC">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1206</w:t>
            </w:r>
            <w:r w:rsidRPr="00286216">
              <w:rPr>
                <w:color w:val="000000" w:themeColor="text1"/>
                <w:spacing w:val="-10"/>
              </w:rPr>
              <w:fldChar w:fldCharType="end"/>
            </w:r>
            <w:r w:rsidRPr="00286216">
              <w:rPr>
                <w:color w:val="000000" w:themeColor="text1"/>
                <w:spacing w:val="-10"/>
              </w:rPr>
              <w:t>-Н.д.Гетманцев Д.О.(Реєстр.картка №245)</w:t>
            </w:r>
          </w:p>
          <w:p w14:paraId="130EFCA9" w14:textId="77777777" w:rsidR="00EF1DBC" w:rsidRPr="00286216" w:rsidRDefault="00EF1DBC" w:rsidP="00EF1DBC">
            <w:pPr>
              <w:pStyle w:val="StyleProp"/>
              <w:rPr>
                <w:color w:val="000000" w:themeColor="text1"/>
              </w:rPr>
            </w:pPr>
            <w:r w:rsidRPr="00286216">
              <w:rPr>
                <w:color w:val="000000" w:themeColor="text1"/>
              </w:rPr>
              <w:t>У пункті 1 у другому абзаці підпункту «б» підпункту п’ятого після слів «організовані товарні ринки» додати слова та знаки «(за винятком порушення заборони використання інсайдерської інформації)»</w:t>
            </w:r>
          </w:p>
        </w:tc>
        <w:tc>
          <w:tcPr>
            <w:tcW w:w="1987" w:type="dxa"/>
          </w:tcPr>
          <w:p w14:paraId="40FF9040" w14:textId="77777777" w:rsidR="00EF1DBC" w:rsidRPr="00286216" w:rsidRDefault="00EF1DBC" w:rsidP="00EF1DBC">
            <w:pPr>
              <w:pStyle w:val="StyleWisnow"/>
              <w:rPr>
                <w:color w:val="000000" w:themeColor="text1"/>
              </w:rPr>
            </w:pPr>
            <w:r w:rsidRPr="00286216">
              <w:rPr>
                <w:color w:val="000000" w:themeColor="text1"/>
              </w:rPr>
              <w:t>Враховано по суті у зв’язку зі зміною редакції статті 134</w:t>
            </w:r>
          </w:p>
        </w:tc>
        <w:tc>
          <w:tcPr>
            <w:tcW w:w="4818" w:type="dxa"/>
          </w:tcPr>
          <w:p w14:paraId="274DAB36" w14:textId="4E4C123B" w:rsidR="00EF1DBC" w:rsidRPr="00286216" w:rsidRDefault="00EF1DBC" w:rsidP="00EF1DBC">
            <w:pPr>
              <w:pStyle w:val="StyleZakonu"/>
              <w:rPr>
                <w:color w:val="000000" w:themeColor="text1"/>
              </w:rPr>
            </w:pPr>
            <w:r w:rsidRPr="00286216">
              <w:rPr>
                <w:color w:val="000000" w:themeColor="text1"/>
              </w:rPr>
              <w:t>"Умисні дії, що мають ознаки маніпулювання на організованих ринках, встановлені відповідно до законодавства про ринки капіталу та організовані товарні ринки";</w:t>
            </w:r>
          </w:p>
        </w:tc>
      </w:tr>
      <w:tr w:rsidR="00EF1DBC" w:rsidRPr="00286216" w14:paraId="5F430A16" w14:textId="77777777" w:rsidTr="00091AA5">
        <w:tc>
          <w:tcPr>
            <w:tcW w:w="576" w:type="dxa"/>
          </w:tcPr>
          <w:p w14:paraId="54475ADC" w14:textId="77777777" w:rsidR="00EF1DBC" w:rsidRPr="00286216" w:rsidRDefault="00EF1DBC" w:rsidP="00EF1DBC">
            <w:pPr>
              <w:pStyle w:val="StyleWisnow"/>
              <w:rPr>
                <w:color w:val="000000" w:themeColor="text1"/>
              </w:rPr>
            </w:pPr>
          </w:p>
        </w:tc>
        <w:tc>
          <w:tcPr>
            <w:tcW w:w="4818" w:type="dxa"/>
          </w:tcPr>
          <w:p w14:paraId="50757DD7" w14:textId="77777777" w:rsidR="00EF1DBC" w:rsidRPr="00286216" w:rsidRDefault="00EF1DBC" w:rsidP="00EF1DBC">
            <w:pPr>
              <w:pStyle w:val="StyleZakonu"/>
              <w:rPr>
                <w:color w:val="000000" w:themeColor="text1"/>
              </w:rPr>
            </w:pPr>
          </w:p>
        </w:tc>
        <w:tc>
          <w:tcPr>
            <w:tcW w:w="3686" w:type="dxa"/>
          </w:tcPr>
          <w:p w14:paraId="46698BBA" w14:textId="3B28110F"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1207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A224A9E" w14:textId="77777777" w:rsidR="00EF1DBC" w:rsidRPr="00286216" w:rsidRDefault="00EF1DBC" w:rsidP="00EF1DBC">
            <w:pPr>
              <w:pStyle w:val="StyleProp"/>
              <w:rPr>
                <w:color w:val="000000" w:themeColor="text1"/>
                <w:szCs w:val="18"/>
              </w:rPr>
            </w:pPr>
            <w:r w:rsidRPr="00286216">
              <w:rPr>
                <w:color w:val="000000" w:themeColor="text1"/>
                <w:szCs w:val="18"/>
              </w:rPr>
              <w:t>Підпункт 5 пункту 1 доповнити новим підпунктом такого змісту:</w:t>
            </w:r>
          </w:p>
          <w:p w14:paraId="70956663" w14:textId="77777777" w:rsidR="00EF1DBC" w:rsidRPr="00286216" w:rsidRDefault="00EF1DBC" w:rsidP="00EF1DBC">
            <w:pPr>
              <w:pStyle w:val="StyleProp"/>
              <w:rPr>
                <w:color w:val="000000" w:themeColor="text1"/>
                <w:szCs w:val="18"/>
              </w:rPr>
            </w:pPr>
            <w:r w:rsidRPr="00286216">
              <w:rPr>
                <w:color w:val="000000" w:themeColor="text1"/>
                <w:szCs w:val="18"/>
              </w:rPr>
              <w:t>«в) абзац другий частини першої після слів «накладення штрафу» доповнити словами «на посадових осіб суб’єктів господарювання та фізичних осіб, що вчинили такі дії,»»</w:t>
            </w:r>
          </w:p>
        </w:tc>
        <w:tc>
          <w:tcPr>
            <w:tcW w:w="1987" w:type="dxa"/>
          </w:tcPr>
          <w:p w14:paraId="2E85DFBF" w14:textId="77777777" w:rsidR="00EF1DBC" w:rsidRPr="00286216" w:rsidRDefault="00EF1DBC" w:rsidP="00EF1DBC">
            <w:pPr>
              <w:pStyle w:val="StyleWisnow"/>
              <w:rPr>
                <w:color w:val="000000" w:themeColor="text1"/>
              </w:rPr>
            </w:pPr>
            <w:r w:rsidRPr="00286216">
              <w:rPr>
                <w:color w:val="000000" w:themeColor="text1"/>
              </w:rPr>
              <w:t>Враховано частково</w:t>
            </w:r>
          </w:p>
        </w:tc>
        <w:tc>
          <w:tcPr>
            <w:tcW w:w="4818" w:type="dxa"/>
          </w:tcPr>
          <w:p w14:paraId="60E57EEC" w14:textId="3B4E3D96" w:rsidR="00EF1DBC" w:rsidRPr="00286216" w:rsidRDefault="00EF1DBC" w:rsidP="00EF1DBC">
            <w:pPr>
              <w:pStyle w:val="StyleZakonu"/>
              <w:rPr>
                <w:color w:val="000000" w:themeColor="text1"/>
              </w:rPr>
            </w:pPr>
            <w:r w:rsidRPr="00286216">
              <w:rPr>
                <w:color w:val="000000" w:themeColor="text1"/>
              </w:rPr>
              <w:t>абзац другий після слів «накладення штрафу» доповнити словами «на фізичних осіб, що вчинили такі дії»;</w:t>
            </w:r>
          </w:p>
        </w:tc>
      </w:tr>
      <w:tr w:rsidR="00EF1DBC" w:rsidRPr="00286216" w14:paraId="134D9579" w14:textId="77777777" w:rsidTr="00091AA5">
        <w:tc>
          <w:tcPr>
            <w:tcW w:w="576" w:type="dxa"/>
          </w:tcPr>
          <w:p w14:paraId="29E6CC7A" w14:textId="77777777" w:rsidR="00EF1DBC" w:rsidRPr="00286216" w:rsidRDefault="00EF1DBC" w:rsidP="00EF1DBC">
            <w:pPr>
              <w:pStyle w:val="StyleWisnow"/>
              <w:rPr>
                <w:color w:val="000000" w:themeColor="text1"/>
              </w:rPr>
            </w:pPr>
            <w:bookmarkStart w:id="2464" w:name="n2593" w:colFirst="0" w:colLast="0"/>
            <w:bookmarkEnd w:id="2463"/>
            <w:r w:rsidRPr="00286216">
              <w:rPr>
                <w:color w:val="000000" w:themeColor="text1"/>
              </w:rPr>
              <w:t>2593.</w:t>
            </w:r>
          </w:p>
        </w:tc>
        <w:tc>
          <w:tcPr>
            <w:tcW w:w="4818" w:type="dxa"/>
          </w:tcPr>
          <w:p w14:paraId="163F4009" w14:textId="77777777" w:rsidR="00EF1DBC" w:rsidRPr="00286216" w:rsidRDefault="00EF1DBC" w:rsidP="00EF1DBC">
            <w:pPr>
              <w:pStyle w:val="StyleZakonu"/>
              <w:rPr>
                <w:color w:val="000000" w:themeColor="text1"/>
              </w:rPr>
            </w:pPr>
            <w:r w:rsidRPr="00286216">
              <w:rPr>
                <w:color w:val="000000" w:themeColor="text1"/>
              </w:rPr>
              <w:t>6) у статті 163</w:t>
            </w:r>
            <w:r w:rsidRPr="00286216">
              <w:rPr>
                <w:color w:val="000000" w:themeColor="text1"/>
                <w:vertAlign w:val="superscript"/>
              </w:rPr>
              <w:t>9</w:t>
            </w:r>
            <w:r w:rsidRPr="00286216">
              <w:rPr>
                <w:color w:val="000000" w:themeColor="text1"/>
              </w:rPr>
              <w:t xml:space="preserve"> абзац перший частини першої викласти в такій редакції:</w:t>
            </w:r>
          </w:p>
        </w:tc>
        <w:tc>
          <w:tcPr>
            <w:tcW w:w="3686" w:type="dxa"/>
          </w:tcPr>
          <w:p w14:paraId="13885956" w14:textId="77777777" w:rsidR="00EF1DBC" w:rsidRPr="00286216" w:rsidRDefault="00EF1DBC" w:rsidP="00EF1DBC">
            <w:pPr>
              <w:pStyle w:val="StyleProp"/>
              <w:rPr>
                <w:color w:val="000000" w:themeColor="text1"/>
                <w:szCs w:val="18"/>
              </w:rPr>
            </w:pPr>
          </w:p>
        </w:tc>
        <w:tc>
          <w:tcPr>
            <w:tcW w:w="1987" w:type="dxa"/>
          </w:tcPr>
          <w:p w14:paraId="70D7F754" w14:textId="77777777" w:rsidR="00EF1DBC" w:rsidRPr="00286216" w:rsidRDefault="00EF1DBC" w:rsidP="00EF1DBC">
            <w:pPr>
              <w:pStyle w:val="StyleWisnow"/>
              <w:rPr>
                <w:color w:val="000000" w:themeColor="text1"/>
              </w:rPr>
            </w:pPr>
          </w:p>
        </w:tc>
        <w:tc>
          <w:tcPr>
            <w:tcW w:w="4818" w:type="dxa"/>
          </w:tcPr>
          <w:p w14:paraId="095454C8" w14:textId="77777777" w:rsidR="00EF1DBC" w:rsidRPr="00286216" w:rsidRDefault="00EF1DBC" w:rsidP="00EF1DBC">
            <w:pPr>
              <w:pStyle w:val="StyleZakonu"/>
              <w:rPr>
                <w:color w:val="000000" w:themeColor="text1"/>
              </w:rPr>
            </w:pPr>
            <w:r w:rsidRPr="00286216">
              <w:rPr>
                <w:color w:val="000000" w:themeColor="text1"/>
              </w:rPr>
              <w:t>6) у статті 163</w:t>
            </w:r>
            <w:r w:rsidRPr="00286216">
              <w:rPr>
                <w:color w:val="000000" w:themeColor="text1"/>
                <w:vertAlign w:val="superscript"/>
              </w:rPr>
              <w:t>9</w:t>
            </w:r>
            <w:r w:rsidRPr="00286216">
              <w:rPr>
                <w:color w:val="000000" w:themeColor="text1"/>
              </w:rPr>
              <w:t>:</w:t>
            </w:r>
          </w:p>
          <w:p w14:paraId="28384F79" w14:textId="03453A54" w:rsidR="00EF1DBC" w:rsidRPr="00286216" w:rsidRDefault="00EF1DBC" w:rsidP="00EF1DBC">
            <w:pPr>
              <w:pStyle w:val="StyleZakonu"/>
              <w:rPr>
                <w:color w:val="000000" w:themeColor="text1"/>
              </w:rPr>
            </w:pPr>
            <w:r w:rsidRPr="00286216">
              <w:rPr>
                <w:color w:val="000000" w:themeColor="text1"/>
              </w:rPr>
              <w:t>а) абзац перший частини першої викласти в такій редакції:</w:t>
            </w:r>
          </w:p>
        </w:tc>
      </w:tr>
      <w:tr w:rsidR="00EF1DBC" w:rsidRPr="00286216" w14:paraId="0B0525F7" w14:textId="77777777" w:rsidTr="00091AA5">
        <w:tc>
          <w:tcPr>
            <w:tcW w:w="576" w:type="dxa"/>
          </w:tcPr>
          <w:p w14:paraId="226C057F" w14:textId="77777777" w:rsidR="00EF1DBC" w:rsidRPr="00286216" w:rsidRDefault="00EF1DBC" w:rsidP="00EF1DBC">
            <w:pPr>
              <w:pStyle w:val="StyleWisnow"/>
              <w:rPr>
                <w:color w:val="000000" w:themeColor="text1"/>
              </w:rPr>
            </w:pPr>
            <w:bookmarkStart w:id="2465" w:name="n2594" w:colFirst="0" w:colLast="0"/>
            <w:bookmarkEnd w:id="2464"/>
            <w:r w:rsidRPr="00286216">
              <w:rPr>
                <w:color w:val="000000" w:themeColor="text1"/>
              </w:rPr>
              <w:t>2594.</w:t>
            </w:r>
          </w:p>
        </w:tc>
        <w:tc>
          <w:tcPr>
            <w:tcW w:w="4818" w:type="dxa"/>
          </w:tcPr>
          <w:p w14:paraId="251B9801" w14:textId="77777777" w:rsidR="00EF1DBC" w:rsidRPr="00286216" w:rsidRDefault="00EF1DBC" w:rsidP="00EF1DBC">
            <w:pPr>
              <w:pStyle w:val="StyleZakonu"/>
              <w:rPr>
                <w:color w:val="000000" w:themeColor="text1"/>
              </w:rPr>
            </w:pPr>
            <w:r w:rsidRPr="00286216">
              <w:rPr>
                <w:color w:val="000000" w:themeColor="text1"/>
              </w:rPr>
              <w:t>"Порушення заборони використання інсайдерської інформації -".</w:t>
            </w:r>
          </w:p>
        </w:tc>
        <w:tc>
          <w:tcPr>
            <w:tcW w:w="3686" w:type="dxa"/>
          </w:tcPr>
          <w:p w14:paraId="2EA3210D" w14:textId="77777777" w:rsidR="00EF1DBC" w:rsidRPr="00286216" w:rsidRDefault="00EF1DBC" w:rsidP="00EF1DBC">
            <w:pPr>
              <w:pStyle w:val="StyleProp"/>
              <w:rPr>
                <w:color w:val="000000" w:themeColor="text1"/>
                <w:szCs w:val="18"/>
              </w:rPr>
            </w:pPr>
          </w:p>
        </w:tc>
        <w:tc>
          <w:tcPr>
            <w:tcW w:w="1987" w:type="dxa"/>
          </w:tcPr>
          <w:p w14:paraId="4337BC86" w14:textId="77777777" w:rsidR="00EF1DBC" w:rsidRPr="00286216" w:rsidRDefault="00EF1DBC" w:rsidP="00EF1DBC">
            <w:pPr>
              <w:pStyle w:val="StyleWisnow"/>
              <w:rPr>
                <w:color w:val="000000" w:themeColor="text1"/>
              </w:rPr>
            </w:pPr>
          </w:p>
        </w:tc>
        <w:tc>
          <w:tcPr>
            <w:tcW w:w="4818" w:type="dxa"/>
          </w:tcPr>
          <w:p w14:paraId="4C48417D" w14:textId="2476B2B4" w:rsidR="00EF1DBC" w:rsidRPr="00286216" w:rsidRDefault="00EF1DBC" w:rsidP="00EF1DBC">
            <w:pPr>
              <w:pStyle w:val="StyleZakonu"/>
              <w:rPr>
                <w:color w:val="000000" w:themeColor="text1"/>
              </w:rPr>
            </w:pPr>
            <w:r w:rsidRPr="00286216">
              <w:rPr>
                <w:color w:val="000000" w:themeColor="text1"/>
              </w:rPr>
              <w:t>"Порушення заборони використання інсайдерської інформації";</w:t>
            </w:r>
          </w:p>
        </w:tc>
      </w:tr>
      <w:tr w:rsidR="00EF1DBC" w:rsidRPr="00286216" w14:paraId="3A1DD72A" w14:textId="77777777" w:rsidTr="00091AA5">
        <w:tc>
          <w:tcPr>
            <w:tcW w:w="576" w:type="dxa"/>
          </w:tcPr>
          <w:p w14:paraId="5F8E2821" w14:textId="77777777" w:rsidR="00EF1DBC" w:rsidRPr="00286216" w:rsidRDefault="00EF1DBC" w:rsidP="00EF1DBC">
            <w:pPr>
              <w:pStyle w:val="StyleWisnow"/>
              <w:rPr>
                <w:color w:val="000000" w:themeColor="text1"/>
              </w:rPr>
            </w:pPr>
            <w:bookmarkStart w:id="2466" w:name="n2595" w:colFirst="0" w:colLast="0"/>
            <w:bookmarkEnd w:id="2465"/>
            <w:r w:rsidRPr="00286216">
              <w:rPr>
                <w:color w:val="000000" w:themeColor="text1"/>
              </w:rPr>
              <w:t>2595.</w:t>
            </w:r>
          </w:p>
        </w:tc>
        <w:tc>
          <w:tcPr>
            <w:tcW w:w="4818" w:type="dxa"/>
          </w:tcPr>
          <w:p w14:paraId="6BA66B0D" w14:textId="77777777" w:rsidR="00EF1DBC" w:rsidRPr="00286216" w:rsidRDefault="00EF1DBC" w:rsidP="00EF1DBC">
            <w:pPr>
              <w:pStyle w:val="StyleZakonu"/>
              <w:rPr>
                <w:color w:val="000000" w:themeColor="text1"/>
              </w:rPr>
            </w:pPr>
            <w:r w:rsidRPr="00286216">
              <w:rPr>
                <w:color w:val="000000" w:themeColor="text1"/>
              </w:rPr>
              <w:t>У примітці слова "фондового ринку" замінити словами "ринків капіталу";</w:t>
            </w:r>
          </w:p>
        </w:tc>
        <w:tc>
          <w:tcPr>
            <w:tcW w:w="3686" w:type="dxa"/>
          </w:tcPr>
          <w:p w14:paraId="6A65D598" w14:textId="77777777" w:rsidR="00EF1DBC" w:rsidRPr="00286216" w:rsidRDefault="00EF1DBC" w:rsidP="00EF1DBC">
            <w:pPr>
              <w:pStyle w:val="StyleProp"/>
              <w:rPr>
                <w:color w:val="000000" w:themeColor="text1"/>
                <w:szCs w:val="18"/>
              </w:rPr>
            </w:pPr>
          </w:p>
        </w:tc>
        <w:tc>
          <w:tcPr>
            <w:tcW w:w="1987" w:type="dxa"/>
          </w:tcPr>
          <w:p w14:paraId="5FC01C6E" w14:textId="77777777" w:rsidR="00EF1DBC" w:rsidRPr="00286216" w:rsidRDefault="00EF1DBC" w:rsidP="00EF1DBC">
            <w:pPr>
              <w:pStyle w:val="StyleWisnow"/>
              <w:rPr>
                <w:color w:val="000000" w:themeColor="text1"/>
              </w:rPr>
            </w:pPr>
          </w:p>
        </w:tc>
        <w:tc>
          <w:tcPr>
            <w:tcW w:w="4818" w:type="dxa"/>
          </w:tcPr>
          <w:p w14:paraId="680F9D99" w14:textId="70532AEF" w:rsidR="00EF1DBC" w:rsidRPr="00286216" w:rsidRDefault="00EF1DBC" w:rsidP="00EF1DBC">
            <w:pPr>
              <w:pStyle w:val="StyleZakonu"/>
              <w:rPr>
                <w:color w:val="000000" w:themeColor="text1"/>
              </w:rPr>
            </w:pPr>
            <w:r w:rsidRPr="00286216">
              <w:rPr>
                <w:color w:val="000000" w:themeColor="text1"/>
              </w:rPr>
              <w:t>б) у примітці слова "фондового ринку" замінити словами "ринків капіталу";</w:t>
            </w:r>
          </w:p>
        </w:tc>
      </w:tr>
      <w:tr w:rsidR="00EF1DBC" w:rsidRPr="00286216" w14:paraId="2F7BB0B2" w14:textId="77777777" w:rsidTr="00091AA5">
        <w:tc>
          <w:tcPr>
            <w:tcW w:w="576" w:type="dxa"/>
          </w:tcPr>
          <w:p w14:paraId="25D44545" w14:textId="77777777" w:rsidR="00EF1DBC" w:rsidRPr="00286216" w:rsidRDefault="00EF1DBC" w:rsidP="00EF1DBC">
            <w:pPr>
              <w:pStyle w:val="StyleWisnow"/>
              <w:rPr>
                <w:color w:val="000000" w:themeColor="text1"/>
              </w:rPr>
            </w:pPr>
            <w:bookmarkStart w:id="2467" w:name="n2596" w:colFirst="0" w:colLast="0"/>
            <w:bookmarkEnd w:id="2466"/>
            <w:r w:rsidRPr="00286216">
              <w:rPr>
                <w:color w:val="000000" w:themeColor="text1"/>
              </w:rPr>
              <w:t>2596.</w:t>
            </w:r>
          </w:p>
        </w:tc>
        <w:tc>
          <w:tcPr>
            <w:tcW w:w="4818" w:type="dxa"/>
          </w:tcPr>
          <w:p w14:paraId="5B7227D4" w14:textId="77777777" w:rsidR="00EF1DBC" w:rsidRPr="00286216" w:rsidRDefault="00EF1DBC" w:rsidP="00EF1DBC">
            <w:pPr>
              <w:pStyle w:val="StyleZakonu"/>
              <w:rPr>
                <w:color w:val="000000" w:themeColor="text1"/>
              </w:rPr>
            </w:pPr>
            <w:r w:rsidRPr="00286216">
              <w:rPr>
                <w:color w:val="000000" w:themeColor="text1"/>
              </w:rPr>
              <w:t>7) у статті 163</w:t>
            </w:r>
            <w:r w:rsidRPr="00286216">
              <w:rPr>
                <w:color w:val="000000" w:themeColor="text1"/>
                <w:vertAlign w:val="superscript"/>
              </w:rPr>
              <w:t>11</w:t>
            </w:r>
            <w:r w:rsidRPr="00286216">
              <w:rPr>
                <w:color w:val="000000" w:themeColor="text1"/>
              </w:rPr>
              <w:t>:</w:t>
            </w:r>
          </w:p>
        </w:tc>
        <w:tc>
          <w:tcPr>
            <w:tcW w:w="3686" w:type="dxa"/>
          </w:tcPr>
          <w:p w14:paraId="456EDFF5" w14:textId="77777777" w:rsidR="00EF1DBC" w:rsidRPr="00286216" w:rsidRDefault="00EF1DBC" w:rsidP="00EF1DBC">
            <w:pPr>
              <w:pStyle w:val="StyleProp"/>
              <w:rPr>
                <w:color w:val="000000" w:themeColor="text1"/>
              </w:rPr>
            </w:pPr>
          </w:p>
        </w:tc>
        <w:tc>
          <w:tcPr>
            <w:tcW w:w="1987" w:type="dxa"/>
          </w:tcPr>
          <w:p w14:paraId="4992A214" w14:textId="77777777" w:rsidR="00EF1DBC" w:rsidRPr="00286216" w:rsidRDefault="00EF1DBC" w:rsidP="00EF1DBC">
            <w:pPr>
              <w:pStyle w:val="StyleProp"/>
              <w:rPr>
                <w:color w:val="000000" w:themeColor="text1"/>
              </w:rPr>
            </w:pPr>
          </w:p>
        </w:tc>
        <w:tc>
          <w:tcPr>
            <w:tcW w:w="4818" w:type="dxa"/>
          </w:tcPr>
          <w:p w14:paraId="1960BE92" w14:textId="25EA5EA4" w:rsidR="00EF1DBC" w:rsidRPr="00286216" w:rsidRDefault="00EF1DBC" w:rsidP="00EF1DBC">
            <w:pPr>
              <w:pStyle w:val="StyleZakonu"/>
              <w:rPr>
                <w:color w:val="000000" w:themeColor="text1"/>
              </w:rPr>
            </w:pPr>
            <w:r w:rsidRPr="00286216">
              <w:rPr>
                <w:color w:val="000000" w:themeColor="text1"/>
              </w:rPr>
              <w:t>7) у статті 163</w:t>
            </w:r>
            <w:r w:rsidRPr="00286216">
              <w:rPr>
                <w:color w:val="000000" w:themeColor="text1"/>
                <w:vertAlign w:val="superscript"/>
              </w:rPr>
              <w:t>11</w:t>
            </w:r>
            <w:r w:rsidRPr="00286216">
              <w:rPr>
                <w:color w:val="000000" w:themeColor="text1"/>
              </w:rPr>
              <w:t>:</w:t>
            </w:r>
          </w:p>
        </w:tc>
      </w:tr>
      <w:tr w:rsidR="00EF1DBC" w:rsidRPr="00286216" w14:paraId="03028CDC" w14:textId="77777777" w:rsidTr="00091AA5">
        <w:tc>
          <w:tcPr>
            <w:tcW w:w="576" w:type="dxa"/>
          </w:tcPr>
          <w:p w14:paraId="37366558" w14:textId="77777777" w:rsidR="00EF1DBC" w:rsidRPr="00286216" w:rsidRDefault="00EF1DBC" w:rsidP="00EF1DBC">
            <w:pPr>
              <w:pStyle w:val="StyleWisnow"/>
              <w:rPr>
                <w:color w:val="000000" w:themeColor="text1"/>
              </w:rPr>
            </w:pPr>
            <w:bookmarkStart w:id="2468" w:name="n2597" w:colFirst="0" w:colLast="0"/>
            <w:bookmarkEnd w:id="2467"/>
            <w:r w:rsidRPr="00286216">
              <w:rPr>
                <w:color w:val="000000" w:themeColor="text1"/>
              </w:rPr>
              <w:t>2597.</w:t>
            </w:r>
          </w:p>
        </w:tc>
        <w:tc>
          <w:tcPr>
            <w:tcW w:w="4818" w:type="dxa"/>
          </w:tcPr>
          <w:p w14:paraId="3CDAC227" w14:textId="77777777" w:rsidR="00EF1DBC" w:rsidRPr="00286216" w:rsidRDefault="00EF1DBC" w:rsidP="00EF1DBC">
            <w:pPr>
              <w:pStyle w:val="StyleZakonu"/>
              <w:rPr>
                <w:color w:val="000000" w:themeColor="text1"/>
              </w:rPr>
            </w:pPr>
            <w:r w:rsidRPr="00286216">
              <w:rPr>
                <w:color w:val="000000" w:themeColor="text1"/>
              </w:rPr>
              <w:t>а) у назві статті слова "фондовому ринку" замінити словами "ринках капіталу та організованих товарних ринках";</w:t>
            </w:r>
          </w:p>
        </w:tc>
        <w:tc>
          <w:tcPr>
            <w:tcW w:w="3686" w:type="dxa"/>
          </w:tcPr>
          <w:p w14:paraId="2F571C33" w14:textId="77777777" w:rsidR="00EF1DBC" w:rsidRPr="00286216" w:rsidRDefault="00EF1DBC" w:rsidP="00EF1DBC">
            <w:pPr>
              <w:pStyle w:val="StyleProp"/>
              <w:rPr>
                <w:color w:val="000000" w:themeColor="text1"/>
                <w:szCs w:val="18"/>
              </w:rPr>
            </w:pPr>
          </w:p>
        </w:tc>
        <w:tc>
          <w:tcPr>
            <w:tcW w:w="1987" w:type="dxa"/>
          </w:tcPr>
          <w:p w14:paraId="3BE195B0" w14:textId="77777777" w:rsidR="00EF1DBC" w:rsidRPr="00286216" w:rsidRDefault="00EF1DBC" w:rsidP="00EF1DBC">
            <w:pPr>
              <w:pStyle w:val="StyleWisnow"/>
              <w:rPr>
                <w:color w:val="000000" w:themeColor="text1"/>
              </w:rPr>
            </w:pPr>
          </w:p>
        </w:tc>
        <w:tc>
          <w:tcPr>
            <w:tcW w:w="4818" w:type="dxa"/>
          </w:tcPr>
          <w:p w14:paraId="58384D83" w14:textId="6FD814E2" w:rsidR="00EF1DBC" w:rsidRPr="00286216" w:rsidRDefault="00EF1DBC" w:rsidP="00EF1DBC">
            <w:pPr>
              <w:pStyle w:val="StyleZakonu"/>
              <w:rPr>
                <w:color w:val="000000" w:themeColor="text1"/>
              </w:rPr>
            </w:pPr>
            <w:r w:rsidRPr="00286216">
              <w:rPr>
                <w:color w:val="000000" w:themeColor="text1"/>
              </w:rPr>
              <w:t>а) у назві слова "фондовому ринку" замінити словами "ринках капіталу та організованих товарних ринках";</w:t>
            </w:r>
          </w:p>
        </w:tc>
      </w:tr>
      <w:tr w:rsidR="00EF1DBC" w:rsidRPr="00286216" w14:paraId="60A6773A" w14:textId="77777777" w:rsidTr="00091AA5">
        <w:tc>
          <w:tcPr>
            <w:tcW w:w="576" w:type="dxa"/>
          </w:tcPr>
          <w:p w14:paraId="13E2877A" w14:textId="77777777" w:rsidR="00EF1DBC" w:rsidRPr="00286216" w:rsidRDefault="00EF1DBC" w:rsidP="00EF1DBC">
            <w:pPr>
              <w:pStyle w:val="StyleWisnow"/>
              <w:rPr>
                <w:color w:val="000000" w:themeColor="text1"/>
              </w:rPr>
            </w:pPr>
            <w:bookmarkStart w:id="2469" w:name="n2598" w:colFirst="0" w:colLast="0"/>
            <w:bookmarkEnd w:id="2468"/>
            <w:r w:rsidRPr="00286216">
              <w:rPr>
                <w:color w:val="000000" w:themeColor="text1"/>
              </w:rPr>
              <w:t>2598.</w:t>
            </w:r>
          </w:p>
        </w:tc>
        <w:tc>
          <w:tcPr>
            <w:tcW w:w="4818" w:type="dxa"/>
          </w:tcPr>
          <w:p w14:paraId="74740599" w14:textId="77777777" w:rsidR="00EF1DBC" w:rsidRPr="00286216" w:rsidRDefault="00EF1DBC" w:rsidP="00EF1DBC">
            <w:pPr>
              <w:pStyle w:val="StyleZakonu"/>
              <w:rPr>
                <w:color w:val="000000" w:themeColor="text1"/>
              </w:rPr>
            </w:pPr>
            <w:r w:rsidRPr="00286216">
              <w:rPr>
                <w:color w:val="000000" w:themeColor="text1"/>
              </w:rPr>
              <w:t>б) у абзаці першому частини першої слова "фондовому ринку" замінити словами "ринках капіталу та організованих товарних ринках";</w:t>
            </w:r>
          </w:p>
        </w:tc>
        <w:tc>
          <w:tcPr>
            <w:tcW w:w="3686" w:type="dxa"/>
          </w:tcPr>
          <w:p w14:paraId="2207AADB" w14:textId="64B96621"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1208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1B32592B" w14:textId="77777777" w:rsidR="00EF1DBC" w:rsidRPr="00286216" w:rsidRDefault="00EF1DBC" w:rsidP="00EF1DBC">
            <w:pPr>
              <w:pStyle w:val="StyleProp"/>
              <w:rPr>
                <w:color w:val="000000" w:themeColor="text1"/>
              </w:rPr>
            </w:pPr>
            <w:r w:rsidRPr="00286216">
              <w:rPr>
                <w:color w:val="000000" w:themeColor="text1"/>
              </w:rPr>
              <w:t xml:space="preserve">У Кодексі України про адміністративні правопорушення: </w:t>
            </w:r>
          </w:p>
          <w:p w14:paraId="759396A4" w14:textId="77777777" w:rsidR="00EF1DBC" w:rsidRPr="00286216" w:rsidRDefault="00EF1DBC" w:rsidP="00EF1DBC">
            <w:pPr>
              <w:pStyle w:val="StyleProp"/>
              <w:rPr>
                <w:color w:val="000000" w:themeColor="text1"/>
              </w:rPr>
            </w:pPr>
            <w:r w:rsidRPr="00286216">
              <w:rPr>
                <w:color w:val="000000" w:themeColor="text1"/>
              </w:rPr>
              <w:t xml:space="preserve">Підпункт 7 пункту 1 розділу 3 доповнити </w:t>
            </w:r>
            <w:r w:rsidRPr="00286216">
              <w:rPr>
                <w:color w:val="000000" w:themeColor="text1"/>
              </w:rPr>
              <w:lastRenderedPageBreak/>
              <w:t>підпунктом в такій редакції:</w:t>
            </w:r>
          </w:p>
          <w:p w14:paraId="3A07117B" w14:textId="77777777" w:rsidR="00EF1DBC" w:rsidRPr="00286216" w:rsidRDefault="00EF1DBC" w:rsidP="00EF1DBC">
            <w:pPr>
              <w:pStyle w:val="StyleProp"/>
              <w:rPr>
                <w:color w:val="000000" w:themeColor="text1"/>
              </w:rPr>
            </w:pPr>
            <w:r w:rsidRPr="00286216">
              <w:rPr>
                <w:color w:val="000000" w:themeColor="text1"/>
              </w:rPr>
              <w:t>в) доповнити статтю 163-11 новою частиною такого змісту:</w:t>
            </w:r>
          </w:p>
          <w:p w14:paraId="3C3677EC" w14:textId="77777777" w:rsidR="00EF1DBC" w:rsidRPr="00286216" w:rsidRDefault="00EF1DBC" w:rsidP="00EF1DBC">
            <w:pPr>
              <w:pStyle w:val="StyleProp"/>
              <w:rPr>
                <w:color w:val="000000" w:themeColor="text1"/>
              </w:rPr>
            </w:pPr>
            <w:r w:rsidRPr="00286216">
              <w:rPr>
                <w:color w:val="000000" w:themeColor="text1"/>
              </w:rPr>
              <w:t xml:space="preserve">«Умисне розголошення професійної таємниці на ринках капіталу та організованих товарних ринках без згоди її власника особою, якій ця таємниця відома у зв'язку з професійною або службовою діяльністю, - </w:t>
            </w:r>
          </w:p>
          <w:p w14:paraId="10A36337" w14:textId="77777777" w:rsidR="00EF1DBC" w:rsidRPr="00286216" w:rsidRDefault="00EF1DBC" w:rsidP="00EF1DBC">
            <w:pPr>
              <w:pStyle w:val="StyleProp"/>
              <w:rPr>
                <w:color w:val="000000" w:themeColor="text1"/>
              </w:rPr>
            </w:pPr>
            <w:r w:rsidRPr="00286216">
              <w:rPr>
                <w:color w:val="000000" w:themeColor="text1"/>
              </w:rPr>
              <w:t>тягне за собою накладення штрафу від двох тисяч до п’яти тисяч неоподатковуваних мінімумів доходів громадян.».</w:t>
            </w:r>
          </w:p>
        </w:tc>
        <w:tc>
          <w:tcPr>
            <w:tcW w:w="1987" w:type="dxa"/>
          </w:tcPr>
          <w:p w14:paraId="6721FD95" w14:textId="77777777" w:rsidR="00EF1DBC" w:rsidRPr="00286216" w:rsidRDefault="00EF1DBC" w:rsidP="00EF1DBC">
            <w:pPr>
              <w:pStyle w:val="StyleWisnow"/>
              <w:rPr>
                <w:color w:val="000000" w:themeColor="text1"/>
              </w:rPr>
            </w:pPr>
            <w:r w:rsidRPr="00286216">
              <w:rPr>
                <w:color w:val="000000" w:themeColor="text1"/>
              </w:rPr>
              <w:lastRenderedPageBreak/>
              <w:t>Враховано</w:t>
            </w:r>
          </w:p>
          <w:p w14:paraId="1E0A3DB5" w14:textId="77777777" w:rsidR="00EF1DBC" w:rsidRPr="00286216" w:rsidRDefault="00EF1DBC" w:rsidP="00EF1DBC">
            <w:pPr>
              <w:pStyle w:val="StyleWisnow"/>
              <w:rPr>
                <w:color w:val="000000" w:themeColor="text1"/>
              </w:rPr>
            </w:pPr>
          </w:p>
        </w:tc>
        <w:tc>
          <w:tcPr>
            <w:tcW w:w="4818" w:type="dxa"/>
          </w:tcPr>
          <w:p w14:paraId="31655431" w14:textId="77777777" w:rsidR="00EF1DBC" w:rsidRPr="00286216" w:rsidRDefault="00EF1DBC" w:rsidP="00EF1DBC">
            <w:pPr>
              <w:pStyle w:val="StyleZakonu"/>
              <w:rPr>
                <w:color w:val="000000" w:themeColor="text1"/>
              </w:rPr>
            </w:pPr>
            <w:r w:rsidRPr="00286216">
              <w:rPr>
                <w:color w:val="000000" w:themeColor="text1"/>
              </w:rPr>
              <w:t>б) в абзаці першому частини першої слова "фондовому ринку" замінити словами "ринках капіталу та організованих товарних ринках";</w:t>
            </w:r>
          </w:p>
          <w:p w14:paraId="175BB891" w14:textId="77777777" w:rsidR="00EF1DBC" w:rsidRPr="00286216" w:rsidRDefault="00EF1DBC" w:rsidP="00EF1DBC">
            <w:pPr>
              <w:pStyle w:val="StyleZakonu"/>
              <w:rPr>
                <w:color w:val="000000" w:themeColor="text1"/>
              </w:rPr>
            </w:pPr>
            <w:r w:rsidRPr="00286216">
              <w:rPr>
                <w:color w:val="000000" w:themeColor="text1"/>
              </w:rPr>
              <w:lastRenderedPageBreak/>
              <w:t>в) доповнити  частиною сьомою такого змісту:</w:t>
            </w:r>
          </w:p>
          <w:p w14:paraId="34C44135" w14:textId="77777777" w:rsidR="00EF1DBC" w:rsidRPr="00286216" w:rsidRDefault="00EF1DBC" w:rsidP="00EF1DBC">
            <w:pPr>
              <w:pStyle w:val="StyleZakonu"/>
              <w:rPr>
                <w:color w:val="000000" w:themeColor="text1"/>
              </w:rPr>
            </w:pPr>
            <w:r w:rsidRPr="00286216">
              <w:rPr>
                <w:color w:val="000000" w:themeColor="text1"/>
              </w:rPr>
              <w:t xml:space="preserve">"Умисне розголошення професійної таємниці на ринках капіталу та організованих товарних ринках без згоди її власника особою, якій ця таємниця відома у зв'язку з професійною або службовою діяльністю, - </w:t>
            </w:r>
          </w:p>
          <w:p w14:paraId="33A1C8F0" w14:textId="68066060" w:rsidR="00EF1DBC" w:rsidRPr="00286216" w:rsidRDefault="00EF1DBC" w:rsidP="00EF1DBC">
            <w:pPr>
              <w:pStyle w:val="StyleZakonu"/>
              <w:rPr>
                <w:color w:val="000000" w:themeColor="text1"/>
              </w:rPr>
            </w:pPr>
            <w:r w:rsidRPr="00286216">
              <w:rPr>
                <w:color w:val="000000" w:themeColor="text1"/>
              </w:rPr>
              <w:t>тягне за собою накладення штрафу від двох тисяч до п’яти тисяч неоподатковуваних мінімумів доходів громадян";</w:t>
            </w:r>
          </w:p>
        </w:tc>
      </w:tr>
      <w:tr w:rsidR="00EF1DBC" w:rsidRPr="00286216" w14:paraId="6E4E0B67" w14:textId="77777777" w:rsidTr="00091AA5">
        <w:tc>
          <w:tcPr>
            <w:tcW w:w="576" w:type="dxa"/>
          </w:tcPr>
          <w:p w14:paraId="6D38D651" w14:textId="77777777" w:rsidR="00EF1DBC" w:rsidRPr="00286216" w:rsidRDefault="00EF1DBC" w:rsidP="00EF1DBC">
            <w:pPr>
              <w:pStyle w:val="StyleWisnow"/>
              <w:rPr>
                <w:color w:val="000000" w:themeColor="text1"/>
              </w:rPr>
            </w:pPr>
          </w:p>
        </w:tc>
        <w:tc>
          <w:tcPr>
            <w:tcW w:w="4818" w:type="dxa"/>
          </w:tcPr>
          <w:p w14:paraId="3882D0FF" w14:textId="77777777" w:rsidR="00EF1DBC" w:rsidRPr="00286216" w:rsidRDefault="00EF1DBC" w:rsidP="00EF1DBC">
            <w:pPr>
              <w:pStyle w:val="StyleZakonu"/>
              <w:rPr>
                <w:color w:val="000000" w:themeColor="text1"/>
              </w:rPr>
            </w:pPr>
          </w:p>
        </w:tc>
        <w:tc>
          <w:tcPr>
            <w:tcW w:w="3686" w:type="dxa"/>
          </w:tcPr>
          <w:p w14:paraId="0D988BF3" w14:textId="26A134CC"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1209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03D9D6E" w14:textId="77777777" w:rsidR="00EF1DBC" w:rsidRPr="00286216" w:rsidRDefault="00EF1DBC" w:rsidP="00EF1DBC">
            <w:pPr>
              <w:pStyle w:val="StyleAwt"/>
              <w:rPr>
                <w:color w:val="000000" w:themeColor="text1"/>
                <w:spacing w:val="-10"/>
              </w:rPr>
            </w:pPr>
            <w:r w:rsidRPr="00286216">
              <w:rPr>
                <w:color w:val="000000" w:themeColor="text1"/>
                <w:spacing w:val="-10"/>
              </w:rPr>
              <w:t xml:space="preserve">          Н.д.Гетманцев Д.О.(Реєстр.картка №245)</w:t>
            </w:r>
          </w:p>
          <w:p w14:paraId="46CD489F" w14:textId="77777777" w:rsidR="00EF1DBC" w:rsidRPr="00286216" w:rsidRDefault="00EF1DBC" w:rsidP="00EF1DBC">
            <w:pPr>
              <w:spacing w:line="190" w:lineRule="exact"/>
              <w:ind w:firstLine="227"/>
              <w:jc w:val="both"/>
              <w:rPr>
                <w:color w:val="000000" w:themeColor="text1"/>
                <w:sz w:val="18"/>
              </w:rPr>
            </w:pPr>
            <w:r w:rsidRPr="00286216">
              <w:rPr>
                <w:color w:val="000000" w:themeColor="text1"/>
                <w:sz w:val="18"/>
              </w:rPr>
              <w:t>Пункт 1 розділу 3 доповнити новим підпунктом такого змісту:</w:t>
            </w:r>
          </w:p>
          <w:p w14:paraId="4C67D66D" w14:textId="77777777" w:rsidR="00EF1DBC" w:rsidRPr="00286216" w:rsidRDefault="00EF1DBC" w:rsidP="00EF1DBC">
            <w:pPr>
              <w:spacing w:line="190" w:lineRule="exact"/>
              <w:ind w:firstLine="227"/>
              <w:jc w:val="both"/>
              <w:rPr>
                <w:color w:val="000000" w:themeColor="text1"/>
                <w:sz w:val="18"/>
              </w:rPr>
            </w:pPr>
            <w:r w:rsidRPr="00286216">
              <w:rPr>
                <w:color w:val="000000" w:themeColor="text1"/>
                <w:sz w:val="18"/>
              </w:rPr>
              <w:t>"8) після статті 163-17 доповнити двома новими статтями такого змісту:</w:t>
            </w:r>
          </w:p>
          <w:p w14:paraId="4699E532" w14:textId="77777777" w:rsidR="00EF1DBC" w:rsidRPr="00286216" w:rsidRDefault="00EF1DBC" w:rsidP="00EF1DBC">
            <w:pPr>
              <w:pStyle w:val="StyleProp"/>
              <w:rPr>
                <w:color w:val="000000" w:themeColor="text1"/>
              </w:rPr>
            </w:pPr>
            <w:r w:rsidRPr="00286216">
              <w:rPr>
                <w:color w:val="000000" w:themeColor="text1"/>
              </w:rPr>
              <w:t>«Стаття 163</w:t>
            </w:r>
            <w:r w:rsidRPr="00286216">
              <w:rPr>
                <w:color w:val="000000" w:themeColor="text1"/>
                <w:vertAlign w:val="superscript"/>
              </w:rPr>
              <w:t xml:space="preserve">18 </w:t>
            </w:r>
            <w:r w:rsidRPr="00286216">
              <w:rPr>
                <w:color w:val="000000" w:themeColor="text1"/>
              </w:rPr>
              <w:t>Маніпулювання на енергетичному ринку</w:t>
            </w:r>
          </w:p>
          <w:p w14:paraId="18FA8197" w14:textId="77777777" w:rsidR="00EF1DBC" w:rsidRPr="00286216" w:rsidRDefault="00EF1DBC" w:rsidP="00EF1DBC">
            <w:pPr>
              <w:pStyle w:val="StyleProp"/>
              <w:rPr>
                <w:color w:val="000000" w:themeColor="text1"/>
              </w:rPr>
            </w:pPr>
            <w:r w:rsidRPr="00286216">
              <w:rPr>
                <w:color w:val="000000" w:themeColor="text1"/>
              </w:rPr>
              <w:t>Дії осіб на енергетичному ринку (ринок електричної енергії та ринок природного газу), що мають ознаки маніпулювання на оптових енергетичних ринках, визначені законодавством в сфері енергетики, -</w:t>
            </w:r>
          </w:p>
          <w:p w14:paraId="5D4A29D6" w14:textId="77777777" w:rsidR="00EF1DBC" w:rsidRPr="00286216" w:rsidRDefault="00EF1DBC" w:rsidP="00EF1DBC">
            <w:pPr>
              <w:pStyle w:val="StyleProp"/>
              <w:rPr>
                <w:color w:val="000000" w:themeColor="text1"/>
              </w:rPr>
            </w:pPr>
            <w:r w:rsidRPr="00286216">
              <w:rPr>
                <w:color w:val="000000" w:themeColor="text1"/>
              </w:rPr>
              <w:t>тягнуть за собою накладення штрафу від тисячі до десяти тисяч неоподатковуваних мінімумів доходів громадян.</w:t>
            </w:r>
          </w:p>
          <w:p w14:paraId="0133E87D" w14:textId="77777777" w:rsidR="00EF1DBC" w:rsidRPr="00286216" w:rsidRDefault="00EF1DBC" w:rsidP="00EF1DBC">
            <w:pPr>
              <w:pStyle w:val="StyleProp"/>
              <w:rPr>
                <w:color w:val="000000" w:themeColor="text1"/>
              </w:rPr>
            </w:pPr>
            <w:r w:rsidRPr="00286216">
              <w:rPr>
                <w:color w:val="000000" w:themeColor="text1"/>
              </w:rPr>
              <w:t>Ті самі дії, вчинені групою осіб або особою, яку протягом року піддано адміністративному стягненню за правопорушення, передбачене частиною першою цієї статті, -</w:t>
            </w:r>
          </w:p>
          <w:p w14:paraId="3F6AAC8C" w14:textId="77777777" w:rsidR="00EF1DBC" w:rsidRPr="00286216" w:rsidRDefault="00EF1DBC" w:rsidP="00EF1DBC">
            <w:pPr>
              <w:pStyle w:val="StyleProp"/>
              <w:rPr>
                <w:color w:val="000000" w:themeColor="text1"/>
              </w:rPr>
            </w:pPr>
            <w:r w:rsidRPr="00286216">
              <w:rPr>
                <w:color w:val="000000" w:themeColor="text1"/>
              </w:rPr>
              <w:t>тягнуть за собою накладення штрафу від десяти тисяч до п’ятнадцяти тисяч неоподатковуваних мінімумів доходів громадян.</w:t>
            </w:r>
          </w:p>
          <w:p w14:paraId="7A6A45FB" w14:textId="77777777" w:rsidR="00EF1DBC" w:rsidRPr="00286216" w:rsidRDefault="00EF1DBC" w:rsidP="00EF1DBC">
            <w:pPr>
              <w:pStyle w:val="StyleProp"/>
              <w:rPr>
                <w:color w:val="000000" w:themeColor="text1"/>
              </w:rPr>
            </w:pPr>
            <w:r w:rsidRPr="00286216">
              <w:rPr>
                <w:color w:val="000000" w:themeColor="text1"/>
              </w:rPr>
              <w:t>Примітка. Під особами, які вчинили дії, передбачені цією статтею розуміються фізичні особи, які вчинили дії, передбачені цієї статтею,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p>
          <w:p w14:paraId="5A0BB2A8" w14:textId="77777777" w:rsidR="00EF1DBC" w:rsidRPr="00286216" w:rsidRDefault="00EF1DBC" w:rsidP="00EF1DBC">
            <w:pPr>
              <w:pStyle w:val="StyleProp"/>
              <w:rPr>
                <w:color w:val="000000" w:themeColor="text1"/>
              </w:rPr>
            </w:pPr>
            <w:r w:rsidRPr="00286216">
              <w:rPr>
                <w:color w:val="000000" w:themeColor="text1"/>
              </w:rPr>
              <w:t>Стаття 163</w:t>
            </w:r>
            <w:r w:rsidRPr="00286216">
              <w:rPr>
                <w:color w:val="000000" w:themeColor="text1"/>
                <w:vertAlign w:val="superscript"/>
              </w:rPr>
              <w:t>19</w:t>
            </w:r>
            <w:r w:rsidRPr="00286216">
              <w:rPr>
                <w:color w:val="000000" w:themeColor="text1"/>
              </w:rPr>
              <w:t xml:space="preserve"> Незаконне використання інсайдерської інформації щодо оптових енергетичних продуктів</w:t>
            </w:r>
          </w:p>
          <w:p w14:paraId="0DD1B645" w14:textId="77777777" w:rsidR="00EF1DBC" w:rsidRPr="00286216" w:rsidRDefault="00EF1DBC" w:rsidP="00EF1DBC">
            <w:pPr>
              <w:pStyle w:val="StyleProp"/>
              <w:rPr>
                <w:color w:val="000000" w:themeColor="text1"/>
              </w:rPr>
            </w:pPr>
            <w:r w:rsidRPr="00286216">
              <w:rPr>
                <w:color w:val="000000" w:themeColor="text1"/>
              </w:rPr>
              <w:lastRenderedPageBreak/>
              <w:t xml:space="preserve">Розкриття, передача або надання доступу до інсайдерської інформації, а також надання рекомендацій іншим особам щодо купівлі або продажу оптових енергетичних продуктів, перелік яких визначений чинним законодавством у сфері енергетики, а також вчинення на власну користь або на користь інших осіб, прямо або опосередковано правочинів з використанням інсайдерської інформації, спрямованх на купівлю або продаж оптових енергетичних продуктів, яких стосується інсайдерська інформація,- </w:t>
            </w:r>
          </w:p>
          <w:p w14:paraId="414A235F" w14:textId="77777777" w:rsidR="00EF1DBC" w:rsidRPr="00286216" w:rsidRDefault="00EF1DBC" w:rsidP="00EF1DBC">
            <w:pPr>
              <w:pStyle w:val="StyleProp"/>
              <w:rPr>
                <w:color w:val="000000" w:themeColor="text1"/>
              </w:rPr>
            </w:pPr>
            <w:r w:rsidRPr="00286216">
              <w:rPr>
                <w:color w:val="000000" w:themeColor="text1"/>
              </w:rPr>
              <w:t>тягнуть за собою накладення штрафу від десяти тисяч до п’ятнадцяти тисяч неоподатковуваних мінімумів доходів громадян.</w:t>
            </w:r>
          </w:p>
          <w:p w14:paraId="543BD717" w14:textId="77777777" w:rsidR="00EF1DBC" w:rsidRPr="00286216" w:rsidRDefault="00EF1DBC" w:rsidP="00EF1DBC">
            <w:pPr>
              <w:spacing w:line="190" w:lineRule="exact"/>
              <w:ind w:firstLine="227"/>
              <w:jc w:val="both"/>
              <w:rPr>
                <w:color w:val="000000" w:themeColor="text1"/>
                <w:sz w:val="18"/>
              </w:rPr>
            </w:pPr>
            <w:r w:rsidRPr="00286216">
              <w:rPr>
                <w:color w:val="000000" w:themeColor="text1"/>
              </w:rPr>
              <w:t>Примітка. Під особами, які вчинили дії, передбачені цією статтею розуміються фізичні особи, які вчинили дії, передбачені цими статтями,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r w:rsidRPr="00286216">
              <w:rPr>
                <w:color w:val="000000" w:themeColor="text1"/>
                <w:sz w:val="18"/>
              </w:rPr>
              <w:t>.».</w:t>
            </w:r>
          </w:p>
          <w:p w14:paraId="16B7768F" w14:textId="77777777" w:rsidR="00EF1DBC" w:rsidRPr="00286216" w:rsidRDefault="00EF1DBC" w:rsidP="00EF1DBC">
            <w:pPr>
              <w:spacing w:line="190" w:lineRule="exact"/>
              <w:ind w:firstLine="227"/>
              <w:jc w:val="both"/>
              <w:rPr>
                <w:color w:val="000000" w:themeColor="text1"/>
                <w:szCs w:val="18"/>
              </w:rPr>
            </w:pPr>
            <w:r w:rsidRPr="00286216">
              <w:rPr>
                <w:color w:val="000000" w:themeColor="text1"/>
                <w:sz w:val="18"/>
              </w:rPr>
              <w:t>У зв’язку з цим пункти восьмий - десятий вважати відповідно пунктами дев'ятим – одинадцятим.</w:t>
            </w:r>
          </w:p>
        </w:tc>
        <w:tc>
          <w:tcPr>
            <w:tcW w:w="1987" w:type="dxa"/>
          </w:tcPr>
          <w:p w14:paraId="174C0054" w14:textId="77777777" w:rsidR="00EF1DBC" w:rsidRPr="00286216" w:rsidRDefault="00EF1DBC" w:rsidP="00EF1DBC">
            <w:pPr>
              <w:pStyle w:val="StyleWisnow"/>
              <w:rPr>
                <w:color w:val="000000" w:themeColor="text1"/>
              </w:rPr>
            </w:pPr>
            <w:r w:rsidRPr="00286216">
              <w:rPr>
                <w:color w:val="000000" w:themeColor="text1"/>
              </w:rPr>
              <w:lastRenderedPageBreak/>
              <w:t>Враховано</w:t>
            </w:r>
          </w:p>
        </w:tc>
        <w:tc>
          <w:tcPr>
            <w:tcW w:w="4818" w:type="dxa"/>
          </w:tcPr>
          <w:p w14:paraId="014964FC" w14:textId="77777777" w:rsidR="00EF1DBC" w:rsidRPr="00286216" w:rsidRDefault="00EF1DBC" w:rsidP="00EF1DBC">
            <w:pPr>
              <w:pStyle w:val="StyleZakonu"/>
              <w:rPr>
                <w:color w:val="000000" w:themeColor="text1"/>
              </w:rPr>
            </w:pPr>
            <w:r w:rsidRPr="00286216">
              <w:rPr>
                <w:color w:val="000000" w:themeColor="text1"/>
              </w:rPr>
              <w:t>8) доповнити статтями 163</w:t>
            </w:r>
            <w:r w:rsidRPr="00286216">
              <w:rPr>
                <w:color w:val="000000" w:themeColor="text1"/>
                <w:vertAlign w:val="superscript"/>
              </w:rPr>
              <w:t>18</w:t>
            </w:r>
            <w:r w:rsidRPr="00286216">
              <w:rPr>
                <w:color w:val="000000" w:themeColor="text1"/>
              </w:rPr>
              <w:t xml:space="preserve"> і 163</w:t>
            </w:r>
            <w:r w:rsidRPr="00286216">
              <w:rPr>
                <w:color w:val="000000" w:themeColor="text1"/>
                <w:vertAlign w:val="superscript"/>
              </w:rPr>
              <w:t>19</w:t>
            </w:r>
            <w:r w:rsidRPr="00286216">
              <w:rPr>
                <w:color w:val="000000" w:themeColor="text1"/>
              </w:rPr>
              <w:t xml:space="preserve"> такого змісту: </w:t>
            </w:r>
          </w:p>
          <w:p w14:paraId="77B3BF2E" w14:textId="77777777" w:rsidR="00EF1DBC" w:rsidRPr="00286216" w:rsidRDefault="00EF1DBC" w:rsidP="00EF1DBC">
            <w:pPr>
              <w:pStyle w:val="StyleZakonu"/>
              <w:rPr>
                <w:color w:val="000000" w:themeColor="text1"/>
              </w:rPr>
            </w:pPr>
            <w:r w:rsidRPr="00286216">
              <w:rPr>
                <w:color w:val="000000" w:themeColor="text1"/>
              </w:rPr>
              <w:t>"Стаття 163</w:t>
            </w:r>
            <w:r w:rsidRPr="00286216">
              <w:rPr>
                <w:color w:val="000000" w:themeColor="text1"/>
                <w:vertAlign w:val="superscript"/>
              </w:rPr>
              <w:t>18</w:t>
            </w:r>
            <w:r w:rsidRPr="00286216">
              <w:rPr>
                <w:color w:val="000000" w:themeColor="text1"/>
              </w:rPr>
              <w:t>.</w:t>
            </w:r>
            <w:r w:rsidRPr="00286216">
              <w:rPr>
                <w:color w:val="000000" w:themeColor="text1"/>
                <w:vertAlign w:val="superscript"/>
              </w:rPr>
              <w:t xml:space="preserve"> </w:t>
            </w:r>
            <w:r w:rsidRPr="00286216">
              <w:rPr>
                <w:color w:val="000000" w:themeColor="text1"/>
              </w:rPr>
              <w:t>Маніпулювання на енергетичному ринку</w:t>
            </w:r>
          </w:p>
          <w:p w14:paraId="45BA4B49" w14:textId="77777777" w:rsidR="00EF1DBC" w:rsidRPr="00286216" w:rsidRDefault="00EF1DBC" w:rsidP="00EF1DBC">
            <w:pPr>
              <w:pStyle w:val="StyleZakonu"/>
              <w:rPr>
                <w:color w:val="000000" w:themeColor="text1"/>
              </w:rPr>
            </w:pPr>
            <w:r w:rsidRPr="00286216">
              <w:rPr>
                <w:color w:val="000000" w:themeColor="text1"/>
              </w:rPr>
              <w:t>Дії осіб на енергетичному ринку (ринок електричної енергії та ринок природного газу), що мають ознаки маніпулювання на оптових енергетичних ринках, визначені законодавством в сфері енергетики, -</w:t>
            </w:r>
          </w:p>
          <w:p w14:paraId="16E71367" w14:textId="77777777" w:rsidR="00EF1DBC" w:rsidRPr="00286216" w:rsidRDefault="00EF1DBC" w:rsidP="00EF1DBC">
            <w:pPr>
              <w:pStyle w:val="StyleZakonu"/>
              <w:rPr>
                <w:color w:val="000000" w:themeColor="text1"/>
              </w:rPr>
            </w:pPr>
            <w:r w:rsidRPr="00286216">
              <w:rPr>
                <w:color w:val="000000" w:themeColor="text1"/>
              </w:rPr>
              <w:t>тягнуть за собою накладення штрафу від однієї тисячі до десяти тисяч неоподатковуваних мінімумів доходів громадян.</w:t>
            </w:r>
          </w:p>
          <w:p w14:paraId="39E00EC4" w14:textId="77777777" w:rsidR="00EF1DBC" w:rsidRPr="00286216" w:rsidRDefault="00EF1DBC" w:rsidP="00EF1DBC">
            <w:pPr>
              <w:pStyle w:val="StyleZakonu"/>
              <w:rPr>
                <w:color w:val="000000" w:themeColor="text1"/>
              </w:rPr>
            </w:pPr>
            <w:r w:rsidRPr="00286216">
              <w:rPr>
                <w:color w:val="000000" w:themeColor="text1"/>
              </w:rPr>
              <w:t>Ті самі дії, вчинені групою осіб або особою, яку протягом року піддано адміністративному стягненню за правопорушення, передбачене частиною першою цієї статті, -</w:t>
            </w:r>
          </w:p>
          <w:p w14:paraId="63A33F75" w14:textId="77777777" w:rsidR="00EF1DBC" w:rsidRPr="00286216" w:rsidRDefault="00EF1DBC" w:rsidP="00EF1DBC">
            <w:pPr>
              <w:pStyle w:val="StyleZakonu"/>
              <w:rPr>
                <w:color w:val="000000" w:themeColor="text1"/>
              </w:rPr>
            </w:pPr>
            <w:r w:rsidRPr="00286216">
              <w:rPr>
                <w:color w:val="000000" w:themeColor="text1"/>
              </w:rPr>
              <w:t>тягнуть за собою накладення штрафу від десяти тисяч до п’ятнадцяти тисяч неоподатковуваних мінімумів доходів громадян.</w:t>
            </w:r>
          </w:p>
          <w:p w14:paraId="08C64592" w14:textId="77777777" w:rsidR="00EF1DBC" w:rsidRPr="00286216" w:rsidRDefault="00EF1DBC" w:rsidP="00EF1DBC">
            <w:pPr>
              <w:pStyle w:val="StyleZakonu"/>
              <w:rPr>
                <w:color w:val="000000" w:themeColor="text1"/>
              </w:rPr>
            </w:pPr>
            <w:r w:rsidRPr="00286216">
              <w:rPr>
                <w:color w:val="000000" w:themeColor="text1"/>
              </w:rPr>
              <w:t>Примітка. Під особами, які вчинили дії, передбачені цією статтею, розуміються фізичні особи, які вчинили дії, передбачені цієї статтею,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p>
          <w:p w14:paraId="3967B241" w14:textId="77777777" w:rsidR="00EF1DBC" w:rsidRPr="00286216" w:rsidRDefault="00EF1DBC" w:rsidP="00EF1DBC">
            <w:pPr>
              <w:pStyle w:val="StyleZakonu"/>
              <w:rPr>
                <w:color w:val="000000" w:themeColor="text1"/>
              </w:rPr>
            </w:pPr>
            <w:r w:rsidRPr="00286216">
              <w:rPr>
                <w:color w:val="000000" w:themeColor="text1"/>
              </w:rPr>
              <w:t>Стаття 163</w:t>
            </w:r>
            <w:r w:rsidRPr="00286216">
              <w:rPr>
                <w:color w:val="000000" w:themeColor="text1"/>
                <w:vertAlign w:val="superscript"/>
              </w:rPr>
              <w:t>19</w:t>
            </w:r>
            <w:r w:rsidRPr="00286216">
              <w:rPr>
                <w:color w:val="000000" w:themeColor="text1"/>
              </w:rPr>
              <w:t>. Незаконне використання інсайдерської інформації щодо оптових енергетичних продуктів</w:t>
            </w:r>
          </w:p>
          <w:p w14:paraId="5A2E34A3" w14:textId="77777777" w:rsidR="00EF1DBC" w:rsidRPr="00286216" w:rsidRDefault="00EF1DBC" w:rsidP="00EF1DBC">
            <w:pPr>
              <w:pStyle w:val="StyleZakonu"/>
              <w:rPr>
                <w:color w:val="000000" w:themeColor="text1"/>
              </w:rPr>
            </w:pPr>
            <w:r w:rsidRPr="00286216">
              <w:rPr>
                <w:color w:val="000000" w:themeColor="text1"/>
              </w:rPr>
              <w:t xml:space="preserve">Розкриття, передача або надання доступу до інсайдерської інформації, а також надання рекомендацій іншим особам щодо купівлі або </w:t>
            </w:r>
            <w:r w:rsidRPr="00286216">
              <w:rPr>
                <w:color w:val="000000" w:themeColor="text1"/>
              </w:rPr>
              <w:lastRenderedPageBreak/>
              <w:t xml:space="preserve">продажу оптових енергетичних продуктів, перелік яких визначений чинним законодавством у сфері енергетики, а також вчинення на власну користь або на користь інших осіб прямо або опосередковано правочинів з використанням інсайдерської інформації, спрямованх на купівлю або продаж оптових енергетичних продуктів, яких стосується інсайдерська інформація,- </w:t>
            </w:r>
          </w:p>
          <w:p w14:paraId="39A646EE" w14:textId="77777777" w:rsidR="00EF1DBC" w:rsidRPr="00286216" w:rsidRDefault="00EF1DBC" w:rsidP="00EF1DBC">
            <w:pPr>
              <w:pStyle w:val="StyleZakonu"/>
              <w:rPr>
                <w:color w:val="000000" w:themeColor="text1"/>
              </w:rPr>
            </w:pPr>
            <w:r w:rsidRPr="00286216">
              <w:rPr>
                <w:color w:val="000000" w:themeColor="text1"/>
              </w:rPr>
              <w:t>тягнуть за собою накладення штрафу від десяти тисяч до п’ятнадцяти тисяч неоподатковуваних мінімумів доходів громадян.</w:t>
            </w:r>
          </w:p>
          <w:p w14:paraId="2BF843CE" w14:textId="3AFBD9A6" w:rsidR="00EF1DBC" w:rsidRPr="00286216" w:rsidRDefault="00EF1DBC" w:rsidP="00EF1DBC">
            <w:pPr>
              <w:pStyle w:val="StyleZakonu"/>
              <w:rPr>
                <w:color w:val="000000" w:themeColor="text1"/>
              </w:rPr>
            </w:pPr>
            <w:r w:rsidRPr="00286216">
              <w:rPr>
                <w:color w:val="000000" w:themeColor="text1"/>
              </w:rPr>
              <w:t>Примітка. Під особами, які вчинили дії, передбачені цією статтею, розуміються фізичні особи, які вчинили дії, передбачені цією статтею,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p>
        </w:tc>
      </w:tr>
      <w:tr w:rsidR="00EF1DBC" w:rsidRPr="00286216" w14:paraId="0B2F043F" w14:textId="77777777" w:rsidTr="00091AA5">
        <w:tc>
          <w:tcPr>
            <w:tcW w:w="576" w:type="dxa"/>
          </w:tcPr>
          <w:p w14:paraId="431858E4" w14:textId="77777777" w:rsidR="00EF1DBC" w:rsidRPr="00286216" w:rsidRDefault="00EF1DBC" w:rsidP="00EF1DBC">
            <w:pPr>
              <w:pStyle w:val="StyleWisnow"/>
              <w:rPr>
                <w:color w:val="000000" w:themeColor="text1"/>
              </w:rPr>
            </w:pPr>
            <w:bookmarkStart w:id="2470" w:name="n2599" w:colFirst="0" w:colLast="0"/>
            <w:bookmarkEnd w:id="2469"/>
            <w:r w:rsidRPr="00286216">
              <w:rPr>
                <w:color w:val="000000" w:themeColor="text1"/>
              </w:rPr>
              <w:lastRenderedPageBreak/>
              <w:t>2599.</w:t>
            </w:r>
          </w:p>
        </w:tc>
        <w:tc>
          <w:tcPr>
            <w:tcW w:w="4818" w:type="dxa"/>
          </w:tcPr>
          <w:p w14:paraId="18170104" w14:textId="77777777" w:rsidR="00EF1DBC" w:rsidRPr="00286216" w:rsidRDefault="00EF1DBC" w:rsidP="00EF1DBC">
            <w:pPr>
              <w:pStyle w:val="StyleZakonu"/>
              <w:rPr>
                <w:color w:val="000000" w:themeColor="text1"/>
              </w:rPr>
            </w:pPr>
            <w:r w:rsidRPr="00286216">
              <w:rPr>
                <w:color w:val="000000" w:themeColor="text1"/>
              </w:rPr>
              <w:t>8) у статті 188</w:t>
            </w:r>
            <w:r w:rsidRPr="00286216">
              <w:rPr>
                <w:color w:val="000000" w:themeColor="text1"/>
                <w:vertAlign w:val="superscript"/>
              </w:rPr>
              <w:t>30</w:t>
            </w:r>
            <w:r w:rsidRPr="00286216">
              <w:rPr>
                <w:color w:val="000000" w:themeColor="text1"/>
              </w:rPr>
              <w:t>:</w:t>
            </w:r>
          </w:p>
        </w:tc>
        <w:tc>
          <w:tcPr>
            <w:tcW w:w="3686" w:type="dxa"/>
          </w:tcPr>
          <w:p w14:paraId="458EB64B" w14:textId="0FA990A2"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1210</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EF42BCC" w14:textId="77777777" w:rsidR="00EF1DBC" w:rsidRPr="00286216" w:rsidRDefault="00EF1DBC" w:rsidP="00EF1DBC">
            <w:pPr>
              <w:pStyle w:val="StyleProp"/>
              <w:rPr>
                <w:color w:val="000000" w:themeColor="text1"/>
                <w:szCs w:val="18"/>
              </w:rPr>
            </w:pPr>
            <w:r w:rsidRPr="00286216">
              <w:rPr>
                <w:color w:val="000000" w:themeColor="text1"/>
                <w:szCs w:val="18"/>
              </w:rPr>
              <w:t>Підпункт 8 пункту 1 викласти в такій редакції:</w:t>
            </w:r>
          </w:p>
          <w:p w14:paraId="7E122EB4" w14:textId="1FAAAEF8" w:rsidR="00EF1DBC" w:rsidRPr="00286216" w:rsidRDefault="00EF1DBC" w:rsidP="00EF1DBC">
            <w:pPr>
              <w:pStyle w:val="StyleProp"/>
              <w:rPr>
                <w:color w:val="000000" w:themeColor="text1"/>
                <w:szCs w:val="18"/>
              </w:rPr>
            </w:pPr>
            <w:r w:rsidRPr="00286216">
              <w:rPr>
                <w:color w:val="000000" w:themeColor="text1"/>
                <w:szCs w:val="18"/>
              </w:rPr>
              <w:t>«8) у статті 188-30:</w:t>
            </w:r>
          </w:p>
        </w:tc>
        <w:tc>
          <w:tcPr>
            <w:tcW w:w="1987" w:type="dxa"/>
          </w:tcPr>
          <w:p w14:paraId="1A969BE4" w14:textId="77777777" w:rsidR="00EF1DBC" w:rsidRPr="00286216" w:rsidRDefault="00EF1DBC" w:rsidP="00EF1DBC">
            <w:pPr>
              <w:pStyle w:val="StyleWisnow"/>
              <w:rPr>
                <w:color w:val="000000" w:themeColor="text1"/>
              </w:rPr>
            </w:pPr>
            <w:r w:rsidRPr="00286216">
              <w:rPr>
                <w:color w:val="000000" w:themeColor="text1"/>
              </w:rPr>
              <w:t>Відхилено</w:t>
            </w:r>
          </w:p>
          <w:p w14:paraId="1EE72DE8" w14:textId="61BBF5F1" w:rsidR="00EF1DBC" w:rsidRPr="00286216" w:rsidRDefault="00EF1DBC" w:rsidP="00EF1DBC">
            <w:pPr>
              <w:pStyle w:val="StyleWisnow"/>
              <w:rPr>
                <w:color w:val="000000" w:themeColor="text1"/>
              </w:rPr>
            </w:pPr>
            <w:r w:rsidRPr="00286216">
              <w:rPr>
                <w:color w:val="000000" w:themeColor="text1"/>
              </w:rPr>
              <w:t>ускладнює правозастосовну практику</w:t>
            </w:r>
          </w:p>
        </w:tc>
        <w:tc>
          <w:tcPr>
            <w:tcW w:w="4818" w:type="dxa"/>
          </w:tcPr>
          <w:p w14:paraId="25D8D9FA" w14:textId="377D8E4E" w:rsidR="00EF1DBC" w:rsidRPr="00286216" w:rsidRDefault="00EF1DBC" w:rsidP="00EF1DBC">
            <w:pPr>
              <w:pStyle w:val="StyleZakonu"/>
              <w:rPr>
                <w:color w:val="000000" w:themeColor="text1"/>
              </w:rPr>
            </w:pPr>
            <w:r w:rsidRPr="00286216">
              <w:rPr>
                <w:color w:val="000000" w:themeColor="text1"/>
              </w:rPr>
              <w:t>9) у статті 188</w:t>
            </w:r>
            <w:r w:rsidRPr="00286216">
              <w:rPr>
                <w:color w:val="000000" w:themeColor="text1"/>
                <w:vertAlign w:val="superscript"/>
              </w:rPr>
              <w:t>30</w:t>
            </w:r>
            <w:r w:rsidRPr="00286216">
              <w:rPr>
                <w:color w:val="000000" w:themeColor="text1"/>
              </w:rPr>
              <w:t>:</w:t>
            </w:r>
          </w:p>
        </w:tc>
      </w:tr>
      <w:tr w:rsidR="00EF1DBC" w:rsidRPr="00286216" w14:paraId="719E2790" w14:textId="77777777" w:rsidTr="00091AA5">
        <w:tc>
          <w:tcPr>
            <w:tcW w:w="576" w:type="dxa"/>
          </w:tcPr>
          <w:p w14:paraId="25C28FBF" w14:textId="77777777" w:rsidR="00EF1DBC" w:rsidRPr="00286216" w:rsidRDefault="00EF1DBC" w:rsidP="00EF1DBC">
            <w:pPr>
              <w:pStyle w:val="StyleWisnow"/>
              <w:rPr>
                <w:color w:val="000000" w:themeColor="text1"/>
              </w:rPr>
            </w:pPr>
            <w:bookmarkStart w:id="2471" w:name="n2600" w:colFirst="0" w:colLast="0"/>
            <w:bookmarkEnd w:id="2470"/>
            <w:r w:rsidRPr="00286216">
              <w:rPr>
                <w:color w:val="000000" w:themeColor="text1"/>
              </w:rPr>
              <w:t>2600.</w:t>
            </w:r>
          </w:p>
        </w:tc>
        <w:tc>
          <w:tcPr>
            <w:tcW w:w="4818" w:type="dxa"/>
          </w:tcPr>
          <w:p w14:paraId="34116855" w14:textId="77777777" w:rsidR="00EF1DBC" w:rsidRPr="00286216" w:rsidRDefault="00EF1DBC" w:rsidP="00EF1DBC">
            <w:pPr>
              <w:pStyle w:val="StyleZakonu"/>
              <w:rPr>
                <w:color w:val="000000" w:themeColor="text1"/>
              </w:rPr>
            </w:pPr>
            <w:r w:rsidRPr="00286216">
              <w:rPr>
                <w:color w:val="000000" w:themeColor="text1"/>
              </w:rPr>
              <w:t>а) у абзаці першому частини першої слова "ринку цінних паперів, у системі" замінити словами "ринках капіталу та організованих товарних ринках, у тому числі законодавства про систему";</w:t>
            </w:r>
          </w:p>
        </w:tc>
        <w:tc>
          <w:tcPr>
            <w:tcW w:w="3686" w:type="dxa"/>
          </w:tcPr>
          <w:p w14:paraId="1ADC4578" w14:textId="77777777" w:rsidR="00EF1DBC" w:rsidRPr="00286216" w:rsidRDefault="00EF1DBC" w:rsidP="00EF1DBC">
            <w:pPr>
              <w:pStyle w:val="StyleProp"/>
              <w:rPr>
                <w:color w:val="000000" w:themeColor="text1"/>
                <w:szCs w:val="18"/>
              </w:rPr>
            </w:pPr>
            <w:r w:rsidRPr="00286216">
              <w:rPr>
                <w:color w:val="000000" w:themeColor="text1"/>
                <w:szCs w:val="18"/>
              </w:rPr>
              <w:t>а) у абзаці першому частини першої слова «ринку цінних паперів, у системі» замінити словами «ринках капіталу та організованих товарних ринках, у тому числі законодавства про систему»;</w:t>
            </w:r>
          </w:p>
          <w:p w14:paraId="0F61D61A" w14:textId="77777777" w:rsidR="00EF1DBC" w:rsidRPr="00286216" w:rsidRDefault="00EF1DBC" w:rsidP="00EF1DBC">
            <w:pPr>
              <w:pStyle w:val="StyleProp"/>
              <w:rPr>
                <w:color w:val="000000" w:themeColor="text1"/>
                <w:szCs w:val="18"/>
              </w:rPr>
            </w:pPr>
            <w:r w:rsidRPr="00286216">
              <w:rPr>
                <w:color w:val="000000" w:themeColor="text1"/>
                <w:szCs w:val="18"/>
              </w:rPr>
              <w:t>б)  абзац другий частини першої після слів «накладення штрафу» доповнити словами «на посадових осіб суб’єктів господарювання, що вчинили такі дії,»;</w:t>
            </w:r>
          </w:p>
        </w:tc>
        <w:tc>
          <w:tcPr>
            <w:tcW w:w="1987" w:type="dxa"/>
          </w:tcPr>
          <w:p w14:paraId="375F5E31" w14:textId="77777777" w:rsidR="00EF1DBC" w:rsidRPr="00286216" w:rsidRDefault="00EF1DBC" w:rsidP="00EF1DBC">
            <w:pPr>
              <w:pStyle w:val="StyleWisnow"/>
              <w:rPr>
                <w:color w:val="000000" w:themeColor="text1"/>
              </w:rPr>
            </w:pPr>
          </w:p>
        </w:tc>
        <w:tc>
          <w:tcPr>
            <w:tcW w:w="4818" w:type="dxa"/>
          </w:tcPr>
          <w:p w14:paraId="60AD40DC" w14:textId="49ED5229" w:rsidR="00EF1DBC" w:rsidRPr="00286216" w:rsidRDefault="00EF1DBC" w:rsidP="00EF1DBC">
            <w:pPr>
              <w:pStyle w:val="StyleZakonu"/>
              <w:rPr>
                <w:color w:val="000000" w:themeColor="text1"/>
              </w:rPr>
            </w:pPr>
            <w:r w:rsidRPr="00286216">
              <w:rPr>
                <w:color w:val="000000" w:themeColor="text1"/>
              </w:rPr>
              <w:t>а) в абзаці першому частини першої слова "ринку цінних паперів, у системі" замінити словами "ринках капіталу та організованих товарних ринках, у тому числі законодавства про систему";</w:t>
            </w:r>
          </w:p>
        </w:tc>
      </w:tr>
      <w:tr w:rsidR="00EF1DBC" w:rsidRPr="00286216" w14:paraId="2B1AA2EF" w14:textId="77777777" w:rsidTr="00091AA5">
        <w:tc>
          <w:tcPr>
            <w:tcW w:w="576" w:type="dxa"/>
          </w:tcPr>
          <w:p w14:paraId="5B60B1E0" w14:textId="77777777" w:rsidR="00EF1DBC" w:rsidRPr="00286216" w:rsidRDefault="00EF1DBC" w:rsidP="00EF1DBC">
            <w:pPr>
              <w:pStyle w:val="StyleWisnow"/>
              <w:rPr>
                <w:color w:val="000000" w:themeColor="text1"/>
              </w:rPr>
            </w:pPr>
            <w:bookmarkStart w:id="2472" w:name="n2601" w:colFirst="0" w:colLast="0"/>
            <w:bookmarkEnd w:id="2471"/>
            <w:r w:rsidRPr="00286216">
              <w:rPr>
                <w:color w:val="000000" w:themeColor="text1"/>
              </w:rPr>
              <w:t>2601.</w:t>
            </w:r>
          </w:p>
        </w:tc>
        <w:tc>
          <w:tcPr>
            <w:tcW w:w="4818" w:type="dxa"/>
          </w:tcPr>
          <w:p w14:paraId="2794D43D" w14:textId="77777777" w:rsidR="00EF1DBC" w:rsidRPr="00286216" w:rsidRDefault="00EF1DBC" w:rsidP="00EF1DBC">
            <w:pPr>
              <w:pStyle w:val="StyleZakonu"/>
              <w:rPr>
                <w:color w:val="000000" w:themeColor="text1"/>
              </w:rPr>
            </w:pPr>
            <w:r w:rsidRPr="00286216">
              <w:rPr>
                <w:color w:val="000000" w:themeColor="text1"/>
              </w:rPr>
              <w:t>б) у абзаці першому частини третьої слова "фондового ринку" замінити словами "ринків капіталу та організованих товарних ринків";</w:t>
            </w:r>
          </w:p>
        </w:tc>
        <w:tc>
          <w:tcPr>
            <w:tcW w:w="3686" w:type="dxa"/>
          </w:tcPr>
          <w:p w14:paraId="139EF74A" w14:textId="77777777" w:rsidR="00EF1DBC" w:rsidRPr="00286216" w:rsidRDefault="00EF1DBC" w:rsidP="00EF1DBC">
            <w:pPr>
              <w:pStyle w:val="StyleProp"/>
              <w:rPr>
                <w:color w:val="000000" w:themeColor="text1"/>
                <w:szCs w:val="18"/>
              </w:rPr>
            </w:pPr>
            <w:r w:rsidRPr="00286216">
              <w:rPr>
                <w:color w:val="000000" w:themeColor="text1"/>
                <w:szCs w:val="18"/>
              </w:rPr>
              <w:t>в) у абзаці першому частини третьої слова «фондового ринку» замінити словами «ринків капіталу та організованих товарних ринків»;</w:t>
            </w:r>
          </w:p>
          <w:p w14:paraId="54817E2A" w14:textId="77777777" w:rsidR="00EF1DBC" w:rsidRPr="00286216" w:rsidRDefault="00EF1DBC" w:rsidP="00EF1DBC">
            <w:pPr>
              <w:pStyle w:val="StyleProp"/>
              <w:rPr>
                <w:color w:val="000000" w:themeColor="text1"/>
                <w:szCs w:val="18"/>
              </w:rPr>
            </w:pPr>
            <w:r w:rsidRPr="00286216">
              <w:rPr>
                <w:color w:val="000000" w:themeColor="text1"/>
                <w:szCs w:val="18"/>
              </w:rPr>
              <w:t xml:space="preserve">г) абзац другий частини третьої після слів </w:t>
            </w:r>
            <w:r w:rsidRPr="00286216">
              <w:rPr>
                <w:color w:val="000000" w:themeColor="text1"/>
                <w:szCs w:val="18"/>
              </w:rPr>
              <w:lastRenderedPageBreak/>
              <w:t>«накладення штрафу» доповнити словами «на посадових осіб суб’єктів господарювання, що вчинили такі дії,»».</w:t>
            </w:r>
          </w:p>
        </w:tc>
        <w:tc>
          <w:tcPr>
            <w:tcW w:w="1987" w:type="dxa"/>
          </w:tcPr>
          <w:p w14:paraId="06D1F883" w14:textId="77777777" w:rsidR="00EF1DBC" w:rsidRPr="00286216" w:rsidRDefault="00EF1DBC" w:rsidP="00EF1DBC">
            <w:pPr>
              <w:pStyle w:val="StyleWisnow"/>
              <w:rPr>
                <w:color w:val="000000" w:themeColor="text1"/>
              </w:rPr>
            </w:pPr>
          </w:p>
        </w:tc>
        <w:tc>
          <w:tcPr>
            <w:tcW w:w="4818" w:type="dxa"/>
          </w:tcPr>
          <w:p w14:paraId="4037789B" w14:textId="33A24EF3" w:rsidR="00EF1DBC" w:rsidRPr="00286216" w:rsidRDefault="00EF1DBC" w:rsidP="00EF1DBC">
            <w:pPr>
              <w:pStyle w:val="StyleZakonu"/>
              <w:rPr>
                <w:color w:val="000000" w:themeColor="text1"/>
              </w:rPr>
            </w:pPr>
            <w:r w:rsidRPr="00286216">
              <w:rPr>
                <w:color w:val="000000" w:themeColor="text1"/>
              </w:rPr>
              <w:t>б) в абзаці першому частини третьої слова "фондового ринку" замінити словами "ринків капіталу та організованих товарних ринків";</w:t>
            </w:r>
          </w:p>
        </w:tc>
      </w:tr>
      <w:tr w:rsidR="00EF1DBC" w:rsidRPr="00286216" w14:paraId="221264F6" w14:textId="77777777" w:rsidTr="00091AA5">
        <w:tc>
          <w:tcPr>
            <w:tcW w:w="576" w:type="dxa"/>
          </w:tcPr>
          <w:p w14:paraId="37E96F62" w14:textId="77777777" w:rsidR="00EF1DBC" w:rsidRPr="00286216" w:rsidRDefault="00EF1DBC" w:rsidP="00EF1DBC">
            <w:pPr>
              <w:pStyle w:val="StyleWisnow"/>
              <w:rPr>
                <w:color w:val="000000" w:themeColor="text1"/>
              </w:rPr>
            </w:pPr>
            <w:bookmarkStart w:id="2473" w:name="n2602" w:colFirst="0" w:colLast="0"/>
            <w:bookmarkEnd w:id="2472"/>
            <w:r w:rsidRPr="00286216">
              <w:rPr>
                <w:color w:val="000000" w:themeColor="text1"/>
              </w:rPr>
              <w:t>2602.</w:t>
            </w:r>
          </w:p>
        </w:tc>
        <w:tc>
          <w:tcPr>
            <w:tcW w:w="4818" w:type="dxa"/>
          </w:tcPr>
          <w:p w14:paraId="1162E429" w14:textId="77777777" w:rsidR="00EF1DBC" w:rsidRPr="00286216" w:rsidRDefault="00EF1DBC" w:rsidP="00EF1DBC">
            <w:pPr>
              <w:pStyle w:val="StyleZakonu"/>
              <w:rPr>
                <w:color w:val="000000" w:themeColor="text1"/>
              </w:rPr>
            </w:pPr>
            <w:r w:rsidRPr="00286216">
              <w:rPr>
                <w:color w:val="000000" w:themeColor="text1"/>
              </w:rPr>
              <w:t>9) частину першу статті 244</w:t>
            </w:r>
            <w:r w:rsidRPr="00286216">
              <w:rPr>
                <w:color w:val="000000" w:themeColor="text1"/>
                <w:vertAlign w:val="superscript"/>
              </w:rPr>
              <w:t>17</w:t>
            </w:r>
            <w:r w:rsidRPr="00286216">
              <w:rPr>
                <w:color w:val="000000" w:themeColor="text1"/>
              </w:rPr>
              <w:t xml:space="preserve"> викласти в такій редакції:</w:t>
            </w:r>
          </w:p>
        </w:tc>
        <w:tc>
          <w:tcPr>
            <w:tcW w:w="3686" w:type="dxa"/>
          </w:tcPr>
          <w:p w14:paraId="19D7BF68" w14:textId="77777777" w:rsidR="00EF1DBC" w:rsidRPr="00286216" w:rsidRDefault="00EF1DBC" w:rsidP="00EF1DBC">
            <w:pPr>
              <w:pStyle w:val="StyleProp"/>
              <w:rPr>
                <w:color w:val="000000" w:themeColor="text1"/>
                <w:szCs w:val="18"/>
              </w:rPr>
            </w:pPr>
          </w:p>
        </w:tc>
        <w:tc>
          <w:tcPr>
            <w:tcW w:w="1987" w:type="dxa"/>
          </w:tcPr>
          <w:p w14:paraId="04D6A957" w14:textId="77777777" w:rsidR="00EF1DBC" w:rsidRPr="00286216" w:rsidRDefault="00EF1DBC" w:rsidP="00EF1DBC">
            <w:pPr>
              <w:pStyle w:val="StyleWisnow"/>
              <w:rPr>
                <w:color w:val="000000" w:themeColor="text1"/>
              </w:rPr>
            </w:pPr>
          </w:p>
        </w:tc>
        <w:tc>
          <w:tcPr>
            <w:tcW w:w="4818" w:type="dxa"/>
          </w:tcPr>
          <w:p w14:paraId="3A2B16B1" w14:textId="5B50CB5D" w:rsidR="00EF1DBC" w:rsidRPr="00286216" w:rsidRDefault="00EF1DBC" w:rsidP="00EF1DBC">
            <w:pPr>
              <w:pStyle w:val="StyleZakonu"/>
              <w:rPr>
                <w:color w:val="000000" w:themeColor="text1"/>
              </w:rPr>
            </w:pPr>
            <w:r w:rsidRPr="00286216">
              <w:rPr>
                <w:color w:val="000000" w:themeColor="text1"/>
              </w:rPr>
              <w:t>10) частину першу статті 244</w:t>
            </w:r>
            <w:r w:rsidRPr="00286216">
              <w:rPr>
                <w:color w:val="000000" w:themeColor="text1"/>
                <w:vertAlign w:val="superscript"/>
              </w:rPr>
              <w:t>17</w:t>
            </w:r>
            <w:r w:rsidRPr="00286216">
              <w:rPr>
                <w:color w:val="000000" w:themeColor="text1"/>
              </w:rPr>
              <w:t xml:space="preserve"> викласти в такій редакції:</w:t>
            </w:r>
          </w:p>
        </w:tc>
      </w:tr>
      <w:tr w:rsidR="00EF1DBC" w:rsidRPr="00286216" w14:paraId="452FC7D1" w14:textId="77777777" w:rsidTr="00091AA5">
        <w:tc>
          <w:tcPr>
            <w:tcW w:w="576" w:type="dxa"/>
          </w:tcPr>
          <w:p w14:paraId="36B7F0FB" w14:textId="77777777" w:rsidR="00EF1DBC" w:rsidRPr="00286216" w:rsidRDefault="00EF1DBC" w:rsidP="00EF1DBC">
            <w:pPr>
              <w:pStyle w:val="StyleWisnow"/>
              <w:rPr>
                <w:color w:val="000000" w:themeColor="text1"/>
              </w:rPr>
            </w:pPr>
            <w:bookmarkStart w:id="2474" w:name="n2603" w:colFirst="0" w:colLast="0"/>
            <w:bookmarkEnd w:id="2473"/>
            <w:r w:rsidRPr="00286216">
              <w:rPr>
                <w:color w:val="000000" w:themeColor="text1"/>
              </w:rPr>
              <w:t>2603.</w:t>
            </w:r>
          </w:p>
        </w:tc>
        <w:tc>
          <w:tcPr>
            <w:tcW w:w="4818" w:type="dxa"/>
          </w:tcPr>
          <w:p w14:paraId="49A4AF31" w14:textId="77777777" w:rsidR="00EF1DBC" w:rsidRPr="00286216" w:rsidRDefault="00EF1DBC" w:rsidP="00EF1DBC">
            <w:pPr>
              <w:pStyle w:val="StyleZakonu"/>
              <w:rPr>
                <w:color w:val="000000" w:themeColor="text1"/>
              </w:rPr>
            </w:pPr>
            <w:r w:rsidRPr="00286216">
              <w:rPr>
                <w:color w:val="000000" w:themeColor="text1"/>
              </w:rPr>
              <w:t>"</w:t>
            </w:r>
            <w:r w:rsidRPr="00286216">
              <w:rPr>
                <w:bCs/>
                <w:color w:val="000000" w:themeColor="text1"/>
              </w:rPr>
              <w:t>Національна комісія з цінних паперів та фондового ринку розглядає справи про адміністративні правопорушення, пов’язані з порушенням законодавства про захист прав споживачів фінансових послуг (частини п’ята, шоста статті 156</w:t>
            </w:r>
            <w:r w:rsidRPr="00286216">
              <w:rPr>
                <w:bCs/>
                <w:color w:val="000000" w:themeColor="text1"/>
                <w:vertAlign w:val="superscript"/>
              </w:rPr>
              <w:t>1</w:t>
            </w:r>
            <w:r w:rsidRPr="00286216">
              <w:rPr>
                <w:bCs/>
                <w:color w:val="000000" w:themeColor="text1"/>
              </w:rPr>
              <w:t xml:space="preserve"> - за порушення, вчинені учасниками ринків фінансових послуг, якщо державне регулювання ринку таких послуг здійснюється Національною комісією з цінних паперів та фондового ринку), з порушенням вимог законодавства на ринках капіталу та організованих товарних ринках, у тому числі законодавства про систему накопичувального пенсійного забезпечення (статті 163, 163</w:t>
            </w:r>
            <w:r w:rsidRPr="00286216">
              <w:rPr>
                <w:bCs/>
                <w:color w:val="000000" w:themeColor="text1"/>
                <w:vertAlign w:val="superscript"/>
              </w:rPr>
              <w:t>5</w:t>
            </w:r>
            <w:r w:rsidRPr="00286216">
              <w:rPr>
                <w:bCs/>
                <w:color w:val="000000" w:themeColor="text1"/>
              </w:rPr>
              <w:t>, 163</w:t>
            </w:r>
            <w:r w:rsidRPr="00286216">
              <w:rPr>
                <w:bCs/>
                <w:color w:val="000000" w:themeColor="text1"/>
                <w:vertAlign w:val="superscript"/>
              </w:rPr>
              <w:t>6</w:t>
            </w:r>
            <w:r w:rsidRPr="00286216">
              <w:rPr>
                <w:bCs/>
                <w:color w:val="000000" w:themeColor="text1"/>
              </w:rPr>
              <w:t>, частина перша статті 163</w:t>
            </w:r>
            <w:r w:rsidRPr="00286216">
              <w:rPr>
                <w:bCs/>
                <w:color w:val="000000" w:themeColor="text1"/>
                <w:vertAlign w:val="superscript"/>
              </w:rPr>
              <w:t>7</w:t>
            </w:r>
            <w:r w:rsidRPr="00286216">
              <w:rPr>
                <w:bCs/>
                <w:color w:val="000000" w:themeColor="text1"/>
              </w:rPr>
              <w:t>, статті 163</w:t>
            </w:r>
            <w:r w:rsidRPr="00286216">
              <w:rPr>
                <w:bCs/>
                <w:color w:val="000000" w:themeColor="text1"/>
                <w:vertAlign w:val="superscript"/>
              </w:rPr>
              <w:t>8</w:t>
            </w:r>
            <w:r w:rsidRPr="00286216">
              <w:rPr>
                <w:bCs/>
                <w:color w:val="000000" w:themeColor="text1"/>
              </w:rPr>
              <w:t xml:space="preserve"> - 163</w:t>
            </w:r>
            <w:r w:rsidRPr="00286216">
              <w:rPr>
                <w:bCs/>
                <w:color w:val="000000" w:themeColor="text1"/>
                <w:vertAlign w:val="superscript"/>
              </w:rPr>
              <w:t>11</w:t>
            </w:r>
            <w:r w:rsidRPr="00286216">
              <w:rPr>
                <w:bCs/>
                <w:color w:val="000000" w:themeColor="text1"/>
              </w:rPr>
              <w:t>, 166</w:t>
            </w:r>
            <w:r w:rsidRPr="00286216">
              <w:rPr>
                <w:bCs/>
                <w:color w:val="000000" w:themeColor="text1"/>
                <w:vertAlign w:val="superscript"/>
              </w:rPr>
              <w:t>13</w:t>
            </w:r>
            <w:r w:rsidRPr="00286216">
              <w:rPr>
                <w:bCs/>
                <w:color w:val="000000" w:themeColor="text1"/>
              </w:rPr>
              <w:t>, 188</w:t>
            </w:r>
            <w:r w:rsidRPr="00286216">
              <w:rPr>
                <w:bCs/>
                <w:color w:val="000000" w:themeColor="text1"/>
                <w:vertAlign w:val="superscript"/>
              </w:rPr>
              <w:t>30</w:t>
            </w:r>
            <w:r w:rsidRPr="00286216">
              <w:rPr>
                <w:bCs/>
                <w:color w:val="000000" w:themeColor="text1"/>
              </w:rPr>
              <w:t>), порушенням емітентами, цінні папери яких допущені до торгів на організованих ринках капіталу або щодо цінних паперів яких здійснено публічну пропозицію, або професійними учасниками ринків капіталу та організованих товарних ринків, або суб’єктами накопичувального пенсійного забезпечення (крім вкладників та учасників) порядку оприлюднення фінансової звітності разом з аудиторським звітом (стаття 163</w:t>
            </w:r>
            <w:r w:rsidRPr="00286216">
              <w:rPr>
                <w:bCs/>
                <w:color w:val="000000" w:themeColor="text1"/>
                <w:vertAlign w:val="superscript"/>
              </w:rPr>
              <w:t>16</w:t>
            </w:r>
            <w:r w:rsidRPr="00286216">
              <w:rPr>
                <w:bCs/>
                <w:color w:val="000000" w:themeColor="text1"/>
              </w:rPr>
              <w:t>) -"</w:t>
            </w:r>
            <w:r w:rsidRPr="00286216">
              <w:rPr>
                <w:color w:val="000000" w:themeColor="text1"/>
              </w:rPr>
              <w:t>;</w:t>
            </w:r>
          </w:p>
        </w:tc>
        <w:tc>
          <w:tcPr>
            <w:tcW w:w="3686" w:type="dxa"/>
          </w:tcPr>
          <w:p w14:paraId="4DE1B4C1" w14:textId="77777777" w:rsidR="00EF1DBC" w:rsidRPr="00286216" w:rsidRDefault="00EF1DBC" w:rsidP="00EF1DBC">
            <w:pPr>
              <w:pStyle w:val="StyleProp"/>
              <w:rPr>
                <w:color w:val="000000" w:themeColor="text1"/>
                <w:szCs w:val="18"/>
              </w:rPr>
            </w:pPr>
          </w:p>
        </w:tc>
        <w:tc>
          <w:tcPr>
            <w:tcW w:w="1987" w:type="dxa"/>
          </w:tcPr>
          <w:p w14:paraId="66E034AA" w14:textId="77777777" w:rsidR="00EF1DBC" w:rsidRPr="00286216" w:rsidRDefault="00EF1DBC" w:rsidP="00EF1DBC">
            <w:pPr>
              <w:pStyle w:val="StyleWisnow"/>
              <w:rPr>
                <w:color w:val="000000" w:themeColor="text1"/>
              </w:rPr>
            </w:pPr>
          </w:p>
        </w:tc>
        <w:tc>
          <w:tcPr>
            <w:tcW w:w="4818" w:type="dxa"/>
          </w:tcPr>
          <w:p w14:paraId="425154D2" w14:textId="3CB92024" w:rsidR="00EF1DBC" w:rsidRPr="00286216" w:rsidRDefault="00EF1DBC" w:rsidP="00EF1DBC">
            <w:pPr>
              <w:pStyle w:val="StyleZakonu"/>
              <w:rPr>
                <w:color w:val="000000" w:themeColor="text1"/>
              </w:rPr>
            </w:pPr>
            <w:r w:rsidRPr="00286216">
              <w:rPr>
                <w:color w:val="000000" w:themeColor="text1"/>
              </w:rPr>
              <w:t>"</w:t>
            </w:r>
            <w:r w:rsidRPr="00286216">
              <w:rPr>
                <w:bCs/>
                <w:color w:val="000000" w:themeColor="text1"/>
              </w:rPr>
              <w:t>Національна комісія з цінних паперів та фондового ринку розглядає справи про адміністративні правопорушення, пов’язані з порушенням законодавства про захист прав споживачів фінансових послуг (частини п’ята, шоста статті 156</w:t>
            </w:r>
            <w:r w:rsidRPr="00286216">
              <w:rPr>
                <w:bCs/>
                <w:color w:val="000000" w:themeColor="text1"/>
                <w:vertAlign w:val="superscript"/>
              </w:rPr>
              <w:t>1</w:t>
            </w:r>
            <w:r w:rsidRPr="00286216">
              <w:rPr>
                <w:bCs/>
                <w:color w:val="000000" w:themeColor="text1"/>
              </w:rPr>
              <w:t xml:space="preserve"> - за порушення, вчинені учасниками ринків фінансових послуг, якщо державне регулювання ринку таких послуг здійснюється Національною комісією з цінних паперів та фондового ринку), з порушенням вимог законодавства на ринках капіталу та організованих товарних ринках, у тому числі законодавства про систему накопичувального пенсійного забезпечення (статті 163, 163</w:t>
            </w:r>
            <w:r w:rsidRPr="00286216">
              <w:rPr>
                <w:bCs/>
                <w:color w:val="000000" w:themeColor="text1"/>
                <w:vertAlign w:val="superscript"/>
              </w:rPr>
              <w:t>5</w:t>
            </w:r>
            <w:r w:rsidRPr="00286216">
              <w:rPr>
                <w:bCs/>
                <w:color w:val="000000" w:themeColor="text1"/>
              </w:rPr>
              <w:t>, 163</w:t>
            </w:r>
            <w:r w:rsidRPr="00286216">
              <w:rPr>
                <w:bCs/>
                <w:color w:val="000000" w:themeColor="text1"/>
                <w:vertAlign w:val="superscript"/>
              </w:rPr>
              <w:t>6</w:t>
            </w:r>
            <w:r w:rsidRPr="00286216">
              <w:rPr>
                <w:bCs/>
                <w:color w:val="000000" w:themeColor="text1"/>
              </w:rPr>
              <w:t>, частина перша статті 163</w:t>
            </w:r>
            <w:r w:rsidRPr="00286216">
              <w:rPr>
                <w:bCs/>
                <w:color w:val="000000" w:themeColor="text1"/>
                <w:vertAlign w:val="superscript"/>
              </w:rPr>
              <w:t>7</w:t>
            </w:r>
            <w:r w:rsidRPr="00286216">
              <w:rPr>
                <w:bCs/>
                <w:color w:val="000000" w:themeColor="text1"/>
              </w:rPr>
              <w:t>, статті 163</w:t>
            </w:r>
            <w:r w:rsidRPr="00286216">
              <w:rPr>
                <w:bCs/>
                <w:color w:val="000000" w:themeColor="text1"/>
                <w:vertAlign w:val="superscript"/>
              </w:rPr>
              <w:t>8</w:t>
            </w:r>
            <w:r w:rsidRPr="00286216">
              <w:rPr>
                <w:bCs/>
                <w:color w:val="000000" w:themeColor="text1"/>
              </w:rPr>
              <w:t xml:space="preserve"> - 163</w:t>
            </w:r>
            <w:r w:rsidRPr="00286216">
              <w:rPr>
                <w:bCs/>
                <w:color w:val="000000" w:themeColor="text1"/>
                <w:vertAlign w:val="superscript"/>
              </w:rPr>
              <w:t>11</w:t>
            </w:r>
            <w:r w:rsidRPr="00286216">
              <w:rPr>
                <w:bCs/>
                <w:color w:val="000000" w:themeColor="text1"/>
              </w:rPr>
              <w:t>, 166</w:t>
            </w:r>
            <w:r w:rsidRPr="00286216">
              <w:rPr>
                <w:bCs/>
                <w:color w:val="000000" w:themeColor="text1"/>
                <w:vertAlign w:val="superscript"/>
              </w:rPr>
              <w:t>13</w:t>
            </w:r>
            <w:r w:rsidRPr="00286216">
              <w:rPr>
                <w:bCs/>
                <w:color w:val="000000" w:themeColor="text1"/>
              </w:rPr>
              <w:t>, 188</w:t>
            </w:r>
            <w:r w:rsidRPr="00286216">
              <w:rPr>
                <w:bCs/>
                <w:color w:val="000000" w:themeColor="text1"/>
                <w:vertAlign w:val="superscript"/>
              </w:rPr>
              <w:t>30</w:t>
            </w:r>
            <w:r w:rsidRPr="00286216">
              <w:rPr>
                <w:bCs/>
                <w:color w:val="000000" w:themeColor="text1"/>
              </w:rPr>
              <w:t>), порушенням емітентами, цінні папери яких допущені до торгів на організованих ринках капіталу або щодо цінних паперів яких здійснено публічну пропозицію, або професійними учасниками ринків капіталу та організованих товарних ринків, або суб’єктами накопичувального пенсійного забезпечення (крім вкладників та учасників), порядку оприлюднення фінансової звітності разом з аудиторським звітом (стаття 163</w:t>
            </w:r>
            <w:r w:rsidRPr="00286216">
              <w:rPr>
                <w:bCs/>
                <w:color w:val="000000" w:themeColor="text1"/>
                <w:vertAlign w:val="superscript"/>
              </w:rPr>
              <w:t>16</w:t>
            </w:r>
            <w:r w:rsidRPr="00286216">
              <w:rPr>
                <w:bCs/>
                <w:color w:val="000000" w:themeColor="text1"/>
              </w:rPr>
              <w:t>)"</w:t>
            </w:r>
            <w:r w:rsidRPr="00286216">
              <w:rPr>
                <w:color w:val="000000" w:themeColor="text1"/>
              </w:rPr>
              <w:t>;</w:t>
            </w:r>
          </w:p>
        </w:tc>
      </w:tr>
      <w:tr w:rsidR="00EF1DBC" w:rsidRPr="00286216" w14:paraId="2AD721E7" w14:textId="77777777" w:rsidTr="00091AA5">
        <w:tc>
          <w:tcPr>
            <w:tcW w:w="576" w:type="dxa"/>
          </w:tcPr>
          <w:p w14:paraId="55117A5C" w14:textId="77777777" w:rsidR="00EF1DBC" w:rsidRPr="00286216" w:rsidRDefault="00EF1DBC" w:rsidP="00EF1DBC">
            <w:pPr>
              <w:pStyle w:val="StyleWisnow"/>
              <w:rPr>
                <w:color w:val="000000" w:themeColor="text1"/>
              </w:rPr>
            </w:pPr>
          </w:p>
        </w:tc>
        <w:tc>
          <w:tcPr>
            <w:tcW w:w="4818" w:type="dxa"/>
          </w:tcPr>
          <w:p w14:paraId="1A9008AC" w14:textId="77777777" w:rsidR="00EF1DBC" w:rsidRPr="00286216" w:rsidRDefault="00EF1DBC" w:rsidP="00EF1DBC">
            <w:pPr>
              <w:pStyle w:val="StyleZakonu"/>
              <w:rPr>
                <w:color w:val="000000" w:themeColor="text1"/>
              </w:rPr>
            </w:pPr>
          </w:p>
        </w:tc>
        <w:tc>
          <w:tcPr>
            <w:tcW w:w="3686" w:type="dxa"/>
          </w:tcPr>
          <w:p w14:paraId="22A95B85" w14:textId="624C90B5"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1211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628B729" w14:textId="77777777" w:rsidR="00EF1DBC" w:rsidRPr="00286216" w:rsidRDefault="00EF1DBC" w:rsidP="00EF1DBC">
            <w:pPr>
              <w:pStyle w:val="StyleAwt"/>
              <w:rPr>
                <w:color w:val="000000" w:themeColor="text1"/>
                <w:spacing w:val="-10"/>
              </w:rPr>
            </w:pPr>
            <w:r w:rsidRPr="00286216">
              <w:rPr>
                <w:color w:val="000000" w:themeColor="text1"/>
                <w:spacing w:val="-10"/>
              </w:rPr>
              <w:t xml:space="preserve">          Н.д.Гетманцев Д.О.(Реєстр.картка №245)</w:t>
            </w:r>
          </w:p>
          <w:p w14:paraId="7307826C"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Доповнити пункт 1 розділу 3 новим підпунктом такого змісту:</w:t>
            </w:r>
          </w:p>
          <w:p w14:paraId="022363F9"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"у частині першій статті 244-18 слово та цифри "статтею 188-36" замінити словом та цифрами "статтями 163-18, 163-19, 188-36".</w:t>
            </w:r>
          </w:p>
          <w:p w14:paraId="22BEE8F4" w14:textId="77777777" w:rsidR="00EF1DBC" w:rsidRPr="00286216" w:rsidRDefault="00EF1DBC" w:rsidP="00EF1DBC">
            <w:pPr>
              <w:spacing w:line="200" w:lineRule="exact"/>
              <w:ind w:firstLine="227"/>
              <w:jc w:val="both"/>
              <w:rPr>
                <w:color w:val="000000" w:themeColor="text1"/>
                <w:szCs w:val="18"/>
              </w:rPr>
            </w:pPr>
            <w:r w:rsidRPr="00286216">
              <w:rPr>
                <w:color w:val="000000" w:themeColor="text1"/>
                <w:sz w:val="18"/>
              </w:rPr>
              <w:t xml:space="preserve">У зв’язку з цим необхідно відповідно змінити нумерацію підпунктів. </w:t>
            </w:r>
          </w:p>
        </w:tc>
        <w:tc>
          <w:tcPr>
            <w:tcW w:w="1987" w:type="dxa"/>
          </w:tcPr>
          <w:p w14:paraId="10FB938A"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1E57D6C6" w14:textId="5E0A858B" w:rsidR="00EF1DBC" w:rsidRPr="00286216" w:rsidRDefault="00EF1DBC" w:rsidP="00EF1DBC">
            <w:pPr>
              <w:pStyle w:val="StyleZakonu"/>
              <w:rPr>
                <w:color w:val="000000" w:themeColor="text1"/>
              </w:rPr>
            </w:pPr>
            <w:r w:rsidRPr="00286216">
              <w:rPr>
                <w:color w:val="000000" w:themeColor="text1"/>
              </w:rPr>
              <w:t xml:space="preserve">11) у частині першій статті 244 </w:t>
            </w:r>
            <w:r w:rsidRPr="00286216">
              <w:rPr>
                <w:color w:val="000000" w:themeColor="text1"/>
                <w:vertAlign w:val="superscript"/>
              </w:rPr>
              <w:t>18</w:t>
            </w:r>
            <w:r w:rsidRPr="00286216">
              <w:rPr>
                <w:color w:val="000000" w:themeColor="text1"/>
              </w:rPr>
              <w:t xml:space="preserve"> слово та цифри "статтею 188 </w:t>
            </w:r>
            <w:r w:rsidRPr="00286216">
              <w:rPr>
                <w:color w:val="000000" w:themeColor="text1"/>
                <w:vertAlign w:val="superscript"/>
              </w:rPr>
              <w:t>36</w:t>
            </w:r>
            <w:r w:rsidRPr="00286216">
              <w:rPr>
                <w:color w:val="000000" w:themeColor="text1"/>
              </w:rPr>
              <w:t xml:space="preserve">" замінити словом та цифрами "статтями 163 </w:t>
            </w:r>
            <w:r w:rsidRPr="00286216">
              <w:rPr>
                <w:color w:val="000000" w:themeColor="text1"/>
                <w:vertAlign w:val="superscript"/>
              </w:rPr>
              <w:t>18</w:t>
            </w:r>
            <w:r w:rsidRPr="00286216">
              <w:rPr>
                <w:color w:val="000000" w:themeColor="text1"/>
              </w:rPr>
              <w:t xml:space="preserve">, 163 </w:t>
            </w:r>
            <w:r w:rsidRPr="00286216">
              <w:rPr>
                <w:color w:val="000000" w:themeColor="text1"/>
                <w:vertAlign w:val="superscript"/>
              </w:rPr>
              <w:t>19</w:t>
            </w:r>
            <w:r w:rsidRPr="00286216">
              <w:rPr>
                <w:color w:val="000000" w:themeColor="text1"/>
              </w:rPr>
              <w:t xml:space="preserve">, 188 </w:t>
            </w:r>
            <w:r w:rsidRPr="00286216">
              <w:rPr>
                <w:color w:val="000000" w:themeColor="text1"/>
                <w:vertAlign w:val="superscript"/>
              </w:rPr>
              <w:t>36</w:t>
            </w:r>
            <w:r w:rsidRPr="00286216">
              <w:rPr>
                <w:color w:val="000000" w:themeColor="text1"/>
              </w:rPr>
              <w:t>";</w:t>
            </w:r>
          </w:p>
        </w:tc>
      </w:tr>
      <w:tr w:rsidR="00EF1DBC" w:rsidRPr="00286216" w14:paraId="229E70AC" w14:textId="77777777" w:rsidTr="00091AA5">
        <w:tc>
          <w:tcPr>
            <w:tcW w:w="576" w:type="dxa"/>
          </w:tcPr>
          <w:p w14:paraId="1A3C68B2" w14:textId="77777777" w:rsidR="00EF1DBC" w:rsidRPr="00286216" w:rsidRDefault="00EF1DBC" w:rsidP="00EF1DBC">
            <w:pPr>
              <w:pStyle w:val="StyleWisnow"/>
              <w:rPr>
                <w:color w:val="000000" w:themeColor="text1"/>
              </w:rPr>
            </w:pPr>
            <w:bookmarkStart w:id="2475" w:name="n2604" w:colFirst="0" w:colLast="0"/>
            <w:bookmarkEnd w:id="2474"/>
            <w:r w:rsidRPr="00286216">
              <w:rPr>
                <w:color w:val="000000" w:themeColor="text1"/>
              </w:rPr>
              <w:t>2604.</w:t>
            </w:r>
          </w:p>
        </w:tc>
        <w:tc>
          <w:tcPr>
            <w:tcW w:w="4818" w:type="dxa"/>
          </w:tcPr>
          <w:p w14:paraId="1A893CF9" w14:textId="77777777" w:rsidR="00EF1DBC" w:rsidRPr="00286216" w:rsidRDefault="00EF1DBC" w:rsidP="00EF1DBC">
            <w:pPr>
              <w:pStyle w:val="StyleZakonu"/>
              <w:rPr>
                <w:color w:val="000000" w:themeColor="text1"/>
              </w:rPr>
            </w:pPr>
            <w:r w:rsidRPr="00286216">
              <w:rPr>
                <w:color w:val="000000" w:themeColor="text1"/>
              </w:rPr>
              <w:t>10) у статті 244</w:t>
            </w:r>
            <w:r w:rsidRPr="00286216">
              <w:rPr>
                <w:color w:val="000000" w:themeColor="text1"/>
                <w:vertAlign w:val="superscript"/>
              </w:rPr>
              <w:t>22</w:t>
            </w:r>
            <w:r w:rsidRPr="00286216">
              <w:rPr>
                <w:color w:val="000000" w:themeColor="text1"/>
              </w:rPr>
              <w:t xml:space="preserve"> слова "фондових біржах" замінити словами "організованих ринках", а слова "професійними учасниками фондового ринку" замінити словами "професійними учасниками ринків капіталу та організованих товарних ринків".</w:t>
            </w:r>
          </w:p>
        </w:tc>
        <w:tc>
          <w:tcPr>
            <w:tcW w:w="3686" w:type="dxa"/>
          </w:tcPr>
          <w:p w14:paraId="1DF4DACD" w14:textId="77777777" w:rsidR="00EF1DBC" w:rsidRPr="00286216" w:rsidRDefault="00EF1DBC" w:rsidP="00EF1DBC">
            <w:pPr>
              <w:pStyle w:val="StyleProp"/>
              <w:rPr>
                <w:color w:val="000000" w:themeColor="text1"/>
                <w:szCs w:val="18"/>
              </w:rPr>
            </w:pPr>
          </w:p>
        </w:tc>
        <w:tc>
          <w:tcPr>
            <w:tcW w:w="1987" w:type="dxa"/>
          </w:tcPr>
          <w:p w14:paraId="557AA2BE" w14:textId="77777777" w:rsidR="00EF1DBC" w:rsidRPr="00286216" w:rsidRDefault="00EF1DBC" w:rsidP="00EF1DBC">
            <w:pPr>
              <w:pStyle w:val="StyleWisnow"/>
              <w:rPr>
                <w:color w:val="000000" w:themeColor="text1"/>
              </w:rPr>
            </w:pPr>
          </w:p>
        </w:tc>
        <w:tc>
          <w:tcPr>
            <w:tcW w:w="4818" w:type="dxa"/>
          </w:tcPr>
          <w:p w14:paraId="5CC23CAC" w14:textId="4F85AAE8" w:rsidR="00EF1DBC" w:rsidRPr="00286216" w:rsidRDefault="00EF1DBC" w:rsidP="00EF1DBC">
            <w:pPr>
              <w:pStyle w:val="StyleZakonu"/>
              <w:rPr>
                <w:color w:val="000000" w:themeColor="text1"/>
              </w:rPr>
            </w:pPr>
            <w:r w:rsidRPr="00286216">
              <w:rPr>
                <w:color w:val="000000" w:themeColor="text1"/>
              </w:rPr>
              <w:t>12) у статті 244</w:t>
            </w:r>
            <w:r w:rsidRPr="00286216">
              <w:rPr>
                <w:color w:val="000000" w:themeColor="text1"/>
                <w:vertAlign w:val="superscript"/>
              </w:rPr>
              <w:t>22</w:t>
            </w:r>
            <w:r w:rsidRPr="00286216">
              <w:rPr>
                <w:color w:val="000000" w:themeColor="text1"/>
              </w:rPr>
              <w:t xml:space="preserve"> слова "фондових біржах" замінити словами "організованих ринках", а слова "професійними учасниками фондового ринку" – словами "професійними учасниками ринків капіталу та організованих товарних ринків".</w:t>
            </w:r>
          </w:p>
        </w:tc>
      </w:tr>
      <w:tr w:rsidR="00EF1DBC" w:rsidRPr="00286216" w14:paraId="13219550" w14:textId="77777777" w:rsidTr="00091AA5">
        <w:tc>
          <w:tcPr>
            <w:tcW w:w="576" w:type="dxa"/>
          </w:tcPr>
          <w:p w14:paraId="33553653" w14:textId="77777777" w:rsidR="00EF1DBC" w:rsidRPr="00286216" w:rsidRDefault="00EF1DBC" w:rsidP="00EF1DBC">
            <w:pPr>
              <w:pStyle w:val="StyleWisnow"/>
              <w:rPr>
                <w:color w:val="000000" w:themeColor="text1"/>
              </w:rPr>
            </w:pPr>
            <w:bookmarkStart w:id="2476" w:name="n2605" w:colFirst="0" w:colLast="0"/>
            <w:bookmarkEnd w:id="2475"/>
            <w:r w:rsidRPr="00286216">
              <w:rPr>
                <w:color w:val="000000" w:themeColor="text1"/>
              </w:rPr>
              <w:t>2605.</w:t>
            </w:r>
          </w:p>
        </w:tc>
        <w:tc>
          <w:tcPr>
            <w:tcW w:w="4818" w:type="dxa"/>
          </w:tcPr>
          <w:p w14:paraId="6711DEB3" w14:textId="77777777" w:rsidR="00EF1DBC" w:rsidRPr="00286216" w:rsidRDefault="00EF1DBC" w:rsidP="00EF1DBC">
            <w:pPr>
              <w:pStyle w:val="StyleZakonu"/>
              <w:rPr>
                <w:color w:val="000000" w:themeColor="text1"/>
              </w:rPr>
            </w:pPr>
            <w:r w:rsidRPr="00286216">
              <w:rPr>
                <w:color w:val="000000" w:themeColor="text1"/>
              </w:rPr>
              <w:t xml:space="preserve">2. У Господарському процесуальному кодексі України (Відомості Верховної Ради України, 1992 р., </w:t>
            </w:r>
            <w:r w:rsidRPr="00286216">
              <w:rPr>
                <w:color w:val="000000" w:themeColor="text1"/>
              </w:rPr>
              <w:lastRenderedPageBreak/>
              <w:t>№ 6, ст. 56, із наступними змінами):</w:t>
            </w:r>
          </w:p>
        </w:tc>
        <w:tc>
          <w:tcPr>
            <w:tcW w:w="3686" w:type="dxa"/>
          </w:tcPr>
          <w:p w14:paraId="33995CFC" w14:textId="77777777" w:rsidR="00EF1DBC" w:rsidRPr="00286216" w:rsidRDefault="00EF1DBC" w:rsidP="00EF1DBC">
            <w:pPr>
              <w:pStyle w:val="StyleProp"/>
              <w:rPr>
                <w:color w:val="000000" w:themeColor="text1"/>
                <w:szCs w:val="18"/>
              </w:rPr>
            </w:pPr>
          </w:p>
        </w:tc>
        <w:tc>
          <w:tcPr>
            <w:tcW w:w="1987" w:type="dxa"/>
          </w:tcPr>
          <w:p w14:paraId="1D90EEDD" w14:textId="77777777" w:rsidR="00EF1DBC" w:rsidRPr="00286216" w:rsidRDefault="00EF1DBC" w:rsidP="00EF1DBC">
            <w:pPr>
              <w:pStyle w:val="StyleWisnow"/>
              <w:rPr>
                <w:color w:val="000000" w:themeColor="text1"/>
              </w:rPr>
            </w:pPr>
          </w:p>
        </w:tc>
        <w:tc>
          <w:tcPr>
            <w:tcW w:w="4818" w:type="dxa"/>
          </w:tcPr>
          <w:p w14:paraId="5C285A6B" w14:textId="04C16ED9" w:rsidR="00EF1DBC" w:rsidRPr="00286216" w:rsidRDefault="00EF1DBC" w:rsidP="00EF1DBC">
            <w:pPr>
              <w:pStyle w:val="StyleZakonu"/>
              <w:rPr>
                <w:color w:val="000000" w:themeColor="text1"/>
              </w:rPr>
            </w:pPr>
            <w:r w:rsidRPr="00286216">
              <w:rPr>
                <w:color w:val="000000" w:themeColor="text1"/>
              </w:rPr>
              <w:t xml:space="preserve">2. У Господарському процесуальному кодексі України (Відомості Верховної Ради України, 1992 р., </w:t>
            </w:r>
            <w:r w:rsidRPr="00286216">
              <w:rPr>
                <w:color w:val="000000" w:themeColor="text1"/>
              </w:rPr>
              <w:lastRenderedPageBreak/>
              <w:t>№ 6, ст. 56):</w:t>
            </w:r>
          </w:p>
        </w:tc>
      </w:tr>
      <w:tr w:rsidR="00EF1DBC" w:rsidRPr="00286216" w14:paraId="76226F67" w14:textId="77777777" w:rsidTr="00091AA5">
        <w:tc>
          <w:tcPr>
            <w:tcW w:w="576" w:type="dxa"/>
          </w:tcPr>
          <w:p w14:paraId="0A69DAC2" w14:textId="77777777" w:rsidR="00EF1DBC" w:rsidRPr="00286216" w:rsidRDefault="00EF1DBC" w:rsidP="00EF1DBC">
            <w:pPr>
              <w:pStyle w:val="StyleWisnow"/>
              <w:rPr>
                <w:color w:val="000000" w:themeColor="text1"/>
              </w:rPr>
            </w:pPr>
            <w:bookmarkStart w:id="2477" w:name="n2606" w:colFirst="0" w:colLast="0"/>
            <w:bookmarkEnd w:id="2476"/>
            <w:r w:rsidRPr="00286216">
              <w:rPr>
                <w:color w:val="000000" w:themeColor="text1"/>
              </w:rPr>
              <w:lastRenderedPageBreak/>
              <w:t>2606.</w:t>
            </w:r>
          </w:p>
        </w:tc>
        <w:tc>
          <w:tcPr>
            <w:tcW w:w="4818" w:type="dxa"/>
          </w:tcPr>
          <w:p w14:paraId="19F9FCE6" w14:textId="77777777" w:rsidR="00EF1DBC" w:rsidRPr="00286216" w:rsidRDefault="00EF1DBC" w:rsidP="00EF1DBC">
            <w:pPr>
              <w:pStyle w:val="StyleZakonu"/>
              <w:rPr>
                <w:color w:val="000000" w:themeColor="text1"/>
              </w:rPr>
            </w:pPr>
            <w:r w:rsidRPr="00286216">
              <w:rPr>
                <w:color w:val="000000" w:themeColor="text1"/>
              </w:rPr>
              <w:t>1) статтю 4 після частини третьої доповнити новою частиною такого змісту:</w:t>
            </w:r>
          </w:p>
        </w:tc>
        <w:tc>
          <w:tcPr>
            <w:tcW w:w="3686" w:type="dxa"/>
          </w:tcPr>
          <w:p w14:paraId="2667D4C7" w14:textId="77777777" w:rsidR="00EF1DBC" w:rsidRPr="00286216" w:rsidRDefault="00EF1DBC" w:rsidP="00EF1DBC">
            <w:pPr>
              <w:pStyle w:val="StyleProp"/>
              <w:rPr>
                <w:color w:val="000000" w:themeColor="text1"/>
                <w:szCs w:val="18"/>
              </w:rPr>
            </w:pPr>
          </w:p>
        </w:tc>
        <w:tc>
          <w:tcPr>
            <w:tcW w:w="1987" w:type="dxa"/>
          </w:tcPr>
          <w:p w14:paraId="785AAC3C" w14:textId="77777777" w:rsidR="00EF1DBC" w:rsidRPr="00286216" w:rsidRDefault="00EF1DBC" w:rsidP="00EF1DBC">
            <w:pPr>
              <w:pStyle w:val="StyleWisnow"/>
              <w:rPr>
                <w:color w:val="000000" w:themeColor="text1"/>
              </w:rPr>
            </w:pPr>
          </w:p>
        </w:tc>
        <w:tc>
          <w:tcPr>
            <w:tcW w:w="4818" w:type="dxa"/>
          </w:tcPr>
          <w:p w14:paraId="498E60C0" w14:textId="4B1F7310" w:rsidR="00EF1DBC" w:rsidRPr="00286216" w:rsidRDefault="00EF1DBC" w:rsidP="00EF1DBC">
            <w:pPr>
              <w:pStyle w:val="StyleZakonu"/>
              <w:rPr>
                <w:color w:val="000000" w:themeColor="text1"/>
              </w:rPr>
            </w:pPr>
            <w:r w:rsidRPr="00286216">
              <w:rPr>
                <w:color w:val="000000" w:themeColor="text1"/>
              </w:rPr>
              <w:t>1) статтю 4 після частини третьої доповнити новою частиною такого змісту:</w:t>
            </w:r>
          </w:p>
        </w:tc>
      </w:tr>
      <w:tr w:rsidR="00EF1DBC" w:rsidRPr="00286216" w14:paraId="0E0EBB5F" w14:textId="77777777" w:rsidTr="00091AA5">
        <w:tc>
          <w:tcPr>
            <w:tcW w:w="576" w:type="dxa"/>
          </w:tcPr>
          <w:p w14:paraId="2218B177" w14:textId="77777777" w:rsidR="00EF1DBC" w:rsidRPr="00286216" w:rsidRDefault="00EF1DBC" w:rsidP="00EF1DBC">
            <w:pPr>
              <w:pStyle w:val="StyleWisnow"/>
              <w:rPr>
                <w:color w:val="000000" w:themeColor="text1"/>
              </w:rPr>
            </w:pPr>
            <w:bookmarkStart w:id="2478" w:name="n2607" w:colFirst="0" w:colLast="0"/>
            <w:bookmarkEnd w:id="2477"/>
            <w:r w:rsidRPr="00286216">
              <w:rPr>
                <w:color w:val="000000" w:themeColor="text1"/>
              </w:rPr>
              <w:t>2607.</w:t>
            </w:r>
          </w:p>
        </w:tc>
        <w:tc>
          <w:tcPr>
            <w:tcW w:w="4818" w:type="dxa"/>
          </w:tcPr>
          <w:p w14:paraId="285CDD33" w14:textId="77777777" w:rsidR="00EF1DBC" w:rsidRPr="00286216" w:rsidRDefault="00EF1DBC" w:rsidP="00EF1DBC">
            <w:pPr>
              <w:pStyle w:val="StyleZakonu"/>
              <w:rPr>
                <w:color w:val="000000" w:themeColor="text1"/>
              </w:rPr>
            </w:pPr>
            <w:r w:rsidRPr="00286216">
              <w:rPr>
                <w:color w:val="000000" w:themeColor="text1"/>
              </w:rPr>
              <w:t>"4.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має право звертатися до господарського суду згідно з встановленою юрисдикцією господарських судів за захистом порушених, невизнаних або оспорюваних прав та законних інтересів власників облігацій.</w:t>
            </w:r>
          </w:p>
        </w:tc>
        <w:tc>
          <w:tcPr>
            <w:tcW w:w="3686" w:type="dxa"/>
          </w:tcPr>
          <w:p w14:paraId="0D9EC57F" w14:textId="77777777" w:rsidR="00EF1DBC" w:rsidRPr="00286216" w:rsidRDefault="00EF1DBC" w:rsidP="00EF1DBC">
            <w:pPr>
              <w:pStyle w:val="StyleProp"/>
              <w:rPr>
                <w:color w:val="000000" w:themeColor="text1"/>
                <w:szCs w:val="18"/>
              </w:rPr>
            </w:pPr>
          </w:p>
        </w:tc>
        <w:tc>
          <w:tcPr>
            <w:tcW w:w="1987" w:type="dxa"/>
          </w:tcPr>
          <w:p w14:paraId="1F0B560E" w14:textId="77777777" w:rsidR="00EF1DBC" w:rsidRPr="00286216" w:rsidRDefault="00EF1DBC" w:rsidP="00EF1DBC">
            <w:pPr>
              <w:pStyle w:val="StyleWisnow"/>
              <w:rPr>
                <w:color w:val="000000" w:themeColor="text1"/>
              </w:rPr>
            </w:pPr>
          </w:p>
        </w:tc>
        <w:tc>
          <w:tcPr>
            <w:tcW w:w="4818" w:type="dxa"/>
          </w:tcPr>
          <w:p w14:paraId="10F1246A" w14:textId="34A4BAB4" w:rsidR="00EF1DBC" w:rsidRPr="00286216" w:rsidRDefault="00EF1DBC" w:rsidP="00EF1DBC">
            <w:pPr>
              <w:pStyle w:val="StyleZakonu"/>
              <w:rPr>
                <w:color w:val="000000" w:themeColor="text1"/>
              </w:rPr>
            </w:pPr>
            <w:r w:rsidRPr="00286216">
              <w:rPr>
                <w:color w:val="000000" w:themeColor="text1"/>
              </w:rPr>
              <w:t>"4.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має право звертатися до господарського суду згідно з встановленою юрисдикцією господарських судів за захистом порушених, невизнаних або оспорюваних прав та законних інтересів власників облігацій.</w:t>
            </w:r>
          </w:p>
        </w:tc>
      </w:tr>
      <w:tr w:rsidR="00EF1DBC" w:rsidRPr="00286216" w14:paraId="201B6590" w14:textId="77777777" w:rsidTr="00091AA5">
        <w:tc>
          <w:tcPr>
            <w:tcW w:w="576" w:type="dxa"/>
          </w:tcPr>
          <w:p w14:paraId="6636DC37" w14:textId="77777777" w:rsidR="00EF1DBC" w:rsidRPr="00286216" w:rsidRDefault="00EF1DBC" w:rsidP="00EF1DBC">
            <w:pPr>
              <w:pStyle w:val="StyleWisnow"/>
              <w:rPr>
                <w:color w:val="000000" w:themeColor="text1"/>
              </w:rPr>
            </w:pPr>
            <w:bookmarkStart w:id="2479" w:name="n2608" w:colFirst="0" w:colLast="0"/>
            <w:bookmarkEnd w:id="2478"/>
            <w:r w:rsidRPr="00286216">
              <w:rPr>
                <w:color w:val="000000" w:themeColor="text1"/>
              </w:rPr>
              <w:t>2608.</w:t>
            </w:r>
          </w:p>
        </w:tc>
        <w:tc>
          <w:tcPr>
            <w:tcW w:w="4818" w:type="dxa"/>
          </w:tcPr>
          <w:p w14:paraId="61AB065E" w14:textId="77777777" w:rsidR="00EF1DBC" w:rsidRPr="00286216" w:rsidRDefault="00EF1DBC" w:rsidP="00EF1DBC">
            <w:pPr>
              <w:pStyle w:val="StyleZakonu"/>
              <w:rPr>
                <w:color w:val="000000" w:themeColor="text1"/>
              </w:rPr>
            </w:pPr>
            <w:r w:rsidRPr="00286216">
              <w:rPr>
                <w:color w:val="000000" w:themeColor="text1"/>
              </w:rPr>
              <w:t>Термін "адміністратор за випуском облігацій" вживається у цьому Кодексі у значенні, наведеному у Законі України "Про ринки капіталу та організовані товарні ринки".</w:t>
            </w:r>
          </w:p>
        </w:tc>
        <w:tc>
          <w:tcPr>
            <w:tcW w:w="3686" w:type="dxa"/>
          </w:tcPr>
          <w:p w14:paraId="79201C90" w14:textId="77777777" w:rsidR="00EF1DBC" w:rsidRPr="00286216" w:rsidRDefault="00EF1DBC" w:rsidP="00EF1DBC">
            <w:pPr>
              <w:pStyle w:val="StyleProp"/>
              <w:rPr>
                <w:color w:val="000000" w:themeColor="text1"/>
                <w:szCs w:val="18"/>
              </w:rPr>
            </w:pPr>
          </w:p>
        </w:tc>
        <w:tc>
          <w:tcPr>
            <w:tcW w:w="1987" w:type="dxa"/>
          </w:tcPr>
          <w:p w14:paraId="5FF4A70A" w14:textId="77777777" w:rsidR="00EF1DBC" w:rsidRPr="00286216" w:rsidRDefault="00EF1DBC" w:rsidP="00EF1DBC">
            <w:pPr>
              <w:pStyle w:val="StyleWisnow"/>
              <w:rPr>
                <w:color w:val="000000" w:themeColor="text1"/>
              </w:rPr>
            </w:pPr>
          </w:p>
        </w:tc>
        <w:tc>
          <w:tcPr>
            <w:tcW w:w="4818" w:type="dxa"/>
          </w:tcPr>
          <w:p w14:paraId="47B905AC" w14:textId="169F071D" w:rsidR="00EF1DBC" w:rsidRPr="00286216" w:rsidRDefault="00EF1DBC" w:rsidP="00EF1DBC">
            <w:pPr>
              <w:pStyle w:val="StyleZakonu"/>
              <w:rPr>
                <w:color w:val="000000" w:themeColor="text1"/>
              </w:rPr>
            </w:pPr>
            <w:r w:rsidRPr="00286216">
              <w:rPr>
                <w:color w:val="000000" w:themeColor="text1"/>
              </w:rPr>
              <w:t>Термін "адміністратор за випуском облігацій" вживається у цьому Кодексі у значенні, наведеному в Законі України "Про ринки капіталу та організовані товарні ринки".</w:t>
            </w:r>
          </w:p>
        </w:tc>
      </w:tr>
      <w:tr w:rsidR="00EF1DBC" w:rsidRPr="00286216" w14:paraId="22F9B12E" w14:textId="77777777" w:rsidTr="00091AA5">
        <w:tc>
          <w:tcPr>
            <w:tcW w:w="576" w:type="dxa"/>
          </w:tcPr>
          <w:p w14:paraId="56140321" w14:textId="77777777" w:rsidR="00EF1DBC" w:rsidRPr="00286216" w:rsidRDefault="00EF1DBC" w:rsidP="00EF1DBC">
            <w:pPr>
              <w:pStyle w:val="StyleWisnow"/>
              <w:rPr>
                <w:color w:val="000000" w:themeColor="text1"/>
              </w:rPr>
            </w:pPr>
            <w:bookmarkStart w:id="2480" w:name="n2609" w:colFirst="0" w:colLast="0"/>
            <w:bookmarkEnd w:id="2479"/>
            <w:r w:rsidRPr="00286216">
              <w:rPr>
                <w:color w:val="000000" w:themeColor="text1"/>
              </w:rPr>
              <w:t>2609.</w:t>
            </w:r>
          </w:p>
        </w:tc>
        <w:tc>
          <w:tcPr>
            <w:tcW w:w="4818" w:type="dxa"/>
          </w:tcPr>
          <w:p w14:paraId="58C8DD35" w14:textId="77777777" w:rsidR="00EF1DBC" w:rsidRPr="00286216" w:rsidRDefault="00EF1DBC" w:rsidP="00EF1DBC">
            <w:pPr>
              <w:pStyle w:val="StyleZakonu"/>
              <w:rPr>
                <w:color w:val="000000" w:themeColor="text1"/>
              </w:rPr>
            </w:pPr>
            <w:r w:rsidRPr="00286216">
              <w:rPr>
                <w:color w:val="000000" w:themeColor="text1"/>
              </w:rPr>
              <w:t>У зв’язку з цим частини четверту-шосту вважати частинами п’ятою-сьомою, відповідно;</w:t>
            </w:r>
          </w:p>
        </w:tc>
        <w:tc>
          <w:tcPr>
            <w:tcW w:w="3686" w:type="dxa"/>
          </w:tcPr>
          <w:p w14:paraId="2CDB1A63" w14:textId="77777777" w:rsidR="00EF1DBC" w:rsidRPr="00286216" w:rsidRDefault="00EF1DBC" w:rsidP="00EF1DBC">
            <w:pPr>
              <w:pStyle w:val="StyleProp"/>
              <w:rPr>
                <w:color w:val="000000" w:themeColor="text1"/>
                <w:szCs w:val="18"/>
              </w:rPr>
            </w:pPr>
          </w:p>
        </w:tc>
        <w:tc>
          <w:tcPr>
            <w:tcW w:w="1987" w:type="dxa"/>
          </w:tcPr>
          <w:p w14:paraId="6C902386" w14:textId="77777777" w:rsidR="00EF1DBC" w:rsidRPr="00286216" w:rsidRDefault="00EF1DBC" w:rsidP="00EF1DBC">
            <w:pPr>
              <w:pStyle w:val="StyleWisnow"/>
              <w:rPr>
                <w:color w:val="000000" w:themeColor="text1"/>
              </w:rPr>
            </w:pPr>
          </w:p>
        </w:tc>
        <w:tc>
          <w:tcPr>
            <w:tcW w:w="4818" w:type="dxa"/>
          </w:tcPr>
          <w:p w14:paraId="70AFCA88" w14:textId="5E304730" w:rsidR="00EF1DBC" w:rsidRPr="00286216" w:rsidRDefault="00EF1DBC" w:rsidP="00EF1DBC">
            <w:pPr>
              <w:pStyle w:val="StyleZakonu"/>
              <w:rPr>
                <w:color w:val="000000" w:themeColor="text1"/>
              </w:rPr>
            </w:pPr>
            <w:r w:rsidRPr="00286216">
              <w:rPr>
                <w:color w:val="000000" w:themeColor="text1"/>
              </w:rPr>
              <w:t>У зв’язку з цим частини четверту-шосту вважати відповідно частинами п’ятою-сьомою;</w:t>
            </w:r>
          </w:p>
        </w:tc>
      </w:tr>
      <w:tr w:rsidR="00EF1DBC" w:rsidRPr="00286216" w14:paraId="77AD3F21" w14:textId="77777777" w:rsidTr="00091AA5">
        <w:tc>
          <w:tcPr>
            <w:tcW w:w="576" w:type="dxa"/>
          </w:tcPr>
          <w:p w14:paraId="600EE93B" w14:textId="77777777" w:rsidR="00EF1DBC" w:rsidRPr="00286216" w:rsidRDefault="00EF1DBC" w:rsidP="00EF1DBC">
            <w:pPr>
              <w:pStyle w:val="StyleWisnow"/>
              <w:rPr>
                <w:color w:val="000000" w:themeColor="text1"/>
              </w:rPr>
            </w:pPr>
            <w:bookmarkStart w:id="2481" w:name="n2610" w:colFirst="0" w:colLast="0"/>
            <w:bookmarkEnd w:id="2480"/>
            <w:r w:rsidRPr="00286216">
              <w:rPr>
                <w:color w:val="000000" w:themeColor="text1"/>
              </w:rPr>
              <w:t>2610.</w:t>
            </w:r>
          </w:p>
        </w:tc>
        <w:tc>
          <w:tcPr>
            <w:tcW w:w="4818" w:type="dxa"/>
          </w:tcPr>
          <w:p w14:paraId="37166D20" w14:textId="77777777" w:rsidR="00EF1DBC" w:rsidRPr="00286216" w:rsidRDefault="00EF1DBC" w:rsidP="00EF1DBC">
            <w:pPr>
              <w:pStyle w:val="StyleZakonu"/>
              <w:rPr>
                <w:color w:val="000000" w:themeColor="text1"/>
              </w:rPr>
            </w:pPr>
            <w:r w:rsidRPr="00286216">
              <w:rPr>
                <w:color w:val="000000" w:themeColor="text1"/>
              </w:rPr>
              <w:t>2) частину 6 статті 6 викласти в наступній редакції:</w:t>
            </w:r>
          </w:p>
        </w:tc>
        <w:tc>
          <w:tcPr>
            <w:tcW w:w="3686" w:type="dxa"/>
          </w:tcPr>
          <w:p w14:paraId="726545A8" w14:textId="77777777" w:rsidR="00EF1DBC" w:rsidRPr="00286216" w:rsidRDefault="00EF1DBC" w:rsidP="00EF1DBC">
            <w:pPr>
              <w:pStyle w:val="StyleProp"/>
              <w:rPr>
                <w:color w:val="000000" w:themeColor="text1"/>
                <w:szCs w:val="18"/>
              </w:rPr>
            </w:pPr>
          </w:p>
        </w:tc>
        <w:tc>
          <w:tcPr>
            <w:tcW w:w="1987" w:type="dxa"/>
          </w:tcPr>
          <w:p w14:paraId="322E207D" w14:textId="77777777" w:rsidR="00EF1DBC" w:rsidRPr="00286216" w:rsidRDefault="00EF1DBC" w:rsidP="00EF1DBC">
            <w:pPr>
              <w:pStyle w:val="StyleWisnow"/>
              <w:rPr>
                <w:color w:val="000000" w:themeColor="text1"/>
              </w:rPr>
            </w:pPr>
          </w:p>
        </w:tc>
        <w:tc>
          <w:tcPr>
            <w:tcW w:w="4818" w:type="dxa"/>
          </w:tcPr>
          <w:p w14:paraId="2EA128F6" w14:textId="7FA70D2E" w:rsidR="00EF1DBC" w:rsidRPr="00286216" w:rsidRDefault="00EF1DBC" w:rsidP="00EF1DBC">
            <w:pPr>
              <w:pStyle w:val="StyleZakonu"/>
              <w:rPr>
                <w:color w:val="000000" w:themeColor="text1"/>
              </w:rPr>
            </w:pPr>
            <w:r w:rsidRPr="00286216">
              <w:rPr>
                <w:color w:val="000000" w:themeColor="text1"/>
              </w:rPr>
              <w:t>2) частину шосту статті 6 викласти в такій редакції:</w:t>
            </w:r>
          </w:p>
        </w:tc>
      </w:tr>
      <w:tr w:rsidR="00EF1DBC" w:rsidRPr="00286216" w14:paraId="3D2E5BA3" w14:textId="77777777" w:rsidTr="00091AA5">
        <w:tc>
          <w:tcPr>
            <w:tcW w:w="576" w:type="dxa"/>
          </w:tcPr>
          <w:p w14:paraId="4C5BC60E" w14:textId="77777777" w:rsidR="00EF1DBC" w:rsidRPr="00286216" w:rsidRDefault="00EF1DBC" w:rsidP="00EF1DBC">
            <w:pPr>
              <w:pStyle w:val="StyleWisnow"/>
              <w:rPr>
                <w:color w:val="000000" w:themeColor="text1"/>
              </w:rPr>
            </w:pPr>
            <w:bookmarkStart w:id="2482" w:name="n2611" w:colFirst="0" w:colLast="0"/>
            <w:bookmarkEnd w:id="2481"/>
            <w:r w:rsidRPr="00286216">
              <w:rPr>
                <w:color w:val="000000" w:themeColor="text1"/>
              </w:rPr>
              <w:t>2611.</w:t>
            </w:r>
          </w:p>
        </w:tc>
        <w:tc>
          <w:tcPr>
            <w:tcW w:w="4818" w:type="dxa"/>
          </w:tcPr>
          <w:p w14:paraId="77C9E4AB" w14:textId="77777777" w:rsidR="00EF1DBC" w:rsidRPr="00286216" w:rsidRDefault="00EF1DBC" w:rsidP="00EF1DBC">
            <w:pPr>
              <w:pStyle w:val="StyleZakonu"/>
              <w:rPr>
                <w:color w:val="000000" w:themeColor="text1"/>
              </w:rPr>
            </w:pPr>
            <w:r w:rsidRPr="00286216">
              <w:rPr>
                <w:color w:val="000000" w:themeColor="text1"/>
              </w:rPr>
              <w:t>"6. Адвокати, нотаріуси, приватні виконавці, арбітражні керуючі, судові експерти, державні органи, органи місцевого самоврядування, суб’єкти господарювання державного та комунального секторів економіки та особи, що провадять клірингову діяльність у значенні, наведеному у Законі України "Про ринки капіталу та організовані товарні ринки", реєструють офіційні електронні адреси в Єдиній судовій інформаційно-телекомунікаційній системі в обов’язковому порядку. Інші особи реєструють свої офіційні електронні адреси в Єдиній судовій інформаційно-телекомунікаційній системі в добровільному порядку.</w:t>
            </w:r>
          </w:p>
        </w:tc>
        <w:tc>
          <w:tcPr>
            <w:tcW w:w="3686" w:type="dxa"/>
          </w:tcPr>
          <w:p w14:paraId="17566F4E" w14:textId="77777777" w:rsidR="00EF1DBC" w:rsidRPr="00286216" w:rsidRDefault="00EF1DBC" w:rsidP="00EF1DBC">
            <w:pPr>
              <w:pStyle w:val="StyleProp"/>
              <w:rPr>
                <w:color w:val="000000" w:themeColor="text1"/>
                <w:szCs w:val="18"/>
              </w:rPr>
            </w:pPr>
          </w:p>
        </w:tc>
        <w:tc>
          <w:tcPr>
            <w:tcW w:w="1987" w:type="dxa"/>
          </w:tcPr>
          <w:p w14:paraId="69F8CE7D" w14:textId="77777777" w:rsidR="00EF1DBC" w:rsidRPr="00286216" w:rsidRDefault="00EF1DBC" w:rsidP="00EF1DBC">
            <w:pPr>
              <w:pStyle w:val="StyleWisnow"/>
              <w:rPr>
                <w:color w:val="000000" w:themeColor="text1"/>
              </w:rPr>
            </w:pPr>
          </w:p>
        </w:tc>
        <w:tc>
          <w:tcPr>
            <w:tcW w:w="4818" w:type="dxa"/>
          </w:tcPr>
          <w:p w14:paraId="0916725F" w14:textId="28235ED3" w:rsidR="00EF1DBC" w:rsidRPr="00286216" w:rsidRDefault="00EF1DBC" w:rsidP="00EF1DBC">
            <w:pPr>
              <w:pStyle w:val="StyleZakonu"/>
              <w:rPr>
                <w:color w:val="000000" w:themeColor="text1"/>
              </w:rPr>
            </w:pPr>
            <w:r w:rsidRPr="00286216">
              <w:rPr>
                <w:color w:val="000000" w:themeColor="text1"/>
              </w:rPr>
              <w:t>"6. Адвокати, нотаріуси, приватні виконавці, арбітражні керуючі, судові експерти, державні органи, органи місцевого самоврядування, суб’єкти господарювання державного та комунального секторів економіки та особи, які провадять клірингову діяльність у значенні, наведеному в Законі України "Про ринки капіталу та організовані товарні ринки", реєструють офіційні електронні адреси в Єдиній судовій інформаційно-телекомунікаційній системі в обов’язковому порядку. Інші особи реєструють свої офіційні електронні адреси в Єдиній судовій інформаційно-телекомунікаційній системі в добровільному порядку»;</w:t>
            </w:r>
          </w:p>
        </w:tc>
      </w:tr>
      <w:tr w:rsidR="00EF1DBC" w:rsidRPr="00286216" w14:paraId="3EB0E55A" w14:textId="77777777" w:rsidTr="00091AA5">
        <w:tc>
          <w:tcPr>
            <w:tcW w:w="576" w:type="dxa"/>
          </w:tcPr>
          <w:p w14:paraId="367E4DBD" w14:textId="77777777" w:rsidR="00EF1DBC" w:rsidRPr="00286216" w:rsidRDefault="00EF1DBC" w:rsidP="00EF1DBC">
            <w:pPr>
              <w:pStyle w:val="StyleWisnow"/>
              <w:rPr>
                <w:color w:val="000000" w:themeColor="text1"/>
              </w:rPr>
            </w:pPr>
            <w:bookmarkStart w:id="2483" w:name="n2612" w:colFirst="0" w:colLast="0"/>
            <w:bookmarkEnd w:id="2482"/>
            <w:r w:rsidRPr="00286216">
              <w:rPr>
                <w:color w:val="000000" w:themeColor="text1"/>
              </w:rPr>
              <w:t>2612.</w:t>
            </w:r>
          </w:p>
        </w:tc>
        <w:tc>
          <w:tcPr>
            <w:tcW w:w="4818" w:type="dxa"/>
          </w:tcPr>
          <w:p w14:paraId="2679171D" w14:textId="77777777" w:rsidR="00EF1DBC" w:rsidRPr="00286216" w:rsidRDefault="00EF1DBC" w:rsidP="00EF1DBC">
            <w:pPr>
              <w:pStyle w:val="StyleZakonu"/>
              <w:rPr>
                <w:color w:val="000000" w:themeColor="text1"/>
              </w:rPr>
            </w:pPr>
            <w:r w:rsidRPr="00286216">
              <w:rPr>
                <w:color w:val="000000" w:themeColor="text1"/>
              </w:rPr>
              <w:t>3) у частині першій статті 20:</w:t>
            </w:r>
          </w:p>
        </w:tc>
        <w:tc>
          <w:tcPr>
            <w:tcW w:w="3686" w:type="dxa"/>
          </w:tcPr>
          <w:p w14:paraId="0E788A01" w14:textId="77777777" w:rsidR="00EF1DBC" w:rsidRPr="00286216" w:rsidRDefault="00EF1DBC" w:rsidP="00EF1DBC">
            <w:pPr>
              <w:pStyle w:val="StyleProp"/>
              <w:rPr>
                <w:color w:val="000000" w:themeColor="text1"/>
                <w:szCs w:val="18"/>
              </w:rPr>
            </w:pPr>
          </w:p>
        </w:tc>
        <w:tc>
          <w:tcPr>
            <w:tcW w:w="1987" w:type="dxa"/>
          </w:tcPr>
          <w:p w14:paraId="4153135E" w14:textId="77777777" w:rsidR="00EF1DBC" w:rsidRPr="00286216" w:rsidRDefault="00EF1DBC" w:rsidP="00EF1DBC">
            <w:pPr>
              <w:pStyle w:val="StyleWisnow"/>
              <w:rPr>
                <w:color w:val="000000" w:themeColor="text1"/>
              </w:rPr>
            </w:pPr>
          </w:p>
        </w:tc>
        <w:tc>
          <w:tcPr>
            <w:tcW w:w="4818" w:type="dxa"/>
          </w:tcPr>
          <w:p w14:paraId="2B1AD02C" w14:textId="52F7DF56" w:rsidR="00EF1DBC" w:rsidRPr="00286216" w:rsidRDefault="00EF1DBC" w:rsidP="00EF1DBC">
            <w:pPr>
              <w:pStyle w:val="StyleZakonu"/>
              <w:rPr>
                <w:color w:val="000000" w:themeColor="text1"/>
              </w:rPr>
            </w:pPr>
            <w:r w:rsidRPr="00286216">
              <w:rPr>
                <w:color w:val="000000" w:themeColor="text1"/>
              </w:rPr>
              <w:t>3) у частині першій статті 20:</w:t>
            </w:r>
          </w:p>
        </w:tc>
      </w:tr>
      <w:tr w:rsidR="00EF1DBC" w:rsidRPr="00286216" w14:paraId="00696B29" w14:textId="77777777" w:rsidTr="00091AA5">
        <w:tc>
          <w:tcPr>
            <w:tcW w:w="576" w:type="dxa"/>
          </w:tcPr>
          <w:p w14:paraId="235B7E78" w14:textId="77777777" w:rsidR="00EF1DBC" w:rsidRPr="00286216" w:rsidRDefault="00EF1DBC" w:rsidP="00EF1DBC">
            <w:pPr>
              <w:pStyle w:val="StyleWisnow"/>
              <w:rPr>
                <w:color w:val="000000" w:themeColor="text1"/>
              </w:rPr>
            </w:pPr>
            <w:bookmarkStart w:id="2484" w:name="n2613" w:colFirst="0" w:colLast="0"/>
            <w:bookmarkEnd w:id="2483"/>
            <w:r w:rsidRPr="00286216">
              <w:rPr>
                <w:color w:val="000000" w:themeColor="text1"/>
              </w:rPr>
              <w:t>2613.</w:t>
            </w:r>
          </w:p>
        </w:tc>
        <w:tc>
          <w:tcPr>
            <w:tcW w:w="4818" w:type="dxa"/>
          </w:tcPr>
          <w:p w14:paraId="080F9418" w14:textId="77777777" w:rsidR="00EF1DBC" w:rsidRPr="00286216" w:rsidRDefault="00EF1DBC" w:rsidP="00EF1DBC">
            <w:pPr>
              <w:pStyle w:val="StyleZakonu"/>
              <w:rPr>
                <w:color w:val="000000" w:themeColor="text1"/>
              </w:rPr>
            </w:pPr>
            <w:r w:rsidRPr="00286216">
              <w:rPr>
                <w:color w:val="000000" w:themeColor="text1"/>
              </w:rPr>
              <w:t>а) пункт 5 після слів "у спорах щодо" доповнити словами "фінансових інструментів, зокрема щодо";</w:t>
            </w:r>
          </w:p>
        </w:tc>
        <w:tc>
          <w:tcPr>
            <w:tcW w:w="3686" w:type="dxa"/>
          </w:tcPr>
          <w:p w14:paraId="58B10FAB" w14:textId="77777777" w:rsidR="00EF1DBC" w:rsidRPr="00286216" w:rsidRDefault="00EF1DBC" w:rsidP="00EF1DBC">
            <w:pPr>
              <w:pStyle w:val="StyleProp"/>
              <w:rPr>
                <w:color w:val="000000" w:themeColor="text1"/>
                <w:szCs w:val="18"/>
              </w:rPr>
            </w:pPr>
          </w:p>
        </w:tc>
        <w:tc>
          <w:tcPr>
            <w:tcW w:w="1987" w:type="dxa"/>
          </w:tcPr>
          <w:p w14:paraId="1BB300BE" w14:textId="77777777" w:rsidR="00EF1DBC" w:rsidRPr="00286216" w:rsidRDefault="00EF1DBC" w:rsidP="00EF1DBC">
            <w:pPr>
              <w:pStyle w:val="StyleWisnow"/>
              <w:rPr>
                <w:color w:val="000000" w:themeColor="text1"/>
              </w:rPr>
            </w:pPr>
          </w:p>
        </w:tc>
        <w:tc>
          <w:tcPr>
            <w:tcW w:w="4818" w:type="dxa"/>
          </w:tcPr>
          <w:p w14:paraId="3D3048E6" w14:textId="4D64D885" w:rsidR="00EF1DBC" w:rsidRPr="00286216" w:rsidRDefault="00EF1DBC" w:rsidP="00EF1DBC">
            <w:pPr>
              <w:pStyle w:val="StyleZakonu"/>
              <w:rPr>
                <w:color w:val="000000" w:themeColor="text1"/>
              </w:rPr>
            </w:pPr>
            <w:r w:rsidRPr="00286216">
              <w:rPr>
                <w:color w:val="000000" w:themeColor="text1"/>
              </w:rPr>
              <w:t>а) пункт 5 після слів "у спорах щодо" доповнити словами "фінансових інструментів, зокрема щодо";</w:t>
            </w:r>
          </w:p>
        </w:tc>
      </w:tr>
      <w:tr w:rsidR="00EF1DBC" w:rsidRPr="00286216" w14:paraId="16107CB2" w14:textId="77777777" w:rsidTr="00091AA5">
        <w:tc>
          <w:tcPr>
            <w:tcW w:w="576" w:type="dxa"/>
          </w:tcPr>
          <w:p w14:paraId="6740C1EF" w14:textId="77777777" w:rsidR="00EF1DBC" w:rsidRPr="00286216" w:rsidRDefault="00EF1DBC" w:rsidP="00EF1DBC">
            <w:pPr>
              <w:pStyle w:val="StyleWisnow"/>
              <w:rPr>
                <w:color w:val="000000" w:themeColor="text1"/>
              </w:rPr>
            </w:pPr>
            <w:bookmarkStart w:id="2485" w:name="n2614" w:colFirst="0" w:colLast="0"/>
            <w:bookmarkEnd w:id="2484"/>
            <w:r w:rsidRPr="00286216">
              <w:rPr>
                <w:color w:val="000000" w:themeColor="text1"/>
              </w:rPr>
              <w:t>2614.</w:t>
            </w:r>
          </w:p>
        </w:tc>
        <w:tc>
          <w:tcPr>
            <w:tcW w:w="4818" w:type="dxa"/>
          </w:tcPr>
          <w:p w14:paraId="3A5CD6F3" w14:textId="77777777" w:rsidR="00EF1DBC" w:rsidRPr="00286216" w:rsidRDefault="00EF1DBC" w:rsidP="00EF1DBC">
            <w:pPr>
              <w:pStyle w:val="StyleZakonu"/>
              <w:rPr>
                <w:color w:val="000000" w:themeColor="text1"/>
              </w:rPr>
            </w:pPr>
            <w:r w:rsidRPr="00286216">
              <w:rPr>
                <w:color w:val="000000" w:themeColor="text1"/>
              </w:rPr>
              <w:t>б) доповнити частину першу двома новими пунктами такого змісту:</w:t>
            </w:r>
          </w:p>
        </w:tc>
        <w:tc>
          <w:tcPr>
            <w:tcW w:w="3686" w:type="dxa"/>
          </w:tcPr>
          <w:p w14:paraId="16AF0A70" w14:textId="77777777" w:rsidR="00EF1DBC" w:rsidRPr="00286216" w:rsidRDefault="00EF1DBC" w:rsidP="00EF1DBC">
            <w:pPr>
              <w:pStyle w:val="StyleProp"/>
              <w:rPr>
                <w:color w:val="000000" w:themeColor="text1"/>
                <w:szCs w:val="18"/>
              </w:rPr>
            </w:pPr>
          </w:p>
        </w:tc>
        <w:tc>
          <w:tcPr>
            <w:tcW w:w="1987" w:type="dxa"/>
          </w:tcPr>
          <w:p w14:paraId="54301C37" w14:textId="77777777" w:rsidR="00EF1DBC" w:rsidRPr="00286216" w:rsidRDefault="00EF1DBC" w:rsidP="00EF1DBC">
            <w:pPr>
              <w:pStyle w:val="StyleWisnow"/>
              <w:rPr>
                <w:color w:val="000000" w:themeColor="text1"/>
              </w:rPr>
            </w:pPr>
          </w:p>
        </w:tc>
        <w:tc>
          <w:tcPr>
            <w:tcW w:w="4818" w:type="dxa"/>
          </w:tcPr>
          <w:p w14:paraId="54B7464B" w14:textId="35BDF445" w:rsidR="00EF1DBC" w:rsidRPr="00286216" w:rsidRDefault="00EF1DBC" w:rsidP="00EF1DBC">
            <w:pPr>
              <w:pStyle w:val="StyleZakonu"/>
              <w:rPr>
                <w:color w:val="000000" w:themeColor="text1"/>
              </w:rPr>
            </w:pPr>
            <w:r w:rsidRPr="00286216">
              <w:rPr>
                <w:color w:val="000000" w:themeColor="text1"/>
              </w:rPr>
              <w:t>б) доповнити пунктами 18 і 19 такого змісту:</w:t>
            </w:r>
          </w:p>
        </w:tc>
      </w:tr>
      <w:tr w:rsidR="00EF1DBC" w:rsidRPr="00286216" w14:paraId="12EEB5F8" w14:textId="77777777" w:rsidTr="00091AA5">
        <w:tc>
          <w:tcPr>
            <w:tcW w:w="576" w:type="dxa"/>
          </w:tcPr>
          <w:p w14:paraId="118C7D27" w14:textId="77777777" w:rsidR="00EF1DBC" w:rsidRPr="00286216" w:rsidRDefault="00EF1DBC" w:rsidP="00EF1DBC">
            <w:pPr>
              <w:pStyle w:val="StyleWisnow"/>
              <w:rPr>
                <w:color w:val="000000" w:themeColor="text1"/>
              </w:rPr>
            </w:pPr>
            <w:bookmarkStart w:id="2486" w:name="n2615" w:colFirst="0" w:colLast="0"/>
            <w:bookmarkEnd w:id="2485"/>
            <w:r w:rsidRPr="00286216">
              <w:rPr>
                <w:color w:val="000000" w:themeColor="text1"/>
              </w:rPr>
              <w:t>2615.</w:t>
            </w:r>
          </w:p>
        </w:tc>
        <w:tc>
          <w:tcPr>
            <w:tcW w:w="4818" w:type="dxa"/>
          </w:tcPr>
          <w:p w14:paraId="55A9F564" w14:textId="77777777" w:rsidR="00EF1DBC" w:rsidRPr="00286216" w:rsidRDefault="00EF1DBC" w:rsidP="00EF1DBC">
            <w:pPr>
              <w:pStyle w:val="StyleZakonu"/>
              <w:rPr>
                <w:color w:val="000000" w:themeColor="text1"/>
              </w:rPr>
            </w:pPr>
            <w:r w:rsidRPr="00286216">
              <w:rPr>
                <w:color w:val="000000" w:themeColor="text1"/>
              </w:rPr>
              <w:t xml:space="preserve">"17) справи у спорах щодо захисту порушених, невизнаних або оспорюваних прав та законних інтересів власників облігацій, що виникають між адміністратором за випуском облігацій та емітентом облігацій та/або особами, які надають забезпечення за </w:t>
            </w:r>
            <w:r w:rsidRPr="00286216">
              <w:rPr>
                <w:color w:val="000000" w:themeColor="text1"/>
              </w:rPr>
              <w:lastRenderedPageBreak/>
              <w:t>такими облігаціями;</w:t>
            </w:r>
          </w:p>
        </w:tc>
        <w:tc>
          <w:tcPr>
            <w:tcW w:w="3686" w:type="dxa"/>
          </w:tcPr>
          <w:p w14:paraId="7437EE51" w14:textId="77777777" w:rsidR="00EF1DBC" w:rsidRPr="00286216" w:rsidRDefault="00EF1DBC" w:rsidP="00EF1DBC">
            <w:pPr>
              <w:pStyle w:val="StyleProp"/>
              <w:rPr>
                <w:color w:val="000000" w:themeColor="text1"/>
                <w:szCs w:val="18"/>
              </w:rPr>
            </w:pPr>
          </w:p>
        </w:tc>
        <w:tc>
          <w:tcPr>
            <w:tcW w:w="1987" w:type="dxa"/>
          </w:tcPr>
          <w:p w14:paraId="20BE9655" w14:textId="77777777" w:rsidR="00EF1DBC" w:rsidRPr="00286216" w:rsidRDefault="00EF1DBC" w:rsidP="00EF1DBC">
            <w:pPr>
              <w:pStyle w:val="StyleWisnow"/>
              <w:rPr>
                <w:color w:val="000000" w:themeColor="text1"/>
              </w:rPr>
            </w:pPr>
          </w:p>
        </w:tc>
        <w:tc>
          <w:tcPr>
            <w:tcW w:w="4818" w:type="dxa"/>
          </w:tcPr>
          <w:p w14:paraId="4A9A0CED" w14:textId="5DC8682D" w:rsidR="00EF1DBC" w:rsidRPr="00286216" w:rsidRDefault="00EF1DBC" w:rsidP="00EF1DBC">
            <w:pPr>
              <w:pStyle w:val="StyleZakonu"/>
              <w:rPr>
                <w:color w:val="000000" w:themeColor="text1"/>
              </w:rPr>
            </w:pPr>
            <w:r w:rsidRPr="00286216">
              <w:rPr>
                <w:color w:val="000000" w:themeColor="text1"/>
              </w:rPr>
              <w:t xml:space="preserve">"18) справи у спорах щодо захисту порушених, невизнаних або оспорюваних прав та законних інтересів власників облігацій, що виникають між адміністратором за випуском облігацій та емітентом облігацій та/або особами, які надають забезпечення за </w:t>
            </w:r>
            <w:r w:rsidRPr="00286216">
              <w:rPr>
                <w:color w:val="000000" w:themeColor="text1"/>
              </w:rPr>
              <w:lastRenderedPageBreak/>
              <w:t>такими облігаціями;</w:t>
            </w:r>
          </w:p>
        </w:tc>
      </w:tr>
      <w:tr w:rsidR="00EF1DBC" w:rsidRPr="00286216" w14:paraId="5A9A6892" w14:textId="77777777" w:rsidTr="00091AA5">
        <w:tc>
          <w:tcPr>
            <w:tcW w:w="576" w:type="dxa"/>
          </w:tcPr>
          <w:p w14:paraId="6AC7A4B6" w14:textId="77777777" w:rsidR="00EF1DBC" w:rsidRPr="00286216" w:rsidRDefault="00EF1DBC" w:rsidP="00EF1DBC">
            <w:pPr>
              <w:pStyle w:val="StyleWisnow"/>
              <w:rPr>
                <w:color w:val="000000" w:themeColor="text1"/>
              </w:rPr>
            </w:pPr>
            <w:bookmarkStart w:id="2487" w:name="n2616" w:colFirst="0" w:colLast="0"/>
            <w:bookmarkEnd w:id="2486"/>
            <w:r w:rsidRPr="00286216">
              <w:rPr>
                <w:color w:val="000000" w:themeColor="text1"/>
              </w:rPr>
              <w:lastRenderedPageBreak/>
              <w:t>2616.</w:t>
            </w:r>
          </w:p>
        </w:tc>
        <w:tc>
          <w:tcPr>
            <w:tcW w:w="4818" w:type="dxa"/>
          </w:tcPr>
          <w:p w14:paraId="0806CE1C" w14:textId="77777777" w:rsidR="00EF1DBC" w:rsidRPr="00286216" w:rsidRDefault="00EF1DBC" w:rsidP="00EF1DBC">
            <w:pPr>
              <w:pStyle w:val="StyleZakonu"/>
              <w:rPr>
                <w:color w:val="000000" w:themeColor="text1"/>
              </w:rPr>
            </w:pPr>
            <w:r w:rsidRPr="00286216">
              <w:rPr>
                <w:color w:val="000000" w:themeColor="text1"/>
              </w:rPr>
              <w:t>18) справи у спорах щодо оскарження рішення зборів власників облігацій.</w:t>
            </w:r>
          </w:p>
        </w:tc>
        <w:tc>
          <w:tcPr>
            <w:tcW w:w="3686" w:type="dxa"/>
          </w:tcPr>
          <w:p w14:paraId="081DC28B" w14:textId="77777777" w:rsidR="00EF1DBC" w:rsidRPr="00286216" w:rsidRDefault="00EF1DBC" w:rsidP="00EF1DBC">
            <w:pPr>
              <w:pStyle w:val="StyleProp"/>
              <w:rPr>
                <w:color w:val="000000" w:themeColor="text1"/>
                <w:szCs w:val="18"/>
              </w:rPr>
            </w:pPr>
          </w:p>
        </w:tc>
        <w:tc>
          <w:tcPr>
            <w:tcW w:w="1987" w:type="dxa"/>
          </w:tcPr>
          <w:p w14:paraId="78BD1513" w14:textId="77777777" w:rsidR="00EF1DBC" w:rsidRPr="00286216" w:rsidRDefault="00EF1DBC" w:rsidP="00EF1DBC">
            <w:pPr>
              <w:pStyle w:val="StyleWisnow"/>
              <w:rPr>
                <w:color w:val="000000" w:themeColor="text1"/>
              </w:rPr>
            </w:pPr>
          </w:p>
        </w:tc>
        <w:tc>
          <w:tcPr>
            <w:tcW w:w="4818" w:type="dxa"/>
          </w:tcPr>
          <w:p w14:paraId="08DE7E28" w14:textId="0D842DD5" w:rsidR="00EF1DBC" w:rsidRPr="00286216" w:rsidRDefault="00EF1DBC" w:rsidP="00EF1DBC">
            <w:pPr>
              <w:pStyle w:val="StyleZakonu"/>
              <w:rPr>
                <w:color w:val="000000" w:themeColor="text1"/>
              </w:rPr>
            </w:pPr>
            <w:r w:rsidRPr="00286216">
              <w:rPr>
                <w:color w:val="000000" w:themeColor="text1"/>
              </w:rPr>
              <w:t>19) справи у спорах щодо оскарження рішення зборів власників облігацій.</w:t>
            </w:r>
          </w:p>
        </w:tc>
      </w:tr>
      <w:tr w:rsidR="00EF1DBC" w:rsidRPr="00286216" w14:paraId="700E10D3" w14:textId="77777777" w:rsidTr="00091AA5">
        <w:tc>
          <w:tcPr>
            <w:tcW w:w="576" w:type="dxa"/>
          </w:tcPr>
          <w:p w14:paraId="70AA9109" w14:textId="77777777" w:rsidR="00EF1DBC" w:rsidRPr="00286216" w:rsidRDefault="00EF1DBC" w:rsidP="00EF1DBC">
            <w:pPr>
              <w:pStyle w:val="StyleWisnow"/>
              <w:rPr>
                <w:color w:val="000000" w:themeColor="text1"/>
              </w:rPr>
            </w:pPr>
            <w:bookmarkStart w:id="2488" w:name="n2617" w:colFirst="0" w:colLast="0"/>
            <w:bookmarkEnd w:id="2487"/>
            <w:r w:rsidRPr="00286216">
              <w:rPr>
                <w:color w:val="000000" w:themeColor="text1"/>
              </w:rPr>
              <w:t>2617.</w:t>
            </w:r>
          </w:p>
        </w:tc>
        <w:tc>
          <w:tcPr>
            <w:tcW w:w="4818" w:type="dxa"/>
          </w:tcPr>
          <w:p w14:paraId="5A8B0AF7" w14:textId="77777777" w:rsidR="00EF1DBC" w:rsidRPr="00286216" w:rsidRDefault="00EF1DBC" w:rsidP="00EF1DBC">
            <w:pPr>
              <w:pStyle w:val="StyleZakonu"/>
              <w:rPr>
                <w:color w:val="000000" w:themeColor="text1"/>
              </w:rPr>
            </w:pPr>
            <w:r w:rsidRPr="00286216">
              <w:rPr>
                <w:color w:val="000000" w:themeColor="text1"/>
              </w:rPr>
              <w:t>Терміни "особа, яка надає забезпечення", "збори власників облігацій" вживаються у цьому Кодексі у значенні, наведеному у Законі України "Про ринки капіталу та організовані товарні ринки".";</w:t>
            </w:r>
          </w:p>
        </w:tc>
        <w:tc>
          <w:tcPr>
            <w:tcW w:w="3686" w:type="dxa"/>
          </w:tcPr>
          <w:p w14:paraId="233099F2" w14:textId="77777777" w:rsidR="00EF1DBC" w:rsidRPr="00286216" w:rsidRDefault="00EF1DBC" w:rsidP="00EF1DBC">
            <w:pPr>
              <w:pStyle w:val="StyleProp"/>
              <w:rPr>
                <w:color w:val="000000" w:themeColor="text1"/>
                <w:szCs w:val="18"/>
              </w:rPr>
            </w:pPr>
          </w:p>
        </w:tc>
        <w:tc>
          <w:tcPr>
            <w:tcW w:w="1987" w:type="dxa"/>
          </w:tcPr>
          <w:p w14:paraId="1A8EA831" w14:textId="77777777" w:rsidR="00EF1DBC" w:rsidRPr="00286216" w:rsidRDefault="00EF1DBC" w:rsidP="00EF1DBC">
            <w:pPr>
              <w:pStyle w:val="StyleWisnow"/>
              <w:rPr>
                <w:color w:val="000000" w:themeColor="text1"/>
              </w:rPr>
            </w:pPr>
          </w:p>
        </w:tc>
        <w:tc>
          <w:tcPr>
            <w:tcW w:w="4818" w:type="dxa"/>
          </w:tcPr>
          <w:p w14:paraId="6DD71A05" w14:textId="5D506FD1" w:rsidR="00EF1DBC" w:rsidRPr="00286216" w:rsidRDefault="00EF1DBC" w:rsidP="00EF1DBC">
            <w:pPr>
              <w:pStyle w:val="StyleZakonu"/>
              <w:rPr>
                <w:color w:val="000000" w:themeColor="text1"/>
              </w:rPr>
            </w:pPr>
            <w:r w:rsidRPr="00286216">
              <w:rPr>
                <w:color w:val="000000" w:themeColor="text1"/>
              </w:rPr>
              <w:t>Терміни "особа, яка надає забезпечення", "збори власників облігацій" вживаються у цьому Кодексі у значенні, наведеному у Законі України "Про ринки капіталу та організовані товарні ринки".";</w:t>
            </w:r>
          </w:p>
        </w:tc>
      </w:tr>
      <w:tr w:rsidR="00EF1DBC" w:rsidRPr="00286216" w14:paraId="282B4DAF" w14:textId="77777777" w:rsidTr="00091AA5">
        <w:tc>
          <w:tcPr>
            <w:tcW w:w="576" w:type="dxa"/>
          </w:tcPr>
          <w:p w14:paraId="66A854C7" w14:textId="77777777" w:rsidR="00EF1DBC" w:rsidRPr="00286216" w:rsidRDefault="00EF1DBC" w:rsidP="00EF1DBC">
            <w:pPr>
              <w:pStyle w:val="StyleWisnow"/>
              <w:rPr>
                <w:color w:val="000000" w:themeColor="text1"/>
              </w:rPr>
            </w:pPr>
            <w:bookmarkStart w:id="2489" w:name="n2618" w:colFirst="0" w:colLast="0"/>
            <w:bookmarkEnd w:id="2488"/>
            <w:r w:rsidRPr="00286216">
              <w:rPr>
                <w:color w:val="000000" w:themeColor="text1"/>
              </w:rPr>
              <w:t>2618.</w:t>
            </w:r>
          </w:p>
        </w:tc>
        <w:tc>
          <w:tcPr>
            <w:tcW w:w="4818" w:type="dxa"/>
          </w:tcPr>
          <w:p w14:paraId="62C9464F" w14:textId="77777777" w:rsidR="00EF1DBC" w:rsidRPr="00286216" w:rsidRDefault="00EF1DBC" w:rsidP="00EF1DBC">
            <w:pPr>
              <w:pStyle w:val="StyleZakonu"/>
              <w:rPr>
                <w:color w:val="000000" w:themeColor="text1"/>
              </w:rPr>
            </w:pPr>
            <w:r w:rsidRPr="00286216">
              <w:rPr>
                <w:color w:val="000000" w:themeColor="text1"/>
              </w:rPr>
              <w:t>4) у пункті 1 частини першої статті 22:</w:t>
            </w:r>
          </w:p>
        </w:tc>
        <w:tc>
          <w:tcPr>
            <w:tcW w:w="3686" w:type="dxa"/>
          </w:tcPr>
          <w:p w14:paraId="5E9B33BE" w14:textId="77777777" w:rsidR="00EF1DBC" w:rsidRPr="00286216" w:rsidRDefault="00EF1DBC" w:rsidP="00EF1DBC">
            <w:pPr>
              <w:pStyle w:val="StyleProp"/>
              <w:rPr>
                <w:color w:val="000000" w:themeColor="text1"/>
                <w:szCs w:val="18"/>
              </w:rPr>
            </w:pPr>
          </w:p>
        </w:tc>
        <w:tc>
          <w:tcPr>
            <w:tcW w:w="1987" w:type="dxa"/>
          </w:tcPr>
          <w:p w14:paraId="031CE136" w14:textId="77777777" w:rsidR="00EF1DBC" w:rsidRPr="00286216" w:rsidRDefault="00EF1DBC" w:rsidP="00EF1DBC">
            <w:pPr>
              <w:pStyle w:val="StyleWisnow"/>
              <w:rPr>
                <w:color w:val="000000" w:themeColor="text1"/>
              </w:rPr>
            </w:pPr>
          </w:p>
        </w:tc>
        <w:tc>
          <w:tcPr>
            <w:tcW w:w="4818" w:type="dxa"/>
          </w:tcPr>
          <w:p w14:paraId="05F87849" w14:textId="03218F4E" w:rsidR="00EF1DBC" w:rsidRPr="00286216" w:rsidRDefault="00EF1DBC" w:rsidP="00EF1DBC">
            <w:pPr>
              <w:pStyle w:val="StyleZakonu"/>
              <w:rPr>
                <w:color w:val="000000" w:themeColor="text1"/>
              </w:rPr>
            </w:pPr>
            <w:r w:rsidRPr="00286216">
              <w:rPr>
                <w:color w:val="000000" w:themeColor="text1"/>
              </w:rPr>
              <w:t>4) у частині першій статті 22:</w:t>
            </w:r>
          </w:p>
        </w:tc>
      </w:tr>
      <w:tr w:rsidR="00EF1DBC" w:rsidRPr="00286216" w14:paraId="62AD927D" w14:textId="77777777" w:rsidTr="00091AA5">
        <w:tc>
          <w:tcPr>
            <w:tcW w:w="576" w:type="dxa"/>
          </w:tcPr>
          <w:p w14:paraId="204FEFC9" w14:textId="77777777" w:rsidR="00EF1DBC" w:rsidRPr="00286216" w:rsidRDefault="00EF1DBC" w:rsidP="00EF1DBC">
            <w:pPr>
              <w:pStyle w:val="StyleWisnow"/>
              <w:rPr>
                <w:color w:val="000000" w:themeColor="text1"/>
              </w:rPr>
            </w:pPr>
            <w:bookmarkStart w:id="2490" w:name="n2619" w:colFirst="0" w:colLast="0"/>
            <w:bookmarkEnd w:id="2489"/>
            <w:r w:rsidRPr="00286216">
              <w:rPr>
                <w:color w:val="000000" w:themeColor="text1"/>
              </w:rPr>
              <w:t>2619.</w:t>
            </w:r>
          </w:p>
        </w:tc>
        <w:tc>
          <w:tcPr>
            <w:tcW w:w="4818" w:type="dxa"/>
          </w:tcPr>
          <w:p w14:paraId="35AEA59C" w14:textId="77777777" w:rsidR="00EF1DBC" w:rsidRPr="00286216" w:rsidRDefault="00EF1DBC" w:rsidP="00EF1DBC">
            <w:pPr>
              <w:pStyle w:val="StyleZakonu"/>
              <w:rPr>
                <w:color w:val="000000" w:themeColor="text1"/>
              </w:rPr>
            </w:pPr>
            <w:r w:rsidRPr="00286216">
              <w:rPr>
                <w:color w:val="000000" w:themeColor="text1"/>
              </w:rPr>
              <w:t>а) слова "прав на цінні папери" замінити словами "прав на фінансові інструменти";</w:t>
            </w:r>
          </w:p>
        </w:tc>
        <w:tc>
          <w:tcPr>
            <w:tcW w:w="3686" w:type="dxa"/>
          </w:tcPr>
          <w:p w14:paraId="08141A9E" w14:textId="77777777" w:rsidR="00EF1DBC" w:rsidRPr="00286216" w:rsidRDefault="00EF1DBC" w:rsidP="00EF1DBC">
            <w:pPr>
              <w:pStyle w:val="StyleProp"/>
              <w:rPr>
                <w:color w:val="000000" w:themeColor="text1"/>
                <w:szCs w:val="18"/>
              </w:rPr>
            </w:pPr>
          </w:p>
        </w:tc>
        <w:tc>
          <w:tcPr>
            <w:tcW w:w="1987" w:type="dxa"/>
          </w:tcPr>
          <w:p w14:paraId="064DDF64" w14:textId="77777777" w:rsidR="00EF1DBC" w:rsidRPr="00286216" w:rsidRDefault="00EF1DBC" w:rsidP="00EF1DBC">
            <w:pPr>
              <w:pStyle w:val="StyleWisnow"/>
              <w:rPr>
                <w:color w:val="000000" w:themeColor="text1"/>
              </w:rPr>
            </w:pPr>
          </w:p>
        </w:tc>
        <w:tc>
          <w:tcPr>
            <w:tcW w:w="4818" w:type="dxa"/>
          </w:tcPr>
          <w:p w14:paraId="747FB772" w14:textId="7F52B379" w:rsidR="00EF1DBC" w:rsidRPr="00286216" w:rsidRDefault="00EF1DBC" w:rsidP="00EF1DBC">
            <w:pPr>
              <w:pStyle w:val="StyleZakonu"/>
              <w:rPr>
                <w:color w:val="000000" w:themeColor="text1"/>
              </w:rPr>
            </w:pPr>
            <w:r w:rsidRPr="00286216">
              <w:rPr>
                <w:color w:val="000000" w:themeColor="text1"/>
              </w:rPr>
              <w:t>а) у пункті 1 слова "прав на цінні папери" замінити словами "прав на фінансові інструменти";</w:t>
            </w:r>
          </w:p>
        </w:tc>
      </w:tr>
      <w:tr w:rsidR="00EF1DBC" w:rsidRPr="00286216" w14:paraId="63634B89" w14:textId="77777777" w:rsidTr="00091AA5">
        <w:tc>
          <w:tcPr>
            <w:tcW w:w="576" w:type="dxa"/>
          </w:tcPr>
          <w:p w14:paraId="37D9ABD7" w14:textId="77777777" w:rsidR="00EF1DBC" w:rsidRPr="00286216" w:rsidRDefault="00EF1DBC" w:rsidP="00EF1DBC">
            <w:pPr>
              <w:pStyle w:val="StyleWisnow"/>
              <w:rPr>
                <w:color w:val="000000" w:themeColor="text1"/>
              </w:rPr>
            </w:pPr>
            <w:bookmarkStart w:id="2491" w:name="n2620" w:colFirst="0" w:colLast="0"/>
            <w:bookmarkEnd w:id="2490"/>
            <w:r w:rsidRPr="00286216">
              <w:rPr>
                <w:color w:val="000000" w:themeColor="text1"/>
              </w:rPr>
              <w:t>2620.</w:t>
            </w:r>
          </w:p>
        </w:tc>
        <w:tc>
          <w:tcPr>
            <w:tcW w:w="4818" w:type="dxa"/>
          </w:tcPr>
          <w:p w14:paraId="34A21632" w14:textId="77777777" w:rsidR="00EF1DBC" w:rsidRPr="00286216" w:rsidRDefault="00EF1DBC" w:rsidP="00EF1DBC">
            <w:pPr>
              <w:pStyle w:val="StyleZakonu"/>
              <w:rPr>
                <w:color w:val="000000" w:themeColor="text1"/>
              </w:rPr>
            </w:pPr>
            <w:r w:rsidRPr="00286216">
              <w:rPr>
                <w:color w:val="000000" w:themeColor="text1"/>
              </w:rPr>
              <w:t>б) доповнити новим абзацом такого змісту:</w:t>
            </w:r>
          </w:p>
        </w:tc>
        <w:tc>
          <w:tcPr>
            <w:tcW w:w="3686" w:type="dxa"/>
          </w:tcPr>
          <w:p w14:paraId="493A53C1" w14:textId="77777777" w:rsidR="00EF1DBC" w:rsidRPr="00286216" w:rsidRDefault="00EF1DBC" w:rsidP="00EF1DBC">
            <w:pPr>
              <w:pStyle w:val="StyleProp"/>
              <w:rPr>
                <w:color w:val="000000" w:themeColor="text1"/>
                <w:szCs w:val="18"/>
              </w:rPr>
            </w:pPr>
          </w:p>
        </w:tc>
        <w:tc>
          <w:tcPr>
            <w:tcW w:w="1987" w:type="dxa"/>
          </w:tcPr>
          <w:p w14:paraId="5DABF9EA" w14:textId="77777777" w:rsidR="00EF1DBC" w:rsidRPr="00286216" w:rsidRDefault="00EF1DBC" w:rsidP="00EF1DBC">
            <w:pPr>
              <w:pStyle w:val="StyleWisnow"/>
              <w:rPr>
                <w:color w:val="000000" w:themeColor="text1"/>
              </w:rPr>
            </w:pPr>
          </w:p>
        </w:tc>
        <w:tc>
          <w:tcPr>
            <w:tcW w:w="4818" w:type="dxa"/>
          </w:tcPr>
          <w:p w14:paraId="299F67F1" w14:textId="2855B221" w:rsidR="00EF1DBC" w:rsidRPr="00286216" w:rsidRDefault="00EF1DBC" w:rsidP="00EF1DBC">
            <w:pPr>
              <w:pStyle w:val="StyleZakonu"/>
              <w:rPr>
                <w:color w:val="000000" w:themeColor="text1"/>
              </w:rPr>
            </w:pPr>
            <w:r w:rsidRPr="00286216">
              <w:rPr>
                <w:color w:val="000000" w:themeColor="text1"/>
              </w:rPr>
              <w:t>б) доповнити абзацом п’ятим такого змісту:</w:t>
            </w:r>
          </w:p>
        </w:tc>
      </w:tr>
      <w:tr w:rsidR="00EF1DBC" w:rsidRPr="00286216" w14:paraId="4AB3F4E7" w14:textId="77777777" w:rsidTr="00091AA5">
        <w:tc>
          <w:tcPr>
            <w:tcW w:w="576" w:type="dxa"/>
          </w:tcPr>
          <w:p w14:paraId="7355AF71" w14:textId="77777777" w:rsidR="00EF1DBC" w:rsidRPr="00286216" w:rsidRDefault="00EF1DBC" w:rsidP="00EF1DBC">
            <w:pPr>
              <w:pStyle w:val="StyleWisnow"/>
              <w:rPr>
                <w:color w:val="000000" w:themeColor="text1"/>
              </w:rPr>
            </w:pPr>
            <w:bookmarkStart w:id="2492" w:name="n2621" w:colFirst="0" w:colLast="0"/>
            <w:bookmarkEnd w:id="2491"/>
            <w:r w:rsidRPr="00286216">
              <w:rPr>
                <w:color w:val="000000" w:themeColor="text1"/>
              </w:rPr>
              <w:t>2621.</w:t>
            </w:r>
          </w:p>
        </w:tc>
        <w:tc>
          <w:tcPr>
            <w:tcW w:w="4818" w:type="dxa"/>
          </w:tcPr>
          <w:p w14:paraId="393878BD" w14:textId="77777777" w:rsidR="00EF1DBC" w:rsidRPr="00286216" w:rsidRDefault="00EF1DBC" w:rsidP="00EF1DBC">
            <w:pPr>
              <w:pStyle w:val="StyleZakonu"/>
              <w:rPr>
                <w:color w:val="000000" w:themeColor="text1"/>
              </w:rPr>
            </w:pPr>
            <w:r w:rsidRPr="00286216">
              <w:rPr>
                <w:color w:val="000000" w:themeColor="text1"/>
              </w:rPr>
              <w:t>"Термін "фінансові інструменти" вживається у цьому Кодексі у значенні, наведеному у Законі України "Про ринки капіталу та організовані товарні ринки"";</w:t>
            </w:r>
          </w:p>
        </w:tc>
        <w:tc>
          <w:tcPr>
            <w:tcW w:w="3686" w:type="dxa"/>
          </w:tcPr>
          <w:p w14:paraId="467CB9B6" w14:textId="77777777" w:rsidR="00EF1DBC" w:rsidRPr="00286216" w:rsidRDefault="00EF1DBC" w:rsidP="00EF1DBC">
            <w:pPr>
              <w:pStyle w:val="StyleProp"/>
              <w:rPr>
                <w:color w:val="000000" w:themeColor="text1"/>
                <w:szCs w:val="18"/>
              </w:rPr>
            </w:pPr>
          </w:p>
        </w:tc>
        <w:tc>
          <w:tcPr>
            <w:tcW w:w="1987" w:type="dxa"/>
          </w:tcPr>
          <w:p w14:paraId="39ED46CC" w14:textId="77777777" w:rsidR="00EF1DBC" w:rsidRPr="00286216" w:rsidRDefault="00EF1DBC" w:rsidP="00EF1DBC">
            <w:pPr>
              <w:pStyle w:val="StyleWisnow"/>
              <w:rPr>
                <w:color w:val="000000" w:themeColor="text1"/>
              </w:rPr>
            </w:pPr>
          </w:p>
        </w:tc>
        <w:tc>
          <w:tcPr>
            <w:tcW w:w="4818" w:type="dxa"/>
          </w:tcPr>
          <w:p w14:paraId="5EC1C51E" w14:textId="4D8FF034" w:rsidR="00EF1DBC" w:rsidRPr="00286216" w:rsidRDefault="00EF1DBC" w:rsidP="00EF1DBC">
            <w:pPr>
              <w:pStyle w:val="StyleZakonu"/>
              <w:rPr>
                <w:color w:val="000000" w:themeColor="text1"/>
              </w:rPr>
            </w:pPr>
            <w:r w:rsidRPr="00286216">
              <w:rPr>
                <w:color w:val="000000" w:themeColor="text1"/>
              </w:rPr>
              <w:t>"Термін "фінансові інструменти" вживається у цьому Кодексі у значенні, наведеному в Законі України "Про ринки капіталу та організовані товарні ринки";</w:t>
            </w:r>
          </w:p>
        </w:tc>
      </w:tr>
      <w:tr w:rsidR="00EF1DBC" w:rsidRPr="00286216" w14:paraId="5A2BE31F" w14:textId="77777777" w:rsidTr="00091AA5">
        <w:tc>
          <w:tcPr>
            <w:tcW w:w="576" w:type="dxa"/>
          </w:tcPr>
          <w:p w14:paraId="74C7160F" w14:textId="77777777" w:rsidR="00EF1DBC" w:rsidRPr="00286216" w:rsidRDefault="00EF1DBC" w:rsidP="00EF1DBC">
            <w:pPr>
              <w:pStyle w:val="StyleWisnow"/>
              <w:rPr>
                <w:color w:val="000000" w:themeColor="text1"/>
              </w:rPr>
            </w:pPr>
            <w:bookmarkStart w:id="2493" w:name="n2622" w:colFirst="0" w:colLast="0"/>
            <w:bookmarkEnd w:id="2492"/>
            <w:r w:rsidRPr="00286216">
              <w:rPr>
                <w:color w:val="000000" w:themeColor="text1"/>
              </w:rPr>
              <w:t>2622.</w:t>
            </w:r>
          </w:p>
        </w:tc>
        <w:tc>
          <w:tcPr>
            <w:tcW w:w="4818" w:type="dxa"/>
          </w:tcPr>
          <w:p w14:paraId="14A63CFB" w14:textId="77777777" w:rsidR="00EF1DBC" w:rsidRPr="00286216" w:rsidRDefault="00EF1DBC" w:rsidP="00EF1DBC">
            <w:pPr>
              <w:pStyle w:val="StyleZakonu"/>
              <w:rPr>
                <w:color w:val="000000" w:themeColor="text1"/>
              </w:rPr>
            </w:pPr>
            <w:r w:rsidRPr="00286216">
              <w:rPr>
                <w:color w:val="000000" w:themeColor="text1"/>
              </w:rPr>
              <w:t>5) у статті 30:</w:t>
            </w:r>
          </w:p>
        </w:tc>
        <w:tc>
          <w:tcPr>
            <w:tcW w:w="3686" w:type="dxa"/>
          </w:tcPr>
          <w:p w14:paraId="487E22A7" w14:textId="77777777" w:rsidR="00EF1DBC" w:rsidRPr="00286216" w:rsidRDefault="00EF1DBC" w:rsidP="00EF1DBC">
            <w:pPr>
              <w:pStyle w:val="StyleProp"/>
              <w:rPr>
                <w:color w:val="000000" w:themeColor="text1"/>
                <w:szCs w:val="18"/>
              </w:rPr>
            </w:pPr>
          </w:p>
        </w:tc>
        <w:tc>
          <w:tcPr>
            <w:tcW w:w="1987" w:type="dxa"/>
          </w:tcPr>
          <w:p w14:paraId="2A0446B9" w14:textId="77777777" w:rsidR="00EF1DBC" w:rsidRPr="00286216" w:rsidRDefault="00EF1DBC" w:rsidP="00EF1DBC">
            <w:pPr>
              <w:pStyle w:val="StyleWisnow"/>
              <w:rPr>
                <w:color w:val="000000" w:themeColor="text1"/>
              </w:rPr>
            </w:pPr>
          </w:p>
        </w:tc>
        <w:tc>
          <w:tcPr>
            <w:tcW w:w="4818" w:type="dxa"/>
          </w:tcPr>
          <w:p w14:paraId="0119E9D3" w14:textId="3BD22001" w:rsidR="00EF1DBC" w:rsidRPr="00286216" w:rsidRDefault="00EF1DBC" w:rsidP="00EF1DBC">
            <w:pPr>
              <w:pStyle w:val="StyleZakonu"/>
              <w:rPr>
                <w:color w:val="000000" w:themeColor="text1"/>
              </w:rPr>
            </w:pPr>
            <w:r w:rsidRPr="00286216">
              <w:rPr>
                <w:color w:val="000000" w:themeColor="text1"/>
              </w:rPr>
              <w:t>5) у статті 30:</w:t>
            </w:r>
          </w:p>
        </w:tc>
      </w:tr>
      <w:tr w:rsidR="00EF1DBC" w:rsidRPr="00286216" w14:paraId="7A8A48AE" w14:textId="77777777" w:rsidTr="00091AA5">
        <w:tc>
          <w:tcPr>
            <w:tcW w:w="576" w:type="dxa"/>
          </w:tcPr>
          <w:p w14:paraId="60B50131" w14:textId="77777777" w:rsidR="00EF1DBC" w:rsidRPr="00286216" w:rsidRDefault="00EF1DBC" w:rsidP="00EF1DBC">
            <w:pPr>
              <w:pStyle w:val="StyleWisnow"/>
              <w:rPr>
                <w:color w:val="000000" w:themeColor="text1"/>
              </w:rPr>
            </w:pPr>
            <w:bookmarkStart w:id="2494" w:name="n2623" w:colFirst="0" w:colLast="0"/>
            <w:bookmarkEnd w:id="2493"/>
            <w:r w:rsidRPr="00286216">
              <w:rPr>
                <w:color w:val="000000" w:themeColor="text1"/>
              </w:rPr>
              <w:t>2623.</w:t>
            </w:r>
          </w:p>
        </w:tc>
        <w:tc>
          <w:tcPr>
            <w:tcW w:w="4818" w:type="dxa"/>
          </w:tcPr>
          <w:p w14:paraId="1AFB8D72" w14:textId="77777777" w:rsidR="00EF1DBC" w:rsidRPr="00286216" w:rsidRDefault="00EF1DBC" w:rsidP="00EF1DBC">
            <w:pPr>
              <w:pStyle w:val="StyleZakonu"/>
              <w:rPr>
                <w:color w:val="000000" w:themeColor="text1"/>
              </w:rPr>
            </w:pPr>
            <w:r w:rsidRPr="00286216">
              <w:rPr>
                <w:color w:val="000000" w:themeColor="text1"/>
              </w:rPr>
              <w:t>а) частину восьму викласти в такій редакції:</w:t>
            </w:r>
          </w:p>
        </w:tc>
        <w:tc>
          <w:tcPr>
            <w:tcW w:w="3686" w:type="dxa"/>
          </w:tcPr>
          <w:p w14:paraId="3F6DFD52" w14:textId="77777777" w:rsidR="00EF1DBC" w:rsidRPr="00286216" w:rsidRDefault="00EF1DBC" w:rsidP="00EF1DBC">
            <w:pPr>
              <w:pStyle w:val="StyleProp"/>
              <w:rPr>
                <w:color w:val="000000" w:themeColor="text1"/>
                <w:szCs w:val="18"/>
              </w:rPr>
            </w:pPr>
          </w:p>
        </w:tc>
        <w:tc>
          <w:tcPr>
            <w:tcW w:w="1987" w:type="dxa"/>
          </w:tcPr>
          <w:p w14:paraId="799C0163" w14:textId="77777777" w:rsidR="00EF1DBC" w:rsidRPr="00286216" w:rsidRDefault="00EF1DBC" w:rsidP="00EF1DBC">
            <w:pPr>
              <w:pStyle w:val="StyleWisnow"/>
              <w:rPr>
                <w:color w:val="000000" w:themeColor="text1"/>
              </w:rPr>
            </w:pPr>
          </w:p>
        </w:tc>
        <w:tc>
          <w:tcPr>
            <w:tcW w:w="4818" w:type="dxa"/>
          </w:tcPr>
          <w:p w14:paraId="70EE218E" w14:textId="5457D45C" w:rsidR="00EF1DBC" w:rsidRPr="00286216" w:rsidRDefault="00EF1DBC" w:rsidP="00EF1DBC">
            <w:pPr>
              <w:pStyle w:val="StyleZakonu"/>
              <w:rPr>
                <w:color w:val="000000" w:themeColor="text1"/>
              </w:rPr>
            </w:pPr>
            <w:r w:rsidRPr="00286216">
              <w:rPr>
                <w:color w:val="000000" w:themeColor="text1"/>
              </w:rPr>
              <w:t>а) частину восьму викласти в такій редакції:</w:t>
            </w:r>
          </w:p>
        </w:tc>
      </w:tr>
      <w:tr w:rsidR="00EF1DBC" w:rsidRPr="00286216" w14:paraId="542C4B0A" w14:textId="77777777" w:rsidTr="00091AA5">
        <w:tc>
          <w:tcPr>
            <w:tcW w:w="576" w:type="dxa"/>
          </w:tcPr>
          <w:p w14:paraId="26134468" w14:textId="77777777" w:rsidR="00EF1DBC" w:rsidRPr="00286216" w:rsidRDefault="00EF1DBC" w:rsidP="00EF1DBC">
            <w:pPr>
              <w:pStyle w:val="StyleWisnow"/>
              <w:rPr>
                <w:color w:val="000000" w:themeColor="text1"/>
              </w:rPr>
            </w:pPr>
            <w:bookmarkStart w:id="2495" w:name="n2624" w:colFirst="0" w:colLast="0"/>
            <w:bookmarkEnd w:id="2494"/>
            <w:r w:rsidRPr="00286216">
              <w:rPr>
                <w:color w:val="000000" w:themeColor="text1"/>
              </w:rPr>
              <w:t>2624.</w:t>
            </w:r>
          </w:p>
        </w:tc>
        <w:tc>
          <w:tcPr>
            <w:tcW w:w="4818" w:type="dxa"/>
          </w:tcPr>
          <w:p w14:paraId="4C3413BC" w14:textId="77777777" w:rsidR="00EF1DBC" w:rsidRPr="00286216" w:rsidRDefault="00EF1DBC" w:rsidP="00EF1DBC">
            <w:pPr>
              <w:pStyle w:val="StyleZakonu"/>
              <w:rPr>
                <w:color w:val="000000" w:themeColor="text1"/>
              </w:rPr>
            </w:pPr>
            <w:r w:rsidRPr="00286216">
              <w:rPr>
                <w:color w:val="000000" w:themeColor="text1"/>
              </w:rPr>
              <w:t>"8. Спори, пов’язані з емісією, обігом, викупом або погашенням емісійних цінних паперів, в тому числі похідних (деривативних) цінних паперів, розглядаються господарським судом за місцезнаходженням емітента.</w:t>
            </w:r>
          </w:p>
        </w:tc>
        <w:tc>
          <w:tcPr>
            <w:tcW w:w="3686" w:type="dxa"/>
          </w:tcPr>
          <w:p w14:paraId="04E5F7DB" w14:textId="10CEE70F"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1212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56236E6" w14:textId="77777777" w:rsidR="00EF1DBC" w:rsidRPr="00286216" w:rsidRDefault="00EF1DBC" w:rsidP="00EF1DBC">
            <w:pPr>
              <w:pStyle w:val="StyleProp"/>
              <w:rPr>
                <w:color w:val="000000" w:themeColor="text1"/>
                <w:szCs w:val="18"/>
              </w:rPr>
            </w:pPr>
            <w:r w:rsidRPr="00286216">
              <w:rPr>
                <w:color w:val="000000" w:themeColor="text1"/>
                <w:szCs w:val="18"/>
              </w:rPr>
              <w:t>В підпункті «а)» підпункту 5 пункту 2 розділу 3 Законопроекту, яким вносяться зміни до Господарського процесуального кодексу України в абзаці другому слова «похідних (деривативних)» замінити словами «деривативних»</w:t>
            </w:r>
          </w:p>
        </w:tc>
        <w:tc>
          <w:tcPr>
            <w:tcW w:w="1987" w:type="dxa"/>
          </w:tcPr>
          <w:p w14:paraId="23E0BAB9"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7F680247" w14:textId="2305574F" w:rsidR="00EF1DBC" w:rsidRPr="00286216" w:rsidRDefault="00EF1DBC" w:rsidP="00EF1DBC">
            <w:pPr>
              <w:pStyle w:val="StyleZakonu"/>
              <w:rPr>
                <w:color w:val="000000" w:themeColor="text1"/>
              </w:rPr>
            </w:pPr>
            <w:r w:rsidRPr="00286216">
              <w:rPr>
                <w:color w:val="000000" w:themeColor="text1"/>
              </w:rPr>
              <w:t>"8. Спори, пов’язані з емісією, обігом, викупом або погашенням емісійних цінних паперів, у тому числі деривативних цінних паперів, розглядаються господарським судом за місцезнаходженням емітента.</w:t>
            </w:r>
          </w:p>
        </w:tc>
      </w:tr>
      <w:tr w:rsidR="00EF1DBC" w:rsidRPr="00286216" w14:paraId="10C12F18" w14:textId="77777777" w:rsidTr="00091AA5">
        <w:tc>
          <w:tcPr>
            <w:tcW w:w="576" w:type="dxa"/>
          </w:tcPr>
          <w:p w14:paraId="4247922E" w14:textId="77777777" w:rsidR="00EF1DBC" w:rsidRPr="00286216" w:rsidRDefault="00EF1DBC" w:rsidP="00EF1DBC">
            <w:pPr>
              <w:pStyle w:val="StyleWisnow"/>
              <w:rPr>
                <w:color w:val="000000" w:themeColor="text1"/>
              </w:rPr>
            </w:pPr>
            <w:bookmarkStart w:id="2496" w:name="n2625" w:colFirst="0" w:colLast="0"/>
            <w:bookmarkEnd w:id="2495"/>
            <w:r w:rsidRPr="00286216">
              <w:rPr>
                <w:color w:val="000000" w:themeColor="text1"/>
              </w:rPr>
              <w:t>2625.</w:t>
            </w:r>
          </w:p>
        </w:tc>
        <w:tc>
          <w:tcPr>
            <w:tcW w:w="4818" w:type="dxa"/>
          </w:tcPr>
          <w:p w14:paraId="4EBFB67E" w14:textId="77777777" w:rsidR="00EF1DBC" w:rsidRPr="00286216" w:rsidRDefault="00EF1DBC" w:rsidP="00EF1DBC">
            <w:pPr>
              <w:pStyle w:val="StyleZakonu"/>
              <w:rPr>
                <w:color w:val="000000" w:themeColor="text1"/>
              </w:rPr>
            </w:pPr>
            <w:r w:rsidRPr="00286216">
              <w:rPr>
                <w:color w:val="000000" w:themeColor="text1"/>
              </w:rPr>
              <w:t>Термін "похідні (деривативні) цінні папери" вживається у цьому Кодексі у значенні, наведеному у Законі України "Про ринки капіталу та організовані товарні ринки".";</w:t>
            </w:r>
          </w:p>
        </w:tc>
        <w:tc>
          <w:tcPr>
            <w:tcW w:w="3686" w:type="dxa"/>
          </w:tcPr>
          <w:p w14:paraId="2BC8DA10" w14:textId="7612418A"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1213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3626CEE" w14:textId="77777777" w:rsidR="00EF1DBC" w:rsidRPr="00286216" w:rsidRDefault="00EF1DBC" w:rsidP="00EF1DBC">
            <w:pPr>
              <w:pStyle w:val="StyleProp"/>
              <w:rPr>
                <w:color w:val="000000" w:themeColor="text1"/>
                <w:szCs w:val="18"/>
              </w:rPr>
            </w:pPr>
            <w:r w:rsidRPr="00286216">
              <w:rPr>
                <w:color w:val="000000" w:themeColor="text1"/>
                <w:szCs w:val="18"/>
              </w:rPr>
              <w:t>В підпункті «а)» підпункту 5 пункту 2 розділу 3 Законопроекту, яким вносяться зміни до Господарського процесуального кодексу України в абзаці третьому слова «похідні (деривативні)» замінити словами «деривативні»</w:t>
            </w:r>
          </w:p>
        </w:tc>
        <w:tc>
          <w:tcPr>
            <w:tcW w:w="1987" w:type="dxa"/>
          </w:tcPr>
          <w:p w14:paraId="01F9CD7E"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674D04E2" w14:textId="73E85E5B" w:rsidR="00EF1DBC" w:rsidRPr="00286216" w:rsidRDefault="00EF1DBC" w:rsidP="00EF1DBC">
            <w:pPr>
              <w:pStyle w:val="StyleZakonu"/>
              <w:rPr>
                <w:color w:val="000000" w:themeColor="text1"/>
              </w:rPr>
            </w:pPr>
            <w:r w:rsidRPr="00286216">
              <w:rPr>
                <w:color w:val="000000" w:themeColor="text1"/>
              </w:rPr>
              <w:t>Термін "деривативні цінні папери" вживається у цьому Кодексі у значенні, наведеному в Законі України "Про ринки капіталу та організовані товарні ринки";</w:t>
            </w:r>
          </w:p>
        </w:tc>
      </w:tr>
      <w:tr w:rsidR="00EF1DBC" w:rsidRPr="00286216" w14:paraId="26A2E58C" w14:textId="77777777" w:rsidTr="00091AA5">
        <w:tc>
          <w:tcPr>
            <w:tcW w:w="576" w:type="dxa"/>
          </w:tcPr>
          <w:p w14:paraId="5E385FCB" w14:textId="77777777" w:rsidR="00EF1DBC" w:rsidRPr="00286216" w:rsidRDefault="00EF1DBC" w:rsidP="00EF1DBC">
            <w:pPr>
              <w:pStyle w:val="StyleWisnow"/>
              <w:rPr>
                <w:color w:val="000000" w:themeColor="text1"/>
              </w:rPr>
            </w:pPr>
            <w:bookmarkStart w:id="2497" w:name="n2626" w:colFirst="0" w:colLast="0"/>
            <w:bookmarkEnd w:id="2496"/>
            <w:r w:rsidRPr="00286216">
              <w:rPr>
                <w:color w:val="000000" w:themeColor="text1"/>
              </w:rPr>
              <w:t>2626.</w:t>
            </w:r>
          </w:p>
        </w:tc>
        <w:tc>
          <w:tcPr>
            <w:tcW w:w="4818" w:type="dxa"/>
          </w:tcPr>
          <w:p w14:paraId="33BFD1CD" w14:textId="77777777" w:rsidR="00EF1DBC" w:rsidRPr="00286216" w:rsidRDefault="00EF1DBC" w:rsidP="00EF1DBC">
            <w:pPr>
              <w:pStyle w:val="StyleZakonu"/>
              <w:rPr>
                <w:color w:val="000000" w:themeColor="text1"/>
              </w:rPr>
            </w:pPr>
            <w:r w:rsidRPr="00286216">
              <w:rPr>
                <w:color w:val="000000" w:themeColor="text1"/>
              </w:rPr>
              <w:t>б) після частини восьмої доповнити статтю чотирма новими частинами такого змісту:</w:t>
            </w:r>
          </w:p>
        </w:tc>
        <w:tc>
          <w:tcPr>
            <w:tcW w:w="3686" w:type="dxa"/>
          </w:tcPr>
          <w:p w14:paraId="60E08441" w14:textId="77777777" w:rsidR="00EF1DBC" w:rsidRPr="00286216" w:rsidRDefault="00EF1DBC" w:rsidP="00EF1DBC">
            <w:pPr>
              <w:pStyle w:val="StyleProp"/>
              <w:rPr>
                <w:color w:val="000000" w:themeColor="text1"/>
                <w:szCs w:val="18"/>
              </w:rPr>
            </w:pPr>
          </w:p>
        </w:tc>
        <w:tc>
          <w:tcPr>
            <w:tcW w:w="1987" w:type="dxa"/>
          </w:tcPr>
          <w:p w14:paraId="203EA933" w14:textId="77777777" w:rsidR="00EF1DBC" w:rsidRPr="00286216" w:rsidRDefault="00EF1DBC" w:rsidP="00EF1DBC">
            <w:pPr>
              <w:pStyle w:val="StyleWisnow"/>
              <w:rPr>
                <w:color w:val="000000" w:themeColor="text1"/>
              </w:rPr>
            </w:pPr>
          </w:p>
        </w:tc>
        <w:tc>
          <w:tcPr>
            <w:tcW w:w="4818" w:type="dxa"/>
          </w:tcPr>
          <w:p w14:paraId="1EEDDF79" w14:textId="19F313E6" w:rsidR="00EF1DBC" w:rsidRPr="00286216" w:rsidRDefault="00EF1DBC" w:rsidP="00EF1DBC">
            <w:pPr>
              <w:pStyle w:val="StyleZakonu"/>
              <w:rPr>
                <w:color w:val="000000" w:themeColor="text1"/>
              </w:rPr>
            </w:pPr>
            <w:r w:rsidRPr="00286216">
              <w:rPr>
                <w:color w:val="000000" w:themeColor="text1"/>
              </w:rPr>
              <w:t>б) після частини восьмої доповнити чотирма новими частинами такого змісту:</w:t>
            </w:r>
          </w:p>
        </w:tc>
      </w:tr>
      <w:tr w:rsidR="00EF1DBC" w:rsidRPr="00286216" w14:paraId="38B52002" w14:textId="77777777" w:rsidTr="00091AA5">
        <w:tc>
          <w:tcPr>
            <w:tcW w:w="576" w:type="dxa"/>
          </w:tcPr>
          <w:p w14:paraId="524CF55D" w14:textId="77777777" w:rsidR="00EF1DBC" w:rsidRPr="00286216" w:rsidRDefault="00EF1DBC" w:rsidP="00EF1DBC">
            <w:pPr>
              <w:pStyle w:val="StyleWisnow"/>
              <w:rPr>
                <w:color w:val="000000" w:themeColor="text1"/>
              </w:rPr>
            </w:pPr>
            <w:bookmarkStart w:id="2498" w:name="n2627" w:colFirst="0" w:colLast="0"/>
            <w:bookmarkEnd w:id="2497"/>
            <w:r w:rsidRPr="00286216">
              <w:rPr>
                <w:color w:val="000000" w:themeColor="text1"/>
              </w:rPr>
              <w:t>2627.</w:t>
            </w:r>
          </w:p>
        </w:tc>
        <w:tc>
          <w:tcPr>
            <w:tcW w:w="4818" w:type="dxa"/>
          </w:tcPr>
          <w:p w14:paraId="6D6DD1E4" w14:textId="77777777" w:rsidR="00EF1DBC" w:rsidRPr="00286216" w:rsidRDefault="00EF1DBC" w:rsidP="00EF1DBC">
            <w:pPr>
              <w:pStyle w:val="StyleZakonu"/>
              <w:rPr>
                <w:color w:val="000000" w:themeColor="text1"/>
              </w:rPr>
            </w:pPr>
            <w:r w:rsidRPr="00286216">
              <w:rPr>
                <w:color w:val="000000" w:themeColor="text1"/>
              </w:rPr>
              <w:t>"9. Спори, пов’язані з видачею, обігом, викупом або погашенням неемісійних цінних паперів, розглядаються господарським судом за місцезнаходженням особи, яка видала неемісійний цінний папір.</w:t>
            </w:r>
          </w:p>
        </w:tc>
        <w:tc>
          <w:tcPr>
            <w:tcW w:w="3686" w:type="dxa"/>
          </w:tcPr>
          <w:p w14:paraId="291A0141" w14:textId="77777777" w:rsidR="00EF1DBC" w:rsidRPr="00286216" w:rsidRDefault="00EF1DBC" w:rsidP="00EF1DBC">
            <w:pPr>
              <w:pStyle w:val="StyleProp"/>
              <w:rPr>
                <w:color w:val="000000" w:themeColor="text1"/>
                <w:szCs w:val="18"/>
              </w:rPr>
            </w:pPr>
          </w:p>
        </w:tc>
        <w:tc>
          <w:tcPr>
            <w:tcW w:w="1987" w:type="dxa"/>
          </w:tcPr>
          <w:p w14:paraId="65AEE3F7" w14:textId="77777777" w:rsidR="00EF1DBC" w:rsidRPr="00286216" w:rsidRDefault="00EF1DBC" w:rsidP="00EF1DBC">
            <w:pPr>
              <w:pStyle w:val="StyleWisnow"/>
              <w:rPr>
                <w:color w:val="000000" w:themeColor="text1"/>
              </w:rPr>
            </w:pPr>
          </w:p>
        </w:tc>
        <w:tc>
          <w:tcPr>
            <w:tcW w:w="4818" w:type="dxa"/>
          </w:tcPr>
          <w:p w14:paraId="016C7445" w14:textId="7EACE07A" w:rsidR="00EF1DBC" w:rsidRPr="00286216" w:rsidRDefault="00EF1DBC" w:rsidP="00EF1DBC">
            <w:pPr>
              <w:pStyle w:val="StyleZakonu"/>
              <w:rPr>
                <w:color w:val="000000" w:themeColor="text1"/>
              </w:rPr>
            </w:pPr>
            <w:r w:rsidRPr="00286216">
              <w:rPr>
                <w:color w:val="000000" w:themeColor="text1"/>
              </w:rPr>
              <w:t>"9. Спори, пов’язані з видачею, обігом, викупом або погашенням неемісійних цінних паперів, розглядаються господарським судом за місцезнаходженням особи, яка видала неемісійний цінний папір.</w:t>
            </w:r>
          </w:p>
        </w:tc>
      </w:tr>
      <w:tr w:rsidR="00EF1DBC" w:rsidRPr="00286216" w14:paraId="734E181F" w14:textId="77777777" w:rsidTr="00091AA5">
        <w:tc>
          <w:tcPr>
            <w:tcW w:w="576" w:type="dxa"/>
          </w:tcPr>
          <w:p w14:paraId="1799B543" w14:textId="77777777" w:rsidR="00EF1DBC" w:rsidRPr="00286216" w:rsidRDefault="00EF1DBC" w:rsidP="00EF1DBC">
            <w:pPr>
              <w:pStyle w:val="StyleWisnow"/>
              <w:rPr>
                <w:color w:val="000000" w:themeColor="text1"/>
              </w:rPr>
            </w:pPr>
            <w:bookmarkStart w:id="2499" w:name="n2628" w:colFirst="0" w:colLast="0"/>
            <w:bookmarkEnd w:id="2498"/>
            <w:r w:rsidRPr="00286216">
              <w:rPr>
                <w:color w:val="000000" w:themeColor="text1"/>
              </w:rPr>
              <w:t>2628.</w:t>
            </w:r>
          </w:p>
        </w:tc>
        <w:tc>
          <w:tcPr>
            <w:tcW w:w="4818" w:type="dxa"/>
          </w:tcPr>
          <w:p w14:paraId="7ECB83AF" w14:textId="77777777" w:rsidR="00EF1DBC" w:rsidRPr="00286216" w:rsidRDefault="00EF1DBC" w:rsidP="00EF1DBC">
            <w:pPr>
              <w:pStyle w:val="StyleZakonu"/>
              <w:rPr>
                <w:color w:val="000000" w:themeColor="text1"/>
              </w:rPr>
            </w:pPr>
            <w:r w:rsidRPr="00286216">
              <w:rPr>
                <w:color w:val="000000" w:themeColor="text1"/>
              </w:rPr>
              <w:t>10. Спори, пов’язані з укладенням або виконанням деривативних контрактів, розглядаються господарським судом за місцезнаходженням відповідача.</w:t>
            </w:r>
          </w:p>
        </w:tc>
        <w:tc>
          <w:tcPr>
            <w:tcW w:w="3686" w:type="dxa"/>
          </w:tcPr>
          <w:p w14:paraId="1556A506" w14:textId="21D28722" w:rsidR="00EF1DBC" w:rsidRPr="00286216" w:rsidRDefault="00EF1DBC" w:rsidP="00EF1DBC">
            <w:pPr>
              <w:pStyle w:val="StyleAwt"/>
              <w:rPr>
                <w:color w:val="000000" w:themeColor="text1"/>
                <w:szCs w:val="18"/>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1214</w:t>
            </w:r>
            <w:r w:rsidRPr="00286216">
              <w:rPr>
                <w:color w:val="000000" w:themeColor="text1"/>
              </w:rPr>
              <w:fldChar w:fldCharType="end"/>
            </w:r>
            <w:r w:rsidRPr="00286216">
              <w:rPr>
                <w:color w:val="000000" w:themeColor="text1"/>
              </w:rPr>
              <w:t xml:space="preserve">-Народні депутати України – члени </w:t>
            </w:r>
            <w:r w:rsidRPr="00286216">
              <w:rPr>
                <w:color w:val="000000" w:themeColor="text1"/>
                <w:spacing w:val="-2"/>
              </w:rPr>
              <w:t>Комітету з питань фінансів, податкової та митної політики Гетманцев Д.О. та інші</w:t>
            </w:r>
          </w:p>
          <w:p w14:paraId="530B4EF0" w14:textId="77777777" w:rsidR="00EF1DBC" w:rsidRPr="00286216" w:rsidRDefault="00EF1DBC" w:rsidP="00EF1DBC">
            <w:pPr>
              <w:pStyle w:val="StyleProp"/>
              <w:rPr>
                <w:color w:val="000000" w:themeColor="text1"/>
                <w:szCs w:val="18"/>
              </w:rPr>
            </w:pPr>
            <w:r w:rsidRPr="00286216">
              <w:rPr>
                <w:color w:val="000000" w:themeColor="text1"/>
                <w:szCs w:val="18"/>
              </w:rPr>
              <w:t>Абзац третій підпункту «б» підпункту 5 пункту 2 розділу 3 викласти в такій редакції:</w:t>
            </w:r>
          </w:p>
          <w:p w14:paraId="73E03ABB" w14:textId="77777777" w:rsidR="00EF1DBC" w:rsidRPr="00286216" w:rsidRDefault="00EF1DBC" w:rsidP="00EF1DBC">
            <w:pPr>
              <w:pStyle w:val="StyleProp"/>
              <w:rPr>
                <w:color w:val="000000" w:themeColor="text1"/>
                <w:szCs w:val="18"/>
              </w:rPr>
            </w:pPr>
            <w:r w:rsidRPr="00286216">
              <w:rPr>
                <w:color w:val="000000" w:themeColor="text1"/>
                <w:szCs w:val="18"/>
              </w:rPr>
              <w:t xml:space="preserve">«10. Спори, пов’язані з укладенням або </w:t>
            </w:r>
            <w:r w:rsidRPr="00286216">
              <w:rPr>
                <w:color w:val="000000" w:themeColor="text1"/>
                <w:szCs w:val="18"/>
              </w:rPr>
              <w:lastRenderedPageBreak/>
              <w:t>виконанням деривативних контрактів, або договорів про купівлю-продаж права вимоги чи інших договорів, наслідками яких є заміна сторони деривативного контракту, розглядаються господарським судом за місцезнаходженням відповідача».</w:t>
            </w:r>
          </w:p>
        </w:tc>
        <w:tc>
          <w:tcPr>
            <w:tcW w:w="1987" w:type="dxa"/>
          </w:tcPr>
          <w:p w14:paraId="33EE8839" w14:textId="1F5757F0" w:rsidR="00EF1DBC" w:rsidRPr="00286216" w:rsidRDefault="00EF1DBC" w:rsidP="00EF1DBC">
            <w:pPr>
              <w:pStyle w:val="StyleWisnow"/>
              <w:rPr>
                <w:color w:val="000000" w:themeColor="text1"/>
              </w:rPr>
            </w:pPr>
            <w:r w:rsidRPr="00286216">
              <w:rPr>
                <w:color w:val="000000" w:themeColor="text1"/>
              </w:rPr>
              <w:lastRenderedPageBreak/>
              <w:t>Враховано</w:t>
            </w:r>
          </w:p>
        </w:tc>
        <w:tc>
          <w:tcPr>
            <w:tcW w:w="4818" w:type="dxa"/>
          </w:tcPr>
          <w:p w14:paraId="60ECB0F9" w14:textId="52E4FC02" w:rsidR="00EF1DBC" w:rsidRPr="00286216" w:rsidRDefault="00EF1DBC" w:rsidP="00EF1DBC">
            <w:pPr>
              <w:pStyle w:val="StyleZakonu"/>
              <w:rPr>
                <w:color w:val="000000" w:themeColor="text1"/>
              </w:rPr>
            </w:pPr>
            <w:r w:rsidRPr="00286216">
              <w:rPr>
                <w:color w:val="000000" w:themeColor="text1"/>
                <w:szCs w:val="18"/>
              </w:rPr>
              <w:t xml:space="preserve">10. Спори, пов’язані з укладенням або виконанням деривативних контрактів або договорів про купівлю-продаж права вимоги чи інших договорів, наслідками яких є заміна сторони деривативного контракту, розглядаються господарським судом за </w:t>
            </w:r>
            <w:r w:rsidRPr="00286216">
              <w:rPr>
                <w:color w:val="000000" w:themeColor="text1"/>
                <w:szCs w:val="18"/>
              </w:rPr>
              <w:lastRenderedPageBreak/>
              <w:t>місцезнаходженням відповідача.</w:t>
            </w:r>
          </w:p>
        </w:tc>
      </w:tr>
      <w:tr w:rsidR="00EF1DBC" w:rsidRPr="00286216" w14:paraId="32974C81" w14:textId="77777777" w:rsidTr="00091AA5">
        <w:tc>
          <w:tcPr>
            <w:tcW w:w="576" w:type="dxa"/>
          </w:tcPr>
          <w:p w14:paraId="16004B09" w14:textId="77777777" w:rsidR="00EF1DBC" w:rsidRPr="00286216" w:rsidRDefault="00EF1DBC" w:rsidP="00EF1DBC">
            <w:pPr>
              <w:pStyle w:val="StyleWisnow"/>
              <w:rPr>
                <w:color w:val="000000" w:themeColor="text1"/>
              </w:rPr>
            </w:pPr>
            <w:bookmarkStart w:id="2500" w:name="n2629" w:colFirst="0" w:colLast="0"/>
            <w:bookmarkEnd w:id="2499"/>
            <w:r w:rsidRPr="00286216">
              <w:rPr>
                <w:color w:val="000000" w:themeColor="text1"/>
              </w:rPr>
              <w:lastRenderedPageBreak/>
              <w:t>2629.</w:t>
            </w:r>
          </w:p>
        </w:tc>
        <w:tc>
          <w:tcPr>
            <w:tcW w:w="4818" w:type="dxa"/>
          </w:tcPr>
          <w:p w14:paraId="244B4FCB" w14:textId="77777777" w:rsidR="00EF1DBC" w:rsidRPr="00286216" w:rsidRDefault="00EF1DBC" w:rsidP="00EF1DBC">
            <w:pPr>
              <w:pStyle w:val="StyleZakonu"/>
              <w:rPr>
                <w:color w:val="000000" w:themeColor="text1"/>
              </w:rPr>
            </w:pPr>
            <w:r w:rsidRPr="00286216">
              <w:rPr>
                <w:color w:val="000000" w:themeColor="text1"/>
              </w:rPr>
              <w:t>11. Спори, пов’язані з емісією (видачею), обігом, виконанням (викупом або погашенням) інструментів грошового ринку розглядаються господарським судом за місцезнаходженням відповідача.</w:t>
            </w:r>
          </w:p>
        </w:tc>
        <w:tc>
          <w:tcPr>
            <w:tcW w:w="3686" w:type="dxa"/>
          </w:tcPr>
          <w:p w14:paraId="7840E912" w14:textId="77777777" w:rsidR="00EF1DBC" w:rsidRPr="00286216" w:rsidRDefault="00EF1DBC" w:rsidP="00EF1DBC">
            <w:pPr>
              <w:pStyle w:val="StyleProp"/>
              <w:rPr>
                <w:color w:val="000000" w:themeColor="text1"/>
                <w:szCs w:val="18"/>
              </w:rPr>
            </w:pPr>
          </w:p>
        </w:tc>
        <w:tc>
          <w:tcPr>
            <w:tcW w:w="1987" w:type="dxa"/>
          </w:tcPr>
          <w:p w14:paraId="6D3A5EEF" w14:textId="77777777" w:rsidR="00EF1DBC" w:rsidRPr="00286216" w:rsidRDefault="00EF1DBC" w:rsidP="00EF1DBC">
            <w:pPr>
              <w:pStyle w:val="StyleWisnow"/>
              <w:rPr>
                <w:color w:val="000000" w:themeColor="text1"/>
              </w:rPr>
            </w:pPr>
          </w:p>
        </w:tc>
        <w:tc>
          <w:tcPr>
            <w:tcW w:w="4818" w:type="dxa"/>
          </w:tcPr>
          <w:p w14:paraId="7358D95A" w14:textId="0A54D6FF" w:rsidR="00EF1DBC" w:rsidRPr="00286216" w:rsidRDefault="00EF1DBC" w:rsidP="00EF1DBC">
            <w:pPr>
              <w:pStyle w:val="StyleZakonu"/>
              <w:rPr>
                <w:color w:val="000000" w:themeColor="text1"/>
              </w:rPr>
            </w:pPr>
            <w:r w:rsidRPr="00286216">
              <w:rPr>
                <w:color w:val="000000" w:themeColor="text1"/>
              </w:rPr>
              <w:t>11. Спори, пов’язані з емісією (видачею), обігом, виконанням (викупом або погашенням) інструментів грошового ринку, розглядаються господарським судом за місцезнаходженням відповідача.</w:t>
            </w:r>
          </w:p>
        </w:tc>
      </w:tr>
      <w:tr w:rsidR="00EF1DBC" w:rsidRPr="00286216" w14:paraId="14CBBFE7" w14:textId="77777777" w:rsidTr="00091AA5">
        <w:tc>
          <w:tcPr>
            <w:tcW w:w="576" w:type="dxa"/>
          </w:tcPr>
          <w:p w14:paraId="715EBF9C" w14:textId="77777777" w:rsidR="00EF1DBC" w:rsidRPr="00286216" w:rsidRDefault="00EF1DBC" w:rsidP="00EF1DBC">
            <w:pPr>
              <w:pStyle w:val="StyleWisnow"/>
              <w:rPr>
                <w:color w:val="000000" w:themeColor="text1"/>
              </w:rPr>
            </w:pPr>
            <w:bookmarkStart w:id="2501" w:name="n2630" w:colFirst="0" w:colLast="0"/>
            <w:bookmarkEnd w:id="2500"/>
            <w:r w:rsidRPr="00286216">
              <w:rPr>
                <w:color w:val="000000" w:themeColor="text1"/>
              </w:rPr>
              <w:t>2630.</w:t>
            </w:r>
          </w:p>
        </w:tc>
        <w:tc>
          <w:tcPr>
            <w:tcW w:w="4818" w:type="dxa"/>
          </w:tcPr>
          <w:p w14:paraId="5AE9C034" w14:textId="77777777" w:rsidR="00EF1DBC" w:rsidRPr="00286216" w:rsidRDefault="00EF1DBC" w:rsidP="00EF1DBC">
            <w:pPr>
              <w:pStyle w:val="StyleZakonu"/>
              <w:rPr>
                <w:color w:val="000000" w:themeColor="text1"/>
              </w:rPr>
            </w:pPr>
            <w:r w:rsidRPr="00286216">
              <w:rPr>
                <w:color w:val="000000" w:themeColor="text1"/>
              </w:rPr>
              <w:t>12. Спори щодо захисту порушених, невизнаних або оспорюваних прав та законних інтересів власників облігацій, що виникають між адміністратором за випуском облігацій та емітентом облігацій та/або особами, які надають забезпечення за такими облігаціями розглядаються господарським судом за місцезнаходженням відповідача.".</w:t>
            </w:r>
          </w:p>
        </w:tc>
        <w:tc>
          <w:tcPr>
            <w:tcW w:w="3686" w:type="dxa"/>
          </w:tcPr>
          <w:p w14:paraId="547F6088" w14:textId="77777777" w:rsidR="00EF1DBC" w:rsidRPr="00286216" w:rsidRDefault="00EF1DBC" w:rsidP="00EF1DBC">
            <w:pPr>
              <w:pStyle w:val="StyleProp"/>
              <w:rPr>
                <w:color w:val="000000" w:themeColor="text1"/>
                <w:szCs w:val="18"/>
              </w:rPr>
            </w:pPr>
          </w:p>
        </w:tc>
        <w:tc>
          <w:tcPr>
            <w:tcW w:w="1987" w:type="dxa"/>
          </w:tcPr>
          <w:p w14:paraId="35A732D9" w14:textId="77777777" w:rsidR="00EF1DBC" w:rsidRPr="00286216" w:rsidRDefault="00EF1DBC" w:rsidP="00EF1DBC">
            <w:pPr>
              <w:pStyle w:val="StyleWisnow"/>
              <w:rPr>
                <w:color w:val="000000" w:themeColor="text1"/>
              </w:rPr>
            </w:pPr>
          </w:p>
        </w:tc>
        <w:tc>
          <w:tcPr>
            <w:tcW w:w="4818" w:type="dxa"/>
          </w:tcPr>
          <w:p w14:paraId="6A5688D2" w14:textId="76EB6F6A" w:rsidR="00EF1DBC" w:rsidRPr="00286216" w:rsidRDefault="00EF1DBC" w:rsidP="00EF1DBC">
            <w:pPr>
              <w:pStyle w:val="StyleZakonu"/>
              <w:rPr>
                <w:color w:val="000000" w:themeColor="text1"/>
              </w:rPr>
            </w:pPr>
            <w:r w:rsidRPr="00286216">
              <w:rPr>
                <w:color w:val="000000" w:themeColor="text1"/>
              </w:rPr>
              <w:t>12. Спори щодо захисту порушених, невизнаних або оспорюваних прав та законних інтересів власників облігацій, що виникають між адміністратором за випуском облігацій та емітентом облігацій та/або особами, які надають забезпечення за такими облігаціями розглядаються господарським судом за місцезнаходженням відповідача".</w:t>
            </w:r>
          </w:p>
        </w:tc>
      </w:tr>
      <w:tr w:rsidR="00EF1DBC" w:rsidRPr="00286216" w14:paraId="3F55D170" w14:textId="77777777" w:rsidTr="00091AA5">
        <w:tc>
          <w:tcPr>
            <w:tcW w:w="576" w:type="dxa"/>
          </w:tcPr>
          <w:p w14:paraId="678DABB3" w14:textId="77777777" w:rsidR="00EF1DBC" w:rsidRPr="00286216" w:rsidRDefault="00EF1DBC" w:rsidP="00EF1DBC">
            <w:pPr>
              <w:pStyle w:val="StyleWisnow"/>
              <w:rPr>
                <w:color w:val="000000" w:themeColor="text1"/>
              </w:rPr>
            </w:pPr>
            <w:bookmarkStart w:id="2502" w:name="n2631" w:colFirst="0" w:colLast="0"/>
            <w:bookmarkEnd w:id="2501"/>
            <w:r w:rsidRPr="00286216">
              <w:rPr>
                <w:color w:val="000000" w:themeColor="text1"/>
              </w:rPr>
              <w:t>2631.</w:t>
            </w:r>
          </w:p>
        </w:tc>
        <w:tc>
          <w:tcPr>
            <w:tcW w:w="4818" w:type="dxa"/>
          </w:tcPr>
          <w:p w14:paraId="4100E75E" w14:textId="77777777" w:rsidR="00EF1DBC" w:rsidRPr="00286216" w:rsidRDefault="00EF1DBC" w:rsidP="00EF1DBC">
            <w:pPr>
              <w:pStyle w:val="StyleZakonu"/>
              <w:rPr>
                <w:color w:val="000000" w:themeColor="text1"/>
              </w:rPr>
            </w:pPr>
            <w:r w:rsidRPr="00286216">
              <w:rPr>
                <w:color w:val="000000" w:themeColor="text1"/>
              </w:rPr>
              <w:t>У зв’язку з цим частини дев’яту-дванадцяту вважати частинами тринадцятою-шістнадцятою, відповідно;</w:t>
            </w:r>
          </w:p>
        </w:tc>
        <w:tc>
          <w:tcPr>
            <w:tcW w:w="3686" w:type="dxa"/>
          </w:tcPr>
          <w:p w14:paraId="5AB8C5DB" w14:textId="77777777" w:rsidR="00EF1DBC" w:rsidRPr="00286216" w:rsidRDefault="00EF1DBC" w:rsidP="00EF1DBC">
            <w:pPr>
              <w:pStyle w:val="StyleProp"/>
              <w:rPr>
                <w:color w:val="000000" w:themeColor="text1"/>
                <w:szCs w:val="18"/>
              </w:rPr>
            </w:pPr>
          </w:p>
        </w:tc>
        <w:tc>
          <w:tcPr>
            <w:tcW w:w="1987" w:type="dxa"/>
          </w:tcPr>
          <w:p w14:paraId="7D8B520C" w14:textId="77777777" w:rsidR="00EF1DBC" w:rsidRPr="00286216" w:rsidRDefault="00EF1DBC" w:rsidP="00EF1DBC">
            <w:pPr>
              <w:pStyle w:val="StyleWisnow"/>
              <w:rPr>
                <w:color w:val="000000" w:themeColor="text1"/>
              </w:rPr>
            </w:pPr>
          </w:p>
        </w:tc>
        <w:tc>
          <w:tcPr>
            <w:tcW w:w="4818" w:type="dxa"/>
          </w:tcPr>
          <w:p w14:paraId="64D7A159" w14:textId="3F8952A8" w:rsidR="00EF1DBC" w:rsidRPr="00286216" w:rsidRDefault="00EF1DBC" w:rsidP="00EF1DBC">
            <w:pPr>
              <w:pStyle w:val="StyleZakonu"/>
              <w:rPr>
                <w:color w:val="000000" w:themeColor="text1"/>
              </w:rPr>
            </w:pPr>
            <w:r w:rsidRPr="00286216">
              <w:rPr>
                <w:color w:val="000000" w:themeColor="text1"/>
              </w:rPr>
              <w:t>У зв’язку з цим частини дев’яту-дванадцяту вважати відповідно частинами тринадцятою-шістнадцятою;</w:t>
            </w:r>
          </w:p>
        </w:tc>
      </w:tr>
      <w:tr w:rsidR="00EF1DBC" w:rsidRPr="00286216" w14:paraId="32FBFC4D" w14:textId="77777777" w:rsidTr="00091AA5">
        <w:tc>
          <w:tcPr>
            <w:tcW w:w="576" w:type="dxa"/>
          </w:tcPr>
          <w:p w14:paraId="5A508410" w14:textId="77777777" w:rsidR="00EF1DBC" w:rsidRPr="00286216" w:rsidRDefault="00EF1DBC" w:rsidP="00EF1DBC">
            <w:pPr>
              <w:pStyle w:val="StyleWisnow"/>
              <w:rPr>
                <w:color w:val="000000" w:themeColor="text1"/>
              </w:rPr>
            </w:pPr>
            <w:bookmarkStart w:id="2503" w:name="n2632" w:colFirst="0" w:colLast="0"/>
            <w:bookmarkEnd w:id="2502"/>
            <w:r w:rsidRPr="00286216">
              <w:rPr>
                <w:color w:val="000000" w:themeColor="text1"/>
              </w:rPr>
              <w:t>2632.</w:t>
            </w:r>
          </w:p>
        </w:tc>
        <w:tc>
          <w:tcPr>
            <w:tcW w:w="4818" w:type="dxa"/>
          </w:tcPr>
          <w:p w14:paraId="5DE73380" w14:textId="77777777" w:rsidR="00EF1DBC" w:rsidRPr="00286216" w:rsidRDefault="00EF1DBC" w:rsidP="00EF1DBC">
            <w:pPr>
              <w:pStyle w:val="StyleZakonu"/>
              <w:rPr>
                <w:color w:val="000000" w:themeColor="text1"/>
              </w:rPr>
            </w:pPr>
            <w:r w:rsidRPr="00286216">
              <w:rPr>
                <w:color w:val="000000" w:themeColor="text1"/>
              </w:rPr>
              <w:t>в) доповнити статтю новою частиною такого змісту:</w:t>
            </w:r>
          </w:p>
        </w:tc>
        <w:tc>
          <w:tcPr>
            <w:tcW w:w="3686" w:type="dxa"/>
          </w:tcPr>
          <w:p w14:paraId="09AF9F9A" w14:textId="77777777" w:rsidR="00EF1DBC" w:rsidRPr="00286216" w:rsidRDefault="00EF1DBC" w:rsidP="00EF1DBC">
            <w:pPr>
              <w:pStyle w:val="StyleProp"/>
              <w:rPr>
                <w:color w:val="000000" w:themeColor="text1"/>
                <w:szCs w:val="18"/>
              </w:rPr>
            </w:pPr>
          </w:p>
        </w:tc>
        <w:tc>
          <w:tcPr>
            <w:tcW w:w="1987" w:type="dxa"/>
          </w:tcPr>
          <w:p w14:paraId="318A9237" w14:textId="77777777" w:rsidR="00EF1DBC" w:rsidRPr="00286216" w:rsidRDefault="00EF1DBC" w:rsidP="00EF1DBC">
            <w:pPr>
              <w:pStyle w:val="StyleWisnow"/>
              <w:rPr>
                <w:color w:val="000000" w:themeColor="text1"/>
              </w:rPr>
            </w:pPr>
          </w:p>
        </w:tc>
        <w:tc>
          <w:tcPr>
            <w:tcW w:w="4818" w:type="dxa"/>
          </w:tcPr>
          <w:p w14:paraId="2C181575" w14:textId="0F51EBC8" w:rsidR="00EF1DBC" w:rsidRPr="00286216" w:rsidRDefault="00EF1DBC" w:rsidP="00EF1DBC">
            <w:pPr>
              <w:pStyle w:val="StyleZakonu"/>
              <w:rPr>
                <w:color w:val="000000" w:themeColor="text1"/>
              </w:rPr>
            </w:pPr>
            <w:r w:rsidRPr="00286216">
              <w:rPr>
                <w:color w:val="000000" w:themeColor="text1"/>
              </w:rPr>
              <w:t>в) доповнити новою частиною сімнадцятою такого змісту:</w:t>
            </w:r>
          </w:p>
        </w:tc>
      </w:tr>
      <w:tr w:rsidR="00EF1DBC" w:rsidRPr="00286216" w14:paraId="01E31CDB" w14:textId="77777777" w:rsidTr="00091AA5">
        <w:tc>
          <w:tcPr>
            <w:tcW w:w="576" w:type="dxa"/>
          </w:tcPr>
          <w:p w14:paraId="080AE4CD" w14:textId="77777777" w:rsidR="00EF1DBC" w:rsidRPr="00286216" w:rsidRDefault="00EF1DBC" w:rsidP="00EF1DBC">
            <w:pPr>
              <w:pStyle w:val="StyleWisnow"/>
              <w:rPr>
                <w:color w:val="000000" w:themeColor="text1"/>
              </w:rPr>
            </w:pPr>
            <w:bookmarkStart w:id="2504" w:name="n2633" w:colFirst="0" w:colLast="0"/>
            <w:bookmarkEnd w:id="2503"/>
            <w:r w:rsidRPr="00286216">
              <w:rPr>
                <w:color w:val="000000" w:themeColor="text1"/>
              </w:rPr>
              <w:t>2633.</w:t>
            </w:r>
          </w:p>
        </w:tc>
        <w:tc>
          <w:tcPr>
            <w:tcW w:w="4818" w:type="dxa"/>
          </w:tcPr>
          <w:p w14:paraId="24F8433F" w14:textId="77777777" w:rsidR="00EF1DBC" w:rsidRPr="00286216" w:rsidRDefault="00EF1DBC" w:rsidP="00EF1DBC">
            <w:pPr>
              <w:pStyle w:val="StyleZakonu"/>
              <w:rPr>
                <w:color w:val="000000" w:themeColor="text1"/>
              </w:rPr>
            </w:pPr>
            <w:r w:rsidRPr="00286216">
              <w:rPr>
                <w:color w:val="000000" w:themeColor="text1"/>
              </w:rPr>
              <w:t>"17. Терміни "деривативні (похідні) цінні папери", "неемісійні цінні папери", "деривативні (похідні) фінансові інструменти", "інструменти грошового ринку" вживаються у цьому Кодексі у значенні, наведеному у Законі України "Про ринки капіталу та організовані товарні ринки"".</w:t>
            </w:r>
          </w:p>
        </w:tc>
        <w:tc>
          <w:tcPr>
            <w:tcW w:w="3686" w:type="dxa"/>
          </w:tcPr>
          <w:p w14:paraId="63389942" w14:textId="4A20F029"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1215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D5C5CDC" w14:textId="77777777" w:rsidR="00EF1DBC" w:rsidRPr="00286216" w:rsidRDefault="00EF1DBC" w:rsidP="00EF1DBC">
            <w:pPr>
              <w:pStyle w:val="StyleProp"/>
              <w:rPr>
                <w:color w:val="000000" w:themeColor="text1"/>
                <w:szCs w:val="18"/>
              </w:rPr>
            </w:pPr>
            <w:r w:rsidRPr="00286216">
              <w:rPr>
                <w:color w:val="000000" w:themeColor="text1"/>
                <w:szCs w:val="18"/>
              </w:rPr>
              <w:t>в підпункті «в)» підпункту 5 пункту 2 розділу 3 Законопроекту, яким вносяться зміни до Господарського процесуального кодексу України слова та символи «(похідні)» виключити.</w:t>
            </w:r>
          </w:p>
        </w:tc>
        <w:tc>
          <w:tcPr>
            <w:tcW w:w="1987" w:type="dxa"/>
          </w:tcPr>
          <w:p w14:paraId="2B631C45"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14404D53" w14:textId="2746B960" w:rsidR="00EF1DBC" w:rsidRPr="00286216" w:rsidRDefault="00EF1DBC" w:rsidP="00EF1DBC">
            <w:pPr>
              <w:pStyle w:val="StyleZakonu"/>
              <w:rPr>
                <w:color w:val="000000" w:themeColor="text1"/>
              </w:rPr>
            </w:pPr>
            <w:r w:rsidRPr="00286216">
              <w:rPr>
                <w:color w:val="000000" w:themeColor="text1"/>
              </w:rPr>
              <w:t>"17. Терміни "деривативні цінні папери", "неемісійні цінні папери", "деривативні фінансові інструменти", "інструменти грошового ринку" вживаються у цьому Кодексі у значенні, наведеному в Законі України "Про ринки капіталу та організовані товарні ринки";</w:t>
            </w:r>
          </w:p>
        </w:tc>
      </w:tr>
      <w:tr w:rsidR="00EF1DBC" w:rsidRPr="00286216" w14:paraId="0EB99049" w14:textId="77777777" w:rsidTr="00091AA5">
        <w:tc>
          <w:tcPr>
            <w:tcW w:w="576" w:type="dxa"/>
          </w:tcPr>
          <w:p w14:paraId="00D6BDC7" w14:textId="77777777" w:rsidR="00EF1DBC" w:rsidRPr="00286216" w:rsidRDefault="00EF1DBC" w:rsidP="00EF1DBC">
            <w:pPr>
              <w:pStyle w:val="StyleWisnow"/>
              <w:rPr>
                <w:color w:val="000000" w:themeColor="text1"/>
              </w:rPr>
            </w:pPr>
            <w:bookmarkStart w:id="2505" w:name="n2634" w:colFirst="0" w:colLast="0"/>
            <w:bookmarkEnd w:id="2504"/>
            <w:r w:rsidRPr="00286216">
              <w:rPr>
                <w:color w:val="000000" w:themeColor="text1"/>
              </w:rPr>
              <w:t>2634.</w:t>
            </w:r>
          </w:p>
        </w:tc>
        <w:tc>
          <w:tcPr>
            <w:tcW w:w="4818" w:type="dxa"/>
          </w:tcPr>
          <w:p w14:paraId="493B21F5" w14:textId="77777777" w:rsidR="00EF1DBC" w:rsidRPr="00286216" w:rsidRDefault="00EF1DBC" w:rsidP="00EF1DBC">
            <w:pPr>
              <w:pStyle w:val="StyleZakonu"/>
              <w:rPr>
                <w:color w:val="000000" w:themeColor="text1"/>
              </w:rPr>
            </w:pPr>
            <w:r w:rsidRPr="00286216">
              <w:rPr>
                <w:color w:val="000000" w:themeColor="text1"/>
              </w:rPr>
              <w:t>6) доповнити статтю 45 після частини першої новою частиною такого змісту:</w:t>
            </w:r>
          </w:p>
        </w:tc>
        <w:tc>
          <w:tcPr>
            <w:tcW w:w="3686" w:type="dxa"/>
          </w:tcPr>
          <w:p w14:paraId="7C929A59" w14:textId="77777777" w:rsidR="00EF1DBC" w:rsidRPr="00286216" w:rsidRDefault="00EF1DBC" w:rsidP="00EF1DBC">
            <w:pPr>
              <w:pStyle w:val="StyleProp"/>
              <w:rPr>
                <w:color w:val="000000" w:themeColor="text1"/>
                <w:szCs w:val="18"/>
              </w:rPr>
            </w:pPr>
          </w:p>
        </w:tc>
        <w:tc>
          <w:tcPr>
            <w:tcW w:w="1987" w:type="dxa"/>
          </w:tcPr>
          <w:p w14:paraId="1F383A13" w14:textId="77777777" w:rsidR="00EF1DBC" w:rsidRPr="00286216" w:rsidRDefault="00EF1DBC" w:rsidP="00EF1DBC">
            <w:pPr>
              <w:pStyle w:val="StyleWisnow"/>
              <w:rPr>
                <w:color w:val="000000" w:themeColor="text1"/>
              </w:rPr>
            </w:pPr>
          </w:p>
        </w:tc>
        <w:tc>
          <w:tcPr>
            <w:tcW w:w="4818" w:type="dxa"/>
          </w:tcPr>
          <w:p w14:paraId="4B18BA8D" w14:textId="1302EBCD" w:rsidR="00EF1DBC" w:rsidRPr="00286216" w:rsidRDefault="00EF1DBC" w:rsidP="00EF1DBC">
            <w:pPr>
              <w:pStyle w:val="StyleZakonu"/>
              <w:rPr>
                <w:color w:val="000000" w:themeColor="text1"/>
              </w:rPr>
            </w:pPr>
            <w:r w:rsidRPr="00286216">
              <w:rPr>
                <w:color w:val="000000" w:themeColor="text1"/>
              </w:rPr>
              <w:t>6) статтю 45 після частини першої доповнити новою частиною такого змісту:</w:t>
            </w:r>
          </w:p>
        </w:tc>
      </w:tr>
      <w:tr w:rsidR="00EF1DBC" w:rsidRPr="00286216" w14:paraId="02A17F58" w14:textId="77777777" w:rsidTr="00091AA5">
        <w:tc>
          <w:tcPr>
            <w:tcW w:w="576" w:type="dxa"/>
          </w:tcPr>
          <w:p w14:paraId="7FE10AEB" w14:textId="77777777" w:rsidR="00EF1DBC" w:rsidRPr="00286216" w:rsidRDefault="00EF1DBC" w:rsidP="00EF1DBC">
            <w:pPr>
              <w:pStyle w:val="StyleWisnow"/>
              <w:rPr>
                <w:color w:val="000000" w:themeColor="text1"/>
              </w:rPr>
            </w:pPr>
            <w:bookmarkStart w:id="2506" w:name="n2635" w:colFirst="0" w:colLast="0"/>
            <w:bookmarkEnd w:id="2505"/>
            <w:r w:rsidRPr="00286216">
              <w:rPr>
                <w:color w:val="000000" w:themeColor="text1"/>
              </w:rPr>
              <w:t>2635.</w:t>
            </w:r>
          </w:p>
        </w:tc>
        <w:tc>
          <w:tcPr>
            <w:tcW w:w="4818" w:type="dxa"/>
          </w:tcPr>
          <w:p w14:paraId="776CE7BB" w14:textId="77777777" w:rsidR="00EF1DBC" w:rsidRPr="00286216" w:rsidRDefault="00EF1DBC" w:rsidP="00EF1DBC">
            <w:pPr>
              <w:pStyle w:val="StyleZakonu"/>
              <w:rPr>
                <w:color w:val="000000" w:themeColor="text1"/>
              </w:rPr>
            </w:pPr>
            <w:r w:rsidRPr="00286216">
              <w:rPr>
                <w:color w:val="000000" w:themeColor="text1"/>
              </w:rPr>
              <w:t>"2. У спорах щодо захисту порушених, невизнаних або оспорюваних прав та законних інтересів власників облігацій стороною в судовому процесі є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w:t>
            </w:r>
          </w:p>
        </w:tc>
        <w:tc>
          <w:tcPr>
            <w:tcW w:w="3686" w:type="dxa"/>
          </w:tcPr>
          <w:p w14:paraId="2802F5A2" w14:textId="77777777" w:rsidR="00EF1DBC" w:rsidRPr="00286216" w:rsidRDefault="00EF1DBC" w:rsidP="00EF1DBC">
            <w:pPr>
              <w:pStyle w:val="StyleProp"/>
              <w:rPr>
                <w:color w:val="000000" w:themeColor="text1"/>
                <w:szCs w:val="18"/>
              </w:rPr>
            </w:pPr>
          </w:p>
        </w:tc>
        <w:tc>
          <w:tcPr>
            <w:tcW w:w="1987" w:type="dxa"/>
          </w:tcPr>
          <w:p w14:paraId="149615B4" w14:textId="77777777" w:rsidR="00EF1DBC" w:rsidRPr="00286216" w:rsidRDefault="00EF1DBC" w:rsidP="00EF1DBC">
            <w:pPr>
              <w:pStyle w:val="StyleWisnow"/>
              <w:rPr>
                <w:color w:val="000000" w:themeColor="text1"/>
              </w:rPr>
            </w:pPr>
          </w:p>
        </w:tc>
        <w:tc>
          <w:tcPr>
            <w:tcW w:w="4818" w:type="dxa"/>
          </w:tcPr>
          <w:p w14:paraId="5CCB69AA" w14:textId="58A7DB29" w:rsidR="00EF1DBC" w:rsidRPr="00286216" w:rsidRDefault="00EF1DBC" w:rsidP="00EF1DBC">
            <w:pPr>
              <w:pStyle w:val="StyleZakonu"/>
              <w:rPr>
                <w:color w:val="000000" w:themeColor="text1"/>
              </w:rPr>
            </w:pPr>
            <w:r w:rsidRPr="00286216">
              <w:rPr>
                <w:color w:val="000000" w:themeColor="text1"/>
              </w:rPr>
              <w:t>"2. У спорах щодо захисту порушених, невизнаних або оспорюваних прав та законних інтересів власників облігацій стороною в судовому процесі є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w:t>
            </w:r>
          </w:p>
        </w:tc>
      </w:tr>
      <w:tr w:rsidR="00EF1DBC" w:rsidRPr="00286216" w14:paraId="731CE99A" w14:textId="77777777" w:rsidTr="00091AA5">
        <w:tc>
          <w:tcPr>
            <w:tcW w:w="576" w:type="dxa"/>
          </w:tcPr>
          <w:p w14:paraId="089F0B9E" w14:textId="77777777" w:rsidR="00EF1DBC" w:rsidRPr="00286216" w:rsidRDefault="00EF1DBC" w:rsidP="00EF1DBC">
            <w:pPr>
              <w:pStyle w:val="StyleWisnow"/>
              <w:rPr>
                <w:color w:val="000000" w:themeColor="text1"/>
              </w:rPr>
            </w:pPr>
            <w:bookmarkStart w:id="2507" w:name="n2636" w:colFirst="0" w:colLast="0"/>
            <w:bookmarkEnd w:id="2506"/>
            <w:r w:rsidRPr="00286216">
              <w:rPr>
                <w:color w:val="000000" w:themeColor="text1"/>
              </w:rPr>
              <w:t>2636.</w:t>
            </w:r>
          </w:p>
        </w:tc>
        <w:tc>
          <w:tcPr>
            <w:tcW w:w="4818" w:type="dxa"/>
          </w:tcPr>
          <w:p w14:paraId="588D6C2A" w14:textId="77777777" w:rsidR="00EF1DBC" w:rsidRPr="00286216" w:rsidRDefault="00EF1DBC" w:rsidP="00EF1DBC">
            <w:pPr>
              <w:pStyle w:val="StyleZakonu"/>
              <w:rPr>
                <w:color w:val="000000" w:themeColor="text1"/>
              </w:rPr>
            </w:pPr>
            <w:r w:rsidRPr="00286216">
              <w:rPr>
                <w:color w:val="000000" w:themeColor="text1"/>
              </w:rPr>
              <w:t>У зв’язку з цим частини другу та третю вважати частинами третьою та четвертою, відповідно;</w:t>
            </w:r>
          </w:p>
        </w:tc>
        <w:tc>
          <w:tcPr>
            <w:tcW w:w="3686" w:type="dxa"/>
          </w:tcPr>
          <w:p w14:paraId="447B67D5" w14:textId="77777777" w:rsidR="00EF1DBC" w:rsidRPr="00286216" w:rsidRDefault="00EF1DBC" w:rsidP="00EF1DBC">
            <w:pPr>
              <w:pStyle w:val="StyleProp"/>
              <w:rPr>
                <w:color w:val="000000" w:themeColor="text1"/>
                <w:szCs w:val="18"/>
              </w:rPr>
            </w:pPr>
          </w:p>
        </w:tc>
        <w:tc>
          <w:tcPr>
            <w:tcW w:w="1987" w:type="dxa"/>
          </w:tcPr>
          <w:p w14:paraId="4D4B261A" w14:textId="77777777" w:rsidR="00EF1DBC" w:rsidRPr="00286216" w:rsidRDefault="00EF1DBC" w:rsidP="00EF1DBC">
            <w:pPr>
              <w:pStyle w:val="StyleWisnow"/>
              <w:rPr>
                <w:color w:val="000000" w:themeColor="text1"/>
              </w:rPr>
            </w:pPr>
          </w:p>
        </w:tc>
        <w:tc>
          <w:tcPr>
            <w:tcW w:w="4818" w:type="dxa"/>
          </w:tcPr>
          <w:p w14:paraId="57019779" w14:textId="30C730C3" w:rsidR="00EF1DBC" w:rsidRPr="00286216" w:rsidRDefault="00EF1DBC" w:rsidP="00EF1DBC">
            <w:pPr>
              <w:pStyle w:val="StyleZakonu"/>
              <w:rPr>
                <w:color w:val="000000" w:themeColor="text1"/>
              </w:rPr>
            </w:pPr>
            <w:r w:rsidRPr="00286216">
              <w:rPr>
                <w:color w:val="000000" w:themeColor="text1"/>
              </w:rPr>
              <w:t>У зв’язку з цим частини другу і третю вважати відповідно частинами третьою і четвертою;</w:t>
            </w:r>
          </w:p>
        </w:tc>
      </w:tr>
      <w:tr w:rsidR="00EF1DBC" w:rsidRPr="00286216" w14:paraId="3421E02E" w14:textId="77777777" w:rsidTr="00091AA5">
        <w:tc>
          <w:tcPr>
            <w:tcW w:w="576" w:type="dxa"/>
          </w:tcPr>
          <w:p w14:paraId="373AA152" w14:textId="77777777" w:rsidR="00EF1DBC" w:rsidRPr="00286216" w:rsidRDefault="00EF1DBC" w:rsidP="00EF1DBC">
            <w:pPr>
              <w:pStyle w:val="StyleWisnow"/>
              <w:rPr>
                <w:color w:val="000000" w:themeColor="text1"/>
              </w:rPr>
            </w:pPr>
            <w:bookmarkStart w:id="2508" w:name="n2637" w:colFirst="0" w:colLast="0"/>
            <w:bookmarkEnd w:id="2507"/>
            <w:r w:rsidRPr="00286216">
              <w:rPr>
                <w:color w:val="000000" w:themeColor="text1"/>
              </w:rPr>
              <w:t>2637.</w:t>
            </w:r>
          </w:p>
        </w:tc>
        <w:tc>
          <w:tcPr>
            <w:tcW w:w="4818" w:type="dxa"/>
          </w:tcPr>
          <w:p w14:paraId="5F4BA1AD" w14:textId="77777777" w:rsidR="00EF1DBC" w:rsidRPr="00286216" w:rsidRDefault="00EF1DBC" w:rsidP="00EF1DBC">
            <w:pPr>
              <w:pStyle w:val="StyleZakonu"/>
              <w:rPr>
                <w:color w:val="000000" w:themeColor="text1"/>
              </w:rPr>
            </w:pPr>
            <w:r w:rsidRPr="00286216">
              <w:rPr>
                <w:color w:val="000000" w:themeColor="text1"/>
              </w:rPr>
              <w:t>7) доповнити статтю 46 новою частиною такого змісту:</w:t>
            </w:r>
          </w:p>
        </w:tc>
        <w:tc>
          <w:tcPr>
            <w:tcW w:w="3686" w:type="dxa"/>
          </w:tcPr>
          <w:p w14:paraId="73865059" w14:textId="77777777" w:rsidR="00EF1DBC" w:rsidRPr="00286216" w:rsidRDefault="00EF1DBC" w:rsidP="00EF1DBC">
            <w:pPr>
              <w:pStyle w:val="StyleProp"/>
              <w:rPr>
                <w:color w:val="000000" w:themeColor="text1"/>
                <w:szCs w:val="18"/>
              </w:rPr>
            </w:pPr>
          </w:p>
        </w:tc>
        <w:tc>
          <w:tcPr>
            <w:tcW w:w="1987" w:type="dxa"/>
          </w:tcPr>
          <w:p w14:paraId="02C552C2" w14:textId="77777777" w:rsidR="00EF1DBC" w:rsidRPr="00286216" w:rsidRDefault="00EF1DBC" w:rsidP="00EF1DBC">
            <w:pPr>
              <w:pStyle w:val="StyleWisnow"/>
              <w:rPr>
                <w:color w:val="000000" w:themeColor="text1"/>
              </w:rPr>
            </w:pPr>
          </w:p>
        </w:tc>
        <w:tc>
          <w:tcPr>
            <w:tcW w:w="4818" w:type="dxa"/>
          </w:tcPr>
          <w:p w14:paraId="670489A8" w14:textId="61F8EA01" w:rsidR="00EF1DBC" w:rsidRPr="00286216" w:rsidRDefault="00EF1DBC" w:rsidP="00EF1DBC">
            <w:pPr>
              <w:pStyle w:val="StyleZakonu"/>
              <w:rPr>
                <w:color w:val="000000" w:themeColor="text1"/>
              </w:rPr>
            </w:pPr>
            <w:r w:rsidRPr="00286216">
              <w:rPr>
                <w:color w:val="000000" w:themeColor="text1"/>
              </w:rPr>
              <w:t>7) статтю 46 доповнити частиною восьмою такого змісту:</w:t>
            </w:r>
          </w:p>
        </w:tc>
      </w:tr>
      <w:tr w:rsidR="00EF1DBC" w:rsidRPr="00286216" w14:paraId="51C97ACF" w14:textId="77777777" w:rsidTr="00091AA5">
        <w:tc>
          <w:tcPr>
            <w:tcW w:w="576" w:type="dxa"/>
          </w:tcPr>
          <w:p w14:paraId="12A20FA4" w14:textId="77777777" w:rsidR="00EF1DBC" w:rsidRPr="00286216" w:rsidRDefault="00EF1DBC" w:rsidP="00EF1DBC">
            <w:pPr>
              <w:pStyle w:val="StyleWisnow"/>
              <w:rPr>
                <w:color w:val="000000" w:themeColor="text1"/>
              </w:rPr>
            </w:pPr>
            <w:bookmarkStart w:id="2509" w:name="n2638" w:colFirst="0" w:colLast="0"/>
            <w:bookmarkEnd w:id="2508"/>
            <w:r w:rsidRPr="00286216">
              <w:rPr>
                <w:color w:val="000000" w:themeColor="text1"/>
              </w:rPr>
              <w:t>2638.</w:t>
            </w:r>
          </w:p>
        </w:tc>
        <w:tc>
          <w:tcPr>
            <w:tcW w:w="4818" w:type="dxa"/>
          </w:tcPr>
          <w:p w14:paraId="6E3ED2A1" w14:textId="77777777" w:rsidR="00EF1DBC" w:rsidRPr="00286216" w:rsidRDefault="00EF1DBC" w:rsidP="00EF1DBC">
            <w:pPr>
              <w:pStyle w:val="StyleZakonu"/>
              <w:rPr>
                <w:color w:val="000000" w:themeColor="text1"/>
              </w:rPr>
            </w:pPr>
            <w:r w:rsidRPr="00286216">
              <w:rPr>
                <w:color w:val="000000" w:themeColor="text1"/>
              </w:rPr>
              <w:t xml:space="preserve">"8. У випадку, коли стороною в судовому процесі є адміністратор за випуском облігацій, здійснення ним відмови від позову, визнання позову на будь-якій </w:t>
            </w:r>
            <w:r w:rsidRPr="00286216">
              <w:rPr>
                <w:color w:val="000000" w:themeColor="text1"/>
              </w:rPr>
              <w:lastRenderedPageBreak/>
              <w:t>стадії судового процесу, подання зустрічного позову, зменшення розміру позовних вимог, зміни предмета позову, укладення мирової угоди, відмови від апеляційної або касаційної скарги можливе виключно за наявності згоди зборів власників облігацій, отриманої адміністратором за випуском облігацій відповідно до положень Закону України "Про ринки капіталу та організовані товарні ринки".";</w:t>
            </w:r>
          </w:p>
        </w:tc>
        <w:tc>
          <w:tcPr>
            <w:tcW w:w="3686" w:type="dxa"/>
          </w:tcPr>
          <w:p w14:paraId="7B235256" w14:textId="77777777" w:rsidR="00EF1DBC" w:rsidRPr="00286216" w:rsidRDefault="00EF1DBC" w:rsidP="00EF1DBC">
            <w:pPr>
              <w:pStyle w:val="StyleProp"/>
              <w:rPr>
                <w:color w:val="000000" w:themeColor="text1"/>
                <w:szCs w:val="18"/>
              </w:rPr>
            </w:pPr>
          </w:p>
        </w:tc>
        <w:tc>
          <w:tcPr>
            <w:tcW w:w="1987" w:type="dxa"/>
          </w:tcPr>
          <w:p w14:paraId="151AA428" w14:textId="77777777" w:rsidR="00EF1DBC" w:rsidRPr="00286216" w:rsidRDefault="00EF1DBC" w:rsidP="00EF1DBC">
            <w:pPr>
              <w:pStyle w:val="StyleWisnow"/>
              <w:rPr>
                <w:color w:val="000000" w:themeColor="text1"/>
              </w:rPr>
            </w:pPr>
          </w:p>
        </w:tc>
        <w:tc>
          <w:tcPr>
            <w:tcW w:w="4818" w:type="dxa"/>
          </w:tcPr>
          <w:p w14:paraId="3A185033" w14:textId="254CC790" w:rsidR="00EF1DBC" w:rsidRPr="00286216" w:rsidRDefault="00EF1DBC" w:rsidP="00EF1DBC">
            <w:pPr>
              <w:pStyle w:val="StyleZakonu"/>
              <w:rPr>
                <w:color w:val="000000" w:themeColor="text1"/>
              </w:rPr>
            </w:pPr>
            <w:r w:rsidRPr="00286216">
              <w:rPr>
                <w:color w:val="000000" w:themeColor="text1"/>
              </w:rPr>
              <w:t xml:space="preserve">"8. У разі якщо стороною в судовому процесі є адміністратор за випуском облігацій, здійснення ним відмови від позову, визнання позову на будь-якій </w:t>
            </w:r>
            <w:r w:rsidRPr="00286216">
              <w:rPr>
                <w:color w:val="000000" w:themeColor="text1"/>
              </w:rPr>
              <w:lastRenderedPageBreak/>
              <w:t>стадії судового процесу, подання зустрічного позову, зменшення розміру позовних вимог, зміни предмета позову, укладення мирової угоди, відмови від апеляційної або касаційної скарги можливе виключно за наявності згоди зборів власників облігацій, отриманої адміністратором за випуском облігацій, відповідно до положень Закону України "Про ринки капіталу та організовані товарні ринки";</w:t>
            </w:r>
          </w:p>
        </w:tc>
      </w:tr>
      <w:tr w:rsidR="00EF1DBC" w:rsidRPr="00286216" w14:paraId="3D22D101" w14:textId="77777777" w:rsidTr="00091AA5">
        <w:tc>
          <w:tcPr>
            <w:tcW w:w="576" w:type="dxa"/>
          </w:tcPr>
          <w:p w14:paraId="39793F93" w14:textId="77777777" w:rsidR="00EF1DBC" w:rsidRPr="00286216" w:rsidRDefault="00EF1DBC" w:rsidP="00EF1DBC">
            <w:pPr>
              <w:pStyle w:val="StyleWisnow"/>
              <w:rPr>
                <w:color w:val="000000" w:themeColor="text1"/>
              </w:rPr>
            </w:pPr>
            <w:bookmarkStart w:id="2510" w:name="n2639" w:colFirst="0" w:colLast="0"/>
            <w:bookmarkEnd w:id="2509"/>
            <w:r w:rsidRPr="00286216">
              <w:rPr>
                <w:color w:val="000000" w:themeColor="text1"/>
              </w:rPr>
              <w:lastRenderedPageBreak/>
              <w:t>2639.</w:t>
            </w:r>
          </w:p>
        </w:tc>
        <w:tc>
          <w:tcPr>
            <w:tcW w:w="4818" w:type="dxa"/>
          </w:tcPr>
          <w:p w14:paraId="7B88C536" w14:textId="77777777" w:rsidR="00EF1DBC" w:rsidRPr="00286216" w:rsidRDefault="00EF1DBC" w:rsidP="00EF1DBC">
            <w:pPr>
              <w:pStyle w:val="StyleZakonu"/>
              <w:rPr>
                <w:color w:val="000000" w:themeColor="text1"/>
              </w:rPr>
            </w:pPr>
            <w:r w:rsidRPr="00286216">
              <w:rPr>
                <w:color w:val="000000" w:themeColor="text1"/>
              </w:rPr>
              <w:t>8) пункт 2 частини п’ятої статті 137 викласти в такій редакції: "Центральному депозитарію цінних паперів та депозитарній установі надавати емітенту реєстр власників іменних цінних паперів для проведення загальних зборів акціонерів;</w:t>
            </w:r>
          </w:p>
        </w:tc>
        <w:tc>
          <w:tcPr>
            <w:tcW w:w="3686" w:type="dxa"/>
          </w:tcPr>
          <w:p w14:paraId="4902AE84" w14:textId="77777777" w:rsidR="00EF1DBC" w:rsidRPr="00286216" w:rsidRDefault="00EF1DBC" w:rsidP="00EF1DBC">
            <w:pPr>
              <w:pStyle w:val="StyleProp"/>
              <w:rPr>
                <w:color w:val="000000" w:themeColor="text1"/>
                <w:szCs w:val="18"/>
              </w:rPr>
            </w:pPr>
          </w:p>
        </w:tc>
        <w:tc>
          <w:tcPr>
            <w:tcW w:w="1987" w:type="dxa"/>
          </w:tcPr>
          <w:p w14:paraId="06EDC836" w14:textId="77777777" w:rsidR="00EF1DBC" w:rsidRPr="00286216" w:rsidRDefault="00EF1DBC" w:rsidP="00EF1DBC">
            <w:pPr>
              <w:pStyle w:val="StyleWisnow"/>
              <w:rPr>
                <w:color w:val="000000" w:themeColor="text1"/>
              </w:rPr>
            </w:pPr>
          </w:p>
        </w:tc>
        <w:tc>
          <w:tcPr>
            <w:tcW w:w="4818" w:type="dxa"/>
          </w:tcPr>
          <w:p w14:paraId="01643E24" w14:textId="77777777" w:rsidR="00EF1DBC" w:rsidRPr="00286216" w:rsidRDefault="00EF1DBC" w:rsidP="00EF1DBC">
            <w:pPr>
              <w:pStyle w:val="StyleZakonu"/>
              <w:rPr>
                <w:color w:val="000000" w:themeColor="text1"/>
              </w:rPr>
            </w:pPr>
            <w:r w:rsidRPr="00286216">
              <w:rPr>
                <w:color w:val="000000" w:themeColor="text1"/>
              </w:rPr>
              <w:t>8) у статті 137:</w:t>
            </w:r>
          </w:p>
          <w:p w14:paraId="7DB09DF3" w14:textId="77777777" w:rsidR="00EF1DBC" w:rsidRPr="00286216" w:rsidRDefault="00EF1DBC" w:rsidP="00EF1DBC">
            <w:pPr>
              <w:pStyle w:val="StyleZakonu"/>
              <w:rPr>
                <w:color w:val="000000" w:themeColor="text1"/>
              </w:rPr>
            </w:pPr>
            <w:r w:rsidRPr="00286216">
              <w:rPr>
                <w:color w:val="000000" w:themeColor="text1"/>
              </w:rPr>
              <w:t xml:space="preserve">а) пункт 2 частини п’ятої викласти в такій редакції: </w:t>
            </w:r>
          </w:p>
          <w:p w14:paraId="6B267351" w14:textId="7BA8804A" w:rsidR="00EF1DBC" w:rsidRPr="00286216" w:rsidRDefault="00EF1DBC" w:rsidP="00EF1DBC">
            <w:pPr>
              <w:pStyle w:val="StyleZakonu"/>
              <w:rPr>
                <w:color w:val="000000" w:themeColor="text1"/>
              </w:rPr>
            </w:pPr>
            <w:r w:rsidRPr="00286216">
              <w:rPr>
                <w:color w:val="000000" w:themeColor="text1"/>
              </w:rPr>
              <w:t>"Центральному депозитарію цінних паперів та депозитарній установі надавати емітенту реєстр власників іменних цінних паперів для проведення загальних зборів акціонерів";</w:t>
            </w:r>
          </w:p>
        </w:tc>
      </w:tr>
      <w:tr w:rsidR="00EF1DBC" w:rsidRPr="00286216" w14:paraId="7D77BA16" w14:textId="77777777" w:rsidTr="00091AA5">
        <w:tc>
          <w:tcPr>
            <w:tcW w:w="576" w:type="dxa"/>
          </w:tcPr>
          <w:p w14:paraId="7BB8E076" w14:textId="77777777" w:rsidR="00EF1DBC" w:rsidRPr="00286216" w:rsidRDefault="00EF1DBC" w:rsidP="00EF1DBC">
            <w:pPr>
              <w:pStyle w:val="StyleWisnow"/>
              <w:rPr>
                <w:color w:val="000000" w:themeColor="text1"/>
              </w:rPr>
            </w:pPr>
            <w:bookmarkStart w:id="2511" w:name="n2640" w:colFirst="0" w:colLast="0"/>
            <w:bookmarkEnd w:id="2510"/>
            <w:r w:rsidRPr="00286216">
              <w:rPr>
                <w:color w:val="000000" w:themeColor="text1"/>
              </w:rPr>
              <w:t>2640.</w:t>
            </w:r>
          </w:p>
        </w:tc>
        <w:tc>
          <w:tcPr>
            <w:tcW w:w="4818" w:type="dxa"/>
          </w:tcPr>
          <w:p w14:paraId="7E880B8B" w14:textId="77777777" w:rsidR="00EF1DBC" w:rsidRPr="00286216" w:rsidRDefault="00EF1DBC" w:rsidP="00EF1DBC">
            <w:pPr>
              <w:pStyle w:val="StyleZakonu"/>
              <w:rPr>
                <w:color w:val="000000" w:themeColor="text1"/>
              </w:rPr>
            </w:pPr>
            <w:r w:rsidRPr="00286216">
              <w:rPr>
                <w:color w:val="000000" w:themeColor="text1"/>
              </w:rPr>
              <w:t>9) статтю 137 доповнити новою частиною дванадцятою такого змісту:</w:t>
            </w:r>
          </w:p>
        </w:tc>
        <w:tc>
          <w:tcPr>
            <w:tcW w:w="3686" w:type="dxa"/>
          </w:tcPr>
          <w:p w14:paraId="442FDD4A" w14:textId="77777777" w:rsidR="00EF1DBC" w:rsidRPr="00286216" w:rsidRDefault="00EF1DBC" w:rsidP="00EF1DBC">
            <w:pPr>
              <w:pStyle w:val="StyleProp"/>
              <w:rPr>
                <w:color w:val="000000" w:themeColor="text1"/>
                <w:szCs w:val="18"/>
              </w:rPr>
            </w:pPr>
          </w:p>
        </w:tc>
        <w:tc>
          <w:tcPr>
            <w:tcW w:w="1987" w:type="dxa"/>
          </w:tcPr>
          <w:p w14:paraId="7B493B38" w14:textId="77777777" w:rsidR="00EF1DBC" w:rsidRPr="00286216" w:rsidRDefault="00EF1DBC" w:rsidP="00EF1DBC">
            <w:pPr>
              <w:pStyle w:val="StyleWisnow"/>
              <w:rPr>
                <w:color w:val="000000" w:themeColor="text1"/>
              </w:rPr>
            </w:pPr>
          </w:p>
        </w:tc>
        <w:tc>
          <w:tcPr>
            <w:tcW w:w="4818" w:type="dxa"/>
          </w:tcPr>
          <w:p w14:paraId="4371BD4B" w14:textId="04E16EEA" w:rsidR="00EF1DBC" w:rsidRPr="00286216" w:rsidRDefault="00EF1DBC" w:rsidP="00EF1DBC">
            <w:pPr>
              <w:pStyle w:val="StyleZakonu"/>
              <w:rPr>
                <w:color w:val="000000" w:themeColor="text1"/>
              </w:rPr>
            </w:pPr>
            <w:r w:rsidRPr="00286216">
              <w:rPr>
                <w:color w:val="000000" w:themeColor="text1"/>
              </w:rPr>
              <w:t>б) доповнити частиною тринадцятою такого змісту:</w:t>
            </w:r>
          </w:p>
        </w:tc>
      </w:tr>
      <w:tr w:rsidR="00EF1DBC" w:rsidRPr="00286216" w14:paraId="1F9A6363" w14:textId="77777777" w:rsidTr="00091AA5">
        <w:tc>
          <w:tcPr>
            <w:tcW w:w="576" w:type="dxa"/>
          </w:tcPr>
          <w:p w14:paraId="752AE802" w14:textId="77777777" w:rsidR="00EF1DBC" w:rsidRPr="00286216" w:rsidRDefault="00EF1DBC" w:rsidP="00EF1DBC">
            <w:pPr>
              <w:pStyle w:val="StyleWisnow"/>
              <w:rPr>
                <w:color w:val="000000" w:themeColor="text1"/>
              </w:rPr>
            </w:pPr>
            <w:bookmarkStart w:id="2512" w:name="n2641" w:colFirst="0" w:colLast="0"/>
            <w:bookmarkEnd w:id="2511"/>
            <w:r w:rsidRPr="00286216">
              <w:rPr>
                <w:color w:val="000000" w:themeColor="text1"/>
              </w:rPr>
              <w:t>2641.</w:t>
            </w:r>
          </w:p>
        </w:tc>
        <w:tc>
          <w:tcPr>
            <w:tcW w:w="4818" w:type="dxa"/>
          </w:tcPr>
          <w:p w14:paraId="0A13850C" w14:textId="77777777" w:rsidR="00EF1DBC" w:rsidRPr="00286216" w:rsidRDefault="00EF1DBC" w:rsidP="00EF1DBC">
            <w:pPr>
              <w:pStyle w:val="StyleZakonu"/>
              <w:rPr>
                <w:color w:val="000000" w:themeColor="text1"/>
              </w:rPr>
            </w:pPr>
            <w:r w:rsidRPr="00286216">
              <w:rPr>
                <w:color w:val="000000" w:themeColor="text1"/>
              </w:rPr>
              <w:t>"12. Арешт на кошти та інші активи фізичних та юридичних осіб, чиї зобов’язання допущені до клірингу, зараховані на рахунки особи, що здійснює клірингову діяльність,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накладається в поряду, встановленому статтею 59 Закону України "Про ринки капіталу та організовані товарні ринки".</w:t>
            </w:r>
          </w:p>
        </w:tc>
        <w:tc>
          <w:tcPr>
            <w:tcW w:w="3686" w:type="dxa"/>
          </w:tcPr>
          <w:p w14:paraId="29E3DBA0" w14:textId="592004D6"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1216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56D60CB"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 xml:space="preserve">Абзац другий підпункту 9 пункту 2 розділу 4 (зміни до Господарського процесуального кодексу України) викласти в такій редакції: </w:t>
            </w:r>
          </w:p>
          <w:p w14:paraId="70271326" w14:textId="77777777" w:rsidR="00EF1DBC" w:rsidRPr="00286216" w:rsidRDefault="00EF1DBC" w:rsidP="00EF1DBC">
            <w:pPr>
              <w:spacing w:line="200" w:lineRule="exact"/>
              <w:ind w:firstLine="227"/>
              <w:jc w:val="both"/>
              <w:rPr>
                <w:color w:val="000000" w:themeColor="text1"/>
                <w:szCs w:val="18"/>
              </w:rPr>
            </w:pPr>
            <w:r w:rsidRPr="00286216">
              <w:rPr>
                <w:color w:val="000000" w:themeColor="text1"/>
                <w:sz w:val="18"/>
              </w:rPr>
              <w:t>«12. Арешт на майнові права у вигляді майнових прав на цінні папери у внутрішній системі обліку особи,  що здійснює клірингову діяльність, накладається в поряду, встановленому статтею 59 Закону України «Про ринки капіталу та організовані товарні ринки».».</w:t>
            </w:r>
          </w:p>
        </w:tc>
        <w:tc>
          <w:tcPr>
            <w:tcW w:w="1987" w:type="dxa"/>
          </w:tcPr>
          <w:p w14:paraId="26169CFB" w14:textId="77777777" w:rsidR="00EF1DBC" w:rsidRPr="00286216" w:rsidRDefault="00EF1DBC" w:rsidP="00EF1DBC">
            <w:pPr>
              <w:pStyle w:val="StyleWisnow"/>
              <w:spacing w:line="180" w:lineRule="exact"/>
              <w:rPr>
                <w:color w:val="000000" w:themeColor="text1"/>
              </w:rPr>
            </w:pPr>
            <w:r w:rsidRPr="00286216">
              <w:rPr>
                <w:color w:val="000000" w:themeColor="text1"/>
              </w:rPr>
              <w:t>Враховано</w:t>
            </w:r>
          </w:p>
          <w:p w14:paraId="4C910C8B" w14:textId="77777777" w:rsidR="00EF1DBC" w:rsidRPr="00286216" w:rsidRDefault="00EF1DBC" w:rsidP="00EF1DBC">
            <w:pPr>
              <w:pStyle w:val="StyleWisnow"/>
              <w:spacing w:line="180" w:lineRule="exact"/>
              <w:rPr>
                <w:color w:val="000000" w:themeColor="text1"/>
              </w:rPr>
            </w:pPr>
          </w:p>
        </w:tc>
        <w:tc>
          <w:tcPr>
            <w:tcW w:w="4818" w:type="dxa"/>
          </w:tcPr>
          <w:p w14:paraId="739B15A5" w14:textId="67CF9854" w:rsidR="00EF1DBC" w:rsidRPr="00286216" w:rsidRDefault="00EF1DBC" w:rsidP="00EF1DBC">
            <w:pPr>
              <w:pStyle w:val="StyleZakonu"/>
              <w:rPr>
                <w:color w:val="000000" w:themeColor="text1"/>
              </w:rPr>
            </w:pPr>
            <w:r w:rsidRPr="00286216">
              <w:rPr>
                <w:color w:val="000000" w:themeColor="text1"/>
              </w:rPr>
              <w:t>"13. Арешт на майнові права у вигляді майнових прав на цінні папери у внутрішній системі обліку особи, яка здійснює клірингову діяльність, накладається в поряду, встановленому статтею 64 Закону України "Про ринки капіталу та організовані товарні ринки".</w:t>
            </w:r>
          </w:p>
        </w:tc>
      </w:tr>
      <w:tr w:rsidR="00EF1DBC" w:rsidRPr="00286216" w14:paraId="47A70F3C" w14:textId="77777777" w:rsidTr="00091AA5">
        <w:tc>
          <w:tcPr>
            <w:tcW w:w="576" w:type="dxa"/>
          </w:tcPr>
          <w:p w14:paraId="00E39DF7" w14:textId="77777777" w:rsidR="00EF1DBC" w:rsidRPr="00286216" w:rsidRDefault="00EF1DBC" w:rsidP="00EF1DBC">
            <w:pPr>
              <w:pStyle w:val="StyleWisnow"/>
              <w:rPr>
                <w:color w:val="000000" w:themeColor="text1"/>
              </w:rPr>
            </w:pPr>
            <w:bookmarkStart w:id="2513" w:name="n2642" w:colFirst="0" w:colLast="0"/>
            <w:bookmarkEnd w:id="2512"/>
            <w:r w:rsidRPr="00286216">
              <w:rPr>
                <w:color w:val="000000" w:themeColor="text1"/>
              </w:rPr>
              <w:t>2642.</w:t>
            </w:r>
          </w:p>
        </w:tc>
        <w:tc>
          <w:tcPr>
            <w:tcW w:w="4818" w:type="dxa"/>
          </w:tcPr>
          <w:p w14:paraId="372FCDC5" w14:textId="77777777" w:rsidR="00EF1DBC" w:rsidRPr="00286216" w:rsidRDefault="00EF1DBC" w:rsidP="00EF1DBC">
            <w:pPr>
              <w:pStyle w:val="StyleZakonu"/>
              <w:rPr>
                <w:color w:val="000000" w:themeColor="text1"/>
              </w:rPr>
            </w:pPr>
            <w:r w:rsidRPr="00286216">
              <w:rPr>
                <w:color w:val="000000" w:themeColor="text1"/>
              </w:rPr>
              <w:t>Не допускається забезпечення позову шляхом накладення арешту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c>
          <w:tcPr>
            <w:tcW w:w="3686" w:type="dxa"/>
          </w:tcPr>
          <w:p w14:paraId="3FF5CB85" w14:textId="40DA8CDE"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1217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38D8129" w14:textId="77777777" w:rsidR="00EF1DBC" w:rsidRPr="00286216" w:rsidRDefault="00EF1DBC" w:rsidP="00EF1DBC">
            <w:pPr>
              <w:spacing w:line="200" w:lineRule="exact"/>
              <w:ind w:firstLine="227"/>
              <w:jc w:val="both"/>
              <w:rPr>
                <w:color w:val="000000" w:themeColor="text1"/>
                <w:szCs w:val="18"/>
              </w:rPr>
            </w:pPr>
            <w:r w:rsidRPr="00286216">
              <w:rPr>
                <w:color w:val="000000" w:themeColor="text1"/>
                <w:sz w:val="18"/>
              </w:rPr>
              <w:t>У абзаці третьому підпункту 9 пункту 2 розділу 3, яким пропонується внести зміни до статті 137 Господарського процесуального кодексу України, слова «іншому банку» замінити на слова «іноземних банках».</w:t>
            </w:r>
          </w:p>
        </w:tc>
        <w:tc>
          <w:tcPr>
            <w:tcW w:w="1987" w:type="dxa"/>
          </w:tcPr>
          <w:p w14:paraId="76A0E58C" w14:textId="77777777"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15931C08" w14:textId="6B02B0A1" w:rsidR="00EF1DBC" w:rsidRPr="00286216" w:rsidRDefault="00EF1DBC" w:rsidP="00EF1DBC">
            <w:pPr>
              <w:pStyle w:val="StyleZakonu"/>
              <w:rPr>
                <w:color w:val="000000" w:themeColor="text1"/>
              </w:rPr>
            </w:pPr>
            <w:r w:rsidRPr="00286216">
              <w:rPr>
                <w:color w:val="000000" w:themeColor="text1"/>
              </w:rPr>
              <w:t>Не допускається забезпечення позову шляхом накладення арешту на кошти, що знаходяться в Національному банку України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r>
      <w:tr w:rsidR="00EF1DBC" w:rsidRPr="00286216" w14:paraId="758BC820" w14:textId="77777777" w:rsidTr="00091AA5">
        <w:tc>
          <w:tcPr>
            <w:tcW w:w="576" w:type="dxa"/>
          </w:tcPr>
          <w:p w14:paraId="6F0050B4" w14:textId="77777777" w:rsidR="00EF1DBC" w:rsidRPr="00286216" w:rsidRDefault="00EF1DBC" w:rsidP="00EF1DBC">
            <w:pPr>
              <w:pStyle w:val="StyleWisnow"/>
              <w:rPr>
                <w:color w:val="000000" w:themeColor="text1"/>
              </w:rPr>
            </w:pPr>
          </w:p>
        </w:tc>
        <w:tc>
          <w:tcPr>
            <w:tcW w:w="4818" w:type="dxa"/>
          </w:tcPr>
          <w:p w14:paraId="7A24F668" w14:textId="77777777" w:rsidR="00EF1DBC" w:rsidRPr="00286216" w:rsidRDefault="00EF1DBC" w:rsidP="00EF1DBC">
            <w:pPr>
              <w:pStyle w:val="StyleZakonu"/>
              <w:rPr>
                <w:color w:val="000000" w:themeColor="text1"/>
              </w:rPr>
            </w:pPr>
          </w:p>
        </w:tc>
        <w:tc>
          <w:tcPr>
            <w:tcW w:w="3686" w:type="dxa"/>
          </w:tcPr>
          <w:p w14:paraId="770DFF12" w14:textId="0B0C2D50"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1218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6EFF4927"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Пункт 2 розділу 3 доповнити новим підпунктом такого змісту:</w:t>
            </w:r>
          </w:p>
          <w:p w14:paraId="52A6417F"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«10. Доповнити статтю 240 новою частиною такого змісту:</w:t>
            </w:r>
          </w:p>
          <w:p w14:paraId="4F2B875E" w14:textId="77777777" w:rsidR="00EF1DBC" w:rsidRPr="00286216" w:rsidRDefault="00EF1DBC" w:rsidP="00EF1DBC">
            <w:pPr>
              <w:spacing w:line="200" w:lineRule="exact"/>
              <w:ind w:firstLine="227"/>
              <w:jc w:val="both"/>
              <w:rPr>
                <w:color w:val="000000" w:themeColor="text1"/>
                <w:sz w:val="18"/>
              </w:rPr>
            </w:pPr>
            <w:r w:rsidRPr="00286216">
              <w:rPr>
                <w:color w:val="000000" w:themeColor="text1"/>
                <w:sz w:val="18"/>
              </w:rPr>
              <w:t xml:space="preserve">«11. Рішення суду (повне або скорочене) про відкриття провадження у справі про банкрутство в день його проголошення надсилається особам, що провадять клірингову діяльність, на офіційну електронну адресу таких осіб, зареєстровану </w:t>
            </w:r>
            <w:r w:rsidRPr="00286216">
              <w:rPr>
                <w:color w:val="000000" w:themeColor="text1"/>
                <w:sz w:val="18"/>
              </w:rPr>
              <w:lastRenderedPageBreak/>
              <w:t>в Єдиній судовій інформаційно-телекомунікаційній систем».</w:t>
            </w:r>
          </w:p>
        </w:tc>
        <w:tc>
          <w:tcPr>
            <w:tcW w:w="1987" w:type="dxa"/>
          </w:tcPr>
          <w:p w14:paraId="53F50002" w14:textId="77777777" w:rsidR="00EF1DBC" w:rsidRPr="00286216" w:rsidRDefault="00EF1DBC" w:rsidP="00EF1DBC">
            <w:pPr>
              <w:pStyle w:val="StyleWisnow"/>
              <w:rPr>
                <w:color w:val="000000" w:themeColor="text1"/>
              </w:rPr>
            </w:pPr>
            <w:r w:rsidRPr="00286216">
              <w:rPr>
                <w:color w:val="000000" w:themeColor="text1"/>
              </w:rPr>
              <w:lastRenderedPageBreak/>
              <w:t>Враховано</w:t>
            </w:r>
          </w:p>
        </w:tc>
        <w:tc>
          <w:tcPr>
            <w:tcW w:w="4818" w:type="dxa"/>
          </w:tcPr>
          <w:p w14:paraId="47BE72AC" w14:textId="77777777" w:rsidR="00EF1DBC" w:rsidRPr="00286216" w:rsidRDefault="00EF1DBC" w:rsidP="00EF1DBC">
            <w:pPr>
              <w:pStyle w:val="StyleZakonu"/>
              <w:rPr>
                <w:color w:val="000000" w:themeColor="text1"/>
              </w:rPr>
            </w:pPr>
            <w:r w:rsidRPr="00286216">
              <w:rPr>
                <w:color w:val="000000" w:themeColor="text1"/>
              </w:rPr>
              <w:t>9) статтю 240 доповнити частиною одинадцятою такого змісту:</w:t>
            </w:r>
          </w:p>
          <w:p w14:paraId="2EAB1D32" w14:textId="7041FE8F" w:rsidR="00EF1DBC" w:rsidRPr="00286216" w:rsidRDefault="00EF1DBC" w:rsidP="00EF1DBC">
            <w:pPr>
              <w:pStyle w:val="StyleZakonu"/>
              <w:rPr>
                <w:color w:val="000000" w:themeColor="text1"/>
              </w:rPr>
            </w:pPr>
            <w:r w:rsidRPr="00286216">
              <w:rPr>
                <w:color w:val="000000" w:themeColor="text1"/>
              </w:rPr>
              <w:t>"11. Рішення суду (повне або скорочене) про відкриття провадження у справі про банкрутство в день його проголошення надсилається особам, які провадять клірингову діяльність, на офіційну електронну адресу таких осіб, зареєстровану в Єдиній судовій інформаційно-телекомунікаційній системі".</w:t>
            </w:r>
          </w:p>
        </w:tc>
      </w:tr>
      <w:tr w:rsidR="00EF1DBC" w:rsidRPr="00286216" w14:paraId="6D2A4CCD" w14:textId="77777777" w:rsidTr="00091AA5">
        <w:tc>
          <w:tcPr>
            <w:tcW w:w="576" w:type="dxa"/>
          </w:tcPr>
          <w:p w14:paraId="0E895FFA" w14:textId="77777777" w:rsidR="00EF1DBC" w:rsidRPr="00286216" w:rsidRDefault="00EF1DBC" w:rsidP="00EF1DBC">
            <w:pPr>
              <w:pStyle w:val="StyleWisnow"/>
              <w:rPr>
                <w:color w:val="000000" w:themeColor="text1"/>
              </w:rPr>
            </w:pPr>
            <w:bookmarkStart w:id="2514" w:name="n2643" w:colFirst="0" w:colLast="0"/>
            <w:bookmarkEnd w:id="2513"/>
            <w:r w:rsidRPr="00286216">
              <w:rPr>
                <w:color w:val="000000" w:themeColor="text1"/>
              </w:rPr>
              <w:t>2643.</w:t>
            </w:r>
          </w:p>
        </w:tc>
        <w:tc>
          <w:tcPr>
            <w:tcW w:w="4818" w:type="dxa"/>
          </w:tcPr>
          <w:p w14:paraId="4733A01C" w14:textId="77777777" w:rsidR="00EF1DBC" w:rsidRPr="00286216" w:rsidRDefault="00EF1DBC" w:rsidP="00EF1DBC">
            <w:pPr>
              <w:pStyle w:val="StyleZakonu"/>
              <w:rPr>
                <w:color w:val="000000" w:themeColor="text1"/>
              </w:rPr>
            </w:pPr>
            <w:r w:rsidRPr="00286216">
              <w:rPr>
                <w:color w:val="000000" w:themeColor="text1"/>
              </w:rPr>
              <w:t>3. У Кримінальному кодексі України (Відомості Верховної Ради України, 2001 р., №25 - 26, ст. 131, із наступними змінами):</w:t>
            </w:r>
          </w:p>
        </w:tc>
        <w:tc>
          <w:tcPr>
            <w:tcW w:w="3686" w:type="dxa"/>
          </w:tcPr>
          <w:p w14:paraId="2292250B" w14:textId="77777777" w:rsidR="00EF1DBC" w:rsidRPr="00286216" w:rsidRDefault="00EF1DBC" w:rsidP="00EF1DBC">
            <w:pPr>
              <w:pStyle w:val="StyleProp"/>
              <w:rPr>
                <w:color w:val="000000" w:themeColor="text1"/>
                <w:szCs w:val="18"/>
              </w:rPr>
            </w:pPr>
          </w:p>
        </w:tc>
        <w:tc>
          <w:tcPr>
            <w:tcW w:w="1987" w:type="dxa"/>
          </w:tcPr>
          <w:p w14:paraId="5BA3ECCA" w14:textId="77777777" w:rsidR="00EF1DBC" w:rsidRPr="00286216" w:rsidRDefault="00EF1DBC" w:rsidP="00EF1DBC">
            <w:pPr>
              <w:pStyle w:val="StyleWisnow"/>
              <w:rPr>
                <w:color w:val="000000" w:themeColor="text1"/>
              </w:rPr>
            </w:pPr>
          </w:p>
        </w:tc>
        <w:tc>
          <w:tcPr>
            <w:tcW w:w="4818" w:type="dxa"/>
          </w:tcPr>
          <w:p w14:paraId="3ABFDA66" w14:textId="6D0BFE48" w:rsidR="00EF1DBC" w:rsidRPr="00286216" w:rsidRDefault="00EF1DBC" w:rsidP="00EF1DBC">
            <w:pPr>
              <w:pStyle w:val="StyleZakonu"/>
              <w:rPr>
                <w:color w:val="000000" w:themeColor="text1"/>
              </w:rPr>
            </w:pPr>
            <w:r w:rsidRPr="00286216">
              <w:rPr>
                <w:color w:val="000000" w:themeColor="text1"/>
              </w:rPr>
              <w:t>3. У Кримінальному кодексі України (Відомості Верховної Ради України, 2001 р., №25 - 26, ст. 131):</w:t>
            </w:r>
          </w:p>
        </w:tc>
      </w:tr>
      <w:bookmarkEnd w:id="2514"/>
      <w:tr w:rsidR="00EF1DBC" w:rsidRPr="00286216" w14:paraId="623396BC" w14:textId="77777777" w:rsidTr="00091AA5">
        <w:tc>
          <w:tcPr>
            <w:tcW w:w="576" w:type="dxa"/>
          </w:tcPr>
          <w:p w14:paraId="0AD134D6" w14:textId="77777777" w:rsidR="00EF1DBC" w:rsidRPr="00286216" w:rsidRDefault="00EF1DBC" w:rsidP="00EF1DBC">
            <w:pPr>
              <w:pStyle w:val="StyleWisnow"/>
              <w:rPr>
                <w:color w:val="000000" w:themeColor="text1"/>
              </w:rPr>
            </w:pPr>
          </w:p>
        </w:tc>
        <w:tc>
          <w:tcPr>
            <w:tcW w:w="4818" w:type="dxa"/>
          </w:tcPr>
          <w:p w14:paraId="16E499A3" w14:textId="77777777" w:rsidR="00EF1DBC" w:rsidRPr="00286216" w:rsidRDefault="00EF1DBC" w:rsidP="00EF1DBC">
            <w:pPr>
              <w:pStyle w:val="StyleZakonu"/>
              <w:rPr>
                <w:color w:val="000000" w:themeColor="text1"/>
              </w:rPr>
            </w:pPr>
          </w:p>
        </w:tc>
        <w:tc>
          <w:tcPr>
            <w:tcW w:w="3686" w:type="dxa"/>
          </w:tcPr>
          <w:p w14:paraId="5AE6B5EA" w14:textId="7BCE5164" w:rsidR="00EF1DBC" w:rsidRPr="00286216" w:rsidRDefault="00EF1DBC" w:rsidP="00EF1DB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1219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FDDB895" w14:textId="77777777" w:rsidR="00EF1DBC" w:rsidRPr="00286216" w:rsidRDefault="00EF1DBC" w:rsidP="00EF1DBC">
            <w:pPr>
              <w:pStyle w:val="StyleProp"/>
              <w:rPr>
                <w:color w:val="000000" w:themeColor="text1"/>
                <w:szCs w:val="18"/>
              </w:rPr>
            </w:pPr>
            <w:r w:rsidRPr="00286216">
              <w:rPr>
                <w:color w:val="000000" w:themeColor="text1"/>
                <w:szCs w:val="18"/>
              </w:rPr>
              <w:t>Пункт 3 розділу 3 Законопроекту, яким вносяться зміни до Кримінального кодексу України, доповнити новим підпунктом першим та  викласти його у такій редакції:</w:t>
            </w:r>
          </w:p>
          <w:p w14:paraId="57FF1F84" w14:textId="77777777" w:rsidR="00EF1DBC" w:rsidRPr="00286216" w:rsidRDefault="00EF1DBC" w:rsidP="00EF1DBC">
            <w:pPr>
              <w:pStyle w:val="StyleProp"/>
              <w:rPr>
                <w:color w:val="000000" w:themeColor="text1"/>
                <w:szCs w:val="18"/>
              </w:rPr>
            </w:pPr>
            <w:r w:rsidRPr="00286216">
              <w:rPr>
                <w:color w:val="000000" w:themeColor="text1"/>
                <w:szCs w:val="18"/>
              </w:rPr>
              <w:t>«1) у статті 199 слова «державних цінних паперів» замінити словами «державних цінних паперів, що існують в документарній формі»;»</w:t>
            </w:r>
          </w:p>
        </w:tc>
        <w:tc>
          <w:tcPr>
            <w:tcW w:w="1987" w:type="dxa"/>
          </w:tcPr>
          <w:p w14:paraId="716900AA" w14:textId="77777777" w:rsidR="00EF1DBC" w:rsidRPr="00286216" w:rsidRDefault="00EF1DBC" w:rsidP="00EF1DBC">
            <w:pPr>
              <w:pStyle w:val="StyleWisnow"/>
              <w:rPr>
                <w:color w:val="000000" w:themeColor="text1"/>
              </w:rPr>
            </w:pPr>
            <w:r w:rsidRPr="00286216">
              <w:rPr>
                <w:color w:val="000000" w:themeColor="text1"/>
              </w:rPr>
              <w:t>Враховано частково</w:t>
            </w:r>
          </w:p>
          <w:p w14:paraId="644B614F" w14:textId="164075DB" w:rsidR="00EF1DBC" w:rsidRPr="00286216" w:rsidRDefault="00EF1DBC" w:rsidP="00EF1DBC">
            <w:pPr>
              <w:pStyle w:val="StyleWisnow"/>
              <w:rPr>
                <w:color w:val="000000" w:themeColor="text1"/>
              </w:rPr>
            </w:pPr>
            <w:r w:rsidRPr="00286216">
              <w:rPr>
                <w:color w:val="000000" w:themeColor="text1"/>
              </w:rPr>
              <w:t xml:space="preserve">з відповідним технічним уточненням </w:t>
            </w:r>
          </w:p>
        </w:tc>
        <w:tc>
          <w:tcPr>
            <w:tcW w:w="4818" w:type="dxa"/>
          </w:tcPr>
          <w:p w14:paraId="3AE0EEBD" w14:textId="71E8766A" w:rsidR="00EF1DBC" w:rsidRPr="00286216" w:rsidRDefault="00EF1DBC" w:rsidP="00EF1DBC">
            <w:pPr>
              <w:pStyle w:val="StyleZakonu"/>
              <w:rPr>
                <w:color w:val="000000" w:themeColor="text1"/>
              </w:rPr>
            </w:pPr>
            <w:r w:rsidRPr="00286216">
              <w:rPr>
                <w:color w:val="000000" w:themeColor="text1"/>
                <w:szCs w:val="18"/>
              </w:rPr>
              <w:t>1) у назві та абзаці першому частини першої статті 199 слова «державних цінних паперів» замінити словами «державних цінних паперів, що існують у паперовій формі»;</w:t>
            </w:r>
          </w:p>
        </w:tc>
      </w:tr>
      <w:tr w:rsidR="00EF1DBC" w:rsidRPr="00286216" w14:paraId="27AC2580" w14:textId="77777777" w:rsidTr="00091AA5">
        <w:tc>
          <w:tcPr>
            <w:tcW w:w="576" w:type="dxa"/>
          </w:tcPr>
          <w:p w14:paraId="702A8E79" w14:textId="77777777" w:rsidR="00EF1DBC" w:rsidRPr="00286216" w:rsidRDefault="00EF1DBC" w:rsidP="00EF1DBC">
            <w:pPr>
              <w:pStyle w:val="StyleWisnow"/>
              <w:rPr>
                <w:color w:val="000000" w:themeColor="text1"/>
              </w:rPr>
            </w:pPr>
            <w:bookmarkStart w:id="2515" w:name="n2644" w:colFirst="0" w:colLast="0"/>
            <w:r w:rsidRPr="00286216">
              <w:rPr>
                <w:color w:val="000000" w:themeColor="text1"/>
              </w:rPr>
              <w:t>2644.</w:t>
            </w:r>
          </w:p>
        </w:tc>
        <w:tc>
          <w:tcPr>
            <w:tcW w:w="4818" w:type="dxa"/>
          </w:tcPr>
          <w:p w14:paraId="2BA8B28B" w14:textId="77777777" w:rsidR="00EF1DBC" w:rsidRPr="00286216" w:rsidRDefault="00EF1DBC" w:rsidP="00EF1DBC">
            <w:pPr>
              <w:pStyle w:val="StyleZakonu"/>
              <w:rPr>
                <w:color w:val="000000" w:themeColor="text1"/>
              </w:rPr>
            </w:pPr>
            <w:r w:rsidRPr="00286216">
              <w:rPr>
                <w:color w:val="000000" w:themeColor="text1"/>
              </w:rPr>
              <w:t>1) у статті 222</w:t>
            </w:r>
            <w:r w:rsidRPr="00286216">
              <w:rPr>
                <w:color w:val="000000" w:themeColor="text1"/>
                <w:vertAlign w:val="superscript"/>
              </w:rPr>
              <w:t>1</w:t>
            </w:r>
            <w:r w:rsidRPr="00286216">
              <w:rPr>
                <w:color w:val="000000" w:themeColor="text1"/>
              </w:rPr>
              <w:t>:</w:t>
            </w:r>
          </w:p>
        </w:tc>
        <w:tc>
          <w:tcPr>
            <w:tcW w:w="3686" w:type="dxa"/>
          </w:tcPr>
          <w:p w14:paraId="01D63845" w14:textId="77777777" w:rsidR="00EF1DBC" w:rsidRPr="00286216" w:rsidRDefault="00EF1DBC" w:rsidP="00EF1DBC">
            <w:pPr>
              <w:pStyle w:val="StyleProp"/>
              <w:rPr>
                <w:color w:val="000000" w:themeColor="text1"/>
                <w:szCs w:val="18"/>
              </w:rPr>
            </w:pPr>
          </w:p>
        </w:tc>
        <w:tc>
          <w:tcPr>
            <w:tcW w:w="1987" w:type="dxa"/>
          </w:tcPr>
          <w:p w14:paraId="12396445" w14:textId="77777777" w:rsidR="00EF1DBC" w:rsidRPr="00286216" w:rsidRDefault="00EF1DBC" w:rsidP="00EF1DBC">
            <w:pPr>
              <w:pStyle w:val="StyleWisnow"/>
              <w:rPr>
                <w:color w:val="000000" w:themeColor="text1"/>
              </w:rPr>
            </w:pPr>
          </w:p>
        </w:tc>
        <w:tc>
          <w:tcPr>
            <w:tcW w:w="4818" w:type="dxa"/>
          </w:tcPr>
          <w:p w14:paraId="3EC85D32" w14:textId="56AF87DB" w:rsidR="00EF1DBC" w:rsidRPr="00286216" w:rsidRDefault="00EF1DBC" w:rsidP="00EF1DBC">
            <w:pPr>
              <w:pStyle w:val="StyleZakonu"/>
              <w:rPr>
                <w:color w:val="000000" w:themeColor="text1"/>
              </w:rPr>
            </w:pPr>
            <w:r w:rsidRPr="00286216">
              <w:rPr>
                <w:color w:val="000000" w:themeColor="text1"/>
              </w:rPr>
              <w:t>2) назву статті 222</w:t>
            </w:r>
            <w:r w:rsidRPr="00286216">
              <w:rPr>
                <w:color w:val="000000" w:themeColor="text1"/>
                <w:vertAlign w:val="superscript"/>
              </w:rPr>
              <w:t>1</w:t>
            </w:r>
            <w:r w:rsidRPr="00286216">
              <w:rPr>
                <w:color w:val="000000" w:themeColor="text1"/>
              </w:rPr>
              <w:t xml:space="preserve"> та абзац перший частини першої викласти в такій редакції:</w:t>
            </w:r>
          </w:p>
        </w:tc>
      </w:tr>
      <w:tr w:rsidR="00EF1DBC" w:rsidRPr="00286216" w14:paraId="30D51A9D" w14:textId="77777777" w:rsidTr="00091AA5">
        <w:tc>
          <w:tcPr>
            <w:tcW w:w="576" w:type="dxa"/>
          </w:tcPr>
          <w:p w14:paraId="12276D47" w14:textId="77777777" w:rsidR="00EF1DBC" w:rsidRPr="00286216" w:rsidRDefault="00EF1DBC" w:rsidP="00EF1DBC">
            <w:pPr>
              <w:pStyle w:val="StyleWisnow"/>
              <w:rPr>
                <w:color w:val="000000" w:themeColor="text1"/>
              </w:rPr>
            </w:pPr>
            <w:bookmarkStart w:id="2516" w:name="n2645" w:colFirst="0" w:colLast="0"/>
            <w:bookmarkEnd w:id="2515"/>
            <w:r w:rsidRPr="00286216">
              <w:rPr>
                <w:color w:val="000000" w:themeColor="text1"/>
              </w:rPr>
              <w:t>2645.</w:t>
            </w:r>
          </w:p>
        </w:tc>
        <w:tc>
          <w:tcPr>
            <w:tcW w:w="4818" w:type="dxa"/>
          </w:tcPr>
          <w:p w14:paraId="0D98051A" w14:textId="77777777" w:rsidR="00EF1DBC" w:rsidRPr="00286216" w:rsidRDefault="00EF1DBC" w:rsidP="00EF1DBC">
            <w:pPr>
              <w:pStyle w:val="StyleZakonu"/>
              <w:rPr>
                <w:color w:val="000000" w:themeColor="text1"/>
              </w:rPr>
            </w:pPr>
            <w:r w:rsidRPr="00286216">
              <w:rPr>
                <w:color w:val="000000" w:themeColor="text1"/>
              </w:rPr>
              <w:t>а) назву статті викласти в такій редакції:</w:t>
            </w:r>
          </w:p>
        </w:tc>
        <w:tc>
          <w:tcPr>
            <w:tcW w:w="3686" w:type="dxa"/>
          </w:tcPr>
          <w:p w14:paraId="1C0874CA" w14:textId="77777777" w:rsidR="00EF1DBC" w:rsidRPr="00286216" w:rsidRDefault="00EF1DBC" w:rsidP="00EF1DBC">
            <w:pPr>
              <w:pStyle w:val="StyleProp"/>
              <w:rPr>
                <w:color w:val="000000" w:themeColor="text1"/>
                <w:szCs w:val="18"/>
              </w:rPr>
            </w:pPr>
          </w:p>
        </w:tc>
        <w:tc>
          <w:tcPr>
            <w:tcW w:w="1987" w:type="dxa"/>
          </w:tcPr>
          <w:p w14:paraId="0B7521A8" w14:textId="77777777" w:rsidR="00EF1DBC" w:rsidRPr="00286216" w:rsidRDefault="00EF1DBC" w:rsidP="00EF1DBC">
            <w:pPr>
              <w:pStyle w:val="StyleWisnow"/>
              <w:rPr>
                <w:color w:val="000000" w:themeColor="text1"/>
              </w:rPr>
            </w:pPr>
          </w:p>
        </w:tc>
        <w:tc>
          <w:tcPr>
            <w:tcW w:w="4818" w:type="dxa"/>
          </w:tcPr>
          <w:p w14:paraId="2798ED52" w14:textId="26FBC071" w:rsidR="00EF1DBC" w:rsidRPr="00286216" w:rsidRDefault="00EF1DBC" w:rsidP="00EF1DBC">
            <w:pPr>
              <w:pStyle w:val="StyleZakonu"/>
              <w:rPr>
                <w:color w:val="000000" w:themeColor="text1"/>
              </w:rPr>
            </w:pPr>
          </w:p>
        </w:tc>
      </w:tr>
      <w:tr w:rsidR="00EF1DBC" w:rsidRPr="00286216" w14:paraId="2853B7F1" w14:textId="77777777" w:rsidTr="00091AA5">
        <w:tc>
          <w:tcPr>
            <w:tcW w:w="576" w:type="dxa"/>
          </w:tcPr>
          <w:p w14:paraId="7A6AB8DF" w14:textId="77777777" w:rsidR="00EF1DBC" w:rsidRPr="00286216" w:rsidRDefault="00EF1DBC" w:rsidP="00EF1DBC">
            <w:pPr>
              <w:pStyle w:val="StyleWisnow"/>
              <w:rPr>
                <w:color w:val="000000" w:themeColor="text1"/>
              </w:rPr>
            </w:pPr>
            <w:bookmarkStart w:id="2517" w:name="n2646" w:colFirst="0" w:colLast="0"/>
            <w:bookmarkEnd w:id="2516"/>
            <w:r w:rsidRPr="00286216">
              <w:rPr>
                <w:color w:val="000000" w:themeColor="text1"/>
              </w:rPr>
              <w:t>2646.</w:t>
            </w:r>
          </w:p>
        </w:tc>
        <w:tc>
          <w:tcPr>
            <w:tcW w:w="4818" w:type="dxa"/>
          </w:tcPr>
          <w:p w14:paraId="6B4339EC" w14:textId="77777777" w:rsidR="00EF1DBC" w:rsidRPr="00286216" w:rsidRDefault="00EF1DBC" w:rsidP="00EF1DBC">
            <w:pPr>
              <w:pStyle w:val="StyleZakonu"/>
              <w:rPr>
                <w:color w:val="000000" w:themeColor="text1"/>
              </w:rPr>
            </w:pPr>
            <w:r w:rsidRPr="00286216">
              <w:rPr>
                <w:color w:val="000000" w:themeColor="text1"/>
              </w:rPr>
              <w:t>"Стаття 222</w:t>
            </w:r>
            <w:r w:rsidRPr="00286216">
              <w:rPr>
                <w:color w:val="000000" w:themeColor="text1"/>
                <w:vertAlign w:val="superscript"/>
              </w:rPr>
              <w:t>1</w:t>
            </w:r>
            <w:r w:rsidRPr="00286216">
              <w:rPr>
                <w:color w:val="000000" w:themeColor="text1"/>
              </w:rPr>
              <w:t>. Маніпулювання на організованих ринках";</w:t>
            </w:r>
          </w:p>
        </w:tc>
        <w:tc>
          <w:tcPr>
            <w:tcW w:w="3686" w:type="dxa"/>
          </w:tcPr>
          <w:p w14:paraId="0D11F6C4" w14:textId="77777777" w:rsidR="00EF1DBC" w:rsidRPr="00286216" w:rsidRDefault="00EF1DBC" w:rsidP="00EF1DBC">
            <w:pPr>
              <w:pStyle w:val="StyleProp"/>
              <w:rPr>
                <w:color w:val="000000" w:themeColor="text1"/>
                <w:szCs w:val="18"/>
              </w:rPr>
            </w:pPr>
          </w:p>
        </w:tc>
        <w:tc>
          <w:tcPr>
            <w:tcW w:w="1987" w:type="dxa"/>
          </w:tcPr>
          <w:p w14:paraId="05348391" w14:textId="77777777" w:rsidR="00EF1DBC" w:rsidRPr="00286216" w:rsidRDefault="00EF1DBC" w:rsidP="00EF1DBC">
            <w:pPr>
              <w:pStyle w:val="StyleWisnow"/>
              <w:rPr>
                <w:color w:val="000000" w:themeColor="text1"/>
              </w:rPr>
            </w:pPr>
          </w:p>
        </w:tc>
        <w:tc>
          <w:tcPr>
            <w:tcW w:w="4818" w:type="dxa"/>
          </w:tcPr>
          <w:p w14:paraId="4AA7F44B" w14:textId="14157E50" w:rsidR="00EF1DBC" w:rsidRPr="00286216" w:rsidRDefault="00EF1DBC" w:rsidP="00EF1DBC">
            <w:pPr>
              <w:pStyle w:val="StyleZakonu"/>
              <w:rPr>
                <w:color w:val="000000" w:themeColor="text1"/>
              </w:rPr>
            </w:pPr>
            <w:r w:rsidRPr="00286216">
              <w:rPr>
                <w:color w:val="000000" w:themeColor="text1"/>
              </w:rPr>
              <w:t>"Стаття 222</w:t>
            </w:r>
            <w:r w:rsidRPr="00286216">
              <w:rPr>
                <w:color w:val="000000" w:themeColor="text1"/>
                <w:vertAlign w:val="superscript"/>
              </w:rPr>
              <w:t>1</w:t>
            </w:r>
            <w:r w:rsidRPr="00286216">
              <w:rPr>
                <w:color w:val="000000" w:themeColor="text1"/>
              </w:rPr>
              <w:t>. Маніпулювання на організованих ринках";</w:t>
            </w:r>
          </w:p>
        </w:tc>
      </w:tr>
      <w:tr w:rsidR="00EF1DBC" w:rsidRPr="00286216" w14:paraId="2D08A6E9" w14:textId="77777777" w:rsidTr="00091AA5">
        <w:tc>
          <w:tcPr>
            <w:tcW w:w="576" w:type="dxa"/>
          </w:tcPr>
          <w:p w14:paraId="2EC45219" w14:textId="77777777" w:rsidR="00EF1DBC" w:rsidRPr="00286216" w:rsidRDefault="00EF1DBC" w:rsidP="00EF1DBC">
            <w:pPr>
              <w:pStyle w:val="StyleWisnow"/>
              <w:rPr>
                <w:color w:val="000000" w:themeColor="text1"/>
              </w:rPr>
            </w:pPr>
            <w:bookmarkStart w:id="2518" w:name="n2647" w:colFirst="0" w:colLast="0"/>
            <w:bookmarkEnd w:id="2517"/>
            <w:r w:rsidRPr="00286216">
              <w:rPr>
                <w:color w:val="000000" w:themeColor="text1"/>
              </w:rPr>
              <w:t>2647.</w:t>
            </w:r>
          </w:p>
        </w:tc>
        <w:tc>
          <w:tcPr>
            <w:tcW w:w="4818" w:type="dxa"/>
          </w:tcPr>
          <w:p w14:paraId="3C8E4FBD" w14:textId="77777777" w:rsidR="00EF1DBC" w:rsidRPr="00286216" w:rsidRDefault="00EF1DBC" w:rsidP="00EF1DBC">
            <w:pPr>
              <w:pStyle w:val="StyleZakonu"/>
              <w:rPr>
                <w:color w:val="000000" w:themeColor="text1"/>
              </w:rPr>
            </w:pPr>
            <w:r w:rsidRPr="00286216">
              <w:rPr>
                <w:color w:val="000000" w:themeColor="text1"/>
              </w:rPr>
              <w:t>б) абзац перший частини першої викласти в такій редакції:</w:t>
            </w:r>
          </w:p>
        </w:tc>
        <w:tc>
          <w:tcPr>
            <w:tcW w:w="3686" w:type="dxa"/>
          </w:tcPr>
          <w:p w14:paraId="3A95EA84" w14:textId="77777777" w:rsidR="00EF1DBC" w:rsidRPr="00286216" w:rsidRDefault="00EF1DBC" w:rsidP="00EF1DBC">
            <w:pPr>
              <w:pStyle w:val="StyleProp"/>
              <w:rPr>
                <w:color w:val="000000" w:themeColor="text1"/>
                <w:szCs w:val="18"/>
              </w:rPr>
            </w:pPr>
          </w:p>
        </w:tc>
        <w:tc>
          <w:tcPr>
            <w:tcW w:w="1987" w:type="dxa"/>
          </w:tcPr>
          <w:p w14:paraId="2452902A" w14:textId="77777777" w:rsidR="00EF1DBC" w:rsidRPr="00286216" w:rsidRDefault="00EF1DBC" w:rsidP="00EF1DBC">
            <w:pPr>
              <w:pStyle w:val="StyleWisnow"/>
              <w:rPr>
                <w:color w:val="000000" w:themeColor="text1"/>
              </w:rPr>
            </w:pPr>
          </w:p>
        </w:tc>
        <w:tc>
          <w:tcPr>
            <w:tcW w:w="4818" w:type="dxa"/>
          </w:tcPr>
          <w:p w14:paraId="0E71564E" w14:textId="179B76C4" w:rsidR="00EF1DBC" w:rsidRPr="00286216" w:rsidRDefault="00EF1DBC" w:rsidP="00EF1DBC">
            <w:pPr>
              <w:pStyle w:val="StyleZakonu"/>
              <w:rPr>
                <w:color w:val="000000" w:themeColor="text1"/>
              </w:rPr>
            </w:pPr>
          </w:p>
        </w:tc>
      </w:tr>
      <w:bookmarkEnd w:id="2518"/>
      <w:tr w:rsidR="00EF1DBC" w:rsidRPr="00286216" w14:paraId="17B9BFEF" w14:textId="77777777" w:rsidTr="00091AA5">
        <w:tc>
          <w:tcPr>
            <w:tcW w:w="576" w:type="dxa"/>
          </w:tcPr>
          <w:p w14:paraId="3FF7F171" w14:textId="77777777" w:rsidR="00EF1DBC" w:rsidRPr="00286216" w:rsidRDefault="00EF1DBC" w:rsidP="00EF1DBC">
            <w:pPr>
              <w:pStyle w:val="StyleWisnow"/>
              <w:rPr>
                <w:color w:val="000000" w:themeColor="text1"/>
              </w:rPr>
            </w:pPr>
            <w:r w:rsidRPr="00286216">
              <w:rPr>
                <w:color w:val="000000" w:themeColor="text1"/>
              </w:rPr>
              <w:t>2648.</w:t>
            </w:r>
          </w:p>
        </w:tc>
        <w:tc>
          <w:tcPr>
            <w:tcW w:w="4818" w:type="dxa"/>
          </w:tcPr>
          <w:p w14:paraId="25F649C1" w14:textId="77777777" w:rsidR="00EF1DBC" w:rsidRPr="00286216" w:rsidRDefault="00EF1DBC" w:rsidP="00EF1DBC">
            <w:pPr>
              <w:pStyle w:val="StyleZakonu"/>
              <w:rPr>
                <w:color w:val="000000" w:themeColor="text1"/>
              </w:rPr>
            </w:pPr>
            <w:r w:rsidRPr="00286216">
              <w:rPr>
                <w:color w:val="000000" w:themeColor="text1"/>
              </w:rPr>
              <w:t>"1. Умисні дії особи, що мають ознаки маніпулювання на організованих ринках, встановлені відповідно до законодавства про ринки капіталу та організовані товарні ринки, що призвели до отримання такою особою або третіми особами прибутку у значних розмірах, або уникнення такими особами збитків у значних розмірах,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tc>
        <w:tc>
          <w:tcPr>
            <w:tcW w:w="3686" w:type="dxa"/>
          </w:tcPr>
          <w:p w14:paraId="66664FCA" w14:textId="0FF489F3" w:rsidR="00EF1DBC" w:rsidRPr="00286216" w:rsidRDefault="00EF1DBC" w:rsidP="00EF1DB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4783273" w14:textId="1B908C2E" w:rsidR="00EF1DBC" w:rsidRPr="00286216" w:rsidRDefault="00EF1DBC" w:rsidP="00EF1DBC">
            <w:pPr>
              <w:spacing w:line="200" w:lineRule="exact"/>
              <w:ind w:firstLine="227"/>
              <w:jc w:val="both"/>
              <w:rPr>
                <w:color w:val="000000" w:themeColor="text1"/>
                <w:sz w:val="18"/>
              </w:rPr>
            </w:pPr>
            <w:r w:rsidRPr="00286216">
              <w:rPr>
                <w:color w:val="000000" w:themeColor="text1"/>
                <w:sz w:val="18"/>
              </w:rPr>
              <w:t>В абзаці 5 підпункту 2 пункту 3 розділу 3 слово "особи" замінити словами "фізичної особи", слова "встановлені відповідно до законодавства про ринки капіталу та організовані товарні ринки" замінити словами "визначені законом".</w:t>
            </w:r>
          </w:p>
        </w:tc>
        <w:tc>
          <w:tcPr>
            <w:tcW w:w="1987" w:type="dxa"/>
          </w:tcPr>
          <w:p w14:paraId="42344E9A" w14:textId="1FF60DCB" w:rsidR="00EF1DBC" w:rsidRPr="00286216" w:rsidRDefault="00EF1DBC" w:rsidP="00EF1DBC">
            <w:pPr>
              <w:pStyle w:val="StyleWisnow"/>
              <w:rPr>
                <w:color w:val="000000" w:themeColor="text1"/>
              </w:rPr>
            </w:pPr>
            <w:r w:rsidRPr="00286216">
              <w:rPr>
                <w:color w:val="000000" w:themeColor="text1"/>
              </w:rPr>
              <w:t>Враховано</w:t>
            </w:r>
          </w:p>
        </w:tc>
        <w:tc>
          <w:tcPr>
            <w:tcW w:w="4818" w:type="dxa"/>
          </w:tcPr>
          <w:p w14:paraId="6BB84847" w14:textId="1331BEE7" w:rsidR="00EF1DBC" w:rsidRPr="00286216" w:rsidRDefault="00EF1DBC" w:rsidP="00EF1DBC">
            <w:pPr>
              <w:pStyle w:val="StyleZakonu"/>
              <w:rPr>
                <w:color w:val="000000" w:themeColor="text1"/>
              </w:rPr>
            </w:pPr>
            <w:r w:rsidRPr="00286216">
              <w:rPr>
                <w:color w:val="000000" w:themeColor="text1"/>
              </w:rPr>
              <w:t>"1. Умисні дії фізичної особи, що мають ознаки маніпулювання на організованих ринках, визначені  законом, що призвели до отримання такою особою або третіми особами прибутку у значних розмірах, або уникнення такими особами збитків у значних розмірах,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w:t>
            </w:r>
          </w:p>
        </w:tc>
      </w:tr>
      <w:tr w:rsidR="00826C07" w:rsidRPr="00286216" w14:paraId="03BA54C3" w14:textId="77777777" w:rsidTr="00091AA5">
        <w:tc>
          <w:tcPr>
            <w:tcW w:w="576" w:type="dxa"/>
          </w:tcPr>
          <w:p w14:paraId="4C04FC48" w14:textId="77777777" w:rsidR="00826C07" w:rsidRPr="00286216" w:rsidRDefault="00826C07" w:rsidP="00826C07">
            <w:pPr>
              <w:pStyle w:val="StyleWisnow"/>
              <w:rPr>
                <w:color w:val="000000" w:themeColor="text1"/>
              </w:rPr>
            </w:pPr>
            <w:bookmarkStart w:id="2519" w:name="n2648" w:colFirst="0" w:colLast="0"/>
          </w:p>
        </w:tc>
        <w:tc>
          <w:tcPr>
            <w:tcW w:w="4818" w:type="dxa"/>
          </w:tcPr>
          <w:p w14:paraId="764F226E" w14:textId="77777777" w:rsidR="00826C07" w:rsidRPr="00286216" w:rsidRDefault="00826C07" w:rsidP="00826C07">
            <w:pPr>
              <w:pStyle w:val="StyleZakonu"/>
              <w:rPr>
                <w:color w:val="000000" w:themeColor="text1"/>
              </w:rPr>
            </w:pPr>
          </w:p>
        </w:tc>
        <w:tc>
          <w:tcPr>
            <w:tcW w:w="3686" w:type="dxa"/>
          </w:tcPr>
          <w:p w14:paraId="54E8D2B7" w14:textId="0DD87343"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2E8A0F5" w14:textId="77777777" w:rsidR="00826C07" w:rsidRPr="00286216" w:rsidRDefault="00826C07" w:rsidP="00826C07">
            <w:pPr>
              <w:pStyle w:val="StyleAwt"/>
              <w:rPr>
                <w:color w:val="000000" w:themeColor="text1"/>
                <w:spacing w:val="-10"/>
              </w:rPr>
            </w:pPr>
            <w:r w:rsidRPr="00286216">
              <w:rPr>
                <w:color w:val="000000" w:themeColor="text1"/>
                <w:spacing w:val="-10"/>
              </w:rPr>
              <w:t xml:space="preserve">          Н.д.Гетманцев Д.О.(Реєстр.картка №245)</w:t>
            </w:r>
          </w:p>
          <w:p w14:paraId="31738EC0"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Пункт 3 розділу 3 доповнити підпунктами такого змісту:</w:t>
            </w:r>
          </w:p>
          <w:p w14:paraId="39383AFD"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«2) після статті 222-1 доповнити новою статтею такого змісту:</w:t>
            </w:r>
          </w:p>
          <w:p w14:paraId="3D3BC138"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«Стаття 222-2 Маніпулювання на енергетичному ринку</w:t>
            </w:r>
          </w:p>
          <w:p w14:paraId="38705BDC"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 xml:space="preserve">1. Умисні дії осіб на енергетичному ринку (ринок електричної енергії та ринок природного газу), що мають ознаки маніпулювання на оптових енергетичних ринках, визначені законодавством в сфері енергетики, що призвели до отримання такою особою або третіми особами прибутку у </w:t>
            </w:r>
            <w:r w:rsidRPr="00286216">
              <w:rPr>
                <w:color w:val="000000" w:themeColor="text1"/>
                <w:sz w:val="18"/>
              </w:rPr>
              <w:lastRenderedPageBreak/>
              <w:t>значних розмірах, або уникнення такими особами збитків у значних розмірах,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p w14:paraId="4980CA95"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караються штрафом від двадцяти тисяч до шістдесяти тисяч неоподатковуваних мінімумів доходів громадян з позбавленням права обіймати певні посади чи займатися певною діяльністю на строк до трьох років.</w:t>
            </w:r>
          </w:p>
          <w:p w14:paraId="6CE890CA"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2. Ті самі дії, вчинені повторно або за попередньою змовою групою осіб, або якщо вони спричинили тяжкі наслідки, -</w:t>
            </w:r>
          </w:p>
          <w:p w14:paraId="31078D58"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караються штрафом від шістдесяти тисяч до вісімдесяти тисяч неоподатковуваних мінімумів доходів громадян з позбавленням права обіймати певні посади чи займатися певною діяльністю на строк до трьох років.</w:t>
            </w:r>
          </w:p>
          <w:p w14:paraId="09C63B78"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Примітка. 1. Значним розміром у статтях 222-2 та 232-2 вважається розмір, що у тридцять тисяч і більше разів перевищує неоподатковуваний мінімум доходів громадян.</w:t>
            </w:r>
          </w:p>
          <w:p w14:paraId="14E41D8C"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2. Значною шкодою у статтях 222-2 та 232-2 вважається шкода, що у тридцять тисяч і більше разів перевищує неоподатковуваний мінімум доходів громадян.</w:t>
            </w:r>
          </w:p>
          <w:p w14:paraId="0E4E4B1F"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3. Тяжкими наслідками у статтях 222-2 та 232-2 вважається шкода, що у сто вісімдесят тисяч і більше разів перевищує неоподатковуваний мінімум доходів громадян.</w:t>
            </w:r>
          </w:p>
          <w:p w14:paraId="6CA48DC5"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4. Суб’єктом злочину, зазначеного у статтях 222-2 та 232-2, є фізична особа, яка вчинила дії, передбачені цими статтями,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p>
        </w:tc>
        <w:tc>
          <w:tcPr>
            <w:tcW w:w="1987" w:type="dxa"/>
          </w:tcPr>
          <w:p w14:paraId="7FDFB087" w14:textId="77777777" w:rsidR="00826C07" w:rsidRPr="00286216" w:rsidRDefault="00826C07" w:rsidP="00826C07">
            <w:pPr>
              <w:pStyle w:val="StyleWisnow"/>
              <w:rPr>
                <w:color w:val="000000" w:themeColor="text1"/>
              </w:rPr>
            </w:pPr>
            <w:r w:rsidRPr="00286216">
              <w:rPr>
                <w:color w:val="000000" w:themeColor="text1"/>
              </w:rPr>
              <w:lastRenderedPageBreak/>
              <w:t>Враховано</w:t>
            </w:r>
          </w:p>
        </w:tc>
        <w:tc>
          <w:tcPr>
            <w:tcW w:w="4818" w:type="dxa"/>
          </w:tcPr>
          <w:p w14:paraId="438435E3" w14:textId="46B3D1DC" w:rsidR="00826C07" w:rsidRPr="00286216" w:rsidRDefault="00EA729A" w:rsidP="00826C07">
            <w:pPr>
              <w:pStyle w:val="StyleZakonu"/>
              <w:rPr>
                <w:color w:val="000000" w:themeColor="text1"/>
              </w:rPr>
            </w:pPr>
            <w:r w:rsidRPr="00286216">
              <w:rPr>
                <w:color w:val="000000" w:themeColor="text1"/>
              </w:rPr>
              <w:t>3</w:t>
            </w:r>
            <w:r w:rsidR="00826C07" w:rsidRPr="00286216">
              <w:rPr>
                <w:color w:val="000000" w:themeColor="text1"/>
              </w:rPr>
              <w:t xml:space="preserve">) доповнити статтею </w:t>
            </w:r>
            <w:r w:rsidR="00EF1DBC" w:rsidRPr="00286216">
              <w:rPr>
                <w:color w:val="000000" w:themeColor="text1"/>
              </w:rPr>
              <w:t>222</w:t>
            </w:r>
            <w:r w:rsidR="00EF1DBC" w:rsidRPr="00286216">
              <w:rPr>
                <w:color w:val="000000" w:themeColor="text1"/>
                <w:vertAlign w:val="superscript"/>
              </w:rPr>
              <w:t>2</w:t>
            </w:r>
            <w:r w:rsidR="00EF1DBC" w:rsidRPr="00286216">
              <w:rPr>
                <w:color w:val="000000" w:themeColor="text1"/>
              </w:rPr>
              <w:t xml:space="preserve"> </w:t>
            </w:r>
            <w:r w:rsidR="00826C07" w:rsidRPr="00286216">
              <w:rPr>
                <w:color w:val="000000" w:themeColor="text1"/>
              </w:rPr>
              <w:t>такого змісту:</w:t>
            </w:r>
          </w:p>
          <w:p w14:paraId="42140F45" w14:textId="77777777" w:rsidR="00826C07" w:rsidRPr="00286216" w:rsidRDefault="00826C07" w:rsidP="00826C07">
            <w:pPr>
              <w:pStyle w:val="StyleZakonu"/>
              <w:rPr>
                <w:color w:val="000000" w:themeColor="text1"/>
              </w:rPr>
            </w:pPr>
            <w:r w:rsidRPr="00286216">
              <w:rPr>
                <w:color w:val="000000" w:themeColor="text1"/>
              </w:rPr>
              <w:t>"Стаття 222</w:t>
            </w:r>
            <w:r w:rsidRPr="00286216">
              <w:rPr>
                <w:color w:val="000000" w:themeColor="text1"/>
                <w:vertAlign w:val="superscript"/>
              </w:rPr>
              <w:t>2</w:t>
            </w:r>
            <w:r w:rsidRPr="00286216">
              <w:rPr>
                <w:color w:val="000000" w:themeColor="text1"/>
              </w:rPr>
              <w:t xml:space="preserve"> Маніпулювання на енергетичному ринку</w:t>
            </w:r>
          </w:p>
          <w:p w14:paraId="169AA0B0" w14:textId="7B86B757" w:rsidR="00826C07" w:rsidRPr="00286216" w:rsidRDefault="00826C07" w:rsidP="00826C07">
            <w:pPr>
              <w:pStyle w:val="StyleZakonu"/>
              <w:rPr>
                <w:color w:val="000000" w:themeColor="text1"/>
              </w:rPr>
            </w:pPr>
            <w:r w:rsidRPr="00286216">
              <w:rPr>
                <w:color w:val="000000" w:themeColor="text1"/>
              </w:rPr>
              <w:t xml:space="preserve">1. Умисні дії осіб на енергетичному ринку (ринок електричної енергії та ринок природного газу), що мають ознаки маніпулювання на оптових енергетичних ринках, визначені законодавством </w:t>
            </w:r>
            <w:r w:rsidR="00EF1DBC" w:rsidRPr="00286216">
              <w:rPr>
                <w:color w:val="000000" w:themeColor="text1"/>
              </w:rPr>
              <w:t>у</w:t>
            </w:r>
            <w:r w:rsidRPr="00286216">
              <w:rPr>
                <w:color w:val="000000" w:themeColor="text1"/>
              </w:rPr>
              <w:t xml:space="preserve"> сфері енергетики, що призвели до отримання такою особою або третіми особами прибутку у значних розмірах, або уникнення такими особами збитків у значних розмірах, або якщо це заподіяло значну шкоду охоронюваним законом правам, свободам та </w:t>
            </w:r>
            <w:r w:rsidRPr="00286216">
              <w:rPr>
                <w:color w:val="000000" w:themeColor="text1"/>
              </w:rPr>
              <w:lastRenderedPageBreak/>
              <w:t>інтересам окремих громадян або державним чи громадським інтересам, або інтересам юридичних осіб, -</w:t>
            </w:r>
          </w:p>
          <w:p w14:paraId="45133284" w14:textId="77777777" w:rsidR="00826C07" w:rsidRPr="00286216" w:rsidRDefault="00826C07" w:rsidP="00826C07">
            <w:pPr>
              <w:pStyle w:val="StyleZakonu"/>
              <w:rPr>
                <w:color w:val="000000" w:themeColor="text1"/>
              </w:rPr>
            </w:pPr>
            <w:r w:rsidRPr="00286216">
              <w:rPr>
                <w:color w:val="000000" w:themeColor="text1"/>
              </w:rPr>
              <w:t>караються штрафом від двадцяти тисяч до шістдесяти тисяч неоподатковуваних мінімумів доходів громадян з позбавленням права обіймати певні посади чи займатися певною діяльністю на строк до трьох років.</w:t>
            </w:r>
          </w:p>
          <w:p w14:paraId="0C85BCBC" w14:textId="77777777" w:rsidR="00826C07" w:rsidRPr="00286216" w:rsidRDefault="00826C07" w:rsidP="00826C07">
            <w:pPr>
              <w:pStyle w:val="StyleZakonu"/>
              <w:rPr>
                <w:color w:val="000000" w:themeColor="text1"/>
              </w:rPr>
            </w:pPr>
            <w:r w:rsidRPr="00286216">
              <w:rPr>
                <w:color w:val="000000" w:themeColor="text1"/>
              </w:rPr>
              <w:t>2. Ті самі дії, вчинені повторно або за попередньою змовою групою осіб, або якщо вони спричинили тяжкі наслідки, -</w:t>
            </w:r>
          </w:p>
          <w:p w14:paraId="01A6366B" w14:textId="77777777" w:rsidR="00826C07" w:rsidRPr="00286216" w:rsidRDefault="00826C07" w:rsidP="00826C07">
            <w:pPr>
              <w:pStyle w:val="StyleZakonu"/>
              <w:rPr>
                <w:color w:val="000000" w:themeColor="text1"/>
              </w:rPr>
            </w:pPr>
            <w:r w:rsidRPr="00286216">
              <w:rPr>
                <w:color w:val="000000" w:themeColor="text1"/>
              </w:rPr>
              <w:t>караються штрафом від шістдесяти тисяч до вісімдесяти тисяч неоподатковуваних мінімумів доходів громадян з позбавленням права обіймати певні посади чи займатися певною діяльністю на строк до трьох років.</w:t>
            </w:r>
          </w:p>
          <w:p w14:paraId="60824A3C" w14:textId="77777777" w:rsidR="00826C07" w:rsidRPr="00286216" w:rsidRDefault="00826C07" w:rsidP="00826C07">
            <w:pPr>
              <w:pStyle w:val="StyleZakonu"/>
              <w:rPr>
                <w:color w:val="000000" w:themeColor="text1"/>
              </w:rPr>
            </w:pPr>
            <w:r w:rsidRPr="00286216">
              <w:rPr>
                <w:color w:val="000000" w:themeColor="text1"/>
              </w:rPr>
              <w:t>Примітка. 1. Значним розміром у статтях 222</w:t>
            </w:r>
            <w:r w:rsidRPr="00286216">
              <w:rPr>
                <w:color w:val="000000" w:themeColor="text1"/>
                <w:vertAlign w:val="superscript"/>
              </w:rPr>
              <w:t>2</w:t>
            </w:r>
            <w:r w:rsidRPr="00286216">
              <w:rPr>
                <w:color w:val="000000" w:themeColor="text1"/>
              </w:rPr>
              <w:t xml:space="preserve"> та 232</w:t>
            </w:r>
            <w:r w:rsidRPr="00286216">
              <w:rPr>
                <w:color w:val="000000" w:themeColor="text1"/>
                <w:vertAlign w:val="superscript"/>
              </w:rPr>
              <w:t>2</w:t>
            </w:r>
            <w:r w:rsidRPr="00286216">
              <w:rPr>
                <w:color w:val="000000" w:themeColor="text1"/>
              </w:rPr>
              <w:t xml:space="preserve"> вважається розмір, що у тридцять тисяч і більше разів перевищує неоподатковуваний мінімум доходів громадян.</w:t>
            </w:r>
          </w:p>
          <w:p w14:paraId="0166D5D0" w14:textId="77777777" w:rsidR="00826C07" w:rsidRPr="00286216" w:rsidRDefault="00826C07" w:rsidP="00826C07">
            <w:pPr>
              <w:pStyle w:val="StyleZakonu"/>
              <w:rPr>
                <w:color w:val="000000" w:themeColor="text1"/>
              </w:rPr>
            </w:pPr>
            <w:r w:rsidRPr="00286216">
              <w:rPr>
                <w:color w:val="000000" w:themeColor="text1"/>
              </w:rPr>
              <w:t>2. Значною шкодою у статтях 222</w:t>
            </w:r>
            <w:r w:rsidRPr="00286216">
              <w:rPr>
                <w:color w:val="000000" w:themeColor="text1"/>
                <w:vertAlign w:val="superscript"/>
              </w:rPr>
              <w:t>2</w:t>
            </w:r>
            <w:r w:rsidRPr="00286216">
              <w:rPr>
                <w:color w:val="000000" w:themeColor="text1"/>
              </w:rPr>
              <w:t xml:space="preserve"> та 232</w:t>
            </w:r>
            <w:r w:rsidRPr="00286216">
              <w:rPr>
                <w:color w:val="000000" w:themeColor="text1"/>
                <w:vertAlign w:val="superscript"/>
              </w:rPr>
              <w:t>2</w:t>
            </w:r>
            <w:r w:rsidRPr="00286216">
              <w:rPr>
                <w:color w:val="000000" w:themeColor="text1"/>
              </w:rPr>
              <w:t xml:space="preserve"> вважається шкода, що у тридцять тисяч і більше разів перевищує неоподатковуваний мінімум доходів громадян.</w:t>
            </w:r>
          </w:p>
          <w:p w14:paraId="61254EB9" w14:textId="77777777" w:rsidR="00826C07" w:rsidRPr="00286216" w:rsidRDefault="00826C07" w:rsidP="00826C07">
            <w:pPr>
              <w:pStyle w:val="StyleZakonu"/>
              <w:rPr>
                <w:color w:val="000000" w:themeColor="text1"/>
              </w:rPr>
            </w:pPr>
            <w:r w:rsidRPr="00286216">
              <w:rPr>
                <w:color w:val="000000" w:themeColor="text1"/>
              </w:rPr>
              <w:t>3. Тяжкими наслідками у статтях 222</w:t>
            </w:r>
            <w:r w:rsidRPr="00286216">
              <w:rPr>
                <w:color w:val="000000" w:themeColor="text1"/>
                <w:vertAlign w:val="superscript"/>
              </w:rPr>
              <w:t>2</w:t>
            </w:r>
            <w:r w:rsidRPr="00286216">
              <w:rPr>
                <w:color w:val="000000" w:themeColor="text1"/>
              </w:rPr>
              <w:t xml:space="preserve"> та 232</w:t>
            </w:r>
            <w:r w:rsidRPr="00286216">
              <w:rPr>
                <w:color w:val="000000" w:themeColor="text1"/>
                <w:vertAlign w:val="superscript"/>
              </w:rPr>
              <w:t>2</w:t>
            </w:r>
            <w:r w:rsidRPr="00286216">
              <w:rPr>
                <w:color w:val="000000" w:themeColor="text1"/>
              </w:rPr>
              <w:t xml:space="preserve"> вважається шкода, що у сто вісімдесят тисяч і більше разів перевищує неоподатковуваний мінімум доходів громадян.</w:t>
            </w:r>
          </w:p>
          <w:p w14:paraId="6F49F7F5" w14:textId="77777777" w:rsidR="00826C07" w:rsidRPr="00286216" w:rsidRDefault="00826C07" w:rsidP="00826C07">
            <w:pPr>
              <w:pStyle w:val="StyleZakonu"/>
              <w:rPr>
                <w:color w:val="000000" w:themeColor="text1"/>
              </w:rPr>
            </w:pPr>
            <w:r w:rsidRPr="00286216">
              <w:rPr>
                <w:color w:val="000000" w:themeColor="text1"/>
              </w:rPr>
              <w:t>4. Суб’єктом злочину, зазначеного у статтях 222</w:t>
            </w:r>
            <w:r w:rsidRPr="00286216">
              <w:rPr>
                <w:color w:val="000000" w:themeColor="text1"/>
                <w:vertAlign w:val="superscript"/>
              </w:rPr>
              <w:t>2</w:t>
            </w:r>
            <w:r w:rsidRPr="00286216">
              <w:rPr>
                <w:color w:val="000000" w:themeColor="text1"/>
              </w:rPr>
              <w:t xml:space="preserve"> та 232</w:t>
            </w:r>
            <w:r w:rsidRPr="00286216">
              <w:rPr>
                <w:color w:val="000000" w:themeColor="text1"/>
                <w:vertAlign w:val="superscript"/>
              </w:rPr>
              <w:t>2</w:t>
            </w:r>
            <w:r w:rsidRPr="00286216">
              <w:rPr>
                <w:color w:val="000000" w:themeColor="text1"/>
              </w:rPr>
              <w:t>, є фізична особа, яка вчинила дії, передбачені цими статтями, або у разі вчинення таких дій юридичною особою ‒ фізична особа, яка самостійно або як член колегіального органу юридичної особи уповноважена на виконання функцій з представництва юридичної особи та/або прийняття рішень від імені юридичної особи та/або здійснення контролю за діяльністю юридичної особи";</w:t>
            </w:r>
          </w:p>
        </w:tc>
      </w:tr>
      <w:tr w:rsidR="00826C07" w:rsidRPr="00286216" w14:paraId="354DC889" w14:textId="77777777" w:rsidTr="00091AA5">
        <w:tc>
          <w:tcPr>
            <w:tcW w:w="576" w:type="dxa"/>
          </w:tcPr>
          <w:p w14:paraId="1E527FE7" w14:textId="77777777" w:rsidR="00826C07" w:rsidRPr="00286216" w:rsidRDefault="00826C07" w:rsidP="00826C07">
            <w:pPr>
              <w:pStyle w:val="StyleWisnow"/>
              <w:rPr>
                <w:color w:val="000000" w:themeColor="text1"/>
              </w:rPr>
            </w:pPr>
            <w:bookmarkStart w:id="2520" w:name="n2649" w:colFirst="0" w:colLast="0"/>
            <w:bookmarkEnd w:id="2519"/>
            <w:r w:rsidRPr="00286216">
              <w:rPr>
                <w:color w:val="000000" w:themeColor="text1"/>
              </w:rPr>
              <w:lastRenderedPageBreak/>
              <w:t>2649.</w:t>
            </w:r>
          </w:p>
        </w:tc>
        <w:tc>
          <w:tcPr>
            <w:tcW w:w="4818" w:type="dxa"/>
          </w:tcPr>
          <w:p w14:paraId="5E018A32" w14:textId="77777777" w:rsidR="00826C07" w:rsidRPr="00286216" w:rsidRDefault="00826C07" w:rsidP="00826C07">
            <w:pPr>
              <w:pStyle w:val="StyleZakonu"/>
              <w:rPr>
                <w:color w:val="000000" w:themeColor="text1"/>
              </w:rPr>
            </w:pPr>
            <w:r w:rsidRPr="00286216">
              <w:rPr>
                <w:color w:val="000000" w:themeColor="text1"/>
              </w:rPr>
              <w:t>2) абзац перший частини першої статті 223</w:t>
            </w:r>
            <w:r w:rsidRPr="00286216">
              <w:rPr>
                <w:color w:val="000000" w:themeColor="text1"/>
                <w:vertAlign w:val="superscript"/>
              </w:rPr>
              <w:t xml:space="preserve">1 </w:t>
            </w:r>
            <w:r w:rsidRPr="00286216">
              <w:rPr>
                <w:color w:val="000000" w:themeColor="text1"/>
              </w:rPr>
              <w:t>після слів "інвесторові в" доповнити словами та знаками "фінансові інструменти, який набув права власності на";</w:t>
            </w:r>
          </w:p>
        </w:tc>
        <w:tc>
          <w:tcPr>
            <w:tcW w:w="3686" w:type="dxa"/>
          </w:tcPr>
          <w:p w14:paraId="7C1F92BA" w14:textId="77777777" w:rsidR="00826C07" w:rsidRPr="00286216" w:rsidRDefault="00826C07" w:rsidP="00826C07">
            <w:pPr>
              <w:pStyle w:val="StyleProp"/>
              <w:rPr>
                <w:color w:val="000000" w:themeColor="text1"/>
                <w:szCs w:val="18"/>
              </w:rPr>
            </w:pPr>
          </w:p>
        </w:tc>
        <w:tc>
          <w:tcPr>
            <w:tcW w:w="1987" w:type="dxa"/>
          </w:tcPr>
          <w:p w14:paraId="624CDF5B" w14:textId="77777777" w:rsidR="00826C07" w:rsidRPr="00286216" w:rsidRDefault="00826C07" w:rsidP="00826C07">
            <w:pPr>
              <w:pStyle w:val="StyleWisnow"/>
              <w:rPr>
                <w:color w:val="000000" w:themeColor="text1"/>
              </w:rPr>
            </w:pPr>
          </w:p>
        </w:tc>
        <w:tc>
          <w:tcPr>
            <w:tcW w:w="4818" w:type="dxa"/>
          </w:tcPr>
          <w:p w14:paraId="3A219494" w14:textId="7A347D50" w:rsidR="00826C07" w:rsidRPr="00286216" w:rsidRDefault="00EA729A" w:rsidP="00EA729A">
            <w:pPr>
              <w:pStyle w:val="StyleZakonu"/>
              <w:rPr>
                <w:color w:val="000000" w:themeColor="text1"/>
              </w:rPr>
            </w:pPr>
            <w:r w:rsidRPr="00286216">
              <w:rPr>
                <w:color w:val="000000" w:themeColor="text1"/>
              </w:rPr>
              <w:t>4</w:t>
            </w:r>
            <w:r w:rsidR="00826C07" w:rsidRPr="00286216">
              <w:rPr>
                <w:color w:val="000000" w:themeColor="text1"/>
              </w:rPr>
              <w:t>) абзац перший частини першої статті 223</w:t>
            </w:r>
            <w:r w:rsidR="00826C07" w:rsidRPr="00286216">
              <w:rPr>
                <w:color w:val="000000" w:themeColor="text1"/>
                <w:vertAlign w:val="superscript"/>
              </w:rPr>
              <w:t xml:space="preserve">1 </w:t>
            </w:r>
            <w:r w:rsidR="00826C07" w:rsidRPr="00286216">
              <w:rPr>
                <w:color w:val="000000" w:themeColor="text1"/>
              </w:rPr>
              <w:t>після слів "інвесторові в" доповнити словами та знаками "фінансові інструменти, який набув права власності на";</w:t>
            </w:r>
          </w:p>
        </w:tc>
      </w:tr>
      <w:tr w:rsidR="00826C07" w:rsidRPr="00286216" w14:paraId="2B0E140D" w14:textId="77777777" w:rsidTr="00091AA5">
        <w:tc>
          <w:tcPr>
            <w:tcW w:w="576" w:type="dxa"/>
          </w:tcPr>
          <w:p w14:paraId="0412F049" w14:textId="77777777" w:rsidR="00826C07" w:rsidRPr="00286216" w:rsidRDefault="00826C07" w:rsidP="00826C07">
            <w:pPr>
              <w:pStyle w:val="StyleWisnow"/>
              <w:rPr>
                <w:color w:val="000000" w:themeColor="text1"/>
              </w:rPr>
            </w:pPr>
            <w:bookmarkStart w:id="2521" w:name="n2650" w:colFirst="0" w:colLast="0"/>
            <w:bookmarkEnd w:id="2520"/>
            <w:r w:rsidRPr="00286216">
              <w:rPr>
                <w:color w:val="000000" w:themeColor="text1"/>
              </w:rPr>
              <w:t>2650.</w:t>
            </w:r>
          </w:p>
        </w:tc>
        <w:tc>
          <w:tcPr>
            <w:tcW w:w="4818" w:type="dxa"/>
          </w:tcPr>
          <w:p w14:paraId="6598E30E" w14:textId="77777777" w:rsidR="00826C07" w:rsidRPr="00286216" w:rsidRDefault="00826C07" w:rsidP="00826C07">
            <w:pPr>
              <w:pStyle w:val="StyleZakonu"/>
              <w:rPr>
                <w:color w:val="000000" w:themeColor="text1"/>
              </w:rPr>
            </w:pPr>
            <w:r w:rsidRPr="00286216">
              <w:rPr>
                <w:color w:val="000000" w:themeColor="text1"/>
              </w:rPr>
              <w:t>3) статтю 223</w:t>
            </w:r>
            <w:r w:rsidRPr="00286216">
              <w:rPr>
                <w:color w:val="000000" w:themeColor="text1"/>
                <w:vertAlign w:val="superscript"/>
              </w:rPr>
              <w:t>2</w:t>
            </w:r>
            <w:r w:rsidRPr="00286216">
              <w:rPr>
                <w:color w:val="000000" w:themeColor="text1"/>
              </w:rPr>
              <w:t xml:space="preserve"> виключити;</w:t>
            </w:r>
          </w:p>
        </w:tc>
        <w:tc>
          <w:tcPr>
            <w:tcW w:w="3686" w:type="dxa"/>
          </w:tcPr>
          <w:p w14:paraId="354B7551" w14:textId="77777777" w:rsidR="00826C07" w:rsidRPr="00286216" w:rsidRDefault="00826C07" w:rsidP="00826C07">
            <w:pPr>
              <w:pStyle w:val="StyleProp"/>
              <w:rPr>
                <w:color w:val="000000" w:themeColor="text1"/>
                <w:szCs w:val="18"/>
              </w:rPr>
            </w:pPr>
          </w:p>
        </w:tc>
        <w:tc>
          <w:tcPr>
            <w:tcW w:w="1987" w:type="dxa"/>
          </w:tcPr>
          <w:p w14:paraId="2AE0671D" w14:textId="77777777" w:rsidR="00826C07" w:rsidRPr="00286216" w:rsidRDefault="00826C07" w:rsidP="00826C07">
            <w:pPr>
              <w:pStyle w:val="StyleWisnow"/>
              <w:rPr>
                <w:color w:val="000000" w:themeColor="text1"/>
              </w:rPr>
            </w:pPr>
          </w:p>
        </w:tc>
        <w:tc>
          <w:tcPr>
            <w:tcW w:w="4818" w:type="dxa"/>
          </w:tcPr>
          <w:p w14:paraId="7DE09055" w14:textId="4AB857E1" w:rsidR="00826C07" w:rsidRPr="00286216" w:rsidRDefault="00EA729A" w:rsidP="00EA729A">
            <w:pPr>
              <w:pStyle w:val="StyleZakonu"/>
              <w:rPr>
                <w:color w:val="000000" w:themeColor="text1"/>
              </w:rPr>
            </w:pPr>
            <w:r w:rsidRPr="00286216">
              <w:rPr>
                <w:color w:val="000000" w:themeColor="text1"/>
              </w:rPr>
              <w:t>5</w:t>
            </w:r>
            <w:r w:rsidR="00826C07" w:rsidRPr="00286216">
              <w:rPr>
                <w:color w:val="000000" w:themeColor="text1"/>
              </w:rPr>
              <w:t>) статтю 223</w:t>
            </w:r>
            <w:r w:rsidR="00826C07" w:rsidRPr="00286216">
              <w:rPr>
                <w:color w:val="000000" w:themeColor="text1"/>
                <w:vertAlign w:val="superscript"/>
              </w:rPr>
              <w:t>2</w:t>
            </w:r>
            <w:r w:rsidR="00826C07" w:rsidRPr="00286216">
              <w:rPr>
                <w:color w:val="000000" w:themeColor="text1"/>
              </w:rPr>
              <w:t xml:space="preserve"> виключити;</w:t>
            </w:r>
          </w:p>
        </w:tc>
      </w:tr>
      <w:tr w:rsidR="00826C07" w:rsidRPr="00286216" w14:paraId="09462DBD" w14:textId="77777777" w:rsidTr="00091AA5">
        <w:tc>
          <w:tcPr>
            <w:tcW w:w="576" w:type="dxa"/>
          </w:tcPr>
          <w:p w14:paraId="56240446" w14:textId="77777777" w:rsidR="00826C07" w:rsidRPr="00286216" w:rsidRDefault="00826C07" w:rsidP="00826C07">
            <w:pPr>
              <w:pStyle w:val="StyleWisnow"/>
              <w:rPr>
                <w:color w:val="000000" w:themeColor="text1"/>
              </w:rPr>
            </w:pPr>
            <w:bookmarkStart w:id="2522" w:name="n2651" w:colFirst="0" w:colLast="0"/>
            <w:bookmarkEnd w:id="2521"/>
            <w:r w:rsidRPr="00286216">
              <w:rPr>
                <w:color w:val="000000" w:themeColor="text1"/>
              </w:rPr>
              <w:lastRenderedPageBreak/>
              <w:t>2651.</w:t>
            </w:r>
          </w:p>
        </w:tc>
        <w:tc>
          <w:tcPr>
            <w:tcW w:w="4818" w:type="dxa"/>
          </w:tcPr>
          <w:p w14:paraId="3EC4CB32" w14:textId="77777777" w:rsidR="00826C07" w:rsidRPr="00286216" w:rsidRDefault="00826C07" w:rsidP="00826C07">
            <w:pPr>
              <w:pStyle w:val="StyleZakonu"/>
              <w:rPr>
                <w:color w:val="000000" w:themeColor="text1"/>
              </w:rPr>
            </w:pPr>
            <w:r w:rsidRPr="00286216">
              <w:rPr>
                <w:color w:val="000000" w:themeColor="text1"/>
              </w:rPr>
              <w:t>4) у статті 224:</w:t>
            </w:r>
          </w:p>
        </w:tc>
        <w:tc>
          <w:tcPr>
            <w:tcW w:w="3686" w:type="dxa"/>
          </w:tcPr>
          <w:p w14:paraId="1EB407DF" w14:textId="77777777" w:rsidR="00826C07" w:rsidRPr="00286216" w:rsidRDefault="00826C07" w:rsidP="00826C07">
            <w:pPr>
              <w:pStyle w:val="StyleProp"/>
              <w:rPr>
                <w:color w:val="000000" w:themeColor="text1"/>
                <w:szCs w:val="18"/>
              </w:rPr>
            </w:pPr>
          </w:p>
        </w:tc>
        <w:tc>
          <w:tcPr>
            <w:tcW w:w="1987" w:type="dxa"/>
          </w:tcPr>
          <w:p w14:paraId="7B9EAD28" w14:textId="77777777" w:rsidR="00826C07" w:rsidRPr="00286216" w:rsidRDefault="00826C07" w:rsidP="00826C07">
            <w:pPr>
              <w:pStyle w:val="StyleWisnow"/>
              <w:rPr>
                <w:color w:val="000000" w:themeColor="text1"/>
              </w:rPr>
            </w:pPr>
          </w:p>
        </w:tc>
        <w:tc>
          <w:tcPr>
            <w:tcW w:w="4818" w:type="dxa"/>
          </w:tcPr>
          <w:p w14:paraId="1165CBC0" w14:textId="1D102948" w:rsidR="00826C07" w:rsidRPr="00286216" w:rsidRDefault="00EA729A" w:rsidP="00EA729A">
            <w:pPr>
              <w:pStyle w:val="StyleZakonu"/>
              <w:rPr>
                <w:color w:val="000000" w:themeColor="text1"/>
              </w:rPr>
            </w:pPr>
            <w:r w:rsidRPr="00286216">
              <w:rPr>
                <w:color w:val="000000" w:themeColor="text1"/>
              </w:rPr>
              <w:t>6</w:t>
            </w:r>
            <w:r w:rsidR="00826C07" w:rsidRPr="00286216">
              <w:rPr>
                <w:color w:val="000000" w:themeColor="text1"/>
              </w:rPr>
              <w:t>) у статті 224:</w:t>
            </w:r>
          </w:p>
        </w:tc>
      </w:tr>
      <w:tr w:rsidR="00826C07" w:rsidRPr="00286216" w14:paraId="40269049" w14:textId="77777777" w:rsidTr="00091AA5">
        <w:tc>
          <w:tcPr>
            <w:tcW w:w="576" w:type="dxa"/>
          </w:tcPr>
          <w:p w14:paraId="64556CD9" w14:textId="77777777" w:rsidR="00826C07" w:rsidRPr="00286216" w:rsidRDefault="00826C07" w:rsidP="00826C07">
            <w:pPr>
              <w:pStyle w:val="StyleWisnow"/>
              <w:rPr>
                <w:color w:val="000000" w:themeColor="text1"/>
              </w:rPr>
            </w:pPr>
            <w:bookmarkStart w:id="2523" w:name="n2652" w:colFirst="0" w:colLast="0"/>
            <w:bookmarkEnd w:id="2522"/>
            <w:r w:rsidRPr="00286216">
              <w:rPr>
                <w:color w:val="000000" w:themeColor="text1"/>
              </w:rPr>
              <w:t>2652.</w:t>
            </w:r>
          </w:p>
        </w:tc>
        <w:tc>
          <w:tcPr>
            <w:tcW w:w="4818" w:type="dxa"/>
          </w:tcPr>
          <w:p w14:paraId="3C3D9BB8" w14:textId="77777777" w:rsidR="00826C07" w:rsidRPr="00286216" w:rsidRDefault="00826C07" w:rsidP="00826C07">
            <w:pPr>
              <w:pStyle w:val="StyleZakonu"/>
              <w:rPr>
                <w:color w:val="000000" w:themeColor="text1"/>
              </w:rPr>
            </w:pPr>
            <w:r w:rsidRPr="00286216">
              <w:rPr>
                <w:color w:val="000000" w:themeColor="text1"/>
              </w:rPr>
              <w:t>а) назву викласти в такій редакції:</w:t>
            </w:r>
          </w:p>
        </w:tc>
        <w:tc>
          <w:tcPr>
            <w:tcW w:w="3686" w:type="dxa"/>
          </w:tcPr>
          <w:p w14:paraId="228BC859" w14:textId="77777777" w:rsidR="00826C07" w:rsidRPr="00286216" w:rsidRDefault="00826C07" w:rsidP="00826C07">
            <w:pPr>
              <w:pStyle w:val="StyleProp"/>
              <w:rPr>
                <w:color w:val="000000" w:themeColor="text1"/>
                <w:szCs w:val="18"/>
              </w:rPr>
            </w:pPr>
          </w:p>
        </w:tc>
        <w:tc>
          <w:tcPr>
            <w:tcW w:w="1987" w:type="dxa"/>
          </w:tcPr>
          <w:p w14:paraId="6791C463" w14:textId="77777777" w:rsidR="00826C07" w:rsidRPr="00286216" w:rsidRDefault="00826C07" w:rsidP="00826C07">
            <w:pPr>
              <w:pStyle w:val="StyleWisnow"/>
              <w:rPr>
                <w:color w:val="000000" w:themeColor="text1"/>
              </w:rPr>
            </w:pPr>
          </w:p>
        </w:tc>
        <w:tc>
          <w:tcPr>
            <w:tcW w:w="4818" w:type="dxa"/>
          </w:tcPr>
          <w:p w14:paraId="5E2803CC" w14:textId="77777777" w:rsidR="00826C07" w:rsidRPr="00286216" w:rsidRDefault="00826C07" w:rsidP="00826C07">
            <w:pPr>
              <w:pStyle w:val="StyleZakonu"/>
              <w:rPr>
                <w:color w:val="000000" w:themeColor="text1"/>
              </w:rPr>
            </w:pPr>
            <w:r w:rsidRPr="00286216">
              <w:rPr>
                <w:color w:val="000000" w:themeColor="text1"/>
              </w:rPr>
              <w:t>а) назву викласти в такій редакції:</w:t>
            </w:r>
          </w:p>
        </w:tc>
      </w:tr>
      <w:tr w:rsidR="00826C07" w:rsidRPr="00286216" w14:paraId="14E824A8" w14:textId="77777777" w:rsidTr="00091AA5">
        <w:tc>
          <w:tcPr>
            <w:tcW w:w="576" w:type="dxa"/>
          </w:tcPr>
          <w:p w14:paraId="227A1EEE" w14:textId="77777777" w:rsidR="00826C07" w:rsidRPr="00286216" w:rsidRDefault="00826C07" w:rsidP="00826C07">
            <w:pPr>
              <w:pStyle w:val="StyleWisnow"/>
              <w:rPr>
                <w:color w:val="000000" w:themeColor="text1"/>
              </w:rPr>
            </w:pPr>
            <w:bookmarkStart w:id="2524" w:name="n2653" w:colFirst="0" w:colLast="0"/>
            <w:bookmarkEnd w:id="2523"/>
            <w:r w:rsidRPr="00286216">
              <w:rPr>
                <w:color w:val="000000" w:themeColor="text1"/>
              </w:rPr>
              <w:t>2653.</w:t>
            </w:r>
          </w:p>
        </w:tc>
        <w:tc>
          <w:tcPr>
            <w:tcW w:w="4818" w:type="dxa"/>
          </w:tcPr>
          <w:p w14:paraId="42016534" w14:textId="77777777" w:rsidR="00826C07" w:rsidRPr="00286216" w:rsidRDefault="00826C07" w:rsidP="00826C07">
            <w:pPr>
              <w:pStyle w:val="StyleZakonu"/>
              <w:rPr>
                <w:color w:val="000000" w:themeColor="text1"/>
              </w:rPr>
            </w:pPr>
            <w:r w:rsidRPr="00286216">
              <w:rPr>
                <w:color w:val="000000" w:themeColor="text1"/>
              </w:rPr>
              <w:t>"</w:t>
            </w:r>
            <w:r w:rsidRPr="00286216">
              <w:rPr>
                <w:bCs/>
                <w:color w:val="000000" w:themeColor="text1"/>
              </w:rPr>
              <w:t>Підробка, збут та використання підроблених цінних паперів (крім державних цінних паперів)";</w:t>
            </w:r>
          </w:p>
        </w:tc>
        <w:tc>
          <w:tcPr>
            <w:tcW w:w="3686" w:type="dxa"/>
          </w:tcPr>
          <w:p w14:paraId="4A946670" w14:textId="4CA66877"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1222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A2ABBC4" w14:textId="77777777" w:rsidR="00826C07" w:rsidRPr="00286216" w:rsidRDefault="00826C07" w:rsidP="00826C07">
            <w:pPr>
              <w:pStyle w:val="StyleProp"/>
              <w:rPr>
                <w:color w:val="000000" w:themeColor="text1"/>
                <w:spacing w:val="-2"/>
                <w:szCs w:val="18"/>
              </w:rPr>
            </w:pPr>
            <w:r w:rsidRPr="00286216">
              <w:rPr>
                <w:color w:val="000000" w:themeColor="text1"/>
                <w:spacing w:val="-2"/>
                <w:szCs w:val="18"/>
              </w:rPr>
              <w:t>у пункті підпункті четвертому слово «Підробка» замінити словом «Виготовлення».</w:t>
            </w:r>
          </w:p>
        </w:tc>
        <w:tc>
          <w:tcPr>
            <w:tcW w:w="1987" w:type="dxa"/>
          </w:tcPr>
          <w:p w14:paraId="14722952"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7AA7DD77" w14:textId="0B6F4A28" w:rsidR="00826C07" w:rsidRPr="00286216" w:rsidRDefault="00826C07" w:rsidP="00826C07">
            <w:pPr>
              <w:pStyle w:val="StyleZakonu"/>
              <w:rPr>
                <w:color w:val="000000" w:themeColor="text1"/>
              </w:rPr>
            </w:pPr>
            <w:r w:rsidRPr="00286216">
              <w:rPr>
                <w:color w:val="000000" w:themeColor="text1"/>
              </w:rPr>
              <w:t>"</w:t>
            </w:r>
            <w:r w:rsidR="00EA729A" w:rsidRPr="00286216">
              <w:rPr>
                <w:color w:val="000000" w:themeColor="text1"/>
              </w:rPr>
              <w:t xml:space="preserve">Стаття 224. </w:t>
            </w:r>
            <w:r w:rsidRPr="00286216">
              <w:rPr>
                <w:color w:val="000000" w:themeColor="text1"/>
                <w:spacing w:val="-2"/>
                <w:szCs w:val="18"/>
              </w:rPr>
              <w:t>Виготовлення</w:t>
            </w:r>
            <w:r w:rsidRPr="00286216">
              <w:rPr>
                <w:bCs/>
                <w:color w:val="000000" w:themeColor="text1"/>
              </w:rPr>
              <w:t>, збут та використання підроблених цінних паперів (крім державних цінних паперів)";</w:t>
            </w:r>
          </w:p>
        </w:tc>
      </w:tr>
      <w:bookmarkEnd w:id="2524"/>
      <w:tr w:rsidR="00826C07" w:rsidRPr="00286216" w14:paraId="7D1D7E6F" w14:textId="77777777" w:rsidTr="00091AA5">
        <w:tc>
          <w:tcPr>
            <w:tcW w:w="576" w:type="dxa"/>
          </w:tcPr>
          <w:p w14:paraId="28D2EF6A" w14:textId="77777777" w:rsidR="00826C07" w:rsidRPr="00286216" w:rsidRDefault="00826C07" w:rsidP="00826C07">
            <w:pPr>
              <w:pStyle w:val="StyleWisnow"/>
              <w:rPr>
                <w:color w:val="000000" w:themeColor="text1"/>
              </w:rPr>
            </w:pPr>
          </w:p>
        </w:tc>
        <w:tc>
          <w:tcPr>
            <w:tcW w:w="4818" w:type="dxa"/>
          </w:tcPr>
          <w:p w14:paraId="3F3779B1" w14:textId="77777777" w:rsidR="00826C07" w:rsidRPr="00286216" w:rsidRDefault="00826C07" w:rsidP="00826C07">
            <w:pPr>
              <w:pStyle w:val="StyleZakonu"/>
              <w:rPr>
                <w:color w:val="000000" w:themeColor="text1"/>
              </w:rPr>
            </w:pPr>
          </w:p>
        </w:tc>
        <w:tc>
          <w:tcPr>
            <w:tcW w:w="3686" w:type="dxa"/>
          </w:tcPr>
          <w:p w14:paraId="4E446061" w14:textId="2394A2BB" w:rsidR="00826C07" w:rsidRPr="00286216" w:rsidRDefault="00826C07" w:rsidP="00826C07">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1223</w:t>
            </w:r>
            <w:r w:rsidRPr="00286216">
              <w:rPr>
                <w:color w:val="000000" w:themeColor="text1"/>
                <w:spacing w:val="-10"/>
              </w:rPr>
              <w:fldChar w:fldCharType="end"/>
            </w:r>
            <w:r w:rsidRPr="00286216">
              <w:rPr>
                <w:color w:val="000000" w:themeColor="text1"/>
                <w:spacing w:val="-10"/>
              </w:rPr>
              <w:t>-Н.д.Гетманцев Д.О.(Реєстр.картка №245)</w:t>
            </w:r>
          </w:p>
          <w:p w14:paraId="3032445A" w14:textId="77777777" w:rsidR="00826C07" w:rsidRPr="00286216" w:rsidRDefault="00826C07" w:rsidP="00826C07">
            <w:pPr>
              <w:pStyle w:val="StyleProp"/>
              <w:rPr>
                <w:color w:val="000000" w:themeColor="text1"/>
                <w:spacing w:val="-2"/>
              </w:rPr>
            </w:pPr>
            <w:r w:rsidRPr="00286216">
              <w:rPr>
                <w:color w:val="000000" w:themeColor="text1"/>
                <w:spacing w:val="-2"/>
              </w:rPr>
              <w:t>В абзаці другому підпункту «а» підпункту 4 пункту 3 після слова «підробка» додати слова «цінних паперів».</w:t>
            </w:r>
          </w:p>
        </w:tc>
        <w:tc>
          <w:tcPr>
            <w:tcW w:w="1987" w:type="dxa"/>
          </w:tcPr>
          <w:p w14:paraId="137505BE" w14:textId="77777777" w:rsidR="00826C07" w:rsidRPr="00286216" w:rsidRDefault="00826C07" w:rsidP="00826C07">
            <w:pPr>
              <w:pStyle w:val="StyleWisnow"/>
              <w:rPr>
                <w:color w:val="000000" w:themeColor="text1"/>
              </w:rPr>
            </w:pPr>
            <w:r w:rsidRPr="00286216">
              <w:rPr>
                <w:color w:val="000000" w:themeColor="text1"/>
              </w:rPr>
              <w:t>Враховано по суті</w:t>
            </w:r>
          </w:p>
        </w:tc>
        <w:tc>
          <w:tcPr>
            <w:tcW w:w="4818" w:type="dxa"/>
          </w:tcPr>
          <w:p w14:paraId="0B6A03B9" w14:textId="77777777" w:rsidR="00826C07" w:rsidRPr="00286216" w:rsidRDefault="00826C07" w:rsidP="00826C07">
            <w:pPr>
              <w:pStyle w:val="StyleZakonu"/>
              <w:rPr>
                <w:color w:val="000000" w:themeColor="text1"/>
              </w:rPr>
            </w:pPr>
          </w:p>
        </w:tc>
      </w:tr>
      <w:tr w:rsidR="00826C07" w:rsidRPr="00286216" w14:paraId="17D68A84" w14:textId="77777777" w:rsidTr="00091AA5">
        <w:tc>
          <w:tcPr>
            <w:tcW w:w="576" w:type="dxa"/>
          </w:tcPr>
          <w:p w14:paraId="6F886B4C" w14:textId="77777777" w:rsidR="00826C07" w:rsidRPr="00286216" w:rsidRDefault="00826C07" w:rsidP="00826C07">
            <w:pPr>
              <w:pStyle w:val="StyleWisnow"/>
              <w:rPr>
                <w:color w:val="000000" w:themeColor="text1"/>
              </w:rPr>
            </w:pPr>
            <w:bookmarkStart w:id="2525" w:name="n2654" w:colFirst="0" w:colLast="0"/>
            <w:r w:rsidRPr="00286216">
              <w:rPr>
                <w:color w:val="000000" w:themeColor="text1"/>
              </w:rPr>
              <w:t>2654.</w:t>
            </w:r>
          </w:p>
        </w:tc>
        <w:tc>
          <w:tcPr>
            <w:tcW w:w="4818" w:type="dxa"/>
          </w:tcPr>
          <w:p w14:paraId="5F892FEE" w14:textId="77777777" w:rsidR="00826C07" w:rsidRPr="00286216" w:rsidRDefault="00826C07" w:rsidP="00826C07">
            <w:pPr>
              <w:pStyle w:val="StyleZakonu"/>
              <w:rPr>
                <w:color w:val="000000" w:themeColor="text1"/>
              </w:rPr>
            </w:pPr>
            <w:r w:rsidRPr="00286216">
              <w:rPr>
                <w:color w:val="000000" w:themeColor="text1"/>
              </w:rPr>
              <w:t>б) в абзаці першому частини першої слово "недержавних" виключити, після слів "цінних паперів" доповнити словами та знаками "(крім державних цінних паперів), що існують в документарній формі";</w:t>
            </w:r>
          </w:p>
        </w:tc>
        <w:tc>
          <w:tcPr>
            <w:tcW w:w="3686" w:type="dxa"/>
          </w:tcPr>
          <w:p w14:paraId="2D0097E7" w14:textId="0E96AA37"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1224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AD0359D" w14:textId="77777777" w:rsidR="00826C07" w:rsidRPr="00286216" w:rsidRDefault="00826C07" w:rsidP="00826C07">
            <w:pPr>
              <w:pStyle w:val="StyleProp"/>
              <w:rPr>
                <w:color w:val="000000" w:themeColor="text1"/>
                <w:szCs w:val="18"/>
              </w:rPr>
            </w:pPr>
            <w:r w:rsidRPr="00286216">
              <w:rPr>
                <w:color w:val="000000" w:themeColor="text1"/>
                <w:szCs w:val="18"/>
              </w:rPr>
              <w:t>У підпункті «б» підпункту 4 пункту 3 слово «документарній» замінити словом «письмовій»</w:t>
            </w:r>
          </w:p>
        </w:tc>
        <w:tc>
          <w:tcPr>
            <w:tcW w:w="1987" w:type="dxa"/>
          </w:tcPr>
          <w:p w14:paraId="70A58074"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183DD9BB" w14:textId="515988AC" w:rsidR="00826C07" w:rsidRPr="00286216" w:rsidRDefault="00826C07" w:rsidP="00EA729A">
            <w:pPr>
              <w:pStyle w:val="StyleZakonu"/>
              <w:rPr>
                <w:color w:val="000000" w:themeColor="text1"/>
              </w:rPr>
            </w:pPr>
            <w:r w:rsidRPr="00286216">
              <w:rPr>
                <w:color w:val="000000" w:themeColor="text1"/>
              </w:rPr>
              <w:t>б) в абзаці першому частини першої слово "недержавних" виключити</w:t>
            </w:r>
            <w:r w:rsidR="00EA729A" w:rsidRPr="00286216">
              <w:rPr>
                <w:color w:val="000000" w:themeColor="text1"/>
              </w:rPr>
              <w:t xml:space="preserve"> та</w:t>
            </w:r>
            <w:r w:rsidRPr="00286216">
              <w:rPr>
                <w:color w:val="000000" w:themeColor="text1"/>
              </w:rPr>
              <w:t xml:space="preserve"> доповнити словами "(крім державних цінних паперів), що існують </w:t>
            </w:r>
            <w:r w:rsidR="00EA729A" w:rsidRPr="00286216">
              <w:rPr>
                <w:color w:val="000000" w:themeColor="text1"/>
              </w:rPr>
              <w:t>у</w:t>
            </w:r>
            <w:r w:rsidRPr="00286216">
              <w:rPr>
                <w:color w:val="000000" w:themeColor="text1"/>
              </w:rPr>
              <w:t xml:space="preserve"> </w:t>
            </w:r>
            <w:r w:rsidRPr="00286216">
              <w:rPr>
                <w:color w:val="000000" w:themeColor="text1"/>
                <w:szCs w:val="18"/>
              </w:rPr>
              <w:t>паперовій</w:t>
            </w:r>
            <w:r w:rsidRPr="00286216">
              <w:rPr>
                <w:color w:val="000000" w:themeColor="text1"/>
              </w:rPr>
              <w:t xml:space="preserve"> формі";</w:t>
            </w:r>
          </w:p>
        </w:tc>
      </w:tr>
      <w:tr w:rsidR="00826C07" w:rsidRPr="00286216" w14:paraId="0B9834C6" w14:textId="77777777" w:rsidTr="00091AA5">
        <w:tc>
          <w:tcPr>
            <w:tcW w:w="576" w:type="dxa"/>
          </w:tcPr>
          <w:p w14:paraId="1C8CAA8B" w14:textId="77777777" w:rsidR="00826C07" w:rsidRPr="00286216" w:rsidRDefault="00826C07" w:rsidP="00826C07">
            <w:pPr>
              <w:pStyle w:val="StyleWisnow"/>
              <w:rPr>
                <w:color w:val="000000" w:themeColor="text1"/>
              </w:rPr>
            </w:pPr>
            <w:bookmarkStart w:id="2526" w:name="n2655" w:colFirst="0" w:colLast="0"/>
            <w:bookmarkEnd w:id="2525"/>
            <w:r w:rsidRPr="00286216">
              <w:rPr>
                <w:color w:val="000000" w:themeColor="text1"/>
              </w:rPr>
              <w:t>2655.</w:t>
            </w:r>
          </w:p>
        </w:tc>
        <w:tc>
          <w:tcPr>
            <w:tcW w:w="4818" w:type="dxa"/>
          </w:tcPr>
          <w:p w14:paraId="5B776000" w14:textId="77777777" w:rsidR="00826C07" w:rsidRPr="00286216" w:rsidRDefault="00826C07" w:rsidP="00826C07">
            <w:pPr>
              <w:pStyle w:val="StyleZakonu"/>
              <w:rPr>
                <w:color w:val="000000" w:themeColor="text1"/>
              </w:rPr>
            </w:pPr>
          </w:p>
        </w:tc>
        <w:tc>
          <w:tcPr>
            <w:tcW w:w="3686" w:type="dxa"/>
          </w:tcPr>
          <w:p w14:paraId="0DAAC11C" w14:textId="1455D548"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1225</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6ABF123B" w14:textId="77777777" w:rsidR="00826C07" w:rsidRPr="00286216" w:rsidRDefault="00826C07" w:rsidP="00826C07">
            <w:pPr>
              <w:pStyle w:val="StyleProp"/>
              <w:spacing w:line="180" w:lineRule="exact"/>
              <w:rPr>
                <w:color w:val="000000" w:themeColor="text1"/>
              </w:rPr>
            </w:pPr>
            <w:r w:rsidRPr="00286216">
              <w:rPr>
                <w:color w:val="000000" w:themeColor="text1"/>
              </w:rPr>
              <w:t>Пункт 3 розділу 3 доповнити новим підпунктом такого змісту:</w:t>
            </w:r>
          </w:p>
          <w:p w14:paraId="3F2B5114" w14:textId="77777777" w:rsidR="00826C07" w:rsidRPr="00286216" w:rsidRDefault="00826C07" w:rsidP="00826C07">
            <w:pPr>
              <w:pStyle w:val="StyleProp"/>
              <w:spacing w:line="180" w:lineRule="exact"/>
              <w:rPr>
                <w:color w:val="000000" w:themeColor="text1"/>
              </w:rPr>
            </w:pPr>
            <w:r w:rsidRPr="00286216">
              <w:rPr>
                <w:color w:val="000000" w:themeColor="text1"/>
              </w:rPr>
              <w:t>«__) у статті 232:</w:t>
            </w:r>
          </w:p>
          <w:p w14:paraId="7BD23877" w14:textId="77777777" w:rsidR="00826C07" w:rsidRPr="00286216" w:rsidRDefault="00826C07" w:rsidP="00826C07">
            <w:pPr>
              <w:pStyle w:val="StyleProp"/>
              <w:spacing w:line="180" w:lineRule="exact"/>
              <w:rPr>
                <w:color w:val="000000" w:themeColor="text1"/>
                <w:szCs w:val="18"/>
              </w:rPr>
            </w:pPr>
            <w:r w:rsidRPr="00286216">
              <w:rPr>
                <w:color w:val="000000" w:themeColor="text1"/>
              </w:rPr>
              <w:t>а) у назві та абзаці першому статті слова «або банківської таємниці» замінити словами «, банківської таємниці або професійної таємниці на ринках капіталу та організованих товарних ринках».».</w:t>
            </w:r>
          </w:p>
        </w:tc>
        <w:tc>
          <w:tcPr>
            <w:tcW w:w="1987" w:type="dxa"/>
          </w:tcPr>
          <w:p w14:paraId="4ACD2304" w14:textId="77777777" w:rsidR="00826C07" w:rsidRPr="00286216" w:rsidRDefault="00826C07" w:rsidP="00826C07">
            <w:pPr>
              <w:pStyle w:val="StyleWisnow"/>
              <w:rPr>
                <w:color w:val="000000" w:themeColor="text1"/>
              </w:rPr>
            </w:pPr>
            <w:r w:rsidRPr="00286216">
              <w:rPr>
                <w:color w:val="000000" w:themeColor="text1"/>
              </w:rPr>
              <w:t>Враховано</w:t>
            </w:r>
          </w:p>
          <w:p w14:paraId="3AC53EF9" w14:textId="77777777" w:rsidR="00826C07" w:rsidRPr="00286216" w:rsidRDefault="00826C07" w:rsidP="00826C07">
            <w:pPr>
              <w:pStyle w:val="StyleWisnow"/>
              <w:rPr>
                <w:color w:val="000000" w:themeColor="text1"/>
              </w:rPr>
            </w:pPr>
          </w:p>
        </w:tc>
        <w:tc>
          <w:tcPr>
            <w:tcW w:w="4818" w:type="dxa"/>
          </w:tcPr>
          <w:p w14:paraId="73BB4A95" w14:textId="36E47202" w:rsidR="00826C07" w:rsidRPr="00286216" w:rsidRDefault="00EA729A" w:rsidP="00826C07">
            <w:pPr>
              <w:pStyle w:val="StyleZakonu"/>
              <w:rPr>
                <w:color w:val="000000" w:themeColor="text1"/>
              </w:rPr>
            </w:pPr>
            <w:r w:rsidRPr="00286216">
              <w:rPr>
                <w:color w:val="000000" w:themeColor="text1"/>
              </w:rPr>
              <w:t>7</w:t>
            </w:r>
            <w:r w:rsidR="00826C07" w:rsidRPr="00286216">
              <w:rPr>
                <w:color w:val="000000" w:themeColor="text1"/>
              </w:rPr>
              <w:t xml:space="preserve">) у назві та абзаці першому статті </w:t>
            </w:r>
            <w:r w:rsidRPr="00286216">
              <w:rPr>
                <w:color w:val="000000" w:themeColor="text1"/>
              </w:rPr>
              <w:t xml:space="preserve">232 </w:t>
            </w:r>
            <w:r w:rsidR="00826C07" w:rsidRPr="00286216">
              <w:rPr>
                <w:color w:val="000000" w:themeColor="text1"/>
              </w:rPr>
              <w:t>слова "або банківської таємниці" замінити словами "банківської таємниці або професійної таємниці на ринках капіталу та організованих товарних ринках";</w:t>
            </w:r>
          </w:p>
          <w:p w14:paraId="73291F07" w14:textId="74F68C97" w:rsidR="00826C07" w:rsidRPr="00286216" w:rsidRDefault="00EA729A" w:rsidP="00EA729A">
            <w:pPr>
              <w:pStyle w:val="StyleZakonu"/>
              <w:rPr>
                <w:color w:val="000000" w:themeColor="text1"/>
              </w:rPr>
            </w:pPr>
            <w:r w:rsidRPr="00286216">
              <w:rPr>
                <w:color w:val="000000" w:themeColor="text1"/>
              </w:rPr>
              <w:t>8</w:t>
            </w:r>
            <w:r w:rsidR="00826C07" w:rsidRPr="00286216">
              <w:rPr>
                <w:color w:val="000000" w:themeColor="text1"/>
              </w:rPr>
              <w:t>) у статті 232</w:t>
            </w:r>
            <w:r w:rsidR="00826C07" w:rsidRPr="00286216">
              <w:rPr>
                <w:color w:val="000000" w:themeColor="text1"/>
                <w:vertAlign w:val="superscript"/>
              </w:rPr>
              <w:t>1</w:t>
            </w:r>
            <w:r w:rsidR="00826C07" w:rsidRPr="00286216">
              <w:rPr>
                <w:color w:val="000000" w:themeColor="text1"/>
              </w:rPr>
              <w:t>:</w:t>
            </w:r>
          </w:p>
        </w:tc>
      </w:tr>
      <w:tr w:rsidR="00826C07" w:rsidRPr="00286216" w14:paraId="63F10D33" w14:textId="77777777" w:rsidTr="00091AA5">
        <w:tc>
          <w:tcPr>
            <w:tcW w:w="576" w:type="dxa"/>
          </w:tcPr>
          <w:p w14:paraId="692D52B0" w14:textId="77777777" w:rsidR="00826C07" w:rsidRPr="00286216" w:rsidRDefault="00826C07" w:rsidP="00826C07">
            <w:pPr>
              <w:pStyle w:val="StyleWisnow"/>
              <w:rPr>
                <w:color w:val="000000" w:themeColor="text1"/>
              </w:rPr>
            </w:pPr>
            <w:bookmarkStart w:id="2527" w:name="n2656" w:colFirst="0" w:colLast="0"/>
            <w:bookmarkEnd w:id="2526"/>
            <w:r w:rsidRPr="00286216">
              <w:rPr>
                <w:color w:val="000000" w:themeColor="text1"/>
              </w:rPr>
              <w:t>2656.</w:t>
            </w:r>
          </w:p>
        </w:tc>
        <w:tc>
          <w:tcPr>
            <w:tcW w:w="4818" w:type="dxa"/>
          </w:tcPr>
          <w:p w14:paraId="0ACA2413" w14:textId="77777777" w:rsidR="00826C07" w:rsidRPr="00286216" w:rsidRDefault="00826C07" w:rsidP="00826C07">
            <w:pPr>
              <w:pStyle w:val="StyleZakonu"/>
              <w:rPr>
                <w:color w:val="000000" w:themeColor="text1"/>
              </w:rPr>
            </w:pPr>
            <w:r w:rsidRPr="00286216">
              <w:rPr>
                <w:color w:val="000000" w:themeColor="text1"/>
              </w:rPr>
              <w:t>а) абзац перший частини першої викласти в такій редакції:</w:t>
            </w:r>
          </w:p>
        </w:tc>
        <w:tc>
          <w:tcPr>
            <w:tcW w:w="3686" w:type="dxa"/>
          </w:tcPr>
          <w:p w14:paraId="07D6A33B" w14:textId="77777777" w:rsidR="00826C07" w:rsidRPr="00286216" w:rsidRDefault="00826C07" w:rsidP="00826C07">
            <w:pPr>
              <w:pStyle w:val="StyleProp"/>
              <w:rPr>
                <w:color w:val="000000" w:themeColor="text1"/>
                <w:szCs w:val="18"/>
              </w:rPr>
            </w:pPr>
          </w:p>
        </w:tc>
        <w:tc>
          <w:tcPr>
            <w:tcW w:w="1987" w:type="dxa"/>
          </w:tcPr>
          <w:p w14:paraId="5040B5FF" w14:textId="77777777" w:rsidR="00826C07" w:rsidRPr="00286216" w:rsidRDefault="00826C07" w:rsidP="00826C07">
            <w:pPr>
              <w:pStyle w:val="StyleWisnow"/>
              <w:rPr>
                <w:color w:val="000000" w:themeColor="text1"/>
              </w:rPr>
            </w:pPr>
          </w:p>
        </w:tc>
        <w:tc>
          <w:tcPr>
            <w:tcW w:w="4818" w:type="dxa"/>
          </w:tcPr>
          <w:p w14:paraId="5D92CDE1" w14:textId="77777777" w:rsidR="00826C07" w:rsidRPr="00286216" w:rsidRDefault="00826C07" w:rsidP="00826C07">
            <w:pPr>
              <w:pStyle w:val="StyleZakonu"/>
              <w:rPr>
                <w:color w:val="000000" w:themeColor="text1"/>
              </w:rPr>
            </w:pPr>
            <w:r w:rsidRPr="00286216">
              <w:rPr>
                <w:color w:val="000000" w:themeColor="text1"/>
              </w:rPr>
              <w:t>а) абзац перший частини першої викласти в такій редакції:</w:t>
            </w:r>
          </w:p>
        </w:tc>
      </w:tr>
      <w:tr w:rsidR="00826C07" w:rsidRPr="00286216" w14:paraId="09AF961C" w14:textId="77777777" w:rsidTr="00091AA5">
        <w:tc>
          <w:tcPr>
            <w:tcW w:w="576" w:type="dxa"/>
          </w:tcPr>
          <w:p w14:paraId="31943CEA" w14:textId="77777777" w:rsidR="00826C07" w:rsidRPr="00286216" w:rsidRDefault="00826C07" w:rsidP="00826C07">
            <w:pPr>
              <w:pStyle w:val="StyleWisnow"/>
              <w:rPr>
                <w:color w:val="000000" w:themeColor="text1"/>
              </w:rPr>
            </w:pPr>
            <w:bookmarkStart w:id="2528" w:name="n2657" w:colFirst="0" w:colLast="0"/>
            <w:bookmarkEnd w:id="2527"/>
            <w:r w:rsidRPr="00286216">
              <w:rPr>
                <w:color w:val="000000" w:themeColor="text1"/>
              </w:rPr>
              <w:t>2657.</w:t>
            </w:r>
          </w:p>
        </w:tc>
        <w:tc>
          <w:tcPr>
            <w:tcW w:w="4818" w:type="dxa"/>
          </w:tcPr>
          <w:p w14:paraId="1EF19941" w14:textId="77777777" w:rsidR="00826C07" w:rsidRPr="00286216" w:rsidRDefault="00826C07" w:rsidP="00826C07">
            <w:pPr>
              <w:pStyle w:val="StyleZakonu"/>
              <w:rPr>
                <w:color w:val="000000" w:themeColor="text1"/>
              </w:rPr>
            </w:pPr>
            <w:r w:rsidRPr="00286216">
              <w:rPr>
                <w:color w:val="000000" w:themeColor="text1"/>
              </w:rPr>
              <w:t>"1. Порушення заборони використання інсайдерської інформації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ринків капіталу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tc>
        <w:tc>
          <w:tcPr>
            <w:tcW w:w="3686" w:type="dxa"/>
          </w:tcPr>
          <w:p w14:paraId="67AD6EFB" w14:textId="307BF78B"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5910797" w14:textId="1CBA8594" w:rsidR="00826C07" w:rsidRPr="00286216" w:rsidRDefault="00826C07" w:rsidP="00826C07">
            <w:pPr>
              <w:pStyle w:val="StyleProp"/>
              <w:spacing w:line="180" w:lineRule="exact"/>
              <w:rPr>
                <w:color w:val="000000" w:themeColor="text1"/>
                <w:szCs w:val="18"/>
              </w:rPr>
            </w:pPr>
            <w:r w:rsidRPr="00286216">
              <w:rPr>
                <w:color w:val="000000" w:themeColor="text1"/>
              </w:rPr>
              <w:t>В абзаці 3 підпункту 7 пункту 3 слова "учасником ринків капіталу чи третіми особами значних збитків" замінити словами " особою, яка вчинила зазначені дії, чи третіми особами".</w:t>
            </w:r>
          </w:p>
        </w:tc>
        <w:tc>
          <w:tcPr>
            <w:tcW w:w="1987" w:type="dxa"/>
          </w:tcPr>
          <w:p w14:paraId="2DE5C192" w14:textId="77777777" w:rsidR="00826C07" w:rsidRPr="00286216" w:rsidRDefault="00826C07" w:rsidP="00826C07">
            <w:pPr>
              <w:pStyle w:val="StyleWisnow"/>
              <w:rPr>
                <w:color w:val="000000" w:themeColor="text1"/>
              </w:rPr>
            </w:pPr>
            <w:r w:rsidRPr="00286216">
              <w:rPr>
                <w:color w:val="000000" w:themeColor="text1"/>
              </w:rPr>
              <w:t>Враховано</w:t>
            </w:r>
          </w:p>
          <w:p w14:paraId="17DCEF72" w14:textId="77777777" w:rsidR="00826C07" w:rsidRPr="00286216" w:rsidRDefault="00826C07" w:rsidP="00826C07">
            <w:pPr>
              <w:pStyle w:val="StyleWisnow"/>
              <w:rPr>
                <w:color w:val="000000" w:themeColor="text1"/>
              </w:rPr>
            </w:pPr>
          </w:p>
        </w:tc>
        <w:tc>
          <w:tcPr>
            <w:tcW w:w="4818" w:type="dxa"/>
          </w:tcPr>
          <w:p w14:paraId="11DA95C0" w14:textId="317C8334" w:rsidR="00826C07" w:rsidRPr="00286216" w:rsidRDefault="00826C07" w:rsidP="00EA729A">
            <w:pPr>
              <w:pStyle w:val="StyleZakonu"/>
              <w:rPr>
                <w:color w:val="000000" w:themeColor="text1"/>
              </w:rPr>
            </w:pPr>
            <w:r w:rsidRPr="00286216">
              <w:rPr>
                <w:color w:val="000000" w:themeColor="text1"/>
              </w:rPr>
              <w:t>"1. Порушення заборони використання інсайдерської інформації, якщо це призвело до отримання особою, яка вчинила зазначені дії, чи третіми особами необґрунтованого прибутку в значному розмірі, або уникнення особою, яка вчинила зазначені дії,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w:t>
            </w:r>
          </w:p>
        </w:tc>
      </w:tr>
      <w:tr w:rsidR="00826C07" w:rsidRPr="00286216" w14:paraId="31F4EF6A" w14:textId="77777777" w:rsidTr="00091AA5">
        <w:tc>
          <w:tcPr>
            <w:tcW w:w="576" w:type="dxa"/>
          </w:tcPr>
          <w:p w14:paraId="301E5BDB" w14:textId="77777777" w:rsidR="00826C07" w:rsidRPr="00286216" w:rsidRDefault="00826C07" w:rsidP="00826C07">
            <w:pPr>
              <w:pStyle w:val="StyleWisnow"/>
              <w:rPr>
                <w:color w:val="000000" w:themeColor="text1"/>
              </w:rPr>
            </w:pPr>
            <w:bookmarkStart w:id="2529" w:name="n2658" w:colFirst="0" w:colLast="0"/>
            <w:bookmarkEnd w:id="2528"/>
            <w:r w:rsidRPr="00286216">
              <w:rPr>
                <w:color w:val="000000" w:themeColor="text1"/>
              </w:rPr>
              <w:t>2658.</w:t>
            </w:r>
          </w:p>
        </w:tc>
        <w:tc>
          <w:tcPr>
            <w:tcW w:w="4818" w:type="dxa"/>
          </w:tcPr>
          <w:p w14:paraId="17B6B66E" w14:textId="77777777" w:rsidR="00826C07" w:rsidRPr="00286216" w:rsidRDefault="00826C07" w:rsidP="00826C07">
            <w:pPr>
              <w:pStyle w:val="StyleZakonu"/>
              <w:rPr>
                <w:color w:val="000000" w:themeColor="text1"/>
              </w:rPr>
            </w:pPr>
            <w:r w:rsidRPr="00286216">
              <w:rPr>
                <w:color w:val="000000" w:themeColor="text1"/>
              </w:rPr>
              <w:t>б) абзац перший частини другої викласти в такій редакції:</w:t>
            </w:r>
          </w:p>
        </w:tc>
        <w:tc>
          <w:tcPr>
            <w:tcW w:w="3686" w:type="dxa"/>
          </w:tcPr>
          <w:p w14:paraId="57815394" w14:textId="77777777" w:rsidR="00826C07" w:rsidRPr="00286216" w:rsidRDefault="00826C07" w:rsidP="00826C07">
            <w:pPr>
              <w:pStyle w:val="StyleProp"/>
              <w:rPr>
                <w:color w:val="000000" w:themeColor="text1"/>
                <w:szCs w:val="18"/>
              </w:rPr>
            </w:pPr>
          </w:p>
        </w:tc>
        <w:tc>
          <w:tcPr>
            <w:tcW w:w="1987" w:type="dxa"/>
          </w:tcPr>
          <w:p w14:paraId="177048C2" w14:textId="77777777" w:rsidR="00826C07" w:rsidRPr="00286216" w:rsidRDefault="00826C07" w:rsidP="00826C07">
            <w:pPr>
              <w:pStyle w:val="StyleWisnow"/>
              <w:rPr>
                <w:color w:val="000000" w:themeColor="text1"/>
              </w:rPr>
            </w:pPr>
          </w:p>
        </w:tc>
        <w:tc>
          <w:tcPr>
            <w:tcW w:w="4818" w:type="dxa"/>
          </w:tcPr>
          <w:p w14:paraId="49A3F4D8" w14:textId="77777777" w:rsidR="00826C07" w:rsidRPr="00286216" w:rsidRDefault="00826C07" w:rsidP="00826C07">
            <w:pPr>
              <w:pStyle w:val="StyleZakonu"/>
              <w:rPr>
                <w:color w:val="000000" w:themeColor="text1"/>
              </w:rPr>
            </w:pPr>
            <w:r w:rsidRPr="00286216">
              <w:rPr>
                <w:color w:val="000000" w:themeColor="text1"/>
              </w:rPr>
              <w:t>б) абзац перший частини другої викласти в такій редакції:</w:t>
            </w:r>
          </w:p>
        </w:tc>
      </w:tr>
      <w:tr w:rsidR="00826C07" w:rsidRPr="00286216" w14:paraId="0273235A" w14:textId="77777777" w:rsidTr="00091AA5">
        <w:tc>
          <w:tcPr>
            <w:tcW w:w="576" w:type="dxa"/>
          </w:tcPr>
          <w:p w14:paraId="1C919365" w14:textId="77777777" w:rsidR="00826C07" w:rsidRPr="00286216" w:rsidRDefault="00826C07" w:rsidP="00826C07">
            <w:pPr>
              <w:pStyle w:val="StyleWisnow"/>
              <w:rPr>
                <w:color w:val="000000" w:themeColor="text1"/>
              </w:rPr>
            </w:pPr>
            <w:bookmarkStart w:id="2530" w:name="n2659" w:colFirst="0" w:colLast="0"/>
            <w:bookmarkEnd w:id="2529"/>
            <w:r w:rsidRPr="00286216">
              <w:rPr>
                <w:color w:val="000000" w:themeColor="text1"/>
              </w:rPr>
              <w:t>2659.</w:t>
            </w:r>
          </w:p>
        </w:tc>
        <w:tc>
          <w:tcPr>
            <w:tcW w:w="4818" w:type="dxa"/>
          </w:tcPr>
          <w:p w14:paraId="17D05406" w14:textId="77777777" w:rsidR="00826C07" w:rsidRPr="00286216" w:rsidRDefault="00826C07" w:rsidP="00826C07">
            <w:pPr>
              <w:pStyle w:val="StyleZakonu"/>
              <w:rPr>
                <w:color w:val="000000" w:themeColor="text1"/>
              </w:rPr>
            </w:pPr>
            <w:r w:rsidRPr="00286216">
              <w:rPr>
                <w:color w:val="000000" w:themeColor="text1"/>
              </w:rPr>
              <w:t xml:space="preserve">"2. Вчинення з використанням інсайдерської інформації на власну користь або на користь інших осіб правочинів, спрямованих на придбання або відчуження (заміну сторін) фінансових інструментів, яких стосується інсайдерська інформація,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ринків </w:t>
            </w:r>
            <w:r w:rsidRPr="00286216">
              <w:rPr>
                <w:color w:val="000000" w:themeColor="text1"/>
              </w:rPr>
              <w:lastRenderedPageBreak/>
              <w:t>капіталу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tc>
        <w:tc>
          <w:tcPr>
            <w:tcW w:w="3686" w:type="dxa"/>
          </w:tcPr>
          <w:p w14:paraId="2E3424DA" w14:textId="77777777" w:rsidR="00826C07" w:rsidRPr="00286216" w:rsidRDefault="00826C07" w:rsidP="00826C07">
            <w:pPr>
              <w:pStyle w:val="StyleProp"/>
              <w:rPr>
                <w:color w:val="000000" w:themeColor="text1"/>
                <w:szCs w:val="18"/>
              </w:rPr>
            </w:pPr>
          </w:p>
        </w:tc>
        <w:tc>
          <w:tcPr>
            <w:tcW w:w="1987" w:type="dxa"/>
          </w:tcPr>
          <w:p w14:paraId="21767B4A" w14:textId="77777777" w:rsidR="00826C07" w:rsidRPr="00286216" w:rsidRDefault="00826C07" w:rsidP="00826C07">
            <w:pPr>
              <w:pStyle w:val="StyleWisnow"/>
              <w:rPr>
                <w:color w:val="000000" w:themeColor="text1"/>
              </w:rPr>
            </w:pPr>
          </w:p>
        </w:tc>
        <w:tc>
          <w:tcPr>
            <w:tcW w:w="4818" w:type="dxa"/>
          </w:tcPr>
          <w:p w14:paraId="59649348" w14:textId="10C22F98" w:rsidR="00826C07" w:rsidRPr="00286216" w:rsidRDefault="00826C07" w:rsidP="00EA729A">
            <w:pPr>
              <w:pStyle w:val="StyleZakonu"/>
              <w:rPr>
                <w:color w:val="000000" w:themeColor="text1"/>
              </w:rPr>
            </w:pPr>
            <w:r w:rsidRPr="00286216">
              <w:rPr>
                <w:color w:val="000000" w:themeColor="text1"/>
              </w:rPr>
              <w:t xml:space="preserve">"2. Вчинення з використанням інсайдерської інформації на власну користь або на користь інших осіб правочинів, спрямованих на придбання або відчуження (заміну сторін) фінансових інструментів, яких стосується інсайдерська інформація,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ринків </w:t>
            </w:r>
            <w:r w:rsidRPr="00286216">
              <w:rPr>
                <w:color w:val="000000" w:themeColor="text1"/>
              </w:rPr>
              <w:lastRenderedPageBreak/>
              <w:t>капіталу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w:t>
            </w:r>
          </w:p>
        </w:tc>
      </w:tr>
      <w:tr w:rsidR="00826C07" w:rsidRPr="00286216" w14:paraId="02584B78" w14:textId="77777777" w:rsidTr="00091AA5">
        <w:tc>
          <w:tcPr>
            <w:tcW w:w="576" w:type="dxa"/>
          </w:tcPr>
          <w:p w14:paraId="161FE048" w14:textId="77777777" w:rsidR="00826C07" w:rsidRPr="00286216" w:rsidRDefault="00826C07" w:rsidP="00826C07">
            <w:pPr>
              <w:pStyle w:val="StyleWisnow"/>
              <w:rPr>
                <w:color w:val="000000" w:themeColor="text1"/>
              </w:rPr>
            </w:pPr>
            <w:bookmarkStart w:id="2531" w:name="n2660" w:colFirst="0" w:colLast="0"/>
            <w:bookmarkEnd w:id="2530"/>
            <w:r w:rsidRPr="00286216">
              <w:rPr>
                <w:color w:val="000000" w:themeColor="text1"/>
              </w:rPr>
              <w:lastRenderedPageBreak/>
              <w:t>2660.</w:t>
            </w:r>
          </w:p>
        </w:tc>
        <w:tc>
          <w:tcPr>
            <w:tcW w:w="4818" w:type="dxa"/>
          </w:tcPr>
          <w:p w14:paraId="5FEBE08E" w14:textId="77777777" w:rsidR="00826C07" w:rsidRPr="00286216" w:rsidRDefault="00826C07" w:rsidP="00826C07">
            <w:pPr>
              <w:pStyle w:val="StyleZakonu"/>
              <w:rPr>
                <w:color w:val="000000" w:themeColor="text1"/>
              </w:rPr>
            </w:pPr>
            <w:r w:rsidRPr="00286216">
              <w:rPr>
                <w:color w:val="000000" w:themeColor="text1"/>
              </w:rPr>
              <w:t>в) у пункті 3 примітки слова "фондового ринку" замінити словами "ринків капіталу";</w:t>
            </w:r>
          </w:p>
        </w:tc>
        <w:tc>
          <w:tcPr>
            <w:tcW w:w="3686" w:type="dxa"/>
          </w:tcPr>
          <w:p w14:paraId="7712937B" w14:textId="77777777" w:rsidR="00826C07" w:rsidRPr="00286216" w:rsidRDefault="00826C07" w:rsidP="00826C07">
            <w:pPr>
              <w:pStyle w:val="StyleProp"/>
              <w:rPr>
                <w:color w:val="000000" w:themeColor="text1"/>
                <w:szCs w:val="18"/>
              </w:rPr>
            </w:pPr>
          </w:p>
        </w:tc>
        <w:tc>
          <w:tcPr>
            <w:tcW w:w="1987" w:type="dxa"/>
          </w:tcPr>
          <w:p w14:paraId="1EB0C51B" w14:textId="77777777" w:rsidR="00826C07" w:rsidRPr="00286216" w:rsidRDefault="00826C07" w:rsidP="00826C07">
            <w:pPr>
              <w:pStyle w:val="StyleWisnow"/>
              <w:rPr>
                <w:color w:val="000000" w:themeColor="text1"/>
              </w:rPr>
            </w:pPr>
          </w:p>
        </w:tc>
        <w:tc>
          <w:tcPr>
            <w:tcW w:w="4818" w:type="dxa"/>
          </w:tcPr>
          <w:p w14:paraId="7E86542D" w14:textId="77777777" w:rsidR="00826C07" w:rsidRPr="00286216" w:rsidRDefault="00826C07" w:rsidP="00826C07">
            <w:pPr>
              <w:pStyle w:val="StyleZakonu"/>
              <w:rPr>
                <w:color w:val="000000" w:themeColor="text1"/>
              </w:rPr>
            </w:pPr>
            <w:r w:rsidRPr="00286216">
              <w:rPr>
                <w:color w:val="000000" w:themeColor="text1"/>
              </w:rPr>
              <w:t>в) у пункті 3 примітки слова "фондового ринку" замінити словами "ринків капіталу";</w:t>
            </w:r>
          </w:p>
        </w:tc>
      </w:tr>
      <w:bookmarkEnd w:id="2531"/>
      <w:tr w:rsidR="00826C07" w:rsidRPr="00286216" w14:paraId="6CED5C0D" w14:textId="77777777" w:rsidTr="00091AA5">
        <w:tc>
          <w:tcPr>
            <w:tcW w:w="576" w:type="dxa"/>
          </w:tcPr>
          <w:p w14:paraId="1053FDA8" w14:textId="77777777" w:rsidR="00826C07" w:rsidRPr="00286216" w:rsidRDefault="00826C07" w:rsidP="00826C07">
            <w:pPr>
              <w:pStyle w:val="StyleWisnow"/>
              <w:rPr>
                <w:color w:val="000000" w:themeColor="text1"/>
              </w:rPr>
            </w:pPr>
          </w:p>
        </w:tc>
        <w:tc>
          <w:tcPr>
            <w:tcW w:w="4818" w:type="dxa"/>
          </w:tcPr>
          <w:p w14:paraId="0136DF51" w14:textId="77777777" w:rsidR="00826C07" w:rsidRPr="00286216" w:rsidRDefault="00826C07" w:rsidP="00826C07">
            <w:pPr>
              <w:pStyle w:val="StyleZakonu"/>
              <w:rPr>
                <w:color w:val="000000" w:themeColor="text1"/>
              </w:rPr>
            </w:pPr>
          </w:p>
        </w:tc>
        <w:tc>
          <w:tcPr>
            <w:tcW w:w="3686" w:type="dxa"/>
          </w:tcPr>
          <w:p w14:paraId="3121E345" w14:textId="6281EE68"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C18946C" w14:textId="77777777" w:rsidR="00826C07" w:rsidRPr="00286216" w:rsidRDefault="00826C07" w:rsidP="00826C07">
            <w:pPr>
              <w:pStyle w:val="StyleAwt"/>
              <w:rPr>
                <w:color w:val="000000" w:themeColor="text1"/>
                <w:spacing w:val="-10"/>
              </w:rPr>
            </w:pPr>
            <w:r w:rsidRPr="00286216">
              <w:rPr>
                <w:color w:val="000000" w:themeColor="text1"/>
                <w:spacing w:val="-10"/>
              </w:rPr>
              <w:t xml:space="preserve">          Н.д.Гетманцев Д.О.(Реєстр.картка №245)</w:t>
            </w:r>
          </w:p>
          <w:p w14:paraId="5602EE14" w14:textId="77777777" w:rsidR="00826C07" w:rsidRPr="00286216" w:rsidRDefault="00826C07" w:rsidP="003F49CA">
            <w:pPr>
              <w:pStyle w:val="StyleProp"/>
              <w:spacing w:line="190" w:lineRule="exact"/>
              <w:rPr>
                <w:color w:val="000000" w:themeColor="text1"/>
              </w:rPr>
            </w:pPr>
            <w:r w:rsidRPr="00286216">
              <w:rPr>
                <w:color w:val="000000" w:themeColor="text1"/>
              </w:rPr>
              <w:t>Пункт 3 розділу 3 доповнити новим підпунктом такого змісту:</w:t>
            </w:r>
          </w:p>
          <w:p w14:paraId="49745AA5"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rPr>
              <w:t>"</w:t>
            </w:r>
            <w:r w:rsidRPr="00286216">
              <w:rPr>
                <w:color w:val="000000" w:themeColor="text1"/>
                <w:sz w:val="18"/>
              </w:rPr>
              <w:t>після статті 232-1 доповнити новою статтею такого змісту:</w:t>
            </w:r>
          </w:p>
          <w:p w14:paraId="0FC63C91"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«Стаття 232-2. Незаконне використання інсайдерської інформації щодо оптових енергетичних продуктів</w:t>
            </w:r>
          </w:p>
          <w:p w14:paraId="430E4B3C"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 xml:space="preserve">1. Умисне незаконне розкриття, передача або надання доступу до інсайдерської інформації, а також надання рекомендацій іншим особам щодо купівлі або продажу оптових енергетичних продуктів, перелік яких визначений чинним законодавством у сфері енергетики, на основі інсайдерської інформації якою дана особа володіє,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оптового енергетичного 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 </w:t>
            </w:r>
          </w:p>
          <w:p w14:paraId="16691E5B"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 xml:space="preserve">караються штрафом від сорока тисяч до п’ятдесяти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 </w:t>
            </w:r>
          </w:p>
          <w:p w14:paraId="59BE4F91"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 xml:space="preserve">2. Вчинення на власну користь або на користь інших осіб, прямо або опосередковано правочинів з використанням інсайдерської інформації, спрямованих на купівлю або продаж оптових енергетичних продуктів, перелік яких визначений чинним законодавством у сфері енергетики,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оптового </w:t>
            </w:r>
            <w:r w:rsidRPr="00286216">
              <w:rPr>
                <w:color w:val="000000" w:themeColor="text1"/>
                <w:sz w:val="18"/>
              </w:rPr>
              <w:lastRenderedPageBreak/>
              <w:t xml:space="preserve">енергетичного 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 </w:t>
            </w:r>
          </w:p>
          <w:p w14:paraId="74FF4497"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караються штрафом від п’ятдесяти п’яти тисяч до шістдесяти п’яти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p w14:paraId="7FF749AA"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 xml:space="preserve">3. Дії, передбачені частинами першою або другою цієї статті, вчинені повторно або за попередньою змовою групою осіб, або якщо такі дії спричинили тяжкі наслідки, - </w:t>
            </w:r>
          </w:p>
          <w:p w14:paraId="4CD205DA"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карається штрафом від шістдесяти п’яти тисяч до сімдесяти п’яти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p w14:paraId="30376938"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 xml:space="preserve">4. Дії, передбачені частинами першою - третьою цієї статті, якщо вони вчинені організованою групою, - </w:t>
            </w:r>
          </w:p>
          <w:p w14:paraId="58CC47D5" w14:textId="77777777" w:rsidR="00826C07" w:rsidRPr="00286216" w:rsidRDefault="00826C07" w:rsidP="003F49CA">
            <w:pPr>
              <w:spacing w:line="190" w:lineRule="exact"/>
              <w:ind w:firstLine="227"/>
              <w:jc w:val="both"/>
              <w:rPr>
                <w:color w:val="000000" w:themeColor="text1"/>
                <w:sz w:val="18"/>
              </w:rPr>
            </w:pPr>
            <w:r w:rsidRPr="00286216">
              <w:rPr>
                <w:color w:val="000000" w:themeColor="text1"/>
                <w:sz w:val="18"/>
              </w:rPr>
              <w:t>караються штрафом від шістдесяти тисяч до сімдесяти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w:t>
            </w:r>
          </w:p>
          <w:p w14:paraId="2FECA2F4"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У зв’язку з цим необхідно відповідно змінити нумерацію підпунктів.</w:t>
            </w:r>
          </w:p>
        </w:tc>
        <w:tc>
          <w:tcPr>
            <w:tcW w:w="1987" w:type="dxa"/>
          </w:tcPr>
          <w:p w14:paraId="243425B0" w14:textId="77777777" w:rsidR="00826C07" w:rsidRPr="00286216" w:rsidRDefault="00826C07" w:rsidP="00826C07">
            <w:pPr>
              <w:pStyle w:val="StyleWisnow"/>
              <w:rPr>
                <w:color w:val="000000" w:themeColor="text1"/>
              </w:rPr>
            </w:pPr>
            <w:r w:rsidRPr="00286216">
              <w:rPr>
                <w:color w:val="000000" w:themeColor="text1"/>
              </w:rPr>
              <w:lastRenderedPageBreak/>
              <w:t>Враховано</w:t>
            </w:r>
          </w:p>
        </w:tc>
        <w:tc>
          <w:tcPr>
            <w:tcW w:w="4818" w:type="dxa"/>
          </w:tcPr>
          <w:p w14:paraId="7F968981" w14:textId="20070597" w:rsidR="00826C07" w:rsidRPr="00286216" w:rsidRDefault="00826C07" w:rsidP="00EA729A">
            <w:pPr>
              <w:pStyle w:val="StyleZakonu"/>
              <w:rPr>
                <w:color w:val="000000" w:themeColor="text1"/>
              </w:rPr>
            </w:pPr>
            <w:r w:rsidRPr="00286216">
              <w:rPr>
                <w:color w:val="000000" w:themeColor="text1"/>
              </w:rPr>
              <w:t xml:space="preserve">8) доповнити статтею </w:t>
            </w:r>
            <w:r w:rsidR="00EA729A" w:rsidRPr="00286216">
              <w:rPr>
                <w:color w:val="000000" w:themeColor="text1"/>
              </w:rPr>
              <w:t xml:space="preserve">232 </w:t>
            </w:r>
            <w:r w:rsidR="00EA729A" w:rsidRPr="00286216">
              <w:rPr>
                <w:color w:val="000000" w:themeColor="text1"/>
                <w:vertAlign w:val="superscript"/>
              </w:rPr>
              <w:t>3</w:t>
            </w:r>
            <w:r w:rsidR="00EA729A" w:rsidRPr="00286216">
              <w:rPr>
                <w:color w:val="000000" w:themeColor="text1"/>
              </w:rPr>
              <w:t xml:space="preserve"> </w:t>
            </w:r>
            <w:r w:rsidRPr="00286216">
              <w:rPr>
                <w:color w:val="000000" w:themeColor="text1"/>
              </w:rPr>
              <w:t>такого змісту:</w:t>
            </w:r>
          </w:p>
          <w:p w14:paraId="4D261F63" w14:textId="486E3E48" w:rsidR="00826C07" w:rsidRPr="00286216" w:rsidRDefault="00826C07" w:rsidP="00826C07">
            <w:pPr>
              <w:pStyle w:val="StyleZakonu"/>
              <w:rPr>
                <w:color w:val="000000" w:themeColor="text1"/>
              </w:rPr>
            </w:pPr>
            <w:r w:rsidRPr="00286216">
              <w:rPr>
                <w:color w:val="000000" w:themeColor="text1"/>
              </w:rPr>
              <w:t>"Стаття 232</w:t>
            </w:r>
            <w:r w:rsidR="00EA729A" w:rsidRPr="00286216">
              <w:rPr>
                <w:color w:val="000000" w:themeColor="text1"/>
                <w:vertAlign w:val="superscript"/>
              </w:rPr>
              <w:t>3</w:t>
            </w:r>
            <w:r w:rsidRPr="00286216">
              <w:rPr>
                <w:color w:val="000000" w:themeColor="text1"/>
              </w:rPr>
              <w:t>. Незаконне використання інсайдерської інформації щодо оптових енергетичних продуктів</w:t>
            </w:r>
          </w:p>
          <w:p w14:paraId="4A8EE6D1" w14:textId="1F911F8B" w:rsidR="00826C07" w:rsidRPr="00286216" w:rsidRDefault="00826C07" w:rsidP="00826C07">
            <w:pPr>
              <w:pStyle w:val="StyleZakonu"/>
              <w:rPr>
                <w:color w:val="000000" w:themeColor="text1"/>
              </w:rPr>
            </w:pPr>
            <w:r w:rsidRPr="00286216">
              <w:rPr>
                <w:color w:val="000000" w:themeColor="text1"/>
              </w:rPr>
              <w:t>1. Умисне незаконне розкриття, передача або надання доступу до інсайдерської інформації, а також надання рекомендацій іншим особам щодо купівлі або продажу оптових енергетичних продуктів, перелік яких визначений чинним законодавством у сфері енергетики, на основі інсайдерської інформації</w:t>
            </w:r>
            <w:r w:rsidR="00EA729A" w:rsidRPr="00286216">
              <w:rPr>
                <w:color w:val="000000" w:themeColor="text1"/>
              </w:rPr>
              <w:t>,</w:t>
            </w:r>
            <w:r w:rsidRPr="00286216">
              <w:rPr>
                <w:color w:val="000000" w:themeColor="text1"/>
              </w:rPr>
              <w:t xml:space="preserve"> якою дана особа володіє,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оптового енергетичного 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 </w:t>
            </w:r>
          </w:p>
          <w:p w14:paraId="6739AF33" w14:textId="54999DA9" w:rsidR="00826C07" w:rsidRPr="00286216" w:rsidRDefault="00826C07" w:rsidP="00826C07">
            <w:pPr>
              <w:pStyle w:val="StyleZakonu"/>
              <w:rPr>
                <w:color w:val="000000" w:themeColor="text1"/>
              </w:rPr>
            </w:pPr>
            <w:r w:rsidRPr="00286216">
              <w:rPr>
                <w:color w:val="000000" w:themeColor="text1"/>
              </w:rPr>
              <w:t xml:space="preserve">караються штрафом від сорока тисяч до п’ятдесяти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 </w:t>
            </w:r>
          </w:p>
          <w:p w14:paraId="2B03181D" w14:textId="77777777" w:rsidR="00826C07" w:rsidRPr="00286216" w:rsidRDefault="00826C07" w:rsidP="00826C07">
            <w:pPr>
              <w:pStyle w:val="StyleZakonu"/>
              <w:rPr>
                <w:color w:val="000000" w:themeColor="text1"/>
              </w:rPr>
            </w:pPr>
            <w:r w:rsidRPr="00286216">
              <w:rPr>
                <w:color w:val="000000" w:themeColor="text1"/>
              </w:rPr>
              <w:t xml:space="preserve">2. Вчинення на власну користь або на користь інших осіб, прямо або опосередковано правочинів з використанням інсайдерської інформації, спрямованих на купівлю або продаж оптових енергетичних продуктів, перелік яких визначений чинним законодавством у сфері енергетики,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оптового енергетичного 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w:t>
            </w:r>
            <w:r w:rsidRPr="00286216">
              <w:rPr>
                <w:color w:val="000000" w:themeColor="text1"/>
              </w:rPr>
              <w:lastRenderedPageBreak/>
              <w:t xml:space="preserve">громадським інтересам, або інтересам юридичних осіб, - </w:t>
            </w:r>
          </w:p>
          <w:p w14:paraId="30C0C92F" w14:textId="77777777" w:rsidR="00826C07" w:rsidRPr="00286216" w:rsidRDefault="00826C07" w:rsidP="00826C07">
            <w:pPr>
              <w:pStyle w:val="StyleZakonu"/>
              <w:rPr>
                <w:color w:val="000000" w:themeColor="text1"/>
              </w:rPr>
            </w:pPr>
            <w:r w:rsidRPr="00286216">
              <w:rPr>
                <w:color w:val="000000" w:themeColor="text1"/>
              </w:rPr>
              <w:t>караються штрафом від п’ятдсяти п’яти тисяч до шістдесяти п’яти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p w14:paraId="6EF2CFD6" w14:textId="77777777" w:rsidR="00826C07" w:rsidRPr="00286216" w:rsidRDefault="00826C07" w:rsidP="00826C07">
            <w:pPr>
              <w:pStyle w:val="StyleZakonu"/>
              <w:rPr>
                <w:color w:val="000000" w:themeColor="text1"/>
              </w:rPr>
            </w:pPr>
            <w:r w:rsidRPr="00286216">
              <w:rPr>
                <w:color w:val="000000" w:themeColor="text1"/>
              </w:rPr>
              <w:t xml:space="preserve">3. Дії, передбачені частинами першою або другою цієї статті, вчинені повторно або за попередньою змовою групою осіб, або якщо такі дії спричинили тяжкі наслідки, - </w:t>
            </w:r>
          </w:p>
          <w:p w14:paraId="741C34AF" w14:textId="77777777" w:rsidR="00826C07" w:rsidRPr="00286216" w:rsidRDefault="00826C07" w:rsidP="00826C07">
            <w:pPr>
              <w:pStyle w:val="StyleZakonu"/>
              <w:rPr>
                <w:color w:val="000000" w:themeColor="text1"/>
              </w:rPr>
            </w:pPr>
            <w:r w:rsidRPr="00286216">
              <w:rPr>
                <w:color w:val="000000" w:themeColor="text1"/>
              </w:rPr>
              <w:t>карається штрафом від шістдесяти п’яти тисяч до сімдесяти п’яти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p w14:paraId="791E05CC" w14:textId="77777777" w:rsidR="00826C07" w:rsidRPr="00286216" w:rsidRDefault="00826C07" w:rsidP="00826C07">
            <w:pPr>
              <w:pStyle w:val="StyleZakonu"/>
              <w:rPr>
                <w:color w:val="000000" w:themeColor="text1"/>
              </w:rPr>
            </w:pPr>
            <w:r w:rsidRPr="00286216">
              <w:rPr>
                <w:color w:val="000000" w:themeColor="text1"/>
              </w:rPr>
              <w:t xml:space="preserve">4. Дії, передбачені частинами першою - третьою цієї статті, якщо вони вчинені організованою групою, - </w:t>
            </w:r>
          </w:p>
          <w:p w14:paraId="0FD1566D" w14:textId="77777777" w:rsidR="00826C07" w:rsidRPr="00286216" w:rsidRDefault="00826C07" w:rsidP="00826C07">
            <w:pPr>
              <w:pStyle w:val="StyleZakonu"/>
              <w:rPr>
                <w:color w:val="000000" w:themeColor="text1"/>
              </w:rPr>
            </w:pPr>
            <w:r w:rsidRPr="00286216">
              <w:rPr>
                <w:color w:val="000000" w:themeColor="text1"/>
              </w:rPr>
              <w:t>караються штрафом від шістдесяти тисяч до сімдесяти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w:t>
            </w:r>
          </w:p>
        </w:tc>
      </w:tr>
      <w:tr w:rsidR="00826C07" w:rsidRPr="00286216" w14:paraId="55914316" w14:textId="77777777" w:rsidTr="00091AA5">
        <w:tc>
          <w:tcPr>
            <w:tcW w:w="576" w:type="dxa"/>
          </w:tcPr>
          <w:p w14:paraId="68F1515C" w14:textId="77777777" w:rsidR="00826C07" w:rsidRPr="00286216" w:rsidRDefault="00826C07" w:rsidP="00826C07">
            <w:pPr>
              <w:pStyle w:val="StyleWisnow"/>
              <w:rPr>
                <w:color w:val="000000" w:themeColor="text1"/>
              </w:rPr>
            </w:pPr>
            <w:bookmarkStart w:id="2532" w:name="n2661" w:colFirst="0" w:colLast="0"/>
            <w:r w:rsidRPr="00286216">
              <w:rPr>
                <w:color w:val="000000" w:themeColor="text1"/>
              </w:rPr>
              <w:lastRenderedPageBreak/>
              <w:t>2661.</w:t>
            </w:r>
          </w:p>
        </w:tc>
        <w:tc>
          <w:tcPr>
            <w:tcW w:w="4818" w:type="dxa"/>
          </w:tcPr>
          <w:p w14:paraId="0CCB3355" w14:textId="77777777" w:rsidR="00826C07" w:rsidRPr="00286216" w:rsidRDefault="00826C07" w:rsidP="00826C07">
            <w:pPr>
              <w:pStyle w:val="StyleZakonu"/>
              <w:rPr>
                <w:color w:val="000000" w:themeColor="text1"/>
              </w:rPr>
            </w:pPr>
            <w:r w:rsidRPr="00286216">
              <w:rPr>
                <w:color w:val="000000" w:themeColor="text1"/>
              </w:rPr>
              <w:t>4. У Господарському кодексі України (Відомості Верховної Ради України, 2003 р., №18 - 22, ст. 144, із наступними змінами):</w:t>
            </w:r>
          </w:p>
        </w:tc>
        <w:tc>
          <w:tcPr>
            <w:tcW w:w="3686" w:type="dxa"/>
          </w:tcPr>
          <w:p w14:paraId="6A7CEF7C" w14:textId="77777777" w:rsidR="00826C07" w:rsidRPr="00286216" w:rsidRDefault="00826C07" w:rsidP="00826C07">
            <w:pPr>
              <w:pStyle w:val="StyleProp"/>
              <w:rPr>
                <w:color w:val="000000" w:themeColor="text1"/>
                <w:szCs w:val="18"/>
              </w:rPr>
            </w:pPr>
          </w:p>
        </w:tc>
        <w:tc>
          <w:tcPr>
            <w:tcW w:w="1987" w:type="dxa"/>
          </w:tcPr>
          <w:p w14:paraId="55FC5D4F" w14:textId="77777777" w:rsidR="00826C07" w:rsidRPr="00286216" w:rsidRDefault="00826C07" w:rsidP="00826C07">
            <w:pPr>
              <w:pStyle w:val="StyleWisnow"/>
              <w:rPr>
                <w:color w:val="000000" w:themeColor="text1"/>
              </w:rPr>
            </w:pPr>
          </w:p>
        </w:tc>
        <w:tc>
          <w:tcPr>
            <w:tcW w:w="4818" w:type="dxa"/>
          </w:tcPr>
          <w:p w14:paraId="4D9483CE" w14:textId="4858347C" w:rsidR="00826C07" w:rsidRPr="00286216" w:rsidRDefault="00826C07" w:rsidP="00EA729A">
            <w:pPr>
              <w:pStyle w:val="StyleZakonu"/>
              <w:rPr>
                <w:color w:val="000000" w:themeColor="text1"/>
              </w:rPr>
            </w:pPr>
            <w:r w:rsidRPr="00286216">
              <w:rPr>
                <w:color w:val="000000" w:themeColor="text1"/>
              </w:rPr>
              <w:t>4. У Господарському кодексі України (Відомості Верховної Ради України, 2003 р., №</w:t>
            </w:r>
            <w:r w:rsidR="00EA729A" w:rsidRPr="00286216">
              <w:rPr>
                <w:color w:val="000000" w:themeColor="text1"/>
              </w:rPr>
              <w:t xml:space="preserve"> </w:t>
            </w:r>
            <w:r w:rsidRPr="00286216">
              <w:rPr>
                <w:color w:val="000000" w:themeColor="text1"/>
              </w:rPr>
              <w:t>18 - 22, ст. 144):</w:t>
            </w:r>
          </w:p>
        </w:tc>
      </w:tr>
      <w:tr w:rsidR="00826C07" w:rsidRPr="00286216" w14:paraId="13034632" w14:textId="77777777" w:rsidTr="00091AA5">
        <w:tc>
          <w:tcPr>
            <w:tcW w:w="576" w:type="dxa"/>
          </w:tcPr>
          <w:p w14:paraId="40C7873F" w14:textId="77777777" w:rsidR="00826C07" w:rsidRPr="00286216" w:rsidRDefault="00826C07" w:rsidP="00826C07">
            <w:pPr>
              <w:pStyle w:val="StyleWisnow"/>
              <w:rPr>
                <w:color w:val="000000" w:themeColor="text1"/>
              </w:rPr>
            </w:pPr>
            <w:bookmarkStart w:id="2533" w:name="n2662" w:colFirst="0" w:colLast="0"/>
            <w:bookmarkEnd w:id="2532"/>
            <w:r w:rsidRPr="00286216">
              <w:rPr>
                <w:color w:val="000000" w:themeColor="text1"/>
              </w:rPr>
              <w:t>2662.</w:t>
            </w:r>
          </w:p>
        </w:tc>
        <w:tc>
          <w:tcPr>
            <w:tcW w:w="4818" w:type="dxa"/>
          </w:tcPr>
          <w:p w14:paraId="419C5713" w14:textId="77777777" w:rsidR="00826C07" w:rsidRPr="00286216" w:rsidRDefault="00826C07" w:rsidP="00826C07">
            <w:pPr>
              <w:pStyle w:val="StyleZakonu"/>
              <w:rPr>
                <w:color w:val="000000" w:themeColor="text1"/>
              </w:rPr>
            </w:pPr>
            <w:r w:rsidRPr="00286216">
              <w:rPr>
                <w:color w:val="000000" w:themeColor="text1"/>
              </w:rPr>
              <w:t>1) у частині третій статті 41 слова "і ринках цінних паперів" замінити словами і знаками ", ринках капіталу та організованих товарних ринках";</w:t>
            </w:r>
          </w:p>
        </w:tc>
        <w:tc>
          <w:tcPr>
            <w:tcW w:w="3686" w:type="dxa"/>
          </w:tcPr>
          <w:p w14:paraId="25C54FEB" w14:textId="77777777" w:rsidR="00826C07" w:rsidRPr="00286216" w:rsidRDefault="00826C07" w:rsidP="00826C07">
            <w:pPr>
              <w:pStyle w:val="StyleProp"/>
              <w:rPr>
                <w:color w:val="000000" w:themeColor="text1"/>
                <w:szCs w:val="18"/>
              </w:rPr>
            </w:pPr>
          </w:p>
        </w:tc>
        <w:tc>
          <w:tcPr>
            <w:tcW w:w="1987" w:type="dxa"/>
          </w:tcPr>
          <w:p w14:paraId="1D979FF2" w14:textId="77777777" w:rsidR="00826C07" w:rsidRPr="00286216" w:rsidRDefault="00826C07" w:rsidP="00826C07">
            <w:pPr>
              <w:pStyle w:val="StyleWisnow"/>
              <w:rPr>
                <w:color w:val="000000" w:themeColor="text1"/>
              </w:rPr>
            </w:pPr>
          </w:p>
        </w:tc>
        <w:tc>
          <w:tcPr>
            <w:tcW w:w="4818" w:type="dxa"/>
          </w:tcPr>
          <w:p w14:paraId="5CDFDBE2" w14:textId="7F9E220A" w:rsidR="00826C07" w:rsidRPr="00286216" w:rsidRDefault="00826C07" w:rsidP="00EA729A">
            <w:pPr>
              <w:pStyle w:val="StyleZakonu"/>
              <w:rPr>
                <w:color w:val="000000" w:themeColor="text1"/>
              </w:rPr>
            </w:pPr>
            <w:r w:rsidRPr="00286216">
              <w:rPr>
                <w:color w:val="000000" w:themeColor="text1"/>
              </w:rPr>
              <w:t>1) у частині третій статті 41 слова "і ринках цінних паперів" замінити словами "ринках капіталу та організованих товарних ринках";</w:t>
            </w:r>
          </w:p>
        </w:tc>
      </w:tr>
      <w:tr w:rsidR="00826C07" w:rsidRPr="00286216" w14:paraId="4FED0CBC" w14:textId="77777777" w:rsidTr="00091AA5">
        <w:tc>
          <w:tcPr>
            <w:tcW w:w="576" w:type="dxa"/>
          </w:tcPr>
          <w:p w14:paraId="7FA89E83" w14:textId="77777777" w:rsidR="00826C07" w:rsidRPr="00286216" w:rsidRDefault="00826C07" w:rsidP="00826C07">
            <w:pPr>
              <w:pStyle w:val="StyleWisnow"/>
              <w:rPr>
                <w:color w:val="000000" w:themeColor="text1"/>
              </w:rPr>
            </w:pPr>
            <w:bookmarkStart w:id="2534" w:name="n2663" w:colFirst="0" w:colLast="0"/>
            <w:bookmarkEnd w:id="2533"/>
            <w:r w:rsidRPr="00286216">
              <w:rPr>
                <w:color w:val="000000" w:themeColor="text1"/>
              </w:rPr>
              <w:t>2663.</w:t>
            </w:r>
          </w:p>
        </w:tc>
        <w:tc>
          <w:tcPr>
            <w:tcW w:w="4818" w:type="dxa"/>
          </w:tcPr>
          <w:p w14:paraId="02D60A32" w14:textId="77777777" w:rsidR="00826C07" w:rsidRPr="00286216" w:rsidRDefault="00826C07" w:rsidP="00826C07">
            <w:pPr>
              <w:pStyle w:val="StyleZakonu"/>
              <w:rPr>
                <w:color w:val="000000" w:themeColor="text1"/>
              </w:rPr>
            </w:pPr>
            <w:r w:rsidRPr="00286216">
              <w:rPr>
                <w:color w:val="000000" w:themeColor="text1"/>
              </w:rPr>
              <w:t>2) у абзаці четвертому частини другої статті 66 слова "від цінних паперів" замінити словами "за фінансовими інструментами";</w:t>
            </w:r>
          </w:p>
        </w:tc>
        <w:tc>
          <w:tcPr>
            <w:tcW w:w="3686" w:type="dxa"/>
          </w:tcPr>
          <w:p w14:paraId="6851C45A" w14:textId="77777777" w:rsidR="00826C07" w:rsidRPr="00286216" w:rsidRDefault="00826C07" w:rsidP="00826C07">
            <w:pPr>
              <w:pStyle w:val="StyleProp"/>
              <w:rPr>
                <w:color w:val="000000" w:themeColor="text1"/>
                <w:szCs w:val="18"/>
              </w:rPr>
            </w:pPr>
          </w:p>
        </w:tc>
        <w:tc>
          <w:tcPr>
            <w:tcW w:w="1987" w:type="dxa"/>
          </w:tcPr>
          <w:p w14:paraId="23E6A6A3" w14:textId="77777777" w:rsidR="00826C07" w:rsidRPr="00286216" w:rsidRDefault="00826C07" w:rsidP="00826C07">
            <w:pPr>
              <w:pStyle w:val="StyleWisnow"/>
              <w:rPr>
                <w:color w:val="000000" w:themeColor="text1"/>
              </w:rPr>
            </w:pPr>
          </w:p>
        </w:tc>
        <w:tc>
          <w:tcPr>
            <w:tcW w:w="4818" w:type="dxa"/>
          </w:tcPr>
          <w:p w14:paraId="629381F2" w14:textId="708CD869" w:rsidR="00826C07" w:rsidRPr="00286216" w:rsidRDefault="00826C07" w:rsidP="00EA729A">
            <w:pPr>
              <w:pStyle w:val="StyleZakonu"/>
              <w:rPr>
                <w:color w:val="000000" w:themeColor="text1"/>
              </w:rPr>
            </w:pPr>
            <w:r w:rsidRPr="00286216">
              <w:rPr>
                <w:color w:val="000000" w:themeColor="text1"/>
              </w:rPr>
              <w:t xml:space="preserve">2) </w:t>
            </w:r>
            <w:r w:rsidR="00EA729A" w:rsidRPr="00286216">
              <w:rPr>
                <w:color w:val="000000" w:themeColor="text1"/>
              </w:rPr>
              <w:t>в</w:t>
            </w:r>
            <w:r w:rsidRPr="00286216">
              <w:rPr>
                <w:color w:val="000000" w:themeColor="text1"/>
              </w:rPr>
              <w:t xml:space="preserve"> абзаці четвертому частини другої статті 66 слова "від цінних паперів" замінити словами "за фінансовими інструментами";</w:t>
            </w:r>
          </w:p>
        </w:tc>
      </w:tr>
      <w:tr w:rsidR="00826C07" w:rsidRPr="00286216" w14:paraId="7B6D7A29" w14:textId="77777777" w:rsidTr="00091AA5">
        <w:tc>
          <w:tcPr>
            <w:tcW w:w="576" w:type="dxa"/>
          </w:tcPr>
          <w:p w14:paraId="540E70BF" w14:textId="77777777" w:rsidR="00826C07" w:rsidRPr="00286216" w:rsidRDefault="00826C07" w:rsidP="00826C07">
            <w:pPr>
              <w:pStyle w:val="StyleWisnow"/>
              <w:rPr>
                <w:color w:val="000000" w:themeColor="text1"/>
              </w:rPr>
            </w:pPr>
            <w:bookmarkStart w:id="2535" w:name="n2664" w:colFirst="0" w:colLast="0"/>
            <w:bookmarkEnd w:id="2534"/>
            <w:r w:rsidRPr="00286216">
              <w:rPr>
                <w:color w:val="000000" w:themeColor="text1"/>
              </w:rPr>
              <w:t>2664.</w:t>
            </w:r>
          </w:p>
        </w:tc>
        <w:tc>
          <w:tcPr>
            <w:tcW w:w="4818" w:type="dxa"/>
          </w:tcPr>
          <w:p w14:paraId="4908312B" w14:textId="77777777" w:rsidR="00826C07" w:rsidRPr="00286216" w:rsidRDefault="00826C07" w:rsidP="00826C07">
            <w:pPr>
              <w:pStyle w:val="StyleZakonu"/>
              <w:rPr>
                <w:color w:val="000000" w:themeColor="text1"/>
              </w:rPr>
            </w:pPr>
            <w:r w:rsidRPr="00286216">
              <w:rPr>
                <w:color w:val="000000" w:themeColor="text1"/>
              </w:rPr>
              <w:t>3) у частині другій статті 83 слова "ринку цінних паперів" замінити словами "ринках капіталу та організованих товарних ринках";</w:t>
            </w:r>
          </w:p>
        </w:tc>
        <w:tc>
          <w:tcPr>
            <w:tcW w:w="3686" w:type="dxa"/>
          </w:tcPr>
          <w:p w14:paraId="5A531A08" w14:textId="77777777" w:rsidR="00826C07" w:rsidRPr="00286216" w:rsidRDefault="00826C07" w:rsidP="00826C07">
            <w:pPr>
              <w:pStyle w:val="StyleProp"/>
              <w:rPr>
                <w:color w:val="000000" w:themeColor="text1"/>
                <w:szCs w:val="18"/>
              </w:rPr>
            </w:pPr>
          </w:p>
        </w:tc>
        <w:tc>
          <w:tcPr>
            <w:tcW w:w="1987" w:type="dxa"/>
          </w:tcPr>
          <w:p w14:paraId="411A95D3" w14:textId="77777777" w:rsidR="00826C07" w:rsidRPr="00286216" w:rsidRDefault="00826C07" w:rsidP="00826C07">
            <w:pPr>
              <w:pStyle w:val="StyleWisnow"/>
              <w:rPr>
                <w:color w:val="000000" w:themeColor="text1"/>
              </w:rPr>
            </w:pPr>
          </w:p>
        </w:tc>
        <w:tc>
          <w:tcPr>
            <w:tcW w:w="4818" w:type="dxa"/>
          </w:tcPr>
          <w:p w14:paraId="33F28F3A" w14:textId="77777777" w:rsidR="00826C07" w:rsidRPr="00286216" w:rsidRDefault="00826C07" w:rsidP="00826C07">
            <w:pPr>
              <w:pStyle w:val="StyleZakonu"/>
              <w:rPr>
                <w:color w:val="000000" w:themeColor="text1"/>
              </w:rPr>
            </w:pPr>
            <w:r w:rsidRPr="00286216">
              <w:rPr>
                <w:color w:val="000000" w:themeColor="text1"/>
              </w:rPr>
              <w:t>3) у частині другій статті 83 слова "ринку цінних паперів" замінити словами "ринках капіталу та організованих товарних ринках";</w:t>
            </w:r>
          </w:p>
        </w:tc>
      </w:tr>
      <w:tr w:rsidR="00826C07" w:rsidRPr="00286216" w14:paraId="3BD11C47" w14:textId="77777777" w:rsidTr="00091AA5">
        <w:tc>
          <w:tcPr>
            <w:tcW w:w="576" w:type="dxa"/>
          </w:tcPr>
          <w:p w14:paraId="31F46BC9" w14:textId="77777777" w:rsidR="00826C07" w:rsidRPr="00286216" w:rsidRDefault="00826C07" w:rsidP="00826C07">
            <w:pPr>
              <w:pStyle w:val="StyleWisnow"/>
              <w:rPr>
                <w:color w:val="000000" w:themeColor="text1"/>
              </w:rPr>
            </w:pPr>
            <w:bookmarkStart w:id="2536" w:name="n2665" w:colFirst="0" w:colLast="0"/>
            <w:bookmarkEnd w:id="2535"/>
            <w:r w:rsidRPr="00286216">
              <w:rPr>
                <w:color w:val="000000" w:themeColor="text1"/>
              </w:rPr>
              <w:t>2665.</w:t>
            </w:r>
          </w:p>
        </w:tc>
        <w:tc>
          <w:tcPr>
            <w:tcW w:w="4818" w:type="dxa"/>
          </w:tcPr>
          <w:p w14:paraId="08D7BF49" w14:textId="77777777" w:rsidR="00826C07" w:rsidRPr="00286216" w:rsidRDefault="00826C07" w:rsidP="00826C07">
            <w:pPr>
              <w:pStyle w:val="StyleZakonu"/>
              <w:rPr>
                <w:color w:val="000000" w:themeColor="text1"/>
              </w:rPr>
            </w:pPr>
            <w:r w:rsidRPr="00286216">
              <w:rPr>
                <w:color w:val="000000" w:themeColor="text1"/>
              </w:rPr>
              <w:t>4) у абзаці четвертому частини першої статті 140 слова "від цінних паперів" замінити словами "за фінансовими інструментами";</w:t>
            </w:r>
          </w:p>
        </w:tc>
        <w:tc>
          <w:tcPr>
            <w:tcW w:w="3686" w:type="dxa"/>
          </w:tcPr>
          <w:p w14:paraId="57D20F03" w14:textId="77777777" w:rsidR="00826C07" w:rsidRPr="00286216" w:rsidRDefault="00826C07" w:rsidP="00826C07">
            <w:pPr>
              <w:pStyle w:val="StyleProp"/>
              <w:rPr>
                <w:color w:val="000000" w:themeColor="text1"/>
                <w:szCs w:val="18"/>
              </w:rPr>
            </w:pPr>
          </w:p>
        </w:tc>
        <w:tc>
          <w:tcPr>
            <w:tcW w:w="1987" w:type="dxa"/>
          </w:tcPr>
          <w:p w14:paraId="3096C879" w14:textId="77777777" w:rsidR="00826C07" w:rsidRPr="00286216" w:rsidRDefault="00826C07" w:rsidP="00826C07">
            <w:pPr>
              <w:pStyle w:val="StyleWisnow"/>
              <w:rPr>
                <w:color w:val="000000" w:themeColor="text1"/>
              </w:rPr>
            </w:pPr>
          </w:p>
        </w:tc>
        <w:tc>
          <w:tcPr>
            <w:tcW w:w="4818" w:type="dxa"/>
          </w:tcPr>
          <w:p w14:paraId="23959064" w14:textId="66571ADF" w:rsidR="00826C07" w:rsidRPr="00286216" w:rsidRDefault="00826C07" w:rsidP="00EA729A">
            <w:pPr>
              <w:pStyle w:val="StyleZakonu"/>
              <w:rPr>
                <w:color w:val="000000" w:themeColor="text1"/>
              </w:rPr>
            </w:pPr>
            <w:r w:rsidRPr="00286216">
              <w:rPr>
                <w:color w:val="000000" w:themeColor="text1"/>
              </w:rPr>
              <w:t xml:space="preserve">4) </w:t>
            </w:r>
            <w:r w:rsidR="00EA729A" w:rsidRPr="00286216">
              <w:rPr>
                <w:color w:val="000000" w:themeColor="text1"/>
              </w:rPr>
              <w:t>в</w:t>
            </w:r>
            <w:r w:rsidRPr="00286216">
              <w:rPr>
                <w:color w:val="000000" w:themeColor="text1"/>
              </w:rPr>
              <w:t xml:space="preserve"> абзаці четвертому частини першої статті 140 слова "від цінних паперів" замінити словами "за фінансовими інструментами";</w:t>
            </w:r>
          </w:p>
        </w:tc>
      </w:tr>
      <w:tr w:rsidR="00826C07" w:rsidRPr="00286216" w14:paraId="13E69E0F" w14:textId="77777777" w:rsidTr="00091AA5">
        <w:tc>
          <w:tcPr>
            <w:tcW w:w="576" w:type="dxa"/>
          </w:tcPr>
          <w:p w14:paraId="6036A25D" w14:textId="77777777" w:rsidR="00826C07" w:rsidRPr="00286216" w:rsidRDefault="00826C07" w:rsidP="00826C07">
            <w:pPr>
              <w:pStyle w:val="StyleWisnow"/>
              <w:rPr>
                <w:color w:val="000000" w:themeColor="text1"/>
              </w:rPr>
            </w:pPr>
            <w:bookmarkStart w:id="2537" w:name="n2666" w:colFirst="0" w:colLast="0"/>
            <w:bookmarkEnd w:id="2536"/>
            <w:r w:rsidRPr="00286216">
              <w:rPr>
                <w:color w:val="000000" w:themeColor="text1"/>
              </w:rPr>
              <w:lastRenderedPageBreak/>
              <w:t>2666.</w:t>
            </w:r>
          </w:p>
        </w:tc>
        <w:tc>
          <w:tcPr>
            <w:tcW w:w="4818" w:type="dxa"/>
          </w:tcPr>
          <w:p w14:paraId="2AFFAA12" w14:textId="77777777" w:rsidR="00826C07" w:rsidRPr="00286216" w:rsidRDefault="00826C07" w:rsidP="00826C07">
            <w:pPr>
              <w:pStyle w:val="StyleZakonu"/>
              <w:rPr>
                <w:color w:val="000000" w:themeColor="text1"/>
              </w:rPr>
            </w:pPr>
            <w:r w:rsidRPr="00286216">
              <w:rPr>
                <w:color w:val="000000" w:themeColor="text1"/>
              </w:rPr>
              <w:t>5) статтю 163 викласти у наступній редакції:</w:t>
            </w:r>
          </w:p>
        </w:tc>
        <w:tc>
          <w:tcPr>
            <w:tcW w:w="3686" w:type="dxa"/>
          </w:tcPr>
          <w:p w14:paraId="2D2C37AD" w14:textId="77777777" w:rsidR="00826C07" w:rsidRPr="00286216" w:rsidRDefault="00826C07" w:rsidP="00826C07">
            <w:pPr>
              <w:pStyle w:val="StyleProp"/>
              <w:rPr>
                <w:color w:val="000000" w:themeColor="text1"/>
                <w:szCs w:val="18"/>
              </w:rPr>
            </w:pPr>
          </w:p>
        </w:tc>
        <w:tc>
          <w:tcPr>
            <w:tcW w:w="1987" w:type="dxa"/>
          </w:tcPr>
          <w:p w14:paraId="1460B819" w14:textId="77777777" w:rsidR="00826C07" w:rsidRPr="00286216" w:rsidRDefault="00826C07" w:rsidP="00826C07">
            <w:pPr>
              <w:pStyle w:val="StyleWisnow"/>
              <w:rPr>
                <w:color w:val="000000" w:themeColor="text1"/>
              </w:rPr>
            </w:pPr>
          </w:p>
        </w:tc>
        <w:tc>
          <w:tcPr>
            <w:tcW w:w="4818" w:type="dxa"/>
          </w:tcPr>
          <w:p w14:paraId="5D835F29" w14:textId="36AEB80D" w:rsidR="00826C07" w:rsidRPr="00286216" w:rsidRDefault="00826C07" w:rsidP="00EA729A">
            <w:pPr>
              <w:pStyle w:val="StyleZakonu"/>
              <w:rPr>
                <w:color w:val="000000" w:themeColor="text1"/>
              </w:rPr>
            </w:pPr>
            <w:r w:rsidRPr="00286216">
              <w:rPr>
                <w:color w:val="000000" w:themeColor="text1"/>
              </w:rPr>
              <w:t xml:space="preserve">5) статтю 163 викласти </w:t>
            </w:r>
            <w:r w:rsidR="00EA729A" w:rsidRPr="00286216">
              <w:rPr>
                <w:color w:val="000000" w:themeColor="text1"/>
              </w:rPr>
              <w:t xml:space="preserve">в такій </w:t>
            </w:r>
            <w:r w:rsidRPr="00286216">
              <w:rPr>
                <w:color w:val="000000" w:themeColor="text1"/>
              </w:rPr>
              <w:t>редакції:</w:t>
            </w:r>
          </w:p>
        </w:tc>
      </w:tr>
      <w:tr w:rsidR="00826C07" w:rsidRPr="00286216" w14:paraId="369DE1A5" w14:textId="77777777" w:rsidTr="00091AA5">
        <w:tc>
          <w:tcPr>
            <w:tcW w:w="576" w:type="dxa"/>
          </w:tcPr>
          <w:p w14:paraId="114A6A16" w14:textId="77777777" w:rsidR="00826C07" w:rsidRPr="00286216" w:rsidRDefault="00826C07" w:rsidP="00826C07">
            <w:pPr>
              <w:pStyle w:val="StyleWisnow"/>
              <w:rPr>
                <w:color w:val="000000" w:themeColor="text1"/>
              </w:rPr>
            </w:pPr>
            <w:bookmarkStart w:id="2538" w:name="n2667" w:colFirst="0" w:colLast="0"/>
            <w:bookmarkEnd w:id="2537"/>
            <w:r w:rsidRPr="00286216">
              <w:rPr>
                <w:color w:val="000000" w:themeColor="text1"/>
              </w:rPr>
              <w:t>2667.</w:t>
            </w:r>
          </w:p>
        </w:tc>
        <w:tc>
          <w:tcPr>
            <w:tcW w:w="4818" w:type="dxa"/>
          </w:tcPr>
          <w:p w14:paraId="6ED49027" w14:textId="77777777" w:rsidR="00826C07" w:rsidRPr="00286216" w:rsidRDefault="00826C07" w:rsidP="00826C07">
            <w:pPr>
              <w:pStyle w:val="StyleZakonu"/>
              <w:rPr>
                <w:color w:val="000000" w:themeColor="text1"/>
              </w:rPr>
            </w:pPr>
            <w:r w:rsidRPr="00286216">
              <w:rPr>
                <w:color w:val="000000" w:themeColor="text1"/>
              </w:rPr>
              <w:t>"Стаття 163. Цінні папери у господарській діяльності</w:t>
            </w:r>
          </w:p>
        </w:tc>
        <w:tc>
          <w:tcPr>
            <w:tcW w:w="3686" w:type="dxa"/>
          </w:tcPr>
          <w:p w14:paraId="6BAB10EA" w14:textId="77777777" w:rsidR="00826C07" w:rsidRPr="00286216" w:rsidRDefault="00826C07" w:rsidP="00826C07">
            <w:pPr>
              <w:pStyle w:val="StyleProp"/>
              <w:rPr>
                <w:color w:val="000000" w:themeColor="text1"/>
                <w:szCs w:val="18"/>
              </w:rPr>
            </w:pPr>
          </w:p>
        </w:tc>
        <w:tc>
          <w:tcPr>
            <w:tcW w:w="1987" w:type="dxa"/>
          </w:tcPr>
          <w:p w14:paraId="1CB4DED1" w14:textId="77777777" w:rsidR="00826C07" w:rsidRPr="00286216" w:rsidRDefault="00826C07" w:rsidP="00826C07">
            <w:pPr>
              <w:pStyle w:val="StyleWisnow"/>
              <w:rPr>
                <w:color w:val="000000" w:themeColor="text1"/>
              </w:rPr>
            </w:pPr>
          </w:p>
        </w:tc>
        <w:tc>
          <w:tcPr>
            <w:tcW w:w="4818" w:type="dxa"/>
          </w:tcPr>
          <w:p w14:paraId="61D4AA80" w14:textId="77777777" w:rsidR="00826C07" w:rsidRPr="00286216" w:rsidRDefault="00826C07" w:rsidP="00826C07">
            <w:pPr>
              <w:pStyle w:val="StyleZakonu"/>
              <w:rPr>
                <w:color w:val="000000" w:themeColor="text1"/>
              </w:rPr>
            </w:pPr>
            <w:r w:rsidRPr="00286216">
              <w:rPr>
                <w:color w:val="000000" w:themeColor="text1"/>
              </w:rPr>
              <w:t>"Стаття 163. Цінні папери у господарській діяльності</w:t>
            </w:r>
          </w:p>
        </w:tc>
      </w:tr>
      <w:tr w:rsidR="00826C07" w:rsidRPr="00286216" w14:paraId="2F0AEAC7" w14:textId="77777777" w:rsidTr="00091AA5">
        <w:tc>
          <w:tcPr>
            <w:tcW w:w="576" w:type="dxa"/>
          </w:tcPr>
          <w:p w14:paraId="61E6350E" w14:textId="77777777" w:rsidR="00826C07" w:rsidRPr="00286216" w:rsidRDefault="00826C07" w:rsidP="00826C07">
            <w:pPr>
              <w:pStyle w:val="StyleWisnow"/>
              <w:rPr>
                <w:color w:val="000000" w:themeColor="text1"/>
              </w:rPr>
            </w:pPr>
            <w:bookmarkStart w:id="2539" w:name="n2668" w:colFirst="0" w:colLast="0"/>
            <w:bookmarkEnd w:id="2538"/>
            <w:r w:rsidRPr="00286216">
              <w:rPr>
                <w:color w:val="000000" w:themeColor="text1"/>
              </w:rPr>
              <w:t>2668.</w:t>
            </w:r>
          </w:p>
        </w:tc>
        <w:tc>
          <w:tcPr>
            <w:tcW w:w="4818" w:type="dxa"/>
          </w:tcPr>
          <w:p w14:paraId="578E4A2D" w14:textId="77777777" w:rsidR="00826C07" w:rsidRPr="00286216" w:rsidRDefault="00826C07" w:rsidP="00826C07">
            <w:pPr>
              <w:pStyle w:val="StyleZakonu"/>
              <w:rPr>
                <w:color w:val="000000" w:themeColor="text1"/>
              </w:rPr>
            </w:pPr>
            <w:r w:rsidRPr="00286216">
              <w:rPr>
                <w:color w:val="000000" w:themeColor="text1"/>
              </w:rPr>
              <w:t>1. Відносин, що виникають під час емісії (видачі), обігу, викупу та погашення цінних паперів регулюються Законом України "Про ринки капіталу та організовані товарні ринки".;</w:t>
            </w:r>
          </w:p>
        </w:tc>
        <w:tc>
          <w:tcPr>
            <w:tcW w:w="3686" w:type="dxa"/>
          </w:tcPr>
          <w:p w14:paraId="08C0965D" w14:textId="77777777" w:rsidR="00826C07" w:rsidRPr="00286216" w:rsidRDefault="00826C07" w:rsidP="00826C07">
            <w:pPr>
              <w:pStyle w:val="StyleProp"/>
              <w:rPr>
                <w:color w:val="000000" w:themeColor="text1"/>
                <w:szCs w:val="18"/>
              </w:rPr>
            </w:pPr>
          </w:p>
        </w:tc>
        <w:tc>
          <w:tcPr>
            <w:tcW w:w="1987" w:type="dxa"/>
          </w:tcPr>
          <w:p w14:paraId="5F55247B" w14:textId="77777777" w:rsidR="00826C07" w:rsidRPr="00286216" w:rsidRDefault="00826C07" w:rsidP="00826C07">
            <w:pPr>
              <w:pStyle w:val="StyleWisnow"/>
              <w:rPr>
                <w:color w:val="000000" w:themeColor="text1"/>
              </w:rPr>
            </w:pPr>
          </w:p>
        </w:tc>
        <w:tc>
          <w:tcPr>
            <w:tcW w:w="4818" w:type="dxa"/>
          </w:tcPr>
          <w:p w14:paraId="60657373" w14:textId="67D798CC" w:rsidR="00826C07" w:rsidRPr="00286216" w:rsidRDefault="00826C07" w:rsidP="00EA729A">
            <w:pPr>
              <w:pStyle w:val="StyleZakonu"/>
              <w:rPr>
                <w:color w:val="000000" w:themeColor="text1"/>
              </w:rPr>
            </w:pPr>
            <w:r w:rsidRPr="00286216">
              <w:rPr>
                <w:color w:val="000000" w:themeColor="text1"/>
              </w:rPr>
              <w:t>1. Відносин</w:t>
            </w:r>
            <w:r w:rsidR="00EA729A" w:rsidRPr="00286216">
              <w:rPr>
                <w:color w:val="000000" w:themeColor="text1"/>
              </w:rPr>
              <w:t>и</w:t>
            </w:r>
            <w:r w:rsidRPr="00286216">
              <w:rPr>
                <w:color w:val="000000" w:themeColor="text1"/>
              </w:rPr>
              <w:t>, що виникають під час емісії (видачі), обігу, викупу та погашення цінних паперів</w:t>
            </w:r>
            <w:r w:rsidR="00EA729A" w:rsidRPr="00286216">
              <w:rPr>
                <w:color w:val="000000" w:themeColor="text1"/>
              </w:rPr>
              <w:t>,</w:t>
            </w:r>
            <w:r w:rsidRPr="00286216">
              <w:rPr>
                <w:color w:val="000000" w:themeColor="text1"/>
              </w:rPr>
              <w:t xml:space="preserve"> регулюються Законом України "Про ринки капіталу та організовані товарні ринки";</w:t>
            </w:r>
          </w:p>
        </w:tc>
      </w:tr>
      <w:tr w:rsidR="00826C07" w:rsidRPr="00286216" w14:paraId="7B8AD0F0" w14:textId="77777777" w:rsidTr="00091AA5">
        <w:tc>
          <w:tcPr>
            <w:tcW w:w="576" w:type="dxa"/>
          </w:tcPr>
          <w:p w14:paraId="50DDB2A1" w14:textId="77777777" w:rsidR="00826C07" w:rsidRPr="00286216" w:rsidRDefault="00826C07" w:rsidP="00826C07">
            <w:pPr>
              <w:pStyle w:val="StyleWisnow"/>
              <w:rPr>
                <w:color w:val="000000" w:themeColor="text1"/>
              </w:rPr>
            </w:pPr>
            <w:bookmarkStart w:id="2540" w:name="n2669" w:colFirst="0" w:colLast="0"/>
            <w:bookmarkEnd w:id="2539"/>
            <w:r w:rsidRPr="00286216">
              <w:rPr>
                <w:color w:val="000000" w:themeColor="text1"/>
              </w:rPr>
              <w:t>2669.</w:t>
            </w:r>
          </w:p>
        </w:tc>
        <w:tc>
          <w:tcPr>
            <w:tcW w:w="4818" w:type="dxa"/>
          </w:tcPr>
          <w:p w14:paraId="641A9843" w14:textId="77777777" w:rsidR="00826C07" w:rsidRPr="00286216" w:rsidRDefault="00826C07" w:rsidP="00826C07">
            <w:pPr>
              <w:pStyle w:val="StyleZakonu"/>
              <w:rPr>
                <w:color w:val="000000" w:themeColor="text1"/>
              </w:rPr>
            </w:pPr>
            <w:r w:rsidRPr="00286216">
              <w:rPr>
                <w:color w:val="000000" w:themeColor="text1"/>
              </w:rPr>
              <w:t>6) статті 164 - 166 виключити;</w:t>
            </w:r>
          </w:p>
        </w:tc>
        <w:tc>
          <w:tcPr>
            <w:tcW w:w="3686" w:type="dxa"/>
          </w:tcPr>
          <w:p w14:paraId="6B503102" w14:textId="77777777" w:rsidR="00826C07" w:rsidRPr="00286216" w:rsidRDefault="00826C07" w:rsidP="00826C07">
            <w:pPr>
              <w:pStyle w:val="StyleProp"/>
              <w:rPr>
                <w:color w:val="000000" w:themeColor="text1"/>
                <w:szCs w:val="18"/>
              </w:rPr>
            </w:pPr>
          </w:p>
        </w:tc>
        <w:tc>
          <w:tcPr>
            <w:tcW w:w="1987" w:type="dxa"/>
          </w:tcPr>
          <w:p w14:paraId="7E74FE6D" w14:textId="77777777" w:rsidR="00826C07" w:rsidRPr="00286216" w:rsidRDefault="00826C07" w:rsidP="00826C07">
            <w:pPr>
              <w:pStyle w:val="StyleWisnow"/>
              <w:rPr>
                <w:color w:val="000000" w:themeColor="text1"/>
              </w:rPr>
            </w:pPr>
          </w:p>
        </w:tc>
        <w:tc>
          <w:tcPr>
            <w:tcW w:w="4818" w:type="dxa"/>
          </w:tcPr>
          <w:p w14:paraId="6951A098" w14:textId="77777777" w:rsidR="00826C07" w:rsidRPr="00286216" w:rsidRDefault="00826C07" w:rsidP="00826C07">
            <w:pPr>
              <w:pStyle w:val="StyleZakonu"/>
              <w:rPr>
                <w:color w:val="000000" w:themeColor="text1"/>
              </w:rPr>
            </w:pPr>
            <w:r w:rsidRPr="00286216">
              <w:rPr>
                <w:color w:val="000000" w:themeColor="text1"/>
              </w:rPr>
              <w:t>6) статті 164 - 166 виключити;</w:t>
            </w:r>
          </w:p>
        </w:tc>
      </w:tr>
      <w:tr w:rsidR="00826C07" w:rsidRPr="00286216" w14:paraId="1104B5FA" w14:textId="77777777" w:rsidTr="00091AA5">
        <w:tc>
          <w:tcPr>
            <w:tcW w:w="576" w:type="dxa"/>
          </w:tcPr>
          <w:p w14:paraId="177E92B5" w14:textId="77777777" w:rsidR="00826C07" w:rsidRPr="00286216" w:rsidRDefault="00826C07" w:rsidP="00826C07">
            <w:pPr>
              <w:pStyle w:val="StyleWisnow"/>
              <w:rPr>
                <w:color w:val="000000" w:themeColor="text1"/>
              </w:rPr>
            </w:pPr>
            <w:bookmarkStart w:id="2541" w:name="n2670" w:colFirst="0" w:colLast="0"/>
            <w:bookmarkEnd w:id="2540"/>
            <w:r w:rsidRPr="00286216">
              <w:rPr>
                <w:color w:val="000000" w:themeColor="text1"/>
              </w:rPr>
              <w:t>2670.</w:t>
            </w:r>
          </w:p>
        </w:tc>
        <w:tc>
          <w:tcPr>
            <w:tcW w:w="4818" w:type="dxa"/>
          </w:tcPr>
          <w:p w14:paraId="6DCEE59F" w14:textId="77777777" w:rsidR="00826C07" w:rsidRPr="00286216" w:rsidRDefault="00826C07" w:rsidP="00826C07">
            <w:pPr>
              <w:pStyle w:val="StyleZakonu"/>
              <w:rPr>
                <w:color w:val="000000" w:themeColor="text1"/>
              </w:rPr>
            </w:pPr>
            <w:r w:rsidRPr="00286216">
              <w:rPr>
                <w:color w:val="000000" w:themeColor="text1"/>
              </w:rPr>
              <w:t>7) у статті 179:</w:t>
            </w:r>
          </w:p>
        </w:tc>
        <w:tc>
          <w:tcPr>
            <w:tcW w:w="3686" w:type="dxa"/>
          </w:tcPr>
          <w:p w14:paraId="354BE39F" w14:textId="77777777" w:rsidR="00826C07" w:rsidRPr="00286216" w:rsidRDefault="00826C07" w:rsidP="00826C07">
            <w:pPr>
              <w:pStyle w:val="StyleProp"/>
              <w:rPr>
                <w:color w:val="000000" w:themeColor="text1"/>
                <w:szCs w:val="18"/>
              </w:rPr>
            </w:pPr>
          </w:p>
        </w:tc>
        <w:tc>
          <w:tcPr>
            <w:tcW w:w="1987" w:type="dxa"/>
          </w:tcPr>
          <w:p w14:paraId="3B68231A" w14:textId="77777777" w:rsidR="00826C07" w:rsidRPr="00286216" w:rsidRDefault="00826C07" w:rsidP="00826C07">
            <w:pPr>
              <w:pStyle w:val="StyleWisnow"/>
              <w:rPr>
                <w:color w:val="000000" w:themeColor="text1"/>
              </w:rPr>
            </w:pPr>
          </w:p>
        </w:tc>
        <w:tc>
          <w:tcPr>
            <w:tcW w:w="4818" w:type="dxa"/>
          </w:tcPr>
          <w:p w14:paraId="25177C35" w14:textId="77777777" w:rsidR="00826C07" w:rsidRPr="00286216" w:rsidRDefault="00826C07" w:rsidP="00826C07">
            <w:pPr>
              <w:pStyle w:val="StyleZakonu"/>
              <w:rPr>
                <w:color w:val="000000" w:themeColor="text1"/>
              </w:rPr>
            </w:pPr>
            <w:r w:rsidRPr="00286216">
              <w:rPr>
                <w:color w:val="000000" w:themeColor="text1"/>
              </w:rPr>
              <w:t>7) у статті 179:</w:t>
            </w:r>
          </w:p>
        </w:tc>
      </w:tr>
      <w:tr w:rsidR="00826C07" w:rsidRPr="00286216" w14:paraId="25001586" w14:textId="77777777" w:rsidTr="00091AA5">
        <w:tc>
          <w:tcPr>
            <w:tcW w:w="576" w:type="dxa"/>
          </w:tcPr>
          <w:p w14:paraId="7CC5FE8D" w14:textId="77777777" w:rsidR="00826C07" w:rsidRPr="00286216" w:rsidRDefault="00826C07" w:rsidP="00826C07">
            <w:pPr>
              <w:pStyle w:val="StyleWisnow"/>
              <w:rPr>
                <w:color w:val="000000" w:themeColor="text1"/>
              </w:rPr>
            </w:pPr>
            <w:bookmarkStart w:id="2542" w:name="n2671" w:colFirst="0" w:colLast="0"/>
            <w:bookmarkEnd w:id="2541"/>
            <w:r w:rsidRPr="00286216">
              <w:rPr>
                <w:color w:val="000000" w:themeColor="text1"/>
              </w:rPr>
              <w:t>2671.</w:t>
            </w:r>
          </w:p>
        </w:tc>
        <w:tc>
          <w:tcPr>
            <w:tcW w:w="4818" w:type="dxa"/>
          </w:tcPr>
          <w:p w14:paraId="52C3530B" w14:textId="77777777" w:rsidR="00826C07" w:rsidRPr="00286216" w:rsidRDefault="00826C07" w:rsidP="00826C07">
            <w:pPr>
              <w:pStyle w:val="StyleZakonu"/>
              <w:rPr>
                <w:color w:val="000000" w:themeColor="text1"/>
              </w:rPr>
            </w:pPr>
            <w:r w:rsidRPr="00286216">
              <w:rPr>
                <w:color w:val="000000" w:themeColor="text1"/>
              </w:rPr>
              <w:t>а) частину другу після слів "органи виконавчої влади" доповнити словами "державні органи та органи державної влади";</w:t>
            </w:r>
          </w:p>
        </w:tc>
        <w:tc>
          <w:tcPr>
            <w:tcW w:w="3686" w:type="dxa"/>
          </w:tcPr>
          <w:p w14:paraId="2A55B586" w14:textId="77777777" w:rsidR="00826C07" w:rsidRPr="00286216" w:rsidRDefault="00826C07" w:rsidP="00826C07">
            <w:pPr>
              <w:pStyle w:val="StyleProp"/>
              <w:rPr>
                <w:color w:val="000000" w:themeColor="text1"/>
                <w:szCs w:val="18"/>
              </w:rPr>
            </w:pPr>
          </w:p>
        </w:tc>
        <w:tc>
          <w:tcPr>
            <w:tcW w:w="1987" w:type="dxa"/>
          </w:tcPr>
          <w:p w14:paraId="35219811" w14:textId="77777777" w:rsidR="00826C07" w:rsidRPr="00286216" w:rsidRDefault="00826C07" w:rsidP="00826C07">
            <w:pPr>
              <w:pStyle w:val="StyleWisnow"/>
              <w:rPr>
                <w:color w:val="000000" w:themeColor="text1"/>
              </w:rPr>
            </w:pPr>
          </w:p>
        </w:tc>
        <w:tc>
          <w:tcPr>
            <w:tcW w:w="4818" w:type="dxa"/>
          </w:tcPr>
          <w:p w14:paraId="64D39B77" w14:textId="77777777" w:rsidR="00826C07" w:rsidRPr="00286216" w:rsidRDefault="00826C07" w:rsidP="00826C07">
            <w:pPr>
              <w:pStyle w:val="StyleZakonu"/>
              <w:rPr>
                <w:color w:val="000000" w:themeColor="text1"/>
              </w:rPr>
            </w:pPr>
            <w:r w:rsidRPr="00286216">
              <w:rPr>
                <w:color w:val="000000" w:themeColor="text1"/>
              </w:rPr>
              <w:t>а) частину другу після слів "органи виконавчої влади" доповнити словами "державні органи та органи державної влади";</w:t>
            </w:r>
          </w:p>
        </w:tc>
      </w:tr>
      <w:tr w:rsidR="00826C07" w:rsidRPr="00286216" w14:paraId="1AFA685A" w14:textId="77777777" w:rsidTr="00091AA5">
        <w:tc>
          <w:tcPr>
            <w:tcW w:w="576" w:type="dxa"/>
          </w:tcPr>
          <w:p w14:paraId="0F4681BC" w14:textId="77777777" w:rsidR="00826C07" w:rsidRPr="00286216" w:rsidRDefault="00826C07" w:rsidP="00826C07">
            <w:pPr>
              <w:pStyle w:val="StyleWisnow"/>
              <w:rPr>
                <w:color w:val="000000" w:themeColor="text1"/>
              </w:rPr>
            </w:pPr>
            <w:bookmarkStart w:id="2543" w:name="n2672" w:colFirst="0" w:colLast="0"/>
            <w:bookmarkEnd w:id="2542"/>
            <w:r w:rsidRPr="00286216">
              <w:rPr>
                <w:color w:val="000000" w:themeColor="text1"/>
              </w:rPr>
              <w:t>2672.</w:t>
            </w:r>
          </w:p>
        </w:tc>
        <w:tc>
          <w:tcPr>
            <w:tcW w:w="4818" w:type="dxa"/>
          </w:tcPr>
          <w:p w14:paraId="1EEBCAC9" w14:textId="77777777" w:rsidR="00826C07" w:rsidRPr="00286216" w:rsidRDefault="00826C07" w:rsidP="00826C07">
            <w:pPr>
              <w:pStyle w:val="StyleZakonu"/>
              <w:rPr>
                <w:color w:val="000000" w:themeColor="text1"/>
              </w:rPr>
            </w:pPr>
            <w:r w:rsidRPr="00286216">
              <w:rPr>
                <w:color w:val="000000" w:themeColor="text1"/>
              </w:rPr>
              <w:t>б) у абзаці четвертому частини четвертої слова "органом державної влади" замінити словами "державним органом або органом державної влади";</w:t>
            </w:r>
          </w:p>
        </w:tc>
        <w:tc>
          <w:tcPr>
            <w:tcW w:w="3686" w:type="dxa"/>
          </w:tcPr>
          <w:p w14:paraId="56CF516B" w14:textId="77777777" w:rsidR="00826C07" w:rsidRPr="00286216" w:rsidRDefault="00826C07" w:rsidP="00826C07">
            <w:pPr>
              <w:pStyle w:val="StyleProp"/>
              <w:rPr>
                <w:color w:val="000000" w:themeColor="text1"/>
                <w:szCs w:val="18"/>
              </w:rPr>
            </w:pPr>
          </w:p>
        </w:tc>
        <w:tc>
          <w:tcPr>
            <w:tcW w:w="1987" w:type="dxa"/>
          </w:tcPr>
          <w:p w14:paraId="6A734BE3" w14:textId="77777777" w:rsidR="00826C07" w:rsidRPr="00286216" w:rsidRDefault="00826C07" w:rsidP="00826C07">
            <w:pPr>
              <w:pStyle w:val="StyleWisnow"/>
              <w:rPr>
                <w:color w:val="000000" w:themeColor="text1"/>
              </w:rPr>
            </w:pPr>
          </w:p>
        </w:tc>
        <w:tc>
          <w:tcPr>
            <w:tcW w:w="4818" w:type="dxa"/>
          </w:tcPr>
          <w:p w14:paraId="64333162" w14:textId="550DAE4A" w:rsidR="00826C07" w:rsidRPr="00286216" w:rsidRDefault="00826C07" w:rsidP="00EA729A">
            <w:pPr>
              <w:pStyle w:val="StyleZakonu"/>
              <w:rPr>
                <w:color w:val="000000" w:themeColor="text1"/>
              </w:rPr>
            </w:pPr>
            <w:r w:rsidRPr="00286216">
              <w:rPr>
                <w:color w:val="000000" w:themeColor="text1"/>
              </w:rPr>
              <w:t xml:space="preserve">б) </w:t>
            </w:r>
            <w:r w:rsidR="00EA729A" w:rsidRPr="00286216">
              <w:rPr>
                <w:color w:val="000000" w:themeColor="text1"/>
              </w:rPr>
              <w:t>в</w:t>
            </w:r>
            <w:r w:rsidRPr="00286216">
              <w:rPr>
                <w:color w:val="000000" w:themeColor="text1"/>
              </w:rPr>
              <w:t xml:space="preserve"> абзаці четвертому частини четвертої слова "органом державної влади" замінити словами "державним органом або органом державної влади";</w:t>
            </w:r>
          </w:p>
        </w:tc>
      </w:tr>
      <w:tr w:rsidR="00826C07" w:rsidRPr="00286216" w14:paraId="7FDC1815" w14:textId="77777777" w:rsidTr="00091AA5">
        <w:tc>
          <w:tcPr>
            <w:tcW w:w="576" w:type="dxa"/>
          </w:tcPr>
          <w:p w14:paraId="1381FFD1" w14:textId="77777777" w:rsidR="00826C07" w:rsidRPr="00286216" w:rsidRDefault="00826C07" w:rsidP="00826C07">
            <w:pPr>
              <w:pStyle w:val="StyleWisnow"/>
              <w:rPr>
                <w:color w:val="000000" w:themeColor="text1"/>
              </w:rPr>
            </w:pPr>
            <w:bookmarkStart w:id="2544" w:name="n2673" w:colFirst="0" w:colLast="0"/>
            <w:bookmarkEnd w:id="2543"/>
            <w:r w:rsidRPr="00286216">
              <w:rPr>
                <w:color w:val="000000" w:themeColor="text1"/>
              </w:rPr>
              <w:t>2673.</w:t>
            </w:r>
          </w:p>
        </w:tc>
        <w:tc>
          <w:tcPr>
            <w:tcW w:w="4818" w:type="dxa"/>
          </w:tcPr>
          <w:p w14:paraId="7D3FB476" w14:textId="77777777" w:rsidR="00826C07" w:rsidRPr="00286216" w:rsidRDefault="00826C07" w:rsidP="00826C07">
            <w:pPr>
              <w:pStyle w:val="StyleZakonu"/>
              <w:rPr>
                <w:color w:val="000000" w:themeColor="text1"/>
              </w:rPr>
            </w:pPr>
            <w:r w:rsidRPr="00286216">
              <w:rPr>
                <w:color w:val="000000" w:themeColor="text1"/>
              </w:rPr>
              <w:t>8) статтю 181 викласти в такій редакції:</w:t>
            </w:r>
          </w:p>
        </w:tc>
        <w:tc>
          <w:tcPr>
            <w:tcW w:w="3686" w:type="dxa"/>
          </w:tcPr>
          <w:p w14:paraId="0FFB1446" w14:textId="77777777" w:rsidR="00826C07" w:rsidRPr="00286216" w:rsidRDefault="00826C07" w:rsidP="00826C07">
            <w:pPr>
              <w:pStyle w:val="StyleProp"/>
              <w:rPr>
                <w:color w:val="000000" w:themeColor="text1"/>
                <w:szCs w:val="18"/>
              </w:rPr>
            </w:pPr>
          </w:p>
        </w:tc>
        <w:tc>
          <w:tcPr>
            <w:tcW w:w="1987" w:type="dxa"/>
          </w:tcPr>
          <w:p w14:paraId="2E456938" w14:textId="77777777" w:rsidR="00826C07" w:rsidRPr="00286216" w:rsidRDefault="00826C07" w:rsidP="00826C07">
            <w:pPr>
              <w:pStyle w:val="StyleWisnow"/>
              <w:rPr>
                <w:color w:val="000000" w:themeColor="text1"/>
              </w:rPr>
            </w:pPr>
          </w:p>
        </w:tc>
        <w:tc>
          <w:tcPr>
            <w:tcW w:w="4818" w:type="dxa"/>
          </w:tcPr>
          <w:p w14:paraId="37E24E21" w14:textId="77777777" w:rsidR="00826C07" w:rsidRPr="00286216" w:rsidRDefault="00826C07" w:rsidP="00826C07">
            <w:pPr>
              <w:pStyle w:val="StyleZakonu"/>
              <w:rPr>
                <w:color w:val="000000" w:themeColor="text1"/>
              </w:rPr>
            </w:pPr>
            <w:r w:rsidRPr="00286216">
              <w:rPr>
                <w:color w:val="000000" w:themeColor="text1"/>
              </w:rPr>
              <w:t>8) статтю 181 викласти в такій редакції:</w:t>
            </w:r>
          </w:p>
        </w:tc>
      </w:tr>
      <w:tr w:rsidR="00826C07" w:rsidRPr="00286216" w14:paraId="066BE1BE" w14:textId="77777777" w:rsidTr="00091AA5">
        <w:tc>
          <w:tcPr>
            <w:tcW w:w="576" w:type="dxa"/>
          </w:tcPr>
          <w:p w14:paraId="3994E480" w14:textId="77777777" w:rsidR="00826C07" w:rsidRPr="00286216" w:rsidRDefault="00826C07" w:rsidP="00826C07">
            <w:pPr>
              <w:pStyle w:val="StyleWisnow"/>
              <w:rPr>
                <w:color w:val="000000" w:themeColor="text1"/>
              </w:rPr>
            </w:pPr>
            <w:bookmarkStart w:id="2545" w:name="n2674" w:colFirst="0" w:colLast="0"/>
            <w:bookmarkEnd w:id="2544"/>
            <w:r w:rsidRPr="00286216">
              <w:rPr>
                <w:color w:val="000000" w:themeColor="text1"/>
              </w:rPr>
              <w:t>2674.</w:t>
            </w:r>
          </w:p>
        </w:tc>
        <w:tc>
          <w:tcPr>
            <w:tcW w:w="4818" w:type="dxa"/>
          </w:tcPr>
          <w:p w14:paraId="200EDA8B" w14:textId="77777777" w:rsidR="00826C07" w:rsidRPr="00286216" w:rsidRDefault="00826C07" w:rsidP="00826C07">
            <w:pPr>
              <w:pStyle w:val="StyleZakonu"/>
              <w:rPr>
                <w:color w:val="000000" w:themeColor="text1"/>
              </w:rPr>
            </w:pPr>
            <w:r w:rsidRPr="00286216">
              <w:rPr>
                <w:color w:val="000000" w:themeColor="text1"/>
              </w:rPr>
              <w:t>"Стаття 181. Загальний порядок укладення господарських договорів</w:t>
            </w:r>
          </w:p>
        </w:tc>
        <w:tc>
          <w:tcPr>
            <w:tcW w:w="3686" w:type="dxa"/>
          </w:tcPr>
          <w:p w14:paraId="74E2CA61" w14:textId="77777777" w:rsidR="00826C07" w:rsidRPr="00286216" w:rsidRDefault="00826C07" w:rsidP="00826C07">
            <w:pPr>
              <w:pStyle w:val="StyleProp"/>
              <w:rPr>
                <w:color w:val="000000" w:themeColor="text1"/>
                <w:szCs w:val="18"/>
              </w:rPr>
            </w:pPr>
          </w:p>
        </w:tc>
        <w:tc>
          <w:tcPr>
            <w:tcW w:w="1987" w:type="dxa"/>
          </w:tcPr>
          <w:p w14:paraId="3B7ADACF" w14:textId="77777777" w:rsidR="00826C07" w:rsidRPr="00286216" w:rsidRDefault="00826C07" w:rsidP="00826C07">
            <w:pPr>
              <w:pStyle w:val="StyleWisnow"/>
              <w:rPr>
                <w:color w:val="000000" w:themeColor="text1"/>
              </w:rPr>
            </w:pPr>
          </w:p>
        </w:tc>
        <w:tc>
          <w:tcPr>
            <w:tcW w:w="4818" w:type="dxa"/>
          </w:tcPr>
          <w:p w14:paraId="7328FC81" w14:textId="77777777" w:rsidR="00826C07" w:rsidRPr="00286216" w:rsidRDefault="00826C07" w:rsidP="00826C07">
            <w:pPr>
              <w:pStyle w:val="StyleZakonu"/>
              <w:rPr>
                <w:color w:val="000000" w:themeColor="text1"/>
              </w:rPr>
            </w:pPr>
            <w:r w:rsidRPr="00286216">
              <w:rPr>
                <w:color w:val="000000" w:themeColor="text1"/>
              </w:rPr>
              <w:t>"Стаття 181. Загальний порядок укладення господарських договорів</w:t>
            </w:r>
          </w:p>
        </w:tc>
      </w:tr>
      <w:tr w:rsidR="00826C07" w:rsidRPr="00286216" w14:paraId="476234B4" w14:textId="77777777" w:rsidTr="00091AA5">
        <w:tc>
          <w:tcPr>
            <w:tcW w:w="576" w:type="dxa"/>
          </w:tcPr>
          <w:p w14:paraId="73BFF9AE" w14:textId="77777777" w:rsidR="00826C07" w:rsidRPr="00286216" w:rsidRDefault="00826C07" w:rsidP="00826C07">
            <w:pPr>
              <w:pStyle w:val="StyleWisnow"/>
              <w:rPr>
                <w:color w:val="000000" w:themeColor="text1"/>
              </w:rPr>
            </w:pPr>
            <w:bookmarkStart w:id="2546" w:name="n2675" w:colFirst="0" w:colLast="0"/>
            <w:bookmarkEnd w:id="2545"/>
            <w:r w:rsidRPr="00286216">
              <w:rPr>
                <w:color w:val="000000" w:themeColor="text1"/>
              </w:rPr>
              <w:t>2675.</w:t>
            </w:r>
          </w:p>
        </w:tc>
        <w:tc>
          <w:tcPr>
            <w:tcW w:w="4818" w:type="dxa"/>
          </w:tcPr>
          <w:p w14:paraId="26DA893D" w14:textId="77777777" w:rsidR="00826C07" w:rsidRPr="00286216" w:rsidRDefault="00826C07" w:rsidP="00826C07">
            <w:pPr>
              <w:pStyle w:val="StyleZakonu"/>
              <w:rPr>
                <w:color w:val="000000" w:themeColor="text1"/>
              </w:rPr>
            </w:pPr>
            <w:r w:rsidRPr="00286216">
              <w:rPr>
                <w:color w:val="000000" w:themeColor="text1"/>
              </w:rPr>
              <w:t>1. Господарський договір укладається в порядку, встановленому Цивільним кодексом України, з урахуванням особливостей, передбачених цим Кодексом.";</w:t>
            </w:r>
          </w:p>
        </w:tc>
        <w:tc>
          <w:tcPr>
            <w:tcW w:w="3686" w:type="dxa"/>
          </w:tcPr>
          <w:p w14:paraId="28CFBAE9" w14:textId="77777777" w:rsidR="00826C07" w:rsidRPr="00286216" w:rsidRDefault="00826C07" w:rsidP="00826C07">
            <w:pPr>
              <w:pStyle w:val="StyleProp"/>
              <w:rPr>
                <w:color w:val="000000" w:themeColor="text1"/>
                <w:szCs w:val="18"/>
              </w:rPr>
            </w:pPr>
          </w:p>
        </w:tc>
        <w:tc>
          <w:tcPr>
            <w:tcW w:w="1987" w:type="dxa"/>
          </w:tcPr>
          <w:p w14:paraId="444236A4" w14:textId="77777777" w:rsidR="00826C07" w:rsidRPr="00286216" w:rsidRDefault="00826C07" w:rsidP="00826C07">
            <w:pPr>
              <w:pStyle w:val="StyleWisnow"/>
              <w:rPr>
                <w:color w:val="000000" w:themeColor="text1"/>
              </w:rPr>
            </w:pPr>
          </w:p>
        </w:tc>
        <w:tc>
          <w:tcPr>
            <w:tcW w:w="4818" w:type="dxa"/>
          </w:tcPr>
          <w:p w14:paraId="3B36FBAF" w14:textId="08E4211B" w:rsidR="00826C07" w:rsidRPr="00286216" w:rsidRDefault="00826C07" w:rsidP="00EA729A">
            <w:pPr>
              <w:pStyle w:val="StyleZakonu"/>
              <w:rPr>
                <w:color w:val="000000" w:themeColor="text1"/>
              </w:rPr>
            </w:pPr>
            <w:r w:rsidRPr="00286216">
              <w:rPr>
                <w:color w:val="000000" w:themeColor="text1"/>
              </w:rPr>
              <w:t>1. Господарський договір укладається в порядку, встановленому Цивільним кодексом України з урахуванням особливостей, передбачених цим Кодексом";</w:t>
            </w:r>
          </w:p>
        </w:tc>
      </w:tr>
      <w:tr w:rsidR="00826C07" w:rsidRPr="00286216" w14:paraId="779E4854" w14:textId="77777777" w:rsidTr="00091AA5">
        <w:tc>
          <w:tcPr>
            <w:tcW w:w="576" w:type="dxa"/>
          </w:tcPr>
          <w:p w14:paraId="1D8CA5D9" w14:textId="77777777" w:rsidR="00826C07" w:rsidRPr="00286216" w:rsidRDefault="00826C07" w:rsidP="00826C07">
            <w:pPr>
              <w:pStyle w:val="StyleWisnow"/>
              <w:rPr>
                <w:color w:val="000000" w:themeColor="text1"/>
              </w:rPr>
            </w:pPr>
            <w:bookmarkStart w:id="2547" w:name="n2676" w:colFirst="0" w:colLast="0"/>
            <w:bookmarkEnd w:id="2546"/>
            <w:r w:rsidRPr="00286216">
              <w:rPr>
                <w:color w:val="000000" w:themeColor="text1"/>
              </w:rPr>
              <w:t>2676.</w:t>
            </w:r>
          </w:p>
        </w:tc>
        <w:tc>
          <w:tcPr>
            <w:tcW w:w="4818" w:type="dxa"/>
          </w:tcPr>
          <w:p w14:paraId="37C3421C" w14:textId="77777777" w:rsidR="00826C07" w:rsidRPr="00286216" w:rsidRDefault="00826C07" w:rsidP="00826C07">
            <w:pPr>
              <w:pStyle w:val="StyleZakonu"/>
              <w:rPr>
                <w:color w:val="000000" w:themeColor="text1"/>
              </w:rPr>
            </w:pPr>
            <w:r w:rsidRPr="00286216">
              <w:rPr>
                <w:color w:val="000000" w:themeColor="text1"/>
              </w:rPr>
              <w:t>9) у статті 185 слово "біржах" у всіх відмінках замінити словами та знаками "організованих ринках капіталу, організованих товарних ринках" у відповідних відмінках;</w:t>
            </w:r>
          </w:p>
        </w:tc>
        <w:tc>
          <w:tcPr>
            <w:tcW w:w="3686" w:type="dxa"/>
          </w:tcPr>
          <w:p w14:paraId="58CC0290" w14:textId="77777777" w:rsidR="00826C07" w:rsidRPr="00286216" w:rsidRDefault="00826C07" w:rsidP="00826C07">
            <w:pPr>
              <w:pStyle w:val="StyleProp"/>
              <w:rPr>
                <w:color w:val="000000" w:themeColor="text1"/>
                <w:szCs w:val="18"/>
              </w:rPr>
            </w:pPr>
          </w:p>
        </w:tc>
        <w:tc>
          <w:tcPr>
            <w:tcW w:w="1987" w:type="dxa"/>
          </w:tcPr>
          <w:p w14:paraId="258B38B6" w14:textId="77777777" w:rsidR="00826C07" w:rsidRPr="00286216" w:rsidRDefault="00826C07" w:rsidP="00826C07">
            <w:pPr>
              <w:pStyle w:val="StyleWisnow"/>
              <w:rPr>
                <w:color w:val="000000" w:themeColor="text1"/>
              </w:rPr>
            </w:pPr>
          </w:p>
        </w:tc>
        <w:tc>
          <w:tcPr>
            <w:tcW w:w="4818" w:type="dxa"/>
          </w:tcPr>
          <w:p w14:paraId="690B7542" w14:textId="60020601" w:rsidR="00826C07" w:rsidRPr="00286216" w:rsidRDefault="00826C07" w:rsidP="00EA729A">
            <w:pPr>
              <w:pStyle w:val="StyleZakonu"/>
              <w:rPr>
                <w:color w:val="000000" w:themeColor="text1"/>
              </w:rPr>
            </w:pPr>
            <w:r w:rsidRPr="00286216">
              <w:rPr>
                <w:color w:val="000000" w:themeColor="text1"/>
              </w:rPr>
              <w:t>9) у статті 185 слово "біржах" у всіх відмінках замінити словами "організованих ринках капіталу, організованих товарних ринках" у відповідн</w:t>
            </w:r>
            <w:r w:rsidR="00EA729A" w:rsidRPr="00286216">
              <w:rPr>
                <w:color w:val="000000" w:themeColor="text1"/>
              </w:rPr>
              <w:t>ому</w:t>
            </w:r>
            <w:r w:rsidRPr="00286216">
              <w:rPr>
                <w:color w:val="000000" w:themeColor="text1"/>
              </w:rPr>
              <w:t xml:space="preserve"> відмінк</w:t>
            </w:r>
            <w:r w:rsidR="00EA729A" w:rsidRPr="00286216">
              <w:rPr>
                <w:color w:val="000000" w:themeColor="text1"/>
              </w:rPr>
              <w:t>у</w:t>
            </w:r>
            <w:r w:rsidRPr="00286216">
              <w:rPr>
                <w:color w:val="000000" w:themeColor="text1"/>
              </w:rPr>
              <w:t>;</w:t>
            </w:r>
          </w:p>
        </w:tc>
      </w:tr>
      <w:tr w:rsidR="00826C07" w:rsidRPr="00286216" w14:paraId="150CA48F" w14:textId="77777777" w:rsidTr="00091AA5">
        <w:tc>
          <w:tcPr>
            <w:tcW w:w="576" w:type="dxa"/>
          </w:tcPr>
          <w:p w14:paraId="0E49B92D" w14:textId="77777777" w:rsidR="00826C07" w:rsidRPr="00286216" w:rsidRDefault="00826C07" w:rsidP="00826C07">
            <w:pPr>
              <w:pStyle w:val="StyleWisnow"/>
              <w:rPr>
                <w:color w:val="000000" w:themeColor="text1"/>
              </w:rPr>
            </w:pPr>
            <w:bookmarkStart w:id="2548" w:name="n2677" w:colFirst="0" w:colLast="0"/>
            <w:bookmarkEnd w:id="2547"/>
            <w:r w:rsidRPr="00286216">
              <w:rPr>
                <w:color w:val="000000" w:themeColor="text1"/>
              </w:rPr>
              <w:t>2677.</w:t>
            </w:r>
          </w:p>
        </w:tc>
        <w:tc>
          <w:tcPr>
            <w:tcW w:w="4818" w:type="dxa"/>
          </w:tcPr>
          <w:p w14:paraId="3D51B429" w14:textId="77777777" w:rsidR="00826C07" w:rsidRPr="00286216" w:rsidRDefault="00826C07" w:rsidP="00826C07">
            <w:pPr>
              <w:pStyle w:val="StyleZakonu"/>
              <w:rPr>
                <w:color w:val="000000" w:themeColor="text1"/>
              </w:rPr>
            </w:pPr>
            <w:r w:rsidRPr="00286216">
              <w:rPr>
                <w:color w:val="000000" w:themeColor="text1"/>
              </w:rPr>
              <w:t>10) доповнити після статті 263 новою статтею такого змісту:</w:t>
            </w:r>
          </w:p>
        </w:tc>
        <w:tc>
          <w:tcPr>
            <w:tcW w:w="3686" w:type="dxa"/>
          </w:tcPr>
          <w:p w14:paraId="0279674F" w14:textId="041CF165"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1228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67CF015" w14:textId="77777777" w:rsidR="00826C07" w:rsidRPr="00286216" w:rsidRDefault="00826C07" w:rsidP="00826C07">
            <w:pPr>
              <w:pStyle w:val="StyleAwt"/>
              <w:rPr>
                <w:color w:val="000000" w:themeColor="text1"/>
                <w:spacing w:val="-10"/>
              </w:rPr>
            </w:pPr>
            <w:r w:rsidRPr="00286216">
              <w:rPr>
                <w:color w:val="000000" w:themeColor="text1"/>
                <w:spacing w:val="-10"/>
              </w:rPr>
              <w:t xml:space="preserve">          Н.д.Гетманцев Д.О.(Реєстр.картка №245)</w:t>
            </w:r>
          </w:p>
          <w:p w14:paraId="021319D2"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Підпункт 10 пункту 4 виключити.</w:t>
            </w:r>
          </w:p>
        </w:tc>
        <w:tc>
          <w:tcPr>
            <w:tcW w:w="1987" w:type="dxa"/>
          </w:tcPr>
          <w:p w14:paraId="31D23CA3"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696CFC01" w14:textId="77777777" w:rsidR="00826C07" w:rsidRPr="00286216" w:rsidRDefault="00826C07" w:rsidP="00826C07">
            <w:pPr>
              <w:pStyle w:val="StyleZakonu"/>
              <w:rPr>
                <w:color w:val="000000" w:themeColor="text1"/>
              </w:rPr>
            </w:pPr>
          </w:p>
        </w:tc>
      </w:tr>
      <w:tr w:rsidR="00826C07" w:rsidRPr="00286216" w14:paraId="2C2241D5" w14:textId="77777777" w:rsidTr="00091AA5">
        <w:tc>
          <w:tcPr>
            <w:tcW w:w="576" w:type="dxa"/>
          </w:tcPr>
          <w:p w14:paraId="2111AE89" w14:textId="77777777" w:rsidR="00826C07" w:rsidRPr="00286216" w:rsidRDefault="00826C07" w:rsidP="00826C07">
            <w:pPr>
              <w:pStyle w:val="StyleWisnow"/>
              <w:rPr>
                <w:color w:val="000000" w:themeColor="text1"/>
              </w:rPr>
            </w:pPr>
            <w:bookmarkStart w:id="2549" w:name="n2678" w:colFirst="0" w:colLast="0"/>
            <w:bookmarkEnd w:id="2548"/>
            <w:r w:rsidRPr="00286216">
              <w:rPr>
                <w:color w:val="000000" w:themeColor="text1"/>
              </w:rPr>
              <w:t>2678.</w:t>
            </w:r>
          </w:p>
        </w:tc>
        <w:tc>
          <w:tcPr>
            <w:tcW w:w="4818" w:type="dxa"/>
          </w:tcPr>
          <w:p w14:paraId="3E61742B" w14:textId="77777777" w:rsidR="00826C07" w:rsidRPr="00286216" w:rsidRDefault="00826C07" w:rsidP="00826C07">
            <w:pPr>
              <w:pStyle w:val="StyleZakonu"/>
              <w:rPr>
                <w:color w:val="000000" w:themeColor="text1"/>
              </w:rPr>
            </w:pPr>
            <w:r w:rsidRPr="00286216">
              <w:rPr>
                <w:color w:val="000000" w:themeColor="text1"/>
              </w:rPr>
              <w:t>"Стаття 263-1. Особливості товарних операцій</w:t>
            </w:r>
          </w:p>
        </w:tc>
        <w:tc>
          <w:tcPr>
            <w:tcW w:w="3686" w:type="dxa"/>
          </w:tcPr>
          <w:p w14:paraId="3BB26A84" w14:textId="7C72279C" w:rsidR="00826C07" w:rsidRPr="00286216" w:rsidRDefault="00826C07" w:rsidP="00826C0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1229</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46AD1C13" w14:textId="77777777" w:rsidR="00826C07" w:rsidRPr="00286216" w:rsidRDefault="00826C07" w:rsidP="00826C07">
            <w:pPr>
              <w:pStyle w:val="StyleProp"/>
              <w:rPr>
                <w:color w:val="000000" w:themeColor="text1"/>
              </w:rPr>
            </w:pPr>
            <w:r w:rsidRPr="00286216">
              <w:rPr>
                <w:color w:val="000000" w:themeColor="text1"/>
              </w:rPr>
              <w:t>Виключити.</w:t>
            </w:r>
          </w:p>
        </w:tc>
        <w:tc>
          <w:tcPr>
            <w:tcW w:w="1987" w:type="dxa"/>
          </w:tcPr>
          <w:p w14:paraId="7A1AE1BC"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7452EB85" w14:textId="77777777" w:rsidR="00826C07" w:rsidRPr="00286216" w:rsidRDefault="00826C07" w:rsidP="00826C07">
            <w:pPr>
              <w:pStyle w:val="StyleZakonu"/>
              <w:rPr>
                <w:color w:val="000000" w:themeColor="text1"/>
              </w:rPr>
            </w:pPr>
          </w:p>
        </w:tc>
      </w:tr>
      <w:tr w:rsidR="00826C07" w:rsidRPr="00286216" w14:paraId="3C01623C" w14:textId="77777777" w:rsidTr="00091AA5">
        <w:tc>
          <w:tcPr>
            <w:tcW w:w="576" w:type="dxa"/>
          </w:tcPr>
          <w:p w14:paraId="39444D3D" w14:textId="77777777" w:rsidR="00826C07" w:rsidRPr="00286216" w:rsidRDefault="00826C07" w:rsidP="00826C07">
            <w:pPr>
              <w:pStyle w:val="StyleWisnow"/>
              <w:rPr>
                <w:color w:val="000000" w:themeColor="text1"/>
              </w:rPr>
            </w:pPr>
            <w:bookmarkStart w:id="2550" w:name="n2679" w:colFirst="0" w:colLast="0"/>
            <w:bookmarkEnd w:id="2549"/>
            <w:r w:rsidRPr="00286216">
              <w:rPr>
                <w:color w:val="000000" w:themeColor="text1"/>
              </w:rPr>
              <w:t>2679.</w:t>
            </w:r>
          </w:p>
        </w:tc>
        <w:tc>
          <w:tcPr>
            <w:tcW w:w="4818" w:type="dxa"/>
          </w:tcPr>
          <w:p w14:paraId="0C53F43B" w14:textId="77777777" w:rsidR="00826C07" w:rsidRPr="00286216" w:rsidRDefault="00826C07" w:rsidP="00826C07">
            <w:pPr>
              <w:pStyle w:val="StyleZakonu"/>
              <w:rPr>
                <w:color w:val="000000" w:themeColor="text1"/>
                <w:lang w:eastAsia="uk-UA"/>
              </w:rPr>
            </w:pPr>
            <w:r w:rsidRPr="00286216">
              <w:rPr>
                <w:color w:val="000000" w:themeColor="text1"/>
                <w:lang w:eastAsia="uk-UA"/>
              </w:rPr>
              <w:t xml:space="preserve">1. Товарні операції - договори, які укладаються на організованих товарних ринках, а також договори, що укладаються </w:t>
            </w:r>
            <w:r w:rsidRPr="00286216">
              <w:rPr>
                <w:color w:val="000000" w:themeColor="text1"/>
              </w:rPr>
              <w:t>поза організованим товарним ринком та які передбачають їх виконання виключно шляхом фактичної передачі, переміщення, постачання електричної енергії або природного газу, що є предметом такого договору</w:t>
            </w:r>
            <w:r w:rsidRPr="00286216">
              <w:rPr>
                <w:color w:val="000000" w:themeColor="text1"/>
                <w:lang w:eastAsia="uk-UA"/>
              </w:rPr>
              <w:t>.</w:t>
            </w:r>
          </w:p>
        </w:tc>
        <w:tc>
          <w:tcPr>
            <w:tcW w:w="3686" w:type="dxa"/>
          </w:tcPr>
          <w:p w14:paraId="0BCD3176" w14:textId="735E7EB4" w:rsidR="00826C07" w:rsidRPr="00286216" w:rsidRDefault="00826C07" w:rsidP="00826C07">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1230</w:t>
            </w:r>
            <w:r w:rsidRPr="00286216">
              <w:rPr>
                <w:color w:val="000000" w:themeColor="text1"/>
                <w:spacing w:val="-3"/>
              </w:rPr>
              <w:fldChar w:fldCharType="end"/>
            </w:r>
            <w:r w:rsidRPr="00286216">
              <w:rPr>
                <w:color w:val="000000" w:themeColor="text1"/>
                <w:spacing w:val="-3"/>
              </w:rPr>
              <w:t>-Н.д.Шахов С.В. (Реєстр.картка №114)</w:t>
            </w:r>
          </w:p>
          <w:p w14:paraId="59EF2DEB" w14:textId="77777777" w:rsidR="00826C07" w:rsidRPr="00286216" w:rsidRDefault="00826C07" w:rsidP="00826C07">
            <w:pPr>
              <w:pStyle w:val="StyleProp"/>
              <w:spacing w:line="180" w:lineRule="exact"/>
              <w:rPr>
                <w:color w:val="000000" w:themeColor="text1"/>
              </w:rPr>
            </w:pPr>
            <w:r w:rsidRPr="00286216">
              <w:rPr>
                <w:color w:val="000000" w:themeColor="text1"/>
              </w:rPr>
              <w:t>Запропоновані п.п. 10 п. 4 розділу ІІІ зміни до статті 263-1 Господарського кодексу України викласти у такій редакції</w:t>
            </w:r>
          </w:p>
          <w:p w14:paraId="47C17719" w14:textId="77777777" w:rsidR="00826C07" w:rsidRPr="00286216" w:rsidRDefault="00826C07" w:rsidP="00826C07">
            <w:pPr>
              <w:spacing w:line="180" w:lineRule="exact"/>
              <w:ind w:firstLine="227"/>
              <w:jc w:val="both"/>
              <w:rPr>
                <w:color w:val="000000" w:themeColor="text1"/>
                <w:spacing w:val="-6"/>
                <w:sz w:val="18"/>
              </w:rPr>
            </w:pPr>
            <w:r w:rsidRPr="00286216">
              <w:rPr>
                <w:color w:val="000000" w:themeColor="text1"/>
                <w:spacing w:val="-6"/>
              </w:rPr>
              <w:t>"</w:t>
            </w:r>
            <w:r w:rsidRPr="00286216">
              <w:rPr>
                <w:color w:val="000000" w:themeColor="text1"/>
                <w:spacing w:val="-6"/>
                <w:sz w:val="18"/>
              </w:rPr>
              <w:t xml:space="preserve">Стаття 263 </w:t>
            </w:r>
            <w:r w:rsidRPr="00286216">
              <w:rPr>
                <w:color w:val="000000" w:themeColor="text1"/>
                <w:spacing w:val="-6"/>
                <w:sz w:val="18"/>
                <w:vertAlign w:val="superscript"/>
              </w:rPr>
              <w:t>1</w:t>
            </w:r>
            <w:r w:rsidRPr="00286216">
              <w:rPr>
                <w:color w:val="000000" w:themeColor="text1"/>
                <w:spacing w:val="-6"/>
                <w:sz w:val="18"/>
              </w:rPr>
              <w:t>. Особливості товарних операцій</w:t>
            </w:r>
          </w:p>
          <w:p w14:paraId="5BB3F477" w14:textId="183A6A25" w:rsidR="00826C07" w:rsidRPr="00286216" w:rsidRDefault="00826C07" w:rsidP="00826C07">
            <w:pPr>
              <w:pStyle w:val="StyleProp"/>
              <w:spacing w:line="180" w:lineRule="exact"/>
              <w:rPr>
                <w:b/>
                <w:color w:val="000000" w:themeColor="text1"/>
                <w:spacing w:val="-3"/>
              </w:rPr>
            </w:pPr>
            <w:r w:rsidRPr="00286216">
              <w:rPr>
                <w:color w:val="000000" w:themeColor="text1"/>
                <w:spacing w:val="-2"/>
              </w:rPr>
              <w:t>1. Товарні операції – правочини, які вчиняються на організованих товарних ринках та поза ними і спрямовані на укладання та/або виконання договорів купівлі-продажу товару - продукції або іншого майна, визначеного родовими ознаками (у тому числі, договір поставки, міни,  інший договір, який передбачає постачання товару, що є предметом певного договору).</w:t>
            </w:r>
          </w:p>
        </w:tc>
        <w:tc>
          <w:tcPr>
            <w:tcW w:w="1987" w:type="dxa"/>
          </w:tcPr>
          <w:p w14:paraId="21B66188" w14:textId="77777777" w:rsidR="00826C07" w:rsidRPr="00286216" w:rsidRDefault="00826C07" w:rsidP="00826C07">
            <w:pPr>
              <w:pStyle w:val="StyleWisnow"/>
              <w:rPr>
                <w:color w:val="000000" w:themeColor="text1"/>
                <w:lang w:eastAsia="uk-UA"/>
              </w:rPr>
            </w:pPr>
            <w:r w:rsidRPr="00286216">
              <w:rPr>
                <w:color w:val="000000" w:themeColor="text1"/>
                <w:lang w:eastAsia="uk-UA"/>
              </w:rPr>
              <w:t>Відхилено</w:t>
            </w:r>
          </w:p>
          <w:p w14:paraId="6CC87240" w14:textId="7297E3AC" w:rsidR="00826C07" w:rsidRPr="00286216" w:rsidRDefault="00826C07" w:rsidP="00826C07">
            <w:pPr>
              <w:pStyle w:val="StyleWisnow"/>
              <w:rPr>
                <w:color w:val="000000" w:themeColor="text1"/>
                <w:lang w:eastAsia="uk-UA"/>
              </w:rPr>
            </w:pPr>
            <w:r w:rsidRPr="00286216">
              <w:rPr>
                <w:color w:val="000000" w:themeColor="text1"/>
                <w:lang w:eastAsia="uk-UA"/>
              </w:rPr>
              <w:t>у звʼязку із зміною редакції</w:t>
            </w:r>
          </w:p>
        </w:tc>
        <w:tc>
          <w:tcPr>
            <w:tcW w:w="4818" w:type="dxa"/>
          </w:tcPr>
          <w:p w14:paraId="60D3E4E7" w14:textId="77777777" w:rsidR="00826C07" w:rsidRPr="00286216" w:rsidRDefault="00826C07" w:rsidP="00826C07">
            <w:pPr>
              <w:pStyle w:val="StyleZakonu"/>
              <w:rPr>
                <w:color w:val="000000" w:themeColor="text1"/>
                <w:lang w:eastAsia="uk-UA"/>
              </w:rPr>
            </w:pPr>
          </w:p>
        </w:tc>
      </w:tr>
      <w:tr w:rsidR="00826C07" w:rsidRPr="00286216" w14:paraId="04143117" w14:textId="77777777" w:rsidTr="00091AA5">
        <w:tc>
          <w:tcPr>
            <w:tcW w:w="576" w:type="dxa"/>
          </w:tcPr>
          <w:p w14:paraId="1C227C5A" w14:textId="77777777" w:rsidR="00826C07" w:rsidRPr="00286216" w:rsidRDefault="00826C07" w:rsidP="00826C07">
            <w:pPr>
              <w:pStyle w:val="StyleWisnow"/>
              <w:rPr>
                <w:color w:val="000000" w:themeColor="text1"/>
              </w:rPr>
            </w:pPr>
            <w:bookmarkStart w:id="2551" w:name="n2680" w:colFirst="0" w:colLast="0"/>
            <w:bookmarkEnd w:id="2550"/>
            <w:r w:rsidRPr="00286216">
              <w:rPr>
                <w:color w:val="000000" w:themeColor="text1"/>
              </w:rPr>
              <w:lastRenderedPageBreak/>
              <w:t>2680.</w:t>
            </w:r>
          </w:p>
        </w:tc>
        <w:tc>
          <w:tcPr>
            <w:tcW w:w="4818" w:type="dxa"/>
          </w:tcPr>
          <w:p w14:paraId="72095964" w14:textId="77777777" w:rsidR="00826C07" w:rsidRPr="00286216" w:rsidRDefault="00826C07" w:rsidP="00826C07">
            <w:pPr>
              <w:pStyle w:val="StyleZakonu"/>
              <w:rPr>
                <w:color w:val="000000" w:themeColor="text1"/>
                <w:lang w:eastAsia="uk-UA"/>
              </w:rPr>
            </w:pPr>
            <w:r w:rsidRPr="00286216">
              <w:rPr>
                <w:color w:val="000000" w:themeColor="text1"/>
                <w:lang w:eastAsia="uk-UA"/>
              </w:rPr>
              <w:t>2. Товарні операції можуть укладатися на організованому товарному ринку або поза ним. Товарні операції укладені на організованому товарному ринку є біржовими операціями.</w:t>
            </w:r>
          </w:p>
        </w:tc>
        <w:tc>
          <w:tcPr>
            <w:tcW w:w="3686" w:type="dxa"/>
          </w:tcPr>
          <w:p w14:paraId="709A98C7" w14:textId="1E5E5C88" w:rsidR="00826C07" w:rsidRPr="00286216" w:rsidRDefault="00826C07" w:rsidP="00826C07">
            <w:pPr>
              <w:pStyle w:val="StyleProp"/>
              <w:rPr>
                <w:color w:val="000000" w:themeColor="text1"/>
              </w:rPr>
            </w:pPr>
            <w:r w:rsidRPr="00286216">
              <w:rPr>
                <w:color w:val="000000" w:themeColor="text1"/>
              </w:rPr>
              <w:t xml:space="preserve">2. Товарні операції, вчинені на організованому товарному ринку, є біржовими операціями. </w:t>
            </w:r>
          </w:p>
        </w:tc>
        <w:tc>
          <w:tcPr>
            <w:tcW w:w="1987" w:type="dxa"/>
          </w:tcPr>
          <w:p w14:paraId="75E3F79C" w14:textId="77777777" w:rsidR="00826C07" w:rsidRPr="00286216" w:rsidRDefault="00826C07" w:rsidP="00826C07">
            <w:pPr>
              <w:pStyle w:val="StyleWisnow"/>
              <w:rPr>
                <w:iCs/>
                <w:color w:val="000000" w:themeColor="text1"/>
                <w:lang w:eastAsia="uk-UA"/>
              </w:rPr>
            </w:pPr>
          </w:p>
        </w:tc>
        <w:tc>
          <w:tcPr>
            <w:tcW w:w="4818" w:type="dxa"/>
          </w:tcPr>
          <w:p w14:paraId="459F1C79" w14:textId="77777777" w:rsidR="00826C07" w:rsidRPr="00286216" w:rsidRDefault="00826C07" w:rsidP="00826C07">
            <w:pPr>
              <w:pStyle w:val="StyleZakonu"/>
              <w:rPr>
                <w:color w:val="000000" w:themeColor="text1"/>
                <w:lang w:eastAsia="uk-UA"/>
              </w:rPr>
            </w:pPr>
          </w:p>
        </w:tc>
      </w:tr>
      <w:tr w:rsidR="00826C07" w:rsidRPr="00286216" w14:paraId="509C369E" w14:textId="77777777" w:rsidTr="00091AA5">
        <w:tc>
          <w:tcPr>
            <w:tcW w:w="576" w:type="dxa"/>
          </w:tcPr>
          <w:p w14:paraId="15ABFEBF" w14:textId="77777777" w:rsidR="00826C07" w:rsidRPr="00286216" w:rsidRDefault="00826C07" w:rsidP="00826C07">
            <w:pPr>
              <w:pStyle w:val="StyleWisnow"/>
              <w:rPr>
                <w:color w:val="000000" w:themeColor="text1"/>
              </w:rPr>
            </w:pPr>
            <w:bookmarkStart w:id="2552" w:name="n2681" w:colFirst="0" w:colLast="0"/>
            <w:bookmarkEnd w:id="2551"/>
            <w:r w:rsidRPr="00286216">
              <w:rPr>
                <w:color w:val="000000" w:themeColor="text1"/>
              </w:rPr>
              <w:t>2681.</w:t>
            </w:r>
          </w:p>
        </w:tc>
        <w:tc>
          <w:tcPr>
            <w:tcW w:w="4818" w:type="dxa"/>
          </w:tcPr>
          <w:p w14:paraId="0258B27E" w14:textId="77777777" w:rsidR="00826C07" w:rsidRPr="00286216" w:rsidRDefault="00826C07" w:rsidP="00826C07">
            <w:pPr>
              <w:pStyle w:val="StyleZakonu"/>
              <w:rPr>
                <w:color w:val="000000" w:themeColor="text1"/>
              </w:rPr>
            </w:pPr>
            <w:r w:rsidRPr="00286216">
              <w:rPr>
                <w:color w:val="000000" w:themeColor="text1"/>
              </w:rPr>
              <w:t>Товарні операції можуть укладатися на підставі генеральної угоди.</w:t>
            </w:r>
          </w:p>
        </w:tc>
        <w:tc>
          <w:tcPr>
            <w:tcW w:w="3686" w:type="dxa"/>
          </w:tcPr>
          <w:p w14:paraId="1FC43BBB" w14:textId="77777777" w:rsidR="00826C07" w:rsidRPr="00286216" w:rsidRDefault="00826C07" w:rsidP="00826C07">
            <w:pPr>
              <w:pStyle w:val="StyleProp"/>
              <w:rPr>
                <w:color w:val="000000" w:themeColor="text1"/>
              </w:rPr>
            </w:pPr>
            <w:r w:rsidRPr="00286216">
              <w:rPr>
                <w:color w:val="000000" w:themeColor="text1"/>
              </w:rPr>
              <w:t>Товарні операції та договори купівлі-продажу товару можуть вчинятися на підставі генеральної угоди.</w:t>
            </w:r>
          </w:p>
        </w:tc>
        <w:tc>
          <w:tcPr>
            <w:tcW w:w="1987" w:type="dxa"/>
          </w:tcPr>
          <w:p w14:paraId="46343201" w14:textId="77777777" w:rsidR="00826C07" w:rsidRPr="00286216" w:rsidRDefault="00826C07" w:rsidP="00826C07">
            <w:pPr>
              <w:pStyle w:val="StyleWisnow"/>
              <w:rPr>
                <w:color w:val="000000" w:themeColor="text1"/>
              </w:rPr>
            </w:pPr>
          </w:p>
        </w:tc>
        <w:tc>
          <w:tcPr>
            <w:tcW w:w="4818" w:type="dxa"/>
          </w:tcPr>
          <w:p w14:paraId="5B6F1C44" w14:textId="77777777" w:rsidR="00826C07" w:rsidRPr="00286216" w:rsidRDefault="00826C07" w:rsidP="00826C07">
            <w:pPr>
              <w:pStyle w:val="StyleZakonu"/>
              <w:rPr>
                <w:color w:val="000000" w:themeColor="text1"/>
              </w:rPr>
            </w:pPr>
          </w:p>
        </w:tc>
      </w:tr>
      <w:tr w:rsidR="00826C07" w:rsidRPr="00286216" w14:paraId="0CB10C0D" w14:textId="77777777" w:rsidTr="00091AA5">
        <w:tc>
          <w:tcPr>
            <w:tcW w:w="576" w:type="dxa"/>
          </w:tcPr>
          <w:p w14:paraId="13E8240B" w14:textId="77777777" w:rsidR="00826C07" w:rsidRPr="00286216" w:rsidRDefault="00826C07" w:rsidP="00826C07">
            <w:pPr>
              <w:pStyle w:val="StyleWisnow"/>
              <w:rPr>
                <w:color w:val="000000" w:themeColor="text1"/>
              </w:rPr>
            </w:pPr>
            <w:bookmarkStart w:id="2553" w:name="n2682" w:colFirst="0" w:colLast="0"/>
            <w:bookmarkEnd w:id="2552"/>
            <w:r w:rsidRPr="00286216">
              <w:rPr>
                <w:color w:val="000000" w:themeColor="text1"/>
              </w:rPr>
              <w:t>2682.</w:t>
            </w:r>
          </w:p>
        </w:tc>
        <w:tc>
          <w:tcPr>
            <w:tcW w:w="4818" w:type="dxa"/>
          </w:tcPr>
          <w:p w14:paraId="4BBB68E7" w14:textId="77777777" w:rsidR="00826C07" w:rsidRPr="00286216" w:rsidRDefault="00826C07" w:rsidP="00826C07">
            <w:pPr>
              <w:pStyle w:val="StyleZakonu"/>
              <w:rPr>
                <w:color w:val="000000" w:themeColor="text1"/>
                <w:lang w:eastAsia="uk-UA"/>
              </w:rPr>
            </w:pPr>
            <w:r w:rsidRPr="00286216">
              <w:rPr>
                <w:color w:val="000000" w:themeColor="text1"/>
                <w:lang w:eastAsia="uk-UA"/>
              </w:rPr>
              <w:t xml:space="preserve">3. </w:t>
            </w:r>
            <w:r w:rsidRPr="00286216">
              <w:rPr>
                <w:color w:val="000000" w:themeColor="text1"/>
              </w:rPr>
              <w:t xml:space="preserve">Товарні операції, в тому числі </w:t>
            </w:r>
            <w:r w:rsidRPr="00286216">
              <w:rPr>
                <w:color w:val="000000" w:themeColor="text1"/>
                <w:lang w:eastAsia="uk-UA"/>
              </w:rPr>
              <w:t>біржові, не підлягають нотаріальному посвідченню, крім випадків коли нотаріальне посвідчення вимагається законодавством або якщо одна зі сторін договору не вимагає такого посвідчення.</w:t>
            </w:r>
          </w:p>
        </w:tc>
        <w:tc>
          <w:tcPr>
            <w:tcW w:w="3686" w:type="dxa"/>
          </w:tcPr>
          <w:p w14:paraId="6FB43484" w14:textId="77777777" w:rsidR="00826C07" w:rsidRPr="00286216" w:rsidRDefault="00826C07" w:rsidP="00826C07">
            <w:pPr>
              <w:pStyle w:val="StyleProp"/>
              <w:rPr>
                <w:color w:val="000000" w:themeColor="text1"/>
              </w:rPr>
            </w:pPr>
            <w:r w:rsidRPr="00286216">
              <w:rPr>
                <w:color w:val="000000" w:themeColor="text1"/>
              </w:rPr>
              <w:t>3. Товарні операції та договори купівлі-продажу товару, в тому числі біржові, не підлягають нотаріальному посвідченню, крім випадків коли нотаріальне посвідчення вимагається законодавством, або якщо одна зі сторін договору вимагає такого посвідчення.</w:t>
            </w:r>
          </w:p>
        </w:tc>
        <w:tc>
          <w:tcPr>
            <w:tcW w:w="1987" w:type="dxa"/>
          </w:tcPr>
          <w:p w14:paraId="6F4F9A8B" w14:textId="77777777" w:rsidR="00826C07" w:rsidRPr="00286216" w:rsidRDefault="00826C07" w:rsidP="00826C07">
            <w:pPr>
              <w:pStyle w:val="StyleWisnow"/>
              <w:rPr>
                <w:color w:val="000000" w:themeColor="text1"/>
                <w:lang w:eastAsia="uk-UA"/>
              </w:rPr>
            </w:pPr>
          </w:p>
        </w:tc>
        <w:tc>
          <w:tcPr>
            <w:tcW w:w="4818" w:type="dxa"/>
          </w:tcPr>
          <w:p w14:paraId="5BE8CA98" w14:textId="77777777" w:rsidR="00826C07" w:rsidRPr="00286216" w:rsidRDefault="00826C07" w:rsidP="00826C07">
            <w:pPr>
              <w:pStyle w:val="StyleZakonu"/>
              <w:rPr>
                <w:color w:val="000000" w:themeColor="text1"/>
                <w:lang w:eastAsia="uk-UA"/>
              </w:rPr>
            </w:pPr>
          </w:p>
        </w:tc>
      </w:tr>
      <w:tr w:rsidR="00826C07" w:rsidRPr="00286216" w14:paraId="7B69E772" w14:textId="77777777" w:rsidTr="00091AA5">
        <w:tc>
          <w:tcPr>
            <w:tcW w:w="576" w:type="dxa"/>
          </w:tcPr>
          <w:p w14:paraId="7F281899" w14:textId="77777777" w:rsidR="00826C07" w:rsidRPr="00286216" w:rsidRDefault="00826C07" w:rsidP="00826C07">
            <w:pPr>
              <w:pStyle w:val="StyleWisnow"/>
              <w:rPr>
                <w:color w:val="000000" w:themeColor="text1"/>
              </w:rPr>
            </w:pPr>
            <w:bookmarkStart w:id="2554" w:name="n2683" w:colFirst="0" w:colLast="0"/>
            <w:bookmarkEnd w:id="2553"/>
            <w:r w:rsidRPr="00286216">
              <w:rPr>
                <w:color w:val="000000" w:themeColor="text1"/>
              </w:rPr>
              <w:t>2683.</w:t>
            </w:r>
          </w:p>
        </w:tc>
        <w:tc>
          <w:tcPr>
            <w:tcW w:w="4818" w:type="dxa"/>
          </w:tcPr>
          <w:p w14:paraId="4044A988" w14:textId="77777777" w:rsidR="00826C07" w:rsidRPr="00286216" w:rsidRDefault="00826C07" w:rsidP="00826C07">
            <w:pPr>
              <w:pStyle w:val="StyleZakonu"/>
              <w:rPr>
                <w:color w:val="000000" w:themeColor="text1"/>
                <w:lang w:eastAsia="uk-UA"/>
              </w:rPr>
            </w:pPr>
            <w:r w:rsidRPr="00286216">
              <w:rPr>
                <w:color w:val="000000" w:themeColor="text1"/>
                <w:lang w:eastAsia="uk-UA"/>
              </w:rPr>
              <w:t>4. Умовами генеральної угоди щодо товарних операцій або правилами особи, яка провадить клірингову діяльність щодо товарних операцій, може передбачатися можливість неттінгу.</w:t>
            </w:r>
          </w:p>
        </w:tc>
        <w:tc>
          <w:tcPr>
            <w:tcW w:w="3686" w:type="dxa"/>
          </w:tcPr>
          <w:p w14:paraId="25289B4D" w14:textId="77777777" w:rsidR="00826C07" w:rsidRPr="00286216" w:rsidRDefault="00826C07" w:rsidP="00826C07">
            <w:pPr>
              <w:pStyle w:val="StyleProp"/>
              <w:rPr>
                <w:color w:val="000000" w:themeColor="text1"/>
              </w:rPr>
            </w:pPr>
            <w:r w:rsidRPr="00286216">
              <w:rPr>
                <w:color w:val="000000" w:themeColor="text1"/>
              </w:rPr>
              <w:t>4. Умовами генеральної угоди щодо товарних операцій та/або щодо договорів купівлі-продажу товару або правилами особи, яка провадить клірингову діяльність, може передбачатися можливість неттінгу.</w:t>
            </w:r>
          </w:p>
        </w:tc>
        <w:tc>
          <w:tcPr>
            <w:tcW w:w="1987" w:type="dxa"/>
          </w:tcPr>
          <w:p w14:paraId="21DAAB19" w14:textId="77777777" w:rsidR="00826C07" w:rsidRPr="00286216" w:rsidRDefault="00826C07" w:rsidP="00826C07">
            <w:pPr>
              <w:pStyle w:val="StyleWisnow"/>
              <w:rPr>
                <w:color w:val="000000" w:themeColor="text1"/>
                <w:lang w:eastAsia="uk-UA"/>
              </w:rPr>
            </w:pPr>
          </w:p>
        </w:tc>
        <w:tc>
          <w:tcPr>
            <w:tcW w:w="4818" w:type="dxa"/>
          </w:tcPr>
          <w:p w14:paraId="5CE2948E" w14:textId="77777777" w:rsidR="00826C07" w:rsidRPr="00286216" w:rsidRDefault="00826C07" w:rsidP="00826C07">
            <w:pPr>
              <w:pStyle w:val="StyleZakonu"/>
              <w:rPr>
                <w:color w:val="000000" w:themeColor="text1"/>
                <w:lang w:eastAsia="uk-UA"/>
              </w:rPr>
            </w:pPr>
          </w:p>
        </w:tc>
      </w:tr>
      <w:tr w:rsidR="00826C07" w:rsidRPr="00286216" w14:paraId="53051B6E" w14:textId="77777777" w:rsidTr="00091AA5">
        <w:tc>
          <w:tcPr>
            <w:tcW w:w="576" w:type="dxa"/>
          </w:tcPr>
          <w:p w14:paraId="28E0F4C8" w14:textId="77777777" w:rsidR="00826C07" w:rsidRPr="00286216" w:rsidRDefault="00826C07" w:rsidP="00826C07">
            <w:pPr>
              <w:pStyle w:val="StyleWisnow"/>
              <w:rPr>
                <w:color w:val="000000" w:themeColor="text1"/>
              </w:rPr>
            </w:pPr>
            <w:bookmarkStart w:id="2555" w:name="n2684" w:colFirst="0" w:colLast="0"/>
            <w:bookmarkEnd w:id="2554"/>
            <w:r w:rsidRPr="00286216">
              <w:rPr>
                <w:color w:val="000000" w:themeColor="text1"/>
              </w:rPr>
              <w:t>2684.</w:t>
            </w:r>
          </w:p>
        </w:tc>
        <w:tc>
          <w:tcPr>
            <w:tcW w:w="4818" w:type="dxa"/>
          </w:tcPr>
          <w:p w14:paraId="591B5394" w14:textId="77777777" w:rsidR="00826C07" w:rsidRPr="00286216" w:rsidRDefault="00826C07" w:rsidP="00826C07">
            <w:pPr>
              <w:pStyle w:val="StyleZakonu"/>
              <w:rPr>
                <w:color w:val="000000" w:themeColor="text1"/>
                <w:lang w:eastAsia="uk-UA"/>
              </w:rPr>
            </w:pPr>
            <w:r w:rsidRPr="00286216">
              <w:rPr>
                <w:color w:val="000000" w:themeColor="text1"/>
                <w:lang w:eastAsia="uk-UA"/>
              </w:rPr>
              <w:t>5. Якщо на момент виконання обов’язку сторони товарної операції щодо передачі продукції або іншого майна, визначеного родовими ознаками, здійснити таке передачу неможливо, обов’язок щодо відчуження продукції або іншого майна, визначеного родовими ознаками, за згодою особи, яка придбала продукцію або інше майно, визначене родовими ознаками, замінюється грошовими розрахунками між сторонами, виходячи з ціни відповідної продукції або іншого майна, визначеного родовими ознаками, якщо інше не передбачено договором.";</w:t>
            </w:r>
          </w:p>
        </w:tc>
        <w:tc>
          <w:tcPr>
            <w:tcW w:w="3686" w:type="dxa"/>
          </w:tcPr>
          <w:p w14:paraId="08623414" w14:textId="77777777" w:rsidR="00826C07" w:rsidRPr="00286216" w:rsidRDefault="00826C07" w:rsidP="00826C07">
            <w:pPr>
              <w:pStyle w:val="StyleProp"/>
              <w:rPr>
                <w:color w:val="000000" w:themeColor="text1"/>
              </w:rPr>
            </w:pPr>
            <w:r w:rsidRPr="00286216">
              <w:rPr>
                <w:color w:val="000000" w:themeColor="text1"/>
              </w:rPr>
              <w:t>5. Якщо на момент виконання обов’язку сторони товарної операції/договору купівлі-продажу товару щодо постачання товару або іншого майна, визначеного родовими ознаками,  або передачі майнових прав здійснити неможливо, обов’язок щодо відчуження продукції або іншого майна, визначеного родовими ознаками, чи майнових прав за згодою особи, яка придбала продукцію або інше майно, визначене родовими ознаками, чи майнові права замінюється грошовими розрахунками між сторонами, виходячи з ціни відповідної продукції або іншого майна, визначеного родовими ознаками, чи майнових прав, якщо інше не передбачено договором".</w:t>
            </w:r>
          </w:p>
        </w:tc>
        <w:tc>
          <w:tcPr>
            <w:tcW w:w="1987" w:type="dxa"/>
          </w:tcPr>
          <w:p w14:paraId="3A74988A" w14:textId="77777777" w:rsidR="00826C07" w:rsidRPr="00286216" w:rsidRDefault="00826C07" w:rsidP="00826C07">
            <w:pPr>
              <w:pStyle w:val="StyleWisnow"/>
              <w:rPr>
                <w:color w:val="000000" w:themeColor="text1"/>
                <w:lang w:eastAsia="uk-UA"/>
              </w:rPr>
            </w:pPr>
          </w:p>
        </w:tc>
        <w:tc>
          <w:tcPr>
            <w:tcW w:w="4818" w:type="dxa"/>
          </w:tcPr>
          <w:p w14:paraId="260CC598" w14:textId="77777777" w:rsidR="00826C07" w:rsidRPr="00286216" w:rsidRDefault="00826C07" w:rsidP="00826C07">
            <w:pPr>
              <w:pStyle w:val="StyleZakonu"/>
              <w:rPr>
                <w:color w:val="000000" w:themeColor="text1"/>
                <w:lang w:eastAsia="uk-UA"/>
              </w:rPr>
            </w:pPr>
          </w:p>
        </w:tc>
      </w:tr>
      <w:tr w:rsidR="00826C07" w:rsidRPr="00286216" w14:paraId="43516D11" w14:textId="77777777" w:rsidTr="00091AA5">
        <w:tc>
          <w:tcPr>
            <w:tcW w:w="576" w:type="dxa"/>
          </w:tcPr>
          <w:p w14:paraId="05FA222E" w14:textId="77777777" w:rsidR="00826C07" w:rsidRPr="00286216" w:rsidRDefault="00826C07" w:rsidP="00826C07">
            <w:pPr>
              <w:pStyle w:val="StyleWisnow"/>
              <w:rPr>
                <w:color w:val="000000" w:themeColor="text1"/>
              </w:rPr>
            </w:pPr>
            <w:bookmarkStart w:id="2556" w:name="n2685" w:colFirst="0" w:colLast="0"/>
            <w:bookmarkEnd w:id="2555"/>
            <w:r w:rsidRPr="00286216">
              <w:rPr>
                <w:color w:val="000000" w:themeColor="text1"/>
              </w:rPr>
              <w:t>2685.</w:t>
            </w:r>
          </w:p>
        </w:tc>
        <w:tc>
          <w:tcPr>
            <w:tcW w:w="4818" w:type="dxa"/>
          </w:tcPr>
          <w:p w14:paraId="67FE02AB" w14:textId="77777777" w:rsidR="00826C07" w:rsidRPr="00286216" w:rsidRDefault="00826C07" w:rsidP="00826C07">
            <w:pPr>
              <w:pStyle w:val="StyleZakonu"/>
              <w:rPr>
                <w:color w:val="000000" w:themeColor="text1"/>
              </w:rPr>
            </w:pPr>
            <w:r w:rsidRPr="00286216">
              <w:rPr>
                <w:color w:val="000000" w:themeColor="text1"/>
              </w:rPr>
              <w:t>11) статтю 278 викласти в такій редакції:</w:t>
            </w:r>
          </w:p>
        </w:tc>
        <w:tc>
          <w:tcPr>
            <w:tcW w:w="3686" w:type="dxa"/>
          </w:tcPr>
          <w:p w14:paraId="16B950A9" w14:textId="77777777" w:rsidR="00826C07" w:rsidRPr="00286216" w:rsidRDefault="00826C07" w:rsidP="00826C07">
            <w:pPr>
              <w:pStyle w:val="StyleProp"/>
              <w:rPr>
                <w:color w:val="000000" w:themeColor="text1"/>
                <w:szCs w:val="18"/>
              </w:rPr>
            </w:pPr>
          </w:p>
        </w:tc>
        <w:tc>
          <w:tcPr>
            <w:tcW w:w="1987" w:type="dxa"/>
          </w:tcPr>
          <w:p w14:paraId="5E582481" w14:textId="77777777" w:rsidR="00826C07" w:rsidRPr="00286216" w:rsidRDefault="00826C07" w:rsidP="00826C07">
            <w:pPr>
              <w:pStyle w:val="StyleWisnow"/>
              <w:rPr>
                <w:color w:val="000000" w:themeColor="text1"/>
              </w:rPr>
            </w:pPr>
          </w:p>
        </w:tc>
        <w:tc>
          <w:tcPr>
            <w:tcW w:w="4818" w:type="dxa"/>
          </w:tcPr>
          <w:p w14:paraId="767D6325" w14:textId="48AD4222" w:rsidR="00826C07" w:rsidRPr="00286216" w:rsidRDefault="00EA729A" w:rsidP="00EA729A">
            <w:pPr>
              <w:pStyle w:val="StyleZakonu"/>
              <w:rPr>
                <w:color w:val="000000" w:themeColor="text1"/>
              </w:rPr>
            </w:pPr>
            <w:r w:rsidRPr="00286216">
              <w:rPr>
                <w:color w:val="000000" w:themeColor="text1"/>
              </w:rPr>
              <w:t>10</w:t>
            </w:r>
            <w:r w:rsidR="00826C07" w:rsidRPr="00286216">
              <w:rPr>
                <w:color w:val="000000" w:themeColor="text1"/>
              </w:rPr>
              <w:t>) статтю 278 викласти в такій редакції:</w:t>
            </w:r>
          </w:p>
        </w:tc>
      </w:tr>
      <w:tr w:rsidR="00826C07" w:rsidRPr="00286216" w14:paraId="4F5B8C91" w14:textId="77777777" w:rsidTr="00091AA5">
        <w:tc>
          <w:tcPr>
            <w:tcW w:w="576" w:type="dxa"/>
          </w:tcPr>
          <w:p w14:paraId="25D1EAF0" w14:textId="77777777" w:rsidR="00826C07" w:rsidRPr="00286216" w:rsidRDefault="00826C07" w:rsidP="00826C07">
            <w:pPr>
              <w:pStyle w:val="StyleWisnow"/>
              <w:rPr>
                <w:color w:val="000000" w:themeColor="text1"/>
              </w:rPr>
            </w:pPr>
            <w:bookmarkStart w:id="2557" w:name="n2686" w:colFirst="0" w:colLast="0"/>
            <w:bookmarkEnd w:id="2556"/>
            <w:r w:rsidRPr="00286216">
              <w:rPr>
                <w:color w:val="000000" w:themeColor="text1"/>
              </w:rPr>
              <w:t>2686.</w:t>
            </w:r>
          </w:p>
        </w:tc>
        <w:tc>
          <w:tcPr>
            <w:tcW w:w="4818" w:type="dxa"/>
          </w:tcPr>
          <w:p w14:paraId="012EB0CA" w14:textId="77777777" w:rsidR="00826C07" w:rsidRPr="00286216" w:rsidRDefault="00826C07" w:rsidP="00826C07">
            <w:pPr>
              <w:pStyle w:val="StyleZakonu"/>
              <w:rPr>
                <w:color w:val="000000" w:themeColor="text1"/>
              </w:rPr>
            </w:pPr>
            <w:r w:rsidRPr="00286216">
              <w:rPr>
                <w:color w:val="000000" w:themeColor="text1"/>
              </w:rPr>
              <w:t>"Стаття 278. Організовані товарні ринки</w:t>
            </w:r>
          </w:p>
        </w:tc>
        <w:tc>
          <w:tcPr>
            <w:tcW w:w="3686" w:type="dxa"/>
          </w:tcPr>
          <w:p w14:paraId="7740E050" w14:textId="3EAE4062" w:rsidR="00826C07" w:rsidRPr="00286216" w:rsidRDefault="00826C07" w:rsidP="00826C0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1231</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0EEA6057" w14:textId="77777777" w:rsidR="00826C07" w:rsidRPr="00286216" w:rsidRDefault="00826C07" w:rsidP="00826C07">
            <w:pPr>
              <w:pStyle w:val="StyleProp"/>
              <w:rPr>
                <w:color w:val="000000" w:themeColor="text1"/>
                <w:szCs w:val="18"/>
              </w:rPr>
            </w:pPr>
            <w:r w:rsidRPr="00286216">
              <w:rPr>
                <w:color w:val="000000" w:themeColor="text1"/>
              </w:rPr>
              <w:t xml:space="preserve">Замінити на "Стаття 278. Торговельно-біржова діяльність" </w:t>
            </w:r>
          </w:p>
        </w:tc>
        <w:tc>
          <w:tcPr>
            <w:tcW w:w="1987" w:type="dxa"/>
          </w:tcPr>
          <w:p w14:paraId="507EB19C" w14:textId="77777777" w:rsidR="00826C07" w:rsidRPr="00286216" w:rsidRDefault="00826C07" w:rsidP="00826C07">
            <w:pPr>
              <w:pStyle w:val="StyleWisnow"/>
              <w:rPr>
                <w:color w:val="000000" w:themeColor="text1"/>
              </w:rPr>
            </w:pPr>
            <w:r w:rsidRPr="00286216">
              <w:rPr>
                <w:color w:val="000000" w:themeColor="text1"/>
              </w:rPr>
              <w:t>Відхилено</w:t>
            </w:r>
          </w:p>
          <w:p w14:paraId="27709CDE" w14:textId="388B7096" w:rsidR="00826C07" w:rsidRPr="00286216" w:rsidRDefault="00826C07" w:rsidP="00826C07">
            <w:pPr>
              <w:pStyle w:val="StyleWisnow"/>
              <w:spacing w:line="180" w:lineRule="exact"/>
              <w:rPr>
                <w:color w:val="000000" w:themeColor="text1"/>
              </w:rPr>
            </w:pPr>
            <w:r w:rsidRPr="00286216">
              <w:rPr>
                <w:color w:val="000000" w:themeColor="text1"/>
              </w:rPr>
              <w:t>Запропонована редакція містить посилання на Закон «Про ринки капіталу та організовані товарні ринки», де нема поняття «торговельно-біржова діяльність»</w:t>
            </w:r>
          </w:p>
        </w:tc>
        <w:tc>
          <w:tcPr>
            <w:tcW w:w="4818" w:type="dxa"/>
          </w:tcPr>
          <w:p w14:paraId="263EB968" w14:textId="4E1AFADB" w:rsidR="00826C07" w:rsidRPr="00286216" w:rsidRDefault="00826C07" w:rsidP="00826C07">
            <w:pPr>
              <w:pStyle w:val="StyleZakonu"/>
              <w:rPr>
                <w:color w:val="000000" w:themeColor="text1"/>
              </w:rPr>
            </w:pPr>
            <w:r w:rsidRPr="00286216">
              <w:rPr>
                <w:color w:val="000000" w:themeColor="text1"/>
              </w:rPr>
              <w:t>"Стаття 278. Товарні ринки</w:t>
            </w:r>
          </w:p>
        </w:tc>
      </w:tr>
      <w:tr w:rsidR="00826C07" w:rsidRPr="00286216" w14:paraId="2F86B191" w14:textId="77777777" w:rsidTr="00091AA5">
        <w:tc>
          <w:tcPr>
            <w:tcW w:w="576" w:type="dxa"/>
          </w:tcPr>
          <w:p w14:paraId="062C82F3" w14:textId="77777777" w:rsidR="00826C07" w:rsidRPr="00286216" w:rsidRDefault="00826C07" w:rsidP="00826C07">
            <w:pPr>
              <w:pStyle w:val="StyleWisnow"/>
              <w:rPr>
                <w:color w:val="000000" w:themeColor="text1"/>
              </w:rPr>
            </w:pPr>
            <w:bookmarkStart w:id="2558" w:name="n2687" w:colFirst="0" w:colLast="0"/>
            <w:bookmarkEnd w:id="2557"/>
            <w:r w:rsidRPr="00286216">
              <w:rPr>
                <w:color w:val="000000" w:themeColor="text1"/>
              </w:rPr>
              <w:t>2687.</w:t>
            </w:r>
          </w:p>
        </w:tc>
        <w:tc>
          <w:tcPr>
            <w:tcW w:w="4818" w:type="dxa"/>
          </w:tcPr>
          <w:p w14:paraId="74A869CF" w14:textId="77777777" w:rsidR="00826C07" w:rsidRPr="00286216" w:rsidRDefault="00826C07" w:rsidP="00826C07">
            <w:pPr>
              <w:pStyle w:val="StyleZakonu"/>
              <w:rPr>
                <w:color w:val="000000" w:themeColor="text1"/>
              </w:rPr>
            </w:pPr>
            <w:r w:rsidRPr="00286216">
              <w:rPr>
                <w:color w:val="000000" w:themeColor="text1"/>
              </w:rPr>
              <w:t xml:space="preserve">1. Організація торгівлі продукцією на організованих товарних ринках (в тому числі правила розрахунків) регулюється Законом України "Про ринки капіталу та організовані товарні ринки" та </w:t>
            </w:r>
            <w:r w:rsidRPr="00286216">
              <w:rPr>
                <w:color w:val="000000" w:themeColor="text1"/>
              </w:rPr>
              <w:lastRenderedPageBreak/>
              <w:t>Законом України "Про товарну біржу" за виключенням правил фізичної поставки активів, допущених до торгів на організованому товарному ринку.</w:t>
            </w:r>
          </w:p>
        </w:tc>
        <w:tc>
          <w:tcPr>
            <w:tcW w:w="3686" w:type="dxa"/>
          </w:tcPr>
          <w:p w14:paraId="7BF0199D" w14:textId="23DB8460"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lastRenderedPageBreak/>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1232</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513A022" w14:textId="77777777" w:rsidR="00826C07" w:rsidRPr="00286216" w:rsidRDefault="00826C07" w:rsidP="00826C07">
            <w:pPr>
              <w:pStyle w:val="StyleAwt"/>
              <w:rPr>
                <w:color w:val="000000" w:themeColor="text1"/>
                <w:spacing w:val="-10"/>
              </w:rPr>
            </w:pPr>
            <w:r w:rsidRPr="00286216">
              <w:rPr>
                <w:color w:val="000000" w:themeColor="text1"/>
                <w:spacing w:val="-10"/>
              </w:rPr>
              <w:t xml:space="preserve">          Н.д.Гетманцев Д.О.(Реєстр.картка №245)</w:t>
            </w:r>
          </w:p>
          <w:p w14:paraId="1CF31B2F" w14:textId="77777777" w:rsidR="00826C07" w:rsidRPr="00286216" w:rsidRDefault="00826C07" w:rsidP="00826C07">
            <w:pPr>
              <w:pStyle w:val="StyleProp"/>
              <w:rPr>
                <w:color w:val="000000" w:themeColor="text1"/>
              </w:rPr>
            </w:pPr>
            <w:r w:rsidRPr="00286216">
              <w:rPr>
                <w:color w:val="000000" w:themeColor="text1"/>
              </w:rPr>
              <w:t>Підпункт 11 пункту 4 викласти у такій редакції:</w:t>
            </w:r>
          </w:p>
          <w:p w14:paraId="3566A3F4" w14:textId="77777777" w:rsidR="00826C07" w:rsidRPr="00286216" w:rsidRDefault="00826C07" w:rsidP="003F49CA">
            <w:pPr>
              <w:pStyle w:val="StyleProp"/>
              <w:spacing w:line="190" w:lineRule="exact"/>
              <w:rPr>
                <w:color w:val="000000" w:themeColor="text1"/>
              </w:rPr>
            </w:pPr>
            <w:r w:rsidRPr="00286216">
              <w:rPr>
                <w:color w:val="000000" w:themeColor="text1"/>
              </w:rPr>
              <w:t xml:space="preserve">"11) назву, частини першу та другу статті </w:t>
            </w:r>
            <w:r w:rsidRPr="00286216">
              <w:rPr>
                <w:color w:val="000000" w:themeColor="text1"/>
              </w:rPr>
              <w:lastRenderedPageBreak/>
              <w:t>278 викласти в такій редакції:</w:t>
            </w:r>
          </w:p>
          <w:p w14:paraId="3DACA53A" w14:textId="77777777" w:rsidR="00826C07" w:rsidRPr="00286216" w:rsidRDefault="00826C07" w:rsidP="003F49CA">
            <w:pPr>
              <w:pStyle w:val="StyleProp"/>
              <w:spacing w:line="190" w:lineRule="exact"/>
              <w:rPr>
                <w:color w:val="000000" w:themeColor="text1"/>
              </w:rPr>
            </w:pPr>
            <w:r w:rsidRPr="00286216">
              <w:rPr>
                <w:color w:val="000000" w:themeColor="text1"/>
              </w:rPr>
              <w:t xml:space="preserve">«Стаття 278. Товарні ринки </w:t>
            </w:r>
          </w:p>
          <w:p w14:paraId="234B76E4" w14:textId="77777777" w:rsidR="00826C07" w:rsidRPr="00286216" w:rsidRDefault="00826C07" w:rsidP="003F49CA">
            <w:pPr>
              <w:pStyle w:val="StyleProp"/>
              <w:spacing w:line="190" w:lineRule="exact"/>
              <w:rPr>
                <w:color w:val="000000" w:themeColor="text1"/>
              </w:rPr>
            </w:pPr>
            <w:r w:rsidRPr="00286216">
              <w:rPr>
                <w:color w:val="000000" w:themeColor="text1"/>
              </w:rPr>
              <w:t>1. Організація торгівлі продукцією на товарних ринках (в тому числі правила розрахунків), крім випадків передбачених законодавством у сфері енергетики, регулюється Законом України «Про ринки капіталу та організовані товарні ринки» та Законом України «Про товарну біржу».</w:t>
            </w:r>
          </w:p>
        </w:tc>
        <w:tc>
          <w:tcPr>
            <w:tcW w:w="1987" w:type="dxa"/>
          </w:tcPr>
          <w:p w14:paraId="211CD3FC" w14:textId="77777777" w:rsidR="00826C07" w:rsidRPr="00286216" w:rsidRDefault="00826C07" w:rsidP="00826C07">
            <w:pPr>
              <w:pStyle w:val="StyleWisnow"/>
              <w:rPr>
                <w:color w:val="000000" w:themeColor="text1"/>
                <w:lang w:eastAsia="uk-UA"/>
              </w:rPr>
            </w:pPr>
            <w:r w:rsidRPr="00286216">
              <w:rPr>
                <w:color w:val="000000" w:themeColor="text1"/>
              </w:rPr>
              <w:lastRenderedPageBreak/>
              <w:t>Враховано</w:t>
            </w:r>
          </w:p>
        </w:tc>
        <w:tc>
          <w:tcPr>
            <w:tcW w:w="4818" w:type="dxa"/>
          </w:tcPr>
          <w:p w14:paraId="5EB68392" w14:textId="46EDBB4E" w:rsidR="00826C07" w:rsidRPr="00286216" w:rsidRDefault="00826C07" w:rsidP="00826C07">
            <w:pPr>
              <w:pStyle w:val="StyleZakonu"/>
              <w:rPr>
                <w:color w:val="000000" w:themeColor="text1"/>
              </w:rPr>
            </w:pPr>
            <w:r w:rsidRPr="00286216">
              <w:rPr>
                <w:color w:val="000000" w:themeColor="text1"/>
              </w:rPr>
              <w:t>1. Організація торгівлі продукцією на товарних ринках (</w:t>
            </w:r>
            <w:r w:rsidR="00EA729A" w:rsidRPr="00286216">
              <w:rPr>
                <w:color w:val="000000" w:themeColor="text1"/>
              </w:rPr>
              <w:t>у</w:t>
            </w:r>
            <w:r w:rsidRPr="00286216">
              <w:rPr>
                <w:color w:val="000000" w:themeColor="text1"/>
              </w:rPr>
              <w:t xml:space="preserve"> тому числі правила розрахунків), крім випадків, передбачених законодавством у сфері енергетики, регулюється </w:t>
            </w:r>
            <w:r w:rsidR="00EA729A" w:rsidRPr="00286216">
              <w:rPr>
                <w:color w:val="000000" w:themeColor="text1"/>
              </w:rPr>
              <w:t>з</w:t>
            </w:r>
            <w:r w:rsidRPr="00286216">
              <w:rPr>
                <w:color w:val="000000" w:themeColor="text1"/>
              </w:rPr>
              <w:t>акон</w:t>
            </w:r>
            <w:r w:rsidR="00EA729A" w:rsidRPr="00286216">
              <w:rPr>
                <w:color w:val="000000" w:themeColor="text1"/>
              </w:rPr>
              <w:t>а</w:t>
            </w:r>
            <w:r w:rsidRPr="00286216">
              <w:rPr>
                <w:color w:val="000000" w:themeColor="text1"/>
              </w:rPr>
              <w:t>м</w:t>
            </w:r>
            <w:r w:rsidR="00EA729A" w:rsidRPr="00286216">
              <w:rPr>
                <w:color w:val="000000" w:themeColor="text1"/>
              </w:rPr>
              <w:t>и</w:t>
            </w:r>
            <w:r w:rsidRPr="00286216">
              <w:rPr>
                <w:color w:val="000000" w:themeColor="text1"/>
              </w:rPr>
              <w:t xml:space="preserve"> України "Про </w:t>
            </w:r>
            <w:r w:rsidRPr="00286216">
              <w:rPr>
                <w:color w:val="000000" w:themeColor="text1"/>
              </w:rPr>
              <w:lastRenderedPageBreak/>
              <w:t>ринки капіталу та організовані товарні ринки" та "Про товарні біржі".</w:t>
            </w:r>
          </w:p>
          <w:p w14:paraId="69FD2523" w14:textId="32E5DA47" w:rsidR="00826C07" w:rsidRPr="00286216" w:rsidRDefault="00826C07" w:rsidP="00826C07">
            <w:pPr>
              <w:pStyle w:val="StyleZakonu"/>
              <w:rPr>
                <w:color w:val="000000" w:themeColor="text1"/>
              </w:rPr>
            </w:pPr>
          </w:p>
        </w:tc>
      </w:tr>
      <w:tr w:rsidR="00826C07" w:rsidRPr="00286216" w14:paraId="2BDC6EEC" w14:textId="77777777" w:rsidTr="00091AA5">
        <w:tc>
          <w:tcPr>
            <w:tcW w:w="576" w:type="dxa"/>
          </w:tcPr>
          <w:p w14:paraId="5D56D932" w14:textId="77777777" w:rsidR="00826C07" w:rsidRPr="00286216" w:rsidRDefault="00826C07" w:rsidP="00826C07">
            <w:pPr>
              <w:pStyle w:val="StyleWisnow"/>
              <w:rPr>
                <w:color w:val="000000" w:themeColor="text1"/>
              </w:rPr>
            </w:pPr>
            <w:bookmarkStart w:id="2559" w:name="n2688" w:colFirst="0" w:colLast="0"/>
            <w:bookmarkEnd w:id="2558"/>
            <w:r w:rsidRPr="00286216">
              <w:rPr>
                <w:color w:val="000000" w:themeColor="text1"/>
              </w:rPr>
              <w:lastRenderedPageBreak/>
              <w:t>2688.</w:t>
            </w:r>
          </w:p>
        </w:tc>
        <w:tc>
          <w:tcPr>
            <w:tcW w:w="4818" w:type="dxa"/>
          </w:tcPr>
          <w:p w14:paraId="67D744FA" w14:textId="77777777" w:rsidR="00826C07" w:rsidRPr="00286216" w:rsidRDefault="00826C07" w:rsidP="00826C07">
            <w:pPr>
              <w:pStyle w:val="StyleZakonu"/>
              <w:rPr>
                <w:color w:val="000000" w:themeColor="text1"/>
              </w:rPr>
            </w:pPr>
            <w:r w:rsidRPr="00286216">
              <w:rPr>
                <w:color w:val="000000" w:themeColor="text1"/>
              </w:rPr>
              <w:t>Правові умови організації та здійснення купівлі-продажу електричної енергії встановлюються з урахуванням норм Закону України "Про ринок електричної енергії".";</w:t>
            </w:r>
          </w:p>
        </w:tc>
        <w:tc>
          <w:tcPr>
            <w:tcW w:w="3686" w:type="dxa"/>
          </w:tcPr>
          <w:p w14:paraId="487E27A7" w14:textId="77777777" w:rsidR="00826C07" w:rsidRPr="00286216" w:rsidRDefault="00826C07" w:rsidP="00826C07">
            <w:pPr>
              <w:pStyle w:val="StyleProp"/>
              <w:rPr>
                <w:color w:val="000000" w:themeColor="text1"/>
              </w:rPr>
            </w:pPr>
            <w:r w:rsidRPr="00286216">
              <w:rPr>
                <w:color w:val="000000" w:themeColor="text1"/>
              </w:rPr>
              <w:t>Правові умови організації та здійснення купівлі-продажу  електричної енергії, у тому числі розрахунки, встановлюються Законом України «Про ринок електричної енергії».</w:t>
            </w:r>
          </w:p>
          <w:p w14:paraId="2AC3FCAC" w14:textId="77777777" w:rsidR="00826C07" w:rsidRPr="00286216" w:rsidRDefault="00826C07" w:rsidP="00826C07">
            <w:pPr>
              <w:pStyle w:val="StyleProp"/>
              <w:rPr>
                <w:color w:val="000000" w:themeColor="text1"/>
              </w:rPr>
            </w:pPr>
            <w:r w:rsidRPr="00286216">
              <w:rPr>
                <w:color w:val="000000" w:themeColor="text1"/>
              </w:rPr>
              <w:t>Правові умови організації та здійснення купівлі-продажу  природного газу, у тому числі розрахунки, встановлюються Законом України «Про ринок природного газу».</w:t>
            </w:r>
          </w:p>
        </w:tc>
        <w:tc>
          <w:tcPr>
            <w:tcW w:w="1987" w:type="dxa"/>
          </w:tcPr>
          <w:p w14:paraId="3BC12581" w14:textId="77777777" w:rsidR="00826C07" w:rsidRPr="00286216" w:rsidRDefault="00826C07" w:rsidP="00826C07">
            <w:pPr>
              <w:pStyle w:val="StyleWisnow"/>
              <w:rPr>
                <w:color w:val="000000" w:themeColor="text1"/>
                <w:lang w:eastAsia="uk-UA"/>
              </w:rPr>
            </w:pPr>
          </w:p>
        </w:tc>
        <w:tc>
          <w:tcPr>
            <w:tcW w:w="4818" w:type="dxa"/>
          </w:tcPr>
          <w:p w14:paraId="7BC8A997" w14:textId="245F98EC" w:rsidR="00826C07" w:rsidRPr="00286216" w:rsidRDefault="00826C07" w:rsidP="00826C07">
            <w:pPr>
              <w:pStyle w:val="StyleZakonu"/>
              <w:rPr>
                <w:color w:val="000000" w:themeColor="text1"/>
              </w:rPr>
            </w:pPr>
            <w:r w:rsidRPr="00286216">
              <w:rPr>
                <w:color w:val="000000" w:themeColor="text1"/>
              </w:rPr>
              <w:t>2. Правові умови організації та здійснення купівлі-продажу електричної енергії, у тому числі проведення розрахунків, встановлюються Законом України "Про ринок електричної енергії".</w:t>
            </w:r>
          </w:p>
          <w:p w14:paraId="5C1EFCFD" w14:textId="29377056" w:rsidR="00826C07" w:rsidRPr="00286216" w:rsidRDefault="00826C07" w:rsidP="00EA729A">
            <w:pPr>
              <w:pStyle w:val="StyleZakonu"/>
              <w:rPr>
                <w:color w:val="000000" w:themeColor="text1"/>
              </w:rPr>
            </w:pPr>
            <w:r w:rsidRPr="00286216">
              <w:rPr>
                <w:color w:val="000000" w:themeColor="text1"/>
              </w:rPr>
              <w:t>Правові умови організації та здійснення купівлі-продажу  природного газу, у тому числі проведення розрахунків, встановлюються Законом України "Про ринок природного газу"</w:t>
            </w:r>
            <w:r w:rsidR="00EA729A" w:rsidRPr="00286216">
              <w:rPr>
                <w:color w:val="000000" w:themeColor="text1"/>
              </w:rPr>
              <w:t>;</w:t>
            </w:r>
          </w:p>
        </w:tc>
      </w:tr>
      <w:bookmarkEnd w:id="2559"/>
      <w:tr w:rsidR="00826C07" w:rsidRPr="00286216" w14:paraId="188F97E0" w14:textId="77777777" w:rsidTr="00091AA5">
        <w:tc>
          <w:tcPr>
            <w:tcW w:w="576" w:type="dxa"/>
          </w:tcPr>
          <w:p w14:paraId="4298149F" w14:textId="77777777" w:rsidR="00826C07" w:rsidRPr="00286216" w:rsidRDefault="00826C07" w:rsidP="00826C07">
            <w:pPr>
              <w:pStyle w:val="StyleWisnow"/>
              <w:rPr>
                <w:color w:val="000000" w:themeColor="text1"/>
              </w:rPr>
            </w:pPr>
          </w:p>
        </w:tc>
        <w:tc>
          <w:tcPr>
            <w:tcW w:w="4818" w:type="dxa"/>
          </w:tcPr>
          <w:p w14:paraId="5F5BFD23" w14:textId="77777777" w:rsidR="00826C07" w:rsidRPr="00286216" w:rsidRDefault="00826C07" w:rsidP="00826C07">
            <w:pPr>
              <w:pStyle w:val="StyleZakonu"/>
              <w:rPr>
                <w:color w:val="000000" w:themeColor="text1"/>
              </w:rPr>
            </w:pPr>
          </w:p>
        </w:tc>
        <w:tc>
          <w:tcPr>
            <w:tcW w:w="3686" w:type="dxa"/>
          </w:tcPr>
          <w:p w14:paraId="670B1EB3" w14:textId="1CB99FAD" w:rsidR="00826C07" w:rsidRPr="00286216" w:rsidRDefault="00826C07" w:rsidP="00826C0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1233</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30A5A3F4" w14:textId="77777777" w:rsidR="00826C07" w:rsidRPr="00286216" w:rsidRDefault="00826C07" w:rsidP="00826C07">
            <w:pPr>
              <w:pStyle w:val="StyleProp"/>
              <w:spacing w:line="180" w:lineRule="exact"/>
              <w:rPr>
                <w:color w:val="000000" w:themeColor="text1"/>
              </w:rPr>
            </w:pPr>
            <w:r w:rsidRPr="00286216">
              <w:rPr>
                <w:color w:val="000000" w:themeColor="text1"/>
              </w:rPr>
              <w:t>Замінити на:</w:t>
            </w:r>
          </w:p>
          <w:p w14:paraId="5D8F82D5" w14:textId="77777777" w:rsidR="00826C07" w:rsidRPr="00286216" w:rsidRDefault="00826C07" w:rsidP="00826C07">
            <w:pPr>
              <w:pStyle w:val="StyleProp"/>
              <w:spacing w:line="180" w:lineRule="exact"/>
              <w:rPr>
                <w:color w:val="000000" w:themeColor="text1"/>
              </w:rPr>
            </w:pPr>
            <w:r w:rsidRPr="00286216">
              <w:rPr>
                <w:color w:val="000000" w:themeColor="text1"/>
              </w:rPr>
              <w:t>"Правові умови організації та здійснення купівлі-продажу електричної енергії встановлюються Законом України "Про ринок електричної енергії".</w:t>
            </w:r>
          </w:p>
          <w:p w14:paraId="659B123F" w14:textId="77777777" w:rsidR="00826C07" w:rsidRPr="00286216" w:rsidRDefault="00826C07" w:rsidP="00826C07">
            <w:pPr>
              <w:pStyle w:val="StyleProp"/>
              <w:spacing w:line="180" w:lineRule="exact"/>
              <w:rPr>
                <w:color w:val="000000" w:themeColor="text1"/>
              </w:rPr>
            </w:pPr>
            <w:r w:rsidRPr="00286216">
              <w:rPr>
                <w:color w:val="000000" w:themeColor="text1"/>
              </w:rPr>
              <w:t>Правові умови організації та здійснення купівлі-продажу природного газу встановлюються Законом України "Про ринок природного газу".</w:t>
            </w:r>
          </w:p>
          <w:p w14:paraId="0917F82C" w14:textId="77777777" w:rsidR="00826C07" w:rsidRPr="00286216" w:rsidRDefault="00826C07" w:rsidP="00826C07">
            <w:pPr>
              <w:pStyle w:val="StyleProp"/>
              <w:spacing w:line="180" w:lineRule="exact"/>
              <w:rPr>
                <w:color w:val="000000" w:themeColor="text1"/>
                <w:szCs w:val="18"/>
              </w:rPr>
            </w:pPr>
            <w:r w:rsidRPr="00286216">
              <w:rPr>
                <w:color w:val="000000" w:themeColor="text1"/>
              </w:rPr>
              <w:t>Правові умови організації та здійснення купівлі-продажу вугілля встановлюються Законом України "Про ринок вугільної продукції".</w:t>
            </w:r>
          </w:p>
        </w:tc>
        <w:tc>
          <w:tcPr>
            <w:tcW w:w="1987" w:type="dxa"/>
          </w:tcPr>
          <w:p w14:paraId="2A778B33" w14:textId="22E5AB2F"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3A8EEFBA" w14:textId="2F24136E" w:rsidR="00826C07" w:rsidRPr="00286216" w:rsidRDefault="00826C07" w:rsidP="00826C07">
            <w:pPr>
              <w:pStyle w:val="StyleZakonu"/>
              <w:rPr>
                <w:color w:val="000000" w:themeColor="text1"/>
              </w:rPr>
            </w:pPr>
          </w:p>
        </w:tc>
      </w:tr>
      <w:tr w:rsidR="00826C07" w:rsidRPr="00286216" w14:paraId="1180C0E4" w14:textId="77777777" w:rsidTr="00091AA5">
        <w:tc>
          <w:tcPr>
            <w:tcW w:w="576" w:type="dxa"/>
          </w:tcPr>
          <w:p w14:paraId="57C23607" w14:textId="77777777" w:rsidR="00826C07" w:rsidRPr="00286216" w:rsidRDefault="00826C07" w:rsidP="00826C07">
            <w:pPr>
              <w:pStyle w:val="StyleWisnow"/>
              <w:rPr>
                <w:color w:val="000000" w:themeColor="text1"/>
              </w:rPr>
            </w:pPr>
          </w:p>
        </w:tc>
        <w:tc>
          <w:tcPr>
            <w:tcW w:w="4818" w:type="dxa"/>
          </w:tcPr>
          <w:p w14:paraId="509F9996" w14:textId="77777777" w:rsidR="00826C07" w:rsidRPr="00286216" w:rsidRDefault="00826C07" w:rsidP="00826C07">
            <w:pPr>
              <w:pStyle w:val="StyleZakonu"/>
              <w:rPr>
                <w:color w:val="000000" w:themeColor="text1"/>
              </w:rPr>
            </w:pPr>
          </w:p>
        </w:tc>
        <w:tc>
          <w:tcPr>
            <w:tcW w:w="3686" w:type="dxa"/>
          </w:tcPr>
          <w:p w14:paraId="15D3F0AD" w14:textId="70B10E67" w:rsidR="00826C07" w:rsidRPr="00286216" w:rsidRDefault="00826C07" w:rsidP="00826C07">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1234</w:t>
            </w:r>
            <w:r w:rsidRPr="00286216">
              <w:rPr>
                <w:color w:val="000000" w:themeColor="text1"/>
                <w:spacing w:val="-3"/>
              </w:rPr>
              <w:fldChar w:fldCharType="end"/>
            </w:r>
            <w:r w:rsidRPr="00286216">
              <w:rPr>
                <w:color w:val="000000" w:themeColor="text1"/>
                <w:spacing w:val="-3"/>
              </w:rPr>
              <w:t>-Н.д.Шахов С.В. (Реєстр.картка №114)</w:t>
            </w:r>
          </w:p>
          <w:p w14:paraId="7EC4E6E0" w14:textId="77777777" w:rsidR="00826C07" w:rsidRPr="00286216" w:rsidRDefault="00826C07" w:rsidP="00826C07">
            <w:pPr>
              <w:pStyle w:val="StyleProp"/>
              <w:spacing w:line="180" w:lineRule="exact"/>
              <w:rPr>
                <w:color w:val="000000" w:themeColor="text1"/>
              </w:rPr>
            </w:pPr>
            <w:r w:rsidRPr="00286216">
              <w:rPr>
                <w:color w:val="000000" w:themeColor="text1"/>
              </w:rPr>
              <w:t>Запропоновані п.п. 11 п. 4 розділу ІІІ зміни до статті 278 Господарського кодексу України викласти у такій редакції</w:t>
            </w:r>
          </w:p>
          <w:p w14:paraId="62DA0AE5" w14:textId="77777777" w:rsidR="00826C07" w:rsidRPr="00286216" w:rsidRDefault="00826C07" w:rsidP="00826C07">
            <w:pPr>
              <w:spacing w:line="180" w:lineRule="exact"/>
              <w:ind w:firstLine="227"/>
              <w:jc w:val="both"/>
              <w:rPr>
                <w:color w:val="000000" w:themeColor="text1"/>
                <w:sz w:val="18"/>
              </w:rPr>
            </w:pPr>
            <w:r w:rsidRPr="00286216">
              <w:rPr>
                <w:color w:val="000000" w:themeColor="text1"/>
                <w:sz w:val="18"/>
              </w:rPr>
              <w:t xml:space="preserve">"Стаття 278. Організовані товарні ринки </w:t>
            </w:r>
          </w:p>
          <w:p w14:paraId="61E0E634" w14:textId="77777777" w:rsidR="00826C07" w:rsidRPr="00286216" w:rsidRDefault="00826C07" w:rsidP="00826C07">
            <w:pPr>
              <w:spacing w:line="180" w:lineRule="exact"/>
              <w:ind w:firstLine="227"/>
              <w:jc w:val="both"/>
              <w:rPr>
                <w:color w:val="000000" w:themeColor="text1"/>
                <w:spacing w:val="-6"/>
                <w:szCs w:val="28"/>
              </w:rPr>
            </w:pPr>
            <w:r w:rsidRPr="00286216">
              <w:rPr>
                <w:color w:val="000000" w:themeColor="text1"/>
                <w:sz w:val="18"/>
              </w:rPr>
              <w:t>1. Організація торгівлі продукцією на організованих товарних ринках (в тому числі правила розрахунків) регулюється Законом України "Про ринки капіталу та організовані товарні ринки", Законом України "Про товарну біржу" та законами, якими регулюються певні товарні ринки".</w:t>
            </w:r>
          </w:p>
        </w:tc>
        <w:tc>
          <w:tcPr>
            <w:tcW w:w="1987" w:type="dxa"/>
          </w:tcPr>
          <w:p w14:paraId="0BEC5221"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04176B6C" w14:textId="77777777" w:rsidR="00826C07" w:rsidRPr="00286216" w:rsidRDefault="00826C07" w:rsidP="00826C07">
            <w:pPr>
              <w:pStyle w:val="StyleZakonu"/>
              <w:rPr>
                <w:color w:val="000000" w:themeColor="text1"/>
              </w:rPr>
            </w:pPr>
          </w:p>
        </w:tc>
      </w:tr>
      <w:tr w:rsidR="00826C07" w:rsidRPr="00286216" w14:paraId="3E503628" w14:textId="77777777" w:rsidTr="00091AA5">
        <w:tc>
          <w:tcPr>
            <w:tcW w:w="576" w:type="dxa"/>
          </w:tcPr>
          <w:p w14:paraId="13749637" w14:textId="77777777" w:rsidR="00826C07" w:rsidRPr="00286216" w:rsidRDefault="00826C07" w:rsidP="00826C07">
            <w:pPr>
              <w:pStyle w:val="StyleWisnow"/>
              <w:rPr>
                <w:color w:val="000000" w:themeColor="text1"/>
              </w:rPr>
            </w:pPr>
            <w:bookmarkStart w:id="2560" w:name="n2689" w:colFirst="0" w:colLast="0"/>
            <w:r w:rsidRPr="00286216">
              <w:rPr>
                <w:color w:val="000000" w:themeColor="text1"/>
              </w:rPr>
              <w:t>2689.</w:t>
            </w:r>
          </w:p>
        </w:tc>
        <w:tc>
          <w:tcPr>
            <w:tcW w:w="4818" w:type="dxa"/>
          </w:tcPr>
          <w:p w14:paraId="7AB375F9" w14:textId="77777777" w:rsidR="00826C07" w:rsidRPr="00286216" w:rsidRDefault="00826C07" w:rsidP="00826C07">
            <w:pPr>
              <w:pStyle w:val="StyleZakonu"/>
              <w:rPr>
                <w:color w:val="000000" w:themeColor="text1"/>
              </w:rPr>
            </w:pPr>
            <w:r w:rsidRPr="00286216">
              <w:rPr>
                <w:color w:val="000000" w:themeColor="text1"/>
              </w:rPr>
              <w:t>12) статті 279 - 282 виключити;</w:t>
            </w:r>
          </w:p>
        </w:tc>
        <w:tc>
          <w:tcPr>
            <w:tcW w:w="3686" w:type="dxa"/>
          </w:tcPr>
          <w:p w14:paraId="51C1C1EC" w14:textId="4FE2C6CE" w:rsidR="00826C07" w:rsidRPr="00286216" w:rsidRDefault="00826C07" w:rsidP="00826C0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1235</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Н.д.Козак Т.Р. (Реєстр.картка №359)</w:t>
            </w:r>
          </w:p>
          <w:p w14:paraId="11396D4E" w14:textId="77777777" w:rsidR="00826C07" w:rsidRPr="00286216" w:rsidRDefault="00826C07" w:rsidP="00826C07">
            <w:pPr>
              <w:pStyle w:val="StyleProp"/>
              <w:spacing w:line="190" w:lineRule="exact"/>
              <w:rPr>
                <w:color w:val="000000" w:themeColor="text1"/>
              </w:rPr>
            </w:pPr>
            <w:r w:rsidRPr="00286216">
              <w:rPr>
                <w:color w:val="000000" w:themeColor="text1"/>
              </w:rPr>
              <w:t>У Господарському кодексі залишити статтю 279 та викласти в наступній редакції:</w:t>
            </w:r>
          </w:p>
          <w:p w14:paraId="6322F265" w14:textId="77777777" w:rsidR="00826C07" w:rsidRPr="00286216" w:rsidRDefault="00826C07" w:rsidP="00826C07">
            <w:pPr>
              <w:pStyle w:val="StyleProp"/>
              <w:spacing w:line="190" w:lineRule="exact"/>
              <w:rPr>
                <w:color w:val="000000" w:themeColor="text1"/>
              </w:rPr>
            </w:pPr>
            <w:r w:rsidRPr="00286216">
              <w:rPr>
                <w:color w:val="000000" w:themeColor="text1"/>
              </w:rPr>
              <w:t xml:space="preserve">«Стаття 279. Товарна біржа </w:t>
            </w:r>
          </w:p>
          <w:p w14:paraId="4EB9FB36" w14:textId="77777777" w:rsidR="00826C07" w:rsidRPr="00286216" w:rsidRDefault="00826C07" w:rsidP="00826C07">
            <w:pPr>
              <w:pStyle w:val="StyleProp"/>
              <w:spacing w:line="190" w:lineRule="exact"/>
              <w:rPr>
                <w:color w:val="000000" w:themeColor="text1"/>
              </w:rPr>
            </w:pPr>
            <w:r w:rsidRPr="00286216">
              <w:rPr>
                <w:color w:val="000000" w:themeColor="text1"/>
              </w:rPr>
              <w:t xml:space="preserve">1. Товарна біржа є особливим суб‘єктом господарювання, який надає послуги в укладенні біржових угод, виявленні попиту і пропозицій на товари, товарних цін, вивчає, упорядковує товарообіг і сприяє пов‘язаним з </w:t>
            </w:r>
            <w:r w:rsidRPr="00286216">
              <w:rPr>
                <w:color w:val="000000" w:themeColor="text1"/>
              </w:rPr>
              <w:lastRenderedPageBreak/>
              <w:t xml:space="preserve">ним торговельним операціям. </w:t>
            </w:r>
          </w:p>
          <w:p w14:paraId="4FE71D62" w14:textId="77777777" w:rsidR="00826C07" w:rsidRPr="00286216" w:rsidRDefault="00826C07" w:rsidP="00826C07">
            <w:pPr>
              <w:pStyle w:val="StyleProp"/>
              <w:spacing w:line="190" w:lineRule="exact"/>
              <w:rPr>
                <w:color w:val="000000" w:themeColor="text1"/>
                <w:szCs w:val="18"/>
              </w:rPr>
            </w:pPr>
            <w:r w:rsidRPr="00286216">
              <w:rPr>
                <w:color w:val="000000" w:themeColor="text1"/>
              </w:rPr>
              <w:t>2. Правовий статус товарної біржі, порядок проведення біржових торгів та порядок затвердження правил біржової торгівлі визначається законом України «Про товарну біржу»»;</w:t>
            </w:r>
          </w:p>
        </w:tc>
        <w:tc>
          <w:tcPr>
            <w:tcW w:w="1987" w:type="dxa"/>
          </w:tcPr>
          <w:p w14:paraId="705F1F7A" w14:textId="77777777" w:rsidR="00826C07" w:rsidRPr="00286216" w:rsidRDefault="00826C07" w:rsidP="00826C07">
            <w:pPr>
              <w:pStyle w:val="StyleWisnow"/>
              <w:rPr>
                <w:color w:val="000000" w:themeColor="text1"/>
              </w:rPr>
            </w:pPr>
            <w:r w:rsidRPr="00286216">
              <w:rPr>
                <w:color w:val="000000" w:themeColor="text1"/>
              </w:rPr>
              <w:lastRenderedPageBreak/>
              <w:t>Відхилено</w:t>
            </w:r>
          </w:p>
          <w:p w14:paraId="0C477439" w14:textId="77777777" w:rsidR="00826C07" w:rsidRPr="00286216" w:rsidRDefault="00826C07" w:rsidP="00826C07">
            <w:pPr>
              <w:pStyle w:val="StyleWisnow"/>
              <w:rPr>
                <w:color w:val="000000" w:themeColor="text1"/>
              </w:rPr>
            </w:pPr>
            <w:r w:rsidRPr="00286216">
              <w:rPr>
                <w:color w:val="000000" w:themeColor="text1"/>
              </w:rPr>
              <w:t>не відповідає концепції нового Закону України "Про товарні біржі"</w:t>
            </w:r>
          </w:p>
          <w:p w14:paraId="2C426D93" w14:textId="77777777" w:rsidR="00826C07" w:rsidRPr="00286216" w:rsidRDefault="00826C07" w:rsidP="00826C07">
            <w:pPr>
              <w:pStyle w:val="StyleWisnow"/>
              <w:rPr>
                <w:color w:val="000000" w:themeColor="text1"/>
              </w:rPr>
            </w:pPr>
          </w:p>
        </w:tc>
        <w:tc>
          <w:tcPr>
            <w:tcW w:w="4818" w:type="dxa"/>
          </w:tcPr>
          <w:p w14:paraId="0B726318" w14:textId="7E5C11E4" w:rsidR="00826C07" w:rsidRPr="00286216" w:rsidRDefault="00EA729A" w:rsidP="00EA729A">
            <w:pPr>
              <w:pStyle w:val="StyleZakonu"/>
              <w:rPr>
                <w:color w:val="000000" w:themeColor="text1"/>
              </w:rPr>
            </w:pPr>
            <w:r w:rsidRPr="00286216">
              <w:rPr>
                <w:color w:val="000000" w:themeColor="text1"/>
              </w:rPr>
              <w:t>11</w:t>
            </w:r>
            <w:r w:rsidR="00826C07" w:rsidRPr="00286216">
              <w:rPr>
                <w:color w:val="000000" w:themeColor="text1"/>
              </w:rPr>
              <w:t>) статті 279 - 282 виключити;</w:t>
            </w:r>
          </w:p>
        </w:tc>
      </w:tr>
      <w:tr w:rsidR="00826C07" w:rsidRPr="00286216" w14:paraId="11219D42" w14:textId="77777777" w:rsidTr="00091AA5">
        <w:tc>
          <w:tcPr>
            <w:tcW w:w="576" w:type="dxa"/>
          </w:tcPr>
          <w:p w14:paraId="263A7D57" w14:textId="77777777" w:rsidR="00826C07" w:rsidRPr="00286216" w:rsidRDefault="00826C07" w:rsidP="00826C07">
            <w:pPr>
              <w:pStyle w:val="StyleWisnow"/>
              <w:rPr>
                <w:color w:val="000000" w:themeColor="text1"/>
              </w:rPr>
            </w:pPr>
            <w:bookmarkStart w:id="2561" w:name="n2690" w:colFirst="0" w:colLast="0"/>
            <w:bookmarkEnd w:id="2560"/>
            <w:r w:rsidRPr="00286216">
              <w:rPr>
                <w:color w:val="000000" w:themeColor="text1"/>
              </w:rPr>
              <w:t>2690.</w:t>
            </w:r>
          </w:p>
        </w:tc>
        <w:tc>
          <w:tcPr>
            <w:tcW w:w="4818" w:type="dxa"/>
          </w:tcPr>
          <w:p w14:paraId="2CE74028" w14:textId="77777777" w:rsidR="00826C07" w:rsidRPr="00286216" w:rsidRDefault="00826C07" w:rsidP="00826C07">
            <w:pPr>
              <w:pStyle w:val="StyleZakonu"/>
              <w:rPr>
                <w:color w:val="000000" w:themeColor="text1"/>
              </w:rPr>
            </w:pPr>
            <w:r w:rsidRPr="00286216">
              <w:rPr>
                <w:color w:val="000000" w:themeColor="text1"/>
              </w:rPr>
              <w:t>13) частину п’яту статті 333 виключити;</w:t>
            </w:r>
          </w:p>
        </w:tc>
        <w:tc>
          <w:tcPr>
            <w:tcW w:w="3686" w:type="dxa"/>
          </w:tcPr>
          <w:p w14:paraId="3E95184C" w14:textId="77777777" w:rsidR="00826C07" w:rsidRPr="00286216" w:rsidRDefault="00826C07" w:rsidP="00826C07">
            <w:pPr>
              <w:pStyle w:val="StyleProp"/>
              <w:rPr>
                <w:color w:val="000000" w:themeColor="text1"/>
                <w:szCs w:val="18"/>
              </w:rPr>
            </w:pPr>
          </w:p>
        </w:tc>
        <w:tc>
          <w:tcPr>
            <w:tcW w:w="1987" w:type="dxa"/>
          </w:tcPr>
          <w:p w14:paraId="78D1E64F" w14:textId="77777777" w:rsidR="00826C07" w:rsidRPr="00286216" w:rsidRDefault="00826C07" w:rsidP="00826C07">
            <w:pPr>
              <w:pStyle w:val="StyleWisnow"/>
              <w:rPr>
                <w:color w:val="000000" w:themeColor="text1"/>
              </w:rPr>
            </w:pPr>
          </w:p>
        </w:tc>
        <w:tc>
          <w:tcPr>
            <w:tcW w:w="4818" w:type="dxa"/>
          </w:tcPr>
          <w:p w14:paraId="277D6893" w14:textId="2D2758C8" w:rsidR="00826C07" w:rsidRPr="00286216" w:rsidRDefault="00826C07" w:rsidP="00EA729A">
            <w:pPr>
              <w:pStyle w:val="StyleZakonu"/>
              <w:rPr>
                <w:color w:val="000000" w:themeColor="text1"/>
              </w:rPr>
            </w:pPr>
            <w:r w:rsidRPr="00286216">
              <w:rPr>
                <w:color w:val="000000" w:themeColor="text1"/>
              </w:rPr>
              <w:t>1</w:t>
            </w:r>
            <w:r w:rsidR="00EA729A" w:rsidRPr="00286216">
              <w:rPr>
                <w:color w:val="000000" w:themeColor="text1"/>
              </w:rPr>
              <w:t>2</w:t>
            </w:r>
            <w:r w:rsidRPr="00286216">
              <w:rPr>
                <w:color w:val="000000" w:themeColor="text1"/>
              </w:rPr>
              <w:t>) частину п’яту статті 333 виключити;</w:t>
            </w:r>
          </w:p>
        </w:tc>
      </w:tr>
      <w:tr w:rsidR="00826C07" w:rsidRPr="00286216" w14:paraId="19DCD697" w14:textId="77777777" w:rsidTr="00091AA5">
        <w:tc>
          <w:tcPr>
            <w:tcW w:w="576" w:type="dxa"/>
          </w:tcPr>
          <w:p w14:paraId="519A95E3" w14:textId="77777777" w:rsidR="00826C07" w:rsidRPr="00286216" w:rsidRDefault="00826C07" w:rsidP="00826C07">
            <w:pPr>
              <w:pStyle w:val="StyleWisnow"/>
              <w:rPr>
                <w:color w:val="000000" w:themeColor="text1"/>
              </w:rPr>
            </w:pPr>
            <w:bookmarkStart w:id="2562" w:name="n2691" w:colFirst="0" w:colLast="0"/>
            <w:bookmarkEnd w:id="2561"/>
            <w:r w:rsidRPr="00286216">
              <w:rPr>
                <w:color w:val="000000" w:themeColor="text1"/>
              </w:rPr>
              <w:t>2691.</w:t>
            </w:r>
          </w:p>
        </w:tc>
        <w:tc>
          <w:tcPr>
            <w:tcW w:w="4818" w:type="dxa"/>
          </w:tcPr>
          <w:p w14:paraId="3275060C" w14:textId="77777777" w:rsidR="00826C07" w:rsidRPr="00286216" w:rsidRDefault="00826C07" w:rsidP="00826C07">
            <w:pPr>
              <w:pStyle w:val="StyleZakonu"/>
              <w:rPr>
                <w:color w:val="000000" w:themeColor="text1"/>
              </w:rPr>
            </w:pPr>
            <w:r w:rsidRPr="00286216">
              <w:rPr>
                <w:color w:val="000000" w:themeColor="text1"/>
              </w:rPr>
              <w:t>14) статті 356 - 361 виключити;</w:t>
            </w:r>
          </w:p>
        </w:tc>
        <w:tc>
          <w:tcPr>
            <w:tcW w:w="3686" w:type="dxa"/>
          </w:tcPr>
          <w:p w14:paraId="4E75D95E" w14:textId="77777777" w:rsidR="00826C07" w:rsidRPr="00286216" w:rsidRDefault="00826C07" w:rsidP="00826C07">
            <w:pPr>
              <w:pStyle w:val="StyleProp"/>
              <w:rPr>
                <w:color w:val="000000" w:themeColor="text1"/>
                <w:szCs w:val="18"/>
              </w:rPr>
            </w:pPr>
          </w:p>
        </w:tc>
        <w:tc>
          <w:tcPr>
            <w:tcW w:w="1987" w:type="dxa"/>
          </w:tcPr>
          <w:p w14:paraId="1A20D147" w14:textId="77777777" w:rsidR="00826C07" w:rsidRPr="00286216" w:rsidRDefault="00826C07" w:rsidP="00826C07">
            <w:pPr>
              <w:pStyle w:val="StyleWisnow"/>
              <w:rPr>
                <w:color w:val="000000" w:themeColor="text1"/>
              </w:rPr>
            </w:pPr>
          </w:p>
        </w:tc>
        <w:tc>
          <w:tcPr>
            <w:tcW w:w="4818" w:type="dxa"/>
          </w:tcPr>
          <w:p w14:paraId="78095A5F" w14:textId="7A7195EE" w:rsidR="00826C07" w:rsidRPr="00286216" w:rsidRDefault="00826C07" w:rsidP="00EA729A">
            <w:pPr>
              <w:pStyle w:val="StyleZakonu"/>
              <w:rPr>
                <w:color w:val="000000" w:themeColor="text1"/>
              </w:rPr>
            </w:pPr>
            <w:r w:rsidRPr="00286216">
              <w:rPr>
                <w:color w:val="000000" w:themeColor="text1"/>
              </w:rPr>
              <w:t>1</w:t>
            </w:r>
            <w:r w:rsidR="00EA729A" w:rsidRPr="00286216">
              <w:rPr>
                <w:color w:val="000000" w:themeColor="text1"/>
              </w:rPr>
              <w:t>3</w:t>
            </w:r>
            <w:r w:rsidRPr="00286216">
              <w:rPr>
                <w:color w:val="000000" w:themeColor="text1"/>
              </w:rPr>
              <w:t>) статті 356 - 361 виключити</w:t>
            </w:r>
            <w:r w:rsidR="00EA729A" w:rsidRPr="00286216">
              <w:rPr>
                <w:color w:val="000000" w:themeColor="text1"/>
              </w:rPr>
              <w:t>.</w:t>
            </w:r>
          </w:p>
        </w:tc>
      </w:tr>
      <w:tr w:rsidR="00826C07" w:rsidRPr="00286216" w14:paraId="05BA994B" w14:textId="77777777" w:rsidTr="00091AA5">
        <w:tc>
          <w:tcPr>
            <w:tcW w:w="576" w:type="dxa"/>
          </w:tcPr>
          <w:p w14:paraId="48211DDF" w14:textId="77777777" w:rsidR="00826C07" w:rsidRPr="00286216" w:rsidRDefault="00826C07" w:rsidP="00826C07">
            <w:pPr>
              <w:pStyle w:val="StyleWisnow"/>
              <w:rPr>
                <w:color w:val="000000" w:themeColor="text1"/>
              </w:rPr>
            </w:pPr>
            <w:bookmarkStart w:id="2563" w:name="n2692" w:colFirst="0" w:colLast="0"/>
            <w:bookmarkEnd w:id="2562"/>
            <w:r w:rsidRPr="00286216">
              <w:rPr>
                <w:color w:val="000000" w:themeColor="text1"/>
              </w:rPr>
              <w:t>2692.</w:t>
            </w:r>
          </w:p>
        </w:tc>
        <w:tc>
          <w:tcPr>
            <w:tcW w:w="4818" w:type="dxa"/>
          </w:tcPr>
          <w:p w14:paraId="3983C4A3" w14:textId="77777777" w:rsidR="00826C07" w:rsidRPr="00286216" w:rsidRDefault="00826C07" w:rsidP="00826C07">
            <w:pPr>
              <w:pStyle w:val="StyleZakonu"/>
              <w:rPr>
                <w:color w:val="000000" w:themeColor="text1"/>
              </w:rPr>
            </w:pPr>
            <w:r w:rsidRPr="00286216">
              <w:rPr>
                <w:color w:val="000000" w:themeColor="text1"/>
              </w:rPr>
              <w:t>5. У Цивільному кодексі України (Відомості Верховної Ради України, 2003 р., №40 - 44, ст. 131, із наступними змінами):</w:t>
            </w:r>
          </w:p>
        </w:tc>
        <w:tc>
          <w:tcPr>
            <w:tcW w:w="3686" w:type="dxa"/>
          </w:tcPr>
          <w:p w14:paraId="0F1B65C7" w14:textId="77777777" w:rsidR="00826C07" w:rsidRPr="00286216" w:rsidRDefault="00826C07" w:rsidP="00826C07">
            <w:pPr>
              <w:pStyle w:val="StyleProp"/>
              <w:rPr>
                <w:color w:val="000000" w:themeColor="text1"/>
                <w:szCs w:val="18"/>
              </w:rPr>
            </w:pPr>
          </w:p>
        </w:tc>
        <w:tc>
          <w:tcPr>
            <w:tcW w:w="1987" w:type="dxa"/>
          </w:tcPr>
          <w:p w14:paraId="291C3E7D" w14:textId="77777777" w:rsidR="00826C07" w:rsidRPr="00286216" w:rsidRDefault="00826C07" w:rsidP="00826C07">
            <w:pPr>
              <w:pStyle w:val="StyleWisnow"/>
              <w:rPr>
                <w:color w:val="000000" w:themeColor="text1"/>
              </w:rPr>
            </w:pPr>
          </w:p>
        </w:tc>
        <w:tc>
          <w:tcPr>
            <w:tcW w:w="4818" w:type="dxa"/>
          </w:tcPr>
          <w:p w14:paraId="3B9607EB" w14:textId="7291BFAC" w:rsidR="00826C07" w:rsidRPr="00286216" w:rsidRDefault="00826C07" w:rsidP="00EA729A">
            <w:pPr>
              <w:pStyle w:val="StyleZakonu"/>
              <w:rPr>
                <w:color w:val="000000" w:themeColor="text1"/>
              </w:rPr>
            </w:pPr>
            <w:r w:rsidRPr="00286216">
              <w:rPr>
                <w:color w:val="000000" w:themeColor="text1"/>
              </w:rPr>
              <w:t>5. У Цивільному кодексі України (Відомості Верховної Ради України, 2003 р., №</w:t>
            </w:r>
            <w:r w:rsidR="00EA729A" w:rsidRPr="00286216">
              <w:rPr>
                <w:color w:val="000000" w:themeColor="text1"/>
              </w:rPr>
              <w:t xml:space="preserve"> </w:t>
            </w:r>
            <w:r w:rsidRPr="00286216">
              <w:rPr>
                <w:color w:val="000000" w:themeColor="text1"/>
              </w:rPr>
              <w:t>40 - 44, ст. 131):</w:t>
            </w:r>
          </w:p>
        </w:tc>
      </w:tr>
      <w:tr w:rsidR="00826C07" w:rsidRPr="00286216" w14:paraId="49DCE37F" w14:textId="77777777" w:rsidTr="00091AA5">
        <w:tc>
          <w:tcPr>
            <w:tcW w:w="576" w:type="dxa"/>
          </w:tcPr>
          <w:p w14:paraId="62977A55" w14:textId="77777777" w:rsidR="00826C07" w:rsidRPr="00286216" w:rsidRDefault="00826C07" w:rsidP="00826C07">
            <w:pPr>
              <w:pStyle w:val="StyleWisnow"/>
              <w:rPr>
                <w:color w:val="000000" w:themeColor="text1"/>
              </w:rPr>
            </w:pPr>
            <w:bookmarkStart w:id="2564" w:name="n2693" w:colFirst="0" w:colLast="0"/>
            <w:bookmarkEnd w:id="2563"/>
            <w:r w:rsidRPr="00286216">
              <w:rPr>
                <w:color w:val="000000" w:themeColor="text1"/>
              </w:rPr>
              <w:t>2693.</w:t>
            </w:r>
          </w:p>
        </w:tc>
        <w:tc>
          <w:tcPr>
            <w:tcW w:w="4818" w:type="dxa"/>
          </w:tcPr>
          <w:p w14:paraId="683CEF89" w14:textId="77777777" w:rsidR="00826C07" w:rsidRPr="00286216" w:rsidRDefault="00826C07" w:rsidP="00826C07">
            <w:pPr>
              <w:pStyle w:val="StyleZakonu"/>
              <w:rPr>
                <w:color w:val="000000" w:themeColor="text1"/>
              </w:rPr>
            </w:pPr>
            <w:r w:rsidRPr="00286216">
              <w:rPr>
                <w:color w:val="000000" w:themeColor="text1"/>
              </w:rPr>
              <w:t>1) частину п’яту статті 152 виключити;</w:t>
            </w:r>
          </w:p>
        </w:tc>
        <w:tc>
          <w:tcPr>
            <w:tcW w:w="3686" w:type="dxa"/>
          </w:tcPr>
          <w:p w14:paraId="04BE40C0" w14:textId="77777777" w:rsidR="00826C07" w:rsidRPr="00286216" w:rsidRDefault="00826C07" w:rsidP="00826C07">
            <w:pPr>
              <w:pStyle w:val="StyleProp"/>
              <w:rPr>
                <w:color w:val="000000" w:themeColor="text1"/>
                <w:szCs w:val="18"/>
              </w:rPr>
            </w:pPr>
          </w:p>
        </w:tc>
        <w:tc>
          <w:tcPr>
            <w:tcW w:w="1987" w:type="dxa"/>
          </w:tcPr>
          <w:p w14:paraId="11C6C165" w14:textId="77777777" w:rsidR="00826C07" w:rsidRPr="00286216" w:rsidRDefault="00826C07" w:rsidP="00826C07">
            <w:pPr>
              <w:pStyle w:val="StyleWisnow"/>
              <w:rPr>
                <w:color w:val="000000" w:themeColor="text1"/>
              </w:rPr>
            </w:pPr>
          </w:p>
        </w:tc>
        <w:tc>
          <w:tcPr>
            <w:tcW w:w="4818" w:type="dxa"/>
          </w:tcPr>
          <w:p w14:paraId="10F609A6" w14:textId="77777777" w:rsidR="00826C07" w:rsidRPr="00286216" w:rsidRDefault="00826C07" w:rsidP="00826C07">
            <w:pPr>
              <w:pStyle w:val="StyleZakonu"/>
              <w:rPr>
                <w:color w:val="000000" w:themeColor="text1"/>
              </w:rPr>
            </w:pPr>
            <w:r w:rsidRPr="00286216">
              <w:rPr>
                <w:color w:val="000000" w:themeColor="text1"/>
              </w:rPr>
              <w:t>1) частину п’яту статті 152 виключити;</w:t>
            </w:r>
          </w:p>
        </w:tc>
      </w:tr>
      <w:tr w:rsidR="00826C07" w:rsidRPr="00286216" w14:paraId="130609DE" w14:textId="77777777" w:rsidTr="00091AA5">
        <w:tc>
          <w:tcPr>
            <w:tcW w:w="576" w:type="dxa"/>
          </w:tcPr>
          <w:p w14:paraId="3A104FD6" w14:textId="77777777" w:rsidR="00826C07" w:rsidRPr="00286216" w:rsidRDefault="00826C07" w:rsidP="00826C07">
            <w:pPr>
              <w:pStyle w:val="StyleWisnow"/>
              <w:rPr>
                <w:color w:val="000000" w:themeColor="text1"/>
              </w:rPr>
            </w:pPr>
            <w:bookmarkStart w:id="2565" w:name="n2694" w:colFirst="0" w:colLast="0"/>
            <w:bookmarkEnd w:id="2564"/>
            <w:r w:rsidRPr="00286216">
              <w:rPr>
                <w:color w:val="000000" w:themeColor="text1"/>
              </w:rPr>
              <w:t>2694.</w:t>
            </w:r>
          </w:p>
        </w:tc>
        <w:tc>
          <w:tcPr>
            <w:tcW w:w="4818" w:type="dxa"/>
          </w:tcPr>
          <w:p w14:paraId="1ED39046" w14:textId="77777777" w:rsidR="00826C07" w:rsidRPr="00286216" w:rsidRDefault="00826C07" w:rsidP="00826C07">
            <w:pPr>
              <w:pStyle w:val="StyleZakonu"/>
              <w:rPr>
                <w:color w:val="000000" w:themeColor="text1"/>
              </w:rPr>
            </w:pPr>
            <w:r w:rsidRPr="00286216">
              <w:rPr>
                <w:color w:val="000000" w:themeColor="text1"/>
              </w:rPr>
              <w:t>2) статтю 155 виключити;</w:t>
            </w:r>
          </w:p>
        </w:tc>
        <w:tc>
          <w:tcPr>
            <w:tcW w:w="3686" w:type="dxa"/>
          </w:tcPr>
          <w:p w14:paraId="35528481" w14:textId="77777777" w:rsidR="00826C07" w:rsidRPr="00286216" w:rsidRDefault="00826C07" w:rsidP="00826C07">
            <w:pPr>
              <w:pStyle w:val="StyleProp"/>
              <w:rPr>
                <w:color w:val="000000" w:themeColor="text1"/>
                <w:szCs w:val="18"/>
              </w:rPr>
            </w:pPr>
          </w:p>
        </w:tc>
        <w:tc>
          <w:tcPr>
            <w:tcW w:w="1987" w:type="dxa"/>
          </w:tcPr>
          <w:p w14:paraId="39B20FBF" w14:textId="77777777" w:rsidR="00826C07" w:rsidRPr="00286216" w:rsidRDefault="00826C07" w:rsidP="00826C07">
            <w:pPr>
              <w:pStyle w:val="StyleWisnow"/>
              <w:rPr>
                <w:color w:val="000000" w:themeColor="text1"/>
              </w:rPr>
            </w:pPr>
          </w:p>
        </w:tc>
        <w:tc>
          <w:tcPr>
            <w:tcW w:w="4818" w:type="dxa"/>
          </w:tcPr>
          <w:p w14:paraId="7F12E5C7" w14:textId="77777777" w:rsidR="00826C07" w:rsidRPr="00286216" w:rsidRDefault="00826C07" w:rsidP="00826C07">
            <w:pPr>
              <w:pStyle w:val="StyleZakonu"/>
              <w:rPr>
                <w:color w:val="000000" w:themeColor="text1"/>
              </w:rPr>
            </w:pPr>
            <w:r w:rsidRPr="00286216">
              <w:rPr>
                <w:color w:val="000000" w:themeColor="text1"/>
              </w:rPr>
              <w:t>2) статтю 155 виключити;</w:t>
            </w:r>
          </w:p>
        </w:tc>
      </w:tr>
      <w:tr w:rsidR="00826C07" w:rsidRPr="00286216" w14:paraId="4D1F5CC7" w14:textId="77777777" w:rsidTr="00091AA5">
        <w:tc>
          <w:tcPr>
            <w:tcW w:w="576" w:type="dxa"/>
          </w:tcPr>
          <w:p w14:paraId="69B545D0" w14:textId="77777777" w:rsidR="00826C07" w:rsidRPr="00286216" w:rsidRDefault="00826C07" w:rsidP="00826C07">
            <w:pPr>
              <w:pStyle w:val="StyleWisnow"/>
              <w:rPr>
                <w:color w:val="000000" w:themeColor="text1"/>
              </w:rPr>
            </w:pPr>
            <w:bookmarkStart w:id="2566" w:name="n2695" w:colFirst="0" w:colLast="0"/>
            <w:bookmarkEnd w:id="2565"/>
            <w:r w:rsidRPr="00286216">
              <w:rPr>
                <w:color w:val="000000" w:themeColor="text1"/>
              </w:rPr>
              <w:t>2695.</w:t>
            </w:r>
          </w:p>
        </w:tc>
        <w:tc>
          <w:tcPr>
            <w:tcW w:w="4818" w:type="dxa"/>
          </w:tcPr>
          <w:p w14:paraId="6A44374B" w14:textId="77777777" w:rsidR="00826C07" w:rsidRPr="00286216" w:rsidRDefault="00826C07" w:rsidP="00826C07">
            <w:pPr>
              <w:pStyle w:val="StyleZakonu"/>
              <w:rPr>
                <w:color w:val="000000" w:themeColor="text1"/>
              </w:rPr>
            </w:pPr>
            <w:r w:rsidRPr="00286216">
              <w:rPr>
                <w:color w:val="000000" w:themeColor="text1"/>
              </w:rPr>
              <w:t>3) пункт 3 частини першої статті 195 викласти в такій редакції:</w:t>
            </w:r>
          </w:p>
        </w:tc>
        <w:tc>
          <w:tcPr>
            <w:tcW w:w="3686" w:type="dxa"/>
          </w:tcPr>
          <w:p w14:paraId="560A2651" w14:textId="6AC3D508" w:rsidR="00826C07" w:rsidRPr="00286216" w:rsidRDefault="00826C07" w:rsidP="00826C07">
            <w:pPr>
              <w:pStyle w:val="StyleProp"/>
              <w:rPr>
                <w:color w:val="000000" w:themeColor="text1"/>
                <w:szCs w:val="18"/>
              </w:rPr>
            </w:pPr>
          </w:p>
        </w:tc>
        <w:tc>
          <w:tcPr>
            <w:tcW w:w="1987" w:type="dxa"/>
          </w:tcPr>
          <w:p w14:paraId="5E6CC4BF" w14:textId="3DB181C2" w:rsidR="00826C07" w:rsidRPr="00286216" w:rsidRDefault="00826C07" w:rsidP="00826C07">
            <w:pPr>
              <w:pStyle w:val="StyleWisnow"/>
              <w:rPr>
                <w:color w:val="000000" w:themeColor="text1"/>
              </w:rPr>
            </w:pPr>
          </w:p>
        </w:tc>
        <w:tc>
          <w:tcPr>
            <w:tcW w:w="4818" w:type="dxa"/>
          </w:tcPr>
          <w:p w14:paraId="0DC4ACA1" w14:textId="77777777" w:rsidR="00826C07" w:rsidRPr="00286216" w:rsidRDefault="00826C07" w:rsidP="00826C07">
            <w:pPr>
              <w:pStyle w:val="StyleZakonu"/>
              <w:rPr>
                <w:color w:val="000000" w:themeColor="text1"/>
              </w:rPr>
            </w:pPr>
            <w:r w:rsidRPr="00286216">
              <w:rPr>
                <w:color w:val="000000" w:themeColor="text1"/>
              </w:rPr>
              <w:t>3) пункт 3 частини першої статті 195 викласти в такій редакції:</w:t>
            </w:r>
          </w:p>
        </w:tc>
      </w:tr>
      <w:tr w:rsidR="00826C07" w:rsidRPr="00286216" w14:paraId="5CB99699" w14:textId="77777777" w:rsidTr="00091AA5">
        <w:tc>
          <w:tcPr>
            <w:tcW w:w="576" w:type="dxa"/>
          </w:tcPr>
          <w:p w14:paraId="4737124A" w14:textId="77777777" w:rsidR="00826C07" w:rsidRPr="00286216" w:rsidRDefault="00826C07" w:rsidP="00826C07">
            <w:pPr>
              <w:pStyle w:val="StyleWisnow"/>
              <w:rPr>
                <w:color w:val="000000" w:themeColor="text1"/>
              </w:rPr>
            </w:pPr>
            <w:bookmarkStart w:id="2567" w:name="n2696" w:colFirst="0" w:colLast="0"/>
            <w:bookmarkEnd w:id="2566"/>
            <w:r w:rsidRPr="00286216">
              <w:rPr>
                <w:color w:val="000000" w:themeColor="text1"/>
              </w:rPr>
              <w:t>2696.</w:t>
            </w:r>
          </w:p>
        </w:tc>
        <w:tc>
          <w:tcPr>
            <w:tcW w:w="4818" w:type="dxa"/>
          </w:tcPr>
          <w:p w14:paraId="26C56C1D" w14:textId="77777777" w:rsidR="00826C07" w:rsidRPr="00286216" w:rsidRDefault="00826C07" w:rsidP="00826C07">
            <w:pPr>
              <w:pStyle w:val="StyleZakonu"/>
              <w:rPr>
                <w:color w:val="000000" w:themeColor="text1"/>
              </w:rPr>
            </w:pPr>
            <w:r w:rsidRPr="00286216">
              <w:rPr>
                <w:color w:val="000000" w:themeColor="text1"/>
              </w:rPr>
              <w:t>"3) деривативні (похідні) цінні папери - цінні папери, що посвідчують право власника у визначених проспектом цінних паперів (рішенням про емісію цінних паперів) випадках та порядку вимагати від емітента придбання або продажу базового активу та/або реалізації встановлених проспектом цінних паперів (рішенням про емісію цінних паперів) прав щодо базового активу та/або здійснення платежу (платежів) залежно від значення базового показника та/або передбачають виникнення між власником та емітентом у визначених проспектом цінних паперів (рішенням про емісію цінних паперів) випадках нових правовідносин за деривативним контрактом, умови якого визначені проспектом цінних паперів (рішенням про емісію цінних паперів) (крім цінних паперів, що надають право їх власнику обміняти такі цінні папери на інші цінні папери); ";</w:t>
            </w:r>
          </w:p>
        </w:tc>
        <w:tc>
          <w:tcPr>
            <w:tcW w:w="3686" w:type="dxa"/>
          </w:tcPr>
          <w:p w14:paraId="317B1BB0" w14:textId="54E2000C" w:rsidR="00826C07" w:rsidRPr="00286216" w:rsidRDefault="00826C07" w:rsidP="00826C07">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1236</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CC24B81" w14:textId="77777777" w:rsidR="00826C07" w:rsidRPr="00286216" w:rsidRDefault="00826C07" w:rsidP="00826C07">
            <w:pPr>
              <w:pStyle w:val="StyleProp"/>
              <w:spacing w:line="180" w:lineRule="exact"/>
              <w:rPr>
                <w:color w:val="000000" w:themeColor="text1"/>
              </w:rPr>
            </w:pPr>
            <w:r w:rsidRPr="00286216">
              <w:rPr>
                <w:color w:val="000000" w:themeColor="text1"/>
              </w:rPr>
              <w:t>абзац 2 підпункту 3 пункту 5 Розділу 3 викласти у такій редакції:</w:t>
            </w:r>
          </w:p>
          <w:p w14:paraId="2849E385" w14:textId="7AC302D4" w:rsidR="00826C07" w:rsidRPr="00286216" w:rsidRDefault="00826C07" w:rsidP="00826C07">
            <w:pPr>
              <w:pStyle w:val="StyleProp"/>
              <w:spacing w:line="180" w:lineRule="exact"/>
              <w:rPr>
                <w:color w:val="000000" w:themeColor="text1"/>
              </w:rPr>
            </w:pPr>
            <w:r w:rsidRPr="00286216">
              <w:rPr>
                <w:color w:val="000000" w:themeColor="text1"/>
              </w:rPr>
              <w:t>"4) деривативні цінні папери - цінні папери, що посвідчують право власника у визначених проспектом (рішенням про емісію цінних паперів) випадках та порядку вимагати від емітента придбання або продажу базового активу та/або реалізації встановлених проспектом (рішенням про емісію цінних паперів) прав щодо базового активу та/або здійснення платежу (платежів) залежно від значення базового показника".</w:t>
            </w:r>
          </w:p>
          <w:p w14:paraId="265080A5" w14:textId="77777777" w:rsidR="00826C07" w:rsidRPr="00286216" w:rsidRDefault="00826C07" w:rsidP="00826C07">
            <w:pPr>
              <w:pStyle w:val="StyleProp"/>
              <w:spacing w:line="180" w:lineRule="exact"/>
              <w:rPr>
                <w:color w:val="000000" w:themeColor="text1"/>
              </w:rPr>
            </w:pPr>
          </w:p>
          <w:p w14:paraId="7ED15618" w14:textId="1CB0565D"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1237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F4311D3" w14:textId="4418EB02" w:rsidR="00826C07" w:rsidRPr="00286216" w:rsidRDefault="00826C07" w:rsidP="00826C07">
            <w:pPr>
              <w:pStyle w:val="StyleProp"/>
              <w:rPr>
                <w:color w:val="000000" w:themeColor="text1"/>
                <w:szCs w:val="18"/>
              </w:rPr>
            </w:pPr>
            <w:r w:rsidRPr="00286216">
              <w:rPr>
                <w:color w:val="000000" w:themeColor="text1"/>
              </w:rPr>
              <w:t>У абзаці другому підпункту 3 пункту 5 Розділу 3 слово та символи «(похідні)» виключити.</w:t>
            </w:r>
          </w:p>
        </w:tc>
        <w:tc>
          <w:tcPr>
            <w:tcW w:w="1987" w:type="dxa"/>
          </w:tcPr>
          <w:p w14:paraId="05794909" w14:textId="1F2A1992" w:rsidR="00826C07" w:rsidRPr="00286216" w:rsidRDefault="00826C07" w:rsidP="00826C07">
            <w:pPr>
              <w:pStyle w:val="StyleWisnow"/>
              <w:rPr>
                <w:color w:val="000000" w:themeColor="text1"/>
              </w:rPr>
            </w:pPr>
            <w:r w:rsidRPr="00286216">
              <w:rPr>
                <w:color w:val="000000" w:themeColor="text1"/>
              </w:rPr>
              <w:t>Враховано</w:t>
            </w:r>
          </w:p>
          <w:p w14:paraId="5B7BD25E" w14:textId="6BFC79A7" w:rsidR="00826C07" w:rsidRPr="00286216" w:rsidRDefault="00826C07" w:rsidP="00826C07">
            <w:pPr>
              <w:pStyle w:val="StyleWisnow"/>
              <w:rPr>
                <w:color w:val="000000" w:themeColor="text1"/>
              </w:rPr>
            </w:pPr>
          </w:p>
          <w:p w14:paraId="4FD3EA69" w14:textId="399B8B98" w:rsidR="00826C07" w:rsidRPr="00286216" w:rsidRDefault="00826C07" w:rsidP="00826C07">
            <w:pPr>
              <w:pStyle w:val="StyleWisnow"/>
              <w:rPr>
                <w:color w:val="000000" w:themeColor="text1"/>
              </w:rPr>
            </w:pPr>
          </w:p>
          <w:p w14:paraId="1F4716D8" w14:textId="45D4911A" w:rsidR="00826C07" w:rsidRPr="00286216" w:rsidRDefault="00826C07" w:rsidP="00826C07">
            <w:pPr>
              <w:pStyle w:val="StyleWisnow"/>
              <w:rPr>
                <w:color w:val="000000" w:themeColor="text1"/>
              </w:rPr>
            </w:pPr>
          </w:p>
          <w:p w14:paraId="06CF5B34" w14:textId="22FDA0B0" w:rsidR="00826C07" w:rsidRPr="00286216" w:rsidRDefault="00826C07" w:rsidP="00826C07">
            <w:pPr>
              <w:pStyle w:val="StyleWisnow"/>
              <w:rPr>
                <w:color w:val="000000" w:themeColor="text1"/>
              </w:rPr>
            </w:pPr>
          </w:p>
          <w:p w14:paraId="770A543B" w14:textId="303F53B2" w:rsidR="00826C07" w:rsidRPr="00286216" w:rsidRDefault="00826C07" w:rsidP="00826C07">
            <w:pPr>
              <w:pStyle w:val="StyleWisnow"/>
              <w:rPr>
                <w:color w:val="000000" w:themeColor="text1"/>
              </w:rPr>
            </w:pPr>
          </w:p>
          <w:p w14:paraId="087AB24D" w14:textId="77777777" w:rsidR="00826C07" w:rsidRPr="00286216" w:rsidRDefault="00826C07" w:rsidP="00826C07">
            <w:pPr>
              <w:pStyle w:val="StyleWisnow"/>
              <w:rPr>
                <w:color w:val="000000" w:themeColor="text1"/>
              </w:rPr>
            </w:pPr>
          </w:p>
          <w:p w14:paraId="1A9E649B" w14:textId="77777777" w:rsidR="00826C07" w:rsidRPr="00286216" w:rsidRDefault="00826C07" w:rsidP="00826C07">
            <w:pPr>
              <w:pStyle w:val="StyleWisnow"/>
              <w:rPr>
                <w:color w:val="000000" w:themeColor="text1"/>
              </w:rPr>
            </w:pPr>
          </w:p>
          <w:p w14:paraId="142EE6A7" w14:textId="77777777" w:rsidR="00826C07" w:rsidRPr="00286216" w:rsidRDefault="00826C07" w:rsidP="00826C07">
            <w:pPr>
              <w:pStyle w:val="StyleWisnow"/>
              <w:rPr>
                <w:color w:val="000000" w:themeColor="text1"/>
              </w:rPr>
            </w:pPr>
          </w:p>
          <w:p w14:paraId="31E0CC1F" w14:textId="6CC45596" w:rsidR="00826C07" w:rsidRPr="00286216" w:rsidRDefault="00826C07" w:rsidP="00826C07">
            <w:pPr>
              <w:pStyle w:val="StyleWisnow"/>
              <w:rPr>
                <w:color w:val="000000" w:themeColor="text1"/>
              </w:rPr>
            </w:pPr>
          </w:p>
          <w:p w14:paraId="43145DDE" w14:textId="77777777" w:rsidR="00826C07" w:rsidRPr="00286216" w:rsidRDefault="00826C07" w:rsidP="00826C07">
            <w:pPr>
              <w:pStyle w:val="StyleWisnow"/>
              <w:rPr>
                <w:color w:val="000000" w:themeColor="text1"/>
              </w:rPr>
            </w:pPr>
          </w:p>
          <w:p w14:paraId="32015918" w14:textId="77777777" w:rsidR="00826C07" w:rsidRPr="00286216" w:rsidRDefault="00826C07" w:rsidP="00826C07">
            <w:pPr>
              <w:pStyle w:val="StyleWisnow"/>
              <w:rPr>
                <w:color w:val="000000" w:themeColor="text1"/>
              </w:rPr>
            </w:pPr>
          </w:p>
          <w:p w14:paraId="3B0FA185" w14:textId="305E7027"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61B44B4C" w14:textId="5C85C671" w:rsidR="00826C07" w:rsidRPr="00286216" w:rsidRDefault="00826C07" w:rsidP="00826C07">
            <w:pPr>
              <w:pStyle w:val="StyleZakonu"/>
              <w:rPr>
                <w:color w:val="000000" w:themeColor="text1"/>
              </w:rPr>
            </w:pPr>
            <w:r w:rsidRPr="00286216">
              <w:rPr>
                <w:color w:val="000000" w:themeColor="text1"/>
              </w:rPr>
              <w:t>"3) деривативні цінні папери - цінні папери, що посвідчують право власника у визначених проспектом (рішенням про емісію цінних паперів) випадках та порядку вимагати від емітента придбання або продажу базового активу та/або реалізації встановлених проспектом (рішенням про емісію цінних паперів) прав щодо базового активу та/або здійснення платежу (платежів) залежно від значення базового показника";</w:t>
            </w:r>
          </w:p>
        </w:tc>
      </w:tr>
      <w:tr w:rsidR="00826C07" w:rsidRPr="00286216" w14:paraId="6829195C" w14:textId="77777777" w:rsidTr="00091AA5">
        <w:tc>
          <w:tcPr>
            <w:tcW w:w="576" w:type="dxa"/>
          </w:tcPr>
          <w:p w14:paraId="56D34C50" w14:textId="77777777" w:rsidR="00826C07" w:rsidRPr="00286216" w:rsidRDefault="00826C07" w:rsidP="00826C07">
            <w:pPr>
              <w:pStyle w:val="StyleWisnow"/>
              <w:rPr>
                <w:color w:val="000000" w:themeColor="text1"/>
              </w:rPr>
            </w:pPr>
            <w:bookmarkStart w:id="2568" w:name="n2697" w:colFirst="0" w:colLast="0"/>
            <w:bookmarkEnd w:id="2567"/>
            <w:r w:rsidRPr="00286216">
              <w:rPr>
                <w:color w:val="000000" w:themeColor="text1"/>
              </w:rPr>
              <w:t>2697.</w:t>
            </w:r>
          </w:p>
        </w:tc>
        <w:tc>
          <w:tcPr>
            <w:tcW w:w="4818" w:type="dxa"/>
          </w:tcPr>
          <w:p w14:paraId="03238603" w14:textId="77777777" w:rsidR="00826C07" w:rsidRPr="00286216" w:rsidRDefault="00826C07" w:rsidP="00826C07">
            <w:pPr>
              <w:pStyle w:val="StyleZakonu"/>
              <w:rPr>
                <w:color w:val="000000" w:themeColor="text1"/>
              </w:rPr>
            </w:pPr>
            <w:r w:rsidRPr="00286216">
              <w:rPr>
                <w:color w:val="000000" w:themeColor="text1"/>
              </w:rPr>
              <w:t>4) абзац перший частини другої статті 197 після слова "випуску" доповнити словом та знаками "(видачі)";</w:t>
            </w:r>
          </w:p>
        </w:tc>
        <w:tc>
          <w:tcPr>
            <w:tcW w:w="3686" w:type="dxa"/>
          </w:tcPr>
          <w:p w14:paraId="04D8D89E" w14:textId="4AC1B82A"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1238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DFAC95F" w14:textId="77777777" w:rsidR="00826C07" w:rsidRPr="00286216" w:rsidRDefault="00826C07" w:rsidP="0093342C">
            <w:pPr>
              <w:pStyle w:val="StyleProp"/>
              <w:spacing w:line="180" w:lineRule="exact"/>
              <w:rPr>
                <w:color w:val="000000" w:themeColor="text1"/>
                <w:spacing w:val="-2"/>
                <w:szCs w:val="18"/>
              </w:rPr>
            </w:pPr>
            <w:r w:rsidRPr="00286216">
              <w:rPr>
                <w:color w:val="000000" w:themeColor="text1"/>
                <w:szCs w:val="18"/>
              </w:rPr>
              <w:t xml:space="preserve">Підпункт 4 пункту 5 викласти в такій </w:t>
            </w:r>
            <w:r w:rsidRPr="00286216">
              <w:rPr>
                <w:color w:val="000000" w:themeColor="text1"/>
                <w:spacing w:val="-2"/>
                <w:szCs w:val="18"/>
              </w:rPr>
              <w:t>редакції:</w:t>
            </w:r>
          </w:p>
          <w:p w14:paraId="690BECCF" w14:textId="77777777" w:rsidR="00826C07" w:rsidRPr="00286216" w:rsidRDefault="00826C07" w:rsidP="0093342C">
            <w:pPr>
              <w:pStyle w:val="StyleProp"/>
              <w:spacing w:line="180" w:lineRule="exact"/>
              <w:rPr>
                <w:color w:val="000000" w:themeColor="text1"/>
                <w:spacing w:val="-2"/>
                <w:szCs w:val="18"/>
              </w:rPr>
            </w:pPr>
            <w:r w:rsidRPr="00286216">
              <w:rPr>
                <w:color w:val="000000" w:themeColor="text1"/>
                <w:spacing w:val="-2"/>
                <w:szCs w:val="18"/>
              </w:rPr>
              <w:t>«4) у частині другій статті 197:</w:t>
            </w:r>
          </w:p>
          <w:p w14:paraId="0988B1B5" w14:textId="77777777" w:rsidR="00826C07" w:rsidRPr="00286216" w:rsidRDefault="00826C07" w:rsidP="0093342C">
            <w:pPr>
              <w:pStyle w:val="StyleProp"/>
              <w:spacing w:line="180" w:lineRule="exact"/>
              <w:rPr>
                <w:color w:val="000000" w:themeColor="text1"/>
                <w:spacing w:val="-2"/>
                <w:szCs w:val="18"/>
              </w:rPr>
            </w:pPr>
            <w:r w:rsidRPr="00286216">
              <w:rPr>
                <w:color w:val="000000" w:themeColor="text1"/>
                <w:spacing w:val="-2"/>
                <w:szCs w:val="18"/>
              </w:rPr>
              <w:t>а) абзац перший після слова «випуску» доповнити словом «(видачі)»;</w:t>
            </w:r>
          </w:p>
          <w:p w14:paraId="5C162925" w14:textId="77777777" w:rsidR="00826C07" w:rsidRPr="00286216" w:rsidRDefault="00826C07" w:rsidP="0093342C">
            <w:pPr>
              <w:pStyle w:val="StyleProp"/>
              <w:spacing w:line="180" w:lineRule="exact"/>
              <w:rPr>
                <w:color w:val="000000" w:themeColor="text1"/>
                <w:szCs w:val="18"/>
              </w:rPr>
            </w:pPr>
            <w:r w:rsidRPr="00286216">
              <w:rPr>
                <w:color w:val="000000" w:themeColor="text1"/>
                <w:spacing w:val="-2"/>
                <w:szCs w:val="18"/>
              </w:rPr>
              <w:t>б) у абзаці другому слово «документарній»</w:t>
            </w:r>
            <w:r w:rsidRPr="00286216">
              <w:rPr>
                <w:color w:val="000000" w:themeColor="text1"/>
                <w:szCs w:val="18"/>
              </w:rPr>
              <w:t xml:space="preserve"> замінити словом «письмовій»».</w:t>
            </w:r>
          </w:p>
        </w:tc>
        <w:tc>
          <w:tcPr>
            <w:tcW w:w="1987" w:type="dxa"/>
          </w:tcPr>
          <w:p w14:paraId="593559B7"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6EBFA32F" w14:textId="77777777" w:rsidR="00826C07" w:rsidRPr="00286216" w:rsidRDefault="00826C07" w:rsidP="00826C07">
            <w:pPr>
              <w:pStyle w:val="StyleZakonu"/>
              <w:rPr>
                <w:color w:val="000000" w:themeColor="text1"/>
              </w:rPr>
            </w:pPr>
            <w:r w:rsidRPr="00286216">
              <w:rPr>
                <w:color w:val="000000" w:themeColor="text1"/>
              </w:rPr>
              <w:t>4) у частині другій статті 197:</w:t>
            </w:r>
          </w:p>
          <w:p w14:paraId="48E43CE2" w14:textId="77777777" w:rsidR="00826C07" w:rsidRPr="00286216" w:rsidRDefault="00826C07" w:rsidP="00826C07">
            <w:pPr>
              <w:pStyle w:val="StyleZakonu"/>
              <w:rPr>
                <w:color w:val="000000" w:themeColor="text1"/>
              </w:rPr>
            </w:pPr>
            <w:r w:rsidRPr="00286216">
              <w:rPr>
                <w:color w:val="000000" w:themeColor="text1"/>
              </w:rPr>
              <w:t>а) абзац перший після слова «випуску» доповнити словом «(видачі)»;</w:t>
            </w:r>
          </w:p>
          <w:p w14:paraId="770078D9" w14:textId="5C731F32" w:rsidR="00826C07" w:rsidRPr="00286216" w:rsidRDefault="00826C07" w:rsidP="00EA729A">
            <w:pPr>
              <w:pStyle w:val="StyleZakonu"/>
              <w:rPr>
                <w:color w:val="000000" w:themeColor="text1"/>
              </w:rPr>
            </w:pPr>
            <w:r w:rsidRPr="00286216">
              <w:rPr>
                <w:color w:val="000000" w:themeColor="text1"/>
              </w:rPr>
              <w:t xml:space="preserve">б) </w:t>
            </w:r>
            <w:r w:rsidR="00EA729A" w:rsidRPr="00286216">
              <w:rPr>
                <w:color w:val="000000" w:themeColor="text1"/>
              </w:rPr>
              <w:t>в</w:t>
            </w:r>
            <w:r w:rsidRPr="00286216">
              <w:rPr>
                <w:color w:val="000000" w:themeColor="text1"/>
              </w:rPr>
              <w:t xml:space="preserve"> абзаці другому слово «документарній» замінити словом «письмовій»;</w:t>
            </w:r>
          </w:p>
        </w:tc>
      </w:tr>
      <w:tr w:rsidR="00826C07" w:rsidRPr="00286216" w14:paraId="02EEEC73" w14:textId="77777777" w:rsidTr="00091AA5">
        <w:tc>
          <w:tcPr>
            <w:tcW w:w="576" w:type="dxa"/>
          </w:tcPr>
          <w:p w14:paraId="0BBEDA6F" w14:textId="77777777" w:rsidR="00826C07" w:rsidRPr="00286216" w:rsidRDefault="00826C07" w:rsidP="00826C07">
            <w:pPr>
              <w:pStyle w:val="StyleWisnow"/>
              <w:rPr>
                <w:color w:val="000000" w:themeColor="text1"/>
              </w:rPr>
            </w:pPr>
            <w:bookmarkStart w:id="2569" w:name="n2698" w:colFirst="0" w:colLast="0"/>
            <w:bookmarkEnd w:id="2568"/>
            <w:r w:rsidRPr="00286216">
              <w:rPr>
                <w:color w:val="000000" w:themeColor="text1"/>
              </w:rPr>
              <w:t>2698.</w:t>
            </w:r>
          </w:p>
        </w:tc>
        <w:tc>
          <w:tcPr>
            <w:tcW w:w="4818" w:type="dxa"/>
          </w:tcPr>
          <w:p w14:paraId="33CE790A" w14:textId="77777777" w:rsidR="00826C07" w:rsidRPr="00286216" w:rsidRDefault="00826C07" w:rsidP="00826C07">
            <w:pPr>
              <w:pStyle w:val="StyleZakonu"/>
              <w:rPr>
                <w:color w:val="000000" w:themeColor="text1"/>
              </w:rPr>
            </w:pPr>
            <w:r w:rsidRPr="00286216">
              <w:rPr>
                <w:color w:val="000000" w:themeColor="text1"/>
              </w:rPr>
              <w:t>5) у статті 207:</w:t>
            </w:r>
          </w:p>
        </w:tc>
        <w:tc>
          <w:tcPr>
            <w:tcW w:w="3686" w:type="dxa"/>
          </w:tcPr>
          <w:p w14:paraId="13064EA0" w14:textId="77777777" w:rsidR="00826C07" w:rsidRPr="00286216" w:rsidRDefault="00826C07" w:rsidP="00826C07">
            <w:pPr>
              <w:pStyle w:val="StyleProp"/>
              <w:rPr>
                <w:color w:val="000000" w:themeColor="text1"/>
                <w:szCs w:val="18"/>
              </w:rPr>
            </w:pPr>
          </w:p>
        </w:tc>
        <w:tc>
          <w:tcPr>
            <w:tcW w:w="1987" w:type="dxa"/>
          </w:tcPr>
          <w:p w14:paraId="7403095E" w14:textId="77777777" w:rsidR="00826C07" w:rsidRPr="00286216" w:rsidRDefault="00826C07" w:rsidP="00826C07">
            <w:pPr>
              <w:pStyle w:val="StyleWisnow"/>
              <w:rPr>
                <w:color w:val="000000" w:themeColor="text1"/>
              </w:rPr>
            </w:pPr>
          </w:p>
        </w:tc>
        <w:tc>
          <w:tcPr>
            <w:tcW w:w="4818" w:type="dxa"/>
          </w:tcPr>
          <w:p w14:paraId="338B52A9" w14:textId="77777777" w:rsidR="00826C07" w:rsidRPr="00286216" w:rsidRDefault="00826C07" w:rsidP="00826C07">
            <w:pPr>
              <w:pStyle w:val="StyleZakonu"/>
              <w:rPr>
                <w:color w:val="000000" w:themeColor="text1"/>
              </w:rPr>
            </w:pPr>
            <w:r w:rsidRPr="00286216">
              <w:rPr>
                <w:color w:val="000000" w:themeColor="text1"/>
              </w:rPr>
              <w:t>5) у статті 207:</w:t>
            </w:r>
          </w:p>
        </w:tc>
      </w:tr>
      <w:tr w:rsidR="00826C07" w:rsidRPr="00286216" w14:paraId="190E051D" w14:textId="77777777" w:rsidTr="00091AA5">
        <w:tc>
          <w:tcPr>
            <w:tcW w:w="576" w:type="dxa"/>
          </w:tcPr>
          <w:p w14:paraId="22F19D18" w14:textId="77777777" w:rsidR="00826C07" w:rsidRPr="00286216" w:rsidRDefault="00826C07" w:rsidP="00826C07">
            <w:pPr>
              <w:pStyle w:val="StyleWisnow"/>
              <w:rPr>
                <w:color w:val="000000" w:themeColor="text1"/>
              </w:rPr>
            </w:pPr>
            <w:bookmarkStart w:id="2570" w:name="n2699" w:colFirst="0" w:colLast="0"/>
            <w:bookmarkEnd w:id="2569"/>
            <w:r w:rsidRPr="00286216">
              <w:rPr>
                <w:color w:val="000000" w:themeColor="text1"/>
              </w:rPr>
              <w:t>2699.</w:t>
            </w:r>
          </w:p>
        </w:tc>
        <w:tc>
          <w:tcPr>
            <w:tcW w:w="4818" w:type="dxa"/>
          </w:tcPr>
          <w:p w14:paraId="2A2466BB" w14:textId="77777777" w:rsidR="00826C07" w:rsidRPr="00286216" w:rsidRDefault="00826C07" w:rsidP="00826C07">
            <w:pPr>
              <w:pStyle w:val="StyleZakonu"/>
              <w:rPr>
                <w:color w:val="000000" w:themeColor="text1"/>
              </w:rPr>
            </w:pPr>
            <w:r w:rsidRPr="00286216">
              <w:rPr>
                <w:color w:val="000000" w:themeColor="text1"/>
              </w:rPr>
              <w:t>а) у частині першій:</w:t>
            </w:r>
          </w:p>
        </w:tc>
        <w:tc>
          <w:tcPr>
            <w:tcW w:w="3686" w:type="dxa"/>
          </w:tcPr>
          <w:p w14:paraId="5185E993" w14:textId="77777777" w:rsidR="00826C07" w:rsidRPr="00286216" w:rsidRDefault="00826C07" w:rsidP="00826C07">
            <w:pPr>
              <w:pStyle w:val="StyleProp"/>
              <w:rPr>
                <w:color w:val="000000" w:themeColor="text1"/>
                <w:szCs w:val="18"/>
              </w:rPr>
            </w:pPr>
          </w:p>
        </w:tc>
        <w:tc>
          <w:tcPr>
            <w:tcW w:w="1987" w:type="dxa"/>
          </w:tcPr>
          <w:p w14:paraId="195E9DD9" w14:textId="77777777" w:rsidR="00826C07" w:rsidRPr="00286216" w:rsidRDefault="00826C07" w:rsidP="00826C07">
            <w:pPr>
              <w:pStyle w:val="StyleWisnow"/>
              <w:rPr>
                <w:color w:val="000000" w:themeColor="text1"/>
              </w:rPr>
            </w:pPr>
          </w:p>
        </w:tc>
        <w:tc>
          <w:tcPr>
            <w:tcW w:w="4818" w:type="dxa"/>
          </w:tcPr>
          <w:p w14:paraId="5DDA4175" w14:textId="5999198A" w:rsidR="00826C07" w:rsidRPr="00286216" w:rsidRDefault="00826C07" w:rsidP="00B573A4">
            <w:pPr>
              <w:pStyle w:val="StyleZakonu"/>
              <w:rPr>
                <w:color w:val="000000" w:themeColor="text1"/>
              </w:rPr>
            </w:pPr>
            <w:r w:rsidRPr="00286216">
              <w:rPr>
                <w:color w:val="000000" w:themeColor="text1"/>
              </w:rPr>
              <w:t xml:space="preserve">а) </w:t>
            </w:r>
            <w:r w:rsidR="00B573A4" w:rsidRPr="00286216">
              <w:rPr>
                <w:color w:val="000000" w:themeColor="text1"/>
              </w:rPr>
              <w:t xml:space="preserve">в абзаці першому </w:t>
            </w:r>
            <w:r w:rsidRPr="00286216">
              <w:rPr>
                <w:color w:val="000000" w:themeColor="text1"/>
              </w:rPr>
              <w:t>частин</w:t>
            </w:r>
            <w:r w:rsidR="00B573A4" w:rsidRPr="00286216">
              <w:rPr>
                <w:color w:val="000000" w:themeColor="text1"/>
              </w:rPr>
              <w:t>и</w:t>
            </w:r>
            <w:r w:rsidRPr="00286216">
              <w:rPr>
                <w:color w:val="000000" w:themeColor="text1"/>
              </w:rPr>
              <w:t xml:space="preserve"> перш</w:t>
            </w:r>
            <w:r w:rsidR="00B573A4" w:rsidRPr="00286216">
              <w:rPr>
                <w:color w:val="000000" w:themeColor="text1"/>
              </w:rPr>
              <w:t>ої</w:t>
            </w:r>
            <w:r w:rsidRPr="00286216">
              <w:rPr>
                <w:color w:val="000000" w:themeColor="text1"/>
              </w:rPr>
              <w:t>:</w:t>
            </w:r>
          </w:p>
        </w:tc>
      </w:tr>
      <w:tr w:rsidR="00826C07" w:rsidRPr="00286216" w14:paraId="4B9E43BB" w14:textId="77777777" w:rsidTr="00091AA5">
        <w:tc>
          <w:tcPr>
            <w:tcW w:w="576" w:type="dxa"/>
          </w:tcPr>
          <w:p w14:paraId="49E6FAAF" w14:textId="77777777" w:rsidR="00826C07" w:rsidRPr="00286216" w:rsidRDefault="00826C07" w:rsidP="00826C07">
            <w:pPr>
              <w:pStyle w:val="StyleWisnow"/>
              <w:rPr>
                <w:color w:val="000000" w:themeColor="text1"/>
              </w:rPr>
            </w:pPr>
            <w:bookmarkStart w:id="2571" w:name="n2700" w:colFirst="0" w:colLast="0"/>
            <w:bookmarkEnd w:id="2570"/>
            <w:r w:rsidRPr="00286216">
              <w:rPr>
                <w:color w:val="000000" w:themeColor="text1"/>
              </w:rPr>
              <w:t>2700.</w:t>
            </w:r>
          </w:p>
        </w:tc>
        <w:tc>
          <w:tcPr>
            <w:tcW w:w="4818" w:type="dxa"/>
          </w:tcPr>
          <w:p w14:paraId="3D2BDA8D" w14:textId="77777777" w:rsidR="00826C07" w:rsidRPr="00286216" w:rsidRDefault="00826C07" w:rsidP="00826C07">
            <w:pPr>
              <w:pStyle w:val="StyleZakonu"/>
              <w:rPr>
                <w:color w:val="000000" w:themeColor="text1"/>
              </w:rPr>
            </w:pPr>
            <w:r w:rsidRPr="00286216">
              <w:rPr>
                <w:color w:val="000000" w:themeColor="text1"/>
              </w:rPr>
              <w:t xml:space="preserve">перше речення абзацу першого доповнити словами та знаками ", або надсилалися ними до інформаційно-телекомунікаційної системи, що використовується </w:t>
            </w:r>
            <w:r w:rsidRPr="00286216">
              <w:rPr>
                <w:color w:val="000000" w:themeColor="text1"/>
              </w:rPr>
              <w:lastRenderedPageBreak/>
              <w:t>сторонами";</w:t>
            </w:r>
          </w:p>
        </w:tc>
        <w:tc>
          <w:tcPr>
            <w:tcW w:w="3686" w:type="dxa"/>
          </w:tcPr>
          <w:p w14:paraId="566C17EE" w14:textId="77777777" w:rsidR="00826C07" w:rsidRPr="00286216" w:rsidRDefault="00826C07" w:rsidP="00826C07">
            <w:pPr>
              <w:pStyle w:val="StyleProp"/>
              <w:rPr>
                <w:color w:val="000000" w:themeColor="text1"/>
                <w:szCs w:val="18"/>
              </w:rPr>
            </w:pPr>
          </w:p>
        </w:tc>
        <w:tc>
          <w:tcPr>
            <w:tcW w:w="1987" w:type="dxa"/>
          </w:tcPr>
          <w:p w14:paraId="0BDEF4F5" w14:textId="77777777" w:rsidR="00826C07" w:rsidRPr="00286216" w:rsidRDefault="00826C07" w:rsidP="00826C07">
            <w:pPr>
              <w:pStyle w:val="StyleWisnow"/>
              <w:rPr>
                <w:color w:val="000000" w:themeColor="text1"/>
              </w:rPr>
            </w:pPr>
          </w:p>
        </w:tc>
        <w:tc>
          <w:tcPr>
            <w:tcW w:w="4818" w:type="dxa"/>
          </w:tcPr>
          <w:p w14:paraId="03681946" w14:textId="266E47B8" w:rsidR="00826C07" w:rsidRPr="00286216" w:rsidRDefault="00826C07" w:rsidP="00B573A4">
            <w:pPr>
              <w:pStyle w:val="StyleZakonu"/>
              <w:rPr>
                <w:color w:val="000000" w:themeColor="text1"/>
              </w:rPr>
            </w:pPr>
            <w:r w:rsidRPr="00286216">
              <w:rPr>
                <w:color w:val="000000" w:themeColor="text1"/>
              </w:rPr>
              <w:t xml:space="preserve">перше речення доповнити словами "або надсилалися ними до інформаційно-телекомунікаційної системи, що використовується </w:t>
            </w:r>
            <w:r w:rsidRPr="00286216">
              <w:rPr>
                <w:color w:val="000000" w:themeColor="text1"/>
              </w:rPr>
              <w:lastRenderedPageBreak/>
              <w:t>сторонами";</w:t>
            </w:r>
          </w:p>
        </w:tc>
      </w:tr>
      <w:tr w:rsidR="00826C07" w:rsidRPr="00286216" w14:paraId="6742976C" w14:textId="77777777" w:rsidTr="00091AA5">
        <w:tc>
          <w:tcPr>
            <w:tcW w:w="576" w:type="dxa"/>
          </w:tcPr>
          <w:p w14:paraId="11994AB5" w14:textId="77777777" w:rsidR="00826C07" w:rsidRPr="00286216" w:rsidRDefault="00826C07" w:rsidP="00826C07">
            <w:pPr>
              <w:pStyle w:val="StyleWisnow"/>
              <w:rPr>
                <w:color w:val="000000" w:themeColor="text1"/>
              </w:rPr>
            </w:pPr>
            <w:bookmarkStart w:id="2572" w:name="n2701" w:colFirst="0" w:colLast="0"/>
            <w:bookmarkEnd w:id="2571"/>
            <w:r w:rsidRPr="00286216">
              <w:rPr>
                <w:color w:val="000000" w:themeColor="text1"/>
              </w:rPr>
              <w:lastRenderedPageBreak/>
              <w:t>2701.</w:t>
            </w:r>
          </w:p>
        </w:tc>
        <w:tc>
          <w:tcPr>
            <w:tcW w:w="4818" w:type="dxa"/>
          </w:tcPr>
          <w:p w14:paraId="40D3B933" w14:textId="77777777" w:rsidR="00826C07" w:rsidRPr="00286216" w:rsidRDefault="00826C07" w:rsidP="00826C07">
            <w:pPr>
              <w:pStyle w:val="StyleZakonu"/>
              <w:rPr>
                <w:color w:val="000000" w:themeColor="text1"/>
              </w:rPr>
            </w:pPr>
            <w:r w:rsidRPr="00286216">
              <w:rPr>
                <w:color w:val="000000" w:themeColor="text1"/>
              </w:rPr>
              <w:t>абзац перший частини першої доповнити новим реченням того змісту:</w:t>
            </w:r>
          </w:p>
        </w:tc>
        <w:tc>
          <w:tcPr>
            <w:tcW w:w="3686" w:type="dxa"/>
          </w:tcPr>
          <w:p w14:paraId="1574C341" w14:textId="77777777" w:rsidR="00826C07" w:rsidRPr="00286216" w:rsidRDefault="00826C07" w:rsidP="00826C07">
            <w:pPr>
              <w:pStyle w:val="StyleProp"/>
              <w:rPr>
                <w:color w:val="000000" w:themeColor="text1"/>
                <w:szCs w:val="18"/>
              </w:rPr>
            </w:pPr>
          </w:p>
        </w:tc>
        <w:tc>
          <w:tcPr>
            <w:tcW w:w="1987" w:type="dxa"/>
          </w:tcPr>
          <w:p w14:paraId="3B735367" w14:textId="77777777" w:rsidR="00826C07" w:rsidRPr="00286216" w:rsidRDefault="00826C07" w:rsidP="00826C07">
            <w:pPr>
              <w:pStyle w:val="StyleWisnow"/>
              <w:rPr>
                <w:color w:val="000000" w:themeColor="text1"/>
              </w:rPr>
            </w:pPr>
          </w:p>
        </w:tc>
        <w:tc>
          <w:tcPr>
            <w:tcW w:w="4818" w:type="dxa"/>
          </w:tcPr>
          <w:p w14:paraId="52537880" w14:textId="6FC217E9" w:rsidR="00826C07" w:rsidRPr="00286216" w:rsidRDefault="00826C07" w:rsidP="00826C07">
            <w:pPr>
              <w:pStyle w:val="StyleZakonu"/>
              <w:rPr>
                <w:color w:val="000000" w:themeColor="text1"/>
              </w:rPr>
            </w:pPr>
            <w:r w:rsidRPr="00286216">
              <w:rPr>
                <w:color w:val="000000" w:themeColor="text1"/>
              </w:rPr>
              <w:t>доповнити новим реченням т</w:t>
            </w:r>
            <w:r w:rsidR="00B573A4" w:rsidRPr="00286216">
              <w:rPr>
                <w:color w:val="000000" w:themeColor="text1"/>
              </w:rPr>
              <w:t>ак</w:t>
            </w:r>
            <w:r w:rsidRPr="00286216">
              <w:rPr>
                <w:color w:val="000000" w:themeColor="text1"/>
              </w:rPr>
              <w:t>ого змісту:</w:t>
            </w:r>
          </w:p>
        </w:tc>
      </w:tr>
      <w:tr w:rsidR="00826C07" w:rsidRPr="00286216" w14:paraId="6D618C93" w14:textId="77777777" w:rsidTr="00091AA5">
        <w:tc>
          <w:tcPr>
            <w:tcW w:w="576" w:type="dxa"/>
          </w:tcPr>
          <w:p w14:paraId="00B7EAAC" w14:textId="77777777" w:rsidR="00826C07" w:rsidRPr="00286216" w:rsidRDefault="00826C07" w:rsidP="00826C07">
            <w:pPr>
              <w:pStyle w:val="StyleWisnow"/>
              <w:rPr>
                <w:color w:val="000000" w:themeColor="text1"/>
              </w:rPr>
            </w:pPr>
            <w:bookmarkStart w:id="2573" w:name="n2702" w:colFirst="0" w:colLast="0"/>
            <w:bookmarkEnd w:id="2572"/>
            <w:r w:rsidRPr="00286216">
              <w:rPr>
                <w:color w:val="000000" w:themeColor="text1"/>
              </w:rPr>
              <w:t>2702.</w:t>
            </w:r>
          </w:p>
        </w:tc>
        <w:tc>
          <w:tcPr>
            <w:tcW w:w="4818" w:type="dxa"/>
          </w:tcPr>
          <w:p w14:paraId="2AB27332" w14:textId="77777777" w:rsidR="00826C07" w:rsidRPr="00286216" w:rsidRDefault="00826C07" w:rsidP="00826C07">
            <w:pPr>
              <w:pStyle w:val="StyleZakonu"/>
              <w:rPr>
                <w:color w:val="000000" w:themeColor="text1"/>
              </w:rPr>
            </w:pPr>
            <w:r w:rsidRPr="00286216">
              <w:rPr>
                <w:color w:val="000000" w:themeColor="text1"/>
              </w:rPr>
              <w:t>"У разі якщо зміст правочину зафіксований у кількох документах, зміст такого правочину також може бути зафіксовано шляхом посилання в одному з цих документів на інші документи, якщо інше не передбачено законом.";</w:t>
            </w:r>
          </w:p>
        </w:tc>
        <w:tc>
          <w:tcPr>
            <w:tcW w:w="3686" w:type="dxa"/>
          </w:tcPr>
          <w:p w14:paraId="1AFA0D2D" w14:textId="77777777" w:rsidR="00826C07" w:rsidRPr="00286216" w:rsidRDefault="00826C07" w:rsidP="00826C07">
            <w:pPr>
              <w:pStyle w:val="StyleProp"/>
              <w:rPr>
                <w:color w:val="000000" w:themeColor="text1"/>
                <w:szCs w:val="18"/>
              </w:rPr>
            </w:pPr>
          </w:p>
        </w:tc>
        <w:tc>
          <w:tcPr>
            <w:tcW w:w="1987" w:type="dxa"/>
          </w:tcPr>
          <w:p w14:paraId="05D82552" w14:textId="77777777" w:rsidR="00826C07" w:rsidRPr="00286216" w:rsidRDefault="00826C07" w:rsidP="00826C07">
            <w:pPr>
              <w:pStyle w:val="StyleWisnow"/>
              <w:rPr>
                <w:color w:val="000000" w:themeColor="text1"/>
              </w:rPr>
            </w:pPr>
          </w:p>
        </w:tc>
        <w:tc>
          <w:tcPr>
            <w:tcW w:w="4818" w:type="dxa"/>
          </w:tcPr>
          <w:p w14:paraId="501C6BD4" w14:textId="041C3D16" w:rsidR="00826C07" w:rsidRPr="00286216" w:rsidRDefault="00826C07" w:rsidP="00B573A4">
            <w:pPr>
              <w:pStyle w:val="StyleZakonu"/>
              <w:rPr>
                <w:color w:val="000000" w:themeColor="text1"/>
              </w:rPr>
            </w:pPr>
            <w:r w:rsidRPr="00286216">
              <w:rPr>
                <w:color w:val="000000" w:themeColor="text1"/>
              </w:rPr>
              <w:t>"У разі якщо зміст правочину зафіксований у кількох документах, зміст такого правочину також може бути зафіксовано шляхом посилання в одному з цих документів на інші документи, якщо інше не передбачено законом";</w:t>
            </w:r>
          </w:p>
        </w:tc>
      </w:tr>
      <w:tr w:rsidR="00826C07" w:rsidRPr="00286216" w14:paraId="4C9B9F88" w14:textId="77777777" w:rsidTr="00091AA5">
        <w:tc>
          <w:tcPr>
            <w:tcW w:w="576" w:type="dxa"/>
          </w:tcPr>
          <w:p w14:paraId="525AE2C8" w14:textId="77777777" w:rsidR="00826C07" w:rsidRPr="00286216" w:rsidRDefault="00826C07" w:rsidP="00826C07">
            <w:pPr>
              <w:pStyle w:val="StyleWisnow"/>
              <w:rPr>
                <w:color w:val="000000" w:themeColor="text1"/>
              </w:rPr>
            </w:pPr>
            <w:bookmarkStart w:id="2574" w:name="n2703" w:colFirst="0" w:colLast="0"/>
            <w:bookmarkEnd w:id="2573"/>
            <w:r w:rsidRPr="00286216">
              <w:rPr>
                <w:color w:val="000000" w:themeColor="text1"/>
              </w:rPr>
              <w:t>2703.</w:t>
            </w:r>
          </w:p>
        </w:tc>
        <w:tc>
          <w:tcPr>
            <w:tcW w:w="4818" w:type="dxa"/>
          </w:tcPr>
          <w:p w14:paraId="03BAE468" w14:textId="77777777" w:rsidR="00826C07" w:rsidRPr="00286216" w:rsidRDefault="00826C07" w:rsidP="00826C07">
            <w:pPr>
              <w:pStyle w:val="StyleZakonu"/>
              <w:rPr>
                <w:color w:val="000000" w:themeColor="text1"/>
              </w:rPr>
            </w:pPr>
            <w:r w:rsidRPr="00286216">
              <w:rPr>
                <w:color w:val="000000" w:themeColor="text1"/>
              </w:rPr>
              <w:t>б) абзац перший частини третьої доповнити словами "або іншим чином врегульовується порядок його використання сторонами";</w:t>
            </w:r>
          </w:p>
        </w:tc>
        <w:tc>
          <w:tcPr>
            <w:tcW w:w="3686" w:type="dxa"/>
          </w:tcPr>
          <w:p w14:paraId="33D923C7" w14:textId="77777777" w:rsidR="00826C07" w:rsidRPr="00286216" w:rsidRDefault="00826C07" w:rsidP="00826C07">
            <w:pPr>
              <w:pStyle w:val="StyleProp"/>
              <w:rPr>
                <w:color w:val="000000" w:themeColor="text1"/>
                <w:szCs w:val="18"/>
              </w:rPr>
            </w:pPr>
          </w:p>
        </w:tc>
        <w:tc>
          <w:tcPr>
            <w:tcW w:w="1987" w:type="dxa"/>
          </w:tcPr>
          <w:p w14:paraId="2C3E5366" w14:textId="77777777" w:rsidR="00826C07" w:rsidRPr="00286216" w:rsidRDefault="00826C07" w:rsidP="00826C07">
            <w:pPr>
              <w:pStyle w:val="StyleWisnow"/>
              <w:rPr>
                <w:color w:val="000000" w:themeColor="text1"/>
              </w:rPr>
            </w:pPr>
          </w:p>
        </w:tc>
        <w:tc>
          <w:tcPr>
            <w:tcW w:w="4818" w:type="dxa"/>
          </w:tcPr>
          <w:p w14:paraId="6E123C2E" w14:textId="77777777" w:rsidR="00826C07" w:rsidRPr="00286216" w:rsidRDefault="00826C07" w:rsidP="00826C07">
            <w:pPr>
              <w:pStyle w:val="StyleZakonu"/>
              <w:rPr>
                <w:color w:val="000000" w:themeColor="text1"/>
              </w:rPr>
            </w:pPr>
            <w:r w:rsidRPr="00286216">
              <w:rPr>
                <w:color w:val="000000" w:themeColor="text1"/>
              </w:rPr>
              <w:t>б) абзац перший частини третьої доповнити словами "або іншим чином врегульовується порядок його використання сторонами";</w:t>
            </w:r>
          </w:p>
        </w:tc>
      </w:tr>
      <w:tr w:rsidR="00826C07" w:rsidRPr="00286216" w14:paraId="2D05C1B3" w14:textId="77777777" w:rsidTr="00091AA5">
        <w:tc>
          <w:tcPr>
            <w:tcW w:w="576" w:type="dxa"/>
          </w:tcPr>
          <w:p w14:paraId="0943F0C3" w14:textId="77777777" w:rsidR="00826C07" w:rsidRPr="00286216" w:rsidRDefault="00826C07" w:rsidP="00826C07">
            <w:pPr>
              <w:pStyle w:val="StyleWisnow"/>
              <w:rPr>
                <w:color w:val="000000" w:themeColor="text1"/>
              </w:rPr>
            </w:pPr>
            <w:bookmarkStart w:id="2575" w:name="n2704" w:colFirst="0" w:colLast="0"/>
            <w:bookmarkEnd w:id="2574"/>
            <w:r w:rsidRPr="00286216">
              <w:rPr>
                <w:color w:val="000000" w:themeColor="text1"/>
              </w:rPr>
              <w:t>2704.</w:t>
            </w:r>
          </w:p>
        </w:tc>
        <w:tc>
          <w:tcPr>
            <w:tcW w:w="4818" w:type="dxa"/>
          </w:tcPr>
          <w:p w14:paraId="0E781FD7" w14:textId="77777777" w:rsidR="00826C07" w:rsidRPr="00286216" w:rsidRDefault="00826C07" w:rsidP="00826C07">
            <w:pPr>
              <w:pStyle w:val="StyleZakonu"/>
              <w:rPr>
                <w:color w:val="000000" w:themeColor="text1"/>
              </w:rPr>
            </w:pPr>
            <w:r w:rsidRPr="00286216">
              <w:rPr>
                <w:color w:val="000000" w:themeColor="text1"/>
              </w:rPr>
              <w:t>6) у назві та статті 537 слово "контори" замінити словами "контори або на рахунок ескроу" у відповідному відмінку;</w:t>
            </w:r>
          </w:p>
        </w:tc>
        <w:tc>
          <w:tcPr>
            <w:tcW w:w="3686" w:type="dxa"/>
          </w:tcPr>
          <w:p w14:paraId="316A3B05" w14:textId="45BF8D69"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3670655" w14:textId="77777777" w:rsidR="00826C07" w:rsidRPr="00286216" w:rsidRDefault="00826C07" w:rsidP="00826C07">
            <w:pPr>
              <w:pStyle w:val="StyleProp"/>
              <w:spacing w:line="190" w:lineRule="exact"/>
              <w:rPr>
                <w:color w:val="000000" w:themeColor="text1"/>
              </w:rPr>
            </w:pPr>
            <w:r w:rsidRPr="00286216">
              <w:rPr>
                <w:color w:val="000000" w:themeColor="text1"/>
              </w:rPr>
              <w:t>Замінити підпункт 6 пункту 5 двома підпунктами такого змісту:</w:t>
            </w:r>
          </w:p>
          <w:p w14:paraId="326ACAB7" w14:textId="77777777" w:rsidR="00826C07" w:rsidRPr="00286216" w:rsidRDefault="00826C07" w:rsidP="00826C07">
            <w:pPr>
              <w:pStyle w:val="StyleProp"/>
              <w:spacing w:line="190" w:lineRule="exact"/>
              <w:rPr>
                <w:color w:val="000000" w:themeColor="text1"/>
              </w:rPr>
            </w:pPr>
            <w:r w:rsidRPr="00286216">
              <w:rPr>
                <w:color w:val="000000" w:themeColor="text1"/>
              </w:rPr>
              <w:t>«6) у статті 389 слово «документарній» замінити словом «письмовій»;</w:t>
            </w:r>
          </w:p>
          <w:p w14:paraId="45EF8E2B" w14:textId="77777777" w:rsidR="00826C07" w:rsidRPr="00286216" w:rsidRDefault="00826C07" w:rsidP="00826C07">
            <w:pPr>
              <w:pStyle w:val="StyleProp"/>
              <w:spacing w:line="190" w:lineRule="exact"/>
              <w:rPr>
                <w:color w:val="000000" w:themeColor="text1"/>
              </w:rPr>
            </w:pPr>
            <w:r w:rsidRPr="00286216">
              <w:rPr>
                <w:color w:val="000000" w:themeColor="text1"/>
              </w:rPr>
              <w:t>7) у статті 537:</w:t>
            </w:r>
          </w:p>
          <w:p w14:paraId="122DF099" w14:textId="77777777" w:rsidR="00826C07" w:rsidRPr="00286216" w:rsidRDefault="00826C07" w:rsidP="00826C07">
            <w:pPr>
              <w:pStyle w:val="StyleProp"/>
              <w:spacing w:line="190" w:lineRule="exact"/>
              <w:rPr>
                <w:color w:val="000000" w:themeColor="text1"/>
              </w:rPr>
            </w:pPr>
            <w:r w:rsidRPr="00286216">
              <w:rPr>
                <w:color w:val="000000" w:themeColor="text1"/>
              </w:rPr>
              <w:t>а) назву статті, а також частини першу та третю після слова «контори» доповнити словами «або на рахунок ескроу»;</w:t>
            </w:r>
          </w:p>
          <w:p w14:paraId="03E83E71" w14:textId="647490AD" w:rsidR="00826C07" w:rsidRPr="00286216" w:rsidRDefault="00826C07" w:rsidP="00826C07">
            <w:pPr>
              <w:pStyle w:val="StyleProp"/>
              <w:spacing w:line="190" w:lineRule="exact"/>
              <w:rPr>
                <w:color w:val="000000" w:themeColor="text1"/>
              </w:rPr>
            </w:pPr>
            <w:r w:rsidRPr="00286216">
              <w:rPr>
                <w:color w:val="000000" w:themeColor="text1"/>
              </w:rPr>
              <w:t>б) у частині третій слово «бездокументарній» замінити словом «електронній», а слово «документарній» замінити словом «письмовій»».</w:t>
            </w:r>
          </w:p>
        </w:tc>
        <w:tc>
          <w:tcPr>
            <w:tcW w:w="1987" w:type="dxa"/>
          </w:tcPr>
          <w:p w14:paraId="7FB01BDC" w14:textId="77777777" w:rsidR="00826C07" w:rsidRPr="00286216" w:rsidRDefault="00826C07" w:rsidP="00826C07">
            <w:pPr>
              <w:pStyle w:val="StyleWisnow"/>
              <w:rPr>
                <w:color w:val="000000" w:themeColor="text1"/>
              </w:rPr>
            </w:pPr>
            <w:r w:rsidRPr="00286216">
              <w:rPr>
                <w:color w:val="000000" w:themeColor="text1"/>
              </w:rPr>
              <w:t>Враховано редакційно</w:t>
            </w:r>
          </w:p>
        </w:tc>
        <w:tc>
          <w:tcPr>
            <w:tcW w:w="4818" w:type="dxa"/>
          </w:tcPr>
          <w:p w14:paraId="2229CA93" w14:textId="35B1E175" w:rsidR="00826C07" w:rsidRPr="00286216" w:rsidRDefault="00826C07" w:rsidP="00923498">
            <w:pPr>
              <w:pStyle w:val="StyleZakonu"/>
              <w:rPr>
                <w:color w:val="000000" w:themeColor="text1"/>
              </w:rPr>
            </w:pPr>
            <w:r w:rsidRPr="00286216">
              <w:rPr>
                <w:color w:val="000000" w:themeColor="text1"/>
              </w:rPr>
              <w:t xml:space="preserve">6) у </w:t>
            </w:r>
            <w:r w:rsidR="00B573A4" w:rsidRPr="00286216">
              <w:rPr>
                <w:color w:val="000000" w:themeColor="text1"/>
              </w:rPr>
              <w:t xml:space="preserve">частині першій </w:t>
            </w:r>
            <w:r w:rsidRPr="00286216">
              <w:rPr>
                <w:color w:val="000000" w:themeColor="text1"/>
              </w:rPr>
              <w:t>статті 389 слово «документарній» замінити словом «письмовій»;</w:t>
            </w:r>
          </w:p>
          <w:p w14:paraId="384D226C" w14:textId="77777777" w:rsidR="00826C07" w:rsidRPr="00286216" w:rsidRDefault="00826C07" w:rsidP="005E439C">
            <w:pPr>
              <w:pStyle w:val="StyleZakonu"/>
              <w:rPr>
                <w:color w:val="000000" w:themeColor="text1"/>
              </w:rPr>
            </w:pPr>
            <w:r w:rsidRPr="00286216">
              <w:rPr>
                <w:color w:val="000000" w:themeColor="text1"/>
              </w:rPr>
              <w:t>7) у статті 537:</w:t>
            </w:r>
          </w:p>
          <w:p w14:paraId="022E6BD8" w14:textId="19D34CE6" w:rsidR="00826C07" w:rsidRPr="00286216" w:rsidRDefault="00826C07" w:rsidP="009B61A3">
            <w:pPr>
              <w:pStyle w:val="StyleZakonu"/>
              <w:rPr>
                <w:color w:val="000000" w:themeColor="text1"/>
              </w:rPr>
            </w:pPr>
            <w:r w:rsidRPr="00286216">
              <w:rPr>
                <w:color w:val="000000" w:themeColor="text1"/>
              </w:rPr>
              <w:t>а) назву</w:t>
            </w:r>
            <w:r w:rsidR="00B573A4" w:rsidRPr="00286216">
              <w:rPr>
                <w:color w:val="000000" w:themeColor="text1"/>
              </w:rPr>
              <w:t xml:space="preserve"> та</w:t>
            </w:r>
            <w:r w:rsidRPr="00286216">
              <w:rPr>
                <w:color w:val="000000" w:themeColor="text1"/>
              </w:rPr>
              <w:t xml:space="preserve"> </w:t>
            </w:r>
            <w:r w:rsidR="00B573A4" w:rsidRPr="00286216">
              <w:rPr>
                <w:color w:val="000000" w:themeColor="text1"/>
              </w:rPr>
              <w:t xml:space="preserve">абзац перший </w:t>
            </w:r>
            <w:r w:rsidRPr="00286216">
              <w:rPr>
                <w:color w:val="000000" w:themeColor="text1"/>
              </w:rPr>
              <w:t>частини перш</w:t>
            </w:r>
            <w:r w:rsidR="00B573A4" w:rsidRPr="00286216">
              <w:rPr>
                <w:color w:val="000000" w:themeColor="text1"/>
              </w:rPr>
              <w:t>ої</w:t>
            </w:r>
            <w:r w:rsidRPr="00286216">
              <w:rPr>
                <w:color w:val="000000" w:themeColor="text1"/>
              </w:rPr>
              <w:t xml:space="preserve"> після слова «контори» доповнити словами «або на рахунок ескроу»;</w:t>
            </w:r>
          </w:p>
          <w:p w14:paraId="4C915486" w14:textId="77777777" w:rsidR="00826C07" w:rsidRPr="00286216" w:rsidRDefault="00826C07" w:rsidP="00BD3916">
            <w:pPr>
              <w:pStyle w:val="StyleZakonu"/>
              <w:rPr>
                <w:color w:val="000000" w:themeColor="text1"/>
              </w:rPr>
            </w:pPr>
            <w:r w:rsidRPr="00286216">
              <w:rPr>
                <w:color w:val="000000" w:themeColor="text1"/>
              </w:rPr>
              <w:t>б) у частині третій:</w:t>
            </w:r>
          </w:p>
          <w:p w14:paraId="66F498AF" w14:textId="77777777" w:rsidR="00923498" w:rsidRPr="00286216" w:rsidRDefault="00923498" w:rsidP="00BD3916">
            <w:pPr>
              <w:pStyle w:val="StyleZakonu"/>
              <w:rPr>
                <w:color w:val="000000" w:themeColor="text1"/>
              </w:rPr>
            </w:pPr>
            <w:r w:rsidRPr="00286216">
              <w:rPr>
                <w:color w:val="000000" w:themeColor="text1"/>
              </w:rPr>
              <w:t>абзац перший викласти у такій редакції:</w:t>
            </w:r>
          </w:p>
          <w:p w14:paraId="7BC0C300" w14:textId="3F4F57AA" w:rsidR="00826C07" w:rsidRPr="00286216" w:rsidRDefault="00826C07" w:rsidP="004F1E44">
            <w:pPr>
              <w:pStyle w:val="StyleZakonu"/>
              <w:rPr>
                <w:color w:val="000000" w:themeColor="text1"/>
              </w:rPr>
            </w:pPr>
          </w:p>
        </w:tc>
      </w:tr>
      <w:tr w:rsidR="00826C07" w:rsidRPr="00286216" w14:paraId="70F75DEA" w14:textId="77777777" w:rsidTr="00091AA5">
        <w:tc>
          <w:tcPr>
            <w:tcW w:w="576" w:type="dxa"/>
          </w:tcPr>
          <w:p w14:paraId="50E4BCAE" w14:textId="77777777" w:rsidR="00826C07" w:rsidRPr="00286216" w:rsidRDefault="00826C07" w:rsidP="00826C07">
            <w:pPr>
              <w:pStyle w:val="StyleWisnow"/>
              <w:rPr>
                <w:color w:val="000000" w:themeColor="text1"/>
              </w:rPr>
            </w:pPr>
          </w:p>
        </w:tc>
        <w:tc>
          <w:tcPr>
            <w:tcW w:w="4818" w:type="dxa"/>
          </w:tcPr>
          <w:p w14:paraId="72273214" w14:textId="77777777" w:rsidR="00826C07" w:rsidRPr="00286216" w:rsidRDefault="00826C07" w:rsidP="00826C07">
            <w:pPr>
              <w:pStyle w:val="StyleZakonu"/>
              <w:rPr>
                <w:color w:val="000000" w:themeColor="text1"/>
              </w:rPr>
            </w:pPr>
          </w:p>
        </w:tc>
        <w:tc>
          <w:tcPr>
            <w:tcW w:w="3686" w:type="dxa"/>
          </w:tcPr>
          <w:p w14:paraId="64B9256B" w14:textId="16031645"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27A26E1" w14:textId="77777777" w:rsidR="00826C07" w:rsidRPr="00286216" w:rsidRDefault="00826C07" w:rsidP="00826C07">
            <w:pPr>
              <w:pStyle w:val="StyleProp"/>
              <w:rPr>
                <w:color w:val="000000" w:themeColor="text1"/>
              </w:rPr>
            </w:pPr>
            <w:r w:rsidRPr="00286216">
              <w:rPr>
                <w:color w:val="000000" w:themeColor="text1"/>
              </w:rPr>
              <w:t>Підпункт 6 пункту 5 розділу 3 доповнити абзацом такого змісту:</w:t>
            </w:r>
          </w:p>
          <w:p w14:paraId="004649E4" w14:textId="701F225D" w:rsidR="00826C07" w:rsidRPr="00286216" w:rsidRDefault="00826C07" w:rsidP="00826C07">
            <w:pPr>
              <w:pStyle w:val="StyleProp"/>
              <w:rPr>
                <w:color w:val="000000" w:themeColor="text1"/>
              </w:rPr>
            </w:pPr>
            <w:r w:rsidRPr="00286216">
              <w:rPr>
                <w:color w:val="000000" w:themeColor="text1"/>
              </w:rPr>
              <w:t>"у частині третій після слів «(нотаріальної контори)» доповнити словами «або на відповідний рахунок ескроу в цінних паперах»;</w:t>
            </w:r>
          </w:p>
        </w:tc>
        <w:tc>
          <w:tcPr>
            <w:tcW w:w="1987" w:type="dxa"/>
          </w:tcPr>
          <w:p w14:paraId="238D53F2" w14:textId="77777777" w:rsidR="00826C07" w:rsidRPr="00286216" w:rsidRDefault="00826C07" w:rsidP="00826C07">
            <w:pPr>
              <w:pStyle w:val="StyleWisnow"/>
              <w:spacing w:line="180" w:lineRule="exact"/>
              <w:rPr>
                <w:color w:val="000000" w:themeColor="text1"/>
              </w:rPr>
            </w:pPr>
            <w:r w:rsidRPr="00286216">
              <w:rPr>
                <w:color w:val="000000" w:themeColor="text1"/>
              </w:rPr>
              <w:t>Враховано редакційно</w:t>
            </w:r>
          </w:p>
        </w:tc>
        <w:tc>
          <w:tcPr>
            <w:tcW w:w="4818" w:type="dxa"/>
          </w:tcPr>
          <w:p w14:paraId="7A170EC5" w14:textId="61E2DD23" w:rsidR="00B573A4" w:rsidRPr="00286216" w:rsidRDefault="00B573A4" w:rsidP="00923498">
            <w:pPr>
              <w:pStyle w:val="StyleZakonu"/>
              <w:rPr>
                <w:color w:val="000000" w:themeColor="text1"/>
              </w:rPr>
            </w:pPr>
          </w:p>
          <w:p w14:paraId="62C07FDC" w14:textId="470AA469" w:rsidR="00923498" w:rsidRPr="00286216" w:rsidRDefault="00923498" w:rsidP="00923498">
            <w:pPr>
              <w:pStyle w:val="StyleZakonu"/>
              <w:rPr>
                <w:rStyle w:val="rvts0"/>
                <w:color w:val="000000" w:themeColor="text1"/>
              </w:rPr>
            </w:pPr>
            <w:r w:rsidRPr="00286216">
              <w:rPr>
                <w:rStyle w:val="rvts0"/>
                <w:color w:val="000000" w:themeColor="text1"/>
              </w:rPr>
              <w:t>"</w:t>
            </w:r>
            <w:r w:rsidR="00B573A4" w:rsidRPr="00286216">
              <w:rPr>
                <w:rStyle w:val="rvts0"/>
                <w:color w:val="000000" w:themeColor="text1"/>
              </w:rPr>
              <w:t xml:space="preserve">3. Порядок внесення цінних паперів, що існують </w:t>
            </w:r>
            <w:r w:rsidRPr="00286216">
              <w:rPr>
                <w:rStyle w:val="rvts0"/>
                <w:color w:val="000000" w:themeColor="text1"/>
                <w:lang w:val="ru-RU"/>
              </w:rPr>
              <w:t>в</w:t>
            </w:r>
            <w:r w:rsidR="00B573A4" w:rsidRPr="00286216">
              <w:rPr>
                <w:rStyle w:val="rvts0"/>
                <w:color w:val="000000" w:themeColor="text1"/>
              </w:rPr>
              <w:t xml:space="preserve"> </w:t>
            </w:r>
            <w:r w:rsidRPr="00286216">
              <w:rPr>
                <w:color w:val="000000" w:themeColor="text1"/>
              </w:rPr>
              <w:t>електронній</w:t>
            </w:r>
            <w:r w:rsidRPr="00286216">
              <w:rPr>
                <w:rStyle w:val="rvts0"/>
                <w:color w:val="000000" w:themeColor="text1"/>
              </w:rPr>
              <w:t xml:space="preserve"> </w:t>
            </w:r>
            <w:r w:rsidR="00B573A4" w:rsidRPr="00286216">
              <w:rPr>
                <w:rStyle w:val="rvts0"/>
                <w:color w:val="000000" w:themeColor="text1"/>
              </w:rPr>
              <w:t>формі, в депозит нотаріуса (нотаріальної контори</w:t>
            </w:r>
            <w:r w:rsidRPr="00286216">
              <w:rPr>
                <w:rStyle w:val="rvts0"/>
                <w:color w:val="000000" w:themeColor="text1"/>
                <w:lang w:val="ru-RU"/>
              </w:rPr>
              <w:t>)</w:t>
            </w:r>
            <w:r w:rsidRPr="00286216">
              <w:rPr>
                <w:rStyle w:val="rvts0"/>
                <w:color w:val="000000" w:themeColor="text1"/>
              </w:rPr>
              <w:t xml:space="preserve"> </w:t>
            </w:r>
            <w:r w:rsidRPr="00286216">
              <w:rPr>
                <w:color w:val="000000" w:themeColor="text1"/>
              </w:rPr>
              <w:t xml:space="preserve">або </w:t>
            </w:r>
            <w:r w:rsidR="00B573A4" w:rsidRPr="00286216">
              <w:rPr>
                <w:color w:val="000000" w:themeColor="text1"/>
              </w:rPr>
              <w:t>на відповідний рахунок ескроу в цінних паперах</w:t>
            </w:r>
            <w:r w:rsidR="00B573A4" w:rsidRPr="00286216">
              <w:rPr>
                <w:rStyle w:val="rvts0"/>
                <w:color w:val="000000" w:themeColor="text1"/>
              </w:rPr>
              <w:t xml:space="preserve"> встановлюється законодавством про депозитарну систему України</w:t>
            </w:r>
            <w:r w:rsidRPr="00286216">
              <w:rPr>
                <w:rStyle w:val="rvts0"/>
                <w:color w:val="000000" w:themeColor="text1"/>
              </w:rPr>
              <w:t>";</w:t>
            </w:r>
          </w:p>
          <w:p w14:paraId="7FDA3384" w14:textId="3D8486D5" w:rsidR="00B573A4" w:rsidRPr="00286216" w:rsidRDefault="00923498" w:rsidP="00923498">
            <w:pPr>
              <w:pStyle w:val="StyleZakonu"/>
              <w:rPr>
                <w:color w:val="000000" w:themeColor="text1"/>
              </w:rPr>
            </w:pPr>
            <w:r w:rsidRPr="00286216">
              <w:rPr>
                <w:rStyle w:val="rvts0"/>
                <w:color w:val="000000" w:themeColor="text1"/>
              </w:rPr>
              <w:t>в абзаці другому слово "</w:t>
            </w:r>
            <w:r w:rsidRPr="00286216">
              <w:rPr>
                <w:color w:val="000000" w:themeColor="text1"/>
              </w:rPr>
              <w:t>документарній" замінити словом "письмовій";</w:t>
            </w:r>
          </w:p>
        </w:tc>
      </w:tr>
      <w:tr w:rsidR="00826C07" w:rsidRPr="00286216" w14:paraId="61AAF8F2" w14:textId="77777777" w:rsidTr="00091AA5">
        <w:tc>
          <w:tcPr>
            <w:tcW w:w="576" w:type="dxa"/>
          </w:tcPr>
          <w:p w14:paraId="5CDAC9B9" w14:textId="77777777" w:rsidR="00826C07" w:rsidRPr="00286216" w:rsidRDefault="00826C07" w:rsidP="00826C07">
            <w:pPr>
              <w:pStyle w:val="StyleWisnow"/>
              <w:rPr>
                <w:color w:val="000000" w:themeColor="text1"/>
              </w:rPr>
            </w:pPr>
            <w:bookmarkStart w:id="2576" w:name="n2705" w:colFirst="0" w:colLast="0"/>
            <w:bookmarkEnd w:id="2575"/>
            <w:r w:rsidRPr="00286216">
              <w:rPr>
                <w:color w:val="000000" w:themeColor="text1"/>
              </w:rPr>
              <w:t>2705.</w:t>
            </w:r>
          </w:p>
        </w:tc>
        <w:tc>
          <w:tcPr>
            <w:tcW w:w="4818" w:type="dxa"/>
          </w:tcPr>
          <w:p w14:paraId="5079B7D1" w14:textId="77777777" w:rsidR="00826C07" w:rsidRPr="00286216" w:rsidRDefault="00826C07" w:rsidP="00826C07">
            <w:pPr>
              <w:pStyle w:val="StyleZakonu"/>
              <w:rPr>
                <w:color w:val="000000" w:themeColor="text1"/>
              </w:rPr>
            </w:pPr>
            <w:r w:rsidRPr="00286216">
              <w:rPr>
                <w:color w:val="000000" w:themeColor="text1"/>
              </w:rPr>
              <w:t>7) частину першу статті 572 після слів "забезпеченого заставою" доповнити словами ", а також в інших випадках, встановлених законом";</w:t>
            </w:r>
          </w:p>
        </w:tc>
        <w:tc>
          <w:tcPr>
            <w:tcW w:w="3686" w:type="dxa"/>
          </w:tcPr>
          <w:p w14:paraId="688D9F32" w14:textId="77777777" w:rsidR="00826C07" w:rsidRPr="00286216" w:rsidRDefault="00826C07" w:rsidP="00826C07">
            <w:pPr>
              <w:pStyle w:val="StyleProp"/>
              <w:rPr>
                <w:color w:val="000000" w:themeColor="text1"/>
                <w:szCs w:val="18"/>
              </w:rPr>
            </w:pPr>
          </w:p>
        </w:tc>
        <w:tc>
          <w:tcPr>
            <w:tcW w:w="1987" w:type="dxa"/>
          </w:tcPr>
          <w:p w14:paraId="1C212BF0" w14:textId="77777777" w:rsidR="00826C07" w:rsidRPr="00286216" w:rsidRDefault="00826C07" w:rsidP="00826C07">
            <w:pPr>
              <w:pStyle w:val="StyleWisnow"/>
              <w:rPr>
                <w:color w:val="000000" w:themeColor="text1"/>
              </w:rPr>
            </w:pPr>
          </w:p>
        </w:tc>
        <w:tc>
          <w:tcPr>
            <w:tcW w:w="4818" w:type="dxa"/>
          </w:tcPr>
          <w:p w14:paraId="3F9F69CF" w14:textId="574A7363" w:rsidR="00826C07" w:rsidRPr="00286216" w:rsidRDefault="00826C07" w:rsidP="00923498">
            <w:pPr>
              <w:pStyle w:val="StyleZakonu"/>
              <w:rPr>
                <w:color w:val="000000" w:themeColor="text1"/>
              </w:rPr>
            </w:pPr>
            <w:r w:rsidRPr="00286216">
              <w:rPr>
                <w:color w:val="000000" w:themeColor="text1"/>
              </w:rPr>
              <w:t>8) частину першу статті 572 після слів "забезпеченого заставою" доповнити словами "а також в інших випадках, встановлених законом";</w:t>
            </w:r>
          </w:p>
        </w:tc>
      </w:tr>
      <w:tr w:rsidR="00826C07" w:rsidRPr="00286216" w14:paraId="154DC691" w14:textId="77777777" w:rsidTr="00091AA5">
        <w:tc>
          <w:tcPr>
            <w:tcW w:w="576" w:type="dxa"/>
          </w:tcPr>
          <w:p w14:paraId="771D5871" w14:textId="77777777" w:rsidR="00826C07" w:rsidRPr="00286216" w:rsidRDefault="00826C07" w:rsidP="00826C07">
            <w:pPr>
              <w:pStyle w:val="StyleWisnow"/>
              <w:rPr>
                <w:color w:val="000000" w:themeColor="text1"/>
              </w:rPr>
            </w:pPr>
            <w:bookmarkStart w:id="2577" w:name="n2706" w:colFirst="0" w:colLast="0"/>
            <w:bookmarkEnd w:id="2576"/>
            <w:r w:rsidRPr="00286216">
              <w:rPr>
                <w:color w:val="000000" w:themeColor="text1"/>
              </w:rPr>
              <w:t>2706.</w:t>
            </w:r>
          </w:p>
        </w:tc>
        <w:tc>
          <w:tcPr>
            <w:tcW w:w="4818" w:type="dxa"/>
          </w:tcPr>
          <w:p w14:paraId="3BD6E2E8" w14:textId="77777777" w:rsidR="00826C07" w:rsidRPr="00286216" w:rsidRDefault="00826C07" w:rsidP="00826C07">
            <w:pPr>
              <w:pStyle w:val="StyleZakonu"/>
              <w:rPr>
                <w:color w:val="000000" w:themeColor="text1"/>
              </w:rPr>
            </w:pPr>
            <w:r w:rsidRPr="00286216">
              <w:rPr>
                <w:color w:val="000000" w:themeColor="text1"/>
              </w:rPr>
              <w:t>8) частину другу статті 576 після слова "заставодавець набуде" доповнити словами "та/або може набути";</w:t>
            </w:r>
          </w:p>
        </w:tc>
        <w:tc>
          <w:tcPr>
            <w:tcW w:w="3686" w:type="dxa"/>
          </w:tcPr>
          <w:p w14:paraId="3DCBC1DD" w14:textId="77777777" w:rsidR="00826C07" w:rsidRPr="00286216" w:rsidRDefault="00826C07" w:rsidP="00826C07">
            <w:pPr>
              <w:pStyle w:val="StyleProp"/>
              <w:rPr>
                <w:color w:val="000000" w:themeColor="text1"/>
                <w:szCs w:val="18"/>
              </w:rPr>
            </w:pPr>
          </w:p>
        </w:tc>
        <w:tc>
          <w:tcPr>
            <w:tcW w:w="1987" w:type="dxa"/>
          </w:tcPr>
          <w:p w14:paraId="4CD8FE1F" w14:textId="77777777" w:rsidR="00826C07" w:rsidRPr="00286216" w:rsidRDefault="00826C07" w:rsidP="00826C07">
            <w:pPr>
              <w:pStyle w:val="StyleWisnow"/>
              <w:rPr>
                <w:color w:val="000000" w:themeColor="text1"/>
              </w:rPr>
            </w:pPr>
          </w:p>
        </w:tc>
        <w:tc>
          <w:tcPr>
            <w:tcW w:w="4818" w:type="dxa"/>
          </w:tcPr>
          <w:p w14:paraId="3B99C600" w14:textId="5DA96D58" w:rsidR="00826C07" w:rsidRPr="00286216" w:rsidRDefault="00826C07" w:rsidP="00923498">
            <w:pPr>
              <w:pStyle w:val="StyleZakonu"/>
              <w:rPr>
                <w:color w:val="000000" w:themeColor="text1"/>
              </w:rPr>
            </w:pPr>
            <w:r w:rsidRPr="00286216">
              <w:rPr>
                <w:color w:val="000000" w:themeColor="text1"/>
              </w:rPr>
              <w:t>9) частину другу статті 576 після сл</w:t>
            </w:r>
            <w:r w:rsidR="00923498" w:rsidRPr="00286216">
              <w:rPr>
                <w:color w:val="000000" w:themeColor="text1"/>
              </w:rPr>
              <w:t>і</w:t>
            </w:r>
            <w:r w:rsidRPr="00286216">
              <w:rPr>
                <w:color w:val="000000" w:themeColor="text1"/>
              </w:rPr>
              <w:t>в "заставодавець набуде" доповнити словами "та/або може набути";</w:t>
            </w:r>
          </w:p>
        </w:tc>
      </w:tr>
      <w:tr w:rsidR="00826C07" w:rsidRPr="00286216" w14:paraId="5B62E3A8" w14:textId="77777777" w:rsidTr="00091AA5">
        <w:tc>
          <w:tcPr>
            <w:tcW w:w="576" w:type="dxa"/>
          </w:tcPr>
          <w:p w14:paraId="63C776F9" w14:textId="77777777" w:rsidR="00826C07" w:rsidRPr="00286216" w:rsidRDefault="00826C07" w:rsidP="00826C07">
            <w:pPr>
              <w:pStyle w:val="StyleWisnow"/>
              <w:rPr>
                <w:color w:val="000000" w:themeColor="text1"/>
              </w:rPr>
            </w:pPr>
            <w:bookmarkStart w:id="2578" w:name="n2707" w:colFirst="0" w:colLast="0"/>
            <w:bookmarkEnd w:id="2577"/>
            <w:r w:rsidRPr="00286216">
              <w:rPr>
                <w:color w:val="000000" w:themeColor="text1"/>
              </w:rPr>
              <w:t>2707.</w:t>
            </w:r>
          </w:p>
        </w:tc>
        <w:tc>
          <w:tcPr>
            <w:tcW w:w="4818" w:type="dxa"/>
          </w:tcPr>
          <w:p w14:paraId="762C278A" w14:textId="77777777" w:rsidR="00826C07" w:rsidRPr="00286216" w:rsidRDefault="00826C07" w:rsidP="00826C07">
            <w:pPr>
              <w:pStyle w:val="StyleZakonu"/>
              <w:rPr>
                <w:color w:val="000000" w:themeColor="text1"/>
              </w:rPr>
            </w:pPr>
            <w:r w:rsidRPr="00286216">
              <w:rPr>
                <w:color w:val="000000" w:themeColor="text1"/>
              </w:rPr>
              <w:t>9) частину першу статті 589 після слів "забезпеченого заставою" доповнити словами ", а також в інших випадках, встановлених законом";</w:t>
            </w:r>
          </w:p>
        </w:tc>
        <w:tc>
          <w:tcPr>
            <w:tcW w:w="3686" w:type="dxa"/>
          </w:tcPr>
          <w:p w14:paraId="16F5C75B" w14:textId="77777777" w:rsidR="00826C07" w:rsidRPr="00286216" w:rsidRDefault="00826C07" w:rsidP="00826C07">
            <w:pPr>
              <w:pStyle w:val="StyleProp"/>
              <w:rPr>
                <w:color w:val="000000" w:themeColor="text1"/>
                <w:szCs w:val="18"/>
              </w:rPr>
            </w:pPr>
          </w:p>
        </w:tc>
        <w:tc>
          <w:tcPr>
            <w:tcW w:w="1987" w:type="dxa"/>
          </w:tcPr>
          <w:p w14:paraId="6DEDA906" w14:textId="77777777" w:rsidR="00826C07" w:rsidRPr="00286216" w:rsidRDefault="00826C07" w:rsidP="00826C07">
            <w:pPr>
              <w:pStyle w:val="StyleWisnow"/>
              <w:rPr>
                <w:color w:val="000000" w:themeColor="text1"/>
              </w:rPr>
            </w:pPr>
          </w:p>
        </w:tc>
        <w:tc>
          <w:tcPr>
            <w:tcW w:w="4818" w:type="dxa"/>
          </w:tcPr>
          <w:p w14:paraId="517A4982" w14:textId="47D4A3A2" w:rsidR="00826C07" w:rsidRPr="00286216" w:rsidRDefault="00826C07" w:rsidP="00923498">
            <w:pPr>
              <w:pStyle w:val="StyleZakonu"/>
              <w:rPr>
                <w:color w:val="000000" w:themeColor="text1"/>
              </w:rPr>
            </w:pPr>
            <w:r w:rsidRPr="00286216">
              <w:rPr>
                <w:color w:val="000000" w:themeColor="text1"/>
              </w:rPr>
              <w:t>10) частину першу статті 589 після слів "забезпеченого заставою" доповнити словами "а також в інших випадках, встановлених законом";</w:t>
            </w:r>
          </w:p>
        </w:tc>
      </w:tr>
      <w:tr w:rsidR="00826C07" w:rsidRPr="00286216" w14:paraId="4E2987E1" w14:textId="77777777" w:rsidTr="00091AA5">
        <w:tc>
          <w:tcPr>
            <w:tcW w:w="576" w:type="dxa"/>
          </w:tcPr>
          <w:p w14:paraId="7BC47F4A" w14:textId="77777777" w:rsidR="00826C07" w:rsidRPr="00286216" w:rsidRDefault="00826C07" w:rsidP="00826C07">
            <w:pPr>
              <w:pStyle w:val="StyleWisnow"/>
              <w:rPr>
                <w:color w:val="000000" w:themeColor="text1"/>
              </w:rPr>
            </w:pPr>
            <w:bookmarkStart w:id="2579" w:name="n2708" w:colFirst="0" w:colLast="0"/>
            <w:bookmarkEnd w:id="2578"/>
            <w:r w:rsidRPr="00286216">
              <w:rPr>
                <w:color w:val="000000" w:themeColor="text1"/>
              </w:rPr>
              <w:t>2708.</w:t>
            </w:r>
          </w:p>
        </w:tc>
        <w:tc>
          <w:tcPr>
            <w:tcW w:w="4818" w:type="dxa"/>
          </w:tcPr>
          <w:p w14:paraId="3C54433A" w14:textId="77777777" w:rsidR="00826C07" w:rsidRPr="00286216" w:rsidRDefault="00826C07" w:rsidP="00826C07">
            <w:pPr>
              <w:pStyle w:val="StyleZakonu"/>
              <w:rPr>
                <w:color w:val="000000" w:themeColor="text1"/>
              </w:rPr>
            </w:pPr>
            <w:r w:rsidRPr="00286216">
              <w:rPr>
                <w:color w:val="000000" w:themeColor="text1"/>
              </w:rPr>
              <w:t>10) пункт 3 частини другої статті 592 викласти в такій редакції:</w:t>
            </w:r>
          </w:p>
        </w:tc>
        <w:tc>
          <w:tcPr>
            <w:tcW w:w="3686" w:type="dxa"/>
          </w:tcPr>
          <w:p w14:paraId="07A3DFF7" w14:textId="77777777" w:rsidR="00826C07" w:rsidRPr="00286216" w:rsidRDefault="00826C07" w:rsidP="00826C07">
            <w:pPr>
              <w:pStyle w:val="StyleProp"/>
              <w:rPr>
                <w:color w:val="000000" w:themeColor="text1"/>
                <w:szCs w:val="18"/>
              </w:rPr>
            </w:pPr>
          </w:p>
        </w:tc>
        <w:tc>
          <w:tcPr>
            <w:tcW w:w="1987" w:type="dxa"/>
          </w:tcPr>
          <w:p w14:paraId="34D3BCAE" w14:textId="77777777" w:rsidR="00826C07" w:rsidRPr="00286216" w:rsidRDefault="00826C07" w:rsidP="00826C07">
            <w:pPr>
              <w:pStyle w:val="StyleWisnow"/>
              <w:rPr>
                <w:color w:val="000000" w:themeColor="text1"/>
              </w:rPr>
            </w:pPr>
          </w:p>
        </w:tc>
        <w:tc>
          <w:tcPr>
            <w:tcW w:w="4818" w:type="dxa"/>
          </w:tcPr>
          <w:p w14:paraId="39FA30A9" w14:textId="77777777" w:rsidR="00826C07" w:rsidRPr="00286216" w:rsidRDefault="00826C07" w:rsidP="00826C07">
            <w:pPr>
              <w:pStyle w:val="StyleZakonu"/>
              <w:rPr>
                <w:color w:val="000000" w:themeColor="text1"/>
              </w:rPr>
            </w:pPr>
            <w:r w:rsidRPr="00286216">
              <w:rPr>
                <w:color w:val="000000" w:themeColor="text1"/>
              </w:rPr>
              <w:t>11) пункт 3 частини другої статті 592 викласти в такій редакції:</w:t>
            </w:r>
          </w:p>
        </w:tc>
      </w:tr>
      <w:tr w:rsidR="00826C07" w:rsidRPr="00286216" w14:paraId="17B63716" w14:textId="77777777" w:rsidTr="00091AA5">
        <w:tc>
          <w:tcPr>
            <w:tcW w:w="576" w:type="dxa"/>
          </w:tcPr>
          <w:p w14:paraId="2A4E9D54" w14:textId="77777777" w:rsidR="00826C07" w:rsidRPr="00286216" w:rsidRDefault="00826C07" w:rsidP="00826C07">
            <w:pPr>
              <w:pStyle w:val="StyleWisnow"/>
              <w:rPr>
                <w:color w:val="000000" w:themeColor="text1"/>
              </w:rPr>
            </w:pPr>
            <w:bookmarkStart w:id="2580" w:name="n2709" w:colFirst="0" w:colLast="0"/>
            <w:bookmarkEnd w:id="2579"/>
            <w:r w:rsidRPr="00286216">
              <w:rPr>
                <w:color w:val="000000" w:themeColor="text1"/>
              </w:rPr>
              <w:t>2709.</w:t>
            </w:r>
          </w:p>
        </w:tc>
        <w:tc>
          <w:tcPr>
            <w:tcW w:w="4818" w:type="dxa"/>
          </w:tcPr>
          <w:p w14:paraId="24F66A25" w14:textId="77777777" w:rsidR="00826C07" w:rsidRPr="00286216" w:rsidRDefault="00826C07" w:rsidP="00826C07">
            <w:pPr>
              <w:pStyle w:val="StyleZakonu"/>
              <w:rPr>
                <w:color w:val="000000" w:themeColor="text1"/>
              </w:rPr>
            </w:pPr>
            <w:r w:rsidRPr="00286216">
              <w:rPr>
                <w:color w:val="000000" w:themeColor="text1"/>
              </w:rPr>
              <w:t xml:space="preserve">"3) в інших випадках, встановлених законом або </w:t>
            </w:r>
            <w:r w:rsidRPr="00286216">
              <w:rPr>
                <w:color w:val="000000" w:themeColor="text1"/>
              </w:rPr>
              <w:lastRenderedPageBreak/>
              <w:t>договором.";</w:t>
            </w:r>
          </w:p>
        </w:tc>
        <w:tc>
          <w:tcPr>
            <w:tcW w:w="3686" w:type="dxa"/>
          </w:tcPr>
          <w:p w14:paraId="1C52E3FC" w14:textId="77777777" w:rsidR="00826C07" w:rsidRPr="00286216" w:rsidRDefault="00826C07" w:rsidP="00826C07">
            <w:pPr>
              <w:pStyle w:val="StyleProp"/>
              <w:rPr>
                <w:color w:val="000000" w:themeColor="text1"/>
                <w:szCs w:val="18"/>
              </w:rPr>
            </w:pPr>
          </w:p>
        </w:tc>
        <w:tc>
          <w:tcPr>
            <w:tcW w:w="1987" w:type="dxa"/>
          </w:tcPr>
          <w:p w14:paraId="33010C85" w14:textId="77777777" w:rsidR="00826C07" w:rsidRPr="00286216" w:rsidRDefault="00826C07" w:rsidP="00826C07">
            <w:pPr>
              <w:pStyle w:val="StyleWisnow"/>
              <w:rPr>
                <w:color w:val="000000" w:themeColor="text1"/>
              </w:rPr>
            </w:pPr>
          </w:p>
        </w:tc>
        <w:tc>
          <w:tcPr>
            <w:tcW w:w="4818" w:type="dxa"/>
          </w:tcPr>
          <w:p w14:paraId="4A4A1937" w14:textId="49A0BAD0" w:rsidR="00826C07" w:rsidRPr="00286216" w:rsidRDefault="00826C07" w:rsidP="00826C07">
            <w:pPr>
              <w:pStyle w:val="StyleZakonu"/>
              <w:rPr>
                <w:color w:val="000000" w:themeColor="text1"/>
              </w:rPr>
            </w:pPr>
            <w:r w:rsidRPr="00286216">
              <w:rPr>
                <w:color w:val="000000" w:themeColor="text1"/>
              </w:rPr>
              <w:t xml:space="preserve">"3) в інших випадках, встановлених законом або </w:t>
            </w:r>
            <w:r w:rsidRPr="00286216">
              <w:rPr>
                <w:color w:val="000000" w:themeColor="text1"/>
              </w:rPr>
              <w:lastRenderedPageBreak/>
              <w:t>договором";</w:t>
            </w:r>
          </w:p>
        </w:tc>
      </w:tr>
      <w:tr w:rsidR="00826C07" w:rsidRPr="00286216" w14:paraId="5CF4E9AD" w14:textId="77777777" w:rsidTr="00091AA5">
        <w:tc>
          <w:tcPr>
            <w:tcW w:w="576" w:type="dxa"/>
          </w:tcPr>
          <w:p w14:paraId="446C143E" w14:textId="77777777" w:rsidR="00826C07" w:rsidRPr="00286216" w:rsidRDefault="00826C07" w:rsidP="00826C07">
            <w:pPr>
              <w:pStyle w:val="StyleWisnow"/>
              <w:rPr>
                <w:color w:val="000000" w:themeColor="text1"/>
              </w:rPr>
            </w:pPr>
          </w:p>
        </w:tc>
        <w:tc>
          <w:tcPr>
            <w:tcW w:w="4818" w:type="dxa"/>
          </w:tcPr>
          <w:p w14:paraId="015172C8" w14:textId="77777777" w:rsidR="00826C07" w:rsidRPr="00286216" w:rsidRDefault="00826C07" w:rsidP="00826C07">
            <w:pPr>
              <w:spacing w:after="120"/>
              <w:rPr>
                <w:color w:val="000000" w:themeColor="text1"/>
              </w:rPr>
            </w:pPr>
          </w:p>
        </w:tc>
        <w:tc>
          <w:tcPr>
            <w:tcW w:w="3686" w:type="dxa"/>
          </w:tcPr>
          <w:p w14:paraId="2CAD177B" w14:textId="5B04E75E" w:rsidR="00826C07" w:rsidRPr="00286216" w:rsidRDefault="00826C07" w:rsidP="00826C07">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1241</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76AA5B3" w14:textId="77777777" w:rsidR="00826C07" w:rsidRPr="00286216" w:rsidRDefault="00826C07" w:rsidP="00826C07">
            <w:pPr>
              <w:pStyle w:val="StyleProp"/>
              <w:rPr>
                <w:rFonts w:eastAsia="Calibri"/>
                <w:color w:val="000000" w:themeColor="text1"/>
                <w:szCs w:val="18"/>
                <w:lang w:eastAsia="en-US"/>
              </w:rPr>
            </w:pPr>
            <w:r w:rsidRPr="00286216">
              <w:rPr>
                <w:rFonts w:eastAsia="Calibri"/>
                <w:color w:val="000000" w:themeColor="text1"/>
                <w:szCs w:val="18"/>
                <w:lang w:eastAsia="en-US"/>
              </w:rPr>
              <w:t>Після підпункту 10) п.5 розділу 3 проекту доповнити новим підпунктом такого змісту:</w:t>
            </w:r>
          </w:p>
          <w:p w14:paraId="01F61A11" w14:textId="3E731759" w:rsidR="00826C07" w:rsidRPr="00286216" w:rsidRDefault="00826C07" w:rsidP="00826C07">
            <w:pPr>
              <w:pStyle w:val="StyleProp"/>
              <w:rPr>
                <w:color w:val="000000" w:themeColor="text1"/>
                <w:szCs w:val="18"/>
              </w:rPr>
            </w:pPr>
            <w:r w:rsidRPr="00286216">
              <w:rPr>
                <w:rFonts w:eastAsia="Calibri"/>
                <w:color w:val="000000" w:themeColor="text1"/>
                <w:szCs w:val="18"/>
                <w:lang w:eastAsia="en-US"/>
              </w:rPr>
              <w:t>«11) у частині другій статті 597</w:t>
            </w:r>
            <w:r w:rsidRPr="00286216">
              <w:rPr>
                <w:rFonts w:eastAsia="Calibri"/>
                <w:color w:val="000000" w:themeColor="text1"/>
                <w:szCs w:val="18"/>
                <w:vertAlign w:val="superscript"/>
                <w:lang w:eastAsia="en-US"/>
              </w:rPr>
              <w:t xml:space="preserve">2  </w:t>
            </w:r>
            <w:r w:rsidRPr="00286216">
              <w:rPr>
                <w:rFonts w:eastAsia="Calibri"/>
                <w:color w:val="000000" w:themeColor="text1"/>
                <w:szCs w:val="18"/>
                <w:lang w:eastAsia="en-US"/>
              </w:rPr>
              <w:t>слова «цінні папери» виключити»;</w:t>
            </w:r>
          </w:p>
        </w:tc>
        <w:tc>
          <w:tcPr>
            <w:tcW w:w="1987" w:type="dxa"/>
          </w:tcPr>
          <w:p w14:paraId="24D3CB50" w14:textId="50CEB853" w:rsidR="00826C07" w:rsidRPr="00286216" w:rsidRDefault="00826C07" w:rsidP="00826C07">
            <w:pPr>
              <w:spacing w:line="160" w:lineRule="exact"/>
              <w:rPr>
                <w:color w:val="000000" w:themeColor="text1"/>
                <w:sz w:val="18"/>
              </w:rPr>
            </w:pPr>
            <w:r w:rsidRPr="00286216">
              <w:rPr>
                <w:color w:val="000000" w:themeColor="text1"/>
                <w:sz w:val="18"/>
              </w:rPr>
              <w:t>Враховано</w:t>
            </w:r>
          </w:p>
        </w:tc>
        <w:tc>
          <w:tcPr>
            <w:tcW w:w="4818" w:type="dxa"/>
          </w:tcPr>
          <w:p w14:paraId="6C2B875D" w14:textId="27ABC9B0" w:rsidR="00826C07" w:rsidRPr="00286216" w:rsidRDefault="00826C07" w:rsidP="00826C07">
            <w:pPr>
              <w:pStyle w:val="StyleZakonu"/>
              <w:rPr>
                <w:color w:val="000000" w:themeColor="text1"/>
              </w:rPr>
            </w:pPr>
            <w:r w:rsidRPr="00286216">
              <w:rPr>
                <w:color w:val="000000" w:themeColor="text1"/>
              </w:rPr>
              <w:t xml:space="preserve">12) </w:t>
            </w:r>
            <w:r w:rsidRPr="00286216">
              <w:rPr>
                <w:rFonts w:eastAsia="Calibri"/>
                <w:color w:val="000000" w:themeColor="text1"/>
                <w:szCs w:val="18"/>
                <w:lang w:eastAsia="en-US"/>
              </w:rPr>
              <w:t>у частині другій статті 597</w:t>
            </w:r>
            <w:r w:rsidRPr="00286216">
              <w:rPr>
                <w:rFonts w:eastAsia="Calibri"/>
                <w:color w:val="000000" w:themeColor="text1"/>
                <w:szCs w:val="18"/>
                <w:vertAlign w:val="superscript"/>
                <w:lang w:eastAsia="en-US"/>
              </w:rPr>
              <w:t xml:space="preserve">2  </w:t>
            </w:r>
            <w:r w:rsidRPr="00286216">
              <w:rPr>
                <w:rFonts w:eastAsia="Calibri"/>
                <w:color w:val="000000" w:themeColor="text1"/>
                <w:szCs w:val="18"/>
                <w:lang w:eastAsia="en-US"/>
              </w:rPr>
              <w:t>слова "цінні папери" виключити;</w:t>
            </w:r>
          </w:p>
        </w:tc>
      </w:tr>
      <w:tr w:rsidR="00826C07" w:rsidRPr="00286216" w14:paraId="3D64B746" w14:textId="77777777" w:rsidTr="00091AA5">
        <w:tc>
          <w:tcPr>
            <w:tcW w:w="576" w:type="dxa"/>
          </w:tcPr>
          <w:p w14:paraId="3AB58B75" w14:textId="77777777" w:rsidR="00826C07" w:rsidRPr="00286216" w:rsidRDefault="00826C07" w:rsidP="00826C07">
            <w:pPr>
              <w:pStyle w:val="StyleWisnow"/>
              <w:rPr>
                <w:color w:val="000000" w:themeColor="text1"/>
              </w:rPr>
            </w:pPr>
            <w:bookmarkStart w:id="2581" w:name="n2710" w:colFirst="0" w:colLast="0"/>
            <w:bookmarkEnd w:id="2580"/>
            <w:r w:rsidRPr="00286216">
              <w:rPr>
                <w:color w:val="000000" w:themeColor="text1"/>
              </w:rPr>
              <w:t>2710.</w:t>
            </w:r>
          </w:p>
        </w:tc>
        <w:tc>
          <w:tcPr>
            <w:tcW w:w="4818" w:type="dxa"/>
          </w:tcPr>
          <w:p w14:paraId="61B3D9C6" w14:textId="77777777" w:rsidR="00826C07" w:rsidRPr="00286216" w:rsidRDefault="00826C07" w:rsidP="00826C07">
            <w:pPr>
              <w:pStyle w:val="StyleZakonu"/>
              <w:rPr>
                <w:color w:val="000000" w:themeColor="text1"/>
              </w:rPr>
            </w:pPr>
            <w:r w:rsidRPr="00286216">
              <w:rPr>
                <w:color w:val="000000" w:themeColor="text1"/>
              </w:rPr>
              <w:t>11) абзац перший частини третьої статті 598 викласти в такій редакції:</w:t>
            </w:r>
          </w:p>
        </w:tc>
        <w:tc>
          <w:tcPr>
            <w:tcW w:w="3686" w:type="dxa"/>
          </w:tcPr>
          <w:p w14:paraId="4BB66BB4" w14:textId="77777777" w:rsidR="00826C07" w:rsidRPr="00286216" w:rsidRDefault="00826C07" w:rsidP="00826C07">
            <w:pPr>
              <w:pStyle w:val="StyleProp"/>
              <w:rPr>
                <w:color w:val="000000" w:themeColor="text1"/>
                <w:szCs w:val="18"/>
              </w:rPr>
            </w:pPr>
          </w:p>
        </w:tc>
        <w:tc>
          <w:tcPr>
            <w:tcW w:w="1987" w:type="dxa"/>
          </w:tcPr>
          <w:p w14:paraId="304EAC03" w14:textId="77777777" w:rsidR="00826C07" w:rsidRPr="00286216" w:rsidRDefault="00826C07" w:rsidP="00826C07">
            <w:pPr>
              <w:pStyle w:val="StyleWisnow"/>
              <w:rPr>
                <w:color w:val="000000" w:themeColor="text1"/>
              </w:rPr>
            </w:pPr>
          </w:p>
        </w:tc>
        <w:tc>
          <w:tcPr>
            <w:tcW w:w="4818" w:type="dxa"/>
          </w:tcPr>
          <w:p w14:paraId="5529BDD7" w14:textId="656A93DF" w:rsidR="00826C07" w:rsidRPr="00286216" w:rsidRDefault="00826C07" w:rsidP="00923498">
            <w:pPr>
              <w:pStyle w:val="StyleZakonu"/>
              <w:rPr>
                <w:color w:val="000000" w:themeColor="text1"/>
              </w:rPr>
            </w:pPr>
            <w:r w:rsidRPr="00286216">
              <w:rPr>
                <w:color w:val="000000" w:themeColor="text1"/>
              </w:rPr>
              <w:t>13) частин</w:t>
            </w:r>
            <w:r w:rsidR="00923498" w:rsidRPr="00286216">
              <w:rPr>
                <w:color w:val="000000" w:themeColor="text1"/>
              </w:rPr>
              <w:t>у</w:t>
            </w:r>
            <w:r w:rsidRPr="00286216">
              <w:rPr>
                <w:color w:val="000000" w:themeColor="text1"/>
              </w:rPr>
              <w:t xml:space="preserve"> трет</w:t>
            </w:r>
            <w:r w:rsidR="00923498" w:rsidRPr="00286216">
              <w:rPr>
                <w:color w:val="000000" w:themeColor="text1"/>
              </w:rPr>
              <w:t>ю</w:t>
            </w:r>
            <w:r w:rsidRPr="00286216">
              <w:rPr>
                <w:color w:val="000000" w:themeColor="text1"/>
              </w:rPr>
              <w:t xml:space="preserve"> статті 598 викласти в такій редакції:</w:t>
            </w:r>
          </w:p>
        </w:tc>
      </w:tr>
      <w:tr w:rsidR="00826C07" w:rsidRPr="00286216" w14:paraId="6D085E75" w14:textId="77777777" w:rsidTr="00091AA5">
        <w:tc>
          <w:tcPr>
            <w:tcW w:w="576" w:type="dxa"/>
          </w:tcPr>
          <w:p w14:paraId="5BD7CDEC" w14:textId="77777777" w:rsidR="00826C07" w:rsidRPr="00286216" w:rsidRDefault="00826C07" w:rsidP="00826C07">
            <w:pPr>
              <w:pStyle w:val="StyleWisnow"/>
              <w:rPr>
                <w:color w:val="000000" w:themeColor="text1"/>
              </w:rPr>
            </w:pPr>
            <w:bookmarkStart w:id="2582" w:name="n2711" w:colFirst="0" w:colLast="0"/>
            <w:bookmarkEnd w:id="2581"/>
            <w:r w:rsidRPr="00286216">
              <w:rPr>
                <w:color w:val="000000" w:themeColor="text1"/>
              </w:rPr>
              <w:t>2711.</w:t>
            </w:r>
          </w:p>
        </w:tc>
        <w:tc>
          <w:tcPr>
            <w:tcW w:w="4818" w:type="dxa"/>
          </w:tcPr>
          <w:p w14:paraId="0103BA3E" w14:textId="77777777" w:rsidR="00826C07" w:rsidRPr="00286216" w:rsidRDefault="00826C07" w:rsidP="00826C07">
            <w:pPr>
              <w:pStyle w:val="StyleZakonu"/>
              <w:rPr>
                <w:color w:val="000000" w:themeColor="text1"/>
              </w:rPr>
            </w:pPr>
            <w:r w:rsidRPr="00286216">
              <w:rPr>
                <w:color w:val="000000" w:themeColor="text1"/>
              </w:rPr>
              <w:t>"3. Особливості припинення зобов’язань за правочинами щодо фінансових інструментів, вчиненими на організованому ринку капіталу та поза ним, встановлюються законодавством";</w:t>
            </w:r>
          </w:p>
        </w:tc>
        <w:tc>
          <w:tcPr>
            <w:tcW w:w="3686" w:type="dxa"/>
          </w:tcPr>
          <w:p w14:paraId="070C9865" w14:textId="77777777" w:rsidR="00826C07" w:rsidRPr="00286216" w:rsidRDefault="00826C07" w:rsidP="00826C07">
            <w:pPr>
              <w:pStyle w:val="StyleProp"/>
              <w:rPr>
                <w:color w:val="000000" w:themeColor="text1"/>
                <w:szCs w:val="18"/>
              </w:rPr>
            </w:pPr>
          </w:p>
        </w:tc>
        <w:tc>
          <w:tcPr>
            <w:tcW w:w="1987" w:type="dxa"/>
          </w:tcPr>
          <w:p w14:paraId="093F1331" w14:textId="77777777" w:rsidR="00826C07" w:rsidRPr="00286216" w:rsidRDefault="00826C07" w:rsidP="00826C07">
            <w:pPr>
              <w:pStyle w:val="StyleWisnow"/>
              <w:rPr>
                <w:color w:val="000000" w:themeColor="text1"/>
              </w:rPr>
            </w:pPr>
          </w:p>
        </w:tc>
        <w:tc>
          <w:tcPr>
            <w:tcW w:w="4818" w:type="dxa"/>
          </w:tcPr>
          <w:p w14:paraId="53CFFC21" w14:textId="77777777" w:rsidR="00826C07" w:rsidRPr="00286216" w:rsidRDefault="00826C07" w:rsidP="00826C07">
            <w:pPr>
              <w:pStyle w:val="StyleZakonu"/>
              <w:rPr>
                <w:color w:val="000000" w:themeColor="text1"/>
              </w:rPr>
            </w:pPr>
            <w:r w:rsidRPr="00286216">
              <w:rPr>
                <w:color w:val="000000" w:themeColor="text1"/>
              </w:rPr>
              <w:t>"3. Особливості припинення зобов’язань за правочинами щодо фінансових інструментів, вчиненими на організованому ринку капіталу та поза ним, встановлюються законодавством";</w:t>
            </w:r>
          </w:p>
        </w:tc>
      </w:tr>
      <w:tr w:rsidR="00826C07" w:rsidRPr="00286216" w14:paraId="15EF381D" w14:textId="77777777" w:rsidTr="00091AA5">
        <w:tc>
          <w:tcPr>
            <w:tcW w:w="576" w:type="dxa"/>
          </w:tcPr>
          <w:p w14:paraId="751C9634" w14:textId="77777777" w:rsidR="00826C07" w:rsidRPr="00286216" w:rsidRDefault="00826C07" w:rsidP="00826C07">
            <w:pPr>
              <w:pStyle w:val="StyleWisnow"/>
              <w:rPr>
                <w:color w:val="000000" w:themeColor="text1"/>
              </w:rPr>
            </w:pPr>
            <w:bookmarkStart w:id="2583" w:name="n2712" w:colFirst="0" w:colLast="0"/>
            <w:bookmarkEnd w:id="2582"/>
            <w:r w:rsidRPr="00286216">
              <w:rPr>
                <w:color w:val="000000" w:themeColor="text1"/>
              </w:rPr>
              <w:t>2712.</w:t>
            </w:r>
          </w:p>
        </w:tc>
        <w:tc>
          <w:tcPr>
            <w:tcW w:w="4818" w:type="dxa"/>
          </w:tcPr>
          <w:p w14:paraId="64BB31B7" w14:textId="77777777" w:rsidR="00826C07" w:rsidRPr="00286216" w:rsidRDefault="00826C07" w:rsidP="00826C07">
            <w:pPr>
              <w:pStyle w:val="StyleZakonu"/>
              <w:rPr>
                <w:color w:val="000000" w:themeColor="text1"/>
              </w:rPr>
            </w:pPr>
            <w:r w:rsidRPr="00286216">
              <w:rPr>
                <w:color w:val="000000" w:themeColor="text1"/>
              </w:rPr>
              <w:t>12) частину другу статті 604 доповнити новим абзацом такого змісту:</w:t>
            </w:r>
          </w:p>
        </w:tc>
        <w:tc>
          <w:tcPr>
            <w:tcW w:w="3686" w:type="dxa"/>
          </w:tcPr>
          <w:p w14:paraId="7C6F17D0" w14:textId="77777777" w:rsidR="00826C07" w:rsidRPr="00286216" w:rsidRDefault="00826C07" w:rsidP="00826C07">
            <w:pPr>
              <w:pStyle w:val="StyleProp"/>
              <w:rPr>
                <w:color w:val="000000" w:themeColor="text1"/>
                <w:szCs w:val="18"/>
              </w:rPr>
            </w:pPr>
          </w:p>
        </w:tc>
        <w:tc>
          <w:tcPr>
            <w:tcW w:w="1987" w:type="dxa"/>
          </w:tcPr>
          <w:p w14:paraId="4CF17AB3" w14:textId="77777777" w:rsidR="00826C07" w:rsidRPr="00286216" w:rsidRDefault="00826C07" w:rsidP="00826C07">
            <w:pPr>
              <w:pStyle w:val="StyleWisnow"/>
              <w:rPr>
                <w:color w:val="000000" w:themeColor="text1"/>
              </w:rPr>
            </w:pPr>
          </w:p>
        </w:tc>
        <w:tc>
          <w:tcPr>
            <w:tcW w:w="4818" w:type="dxa"/>
          </w:tcPr>
          <w:p w14:paraId="66FD13D8" w14:textId="44B7C3D4" w:rsidR="00826C07" w:rsidRPr="00286216" w:rsidRDefault="00826C07" w:rsidP="005E439C">
            <w:pPr>
              <w:pStyle w:val="StyleZakonu"/>
              <w:rPr>
                <w:color w:val="000000" w:themeColor="text1"/>
              </w:rPr>
            </w:pPr>
            <w:r w:rsidRPr="00286216">
              <w:rPr>
                <w:color w:val="000000" w:themeColor="text1"/>
              </w:rPr>
              <w:t xml:space="preserve">14) частину другу статті 604 доповнити абзацом </w:t>
            </w:r>
            <w:r w:rsidR="005E439C" w:rsidRPr="00286216">
              <w:rPr>
                <w:color w:val="000000" w:themeColor="text1"/>
              </w:rPr>
              <w:t xml:space="preserve">другим </w:t>
            </w:r>
            <w:r w:rsidRPr="00286216">
              <w:rPr>
                <w:color w:val="000000" w:themeColor="text1"/>
              </w:rPr>
              <w:t>такого змісту:</w:t>
            </w:r>
          </w:p>
        </w:tc>
      </w:tr>
      <w:tr w:rsidR="00826C07" w:rsidRPr="00286216" w14:paraId="757CBA15" w14:textId="77777777" w:rsidTr="00091AA5">
        <w:tc>
          <w:tcPr>
            <w:tcW w:w="576" w:type="dxa"/>
          </w:tcPr>
          <w:p w14:paraId="15486091" w14:textId="77777777" w:rsidR="00826C07" w:rsidRPr="00286216" w:rsidRDefault="00826C07" w:rsidP="00826C07">
            <w:pPr>
              <w:pStyle w:val="StyleWisnow"/>
              <w:rPr>
                <w:color w:val="000000" w:themeColor="text1"/>
              </w:rPr>
            </w:pPr>
            <w:bookmarkStart w:id="2584" w:name="n2713" w:colFirst="0" w:colLast="0"/>
            <w:bookmarkEnd w:id="2583"/>
            <w:r w:rsidRPr="00286216">
              <w:rPr>
                <w:color w:val="000000" w:themeColor="text1"/>
              </w:rPr>
              <w:t>2713.</w:t>
            </w:r>
          </w:p>
        </w:tc>
        <w:tc>
          <w:tcPr>
            <w:tcW w:w="4818" w:type="dxa"/>
          </w:tcPr>
          <w:p w14:paraId="14AD5EB7" w14:textId="77777777" w:rsidR="00826C07" w:rsidRPr="00286216" w:rsidRDefault="00826C07" w:rsidP="00826C07">
            <w:pPr>
              <w:pStyle w:val="StyleZakonu"/>
              <w:rPr>
                <w:color w:val="000000" w:themeColor="text1"/>
              </w:rPr>
            </w:pPr>
            <w:r w:rsidRPr="00286216">
              <w:rPr>
                <w:color w:val="000000" w:themeColor="text1"/>
              </w:rPr>
              <w:t>"У випадках, передбачених законом або договором, новація може здійснюватися щодо декількох первісних зобов’язань.";</w:t>
            </w:r>
          </w:p>
        </w:tc>
        <w:tc>
          <w:tcPr>
            <w:tcW w:w="3686" w:type="dxa"/>
          </w:tcPr>
          <w:p w14:paraId="5A174342" w14:textId="77777777" w:rsidR="00826C07" w:rsidRPr="00286216" w:rsidRDefault="00826C07" w:rsidP="00826C07">
            <w:pPr>
              <w:pStyle w:val="StyleProp"/>
              <w:rPr>
                <w:color w:val="000000" w:themeColor="text1"/>
                <w:szCs w:val="18"/>
              </w:rPr>
            </w:pPr>
          </w:p>
        </w:tc>
        <w:tc>
          <w:tcPr>
            <w:tcW w:w="1987" w:type="dxa"/>
          </w:tcPr>
          <w:p w14:paraId="497C1E55" w14:textId="77777777" w:rsidR="00826C07" w:rsidRPr="00286216" w:rsidRDefault="00826C07" w:rsidP="00826C07">
            <w:pPr>
              <w:pStyle w:val="StyleWisnow"/>
              <w:rPr>
                <w:color w:val="000000" w:themeColor="text1"/>
              </w:rPr>
            </w:pPr>
          </w:p>
        </w:tc>
        <w:tc>
          <w:tcPr>
            <w:tcW w:w="4818" w:type="dxa"/>
          </w:tcPr>
          <w:p w14:paraId="39A4772D" w14:textId="20CE6187" w:rsidR="00826C07" w:rsidRPr="00286216" w:rsidRDefault="00826C07" w:rsidP="00826C07">
            <w:pPr>
              <w:pStyle w:val="StyleZakonu"/>
              <w:rPr>
                <w:color w:val="000000" w:themeColor="text1"/>
              </w:rPr>
            </w:pPr>
            <w:r w:rsidRPr="00286216">
              <w:rPr>
                <w:color w:val="000000" w:themeColor="text1"/>
              </w:rPr>
              <w:t>"У випадках, передбачених законом або договором, новація може здійснюватися щодо декількох первісних зобов’язань";</w:t>
            </w:r>
          </w:p>
        </w:tc>
      </w:tr>
      <w:tr w:rsidR="00826C07" w:rsidRPr="00286216" w14:paraId="5B90DF57" w14:textId="77777777" w:rsidTr="00091AA5">
        <w:tc>
          <w:tcPr>
            <w:tcW w:w="576" w:type="dxa"/>
          </w:tcPr>
          <w:p w14:paraId="4CFBB56F" w14:textId="77777777" w:rsidR="00826C07" w:rsidRPr="00286216" w:rsidRDefault="00826C07" w:rsidP="00826C07">
            <w:pPr>
              <w:pStyle w:val="StyleWisnow"/>
              <w:rPr>
                <w:color w:val="000000" w:themeColor="text1"/>
              </w:rPr>
            </w:pPr>
            <w:bookmarkStart w:id="2585" w:name="n2714" w:colFirst="0" w:colLast="0"/>
            <w:bookmarkEnd w:id="2584"/>
            <w:r w:rsidRPr="00286216">
              <w:rPr>
                <w:color w:val="000000" w:themeColor="text1"/>
              </w:rPr>
              <w:t>2714.</w:t>
            </w:r>
          </w:p>
        </w:tc>
        <w:tc>
          <w:tcPr>
            <w:tcW w:w="4818" w:type="dxa"/>
          </w:tcPr>
          <w:p w14:paraId="6F6C3C43" w14:textId="77777777" w:rsidR="00826C07" w:rsidRPr="00286216" w:rsidRDefault="00826C07" w:rsidP="00826C07">
            <w:pPr>
              <w:pStyle w:val="StyleZakonu"/>
              <w:rPr>
                <w:color w:val="000000" w:themeColor="text1"/>
              </w:rPr>
            </w:pPr>
            <w:r w:rsidRPr="00286216">
              <w:rPr>
                <w:color w:val="000000" w:themeColor="text1"/>
              </w:rPr>
              <w:t>13) у частині першій статті 630 слова "оприлюднених у встановленому порядку" виключити;</w:t>
            </w:r>
          </w:p>
        </w:tc>
        <w:tc>
          <w:tcPr>
            <w:tcW w:w="3686" w:type="dxa"/>
          </w:tcPr>
          <w:p w14:paraId="2650C77C" w14:textId="77777777" w:rsidR="00826C07" w:rsidRPr="00286216" w:rsidRDefault="00826C07" w:rsidP="00826C07">
            <w:pPr>
              <w:pStyle w:val="StyleProp"/>
              <w:rPr>
                <w:color w:val="000000" w:themeColor="text1"/>
                <w:szCs w:val="18"/>
              </w:rPr>
            </w:pPr>
          </w:p>
        </w:tc>
        <w:tc>
          <w:tcPr>
            <w:tcW w:w="1987" w:type="dxa"/>
          </w:tcPr>
          <w:p w14:paraId="04019E51" w14:textId="77777777" w:rsidR="00826C07" w:rsidRPr="00286216" w:rsidRDefault="00826C07" w:rsidP="00826C07">
            <w:pPr>
              <w:pStyle w:val="StyleWisnow"/>
              <w:rPr>
                <w:color w:val="000000" w:themeColor="text1"/>
              </w:rPr>
            </w:pPr>
          </w:p>
        </w:tc>
        <w:tc>
          <w:tcPr>
            <w:tcW w:w="4818" w:type="dxa"/>
          </w:tcPr>
          <w:p w14:paraId="4D233ABA" w14:textId="281827BF" w:rsidR="00826C07" w:rsidRPr="00286216" w:rsidRDefault="00826C07" w:rsidP="005E439C">
            <w:pPr>
              <w:pStyle w:val="StyleZakonu"/>
              <w:rPr>
                <w:color w:val="000000" w:themeColor="text1"/>
              </w:rPr>
            </w:pPr>
            <w:r w:rsidRPr="00286216">
              <w:rPr>
                <w:color w:val="000000" w:themeColor="text1"/>
              </w:rPr>
              <w:t xml:space="preserve">15) </w:t>
            </w:r>
            <w:r w:rsidR="005E439C" w:rsidRPr="00286216">
              <w:rPr>
                <w:color w:val="000000" w:themeColor="text1"/>
              </w:rPr>
              <w:t xml:space="preserve">в абзаці першому </w:t>
            </w:r>
            <w:r w:rsidRPr="00286216">
              <w:rPr>
                <w:color w:val="000000" w:themeColor="text1"/>
              </w:rPr>
              <w:t>частин</w:t>
            </w:r>
            <w:r w:rsidR="005E439C" w:rsidRPr="00286216">
              <w:rPr>
                <w:color w:val="000000" w:themeColor="text1"/>
              </w:rPr>
              <w:t>и</w:t>
            </w:r>
            <w:r w:rsidRPr="00286216">
              <w:rPr>
                <w:color w:val="000000" w:themeColor="text1"/>
              </w:rPr>
              <w:t xml:space="preserve"> перш</w:t>
            </w:r>
            <w:r w:rsidR="005E439C" w:rsidRPr="00286216">
              <w:rPr>
                <w:color w:val="000000" w:themeColor="text1"/>
              </w:rPr>
              <w:t>ої</w:t>
            </w:r>
            <w:r w:rsidRPr="00286216">
              <w:rPr>
                <w:color w:val="000000" w:themeColor="text1"/>
              </w:rPr>
              <w:t xml:space="preserve"> статті 630 слова "оприлюднених у встановленому порядку" виключити;</w:t>
            </w:r>
          </w:p>
        </w:tc>
      </w:tr>
      <w:tr w:rsidR="00826C07" w:rsidRPr="00286216" w14:paraId="7F58DE95" w14:textId="77777777" w:rsidTr="00091AA5">
        <w:tc>
          <w:tcPr>
            <w:tcW w:w="576" w:type="dxa"/>
          </w:tcPr>
          <w:p w14:paraId="5FD4EA6A" w14:textId="77777777" w:rsidR="00826C07" w:rsidRPr="00286216" w:rsidRDefault="00826C07" w:rsidP="00826C07">
            <w:pPr>
              <w:pStyle w:val="StyleWisnow"/>
              <w:rPr>
                <w:color w:val="000000" w:themeColor="text1"/>
              </w:rPr>
            </w:pPr>
            <w:bookmarkStart w:id="2586" w:name="n2715" w:colFirst="0" w:colLast="0"/>
            <w:bookmarkEnd w:id="2585"/>
            <w:r w:rsidRPr="00286216">
              <w:rPr>
                <w:color w:val="000000" w:themeColor="text1"/>
              </w:rPr>
              <w:t>2715.</w:t>
            </w:r>
          </w:p>
        </w:tc>
        <w:tc>
          <w:tcPr>
            <w:tcW w:w="4818" w:type="dxa"/>
          </w:tcPr>
          <w:p w14:paraId="0631CE3C" w14:textId="77777777" w:rsidR="00826C07" w:rsidRPr="00286216" w:rsidRDefault="00826C07" w:rsidP="00826C07">
            <w:pPr>
              <w:pStyle w:val="StyleZakonu"/>
              <w:rPr>
                <w:color w:val="000000" w:themeColor="text1"/>
              </w:rPr>
            </w:pPr>
            <w:r w:rsidRPr="00286216">
              <w:rPr>
                <w:color w:val="000000" w:themeColor="text1"/>
              </w:rPr>
              <w:t>14) у частині першій статті 638 слова "в належній формі" виключити;</w:t>
            </w:r>
          </w:p>
        </w:tc>
        <w:tc>
          <w:tcPr>
            <w:tcW w:w="3686" w:type="dxa"/>
          </w:tcPr>
          <w:p w14:paraId="3FC19296" w14:textId="77777777" w:rsidR="00826C07" w:rsidRPr="00286216" w:rsidRDefault="00826C07" w:rsidP="00826C07">
            <w:pPr>
              <w:pStyle w:val="StyleProp"/>
              <w:rPr>
                <w:color w:val="000000" w:themeColor="text1"/>
                <w:szCs w:val="18"/>
              </w:rPr>
            </w:pPr>
          </w:p>
        </w:tc>
        <w:tc>
          <w:tcPr>
            <w:tcW w:w="1987" w:type="dxa"/>
          </w:tcPr>
          <w:p w14:paraId="00216694" w14:textId="77777777" w:rsidR="00826C07" w:rsidRPr="00286216" w:rsidRDefault="00826C07" w:rsidP="00826C07">
            <w:pPr>
              <w:pStyle w:val="StyleWisnow"/>
              <w:rPr>
                <w:color w:val="000000" w:themeColor="text1"/>
              </w:rPr>
            </w:pPr>
          </w:p>
        </w:tc>
        <w:tc>
          <w:tcPr>
            <w:tcW w:w="4818" w:type="dxa"/>
          </w:tcPr>
          <w:p w14:paraId="1C68E654" w14:textId="11F3463B" w:rsidR="00826C07" w:rsidRPr="00286216" w:rsidRDefault="00826C07" w:rsidP="00826C07">
            <w:pPr>
              <w:pStyle w:val="StyleZakonu"/>
              <w:rPr>
                <w:color w:val="000000" w:themeColor="text1"/>
              </w:rPr>
            </w:pPr>
            <w:r w:rsidRPr="00286216">
              <w:rPr>
                <w:color w:val="000000" w:themeColor="text1"/>
              </w:rPr>
              <w:t>16) у частині першій статті 638 слова "в належній формі" виключити;</w:t>
            </w:r>
          </w:p>
        </w:tc>
      </w:tr>
      <w:tr w:rsidR="00826C07" w:rsidRPr="00286216" w14:paraId="6F9749A9" w14:textId="77777777" w:rsidTr="00091AA5">
        <w:tc>
          <w:tcPr>
            <w:tcW w:w="576" w:type="dxa"/>
          </w:tcPr>
          <w:p w14:paraId="0F5FFFF4" w14:textId="77777777" w:rsidR="00826C07" w:rsidRPr="00286216" w:rsidRDefault="00826C07" w:rsidP="00826C07">
            <w:pPr>
              <w:pStyle w:val="StyleWisnow"/>
              <w:rPr>
                <w:color w:val="000000" w:themeColor="text1"/>
              </w:rPr>
            </w:pPr>
            <w:bookmarkStart w:id="2587" w:name="n2716" w:colFirst="0" w:colLast="0"/>
            <w:bookmarkEnd w:id="2586"/>
            <w:r w:rsidRPr="00286216">
              <w:rPr>
                <w:color w:val="000000" w:themeColor="text1"/>
              </w:rPr>
              <w:t>2716.</w:t>
            </w:r>
          </w:p>
        </w:tc>
        <w:tc>
          <w:tcPr>
            <w:tcW w:w="4818" w:type="dxa"/>
          </w:tcPr>
          <w:p w14:paraId="70EAF700" w14:textId="77777777" w:rsidR="00826C07" w:rsidRPr="00286216" w:rsidRDefault="00826C07" w:rsidP="00826C07">
            <w:pPr>
              <w:pStyle w:val="StyleZakonu"/>
              <w:rPr>
                <w:color w:val="000000" w:themeColor="text1"/>
              </w:rPr>
            </w:pPr>
            <w:r w:rsidRPr="00286216">
              <w:rPr>
                <w:color w:val="000000" w:themeColor="text1"/>
              </w:rPr>
              <w:t>15) у статті 650:</w:t>
            </w:r>
          </w:p>
        </w:tc>
        <w:tc>
          <w:tcPr>
            <w:tcW w:w="3686" w:type="dxa"/>
          </w:tcPr>
          <w:p w14:paraId="0112A028" w14:textId="77777777" w:rsidR="00826C07" w:rsidRPr="00286216" w:rsidRDefault="00826C07" w:rsidP="00826C07">
            <w:pPr>
              <w:pStyle w:val="StyleProp"/>
              <w:rPr>
                <w:color w:val="000000" w:themeColor="text1"/>
                <w:szCs w:val="18"/>
              </w:rPr>
            </w:pPr>
          </w:p>
        </w:tc>
        <w:tc>
          <w:tcPr>
            <w:tcW w:w="1987" w:type="dxa"/>
          </w:tcPr>
          <w:p w14:paraId="4296DA66" w14:textId="77777777" w:rsidR="00826C07" w:rsidRPr="00286216" w:rsidRDefault="00826C07" w:rsidP="00826C07">
            <w:pPr>
              <w:pStyle w:val="StyleWisnow"/>
              <w:rPr>
                <w:color w:val="000000" w:themeColor="text1"/>
              </w:rPr>
            </w:pPr>
          </w:p>
        </w:tc>
        <w:tc>
          <w:tcPr>
            <w:tcW w:w="4818" w:type="dxa"/>
          </w:tcPr>
          <w:p w14:paraId="304559EB" w14:textId="316A5E02" w:rsidR="00826C07" w:rsidRPr="00286216" w:rsidRDefault="00826C07" w:rsidP="00826C07">
            <w:pPr>
              <w:pStyle w:val="StyleZakonu"/>
              <w:rPr>
                <w:color w:val="000000" w:themeColor="text1"/>
              </w:rPr>
            </w:pPr>
            <w:r w:rsidRPr="00286216">
              <w:rPr>
                <w:color w:val="000000" w:themeColor="text1"/>
              </w:rPr>
              <w:t>17) у статті 650:</w:t>
            </w:r>
          </w:p>
        </w:tc>
      </w:tr>
      <w:tr w:rsidR="00826C07" w:rsidRPr="00286216" w14:paraId="0F74C00B" w14:textId="77777777" w:rsidTr="00091AA5">
        <w:tc>
          <w:tcPr>
            <w:tcW w:w="576" w:type="dxa"/>
          </w:tcPr>
          <w:p w14:paraId="19F1C891" w14:textId="77777777" w:rsidR="00826C07" w:rsidRPr="00286216" w:rsidRDefault="00826C07" w:rsidP="00826C07">
            <w:pPr>
              <w:pStyle w:val="StyleWisnow"/>
              <w:rPr>
                <w:color w:val="000000" w:themeColor="text1"/>
              </w:rPr>
            </w:pPr>
            <w:bookmarkStart w:id="2588" w:name="n2717" w:colFirst="0" w:colLast="0"/>
            <w:bookmarkEnd w:id="2587"/>
            <w:r w:rsidRPr="00286216">
              <w:rPr>
                <w:color w:val="000000" w:themeColor="text1"/>
              </w:rPr>
              <w:t>2717.</w:t>
            </w:r>
          </w:p>
        </w:tc>
        <w:tc>
          <w:tcPr>
            <w:tcW w:w="4818" w:type="dxa"/>
          </w:tcPr>
          <w:p w14:paraId="6BA81301" w14:textId="77777777" w:rsidR="00826C07" w:rsidRPr="00286216" w:rsidRDefault="00826C07" w:rsidP="00826C07">
            <w:pPr>
              <w:pStyle w:val="StyleZakonu"/>
              <w:rPr>
                <w:color w:val="000000" w:themeColor="text1"/>
              </w:rPr>
            </w:pPr>
            <w:r w:rsidRPr="00286216">
              <w:rPr>
                <w:color w:val="000000" w:themeColor="text1"/>
              </w:rPr>
              <w:t>а) у назві та тексті статті 650 слово "біржах" замінити словами "організованих ринках капіталу та організованих товарних ринках",</w:t>
            </w:r>
          </w:p>
        </w:tc>
        <w:tc>
          <w:tcPr>
            <w:tcW w:w="3686" w:type="dxa"/>
          </w:tcPr>
          <w:p w14:paraId="29EDED46" w14:textId="77777777" w:rsidR="00826C07" w:rsidRPr="00286216" w:rsidRDefault="00826C07" w:rsidP="00826C07">
            <w:pPr>
              <w:pStyle w:val="StyleProp"/>
              <w:rPr>
                <w:color w:val="000000" w:themeColor="text1"/>
                <w:szCs w:val="18"/>
              </w:rPr>
            </w:pPr>
          </w:p>
        </w:tc>
        <w:tc>
          <w:tcPr>
            <w:tcW w:w="1987" w:type="dxa"/>
          </w:tcPr>
          <w:p w14:paraId="27B45D17" w14:textId="77777777" w:rsidR="00826C07" w:rsidRPr="00286216" w:rsidRDefault="00826C07" w:rsidP="00826C07">
            <w:pPr>
              <w:pStyle w:val="StyleWisnow"/>
              <w:rPr>
                <w:color w:val="000000" w:themeColor="text1"/>
              </w:rPr>
            </w:pPr>
          </w:p>
        </w:tc>
        <w:tc>
          <w:tcPr>
            <w:tcW w:w="4818" w:type="dxa"/>
          </w:tcPr>
          <w:p w14:paraId="4D63F9D8" w14:textId="41B987C1" w:rsidR="00826C07" w:rsidRPr="00286216" w:rsidRDefault="00826C07" w:rsidP="005E439C">
            <w:pPr>
              <w:pStyle w:val="StyleZakonu"/>
              <w:rPr>
                <w:color w:val="000000" w:themeColor="text1"/>
              </w:rPr>
            </w:pPr>
            <w:r w:rsidRPr="00286216">
              <w:rPr>
                <w:color w:val="000000" w:themeColor="text1"/>
              </w:rPr>
              <w:t>а) у назві слово "біржах" замінити словами "організованих ринках капіталу та організованих товарних ринках",</w:t>
            </w:r>
          </w:p>
        </w:tc>
      </w:tr>
      <w:tr w:rsidR="00826C07" w:rsidRPr="00286216" w14:paraId="0A488B1B" w14:textId="77777777" w:rsidTr="00091AA5">
        <w:tc>
          <w:tcPr>
            <w:tcW w:w="576" w:type="dxa"/>
          </w:tcPr>
          <w:p w14:paraId="0CF8210B" w14:textId="77777777" w:rsidR="00826C07" w:rsidRPr="00286216" w:rsidRDefault="00826C07" w:rsidP="00826C07">
            <w:pPr>
              <w:pStyle w:val="StyleWisnow"/>
              <w:rPr>
                <w:color w:val="000000" w:themeColor="text1"/>
              </w:rPr>
            </w:pPr>
            <w:bookmarkStart w:id="2589" w:name="n2718" w:colFirst="0" w:colLast="0"/>
            <w:bookmarkEnd w:id="2588"/>
            <w:r w:rsidRPr="00286216">
              <w:rPr>
                <w:color w:val="000000" w:themeColor="text1"/>
              </w:rPr>
              <w:t>2718.</w:t>
            </w:r>
          </w:p>
        </w:tc>
        <w:tc>
          <w:tcPr>
            <w:tcW w:w="4818" w:type="dxa"/>
          </w:tcPr>
          <w:p w14:paraId="26185B92" w14:textId="77777777" w:rsidR="00826C07" w:rsidRPr="00286216" w:rsidRDefault="00826C07" w:rsidP="00826C07">
            <w:pPr>
              <w:pStyle w:val="StyleZakonu"/>
              <w:rPr>
                <w:color w:val="000000" w:themeColor="text1"/>
              </w:rPr>
            </w:pPr>
            <w:r w:rsidRPr="00286216">
              <w:rPr>
                <w:color w:val="000000" w:themeColor="text1"/>
              </w:rPr>
              <w:t>б) у частині першій слово "цивільного" виключити;</w:t>
            </w:r>
          </w:p>
        </w:tc>
        <w:tc>
          <w:tcPr>
            <w:tcW w:w="3686" w:type="dxa"/>
          </w:tcPr>
          <w:p w14:paraId="0F7DA8D7" w14:textId="663AFB25" w:rsidR="00826C07" w:rsidRPr="00286216" w:rsidRDefault="00826C07" w:rsidP="00826C0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1242</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Н.д.Козак Т.Р. (Реєстр.картка №359)</w:t>
            </w:r>
          </w:p>
          <w:p w14:paraId="62C2E771" w14:textId="77777777" w:rsidR="00826C07" w:rsidRPr="00286216" w:rsidRDefault="00826C07" w:rsidP="00826C07">
            <w:pPr>
              <w:pStyle w:val="StyleProp"/>
              <w:spacing w:line="190" w:lineRule="exact"/>
              <w:rPr>
                <w:color w:val="000000" w:themeColor="text1"/>
              </w:rPr>
            </w:pPr>
            <w:r w:rsidRPr="00286216">
              <w:rPr>
                <w:color w:val="000000" w:themeColor="text1"/>
              </w:rPr>
              <w:t>У Цивільному кодексі України частину 1 статті 650 викласти у наступній редакції:</w:t>
            </w:r>
          </w:p>
          <w:p w14:paraId="6A35C1C0" w14:textId="77777777" w:rsidR="00826C07" w:rsidRPr="00286216" w:rsidRDefault="00826C07" w:rsidP="00826C07">
            <w:pPr>
              <w:pStyle w:val="StyleProp"/>
              <w:spacing w:line="190" w:lineRule="exact"/>
              <w:rPr>
                <w:color w:val="000000" w:themeColor="text1"/>
              </w:rPr>
            </w:pPr>
            <w:r w:rsidRPr="00286216">
              <w:rPr>
                <w:color w:val="000000" w:themeColor="text1"/>
              </w:rPr>
              <w:t>«1. Особливості укладення договорів на  організованих ринках капіталу, організованих товарних ринках, аукціонах, конкурсах тощо встановлюються відповідними актами законодавства.»</w:t>
            </w:r>
          </w:p>
        </w:tc>
        <w:tc>
          <w:tcPr>
            <w:tcW w:w="1987" w:type="dxa"/>
          </w:tcPr>
          <w:p w14:paraId="2B56CB94"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3BCCA4AA" w14:textId="0599C7E4" w:rsidR="00826C07" w:rsidRPr="00286216" w:rsidRDefault="00826C07" w:rsidP="00826C07">
            <w:pPr>
              <w:pStyle w:val="StyleZakonu"/>
              <w:rPr>
                <w:color w:val="000000" w:themeColor="text1"/>
              </w:rPr>
            </w:pPr>
            <w:r w:rsidRPr="00286216">
              <w:rPr>
                <w:color w:val="000000" w:themeColor="text1"/>
              </w:rPr>
              <w:t xml:space="preserve">б) частину першу викласти </w:t>
            </w:r>
            <w:r w:rsidR="005E439C" w:rsidRPr="00286216">
              <w:rPr>
                <w:color w:val="000000" w:themeColor="text1"/>
              </w:rPr>
              <w:t>в</w:t>
            </w:r>
            <w:r w:rsidRPr="00286216">
              <w:rPr>
                <w:color w:val="000000" w:themeColor="text1"/>
              </w:rPr>
              <w:t xml:space="preserve"> такій редакції:</w:t>
            </w:r>
          </w:p>
          <w:p w14:paraId="34D5D491" w14:textId="46ABCB06" w:rsidR="00826C07" w:rsidRPr="00286216" w:rsidRDefault="00826C07" w:rsidP="00826C07">
            <w:pPr>
              <w:pStyle w:val="StyleZakonu"/>
              <w:rPr>
                <w:color w:val="000000" w:themeColor="text1"/>
              </w:rPr>
            </w:pPr>
            <w:r w:rsidRPr="00286216">
              <w:rPr>
                <w:color w:val="000000" w:themeColor="text1"/>
              </w:rPr>
              <w:t>«1. Особливості укладення договорів на  організованих ринках капіталу, організованих товарних ринках, аукціонах, конкурсах тощо встановлюються відповідними актами законодавства»;</w:t>
            </w:r>
          </w:p>
        </w:tc>
      </w:tr>
      <w:tr w:rsidR="00826C07" w:rsidRPr="00286216" w14:paraId="05E6D17E" w14:textId="77777777" w:rsidTr="00091AA5">
        <w:tc>
          <w:tcPr>
            <w:tcW w:w="576" w:type="dxa"/>
          </w:tcPr>
          <w:p w14:paraId="1C0D48C7" w14:textId="77777777" w:rsidR="00826C07" w:rsidRPr="00286216" w:rsidRDefault="00826C07" w:rsidP="00826C07">
            <w:pPr>
              <w:pStyle w:val="StyleWisnow"/>
              <w:rPr>
                <w:color w:val="000000" w:themeColor="text1"/>
              </w:rPr>
            </w:pPr>
            <w:bookmarkStart w:id="2590" w:name="n2719" w:colFirst="0" w:colLast="0"/>
            <w:bookmarkEnd w:id="2589"/>
            <w:r w:rsidRPr="00286216">
              <w:rPr>
                <w:color w:val="000000" w:themeColor="text1"/>
              </w:rPr>
              <w:t>2719.</w:t>
            </w:r>
          </w:p>
        </w:tc>
        <w:tc>
          <w:tcPr>
            <w:tcW w:w="4818" w:type="dxa"/>
          </w:tcPr>
          <w:p w14:paraId="44ADB616" w14:textId="77777777" w:rsidR="00826C07" w:rsidRPr="00286216" w:rsidRDefault="00826C07" w:rsidP="00826C07">
            <w:pPr>
              <w:pStyle w:val="StyleZakonu"/>
              <w:rPr>
                <w:color w:val="000000" w:themeColor="text1"/>
              </w:rPr>
            </w:pPr>
            <w:r w:rsidRPr="00286216">
              <w:rPr>
                <w:color w:val="000000" w:themeColor="text1"/>
              </w:rPr>
              <w:t>16) частину четверту статті 656 викласти в такій редакції:</w:t>
            </w:r>
          </w:p>
        </w:tc>
        <w:tc>
          <w:tcPr>
            <w:tcW w:w="3686" w:type="dxa"/>
          </w:tcPr>
          <w:p w14:paraId="572F41E2" w14:textId="77777777" w:rsidR="00826C07" w:rsidRPr="00286216" w:rsidRDefault="00826C07" w:rsidP="00826C07">
            <w:pPr>
              <w:pStyle w:val="StyleProp"/>
              <w:rPr>
                <w:color w:val="000000" w:themeColor="text1"/>
                <w:szCs w:val="18"/>
              </w:rPr>
            </w:pPr>
          </w:p>
        </w:tc>
        <w:tc>
          <w:tcPr>
            <w:tcW w:w="1987" w:type="dxa"/>
          </w:tcPr>
          <w:p w14:paraId="4AFF576A" w14:textId="77777777" w:rsidR="00826C07" w:rsidRPr="00286216" w:rsidRDefault="00826C07" w:rsidP="00826C07">
            <w:pPr>
              <w:pStyle w:val="StyleWisnow"/>
              <w:rPr>
                <w:color w:val="000000" w:themeColor="text1"/>
              </w:rPr>
            </w:pPr>
          </w:p>
        </w:tc>
        <w:tc>
          <w:tcPr>
            <w:tcW w:w="4818" w:type="dxa"/>
          </w:tcPr>
          <w:p w14:paraId="40C94EF5" w14:textId="18E80838" w:rsidR="00826C07" w:rsidRPr="00286216" w:rsidRDefault="00826C07" w:rsidP="00826C07">
            <w:pPr>
              <w:pStyle w:val="StyleZakonu"/>
              <w:rPr>
                <w:color w:val="000000" w:themeColor="text1"/>
              </w:rPr>
            </w:pPr>
            <w:r w:rsidRPr="00286216">
              <w:rPr>
                <w:color w:val="000000" w:themeColor="text1"/>
              </w:rPr>
              <w:t>18) частину четверту статті 656 викласти в такій редакції:</w:t>
            </w:r>
          </w:p>
        </w:tc>
      </w:tr>
      <w:tr w:rsidR="00826C07" w:rsidRPr="00286216" w14:paraId="217E23C1" w14:textId="77777777" w:rsidTr="00091AA5">
        <w:tc>
          <w:tcPr>
            <w:tcW w:w="576" w:type="dxa"/>
          </w:tcPr>
          <w:p w14:paraId="02FF8301" w14:textId="77777777" w:rsidR="00826C07" w:rsidRPr="00286216" w:rsidRDefault="00826C07" w:rsidP="00826C07">
            <w:pPr>
              <w:pStyle w:val="StyleWisnow"/>
              <w:rPr>
                <w:color w:val="000000" w:themeColor="text1"/>
              </w:rPr>
            </w:pPr>
            <w:bookmarkStart w:id="2591" w:name="n2720" w:colFirst="0" w:colLast="0"/>
            <w:bookmarkEnd w:id="2590"/>
            <w:r w:rsidRPr="00286216">
              <w:rPr>
                <w:color w:val="000000" w:themeColor="text1"/>
              </w:rPr>
              <w:t>2720.</w:t>
            </w:r>
          </w:p>
        </w:tc>
        <w:tc>
          <w:tcPr>
            <w:tcW w:w="4818" w:type="dxa"/>
          </w:tcPr>
          <w:p w14:paraId="1F5161A2" w14:textId="77777777" w:rsidR="00826C07" w:rsidRPr="00286216" w:rsidRDefault="00826C07" w:rsidP="00826C07">
            <w:pPr>
              <w:pStyle w:val="StyleZakonu"/>
              <w:rPr>
                <w:color w:val="000000" w:themeColor="text1"/>
              </w:rPr>
            </w:pPr>
            <w:r w:rsidRPr="00286216">
              <w:rPr>
                <w:color w:val="000000" w:themeColor="text1"/>
              </w:rPr>
              <w:t xml:space="preserve">"До договору купівлі-продажу, що укладається на організованих ринках капіталу та організованих товарних ринках, конкурсах, аукціонах (публічних торгах), договору купівлі-продажу валютних цінностей і договорів купівлі-продажу фінансових інструментів, укладених поза організованим ринком, застосовуються загальні положення про купівлю-продаж, якщо інше не встановлено законом про ці </w:t>
            </w:r>
            <w:r w:rsidRPr="00286216">
              <w:rPr>
                <w:color w:val="000000" w:themeColor="text1"/>
              </w:rPr>
              <w:lastRenderedPageBreak/>
              <w:t>види договорів купівлі-продажу або не випливає з їхньої суті.";</w:t>
            </w:r>
          </w:p>
        </w:tc>
        <w:tc>
          <w:tcPr>
            <w:tcW w:w="3686" w:type="dxa"/>
          </w:tcPr>
          <w:p w14:paraId="101B3409" w14:textId="77777777" w:rsidR="00826C07" w:rsidRPr="00286216" w:rsidRDefault="00826C07" w:rsidP="00826C07">
            <w:pPr>
              <w:pStyle w:val="StyleProp"/>
              <w:rPr>
                <w:color w:val="000000" w:themeColor="text1"/>
                <w:szCs w:val="18"/>
              </w:rPr>
            </w:pPr>
          </w:p>
        </w:tc>
        <w:tc>
          <w:tcPr>
            <w:tcW w:w="1987" w:type="dxa"/>
          </w:tcPr>
          <w:p w14:paraId="7EA7FFE1" w14:textId="77777777" w:rsidR="00826C07" w:rsidRPr="00286216" w:rsidRDefault="00826C07" w:rsidP="00826C07">
            <w:pPr>
              <w:pStyle w:val="StyleWisnow"/>
              <w:rPr>
                <w:color w:val="000000" w:themeColor="text1"/>
              </w:rPr>
            </w:pPr>
          </w:p>
        </w:tc>
        <w:tc>
          <w:tcPr>
            <w:tcW w:w="4818" w:type="dxa"/>
          </w:tcPr>
          <w:p w14:paraId="0E1046F0" w14:textId="0C8B8CF1" w:rsidR="00826C07" w:rsidRPr="00286216" w:rsidRDefault="00826C07" w:rsidP="00826C07">
            <w:pPr>
              <w:pStyle w:val="StyleZakonu"/>
              <w:rPr>
                <w:color w:val="000000" w:themeColor="text1"/>
              </w:rPr>
            </w:pPr>
            <w:r w:rsidRPr="00286216">
              <w:rPr>
                <w:color w:val="000000" w:themeColor="text1"/>
              </w:rPr>
              <w:t>"</w:t>
            </w:r>
            <w:r w:rsidR="005E439C" w:rsidRPr="00286216">
              <w:rPr>
                <w:color w:val="000000" w:themeColor="text1"/>
              </w:rPr>
              <w:t xml:space="preserve">4. </w:t>
            </w:r>
            <w:r w:rsidRPr="00286216">
              <w:rPr>
                <w:color w:val="000000" w:themeColor="text1"/>
              </w:rPr>
              <w:t xml:space="preserve">До договору купівлі-продажу, що укладається на організованих ринках капіталу та організованих товарних ринках, конкурсах, аукціонах (публічних торгах), договору купівлі-продажу валютних цінностей і договорів купівлі-продажу фінансових інструментів, укладених поза організованим ринком, застосовуються загальні положення про купівлю-продаж, якщо інше не встановлено законом про ці </w:t>
            </w:r>
            <w:r w:rsidRPr="00286216">
              <w:rPr>
                <w:color w:val="000000" w:themeColor="text1"/>
              </w:rPr>
              <w:lastRenderedPageBreak/>
              <w:t>види договорів купівлі-продажу або не випливає з їхньої суті";</w:t>
            </w:r>
          </w:p>
        </w:tc>
      </w:tr>
      <w:tr w:rsidR="00826C07" w:rsidRPr="00286216" w14:paraId="58CAF7E9" w14:textId="77777777" w:rsidTr="00091AA5">
        <w:tc>
          <w:tcPr>
            <w:tcW w:w="576" w:type="dxa"/>
          </w:tcPr>
          <w:p w14:paraId="7F2E7049" w14:textId="77777777" w:rsidR="00826C07" w:rsidRPr="00286216" w:rsidRDefault="00826C07" w:rsidP="00826C07">
            <w:pPr>
              <w:pStyle w:val="StyleWisnow"/>
              <w:rPr>
                <w:color w:val="000000" w:themeColor="text1"/>
              </w:rPr>
            </w:pPr>
            <w:bookmarkStart w:id="2592" w:name="n2721" w:colFirst="0" w:colLast="0"/>
            <w:bookmarkEnd w:id="2591"/>
            <w:r w:rsidRPr="00286216">
              <w:rPr>
                <w:color w:val="000000" w:themeColor="text1"/>
              </w:rPr>
              <w:lastRenderedPageBreak/>
              <w:t>2721.</w:t>
            </w:r>
          </w:p>
        </w:tc>
        <w:tc>
          <w:tcPr>
            <w:tcW w:w="4818" w:type="dxa"/>
          </w:tcPr>
          <w:p w14:paraId="3396A42B" w14:textId="77777777" w:rsidR="00826C07" w:rsidRPr="00286216" w:rsidRDefault="00826C07" w:rsidP="00826C07">
            <w:pPr>
              <w:pStyle w:val="StyleZakonu"/>
              <w:rPr>
                <w:color w:val="000000" w:themeColor="text1"/>
              </w:rPr>
            </w:pPr>
            <w:r w:rsidRPr="00286216">
              <w:rPr>
                <w:color w:val="000000" w:themeColor="text1"/>
              </w:rPr>
              <w:t>17) частину другу статті 969 виключити;</w:t>
            </w:r>
          </w:p>
        </w:tc>
        <w:tc>
          <w:tcPr>
            <w:tcW w:w="3686" w:type="dxa"/>
          </w:tcPr>
          <w:p w14:paraId="3524E501" w14:textId="77777777" w:rsidR="00826C07" w:rsidRPr="00286216" w:rsidRDefault="00826C07" w:rsidP="00826C07">
            <w:pPr>
              <w:pStyle w:val="StyleProp"/>
              <w:rPr>
                <w:color w:val="000000" w:themeColor="text1"/>
                <w:szCs w:val="18"/>
              </w:rPr>
            </w:pPr>
          </w:p>
        </w:tc>
        <w:tc>
          <w:tcPr>
            <w:tcW w:w="1987" w:type="dxa"/>
          </w:tcPr>
          <w:p w14:paraId="637239F8" w14:textId="77777777" w:rsidR="00826C07" w:rsidRPr="00286216" w:rsidRDefault="00826C07" w:rsidP="00826C07">
            <w:pPr>
              <w:pStyle w:val="StyleWisnow"/>
              <w:rPr>
                <w:color w:val="000000" w:themeColor="text1"/>
              </w:rPr>
            </w:pPr>
          </w:p>
        </w:tc>
        <w:tc>
          <w:tcPr>
            <w:tcW w:w="4818" w:type="dxa"/>
          </w:tcPr>
          <w:p w14:paraId="3026BA6F" w14:textId="22EDC438" w:rsidR="00826C07" w:rsidRPr="00286216" w:rsidRDefault="00826C07" w:rsidP="00826C07">
            <w:pPr>
              <w:pStyle w:val="StyleZakonu"/>
              <w:rPr>
                <w:color w:val="000000" w:themeColor="text1"/>
              </w:rPr>
            </w:pPr>
            <w:r w:rsidRPr="00286216">
              <w:rPr>
                <w:color w:val="000000" w:themeColor="text1"/>
              </w:rPr>
              <w:t>19) частину другу статті 969 виключити;</w:t>
            </w:r>
          </w:p>
        </w:tc>
      </w:tr>
      <w:tr w:rsidR="00826C07" w:rsidRPr="00286216" w14:paraId="588582E2" w14:textId="77777777" w:rsidTr="00091AA5">
        <w:tc>
          <w:tcPr>
            <w:tcW w:w="576" w:type="dxa"/>
          </w:tcPr>
          <w:p w14:paraId="7D957956" w14:textId="77777777" w:rsidR="00826C07" w:rsidRPr="00286216" w:rsidRDefault="00826C07" w:rsidP="00826C07">
            <w:pPr>
              <w:pStyle w:val="StyleWisnow"/>
              <w:rPr>
                <w:color w:val="000000" w:themeColor="text1"/>
              </w:rPr>
            </w:pPr>
          </w:p>
        </w:tc>
        <w:tc>
          <w:tcPr>
            <w:tcW w:w="4818" w:type="dxa"/>
          </w:tcPr>
          <w:p w14:paraId="6A5CD452" w14:textId="77777777" w:rsidR="00826C07" w:rsidRPr="00286216" w:rsidRDefault="00826C07" w:rsidP="00826C07">
            <w:pPr>
              <w:pStyle w:val="StyleZakonu"/>
              <w:rPr>
                <w:color w:val="000000" w:themeColor="text1"/>
              </w:rPr>
            </w:pPr>
          </w:p>
        </w:tc>
        <w:tc>
          <w:tcPr>
            <w:tcW w:w="3686" w:type="dxa"/>
          </w:tcPr>
          <w:p w14:paraId="064A4634" w14:textId="40EC599F"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1243</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6A73E865" w14:textId="77777777" w:rsidR="00826C07" w:rsidRPr="00286216" w:rsidRDefault="00826C07" w:rsidP="005E439C">
            <w:pPr>
              <w:spacing w:line="180" w:lineRule="exact"/>
              <w:ind w:firstLine="227"/>
              <w:jc w:val="both"/>
              <w:rPr>
                <w:color w:val="000000" w:themeColor="text1"/>
                <w:sz w:val="18"/>
              </w:rPr>
            </w:pPr>
            <w:r w:rsidRPr="00286216">
              <w:rPr>
                <w:color w:val="000000" w:themeColor="text1"/>
                <w:sz w:val="18"/>
              </w:rPr>
              <w:t>Доповнити пункт 5 розділу 3 новим підпунктом такого змісту:</w:t>
            </w:r>
          </w:p>
          <w:p w14:paraId="7BA74AAC" w14:textId="77777777" w:rsidR="00826C07" w:rsidRPr="00286216" w:rsidRDefault="00826C07" w:rsidP="005E439C">
            <w:pPr>
              <w:spacing w:line="180" w:lineRule="exact"/>
              <w:ind w:firstLine="227"/>
              <w:jc w:val="both"/>
              <w:rPr>
                <w:color w:val="000000" w:themeColor="text1"/>
                <w:sz w:val="18"/>
              </w:rPr>
            </w:pPr>
            <w:r w:rsidRPr="00286216">
              <w:rPr>
                <w:color w:val="000000" w:themeColor="text1"/>
                <w:sz w:val="18"/>
              </w:rPr>
              <w:t>«У назві та тексті статті 1065 слова «(депозитний)» виключити».</w:t>
            </w:r>
          </w:p>
        </w:tc>
        <w:tc>
          <w:tcPr>
            <w:tcW w:w="1987" w:type="dxa"/>
          </w:tcPr>
          <w:p w14:paraId="5BE89C79"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05C7AEB1" w14:textId="77777777" w:rsidR="00826C07" w:rsidRPr="00286216" w:rsidRDefault="00826C07" w:rsidP="00826C07">
            <w:pPr>
              <w:pStyle w:val="StyleZakonu"/>
              <w:rPr>
                <w:color w:val="000000" w:themeColor="text1"/>
              </w:rPr>
            </w:pPr>
          </w:p>
        </w:tc>
      </w:tr>
      <w:tr w:rsidR="00826C07" w:rsidRPr="00286216" w14:paraId="6A0173F4" w14:textId="77777777" w:rsidTr="00091AA5">
        <w:tc>
          <w:tcPr>
            <w:tcW w:w="576" w:type="dxa"/>
          </w:tcPr>
          <w:p w14:paraId="14FAF5FD" w14:textId="77777777" w:rsidR="00826C07" w:rsidRPr="00286216" w:rsidRDefault="00826C07" w:rsidP="00826C07">
            <w:pPr>
              <w:pStyle w:val="StyleWisnow"/>
              <w:rPr>
                <w:color w:val="000000" w:themeColor="text1"/>
              </w:rPr>
            </w:pPr>
            <w:bookmarkStart w:id="2593" w:name="n2722" w:colFirst="0" w:colLast="0"/>
            <w:bookmarkEnd w:id="2592"/>
            <w:r w:rsidRPr="00286216">
              <w:rPr>
                <w:color w:val="000000" w:themeColor="text1"/>
              </w:rPr>
              <w:t>2722.</w:t>
            </w:r>
          </w:p>
        </w:tc>
        <w:tc>
          <w:tcPr>
            <w:tcW w:w="4818" w:type="dxa"/>
          </w:tcPr>
          <w:p w14:paraId="7ABBB53C" w14:textId="77777777" w:rsidR="00826C07" w:rsidRPr="00286216" w:rsidRDefault="00826C07" w:rsidP="00826C07">
            <w:pPr>
              <w:pStyle w:val="StyleZakonu"/>
              <w:rPr>
                <w:color w:val="000000" w:themeColor="text1"/>
              </w:rPr>
            </w:pPr>
            <w:r w:rsidRPr="00286216">
              <w:rPr>
                <w:color w:val="000000" w:themeColor="text1"/>
              </w:rPr>
              <w:t>18) у статті 1076</w:t>
            </w:r>
            <w:r w:rsidRPr="00286216">
              <w:rPr>
                <w:color w:val="000000" w:themeColor="text1"/>
                <w:vertAlign w:val="superscript"/>
              </w:rPr>
              <w:t>1</w:t>
            </w:r>
            <w:r w:rsidRPr="00286216">
              <w:rPr>
                <w:color w:val="000000" w:themeColor="text1"/>
              </w:rPr>
              <w:t>:</w:t>
            </w:r>
          </w:p>
        </w:tc>
        <w:tc>
          <w:tcPr>
            <w:tcW w:w="3686" w:type="dxa"/>
          </w:tcPr>
          <w:p w14:paraId="0E24C632" w14:textId="77777777" w:rsidR="00826C07" w:rsidRPr="00286216" w:rsidRDefault="00826C07" w:rsidP="00826C07">
            <w:pPr>
              <w:pStyle w:val="StyleProp"/>
              <w:rPr>
                <w:color w:val="000000" w:themeColor="text1"/>
                <w:szCs w:val="18"/>
              </w:rPr>
            </w:pPr>
          </w:p>
        </w:tc>
        <w:tc>
          <w:tcPr>
            <w:tcW w:w="1987" w:type="dxa"/>
          </w:tcPr>
          <w:p w14:paraId="33D42855" w14:textId="77777777" w:rsidR="00826C07" w:rsidRPr="00286216" w:rsidRDefault="00826C07" w:rsidP="00826C07">
            <w:pPr>
              <w:pStyle w:val="StyleWisnow"/>
              <w:rPr>
                <w:color w:val="000000" w:themeColor="text1"/>
              </w:rPr>
            </w:pPr>
          </w:p>
        </w:tc>
        <w:tc>
          <w:tcPr>
            <w:tcW w:w="4818" w:type="dxa"/>
          </w:tcPr>
          <w:p w14:paraId="6D1C193F" w14:textId="7D4E4756" w:rsidR="00826C07" w:rsidRPr="00286216" w:rsidRDefault="00826C07" w:rsidP="00826C07">
            <w:pPr>
              <w:pStyle w:val="StyleZakonu"/>
              <w:rPr>
                <w:color w:val="000000" w:themeColor="text1"/>
              </w:rPr>
            </w:pPr>
            <w:r w:rsidRPr="00286216">
              <w:rPr>
                <w:color w:val="000000" w:themeColor="text1"/>
              </w:rPr>
              <w:t>20) у статті 1076</w:t>
            </w:r>
            <w:r w:rsidRPr="00286216">
              <w:rPr>
                <w:color w:val="000000" w:themeColor="text1"/>
                <w:vertAlign w:val="superscript"/>
              </w:rPr>
              <w:t>1</w:t>
            </w:r>
            <w:r w:rsidRPr="00286216">
              <w:rPr>
                <w:color w:val="000000" w:themeColor="text1"/>
              </w:rPr>
              <w:t>:</w:t>
            </w:r>
          </w:p>
        </w:tc>
      </w:tr>
      <w:tr w:rsidR="00826C07" w:rsidRPr="00286216" w14:paraId="4BF6376D" w14:textId="77777777" w:rsidTr="00091AA5">
        <w:tc>
          <w:tcPr>
            <w:tcW w:w="576" w:type="dxa"/>
          </w:tcPr>
          <w:p w14:paraId="54CA5166" w14:textId="77777777" w:rsidR="00826C07" w:rsidRPr="00286216" w:rsidRDefault="00826C07" w:rsidP="00826C07">
            <w:pPr>
              <w:pStyle w:val="StyleWisnow"/>
              <w:rPr>
                <w:color w:val="000000" w:themeColor="text1"/>
              </w:rPr>
            </w:pPr>
            <w:bookmarkStart w:id="2594" w:name="n2723" w:colFirst="0" w:colLast="0"/>
            <w:bookmarkEnd w:id="2593"/>
            <w:r w:rsidRPr="00286216">
              <w:rPr>
                <w:color w:val="000000" w:themeColor="text1"/>
              </w:rPr>
              <w:t>2723.</w:t>
            </w:r>
          </w:p>
        </w:tc>
        <w:tc>
          <w:tcPr>
            <w:tcW w:w="4818" w:type="dxa"/>
          </w:tcPr>
          <w:p w14:paraId="70A19643" w14:textId="77777777" w:rsidR="00826C07" w:rsidRPr="00286216" w:rsidRDefault="00826C07" w:rsidP="00826C07">
            <w:pPr>
              <w:pStyle w:val="StyleZakonu"/>
              <w:rPr>
                <w:color w:val="000000" w:themeColor="text1"/>
              </w:rPr>
            </w:pPr>
            <w:r w:rsidRPr="00286216">
              <w:rPr>
                <w:color w:val="000000" w:themeColor="text1"/>
              </w:rPr>
              <w:t>а) частину першу після слів "(бенефіціару або бенефіціарам)" доповнити словами та знаками ", а в разі надання бенефіціаром письмової вказівки банку - особі (особам), вказаній бенефіціаром, ";</w:t>
            </w:r>
          </w:p>
        </w:tc>
        <w:tc>
          <w:tcPr>
            <w:tcW w:w="3686" w:type="dxa"/>
          </w:tcPr>
          <w:p w14:paraId="020E6AE0" w14:textId="467A2A7B"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E26C174" w14:textId="77777777" w:rsidR="00826C07" w:rsidRPr="00286216" w:rsidRDefault="00826C07" w:rsidP="005E439C">
            <w:pPr>
              <w:spacing w:line="180" w:lineRule="exact"/>
              <w:ind w:firstLine="227"/>
              <w:jc w:val="both"/>
              <w:rPr>
                <w:color w:val="000000" w:themeColor="text1"/>
                <w:szCs w:val="18"/>
              </w:rPr>
            </w:pPr>
            <w:r w:rsidRPr="00286216">
              <w:rPr>
                <w:color w:val="000000" w:themeColor="text1"/>
                <w:sz w:val="18"/>
              </w:rPr>
              <w:t>У підпункті 18 пункту 5 розділу 3, якими пропонується внести зміни до статей 1076-1 , після слів «вказаній бенефіціаром» доповнити словами «якщо це передбачено відповідним договором».</w:t>
            </w:r>
          </w:p>
        </w:tc>
        <w:tc>
          <w:tcPr>
            <w:tcW w:w="1987" w:type="dxa"/>
          </w:tcPr>
          <w:p w14:paraId="2FD8742F"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1DEDEEFE" w14:textId="55A1B3AE" w:rsidR="00826C07" w:rsidRPr="00286216" w:rsidRDefault="00826C07" w:rsidP="005E439C">
            <w:pPr>
              <w:pStyle w:val="StyleZakonu"/>
              <w:rPr>
                <w:color w:val="000000" w:themeColor="text1"/>
              </w:rPr>
            </w:pPr>
            <w:r w:rsidRPr="00286216">
              <w:rPr>
                <w:color w:val="000000" w:themeColor="text1"/>
              </w:rPr>
              <w:t>а) частину першу після слів "(бенефіціару або бенефіціарам)" доповнити словами " а в разі надання бенефіціаром письмової вказівки банку - особі (особам), вказаній бенефіціаром, якщо це передбачено відповідним договором";</w:t>
            </w:r>
          </w:p>
        </w:tc>
      </w:tr>
      <w:tr w:rsidR="00826C07" w:rsidRPr="00286216" w14:paraId="1A0F47EE" w14:textId="77777777" w:rsidTr="00091AA5">
        <w:tc>
          <w:tcPr>
            <w:tcW w:w="576" w:type="dxa"/>
          </w:tcPr>
          <w:p w14:paraId="3FB9306E" w14:textId="77777777" w:rsidR="00826C07" w:rsidRPr="00286216" w:rsidRDefault="00826C07" w:rsidP="00826C07">
            <w:pPr>
              <w:pStyle w:val="StyleWisnow"/>
              <w:rPr>
                <w:color w:val="000000" w:themeColor="text1"/>
              </w:rPr>
            </w:pPr>
            <w:bookmarkStart w:id="2595" w:name="n2724" w:colFirst="0" w:colLast="0"/>
            <w:bookmarkEnd w:id="2594"/>
            <w:r w:rsidRPr="00286216">
              <w:rPr>
                <w:color w:val="000000" w:themeColor="text1"/>
              </w:rPr>
              <w:t>2724.</w:t>
            </w:r>
          </w:p>
        </w:tc>
        <w:tc>
          <w:tcPr>
            <w:tcW w:w="4818" w:type="dxa"/>
          </w:tcPr>
          <w:p w14:paraId="3E83D204" w14:textId="77777777" w:rsidR="00826C07" w:rsidRPr="00286216" w:rsidRDefault="00826C07" w:rsidP="00826C07">
            <w:pPr>
              <w:pStyle w:val="StyleZakonu"/>
              <w:rPr>
                <w:color w:val="000000" w:themeColor="text1"/>
              </w:rPr>
            </w:pPr>
            <w:r w:rsidRPr="00286216">
              <w:rPr>
                <w:color w:val="000000" w:themeColor="text1"/>
              </w:rPr>
              <w:t>б) частину другу після слів "бенефіціару (бенефіціарам)" доповнити словами та знаками ", а в разі надання бенефіціаром письмової вказівки банку - особі (особам), вказаній бенефіціаром, ";</w:t>
            </w:r>
          </w:p>
        </w:tc>
        <w:tc>
          <w:tcPr>
            <w:tcW w:w="3686" w:type="dxa"/>
          </w:tcPr>
          <w:p w14:paraId="621CA610" w14:textId="772C4793"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1245</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01BA003" w14:textId="77777777" w:rsidR="00826C07" w:rsidRPr="00286216" w:rsidRDefault="00826C07" w:rsidP="005E439C">
            <w:pPr>
              <w:pStyle w:val="StyleProp"/>
              <w:spacing w:line="180" w:lineRule="exact"/>
              <w:rPr>
                <w:color w:val="000000" w:themeColor="text1"/>
                <w:szCs w:val="18"/>
              </w:rPr>
            </w:pPr>
            <w:r w:rsidRPr="00286216">
              <w:rPr>
                <w:color w:val="000000" w:themeColor="text1"/>
              </w:rPr>
              <w:t>У підпункті 18 пункту 5 розділу 3, якими пропонується внести зміни до статей 1076-1 , після слів «вказаній бенефіціаром» доповнити словами «якщо це передбачено відповідним договором».</w:t>
            </w:r>
          </w:p>
        </w:tc>
        <w:tc>
          <w:tcPr>
            <w:tcW w:w="1987" w:type="dxa"/>
          </w:tcPr>
          <w:p w14:paraId="3ED651A8"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3F076736" w14:textId="377707D5" w:rsidR="00826C07" w:rsidRPr="00286216" w:rsidRDefault="00826C07" w:rsidP="005E439C">
            <w:pPr>
              <w:pStyle w:val="StyleZakonu"/>
              <w:rPr>
                <w:color w:val="000000" w:themeColor="text1"/>
              </w:rPr>
            </w:pPr>
            <w:r w:rsidRPr="00286216">
              <w:rPr>
                <w:color w:val="000000" w:themeColor="text1"/>
              </w:rPr>
              <w:t>б) частину другу після слів "бенефіціару (бенефіціарам)" доповнити словами ", а в разі надання бенефіціаром письмової вказівки банку - особі (особам), вказаній бенефіціаром, якщо це передбачено відповідним договором ";</w:t>
            </w:r>
          </w:p>
        </w:tc>
      </w:tr>
      <w:tr w:rsidR="00826C07" w:rsidRPr="00286216" w14:paraId="3B0580D1" w14:textId="77777777" w:rsidTr="00091AA5">
        <w:tc>
          <w:tcPr>
            <w:tcW w:w="576" w:type="dxa"/>
          </w:tcPr>
          <w:p w14:paraId="5747299C" w14:textId="77777777" w:rsidR="00826C07" w:rsidRPr="00286216" w:rsidRDefault="00826C07" w:rsidP="00826C07">
            <w:pPr>
              <w:pStyle w:val="StyleWisnow"/>
              <w:rPr>
                <w:color w:val="000000" w:themeColor="text1"/>
              </w:rPr>
            </w:pPr>
            <w:bookmarkStart w:id="2596" w:name="n2725" w:colFirst="0" w:colLast="0"/>
            <w:bookmarkEnd w:id="2595"/>
            <w:r w:rsidRPr="00286216">
              <w:rPr>
                <w:color w:val="000000" w:themeColor="text1"/>
              </w:rPr>
              <w:t>2725.</w:t>
            </w:r>
          </w:p>
        </w:tc>
        <w:tc>
          <w:tcPr>
            <w:tcW w:w="4818" w:type="dxa"/>
          </w:tcPr>
          <w:p w14:paraId="60142FB2" w14:textId="77777777" w:rsidR="00826C07" w:rsidRPr="00286216" w:rsidRDefault="00826C07" w:rsidP="00826C07">
            <w:pPr>
              <w:pStyle w:val="StyleZakonu"/>
              <w:rPr>
                <w:color w:val="000000" w:themeColor="text1"/>
              </w:rPr>
            </w:pPr>
            <w:r w:rsidRPr="00286216">
              <w:rPr>
                <w:color w:val="000000" w:themeColor="text1"/>
              </w:rPr>
              <w:t>19) у статті 1076</w:t>
            </w:r>
            <w:r w:rsidRPr="00286216">
              <w:rPr>
                <w:color w:val="000000" w:themeColor="text1"/>
                <w:vertAlign w:val="superscript"/>
              </w:rPr>
              <w:t>2</w:t>
            </w:r>
            <w:r w:rsidRPr="00286216">
              <w:rPr>
                <w:color w:val="000000" w:themeColor="text1"/>
              </w:rPr>
              <w:t>:</w:t>
            </w:r>
          </w:p>
        </w:tc>
        <w:tc>
          <w:tcPr>
            <w:tcW w:w="3686" w:type="dxa"/>
          </w:tcPr>
          <w:p w14:paraId="01769A55" w14:textId="77777777" w:rsidR="00826C07" w:rsidRPr="00286216" w:rsidRDefault="00826C07" w:rsidP="00826C07">
            <w:pPr>
              <w:pStyle w:val="StyleProp"/>
              <w:rPr>
                <w:color w:val="000000" w:themeColor="text1"/>
                <w:szCs w:val="18"/>
              </w:rPr>
            </w:pPr>
          </w:p>
        </w:tc>
        <w:tc>
          <w:tcPr>
            <w:tcW w:w="1987" w:type="dxa"/>
          </w:tcPr>
          <w:p w14:paraId="3E0B5A1D" w14:textId="77777777" w:rsidR="00826C07" w:rsidRPr="00286216" w:rsidRDefault="00826C07" w:rsidP="00826C07">
            <w:pPr>
              <w:pStyle w:val="StyleWisnow"/>
              <w:rPr>
                <w:color w:val="000000" w:themeColor="text1"/>
              </w:rPr>
            </w:pPr>
          </w:p>
        </w:tc>
        <w:tc>
          <w:tcPr>
            <w:tcW w:w="4818" w:type="dxa"/>
          </w:tcPr>
          <w:p w14:paraId="548CDCF5" w14:textId="72296F0D" w:rsidR="00826C07" w:rsidRPr="00286216" w:rsidRDefault="00826C07" w:rsidP="00826C07">
            <w:pPr>
              <w:pStyle w:val="StyleZakonu"/>
              <w:rPr>
                <w:color w:val="000000" w:themeColor="text1"/>
              </w:rPr>
            </w:pPr>
            <w:r w:rsidRPr="00286216">
              <w:rPr>
                <w:color w:val="000000" w:themeColor="text1"/>
              </w:rPr>
              <w:t>21) у статті 1076</w:t>
            </w:r>
            <w:r w:rsidRPr="00286216">
              <w:rPr>
                <w:color w:val="000000" w:themeColor="text1"/>
                <w:vertAlign w:val="superscript"/>
              </w:rPr>
              <w:t>2</w:t>
            </w:r>
            <w:r w:rsidRPr="00286216">
              <w:rPr>
                <w:color w:val="000000" w:themeColor="text1"/>
              </w:rPr>
              <w:t>:</w:t>
            </w:r>
          </w:p>
        </w:tc>
      </w:tr>
      <w:tr w:rsidR="00826C07" w:rsidRPr="00286216" w14:paraId="62BB9A24" w14:textId="77777777" w:rsidTr="00091AA5">
        <w:tc>
          <w:tcPr>
            <w:tcW w:w="576" w:type="dxa"/>
          </w:tcPr>
          <w:p w14:paraId="5D2B9549" w14:textId="77777777" w:rsidR="00826C07" w:rsidRPr="00286216" w:rsidRDefault="00826C07" w:rsidP="00826C07">
            <w:pPr>
              <w:pStyle w:val="StyleWisnow"/>
              <w:rPr>
                <w:color w:val="000000" w:themeColor="text1"/>
              </w:rPr>
            </w:pPr>
            <w:bookmarkStart w:id="2597" w:name="n2726" w:colFirst="0" w:colLast="0"/>
            <w:bookmarkEnd w:id="2596"/>
            <w:r w:rsidRPr="00286216">
              <w:rPr>
                <w:color w:val="000000" w:themeColor="text1"/>
              </w:rPr>
              <w:t>2726.</w:t>
            </w:r>
          </w:p>
        </w:tc>
        <w:tc>
          <w:tcPr>
            <w:tcW w:w="4818" w:type="dxa"/>
          </w:tcPr>
          <w:p w14:paraId="6C0AF6AC" w14:textId="77777777" w:rsidR="00826C07" w:rsidRPr="00286216" w:rsidRDefault="00826C07" w:rsidP="00826C07">
            <w:pPr>
              <w:pStyle w:val="StyleZakonu"/>
              <w:rPr>
                <w:color w:val="000000" w:themeColor="text1"/>
              </w:rPr>
            </w:pPr>
            <w:r w:rsidRPr="00286216">
              <w:rPr>
                <w:color w:val="000000" w:themeColor="text1"/>
              </w:rPr>
              <w:t>а) частину першу після слів "перерахування бенефіціару" доповнити словами знаками "(в разі надання бенефіціаром письмової вказівки банку - вказаній ним особі)", а після слів "таких коштів бенефіціару" доповнити словами та знаками "(в разі надання бенефіціаром письмової вказівки банку - вказаній ним особі)";</w:t>
            </w:r>
          </w:p>
        </w:tc>
        <w:tc>
          <w:tcPr>
            <w:tcW w:w="3686" w:type="dxa"/>
          </w:tcPr>
          <w:p w14:paraId="7BA60690" w14:textId="61508182"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B56B9AD" w14:textId="77777777" w:rsidR="00826C07" w:rsidRPr="00286216" w:rsidRDefault="00826C07" w:rsidP="005E439C">
            <w:pPr>
              <w:spacing w:line="180" w:lineRule="exact"/>
              <w:ind w:firstLine="227"/>
              <w:jc w:val="both"/>
              <w:rPr>
                <w:color w:val="000000" w:themeColor="text1"/>
                <w:szCs w:val="18"/>
              </w:rPr>
            </w:pPr>
            <w:r w:rsidRPr="00286216">
              <w:rPr>
                <w:color w:val="000000" w:themeColor="text1"/>
                <w:sz w:val="18"/>
              </w:rPr>
              <w:t>У підпункті 19 пункту 5 розділу 3, якими пропонується внести зміни до статей 1076-2 , після слів «в разі надання бенефіціаром письмової вказівки банку – вказаній ним особі» доповнити словами «якщо це передбачено відповідним договором».</w:t>
            </w:r>
          </w:p>
        </w:tc>
        <w:tc>
          <w:tcPr>
            <w:tcW w:w="1987" w:type="dxa"/>
          </w:tcPr>
          <w:p w14:paraId="391DE2F6"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4A98CB49" w14:textId="017D7623" w:rsidR="00826C07" w:rsidRPr="00286216" w:rsidRDefault="00826C07" w:rsidP="005E439C">
            <w:pPr>
              <w:pStyle w:val="StyleZakonu"/>
              <w:rPr>
                <w:color w:val="000000" w:themeColor="text1"/>
              </w:rPr>
            </w:pPr>
            <w:r w:rsidRPr="00286216">
              <w:rPr>
                <w:color w:val="000000" w:themeColor="text1"/>
              </w:rPr>
              <w:t xml:space="preserve">а) </w:t>
            </w:r>
            <w:r w:rsidR="005E439C" w:rsidRPr="00286216">
              <w:rPr>
                <w:color w:val="000000" w:themeColor="text1"/>
              </w:rPr>
              <w:t xml:space="preserve">перше речення </w:t>
            </w:r>
            <w:r w:rsidRPr="00286216">
              <w:rPr>
                <w:color w:val="000000" w:themeColor="text1"/>
              </w:rPr>
              <w:t>частин</w:t>
            </w:r>
            <w:r w:rsidR="005E439C" w:rsidRPr="00286216">
              <w:rPr>
                <w:color w:val="000000" w:themeColor="text1"/>
              </w:rPr>
              <w:t>и</w:t>
            </w:r>
            <w:r w:rsidRPr="00286216">
              <w:rPr>
                <w:color w:val="000000" w:themeColor="text1"/>
              </w:rPr>
              <w:t xml:space="preserve"> перш</w:t>
            </w:r>
            <w:r w:rsidR="005E439C" w:rsidRPr="00286216">
              <w:rPr>
                <w:color w:val="000000" w:themeColor="text1"/>
              </w:rPr>
              <w:t>ої</w:t>
            </w:r>
            <w:r w:rsidRPr="00286216">
              <w:rPr>
                <w:color w:val="000000" w:themeColor="text1"/>
              </w:rPr>
              <w:t xml:space="preserve"> після слів "перерахування бенефіціару" доповнити словами "(</w:t>
            </w:r>
            <w:r w:rsidR="005E439C" w:rsidRPr="00286216">
              <w:rPr>
                <w:color w:val="000000" w:themeColor="text1"/>
              </w:rPr>
              <w:t>у</w:t>
            </w:r>
            <w:r w:rsidRPr="00286216">
              <w:rPr>
                <w:color w:val="000000" w:themeColor="text1"/>
              </w:rPr>
              <w:t xml:space="preserve"> разі надання бенефіціаром письмової вказівки банку - вказаній ним особі</w:t>
            </w:r>
            <w:r w:rsidR="005E439C" w:rsidRPr="00286216">
              <w:rPr>
                <w:color w:val="000000" w:themeColor="text1"/>
              </w:rPr>
              <w:t>,</w:t>
            </w:r>
            <w:r w:rsidRPr="00286216">
              <w:rPr>
                <w:color w:val="000000" w:themeColor="text1"/>
                <w:sz w:val="18"/>
              </w:rPr>
              <w:t xml:space="preserve"> </w:t>
            </w:r>
            <w:r w:rsidRPr="00286216">
              <w:rPr>
                <w:color w:val="000000" w:themeColor="text1"/>
              </w:rPr>
              <w:t>якщо це передбачено відповідним договором)", а після слів "таких коштів бенефіціару"</w:t>
            </w:r>
            <w:r w:rsidR="005E439C" w:rsidRPr="00286216">
              <w:rPr>
                <w:color w:val="000000" w:themeColor="text1"/>
              </w:rPr>
              <w:t xml:space="preserve">– </w:t>
            </w:r>
            <w:r w:rsidRPr="00286216">
              <w:rPr>
                <w:color w:val="000000" w:themeColor="text1"/>
              </w:rPr>
              <w:t>словами "(</w:t>
            </w:r>
            <w:r w:rsidR="005E439C" w:rsidRPr="00286216">
              <w:rPr>
                <w:color w:val="000000" w:themeColor="text1"/>
              </w:rPr>
              <w:t>у</w:t>
            </w:r>
            <w:r w:rsidRPr="00286216">
              <w:rPr>
                <w:color w:val="000000" w:themeColor="text1"/>
              </w:rPr>
              <w:t xml:space="preserve"> разі надання бенефіціаром письмової вказівки банку - вказаній ним особі,</w:t>
            </w:r>
            <w:r w:rsidRPr="00286216">
              <w:rPr>
                <w:color w:val="000000" w:themeColor="text1"/>
                <w:sz w:val="18"/>
              </w:rPr>
              <w:t xml:space="preserve"> </w:t>
            </w:r>
            <w:r w:rsidRPr="00286216">
              <w:rPr>
                <w:color w:val="000000" w:themeColor="text1"/>
              </w:rPr>
              <w:t>якщо це передбачено відповідним договором)";</w:t>
            </w:r>
          </w:p>
        </w:tc>
      </w:tr>
      <w:tr w:rsidR="00826C07" w:rsidRPr="00286216" w14:paraId="0EB254FB" w14:textId="77777777" w:rsidTr="00091AA5">
        <w:tc>
          <w:tcPr>
            <w:tcW w:w="576" w:type="dxa"/>
          </w:tcPr>
          <w:p w14:paraId="52154320" w14:textId="77777777" w:rsidR="00826C07" w:rsidRPr="00286216" w:rsidRDefault="00826C07" w:rsidP="00826C07">
            <w:pPr>
              <w:pStyle w:val="StyleWisnow"/>
              <w:rPr>
                <w:color w:val="000000" w:themeColor="text1"/>
              </w:rPr>
            </w:pPr>
            <w:bookmarkStart w:id="2598" w:name="n2727" w:colFirst="0" w:colLast="0"/>
            <w:bookmarkEnd w:id="2597"/>
            <w:r w:rsidRPr="00286216">
              <w:rPr>
                <w:color w:val="000000" w:themeColor="text1"/>
              </w:rPr>
              <w:t>2727.</w:t>
            </w:r>
          </w:p>
        </w:tc>
        <w:tc>
          <w:tcPr>
            <w:tcW w:w="4818" w:type="dxa"/>
          </w:tcPr>
          <w:p w14:paraId="14BCF99F" w14:textId="77777777" w:rsidR="00826C07" w:rsidRPr="00286216" w:rsidRDefault="00826C07" w:rsidP="00826C07">
            <w:pPr>
              <w:pStyle w:val="StyleZakonu"/>
              <w:rPr>
                <w:color w:val="000000" w:themeColor="text1"/>
              </w:rPr>
            </w:pPr>
            <w:r w:rsidRPr="00286216">
              <w:rPr>
                <w:color w:val="000000" w:themeColor="text1"/>
              </w:rPr>
              <w:t>б) у частині третій:</w:t>
            </w:r>
          </w:p>
        </w:tc>
        <w:tc>
          <w:tcPr>
            <w:tcW w:w="3686" w:type="dxa"/>
          </w:tcPr>
          <w:p w14:paraId="30C0F7D1" w14:textId="77777777" w:rsidR="00826C07" w:rsidRPr="00286216" w:rsidRDefault="00826C07" w:rsidP="00826C07">
            <w:pPr>
              <w:pStyle w:val="StyleProp"/>
              <w:rPr>
                <w:color w:val="000000" w:themeColor="text1"/>
                <w:szCs w:val="18"/>
              </w:rPr>
            </w:pPr>
          </w:p>
        </w:tc>
        <w:tc>
          <w:tcPr>
            <w:tcW w:w="1987" w:type="dxa"/>
          </w:tcPr>
          <w:p w14:paraId="75EFE976" w14:textId="77777777" w:rsidR="00826C07" w:rsidRPr="00286216" w:rsidRDefault="00826C07" w:rsidP="00826C07">
            <w:pPr>
              <w:pStyle w:val="StyleWisnow"/>
              <w:rPr>
                <w:color w:val="000000" w:themeColor="text1"/>
              </w:rPr>
            </w:pPr>
          </w:p>
        </w:tc>
        <w:tc>
          <w:tcPr>
            <w:tcW w:w="4818" w:type="dxa"/>
          </w:tcPr>
          <w:p w14:paraId="0FDC3A39" w14:textId="77777777" w:rsidR="00826C07" w:rsidRPr="00286216" w:rsidRDefault="00826C07" w:rsidP="00826C07">
            <w:pPr>
              <w:pStyle w:val="StyleZakonu"/>
              <w:rPr>
                <w:color w:val="000000" w:themeColor="text1"/>
              </w:rPr>
            </w:pPr>
            <w:r w:rsidRPr="00286216">
              <w:rPr>
                <w:color w:val="000000" w:themeColor="text1"/>
              </w:rPr>
              <w:t>б) у частині третій:</w:t>
            </w:r>
          </w:p>
        </w:tc>
      </w:tr>
      <w:tr w:rsidR="00826C07" w:rsidRPr="00286216" w14:paraId="77BA7D69" w14:textId="77777777" w:rsidTr="00091AA5">
        <w:tc>
          <w:tcPr>
            <w:tcW w:w="576" w:type="dxa"/>
          </w:tcPr>
          <w:p w14:paraId="6A72E478" w14:textId="77777777" w:rsidR="00826C07" w:rsidRPr="00286216" w:rsidRDefault="00826C07" w:rsidP="00826C07">
            <w:pPr>
              <w:pStyle w:val="StyleWisnow"/>
              <w:rPr>
                <w:color w:val="000000" w:themeColor="text1"/>
              </w:rPr>
            </w:pPr>
            <w:bookmarkStart w:id="2599" w:name="n2728" w:colFirst="0" w:colLast="0"/>
            <w:bookmarkEnd w:id="2598"/>
            <w:r w:rsidRPr="00286216">
              <w:rPr>
                <w:color w:val="000000" w:themeColor="text1"/>
              </w:rPr>
              <w:t>2728.</w:t>
            </w:r>
          </w:p>
        </w:tc>
        <w:tc>
          <w:tcPr>
            <w:tcW w:w="4818" w:type="dxa"/>
          </w:tcPr>
          <w:p w14:paraId="54B3ADC7" w14:textId="77777777" w:rsidR="00826C07" w:rsidRPr="00286216" w:rsidRDefault="00826C07" w:rsidP="00826C07">
            <w:pPr>
              <w:pStyle w:val="StyleZakonu"/>
              <w:rPr>
                <w:color w:val="000000" w:themeColor="text1"/>
              </w:rPr>
            </w:pPr>
            <w:r w:rsidRPr="00286216">
              <w:rPr>
                <w:color w:val="000000" w:themeColor="text1"/>
              </w:rPr>
              <w:t>перше речення після слів "(ексроу), бенефіціару" доповнити словами та знаками "(в разі надання бенефіціаром письмової вказівки банку - вказаній ним особі).";</w:t>
            </w:r>
          </w:p>
        </w:tc>
        <w:tc>
          <w:tcPr>
            <w:tcW w:w="3686" w:type="dxa"/>
          </w:tcPr>
          <w:p w14:paraId="0C1E9180" w14:textId="5A657642"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BC085B0" w14:textId="77777777" w:rsidR="00826C07" w:rsidRPr="00286216" w:rsidRDefault="00826C07" w:rsidP="005E439C">
            <w:pPr>
              <w:pStyle w:val="StyleProp"/>
              <w:spacing w:line="180" w:lineRule="exact"/>
              <w:rPr>
                <w:color w:val="000000" w:themeColor="text1"/>
                <w:szCs w:val="18"/>
              </w:rPr>
            </w:pPr>
            <w:r w:rsidRPr="00286216">
              <w:rPr>
                <w:color w:val="000000" w:themeColor="text1"/>
              </w:rPr>
              <w:t>У підпункті 19 пункту 5 розділу 3, якими пропонується внести зміни до статей 1076-2 , після слів «в разі надання бенефіціаром письмової вказівки банку – вказаній ним особі» доповнити словами «якщо це передбачено відповідним договором».</w:t>
            </w:r>
          </w:p>
        </w:tc>
        <w:tc>
          <w:tcPr>
            <w:tcW w:w="1987" w:type="dxa"/>
          </w:tcPr>
          <w:p w14:paraId="73D56E87"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5DFE16B8" w14:textId="06A22D17" w:rsidR="00826C07" w:rsidRPr="00286216" w:rsidRDefault="00826C07" w:rsidP="005E439C">
            <w:pPr>
              <w:pStyle w:val="StyleZakonu"/>
              <w:rPr>
                <w:color w:val="000000" w:themeColor="text1"/>
              </w:rPr>
            </w:pPr>
            <w:r w:rsidRPr="00286216">
              <w:rPr>
                <w:color w:val="000000" w:themeColor="text1"/>
              </w:rPr>
              <w:t>перше речення  доповнити словами "(</w:t>
            </w:r>
            <w:r w:rsidR="005E439C" w:rsidRPr="00286216">
              <w:rPr>
                <w:color w:val="000000" w:themeColor="text1"/>
              </w:rPr>
              <w:t>у</w:t>
            </w:r>
            <w:r w:rsidRPr="00286216">
              <w:rPr>
                <w:color w:val="000000" w:themeColor="text1"/>
              </w:rPr>
              <w:t xml:space="preserve"> разі надання бенефіціаром письмової вказівки банку </w:t>
            </w:r>
            <w:r w:rsidR="005E439C" w:rsidRPr="00286216">
              <w:rPr>
                <w:color w:val="000000" w:themeColor="text1"/>
              </w:rPr>
              <w:t>–</w:t>
            </w:r>
            <w:r w:rsidRPr="00286216">
              <w:rPr>
                <w:color w:val="000000" w:themeColor="text1"/>
              </w:rPr>
              <w:t xml:space="preserve"> вказаній ним особі, якщо це передбачено відповідним договором)";</w:t>
            </w:r>
          </w:p>
        </w:tc>
      </w:tr>
      <w:tr w:rsidR="00826C07" w:rsidRPr="00286216" w14:paraId="66E449F3" w14:textId="77777777" w:rsidTr="00091AA5">
        <w:tc>
          <w:tcPr>
            <w:tcW w:w="576" w:type="dxa"/>
          </w:tcPr>
          <w:p w14:paraId="486A2CEA" w14:textId="77777777" w:rsidR="00826C07" w:rsidRPr="00286216" w:rsidRDefault="00826C07" w:rsidP="00826C07">
            <w:pPr>
              <w:pStyle w:val="StyleWisnow"/>
              <w:rPr>
                <w:color w:val="000000" w:themeColor="text1"/>
              </w:rPr>
            </w:pPr>
            <w:bookmarkStart w:id="2600" w:name="n2729" w:colFirst="0" w:colLast="0"/>
            <w:bookmarkEnd w:id="2599"/>
            <w:r w:rsidRPr="00286216">
              <w:rPr>
                <w:color w:val="000000" w:themeColor="text1"/>
              </w:rPr>
              <w:t>2729.</w:t>
            </w:r>
          </w:p>
        </w:tc>
        <w:tc>
          <w:tcPr>
            <w:tcW w:w="4818" w:type="dxa"/>
          </w:tcPr>
          <w:p w14:paraId="2C49EBF2" w14:textId="77777777" w:rsidR="00826C07" w:rsidRPr="00286216" w:rsidRDefault="00826C07" w:rsidP="00826C07">
            <w:pPr>
              <w:pStyle w:val="StyleZakonu"/>
              <w:spacing w:after="20"/>
              <w:rPr>
                <w:color w:val="000000" w:themeColor="text1"/>
              </w:rPr>
            </w:pPr>
            <w:r w:rsidRPr="00286216">
              <w:rPr>
                <w:color w:val="000000" w:themeColor="text1"/>
              </w:rPr>
              <w:t>друге речення після слів "перерахування бенефіціару" доповнити словами "або вказаній ним особі";</w:t>
            </w:r>
          </w:p>
        </w:tc>
        <w:tc>
          <w:tcPr>
            <w:tcW w:w="3686" w:type="dxa"/>
          </w:tcPr>
          <w:p w14:paraId="2AED5BB6" w14:textId="77777777" w:rsidR="00826C07" w:rsidRPr="00286216" w:rsidRDefault="00826C07" w:rsidP="00826C07">
            <w:pPr>
              <w:pStyle w:val="StyleProp"/>
              <w:rPr>
                <w:color w:val="000000" w:themeColor="text1"/>
                <w:szCs w:val="18"/>
              </w:rPr>
            </w:pPr>
          </w:p>
        </w:tc>
        <w:tc>
          <w:tcPr>
            <w:tcW w:w="1987" w:type="dxa"/>
          </w:tcPr>
          <w:p w14:paraId="6EE422D1" w14:textId="77777777" w:rsidR="00826C07" w:rsidRPr="00286216" w:rsidRDefault="00826C07" w:rsidP="00826C07">
            <w:pPr>
              <w:pStyle w:val="StyleWisnow"/>
              <w:rPr>
                <w:color w:val="000000" w:themeColor="text1"/>
              </w:rPr>
            </w:pPr>
          </w:p>
        </w:tc>
        <w:tc>
          <w:tcPr>
            <w:tcW w:w="4818" w:type="dxa"/>
          </w:tcPr>
          <w:p w14:paraId="411893A0" w14:textId="77777777" w:rsidR="00826C07" w:rsidRPr="00286216" w:rsidRDefault="00826C07" w:rsidP="00826C07">
            <w:pPr>
              <w:pStyle w:val="StyleZakonu"/>
              <w:spacing w:after="20"/>
              <w:rPr>
                <w:color w:val="000000" w:themeColor="text1"/>
              </w:rPr>
            </w:pPr>
            <w:r w:rsidRPr="00286216">
              <w:rPr>
                <w:color w:val="000000" w:themeColor="text1"/>
              </w:rPr>
              <w:t>друге речення після слів "перерахування бенефіціару" доповнити словами "або вказаній ним особі";</w:t>
            </w:r>
          </w:p>
        </w:tc>
      </w:tr>
      <w:tr w:rsidR="00826C07" w:rsidRPr="00286216" w14:paraId="468E9942" w14:textId="77777777" w:rsidTr="00091AA5">
        <w:tc>
          <w:tcPr>
            <w:tcW w:w="576" w:type="dxa"/>
          </w:tcPr>
          <w:p w14:paraId="5EF5CD89" w14:textId="77777777" w:rsidR="00826C07" w:rsidRPr="00286216" w:rsidRDefault="00826C07" w:rsidP="00826C07">
            <w:pPr>
              <w:pStyle w:val="StyleWisnow"/>
              <w:rPr>
                <w:color w:val="000000" w:themeColor="text1"/>
              </w:rPr>
            </w:pPr>
            <w:bookmarkStart w:id="2601" w:name="n2730" w:colFirst="0" w:colLast="0"/>
            <w:bookmarkEnd w:id="2600"/>
            <w:r w:rsidRPr="00286216">
              <w:rPr>
                <w:color w:val="000000" w:themeColor="text1"/>
              </w:rPr>
              <w:t>2730.</w:t>
            </w:r>
          </w:p>
        </w:tc>
        <w:tc>
          <w:tcPr>
            <w:tcW w:w="4818" w:type="dxa"/>
          </w:tcPr>
          <w:p w14:paraId="16DAEDF1" w14:textId="77777777" w:rsidR="00826C07" w:rsidRPr="00286216" w:rsidRDefault="00826C07" w:rsidP="00826C07">
            <w:pPr>
              <w:pStyle w:val="StyleZakonu"/>
              <w:rPr>
                <w:color w:val="000000" w:themeColor="text1"/>
              </w:rPr>
            </w:pPr>
            <w:r w:rsidRPr="00286216">
              <w:rPr>
                <w:color w:val="000000" w:themeColor="text1"/>
              </w:rPr>
              <w:t>20) у статті 1076</w:t>
            </w:r>
            <w:r w:rsidRPr="00286216">
              <w:rPr>
                <w:color w:val="000000" w:themeColor="text1"/>
                <w:vertAlign w:val="superscript"/>
              </w:rPr>
              <w:t>3</w:t>
            </w:r>
            <w:r w:rsidRPr="00286216">
              <w:rPr>
                <w:color w:val="000000" w:themeColor="text1"/>
              </w:rPr>
              <w:t>:</w:t>
            </w:r>
          </w:p>
        </w:tc>
        <w:tc>
          <w:tcPr>
            <w:tcW w:w="3686" w:type="dxa"/>
          </w:tcPr>
          <w:p w14:paraId="67E702FA" w14:textId="77777777" w:rsidR="00826C07" w:rsidRPr="00286216" w:rsidRDefault="00826C07" w:rsidP="00826C07">
            <w:pPr>
              <w:pStyle w:val="StyleProp"/>
              <w:rPr>
                <w:color w:val="000000" w:themeColor="text1"/>
                <w:szCs w:val="18"/>
              </w:rPr>
            </w:pPr>
          </w:p>
        </w:tc>
        <w:tc>
          <w:tcPr>
            <w:tcW w:w="1987" w:type="dxa"/>
          </w:tcPr>
          <w:p w14:paraId="246A1527" w14:textId="77777777" w:rsidR="00826C07" w:rsidRPr="00286216" w:rsidRDefault="00826C07" w:rsidP="00826C07">
            <w:pPr>
              <w:pStyle w:val="StyleWisnow"/>
              <w:rPr>
                <w:color w:val="000000" w:themeColor="text1"/>
              </w:rPr>
            </w:pPr>
          </w:p>
        </w:tc>
        <w:tc>
          <w:tcPr>
            <w:tcW w:w="4818" w:type="dxa"/>
          </w:tcPr>
          <w:p w14:paraId="14BA34F7" w14:textId="474B5636" w:rsidR="00826C07" w:rsidRPr="00286216" w:rsidRDefault="00826C07" w:rsidP="00826C07">
            <w:pPr>
              <w:pStyle w:val="StyleZakonu"/>
              <w:rPr>
                <w:color w:val="000000" w:themeColor="text1"/>
              </w:rPr>
            </w:pPr>
            <w:r w:rsidRPr="00286216">
              <w:rPr>
                <w:color w:val="000000" w:themeColor="text1"/>
              </w:rPr>
              <w:t>22) у статті 1076</w:t>
            </w:r>
            <w:r w:rsidRPr="00286216">
              <w:rPr>
                <w:color w:val="000000" w:themeColor="text1"/>
                <w:vertAlign w:val="superscript"/>
              </w:rPr>
              <w:t>3</w:t>
            </w:r>
            <w:r w:rsidRPr="00286216">
              <w:rPr>
                <w:color w:val="000000" w:themeColor="text1"/>
              </w:rPr>
              <w:t>:</w:t>
            </w:r>
          </w:p>
        </w:tc>
      </w:tr>
      <w:tr w:rsidR="00826C07" w:rsidRPr="00286216" w14:paraId="4C48BC68" w14:textId="77777777" w:rsidTr="00091AA5">
        <w:tc>
          <w:tcPr>
            <w:tcW w:w="576" w:type="dxa"/>
          </w:tcPr>
          <w:p w14:paraId="679A5549" w14:textId="77777777" w:rsidR="00826C07" w:rsidRPr="00286216" w:rsidRDefault="00826C07" w:rsidP="00826C07">
            <w:pPr>
              <w:pStyle w:val="StyleWisnow"/>
              <w:rPr>
                <w:color w:val="000000" w:themeColor="text1"/>
              </w:rPr>
            </w:pPr>
            <w:bookmarkStart w:id="2602" w:name="n2731" w:colFirst="0" w:colLast="0"/>
            <w:bookmarkEnd w:id="2601"/>
            <w:r w:rsidRPr="00286216">
              <w:rPr>
                <w:color w:val="000000" w:themeColor="text1"/>
              </w:rPr>
              <w:t>2731.</w:t>
            </w:r>
          </w:p>
        </w:tc>
        <w:tc>
          <w:tcPr>
            <w:tcW w:w="4818" w:type="dxa"/>
          </w:tcPr>
          <w:p w14:paraId="26C6C955" w14:textId="77777777" w:rsidR="00826C07" w:rsidRPr="00286216" w:rsidRDefault="00826C07" w:rsidP="00826C07">
            <w:pPr>
              <w:pStyle w:val="StyleZakonu"/>
              <w:spacing w:after="20"/>
              <w:rPr>
                <w:color w:val="000000" w:themeColor="text1"/>
              </w:rPr>
            </w:pPr>
            <w:r w:rsidRPr="00286216">
              <w:rPr>
                <w:color w:val="000000" w:themeColor="text1"/>
              </w:rPr>
              <w:t>а) у частині другій слово "особою" виключити, а слова "цій особі" замінити словами "відповідній особі";</w:t>
            </w:r>
          </w:p>
        </w:tc>
        <w:tc>
          <w:tcPr>
            <w:tcW w:w="3686" w:type="dxa"/>
          </w:tcPr>
          <w:p w14:paraId="3326865D" w14:textId="77777777" w:rsidR="00826C07" w:rsidRPr="00286216" w:rsidRDefault="00826C07" w:rsidP="00826C07">
            <w:pPr>
              <w:pStyle w:val="StyleProp"/>
              <w:rPr>
                <w:color w:val="000000" w:themeColor="text1"/>
                <w:szCs w:val="18"/>
              </w:rPr>
            </w:pPr>
          </w:p>
        </w:tc>
        <w:tc>
          <w:tcPr>
            <w:tcW w:w="1987" w:type="dxa"/>
          </w:tcPr>
          <w:p w14:paraId="67FD785F" w14:textId="77777777" w:rsidR="00826C07" w:rsidRPr="00286216" w:rsidRDefault="00826C07" w:rsidP="00826C07">
            <w:pPr>
              <w:pStyle w:val="StyleWisnow"/>
              <w:rPr>
                <w:color w:val="000000" w:themeColor="text1"/>
              </w:rPr>
            </w:pPr>
          </w:p>
        </w:tc>
        <w:tc>
          <w:tcPr>
            <w:tcW w:w="4818" w:type="dxa"/>
          </w:tcPr>
          <w:p w14:paraId="01FFC582" w14:textId="77777777" w:rsidR="00826C07" w:rsidRPr="00286216" w:rsidRDefault="00826C07" w:rsidP="00826C07">
            <w:pPr>
              <w:pStyle w:val="StyleZakonu"/>
              <w:spacing w:after="20"/>
              <w:rPr>
                <w:color w:val="000000" w:themeColor="text1"/>
              </w:rPr>
            </w:pPr>
            <w:r w:rsidRPr="00286216">
              <w:rPr>
                <w:color w:val="000000" w:themeColor="text1"/>
              </w:rPr>
              <w:t>а) у частині другій слово "особою" виключити, а слова "цій особі" замінити словами "відповідній особі";</w:t>
            </w:r>
          </w:p>
        </w:tc>
      </w:tr>
      <w:tr w:rsidR="00826C07" w:rsidRPr="00286216" w14:paraId="2903D6C8" w14:textId="77777777" w:rsidTr="00091AA5">
        <w:tc>
          <w:tcPr>
            <w:tcW w:w="576" w:type="dxa"/>
          </w:tcPr>
          <w:p w14:paraId="1D70B3C2" w14:textId="77777777" w:rsidR="00826C07" w:rsidRPr="00286216" w:rsidRDefault="00826C07" w:rsidP="00826C07">
            <w:pPr>
              <w:pStyle w:val="StyleWisnow"/>
              <w:rPr>
                <w:color w:val="000000" w:themeColor="text1"/>
              </w:rPr>
            </w:pPr>
            <w:bookmarkStart w:id="2603" w:name="n2732" w:colFirst="0" w:colLast="0"/>
            <w:bookmarkEnd w:id="2602"/>
            <w:r w:rsidRPr="00286216">
              <w:rPr>
                <w:color w:val="000000" w:themeColor="text1"/>
              </w:rPr>
              <w:t>2732.</w:t>
            </w:r>
          </w:p>
        </w:tc>
        <w:tc>
          <w:tcPr>
            <w:tcW w:w="4818" w:type="dxa"/>
          </w:tcPr>
          <w:p w14:paraId="07ACD905" w14:textId="77777777" w:rsidR="00826C07" w:rsidRPr="00286216" w:rsidRDefault="00826C07" w:rsidP="00826C07">
            <w:pPr>
              <w:pStyle w:val="StyleZakonu"/>
              <w:rPr>
                <w:color w:val="000000" w:themeColor="text1"/>
              </w:rPr>
            </w:pPr>
            <w:r w:rsidRPr="00286216">
              <w:rPr>
                <w:color w:val="000000" w:themeColor="text1"/>
              </w:rPr>
              <w:t xml:space="preserve">б) перше речення частини четвертої після слів "коштів бенефіціару" доповнити словами та знаками </w:t>
            </w:r>
            <w:r w:rsidRPr="00286216">
              <w:rPr>
                <w:color w:val="000000" w:themeColor="text1"/>
              </w:rPr>
              <w:lastRenderedPageBreak/>
              <w:t>"(в разі надання бенефіціаром письмової вказівки банку - вказаній ним особі)", а слова "зазначену в договорі" замінити словами "про що зазначається у договорі";</w:t>
            </w:r>
          </w:p>
        </w:tc>
        <w:tc>
          <w:tcPr>
            <w:tcW w:w="3686" w:type="dxa"/>
          </w:tcPr>
          <w:p w14:paraId="0D0E497F" w14:textId="40721982"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lastRenderedPageBreak/>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82634D8"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 xml:space="preserve">У підпункті 20 пункту 5 розділу 3, якими </w:t>
            </w:r>
            <w:r w:rsidRPr="00286216">
              <w:rPr>
                <w:color w:val="000000" w:themeColor="text1"/>
                <w:sz w:val="18"/>
              </w:rPr>
              <w:lastRenderedPageBreak/>
              <w:t>пропонується внести зміни до статей 1076-3 , після слів «в разі надання бенефіціаром письмової вказівки банку – вказаній ним особі» доповнити словами «якщо це передбачено відповідним договором».</w:t>
            </w:r>
          </w:p>
        </w:tc>
        <w:tc>
          <w:tcPr>
            <w:tcW w:w="1987" w:type="dxa"/>
          </w:tcPr>
          <w:p w14:paraId="6CC64D02" w14:textId="77777777" w:rsidR="00826C07" w:rsidRPr="00286216" w:rsidRDefault="00826C07" w:rsidP="00826C07">
            <w:pPr>
              <w:pStyle w:val="StyleWisnow"/>
              <w:rPr>
                <w:color w:val="000000" w:themeColor="text1"/>
              </w:rPr>
            </w:pPr>
            <w:r w:rsidRPr="00286216">
              <w:rPr>
                <w:color w:val="000000" w:themeColor="text1"/>
              </w:rPr>
              <w:lastRenderedPageBreak/>
              <w:t>Враховано</w:t>
            </w:r>
          </w:p>
        </w:tc>
        <w:tc>
          <w:tcPr>
            <w:tcW w:w="4818" w:type="dxa"/>
          </w:tcPr>
          <w:p w14:paraId="0E854063" w14:textId="59641F8F" w:rsidR="00826C07" w:rsidRPr="00286216" w:rsidRDefault="00826C07" w:rsidP="005E439C">
            <w:pPr>
              <w:pStyle w:val="StyleZakonu"/>
              <w:rPr>
                <w:color w:val="000000" w:themeColor="text1"/>
              </w:rPr>
            </w:pPr>
            <w:r w:rsidRPr="00286216">
              <w:rPr>
                <w:color w:val="000000" w:themeColor="text1"/>
              </w:rPr>
              <w:t>б) перше речення частини четвертої після слів "коштів бенефіціару" доповнити словами "(</w:t>
            </w:r>
            <w:r w:rsidR="005E439C" w:rsidRPr="00286216">
              <w:rPr>
                <w:color w:val="000000" w:themeColor="text1"/>
              </w:rPr>
              <w:t>у</w:t>
            </w:r>
            <w:r w:rsidRPr="00286216">
              <w:rPr>
                <w:color w:val="000000" w:themeColor="text1"/>
              </w:rPr>
              <w:t xml:space="preserve"> разі </w:t>
            </w:r>
            <w:r w:rsidRPr="00286216">
              <w:rPr>
                <w:color w:val="000000" w:themeColor="text1"/>
              </w:rPr>
              <w:lastRenderedPageBreak/>
              <w:t>надання бенефіціаром письмової вказівки банку - вказаній ним особі)", а слова "зазначену в договорі" замінити словами "про що зазначається у договорі";</w:t>
            </w:r>
          </w:p>
        </w:tc>
      </w:tr>
      <w:tr w:rsidR="00826C07" w:rsidRPr="00286216" w14:paraId="0C729813" w14:textId="77777777" w:rsidTr="00091AA5">
        <w:tc>
          <w:tcPr>
            <w:tcW w:w="576" w:type="dxa"/>
          </w:tcPr>
          <w:p w14:paraId="13536EB5" w14:textId="77777777" w:rsidR="00826C07" w:rsidRPr="00286216" w:rsidRDefault="00826C07" w:rsidP="00826C07">
            <w:pPr>
              <w:pStyle w:val="StyleWisnow"/>
              <w:rPr>
                <w:color w:val="000000" w:themeColor="text1"/>
              </w:rPr>
            </w:pPr>
            <w:bookmarkStart w:id="2604" w:name="n2733" w:colFirst="0" w:colLast="0"/>
            <w:bookmarkEnd w:id="2603"/>
            <w:r w:rsidRPr="00286216">
              <w:rPr>
                <w:color w:val="000000" w:themeColor="text1"/>
              </w:rPr>
              <w:lastRenderedPageBreak/>
              <w:t>2733.</w:t>
            </w:r>
          </w:p>
        </w:tc>
        <w:tc>
          <w:tcPr>
            <w:tcW w:w="4818" w:type="dxa"/>
          </w:tcPr>
          <w:p w14:paraId="02CAC423" w14:textId="77777777" w:rsidR="00826C07" w:rsidRPr="00286216" w:rsidRDefault="00826C07" w:rsidP="00826C07">
            <w:pPr>
              <w:pStyle w:val="StyleZakonu"/>
              <w:rPr>
                <w:color w:val="000000" w:themeColor="text1"/>
              </w:rPr>
            </w:pPr>
            <w:r w:rsidRPr="00286216">
              <w:rPr>
                <w:color w:val="000000" w:themeColor="text1"/>
              </w:rPr>
              <w:t>21) у частині четвертій статті 1076</w:t>
            </w:r>
            <w:r w:rsidRPr="00286216">
              <w:rPr>
                <w:color w:val="000000" w:themeColor="text1"/>
                <w:vertAlign w:val="superscript"/>
              </w:rPr>
              <w:t>8</w:t>
            </w:r>
            <w:r w:rsidRPr="00286216">
              <w:rPr>
                <w:color w:val="000000" w:themeColor="text1"/>
              </w:rPr>
              <w:t>:</w:t>
            </w:r>
          </w:p>
        </w:tc>
        <w:tc>
          <w:tcPr>
            <w:tcW w:w="3686" w:type="dxa"/>
          </w:tcPr>
          <w:p w14:paraId="37D336E7" w14:textId="77777777" w:rsidR="00826C07" w:rsidRPr="00286216" w:rsidRDefault="00826C07" w:rsidP="00826C07">
            <w:pPr>
              <w:pStyle w:val="StyleProp"/>
              <w:rPr>
                <w:color w:val="000000" w:themeColor="text1"/>
                <w:szCs w:val="18"/>
              </w:rPr>
            </w:pPr>
          </w:p>
        </w:tc>
        <w:tc>
          <w:tcPr>
            <w:tcW w:w="1987" w:type="dxa"/>
          </w:tcPr>
          <w:p w14:paraId="3CEDFAA3" w14:textId="77777777" w:rsidR="00826C07" w:rsidRPr="00286216" w:rsidRDefault="00826C07" w:rsidP="00826C07">
            <w:pPr>
              <w:pStyle w:val="StyleWisnow"/>
              <w:rPr>
                <w:color w:val="000000" w:themeColor="text1"/>
              </w:rPr>
            </w:pPr>
          </w:p>
        </w:tc>
        <w:tc>
          <w:tcPr>
            <w:tcW w:w="4818" w:type="dxa"/>
          </w:tcPr>
          <w:p w14:paraId="10B50AF8" w14:textId="52D70629" w:rsidR="00826C07" w:rsidRPr="00286216" w:rsidRDefault="00826C07" w:rsidP="00826C07">
            <w:pPr>
              <w:pStyle w:val="StyleZakonu"/>
              <w:rPr>
                <w:color w:val="000000" w:themeColor="text1"/>
              </w:rPr>
            </w:pPr>
            <w:r w:rsidRPr="00286216">
              <w:rPr>
                <w:color w:val="000000" w:themeColor="text1"/>
              </w:rPr>
              <w:t>23) у частині четвертій статті 1076</w:t>
            </w:r>
            <w:r w:rsidRPr="00286216">
              <w:rPr>
                <w:color w:val="000000" w:themeColor="text1"/>
                <w:vertAlign w:val="superscript"/>
              </w:rPr>
              <w:t>8</w:t>
            </w:r>
            <w:r w:rsidRPr="00286216">
              <w:rPr>
                <w:color w:val="000000" w:themeColor="text1"/>
              </w:rPr>
              <w:t>:</w:t>
            </w:r>
          </w:p>
        </w:tc>
      </w:tr>
      <w:tr w:rsidR="00826C07" w:rsidRPr="00286216" w14:paraId="40B8943D" w14:textId="77777777" w:rsidTr="00091AA5">
        <w:tc>
          <w:tcPr>
            <w:tcW w:w="576" w:type="dxa"/>
          </w:tcPr>
          <w:p w14:paraId="2340CB6C" w14:textId="77777777" w:rsidR="00826C07" w:rsidRPr="00286216" w:rsidRDefault="00826C07" w:rsidP="00826C07">
            <w:pPr>
              <w:pStyle w:val="StyleWisnow"/>
              <w:rPr>
                <w:color w:val="000000" w:themeColor="text1"/>
              </w:rPr>
            </w:pPr>
            <w:bookmarkStart w:id="2605" w:name="n2734" w:colFirst="0" w:colLast="0"/>
            <w:bookmarkEnd w:id="2604"/>
            <w:r w:rsidRPr="00286216">
              <w:rPr>
                <w:color w:val="000000" w:themeColor="text1"/>
              </w:rPr>
              <w:t>2734.</w:t>
            </w:r>
          </w:p>
        </w:tc>
        <w:tc>
          <w:tcPr>
            <w:tcW w:w="4818" w:type="dxa"/>
          </w:tcPr>
          <w:p w14:paraId="07C8C2C2" w14:textId="77777777" w:rsidR="00826C07" w:rsidRPr="00286216" w:rsidRDefault="00826C07" w:rsidP="00826C07">
            <w:pPr>
              <w:pStyle w:val="StyleZakonu"/>
              <w:rPr>
                <w:color w:val="000000" w:themeColor="text1"/>
              </w:rPr>
            </w:pPr>
            <w:r w:rsidRPr="00286216">
              <w:rPr>
                <w:color w:val="000000" w:themeColor="text1"/>
              </w:rPr>
              <w:t>а) абзац перший доповнити словами та знаками ", у разі якщо такий бенефіціар надав відповідну письмову вказівку банку";</w:t>
            </w:r>
          </w:p>
        </w:tc>
        <w:tc>
          <w:tcPr>
            <w:tcW w:w="3686" w:type="dxa"/>
          </w:tcPr>
          <w:p w14:paraId="3BE43BC2" w14:textId="4051617C"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1249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DD54C8E"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У підпункті 21 пункту 5 розділу 3, якими пропонується внести зміни до статті 1076-8 , після слів «у разі якщо такий бенефіціар надав відповідну письмову вказівку банку» та після слів «в разі надання бенефіціаром письмової вказівки банку – вказаній ним особі» доповнити словами «якщо це передбачено відповідним договором».</w:t>
            </w:r>
          </w:p>
        </w:tc>
        <w:tc>
          <w:tcPr>
            <w:tcW w:w="1987" w:type="dxa"/>
          </w:tcPr>
          <w:p w14:paraId="3AE6BD93"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41039003" w14:textId="4929933C" w:rsidR="00826C07" w:rsidRPr="00286216" w:rsidRDefault="00826C07" w:rsidP="005E439C">
            <w:pPr>
              <w:pStyle w:val="StyleZakonu"/>
              <w:rPr>
                <w:color w:val="000000" w:themeColor="text1"/>
              </w:rPr>
            </w:pPr>
            <w:r w:rsidRPr="00286216">
              <w:rPr>
                <w:color w:val="000000" w:themeColor="text1"/>
              </w:rPr>
              <w:t>а) абзац перший доповнити словами "у разі якщо такий бенефіціар надав відповідну письмову вказівку банку";</w:t>
            </w:r>
          </w:p>
        </w:tc>
      </w:tr>
      <w:tr w:rsidR="00826C07" w:rsidRPr="00286216" w14:paraId="336823DA" w14:textId="77777777" w:rsidTr="00091AA5">
        <w:tc>
          <w:tcPr>
            <w:tcW w:w="576" w:type="dxa"/>
          </w:tcPr>
          <w:p w14:paraId="041BB723" w14:textId="77777777" w:rsidR="00826C07" w:rsidRPr="00286216" w:rsidRDefault="00826C07" w:rsidP="00826C07">
            <w:pPr>
              <w:pStyle w:val="StyleWisnow"/>
              <w:rPr>
                <w:color w:val="000000" w:themeColor="text1"/>
              </w:rPr>
            </w:pPr>
            <w:bookmarkStart w:id="2606" w:name="n2735" w:colFirst="0" w:colLast="0"/>
            <w:bookmarkEnd w:id="2605"/>
            <w:r w:rsidRPr="00286216">
              <w:rPr>
                <w:color w:val="000000" w:themeColor="text1"/>
              </w:rPr>
              <w:t>2735.</w:t>
            </w:r>
          </w:p>
        </w:tc>
        <w:tc>
          <w:tcPr>
            <w:tcW w:w="4818" w:type="dxa"/>
          </w:tcPr>
          <w:p w14:paraId="364D7E6D" w14:textId="77777777" w:rsidR="00826C07" w:rsidRPr="00286216" w:rsidRDefault="00826C07" w:rsidP="00826C07">
            <w:pPr>
              <w:pStyle w:val="StyleZakonu"/>
              <w:rPr>
                <w:color w:val="000000" w:themeColor="text1"/>
              </w:rPr>
            </w:pPr>
            <w:r w:rsidRPr="00286216">
              <w:rPr>
                <w:color w:val="000000" w:themeColor="text1"/>
              </w:rPr>
              <w:t>б) абзац другий після слів "та/або бенефіціару" доповнити словами та знаками "(в разі надання бенефіціаром письмової вказівки банку - вказаній ним особі)".</w:t>
            </w:r>
          </w:p>
        </w:tc>
        <w:tc>
          <w:tcPr>
            <w:tcW w:w="3686" w:type="dxa"/>
          </w:tcPr>
          <w:p w14:paraId="55F7E4BA" w14:textId="113C8E7D"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1250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20E9833"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У підпункті 21 пункту 5 розділу 3, якими пропонується внести зміни до статті 1076-8 , після слів «у разі якщо такий бенефіціар надав відповідну письмову вказівку банку» та після слів «в разі надання бенефіціаром письмової вказівки банку – вказаній ним особі» доповнити словами «якщо це передбачено відповідним договором».</w:t>
            </w:r>
          </w:p>
        </w:tc>
        <w:tc>
          <w:tcPr>
            <w:tcW w:w="1987" w:type="dxa"/>
          </w:tcPr>
          <w:p w14:paraId="24F1B432"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679AA992" w14:textId="010FBA8B" w:rsidR="00826C07" w:rsidRPr="00286216" w:rsidRDefault="00826C07" w:rsidP="005E439C">
            <w:pPr>
              <w:pStyle w:val="StyleZakonu"/>
              <w:rPr>
                <w:color w:val="000000" w:themeColor="text1"/>
              </w:rPr>
            </w:pPr>
            <w:r w:rsidRPr="00286216">
              <w:rPr>
                <w:color w:val="000000" w:themeColor="text1"/>
              </w:rPr>
              <w:t>б) абзац другий після слів "та/або бенефіціару" доповнити словами "(</w:t>
            </w:r>
            <w:r w:rsidR="005E439C" w:rsidRPr="00286216">
              <w:rPr>
                <w:color w:val="000000" w:themeColor="text1"/>
              </w:rPr>
              <w:t>у</w:t>
            </w:r>
            <w:r w:rsidRPr="00286216">
              <w:rPr>
                <w:color w:val="000000" w:themeColor="text1"/>
              </w:rPr>
              <w:t xml:space="preserve"> разі надання бенефіціаром письмової вказівки банку - вказаній ним особі)".</w:t>
            </w:r>
          </w:p>
        </w:tc>
      </w:tr>
      <w:tr w:rsidR="00826C07" w:rsidRPr="00286216" w14:paraId="2215BD68" w14:textId="77777777" w:rsidTr="00091AA5">
        <w:tc>
          <w:tcPr>
            <w:tcW w:w="576" w:type="dxa"/>
          </w:tcPr>
          <w:p w14:paraId="3D34258E" w14:textId="77777777" w:rsidR="00826C07" w:rsidRPr="00286216" w:rsidRDefault="00826C07" w:rsidP="00826C07">
            <w:pPr>
              <w:pStyle w:val="StyleWisnow"/>
              <w:rPr>
                <w:color w:val="000000" w:themeColor="text1"/>
              </w:rPr>
            </w:pPr>
            <w:bookmarkStart w:id="2607" w:name="n2736" w:colFirst="0" w:colLast="0"/>
            <w:bookmarkEnd w:id="2606"/>
            <w:r w:rsidRPr="00286216">
              <w:rPr>
                <w:color w:val="000000" w:themeColor="text1"/>
              </w:rPr>
              <w:t>2736.</w:t>
            </w:r>
          </w:p>
        </w:tc>
        <w:tc>
          <w:tcPr>
            <w:tcW w:w="4818" w:type="dxa"/>
          </w:tcPr>
          <w:p w14:paraId="14919DBE" w14:textId="77777777" w:rsidR="00826C07" w:rsidRPr="00286216" w:rsidRDefault="00826C07" w:rsidP="00826C07">
            <w:pPr>
              <w:pStyle w:val="StyleZakonu"/>
              <w:rPr>
                <w:color w:val="000000" w:themeColor="text1"/>
              </w:rPr>
            </w:pPr>
            <w:bookmarkStart w:id="2608" w:name="n6034"/>
            <w:bookmarkEnd w:id="2608"/>
            <w:r w:rsidRPr="00286216">
              <w:rPr>
                <w:color w:val="000000" w:themeColor="text1"/>
              </w:rPr>
              <w:t>6. Доповнити статтю 150 Цивільного процесуального кодексу України (Відомості Верховної Ради України (ВВР), 2004, № 40-41, 42, ст.492) новою частиною одинадцятою такого змісту:</w:t>
            </w:r>
          </w:p>
        </w:tc>
        <w:tc>
          <w:tcPr>
            <w:tcW w:w="3686" w:type="dxa"/>
          </w:tcPr>
          <w:p w14:paraId="315D3DBE" w14:textId="77777777" w:rsidR="00826C07" w:rsidRPr="00286216" w:rsidRDefault="00826C07" w:rsidP="00826C07">
            <w:pPr>
              <w:pStyle w:val="StyleProp"/>
              <w:rPr>
                <w:color w:val="000000" w:themeColor="text1"/>
                <w:szCs w:val="18"/>
              </w:rPr>
            </w:pPr>
          </w:p>
        </w:tc>
        <w:tc>
          <w:tcPr>
            <w:tcW w:w="1987" w:type="dxa"/>
          </w:tcPr>
          <w:p w14:paraId="611672F2" w14:textId="77777777" w:rsidR="00826C07" w:rsidRPr="00286216" w:rsidRDefault="00826C07" w:rsidP="00826C07">
            <w:pPr>
              <w:pStyle w:val="StyleWisnow"/>
              <w:rPr>
                <w:color w:val="000000" w:themeColor="text1"/>
              </w:rPr>
            </w:pPr>
          </w:p>
        </w:tc>
        <w:tc>
          <w:tcPr>
            <w:tcW w:w="4818" w:type="dxa"/>
          </w:tcPr>
          <w:p w14:paraId="35448E59" w14:textId="2A59DD02" w:rsidR="00826C07" w:rsidRPr="00286216" w:rsidRDefault="00826C07" w:rsidP="005E439C">
            <w:pPr>
              <w:pStyle w:val="StyleZakonu"/>
              <w:rPr>
                <w:color w:val="000000" w:themeColor="text1"/>
              </w:rPr>
            </w:pPr>
            <w:r w:rsidRPr="00286216">
              <w:rPr>
                <w:color w:val="000000" w:themeColor="text1"/>
              </w:rPr>
              <w:t xml:space="preserve">6. Статтю 150 Цивільного процесуального кодексу України (Відомості Верховної Ради України, 2004 р., № 40-41, 42, ст.492) </w:t>
            </w:r>
            <w:r w:rsidR="005E439C" w:rsidRPr="00286216">
              <w:rPr>
                <w:color w:val="000000" w:themeColor="text1"/>
              </w:rPr>
              <w:t>д</w:t>
            </w:r>
            <w:r w:rsidRPr="00286216">
              <w:rPr>
                <w:color w:val="000000" w:themeColor="text1"/>
              </w:rPr>
              <w:t xml:space="preserve">оповнити частиною </w:t>
            </w:r>
            <w:r w:rsidR="005E439C" w:rsidRPr="00286216">
              <w:rPr>
                <w:color w:val="000000" w:themeColor="text1"/>
              </w:rPr>
              <w:t xml:space="preserve">дванадцятою </w:t>
            </w:r>
            <w:r w:rsidRPr="00286216">
              <w:rPr>
                <w:color w:val="000000" w:themeColor="text1"/>
              </w:rPr>
              <w:t>такого змісту:</w:t>
            </w:r>
          </w:p>
        </w:tc>
      </w:tr>
      <w:tr w:rsidR="00826C07" w:rsidRPr="00286216" w14:paraId="5A69571E" w14:textId="77777777" w:rsidTr="00091AA5">
        <w:tc>
          <w:tcPr>
            <w:tcW w:w="576" w:type="dxa"/>
          </w:tcPr>
          <w:p w14:paraId="371006CA" w14:textId="77777777" w:rsidR="00826C07" w:rsidRPr="00286216" w:rsidRDefault="00826C07" w:rsidP="00826C07">
            <w:pPr>
              <w:pStyle w:val="StyleWisnow"/>
              <w:rPr>
                <w:color w:val="000000" w:themeColor="text1"/>
              </w:rPr>
            </w:pPr>
            <w:bookmarkStart w:id="2609" w:name="n2737" w:colFirst="0" w:colLast="0"/>
            <w:bookmarkEnd w:id="2607"/>
            <w:r w:rsidRPr="00286216">
              <w:rPr>
                <w:color w:val="000000" w:themeColor="text1"/>
              </w:rPr>
              <w:t>2737.</w:t>
            </w:r>
          </w:p>
        </w:tc>
        <w:tc>
          <w:tcPr>
            <w:tcW w:w="4818" w:type="dxa"/>
          </w:tcPr>
          <w:p w14:paraId="7CE13C36" w14:textId="77777777" w:rsidR="00826C07" w:rsidRPr="00286216" w:rsidRDefault="00826C07" w:rsidP="00826C07">
            <w:pPr>
              <w:pStyle w:val="StyleZakonu"/>
              <w:rPr>
                <w:color w:val="000000" w:themeColor="text1"/>
              </w:rPr>
            </w:pPr>
            <w:r w:rsidRPr="00286216">
              <w:rPr>
                <w:color w:val="000000" w:themeColor="text1"/>
              </w:rPr>
              <w:t>"11. Арешт на кошти та інші активи фізичних та юридичних осіб, чиї зобов’язання допущені до клірингу, зараховані на рахунки особи, що здійснює клірингову діяльність,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накладається в поряду, встановленому статтею 59 Закону України "Про ринки капіталу та організовані товарні ринки".</w:t>
            </w:r>
          </w:p>
        </w:tc>
        <w:tc>
          <w:tcPr>
            <w:tcW w:w="3686" w:type="dxa"/>
          </w:tcPr>
          <w:p w14:paraId="67CFD2BC" w14:textId="4F8E874A"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1251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AD45E86" w14:textId="77777777" w:rsidR="00826C07" w:rsidRPr="00286216" w:rsidRDefault="00826C07" w:rsidP="00826C07">
            <w:pPr>
              <w:spacing w:line="190" w:lineRule="exact"/>
              <w:ind w:firstLine="227"/>
              <w:jc w:val="both"/>
              <w:rPr>
                <w:color w:val="000000" w:themeColor="text1"/>
                <w:sz w:val="18"/>
              </w:rPr>
            </w:pPr>
            <w:r w:rsidRPr="00286216">
              <w:rPr>
                <w:color w:val="000000" w:themeColor="text1"/>
                <w:sz w:val="18"/>
              </w:rPr>
              <w:t>Абзац другий пункту 6 розділу 4 (зміни до Цивільного процесуального кодексу України) викласти в такій редакції:</w:t>
            </w:r>
          </w:p>
          <w:p w14:paraId="303B078F"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«11. Арешт на майнові права у вигляді майнових прав на цінні папери у внутрішній системі обліку особи, що здійснює клірингову діяльність, накладається в поряду, встановленому статтею 59 Закону України «Про ринки капіталу та організовані товарні ринки».</w:t>
            </w:r>
          </w:p>
        </w:tc>
        <w:tc>
          <w:tcPr>
            <w:tcW w:w="1987" w:type="dxa"/>
          </w:tcPr>
          <w:p w14:paraId="639DBA5C" w14:textId="77777777" w:rsidR="00826C07" w:rsidRPr="00286216" w:rsidRDefault="00826C07" w:rsidP="00826C07">
            <w:pPr>
              <w:pStyle w:val="StyleWisnow"/>
              <w:rPr>
                <w:color w:val="000000" w:themeColor="text1"/>
              </w:rPr>
            </w:pPr>
            <w:r w:rsidRPr="00286216">
              <w:rPr>
                <w:color w:val="000000" w:themeColor="text1"/>
              </w:rPr>
              <w:t>Враховано частково</w:t>
            </w:r>
          </w:p>
        </w:tc>
        <w:tc>
          <w:tcPr>
            <w:tcW w:w="4818" w:type="dxa"/>
          </w:tcPr>
          <w:p w14:paraId="35034B37" w14:textId="54805FC1" w:rsidR="00826C07" w:rsidRPr="00286216" w:rsidRDefault="00826C07" w:rsidP="005E439C">
            <w:pPr>
              <w:pStyle w:val="StyleZakonu"/>
              <w:rPr>
                <w:color w:val="000000" w:themeColor="text1"/>
              </w:rPr>
            </w:pPr>
            <w:r w:rsidRPr="00286216">
              <w:rPr>
                <w:color w:val="000000" w:themeColor="text1"/>
              </w:rPr>
              <w:t>"1</w:t>
            </w:r>
            <w:r w:rsidR="005E439C" w:rsidRPr="00286216">
              <w:rPr>
                <w:color w:val="000000" w:themeColor="text1"/>
              </w:rPr>
              <w:t>2</w:t>
            </w:r>
            <w:r w:rsidRPr="00286216">
              <w:rPr>
                <w:color w:val="000000" w:themeColor="text1"/>
              </w:rPr>
              <w:t>. Арешт на майнові права у вигляді майнових прав у внутрішній системі обліку особи, що здійснює клірингову діяльність, накладається в поряду, встановленому статтею 64 Закону України "Про ринки капіталу та організовані товарні ринки".</w:t>
            </w:r>
          </w:p>
        </w:tc>
      </w:tr>
      <w:bookmarkEnd w:id="2609"/>
      <w:tr w:rsidR="00826C07" w:rsidRPr="00286216" w14:paraId="7D9DCE52" w14:textId="77777777" w:rsidTr="00091AA5">
        <w:tc>
          <w:tcPr>
            <w:tcW w:w="576" w:type="dxa"/>
          </w:tcPr>
          <w:p w14:paraId="16400772" w14:textId="77777777" w:rsidR="00826C07" w:rsidRPr="00286216" w:rsidRDefault="00826C07" w:rsidP="00826C07">
            <w:pPr>
              <w:pStyle w:val="StyleWisnow"/>
              <w:rPr>
                <w:color w:val="000000" w:themeColor="text1"/>
              </w:rPr>
            </w:pPr>
          </w:p>
        </w:tc>
        <w:tc>
          <w:tcPr>
            <w:tcW w:w="4818" w:type="dxa"/>
          </w:tcPr>
          <w:p w14:paraId="316A6952" w14:textId="77777777" w:rsidR="00826C07" w:rsidRPr="00286216" w:rsidRDefault="00826C07" w:rsidP="00826C07">
            <w:pPr>
              <w:pStyle w:val="StyleZakonu"/>
              <w:rPr>
                <w:color w:val="000000" w:themeColor="text1"/>
              </w:rPr>
            </w:pPr>
          </w:p>
        </w:tc>
        <w:tc>
          <w:tcPr>
            <w:tcW w:w="3686" w:type="dxa"/>
          </w:tcPr>
          <w:p w14:paraId="5A573E83" w14:textId="098155B0" w:rsidR="00826C07" w:rsidRPr="00286216" w:rsidRDefault="00826C07" w:rsidP="00826C07">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1252</w:t>
            </w:r>
            <w:r w:rsidRPr="00286216">
              <w:rPr>
                <w:color w:val="000000" w:themeColor="text1"/>
                <w:spacing w:val="-4"/>
              </w:rPr>
              <w:fldChar w:fldCharType="end"/>
            </w:r>
            <w:r w:rsidRPr="00286216">
              <w:rPr>
                <w:color w:val="000000" w:themeColor="text1"/>
                <w:spacing w:val="-4"/>
              </w:rPr>
              <w:t>-Н.д.Шахов С.В. (Реєстр.картка №114)</w:t>
            </w:r>
          </w:p>
          <w:p w14:paraId="60060B9E" w14:textId="77777777" w:rsidR="00826C07" w:rsidRPr="00286216" w:rsidRDefault="00826C07" w:rsidP="00826C07">
            <w:pPr>
              <w:pStyle w:val="StyleProp"/>
              <w:spacing w:line="180" w:lineRule="exact"/>
              <w:rPr>
                <w:color w:val="000000" w:themeColor="text1"/>
                <w:spacing w:val="-6"/>
                <w:szCs w:val="28"/>
              </w:rPr>
            </w:pPr>
            <w:r w:rsidRPr="00286216">
              <w:rPr>
                <w:color w:val="000000" w:themeColor="text1"/>
              </w:rPr>
              <w:t>В абз.2 п.6 розділу ІІІ слово "розрахунків" замінити словами "розрахунків/поставки".</w:t>
            </w:r>
          </w:p>
        </w:tc>
        <w:tc>
          <w:tcPr>
            <w:tcW w:w="1987" w:type="dxa"/>
          </w:tcPr>
          <w:p w14:paraId="68B577C3" w14:textId="798A750F" w:rsidR="00826C07" w:rsidRPr="00286216" w:rsidRDefault="00826C07" w:rsidP="00826C07">
            <w:pPr>
              <w:pStyle w:val="StyleWisnow"/>
              <w:rPr>
                <w:color w:val="000000" w:themeColor="text1"/>
              </w:rPr>
            </w:pPr>
            <w:r w:rsidRPr="00286216">
              <w:rPr>
                <w:color w:val="000000" w:themeColor="text1"/>
              </w:rPr>
              <w:t>Відхилено</w:t>
            </w:r>
          </w:p>
          <w:p w14:paraId="62F8990B" w14:textId="6529FE8B" w:rsidR="00826C07" w:rsidRPr="00286216" w:rsidRDefault="00826C07" w:rsidP="00826C07">
            <w:pPr>
              <w:pStyle w:val="StyleWisnow"/>
              <w:rPr>
                <w:color w:val="000000" w:themeColor="text1"/>
              </w:rPr>
            </w:pPr>
            <w:r w:rsidRPr="00286216">
              <w:rPr>
                <w:color w:val="000000" w:themeColor="text1"/>
              </w:rPr>
              <w:t>через зміну редакції</w:t>
            </w:r>
          </w:p>
        </w:tc>
        <w:tc>
          <w:tcPr>
            <w:tcW w:w="4818" w:type="dxa"/>
          </w:tcPr>
          <w:p w14:paraId="7614235E" w14:textId="77777777" w:rsidR="00826C07" w:rsidRPr="00286216" w:rsidRDefault="00826C07" w:rsidP="00826C07">
            <w:pPr>
              <w:pStyle w:val="StyleZakonu"/>
              <w:rPr>
                <w:color w:val="000000" w:themeColor="text1"/>
              </w:rPr>
            </w:pPr>
          </w:p>
        </w:tc>
      </w:tr>
      <w:tr w:rsidR="00826C07" w:rsidRPr="00286216" w14:paraId="0972D6B3" w14:textId="77777777" w:rsidTr="00091AA5">
        <w:tc>
          <w:tcPr>
            <w:tcW w:w="576" w:type="dxa"/>
          </w:tcPr>
          <w:p w14:paraId="2A0125B0" w14:textId="77777777" w:rsidR="00826C07" w:rsidRPr="00286216" w:rsidRDefault="00826C07" w:rsidP="00826C07">
            <w:pPr>
              <w:pStyle w:val="StyleWisnow"/>
              <w:rPr>
                <w:color w:val="000000" w:themeColor="text1"/>
              </w:rPr>
            </w:pPr>
            <w:bookmarkStart w:id="2610" w:name="n2738" w:colFirst="0" w:colLast="0"/>
            <w:r w:rsidRPr="00286216">
              <w:rPr>
                <w:color w:val="000000" w:themeColor="text1"/>
              </w:rPr>
              <w:t>2738.</w:t>
            </w:r>
          </w:p>
        </w:tc>
        <w:tc>
          <w:tcPr>
            <w:tcW w:w="4818" w:type="dxa"/>
          </w:tcPr>
          <w:p w14:paraId="090F9B32" w14:textId="77777777" w:rsidR="00826C07" w:rsidRPr="00286216" w:rsidRDefault="00826C07" w:rsidP="00826C07">
            <w:pPr>
              <w:pStyle w:val="StyleZakonu"/>
              <w:spacing w:after="0"/>
              <w:rPr>
                <w:color w:val="000000" w:themeColor="text1"/>
              </w:rPr>
            </w:pPr>
            <w:r w:rsidRPr="00286216">
              <w:rPr>
                <w:color w:val="000000" w:themeColor="text1"/>
              </w:rPr>
              <w:t>Не допускається забезпечення позову шляхом накладення арешту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c>
          <w:tcPr>
            <w:tcW w:w="3686" w:type="dxa"/>
          </w:tcPr>
          <w:p w14:paraId="36C180DE" w14:textId="20736EF1"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1253</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87984DD" w14:textId="77777777" w:rsidR="00826C07" w:rsidRPr="00286216" w:rsidRDefault="00826C07" w:rsidP="00826C07">
            <w:pPr>
              <w:spacing w:line="190" w:lineRule="exact"/>
              <w:ind w:firstLine="227"/>
              <w:jc w:val="both"/>
              <w:rPr>
                <w:color w:val="000000" w:themeColor="text1"/>
                <w:szCs w:val="18"/>
              </w:rPr>
            </w:pPr>
            <w:r w:rsidRPr="00286216">
              <w:rPr>
                <w:color w:val="000000" w:themeColor="text1"/>
                <w:sz w:val="18"/>
              </w:rPr>
              <w:t>У абзаці третьому пункту 6 розділу 3, яким пропонується внести зміни до статті 150 Цивільного процесуального кодексу України, слова «іншому банку» замінити на слова «іноземних банках».</w:t>
            </w:r>
          </w:p>
        </w:tc>
        <w:tc>
          <w:tcPr>
            <w:tcW w:w="1987" w:type="dxa"/>
          </w:tcPr>
          <w:p w14:paraId="28EADF50"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5585CF69" w14:textId="215B19C4" w:rsidR="00826C07" w:rsidRPr="00286216" w:rsidRDefault="00826C07" w:rsidP="00826C07">
            <w:pPr>
              <w:pStyle w:val="StyleZakonu"/>
              <w:rPr>
                <w:color w:val="000000" w:themeColor="text1"/>
              </w:rPr>
            </w:pPr>
            <w:r w:rsidRPr="00286216">
              <w:rPr>
                <w:color w:val="000000" w:themeColor="text1"/>
              </w:rPr>
              <w:t xml:space="preserve">Не допускається забезпечення позову шляхом накладення арешту на кошти, які знаходяться в Національному банку </w:t>
            </w:r>
            <w:r w:rsidR="005E439C" w:rsidRPr="00286216">
              <w:rPr>
                <w:color w:val="000000" w:themeColor="text1"/>
              </w:rPr>
              <w:t xml:space="preserve">України </w:t>
            </w:r>
            <w:r w:rsidRPr="00286216">
              <w:rPr>
                <w:color w:val="000000" w:themeColor="text1"/>
              </w:rPr>
              <w:t>або іноземних банках на рахунках, відкритих Центральному депозитарію цінних паперів та/або кліринговим установам, для забезпечення здійснення грошових розрахунків".</w:t>
            </w:r>
          </w:p>
        </w:tc>
      </w:tr>
      <w:bookmarkEnd w:id="2610"/>
      <w:tr w:rsidR="00826C07" w:rsidRPr="00286216" w14:paraId="4542ADBB" w14:textId="77777777" w:rsidTr="00091AA5">
        <w:tc>
          <w:tcPr>
            <w:tcW w:w="576" w:type="dxa"/>
          </w:tcPr>
          <w:p w14:paraId="15A3458E" w14:textId="77777777" w:rsidR="00826C07" w:rsidRPr="00286216" w:rsidRDefault="00826C07" w:rsidP="00826C07">
            <w:pPr>
              <w:pStyle w:val="StyleWisnow"/>
              <w:rPr>
                <w:color w:val="000000" w:themeColor="text1"/>
              </w:rPr>
            </w:pPr>
          </w:p>
        </w:tc>
        <w:tc>
          <w:tcPr>
            <w:tcW w:w="4818" w:type="dxa"/>
          </w:tcPr>
          <w:p w14:paraId="33B018BA" w14:textId="77777777" w:rsidR="00826C07" w:rsidRPr="00286216" w:rsidRDefault="00826C07" w:rsidP="00826C07">
            <w:pPr>
              <w:pStyle w:val="StyleZakonu"/>
              <w:rPr>
                <w:color w:val="000000" w:themeColor="text1"/>
              </w:rPr>
            </w:pPr>
          </w:p>
        </w:tc>
        <w:tc>
          <w:tcPr>
            <w:tcW w:w="3686" w:type="dxa"/>
          </w:tcPr>
          <w:p w14:paraId="05B15DA2" w14:textId="330EEB6A"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1254</w:t>
            </w:r>
            <w:r w:rsidRPr="00286216">
              <w:rPr>
                <w:b/>
                <w:i/>
                <w:color w:val="000000" w:themeColor="text1"/>
                <w:spacing w:val="-5"/>
                <w:sz w:val="18"/>
                <w:u w:val="single"/>
              </w:rPr>
              <w:fldChar w:fldCharType="end"/>
            </w:r>
            <w:r w:rsidRPr="00286216">
              <w:rPr>
                <w:b/>
                <w:i/>
                <w:color w:val="000000" w:themeColor="text1"/>
                <w:spacing w:val="-5"/>
                <w:sz w:val="18"/>
                <w:u w:val="single"/>
              </w:rPr>
              <w:t>-Н.д.Шахов С.В. (Реєстр.картка №114)</w:t>
            </w:r>
          </w:p>
          <w:p w14:paraId="0061BCF6" w14:textId="77777777" w:rsidR="00826C07" w:rsidRPr="00286216" w:rsidRDefault="00826C07" w:rsidP="00826C07">
            <w:pPr>
              <w:pStyle w:val="StyleProp"/>
              <w:spacing w:line="180" w:lineRule="exact"/>
              <w:rPr>
                <w:color w:val="000000" w:themeColor="text1"/>
                <w:spacing w:val="-6"/>
              </w:rPr>
            </w:pPr>
            <w:r w:rsidRPr="00286216">
              <w:rPr>
                <w:color w:val="000000" w:themeColor="text1"/>
                <w:spacing w:val="-6"/>
              </w:rPr>
              <w:t>Абз.3 п.6 розділу ІІІ викласти у такій редакції:</w:t>
            </w:r>
          </w:p>
          <w:p w14:paraId="409AEA2E" w14:textId="77777777" w:rsidR="00826C07" w:rsidRPr="00286216" w:rsidRDefault="00826C07" w:rsidP="00826C07">
            <w:pPr>
              <w:pStyle w:val="StyleProp"/>
              <w:spacing w:line="180" w:lineRule="exact"/>
              <w:rPr>
                <w:color w:val="000000" w:themeColor="text1"/>
                <w:spacing w:val="-4"/>
                <w:szCs w:val="28"/>
              </w:rPr>
            </w:pPr>
            <w:r w:rsidRPr="00286216">
              <w:rPr>
                <w:color w:val="000000" w:themeColor="text1"/>
                <w:spacing w:val="-4"/>
                <w:szCs w:val="28"/>
              </w:rPr>
              <w:t>"Не допускається забезпечення позову шляхом накладення арешту, а також накладення арешту  з інших підстав,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та/або операторам організованих ринків (у тому числі, товарним біржам), які провадять клірингову діяльність, а також на рахунках умовного зберігання (ескроу), відкритих фізичними та/або юридичними особами та/або особами, що здійснюють клірингову діяльність, для забезпечення/здійснення грошових розрахунків та/або поставки за зобов’язаннями, допущеними до клірингу".</w:t>
            </w:r>
          </w:p>
        </w:tc>
        <w:tc>
          <w:tcPr>
            <w:tcW w:w="1987" w:type="dxa"/>
          </w:tcPr>
          <w:p w14:paraId="1216C520" w14:textId="77777777" w:rsidR="00826C07" w:rsidRPr="00286216" w:rsidRDefault="00826C07" w:rsidP="00826C07">
            <w:pPr>
              <w:pStyle w:val="StyleWisnow"/>
              <w:rPr>
                <w:color w:val="000000" w:themeColor="text1"/>
              </w:rPr>
            </w:pPr>
            <w:r w:rsidRPr="00286216">
              <w:rPr>
                <w:color w:val="000000" w:themeColor="text1"/>
              </w:rPr>
              <w:t xml:space="preserve">Відхилено </w:t>
            </w:r>
          </w:p>
          <w:p w14:paraId="0E951965" w14:textId="2B06D188" w:rsidR="00826C07" w:rsidRPr="00286216" w:rsidRDefault="00826C07" w:rsidP="00826C07">
            <w:pPr>
              <w:pStyle w:val="StyleWisnow"/>
              <w:spacing w:line="180" w:lineRule="exact"/>
              <w:rPr>
                <w:color w:val="000000" w:themeColor="text1"/>
              </w:rPr>
            </w:pPr>
            <w:r w:rsidRPr="00286216">
              <w:rPr>
                <w:color w:val="000000" w:themeColor="text1"/>
              </w:rPr>
              <w:t>можливість для зловживань з використанням рахунків ескроу для ухилення від виконання рішень судів</w:t>
            </w:r>
          </w:p>
        </w:tc>
        <w:tc>
          <w:tcPr>
            <w:tcW w:w="4818" w:type="dxa"/>
          </w:tcPr>
          <w:p w14:paraId="08FBF716" w14:textId="77777777" w:rsidR="00826C07" w:rsidRPr="00286216" w:rsidRDefault="00826C07" w:rsidP="00826C07">
            <w:pPr>
              <w:pStyle w:val="StyleZakonu"/>
              <w:rPr>
                <w:color w:val="000000" w:themeColor="text1"/>
              </w:rPr>
            </w:pPr>
          </w:p>
        </w:tc>
      </w:tr>
      <w:tr w:rsidR="009B61A3" w:rsidRPr="00286216" w14:paraId="6B6C0393" w14:textId="77777777" w:rsidTr="00091AA5">
        <w:tc>
          <w:tcPr>
            <w:tcW w:w="576" w:type="dxa"/>
          </w:tcPr>
          <w:p w14:paraId="2A0FB541" w14:textId="77777777" w:rsidR="009B61A3" w:rsidRPr="00286216" w:rsidRDefault="009B61A3" w:rsidP="009B61A3">
            <w:pPr>
              <w:pStyle w:val="StyleWisnow"/>
              <w:rPr>
                <w:color w:val="000000" w:themeColor="text1"/>
              </w:rPr>
            </w:pPr>
            <w:bookmarkStart w:id="2611" w:name="n2739" w:colFirst="0" w:colLast="0"/>
            <w:r w:rsidRPr="00286216">
              <w:rPr>
                <w:color w:val="000000" w:themeColor="text1"/>
              </w:rPr>
              <w:t>2739.</w:t>
            </w:r>
          </w:p>
        </w:tc>
        <w:tc>
          <w:tcPr>
            <w:tcW w:w="4818" w:type="dxa"/>
          </w:tcPr>
          <w:p w14:paraId="37A93BAE" w14:textId="77777777" w:rsidR="009B61A3" w:rsidRPr="00286216" w:rsidRDefault="009B61A3" w:rsidP="009B61A3">
            <w:pPr>
              <w:pStyle w:val="StyleZakonu"/>
              <w:rPr>
                <w:color w:val="000000" w:themeColor="text1"/>
              </w:rPr>
            </w:pPr>
            <w:r w:rsidRPr="00286216">
              <w:rPr>
                <w:color w:val="000000" w:themeColor="text1"/>
              </w:rPr>
              <w:t>7. У Кодексі адміністративного судочинства України (Відомості Верховної Ради України, 2005 р., №№ 35 - 37, ст. 446, із наступними змінами):</w:t>
            </w:r>
          </w:p>
        </w:tc>
        <w:tc>
          <w:tcPr>
            <w:tcW w:w="3686" w:type="dxa"/>
          </w:tcPr>
          <w:p w14:paraId="72635D79" w14:textId="77777777" w:rsidR="009B61A3" w:rsidRPr="00286216" w:rsidRDefault="009B61A3" w:rsidP="009B61A3">
            <w:pPr>
              <w:pStyle w:val="StyleProp"/>
              <w:rPr>
                <w:color w:val="000000" w:themeColor="text1"/>
                <w:szCs w:val="18"/>
              </w:rPr>
            </w:pPr>
          </w:p>
        </w:tc>
        <w:tc>
          <w:tcPr>
            <w:tcW w:w="1987" w:type="dxa"/>
          </w:tcPr>
          <w:p w14:paraId="6905CDEF" w14:textId="77777777" w:rsidR="009B61A3" w:rsidRPr="00286216" w:rsidRDefault="009B61A3" w:rsidP="009B61A3">
            <w:pPr>
              <w:pStyle w:val="StyleWisnow"/>
              <w:rPr>
                <w:color w:val="000000" w:themeColor="text1"/>
              </w:rPr>
            </w:pPr>
          </w:p>
        </w:tc>
        <w:tc>
          <w:tcPr>
            <w:tcW w:w="4818" w:type="dxa"/>
          </w:tcPr>
          <w:p w14:paraId="1EBA4815" w14:textId="3E534BD9" w:rsidR="009B61A3" w:rsidRPr="00286216" w:rsidRDefault="009B61A3" w:rsidP="009B61A3">
            <w:pPr>
              <w:pStyle w:val="StyleZakonu"/>
              <w:rPr>
                <w:color w:val="000000" w:themeColor="text1"/>
              </w:rPr>
            </w:pPr>
            <w:r w:rsidRPr="00286216">
              <w:rPr>
                <w:color w:val="000000" w:themeColor="text1"/>
              </w:rPr>
              <w:t>7. У Кодексі адміністративного судочинства України (Відомості Верховної Ради України, 2005 р., №№ 35 - 37, ст. 446):</w:t>
            </w:r>
          </w:p>
        </w:tc>
      </w:tr>
      <w:tr w:rsidR="009B61A3" w:rsidRPr="00286216" w14:paraId="42268421" w14:textId="77777777" w:rsidTr="00091AA5">
        <w:tc>
          <w:tcPr>
            <w:tcW w:w="576" w:type="dxa"/>
          </w:tcPr>
          <w:p w14:paraId="29D21637" w14:textId="77777777" w:rsidR="009B61A3" w:rsidRPr="00286216" w:rsidRDefault="009B61A3" w:rsidP="009B61A3">
            <w:pPr>
              <w:pStyle w:val="StyleWisnow"/>
              <w:rPr>
                <w:color w:val="000000" w:themeColor="text1"/>
              </w:rPr>
            </w:pPr>
            <w:bookmarkStart w:id="2612" w:name="n2740" w:colFirst="0" w:colLast="0"/>
            <w:bookmarkEnd w:id="2611"/>
            <w:r w:rsidRPr="00286216">
              <w:rPr>
                <w:color w:val="000000" w:themeColor="text1"/>
              </w:rPr>
              <w:t>2740.</w:t>
            </w:r>
          </w:p>
        </w:tc>
        <w:tc>
          <w:tcPr>
            <w:tcW w:w="4818" w:type="dxa"/>
          </w:tcPr>
          <w:p w14:paraId="7BAB0089" w14:textId="77777777" w:rsidR="009B61A3" w:rsidRPr="00286216" w:rsidRDefault="009B61A3" w:rsidP="009B61A3">
            <w:pPr>
              <w:pStyle w:val="StyleZakonu"/>
              <w:rPr>
                <w:color w:val="000000" w:themeColor="text1"/>
              </w:rPr>
            </w:pPr>
            <w:r w:rsidRPr="00286216">
              <w:rPr>
                <w:color w:val="000000" w:themeColor="text1"/>
              </w:rPr>
              <w:t>1) у статті 4:</w:t>
            </w:r>
          </w:p>
        </w:tc>
        <w:tc>
          <w:tcPr>
            <w:tcW w:w="3686" w:type="dxa"/>
          </w:tcPr>
          <w:p w14:paraId="6A408FB0" w14:textId="77777777" w:rsidR="009B61A3" w:rsidRPr="00286216" w:rsidRDefault="009B61A3" w:rsidP="009B61A3">
            <w:pPr>
              <w:pStyle w:val="StyleProp"/>
              <w:rPr>
                <w:color w:val="000000" w:themeColor="text1"/>
                <w:szCs w:val="18"/>
              </w:rPr>
            </w:pPr>
          </w:p>
        </w:tc>
        <w:tc>
          <w:tcPr>
            <w:tcW w:w="1987" w:type="dxa"/>
          </w:tcPr>
          <w:p w14:paraId="49D53FF5" w14:textId="77777777" w:rsidR="009B61A3" w:rsidRPr="00286216" w:rsidRDefault="009B61A3" w:rsidP="009B61A3">
            <w:pPr>
              <w:pStyle w:val="StyleWisnow"/>
              <w:rPr>
                <w:color w:val="000000" w:themeColor="text1"/>
              </w:rPr>
            </w:pPr>
          </w:p>
        </w:tc>
        <w:tc>
          <w:tcPr>
            <w:tcW w:w="4818" w:type="dxa"/>
          </w:tcPr>
          <w:p w14:paraId="15037EDC" w14:textId="1AD8EFF5" w:rsidR="009B61A3" w:rsidRPr="00286216" w:rsidRDefault="009B61A3" w:rsidP="009B61A3">
            <w:pPr>
              <w:pStyle w:val="StyleZakonu"/>
              <w:rPr>
                <w:color w:val="000000" w:themeColor="text1"/>
              </w:rPr>
            </w:pPr>
            <w:r w:rsidRPr="00286216">
              <w:rPr>
                <w:color w:val="000000" w:themeColor="text1"/>
              </w:rPr>
              <w:t>1) у статті 4:</w:t>
            </w:r>
          </w:p>
        </w:tc>
      </w:tr>
      <w:tr w:rsidR="009B61A3" w:rsidRPr="00286216" w14:paraId="1E85759B" w14:textId="77777777" w:rsidTr="00091AA5">
        <w:tc>
          <w:tcPr>
            <w:tcW w:w="576" w:type="dxa"/>
          </w:tcPr>
          <w:p w14:paraId="5AA7C765" w14:textId="77777777" w:rsidR="009B61A3" w:rsidRPr="00286216" w:rsidRDefault="009B61A3" w:rsidP="009B61A3">
            <w:pPr>
              <w:pStyle w:val="StyleWisnow"/>
              <w:rPr>
                <w:color w:val="000000" w:themeColor="text1"/>
              </w:rPr>
            </w:pPr>
            <w:bookmarkStart w:id="2613" w:name="n2741" w:colFirst="0" w:colLast="0"/>
            <w:bookmarkEnd w:id="2612"/>
            <w:r w:rsidRPr="00286216">
              <w:rPr>
                <w:color w:val="000000" w:themeColor="text1"/>
              </w:rPr>
              <w:t>2741.</w:t>
            </w:r>
          </w:p>
        </w:tc>
        <w:tc>
          <w:tcPr>
            <w:tcW w:w="4818" w:type="dxa"/>
          </w:tcPr>
          <w:p w14:paraId="71994C9F" w14:textId="77777777" w:rsidR="009B61A3" w:rsidRPr="00286216" w:rsidRDefault="009B61A3" w:rsidP="009B61A3">
            <w:pPr>
              <w:pStyle w:val="StyleZakonu"/>
              <w:rPr>
                <w:color w:val="000000" w:themeColor="text1"/>
              </w:rPr>
            </w:pPr>
            <w:r w:rsidRPr="00286216">
              <w:rPr>
                <w:color w:val="000000" w:themeColor="text1"/>
              </w:rPr>
              <w:t>а) пункт 8 викласти в такій редакції:</w:t>
            </w:r>
          </w:p>
        </w:tc>
        <w:tc>
          <w:tcPr>
            <w:tcW w:w="3686" w:type="dxa"/>
          </w:tcPr>
          <w:p w14:paraId="211D7549" w14:textId="77777777" w:rsidR="009B61A3" w:rsidRPr="00286216" w:rsidRDefault="009B61A3" w:rsidP="009B61A3">
            <w:pPr>
              <w:pStyle w:val="StyleProp"/>
              <w:rPr>
                <w:color w:val="000000" w:themeColor="text1"/>
                <w:szCs w:val="18"/>
              </w:rPr>
            </w:pPr>
          </w:p>
        </w:tc>
        <w:tc>
          <w:tcPr>
            <w:tcW w:w="1987" w:type="dxa"/>
          </w:tcPr>
          <w:p w14:paraId="02293F60" w14:textId="77777777" w:rsidR="009B61A3" w:rsidRPr="00286216" w:rsidRDefault="009B61A3" w:rsidP="009B61A3">
            <w:pPr>
              <w:pStyle w:val="StyleWisnow"/>
              <w:rPr>
                <w:color w:val="000000" w:themeColor="text1"/>
              </w:rPr>
            </w:pPr>
          </w:p>
        </w:tc>
        <w:tc>
          <w:tcPr>
            <w:tcW w:w="4818" w:type="dxa"/>
          </w:tcPr>
          <w:p w14:paraId="0370EECA" w14:textId="639D5AED" w:rsidR="009B61A3" w:rsidRPr="00286216" w:rsidRDefault="009B61A3" w:rsidP="009B61A3">
            <w:pPr>
              <w:pStyle w:val="StyleZakonu"/>
              <w:rPr>
                <w:color w:val="000000" w:themeColor="text1"/>
              </w:rPr>
            </w:pPr>
            <w:r w:rsidRPr="00286216">
              <w:rPr>
                <w:color w:val="000000" w:themeColor="text1"/>
              </w:rPr>
              <w:t>а) пункт 8 частини першої викласти в такій редакції:</w:t>
            </w:r>
          </w:p>
        </w:tc>
      </w:tr>
      <w:tr w:rsidR="009B61A3" w:rsidRPr="00286216" w14:paraId="682736AE" w14:textId="77777777" w:rsidTr="00091AA5">
        <w:tc>
          <w:tcPr>
            <w:tcW w:w="576" w:type="dxa"/>
          </w:tcPr>
          <w:p w14:paraId="00FD8AF4" w14:textId="77777777" w:rsidR="009B61A3" w:rsidRPr="00286216" w:rsidRDefault="009B61A3" w:rsidP="009B61A3">
            <w:pPr>
              <w:pStyle w:val="StyleWisnow"/>
              <w:rPr>
                <w:color w:val="000000" w:themeColor="text1"/>
              </w:rPr>
            </w:pPr>
            <w:bookmarkStart w:id="2614" w:name="n2742" w:colFirst="0" w:colLast="0"/>
            <w:bookmarkEnd w:id="2613"/>
            <w:r w:rsidRPr="00286216">
              <w:rPr>
                <w:color w:val="000000" w:themeColor="text1"/>
              </w:rPr>
              <w:t>2742.</w:t>
            </w:r>
          </w:p>
        </w:tc>
        <w:tc>
          <w:tcPr>
            <w:tcW w:w="4818" w:type="dxa"/>
          </w:tcPr>
          <w:p w14:paraId="19C85A18" w14:textId="77777777" w:rsidR="009B61A3" w:rsidRPr="00286216" w:rsidRDefault="009B61A3" w:rsidP="009B61A3">
            <w:pPr>
              <w:pStyle w:val="StyleZakonu"/>
              <w:rPr>
                <w:color w:val="000000" w:themeColor="text1"/>
              </w:rPr>
            </w:pPr>
            <w:r w:rsidRPr="00286216">
              <w:rPr>
                <w:color w:val="000000" w:themeColor="text1"/>
              </w:rPr>
              <w:t>"8) позивач - особа, на захист прав, свобод та інтересів якої подано позов до адміністративного суду або адміністратор за випуском облігацій, який подає позов до адміністративного суду на захист прав, свобод та інтересів власників облігацій відповідно до положень Закону України "Про ринки капіталу та організовані товарні ринки", а також суб’єкт владних повноважень, на виконання повноважень якого подано позов до адміністративного суду; ";</w:t>
            </w:r>
          </w:p>
        </w:tc>
        <w:tc>
          <w:tcPr>
            <w:tcW w:w="3686" w:type="dxa"/>
          </w:tcPr>
          <w:p w14:paraId="36350354" w14:textId="77777777" w:rsidR="009B61A3" w:rsidRPr="00286216" w:rsidRDefault="009B61A3" w:rsidP="009B61A3">
            <w:pPr>
              <w:pStyle w:val="StyleProp"/>
              <w:rPr>
                <w:color w:val="000000" w:themeColor="text1"/>
                <w:szCs w:val="18"/>
              </w:rPr>
            </w:pPr>
          </w:p>
        </w:tc>
        <w:tc>
          <w:tcPr>
            <w:tcW w:w="1987" w:type="dxa"/>
          </w:tcPr>
          <w:p w14:paraId="2ACD887B" w14:textId="77777777" w:rsidR="009B61A3" w:rsidRPr="00286216" w:rsidRDefault="009B61A3" w:rsidP="009B61A3">
            <w:pPr>
              <w:pStyle w:val="StyleWisnow"/>
              <w:rPr>
                <w:color w:val="000000" w:themeColor="text1"/>
              </w:rPr>
            </w:pPr>
          </w:p>
        </w:tc>
        <w:tc>
          <w:tcPr>
            <w:tcW w:w="4818" w:type="dxa"/>
          </w:tcPr>
          <w:p w14:paraId="29F99DCB" w14:textId="33FDFFCC" w:rsidR="009B61A3" w:rsidRPr="00286216" w:rsidRDefault="009B61A3" w:rsidP="009B61A3">
            <w:pPr>
              <w:pStyle w:val="StyleZakonu"/>
              <w:rPr>
                <w:color w:val="000000" w:themeColor="text1"/>
              </w:rPr>
            </w:pPr>
            <w:r w:rsidRPr="00286216">
              <w:rPr>
                <w:color w:val="000000" w:themeColor="text1"/>
              </w:rPr>
              <w:t>"8) позивач - особа, на захист прав, свобод та інтересів якої подано позов до адміністративного суду, або адміністратор за випуском облігацій, який подає позов до адміністративного суду на захист прав, свобод та інтересів власників облігацій, відповідно до положень Закону України "Про ринки капіталу та організовані товарні ринки", а також суб’єкт владних повноважень, на виконання повноважень якого подано позов до адміністративного суду";</w:t>
            </w:r>
          </w:p>
        </w:tc>
      </w:tr>
      <w:tr w:rsidR="009B61A3" w:rsidRPr="00286216" w14:paraId="4496239F" w14:textId="77777777" w:rsidTr="00091AA5">
        <w:tc>
          <w:tcPr>
            <w:tcW w:w="576" w:type="dxa"/>
          </w:tcPr>
          <w:p w14:paraId="4369AB6B" w14:textId="77777777" w:rsidR="009B61A3" w:rsidRPr="00286216" w:rsidRDefault="009B61A3" w:rsidP="009B61A3">
            <w:pPr>
              <w:pStyle w:val="StyleWisnow"/>
              <w:rPr>
                <w:color w:val="000000" w:themeColor="text1"/>
              </w:rPr>
            </w:pPr>
            <w:bookmarkStart w:id="2615" w:name="n2743" w:colFirst="0" w:colLast="0"/>
            <w:bookmarkEnd w:id="2614"/>
            <w:r w:rsidRPr="00286216">
              <w:rPr>
                <w:color w:val="000000" w:themeColor="text1"/>
              </w:rPr>
              <w:t>2743.</w:t>
            </w:r>
          </w:p>
        </w:tc>
        <w:tc>
          <w:tcPr>
            <w:tcW w:w="4818" w:type="dxa"/>
          </w:tcPr>
          <w:p w14:paraId="47E20B87" w14:textId="77777777" w:rsidR="009B61A3" w:rsidRPr="00286216" w:rsidRDefault="009B61A3" w:rsidP="009B61A3">
            <w:pPr>
              <w:pStyle w:val="StyleZakonu"/>
              <w:rPr>
                <w:color w:val="000000" w:themeColor="text1"/>
              </w:rPr>
            </w:pPr>
            <w:r w:rsidRPr="00286216">
              <w:rPr>
                <w:color w:val="000000" w:themeColor="text1"/>
              </w:rPr>
              <w:t>б) доповнити новою частиною такого змісту:</w:t>
            </w:r>
          </w:p>
        </w:tc>
        <w:tc>
          <w:tcPr>
            <w:tcW w:w="3686" w:type="dxa"/>
          </w:tcPr>
          <w:p w14:paraId="45E103D9" w14:textId="77777777" w:rsidR="009B61A3" w:rsidRPr="00286216" w:rsidRDefault="009B61A3" w:rsidP="009B61A3">
            <w:pPr>
              <w:pStyle w:val="StyleProp"/>
              <w:rPr>
                <w:color w:val="000000" w:themeColor="text1"/>
                <w:szCs w:val="18"/>
              </w:rPr>
            </w:pPr>
          </w:p>
        </w:tc>
        <w:tc>
          <w:tcPr>
            <w:tcW w:w="1987" w:type="dxa"/>
          </w:tcPr>
          <w:p w14:paraId="645D7272" w14:textId="77777777" w:rsidR="009B61A3" w:rsidRPr="00286216" w:rsidRDefault="009B61A3" w:rsidP="009B61A3">
            <w:pPr>
              <w:pStyle w:val="StyleWisnow"/>
              <w:rPr>
                <w:color w:val="000000" w:themeColor="text1"/>
              </w:rPr>
            </w:pPr>
          </w:p>
        </w:tc>
        <w:tc>
          <w:tcPr>
            <w:tcW w:w="4818" w:type="dxa"/>
          </w:tcPr>
          <w:p w14:paraId="6FFC7EB7" w14:textId="02AF074B" w:rsidR="009B61A3" w:rsidRPr="00286216" w:rsidRDefault="009B61A3" w:rsidP="009B61A3">
            <w:pPr>
              <w:pStyle w:val="StyleZakonu"/>
              <w:rPr>
                <w:color w:val="000000" w:themeColor="text1"/>
              </w:rPr>
            </w:pPr>
            <w:r w:rsidRPr="00286216">
              <w:rPr>
                <w:color w:val="000000" w:themeColor="text1"/>
              </w:rPr>
              <w:t>б) доповнити  частиною другою такого змісту:</w:t>
            </w:r>
          </w:p>
        </w:tc>
      </w:tr>
      <w:tr w:rsidR="009B61A3" w:rsidRPr="00286216" w14:paraId="1E18D22E" w14:textId="77777777" w:rsidTr="00091AA5">
        <w:tc>
          <w:tcPr>
            <w:tcW w:w="576" w:type="dxa"/>
          </w:tcPr>
          <w:p w14:paraId="4EE16F64" w14:textId="77777777" w:rsidR="009B61A3" w:rsidRPr="00286216" w:rsidRDefault="009B61A3" w:rsidP="009B61A3">
            <w:pPr>
              <w:pStyle w:val="StyleWisnow"/>
              <w:rPr>
                <w:color w:val="000000" w:themeColor="text1"/>
              </w:rPr>
            </w:pPr>
            <w:bookmarkStart w:id="2616" w:name="n2744" w:colFirst="0" w:colLast="0"/>
            <w:bookmarkEnd w:id="2615"/>
            <w:r w:rsidRPr="00286216">
              <w:rPr>
                <w:color w:val="000000" w:themeColor="text1"/>
              </w:rPr>
              <w:t>2744.</w:t>
            </w:r>
          </w:p>
        </w:tc>
        <w:tc>
          <w:tcPr>
            <w:tcW w:w="4818" w:type="dxa"/>
          </w:tcPr>
          <w:p w14:paraId="397B26FF" w14:textId="77777777" w:rsidR="009B61A3" w:rsidRPr="00286216" w:rsidRDefault="009B61A3" w:rsidP="009B61A3">
            <w:pPr>
              <w:pStyle w:val="StyleZakonu"/>
              <w:rPr>
                <w:color w:val="000000" w:themeColor="text1"/>
              </w:rPr>
            </w:pPr>
            <w:r w:rsidRPr="00286216">
              <w:rPr>
                <w:color w:val="000000" w:themeColor="text1"/>
              </w:rPr>
              <w:t>"2. Термін "адміністратор за випуском облігацій" вживається у значенні, наведеному у Законі України "Про ринки капіталу та організовані товарні ринки".";</w:t>
            </w:r>
          </w:p>
        </w:tc>
        <w:tc>
          <w:tcPr>
            <w:tcW w:w="3686" w:type="dxa"/>
          </w:tcPr>
          <w:p w14:paraId="4493CC0B" w14:textId="77777777" w:rsidR="009B61A3" w:rsidRPr="00286216" w:rsidRDefault="009B61A3" w:rsidP="009B61A3">
            <w:pPr>
              <w:pStyle w:val="StyleProp"/>
              <w:rPr>
                <w:color w:val="000000" w:themeColor="text1"/>
                <w:szCs w:val="18"/>
              </w:rPr>
            </w:pPr>
          </w:p>
        </w:tc>
        <w:tc>
          <w:tcPr>
            <w:tcW w:w="1987" w:type="dxa"/>
          </w:tcPr>
          <w:p w14:paraId="75079FCE" w14:textId="77777777" w:rsidR="009B61A3" w:rsidRPr="00286216" w:rsidRDefault="009B61A3" w:rsidP="009B61A3">
            <w:pPr>
              <w:pStyle w:val="StyleWisnow"/>
              <w:rPr>
                <w:color w:val="000000" w:themeColor="text1"/>
              </w:rPr>
            </w:pPr>
          </w:p>
        </w:tc>
        <w:tc>
          <w:tcPr>
            <w:tcW w:w="4818" w:type="dxa"/>
          </w:tcPr>
          <w:p w14:paraId="408A8B8F" w14:textId="0B6BACE5" w:rsidR="009B61A3" w:rsidRPr="00286216" w:rsidRDefault="009B61A3" w:rsidP="009B61A3">
            <w:pPr>
              <w:pStyle w:val="StyleZakonu"/>
              <w:rPr>
                <w:color w:val="000000" w:themeColor="text1"/>
              </w:rPr>
            </w:pPr>
            <w:r w:rsidRPr="00286216">
              <w:rPr>
                <w:color w:val="000000" w:themeColor="text1"/>
              </w:rPr>
              <w:t>"2. Термін "адміністратор за випуском облігацій" у цьому Кодексі вживається у значенні, наведеному в Законі України "Про ринки капіталу та організовані товарні ринки";</w:t>
            </w:r>
          </w:p>
        </w:tc>
      </w:tr>
      <w:tr w:rsidR="009B61A3" w:rsidRPr="00286216" w14:paraId="1106A974" w14:textId="77777777" w:rsidTr="00091AA5">
        <w:tc>
          <w:tcPr>
            <w:tcW w:w="576" w:type="dxa"/>
          </w:tcPr>
          <w:p w14:paraId="3943F166" w14:textId="77777777" w:rsidR="009B61A3" w:rsidRPr="00286216" w:rsidRDefault="009B61A3" w:rsidP="009B61A3">
            <w:pPr>
              <w:pStyle w:val="StyleWisnow"/>
              <w:rPr>
                <w:color w:val="000000" w:themeColor="text1"/>
              </w:rPr>
            </w:pPr>
            <w:bookmarkStart w:id="2617" w:name="n2745" w:colFirst="0" w:colLast="0"/>
            <w:bookmarkEnd w:id="2616"/>
            <w:r w:rsidRPr="00286216">
              <w:rPr>
                <w:color w:val="000000" w:themeColor="text1"/>
              </w:rPr>
              <w:t>2745.</w:t>
            </w:r>
          </w:p>
        </w:tc>
        <w:tc>
          <w:tcPr>
            <w:tcW w:w="4818" w:type="dxa"/>
          </w:tcPr>
          <w:p w14:paraId="7E90A2DA" w14:textId="77777777" w:rsidR="009B61A3" w:rsidRPr="00286216" w:rsidRDefault="009B61A3" w:rsidP="009B61A3">
            <w:pPr>
              <w:pStyle w:val="StyleZakonu"/>
              <w:rPr>
                <w:color w:val="000000" w:themeColor="text1"/>
              </w:rPr>
            </w:pPr>
            <w:r w:rsidRPr="00286216">
              <w:rPr>
                <w:color w:val="000000" w:themeColor="text1"/>
              </w:rPr>
              <w:t>2) доповнити частину першу статті 19 після пункту першого новим пунктом такого змісту:</w:t>
            </w:r>
          </w:p>
        </w:tc>
        <w:tc>
          <w:tcPr>
            <w:tcW w:w="3686" w:type="dxa"/>
          </w:tcPr>
          <w:p w14:paraId="0DC48C5F" w14:textId="77777777" w:rsidR="009B61A3" w:rsidRPr="00286216" w:rsidRDefault="009B61A3" w:rsidP="009B61A3">
            <w:pPr>
              <w:pStyle w:val="StyleProp"/>
              <w:rPr>
                <w:color w:val="000000" w:themeColor="text1"/>
                <w:szCs w:val="18"/>
              </w:rPr>
            </w:pPr>
          </w:p>
        </w:tc>
        <w:tc>
          <w:tcPr>
            <w:tcW w:w="1987" w:type="dxa"/>
          </w:tcPr>
          <w:p w14:paraId="4849BFB3" w14:textId="77777777" w:rsidR="009B61A3" w:rsidRPr="00286216" w:rsidRDefault="009B61A3" w:rsidP="009B61A3">
            <w:pPr>
              <w:pStyle w:val="StyleWisnow"/>
              <w:rPr>
                <w:color w:val="000000" w:themeColor="text1"/>
              </w:rPr>
            </w:pPr>
          </w:p>
        </w:tc>
        <w:tc>
          <w:tcPr>
            <w:tcW w:w="4818" w:type="dxa"/>
          </w:tcPr>
          <w:p w14:paraId="504C0FCA" w14:textId="418698B4" w:rsidR="009B61A3" w:rsidRPr="00286216" w:rsidRDefault="009B61A3" w:rsidP="009B61A3">
            <w:pPr>
              <w:pStyle w:val="StyleZakonu"/>
              <w:rPr>
                <w:color w:val="000000" w:themeColor="text1"/>
              </w:rPr>
            </w:pPr>
            <w:r w:rsidRPr="00286216">
              <w:rPr>
                <w:color w:val="000000" w:themeColor="text1"/>
              </w:rPr>
              <w:t>2) частину першу статті 19 доповнити пунктом 1</w:t>
            </w:r>
            <w:r w:rsidRPr="00286216">
              <w:rPr>
                <w:color w:val="000000" w:themeColor="text1"/>
                <w:vertAlign w:val="superscript"/>
              </w:rPr>
              <w:t>1</w:t>
            </w:r>
            <w:r w:rsidRPr="00286216">
              <w:rPr>
                <w:color w:val="000000" w:themeColor="text1"/>
              </w:rPr>
              <w:t xml:space="preserve"> такого змісту:</w:t>
            </w:r>
          </w:p>
        </w:tc>
      </w:tr>
      <w:tr w:rsidR="009B61A3" w:rsidRPr="00286216" w14:paraId="1B062FA4" w14:textId="77777777" w:rsidTr="00091AA5">
        <w:tc>
          <w:tcPr>
            <w:tcW w:w="576" w:type="dxa"/>
          </w:tcPr>
          <w:p w14:paraId="479F7E4A" w14:textId="77777777" w:rsidR="009B61A3" w:rsidRPr="00286216" w:rsidRDefault="009B61A3" w:rsidP="009B61A3">
            <w:pPr>
              <w:pStyle w:val="StyleWisnow"/>
              <w:rPr>
                <w:color w:val="000000" w:themeColor="text1"/>
              </w:rPr>
            </w:pPr>
            <w:bookmarkStart w:id="2618" w:name="n2746" w:colFirst="0" w:colLast="0"/>
            <w:bookmarkEnd w:id="2617"/>
            <w:r w:rsidRPr="00286216">
              <w:rPr>
                <w:color w:val="000000" w:themeColor="text1"/>
              </w:rPr>
              <w:t>2746.</w:t>
            </w:r>
          </w:p>
        </w:tc>
        <w:tc>
          <w:tcPr>
            <w:tcW w:w="4818" w:type="dxa"/>
          </w:tcPr>
          <w:p w14:paraId="4CBCAABC" w14:textId="77777777" w:rsidR="009B61A3" w:rsidRPr="00286216" w:rsidRDefault="009B61A3" w:rsidP="009B61A3">
            <w:pPr>
              <w:pStyle w:val="StyleZakonu"/>
              <w:rPr>
                <w:color w:val="000000" w:themeColor="text1"/>
              </w:rPr>
            </w:pPr>
            <w:r w:rsidRPr="00286216">
              <w:rPr>
                <w:color w:val="000000" w:themeColor="text1"/>
              </w:rPr>
              <w:t>"1</w:t>
            </w:r>
            <w:r w:rsidRPr="00286216">
              <w:rPr>
                <w:color w:val="000000" w:themeColor="text1"/>
                <w:vertAlign w:val="superscript"/>
              </w:rPr>
              <w:t>1</w:t>
            </w:r>
            <w:r w:rsidRPr="00286216">
              <w:rPr>
                <w:color w:val="000000" w:themeColor="text1"/>
              </w:rPr>
              <w:t xml:space="preserve">) спорах адміністратора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із суб’єктом владних повноважень щодо оскарження його рішень (нормативно-правових актів чи правових актів </w:t>
            </w:r>
            <w:r w:rsidRPr="00286216">
              <w:rPr>
                <w:color w:val="000000" w:themeColor="text1"/>
              </w:rPr>
              <w:lastRenderedPageBreak/>
              <w:t>індивідуальної дії), дій чи бездіяльності; ";</w:t>
            </w:r>
          </w:p>
        </w:tc>
        <w:tc>
          <w:tcPr>
            <w:tcW w:w="3686" w:type="dxa"/>
          </w:tcPr>
          <w:p w14:paraId="7CEEBD91" w14:textId="77777777" w:rsidR="009B61A3" w:rsidRPr="00286216" w:rsidRDefault="009B61A3" w:rsidP="009B61A3">
            <w:pPr>
              <w:pStyle w:val="StyleProp"/>
              <w:rPr>
                <w:color w:val="000000" w:themeColor="text1"/>
                <w:szCs w:val="18"/>
              </w:rPr>
            </w:pPr>
          </w:p>
        </w:tc>
        <w:tc>
          <w:tcPr>
            <w:tcW w:w="1987" w:type="dxa"/>
          </w:tcPr>
          <w:p w14:paraId="6DEB6A9F" w14:textId="77777777" w:rsidR="009B61A3" w:rsidRPr="00286216" w:rsidRDefault="009B61A3" w:rsidP="009B61A3">
            <w:pPr>
              <w:pStyle w:val="StyleWisnow"/>
              <w:rPr>
                <w:color w:val="000000" w:themeColor="text1"/>
              </w:rPr>
            </w:pPr>
          </w:p>
        </w:tc>
        <w:tc>
          <w:tcPr>
            <w:tcW w:w="4818" w:type="dxa"/>
          </w:tcPr>
          <w:p w14:paraId="7B6634D8" w14:textId="1B9F1E47" w:rsidR="009B61A3" w:rsidRPr="00286216" w:rsidRDefault="009B61A3" w:rsidP="009B61A3">
            <w:pPr>
              <w:pStyle w:val="StyleZakonu"/>
              <w:rPr>
                <w:color w:val="000000" w:themeColor="text1"/>
              </w:rPr>
            </w:pPr>
            <w:r w:rsidRPr="00286216">
              <w:rPr>
                <w:color w:val="000000" w:themeColor="text1"/>
              </w:rPr>
              <w:t>"1</w:t>
            </w:r>
            <w:r w:rsidRPr="00286216">
              <w:rPr>
                <w:color w:val="000000" w:themeColor="text1"/>
                <w:vertAlign w:val="superscript"/>
              </w:rPr>
              <w:t>1</w:t>
            </w:r>
            <w:r w:rsidRPr="00286216">
              <w:rPr>
                <w:color w:val="000000" w:themeColor="text1"/>
              </w:rPr>
              <w:t xml:space="preserve">) спорах адміністратора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із суб’єктом владних повноважень щодо оскарження його рішень (нормативно-правових актів чи правових актів </w:t>
            </w:r>
            <w:r w:rsidRPr="00286216">
              <w:rPr>
                <w:color w:val="000000" w:themeColor="text1"/>
              </w:rPr>
              <w:lastRenderedPageBreak/>
              <w:t>індивідуальної дії), дій чи бездіяльності";</w:t>
            </w:r>
          </w:p>
        </w:tc>
      </w:tr>
      <w:tr w:rsidR="009B61A3" w:rsidRPr="00286216" w14:paraId="42CCA689" w14:textId="77777777" w:rsidTr="00091AA5">
        <w:tc>
          <w:tcPr>
            <w:tcW w:w="576" w:type="dxa"/>
          </w:tcPr>
          <w:p w14:paraId="575E7314" w14:textId="77777777" w:rsidR="009B61A3" w:rsidRPr="00286216" w:rsidRDefault="009B61A3" w:rsidP="009B61A3">
            <w:pPr>
              <w:pStyle w:val="StyleWisnow"/>
              <w:rPr>
                <w:color w:val="000000" w:themeColor="text1"/>
              </w:rPr>
            </w:pPr>
            <w:bookmarkStart w:id="2619" w:name="n2747" w:colFirst="0" w:colLast="0"/>
            <w:bookmarkEnd w:id="2618"/>
            <w:r w:rsidRPr="00286216">
              <w:rPr>
                <w:color w:val="000000" w:themeColor="text1"/>
              </w:rPr>
              <w:lastRenderedPageBreak/>
              <w:t>2747.</w:t>
            </w:r>
          </w:p>
        </w:tc>
        <w:tc>
          <w:tcPr>
            <w:tcW w:w="4818" w:type="dxa"/>
          </w:tcPr>
          <w:p w14:paraId="5D71B190" w14:textId="77777777" w:rsidR="009B61A3" w:rsidRPr="00286216" w:rsidRDefault="009B61A3" w:rsidP="009B61A3">
            <w:pPr>
              <w:pStyle w:val="StyleZakonu"/>
              <w:rPr>
                <w:color w:val="000000" w:themeColor="text1"/>
              </w:rPr>
            </w:pPr>
            <w:r w:rsidRPr="00286216">
              <w:rPr>
                <w:color w:val="000000" w:themeColor="text1"/>
              </w:rPr>
              <w:t>3) частину першу статті 43 доповнити словами та знаками ", адміністратором за випуском облігацій";</w:t>
            </w:r>
          </w:p>
        </w:tc>
        <w:tc>
          <w:tcPr>
            <w:tcW w:w="3686" w:type="dxa"/>
          </w:tcPr>
          <w:p w14:paraId="6DB5BF58" w14:textId="77777777" w:rsidR="009B61A3" w:rsidRPr="00286216" w:rsidRDefault="009B61A3" w:rsidP="009B61A3">
            <w:pPr>
              <w:pStyle w:val="StyleProp"/>
              <w:rPr>
                <w:color w:val="000000" w:themeColor="text1"/>
                <w:szCs w:val="18"/>
              </w:rPr>
            </w:pPr>
          </w:p>
        </w:tc>
        <w:tc>
          <w:tcPr>
            <w:tcW w:w="1987" w:type="dxa"/>
          </w:tcPr>
          <w:p w14:paraId="707A9198" w14:textId="77777777" w:rsidR="009B61A3" w:rsidRPr="00286216" w:rsidRDefault="009B61A3" w:rsidP="009B61A3">
            <w:pPr>
              <w:pStyle w:val="StyleWisnow"/>
              <w:rPr>
                <w:color w:val="000000" w:themeColor="text1"/>
              </w:rPr>
            </w:pPr>
          </w:p>
        </w:tc>
        <w:tc>
          <w:tcPr>
            <w:tcW w:w="4818" w:type="dxa"/>
          </w:tcPr>
          <w:p w14:paraId="29307386" w14:textId="794D5B29" w:rsidR="009B61A3" w:rsidRPr="00286216" w:rsidRDefault="009B61A3" w:rsidP="009B61A3">
            <w:pPr>
              <w:pStyle w:val="StyleZakonu"/>
              <w:rPr>
                <w:color w:val="000000" w:themeColor="text1"/>
              </w:rPr>
            </w:pPr>
            <w:r w:rsidRPr="00286216">
              <w:rPr>
                <w:color w:val="000000" w:themeColor="text1"/>
              </w:rPr>
              <w:t>3) частину першу статті 43 доповнити словами "адміністратором за випуском облігацій";</w:t>
            </w:r>
          </w:p>
        </w:tc>
      </w:tr>
      <w:tr w:rsidR="009B61A3" w:rsidRPr="00286216" w14:paraId="272FB358" w14:textId="77777777" w:rsidTr="00091AA5">
        <w:tc>
          <w:tcPr>
            <w:tcW w:w="576" w:type="dxa"/>
          </w:tcPr>
          <w:p w14:paraId="401D9ADB" w14:textId="77777777" w:rsidR="009B61A3" w:rsidRPr="00286216" w:rsidRDefault="009B61A3" w:rsidP="009B61A3">
            <w:pPr>
              <w:pStyle w:val="StyleWisnow"/>
              <w:rPr>
                <w:color w:val="000000" w:themeColor="text1"/>
              </w:rPr>
            </w:pPr>
            <w:bookmarkStart w:id="2620" w:name="n2748" w:colFirst="0" w:colLast="0"/>
            <w:bookmarkEnd w:id="2619"/>
            <w:r w:rsidRPr="00286216">
              <w:rPr>
                <w:color w:val="000000" w:themeColor="text1"/>
              </w:rPr>
              <w:t>2748.</w:t>
            </w:r>
          </w:p>
        </w:tc>
        <w:tc>
          <w:tcPr>
            <w:tcW w:w="4818" w:type="dxa"/>
          </w:tcPr>
          <w:p w14:paraId="4ACA892B" w14:textId="77777777" w:rsidR="009B61A3" w:rsidRPr="00286216" w:rsidRDefault="009B61A3" w:rsidP="009B61A3">
            <w:pPr>
              <w:pStyle w:val="StyleZakonu"/>
              <w:rPr>
                <w:color w:val="000000" w:themeColor="text1"/>
              </w:rPr>
            </w:pPr>
            <w:r w:rsidRPr="00286216">
              <w:rPr>
                <w:color w:val="000000" w:themeColor="text1"/>
              </w:rPr>
              <w:t>4) статтю 47 доповнити новою частиною такого змісту:</w:t>
            </w:r>
          </w:p>
        </w:tc>
        <w:tc>
          <w:tcPr>
            <w:tcW w:w="3686" w:type="dxa"/>
          </w:tcPr>
          <w:p w14:paraId="56FD06A5" w14:textId="77777777" w:rsidR="009B61A3" w:rsidRPr="00286216" w:rsidRDefault="009B61A3" w:rsidP="009B61A3">
            <w:pPr>
              <w:pStyle w:val="StyleProp"/>
              <w:rPr>
                <w:color w:val="000000" w:themeColor="text1"/>
                <w:szCs w:val="18"/>
              </w:rPr>
            </w:pPr>
          </w:p>
        </w:tc>
        <w:tc>
          <w:tcPr>
            <w:tcW w:w="1987" w:type="dxa"/>
          </w:tcPr>
          <w:p w14:paraId="43F4C17B" w14:textId="77777777" w:rsidR="009B61A3" w:rsidRPr="00286216" w:rsidRDefault="009B61A3" w:rsidP="009B61A3">
            <w:pPr>
              <w:pStyle w:val="StyleWisnow"/>
              <w:rPr>
                <w:color w:val="000000" w:themeColor="text1"/>
              </w:rPr>
            </w:pPr>
          </w:p>
        </w:tc>
        <w:tc>
          <w:tcPr>
            <w:tcW w:w="4818" w:type="dxa"/>
          </w:tcPr>
          <w:p w14:paraId="1FAF67D9" w14:textId="05748B98" w:rsidR="009B61A3" w:rsidRPr="00286216" w:rsidRDefault="009B61A3" w:rsidP="009B61A3">
            <w:pPr>
              <w:pStyle w:val="StyleZakonu"/>
              <w:rPr>
                <w:color w:val="000000" w:themeColor="text1"/>
              </w:rPr>
            </w:pPr>
            <w:r w:rsidRPr="00286216">
              <w:rPr>
                <w:color w:val="000000" w:themeColor="text1"/>
              </w:rPr>
              <w:t>4) статтю 47 після частини шостої доповнити  частиною такого змісту:</w:t>
            </w:r>
          </w:p>
        </w:tc>
      </w:tr>
      <w:tr w:rsidR="009B61A3" w:rsidRPr="00286216" w14:paraId="66DA1C37" w14:textId="77777777" w:rsidTr="00091AA5">
        <w:tc>
          <w:tcPr>
            <w:tcW w:w="576" w:type="dxa"/>
          </w:tcPr>
          <w:p w14:paraId="6C0003B1" w14:textId="77777777" w:rsidR="009B61A3" w:rsidRPr="00286216" w:rsidRDefault="009B61A3" w:rsidP="009B61A3">
            <w:pPr>
              <w:pStyle w:val="StyleWisnow"/>
              <w:rPr>
                <w:color w:val="000000" w:themeColor="text1"/>
              </w:rPr>
            </w:pPr>
            <w:bookmarkStart w:id="2621" w:name="n2749" w:colFirst="0" w:colLast="0"/>
            <w:bookmarkEnd w:id="2620"/>
            <w:r w:rsidRPr="00286216">
              <w:rPr>
                <w:color w:val="000000" w:themeColor="text1"/>
              </w:rPr>
              <w:t>2749.</w:t>
            </w:r>
          </w:p>
        </w:tc>
        <w:tc>
          <w:tcPr>
            <w:tcW w:w="4818" w:type="dxa"/>
          </w:tcPr>
          <w:p w14:paraId="579A9D81" w14:textId="77777777" w:rsidR="009B61A3" w:rsidRPr="00286216" w:rsidRDefault="009B61A3" w:rsidP="009B61A3">
            <w:pPr>
              <w:pStyle w:val="StyleZakonu"/>
              <w:rPr>
                <w:color w:val="000000" w:themeColor="text1"/>
              </w:rPr>
            </w:pPr>
            <w:r w:rsidRPr="00286216">
              <w:rPr>
                <w:color w:val="000000" w:themeColor="text1"/>
              </w:rPr>
              <w:t>"7. У випадку, коли стороною в адміністративному процесі є адміністратор за випуском облігацій, здійснення ним відмови від позову, зменшення розміру позовних вимог, зміни предмета позову, укладання мирової угоди, відмови від апеляційної або касаційної скарги можливе виключно за наявності згоди зборів власників облігацій, отриманої відповідно до положень Закону України "Про ринки капіталу та організовані товарні ринки".</w:t>
            </w:r>
          </w:p>
        </w:tc>
        <w:tc>
          <w:tcPr>
            <w:tcW w:w="3686" w:type="dxa"/>
          </w:tcPr>
          <w:p w14:paraId="61992F9C" w14:textId="77777777" w:rsidR="009B61A3" w:rsidRPr="00286216" w:rsidRDefault="009B61A3" w:rsidP="009B61A3">
            <w:pPr>
              <w:pStyle w:val="StyleProp"/>
              <w:rPr>
                <w:color w:val="000000" w:themeColor="text1"/>
                <w:szCs w:val="18"/>
              </w:rPr>
            </w:pPr>
          </w:p>
        </w:tc>
        <w:tc>
          <w:tcPr>
            <w:tcW w:w="1987" w:type="dxa"/>
          </w:tcPr>
          <w:p w14:paraId="4CC45407" w14:textId="77777777" w:rsidR="009B61A3" w:rsidRPr="00286216" w:rsidRDefault="009B61A3" w:rsidP="009B61A3">
            <w:pPr>
              <w:pStyle w:val="StyleWisnow"/>
              <w:rPr>
                <w:color w:val="000000" w:themeColor="text1"/>
              </w:rPr>
            </w:pPr>
          </w:p>
        </w:tc>
        <w:tc>
          <w:tcPr>
            <w:tcW w:w="4818" w:type="dxa"/>
          </w:tcPr>
          <w:p w14:paraId="22D88103" w14:textId="43B70E4B" w:rsidR="009B61A3" w:rsidRPr="00286216" w:rsidRDefault="009B61A3" w:rsidP="009B61A3">
            <w:pPr>
              <w:pStyle w:val="StyleZakonu"/>
              <w:rPr>
                <w:color w:val="000000" w:themeColor="text1"/>
              </w:rPr>
            </w:pPr>
            <w:r w:rsidRPr="00286216">
              <w:rPr>
                <w:color w:val="000000" w:themeColor="text1"/>
              </w:rPr>
              <w:t>"7. У  разі, якщо стороною в адміністративному процесі є адміністратор за випуском облігацій, здійснення ним відмови від позову, зменшення розміру позовних вимог, зміни предмета позову, укладення мирової угоди, відмови від апеляційної або касаційної скарги можливе виключно за наявності згоди зборів власників облігацій, отриманої відповідно до положень Закону України "Про ринки капіталу та організовані товарні ринки".</w:t>
            </w:r>
          </w:p>
        </w:tc>
      </w:tr>
      <w:tr w:rsidR="009B61A3" w:rsidRPr="00286216" w14:paraId="6E032438" w14:textId="77777777" w:rsidTr="00091AA5">
        <w:tc>
          <w:tcPr>
            <w:tcW w:w="576" w:type="dxa"/>
          </w:tcPr>
          <w:p w14:paraId="587958CC" w14:textId="77777777" w:rsidR="009B61A3" w:rsidRPr="00286216" w:rsidRDefault="009B61A3" w:rsidP="009B61A3">
            <w:pPr>
              <w:pStyle w:val="StyleWisnow"/>
              <w:rPr>
                <w:color w:val="000000" w:themeColor="text1"/>
              </w:rPr>
            </w:pPr>
            <w:bookmarkStart w:id="2622" w:name="n2750" w:colFirst="0" w:colLast="0"/>
            <w:bookmarkEnd w:id="2621"/>
            <w:r w:rsidRPr="00286216">
              <w:rPr>
                <w:color w:val="000000" w:themeColor="text1"/>
              </w:rPr>
              <w:t>2750.</w:t>
            </w:r>
          </w:p>
        </w:tc>
        <w:tc>
          <w:tcPr>
            <w:tcW w:w="4818" w:type="dxa"/>
          </w:tcPr>
          <w:p w14:paraId="42507CC0" w14:textId="77777777" w:rsidR="009B61A3" w:rsidRPr="00286216" w:rsidRDefault="009B61A3" w:rsidP="009B61A3">
            <w:pPr>
              <w:pStyle w:val="StyleZakonu"/>
              <w:rPr>
                <w:color w:val="000000" w:themeColor="text1"/>
              </w:rPr>
            </w:pPr>
            <w:r w:rsidRPr="00286216">
              <w:rPr>
                <w:color w:val="000000" w:themeColor="text1"/>
              </w:rPr>
              <w:t>Термін "збори власників облігацій" вживається у значенні, наведеному у Законі України "Про ринки капіталу та організовані товарні ринки".".</w:t>
            </w:r>
          </w:p>
        </w:tc>
        <w:tc>
          <w:tcPr>
            <w:tcW w:w="3686" w:type="dxa"/>
          </w:tcPr>
          <w:p w14:paraId="24CEA825" w14:textId="77777777" w:rsidR="009B61A3" w:rsidRPr="00286216" w:rsidRDefault="009B61A3" w:rsidP="009B61A3">
            <w:pPr>
              <w:pStyle w:val="StyleProp"/>
              <w:rPr>
                <w:color w:val="000000" w:themeColor="text1"/>
                <w:szCs w:val="18"/>
              </w:rPr>
            </w:pPr>
          </w:p>
        </w:tc>
        <w:tc>
          <w:tcPr>
            <w:tcW w:w="1987" w:type="dxa"/>
          </w:tcPr>
          <w:p w14:paraId="2715577A" w14:textId="77777777" w:rsidR="009B61A3" w:rsidRPr="00286216" w:rsidRDefault="009B61A3" w:rsidP="009B61A3">
            <w:pPr>
              <w:pStyle w:val="StyleWisnow"/>
              <w:rPr>
                <w:color w:val="000000" w:themeColor="text1"/>
              </w:rPr>
            </w:pPr>
          </w:p>
        </w:tc>
        <w:tc>
          <w:tcPr>
            <w:tcW w:w="4818" w:type="dxa"/>
          </w:tcPr>
          <w:p w14:paraId="78C9BA75" w14:textId="472263FC" w:rsidR="009B61A3" w:rsidRPr="00286216" w:rsidRDefault="009B61A3" w:rsidP="009B61A3">
            <w:pPr>
              <w:pStyle w:val="StyleZakonu"/>
              <w:rPr>
                <w:color w:val="000000" w:themeColor="text1"/>
              </w:rPr>
            </w:pPr>
            <w:r w:rsidRPr="00286216">
              <w:rPr>
                <w:color w:val="000000" w:themeColor="text1"/>
              </w:rPr>
              <w:t>Термін "збори власників облігацій" у цьому Кодексі вживається у значенні, наведеному в Законі України "Про ринки капіталу та організовані товарні ринки".</w:t>
            </w:r>
          </w:p>
        </w:tc>
      </w:tr>
      <w:tr w:rsidR="009B61A3" w:rsidRPr="00286216" w14:paraId="329564B8" w14:textId="77777777" w:rsidTr="00091AA5">
        <w:tc>
          <w:tcPr>
            <w:tcW w:w="576" w:type="dxa"/>
          </w:tcPr>
          <w:p w14:paraId="09917328" w14:textId="77777777" w:rsidR="009B61A3" w:rsidRPr="00286216" w:rsidRDefault="009B61A3" w:rsidP="009B61A3">
            <w:pPr>
              <w:pStyle w:val="StyleWisnow"/>
              <w:rPr>
                <w:color w:val="000000" w:themeColor="text1"/>
              </w:rPr>
            </w:pPr>
            <w:bookmarkStart w:id="2623" w:name="n2751" w:colFirst="0" w:colLast="0"/>
            <w:bookmarkEnd w:id="2622"/>
            <w:r w:rsidRPr="00286216">
              <w:rPr>
                <w:color w:val="000000" w:themeColor="text1"/>
              </w:rPr>
              <w:t>2751.</w:t>
            </w:r>
          </w:p>
        </w:tc>
        <w:tc>
          <w:tcPr>
            <w:tcW w:w="4818" w:type="dxa"/>
          </w:tcPr>
          <w:p w14:paraId="2BFB6DEB" w14:textId="77777777" w:rsidR="009B61A3" w:rsidRPr="00286216" w:rsidRDefault="009B61A3" w:rsidP="009B61A3">
            <w:pPr>
              <w:pStyle w:val="StyleZakonu"/>
              <w:rPr>
                <w:color w:val="000000" w:themeColor="text1"/>
              </w:rPr>
            </w:pPr>
            <w:r w:rsidRPr="00286216">
              <w:rPr>
                <w:color w:val="000000" w:themeColor="text1"/>
              </w:rPr>
              <w:t>У зв’язку з цим частини сьому та восьму вважати частинами восьмою та дев’ятою, відповідно.</w:t>
            </w:r>
          </w:p>
        </w:tc>
        <w:tc>
          <w:tcPr>
            <w:tcW w:w="3686" w:type="dxa"/>
          </w:tcPr>
          <w:p w14:paraId="67B4A689" w14:textId="77777777" w:rsidR="009B61A3" w:rsidRPr="00286216" w:rsidRDefault="009B61A3" w:rsidP="009B61A3">
            <w:pPr>
              <w:pStyle w:val="StyleProp"/>
              <w:rPr>
                <w:color w:val="000000" w:themeColor="text1"/>
                <w:szCs w:val="18"/>
              </w:rPr>
            </w:pPr>
          </w:p>
        </w:tc>
        <w:tc>
          <w:tcPr>
            <w:tcW w:w="1987" w:type="dxa"/>
          </w:tcPr>
          <w:p w14:paraId="1865D1A1" w14:textId="77777777" w:rsidR="009B61A3" w:rsidRPr="00286216" w:rsidRDefault="009B61A3" w:rsidP="009B61A3">
            <w:pPr>
              <w:pStyle w:val="StyleWisnow"/>
              <w:rPr>
                <w:color w:val="000000" w:themeColor="text1"/>
              </w:rPr>
            </w:pPr>
          </w:p>
        </w:tc>
        <w:tc>
          <w:tcPr>
            <w:tcW w:w="4818" w:type="dxa"/>
          </w:tcPr>
          <w:p w14:paraId="1527CAA2" w14:textId="1A310826" w:rsidR="009B61A3" w:rsidRPr="00286216" w:rsidRDefault="009B61A3" w:rsidP="009B61A3">
            <w:pPr>
              <w:pStyle w:val="StyleZakonu"/>
              <w:rPr>
                <w:color w:val="000000" w:themeColor="text1"/>
              </w:rPr>
            </w:pPr>
            <w:r w:rsidRPr="00286216">
              <w:rPr>
                <w:color w:val="000000" w:themeColor="text1"/>
              </w:rPr>
              <w:t>У зв’язку з цим частини сьому та восьму вважати відповідно частинами восьмою та дев’ятою,.</w:t>
            </w:r>
          </w:p>
        </w:tc>
      </w:tr>
      <w:tr w:rsidR="009B61A3" w:rsidRPr="00286216" w14:paraId="38283DB2" w14:textId="77777777" w:rsidTr="00091AA5">
        <w:tc>
          <w:tcPr>
            <w:tcW w:w="576" w:type="dxa"/>
          </w:tcPr>
          <w:p w14:paraId="2845C5B4" w14:textId="77777777" w:rsidR="009B61A3" w:rsidRPr="00286216" w:rsidRDefault="009B61A3" w:rsidP="009B61A3">
            <w:pPr>
              <w:pStyle w:val="StyleWisnow"/>
              <w:rPr>
                <w:color w:val="000000" w:themeColor="text1"/>
              </w:rPr>
            </w:pPr>
            <w:bookmarkStart w:id="2624" w:name="n2752" w:colFirst="0" w:colLast="0"/>
            <w:bookmarkEnd w:id="2623"/>
            <w:r w:rsidRPr="00286216">
              <w:rPr>
                <w:color w:val="000000" w:themeColor="text1"/>
              </w:rPr>
              <w:t>2752.</w:t>
            </w:r>
          </w:p>
        </w:tc>
        <w:tc>
          <w:tcPr>
            <w:tcW w:w="4818" w:type="dxa"/>
          </w:tcPr>
          <w:p w14:paraId="17BE6296" w14:textId="77777777" w:rsidR="009B61A3" w:rsidRPr="00286216" w:rsidRDefault="009B61A3" w:rsidP="009B61A3">
            <w:pPr>
              <w:pStyle w:val="StyleZakonu"/>
              <w:rPr>
                <w:color w:val="000000" w:themeColor="text1"/>
              </w:rPr>
            </w:pPr>
            <w:r w:rsidRPr="00286216">
              <w:rPr>
                <w:color w:val="000000" w:themeColor="text1"/>
              </w:rPr>
              <w:t>8. У Кримінальному процесуальному кодексі України (Відомості Верховної Ради України, 2013 р., №№ 9 - 13, ст. 88, із наступними змінами):</w:t>
            </w:r>
          </w:p>
        </w:tc>
        <w:tc>
          <w:tcPr>
            <w:tcW w:w="3686" w:type="dxa"/>
          </w:tcPr>
          <w:p w14:paraId="7DD8BFF2" w14:textId="77777777" w:rsidR="009B61A3" w:rsidRPr="00286216" w:rsidRDefault="009B61A3" w:rsidP="009B61A3">
            <w:pPr>
              <w:pStyle w:val="StyleProp"/>
              <w:rPr>
                <w:color w:val="000000" w:themeColor="text1"/>
                <w:szCs w:val="18"/>
              </w:rPr>
            </w:pPr>
          </w:p>
        </w:tc>
        <w:tc>
          <w:tcPr>
            <w:tcW w:w="1987" w:type="dxa"/>
          </w:tcPr>
          <w:p w14:paraId="7F48B49A" w14:textId="77777777" w:rsidR="009B61A3" w:rsidRPr="00286216" w:rsidRDefault="009B61A3" w:rsidP="009B61A3">
            <w:pPr>
              <w:pStyle w:val="StyleWisnow"/>
              <w:rPr>
                <w:color w:val="000000" w:themeColor="text1"/>
              </w:rPr>
            </w:pPr>
          </w:p>
        </w:tc>
        <w:tc>
          <w:tcPr>
            <w:tcW w:w="4818" w:type="dxa"/>
          </w:tcPr>
          <w:p w14:paraId="2345645E" w14:textId="67ACEF02" w:rsidR="009B61A3" w:rsidRPr="00286216" w:rsidRDefault="009B61A3" w:rsidP="009B61A3">
            <w:pPr>
              <w:pStyle w:val="StyleZakonu"/>
              <w:rPr>
                <w:color w:val="000000" w:themeColor="text1"/>
              </w:rPr>
            </w:pPr>
            <w:r w:rsidRPr="00286216">
              <w:rPr>
                <w:color w:val="000000" w:themeColor="text1"/>
              </w:rPr>
              <w:t>8. У Кримінальному процесуальному кодексі України (Відомості Верховної Ради України, 2013 р., №№ 9 - 13, ст. 88):</w:t>
            </w:r>
          </w:p>
        </w:tc>
      </w:tr>
      <w:tr w:rsidR="009B61A3" w:rsidRPr="00286216" w14:paraId="6DED7F2E" w14:textId="77777777" w:rsidTr="00091AA5">
        <w:tc>
          <w:tcPr>
            <w:tcW w:w="576" w:type="dxa"/>
          </w:tcPr>
          <w:p w14:paraId="7AD39D71" w14:textId="77777777" w:rsidR="009B61A3" w:rsidRPr="00286216" w:rsidRDefault="009B61A3" w:rsidP="009B61A3">
            <w:pPr>
              <w:pStyle w:val="StyleWisnow"/>
              <w:rPr>
                <w:color w:val="000000" w:themeColor="text1"/>
              </w:rPr>
            </w:pPr>
            <w:bookmarkStart w:id="2625" w:name="n2753" w:colFirst="0" w:colLast="0"/>
            <w:bookmarkEnd w:id="2624"/>
            <w:r w:rsidRPr="00286216">
              <w:rPr>
                <w:color w:val="000000" w:themeColor="text1"/>
              </w:rPr>
              <w:t>2753.</w:t>
            </w:r>
          </w:p>
        </w:tc>
        <w:tc>
          <w:tcPr>
            <w:tcW w:w="4818" w:type="dxa"/>
          </w:tcPr>
          <w:p w14:paraId="234BF8B4" w14:textId="77777777" w:rsidR="009B61A3" w:rsidRPr="00286216" w:rsidRDefault="009B61A3" w:rsidP="009B61A3">
            <w:pPr>
              <w:pStyle w:val="StyleZakonu"/>
              <w:rPr>
                <w:color w:val="000000" w:themeColor="text1"/>
              </w:rPr>
            </w:pPr>
            <w:r w:rsidRPr="00286216">
              <w:rPr>
                <w:color w:val="000000" w:themeColor="text1"/>
              </w:rPr>
              <w:t>1) статтю 3 доповнити після частини першої новою частиною такого змісту:</w:t>
            </w:r>
          </w:p>
        </w:tc>
        <w:tc>
          <w:tcPr>
            <w:tcW w:w="3686" w:type="dxa"/>
          </w:tcPr>
          <w:p w14:paraId="3490E696" w14:textId="77777777" w:rsidR="009B61A3" w:rsidRPr="00286216" w:rsidRDefault="009B61A3" w:rsidP="009B61A3">
            <w:pPr>
              <w:pStyle w:val="StyleProp"/>
              <w:rPr>
                <w:color w:val="000000" w:themeColor="text1"/>
                <w:szCs w:val="18"/>
              </w:rPr>
            </w:pPr>
          </w:p>
        </w:tc>
        <w:tc>
          <w:tcPr>
            <w:tcW w:w="1987" w:type="dxa"/>
          </w:tcPr>
          <w:p w14:paraId="35EAD020" w14:textId="77777777" w:rsidR="009B61A3" w:rsidRPr="00286216" w:rsidRDefault="009B61A3" w:rsidP="009B61A3">
            <w:pPr>
              <w:pStyle w:val="StyleWisnow"/>
              <w:rPr>
                <w:color w:val="000000" w:themeColor="text1"/>
              </w:rPr>
            </w:pPr>
          </w:p>
        </w:tc>
        <w:tc>
          <w:tcPr>
            <w:tcW w:w="4818" w:type="dxa"/>
          </w:tcPr>
          <w:p w14:paraId="0C3F27FB" w14:textId="47AB1721" w:rsidR="009B61A3" w:rsidRPr="00286216" w:rsidRDefault="009B61A3" w:rsidP="009B61A3">
            <w:pPr>
              <w:pStyle w:val="StyleZakonu"/>
              <w:rPr>
                <w:color w:val="000000" w:themeColor="text1"/>
              </w:rPr>
            </w:pPr>
            <w:r w:rsidRPr="00286216">
              <w:rPr>
                <w:color w:val="000000" w:themeColor="text1"/>
              </w:rPr>
              <w:t>1) статтю 3 після частини першої доповнити новою частиною такого змісту:</w:t>
            </w:r>
          </w:p>
        </w:tc>
      </w:tr>
      <w:tr w:rsidR="009B61A3" w:rsidRPr="00286216" w14:paraId="66BD6A3F" w14:textId="77777777" w:rsidTr="00091AA5">
        <w:tc>
          <w:tcPr>
            <w:tcW w:w="576" w:type="dxa"/>
          </w:tcPr>
          <w:p w14:paraId="4B34EDFD" w14:textId="77777777" w:rsidR="009B61A3" w:rsidRPr="00286216" w:rsidRDefault="009B61A3" w:rsidP="009B61A3">
            <w:pPr>
              <w:pStyle w:val="StyleWisnow"/>
              <w:rPr>
                <w:color w:val="000000" w:themeColor="text1"/>
              </w:rPr>
            </w:pPr>
            <w:bookmarkStart w:id="2626" w:name="n2754" w:colFirst="0" w:colLast="0"/>
            <w:bookmarkEnd w:id="2625"/>
            <w:r w:rsidRPr="00286216">
              <w:rPr>
                <w:color w:val="000000" w:themeColor="text1"/>
              </w:rPr>
              <w:t>2754.</w:t>
            </w:r>
          </w:p>
        </w:tc>
        <w:tc>
          <w:tcPr>
            <w:tcW w:w="4818" w:type="dxa"/>
          </w:tcPr>
          <w:p w14:paraId="489ADA80" w14:textId="77777777" w:rsidR="009B61A3" w:rsidRPr="00286216" w:rsidRDefault="009B61A3" w:rsidP="009B61A3">
            <w:pPr>
              <w:pStyle w:val="StyleZakonu"/>
              <w:rPr>
                <w:color w:val="000000" w:themeColor="text1"/>
              </w:rPr>
            </w:pPr>
            <w:r w:rsidRPr="00286216">
              <w:rPr>
                <w:color w:val="000000" w:themeColor="text1"/>
              </w:rPr>
              <w:t>"2. Терміни "збори власників облігацій" та "адміністратор за випуском облігацій" вживаються у значеннях, наведених у Законі України "Про ринки капіталу та організовані товарні ринки".".</w:t>
            </w:r>
          </w:p>
        </w:tc>
        <w:tc>
          <w:tcPr>
            <w:tcW w:w="3686" w:type="dxa"/>
          </w:tcPr>
          <w:p w14:paraId="77BD474C" w14:textId="77777777" w:rsidR="009B61A3" w:rsidRPr="00286216" w:rsidRDefault="009B61A3" w:rsidP="009B61A3">
            <w:pPr>
              <w:pStyle w:val="StyleProp"/>
              <w:rPr>
                <w:color w:val="000000" w:themeColor="text1"/>
                <w:szCs w:val="18"/>
              </w:rPr>
            </w:pPr>
          </w:p>
        </w:tc>
        <w:tc>
          <w:tcPr>
            <w:tcW w:w="1987" w:type="dxa"/>
          </w:tcPr>
          <w:p w14:paraId="336536E8" w14:textId="77777777" w:rsidR="009B61A3" w:rsidRPr="00286216" w:rsidRDefault="009B61A3" w:rsidP="009B61A3">
            <w:pPr>
              <w:pStyle w:val="StyleWisnow"/>
              <w:rPr>
                <w:color w:val="000000" w:themeColor="text1"/>
              </w:rPr>
            </w:pPr>
          </w:p>
        </w:tc>
        <w:tc>
          <w:tcPr>
            <w:tcW w:w="4818" w:type="dxa"/>
          </w:tcPr>
          <w:p w14:paraId="4CF82557" w14:textId="55FB0352" w:rsidR="009B61A3" w:rsidRPr="00286216" w:rsidRDefault="009B61A3" w:rsidP="009B61A3">
            <w:pPr>
              <w:pStyle w:val="StyleZakonu"/>
              <w:rPr>
                <w:color w:val="000000" w:themeColor="text1"/>
              </w:rPr>
            </w:pPr>
            <w:r w:rsidRPr="00286216">
              <w:rPr>
                <w:color w:val="000000" w:themeColor="text1"/>
              </w:rPr>
              <w:t>"2. Терміни "збори власників облігацій" та "адміністратор за випуском облігацій" у цьому Кодексі вживаються у значеннях, наведених у Законі України "Про ринки капіталу та організовані товарні ринки".</w:t>
            </w:r>
          </w:p>
        </w:tc>
      </w:tr>
      <w:tr w:rsidR="009B61A3" w:rsidRPr="00286216" w14:paraId="28C31412" w14:textId="77777777" w:rsidTr="00091AA5">
        <w:tc>
          <w:tcPr>
            <w:tcW w:w="576" w:type="dxa"/>
          </w:tcPr>
          <w:p w14:paraId="0BA1E575" w14:textId="77777777" w:rsidR="009B61A3" w:rsidRPr="00286216" w:rsidRDefault="009B61A3" w:rsidP="009B61A3">
            <w:pPr>
              <w:pStyle w:val="StyleWisnow"/>
              <w:rPr>
                <w:color w:val="000000" w:themeColor="text1"/>
              </w:rPr>
            </w:pPr>
            <w:bookmarkStart w:id="2627" w:name="n2755" w:colFirst="0" w:colLast="0"/>
            <w:bookmarkEnd w:id="2626"/>
            <w:r w:rsidRPr="00286216">
              <w:rPr>
                <w:color w:val="000000" w:themeColor="text1"/>
              </w:rPr>
              <w:t>2755.</w:t>
            </w:r>
          </w:p>
        </w:tc>
        <w:tc>
          <w:tcPr>
            <w:tcW w:w="4818" w:type="dxa"/>
          </w:tcPr>
          <w:p w14:paraId="5CEC6290" w14:textId="77777777" w:rsidR="009B61A3" w:rsidRPr="00286216" w:rsidRDefault="009B61A3" w:rsidP="009B61A3">
            <w:pPr>
              <w:pStyle w:val="StyleZakonu"/>
              <w:rPr>
                <w:color w:val="000000" w:themeColor="text1"/>
              </w:rPr>
            </w:pPr>
            <w:r w:rsidRPr="00286216">
              <w:rPr>
                <w:color w:val="000000" w:themeColor="text1"/>
              </w:rPr>
              <w:t>У зв’язку з цим частину другу вважати частиною третьою;</w:t>
            </w:r>
          </w:p>
        </w:tc>
        <w:tc>
          <w:tcPr>
            <w:tcW w:w="3686" w:type="dxa"/>
          </w:tcPr>
          <w:p w14:paraId="738E1CD4" w14:textId="77777777" w:rsidR="009B61A3" w:rsidRPr="00286216" w:rsidRDefault="009B61A3" w:rsidP="009B61A3">
            <w:pPr>
              <w:pStyle w:val="StyleProp"/>
              <w:rPr>
                <w:color w:val="000000" w:themeColor="text1"/>
                <w:szCs w:val="18"/>
              </w:rPr>
            </w:pPr>
          </w:p>
        </w:tc>
        <w:tc>
          <w:tcPr>
            <w:tcW w:w="1987" w:type="dxa"/>
          </w:tcPr>
          <w:p w14:paraId="2DF4EE26" w14:textId="77777777" w:rsidR="009B61A3" w:rsidRPr="00286216" w:rsidRDefault="009B61A3" w:rsidP="009B61A3">
            <w:pPr>
              <w:pStyle w:val="StyleWisnow"/>
              <w:rPr>
                <w:color w:val="000000" w:themeColor="text1"/>
              </w:rPr>
            </w:pPr>
          </w:p>
        </w:tc>
        <w:tc>
          <w:tcPr>
            <w:tcW w:w="4818" w:type="dxa"/>
          </w:tcPr>
          <w:p w14:paraId="2860E878" w14:textId="4057720E" w:rsidR="009B61A3" w:rsidRPr="00286216" w:rsidRDefault="009B61A3" w:rsidP="009B61A3">
            <w:pPr>
              <w:pStyle w:val="StyleZakonu"/>
              <w:rPr>
                <w:color w:val="000000" w:themeColor="text1"/>
              </w:rPr>
            </w:pPr>
            <w:r w:rsidRPr="00286216">
              <w:rPr>
                <w:color w:val="000000" w:themeColor="text1"/>
              </w:rPr>
              <w:t>У зв’язку з цим частину другу вважати частиною третьою;</w:t>
            </w:r>
          </w:p>
        </w:tc>
      </w:tr>
      <w:tr w:rsidR="009B61A3" w:rsidRPr="00286216" w14:paraId="545A0498" w14:textId="77777777" w:rsidTr="00091AA5">
        <w:tc>
          <w:tcPr>
            <w:tcW w:w="576" w:type="dxa"/>
          </w:tcPr>
          <w:p w14:paraId="5EE5AD29" w14:textId="77777777" w:rsidR="009B61A3" w:rsidRPr="00286216" w:rsidRDefault="009B61A3" w:rsidP="009B61A3">
            <w:pPr>
              <w:pStyle w:val="StyleWisnow"/>
              <w:rPr>
                <w:color w:val="000000" w:themeColor="text1"/>
              </w:rPr>
            </w:pPr>
            <w:bookmarkStart w:id="2628" w:name="n2756" w:colFirst="0" w:colLast="0"/>
            <w:bookmarkEnd w:id="2627"/>
            <w:r w:rsidRPr="00286216">
              <w:rPr>
                <w:color w:val="000000" w:themeColor="text1"/>
              </w:rPr>
              <w:t>2756.</w:t>
            </w:r>
          </w:p>
        </w:tc>
        <w:tc>
          <w:tcPr>
            <w:tcW w:w="4818" w:type="dxa"/>
          </w:tcPr>
          <w:p w14:paraId="2C30E7B2" w14:textId="77777777" w:rsidR="009B61A3" w:rsidRPr="00286216" w:rsidRDefault="009B61A3" w:rsidP="009B61A3">
            <w:pPr>
              <w:pStyle w:val="StyleZakonu"/>
              <w:rPr>
                <w:color w:val="000000" w:themeColor="text1"/>
              </w:rPr>
            </w:pPr>
            <w:r w:rsidRPr="00286216">
              <w:rPr>
                <w:color w:val="000000" w:themeColor="text1"/>
              </w:rPr>
              <w:t>2) у частині першій статті 55 після слів "майнової шкоди" слова та знаки ", а також" виключити та доповнити речення словами та знаками ",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яким кримінальним правопорушенням завдано майнової шкоди.";</w:t>
            </w:r>
          </w:p>
        </w:tc>
        <w:tc>
          <w:tcPr>
            <w:tcW w:w="3686" w:type="dxa"/>
          </w:tcPr>
          <w:p w14:paraId="6B355D6C" w14:textId="77777777" w:rsidR="009B61A3" w:rsidRPr="00286216" w:rsidRDefault="009B61A3" w:rsidP="009B61A3">
            <w:pPr>
              <w:pStyle w:val="StyleProp"/>
              <w:rPr>
                <w:color w:val="000000" w:themeColor="text1"/>
                <w:szCs w:val="18"/>
              </w:rPr>
            </w:pPr>
          </w:p>
        </w:tc>
        <w:tc>
          <w:tcPr>
            <w:tcW w:w="1987" w:type="dxa"/>
          </w:tcPr>
          <w:p w14:paraId="794DD631" w14:textId="77777777" w:rsidR="009B61A3" w:rsidRPr="00286216" w:rsidRDefault="009B61A3" w:rsidP="009B61A3">
            <w:pPr>
              <w:pStyle w:val="StyleWisnow"/>
              <w:rPr>
                <w:color w:val="000000" w:themeColor="text1"/>
              </w:rPr>
            </w:pPr>
          </w:p>
        </w:tc>
        <w:tc>
          <w:tcPr>
            <w:tcW w:w="4818" w:type="dxa"/>
          </w:tcPr>
          <w:p w14:paraId="3A1F0D9D" w14:textId="49120522" w:rsidR="009B61A3" w:rsidRPr="00286216" w:rsidRDefault="009B61A3" w:rsidP="009B61A3">
            <w:pPr>
              <w:pStyle w:val="StyleZakonu"/>
              <w:rPr>
                <w:color w:val="000000" w:themeColor="text1"/>
              </w:rPr>
            </w:pPr>
            <w:r w:rsidRPr="00286216">
              <w:rPr>
                <w:color w:val="000000" w:themeColor="text1"/>
              </w:rPr>
              <w:t>2) у частині першій статті 55 слова "а також" виключити та доповнити словами "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яким кримінальним правопорушенням завдано майнової шкоди";</w:t>
            </w:r>
          </w:p>
        </w:tc>
      </w:tr>
      <w:tr w:rsidR="009B61A3" w:rsidRPr="00286216" w14:paraId="04006342" w14:textId="77777777" w:rsidTr="00091AA5">
        <w:tc>
          <w:tcPr>
            <w:tcW w:w="576" w:type="dxa"/>
          </w:tcPr>
          <w:p w14:paraId="1C6F1CC7" w14:textId="77777777" w:rsidR="009B61A3" w:rsidRPr="00286216" w:rsidRDefault="009B61A3" w:rsidP="009B61A3">
            <w:pPr>
              <w:pStyle w:val="StyleWisnow"/>
              <w:rPr>
                <w:color w:val="000000" w:themeColor="text1"/>
              </w:rPr>
            </w:pPr>
            <w:bookmarkStart w:id="2629" w:name="n2757" w:colFirst="0" w:colLast="0"/>
            <w:bookmarkEnd w:id="2628"/>
            <w:r w:rsidRPr="00286216">
              <w:rPr>
                <w:color w:val="000000" w:themeColor="text1"/>
              </w:rPr>
              <w:t>2757.</w:t>
            </w:r>
          </w:p>
        </w:tc>
        <w:tc>
          <w:tcPr>
            <w:tcW w:w="4818" w:type="dxa"/>
          </w:tcPr>
          <w:p w14:paraId="6DAFC4CC" w14:textId="77777777" w:rsidR="009B61A3" w:rsidRPr="00286216" w:rsidRDefault="009B61A3" w:rsidP="009B61A3">
            <w:pPr>
              <w:pStyle w:val="StyleZakonu"/>
              <w:rPr>
                <w:color w:val="000000" w:themeColor="text1"/>
              </w:rPr>
            </w:pPr>
            <w:r w:rsidRPr="00286216">
              <w:rPr>
                <w:color w:val="000000" w:themeColor="text1"/>
              </w:rPr>
              <w:t>3) статтю 56 доповнити новою частиною такого змісту:</w:t>
            </w:r>
          </w:p>
        </w:tc>
        <w:tc>
          <w:tcPr>
            <w:tcW w:w="3686" w:type="dxa"/>
          </w:tcPr>
          <w:p w14:paraId="0B1DC365" w14:textId="77777777" w:rsidR="009B61A3" w:rsidRPr="00286216" w:rsidRDefault="009B61A3" w:rsidP="009B61A3">
            <w:pPr>
              <w:pStyle w:val="StyleProp"/>
              <w:rPr>
                <w:color w:val="000000" w:themeColor="text1"/>
                <w:szCs w:val="18"/>
              </w:rPr>
            </w:pPr>
          </w:p>
        </w:tc>
        <w:tc>
          <w:tcPr>
            <w:tcW w:w="1987" w:type="dxa"/>
          </w:tcPr>
          <w:p w14:paraId="0FDDA1C8" w14:textId="77777777" w:rsidR="009B61A3" w:rsidRPr="00286216" w:rsidRDefault="009B61A3" w:rsidP="009B61A3">
            <w:pPr>
              <w:pStyle w:val="StyleWisnow"/>
              <w:rPr>
                <w:color w:val="000000" w:themeColor="text1"/>
              </w:rPr>
            </w:pPr>
          </w:p>
        </w:tc>
        <w:tc>
          <w:tcPr>
            <w:tcW w:w="4818" w:type="dxa"/>
          </w:tcPr>
          <w:p w14:paraId="44942FF3" w14:textId="011A0EF6" w:rsidR="009B61A3" w:rsidRPr="00286216" w:rsidRDefault="009B61A3" w:rsidP="009B61A3">
            <w:pPr>
              <w:pStyle w:val="StyleZakonu"/>
              <w:rPr>
                <w:color w:val="000000" w:themeColor="text1"/>
              </w:rPr>
            </w:pPr>
            <w:r w:rsidRPr="00286216">
              <w:rPr>
                <w:color w:val="000000" w:themeColor="text1"/>
              </w:rPr>
              <w:t>3) статтю 56 доповнити частиною п’ятою такого змісту:</w:t>
            </w:r>
          </w:p>
        </w:tc>
      </w:tr>
      <w:tr w:rsidR="009B61A3" w:rsidRPr="00286216" w14:paraId="645E6324" w14:textId="77777777" w:rsidTr="00091AA5">
        <w:tc>
          <w:tcPr>
            <w:tcW w:w="576" w:type="dxa"/>
          </w:tcPr>
          <w:p w14:paraId="1DEC969F" w14:textId="77777777" w:rsidR="009B61A3" w:rsidRPr="00286216" w:rsidRDefault="009B61A3" w:rsidP="009B61A3">
            <w:pPr>
              <w:pStyle w:val="StyleWisnow"/>
              <w:rPr>
                <w:color w:val="000000" w:themeColor="text1"/>
              </w:rPr>
            </w:pPr>
            <w:bookmarkStart w:id="2630" w:name="n2758" w:colFirst="0" w:colLast="0"/>
            <w:bookmarkEnd w:id="2629"/>
            <w:r w:rsidRPr="00286216">
              <w:rPr>
                <w:color w:val="000000" w:themeColor="text1"/>
              </w:rPr>
              <w:lastRenderedPageBreak/>
              <w:t>2758.</w:t>
            </w:r>
          </w:p>
        </w:tc>
        <w:tc>
          <w:tcPr>
            <w:tcW w:w="4818" w:type="dxa"/>
          </w:tcPr>
          <w:p w14:paraId="185B1BB8" w14:textId="77777777" w:rsidR="009B61A3" w:rsidRPr="00286216" w:rsidRDefault="009B61A3" w:rsidP="009B61A3">
            <w:pPr>
              <w:pStyle w:val="StyleZakonu"/>
              <w:rPr>
                <w:color w:val="000000" w:themeColor="text1"/>
              </w:rPr>
            </w:pPr>
            <w:r w:rsidRPr="00286216">
              <w:rPr>
                <w:color w:val="000000" w:themeColor="text1"/>
              </w:rPr>
              <w:t>"5. У випадку, коли потерпілим є адміністратор за випуском облігацій, здійснення ним відмови від обвинувачення, апеляційної скарги, касаційної скарги, укладення угоди про примирення можливі за згодою зборів власників облігацій, отриманою відповідно до положень Закону України "Про ринки капіталу та організовані товарні ринки".";</w:t>
            </w:r>
          </w:p>
        </w:tc>
        <w:tc>
          <w:tcPr>
            <w:tcW w:w="3686" w:type="dxa"/>
          </w:tcPr>
          <w:p w14:paraId="7A432008" w14:textId="77777777" w:rsidR="009B61A3" w:rsidRPr="00286216" w:rsidRDefault="009B61A3" w:rsidP="009B61A3">
            <w:pPr>
              <w:pStyle w:val="StyleProp"/>
              <w:rPr>
                <w:color w:val="000000" w:themeColor="text1"/>
                <w:szCs w:val="18"/>
              </w:rPr>
            </w:pPr>
          </w:p>
        </w:tc>
        <w:tc>
          <w:tcPr>
            <w:tcW w:w="1987" w:type="dxa"/>
          </w:tcPr>
          <w:p w14:paraId="7C30C9F7" w14:textId="77777777" w:rsidR="009B61A3" w:rsidRPr="00286216" w:rsidRDefault="009B61A3" w:rsidP="009B61A3">
            <w:pPr>
              <w:pStyle w:val="StyleWisnow"/>
              <w:rPr>
                <w:color w:val="000000" w:themeColor="text1"/>
              </w:rPr>
            </w:pPr>
          </w:p>
        </w:tc>
        <w:tc>
          <w:tcPr>
            <w:tcW w:w="4818" w:type="dxa"/>
          </w:tcPr>
          <w:p w14:paraId="76C0FAB2" w14:textId="63763CD9" w:rsidR="009B61A3" w:rsidRPr="00286216" w:rsidRDefault="009B61A3" w:rsidP="009B61A3">
            <w:pPr>
              <w:pStyle w:val="StyleZakonu"/>
              <w:rPr>
                <w:color w:val="000000" w:themeColor="text1"/>
              </w:rPr>
            </w:pPr>
            <w:r w:rsidRPr="00286216">
              <w:rPr>
                <w:color w:val="000000" w:themeColor="text1"/>
              </w:rPr>
              <w:t>"5. У  разі, якщо потерпілим є адміністратор за випуском облігацій, здійснення ним відмови від обвинувачення, апеляційної скарги, касаційної скарги, укладення угоди про примирення можливі за згодою зборів власників облігацій, отриманою відповідно до положень Закону України "Про ринки капіталу та організовані товарні ринки";</w:t>
            </w:r>
          </w:p>
        </w:tc>
      </w:tr>
      <w:tr w:rsidR="009B61A3" w:rsidRPr="00286216" w14:paraId="75E055AE" w14:textId="77777777" w:rsidTr="00091AA5">
        <w:tc>
          <w:tcPr>
            <w:tcW w:w="576" w:type="dxa"/>
          </w:tcPr>
          <w:p w14:paraId="140E4C40" w14:textId="77777777" w:rsidR="009B61A3" w:rsidRPr="00286216" w:rsidRDefault="009B61A3" w:rsidP="009B61A3">
            <w:pPr>
              <w:pStyle w:val="StyleWisnow"/>
              <w:rPr>
                <w:color w:val="000000" w:themeColor="text1"/>
              </w:rPr>
            </w:pPr>
            <w:bookmarkStart w:id="2631" w:name="n2759" w:colFirst="0" w:colLast="0"/>
            <w:bookmarkEnd w:id="2630"/>
            <w:r w:rsidRPr="00286216">
              <w:rPr>
                <w:color w:val="000000" w:themeColor="text1"/>
              </w:rPr>
              <w:t>2759.</w:t>
            </w:r>
          </w:p>
        </w:tc>
        <w:tc>
          <w:tcPr>
            <w:tcW w:w="4818" w:type="dxa"/>
          </w:tcPr>
          <w:p w14:paraId="038FE382" w14:textId="77777777" w:rsidR="009B61A3" w:rsidRPr="00286216" w:rsidRDefault="009B61A3" w:rsidP="009B61A3">
            <w:pPr>
              <w:pStyle w:val="StyleZakonu"/>
              <w:rPr>
                <w:color w:val="000000" w:themeColor="text1"/>
              </w:rPr>
            </w:pPr>
            <w:r w:rsidRPr="00286216">
              <w:rPr>
                <w:color w:val="000000" w:themeColor="text1"/>
              </w:rPr>
              <w:t>4) у статті 61:</w:t>
            </w:r>
          </w:p>
        </w:tc>
        <w:tc>
          <w:tcPr>
            <w:tcW w:w="3686" w:type="dxa"/>
          </w:tcPr>
          <w:p w14:paraId="4217A4CE" w14:textId="77777777" w:rsidR="009B61A3" w:rsidRPr="00286216" w:rsidRDefault="009B61A3" w:rsidP="009B61A3">
            <w:pPr>
              <w:pStyle w:val="StyleProp"/>
              <w:rPr>
                <w:color w:val="000000" w:themeColor="text1"/>
                <w:szCs w:val="18"/>
              </w:rPr>
            </w:pPr>
          </w:p>
        </w:tc>
        <w:tc>
          <w:tcPr>
            <w:tcW w:w="1987" w:type="dxa"/>
          </w:tcPr>
          <w:p w14:paraId="201A3D9E" w14:textId="77777777" w:rsidR="009B61A3" w:rsidRPr="00286216" w:rsidRDefault="009B61A3" w:rsidP="009B61A3">
            <w:pPr>
              <w:pStyle w:val="StyleWisnow"/>
              <w:rPr>
                <w:color w:val="000000" w:themeColor="text1"/>
              </w:rPr>
            </w:pPr>
          </w:p>
        </w:tc>
        <w:tc>
          <w:tcPr>
            <w:tcW w:w="4818" w:type="dxa"/>
          </w:tcPr>
          <w:p w14:paraId="29BA9484" w14:textId="5DF02C0F" w:rsidR="009B61A3" w:rsidRPr="00286216" w:rsidRDefault="009B61A3" w:rsidP="009B61A3">
            <w:pPr>
              <w:pStyle w:val="StyleZakonu"/>
              <w:rPr>
                <w:color w:val="000000" w:themeColor="text1"/>
              </w:rPr>
            </w:pPr>
            <w:r w:rsidRPr="00286216">
              <w:rPr>
                <w:color w:val="000000" w:themeColor="text1"/>
              </w:rPr>
              <w:t>4) у статті 61:</w:t>
            </w:r>
          </w:p>
        </w:tc>
      </w:tr>
      <w:tr w:rsidR="009B61A3" w:rsidRPr="00286216" w14:paraId="501C5F3B" w14:textId="77777777" w:rsidTr="00091AA5">
        <w:tc>
          <w:tcPr>
            <w:tcW w:w="576" w:type="dxa"/>
          </w:tcPr>
          <w:p w14:paraId="3A43EA39" w14:textId="77777777" w:rsidR="009B61A3" w:rsidRPr="00286216" w:rsidRDefault="009B61A3" w:rsidP="009B61A3">
            <w:pPr>
              <w:pStyle w:val="StyleWisnow"/>
              <w:rPr>
                <w:color w:val="000000" w:themeColor="text1"/>
              </w:rPr>
            </w:pPr>
            <w:bookmarkStart w:id="2632" w:name="n2760" w:colFirst="0" w:colLast="0"/>
            <w:bookmarkEnd w:id="2631"/>
            <w:r w:rsidRPr="00286216">
              <w:rPr>
                <w:color w:val="000000" w:themeColor="text1"/>
              </w:rPr>
              <w:t>2760.</w:t>
            </w:r>
          </w:p>
        </w:tc>
        <w:tc>
          <w:tcPr>
            <w:tcW w:w="4818" w:type="dxa"/>
          </w:tcPr>
          <w:p w14:paraId="5A7D69D7" w14:textId="77777777" w:rsidR="009B61A3" w:rsidRPr="00286216" w:rsidRDefault="009B61A3" w:rsidP="009B61A3">
            <w:pPr>
              <w:pStyle w:val="StyleZakonu"/>
              <w:rPr>
                <w:color w:val="000000" w:themeColor="text1"/>
              </w:rPr>
            </w:pPr>
            <w:r w:rsidRPr="00286216">
              <w:rPr>
                <w:color w:val="000000" w:themeColor="text1"/>
              </w:rPr>
              <w:t>а) частину першу викласти в такій редакції:</w:t>
            </w:r>
          </w:p>
        </w:tc>
        <w:tc>
          <w:tcPr>
            <w:tcW w:w="3686" w:type="dxa"/>
          </w:tcPr>
          <w:p w14:paraId="185254D8" w14:textId="77777777" w:rsidR="009B61A3" w:rsidRPr="00286216" w:rsidRDefault="009B61A3" w:rsidP="009B61A3">
            <w:pPr>
              <w:pStyle w:val="StyleProp"/>
              <w:rPr>
                <w:color w:val="000000" w:themeColor="text1"/>
                <w:szCs w:val="18"/>
              </w:rPr>
            </w:pPr>
          </w:p>
        </w:tc>
        <w:tc>
          <w:tcPr>
            <w:tcW w:w="1987" w:type="dxa"/>
          </w:tcPr>
          <w:p w14:paraId="298D9FFD" w14:textId="77777777" w:rsidR="009B61A3" w:rsidRPr="00286216" w:rsidRDefault="009B61A3" w:rsidP="009B61A3">
            <w:pPr>
              <w:pStyle w:val="StyleWisnow"/>
              <w:rPr>
                <w:color w:val="000000" w:themeColor="text1"/>
              </w:rPr>
            </w:pPr>
          </w:p>
        </w:tc>
        <w:tc>
          <w:tcPr>
            <w:tcW w:w="4818" w:type="dxa"/>
          </w:tcPr>
          <w:p w14:paraId="393F6542" w14:textId="14F39710" w:rsidR="009B61A3" w:rsidRPr="00286216" w:rsidRDefault="009B61A3" w:rsidP="009B61A3">
            <w:pPr>
              <w:pStyle w:val="StyleZakonu"/>
              <w:rPr>
                <w:color w:val="000000" w:themeColor="text1"/>
              </w:rPr>
            </w:pPr>
            <w:r w:rsidRPr="00286216">
              <w:rPr>
                <w:color w:val="000000" w:themeColor="text1"/>
              </w:rPr>
              <w:t>а) частину першу викласти в такій редакції:</w:t>
            </w:r>
          </w:p>
        </w:tc>
      </w:tr>
      <w:tr w:rsidR="009B61A3" w:rsidRPr="00286216" w14:paraId="39A8DACF" w14:textId="77777777" w:rsidTr="00091AA5">
        <w:tc>
          <w:tcPr>
            <w:tcW w:w="576" w:type="dxa"/>
          </w:tcPr>
          <w:p w14:paraId="6B7E347F" w14:textId="77777777" w:rsidR="009B61A3" w:rsidRPr="00286216" w:rsidRDefault="009B61A3" w:rsidP="009B61A3">
            <w:pPr>
              <w:pStyle w:val="StyleWisnow"/>
              <w:rPr>
                <w:color w:val="000000" w:themeColor="text1"/>
              </w:rPr>
            </w:pPr>
            <w:bookmarkStart w:id="2633" w:name="n2761" w:colFirst="0" w:colLast="0"/>
            <w:bookmarkEnd w:id="2632"/>
            <w:r w:rsidRPr="00286216">
              <w:rPr>
                <w:color w:val="000000" w:themeColor="text1"/>
              </w:rPr>
              <w:t>2761.</w:t>
            </w:r>
          </w:p>
        </w:tc>
        <w:tc>
          <w:tcPr>
            <w:tcW w:w="4818" w:type="dxa"/>
          </w:tcPr>
          <w:p w14:paraId="63B0D2B6" w14:textId="77777777" w:rsidR="009B61A3" w:rsidRPr="00286216" w:rsidRDefault="009B61A3" w:rsidP="009B61A3">
            <w:pPr>
              <w:pStyle w:val="StyleZakonu"/>
              <w:rPr>
                <w:color w:val="000000" w:themeColor="text1"/>
              </w:rPr>
            </w:pPr>
            <w:r w:rsidRPr="00286216">
              <w:rPr>
                <w:color w:val="000000" w:themeColor="text1"/>
              </w:rPr>
              <w:t>"1. Цивільним позивачем у кримінальному провадженні є фізична особа, якій кримінальним правопорушенням або іншим суспільно небезпечним діянням завдано майнової та/або моральної шкоди, юридична особа, якій кримінальним правопорушенням або іншим суспільно небезпечним діянням завдано майнової шкоди,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яким кримінальним правопорушенням або іншим суспільно небезпечним діянням завдано майнової шкоди, та яка (який) в порядку, встановленому цим Кодексом, пред’явила (пред’явив) цивільний позов.";</w:t>
            </w:r>
          </w:p>
        </w:tc>
        <w:tc>
          <w:tcPr>
            <w:tcW w:w="3686" w:type="dxa"/>
          </w:tcPr>
          <w:p w14:paraId="11908396" w14:textId="77777777" w:rsidR="009B61A3" w:rsidRPr="00286216" w:rsidRDefault="009B61A3" w:rsidP="009B61A3">
            <w:pPr>
              <w:pStyle w:val="StyleProp"/>
              <w:rPr>
                <w:color w:val="000000" w:themeColor="text1"/>
                <w:szCs w:val="18"/>
              </w:rPr>
            </w:pPr>
          </w:p>
        </w:tc>
        <w:tc>
          <w:tcPr>
            <w:tcW w:w="1987" w:type="dxa"/>
          </w:tcPr>
          <w:p w14:paraId="7014C172" w14:textId="77777777" w:rsidR="009B61A3" w:rsidRPr="00286216" w:rsidRDefault="009B61A3" w:rsidP="009B61A3">
            <w:pPr>
              <w:pStyle w:val="StyleWisnow"/>
              <w:rPr>
                <w:color w:val="000000" w:themeColor="text1"/>
              </w:rPr>
            </w:pPr>
          </w:p>
        </w:tc>
        <w:tc>
          <w:tcPr>
            <w:tcW w:w="4818" w:type="dxa"/>
          </w:tcPr>
          <w:p w14:paraId="674E15D8" w14:textId="23A1430B" w:rsidR="009B61A3" w:rsidRPr="00286216" w:rsidRDefault="009B61A3" w:rsidP="009B61A3">
            <w:pPr>
              <w:pStyle w:val="StyleZakonu"/>
              <w:rPr>
                <w:color w:val="000000" w:themeColor="text1"/>
              </w:rPr>
            </w:pPr>
            <w:r w:rsidRPr="00286216">
              <w:rPr>
                <w:color w:val="000000" w:themeColor="text1"/>
              </w:rPr>
              <w:t>"1. Цивільним позивачем у кримінальному провадженні є фізична особа, якій кримінальним правопорушенням або іншим суспільно небезпечним діянням завдано майнової та/або моральної шкоди, юридична особа, якій кримінальним правопорушенням або іншим суспільно небезпечним діянням завдано майнової шкоди,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яким кримінальним правопорушенням або іншим суспільно небезпечним діянням завдано майнової шкоди, та яка (який) в порядку, встановленому цим Кодексом, пред’явила (пред’явив) цивільний позов";</w:t>
            </w:r>
          </w:p>
        </w:tc>
      </w:tr>
      <w:tr w:rsidR="009B61A3" w:rsidRPr="00286216" w14:paraId="758D53EB" w14:textId="77777777" w:rsidTr="00091AA5">
        <w:tc>
          <w:tcPr>
            <w:tcW w:w="576" w:type="dxa"/>
          </w:tcPr>
          <w:p w14:paraId="1DDEFAC9" w14:textId="77777777" w:rsidR="009B61A3" w:rsidRPr="00286216" w:rsidRDefault="009B61A3" w:rsidP="009B61A3">
            <w:pPr>
              <w:pStyle w:val="StyleWisnow"/>
              <w:rPr>
                <w:color w:val="000000" w:themeColor="text1"/>
              </w:rPr>
            </w:pPr>
            <w:bookmarkStart w:id="2634" w:name="n2762" w:colFirst="0" w:colLast="0"/>
            <w:bookmarkEnd w:id="2633"/>
            <w:r w:rsidRPr="00286216">
              <w:rPr>
                <w:color w:val="000000" w:themeColor="text1"/>
              </w:rPr>
              <w:t>2762.</w:t>
            </w:r>
          </w:p>
        </w:tc>
        <w:tc>
          <w:tcPr>
            <w:tcW w:w="4818" w:type="dxa"/>
          </w:tcPr>
          <w:p w14:paraId="0E47C4B8" w14:textId="77777777" w:rsidR="009B61A3" w:rsidRPr="00286216" w:rsidRDefault="009B61A3" w:rsidP="009B61A3">
            <w:pPr>
              <w:pStyle w:val="StyleZakonu"/>
              <w:rPr>
                <w:color w:val="000000" w:themeColor="text1"/>
              </w:rPr>
            </w:pPr>
            <w:r w:rsidRPr="00286216">
              <w:rPr>
                <w:color w:val="000000" w:themeColor="text1"/>
              </w:rPr>
              <w:t>б) доповнити статтю новою частиною такого змісту:</w:t>
            </w:r>
          </w:p>
        </w:tc>
        <w:tc>
          <w:tcPr>
            <w:tcW w:w="3686" w:type="dxa"/>
          </w:tcPr>
          <w:p w14:paraId="72527632" w14:textId="77777777" w:rsidR="009B61A3" w:rsidRPr="00286216" w:rsidRDefault="009B61A3" w:rsidP="009B61A3">
            <w:pPr>
              <w:pStyle w:val="StyleProp"/>
              <w:rPr>
                <w:color w:val="000000" w:themeColor="text1"/>
                <w:szCs w:val="18"/>
              </w:rPr>
            </w:pPr>
          </w:p>
        </w:tc>
        <w:tc>
          <w:tcPr>
            <w:tcW w:w="1987" w:type="dxa"/>
          </w:tcPr>
          <w:p w14:paraId="608D5492" w14:textId="77777777" w:rsidR="009B61A3" w:rsidRPr="00286216" w:rsidRDefault="009B61A3" w:rsidP="009B61A3">
            <w:pPr>
              <w:pStyle w:val="StyleWisnow"/>
              <w:rPr>
                <w:color w:val="000000" w:themeColor="text1"/>
              </w:rPr>
            </w:pPr>
          </w:p>
        </w:tc>
        <w:tc>
          <w:tcPr>
            <w:tcW w:w="4818" w:type="dxa"/>
          </w:tcPr>
          <w:p w14:paraId="28F26159" w14:textId="18886223" w:rsidR="009B61A3" w:rsidRPr="00286216" w:rsidRDefault="009B61A3" w:rsidP="009B61A3">
            <w:pPr>
              <w:pStyle w:val="StyleZakonu"/>
              <w:rPr>
                <w:color w:val="000000" w:themeColor="text1"/>
              </w:rPr>
            </w:pPr>
            <w:r w:rsidRPr="00286216">
              <w:rPr>
                <w:color w:val="000000" w:themeColor="text1"/>
              </w:rPr>
              <w:t>б) доповнити  частиною четвертою такого змісту:</w:t>
            </w:r>
          </w:p>
        </w:tc>
      </w:tr>
      <w:tr w:rsidR="009B61A3" w:rsidRPr="00286216" w14:paraId="578254DC" w14:textId="77777777" w:rsidTr="00091AA5">
        <w:tc>
          <w:tcPr>
            <w:tcW w:w="576" w:type="dxa"/>
          </w:tcPr>
          <w:p w14:paraId="49D94E3D" w14:textId="77777777" w:rsidR="009B61A3" w:rsidRPr="00286216" w:rsidRDefault="009B61A3" w:rsidP="009B61A3">
            <w:pPr>
              <w:pStyle w:val="StyleWisnow"/>
              <w:rPr>
                <w:color w:val="000000" w:themeColor="text1"/>
              </w:rPr>
            </w:pPr>
            <w:bookmarkStart w:id="2635" w:name="n2763" w:colFirst="0" w:colLast="0"/>
            <w:bookmarkEnd w:id="2634"/>
            <w:r w:rsidRPr="00286216">
              <w:rPr>
                <w:color w:val="000000" w:themeColor="text1"/>
              </w:rPr>
              <w:t>2763.</w:t>
            </w:r>
          </w:p>
        </w:tc>
        <w:tc>
          <w:tcPr>
            <w:tcW w:w="4818" w:type="dxa"/>
          </w:tcPr>
          <w:p w14:paraId="309B5B58" w14:textId="77777777" w:rsidR="009B61A3" w:rsidRPr="00286216" w:rsidRDefault="009B61A3" w:rsidP="009B61A3">
            <w:pPr>
              <w:pStyle w:val="StyleZakonu"/>
              <w:rPr>
                <w:color w:val="000000" w:themeColor="text1"/>
              </w:rPr>
            </w:pPr>
            <w:r w:rsidRPr="00286216">
              <w:rPr>
                <w:color w:val="000000" w:themeColor="text1"/>
              </w:rPr>
              <w:t>"4. У випадку, коли цивільним позивачем є адміністратор за випуском облігацій, здійснення ним відмови від цивільного позову можливе за згодою зборів власників облігацій, отриманою відповідно до положень Закону України "Про ринки капіталу та організовані товарні ринки".";</w:t>
            </w:r>
          </w:p>
        </w:tc>
        <w:tc>
          <w:tcPr>
            <w:tcW w:w="3686" w:type="dxa"/>
          </w:tcPr>
          <w:p w14:paraId="530C08FF" w14:textId="77777777" w:rsidR="009B61A3" w:rsidRPr="00286216" w:rsidRDefault="009B61A3" w:rsidP="009B61A3">
            <w:pPr>
              <w:spacing w:line="190" w:lineRule="exact"/>
              <w:ind w:firstLine="227"/>
              <w:jc w:val="both"/>
              <w:rPr>
                <w:color w:val="000000" w:themeColor="text1"/>
                <w:szCs w:val="18"/>
              </w:rPr>
            </w:pPr>
          </w:p>
        </w:tc>
        <w:tc>
          <w:tcPr>
            <w:tcW w:w="1987" w:type="dxa"/>
          </w:tcPr>
          <w:p w14:paraId="0FC20A29" w14:textId="77777777" w:rsidR="009B61A3" w:rsidRPr="00286216" w:rsidRDefault="009B61A3" w:rsidP="009B61A3">
            <w:pPr>
              <w:pStyle w:val="StyleWisnow"/>
              <w:spacing w:line="180" w:lineRule="exact"/>
              <w:rPr>
                <w:color w:val="000000" w:themeColor="text1"/>
              </w:rPr>
            </w:pPr>
          </w:p>
        </w:tc>
        <w:tc>
          <w:tcPr>
            <w:tcW w:w="4818" w:type="dxa"/>
          </w:tcPr>
          <w:p w14:paraId="220C9379" w14:textId="2CEB3A5A" w:rsidR="009B61A3" w:rsidRPr="00286216" w:rsidRDefault="009B61A3" w:rsidP="009B61A3">
            <w:pPr>
              <w:pStyle w:val="StyleZakonu"/>
              <w:rPr>
                <w:color w:val="000000" w:themeColor="text1"/>
              </w:rPr>
            </w:pPr>
            <w:r w:rsidRPr="00286216">
              <w:rPr>
                <w:color w:val="000000" w:themeColor="text1"/>
              </w:rPr>
              <w:t>"4. У  разі, якщо цивільним позивачем є адміністратор за випуском облігацій, здійснення ним відмови від цивільного позову можливе за згодою зборів власників облігацій, отриманою відповідно до положень Закону України "Про ринки капіталу та організовані товарні ринки";</w:t>
            </w:r>
          </w:p>
        </w:tc>
      </w:tr>
      <w:bookmarkEnd w:id="2635"/>
      <w:tr w:rsidR="009B61A3" w:rsidRPr="00286216" w14:paraId="209D2AE3" w14:textId="77777777" w:rsidTr="00091AA5">
        <w:tc>
          <w:tcPr>
            <w:tcW w:w="576" w:type="dxa"/>
          </w:tcPr>
          <w:p w14:paraId="3DFE55D6" w14:textId="77777777" w:rsidR="009B61A3" w:rsidRPr="00286216" w:rsidRDefault="009B61A3" w:rsidP="009B61A3">
            <w:pPr>
              <w:pStyle w:val="StyleWisnow"/>
              <w:rPr>
                <w:color w:val="000000" w:themeColor="text1"/>
              </w:rPr>
            </w:pPr>
          </w:p>
        </w:tc>
        <w:tc>
          <w:tcPr>
            <w:tcW w:w="4818" w:type="dxa"/>
          </w:tcPr>
          <w:p w14:paraId="612FCB61" w14:textId="77777777" w:rsidR="009B61A3" w:rsidRPr="00286216" w:rsidRDefault="009B61A3" w:rsidP="009B61A3">
            <w:pPr>
              <w:pStyle w:val="StyleZakonu"/>
              <w:rPr>
                <w:color w:val="000000" w:themeColor="text1"/>
              </w:rPr>
            </w:pPr>
          </w:p>
        </w:tc>
        <w:tc>
          <w:tcPr>
            <w:tcW w:w="3686" w:type="dxa"/>
          </w:tcPr>
          <w:p w14:paraId="019A43E0" w14:textId="2599EEAC" w:rsidR="009B61A3" w:rsidRPr="00286216" w:rsidRDefault="009B61A3" w:rsidP="009B61A3">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1255</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162A909D" w14:textId="19BAB6C7" w:rsidR="009B61A3" w:rsidRPr="00286216" w:rsidRDefault="009B61A3" w:rsidP="009B61A3">
            <w:pPr>
              <w:spacing w:line="180" w:lineRule="exact"/>
              <w:ind w:firstLine="227"/>
              <w:jc w:val="both"/>
              <w:rPr>
                <w:color w:val="000000" w:themeColor="text1"/>
                <w:sz w:val="18"/>
              </w:rPr>
            </w:pPr>
            <w:r w:rsidRPr="00286216">
              <w:rPr>
                <w:color w:val="000000" w:themeColor="text1"/>
                <w:sz w:val="18"/>
              </w:rPr>
              <w:t>Пункт 8 розділу 4 доповнити підпунктом такого змісту:</w:t>
            </w:r>
          </w:p>
          <w:p w14:paraId="79FA9F44" w14:textId="77777777" w:rsidR="009B61A3" w:rsidRPr="00286216" w:rsidRDefault="009B61A3" w:rsidP="009B61A3">
            <w:pPr>
              <w:pStyle w:val="StyleProp"/>
              <w:spacing w:line="180" w:lineRule="exact"/>
              <w:rPr>
                <w:color w:val="000000" w:themeColor="text1"/>
              </w:rPr>
            </w:pPr>
            <w:r w:rsidRPr="00286216">
              <w:rPr>
                <w:color w:val="000000" w:themeColor="text1"/>
              </w:rPr>
              <w:t>"5) частину першу статті 162 доповнити новими пунктами такого змісту:</w:t>
            </w:r>
          </w:p>
          <w:p w14:paraId="1EBCDCF1" w14:textId="77777777" w:rsidR="009B61A3" w:rsidRPr="00286216" w:rsidRDefault="009B61A3" w:rsidP="009B61A3">
            <w:pPr>
              <w:pStyle w:val="StyleProp"/>
              <w:spacing w:line="180" w:lineRule="exact"/>
              <w:rPr>
                <w:color w:val="000000" w:themeColor="text1"/>
                <w:szCs w:val="18"/>
              </w:rPr>
            </w:pPr>
            <w:r w:rsidRPr="00286216">
              <w:rPr>
                <w:color w:val="000000" w:themeColor="text1"/>
              </w:rPr>
              <w:t>«10) відомості, що становлять професійну таємницю відповідно до Закону України «Про ринки капіталу та організовані товарні ринки»;</w:t>
            </w:r>
          </w:p>
        </w:tc>
        <w:tc>
          <w:tcPr>
            <w:tcW w:w="1987" w:type="dxa"/>
          </w:tcPr>
          <w:p w14:paraId="7310DE58" w14:textId="252F3B66" w:rsidR="009B61A3" w:rsidRPr="00286216" w:rsidRDefault="009B61A3" w:rsidP="009B61A3">
            <w:pPr>
              <w:pStyle w:val="StyleWisnow"/>
              <w:spacing w:line="180" w:lineRule="exact"/>
              <w:rPr>
                <w:color w:val="000000" w:themeColor="text1"/>
              </w:rPr>
            </w:pPr>
            <w:r w:rsidRPr="00286216">
              <w:rPr>
                <w:color w:val="000000" w:themeColor="text1"/>
              </w:rPr>
              <w:t>Враховано</w:t>
            </w:r>
          </w:p>
        </w:tc>
        <w:tc>
          <w:tcPr>
            <w:tcW w:w="4818" w:type="dxa"/>
          </w:tcPr>
          <w:p w14:paraId="0F893200" w14:textId="77777777" w:rsidR="009B61A3" w:rsidRPr="00286216" w:rsidRDefault="009B61A3" w:rsidP="009B61A3">
            <w:pPr>
              <w:pStyle w:val="StyleZakonu"/>
              <w:rPr>
                <w:color w:val="000000" w:themeColor="text1"/>
              </w:rPr>
            </w:pPr>
            <w:r w:rsidRPr="00286216">
              <w:rPr>
                <w:color w:val="000000" w:themeColor="text1"/>
              </w:rPr>
              <w:t>5) частину першу статті 162 доповнити пунктом 11 такого змісту:</w:t>
            </w:r>
          </w:p>
          <w:p w14:paraId="451A64E3" w14:textId="1D4FD370" w:rsidR="009B61A3" w:rsidRPr="00286216" w:rsidRDefault="009B61A3" w:rsidP="009B61A3">
            <w:pPr>
              <w:pStyle w:val="StyleZakonu"/>
              <w:rPr>
                <w:color w:val="000000" w:themeColor="text1"/>
              </w:rPr>
            </w:pPr>
            <w:r w:rsidRPr="00286216">
              <w:rPr>
                <w:color w:val="000000" w:themeColor="text1"/>
              </w:rPr>
              <w:t>«11) відомості, що становлять професійну таємницю відповідно до Закону України «Про ринки капіталу та організовані товарні ринки»;</w:t>
            </w:r>
          </w:p>
        </w:tc>
      </w:tr>
      <w:tr w:rsidR="009B61A3" w:rsidRPr="00286216" w14:paraId="458C0292" w14:textId="77777777" w:rsidTr="00091AA5">
        <w:tc>
          <w:tcPr>
            <w:tcW w:w="576" w:type="dxa"/>
          </w:tcPr>
          <w:p w14:paraId="488318D0" w14:textId="77777777" w:rsidR="009B61A3" w:rsidRPr="00286216" w:rsidRDefault="009B61A3" w:rsidP="009B61A3">
            <w:pPr>
              <w:pStyle w:val="StyleWisnow"/>
              <w:rPr>
                <w:color w:val="000000" w:themeColor="text1"/>
              </w:rPr>
            </w:pPr>
            <w:bookmarkStart w:id="2636" w:name="n2764" w:colFirst="0" w:colLast="0"/>
            <w:r w:rsidRPr="00286216">
              <w:rPr>
                <w:color w:val="000000" w:themeColor="text1"/>
              </w:rPr>
              <w:t>2764.</w:t>
            </w:r>
          </w:p>
        </w:tc>
        <w:tc>
          <w:tcPr>
            <w:tcW w:w="4818" w:type="dxa"/>
          </w:tcPr>
          <w:p w14:paraId="685BAEF0" w14:textId="77777777" w:rsidR="009B61A3" w:rsidRPr="00286216" w:rsidRDefault="009B61A3" w:rsidP="009B61A3">
            <w:pPr>
              <w:pStyle w:val="StyleZakonu"/>
              <w:rPr>
                <w:color w:val="000000" w:themeColor="text1"/>
              </w:rPr>
            </w:pPr>
            <w:r w:rsidRPr="00286216">
              <w:rPr>
                <w:color w:val="000000" w:themeColor="text1"/>
              </w:rPr>
              <w:t>5) частину першу статті 173 доповнити абзацами такого змісту:</w:t>
            </w:r>
          </w:p>
        </w:tc>
        <w:tc>
          <w:tcPr>
            <w:tcW w:w="3686" w:type="dxa"/>
          </w:tcPr>
          <w:p w14:paraId="2053230D" w14:textId="77777777" w:rsidR="009B61A3" w:rsidRPr="00286216" w:rsidRDefault="009B61A3" w:rsidP="009B61A3">
            <w:pPr>
              <w:pStyle w:val="StyleProp"/>
              <w:rPr>
                <w:color w:val="000000" w:themeColor="text1"/>
                <w:szCs w:val="18"/>
              </w:rPr>
            </w:pPr>
          </w:p>
        </w:tc>
        <w:tc>
          <w:tcPr>
            <w:tcW w:w="1987" w:type="dxa"/>
          </w:tcPr>
          <w:p w14:paraId="307478D9" w14:textId="77777777" w:rsidR="009B61A3" w:rsidRPr="00286216" w:rsidRDefault="009B61A3" w:rsidP="009B61A3">
            <w:pPr>
              <w:pStyle w:val="StyleWisnow"/>
              <w:rPr>
                <w:color w:val="000000" w:themeColor="text1"/>
              </w:rPr>
            </w:pPr>
          </w:p>
        </w:tc>
        <w:tc>
          <w:tcPr>
            <w:tcW w:w="4818" w:type="dxa"/>
          </w:tcPr>
          <w:p w14:paraId="7F4CEF79" w14:textId="37371651" w:rsidR="009B61A3" w:rsidRPr="00286216" w:rsidRDefault="009B61A3" w:rsidP="009B61A3">
            <w:pPr>
              <w:pStyle w:val="StyleZakonu"/>
              <w:rPr>
                <w:color w:val="000000" w:themeColor="text1"/>
              </w:rPr>
            </w:pPr>
            <w:r w:rsidRPr="00286216">
              <w:rPr>
                <w:color w:val="000000" w:themeColor="text1"/>
              </w:rPr>
              <w:t>6) частину першу статті 173 доповнити абзацами третім і четвертим такого змісту:</w:t>
            </w:r>
          </w:p>
        </w:tc>
      </w:tr>
      <w:tr w:rsidR="009B61A3" w:rsidRPr="00286216" w14:paraId="64543341" w14:textId="77777777" w:rsidTr="009B61A3">
        <w:tc>
          <w:tcPr>
            <w:tcW w:w="576" w:type="dxa"/>
          </w:tcPr>
          <w:p w14:paraId="274B8092" w14:textId="77777777" w:rsidR="009B61A3" w:rsidRPr="00286216" w:rsidRDefault="009B61A3" w:rsidP="009B61A3">
            <w:pPr>
              <w:pStyle w:val="StyleWisnow"/>
              <w:rPr>
                <w:color w:val="000000" w:themeColor="text1"/>
              </w:rPr>
            </w:pPr>
            <w:bookmarkStart w:id="2637" w:name="n2765" w:colFirst="0" w:colLast="0"/>
            <w:bookmarkEnd w:id="2636"/>
            <w:r w:rsidRPr="00286216">
              <w:rPr>
                <w:color w:val="000000" w:themeColor="text1"/>
              </w:rPr>
              <w:t>2765.</w:t>
            </w:r>
          </w:p>
        </w:tc>
        <w:tc>
          <w:tcPr>
            <w:tcW w:w="4818" w:type="dxa"/>
          </w:tcPr>
          <w:p w14:paraId="1690193D" w14:textId="77777777" w:rsidR="009B61A3" w:rsidRPr="00286216" w:rsidRDefault="009B61A3" w:rsidP="009B61A3">
            <w:pPr>
              <w:pStyle w:val="StyleZakonu"/>
              <w:spacing w:after="0"/>
              <w:rPr>
                <w:color w:val="000000" w:themeColor="text1"/>
              </w:rPr>
            </w:pPr>
            <w:r w:rsidRPr="00286216">
              <w:rPr>
                <w:color w:val="000000" w:themeColor="text1"/>
              </w:rPr>
              <w:t xml:space="preserve">"Арешт на кошти та інші активи фізичних та юридичних осіб, чиї зобов’язання допущені до </w:t>
            </w:r>
            <w:r w:rsidRPr="00286216">
              <w:rPr>
                <w:color w:val="000000" w:themeColor="text1"/>
              </w:rPr>
              <w:lastRenderedPageBreak/>
              <w:t>клірингу, зараховані на рахунки особи, що здійснює клірингову діяльність,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накладається в поряду, встановленому статтею 59 Закону України "Про ринки капіталу та організовані товарні ринки".</w:t>
            </w:r>
          </w:p>
        </w:tc>
        <w:tc>
          <w:tcPr>
            <w:tcW w:w="3686" w:type="dxa"/>
          </w:tcPr>
          <w:p w14:paraId="3124F57B" w14:textId="6E6AF73B" w:rsidR="009B61A3" w:rsidRPr="00286216" w:rsidRDefault="009B61A3" w:rsidP="009B61A3">
            <w:pPr>
              <w:spacing w:line="220" w:lineRule="exact"/>
              <w:rPr>
                <w:b/>
                <w:i/>
                <w:color w:val="000000" w:themeColor="text1"/>
                <w:spacing w:val="-4"/>
                <w:sz w:val="18"/>
                <w:u w:val="single"/>
              </w:rPr>
            </w:pPr>
            <w:r w:rsidRPr="00286216">
              <w:rPr>
                <w:b/>
                <w:i/>
                <w:color w:val="000000" w:themeColor="text1"/>
                <w:spacing w:val="-4"/>
                <w:sz w:val="18"/>
                <w:u w:val="single"/>
              </w:rPr>
              <w:lastRenderedPageBreak/>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1256</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71EA2BA0" w14:textId="77777777" w:rsidR="009B61A3" w:rsidRPr="00286216" w:rsidRDefault="009B61A3" w:rsidP="009B61A3">
            <w:pPr>
              <w:spacing w:line="190" w:lineRule="exact"/>
              <w:ind w:firstLine="227"/>
              <w:jc w:val="both"/>
              <w:rPr>
                <w:color w:val="000000" w:themeColor="text1"/>
                <w:sz w:val="18"/>
              </w:rPr>
            </w:pPr>
            <w:r w:rsidRPr="00286216">
              <w:rPr>
                <w:color w:val="000000" w:themeColor="text1"/>
                <w:sz w:val="18"/>
              </w:rPr>
              <w:t xml:space="preserve">Абзац другий підпункту 5 пункту 8 </w:t>
            </w:r>
            <w:r w:rsidRPr="00286216">
              <w:rPr>
                <w:color w:val="000000" w:themeColor="text1"/>
                <w:sz w:val="18"/>
              </w:rPr>
              <w:lastRenderedPageBreak/>
              <w:t>розділу 4 викласти в такій редакції:</w:t>
            </w:r>
          </w:p>
          <w:p w14:paraId="3F987EF4" w14:textId="77777777" w:rsidR="009B61A3" w:rsidRPr="00286216" w:rsidRDefault="009B61A3" w:rsidP="009B61A3">
            <w:pPr>
              <w:spacing w:line="190" w:lineRule="exact"/>
              <w:ind w:firstLine="227"/>
              <w:jc w:val="both"/>
              <w:rPr>
                <w:color w:val="000000" w:themeColor="text1"/>
                <w:spacing w:val="-5"/>
                <w:sz w:val="18"/>
              </w:rPr>
            </w:pPr>
            <w:r w:rsidRPr="00286216">
              <w:rPr>
                <w:color w:val="000000" w:themeColor="text1"/>
                <w:spacing w:val="-5"/>
                <w:sz w:val="18"/>
              </w:rPr>
              <w:t>«Арешт на майнові права у вигляді майнових прав на цінні папери у внутрішній системі обліку особи,  що здійснює клірингову діяльність, накладається в поряду, встановленому статтею 59 Закону України «Про ринки капіталу та організовані товарні ринки».</w:t>
            </w:r>
          </w:p>
          <w:p w14:paraId="584B2AC9" w14:textId="2010CE86" w:rsidR="009B61A3" w:rsidRPr="00286216" w:rsidRDefault="009B61A3" w:rsidP="009B61A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1257</w:t>
            </w:r>
            <w:r w:rsidRPr="00286216">
              <w:rPr>
                <w:color w:val="000000" w:themeColor="text1"/>
              </w:rPr>
              <w:fldChar w:fldCharType="end"/>
            </w:r>
            <w:r w:rsidRPr="00286216">
              <w:rPr>
                <w:color w:val="000000" w:themeColor="text1"/>
              </w:rPr>
              <w:t>-Н.д.Шахов С.В.(Реєстр.картка №114)</w:t>
            </w:r>
          </w:p>
          <w:p w14:paraId="56B53A2F" w14:textId="77777777" w:rsidR="009B61A3" w:rsidRPr="00286216" w:rsidRDefault="009B61A3" w:rsidP="009B61A3">
            <w:pPr>
              <w:pStyle w:val="StyleProp"/>
              <w:spacing w:line="180" w:lineRule="exact"/>
              <w:rPr>
                <w:color w:val="000000" w:themeColor="text1"/>
                <w:spacing w:val="-2"/>
              </w:rPr>
            </w:pPr>
            <w:r w:rsidRPr="00286216">
              <w:rPr>
                <w:color w:val="000000" w:themeColor="text1"/>
                <w:spacing w:val="-2"/>
              </w:rPr>
              <w:t>В абз.1 п.п.5 п. 8 розділу ІІІ слово "розрахунків" замінити словами "розрахунків/поставки".</w:t>
            </w:r>
          </w:p>
        </w:tc>
        <w:tc>
          <w:tcPr>
            <w:tcW w:w="1987" w:type="dxa"/>
          </w:tcPr>
          <w:p w14:paraId="0185FCC3" w14:textId="77777777" w:rsidR="009B61A3" w:rsidRPr="00286216" w:rsidRDefault="009B61A3" w:rsidP="009B61A3">
            <w:pPr>
              <w:pStyle w:val="StyleWisnow"/>
              <w:rPr>
                <w:color w:val="000000" w:themeColor="text1"/>
              </w:rPr>
            </w:pPr>
            <w:r w:rsidRPr="00286216">
              <w:rPr>
                <w:color w:val="000000" w:themeColor="text1"/>
              </w:rPr>
              <w:lastRenderedPageBreak/>
              <w:t>Враховано частково</w:t>
            </w:r>
          </w:p>
          <w:p w14:paraId="0C3E7699" w14:textId="77777777" w:rsidR="009B61A3" w:rsidRPr="00286216" w:rsidRDefault="009B61A3" w:rsidP="009B61A3">
            <w:pPr>
              <w:pStyle w:val="StyleWisnow"/>
              <w:rPr>
                <w:color w:val="000000" w:themeColor="text1"/>
              </w:rPr>
            </w:pPr>
          </w:p>
          <w:p w14:paraId="53587013" w14:textId="77777777" w:rsidR="009B61A3" w:rsidRPr="00286216" w:rsidRDefault="009B61A3" w:rsidP="009B61A3">
            <w:pPr>
              <w:pStyle w:val="StyleWisnow"/>
              <w:rPr>
                <w:color w:val="000000" w:themeColor="text1"/>
              </w:rPr>
            </w:pPr>
          </w:p>
          <w:p w14:paraId="02D0597E" w14:textId="77777777" w:rsidR="009B61A3" w:rsidRPr="00286216" w:rsidRDefault="009B61A3" w:rsidP="009B61A3">
            <w:pPr>
              <w:pStyle w:val="StyleWisnow"/>
              <w:rPr>
                <w:color w:val="000000" w:themeColor="text1"/>
              </w:rPr>
            </w:pPr>
          </w:p>
          <w:p w14:paraId="0E05E4A2" w14:textId="77777777" w:rsidR="009B61A3" w:rsidRPr="00286216" w:rsidRDefault="009B61A3" w:rsidP="009B61A3">
            <w:pPr>
              <w:pStyle w:val="StyleWisnow"/>
              <w:rPr>
                <w:color w:val="000000" w:themeColor="text1"/>
              </w:rPr>
            </w:pPr>
          </w:p>
          <w:p w14:paraId="1320D4A0" w14:textId="77777777" w:rsidR="009B61A3" w:rsidRPr="00286216" w:rsidRDefault="009B61A3" w:rsidP="009B61A3">
            <w:pPr>
              <w:pStyle w:val="StyleWisnow"/>
              <w:rPr>
                <w:color w:val="000000" w:themeColor="text1"/>
              </w:rPr>
            </w:pPr>
          </w:p>
          <w:p w14:paraId="6D89CA53" w14:textId="77777777" w:rsidR="009B61A3" w:rsidRPr="00286216" w:rsidRDefault="009B61A3" w:rsidP="009B61A3">
            <w:pPr>
              <w:pStyle w:val="StyleWisnow"/>
              <w:rPr>
                <w:color w:val="000000" w:themeColor="text1"/>
              </w:rPr>
            </w:pPr>
          </w:p>
          <w:p w14:paraId="5A23C7F0" w14:textId="77777777" w:rsidR="009B61A3" w:rsidRPr="00286216" w:rsidRDefault="009B61A3" w:rsidP="009B61A3">
            <w:pPr>
              <w:pStyle w:val="StyleWisnow"/>
              <w:rPr>
                <w:color w:val="000000" w:themeColor="text1"/>
              </w:rPr>
            </w:pPr>
          </w:p>
          <w:p w14:paraId="66EB6685" w14:textId="77777777" w:rsidR="009B61A3" w:rsidRPr="00286216" w:rsidRDefault="009B61A3" w:rsidP="009B61A3">
            <w:pPr>
              <w:pStyle w:val="StyleWisnow"/>
              <w:spacing w:line="180" w:lineRule="exact"/>
              <w:rPr>
                <w:color w:val="000000" w:themeColor="text1"/>
              </w:rPr>
            </w:pPr>
            <w:r w:rsidRPr="00286216">
              <w:rPr>
                <w:color w:val="000000" w:themeColor="text1"/>
              </w:rPr>
              <w:t>Відхилено</w:t>
            </w:r>
          </w:p>
          <w:p w14:paraId="6FC8E331" w14:textId="7AE0EDDD" w:rsidR="009B61A3" w:rsidRPr="00286216" w:rsidRDefault="009B61A3" w:rsidP="009B61A3">
            <w:pPr>
              <w:pStyle w:val="StyleWisnow"/>
              <w:spacing w:line="180" w:lineRule="exact"/>
              <w:rPr>
                <w:color w:val="000000" w:themeColor="text1"/>
              </w:rPr>
            </w:pPr>
            <w:r w:rsidRPr="00286216">
              <w:rPr>
                <w:color w:val="000000" w:themeColor="text1"/>
              </w:rPr>
              <w:t>у звʼязку із зміною редакції</w:t>
            </w:r>
          </w:p>
        </w:tc>
        <w:tc>
          <w:tcPr>
            <w:tcW w:w="4818" w:type="dxa"/>
          </w:tcPr>
          <w:p w14:paraId="08C0B7B4" w14:textId="14B379DB" w:rsidR="009B61A3" w:rsidRPr="00286216" w:rsidRDefault="009B61A3" w:rsidP="009B61A3">
            <w:pPr>
              <w:pStyle w:val="StyleZakonu"/>
              <w:rPr>
                <w:color w:val="000000" w:themeColor="text1"/>
              </w:rPr>
            </w:pPr>
            <w:r w:rsidRPr="00286216">
              <w:rPr>
                <w:color w:val="000000" w:themeColor="text1"/>
              </w:rPr>
              <w:lastRenderedPageBreak/>
              <w:t xml:space="preserve">"Арешт на майнові права у вигляді майнових прав у внутрішній системі обліку особи,  що здійснює </w:t>
            </w:r>
            <w:r w:rsidRPr="00286216">
              <w:rPr>
                <w:color w:val="000000" w:themeColor="text1"/>
              </w:rPr>
              <w:lastRenderedPageBreak/>
              <w:t>клірингову діяльність, накладається в поряду, встановленому статтею 64 Закону України «Про ринки капіталу та організовані товарні ринки».</w:t>
            </w:r>
          </w:p>
        </w:tc>
      </w:tr>
      <w:tr w:rsidR="009B61A3" w:rsidRPr="00286216" w14:paraId="7A948F87" w14:textId="77777777" w:rsidTr="00091AA5">
        <w:tc>
          <w:tcPr>
            <w:tcW w:w="576" w:type="dxa"/>
          </w:tcPr>
          <w:p w14:paraId="0D3F2DAB" w14:textId="77777777" w:rsidR="009B61A3" w:rsidRPr="00286216" w:rsidRDefault="009B61A3" w:rsidP="009B61A3">
            <w:pPr>
              <w:pStyle w:val="StyleWisnow"/>
              <w:rPr>
                <w:color w:val="000000" w:themeColor="text1"/>
              </w:rPr>
            </w:pPr>
            <w:bookmarkStart w:id="2638" w:name="n2766" w:colFirst="0" w:colLast="0"/>
            <w:bookmarkEnd w:id="2637"/>
            <w:r w:rsidRPr="00286216">
              <w:rPr>
                <w:color w:val="000000" w:themeColor="text1"/>
              </w:rPr>
              <w:lastRenderedPageBreak/>
              <w:t>2766.</w:t>
            </w:r>
          </w:p>
        </w:tc>
        <w:tc>
          <w:tcPr>
            <w:tcW w:w="4818" w:type="dxa"/>
          </w:tcPr>
          <w:p w14:paraId="4BC79F8F" w14:textId="77777777" w:rsidR="009B61A3" w:rsidRPr="00286216" w:rsidRDefault="009B61A3" w:rsidP="009B61A3">
            <w:pPr>
              <w:pStyle w:val="StyleZakonu"/>
              <w:rPr>
                <w:color w:val="000000" w:themeColor="text1"/>
              </w:rPr>
            </w:pPr>
            <w:r w:rsidRPr="00286216">
              <w:rPr>
                <w:color w:val="000000" w:themeColor="text1"/>
              </w:rPr>
              <w:t>Не допускається накладення арешту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c>
          <w:tcPr>
            <w:tcW w:w="3686" w:type="dxa"/>
          </w:tcPr>
          <w:p w14:paraId="444111C2" w14:textId="1C6045C8" w:rsidR="009B61A3" w:rsidRPr="00286216" w:rsidRDefault="009B61A3" w:rsidP="009B61A3">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1258</w:t>
            </w:r>
            <w:r w:rsidRPr="00286216">
              <w:rPr>
                <w:color w:val="000000" w:themeColor="text1"/>
              </w:rPr>
              <w:fldChar w:fldCharType="end"/>
            </w:r>
            <w:r w:rsidRPr="00286216">
              <w:rPr>
                <w:color w:val="000000" w:themeColor="text1"/>
              </w:rPr>
              <w:t>-Н.д.Шахов С.В.(Реєстр.картка №114)</w:t>
            </w:r>
          </w:p>
          <w:p w14:paraId="0F530D08" w14:textId="77777777" w:rsidR="009B61A3" w:rsidRPr="00286216" w:rsidRDefault="009B61A3" w:rsidP="009B61A3">
            <w:pPr>
              <w:pStyle w:val="StyleProp"/>
              <w:spacing w:line="180" w:lineRule="exact"/>
              <w:rPr>
                <w:color w:val="000000" w:themeColor="text1"/>
              </w:rPr>
            </w:pPr>
            <w:r w:rsidRPr="00286216">
              <w:rPr>
                <w:color w:val="000000" w:themeColor="text1"/>
              </w:rPr>
              <w:t>Абз.2 п.п.5 п. 8 викласти у такій редакції:</w:t>
            </w:r>
          </w:p>
          <w:p w14:paraId="00279F50" w14:textId="77777777" w:rsidR="009B61A3" w:rsidRPr="00286216" w:rsidRDefault="009B61A3" w:rsidP="009B61A3">
            <w:pPr>
              <w:pStyle w:val="StyleProp"/>
              <w:spacing w:line="180" w:lineRule="exact"/>
              <w:rPr>
                <w:color w:val="000000" w:themeColor="text1"/>
                <w:spacing w:val="-2"/>
                <w:szCs w:val="28"/>
              </w:rPr>
            </w:pPr>
            <w:r w:rsidRPr="00286216">
              <w:rPr>
                <w:color w:val="000000" w:themeColor="text1"/>
                <w:spacing w:val="-2"/>
                <w:szCs w:val="28"/>
              </w:rPr>
              <w:t xml:space="preserve">"Не допускається накладення арешту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та/або операторам організованих ринків (у тому числі, товарним біржам), які провадять клірингову діяльність, а також на рахунках </w:t>
            </w:r>
            <w:r w:rsidRPr="00286216">
              <w:rPr>
                <w:color w:val="000000" w:themeColor="text1"/>
                <w:spacing w:val="-4"/>
                <w:szCs w:val="28"/>
              </w:rPr>
              <w:t>умовного зберігання (ескроу), відкритих фізичними та юридичними особами та/або особами, що здійснюють клірингову діяльність, для забезпечення/здійснення грошових</w:t>
            </w:r>
            <w:r w:rsidRPr="00286216">
              <w:rPr>
                <w:color w:val="000000" w:themeColor="text1"/>
                <w:spacing w:val="-2"/>
                <w:szCs w:val="28"/>
              </w:rPr>
              <w:t xml:space="preserve"> розрахунків та/або поставки та/або поставки за зобов’язаннями, допущеними до клірингу".</w:t>
            </w:r>
          </w:p>
        </w:tc>
        <w:tc>
          <w:tcPr>
            <w:tcW w:w="1987" w:type="dxa"/>
          </w:tcPr>
          <w:p w14:paraId="0B176468" w14:textId="77777777" w:rsidR="009B61A3" w:rsidRPr="00286216" w:rsidRDefault="009B61A3" w:rsidP="009B61A3">
            <w:pPr>
              <w:pStyle w:val="StyleWisnow"/>
              <w:rPr>
                <w:color w:val="000000" w:themeColor="text1"/>
              </w:rPr>
            </w:pPr>
            <w:r w:rsidRPr="00286216">
              <w:rPr>
                <w:color w:val="000000" w:themeColor="text1"/>
              </w:rPr>
              <w:t xml:space="preserve">Відхилено </w:t>
            </w:r>
          </w:p>
          <w:p w14:paraId="1B73A0EF" w14:textId="04FD5404" w:rsidR="009B61A3" w:rsidRPr="00286216" w:rsidRDefault="009B61A3" w:rsidP="009B61A3">
            <w:pPr>
              <w:pStyle w:val="StyleWisnow"/>
              <w:spacing w:line="180" w:lineRule="exact"/>
              <w:rPr>
                <w:color w:val="000000" w:themeColor="text1"/>
              </w:rPr>
            </w:pPr>
            <w:r w:rsidRPr="00286216">
              <w:rPr>
                <w:color w:val="000000" w:themeColor="text1"/>
              </w:rPr>
              <w:t>створює можливість для використання рахунків ескроу з метою ухилення від виконання судових рішень</w:t>
            </w:r>
          </w:p>
        </w:tc>
        <w:tc>
          <w:tcPr>
            <w:tcW w:w="4818" w:type="dxa"/>
          </w:tcPr>
          <w:p w14:paraId="3DF1A6B0" w14:textId="48183476" w:rsidR="009B61A3" w:rsidRPr="00286216" w:rsidRDefault="009B61A3" w:rsidP="009B61A3">
            <w:pPr>
              <w:pStyle w:val="StyleZakonu"/>
              <w:rPr>
                <w:color w:val="000000" w:themeColor="text1"/>
              </w:rPr>
            </w:pPr>
            <w:r w:rsidRPr="00286216">
              <w:rPr>
                <w:color w:val="000000" w:themeColor="text1"/>
              </w:rPr>
              <w:t>Не допускається накладення арешту на кошти, які знаходяться в Національному банку України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r>
      <w:tr w:rsidR="009B61A3" w:rsidRPr="00286216" w14:paraId="5B92446A" w14:textId="77777777" w:rsidTr="00091AA5">
        <w:tc>
          <w:tcPr>
            <w:tcW w:w="576" w:type="dxa"/>
          </w:tcPr>
          <w:p w14:paraId="3053319E" w14:textId="77777777" w:rsidR="009B61A3" w:rsidRPr="00286216" w:rsidRDefault="009B61A3" w:rsidP="009B61A3">
            <w:pPr>
              <w:pStyle w:val="StyleWisnow"/>
              <w:rPr>
                <w:color w:val="000000" w:themeColor="text1"/>
              </w:rPr>
            </w:pPr>
            <w:bookmarkStart w:id="2639" w:name="n2767" w:colFirst="0" w:colLast="0"/>
            <w:bookmarkEnd w:id="2638"/>
            <w:r w:rsidRPr="00286216">
              <w:rPr>
                <w:color w:val="000000" w:themeColor="text1"/>
              </w:rPr>
              <w:t>2767.</w:t>
            </w:r>
          </w:p>
        </w:tc>
        <w:tc>
          <w:tcPr>
            <w:tcW w:w="4818" w:type="dxa"/>
          </w:tcPr>
          <w:p w14:paraId="02A352BE" w14:textId="77777777" w:rsidR="009B61A3" w:rsidRPr="00286216" w:rsidRDefault="009B61A3" w:rsidP="009B61A3">
            <w:pPr>
              <w:pStyle w:val="StyleZakonu"/>
              <w:rPr>
                <w:color w:val="000000" w:themeColor="text1"/>
              </w:rPr>
            </w:pPr>
            <w:r w:rsidRPr="00286216">
              <w:rPr>
                <w:color w:val="000000" w:themeColor="text1"/>
              </w:rPr>
              <w:t>9. Кодекс України з процедур банкрутства (Відомості Верховної Ради (ВВР), 2019, № 19, ст.74):</w:t>
            </w:r>
          </w:p>
        </w:tc>
        <w:tc>
          <w:tcPr>
            <w:tcW w:w="3686" w:type="dxa"/>
          </w:tcPr>
          <w:p w14:paraId="4EA9FC6B" w14:textId="77777777" w:rsidR="009B61A3" w:rsidRPr="00286216" w:rsidRDefault="009B61A3" w:rsidP="009B61A3">
            <w:pPr>
              <w:pStyle w:val="StyleProp"/>
              <w:rPr>
                <w:color w:val="000000" w:themeColor="text1"/>
                <w:szCs w:val="18"/>
              </w:rPr>
            </w:pPr>
          </w:p>
        </w:tc>
        <w:tc>
          <w:tcPr>
            <w:tcW w:w="1987" w:type="dxa"/>
          </w:tcPr>
          <w:p w14:paraId="6A4573F5" w14:textId="77777777" w:rsidR="009B61A3" w:rsidRPr="00286216" w:rsidRDefault="009B61A3" w:rsidP="009B61A3">
            <w:pPr>
              <w:pStyle w:val="StyleWisnow"/>
              <w:rPr>
                <w:color w:val="000000" w:themeColor="text1"/>
              </w:rPr>
            </w:pPr>
          </w:p>
        </w:tc>
        <w:tc>
          <w:tcPr>
            <w:tcW w:w="4818" w:type="dxa"/>
          </w:tcPr>
          <w:p w14:paraId="057E5BBE" w14:textId="4EA2038F" w:rsidR="009B61A3" w:rsidRPr="00286216" w:rsidRDefault="009B61A3" w:rsidP="009B61A3">
            <w:pPr>
              <w:pStyle w:val="StyleZakonu"/>
              <w:rPr>
                <w:color w:val="000000" w:themeColor="text1"/>
              </w:rPr>
            </w:pPr>
            <w:r w:rsidRPr="00286216">
              <w:rPr>
                <w:color w:val="000000" w:themeColor="text1"/>
              </w:rPr>
              <w:t>9. У Кодексі України з процедур банкрутства (Відомості Верховної Ради України, 2019 р., № 19, ст.74):</w:t>
            </w:r>
          </w:p>
        </w:tc>
      </w:tr>
      <w:tr w:rsidR="009B61A3" w:rsidRPr="00286216" w14:paraId="0D9DE9F2" w14:textId="77777777" w:rsidTr="00091AA5">
        <w:tc>
          <w:tcPr>
            <w:tcW w:w="576" w:type="dxa"/>
          </w:tcPr>
          <w:p w14:paraId="15577FC9" w14:textId="77777777" w:rsidR="009B61A3" w:rsidRPr="00286216" w:rsidRDefault="009B61A3" w:rsidP="009B61A3">
            <w:pPr>
              <w:pStyle w:val="StyleWisnow"/>
              <w:rPr>
                <w:color w:val="000000" w:themeColor="text1"/>
              </w:rPr>
            </w:pPr>
            <w:bookmarkStart w:id="2640" w:name="n2768" w:colFirst="0" w:colLast="0"/>
            <w:bookmarkEnd w:id="2639"/>
            <w:r w:rsidRPr="00286216">
              <w:rPr>
                <w:color w:val="000000" w:themeColor="text1"/>
              </w:rPr>
              <w:t>2768.</w:t>
            </w:r>
          </w:p>
        </w:tc>
        <w:tc>
          <w:tcPr>
            <w:tcW w:w="4818" w:type="dxa"/>
          </w:tcPr>
          <w:p w14:paraId="58CDFD5D" w14:textId="77777777" w:rsidR="009B61A3" w:rsidRPr="00286216" w:rsidRDefault="009B61A3" w:rsidP="009B61A3">
            <w:pPr>
              <w:pStyle w:val="StyleZakonu"/>
              <w:rPr>
                <w:color w:val="000000" w:themeColor="text1"/>
              </w:rPr>
            </w:pPr>
            <w:r w:rsidRPr="00286216">
              <w:rPr>
                <w:color w:val="000000" w:themeColor="text1"/>
              </w:rPr>
              <w:t>1) у статті 1:</w:t>
            </w:r>
          </w:p>
        </w:tc>
        <w:tc>
          <w:tcPr>
            <w:tcW w:w="3686" w:type="dxa"/>
          </w:tcPr>
          <w:p w14:paraId="717DAD3A" w14:textId="77777777" w:rsidR="009B61A3" w:rsidRPr="00286216" w:rsidRDefault="009B61A3" w:rsidP="009B61A3">
            <w:pPr>
              <w:pStyle w:val="StyleProp"/>
              <w:rPr>
                <w:color w:val="000000" w:themeColor="text1"/>
                <w:szCs w:val="18"/>
              </w:rPr>
            </w:pPr>
          </w:p>
        </w:tc>
        <w:tc>
          <w:tcPr>
            <w:tcW w:w="1987" w:type="dxa"/>
          </w:tcPr>
          <w:p w14:paraId="7D6B7F1B" w14:textId="77777777" w:rsidR="009B61A3" w:rsidRPr="00286216" w:rsidRDefault="009B61A3" w:rsidP="009B61A3">
            <w:pPr>
              <w:pStyle w:val="StyleWisnow"/>
              <w:rPr>
                <w:color w:val="000000" w:themeColor="text1"/>
              </w:rPr>
            </w:pPr>
          </w:p>
        </w:tc>
        <w:tc>
          <w:tcPr>
            <w:tcW w:w="4818" w:type="dxa"/>
          </w:tcPr>
          <w:p w14:paraId="1FF82486" w14:textId="632F590D" w:rsidR="009B61A3" w:rsidRPr="00286216" w:rsidRDefault="009B61A3" w:rsidP="009B61A3">
            <w:pPr>
              <w:pStyle w:val="StyleZakonu"/>
              <w:rPr>
                <w:color w:val="000000" w:themeColor="text1"/>
              </w:rPr>
            </w:pPr>
            <w:r w:rsidRPr="00286216">
              <w:rPr>
                <w:color w:val="000000" w:themeColor="text1"/>
              </w:rPr>
              <w:t>1) у статті 1:</w:t>
            </w:r>
          </w:p>
        </w:tc>
      </w:tr>
      <w:tr w:rsidR="00DB4DA8" w:rsidRPr="00286216" w14:paraId="7E1C74C5" w14:textId="77777777" w:rsidTr="00091AA5">
        <w:tc>
          <w:tcPr>
            <w:tcW w:w="576" w:type="dxa"/>
          </w:tcPr>
          <w:p w14:paraId="7E24A467" w14:textId="77777777" w:rsidR="00DB4DA8" w:rsidRPr="00286216" w:rsidRDefault="00DB4DA8" w:rsidP="00DB4DA8">
            <w:pPr>
              <w:pStyle w:val="StyleWisnow"/>
              <w:rPr>
                <w:color w:val="000000" w:themeColor="text1"/>
              </w:rPr>
            </w:pPr>
            <w:bookmarkStart w:id="2641" w:name="n2769" w:colFirst="0" w:colLast="0"/>
            <w:bookmarkEnd w:id="2640"/>
            <w:r w:rsidRPr="00286216">
              <w:rPr>
                <w:color w:val="000000" w:themeColor="text1"/>
              </w:rPr>
              <w:t>2769.</w:t>
            </w:r>
          </w:p>
        </w:tc>
        <w:tc>
          <w:tcPr>
            <w:tcW w:w="4818" w:type="dxa"/>
          </w:tcPr>
          <w:p w14:paraId="5EC40C29" w14:textId="77777777" w:rsidR="00DB4DA8" w:rsidRPr="00286216" w:rsidRDefault="00DB4DA8" w:rsidP="00DB4DA8">
            <w:pPr>
              <w:pStyle w:val="StyleZakonu"/>
              <w:rPr>
                <w:color w:val="000000" w:themeColor="text1"/>
              </w:rPr>
            </w:pPr>
            <w:r w:rsidRPr="00286216">
              <w:rPr>
                <w:color w:val="000000" w:themeColor="text1"/>
              </w:rPr>
              <w:t>а) абзац одинадцятий після слів "грошових зобов’язань до боржника" доповнити словами ",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які мають підтверджені у встановленому порядку документами вимоги щодо грошових зобов’язань до боржника";</w:t>
            </w:r>
          </w:p>
        </w:tc>
        <w:tc>
          <w:tcPr>
            <w:tcW w:w="3686" w:type="dxa"/>
          </w:tcPr>
          <w:p w14:paraId="22136DC4" w14:textId="77777777" w:rsidR="00DB4DA8" w:rsidRPr="00286216" w:rsidRDefault="00DB4DA8" w:rsidP="00DB4DA8">
            <w:pPr>
              <w:spacing w:line="200" w:lineRule="exact"/>
              <w:ind w:firstLine="227"/>
              <w:jc w:val="both"/>
              <w:rPr>
                <w:color w:val="000000" w:themeColor="text1"/>
                <w:sz w:val="18"/>
              </w:rPr>
            </w:pPr>
          </w:p>
        </w:tc>
        <w:tc>
          <w:tcPr>
            <w:tcW w:w="1987" w:type="dxa"/>
          </w:tcPr>
          <w:p w14:paraId="5E66CF1E" w14:textId="77777777" w:rsidR="00DB4DA8" w:rsidRPr="00286216" w:rsidRDefault="00DB4DA8" w:rsidP="00DB4DA8">
            <w:pPr>
              <w:pStyle w:val="StyleWisnow"/>
              <w:rPr>
                <w:color w:val="000000" w:themeColor="text1"/>
              </w:rPr>
            </w:pPr>
          </w:p>
        </w:tc>
        <w:tc>
          <w:tcPr>
            <w:tcW w:w="4818" w:type="dxa"/>
          </w:tcPr>
          <w:p w14:paraId="2924A6B7" w14:textId="1145CAC2" w:rsidR="00DB4DA8" w:rsidRPr="00286216" w:rsidRDefault="00DB4DA8" w:rsidP="00DB4DA8">
            <w:pPr>
              <w:pStyle w:val="StyleZakonu"/>
              <w:rPr>
                <w:color w:val="000000" w:themeColor="text1"/>
              </w:rPr>
            </w:pPr>
            <w:r w:rsidRPr="00286216">
              <w:rPr>
                <w:color w:val="000000" w:themeColor="text1"/>
              </w:rPr>
              <w:t>а) абзац одинадцятий після слів "грошових зобов’язань до боржника" доповнити словами "а також адміністратор за випуском облігацій, який відповідно до Закону України "Про ринки капіталу та організовані товарні ринки" діє в інтересах власників облігацій, які мають підтверджені у встановленому порядку документами вимоги щодо грошових зобов’язань до боржника";</w:t>
            </w:r>
          </w:p>
        </w:tc>
      </w:tr>
      <w:tr w:rsidR="00DB4DA8" w:rsidRPr="00286216" w14:paraId="393AFA99" w14:textId="77777777" w:rsidTr="00091AA5">
        <w:tc>
          <w:tcPr>
            <w:tcW w:w="576" w:type="dxa"/>
          </w:tcPr>
          <w:p w14:paraId="24B8B5E9" w14:textId="77777777" w:rsidR="00DB4DA8" w:rsidRPr="00286216" w:rsidRDefault="00DB4DA8" w:rsidP="00DB4DA8">
            <w:pPr>
              <w:pStyle w:val="StyleWisnow"/>
              <w:rPr>
                <w:color w:val="000000" w:themeColor="text1"/>
              </w:rPr>
            </w:pPr>
            <w:bookmarkStart w:id="2642" w:name="n2770" w:colFirst="0" w:colLast="0"/>
            <w:bookmarkEnd w:id="2641"/>
            <w:r w:rsidRPr="00286216">
              <w:rPr>
                <w:color w:val="000000" w:themeColor="text1"/>
              </w:rPr>
              <w:t>2770.</w:t>
            </w:r>
          </w:p>
        </w:tc>
        <w:tc>
          <w:tcPr>
            <w:tcW w:w="4818" w:type="dxa"/>
          </w:tcPr>
          <w:p w14:paraId="5D27675C" w14:textId="77777777" w:rsidR="00DB4DA8" w:rsidRPr="00286216" w:rsidRDefault="00DB4DA8" w:rsidP="00DB4DA8">
            <w:pPr>
              <w:pStyle w:val="StyleZakonu"/>
              <w:rPr>
                <w:color w:val="000000" w:themeColor="text1"/>
              </w:rPr>
            </w:pPr>
            <w:r w:rsidRPr="00286216">
              <w:rPr>
                <w:color w:val="000000" w:themeColor="text1"/>
              </w:rPr>
              <w:t>б) абзац двадцять четвертий після слів "</w:t>
            </w:r>
            <w:r w:rsidRPr="00286216">
              <w:rPr>
                <w:rStyle w:val="rvts9"/>
                <w:color w:val="000000" w:themeColor="text1"/>
                <w:szCs w:val="28"/>
              </w:rPr>
              <w:t>Фонд державного майна України, " доповнити словами "Національна комісія з цінних паперів та фондового ринку";</w:t>
            </w:r>
          </w:p>
        </w:tc>
        <w:tc>
          <w:tcPr>
            <w:tcW w:w="3686" w:type="dxa"/>
          </w:tcPr>
          <w:p w14:paraId="4BB52BB5" w14:textId="77777777" w:rsidR="00DB4DA8" w:rsidRPr="00286216" w:rsidRDefault="00DB4DA8" w:rsidP="00DB4DA8">
            <w:pPr>
              <w:pStyle w:val="StyleProp"/>
              <w:rPr>
                <w:color w:val="000000" w:themeColor="text1"/>
                <w:szCs w:val="18"/>
              </w:rPr>
            </w:pPr>
          </w:p>
        </w:tc>
        <w:tc>
          <w:tcPr>
            <w:tcW w:w="1987" w:type="dxa"/>
          </w:tcPr>
          <w:p w14:paraId="005A9F31" w14:textId="77777777" w:rsidR="00DB4DA8" w:rsidRPr="00286216" w:rsidRDefault="00DB4DA8" w:rsidP="00DB4DA8">
            <w:pPr>
              <w:pStyle w:val="StyleWisnow"/>
              <w:rPr>
                <w:color w:val="000000" w:themeColor="text1"/>
              </w:rPr>
            </w:pPr>
          </w:p>
        </w:tc>
        <w:tc>
          <w:tcPr>
            <w:tcW w:w="4818" w:type="dxa"/>
          </w:tcPr>
          <w:p w14:paraId="2F99C583" w14:textId="79DCBE0C" w:rsidR="00DB4DA8" w:rsidRPr="00286216" w:rsidRDefault="00DB4DA8" w:rsidP="00DB4DA8">
            <w:pPr>
              <w:pStyle w:val="StyleZakonu"/>
              <w:rPr>
                <w:color w:val="000000" w:themeColor="text1"/>
              </w:rPr>
            </w:pPr>
            <w:r w:rsidRPr="00286216">
              <w:rPr>
                <w:color w:val="000000" w:themeColor="text1"/>
              </w:rPr>
              <w:t>б) абзац двадцять четвертий після слів "</w:t>
            </w:r>
            <w:r w:rsidRPr="00286216">
              <w:rPr>
                <w:rStyle w:val="rvts9"/>
                <w:color w:val="000000" w:themeColor="text1"/>
                <w:szCs w:val="28"/>
              </w:rPr>
              <w:t>Фонд державного майна України" доповнити словами "Національна комісія з цінних паперів та фондового ринку";</w:t>
            </w:r>
          </w:p>
        </w:tc>
      </w:tr>
      <w:tr w:rsidR="00DB4DA8" w:rsidRPr="00286216" w14:paraId="393E2844" w14:textId="77777777" w:rsidTr="00091AA5">
        <w:tc>
          <w:tcPr>
            <w:tcW w:w="576" w:type="dxa"/>
          </w:tcPr>
          <w:p w14:paraId="26AC96CD" w14:textId="77777777" w:rsidR="00DB4DA8" w:rsidRPr="00286216" w:rsidRDefault="00DB4DA8" w:rsidP="00DB4DA8">
            <w:pPr>
              <w:pStyle w:val="StyleWisnow"/>
              <w:rPr>
                <w:color w:val="000000" w:themeColor="text1"/>
              </w:rPr>
            </w:pPr>
            <w:bookmarkStart w:id="2643" w:name="n2771" w:colFirst="0" w:colLast="0"/>
            <w:bookmarkEnd w:id="2642"/>
            <w:r w:rsidRPr="00286216">
              <w:rPr>
                <w:color w:val="000000" w:themeColor="text1"/>
              </w:rPr>
              <w:t>2771.</w:t>
            </w:r>
          </w:p>
        </w:tc>
        <w:tc>
          <w:tcPr>
            <w:tcW w:w="4818" w:type="dxa"/>
          </w:tcPr>
          <w:p w14:paraId="4621FA6F" w14:textId="77777777" w:rsidR="00DB4DA8" w:rsidRPr="00286216" w:rsidRDefault="00DB4DA8" w:rsidP="00DB4DA8">
            <w:pPr>
              <w:pStyle w:val="StyleZakonu"/>
              <w:rPr>
                <w:color w:val="000000" w:themeColor="text1"/>
              </w:rPr>
            </w:pPr>
            <w:r w:rsidRPr="00286216">
              <w:rPr>
                <w:color w:val="000000" w:themeColor="text1"/>
              </w:rPr>
              <w:t>в) доповнити абзацом двадцять сьомим такого змісту:</w:t>
            </w:r>
          </w:p>
        </w:tc>
        <w:tc>
          <w:tcPr>
            <w:tcW w:w="3686" w:type="dxa"/>
          </w:tcPr>
          <w:p w14:paraId="20914480" w14:textId="77777777" w:rsidR="00DB4DA8" w:rsidRPr="00286216" w:rsidRDefault="00DB4DA8" w:rsidP="00DB4DA8">
            <w:pPr>
              <w:pStyle w:val="StyleProp"/>
              <w:rPr>
                <w:color w:val="000000" w:themeColor="text1"/>
                <w:szCs w:val="18"/>
              </w:rPr>
            </w:pPr>
          </w:p>
        </w:tc>
        <w:tc>
          <w:tcPr>
            <w:tcW w:w="1987" w:type="dxa"/>
          </w:tcPr>
          <w:p w14:paraId="7FFDA39C" w14:textId="77777777" w:rsidR="00DB4DA8" w:rsidRPr="00286216" w:rsidRDefault="00DB4DA8" w:rsidP="00DB4DA8">
            <w:pPr>
              <w:pStyle w:val="StyleWisnow"/>
              <w:rPr>
                <w:color w:val="000000" w:themeColor="text1"/>
              </w:rPr>
            </w:pPr>
          </w:p>
        </w:tc>
        <w:tc>
          <w:tcPr>
            <w:tcW w:w="4818" w:type="dxa"/>
          </w:tcPr>
          <w:p w14:paraId="407A91F5" w14:textId="0C2D9B5F" w:rsidR="00DB4DA8" w:rsidRPr="00286216" w:rsidRDefault="00DB4DA8" w:rsidP="00DB4DA8">
            <w:pPr>
              <w:pStyle w:val="StyleZakonu"/>
              <w:rPr>
                <w:color w:val="000000" w:themeColor="text1"/>
              </w:rPr>
            </w:pPr>
            <w:r w:rsidRPr="00286216">
              <w:rPr>
                <w:color w:val="000000" w:themeColor="text1"/>
              </w:rPr>
              <w:t>в) доповнити абзацом двадцять сьомим такого змісту:</w:t>
            </w:r>
          </w:p>
        </w:tc>
      </w:tr>
      <w:tr w:rsidR="00DB4DA8" w:rsidRPr="00286216" w14:paraId="1F0945BB" w14:textId="77777777" w:rsidTr="00091AA5">
        <w:tc>
          <w:tcPr>
            <w:tcW w:w="576" w:type="dxa"/>
          </w:tcPr>
          <w:p w14:paraId="209B7E64" w14:textId="77777777" w:rsidR="00DB4DA8" w:rsidRPr="00286216" w:rsidRDefault="00DB4DA8" w:rsidP="00DB4DA8">
            <w:pPr>
              <w:pStyle w:val="StyleWisnow"/>
              <w:rPr>
                <w:color w:val="000000" w:themeColor="text1"/>
              </w:rPr>
            </w:pPr>
            <w:bookmarkStart w:id="2644" w:name="n2772" w:colFirst="0" w:colLast="0"/>
            <w:bookmarkEnd w:id="2643"/>
            <w:r w:rsidRPr="00286216">
              <w:rPr>
                <w:color w:val="000000" w:themeColor="text1"/>
              </w:rPr>
              <w:t>2772.</w:t>
            </w:r>
          </w:p>
        </w:tc>
        <w:tc>
          <w:tcPr>
            <w:tcW w:w="4818" w:type="dxa"/>
          </w:tcPr>
          <w:p w14:paraId="084C72F6" w14:textId="77777777" w:rsidR="00DB4DA8" w:rsidRPr="00286216" w:rsidRDefault="00DB4DA8" w:rsidP="00DB4DA8">
            <w:pPr>
              <w:pStyle w:val="StyleZakonu"/>
              <w:rPr>
                <w:color w:val="000000" w:themeColor="text1"/>
              </w:rPr>
            </w:pPr>
            <w:r w:rsidRPr="00286216">
              <w:rPr>
                <w:color w:val="000000" w:themeColor="text1"/>
              </w:rPr>
              <w:t xml:space="preserve">"Терміни "адміністратор за випуском облігацій", "деривативний контракт", "генеральна угода", "збори власників облігацій", "професійний учасник ринків </w:t>
            </w:r>
            <w:r w:rsidRPr="00286216">
              <w:rPr>
                <w:color w:val="000000" w:themeColor="text1"/>
              </w:rPr>
              <w:lastRenderedPageBreak/>
              <w:t>капіталу" та "професійний учасник організованих товарних ринків" вживаються у цьому Законі у значеннях, визначених у Законі України "Про ринки капіталу та організовані товарні ринки".";</w:t>
            </w:r>
          </w:p>
        </w:tc>
        <w:tc>
          <w:tcPr>
            <w:tcW w:w="3686" w:type="dxa"/>
          </w:tcPr>
          <w:p w14:paraId="77E2F66B" w14:textId="77777777" w:rsidR="00DB4DA8" w:rsidRPr="00286216" w:rsidRDefault="00DB4DA8" w:rsidP="00DB4DA8">
            <w:pPr>
              <w:pStyle w:val="StyleProp"/>
              <w:rPr>
                <w:color w:val="000000" w:themeColor="text1"/>
                <w:szCs w:val="18"/>
              </w:rPr>
            </w:pPr>
          </w:p>
        </w:tc>
        <w:tc>
          <w:tcPr>
            <w:tcW w:w="1987" w:type="dxa"/>
          </w:tcPr>
          <w:p w14:paraId="591469C5" w14:textId="77777777" w:rsidR="00DB4DA8" w:rsidRPr="00286216" w:rsidRDefault="00DB4DA8" w:rsidP="00DB4DA8">
            <w:pPr>
              <w:pStyle w:val="StyleWisnow"/>
              <w:rPr>
                <w:color w:val="000000" w:themeColor="text1"/>
              </w:rPr>
            </w:pPr>
          </w:p>
        </w:tc>
        <w:tc>
          <w:tcPr>
            <w:tcW w:w="4818" w:type="dxa"/>
          </w:tcPr>
          <w:p w14:paraId="7F2A90FD" w14:textId="539962BF" w:rsidR="00DB4DA8" w:rsidRPr="00286216" w:rsidRDefault="00DB4DA8" w:rsidP="00DB4DA8">
            <w:pPr>
              <w:pStyle w:val="StyleZakonu"/>
              <w:rPr>
                <w:color w:val="000000" w:themeColor="text1"/>
              </w:rPr>
            </w:pPr>
            <w:r w:rsidRPr="00286216">
              <w:rPr>
                <w:color w:val="000000" w:themeColor="text1"/>
              </w:rPr>
              <w:t xml:space="preserve">"Терміни "адміністратор за випуском облігацій", "деривативний контракт", "генеральна угода", "збори власників облігацій", "професійний учасник ринків </w:t>
            </w:r>
            <w:r w:rsidRPr="00286216">
              <w:rPr>
                <w:color w:val="000000" w:themeColor="text1"/>
              </w:rPr>
              <w:lastRenderedPageBreak/>
              <w:t>капіталу" та "професійний учасник організованих товарних ринків" вживаються у цьому Кодексі у значеннях, визначених у Законі України "Про ринки капіталу та організовані товарні ринки";</w:t>
            </w:r>
          </w:p>
        </w:tc>
      </w:tr>
      <w:tr w:rsidR="00DB4DA8" w:rsidRPr="00286216" w14:paraId="165F22D6" w14:textId="77777777" w:rsidTr="00091AA5">
        <w:tc>
          <w:tcPr>
            <w:tcW w:w="576" w:type="dxa"/>
          </w:tcPr>
          <w:p w14:paraId="41C4C850" w14:textId="77777777" w:rsidR="00DB4DA8" w:rsidRPr="00286216" w:rsidRDefault="00DB4DA8" w:rsidP="00DB4DA8">
            <w:pPr>
              <w:pStyle w:val="StyleWisnow"/>
              <w:rPr>
                <w:color w:val="000000" w:themeColor="text1"/>
              </w:rPr>
            </w:pPr>
            <w:bookmarkStart w:id="2645" w:name="n2773" w:colFirst="0" w:colLast="0"/>
            <w:bookmarkEnd w:id="2644"/>
            <w:r w:rsidRPr="00286216">
              <w:rPr>
                <w:color w:val="000000" w:themeColor="text1"/>
              </w:rPr>
              <w:lastRenderedPageBreak/>
              <w:t>2773.</w:t>
            </w:r>
          </w:p>
        </w:tc>
        <w:tc>
          <w:tcPr>
            <w:tcW w:w="4818" w:type="dxa"/>
          </w:tcPr>
          <w:p w14:paraId="35457370" w14:textId="77777777" w:rsidR="00DB4DA8" w:rsidRPr="00286216" w:rsidRDefault="00DB4DA8" w:rsidP="00DB4DA8">
            <w:pPr>
              <w:pStyle w:val="StyleZakonu"/>
              <w:rPr>
                <w:color w:val="000000" w:themeColor="text1"/>
              </w:rPr>
            </w:pPr>
            <w:r w:rsidRPr="00286216">
              <w:rPr>
                <w:color w:val="000000" w:themeColor="text1"/>
              </w:rPr>
              <w:t>2) у статті 2:</w:t>
            </w:r>
          </w:p>
        </w:tc>
        <w:tc>
          <w:tcPr>
            <w:tcW w:w="3686" w:type="dxa"/>
          </w:tcPr>
          <w:p w14:paraId="446A6960" w14:textId="77777777" w:rsidR="00DB4DA8" w:rsidRPr="00286216" w:rsidRDefault="00DB4DA8" w:rsidP="00DB4DA8">
            <w:pPr>
              <w:pStyle w:val="StyleProp"/>
              <w:rPr>
                <w:color w:val="000000" w:themeColor="text1"/>
                <w:szCs w:val="18"/>
              </w:rPr>
            </w:pPr>
          </w:p>
        </w:tc>
        <w:tc>
          <w:tcPr>
            <w:tcW w:w="1987" w:type="dxa"/>
          </w:tcPr>
          <w:p w14:paraId="415971F9" w14:textId="77777777" w:rsidR="00DB4DA8" w:rsidRPr="00286216" w:rsidRDefault="00DB4DA8" w:rsidP="00DB4DA8">
            <w:pPr>
              <w:pStyle w:val="StyleWisnow"/>
              <w:rPr>
                <w:color w:val="000000" w:themeColor="text1"/>
              </w:rPr>
            </w:pPr>
          </w:p>
        </w:tc>
        <w:tc>
          <w:tcPr>
            <w:tcW w:w="4818" w:type="dxa"/>
          </w:tcPr>
          <w:p w14:paraId="1F763F17" w14:textId="3F2B09BA" w:rsidR="00DB4DA8" w:rsidRPr="00286216" w:rsidRDefault="00DB4DA8" w:rsidP="00DB4DA8">
            <w:pPr>
              <w:pStyle w:val="StyleZakonu"/>
              <w:rPr>
                <w:color w:val="000000" w:themeColor="text1"/>
              </w:rPr>
            </w:pPr>
          </w:p>
        </w:tc>
      </w:tr>
      <w:tr w:rsidR="00DB4DA8" w:rsidRPr="00286216" w14:paraId="123B863B" w14:textId="77777777" w:rsidTr="00091AA5">
        <w:tc>
          <w:tcPr>
            <w:tcW w:w="576" w:type="dxa"/>
          </w:tcPr>
          <w:p w14:paraId="5AC8182C" w14:textId="77777777" w:rsidR="00DB4DA8" w:rsidRPr="00286216" w:rsidRDefault="00DB4DA8" w:rsidP="00DB4DA8">
            <w:pPr>
              <w:pStyle w:val="StyleWisnow"/>
              <w:rPr>
                <w:color w:val="000000" w:themeColor="text1"/>
              </w:rPr>
            </w:pPr>
            <w:bookmarkStart w:id="2646" w:name="n2774" w:colFirst="0" w:colLast="0"/>
            <w:bookmarkEnd w:id="2645"/>
            <w:r w:rsidRPr="00286216">
              <w:rPr>
                <w:color w:val="000000" w:themeColor="text1"/>
              </w:rPr>
              <w:t>2774.</w:t>
            </w:r>
          </w:p>
        </w:tc>
        <w:tc>
          <w:tcPr>
            <w:tcW w:w="4818" w:type="dxa"/>
          </w:tcPr>
          <w:p w14:paraId="4954452C" w14:textId="77777777" w:rsidR="00DB4DA8" w:rsidRPr="00286216" w:rsidRDefault="00DB4DA8" w:rsidP="00DB4DA8">
            <w:pPr>
              <w:pStyle w:val="StyleZakonu"/>
              <w:rPr>
                <w:color w:val="000000" w:themeColor="text1"/>
              </w:rPr>
            </w:pPr>
            <w:r w:rsidRPr="00286216">
              <w:rPr>
                <w:color w:val="000000" w:themeColor="text1"/>
              </w:rPr>
              <w:t>а) частину другу доповнити реченням такого змісту:</w:t>
            </w:r>
          </w:p>
        </w:tc>
        <w:tc>
          <w:tcPr>
            <w:tcW w:w="3686" w:type="dxa"/>
          </w:tcPr>
          <w:p w14:paraId="40EE861F" w14:textId="269E5C22" w:rsidR="00DB4DA8" w:rsidRPr="00286216" w:rsidRDefault="00DB4DA8" w:rsidP="00DB4DA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1259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6363EBC" w14:textId="2619754C" w:rsidR="00DB4DA8" w:rsidRPr="00286216" w:rsidRDefault="00DB4DA8" w:rsidP="00DB4DA8">
            <w:pPr>
              <w:pStyle w:val="StyleProp"/>
              <w:spacing w:line="180" w:lineRule="exact"/>
              <w:rPr>
                <w:color w:val="000000" w:themeColor="text1"/>
                <w:szCs w:val="18"/>
              </w:rPr>
            </w:pPr>
            <w:r w:rsidRPr="00286216">
              <w:rPr>
                <w:color w:val="000000" w:themeColor="text1"/>
                <w:szCs w:val="18"/>
              </w:rPr>
              <w:t>В пункту 9 розділу 3 в підпункт «а)» підпункті 2 слово «реченням» замінити словами «двома абзацами»</w:t>
            </w:r>
          </w:p>
        </w:tc>
        <w:tc>
          <w:tcPr>
            <w:tcW w:w="1987" w:type="dxa"/>
          </w:tcPr>
          <w:p w14:paraId="3A116AA5" w14:textId="77777777" w:rsidR="00DB4DA8" w:rsidRPr="00286216" w:rsidRDefault="00DB4DA8" w:rsidP="00DB4DA8">
            <w:pPr>
              <w:pStyle w:val="StyleWisnow"/>
              <w:rPr>
                <w:color w:val="000000" w:themeColor="text1"/>
              </w:rPr>
            </w:pPr>
            <w:r w:rsidRPr="00286216">
              <w:rPr>
                <w:color w:val="000000" w:themeColor="text1"/>
              </w:rPr>
              <w:t>Враховано</w:t>
            </w:r>
          </w:p>
        </w:tc>
        <w:tc>
          <w:tcPr>
            <w:tcW w:w="4818" w:type="dxa"/>
          </w:tcPr>
          <w:p w14:paraId="49350632" w14:textId="5AC1C45C" w:rsidR="00DB4DA8" w:rsidRPr="00286216" w:rsidRDefault="00DB4DA8" w:rsidP="00DB4DA8">
            <w:pPr>
              <w:pStyle w:val="StyleZakonu"/>
              <w:rPr>
                <w:color w:val="000000" w:themeColor="text1"/>
              </w:rPr>
            </w:pPr>
            <w:r w:rsidRPr="00286216">
              <w:rPr>
                <w:color w:val="000000" w:themeColor="text1"/>
              </w:rPr>
              <w:t xml:space="preserve">2) частину другу статті 2 доповнити </w:t>
            </w:r>
            <w:r w:rsidRPr="00286216">
              <w:rPr>
                <w:color w:val="000000" w:themeColor="text1"/>
                <w:szCs w:val="18"/>
              </w:rPr>
              <w:t xml:space="preserve"> абзацами  четвертим і п’ятим</w:t>
            </w:r>
            <w:r w:rsidRPr="00286216">
              <w:rPr>
                <w:color w:val="000000" w:themeColor="text1"/>
              </w:rPr>
              <w:t xml:space="preserve"> такого змісту:</w:t>
            </w:r>
          </w:p>
        </w:tc>
      </w:tr>
      <w:tr w:rsidR="00DB4DA8" w:rsidRPr="00286216" w14:paraId="2C472ECF" w14:textId="77777777" w:rsidTr="00091AA5">
        <w:tc>
          <w:tcPr>
            <w:tcW w:w="576" w:type="dxa"/>
          </w:tcPr>
          <w:p w14:paraId="109945A6" w14:textId="77777777" w:rsidR="00DB4DA8" w:rsidRPr="00286216" w:rsidRDefault="00DB4DA8" w:rsidP="00DB4DA8">
            <w:pPr>
              <w:pStyle w:val="StyleWisnow"/>
              <w:rPr>
                <w:color w:val="000000" w:themeColor="text1"/>
              </w:rPr>
            </w:pPr>
            <w:bookmarkStart w:id="2647" w:name="n2775" w:colFirst="0" w:colLast="0"/>
            <w:bookmarkEnd w:id="2646"/>
            <w:r w:rsidRPr="00286216">
              <w:rPr>
                <w:color w:val="000000" w:themeColor="text1"/>
              </w:rPr>
              <w:t>2775.</w:t>
            </w:r>
          </w:p>
        </w:tc>
        <w:tc>
          <w:tcPr>
            <w:tcW w:w="4818" w:type="dxa"/>
          </w:tcPr>
          <w:p w14:paraId="6311BE54" w14:textId="77777777" w:rsidR="00DB4DA8" w:rsidRPr="00286216" w:rsidRDefault="00DB4DA8" w:rsidP="00DB4DA8">
            <w:pPr>
              <w:pStyle w:val="StyleZakonu"/>
              <w:rPr>
                <w:color w:val="000000" w:themeColor="text1"/>
              </w:rPr>
            </w:pPr>
            <w:r w:rsidRPr="00286216">
              <w:rPr>
                <w:color w:val="000000" w:themeColor="text1"/>
              </w:rPr>
              <w:t>"Провадження у справі про визнання суб’єкта підприємницької діяльності, який є стороною договору щодо фінансових інструментів та/або стороною одного або кількох деривативних контрактів, неплатоспроможним (банкрутом) здійснюється з урахуванням особливостей, передбачених законодавством.";</w:t>
            </w:r>
          </w:p>
        </w:tc>
        <w:tc>
          <w:tcPr>
            <w:tcW w:w="3686" w:type="dxa"/>
          </w:tcPr>
          <w:p w14:paraId="3ABF923B" w14:textId="77777777" w:rsidR="00DB4DA8" w:rsidRPr="00286216" w:rsidRDefault="00DB4DA8" w:rsidP="00DB4DA8">
            <w:pPr>
              <w:pStyle w:val="StyleProp"/>
              <w:rPr>
                <w:color w:val="000000" w:themeColor="text1"/>
                <w:szCs w:val="18"/>
              </w:rPr>
            </w:pPr>
          </w:p>
        </w:tc>
        <w:tc>
          <w:tcPr>
            <w:tcW w:w="1987" w:type="dxa"/>
          </w:tcPr>
          <w:p w14:paraId="6259A29F" w14:textId="77777777" w:rsidR="00DB4DA8" w:rsidRPr="00286216" w:rsidRDefault="00DB4DA8" w:rsidP="00DB4DA8">
            <w:pPr>
              <w:pStyle w:val="StyleWisnow"/>
              <w:rPr>
                <w:color w:val="000000" w:themeColor="text1"/>
              </w:rPr>
            </w:pPr>
          </w:p>
        </w:tc>
        <w:tc>
          <w:tcPr>
            <w:tcW w:w="4818" w:type="dxa"/>
          </w:tcPr>
          <w:p w14:paraId="23C088A7" w14:textId="499E56DA" w:rsidR="00DB4DA8" w:rsidRPr="00286216" w:rsidRDefault="00DB4DA8" w:rsidP="00DB4DA8">
            <w:pPr>
              <w:pStyle w:val="StyleZakonu"/>
              <w:rPr>
                <w:color w:val="000000" w:themeColor="text1"/>
              </w:rPr>
            </w:pPr>
            <w:r w:rsidRPr="00286216">
              <w:rPr>
                <w:color w:val="000000" w:themeColor="text1"/>
              </w:rPr>
              <w:t>"Провадження у справі про визнання суб’єкта підприємницької діяльності, який є стороною договору щодо фінансових інструментів та/або стороною одного або декількох деривативних контрактів, неплатоспроможним (банкрутом), здійснюється з урахуванням особливостей, передбачених законодавством.</w:t>
            </w:r>
          </w:p>
        </w:tc>
      </w:tr>
      <w:tr w:rsidR="00DB4DA8" w:rsidRPr="00286216" w14:paraId="3ACCE945" w14:textId="77777777" w:rsidTr="00091AA5">
        <w:tc>
          <w:tcPr>
            <w:tcW w:w="576" w:type="dxa"/>
          </w:tcPr>
          <w:p w14:paraId="41DB8142" w14:textId="77777777" w:rsidR="00DB4DA8" w:rsidRPr="00286216" w:rsidRDefault="00DB4DA8" w:rsidP="00DB4DA8">
            <w:pPr>
              <w:pStyle w:val="StyleWisnow"/>
              <w:rPr>
                <w:color w:val="000000" w:themeColor="text1"/>
              </w:rPr>
            </w:pPr>
            <w:bookmarkStart w:id="2648" w:name="n2776" w:colFirst="0" w:colLast="0"/>
            <w:bookmarkEnd w:id="2647"/>
            <w:r w:rsidRPr="00286216">
              <w:rPr>
                <w:color w:val="000000" w:themeColor="text1"/>
              </w:rPr>
              <w:t>2776.</w:t>
            </w:r>
          </w:p>
        </w:tc>
        <w:tc>
          <w:tcPr>
            <w:tcW w:w="4818" w:type="dxa"/>
          </w:tcPr>
          <w:p w14:paraId="1CFA9473" w14:textId="77777777" w:rsidR="00DB4DA8" w:rsidRPr="00286216" w:rsidRDefault="00DB4DA8" w:rsidP="00DB4DA8">
            <w:pPr>
              <w:pStyle w:val="StyleZakonu"/>
              <w:rPr>
                <w:color w:val="000000" w:themeColor="text1"/>
              </w:rPr>
            </w:pPr>
            <w:r w:rsidRPr="00286216">
              <w:rPr>
                <w:color w:val="000000" w:themeColor="text1"/>
              </w:rPr>
              <w:t>б) доповнити новою частиною такого змісту:</w:t>
            </w:r>
          </w:p>
        </w:tc>
        <w:tc>
          <w:tcPr>
            <w:tcW w:w="3686" w:type="dxa"/>
          </w:tcPr>
          <w:p w14:paraId="541DC097" w14:textId="7AA1F127" w:rsidR="00DB4DA8" w:rsidRPr="00286216" w:rsidRDefault="00DB4DA8" w:rsidP="00DB4DA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1260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DF1E872" w14:textId="098E5CD0" w:rsidR="00DB4DA8" w:rsidRPr="00286216" w:rsidRDefault="00DB4DA8" w:rsidP="00DB4DA8">
            <w:pPr>
              <w:pStyle w:val="StyleProp"/>
              <w:spacing w:line="180" w:lineRule="exact"/>
              <w:rPr>
                <w:color w:val="000000" w:themeColor="text1"/>
                <w:szCs w:val="18"/>
              </w:rPr>
            </w:pPr>
            <w:r w:rsidRPr="00286216">
              <w:rPr>
                <w:color w:val="000000" w:themeColor="text1"/>
                <w:szCs w:val="18"/>
              </w:rPr>
              <w:t>В пункту 9 розділу 3 підпункт «б) доповнити новою частиною такого змісту:» та цифру «8.» виключити;</w:t>
            </w:r>
          </w:p>
        </w:tc>
        <w:tc>
          <w:tcPr>
            <w:tcW w:w="1987" w:type="dxa"/>
          </w:tcPr>
          <w:p w14:paraId="446F47F6" w14:textId="77777777" w:rsidR="00DB4DA8" w:rsidRPr="00286216" w:rsidRDefault="00DB4DA8" w:rsidP="00DB4DA8">
            <w:pPr>
              <w:pStyle w:val="StyleWisnow"/>
              <w:rPr>
                <w:color w:val="000000" w:themeColor="text1"/>
              </w:rPr>
            </w:pPr>
            <w:r w:rsidRPr="00286216">
              <w:rPr>
                <w:color w:val="000000" w:themeColor="text1"/>
              </w:rPr>
              <w:t>Враховано</w:t>
            </w:r>
          </w:p>
        </w:tc>
        <w:tc>
          <w:tcPr>
            <w:tcW w:w="4818" w:type="dxa"/>
          </w:tcPr>
          <w:p w14:paraId="7C288D98" w14:textId="77777777" w:rsidR="00DB4DA8" w:rsidRPr="00286216" w:rsidRDefault="00DB4DA8" w:rsidP="00DB4DA8">
            <w:pPr>
              <w:pStyle w:val="StyleZakonu"/>
              <w:rPr>
                <w:color w:val="000000" w:themeColor="text1"/>
              </w:rPr>
            </w:pPr>
          </w:p>
        </w:tc>
      </w:tr>
      <w:tr w:rsidR="00DB4DA8" w:rsidRPr="00286216" w14:paraId="430C68E1" w14:textId="77777777" w:rsidTr="00091AA5">
        <w:tc>
          <w:tcPr>
            <w:tcW w:w="576" w:type="dxa"/>
          </w:tcPr>
          <w:p w14:paraId="621DC904" w14:textId="77777777" w:rsidR="00DB4DA8" w:rsidRPr="00286216" w:rsidRDefault="00DB4DA8" w:rsidP="00DB4DA8">
            <w:pPr>
              <w:pStyle w:val="StyleWisnow"/>
              <w:rPr>
                <w:color w:val="000000" w:themeColor="text1"/>
              </w:rPr>
            </w:pPr>
            <w:bookmarkStart w:id="2649" w:name="n2777" w:colFirst="0" w:colLast="0"/>
            <w:bookmarkEnd w:id="2648"/>
            <w:r w:rsidRPr="00286216">
              <w:rPr>
                <w:color w:val="000000" w:themeColor="text1"/>
              </w:rPr>
              <w:t>2777.</w:t>
            </w:r>
          </w:p>
        </w:tc>
        <w:tc>
          <w:tcPr>
            <w:tcW w:w="4818" w:type="dxa"/>
          </w:tcPr>
          <w:p w14:paraId="2BB58D33" w14:textId="77777777" w:rsidR="00DB4DA8" w:rsidRPr="00286216" w:rsidRDefault="00DB4DA8" w:rsidP="00DB4DA8">
            <w:pPr>
              <w:pStyle w:val="StyleZakonu"/>
              <w:rPr>
                <w:color w:val="000000" w:themeColor="text1"/>
              </w:rPr>
            </w:pPr>
            <w:r w:rsidRPr="00286216">
              <w:rPr>
                <w:color w:val="000000" w:themeColor="text1"/>
              </w:rPr>
              <w:t>"8. У випадку, якщо за випуском облігацій призначено адміністратора за випуском облігацій, провадження у справах про банкрутство боржників, які є емітентами відповідних облігацій, а також боржників, які надають забезпечення за облігаціями (далі разом - боржник, який має зобов’язання за облігаціями), регулюється цим Законом з урахуванням особливостей, визначених Законом України "Про ринки капіталу та організовані товарні ринки".";</w:t>
            </w:r>
          </w:p>
        </w:tc>
        <w:tc>
          <w:tcPr>
            <w:tcW w:w="3686" w:type="dxa"/>
          </w:tcPr>
          <w:p w14:paraId="6EF6A2D5" w14:textId="77777777" w:rsidR="00DB4DA8" w:rsidRPr="00286216" w:rsidRDefault="00DB4DA8" w:rsidP="00DB4DA8">
            <w:pPr>
              <w:pStyle w:val="StyleProp"/>
              <w:rPr>
                <w:color w:val="000000" w:themeColor="text1"/>
                <w:szCs w:val="18"/>
              </w:rPr>
            </w:pPr>
          </w:p>
        </w:tc>
        <w:tc>
          <w:tcPr>
            <w:tcW w:w="1987" w:type="dxa"/>
          </w:tcPr>
          <w:p w14:paraId="06D1C642" w14:textId="77777777" w:rsidR="00DB4DA8" w:rsidRPr="00286216" w:rsidRDefault="00DB4DA8" w:rsidP="00DB4DA8">
            <w:pPr>
              <w:pStyle w:val="StyleWisnow"/>
              <w:rPr>
                <w:color w:val="000000" w:themeColor="text1"/>
              </w:rPr>
            </w:pPr>
          </w:p>
        </w:tc>
        <w:tc>
          <w:tcPr>
            <w:tcW w:w="4818" w:type="dxa"/>
          </w:tcPr>
          <w:p w14:paraId="38AF95A3" w14:textId="518264E3" w:rsidR="00DB4DA8" w:rsidRPr="00286216" w:rsidRDefault="00DB4DA8" w:rsidP="00DB4DA8">
            <w:pPr>
              <w:pStyle w:val="StyleZakonu"/>
              <w:rPr>
                <w:color w:val="000000" w:themeColor="text1"/>
              </w:rPr>
            </w:pPr>
            <w:r w:rsidRPr="00286216">
              <w:rPr>
                <w:color w:val="000000" w:themeColor="text1"/>
              </w:rPr>
              <w:t>У разі, якщо за випуском облігацій призначено адміністратора за випуском облігацій, провадження у справах про банкрутство боржників, які є емітентами відповідних облігацій, а також боржників, які надають забезпечення за облігаціями (далі - боржник, який має зобов’язання за облігаціями), регулюється цим Кодексом з урахуванням особливостей, встановлених Законом України "Про ринки капіталу та організовані товарні ринки";</w:t>
            </w:r>
          </w:p>
        </w:tc>
      </w:tr>
      <w:tr w:rsidR="00DB4DA8" w:rsidRPr="00286216" w14:paraId="69C92EC4" w14:textId="77777777" w:rsidTr="00091AA5">
        <w:tc>
          <w:tcPr>
            <w:tcW w:w="576" w:type="dxa"/>
          </w:tcPr>
          <w:p w14:paraId="4E205156" w14:textId="77777777" w:rsidR="00DB4DA8" w:rsidRPr="00286216" w:rsidRDefault="00DB4DA8" w:rsidP="00DB4DA8">
            <w:pPr>
              <w:pStyle w:val="StyleWisnow"/>
              <w:rPr>
                <w:color w:val="000000" w:themeColor="text1"/>
              </w:rPr>
            </w:pPr>
            <w:bookmarkStart w:id="2650" w:name="n2778" w:colFirst="0" w:colLast="0"/>
            <w:bookmarkEnd w:id="2649"/>
            <w:r w:rsidRPr="00286216">
              <w:rPr>
                <w:color w:val="000000" w:themeColor="text1"/>
              </w:rPr>
              <w:t>2778.</w:t>
            </w:r>
          </w:p>
        </w:tc>
        <w:tc>
          <w:tcPr>
            <w:tcW w:w="4818" w:type="dxa"/>
          </w:tcPr>
          <w:p w14:paraId="48DD22AA" w14:textId="77777777" w:rsidR="00DB4DA8" w:rsidRPr="00286216" w:rsidRDefault="00DB4DA8" w:rsidP="00DB4DA8">
            <w:pPr>
              <w:pStyle w:val="StyleZakonu"/>
              <w:rPr>
                <w:color w:val="000000" w:themeColor="text1"/>
              </w:rPr>
            </w:pPr>
            <w:r w:rsidRPr="00286216">
              <w:rPr>
                <w:color w:val="000000" w:themeColor="text1"/>
              </w:rPr>
              <w:t>3) доповнити статті 39 новою частиною такого змісту:</w:t>
            </w:r>
          </w:p>
        </w:tc>
        <w:tc>
          <w:tcPr>
            <w:tcW w:w="3686" w:type="dxa"/>
          </w:tcPr>
          <w:p w14:paraId="6687A61A" w14:textId="608D47EB" w:rsidR="00DB4DA8" w:rsidRPr="00286216" w:rsidRDefault="00DB4DA8" w:rsidP="00DB4DA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1261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CFC252F" w14:textId="77777777" w:rsidR="00DB4DA8" w:rsidRPr="00286216" w:rsidRDefault="00DB4DA8" w:rsidP="00DB4DA8">
            <w:pPr>
              <w:pStyle w:val="StyleProp"/>
              <w:rPr>
                <w:color w:val="000000" w:themeColor="text1"/>
                <w:szCs w:val="18"/>
              </w:rPr>
            </w:pPr>
            <w:r w:rsidRPr="00286216">
              <w:rPr>
                <w:color w:val="000000" w:themeColor="text1"/>
                <w:szCs w:val="18"/>
              </w:rPr>
              <w:t>В пункту 9 розділу 3 Законопроекту, яким вносяться зміни до Кодексу України з процедур банкрутства:</w:t>
            </w:r>
          </w:p>
          <w:p w14:paraId="702B71EF" w14:textId="77777777" w:rsidR="00DB4DA8" w:rsidRPr="00286216" w:rsidRDefault="00DB4DA8" w:rsidP="00DB4DA8">
            <w:pPr>
              <w:pStyle w:val="StyleProp"/>
              <w:rPr>
                <w:color w:val="000000" w:themeColor="text1"/>
                <w:szCs w:val="18"/>
              </w:rPr>
            </w:pPr>
            <w:r w:rsidRPr="00286216">
              <w:rPr>
                <w:color w:val="000000" w:themeColor="text1"/>
                <w:szCs w:val="18"/>
              </w:rPr>
              <w:t>в підпункті 3 слова «доповнити статті 39 новою частиною» замінити словами «доповнити частину дванадцяту статті 39 новим абзацом» та цифру «13.» виключити</w:t>
            </w:r>
          </w:p>
        </w:tc>
        <w:tc>
          <w:tcPr>
            <w:tcW w:w="1987" w:type="dxa"/>
          </w:tcPr>
          <w:p w14:paraId="4DBED363" w14:textId="77777777" w:rsidR="00DB4DA8" w:rsidRPr="00286216" w:rsidRDefault="00DB4DA8" w:rsidP="00DB4DA8">
            <w:pPr>
              <w:pStyle w:val="StyleWisnow"/>
              <w:rPr>
                <w:color w:val="000000" w:themeColor="text1"/>
              </w:rPr>
            </w:pPr>
            <w:r w:rsidRPr="00286216">
              <w:rPr>
                <w:color w:val="000000" w:themeColor="text1"/>
              </w:rPr>
              <w:t>Враховано</w:t>
            </w:r>
          </w:p>
        </w:tc>
        <w:tc>
          <w:tcPr>
            <w:tcW w:w="4818" w:type="dxa"/>
          </w:tcPr>
          <w:p w14:paraId="2CC056A8" w14:textId="7586C90F" w:rsidR="00DB4DA8" w:rsidRPr="00286216" w:rsidRDefault="00DB4DA8" w:rsidP="00DB4DA8">
            <w:pPr>
              <w:pStyle w:val="StyleZakonu"/>
              <w:rPr>
                <w:color w:val="000000" w:themeColor="text1"/>
              </w:rPr>
            </w:pPr>
            <w:r w:rsidRPr="00286216">
              <w:rPr>
                <w:color w:val="000000" w:themeColor="text1"/>
              </w:rPr>
              <w:t xml:space="preserve">3) </w:t>
            </w:r>
            <w:r w:rsidRPr="00286216">
              <w:rPr>
                <w:color w:val="000000" w:themeColor="text1"/>
                <w:szCs w:val="18"/>
              </w:rPr>
              <w:t>частину дванадцяту статті 39 доповнити абзацом другим такого змісту:</w:t>
            </w:r>
          </w:p>
        </w:tc>
      </w:tr>
      <w:tr w:rsidR="00DB4DA8" w:rsidRPr="00286216" w14:paraId="27356E50" w14:textId="77777777" w:rsidTr="00091AA5">
        <w:tc>
          <w:tcPr>
            <w:tcW w:w="576" w:type="dxa"/>
          </w:tcPr>
          <w:p w14:paraId="6613F6D5" w14:textId="77777777" w:rsidR="00DB4DA8" w:rsidRPr="00286216" w:rsidRDefault="00DB4DA8" w:rsidP="00DB4DA8">
            <w:pPr>
              <w:pStyle w:val="StyleWisnow"/>
              <w:rPr>
                <w:color w:val="000000" w:themeColor="text1"/>
              </w:rPr>
            </w:pPr>
            <w:bookmarkStart w:id="2651" w:name="n2779" w:colFirst="0" w:colLast="0"/>
            <w:bookmarkEnd w:id="2650"/>
            <w:r w:rsidRPr="00286216">
              <w:rPr>
                <w:color w:val="000000" w:themeColor="text1"/>
              </w:rPr>
              <w:t>2779.</w:t>
            </w:r>
          </w:p>
        </w:tc>
        <w:tc>
          <w:tcPr>
            <w:tcW w:w="4818" w:type="dxa"/>
          </w:tcPr>
          <w:p w14:paraId="26F13D38" w14:textId="77777777" w:rsidR="00DB4DA8" w:rsidRPr="00286216" w:rsidRDefault="00DB4DA8" w:rsidP="00DB4DA8">
            <w:pPr>
              <w:pStyle w:val="StyleZakonu"/>
              <w:rPr>
                <w:color w:val="000000" w:themeColor="text1"/>
              </w:rPr>
            </w:pPr>
            <w:r w:rsidRPr="00286216">
              <w:rPr>
                <w:color w:val="000000" w:themeColor="text1"/>
              </w:rPr>
              <w:t>"13. Копія ухвали про відкриття провадження у справі про банкрутство суб’єкта підприємницької діяльності, який є стороною договору щодо фінансових інструментів, валютних цінностей або стороною деривативних контрактів чи товарної операції, в день її постановлення надсилається особі, що провадить клірингову діяльність.";</w:t>
            </w:r>
          </w:p>
        </w:tc>
        <w:tc>
          <w:tcPr>
            <w:tcW w:w="3686" w:type="dxa"/>
          </w:tcPr>
          <w:p w14:paraId="0FC66025" w14:textId="3828BE96" w:rsidR="00DB4DA8" w:rsidRPr="00286216" w:rsidRDefault="00DB4DA8" w:rsidP="00DB4DA8">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1262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486313E7" w14:textId="77777777" w:rsidR="00DB4DA8" w:rsidRPr="00286216" w:rsidRDefault="00DB4DA8" w:rsidP="00DB4DA8">
            <w:pPr>
              <w:pStyle w:val="StyleProp"/>
              <w:spacing w:line="180" w:lineRule="exact"/>
              <w:rPr>
                <w:color w:val="000000" w:themeColor="text1"/>
              </w:rPr>
            </w:pPr>
            <w:r w:rsidRPr="00286216">
              <w:rPr>
                <w:color w:val="000000" w:themeColor="text1"/>
              </w:rPr>
              <w:t>Абзац другий підпункту 3 пункту 9 розділу 3 викласти у такій редакції:</w:t>
            </w:r>
          </w:p>
          <w:p w14:paraId="1BFF620E" w14:textId="6B7A3DC7" w:rsidR="00DB4DA8" w:rsidRPr="00286216" w:rsidRDefault="00DB4DA8" w:rsidP="00DB4DA8">
            <w:pPr>
              <w:pStyle w:val="StyleProp"/>
              <w:spacing w:line="180" w:lineRule="exact"/>
              <w:rPr>
                <w:color w:val="000000" w:themeColor="text1"/>
                <w:szCs w:val="18"/>
              </w:rPr>
            </w:pPr>
            <w:r w:rsidRPr="00286216">
              <w:rPr>
                <w:color w:val="000000" w:themeColor="text1"/>
              </w:rPr>
              <w:t xml:space="preserve">"Текст ухвали про відкриття провадження у справі про банкрутство суб’єкта підприємницької діяльності, який є стороною договору щодо фінансових інструментів, валютних цінностей або стороною деривативних контрактів чи товарної операції, в день її постановлення </w:t>
            </w:r>
            <w:r w:rsidRPr="00286216">
              <w:rPr>
                <w:color w:val="000000" w:themeColor="text1"/>
              </w:rPr>
              <w:lastRenderedPageBreak/>
              <w:t>надсилається особі, що провадить клірингову діяльність на офіційну електронну адресу таких осіб, зареєстровану в Єдиній судовій інформаційно-телекомунікаційній системі"</w:t>
            </w:r>
          </w:p>
        </w:tc>
        <w:tc>
          <w:tcPr>
            <w:tcW w:w="1987" w:type="dxa"/>
          </w:tcPr>
          <w:p w14:paraId="2F618476" w14:textId="77777777" w:rsidR="00DB4DA8" w:rsidRPr="00286216" w:rsidRDefault="00DB4DA8" w:rsidP="00DB4DA8">
            <w:pPr>
              <w:pStyle w:val="StyleWisnow"/>
              <w:rPr>
                <w:color w:val="000000" w:themeColor="text1"/>
              </w:rPr>
            </w:pPr>
            <w:r w:rsidRPr="00286216">
              <w:rPr>
                <w:color w:val="000000" w:themeColor="text1"/>
              </w:rPr>
              <w:lastRenderedPageBreak/>
              <w:t>Враховано</w:t>
            </w:r>
          </w:p>
        </w:tc>
        <w:tc>
          <w:tcPr>
            <w:tcW w:w="4818" w:type="dxa"/>
          </w:tcPr>
          <w:p w14:paraId="4B236062" w14:textId="72093A95" w:rsidR="00DB4DA8" w:rsidRPr="00286216" w:rsidRDefault="00DB4DA8" w:rsidP="00DB4DA8">
            <w:pPr>
              <w:pStyle w:val="StyleZakonu"/>
              <w:rPr>
                <w:color w:val="000000" w:themeColor="text1"/>
              </w:rPr>
            </w:pPr>
            <w:r w:rsidRPr="00286216">
              <w:rPr>
                <w:color w:val="000000" w:themeColor="text1"/>
              </w:rPr>
              <w:t xml:space="preserve">"Текст ухвали про відкриття провадження у справі про банкрутство суб’єкта підприємницької діяльності, який є стороною договору щодо фінансових інструментів, валютних цінностей або стороною деривативних контрактів чи товарної операції, у день її постановлення надсилається особі, що провадить клірингову діяльність на офіційну електронну адресу такої особи, зареєстровану в Єдиній судовій </w:t>
            </w:r>
            <w:r w:rsidRPr="00286216">
              <w:rPr>
                <w:color w:val="000000" w:themeColor="text1"/>
              </w:rPr>
              <w:lastRenderedPageBreak/>
              <w:t>інформаційно-телекомунікаційній системі";</w:t>
            </w:r>
          </w:p>
        </w:tc>
      </w:tr>
      <w:tr w:rsidR="00DB4DA8" w:rsidRPr="00286216" w14:paraId="67F65835" w14:textId="77777777" w:rsidTr="00091AA5">
        <w:tc>
          <w:tcPr>
            <w:tcW w:w="576" w:type="dxa"/>
          </w:tcPr>
          <w:p w14:paraId="47D5BD51" w14:textId="77777777" w:rsidR="00DB4DA8" w:rsidRPr="00286216" w:rsidRDefault="00DB4DA8" w:rsidP="00DB4DA8">
            <w:pPr>
              <w:pStyle w:val="StyleWisnow"/>
              <w:rPr>
                <w:color w:val="000000" w:themeColor="text1"/>
              </w:rPr>
            </w:pPr>
            <w:bookmarkStart w:id="2652" w:name="n2780" w:colFirst="0" w:colLast="0"/>
            <w:bookmarkEnd w:id="2651"/>
            <w:r w:rsidRPr="00286216">
              <w:rPr>
                <w:color w:val="000000" w:themeColor="text1"/>
              </w:rPr>
              <w:lastRenderedPageBreak/>
              <w:t>2780.</w:t>
            </w:r>
          </w:p>
        </w:tc>
        <w:tc>
          <w:tcPr>
            <w:tcW w:w="4818" w:type="dxa"/>
          </w:tcPr>
          <w:p w14:paraId="6DCCA67D" w14:textId="77777777" w:rsidR="00DB4DA8" w:rsidRPr="00286216" w:rsidRDefault="00DB4DA8" w:rsidP="00DB4DA8">
            <w:pPr>
              <w:pStyle w:val="StyleZakonu"/>
              <w:rPr>
                <w:color w:val="000000" w:themeColor="text1"/>
              </w:rPr>
            </w:pPr>
            <w:r w:rsidRPr="00286216">
              <w:rPr>
                <w:color w:val="000000" w:themeColor="text1"/>
              </w:rPr>
              <w:t>4) у частині п’ятій статті 41:</w:t>
            </w:r>
          </w:p>
        </w:tc>
        <w:tc>
          <w:tcPr>
            <w:tcW w:w="3686" w:type="dxa"/>
          </w:tcPr>
          <w:p w14:paraId="5F1BEFFC" w14:textId="77777777" w:rsidR="00DB4DA8" w:rsidRPr="00286216" w:rsidRDefault="00DB4DA8" w:rsidP="00DB4DA8">
            <w:pPr>
              <w:pStyle w:val="StyleProp"/>
              <w:rPr>
                <w:color w:val="000000" w:themeColor="text1"/>
                <w:szCs w:val="18"/>
              </w:rPr>
            </w:pPr>
          </w:p>
        </w:tc>
        <w:tc>
          <w:tcPr>
            <w:tcW w:w="1987" w:type="dxa"/>
          </w:tcPr>
          <w:p w14:paraId="4DD28A03" w14:textId="77777777" w:rsidR="00DB4DA8" w:rsidRPr="00286216" w:rsidRDefault="00DB4DA8" w:rsidP="00DB4DA8">
            <w:pPr>
              <w:pStyle w:val="StyleWisnow"/>
              <w:rPr>
                <w:color w:val="000000" w:themeColor="text1"/>
              </w:rPr>
            </w:pPr>
          </w:p>
        </w:tc>
        <w:tc>
          <w:tcPr>
            <w:tcW w:w="4818" w:type="dxa"/>
          </w:tcPr>
          <w:p w14:paraId="54D0B8B1" w14:textId="77777777" w:rsidR="00DB4DA8" w:rsidRPr="00286216" w:rsidRDefault="00DB4DA8" w:rsidP="00DB4DA8">
            <w:pPr>
              <w:pStyle w:val="StyleZakonu"/>
              <w:rPr>
                <w:color w:val="000000" w:themeColor="text1"/>
              </w:rPr>
            </w:pPr>
            <w:r w:rsidRPr="00286216">
              <w:rPr>
                <w:color w:val="000000" w:themeColor="text1"/>
              </w:rPr>
              <w:t>4) у частині п’ятій статті 41:</w:t>
            </w:r>
          </w:p>
          <w:p w14:paraId="664A38F6" w14:textId="77777777" w:rsidR="00DB4DA8" w:rsidRPr="00286216" w:rsidRDefault="00DB4DA8" w:rsidP="00DB4DA8">
            <w:pPr>
              <w:pStyle w:val="StyleZakonu"/>
              <w:rPr>
                <w:color w:val="000000" w:themeColor="text1"/>
              </w:rPr>
            </w:pPr>
            <w:r w:rsidRPr="00286216">
              <w:rPr>
                <w:color w:val="000000" w:themeColor="text1"/>
              </w:rPr>
              <w:t>а) в абзаці четвертому:</w:t>
            </w:r>
          </w:p>
          <w:p w14:paraId="21056B69" w14:textId="48782D54" w:rsidR="00DB4DA8" w:rsidRPr="00286216" w:rsidRDefault="00DB4DA8" w:rsidP="00DB4DA8">
            <w:pPr>
              <w:pStyle w:val="StyleZakonu"/>
              <w:rPr>
                <w:color w:val="000000" w:themeColor="text1"/>
              </w:rPr>
            </w:pPr>
            <w:r w:rsidRPr="00286216">
              <w:rPr>
                <w:color w:val="000000" w:themeColor="text1"/>
              </w:rPr>
              <w:t>після слів "не поширюється дія мораторію" доповнити словами та  цифрами "крім випадків, передбачених статтею 94 цього Кодексу";</w:t>
            </w:r>
          </w:p>
        </w:tc>
      </w:tr>
      <w:tr w:rsidR="00DB4DA8" w:rsidRPr="00286216" w14:paraId="0D0949D3" w14:textId="77777777" w:rsidTr="00091AA5">
        <w:tc>
          <w:tcPr>
            <w:tcW w:w="576" w:type="dxa"/>
          </w:tcPr>
          <w:p w14:paraId="70A2EAE1" w14:textId="77777777" w:rsidR="00DB4DA8" w:rsidRPr="00286216" w:rsidRDefault="00DB4DA8" w:rsidP="00DB4DA8">
            <w:pPr>
              <w:pStyle w:val="StyleWisnow"/>
              <w:rPr>
                <w:color w:val="000000" w:themeColor="text1"/>
              </w:rPr>
            </w:pPr>
            <w:bookmarkStart w:id="2653" w:name="n2781" w:colFirst="0" w:colLast="0"/>
            <w:bookmarkEnd w:id="2652"/>
            <w:r w:rsidRPr="00286216">
              <w:rPr>
                <w:color w:val="000000" w:themeColor="text1"/>
              </w:rPr>
              <w:t>2781.</w:t>
            </w:r>
          </w:p>
        </w:tc>
        <w:tc>
          <w:tcPr>
            <w:tcW w:w="4818" w:type="dxa"/>
          </w:tcPr>
          <w:p w14:paraId="35199CB8" w14:textId="77777777" w:rsidR="00DB4DA8" w:rsidRPr="00286216" w:rsidRDefault="00DB4DA8" w:rsidP="00DB4DA8">
            <w:pPr>
              <w:pStyle w:val="StyleZakonu"/>
              <w:rPr>
                <w:color w:val="000000" w:themeColor="text1"/>
              </w:rPr>
            </w:pPr>
            <w:r w:rsidRPr="00286216">
              <w:rPr>
                <w:color w:val="000000" w:themeColor="text1"/>
              </w:rPr>
              <w:t>а) доповнити частину після абзацу четвертого новим абзацом такого змісту:</w:t>
            </w:r>
          </w:p>
        </w:tc>
        <w:tc>
          <w:tcPr>
            <w:tcW w:w="3686" w:type="dxa"/>
          </w:tcPr>
          <w:p w14:paraId="329E16BC" w14:textId="77777777" w:rsidR="00DB4DA8" w:rsidRPr="00286216" w:rsidRDefault="00DB4DA8" w:rsidP="00DB4DA8">
            <w:pPr>
              <w:pStyle w:val="StyleProp"/>
              <w:rPr>
                <w:color w:val="000000" w:themeColor="text1"/>
                <w:szCs w:val="18"/>
              </w:rPr>
            </w:pPr>
          </w:p>
        </w:tc>
        <w:tc>
          <w:tcPr>
            <w:tcW w:w="1987" w:type="dxa"/>
          </w:tcPr>
          <w:p w14:paraId="75DB069B" w14:textId="77777777" w:rsidR="00DB4DA8" w:rsidRPr="00286216" w:rsidRDefault="00DB4DA8" w:rsidP="00DB4DA8">
            <w:pPr>
              <w:pStyle w:val="StyleWisnow"/>
              <w:rPr>
                <w:color w:val="000000" w:themeColor="text1"/>
              </w:rPr>
            </w:pPr>
          </w:p>
        </w:tc>
        <w:tc>
          <w:tcPr>
            <w:tcW w:w="4818" w:type="dxa"/>
          </w:tcPr>
          <w:p w14:paraId="6E99601E" w14:textId="545DF929" w:rsidR="00DB4DA8" w:rsidRPr="00286216" w:rsidRDefault="00DB4DA8" w:rsidP="00DB4DA8">
            <w:pPr>
              <w:pStyle w:val="StyleZakonu"/>
              <w:rPr>
                <w:color w:val="000000" w:themeColor="text1"/>
              </w:rPr>
            </w:pPr>
            <w:r w:rsidRPr="00286216">
              <w:rPr>
                <w:color w:val="000000" w:themeColor="text1"/>
              </w:rPr>
              <w:t>після абзацу четвертого доповнити новим абзацом такого змісту:</w:t>
            </w:r>
          </w:p>
        </w:tc>
      </w:tr>
      <w:tr w:rsidR="00DB4DA8" w:rsidRPr="00286216" w14:paraId="6CE588D3" w14:textId="77777777" w:rsidTr="00091AA5">
        <w:tc>
          <w:tcPr>
            <w:tcW w:w="576" w:type="dxa"/>
          </w:tcPr>
          <w:p w14:paraId="3861DEEC" w14:textId="77777777" w:rsidR="00DB4DA8" w:rsidRPr="00286216" w:rsidRDefault="00DB4DA8" w:rsidP="00DB4DA8">
            <w:pPr>
              <w:pStyle w:val="StyleWisnow"/>
              <w:rPr>
                <w:color w:val="000000" w:themeColor="text1"/>
              </w:rPr>
            </w:pPr>
            <w:bookmarkStart w:id="2654" w:name="n2782" w:colFirst="0" w:colLast="0"/>
            <w:bookmarkEnd w:id="2653"/>
            <w:r w:rsidRPr="00286216">
              <w:rPr>
                <w:color w:val="000000" w:themeColor="text1"/>
              </w:rPr>
              <w:t>2782.</w:t>
            </w:r>
          </w:p>
        </w:tc>
        <w:tc>
          <w:tcPr>
            <w:tcW w:w="4818" w:type="dxa"/>
          </w:tcPr>
          <w:p w14:paraId="1DB1D136" w14:textId="77777777" w:rsidR="00DB4DA8" w:rsidRPr="00286216" w:rsidRDefault="00DB4DA8" w:rsidP="00DB4DA8">
            <w:pPr>
              <w:pStyle w:val="StyleZakonu"/>
              <w:rPr>
                <w:color w:val="000000" w:themeColor="text1"/>
              </w:rPr>
            </w:pPr>
            <w:r w:rsidRPr="00286216">
              <w:rPr>
                <w:color w:val="000000" w:themeColor="text1"/>
              </w:rPr>
              <w:t>"Дія мораторію не поширюється на задоволення вимог кредиторів шляхом звернення стягнення на предмет обтяження, що забезпечує виконання зобов’язань суб’єкта підприємницької діяльності-сторони генеральної угоди відповідно до вимог статті 94 цього Кодексу.".</w:t>
            </w:r>
          </w:p>
        </w:tc>
        <w:tc>
          <w:tcPr>
            <w:tcW w:w="3686" w:type="dxa"/>
          </w:tcPr>
          <w:p w14:paraId="49B3D76A" w14:textId="77777777" w:rsidR="00DB4DA8" w:rsidRPr="00286216" w:rsidRDefault="00DB4DA8" w:rsidP="00DB4DA8">
            <w:pPr>
              <w:pStyle w:val="StyleProp"/>
              <w:rPr>
                <w:color w:val="000000" w:themeColor="text1"/>
                <w:szCs w:val="18"/>
              </w:rPr>
            </w:pPr>
          </w:p>
        </w:tc>
        <w:tc>
          <w:tcPr>
            <w:tcW w:w="1987" w:type="dxa"/>
          </w:tcPr>
          <w:p w14:paraId="135BCC56" w14:textId="77777777" w:rsidR="00DB4DA8" w:rsidRPr="00286216" w:rsidRDefault="00DB4DA8" w:rsidP="00DB4DA8">
            <w:pPr>
              <w:pStyle w:val="StyleWisnow"/>
              <w:rPr>
                <w:color w:val="000000" w:themeColor="text1"/>
              </w:rPr>
            </w:pPr>
          </w:p>
        </w:tc>
        <w:tc>
          <w:tcPr>
            <w:tcW w:w="4818" w:type="dxa"/>
          </w:tcPr>
          <w:p w14:paraId="43BAB604" w14:textId="7A293E73" w:rsidR="00DB4DA8" w:rsidRPr="00286216" w:rsidRDefault="00DB4DA8" w:rsidP="00DB4DA8">
            <w:pPr>
              <w:pStyle w:val="StyleZakonu"/>
              <w:rPr>
                <w:color w:val="000000" w:themeColor="text1"/>
              </w:rPr>
            </w:pPr>
            <w:r w:rsidRPr="00286216">
              <w:rPr>
                <w:color w:val="000000" w:themeColor="text1"/>
              </w:rPr>
              <w:t>"Дія мораторію не поширюється на задоволення вимог кредиторів шляхом звернення стягнення на предмет обтяження, що забезпечує виконання зобов’язань суб’єкта підприємницької діяльності - сторони генеральної угоди відповідно до вимог статті 94 цього Кодексу".</w:t>
            </w:r>
          </w:p>
        </w:tc>
      </w:tr>
      <w:tr w:rsidR="00DB4DA8" w:rsidRPr="00286216" w14:paraId="4A2CA6C8" w14:textId="77777777" w:rsidTr="00091AA5">
        <w:tc>
          <w:tcPr>
            <w:tcW w:w="576" w:type="dxa"/>
          </w:tcPr>
          <w:p w14:paraId="3CBEEA88" w14:textId="77777777" w:rsidR="00DB4DA8" w:rsidRPr="00286216" w:rsidRDefault="00DB4DA8" w:rsidP="00DB4DA8">
            <w:pPr>
              <w:pStyle w:val="StyleWisnow"/>
              <w:rPr>
                <w:color w:val="000000" w:themeColor="text1"/>
              </w:rPr>
            </w:pPr>
            <w:bookmarkStart w:id="2655" w:name="n2783" w:colFirst="0" w:colLast="0"/>
            <w:bookmarkEnd w:id="2654"/>
            <w:r w:rsidRPr="00286216">
              <w:rPr>
                <w:color w:val="000000" w:themeColor="text1"/>
              </w:rPr>
              <w:t>2783.</w:t>
            </w:r>
          </w:p>
        </w:tc>
        <w:tc>
          <w:tcPr>
            <w:tcW w:w="4818" w:type="dxa"/>
          </w:tcPr>
          <w:p w14:paraId="03384232" w14:textId="77777777" w:rsidR="00DB4DA8" w:rsidRPr="00286216" w:rsidRDefault="00DB4DA8" w:rsidP="00DB4DA8">
            <w:pPr>
              <w:pStyle w:val="StyleZakonu"/>
              <w:rPr>
                <w:color w:val="000000" w:themeColor="text1"/>
              </w:rPr>
            </w:pPr>
            <w:r w:rsidRPr="00286216">
              <w:rPr>
                <w:color w:val="000000" w:themeColor="text1"/>
              </w:rPr>
              <w:t>У зв’язку з цим абзаци п’ятий та шостий вважати абзацами абзацом шостим та сьомим відповідно;</w:t>
            </w:r>
          </w:p>
        </w:tc>
        <w:tc>
          <w:tcPr>
            <w:tcW w:w="3686" w:type="dxa"/>
          </w:tcPr>
          <w:p w14:paraId="20502306" w14:textId="77777777" w:rsidR="00DB4DA8" w:rsidRPr="00286216" w:rsidRDefault="00DB4DA8" w:rsidP="00DB4DA8">
            <w:pPr>
              <w:pStyle w:val="StyleProp"/>
              <w:rPr>
                <w:color w:val="000000" w:themeColor="text1"/>
                <w:szCs w:val="18"/>
              </w:rPr>
            </w:pPr>
          </w:p>
        </w:tc>
        <w:tc>
          <w:tcPr>
            <w:tcW w:w="1987" w:type="dxa"/>
          </w:tcPr>
          <w:p w14:paraId="3D5C7320" w14:textId="77777777" w:rsidR="00DB4DA8" w:rsidRPr="00286216" w:rsidRDefault="00DB4DA8" w:rsidP="00DB4DA8">
            <w:pPr>
              <w:pStyle w:val="StyleWisnow"/>
              <w:rPr>
                <w:color w:val="000000" w:themeColor="text1"/>
              </w:rPr>
            </w:pPr>
          </w:p>
        </w:tc>
        <w:tc>
          <w:tcPr>
            <w:tcW w:w="4818" w:type="dxa"/>
          </w:tcPr>
          <w:p w14:paraId="1EB96A38" w14:textId="5536B2FD" w:rsidR="00DB4DA8" w:rsidRPr="00286216" w:rsidRDefault="00DB4DA8" w:rsidP="00DB4DA8">
            <w:pPr>
              <w:pStyle w:val="StyleZakonu"/>
              <w:rPr>
                <w:color w:val="000000" w:themeColor="text1"/>
              </w:rPr>
            </w:pPr>
            <w:r w:rsidRPr="00286216">
              <w:rPr>
                <w:color w:val="000000" w:themeColor="text1"/>
              </w:rPr>
              <w:t>У зв’язку з цим абзац п’ятий вважати абзацом шостим;</w:t>
            </w:r>
          </w:p>
        </w:tc>
      </w:tr>
      <w:tr w:rsidR="00DB4DA8" w:rsidRPr="00286216" w14:paraId="1648888D" w14:textId="77777777" w:rsidTr="00091AA5">
        <w:tc>
          <w:tcPr>
            <w:tcW w:w="576" w:type="dxa"/>
          </w:tcPr>
          <w:p w14:paraId="2E072897" w14:textId="77777777" w:rsidR="00DB4DA8" w:rsidRPr="00286216" w:rsidRDefault="00DB4DA8" w:rsidP="00DB4DA8">
            <w:pPr>
              <w:pStyle w:val="StyleWisnow"/>
              <w:rPr>
                <w:color w:val="000000" w:themeColor="text1"/>
              </w:rPr>
            </w:pPr>
            <w:bookmarkStart w:id="2656" w:name="n2784" w:colFirst="0" w:colLast="0"/>
            <w:bookmarkEnd w:id="2655"/>
            <w:r w:rsidRPr="00286216">
              <w:rPr>
                <w:color w:val="000000" w:themeColor="text1"/>
              </w:rPr>
              <w:t>2784.</w:t>
            </w:r>
          </w:p>
        </w:tc>
        <w:tc>
          <w:tcPr>
            <w:tcW w:w="4818" w:type="dxa"/>
          </w:tcPr>
          <w:p w14:paraId="63ACEBD7" w14:textId="77777777" w:rsidR="00DB4DA8" w:rsidRPr="00286216" w:rsidRDefault="00DB4DA8" w:rsidP="00DB4DA8">
            <w:pPr>
              <w:pStyle w:val="StyleZakonu"/>
              <w:rPr>
                <w:color w:val="000000" w:themeColor="text1"/>
              </w:rPr>
            </w:pPr>
            <w:r w:rsidRPr="00286216">
              <w:rPr>
                <w:color w:val="000000" w:themeColor="text1"/>
              </w:rPr>
              <w:t>б) абзац четвертий після слів та знаків "не поширюється дія мораторію, " доповнити словами та знаками "крім випадків передбачених статтею 94 цього Кодексу, ";</w:t>
            </w:r>
          </w:p>
        </w:tc>
        <w:tc>
          <w:tcPr>
            <w:tcW w:w="3686" w:type="dxa"/>
          </w:tcPr>
          <w:p w14:paraId="7BE07FC7" w14:textId="77777777" w:rsidR="00DB4DA8" w:rsidRPr="00286216" w:rsidRDefault="00DB4DA8" w:rsidP="00DB4DA8">
            <w:pPr>
              <w:pStyle w:val="StyleProp"/>
              <w:rPr>
                <w:color w:val="000000" w:themeColor="text1"/>
                <w:szCs w:val="18"/>
              </w:rPr>
            </w:pPr>
          </w:p>
        </w:tc>
        <w:tc>
          <w:tcPr>
            <w:tcW w:w="1987" w:type="dxa"/>
          </w:tcPr>
          <w:p w14:paraId="6E92EBFA" w14:textId="77777777" w:rsidR="00DB4DA8" w:rsidRPr="00286216" w:rsidRDefault="00DB4DA8" w:rsidP="00DB4DA8">
            <w:pPr>
              <w:pStyle w:val="StyleWisnow"/>
              <w:rPr>
                <w:color w:val="000000" w:themeColor="text1"/>
              </w:rPr>
            </w:pPr>
          </w:p>
        </w:tc>
        <w:tc>
          <w:tcPr>
            <w:tcW w:w="4818" w:type="dxa"/>
          </w:tcPr>
          <w:p w14:paraId="1573CB3C" w14:textId="2E4DFECC" w:rsidR="00DB4DA8" w:rsidRPr="00286216" w:rsidRDefault="00DB4DA8" w:rsidP="00DB4DA8">
            <w:pPr>
              <w:pStyle w:val="StyleZakonu"/>
              <w:rPr>
                <w:color w:val="000000" w:themeColor="text1"/>
              </w:rPr>
            </w:pPr>
            <w:r w:rsidRPr="00286216">
              <w:rPr>
                <w:color w:val="000000" w:themeColor="text1"/>
              </w:rPr>
              <w:t>б) абзац шостий доповнити словами "крім випадків, передбачених статтею 94 цього Кодексу";</w:t>
            </w:r>
          </w:p>
        </w:tc>
      </w:tr>
      <w:tr w:rsidR="00DB4DA8" w:rsidRPr="00286216" w14:paraId="1D7ED9A1" w14:textId="77777777" w:rsidTr="00091AA5">
        <w:tc>
          <w:tcPr>
            <w:tcW w:w="576" w:type="dxa"/>
          </w:tcPr>
          <w:p w14:paraId="77AB5532" w14:textId="77777777" w:rsidR="00DB4DA8" w:rsidRPr="00286216" w:rsidRDefault="00DB4DA8" w:rsidP="00DB4DA8">
            <w:pPr>
              <w:pStyle w:val="StyleWisnow"/>
              <w:rPr>
                <w:color w:val="000000" w:themeColor="text1"/>
              </w:rPr>
            </w:pPr>
            <w:bookmarkStart w:id="2657" w:name="n2785" w:colFirst="0" w:colLast="0"/>
            <w:bookmarkEnd w:id="2656"/>
            <w:r w:rsidRPr="00286216">
              <w:rPr>
                <w:color w:val="000000" w:themeColor="text1"/>
              </w:rPr>
              <w:t>2785.</w:t>
            </w:r>
          </w:p>
        </w:tc>
        <w:tc>
          <w:tcPr>
            <w:tcW w:w="4818" w:type="dxa"/>
          </w:tcPr>
          <w:p w14:paraId="02F0666A" w14:textId="77777777" w:rsidR="00DB4DA8" w:rsidRPr="00286216" w:rsidRDefault="00DB4DA8" w:rsidP="00DB4DA8">
            <w:pPr>
              <w:pStyle w:val="StyleZakonu"/>
              <w:rPr>
                <w:color w:val="000000" w:themeColor="text1"/>
              </w:rPr>
            </w:pPr>
            <w:r w:rsidRPr="00286216">
              <w:rPr>
                <w:color w:val="000000" w:themeColor="text1"/>
              </w:rPr>
              <w:t>в) абзац п’ятий після слів "справа про банкрутство боржника" доповнити словами та знаками ", крім випадків передбачених статтею 94 цього Кодексу";</w:t>
            </w:r>
          </w:p>
        </w:tc>
        <w:tc>
          <w:tcPr>
            <w:tcW w:w="3686" w:type="dxa"/>
          </w:tcPr>
          <w:p w14:paraId="5B959EBD" w14:textId="77777777" w:rsidR="00DB4DA8" w:rsidRPr="00286216" w:rsidRDefault="00DB4DA8" w:rsidP="00DB4DA8">
            <w:pPr>
              <w:pStyle w:val="StyleProp"/>
              <w:rPr>
                <w:color w:val="000000" w:themeColor="text1"/>
                <w:szCs w:val="18"/>
              </w:rPr>
            </w:pPr>
          </w:p>
        </w:tc>
        <w:tc>
          <w:tcPr>
            <w:tcW w:w="1987" w:type="dxa"/>
          </w:tcPr>
          <w:p w14:paraId="15F79547" w14:textId="77777777" w:rsidR="00DB4DA8" w:rsidRPr="00286216" w:rsidRDefault="00DB4DA8" w:rsidP="00DB4DA8">
            <w:pPr>
              <w:pStyle w:val="StyleWisnow"/>
              <w:rPr>
                <w:color w:val="000000" w:themeColor="text1"/>
              </w:rPr>
            </w:pPr>
          </w:p>
        </w:tc>
        <w:tc>
          <w:tcPr>
            <w:tcW w:w="4818" w:type="dxa"/>
          </w:tcPr>
          <w:p w14:paraId="56267C64" w14:textId="3CC4CE86" w:rsidR="00DB4DA8" w:rsidRPr="00286216" w:rsidRDefault="00DB4DA8" w:rsidP="00DB4DA8">
            <w:pPr>
              <w:pStyle w:val="StyleZakonu"/>
              <w:rPr>
                <w:color w:val="000000" w:themeColor="text1"/>
              </w:rPr>
            </w:pPr>
          </w:p>
        </w:tc>
      </w:tr>
      <w:tr w:rsidR="00DB4DA8" w:rsidRPr="00286216" w14:paraId="1A165CB6" w14:textId="77777777" w:rsidTr="00091AA5">
        <w:tc>
          <w:tcPr>
            <w:tcW w:w="576" w:type="dxa"/>
          </w:tcPr>
          <w:p w14:paraId="266FAC0A" w14:textId="77777777" w:rsidR="00DB4DA8" w:rsidRPr="00286216" w:rsidRDefault="00DB4DA8" w:rsidP="00DB4DA8">
            <w:pPr>
              <w:pStyle w:val="StyleWisnow"/>
              <w:rPr>
                <w:color w:val="000000" w:themeColor="text1"/>
              </w:rPr>
            </w:pPr>
            <w:bookmarkStart w:id="2658" w:name="n2786" w:colFirst="0" w:colLast="0"/>
            <w:bookmarkEnd w:id="2657"/>
            <w:r w:rsidRPr="00286216">
              <w:rPr>
                <w:color w:val="000000" w:themeColor="text1"/>
              </w:rPr>
              <w:t>2786.</w:t>
            </w:r>
          </w:p>
        </w:tc>
        <w:tc>
          <w:tcPr>
            <w:tcW w:w="4818" w:type="dxa"/>
          </w:tcPr>
          <w:p w14:paraId="2527B81A" w14:textId="77777777" w:rsidR="00DB4DA8" w:rsidRPr="00286216" w:rsidRDefault="00DB4DA8" w:rsidP="00DB4DA8">
            <w:pPr>
              <w:pStyle w:val="StyleZakonu"/>
              <w:rPr>
                <w:color w:val="000000" w:themeColor="text1"/>
              </w:rPr>
            </w:pPr>
            <w:r w:rsidRPr="00286216">
              <w:rPr>
                <w:color w:val="000000" w:themeColor="text1"/>
              </w:rPr>
              <w:t>5) частину першу статті 45 після абзацу першого доповнити новим абзацом такого змісту:</w:t>
            </w:r>
          </w:p>
        </w:tc>
        <w:tc>
          <w:tcPr>
            <w:tcW w:w="3686" w:type="dxa"/>
          </w:tcPr>
          <w:p w14:paraId="7FCE8752" w14:textId="77777777" w:rsidR="00DB4DA8" w:rsidRPr="00286216" w:rsidRDefault="00DB4DA8" w:rsidP="00DB4DA8">
            <w:pPr>
              <w:pStyle w:val="StyleProp"/>
              <w:rPr>
                <w:color w:val="000000" w:themeColor="text1"/>
                <w:szCs w:val="18"/>
              </w:rPr>
            </w:pPr>
          </w:p>
        </w:tc>
        <w:tc>
          <w:tcPr>
            <w:tcW w:w="1987" w:type="dxa"/>
          </w:tcPr>
          <w:p w14:paraId="312A58BD" w14:textId="77777777" w:rsidR="00DB4DA8" w:rsidRPr="00286216" w:rsidRDefault="00DB4DA8" w:rsidP="00DB4DA8">
            <w:pPr>
              <w:pStyle w:val="StyleWisnow"/>
              <w:rPr>
                <w:color w:val="000000" w:themeColor="text1"/>
              </w:rPr>
            </w:pPr>
          </w:p>
        </w:tc>
        <w:tc>
          <w:tcPr>
            <w:tcW w:w="4818" w:type="dxa"/>
          </w:tcPr>
          <w:p w14:paraId="409B1F8E" w14:textId="19F13846" w:rsidR="00DB4DA8" w:rsidRPr="00286216" w:rsidRDefault="00DB4DA8" w:rsidP="00DB4DA8">
            <w:pPr>
              <w:pStyle w:val="StyleZakonu"/>
              <w:rPr>
                <w:color w:val="000000" w:themeColor="text1"/>
              </w:rPr>
            </w:pPr>
            <w:r w:rsidRPr="00286216">
              <w:rPr>
                <w:color w:val="000000" w:themeColor="text1"/>
              </w:rPr>
              <w:t>5) частину першу статті 45 після абзацу першого доповнити новим абзацом такого змісту:</w:t>
            </w:r>
          </w:p>
        </w:tc>
      </w:tr>
      <w:tr w:rsidR="00DB4DA8" w:rsidRPr="00286216" w14:paraId="6CE316FB" w14:textId="77777777" w:rsidTr="00091AA5">
        <w:tc>
          <w:tcPr>
            <w:tcW w:w="576" w:type="dxa"/>
          </w:tcPr>
          <w:p w14:paraId="66EF6897" w14:textId="77777777" w:rsidR="00DB4DA8" w:rsidRPr="00286216" w:rsidRDefault="00DB4DA8" w:rsidP="00DB4DA8">
            <w:pPr>
              <w:pStyle w:val="StyleWisnow"/>
              <w:rPr>
                <w:color w:val="000000" w:themeColor="text1"/>
              </w:rPr>
            </w:pPr>
            <w:bookmarkStart w:id="2659" w:name="n2787" w:colFirst="0" w:colLast="0"/>
            <w:bookmarkEnd w:id="2658"/>
            <w:r w:rsidRPr="00286216">
              <w:rPr>
                <w:color w:val="000000" w:themeColor="text1"/>
              </w:rPr>
              <w:t>2787.</w:t>
            </w:r>
          </w:p>
        </w:tc>
        <w:tc>
          <w:tcPr>
            <w:tcW w:w="4818" w:type="dxa"/>
          </w:tcPr>
          <w:p w14:paraId="098C44B9" w14:textId="77777777" w:rsidR="00DB4DA8" w:rsidRPr="00286216" w:rsidRDefault="00DB4DA8" w:rsidP="00DB4DA8">
            <w:pPr>
              <w:pStyle w:val="StyleZakonu"/>
              <w:rPr>
                <w:color w:val="000000" w:themeColor="text1"/>
              </w:rPr>
            </w:pPr>
            <w:r w:rsidRPr="00286216">
              <w:rPr>
                <w:color w:val="000000" w:themeColor="text1"/>
              </w:rPr>
              <w:t>"Адміністратор за випуском облігацій, який діє як конкурсний кредитор, подає заяву з вимогами до боржника з урахуванням вимог статті 93</w:t>
            </w:r>
            <w:r w:rsidRPr="00286216">
              <w:rPr>
                <w:color w:val="000000" w:themeColor="text1"/>
                <w:vertAlign w:val="superscript"/>
              </w:rPr>
              <w:t>1</w:t>
            </w:r>
            <w:r w:rsidRPr="00286216">
              <w:rPr>
                <w:color w:val="000000" w:themeColor="text1"/>
              </w:rPr>
              <w:t xml:space="preserve"> цього Кодексу.".</w:t>
            </w:r>
          </w:p>
        </w:tc>
        <w:tc>
          <w:tcPr>
            <w:tcW w:w="3686" w:type="dxa"/>
          </w:tcPr>
          <w:p w14:paraId="653514D8" w14:textId="77777777" w:rsidR="00DB4DA8" w:rsidRPr="00286216" w:rsidRDefault="00DB4DA8" w:rsidP="00DB4DA8">
            <w:pPr>
              <w:pStyle w:val="StyleProp"/>
              <w:rPr>
                <w:color w:val="000000" w:themeColor="text1"/>
                <w:szCs w:val="18"/>
              </w:rPr>
            </w:pPr>
          </w:p>
        </w:tc>
        <w:tc>
          <w:tcPr>
            <w:tcW w:w="1987" w:type="dxa"/>
          </w:tcPr>
          <w:p w14:paraId="406D7FAE" w14:textId="77777777" w:rsidR="00DB4DA8" w:rsidRPr="00286216" w:rsidRDefault="00DB4DA8" w:rsidP="00DB4DA8">
            <w:pPr>
              <w:pStyle w:val="StyleWisnow"/>
              <w:rPr>
                <w:color w:val="000000" w:themeColor="text1"/>
              </w:rPr>
            </w:pPr>
          </w:p>
        </w:tc>
        <w:tc>
          <w:tcPr>
            <w:tcW w:w="4818" w:type="dxa"/>
          </w:tcPr>
          <w:p w14:paraId="43C80E8D" w14:textId="2521E849" w:rsidR="00DB4DA8" w:rsidRPr="00286216" w:rsidRDefault="00DB4DA8" w:rsidP="00DB4DA8">
            <w:pPr>
              <w:pStyle w:val="StyleZakonu"/>
              <w:rPr>
                <w:color w:val="000000" w:themeColor="text1"/>
              </w:rPr>
            </w:pPr>
            <w:r w:rsidRPr="00286216">
              <w:rPr>
                <w:color w:val="000000" w:themeColor="text1"/>
              </w:rPr>
              <w:t>"Адміністратор за випуском облігацій, який діє як конкурсний кредитор, подає заяву з вимогами до боржника з урахуванням вимог статті 93</w:t>
            </w:r>
            <w:r w:rsidRPr="00286216">
              <w:rPr>
                <w:color w:val="000000" w:themeColor="text1"/>
                <w:vertAlign w:val="superscript"/>
              </w:rPr>
              <w:t>1</w:t>
            </w:r>
            <w:r w:rsidRPr="00286216">
              <w:rPr>
                <w:color w:val="000000" w:themeColor="text1"/>
              </w:rPr>
              <w:t xml:space="preserve"> цього Кодексу".</w:t>
            </w:r>
          </w:p>
        </w:tc>
      </w:tr>
      <w:tr w:rsidR="00DB4DA8" w:rsidRPr="00286216" w14:paraId="6B34D660" w14:textId="77777777" w:rsidTr="00091AA5">
        <w:tc>
          <w:tcPr>
            <w:tcW w:w="576" w:type="dxa"/>
          </w:tcPr>
          <w:p w14:paraId="5EF57A44" w14:textId="77777777" w:rsidR="00DB4DA8" w:rsidRPr="00286216" w:rsidRDefault="00DB4DA8" w:rsidP="00DB4DA8">
            <w:pPr>
              <w:pStyle w:val="StyleWisnow"/>
              <w:rPr>
                <w:color w:val="000000" w:themeColor="text1"/>
              </w:rPr>
            </w:pPr>
            <w:bookmarkStart w:id="2660" w:name="n2788" w:colFirst="0" w:colLast="0"/>
            <w:bookmarkEnd w:id="2659"/>
            <w:r w:rsidRPr="00286216">
              <w:rPr>
                <w:color w:val="000000" w:themeColor="text1"/>
              </w:rPr>
              <w:t>2788.</w:t>
            </w:r>
          </w:p>
        </w:tc>
        <w:tc>
          <w:tcPr>
            <w:tcW w:w="4818" w:type="dxa"/>
          </w:tcPr>
          <w:p w14:paraId="0A606FE1" w14:textId="77777777" w:rsidR="00DB4DA8" w:rsidRPr="00286216" w:rsidRDefault="00DB4DA8" w:rsidP="00DB4DA8">
            <w:pPr>
              <w:pStyle w:val="StyleZakonu"/>
              <w:rPr>
                <w:color w:val="000000" w:themeColor="text1"/>
              </w:rPr>
            </w:pPr>
            <w:r w:rsidRPr="00286216">
              <w:rPr>
                <w:color w:val="000000" w:themeColor="text1"/>
              </w:rPr>
              <w:t>У зв’язку з цим абзац другий вважати абзацом третім;</w:t>
            </w:r>
          </w:p>
        </w:tc>
        <w:tc>
          <w:tcPr>
            <w:tcW w:w="3686" w:type="dxa"/>
          </w:tcPr>
          <w:p w14:paraId="30B0B0CE" w14:textId="77777777" w:rsidR="00DB4DA8" w:rsidRPr="00286216" w:rsidRDefault="00DB4DA8" w:rsidP="00DB4DA8">
            <w:pPr>
              <w:pStyle w:val="StyleProp"/>
              <w:rPr>
                <w:color w:val="000000" w:themeColor="text1"/>
                <w:szCs w:val="18"/>
              </w:rPr>
            </w:pPr>
          </w:p>
        </w:tc>
        <w:tc>
          <w:tcPr>
            <w:tcW w:w="1987" w:type="dxa"/>
          </w:tcPr>
          <w:p w14:paraId="057B8CCE" w14:textId="77777777" w:rsidR="00DB4DA8" w:rsidRPr="00286216" w:rsidRDefault="00DB4DA8" w:rsidP="00DB4DA8">
            <w:pPr>
              <w:pStyle w:val="StyleWisnow"/>
              <w:rPr>
                <w:color w:val="000000" w:themeColor="text1"/>
              </w:rPr>
            </w:pPr>
          </w:p>
        </w:tc>
        <w:tc>
          <w:tcPr>
            <w:tcW w:w="4818" w:type="dxa"/>
          </w:tcPr>
          <w:p w14:paraId="6FD576A0" w14:textId="3F3B2C48" w:rsidR="00DB4DA8" w:rsidRPr="00286216" w:rsidRDefault="00DB4DA8" w:rsidP="00DB4DA8">
            <w:pPr>
              <w:pStyle w:val="StyleZakonu"/>
              <w:rPr>
                <w:color w:val="000000" w:themeColor="text1"/>
              </w:rPr>
            </w:pPr>
            <w:r w:rsidRPr="00286216">
              <w:rPr>
                <w:color w:val="000000" w:themeColor="text1"/>
              </w:rPr>
              <w:t>У зв’язку з цим абзац другий вважати абзацом третім;</w:t>
            </w:r>
          </w:p>
        </w:tc>
      </w:tr>
      <w:tr w:rsidR="00DB4DA8" w:rsidRPr="00286216" w14:paraId="364FFEB6" w14:textId="77777777" w:rsidTr="00091AA5">
        <w:tc>
          <w:tcPr>
            <w:tcW w:w="576" w:type="dxa"/>
          </w:tcPr>
          <w:p w14:paraId="6511239F" w14:textId="77777777" w:rsidR="00DB4DA8" w:rsidRPr="00286216" w:rsidRDefault="00DB4DA8" w:rsidP="00DB4DA8">
            <w:pPr>
              <w:pStyle w:val="StyleWisnow"/>
              <w:rPr>
                <w:color w:val="000000" w:themeColor="text1"/>
              </w:rPr>
            </w:pPr>
            <w:bookmarkStart w:id="2661" w:name="n2789" w:colFirst="0" w:colLast="0"/>
            <w:bookmarkEnd w:id="2660"/>
            <w:r w:rsidRPr="00286216">
              <w:rPr>
                <w:color w:val="000000" w:themeColor="text1"/>
              </w:rPr>
              <w:t>2789.</w:t>
            </w:r>
          </w:p>
        </w:tc>
        <w:tc>
          <w:tcPr>
            <w:tcW w:w="4818" w:type="dxa"/>
          </w:tcPr>
          <w:p w14:paraId="5D90899D" w14:textId="77777777" w:rsidR="00DB4DA8" w:rsidRPr="00286216" w:rsidRDefault="00DB4DA8" w:rsidP="00DB4DA8">
            <w:pPr>
              <w:pStyle w:val="StyleZakonu"/>
              <w:rPr>
                <w:color w:val="000000" w:themeColor="text1"/>
              </w:rPr>
            </w:pPr>
            <w:r w:rsidRPr="00286216">
              <w:rPr>
                <w:color w:val="000000" w:themeColor="text1"/>
              </w:rPr>
              <w:t>6) абзац перший частини дев’ятої статті 50 після слів "є заходами плану санації" доповнити словами "та правочинів, передбачених статтею 10 Закону України "Про ринки капіталу та організовані товарні ринки"";</w:t>
            </w:r>
          </w:p>
        </w:tc>
        <w:tc>
          <w:tcPr>
            <w:tcW w:w="3686" w:type="dxa"/>
          </w:tcPr>
          <w:p w14:paraId="0CFC39BC" w14:textId="77777777" w:rsidR="00DB4DA8" w:rsidRPr="00286216" w:rsidRDefault="00DB4DA8" w:rsidP="00DB4DA8">
            <w:pPr>
              <w:pStyle w:val="StyleProp"/>
              <w:rPr>
                <w:color w:val="000000" w:themeColor="text1"/>
                <w:szCs w:val="18"/>
              </w:rPr>
            </w:pPr>
          </w:p>
        </w:tc>
        <w:tc>
          <w:tcPr>
            <w:tcW w:w="1987" w:type="dxa"/>
          </w:tcPr>
          <w:p w14:paraId="433F91C7" w14:textId="77777777" w:rsidR="00DB4DA8" w:rsidRPr="00286216" w:rsidRDefault="00DB4DA8" w:rsidP="00DB4DA8">
            <w:pPr>
              <w:pStyle w:val="StyleWisnow"/>
              <w:rPr>
                <w:color w:val="000000" w:themeColor="text1"/>
              </w:rPr>
            </w:pPr>
          </w:p>
        </w:tc>
        <w:tc>
          <w:tcPr>
            <w:tcW w:w="4818" w:type="dxa"/>
          </w:tcPr>
          <w:p w14:paraId="78C846C5" w14:textId="1B4389F6" w:rsidR="00DB4DA8" w:rsidRPr="00286216" w:rsidRDefault="00DB4DA8" w:rsidP="00DB4DA8">
            <w:pPr>
              <w:pStyle w:val="StyleZakonu"/>
              <w:rPr>
                <w:color w:val="000000" w:themeColor="text1"/>
              </w:rPr>
            </w:pPr>
            <w:r w:rsidRPr="00286216">
              <w:rPr>
                <w:color w:val="000000" w:themeColor="text1"/>
              </w:rPr>
              <w:t>6) абзац перший частини дев’ятої статті 50 після слів "є заходами плану санації" доповнити словами "та правочинів, передбачених статтею 37 Закону України "Про ринки капіталу та організовані товарні ринки";</w:t>
            </w:r>
          </w:p>
        </w:tc>
      </w:tr>
      <w:tr w:rsidR="00DB4DA8" w:rsidRPr="00286216" w14:paraId="0B46BFF2" w14:textId="77777777" w:rsidTr="00091AA5">
        <w:tc>
          <w:tcPr>
            <w:tcW w:w="576" w:type="dxa"/>
          </w:tcPr>
          <w:p w14:paraId="35EB4B6F" w14:textId="77777777" w:rsidR="00DB4DA8" w:rsidRPr="00286216" w:rsidRDefault="00DB4DA8" w:rsidP="00DB4DA8">
            <w:pPr>
              <w:pStyle w:val="StyleWisnow"/>
              <w:rPr>
                <w:color w:val="000000" w:themeColor="text1"/>
              </w:rPr>
            </w:pPr>
            <w:bookmarkStart w:id="2662" w:name="n2790" w:colFirst="0" w:colLast="0"/>
            <w:bookmarkEnd w:id="2661"/>
            <w:r w:rsidRPr="00286216">
              <w:rPr>
                <w:color w:val="000000" w:themeColor="text1"/>
              </w:rPr>
              <w:t>2790.</w:t>
            </w:r>
          </w:p>
        </w:tc>
        <w:tc>
          <w:tcPr>
            <w:tcW w:w="4818" w:type="dxa"/>
          </w:tcPr>
          <w:p w14:paraId="1EB9A776" w14:textId="77777777" w:rsidR="00DB4DA8" w:rsidRPr="00286216" w:rsidRDefault="00DB4DA8" w:rsidP="00DB4DA8">
            <w:pPr>
              <w:pStyle w:val="StyleZakonu"/>
              <w:rPr>
                <w:color w:val="000000" w:themeColor="text1"/>
              </w:rPr>
            </w:pPr>
            <w:r w:rsidRPr="00286216">
              <w:rPr>
                <w:color w:val="000000" w:themeColor="text1"/>
              </w:rPr>
              <w:t>7) у частині шостій статті 62:</w:t>
            </w:r>
          </w:p>
        </w:tc>
        <w:tc>
          <w:tcPr>
            <w:tcW w:w="3686" w:type="dxa"/>
          </w:tcPr>
          <w:p w14:paraId="535A0DF1" w14:textId="77777777" w:rsidR="00DB4DA8" w:rsidRPr="00286216" w:rsidRDefault="00DB4DA8" w:rsidP="00DB4DA8">
            <w:pPr>
              <w:pStyle w:val="StyleProp"/>
              <w:rPr>
                <w:color w:val="000000" w:themeColor="text1"/>
                <w:szCs w:val="18"/>
              </w:rPr>
            </w:pPr>
          </w:p>
        </w:tc>
        <w:tc>
          <w:tcPr>
            <w:tcW w:w="1987" w:type="dxa"/>
          </w:tcPr>
          <w:p w14:paraId="40D5B99B" w14:textId="77777777" w:rsidR="00DB4DA8" w:rsidRPr="00286216" w:rsidRDefault="00DB4DA8" w:rsidP="00DB4DA8">
            <w:pPr>
              <w:pStyle w:val="StyleWisnow"/>
              <w:rPr>
                <w:color w:val="000000" w:themeColor="text1"/>
              </w:rPr>
            </w:pPr>
          </w:p>
        </w:tc>
        <w:tc>
          <w:tcPr>
            <w:tcW w:w="4818" w:type="dxa"/>
          </w:tcPr>
          <w:p w14:paraId="623E4E17" w14:textId="554C5386" w:rsidR="00DB4DA8" w:rsidRPr="00286216" w:rsidRDefault="00DB4DA8" w:rsidP="00DB4DA8">
            <w:pPr>
              <w:pStyle w:val="StyleZakonu"/>
              <w:rPr>
                <w:color w:val="000000" w:themeColor="text1"/>
              </w:rPr>
            </w:pPr>
            <w:r w:rsidRPr="00286216">
              <w:rPr>
                <w:color w:val="000000" w:themeColor="text1"/>
              </w:rPr>
              <w:t>7) у частині шостій статті 62:</w:t>
            </w:r>
          </w:p>
        </w:tc>
      </w:tr>
      <w:tr w:rsidR="00DB4DA8" w:rsidRPr="00286216" w14:paraId="24A97C73" w14:textId="77777777" w:rsidTr="00091AA5">
        <w:tc>
          <w:tcPr>
            <w:tcW w:w="576" w:type="dxa"/>
          </w:tcPr>
          <w:p w14:paraId="343E567F" w14:textId="77777777" w:rsidR="00DB4DA8" w:rsidRPr="00286216" w:rsidRDefault="00DB4DA8" w:rsidP="00DB4DA8">
            <w:pPr>
              <w:pStyle w:val="StyleWisnow"/>
              <w:rPr>
                <w:color w:val="000000" w:themeColor="text1"/>
              </w:rPr>
            </w:pPr>
            <w:bookmarkStart w:id="2663" w:name="n2791" w:colFirst="0" w:colLast="0"/>
            <w:bookmarkEnd w:id="2662"/>
            <w:r w:rsidRPr="00286216">
              <w:rPr>
                <w:color w:val="000000" w:themeColor="text1"/>
              </w:rPr>
              <w:t>2791.</w:t>
            </w:r>
          </w:p>
        </w:tc>
        <w:tc>
          <w:tcPr>
            <w:tcW w:w="4818" w:type="dxa"/>
          </w:tcPr>
          <w:p w14:paraId="568906B9" w14:textId="77777777" w:rsidR="00DB4DA8" w:rsidRPr="00286216" w:rsidRDefault="00DB4DA8" w:rsidP="00DB4DA8">
            <w:pPr>
              <w:pStyle w:val="StyleZakonu"/>
              <w:rPr>
                <w:color w:val="000000" w:themeColor="text1"/>
              </w:rPr>
            </w:pPr>
            <w:r w:rsidRPr="00286216">
              <w:rPr>
                <w:color w:val="000000" w:themeColor="text1"/>
              </w:rPr>
              <w:t xml:space="preserve">а) в абзаці першому слова "управителя іпотечним покриттям" замінити словами "адміністратора за випуском облігацій", слово "законом" замінити </w:t>
            </w:r>
            <w:r w:rsidRPr="00286216">
              <w:rPr>
                <w:color w:val="000000" w:themeColor="text1"/>
              </w:rPr>
              <w:lastRenderedPageBreak/>
              <w:t>словами "Законом України "Про іпотечні облігації"";</w:t>
            </w:r>
          </w:p>
        </w:tc>
        <w:tc>
          <w:tcPr>
            <w:tcW w:w="3686" w:type="dxa"/>
          </w:tcPr>
          <w:p w14:paraId="61D3D713" w14:textId="77777777" w:rsidR="00DB4DA8" w:rsidRPr="00286216" w:rsidRDefault="00DB4DA8" w:rsidP="00DB4DA8">
            <w:pPr>
              <w:pStyle w:val="StyleProp"/>
              <w:rPr>
                <w:color w:val="000000" w:themeColor="text1"/>
                <w:szCs w:val="18"/>
              </w:rPr>
            </w:pPr>
          </w:p>
        </w:tc>
        <w:tc>
          <w:tcPr>
            <w:tcW w:w="1987" w:type="dxa"/>
          </w:tcPr>
          <w:p w14:paraId="16EED503" w14:textId="77777777" w:rsidR="00DB4DA8" w:rsidRPr="00286216" w:rsidRDefault="00DB4DA8" w:rsidP="00DB4DA8">
            <w:pPr>
              <w:pStyle w:val="StyleWisnow"/>
              <w:rPr>
                <w:color w:val="000000" w:themeColor="text1"/>
              </w:rPr>
            </w:pPr>
          </w:p>
        </w:tc>
        <w:tc>
          <w:tcPr>
            <w:tcW w:w="4818" w:type="dxa"/>
          </w:tcPr>
          <w:p w14:paraId="636E9726" w14:textId="1ADB6741" w:rsidR="00DB4DA8" w:rsidRPr="00286216" w:rsidRDefault="00DB4DA8" w:rsidP="00DB4DA8">
            <w:pPr>
              <w:pStyle w:val="StyleZakonu"/>
              <w:rPr>
                <w:color w:val="000000" w:themeColor="text1"/>
              </w:rPr>
            </w:pPr>
            <w:r w:rsidRPr="00286216">
              <w:rPr>
                <w:color w:val="000000" w:themeColor="text1"/>
              </w:rPr>
              <w:t xml:space="preserve">а) у першому реченні слова "управителя іпотечним покриттям" замінити словами "адміністратора за випуском облігацій"; у другому реченні слово </w:t>
            </w:r>
            <w:r w:rsidRPr="00286216">
              <w:rPr>
                <w:color w:val="000000" w:themeColor="text1"/>
              </w:rPr>
              <w:lastRenderedPageBreak/>
              <w:t>"законом" замінити словами "Законом України "Про іпотечні облігації";</w:t>
            </w:r>
          </w:p>
        </w:tc>
      </w:tr>
      <w:tr w:rsidR="00DB4DA8" w:rsidRPr="00286216" w14:paraId="1C194B0D" w14:textId="77777777" w:rsidTr="00091AA5">
        <w:tc>
          <w:tcPr>
            <w:tcW w:w="576" w:type="dxa"/>
          </w:tcPr>
          <w:p w14:paraId="151813FB" w14:textId="77777777" w:rsidR="00DB4DA8" w:rsidRPr="00286216" w:rsidRDefault="00DB4DA8" w:rsidP="00DB4DA8">
            <w:pPr>
              <w:pStyle w:val="StyleWisnow"/>
              <w:rPr>
                <w:color w:val="000000" w:themeColor="text1"/>
              </w:rPr>
            </w:pPr>
            <w:bookmarkStart w:id="2664" w:name="n2792" w:colFirst="0" w:colLast="0"/>
            <w:bookmarkEnd w:id="2663"/>
            <w:r w:rsidRPr="00286216">
              <w:rPr>
                <w:color w:val="000000" w:themeColor="text1"/>
              </w:rPr>
              <w:lastRenderedPageBreak/>
              <w:t>2792.</w:t>
            </w:r>
          </w:p>
        </w:tc>
        <w:tc>
          <w:tcPr>
            <w:tcW w:w="4818" w:type="dxa"/>
          </w:tcPr>
          <w:p w14:paraId="57C3539B" w14:textId="77777777" w:rsidR="00DB4DA8" w:rsidRPr="00286216" w:rsidRDefault="00DB4DA8" w:rsidP="00DB4DA8">
            <w:pPr>
              <w:pStyle w:val="StyleZakonu"/>
              <w:rPr>
                <w:color w:val="000000" w:themeColor="text1"/>
              </w:rPr>
            </w:pPr>
            <w:r w:rsidRPr="00286216">
              <w:rPr>
                <w:color w:val="000000" w:themeColor="text1"/>
              </w:rPr>
              <w:t>б) доповнити частину новим абзацом такого змісту:</w:t>
            </w:r>
          </w:p>
        </w:tc>
        <w:tc>
          <w:tcPr>
            <w:tcW w:w="3686" w:type="dxa"/>
          </w:tcPr>
          <w:p w14:paraId="7B6B4FD3" w14:textId="77777777" w:rsidR="00DB4DA8" w:rsidRPr="00286216" w:rsidRDefault="00DB4DA8" w:rsidP="00DB4DA8">
            <w:pPr>
              <w:pStyle w:val="StyleProp"/>
              <w:rPr>
                <w:color w:val="000000" w:themeColor="text1"/>
                <w:szCs w:val="18"/>
              </w:rPr>
            </w:pPr>
          </w:p>
        </w:tc>
        <w:tc>
          <w:tcPr>
            <w:tcW w:w="1987" w:type="dxa"/>
          </w:tcPr>
          <w:p w14:paraId="5EE24EC8" w14:textId="77777777" w:rsidR="00DB4DA8" w:rsidRPr="00286216" w:rsidRDefault="00DB4DA8" w:rsidP="00DB4DA8">
            <w:pPr>
              <w:pStyle w:val="StyleWisnow"/>
              <w:rPr>
                <w:color w:val="000000" w:themeColor="text1"/>
              </w:rPr>
            </w:pPr>
          </w:p>
        </w:tc>
        <w:tc>
          <w:tcPr>
            <w:tcW w:w="4818" w:type="dxa"/>
          </w:tcPr>
          <w:p w14:paraId="2AF535AF" w14:textId="34D2C76C" w:rsidR="00DB4DA8" w:rsidRPr="00286216" w:rsidRDefault="00DB4DA8" w:rsidP="00DB4DA8">
            <w:pPr>
              <w:pStyle w:val="StyleZakonu"/>
              <w:rPr>
                <w:color w:val="000000" w:themeColor="text1"/>
              </w:rPr>
            </w:pPr>
            <w:r w:rsidRPr="00286216">
              <w:rPr>
                <w:color w:val="000000" w:themeColor="text1"/>
              </w:rPr>
              <w:t>б) доповнити  абзацом другим такого змісту:</w:t>
            </w:r>
          </w:p>
        </w:tc>
      </w:tr>
      <w:tr w:rsidR="00DB4DA8" w:rsidRPr="00286216" w14:paraId="38D2934A" w14:textId="77777777" w:rsidTr="00091AA5">
        <w:tc>
          <w:tcPr>
            <w:tcW w:w="576" w:type="dxa"/>
          </w:tcPr>
          <w:p w14:paraId="1160E859" w14:textId="77777777" w:rsidR="00DB4DA8" w:rsidRPr="00286216" w:rsidRDefault="00DB4DA8" w:rsidP="00DB4DA8">
            <w:pPr>
              <w:pStyle w:val="StyleWisnow"/>
              <w:rPr>
                <w:color w:val="000000" w:themeColor="text1"/>
              </w:rPr>
            </w:pPr>
            <w:bookmarkStart w:id="2665" w:name="n2793" w:colFirst="0" w:colLast="0"/>
            <w:bookmarkEnd w:id="2664"/>
            <w:r w:rsidRPr="00286216">
              <w:rPr>
                <w:color w:val="000000" w:themeColor="text1"/>
              </w:rPr>
              <w:t>2793.</w:t>
            </w:r>
          </w:p>
        </w:tc>
        <w:tc>
          <w:tcPr>
            <w:tcW w:w="4818" w:type="dxa"/>
          </w:tcPr>
          <w:p w14:paraId="4DBE61C4" w14:textId="77777777" w:rsidR="00DB4DA8" w:rsidRPr="00286216" w:rsidRDefault="00DB4DA8" w:rsidP="00DB4DA8">
            <w:pPr>
              <w:pStyle w:val="StyleZakonu"/>
              <w:rPr>
                <w:color w:val="000000" w:themeColor="text1"/>
              </w:rPr>
            </w:pPr>
            <w:r w:rsidRPr="00286216">
              <w:rPr>
                <w:color w:val="000000" w:themeColor="text1"/>
              </w:rPr>
              <w:t>"Активи адміністратора за випуском облігацій, отримані ним від емітента відповідних облігацій, осіб, які надають забезпечення за ними, у процесі стягнення заборгованості за такими облігаціями або в процедурі банкрутства або ліквідації таких осіб для подальшої передачі власникам облігацій в якості погашення та виплати доходів за ними, не включаються до ліквідаційної маси такого адміністратора за випуском облігацій. Відчуження цих активів здійснюється відповідно до Закону України "Про ринки капіталу та організовані товарні ринки".";</w:t>
            </w:r>
          </w:p>
        </w:tc>
        <w:tc>
          <w:tcPr>
            <w:tcW w:w="3686" w:type="dxa"/>
          </w:tcPr>
          <w:p w14:paraId="1BB98854" w14:textId="77777777" w:rsidR="00DB4DA8" w:rsidRPr="00286216" w:rsidRDefault="00DB4DA8" w:rsidP="00DB4DA8">
            <w:pPr>
              <w:pStyle w:val="StyleProp"/>
              <w:rPr>
                <w:color w:val="000000" w:themeColor="text1"/>
                <w:szCs w:val="18"/>
              </w:rPr>
            </w:pPr>
          </w:p>
        </w:tc>
        <w:tc>
          <w:tcPr>
            <w:tcW w:w="1987" w:type="dxa"/>
          </w:tcPr>
          <w:p w14:paraId="37AFB61D" w14:textId="77777777" w:rsidR="00DB4DA8" w:rsidRPr="00286216" w:rsidRDefault="00DB4DA8" w:rsidP="00DB4DA8">
            <w:pPr>
              <w:pStyle w:val="StyleWisnow"/>
              <w:rPr>
                <w:color w:val="000000" w:themeColor="text1"/>
              </w:rPr>
            </w:pPr>
          </w:p>
        </w:tc>
        <w:tc>
          <w:tcPr>
            <w:tcW w:w="4818" w:type="dxa"/>
          </w:tcPr>
          <w:p w14:paraId="6AEA47D4" w14:textId="4F16DFB8" w:rsidR="00DB4DA8" w:rsidRPr="00286216" w:rsidRDefault="00DB4DA8" w:rsidP="00DB4DA8">
            <w:pPr>
              <w:pStyle w:val="StyleZakonu"/>
              <w:rPr>
                <w:color w:val="000000" w:themeColor="text1"/>
              </w:rPr>
            </w:pPr>
            <w:r w:rsidRPr="00286216">
              <w:rPr>
                <w:color w:val="000000" w:themeColor="text1"/>
              </w:rPr>
              <w:t>"Активи адміністратора за випуском облігацій, отримані ним від емітента відповідних облігацій, осіб, які надають забезпечення за ними, у процесі стягнення заборгованості за такими облігаціями або в процедурі банкрутства, або ліквідації таких осіб для подальшої передачі власникам облігацій в якості погашення та виплати доходів за ними, не включаються до ліквідаційної маси такого адміністратора за випуском облігацій. Відчуження цих активів здійснюється відповідно до Закону України "Про ринки капіталу та організовані товарні ринки";</w:t>
            </w:r>
          </w:p>
        </w:tc>
      </w:tr>
      <w:tr w:rsidR="00DB4DA8" w:rsidRPr="00286216" w14:paraId="79138D30" w14:textId="77777777" w:rsidTr="00091AA5">
        <w:tc>
          <w:tcPr>
            <w:tcW w:w="576" w:type="dxa"/>
          </w:tcPr>
          <w:p w14:paraId="016960B8" w14:textId="77777777" w:rsidR="00DB4DA8" w:rsidRPr="00286216" w:rsidRDefault="00DB4DA8" w:rsidP="00DB4DA8">
            <w:pPr>
              <w:pStyle w:val="StyleWisnow"/>
              <w:rPr>
                <w:color w:val="000000" w:themeColor="text1"/>
              </w:rPr>
            </w:pPr>
            <w:bookmarkStart w:id="2666" w:name="n2794" w:colFirst="0" w:colLast="0"/>
            <w:bookmarkEnd w:id="2665"/>
            <w:r w:rsidRPr="00286216">
              <w:rPr>
                <w:color w:val="000000" w:themeColor="text1"/>
              </w:rPr>
              <w:t>2794.</w:t>
            </w:r>
          </w:p>
        </w:tc>
        <w:tc>
          <w:tcPr>
            <w:tcW w:w="4818" w:type="dxa"/>
          </w:tcPr>
          <w:p w14:paraId="42B0165C" w14:textId="77777777" w:rsidR="00DB4DA8" w:rsidRPr="00286216" w:rsidRDefault="00DB4DA8" w:rsidP="00DB4DA8">
            <w:pPr>
              <w:pStyle w:val="StyleZakonu"/>
              <w:rPr>
                <w:color w:val="000000" w:themeColor="text1"/>
              </w:rPr>
            </w:pPr>
            <w:r w:rsidRPr="00286216">
              <w:rPr>
                <w:color w:val="000000" w:themeColor="text1"/>
              </w:rPr>
              <w:t>8) частину другу статті 63 викласти в такій редакції:</w:t>
            </w:r>
          </w:p>
        </w:tc>
        <w:tc>
          <w:tcPr>
            <w:tcW w:w="3686" w:type="dxa"/>
          </w:tcPr>
          <w:p w14:paraId="7856A501" w14:textId="77777777" w:rsidR="00DB4DA8" w:rsidRPr="00286216" w:rsidRDefault="00DB4DA8" w:rsidP="00DB4DA8">
            <w:pPr>
              <w:pStyle w:val="StyleProp"/>
              <w:rPr>
                <w:color w:val="000000" w:themeColor="text1"/>
              </w:rPr>
            </w:pPr>
          </w:p>
        </w:tc>
        <w:tc>
          <w:tcPr>
            <w:tcW w:w="1987" w:type="dxa"/>
          </w:tcPr>
          <w:p w14:paraId="2F051E03" w14:textId="77777777" w:rsidR="00DB4DA8" w:rsidRPr="00286216" w:rsidRDefault="00DB4DA8" w:rsidP="00DB4DA8">
            <w:pPr>
              <w:pStyle w:val="StyleWisnow"/>
              <w:rPr>
                <w:color w:val="000000" w:themeColor="text1"/>
              </w:rPr>
            </w:pPr>
          </w:p>
        </w:tc>
        <w:tc>
          <w:tcPr>
            <w:tcW w:w="4818" w:type="dxa"/>
          </w:tcPr>
          <w:p w14:paraId="725D1C4C" w14:textId="545CAAEB" w:rsidR="00DB4DA8" w:rsidRPr="00286216" w:rsidRDefault="00DB4DA8" w:rsidP="00DB4DA8">
            <w:pPr>
              <w:pStyle w:val="StyleZakonu"/>
              <w:rPr>
                <w:color w:val="000000" w:themeColor="text1"/>
              </w:rPr>
            </w:pPr>
            <w:r w:rsidRPr="00286216">
              <w:rPr>
                <w:color w:val="000000" w:themeColor="text1"/>
              </w:rPr>
              <w:t>8) частину другу статті 63 викласти в такій редакції:</w:t>
            </w:r>
          </w:p>
        </w:tc>
      </w:tr>
      <w:tr w:rsidR="00DB4DA8" w:rsidRPr="00286216" w14:paraId="32C74E60" w14:textId="77777777" w:rsidTr="00091AA5">
        <w:tc>
          <w:tcPr>
            <w:tcW w:w="576" w:type="dxa"/>
          </w:tcPr>
          <w:p w14:paraId="7E1C54C2" w14:textId="77777777" w:rsidR="00DB4DA8" w:rsidRPr="00286216" w:rsidRDefault="00DB4DA8" w:rsidP="00DB4DA8">
            <w:pPr>
              <w:pStyle w:val="StyleWisnow"/>
              <w:rPr>
                <w:color w:val="000000" w:themeColor="text1"/>
              </w:rPr>
            </w:pPr>
            <w:bookmarkStart w:id="2667" w:name="n2795" w:colFirst="0" w:colLast="0"/>
            <w:bookmarkEnd w:id="2666"/>
            <w:r w:rsidRPr="00286216">
              <w:rPr>
                <w:color w:val="000000" w:themeColor="text1"/>
              </w:rPr>
              <w:t>2795.</w:t>
            </w:r>
          </w:p>
        </w:tc>
        <w:tc>
          <w:tcPr>
            <w:tcW w:w="4818" w:type="dxa"/>
          </w:tcPr>
          <w:p w14:paraId="1FEC8D17" w14:textId="77777777" w:rsidR="00DB4DA8" w:rsidRPr="00286216" w:rsidRDefault="00DB4DA8" w:rsidP="00DB4DA8">
            <w:pPr>
              <w:pStyle w:val="StyleZakonu"/>
              <w:rPr>
                <w:color w:val="000000" w:themeColor="text1"/>
              </w:rPr>
            </w:pPr>
            <w:r w:rsidRPr="00286216">
              <w:rPr>
                <w:color w:val="000000" w:themeColor="text1"/>
              </w:rPr>
              <w:t>"2. Ліквідатор здійснює продаж фінансових інструментів в порядку, визначеному законодавством України, згідно з договором, укладеним між ліквідатором і інвестиційною фірмою.";</w:t>
            </w:r>
          </w:p>
        </w:tc>
        <w:tc>
          <w:tcPr>
            <w:tcW w:w="3686" w:type="dxa"/>
          </w:tcPr>
          <w:p w14:paraId="50ED7383" w14:textId="21123E6D" w:rsidR="00DB4DA8" w:rsidRPr="00286216" w:rsidRDefault="00DB4DA8" w:rsidP="00DB4DA8">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1263</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Н.д.Козак Т.Р. (Реєстр.картка №359)</w:t>
            </w:r>
          </w:p>
          <w:p w14:paraId="40753F5B" w14:textId="19648104" w:rsidR="00DB4DA8" w:rsidRPr="00286216" w:rsidRDefault="00DB4DA8" w:rsidP="00DB4DA8">
            <w:pPr>
              <w:pStyle w:val="StyleProp"/>
              <w:rPr>
                <w:color w:val="000000" w:themeColor="text1"/>
              </w:rPr>
            </w:pPr>
            <w:r w:rsidRPr="00286216">
              <w:rPr>
                <w:color w:val="000000" w:themeColor="text1"/>
              </w:rPr>
              <w:t>В Кодексі України з процедур банкрутства частину другу статті 63 викласти у редакції:</w:t>
            </w:r>
          </w:p>
          <w:p w14:paraId="6D0C6CEF" w14:textId="77777777" w:rsidR="00DB4DA8" w:rsidRPr="00286216" w:rsidRDefault="00DB4DA8" w:rsidP="00DB4DA8">
            <w:pPr>
              <w:pStyle w:val="StyleProp"/>
              <w:rPr>
                <w:color w:val="000000" w:themeColor="text1"/>
              </w:rPr>
            </w:pPr>
            <w:r w:rsidRPr="00286216">
              <w:rPr>
                <w:color w:val="000000" w:themeColor="text1"/>
              </w:rPr>
              <w:t>«2. Ліквідатор здійснює продаж фінансових інструментів в порядку, визначеному законодавством України, згідно з договором, укладеним між ліквідатором і професійним учасником ринку капіталу (інвестиційною фірмою чи андерайтером).»;</w:t>
            </w:r>
          </w:p>
        </w:tc>
        <w:tc>
          <w:tcPr>
            <w:tcW w:w="1987" w:type="dxa"/>
          </w:tcPr>
          <w:p w14:paraId="10BBF5BA" w14:textId="77777777" w:rsidR="00DB4DA8" w:rsidRPr="00286216" w:rsidRDefault="00DB4DA8" w:rsidP="00DB4DA8">
            <w:pPr>
              <w:pStyle w:val="StyleWisnow"/>
              <w:rPr>
                <w:color w:val="000000" w:themeColor="text1"/>
              </w:rPr>
            </w:pPr>
            <w:r w:rsidRPr="00286216">
              <w:rPr>
                <w:color w:val="000000" w:themeColor="text1"/>
              </w:rPr>
              <w:t>Відхилено</w:t>
            </w:r>
          </w:p>
        </w:tc>
        <w:tc>
          <w:tcPr>
            <w:tcW w:w="4818" w:type="dxa"/>
          </w:tcPr>
          <w:p w14:paraId="15CE9F70" w14:textId="1D4B6E26" w:rsidR="00DB4DA8" w:rsidRPr="00286216" w:rsidRDefault="00DB4DA8" w:rsidP="00DB4DA8">
            <w:pPr>
              <w:pStyle w:val="StyleZakonu"/>
              <w:rPr>
                <w:color w:val="000000" w:themeColor="text1"/>
              </w:rPr>
            </w:pPr>
            <w:r w:rsidRPr="00286216">
              <w:rPr>
                <w:color w:val="000000" w:themeColor="text1"/>
              </w:rPr>
              <w:t>"2. Ліквідатор здійснює продаж фінансових інструментів у порядку, визначеному законодавством України, згідно з договором, укладеним між ліквідатором  та інвестиційною фірмою";</w:t>
            </w:r>
          </w:p>
        </w:tc>
      </w:tr>
      <w:tr w:rsidR="00DB4DA8" w:rsidRPr="00286216" w14:paraId="66E0B2C6" w14:textId="77777777" w:rsidTr="00091AA5">
        <w:tc>
          <w:tcPr>
            <w:tcW w:w="576" w:type="dxa"/>
          </w:tcPr>
          <w:p w14:paraId="231685AE" w14:textId="77777777" w:rsidR="00DB4DA8" w:rsidRPr="00286216" w:rsidRDefault="00DB4DA8" w:rsidP="00DB4DA8">
            <w:pPr>
              <w:pStyle w:val="StyleWisnow"/>
              <w:rPr>
                <w:color w:val="000000" w:themeColor="text1"/>
              </w:rPr>
            </w:pPr>
            <w:bookmarkStart w:id="2668" w:name="n2796" w:colFirst="0" w:colLast="0"/>
            <w:bookmarkEnd w:id="2667"/>
            <w:r w:rsidRPr="00286216">
              <w:rPr>
                <w:color w:val="000000" w:themeColor="text1"/>
              </w:rPr>
              <w:t>2796.</w:t>
            </w:r>
          </w:p>
        </w:tc>
        <w:tc>
          <w:tcPr>
            <w:tcW w:w="4818" w:type="dxa"/>
          </w:tcPr>
          <w:p w14:paraId="32131EA8" w14:textId="77777777" w:rsidR="00DB4DA8" w:rsidRPr="00286216" w:rsidRDefault="00DB4DA8" w:rsidP="00DB4DA8">
            <w:pPr>
              <w:pStyle w:val="StyleZakonu"/>
              <w:rPr>
                <w:color w:val="000000" w:themeColor="text1"/>
              </w:rPr>
            </w:pPr>
            <w:r w:rsidRPr="00286216">
              <w:rPr>
                <w:color w:val="000000" w:themeColor="text1"/>
              </w:rPr>
              <w:t>9) статтю 93 викласти в такій редакції:</w:t>
            </w:r>
          </w:p>
        </w:tc>
        <w:tc>
          <w:tcPr>
            <w:tcW w:w="3686" w:type="dxa"/>
          </w:tcPr>
          <w:p w14:paraId="228BE096" w14:textId="77777777" w:rsidR="00DB4DA8" w:rsidRPr="00286216" w:rsidRDefault="00DB4DA8" w:rsidP="00DB4DA8">
            <w:pPr>
              <w:pStyle w:val="StyleProp"/>
              <w:rPr>
                <w:color w:val="000000" w:themeColor="text1"/>
              </w:rPr>
            </w:pPr>
          </w:p>
        </w:tc>
        <w:tc>
          <w:tcPr>
            <w:tcW w:w="1987" w:type="dxa"/>
          </w:tcPr>
          <w:p w14:paraId="6B338DE4" w14:textId="77777777" w:rsidR="00DB4DA8" w:rsidRPr="00286216" w:rsidRDefault="00DB4DA8" w:rsidP="00DB4DA8">
            <w:pPr>
              <w:pStyle w:val="StyleWisnow"/>
              <w:rPr>
                <w:color w:val="000000" w:themeColor="text1"/>
              </w:rPr>
            </w:pPr>
          </w:p>
        </w:tc>
        <w:tc>
          <w:tcPr>
            <w:tcW w:w="4818" w:type="dxa"/>
          </w:tcPr>
          <w:p w14:paraId="33D754E5" w14:textId="71D1582F" w:rsidR="00DB4DA8" w:rsidRPr="00286216" w:rsidRDefault="00DB4DA8" w:rsidP="00DB4DA8">
            <w:pPr>
              <w:pStyle w:val="StyleZakonu"/>
              <w:rPr>
                <w:color w:val="000000" w:themeColor="text1"/>
              </w:rPr>
            </w:pPr>
            <w:r w:rsidRPr="00286216">
              <w:rPr>
                <w:color w:val="000000" w:themeColor="text1"/>
              </w:rPr>
              <w:t>9) статтю 93 викласти в такій редакції:</w:t>
            </w:r>
          </w:p>
        </w:tc>
      </w:tr>
      <w:tr w:rsidR="00DB4DA8" w:rsidRPr="00286216" w14:paraId="1F3027C1" w14:textId="77777777" w:rsidTr="00091AA5">
        <w:tc>
          <w:tcPr>
            <w:tcW w:w="576" w:type="dxa"/>
          </w:tcPr>
          <w:p w14:paraId="5537511C" w14:textId="77777777" w:rsidR="00DB4DA8" w:rsidRPr="00286216" w:rsidRDefault="00DB4DA8" w:rsidP="00DB4DA8">
            <w:pPr>
              <w:pStyle w:val="StyleWisnow"/>
              <w:rPr>
                <w:color w:val="000000" w:themeColor="text1"/>
              </w:rPr>
            </w:pPr>
            <w:bookmarkStart w:id="2669" w:name="n2797" w:colFirst="0" w:colLast="0"/>
            <w:bookmarkEnd w:id="2668"/>
            <w:r w:rsidRPr="00286216">
              <w:rPr>
                <w:color w:val="000000" w:themeColor="text1"/>
              </w:rPr>
              <w:t>2797.</w:t>
            </w:r>
          </w:p>
        </w:tc>
        <w:tc>
          <w:tcPr>
            <w:tcW w:w="4818" w:type="dxa"/>
          </w:tcPr>
          <w:p w14:paraId="462F90B0" w14:textId="77777777" w:rsidR="00DB4DA8" w:rsidRPr="00286216" w:rsidRDefault="00DB4DA8" w:rsidP="00DB4DA8">
            <w:pPr>
              <w:pStyle w:val="StyleZakonu"/>
              <w:rPr>
                <w:color w:val="000000" w:themeColor="text1"/>
              </w:rPr>
            </w:pPr>
            <w:r w:rsidRPr="00286216">
              <w:rPr>
                <w:color w:val="000000" w:themeColor="text1"/>
              </w:rPr>
              <w:t>"Стаття 93. Особливості банкрутства професійних учасників ринків капіталу та організованих товарних ринків</w:t>
            </w:r>
          </w:p>
        </w:tc>
        <w:tc>
          <w:tcPr>
            <w:tcW w:w="3686" w:type="dxa"/>
          </w:tcPr>
          <w:p w14:paraId="29CE90E5" w14:textId="77777777" w:rsidR="00DB4DA8" w:rsidRPr="00286216" w:rsidRDefault="00DB4DA8" w:rsidP="00DB4DA8">
            <w:pPr>
              <w:pStyle w:val="StyleProp"/>
              <w:rPr>
                <w:color w:val="000000" w:themeColor="text1"/>
                <w:szCs w:val="18"/>
              </w:rPr>
            </w:pPr>
          </w:p>
        </w:tc>
        <w:tc>
          <w:tcPr>
            <w:tcW w:w="1987" w:type="dxa"/>
          </w:tcPr>
          <w:p w14:paraId="74997CAD" w14:textId="77777777" w:rsidR="00DB4DA8" w:rsidRPr="00286216" w:rsidRDefault="00DB4DA8" w:rsidP="00DB4DA8">
            <w:pPr>
              <w:pStyle w:val="StyleWisnow"/>
              <w:rPr>
                <w:color w:val="000000" w:themeColor="text1"/>
              </w:rPr>
            </w:pPr>
          </w:p>
        </w:tc>
        <w:tc>
          <w:tcPr>
            <w:tcW w:w="4818" w:type="dxa"/>
          </w:tcPr>
          <w:p w14:paraId="3F50F0BC" w14:textId="7F4901AC" w:rsidR="00DB4DA8" w:rsidRPr="00286216" w:rsidRDefault="00DB4DA8" w:rsidP="00DB4DA8">
            <w:pPr>
              <w:pStyle w:val="StyleZakonu"/>
              <w:rPr>
                <w:color w:val="000000" w:themeColor="text1"/>
              </w:rPr>
            </w:pPr>
            <w:r w:rsidRPr="00286216">
              <w:rPr>
                <w:color w:val="000000" w:themeColor="text1"/>
              </w:rPr>
              <w:t>"Стаття 93. Особливості банкрутства професійних учасників ринків капіталу та організованих товарних ринків</w:t>
            </w:r>
          </w:p>
        </w:tc>
      </w:tr>
      <w:tr w:rsidR="00DB4DA8" w:rsidRPr="00286216" w14:paraId="1823A403" w14:textId="77777777" w:rsidTr="00091AA5">
        <w:tc>
          <w:tcPr>
            <w:tcW w:w="576" w:type="dxa"/>
          </w:tcPr>
          <w:p w14:paraId="1571C738" w14:textId="77777777" w:rsidR="00DB4DA8" w:rsidRPr="00286216" w:rsidRDefault="00DB4DA8" w:rsidP="00DB4DA8">
            <w:pPr>
              <w:pStyle w:val="StyleWisnow"/>
              <w:rPr>
                <w:color w:val="000000" w:themeColor="text1"/>
              </w:rPr>
            </w:pPr>
            <w:bookmarkStart w:id="2670" w:name="n2798" w:colFirst="0" w:colLast="0"/>
            <w:bookmarkEnd w:id="2669"/>
            <w:r w:rsidRPr="00286216">
              <w:rPr>
                <w:color w:val="000000" w:themeColor="text1"/>
              </w:rPr>
              <w:t>2798.</w:t>
            </w:r>
          </w:p>
        </w:tc>
        <w:tc>
          <w:tcPr>
            <w:tcW w:w="4818" w:type="dxa"/>
          </w:tcPr>
          <w:p w14:paraId="48F47A59" w14:textId="77777777" w:rsidR="00DB4DA8" w:rsidRPr="00286216" w:rsidRDefault="00DB4DA8" w:rsidP="00DB4DA8">
            <w:pPr>
              <w:pStyle w:val="StyleZakonu"/>
              <w:rPr>
                <w:color w:val="000000" w:themeColor="text1"/>
              </w:rPr>
            </w:pPr>
            <w:r w:rsidRPr="00286216">
              <w:rPr>
                <w:color w:val="000000" w:themeColor="text1"/>
              </w:rPr>
              <w:t>1. Якщо законодавством не встановлено окрему процедуру банкрутства відповідного професійного учасника ринків капіталу та організованих товарних ринків, до такого учасника застосовуються положення цього Кодексу з урахуванням особливостей, встановлених цією статтею.</w:t>
            </w:r>
          </w:p>
        </w:tc>
        <w:tc>
          <w:tcPr>
            <w:tcW w:w="3686" w:type="dxa"/>
          </w:tcPr>
          <w:p w14:paraId="66067B5A" w14:textId="77777777" w:rsidR="00DB4DA8" w:rsidRPr="00286216" w:rsidRDefault="00DB4DA8" w:rsidP="00DB4DA8">
            <w:pPr>
              <w:pStyle w:val="StyleProp"/>
              <w:rPr>
                <w:color w:val="000000" w:themeColor="text1"/>
                <w:szCs w:val="18"/>
              </w:rPr>
            </w:pPr>
          </w:p>
        </w:tc>
        <w:tc>
          <w:tcPr>
            <w:tcW w:w="1987" w:type="dxa"/>
          </w:tcPr>
          <w:p w14:paraId="21B70F6D" w14:textId="77777777" w:rsidR="00DB4DA8" w:rsidRPr="00286216" w:rsidRDefault="00DB4DA8" w:rsidP="00DB4DA8">
            <w:pPr>
              <w:pStyle w:val="StyleWisnow"/>
              <w:rPr>
                <w:color w:val="000000" w:themeColor="text1"/>
              </w:rPr>
            </w:pPr>
          </w:p>
        </w:tc>
        <w:tc>
          <w:tcPr>
            <w:tcW w:w="4818" w:type="dxa"/>
          </w:tcPr>
          <w:p w14:paraId="06D79960" w14:textId="4F877F0F" w:rsidR="00DB4DA8" w:rsidRPr="00286216" w:rsidRDefault="00DB4DA8" w:rsidP="00DB4DA8">
            <w:pPr>
              <w:pStyle w:val="StyleZakonu"/>
              <w:rPr>
                <w:color w:val="000000" w:themeColor="text1"/>
              </w:rPr>
            </w:pPr>
            <w:r w:rsidRPr="00286216">
              <w:rPr>
                <w:color w:val="000000" w:themeColor="text1"/>
              </w:rPr>
              <w:t>1. Якщо законодавством не встановлено окрему процедуру банкрутства відповідного професійного учасника ринків капіталу та організованих товарних ринків, до такого учасника застосовуються положення цього Кодексу з урахуванням особливостей, встановлених цією статтею.</w:t>
            </w:r>
          </w:p>
        </w:tc>
      </w:tr>
      <w:tr w:rsidR="00DB4DA8" w:rsidRPr="00286216" w14:paraId="25CACD32" w14:textId="77777777" w:rsidTr="00091AA5">
        <w:tc>
          <w:tcPr>
            <w:tcW w:w="576" w:type="dxa"/>
          </w:tcPr>
          <w:p w14:paraId="2A57BA0B" w14:textId="77777777" w:rsidR="00DB4DA8" w:rsidRPr="00286216" w:rsidRDefault="00DB4DA8" w:rsidP="00DB4DA8">
            <w:pPr>
              <w:pStyle w:val="StyleWisnow"/>
              <w:rPr>
                <w:color w:val="000000" w:themeColor="text1"/>
              </w:rPr>
            </w:pPr>
            <w:bookmarkStart w:id="2671" w:name="n2799" w:colFirst="0" w:colLast="0"/>
            <w:bookmarkEnd w:id="2670"/>
            <w:r w:rsidRPr="00286216">
              <w:rPr>
                <w:color w:val="000000" w:themeColor="text1"/>
              </w:rPr>
              <w:t>2799.</w:t>
            </w:r>
          </w:p>
        </w:tc>
        <w:tc>
          <w:tcPr>
            <w:tcW w:w="4818" w:type="dxa"/>
          </w:tcPr>
          <w:p w14:paraId="0288FF42" w14:textId="77777777" w:rsidR="00DB4DA8" w:rsidRPr="00286216" w:rsidRDefault="00DB4DA8" w:rsidP="00DB4DA8">
            <w:pPr>
              <w:pStyle w:val="StyleZakonu"/>
              <w:rPr>
                <w:color w:val="000000" w:themeColor="text1"/>
              </w:rPr>
            </w:pPr>
            <w:r w:rsidRPr="00286216">
              <w:rPr>
                <w:color w:val="000000" w:themeColor="text1"/>
              </w:rPr>
              <w:t xml:space="preserve">Для цілей цієї статті під терміном "клієнт" розуміється інвестор у фінансові інструменти або емітент цінних паперів, що уклав договір андеррайтингу, або договір про організацію розміщення з гарантією або договір про організацію розміщення з професійним учасником ринків капіталу який відповідно до цього Кодексу визнається </w:t>
            </w:r>
            <w:r w:rsidRPr="00286216">
              <w:rPr>
                <w:color w:val="000000" w:themeColor="text1"/>
              </w:rPr>
              <w:lastRenderedPageBreak/>
              <w:t>боржником.</w:t>
            </w:r>
          </w:p>
        </w:tc>
        <w:tc>
          <w:tcPr>
            <w:tcW w:w="3686" w:type="dxa"/>
          </w:tcPr>
          <w:p w14:paraId="5CB5307C" w14:textId="77777777" w:rsidR="00DB4DA8" w:rsidRPr="00286216" w:rsidRDefault="00DB4DA8" w:rsidP="00DB4DA8">
            <w:pPr>
              <w:pStyle w:val="StyleProp"/>
              <w:rPr>
                <w:color w:val="000000" w:themeColor="text1"/>
                <w:szCs w:val="18"/>
              </w:rPr>
            </w:pPr>
          </w:p>
        </w:tc>
        <w:tc>
          <w:tcPr>
            <w:tcW w:w="1987" w:type="dxa"/>
          </w:tcPr>
          <w:p w14:paraId="2E11F704" w14:textId="77777777" w:rsidR="00DB4DA8" w:rsidRPr="00286216" w:rsidRDefault="00DB4DA8" w:rsidP="00DB4DA8">
            <w:pPr>
              <w:pStyle w:val="StyleWisnow"/>
              <w:rPr>
                <w:color w:val="000000" w:themeColor="text1"/>
              </w:rPr>
            </w:pPr>
          </w:p>
        </w:tc>
        <w:tc>
          <w:tcPr>
            <w:tcW w:w="4818" w:type="dxa"/>
          </w:tcPr>
          <w:p w14:paraId="023E2980" w14:textId="6A21C106" w:rsidR="00DB4DA8" w:rsidRPr="00286216" w:rsidRDefault="00DB4DA8" w:rsidP="00DB4DA8">
            <w:pPr>
              <w:pStyle w:val="StyleZakonu"/>
              <w:rPr>
                <w:color w:val="000000" w:themeColor="text1"/>
              </w:rPr>
            </w:pPr>
            <w:r w:rsidRPr="00286216">
              <w:rPr>
                <w:color w:val="000000" w:themeColor="text1"/>
              </w:rPr>
              <w:t xml:space="preserve">Для цілей цієї статті під терміном "клієнт" розуміється інвестор у фінансові інструменти або емітент цінних паперів, що уклав договір андеррайтингу або договір про організацію розміщення з гарантією, або договір про організацію розміщення без надання гарантії з професійним учасником ринків капіталу, який відповідно до цього </w:t>
            </w:r>
            <w:r w:rsidRPr="00286216">
              <w:rPr>
                <w:color w:val="000000" w:themeColor="text1"/>
              </w:rPr>
              <w:lastRenderedPageBreak/>
              <w:t xml:space="preserve">Кодексу визнається боржником. </w:t>
            </w:r>
          </w:p>
        </w:tc>
      </w:tr>
      <w:tr w:rsidR="00DB4DA8" w:rsidRPr="00286216" w14:paraId="05C60B33" w14:textId="77777777" w:rsidTr="00091AA5">
        <w:tc>
          <w:tcPr>
            <w:tcW w:w="576" w:type="dxa"/>
          </w:tcPr>
          <w:p w14:paraId="702ECBC2" w14:textId="77777777" w:rsidR="00DB4DA8" w:rsidRPr="00286216" w:rsidRDefault="00DB4DA8" w:rsidP="00DB4DA8">
            <w:pPr>
              <w:pStyle w:val="StyleWisnow"/>
              <w:rPr>
                <w:color w:val="000000" w:themeColor="text1"/>
              </w:rPr>
            </w:pPr>
            <w:bookmarkStart w:id="2672" w:name="n2800" w:colFirst="0" w:colLast="0"/>
            <w:bookmarkEnd w:id="2671"/>
            <w:r w:rsidRPr="00286216">
              <w:rPr>
                <w:color w:val="000000" w:themeColor="text1"/>
              </w:rPr>
              <w:lastRenderedPageBreak/>
              <w:t>2800.</w:t>
            </w:r>
          </w:p>
        </w:tc>
        <w:tc>
          <w:tcPr>
            <w:tcW w:w="4818" w:type="dxa"/>
          </w:tcPr>
          <w:p w14:paraId="4E4BC517" w14:textId="77777777" w:rsidR="00DB4DA8" w:rsidRPr="00286216" w:rsidRDefault="00DB4DA8" w:rsidP="00DB4DA8">
            <w:pPr>
              <w:pStyle w:val="StyleZakonu"/>
              <w:rPr>
                <w:color w:val="000000" w:themeColor="text1"/>
              </w:rPr>
            </w:pPr>
            <w:r w:rsidRPr="00286216">
              <w:rPr>
                <w:color w:val="000000" w:themeColor="text1"/>
              </w:rPr>
              <w:t>2. Не врегульовані цією статтею особливості процедури банкрутства професійних учасників ринків капіталу та організованих товарних ринків, а також заходи щодо захисту прав та інтересів клієнтів установлюються Національною комісією з цінних паперів та фондового ринку за погодженням з державним органом з питань банкрутства.</w:t>
            </w:r>
          </w:p>
        </w:tc>
        <w:tc>
          <w:tcPr>
            <w:tcW w:w="3686" w:type="dxa"/>
          </w:tcPr>
          <w:p w14:paraId="4BD4E7AF" w14:textId="79A8086B" w:rsidR="00DB4DA8" w:rsidRPr="00286216" w:rsidRDefault="00DB4DA8" w:rsidP="00DB4DA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1264</w:t>
            </w:r>
            <w:r w:rsidRPr="00286216">
              <w:rPr>
                <w:color w:val="000000" w:themeColor="text1"/>
                <w:spacing w:val="-4"/>
              </w:rPr>
              <w:fldChar w:fldCharType="end"/>
            </w:r>
            <w:r w:rsidRPr="00286216">
              <w:rPr>
                <w:color w:val="000000" w:themeColor="text1"/>
                <w:spacing w:val="-4"/>
              </w:rPr>
              <w:t>-Н.д.Шахов С.В. (Реєстр.картка №114)</w:t>
            </w:r>
          </w:p>
          <w:p w14:paraId="41C906BB" w14:textId="77777777" w:rsidR="00DB4DA8" w:rsidRPr="00286216" w:rsidRDefault="00DB4DA8" w:rsidP="00DB4DA8">
            <w:pPr>
              <w:spacing w:line="200" w:lineRule="exact"/>
              <w:ind w:firstLine="227"/>
              <w:jc w:val="both"/>
              <w:rPr>
                <w:color w:val="000000" w:themeColor="text1"/>
                <w:sz w:val="18"/>
              </w:rPr>
            </w:pPr>
            <w:r w:rsidRPr="00286216">
              <w:rPr>
                <w:color w:val="000000" w:themeColor="text1"/>
                <w:sz w:val="18"/>
              </w:rPr>
              <w:t>У п.п. 9 п. 9 розділу 3 (зміни у Кодексі України з процедур банкрутства) у частині 2 (ст. 93) слова «Національною комісією з цінних паперів та фондового ринку» замінити словами «іншими законами.»</w:t>
            </w:r>
          </w:p>
        </w:tc>
        <w:tc>
          <w:tcPr>
            <w:tcW w:w="1987" w:type="dxa"/>
          </w:tcPr>
          <w:p w14:paraId="58140BD3" w14:textId="77777777" w:rsidR="00DB4DA8" w:rsidRPr="00286216" w:rsidRDefault="00DB4DA8" w:rsidP="00DB4DA8">
            <w:pPr>
              <w:pStyle w:val="StyleWisnow"/>
              <w:rPr>
                <w:color w:val="000000" w:themeColor="text1"/>
              </w:rPr>
            </w:pPr>
            <w:r w:rsidRPr="00286216">
              <w:rPr>
                <w:color w:val="000000" w:themeColor="text1"/>
              </w:rPr>
              <w:t>Відхилено</w:t>
            </w:r>
          </w:p>
          <w:p w14:paraId="141679F8" w14:textId="77777777" w:rsidR="00DB4DA8" w:rsidRPr="00286216" w:rsidRDefault="00DB4DA8" w:rsidP="00DB4DA8">
            <w:pPr>
              <w:pStyle w:val="StyleWisnow"/>
              <w:spacing w:line="180" w:lineRule="exact"/>
              <w:rPr>
                <w:color w:val="000000" w:themeColor="text1"/>
              </w:rPr>
            </w:pPr>
            <w:r w:rsidRPr="00286216">
              <w:rPr>
                <w:color w:val="000000" w:themeColor="text1"/>
              </w:rPr>
              <w:t>Немає іншого спеціального законодавства про банкрутство профучасників</w:t>
            </w:r>
          </w:p>
        </w:tc>
        <w:tc>
          <w:tcPr>
            <w:tcW w:w="4818" w:type="dxa"/>
          </w:tcPr>
          <w:p w14:paraId="3D51CA2E" w14:textId="7E98F4DC" w:rsidR="00DB4DA8" w:rsidRPr="00286216" w:rsidRDefault="00DB4DA8" w:rsidP="00DB4DA8">
            <w:pPr>
              <w:pStyle w:val="StyleZakonu"/>
              <w:rPr>
                <w:color w:val="000000" w:themeColor="text1"/>
              </w:rPr>
            </w:pPr>
            <w:r w:rsidRPr="00286216">
              <w:rPr>
                <w:color w:val="000000" w:themeColor="text1"/>
              </w:rPr>
              <w:t>2. Не врегульовані цією статтею особливості процедури банкрутства професійних учасників ринків капіталу та організованих товарних ринків, а також заходи щодо захисту прав та інтересів клієнтів установлюються Національною комісією з цінних паперів та фондового ринку за погодженням з державним органом з питань банкрутства.</w:t>
            </w:r>
          </w:p>
        </w:tc>
      </w:tr>
      <w:tr w:rsidR="00DB4DA8" w:rsidRPr="00286216" w14:paraId="75C5E575" w14:textId="77777777" w:rsidTr="00091AA5">
        <w:tc>
          <w:tcPr>
            <w:tcW w:w="576" w:type="dxa"/>
          </w:tcPr>
          <w:p w14:paraId="19A857C1" w14:textId="77777777" w:rsidR="00DB4DA8" w:rsidRPr="00286216" w:rsidRDefault="00DB4DA8" w:rsidP="00DB4DA8">
            <w:pPr>
              <w:pStyle w:val="StyleWisnow"/>
              <w:rPr>
                <w:color w:val="000000" w:themeColor="text1"/>
              </w:rPr>
            </w:pPr>
            <w:bookmarkStart w:id="2673" w:name="n2801" w:colFirst="0" w:colLast="0"/>
            <w:bookmarkEnd w:id="2672"/>
            <w:r w:rsidRPr="00286216">
              <w:rPr>
                <w:color w:val="000000" w:themeColor="text1"/>
              </w:rPr>
              <w:t>2801.</w:t>
            </w:r>
          </w:p>
        </w:tc>
        <w:tc>
          <w:tcPr>
            <w:tcW w:w="4818" w:type="dxa"/>
          </w:tcPr>
          <w:p w14:paraId="6A3B51BD" w14:textId="77777777" w:rsidR="00DB4DA8" w:rsidRPr="00286216" w:rsidRDefault="00DB4DA8" w:rsidP="00DB4DA8">
            <w:pPr>
              <w:pStyle w:val="StyleZakonu"/>
              <w:rPr>
                <w:color w:val="000000" w:themeColor="text1"/>
              </w:rPr>
            </w:pPr>
            <w:r w:rsidRPr="00286216">
              <w:rPr>
                <w:color w:val="000000" w:themeColor="text1"/>
              </w:rPr>
              <w:t>3. Порядок запобігання банкрутству та проведення досудових процедур відновлення платоспроможності професійних учасників ринків капіталу та організованих товарних ринків встановлюється законодавством.</w:t>
            </w:r>
          </w:p>
        </w:tc>
        <w:tc>
          <w:tcPr>
            <w:tcW w:w="3686" w:type="dxa"/>
          </w:tcPr>
          <w:p w14:paraId="00BBBC92" w14:textId="77777777" w:rsidR="00DB4DA8" w:rsidRPr="00286216" w:rsidRDefault="00DB4DA8" w:rsidP="00DB4DA8">
            <w:pPr>
              <w:pStyle w:val="StyleProp"/>
              <w:rPr>
                <w:color w:val="000000" w:themeColor="text1"/>
                <w:szCs w:val="18"/>
              </w:rPr>
            </w:pPr>
          </w:p>
        </w:tc>
        <w:tc>
          <w:tcPr>
            <w:tcW w:w="1987" w:type="dxa"/>
          </w:tcPr>
          <w:p w14:paraId="3D3DD8A6" w14:textId="77777777" w:rsidR="00DB4DA8" w:rsidRPr="00286216" w:rsidRDefault="00DB4DA8" w:rsidP="00DB4DA8">
            <w:pPr>
              <w:pStyle w:val="StyleWisnow"/>
              <w:rPr>
                <w:color w:val="000000" w:themeColor="text1"/>
              </w:rPr>
            </w:pPr>
          </w:p>
        </w:tc>
        <w:tc>
          <w:tcPr>
            <w:tcW w:w="4818" w:type="dxa"/>
          </w:tcPr>
          <w:p w14:paraId="08AD2736" w14:textId="2DF550BF" w:rsidR="00DB4DA8" w:rsidRPr="00286216" w:rsidRDefault="00DB4DA8" w:rsidP="00DB4DA8">
            <w:pPr>
              <w:pStyle w:val="StyleZakonu"/>
              <w:rPr>
                <w:color w:val="000000" w:themeColor="text1"/>
              </w:rPr>
            </w:pPr>
            <w:r w:rsidRPr="00286216">
              <w:rPr>
                <w:color w:val="000000" w:themeColor="text1"/>
              </w:rPr>
              <w:t>3. Порядок запобігання банкрутству та проведення досудових процедур відновлення платоспроможності професійних учасників ринків капіталу та організованих товарних ринків встановлюється законодавством.</w:t>
            </w:r>
          </w:p>
        </w:tc>
      </w:tr>
      <w:tr w:rsidR="00DB4DA8" w:rsidRPr="00286216" w14:paraId="5CF78266" w14:textId="77777777" w:rsidTr="00091AA5">
        <w:tc>
          <w:tcPr>
            <w:tcW w:w="576" w:type="dxa"/>
          </w:tcPr>
          <w:p w14:paraId="4400A51A" w14:textId="77777777" w:rsidR="00DB4DA8" w:rsidRPr="00286216" w:rsidRDefault="00DB4DA8" w:rsidP="00DB4DA8">
            <w:pPr>
              <w:pStyle w:val="StyleWisnow"/>
              <w:rPr>
                <w:color w:val="000000" w:themeColor="text1"/>
              </w:rPr>
            </w:pPr>
            <w:bookmarkStart w:id="2674" w:name="n2802" w:colFirst="0" w:colLast="0"/>
            <w:bookmarkEnd w:id="2673"/>
            <w:r w:rsidRPr="00286216">
              <w:rPr>
                <w:color w:val="000000" w:themeColor="text1"/>
              </w:rPr>
              <w:t>2802.</w:t>
            </w:r>
          </w:p>
        </w:tc>
        <w:tc>
          <w:tcPr>
            <w:tcW w:w="4818" w:type="dxa"/>
          </w:tcPr>
          <w:p w14:paraId="67CAA9FD" w14:textId="77777777" w:rsidR="00DB4DA8" w:rsidRPr="00286216" w:rsidRDefault="00DB4DA8" w:rsidP="00DB4DA8">
            <w:pPr>
              <w:pStyle w:val="StyleZakonu"/>
              <w:rPr>
                <w:color w:val="000000" w:themeColor="text1"/>
              </w:rPr>
            </w:pPr>
            <w:r w:rsidRPr="00286216">
              <w:rPr>
                <w:color w:val="000000" w:themeColor="text1"/>
              </w:rPr>
              <w:t>4. Розпорядник майна, керуючий санацією, ліквідатор професійного учасника ринків капіталу та організованих товарних ринків, повинен мати сертифікат, що видається Національною комісією з цінних паперів та фондового ринку на право вчинення дій, пов’язаних з безпосереднім провадженням відповідного виду професійної діяльності на ринках капіталу та організованих товарних ринках.</w:t>
            </w:r>
          </w:p>
        </w:tc>
        <w:tc>
          <w:tcPr>
            <w:tcW w:w="3686" w:type="dxa"/>
          </w:tcPr>
          <w:p w14:paraId="64E83D0E" w14:textId="4DD9A24F" w:rsidR="00DB4DA8" w:rsidRPr="00286216" w:rsidRDefault="00DB4DA8" w:rsidP="00DB4DA8">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1265</w:t>
            </w:r>
            <w:r w:rsidRPr="00286216">
              <w:rPr>
                <w:color w:val="000000" w:themeColor="text1"/>
                <w:spacing w:val="-4"/>
              </w:rPr>
              <w:fldChar w:fldCharType="end"/>
            </w:r>
            <w:r w:rsidRPr="00286216">
              <w:rPr>
                <w:color w:val="000000" w:themeColor="text1"/>
                <w:spacing w:val="-4"/>
              </w:rPr>
              <w:t>-Н.д.Шахов С.В. (Реєстр.картка №114)</w:t>
            </w:r>
          </w:p>
          <w:p w14:paraId="3C7B1C60" w14:textId="77777777" w:rsidR="00DB4DA8" w:rsidRPr="00286216" w:rsidRDefault="00DB4DA8" w:rsidP="00DB4DA8">
            <w:pPr>
              <w:spacing w:line="200" w:lineRule="exact"/>
              <w:ind w:firstLine="227"/>
              <w:jc w:val="both"/>
              <w:rPr>
                <w:color w:val="000000" w:themeColor="text1"/>
                <w:sz w:val="18"/>
              </w:rPr>
            </w:pPr>
            <w:r w:rsidRPr="00286216">
              <w:rPr>
                <w:color w:val="000000" w:themeColor="text1"/>
                <w:sz w:val="18"/>
              </w:rPr>
              <w:t>У підпункті 9 п. 9 розділу 3 (зміни у Кодексі України з процедур банкрутства) частину 4 (нова редакція ст. 93) виключити.</w:t>
            </w:r>
          </w:p>
        </w:tc>
        <w:tc>
          <w:tcPr>
            <w:tcW w:w="1987" w:type="dxa"/>
          </w:tcPr>
          <w:p w14:paraId="59FC63FE" w14:textId="77777777" w:rsidR="00DB4DA8" w:rsidRPr="00286216" w:rsidRDefault="00DB4DA8" w:rsidP="00DB4DA8">
            <w:pPr>
              <w:pStyle w:val="StyleWisnow"/>
              <w:rPr>
                <w:color w:val="000000" w:themeColor="text1"/>
              </w:rPr>
            </w:pPr>
            <w:r w:rsidRPr="00286216">
              <w:rPr>
                <w:color w:val="000000" w:themeColor="text1"/>
              </w:rPr>
              <w:t>Відхилено</w:t>
            </w:r>
          </w:p>
          <w:p w14:paraId="4294EE4D" w14:textId="1ED66B0E" w:rsidR="00DB4DA8" w:rsidRPr="00286216" w:rsidRDefault="00DB4DA8" w:rsidP="00DB4DA8">
            <w:pPr>
              <w:pStyle w:val="StyleWisnow"/>
              <w:spacing w:line="180" w:lineRule="exact"/>
              <w:rPr>
                <w:color w:val="000000" w:themeColor="text1"/>
                <w:spacing w:val="-4"/>
              </w:rPr>
            </w:pPr>
            <w:r w:rsidRPr="00286216">
              <w:rPr>
                <w:color w:val="000000" w:themeColor="text1"/>
                <w:spacing w:val="-4"/>
              </w:rPr>
              <w:t>вплив на стабільність функціонування ринків, оскільки надає можливість здійснення провадження діяльності на ринках капіталу особами, без відповідної кваліфікації</w:t>
            </w:r>
          </w:p>
        </w:tc>
        <w:tc>
          <w:tcPr>
            <w:tcW w:w="4818" w:type="dxa"/>
          </w:tcPr>
          <w:p w14:paraId="6686D072" w14:textId="01D3F2BD" w:rsidR="00DB4DA8" w:rsidRPr="00286216" w:rsidRDefault="00DB4DA8" w:rsidP="00DB4DA8">
            <w:pPr>
              <w:pStyle w:val="StyleZakonu"/>
              <w:rPr>
                <w:color w:val="000000" w:themeColor="text1"/>
              </w:rPr>
            </w:pPr>
            <w:r w:rsidRPr="00286216">
              <w:rPr>
                <w:color w:val="000000" w:themeColor="text1"/>
              </w:rPr>
              <w:t>4. Розпорядник майна, керуючий санацією, ліквідатор професійного учасника ринків капіталу та організованих товарних ринків, повинен мати сертифікат, що видається Національною комісією з цінних паперів та фондового ринку, на право вчинення дій, пов’язаних з безпосереднім провадженням відповідного виду професійної діяльності на ринках капіталу та організованих товарних ринках.</w:t>
            </w:r>
          </w:p>
        </w:tc>
      </w:tr>
      <w:tr w:rsidR="00DB4DA8" w:rsidRPr="00286216" w14:paraId="22DB7567" w14:textId="77777777" w:rsidTr="00091AA5">
        <w:tc>
          <w:tcPr>
            <w:tcW w:w="576" w:type="dxa"/>
          </w:tcPr>
          <w:p w14:paraId="1E526CDB" w14:textId="77777777" w:rsidR="00DB4DA8" w:rsidRPr="00286216" w:rsidRDefault="00DB4DA8" w:rsidP="00DB4DA8">
            <w:pPr>
              <w:pStyle w:val="StyleWisnow"/>
              <w:rPr>
                <w:color w:val="000000" w:themeColor="text1"/>
              </w:rPr>
            </w:pPr>
            <w:bookmarkStart w:id="2675" w:name="n2803" w:colFirst="0" w:colLast="0"/>
            <w:bookmarkEnd w:id="2674"/>
            <w:r w:rsidRPr="00286216">
              <w:rPr>
                <w:color w:val="000000" w:themeColor="text1"/>
              </w:rPr>
              <w:t>2803.</w:t>
            </w:r>
          </w:p>
        </w:tc>
        <w:tc>
          <w:tcPr>
            <w:tcW w:w="4818" w:type="dxa"/>
          </w:tcPr>
          <w:p w14:paraId="5B26D351" w14:textId="77777777" w:rsidR="00DB4DA8" w:rsidRPr="00286216" w:rsidRDefault="00DB4DA8" w:rsidP="00DB4DA8">
            <w:pPr>
              <w:pStyle w:val="StyleZakonu"/>
              <w:rPr>
                <w:color w:val="000000" w:themeColor="text1"/>
              </w:rPr>
            </w:pPr>
            <w:r w:rsidRPr="00286216">
              <w:rPr>
                <w:color w:val="000000" w:themeColor="text1"/>
              </w:rPr>
              <w:t>5. Розпорядник майна зобов’язаний у десятиденний строк з дня його призначення надіслати Національній комісії з цінних паперів та фондового ринку та розмістити на веб-сайті такого професійного учасника ринків капіталу та організованих товарних ринків, повідомлення про відкриття провадження у справі про банкрутство та призначення розпорядника майна. У повідомленні зазначаються реквізити сертифіката, виданого розпоряднику майна Національною комісією з цінних паперів та фондового ринку, а також клієнтам пропонується або надати професійному учаснику ринків капіталу та організованих товарних ринків, які є боржником, розпорядження щодо дій, які необхідно здійснити з активами клієнтів, що перебувають у володінні та/або користуванні та/або розпорядженні такого професійного учасника ринків капіталу та організованих товарних ринків, або подати до господарського суду заяву з вимогами до такого боржника, а також документи, що їх підтверджують, для внесення відомостей про такого клієнта до реєстру вимог кредиторів.</w:t>
            </w:r>
          </w:p>
        </w:tc>
        <w:tc>
          <w:tcPr>
            <w:tcW w:w="3686" w:type="dxa"/>
          </w:tcPr>
          <w:p w14:paraId="7B85A862" w14:textId="4726C824" w:rsidR="00DB4DA8" w:rsidRPr="00286216" w:rsidRDefault="00DB4DA8" w:rsidP="00DB4DA8">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1266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199AF43" w14:textId="77777777" w:rsidR="00DB4DA8" w:rsidRPr="00286216" w:rsidRDefault="00DB4DA8" w:rsidP="00DB4DA8">
            <w:pPr>
              <w:pStyle w:val="StyleProp"/>
              <w:rPr>
                <w:color w:val="000000" w:themeColor="text1"/>
                <w:szCs w:val="18"/>
              </w:rPr>
            </w:pPr>
            <w:r w:rsidRPr="00286216">
              <w:rPr>
                <w:color w:val="000000" w:themeColor="text1"/>
                <w:szCs w:val="18"/>
              </w:rPr>
              <w:t>Абзац восьмий підпункту 9 пункту 9 після слів «з дня його призначення надіслати» доповнити словами «офіційним каналом зв’язку, передбаченим Законом України «Про ринки капіталу та організовані товарні ринки»».</w:t>
            </w:r>
          </w:p>
        </w:tc>
        <w:tc>
          <w:tcPr>
            <w:tcW w:w="1987" w:type="dxa"/>
          </w:tcPr>
          <w:p w14:paraId="0FE57A54" w14:textId="77777777" w:rsidR="00DB4DA8" w:rsidRPr="00286216" w:rsidRDefault="00DB4DA8" w:rsidP="00DB4DA8">
            <w:pPr>
              <w:pStyle w:val="StyleWisnow"/>
              <w:rPr>
                <w:color w:val="000000" w:themeColor="text1"/>
              </w:rPr>
            </w:pPr>
            <w:r w:rsidRPr="00286216">
              <w:rPr>
                <w:color w:val="000000" w:themeColor="text1"/>
              </w:rPr>
              <w:t>Враховано</w:t>
            </w:r>
          </w:p>
        </w:tc>
        <w:tc>
          <w:tcPr>
            <w:tcW w:w="4818" w:type="dxa"/>
          </w:tcPr>
          <w:p w14:paraId="7192ABF3" w14:textId="079F9881" w:rsidR="00DB4DA8" w:rsidRPr="00286216" w:rsidRDefault="00DB4DA8" w:rsidP="00DB4DA8">
            <w:pPr>
              <w:pStyle w:val="StyleZakonu"/>
              <w:rPr>
                <w:color w:val="000000" w:themeColor="text1"/>
              </w:rPr>
            </w:pPr>
            <w:r w:rsidRPr="00286216">
              <w:rPr>
                <w:color w:val="000000" w:themeColor="text1"/>
              </w:rPr>
              <w:t xml:space="preserve">5. Розпорядник майна зобов’язаний у десятиденний строк з дня його призначення надіслати </w:t>
            </w:r>
            <w:r w:rsidRPr="00286216">
              <w:rPr>
                <w:color w:val="000000" w:themeColor="text1"/>
                <w:szCs w:val="18"/>
              </w:rPr>
              <w:t xml:space="preserve">офіційним каналом зв’язку, передбаченим Законом України «Про ринки капіталу та організовані товарні ринки» </w:t>
            </w:r>
            <w:r w:rsidRPr="00286216">
              <w:rPr>
                <w:color w:val="000000" w:themeColor="text1"/>
              </w:rPr>
              <w:t xml:space="preserve">Національній комісії з цінних паперів та фондового ринку, та розмістити на веб-сайті такого професійного учасника ринків капіталу та організованих товарних ринків повідомлення про відкриття провадження у справі про банкрутство та призначення розпорядника майна. У повідомленні зазначаються реквізити сертифіката, виданого розпоряднику майна Національною комісією з цінних паперів та фондового ринку, а також клієнтам пропонується або надати професійному учаснику ринків капіталу та організованих товарних ринків, які є боржником, розпорядження щодо дій, які необхідно здійснити з активами клієнтів, що перебувають у володінні та/або користуванні, та/або розпорядженні такого професійного учасника ринків капіталу та організованих товарних ринків, або подати до господарського суду заяву з вимогами до такого боржника, а також документи, що їх підтверджують, </w:t>
            </w:r>
            <w:r w:rsidRPr="00286216">
              <w:rPr>
                <w:color w:val="000000" w:themeColor="text1"/>
              </w:rPr>
              <w:lastRenderedPageBreak/>
              <w:t>для внесення відомостей про такого клієнта до реєстру вимог кредиторів.</w:t>
            </w:r>
          </w:p>
        </w:tc>
      </w:tr>
      <w:tr w:rsidR="00DB4DA8" w:rsidRPr="00286216" w14:paraId="528B7ED8" w14:textId="77777777" w:rsidTr="00091AA5">
        <w:tc>
          <w:tcPr>
            <w:tcW w:w="576" w:type="dxa"/>
          </w:tcPr>
          <w:p w14:paraId="5833A817" w14:textId="77777777" w:rsidR="00DB4DA8" w:rsidRPr="00286216" w:rsidRDefault="00DB4DA8" w:rsidP="00DB4DA8">
            <w:pPr>
              <w:pStyle w:val="StyleWisnow"/>
              <w:rPr>
                <w:color w:val="000000" w:themeColor="text1"/>
              </w:rPr>
            </w:pPr>
            <w:bookmarkStart w:id="2676" w:name="n2804" w:colFirst="0" w:colLast="0"/>
            <w:bookmarkEnd w:id="2675"/>
            <w:r w:rsidRPr="00286216">
              <w:rPr>
                <w:color w:val="000000" w:themeColor="text1"/>
              </w:rPr>
              <w:lastRenderedPageBreak/>
              <w:t>2804.</w:t>
            </w:r>
          </w:p>
        </w:tc>
        <w:tc>
          <w:tcPr>
            <w:tcW w:w="4818" w:type="dxa"/>
          </w:tcPr>
          <w:p w14:paraId="50C4529F" w14:textId="77777777" w:rsidR="00DB4DA8" w:rsidRPr="00286216" w:rsidRDefault="00DB4DA8" w:rsidP="00DB4DA8">
            <w:pPr>
              <w:pStyle w:val="StyleZakonu"/>
              <w:rPr>
                <w:color w:val="000000" w:themeColor="text1"/>
              </w:rPr>
            </w:pPr>
            <w:r w:rsidRPr="00286216">
              <w:rPr>
                <w:color w:val="000000" w:themeColor="text1"/>
              </w:rPr>
              <w:t>6. Фінансові інструменти, грошові кошти та інше майно, що належать клієнтам професійного учасника ринків капіталу та організованих товарних ринків, та перебувають у володінні та/або користуванні та/або розпорядженні такого учасника не включаються до складу ліквідаційної маси.</w:t>
            </w:r>
          </w:p>
        </w:tc>
        <w:tc>
          <w:tcPr>
            <w:tcW w:w="3686" w:type="dxa"/>
          </w:tcPr>
          <w:p w14:paraId="16A2768E" w14:textId="77777777" w:rsidR="00DB4DA8" w:rsidRPr="00286216" w:rsidRDefault="00DB4DA8" w:rsidP="00DB4DA8">
            <w:pPr>
              <w:pStyle w:val="StyleProp"/>
              <w:rPr>
                <w:color w:val="000000" w:themeColor="text1"/>
                <w:szCs w:val="18"/>
              </w:rPr>
            </w:pPr>
          </w:p>
        </w:tc>
        <w:tc>
          <w:tcPr>
            <w:tcW w:w="1987" w:type="dxa"/>
          </w:tcPr>
          <w:p w14:paraId="71AAE26D" w14:textId="77777777" w:rsidR="00DB4DA8" w:rsidRPr="00286216" w:rsidRDefault="00DB4DA8" w:rsidP="00DB4DA8">
            <w:pPr>
              <w:pStyle w:val="StyleWisnow"/>
              <w:rPr>
                <w:color w:val="000000" w:themeColor="text1"/>
              </w:rPr>
            </w:pPr>
          </w:p>
        </w:tc>
        <w:tc>
          <w:tcPr>
            <w:tcW w:w="4818" w:type="dxa"/>
          </w:tcPr>
          <w:p w14:paraId="43BD5C52" w14:textId="6EA6D8F2" w:rsidR="00DB4DA8" w:rsidRPr="00286216" w:rsidRDefault="00DB4DA8" w:rsidP="00DB4DA8">
            <w:pPr>
              <w:pStyle w:val="StyleZakonu"/>
              <w:rPr>
                <w:color w:val="000000" w:themeColor="text1"/>
              </w:rPr>
            </w:pPr>
            <w:r w:rsidRPr="00286216">
              <w:rPr>
                <w:color w:val="000000" w:themeColor="text1"/>
              </w:rPr>
              <w:t>6. Фінансові інструменти, грошові кошти та інше майно, що належать клієнтам професійного учасника ринків капіталу та організованих товарних ринків, та перебувають у володінні та/або користуванні, та/або розпорядженні такого учасника не включаються до складу ліквідаційної маси.</w:t>
            </w:r>
          </w:p>
        </w:tc>
      </w:tr>
      <w:tr w:rsidR="00DB4DA8" w:rsidRPr="00286216" w14:paraId="58A3BC5E" w14:textId="77777777" w:rsidTr="00091AA5">
        <w:tc>
          <w:tcPr>
            <w:tcW w:w="576" w:type="dxa"/>
          </w:tcPr>
          <w:p w14:paraId="4C8E0221" w14:textId="77777777" w:rsidR="00DB4DA8" w:rsidRPr="00286216" w:rsidRDefault="00DB4DA8" w:rsidP="00DB4DA8">
            <w:pPr>
              <w:pStyle w:val="StyleWisnow"/>
              <w:rPr>
                <w:color w:val="000000" w:themeColor="text1"/>
              </w:rPr>
            </w:pPr>
            <w:bookmarkStart w:id="2677" w:name="n2805" w:colFirst="0" w:colLast="0"/>
            <w:bookmarkEnd w:id="2676"/>
            <w:r w:rsidRPr="00286216">
              <w:rPr>
                <w:color w:val="000000" w:themeColor="text1"/>
              </w:rPr>
              <w:t>2805.</w:t>
            </w:r>
          </w:p>
        </w:tc>
        <w:tc>
          <w:tcPr>
            <w:tcW w:w="4818" w:type="dxa"/>
          </w:tcPr>
          <w:p w14:paraId="7EF487C6" w14:textId="77777777" w:rsidR="00DB4DA8" w:rsidRPr="00286216" w:rsidRDefault="00DB4DA8" w:rsidP="00DB4DA8">
            <w:pPr>
              <w:pStyle w:val="StyleZakonu"/>
              <w:rPr>
                <w:color w:val="000000" w:themeColor="text1"/>
              </w:rPr>
            </w:pPr>
            <w:r w:rsidRPr="00286216">
              <w:rPr>
                <w:color w:val="000000" w:themeColor="text1"/>
              </w:rPr>
              <w:t>7. Якщо вимоги клієнтів щодо повернення з володіння та/або користування та/або розпорядження професійного учасника ринків капіталу та організованих товарних ринків, що є боржником, належних клієнтам цінних паперів на пред’явника, що мають однаковий міжнародний ідентифікаційний номер, перевищують кількість таких цінних паперів, які перебувають у фактичному володінні професійного учасника ринків капіталу, повернення таких цінних паперів клієнтам здійснюється пропорційно до їхніх вимог.</w:t>
            </w:r>
          </w:p>
        </w:tc>
        <w:tc>
          <w:tcPr>
            <w:tcW w:w="3686" w:type="dxa"/>
          </w:tcPr>
          <w:p w14:paraId="0609A454" w14:textId="77777777" w:rsidR="00DB4DA8" w:rsidRPr="00286216" w:rsidRDefault="00DB4DA8" w:rsidP="00DB4DA8">
            <w:pPr>
              <w:pStyle w:val="StyleProp"/>
              <w:rPr>
                <w:color w:val="000000" w:themeColor="text1"/>
                <w:szCs w:val="18"/>
              </w:rPr>
            </w:pPr>
          </w:p>
        </w:tc>
        <w:tc>
          <w:tcPr>
            <w:tcW w:w="1987" w:type="dxa"/>
          </w:tcPr>
          <w:p w14:paraId="3AF1E57C" w14:textId="77777777" w:rsidR="00DB4DA8" w:rsidRPr="00286216" w:rsidRDefault="00DB4DA8" w:rsidP="00DB4DA8">
            <w:pPr>
              <w:pStyle w:val="StyleWisnow"/>
              <w:rPr>
                <w:color w:val="000000" w:themeColor="text1"/>
              </w:rPr>
            </w:pPr>
          </w:p>
        </w:tc>
        <w:tc>
          <w:tcPr>
            <w:tcW w:w="4818" w:type="dxa"/>
          </w:tcPr>
          <w:p w14:paraId="6CFD9E03" w14:textId="10E7DB3E" w:rsidR="00DB4DA8" w:rsidRPr="00286216" w:rsidRDefault="00DB4DA8" w:rsidP="00DB4DA8">
            <w:pPr>
              <w:pStyle w:val="StyleZakonu"/>
              <w:rPr>
                <w:color w:val="000000" w:themeColor="text1"/>
              </w:rPr>
            </w:pPr>
            <w:r w:rsidRPr="00286216">
              <w:rPr>
                <w:color w:val="000000" w:themeColor="text1"/>
              </w:rPr>
              <w:t>7. Якщо вимоги клієнтів щодо повернення з володіння та/або користування, та/або розпорядження професійного учасника ринків капіталу та організованих товарних ринків, що є боржником, належних клієнтам цінних паперів на пред’явника, що мають однаковий міжнародний ідентифікаційний номер, перевищують кількість таких цінних паперів, які перебувають у фактичному володінні професійного учасника ринків капіталу, повернення таких цінних паперів клієнтам здійснюється пропорційно до їхніх вимог.</w:t>
            </w:r>
          </w:p>
        </w:tc>
      </w:tr>
      <w:tr w:rsidR="00DB4DA8" w:rsidRPr="00286216" w14:paraId="4F73B7DB" w14:textId="77777777" w:rsidTr="00091AA5">
        <w:tc>
          <w:tcPr>
            <w:tcW w:w="576" w:type="dxa"/>
          </w:tcPr>
          <w:p w14:paraId="1C7E55EA" w14:textId="77777777" w:rsidR="00DB4DA8" w:rsidRPr="00286216" w:rsidRDefault="00DB4DA8" w:rsidP="00DB4DA8">
            <w:pPr>
              <w:pStyle w:val="StyleWisnow"/>
              <w:rPr>
                <w:color w:val="000000" w:themeColor="text1"/>
              </w:rPr>
            </w:pPr>
            <w:bookmarkStart w:id="2678" w:name="n2806" w:colFirst="0" w:colLast="0"/>
            <w:bookmarkEnd w:id="2677"/>
            <w:r w:rsidRPr="00286216">
              <w:rPr>
                <w:color w:val="000000" w:themeColor="text1"/>
              </w:rPr>
              <w:t>2806.</w:t>
            </w:r>
          </w:p>
        </w:tc>
        <w:tc>
          <w:tcPr>
            <w:tcW w:w="4818" w:type="dxa"/>
          </w:tcPr>
          <w:p w14:paraId="35B2BDD6" w14:textId="77777777" w:rsidR="00DB4DA8" w:rsidRPr="00286216" w:rsidRDefault="00DB4DA8" w:rsidP="00DB4DA8">
            <w:pPr>
              <w:pStyle w:val="StyleZakonu"/>
              <w:rPr>
                <w:color w:val="000000" w:themeColor="text1"/>
              </w:rPr>
            </w:pPr>
            <w:r w:rsidRPr="00286216">
              <w:rPr>
                <w:color w:val="000000" w:themeColor="text1"/>
              </w:rPr>
              <w:t>Вимоги клієнтів щодо повернення належних їм цінних паперів у незадоволеній їх частині визнаються грошовими зобов’язаннями і задовольняються відповідно до черги (класу) кредитора, передбаченому цим Кодексом.</w:t>
            </w:r>
          </w:p>
        </w:tc>
        <w:tc>
          <w:tcPr>
            <w:tcW w:w="3686" w:type="dxa"/>
          </w:tcPr>
          <w:p w14:paraId="25298DB1" w14:textId="77777777" w:rsidR="00DB4DA8" w:rsidRPr="00286216" w:rsidRDefault="00DB4DA8" w:rsidP="00DB4DA8">
            <w:pPr>
              <w:pStyle w:val="StyleProp"/>
              <w:rPr>
                <w:color w:val="000000" w:themeColor="text1"/>
                <w:szCs w:val="18"/>
              </w:rPr>
            </w:pPr>
          </w:p>
        </w:tc>
        <w:tc>
          <w:tcPr>
            <w:tcW w:w="1987" w:type="dxa"/>
          </w:tcPr>
          <w:p w14:paraId="462D75B3" w14:textId="77777777" w:rsidR="00DB4DA8" w:rsidRPr="00286216" w:rsidRDefault="00DB4DA8" w:rsidP="00DB4DA8">
            <w:pPr>
              <w:pStyle w:val="StyleWisnow"/>
              <w:rPr>
                <w:color w:val="000000" w:themeColor="text1"/>
              </w:rPr>
            </w:pPr>
          </w:p>
        </w:tc>
        <w:tc>
          <w:tcPr>
            <w:tcW w:w="4818" w:type="dxa"/>
          </w:tcPr>
          <w:p w14:paraId="590928EB" w14:textId="0CAEEABB" w:rsidR="00DB4DA8" w:rsidRPr="00286216" w:rsidRDefault="00DB4DA8" w:rsidP="00DB4DA8">
            <w:pPr>
              <w:pStyle w:val="StyleZakonu"/>
              <w:rPr>
                <w:color w:val="000000" w:themeColor="text1"/>
              </w:rPr>
            </w:pPr>
            <w:r w:rsidRPr="00286216">
              <w:rPr>
                <w:color w:val="000000" w:themeColor="text1"/>
              </w:rPr>
              <w:t>Вимоги клієнтів щодо повернення належних їм цінних паперів у незадоволеній їх частині визнаються грошовими зобов’язаннями і задовольняються відповідно до черги (класу) кредитора, передбаченої цим Кодексом.</w:t>
            </w:r>
          </w:p>
        </w:tc>
      </w:tr>
      <w:tr w:rsidR="00DB4DA8" w:rsidRPr="00286216" w14:paraId="1FCDDDB2" w14:textId="77777777" w:rsidTr="00091AA5">
        <w:tc>
          <w:tcPr>
            <w:tcW w:w="576" w:type="dxa"/>
          </w:tcPr>
          <w:p w14:paraId="25612966" w14:textId="77777777" w:rsidR="00DB4DA8" w:rsidRPr="00286216" w:rsidRDefault="00DB4DA8" w:rsidP="00DB4DA8">
            <w:pPr>
              <w:pStyle w:val="StyleWisnow"/>
              <w:rPr>
                <w:color w:val="000000" w:themeColor="text1"/>
              </w:rPr>
            </w:pPr>
            <w:bookmarkStart w:id="2679" w:name="n2807" w:colFirst="0" w:colLast="0"/>
            <w:bookmarkEnd w:id="2678"/>
            <w:r w:rsidRPr="00286216">
              <w:rPr>
                <w:color w:val="000000" w:themeColor="text1"/>
              </w:rPr>
              <w:t>2807.</w:t>
            </w:r>
          </w:p>
        </w:tc>
        <w:tc>
          <w:tcPr>
            <w:tcW w:w="4818" w:type="dxa"/>
          </w:tcPr>
          <w:p w14:paraId="1B7DE38E" w14:textId="77777777" w:rsidR="00DB4DA8" w:rsidRPr="00286216" w:rsidRDefault="00DB4DA8" w:rsidP="00DB4DA8">
            <w:pPr>
              <w:pStyle w:val="StyleZakonu"/>
              <w:rPr>
                <w:color w:val="000000" w:themeColor="text1"/>
              </w:rPr>
            </w:pPr>
            <w:r w:rsidRPr="00286216">
              <w:rPr>
                <w:color w:val="000000" w:themeColor="text1"/>
              </w:rPr>
              <w:t>8. Під час проведення санації професійного учасника ринків капіталу, керуючий санацією має право за згодою клієнта передати цінні папери, передані у володіння та/або користування та/або розпорядження такому професійному учаснику ринку капіталу клієнтом, іншому суб’єкту підприємницької діяльності, який має відповідну ліцензію професійного учасника ринку капіталу.</w:t>
            </w:r>
          </w:p>
        </w:tc>
        <w:tc>
          <w:tcPr>
            <w:tcW w:w="3686" w:type="dxa"/>
          </w:tcPr>
          <w:p w14:paraId="478F8C96" w14:textId="77777777" w:rsidR="00DB4DA8" w:rsidRPr="00286216" w:rsidRDefault="00DB4DA8" w:rsidP="00DB4DA8">
            <w:pPr>
              <w:pStyle w:val="StyleProp"/>
              <w:rPr>
                <w:color w:val="000000" w:themeColor="text1"/>
                <w:szCs w:val="18"/>
              </w:rPr>
            </w:pPr>
          </w:p>
        </w:tc>
        <w:tc>
          <w:tcPr>
            <w:tcW w:w="1987" w:type="dxa"/>
          </w:tcPr>
          <w:p w14:paraId="691133B3" w14:textId="77777777" w:rsidR="00DB4DA8" w:rsidRPr="00286216" w:rsidRDefault="00DB4DA8" w:rsidP="00DB4DA8">
            <w:pPr>
              <w:pStyle w:val="StyleWisnow"/>
              <w:rPr>
                <w:color w:val="000000" w:themeColor="text1"/>
              </w:rPr>
            </w:pPr>
          </w:p>
        </w:tc>
        <w:tc>
          <w:tcPr>
            <w:tcW w:w="4818" w:type="dxa"/>
          </w:tcPr>
          <w:p w14:paraId="53F958BB" w14:textId="34050AD7" w:rsidR="00DB4DA8" w:rsidRPr="00286216" w:rsidRDefault="00DB4DA8" w:rsidP="00DB4DA8">
            <w:pPr>
              <w:pStyle w:val="StyleZakonu"/>
              <w:rPr>
                <w:color w:val="000000" w:themeColor="text1"/>
              </w:rPr>
            </w:pPr>
            <w:r w:rsidRPr="00286216">
              <w:rPr>
                <w:color w:val="000000" w:themeColor="text1"/>
              </w:rPr>
              <w:t>8. Під час проведення санації професійного учасника ринків капіталу керуючий санацією має право за згодою клієнта передати цінні папери, передані у володіння та/або, користування та/або розпорядження такому професійному учаснику ринку капіталу клієнтом, іншому суб’єкту підприємницької діяльності, який має ліцензію на провадження відповідного виду діяльності в межах професійної діяльності на ринках капіталу.</w:t>
            </w:r>
          </w:p>
        </w:tc>
      </w:tr>
      <w:tr w:rsidR="00DB4DA8" w:rsidRPr="00286216" w14:paraId="638346C8" w14:textId="77777777" w:rsidTr="00091AA5">
        <w:tc>
          <w:tcPr>
            <w:tcW w:w="576" w:type="dxa"/>
          </w:tcPr>
          <w:p w14:paraId="37BEAE63" w14:textId="77777777" w:rsidR="00DB4DA8" w:rsidRPr="00286216" w:rsidRDefault="00DB4DA8" w:rsidP="00DB4DA8">
            <w:pPr>
              <w:pStyle w:val="StyleWisnow"/>
              <w:rPr>
                <w:color w:val="000000" w:themeColor="text1"/>
              </w:rPr>
            </w:pPr>
            <w:bookmarkStart w:id="2680" w:name="n2808" w:colFirst="0" w:colLast="0"/>
            <w:bookmarkEnd w:id="2679"/>
            <w:r w:rsidRPr="00286216">
              <w:rPr>
                <w:color w:val="000000" w:themeColor="text1"/>
              </w:rPr>
              <w:t>2808.</w:t>
            </w:r>
          </w:p>
        </w:tc>
        <w:tc>
          <w:tcPr>
            <w:tcW w:w="4818" w:type="dxa"/>
          </w:tcPr>
          <w:p w14:paraId="2934D2B3" w14:textId="77777777" w:rsidR="00DB4DA8" w:rsidRPr="00286216" w:rsidRDefault="00DB4DA8" w:rsidP="00DB4DA8">
            <w:pPr>
              <w:pStyle w:val="StyleZakonu"/>
              <w:rPr>
                <w:color w:val="000000" w:themeColor="text1"/>
              </w:rPr>
            </w:pPr>
            <w:r w:rsidRPr="00286216">
              <w:rPr>
                <w:color w:val="000000" w:themeColor="text1"/>
              </w:rPr>
              <w:t>9. Фінансові інструменти, що належать професійному учасникові ринку ринків капіталу і допущені до торгів на організованих ринках капіталу, підлягають продажу на організованих ринках капіталу.</w:t>
            </w:r>
          </w:p>
        </w:tc>
        <w:tc>
          <w:tcPr>
            <w:tcW w:w="3686" w:type="dxa"/>
          </w:tcPr>
          <w:p w14:paraId="6A83E27C" w14:textId="77777777" w:rsidR="00DB4DA8" w:rsidRPr="00286216" w:rsidRDefault="00DB4DA8" w:rsidP="00DB4DA8">
            <w:pPr>
              <w:pStyle w:val="StyleProp"/>
              <w:rPr>
                <w:color w:val="000000" w:themeColor="text1"/>
                <w:szCs w:val="18"/>
              </w:rPr>
            </w:pPr>
          </w:p>
        </w:tc>
        <w:tc>
          <w:tcPr>
            <w:tcW w:w="1987" w:type="dxa"/>
          </w:tcPr>
          <w:p w14:paraId="6094977F" w14:textId="77777777" w:rsidR="00DB4DA8" w:rsidRPr="00286216" w:rsidRDefault="00DB4DA8" w:rsidP="00DB4DA8">
            <w:pPr>
              <w:pStyle w:val="StyleWisnow"/>
              <w:rPr>
                <w:color w:val="000000" w:themeColor="text1"/>
              </w:rPr>
            </w:pPr>
          </w:p>
        </w:tc>
        <w:tc>
          <w:tcPr>
            <w:tcW w:w="4818" w:type="dxa"/>
          </w:tcPr>
          <w:p w14:paraId="3F84C4EB" w14:textId="31C078D6" w:rsidR="00DB4DA8" w:rsidRPr="00286216" w:rsidRDefault="00DB4DA8" w:rsidP="00DB4DA8">
            <w:pPr>
              <w:pStyle w:val="StyleZakonu"/>
              <w:rPr>
                <w:color w:val="000000" w:themeColor="text1"/>
              </w:rPr>
            </w:pPr>
            <w:r w:rsidRPr="00286216">
              <w:rPr>
                <w:color w:val="000000" w:themeColor="text1"/>
              </w:rPr>
              <w:t>9. Фінансові інструменти, що належать професійному учасникові ринків капіталу і допущені до торгів на організованих ринках капіталу, підлягають продажу на організованих ринках капіталу.</w:t>
            </w:r>
          </w:p>
        </w:tc>
      </w:tr>
      <w:tr w:rsidR="00DB4DA8" w:rsidRPr="00286216" w14:paraId="21A26DC4" w14:textId="77777777" w:rsidTr="00091AA5">
        <w:tc>
          <w:tcPr>
            <w:tcW w:w="576" w:type="dxa"/>
          </w:tcPr>
          <w:p w14:paraId="3E3F5793" w14:textId="77777777" w:rsidR="00DB4DA8" w:rsidRPr="00286216" w:rsidRDefault="00DB4DA8" w:rsidP="00DB4DA8">
            <w:pPr>
              <w:pStyle w:val="StyleWisnow"/>
              <w:rPr>
                <w:color w:val="000000" w:themeColor="text1"/>
              </w:rPr>
            </w:pPr>
            <w:bookmarkStart w:id="2681" w:name="n2809" w:colFirst="0" w:colLast="0"/>
            <w:bookmarkEnd w:id="2680"/>
            <w:r w:rsidRPr="00286216">
              <w:rPr>
                <w:color w:val="000000" w:themeColor="text1"/>
              </w:rPr>
              <w:t>2809.</w:t>
            </w:r>
          </w:p>
        </w:tc>
        <w:tc>
          <w:tcPr>
            <w:tcW w:w="4818" w:type="dxa"/>
          </w:tcPr>
          <w:p w14:paraId="1F0F71FB" w14:textId="77777777" w:rsidR="00DB4DA8" w:rsidRPr="00286216" w:rsidRDefault="00DB4DA8" w:rsidP="00DB4DA8">
            <w:pPr>
              <w:pStyle w:val="StyleZakonu"/>
              <w:rPr>
                <w:color w:val="000000" w:themeColor="text1"/>
              </w:rPr>
            </w:pPr>
            <w:r w:rsidRPr="00286216">
              <w:rPr>
                <w:color w:val="000000" w:themeColor="text1"/>
              </w:rPr>
              <w:t>У разі якщо зазначені фінансові інструменти не допущені до торгів на організованих ринках капіталу, вони підлягають продажу в порядку, встановленому цим Кодексом.";</w:t>
            </w:r>
          </w:p>
        </w:tc>
        <w:tc>
          <w:tcPr>
            <w:tcW w:w="3686" w:type="dxa"/>
          </w:tcPr>
          <w:p w14:paraId="2E9459EA" w14:textId="77777777" w:rsidR="00DB4DA8" w:rsidRPr="00286216" w:rsidRDefault="00DB4DA8" w:rsidP="00DB4DA8">
            <w:pPr>
              <w:pStyle w:val="StyleProp"/>
              <w:rPr>
                <w:color w:val="000000" w:themeColor="text1"/>
                <w:szCs w:val="18"/>
              </w:rPr>
            </w:pPr>
          </w:p>
        </w:tc>
        <w:tc>
          <w:tcPr>
            <w:tcW w:w="1987" w:type="dxa"/>
          </w:tcPr>
          <w:p w14:paraId="0C4A3489" w14:textId="77777777" w:rsidR="00DB4DA8" w:rsidRPr="00286216" w:rsidRDefault="00DB4DA8" w:rsidP="00DB4DA8">
            <w:pPr>
              <w:pStyle w:val="StyleWisnow"/>
              <w:rPr>
                <w:color w:val="000000" w:themeColor="text1"/>
              </w:rPr>
            </w:pPr>
          </w:p>
        </w:tc>
        <w:tc>
          <w:tcPr>
            <w:tcW w:w="4818" w:type="dxa"/>
          </w:tcPr>
          <w:p w14:paraId="15CE2D09" w14:textId="5551E535" w:rsidR="00DB4DA8" w:rsidRPr="00286216" w:rsidRDefault="00DB4DA8" w:rsidP="00DB4DA8">
            <w:pPr>
              <w:pStyle w:val="StyleZakonu"/>
              <w:rPr>
                <w:color w:val="000000" w:themeColor="text1"/>
              </w:rPr>
            </w:pPr>
            <w:r w:rsidRPr="00286216">
              <w:rPr>
                <w:color w:val="000000" w:themeColor="text1"/>
              </w:rPr>
              <w:t>У разі якщо зазначені фінансові інструменти не допущені до торгів на організованих ринках капіталу, вони підлягають продажу в порядку, встановленому цим Кодексом";</w:t>
            </w:r>
          </w:p>
        </w:tc>
      </w:tr>
      <w:tr w:rsidR="00DB4DA8" w:rsidRPr="00286216" w14:paraId="6941786C" w14:textId="77777777" w:rsidTr="00091AA5">
        <w:tc>
          <w:tcPr>
            <w:tcW w:w="576" w:type="dxa"/>
          </w:tcPr>
          <w:p w14:paraId="6F59B438" w14:textId="77777777" w:rsidR="00DB4DA8" w:rsidRPr="00286216" w:rsidRDefault="00DB4DA8" w:rsidP="00DB4DA8">
            <w:pPr>
              <w:pStyle w:val="StyleWisnow"/>
              <w:rPr>
                <w:color w:val="000000" w:themeColor="text1"/>
              </w:rPr>
            </w:pPr>
            <w:bookmarkStart w:id="2682" w:name="n2810" w:colFirst="0" w:colLast="0"/>
            <w:bookmarkEnd w:id="2681"/>
            <w:r w:rsidRPr="00286216">
              <w:rPr>
                <w:color w:val="000000" w:themeColor="text1"/>
              </w:rPr>
              <w:t>2810.</w:t>
            </w:r>
          </w:p>
        </w:tc>
        <w:tc>
          <w:tcPr>
            <w:tcW w:w="4818" w:type="dxa"/>
          </w:tcPr>
          <w:p w14:paraId="5F63B523" w14:textId="77777777" w:rsidR="00DB4DA8" w:rsidRPr="00286216" w:rsidRDefault="00DB4DA8" w:rsidP="00DB4DA8">
            <w:pPr>
              <w:pStyle w:val="StyleZakonu"/>
              <w:rPr>
                <w:color w:val="000000" w:themeColor="text1"/>
              </w:rPr>
            </w:pPr>
            <w:r w:rsidRPr="00286216">
              <w:rPr>
                <w:color w:val="000000" w:themeColor="text1"/>
              </w:rPr>
              <w:t xml:space="preserve">10) доповнити закон після статті 93 новою статтею </w:t>
            </w:r>
            <w:r w:rsidRPr="00286216">
              <w:rPr>
                <w:color w:val="000000" w:themeColor="text1"/>
              </w:rPr>
              <w:lastRenderedPageBreak/>
              <w:t>такого змісту:</w:t>
            </w:r>
          </w:p>
        </w:tc>
        <w:tc>
          <w:tcPr>
            <w:tcW w:w="3686" w:type="dxa"/>
          </w:tcPr>
          <w:p w14:paraId="0F28F608" w14:textId="77777777" w:rsidR="00DB4DA8" w:rsidRPr="00286216" w:rsidRDefault="00DB4DA8" w:rsidP="00DB4DA8">
            <w:pPr>
              <w:pStyle w:val="StyleProp"/>
              <w:rPr>
                <w:color w:val="000000" w:themeColor="text1"/>
                <w:szCs w:val="18"/>
              </w:rPr>
            </w:pPr>
          </w:p>
        </w:tc>
        <w:tc>
          <w:tcPr>
            <w:tcW w:w="1987" w:type="dxa"/>
          </w:tcPr>
          <w:p w14:paraId="31733D1D" w14:textId="77777777" w:rsidR="00DB4DA8" w:rsidRPr="00286216" w:rsidRDefault="00DB4DA8" w:rsidP="00DB4DA8">
            <w:pPr>
              <w:pStyle w:val="StyleWisnow"/>
              <w:rPr>
                <w:color w:val="000000" w:themeColor="text1"/>
              </w:rPr>
            </w:pPr>
          </w:p>
        </w:tc>
        <w:tc>
          <w:tcPr>
            <w:tcW w:w="4818" w:type="dxa"/>
          </w:tcPr>
          <w:p w14:paraId="2CFC61D2" w14:textId="55F2D854" w:rsidR="00DB4DA8" w:rsidRPr="00286216" w:rsidRDefault="00DB4DA8" w:rsidP="00DB4DA8">
            <w:pPr>
              <w:pStyle w:val="StyleZakonu"/>
              <w:rPr>
                <w:color w:val="000000" w:themeColor="text1"/>
              </w:rPr>
            </w:pPr>
            <w:r w:rsidRPr="00286216">
              <w:rPr>
                <w:color w:val="000000" w:themeColor="text1"/>
              </w:rPr>
              <w:t>10) доповнити статтею 93</w:t>
            </w:r>
            <w:r w:rsidRPr="00286216">
              <w:rPr>
                <w:color w:val="000000" w:themeColor="text1"/>
                <w:vertAlign w:val="superscript"/>
              </w:rPr>
              <w:t>1</w:t>
            </w:r>
            <w:r w:rsidRPr="00286216">
              <w:rPr>
                <w:color w:val="000000" w:themeColor="text1"/>
              </w:rPr>
              <w:t xml:space="preserve"> такого змісту:</w:t>
            </w:r>
          </w:p>
        </w:tc>
      </w:tr>
      <w:tr w:rsidR="00DB4DA8" w:rsidRPr="00286216" w14:paraId="321A63AB" w14:textId="77777777" w:rsidTr="00091AA5">
        <w:tc>
          <w:tcPr>
            <w:tcW w:w="576" w:type="dxa"/>
          </w:tcPr>
          <w:p w14:paraId="0FB5BDD9" w14:textId="77777777" w:rsidR="00DB4DA8" w:rsidRPr="00286216" w:rsidRDefault="00DB4DA8" w:rsidP="00DB4DA8">
            <w:pPr>
              <w:pStyle w:val="StyleWisnow"/>
              <w:rPr>
                <w:color w:val="000000" w:themeColor="text1"/>
              </w:rPr>
            </w:pPr>
            <w:bookmarkStart w:id="2683" w:name="n2811" w:colFirst="0" w:colLast="0"/>
            <w:bookmarkEnd w:id="2682"/>
            <w:r w:rsidRPr="00286216">
              <w:rPr>
                <w:color w:val="000000" w:themeColor="text1"/>
              </w:rPr>
              <w:t>2811.</w:t>
            </w:r>
          </w:p>
        </w:tc>
        <w:tc>
          <w:tcPr>
            <w:tcW w:w="4818" w:type="dxa"/>
          </w:tcPr>
          <w:p w14:paraId="4A40F5EA" w14:textId="77777777" w:rsidR="00DB4DA8" w:rsidRPr="00286216" w:rsidRDefault="00DB4DA8" w:rsidP="00DB4DA8">
            <w:pPr>
              <w:pStyle w:val="StyleZakonu"/>
              <w:rPr>
                <w:color w:val="000000" w:themeColor="text1"/>
              </w:rPr>
            </w:pPr>
            <w:r w:rsidRPr="00286216">
              <w:rPr>
                <w:color w:val="000000" w:themeColor="text1"/>
              </w:rPr>
              <w:t>"Стаття 93</w:t>
            </w:r>
            <w:r w:rsidRPr="00286216">
              <w:rPr>
                <w:color w:val="000000" w:themeColor="text1"/>
                <w:vertAlign w:val="superscript"/>
              </w:rPr>
              <w:t>1</w:t>
            </w:r>
            <w:r w:rsidRPr="00286216">
              <w:rPr>
                <w:color w:val="000000" w:themeColor="text1"/>
              </w:rPr>
              <w:t>. Особливості банкрутства боржника, який має зобов’язання за облігаціями за участю адміністратора за випуском облігацій</w:t>
            </w:r>
          </w:p>
        </w:tc>
        <w:tc>
          <w:tcPr>
            <w:tcW w:w="3686" w:type="dxa"/>
          </w:tcPr>
          <w:p w14:paraId="3926E1CF" w14:textId="77777777" w:rsidR="00DB4DA8" w:rsidRPr="00286216" w:rsidRDefault="00DB4DA8" w:rsidP="00DB4DA8">
            <w:pPr>
              <w:pStyle w:val="StyleProp"/>
              <w:rPr>
                <w:color w:val="000000" w:themeColor="text1"/>
                <w:szCs w:val="18"/>
              </w:rPr>
            </w:pPr>
          </w:p>
        </w:tc>
        <w:tc>
          <w:tcPr>
            <w:tcW w:w="1987" w:type="dxa"/>
          </w:tcPr>
          <w:p w14:paraId="23B186D6" w14:textId="77777777" w:rsidR="00DB4DA8" w:rsidRPr="00286216" w:rsidRDefault="00DB4DA8" w:rsidP="00DB4DA8">
            <w:pPr>
              <w:pStyle w:val="StyleWisnow"/>
              <w:rPr>
                <w:color w:val="000000" w:themeColor="text1"/>
              </w:rPr>
            </w:pPr>
          </w:p>
        </w:tc>
        <w:tc>
          <w:tcPr>
            <w:tcW w:w="4818" w:type="dxa"/>
          </w:tcPr>
          <w:p w14:paraId="6C8E81E7" w14:textId="2A8E3507" w:rsidR="00DB4DA8" w:rsidRPr="00286216" w:rsidRDefault="00DB4DA8" w:rsidP="00DB4DA8">
            <w:pPr>
              <w:pStyle w:val="StyleZakonu"/>
              <w:rPr>
                <w:color w:val="000000" w:themeColor="text1"/>
              </w:rPr>
            </w:pPr>
            <w:r w:rsidRPr="00286216">
              <w:rPr>
                <w:color w:val="000000" w:themeColor="text1"/>
              </w:rPr>
              <w:t>"Стаття 93</w:t>
            </w:r>
            <w:r w:rsidRPr="00286216">
              <w:rPr>
                <w:color w:val="000000" w:themeColor="text1"/>
                <w:vertAlign w:val="superscript"/>
              </w:rPr>
              <w:t>1</w:t>
            </w:r>
            <w:r w:rsidRPr="00286216">
              <w:rPr>
                <w:color w:val="000000" w:themeColor="text1"/>
              </w:rPr>
              <w:t>. Особливості банкрутства боржника, який має зобов’язання за облігаціями за участю адміністратора за випуском облігацій</w:t>
            </w:r>
          </w:p>
        </w:tc>
      </w:tr>
      <w:tr w:rsidR="00DB4DA8" w:rsidRPr="00286216" w14:paraId="53FAD3D1" w14:textId="77777777" w:rsidTr="00091AA5">
        <w:tc>
          <w:tcPr>
            <w:tcW w:w="576" w:type="dxa"/>
          </w:tcPr>
          <w:p w14:paraId="396E6E90" w14:textId="77777777" w:rsidR="00DB4DA8" w:rsidRPr="00286216" w:rsidRDefault="00DB4DA8" w:rsidP="00DB4DA8">
            <w:pPr>
              <w:pStyle w:val="StyleWisnow"/>
              <w:rPr>
                <w:color w:val="000000" w:themeColor="text1"/>
              </w:rPr>
            </w:pPr>
            <w:bookmarkStart w:id="2684" w:name="n2812" w:colFirst="0" w:colLast="0"/>
            <w:bookmarkEnd w:id="2683"/>
            <w:r w:rsidRPr="00286216">
              <w:rPr>
                <w:color w:val="000000" w:themeColor="text1"/>
              </w:rPr>
              <w:t>2812.</w:t>
            </w:r>
          </w:p>
        </w:tc>
        <w:tc>
          <w:tcPr>
            <w:tcW w:w="4818" w:type="dxa"/>
          </w:tcPr>
          <w:p w14:paraId="5C94632D" w14:textId="77777777" w:rsidR="00DB4DA8" w:rsidRPr="00286216" w:rsidRDefault="00DB4DA8" w:rsidP="00DB4DA8">
            <w:pPr>
              <w:pStyle w:val="StyleZakonu"/>
              <w:rPr>
                <w:color w:val="000000" w:themeColor="text1"/>
              </w:rPr>
            </w:pPr>
            <w:r w:rsidRPr="00286216">
              <w:rPr>
                <w:color w:val="000000" w:themeColor="text1"/>
              </w:rPr>
              <w:t>1. Адміністратор за випуском облігацій зазначає у заяві з вимогами до боржника єдину вимогу кредитора, що дорівнює сумі усіх підтверджених вимог власників облігацій, в інтересах яких діє такий адміністратор. При цьому зазначення в заяві кожного власника облігацій, вимога якого включена до єдиної вимоги кредитора, не вимагається.</w:t>
            </w:r>
          </w:p>
        </w:tc>
        <w:tc>
          <w:tcPr>
            <w:tcW w:w="3686" w:type="dxa"/>
          </w:tcPr>
          <w:p w14:paraId="43AD9F85" w14:textId="77777777" w:rsidR="00DB4DA8" w:rsidRPr="00286216" w:rsidRDefault="00DB4DA8" w:rsidP="00DB4DA8">
            <w:pPr>
              <w:pStyle w:val="StyleProp"/>
              <w:rPr>
                <w:color w:val="000000" w:themeColor="text1"/>
                <w:szCs w:val="18"/>
              </w:rPr>
            </w:pPr>
          </w:p>
        </w:tc>
        <w:tc>
          <w:tcPr>
            <w:tcW w:w="1987" w:type="dxa"/>
          </w:tcPr>
          <w:p w14:paraId="76CD99EA" w14:textId="77777777" w:rsidR="00DB4DA8" w:rsidRPr="00286216" w:rsidRDefault="00DB4DA8" w:rsidP="00DB4DA8">
            <w:pPr>
              <w:pStyle w:val="StyleWisnow"/>
              <w:rPr>
                <w:color w:val="000000" w:themeColor="text1"/>
              </w:rPr>
            </w:pPr>
          </w:p>
        </w:tc>
        <w:tc>
          <w:tcPr>
            <w:tcW w:w="4818" w:type="dxa"/>
          </w:tcPr>
          <w:p w14:paraId="489695BA" w14:textId="71230BA0" w:rsidR="00DB4DA8" w:rsidRPr="00286216" w:rsidRDefault="00DB4DA8" w:rsidP="00DB4DA8">
            <w:pPr>
              <w:pStyle w:val="StyleZakonu"/>
              <w:rPr>
                <w:color w:val="000000" w:themeColor="text1"/>
              </w:rPr>
            </w:pPr>
            <w:r w:rsidRPr="00286216">
              <w:rPr>
                <w:color w:val="000000" w:themeColor="text1"/>
              </w:rPr>
              <w:t>1. Адміністратор за випуском облігацій зазначає у заяві з вимогами до боржника єдину вимогу кредитора, що дорівнює сумі усіх підтверджених вимог власників облігацій, в інтересах яких діє такий адміністратор. При цьому зазначення в заяві кожного власника облігацій, вимога якого включена до єдиної вимоги кредитора, не вимагається.</w:t>
            </w:r>
          </w:p>
        </w:tc>
      </w:tr>
      <w:tr w:rsidR="00DB4DA8" w:rsidRPr="00286216" w14:paraId="06329EE9" w14:textId="77777777" w:rsidTr="00091AA5">
        <w:tc>
          <w:tcPr>
            <w:tcW w:w="576" w:type="dxa"/>
          </w:tcPr>
          <w:p w14:paraId="589CCB32" w14:textId="77777777" w:rsidR="00DB4DA8" w:rsidRPr="00286216" w:rsidRDefault="00DB4DA8" w:rsidP="00DB4DA8">
            <w:pPr>
              <w:pStyle w:val="StyleWisnow"/>
              <w:rPr>
                <w:color w:val="000000" w:themeColor="text1"/>
              </w:rPr>
            </w:pPr>
            <w:bookmarkStart w:id="2685" w:name="n2813" w:colFirst="0" w:colLast="0"/>
            <w:bookmarkEnd w:id="2684"/>
            <w:r w:rsidRPr="00286216">
              <w:rPr>
                <w:color w:val="000000" w:themeColor="text1"/>
              </w:rPr>
              <w:t>2813.</w:t>
            </w:r>
          </w:p>
        </w:tc>
        <w:tc>
          <w:tcPr>
            <w:tcW w:w="4818" w:type="dxa"/>
          </w:tcPr>
          <w:p w14:paraId="122C27F1" w14:textId="77777777" w:rsidR="00DB4DA8" w:rsidRPr="00286216" w:rsidRDefault="00DB4DA8" w:rsidP="00DB4DA8">
            <w:pPr>
              <w:pStyle w:val="StyleZakonu"/>
              <w:rPr>
                <w:color w:val="000000" w:themeColor="text1"/>
              </w:rPr>
            </w:pPr>
            <w:r w:rsidRPr="00286216">
              <w:rPr>
                <w:color w:val="000000" w:themeColor="text1"/>
              </w:rPr>
              <w:t>2. Передбачені цим Кодексом права адміністратора за випуском облігацій як кредитора у справі про банкрутство боржника, який має зобов’язання за облігаціями, реалізуються адміністратором з урахуванням особливостей, встановлених Законом України "Про ринки капіталу та організовані товарні ринки".</w:t>
            </w:r>
          </w:p>
        </w:tc>
        <w:tc>
          <w:tcPr>
            <w:tcW w:w="3686" w:type="dxa"/>
          </w:tcPr>
          <w:p w14:paraId="4304F5CF" w14:textId="77777777" w:rsidR="00DB4DA8" w:rsidRPr="00286216" w:rsidRDefault="00DB4DA8" w:rsidP="00DB4DA8">
            <w:pPr>
              <w:pStyle w:val="StyleProp"/>
              <w:rPr>
                <w:color w:val="000000" w:themeColor="text1"/>
                <w:szCs w:val="18"/>
              </w:rPr>
            </w:pPr>
          </w:p>
        </w:tc>
        <w:tc>
          <w:tcPr>
            <w:tcW w:w="1987" w:type="dxa"/>
          </w:tcPr>
          <w:p w14:paraId="3056D4F3" w14:textId="77777777" w:rsidR="00DB4DA8" w:rsidRPr="00286216" w:rsidRDefault="00DB4DA8" w:rsidP="00DB4DA8">
            <w:pPr>
              <w:pStyle w:val="StyleWisnow"/>
              <w:rPr>
                <w:color w:val="000000" w:themeColor="text1"/>
              </w:rPr>
            </w:pPr>
          </w:p>
        </w:tc>
        <w:tc>
          <w:tcPr>
            <w:tcW w:w="4818" w:type="dxa"/>
          </w:tcPr>
          <w:p w14:paraId="0E344473" w14:textId="5A1F21AD" w:rsidR="00DB4DA8" w:rsidRPr="00286216" w:rsidRDefault="00DB4DA8" w:rsidP="00DB4DA8">
            <w:pPr>
              <w:pStyle w:val="StyleZakonu"/>
              <w:rPr>
                <w:color w:val="000000" w:themeColor="text1"/>
              </w:rPr>
            </w:pPr>
            <w:r w:rsidRPr="00286216">
              <w:rPr>
                <w:color w:val="000000" w:themeColor="text1"/>
              </w:rPr>
              <w:t>2. Передбачені цим Кодексом права адміністратора за випуском облігацій як кредитора у справі про банкрутство боржника, який має зобов’язання за облігаціями, реалізуються адміністратором з урахуванням особливостей, встановлених Законом України "Про ринки капіталу та організовані товарні ринки".</w:t>
            </w:r>
          </w:p>
        </w:tc>
      </w:tr>
      <w:tr w:rsidR="00DB4DA8" w:rsidRPr="00286216" w14:paraId="257B40A3" w14:textId="77777777" w:rsidTr="00091AA5">
        <w:tc>
          <w:tcPr>
            <w:tcW w:w="576" w:type="dxa"/>
          </w:tcPr>
          <w:p w14:paraId="5F070DC9" w14:textId="77777777" w:rsidR="00DB4DA8" w:rsidRPr="00286216" w:rsidRDefault="00DB4DA8" w:rsidP="00DB4DA8">
            <w:pPr>
              <w:pStyle w:val="StyleWisnow"/>
              <w:rPr>
                <w:color w:val="000000" w:themeColor="text1"/>
              </w:rPr>
            </w:pPr>
            <w:bookmarkStart w:id="2686" w:name="n2814" w:colFirst="0" w:colLast="0"/>
            <w:bookmarkEnd w:id="2685"/>
            <w:r w:rsidRPr="00286216">
              <w:rPr>
                <w:color w:val="000000" w:themeColor="text1"/>
              </w:rPr>
              <w:t>2814.</w:t>
            </w:r>
          </w:p>
        </w:tc>
        <w:tc>
          <w:tcPr>
            <w:tcW w:w="4818" w:type="dxa"/>
          </w:tcPr>
          <w:p w14:paraId="2CA8BA41" w14:textId="77777777" w:rsidR="00DB4DA8" w:rsidRPr="00286216" w:rsidRDefault="00DB4DA8" w:rsidP="00DB4DA8">
            <w:pPr>
              <w:pStyle w:val="StyleZakonu"/>
              <w:rPr>
                <w:color w:val="000000" w:themeColor="text1"/>
              </w:rPr>
            </w:pPr>
            <w:r w:rsidRPr="00286216">
              <w:rPr>
                <w:color w:val="000000" w:themeColor="text1"/>
              </w:rPr>
              <w:t>Виплати, отримані адміністратором за випуском облігацій у ході процедур банкрутства боржника, який має зобов’язання за облігаціями, розподіляються між власниками таких облігацій у порядку, передбаченому статтею 118 Закону України "Про ринки капіталу та організовані товарні ринки".";</w:t>
            </w:r>
          </w:p>
        </w:tc>
        <w:tc>
          <w:tcPr>
            <w:tcW w:w="3686" w:type="dxa"/>
          </w:tcPr>
          <w:p w14:paraId="5FFE081C" w14:textId="77777777" w:rsidR="00DB4DA8" w:rsidRPr="00286216" w:rsidRDefault="00DB4DA8" w:rsidP="00DB4DA8">
            <w:pPr>
              <w:pStyle w:val="StyleProp"/>
              <w:rPr>
                <w:color w:val="000000" w:themeColor="text1"/>
                <w:szCs w:val="18"/>
              </w:rPr>
            </w:pPr>
          </w:p>
        </w:tc>
        <w:tc>
          <w:tcPr>
            <w:tcW w:w="1987" w:type="dxa"/>
          </w:tcPr>
          <w:p w14:paraId="2F89F25D" w14:textId="77777777" w:rsidR="00DB4DA8" w:rsidRPr="00286216" w:rsidRDefault="00DB4DA8" w:rsidP="00DB4DA8">
            <w:pPr>
              <w:pStyle w:val="StyleWisnow"/>
              <w:rPr>
                <w:color w:val="000000" w:themeColor="text1"/>
              </w:rPr>
            </w:pPr>
          </w:p>
        </w:tc>
        <w:tc>
          <w:tcPr>
            <w:tcW w:w="4818" w:type="dxa"/>
          </w:tcPr>
          <w:p w14:paraId="5A23AB9B" w14:textId="1985850C" w:rsidR="00DB4DA8" w:rsidRPr="00286216" w:rsidRDefault="00DB4DA8" w:rsidP="00DB4DA8">
            <w:pPr>
              <w:pStyle w:val="StyleZakonu"/>
              <w:rPr>
                <w:color w:val="000000" w:themeColor="text1"/>
              </w:rPr>
            </w:pPr>
            <w:r w:rsidRPr="00286216">
              <w:rPr>
                <w:color w:val="000000" w:themeColor="text1"/>
              </w:rPr>
              <w:t>Виплати, отримані адміністратором за випуском облігацій у ході процедур банкрутства боржника, який має зобов’язання за облігаціями, розподіляються між власниками таких облігацій у порядку, передбаченому статтею 122 Закону України "Про ринки капіталу та організовані товарні ринки";</w:t>
            </w:r>
          </w:p>
        </w:tc>
      </w:tr>
      <w:tr w:rsidR="00DB4DA8" w:rsidRPr="00286216" w14:paraId="53BF02E8" w14:textId="77777777" w:rsidTr="00091AA5">
        <w:tc>
          <w:tcPr>
            <w:tcW w:w="576" w:type="dxa"/>
          </w:tcPr>
          <w:p w14:paraId="046B7334" w14:textId="77777777" w:rsidR="00DB4DA8" w:rsidRPr="00286216" w:rsidRDefault="00DB4DA8" w:rsidP="00DB4DA8">
            <w:pPr>
              <w:pStyle w:val="StyleWisnow"/>
              <w:rPr>
                <w:color w:val="000000" w:themeColor="text1"/>
              </w:rPr>
            </w:pPr>
            <w:bookmarkStart w:id="2687" w:name="n2815" w:colFirst="0" w:colLast="0"/>
            <w:bookmarkEnd w:id="2686"/>
            <w:r w:rsidRPr="00286216">
              <w:rPr>
                <w:color w:val="000000" w:themeColor="text1"/>
              </w:rPr>
              <w:t>2815.</w:t>
            </w:r>
          </w:p>
        </w:tc>
        <w:tc>
          <w:tcPr>
            <w:tcW w:w="4818" w:type="dxa"/>
          </w:tcPr>
          <w:p w14:paraId="292F3808" w14:textId="77777777" w:rsidR="00DB4DA8" w:rsidRPr="00286216" w:rsidRDefault="00DB4DA8" w:rsidP="00DB4DA8">
            <w:pPr>
              <w:pStyle w:val="StyleZakonu"/>
              <w:rPr>
                <w:color w:val="000000" w:themeColor="text1"/>
              </w:rPr>
            </w:pPr>
            <w:r w:rsidRPr="00286216">
              <w:rPr>
                <w:color w:val="000000" w:themeColor="text1"/>
              </w:rPr>
              <w:t>11) статтю 94 викласти у наступній редакції:</w:t>
            </w:r>
          </w:p>
        </w:tc>
        <w:tc>
          <w:tcPr>
            <w:tcW w:w="3686" w:type="dxa"/>
          </w:tcPr>
          <w:p w14:paraId="7F5DFCF1" w14:textId="5E92665C" w:rsidR="00DB4DA8" w:rsidRPr="00286216" w:rsidRDefault="00DB4DA8" w:rsidP="00DB4DA8">
            <w:pPr>
              <w:spacing w:line="220" w:lineRule="exact"/>
              <w:rPr>
                <w:b/>
                <w:i/>
                <w:color w:val="000000" w:themeColor="text1"/>
                <w:spacing w:val="-2"/>
                <w:sz w:val="18"/>
                <w:u w:val="single"/>
              </w:rPr>
            </w:pPr>
            <w:r w:rsidRPr="00286216">
              <w:rPr>
                <w:b/>
                <w:i/>
                <w:color w:val="000000" w:themeColor="text1"/>
                <w:spacing w:val="-2"/>
                <w:sz w:val="18"/>
                <w:u w:val="single"/>
              </w:rPr>
              <w:t>-</w:t>
            </w:r>
            <w:r w:rsidRPr="00286216">
              <w:rPr>
                <w:b/>
                <w:i/>
                <w:color w:val="000000" w:themeColor="text1"/>
                <w:spacing w:val="-2"/>
                <w:sz w:val="18"/>
                <w:u w:val="single"/>
              </w:rPr>
              <w:fldChar w:fldCharType="begin"/>
            </w:r>
            <w:r w:rsidRPr="00286216">
              <w:rPr>
                <w:b/>
                <w:i/>
                <w:color w:val="000000" w:themeColor="text1"/>
                <w:spacing w:val="-2"/>
                <w:sz w:val="18"/>
                <w:u w:val="single"/>
              </w:rPr>
              <w:instrText xml:space="preserve"> SEQ aa </w:instrText>
            </w:r>
            <w:r w:rsidRPr="00286216">
              <w:rPr>
                <w:b/>
                <w:i/>
                <w:color w:val="000000" w:themeColor="text1"/>
                <w:spacing w:val="-2"/>
                <w:sz w:val="18"/>
                <w:u w:val="single"/>
              </w:rPr>
              <w:fldChar w:fldCharType="separate"/>
            </w:r>
            <w:r w:rsidR="00C46B29">
              <w:rPr>
                <w:b/>
                <w:i/>
                <w:noProof/>
                <w:color w:val="000000" w:themeColor="text1"/>
                <w:spacing w:val="-2"/>
                <w:sz w:val="18"/>
                <w:u w:val="single"/>
              </w:rPr>
              <w:t>1267</w:t>
            </w:r>
            <w:r w:rsidRPr="00286216">
              <w:rPr>
                <w:b/>
                <w:i/>
                <w:color w:val="000000" w:themeColor="text1"/>
                <w:spacing w:val="-2"/>
                <w:sz w:val="18"/>
                <w:u w:val="single"/>
              </w:rPr>
              <w:fldChar w:fldCharType="end"/>
            </w:r>
            <w:r w:rsidRPr="00286216">
              <w:rPr>
                <w:b/>
                <w:i/>
                <w:color w:val="000000" w:themeColor="text1"/>
                <w:spacing w:val="-2"/>
                <w:sz w:val="18"/>
                <w:u w:val="single"/>
              </w:rPr>
              <w:t>-Народні депутати України – члени Комітету з питань фінансів, податкової та митної політики Гетманцев Д.О. та інші</w:t>
            </w:r>
          </w:p>
          <w:p w14:paraId="53BDAEFF" w14:textId="5F7C39C7" w:rsidR="00DB4DA8" w:rsidRPr="00286216" w:rsidRDefault="00DB4DA8" w:rsidP="00DB4DA8">
            <w:pPr>
              <w:pStyle w:val="StyleProp"/>
              <w:rPr>
                <w:color w:val="000000" w:themeColor="text1"/>
                <w:szCs w:val="18"/>
              </w:rPr>
            </w:pPr>
            <w:r w:rsidRPr="00286216">
              <w:rPr>
                <w:color w:val="000000" w:themeColor="text1"/>
                <w:szCs w:val="18"/>
              </w:rPr>
              <w:t xml:space="preserve">Підпункт 11 пункту 9 розділу ІІІ викласти в такій редакції: </w:t>
            </w:r>
          </w:p>
          <w:p w14:paraId="13854FD8" w14:textId="7E51C052" w:rsidR="00DB4DA8" w:rsidRPr="00286216" w:rsidRDefault="00DB4DA8" w:rsidP="00DB4DA8">
            <w:pPr>
              <w:pStyle w:val="StyleProp"/>
              <w:rPr>
                <w:color w:val="000000" w:themeColor="text1"/>
                <w:szCs w:val="18"/>
              </w:rPr>
            </w:pPr>
            <w:r w:rsidRPr="00286216">
              <w:rPr>
                <w:color w:val="000000" w:themeColor="text1"/>
              </w:rPr>
              <w:t>«11) статтю 94 викласти у  такій редакції:</w:t>
            </w:r>
          </w:p>
        </w:tc>
        <w:tc>
          <w:tcPr>
            <w:tcW w:w="1987" w:type="dxa"/>
          </w:tcPr>
          <w:p w14:paraId="457FE2EB" w14:textId="77777777" w:rsidR="00DB4DA8" w:rsidRPr="00286216" w:rsidRDefault="00DB4DA8" w:rsidP="00DB4DA8">
            <w:pPr>
              <w:pStyle w:val="StyleWisnow"/>
              <w:rPr>
                <w:color w:val="000000" w:themeColor="text1"/>
              </w:rPr>
            </w:pPr>
            <w:r w:rsidRPr="00286216">
              <w:rPr>
                <w:color w:val="000000" w:themeColor="text1"/>
              </w:rPr>
              <w:t>Враховано</w:t>
            </w:r>
          </w:p>
          <w:p w14:paraId="7C54C923" w14:textId="5631284A" w:rsidR="00DB4DA8" w:rsidRPr="00286216" w:rsidRDefault="00DB4DA8" w:rsidP="00DB4DA8">
            <w:pPr>
              <w:pStyle w:val="StyleWisnow"/>
              <w:spacing w:line="180" w:lineRule="exact"/>
              <w:rPr>
                <w:color w:val="000000" w:themeColor="text1"/>
              </w:rPr>
            </w:pPr>
            <w:r w:rsidRPr="00286216">
              <w:rPr>
                <w:color w:val="000000" w:themeColor="text1"/>
              </w:rPr>
              <w:t>за наслідками обговорення на засіданні Комітету зауважень НБУ та ФГВФО</w:t>
            </w:r>
          </w:p>
        </w:tc>
        <w:tc>
          <w:tcPr>
            <w:tcW w:w="4818" w:type="dxa"/>
          </w:tcPr>
          <w:p w14:paraId="5BB54258" w14:textId="70E695AB" w:rsidR="00DB4DA8" w:rsidRPr="00286216" w:rsidRDefault="00DB4DA8" w:rsidP="00DB4DA8">
            <w:pPr>
              <w:pStyle w:val="StyleZakonu"/>
              <w:rPr>
                <w:color w:val="000000" w:themeColor="text1"/>
              </w:rPr>
            </w:pPr>
            <w:r w:rsidRPr="00286216">
              <w:rPr>
                <w:color w:val="000000" w:themeColor="text1"/>
              </w:rPr>
              <w:t>11) статтю 94 викласти в такій редакції:</w:t>
            </w:r>
          </w:p>
        </w:tc>
      </w:tr>
      <w:tr w:rsidR="00DB4DA8" w:rsidRPr="00286216" w14:paraId="49C6C460" w14:textId="77777777" w:rsidTr="00091AA5">
        <w:tc>
          <w:tcPr>
            <w:tcW w:w="576" w:type="dxa"/>
          </w:tcPr>
          <w:p w14:paraId="61DF6F6C" w14:textId="77777777" w:rsidR="00DB4DA8" w:rsidRPr="00286216" w:rsidRDefault="00DB4DA8" w:rsidP="00DB4DA8">
            <w:pPr>
              <w:pStyle w:val="StyleWisnow"/>
              <w:rPr>
                <w:color w:val="000000" w:themeColor="text1"/>
              </w:rPr>
            </w:pPr>
            <w:bookmarkStart w:id="2688" w:name="n2816" w:colFirst="0" w:colLast="0"/>
            <w:bookmarkEnd w:id="2687"/>
            <w:r w:rsidRPr="00286216">
              <w:rPr>
                <w:color w:val="000000" w:themeColor="text1"/>
              </w:rPr>
              <w:t>2816.</w:t>
            </w:r>
          </w:p>
        </w:tc>
        <w:tc>
          <w:tcPr>
            <w:tcW w:w="4818" w:type="dxa"/>
          </w:tcPr>
          <w:p w14:paraId="53C266B6" w14:textId="77777777" w:rsidR="00DB4DA8" w:rsidRPr="00286216" w:rsidRDefault="00DB4DA8" w:rsidP="00DB4DA8">
            <w:pPr>
              <w:pStyle w:val="StyleZakonu"/>
              <w:rPr>
                <w:color w:val="000000" w:themeColor="text1"/>
              </w:rPr>
            </w:pPr>
            <w:r w:rsidRPr="00286216">
              <w:rPr>
                <w:color w:val="000000" w:themeColor="text1"/>
              </w:rPr>
              <w:t>"Стаття 94. Особливості банкрутства суб’єкта підприємницької діяльності, який є стороною одного або кількох деривативних контрактів або правочинів щодо інших фінансових інструментів, укладених або вчинених відповідно до генеральної угоди</w:t>
            </w:r>
          </w:p>
        </w:tc>
        <w:tc>
          <w:tcPr>
            <w:tcW w:w="3686" w:type="dxa"/>
          </w:tcPr>
          <w:p w14:paraId="05A9EEF2" w14:textId="4FCD662A" w:rsidR="00DB4DA8" w:rsidRPr="00286216" w:rsidRDefault="00DB4DA8" w:rsidP="00DB4DA8">
            <w:pPr>
              <w:pStyle w:val="StyleProp"/>
              <w:spacing w:line="190" w:lineRule="exact"/>
              <w:rPr>
                <w:color w:val="000000" w:themeColor="text1"/>
                <w:spacing w:val="-2"/>
              </w:rPr>
            </w:pPr>
            <w:r w:rsidRPr="00286216">
              <w:rPr>
                <w:color w:val="000000" w:themeColor="text1"/>
              </w:rPr>
              <w:t xml:space="preserve">«Стаття 94. Особливості банкрутства суб’єкта підприємницької діяльності, який є стороною </w:t>
            </w:r>
            <w:r w:rsidRPr="00286216">
              <w:rPr>
                <w:color w:val="000000" w:themeColor="text1"/>
                <w:spacing w:val="-2"/>
              </w:rPr>
              <w:t>одного або кількох правочинів, вчинених з посиланням на обов’язковість угоди щодо ліквідаційного неттінгу</w:t>
            </w:r>
          </w:p>
          <w:p w14:paraId="63407FD2"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1. Для цілей цієї статті:</w:t>
            </w:r>
          </w:p>
          <w:p w14:paraId="3C748730"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 xml:space="preserve">1) термін "правочин щодо фінансових інструментів" вживається у значенні, наведеному у частині першій статті 2 Закону України "Про ринки капіталу та організовані товарні ринки", а терміни "нетто-зобовʼязання", "розрахунок вартості зобов'язань", "сторони угоди щодо ліквідаційного неттінгу", "угода щодо ліквідаційного неттінгу" – у значеннях, наведених у частині другій статті 40 Закону України "Про ринки капіталу та організовані </w:t>
            </w:r>
            <w:r w:rsidRPr="00286216">
              <w:rPr>
                <w:color w:val="000000" w:themeColor="text1"/>
                <w:spacing w:val="-2"/>
              </w:rPr>
              <w:lastRenderedPageBreak/>
              <w:t>товарні ринки";</w:t>
            </w:r>
          </w:p>
          <w:p w14:paraId="5D73057E"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2) під датою ліквідаційного неттінгу розуміється дата прийняття рішення передбаченого пунктом 1 частини першої статті 39 Закону України «Про ринки капіталу та організовані товарні ринки»;</w:t>
            </w:r>
          </w:p>
          <w:p w14:paraId="20A69070"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2. Ліквідаційний неттінг – це здійснення усіх таких дій відповідно до угоди щодо ліквідаційного неттінгу:</w:t>
            </w:r>
          </w:p>
          <w:p w14:paraId="30FFCE1D"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суб’єкта підприємницької діяльності-сторони угоди щодо ліквідаційного неттінгу, щодо якого відкрито провадження у справі про банкрутство, а також зобов'язань кожного контрагента, який є іншою стороною такої угоди щодо ліквідаційного неттінгу,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6092F591"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00E39D03"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370B2DB1"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42E4C295"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lastRenderedPageBreak/>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ліквідаційного неттінгу.</w:t>
            </w:r>
          </w:p>
          <w:p w14:paraId="5D09A6EB"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4. Ліквідаційний неттінг не здійснюється у таких випадках:</w:t>
            </w:r>
          </w:p>
          <w:p w14:paraId="56556893"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1) відповідна генеральна угода не передбачає можливості проведення ліквідаційного неттінгу;</w:t>
            </w:r>
          </w:p>
          <w:p w14:paraId="2599BC20"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2) відповідна угода щодо ліквідаційного неттінгу укладена після дати прийняття рішення, зазначеного у пункті 2 частини першої цієї статті;</w:t>
            </w:r>
          </w:p>
          <w:p w14:paraId="15D2E09C"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3) деривативний контракт, що містить посилання на обов’язковість відповідної угоди щодо ліквідаційного неттінгу, був укладений стороною-суб’єктом підприємницької діяльності після дати прийняття рішення, зазначеного у пункті 2 частини першої цієї статті.</w:t>
            </w:r>
          </w:p>
          <w:p w14:paraId="55FF7100"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5.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суб’єкта підприємницької діяльності, яка є стороною угоди щодо ліквідаційного неттінгу та щодо якої прийнято рішення, передбаченого пунктом 2 частини першої цієї статті, за одним або кількома деривативними контрактами, зазначеними у пункті 1 частини другої цієї статті, здійснюється в позасудовому порядку та не потребують будь-якої згоди та/або затвердження такого суб’єкта підприємницької діяльності або будь-якої іншої особи.</w:t>
            </w:r>
          </w:p>
          <w:p w14:paraId="439EECE9" w14:textId="77777777" w:rsidR="00DB4DA8" w:rsidRPr="00286216" w:rsidRDefault="00DB4DA8" w:rsidP="00DB4DA8">
            <w:pPr>
              <w:pStyle w:val="StyleProp"/>
              <w:spacing w:line="190" w:lineRule="exact"/>
              <w:rPr>
                <w:color w:val="000000" w:themeColor="text1"/>
                <w:spacing w:val="-4"/>
              </w:rPr>
            </w:pPr>
            <w:r w:rsidRPr="00286216">
              <w:rPr>
                <w:color w:val="000000" w:themeColor="text1"/>
                <w:spacing w:val="-4"/>
              </w:rPr>
              <w:t xml:space="preserve">6. Положення цього Кодексу, що регулюють банкрутство юридичних осіб, застосовуються до процедур банкрутства суб’єкта підприємницької діяльності, який є стороною одного або кількох деривативних контрактів, укладених з посиланням на обов’язковість відповідної угоди щодо ліквідаційного неттінгу, в частині, що не суперечить положенням цієї статті. У разі суперечності норм цього Кодексу, що регулюють банкрутство юридичних осіб, з нормами цієї статті, норми цієї статті мають перевагу. </w:t>
            </w:r>
          </w:p>
          <w:p w14:paraId="42F36D4D" w14:textId="77777777" w:rsidR="00DB4DA8" w:rsidRPr="00286216" w:rsidRDefault="00DB4DA8" w:rsidP="00DB4DA8">
            <w:pPr>
              <w:pStyle w:val="StyleProp"/>
              <w:spacing w:line="190" w:lineRule="exact"/>
              <w:rPr>
                <w:color w:val="000000" w:themeColor="text1"/>
                <w:spacing w:val="-2"/>
              </w:rPr>
            </w:pPr>
            <w:r w:rsidRPr="00286216">
              <w:rPr>
                <w:color w:val="000000" w:themeColor="text1"/>
                <w:spacing w:val="-2"/>
              </w:rPr>
              <w:t xml:space="preserve">7. Положення цієї статті застосовуються </w:t>
            </w:r>
            <w:r w:rsidRPr="00286216">
              <w:rPr>
                <w:color w:val="000000" w:themeColor="text1"/>
                <w:spacing w:val="-2"/>
              </w:rPr>
              <w:lastRenderedPageBreak/>
              <w:t>також до:</w:t>
            </w:r>
          </w:p>
          <w:p w14:paraId="0FB507D4" w14:textId="77777777" w:rsidR="00DB4DA8" w:rsidRPr="00286216" w:rsidRDefault="00DB4DA8" w:rsidP="00DB4DA8">
            <w:pPr>
              <w:pStyle w:val="StyleProp"/>
              <w:spacing w:line="190" w:lineRule="exact"/>
              <w:rPr>
                <w:color w:val="000000" w:themeColor="text1"/>
                <w:spacing w:val="-4"/>
              </w:rPr>
            </w:pPr>
            <w:r w:rsidRPr="00286216">
              <w:rPr>
                <w:color w:val="000000" w:themeColor="text1"/>
                <w:spacing w:val="-4"/>
              </w:rPr>
              <w:t xml:space="preserve">1) товарних операцій, правочинів щодо фінансових інструментів, щодо валютних цінностей, за умови вчинення таких операцій (правочинів) з посиланням на обов’язковість відповідної угоди щодо ліквідаційного неттінгу, </w:t>
            </w:r>
          </w:p>
          <w:p w14:paraId="7A020B48" w14:textId="2EFA163A" w:rsidR="00DB4DA8" w:rsidRPr="00286216" w:rsidRDefault="00DB4DA8" w:rsidP="00DB4DA8">
            <w:pPr>
              <w:pStyle w:val="StyleProp"/>
              <w:spacing w:line="190" w:lineRule="exact"/>
              <w:rPr>
                <w:color w:val="000000" w:themeColor="text1"/>
              </w:rPr>
            </w:pPr>
            <w:r w:rsidRPr="00286216">
              <w:rPr>
                <w:color w:val="000000" w:themeColor="text1"/>
                <w:spacing w:val="-2"/>
              </w:rPr>
              <w:t>2) правочинів, вчинених з метою забезпечення виконання зобов’язань за деривативними контрактами та іншими</w:t>
            </w:r>
            <w:r w:rsidRPr="00286216">
              <w:rPr>
                <w:color w:val="000000" w:themeColor="text1"/>
              </w:rPr>
              <w:t xml:space="preserve"> правочинами, зазначеними у цій частині</w:t>
            </w:r>
          </w:p>
        </w:tc>
        <w:tc>
          <w:tcPr>
            <w:tcW w:w="1987" w:type="dxa"/>
          </w:tcPr>
          <w:p w14:paraId="027BAE8A" w14:textId="308DF10B" w:rsidR="00DB4DA8" w:rsidRPr="00286216" w:rsidRDefault="00DB4DA8" w:rsidP="00DB4DA8">
            <w:pPr>
              <w:pStyle w:val="StyleWisnow"/>
              <w:rPr>
                <w:color w:val="000000" w:themeColor="text1"/>
              </w:rPr>
            </w:pPr>
          </w:p>
        </w:tc>
        <w:tc>
          <w:tcPr>
            <w:tcW w:w="4818" w:type="dxa"/>
          </w:tcPr>
          <w:p w14:paraId="3BCB8E7E" w14:textId="77777777" w:rsidR="00DB4DA8" w:rsidRPr="00286216" w:rsidRDefault="00DB4DA8" w:rsidP="00DB4DA8">
            <w:pPr>
              <w:pStyle w:val="StyleZakonu"/>
              <w:rPr>
                <w:color w:val="000000" w:themeColor="text1"/>
              </w:rPr>
            </w:pPr>
            <w:r w:rsidRPr="00286216">
              <w:rPr>
                <w:color w:val="000000" w:themeColor="text1"/>
              </w:rPr>
              <w:t>«Стаття 94. Особливості банкрутства суб’єкта підприємницької діяльності, який є стороною одного або кількох правочинів, вчинених з посиланням на обов’язковість угоди щодо ліквідаційного неттінгу</w:t>
            </w:r>
          </w:p>
          <w:p w14:paraId="0B264627" w14:textId="77777777" w:rsidR="00DB4DA8" w:rsidRPr="00286216" w:rsidRDefault="00DB4DA8" w:rsidP="00DB4DA8">
            <w:pPr>
              <w:pStyle w:val="StyleZakonu"/>
              <w:rPr>
                <w:color w:val="000000" w:themeColor="text1"/>
              </w:rPr>
            </w:pPr>
            <w:r w:rsidRPr="00286216">
              <w:rPr>
                <w:color w:val="000000" w:themeColor="text1"/>
              </w:rPr>
              <w:t>1. Для цілей цієї статті:</w:t>
            </w:r>
          </w:p>
          <w:p w14:paraId="565DF97E" w14:textId="77777777" w:rsidR="00DB4DA8" w:rsidRPr="00286216" w:rsidRDefault="00DB4DA8" w:rsidP="00DB4DA8">
            <w:pPr>
              <w:pStyle w:val="StyleZakonu"/>
              <w:rPr>
                <w:color w:val="000000" w:themeColor="text1"/>
              </w:rPr>
            </w:pPr>
            <w:r w:rsidRPr="00286216">
              <w:rPr>
                <w:color w:val="000000" w:themeColor="text1"/>
              </w:rPr>
              <w:t xml:space="preserve">1) термін "правочин щодо фінансових інструментів" вживається у значенні, наведеному в частині першій статті 2 Закону України "Про ринки капіталу та організовані товарні ринки", а терміни "нетто-зобовʼязання", "розрахунок вартості зобов'язань", "сторони угоди щодо ліквідаційного неттінгу", "угода щодо ліквідаційного неттінгу" – у значеннях, наведених у частині другій статті 40 Закону України "Про ринки капіталу та організовані </w:t>
            </w:r>
            <w:r w:rsidRPr="00286216">
              <w:rPr>
                <w:color w:val="000000" w:themeColor="text1"/>
              </w:rPr>
              <w:lastRenderedPageBreak/>
              <w:t>товарні ринки";</w:t>
            </w:r>
          </w:p>
          <w:p w14:paraId="6E3940DF" w14:textId="77777777" w:rsidR="00DB4DA8" w:rsidRPr="00286216" w:rsidRDefault="00DB4DA8" w:rsidP="00DB4DA8">
            <w:pPr>
              <w:pStyle w:val="StyleZakonu"/>
              <w:rPr>
                <w:color w:val="000000" w:themeColor="text1"/>
              </w:rPr>
            </w:pPr>
            <w:r w:rsidRPr="00286216">
              <w:rPr>
                <w:color w:val="000000" w:themeColor="text1"/>
              </w:rPr>
              <w:t>2) під датою ліквідаційного неттінгу розуміється дата прийняття рішення, передбаченого пунктом 1 частини першої статті 39 Закону України «Про ринки капіталу та організовані товарні ринки».</w:t>
            </w:r>
          </w:p>
          <w:p w14:paraId="257A8CA5" w14:textId="77777777" w:rsidR="00DB4DA8" w:rsidRPr="00286216" w:rsidRDefault="00DB4DA8" w:rsidP="00DB4DA8">
            <w:pPr>
              <w:pStyle w:val="StyleZakonu"/>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6972637D" w14:textId="77777777" w:rsidR="00DB4DA8" w:rsidRPr="00286216" w:rsidRDefault="00DB4DA8" w:rsidP="00DB4DA8">
            <w:pPr>
              <w:pStyle w:val="StyleZakonu"/>
              <w:rPr>
                <w:color w:val="000000" w:themeColor="text1"/>
              </w:rPr>
            </w:pPr>
            <w:r w:rsidRPr="00286216">
              <w:rPr>
                <w:color w:val="000000" w:themeColor="text1"/>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суб’єкта підприємницької діяльності - сторони угоди щодо ліквідаційного неттінгу, щодо якого відкрито провадження у справі про банкрутство, а також зобов'язань кожного контрагента, який є іншою стороною такої угоди щодо ліквідаційного неттінгу,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645FB289" w14:textId="77777777" w:rsidR="00DB4DA8" w:rsidRPr="00286216" w:rsidRDefault="00DB4DA8" w:rsidP="00DB4DA8">
            <w:pPr>
              <w:pStyle w:val="StyleZakonu"/>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465122D6" w14:textId="77777777" w:rsidR="00DB4DA8" w:rsidRPr="00286216" w:rsidRDefault="00DB4DA8" w:rsidP="00DB4DA8">
            <w:pPr>
              <w:pStyle w:val="StyleZakonu"/>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31B24941" w14:textId="77777777" w:rsidR="00DB4DA8" w:rsidRPr="00286216" w:rsidRDefault="00DB4DA8" w:rsidP="00DB4DA8">
            <w:pPr>
              <w:pStyle w:val="StyleZakonu"/>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1FB11077" w14:textId="77777777" w:rsidR="00DB4DA8" w:rsidRPr="00286216" w:rsidRDefault="00DB4DA8" w:rsidP="00DB4DA8">
            <w:pPr>
              <w:pStyle w:val="StyleZakonu"/>
              <w:rPr>
                <w:color w:val="000000" w:themeColor="text1"/>
              </w:rPr>
            </w:pPr>
            <w:r w:rsidRPr="00286216">
              <w:rPr>
                <w:color w:val="000000" w:themeColor="text1"/>
              </w:rPr>
              <w:lastRenderedPageBreak/>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ліквідаційного неттінгу.</w:t>
            </w:r>
          </w:p>
          <w:p w14:paraId="66D17481" w14:textId="77777777" w:rsidR="00DB4DA8" w:rsidRPr="00286216" w:rsidRDefault="00DB4DA8" w:rsidP="00DB4DA8">
            <w:pPr>
              <w:pStyle w:val="StyleZakonu"/>
              <w:rPr>
                <w:color w:val="000000" w:themeColor="text1"/>
              </w:rPr>
            </w:pPr>
            <w:r w:rsidRPr="00286216">
              <w:rPr>
                <w:color w:val="000000" w:themeColor="text1"/>
              </w:rPr>
              <w:t>4. Ліквідаційний неттінг не здійснюється у таких випадках:</w:t>
            </w:r>
          </w:p>
          <w:p w14:paraId="0C6F5973" w14:textId="77777777" w:rsidR="00DB4DA8" w:rsidRPr="00286216" w:rsidRDefault="00DB4DA8" w:rsidP="00DB4DA8">
            <w:pPr>
              <w:pStyle w:val="StyleZakonu"/>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26C7496D" w14:textId="77777777" w:rsidR="00DB4DA8" w:rsidRPr="00286216" w:rsidRDefault="00DB4DA8" w:rsidP="00DB4DA8">
            <w:pPr>
              <w:pStyle w:val="StyleZakonu"/>
              <w:rPr>
                <w:color w:val="000000" w:themeColor="text1"/>
              </w:rPr>
            </w:pPr>
            <w:r w:rsidRPr="00286216">
              <w:rPr>
                <w:color w:val="000000" w:themeColor="text1"/>
              </w:rPr>
              <w:t>2) відповідна угода щодо ліквідаційного неттінгу укладена після дати прийняття рішення, зазначеного у пункті 2 частини першої цієї статті;</w:t>
            </w:r>
          </w:p>
          <w:p w14:paraId="46589A5D" w14:textId="77777777" w:rsidR="00DB4DA8" w:rsidRPr="00286216" w:rsidRDefault="00DB4DA8" w:rsidP="00DB4DA8">
            <w:pPr>
              <w:pStyle w:val="StyleZakonu"/>
              <w:rPr>
                <w:color w:val="000000" w:themeColor="text1"/>
              </w:rPr>
            </w:pPr>
            <w:r w:rsidRPr="00286216">
              <w:rPr>
                <w:color w:val="000000" w:themeColor="text1"/>
              </w:rPr>
              <w:t>3) деривативний контракт, що містить посилання на обов’язковість відповідної угоди щодо ліквідаційного неттінгу, був укладений стороною - суб’єктом підприємницької діяльності після дати прийняття рішення, зазначеного у пункті 2 частини першої цієї статті.</w:t>
            </w:r>
          </w:p>
          <w:p w14:paraId="5026AB5D" w14:textId="77777777" w:rsidR="00DB4DA8" w:rsidRPr="00286216" w:rsidRDefault="00DB4DA8" w:rsidP="00DB4DA8">
            <w:pPr>
              <w:pStyle w:val="StyleZakonu"/>
              <w:rPr>
                <w:color w:val="000000" w:themeColor="text1"/>
              </w:rPr>
            </w:pPr>
            <w:r w:rsidRPr="00286216">
              <w:rPr>
                <w:color w:val="000000" w:themeColor="text1"/>
              </w:rPr>
              <w:t>5.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суб’єкта підприємницької діяльності, яка є стороною угоди щодо ліквідаційного неттінгу та щодо якої прийнято рішення, передбачене пунктом 2 частини першої цієї статті, за одним або кількома деривативними контрактами, зазначеними у пункті 1 частини другої цієї статті, здійснюється в позасудовому порядку та не потребують будь-якої згоди та/або затвердження такого суб’єкта підприємницької діяльності або будь-якої іншої особи.</w:t>
            </w:r>
          </w:p>
          <w:p w14:paraId="7688F6DC" w14:textId="77777777" w:rsidR="00DB4DA8" w:rsidRPr="00286216" w:rsidRDefault="00DB4DA8" w:rsidP="00DB4DA8">
            <w:pPr>
              <w:pStyle w:val="StyleZakonu"/>
              <w:rPr>
                <w:color w:val="000000" w:themeColor="text1"/>
              </w:rPr>
            </w:pPr>
            <w:r w:rsidRPr="00286216">
              <w:rPr>
                <w:color w:val="000000" w:themeColor="text1"/>
              </w:rPr>
              <w:t xml:space="preserve">6. Положення цього Кодексу, що регулюють банкрутство юридичних осіб, застосовуються до процедур банкрутства суб’єкта підприємницької діяльності, який є стороною одного або кількох деривативних контрактів, укладених з посиланням на обов’язковість відповідної угоди щодо ліквідаційного неттінгу, в частині, що не суперечить положенням цієї статті. У разі суперечності норм цього Кодексу, що регулюють банкрутство юридичних осіб, з нормами цієї статті, норми цієї статті мають перевагу. </w:t>
            </w:r>
          </w:p>
          <w:p w14:paraId="7F733B39" w14:textId="77777777" w:rsidR="00DB4DA8" w:rsidRPr="00286216" w:rsidRDefault="00DB4DA8" w:rsidP="00DB4DA8">
            <w:pPr>
              <w:pStyle w:val="StyleZakonu"/>
              <w:rPr>
                <w:color w:val="000000" w:themeColor="text1"/>
              </w:rPr>
            </w:pPr>
            <w:r w:rsidRPr="00286216">
              <w:rPr>
                <w:color w:val="000000" w:themeColor="text1"/>
              </w:rPr>
              <w:lastRenderedPageBreak/>
              <w:t>7. Положення цієї статті застосовуються також до:</w:t>
            </w:r>
          </w:p>
          <w:p w14:paraId="02B3E9BB" w14:textId="77777777" w:rsidR="00DB4DA8" w:rsidRPr="00286216" w:rsidRDefault="00DB4DA8" w:rsidP="00DB4DA8">
            <w:pPr>
              <w:pStyle w:val="StyleZakonu"/>
              <w:rPr>
                <w:color w:val="000000" w:themeColor="text1"/>
              </w:rPr>
            </w:pPr>
            <w:r w:rsidRPr="00286216">
              <w:rPr>
                <w:color w:val="000000" w:themeColor="text1"/>
              </w:rPr>
              <w:t xml:space="preserve">1) товарних операцій, правочинів щодо фінансових інструментів, щодо валютних цінностей, за умови вчинення таких операцій (правочинів) з посиланням на обов’язковість для них відповідної угоди щодо ліквідаційного неттінгу; </w:t>
            </w:r>
          </w:p>
          <w:p w14:paraId="259E6CF5" w14:textId="4B1A4D53" w:rsidR="00DB4DA8" w:rsidRPr="00286216" w:rsidRDefault="00DB4DA8" w:rsidP="00DB4DA8">
            <w:pPr>
              <w:pStyle w:val="StyleZakonu"/>
              <w:rPr>
                <w:color w:val="000000" w:themeColor="text1"/>
              </w:rPr>
            </w:pPr>
            <w:r w:rsidRPr="00286216">
              <w:rPr>
                <w:color w:val="000000" w:themeColor="text1"/>
              </w:rPr>
              <w:t>2) правочинів, вчинених з метою забезпечення виконання зобов’язань за деривативними контрактами та іншими правочинами, зазначеними у цій частині».</w:t>
            </w:r>
          </w:p>
        </w:tc>
      </w:tr>
      <w:tr w:rsidR="00826C07" w:rsidRPr="00286216" w14:paraId="1EBBB7E3" w14:textId="77777777" w:rsidTr="00091AA5">
        <w:tc>
          <w:tcPr>
            <w:tcW w:w="576" w:type="dxa"/>
          </w:tcPr>
          <w:p w14:paraId="69687AC1" w14:textId="77777777" w:rsidR="00826C07" w:rsidRPr="00286216" w:rsidRDefault="00826C07" w:rsidP="00826C07">
            <w:pPr>
              <w:pStyle w:val="StyleWisnow"/>
              <w:rPr>
                <w:color w:val="000000" w:themeColor="text1"/>
              </w:rPr>
            </w:pPr>
            <w:bookmarkStart w:id="2689" w:name="n2817" w:colFirst="0" w:colLast="0"/>
            <w:bookmarkEnd w:id="2688"/>
            <w:r w:rsidRPr="00286216">
              <w:rPr>
                <w:color w:val="000000" w:themeColor="text1"/>
              </w:rPr>
              <w:lastRenderedPageBreak/>
              <w:t>2817.</w:t>
            </w:r>
          </w:p>
        </w:tc>
        <w:tc>
          <w:tcPr>
            <w:tcW w:w="4818" w:type="dxa"/>
          </w:tcPr>
          <w:p w14:paraId="683A1CD2" w14:textId="77777777" w:rsidR="00826C07" w:rsidRPr="00286216" w:rsidRDefault="00826C07" w:rsidP="00826C07">
            <w:pPr>
              <w:pStyle w:val="StyleZakonu"/>
              <w:rPr>
                <w:color w:val="000000" w:themeColor="text1"/>
              </w:rPr>
            </w:pPr>
            <w:r w:rsidRPr="00286216">
              <w:rPr>
                <w:color w:val="000000" w:themeColor="text1"/>
              </w:rPr>
              <w:t>1. Ліквідаційний неттінг - здійснення усіх таких дій відповідно до умов генеральної угоди:</w:t>
            </w:r>
          </w:p>
        </w:tc>
        <w:tc>
          <w:tcPr>
            <w:tcW w:w="3686" w:type="dxa"/>
          </w:tcPr>
          <w:p w14:paraId="187094E9" w14:textId="77777777" w:rsidR="00826C07" w:rsidRPr="00286216" w:rsidRDefault="00826C07" w:rsidP="00826C07">
            <w:pPr>
              <w:spacing w:line="220" w:lineRule="exact"/>
              <w:rPr>
                <w:color w:val="000000" w:themeColor="text1"/>
                <w:sz w:val="18"/>
              </w:rPr>
            </w:pPr>
          </w:p>
        </w:tc>
        <w:tc>
          <w:tcPr>
            <w:tcW w:w="1987" w:type="dxa"/>
          </w:tcPr>
          <w:p w14:paraId="320D6259" w14:textId="77777777" w:rsidR="00826C07" w:rsidRPr="00286216" w:rsidRDefault="00826C07" w:rsidP="00826C07">
            <w:pPr>
              <w:pStyle w:val="StyleWisnow"/>
              <w:rPr>
                <w:color w:val="000000" w:themeColor="text1"/>
              </w:rPr>
            </w:pPr>
          </w:p>
        </w:tc>
        <w:tc>
          <w:tcPr>
            <w:tcW w:w="4818" w:type="dxa"/>
          </w:tcPr>
          <w:p w14:paraId="4682B08C" w14:textId="77777777" w:rsidR="00826C07" w:rsidRPr="00286216" w:rsidRDefault="00826C07" w:rsidP="00826C07">
            <w:pPr>
              <w:pStyle w:val="StyleZakonu"/>
              <w:rPr>
                <w:color w:val="000000" w:themeColor="text1"/>
              </w:rPr>
            </w:pPr>
          </w:p>
        </w:tc>
      </w:tr>
      <w:tr w:rsidR="00826C07" w:rsidRPr="00286216" w14:paraId="5A1D5350" w14:textId="77777777" w:rsidTr="00091AA5">
        <w:tc>
          <w:tcPr>
            <w:tcW w:w="576" w:type="dxa"/>
          </w:tcPr>
          <w:p w14:paraId="228A4ED1" w14:textId="77777777" w:rsidR="00826C07" w:rsidRPr="00286216" w:rsidRDefault="00826C07" w:rsidP="00826C07">
            <w:pPr>
              <w:pStyle w:val="StyleWisnow"/>
              <w:rPr>
                <w:color w:val="000000" w:themeColor="text1"/>
              </w:rPr>
            </w:pPr>
            <w:bookmarkStart w:id="2690" w:name="n2818" w:colFirst="0" w:colLast="0"/>
            <w:bookmarkEnd w:id="2689"/>
            <w:r w:rsidRPr="00286216">
              <w:rPr>
                <w:color w:val="000000" w:themeColor="text1"/>
              </w:rPr>
              <w:t>2818.</w:t>
            </w:r>
          </w:p>
        </w:tc>
        <w:tc>
          <w:tcPr>
            <w:tcW w:w="4818" w:type="dxa"/>
          </w:tcPr>
          <w:p w14:paraId="2EFE691D" w14:textId="77777777" w:rsidR="00826C07" w:rsidRPr="00286216" w:rsidRDefault="00826C07" w:rsidP="00826C07">
            <w:pPr>
              <w:pStyle w:val="StyleZakonu"/>
              <w:rPr>
                <w:color w:val="000000" w:themeColor="text1"/>
              </w:rPr>
            </w:pPr>
            <w:r w:rsidRPr="00286216">
              <w:rPr>
                <w:color w:val="000000" w:themeColor="text1"/>
              </w:rPr>
              <w:t>здійснення станом на дату, передбачену абзацом третім цієї частини, розрахунку суми зобов’язань суб’єкта підприємницької діяльності-сторони генеральної угоди, щодо якого відкрито провадження у справі про банкротство, та кожного його контрагента за одним або кількома деривативними контрактами, укладеними на підставі такої генеральної угоди. Порядок здійснення такого розрахунку передбачається генеральною угодою;</w:t>
            </w:r>
          </w:p>
        </w:tc>
        <w:tc>
          <w:tcPr>
            <w:tcW w:w="3686" w:type="dxa"/>
          </w:tcPr>
          <w:p w14:paraId="572B523A" w14:textId="58F6C058" w:rsidR="00826C07" w:rsidRPr="00286216" w:rsidRDefault="00826C07" w:rsidP="00826C0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1268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3FE5729"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z w:val="18"/>
              </w:rPr>
              <w:t xml:space="preserve">підпункт 11 пункту 9 розділу 3 викласти у </w:t>
            </w:r>
            <w:r w:rsidRPr="00286216">
              <w:rPr>
                <w:color w:val="000000" w:themeColor="text1"/>
                <w:spacing w:val="-2"/>
                <w:sz w:val="18"/>
              </w:rPr>
              <w:t>наступній редакції:</w:t>
            </w:r>
          </w:p>
          <w:p w14:paraId="3F627C70"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 xml:space="preserve"> «Стаття 94. Особливості банкрутства суб’єкта підприємницької діяльності, який є стороною одного або кількох деривативних контрактів або правочинів щодо фінансових інструментів, укладених або вчинених з посиланням на обов’язковість угоди щодо ліквідаційного неттінгу</w:t>
            </w:r>
          </w:p>
          <w:p w14:paraId="404CA589"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1. Ліквідаційний неттінг – здійснення усіх таких дій відповідно до угоди щодо ліквідаційного неттінгу:</w:t>
            </w:r>
          </w:p>
          <w:p w14:paraId="5777523C"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 xml:space="preserve">здійснення особою, зазначеною в угоді щодо ліквідаційного неттінгу, розрахунку вартості зобов’язань суб’єкта підприємницької діяльності-сторони угоди щодо ліквідаційного неттінгу, щодо якого відкрито провадження у справі про банкротство, та кожного його контрагента-сторони такої угоди щодо ліквідаційного неттінгу за одним або кількома деривативними контрактами, що існували станом на дату ліквідаційного неттінгу, та були укладені цими сторонами з посиланням на обов’язковість для них такої угоди щодо ліквідаційного неттінгу. Порядок здійснення такого розрахунку передбачається угодою щодо ліквідаційного неттінгу;  </w:t>
            </w:r>
          </w:p>
          <w:p w14:paraId="179A9CFE"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припинення всіх існуючих станом на дату ліквідаційного неттінгу зобов’язань за одним або кількома деривативними контрактами, укладеними такими сторонами угоди щодо ліквідаційного неттінгу (незалежно від їх змісту та/або строку (терміну) виконання), у такій послідовності:</w:t>
            </w:r>
          </w:p>
          <w:p w14:paraId="218583E8"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 xml:space="preserve">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абзацу другого цієї частини </w:t>
            </w:r>
            <w:r w:rsidRPr="00286216">
              <w:rPr>
                <w:color w:val="000000" w:themeColor="text1"/>
                <w:spacing w:val="-2"/>
                <w:sz w:val="18"/>
              </w:rPr>
              <w:lastRenderedPageBreak/>
              <w:t>статті. При цьому вважається що строк виконання вимог за такими новими грошовими зобов’язаннями настав;</w:t>
            </w:r>
          </w:p>
          <w:p w14:paraId="1A2227A3"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припинення нових грошових зобов’язань, передбачених абзацом четвертим цієї частини, шляхом зарахування зустрічних однорідних вимог за такими зобов’язаннями та визначення нетто-зобов’язання.</w:t>
            </w:r>
          </w:p>
          <w:p w14:paraId="2B574F37"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деривативними контрактами, укладеними такими сторонами угоди щодо ліквідаційного неттінгу.</w:t>
            </w:r>
          </w:p>
          <w:p w14:paraId="4F86B0E5"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Для цілей цього Кодексу:</w:t>
            </w:r>
          </w:p>
          <w:p w14:paraId="7D3D18B4"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угода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деривативного контракту надали при укладенні договору клірингового обслуговування з особою, яка провадить клірингову діяльність;</w:t>
            </w:r>
          </w:p>
          <w:p w14:paraId="2BE9B797"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сторони угоди щодо ліквідаційного неттінгу – сторони генеральної угоди, сторони іншого документу (договору), що містить умови та порядок проведення ліквідаційного неттінгу, сторони деривативного контракту, укладеного з посиланням на обов’язковість угоди щодо ліквідаційного неттінгу, які уклали договір клірингового обслуговування з особою, якій сторони деривативного контракту направили розпорядження на проведення клірингу;</w:t>
            </w:r>
          </w:p>
          <w:p w14:paraId="4034DB9F"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дата ліквідаційного неттінгу – дата, передбачена статтею 12 Закону України «Про ринки капіталу та організовані товарні ринки»;</w:t>
            </w:r>
          </w:p>
          <w:p w14:paraId="46DA2C57"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деривативними контрактами, укладеними з посиланням на обов’язковість угоди щодо ліквідаційного неттінгу;</w:t>
            </w:r>
          </w:p>
          <w:p w14:paraId="3AE3EDAE"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 xml:space="preserve">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w:t>
            </w:r>
            <w:r w:rsidRPr="00286216">
              <w:rPr>
                <w:color w:val="000000" w:themeColor="text1"/>
                <w:spacing w:val="-2"/>
                <w:sz w:val="18"/>
              </w:rPr>
              <w:lastRenderedPageBreak/>
              <w:t>меншою) та визначається як різниця між сумами зобов’язань таких сторін.</w:t>
            </w:r>
          </w:p>
          <w:p w14:paraId="55221183"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 xml:space="preserve">2.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суб’єктом підприємницької діяльності-стороною угоди щодо ліквідаційного неттінгу, щодо якого відкрито провадження у справі про банкрутство, за одним або кількома деривативними контрактами, укладеними таким суб’єктом підприємницької діяльності з посиланням на обов’язковість угоди щодо ліквідаційного неттінгу, не потребують будь-якої згоди та/або затвердження таким суб’єктом підприємницької діяльності, розпорядником його майна, керуючим його санацією, його ліквідатором, кредитором (кредиторами) та/або господарським судом. </w:t>
            </w:r>
          </w:p>
          <w:p w14:paraId="1706BE9C"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3. Ліквідаційний неттінг не проводиться в будь-якому з таких випадків:</w:t>
            </w:r>
          </w:p>
          <w:p w14:paraId="78CB2F59"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якщо відповідна генеральна угода не передбачає можливості або процедури його проведення;</w:t>
            </w:r>
          </w:p>
          <w:p w14:paraId="25E470E1"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якщо відповідна угода щодо ліквідаційного неттінгу укладена після відкриття щодо суб’єкта підприємницької діяльності-сторони такої угоди щодо ліквідаційного неттінгу провадження у справі про банкрутство;</w:t>
            </w:r>
          </w:p>
          <w:p w14:paraId="47CB31D8" w14:textId="77777777" w:rsidR="00826C07" w:rsidRPr="00286216" w:rsidRDefault="00826C07" w:rsidP="00BD3916">
            <w:pPr>
              <w:spacing w:line="180" w:lineRule="exact"/>
              <w:ind w:firstLine="227"/>
              <w:jc w:val="both"/>
              <w:rPr>
                <w:color w:val="000000" w:themeColor="text1"/>
                <w:spacing w:val="-2"/>
                <w:sz w:val="18"/>
              </w:rPr>
            </w:pPr>
            <w:r w:rsidRPr="00286216">
              <w:rPr>
                <w:color w:val="000000" w:themeColor="text1"/>
                <w:spacing w:val="-2"/>
                <w:sz w:val="18"/>
              </w:rPr>
              <w:t>якщо деривативний контракт, укладений стороною з посиланням на обов’язковість відповідної угоди щодо ліквідаційного неттінгу після відкриття щодо такого суб’єкта підприємницької діяльності провадження у справі про банкрутство.</w:t>
            </w:r>
          </w:p>
          <w:p w14:paraId="5943F798" w14:textId="77777777" w:rsidR="00826C07" w:rsidRPr="00286216" w:rsidRDefault="00826C07" w:rsidP="00BD3916">
            <w:pPr>
              <w:spacing w:line="180" w:lineRule="exact"/>
              <w:ind w:firstLine="227"/>
              <w:jc w:val="both"/>
              <w:rPr>
                <w:color w:val="000000" w:themeColor="text1"/>
                <w:spacing w:val="-6"/>
                <w:sz w:val="18"/>
              </w:rPr>
            </w:pPr>
            <w:r w:rsidRPr="00286216">
              <w:rPr>
                <w:color w:val="000000" w:themeColor="text1"/>
                <w:spacing w:val="-4"/>
                <w:sz w:val="18"/>
              </w:rPr>
              <w:t xml:space="preserve">4. Положення цього Кодексу, що регулюють банкротство юридичних осіб, застосовуються </w:t>
            </w:r>
            <w:r w:rsidRPr="00286216">
              <w:rPr>
                <w:color w:val="000000" w:themeColor="text1"/>
                <w:spacing w:val="-10"/>
                <w:sz w:val="18"/>
              </w:rPr>
              <w:t>до процедур банкротства суб’єкта підприємницької</w:t>
            </w:r>
            <w:r w:rsidRPr="00286216">
              <w:rPr>
                <w:color w:val="000000" w:themeColor="text1"/>
                <w:spacing w:val="-4"/>
                <w:sz w:val="18"/>
              </w:rPr>
              <w:t xml:space="preserve"> діяльності, який є стороною одного або кількох деривативних контрактів, укладених з </w:t>
            </w:r>
            <w:r w:rsidRPr="00286216">
              <w:rPr>
                <w:color w:val="000000" w:themeColor="text1"/>
                <w:spacing w:val="-6"/>
                <w:sz w:val="18"/>
              </w:rPr>
              <w:t>посиланням на обов’язковість угоди щодо ліквідаційного неттінгу, в частині, що не суперечить положенням цієї статті.</w:t>
            </w:r>
            <w:r w:rsidRPr="00286216">
              <w:rPr>
                <w:color w:val="000000" w:themeColor="text1"/>
                <w:spacing w:val="-4"/>
                <w:sz w:val="18"/>
              </w:rPr>
              <w:t xml:space="preserve"> У разі </w:t>
            </w:r>
            <w:r w:rsidRPr="00286216">
              <w:rPr>
                <w:color w:val="000000" w:themeColor="text1"/>
                <w:spacing w:val="-6"/>
                <w:sz w:val="18"/>
              </w:rPr>
              <w:t xml:space="preserve">суперечності норм цього Кодексу, що регулюють банкротство юридичних осіб, з </w:t>
            </w:r>
            <w:r w:rsidRPr="00286216">
              <w:rPr>
                <w:color w:val="000000" w:themeColor="text1"/>
                <w:spacing w:val="-8"/>
                <w:sz w:val="18"/>
              </w:rPr>
              <w:t>нормами цієї статті, норми статті мають перевагу.</w:t>
            </w:r>
          </w:p>
          <w:p w14:paraId="1F7E710A" w14:textId="77777777" w:rsidR="00826C07" w:rsidRPr="00286216" w:rsidRDefault="00826C07" w:rsidP="00BD3916">
            <w:pPr>
              <w:spacing w:line="180" w:lineRule="exact"/>
              <w:ind w:firstLine="227"/>
              <w:jc w:val="both"/>
              <w:rPr>
                <w:color w:val="000000" w:themeColor="text1"/>
                <w:spacing w:val="-4"/>
                <w:sz w:val="18"/>
              </w:rPr>
            </w:pPr>
            <w:r w:rsidRPr="00286216">
              <w:rPr>
                <w:color w:val="000000" w:themeColor="text1"/>
                <w:spacing w:val="-6"/>
                <w:sz w:val="18"/>
              </w:rPr>
              <w:t>5. Положення цієї статті</w:t>
            </w:r>
            <w:r w:rsidRPr="00286216">
              <w:rPr>
                <w:color w:val="000000" w:themeColor="text1"/>
                <w:spacing w:val="-4"/>
                <w:sz w:val="18"/>
              </w:rPr>
              <w:t xml:space="preserve"> не застосовується до укладених поза організованим ринком деривативних контрактів, за умови, що сторона такого контракту до кінця дня, що є датою ліквідаційного неттінгу, не подала інформацію про укладення такого контракту, або до кінця дня, що є датою ліквідаційного неттінгу, не подала інформацію про укладення договору про заміну сторони такого деривативного контракту </w:t>
            </w:r>
            <w:r w:rsidRPr="00286216">
              <w:rPr>
                <w:color w:val="000000" w:themeColor="text1"/>
                <w:spacing w:val="-4"/>
                <w:sz w:val="18"/>
              </w:rPr>
              <w:lastRenderedPageBreak/>
              <w:t xml:space="preserve">до торгового репозиторію в порядку та строки, встановлені Національною комісією з цінних паперів та фондового ринку. </w:t>
            </w:r>
          </w:p>
          <w:p w14:paraId="7113586C" w14:textId="50C358E9" w:rsidR="00826C07" w:rsidRPr="00286216" w:rsidRDefault="00826C07" w:rsidP="00BD3916">
            <w:pPr>
              <w:spacing w:line="180" w:lineRule="exact"/>
              <w:ind w:firstLine="227"/>
              <w:jc w:val="both"/>
              <w:rPr>
                <w:color w:val="000000" w:themeColor="text1"/>
                <w:szCs w:val="18"/>
              </w:rPr>
            </w:pPr>
            <w:r w:rsidRPr="00286216">
              <w:rPr>
                <w:color w:val="000000" w:themeColor="text1"/>
                <w:spacing w:val="-4"/>
                <w:sz w:val="18"/>
              </w:rPr>
              <w:t>6. Положення цієї статті застосовується також до правочинів щодо фінансових інструментів, товарних операцій, до правочинів щодо валютних цінностей, вчинених з посиланням на обов’язковість відповідної угоди щодо ліквідаційного неттінгу».</w:t>
            </w:r>
          </w:p>
        </w:tc>
        <w:tc>
          <w:tcPr>
            <w:tcW w:w="1987" w:type="dxa"/>
          </w:tcPr>
          <w:p w14:paraId="0E340DBD" w14:textId="5201A940" w:rsidR="00826C07" w:rsidRPr="00286216" w:rsidRDefault="00826C07" w:rsidP="00826C07">
            <w:pPr>
              <w:pStyle w:val="StyleWisnow"/>
              <w:rPr>
                <w:color w:val="000000" w:themeColor="text1"/>
              </w:rPr>
            </w:pPr>
            <w:r w:rsidRPr="00286216">
              <w:rPr>
                <w:color w:val="000000" w:themeColor="text1"/>
              </w:rPr>
              <w:lastRenderedPageBreak/>
              <w:t>Враховано редакційно</w:t>
            </w:r>
          </w:p>
        </w:tc>
        <w:tc>
          <w:tcPr>
            <w:tcW w:w="4818" w:type="dxa"/>
          </w:tcPr>
          <w:p w14:paraId="7DFFD1B7" w14:textId="77777777" w:rsidR="00826C07" w:rsidRPr="00286216" w:rsidRDefault="00826C07" w:rsidP="00826C07">
            <w:pPr>
              <w:pStyle w:val="StyleZakonu"/>
              <w:rPr>
                <w:color w:val="000000" w:themeColor="text1"/>
              </w:rPr>
            </w:pPr>
          </w:p>
        </w:tc>
      </w:tr>
      <w:tr w:rsidR="00826C07" w:rsidRPr="00286216" w14:paraId="7EA91CE8" w14:textId="77777777" w:rsidTr="00091AA5">
        <w:tc>
          <w:tcPr>
            <w:tcW w:w="576" w:type="dxa"/>
          </w:tcPr>
          <w:p w14:paraId="32120B64" w14:textId="77777777" w:rsidR="00826C07" w:rsidRPr="00286216" w:rsidRDefault="00826C07" w:rsidP="00826C07">
            <w:pPr>
              <w:pStyle w:val="StyleWisnow"/>
              <w:rPr>
                <w:color w:val="000000" w:themeColor="text1"/>
              </w:rPr>
            </w:pPr>
            <w:bookmarkStart w:id="2691" w:name="n2819" w:colFirst="0" w:colLast="0"/>
            <w:bookmarkEnd w:id="2690"/>
            <w:r w:rsidRPr="00286216">
              <w:rPr>
                <w:color w:val="000000" w:themeColor="text1"/>
              </w:rPr>
              <w:lastRenderedPageBreak/>
              <w:t>2819.</w:t>
            </w:r>
          </w:p>
        </w:tc>
        <w:tc>
          <w:tcPr>
            <w:tcW w:w="4818" w:type="dxa"/>
          </w:tcPr>
          <w:p w14:paraId="794BC14F" w14:textId="77777777" w:rsidR="00826C07" w:rsidRPr="00286216" w:rsidRDefault="00826C07" w:rsidP="00826C07">
            <w:pPr>
              <w:pStyle w:val="StyleZakonu"/>
              <w:rPr>
                <w:color w:val="000000" w:themeColor="text1"/>
              </w:rPr>
            </w:pPr>
            <w:r w:rsidRPr="00286216">
              <w:rPr>
                <w:color w:val="000000" w:themeColor="text1"/>
              </w:rPr>
              <w:t>припинення всіх існуючих станом на дату, передбачену генеральною угодою, або існуючих в день, що передує даті відкриття провадження у справі про банкрутство суб’єкта підприємницької діяльності-сторони генеральної угоди (залежно від того, яка із зазначених дат настає раніше), зобов’язань за одним або кількома деривативними контрактами, укладеними таким суб’єктом підприємницької діяльності та іншою стороною генеральної угоди (незалежно від їх змісту та/або строку (терміну) виконання), шляхом:</w:t>
            </w:r>
          </w:p>
        </w:tc>
        <w:tc>
          <w:tcPr>
            <w:tcW w:w="3686" w:type="dxa"/>
          </w:tcPr>
          <w:p w14:paraId="6A43E690" w14:textId="77777777" w:rsidR="00826C07" w:rsidRPr="00286216" w:rsidRDefault="00826C07" w:rsidP="00826C07">
            <w:pPr>
              <w:spacing w:line="200" w:lineRule="exact"/>
              <w:ind w:firstLine="227"/>
              <w:jc w:val="both"/>
              <w:rPr>
                <w:color w:val="000000" w:themeColor="text1"/>
                <w:szCs w:val="18"/>
              </w:rPr>
            </w:pPr>
          </w:p>
        </w:tc>
        <w:tc>
          <w:tcPr>
            <w:tcW w:w="1987" w:type="dxa"/>
          </w:tcPr>
          <w:p w14:paraId="49F10DAF" w14:textId="77777777" w:rsidR="00826C07" w:rsidRPr="00286216" w:rsidRDefault="00826C07" w:rsidP="00826C07">
            <w:pPr>
              <w:pStyle w:val="StyleWisnow"/>
              <w:rPr>
                <w:color w:val="000000" w:themeColor="text1"/>
              </w:rPr>
            </w:pPr>
          </w:p>
        </w:tc>
        <w:tc>
          <w:tcPr>
            <w:tcW w:w="4818" w:type="dxa"/>
          </w:tcPr>
          <w:p w14:paraId="3FA6D794" w14:textId="77777777" w:rsidR="00826C07" w:rsidRPr="00286216" w:rsidRDefault="00826C07" w:rsidP="00826C07">
            <w:pPr>
              <w:pStyle w:val="StyleZakonu"/>
              <w:rPr>
                <w:color w:val="000000" w:themeColor="text1"/>
              </w:rPr>
            </w:pPr>
          </w:p>
        </w:tc>
      </w:tr>
      <w:tr w:rsidR="00826C07" w:rsidRPr="00286216" w14:paraId="7814FC61" w14:textId="77777777" w:rsidTr="00091AA5">
        <w:tc>
          <w:tcPr>
            <w:tcW w:w="576" w:type="dxa"/>
          </w:tcPr>
          <w:p w14:paraId="38C6EFCF" w14:textId="77777777" w:rsidR="00826C07" w:rsidRPr="00286216" w:rsidRDefault="00826C07" w:rsidP="00826C07">
            <w:pPr>
              <w:pStyle w:val="StyleWisnow"/>
              <w:rPr>
                <w:color w:val="000000" w:themeColor="text1"/>
              </w:rPr>
            </w:pPr>
            <w:bookmarkStart w:id="2692" w:name="n2820" w:colFirst="0" w:colLast="0"/>
            <w:bookmarkEnd w:id="2691"/>
            <w:r w:rsidRPr="00286216">
              <w:rPr>
                <w:color w:val="000000" w:themeColor="text1"/>
              </w:rPr>
              <w:t>2820.</w:t>
            </w:r>
          </w:p>
        </w:tc>
        <w:tc>
          <w:tcPr>
            <w:tcW w:w="4818" w:type="dxa"/>
          </w:tcPr>
          <w:p w14:paraId="42EAB808" w14:textId="77777777" w:rsidR="00826C07" w:rsidRPr="00286216" w:rsidRDefault="00826C07" w:rsidP="00826C07">
            <w:pPr>
              <w:pStyle w:val="StyleZakonu"/>
              <w:rPr>
                <w:color w:val="000000" w:themeColor="text1"/>
              </w:rPr>
            </w:pPr>
            <w:r w:rsidRPr="00286216">
              <w:rPr>
                <w:color w:val="000000" w:themeColor="text1"/>
              </w:rPr>
              <w:t>зарахування зустрічних однорідних вимог за такими зобов’язаннями. При цьому вважається що строк виконання вимог за такими зобов’язаннями настав в день, передбачених цим пунктом;</w:t>
            </w:r>
          </w:p>
        </w:tc>
        <w:tc>
          <w:tcPr>
            <w:tcW w:w="3686" w:type="dxa"/>
          </w:tcPr>
          <w:p w14:paraId="41A2F0F5" w14:textId="77777777" w:rsidR="00826C07" w:rsidRPr="00286216" w:rsidRDefault="00826C07" w:rsidP="00826C07">
            <w:pPr>
              <w:pStyle w:val="StyleProp"/>
              <w:rPr>
                <w:color w:val="000000" w:themeColor="text1"/>
                <w:szCs w:val="18"/>
              </w:rPr>
            </w:pPr>
          </w:p>
        </w:tc>
        <w:tc>
          <w:tcPr>
            <w:tcW w:w="1987" w:type="dxa"/>
          </w:tcPr>
          <w:p w14:paraId="2302CFFB" w14:textId="77777777" w:rsidR="00826C07" w:rsidRPr="00286216" w:rsidRDefault="00826C07" w:rsidP="00826C07">
            <w:pPr>
              <w:pStyle w:val="StyleWisnow"/>
              <w:rPr>
                <w:color w:val="000000" w:themeColor="text1"/>
              </w:rPr>
            </w:pPr>
          </w:p>
        </w:tc>
        <w:tc>
          <w:tcPr>
            <w:tcW w:w="4818" w:type="dxa"/>
          </w:tcPr>
          <w:p w14:paraId="3DF19604" w14:textId="77777777" w:rsidR="00826C07" w:rsidRPr="00286216" w:rsidRDefault="00826C07" w:rsidP="00826C07">
            <w:pPr>
              <w:pStyle w:val="StyleZakonu"/>
              <w:rPr>
                <w:color w:val="000000" w:themeColor="text1"/>
              </w:rPr>
            </w:pPr>
          </w:p>
        </w:tc>
      </w:tr>
      <w:tr w:rsidR="00826C07" w:rsidRPr="00286216" w14:paraId="3F234E2B" w14:textId="77777777" w:rsidTr="00091AA5">
        <w:tc>
          <w:tcPr>
            <w:tcW w:w="576" w:type="dxa"/>
          </w:tcPr>
          <w:p w14:paraId="582308C7" w14:textId="77777777" w:rsidR="00826C07" w:rsidRPr="00286216" w:rsidRDefault="00826C07" w:rsidP="00826C07">
            <w:pPr>
              <w:pStyle w:val="StyleWisnow"/>
              <w:rPr>
                <w:color w:val="000000" w:themeColor="text1"/>
              </w:rPr>
            </w:pPr>
            <w:bookmarkStart w:id="2693" w:name="n2821" w:colFirst="0" w:colLast="0"/>
            <w:bookmarkEnd w:id="2692"/>
            <w:r w:rsidRPr="00286216">
              <w:rPr>
                <w:color w:val="000000" w:themeColor="text1"/>
              </w:rPr>
              <w:t>2821.</w:t>
            </w:r>
          </w:p>
        </w:tc>
        <w:tc>
          <w:tcPr>
            <w:tcW w:w="4818" w:type="dxa"/>
          </w:tcPr>
          <w:p w14:paraId="531497BA" w14:textId="77777777" w:rsidR="00826C07" w:rsidRPr="00286216" w:rsidRDefault="00826C07" w:rsidP="00826C07">
            <w:pPr>
              <w:pStyle w:val="StyleZakonu"/>
              <w:rPr>
                <w:color w:val="000000" w:themeColor="text1"/>
              </w:rPr>
            </w:pPr>
            <w:r w:rsidRPr="00286216">
              <w:rPr>
                <w:color w:val="000000" w:themeColor="text1"/>
              </w:rPr>
              <w:t>заміни зобов’язань, які не були припиненні шляхом зарахування відповідно до абзацу четвертого цієї частини новим єдиним грошовим зобов’язанням, за яким одна із сторін генеральної угоди (розмір суми зобов’язань якої є більшою) повинна сплатити іншій стороні генеральної угоди (розмір суми зобов’язань якої є меншою) певну грошову суму (нетто-зобов’язання).</w:t>
            </w:r>
          </w:p>
        </w:tc>
        <w:tc>
          <w:tcPr>
            <w:tcW w:w="3686" w:type="dxa"/>
          </w:tcPr>
          <w:p w14:paraId="580DA7D1" w14:textId="77777777" w:rsidR="00826C07" w:rsidRPr="00286216" w:rsidRDefault="00826C07" w:rsidP="00826C07">
            <w:pPr>
              <w:pStyle w:val="StyleProp"/>
              <w:rPr>
                <w:color w:val="000000" w:themeColor="text1"/>
              </w:rPr>
            </w:pPr>
          </w:p>
        </w:tc>
        <w:tc>
          <w:tcPr>
            <w:tcW w:w="1987" w:type="dxa"/>
          </w:tcPr>
          <w:p w14:paraId="1EEBD053" w14:textId="77777777" w:rsidR="00826C07" w:rsidRPr="00286216" w:rsidRDefault="00826C07" w:rsidP="00826C07">
            <w:pPr>
              <w:spacing w:line="220" w:lineRule="exact"/>
              <w:rPr>
                <w:color w:val="000000" w:themeColor="text1"/>
              </w:rPr>
            </w:pPr>
          </w:p>
        </w:tc>
        <w:tc>
          <w:tcPr>
            <w:tcW w:w="4818" w:type="dxa"/>
          </w:tcPr>
          <w:p w14:paraId="57A3B9FF" w14:textId="77777777" w:rsidR="00826C07" w:rsidRPr="00286216" w:rsidRDefault="00826C07" w:rsidP="00826C07">
            <w:pPr>
              <w:pStyle w:val="StyleZakonu"/>
              <w:rPr>
                <w:color w:val="000000" w:themeColor="text1"/>
              </w:rPr>
            </w:pPr>
          </w:p>
        </w:tc>
      </w:tr>
      <w:tr w:rsidR="00826C07" w:rsidRPr="00286216" w14:paraId="35F8FB31" w14:textId="77777777" w:rsidTr="00091AA5">
        <w:tc>
          <w:tcPr>
            <w:tcW w:w="576" w:type="dxa"/>
          </w:tcPr>
          <w:p w14:paraId="487A9BFD" w14:textId="77777777" w:rsidR="00826C07" w:rsidRPr="00286216" w:rsidRDefault="00826C07" w:rsidP="00826C07">
            <w:pPr>
              <w:pStyle w:val="StyleWisnow"/>
              <w:rPr>
                <w:color w:val="000000" w:themeColor="text1"/>
              </w:rPr>
            </w:pPr>
            <w:bookmarkStart w:id="2694" w:name="n2822" w:colFirst="0" w:colLast="0"/>
            <w:bookmarkEnd w:id="2693"/>
            <w:r w:rsidRPr="00286216">
              <w:rPr>
                <w:color w:val="000000" w:themeColor="text1"/>
              </w:rPr>
              <w:t>2822.</w:t>
            </w:r>
          </w:p>
        </w:tc>
        <w:tc>
          <w:tcPr>
            <w:tcW w:w="4818" w:type="dxa"/>
          </w:tcPr>
          <w:p w14:paraId="22BF26FB" w14:textId="77777777" w:rsidR="00826C07" w:rsidRPr="00286216" w:rsidRDefault="00826C07" w:rsidP="00826C07">
            <w:pPr>
              <w:pStyle w:val="StyleZakonu"/>
              <w:rPr>
                <w:color w:val="000000" w:themeColor="text1"/>
              </w:rPr>
            </w:pPr>
            <w:r w:rsidRPr="00286216">
              <w:rPr>
                <w:color w:val="000000" w:themeColor="text1"/>
              </w:rPr>
              <w:t>2. Проведення особою, що провадить клірингову діяльність, ліквідаційного неттінгу та звернення стягнення на предмет обтяження, який забезпечує виконання зобов’язань суб’єктом підприємницької діяльності-сторони генеральної угоди, щодо якого відкрито провадження у справі про банкрутство, за одним або кількома деривативними контрактами, укладеними таким суб’єктом підприємницької діяльності відповідно до умов генеральної угоди, не потребують будь-якої згоди та/або затвердження таким суб’єктом підприємницької діяльності, розпорядником його майна, керуючим його санацією, його ліквідатором, кредитором (кредиторами) та/або господарським судом.</w:t>
            </w:r>
          </w:p>
        </w:tc>
        <w:tc>
          <w:tcPr>
            <w:tcW w:w="3686" w:type="dxa"/>
          </w:tcPr>
          <w:p w14:paraId="1A473E82" w14:textId="1B00077F"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1269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A35B41B" w14:textId="77777777" w:rsidR="00826C07" w:rsidRPr="00286216" w:rsidRDefault="00826C07" w:rsidP="00826C07">
            <w:pPr>
              <w:pStyle w:val="StyleProp"/>
              <w:rPr>
                <w:color w:val="000000" w:themeColor="text1"/>
                <w:szCs w:val="18"/>
              </w:rPr>
            </w:pPr>
            <w:r w:rsidRPr="00286216">
              <w:rPr>
                <w:color w:val="000000" w:themeColor="text1"/>
                <w:szCs w:val="18"/>
              </w:rPr>
              <w:t>в підпункті 11, яким вносяться зміни до статті 94 Кодексу України з процедур банкрутства, внести до статті 94 такі зміни:</w:t>
            </w:r>
          </w:p>
          <w:p w14:paraId="394B3019" w14:textId="66D93F6B" w:rsidR="00826C07" w:rsidRPr="00286216" w:rsidRDefault="00826C07" w:rsidP="00826C07">
            <w:pPr>
              <w:pStyle w:val="StyleProp"/>
              <w:spacing w:line="180" w:lineRule="exact"/>
              <w:rPr>
                <w:color w:val="000000" w:themeColor="text1"/>
                <w:szCs w:val="18"/>
              </w:rPr>
            </w:pPr>
            <w:r w:rsidRPr="00286216">
              <w:rPr>
                <w:color w:val="000000" w:themeColor="text1"/>
                <w:szCs w:val="18"/>
              </w:rPr>
              <w:t>в абзаці 1 частини 2 слова  «Проведення особою, що провадить клірингову діяльність,» замінити словами «Проведення особою, зазначеною в генеральній угоді,»;</w:t>
            </w:r>
          </w:p>
          <w:p w14:paraId="13DDE9DB" w14:textId="1F63C6C4"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3614216" w14:textId="77777777" w:rsidR="00826C07" w:rsidRPr="00286216" w:rsidRDefault="00826C07" w:rsidP="00826C07">
            <w:pPr>
              <w:pStyle w:val="StyleProp"/>
              <w:rPr>
                <w:color w:val="000000" w:themeColor="text1"/>
                <w:szCs w:val="18"/>
              </w:rPr>
            </w:pPr>
            <w:r w:rsidRPr="00286216">
              <w:rPr>
                <w:color w:val="000000" w:themeColor="text1"/>
                <w:szCs w:val="18"/>
              </w:rPr>
              <w:t>в підпункті 11 доповнити частину другу новим абзацом такого змісту:</w:t>
            </w:r>
          </w:p>
          <w:p w14:paraId="14810314" w14:textId="655388DE" w:rsidR="00826C07" w:rsidRPr="00286216" w:rsidRDefault="00826C07" w:rsidP="00826C07">
            <w:pPr>
              <w:pStyle w:val="StyleProp"/>
              <w:spacing w:line="180" w:lineRule="exact"/>
              <w:rPr>
                <w:color w:val="000000" w:themeColor="text1"/>
              </w:rPr>
            </w:pPr>
            <w:r w:rsidRPr="00286216">
              <w:rPr>
                <w:color w:val="000000" w:themeColor="text1"/>
                <w:szCs w:val="18"/>
              </w:rPr>
              <w:t>«Ліквідаційний неттінг здійснюється протягом 7 робочих днів з дати прийняття рішення передбаченого статтею 12 цього Закону України «Про ринки капіталу та організовані товарні ринки».».</w:t>
            </w:r>
          </w:p>
        </w:tc>
        <w:tc>
          <w:tcPr>
            <w:tcW w:w="1987" w:type="dxa"/>
          </w:tcPr>
          <w:p w14:paraId="758A24E8" w14:textId="77777777" w:rsidR="00826C07" w:rsidRPr="00286216" w:rsidRDefault="00826C07" w:rsidP="00826C07">
            <w:pPr>
              <w:pStyle w:val="StyleWisnow"/>
              <w:rPr>
                <w:color w:val="000000" w:themeColor="text1"/>
              </w:rPr>
            </w:pPr>
            <w:r w:rsidRPr="00286216">
              <w:rPr>
                <w:color w:val="000000" w:themeColor="text1"/>
              </w:rPr>
              <w:t>Враховано по суті</w:t>
            </w:r>
          </w:p>
          <w:p w14:paraId="77B375B6" w14:textId="77777777" w:rsidR="00826C07" w:rsidRPr="00286216" w:rsidRDefault="00826C07" w:rsidP="00826C07">
            <w:pPr>
              <w:pStyle w:val="StyleWisnow"/>
              <w:rPr>
                <w:color w:val="000000" w:themeColor="text1"/>
              </w:rPr>
            </w:pPr>
          </w:p>
          <w:p w14:paraId="35F8123B" w14:textId="77777777" w:rsidR="00826C07" w:rsidRPr="00286216" w:rsidRDefault="00826C07" w:rsidP="00826C07">
            <w:pPr>
              <w:pStyle w:val="StyleWisnow"/>
              <w:rPr>
                <w:color w:val="000000" w:themeColor="text1"/>
              </w:rPr>
            </w:pPr>
          </w:p>
          <w:p w14:paraId="1832079A" w14:textId="77777777" w:rsidR="00826C07" w:rsidRPr="00286216" w:rsidRDefault="00826C07" w:rsidP="00826C07">
            <w:pPr>
              <w:pStyle w:val="StyleWisnow"/>
              <w:rPr>
                <w:color w:val="000000" w:themeColor="text1"/>
              </w:rPr>
            </w:pPr>
          </w:p>
          <w:p w14:paraId="67C6CAB4" w14:textId="77777777" w:rsidR="00826C07" w:rsidRPr="00286216" w:rsidRDefault="00826C07" w:rsidP="00826C07">
            <w:pPr>
              <w:pStyle w:val="StyleWisnow"/>
              <w:rPr>
                <w:color w:val="000000" w:themeColor="text1"/>
              </w:rPr>
            </w:pPr>
          </w:p>
          <w:p w14:paraId="5585F3B1" w14:textId="77777777" w:rsidR="00826C07" w:rsidRPr="00286216" w:rsidRDefault="00826C07" w:rsidP="00826C07">
            <w:pPr>
              <w:pStyle w:val="StyleWisnow"/>
              <w:rPr>
                <w:color w:val="000000" w:themeColor="text1"/>
              </w:rPr>
            </w:pPr>
          </w:p>
          <w:p w14:paraId="7391EE08" w14:textId="77777777" w:rsidR="00826C07" w:rsidRPr="00286216" w:rsidRDefault="00826C07" w:rsidP="00826C07">
            <w:pPr>
              <w:pStyle w:val="StyleWisnow"/>
              <w:rPr>
                <w:color w:val="000000" w:themeColor="text1"/>
              </w:rPr>
            </w:pPr>
          </w:p>
          <w:p w14:paraId="06739E65" w14:textId="77777777" w:rsidR="00826C07" w:rsidRPr="00286216" w:rsidRDefault="00826C07" w:rsidP="00826C07">
            <w:pPr>
              <w:pStyle w:val="StyleWisnow"/>
              <w:rPr>
                <w:color w:val="000000" w:themeColor="text1"/>
              </w:rPr>
            </w:pPr>
            <w:r w:rsidRPr="00286216">
              <w:rPr>
                <w:color w:val="000000" w:themeColor="text1"/>
              </w:rPr>
              <w:t>Відхилено</w:t>
            </w:r>
          </w:p>
          <w:p w14:paraId="256A5621" w14:textId="1C903E6B" w:rsidR="00826C07" w:rsidRPr="00286216" w:rsidRDefault="00826C07" w:rsidP="00826C07">
            <w:pPr>
              <w:pStyle w:val="StyleWisnow"/>
              <w:spacing w:line="180" w:lineRule="exact"/>
              <w:rPr>
                <w:color w:val="000000" w:themeColor="text1"/>
              </w:rPr>
            </w:pPr>
            <w:r w:rsidRPr="00286216">
              <w:rPr>
                <w:color w:val="000000" w:themeColor="text1"/>
              </w:rPr>
              <w:t>скорочує строк проведення процедури ліквідаційного неттінгу</w:t>
            </w:r>
          </w:p>
          <w:p w14:paraId="76C1EC96" w14:textId="1D3F6DF7" w:rsidR="00826C07" w:rsidRPr="00286216" w:rsidRDefault="00826C07" w:rsidP="00826C07">
            <w:pPr>
              <w:pStyle w:val="StyleWisnow"/>
              <w:rPr>
                <w:color w:val="000000" w:themeColor="text1"/>
              </w:rPr>
            </w:pPr>
          </w:p>
        </w:tc>
        <w:tc>
          <w:tcPr>
            <w:tcW w:w="4818" w:type="dxa"/>
          </w:tcPr>
          <w:p w14:paraId="089E24DE" w14:textId="77777777" w:rsidR="00826C07" w:rsidRPr="00286216" w:rsidRDefault="00826C07" w:rsidP="00826C07">
            <w:pPr>
              <w:pStyle w:val="StyleZakonu"/>
              <w:rPr>
                <w:color w:val="000000" w:themeColor="text1"/>
              </w:rPr>
            </w:pPr>
          </w:p>
        </w:tc>
      </w:tr>
      <w:tr w:rsidR="00826C07" w:rsidRPr="00286216" w14:paraId="564E539B" w14:textId="77777777" w:rsidTr="00091AA5">
        <w:tc>
          <w:tcPr>
            <w:tcW w:w="576" w:type="dxa"/>
          </w:tcPr>
          <w:p w14:paraId="70DC4AC0" w14:textId="77777777" w:rsidR="00826C07" w:rsidRPr="00286216" w:rsidRDefault="00826C07" w:rsidP="00826C07">
            <w:pPr>
              <w:pStyle w:val="StyleWisnow"/>
              <w:rPr>
                <w:color w:val="000000" w:themeColor="text1"/>
              </w:rPr>
            </w:pPr>
            <w:bookmarkStart w:id="2695" w:name="n2823" w:colFirst="0" w:colLast="0"/>
            <w:bookmarkEnd w:id="2694"/>
            <w:r w:rsidRPr="00286216">
              <w:rPr>
                <w:color w:val="000000" w:themeColor="text1"/>
              </w:rPr>
              <w:lastRenderedPageBreak/>
              <w:t>2823.</w:t>
            </w:r>
          </w:p>
        </w:tc>
        <w:tc>
          <w:tcPr>
            <w:tcW w:w="4818" w:type="dxa"/>
          </w:tcPr>
          <w:p w14:paraId="4E2CA3D5" w14:textId="77777777" w:rsidR="00826C07" w:rsidRPr="00286216" w:rsidRDefault="00826C07" w:rsidP="00BB35BA">
            <w:pPr>
              <w:pStyle w:val="StyleZakonu"/>
              <w:spacing w:after="40" w:line="214" w:lineRule="exact"/>
              <w:rPr>
                <w:color w:val="000000" w:themeColor="text1"/>
              </w:rPr>
            </w:pPr>
            <w:r w:rsidRPr="00286216">
              <w:rPr>
                <w:color w:val="000000" w:themeColor="text1"/>
              </w:rPr>
              <w:t>3. Ліквідаційний неттінг не проводиться в будь-якому з таких випадків:</w:t>
            </w:r>
          </w:p>
        </w:tc>
        <w:tc>
          <w:tcPr>
            <w:tcW w:w="3686" w:type="dxa"/>
          </w:tcPr>
          <w:p w14:paraId="2195F46D" w14:textId="77777777" w:rsidR="00826C07" w:rsidRPr="00286216" w:rsidRDefault="00826C07" w:rsidP="00826C07">
            <w:pPr>
              <w:pStyle w:val="StyleProp"/>
              <w:rPr>
                <w:color w:val="000000" w:themeColor="text1"/>
                <w:szCs w:val="18"/>
              </w:rPr>
            </w:pPr>
          </w:p>
        </w:tc>
        <w:tc>
          <w:tcPr>
            <w:tcW w:w="1987" w:type="dxa"/>
          </w:tcPr>
          <w:p w14:paraId="10CECF78" w14:textId="77777777" w:rsidR="00826C07" w:rsidRPr="00286216" w:rsidRDefault="00826C07" w:rsidP="00826C07">
            <w:pPr>
              <w:pStyle w:val="StyleWisnow"/>
              <w:rPr>
                <w:color w:val="000000" w:themeColor="text1"/>
              </w:rPr>
            </w:pPr>
          </w:p>
        </w:tc>
        <w:tc>
          <w:tcPr>
            <w:tcW w:w="4818" w:type="dxa"/>
          </w:tcPr>
          <w:p w14:paraId="68F9E836" w14:textId="77777777" w:rsidR="00826C07" w:rsidRPr="00286216" w:rsidRDefault="00826C07" w:rsidP="00826C07">
            <w:pPr>
              <w:pStyle w:val="StyleZakonu"/>
              <w:rPr>
                <w:color w:val="000000" w:themeColor="text1"/>
              </w:rPr>
            </w:pPr>
          </w:p>
        </w:tc>
      </w:tr>
      <w:tr w:rsidR="00826C07" w:rsidRPr="00286216" w14:paraId="0938AAA8" w14:textId="77777777" w:rsidTr="00091AA5">
        <w:tc>
          <w:tcPr>
            <w:tcW w:w="576" w:type="dxa"/>
          </w:tcPr>
          <w:p w14:paraId="15EA420B" w14:textId="77777777" w:rsidR="00826C07" w:rsidRPr="00286216" w:rsidRDefault="00826C07" w:rsidP="00826C07">
            <w:pPr>
              <w:pStyle w:val="StyleWisnow"/>
              <w:rPr>
                <w:color w:val="000000" w:themeColor="text1"/>
              </w:rPr>
            </w:pPr>
            <w:bookmarkStart w:id="2696" w:name="n2824" w:colFirst="0" w:colLast="0"/>
            <w:bookmarkEnd w:id="2695"/>
            <w:r w:rsidRPr="00286216">
              <w:rPr>
                <w:color w:val="000000" w:themeColor="text1"/>
              </w:rPr>
              <w:t>2824.</w:t>
            </w:r>
          </w:p>
        </w:tc>
        <w:tc>
          <w:tcPr>
            <w:tcW w:w="4818" w:type="dxa"/>
          </w:tcPr>
          <w:p w14:paraId="56F46694" w14:textId="77777777" w:rsidR="00826C07" w:rsidRPr="00286216" w:rsidRDefault="00826C07" w:rsidP="00BB35BA">
            <w:pPr>
              <w:pStyle w:val="StyleZakonu"/>
              <w:spacing w:after="40" w:line="214" w:lineRule="exact"/>
              <w:rPr>
                <w:color w:val="000000" w:themeColor="text1"/>
              </w:rPr>
            </w:pPr>
            <w:r w:rsidRPr="00286216">
              <w:rPr>
                <w:color w:val="000000" w:themeColor="text1"/>
              </w:rPr>
              <w:t>якщо відповідна генеральна угода не передбачає можливості або процедури його проведення;</w:t>
            </w:r>
          </w:p>
        </w:tc>
        <w:tc>
          <w:tcPr>
            <w:tcW w:w="3686" w:type="dxa"/>
          </w:tcPr>
          <w:p w14:paraId="791019A6" w14:textId="77777777" w:rsidR="00826C07" w:rsidRPr="00286216" w:rsidRDefault="00826C07" w:rsidP="00826C07">
            <w:pPr>
              <w:pStyle w:val="StyleProp"/>
              <w:rPr>
                <w:color w:val="000000" w:themeColor="text1"/>
                <w:szCs w:val="18"/>
              </w:rPr>
            </w:pPr>
          </w:p>
        </w:tc>
        <w:tc>
          <w:tcPr>
            <w:tcW w:w="1987" w:type="dxa"/>
          </w:tcPr>
          <w:p w14:paraId="79B4E5FE" w14:textId="77777777" w:rsidR="00826C07" w:rsidRPr="00286216" w:rsidRDefault="00826C07" w:rsidP="00826C07">
            <w:pPr>
              <w:pStyle w:val="StyleWisnow"/>
              <w:rPr>
                <w:color w:val="000000" w:themeColor="text1"/>
              </w:rPr>
            </w:pPr>
          </w:p>
        </w:tc>
        <w:tc>
          <w:tcPr>
            <w:tcW w:w="4818" w:type="dxa"/>
          </w:tcPr>
          <w:p w14:paraId="2BE848AC" w14:textId="77777777" w:rsidR="00826C07" w:rsidRPr="00286216" w:rsidRDefault="00826C07" w:rsidP="00826C07">
            <w:pPr>
              <w:pStyle w:val="StyleZakonu"/>
              <w:rPr>
                <w:color w:val="000000" w:themeColor="text1"/>
              </w:rPr>
            </w:pPr>
          </w:p>
        </w:tc>
      </w:tr>
      <w:tr w:rsidR="00826C07" w:rsidRPr="00286216" w14:paraId="0827CB31" w14:textId="77777777" w:rsidTr="00091AA5">
        <w:tc>
          <w:tcPr>
            <w:tcW w:w="576" w:type="dxa"/>
          </w:tcPr>
          <w:p w14:paraId="5DF79D09" w14:textId="77777777" w:rsidR="00826C07" w:rsidRPr="00286216" w:rsidRDefault="00826C07" w:rsidP="00826C07">
            <w:pPr>
              <w:pStyle w:val="StyleWisnow"/>
              <w:rPr>
                <w:color w:val="000000" w:themeColor="text1"/>
              </w:rPr>
            </w:pPr>
            <w:bookmarkStart w:id="2697" w:name="n2825" w:colFirst="0" w:colLast="0"/>
            <w:bookmarkEnd w:id="2696"/>
            <w:r w:rsidRPr="00286216">
              <w:rPr>
                <w:color w:val="000000" w:themeColor="text1"/>
              </w:rPr>
              <w:t>2825.</w:t>
            </w:r>
          </w:p>
        </w:tc>
        <w:tc>
          <w:tcPr>
            <w:tcW w:w="4818" w:type="dxa"/>
          </w:tcPr>
          <w:p w14:paraId="7F505056" w14:textId="77777777" w:rsidR="00826C07" w:rsidRPr="00286216" w:rsidRDefault="00826C07" w:rsidP="00BB35BA">
            <w:pPr>
              <w:pStyle w:val="StyleZakonu"/>
              <w:spacing w:after="40" w:line="214" w:lineRule="exact"/>
              <w:rPr>
                <w:color w:val="000000" w:themeColor="text1"/>
              </w:rPr>
            </w:pPr>
            <w:r w:rsidRPr="00286216">
              <w:rPr>
                <w:color w:val="000000" w:themeColor="text1"/>
              </w:rPr>
              <w:t>якщо відповідна генеральна угода укладена після відкриття щодо суб’єкта підприємницької діяльності-сторони такої генеральної угоди провадження у справі про банкрутство;</w:t>
            </w:r>
          </w:p>
        </w:tc>
        <w:tc>
          <w:tcPr>
            <w:tcW w:w="3686" w:type="dxa"/>
          </w:tcPr>
          <w:p w14:paraId="4726ECED" w14:textId="77777777" w:rsidR="00826C07" w:rsidRPr="00286216" w:rsidRDefault="00826C07" w:rsidP="00826C07">
            <w:pPr>
              <w:pStyle w:val="StyleProp"/>
              <w:rPr>
                <w:color w:val="000000" w:themeColor="text1"/>
                <w:szCs w:val="18"/>
              </w:rPr>
            </w:pPr>
          </w:p>
        </w:tc>
        <w:tc>
          <w:tcPr>
            <w:tcW w:w="1987" w:type="dxa"/>
          </w:tcPr>
          <w:p w14:paraId="3B5C1956" w14:textId="77777777" w:rsidR="00826C07" w:rsidRPr="00286216" w:rsidRDefault="00826C07" w:rsidP="00826C07">
            <w:pPr>
              <w:pStyle w:val="StyleWisnow"/>
              <w:rPr>
                <w:color w:val="000000" w:themeColor="text1"/>
              </w:rPr>
            </w:pPr>
          </w:p>
        </w:tc>
        <w:tc>
          <w:tcPr>
            <w:tcW w:w="4818" w:type="dxa"/>
          </w:tcPr>
          <w:p w14:paraId="5744DEE5" w14:textId="77777777" w:rsidR="00826C07" w:rsidRPr="00286216" w:rsidRDefault="00826C07" w:rsidP="00826C07">
            <w:pPr>
              <w:pStyle w:val="StyleZakonu"/>
              <w:rPr>
                <w:color w:val="000000" w:themeColor="text1"/>
              </w:rPr>
            </w:pPr>
          </w:p>
        </w:tc>
      </w:tr>
      <w:tr w:rsidR="00826C07" w:rsidRPr="00286216" w14:paraId="4DAEB62E" w14:textId="77777777" w:rsidTr="00091AA5">
        <w:tc>
          <w:tcPr>
            <w:tcW w:w="576" w:type="dxa"/>
          </w:tcPr>
          <w:p w14:paraId="79AABBAA" w14:textId="77777777" w:rsidR="00826C07" w:rsidRPr="00286216" w:rsidRDefault="00826C07" w:rsidP="00826C07">
            <w:pPr>
              <w:pStyle w:val="StyleWisnow"/>
              <w:rPr>
                <w:color w:val="000000" w:themeColor="text1"/>
              </w:rPr>
            </w:pPr>
            <w:bookmarkStart w:id="2698" w:name="n2826" w:colFirst="0" w:colLast="0"/>
            <w:bookmarkEnd w:id="2697"/>
            <w:r w:rsidRPr="00286216">
              <w:rPr>
                <w:color w:val="000000" w:themeColor="text1"/>
              </w:rPr>
              <w:t>2826.</w:t>
            </w:r>
          </w:p>
        </w:tc>
        <w:tc>
          <w:tcPr>
            <w:tcW w:w="4818" w:type="dxa"/>
          </w:tcPr>
          <w:p w14:paraId="25EE50AF" w14:textId="77777777" w:rsidR="00826C07" w:rsidRPr="00286216" w:rsidRDefault="00826C07" w:rsidP="00BB35BA">
            <w:pPr>
              <w:pStyle w:val="StyleZakonu"/>
              <w:spacing w:after="40" w:line="214" w:lineRule="exact"/>
              <w:rPr>
                <w:color w:val="000000" w:themeColor="text1"/>
              </w:rPr>
            </w:pPr>
            <w:r w:rsidRPr="00286216">
              <w:rPr>
                <w:color w:val="000000" w:themeColor="text1"/>
              </w:rPr>
              <w:t>стосовно деривативних контрактів, укладених суб’єктом підприємницької діяльності на підставі відповідної генеральної угоди після відкриття щодо такого суб’єкта підприємницької діяльності провадження у справі про банкрутство.</w:t>
            </w:r>
          </w:p>
        </w:tc>
        <w:tc>
          <w:tcPr>
            <w:tcW w:w="3686" w:type="dxa"/>
          </w:tcPr>
          <w:p w14:paraId="429A2104" w14:textId="77777777" w:rsidR="00826C07" w:rsidRPr="00286216" w:rsidRDefault="00826C07" w:rsidP="00826C07">
            <w:pPr>
              <w:pStyle w:val="StyleProp"/>
              <w:rPr>
                <w:color w:val="000000" w:themeColor="text1"/>
                <w:szCs w:val="18"/>
              </w:rPr>
            </w:pPr>
          </w:p>
        </w:tc>
        <w:tc>
          <w:tcPr>
            <w:tcW w:w="1987" w:type="dxa"/>
          </w:tcPr>
          <w:p w14:paraId="2DF16F52" w14:textId="77777777" w:rsidR="00826C07" w:rsidRPr="00286216" w:rsidRDefault="00826C07" w:rsidP="00826C07">
            <w:pPr>
              <w:pStyle w:val="StyleWisnow"/>
              <w:rPr>
                <w:color w:val="000000" w:themeColor="text1"/>
              </w:rPr>
            </w:pPr>
          </w:p>
        </w:tc>
        <w:tc>
          <w:tcPr>
            <w:tcW w:w="4818" w:type="dxa"/>
          </w:tcPr>
          <w:p w14:paraId="2248609A" w14:textId="77777777" w:rsidR="00826C07" w:rsidRPr="00286216" w:rsidRDefault="00826C07" w:rsidP="00826C07">
            <w:pPr>
              <w:pStyle w:val="StyleZakonu"/>
              <w:rPr>
                <w:color w:val="000000" w:themeColor="text1"/>
              </w:rPr>
            </w:pPr>
          </w:p>
        </w:tc>
      </w:tr>
      <w:tr w:rsidR="00826C07" w:rsidRPr="00286216" w14:paraId="6BFD0038" w14:textId="77777777" w:rsidTr="00091AA5">
        <w:tc>
          <w:tcPr>
            <w:tcW w:w="576" w:type="dxa"/>
          </w:tcPr>
          <w:p w14:paraId="428FF26E" w14:textId="77777777" w:rsidR="00826C07" w:rsidRPr="00286216" w:rsidRDefault="00826C07" w:rsidP="00826C07">
            <w:pPr>
              <w:pStyle w:val="StyleWisnow"/>
              <w:rPr>
                <w:color w:val="000000" w:themeColor="text1"/>
              </w:rPr>
            </w:pPr>
            <w:bookmarkStart w:id="2699" w:name="n2827" w:colFirst="0" w:colLast="0"/>
            <w:bookmarkEnd w:id="2698"/>
            <w:r w:rsidRPr="00286216">
              <w:rPr>
                <w:color w:val="000000" w:themeColor="text1"/>
              </w:rPr>
              <w:t>2827.</w:t>
            </w:r>
          </w:p>
        </w:tc>
        <w:tc>
          <w:tcPr>
            <w:tcW w:w="4818" w:type="dxa"/>
          </w:tcPr>
          <w:p w14:paraId="27543922" w14:textId="77777777" w:rsidR="00826C07" w:rsidRPr="00286216" w:rsidRDefault="00826C07" w:rsidP="00BB35BA">
            <w:pPr>
              <w:pStyle w:val="StyleZakonu"/>
              <w:spacing w:after="40" w:line="214" w:lineRule="exact"/>
              <w:rPr>
                <w:color w:val="000000" w:themeColor="text1"/>
              </w:rPr>
            </w:pPr>
            <w:r w:rsidRPr="00286216">
              <w:rPr>
                <w:color w:val="000000" w:themeColor="text1"/>
              </w:rPr>
              <w:t>4. Положення цього Кодексу, що регулюють банкротство юридичних осіб, застосовуються до процедур банкротства суб’єкта підприємницької діяльності, який є стороною одного або кількох деривативних контрактів, укладених відповідно до генеральної угоди, в частині, що не суперечить положенням цієї статті. У разі суперечності норм цього Кодексу, що регулюють банкротство юридичних осіб, з нормами цієї статті, норми цієї статті мають перевагу.</w:t>
            </w:r>
          </w:p>
        </w:tc>
        <w:tc>
          <w:tcPr>
            <w:tcW w:w="3686" w:type="dxa"/>
          </w:tcPr>
          <w:p w14:paraId="652098A7" w14:textId="77777777" w:rsidR="00826C07" w:rsidRPr="00286216" w:rsidRDefault="00826C07" w:rsidP="00826C07">
            <w:pPr>
              <w:spacing w:line="200" w:lineRule="exact"/>
              <w:ind w:firstLine="227"/>
              <w:jc w:val="both"/>
              <w:rPr>
                <w:color w:val="000000" w:themeColor="text1"/>
                <w:szCs w:val="18"/>
              </w:rPr>
            </w:pPr>
          </w:p>
        </w:tc>
        <w:tc>
          <w:tcPr>
            <w:tcW w:w="1987" w:type="dxa"/>
          </w:tcPr>
          <w:p w14:paraId="2E8D2D90" w14:textId="77777777" w:rsidR="00826C07" w:rsidRPr="00286216" w:rsidRDefault="00826C07" w:rsidP="00826C07">
            <w:pPr>
              <w:spacing w:line="220" w:lineRule="exact"/>
              <w:rPr>
                <w:color w:val="000000" w:themeColor="text1"/>
              </w:rPr>
            </w:pPr>
          </w:p>
        </w:tc>
        <w:tc>
          <w:tcPr>
            <w:tcW w:w="4818" w:type="dxa"/>
          </w:tcPr>
          <w:p w14:paraId="7919C08E" w14:textId="77777777" w:rsidR="00826C07" w:rsidRPr="00286216" w:rsidRDefault="00826C07" w:rsidP="00826C07">
            <w:pPr>
              <w:pStyle w:val="StyleZakonu"/>
              <w:rPr>
                <w:color w:val="000000" w:themeColor="text1"/>
              </w:rPr>
            </w:pPr>
          </w:p>
        </w:tc>
      </w:tr>
      <w:tr w:rsidR="00826C07" w:rsidRPr="00286216" w14:paraId="5A0C788D" w14:textId="77777777" w:rsidTr="00091AA5">
        <w:tc>
          <w:tcPr>
            <w:tcW w:w="576" w:type="dxa"/>
          </w:tcPr>
          <w:p w14:paraId="63FE4F44" w14:textId="77777777" w:rsidR="00826C07" w:rsidRPr="00286216" w:rsidRDefault="00826C07" w:rsidP="00826C07">
            <w:pPr>
              <w:pStyle w:val="StyleWisnow"/>
              <w:rPr>
                <w:color w:val="000000" w:themeColor="text1"/>
              </w:rPr>
            </w:pPr>
            <w:bookmarkStart w:id="2700" w:name="n2828" w:colFirst="0" w:colLast="0"/>
            <w:bookmarkEnd w:id="2699"/>
            <w:r w:rsidRPr="00286216">
              <w:rPr>
                <w:color w:val="000000" w:themeColor="text1"/>
              </w:rPr>
              <w:t>2828.</w:t>
            </w:r>
          </w:p>
        </w:tc>
        <w:tc>
          <w:tcPr>
            <w:tcW w:w="4818" w:type="dxa"/>
          </w:tcPr>
          <w:p w14:paraId="2E33C556" w14:textId="77777777" w:rsidR="00826C07" w:rsidRPr="00286216" w:rsidRDefault="00826C07" w:rsidP="00826C07">
            <w:pPr>
              <w:pStyle w:val="StyleZakonu"/>
              <w:rPr>
                <w:color w:val="000000" w:themeColor="text1"/>
              </w:rPr>
            </w:pPr>
            <w:r w:rsidRPr="00286216">
              <w:rPr>
                <w:color w:val="000000" w:themeColor="text1"/>
              </w:rPr>
              <w:t>5. Положення цієї статті застосовується також до інших фінансових інструментів та правочинів щодо них, товарних операцій, а також до правочинів щодо валютних цінностей."</w:t>
            </w:r>
          </w:p>
        </w:tc>
        <w:tc>
          <w:tcPr>
            <w:tcW w:w="3686" w:type="dxa"/>
          </w:tcPr>
          <w:p w14:paraId="132641B9" w14:textId="77777777" w:rsidR="00826C07" w:rsidRPr="00286216" w:rsidRDefault="00826C07" w:rsidP="00826C07">
            <w:pPr>
              <w:pStyle w:val="StyleProp"/>
              <w:rPr>
                <w:color w:val="000000" w:themeColor="text1"/>
                <w:szCs w:val="18"/>
              </w:rPr>
            </w:pPr>
          </w:p>
        </w:tc>
        <w:tc>
          <w:tcPr>
            <w:tcW w:w="1987" w:type="dxa"/>
          </w:tcPr>
          <w:p w14:paraId="3DB402A4" w14:textId="77777777" w:rsidR="00826C07" w:rsidRPr="00286216" w:rsidRDefault="00826C07" w:rsidP="00826C07">
            <w:pPr>
              <w:pStyle w:val="StyleWisnow"/>
              <w:rPr>
                <w:color w:val="000000" w:themeColor="text1"/>
              </w:rPr>
            </w:pPr>
          </w:p>
        </w:tc>
        <w:tc>
          <w:tcPr>
            <w:tcW w:w="4818" w:type="dxa"/>
          </w:tcPr>
          <w:p w14:paraId="3DD61C67" w14:textId="77777777" w:rsidR="00826C07" w:rsidRPr="00286216" w:rsidRDefault="00826C07" w:rsidP="00826C07">
            <w:pPr>
              <w:pStyle w:val="StyleZakonu"/>
              <w:rPr>
                <w:color w:val="000000" w:themeColor="text1"/>
              </w:rPr>
            </w:pPr>
          </w:p>
        </w:tc>
      </w:tr>
      <w:tr w:rsidR="00BD3916" w:rsidRPr="00286216" w14:paraId="412B227D" w14:textId="77777777" w:rsidTr="00091AA5">
        <w:tc>
          <w:tcPr>
            <w:tcW w:w="576" w:type="dxa"/>
          </w:tcPr>
          <w:p w14:paraId="2B79B0F6" w14:textId="77777777" w:rsidR="00BD3916" w:rsidRPr="00286216" w:rsidRDefault="00BD3916" w:rsidP="00BD3916">
            <w:pPr>
              <w:pStyle w:val="StyleWisnow"/>
              <w:rPr>
                <w:color w:val="000000" w:themeColor="text1"/>
              </w:rPr>
            </w:pPr>
            <w:bookmarkStart w:id="2701" w:name="n2829" w:colFirst="0" w:colLast="0"/>
            <w:bookmarkEnd w:id="2700"/>
            <w:r w:rsidRPr="00286216">
              <w:rPr>
                <w:color w:val="000000" w:themeColor="text1"/>
              </w:rPr>
              <w:t>2829.</w:t>
            </w:r>
          </w:p>
        </w:tc>
        <w:tc>
          <w:tcPr>
            <w:tcW w:w="4818" w:type="dxa"/>
          </w:tcPr>
          <w:p w14:paraId="76868AE1" w14:textId="77777777" w:rsidR="00BD3916" w:rsidRPr="00286216" w:rsidRDefault="00BD3916" w:rsidP="00BD3916">
            <w:pPr>
              <w:pStyle w:val="StyleZakonu"/>
              <w:rPr>
                <w:color w:val="000000" w:themeColor="text1"/>
              </w:rPr>
            </w:pPr>
            <w:r w:rsidRPr="00286216">
              <w:rPr>
                <w:color w:val="000000" w:themeColor="text1"/>
              </w:rPr>
              <w:t>10. У Законі України "Про зовнішньоекономічну діяльність (Відомості Верховної Ради УРСР (ВВР), 1991, № 29, ст. 377, із наступними змінами):</w:t>
            </w:r>
          </w:p>
        </w:tc>
        <w:tc>
          <w:tcPr>
            <w:tcW w:w="3686" w:type="dxa"/>
          </w:tcPr>
          <w:p w14:paraId="228ADED0" w14:textId="77777777" w:rsidR="00BD3916" w:rsidRPr="00286216" w:rsidRDefault="00BD3916" w:rsidP="00BD3916">
            <w:pPr>
              <w:pStyle w:val="StyleProp"/>
              <w:rPr>
                <w:color w:val="000000" w:themeColor="text1"/>
                <w:szCs w:val="18"/>
              </w:rPr>
            </w:pPr>
          </w:p>
        </w:tc>
        <w:tc>
          <w:tcPr>
            <w:tcW w:w="1987" w:type="dxa"/>
          </w:tcPr>
          <w:p w14:paraId="44929BD1" w14:textId="77777777" w:rsidR="00BD3916" w:rsidRPr="00286216" w:rsidRDefault="00BD3916" w:rsidP="00BD3916">
            <w:pPr>
              <w:pStyle w:val="StyleWisnow"/>
              <w:rPr>
                <w:color w:val="000000" w:themeColor="text1"/>
              </w:rPr>
            </w:pPr>
          </w:p>
        </w:tc>
        <w:tc>
          <w:tcPr>
            <w:tcW w:w="4818" w:type="dxa"/>
          </w:tcPr>
          <w:p w14:paraId="47707AFD" w14:textId="5CF1B2B1" w:rsidR="00BD3916" w:rsidRPr="00286216" w:rsidRDefault="00BD3916" w:rsidP="00BD3916">
            <w:pPr>
              <w:pStyle w:val="StyleZakonu"/>
              <w:rPr>
                <w:color w:val="000000" w:themeColor="text1"/>
              </w:rPr>
            </w:pPr>
            <w:r w:rsidRPr="00286216">
              <w:rPr>
                <w:color w:val="000000" w:themeColor="text1"/>
              </w:rPr>
              <w:t>10. У Законі України "Про зовнішньоекономічну діяльність (Відомості Верховної Ради УРСР, 1991 р., № 29, ст. 377 із наступними змінами):</w:t>
            </w:r>
          </w:p>
        </w:tc>
      </w:tr>
      <w:tr w:rsidR="00BD3916" w:rsidRPr="00286216" w14:paraId="133BC242" w14:textId="77777777" w:rsidTr="00091AA5">
        <w:tc>
          <w:tcPr>
            <w:tcW w:w="576" w:type="dxa"/>
          </w:tcPr>
          <w:p w14:paraId="2ED6E270" w14:textId="77777777" w:rsidR="00BD3916" w:rsidRPr="00286216" w:rsidRDefault="00BD3916" w:rsidP="00BD3916">
            <w:pPr>
              <w:pStyle w:val="StyleWisnow"/>
              <w:rPr>
                <w:color w:val="000000" w:themeColor="text1"/>
              </w:rPr>
            </w:pPr>
            <w:bookmarkStart w:id="2702" w:name="n2830" w:colFirst="0" w:colLast="0"/>
            <w:bookmarkEnd w:id="2701"/>
            <w:r w:rsidRPr="00286216">
              <w:rPr>
                <w:color w:val="000000" w:themeColor="text1"/>
              </w:rPr>
              <w:t>2830.</w:t>
            </w:r>
          </w:p>
        </w:tc>
        <w:tc>
          <w:tcPr>
            <w:tcW w:w="4818" w:type="dxa"/>
          </w:tcPr>
          <w:p w14:paraId="04B9B20A" w14:textId="77777777" w:rsidR="00BD3916" w:rsidRPr="00286216" w:rsidRDefault="00BD3916" w:rsidP="00BD3916">
            <w:pPr>
              <w:pStyle w:val="StyleZakonu"/>
              <w:rPr>
                <w:color w:val="000000" w:themeColor="text1"/>
              </w:rPr>
            </w:pPr>
            <w:r w:rsidRPr="00286216">
              <w:rPr>
                <w:color w:val="000000" w:themeColor="text1"/>
              </w:rPr>
              <w:t>1) у абзаці одинадцятому частини першої статті 4 слова "валютних біржах" замінити словами "регульованих грошових ринках";</w:t>
            </w:r>
          </w:p>
        </w:tc>
        <w:tc>
          <w:tcPr>
            <w:tcW w:w="3686" w:type="dxa"/>
          </w:tcPr>
          <w:p w14:paraId="62EFEAD2" w14:textId="77777777" w:rsidR="00BD3916" w:rsidRPr="00286216" w:rsidRDefault="00BD3916" w:rsidP="00BD3916">
            <w:pPr>
              <w:pStyle w:val="StyleProp"/>
              <w:rPr>
                <w:color w:val="000000" w:themeColor="text1"/>
                <w:szCs w:val="18"/>
              </w:rPr>
            </w:pPr>
          </w:p>
        </w:tc>
        <w:tc>
          <w:tcPr>
            <w:tcW w:w="1987" w:type="dxa"/>
          </w:tcPr>
          <w:p w14:paraId="2910552E" w14:textId="77777777" w:rsidR="00BD3916" w:rsidRPr="00286216" w:rsidRDefault="00BD3916" w:rsidP="00BD3916">
            <w:pPr>
              <w:pStyle w:val="StyleWisnow"/>
              <w:rPr>
                <w:color w:val="000000" w:themeColor="text1"/>
              </w:rPr>
            </w:pPr>
          </w:p>
        </w:tc>
        <w:tc>
          <w:tcPr>
            <w:tcW w:w="4818" w:type="dxa"/>
          </w:tcPr>
          <w:p w14:paraId="72A085D9" w14:textId="332B6A3F" w:rsidR="00BD3916" w:rsidRPr="00286216" w:rsidRDefault="00BD3916" w:rsidP="00BD3916">
            <w:pPr>
              <w:pStyle w:val="StyleZakonu"/>
              <w:rPr>
                <w:color w:val="000000" w:themeColor="text1"/>
              </w:rPr>
            </w:pPr>
            <w:r w:rsidRPr="00286216">
              <w:rPr>
                <w:color w:val="000000" w:themeColor="text1"/>
              </w:rPr>
              <w:t>1) в абзаці  дванадцятому частини першої статті 4 слова "валютних біржах" замінити словами "регульованих грошових ринках";</w:t>
            </w:r>
          </w:p>
        </w:tc>
      </w:tr>
      <w:tr w:rsidR="00BD3916" w:rsidRPr="00286216" w14:paraId="6AD7F9A8" w14:textId="77777777" w:rsidTr="00091AA5">
        <w:tc>
          <w:tcPr>
            <w:tcW w:w="576" w:type="dxa"/>
          </w:tcPr>
          <w:p w14:paraId="76980B28" w14:textId="77777777" w:rsidR="00BD3916" w:rsidRPr="00286216" w:rsidRDefault="00BD3916" w:rsidP="00BD3916">
            <w:pPr>
              <w:pStyle w:val="StyleWisnow"/>
              <w:rPr>
                <w:color w:val="000000" w:themeColor="text1"/>
              </w:rPr>
            </w:pPr>
            <w:bookmarkStart w:id="2703" w:name="n2831" w:colFirst="0" w:colLast="0"/>
            <w:bookmarkEnd w:id="2702"/>
            <w:r w:rsidRPr="00286216">
              <w:rPr>
                <w:color w:val="000000" w:themeColor="text1"/>
              </w:rPr>
              <w:t>2831.</w:t>
            </w:r>
          </w:p>
        </w:tc>
        <w:tc>
          <w:tcPr>
            <w:tcW w:w="4818" w:type="dxa"/>
          </w:tcPr>
          <w:p w14:paraId="41F0EBAD" w14:textId="77777777" w:rsidR="00BD3916" w:rsidRPr="00286216" w:rsidRDefault="00BD3916" w:rsidP="00BD3916">
            <w:pPr>
              <w:pStyle w:val="StyleZakonu"/>
              <w:rPr>
                <w:color w:val="000000" w:themeColor="text1"/>
              </w:rPr>
            </w:pPr>
            <w:r w:rsidRPr="00286216">
              <w:rPr>
                <w:color w:val="000000" w:themeColor="text1"/>
              </w:rPr>
              <w:t>2) у абзаці другому частини другої статті 7 слова "товарними, фондовими, валютними біржами" замінити словами "організованими товарними, регульованими фондовими та регульованими грошовими ринками".</w:t>
            </w:r>
          </w:p>
        </w:tc>
        <w:tc>
          <w:tcPr>
            <w:tcW w:w="3686" w:type="dxa"/>
          </w:tcPr>
          <w:p w14:paraId="57409870" w14:textId="4340869F" w:rsidR="00BD3916" w:rsidRPr="00286216" w:rsidRDefault="00BD3916" w:rsidP="00BD3916">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1271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28E2649" w14:textId="3E48C49A" w:rsidR="00BD3916" w:rsidRPr="00286216" w:rsidRDefault="00BD3916" w:rsidP="00BD3916">
            <w:pPr>
              <w:pStyle w:val="StyleProp"/>
              <w:spacing w:line="180" w:lineRule="exact"/>
              <w:rPr>
                <w:color w:val="000000" w:themeColor="text1"/>
                <w:szCs w:val="18"/>
              </w:rPr>
            </w:pPr>
            <w:r w:rsidRPr="00286216">
              <w:rPr>
                <w:color w:val="000000" w:themeColor="text1"/>
              </w:rPr>
              <w:t>в абзаці 3 пункту 10 розділу 3 слова "організованими товарними, регульованими фондовими та регульованими грошовими ринками" замінити словами "операторами організованих товарних, організованих фондових та регульованих грошових ринків".</w:t>
            </w:r>
          </w:p>
        </w:tc>
        <w:tc>
          <w:tcPr>
            <w:tcW w:w="1987" w:type="dxa"/>
          </w:tcPr>
          <w:p w14:paraId="325FA193" w14:textId="75BFCB0A" w:rsidR="00BD3916" w:rsidRPr="00286216" w:rsidRDefault="00BD3916" w:rsidP="00BD3916">
            <w:pPr>
              <w:pStyle w:val="StyleWisnow"/>
              <w:rPr>
                <w:color w:val="000000" w:themeColor="text1"/>
              </w:rPr>
            </w:pPr>
            <w:r w:rsidRPr="00286216">
              <w:rPr>
                <w:color w:val="000000" w:themeColor="text1"/>
              </w:rPr>
              <w:t>Враховано</w:t>
            </w:r>
          </w:p>
        </w:tc>
        <w:tc>
          <w:tcPr>
            <w:tcW w:w="4818" w:type="dxa"/>
          </w:tcPr>
          <w:p w14:paraId="19C66330" w14:textId="0E14F598" w:rsidR="00BD3916" w:rsidRPr="00286216" w:rsidRDefault="00BD3916" w:rsidP="00BD3916">
            <w:pPr>
              <w:pStyle w:val="StyleZakonu"/>
              <w:rPr>
                <w:color w:val="000000" w:themeColor="text1"/>
              </w:rPr>
            </w:pPr>
            <w:r w:rsidRPr="00286216">
              <w:rPr>
                <w:color w:val="000000" w:themeColor="text1"/>
              </w:rPr>
              <w:t>2) в абзаці  третьому частини другої статті 7 слова "товарними, фондовими, валютними біржами" замінити словами "операторами організованих товарних, організованих фондових та регульованих грошових ринків".</w:t>
            </w:r>
          </w:p>
        </w:tc>
      </w:tr>
      <w:tr w:rsidR="00BD3916" w:rsidRPr="00286216" w14:paraId="1F42C6FE" w14:textId="77777777" w:rsidTr="00091AA5">
        <w:tc>
          <w:tcPr>
            <w:tcW w:w="576" w:type="dxa"/>
          </w:tcPr>
          <w:p w14:paraId="7A919E56" w14:textId="77777777" w:rsidR="00BD3916" w:rsidRPr="00286216" w:rsidRDefault="00BD3916" w:rsidP="00BD3916">
            <w:pPr>
              <w:pStyle w:val="StyleWisnow"/>
              <w:rPr>
                <w:color w:val="000000" w:themeColor="text1"/>
              </w:rPr>
            </w:pPr>
            <w:bookmarkStart w:id="2704" w:name="n2832" w:colFirst="0" w:colLast="0"/>
            <w:bookmarkEnd w:id="2703"/>
            <w:r w:rsidRPr="00286216">
              <w:rPr>
                <w:color w:val="000000" w:themeColor="text1"/>
              </w:rPr>
              <w:t>2832.</w:t>
            </w:r>
          </w:p>
        </w:tc>
        <w:tc>
          <w:tcPr>
            <w:tcW w:w="4818" w:type="dxa"/>
          </w:tcPr>
          <w:p w14:paraId="3F743045" w14:textId="77777777" w:rsidR="00BD3916" w:rsidRPr="00286216" w:rsidRDefault="00BD3916" w:rsidP="00BD3916">
            <w:pPr>
              <w:pStyle w:val="StyleZakonu"/>
              <w:rPr>
                <w:color w:val="000000" w:themeColor="text1"/>
              </w:rPr>
            </w:pPr>
            <w:r w:rsidRPr="00286216">
              <w:rPr>
                <w:color w:val="000000" w:themeColor="text1"/>
              </w:rPr>
              <w:t>11. У Законі України "Про інвестиційну діяльність" (Відомості Верховної Ради України, 1991 р., №47, ст. 646, із наступними змінами):</w:t>
            </w:r>
          </w:p>
        </w:tc>
        <w:tc>
          <w:tcPr>
            <w:tcW w:w="3686" w:type="dxa"/>
          </w:tcPr>
          <w:p w14:paraId="676C979D" w14:textId="77777777" w:rsidR="00BD3916" w:rsidRPr="00286216" w:rsidRDefault="00BD3916" w:rsidP="00BD3916">
            <w:pPr>
              <w:pStyle w:val="StyleProp"/>
              <w:rPr>
                <w:color w:val="000000" w:themeColor="text1"/>
                <w:szCs w:val="18"/>
              </w:rPr>
            </w:pPr>
          </w:p>
        </w:tc>
        <w:tc>
          <w:tcPr>
            <w:tcW w:w="1987" w:type="dxa"/>
          </w:tcPr>
          <w:p w14:paraId="4C0145FD" w14:textId="77777777" w:rsidR="00BD3916" w:rsidRPr="00286216" w:rsidRDefault="00BD3916" w:rsidP="00BD3916">
            <w:pPr>
              <w:pStyle w:val="StyleWisnow"/>
              <w:rPr>
                <w:color w:val="000000" w:themeColor="text1"/>
              </w:rPr>
            </w:pPr>
          </w:p>
        </w:tc>
        <w:tc>
          <w:tcPr>
            <w:tcW w:w="4818" w:type="dxa"/>
          </w:tcPr>
          <w:p w14:paraId="67E6E096" w14:textId="65EFBEAF" w:rsidR="00BD3916" w:rsidRPr="00286216" w:rsidRDefault="00BD3916" w:rsidP="00BD3916">
            <w:pPr>
              <w:pStyle w:val="StyleZakonu"/>
              <w:rPr>
                <w:color w:val="000000" w:themeColor="text1"/>
              </w:rPr>
            </w:pPr>
            <w:r w:rsidRPr="00286216">
              <w:rPr>
                <w:color w:val="000000" w:themeColor="text1"/>
              </w:rPr>
              <w:t>11. У Законі України "Про інвестиційну діяльність" (Відомості Верховної Ради України, 1991 р., №47, ст. 646 із наступними змінами):</w:t>
            </w:r>
          </w:p>
        </w:tc>
      </w:tr>
      <w:tr w:rsidR="00BD3916" w:rsidRPr="00286216" w14:paraId="0F339B02" w14:textId="77777777" w:rsidTr="00091AA5">
        <w:tc>
          <w:tcPr>
            <w:tcW w:w="576" w:type="dxa"/>
          </w:tcPr>
          <w:p w14:paraId="5FD8B259" w14:textId="77777777" w:rsidR="00BD3916" w:rsidRPr="00286216" w:rsidRDefault="00BD3916" w:rsidP="00BD3916">
            <w:pPr>
              <w:pStyle w:val="StyleWisnow"/>
              <w:rPr>
                <w:color w:val="000000" w:themeColor="text1"/>
              </w:rPr>
            </w:pPr>
            <w:bookmarkStart w:id="2705" w:name="n2833" w:colFirst="0" w:colLast="0"/>
            <w:bookmarkEnd w:id="2704"/>
            <w:r w:rsidRPr="00286216">
              <w:rPr>
                <w:color w:val="000000" w:themeColor="text1"/>
              </w:rPr>
              <w:t>2833.</w:t>
            </w:r>
          </w:p>
        </w:tc>
        <w:tc>
          <w:tcPr>
            <w:tcW w:w="4818" w:type="dxa"/>
          </w:tcPr>
          <w:p w14:paraId="173EE364" w14:textId="77777777" w:rsidR="00BD3916" w:rsidRPr="00286216" w:rsidRDefault="00BD3916" w:rsidP="00BD3916">
            <w:pPr>
              <w:pStyle w:val="StyleZakonu"/>
              <w:rPr>
                <w:color w:val="000000" w:themeColor="text1"/>
              </w:rPr>
            </w:pPr>
            <w:r w:rsidRPr="00286216">
              <w:rPr>
                <w:color w:val="000000" w:themeColor="text1"/>
              </w:rPr>
              <w:t xml:space="preserve">1) у частині четвертій статті 2 слова "цінні папери та фондовий ринок" замінити словами "ринки </w:t>
            </w:r>
            <w:r w:rsidRPr="00286216">
              <w:rPr>
                <w:color w:val="000000" w:themeColor="text1"/>
              </w:rPr>
              <w:lastRenderedPageBreak/>
              <w:t>капіталу";</w:t>
            </w:r>
          </w:p>
        </w:tc>
        <w:tc>
          <w:tcPr>
            <w:tcW w:w="3686" w:type="dxa"/>
          </w:tcPr>
          <w:p w14:paraId="62A62BBF" w14:textId="77777777" w:rsidR="00BD3916" w:rsidRPr="00286216" w:rsidRDefault="00BD3916" w:rsidP="00BD3916">
            <w:pPr>
              <w:pStyle w:val="StyleProp"/>
              <w:rPr>
                <w:color w:val="000000" w:themeColor="text1"/>
                <w:szCs w:val="18"/>
              </w:rPr>
            </w:pPr>
          </w:p>
        </w:tc>
        <w:tc>
          <w:tcPr>
            <w:tcW w:w="1987" w:type="dxa"/>
          </w:tcPr>
          <w:p w14:paraId="1BE935FA" w14:textId="77777777" w:rsidR="00BD3916" w:rsidRPr="00286216" w:rsidRDefault="00BD3916" w:rsidP="00BD3916">
            <w:pPr>
              <w:pStyle w:val="StyleWisnow"/>
              <w:rPr>
                <w:color w:val="000000" w:themeColor="text1"/>
              </w:rPr>
            </w:pPr>
          </w:p>
        </w:tc>
        <w:tc>
          <w:tcPr>
            <w:tcW w:w="4818" w:type="dxa"/>
          </w:tcPr>
          <w:p w14:paraId="5CC86766" w14:textId="6F078A63" w:rsidR="00BD3916" w:rsidRPr="00286216" w:rsidRDefault="00BD3916" w:rsidP="00BD3916">
            <w:pPr>
              <w:pStyle w:val="StyleZakonu"/>
              <w:rPr>
                <w:color w:val="000000" w:themeColor="text1"/>
              </w:rPr>
            </w:pPr>
            <w:r w:rsidRPr="00286216">
              <w:rPr>
                <w:color w:val="000000" w:themeColor="text1"/>
              </w:rPr>
              <w:t xml:space="preserve">1) у частині четвертій статті 2 слова "цінні папери та фондовий ринок" замінити словами "ринки </w:t>
            </w:r>
            <w:r w:rsidRPr="00286216">
              <w:rPr>
                <w:color w:val="000000" w:themeColor="text1"/>
              </w:rPr>
              <w:lastRenderedPageBreak/>
              <w:t>капіталу";</w:t>
            </w:r>
          </w:p>
        </w:tc>
      </w:tr>
      <w:tr w:rsidR="00BD3916" w:rsidRPr="00286216" w14:paraId="624E4EB6" w14:textId="77777777" w:rsidTr="00091AA5">
        <w:tc>
          <w:tcPr>
            <w:tcW w:w="576" w:type="dxa"/>
          </w:tcPr>
          <w:p w14:paraId="49CE653B" w14:textId="77777777" w:rsidR="00BD3916" w:rsidRPr="00286216" w:rsidRDefault="00BD3916" w:rsidP="00BD3916">
            <w:pPr>
              <w:pStyle w:val="StyleWisnow"/>
              <w:rPr>
                <w:color w:val="000000" w:themeColor="text1"/>
              </w:rPr>
            </w:pPr>
            <w:bookmarkStart w:id="2706" w:name="n2834" w:colFirst="0" w:colLast="0"/>
            <w:bookmarkEnd w:id="2705"/>
            <w:r w:rsidRPr="00286216">
              <w:rPr>
                <w:color w:val="000000" w:themeColor="text1"/>
              </w:rPr>
              <w:lastRenderedPageBreak/>
              <w:t>2834.</w:t>
            </w:r>
          </w:p>
        </w:tc>
        <w:tc>
          <w:tcPr>
            <w:tcW w:w="4818" w:type="dxa"/>
          </w:tcPr>
          <w:p w14:paraId="0E0E698B" w14:textId="77777777" w:rsidR="00BD3916" w:rsidRPr="00286216" w:rsidRDefault="00BD3916" w:rsidP="00BD3916">
            <w:pPr>
              <w:pStyle w:val="StyleZakonu"/>
              <w:rPr>
                <w:color w:val="000000" w:themeColor="text1"/>
              </w:rPr>
            </w:pPr>
            <w:r w:rsidRPr="00286216">
              <w:rPr>
                <w:color w:val="000000" w:themeColor="text1"/>
              </w:rPr>
              <w:t>2) у частині третій статті 4 слова "цільових облігацій підприємств" замінити словами "цільових корпоративних облігацій";</w:t>
            </w:r>
          </w:p>
        </w:tc>
        <w:tc>
          <w:tcPr>
            <w:tcW w:w="3686" w:type="dxa"/>
          </w:tcPr>
          <w:p w14:paraId="59F3BC8E" w14:textId="77777777" w:rsidR="00BD3916" w:rsidRPr="00286216" w:rsidRDefault="00BD3916" w:rsidP="00BD3916">
            <w:pPr>
              <w:pStyle w:val="StyleProp"/>
              <w:rPr>
                <w:color w:val="000000" w:themeColor="text1"/>
                <w:szCs w:val="18"/>
              </w:rPr>
            </w:pPr>
          </w:p>
        </w:tc>
        <w:tc>
          <w:tcPr>
            <w:tcW w:w="1987" w:type="dxa"/>
          </w:tcPr>
          <w:p w14:paraId="7695833A" w14:textId="77777777" w:rsidR="00BD3916" w:rsidRPr="00286216" w:rsidRDefault="00BD3916" w:rsidP="00BD3916">
            <w:pPr>
              <w:pStyle w:val="StyleWisnow"/>
              <w:rPr>
                <w:color w:val="000000" w:themeColor="text1"/>
              </w:rPr>
            </w:pPr>
          </w:p>
        </w:tc>
        <w:tc>
          <w:tcPr>
            <w:tcW w:w="4818" w:type="dxa"/>
          </w:tcPr>
          <w:p w14:paraId="60D83AA2" w14:textId="49769EBB" w:rsidR="00BD3916" w:rsidRPr="00286216" w:rsidRDefault="00BD3916" w:rsidP="00BD3916">
            <w:pPr>
              <w:pStyle w:val="StyleZakonu"/>
              <w:rPr>
                <w:color w:val="000000" w:themeColor="text1"/>
              </w:rPr>
            </w:pPr>
            <w:r w:rsidRPr="00286216">
              <w:rPr>
                <w:color w:val="000000" w:themeColor="text1"/>
              </w:rPr>
              <w:t>2) у першому реченні частини третьої статті 4 слова "цільових облігацій підприємств" замінити словами "цільових корпоративних облігацій";</w:t>
            </w:r>
          </w:p>
        </w:tc>
      </w:tr>
      <w:tr w:rsidR="00BD3916" w:rsidRPr="00286216" w14:paraId="0437D581" w14:textId="77777777" w:rsidTr="00091AA5">
        <w:tc>
          <w:tcPr>
            <w:tcW w:w="576" w:type="dxa"/>
          </w:tcPr>
          <w:p w14:paraId="712E919A" w14:textId="77777777" w:rsidR="00BD3916" w:rsidRPr="00286216" w:rsidRDefault="00BD3916" w:rsidP="00BD3916">
            <w:pPr>
              <w:pStyle w:val="StyleWisnow"/>
              <w:rPr>
                <w:color w:val="000000" w:themeColor="text1"/>
              </w:rPr>
            </w:pPr>
            <w:bookmarkStart w:id="2707" w:name="n2835" w:colFirst="0" w:colLast="0"/>
            <w:bookmarkEnd w:id="2706"/>
            <w:r w:rsidRPr="00286216">
              <w:rPr>
                <w:color w:val="000000" w:themeColor="text1"/>
              </w:rPr>
              <w:t>2835.</w:t>
            </w:r>
          </w:p>
        </w:tc>
        <w:tc>
          <w:tcPr>
            <w:tcW w:w="4818" w:type="dxa"/>
          </w:tcPr>
          <w:p w14:paraId="2294B9F5" w14:textId="77777777" w:rsidR="00BD3916" w:rsidRPr="00286216" w:rsidRDefault="00BD3916" w:rsidP="00BD3916">
            <w:pPr>
              <w:pStyle w:val="StyleZakonu"/>
              <w:rPr>
                <w:color w:val="000000" w:themeColor="text1"/>
              </w:rPr>
            </w:pPr>
            <w:r w:rsidRPr="00286216">
              <w:rPr>
                <w:color w:val="000000" w:themeColor="text1"/>
              </w:rPr>
              <w:t>3) в абзаці першому частини четвертої статті 7 слово "випуску" замінити словами "емісії (видачі)";</w:t>
            </w:r>
          </w:p>
        </w:tc>
        <w:tc>
          <w:tcPr>
            <w:tcW w:w="3686" w:type="dxa"/>
          </w:tcPr>
          <w:p w14:paraId="3EAEACF8" w14:textId="77777777" w:rsidR="00BD3916" w:rsidRPr="00286216" w:rsidRDefault="00BD3916" w:rsidP="00BD3916">
            <w:pPr>
              <w:pStyle w:val="StyleProp"/>
              <w:rPr>
                <w:color w:val="000000" w:themeColor="text1"/>
                <w:szCs w:val="18"/>
              </w:rPr>
            </w:pPr>
          </w:p>
        </w:tc>
        <w:tc>
          <w:tcPr>
            <w:tcW w:w="1987" w:type="dxa"/>
          </w:tcPr>
          <w:p w14:paraId="4E2E6C14" w14:textId="77777777" w:rsidR="00BD3916" w:rsidRPr="00286216" w:rsidRDefault="00BD3916" w:rsidP="00BD3916">
            <w:pPr>
              <w:pStyle w:val="StyleWisnow"/>
              <w:rPr>
                <w:color w:val="000000" w:themeColor="text1"/>
              </w:rPr>
            </w:pPr>
          </w:p>
        </w:tc>
        <w:tc>
          <w:tcPr>
            <w:tcW w:w="4818" w:type="dxa"/>
          </w:tcPr>
          <w:p w14:paraId="65F507C4" w14:textId="2CAEF10F" w:rsidR="00BD3916" w:rsidRPr="00286216" w:rsidRDefault="00BD3916" w:rsidP="00BD3916">
            <w:pPr>
              <w:pStyle w:val="StyleZakonu"/>
              <w:rPr>
                <w:color w:val="000000" w:themeColor="text1"/>
              </w:rPr>
            </w:pPr>
            <w:r w:rsidRPr="00286216">
              <w:rPr>
                <w:color w:val="000000" w:themeColor="text1"/>
              </w:rPr>
              <w:t>3) в абзаці першому частини четвертої статті 7 слово "випуску" замінити словами "емісії (видачі)";</w:t>
            </w:r>
          </w:p>
        </w:tc>
      </w:tr>
      <w:tr w:rsidR="00BD3916" w:rsidRPr="00286216" w14:paraId="0EC0A1B8" w14:textId="77777777" w:rsidTr="00091AA5">
        <w:tc>
          <w:tcPr>
            <w:tcW w:w="576" w:type="dxa"/>
          </w:tcPr>
          <w:p w14:paraId="6D066D88" w14:textId="77777777" w:rsidR="00BD3916" w:rsidRPr="00286216" w:rsidRDefault="00BD3916" w:rsidP="00BD3916">
            <w:pPr>
              <w:pStyle w:val="StyleWisnow"/>
              <w:rPr>
                <w:color w:val="000000" w:themeColor="text1"/>
              </w:rPr>
            </w:pPr>
            <w:bookmarkStart w:id="2708" w:name="n2836" w:colFirst="0" w:colLast="0"/>
            <w:bookmarkEnd w:id="2707"/>
            <w:r w:rsidRPr="00286216">
              <w:rPr>
                <w:color w:val="000000" w:themeColor="text1"/>
              </w:rPr>
              <w:t>2836.</w:t>
            </w:r>
          </w:p>
        </w:tc>
        <w:tc>
          <w:tcPr>
            <w:tcW w:w="4818" w:type="dxa"/>
          </w:tcPr>
          <w:p w14:paraId="2AA4F909" w14:textId="77777777" w:rsidR="00BD3916" w:rsidRPr="00286216" w:rsidRDefault="00BD3916" w:rsidP="00BD3916">
            <w:pPr>
              <w:pStyle w:val="StyleZakonu"/>
              <w:rPr>
                <w:color w:val="000000" w:themeColor="text1"/>
              </w:rPr>
            </w:pPr>
            <w:r w:rsidRPr="00286216">
              <w:rPr>
                <w:color w:val="000000" w:themeColor="text1"/>
              </w:rPr>
              <w:t>4) абзац перший статті 9 доповнити словами "або проспект цінних паперів (рішення про емісію цінних паперів)";</w:t>
            </w:r>
          </w:p>
        </w:tc>
        <w:tc>
          <w:tcPr>
            <w:tcW w:w="3686" w:type="dxa"/>
          </w:tcPr>
          <w:p w14:paraId="15F2A736" w14:textId="77777777" w:rsidR="00BD3916" w:rsidRPr="00286216" w:rsidRDefault="00BD3916" w:rsidP="00BD3916">
            <w:pPr>
              <w:pStyle w:val="StyleProp"/>
              <w:rPr>
                <w:color w:val="000000" w:themeColor="text1"/>
                <w:szCs w:val="18"/>
              </w:rPr>
            </w:pPr>
          </w:p>
        </w:tc>
        <w:tc>
          <w:tcPr>
            <w:tcW w:w="1987" w:type="dxa"/>
          </w:tcPr>
          <w:p w14:paraId="19058D66" w14:textId="77777777" w:rsidR="00BD3916" w:rsidRPr="00286216" w:rsidRDefault="00BD3916" w:rsidP="00BD3916">
            <w:pPr>
              <w:pStyle w:val="StyleWisnow"/>
              <w:rPr>
                <w:color w:val="000000" w:themeColor="text1"/>
              </w:rPr>
            </w:pPr>
          </w:p>
        </w:tc>
        <w:tc>
          <w:tcPr>
            <w:tcW w:w="4818" w:type="dxa"/>
          </w:tcPr>
          <w:p w14:paraId="050E402D" w14:textId="39BD549E" w:rsidR="00BD3916" w:rsidRPr="00286216" w:rsidRDefault="00BD3916" w:rsidP="00BD3916">
            <w:pPr>
              <w:pStyle w:val="StyleZakonu"/>
              <w:rPr>
                <w:color w:val="000000" w:themeColor="text1"/>
              </w:rPr>
            </w:pPr>
            <w:r w:rsidRPr="00286216">
              <w:rPr>
                <w:color w:val="000000" w:themeColor="text1"/>
              </w:rPr>
              <w:t>4) частину першу статті 9 доповнити словами "або проспект цінних паперів (рішення про емісію цінних паперів)";</w:t>
            </w:r>
          </w:p>
        </w:tc>
      </w:tr>
      <w:tr w:rsidR="00BD3916" w:rsidRPr="00286216" w14:paraId="555174A4" w14:textId="77777777" w:rsidTr="00091AA5">
        <w:tc>
          <w:tcPr>
            <w:tcW w:w="576" w:type="dxa"/>
          </w:tcPr>
          <w:p w14:paraId="0F08B922" w14:textId="77777777" w:rsidR="00BD3916" w:rsidRPr="00286216" w:rsidRDefault="00BD3916" w:rsidP="00BD3916">
            <w:pPr>
              <w:pStyle w:val="StyleWisnow"/>
              <w:rPr>
                <w:color w:val="000000" w:themeColor="text1"/>
              </w:rPr>
            </w:pPr>
            <w:bookmarkStart w:id="2709" w:name="n2837" w:colFirst="0" w:colLast="0"/>
            <w:bookmarkEnd w:id="2708"/>
            <w:r w:rsidRPr="00286216">
              <w:rPr>
                <w:color w:val="000000" w:themeColor="text1"/>
              </w:rPr>
              <w:t>2837.</w:t>
            </w:r>
          </w:p>
        </w:tc>
        <w:tc>
          <w:tcPr>
            <w:tcW w:w="4818" w:type="dxa"/>
          </w:tcPr>
          <w:p w14:paraId="5CB3040C" w14:textId="77777777" w:rsidR="00BD3916" w:rsidRPr="00286216" w:rsidRDefault="00BD3916" w:rsidP="00BD3916">
            <w:pPr>
              <w:pStyle w:val="StyleZakonu"/>
              <w:rPr>
                <w:color w:val="000000" w:themeColor="text1"/>
              </w:rPr>
            </w:pPr>
            <w:r w:rsidRPr="00286216">
              <w:rPr>
                <w:color w:val="000000" w:themeColor="text1"/>
              </w:rPr>
              <w:t>5) в абзаці третьому частини першої статті 10 слова "облігаційні позики" замінити словом "облігації";</w:t>
            </w:r>
          </w:p>
        </w:tc>
        <w:tc>
          <w:tcPr>
            <w:tcW w:w="3686" w:type="dxa"/>
          </w:tcPr>
          <w:p w14:paraId="5AAF3120" w14:textId="77777777" w:rsidR="00BD3916" w:rsidRPr="00286216" w:rsidRDefault="00BD3916" w:rsidP="00BD3916">
            <w:pPr>
              <w:pStyle w:val="StyleProp"/>
              <w:rPr>
                <w:color w:val="000000" w:themeColor="text1"/>
                <w:szCs w:val="18"/>
              </w:rPr>
            </w:pPr>
          </w:p>
        </w:tc>
        <w:tc>
          <w:tcPr>
            <w:tcW w:w="1987" w:type="dxa"/>
          </w:tcPr>
          <w:p w14:paraId="0DFC80A1" w14:textId="77777777" w:rsidR="00BD3916" w:rsidRPr="00286216" w:rsidRDefault="00BD3916" w:rsidP="00BD3916">
            <w:pPr>
              <w:pStyle w:val="StyleWisnow"/>
              <w:rPr>
                <w:color w:val="000000" w:themeColor="text1"/>
              </w:rPr>
            </w:pPr>
          </w:p>
        </w:tc>
        <w:tc>
          <w:tcPr>
            <w:tcW w:w="4818" w:type="dxa"/>
          </w:tcPr>
          <w:p w14:paraId="2ADF5876" w14:textId="287AFE17" w:rsidR="00BD3916" w:rsidRPr="00286216" w:rsidRDefault="00BD3916" w:rsidP="00BD3916">
            <w:pPr>
              <w:pStyle w:val="StyleZakonu"/>
              <w:rPr>
                <w:color w:val="000000" w:themeColor="text1"/>
              </w:rPr>
            </w:pPr>
            <w:r w:rsidRPr="00286216">
              <w:rPr>
                <w:color w:val="000000" w:themeColor="text1"/>
              </w:rPr>
              <w:t>5) в абзаці третьому частини першої статті 10 слова "облігаційні позики" замінити словом "облігації";</w:t>
            </w:r>
          </w:p>
        </w:tc>
      </w:tr>
      <w:tr w:rsidR="00BD3916" w:rsidRPr="00286216" w14:paraId="6B57D10D" w14:textId="77777777" w:rsidTr="00091AA5">
        <w:tc>
          <w:tcPr>
            <w:tcW w:w="576" w:type="dxa"/>
          </w:tcPr>
          <w:p w14:paraId="30F4A640" w14:textId="77777777" w:rsidR="00BD3916" w:rsidRPr="00286216" w:rsidRDefault="00BD3916" w:rsidP="00BD3916">
            <w:pPr>
              <w:pStyle w:val="StyleWisnow"/>
              <w:rPr>
                <w:color w:val="000000" w:themeColor="text1"/>
              </w:rPr>
            </w:pPr>
            <w:bookmarkStart w:id="2710" w:name="n2838" w:colFirst="0" w:colLast="0"/>
            <w:bookmarkEnd w:id="2709"/>
            <w:r w:rsidRPr="00286216">
              <w:rPr>
                <w:color w:val="000000" w:themeColor="text1"/>
              </w:rPr>
              <w:t>2838.</w:t>
            </w:r>
          </w:p>
        </w:tc>
        <w:tc>
          <w:tcPr>
            <w:tcW w:w="4818" w:type="dxa"/>
          </w:tcPr>
          <w:p w14:paraId="349AA397" w14:textId="77777777" w:rsidR="00BD3916" w:rsidRPr="00286216" w:rsidRDefault="00BD3916" w:rsidP="00BD3916">
            <w:pPr>
              <w:pStyle w:val="StyleZakonu"/>
              <w:rPr>
                <w:color w:val="000000" w:themeColor="text1"/>
              </w:rPr>
            </w:pPr>
            <w:r w:rsidRPr="00286216">
              <w:rPr>
                <w:color w:val="000000" w:themeColor="text1"/>
              </w:rPr>
              <w:t>6) абзац третій частини третьої статті 12 після слів "та стандартів" доповнити словами ", а також шляхом здійснення державного регулювання у відповідній сфері".</w:t>
            </w:r>
          </w:p>
        </w:tc>
        <w:tc>
          <w:tcPr>
            <w:tcW w:w="3686" w:type="dxa"/>
          </w:tcPr>
          <w:p w14:paraId="2B82B67E" w14:textId="77777777" w:rsidR="00BD3916" w:rsidRPr="00286216" w:rsidRDefault="00BD3916" w:rsidP="00BD3916">
            <w:pPr>
              <w:pStyle w:val="StyleProp"/>
              <w:rPr>
                <w:color w:val="000000" w:themeColor="text1"/>
                <w:szCs w:val="18"/>
              </w:rPr>
            </w:pPr>
          </w:p>
        </w:tc>
        <w:tc>
          <w:tcPr>
            <w:tcW w:w="1987" w:type="dxa"/>
          </w:tcPr>
          <w:p w14:paraId="509FC30F" w14:textId="77777777" w:rsidR="00BD3916" w:rsidRPr="00286216" w:rsidRDefault="00BD3916" w:rsidP="00BD3916">
            <w:pPr>
              <w:pStyle w:val="StyleWisnow"/>
              <w:rPr>
                <w:color w:val="000000" w:themeColor="text1"/>
              </w:rPr>
            </w:pPr>
          </w:p>
        </w:tc>
        <w:tc>
          <w:tcPr>
            <w:tcW w:w="4818" w:type="dxa"/>
          </w:tcPr>
          <w:p w14:paraId="1C0AF4A3" w14:textId="6F182B1B" w:rsidR="00BD3916" w:rsidRPr="00286216" w:rsidRDefault="00BD3916" w:rsidP="00BD3916">
            <w:pPr>
              <w:pStyle w:val="StyleZakonu"/>
              <w:rPr>
                <w:color w:val="000000" w:themeColor="text1"/>
              </w:rPr>
            </w:pPr>
            <w:r w:rsidRPr="00286216">
              <w:rPr>
                <w:color w:val="000000" w:themeColor="text1"/>
              </w:rPr>
              <w:t>6) абзац  п‘ятий частини третьої статті 12 доповнити словами "а також шляхом здійснення державного регулювання у відповідній сфері".</w:t>
            </w:r>
          </w:p>
        </w:tc>
      </w:tr>
      <w:tr w:rsidR="00BD3916" w:rsidRPr="00286216" w14:paraId="0E2ABE63" w14:textId="77777777" w:rsidTr="00091AA5">
        <w:tc>
          <w:tcPr>
            <w:tcW w:w="576" w:type="dxa"/>
          </w:tcPr>
          <w:p w14:paraId="22FBD6A3" w14:textId="77777777" w:rsidR="00BD3916" w:rsidRPr="00286216" w:rsidRDefault="00BD3916" w:rsidP="00BD3916">
            <w:pPr>
              <w:pStyle w:val="StyleWisnow"/>
              <w:rPr>
                <w:color w:val="000000" w:themeColor="text1"/>
              </w:rPr>
            </w:pPr>
            <w:bookmarkStart w:id="2711" w:name="n2839" w:colFirst="0" w:colLast="0"/>
            <w:bookmarkEnd w:id="2710"/>
            <w:r w:rsidRPr="00286216">
              <w:rPr>
                <w:color w:val="000000" w:themeColor="text1"/>
              </w:rPr>
              <w:t>2839.</w:t>
            </w:r>
          </w:p>
        </w:tc>
        <w:tc>
          <w:tcPr>
            <w:tcW w:w="4818" w:type="dxa"/>
          </w:tcPr>
          <w:p w14:paraId="3265E8E2" w14:textId="77777777" w:rsidR="00BD3916" w:rsidRPr="00286216" w:rsidRDefault="00BD3916" w:rsidP="00BD3916">
            <w:pPr>
              <w:pStyle w:val="StyleZakonu"/>
              <w:rPr>
                <w:color w:val="000000" w:themeColor="text1"/>
              </w:rPr>
            </w:pPr>
            <w:r w:rsidRPr="00286216">
              <w:rPr>
                <w:color w:val="000000" w:themeColor="text1"/>
              </w:rPr>
              <w:t>12. У статті 11 Закону України "Про споживчу кооперацію" (Відомості Верховної Ради України, 1992 р., №30, ст. 414, із наступними змінами):</w:t>
            </w:r>
          </w:p>
        </w:tc>
        <w:tc>
          <w:tcPr>
            <w:tcW w:w="3686" w:type="dxa"/>
          </w:tcPr>
          <w:p w14:paraId="0AA3EC63" w14:textId="77777777" w:rsidR="00BD3916" w:rsidRPr="00286216" w:rsidRDefault="00BD3916" w:rsidP="00BD3916">
            <w:pPr>
              <w:pStyle w:val="StyleProp"/>
              <w:rPr>
                <w:color w:val="000000" w:themeColor="text1"/>
                <w:szCs w:val="18"/>
              </w:rPr>
            </w:pPr>
          </w:p>
        </w:tc>
        <w:tc>
          <w:tcPr>
            <w:tcW w:w="1987" w:type="dxa"/>
          </w:tcPr>
          <w:p w14:paraId="4DB053FA" w14:textId="77777777" w:rsidR="00BD3916" w:rsidRPr="00286216" w:rsidRDefault="00BD3916" w:rsidP="00BD3916">
            <w:pPr>
              <w:pStyle w:val="StyleWisnow"/>
              <w:rPr>
                <w:color w:val="000000" w:themeColor="text1"/>
              </w:rPr>
            </w:pPr>
          </w:p>
        </w:tc>
        <w:tc>
          <w:tcPr>
            <w:tcW w:w="4818" w:type="dxa"/>
          </w:tcPr>
          <w:p w14:paraId="009278A3" w14:textId="6B64F521" w:rsidR="00BD3916" w:rsidRPr="00286216" w:rsidRDefault="00BD3916" w:rsidP="00BD3916">
            <w:pPr>
              <w:pStyle w:val="StyleZakonu"/>
              <w:rPr>
                <w:color w:val="000000" w:themeColor="text1"/>
              </w:rPr>
            </w:pPr>
            <w:r w:rsidRPr="00286216">
              <w:rPr>
                <w:color w:val="000000" w:themeColor="text1"/>
              </w:rPr>
              <w:t>12. У статті 11 Закону України "Про споживчу кооперацію" (Відомості Верховної Ради України, 1992 р., №30, ст. 414 із наступними змінами):</w:t>
            </w:r>
          </w:p>
        </w:tc>
      </w:tr>
      <w:tr w:rsidR="00BD3916" w:rsidRPr="00286216" w14:paraId="7EC4254C" w14:textId="77777777" w:rsidTr="00091AA5">
        <w:tc>
          <w:tcPr>
            <w:tcW w:w="576" w:type="dxa"/>
          </w:tcPr>
          <w:p w14:paraId="18D6A626" w14:textId="77777777" w:rsidR="00BD3916" w:rsidRPr="00286216" w:rsidRDefault="00BD3916" w:rsidP="00BD3916">
            <w:pPr>
              <w:pStyle w:val="StyleWisnow"/>
              <w:rPr>
                <w:color w:val="000000" w:themeColor="text1"/>
              </w:rPr>
            </w:pPr>
            <w:bookmarkStart w:id="2712" w:name="n2840" w:colFirst="0" w:colLast="0"/>
            <w:bookmarkEnd w:id="2711"/>
            <w:r w:rsidRPr="00286216">
              <w:rPr>
                <w:color w:val="000000" w:themeColor="text1"/>
              </w:rPr>
              <w:t>2840.</w:t>
            </w:r>
          </w:p>
        </w:tc>
        <w:tc>
          <w:tcPr>
            <w:tcW w:w="4818" w:type="dxa"/>
          </w:tcPr>
          <w:p w14:paraId="7DB0B809" w14:textId="77777777" w:rsidR="00BD3916" w:rsidRPr="00286216" w:rsidRDefault="00BD3916" w:rsidP="00BD3916">
            <w:pPr>
              <w:pStyle w:val="StyleZakonu"/>
              <w:rPr>
                <w:color w:val="000000" w:themeColor="text1"/>
              </w:rPr>
            </w:pPr>
            <w:r w:rsidRPr="00286216">
              <w:rPr>
                <w:color w:val="000000" w:themeColor="text1"/>
              </w:rPr>
              <w:t>1) у частині другій слово "біржі" видалити;</w:t>
            </w:r>
          </w:p>
        </w:tc>
        <w:tc>
          <w:tcPr>
            <w:tcW w:w="3686" w:type="dxa"/>
          </w:tcPr>
          <w:p w14:paraId="7F912A9D" w14:textId="77777777" w:rsidR="00BD3916" w:rsidRPr="00286216" w:rsidRDefault="00BD3916" w:rsidP="00BD3916">
            <w:pPr>
              <w:pStyle w:val="StyleProp"/>
              <w:rPr>
                <w:color w:val="000000" w:themeColor="text1"/>
                <w:szCs w:val="18"/>
              </w:rPr>
            </w:pPr>
          </w:p>
        </w:tc>
        <w:tc>
          <w:tcPr>
            <w:tcW w:w="1987" w:type="dxa"/>
          </w:tcPr>
          <w:p w14:paraId="7F1CBC7F" w14:textId="77777777" w:rsidR="00BD3916" w:rsidRPr="00286216" w:rsidRDefault="00BD3916" w:rsidP="00BD3916">
            <w:pPr>
              <w:pStyle w:val="StyleWisnow"/>
              <w:rPr>
                <w:color w:val="000000" w:themeColor="text1"/>
              </w:rPr>
            </w:pPr>
          </w:p>
        </w:tc>
        <w:tc>
          <w:tcPr>
            <w:tcW w:w="4818" w:type="dxa"/>
          </w:tcPr>
          <w:p w14:paraId="0C7850E5" w14:textId="779471F0" w:rsidR="00BD3916" w:rsidRPr="00286216" w:rsidRDefault="00BD3916" w:rsidP="00BD3916">
            <w:pPr>
              <w:pStyle w:val="StyleZakonu"/>
              <w:rPr>
                <w:color w:val="000000" w:themeColor="text1"/>
              </w:rPr>
            </w:pPr>
            <w:r w:rsidRPr="00286216">
              <w:rPr>
                <w:color w:val="000000" w:themeColor="text1"/>
              </w:rPr>
              <w:t>1)  в абзаці другому  частини другої слово "біржі" виключити;</w:t>
            </w:r>
          </w:p>
        </w:tc>
      </w:tr>
      <w:tr w:rsidR="00BD3916" w:rsidRPr="00286216" w14:paraId="1A999F3D" w14:textId="77777777" w:rsidTr="00091AA5">
        <w:tc>
          <w:tcPr>
            <w:tcW w:w="576" w:type="dxa"/>
          </w:tcPr>
          <w:p w14:paraId="45D7D915" w14:textId="77777777" w:rsidR="00BD3916" w:rsidRPr="00286216" w:rsidRDefault="00BD3916" w:rsidP="00BD3916">
            <w:pPr>
              <w:pStyle w:val="StyleWisnow"/>
              <w:rPr>
                <w:color w:val="000000" w:themeColor="text1"/>
              </w:rPr>
            </w:pPr>
            <w:bookmarkStart w:id="2713" w:name="n2841" w:colFirst="0" w:colLast="0"/>
            <w:bookmarkEnd w:id="2712"/>
            <w:r w:rsidRPr="00286216">
              <w:rPr>
                <w:color w:val="000000" w:themeColor="text1"/>
              </w:rPr>
              <w:t>2841.</w:t>
            </w:r>
          </w:p>
        </w:tc>
        <w:tc>
          <w:tcPr>
            <w:tcW w:w="4818" w:type="dxa"/>
          </w:tcPr>
          <w:p w14:paraId="04AFD9DE" w14:textId="77777777" w:rsidR="00BD3916" w:rsidRPr="00286216" w:rsidRDefault="00BD3916" w:rsidP="00BD3916">
            <w:pPr>
              <w:pStyle w:val="StyleZakonu"/>
              <w:rPr>
                <w:color w:val="000000" w:themeColor="text1"/>
              </w:rPr>
            </w:pPr>
            <w:r w:rsidRPr="00286216">
              <w:rPr>
                <w:color w:val="000000" w:themeColor="text1"/>
              </w:rPr>
              <w:t>2) у частині третій слово "біржах" замінити словами "організованих товарних ринках".</w:t>
            </w:r>
          </w:p>
        </w:tc>
        <w:tc>
          <w:tcPr>
            <w:tcW w:w="3686" w:type="dxa"/>
          </w:tcPr>
          <w:p w14:paraId="6945C7F4" w14:textId="77777777" w:rsidR="00BD3916" w:rsidRPr="00286216" w:rsidRDefault="00BD3916" w:rsidP="00BD3916">
            <w:pPr>
              <w:pStyle w:val="StyleProp"/>
              <w:rPr>
                <w:color w:val="000000" w:themeColor="text1"/>
                <w:szCs w:val="18"/>
              </w:rPr>
            </w:pPr>
          </w:p>
        </w:tc>
        <w:tc>
          <w:tcPr>
            <w:tcW w:w="1987" w:type="dxa"/>
          </w:tcPr>
          <w:p w14:paraId="3514BF39" w14:textId="77777777" w:rsidR="00BD3916" w:rsidRPr="00286216" w:rsidRDefault="00BD3916" w:rsidP="00BD3916">
            <w:pPr>
              <w:pStyle w:val="StyleWisnow"/>
              <w:rPr>
                <w:color w:val="000000" w:themeColor="text1"/>
              </w:rPr>
            </w:pPr>
          </w:p>
        </w:tc>
        <w:tc>
          <w:tcPr>
            <w:tcW w:w="4818" w:type="dxa"/>
          </w:tcPr>
          <w:p w14:paraId="77F8B08A" w14:textId="081F3DCF" w:rsidR="00BD3916" w:rsidRPr="00286216" w:rsidRDefault="00BD3916" w:rsidP="00BD3916">
            <w:pPr>
              <w:pStyle w:val="StyleZakonu"/>
              <w:rPr>
                <w:color w:val="000000" w:themeColor="text1"/>
              </w:rPr>
            </w:pPr>
            <w:r w:rsidRPr="00286216">
              <w:rPr>
                <w:color w:val="000000" w:themeColor="text1"/>
              </w:rPr>
              <w:t>2) у частині третій слово "біржах" замінити словами "організованих товарних ринках".</w:t>
            </w:r>
          </w:p>
        </w:tc>
      </w:tr>
      <w:tr w:rsidR="00BD3916" w:rsidRPr="00286216" w14:paraId="6D86A37A" w14:textId="77777777" w:rsidTr="00091AA5">
        <w:tc>
          <w:tcPr>
            <w:tcW w:w="576" w:type="dxa"/>
          </w:tcPr>
          <w:p w14:paraId="127E9971" w14:textId="77777777" w:rsidR="00BD3916" w:rsidRPr="00286216" w:rsidRDefault="00BD3916" w:rsidP="00BD3916">
            <w:pPr>
              <w:pStyle w:val="StyleWisnow"/>
              <w:rPr>
                <w:color w:val="000000" w:themeColor="text1"/>
              </w:rPr>
            </w:pPr>
            <w:bookmarkStart w:id="2714" w:name="n2842" w:colFirst="0" w:colLast="0"/>
            <w:bookmarkEnd w:id="2713"/>
            <w:r w:rsidRPr="00286216">
              <w:rPr>
                <w:color w:val="000000" w:themeColor="text1"/>
              </w:rPr>
              <w:t>2842.</w:t>
            </w:r>
          </w:p>
        </w:tc>
        <w:tc>
          <w:tcPr>
            <w:tcW w:w="4818" w:type="dxa"/>
          </w:tcPr>
          <w:p w14:paraId="1DD132F5" w14:textId="77777777" w:rsidR="00BD3916" w:rsidRPr="00286216" w:rsidRDefault="00BD3916" w:rsidP="00BD3916">
            <w:pPr>
              <w:pStyle w:val="StyleZakonu"/>
              <w:rPr>
                <w:color w:val="000000" w:themeColor="text1"/>
              </w:rPr>
            </w:pPr>
            <w:r w:rsidRPr="00286216">
              <w:rPr>
                <w:color w:val="000000" w:themeColor="text1"/>
              </w:rPr>
              <w:t>13. У Законі України "Про заставу" (Відомості Верховної Ради України, 1992 p., №47, ст. 642, із наступними змінами):</w:t>
            </w:r>
          </w:p>
        </w:tc>
        <w:tc>
          <w:tcPr>
            <w:tcW w:w="3686" w:type="dxa"/>
          </w:tcPr>
          <w:p w14:paraId="7D9CAF9A" w14:textId="77777777" w:rsidR="00BD3916" w:rsidRPr="00286216" w:rsidRDefault="00BD3916" w:rsidP="00BD3916">
            <w:pPr>
              <w:pStyle w:val="StyleProp"/>
              <w:rPr>
                <w:color w:val="000000" w:themeColor="text1"/>
                <w:szCs w:val="18"/>
              </w:rPr>
            </w:pPr>
          </w:p>
        </w:tc>
        <w:tc>
          <w:tcPr>
            <w:tcW w:w="1987" w:type="dxa"/>
          </w:tcPr>
          <w:p w14:paraId="7F099589" w14:textId="77777777" w:rsidR="00BD3916" w:rsidRPr="00286216" w:rsidRDefault="00BD3916" w:rsidP="00BD3916">
            <w:pPr>
              <w:pStyle w:val="StyleWisnow"/>
              <w:rPr>
                <w:color w:val="000000" w:themeColor="text1"/>
              </w:rPr>
            </w:pPr>
          </w:p>
        </w:tc>
        <w:tc>
          <w:tcPr>
            <w:tcW w:w="4818" w:type="dxa"/>
          </w:tcPr>
          <w:p w14:paraId="2DBAACDF" w14:textId="6B6415F5" w:rsidR="00BD3916" w:rsidRPr="00286216" w:rsidRDefault="00BD3916" w:rsidP="00BD3916">
            <w:pPr>
              <w:pStyle w:val="StyleZakonu"/>
              <w:rPr>
                <w:color w:val="000000" w:themeColor="text1"/>
              </w:rPr>
            </w:pPr>
            <w:r w:rsidRPr="00286216">
              <w:rPr>
                <w:color w:val="000000" w:themeColor="text1"/>
              </w:rPr>
              <w:t>13. У Законі України "Про заставу" (Відомості Верховної Ради України, 1992 p., №47, ст. 642):</w:t>
            </w:r>
          </w:p>
        </w:tc>
      </w:tr>
      <w:tr w:rsidR="00BD3916" w:rsidRPr="00286216" w14:paraId="596A6FB9" w14:textId="77777777" w:rsidTr="00091AA5">
        <w:tc>
          <w:tcPr>
            <w:tcW w:w="576" w:type="dxa"/>
          </w:tcPr>
          <w:p w14:paraId="613A6F90" w14:textId="77777777" w:rsidR="00BD3916" w:rsidRPr="00286216" w:rsidRDefault="00BD3916" w:rsidP="00BD3916">
            <w:pPr>
              <w:pStyle w:val="StyleWisnow"/>
              <w:rPr>
                <w:color w:val="000000" w:themeColor="text1"/>
              </w:rPr>
            </w:pPr>
            <w:bookmarkStart w:id="2715" w:name="n2843" w:colFirst="0" w:colLast="0"/>
            <w:bookmarkEnd w:id="2714"/>
            <w:r w:rsidRPr="00286216">
              <w:rPr>
                <w:color w:val="000000" w:themeColor="text1"/>
              </w:rPr>
              <w:t>2843.</w:t>
            </w:r>
          </w:p>
        </w:tc>
        <w:tc>
          <w:tcPr>
            <w:tcW w:w="4818" w:type="dxa"/>
          </w:tcPr>
          <w:p w14:paraId="19D6C50D" w14:textId="77777777" w:rsidR="00BD3916" w:rsidRPr="00286216" w:rsidRDefault="00BD3916" w:rsidP="00BD3916">
            <w:pPr>
              <w:pStyle w:val="StyleZakonu"/>
              <w:rPr>
                <w:color w:val="000000" w:themeColor="text1"/>
              </w:rPr>
            </w:pPr>
            <w:r w:rsidRPr="00286216">
              <w:rPr>
                <w:color w:val="000000" w:themeColor="text1"/>
              </w:rPr>
              <w:t>1) частину другу статті 1 після слова "зобов’язання" доповнити словами "або в інших випадках, встановлених законом, ";</w:t>
            </w:r>
          </w:p>
        </w:tc>
        <w:tc>
          <w:tcPr>
            <w:tcW w:w="3686" w:type="dxa"/>
          </w:tcPr>
          <w:p w14:paraId="5F52401D" w14:textId="77777777" w:rsidR="00BD3916" w:rsidRPr="00286216" w:rsidRDefault="00BD3916" w:rsidP="00BD3916">
            <w:pPr>
              <w:pStyle w:val="StyleProp"/>
              <w:rPr>
                <w:color w:val="000000" w:themeColor="text1"/>
                <w:szCs w:val="18"/>
              </w:rPr>
            </w:pPr>
          </w:p>
        </w:tc>
        <w:tc>
          <w:tcPr>
            <w:tcW w:w="1987" w:type="dxa"/>
          </w:tcPr>
          <w:p w14:paraId="717281CF" w14:textId="77777777" w:rsidR="00BD3916" w:rsidRPr="00286216" w:rsidRDefault="00BD3916" w:rsidP="00BD3916">
            <w:pPr>
              <w:pStyle w:val="StyleWisnow"/>
              <w:rPr>
                <w:color w:val="000000" w:themeColor="text1"/>
              </w:rPr>
            </w:pPr>
          </w:p>
        </w:tc>
        <w:tc>
          <w:tcPr>
            <w:tcW w:w="4818" w:type="dxa"/>
          </w:tcPr>
          <w:p w14:paraId="50EAC3E8" w14:textId="39C344B3" w:rsidR="00BD3916" w:rsidRPr="00286216" w:rsidRDefault="00BD3916" w:rsidP="00BD3916">
            <w:pPr>
              <w:pStyle w:val="StyleZakonu"/>
              <w:rPr>
                <w:color w:val="000000" w:themeColor="text1"/>
              </w:rPr>
            </w:pPr>
            <w:r w:rsidRPr="00286216">
              <w:rPr>
                <w:color w:val="000000" w:themeColor="text1"/>
              </w:rPr>
              <w:t>1) частину другу статті 1 після слова "зобов’язання" доповнити словами "або в інших випадках, встановлених законом";</w:t>
            </w:r>
          </w:p>
        </w:tc>
      </w:tr>
      <w:tr w:rsidR="00BD3916" w:rsidRPr="00286216" w14:paraId="55A69D27" w14:textId="77777777" w:rsidTr="00091AA5">
        <w:tc>
          <w:tcPr>
            <w:tcW w:w="576" w:type="dxa"/>
          </w:tcPr>
          <w:p w14:paraId="634D013E" w14:textId="77777777" w:rsidR="00BD3916" w:rsidRPr="00286216" w:rsidRDefault="00BD3916" w:rsidP="00BD3916">
            <w:pPr>
              <w:pStyle w:val="StyleWisnow"/>
              <w:rPr>
                <w:color w:val="000000" w:themeColor="text1"/>
              </w:rPr>
            </w:pPr>
            <w:bookmarkStart w:id="2716" w:name="n2844" w:colFirst="0" w:colLast="0"/>
            <w:bookmarkEnd w:id="2715"/>
            <w:r w:rsidRPr="00286216">
              <w:rPr>
                <w:color w:val="000000" w:themeColor="text1"/>
              </w:rPr>
              <w:t>2844.</w:t>
            </w:r>
          </w:p>
        </w:tc>
        <w:tc>
          <w:tcPr>
            <w:tcW w:w="4818" w:type="dxa"/>
          </w:tcPr>
          <w:p w14:paraId="1C359D17" w14:textId="77777777" w:rsidR="00BD3916" w:rsidRPr="00286216" w:rsidRDefault="00BD3916" w:rsidP="00BD3916">
            <w:pPr>
              <w:pStyle w:val="StyleZakonu"/>
              <w:rPr>
                <w:color w:val="000000" w:themeColor="text1"/>
              </w:rPr>
            </w:pPr>
            <w:r w:rsidRPr="00286216">
              <w:rPr>
                <w:color w:val="000000" w:themeColor="text1"/>
              </w:rPr>
              <w:t>2) у статті 3:</w:t>
            </w:r>
          </w:p>
        </w:tc>
        <w:tc>
          <w:tcPr>
            <w:tcW w:w="3686" w:type="dxa"/>
          </w:tcPr>
          <w:p w14:paraId="4FD82E9B" w14:textId="77777777" w:rsidR="00BD3916" w:rsidRPr="00286216" w:rsidRDefault="00BD3916" w:rsidP="00BD3916">
            <w:pPr>
              <w:pStyle w:val="StyleProp"/>
              <w:rPr>
                <w:color w:val="000000" w:themeColor="text1"/>
                <w:szCs w:val="18"/>
              </w:rPr>
            </w:pPr>
          </w:p>
        </w:tc>
        <w:tc>
          <w:tcPr>
            <w:tcW w:w="1987" w:type="dxa"/>
          </w:tcPr>
          <w:p w14:paraId="3380D371" w14:textId="77777777" w:rsidR="00BD3916" w:rsidRPr="00286216" w:rsidRDefault="00BD3916" w:rsidP="00BD3916">
            <w:pPr>
              <w:pStyle w:val="StyleWisnow"/>
              <w:rPr>
                <w:color w:val="000000" w:themeColor="text1"/>
              </w:rPr>
            </w:pPr>
          </w:p>
        </w:tc>
        <w:tc>
          <w:tcPr>
            <w:tcW w:w="4818" w:type="dxa"/>
          </w:tcPr>
          <w:p w14:paraId="703C5570" w14:textId="19D80B04" w:rsidR="00BD3916" w:rsidRPr="00286216" w:rsidRDefault="00BD3916" w:rsidP="00BD3916">
            <w:pPr>
              <w:pStyle w:val="StyleZakonu"/>
              <w:rPr>
                <w:color w:val="000000" w:themeColor="text1"/>
              </w:rPr>
            </w:pPr>
            <w:r w:rsidRPr="00286216">
              <w:rPr>
                <w:color w:val="000000" w:themeColor="text1"/>
              </w:rPr>
              <w:t>2) у статті 3:</w:t>
            </w:r>
          </w:p>
        </w:tc>
      </w:tr>
      <w:tr w:rsidR="00BD3916" w:rsidRPr="00286216" w14:paraId="73358828" w14:textId="77777777" w:rsidTr="00091AA5">
        <w:tc>
          <w:tcPr>
            <w:tcW w:w="576" w:type="dxa"/>
          </w:tcPr>
          <w:p w14:paraId="73E7B78F" w14:textId="77777777" w:rsidR="00BD3916" w:rsidRPr="00286216" w:rsidRDefault="00BD3916" w:rsidP="00BD3916">
            <w:pPr>
              <w:pStyle w:val="StyleWisnow"/>
              <w:rPr>
                <w:color w:val="000000" w:themeColor="text1"/>
              </w:rPr>
            </w:pPr>
            <w:bookmarkStart w:id="2717" w:name="n2845" w:colFirst="0" w:colLast="0"/>
            <w:bookmarkEnd w:id="2716"/>
            <w:r w:rsidRPr="00286216">
              <w:rPr>
                <w:color w:val="000000" w:themeColor="text1"/>
              </w:rPr>
              <w:t>2845.</w:t>
            </w:r>
          </w:p>
        </w:tc>
        <w:tc>
          <w:tcPr>
            <w:tcW w:w="4818" w:type="dxa"/>
          </w:tcPr>
          <w:p w14:paraId="1B79D35A" w14:textId="77777777" w:rsidR="00BD3916" w:rsidRPr="00286216" w:rsidRDefault="00BD3916" w:rsidP="00BD3916">
            <w:pPr>
              <w:pStyle w:val="StyleZakonu"/>
              <w:rPr>
                <w:color w:val="000000" w:themeColor="text1"/>
              </w:rPr>
            </w:pPr>
            <w:r w:rsidRPr="00286216">
              <w:rPr>
                <w:color w:val="000000" w:themeColor="text1"/>
              </w:rPr>
              <w:t>а) у частині першій слова "існуюча або майбутня вимога" замінити словами "існуюча вимога або вимога, яка може виникнути в майбутньому";</w:t>
            </w:r>
          </w:p>
        </w:tc>
        <w:tc>
          <w:tcPr>
            <w:tcW w:w="3686" w:type="dxa"/>
          </w:tcPr>
          <w:p w14:paraId="2BADD47A" w14:textId="77777777" w:rsidR="00BD3916" w:rsidRPr="00286216" w:rsidRDefault="00BD3916" w:rsidP="00BD3916">
            <w:pPr>
              <w:pStyle w:val="StyleProp"/>
              <w:rPr>
                <w:color w:val="000000" w:themeColor="text1"/>
                <w:szCs w:val="18"/>
              </w:rPr>
            </w:pPr>
          </w:p>
        </w:tc>
        <w:tc>
          <w:tcPr>
            <w:tcW w:w="1987" w:type="dxa"/>
          </w:tcPr>
          <w:p w14:paraId="46BD0950" w14:textId="77777777" w:rsidR="00BD3916" w:rsidRPr="00286216" w:rsidRDefault="00BD3916" w:rsidP="00BD3916">
            <w:pPr>
              <w:pStyle w:val="StyleWisnow"/>
              <w:rPr>
                <w:color w:val="000000" w:themeColor="text1"/>
              </w:rPr>
            </w:pPr>
          </w:p>
        </w:tc>
        <w:tc>
          <w:tcPr>
            <w:tcW w:w="4818" w:type="dxa"/>
          </w:tcPr>
          <w:p w14:paraId="5D1B165B" w14:textId="690F6F7E" w:rsidR="00BD3916" w:rsidRPr="00286216" w:rsidRDefault="00BD3916" w:rsidP="00BD3916">
            <w:pPr>
              <w:pStyle w:val="StyleZakonu"/>
              <w:rPr>
                <w:color w:val="000000" w:themeColor="text1"/>
              </w:rPr>
            </w:pPr>
            <w:r w:rsidRPr="00286216">
              <w:rPr>
                <w:color w:val="000000" w:themeColor="text1"/>
              </w:rPr>
              <w:t>а) у частині першій слова "існуюча або майбутня вимога" замінити словами "існуюча вимога або вимога, яка може виникнути в майбутньому";</w:t>
            </w:r>
          </w:p>
        </w:tc>
      </w:tr>
      <w:tr w:rsidR="00BD3916" w:rsidRPr="00286216" w14:paraId="215E9B6B" w14:textId="77777777" w:rsidTr="00091AA5">
        <w:tc>
          <w:tcPr>
            <w:tcW w:w="576" w:type="dxa"/>
          </w:tcPr>
          <w:p w14:paraId="67B56455" w14:textId="77777777" w:rsidR="00BD3916" w:rsidRPr="00286216" w:rsidRDefault="00BD3916" w:rsidP="00BD3916">
            <w:pPr>
              <w:pStyle w:val="StyleWisnow"/>
              <w:rPr>
                <w:color w:val="000000" w:themeColor="text1"/>
              </w:rPr>
            </w:pPr>
            <w:bookmarkStart w:id="2718" w:name="n2846" w:colFirst="0" w:colLast="0"/>
            <w:bookmarkEnd w:id="2717"/>
            <w:r w:rsidRPr="00286216">
              <w:rPr>
                <w:color w:val="000000" w:themeColor="text1"/>
              </w:rPr>
              <w:t>2846.</w:t>
            </w:r>
          </w:p>
        </w:tc>
        <w:tc>
          <w:tcPr>
            <w:tcW w:w="4818" w:type="dxa"/>
          </w:tcPr>
          <w:p w14:paraId="34D7102F" w14:textId="77777777" w:rsidR="00BD3916" w:rsidRPr="00286216" w:rsidRDefault="00BD3916" w:rsidP="00BD3916">
            <w:pPr>
              <w:pStyle w:val="StyleZakonu"/>
              <w:rPr>
                <w:color w:val="000000" w:themeColor="text1"/>
              </w:rPr>
            </w:pPr>
            <w:r w:rsidRPr="00286216">
              <w:rPr>
                <w:color w:val="000000" w:themeColor="text1"/>
              </w:rPr>
              <w:t>б) частину другу доповнити словами "та/або про максимальний розмір вимоги, яка забезпечується заставою";</w:t>
            </w:r>
          </w:p>
        </w:tc>
        <w:tc>
          <w:tcPr>
            <w:tcW w:w="3686" w:type="dxa"/>
          </w:tcPr>
          <w:p w14:paraId="3994A5DA" w14:textId="77777777" w:rsidR="00BD3916" w:rsidRPr="00286216" w:rsidRDefault="00BD3916" w:rsidP="00BD3916">
            <w:pPr>
              <w:pStyle w:val="StyleProp"/>
              <w:rPr>
                <w:color w:val="000000" w:themeColor="text1"/>
                <w:szCs w:val="18"/>
              </w:rPr>
            </w:pPr>
          </w:p>
        </w:tc>
        <w:tc>
          <w:tcPr>
            <w:tcW w:w="1987" w:type="dxa"/>
          </w:tcPr>
          <w:p w14:paraId="16AB80AD" w14:textId="77777777" w:rsidR="00BD3916" w:rsidRPr="00286216" w:rsidRDefault="00BD3916" w:rsidP="00BD3916">
            <w:pPr>
              <w:pStyle w:val="StyleWisnow"/>
              <w:rPr>
                <w:color w:val="000000" w:themeColor="text1"/>
              </w:rPr>
            </w:pPr>
          </w:p>
        </w:tc>
        <w:tc>
          <w:tcPr>
            <w:tcW w:w="4818" w:type="dxa"/>
          </w:tcPr>
          <w:p w14:paraId="4C743694" w14:textId="6055D97F" w:rsidR="00BD3916" w:rsidRPr="00286216" w:rsidRDefault="00BD3916" w:rsidP="00BD3916">
            <w:pPr>
              <w:pStyle w:val="StyleZakonu"/>
              <w:rPr>
                <w:color w:val="000000" w:themeColor="text1"/>
              </w:rPr>
            </w:pPr>
            <w:r w:rsidRPr="00286216">
              <w:rPr>
                <w:color w:val="000000" w:themeColor="text1"/>
              </w:rPr>
              <w:t>б) частину другу доповнити словами "та/або про максимальний розмір вимоги, яка забезпечується заставою";</w:t>
            </w:r>
          </w:p>
        </w:tc>
      </w:tr>
      <w:tr w:rsidR="00BD3916" w:rsidRPr="00286216" w14:paraId="7F22EF51" w14:textId="77777777" w:rsidTr="00091AA5">
        <w:tc>
          <w:tcPr>
            <w:tcW w:w="576" w:type="dxa"/>
          </w:tcPr>
          <w:p w14:paraId="457D0E92" w14:textId="77777777" w:rsidR="00BD3916" w:rsidRPr="00286216" w:rsidRDefault="00BD3916" w:rsidP="00BD3916">
            <w:pPr>
              <w:pStyle w:val="StyleWisnow"/>
              <w:rPr>
                <w:color w:val="000000" w:themeColor="text1"/>
              </w:rPr>
            </w:pPr>
            <w:bookmarkStart w:id="2719" w:name="n2847" w:colFirst="0" w:colLast="0"/>
            <w:bookmarkEnd w:id="2718"/>
            <w:r w:rsidRPr="00286216">
              <w:rPr>
                <w:color w:val="000000" w:themeColor="text1"/>
              </w:rPr>
              <w:t>2847.</w:t>
            </w:r>
          </w:p>
        </w:tc>
        <w:tc>
          <w:tcPr>
            <w:tcW w:w="4818" w:type="dxa"/>
          </w:tcPr>
          <w:p w14:paraId="69A4C171" w14:textId="77777777" w:rsidR="00BD3916" w:rsidRPr="00286216" w:rsidRDefault="00BD3916" w:rsidP="00BD3916">
            <w:pPr>
              <w:pStyle w:val="StyleZakonu"/>
              <w:rPr>
                <w:color w:val="000000" w:themeColor="text1"/>
              </w:rPr>
            </w:pPr>
            <w:r w:rsidRPr="00286216">
              <w:rPr>
                <w:color w:val="000000" w:themeColor="text1"/>
              </w:rPr>
              <w:t>3) у частині першій статті 7 слова "обороті або у переробці" замінити словами "обороті (переробці) та фінансових інструментів в обігу";</w:t>
            </w:r>
          </w:p>
        </w:tc>
        <w:tc>
          <w:tcPr>
            <w:tcW w:w="3686" w:type="dxa"/>
          </w:tcPr>
          <w:p w14:paraId="709DF40C" w14:textId="77777777" w:rsidR="00BD3916" w:rsidRPr="00286216" w:rsidRDefault="00BD3916" w:rsidP="00BD3916">
            <w:pPr>
              <w:pStyle w:val="StyleProp"/>
              <w:rPr>
                <w:color w:val="000000" w:themeColor="text1"/>
                <w:szCs w:val="18"/>
              </w:rPr>
            </w:pPr>
          </w:p>
        </w:tc>
        <w:tc>
          <w:tcPr>
            <w:tcW w:w="1987" w:type="dxa"/>
          </w:tcPr>
          <w:p w14:paraId="76A8750E" w14:textId="77777777" w:rsidR="00BD3916" w:rsidRPr="00286216" w:rsidRDefault="00BD3916" w:rsidP="00BD3916">
            <w:pPr>
              <w:pStyle w:val="StyleWisnow"/>
              <w:rPr>
                <w:color w:val="000000" w:themeColor="text1"/>
              </w:rPr>
            </w:pPr>
          </w:p>
        </w:tc>
        <w:tc>
          <w:tcPr>
            <w:tcW w:w="4818" w:type="dxa"/>
          </w:tcPr>
          <w:p w14:paraId="379F8E4D" w14:textId="1EEB8DEC" w:rsidR="00BD3916" w:rsidRPr="00286216" w:rsidRDefault="00BD3916" w:rsidP="00BD3916">
            <w:pPr>
              <w:pStyle w:val="StyleZakonu"/>
              <w:rPr>
                <w:color w:val="000000" w:themeColor="text1"/>
              </w:rPr>
            </w:pPr>
            <w:r w:rsidRPr="00286216">
              <w:rPr>
                <w:color w:val="000000" w:themeColor="text1"/>
              </w:rPr>
              <w:t>3) у  другому реченні статті 7 слова "обороті або у переробці" замінити словами "обороті (переробці) та фінансових інструментів в обігу";</w:t>
            </w:r>
          </w:p>
        </w:tc>
      </w:tr>
      <w:tr w:rsidR="00BD3916" w:rsidRPr="00286216" w14:paraId="4B81169E" w14:textId="77777777" w:rsidTr="00091AA5">
        <w:tc>
          <w:tcPr>
            <w:tcW w:w="576" w:type="dxa"/>
          </w:tcPr>
          <w:p w14:paraId="7A440456" w14:textId="77777777" w:rsidR="00BD3916" w:rsidRPr="00286216" w:rsidRDefault="00BD3916" w:rsidP="00BD3916">
            <w:pPr>
              <w:pStyle w:val="StyleWisnow"/>
              <w:rPr>
                <w:color w:val="000000" w:themeColor="text1"/>
              </w:rPr>
            </w:pPr>
            <w:bookmarkStart w:id="2720" w:name="n2848" w:colFirst="0" w:colLast="0"/>
            <w:bookmarkEnd w:id="2719"/>
            <w:r w:rsidRPr="00286216">
              <w:rPr>
                <w:color w:val="000000" w:themeColor="text1"/>
              </w:rPr>
              <w:t>2848.</w:t>
            </w:r>
          </w:p>
        </w:tc>
        <w:tc>
          <w:tcPr>
            <w:tcW w:w="4818" w:type="dxa"/>
          </w:tcPr>
          <w:p w14:paraId="1E6758A5" w14:textId="77777777" w:rsidR="00BD3916" w:rsidRPr="00286216" w:rsidRDefault="00BD3916" w:rsidP="00BD3916">
            <w:pPr>
              <w:pStyle w:val="StyleZakonu"/>
              <w:rPr>
                <w:color w:val="000000" w:themeColor="text1"/>
              </w:rPr>
            </w:pPr>
            <w:r w:rsidRPr="00286216">
              <w:rPr>
                <w:color w:val="000000" w:themeColor="text1"/>
              </w:rPr>
              <w:t xml:space="preserve">4) перше речення частини першої статті 16 доповнити словами ", якщо інше не встановлено </w:t>
            </w:r>
            <w:r w:rsidRPr="00286216">
              <w:rPr>
                <w:color w:val="000000" w:themeColor="text1"/>
              </w:rPr>
              <w:lastRenderedPageBreak/>
              <w:t>законом";</w:t>
            </w:r>
          </w:p>
        </w:tc>
        <w:tc>
          <w:tcPr>
            <w:tcW w:w="3686" w:type="dxa"/>
          </w:tcPr>
          <w:p w14:paraId="7DC08017" w14:textId="77777777" w:rsidR="00BD3916" w:rsidRPr="00286216" w:rsidRDefault="00BD3916" w:rsidP="00BD3916">
            <w:pPr>
              <w:pStyle w:val="StyleProp"/>
              <w:rPr>
                <w:color w:val="000000" w:themeColor="text1"/>
                <w:szCs w:val="18"/>
              </w:rPr>
            </w:pPr>
          </w:p>
        </w:tc>
        <w:tc>
          <w:tcPr>
            <w:tcW w:w="1987" w:type="dxa"/>
          </w:tcPr>
          <w:p w14:paraId="5CFEDD80" w14:textId="77777777" w:rsidR="00BD3916" w:rsidRPr="00286216" w:rsidRDefault="00BD3916" w:rsidP="00BD3916">
            <w:pPr>
              <w:pStyle w:val="StyleWisnow"/>
              <w:rPr>
                <w:color w:val="000000" w:themeColor="text1"/>
              </w:rPr>
            </w:pPr>
          </w:p>
        </w:tc>
        <w:tc>
          <w:tcPr>
            <w:tcW w:w="4818" w:type="dxa"/>
          </w:tcPr>
          <w:p w14:paraId="38846E1D" w14:textId="026EA503" w:rsidR="00BD3916" w:rsidRPr="00286216" w:rsidRDefault="00BD3916" w:rsidP="00BD3916">
            <w:pPr>
              <w:pStyle w:val="StyleZakonu"/>
              <w:rPr>
                <w:color w:val="000000" w:themeColor="text1"/>
              </w:rPr>
            </w:pPr>
            <w:r w:rsidRPr="00286216">
              <w:rPr>
                <w:color w:val="000000" w:themeColor="text1"/>
              </w:rPr>
              <w:t xml:space="preserve">4) перше речення частини першої статті 16 доповнити словами "якщо інше не встановлено </w:t>
            </w:r>
            <w:r w:rsidRPr="00286216">
              <w:rPr>
                <w:color w:val="000000" w:themeColor="text1"/>
              </w:rPr>
              <w:lastRenderedPageBreak/>
              <w:t>законом";</w:t>
            </w:r>
          </w:p>
        </w:tc>
      </w:tr>
      <w:tr w:rsidR="00BD3916" w:rsidRPr="00286216" w14:paraId="03EDD4C2" w14:textId="77777777" w:rsidTr="00091AA5">
        <w:tc>
          <w:tcPr>
            <w:tcW w:w="576" w:type="dxa"/>
          </w:tcPr>
          <w:p w14:paraId="324D7B33" w14:textId="77777777" w:rsidR="00BD3916" w:rsidRPr="00286216" w:rsidRDefault="00BD3916" w:rsidP="00BD3916">
            <w:pPr>
              <w:pStyle w:val="StyleWisnow"/>
              <w:rPr>
                <w:color w:val="000000" w:themeColor="text1"/>
              </w:rPr>
            </w:pPr>
            <w:bookmarkStart w:id="2721" w:name="n2849" w:colFirst="0" w:colLast="0"/>
            <w:bookmarkEnd w:id="2720"/>
            <w:r w:rsidRPr="00286216">
              <w:rPr>
                <w:color w:val="000000" w:themeColor="text1"/>
              </w:rPr>
              <w:lastRenderedPageBreak/>
              <w:t>2849.</w:t>
            </w:r>
          </w:p>
        </w:tc>
        <w:tc>
          <w:tcPr>
            <w:tcW w:w="4818" w:type="dxa"/>
          </w:tcPr>
          <w:p w14:paraId="617C1829" w14:textId="77777777" w:rsidR="00BD3916" w:rsidRPr="00286216" w:rsidRDefault="00BD3916" w:rsidP="00BD3916">
            <w:pPr>
              <w:pStyle w:val="StyleZakonu"/>
              <w:rPr>
                <w:color w:val="000000" w:themeColor="text1"/>
              </w:rPr>
            </w:pPr>
            <w:r w:rsidRPr="00286216">
              <w:rPr>
                <w:color w:val="000000" w:themeColor="text1"/>
              </w:rPr>
              <w:t>5) доповнити Закон новою статтею 55</w:t>
            </w:r>
            <w:r w:rsidRPr="00286216">
              <w:rPr>
                <w:color w:val="000000" w:themeColor="text1"/>
                <w:vertAlign w:val="superscript"/>
              </w:rPr>
              <w:t>1</w:t>
            </w:r>
            <w:r w:rsidRPr="00286216">
              <w:rPr>
                <w:color w:val="000000" w:themeColor="text1"/>
              </w:rPr>
              <w:t xml:space="preserve"> такого змісту:</w:t>
            </w:r>
          </w:p>
        </w:tc>
        <w:tc>
          <w:tcPr>
            <w:tcW w:w="3686" w:type="dxa"/>
          </w:tcPr>
          <w:p w14:paraId="70B7C56B" w14:textId="77777777" w:rsidR="00BD3916" w:rsidRPr="00286216" w:rsidRDefault="00BD3916" w:rsidP="00BD3916">
            <w:pPr>
              <w:pStyle w:val="StyleProp"/>
              <w:rPr>
                <w:color w:val="000000" w:themeColor="text1"/>
                <w:szCs w:val="18"/>
              </w:rPr>
            </w:pPr>
          </w:p>
        </w:tc>
        <w:tc>
          <w:tcPr>
            <w:tcW w:w="1987" w:type="dxa"/>
          </w:tcPr>
          <w:p w14:paraId="551D829F" w14:textId="77777777" w:rsidR="00BD3916" w:rsidRPr="00286216" w:rsidRDefault="00BD3916" w:rsidP="00BD3916">
            <w:pPr>
              <w:pStyle w:val="StyleWisnow"/>
              <w:rPr>
                <w:color w:val="000000" w:themeColor="text1"/>
              </w:rPr>
            </w:pPr>
          </w:p>
        </w:tc>
        <w:tc>
          <w:tcPr>
            <w:tcW w:w="4818" w:type="dxa"/>
          </w:tcPr>
          <w:p w14:paraId="6828E533" w14:textId="17579AAE" w:rsidR="00BD3916" w:rsidRPr="00286216" w:rsidRDefault="00BD3916" w:rsidP="00BD3916">
            <w:pPr>
              <w:pStyle w:val="StyleZakonu"/>
              <w:rPr>
                <w:color w:val="000000" w:themeColor="text1"/>
              </w:rPr>
            </w:pPr>
            <w:r w:rsidRPr="00286216">
              <w:rPr>
                <w:color w:val="000000" w:themeColor="text1"/>
              </w:rPr>
              <w:t>5) доповнити статтею 55</w:t>
            </w:r>
            <w:r w:rsidRPr="00286216">
              <w:rPr>
                <w:color w:val="000000" w:themeColor="text1"/>
                <w:vertAlign w:val="superscript"/>
              </w:rPr>
              <w:t>1</w:t>
            </w:r>
            <w:r w:rsidRPr="00286216">
              <w:rPr>
                <w:color w:val="000000" w:themeColor="text1"/>
              </w:rPr>
              <w:t xml:space="preserve"> такого змісту:</w:t>
            </w:r>
          </w:p>
        </w:tc>
      </w:tr>
      <w:tr w:rsidR="00BD3916" w:rsidRPr="00286216" w14:paraId="19D3D53E" w14:textId="77777777" w:rsidTr="00091AA5">
        <w:tc>
          <w:tcPr>
            <w:tcW w:w="576" w:type="dxa"/>
          </w:tcPr>
          <w:p w14:paraId="5607DA49" w14:textId="77777777" w:rsidR="00BD3916" w:rsidRPr="00286216" w:rsidRDefault="00BD3916" w:rsidP="00BD3916">
            <w:pPr>
              <w:pStyle w:val="StyleWisnow"/>
              <w:rPr>
                <w:color w:val="000000" w:themeColor="text1"/>
              </w:rPr>
            </w:pPr>
            <w:bookmarkStart w:id="2722" w:name="n2850" w:colFirst="0" w:colLast="0"/>
            <w:bookmarkEnd w:id="2721"/>
            <w:r w:rsidRPr="00286216">
              <w:rPr>
                <w:color w:val="000000" w:themeColor="text1"/>
              </w:rPr>
              <w:t>2850.</w:t>
            </w:r>
          </w:p>
        </w:tc>
        <w:tc>
          <w:tcPr>
            <w:tcW w:w="4818" w:type="dxa"/>
          </w:tcPr>
          <w:p w14:paraId="064E0B20" w14:textId="77777777" w:rsidR="00BD3916" w:rsidRPr="00286216" w:rsidRDefault="00BD3916" w:rsidP="00BD3916">
            <w:pPr>
              <w:pStyle w:val="StyleZakonu"/>
              <w:rPr>
                <w:color w:val="000000" w:themeColor="text1"/>
              </w:rPr>
            </w:pPr>
            <w:r w:rsidRPr="00286216">
              <w:rPr>
                <w:color w:val="000000" w:themeColor="text1"/>
              </w:rPr>
              <w:t>"Стаття 55</w:t>
            </w:r>
            <w:r w:rsidRPr="00286216">
              <w:rPr>
                <w:color w:val="000000" w:themeColor="text1"/>
                <w:vertAlign w:val="superscript"/>
              </w:rPr>
              <w:t>1</w:t>
            </w:r>
            <w:r w:rsidRPr="00286216">
              <w:rPr>
                <w:color w:val="000000" w:themeColor="text1"/>
              </w:rPr>
              <w:t>. Застава фінансових інструментів в обігу</w:t>
            </w:r>
          </w:p>
        </w:tc>
        <w:tc>
          <w:tcPr>
            <w:tcW w:w="3686" w:type="dxa"/>
          </w:tcPr>
          <w:p w14:paraId="7B0D6D9D" w14:textId="77777777" w:rsidR="00BD3916" w:rsidRPr="00286216" w:rsidRDefault="00BD3916" w:rsidP="00BD3916">
            <w:pPr>
              <w:pStyle w:val="StyleProp"/>
              <w:rPr>
                <w:color w:val="000000" w:themeColor="text1"/>
                <w:szCs w:val="18"/>
              </w:rPr>
            </w:pPr>
          </w:p>
        </w:tc>
        <w:tc>
          <w:tcPr>
            <w:tcW w:w="1987" w:type="dxa"/>
          </w:tcPr>
          <w:p w14:paraId="4D331992" w14:textId="77777777" w:rsidR="00BD3916" w:rsidRPr="00286216" w:rsidRDefault="00BD3916" w:rsidP="00BD3916">
            <w:pPr>
              <w:pStyle w:val="StyleWisnow"/>
              <w:rPr>
                <w:color w:val="000000" w:themeColor="text1"/>
              </w:rPr>
            </w:pPr>
          </w:p>
        </w:tc>
        <w:tc>
          <w:tcPr>
            <w:tcW w:w="4818" w:type="dxa"/>
          </w:tcPr>
          <w:p w14:paraId="3C68C17E" w14:textId="2074259A" w:rsidR="00BD3916" w:rsidRPr="00286216" w:rsidRDefault="00BD3916" w:rsidP="00BD3916">
            <w:pPr>
              <w:pStyle w:val="StyleZakonu"/>
              <w:rPr>
                <w:color w:val="000000" w:themeColor="text1"/>
              </w:rPr>
            </w:pPr>
            <w:r w:rsidRPr="00286216">
              <w:rPr>
                <w:color w:val="000000" w:themeColor="text1"/>
              </w:rPr>
              <w:t>"Стаття 55</w:t>
            </w:r>
            <w:r w:rsidRPr="00286216">
              <w:rPr>
                <w:color w:val="000000" w:themeColor="text1"/>
                <w:vertAlign w:val="superscript"/>
              </w:rPr>
              <w:t>1</w:t>
            </w:r>
            <w:r w:rsidRPr="00286216">
              <w:rPr>
                <w:color w:val="000000" w:themeColor="text1"/>
              </w:rPr>
              <w:t>. Застава фінансових інструментів в обігу</w:t>
            </w:r>
          </w:p>
        </w:tc>
      </w:tr>
      <w:tr w:rsidR="00BD3916" w:rsidRPr="00286216" w14:paraId="546DF8A0" w14:textId="77777777" w:rsidTr="00091AA5">
        <w:tc>
          <w:tcPr>
            <w:tcW w:w="576" w:type="dxa"/>
          </w:tcPr>
          <w:p w14:paraId="6EA87686" w14:textId="77777777" w:rsidR="00BD3916" w:rsidRPr="00286216" w:rsidRDefault="00BD3916" w:rsidP="00BD3916">
            <w:pPr>
              <w:pStyle w:val="StyleWisnow"/>
              <w:rPr>
                <w:color w:val="000000" w:themeColor="text1"/>
              </w:rPr>
            </w:pPr>
            <w:bookmarkStart w:id="2723" w:name="n2851" w:colFirst="0" w:colLast="0"/>
            <w:bookmarkEnd w:id="2722"/>
            <w:r w:rsidRPr="00286216">
              <w:rPr>
                <w:color w:val="000000" w:themeColor="text1"/>
              </w:rPr>
              <w:t>2851.</w:t>
            </w:r>
          </w:p>
        </w:tc>
        <w:tc>
          <w:tcPr>
            <w:tcW w:w="4818" w:type="dxa"/>
          </w:tcPr>
          <w:p w14:paraId="4FD7EC10" w14:textId="77777777" w:rsidR="00BD3916" w:rsidRPr="00286216" w:rsidRDefault="00BD3916" w:rsidP="00BD3916">
            <w:pPr>
              <w:pStyle w:val="StyleZakonu"/>
              <w:rPr>
                <w:color w:val="000000" w:themeColor="text1"/>
              </w:rPr>
            </w:pPr>
            <w:r w:rsidRPr="00286216">
              <w:rPr>
                <w:color w:val="000000" w:themeColor="text1"/>
              </w:rPr>
              <w:t>При заставі фінансових інструментів в обігу заставодавець зберігає за собою право володіти, користуватися та розпоряджатися предметом застави без збереження застави, якщо договором не передбачено інше.</w:t>
            </w:r>
          </w:p>
        </w:tc>
        <w:tc>
          <w:tcPr>
            <w:tcW w:w="3686" w:type="dxa"/>
          </w:tcPr>
          <w:p w14:paraId="2988058B" w14:textId="77777777" w:rsidR="00BD3916" w:rsidRPr="00286216" w:rsidRDefault="00BD3916" w:rsidP="00BD3916">
            <w:pPr>
              <w:pStyle w:val="StyleProp"/>
              <w:rPr>
                <w:color w:val="000000" w:themeColor="text1"/>
                <w:szCs w:val="18"/>
              </w:rPr>
            </w:pPr>
          </w:p>
        </w:tc>
        <w:tc>
          <w:tcPr>
            <w:tcW w:w="1987" w:type="dxa"/>
          </w:tcPr>
          <w:p w14:paraId="62497644" w14:textId="77777777" w:rsidR="00BD3916" w:rsidRPr="00286216" w:rsidRDefault="00BD3916" w:rsidP="00BD3916">
            <w:pPr>
              <w:pStyle w:val="StyleWisnow"/>
              <w:rPr>
                <w:color w:val="000000" w:themeColor="text1"/>
              </w:rPr>
            </w:pPr>
          </w:p>
        </w:tc>
        <w:tc>
          <w:tcPr>
            <w:tcW w:w="4818" w:type="dxa"/>
          </w:tcPr>
          <w:p w14:paraId="374B0790" w14:textId="1FF10D53" w:rsidR="00BD3916" w:rsidRPr="00286216" w:rsidRDefault="00BD3916" w:rsidP="00BD3916">
            <w:pPr>
              <w:pStyle w:val="StyleZakonu"/>
              <w:rPr>
                <w:color w:val="000000" w:themeColor="text1"/>
              </w:rPr>
            </w:pPr>
            <w:r w:rsidRPr="00286216">
              <w:rPr>
                <w:color w:val="000000" w:themeColor="text1"/>
              </w:rPr>
              <w:t>При заставі фінансових інструментів в обігу заставодавець зберігає за собою право володіти, користуватися та розпоряджатися предметом застави без збереження застави, якщо договором не передбачено інше.</w:t>
            </w:r>
          </w:p>
        </w:tc>
      </w:tr>
      <w:tr w:rsidR="00BD3916" w:rsidRPr="00286216" w14:paraId="5AFB15CF" w14:textId="77777777" w:rsidTr="00091AA5">
        <w:tc>
          <w:tcPr>
            <w:tcW w:w="576" w:type="dxa"/>
          </w:tcPr>
          <w:p w14:paraId="19E7FFBF" w14:textId="77777777" w:rsidR="00BD3916" w:rsidRPr="00286216" w:rsidRDefault="00BD3916" w:rsidP="00BD3916">
            <w:pPr>
              <w:pStyle w:val="StyleWisnow"/>
              <w:rPr>
                <w:color w:val="000000" w:themeColor="text1"/>
              </w:rPr>
            </w:pPr>
            <w:bookmarkStart w:id="2724" w:name="n2852" w:colFirst="0" w:colLast="0"/>
            <w:bookmarkEnd w:id="2723"/>
            <w:r w:rsidRPr="00286216">
              <w:rPr>
                <w:color w:val="000000" w:themeColor="text1"/>
              </w:rPr>
              <w:t>2852.</w:t>
            </w:r>
          </w:p>
        </w:tc>
        <w:tc>
          <w:tcPr>
            <w:tcW w:w="4818" w:type="dxa"/>
          </w:tcPr>
          <w:p w14:paraId="744B1242" w14:textId="77777777" w:rsidR="00BD3916" w:rsidRPr="00286216" w:rsidRDefault="00BD3916" w:rsidP="00BD3916">
            <w:pPr>
              <w:pStyle w:val="StyleZakonu"/>
              <w:rPr>
                <w:color w:val="000000" w:themeColor="text1"/>
              </w:rPr>
            </w:pPr>
            <w:r w:rsidRPr="00286216">
              <w:rPr>
                <w:color w:val="000000" w:themeColor="text1"/>
              </w:rPr>
              <w:t>У разі відчуження (заміни сторін) заставлених фінансових інструментів в обігу заставодавець зобов’язаний замінити їх іншими фінансовими інструментами, які відповідають зазначеним у договорі застави вимогам, до дня виконання основного зобов’язання. Відступлення від зазначених у договорі застави вимог до предмету застави в обігу, у тому числі зменшення кількості та сукупної номінальної вартості фінансових інструментів, допускається тільки за згодою заставодержателя.</w:t>
            </w:r>
          </w:p>
        </w:tc>
        <w:tc>
          <w:tcPr>
            <w:tcW w:w="3686" w:type="dxa"/>
          </w:tcPr>
          <w:p w14:paraId="7F085FF0" w14:textId="77777777" w:rsidR="00BD3916" w:rsidRPr="00286216" w:rsidRDefault="00BD3916" w:rsidP="00BD3916">
            <w:pPr>
              <w:pStyle w:val="StyleProp"/>
              <w:rPr>
                <w:color w:val="000000" w:themeColor="text1"/>
                <w:szCs w:val="18"/>
              </w:rPr>
            </w:pPr>
          </w:p>
        </w:tc>
        <w:tc>
          <w:tcPr>
            <w:tcW w:w="1987" w:type="dxa"/>
          </w:tcPr>
          <w:p w14:paraId="7F558507" w14:textId="77777777" w:rsidR="00BD3916" w:rsidRPr="00286216" w:rsidRDefault="00BD3916" w:rsidP="00BD3916">
            <w:pPr>
              <w:pStyle w:val="StyleWisnow"/>
              <w:rPr>
                <w:color w:val="000000" w:themeColor="text1"/>
              </w:rPr>
            </w:pPr>
          </w:p>
        </w:tc>
        <w:tc>
          <w:tcPr>
            <w:tcW w:w="4818" w:type="dxa"/>
          </w:tcPr>
          <w:p w14:paraId="0EDD4DB7" w14:textId="70DB4A0A" w:rsidR="00BD3916" w:rsidRPr="00286216" w:rsidRDefault="00BD3916" w:rsidP="00BD3916">
            <w:pPr>
              <w:pStyle w:val="StyleZakonu"/>
              <w:rPr>
                <w:color w:val="000000" w:themeColor="text1"/>
              </w:rPr>
            </w:pPr>
            <w:r w:rsidRPr="00286216">
              <w:rPr>
                <w:color w:val="000000" w:themeColor="text1"/>
              </w:rPr>
              <w:t>У разі відчуження (заміни сторін) заставлених фінансових інструментів в обігу заставодавець зобов’язаний замінити їх іншими фінансовими інструментами, які відповідають зазначеним у договорі застави вимогам, до дня виконання основного зобов’язання. Відступлення від зазначених у договорі застави вимог до предмета застави в обігу, у тому числі зменшення кількості та сукупної номінальної вартості фінансових інструментів, допускається  виключно за згодою заставодержателя.</w:t>
            </w:r>
          </w:p>
        </w:tc>
      </w:tr>
      <w:tr w:rsidR="00BD3916" w:rsidRPr="00286216" w14:paraId="0613BBC8" w14:textId="77777777" w:rsidTr="00091AA5">
        <w:tc>
          <w:tcPr>
            <w:tcW w:w="576" w:type="dxa"/>
          </w:tcPr>
          <w:p w14:paraId="6D80861B" w14:textId="77777777" w:rsidR="00BD3916" w:rsidRPr="00286216" w:rsidRDefault="00BD3916" w:rsidP="00BD3916">
            <w:pPr>
              <w:pStyle w:val="StyleWisnow"/>
              <w:rPr>
                <w:color w:val="000000" w:themeColor="text1"/>
              </w:rPr>
            </w:pPr>
            <w:bookmarkStart w:id="2725" w:name="n2853" w:colFirst="0" w:colLast="0"/>
            <w:bookmarkEnd w:id="2724"/>
            <w:r w:rsidRPr="00286216">
              <w:rPr>
                <w:color w:val="000000" w:themeColor="text1"/>
              </w:rPr>
              <w:t>2853.</w:t>
            </w:r>
          </w:p>
        </w:tc>
        <w:tc>
          <w:tcPr>
            <w:tcW w:w="4818" w:type="dxa"/>
          </w:tcPr>
          <w:p w14:paraId="76A5A6D4" w14:textId="77777777" w:rsidR="00BD3916" w:rsidRPr="00286216" w:rsidRDefault="00BD3916" w:rsidP="00BD3916">
            <w:pPr>
              <w:pStyle w:val="StyleZakonu"/>
              <w:rPr>
                <w:color w:val="000000" w:themeColor="text1"/>
              </w:rPr>
            </w:pPr>
            <w:r w:rsidRPr="00286216">
              <w:rPr>
                <w:color w:val="000000" w:themeColor="text1"/>
              </w:rPr>
              <w:t>Якщо у день виконання основного зобов’язання кількість та сукупна номінальна вартість заставлених фінансових інструментів у власності заставодавця в результаті дій заставодавця, передбачених частиною другою цієї статті, не відповідають вимогам договору із заставодержателем, останній може замінити предмет застави на інші фінансові інструменти, валюту чи банківські метали заставодавця. Ринкова вартість такого нового предмету застави не повинна бути меншою, за обґрунтованою оцінкою заставодержателя, вартості первинного предмету застави. Заставодержатель повинен відправити повідомлення про свій вибір заставодавцю та усім причетним учасникам ринку, відповідальним за облік прав власності на відповідні активи. Заміна предмету застави набуває чинності з дня, наступного за днем надсилання заставодержателем такого повідомлення".</w:t>
            </w:r>
          </w:p>
        </w:tc>
        <w:tc>
          <w:tcPr>
            <w:tcW w:w="3686" w:type="dxa"/>
          </w:tcPr>
          <w:p w14:paraId="4BFDF7F2" w14:textId="77777777" w:rsidR="00BD3916" w:rsidRPr="00286216" w:rsidRDefault="00BD3916" w:rsidP="00BD3916">
            <w:pPr>
              <w:pStyle w:val="StyleProp"/>
              <w:rPr>
                <w:color w:val="000000" w:themeColor="text1"/>
                <w:szCs w:val="18"/>
              </w:rPr>
            </w:pPr>
          </w:p>
        </w:tc>
        <w:tc>
          <w:tcPr>
            <w:tcW w:w="1987" w:type="dxa"/>
          </w:tcPr>
          <w:p w14:paraId="691DCC2A" w14:textId="77777777" w:rsidR="00BD3916" w:rsidRPr="00286216" w:rsidRDefault="00BD3916" w:rsidP="00BD3916">
            <w:pPr>
              <w:pStyle w:val="StyleWisnow"/>
              <w:rPr>
                <w:color w:val="000000" w:themeColor="text1"/>
              </w:rPr>
            </w:pPr>
          </w:p>
        </w:tc>
        <w:tc>
          <w:tcPr>
            <w:tcW w:w="4818" w:type="dxa"/>
          </w:tcPr>
          <w:p w14:paraId="372E4B83" w14:textId="4C5F7468" w:rsidR="00BD3916" w:rsidRPr="00286216" w:rsidRDefault="00BD3916" w:rsidP="00BD3916">
            <w:pPr>
              <w:pStyle w:val="StyleZakonu"/>
              <w:rPr>
                <w:color w:val="000000" w:themeColor="text1"/>
              </w:rPr>
            </w:pPr>
            <w:r w:rsidRPr="00286216">
              <w:rPr>
                <w:color w:val="000000" w:themeColor="text1"/>
              </w:rPr>
              <w:t>Якщо у день виконання основного зобов’язання кількість та сукупна номінальна вартість заставлених фінансових інструментів у власності заставодавця   внаслідок дій заставодавця, передбачених частиною другою цієї статті, не відповідають вимогам договору із заставодержателем, останній може замінити предмет застави на інші фінансові інструменти, валюту чи банківські метали заставодавця. Ринкова вартість такого нового предмета застави не повинна бути меншою, за обґрунтованою оцінкою заставодержателя, вартості первинного предмета застави. Заставодержатель повинен надіслати повідомлення про свій вибір заставодавцю та усім причетним учасникам ринку, відповідальним за облік прав власності на відповідні активи. Заміна предмета застави набирає чинності з дня, наступного за днем надсилання заставодержателем такого повідомлення".</w:t>
            </w:r>
          </w:p>
        </w:tc>
      </w:tr>
      <w:tr w:rsidR="00BD3916" w:rsidRPr="00286216" w14:paraId="75D51FC4" w14:textId="77777777" w:rsidTr="00091AA5">
        <w:tc>
          <w:tcPr>
            <w:tcW w:w="576" w:type="dxa"/>
          </w:tcPr>
          <w:p w14:paraId="3E179D4E" w14:textId="77777777" w:rsidR="00BD3916" w:rsidRPr="00286216" w:rsidRDefault="00BD3916" w:rsidP="00BD3916">
            <w:pPr>
              <w:pStyle w:val="StyleWisnow"/>
              <w:rPr>
                <w:color w:val="000000" w:themeColor="text1"/>
              </w:rPr>
            </w:pPr>
            <w:bookmarkStart w:id="2726" w:name="n2854" w:colFirst="0" w:colLast="0"/>
            <w:bookmarkEnd w:id="2725"/>
            <w:r w:rsidRPr="00286216">
              <w:rPr>
                <w:color w:val="000000" w:themeColor="text1"/>
              </w:rPr>
              <w:t>2854.</w:t>
            </w:r>
          </w:p>
        </w:tc>
        <w:tc>
          <w:tcPr>
            <w:tcW w:w="4818" w:type="dxa"/>
          </w:tcPr>
          <w:p w14:paraId="2AFA9546" w14:textId="77777777" w:rsidR="00BD3916" w:rsidRPr="00286216" w:rsidRDefault="00BD3916" w:rsidP="00BD3916">
            <w:pPr>
              <w:pStyle w:val="StyleZakonu"/>
              <w:rPr>
                <w:color w:val="000000" w:themeColor="text1"/>
              </w:rPr>
            </w:pPr>
            <w:r w:rsidRPr="00286216">
              <w:rPr>
                <w:color w:val="000000" w:themeColor="text1"/>
              </w:rPr>
              <w:t>14. У частині першій статті 1 Закону України "Про телебачення і радіомовлення" (Відомості Верховної Ради України, 1994р., №10, ст.43 із наступними змінами) термін "публічна компанія" викласти в такій редакції:</w:t>
            </w:r>
          </w:p>
        </w:tc>
        <w:tc>
          <w:tcPr>
            <w:tcW w:w="3686" w:type="dxa"/>
          </w:tcPr>
          <w:p w14:paraId="6A3D7365" w14:textId="77777777" w:rsidR="00BD3916" w:rsidRPr="00286216" w:rsidRDefault="00BD3916" w:rsidP="00BD3916">
            <w:pPr>
              <w:pStyle w:val="StyleProp"/>
              <w:rPr>
                <w:color w:val="000000" w:themeColor="text1"/>
                <w:szCs w:val="18"/>
              </w:rPr>
            </w:pPr>
          </w:p>
        </w:tc>
        <w:tc>
          <w:tcPr>
            <w:tcW w:w="1987" w:type="dxa"/>
          </w:tcPr>
          <w:p w14:paraId="5280E925" w14:textId="77777777" w:rsidR="00BD3916" w:rsidRPr="00286216" w:rsidRDefault="00BD3916" w:rsidP="00BD3916">
            <w:pPr>
              <w:pStyle w:val="StyleWisnow"/>
              <w:rPr>
                <w:color w:val="000000" w:themeColor="text1"/>
              </w:rPr>
            </w:pPr>
          </w:p>
        </w:tc>
        <w:tc>
          <w:tcPr>
            <w:tcW w:w="4818" w:type="dxa"/>
          </w:tcPr>
          <w:p w14:paraId="367D0928" w14:textId="26E27F72" w:rsidR="00BD3916" w:rsidRPr="00286216" w:rsidRDefault="00BD3916" w:rsidP="00BD3916">
            <w:pPr>
              <w:pStyle w:val="StyleZakonu"/>
              <w:rPr>
                <w:color w:val="000000" w:themeColor="text1"/>
              </w:rPr>
            </w:pPr>
            <w:r w:rsidRPr="00286216">
              <w:rPr>
                <w:color w:val="000000" w:themeColor="text1"/>
              </w:rPr>
              <w:t>36. У частині першій статті 1 Закону України "Про телебачення і радіомовлення" (Відомості Верховної Ради України,  2006 р., № 18, ст. 155) термін "публічна компанія" викласти в такій редакції:</w:t>
            </w:r>
          </w:p>
        </w:tc>
      </w:tr>
      <w:tr w:rsidR="00BD3916" w:rsidRPr="00286216" w14:paraId="3BB4CA34" w14:textId="77777777" w:rsidTr="00091AA5">
        <w:tc>
          <w:tcPr>
            <w:tcW w:w="576" w:type="dxa"/>
          </w:tcPr>
          <w:p w14:paraId="0C30930C" w14:textId="77777777" w:rsidR="00BD3916" w:rsidRPr="00286216" w:rsidRDefault="00BD3916" w:rsidP="00BD3916">
            <w:pPr>
              <w:pStyle w:val="StyleWisnow"/>
              <w:rPr>
                <w:color w:val="000000" w:themeColor="text1"/>
              </w:rPr>
            </w:pPr>
            <w:bookmarkStart w:id="2727" w:name="n2855" w:colFirst="0" w:colLast="0"/>
            <w:bookmarkEnd w:id="2726"/>
            <w:r w:rsidRPr="00286216">
              <w:rPr>
                <w:color w:val="000000" w:themeColor="text1"/>
              </w:rPr>
              <w:t>2855.</w:t>
            </w:r>
          </w:p>
        </w:tc>
        <w:tc>
          <w:tcPr>
            <w:tcW w:w="4818" w:type="dxa"/>
          </w:tcPr>
          <w:p w14:paraId="3E85FC1D" w14:textId="77777777" w:rsidR="00BD3916" w:rsidRPr="00286216" w:rsidRDefault="00BD3916" w:rsidP="00BD3916">
            <w:pPr>
              <w:pStyle w:val="StyleZakonu"/>
              <w:rPr>
                <w:color w:val="000000" w:themeColor="text1"/>
              </w:rPr>
            </w:pPr>
            <w:r w:rsidRPr="00286216">
              <w:rPr>
                <w:color w:val="000000" w:themeColor="text1"/>
              </w:rPr>
              <w:t xml:space="preserve">"публічна компанія - юридична особа, створена у формі публічного акціонерного товариства, акції якої </w:t>
            </w:r>
            <w:r w:rsidRPr="00286216">
              <w:rPr>
                <w:color w:val="000000" w:themeColor="text1"/>
              </w:rPr>
              <w:lastRenderedPageBreak/>
              <w:t>допущені до торгів на регульованому фондовому ринку, який відповідає критеріям, визначеним Національною комісією з цінних паперів та фондового ринку; ".</w:t>
            </w:r>
          </w:p>
        </w:tc>
        <w:tc>
          <w:tcPr>
            <w:tcW w:w="3686" w:type="dxa"/>
          </w:tcPr>
          <w:p w14:paraId="3525CCB0" w14:textId="77777777" w:rsidR="00BD3916" w:rsidRPr="00286216" w:rsidRDefault="00BD3916" w:rsidP="00BD3916">
            <w:pPr>
              <w:pStyle w:val="StyleProp"/>
              <w:rPr>
                <w:color w:val="000000" w:themeColor="text1"/>
                <w:szCs w:val="18"/>
              </w:rPr>
            </w:pPr>
          </w:p>
        </w:tc>
        <w:tc>
          <w:tcPr>
            <w:tcW w:w="1987" w:type="dxa"/>
          </w:tcPr>
          <w:p w14:paraId="062A41D9" w14:textId="77777777" w:rsidR="00BD3916" w:rsidRPr="00286216" w:rsidRDefault="00BD3916" w:rsidP="00BD3916">
            <w:pPr>
              <w:pStyle w:val="StyleWisnow"/>
              <w:rPr>
                <w:color w:val="000000" w:themeColor="text1"/>
              </w:rPr>
            </w:pPr>
          </w:p>
        </w:tc>
        <w:tc>
          <w:tcPr>
            <w:tcW w:w="4818" w:type="dxa"/>
          </w:tcPr>
          <w:p w14:paraId="1E2CE75E" w14:textId="65C447E6" w:rsidR="00BD3916" w:rsidRPr="00286216" w:rsidRDefault="00BD3916" w:rsidP="00BD3916">
            <w:pPr>
              <w:pStyle w:val="StyleZakonu"/>
              <w:rPr>
                <w:color w:val="000000" w:themeColor="text1"/>
              </w:rPr>
            </w:pPr>
            <w:r w:rsidRPr="00286216">
              <w:rPr>
                <w:color w:val="000000" w:themeColor="text1"/>
              </w:rPr>
              <w:t xml:space="preserve">"публічна компанія - юридична особа, створена у формі публічного акціонерного товариства, акції якої </w:t>
            </w:r>
            <w:r w:rsidRPr="00286216">
              <w:rPr>
                <w:color w:val="000000" w:themeColor="text1"/>
              </w:rPr>
              <w:lastRenderedPageBreak/>
              <w:t>допущені до торгів на регульованому фондовому ринку, який відповідає критеріям, визначеним Національною комісією з цінних паперів та фондового ринку".</w:t>
            </w:r>
          </w:p>
        </w:tc>
      </w:tr>
      <w:tr w:rsidR="00BD3916" w:rsidRPr="00286216" w14:paraId="21B2D882" w14:textId="77777777" w:rsidTr="00091AA5">
        <w:tc>
          <w:tcPr>
            <w:tcW w:w="576" w:type="dxa"/>
          </w:tcPr>
          <w:p w14:paraId="21BE0A8E" w14:textId="77777777" w:rsidR="00BD3916" w:rsidRPr="00286216" w:rsidRDefault="00BD3916" w:rsidP="00BD3916">
            <w:pPr>
              <w:pStyle w:val="StyleWisnow"/>
              <w:rPr>
                <w:color w:val="000000" w:themeColor="text1"/>
              </w:rPr>
            </w:pPr>
            <w:bookmarkStart w:id="2728" w:name="n2856" w:colFirst="0" w:colLast="0"/>
            <w:bookmarkEnd w:id="2727"/>
            <w:r w:rsidRPr="00286216">
              <w:rPr>
                <w:color w:val="000000" w:themeColor="text1"/>
              </w:rPr>
              <w:lastRenderedPageBreak/>
              <w:t>2856.</w:t>
            </w:r>
          </w:p>
        </w:tc>
        <w:tc>
          <w:tcPr>
            <w:tcW w:w="4818" w:type="dxa"/>
          </w:tcPr>
          <w:p w14:paraId="12A79F03" w14:textId="77777777" w:rsidR="00BD3916" w:rsidRPr="00286216" w:rsidRDefault="00BD3916" w:rsidP="00BD3916">
            <w:pPr>
              <w:pStyle w:val="StyleZakonu"/>
              <w:rPr>
                <w:color w:val="000000" w:themeColor="text1"/>
              </w:rPr>
            </w:pPr>
            <w:r w:rsidRPr="00286216">
              <w:rPr>
                <w:color w:val="000000" w:themeColor="text1"/>
              </w:rPr>
              <w:t>15. У Законі України "Про міжнародний комерційний арбітраж" (Відомості Верховної Ради України, 1994 р., № 25, ст.198, із наступними змінами):</w:t>
            </w:r>
          </w:p>
        </w:tc>
        <w:tc>
          <w:tcPr>
            <w:tcW w:w="3686" w:type="dxa"/>
          </w:tcPr>
          <w:p w14:paraId="438BFD1F" w14:textId="77777777" w:rsidR="00BD3916" w:rsidRPr="00286216" w:rsidRDefault="00BD3916" w:rsidP="00BD3916">
            <w:pPr>
              <w:pStyle w:val="StyleProp"/>
              <w:rPr>
                <w:color w:val="000000" w:themeColor="text1"/>
                <w:szCs w:val="18"/>
              </w:rPr>
            </w:pPr>
          </w:p>
        </w:tc>
        <w:tc>
          <w:tcPr>
            <w:tcW w:w="1987" w:type="dxa"/>
          </w:tcPr>
          <w:p w14:paraId="6C7A6F97" w14:textId="77777777" w:rsidR="00BD3916" w:rsidRPr="00286216" w:rsidRDefault="00BD3916" w:rsidP="00BD3916">
            <w:pPr>
              <w:pStyle w:val="StyleWisnow"/>
              <w:rPr>
                <w:color w:val="000000" w:themeColor="text1"/>
              </w:rPr>
            </w:pPr>
          </w:p>
        </w:tc>
        <w:tc>
          <w:tcPr>
            <w:tcW w:w="4818" w:type="dxa"/>
          </w:tcPr>
          <w:p w14:paraId="3017F230" w14:textId="4A93F7F5" w:rsidR="00BD3916" w:rsidRPr="00286216" w:rsidRDefault="00BD3916" w:rsidP="00BD3916">
            <w:pPr>
              <w:pStyle w:val="StyleZakonu"/>
              <w:rPr>
                <w:color w:val="000000" w:themeColor="text1"/>
              </w:rPr>
            </w:pPr>
            <w:r w:rsidRPr="00286216">
              <w:rPr>
                <w:color w:val="000000" w:themeColor="text1"/>
              </w:rPr>
              <w:t>14. У Законі України "Про міжнародний комерційний арбітраж" (Відомості Верховної Ради України, 1994 р., № 25, ст. 198):</w:t>
            </w:r>
          </w:p>
        </w:tc>
      </w:tr>
      <w:tr w:rsidR="00BD3916" w:rsidRPr="00286216" w14:paraId="405970DE" w14:textId="77777777" w:rsidTr="00091AA5">
        <w:tc>
          <w:tcPr>
            <w:tcW w:w="576" w:type="dxa"/>
          </w:tcPr>
          <w:p w14:paraId="6528A820" w14:textId="77777777" w:rsidR="00BD3916" w:rsidRPr="00286216" w:rsidRDefault="00BD3916" w:rsidP="00BD3916">
            <w:pPr>
              <w:pStyle w:val="StyleWisnow"/>
              <w:rPr>
                <w:color w:val="000000" w:themeColor="text1"/>
              </w:rPr>
            </w:pPr>
            <w:bookmarkStart w:id="2729" w:name="n2857" w:colFirst="0" w:colLast="0"/>
            <w:bookmarkEnd w:id="2728"/>
            <w:r w:rsidRPr="00286216">
              <w:rPr>
                <w:color w:val="000000" w:themeColor="text1"/>
              </w:rPr>
              <w:t>2857.</w:t>
            </w:r>
          </w:p>
        </w:tc>
        <w:tc>
          <w:tcPr>
            <w:tcW w:w="4818" w:type="dxa"/>
          </w:tcPr>
          <w:p w14:paraId="63C6B69A" w14:textId="77777777" w:rsidR="00BD3916" w:rsidRPr="00286216" w:rsidRDefault="00BD3916" w:rsidP="00BD3916">
            <w:pPr>
              <w:pStyle w:val="StyleZakonu"/>
              <w:rPr>
                <w:color w:val="000000" w:themeColor="text1"/>
              </w:rPr>
            </w:pPr>
            <w:r w:rsidRPr="00286216">
              <w:rPr>
                <w:color w:val="000000" w:themeColor="text1"/>
              </w:rPr>
              <w:t>1) частину другу статті 1 викласти в такій редакції:</w:t>
            </w:r>
          </w:p>
        </w:tc>
        <w:tc>
          <w:tcPr>
            <w:tcW w:w="3686" w:type="dxa"/>
          </w:tcPr>
          <w:p w14:paraId="59583020" w14:textId="77777777" w:rsidR="00BD3916" w:rsidRPr="00286216" w:rsidRDefault="00BD3916" w:rsidP="00BD3916">
            <w:pPr>
              <w:pStyle w:val="StyleProp"/>
              <w:rPr>
                <w:color w:val="000000" w:themeColor="text1"/>
                <w:szCs w:val="18"/>
              </w:rPr>
            </w:pPr>
          </w:p>
        </w:tc>
        <w:tc>
          <w:tcPr>
            <w:tcW w:w="1987" w:type="dxa"/>
          </w:tcPr>
          <w:p w14:paraId="273B10F8" w14:textId="77777777" w:rsidR="00BD3916" w:rsidRPr="00286216" w:rsidRDefault="00BD3916" w:rsidP="00BD3916">
            <w:pPr>
              <w:pStyle w:val="StyleWisnow"/>
              <w:rPr>
                <w:color w:val="000000" w:themeColor="text1"/>
              </w:rPr>
            </w:pPr>
          </w:p>
        </w:tc>
        <w:tc>
          <w:tcPr>
            <w:tcW w:w="4818" w:type="dxa"/>
          </w:tcPr>
          <w:p w14:paraId="2006CFAA" w14:textId="6C1F0EC0" w:rsidR="00BD3916" w:rsidRPr="00286216" w:rsidRDefault="00BD3916" w:rsidP="00BD3916">
            <w:pPr>
              <w:pStyle w:val="StyleZakonu"/>
              <w:rPr>
                <w:color w:val="000000" w:themeColor="text1"/>
              </w:rPr>
            </w:pPr>
            <w:r w:rsidRPr="00286216">
              <w:rPr>
                <w:color w:val="000000" w:themeColor="text1"/>
              </w:rPr>
              <w:t>1) частину другу статті 1 викласти в такій редакції:</w:t>
            </w:r>
          </w:p>
        </w:tc>
      </w:tr>
      <w:tr w:rsidR="00BD3916" w:rsidRPr="00286216" w14:paraId="7A75A42C" w14:textId="77777777" w:rsidTr="00091AA5">
        <w:tc>
          <w:tcPr>
            <w:tcW w:w="576" w:type="dxa"/>
          </w:tcPr>
          <w:p w14:paraId="424BD2C2" w14:textId="77777777" w:rsidR="00BD3916" w:rsidRPr="00286216" w:rsidRDefault="00BD3916" w:rsidP="00BD3916">
            <w:pPr>
              <w:pStyle w:val="StyleWisnow"/>
              <w:rPr>
                <w:color w:val="000000" w:themeColor="text1"/>
              </w:rPr>
            </w:pPr>
            <w:bookmarkStart w:id="2730" w:name="n2858" w:colFirst="0" w:colLast="0"/>
            <w:bookmarkEnd w:id="2729"/>
            <w:r w:rsidRPr="00286216">
              <w:rPr>
                <w:color w:val="000000" w:themeColor="text1"/>
              </w:rPr>
              <w:t>2858.</w:t>
            </w:r>
          </w:p>
        </w:tc>
        <w:tc>
          <w:tcPr>
            <w:tcW w:w="4818" w:type="dxa"/>
          </w:tcPr>
          <w:p w14:paraId="71E13BB5" w14:textId="77777777" w:rsidR="00BD3916" w:rsidRPr="00286216" w:rsidRDefault="00BD3916" w:rsidP="00BD3916">
            <w:pPr>
              <w:pStyle w:val="StyleZakonu"/>
              <w:rPr>
                <w:color w:val="000000" w:themeColor="text1"/>
              </w:rPr>
            </w:pPr>
            <w:r w:rsidRPr="00286216">
              <w:rPr>
                <w:color w:val="000000" w:themeColor="text1"/>
              </w:rPr>
              <w:t>"2. До міжнародного комерційного арбітражу можуть за угодою сторін передаватися:</w:t>
            </w:r>
          </w:p>
        </w:tc>
        <w:tc>
          <w:tcPr>
            <w:tcW w:w="3686" w:type="dxa"/>
          </w:tcPr>
          <w:p w14:paraId="68BC89C9" w14:textId="77777777" w:rsidR="00BD3916" w:rsidRPr="00286216" w:rsidRDefault="00BD3916" w:rsidP="00BD3916">
            <w:pPr>
              <w:pStyle w:val="StyleProp"/>
              <w:rPr>
                <w:color w:val="000000" w:themeColor="text1"/>
                <w:szCs w:val="18"/>
              </w:rPr>
            </w:pPr>
          </w:p>
        </w:tc>
        <w:tc>
          <w:tcPr>
            <w:tcW w:w="1987" w:type="dxa"/>
          </w:tcPr>
          <w:p w14:paraId="23FEC7C0" w14:textId="77777777" w:rsidR="00BD3916" w:rsidRPr="00286216" w:rsidRDefault="00BD3916" w:rsidP="00BD3916">
            <w:pPr>
              <w:pStyle w:val="StyleWisnow"/>
              <w:rPr>
                <w:color w:val="000000" w:themeColor="text1"/>
              </w:rPr>
            </w:pPr>
          </w:p>
        </w:tc>
        <w:tc>
          <w:tcPr>
            <w:tcW w:w="4818" w:type="dxa"/>
          </w:tcPr>
          <w:p w14:paraId="0041E187" w14:textId="6E68676D" w:rsidR="00BD3916" w:rsidRPr="00286216" w:rsidRDefault="00BD3916" w:rsidP="00BD3916">
            <w:pPr>
              <w:pStyle w:val="StyleZakonu"/>
              <w:rPr>
                <w:color w:val="000000" w:themeColor="text1"/>
              </w:rPr>
            </w:pPr>
            <w:r w:rsidRPr="00286216">
              <w:rPr>
                <w:color w:val="000000" w:themeColor="text1"/>
              </w:rPr>
              <w:t>"2. До міжнародного комерційного арбітражу можуть за угодою сторін передаватися:</w:t>
            </w:r>
          </w:p>
        </w:tc>
      </w:tr>
      <w:tr w:rsidR="00BD3916" w:rsidRPr="00286216" w14:paraId="2F75E6F3" w14:textId="77777777" w:rsidTr="00091AA5">
        <w:tc>
          <w:tcPr>
            <w:tcW w:w="576" w:type="dxa"/>
          </w:tcPr>
          <w:p w14:paraId="0E282BAB" w14:textId="77777777" w:rsidR="00BD3916" w:rsidRPr="00286216" w:rsidRDefault="00BD3916" w:rsidP="00BD3916">
            <w:pPr>
              <w:pStyle w:val="StyleWisnow"/>
              <w:rPr>
                <w:color w:val="000000" w:themeColor="text1"/>
              </w:rPr>
            </w:pPr>
            <w:bookmarkStart w:id="2731" w:name="n2859" w:colFirst="0" w:colLast="0"/>
            <w:bookmarkEnd w:id="2730"/>
            <w:r w:rsidRPr="00286216">
              <w:rPr>
                <w:color w:val="000000" w:themeColor="text1"/>
              </w:rPr>
              <w:t>2859.</w:t>
            </w:r>
          </w:p>
        </w:tc>
        <w:tc>
          <w:tcPr>
            <w:tcW w:w="4818" w:type="dxa"/>
          </w:tcPr>
          <w:p w14:paraId="361FEE67" w14:textId="77777777" w:rsidR="00BD3916" w:rsidRPr="00286216" w:rsidRDefault="00BD3916" w:rsidP="00BD3916">
            <w:pPr>
              <w:pStyle w:val="StyleZakonu"/>
              <w:rPr>
                <w:color w:val="000000" w:themeColor="text1"/>
              </w:rPr>
            </w:pPr>
            <w:r w:rsidRPr="00286216">
              <w:rPr>
                <w:color w:val="000000" w:themeColor="text1"/>
              </w:rPr>
              <w:t>спори з договірних та інших цивільно-правових відносин, що виникають при здійсненні зовнішньоторговельних та інших видів міжнародних економічних зв’язків, якщо комерційне підприємство хоча б однієї із сторін знаходиться за кордоном;</w:t>
            </w:r>
          </w:p>
        </w:tc>
        <w:tc>
          <w:tcPr>
            <w:tcW w:w="3686" w:type="dxa"/>
          </w:tcPr>
          <w:p w14:paraId="0209B080" w14:textId="77777777" w:rsidR="00BD3916" w:rsidRPr="00286216" w:rsidRDefault="00BD3916" w:rsidP="00BD3916">
            <w:pPr>
              <w:pStyle w:val="StyleProp"/>
              <w:rPr>
                <w:color w:val="000000" w:themeColor="text1"/>
                <w:szCs w:val="18"/>
              </w:rPr>
            </w:pPr>
          </w:p>
        </w:tc>
        <w:tc>
          <w:tcPr>
            <w:tcW w:w="1987" w:type="dxa"/>
          </w:tcPr>
          <w:p w14:paraId="48C4D220" w14:textId="77777777" w:rsidR="00BD3916" w:rsidRPr="00286216" w:rsidRDefault="00BD3916" w:rsidP="00BD3916">
            <w:pPr>
              <w:pStyle w:val="StyleWisnow"/>
              <w:rPr>
                <w:color w:val="000000" w:themeColor="text1"/>
              </w:rPr>
            </w:pPr>
          </w:p>
        </w:tc>
        <w:tc>
          <w:tcPr>
            <w:tcW w:w="4818" w:type="dxa"/>
          </w:tcPr>
          <w:p w14:paraId="41BDF53C" w14:textId="68C674A3" w:rsidR="00BD3916" w:rsidRPr="00286216" w:rsidRDefault="00BD3916" w:rsidP="00BD3916">
            <w:pPr>
              <w:pStyle w:val="StyleZakonu"/>
              <w:rPr>
                <w:color w:val="000000" w:themeColor="text1"/>
              </w:rPr>
            </w:pPr>
            <w:r w:rsidRPr="00286216">
              <w:rPr>
                <w:color w:val="000000" w:themeColor="text1"/>
              </w:rPr>
              <w:t>спори з договірних та інших цивільно-правових відносин, що виникають при здійсненні зовнішньоторговельних та інших видів міжнародних економічних зв’язків, якщо комерційне підприємство хоча б однієї із сторін знаходиться за кордоном;</w:t>
            </w:r>
          </w:p>
        </w:tc>
      </w:tr>
      <w:tr w:rsidR="00BD3916" w:rsidRPr="00286216" w14:paraId="5389BD68" w14:textId="77777777" w:rsidTr="00091AA5">
        <w:tc>
          <w:tcPr>
            <w:tcW w:w="576" w:type="dxa"/>
          </w:tcPr>
          <w:p w14:paraId="5929BE2F" w14:textId="77777777" w:rsidR="00BD3916" w:rsidRPr="00286216" w:rsidRDefault="00BD3916" w:rsidP="00BD3916">
            <w:pPr>
              <w:pStyle w:val="StyleWisnow"/>
              <w:rPr>
                <w:color w:val="000000" w:themeColor="text1"/>
              </w:rPr>
            </w:pPr>
            <w:bookmarkStart w:id="2732" w:name="n2860" w:colFirst="0" w:colLast="0"/>
            <w:bookmarkEnd w:id="2731"/>
            <w:r w:rsidRPr="00286216">
              <w:rPr>
                <w:color w:val="000000" w:themeColor="text1"/>
              </w:rPr>
              <w:t>2860.</w:t>
            </w:r>
          </w:p>
        </w:tc>
        <w:tc>
          <w:tcPr>
            <w:tcW w:w="4818" w:type="dxa"/>
          </w:tcPr>
          <w:p w14:paraId="3171FCF9" w14:textId="77777777" w:rsidR="00BD3916" w:rsidRPr="00286216" w:rsidRDefault="00BD3916" w:rsidP="00BD3916">
            <w:pPr>
              <w:pStyle w:val="StyleZakonu"/>
              <w:rPr>
                <w:color w:val="000000" w:themeColor="text1"/>
              </w:rPr>
            </w:pPr>
            <w:r w:rsidRPr="00286216">
              <w:rPr>
                <w:color w:val="000000" w:themeColor="text1"/>
              </w:rPr>
              <w:t>спори підприємств з іноземними інвестиціями і міжнародних об’єднань та організацій, створених на території України, між собою, спори між їх учасниками, а так само їх спори з іншими суб’єктами права України, а також</w:t>
            </w:r>
          </w:p>
        </w:tc>
        <w:tc>
          <w:tcPr>
            <w:tcW w:w="3686" w:type="dxa"/>
          </w:tcPr>
          <w:p w14:paraId="7D02A582" w14:textId="77777777" w:rsidR="00BD3916" w:rsidRPr="00286216" w:rsidRDefault="00BD3916" w:rsidP="00BD3916">
            <w:pPr>
              <w:pStyle w:val="StyleProp"/>
              <w:rPr>
                <w:color w:val="000000" w:themeColor="text1"/>
                <w:szCs w:val="18"/>
              </w:rPr>
            </w:pPr>
          </w:p>
        </w:tc>
        <w:tc>
          <w:tcPr>
            <w:tcW w:w="1987" w:type="dxa"/>
          </w:tcPr>
          <w:p w14:paraId="6994703F" w14:textId="77777777" w:rsidR="00BD3916" w:rsidRPr="00286216" w:rsidRDefault="00BD3916" w:rsidP="00BD3916">
            <w:pPr>
              <w:pStyle w:val="StyleWisnow"/>
              <w:rPr>
                <w:color w:val="000000" w:themeColor="text1"/>
              </w:rPr>
            </w:pPr>
          </w:p>
        </w:tc>
        <w:tc>
          <w:tcPr>
            <w:tcW w:w="4818" w:type="dxa"/>
          </w:tcPr>
          <w:p w14:paraId="7EA3232F" w14:textId="55EBCEFC" w:rsidR="00BD3916" w:rsidRPr="00286216" w:rsidRDefault="00BD3916" w:rsidP="00BD3916">
            <w:pPr>
              <w:pStyle w:val="StyleZakonu"/>
              <w:rPr>
                <w:color w:val="000000" w:themeColor="text1"/>
              </w:rPr>
            </w:pPr>
            <w:r w:rsidRPr="00286216">
              <w:rPr>
                <w:color w:val="000000" w:themeColor="text1"/>
              </w:rPr>
              <w:t>спори підприємств з іноземними інвестиціями і міжнародних об’єднань та організацій, створених на території України, між собою, спори між їх учасниками, а так само їх спори з іншими суб’єктами права України, а також</w:t>
            </w:r>
          </w:p>
        </w:tc>
      </w:tr>
      <w:tr w:rsidR="00BD3916" w:rsidRPr="00286216" w14:paraId="03D1D6D9" w14:textId="77777777" w:rsidTr="00091AA5">
        <w:tc>
          <w:tcPr>
            <w:tcW w:w="576" w:type="dxa"/>
          </w:tcPr>
          <w:p w14:paraId="66341805" w14:textId="77777777" w:rsidR="00BD3916" w:rsidRPr="00286216" w:rsidRDefault="00BD3916" w:rsidP="00BD3916">
            <w:pPr>
              <w:pStyle w:val="StyleWisnow"/>
              <w:rPr>
                <w:color w:val="000000" w:themeColor="text1"/>
              </w:rPr>
            </w:pPr>
            <w:bookmarkStart w:id="2733" w:name="n2861" w:colFirst="0" w:colLast="0"/>
            <w:bookmarkEnd w:id="2732"/>
            <w:r w:rsidRPr="00286216">
              <w:rPr>
                <w:color w:val="000000" w:themeColor="text1"/>
              </w:rPr>
              <w:t>2861.</w:t>
            </w:r>
          </w:p>
        </w:tc>
        <w:tc>
          <w:tcPr>
            <w:tcW w:w="4818" w:type="dxa"/>
          </w:tcPr>
          <w:p w14:paraId="778A5E77" w14:textId="77777777" w:rsidR="00BD3916" w:rsidRPr="00286216" w:rsidRDefault="00BD3916" w:rsidP="00BD3916">
            <w:pPr>
              <w:pStyle w:val="StyleZakonu"/>
              <w:rPr>
                <w:color w:val="000000" w:themeColor="text1"/>
              </w:rPr>
            </w:pPr>
            <w:r w:rsidRPr="00286216">
              <w:rPr>
                <w:color w:val="000000" w:themeColor="text1"/>
              </w:rPr>
              <w:t>спори між адміністратором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та емітентом облігацій та/або особами, які надають забезпечення за такими облігаціями, якщо принаймні одна зі сторін спору є підприємством з іноземними інвестиціями.";</w:t>
            </w:r>
          </w:p>
        </w:tc>
        <w:tc>
          <w:tcPr>
            <w:tcW w:w="3686" w:type="dxa"/>
          </w:tcPr>
          <w:p w14:paraId="1256F597" w14:textId="77777777" w:rsidR="00BD3916" w:rsidRPr="00286216" w:rsidRDefault="00BD3916" w:rsidP="00BD3916">
            <w:pPr>
              <w:pStyle w:val="StyleProp"/>
              <w:rPr>
                <w:color w:val="000000" w:themeColor="text1"/>
                <w:szCs w:val="18"/>
              </w:rPr>
            </w:pPr>
          </w:p>
        </w:tc>
        <w:tc>
          <w:tcPr>
            <w:tcW w:w="1987" w:type="dxa"/>
          </w:tcPr>
          <w:p w14:paraId="2D186D29" w14:textId="77777777" w:rsidR="00BD3916" w:rsidRPr="00286216" w:rsidRDefault="00BD3916" w:rsidP="00BD3916">
            <w:pPr>
              <w:pStyle w:val="StyleWisnow"/>
              <w:rPr>
                <w:color w:val="000000" w:themeColor="text1"/>
              </w:rPr>
            </w:pPr>
          </w:p>
        </w:tc>
        <w:tc>
          <w:tcPr>
            <w:tcW w:w="4818" w:type="dxa"/>
          </w:tcPr>
          <w:p w14:paraId="1D20866D" w14:textId="435A1CD9" w:rsidR="00BD3916" w:rsidRPr="00286216" w:rsidRDefault="00BD3916" w:rsidP="00BD3916">
            <w:pPr>
              <w:pStyle w:val="StyleZakonu"/>
              <w:rPr>
                <w:color w:val="000000" w:themeColor="text1"/>
              </w:rPr>
            </w:pPr>
            <w:r w:rsidRPr="00286216">
              <w:rPr>
                <w:color w:val="000000" w:themeColor="text1"/>
              </w:rPr>
              <w:t>спори між адміністратором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та емітентом облігацій та/або особами, які надають забезпечення за такими облігаціями, якщо принаймні одна зі сторін спору є підприємством з іноземними інвестиціями";</w:t>
            </w:r>
          </w:p>
        </w:tc>
      </w:tr>
      <w:tr w:rsidR="00BD3916" w:rsidRPr="00286216" w14:paraId="0B4D7A77" w14:textId="77777777" w:rsidTr="00091AA5">
        <w:tc>
          <w:tcPr>
            <w:tcW w:w="576" w:type="dxa"/>
          </w:tcPr>
          <w:p w14:paraId="242BEEBE" w14:textId="77777777" w:rsidR="00BD3916" w:rsidRPr="00286216" w:rsidRDefault="00BD3916" w:rsidP="00BD3916">
            <w:pPr>
              <w:pStyle w:val="StyleWisnow"/>
              <w:rPr>
                <w:color w:val="000000" w:themeColor="text1"/>
              </w:rPr>
            </w:pPr>
            <w:bookmarkStart w:id="2734" w:name="n2862" w:colFirst="0" w:colLast="0"/>
            <w:bookmarkEnd w:id="2733"/>
            <w:r w:rsidRPr="00286216">
              <w:rPr>
                <w:color w:val="000000" w:themeColor="text1"/>
              </w:rPr>
              <w:t>2862.</w:t>
            </w:r>
          </w:p>
        </w:tc>
        <w:tc>
          <w:tcPr>
            <w:tcW w:w="4818" w:type="dxa"/>
          </w:tcPr>
          <w:p w14:paraId="4472B36F" w14:textId="77777777" w:rsidR="00BD3916" w:rsidRPr="00286216" w:rsidRDefault="00BD3916" w:rsidP="00BD3916">
            <w:pPr>
              <w:pStyle w:val="StyleZakonu"/>
              <w:rPr>
                <w:color w:val="000000" w:themeColor="text1"/>
              </w:rPr>
            </w:pPr>
            <w:r w:rsidRPr="00286216">
              <w:rPr>
                <w:color w:val="000000" w:themeColor="text1"/>
              </w:rPr>
              <w:t>2) у статті 2:</w:t>
            </w:r>
          </w:p>
        </w:tc>
        <w:tc>
          <w:tcPr>
            <w:tcW w:w="3686" w:type="dxa"/>
          </w:tcPr>
          <w:p w14:paraId="7F5A7CF1" w14:textId="77777777" w:rsidR="00BD3916" w:rsidRPr="00286216" w:rsidRDefault="00BD3916" w:rsidP="00BD3916">
            <w:pPr>
              <w:pStyle w:val="StyleProp"/>
              <w:rPr>
                <w:color w:val="000000" w:themeColor="text1"/>
                <w:szCs w:val="18"/>
              </w:rPr>
            </w:pPr>
          </w:p>
        </w:tc>
        <w:tc>
          <w:tcPr>
            <w:tcW w:w="1987" w:type="dxa"/>
          </w:tcPr>
          <w:p w14:paraId="4D781EAA" w14:textId="77777777" w:rsidR="00BD3916" w:rsidRPr="00286216" w:rsidRDefault="00BD3916" w:rsidP="00BD3916">
            <w:pPr>
              <w:pStyle w:val="StyleWisnow"/>
              <w:rPr>
                <w:color w:val="000000" w:themeColor="text1"/>
              </w:rPr>
            </w:pPr>
          </w:p>
        </w:tc>
        <w:tc>
          <w:tcPr>
            <w:tcW w:w="4818" w:type="dxa"/>
          </w:tcPr>
          <w:p w14:paraId="143D3601" w14:textId="00E2729A" w:rsidR="00BD3916" w:rsidRPr="00286216" w:rsidRDefault="00BD3916" w:rsidP="00BD3916">
            <w:pPr>
              <w:pStyle w:val="StyleZakonu"/>
              <w:rPr>
                <w:color w:val="000000" w:themeColor="text1"/>
              </w:rPr>
            </w:pPr>
            <w:r w:rsidRPr="00286216">
              <w:rPr>
                <w:color w:val="000000" w:themeColor="text1"/>
              </w:rPr>
              <w:t>2) у статті 2:</w:t>
            </w:r>
          </w:p>
        </w:tc>
      </w:tr>
      <w:tr w:rsidR="00BD3916" w:rsidRPr="00286216" w14:paraId="224BB1BA" w14:textId="77777777" w:rsidTr="00091AA5">
        <w:tc>
          <w:tcPr>
            <w:tcW w:w="576" w:type="dxa"/>
          </w:tcPr>
          <w:p w14:paraId="365FE040" w14:textId="77777777" w:rsidR="00BD3916" w:rsidRPr="00286216" w:rsidRDefault="00BD3916" w:rsidP="00BD3916">
            <w:pPr>
              <w:pStyle w:val="StyleWisnow"/>
              <w:rPr>
                <w:color w:val="000000" w:themeColor="text1"/>
              </w:rPr>
            </w:pPr>
            <w:bookmarkStart w:id="2735" w:name="n2863" w:colFirst="0" w:colLast="0"/>
            <w:bookmarkEnd w:id="2734"/>
            <w:r w:rsidRPr="00286216">
              <w:rPr>
                <w:color w:val="000000" w:themeColor="text1"/>
              </w:rPr>
              <w:t>2863.</w:t>
            </w:r>
          </w:p>
        </w:tc>
        <w:tc>
          <w:tcPr>
            <w:tcW w:w="4818" w:type="dxa"/>
          </w:tcPr>
          <w:p w14:paraId="172AD9DC" w14:textId="77777777" w:rsidR="00BD3916" w:rsidRPr="00286216" w:rsidRDefault="00BD3916" w:rsidP="00BD3916">
            <w:pPr>
              <w:pStyle w:val="StyleZakonu"/>
              <w:rPr>
                <w:color w:val="000000" w:themeColor="text1"/>
              </w:rPr>
            </w:pPr>
            <w:r w:rsidRPr="00286216">
              <w:rPr>
                <w:color w:val="000000" w:themeColor="text1"/>
              </w:rPr>
              <w:t>а) абзац п’ятий після слів "інвестування; фінансування; " доповнити словами "емісія облігацій, надання забезпечення за облігаціями; ";</w:t>
            </w:r>
          </w:p>
        </w:tc>
        <w:tc>
          <w:tcPr>
            <w:tcW w:w="3686" w:type="dxa"/>
          </w:tcPr>
          <w:p w14:paraId="61F481E5" w14:textId="77777777" w:rsidR="00BD3916" w:rsidRPr="00286216" w:rsidRDefault="00BD3916" w:rsidP="00BD3916">
            <w:pPr>
              <w:pStyle w:val="StyleProp"/>
              <w:rPr>
                <w:color w:val="000000" w:themeColor="text1"/>
                <w:szCs w:val="18"/>
              </w:rPr>
            </w:pPr>
          </w:p>
        </w:tc>
        <w:tc>
          <w:tcPr>
            <w:tcW w:w="1987" w:type="dxa"/>
          </w:tcPr>
          <w:p w14:paraId="7C281823" w14:textId="77777777" w:rsidR="00BD3916" w:rsidRPr="00286216" w:rsidRDefault="00BD3916" w:rsidP="00BD3916">
            <w:pPr>
              <w:pStyle w:val="StyleWisnow"/>
              <w:rPr>
                <w:color w:val="000000" w:themeColor="text1"/>
              </w:rPr>
            </w:pPr>
          </w:p>
        </w:tc>
        <w:tc>
          <w:tcPr>
            <w:tcW w:w="4818" w:type="dxa"/>
          </w:tcPr>
          <w:p w14:paraId="2932F0C6" w14:textId="364AFA82" w:rsidR="00BD3916" w:rsidRPr="00286216" w:rsidRDefault="00BD3916" w:rsidP="00BD3916">
            <w:pPr>
              <w:pStyle w:val="StyleZakonu"/>
              <w:rPr>
                <w:color w:val="000000" w:themeColor="text1"/>
              </w:rPr>
            </w:pPr>
            <w:r w:rsidRPr="00286216">
              <w:rPr>
                <w:color w:val="000000" w:themeColor="text1"/>
              </w:rPr>
              <w:t>а) абзац п’ятий після слів "інвестування; фінансування" доповнити словами "емісія облігацій, надання забезпечення за облігаціями";</w:t>
            </w:r>
          </w:p>
        </w:tc>
      </w:tr>
      <w:tr w:rsidR="00BD3916" w:rsidRPr="00286216" w14:paraId="7DE06725" w14:textId="77777777" w:rsidTr="00091AA5">
        <w:tc>
          <w:tcPr>
            <w:tcW w:w="576" w:type="dxa"/>
          </w:tcPr>
          <w:p w14:paraId="4CEDDF39" w14:textId="77777777" w:rsidR="00BD3916" w:rsidRPr="00286216" w:rsidRDefault="00BD3916" w:rsidP="00BD3916">
            <w:pPr>
              <w:pStyle w:val="StyleWisnow"/>
              <w:rPr>
                <w:color w:val="000000" w:themeColor="text1"/>
              </w:rPr>
            </w:pPr>
            <w:bookmarkStart w:id="2736" w:name="n2864" w:colFirst="0" w:colLast="0"/>
            <w:bookmarkEnd w:id="2735"/>
            <w:r w:rsidRPr="00286216">
              <w:rPr>
                <w:color w:val="000000" w:themeColor="text1"/>
              </w:rPr>
              <w:t>2864.</w:t>
            </w:r>
          </w:p>
        </w:tc>
        <w:tc>
          <w:tcPr>
            <w:tcW w:w="4818" w:type="dxa"/>
          </w:tcPr>
          <w:p w14:paraId="5C995F74" w14:textId="77777777" w:rsidR="00BD3916" w:rsidRPr="00286216" w:rsidRDefault="00BD3916" w:rsidP="00BD3916">
            <w:pPr>
              <w:pStyle w:val="StyleZakonu"/>
              <w:rPr>
                <w:color w:val="000000" w:themeColor="text1"/>
              </w:rPr>
            </w:pPr>
            <w:r w:rsidRPr="00286216">
              <w:rPr>
                <w:color w:val="000000" w:themeColor="text1"/>
              </w:rPr>
              <w:t>б) доповнити статтю новим абзацом такого змісту:</w:t>
            </w:r>
          </w:p>
        </w:tc>
        <w:tc>
          <w:tcPr>
            <w:tcW w:w="3686" w:type="dxa"/>
          </w:tcPr>
          <w:p w14:paraId="02EFC581" w14:textId="77777777" w:rsidR="00BD3916" w:rsidRPr="00286216" w:rsidRDefault="00BD3916" w:rsidP="00BD3916">
            <w:pPr>
              <w:pStyle w:val="StyleProp"/>
              <w:rPr>
                <w:color w:val="000000" w:themeColor="text1"/>
                <w:szCs w:val="18"/>
              </w:rPr>
            </w:pPr>
          </w:p>
        </w:tc>
        <w:tc>
          <w:tcPr>
            <w:tcW w:w="1987" w:type="dxa"/>
          </w:tcPr>
          <w:p w14:paraId="4378899B" w14:textId="77777777" w:rsidR="00BD3916" w:rsidRPr="00286216" w:rsidRDefault="00BD3916" w:rsidP="00BD3916">
            <w:pPr>
              <w:pStyle w:val="StyleWisnow"/>
              <w:rPr>
                <w:color w:val="000000" w:themeColor="text1"/>
              </w:rPr>
            </w:pPr>
          </w:p>
        </w:tc>
        <w:tc>
          <w:tcPr>
            <w:tcW w:w="4818" w:type="dxa"/>
          </w:tcPr>
          <w:p w14:paraId="0243CB71" w14:textId="44DDCD4F" w:rsidR="00BD3916" w:rsidRPr="00286216" w:rsidRDefault="00BD3916" w:rsidP="00BD3916">
            <w:pPr>
              <w:pStyle w:val="StyleZakonu"/>
              <w:rPr>
                <w:color w:val="000000" w:themeColor="text1"/>
              </w:rPr>
            </w:pPr>
            <w:r w:rsidRPr="00286216">
              <w:rPr>
                <w:color w:val="000000" w:themeColor="text1"/>
              </w:rPr>
              <w:t>б) доповнити абзацом дев’ятим такого змісту:</w:t>
            </w:r>
          </w:p>
        </w:tc>
      </w:tr>
      <w:tr w:rsidR="00BD3916" w:rsidRPr="00286216" w14:paraId="0713D04D" w14:textId="77777777" w:rsidTr="00091AA5">
        <w:tc>
          <w:tcPr>
            <w:tcW w:w="576" w:type="dxa"/>
          </w:tcPr>
          <w:p w14:paraId="24E1E005" w14:textId="77777777" w:rsidR="00BD3916" w:rsidRPr="00286216" w:rsidRDefault="00BD3916" w:rsidP="00BD3916">
            <w:pPr>
              <w:pStyle w:val="StyleWisnow"/>
              <w:rPr>
                <w:color w:val="000000" w:themeColor="text1"/>
              </w:rPr>
            </w:pPr>
            <w:bookmarkStart w:id="2737" w:name="n2865" w:colFirst="0" w:colLast="0"/>
            <w:bookmarkEnd w:id="2736"/>
            <w:r w:rsidRPr="00286216">
              <w:rPr>
                <w:color w:val="000000" w:themeColor="text1"/>
              </w:rPr>
              <w:t>2865.</w:t>
            </w:r>
          </w:p>
        </w:tc>
        <w:tc>
          <w:tcPr>
            <w:tcW w:w="4818" w:type="dxa"/>
          </w:tcPr>
          <w:p w14:paraId="085BE7AD" w14:textId="77777777" w:rsidR="00BD3916" w:rsidRPr="00286216" w:rsidRDefault="00BD3916" w:rsidP="00BD3916">
            <w:pPr>
              <w:pStyle w:val="StyleZakonu"/>
              <w:rPr>
                <w:color w:val="000000" w:themeColor="text1"/>
              </w:rPr>
            </w:pPr>
            <w:r w:rsidRPr="00286216">
              <w:rPr>
                <w:color w:val="000000" w:themeColor="text1"/>
              </w:rPr>
              <w:t>"- терміни "адміністратор за випуском облігацій" та "особа, яка надає забезпечення" вживаються у значеннях, наведених у Законі України "Про ринки капіталу та організовані товарні ринки".";</w:t>
            </w:r>
          </w:p>
        </w:tc>
        <w:tc>
          <w:tcPr>
            <w:tcW w:w="3686" w:type="dxa"/>
          </w:tcPr>
          <w:p w14:paraId="48D392BE" w14:textId="77777777" w:rsidR="00BD3916" w:rsidRPr="00286216" w:rsidRDefault="00BD3916" w:rsidP="00BD3916">
            <w:pPr>
              <w:pStyle w:val="StyleProp"/>
              <w:rPr>
                <w:color w:val="000000" w:themeColor="text1"/>
                <w:szCs w:val="18"/>
              </w:rPr>
            </w:pPr>
          </w:p>
        </w:tc>
        <w:tc>
          <w:tcPr>
            <w:tcW w:w="1987" w:type="dxa"/>
          </w:tcPr>
          <w:p w14:paraId="77B15405" w14:textId="77777777" w:rsidR="00BD3916" w:rsidRPr="00286216" w:rsidRDefault="00BD3916" w:rsidP="00BD3916">
            <w:pPr>
              <w:pStyle w:val="StyleWisnow"/>
              <w:rPr>
                <w:color w:val="000000" w:themeColor="text1"/>
              </w:rPr>
            </w:pPr>
          </w:p>
        </w:tc>
        <w:tc>
          <w:tcPr>
            <w:tcW w:w="4818" w:type="dxa"/>
          </w:tcPr>
          <w:p w14:paraId="68F12B37" w14:textId="656A45C4" w:rsidR="00BD3916" w:rsidRPr="00286216" w:rsidRDefault="00BD3916" w:rsidP="00BD3916">
            <w:pPr>
              <w:pStyle w:val="StyleZakonu"/>
              <w:rPr>
                <w:color w:val="000000" w:themeColor="text1"/>
              </w:rPr>
            </w:pPr>
            <w:r w:rsidRPr="00286216">
              <w:rPr>
                <w:color w:val="000000" w:themeColor="text1"/>
              </w:rPr>
              <w:t>"- терміни "адміністратор за випуском облігацій" та "особа, яка надає забезпечення" вживаються у значеннях, наведених у Законі України "Про ринки капіталу та організовані товарні ринки";</w:t>
            </w:r>
          </w:p>
        </w:tc>
      </w:tr>
      <w:tr w:rsidR="00BD3916" w:rsidRPr="00286216" w14:paraId="2BF3B745" w14:textId="77777777" w:rsidTr="00091AA5">
        <w:tc>
          <w:tcPr>
            <w:tcW w:w="576" w:type="dxa"/>
          </w:tcPr>
          <w:p w14:paraId="1E2ABBFE" w14:textId="77777777" w:rsidR="00BD3916" w:rsidRPr="00286216" w:rsidRDefault="00BD3916" w:rsidP="00BD3916">
            <w:pPr>
              <w:pStyle w:val="StyleWisnow"/>
              <w:rPr>
                <w:color w:val="000000" w:themeColor="text1"/>
              </w:rPr>
            </w:pPr>
            <w:bookmarkStart w:id="2738" w:name="n2866" w:colFirst="0" w:colLast="0"/>
            <w:bookmarkEnd w:id="2737"/>
            <w:r w:rsidRPr="00286216">
              <w:rPr>
                <w:color w:val="000000" w:themeColor="text1"/>
              </w:rPr>
              <w:t>2866.</w:t>
            </w:r>
          </w:p>
        </w:tc>
        <w:tc>
          <w:tcPr>
            <w:tcW w:w="4818" w:type="dxa"/>
          </w:tcPr>
          <w:p w14:paraId="687AC494" w14:textId="77777777" w:rsidR="00BD3916" w:rsidRPr="00286216" w:rsidRDefault="00BD3916" w:rsidP="00BD3916">
            <w:pPr>
              <w:pStyle w:val="StyleZakonu"/>
              <w:rPr>
                <w:color w:val="000000" w:themeColor="text1"/>
              </w:rPr>
            </w:pPr>
            <w:r w:rsidRPr="00286216">
              <w:rPr>
                <w:color w:val="000000" w:themeColor="text1"/>
              </w:rPr>
              <w:t>3) частину другу статті 7 після слів "підписаному сторонами, " доповнити словами "або міститься у проспекті цінних паперів (рішенні про емісію цінних паперів), що передбачає призначення адміністратора за випуском облігацій, ".</w:t>
            </w:r>
          </w:p>
        </w:tc>
        <w:tc>
          <w:tcPr>
            <w:tcW w:w="3686" w:type="dxa"/>
          </w:tcPr>
          <w:p w14:paraId="48D462A4" w14:textId="77777777" w:rsidR="00BD3916" w:rsidRPr="00286216" w:rsidRDefault="00BD3916" w:rsidP="00BD3916">
            <w:pPr>
              <w:pStyle w:val="StyleProp"/>
              <w:rPr>
                <w:color w:val="000000" w:themeColor="text1"/>
                <w:szCs w:val="18"/>
              </w:rPr>
            </w:pPr>
          </w:p>
        </w:tc>
        <w:tc>
          <w:tcPr>
            <w:tcW w:w="1987" w:type="dxa"/>
          </w:tcPr>
          <w:p w14:paraId="16D9179B" w14:textId="77777777" w:rsidR="00BD3916" w:rsidRPr="00286216" w:rsidRDefault="00BD3916" w:rsidP="00BD3916">
            <w:pPr>
              <w:pStyle w:val="StyleWisnow"/>
              <w:rPr>
                <w:color w:val="000000" w:themeColor="text1"/>
              </w:rPr>
            </w:pPr>
          </w:p>
        </w:tc>
        <w:tc>
          <w:tcPr>
            <w:tcW w:w="4818" w:type="dxa"/>
          </w:tcPr>
          <w:p w14:paraId="216B499C" w14:textId="4F6D0BF5" w:rsidR="00BD3916" w:rsidRPr="00286216" w:rsidRDefault="00BD3916" w:rsidP="00BD3916">
            <w:pPr>
              <w:pStyle w:val="StyleZakonu"/>
              <w:rPr>
                <w:color w:val="000000" w:themeColor="text1"/>
              </w:rPr>
            </w:pPr>
            <w:r w:rsidRPr="00286216">
              <w:rPr>
                <w:color w:val="000000" w:themeColor="text1"/>
              </w:rPr>
              <w:t>3) друге речення частини другої статті 7 після слів "підписаному сторонами" доповнити словами "або міститься у проспекті цінних паперів (рішенні про емісію цінних паперів), що передбачає призначення адміністратора за випуском облігацій".</w:t>
            </w:r>
          </w:p>
        </w:tc>
      </w:tr>
      <w:tr w:rsidR="00BD3916" w:rsidRPr="00286216" w14:paraId="025F9B0D" w14:textId="77777777" w:rsidTr="00091AA5">
        <w:tc>
          <w:tcPr>
            <w:tcW w:w="576" w:type="dxa"/>
          </w:tcPr>
          <w:p w14:paraId="3FCAA47D" w14:textId="77777777" w:rsidR="00BD3916" w:rsidRPr="00286216" w:rsidRDefault="00BD3916" w:rsidP="00BD3916">
            <w:pPr>
              <w:pStyle w:val="StyleWisnow"/>
              <w:rPr>
                <w:color w:val="000000" w:themeColor="text1"/>
              </w:rPr>
            </w:pPr>
            <w:bookmarkStart w:id="2739" w:name="n2867" w:colFirst="0" w:colLast="0"/>
            <w:bookmarkEnd w:id="2738"/>
            <w:r w:rsidRPr="00286216">
              <w:rPr>
                <w:color w:val="000000" w:themeColor="text1"/>
              </w:rPr>
              <w:lastRenderedPageBreak/>
              <w:t>2867.</w:t>
            </w:r>
          </w:p>
        </w:tc>
        <w:tc>
          <w:tcPr>
            <w:tcW w:w="4818" w:type="dxa"/>
          </w:tcPr>
          <w:p w14:paraId="5C1521C1" w14:textId="77777777" w:rsidR="00BD3916" w:rsidRPr="00286216" w:rsidRDefault="00BD3916" w:rsidP="00BD3916">
            <w:pPr>
              <w:pStyle w:val="StyleZakonu"/>
              <w:rPr>
                <w:color w:val="000000" w:themeColor="text1"/>
              </w:rPr>
            </w:pPr>
            <w:r w:rsidRPr="00286216">
              <w:rPr>
                <w:color w:val="000000" w:themeColor="text1"/>
              </w:rPr>
              <w:t>16. У частині двадцятій статті 31 Закону України "Про страхування" (Відомості Верховної ради України, 1996 р, №18, ст.78 із наступними змінами):</w:t>
            </w:r>
          </w:p>
        </w:tc>
        <w:tc>
          <w:tcPr>
            <w:tcW w:w="3686" w:type="dxa"/>
          </w:tcPr>
          <w:p w14:paraId="31BCDADB" w14:textId="77777777" w:rsidR="00BD3916" w:rsidRPr="00286216" w:rsidRDefault="00BD3916" w:rsidP="00BD3916">
            <w:pPr>
              <w:pStyle w:val="StyleProp"/>
              <w:rPr>
                <w:color w:val="000000" w:themeColor="text1"/>
                <w:szCs w:val="18"/>
              </w:rPr>
            </w:pPr>
          </w:p>
        </w:tc>
        <w:tc>
          <w:tcPr>
            <w:tcW w:w="1987" w:type="dxa"/>
          </w:tcPr>
          <w:p w14:paraId="3524D30F" w14:textId="77777777" w:rsidR="00BD3916" w:rsidRPr="00286216" w:rsidRDefault="00BD3916" w:rsidP="00BD3916">
            <w:pPr>
              <w:pStyle w:val="StyleWisnow"/>
              <w:rPr>
                <w:color w:val="000000" w:themeColor="text1"/>
              </w:rPr>
            </w:pPr>
          </w:p>
        </w:tc>
        <w:tc>
          <w:tcPr>
            <w:tcW w:w="4818" w:type="dxa"/>
          </w:tcPr>
          <w:p w14:paraId="60C1B592" w14:textId="6DC07B4E" w:rsidR="00BD3916" w:rsidRPr="00286216" w:rsidRDefault="00BD3916" w:rsidP="00BD3916">
            <w:pPr>
              <w:pStyle w:val="StyleZakonu"/>
              <w:rPr>
                <w:color w:val="000000" w:themeColor="text1"/>
              </w:rPr>
            </w:pPr>
            <w:r w:rsidRPr="00286216">
              <w:rPr>
                <w:color w:val="000000" w:themeColor="text1"/>
              </w:rPr>
              <w:t>23. У частині двадцятій статті 31 Закону України "Про страхування" (Відомості Верховної Ради України, 2002 р., № 7, ст. 50; 2004 р., № 2, ст. 6):</w:t>
            </w:r>
          </w:p>
        </w:tc>
      </w:tr>
      <w:tr w:rsidR="00BD3916" w:rsidRPr="00286216" w14:paraId="19F41F77" w14:textId="77777777" w:rsidTr="00091AA5">
        <w:tc>
          <w:tcPr>
            <w:tcW w:w="576" w:type="dxa"/>
          </w:tcPr>
          <w:p w14:paraId="28CC029D" w14:textId="77777777" w:rsidR="00BD3916" w:rsidRPr="00286216" w:rsidRDefault="00BD3916" w:rsidP="00BD3916">
            <w:pPr>
              <w:pStyle w:val="StyleWisnow"/>
              <w:rPr>
                <w:color w:val="000000" w:themeColor="text1"/>
              </w:rPr>
            </w:pPr>
            <w:bookmarkStart w:id="2740" w:name="n2868" w:colFirst="0" w:colLast="0"/>
            <w:bookmarkEnd w:id="2739"/>
            <w:r w:rsidRPr="00286216">
              <w:rPr>
                <w:color w:val="000000" w:themeColor="text1"/>
              </w:rPr>
              <w:t>2868.</w:t>
            </w:r>
          </w:p>
        </w:tc>
        <w:tc>
          <w:tcPr>
            <w:tcW w:w="4818" w:type="dxa"/>
          </w:tcPr>
          <w:p w14:paraId="358D000E" w14:textId="77777777" w:rsidR="00BD3916" w:rsidRPr="00286216" w:rsidRDefault="00BD3916" w:rsidP="00BD3916">
            <w:pPr>
              <w:pStyle w:val="StyleZakonu"/>
              <w:rPr>
                <w:color w:val="000000" w:themeColor="text1"/>
              </w:rPr>
            </w:pPr>
            <w:r w:rsidRPr="00286216">
              <w:rPr>
                <w:color w:val="000000" w:themeColor="text1"/>
              </w:rPr>
              <w:t>1) у абзаці третьому після слів "банківські вклади (депозити)" доповнити словами ", депозитні сертифікати банків"; .</w:t>
            </w:r>
          </w:p>
        </w:tc>
        <w:tc>
          <w:tcPr>
            <w:tcW w:w="3686" w:type="dxa"/>
          </w:tcPr>
          <w:p w14:paraId="7D47DA58" w14:textId="77777777" w:rsidR="00BD3916" w:rsidRPr="00286216" w:rsidRDefault="00BD3916" w:rsidP="00BD3916">
            <w:pPr>
              <w:pStyle w:val="StyleProp"/>
              <w:rPr>
                <w:color w:val="000000" w:themeColor="text1"/>
                <w:szCs w:val="18"/>
              </w:rPr>
            </w:pPr>
          </w:p>
        </w:tc>
        <w:tc>
          <w:tcPr>
            <w:tcW w:w="1987" w:type="dxa"/>
          </w:tcPr>
          <w:p w14:paraId="48906A30" w14:textId="77777777" w:rsidR="00BD3916" w:rsidRPr="00286216" w:rsidRDefault="00BD3916" w:rsidP="00BD3916">
            <w:pPr>
              <w:pStyle w:val="StyleWisnow"/>
              <w:rPr>
                <w:color w:val="000000" w:themeColor="text1"/>
              </w:rPr>
            </w:pPr>
          </w:p>
        </w:tc>
        <w:tc>
          <w:tcPr>
            <w:tcW w:w="4818" w:type="dxa"/>
          </w:tcPr>
          <w:p w14:paraId="674695F7" w14:textId="5652A90C" w:rsidR="00BD3916" w:rsidRPr="00286216" w:rsidRDefault="00BD3916" w:rsidP="00BD3916">
            <w:pPr>
              <w:pStyle w:val="StyleZakonu"/>
              <w:rPr>
                <w:color w:val="000000" w:themeColor="text1"/>
              </w:rPr>
            </w:pPr>
            <w:r w:rsidRPr="00286216">
              <w:rPr>
                <w:color w:val="000000" w:themeColor="text1"/>
              </w:rPr>
              <w:t>1) абзац третій доповнити словами "депозитні сертифікати банків";</w:t>
            </w:r>
          </w:p>
        </w:tc>
      </w:tr>
      <w:tr w:rsidR="00BD3916" w:rsidRPr="00286216" w14:paraId="1DED0850" w14:textId="77777777" w:rsidTr="00091AA5">
        <w:tc>
          <w:tcPr>
            <w:tcW w:w="576" w:type="dxa"/>
          </w:tcPr>
          <w:p w14:paraId="4567DFF0" w14:textId="77777777" w:rsidR="00BD3916" w:rsidRPr="00286216" w:rsidRDefault="00BD3916" w:rsidP="00BD3916">
            <w:pPr>
              <w:pStyle w:val="StyleWisnow"/>
              <w:rPr>
                <w:color w:val="000000" w:themeColor="text1"/>
              </w:rPr>
            </w:pPr>
            <w:bookmarkStart w:id="2741" w:name="n2869" w:colFirst="0" w:colLast="0"/>
            <w:bookmarkEnd w:id="2740"/>
            <w:r w:rsidRPr="00286216">
              <w:rPr>
                <w:color w:val="000000" w:themeColor="text1"/>
              </w:rPr>
              <w:t>2869.</w:t>
            </w:r>
          </w:p>
        </w:tc>
        <w:tc>
          <w:tcPr>
            <w:tcW w:w="4818" w:type="dxa"/>
          </w:tcPr>
          <w:p w14:paraId="3D06CD82" w14:textId="77777777" w:rsidR="00BD3916" w:rsidRPr="00286216" w:rsidRDefault="00BD3916" w:rsidP="00BD3916">
            <w:pPr>
              <w:pStyle w:val="StyleZakonu"/>
              <w:rPr>
                <w:color w:val="000000" w:themeColor="text1"/>
              </w:rPr>
            </w:pPr>
            <w:r w:rsidRPr="00286216">
              <w:rPr>
                <w:color w:val="000000" w:themeColor="text1"/>
              </w:rPr>
              <w:t>2) у абзаці шостому слова "іпотечні сертифікати" виключити.</w:t>
            </w:r>
          </w:p>
        </w:tc>
        <w:tc>
          <w:tcPr>
            <w:tcW w:w="3686" w:type="dxa"/>
          </w:tcPr>
          <w:p w14:paraId="4906CD77" w14:textId="77777777" w:rsidR="00BD3916" w:rsidRPr="00286216" w:rsidRDefault="00BD3916" w:rsidP="00BD3916">
            <w:pPr>
              <w:pStyle w:val="StyleProp"/>
              <w:rPr>
                <w:color w:val="000000" w:themeColor="text1"/>
                <w:szCs w:val="18"/>
              </w:rPr>
            </w:pPr>
          </w:p>
        </w:tc>
        <w:tc>
          <w:tcPr>
            <w:tcW w:w="1987" w:type="dxa"/>
          </w:tcPr>
          <w:p w14:paraId="250534E2" w14:textId="77777777" w:rsidR="00BD3916" w:rsidRPr="00286216" w:rsidRDefault="00BD3916" w:rsidP="00BD3916">
            <w:pPr>
              <w:pStyle w:val="StyleWisnow"/>
              <w:rPr>
                <w:color w:val="000000" w:themeColor="text1"/>
              </w:rPr>
            </w:pPr>
          </w:p>
        </w:tc>
        <w:tc>
          <w:tcPr>
            <w:tcW w:w="4818" w:type="dxa"/>
          </w:tcPr>
          <w:p w14:paraId="53CA9618" w14:textId="020C85D0" w:rsidR="00BD3916" w:rsidRPr="00286216" w:rsidRDefault="00BD3916" w:rsidP="00BD3916">
            <w:pPr>
              <w:pStyle w:val="StyleZakonu"/>
              <w:rPr>
                <w:color w:val="000000" w:themeColor="text1"/>
              </w:rPr>
            </w:pPr>
            <w:r w:rsidRPr="00286216">
              <w:rPr>
                <w:color w:val="000000" w:themeColor="text1"/>
              </w:rPr>
              <w:t>2) в абзаці шостому слова "іпотечні сертифікати" виключити.</w:t>
            </w:r>
          </w:p>
        </w:tc>
      </w:tr>
      <w:tr w:rsidR="00BD3916" w:rsidRPr="00286216" w14:paraId="7267A72C" w14:textId="77777777" w:rsidTr="00091AA5">
        <w:tc>
          <w:tcPr>
            <w:tcW w:w="576" w:type="dxa"/>
          </w:tcPr>
          <w:p w14:paraId="2964A6A0" w14:textId="77777777" w:rsidR="00BD3916" w:rsidRPr="00286216" w:rsidRDefault="00BD3916" w:rsidP="00BD3916">
            <w:pPr>
              <w:pStyle w:val="StyleWisnow"/>
              <w:rPr>
                <w:color w:val="000000" w:themeColor="text1"/>
              </w:rPr>
            </w:pPr>
            <w:bookmarkStart w:id="2742" w:name="n2870" w:colFirst="0" w:colLast="0"/>
            <w:bookmarkEnd w:id="2741"/>
            <w:r w:rsidRPr="00286216">
              <w:rPr>
                <w:color w:val="000000" w:themeColor="text1"/>
              </w:rPr>
              <w:t>2870.</w:t>
            </w:r>
          </w:p>
        </w:tc>
        <w:tc>
          <w:tcPr>
            <w:tcW w:w="4818" w:type="dxa"/>
          </w:tcPr>
          <w:p w14:paraId="15591F7F" w14:textId="77777777" w:rsidR="00BD3916" w:rsidRPr="00286216" w:rsidRDefault="00BD3916" w:rsidP="00BD3916">
            <w:pPr>
              <w:pStyle w:val="StyleZakonu"/>
              <w:rPr>
                <w:color w:val="000000" w:themeColor="text1"/>
              </w:rPr>
            </w:pPr>
            <w:r w:rsidRPr="00286216">
              <w:rPr>
                <w:color w:val="000000" w:themeColor="text1"/>
              </w:rPr>
              <w:t>17. У Законі України "Про державне регулювання ринку цінних паперів в Україні" (Відомості Верховної Ради України, 1996 р., №51, ст. 292, із наступними змінами):</w:t>
            </w:r>
          </w:p>
        </w:tc>
        <w:tc>
          <w:tcPr>
            <w:tcW w:w="3686" w:type="dxa"/>
          </w:tcPr>
          <w:p w14:paraId="1719F6AC" w14:textId="77777777" w:rsidR="00BD3916" w:rsidRPr="00286216" w:rsidRDefault="00BD3916" w:rsidP="00BD3916">
            <w:pPr>
              <w:pStyle w:val="StyleProp"/>
              <w:rPr>
                <w:color w:val="000000" w:themeColor="text1"/>
                <w:szCs w:val="18"/>
              </w:rPr>
            </w:pPr>
          </w:p>
        </w:tc>
        <w:tc>
          <w:tcPr>
            <w:tcW w:w="1987" w:type="dxa"/>
          </w:tcPr>
          <w:p w14:paraId="5A18EC6A" w14:textId="77777777" w:rsidR="00BD3916" w:rsidRPr="00286216" w:rsidRDefault="00BD3916" w:rsidP="00BD3916">
            <w:pPr>
              <w:pStyle w:val="StyleWisnow"/>
              <w:rPr>
                <w:color w:val="000000" w:themeColor="text1"/>
              </w:rPr>
            </w:pPr>
          </w:p>
        </w:tc>
        <w:tc>
          <w:tcPr>
            <w:tcW w:w="4818" w:type="dxa"/>
          </w:tcPr>
          <w:p w14:paraId="093286BD" w14:textId="78143930" w:rsidR="00BD3916" w:rsidRPr="00286216" w:rsidRDefault="00BD3916" w:rsidP="00BD3916">
            <w:pPr>
              <w:pStyle w:val="StyleZakonu"/>
              <w:rPr>
                <w:color w:val="000000" w:themeColor="text1"/>
              </w:rPr>
            </w:pPr>
            <w:r w:rsidRPr="00286216">
              <w:rPr>
                <w:color w:val="000000" w:themeColor="text1"/>
              </w:rPr>
              <w:t>15. У Законі України "Про державне регулювання ринку цінних паперів в Україні" (Відомості Верховної Ради України, 1996 р., №51, ст. 292 із наступними змінами):</w:t>
            </w:r>
          </w:p>
        </w:tc>
      </w:tr>
      <w:tr w:rsidR="00BD3916" w:rsidRPr="00286216" w14:paraId="6E1CEC2E" w14:textId="77777777" w:rsidTr="00091AA5">
        <w:tc>
          <w:tcPr>
            <w:tcW w:w="576" w:type="dxa"/>
          </w:tcPr>
          <w:p w14:paraId="0D852AC3" w14:textId="77777777" w:rsidR="00BD3916" w:rsidRPr="00286216" w:rsidRDefault="00BD3916" w:rsidP="00BD3916">
            <w:pPr>
              <w:pStyle w:val="StyleWisnow"/>
              <w:rPr>
                <w:color w:val="000000" w:themeColor="text1"/>
              </w:rPr>
            </w:pPr>
            <w:bookmarkStart w:id="2743" w:name="n2871" w:colFirst="0" w:colLast="0"/>
            <w:bookmarkEnd w:id="2742"/>
            <w:r w:rsidRPr="00286216">
              <w:rPr>
                <w:color w:val="000000" w:themeColor="text1"/>
              </w:rPr>
              <w:t>2871.</w:t>
            </w:r>
          </w:p>
        </w:tc>
        <w:tc>
          <w:tcPr>
            <w:tcW w:w="4818" w:type="dxa"/>
          </w:tcPr>
          <w:p w14:paraId="48C64458" w14:textId="77777777" w:rsidR="00BD3916" w:rsidRPr="00286216" w:rsidRDefault="00BD3916" w:rsidP="00BD3916">
            <w:pPr>
              <w:pStyle w:val="StyleZakonu"/>
              <w:rPr>
                <w:color w:val="000000" w:themeColor="text1"/>
              </w:rPr>
            </w:pPr>
            <w:r w:rsidRPr="00286216">
              <w:rPr>
                <w:color w:val="000000" w:themeColor="text1"/>
              </w:rPr>
              <w:t>1) назву викласти в такій редакції:</w:t>
            </w:r>
          </w:p>
        </w:tc>
        <w:tc>
          <w:tcPr>
            <w:tcW w:w="3686" w:type="dxa"/>
          </w:tcPr>
          <w:p w14:paraId="7938C513" w14:textId="77777777" w:rsidR="00BD3916" w:rsidRPr="00286216" w:rsidRDefault="00BD3916" w:rsidP="00BD3916">
            <w:pPr>
              <w:pStyle w:val="StyleProp"/>
              <w:rPr>
                <w:color w:val="000000" w:themeColor="text1"/>
                <w:szCs w:val="18"/>
              </w:rPr>
            </w:pPr>
          </w:p>
        </w:tc>
        <w:tc>
          <w:tcPr>
            <w:tcW w:w="1987" w:type="dxa"/>
          </w:tcPr>
          <w:p w14:paraId="11ED5354" w14:textId="77777777" w:rsidR="00BD3916" w:rsidRPr="00286216" w:rsidRDefault="00BD3916" w:rsidP="00BD3916">
            <w:pPr>
              <w:pStyle w:val="StyleWisnow"/>
              <w:rPr>
                <w:color w:val="000000" w:themeColor="text1"/>
              </w:rPr>
            </w:pPr>
          </w:p>
        </w:tc>
        <w:tc>
          <w:tcPr>
            <w:tcW w:w="4818" w:type="dxa"/>
          </w:tcPr>
          <w:p w14:paraId="58A286DF" w14:textId="25015963" w:rsidR="00BD3916" w:rsidRPr="00286216" w:rsidRDefault="00BD3916" w:rsidP="00BD3916">
            <w:pPr>
              <w:pStyle w:val="StyleZakonu"/>
              <w:rPr>
                <w:color w:val="000000" w:themeColor="text1"/>
              </w:rPr>
            </w:pPr>
            <w:r w:rsidRPr="00286216">
              <w:rPr>
                <w:color w:val="000000" w:themeColor="text1"/>
              </w:rPr>
              <w:t>1) назву та преамбулу викласти в такій редакції:</w:t>
            </w:r>
          </w:p>
        </w:tc>
      </w:tr>
      <w:tr w:rsidR="00BD3916" w:rsidRPr="00286216" w14:paraId="11A3E929" w14:textId="77777777" w:rsidTr="00091AA5">
        <w:tc>
          <w:tcPr>
            <w:tcW w:w="576" w:type="dxa"/>
          </w:tcPr>
          <w:p w14:paraId="669D9260" w14:textId="77777777" w:rsidR="00BD3916" w:rsidRPr="00286216" w:rsidRDefault="00BD3916" w:rsidP="00BD3916">
            <w:pPr>
              <w:pStyle w:val="StyleWisnow"/>
              <w:rPr>
                <w:color w:val="000000" w:themeColor="text1"/>
              </w:rPr>
            </w:pPr>
            <w:bookmarkStart w:id="2744" w:name="n2872" w:colFirst="0" w:colLast="0"/>
            <w:bookmarkEnd w:id="2743"/>
            <w:r w:rsidRPr="00286216">
              <w:rPr>
                <w:color w:val="000000" w:themeColor="text1"/>
              </w:rPr>
              <w:t>2872.</w:t>
            </w:r>
          </w:p>
        </w:tc>
        <w:tc>
          <w:tcPr>
            <w:tcW w:w="4818" w:type="dxa"/>
          </w:tcPr>
          <w:p w14:paraId="46055BD8" w14:textId="77777777" w:rsidR="00BD3916" w:rsidRPr="00286216" w:rsidRDefault="00BD3916" w:rsidP="00BD3916">
            <w:pPr>
              <w:pStyle w:val="StyleZakonu"/>
              <w:rPr>
                <w:color w:val="000000" w:themeColor="text1"/>
              </w:rPr>
            </w:pPr>
            <w:r w:rsidRPr="00286216">
              <w:rPr>
                <w:color w:val="000000" w:themeColor="text1"/>
              </w:rPr>
              <w:t>"Про державне регулювання ринків капіталу та організованих товарних ринків";</w:t>
            </w:r>
          </w:p>
        </w:tc>
        <w:tc>
          <w:tcPr>
            <w:tcW w:w="3686" w:type="dxa"/>
          </w:tcPr>
          <w:p w14:paraId="56A147AE" w14:textId="77777777" w:rsidR="00BD3916" w:rsidRPr="00286216" w:rsidRDefault="00BD3916" w:rsidP="00BD3916">
            <w:pPr>
              <w:pStyle w:val="StyleProp"/>
              <w:rPr>
                <w:color w:val="000000" w:themeColor="text1"/>
                <w:szCs w:val="18"/>
              </w:rPr>
            </w:pPr>
          </w:p>
        </w:tc>
        <w:tc>
          <w:tcPr>
            <w:tcW w:w="1987" w:type="dxa"/>
          </w:tcPr>
          <w:p w14:paraId="0447D2BA" w14:textId="77777777" w:rsidR="00BD3916" w:rsidRPr="00286216" w:rsidRDefault="00BD3916" w:rsidP="00BD3916">
            <w:pPr>
              <w:pStyle w:val="StyleWisnow"/>
              <w:rPr>
                <w:color w:val="000000" w:themeColor="text1"/>
              </w:rPr>
            </w:pPr>
          </w:p>
        </w:tc>
        <w:tc>
          <w:tcPr>
            <w:tcW w:w="4818" w:type="dxa"/>
          </w:tcPr>
          <w:p w14:paraId="526BEE5B" w14:textId="7E4F65AF" w:rsidR="00BD3916" w:rsidRPr="00286216" w:rsidRDefault="00BD3916" w:rsidP="00BD3916">
            <w:pPr>
              <w:pStyle w:val="StyleZakonu"/>
              <w:rPr>
                <w:color w:val="000000" w:themeColor="text1"/>
              </w:rPr>
            </w:pPr>
            <w:r w:rsidRPr="00286216">
              <w:rPr>
                <w:color w:val="000000" w:themeColor="text1"/>
              </w:rPr>
              <w:t>"Про державне регулювання ринків капіталу та організованих товарних ринків</w:t>
            </w:r>
          </w:p>
        </w:tc>
      </w:tr>
      <w:tr w:rsidR="00BD3916" w:rsidRPr="00286216" w14:paraId="6FB1E08E" w14:textId="77777777" w:rsidTr="00091AA5">
        <w:tc>
          <w:tcPr>
            <w:tcW w:w="576" w:type="dxa"/>
          </w:tcPr>
          <w:p w14:paraId="5834840A" w14:textId="77777777" w:rsidR="00BD3916" w:rsidRPr="00286216" w:rsidRDefault="00BD3916" w:rsidP="00BD3916">
            <w:pPr>
              <w:pStyle w:val="StyleWisnow"/>
              <w:rPr>
                <w:color w:val="000000" w:themeColor="text1"/>
              </w:rPr>
            </w:pPr>
            <w:bookmarkStart w:id="2745" w:name="n2873" w:colFirst="0" w:colLast="0"/>
            <w:bookmarkEnd w:id="2744"/>
            <w:r w:rsidRPr="00286216">
              <w:rPr>
                <w:color w:val="000000" w:themeColor="text1"/>
              </w:rPr>
              <w:t>2873.</w:t>
            </w:r>
          </w:p>
        </w:tc>
        <w:tc>
          <w:tcPr>
            <w:tcW w:w="4818" w:type="dxa"/>
          </w:tcPr>
          <w:p w14:paraId="71BA4BAC" w14:textId="77777777" w:rsidR="00BD3916" w:rsidRPr="00286216" w:rsidRDefault="00BD3916" w:rsidP="00BD3916">
            <w:pPr>
              <w:pStyle w:val="StyleZakonu"/>
              <w:rPr>
                <w:color w:val="000000" w:themeColor="text1"/>
              </w:rPr>
            </w:pPr>
            <w:r w:rsidRPr="00286216">
              <w:rPr>
                <w:color w:val="000000" w:themeColor="text1"/>
              </w:rPr>
              <w:t>2) преамбулу викласти в такій редакції:</w:t>
            </w:r>
          </w:p>
        </w:tc>
        <w:tc>
          <w:tcPr>
            <w:tcW w:w="3686" w:type="dxa"/>
          </w:tcPr>
          <w:p w14:paraId="12F5EFBC" w14:textId="77777777" w:rsidR="00BD3916" w:rsidRPr="00286216" w:rsidRDefault="00BD3916" w:rsidP="00BD3916">
            <w:pPr>
              <w:pStyle w:val="StyleProp"/>
              <w:rPr>
                <w:color w:val="000000" w:themeColor="text1"/>
                <w:szCs w:val="18"/>
              </w:rPr>
            </w:pPr>
          </w:p>
        </w:tc>
        <w:tc>
          <w:tcPr>
            <w:tcW w:w="1987" w:type="dxa"/>
          </w:tcPr>
          <w:p w14:paraId="7FFAC8A6" w14:textId="77777777" w:rsidR="00BD3916" w:rsidRPr="00286216" w:rsidRDefault="00BD3916" w:rsidP="00BD3916">
            <w:pPr>
              <w:pStyle w:val="StyleWisnow"/>
              <w:rPr>
                <w:color w:val="000000" w:themeColor="text1"/>
              </w:rPr>
            </w:pPr>
          </w:p>
        </w:tc>
        <w:tc>
          <w:tcPr>
            <w:tcW w:w="4818" w:type="dxa"/>
          </w:tcPr>
          <w:p w14:paraId="52F081D6" w14:textId="46FCEFB9" w:rsidR="00BD3916" w:rsidRPr="00286216" w:rsidRDefault="00BD3916" w:rsidP="00BD3916">
            <w:pPr>
              <w:pStyle w:val="StyleZakonu"/>
              <w:rPr>
                <w:color w:val="000000" w:themeColor="text1"/>
              </w:rPr>
            </w:pPr>
          </w:p>
        </w:tc>
      </w:tr>
      <w:tr w:rsidR="00BD3916" w:rsidRPr="00286216" w14:paraId="5FC38EF6" w14:textId="77777777" w:rsidTr="00091AA5">
        <w:tc>
          <w:tcPr>
            <w:tcW w:w="576" w:type="dxa"/>
          </w:tcPr>
          <w:p w14:paraId="1600A46B" w14:textId="77777777" w:rsidR="00BD3916" w:rsidRPr="00286216" w:rsidRDefault="00BD3916" w:rsidP="00BD3916">
            <w:pPr>
              <w:pStyle w:val="StyleWisnow"/>
              <w:rPr>
                <w:color w:val="000000" w:themeColor="text1"/>
              </w:rPr>
            </w:pPr>
            <w:bookmarkStart w:id="2746" w:name="n2874" w:colFirst="0" w:colLast="0"/>
            <w:bookmarkEnd w:id="2745"/>
            <w:r w:rsidRPr="00286216">
              <w:rPr>
                <w:color w:val="000000" w:themeColor="text1"/>
              </w:rPr>
              <w:t>2874.</w:t>
            </w:r>
          </w:p>
        </w:tc>
        <w:tc>
          <w:tcPr>
            <w:tcW w:w="4818" w:type="dxa"/>
          </w:tcPr>
          <w:p w14:paraId="31B06806" w14:textId="77777777" w:rsidR="00BD3916" w:rsidRPr="00286216" w:rsidRDefault="00BD3916" w:rsidP="00BD3916">
            <w:pPr>
              <w:pStyle w:val="StyleZakonu"/>
              <w:rPr>
                <w:color w:val="000000" w:themeColor="text1"/>
              </w:rPr>
            </w:pPr>
            <w:r w:rsidRPr="00286216">
              <w:rPr>
                <w:color w:val="000000" w:themeColor="text1"/>
              </w:rPr>
              <w:t>"Цей Закон визначає правові засади здійснення державного регулювання ринків капіталу та організованих товарних ринків та державного контролю за емісією (видачею) і обігом, укладенням та виконанням фінансових інструментів в Україні.";</w:t>
            </w:r>
          </w:p>
        </w:tc>
        <w:tc>
          <w:tcPr>
            <w:tcW w:w="3686" w:type="dxa"/>
          </w:tcPr>
          <w:p w14:paraId="57938F23" w14:textId="77777777" w:rsidR="00BD3916" w:rsidRPr="00286216" w:rsidRDefault="00BD3916" w:rsidP="00BD3916">
            <w:pPr>
              <w:pStyle w:val="StyleProp"/>
              <w:rPr>
                <w:color w:val="000000" w:themeColor="text1"/>
                <w:szCs w:val="18"/>
              </w:rPr>
            </w:pPr>
          </w:p>
        </w:tc>
        <w:tc>
          <w:tcPr>
            <w:tcW w:w="1987" w:type="dxa"/>
          </w:tcPr>
          <w:p w14:paraId="52E70D34" w14:textId="77777777" w:rsidR="00BD3916" w:rsidRPr="00286216" w:rsidRDefault="00BD3916" w:rsidP="00BD3916">
            <w:pPr>
              <w:pStyle w:val="StyleWisnow"/>
              <w:rPr>
                <w:color w:val="000000" w:themeColor="text1"/>
              </w:rPr>
            </w:pPr>
          </w:p>
        </w:tc>
        <w:tc>
          <w:tcPr>
            <w:tcW w:w="4818" w:type="dxa"/>
          </w:tcPr>
          <w:p w14:paraId="04F2556B" w14:textId="4760FAC6" w:rsidR="00BD3916" w:rsidRPr="00286216" w:rsidRDefault="00BD3916" w:rsidP="00BD3916">
            <w:pPr>
              <w:pStyle w:val="StyleZakonu"/>
              <w:rPr>
                <w:color w:val="000000" w:themeColor="text1"/>
              </w:rPr>
            </w:pPr>
            <w:r w:rsidRPr="00286216">
              <w:rPr>
                <w:color w:val="000000" w:themeColor="text1"/>
              </w:rPr>
              <w:t>Цей Закон визначає правові засади здійснення державного регулювання ринків капіталу та організованих товарних ринків та державного контролю за емісією (видачею) і обігом, укладенням та виконанням фінансових інструментів в Україні";</w:t>
            </w:r>
          </w:p>
        </w:tc>
      </w:tr>
      <w:tr w:rsidR="00BD3916" w:rsidRPr="00286216" w14:paraId="54BEE87C" w14:textId="77777777" w:rsidTr="00091AA5">
        <w:tc>
          <w:tcPr>
            <w:tcW w:w="576" w:type="dxa"/>
          </w:tcPr>
          <w:p w14:paraId="6C5049D5" w14:textId="77777777" w:rsidR="00BD3916" w:rsidRPr="00286216" w:rsidRDefault="00BD3916" w:rsidP="00BD3916">
            <w:pPr>
              <w:pStyle w:val="StyleWisnow"/>
              <w:rPr>
                <w:color w:val="000000" w:themeColor="text1"/>
              </w:rPr>
            </w:pPr>
            <w:bookmarkStart w:id="2747" w:name="n2875" w:colFirst="0" w:colLast="0"/>
            <w:bookmarkEnd w:id="2746"/>
            <w:r w:rsidRPr="00286216">
              <w:rPr>
                <w:color w:val="000000" w:themeColor="text1"/>
              </w:rPr>
              <w:t>2875.</w:t>
            </w:r>
          </w:p>
        </w:tc>
        <w:tc>
          <w:tcPr>
            <w:tcW w:w="4818" w:type="dxa"/>
          </w:tcPr>
          <w:p w14:paraId="5F2D61BE" w14:textId="77777777" w:rsidR="00BD3916" w:rsidRPr="00286216" w:rsidRDefault="00BD3916" w:rsidP="00BD3916">
            <w:pPr>
              <w:pStyle w:val="StyleZakonu"/>
              <w:rPr>
                <w:color w:val="000000" w:themeColor="text1"/>
              </w:rPr>
            </w:pPr>
            <w:r w:rsidRPr="00286216">
              <w:rPr>
                <w:color w:val="000000" w:themeColor="text1"/>
              </w:rPr>
              <w:t>3) у статті 1:</w:t>
            </w:r>
          </w:p>
        </w:tc>
        <w:tc>
          <w:tcPr>
            <w:tcW w:w="3686" w:type="dxa"/>
          </w:tcPr>
          <w:p w14:paraId="6B0BAF7B" w14:textId="77777777" w:rsidR="00BD3916" w:rsidRPr="00286216" w:rsidRDefault="00BD3916" w:rsidP="00BD3916">
            <w:pPr>
              <w:pStyle w:val="StyleProp"/>
              <w:rPr>
                <w:color w:val="000000" w:themeColor="text1"/>
                <w:szCs w:val="18"/>
              </w:rPr>
            </w:pPr>
          </w:p>
        </w:tc>
        <w:tc>
          <w:tcPr>
            <w:tcW w:w="1987" w:type="dxa"/>
          </w:tcPr>
          <w:p w14:paraId="3A57EC62" w14:textId="77777777" w:rsidR="00BD3916" w:rsidRPr="00286216" w:rsidRDefault="00BD3916" w:rsidP="00BD3916">
            <w:pPr>
              <w:pStyle w:val="StyleWisnow"/>
              <w:rPr>
                <w:color w:val="000000" w:themeColor="text1"/>
              </w:rPr>
            </w:pPr>
          </w:p>
        </w:tc>
        <w:tc>
          <w:tcPr>
            <w:tcW w:w="4818" w:type="dxa"/>
          </w:tcPr>
          <w:p w14:paraId="5A143840" w14:textId="7469E2B7" w:rsidR="00BD3916" w:rsidRPr="00286216" w:rsidRDefault="00BD3916" w:rsidP="00BD3916">
            <w:pPr>
              <w:pStyle w:val="StyleZakonu"/>
              <w:rPr>
                <w:color w:val="000000" w:themeColor="text1"/>
              </w:rPr>
            </w:pPr>
            <w:r w:rsidRPr="00286216">
              <w:rPr>
                <w:color w:val="000000" w:themeColor="text1"/>
              </w:rPr>
              <w:t>2) у статті 1:</w:t>
            </w:r>
          </w:p>
        </w:tc>
      </w:tr>
      <w:tr w:rsidR="00BD3916" w:rsidRPr="00286216" w14:paraId="35C0DC36" w14:textId="77777777" w:rsidTr="00091AA5">
        <w:tc>
          <w:tcPr>
            <w:tcW w:w="576" w:type="dxa"/>
          </w:tcPr>
          <w:p w14:paraId="3AE9B2D7" w14:textId="77777777" w:rsidR="00BD3916" w:rsidRPr="00286216" w:rsidRDefault="00BD3916" w:rsidP="00BD3916">
            <w:pPr>
              <w:pStyle w:val="StyleWisnow"/>
              <w:rPr>
                <w:color w:val="000000" w:themeColor="text1"/>
              </w:rPr>
            </w:pPr>
            <w:bookmarkStart w:id="2748" w:name="n2876" w:colFirst="0" w:colLast="0"/>
            <w:bookmarkEnd w:id="2747"/>
            <w:r w:rsidRPr="00286216">
              <w:rPr>
                <w:color w:val="000000" w:themeColor="text1"/>
              </w:rPr>
              <w:t>2876.</w:t>
            </w:r>
          </w:p>
        </w:tc>
        <w:tc>
          <w:tcPr>
            <w:tcW w:w="4818" w:type="dxa"/>
          </w:tcPr>
          <w:p w14:paraId="327EBB1F" w14:textId="77777777" w:rsidR="00BD3916" w:rsidRPr="00286216" w:rsidRDefault="00BD3916" w:rsidP="00BD3916">
            <w:pPr>
              <w:pStyle w:val="StyleZakonu"/>
              <w:rPr>
                <w:color w:val="000000" w:themeColor="text1"/>
              </w:rPr>
            </w:pPr>
            <w:r w:rsidRPr="00286216">
              <w:rPr>
                <w:color w:val="000000" w:themeColor="text1"/>
              </w:rPr>
              <w:t>а) у частині першій:</w:t>
            </w:r>
          </w:p>
        </w:tc>
        <w:tc>
          <w:tcPr>
            <w:tcW w:w="3686" w:type="dxa"/>
          </w:tcPr>
          <w:p w14:paraId="42DD6602" w14:textId="77777777" w:rsidR="00BD3916" w:rsidRPr="00286216" w:rsidRDefault="00BD3916" w:rsidP="00BD3916">
            <w:pPr>
              <w:pStyle w:val="StyleProp"/>
              <w:rPr>
                <w:color w:val="000000" w:themeColor="text1"/>
                <w:szCs w:val="18"/>
              </w:rPr>
            </w:pPr>
          </w:p>
        </w:tc>
        <w:tc>
          <w:tcPr>
            <w:tcW w:w="1987" w:type="dxa"/>
          </w:tcPr>
          <w:p w14:paraId="429F3B16" w14:textId="77777777" w:rsidR="00BD3916" w:rsidRPr="00286216" w:rsidRDefault="00BD3916" w:rsidP="00BD3916">
            <w:pPr>
              <w:pStyle w:val="StyleWisnow"/>
              <w:rPr>
                <w:color w:val="000000" w:themeColor="text1"/>
              </w:rPr>
            </w:pPr>
          </w:p>
        </w:tc>
        <w:tc>
          <w:tcPr>
            <w:tcW w:w="4818" w:type="dxa"/>
          </w:tcPr>
          <w:p w14:paraId="71AA8518" w14:textId="058CE05E" w:rsidR="00BD3916" w:rsidRPr="00286216" w:rsidRDefault="00BD3916" w:rsidP="00BD3916">
            <w:pPr>
              <w:pStyle w:val="StyleZakonu"/>
              <w:rPr>
                <w:color w:val="000000" w:themeColor="text1"/>
              </w:rPr>
            </w:pPr>
          </w:p>
        </w:tc>
      </w:tr>
      <w:tr w:rsidR="00BD3916" w:rsidRPr="00286216" w14:paraId="45804407" w14:textId="77777777" w:rsidTr="00091AA5">
        <w:tc>
          <w:tcPr>
            <w:tcW w:w="576" w:type="dxa"/>
          </w:tcPr>
          <w:p w14:paraId="42CCCC13" w14:textId="77777777" w:rsidR="00BD3916" w:rsidRPr="00286216" w:rsidRDefault="00BD3916" w:rsidP="00BD3916">
            <w:pPr>
              <w:pStyle w:val="StyleWisnow"/>
              <w:rPr>
                <w:color w:val="000000" w:themeColor="text1"/>
              </w:rPr>
            </w:pPr>
            <w:bookmarkStart w:id="2749" w:name="n2877" w:colFirst="0" w:colLast="0"/>
            <w:bookmarkEnd w:id="2748"/>
            <w:r w:rsidRPr="00286216">
              <w:rPr>
                <w:color w:val="000000" w:themeColor="text1"/>
              </w:rPr>
              <w:t>2877.</w:t>
            </w:r>
          </w:p>
        </w:tc>
        <w:tc>
          <w:tcPr>
            <w:tcW w:w="4818" w:type="dxa"/>
          </w:tcPr>
          <w:p w14:paraId="45BDC12E" w14:textId="77777777" w:rsidR="00BD3916" w:rsidRPr="00286216" w:rsidRDefault="00BD3916" w:rsidP="00BD3916">
            <w:pPr>
              <w:pStyle w:val="StyleZakonu"/>
              <w:rPr>
                <w:color w:val="000000" w:themeColor="text1"/>
              </w:rPr>
            </w:pPr>
            <w:r w:rsidRPr="00286216">
              <w:rPr>
                <w:color w:val="000000" w:themeColor="text1"/>
              </w:rPr>
              <w:t>абзац другий частини першої викласти в такій редакції:</w:t>
            </w:r>
          </w:p>
        </w:tc>
        <w:tc>
          <w:tcPr>
            <w:tcW w:w="3686" w:type="dxa"/>
          </w:tcPr>
          <w:p w14:paraId="1BA8D81B" w14:textId="77777777" w:rsidR="00BD3916" w:rsidRPr="00286216" w:rsidRDefault="00BD3916" w:rsidP="00BD3916">
            <w:pPr>
              <w:pStyle w:val="StyleProp"/>
              <w:rPr>
                <w:color w:val="000000" w:themeColor="text1"/>
                <w:szCs w:val="18"/>
              </w:rPr>
            </w:pPr>
          </w:p>
        </w:tc>
        <w:tc>
          <w:tcPr>
            <w:tcW w:w="1987" w:type="dxa"/>
          </w:tcPr>
          <w:p w14:paraId="377747D8" w14:textId="77777777" w:rsidR="00BD3916" w:rsidRPr="00286216" w:rsidRDefault="00BD3916" w:rsidP="00BD3916">
            <w:pPr>
              <w:pStyle w:val="StyleWisnow"/>
              <w:rPr>
                <w:color w:val="000000" w:themeColor="text1"/>
              </w:rPr>
            </w:pPr>
          </w:p>
        </w:tc>
        <w:tc>
          <w:tcPr>
            <w:tcW w:w="4818" w:type="dxa"/>
          </w:tcPr>
          <w:p w14:paraId="760C009B" w14:textId="009F09ED" w:rsidR="00BD3916" w:rsidRPr="00286216" w:rsidRDefault="00BD3916" w:rsidP="00BD3916">
            <w:pPr>
              <w:pStyle w:val="StyleZakonu"/>
              <w:rPr>
                <w:color w:val="000000" w:themeColor="text1"/>
              </w:rPr>
            </w:pPr>
            <w:r w:rsidRPr="00286216">
              <w:rPr>
                <w:color w:val="000000" w:themeColor="text1"/>
              </w:rPr>
              <w:t>а) абзац другий частини першої викласти в такій редакції:</w:t>
            </w:r>
          </w:p>
        </w:tc>
      </w:tr>
      <w:tr w:rsidR="00BD3916" w:rsidRPr="00286216" w14:paraId="124000E7" w14:textId="77777777" w:rsidTr="00091AA5">
        <w:tc>
          <w:tcPr>
            <w:tcW w:w="576" w:type="dxa"/>
          </w:tcPr>
          <w:p w14:paraId="64BE94FC" w14:textId="77777777" w:rsidR="00BD3916" w:rsidRPr="00286216" w:rsidRDefault="00BD3916" w:rsidP="00BD3916">
            <w:pPr>
              <w:pStyle w:val="StyleWisnow"/>
              <w:rPr>
                <w:color w:val="000000" w:themeColor="text1"/>
              </w:rPr>
            </w:pPr>
            <w:bookmarkStart w:id="2750" w:name="n2878" w:colFirst="0" w:colLast="0"/>
            <w:bookmarkEnd w:id="2749"/>
            <w:r w:rsidRPr="00286216">
              <w:rPr>
                <w:color w:val="000000" w:themeColor="text1"/>
              </w:rPr>
              <w:t>2878.</w:t>
            </w:r>
          </w:p>
        </w:tc>
        <w:tc>
          <w:tcPr>
            <w:tcW w:w="4818" w:type="dxa"/>
          </w:tcPr>
          <w:p w14:paraId="7E667C95" w14:textId="77777777" w:rsidR="00BD3916" w:rsidRPr="00286216" w:rsidRDefault="00BD3916" w:rsidP="00BD3916">
            <w:pPr>
              <w:pStyle w:val="StyleZakonu"/>
              <w:rPr>
                <w:color w:val="000000" w:themeColor="text1"/>
              </w:rPr>
            </w:pPr>
            <w:r w:rsidRPr="00286216">
              <w:rPr>
                <w:color w:val="000000" w:themeColor="text1"/>
              </w:rPr>
              <w:t>"державне регулювання ринків капіталу та організованих товарних ринків - здійснення державою, в особі Національної комісії з цінних паперів та фондового ринку, комплексних заходів щодо упорядкування, контролю, нагляду за ринками капіталу, регулювання правил функціонування організованих товарних ринків і провадження клірингової діяльності щодо правочинів, вчинених на таких ринках, а також заходів щодо запобігання і протидії зловживанням і порушенням на ринках капіталу та організованих товарних ринках; ";</w:t>
            </w:r>
          </w:p>
        </w:tc>
        <w:tc>
          <w:tcPr>
            <w:tcW w:w="3686" w:type="dxa"/>
          </w:tcPr>
          <w:p w14:paraId="3CC655B1" w14:textId="52E17E72" w:rsidR="00BD3916" w:rsidRPr="00286216" w:rsidRDefault="00BD3916" w:rsidP="00BD3916">
            <w:pPr>
              <w:pStyle w:val="StyleAwt"/>
              <w:rPr>
                <w:color w:val="000000" w:themeColor="text1"/>
                <w:spacing w:val="-4"/>
              </w:rPr>
            </w:pPr>
            <w:r w:rsidRPr="00286216">
              <w:rPr>
                <w:color w:val="000000" w:themeColor="text1"/>
                <w:spacing w:val="-4"/>
              </w:rPr>
              <w:t>-</w:t>
            </w:r>
            <w:r w:rsidRPr="00286216">
              <w:rPr>
                <w:color w:val="000000" w:themeColor="text1"/>
                <w:spacing w:val="-4"/>
              </w:rPr>
              <w:fldChar w:fldCharType="begin"/>
            </w:r>
            <w:r w:rsidRPr="00286216">
              <w:rPr>
                <w:color w:val="000000" w:themeColor="text1"/>
                <w:spacing w:val="-4"/>
              </w:rPr>
              <w:instrText xml:space="preserve"> SEQ aa </w:instrText>
            </w:r>
            <w:r w:rsidRPr="00286216">
              <w:rPr>
                <w:color w:val="000000" w:themeColor="text1"/>
                <w:spacing w:val="-4"/>
              </w:rPr>
              <w:fldChar w:fldCharType="separate"/>
            </w:r>
            <w:r w:rsidR="00C46B29">
              <w:rPr>
                <w:noProof/>
                <w:color w:val="000000" w:themeColor="text1"/>
                <w:spacing w:val="-4"/>
              </w:rPr>
              <w:t>1272</w:t>
            </w:r>
            <w:r w:rsidRPr="00286216">
              <w:rPr>
                <w:color w:val="000000" w:themeColor="text1"/>
                <w:spacing w:val="-4"/>
              </w:rPr>
              <w:fldChar w:fldCharType="end"/>
            </w:r>
            <w:r w:rsidRPr="00286216">
              <w:rPr>
                <w:color w:val="000000" w:themeColor="text1"/>
                <w:spacing w:val="-4"/>
              </w:rPr>
              <w:t>-Н.д.Шахов С.В. (Реєстр.картка №114)</w:t>
            </w:r>
          </w:p>
          <w:p w14:paraId="1FD240FE" w14:textId="77777777" w:rsidR="00BD3916" w:rsidRPr="00286216" w:rsidRDefault="00BD3916" w:rsidP="00BD3916">
            <w:pPr>
              <w:spacing w:line="200" w:lineRule="exact"/>
              <w:ind w:firstLine="227"/>
              <w:jc w:val="both"/>
              <w:rPr>
                <w:color w:val="000000" w:themeColor="text1"/>
                <w:sz w:val="18"/>
              </w:rPr>
            </w:pPr>
            <w:r w:rsidRPr="00286216">
              <w:rPr>
                <w:color w:val="000000" w:themeColor="text1"/>
                <w:sz w:val="18"/>
              </w:rPr>
              <w:t>Абзац 4 підпункту 3 пункту 17 (зміни до Закону України «Про державне регулювання ринку цінних паперів в Україні») після слів "фондового ринку" доповнити словами "та інших державних органів в межах їх повноважень, визначених законом".</w:t>
            </w:r>
          </w:p>
        </w:tc>
        <w:tc>
          <w:tcPr>
            <w:tcW w:w="1987" w:type="dxa"/>
          </w:tcPr>
          <w:p w14:paraId="60141402" w14:textId="77777777" w:rsidR="00BD3916" w:rsidRPr="00286216" w:rsidRDefault="00BD3916" w:rsidP="00BD3916">
            <w:pPr>
              <w:pStyle w:val="StyleWisnow"/>
              <w:rPr>
                <w:color w:val="000000" w:themeColor="text1"/>
              </w:rPr>
            </w:pPr>
            <w:r w:rsidRPr="00286216">
              <w:rPr>
                <w:color w:val="000000" w:themeColor="text1"/>
              </w:rPr>
              <w:t>Відхилено</w:t>
            </w:r>
          </w:p>
        </w:tc>
        <w:tc>
          <w:tcPr>
            <w:tcW w:w="4818" w:type="dxa"/>
          </w:tcPr>
          <w:p w14:paraId="7D50725B" w14:textId="0AE89786" w:rsidR="00BD3916" w:rsidRPr="00286216" w:rsidRDefault="00BD3916" w:rsidP="00BD3916">
            <w:pPr>
              <w:pStyle w:val="StyleZakonu"/>
              <w:rPr>
                <w:color w:val="000000" w:themeColor="text1"/>
              </w:rPr>
            </w:pPr>
            <w:r w:rsidRPr="00286216">
              <w:rPr>
                <w:color w:val="000000" w:themeColor="text1"/>
              </w:rPr>
              <w:t>"державне регулювання ринків капіталу та організованих товарних ринків - здійснення державою в особі Національної комісії з цінних паперів та фондового ринку комплексних заходів щодо упорядкування, контролю, нагляду за ринками капіталу, регулювання правил функціонування організованих товарних ринків і провадження клірингової діяльності щодо правочинів, вчинених на таких ринках, а також заходів щодо запобігання і протидії зловживанням і порушенням на ринках капіталу та організованих товарних ринках";</w:t>
            </w:r>
          </w:p>
        </w:tc>
      </w:tr>
      <w:tr w:rsidR="00826C07" w:rsidRPr="00286216" w14:paraId="0F0DE0C5" w14:textId="77777777" w:rsidTr="00091AA5">
        <w:tc>
          <w:tcPr>
            <w:tcW w:w="576" w:type="dxa"/>
          </w:tcPr>
          <w:p w14:paraId="3C6F4A80" w14:textId="77777777" w:rsidR="00826C07" w:rsidRPr="00286216" w:rsidRDefault="00826C07" w:rsidP="00826C07">
            <w:pPr>
              <w:pStyle w:val="StyleWisnow"/>
              <w:rPr>
                <w:color w:val="000000" w:themeColor="text1"/>
              </w:rPr>
            </w:pPr>
            <w:bookmarkStart w:id="2751" w:name="n2879" w:colFirst="0" w:colLast="0"/>
            <w:bookmarkEnd w:id="2750"/>
            <w:r w:rsidRPr="00286216">
              <w:rPr>
                <w:color w:val="000000" w:themeColor="text1"/>
              </w:rPr>
              <w:t>2879.</w:t>
            </w:r>
          </w:p>
        </w:tc>
        <w:tc>
          <w:tcPr>
            <w:tcW w:w="4818" w:type="dxa"/>
          </w:tcPr>
          <w:p w14:paraId="1489ED44" w14:textId="77777777" w:rsidR="00826C07" w:rsidRPr="00286216" w:rsidRDefault="00826C07" w:rsidP="00826C07">
            <w:pPr>
              <w:pStyle w:val="StyleZakonu"/>
              <w:rPr>
                <w:color w:val="000000" w:themeColor="text1"/>
              </w:rPr>
            </w:pPr>
            <w:r w:rsidRPr="00286216">
              <w:rPr>
                <w:color w:val="000000" w:themeColor="text1"/>
              </w:rPr>
              <w:t>виключити абзаци такого змісту:</w:t>
            </w:r>
          </w:p>
        </w:tc>
        <w:tc>
          <w:tcPr>
            <w:tcW w:w="3686" w:type="dxa"/>
          </w:tcPr>
          <w:p w14:paraId="0A5FF83D" w14:textId="76628632"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647FF35" w14:textId="6BDF8337" w:rsidR="00826C07" w:rsidRPr="00286216" w:rsidRDefault="00826C07" w:rsidP="00BD3916">
            <w:pPr>
              <w:pStyle w:val="StyleProp"/>
              <w:rPr>
                <w:color w:val="000000" w:themeColor="text1"/>
                <w:szCs w:val="18"/>
              </w:rPr>
            </w:pPr>
            <w:r w:rsidRPr="00286216">
              <w:rPr>
                <w:color w:val="000000" w:themeColor="text1"/>
                <w:szCs w:val="18"/>
              </w:rPr>
              <w:t>У підпункті 3 пункту 17 розділу 3 у підпункті «а» абзац четвертий виключити;</w:t>
            </w:r>
          </w:p>
        </w:tc>
        <w:tc>
          <w:tcPr>
            <w:tcW w:w="1987" w:type="dxa"/>
          </w:tcPr>
          <w:p w14:paraId="0316701F"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0ED7FCE7" w14:textId="77777777" w:rsidR="00826C07" w:rsidRPr="00286216" w:rsidRDefault="00826C07" w:rsidP="00826C07">
            <w:pPr>
              <w:pStyle w:val="StyleZakonu"/>
              <w:rPr>
                <w:color w:val="000000" w:themeColor="text1"/>
              </w:rPr>
            </w:pPr>
          </w:p>
        </w:tc>
      </w:tr>
      <w:tr w:rsidR="00826C07" w:rsidRPr="00286216" w14:paraId="0960B756" w14:textId="77777777" w:rsidTr="00091AA5">
        <w:tc>
          <w:tcPr>
            <w:tcW w:w="576" w:type="dxa"/>
          </w:tcPr>
          <w:p w14:paraId="2274AE8C" w14:textId="77777777" w:rsidR="00826C07" w:rsidRPr="00286216" w:rsidRDefault="00826C07" w:rsidP="00826C07">
            <w:pPr>
              <w:pStyle w:val="StyleWisnow"/>
              <w:rPr>
                <w:color w:val="000000" w:themeColor="text1"/>
              </w:rPr>
            </w:pPr>
            <w:bookmarkStart w:id="2752" w:name="n2880" w:colFirst="0" w:colLast="0"/>
            <w:bookmarkEnd w:id="2751"/>
            <w:r w:rsidRPr="00286216">
              <w:rPr>
                <w:color w:val="000000" w:themeColor="text1"/>
              </w:rPr>
              <w:t>2880.</w:t>
            </w:r>
          </w:p>
        </w:tc>
        <w:tc>
          <w:tcPr>
            <w:tcW w:w="4818" w:type="dxa"/>
          </w:tcPr>
          <w:p w14:paraId="7159078C" w14:textId="77777777" w:rsidR="00826C07" w:rsidRPr="00286216" w:rsidRDefault="00826C07" w:rsidP="00826C07">
            <w:pPr>
              <w:pStyle w:val="StyleZakonu"/>
              <w:rPr>
                <w:color w:val="000000" w:themeColor="text1"/>
              </w:rPr>
            </w:pPr>
            <w:r w:rsidRPr="00286216">
              <w:rPr>
                <w:color w:val="000000" w:themeColor="text1"/>
              </w:rPr>
              <w:t xml:space="preserve">"похідні цінні папери - цінні папери, механізм випуску та обігу яких пов'язаний з правом на придбання чи продаж протягом терміну, визначеного </w:t>
            </w:r>
            <w:r w:rsidRPr="00286216">
              <w:rPr>
                <w:color w:val="000000" w:themeColor="text1"/>
              </w:rPr>
              <w:lastRenderedPageBreak/>
              <w:t>договором (контрактом), цінних паперів, інших фінансових та/або товарних ресурсів; ";</w:t>
            </w:r>
          </w:p>
        </w:tc>
        <w:tc>
          <w:tcPr>
            <w:tcW w:w="3686" w:type="dxa"/>
          </w:tcPr>
          <w:p w14:paraId="7F838C21" w14:textId="244AFDC3" w:rsidR="00826C07" w:rsidRPr="00286216" w:rsidRDefault="00826C07" w:rsidP="00826C07">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84A20A8" w14:textId="78B9CA04" w:rsidR="00826C07" w:rsidRPr="00286216" w:rsidRDefault="00826C07" w:rsidP="00BD3916">
            <w:pPr>
              <w:pStyle w:val="StyleProp"/>
              <w:rPr>
                <w:color w:val="000000" w:themeColor="text1"/>
                <w:szCs w:val="18"/>
              </w:rPr>
            </w:pPr>
            <w:r w:rsidRPr="00286216">
              <w:rPr>
                <w:color w:val="000000" w:themeColor="text1"/>
                <w:szCs w:val="18"/>
              </w:rPr>
              <w:t>У підпункті 3 пункту 17 розділу 3у підпункті «а» абзац</w:t>
            </w:r>
            <w:r w:rsidR="00BD3916" w:rsidRPr="00286216">
              <w:rPr>
                <w:color w:val="000000" w:themeColor="text1"/>
                <w:szCs w:val="18"/>
              </w:rPr>
              <w:t xml:space="preserve"> 5</w:t>
            </w:r>
            <w:r w:rsidRPr="00286216">
              <w:rPr>
                <w:color w:val="000000" w:themeColor="text1"/>
                <w:szCs w:val="18"/>
              </w:rPr>
              <w:t xml:space="preserve">; </w:t>
            </w:r>
          </w:p>
        </w:tc>
        <w:tc>
          <w:tcPr>
            <w:tcW w:w="1987" w:type="dxa"/>
          </w:tcPr>
          <w:p w14:paraId="5ED39A48"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76D2A068" w14:textId="77777777" w:rsidR="00826C07" w:rsidRPr="00286216" w:rsidRDefault="00826C07" w:rsidP="00826C07">
            <w:pPr>
              <w:pStyle w:val="StyleZakonu"/>
              <w:rPr>
                <w:color w:val="000000" w:themeColor="text1"/>
              </w:rPr>
            </w:pPr>
          </w:p>
        </w:tc>
      </w:tr>
      <w:tr w:rsidR="00826C07" w:rsidRPr="00286216" w14:paraId="379DAD45" w14:textId="77777777" w:rsidTr="00091AA5">
        <w:tc>
          <w:tcPr>
            <w:tcW w:w="576" w:type="dxa"/>
          </w:tcPr>
          <w:p w14:paraId="5E6613F7" w14:textId="77777777" w:rsidR="00826C07" w:rsidRPr="00286216" w:rsidRDefault="00826C07" w:rsidP="00826C07">
            <w:pPr>
              <w:pStyle w:val="StyleWisnow"/>
              <w:rPr>
                <w:color w:val="000000" w:themeColor="text1"/>
              </w:rPr>
            </w:pPr>
            <w:bookmarkStart w:id="2753" w:name="n2881" w:colFirst="0" w:colLast="0"/>
            <w:bookmarkEnd w:id="2752"/>
            <w:r w:rsidRPr="00286216">
              <w:rPr>
                <w:color w:val="000000" w:themeColor="text1"/>
              </w:rPr>
              <w:t>2881.</w:t>
            </w:r>
          </w:p>
        </w:tc>
        <w:tc>
          <w:tcPr>
            <w:tcW w:w="4818" w:type="dxa"/>
          </w:tcPr>
          <w:p w14:paraId="0D18CDA4" w14:textId="77777777" w:rsidR="00826C07" w:rsidRPr="00286216" w:rsidRDefault="00826C07" w:rsidP="00826C07">
            <w:pPr>
              <w:pStyle w:val="StyleZakonu"/>
              <w:rPr>
                <w:color w:val="000000" w:themeColor="text1"/>
              </w:rPr>
            </w:pPr>
            <w:r w:rsidRPr="00286216">
              <w:rPr>
                <w:color w:val="000000" w:themeColor="text1"/>
              </w:rPr>
              <w:t>"професійні учасники ринку цінних паперів - особи, які здійснюють професійну діяльність на ринку цінних паперів; ";</w:t>
            </w:r>
          </w:p>
        </w:tc>
        <w:tc>
          <w:tcPr>
            <w:tcW w:w="3686" w:type="dxa"/>
          </w:tcPr>
          <w:p w14:paraId="0B95B711" w14:textId="54C84AC6"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CA30AFC" w14:textId="0A87F12B" w:rsidR="00826C07" w:rsidRPr="00286216" w:rsidRDefault="00826C07" w:rsidP="00BD3916">
            <w:pPr>
              <w:pStyle w:val="StyleProp"/>
              <w:rPr>
                <w:color w:val="000000" w:themeColor="text1"/>
                <w:szCs w:val="18"/>
              </w:rPr>
            </w:pPr>
            <w:r w:rsidRPr="00286216">
              <w:rPr>
                <w:color w:val="000000" w:themeColor="text1"/>
                <w:szCs w:val="18"/>
              </w:rPr>
              <w:t>У підпункті 3 пункту 17 розділу 3у підпункті «а» абзац</w:t>
            </w:r>
            <w:r w:rsidR="00BD3916" w:rsidRPr="00286216">
              <w:rPr>
                <w:color w:val="000000" w:themeColor="text1"/>
                <w:szCs w:val="18"/>
              </w:rPr>
              <w:t xml:space="preserve"> 6 </w:t>
            </w:r>
            <w:r w:rsidRPr="00286216">
              <w:rPr>
                <w:color w:val="000000" w:themeColor="text1"/>
                <w:szCs w:val="18"/>
              </w:rPr>
              <w:t xml:space="preserve">виключити; </w:t>
            </w:r>
          </w:p>
        </w:tc>
        <w:tc>
          <w:tcPr>
            <w:tcW w:w="1987" w:type="dxa"/>
          </w:tcPr>
          <w:p w14:paraId="75E9538A"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1336C7DA" w14:textId="77777777" w:rsidR="00826C07" w:rsidRPr="00286216" w:rsidRDefault="00826C07" w:rsidP="00826C07">
            <w:pPr>
              <w:pStyle w:val="StyleZakonu"/>
              <w:rPr>
                <w:color w:val="000000" w:themeColor="text1"/>
              </w:rPr>
            </w:pPr>
          </w:p>
        </w:tc>
      </w:tr>
      <w:tr w:rsidR="00826C07" w:rsidRPr="00286216" w14:paraId="5192AFE4" w14:textId="77777777" w:rsidTr="00091AA5">
        <w:tc>
          <w:tcPr>
            <w:tcW w:w="576" w:type="dxa"/>
          </w:tcPr>
          <w:p w14:paraId="370CF6F3" w14:textId="77777777" w:rsidR="00826C07" w:rsidRPr="00286216" w:rsidRDefault="00826C07" w:rsidP="00826C07">
            <w:pPr>
              <w:pStyle w:val="StyleWisnow"/>
              <w:rPr>
                <w:color w:val="000000" w:themeColor="text1"/>
              </w:rPr>
            </w:pPr>
            <w:bookmarkStart w:id="2754" w:name="n2882" w:colFirst="0" w:colLast="0"/>
            <w:bookmarkEnd w:id="2753"/>
            <w:r w:rsidRPr="00286216">
              <w:rPr>
                <w:color w:val="000000" w:themeColor="text1"/>
              </w:rPr>
              <w:t>2882.</w:t>
            </w:r>
          </w:p>
        </w:tc>
        <w:tc>
          <w:tcPr>
            <w:tcW w:w="4818" w:type="dxa"/>
          </w:tcPr>
          <w:p w14:paraId="076A9BAD" w14:textId="77777777" w:rsidR="00826C07" w:rsidRPr="00286216" w:rsidRDefault="00826C07" w:rsidP="00826C07">
            <w:pPr>
              <w:pStyle w:val="StyleZakonu"/>
              <w:rPr>
                <w:color w:val="000000" w:themeColor="text1"/>
              </w:rPr>
            </w:pPr>
            <w:r w:rsidRPr="00286216">
              <w:rPr>
                <w:color w:val="000000" w:themeColor="text1"/>
              </w:rPr>
              <w:t>"система депозитарного обліку цінних паперів - сукупність записів про цінні папери (вид, номінальна вартість і кількість, характер зареєстрованих обмежень в обігу або реалізації прав за цінними паперами), їх емітентів, власників іменних цінних паперів, уповноважених ними осіб, управителів, заставодержателів, інших осіб, наділених відповідними правами щодо цінних паперів, що містять інформацію, яка дає можливість ідентифікувати названих осіб, а також іншу передбачену законодавством інформацію; ";</w:t>
            </w:r>
          </w:p>
        </w:tc>
        <w:tc>
          <w:tcPr>
            <w:tcW w:w="3686" w:type="dxa"/>
          </w:tcPr>
          <w:p w14:paraId="1FE2F5B2" w14:textId="6F4481FA"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500E4C0" w14:textId="1C3BBFE3" w:rsidR="00826C07" w:rsidRPr="00286216" w:rsidRDefault="00826C07" w:rsidP="00BD3916">
            <w:pPr>
              <w:pStyle w:val="StyleProp"/>
              <w:rPr>
                <w:color w:val="000000" w:themeColor="text1"/>
                <w:szCs w:val="18"/>
              </w:rPr>
            </w:pPr>
            <w:r w:rsidRPr="00286216">
              <w:rPr>
                <w:color w:val="000000" w:themeColor="text1"/>
                <w:szCs w:val="18"/>
              </w:rPr>
              <w:t>У підпункті 3 пункту 17 розділу 3у підпункті «а» абзац</w:t>
            </w:r>
            <w:r w:rsidR="00BD3916" w:rsidRPr="00286216">
              <w:rPr>
                <w:color w:val="000000" w:themeColor="text1"/>
                <w:szCs w:val="18"/>
              </w:rPr>
              <w:t xml:space="preserve"> 7 </w:t>
            </w:r>
            <w:r w:rsidRPr="00286216">
              <w:rPr>
                <w:color w:val="000000" w:themeColor="text1"/>
                <w:szCs w:val="18"/>
              </w:rPr>
              <w:t xml:space="preserve">виключити; </w:t>
            </w:r>
          </w:p>
        </w:tc>
        <w:tc>
          <w:tcPr>
            <w:tcW w:w="1987" w:type="dxa"/>
          </w:tcPr>
          <w:p w14:paraId="7E546174"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062B98D4" w14:textId="77777777" w:rsidR="00826C07" w:rsidRPr="00286216" w:rsidRDefault="00826C07" w:rsidP="00826C07">
            <w:pPr>
              <w:pStyle w:val="StyleZakonu"/>
              <w:rPr>
                <w:color w:val="000000" w:themeColor="text1"/>
              </w:rPr>
            </w:pPr>
          </w:p>
        </w:tc>
      </w:tr>
      <w:tr w:rsidR="00826C07" w:rsidRPr="00286216" w14:paraId="5B1CE548" w14:textId="77777777" w:rsidTr="00091AA5">
        <w:tc>
          <w:tcPr>
            <w:tcW w:w="576" w:type="dxa"/>
          </w:tcPr>
          <w:p w14:paraId="0372A47C" w14:textId="77777777" w:rsidR="00826C07" w:rsidRPr="00286216" w:rsidRDefault="00826C07" w:rsidP="00826C07">
            <w:pPr>
              <w:pStyle w:val="StyleWisnow"/>
              <w:rPr>
                <w:color w:val="000000" w:themeColor="text1"/>
              </w:rPr>
            </w:pPr>
            <w:bookmarkStart w:id="2755" w:name="n2883" w:colFirst="0" w:colLast="0"/>
            <w:bookmarkEnd w:id="2754"/>
            <w:r w:rsidRPr="00286216">
              <w:rPr>
                <w:color w:val="000000" w:themeColor="text1"/>
              </w:rPr>
              <w:t>2883.</w:t>
            </w:r>
          </w:p>
        </w:tc>
        <w:tc>
          <w:tcPr>
            <w:tcW w:w="4818" w:type="dxa"/>
          </w:tcPr>
          <w:p w14:paraId="601CD6AD" w14:textId="77777777" w:rsidR="00826C07" w:rsidRPr="00286216" w:rsidRDefault="00826C07" w:rsidP="00826C07">
            <w:pPr>
              <w:pStyle w:val="StyleZakonu"/>
              <w:rPr>
                <w:color w:val="000000" w:themeColor="text1"/>
              </w:rPr>
            </w:pPr>
            <w:r w:rsidRPr="00286216">
              <w:rPr>
                <w:color w:val="000000" w:themeColor="text1"/>
              </w:rPr>
              <w:t>"система реєстру власників іменних цінних паперів (система реєстру) - сукупність даних, що забезпечує ідентифікацію зареєстрованих у цій системі власників, номінальних утримувачів та емітента, а також іменних цінних паперів, зареєстрованих на їх ім'я, облік усіх змін інформації щодо вищевказаних осіб та цінних паперів, одержання та надання інформації цим особам і складання реєстру власників іменних цінних паперів.";</w:t>
            </w:r>
          </w:p>
        </w:tc>
        <w:tc>
          <w:tcPr>
            <w:tcW w:w="3686" w:type="dxa"/>
          </w:tcPr>
          <w:p w14:paraId="4D649C70" w14:textId="27C5CAEE" w:rsidR="00826C07" w:rsidRPr="00286216" w:rsidRDefault="00826C07" w:rsidP="00826C0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C37CA67" w14:textId="3B3D22F5" w:rsidR="00826C07" w:rsidRPr="00286216" w:rsidRDefault="00826C07" w:rsidP="00BD3916">
            <w:pPr>
              <w:pStyle w:val="StyleProp"/>
              <w:rPr>
                <w:color w:val="000000" w:themeColor="text1"/>
                <w:szCs w:val="18"/>
              </w:rPr>
            </w:pPr>
            <w:r w:rsidRPr="00286216">
              <w:rPr>
                <w:color w:val="000000" w:themeColor="text1"/>
                <w:szCs w:val="18"/>
              </w:rPr>
              <w:t>У підпункті 3 пункту 17 розділу 3у підпункті «а» абзац</w:t>
            </w:r>
            <w:r w:rsidR="00BD3916" w:rsidRPr="00286216">
              <w:rPr>
                <w:color w:val="000000" w:themeColor="text1"/>
                <w:szCs w:val="18"/>
              </w:rPr>
              <w:t xml:space="preserve"> </w:t>
            </w:r>
            <w:r w:rsidRPr="00286216">
              <w:rPr>
                <w:color w:val="000000" w:themeColor="text1"/>
                <w:szCs w:val="18"/>
              </w:rPr>
              <w:t xml:space="preserve">восьмий виключити; </w:t>
            </w:r>
          </w:p>
        </w:tc>
        <w:tc>
          <w:tcPr>
            <w:tcW w:w="1987" w:type="dxa"/>
          </w:tcPr>
          <w:p w14:paraId="135CA351" w14:textId="77777777" w:rsidR="00826C07" w:rsidRPr="00286216" w:rsidRDefault="00826C07" w:rsidP="00826C07">
            <w:pPr>
              <w:pStyle w:val="StyleWisnow"/>
              <w:rPr>
                <w:color w:val="000000" w:themeColor="text1"/>
              </w:rPr>
            </w:pPr>
            <w:r w:rsidRPr="00286216">
              <w:rPr>
                <w:color w:val="000000" w:themeColor="text1"/>
              </w:rPr>
              <w:t>Враховано</w:t>
            </w:r>
          </w:p>
        </w:tc>
        <w:tc>
          <w:tcPr>
            <w:tcW w:w="4818" w:type="dxa"/>
          </w:tcPr>
          <w:p w14:paraId="63F2225B" w14:textId="77777777" w:rsidR="00826C07" w:rsidRPr="00286216" w:rsidRDefault="00826C07" w:rsidP="00826C07">
            <w:pPr>
              <w:pStyle w:val="StyleZakonu"/>
              <w:rPr>
                <w:color w:val="000000" w:themeColor="text1"/>
              </w:rPr>
            </w:pPr>
          </w:p>
        </w:tc>
      </w:tr>
      <w:tr w:rsidR="004F1E44" w:rsidRPr="00286216" w14:paraId="1CCF010E" w14:textId="77777777" w:rsidTr="00091AA5">
        <w:tc>
          <w:tcPr>
            <w:tcW w:w="576" w:type="dxa"/>
          </w:tcPr>
          <w:p w14:paraId="7E94EE64" w14:textId="77777777" w:rsidR="004F1E44" w:rsidRPr="00286216" w:rsidRDefault="004F1E44" w:rsidP="004F1E44">
            <w:pPr>
              <w:pStyle w:val="StyleWisnow"/>
              <w:rPr>
                <w:color w:val="000000" w:themeColor="text1"/>
              </w:rPr>
            </w:pPr>
            <w:bookmarkStart w:id="2756" w:name="n2884" w:colFirst="0" w:colLast="0"/>
            <w:bookmarkEnd w:id="2755"/>
            <w:r w:rsidRPr="00286216">
              <w:rPr>
                <w:color w:val="000000" w:themeColor="text1"/>
              </w:rPr>
              <w:t>2884.</w:t>
            </w:r>
          </w:p>
        </w:tc>
        <w:tc>
          <w:tcPr>
            <w:tcW w:w="4818" w:type="dxa"/>
          </w:tcPr>
          <w:p w14:paraId="328A8078" w14:textId="77777777" w:rsidR="004F1E44" w:rsidRPr="00286216" w:rsidRDefault="004F1E44" w:rsidP="004F1E44">
            <w:pPr>
              <w:pStyle w:val="StyleZakonu"/>
              <w:rPr>
                <w:color w:val="000000" w:themeColor="text1"/>
              </w:rPr>
            </w:pPr>
            <w:r w:rsidRPr="00286216">
              <w:rPr>
                <w:color w:val="000000" w:themeColor="text1"/>
              </w:rPr>
              <w:t>б) частину другу викласти в такій редакції:</w:t>
            </w:r>
          </w:p>
        </w:tc>
        <w:tc>
          <w:tcPr>
            <w:tcW w:w="3686" w:type="dxa"/>
          </w:tcPr>
          <w:p w14:paraId="066F451A" w14:textId="239EA217"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5BAB130" w14:textId="5BEFE365" w:rsidR="004F1E44" w:rsidRPr="00286216" w:rsidRDefault="004F1E44" w:rsidP="004F1E44">
            <w:pPr>
              <w:pStyle w:val="StyleProp"/>
              <w:spacing w:line="180" w:lineRule="exact"/>
              <w:rPr>
                <w:color w:val="000000" w:themeColor="text1"/>
                <w:szCs w:val="18"/>
              </w:rPr>
            </w:pPr>
            <w:r w:rsidRPr="00286216">
              <w:rPr>
                <w:color w:val="000000" w:themeColor="text1"/>
                <w:szCs w:val="18"/>
              </w:rPr>
              <w:t>У підпункті 3 пункту 17 розділу 3у підпункті «б» слова «викласти в такій редакції» замінити словами «доповнити новим абзацом такого змісту» та абзаци третій та четвертий виключити.</w:t>
            </w:r>
          </w:p>
        </w:tc>
        <w:tc>
          <w:tcPr>
            <w:tcW w:w="1987" w:type="dxa"/>
          </w:tcPr>
          <w:p w14:paraId="162C67DD" w14:textId="77777777" w:rsidR="004F1E44" w:rsidRPr="00286216" w:rsidRDefault="004F1E44" w:rsidP="00CF4212">
            <w:pPr>
              <w:pStyle w:val="StyleWisnow"/>
              <w:spacing w:line="200" w:lineRule="exact"/>
              <w:rPr>
                <w:color w:val="000000" w:themeColor="text1"/>
              </w:rPr>
            </w:pPr>
            <w:r w:rsidRPr="00286216">
              <w:rPr>
                <w:color w:val="000000" w:themeColor="text1"/>
              </w:rPr>
              <w:t>Відхилено</w:t>
            </w:r>
          </w:p>
          <w:p w14:paraId="409952A4" w14:textId="1CF39001" w:rsidR="004F1E44" w:rsidRPr="00286216" w:rsidRDefault="004F1E44" w:rsidP="00CF4212">
            <w:pPr>
              <w:pStyle w:val="StyleWisnow"/>
              <w:spacing w:line="200" w:lineRule="exact"/>
              <w:rPr>
                <w:color w:val="000000" w:themeColor="text1"/>
              </w:rPr>
            </w:pPr>
            <w:r w:rsidRPr="00286216">
              <w:rPr>
                <w:color w:val="000000" w:themeColor="text1"/>
              </w:rPr>
              <w:t>використання даних термінів передбачено в законі</w:t>
            </w:r>
          </w:p>
        </w:tc>
        <w:tc>
          <w:tcPr>
            <w:tcW w:w="4818" w:type="dxa"/>
          </w:tcPr>
          <w:p w14:paraId="550430BF" w14:textId="67F2CAAE" w:rsidR="004F1E44" w:rsidRPr="00286216" w:rsidRDefault="004F1E44" w:rsidP="004F1E44">
            <w:pPr>
              <w:pStyle w:val="StyleZakonu"/>
              <w:rPr>
                <w:color w:val="000000" w:themeColor="text1"/>
              </w:rPr>
            </w:pPr>
            <w:r w:rsidRPr="00286216">
              <w:rPr>
                <w:color w:val="000000" w:themeColor="text1"/>
              </w:rPr>
              <w:t>б) частину другу викласти в такій редакції:</w:t>
            </w:r>
          </w:p>
        </w:tc>
      </w:tr>
      <w:tr w:rsidR="004F1E44" w:rsidRPr="00286216" w14:paraId="7BC4F616" w14:textId="77777777" w:rsidTr="00091AA5">
        <w:tc>
          <w:tcPr>
            <w:tcW w:w="576" w:type="dxa"/>
          </w:tcPr>
          <w:p w14:paraId="4C683E9E" w14:textId="77777777" w:rsidR="004F1E44" w:rsidRPr="00286216" w:rsidRDefault="004F1E44" w:rsidP="004F1E44">
            <w:pPr>
              <w:pStyle w:val="StyleWisnow"/>
              <w:rPr>
                <w:color w:val="000000" w:themeColor="text1"/>
              </w:rPr>
            </w:pPr>
            <w:bookmarkStart w:id="2757" w:name="n2885" w:colFirst="0" w:colLast="0"/>
            <w:bookmarkEnd w:id="2756"/>
            <w:r w:rsidRPr="00286216">
              <w:rPr>
                <w:color w:val="000000" w:themeColor="text1"/>
              </w:rPr>
              <w:t>2885.</w:t>
            </w:r>
          </w:p>
        </w:tc>
        <w:tc>
          <w:tcPr>
            <w:tcW w:w="4818" w:type="dxa"/>
          </w:tcPr>
          <w:p w14:paraId="563706A5" w14:textId="77777777" w:rsidR="004F1E44" w:rsidRPr="00286216" w:rsidRDefault="004F1E44" w:rsidP="004F1E44">
            <w:pPr>
              <w:pStyle w:val="StyleZakonu"/>
              <w:rPr>
                <w:color w:val="000000" w:themeColor="text1"/>
              </w:rPr>
            </w:pPr>
            <w:r w:rsidRPr="00286216">
              <w:rPr>
                <w:color w:val="000000" w:themeColor="text1"/>
              </w:rPr>
              <w:t xml:space="preserve">"Терміни "адміністратор за випуском облігацій", "актив, допущений до торгів на організованому ринку", "деривативний контракт", "збори власників облігацій", "інвестор в фінансові інструменти", "оператор організованого ринку", "організований товарний ринок", "особа, відповідальна за проведення зборів власників облігацій", "особа, яка здійснює управлінські функції", "проспект цінних паперів", "професійний учасник ринків капіталу", "професійний учасник організованих товарних ринків", "ринки капіталу", "системно важливий професійний учасник ринків капіталу та організованих товарних ринків", "учасники ринків капіталу", "фінансові інструменти" </w:t>
            </w:r>
            <w:r w:rsidRPr="00286216">
              <w:rPr>
                <w:color w:val="000000" w:themeColor="text1"/>
              </w:rPr>
              <w:lastRenderedPageBreak/>
              <w:t>вживаються у цьому Законі у значенні, наведеному у Законі України "Про ринки капіталу та організовані товарні ринки".</w:t>
            </w:r>
          </w:p>
        </w:tc>
        <w:tc>
          <w:tcPr>
            <w:tcW w:w="3686" w:type="dxa"/>
          </w:tcPr>
          <w:p w14:paraId="1806BA37" w14:textId="4A5BACC8" w:rsidR="004F1E44" w:rsidRPr="00286216" w:rsidRDefault="004F1E44" w:rsidP="004F1E44">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1279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5229464" w14:textId="77777777" w:rsidR="004F1E44" w:rsidRPr="00286216" w:rsidRDefault="004F1E44" w:rsidP="004F1E44">
            <w:pPr>
              <w:pStyle w:val="StyleProp"/>
              <w:rPr>
                <w:color w:val="000000" w:themeColor="text1"/>
                <w:szCs w:val="18"/>
              </w:rPr>
            </w:pPr>
            <w:r w:rsidRPr="00286216">
              <w:rPr>
                <w:color w:val="000000" w:themeColor="text1"/>
                <w:szCs w:val="18"/>
              </w:rPr>
              <w:t>Другий абзац підпункту «б» підпункту 3 пункту 17 після слів «особа, яка здійснює управлінські функції» доповнити словами «офіційний канал зв’язку».</w:t>
            </w:r>
          </w:p>
          <w:p w14:paraId="2AA393F3" w14:textId="77777777" w:rsidR="004F1E44" w:rsidRPr="00286216" w:rsidRDefault="004F1E44" w:rsidP="004F1E44">
            <w:pPr>
              <w:pStyle w:val="StyleProp"/>
              <w:rPr>
                <w:color w:val="000000" w:themeColor="text1"/>
                <w:szCs w:val="18"/>
              </w:rPr>
            </w:pPr>
          </w:p>
          <w:p w14:paraId="606FA006" w14:textId="38B650F9" w:rsidR="004F1E44" w:rsidRPr="00286216" w:rsidRDefault="004F1E44" w:rsidP="004F1E4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1280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55B02B6" w14:textId="77777777" w:rsidR="004F1E44" w:rsidRPr="00286216" w:rsidRDefault="004F1E44" w:rsidP="004F1E4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7F83D59B" w14:textId="77777777" w:rsidR="004F1E44" w:rsidRPr="00286216" w:rsidRDefault="004F1E44" w:rsidP="004F1E44">
            <w:pPr>
              <w:pStyle w:val="StyleProp"/>
              <w:rPr>
                <w:color w:val="000000" w:themeColor="text1"/>
                <w:szCs w:val="18"/>
              </w:rPr>
            </w:pPr>
            <w:r w:rsidRPr="00286216">
              <w:rPr>
                <w:color w:val="000000" w:themeColor="text1"/>
                <w:szCs w:val="18"/>
              </w:rPr>
              <w:t xml:space="preserve">У другому абзаці підпункту «б» підпункту 3 пункту 17 слова </w:t>
            </w:r>
            <w:r w:rsidRPr="00286216">
              <w:rPr>
                <w:color w:val="000000" w:themeColor="text1"/>
              </w:rPr>
              <w:t>"організований товарний ринок"</w:t>
            </w:r>
            <w:r w:rsidRPr="00286216">
              <w:rPr>
                <w:color w:val="000000" w:themeColor="text1"/>
                <w:szCs w:val="18"/>
              </w:rPr>
              <w:t xml:space="preserve"> виключити.</w:t>
            </w:r>
            <w:r w:rsidRPr="00286216">
              <w:rPr>
                <w:color w:val="000000" w:themeColor="text1"/>
                <w:spacing w:val="-2"/>
              </w:rPr>
              <w:t>.</w:t>
            </w:r>
          </w:p>
        </w:tc>
        <w:tc>
          <w:tcPr>
            <w:tcW w:w="1987" w:type="dxa"/>
          </w:tcPr>
          <w:p w14:paraId="7FA6A52C" w14:textId="77777777" w:rsidR="004F1E44" w:rsidRPr="00286216" w:rsidRDefault="004F1E44" w:rsidP="004F1E44">
            <w:pPr>
              <w:pStyle w:val="StyleWisnow"/>
              <w:rPr>
                <w:color w:val="000000" w:themeColor="text1"/>
              </w:rPr>
            </w:pPr>
            <w:r w:rsidRPr="00286216">
              <w:rPr>
                <w:color w:val="000000" w:themeColor="text1"/>
              </w:rPr>
              <w:t>Враховано</w:t>
            </w:r>
          </w:p>
          <w:p w14:paraId="371B9194" w14:textId="77777777" w:rsidR="004F1E44" w:rsidRPr="00286216" w:rsidRDefault="004F1E44" w:rsidP="004F1E44">
            <w:pPr>
              <w:pStyle w:val="StyleWisnow"/>
              <w:rPr>
                <w:color w:val="000000" w:themeColor="text1"/>
              </w:rPr>
            </w:pPr>
          </w:p>
          <w:p w14:paraId="37ACB9B3" w14:textId="77777777" w:rsidR="004F1E44" w:rsidRPr="00286216" w:rsidRDefault="004F1E44" w:rsidP="004F1E44">
            <w:pPr>
              <w:pStyle w:val="StyleWisnow"/>
              <w:rPr>
                <w:color w:val="000000" w:themeColor="text1"/>
              </w:rPr>
            </w:pPr>
          </w:p>
          <w:p w14:paraId="785CE72F" w14:textId="77777777" w:rsidR="004F1E44" w:rsidRPr="00286216" w:rsidRDefault="004F1E44" w:rsidP="004F1E44">
            <w:pPr>
              <w:pStyle w:val="StyleWisnow"/>
              <w:rPr>
                <w:color w:val="000000" w:themeColor="text1"/>
              </w:rPr>
            </w:pPr>
          </w:p>
          <w:p w14:paraId="1F1DEA24" w14:textId="77777777" w:rsidR="004F1E44" w:rsidRPr="00286216" w:rsidRDefault="004F1E44" w:rsidP="004F1E44">
            <w:pPr>
              <w:pStyle w:val="StyleWisnow"/>
              <w:rPr>
                <w:color w:val="000000" w:themeColor="text1"/>
              </w:rPr>
            </w:pPr>
          </w:p>
          <w:p w14:paraId="59AC287D" w14:textId="77777777" w:rsidR="004F1E44" w:rsidRPr="00286216" w:rsidRDefault="004F1E44" w:rsidP="004F1E44">
            <w:pPr>
              <w:pStyle w:val="StyleWisnow"/>
              <w:rPr>
                <w:color w:val="000000" w:themeColor="text1"/>
              </w:rPr>
            </w:pPr>
          </w:p>
          <w:p w14:paraId="3C9A3334" w14:textId="77777777"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02AB2C09" w14:textId="5576511D" w:rsidR="004F1E44" w:rsidRPr="00286216" w:rsidRDefault="004F1E44" w:rsidP="004F1E44">
            <w:pPr>
              <w:pStyle w:val="StyleZakonu"/>
              <w:rPr>
                <w:color w:val="000000" w:themeColor="text1"/>
              </w:rPr>
            </w:pPr>
            <w:r w:rsidRPr="00286216">
              <w:rPr>
                <w:color w:val="000000" w:themeColor="text1"/>
              </w:rPr>
              <w:t>"Терміни "адміністратор за випуском облігацій", "актив, допущений до торгів на організованому ринку", "деривативний контракт", "збори власників облігацій", "інвестор в фінансові інструменти", "оператор організованого ринку", "особа, відповідальна за проведення зборів власників облігацій", "особа, яка здійснює управлінські функції", "</w:t>
            </w:r>
            <w:r w:rsidRPr="00286216">
              <w:rPr>
                <w:color w:val="000000" w:themeColor="text1"/>
                <w:szCs w:val="18"/>
              </w:rPr>
              <w:t xml:space="preserve">офіційний канал зв’язку", </w:t>
            </w:r>
            <w:r w:rsidRPr="00286216">
              <w:rPr>
                <w:color w:val="000000" w:themeColor="text1"/>
              </w:rPr>
              <w:t xml:space="preserve">"проспект цінних паперів", "професійний учасник ринків капіталу", "професійний учасник організованих товарних ринків", "ринки капіталу", "системно важливий професійний учасник ринків капіталу та організованих товарних ринків", "учасники ринків </w:t>
            </w:r>
            <w:r w:rsidRPr="00286216">
              <w:rPr>
                <w:color w:val="000000" w:themeColor="text1"/>
              </w:rPr>
              <w:lastRenderedPageBreak/>
              <w:t>капіталу", "фінансові інструменти" вживаються у цьому Законі у значенні, наведеному  в Законі України "Про ринки капіталу та організовані товарні ринки".</w:t>
            </w:r>
          </w:p>
        </w:tc>
      </w:tr>
      <w:tr w:rsidR="004F1E44" w:rsidRPr="00286216" w14:paraId="2486070B" w14:textId="77777777" w:rsidTr="00091AA5">
        <w:tc>
          <w:tcPr>
            <w:tcW w:w="576" w:type="dxa"/>
          </w:tcPr>
          <w:p w14:paraId="4E219943" w14:textId="77777777" w:rsidR="004F1E44" w:rsidRPr="00286216" w:rsidRDefault="004F1E44" w:rsidP="004F1E44">
            <w:pPr>
              <w:pStyle w:val="StyleWisnow"/>
              <w:rPr>
                <w:color w:val="000000" w:themeColor="text1"/>
              </w:rPr>
            </w:pPr>
            <w:bookmarkStart w:id="2758" w:name="n2886" w:colFirst="0" w:colLast="0"/>
            <w:bookmarkEnd w:id="2757"/>
            <w:r w:rsidRPr="00286216">
              <w:rPr>
                <w:color w:val="000000" w:themeColor="text1"/>
              </w:rPr>
              <w:lastRenderedPageBreak/>
              <w:t>2886.</w:t>
            </w:r>
          </w:p>
        </w:tc>
        <w:tc>
          <w:tcPr>
            <w:tcW w:w="4818" w:type="dxa"/>
          </w:tcPr>
          <w:p w14:paraId="7A018610" w14:textId="77777777" w:rsidR="004F1E44" w:rsidRPr="00286216" w:rsidRDefault="004F1E44" w:rsidP="004F1E44">
            <w:pPr>
              <w:pStyle w:val="StyleZakonu"/>
              <w:rPr>
                <w:color w:val="000000" w:themeColor="text1"/>
              </w:rPr>
            </w:pPr>
            <w:r w:rsidRPr="00286216">
              <w:rPr>
                <w:color w:val="000000" w:themeColor="text1"/>
              </w:rPr>
              <w:t>Терміни "номінальний утримувач", "система депозитарного обліку" вживаються в цьому Законі у значенні, наведеному в Законі України "Про депозитарну систему України".</w:t>
            </w:r>
          </w:p>
        </w:tc>
        <w:tc>
          <w:tcPr>
            <w:tcW w:w="3686" w:type="dxa"/>
          </w:tcPr>
          <w:p w14:paraId="27811524" w14:textId="3E802A42"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1281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E14CD56" w14:textId="5842D91B" w:rsidR="004F1E44" w:rsidRPr="00286216" w:rsidRDefault="004F1E44" w:rsidP="00CF4212">
            <w:pPr>
              <w:pStyle w:val="StyleProp"/>
              <w:spacing w:line="180" w:lineRule="exact"/>
              <w:rPr>
                <w:color w:val="000000" w:themeColor="text1"/>
                <w:szCs w:val="18"/>
              </w:rPr>
            </w:pPr>
            <w:r w:rsidRPr="00286216">
              <w:rPr>
                <w:color w:val="000000" w:themeColor="text1"/>
                <w:szCs w:val="18"/>
              </w:rPr>
              <w:t>У підпункті 3 пункту 17 розділу 3 у підпункті «б» слова «викласти в такій редакції» замінити словами «доповнити новим абзацом такого змісту» та абзаци третій та четвертий виключити.</w:t>
            </w:r>
          </w:p>
        </w:tc>
        <w:tc>
          <w:tcPr>
            <w:tcW w:w="1987" w:type="dxa"/>
          </w:tcPr>
          <w:p w14:paraId="1F162C1E" w14:textId="77777777" w:rsidR="004F1E44" w:rsidRPr="00286216" w:rsidRDefault="004F1E44" w:rsidP="004F1E44">
            <w:pPr>
              <w:pStyle w:val="StyleWisnow"/>
              <w:rPr>
                <w:color w:val="000000" w:themeColor="text1"/>
              </w:rPr>
            </w:pPr>
            <w:r w:rsidRPr="00286216">
              <w:rPr>
                <w:color w:val="000000" w:themeColor="text1"/>
              </w:rPr>
              <w:t>Відхилено</w:t>
            </w:r>
          </w:p>
          <w:p w14:paraId="30A74681" w14:textId="178FCA4F" w:rsidR="004F1E44" w:rsidRPr="00286216" w:rsidRDefault="004F1E44" w:rsidP="004F1E44">
            <w:pPr>
              <w:pStyle w:val="StyleWisnow"/>
              <w:rPr>
                <w:color w:val="000000" w:themeColor="text1"/>
              </w:rPr>
            </w:pPr>
            <w:r w:rsidRPr="00286216">
              <w:rPr>
                <w:color w:val="000000" w:themeColor="text1"/>
              </w:rPr>
              <w:t>використання даних термінів передбачено в законі</w:t>
            </w:r>
          </w:p>
        </w:tc>
        <w:tc>
          <w:tcPr>
            <w:tcW w:w="4818" w:type="dxa"/>
          </w:tcPr>
          <w:p w14:paraId="1C4880E8" w14:textId="6192AADF" w:rsidR="004F1E44" w:rsidRPr="00286216" w:rsidRDefault="004F1E44" w:rsidP="004F1E44">
            <w:pPr>
              <w:pStyle w:val="StyleZakonu"/>
              <w:rPr>
                <w:color w:val="000000" w:themeColor="text1"/>
              </w:rPr>
            </w:pPr>
            <w:r w:rsidRPr="00286216">
              <w:rPr>
                <w:color w:val="000000" w:themeColor="text1"/>
              </w:rPr>
              <w:t>Терміни "номінальний утримувач", "система депозитарного обліку" вживаються у цьому Законі у значенні, наведеному в Законі України "Про депозитарну систему України".</w:t>
            </w:r>
          </w:p>
        </w:tc>
      </w:tr>
      <w:tr w:rsidR="004F1E44" w:rsidRPr="00286216" w14:paraId="79D06430" w14:textId="77777777" w:rsidTr="00091AA5">
        <w:tc>
          <w:tcPr>
            <w:tcW w:w="576" w:type="dxa"/>
          </w:tcPr>
          <w:p w14:paraId="44C904C4" w14:textId="77777777" w:rsidR="004F1E44" w:rsidRPr="00286216" w:rsidRDefault="004F1E44" w:rsidP="004F1E44">
            <w:pPr>
              <w:pStyle w:val="StyleWisnow"/>
              <w:rPr>
                <w:color w:val="000000" w:themeColor="text1"/>
              </w:rPr>
            </w:pPr>
            <w:bookmarkStart w:id="2759" w:name="n2887" w:colFirst="0" w:colLast="0"/>
            <w:bookmarkEnd w:id="2758"/>
            <w:r w:rsidRPr="00286216">
              <w:rPr>
                <w:color w:val="000000" w:themeColor="text1"/>
              </w:rPr>
              <w:t>2887.</w:t>
            </w:r>
          </w:p>
        </w:tc>
        <w:tc>
          <w:tcPr>
            <w:tcW w:w="4818" w:type="dxa"/>
          </w:tcPr>
          <w:p w14:paraId="6EC8AFE3" w14:textId="77777777" w:rsidR="004F1E44" w:rsidRPr="00286216" w:rsidRDefault="004F1E44" w:rsidP="004F1E44">
            <w:pPr>
              <w:pStyle w:val="StyleZakonu"/>
              <w:rPr>
                <w:color w:val="000000" w:themeColor="text1"/>
              </w:rPr>
            </w:pPr>
            <w:r w:rsidRPr="00286216">
              <w:rPr>
                <w:color w:val="000000" w:themeColor="text1"/>
              </w:rPr>
              <w:t>Термін "споживач фінансових послуг" вживається в цьому Законі у значенні, наведеному в Законі України "Про фінансові послуги та державне регулювання ринків фінансових послуг".</w:t>
            </w:r>
          </w:p>
        </w:tc>
        <w:tc>
          <w:tcPr>
            <w:tcW w:w="3686" w:type="dxa"/>
          </w:tcPr>
          <w:p w14:paraId="24108BC1" w14:textId="57038A6B"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1282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9CE415C" w14:textId="79D11A5B" w:rsidR="004F1E44" w:rsidRPr="00286216" w:rsidRDefault="004F1E44" w:rsidP="00CF4212">
            <w:pPr>
              <w:pStyle w:val="StyleProp"/>
              <w:spacing w:line="180" w:lineRule="exact"/>
              <w:rPr>
                <w:color w:val="000000" w:themeColor="text1"/>
                <w:szCs w:val="18"/>
              </w:rPr>
            </w:pPr>
            <w:r w:rsidRPr="00286216">
              <w:rPr>
                <w:color w:val="000000" w:themeColor="text1"/>
                <w:szCs w:val="18"/>
              </w:rPr>
              <w:t>У підпункті 3 пункту 17 розділу 3 у підпункті «б» слова «викласти в такій редакції» замінити словами «доповнити новим абзацом такого змісту» та абзаци третій та четвертий виключити.</w:t>
            </w:r>
          </w:p>
        </w:tc>
        <w:tc>
          <w:tcPr>
            <w:tcW w:w="1987" w:type="dxa"/>
          </w:tcPr>
          <w:p w14:paraId="68AE1C85" w14:textId="77777777" w:rsidR="004F1E44" w:rsidRPr="00286216" w:rsidRDefault="004F1E44" w:rsidP="004F1E44">
            <w:pPr>
              <w:pStyle w:val="StyleWisnow"/>
              <w:rPr>
                <w:color w:val="000000" w:themeColor="text1"/>
              </w:rPr>
            </w:pPr>
            <w:r w:rsidRPr="00286216">
              <w:rPr>
                <w:color w:val="000000" w:themeColor="text1"/>
              </w:rPr>
              <w:t>Відхилено</w:t>
            </w:r>
          </w:p>
          <w:p w14:paraId="7A88F9B2" w14:textId="77777777" w:rsidR="004F1E44" w:rsidRPr="00286216" w:rsidRDefault="004F1E44" w:rsidP="004F1E44">
            <w:pPr>
              <w:pStyle w:val="StyleWisnow"/>
              <w:rPr>
                <w:color w:val="000000" w:themeColor="text1"/>
              </w:rPr>
            </w:pPr>
            <w:r w:rsidRPr="00286216">
              <w:rPr>
                <w:color w:val="000000" w:themeColor="text1"/>
              </w:rPr>
              <w:t>Використання термінів передбачено в законі</w:t>
            </w:r>
          </w:p>
        </w:tc>
        <w:tc>
          <w:tcPr>
            <w:tcW w:w="4818" w:type="dxa"/>
          </w:tcPr>
          <w:p w14:paraId="73E02AA1" w14:textId="15640C59" w:rsidR="004F1E44" w:rsidRPr="00286216" w:rsidRDefault="004F1E44" w:rsidP="004F1E44">
            <w:pPr>
              <w:pStyle w:val="StyleZakonu"/>
              <w:rPr>
                <w:color w:val="000000" w:themeColor="text1"/>
              </w:rPr>
            </w:pPr>
            <w:r w:rsidRPr="00286216">
              <w:rPr>
                <w:color w:val="000000" w:themeColor="text1"/>
              </w:rPr>
              <w:t>Термін "споживач фінансових послуг" вживається у цьому Законі у значенні, наведеному в Законі України "Про фінансові послуги та державне регулювання ринків фінансових послуг";</w:t>
            </w:r>
          </w:p>
        </w:tc>
      </w:tr>
      <w:tr w:rsidR="004F1E44" w:rsidRPr="00286216" w14:paraId="1FF798E6" w14:textId="77777777" w:rsidTr="00091AA5">
        <w:tc>
          <w:tcPr>
            <w:tcW w:w="576" w:type="dxa"/>
          </w:tcPr>
          <w:p w14:paraId="4AA06F76" w14:textId="77777777" w:rsidR="004F1E44" w:rsidRPr="00286216" w:rsidRDefault="004F1E44" w:rsidP="004F1E44">
            <w:pPr>
              <w:pStyle w:val="StyleWisnow"/>
              <w:rPr>
                <w:color w:val="000000" w:themeColor="text1"/>
              </w:rPr>
            </w:pPr>
            <w:bookmarkStart w:id="2760" w:name="n2888" w:colFirst="0" w:colLast="0"/>
            <w:bookmarkEnd w:id="2759"/>
            <w:r w:rsidRPr="00286216">
              <w:rPr>
                <w:color w:val="000000" w:themeColor="text1"/>
              </w:rPr>
              <w:t>2888.</w:t>
            </w:r>
          </w:p>
        </w:tc>
        <w:tc>
          <w:tcPr>
            <w:tcW w:w="4818" w:type="dxa"/>
          </w:tcPr>
          <w:p w14:paraId="07E0DC9C" w14:textId="77777777" w:rsidR="004F1E44" w:rsidRPr="00286216" w:rsidRDefault="004F1E44" w:rsidP="004F1E44">
            <w:pPr>
              <w:pStyle w:val="StyleZakonu"/>
              <w:rPr>
                <w:color w:val="000000" w:themeColor="text1"/>
              </w:rPr>
            </w:pPr>
            <w:r w:rsidRPr="00286216">
              <w:rPr>
                <w:color w:val="000000" w:themeColor="text1"/>
              </w:rPr>
              <w:t>у статті 2:</w:t>
            </w:r>
          </w:p>
        </w:tc>
        <w:tc>
          <w:tcPr>
            <w:tcW w:w="3686" w:type="dxa"/>
          </w:tcPr>
          <w:p w14:paraId="587BFEDF" w14:textId="77777777" w:rsidR="004F1E44" w:rsidRPr="00286216" w:rsidRDefault="004F1E44" w:rsidP="004F1E44">
            <w:pPr>
              <w:pStyle w:val="StyleProp"/>
              <w:rPr>
                <w:color w:val="000000" w:themeColor="text1"/>
                <w:szCs w:val="18"/>
              </w:rPr>
            </w:pPr>
          </w:p>
        </w:tc>
        <w:tc>
          <w:tcPr>
            <w:tcW w:w="1987" w:type="dxa"/>
          </w:tcPr>
          <w:p w14:paraId="27EDA5AD" w14:textId="77777777" w:rsidR="004F1E44" w:rsidRPr="00286216" w:rsidRDefault="004F1E44" w:rsidP="004F1E44">
            <w:pPr>
              <w:pStyle w:val="StyleWisnow"/>
              <w:rPr>
                <w:color w:val="000000" w:themeColor="text1"/>
              </w:rPr>
            </w:pPr>
          </w:p>
        </w:tc>
        <w:tc>
          <w:tcPr>
            <w:tcW w:w="4818" w:type="dxa"/>
          </w:tcPr>
          <w:p w14:paraId="62F9B091" w14:textId="71099DB5" w:rsidR="004F1E44" w:rsidRPr="00286216" w:rsidRDefault="004F1E44" w:rsidP="004F1E44">
            <w:pPr>
              <w:pStyle w:val="StyleZakonu"/>
              <w:rPr>
                <w:color w:val="000000" w:themeColor="text1"/>
              </w:rPr>
            </w:pPr>
            <w:r w:rsidRPr="00286216">
              <w:rPr>
                <w:color w:val="000000" w:themeColor="text1"/>
              </w:rPr>
              <w:t>3) у статті 2:</w:t>
            </w:r>
          </w:p>
        </w:tc>
      </w:tr>
      <w:tr w:rsidR="004F1E44" w:rsidRPr="00286216" w14:paraId="3896B35A" w14:textId="77777777" w:rsidTr="00091AA5">
        <w:tc>
          <w:tcPr>
            <w:tcW w:w="576" w:type="dxa"/>
          </w:tcPr>
          <w:p w14:paraId="78B16A72" w14:textId="77777777" w:rsidR="004F1E44" w:rsidRPr="00286216" w:rsidRDefault="004F1E44" w:rsidP="004F1E44">
            <w:pPr>
              <w:pStyle w:val="StyleWisnow"/>
              <w:rPr>
                <w:color w:val="000000" w:themeColor="text1"/>
              </w:rPr>
            </w:pPr>
            <w:bookmarkStart w:id="2761" w:name="n2889" w:colFirst="0" w:colLast="0"/>
            <w:bookmarkEnd w:id="2760"/>
            <w:r w:rsidRPr="00286216">
              <w:rPr>
                <w:color w:val="000000" w:themeColor="text1"/>
              </w:rPr>
              <w:t>2889.</w:t>
            </w:r>
          </w:p>
        </w:tc>
        <w:tc>
          <w:tcPr>
            <w:tcW w:w="4818" w:type="dxa"/>
          </w:tcPr>
          <w:p w14:paraId="494D8EC6" w14:textId="77777777" w:rsidR="004F1E44" w:rsidRPr="00286216" w:rsidRDefault="004F1E44" w:rsidP="004F1E44">
            <w:pPr>
              <w:pStyle w:val="StyleZakonu"/>
              <w:rPr>
                <w:color w:val="000000" w:themeColor="text1"/>
              </w:rPr>
            </w:pPr>
            <w:r w:rsidRPr="00286216">
              <w:rPr>
                <w:color w:val="000000" w:themeColor="text1"/>
              </w:rPr>
              <w:t>а) у назві слова "ринку цінних паперів" замінити словами "ринків капіталу та організованих товарних ринків";</w:t>
            </w:r>
          </w:p>
        </w:tc>
        <w:tc>
          <w:tcPr>
            <w:tcW w:w="3686" w:type="dxa"/>
          </w:tcPr>
          <w:p w14:paraId="3F6B2968" w14:textId="77777777" w:rsidR="004F1E44" w:rsidRPr="00286216" w:rsidRDefault="004F1E44" w:rsidP="004F1E44">
            <w:pPr>
              <w:pStyle w:val="StyleProp"/>
              <w:rPr>
                <w:color w:val="000000" w:themeColor="text1"/>
                <w:szCs w:val="18"/>
              </w:rPr>
            </w:pPr>
          </w:p>
        </w:tc>
        <w:tc>
          <w:tcPr>
            <w:tcW w:w="1987" w:type="dxa"/>
          </w:tcPr>
          <w:p w14:paraId="0D204EB4" w14:textId="77777777" w:rsidR="004F1E44" w:rsidRPr="00286216" w:rsidRDefault="004F1E44" w:rsidP="004F1E44">
            <w:pPr>
              <w:pStyle w:val="StyleWisnow"/>
              <w:rPr>
                <w:color w:val="000000" w:themeColor="text1"/>
              </w:rPr>
            </w:pPr>
          </w:p>
        </w:tc>
        <w:tc>
          <w:tcPr>
            <w:tcW w:w="4818" w:type="dxa"/>
          </w:tcPr>
          <w:p w14:paraId="2B7813A7" w14:textId="69A612D1" w:rsidR="004F1E44" w:rsidRPr="00286216" w:rsidRDefault="004F1E44" w:rsidP="004F1E44">
            <w:pPr>
              <w:pStyle w:val="StyleZakonu"/>
              <w:rPr>
                <w:color w:val="000000" w:themeColor="text1"/>
              </w:rPr>
            </w:pPr>
            <w:r w:rsidRPr="00286216">
              <w:rPr>
                <w:color w:val="000000" w:themeColor="text1"/>
              </w:rPr>
              <w:t>а) у назві слова "ринку цінних паперів" замінити словами "ринків капіталу та організованих товарних ринків";</w:t>
            </w:r>
          </w:p>
        </w:tc>
      </w:tr>
      <w:tr w:rsidR="004F1E44" w:rsidRPr="00286216" w14:paraId="1E623A65" w14:textId="77777777" w:rsidTr="00091AA5">
        <w:tc>
          <w:tcPr>
            <w:tcW w:w="576" w:type="dxa"/>
          </w:tcPr>
          <w:p w14:paraId="086B5AB1" w14:textId="77777777" w:rsidR="004F1E44" w:rsidRPr="00286216" w:rsidRDefault="004F1E44" w:rsidP="004F1E44">
            <w:pPr>
              <w:pStyle w:val="StyleWisnow"/>
              <w:rPr>
                <w:color w:val="000000" w:themeColor="text1"/>
              </w:rPr>
            </w:pPr>
            <w:bookmarkStart w:id="2762" w:name="n2890" w:colFirst="0" w:colLast="0"/>
            <w:bookmarkEnd w:id="2761"/>
            <w:r w:rsidRPr="00286216">
              <w:rPr>
                <w:color w:val="000000" w:themeColor="text1"/>
              </w:rPr>
              <w:t>2890.</w:t>
            </w:r>
          </w:p>
        </w:tc>
        <w:tc>
          <w:tcPr>
            <w:tcW w:w="4818" w:type="dxa"/>
          </w:tcPr>
          <w:p w14:paraId="1982E75C" w14:textId="77777777" w:rsidR="004F1E44" w:rsidRPr="00286216" w:rsidRDefault="004F1E44" w:rsidP="004F1E44">
            <w:pPr>
              <w:pStyle w:val="StyleZakonu"/>
              <w:rPr>
                <w:color w:val="000000" w:themeColor="text1"/>
              </w:rPr>
            </w:pPr>
            <w:r w:rsidRPr="00286216">
              <w:rPr>
                <w:color w:val="000000" w:themeColor="text1"/>
              </w:rPr>
              <w:t>б) у частині першій:</w:t>
            </w:r>
          </w:p>
        </w:tc>
        <w:tc>
          <w:tcPr>
            <w:tcW w:w="3686" w:type="dxa"/>
          </w:tcPr>
          <w:p w14:paraId="4DF26A98" w14:textId="77777777" w:rsidR="004F1E44" w:rsidRPr="00286216" w:rsidRDefault="004F1E44" w:rsidP="004F1E44">
            <w:pPr>
              <w:pStyle w:val="StyleProp"/>
              <w:rPr>
                <w:color w:val="000000" w:themeColor="text1"/>
                <w:szCs w:val="18"/>
              </w:rPr>
            </w:pPr>
          </w:p>
        </w:tc>
        <w:tc>
          <w:tcPr>
            <w:tcW w:w="1987" w:type="dxa"/>
          </w:tcPr>
          <w:p w14:paraId="67F02F92" w14:textId="77777777" w:rsidR="004F1E44" w:rsidRPr="00286216" w:rsidRDefault="004F1E44" w:rsidP="004F1E44">
            <w:pPr>
              <w:pStyle w:val="StyleWisnow"/>
              <w:rPr>
                <w:color w:val="000000" w:themeColor="text1"/>
              </w:rPr>
            </w:pPr>
          </w:p>
        </w:tc>
        <w:tc>
          <w:tcPr>
            <w:tcW w:w="4818" w:type="dxa"/>
          </w:tcPr>
          <w:p w14:paraId="045DD287" w14:textId="0A61D709" w:rsidR="004F1E44" w:rsidRPr="00286216" w:rsidRDefault="004F1E44" w:rsidP="004F1E44">
            <w:pPr>
              <w:pStyle w:val="StyleZakonu"/>
              <w:rPr>
                <w:color w:val="000000" w:themeColor="text1"/>
              </w:rPr>
            </w:pPr>
            <w:r w:rsidRPr="00286216">
              <w:rPr>
                <w:color w:val="000000" w:themeColor="text1"/>
              </w:rPr>
              <w:t>б) у частині першій:</w:t>
            </w:r>
          </w:p>
        </w:tc>
      </w:tr>
      <w:tr w:rsidR="004F1E44" w:rsidRPr="00286216" w14:paraId="4F766118" w14:textId="77777777" w:rsidTr="00091AA5">
        <w:tc>
          <w:tcPr>
            <w:tcW w:w="576" w:type="dxa"/>
          </w:tcPr>
          <w:p w14:paraId="3966F4C1" w14:textId="77777777" w:rsidR="004F1E44" w:rsidRPr="00286216" w:rsidRDefault="004F1E44" w:rsidP="004F1E44">
            <w:pPr>
              <w:pStyle w:val="StyleWisnow"/>
              <w:rPr>
                <w:color w:val="000000" w:themeColor="text1"/>
              </w:rPr>
            </w:pPr>
            <w:bookmarkStart w:id="2763" w:name="n2891" w:colFirst="0" w:colLast="0"/>
            <w:bookmarkEnd w:id="2762"/>
            <w:r w:rsidRPr="00286216">
              <w:rPr>
                <w:color w:val="000000" w:themeColor="text1"/>
              </w:rPr>
              <w:t>2891.</w:t>
            </w:r>
          </w:p>
        </w:tc>
        <w:tc>
          <w:tcPr>
            <w:tcW w:w="4818" w:type="dxa"/>
          </w:tcPr>
          <w:p w14:paraId="3DC87591" w14:textId="77777777" w:rsidR="004F1E44" w:rsidRPr="00286216" w:rsidRDefault="004F1E44" w:rsidP="004F1E44">
            <w:pPr>
              <w:pStyle w:val="StyleZakonu"/>
              <w:rPr>
                <w:color w:val="000000" w:themeColor="text1"/>
              </w:rPr>
            </w:pPr>
            <w:r w:rsidRPr="00286216">
              <w:rPr>
                <w:color w:val="000000" w:themeColor="text1"/>
              </w:rPr>
              <w:t>в абзаці першому слова "ринку цінних паперів" замінити словами "ринків капіталу та організованих товарних ринків";</w:t>
            </w:r>
          </w:p>
        </w:tc>
        <w:tc>
          <w:tcPr>
            <w:tcW w:w="3686" w:type="dxa"/>
          </w:tcPr>
          <w:p w14:paraId="4E531344" w14:textId="77777777" w:rsidR="004F1E44" w:rsidRPr="00286216" w:rsidRDefault="004F1E44" w:rsidP="004F1E44">
            <w:pPr>
              <w:pStyle w:val="StyleProp"/>
              <w:rPr>
                <w:color w:val="000000" w:themeColor="text1"/>
                <w:szCs w:val="18"/>
              </w:rPr>
            </w:pPr>
          </w:p>
        </w:tc>
        <w:tc>
          <w:tcPr>
            <w:tcW w:w="1987" w:type="dxa"/>
          </w:tcPr>
          <w:p w14:paraId="6416FE81" w14:textId="77777777" w:rsidR="004F1E44" w:rsidRPr="00286216" w:rsidRDefault="004F1E44" w:rsidP="004F1E44">
            <w:pPr>
              <w:pStyle w:val="StyleWisnow"/>
              <w:rPr>
                <w:color w:val="000000" w:themeColor="text1"/>
              </w:rPr>
            </w:pPr>
          </w:p>
        </w:tc>
        <w:tc>
          <w:tcPr>
            <w:tcW w:w="4818" w:type="dxa"/>
          </w:tcPr>
          <w:p w14:paraId="612E7CCB" w14:textId="513C74B0" w:rsidR="004F1E44" w:rsidRPr="00286216" w:rsidRDefault="004F1E44" w:rsidP="004F1E44">
            <w:pPr>
              <w:pStyle w:val="StyleZakonu"/>
              <w:rPr>
                <w:color w:val="000000" w:themeColor="text1"/>
              </w:rPr>
            </w:pPr>
            <w:r w:rsidRPr="00286216">
              <w:rPr>
                <w:color w:val="000000" w:themeColor="text1"/>
              </w:rPr>
              <w:t>в абзаці першому слова "ринку цінних паперів" замінити словами "ринків капіталу та організованих товарних ринків";</w:t>
            </w:r>
          </w:p>
        </w:tc>
      </w:tr>
      <w:tr w:rsidR="004F1E44" w:rsidRPr="00286216" w14:paraId="01603FDF" w14:textId="77777777" w:rsidTr="00091AA5">
        <w:tc>
          <w:tcPr>
            <w:tcW w:w="576" w:type="dxa"/>
          </w:tcPr>
          <w:p w14:paraId="0B77BE66" w14:textId="77777777" w:rsidR="004F1E44" w:rsidRPr="00286216" w:rsidRDefault="004F1E44" w:rsidP="004F1E44">
            <w:pPr>
              <w:pStyle w:val="StyleWisnow"/>
              <w:rPr>
                <w:color w:val="000000" w:themeColor="text1"/>
              </w:rPr>
            </w:pPr>
            <w:bookmarkStart w:id="2764" w:name="n2892" w:colFirst="0" w:colLast="0"/>
            <w:bookmarkEnd w:id="2763"/>
            <w:r w:rsidRPr="00286216">
              <w:rPr>
                <w:color w:val="000000" w:themeColor="text1"/>
              </w:rPr>
              <w:t>2892.</w:t>
            </w:r>
          </w:p>
        </w:tc>
        <w:tc>
          <w:tcPr>
            <w:tcW w:w="4818" w:type="dxa"/>
          </w:tcPr>
          <w:p w14:paraId="0BCFF905" w14:textId="77777777" w:rsidR="004F1E44" w:rsidRPr="00286216" w:rsidRDefault="004F1E44" w:rsidP="004F1E44">
            <w:pPr>
              <w:pStyle w:val="StyleZakonu"/>
              <w:rPr>
                <w:color w:val="000000" w:themeColor="text1"/>
              </w:rPr>
            </w:pPr>
            <w:r w:rsidRPr="00286216">
              <w:rPr>
                <w:color w:val="000000" w:themeColor="text1"/>
              </w:rPr>
              <w:t>абзац другий викласти в такій редакції:</w:t>
            </w:r>
          </w:p>
        </w:tc>
        <w:tc>
          <w:tcPr>
            <w:tcW w:w="3686" w:type="dxa"/>
          </w:tcPr>
          <w:p w14:paraId="4490DD81" w14:textId="77777777" w:rsidR="004F1E44" w:rsidRPr="00286216" w:rsidRDefault="004F1E44" w:rsidP="004F1E44">
            <w:pPr>
              <w:pStyle w:val="StyleProp"/>
              <w:rPr>
                <w:color w:val="000000" w:themeColor="text1"/>
                <w:szCs w:val="18"/>
              </w:rPr>
            </w:pPr>
          </w:p>
        </w:tc>
        <w:tc>
          <w:tcPr>
            <w:tcW w:w="1987" w:type="dxa"/>
          </w:tcPr>
          <w:p w14:paraId="048E698B" w14:textId="77777777" w:rsidR="004F1E44" w:rsidRPr="00286216" w:rsidRDefault="004F1E44" w:rsidP="004F1E44">
            <w:pPr>
              <w:pStyle w:val="StyleWisnow"/>
              <w:rPr>
                <w:color w:val="000000" w:themeColor="text1"/>
              </w:rPr>
            </w:pPr>
          </w:p>
        </w:tc>
        <w:tc>
          <w:tcPr>
            <w:tcW w:w="4818" w:type="dxa"/>
          </w:tcPr>
          <w:p w14:paraId="6673BE81" w14:textId="403515E3" w:rsidR="004F1E44" w:rsidRPr="00286216" w:rsidRDefault="004F1E44" w:rsidP="004F1E44">
            <w:pPr>
              <w:pStyle w:val="StyleZakonu"/>
              <w:rPr>
                <w:color w:val="000000" w:themeColor="text1"/>
              </w:rPr>
            </w:pPr>
            <w:r w:rsidRPr="00286216">
              <w:rPr>
                <w:color w:val="000000" w:themeColor="text1"/>
              </w:rPr>
              <w:t>абзац другий викласти в такій редакції:</w:t>
            </w:r>
          </w:p>
        </w:tc>
      </w:tr>
      <w:tr w:rsidR="004F1E44" w:rsidRPr="00286216" w14:paraId="42CB07A4" w14:textId="77777777" w:rsidTr="00091AA5">
        <w:tc>
          <w:tcPr>
            <w:tcW w:w="576" w:type="dxa"/>
          </w:tcPr>
          <w:p w14:paraId="647EFBCA" w14:textId="77777777" w:rsidR="004F1E44" w:rsidRPr="00286216" w:rsidRDefault="004F1E44" w:rsidP="004F1E44">
            <w:pPr>
              <w:pStyle w:val="StyleWisnow"/>
              <w:rPr>
                <w:color w:val="000000" w:themeColor="text1"/>
              </w:rPr>
            </w:pPr>
            <w:bookmarkStart w:id="2765" w:name="n2893" w:colFirst="0" w:colLast="0"/>
            <w:bookmarkEnd w:id="2764"/>
            <w:r w:rsidRPr="00286216">
              <w:rPr>
                <w:color w:val="000000" w:themeColor="text1"/>
              </w:rPr>
              <w:t>2893.</w:t>
            </w:r>
          </w:p>
        </w:tc>
        <w:tc>
          <w:tcPr>
            <w:tcW w:w="4818" w:type="dxa"/>
          </w:tcPr>
          <w:p w14:paraId="768E73E9" w14:textId="77777777" w:rsidR="004F1E44" w:rsidRPr="00286216" w:rsidRDefault="004F1E44" w:rsidP="004F1E44">
            <w:pPr>
              <w:pStyle w:val="StyleZakonu"/>
              <w:rPr>
                <w:color w:val="000000" w:themeColor="text1"/>
              </w:rPr>
            </w:pPr>
            <w:r w:rsidRPr="00286216">
              <w:rPr>
                <w:color w:val="000000" w:themeColor="text1"/>
              </w:rPr>
              <w:t>"реалізації єдиної державної політики у сфері емісії (видачі) та обігу цінних паперів, укладення і виконання деривативних контрактів, вчинення правочинів щодо інших фінансових інструментів, а також організації діяльності професійних учасників організованих товарних ринків; ";</w:t>
            </w:r>
          </w:p>
        </w:tc>
        <w:tc>
          <w:tcPr>
            <w:tcW w:w="3686" w:type="dxa"/>
          </w:tcPr>
          <w:p w14:paraId="52019CCB" w14:textId="77777777" w:rsidR="004F1E44" w:rsidRPr="00286216" w:rsidRDefault="004F1E44" w:rsidP="004F1E44">
            <w:pPr>
              <w:pStyle w:val="StyleProp"/>
              <w:rPr>
                <w:color w:val="000000" w:themeColor="text1"/>
                <w:szCs w:val="18"/>
              </w:rPr>
            </w:pPr>
          </w:p>
        </w:tc>
        <w:tc>
          <w:tcPr>
            <w:tcW w:w="1987" w:type="dxa"/>
          </w:tcPr>
          <w:p w14:paraId="22E8E7FF" w14:textId="77777777" w:rsidR="004F1E44" w:rsidRPr="00286216" w:rsidRDefault="004F1E44" w:rsidP="004F1E44">
            <w:pPr>
              <w:pStyle w:val="StyleWisnow"/>
              <w:rPr>
                <w:color w:val="000000" w:themeColor="text1"/>
              </w:rPr>
            </w:pPr>
          </w:p>
        </w:tc>
        <w:tc>
          <w:tcPr>
            <w:tcW w:w="4818" w:type="dxa"/>
          </w:tcPr>
          <w:p w14:paraId="5C18E9B7" w14:textId="378EEA7F" w:rsidR="004F1E44" w:rsidRPr="00286216" w:rsidRDefault="004F1E44" w:rsidP="004F1E44">
            <w:pPr>
              <w:pStyle w:val="StyleZakonu"/>
              <w:rPr>
                <w:color w:val="000000" w:themeColor="text1"/>
              </w:rPr>
            </w:pPr>
            <w:r w:rsidRPr="00286216">
              <w:rPr>
                <w:color w:val="000000" w:themeColor="text1"/>
              </w:rPr>
              <w:t>"реалізації єдиної державної політики у сфері емісії (видачі) та обігу цінних паперів, укладення і виконання деривативних контрактів, вчинення правочинів щодо інших фінансових інструментів, а також організації діяльності професійних учасників організованих товарних ринків";</w:t>
            </w:r>
          </w:p>
        </w:tc>
      </w:tr>
      <w:tr w:rsidR="004F1E44" w:rsidRPr="00286216" w14:paraId="25855A13" w14:textId="77777777" w:rsidTr="00091AA5">
        <w:tc>
          <w:tcPr>
            <w:tcW w:w="576" w:type="dxa"/>
          </w:tcPr>
          <w:p w14:paraId="01F10994" w14:textId="77777777" w:rsidR="004F1E44" w:rsidRPr="00286216" w:rsidRDefault="004F1E44" w:rsidP="004F1E44">
            <w:pPr>
              <w:pStyle w:val="StyleWisnow"/>
              <w:rPr>
                <w:color w:val="000000" w:themeColor="text1"/>
              </w:rPr>
            </w:pPr>
            <w:bookmarkStart w:id="2766" w:name="n2894" w:colFirst="0" w:colLast="0"/>
            <w:bookmarkEnd w:id="2765"/>
            <w:r w:rsidRPr="00286216">
              <w:rPr>
                <w:color w:val="000000" w:themeColor="text1"/>
              </w:rPr>
              <w:t>2894.</w:t>
            </w:r>
          </w:p>
        </w:tc>
        <w:tc>
          <w:tcPr>
            <w:tcW w:w="4818" w:type="dxa"/>
          </w:tcPr>
          <w:p w14:paraId="170934EE" w14:textId="77777777" w:rsidR="004F1E44" w:rsidRPr="00286216" w:rsidRDefault="004F1E44" w:rsidP="004F1E44">
            <w:pPr>
              <w:pStyle w:val="StyleZakonu"/>
              <w:rPr>
                <w:color w:val="000000" w:themeColor="text1"/>
              </w:rPr>
            </w:pPr>
            <w:r w:rsidRPr="00286216">
              <w:rPr>
                <w:color w:val="000000" w:themeColor="text1"/>
              </w:rPr>
              <w:t>в абзаці третьому слова "ринку цінних паперів" замінити словами "ринків капіталу";</w:t>
            </w:r>
          </w:p>
        </w:tc>
        <w:tc>
          <w:tcPr>
            <w:tcW w:w="3686" w:type="dxa"/>
          </w:tcPr>
          <w:p w14:paraId="574050D9" w14:textId="77777777" w:rsidR="004F1E44" w:rsidRPr="00286216" w:rsidRDefault="004F1E44" w:rsidP="004F1E44">
            <w:pPr>
              <w:pStyle w:val="StyleProp"/>
              <w:rPr>
                <w:color w:val="000000" w:themeColor="text1"/>
                <w:szCs w:val="18"/>
              </w:rPr>
            </w:pPr>
          </w:p>
        </w:tc>
        <w:tc>
          <w:tcPr>
            <w:tcW w:w="1987" w:type="dxa"/>
          </w:tcPr>
          <w:p w14:paraId="596A8320" w14:textId="77777777" w:rsidR="004F1E44" w:rsidRPr="00286216" w:rsidRDefault="004F1E44" w:rsidP="004F1E44">
            <w:pPr>
              <w:pStyle w:val="StyleWisnow"/>
              <w:rPr>
                <w:color w:val="000000" w:themeColor="text1"/>
              </w:rPr>
            </w:pPr>
          </w:p>
        </w:tc>
        <w:tc>
          <w:tcPr>
            <w:tcW w:w="4818" w:type="dxa"/>
          </w:tcPr>
          <w:p w14:paraId="66354AD9" w14:textId="68F3E1B0" w:rsidR="004F1E44" w:rsidRPr="00286216" w:rsidRDefault="004F1E44" w:rsidP="004F1E44">
            <w:pPr>
              <w:pStyle w:val="StyleZakonu"/>
              <w:rPr>
                <w:color w:val="000000" w:themeColor="text1"/>
              </w:rPr>
            </w:pPr>
            <w:r w:rsidRPr="00286216">
              <w:rPr>
                <w:color w:val="000000" w:themeColor="text1"/>
              </w:rPr>
              <w:t>в абзаці третьому слова "ринку цінних паперів" замінити словами "ринків капіталу";</w:t>
            </w:r>
          </w:p>
        </w:tc>
      </w:tr>
      <w:tr w:rsidR="004F1E44" w:rsidRPr="00286216" w14:paraId="40388D67" w14:textId="77777777" w:rsidTr="00091AA5">
        <w:tc>
          <w:tcPr>
            <w:tcW w:w="576" w:type="dxa"/>
          </w:tcPr>
          <w:p w14:paraId="07DD4C52" w14:textId="77777777" w:rsidR="004F1E44" w:rsidRPr="00286216" w:rsidRDefault="004F1E44" w:rsidP="004F1E44">
            <w:pPr>
              <w:pStyle w:val="StyleWisnow"/>
              <w:rPr>
                <w:color w:val="000000" w:themeColor="text1"/>
              </w:rPr>
            </w:pPr>
            <w:bookmarkStart w:id="2767" w:name="n2895" w:colFirst="0" w:colLast="0"/>
            <w:bookmarkEnd w:id="2766"/>
            <w:r w:rsidRPr="00286216">
              <w:rPr>
                <w:color w:val="000000" w:themeColor="text1"/>
              </w:rPr>
              <w:t>2895.</w:t>
            </w:r>
          </w:p>
        </w:tc>
        <w:tc>
          <w:tcPr>
            <w:tcW w:w="4818" w:type="dxa"/>
          </w:tcPr>
          <w:p w14:paraId="4FC588DB" w14:textId="77777777" w:rsidR="004F1E44" w:rsidRPr="00286216" w:rsidRDefault="004F1E44" w:rsidP="004F1E44">
            <w:pPr>
              <w:pStyle w:val="StyleZakonu"/>
              <w:rPr>
                <w:color w:val="000000" w:themeColor="text1"/>
              </w:rPr>
            </w:pPr>
            <w:r w:rsidRPr="00286216">
              <w:rPr>
                <w:color w:val="000000" w:themeColor="text1"/>
              </w:rPr>
              <w:t>абзац четвертий викласти в такій редакції:</w:t>
            </w:r>
          </w:p>
        </w:tc>
        <w:tc>
          <w:tcPr>
            <w:tcW w:w="3686" w:type="dxa"/>
          </w:tcPr>
          <w:p w14:paraId="682013B2" w14:textId="77777777" w:rsidR="004F1E44" w:rsidRPr="00286216" w:rsidRDefault="004F1E44" w:rsidP="004F1E44">
            <w:pPr>
              <w:pStyle w:val="StyleProp"/>
              <w:rPr>
                <w:color w:val="000000" w:themeColor="text1"/>
                <w:szCs w:val="18"/>
              </w:rPr>
            </w:pPr>
          </w:p>
        </w:tc>
        <w:tc>
          <w:tcPr>
            <w:tcW w:w="1987" w:type="dxa"/>
          </w:tcPr>
          <w:p w14:paraId="31A08136" w14:textId="77777777" w:rsidR="004F1E44" w:rsidRPr="00286216" w:rsidRDefault="004F1E44" w:rsidP="004F1E44">
            <w:pPr>
              <w:pStyle w:val="StyleWisnow"/>
              <w:rPr>
                <w:color w:val="000000" w:themeColor="text1"/>
              </w:rPr>
            </w:pPr>
          </w:p>
        </w:tc>
        <w:tc>
          <w:tcPr>
            <w:tcW w:w="4818" w:type="dxa"/>
          </w:tcPr>
          <w:p w14:paraId="7589BD85" w14:textId="2327B781" w:rsidR="004F1E44" w:rsidRPr="00286216" w:rsidRDefault="004F1E44" w:rsidP="004F1E44">
            <w:pPr>
              <w:pStyle w:val="StyleZakonu"/>
              <w:rPr>
                <w:color w:val="000000" w:themeColor="text1"/>
              </w:rPr>
            </w:pPr>
            <w:r w:rsidRPr="00286216">
              <w:rPr>
                <w:color w:val="000000" w:themeColor="text1"/>
              </w:rPr>
              <w:t>абзаци четвертий і п’ятий викласти в такій редакції:</w:t>
            </w:r>
          </w:p>
        </w:tc>
      </w:tr>
      <w:tr w:rsidR="004F1E44" w:rsidRPr="00286216" w14:paraId="389D8F75" w14:textId="77777777" w:rsidTr="00091AA5">
        <w:tc>
          <w:tcPr>
            <w:tcW w:w="576" w:type="dxa"/>
          </w:tcPr>
          <w:p w14:paraId="54958C72" w14:textId="77777777" w:rsidR="004F1E44" w:rsidRPr="00286216" w:rsidRDefault="004F1E44" w:rsidP="004F1E44">
            <w:pPr>
              <w:pStyle w:val="StyleWisnow"/>
              <w:rPr>
                <w:color w:val="000000" w:themeColor="text1"/>
              </w:rPr>
            </w:pPr>
            <w:bookmarkStart w:id="2768" w:name="n2896" w:colFirst="0" w:colLast="0"/>
            <w:bookmarkEnd w:id="2767"/>
            <w:r w:rsidRPr="00286216">
              <w:rPr>
                <w:color w:val="000000" w:themeColor="text1"/>
              </w:rPr>
              <w:t>2896.</w:t>
            </w:r>
          </w:p>
        </w:tc>
        <w:tc>
          <w:tcPr>
            <w:tcW w:w="4818" w:type="dxa"/>
          </w:tcPr>
          <w:p w14:paraId="0839DE10" w14:textId="77777777" w:rsidR="004F1E44" w:rsidRPr="00286216" w:rsidRDefault="004F1E44" w:rsidP="004F1E44">
            <w:pPr>
              <w:pStyle w:val="StyleZakonu"/>
              <w:rPr>
                <w:color w:val="000000" w:themeColor="text1"/>
              </w:rPr>
            </w:pPr>
            <w:r w:rsidRPr="00286216">
              <w:rPr>
                <w:color w:val="000000" w:themeColor="text1"/>
              </w:rPr>
              <w:t>"забезпечення прозорості функціонування ринків капіталу, їх учасників та організованих товарних ринків; ";</w:t>
            </w:r>
          </w:p>
        </w:tc>
        <w:tc>
          <w:tcPr>
            <w:tcW w:w="3686" w:type="dxa"/>
          </w:tcPr>
          <w:p w14:paraId="2F08CDD3" w14:textId="77777777" w:rsidR="004F1E44" w:rsidRPr="00286216" w:rsidRDefault="004F1E44" w:rsidP="004F1E44">
            <w:pPr>
              <w:pStyle w:val="StyleProp"/>
              <w:rPr>
                <w:color w:val="000000" w:themeColor="text1"/>
                <w:szCs w:val="18"/>
              </w:rPr>
            </w:pPr>
          </w:p>
        </w:tc>
        <w:tc>
          <w:tcPr>
            <w:tcW w:w="1987" w:type="dxa"/>
          </w:tcPr>
          <w:p w14:paraId="7FCCF276" w14:textId="77777777" w:rsidR="004F1E44" w:rsidRPr="00286216" w:rsidRDefault="004F1E44" w:rsidP="004F1E44">
            <w:pPr>
              <w:pStyle w:val="StyleWisnow"/>
              <w:rPr>
                <w:color w:val="000000" w:themeColor="text1"/>
              </w:rPr>
            </w:pPr>
          </w:p>
        </w:tc>
        <w:tc>
          <w:tcPr>
            <w:tcW w:w="4818" w:type="dxa"/>
          </w:tcPr>
          <w:p w14:paraId="747E9EC3" w14:textId="2C1F7350" w:rsidR="004F1E44" w:rsidRPr="00286216" w:rsidRDefault="004F1E44" w:rsidP="004F1E44">
            <w:pPr>
              <w:pStyle w:val="StyleZakonu"/>
              <w:rPr>
                <w:color w:val="000000" w:themeColor="text1"/>
              </w:rPr>
            </w:pPr>
            <w:r w:rsidRPr="00286216">
              <w:rPr>
                <w:color w:val="000000" w:themeColor="text1"/>
              </w:rPr>
              <w:t>"забезпечення прозорості функціонування ринків капіталу, їх учасників та організованих товарних ринків;</w:t>
            </w:r>
          </w:p>
        </w:tc>
      </w:tr>
      <w:tr w:rsidR="004F1E44" w:rsidRPr="00286216" w14:paraId="5EFAECDC" w14:textId="77777777" w:rsidTr="00091AA5">
        <w:tc>
          <w:tcPr>
            <w:tcW w:w="576" w:type="dxa"/>
          </w:tcPr>
          <w:p w14:paraId="0F9555A5" w14:textId="77777777" w:rsidR="004F1E44" w:rsidRPr="00286216" w:rsidRDefault="004F1E44" w:rsidP="004F1E44">
            <w:pPr>
              <w:pStyle w:val="StyleWisnow"/>
              <w:rPr>
                <w:color w:val="000000" w:themeColor="text1"/>
              </w:rPr>
            </w:pPr>
            <w:bookmarkStart w:id="2769" w:name="n2897" w:colFirst="0" w:colLast="0"/>
            <w:bookmarkEnd w:id="2768"/>
            <w:r w:rsidRPr="00286216">
              <w:rPr>
                <w:color w:val="000000" w:themeColor="text1"/>
              </w:rPr>
              <w:t>2897.</w:t>
            </w:r>
          </w:p>
        </w:tc>
        <w:tc>
          <w:tcPr>
            <w:tcW w:w="4818" w:type="dxa"/>
          </w:tcPr>
          <w:p w14:paraId="6F03621F" w14:textId="77777777" w:rsidR="004F1E44" w:rsidRPr="00286216" w:rsidRDefault="004F1E44" w:rsidP="004F1E44">
            <w:pPr>
              <w:pStyle w:val="StyleZakonu"/>
              <w:rPr>
                <w:color w:val="000000" w:themeColor="text1"/>
              </w:rPr>
            </w:pPr>
            <w:r w:rsidRPr="00286216">
              <w:rPr>
                <w:color w:val="000000" w:themeColor="text1"/>
              </w:rPr>
              <w:t>абзац п’ятий викласти в такій редакції:</w:t>
            </w:r>
          </w:p>
        </w:tc>
        <w:tc>
          <w:tcPr>
            <w:tcW w:w="3686" w:type="dxa"/>
          </w:tcPr>
          <w:p w14:paraId="6FD82E87" w14:textId="77777777" w:rsidR="004F1E44" w:rsidRPr="00286216" w:rsidRDefault="004F1E44" w:rsidP="004F1E44">
            <w:pPr>
              <w:pStyle w:val="StyleProp"/>
              <w:rPr>
                <w:color w:val="000000" w:themeColor="text1"/>
                <w:szCs w:val="18"/>
              </w:rPr>
            </w:pPr>
          </w:p>
        </w:tc>
        <w:tc>
          <w:tcPr>
            <w:tcW w:w="1987" w:type="dxa"/>
          </w:tcPr>
          <w:p w14:paraId="537DE734" w14:textId="77777777" w:rsidR="004F1E44" w:rsidRPr="00286216" w:rsidRDefault="004F1E44" w:rsidP="004F1E44">
            <w:pPr>
              <w:pStyle w:val="StyleWisnow"/>
              <w:rPr>
                <w:color w:val="000000" w:themeColor="text1"/>
              </w:rPr>
            </w:pPr>
          </w:p>
        </w:tc>
        <w:tc>
          <w:tcPr>
            <w:tcW w:w="4818" w:type="dxa"/>
          </w:tcPr>
          <w:p w14:paraId="201BA0F7" w14:textId="4D97980E" w:rsidR="004F1E44" w:rsidRPr="00286216" w:rsidRDefault="004F1E44" w:rsidP="004F1E44">
            <w:pPr>
              <w:pStyle w:val="StyleZakonu"/>
              <w:rPr>
                <w:color w:val="000000" w:themeColor="text1"/>
              </w:rPr>
            </w:pPr>
          </w:p>
        </w:tc>
      </w:tr>
      <w:tr w:rsidR="004F1E44" w:rsidRPr="00286216" w14:paraId="3E23090F" w14:textId="77777777" w:rsidTr="00091AA5">
        <w:tc>
          <w:tcPr>
            <w:tcW w:w="576" w:type="dxa"/>
          </w:tcPr>
          <w:p w14:paraId="5B5D988D" w14:textId="77777777" w:rsidR="004F1E44" w:rsidRPr="00286216" w:rsidRDefault="004F1E44" w:rsidP="004F1E44">
            <w:pPr>
              <w:pStyle w:val="StyleWisnow"/>
              <w:rPr>
                <w:color w:val="000000" w:themeColor="text1"/>
              </w:rPr>
            </w:pPr>
            <w:bookmarkStart w:id="2770" w:name="n2898" w:colFirst="0" w:colLast="0"/>
            <w:bookmarkEnd w:id="2769"/>
            <w:r w:rsidRPr="00286216">
              <w:rPr>
                <w:color w:val="000000" w:themeColor="text1"/>
              </w:rPr>
              <w:t>2898.</w:t>
            </w:r>
          </w:p>
        </w:tc>
        <w:tc>
          <w:tcPr>
            <w:tcW w:w="4818" w:type="dxa"/>
          </w:tcPr>
          <w:p w14:paraId="30B230E4" w14:textId="77777777" w:rsidR="004F1E44" w:rsidRPr="00286216" w:rsidRDefault="004F1E44" w:rsidP="004F1E44">
            <w:pPr>
              <w:pStyle w:val="StyleZakonu"/>
              <w:rPr>
                <w:color w:val="000000" w:themeColor="text1"/>
              </w:rPr>
            </w:pPr>
            <w:r w:rsidRPr="00286216">
              <w:rPr>
                <w:color w:val="000000" w:themeColor="text1"/>
              </w:rPr>
              <w:t>"забезпечення рівних можливостей для доступу осіб, що мають намір провадити професійну діяльність на ринках капіталу та організованих товарних ринках, емітентів, та інвесторів до ринків капіталу та організованих товарних ринків";</w:t>
            </w:r>
          </w:p>
        </w:tc>
        <w:tc>
          <w:tcPr>
            <w:tcW w:w="3686" w:type="dxa"/>
          </w:tcPr>
          <w:p w14:paraId="3F0A623C" w14:textId="77777777" w:rsidR="004F1E44" w:rsidRPr="00286216" w:rsidRDefault="004F1E44" w:rsidP="004F1E44">
            <w:pPr>
              <w:pStyle w:val="StyleProp"/>
              <w:rPr>
                <w:color w:val="000000" w:themeColor="text1"/>
                <w:szCs w:val="18"/>
              </w:rPr>
            </w:pPr>
          </w:p>
        </w:tc>
        <w:tc>
          <w:tcPr>
            <w:tcW w:w="1987" w:type="dxa"/>
          </w:tcPr>
          <w:p w14:paraId="0C67759C" w14:textId="77777777" w:rsidR="004F1E44" w:rsidRPr="00286216" w:rsidRDefault="004F1E44" w:rsidP="004F1E44">
            <w:pPr>
              <w:pStyle w:val="StyleWisnow"/>
              <w:rPr>
                <w:color w:val="000000" w:themeColor="text1"/>
              </w:rPr>
            </w:pPr>
          </w:p>
        </w:tc>
        <w:tc>
          <w:tcPr>
            <w:tcW w:w="4818" w:type="dxa"/>
          </w:tcPr>
          <w:p w14:paraId="7817A508" w14:textId="6A57CEC5" w:rsidR="004F1E44" w:rsidRPr="00286216" w:rsidRDefault="004F1E44" w:rsidP="004F1E44">
            <w:pPr>
              <w:pStyle w:val="StyleZakonu"/>
              <w:rPr>
                <w:color w:val="000000" w:themeColor="text1"/>
              </w:rPr>
            </w:pPr>
            <w:r w:rsidRPr="00286216">
              <w:rPr>
                <w:color w:val="000000" w:themeColor="text1"/>
              </w:rPr>
              <w:t>забезпечення рівних можливостей для доступу осіб, що мають намір провадити професійну діяльність на ринках капіталу та організованих товарних ринках, емітентів, та інвесторів до ринків капіталу та організованих товарних ринків";</w:t>
            </w:r>
          </w:p>
        </w:tc>
      </w:tr>
      <w:tr w:rsidR="004F1E44" w:rsidRPr="00286216" w14:paraId="5DADDD08" w14:textId="77777777" w:rsidTr="00091AA5">
        <w:tc>
          <w:tcPr>
            <w:tcW w:w="576" w:type="dxa"/>
          </w:tcPr>
          <w:p w14:paraId="611F66AE" w14:textId="77777777" w:rsidR="004F1E44" w:rsidRPr="00286216" w:rsidRDefault="004F1E44" w:rsidP="004F1E44">
            <w:pPr>
              <w:pStyle w:val="StyleWisnow"/>
              <w:rPr>
                <w:color w:val="000000" w:themeColor="text1"/>
              </w:rPr>
            </w:pPr>
            <w:bookmarkStart w:id="2771" w:name="n2899" w:colFirst="0" w:colLast="0"/>
            <w:bookmarkEnd w:id="2770"/>
            <w:r w:rsidRPr="00286216">
              <w:rPr>
                <w:color w:val="000000" w:themeColor="text1"/>
              </w:rPr>
              <w:lastRenderedPageBreak/>
              <w:t>2899.</w:t>
            </w:r>
          </w:p>
        </w:tc>
        <w:tc>
          <w:tcPr>
            <w:tcW w:w="4818" w:type="dxa"/>
          </w:tcPr>
          <w:p w14:paraId="0CB30013" w14:textId="77777777" w:rsidR="004F1E44" w:rsidRPr="00286216" w:rsidRDefault="004F1E44" w:rsidP="004F1E44">
            <w:pPr>
              <w:pStyle w:val="StyleZakonu"/>
              <w:rPr>
                <w:color w:val="000000" w:themeColor="text1"/>
              </w:rPr>
            </w:pPr>
            <w:r w:rsidRPr="00286216">
              <w:rPr>
                <w:color w:val="000000" w:themeColor="text1"/>
              </w:rPr>
              <w:t>в абзаці сьомому слова "фондового ринку (у тому числі споживачів фінансових послуг) щодо фінансових послуг, які надаються особами, які здійснюють професійну діяльність на ринку цінних паперів" замінити словами "ринків капіталу (у тому числі споживачів фінансових послуг) щодо фінансових послуг, які надаються особами, які здійснюють професійну діяльність на ринку капіталу";</w:t>
            </w:r>
          </w:p>
        </w:tc>
        <w:tc>
          <w:tcPr>
            <w:tcW w:w="3686" w:type="dxa"/>
          </w:tcPr>
          <w:p w14:paraId="4A168ABB" w14:textId="77777777" w:rsidR="004F1E44" w:rsidRPr="00286216" w:rsidRDefault="004F1E44" w:rsidP="004F1E44">
            <w:pPr>
              <w:pStyle w:val="StyleProp"/>
              <w:rPr>
                <w:color w:val="000000" w:themeColor="text1"/>
                <w:szCs w:val="18"/>
              </w:rPr>
            </w:pPr>
          </w:p>
        </w:tc>
        <w:tc>
          <w:tcPr>
            <w:tcW w:w="1987" w:type="dxa"/>
          </w:tcPr>
          <w:p w14:paraId="5DD4F9C1" w14:textId="77777777" w:rsidR="004F1E44" w:rsidRPr="00286216" w:rsidRDefault="004F1E44" w:rsidP="004F1E44">
            <w:pPr>
              <w:pStyle w:val="StyleWisnow"/>
              <w:rPr>
                <w:color w:val="000000" w:themeColor="text1"/>
              </w:rPr>
            </w:pPr>
          </w:p>
        </w:tc>
        <w:tc>
          <w:tcPr>
            <w:tcW w:w="4818" w:type="dxa"/>
          </w:tcPr>
          <w:p w14:paraId="4E7E4870" w14:textId="4D028A81" w:rsidR="004F1E44" w:rsidRPr="00286216" w:rsidRDefault="004F1E44" w:rsidP="004F1E44">
            <w:pPr>
              <w:pStyle w:val="StyleZakonu"/>
              <w:rPr>
                <w:color w:val="000000" w:themeColor="text1"/>
              </w:rPr>
            </w:pPr>
            <w:r w:rsidRPr="00286216">
              <w:rPr>
                <w:color w:val="000000" w:themeColor="text1"/>
              </w:rPr>
              <w:t>в абзаці сьомому слова "фондового ринку (у тому числі споживачів фінансових послуг) щодо фінансових послуг, які надаються особами, які здійснюють професійну діяльність на ринку цінних паперів" замінити словами "ринків капіталу (у тому числі споживачів фінансових послуг) щодо фінансових послуг, які надаються особами, які  провадять професійну діяльність на ринку капіталу";</w:t>
            </w:r>
          </w:p>
        </w:tc>
      </w:tr>
      <w:tr w:rsidR="004F1E44" w:rsidRPr="00286216" w14:paraId="1381E595" w14:textId="77777777" w:rsidTr="00091AA5">
        <w:tc>
          <w:tcPr>
            <w:tcW w:w="576" w:type="dxa"/>
          </w:tcPr>
          <w:p w14:paraId="72056EC5" w14:textId="77777777" w:rsidR="004F1E44" w:rsidRPr="00286216" w:rsidRDefault="004F1E44" w:rsidP="004F1E44">
            <w:pPr>
              <w:pStyle w:val="StyleWisnow"/>
              <w:rPr>
                <w:color w:val="000000" w:themeColor="text1"/>
              </w:rPr>
            </w:pPr>
            <w:bookmarkStart w:id="2772" w:name="n2900" w:colFirst="0" w:colLast="0"/>
            <w:bookmarkEnd w:id="2771"/>
            <w:r w:rsidRPr="00286216">
              <w:rPr>
                <w:color w:val="000000" w:themeColor="text1"/>
              </w:rPr>
              <w:t>2900.</w:t>
            </w:r>
          </w:p>
        </w:tc>
        <w:tc>
          <w:tcPr>
            <w:tcW w:w="4818" w:type="dxa"/>
          </w:tcPr>
          <w:p w14:paraId="557766DD" w14:textId="77777777" w:rsidR="004F1E44" w:rsidRPr="00286216" w:rsidRDefault="004F1E44" w:rsidP="004F1E44">
            <w:pPr>
              <w:pStyle w:val="StyleZakonu"/>
              <w:rPr>
                <w:color w:val="000000" w:themeColor="text1"/>
              </w:rPr>
            </w:pPr>
            <w:r w:rsidRPr="00286216">
              <w:rPr>
                <w:color w:val="000000" w:themeColor="text1"/>
              </w:rPr>
              <w:t>в абзаці восьмому слова "фондові ринки" замінити словами "ринки капіталу";</w:t>
            </w:r>
          </w:p>
        </w:tc>
        <w:tc>
          <w:tcPr>
            <w:tcW w:w="3686" w:type="dxa"/>
          </w:tcPr>
          <w:p w14:paraId="60B20A52" w14:textId="77777777" w:rsidR="004F1E44" w:rsidRPr="00286216" w:rsidRDefault="004F1E44" w:rsidP="004F1E44">
            <w:pPr>
              <w:pStyle w:val="StyleProp"/>
              <w:rPr>
                <w:color w:val="000000" w:themeColor="text1"/>
                <w:szCs w:val="18"/>
              </w:rPr>
            </w:pPr>
          </w:p>
        </w:tc>
        <w:tc>
          <w:tcPr>
            <w:tcW w:w="1987" w:type="dxa"/>
          </w:tcPr>
          <w:p w14:paraId="2942C40E" w14:textId="77777777" w:rsidR="004F1E44" w:rsidRPr="00286216" w:rsidRDefault="004F1E44" w:rsidP="004F1E44">
            <w:pPr>
              <w:pStyle w:val="StyleWisnow"/>
              <w:rPr>
                <w:color w:val="000000" w:themeColor="text1"/>
              </w:rPr>
            </w:pPr>
          </w:p>
        </w:tc>
        <w:tc>
          <w:tcPr>
            <w:tcW w:w="4818" w:type="dxa"/>
          </w:tcPr>
          <w:p w14:paraId="016825E1" w14:textId="0C9D97C3" w:rsidR="004F1E44" w:rsidRPr="00286216" w:rsidRDefault="004F1E44" w:rsidP="004F1E44">
            <w:pPr>
              <w:pStyle w:val="StyleZakonu"/>
              <w:rPr>
                <w:color w:val="000000" w:themeColor="text1"/>
              </w:rPr>
            </w:pPr>
            <w:r w:rsidRPr="00286216">
              <w:rPr>
                <w:color w:val="000000" w:themeColor="text1"/>
              </w:rPr>
              <w:t>в абзаці восьмому слова "фондові ринки" замінити словами "ринки капіталу";</w:t>
            </w:r>
          </w:p>
        </w:tc>
      </w:tr>
      <w:tr w:rsidR="004F1E44" w:rsidRPr="00286216" w14:paraId="273A583E" w14:textId="77777777" w:rsidTr="00091AA5">
        <w:tc>
          <w:tcPr>
            <w:tcW w:w="576" w:type="dxa"/>
          </w:tcPr>
          <w:p w14:paraId="79514B7C" w14:textId="77777777" w:rsidR="004F1E44" w:rsidRPr="00286216" w:rsidRDefault="004F1E44" w:rsidP="004F1E44">
            <w:pPr>
              <w:pStyle w:val="StyleWisnow"/>
              <w:rPr>
                <w:color w:val="000000" w:themeColor="text1"/>
              </w:rPr>
            </w:pPr>
            <w:bookmarkStart w:id="2773" w:name="n2901" w:colFirst="0" w:colLast="0"/>
            <w:bookmarkEnd w:id="2772"/>
            <w:r w:rsidRPr="00286216">
              <w:rPr>
                <w:color w:val="000000" w:themeColor="text1"/>
              </w:rPr>
              <w:t>2901.</w:t>
            </w:r>
          </w:p>
        </w:tc>
        <w:tc>
          <w:tcPr>
            <w:tcW w:w="4818" w:type="dxa"/>
          </w:tcPr>
          <w:p w14:paraId="3EC9CEE4" w14:textId="77777777" w:rsidR="004F1E44" w:rsidRPr="00286216" w:rsidRDefault="004F1E44" w:rsidP="004F1E44">
            <w:pPr>
              <w:pStyle w:val="StyleZakonu"/>
              <w:rPr>
                <w:color w:val="000000" w:themeColor="text1"/>
              </w:rPr>
            </w:pPr>
            <w:r w:rsidRPr="00286216">
              <w:rPr>
                <w:color w:val="000000" w:themeColor="text1"/>
              </w:rPr>
              <w:t>в абзацах дев’ятому та одинадцятому слова "ринку цінних паперів" замінити словами "ринків капіталу та організованих товарних ринків";</w:t>
            </w:r>
          </w:p>
        </w:tc>
        <w:tc>
          <w:tcPr>
            <w:tcW w:w="3686" w:type="dxa"/>
          </w:tcPr>
          <w:p w14:paraId="5F12E634" w14:textId="77777777" w:rsidR="004F1E44" w:rsidRPr="00286216" w:rsidRDefault="004F1E44" w:rsidP="004F1E44">
            <w:pPr>
              <w:pStyle w:val="StyleProp"/>
              <w:rPr>
                <w:color w:val="000000" w:themeColor="text1"/>
                <w:szCs w:val="18"/>
              </w:rPr>
            </w:pPr>
          </w:p>
        </w:tc>
        <w:tc>
          <w:tcPr>
            <w:tcW w:w="1987" w:type="dxa"/>
          </w:tcPr>
          <w:p w14:paraId="73164FE0" w14:textId="77777777" w:rsidR="004F1E44" w:rsidRPr="00286216" w:rsidRDefault="004F1E44" w:rsidP="004F1E44">
            <w:pPr>
              <w:pStyle w:val="StyleWisnow"/>
              <w:rPr>
                <w:color w:val="000000" w:themeColor="text1"/>
              </w:rPr>
            </w:pPr>
          </w:p>
        </w:tc>
        <w:tc>
          <w:tcPr>
            <w:tcW w:w="4818" w:type="dxa"/>
          </w:tcPr>
          <w:p w14:paraId="3A032F4C" w14:textId="19A3D658" w:rsidR="004F1E44" w:rsidRPr="00286216" w:rsidRDefault="004F1E44" w:rsidP="004F1E44">
            <w:pPr>
              <w:pStyle w:val="StyleZakonu"/>
              <w:rPr>
                <w:color w:val="000000" w:themeColor="text1"/>
              </w:rPr>
            </w:pPr>
            <w:r w:rsidRPr="00286216">
              <w:rPr>
                <w:color w:val="000000" w:themeColor="text1"/>
              </w:rPr>
              <w:t>в абзацах дев’ятому та одинадцятому слова "ринку цінних паперів" замінити словами "ринків капіталу та організованих товарних ринків";</w:t>
            </w:r>
          </w:p>
        </w:tc>
      </w:tr>
      <w:tr w:rsidR="004F1E44" w:rsidRPr="00286216" w14:paraId="340F9BA5" w14:textId="77777777" w:rsidTr="00091AA5">
        <w:tc>
          <w:tcPr>
            <w:tcW w:w="576" w:type="dxa"/>
          </w:tcPr>
          <w:p w14:paraId="04581001" w14:textId="77777777" w:rsidR="004F1E44" w:rsidRPr="00286216" w:rsidRDefault="004F1E44" w:rsidP="004F1E44">
            <w:pPr>
              <w:pStyle w:val="StyleWisnow"/>
              <w:rPr>
                <w:color w:val="000000" w:themeColor="text1"/>
              </w:rPr>
            </w:pPr>
            <w:bookmarkStart w:id="2774" w:name="n2902" w:colFirst="0" w:colLast="0"/>
            <w:bookmarkEnd w:id="2773"/>
            <w:r w:rsidRPr="00286216">
              <w:rPr>
                <w:color w:val="000000" w:themeColor="text1"/>
              </w:rPr>
              <w:t>2902.</w:t>
            </w:r>
          </w:p>
        </w:tc>
        <w:tc>
          <w:tcPr>
            <w:tcW w:w="4818" w:type="dxa"/>
          </w:tcPr>
          <w:p w14:paraId="416AA2CC" w14:textId="77777777" w:rsidR="004F1E44" w:rsidRPr="00286216" w:rsidRDefault="004F1E44" w:rsidP="004F1E44">
            <w:pPr>
              <w:pStyle w:val="StyleZakonu"/>
              <w:rPr>
                <w:color w:val="000000" w:themeColor="text1"/>
              </w:rPr>
            </w:pPr>
            <w:r w:rsidRPr="00286216">
              <w:rPr>
                <w:color w:val="000000" w:themeColor="text1"/>
              </w:rPr>
              <w:t>абзац десятий виключити;</w:t>
            </w:r>
          </w:p>
        </w:tc>
        <w:tc>
          <w:tcPr>
            <w:tcW w:w="3686" w:type="dxa"/>
          </w:tcPr>
          <w:p w14:paraId="32F43AEF" w14:textId="2722BA85"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1283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E85BFF5"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 xml:space="preserve">Останній абзац підпункту 3 пункту 17 </w:t>
            </w:r>
            <w:r w:rsidRPr="00286216">
              <w:rPr>
                <w:color w:val="000000" w:themeColor="text1"/>
                <w:spacing w:val="-2"/>
                <w:szCs w:val="18"/>
              </w:rPr>
              <w:t xml:space="preserve">замінити </w:t>
            </w:r>
            <w:r w:rsidRPr="00286216">
              <w:rPr>
                <w:color w:val="000000" w:themeColor="text1"/>
                <w:szCs w:val="18"/>
              </w:rPr>
              <w:t>двома абзацами такого змісту:</w:t>
            </w:r>
          </w:p>
          <w:p w14:paraId="4C2211BD"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«абзац десятий викласти в такій редакції:</w:t>
            </w:r>
          </w:p>
          <w:p w14:paraId="520F638A" w14:textId="0E26C3BC" w:rsidR="004F1E44" w:rsidRPr="00286216" w:rsidRDefault="004F1E44" w:rsidP="004F1E44">
            <w:pPr>
              <w:pStyle w:val="StyleProp"/>
              <w:spacing w:line="180" w:lineRule="exact"/>
              <w:rPr>
                <w:color w:val="000000" w:themeColor="text1"/>
                <w:szCs w:val="18"/>
              </w:rPr>
            </w:pPr>
            <w:r w:rsidRPr="00286216">
              <w:rPr>
                <w:color w:val="000000" w:themeColor="text1"/>
                <w:szCs w:val="18"/>
              </w:rPr>
              <w:t>"запобігання монополізації та створення умов розвитку добросовісної конкуренції на ринках капіталу та організованих товарних ринках</w:t>
            </w:r>
            <w:r w:rsidRPr="00286216">
              <w:rPr>
                <w:color w:val="000000" w:themeColor="text1"/>
                <w:szCs w:val="18"/>
                <w:lang w:val="ru-RU"/>
              </w:rPr>
              <w:t>"</w:t>
            </w:r>
          </w:p>
        </w:tc>
        <w:tc>
          <w:tcPr>
            <w:tcW w:w="1987" w:type="dxa"/>
          </w:tcPr>
          <w:p w14:paraId="336A83D8" w14:textId="77777777"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0E84854F" w14:textId="77777777" w:rsidR="004F1E44" w:rsidRPr="00286216" w:rsidRDefault="004F1E44" w:rsidP="004F1E44">
            <w:pPr>
              <w:pStyle w:val="StyleZakonu"/>
              <w:rPr>
                <w:color w:val="000000" w:themeColor="text1"/>
              </w:rPr>
            </w:pPr>
            <w:r w:rsidRPr="00286216">
              <w:rPr>
                <w:color w:val="000000" w:themeColor="text1"/>
              </w:rPr>
              <w:t>абзац десятий викласти в такій редакції:</w:t>
            </w:r>
          </w:p>
          <w:p w14:paraId="6CD7F645" w14:textId="0CFAEB5D" w:rsidR="004F1E44" w:rsidRPr="00286216" w:rsidRDefault="004F1E44" w:rsidP="004F1E44">
            <w:pPr>
              <w:pStyle w:val="StyleZakonu"/>
              <w:rPr>
                <w:color w:val="000000" w:themeColor="text1"/>
              </w:rPr>
            </w:pPr>
            <w:r w:rsidRPr="00286216">
              <w:rPr>
                <w:color w:val="000000" w:themeColor="text1"/>
              </w:rPr>
              <w:t>"запобігання монополізації та створення умов розвитку добросовісної конкуренції на ринках капіталу та організованих товарних ринках";</w:t>
            </w:r>
          </w:p>
        </w:tc>
      </w:tr>
      <w:tr w:rsidR="004F1E44" w:rsidRPr="00286216" w14:paraId="082A5A12" w14:textId="77777777" w:rsidTr="00091AA5">
        <w:tc>
          <w:tcPr>
            <w:tcW w:w="576" w:type="dxa"/>
          </w:tcPr>
          <w:p w14:paraId="55D2D60B" w14:textId="77777777" w:rsidR="004F1E44" w:rsidRPr="00286216" w:rsidRDefault="004F1E44" w:rsidP="004F1E44">
            <w:pPr>
              <w:pStyle w:val="StyleWisnow"/>
              <w:rPr>
                <w:color w:val="000000" w:themeColor="text1"/>
              </w:rPr>
            </w:pPr>
            <w:bookmarkStart w:id="2775" w:name="n2903" w:colFirst="0" w:colLast="0"/>
            <w:bookmarkEnd w:id="2774"/>
            <w:r w:rsidRPr="00286216">
              <w:rPr>
                <w:color w:val="000000" w:themeColor="text1"/>
              </w:rPr>
              <w:t>2903.</w:t>
            </w:r>
          </w:p>
        </w:tc>
        <w:tc>
          <w:tcPr>
            <w:tcW w:w="4818" w:type="dxa"/>
          </w:tcPr>
          <w:p w14:paraId="146A3A51" w14:textId="77777777" w:rsidR="004F1E44" w:rsidRPr="00286216" w:rsidRDefault="004F1E44" w:rsidP="004F1E44">
            <w:pPr>
              <w:pStyle w:val="StyleZakonu"/>
              <w:rPr>
                <w:color w:val="000000" w:themeColor="text1"/>
              </w:rPr>
            </w:pPr>
            <w:r w:rsidRPr="00286216">
              <w:rPr>
                <w:color w:val="000000" w:themeColor="text1"/>
              </w:rPr>
              <w:t>4) у статті 3:</w:t>
            </w:r>
          </w:p>
        </w:tc>
        <w:tc>
          <w:tcPr>
            <w:tcW w:w="3686" w:type="dxa"/>
          </w:tcPr>
          <w:p w14:paraId="4A4BF27E" w14:textId="77777777" w:rsidR="004F1E44" w:rsidRPr="00286216" w:rsidRDefault="004F1E44" w:rsidP="004F1E44">
            <w:pPr>
              <w:pStyle w:val="StyleProp"/>
              <w:rPr>
                <w:color w:val="000000" w:themeColor="text1"/>
                <w:szCs w:val="18"/>
              </w:rPr>
            </w:pPr>
          </w:p>
        </w:tc>
        <w:tc>
          <w:tcPr>
            <w:tcW w:w="1987" w:type="dxa"/>
          </w:tcPr>
          <w:p w14:paraId="5EA2A709" w14:textId="77777777" w:rsidR="004F1E44" w:rsidRPr="00286216" w:rsidRDefault="004F1E44" w:rsidP="004F1E44">
            <w:pPr>
              <w:pStyle w:val="StyleWisnow"/>
              <w:rPr>
                <w:color w:val="000000" w:themeColor="text1"/>
              </w:rPr>
            </w:pPr>
          </w:p>
        </w:tc>
        <w:tc>
          <w:tcPr>
            <w:tcW w:w="4818" w:type="dxa"/>
          </w:tcPr>
          <w:p w14:paraId="20EEE741" w14:textId="2D973497" w:rsidR="004F1E44" w:rsidRPr="00286216" w:rsidRDefault="004F1E44" w:rsidP="004F1E44">
            <w:pPr>
              <w:pStyle w:val="StyleZakonu"/>
              <w:rPr>
                <w:color w:val="000000" w:themeColor="text1"/>
              </w:rPr>
            </w:pPr>
            <w:r w:rsidRPr="00286216">
              <w:rPr>
                <w:color w:val="000000" w:themeColor="text1"/>
              </w:rPr>
              <w:t>4) у статті 3:</w:t>
            </w:r>
          </w:p>
        </w:tc>
      </w:tr>
      <w:tr w:rsidR="004F1E44" w:rsidRPr="00286216" w14:paraId="67AA821A" w14:textId="77777777" w:rsidTr="00091AA5">
        <w:tc>
          <w:tcPr>
            <w:tcW w:w="576" w:type="dxa"/>
          </w:tcPr>
          <w:p w14:paraId="5BCE1385" w14:textId="77777777" w:rsidR="004F1E44" w:rsidRPr="00286216" w:rsidRDefault="004F1E44" w:rsidP="004F1E44">
            <w:pPr>
              <w:pStyle w:val="StyleWisnow"/>
              <w:rPr>
                <w:color w:val="000000" w:themeColor="text1"/>
              </w:rPr>
            </w:pPr>
            <w:bookmarkStart w:id="2776" w:name="n2904" w:colFirst="0" w:colLast="0"/>
            <w:bookmarkEnd w:id="2775"/>
            <w:r w:rsidRPr="00286216">
              <w:rPr>
                <w:color w:val="000000" w:themeColor="text1"/>
              </w:rPr>
              <w:t>2904.</w:t>
            </w:r>
          </w:p>
        </w:tc>
        <w:tc>
          <w:tcPr>
            <w:tcW w:w="4818" w:type="dxa"/>
          </w:tcPr>
          <w:p w14:paraId="0BCFAAE3" w14:textId="77777777" w:rsidR="004F1E44" w:rsidRPr="00286216" w:rsidRDefault="004F1E44" w:rsidP="004F1E44">
            <w:pPr>
              <w:pStyle w:val="StyleZakonu"/>
              <w:rPr>
                <w:color w:val="000000" w:themeColor="text1"/>
              </w:rPr>
            </w:pPr>
            <w:r w:rsidRPr="00286216">
              <w:rPr>
                <w:color w:val="000000" w:themeColor="text1"/>
              </w:rPr>
              <w:t>а) у назві слова "ринку цінних паперів" замінити словами "ринків капіталу та організованих товарних ринків";</w:t>
            </w:r>
          </w:p>
        </w:tc>
        <w:tc>
          <w:tcPr>
            <w:tcW w:w="3686" w:type="dxa"/>
          </w:tcPr>
          <w:p w14:paraId="38DB8A93" w14:textId="71DAE068" w:rsidR="004F1E44" w:rsidRPr="00286216" w:rsidRDefault="004F1E44" w:rsidP="004F1E4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1284</w:t>
            </w:r>
            <w:r w:rsidRPr="00286216">
              <w:rPr>
                <w:color w:val="000000" w:themeColor="text1"/>
                <w:spacing w:val="-2"/>
              </w:rPr>
              <w:fldChar w:fldCharType="end"/>
            </w:r>
            <w:r w:rsidRPr="00286216">
              <w:rPr>
                <w:color w:val="000000" w:themeColor="text1"/>
                <w:spacing w:val="-2"/>
              </w:rPr>
              <w:t>-Н.д.Шахов С.В. (Реєстр.картка №114)</w:t>
            </w:r>
          </w:p>
          <w:p w14:paraId="59600783" w14:textId="77777777" w:rsidR="004F1E44" w:rsidRPr="00286216" w:rsidRDefault="004F1E44" w:rsidP="004F1E44">
            <w:pPr>
              <w:spacing w:line="180" w:lineRule="exact"/>
              <w:ind w:firstLine="227"/>
              <w:jc w:val="both"/>
              <w:rPr>
                <w:color w:val="000000" w:themeColor="text1"/>
                <w:spacing w:val="-2"/>
                <w:sz w:val="18"/>
              </w:rPr>
            </w:pPr>
            <w:r w:rsidRPr="00286216">
              <w:rPr>
                <w:color w:val="000000" w:themeColor="text1"/>
                <w:spacing w:val="-2"/>
                <w:sz w:val="18"/>
              </w:rPr>
              <w:t>П.п."а" п.п.4 п.17 викласти у такій редакції:</w:t>
            </w:r>
          </w:p>
          <w:p w14:paraId="540D0BD3" w14:textId="61809E48" w:rsidR="004F1E44" w:rsidRPr="00286216" w:rsidRDefault="004F1E44" w:rsidP="004F1E44">
            <w:pPr>
              <w:spacing w:line="180" w:lineRule="exact"/>
              <w:ind w:firstLine="227"/>
              <w:jc w:val="both"/>
              <w:rPr>
                <w:color w:val="000000" w:themeColor="text1"/>
                <w:sz w:val="18"/>
              </w:rPr>
            </w:pPr>
            <w:r w:rsidRPr="00286216">
              <w:rPr>
                <w:color w:val="000000" w:themeColor="text1"/>
                <w:sz w:val="18"/>
              </w:rPr>
              <w:t>"а) назву викласти у такій редакції:</w:t>
            </w:r>
          </w:p>
          <w:p w14:paraId="138B7253"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"Стаття 3. Форми державного регулювання ринків капіталу та організованих товарних ринках Національною комісією з цінних паперів та фондового ринку".</w:t>
            </w:r>
          </w:p>
        </w:tc>
        <w:tc>
          <w:tcPr>
            <w:tcW w:w="1987" w:type="dxa"/>
          </w:tcPr>
          <w:p w14:paraId="67AD975E" w14:textId="54F1916F" w:rsidR="004F1E44" w:rsidRPr="00286216" w:rsidRDefault="004F1E44" w:rsidP="004F1E44">
            <w:pPr>
              <w:pStyle w:val="StyleWisnow"/>
              <w:rPr>
                <w:color w:val="000000" w:themeColor="text1"/>
                <w:lang w:val="ru-RU"/>
              </w:rPr>
            </w:pPr>
            <w:r w:rsidRPr="00286216">
              <w:rPr>
                <w:color w:val="000000" w:themeColor="text1"/>
              </w:rPr>
              <w:t>Враховано</w:t>
            </w:r>
            <w:r w:rsidRPr="00286216">
              <w:rPr>
                <w:color w:val="000000" w:themeColor="text1"/>
                <w:lang w:val="ru-RU"/>
              </w:rPr>
              <w:t xml:space="preserve"> частково</w:t>
            </w:r>
          </w:p>
        </w:tc>
        <w:tc>
          <w:tcPr>
            <w:tcW w:w="4818" w:type="dxa"/>
          </w:tcPr>
          <w:p w14:paraId="73261123" w14:textId="77777777" w:rsidR="004F1E44" w:rsidRPr="00286216" w:rsidRDefault="004F1E44" w:rsidP="004F1E44">
            <w:pPr>
              <w:pStyle w:val="StyleZakonu"/>
              <w:rPr>
                <w:color w:val="000000" w:themeColor="text1"/>
              </w:rPr>
            </w:pPr>
            <w:r w:rsidRPr="00286216">
              <w:rPr>
                <w:color w:val="000000" w:themeColor="text1"/>
              </w:rPr>
              <w:t>а) назву та частину першу викласти в такій редакції:</w:t>
            </w:r>
          </w:p>
          <w:p w14:paraId="2E896312" w14:textId="166C5D75" w:rsidR="004F1E44" w:rsidRPr="00286216" w:rsidRDefault="004F1E44" w:rsidP="004F1E44">
            <w:pPr>
              <w:pStyle w:val="StyleZakonu"/>
              <w:rPr>
                <w:color w:val="000000" w:themeColor="text1"/>
              </w:rPr>
            </w:pPr>
            <w:r w:rsidRPr="00286216">
              <w:rPr>
                <w:color w:val="000000" w:themeColor="text1"/>
              </w:rPr>
              <w:t>"Стаття 3. Форми державного регулювання ринків капіталу та організованих товарних ринків</w:t>
            </w:r>
          </w:p>
        </w:tc>
      </w:tr>
      <w:tr w:rsidR="004F1E44" w:rsidRPr="00286216" w14:paraId="373CEA18" w14:textId="77777777" w:rsidTr="00091AA5">
        <w:tc>
          <w:tcPr>
            <w:tcW w:w="576" w:type="dxa"/>
          </w:tcPr>
          <w:p w14:paraId="134E141D" w14:textId="77777777" w:rsidR="004F1E44" w:rsidRPr="00286216" w:rsidRDefault="004F1E44" w:rsidP="004F1E44">
            <w:pPr>
              <w:pStyle w:val="StyleWisnow"/>
              <w:rPr>
                <w:color w:val="000000" w:themeColor="text1"/>
              </w:rPr>
            </w:pPr>
            <w:bookmarkStart w:id="2777" w:name="n2905" w:colFirst="0" w:colLast="0"/>
            <w:bookmarkEnd w:id="2776"/>
            <w:r w:rsidRPr="00286216">
              <w:rPr>
                <w:color w:val="000000" w:themeColor="text1"/>
              </w:rPr>
              <w:t>2905.</w:t>
            </w:r>
          </w:p>
        </w:tc>
        <w:tc>
          <w:tcPr>
            <w:tcW w:w="4818" w:type="dxa"/>
          </w:tcPr>
          <w:p w14:paraId="356648E5" w14:textId="77777777" w:rsidR="004F1E44" w:rsidRPr="00286216" w:rsidRDefault="004F1E44" w:rsidP="004F1E44">
            <w:pPr>
              <w:pStyle w:val="StyleZakonu"/>
              <w:rPr>
                <w:color w:val="000000" w:themeColor="text1"/>
              </w:rPr>
            </w:pPr>
            <w:r w:rsidRPr="00286216">
              <w:rPr>
                <w:color w:val="000000" w:themeColor="text1"/>
              </w:rPr>
              <w:t>б) у частині першій:</w:t>
            </w:r>
          </w:p>
        </w:tc>
        <w:tc>
          <w:tcPr>
            <w:tcW w:w="3686" w:type="dxa"/>
          </w:tcPr>
          <w:p w14:paraId="3A3A26CE" w14:textId="4CF86CCC" w:rsidR="004F1E44" w:rsidRPr="00286216" w:rsidRDefault="004F1E44" w:rsidP="004F1E4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1285</w:t>
            </w:r>
            <w:r w:rsidRPr="00286216">
              <w:rPr>
                <w:color w:val="000000" w:themeColor="text1"/>
                <w:spacing w:val="-2"/>
              </w:rPr>
              <w:fldChar w:fldCharType="end"/>
            </w:r>
            <w:r w:rsidRPr="00286216">
              <w:rPr>
                <w:color w:val="000000" w:themeColor="text1"/>
                <w:spacing w:val="-2"/>
              </w:rPr>
              <w:t>-Народні депутати України – члени Комітету з питань фінансів, податкової та митної політики Гетманцев Д.О. та інші</w:t>
            </w:r>
          </w:p>
          <w:p w14:paraId="7C30AE6B"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Підпункт "б" підпункту 4 пункту 17 розділу ІІІ викласти у такій редакції:</w:t>
            </w:r>
          </w:p>
          <w:p w14:paraId="4A67B525" w14:textId="69C1E75D" w:rsidR="004F1E44" w:rsidRPr="00286216" w:rsidRDefault="004F1E44" w:rsidP="004F1E44">
            <w:pPr>
              <w:pStyle w:val="StyleProp"/>
              <w:spacing w:line="180" w:lineRule="exact"/>
              <w:rPr>
                <w:color w:val="000000" w:themeColor="text1"/>
              </w:rPr>
            </w:pPr>
            <w:r w:rsidRPr="00286216">
              <w:rPr>
                <w:color w:val="000000" w:themeColor="text1"/>
              </w:rPr>
              <w:t>"частину першу викласти у такій редакції:</w:t>
            </w:r>
          </w:p>
          <w:p w14:paraId="079D2B74" w14:textId="77777777" w:rsidR="004F1E44" w:rsidRPr="00286216" w:rsidRDefault="004F1E44" w:rsidP="004F1E44">
            <w:pPr>
              <w:pStyle w:val="StyleProp"/>
              <w:spacing w:line="180" w:lineRule="exact"/>
              <w:rPr>
                <w:color w:val="000000" w:themeColor="text1"/>
              </w:rPr>
            </w:pPr>
            <w:r w:rsidRPr="00286216">
              <w:rPr>
                <w:color w:val="000000" w:themeColor="text1"/>
              </w:rPr>
              <w:t>"Стаття 3. Форми державного регулювання ринків капіталу та організованих товарних ринках Національною комісією з цінних паперів та фондового ринку</w:t>
            </w:r>
          </w:p>
          <w:p w14:paraId="3398C0E8" w14:textId="77777777" w:rsidR="004F1E44" w:rsidRPr="00286216" w:rsidRDefault="004F1E44" w:rsidP="004F1E44">
            <w:pPr>
              <w:pStyle w:val="StyleProp"/>
              <w:spacing w:line="180" w:lineRule="exact"/>
              <w:rPr>
                <w:color w:val="000000" w:themeColor="text1"/>
              </w:rPr>
            </w:pPr>
            <w:r w:rsidRPr="00286216">
              <w:rPr>
                <w:color w:val="000000" w:themeColor="text1"/>
              </w:rPr>
              <w:t>Державне регулювання ринків капіталу та організованих товарних ринків здійснюється Національною комісією з цінних паперів та фондового ринку у випадках і в межах, встановлених законом, у таких формах:</w:t>
            </w:r>
          </w:p>
          <w:p w14:paraId="062D4DDD" w14:textId="77777777" w:rsidR="004F1E44" w:rsidRPr="00286216" w:rsidRDefault="004F1E44" w:rsidP="004F1E44">
            <w:pPr>
              <w:pStyle w:val="StyleProp"/>
              <w:spacing w:line="180" w:lineRule="exact"/>
              <w:rPr>
                <w:color w:val="000000" w:themeColor="text1"/>
              </w:rPr>
            </w:pPr>
            <w:r w:rsidRPr="00286216">
              <w:rPr>
                <w:color w:val="000000" w:themeColor="text1"/>
              </w:rPr>
              <w:t>прийняття актів законодавства з питань діяльності учасників ринків капіталу та організованих товарних ринків;</w:t>
            </w:r>
          </w:p>
          <w:p w14:paraId="1310D900" w14:textId="77777777" w:rsidR="004F1E44" w:rsidRPr="00286216" w:rsidRDefault="004F1E44" w:rsidP="004F1E44">
            <w:pPr>
              <w:pStyle w:val="StyleProp"/>
              <w:spacing w:line="180" w:lineRule="exact"/>
              <w:rPr>
                <w:color w:val="000000" w:themeColor="text1"/>
              </w:rPr>
            </w:pPr>
            <w:r w:rsidRPr="00286216">
              <w:rPr>
                <w:color w:val="000000" w:themeColor="text1"/>
              </w:rPr>
              <w:lastRenderedPageBreak/>
              <w:t>провадження нагляду, здійснення регулювання та контролю щодо реалізації прав та виконання обов’язків учасників ринків капіталу та організованих товарних ринків;</w:t>
            </w:r>
          </w:p>
          <w:p w14:paraId="086193F2" w14:textId="77777777" w:rsidR="004F1E44" w:rsidRPr="00286216" w:rsidRDefault="004F1E44" w:rsidP="004F1E44">
            <w:pPr>
              <w:pStyle w:val="StyleProp"/>
              <w:spacing w:line="180" w:lineRule="exact"/>
              <w:rPr>
                <w:color w:val="000000" w:themeColor="text1"/>
              </w:rPr>
            </w:pPr>
            <w:r w:rsidRPr="00286216">
              <w:rPr>
                <w:color w:val="000000" w:themeColor="text1"/>
              </w:rPr>
              <w:t>регулювання емісії (видачі), обігу, викупу та погашення цінних паперів, укладання і виконання деривативних контрактів та вчинення і виконання правочинів щодо інших фінансових інструментів;</w:t>
            </w:r>
          </w:p>
          <w:p w14:paraId="22754E35" w14:textId="77777777" w:rsidR="004F1E44" w:rsidRPr="00286216" w:rsidRDefault="004F1E44" w:rsidP="004F1E44">
            <w:pPr>
              <w:pStyle w:val="StyleProp"/>
              <w:spacing w:line="180" w:lineRule="exact"/>
              <w:rPr>
                <w:color w:val="000000" w:themeColor="text1"/>
              </w:rPr>
            </w:pPr>
            <w:r w:rsidRPr="00286216">
              <w:rPr>
                <w:color w:val="000000" w:themeColor="text1"/>
              </w:rPr>
              <w:t>видача ліцензій на провадження відповідного виду діяльності в межах професійної діяльності на ринках капіталу та організованих товарних ринках, а також забезпечення контролю за такою діяльністю;</w:t>
            </w:r>
          </w:p>
          <w:p w14:paraId="09460FF0" w14:textId="77777777" w:rsidR="004F1E44" w:rsidRPr="00286216" w:rsidRDefault="004F1E44" w:rsidP="004F1E44">
            <w:pPr>
              <w:pStyle w:val="StyleProp"/>
              <w:spacing w:line="180" w:lineRule="exact"/>
              <w:rPr>
                <w:color w:val="000000" w:themeColor="text1"/>
              </w:rPr>
            </w:pPr>
            <w:r w:rsidRPr="00286216">
              <w:rPr>
                <w:rFonts w:hint="eastAsia"/>
                <w:color w:val="000000" w:themeColor="text1"/>
              </w:rPr>
              <w:t>заборона</w:t>
            </w:r>
            <w:r w:rsidRPr="00286216">
              <w:rPr>
                <w:color w:val="000000" w:themeColor="text1"/>
              </w:rPr>
              <w:t xml:space="preserve"> </w:t>
            </w:r>
            <w:r w:rsidRPr="00286216">
              <w:rPr>
                <w:rFonts w:hint="eastAsia"/>
                <w:color w:val="000000" w:themeColor="text1"/>
              </w:rPr>
              <w:t>у</w:t>
            </w:r>
            <w:r w:rsidRPr="00286216">
              <w:rPr>
                <w:color w:val="000000" w:themeColor="text1"/>
              </w:rPr>
              <w:t xml:space="preserve"> </w:t>
            </w:r>
            <w:r w:rsidRPr="00286216">
              <w:rPr>
                <w:rFonts w:hint="eastAsia"/>
                <w:color w:val="000000" w:themeColor="text1"/>
              </w:rPr>
              <w:t>разі</w:t>
            </w:r>
            <w:r w:rsidRPr="00286216">
              <w:rPr>
                <w:color w:val="000000" w:themeColor="text1"/>
              </w:rPr>
              <w:t xml:space="preserve"> </w:t>
            </w:r>
            <w:r w:rsidRPr="00286216">
              <w:rPr>
                <w:rFonts w:hint="eastAsia"/>
                <w:color w:val="000000" w:themeColor="text1"/>
              </w:rPr>
              <w:t>відсутності</w:t>
            </w:r>
            <w:r w:rsidRPr="00286216">
              <w:rPr>
                <w:color w:val="000000" w:themeColor="text1"/>
              </w:rPr>
              <w:t xml:space="preserve"> </w:t>
            </w:r>
            <w:r w:rsidRPr="00286216">
              <w:rPr>
                <w:rFonts w:hint="eastAsia"/>
                <w:color w:val="000000" w:themeColor="text1"/>
              </w:rPr>
              <w:t>ліцензії</w:t>
            </w:r>
            <w:r w:rsidRPr="00286216">
              <w:rPr>
                <w:color w:val="000000" w:themeColor="text1"/>
              </w:rPr>
              <w:t xml:space="preserve"> </w:t>
            </w:r>
            <w:r w:rsidRPr="00286216">
              <w:rPr>
                <w:rFonts w:hint="eastAsia"/>
                <w:color w:val="000000" w:themeColor="text1"/>
              </w:rPr>
              <w:t>на</w:t>
            </w:r>
            <w:r w:rsidRPr="00286216">
              <w:rPr>
                <w:color w:val="000000" w:themeColor="text1"/>
              </w:rPr>
              <w:t xml:space="preserve"> </w:t>
            </w:r>
            <w:r w:rsidRPr="00286216">
              <w:rPr>
                <w:rFonts w:hint="eastAsia"/>
                <w:color w:val="000000" w:themeColor="text1"/>
              </w:rPr>
              <w:t>відповідну</w:t>
            </w:r>
            <w:r w:rsidRPr="00286216">
              <w:rPr>
                <w:color w:val="000000" w:themeColor="text1"/>
              </w:rPr>
              <w:t xml:space="preserve"> </w:t>
            </w:r>
            <w:r w:rsidRPr="00286216">
              <w:rPr>
                <w:rFonts w:hint="eastAsia"/>
                <w:color w:val="000000" w:themeColor="text1"/>
              </w:rPr>
              <w:t>діяльність</w:t>
            </w:r>
            <w:r w:rsidRPr="00286216">
              <w:rPr>
                <w:color w:val="000000" w:themeColor="text1"/>
              </w:rPr>
              <w:t xml:space="preserve"> </w:t>
            </w:r>
            <w:r w:rsidRPr="00286216">
              <w:rPr>
                <w:rFonts w:hint="eastAsia"/>
                <w:color w:val="000000" w:themeColor="text1"/>
              </w:rPr>
              <w:t>здійснення</w:t>
            </w:r>
            <w:r w:rsidRPr="00286216">
              <w:rPr>
                <w:color w:val="000000" w:themeColor="text1"/>
              </w:rPr>
              <w:t xml:space="preserve"> </w:t>
            </w:r>
            <w:r w:rsidRPr="00286216">
              <w:rPr>
                <w:rFonts w:hint="eastAsia"/>
                <w:color w:val="000000" w:themeColor="text1"/>
              </w:rPr>
              <w:t>професійної</w:t>
            </w:r>
            <w:r w:rsidRPr="00286216">
              <w:rPr>
                <w:color w:val="000000" w:themeColor="text1"/>
              </w:rPr>
              <w:t xml:space="preserve"> </w:t>
            </w:r>
            <w:r w:rsidRPr="00286216">
              <w:rPr>
                <w:rFonts w:hint="eastAsia"/>
                <w:color w:val="000000" w:themeColor="text1"/>
              </w:rPr>
              <w:t>діяльності</w:t>
            </w:r>
            <w:r w:rsidRPr="00286216">
              <w:rPr>
                <w:color w:val="000000" w:themeColor="text1"/>
              </w:rPr>
              <w:t xml:space="preserve"> на ринках капіталу та організованих товарних ринках </w:t>
            </w:r>
            <w:r w:rsidRPr="00286216">
              <w:rPr>
                <w:rFonts w:hint="eastAsia"/>
                <w:color w:val="000000" w:themeColor="text1"/>
              </w:rPr>
              <w:t>або</w:t>
            </w:r>
            <w:r w:rsidRPr="00286216">
              <w:rPr>
                <w:color w:val="000000" w:themeColor="text1"/>
              </w:rPr>
              <w:t xml:space="preserve"> </w:t>
            </w:r>
            <w:r w:rsidRPr="00286216">
              <w:rPr>
                <w:rFonts w:hint="eastAsia"/>
                <w:color w:val="000000" w:themeColor="text1"/>
              </w:rPr>
              <w:t>зупинення</w:t>
            </w:r>
            <w:r w:rsidRPr="00286216">
              <w:rPr>
                <w:color w:val="000000" w:themeColor="text1"/>
              </w:rPr>
              <w:t xml:space="preserve"> </w:t>
            </w:r>
            <w:r w:rsidRPr="00286216">
              <w:rPr>
                <w:rFonts w:hint="eastAsia"/>
                <w:color w:val="000000" w:themeColor="text1"/>
              </w:rPr>
              <w:t>такої</w:t>
            </w:r>
            <w:r w:rsidRPr="00286216">
              <w:rPr>
                <w:color w:val="000000" w:themeColor="text1"/>
              </w:rPr>
              <w:t xml:space="preserve"> </w:t>
            </w:r>
            <w:r w:rsidRPr="00286216">
              <w:rPr>
                <w:rFonts w:hint="eastAsia"/>
                <w:color w:val="000000" w:themeColor="text1"/>
              </w:rPr>
              <w:t>діяльності</w:t>
            </w:r>
            <w:r w:rsidRPr="00286216">
              <w:rPr>
                <w:color w:val="000000" w:themeColor="text1"/>
              </w:rPr>
              <w:t xml:space="preserve"> </w:t>
            </w:r>
            <w:r w:rsidRPr="00286216">
              <w:rPr>
                <w:rFonts w:hint="eastAsia"/>
                <w:color w:val="000000" w:themeColor="text1"/>
              </w:rPr>
              <w:t>на</w:t>
            </w:r>
            <w:r w:rsidRPr="00286216">
              <w:rPr>
                <w:color w:val="000000" w:themeColor="text1"/>
              </w:rPr>
              <w:t xml:space="preserve"> </w:t>
            </w:r>
            <w:r w:rsidRPr="00286216">
              <w:rPr>
                <w:rFonts w:hint="eastAsia"/>
                <w:color w:val="000000" w:themeColor="text1"/>
              </w:rPr>
              <w:t>певний</w:t>
            </w:r>
            <w:r w:rsidRPr="00286216">
              <w:rPr>
                <w:color w:val="000000" w:themeColor="text1"/>
              </w:rPr>
              <w:t xml:space="preserve"> </w:t>
            </w:r>
            <w:r w:rsidRPr="00286216">
              <w:rPr>
                <w:rFonts w:hint="eastAsia"/>
                <w:color w:val="000000" w:themeColor="text1"/>
              </w:rPr>
              <w:t>строк</w:t>
            </w:r>
            <w:r w:rsidRPr="00286216">
              <w:rPr>
                <w:color w:val="000000" w:themeColor="text1"/>
              </w:rPr>
              <w:t xml:space="preserve"> (</w:t>
            </w:r>
            <w:r w:rsidRPr="00286216">
              <w:rPr>
                <w:rFonts w:hint="eastAsia"/>
                <w:color w:val="000000" w:themeColor="text1"/>
              </w:rPr>
              <w:t>до</w:t>
            </w:r>
            <w:r w:rsidRPr="00286216">
              <w:rPr>
                <w:color w:val="000000" w:themeColor="text1"/>
              </w:rPr>
              <w:t xml:space="preserve"> </w:t>
            </w:r>
            <w:r w:rsidRPr="00286216">
              <w:rPr>
                <w:rFonts w:hint="eastAsia"/>
                <w:color w:val="000000" w:themeColor="text1"/>
              </w:rPr>
              <w:t>одного</w:t>
            </w:r>
            <w:r w:rsidRPr="00286216">
              <w:rPr>
                <w:color w:val="000000" w:themeColor="text1"/>
              </w:rPr>
              <w:t xml:space="preserve"> </w:t>
            </w:r>
            <w:r w:rsidRPr="00286216">
              <w:rPr>
                <w:rFonts w:hint="eastAsia"/>
                <w:color w:val="000000" w:themeColor="text1"/>
              </w:rPr>
              <w:t>року</w:t>
            </w:r>
            <w:r w:rsidRPr="00286216">
              <w:rPr>
                <w:color w:val="000000" w:themeColor="text1"/>
              </w:rPr>
              <w:t xml:space="preserve">) </w:t>
            </w:r>
            <w:r w:rsidRPr="00286216">
              <w:rPr>
                <w:rFonts w:hint="eastAsia"/>
                <w:color w:val="000000" w:themeColor="text1"/>
              </w:rPr>
              <w:t>відповідно</w:t>
            </w:r>
            <w:r w:rsidRPr="00286216">
              <w:rPr>
                <w:color w:val="000000" w:themeColor="text1"/>
              </w:rPr>
              <w:t xml:space="preserve"> </w:t>
            </w:r>
            <w:r w:rsidRPr="00286216">
              <w:rPr>
                <w:rFonts w:hint="eastAsia"/>
                <w:color w:val="000000" w:themeColor="text1"/>
              </w:rPr>
              <w:t>до</w:t>
            </w:r>
            <w:r w:rsidRPr="00286216">
              <w:rPr>
                <w:color w:val="000000" w:themeColor="text1"/>
              </w:rPr>
              <w:t xml:space="preserve"> </w:t>
            </w:r>
            <w:r w:rsidRPr="00286216">
              <w:rPr>
                <w:rFonts w:hint="eastAsia"/>
                <w:color w:val="000000" w:themeColor="text1"/>
              </w:rPr>
              <w:t>законодавства</w:t>
            </w:r>
            <w:r w:rsidRPr="00286216">
              <w:rPr>
                <w:color w:val="000000" w:themeColor="text1"/>
              </w:rPr>
              <w:t xml:space="preserve">, </w:t>
            </w:r>
            <w:r w:rsidRPr="00286216">
              <w:rPr>
                <w:rFonts w:hint="eastAsia"/>
                <w:color w:val="000000" w:themeColor="text1"/>
              </w:rPr>
              <w:t>а</w:t>
            </w:r>
            <w:r w:rsidRPr="00286216">
              <w:rPr>
                <w:color w:val="000000" w:themeColor="text1"/>
              </w:rPr>
              <w:t xml:space="preserve"> </w:t>
            </w:r>
            <w:r w:rsidRPr="00286216">
              <w:rPr>
                <w:rFonts w:hint="eastAsia"/>
                <w:color w:val="000000" w:themeColor="text1"/>
              </w:rPr>
              <w:t>також</w:t>
            </w:r>
            <w:r w:rsidRPr="00286216">
              <w:rPr>
                <w:color w:val="000000" w:themeColor="text1"/>
              </w:rPr>
              <w:t xml:space="preserve"> </w:t>
            </w:r>
            <w:r w:rsidRPr="00286216">
              <w:rPr>
                <w:rFonts w:hint="eastAsia"/>
                <w:color w:val="000000" w:themeColor="text1"/>
              </w:rPr>
              <w:t>притягнення</w:t>
            </w:r>
            <w:r w:rsidRPr="00286216">
              <w:rPr>
                <w:color w:val="000000" w:themeColor="text1"/>
              </w:rPr>
              <w:t xml:space="preserve"> </w:t>
            </w:r>
            <w:r w:rsidRPr="00286216">
              <w:rPr>
                <w:rFonts w:hint="eastAsia"/>
                <w:color w:val="000000" w:themeColor="text1"/>
              </w:rPr>
              <w:t>до</w:t>
            </w:r>
            <w:r w:rsidRPr="00286216">
              <w:rPr>
                <w:color w:val="000000" w:themeColor="text1"/>
              </w:rPr>
              <w:t xml:space="preserve"> </w:t>
            </w:r>
            <w:r w:rsidRPr="00286216">
              <w:rPr>
                <w:rFonts w:hint="eastAsia"/>
                <w:color w:val="000000" w:themeColor="text1"/>
              </w:rPr>
              <w:t>відповідальності</w:t>
            </w:r>
            <w:r w:rsidRPr="00286216">
              <w:rPr>
                <w:color w:val="000000" w:themeColor="text1"/>
              </w:rPr>
              <w:t xml:space="preserve"> </w:t>
            </w:r>
            <w:r w:rsidRPr="00286216">
              <w:rPr>
                <w:rFonts w:hint="eastAsia"/>
                <w:color w:val="000000" w:themeColor="text1"/>
              </w:rPr>
              <w:t>за</w:t>
            </w:r>
            <w:r w:rsidRPr="00286216">
              <w:rPr>
                <w:color w:val="000000" w:themeColor="text1"/>
              </w:rPr>
              <w:t xml:space="preserve"> </w:t>
            </w:r>
            <w:r w:rsidRPr="00286216">
              <w:rPr>
                <w:rFonts w:hint="eastAsia"/>
                <w:color w:val="000000" w:themeColor="text1"/>
              </w:rPr>
              <w:t>порушення</w:t>
            </w:r>
            <w:r w:rsidRPr="00286216">
              <w:rPr>
                <w:color w:val="000000" w:themeColor="text1"/>
              </w:rPr>
              <w:t xml:space="preserve"> </w:t>
            </w:r>
            <w:r w:rsidRPr="00286216">
              <w:rPr>
                <w:rFonts w:hint="eastAsia"/>
                <w:color w:val="000000" w:themeColor="text1"/>
              </w:rPr>
              <w:t>правил</w:t>
            </w:r>
            <w:r w:rsidRPr="00286216">
              <w:rPr>
                <w:color w:val="000000" w:themeColor="text1"/>
              </w:rPr>
              <w:t xml:space="preserve"> </w:t>
            </w:r>
            <w:r w:rsidRPr="00286216">
              <w:rPr>
                <w:rFonts w:hint="eastAsia"/>
                <w:color w:val="000000" w:themeColor="text1"/>
              </w:rPr>
              <w:t>здійснення</w:t>
            </w:r>
            <w:r w:rsidRPr="00286216">
              <w:rPr>
                <w:color w:val="000000" w:themeColor="text1"/>
              </w:rPr>
              <w:t xml:space="preserve"> </w:t>
            </w:r>
            <w:r w:rsidRPr="00286216">
              <w:rPr>
                <w:rFonts w:hint="eastAsia"/>
                <w:color w:val="000000" w:themeColor="text1"/>
              </w:rPr>
              <w:t>такої</w:t>
            </w:r>
            <w:r w:rsidRPr="00286216">
              <w:rPr>
                <w:color w:val="000000" w:themeColor="text1"/>
              </w:rPr>
              <w:t xml:space="preserve"> </w:t>
            </w:r>
            <w:r w:rsidRPr="00286216">
              <w:rPr>
                <w:rFonts w:hint="eastAsia"/>
                <w:color w:val="000000" w:themeColor="text1"/>
              </w:rPr>
              <w:t>діяльності</w:t>
            </w:r>
            <w:r w:rsidRPr="00286216">
              <w:rPr>
                <w:color w:val="000000" w:themeColor="text1"/>
              </w:rPr>
              <w:t xml:space="preserve"> </w:t>
            </w:r>
            <w:r w:rsidRPr="00286216">
              <w:rPr>
                <w:rFonts w:hint="eastAsia"/>
                <w:color w:val="000000" w:themeColor="text1"/>
              </w:rPr>
              <w:t>згідно</w:t>
            </w:r>
            <w:r w:rsidRPr="00286216">
              <w:rPr>
                <w:color w:val="000000" w:themeColor="text1"/>
              </w:rPr>
              <w:t xml:space="preserve"> </w:t>
            </w:r>
            <w:r w:rsidRPr="00286216">
              <w:rPr>
                <w:rFonts w:hint="eastAsia"/>
                <w:color w:val="000000" w:themeColor="text1"/>
              </w:rPr>
              <w:t>із</w:t>
            </w:r>
            <w:r w:rsidRPr="00286216">
              <w:rPr>
                <w:color w:val="000000" w:themeColor="text1"/>
              </w:rPr>
              <w:t xml:space="preserve"> </w:t>
            </w:r>
            <w:r w:rsidRPr="00286216">
              <w:rPr>
                <w:rFonts w:hint="eastAsia"/>
                <w:color w:val="000000" w:themeColor="text1"/>
              </w:rPr>
              <w:t>законом</w:t>
            </w:r>
            <w:r w:rsidRPr="00286216">
              <w:rPr>
                <w:color w:val="000000" w:themeColor="text1"/>
              </w:rPr>
              <w:t>;</w:t>
            </w:r>
          </w:p>
          <w:p w14:paraId="5FDE2501" w14:textId="77777777" w:rsidR="004F1E44" w:rsidRPr="00286216" w:rsidRDefault="004F1E44" w:rsidP="004F1E44">
            <w:pPr>
              <w:pStyle w:val="StyleProp"/>
              <w:spacing w:line="180" w:lineRule="exact"/>
              <w:rPr>
                <w:color w:val="000000" w:themeColor="text1"/>
              </w:rPr>
            </w:pPr>
            <w:r w:rsidRPr="00286216">
              <w:rPr>
                <w:color w:val="000000" w:themeColor="text1"/>
              </w:rPr>
              <w:t>реєстрація випусків цінних паперів, звітів про результати емісії цінних паперів та затвердження проспектів цінних паперів;</w:t>
            </w:r>
          </w:p>
          <w:p w14:paraId="683E87C1" w14:textId="77777777" w:rsidR="004F1E44" w:rsidRPr="00286216" w:rsidRDefault="004F1E44" w:rsidP="004F1E44">
            <w:pPr>
              <w:pStyle w:val="StyleProp"/>
              <w:spacing w:line="180" w:lineRule="exact"/>
              <w:rPr>
                <w:color w:val="000000" w:themeColor="text1"/>
              </w:rPr>
            </w:pPr>
            <w:r w:rsidRPr="00286216">
              <w:rPr>
                <w:color w:val="000000" w:themeColor="text1"/>
              </w:rPr>
              <w:t>контроль за дотриманням емітентами порядку реєстрації випуску цінних паперів, звіту про результати емісії цінних паперів та затвердження проспекту цінних паперів;</w:t>
            </w:r>
          </w:p>
          <w:p w14:paraId="41EAE2A3" w14:textId="77777777" w:rsidR="004F1E44" w:rsidRPr="00286216" w:rsidRDefault="004F1E44" w:rsidP="004F1E44">
            <w:pPr>
              <w:pStyle w:val="StyleProp"/>
              <w:spacing w:line="180" w:lineRule="exact"/>
              <w:rPr>
                <w:color w:val="000000" w:themeColor="text1"/>
              </w:rPr>
            </w:pPr>
            <w:r w:rsidRPr="00286216">
              <w:rPr>
                <w:color w:val="000000" w:themeColor="text1"/>
              </w:rPr>
              <w:t>створення системи захисту прав інвесторів у фінансові інструменти і контролю за дотриманням цих прав емітентами цінних паперів та особами, які здійснюють професійну діяльність на ринках капіталу;</w:t>
            </w:r>
          </w:p>
          <w:p w14:paraId="6B0553CA" w14:textId="77777777" w:rsidR="004F1E44" w:rsidRPr="00286216" w:rsidRDefault="004F1E44" w:rsidP="004F1E44">
            <w:pPr>
              <w:pStyle w:val="StyleProp"/>
              <w:spacing w:line="180" w:lineRule="exact"/>
              <w:rPr>
                <w:color w:val="000000" w:themeColor="text1"/>
              </w:rPr>
            </w:pPr>
            <w:r w:rsidRPr="00286216">
              <w:rPr>
                <w:color w:val="000000" w:themeColor="text1"/>
              </w:rPr>
              <w:t>контроль за достовірністю інформації, що надається емітентами та особами, які здійснюють професійну діяльність на ринках капіталу та організованих товарних ринках;</w:t>
            </w:r>
          </w:p>
          <w:p w14:paraId="466C5EA6" w14:textId="77777777" w:rsidR="004F1E44" w:rsidRPr="00286216" w:rsidRDefault="004F1E44" w:rsidP="004F1E44">
            <w:pPr>
              <w:pStyle w:val="StyleProp"/>
              <w:spacing w:line="180" w:lineRule="exact"/>
              <w:rPr>
                <w:color w:val="000000" w:themeColor="text1"/>
              </w:rPr>
            </w:pPr>
            <w:r w:rsidRPr="00286216">
              <w:rPr>
                <w:color w:val="000000" w:themeColor="text1"/>
              </w:rPr>
              <w:t>встановлення правил і стандартів здійснення операцій на ринках капіталу та організованих товарних ринках, а також провадження контролю за дотриманням таких правил і стандартів;</w:t>
            </w:r>
          </w:p>
          <w:p w14:paraId="4677E04B" w14:textId="77777777" w:rsidR="004F1E44" w:rsidRPr="00286216" w:rsidRDefault="004F1E44" w:rsidP="004F1E44">
            <w:pPr>
              <w:pStyle w:val="StyleProp"/>
              <w:spacing w:line="180" w:lineRule="exact"/>
              <w:rPr>
                <w:color w:val="000000" w:themeColor="text1"/>
              </w:rPr>
            </w:pPr>
            <w:r w:rsidRPr="00286216">
              <w:rPr>
                <w:color w:val="000000" w:themeColor="text1"/>
              </w:rPr>
              <w:t>пруденційний нагляд за професійними учасниками ринків капіталу та організованих товарних ринків в межах діяльності, яка провадиться такими учасниками на підставі виданої Національною комісією з цінних паперів та фондового ринку ліцензії;</w:t>
            </w:r>
          </w:p>
          <w:p w14:paraId="7FE47CDA" w14:textId="77777777" w:rsidR="004F1E44" w:rsidRPr="00286216" w:rsidRDefault="004F1E44" w:rsidP="004F1E44">
            <w:pPr>
              <w:pStyle w:val="StyleProp"/>
              <w:spacing w:line="180" w:lineRule="exact"/>
              <w:rPr>
                <w:color w:val="000000" w:themeColor="text1"/>
              </w:rPr>
            </w:pPr>
            <w:r w:rsidRPr="00286216">
              <w:rPr>
                <w:color w:val="000000" w:themeColor="text1"/>
              </w:rPr>
              <w:t>реєстрація специфікацій деривативних контрактів, які укладаються на організованому ринку деривативних контрактів;</w:t>
            </w:r>
          </w:p>
          <w:p w14:paraId="7B96AEB4" w14:textId="77777777" w:rsidR="004F1E44" w:rsidRPr="00286216" w:rsidRDefault="004F1E44" w:rsidP="004F1E44">
            <w:pPr>
              <w:pStyle w:val="StyleProp"/>
              <w:spacing w:line="180" w:lineRule="exact"/>
              <w:rPr>
                <w:color w:val="000000" w:themeColor="text1"/>
              </w:rPr>
            </w:pPr>
            <w:r w:rsidRPr="00286216">
              <w:rPr>
                <w:color w:val="000000" w:themeColor="text1"/>
              </w:rPr>
              <w:t xml:space="preserve">контроль за діяльністю осіб, провадять </w:t>
            </w:r>
            <w:r w:rsidRPr="00286216">
              <w:rPr>
                <w:color w:val="000000" w:themeColor="text1"/>
              </w:rPr>
              <w:lastRenderedPageBreak/>
              <w:t>діяльність, пов'язану з ринками капіталу та організованими товарними ринками;</w:t>
            </w:r>
          </w:p>
          <w:p w14:paraId="3007410D" w14:textId="3BB60E90" w:rsidR="004F1E44" w:rsidRPr="00286216" w:rsidRDefault="004F1E44" w:rsidP="004F1E44">
            <w:pPr>
              <w:pStyle w:val="StyleProp"/>
              <w:spacing w:line="180" w:lineRule="exact"/>
              <w:rPr>
                <w:color w:val="000000" w:themeColor="text1"/>
                <w:szCs w:val="18"/>
              </w:rPr>
            </w:pPr>
            <w:r w:rsidRPr="00286216">
              <w:rPr>
                <w:color w:val="000000" w:themeColor="text1"/>
              </w:rPr>
              <w:t>проведення інших заходів у відповідності до закону".</w:t>
            </w:r>
          </w:p>
        </w:tc>
        <w:tc>
          <w:tcPr>
            <w:tcW w:w="1987" w:type="dxa"/>
          </w:tcPr>
          <w:p w14:paraId="70D7E8A1" w14:textId="77777777" w:rsidR="004F1E44" w:rsidRPr="00286216" w:rsidRDefault="004F1E44" w:rsidP="004F1E44">
            <w:pPr>
              <w:pStyle w:val="StyleWisnow"/>
              <w:rPr>
                <w:color w:val="000000" w:themeColor="text1"/>
              </w:rPr>
            </w:pPr>
            <w:r w:rsidRPr="00286216">
              <w:rPr>
                <w:color w:val="000000" w:themeColor="text1"/>
              </w:rPr>
              <w:lastRenderedPageBreak/>
              <w:t>Враховано</w:t>
            </w:r>
          </w:p>
          <w:p w14:paraId="21574A9E" w14:textId="26DBEA9B" w:rsidR="004F1E44" w:rsidRPr="00286216" w:rsidRDefault="004F1E44" w:rsidP="004F1E44">
            <w:pPr>
              <w:pStyle w:val="StyleWisnow"/>
              <w:spacing w:line="180" w:lineRule="exact"/>
              <w:rPr>
                <w:color w:val="000000" w:themeColor="text1"/>
              </w:rPr>
            </w:pPr>
            <w:r w:rsidRPr="00286216">
              <w:rPr>
                <w:color w:val="000000" w:themeColor="text1"/>
              </w:rPr>
              <w:t xml:space="preserve">відповідно до доручення Комітету щодо техніко-юридичного доопрацювання редакції законопроекту </w:t>
            </w:r>
          </w:p>
        </w:tc>
        <w:tc>
          <w:tcPr>
            <w:tcW w:w="4818" w:type="dxa"/>
          </w:tcPr>
          <w:p w14:paraId="74E6B23A" w14:textId="77777777" w:rsidR="004F1E44" w:rsidRPr="00286216" w:rsidRDefault="004F1E44" w:rsidP="004F1E44">
            <w:pPr>
              <w:pStyle w:val="StyleZakonu"/>
              <w:rPr>
                <w:color w:val="000000" w:themeColor="text1"/>
              </w:rPr>
            </w:pPr>
            <w:r w:rsidRPr="00286216">
              <w:rPr>
                <w:color w:val="000000" w:themeColor="text1"/>
              </w:rPr>
              <w:t>Державне регулювання ринків капіталу та організованих товарних ринків здійснюється у випадках і в межах, встановлених законом, у таких формах:</w:t>
            </w:r>
          </w:p>
          <w:p w14:paraId="51504BD6" w14:textId="77777777" w:rsidR="004F1E44" w:rsidRPr="00286216" w:rsidRDefault="004F1E44" w:rsidP="004F1E44">
            <w:pPr>
              <w:pStyle w:val="StyleZakonu"/>
              <w:rPr>
                <w:color w:val="000000" w:themeColor="text1"/>
              </w:rPr>
            </w:pPr>
            <w:r w:rsidRPr="00286216">
              <w:rPr>
                <w:rFonts w:ascii="&amp;quot" w:hAnsi="&amp;quot"/>
                <w:color w:val="000000" w:themeColor="text1"/>
              </w:rPr>
              <w:t xml:space="preserve">прийняття актів законодавства з питань діяльності учасників </w:t>
            </w:r>
            <w:r w:rsidRPr="00286216">
              <w:rPr>
                <w:color w:val="000000" w:themeColor="text1"/>
              </w:rPr>
              <w:t>ринків капіталу та організованих товарних ринків</w:t>
            </w:r>
            <w:r w:rsidRPr="00286216">
              <w:rPr>
                <w:rFonts w:ascii="&amp;quot" w:hAnsi="&amp;quot"/>
                <w:color w:val="000000" w:themeColor="text1"/>
              </w:rPr>
              <w:t>;</w:t>
            </w:r>
          </w:p>
          <w:p w14:paraId="107A38D2" w14:textId="77777777" w:rsidR="004F1E44" w:rsidRPr="00286216" w:rsidRDefault="004F1E44" w:rsidP="004F1E44">
            <w:pPr>
              <w:pStyle w:val="StyleZakonu"/>
              <w:rPr>
                <w:color w:val="000000" w:themeColor="text1"/>
              </w:rPr>
            </w:pPr>
            <w:r w:rsidRPr="00286216">
              <w:rPr>
                <w:color w:val="000000" w:themeColor="text1"/>
              </w:rPr>
              <w:t>провадження нагляду, здійснення регулювання та контролю щодо реалізації прав та виконання обов’язків учасниками ринків капіталу та організованих товарних ринків</w:t>
            </w:r>
            <w:r w:rsidRPr="00286216">
              <w:rPr>
                <w:rFonts w:ascii="&amp;quot" w:hAnsi="&amp;quot"/>
                <w:color w:val="000000" w:themeColor="text1"/>
              </w:rPr>
              <w:t>;</w:t>
            </w:r>
          </w:p>
          <w:p w14:paraId="3BE28F3B" w14:textId="77777777" w:rsidR="004F1E44" w:rsidRPr="00286216" w:rsidRDefault="004F1E44" w:rsidP="004F1E44">
            <w:pPr>
              <w:pStyle w:val="StyleZakonu"/>
              <w:rPr>
                <w:color w:val="000000" w:themeColor="text1"/>
              </w:rPr>
            </w:pPr>
            <w:r w:rsidRPr="00286216">
              <w:rPr>
                <w:color w:val="000000" w:themeColor="text1"/>
              </w:rPr>
              <w:t>регулювання емісії (видачі), обігу, викупу та погашення цінних паперів, укладення і виконання деривативних контрактів та вчинення і виконання правочинів щодо інших фінансових інструментів;</w:t>
            </w:r>
          </w:p>
          <w:p w14:paraId="7D9D9416" w14:textId="77777777" w:rsidR="004F1E44" w:rsidRPr="00286216" w:rsidRDefault="004F1E44" w:rsidP="004F1E44">
            <w:pPr>
              <w:pStyle w:val="StyleZakonu"/>
              <w:rPr>
                <w:color w:val="000000" w:themeColor="text1"/>
              </w:rPr>
            </w:pPr>
            <w:r w:rsidRPr="00286216">
              <w:rPr>
                <w:color w:val="000000" w:themeColor="text1"/>
              </w:rPr>
              <w:lastRenderedPageBreak/>
              <w:t>видача ліцензій на провадження відповідного виду діяльності в межах професійної діяльності на ринках капіталу та організованих товарних ринках, а також забезпечення контролю за такою діяльністю;</w:t>
            </w:r>
          </w:p>
          <w:p w14:paraId="2146FF0A" w14:textId="77777777" w:rsidR="004F1E44" w:rsidRPr="00286216" w:rsidRDefault="004F1E44" w:rsidP="004F1E44">
            <w:pPr>
              <w:pStyle w:val="StyleZakonu"/>
              <w:rPr>
                <w:color w:val="000000" w:themeColor="text1"/>
              </w:rPr>
            </w:pPr>
            <w:r w:rsidRPr="00286216">
              <w:rPr>
                <w:rFonts w:ascii="&amp;quot" w:hAnsi="&amp;quot"/>
                <w:color w:val="000000" w:themeColor="text1"/>
              </w:rPr>
              <w:t xml:space="preserve">заборона здійснення професійної діяльності </w:t>
            </w:r>
            <w:r w:rsidRPr="00286216">
              <w:rPr>
                <w:color w:val="000000" w:themeColor="text1"/>
              </w:rPr>
              <w:t>на ринках капіталу та організованих товарних ринках</w:t>
            </w:r>
            <w:r w:rsidRPr="00286216">
              <w:rPr>
                <w:rFonts w:ascii="&amp;quot" w:hAnsi="&amp;quot"/>
                <w:color w:val="000000" w:themeColor="text1"/>
              </w:rPr>
              <w:t xml:space="preserve"> у разі відсутності ліцензії на відповідну діяльність або зупинення такої діяльності на певний строк (до одного року) відповідно до законодавства, а також притягнення до відповідальності за порушення правил здійснення такої діяльності згідно із законом;</w:t>
            </w:r>
          </w:p>
          <w:p w14:paraId="3BB2DD9A" w14:textId="77777777" w:rsidR="004F1E44" w:rsidRPr="00286216" w:rsidRDefault="004F1E44" w:rsidP="004F1E44">
            <w:pPr>
              <w:pStyle w:val="StyleZakonu"/>
              <w:rPr>
                <w:color w:val="000000" w:themeColor="text1"/>
              </w:rPr>
            </w:pPr>
            <w:r w:rsidRPr="00286216">
              <w:rPr>
                <w:color w:val="000000" w:themeColor="text1"/>
              </w:rPr>
              <w:t>реєстрація випусків цінних паперів, звітів про результати емісії цінних паперів та затвердження проспектів цінних паперів;</w:t>
            </w:r>
          </w:p>
          <w:p w14:paraId="57EC34E9" w14:textId="77777777" w:rsidR="004F1E44" w:rsidRPr="00286216" w:rsidRDefault="004F1E44" w:rsidP="004F1E44">
            <w:pPr>
              <w:pStyle w:val="StyleZakonu"/>
              <w:rPr>
                <w:color w:val="000000" w:themeColor="text1"/>
              </w:rPr>
            </w:pPr>
            <w:r w:rsidRPr="00286216">
              <w:rPr>
                <w:color w:val="000000" w:themeColor="text1"/>
              </w:rPr>
              <w:t>контроль за дотриманням емітентами порядку реєстрації випуску цінних паперів, звіту про результати емісії цінних паперів та затвердження проспекту цінних паперів;</w:t>
            </w:r>
          </w:p>
          <w:p w14:paraId="1BB6B1ED" w14:textId="77777777" w:rsidR="004F1E44" w:rsidRPr="00286216" w:rsidRDefault="004F1E44" w:rsidP="004F1E44">
            <w:pPr>
              <w:pStyle w:val="StyleZakonu"/>
              <w:rPr>
                <w:color w:val="000000" w:themeColor="text1"/>
              </w:rPr>
            </w:pPr>
            <w:r w:rsidRPr="00286216">
              <w:rPr>
                <w:color w:val="000000" w:themeColor="text1"/>
              </w:rPr>
              <w:t>створення системи захисту прав інвесторів у фінансові інструменти і контролю за дотриманням цих прав емітентами цінних паперів та особами, які провадять професійну діяльність на ринках капіталу;</w:t>
            </w:r>
          </w:p>
          <w:p w14:paraId="4AD49E6C" w14:textId="77777777" w:rsidR="004F1E44" w:rsidRPr="00286216" w:rsidRDefault="004F1E44" w:rsidP="004F1E44">
            <w:pPr>
              <w:pStyle w:val="StyleZakonu"/>
              <w:rPr>
                <w:color w:val="000000" w:themeColor="text1"/>
              </w:rPr>
            </w:pPr>
            <w:r w:rsidRPr="00286216">
              <w:rPr>
                <w:color w:val="000000" w:themeColor="text1"/>
              </w:rPr>
              <w:t>контроль за достовірністю та повнотою розкриття інформації емітентами та особами, які провадять професійну діяльність на ринках капіталу та організованих товарних ринках;</w:t>
            </w:r>
          </w:p>
          <w:p w14:paraId="59CE8075" w14:textId="77777777" w:rsidR="004F1E44" w:rsidRPr="00286216" w:rsidRDefault="004F1E44" w:rsidP="004F1E44">
            <w:pPr>
              <w:pStyle w:val="StyleZakonu"/>
              <w:rPr>
                <w:color w:val="000000" w:themeColor="text1"/>
              </w:rPr>
            </w:pPr>
            <w:r w:rsidRPr="00286216">
              <w:rPr>
                <w:color w:val="000000" w:themeColor="text1"/>
              </w:rPr>
              <w:t>встановлення правил і стандартів здійснення операцій на ринках капіталу та організованих товарних ринках, а також провадження контролю за дотриманням таких правил і стандартів;</w:t>
            </w:r>
          </w:p>
          <w:p w14:paraId="6222DF92" w14:textId="77777777" w:rsidR="004F1E44" w:rsidRPr="00286216" w:rsidRDefault="004F1E44" w:rsidP="004F1E44">
            <w:pPr>
              <w:pStyle w:val="StyleZakonu"/>
              <w:rPr>
                <w:color w:val="000000" w:themeColor="text1"/>
              </w:rPr>
            </w:pPr>
            <w:r w:rsidRPr="00286216">
              <w:rPr>
                <w:color w:val="000000" w:themeColor="text1"/>
              </w:rPr>
              <w:t>пруденційний нагляд за професійними учасниками ринків капіталу та організованих товарних ринків у межах діяльності, яка провадиться такими учасниками на підставі виданої Національною комісією з цінних паперів та фондового ринку ліцензії;</w:t>
            </w:r>
          </w:p>
          <w:p w14:paraId="6EE7C06C" w14:textId="77777777" w:rsidR="004F1E44" w:rsidRPr="00286216" w:rsidRDefault="004F1E44" w:rsidP="004F1E44">
            <w:pPr>
              <w:pStyle w:val="StyleZakonu"/>
              <w:rPr>
                <w:color w:val="000000" w:themeColor="text1"/>
              </w:rPr>
            </w:pPr>
            <w:r w:rsidRPr="00286216">
              <w:rPr>
                <w:color w:val="000000" w:themeColor="text1"/>
              </w:rPr>
              <w:t>реєстрація специфікацій деривативних контрактів, які укладаються на організованому ринку деривативних контрактів;</w:t>
            </w:r>
          </w:p>
          <w:p w14:paraId="4BCDEE03" w14:textId="77777777" w:rsidR="004F1E44" w:rsidRPr="00286216" w:rsidRDefault="004F1E44" w:rsidP="004F1E44">
            <w:pPr>
              <w:pStyle w:val="StyleZakonu"/>
              <w:rPr>
                <w:color w:val="000000" w:themeColor="text1"/>
              </w:rPr>
            </w:pPr>
            <w:r w:rsidRPr="00286216">
              <w:rPr>
                <w:color w:val="000000" w:themeColor="text1"/>
              </w:rPr>
              <w:t>контроль за діяльністю осіб, які провадять діяльність, пов'язану з ринками капіталу та організованими товарними ринками;</w:t>
            </w:r>
          </w:p>
          <w:p w14:paraId="2CD66066" w14:textId="3630CFD1" w:rsidR="004F1E44" w:rsidRPr="00286216" w:rsidRDefault="004F1E44" w:rsidP="004F1E44">
            <w:pPr>
              <w:pStyle w:val="StyleZakonu"/>
              <w:rPr>
                <w:color w:val="000000" w:themeColor="text1"/>
              </w:rPr>
            </w:pPr>
            <w:r w:rsidRPr="00286216">
              <w:rPr>
                <w:color w:val="000000" w:themeColor="text1"/>
              </w:rPr>
              <w:lastRenderedPageBreak/>
              <w:t>проведення інших заходів  відповідно до закону";</w:t>
            </w:r>
          </w:p>
        </w:tc>
      </w:tr>
      <w:tr w:rsidR="004F1E44" w:rsidRPr="00286216" w14:paraId="0D2A6FE2" w14:textId="77777777" w:rsidTr="00091AA5">
        <w:tc>
          <w:tcPr>
            <w:tcW w:w="576" w:type="dxa"/>
          </w:tcPr>
          <w:p w14:paraId="36ED67AC" w14:textId="77777777" w:rsidR="004F1E44" w:rsidRPr="00286216" w:rsidRDefault="004F1E44" w:rsidP="004F1E44">
            <w:pPr>
              <w:pStyle w:val="StyleWisnow"/>
              <w:rPr>
                <w:color w:val="000000" w:themeColor="text1"/>
              </w:rPr>
            </w:pPr>
            <w:bookmarkStart w:id="2778" w:name="n2906" w:colFirst="0" w:colLast="0"/>
            <w:bookmarkEnd w:id="2777"/>
            <w:r w:rsidRPr="00286216">
              <w:rPr>
                <w:color w:val="000000" w:themeColor="text1"/>
              </w:rPr>
              <w:lastRenderedPageBreak/>
              <w:t>2906.</w:t>
            </w:r>
          </w:p>
        </w:tc>
        <w:tc>
          <w:tcPr>
            <w:tcW w:w="4818" w:type="dxa"/>
          </w:tcPr>
          <w:p w14:paraId="4CAEF9DD" w14:textId="77777777" w:rsidR="004F1E44" w:rsidRPr="00286216" w:rsidRDefault="004F1E44" w:rsidP="004F1E44">
            <w:pPr>
              <w:pStyle w:val="StyleZakonu"/>
              <w:rPr>
                <w:color w:val="000000" w:themeColor="text1"/>
              </w:rPr>
            </w:pPr>
            <w:r w:rsidRPr="00286216">
              <w:rPr>
                <w:color w:val="000000" w:themeColor="text1"/>
              </w:rPr>
              <w:t>в абзацах першому та десятому слова "ринку цінних паперів" замінити словами "ринки капіталу та організовані товарні ринки" у відповідному відмінку;</w:t>
            </w:r>
          </w:p>
        </w:tc>
        <w:tc>
          <w:tcPr>
            <w:tcW w:w="3686" w:type="dxa"/>
          </w:tcPr>
          <w:p w14:paraId="6FB47EF4" w14:textId="55D8B000" w:rsidR="004F1E44" w:rsidRPr="00286216" w:rsidRDefault="004F1E44" w:rsidP="004F1E4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1286</w:t>
            </w:r>
            <w:r w:rsidRPr="00286216">
              <w:rPr>
                <w:color w:val="000000" w:themeColor="text1"/>
                <w:spacing w:val="-2"/>
              </w:rPr>
              <w:fldChar w:fldCharType="end"/>
            </w:r>
            <w:r w:rsidRPr="00286216">
              <w:rPr>
                <w:color w:val="000000" w:themeColor="text1"/>
                <w:spacing w:val="-2"/>
              </w:rPr>
              <w:t>-Н.д.Шахов С.В. (Реєстр.картка №114)</w:t>
            </w:r>
          </w:p>
          <w:p w14:paraId="7A775784" w14:textId="77777777" w:rsidR="004F1E44" w:rsidRPr="00286216" w:rsidRDefault="004F1E44" w:rsidP="004F1E44">
            <w:pPr>
              <w:spacing w:line="180" w:lineRule="exact"/>
              <w:ind w:firstLine="227"/>
              <w:jc w:val="both"/>
              <w:rPr>
                <w:color w:val="000000" w:themeColor="text1"/>
                <w:spacing w:val="-2"/>
                <w:sz w:val="18"/>
              </w:rPr>
            </w:pPr>
            <w:r w:rsidRPr="00286216">
              <w:rPr>
                <w:color w:val="000000" w:themeColor="text1"/>
                <w:spacing w:val="-2"/>
                <w:sz w:val="18"/>
              </w:rPr>
              <w:t>У п.п. "б" п.п. 4 п. 17 зміни до абз. 1 ч. 1 статті 3 викласти у такій редакції:</w:t>
            </w:r>
          </w:p>
          <w:p w14:paraId="4F654CFA"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"абзац перший частини першої викласти у такій редакції:</w:t>
            </w:r>
          </w:p>
          <w:p w14:paraId="7C46ED8E"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"Державне регулювання ринків капіталу та організованих товарних ринках здійснюється Національною комісією з цінних паперів та фондового ринку у випадках і в межах, встановлених Законом України «Про ринки капіталу та організовані товарні ринки», у таких формах:".</w:t>
            </w:r>
          </w:p>
        </w:tc>
        <w:tc>
          <w:tcPr>
            <w:tcW w:w="1987" w:type="dxa"/>
          </w:tcPr>
          <w:p w14:paraId="48145F84" w14:textId="77777777" w:rsidR="004F1E44" w:rsidRPr="00286216" w:rsidRDefault="004F1E44" w:rsidP="004F1E44">
            <w:pPr>
              <w:pStyle w:val="StyleWisnow"/>
              <w:rPr>
                <w:color w:val="000000" w:themeColor="text1"/>
              </w:rPr>
            </w:pPr>
            <w:r w:rsidRPr="00286216">
              <w:rPr>
                <w:color w:val="000000" w:themeColor="text1"/>
              </w:rPr>
              <w:t>Враховано редакційно</w:t>
            </w:r>
          </w:p>
        </w:tc>
        <w:tc>
          <w:tcPr>
            <w:tcW w:w="4818" w:type="dxa"/>
          </w:tcPr>
          <w:p w14:paraId="4F586513" w14:textId="66026654" w:rsidR="004F1E44" w:rsidRPr="00286216" w:rsidRDefault="004F1E44" w:rsidP="004F1E44">
            <w:pPr>
              <w:pStyle w:val="StyleZakonu"/>
              <w:rPr>
                <w:color w:val="000000" w:themeColor="text1"/>
              </w:rPr>
            </w:pPr>
          </w:p>
        </w:tc>
      </w:tr>
      <w:tr w:rsidR="004F1E44" w:rsidRPr="00286216" w14:paraId="5C74590F" w14:textId="77777777" w:rsidTr="00091AA5">
        <w:tc>
          <w:tcPr>
            <w:tcW w:w="576" w:type="dxa"/>
          </w:tcPr>
          <w:p w14:paraId="3012ECBF" w14:textId="77777777" w:rsidR="004F1E44" w:rsidRPr="00286216" w:rsidRDefault="004F1E44" w:rsidP="004F1E44">
            <w:pPr>
              <w:pStyle w:val="StyleWisnow"/>
              <w:rPr>
                <w:color w:val="000000" w:themeColor="text1"/>
              </w:rPr>
            </w:pPr>
          </w:p>
        </w:tc>
        <w:tc>
          <w:tcPr>
            <w:tcW w:w="4818" w:type="dxa"/>
          </w:tcPr>
          <w:p w14:paraId="61112557" w14:textId="77777777" w:rsidR="004F1E44" w:rsidRPr="00286216" w:rsidRDefault="004F1E44" w:rsidP="004F1E44">
            <w:pPr>
              <w:pStyle w:val="StyleZakonu"/>
              <w:rPr>
                <w:color w:val="000000" w:themeColor="text1"/>
              </w:rPr>
            </w:pPr>
          </w:p>
        </w:tc>
        <w:tc>
          <w:tcPr>
            <w:tcW w:w="3686" w:type="dxa"/>
          </w:tcPr>
          <w:p w14:paraId="69D25F28" w14:textId="0B0B6D28"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1287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8B42AC0" w14:textId="46C70AE1" w:rsidR="004F1E44" w:rsidRPr="00286216" w:rsidRDefault="004F1E44" w:rsidP="004F1E44">
            <w:pPr>
              <w:pStyle w:val="StyleProp"/>
              <w:spacing w:line="180" w:lineRule="exact"/>
              <w:rPr>
                <w:color w:val="000000" w:themeColor="text1"/>
                <w:szCs w:val="18"/>
              </w:rPr>
            </w:pPr>
            <w:r w:rsidRPr="00286216">
              <w:rPr>
                <w:color w:val="000000" w:themeColor="text1"/>
                <w:szCs w:val="18"/>
              </w:rPr>
              <w:t>Підпункт «б» підпункту 4 пункту 17 розділу 3 після абзацу другого доповнити новим абзацом такого змісту:</w:t>
            </w:r>
          </w:p>
          <w:p w14:paraId="02D8BED4"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«в абзаці другому слова «ринку цінних паперів» замінити словами «ринків капіталу та професійних учасників організованих товарних ринків».</w:t>
            </w:r>
          </w:p>
        </w:tc>
        <w:tc>
          <w:tcPr>
            <w:tcW w:w="1987" w:type="dxa"/>
          </w:tcPr>
          <w:p w14:paraId="501D6B89" w14:textId="7F836F62" w:rsidR="004F1E44" w:rsidRPr="00286216" w:rsidRDefault="004F1E44" w:rsidP="004F1E44">
            <w:pPr>
              <w:pStyle w:val="StyleWisnow"/>
              <w:rPr>
                <w:color w:val="000000" w:themeColor="text1"/>
              </w:rPr>
            </w:pPr>
            <w:r w:rsidRPr="00286216">
              <w:rPr>
                <w:color w:val="000000" w:themeColor="text1"/>
              </w:rPr>
              <w:t>Враховано редакційно</w:t>
            </w:r>
          </w:p>
        </w:tc>
        <w:tc>
          <w:tcPr>
            <w:tcW w:w="4818" w:type="dxa"/>
          </w:tcPr>
          <w:p w14:paraId="5DCB5478" w14:textId="7AD4FECF" w:rsidR="004F1E44" w:rsidRPr="00286216" w:rsidRDefault="004F1E44" w:rsidP="004F1E44">
            <w:pPr>
              <w:pStyle w:val="StyleZakonu"/>
              <w:rPr>
                <w:color w:val="000000" w:themeColor="text1"/>
              </w:rPr>
            </w:pPr>
          </w:p>
        </w:tc>
      </w:tr>
      <w:tr w:rsidR="004F1E44" w:rsidRPr="00286216" w14:paraId="3F1D3350" w14:textId="77777777" w:rsidTr="00091AA5">
        <w:tc>
          <w:tcPr>
            <w:tcW w:w="576" w:type="dxa"/>
          </w:tcPr>
          <w:p w14:paraId="768969A4" w14:textId="77777777" w:rsidR="004F1E44" w:rsidRPr="00286216" w:rsidRDefault="004F1E44" w:rsidP="004F1E44">
            <w:pPr>
              <w:pStyle w:val="StyleWisnow"/>
              <w:rPr>
                <w:color w:val="000000" w:themeColor="text1"/>
              </w:rPr>
            </w:pPr>
            <w:bookmarkStart w:id="2779" w:name="n2907" w:colFirst="0" w:colLast="0"/>
            <w:bookmarkEnd w:id="2778"/>
            <w:r w:rsidRPr="00286216">
              <w:rPr>
                <w:color w:val="000000" w:themeColor="text1"/>
              </w:rPr>
              <w:t>2907.</w:t>
            </w:r>
          </w:p>
        </w:tc>
        <w:tc>
          <w:tcPr>
            <w:tcW w:w="4818" w:type="dxa"/>
          </w:tcPr>
          <w:p w14:paraId="10A6A693" w14:textId="77777777" w:rsidR="004F1E44" w:rsidRPr="00286216" w:rsidRDefault="004F1E44" w:rsidP="004F1E44">
            <w:pPr>
              <w:pStyle w:val="StyleZakonu"/>
              <w:rPr>
                <w:color w:val="000000" w:themeColor="text1"/>
              </w:rPr>
            </w:pPr>
            <w:r w:rsidRPr="00286216">
              <w:rPr>
                <w:color w:val="000000" w:themeColor="text1"/>
              </w:rPr>
              <w:t>абзац третій викласти в такій редакції:</w:t>
            </w:r>
          </w:p>
        </w:tc>
        <w:tc>
          <w:tcPr>
            <w:tcW w:w="3686" w:type="dxa"/>
          </w:tcPr>
          <w:p w14:paraId="645121C1" w14:textId="77777777" w:rsidR="004F1E44" w:rsidRPr="00286216" w:rsidRDefault="004F1E44" w:rsidP="004F1E44">
            <w:pPr>
              <w:pStyle w:val="StyleProp"/>
              <w:rPr>
                <w:color w:val="000000" w:themeColor="text1"/>
                <w:szCs w:val="18"/>
              </w:rPr>
            </w:pPr>
          </w:p>
        </w:tc>
        <w:tc>
          <w:tcPr>
            <w:tcW w:w="1987" w:type="dxa"/>
          </w:tcPr>
          <w:p w14:paraId="1788C67A" w14:textId="77777777" w:rsidR="004F1E44" w:rsidRPr="00286216" w:rsidRDefault="004F1E44" w:rsidP="004F1E44">
            <w:pPr>
              <w:pStyle w:val="StyleWisnow"/>
              <w:rPr>
                <w:color w:val="000000" w:themeColor="text1"/>
              </w:rPr>
            </w:pPr>
          </w:p>
        </w:tc>
        <w:tc>
          <w:tcPr>
            <w:tcW w:w="4818" w:type="dxa"/>
          </w:tcPr>
          <w:p w14:paraId="7532F63B" w14:textId="5840519F" w:rsidR="004F1E44" w:rsidRPr="00286216" w:rsidRDefault="004F1E44" w:rsidP="004F1E44">
            <w:pPr>
              <w:pStyle w:val="StyleZakonu"/>
              <w:rPr>
                <w:color w:val="000000" w:themeColor="text1"/>
              </w:rPr>
            </w:pPr>
          </w:p>
        </w:tc>
      </w:tr>
      <w:tr w:rsidR="004F1E44" w:rsidRPr="00286216" w14:paraId="34163448" w14:textId="77777777" w:rsidTr="00091AA5">
        <w:tc>
          <w:tcPr>
            <w:tcW w:w="576" w:type="dxa"/>
          </w:tcPr>
          <w:p w14:paraId="5E4663E5" w14:textId="77777777" w:rsidR="004F1E44" w:rsidRPr="00286216" w:rsidRDefault="004F1E44" w:rsidP="004F1E44">
            <w:pPr>
              <w:pStyle w:val="StyleWisnow"/>
              <w:rPr>
                <w:color w:val="000000" w:themeColor="text1"/>
              </w:rPr>
            </w:pPr>
            <w:bookmarkStart w:id="2780" w:name="n2908" w:colFirst="0" w:colLast="0"/>
            <w:bookmarkEnd w:id="2779"/>
            <w:r w:rsidRPr="00286216">
              <w:rPr>
                <w:color w:val="000000" w:themeColor="text1"/>
              </w:rPr>
              <w:t>2908.</w:t>
            </w:r>
          </w:p>
        </w:tc>
        <w:tc>
          <w:tcPr>
            <w:tcW w:w="4818" w:type="dxa"/>
          </w:tcPr>
          <w:p w14:paraId="4D732E3E" w14:textId="77777777" w:rsidR="004F1E44" w:rsidRPr="00286216" w:rsidRDefault="004F1E44" w:rsidP="004F1E44">
            <w:pPr>
              <w:pStyle w:val="StyleZakonu"/>
              <w:rPr>
                <w:color w:val="000000" w:themeColor="text1"/>
              </w:rPr>
            </w:pPr>
            <w:r w:rsidRPr="00286216">
              <w:rPr>
                <w:color w:val="000000" w:themeColor="text1"/>
              </w:rPr>
              <w:t>"регулювання емісії (видачі), обігу, викупу та погашення цінних паперів, укладення та виконання деривативних контрактів і правочинів щодо них, прав та обов’язків учасників ринків капіталу; ";</w:t>
            </w:r>
          </w:p>
        </w:tc>
        <w:tc>
          <w:tcPr>
            <w:tcW w:w="3686" w:type="dxa"/>
          </w:tcPr>
          <w:p w14:paraId="56C1E97F" w14:textId="26115943"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1288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8279955" w14:textId="77777777" w:rsidR="004F1E44" w:rsidRPr="00286216" w:rsidRDefault="004F1E44" w:rsidP="009D3849">
            <w:pPr>
              <w:pStyle w:val="StyleProp"/>
              <w:spacing w:line="180" w:lineRule="exact"/>
              <w:rPr>
                <w:color w:val="000000" w:themeColor="text1"/>
                <w:szCs w:val="18"/>
              </w:rPr>
            </w:pPr>
            <w:r w:rsidRPr="00286216">
              <w:rPr>
                <w:color w:val="000000" w:themeColor="text1"/>
                <w:szCs w:val="18"/>
              </w:rPr>
              <w:t>Абзац четвертий підпункту «б» підпункту 4 пункту 17 розділу 3 викласти в такій редакції:</w:t>
            </w:r>
          </w:p>
          <w:p w14:paraId="523236CE" w14:textId="77777777" w:rsidR="004F1E44" w:rsidRPr="00286216" w:rsidRDefault="004F1E44" w:rsidP="009D3849">
            <w:pPr>
              <w:pStyle w:val="StyleProp"/>
              <w:spacing w:line="180" w:lineRule="exact"/>
              <w:rPr>
                <w:color w:val="000000" w:themeColor="text1"/>
                <w:szCs w:val="18"/>
              </w:rPr>
            </w:pPr>
            <w:r w:rsidRPr="00286216">
              <w:rPr>
                <w:color w:val="000000" w:themeColor="text1"/>
                <w:szCs w:val="18"/>
              </w:rPr>
              <w:t>«регулювання емісії (видачі), обігу, викупу та погашення цінних паперів, укладення та виконання деривативних контрактів і вчинення та виконання правочинів щодо інших фінансових інструментів, прав та обов’язків учасників ринків капіталу»</w:t>
            </w:r>
          </w:p>
        </w:tc>
        <w:tc>
          <w:tcPr>
            <w:tcW w:w="1987" w:type="dxa"/>
          </w:tcPr>
          <w:p w14:paraId="6B6D705F" w14:textId="4A804F02" w:rsidR="004F1E44" w:rsidRPr="00286216" w:rsidRDefault="004F1E44" w:rsidP="004F1E44">
            <w:pPr>
              <w:pStyle w:val="StyleWisnow"/>
              <w:rPr>
                <w:color w:val="000000" w:themeColor="text1"/>
              </w:rPr>
            </w:pPr>
            <w:r w:rsidRPr="00286216">
              <w:rPr>
                <w:color w:val="000000" w:themeColor="text1"/>
              </w:rPr>
              <w:t>Враховано редакційно</w:t>
            </w:r>
          </w:p>
        </w:tc>
        <w:tc>
          <w:tcPr>
            <w:tcW w:w="4818" w:type="dxa"/>
          </w:tcPr>
          <w:p w14:paraId="607CF029" w14:textId="36881582" w:rsidR="004F1E44" w:rsidRPr="00286216" w:rsidRDefault="004F1E44" w:rsidP="004F1E44">
            <w:pPr>
              <w:pStyle w:val="StyleZakonu"/>
              <w:rPr>
                <w:color w:val="000000" w:themeColor="text1"/>
              </w:rPr>
            </w:pPr>
          </w:p>
        </w:tc>
      </w:tr>
      <w:tr w:rsidR="004F1E44" w:rsidRPr="00286216" w14:paraId="73A4C3E7" w14:textId="77777777" w:rsidTr="00091AA5">
        <w:tc>
          <w:tcPr>
            <w:tcW w:w="576" w:type="dxa"/>
          </w:tcPr>
          <w:p w14:paraId="52E06A66" w14:textId="77777777" w:rsidR="004F1E44" w:rsidRPr="00286216" w:rsidRDefault="004F1E44" w:rsidP="004F1E44">
            <w:pPr>
              <w:pStyle w:val="StyleWisnow"/>
              <w:rPr>
                <w:color w:val="000000" w:themeColor="text1"/>
              </w:rPr>
            </w:pPr>
            <w:bookmarkStart w:id="2781" w:name="n2909" w:colFirst="0" w:colLast="0"/>
            <w:bookmarkEnd w:id="2780"/>
            <w:r w:rsidRPr="00286216">
              <w:rPr>
                <w:color w:val="000000" w:themeColor="text1"/>
              </w:rPr>
              <w:t>2909.</w:t>
            </w:r>
          </w:p>
        </w:tc>
        <w:tc>
          <w:tcPr>
            <w:tcW w:w="4818" w:type="dxa"/>
          </w:tcPr>
          <w:p w14:paraId="065EA665" w14:textId="77777777" w:rsidR="004F1E44" w:rsidRPr="00286216" w:rsidRDefault="004F1E44" w:rsidP="00286216">
            <w:pPr>
              <w:pStyle w:val="StyleZakonu"/>
              <w:spacing w:after="40" w:line="214" w:lineRule="exact"/>
              <w:rPr>
                <w:color w:val="000000" w:themeColor="text1"/>
              </w:rPr>
            </w:pPr>
            <w:r w:rsidRPr="00286216">
              <w:rPr>
                <w:color w:val="000000" w:themeColor="text1"/>
              </w:rPr>
              <w:t>абзац четвертий викласти в такій редакції:</w:t>
            </w:r>
          </w:p>
        </w:tc>
        <w:tc>
          <w:tcPr>
            <w:tcW w:w="3686" w:type="dxa"/>
          </w:tcPr>
          <w:p w14:paraId="78223446" w14:textId="77777777" w:rsidR="004F1E44" w:rsidRPr="00286216" w:rsidRDefault="004F1E44" w:rsidP="004F1E44">
            <w:pPr>
              <w:pStyle w:val="StyleProp"/>
              <w:rPr>
                <w:color w:val="000000" w:themeColor="text1"/>
                <w:szCs w:val="18"/>
              </w:rPr>
            </w:pPr>
          </w:p>
        </w:tc>
        <w:tc>
          <w:tcPr>
            <w:tcW w:w="1987" w:type="dxa"/>
          </w:tcPr>
          <w:p w14:paraId="533C5B7D" w14:textId="77777777" w:rsidR="004F1E44" w:rsidRPr="00286216" w:rsidRDefault="004F1E44" w:rsidP="004F1E44">
            <w:pPr>
              <w:pStyle w:val="StyleWisnow"/>
              <w:rPr>
                <w:color w:val="000000" w:themeColor="text1"/>
              </w:rPr>
            </w:pPr>
          </w:p>
        </w:tc>
        <w:tc>
          <w:tcPr>
            <w:tcW w:w="4818" w:type="dxa"/>
          </w:tcPr>
          <w:p w14:paraId="4D8EA034" w14:textId="1DADE06A" w:rsidR="004F1E44" w:rsidRPr="00286216" w:rsidRDefault="004F1E44" w:rsidP="004F1E44">
            <w:pPr>
              <w:pStyle w:val="StyleZakonu"/>
              <w:rPr>
                <w:color w:val="000000" w:themeColor="text1"/>
              </w:rPr>
            </w:pPr>
          </w:p>
        </w:tc>
      </w:tr>
      <w:tr w:rsidR="004F1E44" w:rsidRPr="00286216" w14:paraId="2932981C" w14:textId="77777777" w:rsidTr="00091AA5">
        <w:tc>
          <w:tcPr>
            <w:tcW w:w="576" w:type="dxa"/>
          </w:tcPr>
          <w:p w14:paraId="12FC6D08" w14:textId="77777777" w:rsidR="004F1E44" w:rsidRPr="00286216" w:rsidRDefault="004F1E44" w:rsidP="004F1E44">
            <w:pPr>
              <w:pStyle w:val="StyleWisnow"/>
              <w:rPr>
                <w:color w:val="000000" w:themeColor="text1"/>
              </w:rPr>
            </w:pPr>
            <w:bookmarkStart w:id="2782" w:name="n2910" w:colFirst="0" w:colLast="0"/>
            <w:bookmarkEnd w:id="2781"/>
            <w:r w:rsidRPr="00286216">
              <w:rPr>
                <w:color w:val="000000" w:themeColor="text1"/>
              </w:rPr>
              <w:t>2910.</w:t>
            </w:r>
          </w:p>
        </w:tc>
        <w:tc>
          <w:tcPr>
            <w:tcW w:w="4818" w:type="dxa"/>
          </w:tcPr>
          <w:p w14:paraId="78EF85F9" w14:textId="77777777" w:rsidR="004F1E44" w:rsidRPr="00286216" w:rsidRDefault="004F1E44" w:rsidP="00286216">
            <w:pPr>
              <w:pStyle w:val="StyleZakonu"/>
              <w:spacing w:after="40" w:line="214" w:lineRule="exact"/>
              <w:rPr>
                <w:color w:val="000000" w:themeColor="text1"/>
              </w:rPr>
            </w:pPr>
            <w:r w:rsidRPr="00286216">
              <w:rPr>
                <w:color w:val="000000" w:themeColor="text1"/>
              </w:rPr>
              <w:t>"видача ліцензій на здійснення професійної діяльності на ринках капіталу та професійної діяльності на організованих товарних ринках, а також забезпечення контролю за такою діяльністю";</w:t>
            </w:r>
          </w:p>
        </w:tc>
        <w:tc>
          <w:tcPr>
            <w:tcW w:w="3686" w:type="dxa"/>
          </w:tcPr>
          <w:p w14:paraId="17F398E5" w14:textId="77777777" w:rsidR="004F1E44" w:rsidRPr="00286216" w:rsidRDefault="004F1E44" w:rsidP="004F1E44">
            <w:pPr>
              <w:pStyle w:val="StyleProp"/>
              <w:rPr>
                <w:color w:val="000000" w:themeColor="text1"/>
                <w:szCs w:val="18"/>
              </w:rPr>
            </w:pPr>
          </w:p>
        </w:tc>
        <w:tc>
          <w:tcPr>
            <w:tcW w:w="1987" w:type="dxa"/>
          </w:tcPr>
          <w:p w14:paraId="773D5158" w14:textId="77777777" w:rsidR="004F1E44" w:rsidRPr="00286216" w:rsidRDefault="004F1E44" w:rsidP="004F1E44">
            <w:pPr>
              <w:pStyle w:val="StyleWisnow"/>
              <w:rPr>
                <w:color w:val="000000" w:themeColor="text1"/>
              </w:rPr>
            </w:pPr>
          </w:p>
        </w:tc>
        <w:tc>
          <w:tcPr>
            <w:tcW w:w="4818" w:type="dxa"/>
          </w:tcPr>
          <w:p w14:paraId="06669A1A" w14:textId="35ACC755" w:rsidR="004F1E44" w:rsidRPr="00286216" w:rsidRDefault="004F1E44" w:rsidP="004F1E44">
            <w:pPr>
              <w:pStyle w:val="StyleZakonu"/>
              <w:rPr>
                <w:color w:val="000000" w:themeColor="text1"/>
              </w:rPr>
            </w:pPr>
          </w:p>
        </w:tc>
      </w:tr>
      <w:tr w:rsidR="004F1E44" w:rsidRPr="00286216" w14:paraId="1D85545A" w14:textId="77777777" w:rsidTr="00091AA5">
        <w:tc>
          <w:tcPr>
            <w:tcW w:w="576" w:type="dxa"/>
          </w:tcPr>
          <w:p w14:paraId="15023AA6" w14:textId="77777777" w:rsidR="004F1E44" w:rsidRPr="00286216" w:rsidRDefault="004F1E44" w:rsidP="004F1E44">
            <w:pPr>
              <w:pStyle w:val="StyleWisnow"/>
              <w:rPr>
                <w:color w:val="000000" w:themeColor="text1"/>
              </w:rPr>
            </w:pPr>
            <w:bookmarkStart w:id="2783" w:name="n2911" w:colFirst="0" w:colLast="0"/>
            <w:bookmarkEnd w:id="2782"/>
            <w:r w:rsidRPr="00286216">
              <w:rPr>
                <w:color w:val="000000" w:themeColor="text1"/>
              </w:rPr>
              <w:t>2911.</w:t>
            </w:r>
          </w:p>
        </w:tc>
        <w:tc>
          <w:tcPr>
            <w:tcW w:w="4818" w:type="dxa"/>
          </w:tcPr>
          <w:p w14:paraId="1190A8EE" w14:textId="77777777" w:rsidR="004F1E44" w:rsidRPr="00286216" w:rsidRDefault="004F1E44" w:rsidP="00286216">
            <w:pPr>
              <w:pStyle w:val="StyleZakonu"/>
              <w:spacing w:after="40" w:line="214" w:lineRule="exact"/>
              <w:rPr>
                <w:color w:val="000000" w:themeColor="text1"/>
              </w:rPr>
            </w:pPr>
            <w:r w:rsidRPr="00286216">
              <w:rPr>
                <w:color w:val="000000" w:themeColor="text1"/>
              </w:rPr>
              <w:t>у абзацах шостому та сьомому слово "розміщення" замінити словом "емісії";</w:t>
            </w:r>
          </w:p>
        </w:tc>
        <w:tc>
          <w:tcPr>
            <w:tcW w:w="3686" w:type="dxa"/>
          </w:tcPr>
          <w:p w14:paraId="75AD75E5" w14:textId="77777777" w:rsidR="004F1E44" w:rsidRPr="00286216" w:rsidRDefault="004F1E44" w:rsidP="004F1E44">
            <w:pPr>
              <w:pStyle w:val="StyleProp"/>
              <w:rPr>
                <w:color w:val="000000" w:themeColor="text1"/>
                <w:szCs w:val="18"/>
              </w:rPr>
            </w:pPr>
          </w:p>
        </w:tc>
        <w:tc>
          <w:tcPr>
            <w:tcW w:w="1987" w:type="dxa"/>
          </w:tcPr>
          <w:p w14:paraId="1A90BE51" w14:textId="77777777" w:rsidR="004F1E44" w:rsidRPr="00286216" w:rsidRDefault="004F1E44" w:rsidP="004F1E44">
            <w:pPr>
              <w:pStyle w:val="StyleWisnow"/>
              <w:rPr>
                <w:color w:val="000000" w:themeColor="text1"/>
              </w:rPr>
            </w:pPr>
          </w:p>
        </w:tc>
        <w:tc>
          <w:tcPr>
            <w:tcW w:w="4818" w:type="dxa"/>
          </w:tcPr>
          <w:p w14:paraId="3DE1E119" w14:textId="4067E7F0" w:rsidR="004F1E44" w:rsidRPr="00286216" w:rsidRDefault="004F1E44" w:rsidP="004F1E44">
            <w:pPr>
              <w:pStyle w:val="StyleZakonu"/>
              <w:rPr>
                <w:color w:val="000000" w:themeColor="text1"/>
              </w:rPr>
            </w:pPr>
          </w:p>
        </w:tc>
      </w:tr>
      <w:tr w:rsidR="004F1E44" w:rsidRPr="00286216" w14:paraId="72D2142A" w14:textId="77777777" w:rsidTr="00091AA5">
        <w:tc>
          <w:tcPr>
            <w:tcW w:w="576" w:type="dxa"/>
          </w:tcPr>
          <w:p w14:paraId="1F01B320" w14:textId="77777777" w:rsidR="004F1E44" w:rsidRPr="00286216" w:rsidRDefault="004F1E44" w:rsidP="004F1E44">
            <w:pPr>
              <w:pStyle w:val="StyleWisnow"/>
              <w:rPr>
                <w:color w:val="000000" w:themeColor="text1"/>
              </w:rPr>
            </w:pPr>
            <w:bookmarkStart w:id="2784" w:name="n2912" w:colFirst="0" w:colLast="0"/>
            <w:bookmarkEnd w:id="2783"/>
            <w:r w:rsidRPr="00286216">
              <w:rPr>
                <w:color w:val="000000" w:themeColor="text1"/>
              </w:rPr>
              <w:t>2912.</w:t>
            </w:r>
          </w:p>
        </w:tc>
        <w:tc>
          <w:tcPr>
            <w:tcW w:w="4818" w:type="dxa"/>
          </w:tcPr>
          <w:p w14:paraId="1F418F78" w14:textId="77777777" w:rsidR="004F1E44" w:rsidRPr="00286216" w:rsidRDefault="004F1E44" w:rsidP="00286216">
            <w:pPr>
              <w:pStyle w:val="StyleZakonu"/>
              <w:spacing w:after="40" w:line="214" w:lineRule="exact"/>
              <w:rPr>
                <w:color w:val="000000" w:themeColor="text1"/>
              </w:rPr>
            </w:pPr>
            <w:r w:rsidRPr="00286216">
              <w:rPr>
                <w:color w:val="000000" w:themeColor="text1"/>
              </w:rPr>
              <w:t>абзац восьмий після слів "захисту прав інвесторів" доповнити словами "в фінансові інструменти";</w:t>
            </w:r>
          </w:p>
        </w:tc>
        <w:tc>
          <w:tcPr>
            <w:tcW w:w="3686" w:type="dxa"/>
          </w:tcPr>
          <w:p w14:paraId="3129B4F4" w14:textId="6EFB4920"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1289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EEA5373" w14:textId="25A76248" w:rsidR="004F1E44" w:rsidRPr="00286216" w:rsidRDefault="004F1E44" w:rsidP="009D3849">
            <w:pPr>
              <w:pStyle w:val="StyleProp"/>
              <w:spacing w:line="180" w:lineRule="exact"/>
              <w:rPr>
                <w:color w:val="000000" w:themeColor="text1"/>
                <w:szCs w:val="18"/>
              </w:rPr>
            </w:pPr>
            <w:r w:rsidRPr="00286216">
              <w:rPr>
                <w:color w:val="000000" w:themeColor="text1"/>
                <w:szCs w:val="18"/>
              </w:rPr>
              <w:t>Підпункт «б» підпункту 4 пункту 17 розділу 3 після слів «абзац восьмий після слів «захисту прав інвесторів» доповнити словами «в фінансові інструменти» доповнити словами «та слова «ринку цінних паперів» замінити словами «ринку капіталу»</w:t>
            </w:r>
          </w:p>
        </w:tc>
        <w:tc>
          <w:tcPr>
            <w:tcW w:w="1987" w:type="dxa"/>
          </w:tcPr>
          <w:p w14:paraId="7E90690C" w14:textId="11EFB8C3" w:rsidR="004F1E44" w:rsidRPr="00286216" w:rsidRDefault="004F1E44" w:rsidP="004F1E44">
            <w:pPr>
              <w:pStyle w:val="StyleWisnow"/>
              <w:rPr>
                <w:color w:val="000000" w:themeColor="text1"/>
              </w:rPr>
            </w:pPr>
            <w:r w:rsidRPr="00286216">
              <w:rPr>
                <w:color w:val="000000" w:themeColor="text1"/>
              </w:rPr>
              <w:t>Враховано редакційно</w:t>
            </w:r>
          </w:p>
        </w:tc>
        <w:tc>
          <w:tcPr>
            <w:tcW w:w="4818" w:type="dxa"/>
          </w:tcPr>
          <w:p w14:paraId="051ADE62" w14:textId="31C1D008" w:rsidR="004F1E44" w:rsidRPr="00286216" w:rsidRDefault="004F1E44" w:rsidP="004F1E44">
            <w:pPr>
              <w:pStyle w:val="StyleZakonu"/>
              <w:rPr>
                <w:color w:val="000000" w:themeColor="text1"/>
              </w:rPr>
            </w:pPr>
          </w:p>
        </w:tc>
      </w:tr>
      <w:tr w:rsidR="004F1E44" w:rsidRPr="00286216" w14:paraId="1B2D3BAD" w14:textId="77777777" w:rsidTr="00091AA5">
        <w:tc>
          <w:tcPr>
            <w:tcW w:w="576" w:type="dxa"/>
          </w:tcPr>
          <w:p w14:paraId="005C82CD" w14:textId="77777777" w:rsidR="004F1E44" w:rsidRPr="00286216" w:rsidRDefault="004F1E44" w:rsidP="004F1E44">
            <w:pPr>
              <w:pStyle w:val="StyleWisnow"/>
              <w:rPr>
                <w:color w:val="000000" w:themeColor="text1"/>
              </w:rPr>
            </w:pPr>
            <w:bookmarkStart w:id="2785" w:name="n2913" w:colFirst="0" w:colLast="0"/>
            <w:bookmarkEnd w:id="2784"/>
            <w:r w:rsidRPr="00286216">
              <w:rPr>
                <w:color w:val="000000" w:themeColor="text1"/>
              </w:rPr>
              <w:t>2913.</w:t>
            </w:r>
          </w:p>
        </w:tc>
        <w:tc>
          <w:tcPr>
            <w:tcW w:w="4818" w:type="dxa"/>
          </w:tcPr>
          <w:p w14:paraId="7812A98B" w14:textId="77777777" w:rsidR="004F1E44" w:rsidRPr="00286216" w:rsidRDefault="004F1E44" w:rsidP="00286216">
            <w:pPr>
              <w:pStyle w:val="StyleZakonu"/>
              <w:spacing w:after="40" w:line="214" w:lineRule="exact"/>
              <w:rPr>
                <w:color w:val="000000" w:themeColor="text1"/>
              </w:rPr>
            </w:pPr>
            <w:r w:rsidRPr="00286216">
              <w:rPr>
                <w:color w:val="000000" w:themeColor="text1"/>
              </w:rPr>
              <w:t xml:space="preserve">у абзаці одинадцятому слова "фондового ринку" замінити словами "ринків капіталу та організованих </w:t>
            </w:r>
            <w:r w:rsidRPr="00286216">
              <w:rPr>
                <w:color w:val="000000" w:themeColor="text1"/>
              </w:rPr>
              <w:lastRenderedPageBreak/>
              <w:t>товарних ринків";</w:t>
            </w:r>
          </w:p>
        </w:tc>
        <w:tc>
          <w:tcPr>
            <w:tcW w:w="3686" w:type="dxa"/>
          </w:tcPr>
          <w:p w14:paraId="7EFF26BD" w14:textId="77777777" w:rsidR="004F1E44" w:rsidRPr="00286216" w:rsidRDefault="004F1E44" w:rsidP="004F1E44">
            <w:pPr>
              <w:pStyle w:val="StyleProp"/>
              <w:rPr>
                <w:color w:val="000000" w:themeColor="text1"/>
                <w:szCs w:val="18"/>
              </w:rPr>
            </w:pPr>
          </w:p>
        </w:tc>
        <w:tc>
          <w:tcPr>
            <w:tcW w:w="1987" w:type="dxa"/>
          </w:tcPr>
          <w:p w14:paraId="1D7E28CF" w14:textId="77777777" w:rsidR="004F1E44" w:rsidRPr="00286216" w:rsidRDefault="004F1E44" w:rsidP="004F1E44">
            <w:pPr>
              <w:pStyle w:val="StyleWisnow"/>
              <w:rPr>
                <w:color w:val="000000" w:themeColor="text1"/>
              </w:rPr>
            </w:pPr>
          </w:p>
        </w:tc>
        <w:tc>
          <w:tcPr>
            <w:tcW w:w="4818" w:type="dxa"/>
          </w:tcPr>
          <w:p w14:paraId="0BF04254" w14:textId="73569879" w:rsidR="004F1E44" w:rsidRPr="00286216" w:rsidRDefault="004F1E44" w:rsidP="004F1E44">
            <w:pPr>
              <w:pStyle w:val="StyleZakonu"/>
              <w:rPr>
                <w:color w:val="000000" w:themeColor="text1"/>
              </w:rPr>
            </w:pPr>
          </w:p>
        </w:tc>
      </w:tr>
      <w:tr w:rsidR="004F1E44" w:rsidRPr="00286216" w14:paraId="65BA24CB" w14:textId="77777777" w:rsidTr="00091AA5">
        <w:tc>
          <w:tcPr>
            <w:tcW w:w="576" w:type="dxa"/>
          </w:tcPr>
          <w:p w14:paraId="3157274D" w14:textId="77777777" w:rsidR="004F1E44" w:rsidRPr="00286216" w:rsidRDefault="004F1E44" w:rsidP="004F1E44">
            <w:pPr>
              <w:pStyle w:val="StyleWisnow"/>
              <w:rPr>
                <w:color w:val="000000" w:themeColor="text1"/>
              </w:rPr>
            </w:pPr>
            <w:bookmarkStart w:id="2786" w:name="n2914" w:colFirst="0" w:colLast="0"/>
            <w:bookmarkEnd w:id="2785"/>
            <w:r w:rsidRPr="00286216">
              <w:rPr>
                <w:color w:val="000000" w:themeColor="text1"/>
              </w:rPr>
              <w:t>2914.</w:t>
            </w:r>
          </w:p>
        </w:tc>
        <w:tc>
          <w:tcPr>
            <w:tcW w:w="4818" w:type="dxa"/>
          </w:tcPr>
          <w:p w14:paraId="778B8B70" w14:textId="77777777" w:rsidR="004F1E44" w:rsidRPr="00286216" w:rsidRDefault="004F1E44" w:rsidP="00286216">
            <w:pPr>
              <w:pStyle w:val="StyleZakonu"/>
              <w:spacing w:after="40" w:line="214" w:lineRule="exact"/>
              <w:rPr>
                <w:color w:val="000000" w:themeColor="text1"/>
              </w:rPr>
            </w:pPr>
            <w:r w:rsidRPr="00286216">
              <w:rPr>
                <w:color w:val="000000" w:themeColor="text1"/>
              </w:rPr>
              <w:t>абзаци дванадцятий викласти в такій редакції:</w:t>
            </w:r>
          </w:p>
        </w:tc>
        <w:tc>
          <w:tcPr>
            <w:tcW w:w="3686" w:type="dxa"/>
          </w:tcPr>
          <w:p w14:paraId="3F71390E" w14:textId="77777777" w:rsidR="004F1E44" w:rsidRPr="00286216" w:rsidRDefault="004F1E44" w:rsidP="004F1E44">
            <w:pPr>
              <w:pStyle w:val="StyleProp"/>
              <w:rPr>
                <w:color w:val="000000" w:themeColor="text1"/>
                <w:szCs w:val="18"/>
              </w:rPr>
            </w:pPr>
          </w:p>
        </w:tc>
        <w:tc>
          <w:tcPr>
            <w:tcW w:w="1987" w:type="dxa"/>
          </w:tcPr>
          <w:p w14:paraId="75A6A12E" w14:textId="77777777" w:rsidR="004F1E44" w:rsidRPr="00286216" w:rsidRDefault="004F1E44" w:rsidP="004F1E44">
            <w:pPr>
              <w:pStyle w:val="StyleWisnow"/>
              <w:rPr>
                <w:color w:val="000000" w:themeColor="text1"/>
              </w:rPr>
            </w:pPr>
          </w:p>
        </w:tc>
        <w:tc>
          <w:tcPr>
            <w:tcW w:w="4818" w:type="dxa"/>
          </w:tcPr>
          <w:p w14:paraId="14824C69" w14:textId="76620E25" w:rsidR="004F1E44" w:rsidRPr="00286216" w:rsidRDefault="004F1E44" w:rsidP="004F1E44">
            <w:pPr>
              <w:pStyle w:val="StyleZakonu"/>
              <w:rPr>
                <w:color w:val="000000" w:themeColor="text1"/>
              </w:rPr>
            </w:pPr>
          </w:p>
        </w:tc>
      </w:tr>
      <w:tr w:rsidR="004F1E44" w:rsidRPr="00286216" w14:paraId="0D468EAD" w14:textId="77777777" w:rsidTr="00091AA5">
        <w:tc>
          <w:tcPr>
            <w:tcW w:w="576" w:type="dxa"/>
          </w:tcPr>
          <w:p w14:paraId="312278FB" w14:textId="77777777" w:rsidR="004F1E44" w:rsidRPr="00286216" w:rsidRDefault="004F1E44" w:rsidP="004F1E44">
            <w:pPr>
              <w:pStyle w:val="StyleWisnow"/>
              <w:rPr>
                <w:color w:val="000000" w:themeColor="text1"/>
              </w:rPr>
            </w:pPr>
            <w:bookmarkStart w:id="2787" w:name="n2915" w:colFirst="0" w:colLast="0"/>
            <w:bookmarkEnd w:id="2786"/>
            <w:r w:rsidRPr="00286216">
              <w:rPr>
                <w:color w:val="000000" w:themeColor="text1"/>
              </w:rPr>
              <w:t>2915.</w:t>
            </w:r>
          </w:p>
        </w:tc>
        <w:tc>
          <w:tcPr>
            <w:tcW w:w="4818" w:type="dxa"/>
          </w:tcPr>
          <w:p w14:paraId="12880AFB" w14:textId="77777777" w:rsidR="004F1E44" w:rsidRPr="00286216" w:rsidRDefault="004F1E44" w:rsidP="00286216">
            <w:pPr>
              <w:pStyle w:val="StyleZakonu"/>
              <w:spacing w:after="40" w:line="214" w:lineRule="exact"/>
              <w:rPr>
                <w:color w:val="000000" w:themeColor="text1"/>
              </w:rPr>
            </w:pPr>
            <w:r w:rsidRPr="00286216">
              <w:rPr>
                <w:color w:val="000000" w:themeColor="text1"/>
              </w:rPr>
              <w:t>"реєстрація специфікацій деривативних контрактів, які укладаються на організованому ринку деривативних контрактів; ";</w:t>
            </w:r>
          </w:p>
        </w:tc>
        <w:tc>
          <w:tcPr>
            <w:tcW w:w="3686" w:type="dxa"/>
          </w:tcPr>
          <w:p w14:paraId="0819F1D7" w14:textId="77777777" w:rsidR="004F1E44" w:rsidRPr="00286216" w:rsidRDefault="004F1E44" w:rsidP="004F1E44">
            <w:pPr>
              <w:spacing w:line="180" w:lineRule="exact"/>
              <w:ind w:firstLine="227"/>
              <w:jc w:val="both"/>
              <w:rPr>
                <w:color w:val="000000" w:themeColor="text1"/>
                <w:sz w:val="18"/>
              </w:rPr>
            </w:pPr>
          </w:p>
        </w:tc>
        <w:tc>
          <w:tcPr>
            <w:tcW w:w="1987" w:type="dxa"/>
          </w:tcPr>
          <w:p w14:paraId="665F707D" w14:textId="77777777" w:rsidR="004F1E44" w:rsidRPr="00286216" w:rsidRDefault="004F1E44" w:rsidP="004F1E44">
            <w:pPr>
              <w:pStyle w:val="StyleWisnow"/>
              <w:rPr>
                <w:color w:val="000000" w:themeColor="text1"/>
              </w:rPr>
            </w:pPr>
          </w:p>
        </w:tc>
        <w:tc>
          <w:tcPr>
            <w:tcW w:w="4818" w:type="dxa"/>
          </w:tcPr>
          <w:p w14:paraId="766B4BC4" w14:textId="2AC587A5" w:rsidR="004F1E44" w:rsidRPr="00286216" w:rsidRDefault="004F1E44" w:rsidP="004F1E44">
            <w:pPr>
              <w:pStyle w:val="StyleZakonu"/>
              <w:rPr>
                <w:color w:val="000000" w:themeColor="text1"/>
              </w:rPr>
            </w:pPr>
          </w:p>
        </w:tc>
      </w:tr>
      <w:tr w:rsidR="004F1E44" w:rsidRPr="00286216" w14:paraId="49404A7E" w14:textId="77777777" w:rsidTr="00091AA5">
        <w:tc>
          <w:tcPr>
            <w:tcW w:w="576" w:type="dxa"/>
          </w:tcPr>
          <w:p w14:paraId="66DC28AF" w14:textId="77777777" w:rsidR="004F1E44" w:rsidRPr="00286216" w:rsidRDefault="004F1E44" w:rsidP="004F1E44">
            <w:pPr>
              <w:pStyle w:val="StyleWisnow"/>
              <w:rPr>
                <w:color w:val="000000" w:themeColor="text1"/>
              </w:rPr>
            </w:pPr>
            <w:bookmarkStart w:id="2788" w:name="n2916" w:colFirst="0" w:colLast="0"/>
            <w:bookmarkEnd w:id="2787"/>
            <w:r w:rsidRPr="00286216">
              <w:rPr>
                <w:color w:val="000000" w:themeColor="text1"/>
              </w:rPr>
              <w:t>2916.</w:t>
            </w:r>
          </w:p>
        </w:tc>
        <w:tc>
          <w:tcPr>
            <w:tcW w:w="4818" w:type="dxa"/>
          </w:tcPr>
          <w:p w14:paraId="2711B75D" w14:textId="77777777" w:rsidR="004F1E44" w:rsidRPr="00286216" w:rsidRDefault="004F1E44" w:rsidP="00286216">
            <w:pPr>
              <w:pStyle w:val="StyleZakonu"/>
              <w:spacing w:after="40" w:line="214" w:lineRule="exact"/>
              <w:rPr>
                <w:color w:val="000000" w:themeColor="text1"/>
              </w:rPr>
            </w:pPr>
            <w:r w:rsidRPr="00286216">
              <w:rPr>
                <w:color w:val="000000" w:themeColor="text1"/>
              </w:rPr>
              <w:t>абзаци тринадцятий-чотирнадцятий доповнити словами "укладення та виконання деривативних контрактів і правочинів щодо них" у відповідному відмінку;</w:t>
            </w:r>
          </w:p>
        </w:tc>
        <w:tc>
          <w:tcPr>
            <w:tcW w:w="3686" w:type="dxa"/>
          </w:tcPr>
          <w:p w14:paraId="6DB432F0" w14:textId="323651DE" w:rsidR="004F1E44" w:rsidRPr="00286216" w:rsidRDefault="004F1E44" w:rsidP="004F1E44">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1290</w:t>
            </w:r>
            <w:r w:rsidRPr="00286216">
              <w:rPr>
                <w:color w:val="000000" w:themeColor="text1"/>
                <w:spacing w:val="-2"/>
              </w:rPr>
              <w:fldChar w:fldCharType="end"/>
            </w:r>
            <w:r w:rsidRPr="00286216">
              <w:rPr>
                <w:color w:val="000000" w:themeColor="text1"/>
                <w:spacing w:val="-2"/>
              </w:rPr>
              <w:t>-Н.д.Шахов С.В. (Реєстр.картка №114)</w:t>
            </w:r>
          </w:p>
          <w:p w14:paraId="35131E52" w14:textId="77777777" w:rsidR="004F1E44" w:rsidRPr="00286216" w:rsidRDefault="004F1E44" w:rsidP="004F1E44">
            <w:pPr>
              <w:spacing w:line="180" w:lineRule="exact"/>
              <w:ind w:firstLine="227"/>
              <w:jc w:val="both"/>
              <w:rPr>
                <w:color w:val="000000" w:themeColor="text1"/>
                <w:spacing w:val="-2"/>
                <w:sz w:val="18"/>
              </w:rPr>
            </w:pPr>
            <w:r w:rsidRPr="00286216">
              <w:rPr>
                <w:color w:val="000000" w:themeColor="text1"/>
                <w:spacing w:val="-2"/>
                <w:sz w:val="18"/>
              </w:rPr>
              <w:t>У п.п. "б" п.п. 4 п. 17 зміни до абз. 14 ч. 1 статті 3 викласти у такій редакції:</w:t>
            </w:r>
          </w:p>
          <w:p w14:paraId="397EF074" w14:textId="77777777" w:rsidR="004F1E44" w:rsidRPr="00286216" w:rsidRDefault="004F1E44" w:rsidP="004F1E44">
            <w:pPr>
              <w:spacing w:line="180" w:lineRule="exact"/>
              <w:ind w:firstLine="227"/>
              <w:jc w:val="both"/>
              <w:rPr>
                <w:color w:val="000000" w:themeColor="text1"/>
                <w:spacing w:val="-10"/>
                <w:sz w:val="18"/>
              </w:rPr>
            </w:pPr>
            <w:r w:rsidRPr="00286216">
              <w:rPr>
                <w:color w:val="000000" w:themeColor="text1"/>
                <w:spacing w:val="-10"/>
                <w:sz w:val="18"/>
              </w:rPr>
              <w:t>"</w:t>
            </w:r>
            <w:r w:rsidRPr="00286216">
              <w:rPr>
                <w:color w:val="000000" w:themeColor="text1"/>
                <w:spacing w:val="-6"/>
                <w:sz w:val="18"/>
              </w:rPr>
              <w:t>абзац</w:t>
            </w:r>
            <w:r w:rsidRPr="00286216">
              <w:rPr>
                <w:color w:val="000000" w:themeColor="text1"/>
                <w:spacing w:val="-10"/>
                <w:sz w:val="18"/>
              </w:rPr>
              <w:t xml:space="preserve"> чотирнадцятий </w:t>
            </w:r>
            <w:r w:rsidRPr="00286216">
              <w:rPr>
                <w:color w:val="000000" w:themeColor="text1"/>
                <w:spacing w:val="-8"/>
                <w:sz w:val="18"/>
              </w:rPr>
              <w:t xml:space="preserve">викласти </w:t>
            </w:r>
            <w:r w:rsidRPr="00286216">
              <w:rPr>
                <w:color w:val="000000" w:themeColor="text1"/>
                <w:spacing w:val="-10"/>
                <w:sz w:val="18"/>
              </w:rPr>
              <w:t>у такій редакції:</w:t>
            </w:r>
          </w:p>
          <w:p w14:paraId="55DB629D"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w:t>
            </w:r>
            <w:r w:rsidRPr="00286216">
              <w:rPr>
                <w:color w:val="000000" w:themeColor="text1"/>
                <w:spacing w:val="-3"/>
                <w:sz w:val="18"/>
              </w:rPr>
              <w:t xml:space="preserve">проведення інших заходів у відповідності до закону щодо державного регулювання і контролю за випуском та обігом цінних </w:t>
            </w:r>
            <w:r w:rsidRPr="00286216">
              <w:rPr>
                <w:color w:val="000000" w:themeColor="text1"/>
                <w:spacing w:val="-4"/>
                <w:sz w:val="18"/>
              </w:rPr>
              <w:t>паперів, укладенням та виконанням деривативів контрактів і правочинів щодо них".</w:t>
            </w:r>
          </w:p>
        </w:tc>
        <w:tc>
          <w:tcPr>
            <w:tcW w:w="1987" w:type="dxa"/>
          </w:tcPr>
          <w:p w14:paraId="075CF17C" w14:textId="77777777" w:rsidR="004F1E44" w:rsidRPr="00286216" w:rsidRDefault="004F1E44" w:rsidP="004F1E44">
            <w:pPr>
              <w:pStyle w:val="StyleWisnow"/>
              <w:rPr>
                <w:color w:val="000000" w:themeColor="text1"/>
              </w:rPr>
            </w:pPr>
            <w:r w:rsidRPr="00286216">
              <w:rPr>
                <w:color w:val="000000" w:themeColor="text1"/>
              </w:rPr>
              <w:t>Враховано частково</w:t>
            </w:r>
          </w:p>
          <w:p w14:paraId="5C62FE05" w14:textId="65C1450A" w:rsidR="004F1E44" w:rsidRPr="00286216" w:rsidRDefault="004F1E44" w:rsidP="004F1E44">
            <w:pPr>
              <w:pStyle w:val="StyleWisnow"/>
              <w:rPr>
                <w:color w:val="000000" w:themeColor="text1"/>
              </w:rPr>
            </w:pPr>
            <w:r w:rsidRPr="00286216">
              <w:rPr>
                <w:color w:val="000000" w:themeColor="text1"/>
              </w:rPr>
              <w:t>у запропонованій редакції підпункту</w:t>
            </w:r>
          </w:p>
        </w:tc>
        <w:tc>
          <w:tcPr>
            <w:tcW w:w="4818" w:type="dxa"/>
          </w:tcPr>
          <w:p w14:paraId="17704629" w14:textId="2D00C05E" w:rsidR="004F1E44" w:rsidRPr="00286216" w:rsidRDefault="004F1E44" w:rsidP="004F1E44">
            <w:pPr>
              <w:pStyle w:val="StyleZakonu"/>
              <w:rPr>
                <w:color w:val="000000" w:themeColor="text1"/>
              </w:rPr>
            </w:pPr>
          </w:p>
        </w:tc>
      </w:tr>
      <w:bookmarkEnd w:id="2788"/>
      <w:tr w:rsidR="004F1E44" w:rsidRPr="00286216" w14:paraId="6ED38D0C" w14:textId="77777777" w:rsidTr="00091AA5">
        <w:tc>
          <w:tcPr>
            <w:tcW w:w="576" w:type="dxa"/>
          </w:tcPr>
          <w:p w14:paraId="42769512" w14:textId="77777777" w:rsidR="004F1E44" w:rsidRPr="00286216" w:rsidRDefault="004F1E44" w:rsidP="004F1E44">
            <w:pPr>
              <w:pStyle w:val="StyleWisnow"/>
              <w:rPr>
                <w:color w:val="000000" w:themeColor="text1"/>
              </w:rPr>
            </w:pPr>
          </w:p>
        </w:tc>
        <w:tc>
          <w:tcPr>
            <w:tcW w:w="4818" w:type="dxa"/>
          </w:tcPr>
          <w:p w14:paraId="5A41B073" w14:textId="77777777" w:rsidR="004F1E44" w:rsidRPr="00286216" w:rsidRDefault="004F1E44" w:rsidP="004F1E44">
            <w:pPr>
              <w:pStyle w:val="StyleZakonu"/>
              <w:rPr>
                <w:color w:val="000000" w:themeColor="text1"/>
              </w:rPr>
            </w:pPr>
          </w:p>
        </w:tc>
        <w:tc>
          <w:tcPr>
            <w:tcW w:w="3686" w:type="dxa"/>
          </w:tcPr>
          <w:p w14:paraId="251B0E9C" w14:textId="13715135" w:rsidR="004F1E44" w:rsidRPr="00286216" w:rsidRDefault="004F1E44" w:rsidP="004F1E44">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1291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1A0C408E" w14:textId="77777777" w:rsidR="004F1E44" w:rsidRPr="00286216" w:rsidRDefault="004F1E44" w:rsidP="004F1E44">
            <w:pPr>
              <w:spacing w:line="200" w:lineRule="exact"/>
              <w:ind w:firstLine="227"/>
              <w:jc w:val="both"/>
              <w:rPr>
                <w:color w:val="000000" w:themeColor="text1"/>
                <w:spacing w:val="-2"/>
                <w:sz w:val="18"/>
              </w:rPr>
            </w:pPr>
            <w:r w:rsidRPr="00286216">
              <w:rPr>
                <w:color w:val="000000" w:themeColor="text1"/>
                <w:sz w:val="18"/>
              </w:rPr>
              <w:t xml:space="preserve">Доповнити підпункт 4 пункту 17 розділу 3 </w:t>
            </w:r>
            <w:r w:rsidRPr="00286216">
              <w:rPr>
                <w:color w:val="000000" w:themeColor="text1"/>
                <w:spacing w:val="-2"/>
                <w:sz w:val="18"/>
              </w:rPr>
              <w:t>новим абзацом такого змісту:</w:t>
            </w:r>
          </w:p>
          <w:p w14:paraId="63153ECE" w14:textId="3376A464" w:rsidR="004F1E44" w:rsidRPr="00286216" w:rsidRDefault="004F1E44" w:rsidP="009D3849">
            <w:pPr>
              <w:spacing w:line="180" w:lineRule="exact"/>
              <w:ind w:firstLine="227"/>
              <w:jc w:val="both"/>
              <w:rPr>
                <w:color w:val="000000" w:themeColor="text1"/>
                <w:spacing w:val="-4"/>
                <w:szCs w:val="18"/>
              </w:rPr>
            </w:pPr>
            <w:r w:rsidRPr="00286216">
              <w:rPr>
                <w:color w:val="000000" w:themeColor="text1"/>
                <w:spacing w:val="-4"/>
                <w:sz w:val="18"/>
              </w:rPr>
              <w:t>«</w:t>
            </w:r>
            <w:r w:rsidRPr="00286216">
              <w:rPr>
                <w:color w:val="000000" w:themeColor="text1"/>
                <w:spacing w:val="-5"/>
                <w:sz w:val="18"/>
              </w:rPr>
              <w:t>Вимоги, що встановлюються Національною комісією з цінних паперів та фондового ринку до професійних учасників ринків капіталу, які є банками, повинні узгоджуватися з відповідними вимогами до банків, встановленими Національним банком України».</w:t>
            </w:r>
          </w:p>
        </w:tc>
        <w:tc>
          <w:tcPr>
            <w:tcW w:w="1987" w:type="dxa"/>
          </w:tcPr>
          <w:p w14:paraId="41176005" w14:textId="08E59EB1" w:rsidR="004F1E44" w:rsidRPr="00286216" w:rsidRDefault="004F1E44" w:rsidP="004F1E44">
            <w:pPr>
              <w:pStyle w:val="StyleWisnow"/>
              <w:rPr>
                <w:color w:val="000000" w:themeColor="text1"/>
              </w:rPr>
            </w:pPr>
            <w:r w:rsidRPr="00286216">
              <w:rPr>
                <w:color w:val="000000" w:themeColor="text1"/>
              </w:rPr>
              <w:t>Враховано редакційно</w:t>
            </w:r>
          </w:p>
        </w:tc>
        <w:tc>
          <w:tcPr>
            <w:tcW w:w="4818" w:type="dxa"/>
          </w:tcPr>
          <w:p w14:paraId="0EE874F0" w14:textId="77777777" w:rsidR="004F1E44" w:rsidRPr="00286216" w:rsidRDefault="004F1E44" w:rsidP="004F1E44">
            <w:pPr>
              <w:pStyle w:val="StyleZakonu"/>
              <w:rPr>
                <w:color w:val="000000" w:themeColor="text1"/>
              </w:rPr>
            </w:pPr>
            <w:r w:rsidRPr="00286216">
              <w:rPr>
                <w:color w:val="000000" w:themeColor="text1"/>
              </w:rPr>
              <w:t>б) доповнити частиною третьою такого змісту:</w:t>
            </w:r>
          </w:p>
          <w:p w14:paraId="38CB6AF8" w14:textId="06DADD21" w:rsidR="004F1E44" w:rsidRPr="00286216" w:rsidRDefault="004F1E44" w:rsidP="004F1E44">
            <w:pPr>
              <w:pStyle w:val="StyleZakonu"/>
              <w:rPr>
                <w:color w:val="000000" w:themeColor="text1"/>
              </w:rPr>
            </w:pPr>
            <w:r w:rsidRPr="00286216">
              <w:rPr>
                <w:color w:val="000000" w:themeColor="text1"/>
              </w:rPr>
              <w:t>"Вимоги, що встановлюються Національною комісією з цінних паперів та фондового ринку до професійних учасників ринків капіталу, які є банками, повинні узгоджуватися з відповідними вимогами до банків, встановленими Національним банком України";</w:t>
            </w:r>
          </w:p>
        </w:tc>
      </w:tr>
      <w:tr w:rsidR="004F1E44" w:rsidRPr="00286216" w14:paraId="17CC72A1" w14:textId="77777777" w:rsidTr="00091AA5">
        <w:tc>
          <w:tcPr>
            <w:tcW w:w="576" w:type="dxa"/>
          </w:tcPr>
          <w:p w14:paraId="44D70736" w14:textId="77777777" w:rsidR="004F1E44" w:rsidRPr="00286216" w:rsidRDefault="004F1E44" w:rsidP="004F1E44">
            <w:pPr>
              <w:pStyle w:val="StyleWisnow"/>
              <w:rPr>
                <w:color w:val="000000" w:themeColor="text1"/>
              </w:rPr>
            </w:pPr>
            <w:bookmarkStart w:id="2789" w:name="n2917" w:colFirst="0" w:colLast="0"/>
            <w:r w:rsidRPr="00286216">
              <w:rPr>
                <w:color w:val="000000" w:themeColor="text1"/>
              </w:rPr>
              <w:t>2917.</w:t>
            </w:r>
          </w:p>
        </w:tc>
        <w:tc>
          <w:tcPr>
            <w:tcW w:w="4818" w:type="dxa"/>
          </w:tcPr>
          <w:p w14:paraId="083C7438" w14:textId="77777777" w:rsidR="004F1E44" w:rsidRPr="00286216" w:rsidRDefault="004F1E44" w:rsidP="004F1E44">
            <w:pPr>
              <w:pStyle w:val="StyleZakonu"/>
              <w:rPr>
                <w:color w:val="000000" w:themeColor="text1"/>
              </w:rPr>
            </w:pPr>
            <w:r w:rsidRPr="00286216">
              <w:rPr>
                <w:color w:val="000000" w:themeColor="text1"/>
              </w:rPr>
              <w:t>5) статтю 4 викласти в такій редакції:</w:t>
            </w:r>
          </w:p>
        </w:tc>
        <w:tc>
          <w:tcPr>
            <w:tcW w:w="3686" w:type="dxa"/>
          </w:tcPr>
          <w:p w14:paraId="12433468" w14:textId="77777777" w:rsidR="004F1E44" w:rsidRPr="00286216" w:rsidRDefault="004F1E44" w:rsidP="004F1E44">
            <w:pPr>
              <w:pStyle w:val="StyleProp"/>
              <w:rPr>
                <w:color w:val="000000" w:themeColor="text1"/>
                <w:szCs w:val="18"/>
              </w:rPr>
            </w:pPr>
          </w:p>
        </w:tc>
        <w:tc>
          <w:tcPr>
            <w:tcW w:w="1987" w:type="dxa"/>
          </w:tcPr>
          <w:p w14:paraId="373E25C4" w14:textId="77777777" w:rsidR="004F1E44" w:rsidRPr="00286216" w:rsidRDefault="004F1E44" w:rsidP="004F1E44">
            <w:pPr>
              <w:pStyle w:val="StyleWisnow"/>
              <w:rPr>
                <w:color w:val="000000" w:themeColor="text1"/>
              </w:rPr>
            </w:pPr>
          </w:p>
        </w:tc>
        <w:tc>
          <w:tcPr>
            <w:tcW w:w="4818" w:type="dxa"/>
          </w:tcPr>
          <w:p w14:paraId="663B9B94" w14:textId="6820273F" w:rsidR="004F1E44" w:rsidRPr="00286216" w:rsidRDefault="004F1E44" w:rsidP="004F1E44">
            <w:pPr>
              <w:pStyle w:val="StyleZakonu"/>
              <w:rPr>
                <w:color w:val="000000" w:themeColor="text1"/>
              </w:rPr>
            </w:pPr>
            <w:r w:rsidRPr="00286216">
              <w:rPr>
                <w:color w:val="000000" w:themeColor="text1"/>
              </w:rPr>
              <w:t>5) статтю 4 викласти в такій редакції:</w:t>
            </w:r>
          </w:p>
        </w:tc>
      </w:tr>
      <w:tr w:rsidR="004F1E44" w:rsidRPr="00286216" w14:paraId="57FD2726" w14:textId="77777777" w:rsidTr="00091AA5">
        <w:tc>
          <w:tcPr>
            <w:tcW w:w="576" w:type="dxa"/>
          </w:tcPr>
          <w:p w14:paraId="1956599E" w14:textId="77777777" w:rsidR="004F1E44" w:rsidRPr="00286216" w:rsidRDefault="004F1E44" w:rsidP="004F1E44">
            <w:pPr>
              <w:pStyle w:val="StyleWisnow"/>
              <w:rPr>
                <w:color w:val="000000" w:themeColor="text1"/>
              </w:rPr>
            </w:pPr>
            <w:bookmarkStart w:id="2790" w:name="n2918" w:colFirst="0" w:colLast="0"/>
            <w:bookmarkEnd w:id="2789"/>
            <w:r w:rsidRPr="00286216">
              <w:rPr>
                <w:color w:val="000000" w:themeColor="text1"/>
              </w:rPr>
              <w:t>2918.</w:t>
            </w:r>
          </w:p>
        </w:tc>
        <w:tc>
          <w:tcPr>
            <w:tcW w:w="4818" w:type="dxa"/>
          </w:tcPr>
          <w:p w14:paraId="20B8AEAF" w14:textId="77777777" w:rsidR="004F1E44" w:rsidRPr="00286216" w:rsidRDefault="004F1E44" w:rsidP="004F1E44">
            <w:pPr>
              <w:pStyle w:val="StyleZakonu"/>
              <w:rPr>
                <w:color w:val="000000" w:themeColor="text1"/>
              </w:rPr>
            </w:pPr>
            <w:r w:rsidRPr="00286216">
              <w:rPr>
                <w:color w:val="000000" w:themeColor="text1"/>
              </w:rPr>
              <w:t>"Стаття 4. Професійна діяльність на ринках капіталу та організованих товарних ринках, що підлягає ліцензуванню</w:t>
            </w:r>
          </w:p>
        </w:tc>
        <w:tc>
          <w:tcPr>
            <w:tcW w:w="3686" w:type="dxa"/>
          </w:tcPr>
          <w:p w14:paraId="3CC62247" w14:textId="616C3A93" w:rsidR="004F1E44" w:rsidRPr="00286216" w:rsidRDefault="004F1E44" w:rsidP="004F1E44">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1292</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68123076" w14:textId="30204725" w:rsidR="004F1E44" w:rsidRPr="00286216" w:rsidRDefault="004F1E44" w:rsidP="004F1E44">
            <w:pPr>
              <w:pStyle w:val="StyleProp"/>
              <w:spacing w:line="180" w:lineRule="exact"/>
              <w:rPr>
                <w:color w:val="000000" w:themeColor="text1"/>
                <w:szCs w:val="18"/>
              </w:rPr>
            </w:pPr>
            <w:r w:rsidRPr="00286216">
              <w:rPr>
                <w:color w:val="000000" w:themeColor="text1"/>
                <w:szCs w:val="18"/>
              </w:rPr>
              <w:t>З метою узгодження положень законопроекту в абзаці 2 підпункту 5 пункту 17 розділу ІІІ слово "Професійна" виключити, а абзац 3 цього підпункту викласти у такій редакції:</w:t>
            </w:r>
          </w:p>
        </w:tc>
        <w:tc>
          <w:tcPr>
            <w:tcW w:w="1987" w:type="dxa"/>
          </w:tcPr>
          <w:p w14:paraId="08542607" w14:textId="77777777" w:rsidR="004F1E44" w:rsidRPr="00286216" w:rsidRDefault="004F1E44" w:rsidP="004F1E44">
            <w:pPr>
              <w:pStyle w:val="StyleWisnow"/>
              <w:rPr>
                <w:color w:val="000000" w:themeColor="text1"/>
              </w:rPr>
            </w:pPr>
            <w:r w:rsidRPr="00286216">
              <w:rPr>
                <w:color w:val="000000" w:themeColor="text1"/>
              </w:rPr>
              <w:t>Враховано</w:t>
            </w:r>
          </w:p>
          <w:p w14:paraId="1CDA043F" w14:textId="7639F679" w:rsidR="004F1E44" w:rsidRPr="00286216" w:rsidRDefault="004F1E44" w:rsidP="004F1E44">
            <w:pPr>
              <w:pStyle w:val="StyleWisnow"/>
              <w:spacing w:line="180" w:lineRule="exact"/>
              <w:rPr>
                <w:color w:val="000000" w:themeColor="text1"/>
              </w:rPr>
            </w:pPr>
            <w:r w:rsidRPr="00286216">
              <w:rPr>
                <w:color w:val="000000" w:themeColor="text1"/>
              </w:rPr>
              <w:t>відповідно до доручення Комітету щодо техніко- юридичного доопрацювання редакції законопроекту</w:t>
            </w:r>
          </w:p>
        </w:tc>
        <w:tc>
          <w:tcPr>
            <w:tcW w:w="4818" w:type="dxa"/>
          </w:tcPr>
          <w:p w14:paraId="72E1B582" w14:textId="5B9FCBB4" w:rsidR="004F1E44" w:rsidRPr="00286216" w:rsidRDefault="004F1E44" w:rsidP="004F1E44">
            <w:pPr>
              <w:pStyle w:val="StyleZakonu"/>
              <w:rPr>
                <w:color w:val="000000" w:themeColor="text1"/>
              </w:rPr>
            </w:pPr>
            <w:r w:rsidRPr="00286216">
              <w:rPr>
                <w:color w:val="000000" w:themeColor="text1"/>
              </w:rPr>
              <w:t>"Стаття 4. Діяльність на ринках капіталу та організованих товарних ринках, що підлягає ліцензуванню</w:t>
            </w:r>
          </w:p>
        </w:tc>
      </w:tr>
      <w:tr w:rsidR="004F1E44" w:rsidRPr="00286216" w14:paraId="4F2E6607" w14:textId="77777777" w:rsidTr="00091AA5">
        <w:tc>
          <w:tcPr>
            <w:tcW w:w="576" w:type="dxa"/>
          </w:tcPr>
          <w:p w14:paraId="25D3BE70" w14:textId="77777777" w:rsidR="004F1E44" w:rsidRPr="00286216" w:rsidRDefault="004F1E44" w:rsidP="004F1E44">
            <w:pPr>
              <w:pStyle w:val="StyleWisnow"/>
              <w:rPr>
                <w:color w:val="000000" w:themeColor="text1"/>
              </w:rPr>
            </w:pPr>
            <w:bookmarkStart w:id="2791" w:name="n2919" w:colFirst="0" w:colLast="0"/>
            <w:bookmarkEnd w:id="2790"/>
            <w:r w:rsidRPr="00286216">
              <w:rPr>
                <w:color w:val="000000" w:themeColor="text1"/>
              </w:rPr>
              <w:t>2919.</w:t>
            </w:r>
          </w:p>
        </w:tc>
        <w:tc>
          <w:tcPr>
            <w:tcW w:w="4818" w:type="dxa"/>
          </w:tcPr>
          <w:p w14:paraId="473D9C2A" w14:textId="77777777" w:rsidR="004F1E44" w:rsidRPr="00286216" w:rsidRDefault="004F1E44" w:rsidP="004F1E44">
            <w:pPr>
              <w:pStyle w:val="StyleZakonu"/>
              <w:rPr>
                <w:color w:val="000000" w:themeColor="text1"/>
                <w:lang w:eastAsia="uk-UA"/>
              </w:rPr>
            </w:pPr>
            <w:r w:rsidRPr="00286216">
              <w:rPr>
                <w:color w:val="000000" w:themeColor="text1"/>
                <w:lang w:eastAsia="uk-UA"/>
              </w:rPr>
              <w:t>Національна комісія з цінних паперів та фондового ринку у встановленому нею порядку видає ліцензії на такі види професійної діяльності на ринках капіталу:</w:t>
            </w:r>
          </w:p>
        </w:tc>
        <w:tc>
          <w:tcPr>
            <w:tcW w:w="3686" w:type="dxa"/>
          </w:tcPr>
          <w:p w14:paraId="219CCA0E" w14:textId="3C3DFB7E" w:rsidR="004F1E44" w:rsidRPr="00286216" w:rsidRDefault="004F1E44" w:rsidP="004F1E44">
            <w:pPr>
              <w:pStyle w:val="StyleProp"/>
              <w:spacing w:line="180" w:lineRule="exact"/>
              <w:rPr>
                <w:color w:val="000000" w:themeColor="text1"/>
                <w:szCs w:val="18"/>
                <w:lang w:eastAsia="uk-UA"/>
              </w:rPr>
            </w:pPr>
            <w:r w:rsidRPr="00286216">
              <w:rPr>
                <w:color w:val="000000" w:themeColor="text1"/>
                <w:lang w:eastAsia="uk-UA"/>
              </w:rPr>
              <w:t>"Національна комісія з цінних паперів та фондового ринку у встановленому нею порядку в межах відповідних видів професійної діяльності на ринках капіталу видає ліцензії на такі види діяльності:</w:t>
            </w:r>
            <w:r w:rsidRPr="00286216">
              <w:rPr>
                <w:color w:val="000000" w:themeColor="text1"/>
              </w:rPr>
              <w:t>".</w:t>
            </w:r>
          </w:p>
        </w:tc>
        <w:tc>
          <w:tcPr>
            <w:tcW w:w="1987" w:type="dxa"/>
          </w:tcPr>
          <w:p w14:paraId="170049EA" w14:textId="15627C8E" w:rsidR="004F1E44" w:rsidRPr="00286216" w:rsidRDefault="004F1E44" w:rsidP="004F1E44">
            <w:pPr>
              <w:pStyle w:val="StyleWisnow"/>
              <w:spacing w:line="180" w:lineRule="exact"/>
              <w:rPr>
                <w:color w:val="000000" w:themeColor="text1"/>
                <w:lang w:eastAsia="uk-UA"/>
              </w:rPr>
            </w:pPr>
          </w:p>
        </w:tc>
        <w:tc>
          <w:tcPr>
            <w:tcW w:w="4818" w:type="dxa"/>
          </w:tcPr>
          <w:p w14:paraId="01204CC9" w14:textId="401234A8" w:rsidR="004F1E44" w:rsidRPr="00286216" w:rsidRDefault="004F1E44" w:rsidP="004F1E44">
            <w:pPr>
              <w:pStyle w:val="StyleZakonu"/>
              <w:rPr>
                <w:color w:val="000000" w:themeColor="text1"/>
                <w:lang w:eastAsia="uk-UA"/>
              </w:rPr>
            </w:pPr>
            <w:r w:rsidRPr="00286216">
              <w:rPr>
                <w:color w:val="000000" w:themeColor="text1"/>
                <w:lang w:eastAsia="uk-UA"/>
              </w:rPr>
              <w:t>Національна комісія з цінних паперів та фондового ринку у встановленому нею порядку в межах відповідних видів професійної діяльності на ринках капіталу видає ліцензії на такі види діяльності:</w:t>
            </w:r>
          </w:p>
        </w:tc>
      </w:tr>
      <w:tr w:rsidR="004F1E44" w:rsidRPr="00286216" w14:paraId="233C4A58" w14:textId="77777777" w:rsidTr="00091AA5">
        <w:tc>
          <w:tcPr>
            <w:tcW w:w="576" w:type="dxa"/>
          </w:tcPr>
          <w:p w14:paraId="420CFE6C" w14:textId="54DC707F" w:rsidR="004F1E44" w:rsidRPr="00286216" w:rsidRDefault="004F1E44" w:rsidP="004F1E44">
            <w:pPr>
              <w:pStyle w:val="StyleWisnow"/>
              <w:rPr>
                <w:color w:val="000000" w:themeColor="text1"/>
              </w:rPr>
            </w:pPr>
            <w:bookmarkStart w:id="2792" w:name="n2920" w:colFirst="0" w:colLast="0"/>
            <w:bookmarkEnd w:id="2791"/>
            <w:r w:rsidRPr="00286216">
              <w:rPr>
                <w:color w:val="000000" w:themeColor="text1"/>
              </w:rPr>
              <w:t>2920.</w:t>
            </w:r>
          </w:p>
        </w:tc>
        <w:tc>
          <w:tcPr>
            <w:tcW w:w="4818" w:type="dxa"/>
          </w:tcPr>
          <w:p w14:paraId="07895F69" w14:textId="77777777" w:rsidR="004F1E44" w:rsidRPr="00286216" w:rsidRDefault="004F1E44" w:rsidP="004F1E44">
            <w:pPr>
              <w:pStyle w:val="StyleZakonu"/>
              <w:rPr>
                <w:color w:val="000000" w:themeColor="text1"/>
                <w:lang w:eastAsia="uk-UA"/>
              </w:rPr>
            </w:pPr>
            <w:r w:rsidRPr="00286216">
              <w:rPr>
                <w:color w:val="000000" w:themeColor="text1"/>
                <w:lang w:eastAsia="uk-UA"/>
              </w:rPr>
              <w:t>1) субброкерська діяльність;</w:t>
            </w:r>
          </w:p>
        </w:tc>
        <w:tc>
          <w:tcPr>
            <w:tcW w:w="3686" w:type="dxa"/>
          </w:tcPr>
          <w:p w14:paraId="3C1E0162" w14:textId="4F665E06" w:rsidR="004F1E44" w:rsidRPr="00286216" w:rsidRDefault="004F1E44" w:rsidP="004F1E44">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1293</w:t>
            </w:r>
            <w:r w:rsidRPr="00286216">
              <w:rPr>
                <w:color w:val="000000" w:themeColor="text1"/>
                <w:spacing w:val="-10"/>
              </w:rPr>
              <w:fldChar w:fldCharType="end"/>
            </w:r>
            <w:r w:rsidRPr="00286216">
              <w:rPr>
                <w:color w:val="000000" w:themeColor="text1"/>
                <w:spacing w:val="-10"/>
              </w:rPr>
              <w:t>-Н.д.Гетманцев Д.О.(Реєстр.картка №245)</w:t>
            </w:r>
          </w:p>
          <w:p w14:paraId="6627D5F4" w14:textId="77777777" w:rsidR="004F1E44" w:rsidRPr="00286216" w:rsidRDefault="004F1E44" w:rsidP="004F1E44">
            <w:pPr>
              <w:pStyle w:val="StyleProp"/>
              <w:spacing w:line="180" w:lineRule="exact"/>
              <w:rPr>
                <w:color w:val="000000" w:themeColor="text1"/>
              </w:rPr>
            </w:pPr>
            <w:r w:rsidRPr="00286216">
              <w:rPr>
                <w:color w:val="000000" w:themeColor="text1"/>
              </w:rPr>
              <w:t>У пункті 17 підпункти 1-25 у підпункті п’ятому замінити підпунктами:</w:t>
            </w:r>
          </w:p>
          <w:p w14:paraId="007D0E90" w14:textId="77777777" w:rsidR="004F1E44" w:rsidRPr="00286216" w:rsidRDefault="004F1E44" w:rsidP="004F1E44">
            <w:pPr>
              <w:pStyle w:val="StyleProp"/>
              <w:spacing w:line="180" w:lineRule="exact"/>
              <w:rPr>
                <w:color w:val="000000" w:themeColor="text1"/>
              </w:rPr>
            </w:pPr>
            <w:r w:rsidRPr="00286216">
              <w:rPr>
                <w:color w:val="000000" w:themeColor="text1"/>
              </w:rPr>
              <w:t>«1) діяльність з торгівлі фінансовими інструментами;</w:t>
            </w:r>
          </w:p>
          <w:p w14:paraId="6831D5CB" w14:textId="77777777" w:rsidR="004F1E44" w:rsidRPr="00286216" w:rsidRDefault="004F1E44" w:rsidP="004F1E44">
            <w:pPr>
              <w:pStyle w:val="StyleProp"/>
              <w:spacing w:line="180" w:lineRule="exact"/>
              <w:rPr>
                <w:color w:val="000000" w:themeColor="text1"/>
              </w:rPr>
            </w:pPr>
            <w:r w:rsidRPr="00286216">
              <w:rPr>
                <w:color w:val="000000" w:themeColor="text1"/>
              </w:rPr>
              <w:t>2) діяльність з організації торгівлі фінансовими інструментами;</w:t>
            </w:r>
          </w:p>
          <w:p w14:paraId="5B5A640E" w14:textId="09755B04" w:rsidR="004F1E44" w:rsidRPr="00286216" w:rsidRDefault="004F1E44" w:rsidP="004F1E44">
            <w:pPr>
              <w:pStyle w:val="StyleProp"/>
              <w:spacing w:line="180" w:lineRule="exact"/>
              <w:rPr>
                <w:color w:val="000000" w:themeColor="text1"/>
                <w:lang w:eastAsia="uk-UA"/>
              </w:rPr>
            </w:pPr>
            <w:r w:rsidRPr="00286216">
              <w:rPr>
                <w:color w:val="000000" w:themeColor="text1"/>
              </w:rPr>
              <w:t>3) клірингова діяльність;</w:t>
            </w:r>
          </w:p>
        </w:tc>
        <w:tc>
          <w:tcPr>
            <w:tcW w:w="1987" w:type="dxa"/>
          </w:tcPr>
          <w:p w14:paraId="35BD5A2F" w14:textId="77777777" w:rsidR="004F1E44" w:rsidRPr="00286216" w:rsidRDefault="004F1E44" w:rsidP="004F1E44">
            <w:pPr>
              <w:pStyle w:val="StyleWisnow"/>
              <w:rPr>
                <w:color w:val="000000" w:themeColor="text1"/>
              </w:rPr>
            </w:pPr>
            <w:r w:rsidRPr="00286216">
              <w:rPr>
                <w:color w:val="000000" w:themeColor="text1"/>
              </w:rPr>
              <w:t>Відхилено</w:t>
            </w:r>
          </w:p>
          <w:p w14:paraId="3C398289" w14:textId="3C51C382" w:rsidR="004F1E44" w:rsidRPr="00286216" w:rsidRDefault="004F1E44" w:rsidP="004F1E44">
            <w:pPr>
              <w:pStyle w:val="StyleWisnow"/>
              <w:spacing w:line="180" w:lineRule="exact"/>
              <w:rPr>
                <w:color w:val="000000" w:themeColor="text1"/>
                <w:lang w:eastAsia="uk-UA"/>
              </w:rPr>
            </w:pPr>
            <w:r w:rsidRPr="00286216">
              <w:rPr>
                <w:color w:val="000000" w:themeColor="text1"/>
              </w:rPr>
              <w:t>з метою забезпечення пропорційного підходу до встановлення ліцензійних умов провадження відповідних видів діяльності</w:t>
            </w:r>
          </w:p>
        </w:tc>
        <w:tc>
          <w:tcPr>
            <w:tcW w:w="4818" w:type="dxa"/>
          </w:tcPr>
          <w:p w14:paraId="055183DC" w14:textId="29296C52" w:rsidR="004F1E44" w:rsidRPr="00286216" w:rsidRDefault="004F1E44" w:rsidP="004F1E44">
            <w:pPr>
              <w:pStyle w:val="StyleZakonu"/>
              <w:rPr>
                <w:color w:val="000000" w:themeColor="text1"/>
                <w:lang w:eastAsia="uk-UA"/>
              </w:rPr>
            </w:pPr>
            <w:r w:rsidRPr="00286216">
              <w:rPr>
                <w:color w:val="000000" w:themeColor="text1"/>
                <w:lang w:eastAsia="uk-UA"/>
              </w:rPr>
              <w:t>1) субброкерська діяльність;</w:t>
            </w:r>
          </w:p>
        </w:tc>
      </w:tr>
      <w:tr w:rsidR="004F1E44" w:rsidRPr="00286216" w14:paraId="5040D486" w14:textId="77777777" w:rsidTr="00091AA5">
        <w:tc>
          <w:tcPr>
            <w:tcW w:w="576" w:type="dxa"/>
          </w:tcPr>
          <w:p w14:paraId="5AFCC704" w14:textId="77777777" w:rsidR="004F1E44" w:rsidRPr="00286216" w:rsidRDefault="004F1E44" w:rsidP="004F1E44">
            <w:pPr>
              <w:pStyle w:val="StyleWisnow"/>
              <w:rPr>
                <w:color w:val="000000" w:themeColor="text1"/>
              </w:rPr>
            </w:pPr>
            <w:bookmarkStart w:id="2793" w:name="n2921" w:colFirst="0" w:colLast="0"/>
            <w:bookmarkEnd w:id="2792"/>
            <w:r w:rsidRPr="00286216">
              <w:rPr>
                <w:color w:val="000000" w:themeColor="text1"/>
              </w:rPr>
              <w:t>2921.</w:t>
            </w:r>
          </w:p>
        </w:tc>
        <w:tc>
          <w:tcPr>
            <w:tcW w:w="4818" w:type="dxa"/>
          </w:tcPr>
          <w:p w14:paraId="2E6BD55F" w14:textId="77777777" w:rsidR="004F1E44" w:rsidRPr="00286216" w:rsidRDefault="004F1E44" w:rsidP="004F1E44">
            <w:pPr>
              <w:pStyle w:val="StyleZakonu"/>
              <w:rPr>
                <w:color w:val="000000" w:themeColor="text1"/>
                <w:lang w:eastAsia="uk-UA"/>
              </w:rPr>
            </w:pPr>
            <w:r w:rsidRPr="00286216">
              <w:rPr>
                <w:color w:val="000000" w:themeColor="text1"/>
                <w:lang w:eastAsia="uk-UA"/>
              </w:rPr>
              <w:t>2) брокерська діяльність;</w:t>
            </w:r>
          </w:p>
        </w:tc>
        <w:tc>
          <w:tcPr>
            <w:tcW w:w="3686" w:type="dxa"/>
          </w:tcPr>
          <w:p w14:paraId="79E56D15" w14:textId="0D47ED46" w:rsidR="004F1E44" w:rsidRPr="00286216" w:rsidRDefault="004F1E44" w:rsidP="004F1E44">
            <w:pPr>
              <w:pStyle w:val="StyleProp"/>
              <w:spacing w:before="60" w:line="180" w:lineRule="exact"/>
              <w:rPr>
                <w:color w:val="000000" w:themeColor="text1"/>
                <w:szCs w:val="18"/>
                <w:lang w:eastAsia="uk-UA"/>
              </w:rPr>
            </w:pPr>
            <w:r w:rsidRPr="00286216">
              <w:rPr>
                <w:color w:val="000000" w:themeColor="text1"/>
              </w:rPr>
              <w:t>4) депозитарна діяльність;</w:t>
            </w:r>
          </w:p>
        </w:tc>
        <w:tc>
          <w:tcPr>
            <w:tcW w:w="1987" w:type="dxa"/>
          </w:tcPr>
          <w:p w14:paraId="7196BB15" w14:textId="77777777" w:rsidR="004F1E44" w:rsidRPr="00286216" w:rsidRDefault="004F1E44" w:rsidP="004F1E44">
            <w:pPr>
              <w:pStyle w:val="StyleWisnow"/>
              <w:rPr>
                <w:color w:val="000000" w:themeColor="text1"/>
                <w:lang w:eastAsia="uk-UA"/>
              </w:rPr>
            </w:pPr>
          </w:p>
        </w:tc>
        <w:tc>
          <w:tcPr>
            <w:tcW w:w="4818" w:type="dxa"/>
          </w:tcPr>
          <w:p w14:paraId="3E940998" w14:textId="273386C0" w:rsidR="004F1E44" w:rsidRPr="00286216" w:rsidRDefault="004F1E44" w:rsidP="004F1E44">
            <w:pPr>
              <w:pStyle w:val="StyleZakonu"/>
              <w:rPr>
                <w:color w:val="000000" w:themeColor="text1"/>
                <w:lang w:eastAsia="uk-UA"/>
              </w:rPr>
            </w:pPr>
            <w:r w:rsidRPr="00286216">
              <w:rPr>
                <w:color w:val="000000" w:themeColor="text1"/>
                <w:lang w:eastAsia="uk-UA"/>
              </w:rPr>
              <w:t>2) брокерська діяльність;</w:t>
            </w:r>
          </w:p>
        </w:tc>
      </w:tr>
      <w:tr w:rsidR="004F1E44" w:rsidRPr="00286216" w14:paraId="35E90B92" w14:textId="77777777" w:rsidTr="00091AA5">
        <w:tc>
          <w:tcPr>
            <w:tcW w:w="576" w:type="dxa"/>
          </w:tcPr>
          <w:p w14:paraId="6225FD62" w14:textId="77777777" w:rsidR="004F1E44" w:rsidRPr="00286216" w:rsidRDefault="004F1E44" w:rsidP="004F1E44">
            <w:pPr>
              <w:pStyle w:val="StyleWisnow"/>
              <w:rPr>
                <w:color w:val="000000" w:themeColor="text1"/>
              </w:rPr>
            </w:pPr>
            <w:bookmarkStart w:id="2794" w:name="n2922" w:colFirst="0" w:colLast="0"/>
            <w:bookmarkEnd w:id="2793"/>
            <w:r w:rsidRPr="00286216">
              <w:rPr>
                <w:color w:val="000000" w:themeColor="text1"/>
              </w:rPr>
              <w:t>2922.</w:t>
            </w:r>
          </w:p>
        </w:tc>
        <w:tc>
          <w:tcPr>
            <w:tcW w:w="4818" w:type="dxa"/>
          </w:tcPr>
          <w:p w14:paraId="6676773C" w14:textId="77777777" w:rsidR="004F1E44" w:rsidRPr="00286216" w:rsidRDefault="004F1E44" w:rsidP="004F1E44">
            <w:pPr>
              <w:pStyle w:val="StyleZakonu"/>
              <w:rPr>
                <w:color w:val="000000" w:themeColor="text1"/>
                <w:lang w:eastAsia="uk-UA"/>
              </w:rPr>
            </w:pPr>
            <w:r w:rsidRPr="00286216">
              <w:rPr>
                <w:color w:val="000000" w:themeColor="text1"/>
                <w:lang w:eastAsia="uk-UA"/>
              </w:rPr>
              <w:t>3) дилерська діяльність;</w:t>
            </w:r>
          </w:p>
        </w:tc>
        <w:tc>
          <w:tcPr>
            <w:tcW w:w="3686" w:type="dxa"/>
          </w:tcPr>
          <w:p w14:paraId="69C92272" w14:textId="3648E3A1" w:rsidR="004F1E44" w:rsidRPr="00286216" w:rsidRDefault="004F1E44" w:rsidP="004F1E44">
            <w:pPr>
              <w:pStyle w:val="StyleProp"/>
              <w:spacing w:line="180" w:lineRule="exact"/>
              <w:rPr>
                <w:color w:val="000000" w:themeColor="text1"/>
              </w:rPr>
            </w:pPr>
            <w:r w:rsidRPr="00286216">
              <w:rPr>
                <w:color w:val="000000" w:themeColor="text1"/>
              </w:rPr>
              <w:t>5) діяльність з управління активами інституційних інвесторів;</w:t>
            </w:r>
          </w:p>
        </w:tc>
        <w:tc>
          <w:tcPr>
            <w:tcW w:w="1987" w:type="dxa"/>
          </w:tcPr>
          <w:p w14:paraId="643B4D99" w14:textId="77777777" w:rsidR="004F1E44" w:rsidRPr="00286216" w:rsidRDefault="004F1E44" w:rsidP="004F1E44">
            <w:pPr>
              <w:pStyle w:val="StyleWisnow"/>
              <w:rPr>
                <w:color w:val="000000" w:themeColor="text1"/>
                <w:lang w:eastAsia="uk-UA"/>
              </w:rPr>
            </w:pPr>
          </w:p>
        </w:tc>
        <w:tc>
          <w:tcPr>
            <w:tcW w:w="4818" w:type="dxa"/>
          </w:tcPr>
          <w:p w14:paraId="521CCCC9" w14:textId="6FEE462A" w:rsidR="004F1E44" w:rsidRPr="00286216" w:rsidRDefault="004F1E44" w:rsidP="004F1E44">
            <w:pPr>
              <w:pStyle w:val="StyleZakonu"/>
              <w:rPr>
                <w:color w:val="000000" w:themeColor="text1"/>
                <w:lang w:eastAsia="uk-UA"/>
              </w:rPr>
            </w:pPr>
            <w:r w:rsidRPr="00286216">
              <w:rPr>
                <w:color w:val="000000" w:themeColor="text1"/>
                <w:lang w:eastAsia="uk-UA"/>
              </w:rPr>
              <w:t>3) дилерська діяльність;</w:t>
            </w:r>
          </w:p>
        </w:tc>
      </w:tr>
      <w:tr w:rsidR="004F1E44" w:rsidRPr="00286216" w14:paraId="58C7BE93" w14:textId="77777777" w:rsidTr="00091AA5">
        <w:tc>
          <w:tcPr>
            <w:tcW w:w="576" w:type="dxa"/>
          </w:tcPr>
          <w:p w14:paraId="486D9DA1" w14:textId="77777777" w:rsidR="004F1E44" w:rsidRPr="00286216" w:rsidRDefault="004F1E44" w:rsidP="004F1E44">
            <w:pPr>
              <w:pStyle w:val="StyleWisnow"/>
              <w:rPr>
                <w:color w:val="000000" w:themeColor="text1"/>
              </w:rPr>
            </w:pPr>
            <w:bookmarkStart w:id="2795" w:name="n2923" w:colFirst="0" w:colLast="0"/>
            <w:bookmarkEnd w:id="2794"/>
            <w:r w:rsidRPr="00286216">
              <w:rPr>
                <w:color w:val="000000" w:themeColor="text1"/>
              </w:rPr>
              <w:t>2923.</w:t>
            </w:r>
          </w:p>
        </w:tc>
        <w:tc>
          <w:tcPr>
            <w:tcW w:w="4818" w:type="dxa"/>
          </w:tcPr>
          <w:p w14:paraId="30450F2B" w14:textId="77777777" w:rsidR="004F1E44" w:rsidRPr="00286216" w:rsidRDefault="004F1E44" w:rsidP="004F1E44">
            <w:pPr>
              <w:pStyle w:val="StyleZakonu"/>
              <w:rPr>
                <w:color w:val="000000" w:themeColor="text1"/>
                <w:lang w:eastAsia="uk-UA"/>
              </w:rPr>
            </w:pPr>
            <w:r w:rsidRPr="00286216">
              <w:rPr>
                <w:color w:val="000000" w:themeColor="text1"/>
                <w:lang w:eastAsia="uk-UA"/>
              </w:rPr>
              <w:t>4) діяльність з управління портфелем фінансових інструментів;</w:t>
            </w:r>
          </w:p>
        </w:tc>
        <w:tc>
          <w:tcPr>
            <w:tcW w:w="3686" w:type="dxa"/>
          </w:tcPr>
          <w:p w14:paraId="6463AAC1" w14:textId="775BBA44" w:rsidR="004F1E44" w:rsidRPr="00286216" w:rsidRDefault="004F1E44" w:rsidP="004F1E44">
            <w:pPr>
              <w:pStyle w:val="StyleProp"/>
              <w:spacing w:line="180" w:lineRule="exact"/>
              <w:rPr>
                <w:color w:val="000000" w:themeColor="text1"/>
              </w:rPr>
            </w:pPr>
            <w:r w:rsidRPr="00286216">
              <w:rPr>
                <w:color w:val="000000" w:themeColor="text1"/>
              </w:rPr>
              <w:t>6) діяльність з управління майном для фінансування об’єктів будівництва та/або здійснення операцій з нерухомістю;</w:t>
            </w:r>
          </w:p>
        </w:tc>
        <w:tc>
          <w:tcPr>
            <w:tcW w:w="1987" w:type="dxa"/>
          </w:tcPr>
          <w:p w14:paraId="5E9A888D" w14:textId="77777777" w:rsidR="004F1E44" w:rsidRPr="00286216" w:rsidRDefault="004F1E44" w:rsidP="004F1E44">
            <w:pPr>
              <w:pStyle w:val="StyleWisnow"/>
              <w:rPr>
                <w:color w:val="000000" w:themeColor="text1"/>
                <w:lang w:eastAsia="uk-UA"/>
              </w:rPr>
            </w:pPr>
          </w:p>
        </w:tc>
        <w:tc>
          <w:tcPr>
            <w:tcW w:w="4818" w:type="dxa"/>
          </w:tcPr>
          <w:p w14:paraId="69756C47" w14:textId="54B22DDA" w:rsidR="004F1E44" w:rsidRPr="00286216" w:rsidRDefault="004F1E44" w:rsidP="004F1E44">
            <w:pPr>
              <w:pStyle w:val="StyleZakonu"/>
              <w:rPr>
                <w:color w:val="000000" w:themeColor="text1"/>
                <w:lang w:eastAsia="uk-UA"/>
              </w:rPr>
            </w:pPr>
            <w:r w:rsidRPr="00286216">
              <w:rPr>
                <w:color w:val="000000" w:themeColor="text1"/>
                <w:lang w:eastAsia="uk-UA"/>
              </w:rPr>
              <w:t>4) діяльність з управління портфелем фінансових інструментів;</w:t>
            </w:r>
          </w:p>
        </w:tc>
      </w:tr>
      <w:tr w:rsidR="004F1E44" w:rsidRPr="00286216" w14:paraId="211C4FB2" w14:textId="77777777" w:rsidTr="00091AA5">
        <w:tc>
          <w:tcPr>
            <w:tcW w:w="576" w:type="dxa"/>
          </w:tcPr>
          <w:p w14:paraId="01E704FE" w14:textId="77777777" w:rsidR="004F1E44" w:rsidRPr="00286216" w:rsidRDefault="004F1E44" w:rsidP="004F1E44">
            <w:pPr>
              <w:pStyle w:val="StyleWisnow"/>
              <w:rPr>
                <w:color w:val="000000" w:themeColor="text1"/>
              </w:rPr>
            </w:pPr>
            <w:bookmarkStart w:id="2796" w:name="n2924" w:colFirst="0" w:colLast="0"/>
            <w:bookmarkEnd w:id="2795"/>
            <w:r w:rsidRPr="00286216">
              <w:rPr>
                <w:color w:val="000000" w:themeColor="text1"/>
              </w:rPr>
              <w:lastRenderedPageBreak/>
              <w:t>2924.</w:t>
            </w:r>
          </w:p>
        </w:tc>
        <w:tc>
          <w:tcPr>
            <w:tcW w:w="4818" w:type="dxa"/>
          </w:tcPr>
          <w:p w14:paraId="16B733DB" w14:textId="77777777" w:rsidR="004F1E44" w:rsidRPr="00286216" w:rsidRDefault="004F1E44" w:rsidP="004F1E44">
            <w:pPr>
              <w:pStyle w:val="StyleZakonu"/>
              <w:rPr>
                <w:color w:val="000000" w:themeColor="text1"/>
                <w:lang w:eastAsia="uk-UA"/>
              </w:rPr>
            </w:pPr>
            <w:r w:rsidRPr="00286216">
              <w:rPr>
                <w:color w:val="000000" w:themeColor="text1"/>
                <w:lang w:eastAsia="uk-UA"/>
              </w:rPr>
              <w:t>5) інвестиційне консультування;</w:t>
            </w:r>
          </w:p>
        </w:tc>
        <w:tc>
          <w:tcPr>
            <w:tcW w:w="3686" w:type="dxa"/>
          </w:tcPr>
          <w:p w14:paraId="0D4D1927" w14:textId="559F0ABC" w:rsidR="004F1E44" w:rsidRPr="00286216" w:rsidRDefault="004F1E44" w:rsidP="004F1E44">
            <w:pPr>
              <w:pStyle w:val="StyleProp"/>
              <w:spacing w:line="180" w:lineRule="exact"/>
              <w:rPr>
                <w:color w:val="000000" w:themeColor="text1"/>
                <w:szCs w:val="18"/>
                <w:lang w:eastAsia="uk-UA"/>
              </w:rPr>
            </w:pPr>
            <w:r w:rsidRPr="00286216">
              <w:rPr>
                <w:color w:val="000000" w:themeColor="text1"/>
              </w:rPr>
              <w:t>7) діяльність з адміністрування недержавних пенсійних фондів».</w:t>
            </w:r>
          </w:p>
        </w:tc>
        <w:tc>
          <w:tcPr>
            <w:tcW w:w="1987" w:type="dxa"/>
          </w:tcPr>
          <w:p w14:paraId="61CAA750" w14:textId="77777777" w:rsidR="004F1E44" w:rsidRPr="00286216" w:rsidRDefault="004F1E44" w:rsidP="004F1E44">
            <w:pPr>
              <w:pStyle w:val="StyleWisnow"/>
              <w:rPr>
                <w:color w:val="000000" w:themeColor="text1"/>
                <w:lang w:eastAsia="uk-UA"/>
              </w:rPr>
            </w:pPr>
          </w:p>
        </w:tc>
        <w:tc>
          <w:tcPr>
            <w:tcW w:w="4818" w:type="dxa"/>
          </w:tcPr>
          <w:p w14:paraId="3681801B" w14:textId="5E9E40F6" w:rsidR="004F1E44" w:rsidRPr="00286216" w:rsidRDefault="004F1E44" w:rsidP="004F1E44">
            <w:pPr>
              <w:pStyle w:val="StyleZakonu"/>
              <w:rPr>
                <w:color w:val="000000" w:themeColor="text1"/>
                <w:lang w:eastAsia="uk-UA"/>
              </w:rPr>
            </w:pPr>
            <w:r w:rsidRPr="00286216">
              <w:rPr>
                <w:color w:val="000000" w:themeColor="text1"/>
                <w:lang w:eastAsia="uk-UA"/>
              </w:rPr>
              <w:t>5) інвестиційне консультування;</w:t>
            </w:r>
          </w:p>
        </w:tc>
      </w:tr>
      <w:tr w:rsidR="004F1E44" w:rsidRPr="00286216" w14:paraId="32B3A7F1" w14:textId="77777777" w:rsidTr="00091AA5">
        <w:tc>
          <w:tcPr>
            <w:tcW w:w="576" w:type="dxa"/>
          </w:tcPr>
          <w:p w14:paraId="562A28DE" w14:textId="77777777" w:rsidR="004F1E44" w:rsidRPr="00286216" w:rsidRDefault="004F1E44" w:rsidP="004F1E44">
            <w:pPr>
              <w:pStyle w:val="StyleWisnow"/>
              <w:rPr>
                <w:color w:val="000000" w:themeColor="text1"/>
              </w:rPr>
            </w:pPr>
            <w:bookmarkStart w:id="2797" w:name="n2925" w:colFirst="0" w:colLast="0"/>
            <w:bookmarkEnd w:id="2796"/>
            <w:r w:rsidRPr="00286216">
              <w:rPr>
                <w:color w:val="000000" w:themeColor="text1"/>
              </w:rPr>
              <w:t>2925.</w:t>
            </w:r>
          </w:p>
        </w:tc>
        <w:tc>
          <w:tcPr>
            <w:tcW w:w="4818" w:type="dxa"/>
          </w:tcPr>
          <w:p w14:paraId="2A6EB83F" w14:textId="77777777" w:rsidR="004F1E44" w:rsidRPr="00286216" w:rsidRDefault="004F1E44" w:rsidP="004F1E44">
            <w:pPr>
              <w:pStyle w:val="StyleZakonu"/>
              <w:rPr>
                <w:color w:val="000000" w:themeColor="text1"/>
                <w:lang w:eastAsia="uk-UA"/>
              </w:rPr>
            </w:pPr>
            <w:r w:rsidRPr="00286216">
              <w:rPr>
                <w:color w:val="000000" w:themeColor="text1"/>
                <w:lang w:eastAsia="uk-UA"/>
              </w:rPr>
              <w:t>6) андеррайтинг;</w:t>
            </w:r>
          </w:p>
        </w:tc>
        <w:tc>
          <w:tcPr>
            <w:tcW w:w="3686" w:type="dxa"/>
          </w:tcPr>
          <w:p w14:paraId="749F1C6E" w14:textId="4EC368E9" w:rsidR="004F1E44" w:rsidRPr="00286216" w:rsidRDefault="004F1E44" w:rsidP="004F1E44">
            <w:pPr>
              <w:pStyle w:val="StyleProp"/>
              <w:spacing w:line="180" w:lineRule="exact"/>
              <w:rPr>
                <w:color w:val="000000" w:themeColor="text1"/>
              </w:rPr>
            </w:pPr>
          </w:p>
        </w:tc>
        <w:tc>
          <w:tcPr>
            <w:tcW w:w="1987" w:type="dxa"/>
          </w:tcPr>
          <w:p w14:paraId="1712961C" w14:textId="77777777" w:rsidR="004F1E44" w:rsidRPr="00286216" w:rsidRDefault="004F1E44" w:rsidP="004F1E44">
            <w:pPr>
              <w:pStyle w:val="StyleWisnow"/>
              <w:rPr>
                <w:color w:val="000000" w:themeColor="text1"/>
                <w:lang w:eastAsia="uk-UA"/>
              </w:rPr>
            </w:pPr>
          </w:p>
        </w:tc>
        <w:tc>
          <w:tcPr>
            <w:tcW w:w="4818" w:type="dxa"/>
          </w:tcPr>
          <w:p w14:paraId="3F15643F" w14:textId="3D94D501" w:rsidR="004F1E44" w:rsidRPr="00286216" w:rsidRDefault="004F1E44" w:rsidP="004F1E44">
            <w:pPr>
              <w:pStyle w:val="StyleZakonu"/>
              <w:rPr>
                <w:color w:val="000000" w:themeColor="text1"/>
                <w:lang w:eastAsia="uk-UA"/>
              </w:rPr>
            </w:pPr>
            <w:r w:rsidRPr="00286216">
              <w:rPr>
                <w:color w:val="000000" w:themeColor="text1"/>
                <w:lang w:eastAsia="uk-UA"/>
              </w:rPr>
              <w:t>6) андеррайтинг;</w:t>
            </w:r>
          </w:p>
        </w:tc>
      </w:tr>
      <w:tr w:rsidR="004F1E44" w:rsidRPr="00286216" w14:paraId="61EEFB68" w14:textId="77777777" w:rsidTr="00091AA5">
        <w:tc>
          <w:tcPr>
            <w:tcW w:w="576" w:type="dxa"/>
          </w:tcPr>
          <w:p w14:paraId="313EA756" w14:textId="77777777" w:rsidR="004F1E44" w:rsidRPr="00286216" w:rsidRDefault="004F1E44" w:rsidP="004F1E44">
            <w:pPr>
              <w:pStyle w:val="StyleWisnow"/>
              <w:rPr>
                <w:color w:val="000000" w:themeColor="text1"/>
              </w:rPr>
            </w:pPr>
            <w:bookmarkStart w:id="2798" w:name="n2926" w:colFirst="0" w:colLast="0"/>
            <w:bookmarkEnd w:id="2797"/>
            <w:r w:rsidRPr="00286216">
              <w:rPr>
                <w:color w:val="000000" w:themeColor="text1"/>
              </w:rPr>
              <w:t>2926.</w:t>
            </w:r>
          </w:p>
        </w:tc>
        <w:tc>
          <w:tcPr>
            <w:tcW w:w="4818" w:type="dxa"/>
          </w:tcPr>
          <w:p w14:paraId="4BA65F77" w14:textId="77777777" w:rsidR="004F1E44" w:rsidRPr="00286216" w:rsidRDefault="004F1E44" w:rsidP="004F1E44">
            <w:pPr>
              <w:pStyle w:val="StyleZakonu"/>
              <w:rPr>
                <w:color w:val="000000" w:themeColor="text1"/>
                <w:lang w:eastAsia="uk-UA"/>
              </w:rPr>
            </w:pPr>
            <w:r w:rsidRPr="00286216">
              <w:rPr>
                <w:color w:val="000000" w:themeColor="text1"/>
                <w:lang w:eastAsia="uk-UA"/>
              </w:rPr>
              <w:t>7) діяльність з розміщення з наданням гарантії;</w:t>
            </w:r>
          </w:p>
        </w:tc>
        <w:tc>
          <w:tcPr>
            <w:tcW w:w="3686" w:type="dxa"/>
          </w:tcPr>
          <w:p w14:paraId="48A92E2C" w14:textId="31AA1236" w:rsidR="004F1E44" w:rsidRPr="00286216" w:rsidRDefault="004F1E44" w:rsidP="004F1E44">
            <w:pPr>
              <w:pStyle w:val="StyleProp"/>
              <w:rPr>
                <w:color w:val="000000" w:themeColor="text1"/>
                <w:szCs w:val="18"/>
                <w:lang w:eastAsia="uk-UA"/>
              </w:rPr>
            </w:pPr>
          </w:p>
        </w:tc>
        <w:tc>
          <w:tcPr>
            <w:tcW w:w="1987" w:type="dxa"/>
          </w:tcPr>
          <w:p w14:paraId="1D5D34F0" w14:textId="77777777" w:rsidR="004F1E44" w:rsidRPr="00286216" w:rsidRDefault="004F1E44" w:rsidP="004F1E44">
            <w:pPr>
              <w:pStyle w:val="StyleWisnow"/>
              <w:rPr>
                <w:color w:val="000000" w:themeColor="text1"/>
                <w:lang w:eastAsia="uk-UA"/>
              </w:rPr>
            </w:pPr>
          </w:p>
        </w:tc>
        <w:tc>
          <w:tcPr>
            <w:tcW w:w="4818" w:type="dxa"/>
          </w:tcPr>
          <w:p w14:paraId="1BC4A4B2" w14:textId="007CF580" w:rsidR="004F1E44" w:rsidRPr="00286216" w:rsidRDefault="004F1E44" w:rsidP="004F1E44">
            <w:pPr>
              <w:pStyle w:val="StyleZakonu"/>
              <w:rPr>
                <w:color w:val="000000" w:themeColor="text1"/>
                <w:lang w:eastAsia="uk-UA"/>
              </w:rPr>
            </w:pPr>
            <w:r w:rsidRPr="00286216">
              <w:rPr>
                <w:color w:val="000000" w:themeColor="text1"/>
                <w:lang w:eastAsia="uk-UA"/>
              </w:rPr>
              <w:t>7) діяльність з розміщення з наданням гарантії;</w:t>
            </w:r>
          </w:p>
        </w:tc>
      </w:tr>
      <w:tr w:rsidR="004F1E44" w:rsidRPr="00286216" w14:paraId="0C16EEBF" w14:textId="77777777" w:rsidTr="00091AA5">
        <w:tc>
          <w:tcPr>
            <w:tcW w:w="576" w:type="dxa"/>
          </w:tcPr>
          <w:p w14:paraId="282FAE35" w14:textId="77777777" w:rsidR="004F1E44" w:rsidRPr="00286216" w:rsidRDefault="004F1E44" w:rsidP="004F1E44">
            <w:pPr>
              <w:pStyle w:val="StyleWisnow"/>
              <w:rPr>
                <w:color w:val="000000" w:themeColor="text1"/>
              </w:rPr>
            </w:pPr>
            <w:bookmarkStart w:id="2799" w:name="n2927" w:colFirst="0" w:colLast="0"/>
            <w:bookmarkEnd w:id="2798"/>
            <w:r w:rsidRPr="00286216">
              <w:rPr>
                <w:color w:val="000000" w:themeColor="text1"/>
              </w:rPr>
              <w:t>2927.</w:t>
            </w:r>
          </w:p>
        </w:tc>
        <w:tc>
          <w:tcPr>
            <w:tcW w:w="4818" w:type="dxa"/>
          </w:tcPr>
          <w:p w14:paraId="483AF089" w14:textId="77777777" w:rsidR="004F1E44" w:rsidRPr="00286216" w:rsidRDefault="004F1E44" w:rsidP="004F1E44">
            <w:pPr>
              <w:pStyle w:val="StyleZakonu"/>
              <w:rPr>
                <w:color w:val="000000" w:themeColor="text1"/>
                <w:lang w:eastAsia="uk-UA"/>
              </w:rPr>
            </w:pPr>
            <w:r w:rsidRPr="00286216">
              <w:rPr>
                <w:color w:val="000000" w:themeColor="text1"/>
                <w:lang w:eastAsia="uk-UA"/>
              </w:rPr>
              <w:t>8) діяльність з розміщення без надання гарантії;</w:t>
            </w:r>
          </w:p>
        </w:tc>
        <w:tc>
          <w:tcPr>
            <w:tcW w:w="3686" w:type="dxa"/>
          </w:tcPr>
          <w:p w14:paraId="182A83F9" w14:textId="73E47432" w:rsidR="004F1E44" w:rsidRPr="00286216" w:rsidRDefault="004F1E44" w:rsidP="004F1E44">
            <w:pPr>
              <w:pStyle w:val="StyleProp"/>
              <w:rPr>
                <w:color w:val="000000" w:themeColor="text1"/>
                <w:szCs w:val="18"/>
                <w:lang w:eastAsia="uk-UA"/>
              </w:rPr>
            </w:pPr>
          </w:p>
        </w:tc>
        <w:tc>
          <w:tcPr>
            <w:tcW w:w="1987" w:type="dxa"/>
          </w:tcPr>
          <w:p w14:paraId="3215B6E2" w14:textId="77777777" w:rsidR="004F1E44" w:rsidRPr="00286216" w:rsidRDefault="004F1E44" w:rsidP="004F1E44">
            <w:pPr>
              <w:pStyle w:val="StyleWisnow"/>
              <w:rPr>
                <w:color w:val="000000" w:themeColor="text1"/>
                <w:lang w:eastAsia="uk-UA"/>
              </w:rPr>
            </w:pPr>
          </w:p>
        </w:tc>
        <w:tc>
          <w:tcPr>
            <w:tcW w:w="4818" w:type="dxa"/>
          </w:tcPr>
          <w:p w14:paraId="0615C443" w14:textId="204415D2" w:rsidR="004F1E44" w:rsidRPr="00286216" w:rsidRDefault="004F1E44" w:rsidP="004F1E44">
            <w:pPr>
              <w:pStyle w:val="StyleZakonu"/>
              <w:rPr>
                <w:color w:val="000000" w:themeColor="text1"/>
                <w:lang w:eastAsia="uk-UA"/>
              </w:rPr>
            </w:pPr>
            <w:r w:rsidRPr="00286216">
              <w:rPr>
                <w:color w:val="000000" w:themeColor="text1"/>
                <w:lang w:eastAsia="uk-UA"/>
              </w:rPr>
              <w:t>8) діяльність з розміщення без надання гарантії;</w:t>
            </w:r>
          </w:p>
        </w:tc>
      </w:tr>
      <w:tr w:rsidR="004F1E44" w:rsidRPr="00286216" w14:paraId="4C148652" w14:textId="77777777" w:rsidTr="00091AA5">
        <w:tc>
          <w:tcPr>
            <w:tcW w:w="576" w:type="dxa"/>
          </w:tcPr>
          <w:p w14:paraId="66D1D5E6" w14:textId="77777777" w:rsidR="004F1E44" w:rsidRPr="00286216" w:rsidRDefault="004F1E44" w:rsidP="004F1E44">
            <w:pPr>
              <w:pStyle w:val="StyleWisnow"/>
              <w:rPr>
                <w:color w:val="000000" w:themeColor="text1"/>
              </w:rPr>
            </w:pPr>
            <w:bookmarkStart w:id="2800" w:name="n2928" w:colFirst="0" w:colLast="0"/>
            <w:bookmarkEnd w:id="2799"/>
            <w:r w:rsidRPr="00286216">
              <w:rPr>
                <w:color w:val="000000" w:themeColor="text1"/>
              </w:rPr>
              <w:t>2928.</w:t>
            </w:r>
          </w:p>
        </w:tc>
        <w:tc>
          <w:tcPr>
            <w:tcW w:w="4818" w:type="dxa"/>
          </w:tcPr>
          <w:p w14:paraId="1B07C175" w14:textId="77777777" w:rsidR="004F1E44" w:rsidRPr="00286216" w:rsidRDefault="004F1E44" w:rsidP="004F1E44">
            <w:pPr>
              <w:pStyle w:val="StyleZakonu"/>
              <w:rPr>
                <w:color w:val="000000" w:themeColor="text1"/>
                <w:lang w:eastAsia="uk-UA"/>
              </w:rPr>
            </w:pPr>
            <w:r w:rsidRPr="00286216">
              <w:rPr>
                <w:color w:val="000000" w:themeColor="text1"/>
                <w:lang w:eastAsia="uk-UA"/>
              </w:rPr>
              <w:t>9) діяльність з організації торгівлі цінними паперами на регульованому фондовому ринку;</w:t>
            </w:r>
          </w:p>
        </w:tc>
        <w:tc>
          <w:tcPr>
            <w:tcW w:w="3686" w:type="dxa"/>
          </w:tcPr>
          <w:p w14:paraId="1395645F" w14:textId="048BF3ED"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1294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5385332" w14:textId="4CF6AF29" w:rsidR="004F1E44" w:rsidRPr="00286216" w:rsidRDefault="004F1E44" w:rsidP="004F1E44">
            <w:pPr>
              <w:pStyle w:val="StyleProp"/>
              <w:spacing w:line="180" w:lineRule="exact"/>
              <w:rPr>
                <w:color w:val="000000" w:themeColor="text1"/>
                <w:szCs w:val="18"/>
              </w:rPr>
            </w:pPr>
            <w:r w:rsidRPr="00286216">
              <w:rPr>
                <w:color w:val="000000" w:themeColor="text1"/>
                <w:szCs w:val="18"/>
              </w:rPr>
              <w:t>У підпункті 5 пункту 17, пункти  9 – 15 викласти в такій редакції:</w:t>
            </w:r>
          </w:p>
          <w:p w14:paraId="3CDC9854"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«9) діяльність з організації обігу цінних паперів на регульованому фондовому ринку;</w:t>
            </w:r>
          </w:p>
          <w:p w14:paraId="75CCAF52"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10) діяльність з організації обігу деривативних контрактів на регульованому ринку деривативних контрактів;</w:t>
            </w:r>
          </w:p>
          <w:p w14:paraId="486ED0B4"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11) діяльність з організації обігу інструментів грошового ринку на регульованому грошовому ринку;</w:t>
            </w:r>
          </w:p>
          <w:p w14:paraId="5E49633A"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12) діяльність з організації обігу цінних паперів на фондовому БТМ;</w:t>
            </w:r>
          </w:p>
          <w:p w14:paraId="4070A01B"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13) діяльність з організації обігу деривативних контрактів на БТМ деривативних контрактів;</w:t>
            </w:r>
          </w:p>
          <w:p w14:paraId="3BBB0533"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14) діяльність з організації обігу облігацій на ОТМ облігацій;</w:t>
            </w:r>
          </w:p>
          <w:p w14:paraId="10C343C1" w14:textId="77777777" w:rsidR="004F1E44" w:rsidRPr="00286216" w:rsidRDefault="004F1E44" w:rsidP="004F1E44">
            <w:pPr>
              <w:pStyle w:val="StyleProp"/>
              <w:spacing w:line="180" w:lineRule="exact"/>
              <w:rPr>
                <w:color w:val="000000" w:themeColor="text1"/>
                <w:szCs w:val="18"/>
                <w:lang w:eastAsia="uk-UA"/>
              </w:rPr>
            </w:pPr>
            <w:r w:rsidRPr="00286216">
              <w:rPr>
                <w:color w:val="000000" w:themeColor="text1"/>
                <w:szCs w:val="18"/>
              </w:rPr>
              <w:t>15) діяльність з організації обігу деривативних контрактів на ОТМ деривативних контрактів;».</w:t>
            </w:r>
          </w:p>
        </w:tc>
        <w:tc>
          <w:tcPr>
            <w:tcW w:w="1987" w:type="dxa"/>
          </w:tcPr>
          <w:p w14:paraId="2E0B0EDE" w14:textId="77777777" w:rsidR="004F1E44" w:rsidRPr="00286216" w:rsidRDefault="004F1E44" w:rsidP="004F1E44">
            <w:pPr>
              <w:pStyle w:val="StyleWisnow"/>
              <w:rPr>
                <w:color w:val="000000" w:themeColor="text1"/>
                <w:lang w:eastAsia="uk-UA"/>
              </w:rPr>
            </w:pPr>
            <w:r w:rsidRPr="00286216">
              <w:rPr>
                <w:color w:val="000000" w:themeColor="text1"/>
                <w:lang w:eastAsia="uk-UA"/>
              </w:rPr>
              <w:t>Відхилено</w:t>
            </w:r>
          </w:p>
          <w:p w14:paraId="7946269F" w14:textId="513F5040" w:rsidR="004F1E44" w:rsidRPr="00286216" w:rsidRDefault="004F1E44" w:rsidP="004F1E44">
            <w:pPr>
              <w:pStyle w:val="StyleWisnow"/>
              <w:rPr>
                <w:color w:val="000000" w:themeColor="text1"/>
                <w:lang w:eastAsia="uk-UA"/>
              </w:rPr>
            </w:pPr>
            <w:r w:rsidRPr="00286216">
              <w:rPr>
                <w:color w:val="000000" w:themeColor="text1"/>
                <w:lang w:eastAsia="uk-UA"/>
              </w:rPr>
              <w:t>обіг це процес</w:t>
            </w:r>
          </w:p>
        </w:tc>
        <w:tc>
          <w:tcPr>
            <w:tcW w:w="4818" w:type="dxa"/>
          </w:tcPr>
          <w:p w14:paraId="1344A903" w14:textId="50EB7A91" w:rsidR="004F1E44" w:rsidRPr="00286216" w:rsidRDefault="004F1E44" w:rsidP="004F1E44">
            <w:pPr>
              <w:pStyle w:val="StyleZakonu"/>
              <w:rPr>
                <w:color w:val="000000" w:themeColor="text1"/>
                <w:lang w:eastAsia="uk-UA"/>
              </w:rPr>
            </w:pPr>
            <w:r w:rsidRPr="00286216">
              <w:rPr>
                <w:color w:val="000000" w:themeColor="text1"/>
                <w:lang w:eastAsia="uk-UA"/>
              </w:rPr>
              <w:t>9) діяльність з організації торгівлі цінними паперами на регульованому фондовому ринку;</w:t>
            </w:r>
          </w:p>
        </w:tc>
      </w:tr>
      <w:tr w:rsidR="004F1E44" w:rsidRPr="00286216" w14:paraId="31E2EE98" w14:textId="77777777" w:rsidTr="00091AA5">
        <w:tc>
          <w:tcPr>
            <w:tcW w:w="576" w:type="dxa"/>
          </w:tcPr>
          <w:p w14:paraId="4A71D466" w14:textId="77777777" w:rsidR="004F1E44" w:rsidRPr="00286216" w:rsidRDefault="004F1E44" w:rsidP="004F1E44">
            <w:pPr>
              <w:pStyle w:val="StyleWisnow"/>
              <w:rPr>
                <w:color w:val="000000" w:themeColor="text1"/>
              </w:rPr>
            </w:pPr>
            <w:bookmarkStart w:id="2801" w:name="n2929" w:colFirst="0" w:colLast="0"/>
            <w:bookmarkEnd w:id="2800"/>
            <w:r w:rsidRPr="00286216">
              <w:rPr>
                <w:color w:val="000000" w:themeColor="text1"/>
              </w:rPr>
              <w:t>2929.</w:t>
            </w:r>
          </w:p>
        </w:tc>
        <w:tc>
          <w:tcPr>
            <w:tcW w:w="4818" w:type="dxa"/>
          </w:tcPr>
          <w:p w14:paraId="0BEE3A61" w14:textId="77777777" w:rsidR="004F1E44" w:rsidRPr="00286216" w:rsidRDefault="004F1E44" w:rsidP="004F1E44">
            <w:pPr>
              <w:pStyle w:val="StyleZakonu"/>
              <w:rPr>
                <w:color w:val="000000" w:themeColor="text1"/>
                <w:lang w:eastAsia="uk-UA"/>
              </w:rPr>
            </w:pPr>
            <w:r w:rsidRPr="00286216">
              <w:rPr>
                <w:color w:val="000000" w:themeColor="text1"/>
                <w:lang w:eastAsia="uk-UA"/>
              </w:rPr>
              <w:t>10) діяльність з організації укладання деривативних контрактів на регульованому ринку деривативних (похідних) фінансових інструментів;</w:t>
            </w:r>
          </w:p>
        </w:tc>
        <w:tc>
          <w:tcPr>
            <w:tcW w:w="3686" w:type="dxa"/>
          </w:tcPr>
          <w:p w14:paraId="7955791A" w14:textId="54E021A9"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1295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D424F3D" w14:textId="336BFD58" w:rsidR="004F1E44" w:rsidRPr="00286216" w:rsidRDefault="004F1E44" w:rsidP="004F1E44">
            <w:pPr>
              <w:pStyle w:val="StyleProp"/>
              <w:spacing w:line="180" w:lineRule="exact"/>
              <w:rPr>
                <w:color w:val="000000" w:themeColor="text1"/>
                <w:szCs w:val="18"/>
                <w:lang w:eastAsia="uk-UA"/>
              </w:rPr>
            </w:pPr>
            <w:r w:rsidRPr="00286216">
              <w:rPr>
                <w:color w:val="000000" w:themeColor="text1"/>
                <w:szCs w:val="18"/>
              </w:rPr>
              <w:t>У підпункті 10 п. 17 с</w:t>
            </w:r>
            <w:r w:rsidRPr="00286216">
              <w:rPr>
                <w:color w:val="000000" w:themeColor="text1"/>
                <w:spacing w:val="-2"/>
              </w:rPr>
              <w:t>лова «деривативних (похідних) фінансових інструментів» замінити словами «деривативних контрактів».</w:t>
            </w:r>
          </w:p>
        </w:tc>
        <w:tc>
          <w:tcPr>
            <w:tcW w:w="1987" w:type="dxa"/>
          </w:tcPr>
          <w:p w14:paraId="03E6B340" w14:textId="13C41194" w:rsidR="004F1E44" w:rsidRPr="00286216" w:rsidRDefault="004F1E44" w:rsidP="004F1E44">
            <w:pPr>
              <w:pStyle w:val="StyleWisnow"/>
              <w:rPr>
                <w:color w:val="000000" w:themeColor="text1"/>
                <w:lang w:eastAsia="uk-UA"/>
              </w:rPr>
            </w:pPr>
            <w:r w:rsidRPr="00286216">
              <w:rPr>
                <w:color w:val="000000" w:themeColor="text1"/>
                <w:lang w:eastAsia="uk-UA"/>
              </w:rPr>
              <w:t>Враховано</w:t>
            </w:r>
          </w:p>
        </w:tc>
        <w:tc>
          <w:tcPr>
            <w:tcW w:w="4818" w:type="dxa"/>
          </w:tcPr>
          <w:p w14:paraId="44775ACB" w14:textId="01C81A2E" w:rsidR="004F1E44" w:rsidRPr="00286216" w:rsidRDefault="004F1E44" w:rsidP="004F1E44">
            <w:pPr>
              <w:pStyle w:val="StyleZakonu"/>
              <w:rPr>
                <w:color w:val="000000" w:themeColor="text1"/>
                <w:lang w:eastAsia="uk-UA"/>
              </w:rPr>
            </w:pPr>
            <w:r w:rsidRPr="00286216">
              <w:rPr>
                <w:color w:val="000000" w:themeColor="text1"/>
                <w:lang w:eastAsia="uk-UA"/>
              </w:rPr>
              <w:t>10) діяльність з організації укладення деривативних контрактів на регульованому ринку деривативних контрактів;</w:t>
            </w:r>
          </w:p>
        </w:tc>
      </w:tr>
      <w:tr w:rsidR="004F1E44" w:rsidRPr="00286216" w14:paraId="6B5B035B" w14:textId="77777777" w:rsidTr="00091AA5">
        <w:tc>
          <w:tcPr>
            <w:tcW w:w="576" w:type="dxa"/>
          </w:tcPr>
          <w:p w14:paraId="69E816AE" w14:textId="77777777" w:rsidR="004F1E44" w:rsidRPr="00286216" w:rsidRDefault="004F1E44" w:rsidP="004F1E44">
            <w:pPr>
              <w:pStyle w:val="StyleWisnow"/>
              <w:rPr>
                <w:color w:val="000000" w:themeColor="text1"/>
              </w:rPr>
            </w:pPr>
            <w:bookmarkStart w:id="2802" w:name="n2930" w:colFirst="0" w:colLast="0"/>
            <w:bookmarkEnd w:id="2801"/>
            <w:r w:rsidRPr="00286216">
              <w:rPr>
                <w:color w:val="000000" w:themeColor="text1"/>
              </w:rPr>
              <w:t>2930.</w:t>
            </w:r>
          </w:p>
        </w:tc>
        <w:tc>
          <w:tcPr>
            <w:tcW w:w="4818" w:type="dxa"/>
          </w:tcPr>
          <w:p w14:paraId="07BB0CC5" w14:textId="77777777" w:rsidR="004F1E44" w:rsidRPr="00286216" w:rsidRDefault="004F1E44" w:rsidP="004F1E44">
            <w:pPr>
              <w:pStyle w:val="StyleZakonu"/>
              <w:rPr>
                <w:color w:val="000000" w:themeColor="text1"/>
                <w:lang w:eastAsia="uk-UA"/>
              </w:rPr>
            </w:pPr>
            <w:r w:rsidRPr="00286216">
              <w:rPr>
                <w:color w:val="000000" w:themeColor="text1"/>
                <w:lang w:eastAsia="uk-UA"/>
              </w:rPr>
              <w:t>11) діяльність з організації торгівлі інструментами грошового ринку на регульованому грошовому ринку;</w:t>
            </w:r>
          </w:p>
        </w:tc>
        <w:tc>
          <w:tcPr>
            <w:tcW w:w="3686" w:type="dxa"/>
          </w:tcPr>
          <w:p w14:paraId="2DE5A933" w14:textId="77777777" w:rsidR="004F1E44" w:rsidRPr="00286216" w:rsidRDefault="004F1E44" w:rsidP="004F1E44">
            <w:pPr>
              <w:pStyle w:val="StyleProp"/>
              <w:rPr>
                <w:color w:val="000000" w:themeColor="text1"/>
                <w:szCs w:val="18"/>
                <w:lang w:eastAsia="uk-UA"/>
              </w:rPr>
            </w:pPr>
          </w:p>
        </w:tc>
        <w:tc>
          <w:tcPr>
            <w:tcW w:w="1987" w:type="dxa"/>
          </w:tcPr>
          <w:p w14:paraId="5E98D5E1" w14:textId="77777777" w:rsidR="004F1E44" w:rsidRPr="00286216" w:rsidRDefault="004F1E44" w:rsidP="004F1E44">
            <w:pPr>
              <w:pStyle w:val="StyleWisnow"/>
              <w:rPr>
                <w:color w:val="000000" w:themeColor="text1"/>
                <w:lang w:eastAsia="uk-UA"/>
              </w:rPr>
            </w:pPr>
          </w:p>
        </w:tc>
        <w:tc>
          <w:tcPr>
            <w:tcW w:w="4818" w:type="dxa"/>
          </w:tcPr>
          <w:p w14:paraId="2851F61A" w14:textId="60083102" w:rsidR="004F1E44" w:rsidRPr="00286216" w:rsidRDefault="004F1E44" w:rsidP="004F1E44">
            <w:pPr>
              <w:pStyle w:val="StyleZakonu"/>
              <w:rPr>
                <w:color w:val="000000" w:themeColor="text1"/>
                <w:lang w:eastAsia="uk-UA"/>
              </w:rPr>
            </w:pPr>
            <w:r w:rsidRPr="00286216">
              <w:rPr>
                <w:color w:val="000000" w:themeColor="text1"/>
                <w:lang w:eastAsia="uk-UA"/>
              </w:rPr>
              <w:t>11) діяльність з організації торгівлі інструментами грошового ринку на регульованому грошовому ринку;</w:t>
            </w:r>
          </w:p>
        </w:tc>
      </w:tr>
      <w:tr w:rsidR="004F1E44" w:rsidRPr="00286216" w14:paraId="38657EEF" w14:textId="77777777" w:rsidTr="00091AA5">
        <w:tc>
          <w:tcPr>
            <w:tcW w:w="576" w:type="dxa"/>
          </w:tcPr>
          <w:p w14:paraId="1D9CB7F1" w14:textId="77777777" w:rsidR="004F1E44" w:rsidRPr="00286216" w:rsidRDefault="004F1E44" w:rsidP="004F1E44">
            <w:pPr>
              <w:pStyle w:val="StyleWisnow"/>
              <w:rPr>
                <w:color w:val="000000" w:themeColor="text1"/>
              </w:rPr>
            </w:pPr>
            <w:bookmarkStart w:id="2803" w:name="n2931" w:colFirst="0" w:colLast="0"/>
            <w:bookmarkEnd w:id="2802"/>
            <w:r w:rsidRPr="00286216">
              <w:rPr>
                <w:color w:val="000000" w:themeColor="text1"/>
              </w:rPr>
              <w:t>2931.</w:t>
            </w:r>
          </w:p>
        </w:tc>
        <w:tc>
          <w:tcPr>
            <w:tcW w:w="4818" w:type="dxa"/>
          </w:tcPr>
          <w:p w14:paraId="20495206" w14:textId="77777777" w:rsidR="004F1E44" w:rsidRPr="00286216" w:rsidRDefault="004F1E44" w:rsidP="004F1E44">
            <w:pPr>
              <w:pStyle w:val="StyleZakonu"/>
              <w:rPr>
                <w:color w:val="000000" w:themeColor="text1"/>
                <w:lang w:eastAsia="uk-UA"/>
              </w:rPr>
            </w:pPr>
            <w:r w:rsidRPr="00286216">
              <w:rPr>
                <w:color w:val="000000" w:themeColor="text1"/>
                <w:lang w:eastAsia="uk-UA"/>
              </w:rPr>
              <w:t>12) діяльність з організації торгівлі цінними паперами на фондовій БТМ;</w:t>
            </w:r>
          </w:p>
        </w:tc>
        <w:tc>
          <w:tcPr>
            <w:tcW w:w="3686" w:type="dxa"/>
          </w:tcPr>
          <w:p w14:paraId="37DC6FDF" w14:textId="77777777" w:rsidR="004F1E44" w:rsidRPr="00286216" w:rsidRDefault="004F1E44" w:rsidP="004F1E44">
            <w:pPr>
              <w:pStyle w:val="StyleProp"/>
              <w:rPr>
                <w:color w:val="000000" w:themeColor="text1"/>
                <w:szCs w:val="18"/>
                <w:lang w:eastAsia="uk-UA"/>
              </w:rPr>
            </w:pPr>
          </w:p>
        </w:tc>
        <w:tc>
          <w:tcPr>
            <w:tcW w:w="1987" w:type="dxa"/>
          </w:tcPr>
          <w:p w14:paraId="1EBC80A0" w14:textId="77777777" w:rsidR="004F1E44" w:rsidRPr="00286216" w:rsidRDefault="004F1E44" w:rsidP="004F1E44">
            <w:pPr>
              <w:pStyle w:val="StyleWisnow"/>
              <w:rPr>
                <w:color w:val="000000" w:themeColor="text1"/>
                <w:lang w:eastAsia="uk-UA"/>
              </w:rPr>
            </w:pPr>
          </w:p>
        </w:tc>
        <w:tc>
          <w:tcPr>
            <w:tcW w:w="4818" w:type="dxa"/>
          </w:tcPr>
          <w:p w14:paraId="409F3FF5" w14:textId="66E0740C" w:rsidR="004F1E44" w:rsidRPr="00286216" w:rsidRDefault="004F1E44" w:rsidP="004F1E44">
            <w:pPr>
              <w:pStyle w:val="StyleZakonu"/>
              <w:rPr>
                <w:color w:val="000000" w:themeColor="text1"/>
                <w:lang w:eastAsia="uk-UA"/>
              </w:rPr>
            </w:pPr>
            <w:r w:rsidRPr="00286216">
              <w:rPr>
                <w:color w:val="000000" w:themeColor="text1"/>
                <w:lang w:eastAsia="uk-UA"/>
              </w:rPr>
              <w:t>12) діяльність з організації торгівлі цінними паперами на фондовому багатосторонньому торговельному майданчику;</w:t>
            </w:r>
          </w:p>
        </w:tc>
      </w:tr>
      <w:tr w:rsidR="004F1E44" w:rsidRPr="00286216" w14:paraId="1311EF5A" w14:textId="77777777" w:rsidTr="00091AA5">
        <w:tc>
          <w:tcPr>
            <w:tcW w:w="576" w:type="dxa"/>
          </w:tcPr>
          <w:p w14:paraId="28C36401" w14:textId="77777777" w:rsidR="004F1E44" w:rsidRPr="00286216" w:rsidRDefault="004F1E44" w:rsidP="004F1E44">
            <w:pPr>
              <w:pStyle w:val="StyleWisnow"/>
              <w:rPr>
                <w:color w:val="000000" w:themeColor="text1"/>
              </w:rPr>
            </w:pPr>
            <w:bookmarkStart w:id="2804" w:name="n2932" w:colFirst="0" w:colLast="0"/>
            <w:bookmarkEnd w:id="2803"/>
            <w:r w:rsidRPr="00286216">
              <w:rPr>
                <w:color w:val="000000" w:themeColor="text1"/>
              </w:rPr>
              <w:t>2932.</w:t>
            </w:r>
          </w:p>
        </w:tc>
        <w:tc>
          <w:tcPr>
            <w:tcW w:w="4818" w:type="dxa"/>
          </w:tcPr>
          <w:p w14:paraId="6AE03149" w14:textId="77777777" w:rsidR="004F1E44" w:rsidRPr="00286216" w:rsidRDefault="004F1E44" w:rsidP="004F1E44">
            <w:pPr>
              <w:pStyle w:val="StyleZakonu"/>
              <w:rPr>
                <w:color w:val="000000" w:themeColor="text1"/>
                <w:lang w:eastAsia="uk-UA"/>
              </w:rPr>
            </w:pPr>
            <w:r w:rsidRPr="00286216">
              <w:rPr>
                <w:color w:val="000000" w:themeColor="text1"/>
                <w:lang w:eastAsia="uk-UA"/>
              </w:rPr>
              <w:t>13) діяльність з організації укладання деривативних контрактів на БТМ деривативних (похідних) фінансових інструментів;</w:t>
            </w:r>
          </w:p>
        </w:tc>
        <w:tc>
          <w:tcPr>
            <w:tcW w:w="3686" w:type="dxa"/>
          </w:tcPr>
          <w:p w14:paraId="1081753F" w14:textId="5EC2486A"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1296</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5CF9CD4" w14:textId="4CBAD448" w:rsidR="004F1E44" w:rsidRPr="00286216" w:rsidRDefault="004F1E44" w:rsidP="004F1E44">
            <w:pPr>
              <w:pStyle w:val="StyleProp"/>
              <w:rPr>
                <w:color w:val="000000" w:themeColor="text1"/>
                <w:spacing w:val="-2"/>
                <w:szCs w:val="18"/>
                <w:lang w:eastAsia="uk-UA"/>
              </w:rPr>
            </w:pPr>
            <w:r w:rsidRPr="00286216">
              <w:rPr>
                <w:color w:val="000000" w:themeColor="text1"/>
                <w:szCs w:val="18"/>
              </w:rPr>
              <w:t>У підпункті 13 п. 17 с</w:t>
            </w:r>
            <w:r w:rsidRPr="00286216">
              <w:rPr>
                <w:color w:val="000000" w:themeColor="text1"/>
                <w:spacing w:val="-2"/>
              </w:rPr>
              <w:t>лова «деривативних (похідних) фінансових інструментів» замінити словами «деривативних контрактів».</w:t>
            </w:r>
          </w:p>
        </w:tc>
        <w:tc>
          <w:tcPr>
            <w:tcW w:w="1987" w:type="dxa"/>
          </w:tcPr>
          <w:p w14:paraId="78C04CA6" w14:textId="0E58BFE9" w:rsidR="004F1E44" w:rsidRPr="00286216" w:rsidRDefault="004F1E44" w:rsidP="004F1E44">
            <w:pPr>
              <w:pStyle w:val="StyleWisnow"/>
              <w:rPr>
                <w:color w:val="000000" w:themeColor="text1"/>
                <w:lang w:eastAsia="uk-UA"/>
              </w:rPr>
            </w:pPr>
            <w:r w:rsidRPr="00286216">
              <w:rPr>
                <w:color w:val="000000" w:themeColor="text1"/>
                <w:lang w:eastAsia="uk-UA"/>
              </w:rPr>
              <w:t>Враховано</w:t>
            </w:r>
          </w:p>
        </w:tc>
        <w:tc>
          <w:tcPr>
            <w:tcW w:w="4818" w:type="dxa"/>
          </w:tcPr>
          <w:p w14:paraId="04498221" w14:textId="299E1681" w:rsidR="004F1E44" w:rsidRPr="00286216" w:rsidRDefault="004F1E44" w:rsidP="004F1E44">
            <w:pPr>
              <w:pStyle w:val="StyleZakonu"/>
              <w:rPr>
                <w:color w:val="000000" w:themeColor="text1"/>
                <w:lang w:eastAsia="uk-UA"/>
              </w:rPr>
            </w:pPr>
            <w:r w:rsidRPr="00286216">
              <w:rPr>
                <w:color w:val="000000" w:themeColor="text1"/>
                <w:lang w:eastAsia="uk-UA"/>
              </w:rPr>
              <w:t>13) діяльність з організації укладення деривативних контрактів на  багатосторонньому торговельному майданчику деривативних контрактів;</w:t>
            </w:r>
          </w:p>
        </w:tc>
      </w:tr>
      <w:tr w:rsidR="004F1E44" w:rsidRPr="00286216" w14:paraId="6824AB9C" w14:textId="77777777" w:rsidTr="00091AA5">
        <w:tc>
          <w:tcPr>
            <w:tcW w:w="576" w:type="dxa"/>
          </w:tcPr>
          <w:p w14:paraId="32180E7D" w14:textId="77777777" w:rsidR="004F1E44" w:rsidRPr="00286216" w:rsidRDefault="004F1E44" w:rsidP="004F1E44">
            <w:pPr>
              <w:pStyle w:val="StyleWisnow"/>
              <w:rPr>
                <w:color w:val="000000" w:themeColor="text1"/>
              </w:rPr>
            </w:pPr>
            <w:bookmarkStart w:id="2805" w:name="n2933" w:colFirst="0" w:colLast="0"/>
            <w:bookmarkEnd w:id="2804"/>
            <w:r w:rsidRPr="00286216">
              <w:rPr>
                <w:color w:val="000000" w:themeColor="text1"/>
              </w:rPr>
              <w:t>2933.</w:t>
            </w:r>
          </w:p>
        </w:tc>
        <w:tc>
          <w:tcPr>
            <w:tcW w:w="4818" w:type="dxa"/>
          </w:tcPr>
          <w:p w14:paraId="5FF08D20" w14:textId="77777777" w:rsidR="004F1E44" w:rsidRPr="00286216" w:rsidRDefault="004F1E44" w:rsidP="004F1E44">
            <w:pPr>
              <w:pStyle w:val="StyleZakonu"/>
              <w:rPr>
                <w:color w:val="000000" w:themeColor="text1"/>
                <w:lang w:eastAsia="uk-UA"/>
              </w:rPr>
            </w:pPr>
            <w:r w:rsidRPr="00286216">
              <w:rPr>
                <w:color w:val="000000" w:themeColor="text1"/>
                <w:lang w:eastAsia="uk-UA"/>
              </w:rPr>
              <w:t>14) діяльність з організації торгівлі облігаціями на ОТМ облігацій;</w:t>
            </w:r>
          </w:p>
        </w:tc>
        <w:tc>
          <w:tcPr>
            <w:tcW w:w="3686" w:type="dxa"/>
          </w:tcPr>
          <w:p w14:paraId="2A62FBEA" w14:textId="77777777" w:rsidR="004F1E44" w:rsidRPr="00286216" w:rsidRDefault="004F1E44" w:rsidP="004F1E44">
            <w:pPr>
              <w:pStyle w:val="StyleProp"/>
              <w:rPr>
                <w:color w:val="000000" w:themeColor="text1"/>
                <w:szCs w:val="18"/>
                <w:lang w:eastAsia="uk-UA"/>
              </w:rPr>
            </w:pPr>
          </w:p>
        </w:tc>
        <w:tc>
          <w:tcPr>
            <w:tcW w:w="1987" w:type="dxa"/>
          </w:tcPr>
          <w:p w14:paraId="3266FA14" w14:textId="77777777" w:rsidR="004F1E44" w:rsidRPr="00286216" w:rsidRDefault="004F1E44" w:rsidP="004F1E44">
            <w:pPr>
              <w:pStyle w:val="StyleWisnow"/>
              <w:rPr>
                <w:color w:val="000000" w:themeColor="text1"/>
                <w:lang w:eastAsia="uk-UA"/>
              </w:rPr>
            </w:pPr>
          </w:p>
        </w:tc>
        <w:tc>
          <w:tcPr>
            <w:tcW w:w="4818" w:type="dxa"/>
          </w:tcPr>
          <w:p w14:paraId="3394A257" w14:textId="06B12D9B" w:rsidR="004F1E44" w:rsidRPr="00286216" w:rsidRDefault="004F1E44" w:rsidP="004F1E44">
            <w:pPr>
              <w:pStyle w:val="StyleZakonu"/>
              <w:rPr>
                <w:color w:val="000000" w:themeColor="text1"/>
                <w:lang w:eastAsia="uk-UA"/>
              </w:rPr>
            </w:pPr>
            <w:r w:rsidRPr="00286216">
              <w:rPr>
                <w:color w:val="000000" w:themeColor="text1"/>
                <w:lang w:eastAsia="uk-UA"/>
              </w:rPr>
              <w:t>14) діяльність з організації торгівлі облігаціями на  організованому торговельному майданчику облігацій;</w:t>
            </w:r>
          </w:p>
        </w:tc>
      </w:tr>
      <w:tr w:rsidR="004F1E44" w:rsidRPr="00286216" w14:paraId="5C1D8BF3" w14:textId="77777777" w:rsidTr="00091AA5">
        <w:tc>
          <w:tcPr>
            <w:tcW w:w="576" w:type="dxa"/>
          </w:tcPr>
          <w:p w14:paraId="61D86EDD" w14:textId="77777777" w:rsidR="004F1E44" w:rsidRPr="00286216" w:rsidRDefault="004F1E44" w:rsidP="004F1E44">
            <w:pPr>
              <w:pStyle w:val="StyleWisnow"/>
              <w:rPr>
                <w:color w:val="000000" w:themeColor="text1"/>
              </w:rPr>
            </w:pPr>
            <w:bookmarkStart w:id="2806" w:name="n2934" w:colFirst="0" w:colLast="0"/>
            <w:bookmarkEnd w:id="2805"/>
            <w:r w:rsidRPr="00286216">
              <w:rPr>
                <w:color w:val="000000" w:themeColor="text1"/>
              </w:rPr>
              <w:t>2934.</w:t>
            </w:r>
          </w:p>
        </w:tc>
        <w:tc>
          <w:tcPr>
            <w:tcW w:w="4818" w:type="dxa"/>
          </w:tcPr>
          <w:p w14:paraId="47220367" w14:textId="77777777" w:rsidR="004F1E44" w:rsidRPr="00286216" w:rsidRDefault="004F1E44" w:rsidP="004F1E44">
            <w:pPr>
              <w:pStyle w:val="StyleZakonu"/>
              <w:rPr>
                <w:color w:val="000000" w:themeColor="text1"/>
                <w:lang w:eastAsia="uk-UA"/>
              </w:rPr>
            </w:pPr>
            <w:r w:rsidRPr="00286216">
              <w:rPr>
                <w:color w:val="000000" w:themeColor="text1"/>
                <w:lang w:eastAsia="uk-UA"/>
              </w:rPr>
              <w:t>15) діяльність з організації укладення деривативних (похідних) фінансових інструментів на ОТМ деривативних (похідних) фінансових інструментів;</w:t>
            </w:r>
          </w:p>
        </w:tc>
        <w:tc>
          <w:tcPr>
            <w:tcW w:w="3686" w:type="dxa"/>
          </w:tcPr>
          <w:p w14:paraId="7EE96E91" w14:textId="48D6DCF7"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1297</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C439CF2" w14:textId="59AD4767" w:rsidR="004F1E44" w:rsidRPr="00286216" w:rsidRDefault="004F1E44" w:rsidP="004F1E44">
            <w:pPr>
              <w:pStyle w:val="StyleProp"/>
              <w:rPr>
                <w:color w:val="000000" w:themeColor="text1"/>
                <w:spacing w:val="-2"/>
                <w:szCs w:val="18"/>
                <w:lang w:eastAsia="uk-UA"/>
              </w:rPr>
            </w:pPr>
            <w:r w:rsidRPr="00286216">
              <w:rPr>
                <w:color w:val="000000" w:themeColor="text1"/>
                <w:szCs w:val="18"/>
              </w:rPr>
              <w:t>У підпункті 15 п. 17 с</w:t>
            </w:r>
            <w:r w:rsidRPr="00286216">
              <w:rPr>
                <w:color w:val="000000" w:themeColor="text1"/>
                <w:spacing w:val="-2"/>
              </w:rPr>
              <w:t>лова «деривативних (похідних) фінансових інструментів» замінити словами «деривативних контрактів».</w:t>
            </w:r>
          </w:p>
        </w:tc>
        <w:tc>
          <w:tcPr>
            <w:tcW w:w="1987" w:type="dxa"/>
          </w:tcPr>
          <w:p w14:paraId="28E8DBE3" w14:textId="77777777" w:rsidR="004F1E44" w:rsidRPr="00286216" w:rsidRDefault="004F1E44" w:rsidP="004F1E44">
            <w:pPr>
              <w:pStyle w:val="StyleWisnow"/>
              <w:rPr>
                <w:color w:val="000000" w:themeColor="text1"/>
                <w:lang w:eastAsia="uk-UA"/>
              </w:rPr>
            </w:pPr>
            <w:r w:rsidRPr="00286216">
              <w:rPr>
                <w:color w:val="000000" w:themeColor="text1"/>
                <w:lang w:eastAsia="uk-UA"/>
              </w:rPr>
              <w:t>Враховано</w:t>
            </w:r>
          </w:p>
        </w:tc>
        <w:tc>
          <w:tcPr>
            <w:tcW w:w="4818" w:type="dxa"/>
          </w:tcPr>
          <w:p w14:paraId="0848637E" w14:textId="6EBB5EB0" w:rsidR="004F1E44" w:rsidRPr="00286216" w:rsidRDefault="004F1E44" w:rsidP="004F1E44">
            <w:pPr>
              <w:pStyle w:val="StyleZakonu"/>
              <w:rPr>
                <w:color w:val="000000" w:themeColor="text1"/>
                <w:lang w:eastAsia="uk-UA"/>
              </w:rPr>
            </w:pPr>
            <w:r w:rsidRPr="00286216">
              <w:rPr>
                <w:color w:val="000000" w:themeColor="text1"/>
                <w:lang w:eastAsia="uk-UA"/>
              </w:rPr>
              <w:t xml:space="preserve">15) діяльність з організації </w:t>
            </w:r>
            <w:r w:rsidRPr="00286216">
              <w:rPr>
                <w:color w:val="000000" w:themeColor="text1"/>
              </w:rPr>
              <w:t>укладення деривативних контрактів</w:t>
            </w:r>
            <w:r w:rsidRPr="00286216">
              <w:rPr>
                <w:color w:val="000000" w:themeColor="text1"/>
                <w:lang w:eastAsia="uk-UA"/>
              </w:rPr>
              <w:t xml:space="preserve"> на  організованому торговельному майданчику деривативних контрактів;</w:t>
            </w:r>
          </w:p>
        </w:tc>
      </w:tr>
      <w:tr w:rsidR="004F1E44" w:rsidRPr="00286216" w14:paraId="20E30A15" w14:textId="77777777" w:rsidTr="00091AA5">
        <w:tc>
          <w:tcPr>
            <w:tcW w:w="576" w:type="dxa"/>
          </w:tcPr>
          <w:p w14:paraId="748EC570" w14:textId="77777777" w:rsidR="004F1E44" w:rsidRPr="00286216" w:rsidRDefault="004F1E44" w:rsidP="004F1E44">
            <w:pPr>
              <w:pStyle w:val="StyleWisnow"/>
              <w:rPr>
                <w:color w:val="000000" w:themeColor="text1"/>
              </w:rPr>
            </w:pPr>
            <w:bookmarkStart w:id="2807" w:name="n2935" w:colFirst="0" w:colLast="0"/>
            <w:bookmarkEnd w:id="2806"/>
            <w:r w:rsidRPr="00286216">
              <w:rPr>
                <w:color w:val="000000" w:themeColor="text1"/>
              </w:rPr>
              <w:t>2935.</w:t>
            </w:r>
          </w:p>
        </w:tc>
        <w:tc>
          <w:tcPr>
            <w:tcW w:w="4818" w:type="dxa"/>
          </w:tcPr>
          <w:p w14:paraId="24394390" w14:textId="77777777" w:rsidR="004F1E44" w:rsidRPr="00286216" w:rsidRDefault="004F1E44" w:rsidP="004F1E44">
            <w:pPr>
              <w:pStyle w:val="StyleZakonu"/>
              <w:rPr>
                <w:color w:val="000000" w:themeColor="text1"/>
                <w:lang w:eastAsia="uk-UA"/>
              </w:rPr>
            </w:pPr>
            <w:r w:rsidRPr="00286216">
              <w:rPr>
                <w:color w:val="000000" w:themeColor="text1"/>
                <w:lang w:eastAsia="uk-UA"/>
              </w:rPr>
              <w:t>16) діяльність з управління активами;</w:t>
            </w:r>
          </w:p>
        </w:tc>
        <w:tc>
          <w:tcPr>
            <w:tcW w:w="3686" w:type="dxa"/>
          </w:tcPr>
          <w:p w14:paraId="43E1B81D" w14:textId="77777777" w:rsidR="004F1E44" w:rsidRPr="00286216" w:rsidRDefault="004F1E44" w:rsidP="004F1E44">
            <w:pPr>
              <w:pStyle w:val="StyleProp"/>
              <w:rPr>
                <w:color w:val="000000" w:themeColor="text1"/>
                <w:szCs w:val="18"/>
                <w:lang w:eastAsia="uk-UA"/>
              </w:rPr>
            </w:pPr>
          </w:p>
        </w:tc>
        <w:tc>
          <w:tcPr>
            <w:tcW w:w="1987" w:type="dxa"/>
          </w:tcPr>
          <w:p w14:paraId="45611158" w14:textId="77777777" w:rsidR="004F1E44" w:rsidRPr="00286216" w:rsidRDefault="004F1E44" w:rsidP="004F1E44">
            <w:pPr>
              <w:pStyle w:val="StyleWisnow"/>
              <w:rPr>
                <w:color w:val="000000" w:themeColor="text1"/>
                <w:lang w:eastAsia="uk-UA"/>
              </w:rPr>
            </w:pPr>
          </w:p>
        </w:tc>
        <w:tc>
          <w:tcPr>
            <w:tcW w:w="4818" w:type="dxa"/>
          </w:tcPr>
          <w:p w14:paraId="37E32A85" w14:textId="3811A59A" w:rsidR="004F1E44" w:rsidRPr="00286216" w:rsidRDefault="004F1E44" w:rsidP="004F1E44">
            <w:pPr>
              <w:pStyle w:val="StyleZakonu"/>
              <w:rPr>
                <w:color w:val="000000" w:themeColor="text1"/>
                <w:lang w:eastAsia="uk-UA"/>
              </w:rPr>
            </w:pPr>
            <w:r w:rsidRPr="00286216">
              <w:rPr>
                <w:color w:val="000000" w:themeColor="text1"/>
                <w:lang w:eastAsia="uk-UA"/>
              </w:rPr>
              <w:t>16) діяльність з управління активами;</w:t>
            </w:r>
          </w:p>
        </w:tc>
      </w:tr>
      <w:tr w:rsidR="004F1E44" w:rsidRPr="00286216" w14:paraId="05F2C600" w14:textId="77777777" w:rsidTr="00091AA5">
        <w:tc>
          <w:tcPr>
            <w:tcW w:w="576" w:type="dxa"/>
          </w:tcPr>
          <w:p w14:paraId="41069255" w14:textId="77777777" w:rsidR="004F1E44" w:rsidRPr="00286216" w:rsidRDefault="004F1E44" w:rsidP="004F1E44">
            <w:pPr>
              <w:pStyle w:val="StyleWisnow"/>
              <w:rPr>
                <w:color w:val="000000" w:themeColor="text1"/>
              </w:rPr>
            </w:pPr>
            <w:bookmarkStart w:id="2808" w:name="n2936" w:colFirst="0" w:colLast="0"/>
            <w:bookmarkEnd w:id="2807"/>
            <w:r w:rsidRPr="00286216">
              <w:rPr>
                <w:color w:val="000000" w:themeColor="text1"/>
              </w:rPr>
              <w:t>2936.</w:t>
            </w:r>
          </w:p>
        </w:tc>
        <w:tc>
          <w:tcPr>
            <w:tcW w:w="4818" w:type="dxa"/>
          </w:tcPr>
          <w:p w14:paraId="3428A464" w14:textId="77777777" w:rsidR="004F1E44" w:rsidRPr="00286216" w:rsidRDefault="004F1E44" w:rsidP="004F1E44">
            <w:pPr>
              <w:pStyle w:val="StyleZakonu"/>
              <w:rPr>
                <w:color w:val="000000" w:themeColor="text1"/>
                <w:lang w:eastAsia="uk-UA"/>
              </w:rPr>
            </w:pPr>
            <w:r w:rsidRPr="00286216">
              <w:rPr>
                <w:color w:val="000000" w:themeColor="text1"/>
                <w:lang w:eastAsia="uk-UA"/>
              </w:rPr>
              <w:t>17) діяльність з управління іпотечним покриттям;</w:t>
            </w:r>
          </w:p>
        </w:tc>
        <w:tc>
          <w:tcPr>
            <w:tcW w:w="3686" w:type="dxa"/>
          </w:tcPr>
          <w:p w14:paraId="16375E2E" w14:textId="77777777" w:rsidR="004F1E44" w:rsidRPr="00286216" w:rsidRDefault="004F1E44" w:rsidP="004F1E44">
            <w:pPr>
              <w:pStyle w:val="StyleProp"/>
              <w:rPr>
                <w:color w:val="000000" w:themeColor="text1"/>
                <w:szCs w:val="18"/>
                <w:lang w:eastAsia="uk-UA"/>
              </w:rPr>
            </w:pPr>
          </w:p>
        </w:tc>
        <w:tc>
          <w:tcPr>
            <w:tcW w:w="1987" w:type="dxa"/>
          </w:tcPr>
          <w:p w14:paraId="6524D9FC" w14:textId="77777777" w:rsidR="004F1E44" w:rsidRPr="00286216" w:rsidRDefault="004F1E44" w:rsidP="004F1E44">
            <w:pPr>
              <w:pStyle w:val="StyleWisnow"/>
              <w:rPr>
                <w:color w:val="000000" w:themeColor="text1"/>
                <w:lang w:eastAsia="uk-UA"/>
              </w:rPr>
            </w:pPr>
          </w:p>
        </w:tc>
        <w:tc>
          <w:tcPr>
            <w:tcW w:w="4818" w:type="dxa"/>
          </w:tcPr>
          <w:p w14:paraId="51CB7921" w14:textId="730082F9" w:rsidR="004F1E44" w:rsidRPr="00286216" w:rsidRDefault="004F1E44" w:rsidP="004F1E44">
            <w:pPr>
              <w:pStyle w:val="StyleZakonu"/>
              <w:rPr>
                <w:color w:val="000000" w:themeColor="text1"/>
                <w:lang w:eastAsia="uk-UA"/>
              </w:rPr>
            </w:pPr>
            <w:r w:rsidRPr="00286216">
              <w:rPr>
                <w:color w:val="000000" w:themeColor="text1"/>
                <w:lang w:eastAsia="uk-UA"/>
              </w:rPr>
              <w:t>17) діяльність з управління іпотечним покриттям;</w:t>
            </w:r>
          </w:p>
        </w:tc>
      </w:tr>
      <w:tr w:rsidR="004F1E44" w:rsidRPr="00286216" w14:paraId="3636517F" w14:textId="77777777" w:rsidTr="00091AA5">
        <w:tc>
          <w:tcPr>
            <w:tcW w:w="576" w:type="dxa"/>
          </w:tcPr>
          <w:p w14:paraId="4DA2ADC3" w14:textId="77777777" w:rsidR="004F1E44" w:rsidRPr="00286216" w:rsidRDefault="004F1E44" w:rsidP="004F1E44">
            <w:pPr>
              <w:pStyle w:val="StyleWisnow"/>
              <w:rPr>
                <w:color w:val="000000" w:themeColor="text1"/>
              </w:rPr>
            </w:pPr>
            <w:bookmarkStart w:id="2809" w:name="n2937" w:colFirst="0" w:colLast="0"/>
            <w:bookmarkEnd w:id="2808"/>
            <w:r w:rsidRPr="00286216">
              <w:rPr>
                <w:color w:val="000000" w:themeColor="text1"/>
              </w:rPr>
              <w:t>2937.</w:t>
            </w:r>
          </w:p>
        </w:tc>
        <w:tc>
          <w:tcPr>
            <w:tcW w:w="4818" w:type="dxa"/>
          </w:tcPr>
          <w:p w14:paraId="74F101C8" w14:textId="77777777" w:rsidR="004F1E44" w:rsidRPr="00286216" w:rsidRDefault="004F1E44" w:rsidP="004F1E44">
            <w:pPr>
              <w:pStyle w:val="StyleZakonu"/>
              <w:rPr>
                <w:color w:val="000000" w:themeColor="text1"/>
                <w:lang w:eastAsia="uk-UA"/>
              </w:rPr>
            </w:pPr>
            <w:r w:rsidRPr="00286216">
              <w:rPr>
                <w:color w:val="000000" w:themeColor="text1"/>
                <w:lang w:eastAsia="uk-UA"/>
              </w:rPr>
              <w:t>18) депозитарна діяльність депозитарної установи;</w:t>
            </w:r>
          </w:p>
        </w:tc>
        <w:tc>
          <w:tcPr>
            <w:tcW w:w="3686" w:type="dxa"/>
          </w:tcPr>
          <w:p w14:paraId="5CDE3DBB" w14:textId="77777777" w:rsidR="004F1E44" w:rsidRPr="00286216" w:rsidRDefault="004F1E44" w:rsidP="004F1E44">
            <w:pPr>
              <w:pStyle w:val="StyleProp"/>
              <w:rPr>
                <w:color w:val="000000" w:themeColor="text1"/>
                <w:szCs w:val="18"/>
                <w:lang w:eastAsia="uk-UA"/>
              </w:rPr>
            </w:pPr>
          </w:p>
        </w:tc>
        <w:tc>
          <w:tcPr>
            <w:tcW w:w="1987" w:type="dxa"/>
          </w:tcPr>
          <w:p w14:paraId="54F31450" w14:textId="77777777" w:rsidR="004F1E44" w:rsidRPr="00286216" w:rsidRDefault="004F1E44" w:rsidP="004F1E44">
            <w:pPr>
              <w:pStyle w:val="StyleWisnow"/>
              <w:rPr>
                <w:color w:val="000000" w:themeColor="text1"/>
                <w:lang w:eastAsia="uk-UA"/>
              </w:rPr>
            </w:pPr>
          </w:p>
        </w:tc>
        <w:tc>
          <w:tcPr>
            <w:tcW w:w="4818" w:type="dxa"/>
          </w:tcPr>
          <w:p w14:paraId="0C5F11B0" w14:textId="1EC9DA6A" w:rsidR="004F1E44" w:rsidRPr="00286216" w:rsidRDefault="004F1E44" w:rsidP="004F1E44">
            <w:pPr>
              <w:pStyle w:val="StyleZakonu"/>
              <w:rPr>
                <w:color w:val="000000" w:themeColor="text1"/>
                <w:lang w:eastAsia="uk-UA"/>
              </w:rPr>
            </w:pPr>
            <w:r w:rsidRPr="00286216">
              <w:rPr>
                <w:color w:val="000000" w:themeColor="text1"/>
                <w:lang w:eastAsia="uk-UA"/>
              </w:rPr>
              <w:t>18) депозитарна діяльність депозитарної установи;</w:t>
            </w:r>
          </w:p>
        </w:tc>
      </w:tr>
      <w:tr w:rsidR="004F1E44" w:rsidRPr="00286216" w14:paraId="190295D1" w14:textId="77777777" w:rsidTr="00091AA5">
        <w:tc>
          <w:tcPr>
            <w:tcW w:w="576" w:type="dxa"/>
          </w:tcPr>
          <w:p w14:paraId="5CE156B1" w14:textId="77777777" w:rsidR="004F1E44" w:rsidRPr="00286216" w:rsidRDefault="004F1E44" w:rsidP="004F1E44">
            <w:pPr>
              <w:pStyle w:val="StyleWisnow"/>
              <w:rPr>
                <w:color w:val="000000" w:themeColor="text1"/>
              </w:rPr>
            </w:pPr>
            <w:bookmarkStart w:id="2810" w:name="n2938" w:colFirst="0" w:colLast="0"/>
            <w:bookmarkEnd w:id="2809"/>
            <w:r w:rsidRPr="00286216">
              <w:rPr>
                <w:color w:val="000000" w:themeColor="text1"/>
              </w:rPr>
              <w:lastRenderedPageBreak/>
              <w:t>2938.</w:t>
            </w:r>
          </w:p>
        </w:tc>
        <w:tc>
          <w:tcPr>
            <w:tcW w:w="4818" w:type="dxa"/>
          </w:tcPr>
          <w:p w14:paraId="4BC7B12C" w14:textId="77777777" w:rsidR="004F1E44" w:rsidRPr="00286216" w:rsidRDefault="004F1E44" w:rsidP="004F1E44">
            <w:pPr>
              <w:pStyle w:val="StyleZakonu"/>
              <w:rPr>
                <w:color w:val="000000" w:themeColor="text1"/>
                <w:lang w:eastAsia="uk-UA"/>
              </w:rPr>
            </w:pPr>
            <w:r w:rsidRPr="00286216">
              <w:rPr>
                <w:color w:val="000000" w:themeColor="text1"/>
                <w:lang w:eastAsia="uk-UA"/>
              </w:rPr>
              <w:t>19) діяльність із зберігання активів інститутів спільного інвестування;</w:t>
            </w:r>
          </w:p>
        </w:tc>
        <w:tc>
          <w:tcPr>
            <w:tcW w:w="3686" w:type="dxa"/>
          </w:tcPr>
          <w:p w14:paraId="46E4BBE7" w14:textId="77777777" w:rsidR="004F1E44" w:rsidRPr="00286216" w:rsidRDefault="004F1E44" w:rsidP="004F1E44">
            <w:pPr>
              <w:pStyle w:val="StyleProp"/>
              <w:rPr>
                <w:color w:val="000000" w:themeColor="text1"/>
                <w:szCs w:val="18"/>
                <w:lang w:eastAsia="uk-UA"/>
              </w:rPr>
            </w:pPr>
          </w:p>
        </w:tc>
        <w:tc>
          <w:tcPr>
            <w:tcW w:w="1987" w:type="dxa"/>
          </w:tcPr>
          <w:p w14:paraId="50095B5E" w14:textId="77777777" w:rsidR="004F1E44" w:rsidRPr="00286216" w:rsidRDefault="004F1E44" w:rsidP="004F1E44">
            <w:pPr>
              <w:pStyle w:val="StyleWisnow"/>
              <w:rPr>
                <w:color w:val="000000" w:themeColor="text1"/>
                <w:lang w:eastAsia="uk-UA"/>
              </w:rPr>
            </w:pPr>
          </w:p>
        </w:tc>
        <w:tc>
          <w:tcPr>
            <w:tcW w:w="4818" w:type="dxa"/>
          </w:tcPr>
          <w:p w14:paraId="120305CF" w14:textId="0F42B0A1" w:rsidR="004F1E44" w:rsidRPr="00286216" w:rsidRDefault="004F1E44" w:rsidP="004F1E44">
            <w:pPr>
              <w:pStyle w:val="StyleZakonu"/>
              <w:rPr>
                <w:color w:val="000000" w:themeColor="text1"/>
                <w:lang w:eastAsia="uk-UA"/>
              </w:rPr>
            </w:pPr>
            <w:r w:rsidRPr="00286216">
              <w:rPr>
                <w:color w:val="000000" w:themeColor="text1"/>
                <w:lang w:eastAsia="uk-UA"/>
              </w:rPr>
              <w:t>19) діяльність із зберігання активів інститутів спільного інвестування;</w:t>
            </w:r>
          </w:p>
        </w:tc>
      </w:tr>
      <w:tr w:rsidR="004F1E44" w:rsidRPr="00286216" w14:paraId="72F48308" w14:textId="77777777" w:rsidTr="00091AA5">
        <w:tc>
          <w:tcPr>
            <w:tcW w:w="576" w:type="dxa"/>
          </w:tcPr>
          <w:p w14:paraId="133A2E92" w14:textId="77777777" w:rsidR="004F1E44" w:rsidRPr="00286216" w:rsidRDefault="004F1E44" w:rsidP="004F1E44">
            <w:pPr>
              <w:pStyle w:val="StyleWisnow"/>
              <w:rPr>
                <w:color w:val="000000" w:themeColor="text1"/>
              </w:rPr>
            </w:pPr>
            <w:bookmarkStart w:id="2811" w:name="n2939" w:colFirst="0" w:colLast="0"/>
            <w:bookmarkEnd w:id="2810"/>
            <w:r w:rsidRPr="00286216">
              <w:rPr>
                <w:color w:val="000000" w:themeColor="text1"/>
              </w:rPr>
              <w:t>2939.</w:t>
            </w:r>
          </w:p>
        </w:tc>
        <w:tc>
          <w:tcPr>
            <w:tcW w:w="4818" w:type="dxa"/>
          </w:tcPr>
          <w:p w14:paraId="3A1960FE" w14:textId="77777777" w:rsidR="004F1E44" w:rsidRPr="00286216" w:rsidRDefault="004F1E44" w:rsidP="004F1E44">
            <w:pPr>
              <w:pStyle w:val="StyleZakonu"/>
              <w:rPr>
                <w:color w:val="000000" w:themeColor="text1"/>
                <w:lang w:eastAsia="uk-UA"/>
              </w:rPr>
            </w:pPr>
            <w:r w:rsidRPr="00286216">
              <w:rPr>
                <w:color w:val="000000" w:themeColor="text1"/>
                <w:lang w:eastAsia="uk-UA"/>
              </w:rPr>
              <w:t>20) діяльність із зберігання активів пенсійних фондів;</w:t>
            </w:r>
          </w:p>
        </w:tc>
        <w:tc>
          <w:tcPr>
            <w:tcW w:w="3686" w:type="dxa"/>
          </w:tcPr>
          <w:p w14:paraId="7AAAD4D3" w14:textId="77777777" w:rsidR="004F1E44" w:rsidRPr="00286216" w:rsidRDefault="004F1E44" w:rsidP="004F1E44">
            <w:pPr>
              <w:pStyle w:val="StyleProp"/>
              <w:rPr>
                <w:color w:val="000000" w:themeColor="text1"/>
                <w:szCs w:val="18"/>
                <w:lang w:eastAsia="uk-UA"/>
              </w:rPr>
            </w:pPr>
          </w:p>
        </w:tc>
        <w:tc>
          <w:tcPr>
            <w:tcW w:w="1987" w:type="dxa"/>
          </w:tcPr>
          <w:p w14:paraId="06B399B8" w14:textId="77777777" w:rsidR="004F1E44" w:rsidRPr="00286216" w:rsidRDefault="004F1E44" w:rsidP="004F1E44">
            <w:pPr>
              <w:pStyle w:val="StyleWisnow"/>
              <w:rPr>
                <w:color w:val="000000" w:themeColor="text1"/>
                <w:lang w:eastAsia="uk-UA"/>
              </w:rPr>
            </w:pPr>
          </w:p>
        </w:tc>
        <w:tc>
          <w:tcPr>
            <w:tcW w:w="4818" w:type="dxa"/>
          </w:tcPr>
          <w:p w14:paraId="331CCD16" w14:textId="78D14E23" w:rsidR="004F1E44" w:rsidRPr="00286216" w:rsidRDefault="004F1E44" w:rsidP="004F1E44">
            <w:pPr>
              <w:pStyle w:val="StyleZakonu"/>
              <w:rPr>
                <w:color w:val="000000" w:themeColor="text1"/>
                <w:lang w:eastAsia="uk-UA"/>
              </w:rPr>
            </w:pPr>
            <w:r w:rsidRPr="00286216">
              <w:rPr>
                <w:color w:val="000000" w:themeColor="text1"/>
                <w:lang w:eastAsia="uk-UA"/>
              </w:rPr>
              <w:t>20) діяльність із зберігання активів пенсійних фондів;</w:t>
            </w:r>
          </w:p>
        </w:tc>
      </w:tr>
      <w:tr w:rsidR="004F1E44" w:rsidRPr="00286216" w14:paraId="0EFAF91D" w14:textId="77777777" w:rsidTr="00091AA5">
        <w:tc>
          <w:tcPr>
            <w:tcW w:w="576" w:type="dxa"/>
          </w:tcPr>
          <w:p w14:paraId="2953B308" w14:textId="77777777" w:rsidR="004F1E44" w:rsidRPr="00286216" w:rsidRDefault="004F1E44" w:rsidP="004F1E44">
            <w:pPr>
              <w:pStyle w:val="StyleWisnow"/>
              <w:rPr>
                <w:color w:val="000000" w:themeColor="text1"/>
              </w:rPr>
            </w:pPr>
            <w:bookmarkStart w:id="2812" w:name="n2940" w:colFirst="0" w:colLast="0"/>
            <w:bookmarkEnd w:id="2811"/>
            <w:r w:rsidRPr="00286216">
              <w:rPr>
                <w:color w:val="000000" w:themeColor="text1"/>
              </w:rPr>
              <w:t>2940.</w:t>
            </w:r>
          </w:p>
        </w:tc>
        <w:tc>
          <w:tcPr>
            <w:tcW w:w="4818" w:type="dxa"/>
          </w:tcPr>
          <w:p w14:paraId="0B080DC1" w14:textId="77777777" w:rsidR="004F1E44" w:rsidRPr="00286216" w:rsidRDefault="004F1E44" w:rsidP="004F1E44">
            <w:pPr>
              <w:pStyle w:val="StyleZakonu"/>
              <w:rPr>
                <w:color w:val="000000" w:themeColor="text1"/>
                <w:lang w:eastAsia="uk-UA"/>
              </w:rPr>
            </w:pPr>
            <w:r w:rsidRPr="00286216">
              <w:rPr>
                <w:color w:val="000000" w:themeColor="text1"/>
                <w:lang w:eastAsia="uk-UA"/>
              </w:rPr>
              <w:t>21) клірингова діяльність з визначення зобов’язань;</w:t>
            </w:r>
          </w:p>
        </w:tc>
        <w:tc>
          <w:tcPr>
            <w:tcW w:w="3686" w:type="dxa"/>
          </w:tcPr>
          <w:p w14:paraId="4F046267" w14:textId="77777777" w:rsidR="004F1E44" w:rsidRPr="00286216" w:rsidRDefault="004F1E44" w:rsidP="004F1E44">
            <w:pPr>
              <w:pStyle w:val="StyleProp"/>
              <w:rPr>
                <w:color w:val="000000" w:themeColor="text1"/>
                <w:szCs w:val="18"/>
                <w:lang w:eastAsia="uk-UA"/>
              </w:rPr>
            </w:pPr>
          </w:p>
        </w:tc>
        <w:tc>
          <w:tcPr>
            <w:tcW w:w="1987" w:type="dxa"/>
          </w:tcPr>
          <w:p w14:paraId="763FF995" w14:textId="77777777" w:rsidR="004F1E44" w:rsidRPr="00286216" w:rsidRDefault="004F1E44" w:rsidP="004F1E44">
            <w:pPr>
              <w:pStyle w:val="StyleWisnow"/>
              <w:rPr>
                <w:color w:val="000000" w:themeColor="text1"/>
                <w:lang w:eastAsia="uk-UA"/>
              </w:rPr>
            </w:pPr>
          </w:p>
        </w:tc>
        <w:tc>
          <w:tcPr>
            <w:tcW w:w="4818" w:type="dxa"/>
          </w:tcPr>
          <w:p w14:paraId="0F56C61D" w14:textId="3A1656F3" w:rsidR="004F1E44" w:rsidRPr="00286216" w:rsidRDefault="004F1E44" w:rsidP="004F1E44">
            <w:pPr>
              <w:pStyle w:val="StyleZakonu"/>
              <w:rPr>
                <w:color w:val="000000" w:themeColor="text1"/>
                <w:lang w:eastAsia="uk-UA"/>
              </w:rPr>
            </w:pPr>
            <w:r w:rsidRPr="00286216">
              <w:rPr>
                <w:color w:val="000000" w:themeColor="text1"/>
                <w:lang w:eastAsia="uk-UA"/>
              </w:rPr>
              <w:t>21) клірингова діяльність з визначення зобов’язань;</w:t>
            </w:r>
          </w:p>
        </w:tc>
      </w:tr>
      <w:tr w:rsidR="004F1E44" w:rsidRPr="00286216" w14:paraId="100DE0B0" w14:textId="77777777" w:rsidTr="00091AA5">
        <w:tc>
          <w:tcPr>
            <w:tcW w:w="576" w:type="dxa"/>
          </w:tcPr>
          <w:p w14:paraId="4D339850" w14:textId="77777777" w:rsidR="004F1E44" w:rsidRPr="00286216" w:rsidRDefault="004F1E44" w:rsidP="004F1E44">
            <w:pPr>
              <w:pStyle w:val="StyleWisnow"/>
              <w:rPr>
                <w:color w:val="000000" w:themeColor="text1"/>
              </w:rPr>
            </w:pPr>
            <w:bookmarkStart w:id="2813" w:name="n2941" w:colFirst="0" w:colLast="0"/>
            <w:bookmarkEnd w:id="2812"/>
            <w:r w:rsidRPr="00286216">
              <w:rPr>
                <w:color w:val="000000" w:themeColor="text1"/>
              </w:rPr>
              <w:t>2941.</w:t>
            </w:r>
          </w:p>
        </w:tc>
        <w:tc>
          <w:tcPr>
            <w:tcW w:w="4818" w:type="dxa"/>
          </w:tcPr>
          <w:p w14:paraId="4F67198A" w14:textId="77777777" w:rsidR="004F1E44" w:rsidRPr="00286216" w:rsidRDefault="004F1E44" w:rsidP="004F1E44">
            <w:pPr>
              <w:pStyle w:val="StyleZakonu"/>
              <w:rPr>
                <w:color w:val="000000" w:themeColor="text1"/>
                <w:lang w:eastAsia="uk-UA"/>
              </w:rPr>
            </w:pPr>
            <w:r w:rsidRPr="00286216">
              <w:rPr>
                <w:color w:val="000000" w:themeColor="text1"/>
                <w:lang w:eastAsia="uk-UA"/>
              </w:rPr>
              <w:t>22) клірингова діяльність Центрального контрагента</w:t>
            </w:r>
            <w:r w:rsidRPr="00286216">
              <w:rPr>
                <w:color w:val="000000" w:themeColor="text1"/>
              </w:rPr>
              <w:t>;</w:t>
            </w:r>
          </w:p>
        </w:tc>
        <w:tc>
          <w:tcPr>
            <w:tcW w:w="3686" w:type="dxa"/>
          </w:tcPr>
          <w:p w14:paraId="414BB33A" w14:textId="77777777" w:rsidR="004F1E44" w:rsidRPr="00286216" w:rsidRDefault="004F1E44" w:rsidP="004F1E44">
            <w:pPr>
              <w:pStyle w:val="StyleProp"/>
              <w:rPr>
                <w:color w:val="000000" w:themeColor="text1"/>
                <w:szCs w:val="18"/>
                <w:lang w:eastAsia="uk-UA"/>
              </w:rPr>
            </w:pPr>
          </w:p>
        </w:tc>
        <w:tc>
          <w:tcPr>
            <w:tcW w:w="1987" w:type="dxa"/>
          </w:tcPr>
          <w:p w14:paraId="102787B9" w14:textId="77777777" w:rsidR="004F1E44" w:rsidRPr="00286216" w:rsidRDefault="004F1E44" w:rsidP="004F1E44">
            <w:pPr>
              <w:pStyle w:val="StyleWisnow"/>
              <w:rPr>
                <w:color w:val="000000" w:themeColor="text1"/>
                <w:lang w:eastAsia="uk-UA"/>
              </w:rPr>
            </w:pPr>
          </w:p>
        </w:tc>
        <w:tc>
          <w:tcPr>
            <w:tcW w:w="4818" w:type="dxa"/>
          </w:tcPr>
          <w:p w14:paraId="578E7AE7" w14:textId="0B4256AD" w:rsidR="004F1E44" w:rsidRPr="00286216" w:rsidRDefault="004F1E44" w:rsidP="004F1E44">
            <w:pPr>
              <w:pStyle w:val="StyleZakonu"/>
              <w:rPr>
                <w:color w:val="000000" w:themeColor="text1"/>
                <w:lang w:eastAsia="uk-UA"/>
              </w:rPr>
            </w:pPr>
            <w:r w:rsidRPr="00286216">
              <w:rPr>
                <w:color w:val="000000" w:themeColor="text1"/>
                <w:lang w:eastAsia="uk-UA"/>
              </w:rPr>
              <w:t>22) клірингова діяльність центрального контрагента</w:t>
            </w:r>
            <w:r w:rsidRPr="00286216">
              <w:rPr>
                <w:color w:val="000000" w:themeColor="text1"/>
              </w:rPr>
              <w:t>;</w:t>
            </w:r>
          </w:p>
        </w:tc>
      </w:tr>
      <w:tr w:rsidR="004F1E44" w:rsidRPr="00286216" w14:paraId="7CFD5BBB" w14:textId="77777777" w:rsidTr="00091AA5">
        <w:tc>
          <w:tcPr>
            <w:tcW w:w="576" w:type="dxa"/>
          </w:tcPr>
          <w:p w14:paraId="7F718192" w14:textId="77777777" w:rsidR="004F1E44" w:rsidRPr="00286216" w:rsidRDefault="004F1E44" w:rsidP="004F1E44">
            <w:pPr>
              <w:pStyle w:val="StyleWisnow"/>
              <w:rPr>
                <w:color w:val="000000" w:themeColor="text1"/>
              </w:rPr>
            </w:pPr>
            <w:bookmarkStart w:id="2814" w:name="n2942" w:colFirst="0" w:colLast="0"/>
            <w:bookmarkEnd w:id="2813"/>
            <w:r w:rsidRPr="00286216">
              <w:rPr>
                <w:color w:val="000000" w:themeColor="text1"/>
              </w:rPr>
              <w:t>2942.</w:t>
            </w:r>
          </w:p>
        </w:tc>
        <w:tc>
          <w:tcPr>
            <w:tcW w:w="4818" w:type="dxa"/>
          </w:tcPr>
          <w:p w14:paraId="4084C2BD" w14:textId="77777777" w:rsidR="004F1E44" w:rsidRPr="00286216" w:rsidRDefault="004F1E44" w:rsidP="004F1E44">
            <w:pPr>
              <w:pStyle w:val="StyleZakonu"/>
              <w:rPr>
                <w:color w:val="000000" w:themeColor="text1"/>
                <w:lang w:eastAsia="uk-UA"/>
              </w:rPr>
            </w:pPr>
            <w:r w:rsidRPr="00286216">
              <w:rPr>
                <w:color w:val="000000" w:themeColor="text1"/>
                <w:lang w:eastAsia="uk-UA"/>
              </w:rPr>
              <w:t xml:space="preserve">23) </w:t>
            </w:r>
            <w:r w:rsidRPr="00286216">
              <w:rPr>
                <w:color w:val="000000" w:themeColor="text1"/>
              </w:rPr>
              <w:t>діяльність з управління майном для фінансування об’єктів будівництва та/або здійснення операцій з нерухомістю;</w:t>
            </w:r>
          </w:p>
        </w:tc>
        <w:tc>
          <w:tcPr>
            <w:tcW w:w="3686" w:type="dxa"/>
          </w:tcPr>
          <w:p w14:paraId="402F9A83" w14:textId="77777777" w:rsidR="004F1E44" w:rsidRPr="00286216" w:rsidRDefault="004F1E44" w:rsidP="004F1E44">
            <w:pPr>
              <w:pStyle w:val="StyleProp"/>
              <w:rPr>
                <w:color w:val="000000" w:themeColor="text1"/>
                <w:szCs w:val="18"/>
                <w:lang w:eastAsia="uk-UA"/>
              </w:rPr>
            </w:pPr>
          </w:p>
        </w:tc>
        <w:tc>
          <w:tcPr>
            <w:tcW w:w="1987" w:type="dxa"/>
          </w:tcPr>
          <w:p w14:paraId="7D4762DC" w14:textId="77777777" w:rsidR="004F1E44" w:rsidRPr="00286216" w:rsidRDefault="004F1E44" w:rsidP="004F1E44">
            <w:pPr>
              <w:pStyle w:val="StyleWisnow"/>
              <w:rPr>
                <w:color w:val="000000" w:themeColor="text1"/>
                <w:lang w:eastAsia="uk-UA"/>
              </w:rPr>
            </w:pPr>
          </w:p>
        </w:tc>
        <w:tc>
          <w:tcPr>
            <w:tcW w:w="4818" w:type="dxa"/>
          </w:tcPr>
          <w:p w14:paraId="36A898DE" w14:textId="2C44610B" w:rsidR="004F1E44" w:rsidRPr="00286216" w:rsidRDefault="004F1E44" w:rsidP="004F1E44">
            <w:pPr>
              <w:pStyle w:val="StyleZakonu"/>
              <w:rPr>
                <w:color w:val="000000" w:themeColor="text1"/>
                <w:lang w:eastAsia="uk-UA"/>
              </w:rPr>
            </w:pPr>
            <w:r w:rsidRPr="00286216">
              <w:rPr>
                <w:color w:val="000000" w:themeColor="text1"/>
                <w:lang w:eastAsia="uk-UA"/>
              </w:rPr>
              <w:t xml:space="preserve">23) </w:t>
            </w:r>
            <w:r w:rsidRPr="00286216">
              <w:rPr>
                <w:color w:val="000000" w:themeColor="text1"/>
              </w:rPr>
              <w:t>діяльність з управління майном для фінансування об’єктів будівництва та/або здійснення операцій з нерухомістю;</w:t>
            </w:r>
          </w:p>
        </w:tc>
      </w:tr>
      <w:tr w:rsidR="004F1E44" w:rsidRPr="00286216" w14:paraId="69739543" w14:textId="77777777" w:rsidTr="00091AA5">
        <w:tc>
          <w:tcPr>
            <w:tcW w:w="576" w:type="dxa"/>
          </w:tcPr>
          <w:p w14:paraId="1EB50208" w14:textId="77777777" w:rsidR="004F1E44" w:rsidRPr="00286216" w:rsidRDefault="004F1E44" w:rsidP="004F1E44">
            <w:pPr>
              <w:pStyle w:val="StyleWisnow"/>
              <w:rPr>
                <w:color w:val="000000" w:themeColor="text1"/>
              </w:rPr>
            </w:pPr>
            <w:bookmarkStart w:id="2815" w:name="n2943" w:colFirst="0" w:colLast="0"/>
            <w:bookmarkEnd w:id="2814"/>
            <w:r w:rsidRPr="00286216">
              <w:rPr>
                <w:color w:val="000000" w:themeColor="text1"/>
              </w:rPr>
              <w:t>2943.</w:t>
            </w:r>
          </w:p>
        </w:tc>
        <w:tc>
          <w:tcPr>
            <w:tcW w:w="4818" w:type="dxa"/>
          </w:tcPr>
          <w:p w14:paraId="211BB25E" w14:textId="77777777" w:rsidR="004F1E44" w:rsidRPr="00286216" w:rsidRDefault="004F1E44" w:rsidP="004F1E44">
            <w:pPr>
              <w:pStyle w:val="StyleZakonu"/>
              <w:rPr>
                <w:color w:val="000000" w:themeColor="text1"/>
              </w:rPr>
            </w:pPr>
            <w:r w:rsidRPr="00286216">
              <w:rPr>
                <w:color w:val="000000" w:themeColor="text1"/>
              </w:rPr>
              <w:t>24) діяльність з надання послуг у накопичувальній системі загальнообов’язкового державного пенсійного страхування;</w:t>
            </w:r>
          </w:p>
        </w:tc>
        <w:tc>
          <w:tcPr>
            <w:tcW w:w="3686" w:type="dxa"/>
          </w:tcPr>
          <w:p w14:paraId="3E96823C" w14:textId="77777777" w:rsidR="004F1E44" w:rsidRPr="00286216" w:rsidRDefault="004F1E44" w:rsidP="004F1E44">
            <w:pPr>
              <w:pStyle w:val="StyleProp"/>
              <w:rPr>
                <w:color w:val="000000" w:themeColor="text1"/>
                <w:szCs w:val="18"/>
              </w:rPr>
            </w:pPr>
          </w:p>
        </w:tc>
        <w:tc>
          <w:tcPr>
            <w:tcW w:w="1987" w:type="dxa"/>
          </w:tcPr>
          <w:p w14:paraId="2F0F1994" w14:textId="77777777" w:rsidR="004F1E44" w:rsidRPr="00286216" w:rsidRDefault="004F1E44" w:rsidP="004F1E44">
            <w:pPr>
              <w:pStyle w:val="StyleWisnow"/>
              <w:rPr>
                <w:color w:val="000000" w:themeColor="text1"/>
              </w:rPr>
            </w:pPr>
          </w:p>
        </w:tc>
        <w:tc>
          <w:tcPr>
            <w:tcW w:w="4818" w:type="dxa"/>
          </w:tcPr>
          <w:p w14:paraId="71551E2D" w14:textId="323953AF" w:rsidR="004F1E44" w:rsidRPr="00286216" w:rsidRDefault="004F1E44" w:rsidP="004F1E44">
            <w:pPr>
              <w:pStyle w:val="StyleZakonu"/>
              <w:rPr>
                <w:color w:val="000000" w:themeColor="text1"/>
              </w:rPr>
            </w:pPr>
            <w:r w:rsidRPr="00286216">
              <w:rPr>
                <w:color w:val="000000" w:themeColor="text1"/>
              </w:rPr>
              <w:t>24) діяльність з надання послуг у накопичувальній системі загальнообов’язкового державного пенсійного страхування;</w:t>
            </w:r>
          </w:p>
        </w:tc>
      </w:tr>
      <w:tr w:rsidR="004F1E44" w:rsidRPr="00286216" w14:paraId="7AEECD69" w14:textId="77777777" w:rsidTr="00091AA5">
        <w:tc>
          <w:tcPr>
            <w:tcW w:w="576" w:type="dxa"/>
          </w:tcPr>
          <w:p w14:paraId="1232215B" w14:textId="77777777" w:rsidR="004F1E44" w:rsidRPr="00286216" w:rsidRDefault="004F1E44" w:rsidP="004F1E44">
            <w:pPr>
              <w:pStyle w:val="StyleWisnow"/>
              <w:rPr>
                <w:color w:val="000000" w:themeColor="text1"/>
              </w:rPr>
            </w:pPr>
            <w:bookmarkStart w:id="2816" w:name="n2944" w:colFirst="0" w:colLast="0"/>
            <w:bookmarkEnd w:id="2815"/>
            <w:r w:rsidRPr="00286216">
              <w:rPr>
                <w:color w:val="000000" w:themeColor="text1"/>
              </w:rPr>
              <w:t>2944.</w:t>
            </w:r>
          </w:p>
        </w:tc>
        <w:tc>
          <w:tcPr>
            <w:tcW w:w="4818" w:type="dxa"/>
          </w:tcPr>
          <w:p w14:paraId="283656C2" w14:textId="77777777" w:rsidR="004F1E44" w:rsidRPr="00286216" w:rsidRDefault="004F1E44" w:rsidP="004F1E44">
            <w:pPr>
              <w:pStyle w:val="StyleZakonu"/>
              <w:rPr>
                <w:color w:val="000000" w:themeColor="text1"/>
              </w:rPr>
            </w:pPr>
            <w:r w:rsidRPr="00286216">
              <w:rPr>
                <w:color w:val="000000" w:themeColor="text1"/>
              </w:rPr>
              <w:t>25) діяльність з адміністрування недержавних пенсійних фондів.</w:t>
            </w:r>
          </w:p>
        </w:tc>
        <w:tc>
          <w:tcPr>
            <w:tcW w:w="3686" w:type="dxa"/>
          </w:tcPr>
          <w:p w14:paraId="47AB1AE1" w14:textId="77777777" w:rsidR="004F1E44" w:rsidRPr="00286216" w:rsidRDefault="004F1E44" w:rsidP="004F1E44">
            <w:pPr>
              <w:pStyle w:val="StyleProp"/>
              <w:rPr>
                <w:color w:val="000000" w:themeColor="text1"/>
                <w:szCs w:val="18"/>
              </w:rPr>
            </w:pPr>
          </w:p>
        </w:tc>
        <w:tc>
          <w:tcPr>
            <w:tcW w:w="1987" w:type="dxa"/>
          </w:tcPr>
          <w:p w14:paraId="0A3311BE" w14:textId="77777777" w:rsidR="004F1E44" w:rsidRPr="00286216" w:rsidRDefault="004F1E44" w:rsidP="004F1E44">
            <w:pPr>
              <w:pStyle w:val="StyleWisnow"/>
              <w:spacing w:line="180" w:lineRule="exact"/>
              <w:rPr>
                <w:color w:val="000000" w:themeColor="text1"/>
              </w:rPr>
            </w:pPr>
          </w:p>
        </w:tc>
        <w:tc>
          <w:tcPr>
            <w:tcW w:w="4818" w:type="dxa"/>
          </w:tcPr>
          <w:p w14:paraId="643C5DFE" w14:textId="70BAC516" w:rsidR="004F1E44" w:rsidRPr="00286216" w:rsidRDefault="004F1E44" w:rsidP="004F1E44">
            <w:pPr>
              <w:pStyle w:val="StyleZakonu"/>
              <w:rPr>
                <w:color w:val="000000" w:themeColor="text1"/>
              </w:rPr>
            </w:pPr>
            <w:r w:rsidRPr="00286216">
              <w:rPr>
                <w:color w:val="000000" w:themeColor="text1"/>
              </w:rPr>
              <w:t>25) діяльність з адміністрування недержавних пенсійних фондів.</w:t>
            </w:r>
          </w:p>
        </w:tc>
      </w:tr>
      <w:tr w:rsidR="004F1E44" w:rsidRPr="00286216" w14:paraId="617109B4" w14:textId="77777777" w:rsidTr="00091AA5">
        <w:tc>
          <w:tcPr>
            <w:tcW w:w="576" w:type="dxa"/>
          </w:tcPr>
          <w:p w14:paraId="364B23D1" w14:textId="77777777" w:rsidR="004F1E44" w:rsidRPr="00286216" w:rsidRDefault="004F1E44" w:rsidP="004F1E44">
            <w:pPr>
              <w:pStyle w:val="StyleWisnow"/>
              <w:rPr>
                <w:color w:val="000000" w:themeColor="text1"/>
              </w:rPr>
            </w:pPr>
            <w:bookmarkStart w:id="2817" w:name="n2945" w:colFirst="0" w:colLast="0"/>
            <w:bookmarkEnd w:id="2816"/>
            <w:r w:rsidRPr="00286216">
              <w:rPr>
                <w:color w:val="000000" w:themeColor="text1"/>
              </w:rPr>
              <w:t>2945.</w:t>
            </w:r>
          </w:p>
        </w:tc>
        <w:tc>
          <w:tcPr>
            <w:tcW w:w="4818" w:type="dxa"/>
          </w:tcPr>
          <w:p w14:paraId="7BA9C756" w14:textId="77777777" w:rsidR="004F1E44" w:rsidRPr="00286216" w:rsidRDefault="004F1E44" w:rsidP="004F1E44">
            <w:pPr>
              <w:pStyle w:val="StyleZakonu"/>
              <w:rPr>
                <w:color w:val="000000" w:themeColor="text1"/>
                <w:lang w:eastAsia="uk-UA"/>
              </w:rPr>
            </w:pPr>
            <w:r w:rsidRPr="00286216">
              <w:rPr>
                <w:color w:val="000000" w:themeColor="text1"/>
                <w:lang w:eastAsia="uk-UA"/>
              </w:rPr>
              <w:t>Національна комісія з цінних паперів та фондового ринку у встановленому нею порядку видає ліцензії на такі види професійної діяльності на організованих товарних ринках:</w:t>
            </w:r>
          </w:p>
        </w:tc>
        <w:tc>
          <w:tcPr>
            <w:tcW w:w="3686" w:type="dxa"/>
          </w:tcPr>
          <w:p w14:paraId="3B513A35" w14:textId="595D6A00" w:rsidR="004F1E44" w:rsidRPr="00286216" w:rsidRDefault="004F1E44" w:rsidP="004F1E4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4"/>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5"/>
                <w:sz w:val="18"/>
                <w:u w:val="single"/>
              </w:rPr>
              <w:t>1298</w:t>
            </w:r>
            <w:r w:rsidRPr="00286216">
              <w:rPr>
                <w:b/>
                <w:i/>
                <w:color w:val="000000" w:themeColor="text1"/>
                <w:spacing w:val="-4"/>
                <w:sz w:val="18"/>
                <w:u w:val="single"/>
              </w:rPr>
              <w:fldChar w:fldCharType="end"/>
            </w:r>
            <w:r w:rsidRPr="00286216">
              <w:rPr>
                <w:b/>
                <w:i/>
                <w:color w:val="000000" w:themeColor="text1"/>
                <w:spacing w:val="-5"/>
                <w:sz w:val="18"/>
                <w:u w:val="single"/>
              </w:rPr>
              <w:t>-Н.д.Бєлькова О.В. (Реєстр.картка №403)</w:t>
            </w:r>
          </w:p>
          <w:p w14:paraId="3632E8C8" w14:textId="77777777" w:rsidR="004F1E44" w:rsidRPr="00286216" w:rsidRDefault="004F1E44" w:rsidP="004F1E44">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A191F37" w14:textId="77777777" w:rsidR="004F1E44" w:rsidRPr="00286216" w:rsidRDefault="004F1E44" w:rsidP="004F1E44">
            <w:pPr>
              <w:pStyle w:val="StyleProp"/>
              <w:rPr>
                <w:color w:val="000000" w:themeColor="text1"/>
              </w:rPr>
            </w:pPr>
            <w:r w:rsidRPr="00286216">
              <w:rPr>
                <w:color w:val="000000" w:themeColor="text1"/>
              </w:rPr>
              <w:t>Абзаци 29 - 31 підпункту 5 пункту 17 замінити одним абзацом у такій редакцій:</w:t>
            </w:r>
          </w:p>
          <w:p w14:paraId="10CF63AA" w14:textId="77777777" w:rsidR="004F1E44" w:rsidRPr="00286216" w:rsidRDefault="004F1E44" w:rsidP="004F1E44">
            <w:pPr>
              <w:pStyle w:val="StyleProp"/>
              <w:rPr>
                <w:color w:val="000000" w:themeColor="text1"/>
                <w:lang w:eastAsia="uk-UA"/>
              </w:rPr>
            </w:pPr>
            <w:r w:rsidRPr="00286216">
              <w:rPr>
                <w:color w:val="000000" w:themeColor="text1"/>
              </w:rPr>
              <w:t>«Національна комісія з цінних паперів та фондового ринку у встановленому нею порядку видає ліцензії на провадження професійної діяльності на організованих товарних ринках - діяльність з організації торгівлі продукцією на товарних біржах.»</w:t>
            </w:r>
          </w:p>
        </w:tc>
        <w:tc>
          <w:tcPr>
            <w:tcW w:w="1987" w:type="dxa"/>
          </w:tcPr>
          <w:p w14:paraId="7F2F2CB2" w14:textId="77777777" w:rsidR="004F1E44" w:rsidRPr="00286216" w:rsidRDefault="004F1E44" w:rsidP="004F1E44">
            <w:pPr>
              <w:pStyle w:val="StyleWisnow"/>
              <w:spacing w:line="180" w:lineRule="exact"/>
              <w:rPr>
                <w:color w:val="000000" w:themeColor="text1"/>
                <w:lang w:eastAsia="uk-UA"/>
              </w:rPr>
            </w:pPr>
            <w:r w:rsidRPr="00286216">
              <w:rPr>
                <w:color w:val="000000" w:themeColor="text1"/>
                <w:lang w:eastAsia="uk-UA"/>
              </w:rPr>
              <w:t>Враховано</w:t>
            </w:r>
          </w:p>
        </w:tc>
        <w:tc>
          <w:tcPr>
            <w:tcW w:w="4818" w:type="dxa"/>
          </w:tcPr>
          <w:p w14:paraId="4FD2B4DB" w14:textId="3A6C4F5C" w:rsidR="004F1E44" w:rsidRPr="00286216" w:rsidRDefault="004F1E44" w:rsidP="004F1E44">
            <w:pPr>
              <w:pStyle w:val="StyleZakonu"/>
              <w:rPr>
                <w:color w:val="000000" w:themeColor="text1"/>
                <w:lang w:eastAsia="uk-UA"/>
              </w:rPr>
            </w:pPr>
            <w:r w:rsidRPr="00286216">
              <w:rPr>
                <w:color w:val="000000" w:themeColor="text1"/>
              </w:rPr>
              <w:t>Національна комісія з цінних паперів та фондового ринку у встановленому нею порядку видає ліцензії на провадження професійної діяльності на організованих товарних ринках - діяльність з організації торгівлі продукцією на товарних біржах.</w:t>
            </w:r>
            <w:r w:rsidRPr="00286216" w:rsidDel="00107146">
              <w:rPr>
                <w:color w:val="000000" w:themeColor="text1"/>
                <w:lang w:eastAsia="uk-UA"/>
              </w:rPr>
              <w:t xml:space="preserve"> </w:t>
            </w:r>
          </w:p>
        </w:tc>
      </w:tr>
      <w:tr w:rsidR="004F1E44" w:rsidRPr="00286216" w14:paraId="4A355D78" w14:textId="77777777" w:rsidTr="00091AA5">
        <w:tc>
          <w:tcPr>
            <w:tcW w:w="576" w:type="dxa"/>
          </w:tcPr>
          <w:p w14:paraId="488E178E" w14:textId="77777777" w:rsidR="004F1E44" w:rsidRPr="00286216" w:rsidRDefault="004F1E44" w:rsidP="004F1E44">
            <w:pPr>
              <w:pStyle w:val="StyleWisnow"/>
              <w:rPr>
                <w:color w:val="000000" w:themeColor="text1"/>
              </w:rPr>
            </w:pPr>
            <w:bookmarkStart w:id="2818" w:name="n2946" w:colFirst="0" w:colLast="0"/>
            <w:bookmarkEnd w:id="2817"/>
            <w:r w:rsidRPr="00286216">
              <w:rPr>
                <w:color w:val="000000" w:themeColor="text1"/>
              </w:rPr>
              <w:t>2946.</w:t>
            </w:r>
          </w:p>
        </w:tc>
        <w:tc>
          <w:tcPr>
            <w:tcW w:w="4818" w:type="dxa"/>
          </w:tcPr>
          <w:p w14:paraId="0E2A8246" w14:textId="77777777" w:rsidR="004F1E44" w:rsidRPr="00286216" w:rsidRDefault="004F1E44" w:rsidP="004F1E44">
            <w:pPr>
              <w:pStyle w:val="StyleZakonu"/>
              <w:rPr>
                <w:color w:val="000000" w:themeColor="text1"/>
                <w:lang w:eastAsia="uk-UA"/>
              </w:rPr>
            </w:pPr>
            <w:r w:rsidRPr="00286216">
              <w:rPr>
                <w:color w:val="000000" w:themeColor="text1"/>
                <w:lang w:eastAsia="uk-UA"/>
              </w:rPr>
              <w:t>1) діяльність з організації торгівлі продукцією на регульованих товарних ринках;</w:t>
            </w:r>
          </w:p>
        </w:tc>
        <w:tc>
          <w:tcPr>
            <w:tcW w:w="3686" w:type="dxa"/>
          </w:tcPr>
          <w:p w14:paraId="0FD4692F" w14:textId="77777777" w:rsidR="004F1E44" w:rsidRPr="00286216" w:rsidRDefault="004F1E44" w:rsidP="004F1E44">
            <w:pPr>
              <w:pStyle w:val="StyleProp"/>
              <w:rPr>
                <w:color w:val="000000" w:themeColor="text1"/>
                <w:szCs w:val="18"/>
                <w:lang w:eastAsia="uk-UA"/>
              </w:rPr>
            </w:pPr>
          </w:p>
        </w:tc>
        <w:tc>
          <w:tcPr>
            <w:tcW w:w="1987" w:type="dxa"/>
          </w:tcPr>
          <w:p w14:paraId="62D3FAED" w14:textId="77777777" w:rsidR="004F1E44" w:rsidRPr="00286216" w:rsidRDefault="004F1E44" w:rsidP="004F1E44">
            <w:pPr>
              <w:pStyle w:val="StyleWisnow"/>
              <w:spacing w:line="180" w:lineRule="exact"/>
              <w:rPr>
                <w:color w:val="000000" w:themeColor="text1"/>
                <w:lang w:eastAsia="uk-UA"/>
              </w:rPr>
            </w:pPr>
          </w:p>
        </w:tc>
        <w:tc>
          <w:tcPr>
            <w:tcW w:w="4818" w:type="dxa"/>
          </w:tcPr>
          <w:p w14:paraId="794E418B" w14:textId="77777777" w:rsidR="004F1E44" w:rsidRPr="00286216" w:rsidRDefault="004F1E44" w:rsidP="004F1E44">
            <w:pPr>
              <w:pStyle w:val="StyleZakonu"/>
              <w:rPr>
                <w:color w:val="000000" w:themeColor="text1"/>
                <w:lang w:eastAsia="uk-UA"/>
              </w:rPr>
            </w:pPr>
          </w:p>
        </w:tc>
      </w:tr>
      <w:tr w:rsidR="004F1E44" w:rsidRPr="00286216" w14:paraId="05EF2BEF" w14:textId="77777777" w:rsidTr="00091AA5">
        <w:tc>
          <w:tcPr>
            <w:tcW w:w="576" w:type="dxa"/>
          </w:tcPr>
          <w:p w14:paraId="7C4F94B0" w14:textId="77777777" w:rsidR="004F1E44" w:rsidRPr="00286216" w:rsidRDefault="004F1E44" w:rsidP="004F1E44">
            <w:pPr>
              <w:pStyle w:val="StyleWisnow"/>
              <w:rPr>
                <w:color w:val="000000" w:themeColor="text1"/>
              </w:rPr>
            </w:pPr>
            <w:bookmarkStart w:id="2819" w:name="n2947" w:colFirst="0" w:colLast="0"/>
            <w:bookmarkEnd w:id="2818"/>
            <w:r w:rsidRPr="00286216">
              <w:rPr>
                <w:color w:val="000000" w:themeColor="text1"/>
              </w:rPr>
              <w:t>2947.</w:t>
            </w:r>
          </w:p>
        </w:tc>
        <w:tc>
          <w:tcPr>
            <w:tcW w:w="4818" w:type="dxa"/>
          </w:tcPr>
          <w:p w14:paraId="14082AD0" w14:textId="77777777" w:rsidR="004F1E44" w:rsidRPr="00286216" w:rsidRDefault="004F1E44" w:rsidP="004F1E44">
            <w:pPr>
              <w:pStyle w:val="StyleZakonu"/>
              <w:rPr>
                <w:color w:val="000000" w:themeColor="text1"/>
                <w:lang w:eastAsia="uk-UA"/>
              </w:rPr>
            </w:pPr>
            <w:r w:rsidRPr="00286216">
              <w:rPr>
                <w:color w:val="000000" w:themeColor="text1"/>
                <w:lang w:eastAsia="uk-UA"/>
              </w:rPr>
              <w:t>2) діяльність з організації торгівлі продукцією на товарних біржах</w:t>
            </w:r>
          </w:p>
        </w:tc>
        <w:tc>
          <w:tcPr>
            <w:tcW w:w="3686" w:type="dxa"/>
          </w:tcPr>
          <w:p w14:paraId="185F1F3E" w14:textId="77777777" w:rsidR="004F1E44" w:rsidRPr="00286216" w:rsidRDefault="004F1E44" w:rsidP="004F1E44">
            <w:pPr>
              <w:pStyle w:val="StyleProp"/>
              <w:rPr>
                <w:color w:val="000000" w:themeColor="text1"/>
                <w:szCs w:val="18"/>
                <w:lang w:eastAsia="uk-UA"/>
              </w:rPr>
            </w:pPr>
          </w:p>
        </w:tc>
        <w:tc>
          <w:tcPr>
            <w:tcW w:w="1987" w:type="dxa"/>
          </w:tcPr>
          <w:p w14:paraId="143E5169" w14:textId="77777777" w:rsidR="004F1E44" w:rsidRPr="00286216" w:rsidRDefault="004F1E44" w:rsidP="004F1E44">
            <w:pPr>
              <w:pStyle w:val="StyleWisnow"/>
              <w:spacing w:line="180" w:lineRule="exact"/>
              <w:rPr>
                <w:color w:val="000000" w:themeColor="text1"/>
                <w:lang w:eastAsia="uk-UA"/>
              </w:rPr>
            </w:pPr>
          </w:p>
        </w:tc>
        <w:tc>
          <w:tcPr>
            <w:tcW w:w="4818" w:type="dxa"/>
          </w:tcPr>
          <w:p w14:paraId="35C5F25A" w14:textId="77777777" w:rsidR="004F1E44" w:rsidRPr="00286216" w:rsidRDefault="004F1E44" w:rsidP="004F1E44">
            <w:pPr>
              <w:pStyle w:val="StyleZakonu"/>
              <w:rPr>
                <w:color w:val="000000" w:themeColor="text1"/>
                <w:lang w:eastAsia="uk-UA"/>
              </w:rPr>
            </w:pPr>
          </w:p>
        </w:tc>
      </w:tr>
      <w:tr w:rsidR="004F1E44" w:rsidRPr="00286216" w14:paraId="0ECB84EA" w14:textId="77777777" w:rsidTr="00091AA5">
        <w:tc>
          <w:tcPr>
            <w:tcW w:w="576" w:type="dxa"/>
          </w:tcPr>
          <w:p w14:paraId="43751D02" w14:textId="77777777" w:rsidR="004F1E44" w:rsidRPr="00286216" w:rsidRDefault="004F1E44" w:rsidP="004F1E44">
            <w:pPr>
              <w:pStyle w:val="StyleWisnow"/>
              <w:rPr>
                <w:color w:val="000000" w:themeColor="text1"/>
              </w:rPr>
            </w:pPr>
            <w:bookmarkStart w:id="2820" w:name="n2948" w:colFirst="0" w:colLast="0"/>
            <w:bookmarkEnd w:id="2819"/>
            <w:r w:rsidRPr="00286216">
              <w:rPr>
                <w:color w:val="000000" w:themeColor="text1"/>
              </w:rPr>
              <w:t>2948.</w:t>
            </w:r>
          </w:p>
        </w:tc>
        <w:tc>
          <w:tcPr>
            <w:tcW w:w="4818" w:type="dxa"/>
          </w:tcPr>
          <w:p w14:paraId="7EE69D81" w14:textId="77777777" w:rsidR="004F1E44" w:rsidRPr="00286216" w:rsidRDefault="004F1E44" w:rsidP="004F1E44">
            <w:pPr>
              <w:pStyle w:val="StyleZakonu"/>
              <w:rPr>
                <w:color w:val="000000" w:themeColor="text1"/>
              </w:rPr>
            </w:pPr>
            <w:r w:rsidRPr="00286216">
              <w:rPr>
                <w:color w:val="000000" w:themeColor="text1"/>
              </w:rPr>
              <w:t>Ліцензування професійної діяльності здійснює Національна комісія з цінних паперів та фондового ринку відповідно до законів України, що регулюють таку професійну діяльність, нормативно-правових актів, прийнятих згідно з цими законами.</w:t>
            </w:r>
          </w:p>
        </w:tc>
        <w:tc>
          <w:tcPr>
            <w:tcW w:w="3686" w:type="dxa"/>
          </w:tcPr>
          <w:p w14:paraId="70355E83" w14:textId="77777777" w:rsidR="004F1E44" w:rsidRPr="00286216" w:rsidRDefault="004F1E44" w:rsidP="004F1E44">
            <w:pPr>
              <w:pStyle w:val="StyleProp"/>
              <w:rPr>
                <w:color w:val="000000" w:themeColor="text1"/>
                <w:szCs w:val="18"/>
              </w:rPr>
            </w:pPr>
          </w:p>
        </w:tc>
        <w:tc>
          <w:tcPr>
            <w:tcW w:w="1987" w:type="dxa"/>
          </w:tcPr>
          <w:p w14:paraId="4A77C325" w14:textId="77777777" w:rsidR="004F1E44" w:rsidRPr="00286216" w:rsidRDefault="004F1E44" w:rsidP="004F1E44">
            <w:pPr>
              <w:pStyle w:val="StyleWisnow"/>
              <w:spacing w:line="180" w:lineRule="exact"/>
              <w:rPr>
                <w:color w:val="000000" w:themeColor="text1"/>
              </w:rPr>
            </w:pPr>
          </w:p>
        </w:tc>
        <w:tc>
          <w:tcPr>
            <w:tcW w:w="4818" w:type="dxa"/>
          </w:tcPr>
          <w:p w14:paraId="6F865082" w14:textId="2DF43E48" w:rsidR="004F1E44" w:rsidRPr="00286216" w:rsidRDefault="004F1E44" w:rsidP="004F1E44">
            <w:pPr>
              <w:pStyle w:val="StyleZakonu"/>
              <w:rPr>
                <w:color w:val="000000" w:themeColor="text1"/>
              </w:rPr>
            </w:pPr>
            <w:r w:rsidRPr="00286216">
              <w:rPr>
                <w:color w:val="000000" w:themeColor="text1"/>
              </w:rPr>
              <w:t>Ліцензування професійної діяльності здійснює Національна комісія з цінних паперів та фондового ринку відповідно до законів України, що регулюють таку професійну діяльність, нормативно-правових актів, прийнятих згідно з цими законами.</w:t>
            </w:r>
          </w:p>
        </w:tc>
      </w:tr>
      <w:tr w:rsidR="004F1E44" w:rsidRPr="00286216" w14:paraId="315C2271" w14:textId="77777777" w:rsidTr="00091AA5">
        <w:tc>
          <w:tcPr>
            <w:tcW w:w="576" w:type="dxa"/>
          </w:tcPr>
          <w:p w14:paraId="30B6B7E3" w14:textId="77777777" w:rsidR="004F1E44" w:rsidRPr="00286216" w:rsidRDefault="004F1E44" w:rsidP="004F1E44">
            <w:pPr>
              <w:pStyle w:val="StyleWisnow"/>
              <w:rPr>
                <w:color w:val="000000" w:themeColor="text1"/>
              </w:rPr>
            </w:pPr>
            <w:bookmarkStart w:id="2821" w:name="n2949" w:colFirst="0" w:colLast="0"/>
            <w:bookmarkEnd w:id="2820"/>
            <w:r w:rsidRPr="00286216">
              <w:rPr>
                <w:color w:val="000000" w:themeColor="text1"/>
              </w:rPr>
              <w:t>2949.</w:t>
            </w:r>
          </w:p>
        </w:tc>
        <w:tc>
          <w:tcPr>
            <w:tcW w:w="4818" w:type="dxa"/>
          </w:tcPr>
          <w:p w14:paraId="6CB93FC0" w14:textId="77777777" w:rsidR="004F1E44" w:rsidRPr="00286216" w:rsidRDefault="004F1E44" w:rsidP="004F1E44">
            <w:pPr>
              <w:pStyle w:val="StyleZakonu"/>
              <w:rPr>
                <w:color w:val="000000" w:themeColor="text1"/>
              </w:rPr>
            </w:pPr>
            <w:r w:rsidRPr="00286216">
              <w:rPr>
                <w:color w:val="000000" w:themeColor="text1"/>
              </w:rPr>
              <w:t xml:space="preserve">У разі анулювання ліцензії на надання послуг у накопичувальній системі загальнообов’язкового державного пенсійного страхування недержавний пенсійний фонд - суб’єкт другого рівня системи пенсійного забезпечення може подати Національній комісії з цінних паперів та фондового ринку не раніше ніж через три роки з дати анулювання такої ліцензії нову заяву про її видачу. Разом із заявою про </w:t>
            </w:r>
            <w:r w:rsidRPr="00286216">
              <w:rPr>
                <w:color w:val="000000" w:themeColor="text1"/>
              </w:rPr>
              <w:lastRenderedPageBreak/>
              <w:t>видачу нової ліцензії на надання послуг має бути подано документи, які підтверджують усунення причин анулювання попередньої ліцензії.</w:t>
            </w:r>
          </w:p>
        </w:tc>
        <w:tc>
          <w:tcPr>
            <w:tcW w:w="3686" w:type="dxa"/>
          </w:tcPr>
          <w:p w14:paraId="19CFA31C" w14:textId="77777777" w:rsidR="004F1E44" w:rsidRPr="00286216" w:rsidRDefault="004F1E44" w:rsidP="004F1E44">
            <w:pPr>
              <w:pStyle w:val="StyleProp"/>
              <w:rPr>
                <w:color w:val="000000" w:themeColor="text1"/>
                <w:szCs w:val="18"/>
              </w:rPr>
            </w:pPr>
          </w:p>
        </w:tc>
        <w:tc>
          <w:tcPr>
            <w:tcW w:w="1987" w:type="dxa"/>
          </w:tcPr>
          <w:p w14:paraId="4DB13479" w14:textId="77777777" w:rsidR="004F1E44" w:rsidRPr="00286216" w:rsidRDefault="004F1E44" w:rsidP="004F1E44">
            <w:pPr>
              <w:pStyle w:val="StyleWisnow"/>
              <w:spacing w:line="180" w:lineRule="exact"/>
              <w:rPr>
                <w:color w:val="000000" w:themeColor="text1"/>
              </w:rPr>
            </w:pPr>
          </w:p>
        </w:tc>
        <w:tc>
          <w:tcPr>
            <w:tcW w:w="4818" w:type="dxa"/>
          </w:tcPr>
          <w:p w14:paraId="2236F4DA" w14:textId="1AD6EC38" w:rsidR="004F1E44" w:rsidRPr="00286216" w:rsidRDefault="004F1E44" w:rsidP="004F1E44">
            <w:pPr>
              <w:pStyle w:val="StyleZakonu"/>
              <w:rPr>
                <w:color w:val="000000" w:themeColor="text1"/>
              </w:rPr>
            </w:pPr>
            <w:r w:rsidRPr="00286216">
              <w:rPr>
                <w:color w:val="000000" w:themeColor="text1"/>
              </w:rPr>
              <w:t xml:space="preserve">У разі анулювання ліцензії на надання послуг у накопичувальній системі загальнообов’язкового державного пенсійного страхування недержавний пенсійний фонд - суб’єкт другого рівня системи пенсійного забезпечення може подати Національній комісії з цінних паперів та фондового ринку не раніше ніж через три роки з дати анулювання такої ліцензії нову заяву про її видачу. Разом із заявою про </w:t>
            </w:r>
            <w:r w:rsidRPr="00286216">
              <w:rPr>
                <w:color w:val="000000" w:themeColor="text1"/>
              </w:rPr>
              <w:lastRenderedPageBreak/>
              <w:t>видачу нової ліцензії на надання послуг має бути подано документи,  що підтверджують усунення причин анулювання попередньої ліцензії.</w:t>
            </w:r>
          </w:p>
        </w:tc>
      </w:tr>
      <w:tr w:rsidR="004F1E44" w:rsidRPr="00286216" w14:paraId="0DB54C89" w14:textId="77777777" w:rsidTr="00091AA5">
        <w:tc>
          <w:tcPr>
            <w:tcW w:w="576" w:type="dxa"/>
          </w:tcPr>
          <w:p w14:paraId="36A21B53" w14:textId="77777777" w:rsidR="004F1E44" w:rsidRPr="00286216" w:rsidRDefault="004F1E44" w:rsidP="004F1E44">
            <w:pPr>
              <w:pStyle w:val="StyleWisnow"/>
              <w:rPr>
                <w:color w:val="000000" w:themeColor="text1"/>
              </w:rPr>
            </w:pPr>
            <w:bookmarkStart w:id="2822" w:name="n2950" w:colFirst="0" w:colLast="0"/>
            <w:bookmarkEnd w:id="2821"/>
            <w:r w:rsidRPr="00286216">
              <w:rPr>
                <w:color w:val="000000" w:themeColor="text1"/>
              </w:rPr>
              <w:lastRenderedPageBreak/>
              <w:t>2950.</w:t>
            </w:r>
          </w:p>
        </w:tc>
        <w:tc>
          <w:tcPr>
            <w:tcW w:w="4818" w:type="dxa"/>
          </w:tcPr>
          <w:p w14:paraId="03FF0391" w14:textId="77777777" w:rsidR="004F1E44" w:rsidRPr="00286216" w:rsidRDefault="004F1E44" w:rsidP="004F1E44">
            <w:pPr>
              <w:pStyle w:val="StyleZakonu"/>
              <w:rPr>
                <w:color w:val="000000" w:themeColor="text1"/>
              </w:rPr>
            </w:pPr>
            <w:r w:rsidRPr="00286216">
              <w:rPr>
                <w:color w:val="000000" w:themeColor="text1"/>
              </w:rPr>
              <w:t>Вимоги до форми подання документів (паперової або електронної) для отримання ліцензії встановлюються нормативно-правовими актами Національної комісії з цінних паперів та фондового ринку.";</w:t>
            </w:r>
          </w:p>
        </w:tc>
        <w:tc>
          <w:tcPr>
            <w:tcW w:w="3686" w:type="dxa"/>
          </w:tcPr>
          <w:p w14:paraId="69387EEE" w14:textId="77777777" w:rsidR="004F1E44" w:rsidRPr="00286216" w:rsidRDefault="004F1E44" w:rsidP="004F1E44">
            <w:pPr>
              <w:pStyle w:val="StyleProp"/>
              <w:rPr>
                <w:color w:val="000000" w:themeColor="text1"/>
                <w:szCs w:val="18"/>
              </w:rPr>
            </w:pPr>
          </w:p>
        </w:tc>
        <w:tc>
          <w:tcPr>
            <w:tcW w:w="1987" w:type="dxa"/>
          </w:tcPr>
          <w:p w14:paraId="376A6593" w14:textId="77777777" w:rsidR="004F1E44" w:rsidRPr="00286216" w:rsidRDefault="004F1E44" w:rsidP="004F1E44">
            <w:pPr>
              <w:pStyle w:val="StyleWisnow"/>
              <w:spacing w:line="180" w:lineRule="exact"/>
              <w:rPr>
                <w:color w:val="000000" w:themeColor="text1"/>
              </w:rPr>
            </w:pPr>
          </w:p>
        </w:tc>
        <w:tc>
          <w:tcPr>
            <w:tcW w:w="4818" w:type="dxa"/>
          </w:tcPr>
          <w:p w14:paraId="07C78E93" w14:textId="6A09651E" w:rsidR="004F1E44" w:rsidRPr="00286216" w:rsidRDefault="004F1E44" w:rsidP="004F1E44">
            <w:pPr>
              <w:pStyle w:val="StyleZakonu"/>
              <w:rPr>
                <w:color w:val="000000" w:themeColor="text1"/>
              </w:rPr>
            </w:pPr>
            <w:r w:rsidRPr="00286216">
              <w:rPr>
                <w:color w:val="000000" w:themeColor="text1"/>
              </w:rPr>
              <w:t>Вимоги до форми подання документів (паперової або електронної) для отримання ліцензії встановлюються нормативно-правовими актами Національної комісії з цінних паперів та фондового ринку";</w:t>
            </w:r>
          </w:p>
        </w:tc>
      </w:tr>
      <w:tr w:rsidR="004F1E44" w:rsidRPr="00286216" w14:paraId="45BC8576" w14:textId="77777777" w:rsidTr="00091AA5">
        <w:tc>
          <w:tcPr>
            <w:tcW w:w="576" w:type="dxa"/>
          </w:tcPr>
          <w:p w14:paraId="7F45E0E8" w14:textId="77777777" w:rsidR="004F1E44" w:rsidRPr="00286216" w:rsidRDefault="004F1E44" w:rsidP="004F1E44">
            <w:pPr>
              <w:pStyle w:val="StyleWisnow"/>
              <w:rPr>
                <w:color w:val="000000" w:themeColor="text1"/>
              </w:rPr>
            </w:pPr>
            <w:bookmarkStart w:id="2823" w:name="n2951" w:colFirst="0" w:colLast="0"/>
            <w:bookmarkEnd w:id="2822"/>
            <w:r w:rsidRPr="00286216">
              <w:rPr>
                <w:color w:val="000000" w:themeColor="text1"/>
              </w:rPr>
              <w:t>2951.</w:t>
            </w:r>
          </w:p>
        </w:tc>
        <w:tc>
          <w:tcPr>
            <w:tcW w:w="4818" w:type="dxa"/>
          </w:tcPr>
          <w:p w14:paraId="36D22CE0" w14:textId="77777777" w:rsidR="004F1E44" w:rsidRPr="00286216" w:rsidRDefault="004F1E44" w:rsidP="004F1E44">
            <w:pPr>
              <w:pStyle w:val="StyleZakonu"/>
              <w:rPr>
                <w:color w:val="000000" w:themeColor="text1"/>
              </w:rPr>
            </w:pPr>
            <w:r w:rsidRPr="00286216">
              <w:rPr>
                <w:color w:val="000000" w:themeColor="text1"/>
              </w:rPr>
              <w:t>6) в частині тринадцятій статті 4</w:t>
            </w:r>
            <w:r w:rsidRPr="00286216">
              <w:rPr>
                <w:color w:val="000000" w:themeColor="text1"/>
                <w:vertAlign w:val="superscript"/>
              </w:rPr>
              <w:t>1</w:t>
            </w:r>
            <w:r w:rsidRPr="00286216">
              <w:rPr>
                <w:color w:val="000000" w:themeColor="text1"/>
              </w:rPr>
              <w:t xml:space="preserve"> слова "публічного розміщення, купуватися та продаватися на фондовій біржі, " замінити словами "публічної пропозиції, купуватися та продаватися на регульованому фондовому ринку, крім облігацій міжнародних фінансових організацій, ";</w:t>
            </w:r>
          </w:p>
        </w:tc>
        <w:tc>
          <w:tcPr>
            <w:tcW w:w="3686" w:type="dxa"/>
          </w:tcPr>
          <w:p w14:paraId="38106C4F" w14:textId="77777777" w:rsidR="004F1E44" w:rsidRPr="00286216" w:rsidRDefault="004F1E44" w:rsidP="004F1E44">
            <w:pPr>
              <w:pStyle w:val="StyleProp"/>
              <w:rPr>
                <w:color w:val="000000" w:themeColor="text1"/>
                <w:szCs w:val="18"/>
              </w:rPr>
            </w:pPr>
          </w:p>
        </w:tc>
        <w:tc>
          <w:tcPr>
            <w:tcW w:w="1987" w:type="dxa"/>
          </w:tcPr>
          <w:p w14:paraId="6917F1DB" w14:textId="77777777" w:rsidR="004F1E44" w:rsidRPr="00286216" w:rsidRDefault="004F1E44" w:rsidP="004F1E44">
            <w:pPr>
              <w:pStyle w:val="StyleWisnow"/>
              <w:spacing w:line="180" w:lineRule="exact"/>
              <w:rPr>
                <w:color w:val="000000" w:themeColor="text1"/>
              </w:rPr>
            </w:pPr>
          </w:p>
        </w:tc>
        <w:tc>
          <w:tcPr>
            <w:tcW w:w="4818" w:type="dxa"/>
          </w:tcPr>
          <w:p w14:paraId="56A6529F" w14:textId="12C1A371" w:rsidR="004F1E44" w:rsidRPr="00286216" w:rsidRDefault="004F1E44" w:rsidP="004F1E44">
            <w:pPr>
              <w:pStyle w:val="StyleZakonu"/>
              <w:rPr>
                <w:color w:val="000000" w:themeColor="text1"/>
              </w:rPr>
            </w:pPr>
            <w:r w:rsidRPr="00286216">
              <w:rPr>
                <w:color w:val="000000" w:themeColor="text1"/>
              </w:rPr>
              <w:t>6) у частині тринадцятій статті 4</w:t>
            </w:r>
            <w:r w:rsidRPr="00286216">
              <w:rPr>
                <w:color w:val="000000" w:themeColor="text1"/>
                <w:vertAlign w:val="superscript"/>
              </w:rPr>
              <w:t>1</w:t>
            </w:r>
            <w:r w:rsidRPr="00286216">
              <w:rPr>
                <w:color w:val="000000" w:themeColor="text1"/>
              </w:rPr>
              <w:t xml:space="preserve"> слова "публічного розміщення, купуватися та продаватися на фондовій біржі" замінити словами "публічної пропозиції, купуватися та продаватися на регульованому фондовому ринку, крім облігацій міжнародних фінансових організацій";</w:t>
            </w:r>
          </w:p>
        </w:tc>
      </w:tr>
      <w:tr w:rsidR="004F1E44" w:rsidRPr="00286216" w14:paraId="0F77B17E" w14:textId="77777777" w:rsidTr="00091AA5">
        <w:tc>
          <w:tcPr>
            <w:tcW w:w="576" w:type="dxa"/>
          </w:tcPr>
          <w:p w14:paraId="6C58E8B1" w14:textId="77777777" w:rsidR="004F1E44" w:rsidRPr="00286216" w:rsidRDefault="004F1E44" w:rsidP="004F1E44">
            <w:pPr>
              <w:pStyle w:val="StyleWisnow"/>
              <w:rPr>
                <w:color w:val="000000" w:themeColor="text1"/>
              </w:rPr>
            </w:pPr>
            <w:bookmarkStart w:id="2824" w:name="n2952" w:colFirst="0" w:colLast="0"/>
            <w:bookmarkEnd w:id="2823"/>
            <w:r w:rsidRPr="00286216">
              <w:rPr>
                <w:color w:val="000000" w:themeColor="text1"/>
              </w:rPr>
              <w:t>2952.</w:t>
            </w:r>
          </w:p>
        </w:tc>
        <w:tc>
          <w:tcPr>
            <w:tcW w:w="4818" w:type="dxa"/>
          </w:tcPr>
          <w:p w14:paraId="29E3AC90" w14:textId="77777777" w:rsidR="004F1E44" w:rsidRPr="00286216" w:rsidRDefault="004F1E44" w:rsidP="004F1E44">
            <w:pPr>
              <w:pStyle w:val="StyleZakonu"/>
              <w:rPr>
                <w:color w:val="000000" w:themeColor="text1"/>
              </w:rPr>
            </w:pPr>
            <w:r w:rsidRPr="00286216">
              <w:rPr>
                <w:color w:val="000000" w:themeColor="text1"/>
              </w:rPr>
              <w:t>7) частини другу та третю статті 5 замінити трьома новими частинами такого змісту:</w:t>
            </w:r>
          </w:p>
        </w:tc>
        <w:tc>
          <w:tcPr>
            <w:tcW w:w="3686" w:type="dxa"/>
          </w:tcPr>
          <w:p w14:paraId="1E5FD746" w14:textId="121D70F3"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1299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DD24C6E"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Підпункт 7 пункту 17 викласти в такій редакції:</w:t>
            </w:r>
          </w:p>
          <w:p w14:paraId="67CAF40C"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«З метою забезпечення державного регулювання ринків капіталу та організованих товарних ринків Національна комісія з цінних паперів та фондового ринку створює комплексну інформаційну систему (КІС), як інтегровану систему, складові (підсистеми) якої забезпечують, зокрема, здійснення Національною комісією з цінних паперів та фондового ринку нагляду за діяльністю учасників ринків капіталу та організованих товарних ринків, надання нею послуг (в тому числі електронних), пов’язаних із здійсненням державного регулювання ринків капіталу та організованих товарних ринків, фізичним та юридичним особам, а також розкриття інформації учасниками ринків капіталу та професійними учасниками організованих товарних ринків.</w:t>
            </w:r>
          </w:p>
          <w:p w14:paraId="70015343"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Порядок функціонування КІС встановлюється Національною комісією з цінних паперів та фондового ринку. Доступ учасників ринків капіталу та професійних учасників організованих товарних ринків до КІС здійснюється на безоплатній основі.</w:t>
            </w:r>
          </w:p>
          <w:p w14:paraId="7DE4288C"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Національна комісія з цінних паперів та фондового ринку укладає з державним підприємством, що відноситься до сфери її управління, договір про технічне, технологічне забезпечення функціонування КІС, умови якого повинні містити, зокрема, обов’язок такого підприємства (технічного адміністратора) забезпечити збереження та захист даних, що містяться в КІС.».</w:t>
            </w:r>
          </w:p>
        </w:tc>
        <w:tc>
          <w:tcPr>
            <w:tcW w:w="1987" w:type="dxa"/>
          </w:tcPr>
          <w:p w14:paraId="34F482C3" w14:textId="77777777"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2A44DFB4" w14:textId="77777777" w:rsidR="004F1E44" w:rsidRPr="00286216" w:rsidRDefault="004F1E44" w:rsidP="004F1E44">
            <w:pPr>
              <w:pStyle w:val="StyleZakonu"/>
              <w:rPr>
                <w:color w:val="000000" w:themeColor="text1"/>
              </w:rPr>
            </w:pPr>
            <w:r w:rsidRPr="00286216">
              <w:rPr>
                <w:color w:val="000000" w:themeColor="text1"/>
              </w:rPr>
              <w:t>7) частини другу і третю статті 5 замінити трьома новими частинами такого змісту:</w:t>
            </w:r>
          </w:p>
          <w:p w14:paraId="2F46CC1E" w14:textId="77777777" w:rsidR="004F1E44" w:rsidRPr="00286216" w:rsidRDefault="004F1E44" w:rsidP="004F1E44">
            <w:pPr>
              <w:pStyle w:val="StyleZakonu"/>
              <w:rPr>
                <w:color w:val="000000" w:themeColor="text1"/>
              </w:rPr>
            </w:pPr>
            <w:r w:rsidRPr="00286216">
              <w:rPr>
                <w:color w:val="000000" w:themeColor="text1"/>
              </w:rPr>
              <w:t>"З метою забезпечення державного регулювання ринків капіталу та організованих товарних ринків Національна комісія з цінних паперів та фондового ринку створює комплексну інформаційну систему (далі - КІС) як інтегровану систему, складові (підсистеми) якої забезпечують, зокрема, здійснення Національною комісією з цінних паперів та фондового ринку нагляду за діяльністю учасників ринків капіталу та організованих товарних ринків, надання нею послуг (у тому числі електронних), пов’язаних із здійсненням державного регулювання ринків капіталу та організованих товарних ринків, фізичним та юридичним особам, а також розкриття інформації учасниками ринків капіталу та професійними учасниками організованих товарних ринків.</w:t>
            </w:r>
          </w:p>
          <w:p w14:paraId="4A115890" w14:textId="77777777" w:rsidR="004F1E44" w:rsidRPr="00286216" w:rsidRDefault="004F1E44" w:rsidP="004F1E44">
            <w:pPr>
              <w:pStyle w:val="StyleZakonu"/>
              <w:rPr>
                <w:color w:val="000000" w:themeColor="text1"/>
              </w:rPr>
            </w:pPr>
            <w:r w:rsidRPr="00286216">
              <w:rPr>
                <w:color w:val="000000" w:themeColor="text1"/>
              </w:rPr>
              <w:t>Порядок функціонування КІС встановлюється Національною комісією з цінних паперів та фондового ринку. Доступ учасників ринків капіталу та професійних учасників організованих товарних ринків до КІС здійснюється на безоплатній основі.</w:t>
            </w:r>
          </w:p>
          <w:p w14:paraId="0C9D73FF" w14:textId="167F78F6" w:rsidR="004F1E44" w:rsidRPr="00286216" w:rsidRDefault="004F1E44" w:rsidP="004F1E44">
            <w:pPr>
              <w:pStyle w:val="StyleZakonu"/>
              <w:spacing w:after="0"/>
              <w:rPr>
                <w:color w:val="000000" w:themeColor="text1"/>
              </w:rPr>
            </w:pPr>
            <w:r w:rsidRPr="00286216">
              <w:rPr>
                <w:color w:val="000000" w:themeColor="text1"/>
              </w:rPr>
              <w:t xml:space="preserve">Національна комісія з цінних паперів та фондового ринку укладає з державним підприємством, що  належить до сфери її управління, договір про технічне, технологічне забезпечення функціонування КІС, умови якого повинні містити, зокрема, обов’язок такого підприємства (технічного адміністратора) забезпечити збереження та захист даних, що містяться </w:t>
            </w:r>
            <w:r w:rsidRPr="00286216">
              <w:rPr>
                <w:color w:val="000000" w:themeColor="text1"/>
              </w:rPr>
              <w:lastRenderedPageBreak/>
              <w:t>в КІС";</w:t>
            </w:r>
          </w:p>
        </w:tc>
      </w:tr>
      <w:tr w:rsidR="004F1E44" w:rsidRPr="00286216" w14:paraId="467C9702" w14:textId="77777777" w:rsidTr="00091AA5">
        <w:tc>
          <w:tcPr>
            <w:tcW w:w="576" w:type="dxa"/>
          </w:tcPr>
          <w:p w14:paraId="7DE0D68F" w14:textId="77777777" w:rsidR="004F1E44" w:rsidRPr="00286216" w:rsidRDefault="004F1E44" w:rsidP="004F1E44">
            <w:pPr>
              <w:pStyle w:val="StyleWisnow"/>
              <w:rPr>
                <w:color w:val="000000" w:themeColor="text1"/>
              </w:rPr>
            </w:pPr>
            <w:bookmarkStart w:id="2825" w:name="n2953" w:colFirst="0" w:colLast="0"/>
            <w:bookmarkEnd w:id="2824"/>
            <w:r w:rsidRPr="00286216">
              <w:rPr>
                <w:color w:val="000000" w:themeColor="text1"/>
              </w:rPr>
              <w:lastRenderedPageBreak/>
              <w:t>2953.</w:t>
            </w:r>
          </w:p>
        </w:tc>
        <w:tc>
          <w:tcPr>
            <w:tcW w:w="4818" w:type="dxa"/>
          </w:tcPr>
          <w:p w14:paraId="35941719" w14:textId="77777777" w:rsidR="004F1E44" w:rsidRPr="00286216" w:rsidRDefault="004F1E44" w:rsidP="004F1E44">
            <w:pPr>
              <w:pStyle w:val="StyleZakonu"/>
              <w:rPr>
                <w:color w:val="000000" w:themeColor="text1"/>
              </w:rPr>
            </w:pPr>
            <w:r w:rsidRPr="00286216">
              <w:rPr>
                <w:color w:val="000000" w:themeColor="text1"/>
              </w:rPr>
              <w:t>"З метою забезпечення державного регулювання ринків капіталу та організованих товарних ринків Національна комісія з цінних паперів та фондового ринку створює комплексну інформаційну систему (КІС), як інтегровану систему, складові (підсистеми) якої забезпечують, зокрема, нагляд за діяльністю учасників ринків капіталу та організованих товарних ринків, розкриття інформації такими учасниками, а також надання послуг фізичним та юридичним особам, в тому числі в електронному вигляді.</w:t>
            </w:r>
          </w:p>
        </w:tc>
        <w:tc>
          <w:tcPr>
            <w:tcW w:w="3686" w:type="dxa"/>
          </w:tcPr>
          <w:p w14:paraId="0D46EA55" w14:textId="4A923CFE"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1300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749886F5" w14:textId="77777777" w:rsidR="004F1E44" w:rsidRPr="00286216" w:rsidRDefault="004F1E44" w:rsidP="004F1E44">
            <w:pPr>
              <w:pStyle w:val="StyleProp"/>
              <w:spacing w:line="180" w:lineRule="exact"/>
              <w:rPr>
                <w:rFonts w:eastAsia="Calibri"/>
                <w:color w:val="000000" w:themeColor="text1"/>
                <w:szCs w:val="18"/>
              </w:rPr>
            </w:pPr>
            <w:r w:rsidRPr="00286216">
              <w:rPr>
                <w:rFonts w:eastAsia="Calibri"/>
                <w:color w:val="000000" w:themeColor="text1"/>
                <w:szCs w:val="18"/>
              </w:rPr>
              <w:t xml:space="preserve">В абзаці другому підпункту 7 пункту 17 розділу 3 слова </w:t>
            </w:r>
            <w:r w:rsidRPr="00286216">
              <w:rPr>
                <w:color w:val="000000" w:themeColor="text1"/>
                <w:szCs w:val="18"/>
              </w:rPr>
              <w:t>"забезпечують, зокрема, нагляд за діяльністю учасників ринків капіталу та організованих товарних ринків, розкриття інформації такими учасниками" замінити словами "зокрема, використовуються Національною комісією з цінних паперів та фондового ринку для нагляду за діяльністю учасників ринків капіталу та організованих товарних ринків, розкриття на безоплатній основі інформації такими учасниками".</w:t>
            </w:r>
          </w:p>
        </w:tc>
        <w:tc>
          <w:tcPr>
            <w:tcW w:w="1987" w:type="dxa"/>
          </w:tcPr>
          <w:p w14:paraId="1A7E5B2B" w14:textId="77777777" w:rsidR="004F1E44" w:rsidRPr="00286216" w:rsidRDefault="004F1E44" w:rsidP="004F1E44">
            <w:pPr>
              <w:pStyle w:val="StyleWisnow"/>
              <w:spacing w:line="180" w:lineRule="exact"/>
              <w:rPr>
                <w:rFonts w:eastAsia="Calibri"/>
                <w:color w:val="000000" w:themeColor="text1"/>
              </w:rPr>
            </w:pPr>
            <w:r w:rsidRPr="00286216">
              <w:rPr>
                <w:color w:val="000000" w:themeColor="text1"/>
              </w:rPr>
              <w:t>Враховано по суті</w:t>
            </w:r>
          </w:p>
        </w:tc>
        <w:tc>
          <w:tcPr>
            <w:tcW w:w="4818" w:type="dxa"/>
          </w:tcPr>
          <w:p w14:paraId="7C7C4554" w14:textId="77777777" w:rsidR="004F1E44" w:rsidRPr="00286216" w:rsidRDefault="004F1E44" w:rsidP="004F1E44">
            <w:pPr>
              <w:pStyle w:val="StyleZakonu"/>
              <w:rPr>
                <w:color w:val="000000" w:themeColor="text1"/>
              </w:rPr>
            </w:pPr>
          </w:p>
        </w:tc>
      </w:tr>
      <w:tr w:rsidR="004F1E44" w:rsidRPr="00286216" w14:paraId="0B4415A7" w14:textId="77777777" w:rsidTr="00091AA5">
        <w:tc>
          <w:tcPr>
            <w:tcW w:w="576" w:type="dxa"/>
          </w:tcPr>
          <w:p w14:paraId="34BA0C5B" w14:textId="77777777" w:rsidR="004F1E44" w:rsidRPr="00286216" w:rsidRDefault="004F1E44" w:rsidP="004F1E44">
            <w:pPr>
              <w:pStyle w:val="StyleWisnow"/>
              <w:rPr>
                <w:color w:val="000000" w:themeColor="text1"/>
              </w:rPr>
            </w:pPr>
            <w:bookmarkStart w:id="2826" w:name="n2954" w:colFirst="0" w:colLast="0"/>
            <w:bookmarkEnd w:id="2825"/>
            <w:r w:rsidRPr="00286216">
              <w:rPr>
                <w:color w:val="000000" w:themeColor="text1"/>
              </w:rPr>
              <w:t>2954.</w:t>
            </w:r>
          </w:p>
        </w:tc>
        <w:tc>
          <w:tcPr>
            <w:tcW w:w="4818" w:type="dxa"/>
          </w:tcPr>
          <w:p w14:paraId="6078D6B9" w14:textId="77777777" w:rsidR="004F1E44" w:rsidRPr="00286216" w:rsidRDefault="004F1E44" w:rsidP="004F1E44">
            <w:pPr>
              <w:pStyle w:val="StyleZakonu"/>
              <w:rPr>
                <w:color w:val="000000" w:themeColor="text1"/>
              </w:rPr>
            </w:pPr>
            <w:r w:rsidRPr="00286216">
              <w:rPr>
                <w:color w:val="000000" w:themeColor="text1"/>
              </w:rPr>
              <w:t>Порядок функціонування КІС встановлюється Національною комісією з цінних паперів та фондового ринку.</w:t>
            </w:r>
          </w:p>
        </w:tc>
        <w:tc>
          <w:tcPr>
            <w:tcW w:w="3686" w:type="dxa"/>
          </w:tcPr>
          <w:p w14:paraId="16D264FB" w14:textId="533DFEA3"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1301</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2078A8A2" w14:textId="77777777" w:rsidR="004F1E44" w:rsidRPr="00286216" w:rsidRDefault="004F1E44" w:rsidP="004F1E44">
            <w:pPr>
              <w:pStyle w:val="StyleProp"/>
              <w:rPr>
                <w:rFonts w:eastAsia="Calibri"/>
                <w:color w:val="000000" w:themeColor="text1"/>
                <w:szCs w:val="18"/>
              </w:rPr>
            </w:pPr>
            <w:r w:rsidRPr="00286216">
              <w:rPr>
                <w:rFonts w:eastAsia="Calibri"/>
                <w:color w:val="000000" w:themeColor="text1"/>
                <w:szCs w:val="18"/>
              </w:rPr>
              <w:t xml:space="preserve">Абзац третій підпункту 7 пункту 17 розділу 3 доповнити словами </w:t>
            </w:r>
            <w:r w:rsidRPr="00286216">
              <w:rPr>
                <w:color w:val="000000" w:themeColor="text1"/>
                <w:szCs w:val="18"/>
              </w:rPr>
              <w:t>"</w:t>
            </w:r>
            <w:r w:rsidRPr="00286216">
              <w:rPr>
                <w:rFonts w:eastAsia="Calibri"/>
                <w:color w:val="000000" w:themeColor="text1"/>
                <w:szCs w:val="18"/>
              </w:rPr>
              <w:t>з урахуванням цього Закону".</w:t>
            </w:r>
          </w:p>
        </w:tc>
        <w:tc>
          <w:tcPr>
            <w:tcW w:w="1987" w:type="dxa"/>
          </w:tcPr>
          <w:p w14:paraId="4FEA1236" w14:textId="77777777" w:rsidR="004F1E44" w:rsidRPr="00286216" w:rsidRDefault="004F1E44" w:rsidP="004F1E44">
            <w:pPr>
              <w:pStyle w:val="StyleWisnow"/>
              <w:spacing w:line="180" w:lineRule="exact"/>
              <w:rPr>
                <w:rFonts w:eastAsia="Calibri"/>
                <w:color w:val="000000" w:themeColor="text1"/>
              </w:rPr>
            </w:pPr>
            <w:r w:rsidRPr="00286216">
              <w:rPr>
                <w:color w:val="000000" w:themeColor="text1"/>
              </w:rPr>
              <w:t>Враховано по суті</w:t>
            </w:r>
          </w:p>
        </w:tc>
        <w:tc>
          <w:tcPr>
            <w:tcW w:w="4818" w:type="dxa"/>
          </w:tcPr>
          <w:p w14:paraId="61C986C5" w14:textId="77777777" w:rsidR="004F1E44" w:rsidRPr="00286216" w:rsidRDefault="004F1E44" w:rsidP="004F1E44">
            <w:pPr>
              <w:pStyle w:val="StyleZakonu"/>
              <w:rPr>
                <w:color w:val="000000" w:themeColor="text1"/>
              </w:rPr>
            </w:pPr>
          </w:p>
        </w:tc>
      </w:tr>
      <w:tr w:rsidR="004F1E44" w:rsidRPr="00286216" w14:paraId="2839B098" w14:textId="77777777" w:rsidTr="00091AA5">
        <w:tc>
          <w:tcPr>
            <w:tcW w:w="576" w:type="dxa"/>
          </w:tcPr>
          <w:p w14:paraId="4DFF523A" w14:textId="77777777" w:rsidR="004F1E44" w:rsidRPr="00286216" w:rsidRDefault="004F1E44" w:rsidP="004F1E44">
            <w:pPr>
              <w:pStyle w:val="StyleWisnow"/>
              <w:rPr>
                <w:color w:val="000000" w:themeColor="text1"/>
              </w:rPr>
            </w:pPr>
            <w:bookmarkStart w:id="2827" w:name="n2955" w:colFirst="0" w:colLast="0"/>
            <w:bookmarkEnd w:id="2826"/>
            <w:r w:rsidRPr="00286216">
              <w:rPr>
                <w:color w:val="000000" w:themeColor="text1"/>
              </w:rPr>
              <w:t>2955.</w:t>
            </w:r>
          </w:p>
        </w:tc>
        <w:tc>
          <w:tcPr>
            <w:tcW w:w="4818" w:type="dxa"/>
          </w:tcPr>
          <w:p w14:paraId="57025B80" w14:textId="77777777" w:rsidR="004F1E44" w:rsidRPr="00286216" w:rsidRDefault="004F1E44" w:rsidP="004F1E44">
            <w:pPr>
              <w:pStyle w:val="StyleZakonu"/>
              <w:rPr>
                <w:color w:val="000000" w:themeColor="text1"/>
              </w:rPr>
            </w:pPr>
            <w:r w:rsidRPr="00286216">
              <w:rPr>
                <w:color w:val="000000" w:themeColor="text1"/>
              </w:rPr>
              <w:t>Національна комісія з цінних паперів та фондового ринку визначає технічним адміністратором КІС державну установу, що відноситься до сфери управління Національної комісії з цінних паперів та фондового ринку. Технічний адміністратор відповідає за технічне і технологічне забезпечення функціонування КІС, а також за збереження та захист даних, що містяться в КІС.";</w:t>
            </w:r>
          </w:p>
        </w:tc>
        <w:tc>
          <w:tcPr>
            <w:tcW w:w="3686" w:type="dxa"/>
          </w:tcPr>
          <w:p w14:paraId="107D34F0" w14:textId="228FA12C"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1302</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2E64A332" w14:textId="77777777" w:rsidR="004F1E44" w:rsidRPr="00286216" w:rsidRDefault="004F1E44" w:rsidP="004F1E44">
            <w:pPr>
              <w:pStyle w:val="StyleProp"/>
              <w:spacing w:line="180" w:lineRule="exact"/>
              <w:rPr>
                <w:rFonts w:eastAsia="Calibri"/>
                <w:color w:val="000000" w:themeColor="text1"/>
                <w:szCs w:val="18"/>
              </w:rPr>
            </w:pPr>
            <w:r w:rsidRPr="00286216">
              <w:rPr>
                <w:rFonts w:eastAsia="Calibri"/>
                <w:color w:val="000000" w:themeColor="text1"/>
                <w:szCs w:val="18"/>
              </w:rPr>
              <w:t>Підпункт 7 пункту 17 розділу 3 доповнити абзацом такого змісту:</w:t>
            </w:r>
          </w:p>
          <w:p w14:paraId="65D57DFE" w14:textId="77777777" w:rsidR="004F1E44" w:rsidRPr="00286216" w:rsidRDefault="004F1E44" w:rsidP="004F1E44">
            <w:pPr>
              <w:pStyle w:val="StyleProp"/>
              <w:spacing w:line="180" w:lineRule="exact"/>
              <w:rPr>
                <w:rFonts w:eastAsia="Calibri"/>
                <w:color w:val="000000" w:themeColor="text1"/>
                <w:szCs w:val="18"/>
              </w:rPr>
            </w:pPr>
            <w:r w:rsidRPr="00286216">
              <w:rPr>
                <w:rFonts w:eastAsia="Calibri"/>
                <w:color w:val="000000" w:themeColor="text1"/>
                <w:szCs w:val="18"/>
              </w:rPr>
              <w:t>"Національна комісія з цінних паперів та фондового ринку та технічний адміністратор не можуть встановлювати та одержувати будь-яку плату за надання учасникам ринків капіталу та організованих товарних ринків доступу до КІС, розкриття такими учасниками інформації в КІС, подання звітності за допомогою КІС, а також за використання КІС фізичними та юридичними особами для  надання  послуг Національною комісією з цінних паперів та фондового ринку в електронному вигляді".</w:t>
            </w:r>
          </w:p>
        </w:tc>
        <w:tc>
          <w:tcPr>
            <w:tcW w:w="1987" w:type="dxa"/>
          </w:tcPr>
          <w:p w14:paraId="4A4F6864" w14:textId="77777777" w:rsidR="004F1E44" w:rsidRPr="00286216" w:rsidRDefault="004F1E44" w:rsidP="004F1E44">
            <w:pPr>
              <w:pStyle w:val="StyleWisnow"/>
              <w:spacing w:line="180" w:lineRule="exact"/>
              <w:rPr>
                <w:rFonts w:eastAsia="Calibri"/>
                <w:color w:val="000000" w:themeColor="text1"/>
              </w:rPr>
            </w:pPr>
            <w:r w:rsidRPr="00286216">
              <w:rPr>
                <w:color w:val="000000" w:themeColor="text1"/>
              </w:rPr>
              <w:t>Враховано по суті</w:t>
            </w:r>
          </w:p>
        </w:tc>
        <w:tc>
          <w:tcPr>
            <w:tcW w:w="4818" w:type="dxa"/>
          </w:tcPr>
          <w:p w14:paraId="6364AC7A" w14:textId="77777777" w:rsidR="004F1E44" w:rsidRPr="00286216" w:rsidRDefault="004F1E44" w:rsidP="004F1E44">
            <w:pPr>
              <w:pStyle w:val="StyleZakonu"/>
              <w:rPr>
                <w:color w:val="000000" w:themeColor="text1"/>
              </w:rPr>
            </w:pPr>
          </w:p>
        </w:tc>
      </w:tr>
      <w:bookmarkEnd w:id="2827"/>
      <w:tr w:rsidR="004F1E44" w:rsidRPr="00286216" w14:paraId="343FA67A" w14:textId="77777777" w:rsidTr="00091AA5">
        <w:tc>
          <w:tcPr>
            <w:tcW w:w="576" w:type="dxa"/>
          </w:tcPr>
          <w:p w14:paraId="48387CC1" w14:textId="77777777" w:rsidR="004F1E44" w:rsidRPr="00286216" w:rsidRDefault="004F1E44" w:rsidP="004F1E44">
            <w:pPr>
              <w:pStyle w:val="StyleWisnow"/>
              <w:rPr>
                <w:color w:val="000000" w:themeColor="text1"/>
              </w:rPr>
            </w:pPr>
          </w:p>
        </w:tc>
        <w:tc>
          <w:tcPr>
            <w:tcW w:w="4818" w:type="dxa"/>
          </w:tcPr>
          <w:p w14:paraId="3A16C12B" w14:textId="77777777" w:rsidR="004F1E44" w:rsidRPr="00286216" w:rsidRDefault="004F1E44" w:rsidP="004F1E44">
            <w:pPr>
              <w:pStyle w:val="StyleZakonu"/>
              <w:rPr>
                <w:color w:val="000000" w:themeColor="text1"/>
              </w:rPr>
            </w:pPr>
          </w:p>
        </w:tc>
        <w:tc>
          <w:tcPr>
            <w:tcW w:w="3686" w:type="dxa"/>
          </w:tcPr>
          <w:p w14:paraId="15FD6C49" w14:textId="418F31B4"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1303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62FE1F2" w14:textId="7420AF94" w:rsidR="004F1E44" w:rsidRPr="00286216" w:rsidRDefault="004F1E44" w:rsidP="004F1E44">
            <w:pPr>
              <w:pStyle w:val="StyleProp"/>
              <w:spacing w:line="180" w:lineRule="exact"/>
              <w:rPr>
                <w:color w:val="000000" w:themeColor="text1"/>
                <w:szCs w:val="18"/>
              </w:rPr>
            </w:pPr>
            <w:r w:rsidRPr="00286216">
              <w:rPr>
                <w:color w:val="000000" w:themeColor="text1"/>
                <w:szCs w:val="18"/>
              </w:rPr>
              <w:t>Пункт 17 розділу 3 доповнити новим пунктом такого змісту:</w:t>
            </w:r>
          </w:p>
          <w:p w14:paraId="65FBC7F2"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«8) у частині двадцять восьмій статті 6 слова «законодавства України про цінні папери» замінити словами «законодавства України про ринки капіталу та організовані товарні ринки»;». У зв’язку з цим пропоную змістити нумерацію пунктів.</w:t>
            </w:r>
          </w:p>
        </w:tc>
        <w:tc>
          <w:tcPr>
            <w:tcW w:w="1987" w:type="dxa"/>
          </w:tcPr>
          <w:p w14:paraId="07327040" w14:textId="77777777" w:rsidR="004F1E44" w:rsidRPr="00286216" w:rsidRDefault="004F1E44" w:rsidP="004F1E44">
            <w:pPr>
              <w:pStyle w:val="StyleWisnow"/>
              <w:spacing w:line="180" w:lineRule="exact"/>
              <w:rPr>
                <w:rFonts w:eastAsia="Calibri"/>
                <w:color w:val="000000" w:themeColor="text1"/>
              </w:rPr>
            </w:pPr>
            <w:r w:rsidRPr="00286216">
              <w:rPr>
                <w:rFonts w:eastAsia="Calibri"/>
                <w:color w:val="000000" w:themeColor="text1"/>
              </w:rPr>
              <w:t>Враховано</w:t>
            </w:r>
          </w:p>
        </w:tc>
        <w:tc>
          <w:tcPr>
            <w:tcW w:w="4818" w:type="dxa"/>
          </w:tcPr>
          <w:p w14:paraId="3508F8DB" w14:textId="27695F0E" w:rsidR="004F1E44" w:rsidRPr="00286216" w:rsidRDefault="004F1E44" w:rsidP="004F1E44">
            <w:pPr>
              <w:pStyle w:val="StyleZakonu"/>
              <w:rPr>
                <w:color w:val="000000" w:themeColor="text1"/>
              </w:rPr>
            </w:pPr>
            <w:r w:rsidRPr="00286216">
              <w:rPr>
                <w:color w:val="000000" w:themeColor="text1"/>
                <w:szCs w:val="18"/>
              </w:rPr>
              <w:t>8) у частині двадцять восьмій статті 6 слова «законодавства України про цінні папери» замінити словами «законодавства України про ринки капіталу та організовані товарні ринки»;</w:t>
            </w:r>
          </w:p>
        </w:tc>
      </w:tr>
      <w:tr w:rsidR="004F1E44" w:rsidRPr="00286216" w14:paraId="2811155F" w14:textId="77777777" w:rsidTr="00091AA5">
        <w:tc>
          <w:tcPr>
            <w:tcW w:w="576" w:type="dxa"/>
          </w:tcPr>
          <w:p w14:paraId="08E263A6" w14:textId="77777777" w:rsidR="004F1E44" w:rsidRPr="00286216" w:rsidRDefault="004F1E44" w:rsidP="004F1E44">
            <w:pPr>
              <w:pStyle w:val="StyleWisnow"/>
              <w:rPr>
                <w:color w:val="000000" w:themeColor="text1"/>
              </w:rPr>
            </w:pPr>
            <w:bookmarkStart w:id="2828" w:name="n2956" w:colFirst="0" w:colLast="0"/>
            <w:r w:rsidRPr="00286216">
              <w:rPr>
                <w:color w:val="000000" w:themeColor="text1"/>
              </w:rPr>
              <w:t>2956.</w:t>
            </w:r>
          </w:p>
        </w:tc>
        <w:tc>
          <w:tcPr>
            <w:tcW w:w="4818" w:type="dxa"/>
          </w:tcPr>
          <w:p w14:paraId="70159C29" w14:textId="77777777" w:rsidR="004F1E44" w:rsidRPr="00286216" w:rsidRDefault="004F1E44" w:rsidP="004F1E44">
            <w:pPr>
              <w:pStyle w:val="StyleZakonu"/>
              <w:rPr>
                <w:color w:val="000000" w:themeColor="text1"/>
              </w:rPr>
            </w:pPr>
            <w:r w:rsidRPr="00286216">
              <w:rPr>
                <w:color w:val="000000" w:themeColor="text1"/>
              </w:rPr>
              <w:t>8) у статті 7:</w:t>
            </w:r>
          </w:p>
        </w:tc>
        <w:tc>
          <w:tcPr>
            <w:tcW w:w="3686" w:type="dxa"/>
          </w:tcPr>
          <w:p w14:paraId="0814CE54" w14:textId="77777777" w:rsidR="004F1E44" w:rsidRPr="00286216" w:rsidRDefault="004F1E44" w:rsidP="004F1E44">
            <w:pPr>
              <w:pStyle w:val="StyleProp"/>
              <w:rPr>
                <w:color w:val="000000" w:themeColor="text1"/>
                <w:szCs w:val="18"/>
              </w:rPr>
            </w:pPr>
          </w:p>
        </w:tc>
        <w:tc>
          <w:tcPr>
            <w:tcW w:w="1987" w:type="dxa"/>
          </w:tcPr>
          <w:p w14:paraId="213C22B1" w14:textId="77777777" w:rsidR="004F1E44" w:rsidRPr="00286216" w:rsidRDefault="004F1E44" w:rsidP="004F1E44">
            <w:pPr>
              <w:pStyle w:val="StyleWisnow"/>
              <w:spacing w:line="180" w:lineRule="exact"/>
              <w:rPr>
                <w:rFonts w:eastAsia="Calibri"/>
                <w:color w:val="000000" w:themeColor="text1"/>
              </w:rPr>
            </w:pPr>
          </w:p>
        </w:tc>
        <w:tc>
          <w:tcPr>
            <w:tcW w:w="4818" w:type="dxa"/>
          </w:tcPr>
          <w:p w14:paraId="1B0BA04B" w14:textId="40838F28" w:rsidR="004F1E44" w:rsidRPr="00286216" w:rsidRDefault="004F1E44" w:rsidP="004F1E44">
            <w:pPr>
              <w:pStyle w:val="StyleZakonu"/>
              <w:rPr>
                <w:color w:val="000000" w:themeColor="text1"/>
              </w:rPr>
            </w:pPr>
            <w:r w:rsidRPr="00286216">
              <w:rPr>
                <w:color w:val="000000" w:themeColor="text1"/>
              </w:rPr>
              <w:t>9) у статті 7:</w:t>
            </w:r>
          </w:p>
        </w:tc>
      </w:tr>
      <w:tr w:rsidR="004F1E44" w:rsidRPr="00286216" w14:paraId="5E3783E3" w14:textId="77777777" w:rsidTr="00091AA5">
        <w:tc>
          <w:tcPr>
            <w:tcW w:w="576" w:type="dxa"/>
          </w:tcPr>
          <w:p w14:paraId="326D92DD" w14:textId="77777777" w:rsidR="004F1E44" w:rsidRPr="00286216" w:rsidRDefault="004F1E44" w:rsidP="004F1E44">
            <w:pPr>
              <w:pStyle w:val="StyleWisnow"/>
              <w:rPr>
                <w:color w:val="000000" w:themeColor="text1"/>
              </w:rPr>
            </w:pPr>
            <w:bookmarkStart w:id="2829" w:name="n2957" w:colFirst="0" w:colLast="0"/>
            <w:bookmarkEnd w:id="2828"/>
            <w:r w:rsidRPr="00286216">
              <w:rPr>
                <w:color w:val="000000" w:themeColor="text1"/>
              </w:rPr>
              <w:t>2957.</w:t>
            </w:r>
          </w:p>
        </w:tc>
        <w:tc>
          <w:tcPr>
            <w:tcW w:w="4818" w:type="dxa"/>
          </w:tcPr>
          <w:p w14:paraId="30A7E85A" w14:textId="77777777" w:rsidR="004F1E44" w:rsidRPr="00286216" w:rsidRDefault="004F1E44" w:rsidP="004F1E44">
            <w:pPr>
              <w:pStyle w:val="StyleZakonu"/>
              <w:rPr>
                <w:color w:val="000000" w:themeColor="text1"/>
              </w:rPr>
            </w:pPr>
            <w:r w:rsidRPr="00286216">
              <w:rPr>
                <w:color w:val="000000" w:themeColor="text1"/>
              </w:rPr>
              <w:t>а) у частині першій:</w:t>
            </w:r>
          </w:p>
        </w:tc>
        <w:tc>
          <w:tcPr>
            <w:tcW w:w="3686" w:type="dxa"/>
          </w:tcPr>
          <w:p w14:paraId="348983C9" w14:textId="77777777" w:rsidR="004F1E44" w:rsidRPr="00286216" w:rsidRDefault="004F1E44" w:rsidP="004F1E44">
            <w:pPr>
              <w:pStyle w:val="StyleProp"/>
              <w:rPr>
                <w:color w:val="000000" w:themeColor="text1"/>
                <w:szCs w:val="18"/>
              </w:rPr>
            </w:pPr>
          </w:p>
        </w:tc>
        <w:tc>
          <w:tcPr>
            <w:tcW w:w="1987" w:type="dxa"/>
          </w:tcPr>
          <w:p w14:paraId="1A918D9D" w14:textId="77777777" w:rsidR="004F1E44" w:rsidRPr="00286216" w:rsidRDefault="004F1E44" w:rsidP="004F1E44">
            <w:pPr>
              <w:pStyle w:val="StyleWisnow"/>
              <w:spacing w:line="180" w:lineRule="exact"/>
              <w:rPr>
                <w:rFonts w:eastAsia="Calibri"/>
                <w:color w:val="000000" w:themeColor="text1"/>
              </w:rPr>
            </w:pPr>
          </w:p>
        </w:tc>
        <w:tc>
          <w:tcPr>
            <w:tcW w:w="4818" w:type="dxa"/>
          </w:tcPr>
          <w:p w14:paraId="5CF28079" w14:textId="34DF18D3" w:rsidR="004F1E44" w:rsidRPr="00286216" w:rsidRDefault="004F1E44" w:rsidP="004F1E44">
            <w:pPr>
              <w:pStyle w:val="StyleZakonu"/>
              <w:rPr>
                <w:color w:val="000000" w:themeColor="text1"/>
              </w:rPr>
            </w:pPr>
            <w:r w:rsidRPr="00286216">
              <w:rPr>
                <w:color w:val="000000" w:themeColor="text1"/>
              </w:rPr>
              <w:t>а) у частині першій:</w:t>
            </w:r>
          </w:p>
        </w:tc>
      </w:tr>
      <w:tr w:rsidR="004F1E44" w:rsidRPr="00286216" w14:paraId="42F1AE52" w14:textId="77777777" w:rsidTr="00091AA5">
        <w:tc>
          <w:tcPr>
            <w:tcW w:w="576" w:type="dxa"/>
          </w:tcPr>
          <w:p w14:paraId="12CB84D1" w14:textId="77777777" w:rsidR="004F1E44" w:rsidRPr="00286216" w:rsidRDefault="004F1E44" w:rsidP="004F1E44">
            <w:pPr>
              <w:pStyle w:val="StyleWisnow"/>
              <w:rPr>
                <w:color w:val="000000" w:themeColor="text1"/>
              </w:rPr>
            </w:pPr>
            <w:bookmarkStart w:id="2830" w:name="n2958" w:colFirst="0" w:colLast="0"/>
            <w:bookmarkEnd w:id="2829"/>
            <w:r w:rsidRPr="00286216">
              <w:rPr>
                <w:color w:val="000000" w:themeColor="text1"/>
              </w:rPr>
              <w:t>2958.</w:t>
            </w:r>
          </w:p>
        </w:tc>
        <w:tc>
          <w:tcPr>
            <w:tcW w:w="4818" w:type="dxa"/>
          </w:tcPr>
          <w:p w14:paraId="24B3083D" w14:textId="77777777" w:rsidR="004F1E44" w:rsidRPr="00286216" w:rsidRDefault="004F1E44" w:rsidP="004F1E44">
            <w:pPr>
              <w:pStyle w:val="StyleZakonu"/>
              <w:rPr>
                <w:color w:val="000000" w:themeColor="text1"/>
              </w:rPr>
            </w:pPr>
            <w:r w:rsidRPr="00286216">
              <w:rPr>
                <w:color w:val="000000" w:themeColor="text1"/>
              </w:rPr>
              <w:t>у пункті 1 слова "ринку цінних паперів та їх похідних в Україні, сприяння адаптації національного ринку цінних паперів" замінити словами "ринків капіталу та організованих товарних ринків в Україні, сприяння адаптації національних ринків капіталу";</w:t>
            </w:r>
          </w:p>
        </w:tc>
        <w:tc>
          <w:tcPr>
            <w:tcW w:w="3686" w:type="dxa"/>
          </w:tcPr>
          <w:p w14:paraId="034FDC7D" w14:textId="1FA53E30"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1304</w:t>
            </w:r>
            <w:r w:rsidRPr="00286216">
              <w:rPr>
                <w:color w:val="000000" w:themeColor="text1"/>
              </w:rPr>
              <w:fldChar w:fldCharType="end"/>
            </w:r>
            <w:r w:rsidRPr="00286216">
              <w:rPr>
                <w:color w:val="000000" w:themeColor="text1"/>
              </w:rPr>
              <w:t>-Н.д.Шахов С.В.(Реєстр.картка №114)</w:t>
            </w:r>
          </w:p>
          <w:p w14:paraId="29CA5019"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516F9AC3" w14:textId="77777777" w:rsidR="004F1E44" w:rsidRPr="00286216" w:rsidRDefault="004F1E44" w:rsidP="004F1E44">
            <w:pPr>
              <w:pStyle w:val="StyleWisnow"/>
              <w:rPr>
                <w:color w:val="000000" w:themeColor="text1"/>
              </w:rPr>
            </w:pPr>
            <w:r w:rsidRPr="00286216">
              <w:rPr>
                <w:color w:val="000000" w:themeColor="text1"/>
              </w:rPr>
              <w:t>Відхилено</w:t>
            </w:r>
          </w:p>
          <w:p w14:paraId="419106DA" w14:textId="77777777" w:rsidR="004F1E44" w:rsidRPr="00286216" w:rsidRDefault="004F1E44" w:rsidP="004F1E44">
            <w:pPr>
              <w:pStyle w:val="StyleWisnow"/>
              <w:spacing w:line="180" w:lineRule="exact"/>
              <w:rPr>
                <w:color w:val="000000" w:themeColor="text1"/>
              </w:rPr>
            </w:pPr>
            <w:r w:rsidRPr="00286216">
              <w:rPr>
                <w:color w:val="000000" w:themeColor="text1"/>
              </w:rPr>
              <w:t>У зв’язку з тим, що не відповідає концепції першого читання, відповідно до якої державне регулювання організованих товарних ринків здійснює НКЦПФР</w:t>
            </w:r>
          </w:p>
        </w:tc>
        <w:tc>
          <w:tcPr>
            <w:tcW w:w="4818" w:type="dxa"/>
          </w:tcPr>
          <w:p w14:paraId="73C0B521" w14:textId="31FF3A35" w:rsidR="004F1E44" w:rsidRPr="00286216" w:rsidRDefault="004F1E44" w:rsidP="004F1E44">
            <w:pPr>
              <w:pStyle w:val="StyleZakonu"/>
              <w:rPr>
                <w:color w:val="000000" w:themeColor="text1"/>
              </w:rPr>
            </w:pPr>
            <w:r w:rsidRPr="00286216">
              <w:rPr>
                <w:color w:val="000000" w:themeColor="text1"/>
              </w:rPr>
              <w:t>у пункті 1 слова "ринку цінних паперів та їх похідних в Україні, сприяння адаптації національного ринку цінних паперів" замінити словами "ринків капіталу та організованих товарних ринків в Україні, сприяння адаптації національних ринків капіталу";</w:t>
            </w:r>
          </w:p>
        </w:tc>
      </w:tr>
      <w:tr w:rsidR="004F1E44" w:rsidRPr="00286216" w14:paraId="110360B2" w14:textId="77777777" w:rsidTr="00091AA5">
        <w:tc>
          <w:tcPr>
            <w:tcW w:w="576" w:type="dxa"/>
          </w:tcPr>
          <w:p w14:paraId="4CB95907" w14:textId="77777777" w:rsidR="004F1E44" w:rsidRPr="00286216" w:rsidRDefault="004F1E44" w:rsidP="004F1E44">
            <w:pPr>
              <w:pStyle w:val="StyleWisnow"/>
              <w:rPr>
                <w:color w:val="000000" w:themeColor="text1"/>
              </w:rPr>
            </w:pPr>
            <w:bookmarkStart w:id="2831" w:name="n2959" w:colFirst="0" w:colLast="0"/>
            <w:bookmarkEnd w:id="2830"/>
            <w:r w:rsidRPr="00286216">
              <w:rPr>
                <w:color w:val="000000" w:themeColor="text1"/>
              </w:rPr>
              <w:lastRenderedPageBreak/>
              <w:t>2959.</w:t>
            </w:r>
          </w:p>
        </w:tc>
        <w:tc>
          <w:tcPr>
            <w:tcW w:w="4818" w:type="dxa"/>
          </w:tcPr>
          <w:p w14:paraId="7D994831" w14:textId="77777777" w:rsidR="004F1E44" w:rsidRPr="00286216" w:rsidRDefault="004F1E44" w:rsidP="004F1E44">
            <w:pPr>
              <w:pStyle w:val="StyleZakonu"/>
              <w:rPr>
                <w:color w:val="000000" w:themeColor="text1"/>
              </w:rPr>
            </w:pPr>
            <w:r w:rsidRPr="00286216">
              <w:rPr>
                <w:color w:val="000000" w:themeColor="text1"/>
              </w:rPr>
              <w:t>у пункті 2 слова "ринку цінних паперів та їх похідних" замінити словами "ринків капіталу та організованих товарних ринків";</w:t>
            </w:r>
          </w:p>
        </w:tc>
        <w:tc>
          <w:tcPr>
            <w:tcW w:w="3686" w:type="dxa"/>
          </w:tcPr>
          <w:p w14:paraId="7C737A28" w14:textId="01A263B5"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1305</w:t>
            </w:r>
            <w:r w:rsidRPr="00286216">
              <w:rPr>
                <w:color w:val="000000" w:themeColor="text1"/>
              </w:rPr>
              <w:fldChar w:fldCharType="end"/>
            </w:r>
            <w:r w:rsidRPr="00286216">
              <w:rPr>
                <w:color w:val="000000" w:themeColor="text1"/>
              </w:rPr>
              <w:t>-Н.д.Шахов С.В.(Реєстр.картка №114)</w:t>
            </w:r>
          </w:p>
          <w:p w14:paraId="75224232"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3E526722"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7A4B5DA3" w14:textId="77777777" w:rsidR="004F1E44" w:rsidRPr="00286216" w:rsidRDefault="004F1E44" w:rsidP="004F1E44">
            <w:pPr>
              <w:pStyle w:val="StyleWisnow"/>
              <w:spacing w:line="180" w:lineRule="exact"/>
              <w:rPr>
                <w:color w:val="000000" w:themeColor="text1"/>
              </w:rPr>
            </w:pPr>
            <w:r w:rsidRPr="00286216">
              <w:rPr>
                <w:color w:val="000000" w:themeColor="text1"/>
              </w:rPr>
              <w:t>У зв’язку з тим, що не відповідає концепції першого читання, відповідно до якої державне регулювання організованих товарних ринків здійснює НКЦПФР</w:t>
            </w:r>
          </w:p>
        </w:tc>
        <w:tc>
          <w:tcPr>
            <w:tcW w:w="4818" w:type="dxa"/>
          </w:tcPr>
          <w:p w14:paraId="385431B3" w14:textId="7C613A1D" w:rsidR="004F1E44" w:rsidRPr="00286216" w:rsidRDefault="004F1E44" w:rsidP="004F1E44">
            <w:pPr>
              <w:pStyle w:val="StyleZakonu"/>
              <w:rPr>
                <w:color w:val="000000" w:themeColor="text1"/>
              </w:rPr>
            </w:pPr>
            <w:r w:rsidRPr="00286216">
              <w:rPr>
                <w:color w:val="000000" w:themeColor="text1"/>
              </w:rPr>
              <w:t>у пункті 2 слова "ринку цінних паперів та їх похідних" замінити словами "ринків капіталу та організованих товарних ринків";</w:t>
            </w:r>
          </w:p>
        </w:tc>
      </w:tr>
      <w:tr w:rsidR="004F1E44" w:rsidRPr="00286216" w14:paraId="4CF64FD6" w14:textId="77777777" w:rsidTr="00091AA5">
        <w:tc>
          <w:tcPr>
            <w:tcW w:w="576" w:type="dxa"/>
          </w:tcPr>
          <w:p w14:paraId="49A136C6" w14:textId="77777777" w:rsidR="004F1E44" w:rsidRPr="00286216" w:rsidRDefault="004F1E44" w:rsidP="004F1E44">
            <w:pPr>
              <w:pStyle w:val="StyleWisnow"/>
              <w:rPr>
                <w:color w:val="000000" w:themeColor="text1"/>
              </w:rPr>
            </w:pPr>
            <w:bookmarkStart w:id="2832" w:name="n2960" w:colFirst="0" w:colLast="0"/>
            <w:bookmarkEnd w:id="2831"/>
            <w:r w:rsidRPr="00286216">
              <w:rPr>
                <w:color w:val="000000" w:themeColor="text1"/>
              </w:rPr>
              <w:t>2960.</w:t>
            </w:r>
          </w:p>
        </w:tc>
        <w:tc>
          <w:tcPr>
            <w:tcW w:w="4818" w:type="dxa"/>
          </w:tcPr>
          <w:p w14:paraId="48BF26EA" w14:textId="77777777" w:rsidR="004F1E44" w:rsidRPr="00286216" w:rsidRDefault="004F1E44" w:rsidP="004F1E44">
            <w:pPr>
              <w:pStyle w:val="StyleZakonu"/>
              <w:rPr>
                <w:color w:val="000000" w:themeColor="text1"/>
              </w:rPr>
            </w:pPr>
            <w:r w:rsidRPr="00286216">
              <w:rPr>
                <w:color w:val="000000" w:themeColor="text1"/>
              </w:rPr>
              <w:t>у пункті 3 слова "випуском і обігом цінних паперів та їх похідних на території України" замінити словами "емісією (видачею) і обігом цінних паперів, укладенням і виконанням деривативних контрактів і правочинів щодо них на організованих ринках";</w:t>
            </w:r>
          </w:p>
        </w:tc>
        <w:tc>
          <w:tcPr>
            <w:tcW w:w="3686" w:type="dxa"/>
          </w:tcPr>
          <w:p w14:paraId="246526DC" w14:textId="682305E0" w:rsidR="004F1E44" w:rsidRPr="00286216" w:rsidRDefault="004F1E44" w:rsidP="004F1E44">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1306</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31D872F5" w14:textId="424CAD5E" w:rsidR="004F1E44" w:rsidRPr="00286216" w:rsidRDefault="004F1E44" w:rsidP="004F1E44">
            <w:pPr>
              <w:pStyle w:val="StyleProp"/>
              <w:spacing w:line="190" w:lineRule="exact"/>
              <w:rPr>
                <w:color w:val="000000" w:themeColor="text1"/>
                <w:szCs w:val="18"/>
              </w:rPr>
            </w:pPr>
            <w:r w:rsidRPr="00286216">
              <w:rPr>
                <w:color w:val="000000" w:themeColor="text1"/>
                <w:szCs w:val="18"/>
              </w:rPr>
              <w:t>Абзац четвертий підпункту «а» підпункту 8 пункту 17 викласти в такій редакції:</w:t>
            </w:r>
          </w:p>
          <w:p w14:paraId="57BEFEF6" w14:textId="77777777" w:rsidR="004F1E44" w:rsidRPr="00286216" w:rsidRDefault="004F1E44" w:rsidP="004F1E44">
            <w:pPr>
              <w:pStyle w:val="StyleProp"/>
              <w:spacing w:line="190" w:lineRule="exact"/>
              <w:rPr>
                <w:color w:val="000000" w:themeColor="text1"/>
                <w:szCs w:val="18"/>
              </w:rPr>
            </w:pPr>
            <w:r w:rsidRPr="00286216">
              <w:rPr>
                <w:color w:val="000000" w:themeColor="text1"/>
                <w:szCs w:val="18"/>
              </w:rPr>
              <w:t>«у пункті 3 слова «випуском і обігом цінних паперів та їх похідних на території України» замінити словами «емісією (видачею) і обігом цінних паперів, укладенням і виконанням деривативних контрактів і вчиненням та виконанням правочинів щодо інших фінансових інструментів на організованих ринках»;</w:t>
            </w:r>
          </w:p>
        </w:tc>
        <w:tc>
          <w:tcPr>
            <w:tcW w:w="1987" w:type="dxa"/>
          </w:tcPr>
          <w:p w14:paraId="0DBA4657" w14:textId="28C72F2C"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3E292ED4" w14:textId="373C029A" w:rsidR="004F1E44" w:rsidRPr="00286216" w:rsidRDefault="004F1E44" w:rsidP="004F1E44">
            <w:pPr>
              <w:pStyle w:val="StyleZakonu"/>
              <w:rPr>
                <w:color w:val="000000" w:themeColor="text1"/>
              </w:rPr>
            </w:pPr>
            <w:r w:rsidRPr="00286216">
              <w:rPr>
                <w:color w:val="000000" w:themeColor="text1"/>
                <w:szCs w:val="18"/>
              </w:rPr>
              <w:t>у пункті 3 слова «випуском і обігом цінних паперів та їх похідних на території України» замінити словами «емісією (видачею) і обігом цінних паперів, укладенням і виконанням деривативних контрактів і вчиненням та виконанням правочинів щодо інших фінансових інструментів на організованих ринках";</w:t>
            </w:r>
          </w:p>
        </w:tc>
      </w:tr>
      <w:tr w:rsidR="004F1E44" w:rsidRPr="00286216" w14:paraId="382BF749" w14:textId="77777777" w:rsidTr="00091AA5">
        <w:tc>
          <w:tcPr>
            <w:tcW w:w="576" w:type="dxa"/>
          </w:tcPr>
          <w:p w14:paraId="20618FE6" w14:textId="77777777" w:rsidR="004F1E44" w:rsidRPr="00286216" w:rsidRDefault="004F1E44" w:rsidP="004F1E44">
            <w:pPr>
              <w:pStyle w:val="StyleWisnow"/>
              <w:rPr>
                <w:color w:val="000000" w:themeColor="text1"/>
              </w:rPr>
            </w:pPr>
            <w:bookmarkStart w:id="2833" w:name="n2961" w:colFirst="0" w:colLast="0"/>
            <w:bookmarkEnd w:id="2832"/>
            <w:r w:rsidRPr="00286216">
              <w:rPr>
                <w:color w:val="000000" w:themeColor="text1"/>
              </w:rPr>
              <w:t>2961.</w:t>
            </w:r>
          </w:p>
        </w:tc>
        <w:tc>
          <w:tcPr>
            <w:tcW w:w="4818" w:type="dxa"/>
          </w:tcPr>
          <w:p w14:paraId="59DA2526" w14:textId="77777777" w:rsidR="004F1E44" w:rsidRPr="00286216" w:rsidRDefault="004F1E44" w:rsidP="004F1E44">
            <w:pPr>
              <w:pStyle w:val="StyleZakonu"/>
              <w:rPr>
                <w:color w:val="000000" w:themeColor="text1"/>
              </w:rPr>
            </w:pPr>
            <w:r w:rsidRPr="00286216">
              <w:rPr>
                <w:color w:val="000000" w:themeColor="text1"/>
              </w:rPr>
              <w:t>пункт 4 викласти в такій редакції:</w:t>
            </w:r>
          </w:p>
        </w:tc>
        <w:tc>
          <w:tcPr>
            <w:tcW w:w="3686" w:type="dxa"/>
          </w:tcPr>
          <w:p w14:paraId="20CFFE4B" w14:textId="77777777" w:rsidR="004F1E44" w:rsidRPr="00286216" w:rsidRDefault="004F1E44" w:rsidP="004F1E44">
            <w:pPr>
              <w:pStyle w:val="StyleProp"/>
              <w:rPr>
                <w:color w:val="000000" w:themeColor="text1"/>
                <w:szCs w:val="18"/>
              </w:rPr>
            </w:pPr>
          </w:p>
        </w:tc>
        <w:tc>
          <w:tcPr>
            <w:tcW w:w="1987" w:type="dxa"/>
          </w:tcPr>
          <w:p w14:paraId="665B54C4" w14:textId="77777777" w:rsidR="004F1E44" w:rsidRPr="00286216" w:rsidRDefault="004F1E44" w:rsidP="004F1E44">
            <w:pPr>
              <w:pStyle w:val="StyleWisnow"/>
              <w:spacing w:line="180" w:lineRule="exact"/>
              <w:rPr>
                <w:rFonts w:eastAsia="Calibri"/>
                <w:color w:val="000000" w:themeColor="text1"/>
              </w:rPr>
            </w:pPr>
          </w:p>
        </w:tc>
        <w:tc>
          <w:tcPr>
            <w:tcW w:w="4818" w:type="dxa"/>
          </w:tcPr>
          <w:p w14:paraId="58CFD505" w14:textId="739F16FA" w:rsidR="004F1E44" w:rsidRPr="00286216" w:rsidRDefault="004F1E44" w:rsidP="004F1E44">
            <w:pPr>
              <w:pStyle w:val="StyleZakonu"/>
              <w:rPr>
                <w:color w:val="000000" w:themeColor="text1"/>
              </w:rPr>
            </w:pPr>
            <w:r w:rsidRPr="00286216">
              <w:rPr>
                <w:color w:val="000000" w:themeColor="text1"/>
              </w:rPr>
              <w:t>пункт 4 викласти в такій редакції:</w:t>
            </w:r>
          </w:p>
        </w:tc>
      </w:tr>
      <w:tr w:rsidR="004F1E44" w:rsidRPr="00286216" w14:paraId="4AB7B668" w14:textId="77777777" w:rsidTr="00091AA5">
        <w:tc>
          <w:tcPr>
            <w:tcW w:w="576" w:type="dxa"/>
          </w:tcPr>
          <w:p w14:paraId="09BA7687" w14:textId="77777777" w:rsidR="004F1E44" w:rsidRPr="00286216" w:rsidRDefault="004F1E44" w:rsidP="004F1E44">
            <w:pPr>
              <w:pStyle w:val="StyleWisnow"/>
              <w:rPr>
                <w:color w:val="000000" w:themeColor="text1"/>
              </w:rPr>
            </w:pPr>
            <w:bookmarkStart w:id="2834" w:name="n2962" w:colFirst="0" w:colLast="0"/>
            <w:bookmarkEnd w:id="2833"/>
            <w:r w:rsidRPr="00286216">
              <w:rPr>
                <w:color w:val="000000" w:themeColor="text1"/>
              </w:rPr>
              <w:t>2962.</w:t>
            </w:r>
          </w:p>
        </w:tc>
        <w:tc>
          <w:tcPr>
            <w:tcW w:w="4818" w:type="dxa"/>
          </w:tcPr>
          <w:p w14:paraId="5161C5B3" w14:textId="77777777" w:rsidR="004F1E44" w:rsidRPr="00286216" w:rsidRDefault="004F1E44" w:rsidP="004F1E44">
            <w:pPr>
              <w:pStyle w:val="StyleZakonu"/>
              <w:rPr>
                <w:color w:val="000000" w:themeColor="text1"/>
              </w:rPr>
            </w:pPr>
            <w:r w:rsidRPr="00286216">
              <w:rPr>
                <w:color w:val="000000" w:themeColor="text1"/>
              </w:rPr>
              <w:t>"4) захист прав інвесторів в фінансові інструменти (у тому числі споживачів фінансових послуг в межах компетенції визначеної Законом України "Про фінансові послуги та державне регулювання ринків фінансових послуг") та учасників ринків капіталу та організованих товарних ринків шляхом застосування заходів щодо запобігання і припинення порушень законодавства про ринки капіталу та організовані товарні ринки, у тому числі про систему накопичувального пенсійного забезпечення, застосування санкцій за порушення законодавства у межах своїх повноважень; ";</w:t>
            </w:r>
          </w:p>
        </w:tc>
        <w:tc>
          <w:tcPr>
            <w:tcW w:w="3686" w:type="dxa"/>
          </w:tcPr>
          <w:p w14:paraId="2EEA47C2" w14:textId="3B0638FE"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1307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CCFAE3F" w14:textId="12743FC2" w:rsidR="004F1E44" w:rsidRPr="00286216" w:rsidRDefault="004F1E44" w:rsidP="004F1E44">
            <w:pPr>
              <w:pStyle w:val="StyleProp"/>
              <w:spacing w:line="180" w:lineRule="exact"/>
              <w:rPr>
                <w:color w:val="000000" w:themeColor="text1"/>
                <w:szCs w:val="18"/>
              </w:rPr>
            </w:pPr>
            <w:r w:rsidRPr="00286216">
              <w:rPr>
                <w:color w:val="000000" w:themeColor="text1"/>
                <w:szCs w:val="18"/>
              </w:rPr>
              <w:t>В абзаці шостому  підпункту «а» підпункту 8 пункту 17 слова «та учасників ринків капіталу та організованих товарних ринків» виключити.</w:t>
            </w:r>
          </w:p>
          <w:p w14:paraId="765C9FBE" w14:textId="77777777" w:rsidR="004F1E44" w:rsidRPr="00286216" w:rsidRDefault="004F1E44" w:rsidP="004F1E44">
            <w:pPr>
              <w:pStyle w:val="StyleProp"/>
              <w:rPr>
                <w:color w:val="000000" w:themeColor="text1"/>
                <w:szCs w:val="18"/>
              </w:rPr>
            </w:pPr>
          </w:p>
          <w:p w14:paraId="5A693BC6" w14:textId="43AB5704"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1308</w:t>
            </w:r>
            <w:r w:rsidRPr="00286216">
              <w:rPr>
                <w:color w:val="000000" w:themeColor="text1"/>
              </w:rPr>
              <w:fldChar w:fldCharType="end"/>
            </w:r>
            <w:r w:rsidRPr="00286216">
              <w:rPr>
                <w:color w:val="000000" w:themeColor="text1"/>
              </w:rPr>
              <w:t>-Н.д.Шахов С.В.(Реєстр.картка №114)</w:t>
            </w:r>
          </w:p>
          <w:p w14:paraId="7F8E0CF0" w14:textId="1A4B5FF3"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07934169"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3741141D" w14:textId="7D1F80D2" w:rsidR="004F1E44" w:rsidRPr="00286216" w:rsidRDefault="004F1E44" w:rsidP="004F1E44">
            <w:pPr>
              <w:pStyle w:val="StyleWisnow"/>
              <w:spacing w:line="180" w:lineRule="exact"/>
              <w:rPr>
                <w:color w:val="000000" w:themeColor="text1"/>
              </w:rPr>
            </w:pPr>
            <w:r w:rsidRPr="00286216">
              <w:rPr>
                <w:color w:val="000000" w:themeColor="text1"/>
              </w:rPr>
              <w:t>НКЦПФР повинна вживати заходи захисту учасників ринку</w:t>
            </w:r>
          </w:p>
          <w:p w14:paraId="5E25A752" w14:textId="0C054FA9" w:rsidR="004F1E44" w:rsidRPr="00286216" w:rsidRDefault="004F1E44" w:rsidP="004F1E44">
            <w:pPr>
              <w:pStyle w:val="StyleWisnow"/>
              <w:spacing w:line="180" w:lineRule="exact"/>
              <w:rPr>
                <w:color w:val="000000" w:themeColor="text1"/>
              </w:rPr>
            </w:pPr>
          </w:p>
          <w:p w14:paraId="42CDC110" w14:textId="77777777" w:rsidR="004F1E44" w:rsidRPr="00286216" w:rsidRDefault="004F1E44" w:rsidP="004F1E44">
            <w:pPr>
              <w:pStyle w:val="StyleWisnow"/>
              <w:spacing w:line="180" w:lineRule="exact"/>
              <w:rPr>
                <w:color w:val="000000" w:themeColor="text1"/>
              </w:rPr>
            </w:pPr>
          </w:p>
          <w:p w14:paraId="2DD101C8" w14:textId="77777777" w:rsidR="004F1E44" w:rsidRPr="00286216" w:rsidRDefault="004F1E44" w:rsidP="004F1E44">
            <w:pPr>
              <w:pStyle w:val="StyleWisnow"/>
              <w:spacing w:line="180" w:lineRule="exact"/>
              <w:rPr>
                <w:color w:val="000000" w:themeColor="text1"/>
              </w:rPr>
            </w:pPr>
          </w:p>
          <w:p w14:paraId="56AD7480"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575B35C7" w14:textId="22B6915F" w:rsidR="004F1E44" w:rsidRPr="00286216" w:rsidRDefault="004F1E44" w:rsidP="004F1E44">
            <w:pPr>
              <w:pStyle w:val="StyleWisnow"/>
              <w:spacing w:line="180" w:lineRule="exact"/>
              <w:rPr>
                <w:color w:val="000000" w:themeColor="text1"/>
              </w:rPr>
            </w:pPr>
            <w:r w:rsidRPr="00286216">
              <w:rPr>
                <w:color w:val="000000" w:themeColor="text1"/>
              </w:rPr>
              <w:t xml:space="preserve">НКЦПФР повинна вживати заходи захисту учасників ринку, </w:t>
            </w:r>
          </w:p>
        </w:tc>
        <w:tc>
          <w:tcPr>
            <w:tcW w:w="4818" w:type="dxa"/>
          </w:tcPr>
          <w:p w14:paraId="612B06FB" w14:textId="1D366FE5" w:rsidR="004F1E44" w:rsidRPr="00286216" w:rsidRDefault="004F1E44" w:rsidP="004F1E44">
            <w:pPr>
              <w:pStyle w:val="StyleZakonu"/>
              <w:rPr>
                <w:color w:val="000000" w:themeColor="text1"/>
              </w:rPr>
            </w:pPr>
            <w:r w:rsidRPr="00286216">
              <w:rPr>
                <w:color w:val="000000" w:themeColor="text1"/>
              </w:rPr>
              <w:t>"4) захист прав інвесторівув фінансові інструменти (у тому числі споживачів фінансових послуг у межах компетенції, визначеної Законом України "Про фінансові послуги та державне регулювання ринків фінансових послуг") та учасників ринків капіталу та організованих товарних ринків шляхом застосування заходів щодо запобігання і припинення порушень законодавства про ринки капіталу та організовані товарні ринки, у тому числі про систему накопичувального пенсійного забезпечення, застосування санкцій за порушення законодавства у межах своїх повноважень";</w:t>
            </w:r>
          </w:p>
        </w:tc>
      </w:tr>
      <w:tr w:rsidR="004F1E44" w:rsidRPr="00286216" w14:paraId="1FB355BA" w14:textId="77777777" w:rsidTr="00091AA5">
        <w:tc>
          <w:tcPr>
            <w:tcW w:w="576" w:type="dxa"/>
          </w:tcPr>
          <w:p w14:paraId="04DD8ADA" w14:textId="77777777" w:rsidR="004F1E44" w:rsidRPr="00286216" w:rsidRDefault="004F1E44" w:rsidP="004F1E44">
            <w:pPr>
              <w:pStyle w:val="StyleWisnow"/>
              <w:rPr>
                <w:color w:val="000000" w:themeColor="text1"/>
              </w:rPr>
            </w:pPr>
            <w:bookmarkStart w:id="2835" w:name="n2963" w:colFirst="0" w:colLast="0"/>
            <w:bookmarkEnd w:id="2834"/>
            <w:r w:rsidRPr="00286216">
              <w:rPr>
                <w:color w:val="000000" w:themeColor="text1"/>
              </w:rPr>
              <w:t>2963.</w:t>
            </w:r>
          </w:p>
        </w:tc>
        <w:tc>
          <w:tcPr>
            <w:tcW w:w="4818" w:type="dxa"/>
          </w:tcPr>
          <w:p w14:paraId="42248338" w14:textId="77777777" w:rsidR="004F1E44" w:rsidRPr="00286216" w:rsidRDefault="004F1E44" w:rsidP="004F1E44">
            <w:pPr>
              <w:pStyle w:val="StyleZakonu"/>
              <w:rPr>
                <w:color w:val="000000" w:themeColor="text1"/>
              </w:rPr>
            </w:pPr>
            <w:r w:rsidRPr="00286216">
              <w:rPr>
                <w:color w:val="000000" w:themeColor="text1"/>
              </w:rPr>
              <w:t>у пункті 6 слова "випуску та обігу цінних паперів в Україні" замінити словами "емісії (видачі) та обігу цінних паперів в Україні, укладення та виконання деривативних контрактів і правочинів щодо них на організованих ринках капіталу";</w:t>
            </w:r>
          </w:p>
        </w:tc>
        <w:tc>
          <w:tcPr>
            <w:tcW w:w="3686" w:type="dxa"/>
          </w:tcPr>
          <w:p w14:paraId="2A057FF9" w14:textId="77FD22D8" w:rsidR="004F1E44" w:rsidRPr="00286216" w:rsidRDefault="004F1E44" w:rsidP="004F1E44">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1309</w:t>
            </w:r>
            <w:r w:rsidRPr="00286216">
              <w:rPr>
                <w:color w:val="000000" w:themeColor="text1"/>
                <w:spacing w:val="-5"/>
              </w:rPr>
              <w:fldChar w:fldCharType="end"/>
            </w:r>
            <w:r w:rsidRPr="00286216">
              <w:rPr>
                <w:color w:val="000000" w:themeColor="text1"/>
                <w:spacing w:val="-5"/>
              </w:rPr>
              <w:t>-Н.д.Бєлькова О.В. (Реєстр.картка №403)</w:t>
            </w:r>
          </w:p>
          <w:p w14:paraId="392AA034" w14:textId="1943D80A" w:rsidR="004F1E44" w:rsidRPr="00286216" w:rsidRDefault="004F1E44" w:rsidP="004F1E44">
            <w:pPr>
              <w:pStyle w:val="StyleProp"/>
              <w:spacing w:line="190" w:lineRule="exact"/>
              <w:rPr>
                <w:color w:val="000000" w:themeColor="text1"/>
                <w:spacing w:val="-2"/>
                <w:szCs w:val="18"/>
              </w:rPr>
            </w:pPr>
            <w:r w:rsidRPr="00286216">
              <w:rPr>
                <w:color w:val="000000" w:themeColor="text1"/>
                <w:szCs w:val="18"/>
              </w:rPr>
              <w:t xml:space="preserve">Абзац сьомий підпункту «а» підпункту 8 </w:t>
            </w:r>
            <w:r w:rsidRPr="00286216">
              <w:rPr>
                <w:color w:val="000000" w:themeColor="text1"/>
                <w:spacing w:val="-2"/>
                <w:szCs w:val="18"/>
              </w:rPr>
              <w:t>пункту 17 викласти в такій редакції:</w:t>
            </w:r>
          </w:p>
          <w:p w14:paraId="3350C5DB" w14:textId="77777777" w:rsidR="004F1E44" w:rsidRPr="00286216" w:rsidRDefault="004F1E44" w:rsidP="004F1E44">
            <w:pPr>
              <w:pStyle w:val="StyleProp"/>
              <w:spacing w:line="190" w:lineRule="exact"/>
              <w:rPr>
                <w:color w:val="000000" w:themeColor="text1"/>
                <w:spacing w:val="-3"/>
                <w:szCs w:val="18"/>
              </w:rPr>
            </w:pPr>
            <w:r w:rsidRPr="00286216">
              <w:rPr>
                <w:color w:val="000000" w:themeColor="text1"/>
                <w:spacing w:val="-3"/>
                <w:szCs w:val="18"/>
              </w:rPr>
              <w:t>«у пункті 6 слова «випуску та обігу цінних паперів в Україні» замінити словами «емісії (видачі) та обігу цінних паперів в Україні, укладення та виконання деривативних контрактів і вчинення та виконання правочинів щодо інших фінансових інструментів на організованих ринках капіталу»;</w:t>
            </w:r>
          </w:p>
        </w:tc>
        <w:tc>
          <w:tcPr>
            <w:tcW w:w="1987" w:type="dxa"/>
          </w:tcPr>
          <w:p w14:paraId="0C0CDE4C" w14:textId="3948515B"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64B8C6E6" w14:textId="689C949B" w:rsidR="004F1E44" w:rsidRPr="00286216" w:rsidRDefault="004F1E44" w:rsidP="004F1E44">
            <w:pPr>
              <w:pStyle w:val="StyleZakonu"/>
              <w:rPr>
                <w:color w:val="000000" w:themeColor="text1"/>
              </w:rPr>
            </w:pPr>
            <w:r w:rsidRPr="00286216">
              <w:rPr>
                <w:color w:val="000000" w:themeColor="text1"/>
                <w:szCs w:val="18"/>
              </w:rPr>
              <w:t>у пункті 6 слова "випуску та обігу цінних паперів в Україні" замінити словами "емісії (видачі) та обігу цінних паперів в Україні, укладення та виконання деривативних контрактів і вчинення та виконання правочинів щодо інших фінансових інструментів на організованих ринках капіталу";</w:t>
            </w:r>
          </w:p>
        </w:tc>
      </w:tr>
      <w:tr w:rsidR="004F1E44" w:rsidRPr="00286216" w14:paraId="1A46547F" w14:textId="77777777" w:rsidTr="00091AA5">
        <w:tc>
          <w:tcPr>
            <w:tcW w:w="576" w:type="dxa"/>
          </w:tcPr>
          <w:p w14:paraId="3DEC70D3" w14:textId="77777777" w:rsidR="004F1E44" w:rsidRPr="00286216" w:rsidRDefault="004F1E44" w:rsidP="004F1E44">
            <w:pPr>
              <w:pStyle w:val="StyleWisnow"/>
              <w:rPr>
                <w:color w:val="000000" w:themeColor="text1"/>
              </w:rPr>
            </w:pPr>
            <w:bookmarkStart w:id="2836" w:name="n2964" w:colFirst="0" w:colLast="0"/>
            <w:bookmarkEnd w:id="2835"/>
            <w:r w:rsidRPr="00286216">
              <w:rPr>
                <w:color w:val="000000" w:themeColor="text1"/>
              </w:rPr>
              <w:t>2964.</w:t>
            </w:r>
          </w:p>
        </w:tc>
        <w:tc>
          <w:tcPr>
            <w:tcW w:w="4818" w:type="dxa"/>
          </w:tcPr>
          <w:p w14:paraId="32B12798" w14:textId="77777777" w:rsidR="004F1E44" w:rsidRPr="00286216" w:rsidRDefault="004F1E44" w:rsidP="004F1E44">
            <w:pPr>
              <w:pStyle w:val="StyleZakonu"/>
              <w:rPr>
                <w:color w:val="000000" w:themeColor="text1"/>
              </w:rPr>
            </w:pPr>
            <w:r w:rsidRPr="00286216">
              <w:rPr>
                <w:color w:val="000000" w:themeColor="text1"/>
              </w:rPr>
              <w:t>б) у частині другій:</w:t>
            </w:r>
          </w:p>
        </w:tc>
        <w:tc>
          <w:tcPr>
            <w:tcW w:w="3686" w:type="dxa"/>
          </w:tcPr>
          <w:p w14:paraId="5148BCFF" w14:textId="2DFC1E63"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1310</w:t>
            </w:r>
            <w:r w:rsidRPr="00286216">
              <w:rPr>
                <w:color w:val="000000" w:themeColor="text1"/>
              </w:rPr>
              <w:fldChar w:fldCharType="end"/>
            </w:r>
            <w:r w:rsidRPr="00286216">
              <w:rPr>
                <w:color w:val="000000" w:themeColor="text1"/>
              </w:rPr>
              <w:t>-Н.д.Шахов С.В.(Реєстр.картка №114)</w:t>
            </w:r>
          </w:p>
          <w:p w14:paraId="6E87671D"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pacing w:val="-2"/>
                <w:sz w:val="18"/>
              </w:rPr>
              <w:t xml:space="preserve">П.п. "б" п.п. 8 п. 17 (зміни до ч. 2 статті 7) </w:t>
            </w:r>
            <w:r w:rsidRPr="00286216">
              <w:rPr>
                <w:color w:val="000000" w:themeColor="text1"/>
                <w:sz w:val="18"/>
              </w:rPr>
              <w:t>доповнити абзацами такого змісту:</w:t>
            </w:r>
          </w:p>
          <w:p w14:paraId="5B8BB3A0"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"абзац перший викласти у такій редакції:</w:t>
            </w:r>
          </w:p>
          <w:p w14:paraId="1976F724"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 xml:space="preserve">"Національна комісія з цінних паперів та  фондового ринку відповідно до покладених на неї завдань у випадках і в межах, </w:t>
            </w:r>
            <w:r w:rsidRPr="00286216">
              <w:rPr>
                <w:color w:val="000000" w:themeColor="text1"/>
                <w:sz w:val="18"/>
              </w:rPr>
              <w:lastRenderedPageBreak/>
              <w:t>встановлених Законом України «Про ринки капіталу та організовані товарні ринки»".</w:t>
            </w:r>
          </w:p>
        </w:tc>
        <w:tc>
          <w:tcPr>
            <w:tcW w:w="1987" w:type="dxa"/>
          </w:tcPr>
          <w:p w14:paraId="03F3D6C8" w14:textId="77777777" w:rsidR="004F1E44" w:rsidRPr="00286216" w:rsidRDefault="004F1E44" w:rsidP="004F1E44">
            <w:pPr>
              <w:pStyle w:val="StyleWisnow"/>
              <w:rPr>
                <w:color w:val="000000" w:themeColor="text1"/>
              </w:rPr>
            </w:pPr>
            <w:r w:rsidRPr="00286216">
              <w:rPr>
                <w:color w:val="000000" w:themeColor="text1"/>
              </w:rPr>
              <w:lastRenderedPageBreak/>
              <w:t>Враховано частково</w:t>
            </w:r>
          </w:p>
        </w:tc>
        <w:tc>
          <w:tcPr>
            <w:tcW w:w="4818" w:type="dxa"/>
          </w:tcPr>
          <w:p w14:paraId="7F871FDB" w14:textId="77777777" w:rsidR="004F1E44" w:rsidRPr="00286216" w:rsidRDefault="004F1E44" w:rsidP="004F1E44">
            <w:pPr>
              <w:pStyle w:val="StyleZakonu"/>
              <w:rPr>
                <w:color w:val="000000" w:themeColor="text1"/>
              </w:rPr>
            </w:pPr>
            <w:r w:rsidRPr="00286216">
              <w:rPr>
                <w:color w:val="000000" w:themeColor="text1"/>
              </w:rPr>
              <w:t>б) у частині другій:</w:t>
            </w:r>
          </w:p>
          <w:p w14:paraId="7DDE004D" w14:textId="77777777" w:rsidR="004F1E44" w:rsidRPr="00286216" w:rsidRDefault="004F1E44" w:rsidP="004F1E44">
            <w:pPr>
              <w:pStyle w:val="StyleZakonu"/>
              <w:rPr>
                <w:color w:val="000000" w:themeColor="text1"/>
              </w:rPr>
            </w:pPr>
            <w:r w:rsidRPr="00286216">
              <w:rPr>
                <w:color w:val="000000" w:themeColor="text1"/>
              </w:rPr>
              <w:t>абзац перший  і пункт 1 викласти в такій редакції:</w:t>
            </w:r>
          </w:p>
          <w:p w14:paraId="7B12C617" w14:textId="48BE91F8" w:rsidR="004F1E44" w:rsidRPr="00286216" w:rsidRDefault="004F1E44" w:rsidP="004F1E44">
            <w:pPr>
              <w:pStyle w:val="StyleZakonu"/>
              <w:rPr>
                <w:color w:val="000000" w:themeColor="text1"/>
              </w:rPr>
            </w:pPr>
            <w:r w:rsidRPr="00286216">
              <w:rPr>
                <w:color w:val="000000" w:themeColor="text1"/>
              </w:rPr>
              <w:t>"Національна комісія з цінних паперів та  фондового ринку відповідно до покладених на неї завдань у випадках і межах, встановлених законом:</w:t>
            </w:r>
          </w:p>
        </w:tc>
      </w:tr>
      <w:tr w:rsidR="004F1E44" w:rsidRPr="00286216" w14:paraId="32315328" w14:textId="77777777" w:rsidTr="00091AA5">
        <w:tc>
          <w:tcPr>
            <w:tcW w:w="576" w:type="dxa"/>
          </w:tcPr>
          <w:p w14:paraId="17245498" w14:textId="77777777" w:rsidR="004F1E44" w:rsidRPr="00286216" w:rsidRDefault="004F1E44" w:rsidP="004F1E44">
            <w:pPr>
              <w:pStyle w:val="StyleWisnow"/>
              <w:rPr>
                <w:color w:val="000000" w:themeColor="text1"/>
              </w:rPr>
            </w:pPr>
            <w:bookmarkStart w:id="2837" w:name="n2965" w:colFirst="0" w:colLast="0"/>
            <w:bookmarkEnd w:id="2836"/>
            <w:r w:rsidRPr="00286216">
              <w:rPr>
                <w:color w:val="000000" w:themeColor="text1"/>
              </w:rPr>
              <w:t>2965.</w:t>
            </w:r>
          </w:p>
        </w:tc>
        <w:tc>
          <w:tcPr>
            <w:tcW w:w="4818" w:type="dxa"/>
          </w:tcPr>
          <w:p w14:paraId="67CE177E" w14:textId="77777777" w:rsidR="004F1E44" w:rsidRPr="00286216" w:rsidRDefault="004F1E44" w:rsidP="004F1E44">
            <w:pPr>
              <w:pStyle w:val="StyleZakonu"/>
              <w:rPr>
                <w:color w:val="000000" w:themeColor="text1"/>
              </w:rPr>
            </w:pPr>
            <w:r w:rsidRPr="00286216">
              <w:rPr>
                <w:color w:val="000000" w:themeColor="text1"/>
              </w:rPr>
              <w:t>пункт 1 викласти в такій редакції:</w:t>
            </w:r>
          </w:p>
        </w:tc>
        <w:tc>
          <w:tcPr>
            <w:tcW w:w="3686" w:type="dxa"/>
          </w:tcPr>
          <w:p w14:paraId="68683987" w14:textId="77777777" w:rsidR="004F1E44" w:rsidRPr="00286216" w:rsidRDefault="004F1E44" w:rsidP="004F1E44">
            <w:pPr>
              <w:pStyle w:val="StyleProp"/>
              <w:rPr>
                <w:color w:val="000000" w:themeColor="text1"/>
                <w:szCs w:val="18"/>
              </w:rPr>
            </w:pPr>
          </w:p>
        </w:tc>
        <w:tc>
          <w:tcPr>
            <w:tcW w:w="1987" w:type="dxa"/>
          </w:tcPr>
          <w:p w14:paraId="0173DA72" w14:textId="77777777" w:rsidR="004F1E44" w:rsidRPr="00286216" w:rsidRDefault="004F1E44" w:rsidP="004F1E44">
            <w:pPr>
              <w:pStyle w:val="StyleWisnow"/>
              <w:spacing w:line="180" w:lineRule="exact"/>
              <w:rPr>
                <w:color w:val="000000" w:themeColor="text1"/>
              </w:rPr>
            </w:pPr>
          </w:p>
        </w:tc>
        <w:tc>
          <w:tcPr>
            <w:tcW w:w="4818" w:type="dxa"/>
          </w:tcPr>
          <w:p w14:paraId="548FF831" w14:textId="51F2A4A5" w:rsidR="004F1E44" w:rsidRPr="00286216" w:rsidRDefault="004F1E44" w:rsidP="004F1E44">
            <w:pPr>
              <w:pStyle w:val="StyleZakonu"/>
              <w:rPr>
                <w:color w:val="000000" w:themeColor="text1"/>
              </w:rPr>
            </w:pPr>
          </w:p>
        </w:tc>
      </w:tr>
      <w:tr w:rsidR="004F1E44" w:rsidRPr="00286216" w14:paraId="6515C990" w14:textId="77777777" w:rsidTr="00091AA5">
        <w:tc>
          <w:tcPr>
            <w:tcW w:w="576" w:type="dxa"/>
          </w:tcPr>
          <w:p w14:paraId="2950054B" w14:textId="77777777" w:rsidR="004F1E44" w:rsidRPr="00286216" w:rsidRDefault="004F1E44" w:rsidP="004F1E44">
            <w:pPr>
              <w:pStyle w:val="StyleWisnow"/>
              <w:rPr>
                <w:color w:val="000000" w:themeColor="text1"/>
              </w:rPr>
            </w:pPr>
            <w:bookmarkStart w:id="2838" w:name="n2966" w:colFirst="0" w:colLast="0"/>
            <w:bookmarkEnd w:id="2837"/>
            <w:r w:rsidRPr="00286216">
              <w:rPr>
                <w:color w:val="000000" w:themeColor="text1"/>
              </w:rPr>
              <w:t>2966.</w:t>
            </w:r>
          </w:p>
        </w:tc>
        <w:tc>
          <w:tcPr>
            <w:tcW w:w="4818" w:type="dxa"/>
          </w:tcPr>
          <w:p w14:paraId="7DE7C6F7" w14:textId="77777777" w:rsidR="004F1E44" w:rsidRPr="00286216" w:rsidRDefault="004F1E44" w:rsidP="004F1E44">
            <w:pPr>
              <w:pStyle w:val="StyleZakonu"/>
              <w:rPr>
                <w:color w:val="000000" w:themeColor="text1"/>
              </w:rPr>
            </w:pPr>
            <w:r w:rsidRPr="00286216">
              <w:rPr>
                <w:color w:val="000000" w:themeColor="text1"/>
              </w:rPr>
              <w:t>"1) встановлює вимоги до емісії (видачі) та обігу цінних паперів, до проспекту цінних паперів (рішення про емісію цінних паперів), у тому числі іноземних емітентів, які здійснюють емісію цінних паперів на території України, а також встановлює порядок затвердження проспекту цінних паперів, реєстрації випуску цінних паперів, рішення про емісію цінних паперів, звіту про результати емісії та порядок скасування реєстрації випуску цінних паперів; ";</w:t>
            </w:r>
          </w:p>
        </w:tc>
        <w:tc>
          <w:tcPr>
            <w:tcW w:w="3686" w:type="dxa"/>
          </w:tcPr>
          <w:p w14:paraId="3FC8DED4" w14:textId="77777777" w:rsidR="004F1E44" w:rsidRPr="00286216" w:rsidRDefault="004F1E44" w:rsidP="004F1E44">
            <w:pPr>
              <w:pStyle w:val="StyleProp"/>
              <w:rPr>
                <w:color w:val="000000" w:themeColor="text1"/>
                <w:szCs w:val="18"/>
              </w:rPr>
            </w:pPr>
          </w:p>
        </w:tc>
        <w:tc>
          <w:tcPr>
            <w:tcW w:w="1987" w:type="dxa"/>
          </w:tcPr>
          <w:p w14:paraId="1819307A" w14:textId="77777777" w:rsidR="004F1E44" w:rsidRPr="00286216" w:rsidRDefault="004F1E44" w:rsidP="004F1E44">
            <w:pPr>
              <w:pStyle w:val="StyleWisnow"/>
              <w:spacing w:line="180" w:lineRule="exact"/>
              <w:rPr>
                <w:color w:val="000000" w:themeColor="text1"/>
              </w:rPr>
            </w:pPr>
          </w:p>
        </w:tc>
        <w:tc>
          <w:tcPr>
            <w:tcW w:w="4818" w:type="dxa"/>
          </w:tcPr>
          <w:p w14:paraId="19657A69" w14:textId="62371575" w:rsidR="004F1E44" w:rsidRPr="00286216" w:rsidRDefault="004F1E44" w:rsidP="004F1E44">
            <w:pPr>
              <w:pStyle w:val="StyleZakonu"/>
              <w:rPr>
                <w:color w:val="000000" w:themeColor="text1"/>
              </w:rPr>
            </w:pPr>
            <w:r w:rsidRPr="00286216">
              <w:rPr>
                <w:color w:val="000000" w:themeColor="text1"/>
              </w:rPr>
              <w:t>1) встановлює вимоги до емісії (видачі) та обігу цінних паперів, до проспекту цінних паперів (рішення про емісію цінних паперів), у тому числі іноземних емітентів, які здійснюють емісію цінних паперів на території України, а також встановлює порядок затвердження проспекту цінних паперів, реєстрації випуску цінних паперів, рішення про емісію цінних паперів, звіту про результати емісії та порядок скасування реєстрації випуску цінних паперів";</w:t>
            </w:r>
          </w:p>
        </w:tc>
      </w:tr>
      <w:bookmarkEnd w:id="2838"/>
      <w:tr w:rsidR="004F1E44" w:rsidRPr="00286216" w14:paraId="79B978B3" w14:textId="77777777" w:rsidTr="00091AA5">
        <w:tc>
          <w:tcPr>
            <w:tcW w:w="576" w:type="dxa"/>
          </w:tcPr>
          <w:p w14:paraId="7A362814" w14:textId="77777777" w:rsidR="004F1E44" w:rsidRPr="00286216" w:rsidRDefault="004F1E44" w:rsidP="004F1E44">
            <w:pPr>
              <w:pStyle w:val="StyleWisnow"/>
              <w:rPr>
                <w:color w:val="000000" w:themeColor="text1"/>
              </w:rPr>
            </w:pPr>
          </w:p>
        </w:tc>
        <w:tc>
          <w:tcPr>
            <w:tcW w:w="4818" w:type="dxa"/>
          </w:tcPr>
          <w:p w14:paraId="0AAC8573" w14:textId="77777777" w:rsidR="004F1E44" w:rsidRPr="00286216" w:rsidRDefault="004F1E44" w:rsidP="004F1E44">
            <w:pPr>
              <w:pStyle w:val="StyleZakonu"/>
              <w:rPr>
                <w:color w:val="000000" w:themeColor="text1"/>
              </w:rPr>
            </w:pPr>
          </w:p>
        </w:tc>
        <w:tc>
          <w:tcPr>
            <w:tcW w:w="3686" w:type="dxa"/>
          </w:tcPr>
          <w:p w14:paraId="17B6EB7A" w14:textId="0660A945" w:rsidR="004F1E44" w:rsidRPr="00286216" w:rsidRDefault="004F1E44" w:rsidP="004F1E44">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1311</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5F745B05" w14:textId="63E9FBDF" w:rsidR="004F1E44" w:rsidRPr="00286216" w:rsidRDefault="004F1E44" w:rsidP="004F1E44">
            <w:pPr>
              <w:pStyle w:val="StyleProp"/>
              <w:spacing w:line="180" w:lineRule="exact"/>
              <w:rPr>
                <w:color w:val="000000" w:themeColor="text1"/>
                <w:szCs w:val="18"/>
              </w:rPr>
            </w:pPr>
            <w:r w:rsidRPr="00286216">
              <w:rPr>
                <w:color w:val="000000" w:themeColor="text1"/>
                <w:szCs w:val="18"/>
              </w:rPr>
              <w:t>З метою узгодження положень доповнити підпункт "б" підпункту 8 пункту 17 розділу ІІІ абзацом такого змісту:</w:t>
            </w:r>
          </w:p>
          <w:p w14:paraId="17883BC3" w14:textId="31DEABFE" w:rsidR="004F1E44" w:rsidRPr="00286216" w:rsidRDefault="004F1E44" w:rsidP="004F1E44">
            <w:pPr>
              <w:pStyle w:val="StyleProp"/>
              <w:spacing w:line="180" w:lineRule="exact"/>
              <w:rPr>
                <w:color w:val="000000" w:themeColor="text1"/>
                <w:szCs w:val="18"/>
              </w:rPr>
            </w:pPr>
            <w:r w:rsidRPr="00286216">
              <w:rPr>
                <w:color w:val="000000" w:themeColor="text1"/>
              </w:rPr>
              <w:t>"у пункті 6 слова "та обігу" замінити словами "до обігу";</w:t>
            </w:r>
          </w:p>
        </w:tc>
        <w:tc>
          <w:tcPr>
            <w:tcW w:w="1987" w:type="dxa"/>
          </w:tcPr>
          <w:p w14:paraId="343FB0B8" w14:textId="77777777" w:rsidR="004F1E44" w:rsidRPr="00286216" w:rsidRDefault="004F1E44" w:rsidP="004F1E44">
            <w:pPr>
              <w:pStyle w:val="StyleWisnow"/>
              <w:rPr>
                <w:color w:val="000000" w:themeColor="text1"/>
              </w:rPr>
            </w:pPr>
            <w:r w:rsidRPr="00286216">
              <w:rPr>
                <w:color w:val="000000" w:themeColor="text1"/>
              </w:rPr>
              <w:t>Враховано</w:t>
            </w:r>
          </w:p>
          <w:p w14:paraId="6069570B" w14:textId="0A6B5232" w:rsidR="004F1E44" w:rsidRPr="00286216" w:rsidRDefault="004F1E44" w:rsidP="004F1E44">
            <w:pPr>
              <w:pStyle w:val="StyleWisnow"/>
              <w:spacing w:line="200" w:lineRule="exact"/>
              <w:rPr>
                <w:color w:val="000000" w:themeColor="text1"/>
              </w:rPr>
            </w:pPr>
            <w:r w:rsidRPr="00286216">
              <w:rPr>
                <w:color w:val="000000" w:themeColor="text1"/>
              </w:rPr>
              <w:t xml:space="preserve">відповідно до доручення Комітету щодо техніко-юридичного доопрацювання редакції законопроекту </w:t>
            </w:r>
          </w:p>
        </w:tc>
        <w:tc>
          <w:tcPr>
            <w:tcW w:w="4818" w:type="dxa"/>
          </w:tcPr>
          <w:p w14:paraId="443D2B78" w14:textId="6AFCF24D" w:rsidR="004F1E44" w:rsidRPr="00286216" w:rsidRDefault="004F1E44" w:rsidP="004F1E44">
            <w:pPr>
              <w:pStyle w:val="StyleZakonu"/>
              <w:rPr>
                <w:color w:val="000000" w:themeColor="text1"/>
              </w:rPr>
            </w:pPr>
            <w:r w:rsidRPr="00286216">
              <w:rPr>
                <w:color w:val="000000" w:themeColor="text1"/>
              </w:rPr>
              <w:t>у пункті 6 слова "та обігу" замінити словами "до обігу";</w:t>
            </w:r>
          </w:p>
        </w:tc>
      </w:tr>
      <w:tr w:rsidR="004F1E44" w:rsidRPr="00286216" w14:paraId="570384ED" w14:textId="77777777" w:rsidTr="00091AA5">
        <w:tc>
          <w:tcPr>
            <w:tcW w:w="576" w:type="dxa"/>
          </w:tcPr>
          <w:p w14:paraId="0FE274BA" w14:textId="77777777" w:rsidR="004F1E44" w:rsidRPr="00286216" w:rsidRDefault="004F1E44" w:rsidP="004F1E44">
            <w:pPr>
              <w:pStyle w:val="StyleWisnow"/>
              <w:rPr>
                <w:color w:val="000000" w:themeColor="text1"/>
              </w:rPr>
            </w:pPr>
            <w:bookmarkStart w:id="2839" w:name="n2967" w:colFirst="0" w:colLast="0"/>
            <w:r w:rsidRPr="00286216">
              <w:rPr>
                <w:color w:val="000000" w:themeColor="text1"/>
              </w:rPr>
              <w:t>2967.</w:t>
            </w:r>
          </w:p>
        </w:tc>
        <w:tc>
          <w:tcPr>
            <w:tcW w:w="4818" w:type="dxa"/>
          </w:tcPr>
          <w:p w14:paraId="7DA4CE1F" w14:textId="77777777" w:rsidR="004F1E44" w:rsidRPr="00286216" w:rsidRDefault="004F1E44" w:rsidP="004F1E44">
            <w:pPr>
              <w:pStyle w:val="StyleZakonu"/>
              <w:rPr>
                <w:color w:val="000000" w:themeColor="text1"/>
              </w:rPr>
            </w:pPr>
            <w:r w:rsidRPr="00286216">
              <w:rPr>
                <w:color w:val="000000" w:themeColor="text1"/>
              </w:rPr>
              <w:t>пункт 7 викласти у такій редакції:</w:t>
            </w:r>
          </w:p>
        </w:tc>
        <w:tc>
          <w:tcPr>
            <w:tcW w:w="3686" w:type="dxa"/>
          </w:tcPr>
          <w:p w14:paraId="36847133" w14:textId="77777777" w:rsidR="004F1E44" w:rsidRPr="00286216" w:rsidRDefault="004F1E44" w:rsidP="004F1E44">
            <w:pPr>
              <w:pStyle w:val="StyleProp"/>
              <w:rPr>
                <w:color w:val="000000" w:themeColor="text1"/>
                <w:szCs w:val="18"/>
              </w:rPr>
            </w:pPr>
          </w:p>
        </w:tc>
        <w:tc>
          <w:tcPr>
            <w:tcW w:w="1987" w:type="dxa"/>
          </w:tcPr>
          <w:p w14:paraId="11F787C6" w14:textId="77777777" w:rsidR="004F1E44" w:rsidRPr="00286216" w:rsidRDefault="004F1E44" w:rsidP="004F1E44">
            <w:pPr>
              <w:pStyle w:val="StyleWisnow"/>
              <w:rPr>
                <w:color w:val="000000" w:themeColor="text1"/>
              </w:rPr>
            </w:pPr>
          </w:p>
        </w:tc>
        <w:tc>
          <w:tcPr>
            <w:tcW w:w="4818" w:type="dxa"/>
          </w:tcPr>
          <w:p w14:paraId="60206D07" w14:textId="632B4633" w:rsidR="004F1E44" w:rsidRPr="00286216" w:rsidRDefault="004F1E44" w:rsidP="004F1E44">
            <w:pPr>
              <w:pStyle w:val="StyleZakonu"/>
              <w:rPr>
                <w:color w:val="000000" w:themeColor="text1"/>
              </w:rPr>
            </w:pPr>
            <w:r w:rsidRPr="00286216">
              <w:rPr>
                <w:color w:val="000000" w:themeColor="text1"/>
              </w:rPr>
              <w:t>пункт 7 викласти в такій редакції:</w:t>
            </w:r>
          </w:p>
        </w:tc>
      </w:tr>
      <w:tr w:rsidR="004F1E44" w:rsidRPr="00286216" w14:paraId="70B4D2B5" w14:textId="77777777" w:rsidTr="00091AA5">
        <w:tc>
          <w:tcPr>
            <w:tcW w:w="576" w:type="dxa"/>
          </w:tcPr>
          <w:p w14:paraId="3D0F5AB4" w14:textId="77777777" w:rsidR="004F1E44" w:rsidRPr="00286216" w:rsidRDefault="004F1E44" w:rsidP="004F1E44">
            <w:pPr>
              <w:pStyle w:val="StyleWisnow"/>
              <w:rPr>
                <w:color w:val="000000" w:themeColor="text1"/>
              </w:rPr>
            </w:pPr>
            <w:bookmarkStart w:id="2840" w:name="n2968" w:colFirst="0" w:colLast="0"/>
            <w:bookmarkEnd w:id="2839"/>
            <w:r w:rsidRPr="00286216">
              <w:rPr>
                <w:color w:val="000000" w:themeColor="text1"/>
              </w:rPr>
              <w:t>2968.</w:t>
            </w:r>
          </w:p>
        </w:tc>
        <w:tc>
          <w:tcPr>
            <w:tcW w:w="4818" w:type="dxa"/>
          </w:tcPr>
          <w:p w14:paraId="111786BB" w14:textId="77777777" w:rsidR="004F1E44" w:rsidRPr="00286216" w:rsidRDefault="004F1E44" w:rsidP="004F1E44">
            <w:pPr>
              <w:pStyle w:val="StyleZakonu"/>
              <w:rPr>
                <w:color w:val="000000" w:themeColor="text1"/>
              </w:rPr>
            </w:pPr>
            <w:r w:rsidRPr="00286216">
              <w:rPr>
                <w:color w:val="000000" w:themeColor="text1"/>
              </w:rPr>
              <w:t>"7) встановлює вимоги до правил функціонування організованого ринку та реєструє такі правила (зміни до них);</w:t>
            </w:r>
          </w:p>
        </w:tc>
        <w:tc>
          <w:tcPr>
            <w:tcW w:w="3686" w:type="dxa"/>
          </w:tcPr>
          <w:p w14:paraId="4E987785" w14:textId="512D959E"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1312</w:t>
            </w:r>
            <w:r w:rsidRPr="00286216">
              <w:rPr>
                <w:color w:val="000000" w:themeColor="text1"/>
              </w:rPr>
              <w:fldChar w:fldCharType="end"/>
            </w:r>
            <w:r w:rsidRPr="00286216">
              <w:rPr>
                <w:color w:val="000000" w:themeColor="text1"/>
              </w:rPr>
              <w:t>-Н.д.Шахов С.В.(Реєстр.картка №114)</w:t>
            </w:r>
          </w:p>
          <w:p w14:paraId="4A2DFD03"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pacing w:val="-2"/>
                <w:sz w:val="18"/>
              </w:rPr>
              <w:t xml:space="preserve">У п.п. "б" п.п. 8 п. 17 (зміни до п. 7 ч. 2) статті 7 </w:t>
            </w:r>
            <w:r w:rsidRPr="00286216">
              <w:rPr>
                <w:color w:val="000000" w:themeColor="text1"/>
                <w:sz w:val="18"/>
              </w:rPr>
              <w:t>викласти у такій редакції:</w:t>
            </w:r>
          </w:p>
          <w:p w14:paraId="615031CE"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z w:val="18"/>
              </w:rPr>
              <w:t>"7) реєструє правила функціонування організованого ринку (зміни до них)".</w:t>
            </w:r>
          </w:p>
        </w:tc>
        <w:tc>
          <w:tcPr>
            <w:tcW w:w="1987" w:type="dxa"/>
          </w:tcPr>
          <w:p w14:paraId="5C93A43F" w14:textId="77777777" w:rsidR="004F1E44" w:rsidRPr="00286216" w:rsidRDefault="004F1E44" w:rsidP="004F1E44">
            <w:pPr>
              <w:pStyle w:val="StyleWisnow"/>
              <w:rPr>
                <w:color w:val="000000" w:themeColor="text1"/>
              </w:rPr>
            </w:pPr>
            <w:r w:rsidRPr="00286216">
              <w:rPr>
                <w:color w:val="000000" w:themeColor="text1"/>
              </w:rPr>
              <w:t>Відхилено</w:t>
            </w:r>
          </w:p>
          <w:p w14:paraId="2710DAC2" w14:textId="26624EC7" w:rsidR="004F1E44" w:rsidRPr="00286216" w:rsidRDefault="004F1E44" w:rsidP="004F1E44">
            <w:pPr>
              <w:pStyle w:val="StyleWisnow"/>
              <w:spacing w:line="180" w:lineRule="exact"/>
              <w:rPr>
                <w:color w:val="000000" w:themeColor="text1"/>
              </w:rPr>
            </w:pPr>
            <w:r w:rsidRPr="00286216">
              <w:rPr>
                <w:color w:val="000000" w:themeColor="text1"/>
              </w:rPr>
              <w:t>суперечитиме ч.1 ст.9 нової редакції Закону «Про товарні біржі»</w:t>
            </w:r>
          </w:p>
        </w:tc>
        <w:tc>
          <w:tcPr>
            <w:tcW w:w="4818" w:type="dxa"/>
          </w:tcPr>
          <w:p w14:paraId="4CA4FE19" w14:textId="071C35FC" w:rsidR="004F1E44" w:rsidRPr="00286216" w:rsidRDefault="004F1E44" w:rsidP="004F1E44">
            <w:pPr>
              <w:pStyle w:val="StyleZakonu"/>
              <w:rPr>
                <w:color w:val="000000" w:themeColor="text1"/>
              </w:rPr>
            </w:pPr>
            <w:r w:rsidRPr="00286216">
              <w:rPr>
                <w:color w:val="000000" w:themeColor="text1"/>
              </w:rPr>
              <w:t>"7) встановлює вимоги до правил функціонування організованого ринку та реєструє такі правила (зміни до них)";</w:t>
            </w:r>
          </w:p>
        </w:tc>
      </w:tr>
      <w:tr w:rsidR="004F1E44" w:rsidRPr="00286216" w14:paraId="2BA30B7D" w14:textId="77777777" w:rsidTr="00091AA5">
        <w:tc>
          <w:tcPr>
            <w:tcW w:w="576" w:type="dxa"/>
          </w:tcPr>
          <w:p w14:paraId="64044A7C" w14:textId="77777777" w:rsidR="004F1E44" w:rsidRPr="00286216" w:rsidRDefault="004F1E44" w:rsidP="004F1E44">
            <w:pPr>
              <w:pStyle w:val="StyleWisnow"/>
              <w:rPr>
                <w:color w:val="000000" w:themeColor="text1"/>
              </w:rPr>
            </w:pPr>
            <w:bookmarkStart w:id="2841" w:name="n2969" w:colFirst="0" w:colLast="0"/>
            <w:bookmarkEnd w:id="2840"/>
            <w:r w:rsidRPr="00286216">
              <w:rPr>
                <w:color w:val="000000" w:themeColor="text1"/>
              </w:rPr>
              <w:t>2969.</w:t>
            </w:r>
          </w:p>
        </w:tc>
        <w:tc>
          <w:tcPr>
            <w:tcW w:w="4818" w:type="dxa"/>
          </w:tcPr>
          <w:p w14:paraId="13AA6412" w14:textId="77777777" w:rsidR="004F1E44" w:rsidRPr="00286216" w:rsidRDefault="004F1E44" w:rsidP="004F1E44">
            <w:pPr>
              <w:pStyle w:val="StyleZakonu"/>
              <w:rPr>
                <w:color w:val="000000" w:themeColor="text1"/>
              </w:rPr>
            </w:pPr>
            <w:r w:rsidRPr="00286216">
              <w:rPr>
                <w:color w:val="000000" w:themeColor="text1"/>
              </w:rPr>
              <w:t>у пункті 7</w:t>
            </w:r>
            <w:r w:rsidRPr="00286216">
              <w:rPr>
                <w:color w:val="000000" w:themeColor="text1"/>
                <w:vertAlign w:val="superscript"/>
              </w:rPr>
              <w:t>1</w:t>
            </w:r>
            <w:r w:rsidRPr="00286216">
              <w:rPr>
                <w:color w:val="000000" w:themeColor="text1"/>
              </w:rPr>
              <w:t xml:space="preserve"> слова "на фондовій біржі" замінити словами "на організованому фондовому ринку";</w:t>
            </w:r>
          </w:p>
        </w:tc>
        <w:tc>
          <w:tcPr>
            <w:tcW w:w="3686" w:type="dxa"/>
          </w:tcPr>
          <w:p w14:paraId="0ACDC508" w14:textId="77777777" w:rsidR="004F1E44" w:rsidRPr="00286216" w:rsidRDefault="004F1E44" w:rsidP="004F1E44">
            <w:pPr>
              <w:pStyle w:val="StyleProp"/>
              <w:rPr>
                <w:color w:val="000000" w:themeColor="text1"/>
                <w:szCs w:val="18"/>
              </w:rPr>
            </w:pPr>
          </w:p>
        </w:tc>
        <w:tc>
          <w:tcPr>
            <w:tcW w:w="1987" w:type="dxa"/>
          </w:tcPr>
          <w:p w14:paraId="130C8A1E" w14:textId="77777777" w:rsidR="004F1E44" w:rsidRPr="00286216" w:rsidRDefault="004F1E44" w:rsidP="004F1E44">
            <w:pPr>
              <w:pStyle w:val="StyleWisnow"/>
              <w:rPr>
                <w:color w:val="000000" w:themeColor="text1"/>
              </w:rPr>
            </w:pPr>
          </w:p>
        </w:tc>
        <w:tc>
          <w:tcPr>
            <w:tcW w:w="4818" w:type="dxa"/>
          </w:tcPr>
          <w:p w14:paraId="631B5BF1" w14:textId="702ACF21" w:rsidR="004F1E44" w:rsidRPr="00286216" w:rsidRDefault="004F1E44" w:rsidP="004F1E44">
            <w:pPr>
              <w:pStyle w:val="StyleZakonu"/>
              <w:rPr>
                <w:color w:val="000000" w:themeColor="text1"/>
              </w:rPr>
            </w:pPr>
            <w:r w:rsidRPr="00286216">
              <w:rPr>
                <w:color w:val="000000" w:themeColor="text1"/>
              </w:rPr>
              <w:t>у пункті 7</w:t>
            </w:r>
            <w:r w:rsidRPr="00286216">
              <w:rPr>
                <w:color w:val="000000" w:themeColor="text1"/>
                <w:vertAlign w:val="superscript"/>
              </w:rPr>
              <w:t>1</w:t>
            </w:r>
            <w:r w:rsidRPr="00286216">
              <w:rPr>
                <w:color w:val="000000" w:themeColor="text1"/>
              </w:rPr>
              <w:t xml:space="preserve"> слова "на фондовій біржі" замінити словами "на організованому фондовому ринку";</w:t>
            </w:r>
          </w:p>
        </w:tc>
      </w:tr>
      <w:tr w:rsidR="004F1E44" w:rsidRPr="00286216" w14:paraId="1766F2AB" w14:textId="77777777" w:rsidTr="00091AA5">
        <w:tc>
          <w:tcPr>
            <w:tcW w:w="576" w:type="dxa"/>
          </w:tcPr>
          <w:p w14:paraId="28FC7335" w14:textId="77777777" w:rsidR="004F1E44" w:rsidRPr="00286216" w:rsidRDefault="004F1E44" w:rsidP="004F1E44">
            <w:pPr>
              <w:pStyle w:val="StyleWisnow"/>
              <w:rPr>
                <w:color w:val="000000" w:themeColor="text1"/>
              </w:rPr>
            </w:pPr>
            <w:bookmarkStart w:id="2842" w:name="n2970" w:colFirst="0" w:colLast="0"/>
            <w:bookmarkEnd w:id="2841"/>
            <w:r w:rsidRPr="00286216">
              <w:rPr>
                <w:color w:val="000000" w:themeColor="text1"/>
              </w:rPr>
              <w:t>2970.</w:t>
            </w:r>
          </w:p>
        </w:tc>
        <w:tc>
          <w:tcPr>
            <w:tcW w:w="4818" w:type="dxa"/>
          </w:tcPr>
          <w:p w14:paraId="77DC85F4" w14:textId="5475D5A9" w:rsidR="004F1E44" w:rsidRPr="00286216" w:rsidRDefault="004F1E44" w:rsidP="004F1E44">
            <w:pPr>
              <w:pStyle w:val="StyleZakonu"/>
              <w:rPr>
                <w:color w:val="000000" w:themeColor="text1"/>
              </w:rPr>
            </w:pPr>
            <w:r w:rsidRPr="00286216">
              <w:rPr>
                <w:color w:val="000000" w:themeColor="text1"/>
              </w:rPr>
              <w:t xml:space="preserve">доповнити новим пунктом 7 </w:t>
            </w:r>
            <w:r w:rsidRPr="00286216">
              <w:rPr>
                <w:color w:val="000000" w:themeColor="text1"/>
                <w:vertAlign w:val="superscript"/>
              </w:rPr>
              <w:t>2</w:t>
            </w:r>
            <w:r w:rsidRPr="00286216">
              <w:rPr>
                <w:color w:val="000000" w:themeColor="text1"/>
              </w:rPr>
              <w:t xml:space="preserve"> такого змісту:</w:t>
            </w:r>
          </w:p>
        </w:tc>
        <w:tc>
          <w:tcPr>
            <w:tcW w:w="3686" w:type="dxa"/>
          </w:tcPr>
          <w:p w14:paraId="620BC957" w14:textId="77777777" w:rsidR="004F1E44" w:rsidRPr="00286216" w:rsidRDefault="004F1E44" w:rsidP="004F1E44">
            <w:pPr>
              <w:pStyle w:val="StyleProp"/>
              <w:rPr>
                <w:color w:val="000000" w:themeColor="text1"/>
                <w:szCs w:val="18"/>
              </w:rPr>
            </w:pPr>
          </w:p>
        </w:tc>
        <w:tc>
          <w:tcPr>
            <w:tcW w:w="1987" w:type="dxa"/>
          </w:tcPr>
          <w:p w14:paraId="7937F76D" w14:textId="77777777" w:rsidR="004F1E44" w:rsidRPr="00286216" w:rsidRDefault="004F1E44" w:rsidP="004F1E44">
            <w:pPr>
              <w:pStyle w:val="StyleWisnow"/>
              <w:rPr>
                <w:color w:val="000000" w:themeColor="text1"/>
              </w:rPr>
            </w:pPr>
          </w:p>
        </w:tc>
        <w:tc>
          <w:tcPr>
            <w:tcW w:w="4818" w:type="dxa"/>
          </w:tcPr>
          <w:p w14:paraId="731C1538" w14:textId="36DDC72B" w:rsidR="004F1E44" w:rsidRPr="00286216" w:rsidRDefault="004F1E44" w:rsidP="004F1E44">
            <w:pPr>
              <w:pStyle w:val="StyleZakonu"/>
              <w:rPr>
                <w:color w:val="000000" w:themeColor="text1"/>
              </w:rPr>
            </w:pPr>
            <w:r w:rsidRPr="00286216">
              <w:rPr>
                <w:color w:val="000000" w:themeColor="text1"/>
              </w:rPr>
              <w:t>доповнити  пунктом 7</w:t>
            </w:r>
            <w:r w:rsidRPr="00286216">
              <w:rPr>
                <w:color w:val="000000" w:themeColor="text1"/>
                <w:vertAlign w:val="superscript"/>
              </w:rPr>
              <w:t>2</w:t>
            </w:r>
            <w:r w:rsidRPr="00286216">
              <w:rPr>
                <w:color w:val="000000" w:themeColor="text1"/>
              </w:rPr>
              <w:t xml:space="preserve"> такого змісту:</w:t>
            </w:r>
          </w:p>
        </w:tc>
      </w:tr>
      <w:tr w:rsidR="004F1E44" w:rsidRPr="00286216" w14:paraId="43CCD957" w14:textId="77777777" w:rsidTr="00091AA5">
        <w:tc>
          <w:tcPr>
            <w:tcW w:w="576" w:type="dxa"/>
          </w:tcPr>
          <w:p w14:paraId="63783E32" w14:textId="77777777" w:rsidR="004F1E44" w:rsidRPr="00286216" w:rsidRDefault="004F1E44" w:rsidP="004F1E44">
            <w:pPr>
              <w:pStyle w:val="StyleWisnow"/>
              <w:rPr>
                <w:color w:val="000000" w:themeColor="text1"/>
              </w:rPr>
            </w:pPr>
            <w:bookmarkStart w:id="2843" w:name="n2971" w:colFirst="0" w:colLast="0"/>
            <w:bookmarkEnd w:id="2842"/>
            <w:r w:rsidRPr="00286216">
              <w:rPr>
                <w:color w:val="000000" w:themeColor="text1"/>
              </w:rPr>
              <w:t>2971.</w:t>
            </w:r>
          </w:p>
        </w:tc>
        <w:tc>
          <w:tcPr>
            <w:tcW w:w="4818" w:type="dxa"/>
          </w:tcPr>
          <w:p w14:paraId="16F6E739" w14:textId="77777777" w:rsidR="004F1E44" w:rsidRPr="00286216" w:rsidRDefault="004F1E44" w:rsidP="004F1E44">
            <w:pPr>
              <w:pStyle w:val="StyleZakonu"/>
              <w:rPr>
                <w:color w:val="000000" w:themeColor="text1"/>
              </w:rPr>
            </w:pPr>
            <w:r w:rsidRPr="00286216">
              <w:rPr>
                <w:color w:val="000000" w:themeColor="text1"/>
              </w:rPr>
              <w:t>"7</w:t>
            </w:r>
            <w:r w:rsidRPr="00286216">
              <w:rPr>
                <w:color w:val="000000" w:themeColor="text1"/>
                <w:vertAlign w:val="superscript"/>
              </w:rPr>
              <w:t>2</w:t>
            </w:r>
            <w:r w:rsidRPr="00286216">
              <w:rPr>
                <w:color w:val="000000" w:themeColor="text1"/>
              </w:rPr>
              <w:t>) встановлює вимоги до специфікації деривативних контрактів, які укладаються на організованому ринку, та реєструє їх (</w:t>
            </w:r>
            <w:r w:rsidRPr="00286216">
              <w:rPr>
                <w:color w:val="000000" w:themeColor="text1"/>
                <w:spacing w:val="-1"/>
              </w:rPr>
              <w:t>зміни до них); ";</w:t>
            </w:r>
          </w:p>
        </w:tc>
        <w:tc>
          <w:tcPr>
            <w:tcW w:w="3686" w:type="dxa"/>
          </w:tcPr>
          <w:p w14:paraId="19112E21" w14:textId="75C214B4"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1313</w:t>
            </w:r>
            <w:r w:rsidRPr="00286216">
              <w:rPr>
                <w:color w:val="000000" w:themeColor="text1"/>
              </w:rPr>
              <w:fldChar w:fldCharType="end"/>
            </w:r>
            <w:r w:rsidRPr="00286216">
              <w:rPr>
                <w:color w:val="000000" w:themeColor="text1"/>
              </w:rPr>
              <w:t>-Н.д.Шахов С.В.(Реєстр.картка №114)</w:t>
            </w:r>
          </w:p>
          <w:p w14:paraId="43237936" w14:textId="77777777" w:rsidR="004F1E44" w:rsidRPr="00286216" w:rsidRDefault="004F1E44" w:rsidP="004F1E44">
            <w:pPr>
              <w:spacing w:line="180" w:lineRule="exact"/>
              <w:ind w:firstLine="227"/>
              <w:jc w:val="both"/>
              <w:rPr>
                <w:color w:val="000000" w:themeColor="text1"/>
                <w:sz w:val="18"/>
              </w:rPr>
            </w:pPr>
            <w:r w:rsidRPr="00286216">
              <w:rPr>
                <w:color w:val="000000" w:themeColor="text1"/>
                <w:spacing w:val="-2"/>
                <w:sz w:val="18"/>
              </w:rPr>
              <w:t>У п.п. "б" п.п. 8 п. 17 абзаци 7, 8 (зміни до п. 7</w:t>
            </w:r>
            <w:r w:rsidRPr="00286216">
              <w:rPr>
                <w:color w:val="000000" w:themeColor="text1"/>
                <w:spacing w:val="-2"/>
                <w:sz w:val="18"/>
                <w:vertAlign w:val="superscript"/>
              </w:rPr>
              <w:t xml:space="preserve"> 2</w:t>
            </w:r>
            <w:r w:rsidRPr="00286216">
              <w:rPr>
                <w:color w:val="000000" w:themeColor="text1"/>
                <w:spacing w:val="-2"/>
                <w:sz w:val="18"/>
              </w:rPr>
              <w:t xml:space="preserve"> ч. 2 статті 7) </w:t>
            </w:r>
            <w:r w:rsidRPr="00286216">
              <w:rPr>
                <w:color w:val="000000" w:themeColor="text1"/>
                <w:sz w:val="18"/>
              </w:rPr>
              <w:t>виключити.</w:t>
            </w:r>
          </w:p>
        </w:tc>
        <w:tc>
          <w:tcPr>
            <w:tcW w:w="1987" w:type="dxa"/>
          </w:tcPr>
          <w:p w14:paraId="42EDE28F" w14:textId="77777777" w:rsidR="004F1E44" w:rsidRPr="00286216" w:rsidRDefault="004F1E44" w:rsidP="004F1E44">
            <w:pPr>
              <w:pStyle w:val="StyleWisnow"/>
              <w:rPr>
                <w:color w:val="000000" w:themeColor="text1"/>
              </w:rPr>
            </w:pPr>
            <w:r w:rsidRPr="00286216">
              <w:rPr>
                <w:color w:val="000000" w:themeColor="text1"/>
              </w:rPr>
              <w:t>Відхилено</w:t>
            </w:r>
          </w:p>
          <w:p w14:paraId="3B196EE7" w14:textId="0AA1A466" w:rsidR="004F1E44" w:rsidRPr="00286216" w:rsidRDefault="004F1E44" w:rsidP="004F1E44">
            <w:pPr>
              <w:pStyle w:val="StyleWisnow"/>
              <w:spacing w:line="180" w:lineRule="exact"/>
              <w:rPr>
                <w:color w:val="000000" w:themeColor="text1"/>
              </w:rPr>
            </w:pPr>
            <w:r w:rsidRPr="00286216">
              <w:rPr>
                <w:color w:val="000000" w:themeColor="text1"/>
              </w:rPr>
              <w:t>не дозволить реалізувати стандартизацію, передбачену частиною 8 статті 7 Закону "Про ринки капіталу"</w:t>
            </w:r>
          </w:p>
        </w:tc>
        <w:tc>
          <w:tcPr>
            <w:tcW w:w="4818" w:type="dxa"/>
          </w:tcPr>
          <w:p w14:paraId="59C05D6C" w14:textId="15FEADAC" w:rsidR="004F1E44" w:rsidRPr="00286216" w:rsidRDefault="004F1E44" w:rsidP="004F1E44">
            <w:pPr>
              <w:pStyle w:val="StyleZakonu"/>
              <w:rPr>
                <w:color w:val="000000" w:themeColor="text1"/>
              </w:rPr>
            </w:pPr>
            <w:r w:rsidRPr="00286216">
              <w:rPr>
                <w:color w:val="000000" w:themeColor="text1"/>
              </w:rPr>
              <w:t>"7</w:t>
            </w:r>
            <w:r w:rsidRPr="00286216">
              <w:rPr>
                <w:color w:val="000000" w:themeColor="text1"/>
                <w:vertAlign w:val="superscript"/>
              </w:rPr>
              <w:t>2</w:t>
            </w:r>
            <w:r w:rsidRPr="00286216">
              <w:rPr>
                <w:color w:val="000000" w:themeColor="text1"/>
              </w:rPr>
              <w:t>) встановлює вимоги до специфікації деривативних контрактів, які укладаються на організованому ринку, та реєструє їх (</w:t>
            </w:r>
            <w:r w:rsidRPr="00286216">
              <w:rPr>
                <w:color w:val="000000" w:themeColor="text1"/>
                <w:spacing w:val="-1"/>
              </w:rPr>
              <w:t>зміни до них)";</w:t>
            </w:r>
          </w:p>
        </w:tc>
      </w:tr>
      <w:tr w:rsidR="004F1E44" w:rsidRPr="00286216" w14:paraId="203ECB29" w14:textId="77777777" w:rsidTr="00091AA5">
        <w:tc>
          <w:tcPr>
            <w:tcW w:w="576" w:type="dxa"/>
          </w:tcPr>
          <w:p w14:paraId="24BAC808" w14:textId="77777777" w:rsidR="004F1E44" w:rsidRPr="00286216" w:rsidRDefault="004F1E44" w:rsidP="004F1E44">
            <w:pPr>
              <w:pStyle w:val="StyleWisnow"/>
              <w:rPr>
                <w:color w:val="000000" w:themeColor="text1"/>
              </w:rPr>
            </w:pPr>
            <w:bookmarkStart w:id="2844" w:name="n2972" w:colFirst="0" w:colLast="0"/>
            <w:bookmarkEnd w:id="2843"/>
            <w:r w:rsidRPr="00286216">
              <w:rPr>
                <w:color w:val="000000" w:themeColor="text1"/>
              </w:rPr>
              <w:t>2972.</w:t>
            </w:r>
          </w:p>
        </w:tc>
        <w:tc>
          <w:tcPr>
            <w:tcW w:w="4818" w:type="dxa"/>
          </w:tcPr>
          <w:p w14:paraId="2C98A430" w14:textId="77777777" w:rsidR="004F1E44" w:rsidRPr="00286216" w:rsidRDefault="004F1E44" w:rsidP="004F1E44">
            <w:pPr>
              <w:pStyle w:val="StyleZakonu"/>
              <w:rPr>
                <w:color w:val="000000" w:themeColor="text1"/>
              </w:rPr>
            </w:pPr>
            <w:r w:rsidRPr="00286216">
              <w:rPr>
                <w:color w:val="000000" w:themeColor="text1"/>
              </w:rPr>
              <w:t>пункт 10 викласти в такій редакції:</w:t>
            </w:r>
          </w:p>
        </w:tc>
        <w:tc>
          <w:tcPr>
            <w:tcW w:w="3686" w:type="dxa"/>
          </w:tcPr>
          <w:p w14:paraId="32CDFE51" w14:textId="10C7CD59" w:rsidR="004F1E44" w:rsidRPr="00286216" w:rsidRDefault="004F1E44" w:rsidP="004F1E44">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1314</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76DF91A3" w14:textId="23A226A5" w:rsidR="004F1E44" w:rsidRPr="00286216" w:rsidRDefault="004F1E44" w:rsidP="004F1E44">
            <w:pPr>
              <w:pStyle w:val="StyleProp"/>
              <w:spacing w:line="180" w:lineRule="exact"/>
              <w:rPr>
                <w:color w:val="000000" w:themeColor="text1"/>
                <w:szCs w:val="18"/>
              </w:rPr>
            </w:pPr>
            <w:r w:rsidRPr="00286216">
              <w:rPr>
                <w:color w:val="000000" w:themeColor="text1"/>
                <w:szCs w:val="18"/>
              </w:rPr>
              <w:t>абзац десятий підпункту 8 пункту 17 розділу ІІІ викласти у такій редакції:</w:t>
            </w:r>
          </w:p>
        </w:tc>
        <w:tc>
          <w:tcPr>
            <w:tcW w:w="1987" w:type="dxa"/>
          </w:tcPr>
          <w:p w14:paraId="1EB14AC8" w14:textId="47528342" w:rsidR="004F1E44" w:rsidRPr="00286216" w:rsidRDefault="004F1E44" w:rsidP="004F1E44">
            <w:pPr>
              <w:pStyle w:val="StyleWisnow"/>
              <w:spacing w:line="180" w:lineRule="exact"/>
              <w:rPr>
                <w:color w:val="000000" w:themeColor="text1"/>
              </w:rPr>
            </w:pPr>
            <w:r w:rsidRPr="00286216">
              <w:rPr>
                <w:color w:val="000000" w:themeColor="text1"/>
              </w:rPr>
              <w:t>Враховано</w:t>
            </w:r>
          </w:p>
          <w:p w14:paraId="79E31000" w14:textId="5D143E15" w:rsidR="004F1E44" w:rsidRPr="00286216" w:rsidRDefault="004F1E44" w:rsidP="004F1E44">
            <w:pPr>
              <w:pStyle w:val="StyleWisnow"/>
              <w:spacing w:line="200" w:lineRule="exact"/>
              <w:rPr>
                <w:color w:val="000000" w:themeColor="text1"/>
              </w:rPr>
            </w:pPr>
            <w:r w:rsidRPr="00286216">
              <w:rPr>
                <w:color w:val="000000" w:themeColor="text1"/>
                <w:spacing w:val="-2"/>
              </w:rPr>
              <w:t>згідно з узгодженою на засіданні Комітету позицією щодо</w:t>
            </w:r>
            <w:r w:rsidRPr="00286216">
              <w:rPr>
                <w:color w:val="000000" w:themeColor="text1"/>
                <w:spacing w:val="-4"/>
              </w:rPr>
              <w:t xml:space="preserve"> системи розкриття інформації </w:t>
            </w:r>
          </w:p>
        </w:tc>
        <w:tc>
          <w:tcPr>
            <w:tcW w:w="4818" w:type="dxa"/>
          </w:tcPr>
          <w:p w14:paraId="16E9BE86" w14:textId="0F06940E" w:rsidR="004F1E44" w:rsidRPr="00286216" w:rsidRDefault="004F1E44" w:rsidP="004F1E44">
            <w:pPr>
              <w:pStyle w:val="StyleZakonu"/>
              <w:rPr>
                <w:color w:val="000000" w:themeColor="text1"/>
              </w:rPr>
            </w:pPr>
            <w:r w:rsidRPr="00286216">
              <w:rPr>
                <w:color w:val="000000" w:themeColor="text1"/>
              </w:rPr>
              <w:t>пункт 10 викласти в такій редакції:</w:t>
            </w:r>
          </w:p>
        </w:tc>
      </w:tr>
      <w:tr w:rsidR="004F1E44" w:rsidRPr="00286216" w14:paraId="68E043AA" w14:textId="77777777" w:rsidTr="00091AA5">
        <w:tc>
          <w:tcPr>
            <w:tcW w:w="576" w:type="dxa"/>
          </w:tcPr>
          <w:p w14:paraId="2404AB61" w14:textId="77777777" w:rsidR="004F1E44" w:rsidRPr="00286216" w:rsidRDefault="004F1E44" w:rsidP="004F1E44">
            <w:pPr>
              <w:pStyle w:val="StyleWisnow"/>
              <w:rPr>
                <w:color w:val="000000" w:themeColor="text1"/>
              </w:rPr>
            </w:pPr>
            <w:bookmarkStart w:id="2845" w:name="n2973" w:colFirst="0" w:colLast="0"/>
            <w:bookmarkEnd w:id="2844"/>
            <w:r w:rsidRPr="00286216">
              <w:rPr>
                <w:color w:val="000000" w:themeColor="text1"/>
              </w:rPr>
              <w:t>2973.</w:t>
            </w:r>
          </w:p>
        </w:tc>
        <w:tc>
          <w:tcPr>
            <w:tcW w:w="4818" w:type="dxa"/>
          </w:tcPr>
          <w:p w14:paraId="622F66A7" w14:textId="77777777" w:rsidR="004F1E44" w:rsidRPr="00286216" w:rsidRDefault="004F1E44" w:rsidP="004F1E44">
            <w:pPr>
              <w:pStyle w:val="StyleZakonu"/>
              <w:spacing w:line="200" w:lineRule="exact"/>
              <w:rPr>
                <w:color w:val="000000" w:themeColor="text1"/>
              </w:rPr>
            </w:pPr>
            <w:r w:rsidRPr="00286216">
              <w:rPr>
                <w:color w:val="000000" w:themeColor="text1"/>
              </w:rPr>
              <w:t>"10) встановлює порядок складання звітних даних учасниками ринків капіталу та організованих товарних ринків; ";</w:t>
            </w:r>
          </w:p>
        </w:tc>
        <w:tc>
          <w:tcPr>
            <w:tcW w:w="3686" w:type="dxa"/>
          </w:tcPr>
          <w:p w14:paraId="486B0E98" w14:textId="37F75463" w:rsidR="004F1E44" w:rsidRPr="00286216" w:rsidRDefault="004F1E44" w:rsidP="004F1E44">
            <w:pPr>
              <w:pStyle w:val="StyleProp"/>
              <w:spacing w:line="180" w:lineRule="exact"/>
              <w:rPr>
                <w:color w:val="000000" w:themeColor="text1"/>
              </w:rPr>
            </w:pPr>
            <w:r w:rsidRPr="00286216">
              <w:rPr>
                <w:color w:val="000000" w:themeColor="text1"/>
              </w:rPr>
              <w:t>"10) встановлює перелік звітних даних та порядок їх складання учасниками ринків капіталу та організованих товарних ринків".</w:t>
            </w:r>
          </w:p>
        </w:tc>
        <w:tc>
          <w:tcPr>
            <w:tcW w:w="1987" w:type="dxa"/>
          </w:tcPr>
          <w:p w14:paraId="18FFA3FA" w14:textId="3A0023AA" w:rsidR="004F1E44" w:rsidRPr="00286216" w:rsidRDefault="004F1E44" w:rsidP="004F1E44">
            <w:pPr>
              <w:pStyle w:val="StyleWisnow"/>
              <w:spacing w:line="180" w:lineRule="exact"/>
              <w:rPr>
                <w:color w:val="000000" w:themeColor="text1"/>
              </w:rPr>
            </w:pPr>
            <w:r w:rsidRPr="00286216">
              <w:rPr>
                <w:color w:val="000000" w:themeColor="text1"/>
              </w:rPr>
              <w:t xml:space="preserve">та подання звітних даних </w:t>
            </w:r>
          </w:p>
        </w:tc>
        <w:tc>
          <w:tcPr>
            <w:tcW w:w="4818" w:type="dxa"/>
          </w:tcPr>
          <w:p w14:paraId="224269C4" w14:textId="36BFA466" w:rsidR="004F1E44" w:rsidRPr="00286216" w:rsidRDefault="004F1E44" w:rsidP="004F1E44">
            <w:pPr>
              <w:pStyle w:val="StyleZakonu"/>
              <w:spacing w:line="200" w:lineRule="exact"/>
              <w:rPr>
                <w:color w:val="000000" w:themeColor="text1"/>
              </w:rPr>
            </w:pPr>
            <w:r w:rsidRPr="00286216">
              <w:rPr>
                <w:color w:val="000000" w:themeColor="text1"/>
              </w:rPr>
              <w:t>"10) встановлює перелік звітних даних та порядок їх складання учасниками ринків капіталу та організованих товарних ринків";</w:t>
            </w:r>
          </w:p>
        </w:tc>
      </w:tr>
      <w:tr w:rsidR="004F1E44" w:rsidRPr="00286216" w14:paraId="1CA04128" w14:textId="77777777" w:rsidTr="00091AA5">
        <w:tc>
          <w:tcPr>
            <w:tcW w:w="576" w:type="dxa"/>
          </w:tcPr>
          <w:p w14:paraId="7E90CB30" w14:textId="77777777" w:rsidR="004F1E44" w:rsidRPr="00286216" w:rsidRDefault="004F1E44" w:rsidP="004F1E44">
            <w:pPr>
              <w:pStyle w:val="StyleWisnow"/>
              <w:rPr>
                <w:color w:val="000000" w:themeColor="text1"/>
              </w:rPr>
            </w:pPr>
            <w:bookmarkStart w:id="2846" w:name="n2974" w:colFirst="0" w:colLast="0"/>
            <w:bookmarkEnd w:id="2845"/>
            <w:r w:rsidRPr="00286216">
              <w:rPr>
                <w:color w:val="000000" w:themeColor="text1"/>
              </w:rPr>
              <w:t>2974.</w:t>
            </w:r>
          </w:p>
        </w:tc>
        <w:tc>
          <w:tcPr>
            <w:tcW w:w="4818" w:type="dxa"/>
          </w:tcPr>
          <w:p w14:paraId="13CFE900" w14:textId="77777777" w:rsidR="004F1E44" w:rsidRPr="00286216" w:rsidRDefault="004F1E44" w:rsidP="004F1E44">
            <w:pPr>
              <w:pStyle w:val="StyleZakonu"/>
              <w:rPr>
                <w:color w:val="000000" w:themeColor="text1"/>
              </w:rPr>
            </w:pPr>
            <w:r w:rsidRPr="00286216">
              <w:rPr>
                <w:color w:val="000000" w:themeColor="text1"/>
              </w:rPr>
              <w:t>у пункті 10</w:t>
            </w:r>
            <w:r w:rsidRPr="00286216">
              <w:rPr>
                <w:color w:val="000000" w:themeColor="text1"/>
                <w:vertAlign w:val="superscript"/>
              </w:rPr>
              <w:t>1</w:t>
            </w:r>
            <w:r w:rsidRPr="00286216">
              <w:rPr>
                <w:color w:val="000000" w:themeColor="text1"/>
              </w:rPr>
              <w:t xml:space="preserve"> слова "фондових бірж" замінити словами "організованих ринків";</w:t>
            </w:r>
          </w:p>
        </w:tc>
        <w:tc>
          <w:tcPr>
            <w:tcW w:w="3686" w:type="dxa"/>
          </w:tcPr>
          <w:p w14:paraId="7ECE5373" w14:textId="76C5079D"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1315</w:t>
            </w:r>
            <w:r w:rsidRPr="00286216">
              <w:rPr>
                <w:color w:val="000000" w:themeColor="text1"/>
              </w:rPr>
              <w:fldChar w:fldCharType="end"/>
            </w:r>
            <w:r w:rsidRPr="00286216">
              <w:rPr>
                <w:color w:val="000000" w:themeColor="text1"/>
              </w:rPr>
              <w:t>-Н.д.Шахов С.В.(Реєстр.картка №114)</w:t>
            </w:r>
          </w:p>
          <w:p w14:paraId="2A2A6285" w14:textId="4C645AE3" w:rsidR="004F1E44" w:rsidRPr="00286216" w:rsidRDefault="004F1E44" w:rsidP="004F1E44">
            <w:pPr>
              <w:pStyle w:val="StyleProp"/>
              <w:rPr>
                <w:color w:val="000000" w:themeColor="text1"/>
                <w:szCs w:val="18"/>
              </w:rPr>
            </w:pPr>
            <w:r w:rsidRPr="00286216">
              <w:rPr>
                <w:color w:val="000000" w:themeColor="text1"/>
                <w:spacing w:val="-2"/>
              </w:rPr>
              <w:t xml:space="preserve">У п.п. "б" п.п. 8 п. 17 абзаци 9, 10 (зміни до п. 10 ч. 2 статті 7) </w:t>
            </w:r>
            <w:r w:rsidRPr="00286216">
              <w:rPr>
                <w:color w:val="000000" w:themeColor="text1"/>
              </w:rPr>
              <w:t>виключити.</w:t>
            </w:r>
          </w:p>
        </w:tc>
        <w:tc>
          <w:tcPr>
            <w:tcW w:w="1987" w:type="dxa"/>
          </w:tcPr>
          <w:p w14:paraId="40FF96E6"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371240AA" w14:textId="6449ECB3" w:rsidR="004F1E44" w:rsidRPr="00286216" w:rsidRDefault="004F1E44" w:rsidP="004F1E44">
            <w:pPr>
              <w:pStyle w:val="StyleWisnow"/>
              <w:spacing w:line="180" w:lineRule="exact"/>
              <w:rPr>
                <w:color w:val="000000" w:themeColor="text1"/>
              </w:rPr>
            </w:pPr>
            <w:r w:rsidRPr="00286216">
              <w:rPr>
                <w:color w:val="000000" w:themeColor="text1"/>
              </w:rPr>
              <w:t xml:space="preserve">у разі виключення залишиться редакція з терміном "учасники </w:t>
            </w:r>
            <w:r w:rsidRPr="00286216">
              <w:rPr>
                <w:color w:val="000000" w:themeColor="text1"/>
              </w:rPr>
              <w:lastRenderedPageBreak/>
              <w:t>ринку цінних паперів"</w:t>
            </w:r>
          </w:p>
        </w:tc>
        <w:tc>
          <w:tcPr>
            <w:tcW w:w="4818" w:type="dxa"/>
          </w:tcPr>
          <w:p w14:paraId="52478403" w14:textId="726D29FC" w:rsidR="004F1E44" w:rsidRPr="00286216" w:rsidRDefault="004F1E44" w:rsidP="004F1E44">
            <w:pPr>
              <w:pStyle w:val="StyleZakonu"/>
              <w:rPr>
                <w:color w:val="000000" w:themeColor="text1"/>
              </w:rPr>
            </w:pPr>
            <w:r w:rsidRPr="00286216">
              <w:rPr>
                <w:color w:val="000000" w:themeColor="text1"/>
              </w:rPr>
              <w:lastRenderedPageBreak/>
              <w:t>у пункті 10</w:t>
            </w:r>
            <w:r w:rsidRPr="00286216">
              <w:rPr>
                <w:color w:val="000000" w:themeColor="text1"/>
                <w:vertAlign w:val="superscript"/>
              </w:rPr>
              <w:t>1</w:t>
            </w:r>
            <w:r w:rsidRPr="00286216">
              <w:rPr>
                <w:color w:val="000000" w:themeColor="text1"/>
              </w:rPr>
              <w:t xml:space="preserve"> слова "фондових бірж" замінити словами "організованих ринків";</w:t>
            </w:r>
          </w:p>
        </w:tc>
      </w:tr>
      <w:bookmarkEnd w:id="2846"/>
      <w:tr w:rsidR="004F1E44" w:rsidRPr="00286216" w14:paraId="5BBEF635" w14:textId="77777777" w:rsidTr="00091AA5">
        <w:tc>
          <w:tcPr>
            <w:tcW w:w="576" w:type="dxa"/>
          </w:tcPr>
          <w:p w14:paraId="4AF05BBF" w14:textId="77777777" w:rsidR="004F1E44" w:rsidRPr="00286216" w:rsidRDefault="004F1E44" w:rsidP="004F1E44">
            <w:pPr>
              <w:pStyle w:val="StyleWisnow"/>
              <w:rPr>
                <w:color w:val="000000" w:themeColor="text1"/>
              </w:rPr>
            </w:pPr>
          </w:p>
        </w:tc>
        <w:tc>
          <w:tcPr>
            <w:tcW w:w="4818" w:type="dxa"/>
          </w:tcPr>
          <w:p w14:paraId="01FC7B6B" w14:textId="77777777" w:rsidR="004F1E44" w:rsidRPr="00286216" w:rsidRDefault="004F1E44" w:rsidP="004F1E44">
            <w:pPr>
              <w:pStyle w:val="StyleZakonu"/>
              <w:rPr>
                <w:color w:val="000000" w:themeColor="text1"/>
              </w:rPr>
            </w:pPr>
          </w:p>
        </w:tc>
        <w:tc>
          <w:tcPr>
            <w:tcW w:w="3686" w:type="dxa"/>
          </w:tcPr>
          <w:p w14:paraId="4E1760DB" w14:textId="5BA9D99F" w:rsidR="004F1E44" w:rsidRPr="00286216" w:rsidRDefault="004F1E44" w:rsidP="004F1E44">
            <w:pPr>
              <w:pStyle w:val="StyleAwt"/>
              <w:rPr>
                <w:color w:val="000000" w:themeColor="text1"/>
                <w:spacing w:val="-5"/>
                <w:szCs w:val="18"/>
              </w:rPr>
            </w:pPr>
            <w:r w:rsidRPr="00286216">
              <w:rPr>
                <w:color w:val="000000" w:themeColor="text1"/>
                <w:spacing w:val="-5"/>
                <w:szCs w:val="18"/>
              </w:rPr>
              <w:t>-</w:t>
            </w:r>
            <w:r w:rsidRPr="00286216">
              <w:rPr>
                <w:color w:val="000000" w:themeColor="text1"/>
                <w:spacing w:val="-5"/>
                <w:szCs w:val="18"/>
              </w:rPr>
              <w:fldChar w:fldCharType="begin"/>
            </w:r>
            <w:r w:rsidRPr="00286216">
              <w:rPr>
                <w:color w:val="000000" w:themeColor="text1"/>
                <w:spacing w:val="-5"/>
                <w:szCs w:val="18"/>
              </w:rPr>
              <w:instrText xml:space="preserve"> SEQ aa </w:instrText>
            </w:r>
            <w:r w:rsidRPr="00286216">
              <w:rPr>
                <w:color w:val="000000" w:themeColor="text1"/>
                <w:spacing w:val="-5"/>
                <w:szCs w:val="18"/>
              </w:rPr>
              <w:fldChar w:fldCharType="separate"/>
            </w:r>
            <w:r w:rsidR="00C46B29">
              <w:rPr>
                <w:noProof/>
                <w:color w:val="000000" w:themeColor="text1"/>
                <w:spacing w:val="-5"/>
                <w:szCs w:val="18"/>
              </w:rPr>
              <w:t>1316</w:t>
            </w:r>
            <w:r w:rsidRPr="00286216">
              <w:rPr>
                <w:color w:val="000000" w:themeColor="text1"/>
                <w:spacing w:val="-5"/>
                <w:szCs w:val="18"/>
              </w:rPr>
              <w:fldChar w:fldCharType="end"/>
            </w:r>
            <w:r w:rsidRPr="00286216">
              <w:rPr>
                <w:color w:val="000000" w:themeColor="text1"/>
                <w:spacing w:val="-5"/>
                <w:szCs w:val="18"/>
              </w:rPr>
              <w:t>-Н.д.Бєлькова О.В. (Реєстр.картка №403)</w:t>
            </w:r>
          </w:p>
          <w:p w14:paraId="71EB991C" w14:textId="77777777" w:rsidR="004F1E44" w:rsidRPr="00286216" w:rsidRDefault="004F1E44" w:rsidP="004F1E44">
            <w:pPr>
              <w:pStyle w:val="StyleProp"/>
              <w:spacing w:line="190" w:lineRule="exact"/>
              <w:rPr>
                <w:color w:val="000000" w:themeColor="text1"/>
              </w:rPr>
            </w:pPr>
            <w:r w:rsidRPr="00286216">
              <w:rPr>
                <w:color w:val="000000" w:themeColor="text1"/>
                <w:szCs w:val="18"/>
              </w:rPr>
              <w:t>у пункті 10-2 слова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базі даних особи, яка провадить діяльність із оприлюднення регульованої інформації від імені учасників ринків капіталу».</w:t>
            </w:r>
          </w:p>
        </w:tc>
        <w:tc>
          <w:tcPr>
            <w:tcW w:w="1987" w:type="dxa"/>
          </w:tcPr>
          <w:p w14:paraId="765DB90F" w14:textId="77777777" w:rsidR="004F1E44" w:rsidRPr="00286216" w:rsidRDefault="004F1E44" w:rsidP="004F1E44">
            <w:pPr>
              <w:pStyle w:val="StyleWisnow"/>
              <w:rPr>
                <w:color w:val="000000" w:themeColor="text1"/>
              </w:rPr>
            </w:pPr>
            <w:r w:rsidRPr="00286216">
              <w:rPr>
                <w:color w:val="000000" w:themeColor="text1"/>
              </w:rPr>
              <w:t>Враховано</w:t>
            </w:r>
          </w:p>
        </w:tc>
        <w:tc>
          <w:tcPr>
            <w:tcW w:w="4818" w:type="dxa"/>
          </w:tcPr>
          <w:p w14:paraId="04917841" w14:textId="0C6115AC" w:rsidR="004F1E44" w:rsidRPr="00286216" w:rsidRDefault="004F1E44" w:rsidP="004F1E44">
            <w:pPr>
              <w:pStyle w:val="StyleZakonu"/>
              <w:rPr>
                <w:color w:val="000000" w:themeColor="text1"/>
              </w:rPr>
            </w:pPr>
            <w:r w:rsidRPr="00286216">
              <w:rPr>
                <w:color w:val="000000" w:themeColor="text1"/>
                <w:szCs w:val="18"/>
              </w:rPr>
              <w:t>у пункті 10</w:t>
            </w:r>
            <w:r w:rsidRPr="00286216">
              <w:rPr>
                <w:color w:val="000000" w:themeColor="text1"/>
                <w:szCs w:val="18"/>
                <w:vertAlign w:val="superscript"/>
              </w:rPr>
              <w:t>2</w:t>
            </w:r>
            <w:r w:rsidRPr="00286216">
              <w:rPr>
                <w:color w:val="000000" w:themeColor="text1"/>
                <w:szCs w:val="18"/>
              </w:rPr>
              <w:t xml:space="preserve"> слова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базі даних особи, яка провадить діяльність із оприлюднення регульованої інформації від імені учасників ринків капіталу";</w:t>
            </w:r>
          </w:p>
        </w:tc>
      </w:tr>
      <w:tr w:rsidR="004F1E44" w:rsidRPr="00286216" w14:paraId="4767AED6" w14:textId="77777777" w:rsidTr="00091AA5">
        <w:tc>
          <w:tcPr>
            <w:tcW w:w="576" w:type="dxa"/>
          </w:tcPr>
          <w:p w14:paraId="47F8299E" w14:textId="77777777" w:rsidR="004F1E44" w:rsidRPr="00286216" w:rsidRDefault="004F1E44" w:rsidP="004F1E44">
            <w:pPr>
              <w:pStyle w:val="StyleWisnow"/>
              <w:rPr>
                <w:color w:val="000000" w:themeColor="text1"/>
              </w:rPr>
            </w:pPr>
          </w:p>
        </w:tc>
        <w:tc>
          <w:tcPr>
            <w:tcW w:w="4818" w:type="dxa"/>
          </w:tcPr>
          <w:p w14:paraId="16616E7D" w14:textId="77777777" w:rsidR="004F1E44" w:rsidRPr="00286216" w:rsidRDefault="004F1E44" w:rsidP="004F1E44">
            <w:pPr>
              <w:pStyle w:val="StyleZakonu"/>
              <w:rPr>
                <w:color w:val="000000" w:themeColor="text1"/>
              </w:rPr>
            </w:pPr>
          </w:p>
        </w:tc>
        <w:tc>
          <w:tcPr>
            <w:tcW w:w="3686" w:type="dxa"/>
          </w:tcPr>
          <w:p w14:paraId="32D86DF4" w14:textId="3055C15B" w:rsidR="004F1E44" w:rsidRPr="00286216" w:rsidRDefault="004F1E44" w:rsidP="004F1E44">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1317</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3FEFA7D"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Підпункт «б» підпункту 8 пункту 17 розділу 3 після абзацу одинадцятого доповнити новим абзацом такого змісту:</w:t>
            </w:r>
          </w:p>
          <w:p w14:paraId="57DC66E0" w14:textId="77777777" w:rsidR="004F1E44" w:rsidRPr="00286216" w:rsidRDefault="004F1E44" w:rsidP="004F1E44">
            <w:pPr>
              <w:pStyle w:val="StyleProp"/>
              <w:spacing w:line="180" w:lineRule="exact"/>
              <w:rPr>
                <w:color w:val="000000" w:themeColor="text1"/>
                <w:szCs w:val="18"/>
              </w:rPr>
            </w:pPr>
            <w:r w:rsidRPr="00286216">
              <w:rPr>
                <w:color w:val="000000" w:themeColor="text1"/>
                <w:szCs w:val="18"/>
              </w:rPr>
              <w:t>«у пункті 10-2 слова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1987" w:type="dxa"/>
          </w:tcPr>
          <w:p w14:paraId="3D637492" w14:textId="77777777" w:rsidR="004F1E44" w:rsidRPr="00286216" w:rsidRDefault="004F1E44" w:rsidP="004F1E44">
            <w:pPr>
              <w:pStyle w:val="StyleWisnow"/>
              <w:rPr>
                <w:color w:val="000000" w:themeColor="text1"/>
              </w:rPr>
            </w:pPr>
            <w:r w:rsidRPr="00286216">
              <w:rPr>
                <w:color w:val="000000" w:themeColor="text1"/>
              </w:rPr>
              <w:t>Враховано по суті</w:t>
            </w:r>
          </w:p>
        </w:tc>
        <w:tc>
          <w:tcPr>
            <w:tcW w:w="4818" w:type="dxa"/>
          </w:tcPr>
          <w:p w14:paraId="2B7BCCAC" w14:textId="77777777" w:rsidR="004F1E44" w:rsidRPr="00286216" w:rsidRDefault="004F1E44" w:rsidP="004F1E44">
            <w:pPr>
              <w:pStyle w:val="StyleZakonu"/>
              <w:rPr>
                <w:color w:val="000000" w:themeColor="text1"/>
              </w:rPr>
            </w:pPr>
          </w:p>
        </w:tc>
      </w:tr>
      <w:tr w:rsidR="004F1E44" w:rsidRPr="00286216" w14:paraId="61CC10D3" w14:textId="77777777" w:rsidTr="00091AA5">
        <w:tc>
          <w:tcPr>
            <w:tcW w:w="576" w:type="dxa"/>
          </w:tcPr>
          <w:p w14:paraId="6FAB251A" w14:textId="77777777" w:rsidR="004F1E44" w:rsidRPr="00286216" w:rsidRDefault="004F1E44" w:rsidP="004F1E44">
            <w:pPr>
              <w:pStyle w:val="StyleWisnow"/>
              <w:rPr>
                <w:color w:val="000000" w:themeColor="text1"/>
              </w:rPr>
            </w:pPr>
            <w:bookmarkStart w:id="2847" w:name="n2975" w:colFirst="0" w:colLast="0"/>
            <w:r w:rsidRPr="00286216">
              <w:rPr>
                <w:color w:val="000000" w:themeColor="text1"/>
              </w:rPr>
              <w:t>2975.</w:t>
            </w:r>
          </w:p>
        </w:tc>
        <w:tc>
          <w:tcPr>
            <w:tcW w:w="4818" w:type="dxa"/>
          </w:tcPr>
          <w:p w14:paraId="13BB3CBA" w14:textId="77777777" w:rsidR="004F1E44" w:rsidRPr="00286216" w:rsidRDefault="004F1E44" w:rsidP="004F1E44">
            <w:pPr>
              <w:pStyle w:val="StyleZakonu"/>
              <w:rPr>
                <w:color w:val="000000" w:themeColor="text1"/>
              </w:rPr>
            </w:pPr>
            <w:r w:rsidRPr="00286216">
              <w:rPr>
                <w:color w:val="000000" w:themeColor="text1"/>
              </w:rPr>
              <w:t>у пункті 12 слова "цінними паперами" замінити словами "фінансовими інструментами";</w:t>
            </w:r>
          </w:p>
        </w:tc>
        <w:tc>
          <w:tcPr>
            <w:tcW w:w="3686" w:type="dxa"/>
          </w:tcPr>
          <w:p w14:paraId="11155CCD" w14:textId="77777777" w:rsidR="004F1E44" w:rsidRPr="00286216" w:rsidRDefault="004F1E44" w:rsidP="004F1E44">
            <w:pPr>
              <w:pStyle w:val="StyleProp"/>
              <w:rPr>
                <w:color w:val="000000" w:themeColor="text1"/>
                <w:szCs w:val="18"/>
              </w:rPr>
            </w:pPr>
          </w:p>
        </w:tc>
        <w:tc>
          <w:tcPr>
            <w:tcW w:w="1987" w:type="dxa"/>
          </w:tcPr>
          <w:p w14:paraId="7B95E4E8" w14:textId="77777777" w:rsidR="004F1E44" w:rsidRPr="00286216" w:rsidRDefault="004F1E44" w:rsidP="004F1E44">
            <w:pPr>
              <w:pStyle w:val="StyleWisnow"/>
              <w:rPr>
                <w:color w:val="000000" w:themeColor="text1"/>
              </w:rPr>
            </w:pPr>
          </w:p>
        </w:tc>
        <w:tc>
          <w:tcPr>
            <w:tcW w:w="4818" w:type="dxa"/>
          </w:tcPr>
          <w:p w14:paraId="407BA093" w14:textId="3DE4C0A7" w:rsidR="004F1E44" w:rsidRPr="00286216" w:rsidRDefault="004F1E44" w:rsidP="004F1E44">
            <w:pPr>
              <w:pStyle w:val="StyleZakonu"/>
              <w:rPr>
                <w:color w:val="000000" w:themeColor="text1"/>
              </w:rPr>
            </w:pPr>
            <w:r w:rsidRPr="00286216">
              <w:rPr>
                <w:color w:val="000000" w:themeColor="text1"/>
              </w:rPr>
              <w:t>у пункті 12 слова "цінними паперами" замінити словами "фінансовими інструментами";</w:t>
            </w:r>
          </w:p>
        </w:tc>
      </w:tr>
      <w:tr w:rsidR="004F1E44" w:rsidRPr="00286216" w14:paraId="79666184" w14:textId="77777777" w:rsidTr="00091AA5">
        <w:tc>
          <w:tcPr>
            <w:tcW w:w="576" w:type="dxa"/>
          </w:tcPr>
          <w:p w14:paraId="6CAE5E4B" w14:textId="77777777" w:rsidR="004F1E44" w:rsidRPr="00286216" w:rsidRDefault="004F1E44" w:rsidP="004F1E44">
            <w:pPr>
              <w:pStyle w:val="StyleWisnow"/>
              <w:rPr>
                <w:color w:val="000000" w:themeColor="text1"/>
              </w:rPr>
            </w:pPr>
            <w:bookmarkStart w:id="2848" w:name="n2976" w:colFirst="0" w:colLast="0"/>
            <w:bookmarkEnd w:id="2847"/>
            <w:r w:rsidRPr="00286216">
              <w:rPr>
                <w:color w:val="000000" w:themeColor="text1"/>
              </w:rPr>
              <w:t>2976.</w:t>
            </w:r>
          </w:p>
        </w:tc>
        <w:tc>
          <w:tcPr>
            <w:tcW w:w="4818" w:type="dxa"/>
          </w:tcPr>
          <w:p w14:paraId="786455CF" w14:textId="77777777" w:rsidR="004F1E44" w:rsidRPr="00286216" w:rsidRDefault="004F1E44" w:rsidP="004F1E44">
            <w:pPr>
              <w:pStyle w:val="StyleZakonu"/>
              <w:rPr>
                <w:color w:val="000000" w:themeColor="text1"/>
              </w:rPr>
            </w:pPr>
            <w:r w:rsidRPr="00286216">
              <w:rPr>
                <w:color w:val="000000" w:themeColor="text1"/>
              </w:rPr>
              <w:t>у пункті 13 слова "на фондових біржах та у депозитаріях" замінити словами "в операторах організованого ринку капіталу та у Центральному депозитарії цінних паперів";</w:t>
            </w:r>
          </w:p>
        </w:tc>
        <w:tc>
          <w:tcPr>
            <w:tcW w:w="3686" w:type="dxa"/>
          </w:tcPr>
          <w:p w14:paraId="3C3CDC10" w14:textId="77777777" w:rsidR="004F1E44" w:rsidRPr="00286216" w:rsidRDefault="004F1E44" w:rsidP="004F1E44">
            <w:pPr>
              <w:pStyle w:val="StyleProp"/>
              <w:rPr>
                <w:color w:val="000000" w:themeColor="text1"/>
                <w:szCs w:val="18"/>
              </w:rPr>
            </w:pPr>
          </w:p>
        </w:tc>
        <w:tc>
          <w:tcPr>
            <w:tcW w:w="1987" w:type="dxa"/>
          </w:tcPr>
          <w:p w14:paraId="05D32104" w14:textId="77777777" w:rsidR="004F1E44" w:rsidRPr="00286216" w:rsidRDefault="004F1E44" w:rsidP="004F1E44">
            <w:pPr>
              <w:pStyle w:val="StyleWisnow"/>
              <w:rPr>
                <w:color w:val="000000" w:themeColor="text1"/>
              </w:rPr>
            </w:pPr>
          </w:p>
        </w:tc>
        <w:tc>
          <w:tcPr>
            <w:tcW w:w="4818" w:type="dxa"/>
          </w:tcPr>
          <w:p w14:paraId="0FA649B5" w14:textId="4F91E303" w:rsidR="004F1E44" w:rsidRPr="00286216" w:rsidRDefault="004F1E44" w:rsidP="004F1E44">
            <w:pPr>
              <w:pStyle w:val="StyleZakonu"/>
              <w:rPr>
                <w:color w:val="000000" w:themeColor="text1"/>
              </w:rPr>
            </w:pPr>
            <w:r w:rsidRPr="00286216">
              <w:rPr>
                <w:color w:val="000000" w:themeColor="text1"/>
              </w:rPr>
              <w:t>у пункті 13 слова "на фондових біржах та у депозитаріях" замінити словами "в операторах організованого ринку капіталу та у Центральному депозитарії цінних паперів";</w:t>
            </w:r>
          </w:p>
        </w:tc>
      </w:tr>
      <w:tr w:rsidR="004F1E44" w:rsidRPr="00286216" w14:paraId="347757E6" w14:textId="77777777" w:rsidTr="00091AA5">
        <w:tc>
          <w:tcPr>
            <w:tcW w:w="576" w:type="dxa"/>
          </w:tcPr>
          <w:p w14:paraId="67B81111" w14:textId="77777777" w:rsidR="004F1E44" w:rsidRPr="00286216" w:rsidRDefault="004F1E44" w:rsidP="004F1E44">
            <w:pPr>
              <w:pStyle w:val="StyleWisnow"/>
              <w:rPr>
                <w:color w:val="000000" w:themeColor="text1"/>
              </w:rPr>
            </w:pPr>
            <w:bookmarkStart w:id="2849" w:name="n2977" w:colFirst="0" w:colLast="0"/>
            <w:bookmarkEnd w:id="2848"/>
            <w:r w:rsidRPr="00286216">
              <w:rPr>
                <w:color w:val="000000" w:themeColor="text1"/>
              </w:rPr>
              <w:t>2977.</w:t>
            </w:r>
          </w:p>
        </w:tc>
        <w:tc>
          <w:tcPr>
            <w:tcW w:w="4818" w:type="dxa"/>
          </w:tcPr>
          <w:p w14:paraId="1B73ACCB" w14:textId="77777777" w:rsidR="004F1E44" w:rsidRPr="00286216" w:rsidRDefault="004F1E44" w:rsidP="004F1E44">
            <w:pPr>
              <w:pStyle w:val="StyleZakonu"/>
              <w:rPr>
                <w:color w:val="000000" w:themeColor="text1"/>
              </w:rPr>
            </w:pPr>
            <w:r w:rsidRPr="00286216">
              <w:rPr>
                <w:color w:val="000000" w:themeColor="text1"/>
              </w:rPr>
              <w:t>пункти 14 - 15 замінити двома пунктами такого змісту:</w:t>
            </w:r>
          </w:p>
        </w:tc>
        <w:tc>
          <w:tcPr>
            <w:tcW w:w="3686" w:type="dxa"/>
          </w:tcPr>
          <w:p w14:paraId="3FB8A5A3" w14:textId="77777777" w:rsidR="004F1E44" w:rsidRPr="00286216" w:rsidRDefault="004F1E44" w:rsidP="004F1E44">
            <w:pPr>
              <w:pStyle w:val="StyleProp"/>
              <w:rPr>
                <w:color w:val="000000" w:themeColor="text1"/>
                <w:szCs w:val="18"/>
              </w:rPr>
            </w:pPr>
          </w:p>
        </w:tc>
        <w:tc>
          <w:tcPr>
            <w:tcW w:w="1987" w:type="dxa"/>
          </w:tcPr>
          <w:p w14:paraId="29B73967" w14:textId="77777777" w:rsidR="004F1E44" w:rsidRPr="00286216" w:rsidRDefault="004F1E44" w:rsidP="004F1E44">
            <w:pPr>
              <w:pStyle w:val="StyleWisnow"/>
              <w:rPr>
                <w:color w:val="000000" w:themeColor="text1"/>
              </w:rPr>
            </w:pPr>
          </w:p>
        </w:tc>
        <w:tc>
          <w:tcPr>
            <w:tcW w:w="4818" w:type="dxa"/>
          </w:tcPr>
          <w:p w14:paraId="7522006D" w14:textId="757D5B77" w:rsidR="004F1E44" w:rsidRPr="00286216" w:rsidRDefault="004F1E44" w:rsidP="004F1E44">
            <w:pPr>
              <w:pStyle w:val="StyleZakonu"/>
              <w:rPr>
                <w:color w:val="000000" w:themeColor="text1"/>
              </w:rPr>
            </w:pPr>
            <w:r w:rsidRPr="00286216">
              <w:rPr>
                <w:color w:val="000000" w:themeColor="text1"/>
              </w:rPr>
              <w:t>пункти 14 - 15 викласти в такій редакції:</w:t>
            </w:r>
          </w:p>
        </w:tc>
      </w:tr>
      <w:tr w:rsidR="004F1E44" w:rsidRPr="00286216" w14:paraId="39FA81B0" w14:textId="77777777" w:rsidTr="00091AA5">
        <w:tc>
          <w:tcPr>
            <w:tcW w:w="576" w:type="dxa"/>
          </w:tcPr>
          <w:p w14:paraId="6173E799" w14:textId="77777777" w:rsidR="004F1E44" w:rsidRPr="00286216" w:rsidRDefault="004F1E44" w:rsidP="004F1E44">
            <w:pPr>
              <w:pStyle w:val="StyleWisnow"/>
              <w:rPr>
                <w:color w:val="000000" w:themeColor="text1"/>
              </w:rPr>
            </w:pPr>
            <w:bookmarkStart w:id="2850" w:name="n2978" w:colFirst="0" w:colLast="0"/>
            <w:bookmarkEnd w:id="2849"/>
            <w:r w:rsidRPr="00286216">
              <w:rPr>
                <w:color w:val="000000" w:themeColor="text1"/>
              </w:rPr>
              <w:t>2978.</w:t>
            </w:r>
          </w:p>
        </w:tc>
        <w:tc>
          <w:tcPr>
            <w:tcW w:w="4818" w:type="dxa"/>
          </w:tcPr>
          <w:p w14:paraId="3688B8A4" w14:textId="77777777" w:rsidR="004F1E44" w:rsidRPr="00286216" w:rsidRDefault="004F1E44" w:rsidP="004F1E44">
            <w:pPr>
              <w:pStyle w:val="StyleZakonu"/>
              <w:rPr>
                <w:color w:val="000000" w:themeColor="text1"/>
              </w:rPr>
            </w:pPr>
            <w:r w:rsidRPr="00286216">
              <w:rPr>
                <w:color w:val="000000" w:themeColor="text1"/>
              </w:rPr>
              <w:t>"14) встановлює порядок розгляду справ про порушення законодавства про ринки капіталу та організовані товарні ринки, у тому числі про систему накопичувального пенсійного забезпечення;</w:t>
            </w:r>
          </w:p>
        </w:tc>
        <w:tc>
          <w:tcPr>
            <w:tcW w:w="3686" w:type="dxa"/>
          </w:tcPr>
          <w:p w14:paraId="3620402C" w14:textId="232D680F"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1318</w:t>
            </w:r>
            <w:r w:rsidRPr="00286216">
              <w:rPr>
                <w:color w:val="000000" w:themeColor="text1"/>
              </w:rPr>
              <w:fldChar w:fldCharType="end"/>
            </w:r>
            <w:r w:rsidRPr="00286216">
              <w:rPr>
                <w:color w:val="000000" w:themeColor="text1"/>
              </w:rPr>
              <w:t>-Н.д.Шахов С.В.(Реєстр.картка №114)</w:t>
            </w:r>
          </w:p>
          <w:p w14:paraId="0E4AB499"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182D9886"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6F5D407E" w14:textId="28410F4B"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67802439" w14:textId="35B0545B" w:rsidR="004F1E44" w:rsidRPr="00286216" w:rsidRDefault="004F1E44" w:rsidP="004F1E44">
            <w:pPr>
              <w:pStyle w:val="StyleZakonu"/>
              <w:rPr>
                <w:color w:val="000000" w:themeColor="text1"/>
              </w:rPr>
            </w:pPr>
            <w:r w:rsidRPr="00286216">
              <w:rPr>
                <w:color w:val="000000" w:themeColor="text1"/>
              </w:rPr>
              <w:t>"14) встановлює порядок розгляду справ про порушення законодавства про ринки капіталу та організовані товарні ринки, у тому числі про систему накопичувального пенсійного забезпечення;</w:t>
            </w:r>
          </w:p>
        </w:tc>
      </w:tr>
      <w:tr w:rsidR="004F1E44" w:rsidRPr="00286216" w14:paraId="365CD9BA" w14:textId="77777777" w:rsidTr="00091AA5">
        <w:tc>
          <w:tcPr>
            <w:tcW w:w="576" w:type="dxa"/>
          </w:tcPr>
          <w:p w14:paraId="5A4E14C1" w14:textId="77777777" w:rsidR="004F1E44" w:rsidRPr="00286216" w:rsidRDefault="004F1E44" w:rsidP="004F1E44">
            <w:pPr>
              <w:pStyle w:val="StyleWisnow"/>
              <w:rPr>
                <w:color w:val="000000" w:themeColor="text1"/>
              </w:rPr>
            </w:pPr>
            <w:bookmarkStart w:id="2851" w:name="n2979" w:colFirst="0" w:colLast="0"/>
            <w:bookmarkEnd w:id="2850"/>
            <w:r w:rsidRPr="00286216">
              <w:rPr>
                <w:color w:val="000000" w:themeColor="text1"/>
              </w:rPr>
              <w:t>2979.</w:t>
            </w:r>
          </w:p>
        </w:tc>
        <w:tc>
          <w:tcPr>
            <w:tcW w:w="4818" w:type="dxa"/>
          </w:tcPr>
          <w:p w14:paraId="007F0576" w14:textId="77777777" w:rsidR="004F1E44" w:rsidRPr="00286216" w:rsidRDefault="004F1E44" w:rsidP="004F1E44">
            <w:pPr>
              <w:pStyle w:val="StyleZakonu"/>
              <w:rPr>
                <w:color w:val="000000" w:themeColor="text1"/>
              </w:rPr>
            </w:pPr>
            <w:r w:rsidRPr="00286216">
              <w:rPr>
                <w:color w:val="000000" w:themeColor="text1"/>
              </w:rPr>
              <w:t xml:space="preserve">15) встановлює вимоги, порядок та стандарти щодо обов’язкового розкриття інформації емітентами та особами, які здійснюють професійну діяльність на ринках капіталу та організованих товарних ринках, забезпечує функціонування Загальнодоступної </w:t>
            </w:r>
            <w:r w:rsidRPr="00286216">
              <w:rPr>
                <w:color w:val="000000" w:themeColor="text1"/>
              </w:rPr>
              <w:lastRenderedPageBreak/>
              <w:t>інформаційної бази даних про ринки капіталу та організовані товарні ринки відповідно до чинного законодавства; ";</w:t>
            </w:r>
          </w:p>
        </w:tc>
        <w:tc>
          <w:tcPr>
            <w:tcW w:w="3686" w:type="dxa"/>
          </w:tcPr>
          <w:p w14:paraId="24012F13" w14:textId="64D91DAE" w:rsidR="004F1E44" w:rsidRPr="00286216" w:rsidRDefault="004F1E44" w:rsidP="004F1E44">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1319</w:t>
            </w:r>
            <w:r w:rsidRPr="00286216">
              <w:rPr>
                <w:color w:val="000000" w:themeColor="text1"/>
              </w:rPr>
              <w:fldChar w:fldCharType="end"/>
            </w:r>
            <w:r w:rsidRPr="00286216">
              <w:rPr>
                <w:color w:val="000000" w:themeColor="text1"/>
              </w:rPr>
              <w:t>-Н.д.Шахов С.В.(Реєстр.картка №114)</w:t>
            </w:r>
          </w:p>
          <w:p w14:paraId="5C77B003"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172DE515"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31935CE0" w14:textId="56BA03BC"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7D5EBBF0" w14:textId="62B7F438" w:rsidR="004F1E44" w:rsidRPr="00286216" w:rsidRDefault="004F1E44" w:rsidP="004F1E44">
            <w:pPr>
              <w:pStyle w:val="StyleZakonu"/>
              <w:rPr>
                <w:color w:val="000000" w:themeColor="text1"/>
              </w:rPr>
            </w:pPr>
            <w:r w:rsidRPr="00286216">
              <w:rPr>
                <w:color w:val="000000" w:themeColor="text1"/>
              </w:rPr>
              <w:t xml:space="preserve">15) встановлює вимоги, порядок та стандарти щодо обов’язкового розкриття інформації емітентами та особами, які  провадять професійну діяльність на ринках капіталу та організованих товарних ринках, забезпечує функціонування Загальнодоступної </w:t>
            </w:r>
            <w:r w:rsidRPr="00286216">
              <w:rPr>
                <w:color w:val="000000" w:themeColor="text1"/>
              </w:rPr>
              <w:lastRenderedPageBreak/>
              <w:t>інформаційної бази даних про ринки капіталу та організовані товарні ринки відповідно до законодавства";</w:t>
            </w:r>
          </w:p>
        </w:tc>
      </w:tr>
      <w:tr w:rsidR="004F1E44" w:rsidRPr="00286216" w14:paraId="282473B9" w14:textId="77777777" w:rsidTr="00091AA5">
        <w:tc>
          <w:tcPr>
            <w:tcW w:w="576" w:type="dxa"/>
          </w:tcPr>
          <w:p w14:paraId="23199202" w14:textId="77777777" w:rsidR="004F1E44" w:rsidRPr="00286216" w:rsidRDefault="004F1E44" w:rsidP="004F1E44">
            <w:pPr>
              <w:pStyle w:val="StyleWisnow"/>
              <w:rPr>
                <w:color w:val="000000" w:themeColor="text1"/>
              </w:rPr>
            </w:pPr>
            <w:bookmarkStart w:id="2852" w:name="n2980" w:colFirst="0" w:colLast="0"/>
            <w:bookmarkEnd w:id="2851"/>
            <w:r w:rsidRPr="00286216">
              <w:rPr>
                <w:color w:val="000000" w:themeColor="text1"/>
              </w:rPr>
              <w:lastRenderedPageBreak/>
              <w:t>2980.</w:t>
            </w:r>
          </w:p>
        </w:tc>
        <w:tc>
          <w:tcPr>
            <w:tcW w:w="4818" w:type="dxa"/>
          </w:tcPr>
          <w:p w14:paraId="27031D9C" w14:textId="77777777" w:rsidR="004F1E44" w:rsidRPr="00286216" w:rsidRDefault="004F1E44" w:rsidP="004F1E44">
            <w:pPr>
              <w:pStyle w:val="StyleZakonu"/>
              <w:rPr>
                <w:color w:val="000000" w:themeColor="text1"/>
              </w:rPr>
            </w:pPr>
            <w:r w:rsidRPr="00286216">
              <w:rPr>
                <w:color w:val="000000" w:themeColor="text1"/>
              </w:rPr>
              <w:t>пункт 17 замінити трьома пунктами такого змісту:</w:t>
            </w:r>
          </w:p>
        </w:tc>
        <w:tc>
          <w:tcPr>
            <w:tcW w:w="3686" w:type="dxa"/>
          </w:tcPr>
          <w:p w14:paraId="3D93BD11" w14:textId="77777777" w:rsidR="004F1E44" w:rsidRPr="00286216" w:rsidRDefault="004F1E44" w:rsidP="004F1E44">
            <w:pPr>
              <w:pStyle w:val="StyleProp"/>
              <w:rPr>
                <w:color w:val="000000" w:themeColor="text1"/>
                <w:szCs w:val="18"/>
              </w:rPr>
            </w:pPr>
          </w:p>
        </w:tc>
        <w:tc>
          <w:tcPr>
            <w:tcW w:w="1987" w:type="dxa"/>
          </w:tcPr>
          <w:p w14:paraId="67C91562" w14:textId="77777777" w:rsidR="004F1E44" w:rsidRPr="00286216" w:rsidRDefault="004F1E44" w:rsidP="004F1E44">
            <w:pPr>
              <w:pStyle w:val="StyleWisnow"/>
              <w:spacing w:line="180" w:lineRule="exact"/>
              <w:rPr>
                <w:color w:val="000000" w:themeColor="text1"/>
              </w:rPr>
            </w:pPr>
          </w:p>
        </w:tc>
        <w:tc>
          <w:tcPr>
            <w:tcW w:w="4818" w:type="dxa"/>
          </w:tcPr>
          <w:p w14:paraId="28463322" w14:textId="77414EDB" w:rsidR="004F1E44" w:rsidRPr="00286216" w:rsidRDefault="004F1E44" w:rsidP="004F1E44">
            <w:pPr>
              <w:pStyle w:val="StyleZakonu"/>
              <w:rPr>
                <w:color w:val="000000" w:themeColor="text1"/>
              </w:rPr>
            </w:pPr>
            <w:r w:rsidRPr="00286216">
              <w:rPr>
                <w:color w:val="000000" w:themeColor="text1"/>
              </w:rPr>
              <w:t>пункт 17 викласти в такій редакції:</w:t>
            </w:r>
          </w:p>
        </w:tc>
      </w:tr>
      <w:tr w:rsidR="004F1E44" w:rsidRPr="00286216" w14:paraId="11C7CD01" w14:textId="77777777" w:rsidTr="00091AA5">
        <w:tc>
          <w:tcPr>
            <w:tcW w:w="576" w:type="dxa"/>
          </w:tcPr>
          <w:p w14:paraId="197847EB" w14:textId="77777777" w:rsidR="004F1E44" w:rsidRPr="00286216" w:rsidRDefault="004F1E44" w:rsidP="004F1E44">
            <w:pPr>
              <w:pStyle w:val="StyleWisnow"/>
              <w:rPr>
                <w:color w:val="000000" w:themeColor="text1"/>
              </w:rPr>
            </w:pPr>
            <w:bookmarkStart w:id="2853" w:name="n2981" w:colFirst="0" w:colLast="0"/>
            <w:bookmarkEnd w:id="2852"/>
            <w:r w:rsidRPr="00286216">
              <w:rPr>
                <w:color w:val="000000" w:themeColor="text1"/>
              </w:rPr>
              <w:t>2981.</w:t>
            </w:r>
          </w:p>
        </w:tc>
        <w:tc>
          <w:tcPr>
            <w:tcW w:w="4818" w:type="dxa"/>
          </w:tcPr>
          <w:p w14:paraId="366BAF54" w14:textId="77777777" w:rsidR="004F1E44" w:rsidRPr="00286216" w:rsidRDefault="004F1E44" w:rsidP="004F1E44">
            <w:pPr>
              <w:pStyle w:val="StyleZakonu"/>
              <w:rPr>
                <w:color w:val="000000" w:themeColor="text1"/>
              </w:rPr>
            </w:pPr>
            <w:r w:rsidRPr="00286216">
              <w:rPr>
                <w:color w:val="000000" w:themeColor="text1"/>
              </w:rPr>
              <w:t>"17) координує роботу з підготовки фахівців із питань ринків капіталу та організованих товарних ринків;</w:t>
            </w:r>
          </w:p>
        </w:tc>
        <w:tc>
          <w:tcPr>
            <w:tcW w:w="3686" w:type="dxa"/>
          </w:tcPr>
          <w:p w14:paraId="5C3202C1" w14:textId="5EC27A0B"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1320</w:t>
            </w:r>
            <w:r w:rsidRPr="00286216">
              <w:rPr>
                <w:color w:val="000000" w:themeColor="text1"/>
              </w:rPr>
              <w:fldChar w:fldCharType="end"/>
            </w:r>
            <w:r w:rsidRPr="00286216">
              <w:rPr>
                <w:color w:val="000000" w:themeColor="text1"/>
              </w:rPr>
              <w:t>-Н.д.Шахов С.В.(Реєстр.картка №114)</w:t>
            </w:r>
          </w:p>
          <w:p w14:paraId="05A08CC5"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6F38CF08"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2364E2C2" w14:textId="716B60DC"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F727B09" w14:textId="77777777" w:rsidR="004F1E44" w:rsidRPr="00286216" w:rsidRDefault="004F1E44" w:rsidP="004F1E44">
            <w:pPr>
              <w:pStyle w:val="StyleZakonu"/>
              <w:rPr>
                <w:color w:val="000000" w:themeColor="text1"/>
              </w:rPr>
            </w:pPr>
            <w:r w:rsidRPr="00286216">
              <w:rPr>
                <w:color w:val="000000" w:themeColor="text1"/>
              </w:rPr>
              <w:t>"17) координує роботу з підготовки фахівців із питань ринків капіталу та організованих товарних ринків";</w:t>
            </w:r>
          </w:p>
          <w:p w14:paraId="235FB424" w14:textId="77777777" w:rsidR="004F1E44" w:rsidRPr="00286216" w:rsidRDefault="004F1E44" w:rsidP="004F1E44">
            <w:pPr>
              <w:pStyle w:val="StyleZakonu"/>
              <w:rPr>
                <w:color w:val="000000" w:themeColor="text1"/>
              </w:rPr>
            </w:pPr>
          </w:p>
          <w:p w14:paraId="705BEE09" w14:textId="543C2B8D" w:rsidR="004F1E44" w:rsidRPr="00286216" w:rsidRDefault="004F1E44" w:rsidP="004F1E44">
            <w:pPr>
              <w:pStyle w:val="StyleZakonu"/>
              <w:rPr>
                <w:color w:val="000000" w:themeColor="text1"/>
              </w:rPr>
            </w:pPr>
            <w:r w:rsidRPr="00286216">
              <w:rPr>
                <w:color w:val="000000" w:themeColor="text1"/>
              </w:rPr>
              <w:t>доповнити пунктами 17</w:t>
            </w:r>
            <w:r w:rsidRPr="00286216">
              <w:rPr>
                <w:color w:val="000000" w:themeColor="text1"/>
                <w:vertAlign w:val="superscript"/>
              </w:rPr>
              <w:t xml:space="preserve">1  </w:t>
            </w:r>
            <w:r w:rsidRPr="00286216">
              <w:rPr>
                <w:color w:val="000000" w:themeColor="text1"/>
              </w:rPr>
              <w:t>і 17</w:t>
            </w:r>
            <w:r w:rsidRPr="00286216">
              <w:rPr>
                <w:color w:val="000000" w:themeColor="text1"/>
                <w:vertAlign w:val="superscript"/>
              </w:rPr>
              <w:t xml:space="preserve">2    </w:t>
            </w:r>
            <w:r w:rsidRPr="00286216">
              <w:rPr>
                <w:color w:val="000000" w:themeColor="text1"/>
              </w:rPr>
              <w:t>такого змісту:</w:t>
            </w:r>
          </w:p>
        </w:tc>
      </w:tr>
      <w:tr w:rsidR="004F1E44" w:rsidRPr="00286216" w14:paraId="6DF9120A" w14:textId="77777777" w:rsidTr="00091AA5">
        <w:tc>
          <w:tcPr>
            <w:tcW w:w="576" w:type="dxa"/>
          </w:tcPr>
          <w:p w14:paraId="39104B0C" w14:textId="77777777" w:rsidR="004F1E44" w:rsidRPr="00286216" w:rsidRDefault="004F1E44" w:rsidP="004F1E44">
            <w:pPr>
              <w:pStyle w:val="StyleWisnow"/>
              <w:rPr>
                <w:color w:val="000000" w:themeColor="text1"/>
              </w:rPr>
            </w:pPr>
            <w:bookmarkStart w:id="2854" w:name="n2982" w:colFirst="0" w:colLast="0"/>
            <w:bookmarkEnd w:id="2853"/>
            <w:r w:rsidRPr="00286216">
              <w:rPr>
                <w:color w:val="000000" w:themeColor="text1"/>
              </w:rPr>
              <w:t>2982.</w:t>
            </w:r>
          </w:p>
        </w:tc>
        <w:tc>
          <w:tcPr>
            <w:tcW w:w="4818" w:type="dxa"/>
          </w:tcPr>
          <w:p w14:paraId="411BE13A" w14:textId="77777777" w:rsidR="004F1E44" w:rsidRPr="00286216" w:rsidRDefault="004F1E44" w:rsidP="004F1E44">
            <w:pPr>
              <w:pStyle w:val="StyleZakonu"/>
              <w:rPr>
                <w:color w:val="000000" w:themeColor="text1"/>
              </w:rPr>
            </w:pPr>
            <w:r w:rsidRPr="00286216">
              <w:rPr>
                <w:color w:val="000000" w:themeColor="text1"/>
              </w:rPr>
              <w:t xml:space="preserve">17 </w:t>
            </w:r>
            <w:r w:rsidRPr="00286216">
              <w:rPr>
                <w:color w:val="000000" w:themeColor="text1"/>
                <w:vertAlign w:val="superscript"/>
              </w:rPr>
              <w:t>1</w:t>
            </w:r>
            <w:r w:rsidRPr="00286216">
              <w:rPr>
                <w:color w:val="000000" w:themeColor="text1"/>
              </w:rPr>
              <w:t>) встановлює кваліфікаційні вимоги до осіб, які вчиняють дії, пов’язані з безпосереднім провадженням професійної діяльності на ринках капіталу та організованих товарних ринках;</w:t>
            </w:r>
          </w:p>
        </w:tc>
        <w:tc>
          <w:tcPr>
            <w:tcW w:w="3686" w:type="dxa"/>
          </w:tcPr>
          <w:p w14:paraId="659C4E0D" w14:textId="19CC30DC"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1321</w:t>
            </w:r>
            <w:r w:rsidRPr="00286216">
              <w:rPr>
                <w:color w:val="000000" w:themeColor="text1"/>
              </w:rPr>
              <w:fldChar w:fldCharType="end"/>
            </w:r>
            <w:r w:rsidRPr="00286216">
              <w:rPr>
                <w:color w:val="000000" w:themeColor="text1"/>
              </w:rPr>
              <w:t>-Н.д.Шахов С.В.(Реєстр.картка №114)</w:t>
            </w:r>
          </w:p>
          <w:p w14:paraId="386B3CB6"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13519C58"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29E55BC8" w14:textId="3CE7A88C"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5EFEBF2D" w14:textId="4EEFFF2E" w:rsidR="004F1E44" w:rsidRPr="00286216" w:rsidRDefault="004F1E44" w:rsidP="004F1E44">
            <w:pPr>
              <w:pStyle w:val="StyleZakonu"/>
              <w:rPr>
                <w:color w:val="000000" w:themeColor="text1"/>
              </w:rPr>
            </w:pPr>
            <w:r w:rsidRPr="00286216">
              <w:rPr>
                <w:color w:val="000000" w:themeColor="text1"/>
              </w:rPr>
              <w:t>"17</w:t>
            </w:r>
            <w:r w:rsidRPr="00286216">
              <w:rPr>
                <w:color w:val="000000" w:themeColor="text1"/>
                <w:vertAlign w:val="superscript"/>
              </w:rPr>
              <w:t>1</w:t>
            </w:r>
            <w:r w:rsidRPr="00286216">
              <w:rPr>
                <w:color w:val="000000" w:themeColor="text1"/>
              </w:rPr>
              <w:t>) встановлює кваліфікаційні вимоги до осіб, які вчиняють дії, пов’язані з безпосереднім провадженням професійної діяльності на ринках капіталу та організованих товарних ринках;</w:t>
            </w:r>
          </w:p>
        </w:tc>
      </w:tr>
      <w:tr w:rsidR="004F1E44" w:rsidRPr="00286216" w14:paraId="1A708507" w14:textId="77777777" w:rsidTr="00091AA5">
        <w:tc>
          <w:tcPr>
            <w:tcW w:w="576" w:type="dxa"/>
          </w:tcPr>
          <w:p w14:paraId="0735EAAB" w14:textId="77777777" w:rsidR="004F1E44" w:rsidRPr="00286216" w:rsidRDefault="004F1E44" w:rsidP="004F1E44">
            <w:pPr>
              <w:pStyle w:val="StyleWisnow"/>
              <w:rPr>
                <w:color w:val="000000" w:themeColor="text1"/>
              </w:rPr>
            </w:pPr>
            <w:bookmarkStart w:id="2855" w:name="n2983" w:colFirst="0" w:colLast="0"/>
            <w:bookmarkEnd w:id="2854"/>
            <w:r w:rsidRPr="00286216">
              <w:rPr>
                <w:color w:val="000000" w:themeColor="text1"/>
              </w:rPr>
              <w:t>2983.</w:t>
            </w:r>
          </w:p>
        </w:tc>
        <w:tc>
          <w:tcPr>
            <w:tcW w:w="4818" w:type="dxa"/>
          </w:tcPr>
          <w:p w14:paraId="3A785E4A" w14:textId="77777777" w:rsidR="004F1E44" w:rsidRPr="00286216" w:rsidRDefault="004F1E44" w:rsidP="004F1E44">
            <w:pPr>
              <w:pStyle w:val="StyleZakonu"/>
              <w:rPr>
                <w:color w:val="000000" w:themeColor="text1"/>
              </w:rPr>
            </w:pPr>
            <w:r w:rsidRPr="00286216">
              <w:rPr>
                <w:color w:val="000000" w:themeColor="text1"/>
              </w:rPr>
              <w:t xml:space="preserve">17 </w:t>
            </w:r>
            <w:r w:rsidRPr="00286216">
              <w:rPr>
                <w:color w:val="000000" w:themeColor="text1"/>
                <w:vertAlign w:val="superscript"/>
              </w:rPr>
              <w:t>2</w:t>
            </w:r>
            <w:r w:rsidRPr="00286216">
              <w:rPr>
                <w:color w:val="000000" w:themeColor="text1"/>
              </w:rPr>
              <w:t>) встановлює порядок та проводить сертифікацію фізичних осіб (крім пов’язаних агентів) шляхом видачі сертифікатів на право вчинення дій, пов’язаних з безпосереднім провадженням професійної діяльності на ринках капіталу та організованих товарних ринках, їх дублікатів, а також анулювання таких сертифікатів; ";</w:t>
            </w:r>
          </w:p>
        </w:tc>
        <w:tc>
          <w:tcPr>
            <w:tcW w:w="3686" w:type="dxa"/>
          </w:tcPr>
          <w:p w14:paraId="36C61141" w14:textId="174EF642" w:rsidR="004F1E44" w:rsidRPr="00286216" w:rsidRDefault="004F1E44" w:rsidP="004F1E44">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1322</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790B251" w14:textId="77777777" w:rsidR="004F1E44" w:rsidRPr="00286216" w:rsidRDefault="004F1E44" w:rsidP="004F1E44">
            <w:pPr>
              <w:pStyle w:val="StyleProp"/>
              <w:rPr>
                <w:rFonts w:eastAsia="Calibri"/>
                <w:color w:val="000000" w:themeColor="text1"/>
                <w:szCs w:val="18"/>
              </w:rPr>
            </w:pPr>
            <w:r w:rsidRPr="00286216">
              <w:rPr>
                <w:rFonts w:eastAsia="Calibri"/>
                <w:color w:val="000000" w:themeColor="text1"/>
                <w:szCs w:val="18"/>
              </w:rPr>
              <w:t>Пропонований проектом текст підпункту 17</w:t>
            </w:r>
            <w:r w:rsidRPr="00286216">
              <w:rPr>
                <w:rFonts w:eastAsia="Calibri"/>
                <w:color w:val="000000" w:themeColor="text1"/>
                <w:szCs w:val="18"/>
                <w:vertAlign w:val="superscript"/>
              </w:rPr>
              <w:t>2</w:t>
            </w:r>
            <w:r w:rsidRPr="00286216">
              <w:rPr>
                <w:rFonts w:eastAsia="Calibri"/>
                <w:color w:val="000000" w:themeColor="text1"/>
                <w:szCs w:val="18"/>
              </w:rPr>
              <w:t xml:space="preserve"> частини другої статті 7 Закону України "Про державне регулювання "Про державне регулювання ринку цінних паперів в Україні" викласти у такій редакції:</w:t>
            </w:r>
          </w:p>
          <w:p w14:paraId="3515C71C" w14:textId="77777777" w:rsidR="004F1E44" w:rsidRPr="00286216" w:rsidRDefault="004F1E44" w:rsidP="004F1E44">
            <w:pPr>
              <w:pStyle w:val="StyleProp"/>
              <w:rPr>
                <w:color w:val="000000" w:themeColor="text1"/>
                <w:szCs w:val="18"/>
              </w:rPr>
            </w:pPr>
            <w:r w:rsidRPr="00286216">
              <w:rPr>
                <w:color w:val="000000" w:themeColor="text1"/>
                <w:szCs w:val="18"/>
              </w:rPr>
              <w:t xml:space="preserve">"17 </w:t>
            </w:r>
            <w:r w:rsidRPr="00286216">
              <w:rPr>
                <w:color w:val="000000" w:themeColor="text1"/>
                <w:szCs w:val="18"/>
                <w:vertAlign w:val="superscript"/>
              </w:rPr>
              <w:t>2</w:t>
            </w:r>
            <w:r w:rsidRPr="00286216">
              <w:rPr>
                <w:color w:val="000000" w:themeColor="text1"/>
                <w:szCs w:val="18"/>
              </w:rPr>
              <w:t>) делегує повноваження щодо набуття та підвищення  кваліфікаційного рівня працівниками ринків капіталу відповідним саморегулівним організаціям".</w:t>
            </w:r>
          </w:p>
          <w:p w14:paraId="32F3E0CC" w14:textId="70B3254A" w:rsidR="004F1E44" w:rsidRPr="00286216" w:rsidRDefault="004F1E44" w:rsidP="004F1E44">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1323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5103C61A" w14:textId="77777777" w:rsidR="004F1E44" w:rsidRPr="00286216" w:rsidRDefault="004F1E44" w:rsidP="004F1E44">
            <w:pPr>
              <w:spacing w:line="200" w:lineRule="exact"/>
              <w:ind w:firstLine="227"/>
              <w:jc w:val="both"/>
              <w:rPr>
                <w:color w:val="000000" w:themeColor="text1"/>
                <w:sz w:val="18"/>
              </w:rPr>
            </w:pPr>
            <w:r w:rsidRPr="00286216">
              <w:rPr>
                <w:color w:val="000000" w:themeColor="text1"/>
                <w:sz w:val="18"/>
              </w:rPr>
              <w:t>Абзац 20 підпункту б) підпункту 8 пункту 17 розділу 3 (пп. 17-2 частини 2 статті 7 Закону України «Про державне регулювання ринку цінних паперів в Україні») викласти в такій редакції:</w:t>
            </w:r>
          </w:p>
          <w:p w14:paraId="18D3C50A" w14:textId="77777777" w:rsidR="004F1E44" w:rsidRPr="00286216" w:rsidRDefault="004F1E44" w:rsidP="004F1E44">
            <w:pPr>
              <w:spacing w:line="200" w:lineRule="exact"/>
              <w:ind w:firstLine="227"/>
              <w:jc w:val="both"/>
              <w:rPr>
                <w:rFonts w:eastAsia="Calibri"/>
                <w:color w:val="000000" w:themeColor="text1"/>
                <w:szCs w:val="18"/>
              </w:rPr>
            </w:pPr>
            <w:r w:rsidRPr="00286216">
              <w:rPr>
                <w:color w:val="000000" w:themeColor="text1"/>
                <w:sz w:val="18"/>
              </w:rPr>
              <w:t>«17-2) делегує повноваження щодо набуття та підвищення  кваліфікаційного рівня працівниками ринків капіталу відповідним саморегулівним організаціям.»</w:t>
            </w:r>
          </w:p>
        </w:tc>
        <w:tc>
          <w:tcPr>
            <w:tcW w:w="1987" w:type="dxa"/>
          </w:tcPr>
          <w:p w14:paraId="0F3AD233"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5E9E9F87" w14:textId="4A91AB57" w:rsidR="004F1E44" w:rsidRPr="00286216" w:rsidRDefault="004F1E44" w:rsidP="004F1E44">
            <w:pPr>
              <w:pStyle w:val="StyleWisnow"/>
              <w:spacing w:line="180" w:lineRule="exact"/>
              <w:rPr>
                <w:color w:val="000000" w:themeColor="text1"/>
              </w:rPr>
            </w:pPr>
            <w:r w:rsidRPr="00286216">
              <w:rPr>
                <w:color w:val="000000" w:themeColor="text1"/>
              </w:rPr>
              <w:t>Передбачено ч.5 ст.144 Закону «Про ринки капіталу»</w:t>
            </w:r>
          </w:p>
          <w:p w14:paraId="065AF64F" w14:textId="77777777" w:rsidR="004F1E44" w:rsidRPr="00286216" w:rsidRDefault="004F1E44" w:rsidP="004F1E44">
            <w:pPr>
              <w:pStyle w:val="StyleWisnow"/>
              <w:spacing w:line="180" w:lineRule="exact"/>
              <w:rPr>
                <w:color w:val="000000" w:themeColor="text1"/>
              </w:rPr>
            </w:pPr>
          </w:p>
          <w:p w14:paraId="6AA7D644" w14:textId="77777777" w:rsidR="004F1E44" w:rsidRPr="00286216" w:rsidRDefault="004F1E44" w:rsidP="004F1E44">
            <w:pPr>
              <w:pStyle w:val="StyleWisnow"/>
              <w:spacing w:line="180" w:lineRule="exact"/>
              <w:rPr>
                <w:color w:val="000000" w:themeColor="text1"/>
              </w:rPr>
            </w:pPr>
          </w:p>
          <w:p w14:paraId="43D3D6EE" w14:textId="77777777" w:rsidR="004F1E44" w:rsidRPr="00286216" w:rsidRDefault="004F1E44" w:rsidP="004F1E44">
            <w:pPr>
              <w:pStyle w:val="StyleWisnow"/>
              <w:spacing w:line="180" w:lineRule="exact"/>
              <w:rPr>
                <w:color w:val="000000" w:themeColor="text1"/>
              </w:rPr>
            </w:pPr>
          </w:p>
          <w:p w14:paraId="30E93557" w14:textId="77777777" w:rsidR="004F1E44" w:rsidRPr="00286216" w:rsidRDefault="004F1E44" w:rsidP="004F1E44">
            <w:pPr>
              <w:pStyle w:val="StyleWisnow"/>
              <w:spacing w:line="180" w:lineRule="exact"/>
              <w:rPr>
                <w:color w:val="000000" w:themeColor="text1"/>
              </w:rPr>
            </w:pPr>
          </w:p>
          <w:p w14:paraId="7DB00C04" w14:textId="75185D91" w:rsidR="004F1E44" w:rsidRPr="00286216" w:rsidRDefault="004F1E44" w:rsidP="004F1E44">
            <w:pPr>
              <w:pStyle w:val="StyleWisnow"/>
              <w:spacing w:line="180" w:lineRule="exact"/>
              <w:rPr>
                <w:color w:val="000000" w:themeColor="text1"/>
              </w:rPr>
            </w:pPr>
          </w:p>
          <w:p w14:paraId="42CA750B" w14:textId="3B0F4A8F" w:rsidR="004F1E44" w:rsidRPr="00286216" w:rsidRDefault="004F1E44" w:rsidP="004F1E44">
            <w:pPr>
              <w:pStyle w:val="StyleWisnow"/>
              <w:spacing w:line="180" w:lineRule="exact"/>
              <w:rPr>
                <w:color w:val="000000" w:themeColor="text1"/>
              </w:rPr>
            </w:pPr>
          </w:p>
          <w:p w14:paraId="54AC26B7" w14:textId="77777777" w:rsidR="004F1E44" w:rsidRPr="00286216" w:rsidRDefault="004F1E44" w:rsidP="004F1E44">
            <w:pPr>
              <w:pStyle w:val="StyleWisnow"/>
              <w:spacing w:line="180" w:lineRule="exact"/>
              <w:rPr>
                <w:color w:val="000000" w:themeColor="text1"/>
              </w:rPr>
            </w:pPr>
          </w:p>
          <w:p w14:paraId="65C9E53F" w14:textId="77777777" w:rsidR="004F1E44" w:rsidRPr="00286216" w:rsidRDefault="004F1E44" w:rsidP="004F1E44">
            <w:pPr>
              <w:pStyle w:val="StyleWisnow"/>
              <w:spacing w:line="180" w:lineRule="exact"/>
              <w:rPr>
                <w:color w:val="000000" w:themeColor="text1"/>
              </w:rPr>
            </w:pPr>
          </w:p>
          <w:p w14:paraId="15DEDFBA"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2239AB7A" w14:textId="5166FD93" w:rsidR="004F1E44" w:rsidRPr="00286216" w:rsidRDefault="004F1E44" w:rsidP="004F1E44">
            <w:pPr>
              <w:pStyle w:val="StyleWisnow"/>
              <w:spacing w:line="180" w:lineRule="exact"/>
              <w:rPr>
                <w:color w:val="000000" w:themeColor="text1"/>
              </w:rPr>
            </w:pPr>
            <w:r w:rsidRPr="00286216">
              <w:rPr>
                <w:color w:val="000000" w:themeColor="text1"/>
              </w:rPr>
              <w:t>вже передбачено ч.5 ст.144 Закону «Про ринки капіталу»</w:t>
            </w:r>
          </w:p>
        </w:tc>
        <w:tc>
          <w:tcPr>
            <w:tcW w:w="4818" w:type="dxa"/>
          </w:tcPr>
          <w:p w14:paraId="1974370C" w14:textId="49933723" w:rsidR="004F1E44" w:rsidRPr="00286216" w:rsidRDefault="004F1E44" w:rsidP="004F1E44">
            <w:pPr>
              <w:pStyle w:val="StyleZakonu"/>
              <w:rPr>
                <w:color w:val="000000" w:themeColor="text1"/>
              </w:rPr>
            </w:pPr>
            <w:r w:rsidRPr="00286216">
              <w:rPr>
                <w:color w:val="000000" w:themeColor="text1"/>
              </w:rPr>
              <w:t>17</w:t>
            </w:r>
            <w:r w:rsidRPr="00286216">
              <w:rPr>
                <w:color w:val="000000" w:themeColor="text1"/>
                <w:vertAlign w:val="superscript"/>
              </w:rPr>
              <w:t>2</w:t>
            </w:r>
            <w:r w:rsidRPr="00286216">
              <w:rPr>
                <w:color w:val="000000" w:themeColor="text1"/>
              </w:rPr>
              <w:t>) встановлює порядок та проводить сертифікацію фізичних осіб (крім пов’язаних агентів) шляхом видачі сертифікатів на право вчинення дій, пов’язаних з безпосереднім провадженням професійної діяльності на ринках капіталу та організованих товарних ринках, їх дублікатів, а також анулювання таких сертифікатів";</w:t>
            </w:r>
          </w:p>
        </w:tc>
      </w:tr>
      <w:tr w:rsidR="004F1E44" w:rsidRPr="00286216" w14:paraId="062CA985" w14:textId="77777777" w:rsidTr="00091AA5">
        <w:tc>
          <w:tcPr>
            <w:tcW w:w="576" w:type="dxa"/>
          </w:tcPr>
          <w:p w14:paraId="69AC23D3" w14:textId="77777777" w:rsidR="004F1E44" w:rsidRPr="00286216" w:rsidRDefault="004F1E44" w:rsidP="004F1E44">
            <w:pPr>
              <w:pStyle w:val="StyleWisnow"/>
              <w:rPr>
                <w:color w:val="000000" w:themeColor="text1"/>
              </w:rPr>
            </w:pPr>
            <w:bookmarkStart w:id="2856" w:name="n2984" w:colFirst="0" w:colLast="0"/>
            <w:bookmarkEnd w:id="2855"/>
            <w:r w:rsidRPr="00286216">
              <w:rPr>
                <w:color w:val="000000" w:themeColor="text1"/>
              </w:rPr>
              <w:t>2984.</w:t>
            </w:r>
          </w:p>
        </w:tc>
        <w:tc>
          <w:tcPr>
            <w:tcW w:w="4818" w:type="dxa"/>
          </w:tcPr>
          <w:p w14:paraId="0BE73E08" w14:textId="77777777" w:rsidR="004F1E44" w:rsidRPr="00286216" w:rsidRDefault="004F1E44" w:rsidP="004F1E44">
            <w:pPr>
              <w:pStyle w:val="StyleZakonu"/>
              <w:rPr>
                <w:color w:val="000000" w:themeColor="text1"/>
              </w:rPr>
            </w:pPr>
            <w:r w:rsidRPr="00286216">
              <w:rPr>
                <w:color w:val="000000" w:themeColor="text1"/>
              </w:rPr>
              <w:t>пункт 18 доповнити словами "про ринки капіталу та організовані товарні ринки, у тому числі законодавства про систему накопичувального пенсійного забезпечення";</w:t>
            </w:r>
          </w:p>
        </w:tc>
        <w:tc>
          <w:tcPr>
            <w:tcW w:w="3686" w:type="dxa"/>
          </w:tcPr>
          <w:p w14:paraId="41436D5B" w14:textId="60C33F45"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1324</w:t>
            </w:r>
            <w:r w:rsidRPr="00286216">
              <w:rPr>
                <w:color w:val="000000" w:themeColor="text1"/>
              </w:rPr>
              <w:fldChar w:fldCharType="end"/>
            </w:r>
            <w:r w:rsidRPr="00286216">
              <w:rPr>
                <w:color w:val="000000" w:themeColor="text1"/>
              </w:rPr>
              <w:t>-Н.д.Шахов С.В.(Реєстр.картка №114)</w:t>
            </w:r>
          </w:p>
          <w:p w14:paraId="52C71B97"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48FAF9ED"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60D0FC26" w14:textId="5F52C97E"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C662881" w14:textId="1D7BC000" w:rsidR="004F1E44" w:rsidRPr="00286216" w:rsidRDefault="004F1E44" w:rsidP="004F1E44">
            <w:pPr>
              <w:pStyle w:val="StyleZakonu"/>
              <w:rPr>
                <w:color w:val="000000" w:themeColor="text1"/>
              </w:rPr>
            </w:pPr>
            <w:r w:rsidRPr="00286216">
              <w:rPr>
                <w:color w:val="000000" w:themeColor="text1"/>
              </w:rPr>
              <w:t>пункт 18 доповнити словами "про ринки капіталу та організовані товарні ринки, у тому числі законодавства про систему накопичувального пенсійного забезпечення";</w:t>
            </w:r>
          </w:p>
        </w:tc>
      </w:tr>
      <w:tr w:rsidR="004F1E44" w:rsidRPr="00286216" w14:paraId="637391DB" w14:textId="77777777" w:rsidTr="00091AA5">
        <w:tc>
          <w:tcPr>
            <w:tcW w:w="576" w:type="dxa"/>
          </w:tcPr>
          <w:p w14:paraId="7A6FFFD2" w14:textId="77777777" w:rsidR="004F1E44" w:rsidRPr="00286216" w:rsidRDefault="004F1E44" w:rsidP="004F1E44">
            <w:pPr>
              <w:pStyle w:val="StyleWisnow"/>
              <w:rPr>
                <w:color w:val="000000" w:themeColor="text1"/>
              </w:rPr>
            </w:pPr>
            <w:bookmarkStart w:id="2857" w:name="n2985" w:colFirst="0" w:colLast="0"/>
            <w:bookmarkEnd w:id="2856"/>
            <w:r w:rsidRPr="00286216">
              <w:rPr>
                <w:color w:val="000000" w:themeColor="text1"/>
              </w:rPr>
              <w:t>2985.</w:t>
            </w:r>
          </w:p>
        </w:tc>
        <w:tc>
          <w:tcPr>
            <w:tcW w:w="4818" w:type="dxa"/>
          </w:tcPr>
          <w:p w14:paraId="35B61772" w14:textId="77777777" w:rsidR="004F1E44" w:rsidRPr="00286216" w:rsidRDefault="004F1E44" w:rsidP="004F1E44">
            <w:pPr>
              <w:pStyle w:val="StyleZakonu"/>
              <w:rPr>
                <w:color w:val="000000" w:themeColor="text1"/>
              </w:rPr>
            </w:pPr>
            <w:r w:rsidRPr="00286216">
              <w:rPr>
                <w:color w:val="000000" w:themeColor="text1"/>
              </w:rPr>
              <w:t>у пункті 21 слова "ринку цінних паперів" замінити словами "ринках капіталу та організованих товарних ринках, в тому числі";</w:t>
            </w:r>
          </w:p>
        </w:tc>
        <w:tc>
          <w:tcPr>
            <w:tcW w:w="3686" w:type="dxa"/>
          </w:tcPr>
          <w:p w14:paraId="25AE4981" w14:textId="08232810"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1325</w:t>
            </w:r>
            <w:r w:rsidRPr="00286216">
              <w:rPr>
                <w:color w:val="000000" w:themeColor="text1"/>
              </w:rPr>
              <w:fldChar w:fldCharType="end"/>
            </w:r>
            <w:r w:rsidRPr="00286216">
              <w:rPr>
                <w:color w:val="000000" w:themeColor="text1"/>
              </w:rPr>
              <w:t>-Н.д.Шахов С.В.(Реєстр.картка №114)</w:t>
            </w:r>
          </w:p>
          <w:p w14:paraId="2A46B294"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0B21849D"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5B2F54D7" w14:textId="1FE9321C"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1D6AB39" w14:textId="18AA2DC8" w:rsidR="004F1E44" w:rsidRPr="00286216" w:rsidRDefault="004F1E44" w:rsidP="004F1E44">
            <w:pPr>
              <w:pStyle w:val="StyleZakonu"/>
              <w:rPr>
                <w:color w:val="000000" w:themeColor="text1"/>
              </w:rPr>
            </w:pPr>
            <w:r w:rsidRPr="00286216">
              <w:rPr>
                <w:color w:val="000000" w:themeColor="text1"/>
              </w:rPr>
              <w:t>у пункті 21 слова "ринку цінних паперів" замінити словами "ринках капіталу та організованих товарних ринках, у тому числі";</w:t>
            </w:r>
          </w:p>
        </w:tc>
      </w:tr>
      <w:tr w:rsidR="004F1E44" w:rsidRPr="00286216" w14:paraId="7939BE28" w14:textId="77777777" w:rsidTr="00091AA5">
        <w:tc>
          <w:tcPr>
            <w:tcW w:w="576" w:type="dxa"/>
          </w:tcPr>
          <w:p w14:paraId="63AF6AD4" w14:textId="77777777" w:rsidR="004F1E44" w:rsidRPr="00286216" w:rsidRDefault="004F1E44" w:rsidP="004F1E44">
            <w:pPr>
              <w:pStyle w:val="StyleWisnow"/>
              <w:rPr>
                <w:color w:val="000000" w:themeColor="text1"/>
              </w:rPr>
            </w:pPr>
            <w:bookmarkStart w:id="2858" w:name="n2986" w:colFirst="0" w:colLast="0"/>
            <w:bookmarkEnd w:id="2857"/>
            <w:r w:rsidRPr="00286216">
              <w:rPr>
                <w:color w:val="000000" w:themeColor="text1"/>
              </w:rPr>
              <w:t>2986.</w:t>
            </w:r>
          </w:p>
        </w:tc>
        <w:tc>
          <w:tcPr>
            <w:tcW w:w="4818" w:type="dxa"/>
          </w:tcPr>
          <w:p w14:paraId="5BA232E9" w14:textId="77777777" w:rsidR="004F1E44" w:rsidRPr="00286216" w:rsidRDefault="004F1E44" w:rsidP="004F1E44">
            <w:pPr>
              <w:pStyle w:val="StyleZakonu"/>
              <w:rPr>
                <w:color w:val="000000" w:themeColor="text1"/>
              </w:rPr>
            </w:pPr>
            <w:r w:rsidRPr="00286216">
              <w:rPr>
                <w:color w:val="000000" w:themeColor="text1"/>
              </w:rPr>
              <w:t>пункт 23 викласти в такій редакції:</w:t>
            </w:r>
          </w:p>
        </w:tc>
        <w:tc>
          <w:tcPr>
            <w:tcW w:w="3686" w:type="dxa"/>
          </w:tcPr>
          <w:p w14:paraId="7888040F" w14:textId="77777777" w:rsidR="004F1E44" w:rsidRPr="00286216" w:rsidRDefault="004F1E44" w:rsidP="004F1E44">
            <w:pPr>
              <w:pStyle w:val="StyleProp"/>
              <w:rPr>
                <w:color w:val="000000" w:themeColor="text1"/>
                <w:szCs w:val="18"/>
              </w:rPr>
            </w:pPr>
          </w:p>
        </w:tc>
        <w:tc>
          <w:tcPr>
            <w:tcW w:w="1987" w:type="dxa"/>
          </w:tcPr>
          <w:p w14:paraId="1510B77A" w14:textId="77777777" w:rsidR="004F1E44" w:rsidRPr="00286216" w:rsidRDefault="004F1E44" w:rsidP="004F1E44">
            <w:pPr>
              <w:pStyle w:val="StyleWisnow"/>
              <w:spacing w:line="180" w:lineRule="exact"/>
              <w:rPr>
                <w:color w:val="000000" w:themeColor="text1"/>
              </w:rPr>
            </w:pPr>
          </w:p>
        </w:tc>
        <w:tc>
          <w:tcPr>
            <w:tcW w:w="4818" w:type="dxa"/>
          </w:tcPr>
          <w:p w14:paraId="3D5B78E5" w14:textId="6585DD47" w:rsidR="004F1E44" w:rsidRPr="00286216" w:rsidRDefault="004F1E44" w:rsidP="004F1E44">
            <w:pPr>
              <w:pStyle w:val="StyleZakonu"/>
              <w:rPr>
                <w:color w:val="000000" w:themeColor="text1"/>
              </w:rPr>
            </w:pPr>
            <w:r w:rsidRPr="00286216">
              <w:rPr>
                <w:color w:val="000000" w:themeColor="text1"/>
              </w:rPr>
              <w:t>пункт 23 викласти в такій редакції:</w:t>
            </w:r>
          </w:p>
        </w:tc>
      </w:tr>
      <w:tr w:rsidR="004F1E44" w:rsidRPr="00286216" w14:paraId="793393BF" w14:textId="77777777" w:rsidTr="00091AA5">
        <w:tc>
          <w:tcPr>
            <w:tcW w:w="576" w:type="dxa"/>
          </w:tcPr>
          <w:p w14:paraId="374103FC" w14:textId="77777777" w:rsidR="004F1E44" w:rsidRPr="00286216" w:rsidRDefault="004F1E44" w:rsidP="004F1E44">
            <w:pPr>
              <w:pStyle w:val="StyleWisnow"/>
              <w:rPr>
                <w:color w:val="000000" w:themeColor="text1"/>
              </w:rPr>
            </w:pPr>
            <w:bookmarkStart w:id="2859" w:name="n2987" w:colFirst="0" w:colLast="0"/>
            <w:bookmarkEnd w:id="2858"/>
            <w:r w:rsidRPr="00286216">
              <w:rPr>
                <w:color w:val="000000" w:themeColor="text1"/>
              </w:rPr>
              <w:t>2987.</w:t>
            </w:r>
          </w:p>
        </w:tc>
        <w:tc>
          <w:tcPr>
            <w:tcW w:w="4818" w:type="dxa"/>
          </w:tcPr>
          <w:p w14:paraId="5442B356" w14:textId="77777777" w:rsidR="004F1E44" w:rsidRPr="00286216" w:rsidRDefault="004F1E44" w:rsidP="004F1E44">
            <w:pPr>
              <w:pStyle w:val="StyleZakonu"/>
              <w:rPr>
                <w:color w:val="000000" w:themeColor="text1"/>
              </w:rPr>
            </w:pPr>
            <w:r w:rsidRPr="00286216">
              <w:rPr>
                <w:color w:val="000000" w:themeColor="text1"/>
              </w:rPr>
              <w:t xml:space="preserve">"23) роз’яснює порядок застосування </w:t>
            </w:r>
            <w:r w:rsidRPr="00286216">
              <w:rPr>
                <w:color w:val="000000" w:themeColor="text1"/>
              </w:rPr>
              <w:lastRenderedPageBreak/>
              <w:t>законодавства про ринки капіталу та організовані товарні ринки, у тому числі законодавства про систему накопичувального пенсійного забезпечення, і законодавства про акціонерні товариства; ";</w:t>
            </w:r>
          </w:p>
        </w:tc>
        <w:tc>
          <w:tcPr>
            <w:tcW w:w="3686" w:type="dxa"/>
          </w:tcPr>
          <w:p w14:paraId="1DE6CD73" w14:textId="5DBA0210" w:rsidR="004F1E44" w:rsidRPr="00286216" w:rsidRDefault="004F1E44" w:rsidP="004F1E44">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1326</w:t>
            </w:r>
            <w:r w:rsidRPr="00286216">
              <w:rPr>
                <w:color w:val="000000" w:themeColor="text1"/>
              </w:rPr>
              <w:fldChar w:fldCharType="end"/>
            </w:r>
            <w:r w:rsidRPr="00286216">
              <w:rPr>
                <w:color w:val="000000" w:themeColor="text1"/>
              </w:rPr>
              <w:t>-Н.д.Шахов С.В.(Реєстр.картка №114)</w:t>
            </w:r>
          </w:p>
          <w:p w14:paraId="3A647B23" w14:textId="77777777" w:rsidR="004F1E44" w:rsidRPr="00286216" w:rsidRDefault="004F1E44" w:rsidP="004F1E44">
            <w:pPr>
              <w:pStyle w:val="StyleProp"/>
              <w:rPr>
                <w:color w:val="000000" w:themeColor="text1"/>
                <w:szCs w:val="18"/>
              </w:rPr>
            </w:pPr>
            <w:r w:rsidRPr="00286216">
              <w:rPr>
                <w:color w:val="000000" w:themeColor="text1"/>
                <w:spacing w:val="-4"/>
                <w:szCs w:val="18"/>
              </w:rPr>
              <w:lastRenderedPageBreak/>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08F93803" w14:textId="77777777" w:rsidR="004F1E44" w:rsidRPr="00286216" w:rsidRDefault="004F1E44" w:rsidP="004F1E44">
            <w:pPr>
              <w:pStyle w:val="StyleWisnow"/>
              <w:spacing w:line="180" w:lineRule="exact"/>
              <w:rPr>
                <w:color w:val="000000" w:themeColor="text1"/>
              </w:rPr>
            </w:pPr>
            <w:r w:rsidRPr="00286216">
              <w:rPr>
                <w:color w:val="000000" w:themeColor="text1"/>
              </w:rPr>
              <w:lastRenderedPageBreak/>
              <w:t>Відхилено</w:t>
            </w:r>
          </w:p>
          <w:p w14:paraId="6A71A15B" w14:textId="5BE67918" w:rsidR="004F1E44" w:rsidRPr="00286216" w:rsidRDefault="004F1E44" w:rsidP="004F1E44">
            <w:pPr>
              <w:pStyle w:val="StyleWisnow"/>
              <w:spacing w:line="180" w:lineRule="exact"/>
              <w:rPr>
                <w:color w:val="000000" w:themeColor="text1"/>
              </w:rPr>
            </w:pPr>
            <w:r w:rsidRPr="00286216">
              <w:rPr>
                <w:color w:val="000000" w:themeColor="text1"/>
              </w:rPr>
              <w:lastRenderedPageBreak/>
              <w:t>не відповідає концепції І-го читання, за якої державне регулювання організованих товарних ринків за НКЦПФР</w:t>
            </w:r>
          </w:p>
        </w:tc>
        <w:tc>
          <w:tcPr>
            <w:tcW w:w="4818" w:type="dxa"/>
          </w:tcPr>
          <w:p w14:paraId="2447FFF8" w14:textId="5E1CF3E6" w:rsidR="004F1E44" w:rsidRPr="00286216" w:rsidRDefault="004F1E44" w:rsidP="004F1E44">
            <w:pPr>
              <w:pStyle w:val="StyleZakonu"/>
              <w:rPr>
                <w:color w:val="000000" w:themeColor="text1"/>
              </w:rPr>
            </w:pPr>
            <w:r w:rsidRPr="00286216">
              <w:rPr>
                <w:color w:val="000000" w:themeColor="text1"/>
              </w:rPr>
              <w:lastRenderedPageBreak/>
              <w:t xml:space="preserve">"23) роз’яснює порядок застосування </w:t>
            </w:r>
            <w:r w:rsidRPr="00286216">
              <w:rPr>
                <w:color w:val="000000" w:themeColor="text1"/>
              </w:rPr>
              <w:lastRenderedPageBreak/>
              <w:t>законодавства про ринки капіталу та організовані товарні ринки, у тому числі законодавства про систему накопичувального пенсійного забезпечення, і законодавства про акціонерні товариства";</w:t>
            </w:r>
          </w:p>
        </w:tc>
      </w:tr>
      <w:tr w:rsidR="004F1E44" w:rsidRPr="00286216" w14:paraId="202D0CC9" w14:textId="77777777" w:rsidTr="00091AA5">
        <w:tc>
          <w:tcPr>
            <w:tcW w:w="576" w:type="dxa"/>
          </w:tcPr>
          <w:p w14:paraId="4AB8119A" w14:textId="77777777" w:rsidR="004F1E44" w:rsidRPr="00286216" w:rsidRDefault="004F1E44" w:rsidP="004F1E44">
            <w:pPr>
              <w:pStyle w:val="StyleWisnow"/>
              <w:rPr>
                <w:color w:val="000000" w:themeColor="text1"/>
              </w:rPr>
            </w:pPr>
            <w:bookmarkStart w:id="2860" w:name="n2988" w:colFirst="0" w:colLast="0"/>
            <w:bookmarkEnd w:id="2859"/>
            <w:r w:rsidRPr="00286216">
              <w:rPr>
                <w:color w:val="000000" w:themeColor="text1"/>
              </w:rPr>
              <w:lastRenderedPageBreak/>
              <w:t>2988.</w:t>
            </w:r>
          </w:p>
        </w:tc>
        <w:tc>
          <w:tcPr>
            <w:tcW w:w="4818" w:type="dxa"/>
          </w:tcPr>
          <w:p w14:paraId="12882DAB" w14:textId="77777777" w:rsidR="004F1E44" w:rsidRPr="00286216" w:rsidRDefault="004F1E44" w:rsidP="004F1E44">
            <w:pPr>
              <w:pStyle w:val="StyleZakonu"/>
              <w:rPr>
                <w:color w:val="000000" w:themeColor="text1"/>
              </w:rPr>
            </w:pPr>
            <w:r w:rsidRPr="00286216">
              <w:rPr>
                <w:color w:val="000000" w:themeColor="text1"/>
              </w:rPr>
              <w:t>у пункті 24-1 слово "оцінювачів" замінити словами "суб’єктів оціночної діяльності";</w:t>
            </w:r>
          </w:p>
        </w:tc>
        <w:tc>
          <w:tcPr>
            <w:tcW w:w="3686" w:type="dxa"/>
          </w:tcPr>
          <w:p w14:paraId="0D4CC21B" w14:textId="77777777" w:rsidR="004F1E44" w:rsidRPr="00286216" w:rsidRDefault="004F1E44" w:rsidP="004F1E44">
            <w:pPr>
              <w:pStyle w:val="StyleProp"/>
              <w:rPr>
                <w:color w:val="000000" w:themeColor="text1"/>
                <w:szCs w:val="18"/>
              </w:rPr>
            </w:pPr>
          </w:p>
        </w:tc>
        <w:tc>
          <w:tcPr>
            <w:tcW w:w="1987" w:type="dxa"/>
          </w:tcPr>
          <w:p w14:paraId="54BF3623" w14:textId="77777777" w:rsidR="004F1E44" w:rsidRPr="00286216" w:rsidRDefault="004F1E44" w:rsidP="004F1E44">
            <w:pPr>
              <w:pStyle w:val="StyleWisnow"/>
              <w:spacing w:line="180" w:lineRule="exact"/>
              <w:rPr>
                <w:color w:val="000000" w:themeColor="text1"/>
              </w:rPr>
            </w:pPr>
          </w:p>
        </w:tc>
        <w:tc>
          <w:tcPr>
            <w:tcW w:w="4818" w:type="dxa"/>
          </w:tcPr>
          <w:p w14:paraId="468CBC9F" w14:textId="1570C9F7" w:rsidR="004F1E44" w:rsidRPr="00286216" w:rsidRDefault="004F1E44" w:rsidP="004F1E44">
            <w:pPr>
              <w:pStyle w:val="StyleZakonu"/>
              <w:rPr>
                <w:color w:val="000000" w:themeColor="text1"/>
              </w:rPr>
            </w:pPr>
            <w:r w:rsidRPr="00286216">
              <w:rPr>
                <w:color w:val="000000" w:themeColor="text1"/>
              </w:rPr>
              <w:t xml:space="preserve">у пункті 24 </w:t>
            </w:r>
            <w:r w:rsidRPr="00286216">
              <w:rPr>
                <w:color w:val="000000" w:themeColor="text1"/>
                <w:vertAlign w:val="superscript"/>
              </w:rPr>
              <w:t>1</w:t>
            </w:r>
            <w:r w:rsidRPr="00286216">
              <w:rPr>
                <w:color w:val="000000" w:themeColor="text1"/>
              </w:rPr>
              <w:t xml:space="preserve"> слово "оцінювачів" замінити словами "суб’єктів оціночної діяльності";</w:t>
            </w:r>
          </w:p>
        </w:tc>
      </w:tr>
      <w:tr w:rsidR="004F1E44" w:rsidRPr="00286216" w14:paraId="58130007" w14:textId="77777777" w:rsidTr="00091AA5">
        <w:tc>
          <w:tcPr>
            <w:tcW w:w="576" w:type="dxa"/>
          </w:tcPr>
          <w:p w14:paraId="7B503982" w14:textId="77777777" w:rsidR="004F1E44" w:rsidRPr="00286216" w:rsidRDefault="004F1E44" w:rsidP="004F1E44">
            <w:pPr>
              <w:pStyle w:val="StyleWisnow"/>
              <w:rPr>
                <w:color w:val="000000" w:themeColor="text1"/>
              </w:rPr>
            </w:pPr>
            <w:bookmarkStart w:id="2861" w:name="n2989" w:colFirst="0" w:colLast="0"/>
            <w:bookmarkEnd w:id="2860"/>
            <w:r w:rsidRPr="00286216">
              <w:rPr>
                <w:color w:val="000000" w:themeColor="text1"/>
              </w:rPr>
              <w:t>2989.</w:t>
            </w:r>
          </w:p>
        </w:tc>
        <w:tc>
          <w:tcPr>
            <w:tcW w:w="4818" w:type="dxa"/>
          </w:tcPr>
          <w:p w14:paraId="4FBB1CCC" w14:textId="77777777" w:rsidR="004F1E44" w:rsidRPr="00286216" w:rsidRDefault="004F1E44" w:rsidP="004F1E44">
            <w:pPr>
              <w:pStyle w:val="StyleZakonu"/>
              <w:rPr>
                <w:color w:val="000000" w:themeColor="text1"/>
              </w:rPr>
            </w:pPr>
            <w:r w:rsidRPr="00286216">
              <w:rPr>
                <w:color w:val="000000" w:themeColor="text1"/>
              </w:rPr>
              <w:t>пункт 25 викласти в такій редакції:</w:t>
            </w:r>
          </w:p>
        </w:tc>
        <w:tc>
          <w:tcPr>
            <w:tcW w:w="3686" w:type="dxa"/>
          </w:tcPr>
          <w:p w14:paraId="584C9F97" w14:textId="77777777" w:rsidR="004F1E44" w:rsidRPr="00286216" w:rsidRDefault="004F1E44" w:rsidP="004F1E44">
            <w:pPr>
              <w:pStyle w:val="StyleProp"/>
              <w:rPr>
                <w:color w:val="000000" w:themeColor="text1"/>
                <w:szCs w:val="18"/>
              </w:rPr>
            </w:pPr>
          </w:p>
        </w:tc>
        <w:tc>
          <w:tcPr>
            <w:tcW w:w="1987" w:type="dxa"/>
          </w:tcPr>
          <w:p w14:paraId="0E9349C3" w14:textId="77777777" w:rsidR="004F1E44" w:rsidRPr="00286216" w:rsidRDefault="004F1E44" w:rsidP="004F1E44">
            <w:pPr>
              <w:pStyle w:val="StyleWisnow"/>
              <w:spacing w:line="180" w:lineRule="exact"/>
              <w:rPr>
                <w:color w:val="000000" w:themeColor="text1"/>
              </w:rPr>
            </w:pPr>
          </w:p>
        </w:tc>
        <w:tc>
          <w:tcPr>
            <w:tcW w:w="4818" w:type="dxa"/>
          </w:tcPr>
          <w:p w14:paraId="43817284" w14:textId="70A27382" w:rsidR="004F1E44" w:rsidRPr="00286216" w:rsidRDefault="004F1E44" w:rsidP="004F1E44">
            <w:pPr>
              <w:pStyle w:val="StyleZakonu"/>
              <w:rPr>
                <w:color w:val="000000" w:themeColor="text1"/>
              </w:rPr>
            </w:pPr>
            <w:r w:rsidRPr="00286216">
              <w:rPr>
                <w:color w:val="000000" w:themeColor="text1"/>
              </w:rPr>
              <w:t>пункт 25 викласти в такій редакції:</w:t>
            </w:r>
          </w:p>
        </w:tc>
      </w:tr>
      <w:tr w:rsidR="004F1E44" w:rsidRPr="00286216" w14:paraId="280146D2" w14:textId="77777777" w:rsidTr="00091AA5">
        <w:tc>
          <w:tcPr>
            <w:tcW w:w="576" w:type="dxa"/>
          </w:tcPr>
          <w:p w14:paraId="6BF4F0B8" w14:textId="77777777" w:rsidR="004F1E44" w:rsidRPr="00286216" w:rsidRDefault="004F1E44" w:rsidP="004F1E44">
            <w:pPr>
              <w:pStyle w:val="StyleWisnow"/>
              <w:rPr>
                <w:color w:val="000000" w:themeColor="text1"/>
              </w:rPr>
            </w:pPr>
            <w:bookmarkStart w:id="2862" w:name="n2990" w:colFirst="0" w:colLast="0"/>
            <w:bookmarkEnd w:id="2861"/>
            <w:r w:rsidRPr="00286216">
              <w:rPr>
                <w:color w:val="000000" w:themeColor="text1"/>
              </w:rPr>
              <w:t>2990.</w:t>
            </w:r>
          </w:p>
        </w:tc>
        <w:tc>
          <w:tcPr>
            <w:tcW w:w="4818" w:type="dxa"/>
          </w:tcPr>
          <w:p w14:paraId="2EC3BD6E" w14:textId="77777777" w:rsidR="004F1E44" w:rsidRPr="00286216" w:rsidRDefault="004F1E44" w:rsidP="004F1E44">
            <w:pPr>
              <w:pStyle w:val="StyleZakonu"/>
              <w:rPr>
                <w:color w:val="000000" w:themeColor="text1"/>
              </w:rPr>
            </w:pPr>
            <w:r w:rsidRPr="00286216">
              <w:rPr>
                <w:color w:val="000000" w:themeColor="text1"/>
              </w:rPr>
              <w:t>"25) визначає порядок ведення та веде реєстри:</w:t>
            </w:r>
          </w:p>
        </w:tc>
        <w:tc>
          <w:tcPr>
            <w:tcW w:w="3686" w:type="dxa"/>
          </w:tcPr>
          <w:p w14:paraId="2646DEBC" w14:textId="77777777" w:rsidR="004F1E44" w:rsidRPr="00286216" w:rsidRDefault="004F1E44" w:rsidP="004F1E44">
            <w:pPr>
              <w:pStyle w:val="StyleProp"/>
              <w:rPr>
                <w:color w:val="000000" w:themeColor="text1"/>
                <w:szCs w:val="18"/>
              </w:rPr>
            </w:pPr>
          </w:p>
        </w:tc>
        <w:tc>
          <w:tcPr>
            <w:tcW w:w="1987" w:type="dxa"/>
          </w:tcPr>
          <w:p w14:paraId="07DB8780" w14:textId="77777777" w:rsidR="004F1E44" w:rsidRPr="00286216" w:rsidRDefault="004F1E44" w:rsidP="004F1E44">
            <w:pPr>
              <w:pStyle w:val="StyleWisnow"/>
              <w:spacing w:line="180" w:lineRule="exact"/>
              <w:rPr>
                <w:color w:val="000000" w:themeColor="text1"/>
              </w:rPr>
            </w:pPr>
          </w:p>
        </w:tc>
        <w:tc>
          <w:tcPr>
            <w:tcW w:w="4818" w:type="dxa"/>
          </w:tcPr>
          <w:p w14:paraId="0BE9EBA1" w14:textId="6F1BBBB2" w:rsidR="004F1E44" w:rsidRPr="00286216" w:rsidRDefault="004F1E44" w:rsidP="004F1E44">
            <w:pPr>
              <w:pStyle w:val="StyleZakonu"/>
              <w:rPr>
                <w:color w:val="000000" w:themeColor="text1"/>
              </w:rPr>
            </w:pPr>
            <w:r w:rsidRPr="00286216">
              <w:rPr>
                <w:color w:val="000000" w:themeColor="text1"/>
              </w:rPr>
              <w:t>"25) визначає порядок ведення та веде реєстри:</w:t>
            </w:r>
          </w:p>
        </w:tc>
      </w:tr>
      <w:tr w:rsidR="004F1E44" w:rsidRPr="00286216" w14:paraId="72D51A30" w14:textId="77777777" w:rsidTr="00091AA5">
        <w:tc>
          <w:tcPr>
            <w:tcW w:w="576" w:type="dxa"/>
          </w:tcPr>
          <w:p w14:paraId="5406BD21" w14:textId="77777777" w:rsidR="004F1E44" w:rsidRPr="00286216" w:rsidRDefault="004F1E44" w:rsidP="004F1E44">
            <w:pPr>
              <w:pStyle w:val="StyleWisnow"/>
              <w:rPr>
                <w:color w:val="000000" w:themeColor="text1"/>
              </w:rPr>
            </w:pPr>
            <w:bookmarkStart w:id="2863" w:name="n2991" w:colFirst="0" w:colLast="0"/>
            <w:bookmarkEnd w:id="2862"/>
            <w:r w:rsidRPr="00286216">
              <w:rPr>
                <w:color w:val="000000" w:themeColor="text1"/>
              </w:rPr>
              <w:t>2991.</w:t>
            </w:r>
          </w:p>
        </w:tc>
        <w:tc>
          <w:tcPr>
            <w:tcW w:w="4818" w:type="dxa"/>
          </w:tcPr>
          <w:p w14:paraId="219288D6" w14:textId="77777777" w:rsidR="004F1E44" w:rsidRPr="00286216" w:rsidRDefault="004F1E44" w:rsidP="004F1E44">
            <w:pPr>
              <w:pStyle w:val="StyleZakonu"/>
              <w:rPr>
                <w:color w:val="000000" w:themeColor="text1"/>
              </w:rPr>
            </w:pPr>
            <w:r w:rsidRPr="00286216">
              <w:rPr>
                <w:color w:val="000000" w:themeColor="text1"/>
              </w:rPr>
              <w:t>а) професійних учасників ринків капіталу та організованих товарних ринків;</w:t>
            </w:r>
          </w:p>
        </w:tc>
        <w:tc>
          <w:tcPr>
            <w:tcW w:w="3686" w:type="dxa"/>
          </w:tcPr>
          <w:p w14:paraId="0D983829" w14:textId="1C10A786"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1327</w:t>
            </w:r>
            <w:r w:rsidRPr="00286216">
              <w:rPr>
                <w:color w:val="000000" w:themeColor="text1"/>
              </w:rPr>
              <w:fldChar w:fldCharType="end"/>
            </w:r>
            <w:r w:rsidRPr="00286216">
              <w:rPr>
                <w:color w:val="000000" w:themeColor="text1"/>
              </w:rPr>
              <w:t>-Н.д.Шахов С.В.(Реєстр.картка №114)</w:t>
            </w:r>
          </w:p>
          <w:p w14:paraId="23AF3C23"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167C2A99"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44279B4C" w14:textId="347AE887"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3E7D954A" w14:textId="133CF021" w:rsidR="004F1E44" w:rsidRPr="00286216" w:rsidRDefault="004F1E44" w:rsidP="004F1E44">
            <w:pPr>
              <w:pStyle w:val="StyleZakonu"/>
              <w:rPr>
                <w:color w:val="000000" w:themeColor="text1"/>
              </w:rPr>
            </w:pPr>
            <w:r w:rsidRPr="00286216">
              <w:rPr>
                <w:color w:val="000000" w:themeColor="text1"/>
              </w:rPr>
              <w:t>а) професійних учасників ринків капіталу та організованих товарних ринків;</w:t>
            </w:r>
          </w:p>
        </w:tc>
      </w:tr>
      <w:tr w:rsidR="004F1E44" w:rsidRPr="00286216" w14:paraId="003B0C57" w14:textId="77777777" w:rsidTr="00091AA5">
        <w:tc>
          <w:tcPr>
            <w:tcW w:w="576" w:type="dxa"/>
          </w:tcPr>
          <w:p w14:paraId="745A8943" w14:textId="77777777" w:rsidR="004F1E44" w:rsidRPr="00286216" w:rsidRDefault="004F1E44" w:rsidP="004F1E44">
            <w:pPr>
              <w:pStyle w:val="StyleWisnow"/>
              <w:rPr>
                <w:color w:val="000000" w:themeColor="text1"/>
              </w:rPr>
            </w:pPr>
            <w:bookmarkStart w:id="2864" w:name="n2992" w:colFirst="0" w:colLast="0"/>
            <w:bookmarkEnd w:id="2863"/>
            <w:r w:rsidRPr="00286216">
              <w:rPr>
                <w:color w:val="000000" w:themeColor="text1"/>
              </w:rPr>
              <w:t>2992.</w:t>
            </w:r>
          </w:p>
        </w:tc>
        <w:tc>
          <w:tcPr>
            <w:tcW w:w="4818" w:type="dxa"/>
          </w:tcPr>
          <w:p w14:paraId="5050C9D9" w14:textId="77777777" w:rsidR="004F1E44" w:rsidRPr="00286216" w:rsidRDefault="004F1E44" w:rsidP="004F1E44">
            <w:pPr>
              <w:pStyle w:val="StyleZakonu"/>
              <w:rPr>
                <w:color w:val="000000" w:themeColor="text1"/>
              </w:rPr>
            </w:pPr>
            <w:r w:rsidRPr="00286216">
              <w:rPr>
                <w:color w:val="000000" w:themeColor="text1"/>
              </w:rPr>
              <w:t>б) інститутів спільного інвестування;</w:t>
            </w:r>
          </w:p>
        </w:tc>
        <w:tc>
          <w:tcPr>
            <w:tcW w:w="3686" w:type="dxa"/>
          </w:tcPr>
          <w:p w14:paraId="465C6312" w14:textId="77777777" w:rsidR="004F1E44" w:rsidRPr="00286216" w:rsidRDefault="004F1E44" w:rsidP="004F1E44">
            <w:pPr>
              <w:pStyle w:val="StyleProp"/>
              <w:rPr>
                <w:color w:val="000000" w:themeColor="text1"/>
                <w:szCs w:val="18"/>
              </w:rPr>
            </w:pPr>
          </w:p>
        </w:tc>
        <w:tc>
          <w:tcPr>
            <w:tcW w:w="1987" w:type="dxa"/>
          </w:tcPr>
          <w:p w14:paraId="61519030" w14:textId="77777777" w:rsidR="004F1E44" w:rsidRPr="00286216" w:rsidRDefault="004F1E44" w:rsidP="004F1E44">
            <w:pPr>
              <w:pStyle w:val="StyleWisnow"/>
              <w:spacing w:line="180" w:lineRule="exact"/>
              <w:rPr>
                <w:color w:val="000000" w:themeColor="text1"/>
              </w:rPr>
            </w:pPr>
          </w:p>
        </w:tc>
        <w:tc>
          <w:tcPr>
            <w:tcW w:w="4818" w:type="dxa"/>
          </w:tcPr>
          <w:p w14:paraId="11157BCC" w14:textId="3A3003D2" w:rsidR="004F1E44" w:rsidRPr="00286216" w:rsidRDefault="004F1E44" w:rsidP="004F1E44">
            <w:pPr>
              <w:pStyle w:val="StyleZakonu"/>
              <w:rPr>
                <w:color w:val="000000" w:themeColor="text1"/>
              </w:rPr>
            </w:pPr>
            <w:r w:rsidRPr="00286216">
              <w:rPr>
                <w:color w:val="000000" w:themeColor="text1"/>
              </w:rPr>
              <w:t>б) інститутів спільного інвестування;</w:t>
            </w:r>
          </w:p>
        </w:tc>
      </w:tr>
      <w:tr w:rsidR="004F1E44" w:rsidRPr="00286216" w14:paraId="179D5B16" w14:textId="77777777" w:rsidTr="00091AA5">
        <w:tc>
          <w:tcPr>
            <w:tcW w:w="576" w:type="dxa"/>
          </w:tcPr>
          <w:p w14:paraId="7455272A" w14:textId="77777777" w:rsidR="004F1E44" w:rsidRPr="00286216" w:rsidRDefault="004F1E44" w:rsidP="004F1E44">
            <w:pPr>
              <w:pStyle w:val="StyleWisnow"/>
              <w:rPr>
                <w:color w:val="000000" w:themeColor="text1"/>
              </w:rPr>
            </w:pPr>
            <w:bookmarkStart w:id="2865" w:name="n2993" w:colFirst="0" w:colLast="0"/>
            <w:bookmarkEnd w:id="2864"/>
            <w:r w:rsidRPr="00286216">
              <w:rPr>
                <w:color w:val="000000" w:themeColor="text1"/>
              </w:rPr>
              <w:t>2993.</w:t>
            </w:r>
          </w:p>
        </w:tc>
        <w:tc>
          <w:tcPr>
            <w:tcW w:w="4818" w:type="dxa"/>
          </w:tcPr>
          <w:p w14:paraId="01CC73FE" w14:textId="77777777" w:rsidR="004F1E44" w:rsidRPr="00286216" w:rsidRDefault="004F1E44" w:rsidP="004F1E44">
            <w:pPr>
              <w:pStyle w:val="StyleZakonu"/>
              <w:rPr>
                <w:color w:val="000000" w:themeColor="text1"/>
              </w:rPr>
            </w:pPr>
            <w:r w:rsidRPr="00286216">
              <w:rPr>
                <w:color w:val="000000" w:themeColor="text1"/>
              </w:rPr>
              <w:t>в) недержавних пенсійних фондів;</w:t>
            </w:r>
          </w:p>
        </w:tc>
        <w:tc>
          <w:tcPr>
            <w:tcW w:w="3686" w:type="dxa"/>
          </w:tcPr>
          <w:p w14:paraId="1B8A9132" w14:textId="77777777" w:rsidR="004F1E44" w:rsidRPr="00286216" w:rsidRDefault="004F1E44" w:rsidP="004F1E44">
            <w:pPr>
              <w:pStyle w:val="StyleProp"/>
              <w:rPr>
                <w:color w:val="000000" w:themeColor="text1"/>
                <w:szCs w:val="18"/>
              </w:rPr>
            </w:pPr>
          </w:p>
        </w:tc>
        <w:tc>
          <w:tcPr>
            <w:tcW w:w="1987" w:type="dxa"/>
          </w:tcPr>
          <w:p w14:paraId="2DF0EE4E" w14:textId="77777777" w:rsidR="004F1E44" w:rsidRPr="00286216" w:rsidRDefault="004F1E44" w:rsidP="004F1E44">
            <w:pPr>
              <w:pStyle w:val="StyleWisnow"/>
              <w:spacing w:line="180" w:lineRule="exact"/>
              <w:rPr>
                <w:color w:val="000000" w:themeColor="text1"/>
              </w:rPr>
            </w:pPr>
          </w:p>
        </w:tc>
        <w:tc>
          <w:tcPr>
            <w:tcW w:w="4818" w:type="dxa"/>
          </w:tcPr>
          <w:p w14:paraId="0EF2E73A" w14:textId="6D5AC77E" w:rsidR="004F1E44" w:rsidRPr="00286216" w:rsidRDefault="004F1E44" w:rsidP="004F1E44">
            <w:pPr>
              <w:pStyle w:val="StyleZakonu"/>
              <w:rPr>
                <w:color w:val="000000" w:themeColor="text1"/>
              </w:rPr>
            </w:pPr>
            <w:r w:rsidRPr="00286216">
              <w:rPr>
                <w:color w:val="000000" w:themeColor="text1"/>
              </w:rPr>
              <w:t>в) недержавних пенсійних фондів;</w:t>
            </w:r>
          </w:p>
        </w:tc>
      </w:tr>
      <w:tr w:rsidR="004F1E44" w:rsidRPr="00286216" w14:paraId="1595F87D" w14:textId="77777777" w:rsidTr="00091AA5">
        <w:tc>
          <w:tcPr>
            <w:tcW w:w="576" w:type="dxa"/>
          </w:tcPr>
          <w:p w14:paraId="0ABC2B9E" w14:textId="77777777" w:rsidR="004F1E44" w:rsidRPr="00286216" w:rsidRDefault="004F1E44" w:rsidP="004F1E44">
            <w:pPr>
              <w:pStyle w:val="StyleWisnow"/>
              <w:rPr>
                <w:color w:val="000000" w:themeColor="text1"/>
              </w:rPr>
            </w:pPr>
            <w:bookmarkStart w:id="2866" w:name="n2994" w:colFirst="0" w:colLast="0"/>
            <w:bookmarkEnd w:id="2865"/>
            <w:r w:rsidRPr="00286216">
              <w:rPr>
                <w:color w:val="000000" w:themeColor="text1"/>
              </w:rPr>
              <w:t>2994.</w:t>
            </w:r>
          </w:p>
        </w:tc>
        <w:tc>
          <w:tcPr>
            <w:tcW w:w="4818" w:type="dxa"/>
          </w:tcPr>
          <w:p w14:paraId="6FE210F5" w14:textId="77777777" w:rsidR="004F1E44" w:rsidRPr="00286216" w:rsidRDefault="004F1E44" w:rsidP="004F1E44">
            <w:pPr>
              <w:pStyle w:val="StyleZakonu"/>
              <w:rPr>
                <w:color w:val="000000" w:themeColor="text1"/>
              </w:rPr>
            </w:pPr>
            <w:r w:rsidRPr="00286216">
              <w:rPr>
                <w:color w:val="000000" w:themeColor="text1"/>
              </w:rPr>
              <w:t>г) об’єднань професійних учасників; ";</w:t>
            </w:r>
          </w:p>
        </w:tc>
        <w:tc>
          <w:tcPr>
            <w:tcW w:w="3686" w:type="dxa"/>
          </w:tcPr>
          <w:p w14:paraId="4EB1688F" w14:textId="77777777" w:rsidR="004F1E44" w:rsidRPr="00286216" w:rsidRDefault="004F1E44" w:rsidP="004F1E44">
            <w:pPr>
              <w:pStyle w:val="StyleProp"/>
              <w:rPr>
                <w:color w:val="000000" w:themeColor="text1"/>
                <w:szCs w:val="18"/>
              </w:rPr>
            </w:pPr>
          </w:p>
        </w:tc>
        <w:tc>
          <w:tcPr>
            <w:tcW w:w="1987" w:type="dxa"/>
          </w:tcPr>
          <w:p w14:paraId="070522F9" w14:textId="77777777" w:rsidR="004F1E44" w:rsidRPr="00286216" w:rsidRDefault="004F1E44" w:rsidP="004F1E44">
            <w:pPr>
              <w:pStyle w:val="StyleWisnow"/>
              <w:spacing w:line="180" w:lineRule="exact"/>
              <w:rPr>
                <w:color w:val="000000" w:themeColor="text1"/>
              </w:rPr>
            </w:pPr>
          </w:p>
        </w:tc>
        <w:tc>
          <w:tcPr>
            <w:tcW w:w="4818" w:type="dxa"/>
          </w:tcPr>
          <w:p w14:paraId="6B1B68F2" w14:textId="0B7DE339" w:rsidR="004F1E44" w:rsidRPr="00286216" w:rsidRDefault="004F1E44" w:rsidP="004F1E44">
            <w:pPr>
              <w:pStyle w:val="StyleZakonu"/>
              <w:rPr>
                <w:color w:val="000000" w:themeColor="text1"/>
              </w:rPr>
            </w:pPr>
            <w:r w:rsidRPr="00286216">
              <w:rPr>
                <w:color w:val="000000" w:themeColor="text1"/>
              </w:rPr>
              <w:t>г) об’єднань професійних учасників";</w:t>
            </w:r>
          </w:p>
        </w:tc>
      </w:tr>
      <w:tr w:rsidR="004F1E44" w:rsidRPr="00286216" w14:paraId="56A4D197" w14:textId="77777777" w:rsidTr="00091AA5">
        <w:tc>
          <w:tcPr>
            <w:tcW w:w="576" w:type="dxa"/>
          </w:tcPr>
          <w:p w14:paraId="356A8E88" w14:textId="77777777" w:rsidR="004F1E44" w:rsidRPr="00286216" w:rsidRDefault="004F1E44" w:rsidP="004F1E44">
            <w:pPr>
              <w:pStyle w:val="StyleWisnow"/>
              <w:rPr>
                <w:color w:val="000000" w:themeColor="text1"/>
              </w:rPr>
            </w:pPr>
            <w:bookmarkStart w:id="2867" w:name="n2995" w:colFirst="0" w:colLast="0"/>
            <w:bookmarkEnd w:id="2866"/>
            <w:r w:rsidRPr="00286216">
              <w:rPr>
                <w:color w:val="000000" w:themeColor="text1"/>
              </w:rPr>
              <w:t>2995.</w:t>
            </w:r>
          </w:p>
        </w:tc>
        <w:tc>
          <w:tcPr>
            <w:tcW w:w="4818" w:type="dxa"/>
          </w:tcPr>
          <w:p w14:paraId="53EAB6F2" w14:textId="77777777" w:rsidR="004F1E44" w:rsidRPr="00286216" w:rsidRDefault="004F1E44" w:rsidP="004F1E44">
            <w:pPr>
              <w:pStyle w:val="StyleZakonu"/>
              <w:rPr>
                <w:color w:val="000000" w:themeColor="text1"/>
              </w:rPr>
            </w:pPr>
            <w:r w:rsidRPr="00286216">
              <w:rPr>
                <w:color w:val="000000" w:themeColor="text1"/>
              </w:rPr>
              <w:t>у пунктах 26 та 28 слова "ринку цінних паперів" замінити словами "ринків капіталу та організованих товарних ринків" у відповідному відмінку;</w:t>
            </w:r>
          </w:p>
        </w:tc>
        <w:tc>
          <w:tcPr>
            <w:tcW w:w="3686" w:type="dxa"/>
          </w:tcPr>
          <w:p w14:paraId="6E793CF3" w14:textId="41ECACFD"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1328</w:t>
            </w:r>
            <w:r w:rsidRPr="00286216">
              <w:rPr>
                <w:color w:val="000000" w:themeColor="text1"/>
              </w:rPr>
              <w:fldChar w:fldCharType="end"/>
            </w:r>
            <w:r w:rsidRPr="00286216">
              <w:rPr>
                <w:color w:val="000000" w:themeColor="text1"/>
              </w:rPr>
              <w:t>-Н.д.Шахов С.В.(Реєстр.картка №114)</w:t>
            </w:r>
          </w:p>
          <w:p w14:paraId="3C242AB7"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3825AF1B"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3617F15B" w14:textId="18BB780D"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F9307F3" w14:textId="6D67B27E" w:rsidR="004F1E44" w:rsidRPr="00286216" w:rsidRDefault="004F1E44" w:rsidP="004F1E44">
            <w:pPr>
              <w:pStyle w:val="StyleZakonu"/>
              <w:rPr>
                <w:color w:val="000000" w:themeColor="text1"/>
              </w:rPr>
            </w:pPr>
            <w:r w:rsidRPr="00286216">
              <w:rPr>
                <w:color w:val="000000" w:themeColor="text1"/>
              </w:rPr>
              <w:t>у пункті 26 слова "ринку цінних паперів" замінити словами "ринків капіталу та організованих товарних ринків";</w:t>
            </w:r>
          </w:p>
        </w:tc>
      </w:tr>
      <w:tr w:rsidR="004F1E44" w:rsidRPr="00286216" w14:paraId="41D9F59F" w14:textId="77777777" w:rsidTr="00091AA5">
        <w:tc>
          <w:tcPr>
            <w:tcW w:w="576" w:type="dxa"/>
          </w:tcPr>
          <w:p w14:paraId="0C095F4E" w14:textId="77777777" w:rsidR="004F1E44" w:rsidRPr="00286216" w:rsidRDefault="004F1E44" w:rsidP="004F1E44">
            <w:pPr>
              <w:pStyle w:val="StyleWisnow"/>
              <w:rPr>
                <w:color w:val="000000" w:themeColor="text1"/>
              </w:rPr>
            </w:pPr>
            <w:bookmarkStart w:id="2868" w:name="n2996" w:colFirst="0" w:colLast="0"/>
            <w:bookmarkEnd w:id="2867"/>
            <w:r w:rsidRPr="00286216">
              <w:rPr>
                <w:color w:val="000000" w:themeColor="text1"/>
              </w:rPr>
              <w:t>2996.</w:t>
            </w:r>
          </w:p>
        </w:tc>
        <w:tc>
          <w:tcPr>
            <w:tcW w:w="4818" w:type="dxa"/>
          </w:tcPr>
          <w:p w14:paraId="5E99F7D2" w14:textId="77777777" w:rsidR="004F1E44" w:rsidRPr="00286216" w:rsidRDefault="004F1E44" w:rsidP="004F1E44">
            <w:pPr>
              <w:pStyle w:val="StyleZakonu"/>
              <w:rPr>
                <w:color w:val="000000" w:themeColor="text1"/>
              </w:rPr>
            </w:pPr>
            <w:r w:rsidRPr="00286216">
              <w:rPr>
                <w:color w:val="000000" w:themeColor="text1"/>
              </w:rPr>
              <w:t>у пункті 27 слова "професійної діяльності на ринку цінних паперів" замінити словами "віднесення операцій з фінансовими інструментами до операцій, що становлять професійну діяльність на ринках капіталу та організованих товарних ринках";</w:t>
            </w:r>
          </w:p>
        </w:tc>
        <w:tc>
          <w:tcPr>
            <w:tcW w:w="3686" w:type="dxa"/>
          </w:tcPr>
          <w:p w14:paraId="53C50DE0" w14:textId="547E7B66" w:rsidR="004F1E44" w:rsidRPr="00286216" w:rsidRDefault="004F1E44" w:rsidP="004F1E44">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1329</w:t>
            </w:r>
            <w:r w:rsidRPr="00286216">
              <w:rPr>
                <w:color w:val="000000" w:themeColor="text1"/>
              </w:rPr>
              <w:fldChar w:fldCharType="end"/>
            </w:r>
            <w:r w:rsidRPr="00286216">
              <w:rPr>
                <w:color w:val="000000" w:themeColor="text1"/>
              </w:rPr>
              <w:t>-Н.д.Шахов С.В.(Реєстр.картка №114)</w:t>
            </w:r>
          </w:p>
          <w:p w14:paraId="49B23B5E" w14:textId="77777777" w:rsidR="004F1E44" w:rsidRPr="00286216" w:rsidRDefault="004F1E44" w:rsidP="004F1E44">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559C5BB1" w14:textId="77777777" w:rsidR="004F1E44" w:rsidRPr="00286216" w:rsidRDefault="004F1E44" w:rsidP="004F1E44">
            <w:pPr>
              <w:pStyle w:val="StyleWisnow"/>
              <w:spacing w:line="180" w:lineRule="exact"/>
              <w:rPr>
                <w:color w:val="000000" w:themeColor="text1"/>
              </w:rPr>
            </w:pPr>
            <w:r w:rsidRPr="00286216">
              <w:rPr>
                <w:color w:val="000000" w:themeColor="text1"/>
              </w:rPr>
              <w:t>Відхилено</w:t>
            </w:r>
          </w:p>
          <w:p w14:paraId="6A766745" w14:textId="117D750B" w:rsidR="004F1E44" w:rsidRPr="00286216" w:rsidRDefault="004F1E44" w:rsidP="004F1E44">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5B64B754" w14:textId="71F69F1A" w:rsidR="004F1E44" w:rsidRPr="00286216" w:rsidRDefault="004F1E44" w:rsidP="004F1E44">
            <w:pPr>
              <w:pStyle w:val="StyleZakonu"/>
              <w:rPr>
                <w:color w:val="000000" w:themeColor="text1"/>
              </w:rPr>
            </w:pPr>
            <w:r w:rsidRPr="00286216">
              <w:rPr>
                <w:color w:val="000000" w:themeColor="text1"/>
              </w:rPr>
              <w:t>у пункті 27 слова "професійної діяльності на ринку цінних паперів" замінити словами "віднесення операцій з фінансовими інструментами до операцій, що становлять професійну діяльність на ринках капіталу та організованих товарних ринках";</w:t>
            </w:r>
          </w:p>
        </w:tc>
      </w:tr>
      <w:tr w:rsidR="004F1E44" w:rsidRPr="00286216" w14:paraId="51B6C94B" w14:textId="77777777" w:rsidTr="00091AA5">
        <w:tc>
          <w:tcPr>
            <w:tcW w:w="576" w:type="dxa"/>
          </w:tcPr>
          <w:p w14:paraId="61B0A203" w14:textId="77777777" w:rsidR="004F1E44" w:rsidRPr="00286216" w:rsidRDefault="004F1E44" w:rsidP="004F1E44">
            <w:pPr>
              <w:pStyle w:val="StyleWisnow"/>
              <w:rPr>
                <w:color w:val="000000" w:themeColor="text1"/>
              </w:rPr>
            </w:pPr>
            <w:bookmarkStart w:id="2869" w:name="n2997" w:colFirst="0" w:colLast="0"/>
            <w:bookmarkEnd w:id="2868"/>
            <w:r w:rsidRPr="00286216">
              <w:rPr>
                <w:color w:val="000000" w:themeColor="text1"/>
              </w:rPr>
              <w:t>2997.</w:t>
            </w:r>
          </w:p>
        </w:tc>
        <w:tc>
          <w:tcPr>
            <w:tcW w:w="4818" w:type="dxa"/>
          </w:tcPr>
          <w:p w14:paraId="50443158" w14:textId="77777777" w:rsidR="004F1E44" w:rsidRPr="00286216" w:rsidRDefault="004F1E44" w:rsidP="004F1E44">
            <w:pPr>
              <w:pStyle w:val="StyleZakonu"/>
              <w:rPr>
                <w:color w:val="000000" w:themeColor="text1"/>
              </w:rPr>
            </w:pPr>
            <w:r w:rsidRPr="00286216">
              <w:rPr>
                <w:color w:val="000000" w:themeColor="text1"/>
              </w:rPr>
              <w:t>у пункті 28 слова "і саморегулівних організацій" виключити;</w:t>
            </w:r>
          </w:p>
        </w:tc>
        <w:tc>
          <w:tcPr>
            <w:tcW w:w="3686" w:type="dxa"/>
          </w:tcPr>
          <w:p w14:paraId="6325D828" w14:textId="77777777" w:rsidR="004F1E44" w:rsidRPr="00286216" w:rsidRDefault="004F1E44" w:rsidP="004F1E44">
            <w:pPr>
              <w:pStyle w:val="StyleProp"/>
              <w:rPr>
                <w:color w:val="000000" w:themeColor="text1"/>
                <w:szCs w:val="18"/>
              </w:rPr>
            </w:pPr>
          </w:p>
        </w:tc>
        <w:tc>
          <w:tcPr>
            <w:tcW w:w="1987" w:type="dxa"/>
          </w:tcPr>
          <w:p w14:paraId="3DE2528B" w14:textId="77777777" w:rsidR="004F1E44" w:rsidRPr="00286216" w:rsidRDefault="004F1E44" w:rsidP="004F1E44">
            <w:pPr>
              <w:pStyle w:val="StyleWisnow"/>
              <w:spacing w:line="180" w:lineRule="exact"/>
              <w:rPr>
                <w:color w:val="000000" w:themeColor="text1"/>
              </w:rPr>
            </w:pPr>
          </w:p>
        </w:tc>
        <w:tc>
          <w:tcPr>
            <w:tcW w:w="4818" w:type="dxa"/>
          </w:tcPr>
          <w:p w14:paraId="2E857A6F" w14:textId="1FB1AC79" w:rsidR="004F1E44" w:rsidRPr="00286216" w:rsidRDefault="004F1E44" w:rsidP="004F1E44">
            <w:pPr>
              <w:pStyle w:val="StyleZakonu"/>
              <w:rPr>
                <w:color w:val="000000" w:themeColor="text1"/>
              </w:rPr>
            </w:pPr>
            <w:r w:rsidRPr="00286216">
              <w:rPr>
                <w:color w:val="000000" w:themeColor="text1"/>
              </w:rPr>
              <w:t>у пункті 28 слова "ринку цінних паперів" замінити словами "ринків капіталу та організованих товарних ринків», а слова "і саморегулівних організацій" виключити;</w:t>
            </w:r>
          </w:p>
        </w:tc>
      </w:tr>
      <w:tr w:rsidR="004F1E44" w:rsidRPr="00286216" w14:paraId="01BC8063" w14:textId="77777777" w:rsidTr="00091AA5">
        <w:tc>
          <w:tcPr>
            <w:tcW w:w="576" w:type="dxa"/>
          </w:tcPr>
          <w:p w14:paraId="6C551B55" w14:textId="77777777" w:rsidR="004F1E44" w:rsidRPr="00286216" w:rsidRDefault="004F1E44" w:rsidP="004F1E44">
            <w:pPr>
              <w:pStyle w:val="StyleWisnow"/>
              <w:rPr>
                <w:color w:val="000000" w:themeColor="text1"/>
              </w:rPr>
            </w:pPr>
            <w:bookmarkStart w:id="2870" w:name="n2998" w:colFirst="0" w:colLast="0"/>
            <w:bookmarkEnd w:id="2869"/>
            <w:r w:rsidRPr="00286216">
              <w:rPr>
                <w:color w:val="000000" w:themeColor="text1"/>
              </w:rPr>
              <w:t>2998.</w:t>
            </w:r>
          </w:p>
        </w:tc>
        <w:tc>
          <w:tcPr>
            <w:tcW w:w="4818" w:type="dxa"/>
          </w:tcPr>
          <w:p w14:paraId="18068AF6" w14:textId="77777777" w:rsidR="004F1E44" w:rsidRPr="00286216" w:rsidRDefault="004F1E44" w:rsidP="004F1E44">
            <w:pPr>
              <w:pStyle w:val="StyleZakonu"/>
              <w:rPr>
                <w:color w:val="000000" w:themeColor="text1"/>
              </w:rPr>
            </w:pPr>
            <w:r w:rsidRPr="00286216">
              <w:rPr>
                <w:color w:val="000000" w:themeColor="text1"/>
              </w:rPr>
              <w:t>доповнити частину після пункту 29 новим пунктом такого змісту:</w:t>
            </w:r>
          </w:p>
        </w:tc>
        <w:tc>
          <w:tcPr>
            <w:tcW w:w="3686" w:type="dxa"/>
          </w:tcPr>
          <w:p w14:paraId="4E0DB53D" w14:textId="77777777" w:rsidR="004F1E44" w:rsidRPr="00286216" w:rsidRDefault="004F1E44" w:rsidP="004F1E44">
            <w:pPr>
              <w:pStyle w:val="StyleProp"/>
              <w:rPr>
                <w:color w:val="000000" w:themeColor="text1"/>
                <w:szCs w:val="18"/>
              </w:rPr>
            </w:pPr>
          </w:p>
        </w:tc>
        <w:tc>
          <w:tcPr>
            <w:tcW w:w="1987" w:type="dxa"/>
          </w:tcPr>
          <w:p w14:paraId="7EEED600" w14:textId="77777777" w:rsidR="004F1E44" w:rsidRPr="00286216" w:rsidRDefault="004F1E44" w:rsidP="004F1E44">
            <w:pPr>
              <w:pStyle w:val="StyleWisnow"/>
              <w:spacing w:line="180" w:lineRule="exact"/>
              <w:rPr>
                <w:color w:val="000000" w:themeColor="text1"/>
              </w:rPr>
            </w:pPr>
          </w:p>
        </w:tc>
        <w:tc>
          <w:tcPr>
            <w:tcW w:w="4818" w:type="dxa"/>
          </w:tcPr>
          <w:p w14:paraId="2B94ACF8" w14:textId="6D6D69D8" w:rsidR="004F1E44" w:rsidRPr="00286216" w:rsidRDefault="004F1E44" w:rsidP="004F1E44">
            <w:pPr>
              <w:pStyle w:val="StyleZakonu"/>
              <w:rPr>
                <w:color w:val="000000" w:themeColor="text1"/>
              </w:rPr>
            </w:pPr>
            <w:r w:rsidRPr="00286216">
              <w:rPr>
                <w:color w:val="000000" w:themeColor="text1"/>
              </w:rPr>
              <w:t>доповнити  пунктом 29</w:t>
            </w:r>
            <w:r w:rsidRPr="00286216">
              <w:rPr>
                <w:color w:val="000000" w:themeColor="text1"/>
                <w:vertAlign w:val="superscript"/>
              </w:rPr>
              <w:t>1</w:t>
            </w:r>
            <w:r w:rsidRPr="00286216">
              <w:rPr>
                <w:color w:val="000000" w:themeColor="text1"/>
              </w:rPr>
              <w:t xml:space="preserve"> такого змісту:</w:t>
            </w:r>
          </w:p>
        </w:tc>
      </w:tr>
      <w:tr w:rsidR="004F1E44" w:rsidRPr="00286216" w14:paraId="415965D6" w14:textId="77777777" w:rsidTr="00091AA5">
        <w:tc>
          <w:tcPr>
            <w:tcW w:w="576" w:type="dxa"/>
          </w:tcPr>
          <w:p w14:paraId="379604B9" w14:textId="77777777" w:rsidR="004F1E44" w:rsidRPr="00286216" w:rsidRDefault="004F1E44" w:rsidP="004F1E44">
            <w:pPr>
              <w:pStyle w:val="StyleWisnow"/>
              <w:rPr>
                <w:color w:val="000000" w:themeColor="text1"/>
              </w:rPr>
            </w:pPr>
            <w:bookmarkStart w:id="2871" w:name="n2999" w:colFirst="0" w:colLast="0"/>
            <w:bookmarkEnd w:id="2870"/>
            <w:r w:rsidRPr="00286216">
              <w:rPr>
                <w:color w:val="000000" w:themeColor="text1"/>
              </w:rPr>
              <w:t>2999.</w:t>
            </w:r>
          </w:p>
        </w:tc>
        <w:tc>
          <w:tcPr>
            <w:tcW w:w="4818" w:type="dxa"/>
          </w:tcPr>
          <w:p w14:paraId="113FEDE0" w14:textId="77777777" w:rsidR="004F1E44" w:rsidRPr="00286216" w:rsidRDefault="004F1E44" w:rsidP="004F1E44">
            <w:pPr>
              <w:pStyle w:val="StyleZakonu"/>
              <w:rPr>
                <w:color w:val="000000" w:themeColor="text1"/>
              </w:rPr>
            </w:pPr>
            <w:r w:rsidRPr="00286216">
              <w:rPr>
                <w:color w:val="000000" w:themeColor="text1"/>
              </w:rPr>
              <w:t>"29</w:t>
            </w:r>
            <w:r w:rsidRPr="00286216">
              <w:rPr>
                <w:color w:val="000000" w:themeColor="text1"/>
                <w:vertAlign w:val="superscript"/>
              </w:rPr>
              <w:t>1</w:t>
            </w:r>
            <w:r w:rsidRPr="00286216">
              <w:rPr>
                <w:color w:val="000000" w:themeColor="text1"/>
              </w:rPr>
              <w:t>) встановлює додаткові вимоги до проведення зборів власників облігацій, підбиття підсумків голосування на них, оформлення рішень зборів, зберігання документації у зв’язку із зборами; ";</w:t>
            </w:r>
          </w:p>
        </w:tc>
        <w:tc>
          <w:tcPr>
            <w:tcW w:w="3686" w:type="dxa"/>
          </w:tcPr>
          <w:p w14:paraId="5C956B7C" w14:textId="77777777" w:rsidR="004F1E44" w:rsidRPr="00286216" w:rsidRDefault="004F1E44" w:rsidP="004F1E44">
            <w:pPr>
              <w:pStyle w:val="StyleProp"/>
              <w:rPr>
                <w:color w:val="000000" w:themeColor="text1"/>
                <w:szCs w:val="18"/>
              </w:rPr>
            </w:pPr>
          </w:p>
        </w:tc>
        <w:tc>
          <w:tcPr>
            <w:tcW w:w="1987" w:type="dxa"/>
          </w:tcPr>
          <w:p w14:paraId="6B496E54" w14:textId="77777777" w:rsidR="004F1E44" w:rsidRPr="00286216" w:rsidRDefault="004F1E44" w:rsidP="004F1E44">
            <w:pPr>
              <w:pStyle w:val="StyleWisnow"/>
              <w:spacing w:line="180" w:lineRule="exact"/>
              <w:rPr>
                <w:color w:val="000000" w:themeColor="text1"/>
              </w:rPr>
            </w:pPr>
          </w:p>
        </w:tc>
        <w:tc>
          <w:tcPr>
            <w:tcW w:w="4818" w:type="dxa"/>
          </w:tcPr>
          <w:p w14:paraId="7B1A7723" w14:textId="3DA37F02" w:rsidR="004F1E44" w:rsidRPr="00286216" w:rsidRDefault="004F1E44" w:rsidP="004F1E44">
            <w:pPr>
              <w:pStyle w:val="StyleZakonu"/>
              <w:rPr>
                <w:color w:val="000000" w:themeColor="text1"/>
              </w:rPr>
            </w:pPr>
            <w:r w:rsidRPr="00286216">
              <w:rPr>
                <w:color w:val="000000" w:themeColor="text1"/>
              </w:rPr>
              <w:t>"29</w:t>
            </w:r>
            <w:r w:rsidRPr="00286216">
              <w:rPr>
                <w:color w:val="000000" w:themeColor="text1"/>
                <w:vertAlign w:val="superscript"/>
              </w:rPr>
              <w:t>1</w:t>
            </w:r>
            <w:r w:rsidRPr="00286216">
              <w:rPr>
                <w:color w:val="000000" w:themeColor="text1"/>
              </w:rPr>
              <w:t>) встановлює додаткові вимоги до проведення зборів власників облігацій, підбиття підсумків голосування на них, оформлення рішень зборів, зберігання документації у зв’язку із зборами";</w:t>
            </w:r>
          </w:p>
        </w:tc>
      </w:tr>
      <w:tr w:rsidR="004F1E44" w:rsidRPr="00286216" w14:paraId="4A62F9B5" w14:textId="77777777" w:rsidTr="00091AA5">
        <w:tc>
          <w:tcPr>
            <w:tcW w:w="576" w:type="dxa"/>
          </w:tcPr>
          <w:p w14:paraId="1DA4A0C8" w14:textId="77777777" w:rsidR="004F1E44" w:rsidRPr="00286216" w:rsidRDefault="004F1E44" w:rsidP="004F1E44">
            <w:pPr>
              <w:pStyle w:val="StyleWisnow"/>
              <w:rPr>
                <w:color w:val="000000" w:themeColor="text1"/>
              </w:rPr>
            </w:pPr>
            <w:bookmarkStart w:id="2872" w:name="n3000" w:colFirst="0" w:colLast="0"/>
            <w:bookmarkEnd w:id="2871"/>
            <w:r w:rsidRPr="00286216">
              <w:rPr>
                <w:color w:val="000000" w:themeColor="text1"/>
              </w:rPr>
              <w:t>3000.</w:t>
            </w:r>
          </w:p>
        </w:tc>
        <w:tc>
          <w:tcPr>
            <w:tcW w:w="4818" w:type="dxa"/>
          </w:tcPr>
          <w:p w14:paraId="4FB8CA8F" w14:textId="77777777" w:rsidR="004F1E44" w:rsidRPr="00286216" w:rsidRDefault="004F1E44" w:rsidP="004F1E44">
            <w:pPr>
              <w:pStyle w:val="StyleZakonu"/>
              <w:rPr>
                <w:color w:val="000000" w:themeColor="text1"/>
              </w:rPr>
            </w:pPr>
            <w:r w:rsidRPr="00286216">
              <w:rPr>
                <w:color w:val="000000" w:themeColor="text1"/>
              </w:rPr>
              <w:t>у пункті 30 слова "(пайові та корпоративні інвестиційні фонди)" виключити;</w:t>
            </w:r>
          </w:p>
        </w:tc>
        <w:tc>
          <w:tcPr>
            <w:tcW w:w="3686" w:type="dxa"/>
          </w:tcPr>
          <w:p w14:paraId="7F3FA8BC" w14:textId="77777777" w:rsidR="004F1E44" w:rsidRPr="00286216" w:rsidRDefault="004F1E44" w:rsidP="004F1E44">
            <w:pPr>
              <w:pStyle w:val="StyleProp"/>
              <w:rPr>
                <w:color w:val="000000" w:themeColor="text1"/>
                <w:szCs w:val="18"/>
              </w:rPr>
            </w:pPr>
          </w:p>
        </w:tc>
        <w:tc>
          <w:tcPr>
            <w:tcW w:w="1987" w:type="dxa"/>
          </w:tcPr>
          <w:p w14:paraId="48393DDD" w14:textId="77777777" w:rsidR="004F1E44" w:rsidRPr="00286216" w:rsidRDefault="004F1E44" w:rsidP="004F1E44">
            <w:pPr>
              <w:pStyle w:val="StyleWisnow"/>
              <w:rPr>
                <w:color w:val="000000" w:themeColor="text1"/>
              </w:rPr>
            </w:pPr>
          </w:p>
        </w:tc>
        <w:tc>
          <w:tcPr>
            <w:tcW w:w="4818" w:type="dxa"/>
          </w:tcPr>
          <w:p w14:paraId="57073401" w14:textId="3F445F1D" w:rsidR="004F1E44" w:rsidRPr="00286216" w:rsidRDefault="004F1E44" w:rsidP="004F1E44">
            <w:pPr>
              <w:pStyle w:val="StyleZakonu"/>
              <w:rPr>
                <w:color w:val="000000" w:themeColor="text1"/>
              </w:rPr>
            </w:pPr>
            <w:r w:rsidRPr="00286216">
              <w:rPr>
                <w:color w:val="000000" w:themeColor="text1"/>
              </w:rPr>
              <w:t>у пункті 30 слова "(пайові та корпоративні інвестиційні фонди)" виключити;</w:t>
            </w:r>
          </w:p>
        </w:tc>
      </w:tr>
      <w:tr w:rsidR="00826C07" w:rsidRPr="00286216" w14:paraId="442CFDA7" w14:textId="77777777" w:rsidTr="00091AA5">
        <w:tc>
          <w:tcPr>
            <w:tcW w:w="576" w:type="dxa"/>
          </w:tcPr>
          <w:p w14:paraId="52126B72" w14:textId="77777777" w:rsidR="00826C07" w:rsidRPr="00286216" w:rsidRDefault="00826C07" w:rsidP="00826C07">
            <w:pPr>
              <w:pStyle w:val="StyleWisnow"/>
              <w:rPr>
                <w:color w:val="000000" w:themeColor="text1"/>
              </w:rPr>
            </w:pPr>
            <w:bookmarkStart w:id="2873" w:name="n3001" w:colFirst="0" w:colLast="0"/>
            <w:bookmarkEnd w:id="2872"/>
            <w:r w:rsidRPr="00286216">
              <w:rPr>
                <w:color w:val="000000" w:themeColor="text1"/>
              </w:rPr>
              <w:t>3001.</w:t>
            </w:r>
          </w:p>
        </w:tc>
        <w:tc>
          <w:tcPr>
            <w:tcW w:w="4818" w:type="dxa"/>
          </w:tcPr>
          <w:p w14:paraId="27B0D453" w14:textId="77777777" w:rsidR="00826C07" w:rsidRPr="00286216" w:rsidRDefault="00826C07" w:rsidP="00826C07">
            <w:pPr>
              <w:pStyle w:val="StyleZakonu"/>
              <w:rPr>
                <w:color w:val="000000" w:themeColor="text1"/>
              </w:rPr>
            </w:pPr>
            <w:r w:rsidRPr="00286216">
              <w:rPr>
                <w:color w:val="000000" w:themeColor="text1"/>
              </w:rPr>
              <w:t>доповнити новим пунктом 30</w:t>
            </w:r>
            <w:r w:rsidRPr="00286216">
              <w:rPr>
                <w:color w:val="000000" w:themeColor="text1"/>
                <w:vertAlign w:val="superscript"/>
              </w:rPr>
              <w:t>2</w:t>
            </w:r>
            <w:r w:rsidRPr="00286216">
              <w:rPr>
                <w:color w:val="000000" w:themeColor="text1"/>
              </w:rPr>
              <w:t xml:space="preserve"> такого змісту:</w:t>
            </w:r>
          </w:p>
        </w:tc>
        <w:tc>
          <w:tcPr>
            <w:tcW w:w="3686" w:type="dxa"/>
          </w:tcPr>
          <w:p w14:paraId="45CE3ACF" w14:textId="77777777" w:rsidR="00826C07" w:rsidRPr="00286216" w:rsidRDefault="00826C07" w:rsidP="00826C07">
            <w:pPr>
              <w:pStyle w:val="StyleProp"/>
              <w:rPr>
                <w:color w:val="000000" w:themeColor="text1"/>
                <w:szCs w:val="18"/>
              </w:rPr>
            </w:pPr>
          </w:p>
        </w:tc>
        <w:tc>
          <w:tcPr>
            <w:tcW w:w="1987" w:type="dxa"/>
          </w:tcPr>
          <w:p w14:paraId="13B2FC0E" w14:textId="77777777" w:rsidR="00826C07" w:rsidRPr="00286216" w:rsidRDefault="00826C07" w:rsidP="00826C07">
            <w:pPr>
              <w:pStyle w:val="StyleWisnow"/>
              <w:rPr>
                <w:color w:val="000000" w:themeColor="text1"/>
              </w:rPr>
            </w:pPr>
          </w:p>
        </w:tc>
        <w:tc>
          <w:tcPr>
            <w:tcW w:w="4818" w:type="dxa"/>
          </w:tcPr>
          <w:p w14:paraId="547C6B4B" w14:textId="3B22FF2C" w:rsidR="00826C07" w:rsidRPr="00286216" w:rsidRDefault="00826C07" w:rsidP="009D3849">
            <w:pPr>
              <w:pStyle w:val="StyleZakonu"/>
              <w:rPr>
                <w:color w:val="000000" w:themeColor="text1"/>
              </w:rPr>
            </w:pPr>
            <w:r w:rsidRPr="00286216">
              <w:rPr>
                <w:color w:val="000000" w:themeColor="text1"/>
              </w:rPr>
              <w:t xml:space="preserve">доповнити пунктом 30 </w:t>
            </w:r>
            <w:r w:rsidRPr="00286216">
              <w:rPr>
                <w:color w:val="000000" w:themeColor="text1"/>
                <w:vertAlign w:val="superscript"/>
              </w:rPr>
              <w:t>2</w:t>
            </w:r>
            <w:r w:rsidRPr="00286216">
              <w:rPr>
                <w:color w:val="000000" w:themeColor="text1"/>
              </w:rPr>
              <w:t xml:space="preserve"> такого змісту:</w:t>
            </w:r>
          </w:p>
        </w:tc>
      </w:tr>
      <w:tr w:rsidR="00826C07" w:rsidRPr="00286216" w14:paraId="4CC6BFFE" w14:textId="77777777" w:rsidTr="00091AA5">
        <w:tc>
          <w:tcPr>
            <w:tcW w:w="576" w:type="dxa"/>
          </w:tcPr>
          <w:p w14:paraId="0D0BCE9B" w14:textId="77777777" w:rsidR="00826C07" w:rsidRPr="00286216" w:rsidRDefault="00826C07" w:rsidP="00826C07">
            <w:pPr>
              <w:pStyle w:val="StyleWisnow"/>
              <w:rPr>
                <w:color w:val="000000" w:themeColor="text1"/>
              </w:rPr>
            </w:pPr>
            <w:bookmarkStart w:id="2874" w:name="n3002" w:colFirst="0" w:colLast="0"/>
            <w:bookmarkEnd w:id="2873"/>
            <w:r w:rsidRPr="00286216">
              <w:rPr>
                <w:color w:val="000000" w:themeColor="text1"/>
              </w:rPr>
              <w:t>3002.</w:t>
            </w:r>
          </w:p>
        </w:tc>
        <w:tc>
          <w:tcPr>
            <w:tcW w:w="4818" w:type="dxa"/>
          </w:tcPr>
          <w:p w14:paraId="1901C91B" w14:textId="77777777" w:rsidR="00826C07" w:rsidRPr="00286216" w:rsidRDefault="00826C07" w:rsidP="00826C07">
            <w:pPr>
              <w:pStyle w:val="StyleZakonu"/>
              <w:rPr>
                <w:color w:val="000000" w:themeColor="text1"/>
              </w:rPr>
            </w:pPr>
            <w:r w:rsidRPr="00286216">
              <w:rPr>
                <w:color w:val="000000" w:themeColor="text1"/>
              </w:rPr>
              <w:t>"30</w:t>
            </w:r>
            <w:r w:rsidRPr="00286216">
              <w:rPr>
                <w:color w:val="000000" w:themeColor="text1"/>
                <w:vertAlign w:val="superscript"/>
              </w:rPr>
              <w:t>2</w:t>
            </w:r>
            <w:r w:rsidRPr="00286216">
              <w:rPr>
                <w:color w:val="000000" w:themeColor="text1"/>
              </w:rPr>
              <w:t>) встановлює вимоги до осіб, які можуть бути адміністраторами за випуском облігацій; ";</w:t>
            </w:r>
          </w:p>
        </w:tc>
        <w:tc>
          <w:tcPr>
            <w:tcW w:w="3686" w:type="dxa"/>
          </w:tcPr>
          <w:p w14:paraId="748CDE82" w14:textId="77777777" w:rsidR="00826C07" w:rsidRPr="00286216" w:rsidRDefault="00826C07" w:rsidP="00826C07">
            <w:pPr>
              <w:pStyle w:val="StyleProp"/>
              <w:rPr>
                <w:color w:val="000000" w:themeColor="text1"/>
                <w:szCs w:val="18"/>
              </w:rPr>
            </w:pPr>
          </w:p>
        </w:tc>
        <w:tc>
          <w:tcPr>
            <w:tcW w:w="1987" w:type="dxa"/>
          </w:tcPr>
          <w:p w14:paraId="5B4108ED" w14:textId="77777777" w:rsidR="00826C07" w:rsidRPr="00286216" w:rsidRDefault="00826C07" w:rsidP="00826C07">
            <w:pPr>
              <w:pStyle w:val="StyleWisnow"/>
              <w:rPr>
                <w:color w:val="000000" w:themeColor="text1"/>
              </w:rPr>
            </w:pPr>
          </w:p>
        </w:tc>
        <w:tc>
          <w:tcPr>
            <w:tcW w:w="4818" w:type="dxa"/>
          </w:tcPr>
          <w:p w14:paraId="690054EC" w14:textId="1909F3C7" w:rsidR="00826C07" w:rsidRPr="00286216" w:rsidRDefault="00826C07" w:rsidP="00826C07">
            <w:pPr>
              <w:pStyle w:val="StyleZakonu"/>
              <w:rPr>
                <w:color w:val="000000" w:themeColor="text1"/>
              </w:rPr>
            </w:pPr>
            <w:r w:rsidRPr="00286216">
              <w:rPr>
                <w:color w:val="000000" w:themeColor="text1"/>
              </w:rPr>
              <w:t xml:space="preserve">"30 </w:t>
            </w:r>
            <w:r w:rsidRPr="00286216">
              <w:rPr>
                <w:color w:val="000000" w:themeColor="text1"/>
                <w:vertAlign w:val="superscript"/>
              </w:rPr>
              <w:t>2</w:t>
            </w:r>
            <w:r w:rsidRPr="00286216">
              <w:rPr>
                <w:color w:val="000000" w:themeColor="text1"/>
              </w:rPr>
              <w:t>) встановлює вимоги до осіб, які можуть бути адміністраторами за випуском облігацій";</w:t>
            </w:r>
          </w:p>
        </w:tc>
      </w:tr>
      <w:tr w:rsidR="008E6EDB" w:rsidRPr="00286216" w14:paraId="18CA12B7" w14:textId="77777777" w:rsidTr="00091AA5">
        <w:tc>
          <w:tcPr>
            <w:tcW w:w="576" w:type="dxa"/>
          </w:tcPr>
          <w:p w14:paraId="7FC06071" w14:textId="77777777" w:rsidR="008E6EDB" w:rsidRPr="00286216" w:rsidRDefault="008E6EDB" w:rsidP="008E6EDB">
            <w:pPr>
              <w:pStyle w:val="StyleWisnow"/>
              <w:rPr>
                <w:color w:val="000000" w:themeColor="text1"/>
              </w:rPr>
            </w:pPr>
            <w:bookmarkStart w:id="2875" w:name="n3003" w:colFirst="0" w:colLast="0"/>
            <w:bookmarkEnd w:id="2874"/>
            <w:r w:rsidRPr="00286216">
              <w:rPr>
                <w:color w:val="000000" w:themeColor="text1"/>
              </w:rPr>
              <w:t>3003.</w:t>
            </w:r>
          </w:p>
        </w:tc>
        <w:tc>
          <w:tcPr>
            <w:tcW w:w="4818" w:type="dxa"/>
          </w:tcPr>
          <w:p w14:paraId="1240C1D8" w14:textId="77777777" w:rsidR="008E6EDB" w:rsidRPr="00286216" w:rsidRDefault="008E6EDB" w:rsidP="008E6EDB">
            <w:pPr>
              <w:pStyle w:val="StyleZakonu"/>
              <w:rPr>
                <w:color w:val="000000" w:themeColor="text1"/>
              </w:rPr>
            </w:pPr>
            <w:r w:rsidRPr="00286216">
              <w:rPr>
                <w:color w:val="000000" w:themeColor="text1"/>
              </w:rPr>
              <w:t>пункти 37</w:t>
            </w:r>
            <w:r w:rsidRPr="00286216">
              <w:rPr>
                <w:color w:val="000000" w:themeColor="text1"/>
                <w:vertAlign w:val="superscript"/>
              </w:rPr>
              <w:t>1</w:t>
            </w:r>
            <w:r w:rsidRPr="00286216">
              <w:rPr>
                <w:color w:val="000000" w:themeColor="text1"/>
              </w:rPr>
              <w:t xml:space="preserve"> - 38 вважати пунктами 38-59 </w:t>
            </w:r>
            <w:r w:rsidRPr="00286216">
              <w:rPr>
                <w:color w:val="000000" w:themeColor="text1"/>
              </w:rPr>
              <w:lastRenderedPageBreak/>
              <w:t>відповідно;</w:t>
            </w:r>
          </w:p>
        </w:tc>
        <w:tc>
          <w:tcPr>
            <w:tcW w:w="3686" w:type="dxa"/>
          </w:tcPr>
          <w:p w14:paraId="5959396F" w14:textId="77777777" w:rsidR="008E6EDB" w:rsidRPr="00286216" w:rsidRDefault="008E6EDB" w:rsidP="008E6EDB">
            <w:pPr>
              <w:pStyle w:val="StyleProp"/>
              <w:rPr>
                <w:color w:val="000000" w:themeColor="text1"/>
                <w:szCs w:val="18"/>
              </w:rPr>
            </w:pPr>
          </w:p>
        </w:tc>
        <w:tc>
          <w:tcPr>
            <w:tcW w:w="1987" w:type="dxa"/>
          </w:tcPr>
          <w:p w14:paraId="4EFD397B" w14:textId="77777777" w:rsidR="008E6EDB" w:rsidRPr="00286216" w:rsidRDefault="008E6EDB" w:rsidP="008E6EDB">
            <w:pPr>
              <w:pStyle w:val="StyleWisnow"/>
              <w:rPr>
                <w:color w:val="000000" w:themeColor="text1"/>
              </w:rPr>
            </w:pPr>
          </w:p>
        </w:tc>
        <w:tc>
          <w:tcPr>
            <w:tcW w:w="4818" w:type="dxa"/>
          </w:tcPr>
          <w:p w14:paraId="6392FB93" w14:textId="2B77D64D" w:rsidR="008E6EDB" w:rsidRPr="00286216" w:rsidRDefault="008E6EDB" w:rsidP="008E6EDB">
            <w:pPr>
              <w:pStyle w:val="StyleZakonu"/>
              <w:rPr>
                <w:color w:val="000000" w:themeColor="text1"/>
              </w:rPr>
            </w:pPr>
            <w:r w:rsidRPr="00286216">
              <w:rPr>
                <w:color w:val="000000" w:themeColor="text1"/>
              </w:rPr>
              <w:t>;</w:t>
            </w:r>
          </w:p>
        </w:tc>
      </w:tr>
      <w:tr w:rsidR="008E6EDB" w:rsidRPr="00286216" w14:paraId="7AA3C378" w14:textId="77777777" w:rsidTr="00091AA5">
        <w:tc>
          <w:tcPr>
            <w:tcW w:w="576" w:type="dxa"/>
          </w:tcPr>
          <w:p w14:paraId="1B3CC7EE" w14:textId="77777777" w:rsidR="008E6EDB" w:rsidRPr="00286216" w:rsidRDefault="008E6EDB" w:rsidP="008E6EDB">
            <w:pPr>
              <w:pStyle w:val="StyleWisnow"/>
              <w:rPr>
                <w:color w:val="000000" w:themeColor="text1"/>
              </w:rPr>
            </w:pPr>
            <w:bookmarkStart w:id="2876" w:name="n3004" w:colFirst="0" w:colLast="0"/>
            <w:bookmarkEnd w:id="2875"/>
            <w:r w:rsidRPr="00286216">
              <w:rPr>
                <w:color w:val="000000" w:themeColor="text1"/>
              </w:rPr>
              <w:t>3004.</w:t>
            </w:r>
          </w:p>
        </w:tc>
        <w:tc>
          <w:tcPr>
            <w:tcW w:w="4818" w:type="dxa"/>
          </w:tcPr>
          <w:p w14:paraId="05CEB9F3" w14:textId="77777777" w:rsidR="008E6EDB" w:rsidRPr="00286216" w:rsidRDefault="008E6EDB" w:rsidP="008E6EDB">
            <w:pPr>
              <w:pStyle w:val="StyleZakonu"/>
              <w:rPr>
                <w:color w:val="000000" w:themeColor="text1"/>
              </w:rPr>
            </w:pPr>
            <w:r w:rsidRPr="00286216">
              <w:rPr>
                <w:color w:val="000000" w:themeColor="text1"/>
              </w:rPr>
              <w:t>у пункті 38 слова "фондовому ринку" замінити словами "організованих ринках";</w:t>
            </w:r>
          </w:p>
        </w:tc>
        <w:tc>
          <w:tcPr>
            <w:tcW w:w="3686" w:type="dxa"/>
          </w:tcPr>
          <w:p w14:paraId="66C05380" w14:textId="77777777" w:rsidR="008E6EDB" w:rsidRPr="00286216" w:rsidRDefault="008E6EDB" w:rsidP="008E6EDB">
            <w:pPr>
              <w:spacing w:line="200" w:lineRule="exact"/>
              <w:ind w:firstLine="227"/>
              <w:jc w:val="both"/>
              <w:rPr>
                <w:color w:val="000000" w:themeColor="text1"/>
                <w:szCs w:val="18"/>
              </w:rPr>
            </w:pPr>
          </w:p>
        </w:tc>
        <w:tc>
          <w:tcPr>
            <w:tcW w:w="1987" w:type="dxa"/>
          </w:tcPr>
          <w:p w14:paraId="7B50467D" w14:textId="77777777" w:rsidR="008E6EDB" w:rsidRPr="00286216" w:rsidRDefault="008E6EDB" w:rsidP="008E6EDB">
            <w:pPr>
              <w:pStyle w:val="StyleWisnow"/>
              <w:rPr>
                <w:color w:val="000000" w:themeColor="text1"/>
              </w:rPr>
            </w:pPr>
          </w:p>
        </w:tc>
        <w:tc>
          <w:tcPr>
            <w:tcW w:w="4818" w:type="dxa"/>
          </w:tcPr>
          <w:p w14:paraId="51AD2651" w14:textId="2C2C144E"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1</w:t>
            </w:r>
            <w:r w:rsidRPr="00286216">
              <w:rPr>
                <w:color w:val="000000" w:themeColor="text1"/>
              </w:rPr>
              <w:t xml:space="preserve">  слова "фондовому ринку" замінити словами "організованих ринках";</w:t>
            </w:r>
          </w:p>
        </w:tc>
      </w:tr>
      <w:tr w:rsidR="008E6EDB" w:rsidRPr="00286216" w14:paraId="156D10C4" w14:textId="77777777" w:rsidTr="00091AA5">
        <w:tc>
          <w:tcPr>
            <w:tcW w:w="576" w:type="dxa"/>
          </w:tcPr>
          <w:p w14:paraId="778ECED2" w14:textId="77777777" w:rsidR="008E6EDB" w:rsidRPr="00286216" w:rsidRDefault="008E6EDB" w:rsidP="008E6EDB">
            <w:pPr>
              <w:pStyle w:val="StyleWisnow"/>
              <w:rPr>
                <w:color w:val="000000" w:themeColor="text1"/>
              </w:rPr>
            </w:pPr>
            <w:bookmarkStart w:id="2877" w:name="n3005" w:colFirst="0" w:colLast="0"/>
            <w:bookmarkEnd w:id="2876"/>
            <w:r w:rsidRPr="00286216">
              <w:rPr>
                <w:color w:val="000000" w:themeColor="text1"/>
              </w:rPr>
              <w:t>3005.</w:t>
            </w:r>
          </w:p>
        </w:tc>
        <w:tc>
          <w:tcPr>
            <w:tcW w:w="4818" w:type="dxa"/>
          </w:tcPr>
          <w:p w14:paraId="3CA154C9" w14:textId="77777777" w:rsidR="008E6EDB" w:rsidRPr="00286216" w:rsidRDefault="008E6EDB" w:rsidP="008E6EDB">
            <w:pPr>
              <w:pStyle w:val="StyleZakonu"/>
              <w:rPr>
                <w:color w:val="000000" w:themeColor="text1"/>
              </w:rPr>
            </w:pPr>
            <w:r w:rsidRPr="00286216">
              <w:rPr>
                <w:color w:val="000000" w:themeColor="text1"/>
              </w:rPr>
              <w:t>у пункті 39 слова "фінансового інструменту на фондовій біржі" замінити словами "відповідного активу, допущеного до торгів на організованому ринку", а слово "інструменту" замінити словом "активу";</w:t>
            </w:r>
          </w:p>
        </w:tc>
        <w:tc>
          <w:tcPr>
            <w:tcW w:w="3686" w:type="dxa"/>
          </w:tcPr>
          <w:p w14:paraId="143E7EA9" w14:textId="77777777" w:rsidR="008E6EDB" w:rsidRPr="00286216" w:rsidRDefault="008E6EDB" w:rsidP="008E6EDB">
            <w:pPr>
              <w:pStyle w:val="StyleProp"/>
              <w:rPr>
                <w:color w:val="000000" w:themeColor="text1"/>
                <w:szCs w:val="18"/>
              </w:rPr>
            </w:pPr>
          </w:p>
        </w:tc>
        <w:tc>
          <w:tcPr>
            <w:tcW w:w="1987" w:type="dxa"/>
          </w:tcPr>
          <w:p w14:paraId="3C8DD27E" w14:textId="77777777" w:rsidR="008E6EDB" w:rsidRPr="00286216" w:rsidRDefault="008E6EDB" w:rsidP="008E6EDB">
            <w:pPr>
              <w:pStyle w:val="StyleWisnow"/>
              <w:rPr>
                <w:color w:val="000000" w:themeColor="text1"/>
              </w:rPr>
            </w:pPr>
          </w:p>
        </w:tc>
        <w:tc>
          <w:tcPr>
            <w:tcW w:w="4818" w:type="dxa"/>
          </w:tcPr>
          <w:p w14:paraId="27D0EEFC" w14:textId="38AEF600"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2</w:t>
            </w:r>
            <w:r w:rsidRPr="00286216">
              <w:rPr>
                <w:color w:val="000000" w:themeColor="text1"/>
              </w:rPr>
              <w:t xml:space="preserve"> слова "фінансового інструменту на фондовій біржі" замінити словами "відповідного активу, допущеного до торгів на організованому ринку", а слово "інструменту" замінити словом "активу";</w:t>
            </w:r>
          </w:p>
        </w:tc>
      </w:tr>
      <w:tr w:rsidR="008E6EDB" w:rsidRPr="00286216" w14:paraId="09458FF5" w14:textId="77777777" w:rsidTr="00091AA5">
        <w:tc>
          <w:tcPr>
            <w:tcW w:w="576" w:type="dxa"/>
          </w:tcPr>
          <w:p w14:paraId="1428F32B" w14:textId="77777777" w:rsidR="008E6EDB" w:rsidRPr="00286216" w:rsidRDefault="008E6EDB" w:rsidP="008E6EDB">
            <w:pPr>
              <w:pStyle w:val="StyleWisnow"/>
              <w:rPr>
                <w:color w:val="000000" w:themeColor="text1"/>
              </w:rPr>
            </w:pPr>
            <w:bookmarkStart w:id="2878" w:name="n3006" w:colFirst="0" w:colLast="0"/>
            <w:bookmarkEnd w:id="2877"/>
            <w:r w:rsidRPr="00286216">
              <w:rPr>
                <w:color w:val="000000" w:themeColor="text1"/>
              </w:rPr>
              <w:t>3006.</w:t>
            </w:r>
          </w:p>
        </w:tc>
        <w:tc>
          <w:tcPr>
            <w:tcW w:w="4818" w:type="dxa"/>
          </w:tcPr>
          <w:p w14:paraId="0205626F" w14:textId="77777777" w:rsidR="008E6EDB" w:rsidRPr="00286216" w:rsidRDefault="008E6EDB" w:rsidP="008E6EDB">
            <w:pPr>
              <w:pStyle w:val="StyleZakonu"/>
              <w:rPr>
                <w:color w:val="000000" w:themeColor="text1"/>
              </w:rPr>
            </w:pPr>
            <w:r w:rsidRPr="00286216">
              <w:rPr>
                <w:color w:val="000000" w:themeColor="text1"/>
              </w:rPr>
              <w:t>пункт 40 викласти в такій редакції:</w:t>
            </w:r>
          </w:p>
        </w:tc>
        <w:tc>
          <w:tcPr>
            <w:tcW w:w="3686" w:type="dxa"/>
          </w:tcPr>
          <w:p w14:paraId="239DFD70" w14:textId="77777777" w:rsidR="008E6EDB" w:rsidRPr="00286216" w:rsidRDefault="008E6EDB" w:rsidP="008E6EDB">
            <w:pPr>
              <w:pStyle w:val="StyleProp"/>
              <w:rPr>
                <w:color w:val="000000" w:themeColor="text1"/>
                <w:szCs w:val="18"/>
              </w:rPr>
            </w:pPr>
          </w:p>
        </w:tc>
        <w:tc>
          <w:tcPr>
            <w:tcW w:w="1987" w:type="dxa"/>
          </w:tcPr>
          <w:p w14:paraId="7F10859B" w14:textId="77777777" w:rsidR="008E6EDB" w:rsidRPr="00286216" w:rsidRDefault="008E6EDB" w:rsidP="008E6EDB">
            <w:pPr>
              <w:pStyle w:val="StyleWisnow"/>
              <w:rPr>
                <w:color w:val="000000" w:themeColor="text1"/>
              </w:rPr>
            </w:pPr>
          </w:p>
        </w:tc>
        <w:tc>
          <w:tcPr>
            <w:tcW w:w="4818" w:type="dxa"/>
          </w:tcPr>
          <w:p w14:paraId="37E28CEF" w14:textId="0D222F42" w:rsidR="008E6EDB" w:rsidRPr="00286216" w:rsidRDefault="008E6EDB" w:rsidP="008E6EDB">
            <w:pPr>
              <w:pStyle w:val="StyleZakonu"/>
              <w:rPr>
                <w:color w:val="000000" w:themeColor="text1"/>
              </w:rPr>
            </w:pPr>
            <w:r w:rsidRPr="00286216">
              <w:rPr>
                <w:color w:val="000000" w:themeColor="text1"/>
              </w:rPr>
              <w:t>пункт 37</w:t>
            </w:r>
            <w:r w:rsidRPr="00286216">
              <w:rPr>
                <w:color w:val="000000" w:themeColor="text1"/>
                <w:vertAlign w:val="superscript"/>
              </w:rPr>
              <w:t>3</w:t>
            </w:r>
            <w:r w:rsidRPr="00286216">
              <w:rPr>
                <w:color w:val="000000" w:themeColor="text1"/>
              </w:rPr>
              <w:t xml:space="preserve">  викласти в такій редакції:</w:t>
            </w:r>
          </w:p>
        </w:tc>
      </w:tr>
      <w:tr w:rsidR="008E6EDB" w:rsidRPr="00286216" w14:paraId="7BD0318E" w14:textId="77777777" w:rsidTr="00091AA5">
        <w:tc>
          <w:tcPr>
            <w:tcW w:w="576" w:type="dxa"/>
          </w:tcPr>
          <w:p w14:paraId="4CB06965" w14:textId="77777777" w:rsidR="008E6EDB" w:rsidRPr="00286216" w:rsidRDefault="008E6EDB" w:rsidP="008E6EDB">
            <w:pPr>
              <w:pStyle w:val="StyleWisnow"/>
              <w:rPr>
                <w:color w:val="000000" w:themeColor="text1"/>
              </w:rPr>
            </w:pPr>
            <w:bookmarkStart w:id="2879" w:name="n3007" w:colFirst="0" w:colLast="0"/>
            <w:bookmarkEnd w:id="2878"/>
            <w:r w:rsidRPr="00286216">
              <w:rPr>
                <w:color w:val="000000" w:themeColor="text1"/>
              </w:rPr>
              <w:t>3007.</w:t>
            </w:r>
          </w:p>
        </w:tc>
        <w:tc>
          <w:tcPr>
            <w:tcW w:w="4818" w:type="dxa"/>
          </w:tcPr>
          <w:p w14:paraId="26C814CB" w14:textId="77777777" w:rsidR="008E6EDB" w:rsidRPr="00286216" w:rsidRDefault="008E6EDB" w:rsidP="008E6EDB">
            <w:pPr>
              <w:pStyle w:val="StyleZakonu"/>
              <w:rPr>
                <w:color w:val="000000" w:themeColor="text1"/>
              </w:rPr>
            </w:pPr>
            <w:r w:rsidRPr="00286216">
              <w:rPr>
                <w:color w:val="000000" w:themeColor="text1"/>
              </w:rPr>
              <w:t>"40) погоджує відповідно до Закону України "Про ринки капіталу та організовані товарні ринки" в установленому нею порядку набуття особою участі у професійному учаснику ринків капіталу та організованих товарних ринків (крім банків) або її збільшення; ";</w:t>
            </w:r>
          </w:p>
        </w:tc>
        <w:tc>
          <w:tcPr>
            <w:tcW w:w="3686" w:type="dxa"/>
          </w:tcPr>
          <w:p w14:paraId="64D28610" w14:textId="20C196A6"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1330</w:t>
            </w:r>
            <w:r w:rsidRPr="00286216">
              <w:rPr>
                <w:color w:val="000000" w:themeColor="text1"/>
              </w:rPr>
              <w:fldChar w:fldCharType="end"/>
            </w:r>
            <w:r w:rsidRPr="00286216">
              <w:rPr>
                <w:color w:val="000000" w:themeColor="text1"/>
              </w:rPr>
              <w:t>-Н.д.Шахов С.В.(Реєстр.картка №114)</w:t>
            </w:r>
          </w:p>
          <w:p w14:paraId="7B6DF73D"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У </w:t>
            </w:r>
            <w:r w:rsidRPr="00286216">
              <w:rPr>
                <w:color w:val="000000" w:themeColor="text1"/>
                <w:spacing w:val="-4"/>
              </w:rPr>
              <w:t xml:space="preserve">п.п.8 п.17 (зміни у ст.7) </w:t>
            </w:r>
            <w:r w:rsidRPr="00286216">
              <w:rPr>
                <w:color w:val="000000" w:themeColor="text1"/>
                <w:spacing w:val="-2"/>
                <w:szCs w:val="18"/>
              </w:rPr>
              <w:t>в новій редакції пункту 40 після слів "крім банків" доповнити словами "та товарних бірж".</w:t>
            </w:r>
          </w:p>
        </w:tc>
        <w:tc>
          <w:tcPr>
            <w:tcW w:w="1987" w:type="dxa"/>
          </w:tcPr>
          <w:p w14:paraId="794935A2" w14:textId="5BDA1097" w:rsidR="008E6EDB" w:rsidRPr="00286216" w:rsidRDefault="008E6EDB" w:rsidP="008E6EDB">
            <w:pPr>
              <w:pStyle w:val="StyleWisnow"/>
              <w:rPr>
                <w:color w:val="000000" w:themeColor="text1"/>
              </w:rPr>
            </w:pPr>
            <w:r w:rsidRPr="00286216">
              <w:rPr>
                <w:color w:val="000000" w:themeColor="text1"/>
              </w:rPr>
              <w:t>Відхилено</w:t>
            </w:r>
          </w:p>
          <w:p w14:paraId="44B2E0C9" w14:textId="19B67A8A" w:rsidR="008E6EDB" w:rsidRPr="00286216" w:rsidRDefault="008E6EDB" w:rsidP="008E6EDB">
            <w:pPr>
              <w:pStyle w:val="StyleWisnow"/>
              <w:spacing w:line="180" w:lineRule="exact"/>
              <w:rPr>
                <w:color w:val="000000" w:themeColor="text1"/>
                <w:spacing w:val="-2"/>
              </w:rPr>
            </w:pPr>
            <w:r w:rsidRPr="00286216">
              <w:rPr>
                <w:color w:val="000000" w:themeColor="text1"/>
                <w:spacing w:val="-4"/>
              </w:rPr>
              <w:t>у звʼязку з виключенням</w:t>
            </w:r>
            <w:r w:rsidRPr="00286216">
              <w:rPr>
                <w:color w:val="000000" w:themeColor="text1"/>
                <w:spacing w:val="-2"/>
              </w:rPr>
              <w:t xml:space="preserve"> положень щодо регульованих товарних ринків та відповідною  зміною регулювання для товарних бірж</w:t>
            </w:r>
          </w:p>
        </w:tc>
        <w:tc>
          <w:tcPr>
            <w:tcW w:w="4818" w:type="dxa"/>
          </w:tcPr>
          <w:p w14:paraId="1D666227" w14:textId="687DEA60"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3</w:t>
            </w:r>
            <w:r w:rsidRPr="00286216">
              <w:rPr>
                <w:color w:val="000000" w:themeColor="text1"/>
              </w:rPr>
              <w:t>) погоджує відповідно до Закону України "Про ринки капіталу та організовані товарні ринки" в установленому нею порядку набуття особою участі у професійному учаснику ринків капіталу та організованих товарних ринків (крім банків) або її збільшення";</w:t>
            </w:r>
          </w:p>
        </w:tc>
      </w:tr>
      <w:tr w:rsidR="008E6EDB" w:rsidRPr="00286216" w14:paraId="5EE66B30" w14:textId="77777777" w:rsidTr="00091AA5">
        <w:tc>
          <w:tcPr>
            <w:tcW w:w="576" w:type="dxa"/>
          </w:tcPr>
          <w:p w14:paraId="7D0A080C" w14:textId="77777777" w:rsidR="008E6EDB" w:rsidRPr="00286216" w:rsidRDefault="008E6EDB" w:rsidP="008E6EDB">
            <w:pPr>
              <w:pStyle w:val="StyleWisnow"/>
              <w:rPr>
                <w:color w:val="000000" w:themeColor="text1"/>
              </w:rPr>
            </w:pPr>
            <w:bookmarkStart w:id="2880" w:name="n3008" w:colFirst="0" w:colLast="0"/>
            <w:bookmarkEnd w:id="2879"/>
            <w:r w:rsidRPr="00286216">
              <w:rPr>
                <w:color w:val="000000" w:themeColor="text1"/>
              </w:rPr>
              <w:t>3008.</w:t>
            </w:r>
          </w:p>
        </w:tc>
        <w:tc>
          <w:tcPr>
            <w:tcW w:w="4818" w:type="dxa"/>
          </w:tcPr>
          <w:p w14:paraId="04E3B11E" w14:textId="77777777" w:rsidR="008E6EDB" w:rsidRPr="00286216" w:rsidRDefault="008E6EDB" w:rsidP="008E6EDB">
            <w:pPr>
              <w:pStyle w:val="StyleZakonu"/>
              <w:rPr>
                <w:color w:val="000000" w:themeColor="text1"/>
              </w:rPr>
            </w:pPr>
            <w:r w:rsidRPr="00286216">
              <w:rPr>
                <w:color w:val="000000" w:themeColor="text1"/>
              </w:rPr>
              <w:t>у пункті 41 слова "фондового ринку" замінити словами "ринків капіталу та організованих товарних ринків";</w:t>
            </w:r>
          </w:p>
        </w:tc>
        <w:tc>
          <w:tcPr>
            <w:tcW w:w="3686" w:type="dxa"/>
          </w:tcPr>
          <w:p w14:paraId="2E0E9002" w14:textId="199C549D"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1331</w:t>
            </w:r>
            <w:r w:rsidRPr="00286216">
              <w:rPr>
                <w:color w:val="000000" w:themeColor="text1"/>
              </w:rPr>
              <w:fldChar w:fldCharType="end"/>
            </w:r>
            <w:r w:rsidRPr="00286216">
              <w:rPr>
                <w:color w:val="000000" w:themeColor="text1"/>
              </w:rPr>
              <w:t>-Н.д.Шахов С.В.(Реєстр.картка №114)</w:t>
            </w:r>
          </w:p>
          <w:p w14:paraId="7FB77AD5" w14:textId="77777777" w:rsidR="008E6EDB" w:rsidRPr="00286216" w:rsidRDefault="008E6EDB" w:rsidP="008E6EDB">
            <w:pPr>
              <w:pStyle w:val="StyleProp"/>
              <w:rPr>
                <w:color w:val="000000" w:themeColor="text1"/>
                <w:spacing w:val="-4"/>
              </w:rPr>
            </w:pPr>
            <w:r w:rsidRPr="00286216">
              <w:rPr>
                <w:color w:val="000000" w:themeColor="text1"/>
                <w:spacing w:val="-4"/>
                <w:szCs w:val="18"/>
              </w:rPr>
              <w:t xml:space="preserve">У </w:t>
            </w:r>
            <w:r w:rsidRPr="00286216">
              <w:rPr>
                <w:color w:val="000000" w:themeColor="text1"/>
                <w:spacing w:val="-4"/>
              </w:rPr>
              <w:t>п.п.8 п.17 (зміни у ст.7) зміні до п. 41 викласти у такій новій редакції пункту:</w:t>
            </w:r>
          </w:p>
          <w:p w14:paraId="68464590" w14:textId="5BB6FA2D" w:rsidR="008E6EDB" w:rsidRPr="00286216" w:rsidRDefault="008E6EDB" w:rsidP="008E6EDB">
            <w:pPr>
              <w:pStyle w:val="StyleProp"/>
              <w:rPr>
                <w:color w:val="000000" w:themeColor="text1"/>
                <w:szCs w:val="18"/>
              </w:rPr>
            </w:pPr>
            <w:r w:rsidRPr="00286216">
              <w:rPr>
                <w:color w:val="000000" w:themeColor="text1"/>
                <w:spacing w:val="-4"/>
              </w:rPr>
              <w:t>"41) розробляє рекомендації щодо стандартів корпоративного управління в професійних учасниках ринків капіталу".</w:t>
            </w:r>
          </w:p>
        </w:tc>
        <w:tc>
          <w:tcPr>
            <w:tcW w:w="1987" w:type="dxa"/>
          </w:tcPr>
          <w:p w14:paraId="6AE78FDC" w14:textId="4F4C74FC" w:rsidR="008E6EDB" w:rsidRPr="00286216" w:rsidRDefault="008E6EDB" w:rsidP="008E6EDB">
            <w:pPr>
              <w:pStyle w:val="StyleWisnow"/>
              <w:rPr>
                <w:color w:val="000000" w:themeColor="text1"/>
              </w:rPr>
            </w:pPr>
            <w:r w:rsidRPr="00286216">
              <w:rPr>
                <w:color w:val="000000" w:themeColor="text1"/>
              </w:rPr>
              <w:t>Враховано по суті</w:t>
            </w:r>
          </w:p>
        </w:tc>
        <w:tc>
          <w:tcPr>
            <w:tcW w:w="4818" w:type="dxa"/>
          </w:tcPr>
          <w:p w14:paraId="5086D000" w14:textId="15FB3F80"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4</w:t>
            </w:r>
            <w:r w:rsidRPr="00286216">
              <w:rPr>
                <w:color w:val="000000" w:themeColor="text1"/>
              </w:rPr>
              <w:t xml:space="preserve"> слова "фондового ринку" замінити словами "ринків капіталу та організованих товарних ринків";</w:t>
            </w:r>
          </w:p>
        </w:tc>
      </w:tr>
      <w:tr w:rsidR="008E6EDB" w:rsidRPr="00286216" w14:paraId="1E7A9106" w14:textId="77777777" w:rsidTr="00091AA5">
        <w:tc>
          <w:tcPr>
            <w:tcW w:w="576" w:type="dxa"/>
          </w:tcPr>
          <w:p w14:paraId="48AAEC73" w14:textId="77777777" w:rsidR="008E6EDB" w:rsidRPr="00286216" w:rsidRDefault="008E6EDB" w:rsidP="008E6EDB">
            <w:pPr>
              <w:pStyle w:val="StyleWisnow"/>
              <w:rPr>
                <w:color w:val="000000" w:themeColor="text1"/>
              </w:rPr>
            </w:pPr>
            <w:bookmarkStart w:id="2881" w:name="n3009" w:colFirst="0" w:colLast="0"/>
            <w:bookmarkEnd w:id="2880"/>
            <w:r w:rsidRPr="00286216">
              <w:rPr>
                <w:color w:val="000000" w:themeColor="text1"/>
              </w:rPr>
              <w:t>3009.</w:t>
            </w:r>
          </w:p>
        </w:tc>
        <w:tc>
          <w:tcPr>
            <w:tcW w:w="4818" w:type="dxa"/>
          </w:tcPr>
          <w:p w14:paraId="603DD3B6" w14:textId="77777777" w:rsidR="008E6EDB" w:rsidRPr="00286216" w:rsidRDefault="008E6EDB" w:rsidP="008E6EDB">
            <w:pPr>
              <w:pStyle w:val="StyleZakonu"/>
              <w:rPr>
                <w:color w:val="000000" w:themeColor="text1"/>
              </w:rPr>
            </w:pPr>
            <w:r w:rsidRPr="00286216">
              <w:rPr>
                <w:color w:val="000000" w:themeColor="text1"/>
              </w:rPr>
              <w:t>пункт 42 викласти в такій редакції:</w:t>
            </w:r>
          </w:p>
        </w:tc>
        <w:tc>
          <w:tcPr>
            <w:tcW w:w="3686" w:type="dxa"/>
          </w:tcPr>
          <w:p w14:paraId="3EEFE873" w14:textId="77777777" w:rsidR="008E6EDB" w:rsidRPr="00286216" w:rsidRDefault="008E6EDB" w:rsidP="008E6EDB">
            <w:pPr>
              <w:pStyle w:val="StyleProp"/>
              <w:rPr>
                <w:color w:val="000000" w:themeColor="text1"/>
                <w:szCs w:val="18"/>
              </w:rPr>
            </w:pPr>
          </w:p>
        </w:tc>
        <w:tc>
          <w:tcPr>
            <w:tcW w:w="1987" w:type="dxa"/>
          </w:tcPr>
          <w:p w14:paraId="14B55CDF" w14:textId="77777777" w:rsidR="008E6EDB" w:rsidRPr="00286216" w:rsidRDefault="008E6EDB" w:rsidP="008E6EDB">
            <w:pPr>
              <w:pStyle w:val="StyleWisnow"/>
              <w:rPr>
                <w:color w:val="000000" w:themeColor="text1"/>
              </w:rPr>
            </w:pPr>
          </w:p>
        </w:tc>
        <w:tc>
          <w:tcPr>
            <w:tcW w:w="4818" w:type="dxa"/>
          </w:tcPr>
          <w:p w14:paraId="0CB8895E" w14:textId="72A6B479" w:rsidR="008E6EDB" w:rsidRPr="00286216" w:rsidRDefault="008E6EDB" w:rsidP="008E6EDB">
            <w:pPr>
              <w:pStyle w:val="StyleZakonu"/>
              <w:rPr>
                <w:color w:val="000000" w:themeColor="text1"/>
              </w:rPr>
            </w:pPr>
            <w:r w:rsidRPr="00286216">
              <w:rPr>
                <w:color w:val="000000" w:themeColor="text1"/>
              </w:rPr>
              <w:t>пункт 37</w:t>
            </w:r>
            <w:r w:rsidRPr="00286216">
              <w:rPr>
                <w:color w:val="000000" w:themeColor="text1"/>
                <w:vertAlign w:val="superscript"/>
              </w:rPr>
              <w:t>5</w:t>
            </w:r>
            <w:r w:rsidRPr="00286216">
              <w:rPr>
                <w:color w:val="000000" w:themeColor="text1"/>
              </w:rPr>
              <w:t xml:space="preserve"> викласти в такій редакції:</w:t>
            </w:r>
          </w:p>
        </w:tc>
      </w:tr>
      <w:tr w:rsidR="008E6EDB" w:rsidRPr="00286216" w14:paraId="02B23095" w14:textId="77777777" w:rsidTr="00091AA5">
        <w:tc>
          <w:tcPr>
            <w:tcW w:w="576" w:type="dxa"/>
          </w:tcPr>
          <w:p w14:paraId="5F1A5DA8" w14:textId="77777777" w:rsidR="008E6EDB" w:rsidRPr="00286216" w:rsidRDefault="008E6EDB" w:rsidP="008E6EDB">
            <w:pPr>
              <w:pStyle w:val="StyleWisnow"/>
              <w:rPr>
                <w:color w:val="000000" w:themeColor="text1"/>
              </w:rPr>
            </w:pPr>
            <w:bookmarkStart w:id="2882" w:name="n3010" w:colFirst="0" w:colLast="0"/>
            <w:bookmarkEnd w:id="2881"/>
            <w:r w:rsidRPr="00286216">
              <w:rPr>
                <w:color w:val="000000" w:themeColor="text1"/>
              </w:rPr>
              <w:t>3010.</w:t>
            </w:r>
          </w:p>
        </w:tc>
        <w:tc>
          <w:tcPr>
            <w:tcW w:w="4818" w:type="dxa"/>
          </w:tcPr>
          <w:p w14:paraId="1187E501" w14:textId="77777777" w:rsidR="008E6EDB" w:rsidRPr="00286216" w:rsidRDefault="008E6EDB" w:rsidP="008E6EDB">
            <w:pPr>
              <w:pStyle w:val="StyleZakonu"/>
              <w:rPr>
                <w:color w:val="000000" w:themeColor="text1"/>
              </w:rPr>
            </w:pPr>
            <w:r w:rsidRPr="00286216">
              <w:rPr>
                <w:color w:val="000000" w:themeColor="text1"/>
              </w:rPr>
              <w:t>"42) встановлює пруденційні нормативи та інші показники та вимоги, що обмежують ризики по операціях, пов’язаних з безпосереднім провадженням професійної діяльності щодо кожного виду професійної діяльності на ринках капіталу та організованих товарних ринках, а також суб’єктів системи накопичувального пенсійного забезпечення";</w:t>
            </w:r>
          </w:p>
        </w:tc>
        <w:tc>
          <w:tcPr>
            <w:tcW w:w="3686" w:type="dxa"/>
          </w:tcPr>
          <w:p w14:paraId="25690B37" w14:textId="0DDD68C5"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1332</w:t>
            </w:r>
            <w:r w:rsidRPr="00286216">
              <w:rPr>
                <w:color w:val="000000" w:themeColor="text1"/>
              </w:rPr>
              <w:fldChar w:fldCharType="end"/>
            </w:r>
            <w:r w:rsidRPr="00286216">
              <w:rPr>
                <w:color w:val="000000" w:themeColor="text1"/>
              </w:rPr>
              <w:t>-Н.д.Шахов С.В.(Реєстр.картка №114)</w:t>
            </w:r>
          </w:p>
          <w:p w14:paraId="49E00B21"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68DB9851" w14:textId="77777777" w:rsidR="008E6EDB" w:rsidRPr="00286216" w:rsidRDefault="008E6EDB" w:rsidP="008E6EDB">
            <w:pPr>
              <w:pStyle w:val="StyleWisnow"/>
              <w:rPr>
                <w:color w:val="000000" w:themeColor="text1"/>
              </w:rPr>
            </w:pPr>
            <w:r w:rsidRPr="00286216">
              <w:rPr>
                <w:color w:val="000000" w:themeColor="text1"/>
              </w:rPr>
              <w:t>Відхилено</w:t>
            </w:r>
          </w:p>
          <w:p w14:paraId="3564FAD0" w14:textId="4B6F3DF5"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7DF6DE11" w14:textId="7458D120"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5</w:t>
            </w:r>
            <w:r w:rsidRPr="00286216">
              <w:rPr>
                <w:color w:val="000000" w:themeColor="text1"/>
              </w:rPr>
              <w:t>) встановлює пруденційні нормативи та інші показники та вимоги, що обмежують ризики по операціях, пов’язаних з безпосереднім провадженням професійної діяльності щодо кожного виду професійної діяльності на ринках капіталу та організованих товарних ринках, а також суб’єктів системи накопичувального пенсійного забезпечення";</w:t>
            </w:r>
          </w:p>
        </w:tc>
      </w:tr>
      <w:tr w:rsidR="008E6EDB" w:rsidRPr="00286216" w14:paraId="0BE6F043" w14:textId="77777777" w:rsidTr="00091AA5">
        <w:tc>
          <w:tcPr>
            <w:tcW w:w="576" w:type="dxa"/>
          </w:tcPr>
          <w:p w14:paraId="08FE8818" w14:textId="77777777" w:rsidR="008E6EDB" w:rsidRPr="00286216" w:rsidRDefault="008E6EDB" w:rsidP="008E6EDB">
            <w:pPr>
              <w:pStyle w:val="StyleWisnow"/>
              <w:rPr>
                <w:color w:val="000000" w:themeColor="text1"/>
              </w:rPr>
            </w:pPr>
            <w:bookmarkStart w:id="2883" w:name="n3011" w:colFirst="0" w:colLast="0"/>
            <w:bookmarkEnd w:id="2882"/>
            <w:r w:rsidRPr="00286216">
              <w:rPr>
                <w:color w:val="000000" w:themeColor="text1"/>
              </w:rPr>
              <w:t>3011.</w:t>
            </w:r>
          </w:p>
        </w:tc>
        <w:tc>
          <w:tcPr>
            <w:tcW w:w="4818" w:type="dxa"/>
          </w:tcPr>
          <w:p w14:paraId="27B7AA88" w14:textId="77777777" w:rsidR="008E6EDB" w:rsidRPr="00286216" w:rsidRDefault="008E6EDB" w:rsidP="008E6EDB">
            <w:pPr>
              <w:pStyle w:val="StyleZakonu"/>
              <w:rPr>
                <w:color w:val="000000" w:themeColor="text1"/>
              </w:rPr>
            </w:pPr>
            <w:r w:rsidRPr="00286216">
              <w:rPr>
                <w:color w:val="000000" w:themeColor="text1"/>
              </w:rPr>
              <w:t>у пункті 43 слова "фондових бірж та депозитаріїв" замінити словами "операторів організованих ринків капіталу, регульованих товарних ринків та Центрального депозитарію цінних паперів";</w:t>
            </w:r>
          </w:p>
        </w:tc>
        <w:tc>
          <w:tcPr>
            <w:tcW w:w="3686" w:type="dxa"/>
          </w:tcPr>
          <w:p w14:paraId="4C15FB83" w14:textId="2CC7C833" w:rsidR="008E6EDB" w:rsidRPr="00286216" w:rsidRDefault="008E6EDB" w:rsidP="008E6EDB">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1333</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25EB290" w14:textId="77777777" w:rsidR="008E6EDB" w:rsidRPr="00286216" w:rsidRDefault="008E6EDB" w:rsidP="008E6EDB">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05F4F191" w14:textId="77777777" w:rsidR="008E6EDB" w:rsidRPr="00286216" w:rsidRDefault="008E6EDB" w:rsidP="008E6EDB">
            <w:pPr>
              <w:pStyle w:val="StyleProp"/>
              <w:rPr>
                <w:color w:val="000000" w:themeColor="text1"/>
                <w:szCs w:val="18"/>
              </w:rPr>
            </w:pPr>
            <w:r w:rsidRPr="00286216">
              <w:rPr>
                <w:color w:val="000000" w:themeColor="text1"/>
                <w:szCs w:val="18"/>
              </w:rPr>
              <w:t>В абзаці 46 підпункту «б» підпункту 8 пункту 17 слово «регульованих» замінити словом «організованих».</w:t>
            </w:r>
          </w:p>
        </w:tc>
        <w:tc>
          <w:tcPr>
            <w:tcW w:w="1987" w:type="dxa"/>
          </w:tcPr>
          <w:p w14:paraId="20E40472" w14:textId="77777777" w:rsidR="008E6EDB" w:rsidRPr="00286216" w:rsidRDefault="008E6EDB" w:rsidP="008E6EDB">
            <w:pPr>
              <w:pStyle w:val="StyleWisnow"/>
              <w:rPr>
                <w:color w:val="000000" w:themeColor="text1"/>
              </w:rPr>
            </w:pPr>
            <w:r w:rsidRPr="00286216">
              <w:rPr>
                <w:color w:val="000000" w:themeColor="text1"/>
                <w:lang w:eastAsia="uk-UA"/>
              </w:rPr>
              <w:t>Враховано</w:t>
            </w:r>
          </w:p>
        </w:tc>
        <w:tc>
          <w:tcPr>
            <w:tcW w:w="4818" w:type="dxa"/>
          </w:tcPr>
          <w:p w14:paraId="668B5FCC" w14:textId="708394EC"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6</w:t>
            </w:r>
            <w:r w:rsidRPr="00286216">
              <w:rPr>
                <w:color w:val="000000" w:themeColor="text1"/>
              </w:rPr>
              <w:t xml:space="preserve"> слова "фондових бірж та депозитаріїв" замінити словами "операторів організованих ринків капіталу, </w:t>
            </w:r>
            <w:r w:rsidRPr="00286216">
              <w:rPr>
                <w:color w:val="000000" w:themeColor="text1"/>
                <w:szCs w:val="18"/>
              </w:rPr>
              <w:t>організованих</w:t>
            </w:r>
            <w:r w:rsidRPr="00286216" w:rsidDel="00107146">
              <w:rPr>
                <w:color w:val="000000" w:themeColor="text1"/>
              </w:rPr>
              <w:t xml:space="preserve"> </w:t>
            </w:r>
            <w:r w:rsidRPr="00286216">
              <w:rPr>
                <w:color w:val="000000" w:themeColor="text1"/>
              </w:rPr>
              <w:t>товарних ринків та Центрального депозитарію цінних паперів";</w:t>
            </w:r>
          </w:p>
        </w:tc>
      </w:tr>
      <w:tr w:rsidR="008E6EDB" w:rsidRPr="00286216" w14:paraId="4DE31222" w14:textId="77777777" w:rsidTr="00091AA5">
        <w:tc>
          <w:tcPr>
            <w:tcW w:w="576" w:type="dxa"/>
          </w:tcPr>
          <w:p w14:paraId="359BFFB9" w14:textId="77777777" w:rsidR="008E6EDB" w:rsidRPr="00286216" w:rsidRDefault="008E6EDB" w:rsidP="008E6EDB">
            <w:pPr>
              <w:pStyle w:val="StyleWisnow"/>
              <w:rPr>
                <w:color w:val="000000" w:themeColor="text1"/>
              </w:rPr>
            </w:pPr>
            <w:bookmarkStart w:id="2884" w:name="n3012" w:colFirst="0" w:colLast="0"/>
            <w:bookmarkEnd w:id="2883"/>
            <w:r w:rsidRPr="00286216">
              <w:rPr>
                <w:color w:val="000000" w:themeColor="text1"/>
              </w:rPr>
              <w:t>3012.</w:t>
            </w:r>
          </w:p>
        </w:tc>
        <w:tc>
          <w:tcPr>
            <w:tcW w:w="4818" w:type="dxa"/>
          </w:tcPr>
          <w:p w14:paraId="3CAE3DB0" w14:textId="77777777" w:rsidR="008E6EDB" w:rsidRPr="00286216" w:rsidRDefault="008E6EDB" w:rsidP="008E6EDB">
            <w:pPr>
              <w:pStyle w:val="StyleZakonu"/>
              <w:rPr>
                <w:color w:val="000000" w:themeColor="text1"/>
              </w:rPr>
            </w:pPr>
            <w:r w:rsidRPr="00286216">
              <w:rPr>
                <w:color w:val="000000" w:themeColor="text1"/>
              </w:rPr>
              <w:t>пункт 44 викласти в такій редакції:</w:t>
            </w:r>
          </w:p>
        </w:tc>
        <w:tc>
          <w:tcPr>
            <w:tcW w:w="3686" w:type="dxa"/>
          </w:tcPr>
          <w:p w14:paraId="03816ED8" w14:textId="77777777" w:rsidR="008E6EDB" w:rsidRPr="00286216" w:rsidRDefault="008E6EDB" w:rsidP="008E6EDB">
            <w:pPr>
              <w:pStyle w:val="StyleProp"/>
              <w:rPr>
                <w:color w:val="000000" w:themeColor="text1"/>
                <w:szCs w:val="18"/>
              </w:rPr>
            </w:pPr>
          </w:p>
        </w:tc>
        <w:tc>
          <w:tcPr>
            <w:tcW w:w="1987" w:type="dxa"/>
          </w:tcPr>
          <w:p w14:paraId="17860925" w14:textId="77777777" w:rsidR="008E6EDB" w:rsidRPr="00286216" w:rsidRDefault="008E6EDB" w:rsidP="008E6EDB">
            <w:pPr>
              <w:pStyle w:val="StyleWisnow"/>
              <w:rPr>
                <w:color w:val="000000" w:themeColor="text1"/>
              </w:rPr>
            </w:pPr>
          </w:p>
        </w:tc>
        <w:tc>
          <w:tcPr>
            <w:tcW w:w="4818" w:type="dxa"/>
          </w:tcPr>
          <w:p w14:paraId="0C199E85" w14:textId="11B09F87" w:rsidR="008E6EDB" w:rsidRPr="00286216" w:rsidRDefault="008E6EDB" w:rsidP="008E6EDB">
            <w:pPr>
              <w:pStyle w:val="StyleZakonu"/>
              <w:rPr>
                <w:color w:val="000000" w:themeColor="text1"/>
              </w:rPr>
            </w:pPr>
            <w:r w:rsidRPr="00286216">
              <w:rPr>
                <w:color w:val="000000" w:themeColor="text1"/>
              </w:rPr>
              <w:t>пункт  37</w:t>
            </w:r>
            <w:r w:rsidRPr="00286216">
              <w:rPr>
                <w:color w:val="000000" w:themeColor="text1"/>
                <w:vertAlign w:val="superscript"/>
              </w:rPr>
              <w:t>7</w:t>
            </w:r>
            <w:r w:rsidRPr="00286216">
              <w:rPr>
                <w:color w:val="000000" w:themeColor="text1"/>
              </w:rPr>
              <w:t xml:space="preserve"> викласти в такій редакції:</w:t>
            </w:r>
          </w:p>
        </w:tc>
      </w:tr>
      <w:tr w:rsidR="008E6EDB" w:rsidRPr="00286216" w14:paraId="68592365" w14:textId="77777777" w:rsidTr="00091AA5">
        <w:tc>
          <w:tcPr>
            <w:tcW w:w="576" w:type="dxa"/>
          </w:tcPr>
          <w:p w14:paraId="1B3B7693" w14:textId="77777777" w:rsidR="008E6EDB" w:rsidRPr="00286216" w:rsidRDefault="008E6EDB" w:rsidP="008E6EDB">
            <w:pPr>
              <w:pStyle w:val="StyleWisnow"/>
              <w:rPr>
                <w:color w:val="000000" w:themeColor="text1"/>
              </w:rPr>
            </w:pPr>
            <w:bookmarkStart w:id="2885" w:name="n3013" w:colFirst="0" w:colLast="0"/>
            <w:bookmarkEnd w:id="2884"/>
            <w:r w:rsidRPr="00286216">
              <w:rPr>
                <w:color w:val="000000" w:themeColor="text1"/>
              </w:rPr>
              <w:t>3013.</w:t>
            </w:r>
          </w:p>
        </w:tc>
        <w:tc>
          <w:tcPr>
            <w:tcW w:w="4818" w:type="dxa"/>
          </w:tcPr>
          <w:p w14:paraId="53409F2C" w14:textId="77777777" w:rsidR="008E6EDB" w:rsidRPr="00286216" w:rsidRDefault="008E6EDB" w:rsidP="008E6EDB">
            <w:pPr>
              <w:pStyle w:val="StyleZakonu"/>
              <w:rPr>
                <w:color w:val="000000" w:themeColor="text1"/>
              </w:rPr>
            </w:pPr>
            <w:r w:rsidRPr="00286216">
              <w:rPr>
                <w:color w:val="000000" w:themeColor="text1"/>
              </w:rPr>
              <w:t>"44) погоджує статути (зміни до них) операторів організованого ринку та Центрального депозитарію цінних паперів, реєструє правила (зміни до них) організованого ринку та Центрального депозитарію цінних паперів";</w:t>
            </w:r>
          </w:p>
        </w:tc>
        <w:tc>
          <w:tcPr>
            <w:tcW w:w="3686" w:type="dxa"/>
          </w:tcPr>
          <w:p w14:paraId="7127368B" w14:textId="5738A133"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1334</w:t>
            </w:r>
            <w:r w:rsidRPr="00286216">
              <w:rPr>
                <w:color w:val="000000" w:themeColor="text1"/>
              </w:rPr>
              <w:fldChar w:fldCharType="end"/>
            </w:r>
            <w:r w:rsidRPr="00286216">
              <w:rPr>
                <w:color w:val="000000" w:themeColor="text1"/>
              </w:rPr>
              <w:t>-Н.д.Шахов С.В.(Реєстр.картка №114)</w:t>
            </w:r>
          </w:p>
          <w:p w14:paraId="0864715A" w14:textId="77777777" w:rsidR="008E6EDB" w:rsidRPr="00286216" w:rsidRDefault="008E6EDB" w:rsidP="008E6EDB">
            <w:pPr>
              <w:pStyle w:val="StyleProp"/>
              <w:rPr>
                <w:color w:val="000000" w:themeColor="text1"/>
                <w:spacing w:val="-4"/>
              </w:rPr>
            </w:pPr>
            <w:r w:rsidRPr="00286216">
              <w:rPr>
                <w:color w:val="000000" w:themeColor="text1"/>
                <w:spacing w:val="-4"/>
                <w:szCs w:val="18"/>
              </w:rPr>
              <w:t xml:space="preserve">У </w:t>
            </w:r>
            <w:r w:rsidRPr="00286216">
              <w:rPr>
                <w:color w:val="000000" w:themeColor="text1"/>
                <w:spacing w:val="-4"/>
              </w:rPr>
              <w:t>п.п.8 п.17 (зміни у ст.7) у змінах до п. 44 після слів "операторів організованого ринку" доповнити словами "(крім операторів організованих товарних ринків)".</w:t>
            </w:r>
          </w:p>
        </w:tc>
        <w:tc>
          <w:tcPr>
            <w:tcW w:w="1987" w:type="dxa"/>
          </w:tcPr>
          <w:p w14:paraId="7EB9F45F" w14:textId="77777777" w:rsidR="008E6EDB" w:rsidRPr="00286216" w:rsidRDefault="008E6EDB" w:rsidP="008E6EDB">
            <w:pPr>
              <w:pStyle w:val="StyleWisnow"/>
              <w:rPr>
                <w:color w:val="000000" w:themeColor="text1"/>
              </w:rPr>
            </w:pPr>
            <w:r w:rsidRPr="00286216">
              <w:rPr>
                <w:color w:val="000000" w:themeColor="text1"/>
              </w:rPr>
              <w:t>Відхилено</w:t>
            </w:r>
          </w:p>
          <w:p w14:paraId="66FD3041" w14:textId="3EE0D95F"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1A311757" w14:textId="41E5D63A"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7</w:t>
            </w:r>
            <w:r w:rsidRPr="00286216">
              <w:rPr>
                <w:color w:val="000000" w:themeColor="text1"/>
              </w:rPr>
              <w:t>) погоджує статути (зміни до них) операторів організованого ринку та Центрального депозитарію цінних паперів, реєструє правила (зміни до них) організованого ринку та Центрального депозитарію цінних паперів";</w:t>
            </w:r>
          </w:p>
        </w:tc>
      </w:tr>
      <w:tr w:rsidR="008E6EDB" w:rsidRPr="00286216" w14:paraId="06843384" w14:textId="77777777" w:rsidTr="00091AA5">
        <w:tc>
          <w:tcPr>
            <w:tcW w:w="576" w:type="dxa"/>
          </w:tcPr>
          <w:p w14:paraId="3EAFBBC6" w14:textId="77777777" w:rsidR="008E6EDB" w:rsidRPr="00286216" w:rsidRDefault="008E6EDB" w:rsidP="008E6EDB">
            <w:pPr>
              <w:pStyle w:val="StyleWisnow"/>
              <w:rPr>
                <w:color w:val="000000" w:themeColor="text1"/>
              </w:rPr>
            </w:pPr>
            <w:bookmarkStart w:id="2886" w:name="n3014" w:colFirst="0" w:colLast="0"/>
            <w:bookmarkEnd w:id="2885"/>
            <w:r w:rsidRPr="00286216">
              <w:rPr>
                <w:color w:val="000000" w:themeColor="text1"/>
              </w:rPr>
              <w:t>3014.</w:t>
            </w:r>
          </w:p>
        </w:tc>
        <w:tc>
          <w:tcPr>
            <w:tcW w:w="4818" w:type="dxa"/>
          </w:tcPr>
          <w:p w14:paraId="76C36BD9" w14:textId="77777777" w:rsidR="008E6EDB" w:rsidRPr="00286216" w:rsidRDefault="008E6EDB" w:rsidP="008E6EDB">
            <w:pPr>
              <w:pStyle w:val="StyleZakonu"/>
              <w:rPr>
                <w:color w:val="000000" w:themeColor="text1"/>
              </w:rPr>
            </w:pPr>
            <w:r w:rsidRPr="00286216">
              <w:rPr>
                <w:color w:val="000000" w:themeColor="text1"/>
              </w:rPr>
              <w:t>у пункті 45 слова "цінних паперів" замінити словом "капіталу та здійснює нагляд за дотриманням законодавства про рекламу фінансових інструментів";</w:t>
            </w:r>
          </w:p>
        </w:tc>
        <w:tc>
          <w:tcPr>
            <w:tcW w:w="3686" w:type="dxa"/>
          </w:tcPr>
          <w:p w14:paraId="420D6AA1" w14:textId="77777777" w:rsidR="008E6EDB" w:rsidRPr="00286216" w:rsidRDefault="008E6EDB" w:rsidP="008E6EDB">
            <w:pPr>
              <w:pStyle w:val="StyleProp"/>
              <w:rPr>
                <w:color w:val="000000" w:themeColor="text1"/>
                <w:szCs w:val="18"/>
              </w:rPr>
            </w:pPr>
          </w:p>
        </w:tc>
        <w:tc>
          <w:tcPr>
            <w:tcW w:w="1987" w:type="dxa"/>
          </w:tcPr>
          <w:p w14:paraId="17C073A3" w14:textId="77777777" w:rsidR="008E6EDB" w:rsidRPr="00286216" w:rsidRDefault="008E6EDB" w:rsidP="008E6EDB">
            <w:pPr>
              <w:pStyle w:val="StyleWisnow"/>
              <w:rPr>
                <w:color w:val="000000" w:themeColor="text1"/>
              </w:rPr>
            </w:pPr>
          </w:p>
        </w:tc>
        <w:tc>
          <w:tcPr>
            <w:tcW w:w="4818" w:type="dxa"/>
          </w:tcPr>
          <w:p w14:paraId="4D210330" w14:textId="3A5C6B0B"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8</w:t>
            </w:r>
            <w:r w:rsidRPr="00286216">
              <w:rPr>
                <w:color w:val="000000" w:themeColor="text1"/>
              </w:rPr>
              <w:t xml:space="preserve"> слова "цінних паперів" замінити словом "капіталу та здійснює нагляд за дотриманням законодавства про рекламу фінансових інструментів";</w:t>
            </w:r>
          </w:p>
        </w:tc>
      </w:tr>
      <w:tr w:rsidR="008E6EDB" w:rsidRPr="00286216" w14:paraId="221BB4B5" w14:textId="77777777" w:rsidTr="00091AA5">
        <w:tc>
          <w:tcPr>
            <w:tcW w:w="576" w:type="dxa"/>
          </w:tcPr>
          <w:p w14:paraId="18B8F1B9" w14:textId="77777777" w:rsidR="008E6EDB" w:rsidRPr="00286216" w:rsidRDefault="008E6EDB" w:rsidP="008E6EDB">
            <w:pPr>
              <w:pStyle w:val="StyleWisnow"/>
              <w:rPr>
                <w:color w:val="000000" w:themeColor="text1"/>
              </w:rPr>
            </w:pPr>
            <w:bookmarkStart w:id="2887" w:name="n3015" w:colFirst="0" w:colLast="0"/>
            <w:bookmarkEnd w:id="2886"/>
            <w:r w:rsidRPr="00286216">
              <w:rPr>
                <w:color w:val="000000" w:themeColor="text1"/>
              </w:rPr>
              <w:lastRenderedPageBreak/>
              <w:t>3015.</w:t>
            </w:r>
          </w:p>
        </w:tc>
        <w:tc>
          <w:tcPr>
            <w:tcW w:w="4818" w:type="dxa"/>
          </w:tcPr>
          <w:p w14:paraId="0A1E047A" w14:textId="77777777" w:rsidR="008E6EDB" w:rsidRPr="00286216" w:rsidRDefault="008E6EDB" w:rsidP="008E6EDB">
            <w:pPr>
              <w:pStyle w:val="StyleZakonu"/>
              <w:rPr>
                <w:color w:val="000000" w:themeColor="text1"/>
              </w:rPr>
            </w:pPr>
            <w:r w:rsidRPr="00286216">
              <w:rPr>
                <w:color w:val="000000" w:themeColor="text1"/>
              </w:rPr>
              <w:t>пункт 46 викласти в такій редакції:</w:t>
            </w:r>
          </w:p>
        </w:tc>
        <w:tc>
          <w:tcPr>
            <w:tcW w:w="3686" w:type="dxa"/>
          </w:tcPr>
          <w:p w14:paraId="3C9E6DA0" w14:textId="77777777" w:rsidR="008E6EDB" w:rsidRPr="00286216" w:rsidRDefault="008E6EDB" w:rsidP="008E6EDB">
            <w:pPr>
              <w:pStyle w:val="StyleProp"/>
              <w:rPr>
                <w:color w:val="000000" w:themeColor="text1"/>
                <w:szCs w:val="18"/>
              </w:rPr>
            </w:pPr>
          </w:p>
        </w:tc>
        <w:tc>
          <w:tcPr>
            <w:tcW w:w="1987" w:type="dxa"/>
          </w:tcPr>
          <w:p w14:paraId="24E05A89" w14:textId="77777777" w:rsidR="008E6EDB" w:rsidRPr="00286216" w:rsidRDefault="008E6EDB" w:rsidP="008E6EDB">
            <w:pPr>
              <w:pStyle w:val="StyleWisnow"/>
              <w:rPr>
                <w:color w:val="000000" w:themeColor="text1"/>
              </w:rPr>
            </w:pPr>
          </w:p>
        </w:tc>
        <w:tc>
          <w:tcPr>
            <w:tcW w:w="4818" w:type="dxa"/>
          </w:tcPr>
          <w:p w14:paraId="4DFDF137" w14:textId="7667659B" w:rsidR="008E6EDB" w:rsidRPr="00286216" w:rsidRDefault="008E6EDB" w:rsidP="008E6EDB">
            <w:pPr>
              <w:pStyle w:val="StyleZakonu"/>
              <w:rPr>
                <w:color w:val="000000" w:themeColor="text1"/>
              </w:rPr>
            </w:pPr>
            <w:r w:rsidRPr="00286216">
              <w:rPr>
                <w:color w:val="000000" w:themeColor="text1"/>
              </w:rPr>
              <w:t>пункт  37</w:t>
            </w:r>
            <w:r w:rsidRPr="00286216">
              <w:rPr>
                <w:color w:val="000000" w:themeColor="text1"/>
                <w:vertAlign w:val="superscript"/>
              </w:rPr>
              <w:t>9</w:t>
            </w:r>
            <w:r w:rsidRPr="00286216">
              <w:rPr>
                <w:color w:val="000000" w:themeColor="text1"/>
              </w:rPr>
              <w:t xml:space="preserve"> викласти в такій редакції:</w:t>
            </w:r>
          </w:p>
        </w:tc>
      </w:tr>
      <w:tr w:rsidR="008E6EDB" w:rsidRPr="00286216" w14:paraId="1C6EE9A3" w14:textId="77777777" w:rsidTr="00091AA5">
        <w:tc>
          <w:tcPr>
            <w:tcW w:w="576" w:type="dxa"/>
          </w:tcPr>
          <w:p w14:paraId="1BF0428C" w14:textId="77777777" w:rsidR="008E6EDB" w:rsidRPr="00286216" w:rsidRDefault="008E6EDB" w:rsidP="008E6EDB">
            <w:pPr>
              <w:pStyle w:val="StyleWisnow"/>
              <w:rPr>
                <w:color w:val="000000" w:themeColor="text1"/>
              </w:rPr>
            </w:pPr>
            <w:bookmarkStart w:id="2888" w:name="n3016" w:colFirst="0" w:colLast="0"/>
            <w:bookmarkEnd w:id="2887"/>
            <w:r w:rsidRPr="00286216">
              <w:rPr>
                <w:color w:val="000000" w:themeColor="text1"/>
              </w:rPr>
              <w:t>3016.</w:t>
            </w:r>
          </w:p>
        </w:tc>
        <w:tc>
          <w:tcPr>
            <w:tcW w:w="4818" w:type="dxa"/>
          </w:tcPr>
          <w:p w14:paraId="6B35B093" w14:textId="77777777" w:rsidR="008E6EDB" w:rsidRPr="00286216" w:rsidRDefault="008E6EDB" w:rsidP="008E6EDB">
            <w:pPr>
              <w:pStyle w:val="StyleZakonu"/>
              <w:rPr>
                <w:color w:val="000000" w:themeColor="text1"/>
              </w:rPr>
            </w:pPr>
            <w:r w:rsidRPr="00286216">
              <w:rPr>
                <w:color w:val="000000" w:themeColor="text1"/>
              </w:rPr>
              <w:t>"46) визначає особливості регулювання та нагляду за системно важливими професійними учасниками ринків капіталу та організованих товарних ринків";</w:t>
            </w:r>
          </w:p>
        </w:tc>
        <w:tc>
          <w:tcPr>
            <w:tcW w:w="3686" w:type="dxa"/>
          </w:tcPr>
          <w:p w14:paraId="05C3EEB1" w14:textId="670F85BF"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1335</w:t>
            </w:r>
            <w:r w:rsidRPr="00286216">
              <w:rPr>
                <w:color w:val="000000" w:themeColor="text1"/>
              </w:rPr>
              <w:fldChar w:fldCharType="end"/>
            </w:r>
            <w:r w:rsidRPr="00286216">
              <w:rPr>
                <w:color w:val="000000" w:themeColor="text1"/>
              </w:rPr>
              <w:t>-Н.д.Шахов С.В.(Реєстр.картка №114)</w:t>
            </w:r>
          </w:p>
          <w:p w14:paraId="48A8B65F"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0DDE9C25" w14:textId="77777777" w:rsidR="008E6EDB" w:rsidRPr="00286216" w:rsidRDefault="008E6EDB" w:rsidP="008E6EDB">
            <w:pPr>
              <w:pStyle w:val="StyleWisnow"/>
              <w:rPr>
                <w:color w:val="000000" w:themeColor="text1"/>
              </w:rPr>
            </w:pPr>
            <w:r w:rsidRPr="00286216">
              <w:rPr>
                <w:color w:val="000000" w:themeColor="text1"/>
              </w:rPr>
              <w:t>Відхилено</w:t>
            </w:r>
          </w:p>
          <w:p w14:paraId="5CB9E17F" w14:textId="3018FC9A"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620CB454" w14:textId="7C3AF9A6"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9</w:t>
            </w:r>
            <w:r w:rsidRPr="00286216">
              <w:rPr>
                <w:color w:val="000000" w:themeColor="text1"/>
              </w:rPr>
              <w:t>) визначає особливості регулювання та нагляду за системно важливими професійними учасниками ринків капіталу та організованих товарних ринків";</w:t>
            </w:r>
          </w:p>
        </w:tc>
      </w:tr>
      <w:tr w:rsidR="008E6EDB" w:rsidRPr="00286216" w14:paraId="35E95871" w14:textId="77777777" w:rsidTr="00091AA5">
        <w:tc>
          <w:tcPr>
            <w:tcW w:w="576" w:type="dxa"/>
          </w:tcPr>
          <w:p w14:paraId="6605D400" w14:textId="77777777" w:rsidR="008E6EDB" w:rsidRPr="00286216" w:rsidRDefault="008E6EDB" w:rsidP="008E6EDB">
            <w:pPr>
              <w:pStyle w:val="StyleWisnow"/>
              <w:rPr>
                <w:color w:val="000000" w:themeColor="text1"/>
              </w:rPr>
            </w:pPr>
            <w:bookmarkStart w:id="2889" w:name="n3017" w:colFirst="0" w:colLast="0"/>
            <w:bookmarkEnd w:id="2888"/>
            <w:r w:rsidRPr="00286216">
              <w:rPr>
                <w:color w:val="000000" w:themeColor="text1"/>
              </w:rPr>
              <w:t>3017.</w:t>
            </w:r>
          </w:p>
        </w:tc>
        <w:tc>
          <w:tcPr>
            <w:tcW w:w="4818" w:type="dxa"/>
          </w:tcPr>
          <w:p w14:paraId="08A2F046" w14:textId="77777777" w:rsidR="008E6EDB" w:rsidRPr="00286216" w:rsidRDefault="008E6EDB" w:rsidP="008E6EDB">
            <w:pPr>
              <w:pStyle w:val="StyleZakonu"/>
              <w:rPr>
                <w:color w:val="000000" w:themeColor="text1"/>
              </w:rPr>
            </w:pPr>
            <w:r w:rsidRPr="00286216">
              <w:rPr>
                <w:color w:val="000000" w:themeColor="text1"/>
              </w:rPr>
              <w:t>у пункті 49 слова "фондовому ринку" замінити словами "на ринках капіталу та організованих товарних ринках та осіб, які мають намір провадити діяльність торгового репозиторію на ринках капіталу та організованих товарних ринках";</w:t>
            </w:r>
          </w:p>
        </w:tc>
        <w:tc>
          <w:tcPr>
            <w:tcW w:w="3686" w:type="dxa"/>
          </w:tcPr>
          <w:p w14:paraId="6DE872F6" w14:textId="4122EF34"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1336</w:t>
            </w:r>
            <w:r w:rsidRPr="00286216">
              <w:rPr>
                <w:color w:val="000000" w:themeColor="text1"/>
              </w:rPr>
              <w:fldChar w:fldCharType="end"/>
            </w:r>
            <w:r w:rsidRPr="00286216">
              <w:rPr>
                <w:color w:val="000000" w:themeColor="text1"/>
              </w:rPr>
              <w:t>-Н.д.Шахов С.В.(Реєстр.картка №114)</w:t>
            </w:r>
          </w:p>
          <w:p w14:paraId="098F36CA"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440DCCC4" w14:textId="77777777" w:rsidR="008E6EDB" w:rsidRPr="00286216" w:rsidRDefault="008E6EDB" w:rsidP="008E6EDB">
            <w:pPr>
              <w:pStyle w:val="StyleWisnow"/>
              <w:rPr>
                <w:color w:val="000000" w:themeColor="text1"/>
              </w:rPr>
            </w:pPr>
            <w:r w:rsidRPr="00286216">
              <w:rPr>
                <w:color w:val="000000" w:themeColor="text1"/>
              </w:rPr>
              <w:t>Відхилено</w:t>
            </w:r>
          </w:p>
          <w:p w14:paraId="617EC0DE" w14:textId="6075635A"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56B9EDEC" w14:textId="7148395A" w:rsidR="008E6EDB" w:rsidRPr="00286216" w:rsidRDefault="008E6EDB" w:rsidP="008E6EDB">
            <w:pPr>
              <w:pStyle w:val="StyleZakonu"/>
              <w:rPr>
                <w:color w:val="000000" w:themeColor="text1"/>
              </w:rPr>
            </w:pPr>
            <w:r w:rsidRPr="00286216">
              <w:rPr>
                <w:color w:val="000000" w:themeColor="text1"/>
              </w:rPr>
              <w:t>у пункті  37</w:t>
            </w:r>
            <w:r w:rsidRPr="00286216">
              <w:rPr>
                <w:color w:val="000000" w:themeColor="text1"/>
                <w:vertAlign w:val="superscript"/>
              </w:rPr>
              <w:t xml:space="preserve">10 </w:t>
            </w:r>
            <w:r w:rsidRPr="00286216">
              <w:rPr>
                <w:color w:val="000000" w:themeColor="text1"/>
              </w:rPr>
              <w:t xml:space="preserve"> слова "фондовому ринку" замінити словами "на ринках капіталу та організованих товарних ринках та осіб, які мають намір провадити діяльність торгового репозиторію на ринках капіталу та організованих товарних ринках";</w:t>
            </w:r>
          </w:p>
        </w:tc>
      </w:tr>
      <w:tr w:rsidR="008E6EDB" w:rsidRPr="00286216" w14:paraId="7CF526D1" w14:textId="77777777" w:rsidTr="00091AA5">
        <w:tc>
          <w:tcPr>
            <w:tcW w:w="576" w:type="dxa"/>
          </w:tcPr>
          <w:p w14:paraId="53F2BB7E" w14:textId="77777777" w:rsidR="008E6EDB" w:rsidRPr="00286216" w:rsidRDefault="008E6EDB" w:rsidP="008E6EDB">
            <w:pPr>
              <w:pStyle w:val="StyleWisnow"/>
              <w:rPr>
                <w:color w:val="000000" w:themeColor="text1"/>
              </w:rPr>
            </w:pPr>
            <w:bookmarkStart w:id="2890" w:name="n3018" w:colFirst="0" w:colLast="0"/>
            <w:bookmarkEnd w:id="2889"/>
            <w:r w:rsidRPr="00286216">
              <w:rPr>
                <w:color w:val="000000" w:themeColor="text1"/>
              </w:rPr>
              <w:t>3018.</w:t>
            </w:r>
          </w:p>
        </w:tc>
        <w:tc>
          <w:tcPr>
            <w:tcW w:w="4818" w:type="dxa"/>
          </w:tcPr>
          <w:p w14:paraId="220FC5D0" w14:textId="77777777" w:rsidR="008E6EDB" w:rsidRPr="00286216" w:rsidRDefault="008E6EDB" w:rsidP="008E6EDB">
            <w:pPr>
              <w:pStyle w:val="StyleZakonu"/>
              <w:rPr>
                <w:color w:val="000000" w:themeColor="text1"/>
              </w:rPr>
            </w:pPr>
            <w:r w:rsidRPr="00286216">
              <w:rPr>
                <w:color w:val="000000" w:themeColor="text1"/>
              </w:rPr>
              <w:t>після пункту 59 доповнити двома пунктами такого змісту:</w:t>
            </w:r>
          </w:p>
        </w:tc>
        <w:tc>
          <w:tcPr>
            <w:tcW w:w="3686" w:type="dxa"/>
          </w:tcPr>
          <w:p w14:paraId="52248BC3" w14:textId="77777777" w:rsidR="008E6EDB" w:rsidRPr="00286216" w:rsidRDefault="008E6EDB" w:rsidP="008E6EDB">
            <w:pPr>
              <w:pStyle w:val="StyleProp"/>
              <w:rPr>
                <w:color w:val="000000" w:themeColor="text1"/>
                <w:szCs w:val="18"/>
              </w:rPr>
            </w:pPr>
          </w:p>
        </w:tc>
        <w:tc>
          <w:tcPr>
            <w:tcW w:w="1987" w:type="dxa"/>
          </w:tcPr>
          <w:p w14:paraId="5F129174" w14:textId="77777777" w:rsidR="008E6EDB" w:rsidRPr="00286216" w:rsidRDefault="008E6EDB" w:rsidP="008E6EDB">
            <w:pPr>
              <w:pStyle w:val="StyleWisnow"/>
              <w:rPr>
                <w:color w:val="000000" w:themeColor="text1"/>
              </w:rPr>
            </w:pPr>
          </w:p>
        </w:tc>
        <w:tc>
          <w:tcPr>
            <w:tcW w:w="4818" w:type="dxa"/>
          </w:tcPr>
          <w:p w14:paraId="6662F245" w14:textId="2AD82F22" w:rsidR="008E6EDB" w:rsidRPr="00286216" w:rsidRDefault="008E6EDB" w:rsidP="008E6EDB">
            <w:pPr>
              <w:pStyle w:val="StyleZakonu"/>
              <w:rPr>
                <w:color w:val="000000" w:themeColor="text1"/>
              </w:rPr>
            </w:pPr>
            <w:r w:rsidRPr="00286216">
              <w:rPr>
                <w:color w:val="000000" w:themeColor="text1"/>
              </w:rPr>
              <w:t>доповнити пунктами 37</w:t>
            </w:r>
            <w:r w:rsidRPr="00286216">
              <w:rPr>
                <w:color w:val="000000" w:themeColor="text1"/>
                <w:vertAlign w:val="superscript"/>
              </w:rPr>
              <w:t>22</w:t>
            </w:r>
            <w:r w:rsidRPr="00286216">
              <w:rPr>
                <w:color w:val="000000" w:themeColor="text1"/>
              </w:rPr>
              <w:t xml:space="preserve"> - 37</w:t>
            </w:r>
            <w:r w:rsidRPr="00286216">
              <w:rPr>
                <w:color w:val="000000" w:themeColor="text1"/>
                <w:vertAlign w:val="superscript"/>
              </w:rPr>
              <w:t>24</w:t>
            </w:r>
            <w:r w:rsidRPr="00286216">
              <w:rPr>
                <w:color w:val="000000" w:themeColor="text1"/>
              </w:rPr>
              <w:t xml:space="preserve"> такого змісту:</w:t>
            </w:r>
          </w:p>
        </w:tc>
      </w:tr>
      <w:tr w:rsidR="008E6EDB" w:rsidRPr="00286216" w14:paraId="6253EA57" w14:textId="77777777" w:rsidTr="00091AA5">
        <w:tc>
          <w:tcPr>
            <w:tcW w:w="576" w:type="dxa"/>
          </w:tcPr>
          <w:p w14:paraId="63DF1363" w14:textId="77777777" w:rsidR="008E6EDB" w:rsidRPr="00286216" w:rsidRDefault="008E6EDB" w:rsidP="008E6EDB">
            <w:pPr>
              <w:pStyle w:val="StyleWisnow"/>
              <w:rPr>
                <w:color w:val="000000" w:themeColor="text1"/>
              </w:rPr>
            </w:pPr>
            <w:bookmarkStart w:id="2891" w:name="n3019" w:colFirst="0" w:colLast="0"/>
            <w:bookmarkEnd w:id="2890"/>
            <w:r w:rsidRPr="00286216">
              <w:rPr>
                <w:color w:val="000000" w:themeColor="text1"/>
              </w:rPr>
              <w:t>3019.</w:t>
            </w:r>
          </w:p>
        </w:tc>
        <w:tc>
          <w:tcPr>
            <w:tcW w:w="4818" w:type="dxa"/>
          </w:tcPr>
          <w:p w14:paraId="7FF7B9B8" w14:textId="77777777" w:rsidR="008E6EDB" w:rsidRPr="00286216" w:rsidRDefault="008E6EDB" w:rsidP="008E6EDB">
            <w:pPr>
              <w:pStyle w:val="StyleZakonu"/>
              <w:rPr>
                <w:color w:val="000000" w:themeColor="text1"/>
              </w:rPr>
            </w:pPr>
            <w:r w:rsidRPr="00286216">
              <w:rPr>
                <w:color w:val="000000" w:themeColor="text1"/>
              </w:rPr>
              <w:t>"59) здійснює нагляд за дотриманням законодавства про ринки капіталу та організовані товарні ринки, у тому числі про систему накопичувального пенсійного забезпечення;</w:t>
            </w:r>
          </w:p>
        </w:tc>
        <w:tc>
          <w:tcPr>
            <w:tcW w:w="3686" w:type="dxa"/>
          </w:tcPr>
          <w:p w14:paraId="5D9CB23E" w14:textId="3F1832AE"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1337</w:t>
            </w:r>
            <w:r w:rsidRPr="00286216">
              <w:rPr>
                <w:color w:val="000000" w:themeColor="text1"/>
              </w:rPr>
              <w:fldChar w:fldCharType="end"/>
            </w:r>
            <w:r w:rsidRPr="00286216">
              <w:rPr>
                <w:color w:val="000000" w:themeColor="text1"/>
              </w:rPr>
              <w:t>-Н.д.Шахов С.В.(Реєстр.картка №114)</w:t>
            </w:r>
          </w:p>
          <w:p w14:paraId="5F6ECBAA"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п.п.8 п.17 (зміни у ст.7) </w:t>
            </w:r>
            <w:r w:rsidRPr="00286216">
              <w:rPr>
                <w:color w:val="000000" w:themeColor="text1"/>
                <w:spacing w:val="-4"/>
                <w:szCs w:val="18"/>
              </w:rPr>
              <w:t>слова "та</w:t>
            </w:r>
            <w:r w:rsidRPr="00286216">
              <w:rPr>
                <w:color w:val="000000" w:themeColor="text1"/>
                <w:spacing w:val="-2"/>
                <w:szCs w:val="18"/>
              </w:rPr>
              <w:t xml:space="preserve"> організованих товарних ринків" в усіх відмінках виключити.</w:t>
            </w:r>
          </w:p>
        </w:tc>
        <w:tc>
          <w:tcPr>
            <w:tcW w:w="1987" w:type="dxa"/>
          </w:tcPr>
          <w:p w14:paraId="4DE53A2A" w14:textId="77777777" w:rsidR="008E6EDB" w:rsidRPr="00286216" w:rsidRDefault="008E6EDB" w:rsidP="008E6EDB">
            <w:pPr>
              <w:pStyle w:val="StyleWisnow"/>
              <w:rPr>
                <w:color w:val="000000" w:themeColor="text1"/>
              </w:rPr>
            </w:pPr>
            <w:r w:rsidRPr="00286216">
              <w:rPr>
                <w:color w:val="000000" w:themeColor="text1"/>
              </w:rPr>
              <w:t>Відхилено</w:t>
            </w:r>
          </w:p>
          <w:p w14:paraId="58AB58D4" w14:textId="6DF547E1"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07BA41E" w14:textId="68CA07EC"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22</w:t>
            </w:r>
            <w:r w:rsidRPr="00286216">
              <w:rPr>
                <w:color w:val="000000" w:themeColor="text1"/>
              </w:rPr>
              <w:t>) здійснює нагляд за дотриманням законодавства про ринки капіталу та організовані товарні ринки, у тому числі про систему накопичувального пенсійного забезпечення;</w:t>
            </w:r>
          </w:p>
        </w:tc>
      </w:tr>
      <w:tr w:rsidR="008E6EDB" w:rsidRPr="00286216" w14:paraId="590E95BF" w14:textId="77777777" w:rsidTr="00091AA5">
        <w:tc>
          <w:tcPr>
            <w:tcW w:w="576" w:type="dxa"/>
          </w:tcPr>
          <w:p w14:paraId="4851E478" w14:textId="77777777" w:rsidR="008E6EDB" w:rsidRPr="00286216" w:rsidRDefault="008E6EDB" w:rsidP="008E6EDB">
            <w:pPr>
              <w:pStyle w:val="StyleWisnow"/>
              <w:rPr>
                <w:color w:val="000000" w:themeColor="text1"/>
              </w:rPr>
            </w:pPr>
            <w:bookmarkStart w:id="2892" w:name="n3020" w:colFirst="0" w:colLast="0"/>
            <w:bookmarkEnd w:id="2891"/>
            <w:r w:rsidRPr="00286216">
              <w:rPr>
                <w:color w:val="000000" w:themeColor="text1"/>
              </w:rPr>
              <w:t>3020.</w:t>
            </w:r>
          </w:p>
        </w:tc>
        <w:tc>
          <w:tcPr>
            <w:tcW w:w="4818" w:type="dxa"/>
          </w:tcPr>
          <w:p w14:paraId="08B6B9C5" w14:textId="77777777" w:rsidR="008E6EDB" w:rsidRPr="00286216" w:rsidRDefault="008E6EDB" w:rsidP="008E6EDB">
            <w:pPr>
              <w:pStyle w:val="StyleZakonu"/>
              <w:rPr>
                <w:color w:val="000000" w:themeColor="text1"/>
              </w:rPr>
            </w:pPr>
            <w:r w:rsidRPr="00286216">
              <w:rPr>
                <w:color w:val="000000" w:themeColor="text1"/>
              </w:rPr>
              <w:t>60) визначає порядок надання адміністративних послуг Національною комісією з цінних паперів та фондового ринку".</w:t>
            </w:r>
          </w:p>
        </w:tc>
        <w:tc>
          <w:tcPr>
            <w:tcW w:w="3686" w:type="dxa"/>
          </w:tcPr>
          <w:p w14:paraId="65017CCD" w14:textId="722DB7B4" w:rsidR="008E6EDB" w:rsidRPr="00286216" w:rsidRDefault="008E6EDB" w:rsidP="008E6ED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1338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51DB432" w14:textId="77777777" w:rsidR="008E6EDB" w:rsidRPr="00286216" w:rsidRDefault="008E6EDB" w:rsidP="008E6EDB">
            <w:pPr>
              <w:pStyle w:val="StyleProp"/>
              <w:rPr>
                <w:color w:val="000000" w:themeColor="text1"/>
              </w:rPr>
            </w:pPr>
            <w:r w:rsidRPr="00286216">
              <w:rPr>
                <w:color w:val="000000" w:themeColor="text1"/>
              </w:rPr>
              <w:t>Доповнити підпункт 8 пункту 17 розділу 3 пунктом 61 такого змісту:</w:t>
            </w:r>
          </w:p>
          <w:p w14:paraId="5F968EF8" w14:textId="77777777" w:rsidR="008E6EDB" w:rsidRPr="00286216" w:rsidRDefault="008E6EDB" w:rsidP="008E6EDB">
            <w:pPr>
              <w:pStyle w:val="StyleProp"/>
              <w:spacing w:line="180" w:lineRule="exact"/>
              <w:rPr>
                <w:color w:val="000000" w:themeColor="text1"/>
              </w:rPr>
            </w:pPr>
            <w:r w:rsidRPr="00286216">
              <w:rPr>
                <w:color w:val="000000" w:themeColor="text1"/>
              </w:rPr>
              <w:t>"61) у визначеному нею порядку встановлювати факт наявності значного впливу на управління або діяльність професійного учасника ринків капіталу та організованих товарних ринків".</w:t>
            </w:r>
          </w:p>
        </w:tc>
        <w:tc>
          <w:tcPr>
            <w:tcW w:w="1987" w:type="dxa"/>
          </w:tcPr>
          <w:p w14:paraId="2DF7B1C3" w14:textId="77777777" w:rsidR="008E6EDB" w:rsidRPr="00286216" w:rsidRDefault="008E6EDB" w:rsidP="008E6EDB">
            <w:pPr>
              <w:pStyle w:val="StyleWisnow"/>
              <w:spacing w:line="180" w:lineRule="exact"/>
              <w:rPr>
                <w:color w:val="000000" w:themeColor="text1"/>
              </w:rPr>
            </w:pPr>
            <w:r w:rsidRPr="00286216">
              <w:rPr>
                <w:color w:val="000000" w:themeColor="text1"/>
              </w:rPr>
              <w:t>Враховано</w:t>
            </w:r>
          </w:p>
        </w:tc>
        <w:tc>
          <w:tcPr>
            <w:tcW w:w="4818" w:type="dxa"/>
          </w:tcPr>
          <w:p w14:paraId="4B870878" w14:textId="77777777"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23</w:t>
            </w:r>
            <w:r w:rsidRPr="00286216">
              <w:rPr>
                <w:color w:val="000000" w:themeColor="text1"/>
              </w:rPr>
              <w:t>) визначає порядок надання адміністративних послуг Національною комісією з цінних паперів та фондового ринку;</w:t>
            </w:r>
          </w:p>
          <w:p w14:paraId="39AA65C2" w14:textId="165CC454" w:rsidR="008E6EDB" w:rsidRPr="00286216" w:rsidRDefault="008E6EDB" w:rsidP="008E6EDB">
            <w:pPr>
              <w:pStyle w:val="StyleZakonu"/>
              <w:rPr>
                <w:color w:val="000000" w:themeColor="text1"/>
              </w:rPr>
            </w:pPr>
            <w:r w:rsidRPr="00286216">
              <w:rPr>
                <w:color w:val="000000" w:themeColor="text1"/>
              </w:rPr>
              <w:t>37</w:t>
            </w:r>
            <w:r w:rsidRPr="00286216">
              <w:rPr>
                <w:color w:val="000000" w:themeColor="text1"/>
                <w:vertAlign w:val="superscript"/>
              </w:rPr>
              <w:t>24</w:t>
            </w:r>
            <w:r w:rsidRPr="00286216">
              <w:rPr>
                <w:color w:val="000000" w:themeColor="text1"/>
              </w:rPr>
              <w:t>) у визначеному нею порядку встановлює факт наявності значного впливу на управління або діяльність професійного учасника ринків капіталу та організованих товарних ринків";</w:t>
            </w:r>
          </w:p>
        </w:tc>
      </w:tr>
      <w:tr w:rsidR="008E6EDB" w:rsidRPr="00286216" w14:paraId="643DCF72" w14:textId="77777777" w:rsidTr="00091AA5">
        <w:tc>
          <w:tcPr>
            <w:tcW w:w="576" w:type="dxa"/>
          </w:tcPr>
          <w:p w14:paraId="1F93AB29" w14:textId="77777777" w:rsidR="008E6EDB" w:rsidRPr="00286216" w:rsidRDefault="008E6EDB" w:rsidP="008E6EDB">
            <w:pPr>
              <w:pStyle w:val="StyleWisnow"/>
              <w:rPr>
                <w:color w:val="000000" w:themeColor="text1"/>
              </w:rPr>
            </w:pPr>
            <w:bookmarkStart w:id="2893" w:name="n3021" w:colFirst="0" w:colLast="0"/>
            <w:bookmarkEnd w:id="2892"/>
            <w:r w:rsidRPr="00286216">
              <w:rPr>
                <w:color w:val="000000" w:themeColor="text1"/>
              </w:rPr>
              <w:t>3021.</w:t>
            </w:r>
          </w:p>
        </w:tc>
        <w:tc>
          <w:tcPr>
            <w:tcW w:w="4818" w:type="dxa"/>
          </w:tcPr>
          <w:p w14:paraId="7F1A1783" w14:textId="77777777" w:rsidR="008E6EDB" w:rsidRPr="00286216" w:rsidRDefault="008E6EDB" w:rsidP="008E6EDB">
            <w:pPr>
              <w:pStyle w:val="StyleZakonu"/>
              <w:rPr>
                <w:color w:val="000000" w:themeColor="text1"/>
              </w:rPr>
            </w:pPr>
            <w:r w:rsidRPr="00286216">
              <w:rPr>
                <w:color w:val="000000" w:themeColor="text1"/>
              </w:rPr>
              <w:t>У зв’язку з цим пункт 59 вважати пунктом 61.</w:t>
            </w:r>
          </w:p>
        </w:tc>
        <w:tc>
          <w:tcPr>
            <w:tcW w:w="3686" w:type="dxa"/>
          </w:tcPr>
          <w:p w14:paraId="2704F1B4" w14:textId="77777777" w:rsidR="008E6EDB" w:rsidRPr="00286216" w:rsidRDefault="008E6EDB" w:rsidP="008E6EDB">
            <w:pPr>
              <w:pStyle w:val="StyleProp"/>
              <w:rPr>
                <w:color w:val="000000" w:themeColor="text1"/>
                <w:szCs w:val="18"/>
              </w:rPr>
            </w:pPr>
          </w:p>
        </w:tc>
        <w:tc>
          <w:tcPr>
            <w:tcW w:w="1987" w:type="dxa"/>
          </w:tcPr>
          <w:p w14:paraId="03B95CA3" w14:textId="77777777" w:rsidR="008E6EDB" w:rsidRPr="00286216" w:rsidRDefault="008E6EDB" w:rsidP="008E6EDB">
            <w:pPr>
              <w:pStyle w:val="StyleWisnow"/>
              <w:rPr>
                <w:color w:val="000000" w:themeColor="text1"/>
              </w:rPr>
            </w:pPr>
          </w:p>
        </w:tc>
        <w:tc>
          <w:tcPr>
            <w:tcW w:w="4818" w:type="dxa"/>
          </w:tcPr>
          <w:p w14:paraId="79238F4F" w14:textId="7FE49118" w:rsidR="008E6EDB" w:rsidRPr="00286216" w:rsidRDefault="008E6EDB" w:rsidP="008E6EDB">
            <w:pPr>
              <w:pStyle w:val="StyleZakonu"/>
              <w:rPr>
                <w:color w:val="000000" w:themeColor="text1"/>
              </w:rPr>
            </w:pPr>
          </w:p>
        </w:tc>
      </w:tr>
      <w:tr w:rsidR="008E6EDB" w:rsidRPr="00286216" w14:paraId="24F0616D" w14:textId="77777777" w:rsidTr="00091AA5">
        <w:tc>
          <w:tcPr>
            <w:tcW w:w="576" w:type="dxa"/>
          </w:tcPr>
          <w:p w14:paraId="324C2B19" w14:textId="77777777" w:rsidR="008E6EDB" w:rsidRPr="00286216" w:rsidRDefault="008E6EDB" w:rsidP="008E6EDB">
            <w:pPr>
              <w:pStyle w:val="StyleWisnow"/>
              <w:rPr>
                <w:color w:val="000000" w:themeColor="text1"/>
              </w:rPr>
            </w:pPr>
            <w:bookmarkStart w:id="2894" w:name="n3022" w:colFirst="0" w:colLast="0"/>
            <w:bookmarkEnd w:id="2893"/>
            <w:r w:rsidRPr="00286216">
              <w:rPr>
                <w:color w:val="000000" w:themeColor="text1"/>
              </w:rPr>
              <w:t>3022.</w:t>
            </w:r>
          </w:p>
        </w:tc>
        <w:tc>
          <w:tcPr>
            <w:tcW w:w="4818" w:type="dxa"/>
          </w:tcPr>
          <w:p w14:paraId="2F1E1A07" w14:textId="77777777" w:rsidR="008E6EDB" w:rsidRPr="00286216" w:rsidRDefault="008E6EDB" w:rsidP="008E6EDB">
            <w:pPr>
              <w:pStyle w:val="StyleZakonu"/>
              <w:rPr>
                <w:color w:val="000000" w:themeColor="text1"/>
              </w:rPr>
            </w:pPr>
            <w:r w:rsidRPr="00286216">
              <w:rPr>
                <w:color w:val="000000" w:themeColor="text1"/>
              </w:rPr>
              <w:t>9) у частині першій статті 8:</w:t>
            </w:r>
          </w:p>
        </w:tc>
        <w:tc>
          <w:tcPr>
            <w:tcW w:w="3686" w:type="dxa"/>
          </w:tcPr>
          <w:p w14:paraId="30D93E02" w14:textId="57ACF0CF"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1339</w:t>
            </w:r>
            <w:r w:rsidRPr="00286216">
              <w:rPr>
                <w:color w:val="000000" w:themeColor="text1"/>
              </w:rPr>
              <w:fldChar w:fldCharType="end"/>
            </w:r>
            <w:r w:rsidRPr="00286216">
              <w:rPr>
                <w:color w:val="000000" w:themeColor="text1"/>
              </w:rPr>
              <w:t>-Н.д.Шахов С.В.(Реєстр.картка №114)</w:t>
            </w:r>
          </w:p>
          <w:p w14:paraId="192CA6CC"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pacing w:val="-2"/>
                <w:sz w:val="18"/>
              </w:rPr>
              <w:t xml:space="preserve">У п.п. 9 п. 17 (зміни до ч. 1 статті 8) </w:t>
            </w:r>
            <w:r w:rsidRPr="00286216">
              <w:rPr>
                <w:color w:val="000000" w:themeColor="text1"/>
                <w:sz w:val="18"/>
              </w:rPr>
              <w:t>доповнити абзацами такого змісту:</w:t>
            </w:r>
          </w:p>
          <w:p w14:paraId="6107B24E"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z w:val="18"/>
              </w:rPr>
              <w:t>"абзац перший викласти у такій редакції:</w:t>
            </w:r>
          </w:p>
          <w:p w14:paraId="7F503E23"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z w:val="18"/>
              </w:rPr>
              <w:t>"</w:t>
            </w:r>
            <w:r w:rsidRPr="00286216">
              <w:rPr>
                <w:color w:val="000000" w:themeColor="text1"/>
                <w:spacing w:val="-2"/>
                <w:sz w:val="18"/>
              </w:rPr>
              <w:t>Національна комісія з цінних паперів та  фондового ринку у випадках і в межах, встановлених Законом України "Про ринки</w:t>
            </w:r>
            <w:r w:rsidRPr="00286216">
              <w:rPr>
                <w:color w:val="000000" w:themeColor="text1"/>
                <w:sz w:val="18"/>
              </w:rPr>
              <w:t xml:space="preserve"> </w:t>
            </w:r>
            <w:r w:rsidRPr="00286216">
              <w:rPr>
                <w:color w:val="000000" w:themeColor="text1"/>
                <w:spacing w:val="-10"/>
                <w:sz w:val="18"/>
              </w:rPr>
              <w:t>капіталу та організовані товарні ринки", має право".</w:t>
            </w:r>
          </w:p>
        </w:tc>
        <w:tc>
          <w:tcPr>
            <w:tcW w:w="1987" w:type="dxa"/>
          </w:tcPr>
          <w:p w14:paraId="446CC2D2" w14:textId="77777777" w:rsidR="008E6EDB" w:rsidRPr="00286216" w:rsidRDefault="008E6EDB" w:rsidP="008E6EDB">
            <w:pPr>
              <w:pStyle w:val="StyleWisnow"/>
              <w:rPr>
                <w:color w:val="000000" w:themeColor="text1"/>
              </w:rPr>
            </w:pPr>
            <w:r w:rsidRPr="00286216">
              <w:rPr>
                <w:color w:val="000000" w:themeColor="text1"/>
              </w:rPr>
              <w:t>Враховано частково</w:t>
            </w:r>
          </w:p>
        </w:tc>
        <w:tc>
          <w:tcPr>
            <w:tcW w:w="4818" w:type="dxa"/>
          </w:tcPr>
          <w:p w14:paraId="3FE5797F" w14:textId="77777777" w:rsidR="008E6EDB" w:rsidRPr="00286216" w:rsidRDefault="008E6EDB" w:rsidP="008E6EDB">
            <w:pPr>
              <w:pStyle w:val="StyleZakonu"/>
              <w:rPr>
                <w:color w:val="000000" w:themeColor="text1"/>
              </w:rPr>
            </w:pPr>
            <w:r w:rsidRPr="00286216">
              <w:rPr>
                <w:color w:val="000000" w:themeColor="text1"/>
              </w:rPr>
              <w:t>10) у частині першій статті 8:</w:t>
            </w:r>
          </w:p>
          <w:p w14:paraId="6172E536" w14:textId="77777777" w:rsidR="008E6EDB" w:rsidRPr="00286216" w:rsidRDefault="008E6EDB" w:rsidP="008E6EDB">
            <w:pPr>
              <w:pStyle w:val="StyleZakonu"/>
              <w:rPr>
                <w:color w:val="000000" w:themeColor="text1"/>
              </w:rPr>
            </w:pPr>
            <w:r w:rsidRPr="00286216">
              <w:rPr>
                <w:color w:val="000000" w:themeColor="text1"/>
              </w:rPr>
              <w:t>а) абзац перший викласти в такій редакції:</w:t>
            </w:r>
          </w:p>
          <w:p w14:paraId="09C35068" w14:textId="0FD02DEC" w:rsidR="008E6EDB" w:rsidRPr="00286216" w:rsidRDefault="008E6EDB" w:rsidP="008E6EDB">
            <w:pPr>
              <w:pStyle w:val="StyleZakonu"/>
              <w:rPr>
                <w:color w:val="000000" w:themeColor="text1"/>
              </w:rPr>
            </w:pPr>
            <w:r w:rsidRPr="00286216">
              <w:rPr>
                <w:color w:val="000000" w:themeColor="text1"/>
              </w:rPr>
              <w:t>"Національна комісія з цінних паперів та  фондового ринку у випадках і  межах, встановлених законом";</w:t>
            </w:r>
          </w:p>
        </w:tc>
      </w:tr>
      <w:tr w:rsidR="008E6EDB" w:rsidRPr="00286216" w14:paraId="7444DC77" w14:textId="77777777" w:rsidTr="00091AA5">
        <w:tc>
          <w:tcPr>
            <w:tcW w:w="576" w:type="dxa"/>
          </w:tcPr>
          <w:p w14:paraId="34D65C8E" w14:textId="77777777" w:rsidR="008E6EDB" w:rsidRPr="00286216" w:rsidRDefault="008E6EDB" w:rsidP="008E6EDB">
            <w:pPr>
              <w:pStyle w:val="StyleWisnow"/>
              <w:rPr>
                <w:color w:val="000000" w:themeColor="text1"/>
              </w:rPr>
            </w:pPr>
            <w:bookmarkStart w:id="2895" w:name="n3023" w:colFirst="0" w:colLast="0"/>
            <w:bookmarkEnd w:id="2894"/>
            <w:r w:rsidRPr="00286216">
              <w:rPr>
                <w:color w:val="000000" w:themeColor="text1"/>
              </w:rPr>
              <w:t>3023.</w:t>
            </w:r>
          </w:p>
        </w:tc>
        <w:tc>
          <w:tcPr>
            <w:tcW w:w="4818" w:type="dxa"/>
          </w:tcPr>
          <w:p w14:paraId="1EA971C7" w14:textId="77777777" w:rsidR="008E6EDB" w:rsidRPr="00286216" w:rsidRDefault="008E6EDB" w:rsidP="008E6EDB">
            <w:pPr>
              <w:pStyle w:val="StyleZakonu"/>
              <w:rPr>
                <w:color w:val="000000" w:themeColor="text1"/>
              </w:rPr>
            </w:pPr>
            <w:r w:rsidRPr="00286216">
              <w:rPr>
                <w:color w:val="000000" w:themeColor="text1"/>
              </w:rPr>
              <w:t>а) у пункті 1 слова "цінних паперів" замінити словами "фінансових інструментів";</w:t>
            </w:r>
          </w:p>
        </w:tc>
        <w:tc>
          <w:tcPr>
            <w:tcW w:w="3686" w:type="dxa"/>
          </w:tcPr>
          <w:p w14:paraId="657EAFFD" w14:textId="117B1F86" w:rsidR="008E6EDB" w:rsidRPr="00286216" w:rsidRDefault="008E6EDB" w:rsidP="008E6EDB">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1340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48326ECD"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z w:val="18"/>
              </w:rPr>
              <w:t>Підпункт а) підпункту 9 пункту 17 розділу 3 (п. 13частини 1 статті 8 Закону України «Про державне регулювання ринку цінних паперів в Україні») викласти в такій редакції:</w:t>
            </w:r>
          </w:p>
          <w:p w14:paraId="51D18BE8"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z w:val="18"/>
              </w:rPr>
              <w:t>а) пункт 1 викласти в такій редакції:</w:t>
            </w:r>
          </w:p>
          <w:p w14:paraId="6EF13086" w14:textId="77777777" w:rsidR="008E6EDB" w:rsidRPr="00286216" w:rsidRDefault="008E6EDB" w:rsidP="008E6EDB">
            <w:pPr>
              <w:spacing w:line="180" w:lineRule="exact"/>
              <w:ind w:firstLine="227"/>
              <w:jc w:val="both"/>
              <w:rPr>
                <w:color w:val="000000" w:themeColor="text1"/>
                <w:szCs w:val="18"/>
              </w:rPr>
            </w:pPr>
            <w:r w:rsidRPr="00286216">
              <w:rPr>
                <w:color w:val="000000" w:themeColor="text1"/>
                <w:sz w:val="18"/>
              </w:rPr>
              <w:t>«встановлювати розмір плати за реєстраційні дії щодо учасників ринків капіталу та системи накопичувального пенсійного забезпечення, виходячи з принципу відшкодування витрат, пов’язаних з наданням таких послуг».</w:t>
            </w:r>
          </w:p>
        </w:tc>
        <w:tc>
          <w:tcPr>
            <w:tcW w:w="1987" w:type="dxa"/>
          </w:tcPr>
          <w:p w14:paraId="16677B38"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5A026EF8" w14:textId="1AEED01D" w:rsidR="008E6EDB" w:rsidRPr="00286216" w:rsidRDefault="008E6EDB" w:rsidP="008E6EDB">
            <w:pPr>
              <w:pStyle w:val="StyleWisnow"/>
              <w:spacing w:line="180" w:lineRule="exact"/>
              <w:rPr>
                <w:color w:val="000000" w:themeColor="text1"/>
              </w:rPr>
            </w:pPr>
            <w:r w:rsidRPr="00286216">
              <w:rPr>
                <w:color w:val="000000" w:themeColor="text1"/>
              </w:rPr>
              <w:t>не є предметом регулювання цього закону</w:t>
            </w:r>
          </w:p>
        </w:tc>
        <w:tc>
          <w:tcPr>
            <w:tcW w:w="4818" w:type="dxa"/>
          </w:tcPr>
          <w:p w14:paraId="2A680998" w14:textId="50104502" w:rsidR="008E6EDB" w:rsidRPr="00286216" w:rsidRDefault="008E6EDB" w:rsidP="008E6EDB">
            <w:pPr>
              <w:pStyle w:val="StyleZakonu"/>
              <w:rPr>
                <w:color w:val="000000" w:themeColor="text1"/>
              </w:rPr>
            </w:pPr>
            <w:r w:rsidRPr="00286216">
              <w:rPr>
                <w:color w:val="000000" w:themeColor="text1"/>
              </w:rPr>
              <w:t>б) у пункті 1 слова "цінних паперів" замінити словами "фінансових інструментів";</w:t>
            </w:r>
          </w:p>
        </w:tc>
      </w:tr>
      <w:tr w:rsidR="008E6EDB" w:rsidRPr="00286216" w14:paraId="7E264AAD" w14:textId="77777777" w:rsidTr="00091AA5">
        <w:tc>
          <w:tcPr>
            <w:tcW w:w="576" w:type="dxa"/>
          </w:tcPr>
          <w:p w14:paraId="10CAAFAE" w14:textId="77777777" w:rsidR="008E6EDB" w:rsidRPr="00286216" w:rsidRDefault="008E6EDB" w:rsidP="008E6EDB">
            <w:pPr>
              <w:pStyle w:val="StyleWisnow"/>
              <w:rPr>
                <w:color w:val="000000" w:themeColor="text1"/>
              </w:rPr>
            </w:pPr>
            <w:bookmarkStart w:id="2896" w:name="n3024" w:colFirst="0" w:colLast="0"/>
            <w:bookmarkEnd w:id="2895"/>
            <w:r w:rsidRPr="00286216">
              <w:rPr>
                <w:color w:val="000000" w:themeColor="text1"/>
              </w:rPr>
              <w:t>3024.</w:t>
            </w:r>
          </w:p>
        </w:tc>
        <w:tc>
          <w:tcPr>
            <w:tcW w:w="4818" w:type="dxa"/>
          </w:tcPr>
          <w:p w14:paraId="4AC24FCC" w14:textId="77777777" w:rsidR="008E6EDB" w:rsidRPr="00286216" w:rsidRDefault="008E6EDB" w:rsidP="008E6EDB">
            <w:pPr>
              <w:pStyle w:val="StyleZakonu"/>
              <w:rPr>
                <w:color w:val="000000" w:themeColor="text1"/>
              </w:rPr>
            </w:pPr>
            <w:r w:rsidRPr="00286216">
              <w:rPr>
                <w:color w:val="000000" w:themeColor="text1"/>
              </w:rPr>
              <w:t>б) пункт 2 виключити;</w:t>
            </w:r>
          </w:p>
        </w:tc>
        <w:tc>
          <w:tcPr>
            <w:tcW w:w="3686" w:type="dxa"/>
          </w:tcPr>
          <w:p w14:paraId="1B7C17AF" w14:textId="77777777" w:rsidR="008E6EDB" w:rsidRPr="00286216" w:rsidRDefault="008E6EDB" w:rsidP="008E6EDB">
            <w:pPr>
              <w:pStyle w:val="StyleProp"/>
              <w:rPr>
                <w:color w:val="000000" w:themeColor="text1"/>
                <w:szCs w:val="18"/>
              </w:rPr>
            </w:pPr>
          </w:p>
        </w:tc>
        <w:tc>
          <w:tcPr>
            <w:tcW w:w="1987" w:type="dxa"/>
          </w:tcPr>
          <w:p w14:paraId="02A54E7F" w14:textId="77777777" w:rsidR="008E6EDB" w:rsidRPr="00286216" w:rsidRDefault="008E6EDB" w:rsidP="008E6EDB">
            <w:pPr>
              <w:pStyle w:val="StyleWisnow"/>
              <w:rPr>
                <w:color w:val="000000" w:themeColor="text1"/>
              </w:rPr>
            </w:pPr>
          </w:p>
        </w:tc>
        <w:tc>
          <w:tcPr>
            <w:tcW w:w="4818" w:type="dxa"/>
          </w:tcPr>
          <w:p w14:paraId="1AC12146" w14:textId="3E5E3AAD" w:rsidR="008E6EDB" w:rsidRPr="00286216" w:rsidRDefault="008E6EDB" w:rsidP="008E6EDB">
            <w:pPr>
              <w:pStyle w:val="StyleZakonu"/>
              <w:rPr>
                <w:color w:val="000000" w:themeColor="text1"/>
              </w:rPr>
            </w:pPr>
            <w:r w:rsidRPr="00286216">
              <w:rPr>
                <w:color w:val="000000" w:themeColor="text1"/>
              </w:rPr>
              <w:t>в) пункт 2 виключити;</w:t>
            </w:r>
          </w:p>
        </w:tc>
      </w:tr>
      <w:tr w:rsidR="008E6EDB" w:rsidRPr="00286216" w14:paraId="5797F519" w14:textId="77777777" w:rsidTr="00091AA5">
        <w:tc>
          <w:tcPr>
            <w:tcW w:w="576" w:type="dxa"/>
          </w:tcPr>
          <w:p w14:paraId="1E0BD44C" w14:textId="77777777" w:rsidR="008E6EDB" w:rsidRPr="00286216" w:rsidRDefault="008E6EDB" w:rsidP="008E6EDB">
            <w:pPr>
              <w:pStyle w:val="StyleWisnow"/>
              <w:rPr>
                <w:color w:val="000000" w:themeColor="text1"/>
              </w:rPr>
            </w:pPr>
            <w:bookmarkStart w:id="2897" w:name="n3025" w:colFirst="0" w:colLast="0"/>
            <w:bookmarkEnd w:id="2896"/>
            <w:r w:rsidRPr="00286216">
              <w:rPr>
                <w:color w:val="000000" w:themeColor="text1"/>
              </w:rPr>
              <w:lastRenderedPageBreak/>
              <w:t>3025.</w:t>
            </w:r>
          </w:p>
        </w:tc>
        <w:tc>
          <w:tcPr>
            <w:tcW w:w="4818" w:type="dxa"/>
          </w:tcPr>
          <w:p w14:paraId="46DC2E6B" w14:textId="77777777" w:rsidR="008E6EDB" w:rsidRPr="00286216" w:rsidRDefault="008E6EDB" w:rsidP="008E6EDB">
            <w:pPr>
              <w:pStyle w:val="StyleZakonu"/>
              <w:rPr>
                <w:color w:val="000000" w:themeColor="text1"/>
              </w:rPr>
            </w:pPr>
            <w:r w:rsidRPr="00286216">
              <w:rPr>
                <w:color w:val="000000" w:themeColor="text1"/>
              </w:rPr>
              <w:t>в) у пункті 3 слова "ринку цінних паперів та системи накопичувального пенсійного забезпечення" замінити словами та знаками "ринків капіталу та інших осіб, у передбачених законодавством випадках, ";</w:t>
            </w:r>
          </w:p>
        </w:tc>
        <w:tc>
          <w:tcPr>
            <w:tcW w:w="3686" w:type="dxa"/>
          </w:tcPr>
          <w:p w14:paraId="07ED8B4D" w14:textId="144DEE4D" w:rsidR="008E6EDB" w:rsidRPr="00286216" w:rsidRDefault="008E6EDB" w:rsidP="008E6ED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1341</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F05C6F0" w14:textId="77777777" w:rsidR="008E6EDB" w:rsidRPr="00286216" w:rsidRDefault="008E6EDB" w:rsidP="008E6EDB">
            <w:pPr>
              <w:pStyle w:val="StyleProp"/>
              <w:spacing w:line="180" w:lineRule="exact"/>
              <w:rPr>
                <w:color w:val="000000" w:themeColor="text1"/>
              </w:rPr>
            </w:pPr>
            <w:r w:rsidRPr="00286216">
              <w:rPr>
                <w:color w:val="000000" w:themeColor="text1"/>
              </w:rPr>
              <w:t>Підпункт "в" підпункту 9 пункту 17 розділу 3 викласти у такій редакції:</w:t>
            </w:r>
          </w:p>
          <w:p w14:paraId="5BADC758" w14:textId="77777777" w:rsidR="008E6EDB" w:rsidRPr="00286216" w:rsidRDefault="008E6EDB" w:rsidP="008E6EDB">
            <w:pPr>
              <w:pStyle w:val="StyleProp"/>
              <w:spacing w:line="180" w:lineRule="exact"/>
              <w:rPr>
                <w:color w:val="000000" w:themeColor="text1"/>
              </w:rPr>
            </w:pPr>
            <w:r w:rsidRPr="00286216">
              <w:rPr>
                <w:color w:val="000000" w:themeColor="text1"/>
              </w:rPr>
              <w:t>"в) пункт 3 викласти у такій редакції:</w:t>
            </w:r>
          </w:p>
          <w:p w14:paraId="34C552DC" w14:textId="77777777" w:rsidR="008E6EDB" w:rsidRPr="00286216" w:rsidRDefault="008E6EDB" w:rsidP="008E6EDB">
            <w:pPr>
              <w:pStyle w:val="StyleProp"/>
              <w:spacing w:line="180" w:lineRule="exact"/>
              <w:rPr>
                <w:i/>
                <w:color w:val="000000" w:themeColor="text1"/>
              </w:rPr>
            </w:pPr>
            <w:r w:rsidRPr="00286216">
              <w:rPr>
                <w:color w:val="000000" w:themeColor="text1"/>
              </w:rPr>
              <w:t>"3) встановлювати розмір плати за реєстраційні дії щодо учасників ринків капіталу та системи накопичувального пенсійного забезпечення, виходячи з принципу відшкодування витрат, пов’язаних з наданням таких послуг".</w:t>
            </w:r>
          </w:p>
        </w:tc>
        <w:tc>
          <w:tcPr>
            <w:tcW w:w="1987" w:type="dxa"/>
          </w:tcPr>
          <w:p w14:paraId="11089E3D"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12AB353F" w14:textId="4C97F899" w:rsidR="008E6EDB" w:rsidRPr="00286216" w:rsidRDefault="008E6EDB" w:rsidP="008E6EDB">
            <w:pPr>
              <w:pStyle w:val="StyleWisnow"/>
              <w:spacing w:line="180" w:lineRule="exact"/>
              <w:rPr>
                <w:color w:val="000000" w:themeColor="text1"/>
              </w:rPr>
            </w:pPr>
            <w:r w:rsidRPr="00286216">
              <w:rPr>
                <w:color w:val="000000" w:themeColor="text1"/>
              </w:rPr>
              <w:t>не є предметом регулювання цього закону</w:t>
            </w:r>
          </w:p>
        </w:tc>
        <w:tc>
          <w:tcPr>
            <w:tcW w:w="4818" w:type="dxa"/>
          </w:tcPr>
          <w:p w14:paraId="4D26765F" w14:textId="05554D4F" w:rsidR="008E6EDB" w:rsidRPr="00286216" w:rsidRDefault="008E6EDB" w:rsidP="008E6EDB">
            <w:pPr>
              <w:pStyle w:val="StyleZakonu"/>
              <w:rPr>
                <w:color w:val="000000" w:themeColor="text1"/>
              </w:rPr>
            </w:pPr>
            <w:r w:rsidRPr="00286216">
              <w:rPr>
                <w:color w:val="000000" w:themeColor="text1"/>
              </w:rPr>
              <w:t>г) у пункті 3 слова "ринку цінних паперів та системи накопичувального пенсійного забезпечення" замінити словами "ринків капіталу та інших осіб, у передбачених законодавством випадках";</w:t>
            </w:r>
          </w:p>
        </w:tc>
      </w:tr>
      <w:tr w:rsidR="008E6EDB" w:rsidRPr="00286216" w14:paraId="7D7F0FAF" w14:textId="77777777" w:rsidTr="00091AA5">
        <w:tc>
          <w:tcPr>
            <w:tcW w:w="576" w:type="dxa"/>
          </w:tcPr>
          <w:p w14:paraId="7BA2B112" w14:textId="77777777" w:rsidR="008E6EDB" w:rsidRPr="00286216" w:rsidRDefault="008E6EDB" w:rsidP="008E6EDB">
            <w:pPr>
              <w:pStyle w:val="StyleWisnow"/>
              <w:rPr>
                <w:color w:val="000000" w:themeColor="text1"/>
              </w:rPr>
            </w:pPr>
            <w:bookmarkStart w:id="2898" w:name="n3026" w:colFirst="0" w:colLast="0"/>
            <w:bookmarkEnd w:id="2897"/>
            <w:r w:rsidRPr="00286216">
              <w:rPr>
                <w:color w:val="000000" w:themeColor="text1"/>
              </w:rPr>
              <w:t>3026.</w:t>
            </w:r>
          </w:p>
        </w:tc>
        <w:tc>
          <w:tcPr>
            <w:tcW w:w="4818" w:type="dxa"/>
          </w:tcPr>
          <w:p w14:paraId="2B6FFC72" w14:textId="77777777" w:rsidR="008E6EDB" w:rsidRPr="00286216" w:rsidRDefault="008E6EDB" w:rsidP="008E6EDB">
            <w:pPr>
              <w:pStyle w:val="StyleZakonu"/>
              <w:rPr>
                <w:color w:val="000000" w:themeColor="text1"/>
              </w:rPr>
            </w:pPr>
            <w:r w:rsidRPr="00286216">
              <w:rPr>
                <w:color w:val="000000" w:themeColor="text1"/>
              </w:rPr>
              <w:t>г) у пункті 4 слова "на ринку цінних паперів" замінити словами "на ринках капіталу та організованих товарних ринках";</w:t>
            </w:r>
          </w:p>
        </w:tc>
        <w:tc>
          <w:tcPr>
            <w:tcW w:w="3686" w:type="dxa"/>
          </w:tcPr>
          <w:p w14:paraId="02347377" w14:textId="193BE4CE"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1342</w:t>
            </w:r>
            <w:r w:rsidRPr="00286216">
              <w:rPr>
                <w:color w:val="000000" w:themeColor="text1"/>
              </w:rPr>
              <w:fldChar w:fldCharType="end"/>
            </w:r>
            <w:r w:rsidRPr="00286216">
              <w:rPr>
                <w:color w:val="000000" w:themeColor="text1"/>
              </w:rPr>
              <w:t>-Н.д.Шахов С.В.(Реєстр.картка №114)</w:t>
            </w:r>
          </w:p>
          <w:p w14:paraId="313E4BBC" w14:textId="77777777" w:rsidR="008E6EDB" w:rsidRPr="00286216" w:rsidRDefault="008E6EDB" w:rsidP="008E6EDB">
            <w:pPr>
              <w:spacing w:line="180" w:lineRule="exact"/>
              <w:ind w:firstLine="227"/>
              <w:jc w:val="both"/>
              <w:rPr>
                <w:color w:val="000000" w:themeColor="text1"/>
                <w:sz w:val="18"/>
              </w:rPr>
            </w:pPr>
            <w:r w:rsidRPr="00286216">
              <w:rPr>
                <w:color w:val="000000" w:themeColor="text1"/>
                <w:spacing w:val="-4"/>
                <w:sz w:val="18"/>
              </w:rPr>
              <w:t>П.п."г" п.п.9 п.17 (зміни до ч.1 ст.8) викласти</w:t>
            </w:r>
            <w:r w:rsidRPr="00286216">
              <w:rPr>
                <w:color w:val="000000" w:themeColor="text1"/>
                <w:spacing w:val="-2"/>
                <w:sz w:val="18"/>
              </w:rPr>
              <w:t xml:space="preserve"> у такій редакції: "г) пункт 4 виключити".</w:t>
            </w:r>
          </w:p>
        </w:tc>
        <w:tc>
          <w:tcPr>
            <w:tcW w:w="1987" w:type="dxa"/>
          </w:tcPr>
          <w:p w14:paraId="3DEC4B48"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2D10EDC9" w14:textId="32357F13" w:rsidR="008E6EDB" w:rsidRPr="00286216" w:rsidRDefault="008E6EDB" w:rsidP="008E6EDB">
            <w:pPr>
              <w:pStyle w:val="StyleZakonu"/>
              <w:rPr>
                <w:color w:val="000000" w:themeColor="text1"/>
              </w:rPr>
            </w:pPr>
            <w:r w:rsidRPr="00286216">
              <w:rPr>
                <w:color w:val="000000" w:themeColor="text1"/>
              </w:rPr>
              <w:t>ґ) пункт 4 виключити;</w:t>
            </w:r>
          </w:p>
        </w:tc>
      </w:tr>
      <w:tr w:rsidR="008E6EDB" w:rsidRPr="00286216" w14:paraId="5851999E" w14:textId="77777777" w:rsidTr="00091AA5">
        <w:tc>
          <w:tcPr>
            <w:tcW w:w="576" w:type="dxa"/>
          </w:tcPr>
          <w:p w14:paraId="0E899A59" w14:textId="77777777" w:rsidR="008E6EDB" w:rsidRPr="00286216" w:rsidRDefault="008E6EDB" w:rsidP="008E6EDB">
            <w:pPr>
              <w:pStyle w:val="StyleWisnow"/>
              <w:rPr>
                <w:color w:val="000000" w:themeColor="text1"/>
              </w:rPr>
            </w:pPr>
            <w:bookmarkStart w:id="2899" w:name="n3027" w:colFirst="0" w:colLast="0"/>
            <w:bookmarkEnd w:id="2898"/>
            <w:r w:rsidRPr="00286216">
              <w:rPr>
                <w:color w:val="000000" w:themeColor="text1"/>
              </w:rPr>
              <w:t>3027.</w:t>
            </w:r>
          </w:p>
        </w:tc>
        <w:tc>
          <w:tcPr>
            <w:tcW w:w="4818" w:type="dxa"/>
          </w:tcPr>
          <w:p w14:paraId="4FF2FFDA" w14:textId="77777777" w:rsidR="008E6EDB" w:rsidRPr="00286216" w:rsidRDefault="008E6EDB" w:rsidP="008E6EDB">
            <w:pPr>
              <w:pStyle w:val="StyleZakonu"/>
              <w:rPr>
                <w:color w:val="000000" w:themeColor="text1"/>
              </w:rPr>
            </w:pPr>
            <w:r w:rsidRPr="00286216">
              <w:rPr>
                <w:color w:val="000000" w:themeColor="text1"/>
              </w:rPr>
              <w:t>ґ) пункт 5 викласти в новій редакції:</w:t>
            </w:r>
          </w:p>
        </w:tc>
        <w:tc>
          <w:tcPr>
            <w:tcW w:w="3686" w:type="dxa"/>
          </w:tcPr>
          <w:p w14:paraId="384E3EE3" w14:textId="77777777" w:rsidR="008E6EDB" w:rsidRPr="00286216" w:rsidRDefault="008E6EDB" w:rsidP="008E6EDB">
            <w:pPr>
              <w:pStyle w:val="StyleProp"/>
              <w:rPr>
                <w:color w:val="000000" w:themeColor="text1"/>
                <w:szCs w:val="18"/>
              </w:rPr>
            </w:pPr>
          </w:p>
        </w:tc>
        <w:tc>
          <w:tcPr>
            <w:tcW w:w="1987" w:type="dxa"/>
          </w:tcPr>
          <w:p w14:paraId="2CCF6B80" w14:textId="77777777" w:rsidR="008E6EDB" w:rsidRPr="00286216" w:rsidRDefault="008E6EDB" w:rsidP="008E6EDB">
            <w:pPr>
              <w:pStyle w:val="StyleWisnow"/>
              <w:rPr>
                <w:color w:val="000000" w:themeColor="text1"/>
              </w:rPr>
            </w:pPr>
          </w:p>
        </w:tc>
        <w:tc>
          <w:tcPr>
            <w:tcW w:w="4818" w:type="dxa"/>
          </w:tcPr>
          <w:p w14:paraId="2C5BC998" w14:textId="6FDEADC3" w:rsidR="008E6EDB" w:rsidRPr="00286216" w:rsidRDefault="008E6EDB" w:rsidP="008E6EDB">
            <w:pPr>
              <w:pStyle w:val="StyleZakonu"/>
              <w:rPr>
                <w:color w:val="000000" w:themeColor="text1"/>
              </w:rPr>
            </w:pPr>
            <w:r w:rsidRPr="00286216">
              <w:rPr>
                <w:color w:val="000000" w:themeColor="text1"/>
              </w:rPr>
              <w:t>д) пункт 5 викласти в такій редакції:</w:t>
            </w:r>
          </w:p>
        </w:tc>
      </w:tr>
      <w:tr w:rsidR="008E6EDB" w:rsidRPr="00286216" w14:paraId="1D7AD96C" w14:textId="77777777" w:rsidTr="00091AA5">
        <w:tc>
          <w:tcPr>
            <w:tcW w:w="576" w:type="dxa"/>
          </w:tcPr>
          <w:p w14:paraId="4D7F3497" w14:textId="77777777" w:rsidR="008E6EDB" w:rsidRPr="00286216" w:rsidRDefault="008E6EDB" w:rsidP="008E6EDB">
            <w:pPr>
              <w:pStyle w:val="StyleWisnow"/>
              <w:rPr>
                <w:color w:val="000000" w:themeColor="text1"/>
              </w:rPr>
            </w:pPr>
            <w:bookmarkStart w:id="2900" w:name="n3028" w:colFirst="0" w:colLast="0"/>
            <w:bookmarkEnd w:id="2899"/>
            <w:r w:rsidRPr="00286216">
              <w:rPr>
                <w:color w:val="000000" w:themeColor="text1"/>
              </w:rPr>
              <w:t>3028.</w:t>
            </w:r>
          </w:p>
        </w:tc>
        <w:tc>
          <w:tcPr>
            <w:tcW w:w="4818" w:type="dxa"/>
          </w:tcPr>
          <w:p w14:paraId="241157CE" w14:textId="77777777" w:rsidR="008E6EDB" w:rsidRPr="00286216" w:rsidRDefault="008E6EDB" w:rsidP="008E6EDB">
            <w:pPr>
              <w:pStyle w:val="StyleZakonu"/>
              <w:rPr>
                <w:color w:val="000000" w:themeColor="text1"/>
              </w:rPr>
            </w:pPr>
            <w:r w:rsidRPr="00286216">
              <w:rPr>
                <w:color w:val="000000" w:themeColor="text1"/>
              </w:rPr>
              <w:t>"5) у разі порушення законодавства про ринки капіталу та організовані товарні ринки, у тому числі про систему накопичувального пенсійного забезпечення, виносити попередження, зупиняти або анулювати дію ліцензій, передбачених статтею 4 цього Закону; ";</w:t>
            </w:r>
          </w:p>
        </w:tc>
        <w:tc>
          <w:tcPr>
            <w:tcW w:w="3686" w:type="dxa"/>
          </w:tcPr>
          <w:p w14:paraId="4862303C" w14:textId="14E47D62"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1343</w:t>
            </w:r>
            <w:r w:rsidRPr="00286216">
              <w:rPr>
                <w:color w:val="000000" w:themeColor="text1"/>
              </w:rPr>
              <w:fldChar w:fldCharType="end"/>
            </w:r>
            <w:r w:rsidRPr="00286216">
              <w:rPr>
                <w:color w:val="000000" w:themeColor="text1"/>
              </w:rPr>
              <w:t>-Н.д.Шахов С.В.(Реєстр.картка №114)</w:t>
            </w:r>
          </w:p>
          <w:p w14:paraId="79E142B0"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02EA3AE3"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0D0ED613" w14:textId="6EE1C392"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0D374C68" w14:textId="0ABAD525" w:rsidR="008E6EDB" w:rsidRPr="00286216" w:rsidRDefault="008E6EDB" w:rsidP="008E6EDB">
            <w:pPr>
              <w:pStyle w:val="StyleZakonu"/>
              <w:rPr>
                <w:color w:val="000000" w:themeColor="text1"/>
              </w:rPr>
            </w:pPr>
            <w:r w:rsidRPr="00286216">
              <w:rPr>
                <w:color w:val="000000" w:themeColor="text1"/>
              </w:rPr>
              <w:t>"5) у разі порушення законодавства про ринки капіталу та організовані товарні ринки, у тому числі про систему накопичувального пенсійного забезпечення, виносити попередження, зупиняти або анулювати дію ліцензій, передбачених статтею 4 цього Закону";</w:t>
            </w:r>
          </w:p>
        </w:tc>
      </w:tr>
      <w:tr w:rsidR="008E6EDB" w:rsidRPr="00286216" w14:paraId="002426F1" w14:textId="77777777" w:rsidTr="00091AA5">
        <w:tc>
          <w:tcPr>
            <w:tcW w:w="576" w:type="dxa"/>
          </w:tcPr>
          <w:p w14:paraId="0CF3BB16" w14:textId="77777777" w:rsidR="008E6EDB" w:rsidRPr="00286216" w:rsidRDefault="008E6EDB" w:rsidP="008E6EDB">
            <w:pPr>
              <w:pStyle w:val="StyleWisnow"/>
              <w:rPr>
                <w:color w:val="000000" w:themeColor="text1"/>
              </w:rPr>
            </w:pPr>
            <w:bookmarkStart w:id="2901" w:name="n3029" w:colFirst="0" w:colLast="0"/>
            <w:bookmarkEnd w:id="2900"/>
            <w:r w:rsidRPr="00286216">
              <w:rPr>
                <w:color w:val="000000" w:themeColor="text1"/>
              </w:rPr>
              <w:t>3029.</w:t>
            </w:r>
          </w:p>
        </w:tc>
        <w:tc>
          <w:tcPr>
            <w:tcW w:w="4818" w:type="dxa"/>
          </w:tcPr>
          <w:p w14:paraId="7D5CECF7" w14:textId="77777777" w:rsidR="008E6EDB" w:rsidRPr="00286216" w:rsidRDefault="008E6EDB" w:rsidP="008E6EDB">
            <w:pPr>
              <w:pStyle w:val="StyleZakonu"/>
              <w:rPr>
                <w:color w:val="000000" w:themeColor="text1"/>
              </w:rPr>
            </w:pPr>
            <w:r w:rsidRPr="00286216">
              <w:rPr>
                <w:color w:val="000000" w:themeColor="text1"/>
              </w:rPr>
              <w:t>д) у пункті 5</w:t>
            </w:r>
            <w:r w:rsidRPr="00286216">
              <w:rPr>
                <w:color w:val="000000" w:themeColor="text1"/>
                <w:vertAlign w:val="superscript"/>
              </w:rPr>
              <w:t>4</w:t>
            </w:r>
            <w:r w:rsidRPr="00286216">
              <w:rPr>
                <w:color w:val="000000" w:themeColor="text1"/>
              </w:rPr>
              <w:t xml:space="preserve"> слова "фондової біржі" замінити словами "оператора організованого ринку";</w:t>
            </w:r>
          </w:p>
        </w:tc>
        <w:tc>
          <w:tcPr>
            <w:tcW w:w="3686" w:type="dxa"/>
          </w:tcPr>
          <w:p w14:paraId="70FBC5D9" w14:textId="77777777" w:rsidR="008E6EDB" w:rsidRPr="00286216" w:rsidRDefault="008E6EDB" w:rsidP="008E6EDB">
            <w:pPr>
              <w:pStyle w:val="StyleProp"/>
              <w:rPr>
                <w:color w:val="000000" w:themeColor="text1"/>
                <w:szCs w:val="18"/>
              </w:rPr>
            </w:pPr>
          </w:p>
        </w:tc>
        <w:tc>
          <w:tcPr>
            <w:tcW w:w="1987" w:type="dxa"/>
          </w:tcPr>
          <w:p w14:paraId="05E21B6F" w14:textId="77777777" w:rsidR="008E6EDB" w:rsidRPr="00286216" w:rsidRDefault="008E6EDB" w:rsidP="008E6EDB">
            <w:pPr>
              <w:pStyle w:val="StyleWisnow"/>
              <w:rPr>
                <w:color w:val="000000" w:themeColor="text1"/>
              </w:rPr>
            </w:pPr>
          </w:p>
        </w:tc>
        <w:tc>
          <w:tcPr>
            <w:tcW w:w="4818" w:type="dxa"/>
          </w:tcPr>
          <w:p w14:paraId="4E431FB4" w14:textId="6E97994A" w:rsidR="008E6EDB" w:rsidRPr="00286216" w:rsidRDefault="008E6EDB" w:rsidP="008E6EDB">
            <w:pPr>
              <w:pStyle w:val="StyleZakonu"/>
              <w:rPr>
                <w:color w:val="000000" w:themeColor="text1"/>
              </w:rPr>
            </w:pPr>
            <w:r w:rsidRPr="00286216">
              <w:rPr>
                <w:color w:val="000000" w:themeColor="text1"/>
              </w:rPr>
              <w:t>е) у пункті 5</w:t>
            </w:r>
            <w:r w:rsidRPr="00286216">
              <w:rPr>
                <w:color w:val="000000" w:themeColor="text1"/>
                <w:vertAlign w:val="superscript"/>
              </w:rPr>
              <w:t>4</w:t>
            </w:r>
            <w:r w:rsidRPr="00286216">
              <w:rPr>
                <w:color w:val="000000" w:themeColor="text1"/>
              </w:rPr>
              <w:t xml:space="preserve"> слова "фондової біржі" замінити словами "оператора організованого ринку";</w:t>
            </w:r>
          </w:p>
        </w:tc>
      </w:tr>
      <w:tr w:rsidR="008E6EDB" w:rsidRPr="00286216" w14:paraId="3A030C9E" w14:textId="77777777" w:rsidTr="00091AA5">
        <w:tc>
          <w:tcPr>
            <w:tcW w:w="576" w:type="dxa"/>
          </w:tcPr>
          <w:p w14:paraId="05F6AA45" w14:textId="77777777" w:rsidR="008E6EDB" w:rsidRPr="00286216" w:rsidRDefault="008E6EDB" w:rsidP="008E6EDB">
            <w:pPr>
              <w:pStyle w:val="StyleWisnow"/>
              <w:rPr>
                <w:color w:val="000000" w:themeColor="text1"/>
              </w:rPr>
            </w:pPr>
            <w:bookmarkStart w:id="2902" w:name="n3030" w:colFirst="0" w:colLast="0"/>
            <w:bookmarkEnd w:id="2901"/>
            <w:r w:rsidRPr="00286216">
              <w:rPr>
                <w:color w:val="000000" w:themeColor="text1"/>
              </w:rPr>
              <w:t>3030.</w:t>
            </w:r>
          </w:p>
        </w:tc>
        <w:tc>
          <w:tcPr>
            <w:tcW w:w="4818" w:type="dxa"/>
          </w:tcPr>
          <w:p w14:paraId="62EECDD1" w14:textId="77777777" w:rsidR="008E6EDB" w:rsidRPr="00286216" w:rsidRDefault="008E6EDB" w:rsidP="008E6EDB">
            <w:pPr>
              <w:pStyle w:val="StyleZakonu"/>
              <w:rPr>
                <w:color w:val="000000" w:themeColor="text1"/>
              </w:rPr>
            </w:pPr>
            <w:r w:rsidRPr="00286216">
              <w:rPr>
                <w:color w:val="000000" w:themeColor="text1"/>
              </w:rPr>
              <w:t>е) пункт 7 викласти в такій редакції:</w:t>
            </w:r>
          </w:p>
        </w:tc>
        <w:tc>
          <w:tcPr>
            <w:tcW w:w="3686" w:type="dxa"/>
          </w:tcPr>
          <w:p w14:paraId="7E5AAE57" w14:textId="77777777" w:rsidR="008E6EDB" w:rsidRPr="00286216" w:rsidRDefault="008E6EDB" w:rsidP="008E6EDB">
            <w:pPr>
              <w:pStyle w:val="StyleProp"/>
              <w:rPr>
                <w:color w:val="000000" w:themeColor="text1"/>
                <w:szCs w:val="18"/>
              </w:rPr>
            </w:pPr>
          </w:p>
        </w:tc>
        <w:tc>
          <w:tcPr>
            <w:tcW w:w="1987" w:type="dxa"/>
          </w:tcPr>
          <w:p w14:paraId="77DF2A60" w14:textId="77777777" w:rsidR="008E6EDB" w:rsidRPr="00286216" w:rsidRDefault="008E6EDB" w:rsidP="008E6EDB">
            <w:pPr>
              <w:pStyle w:val="StyleWisnow"/>
              <w:rPr>
                <w:color w:val="000000" w:themeColor="text1"/>
              </w:rPr>
            </w:pPr>
          </w:p>
        </w:tc>
        <w:tc>
          <w:tcPr>
            <w:tcW w:w="4818" w:type="dxa"/>
          </w:tcPr>
          <w:p w14:paraId="47699EEF" w14:textId="6AD560BD" w:rsidR="008E6EDB" w:rsidRPr="00286216" w:rsidRDefault="008E6EDB" w:rsidP="008E6EDB">
            <w:pPr>
              <w:pStyle w:val="StyleZakonu"/>
              <w:rPr>
                <w:color w:val="000000" w:themeColor="text1"/>
              </w:rPr>
            </w:pPr>
            <w:r w:rsidRPr="00286216">
              <w:rPr>
                <w:color w:val="000000" w:themeColor="text1"/>
              </w:rPr>
              <w:t>є) пункт 7 викласти в такій редакції:</w:t>
            </w:r>
          </w:p>
        </w:tc>
      </w:tr>
      <w:tr w:rsidR="008E6EDB" w:rsidRPr="00286216" w14:paraId="3D893668" w14:textId="77777777" w:rsidTr="00091AA5">
        <w:tc>
          <w:tcPr>
            <w:tcW w:w="576" w:type="dxa"/>
          </w:tcPr>
          <w:p w14:paraId="2207E26A" w14:textId="77777777" w:rsidR="008E6EDB" w:rsidRPr="00286216" w:rsidRDefault="008E6EDB" w:rsidP="008E6EDB">
            <w:pPr>
              <w:pStyle w:val="StyleWisnow"/>
              <w:rPr>
                <w:color w:val="000000" w:themeColor="text1"/>
              </w:rPr>
            </w:pPr>
            <w:bookmarkStart w:id="2903" w:name="n3031" w:colFirst="0" w:colLast="0"/>
            <w:bookmarkEnd w:id="2902"/>
            <w:r w:rsidRPr="00286216">
              <w:rPr>
                <w:color w:val="000000" w:themeColor="text1"/>
              </w:rPr>
              <w:t>3031.</w:t>
            </w:r>
          </w:p>
        </w:tc>
        <w:tc>
          <w:tcPr>
            <w:tcW w:w="4818" w:type="dxa"/>
          </w:tcPr>
          <w:p w14:paraId="2385CE42" w14:textId="77777777" w:rsidR="008E6EDB" w:rsidRPr="00286216" w:rsidRDefault="008E6EDB" w:rsidP="008E6EDB">
            <w:pPr>
              <w:pStyle w:val="StyleZakonu"/>
              <w:rPr>
                <w:color w:val="000000" w:themeColor="text1"/>
              </w:rPr>
            </w:pPr>
            <w:r w:rsidRPr="00286216">
              <w:rPr>
                <w:color w:val="000000" w:themeColor="text1"/>
              </w:rPr>
              <w:t>"7) у разі порушення оператором організованого ринку законодавства про ринки капіталу та організовані товарні ринки та/або правил функціонування таких ринків зупиняти торгівлю на таких ринках до усунення порушень; ";</w:t>
            </w:r>
          </w:p>
        </w:tc>
        <w:tc>
          <w:tcPr>
            <w:tcW w:w="3686" w:type="dxa"/>
          </w:tcPr>
          <w:p w14:paraId="5F4673F8" w14:textId="62692A26"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1344</w:t>
            </w:r>
            <w:r w:rsidRPr="00286216">
              <w:rPr>
                <w:color w:val="000000" w:themeColor="text1"/>
              </w:rPr>
              <w:fldChar w:fldCharType="end"/>
            </w:r>
            <w:r w:rsidRPr="00286216">
              <w:rPr>
                <w:color w:val="000000" w:themeColor="text1"/>
              </w:rPr>
              <w:t>-Н.д.Шахов С.В.(Реєстр.картка №114)</w:t>
            </w:r>
          </w:p>
          <w:p w14:paraId="2CDBE190"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44B2DFC7"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7D9B4081" w14:textId="1D3FB979"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48068781" w14:textId="22F64EEE" w:rsidR="008E6EDB" w:rsidRPr="00286216" w:rsidRDefault="008E6EDB" w:rsidP="008E6EDB">
            <w:pPr>
              <w:pStyle w:val="StyleZakonu"/>
              <w:rPr>
                <w:color w:val="000000" w:themeColor="text1"/>
              </w:rPr>
            </w:pPr>
            <w:r w:rsidRPr="00286216">
              <w:rPr>
                <w:color w:val="000000" w:themeColor="text1"/>
              </w:rPr>
              <w:t>"7) у разі порушення оператором організованого ринку законодавства про ринки капіталу та організовані товарні ринки та/або правил функціонування таких ринків зупиняти торгівлю на таких ринках до усунення порушень";</w:t>
            </w:r>
          </w:p>
        </w:tc>
      </w:tr>
      <w:tr w:rsidR="008E6EDB" w:rsidRPr="00286216" w14:paraId="15A46F87" w14:textId="77777777" w:rsidTr="00091AA5">
        <w:tc>
          <w:tcPr>
            <w:tcW w:w="576" w:type="dxa"/>
          </w:tcPr>
          <w:p w14:paraId="53F905C0" w14:textId="77777777" w:rsidR="008E6EDB" w:rsidRPr="00286216" w:rsidRDefault="008E6EDB" w:rsidP="008E6EDB">
            <w:pPr>
              <w:pStyle w:val="StyleWisnow"/>
              <w:rPr>
                <w:color w:val="000000" w:themeColor="text1"/>
              </w:rPr>
            </w:pPr>
            <w:bookmarkStart w:id="2904" w:name="n3032" w:colFirst="0" w:colLast="0"/>
            <w:bookmarkEnd w:id="2903"/>
            <w:r w:rsidRPr="00286216">
              <w:rPr>
                <w:color w:val="000000" w:themeColor="text1"/>
              </w:rPr>
              <w:t>3032.</w:t>
            </w:r>
          </w:p>
        </w:tc>
        <w:tc>
          <w:tcPr>
            <w:tcW w:w="4818" w:type="dxa"/>
          </w:tcPr>
          <w:p w14:paraId="135E8C04" w14:textId="77777777" w:rsidR="008E6EDB" w:rsidRPr="00286216" w:rsidRDefault="008E6EDB" w:rsidP="008E6EDB">
            <w:pPr>
              <w:pStyle w:val="StyleZakonu"/>
              <w:rPr>
                <w:color w:val="000000" w:themeColor="text1"/>
              </w:rPr>
            </w:pPr>
            <w:r w:rsidRPr="00286216">
              <w:rPr>
                <w:color w:val="000000" w:themeColor="text1"/>
              </w:rPr>
              <w:t>є) у пункті 8 слова "ринку цінних паперів" замінити словами "ринках капіталу та організованих товарних ринках";</w:t>
            </w:r>
          </w:p>
        </w:tc>
        <w:tc>
          <w:tcPr>
            <w:tcW w:w="3686" w:type="dxa"/>
          </w:tcPr>
          <w:p w14:paraId="2D2E3332" w14:textId="709F1E88"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1345</w:t>
            </w:r>
            <w:r w:rsidRPr="00286216">
              <w:rPr>
                <w:color w:val="000000" w:themeColor="text1"/>
              </w:rPr>
              <w:fldChar w:fldCharType="end"/>
            </w:r>
            <w:r w:rsidRPr="00286216">
              <w:rPr>
                <w:color w:val="000000" w:themeColor="text1"/>
              </w:rPr>
              <w:t>-Н.д.Шахов С.В.(Реєстр.картка №114)</w:t>
            </w:r>
          </w:p>
          <w:p w14:paraId="606ED26A"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44FAB28D" w14:textId="77777777" w:rsidR="008E6EDB" w:rsidRPr="00286216" w:rsidRDefault="008E6EDB" w:rsidP="008E6EDB">
            <w:pPr>
              <w:pStyle w:val="StyleWisnow"/>
              <w:rPr>
                <w:color w:val="000000" w:themeColor="text1"/>
              </w:rPr>
            </w:pPr>
            <w:r w:rsidRPr="00286216">
              <w:rPr>
                <w:color w:val="000000" w:themeColor="text1"/>
              </w:rPr>
              <w:t>Відхилено</w:t>
            </w:r>
          </w:p>
          <w:p w14:paraId="700EE406" w14:textId="60A094E0"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064EBC8F" w14:textId="2A41450E" w:rsidR="008E6EDB" w:rsidRPr="00286216" w:rsidRDefault="008E6EDB" w:rsidP="008E6EDB">
            <w:pPr>
              <w:pStyle w:val="StyleZakonu"/>
              <w:rPr>
                <w:color w:val="000000" w:themeColor="text1"/>
              </w:rPr>
            </w:pPr>
            <w:r w:rsidRPr="00286216">
              <w:rPr>
                <w:color w:val="000000" w:themeColor="text1"/>
              </w:rPr>
              <w:t>ж) у пункті 8 слова "ринку цінних паперів" замінити словами "ринках капіталу та організованих товарних ринках";</w:t>
            </w:r>
          </w:p>
        </w:tc>
      </w:tr>
      <w:tr w:rsidR="008E6EDB" w:rsidRPr="00286216" w14:paraId="0DB04C38" w14:textId="77777777" w:rsidTr="00091AA5">
        <w:tc>
          <w:tcPr>
            <w:tcW w:w="576" w:type="dxa"/>
          </w:tcPr>
          <w:p w14:paraId="60573CA6" w14:textId="77777777" w:rsidR="008E6EDB" w:rsidRPr="00286216" w:rsidRDefault="008E6EDB" w:rsidP="008E6EDB">
            <w:pPr>
              <w:pStyle w:val="StyleWisnow"/>
              <w:rPr>
                <w:color w:val="000000" w:themeColor="text1"/>
              </w:rPr>
            </w:pPr>
            <w:bookmarkStart w:id="2905" w:name="n3033" w:colFirst="0" w:colLast="0"/>
            <w:bookmarkEnd w:id="2904"/>
            <w:r w:rsidRPr="00286216">
              <w:rPr>
                <w:color w:val="000000" w:themeColor="text1"/>
              </w:rPr>
              <w:t>3033.</w:t>
            </w:r>
          </w:p>
        </w:tc>
        <w:tc>
          <w:tcPr>
            <w:tcW w:w="4818" w:type="dxa"/>
          </w:tcPr>
          <w:p w14:paraId="0DBE8566" w14:textId="77777777" w:rsidR="008E6EDB" w:rsidRPr="00286216" w:rsidRDefault="008E6EDB" w:rsidP="008E6EDB">
            <w:pPr>
              <w:pStyle w:val="StyleZakonu"/>
              <w:rPr>
                <w:color w:val="000000" w:themeColor="text1"/>
              </w:rPr>
            </w:pPr>
            <w:r w:rsidRPr="00286216">
              <w:rPr>
                <w:color w:val="000000" w:themeColor="text1"/>
              </w:rPr>
              <w:t>ж) у пункті 8</w:t>
            </w:r>
            <w:r w:rsidRPr="00286216">
              <w:rPr>
                <w:color w:val="000000" w:themeColor="text1"/>
                <w:vertAlign w:val="superscript"/>
              </w:rPr>
              <w:t>1</w:t>
            </w:r>
            <w:r w:rsidRPr="00286216">
              <w:rPr>
                <w:color w:val="000000" w:themeColor="text1"/>
              </w:rPr>
              <w:t xml:space="preserve"> слова "фондовій біржі" замінити словами "регульованому ринку";</w:t>
            </w:r>
          </w:p>
        </w:tc>
        <w:tc>
          <w:tcPr>
            <w:tcW w:w="3686" w:type="dxa"/>
          </w:tcPr>
          <w:p w14:paraId="61104C68" w14:textId="77777777" w:rsidR="008E6EDB" w:rsidRPr="00286216" w:rsidRDefault="008E6EDB" w:rsidP="008E6EDB">
            <w:pPr>
              <w:pStyle w:val="StyleProp"/>
              <w:rPr>
                <w:color w:val="000000" w:themeColor="text1"/>
                <w:szCs w:val="18"/>
              </w:rPr>
            </w:pPr>
          </w:p>
        </w:tc>
        <w:tc>
          <w:tcPr>
            <w:tcW w:w="1987" w:type="dxa"/>
          </w:tcPr>
          <w:p w14:paraId="49500E05" w14:textId="77777777" w:rsidR="008E6EDB" w:rsidRPr="00286216" w:rsidRDefault="008E6EDB" w:rsidP="008E6EDB">
            <w:pPr>
              <w:pStyle w:val="StyleWisnow"/>
              <w:rPr>
                <w:color w:val="000000" w:themeColor="text1"/>
              </w:rPr>
            </w:pPr>
          </w:p>
        </w:tc>
        <w:tc>
          <w:tcPr>
            <w:tcW w:w="4818" w:type="dxa"/>
          </w:tcPr>
          <w:p w14:paraId="1F36A04C" w14:textId="7C75F266" w:rsidR="008E6EDB" w:rsidRPr="00286216" w:rsidRDefault="008E6EDB" w:rsidP="008E6EDB">
            <w:pPr>
              <w:pStyle w:val="StyleZakonu"/>
              <w:rPr>
                <w:color w:val="000000" w:themeColor="text1"/>
              </w:rPr>
            </w:pPr>
            <w:r w:rsidRPr="00286216">
              <w:rPr>
                <w:color w:val="000000" w:themeColor="text1"/>
              </w:rPr>
              <w:t>з) у пункті 8</w:t>
            </w:r>
            <w:r w:rsidRPr="00286216">
              <w:rPr>
                <w:color w:val="000000" w:themeColor="text1"/>
                <w:vertAlign w:val="superscript"/>
              </w:rPr>
              <w:t>1</w:t>
            </w:r>
            <w:r w:rsidRPr="00286216">
              <w:rPr>
                <w:color w:val="000000" w:themeColor="text1"/>
              </w:rPr>
              <w:t xml:space="preserve"> слова "фондовій біржі" замінити словами "регульованому ринку";</w:t>
            </w:r>
          </w:p>
        </w:tc>
      </w:tr>
      <w:tr w:rsidR="008E6EDB" w:rsidRPr="00286216" w14:paraId="6A13F4F3" w14:textId="77777777" w:rsidTr="00091AA5">
        <w:tc>
          <w:tcPr>
            <w:tcW w:w="576" w:type="dxa"/>
          </w:tcPr>
          <w:p w14:paraId="3F68B432" w14:textId="77777777" w:rsidR="008E6EDB" w:rsidRPr="00286216" w:rsidRDefault="008E6EDB" w:rsidP="008E6EDB">
            <w:pPr>
              <w:pStyle w:val="StyleWisnow"/>
              <w:rPr>
                <w:color w:val="000000" w:themeColor="text1"/>
              </w:rPr>
            </w:pPr>
            <w:bookmarkStart w:id="2906" w:name="n3034" w:colFirst="0" w:colLast="0"/>
            <w:bookmarkEnd w:id="2905"/>
            <w:r w:rsidRPr="00286216">
              <w:rPr>
                <w:color w:val="000000" w:themeColor="text1"/>
              </w:rPr>
              <w:t>3034.</w:t>
            </w:r>
          </w:p>
        </w:tc>
        <w:tc>
          <w:tcPr>
            <w:tcW w:w="4818" w:type="dxa"/>
          </w:tcPr>
          <w:p w14:paraId="2ED5B051" w14:textId="77777777" w:rsidR="008E6EDB" w:rsidRPr="00286216" w:rsidRDefault="008E6EDB" w:rsidP="008E6EDB">
            <w:pPr>
              <w:pStyle w:val="StyleZakonu"/>
              <w:rPr>
                <w:color w:val="000000" w:themeColor="text1"/>
              </w:rPr>
            </w:pPr>
            <w:r w:rsidRPr="00286216">
              <w:rPr>
                <w:color w:val="000000" w:themeColor="text1"/>
              </w:rPr>
              <w:t>з) у пункті 8</w:t>
            </w:r>
            <w:r w:rsidRPr="00286216">
              <w:rPr>
                <w:color w:val="000000" w:themeColor="text1"/>
                <w:vertAlign w:val="superscript"/>
              </w:rPr>
              <w:t>7</w:t>
            </w:r>
            <w:r w:rsidRPr="00286216">
              <w:rPr>
                <w:color w:val="000000" w:themeColor="text1"/>
              </w:rPr>
              <w:t xml:space="preserve"> цифри "8</w:t>
            </w:r>
            <w:r w:rsidRPr="00286216">
              <w:rPr>
                <w:color w:val="000000" w:themeColor="text1"/>
                <w:vertAlign w:val="superscript"/>
              </w:rPr>
              <w:t>5</w:t>
            </w:r>
            <w:r w:rsidRPr="00286216">
              <w:rPr>
                <w:color w:val="000000" w:themeColor="text1"/>
              </w:rPr>
              <w:t>" замінити цифрами "8</w:t>
            </w:r>
            <w:r w:rsidRPr="00286216">
              <w:rPr>
                <w:color w:val="000000" w:themeColor="text1"/>
                <w:vertAlign w:val="superscript"/>
              </w:rPr>
              <w:t>6</w:t>
            </w:r>
            <w:r w:rsidRPr="00286216">
              <w:rPr>
                <w:color w:val="000000" w:themeColor="text1"/>
              </w:rPr>
              <w:t>";</w:t>
            </w:r>
          </w:p>
        </w:tc>
        <w:tc>
          <w:tcPr>
            <w:tcW w:w="3686" w:type="dxa"/>
          </w:tcPr>
          <w:p w14:paraId="56D9D835" w14:textId="77777777" w:rsidR="008E6EDB" w:rsidRPr="00286216" w:rsidRDefault="008E6EDB" w:rsidP="008E6EDB">
            <w:pPr>
              <w:pStyle w:val="StyleProp"/>
              <w:rPr>
                <w:color w:val="000000" w:themeColor="text1"/>
                <w:szCs w:val="18"/>
              </w:rPr>
            </w:pPr>
          </w:p>
        </w:tc>
        <w:tc>
          <w:tcPr>
            <w:tcW w:w="1987" w:type="dxa"/>
          </w:tcPr>
          <w:p w14:paraId="7E485FB6" w14:textId="77777777" w:rsidR="008E6EDB" w:rsidRPr="00286216" w:rsidRDefault="008E6EDB" w:rsidP="008E6EDB">
            <w:pPr>
              <w:pStyle w:val="StyleWisnow"/>
              <w:rPr>
                <w:color w:val="000000" w:themeColor="text1"/>
              </w:rPr>
            </w:pPr>
          </w:p>
        </w:tc>
        <w:tc>
          <w:tcPr>
            <w:tcW w:w="4818" w:type="dxa"/>
          </w:tcPr>
          <w:p w14:paraId="398CCFFD" w14:textId="02E54C61" w:rsidR="008E6EDB" w:rsidRPr="00286216" w:rsidRDefault="008E6EDB" w:rsidP="008E6EDB">
            <w:pPr>
              <w:pStyle w:val="StyleZakonu"/>
              <w:rPr>
                <w:color w:val="000000" w:themeColor="text1"/>
              </w:rPr>
            </w:pPr>
            <w:r w:rsidRPr="00286216">
              <w:rPr>
                <w:color w:val="000000" w:themeColor="text1"/>
              </w:rPr>
              <w:t>і</w:t>
            </w:r>
            <w:r w:rsidRPr="00286216" w:rsidDel="00676BE0">
              <w:rPr>
                <w:color w:val="000000" w:themeColor="text1"/>
              </w:rPr>
              <w:t xml:space="preserve"> </w:t>
            </w:r>
            <w:r w:rsidRPr="00286216">
              <w:rPr>
                <w:color w:val="000000" w:themeColor="text1"/>
              </w:rPr>
              <w:t>) у пункті 8</w:t>
            </w:r>
            <w:r w:rsidRPr="00286216">
              <w:rPr>
                <w:color w:val="000000" w:themeColor="text1"/>
                <w:vertAlign w:val="superscript"/>
              </w:rPr>
              <w:t>7</w:t>
            </w:r>
            <w:r w:rsidRPr="00286216">
              <w:rPr>
                <w:color w:val="000000" w:themeColor="text1"/>
              </w:rPr>
              <w:t xml:space="preserve"> цифри "8</w:t>
            </w:r>
            <w:r w:rsidRPr="00286216">
              <w:rPr>
                <w:color w:val="000000" w:themeColor="text1"/>
                <w:vertAlign w:val="superscript"/>
              </w:rPr>
              <w:t>5</w:t>
            </w:r>
            <w:r w:rsidRPr="00286216">
              <w:rPr>
                <w:color w:val="000000" w:themeColor="text1"/>
              </w:rPr>
              <w:t>" замінити цифрами "8</w:t>
            </w:r>
            <w:r w:rsidRPr="00286216">
              <w:rPr>
                <w:color w:val="000000" w:themeColor="text1"/>
                <w:vertAlign w:val="superscript"/>
              </w:rPr>
              <w:t>6</w:t>
            </w:r>
            <w:r w:rsidRPr="00286216">
              <w:rPr>
                <w:color w:val="000000" w:themeColor="text1"/>
              </w:rPr>
              <w:t>";</w:t>
            </w:r>
          </w:p>
        </w:tc>
      </w:tr>
      <w:tr w:rsidR="008E6EDB" w:rsidRPr="00286216" w14:paraId="68101D49" w14:textId="77777777" w:rsidTr="00091AA5">
        <w:tc>
          <w:tcPr>
            <w:tcW w:w="576" w:type="dxa"/>
          </w:tcPr>
          <w:p w14:paraId="1AA8F887" w14:textId="77777777" w:rsidR="008E6EDB" w:rsidRPr="00286216" w:rsidRDefault="008E6EDB" w:rsidP="008E6EDB">
            <w:pPr>
              <w:pStyle w:val="StyleWisnow"/>
              <w:rPr>
                <w:color w:val="000000" w:themeColor="text1"/>
              </w:rPr>
            </w:pPr>
            <w:bookmarkStart w:id="2907" w:name="n3035" w:colFirst="0" w:colLast="0"/>
            <w:bookmarkEnd w:id="2906"/>
            <w:r w:rsidRPr="00286216">
              <w:rPr>
                <w:color w:val="000000" w:themeColor="text1"/>
              </w:rPr>
              <w:t>3035.</w:t>
            </w:r>
          </w:p>
        </w:tc>
        <w:tc>
          <w:tcPr>
            <w:tcW w:w="4818" w:type="dxa"/>
          </w:tcPr>
          <w:p w14:paraId="5F531C3F" w14:textId="77777777" w:rsidR="008E6EDB" w:rsidRPr="00286216" w:rsidRDefault="008E6EDB" w:rsidP="008E6EDB">
            <w:pPr>
              <w:pStyle w:val="StyleZakonu"/>
              <w:rPr>
                <w:color w:val="000000" w:themeColor="text1"/>
              </w:rPr>
            </w:pPr>
            <w:r w:rsidRPr="00286216">
              <w:rPr>
                <w:color w:val="000000" w:themeColor="text1"/>
              </w:rPr>
              <w:t>і) пункт 9 викласти в новій редакції:</w:t>
            </w:r>
          </w:p>
        </w:tc>
        <w:tc>
          <w:tcPr>
            <w:tcW w:w="3686" w:type="dxa"/>
          </w:tcPr>
          <w:p w14:paraId="126F887D" w14:textId="77777777" w:rsidR="008E6EDB" w:rsidRPr="00286216" w:rsidRDefault="008E6EDB" w:rsidP="008E6EDB">
            <w:pPr>
              <w:pStyle w:val="StyleProp"/>
              <w:rPr>
                <w:color w:val="000000" w:themeColor="text1"/>
                <w:szCs w:val="18"/>
              </w:rPr>
            </w:pPr>
          </w:p>
        </w:tc>
        <w:tc>
          <w:tcPr>
            <w:tcW w:w="1987" w:type="dxa"/>
          </w:tcPr>
          <w:p w14:paraId="5BD3D097" w14:textId="77777777" w:rsidR="008E6EDB" w:rsidRPr="00286216" w:rsidRDefault="008E6EDB" w:rsidP="008E6EDB">
            <w:pPr>
              <w:pStyle w:val="StyleWisnow"/>
              <w:rPr>
                <w:color w:val="000000" w:themeColor="text1"/>
              </w:rPr>
            </w:pPr>
          </w:p>
        </w:tc>
        <w:tc>
          <w:tcPr>
            <w:tcW w:w="4818" w:type="dxa"/>
          </w:tcPr>
          <w:p w14:paraId="67F61EFF" w14:textId="406D696D" w:rsidR="008E6EDB" w:rsidRPr="00286216" w:rsidRDefault="008E6EDB" w:rsidP="008E6EDB">
            <w:pPr>
              <w:pStyle w:val="StyleZakonu"/>
              <w:rPr>
                <w:color w:val="000000" w:themeColor="text1"/>
              </w:rPr>
            </w:pPr>
            <w:r w:rsidRPr="00286216">
              <w:rPr>
                <w:color w:val="000000" w:themeColor="text1"/>
              </w:rPr>
              <w:t>и) пункт 9 викласти в  такій редакції:</w:t>
            </w:r>
          </w:p>
        </w:tc>
      </w:tr>
      <w:tr w:rsidR="008E6EDB" w:rsidRPr="00286216" w14:paraId="1A71924D" w14:textId="77777777" w:rsidTr="00091AA5">
        <w:tc>
          <w:tcPr>
            <w:tcW w:w="576" w:type="dxa"/>
          </w:tcPr>
          <w:p w14:paraId="4D407500" w14:textId="77777777" w:rsidR="008E6EDB" w:rsidRPr="00286216" w:rsidRDefault="008E6EDB" w:rsidP="008E6EDB">
            <w:pPr>
              <w:pStyle w:val="StyleWisnow"/>
              <w:rPr>
                <w:color w:val="000000" w:themeColor="text1"/>
              </w:rPr>
            </w:pPr>
            <w:bookmarkStart w:id="2908" w:name="n3036" w:colFirst="0" w:colLast="0"/>
            <w:bookmarkEnd w:id="2907"/>
            <w:r w:rsidRPr="00286216">
              <w:rPr>
                <w:color w:val="000000" w:themeColor="text1"/>
              </w:rPr>
              <w:t>3036.</w:t>
            </w:r>
          </w:p>
        </w:tc>
        <w:tc>
          <w:tcPr>
            <w:tcW w:w="4818" w:type="dxa"/>
          </w:tcPr>
          <w:p w14:paraId="3CD56807" w14:textId="77777777" w:rsidR="008E6EDB" w:rsidRPr="00286216" w:rsidRDefault="008E6EDB" w:rsidP="008E6EDB">
            <w:pPr>
              <w:pStyle w:val="StyleZakonu"/>
              <w:rPr>
                <w:color w:val="000000" w:themeColor="text1"/>
              </w:rPr>
            </w:pPr>
            <w:r w:rsidRPr="00286216">
              <w:rPr>
                <w:color w:val="000000" w:themeColor="text1"/>
              </w:rPr>
              <w:t xml:space="preserve">"встановлювати порядок проведення перевірок та оформлення їх результатів, відповідно до якого проводити самостійно чи разом з іншими відповідними органами перевірки діяльності професійних учасників ринків капіталу та організованих товарних ринків, суб’єктів системи накопичувального пенсійного забезпечення (крім вкладників та учасників) щодо їх діяльності у такій </w:t>
            </w:r>
            <w:r w:rsidRPr="00286216">
              <w:rPr>
                <w:color w:val="000000" w:themeColor="text1"/>
              </w:rPr>
              <w:lastRenderedPageBreak/>
              <w:t>системі, та саморегулівних організацій професійних учасників ринків капіталу, а також перевірки діяльності емітентів щодо стану корпоративного управління та здійснення операцій з емісії та обігу цінних паперів";</w:t>
            </w:r>
          </w:p>
        </w:tc>
        <w:tc>
          <w:tcPr>
            <w:tcW w:w="3686" w:type="dxa"/>
          </w:tcPr>
          <w:p w14:paraId="6204A504" w14:textId="3268C14D" w:rsidR="008E6EDB" w:rsidRPr="00286216" w:rsidRDefault="008E6EDB" w:rsidP="008E6EDB">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1346</w:t>
            </w:r>
            <w:r w:rsidRPr="00286216">
              <w:rPr>
                <w:color w:val="000000" w:themeColor="text1"/>
              </w:rPr>
              <w:fldChar w:fldCharType="end"/>
            </w:r>
            <w:r w:rsidRPr="00286216">
              <w:rPr>
                <w:color w:val="000000" w:themeColor="text1"/>
              </w:rPr>
              <w:t>-Н.д.Шахов С.В.(Реєстр.картка №114)</w:t>
            </w:r>
          </w:p>
          <w:p w14:paraId="673B6770"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4009B268" w14:textId="77777777" w:rsidR="008E6EDB" w:rsidRPr="00286216" w:rsidRDefault="008E6EDB" w:rsidP="008E6EDB">
            <w:pPr>
              <w:pStyle w:val="StyleWisnow"/>
              <w:rPr>
                <w:color w:val="000000" w:themeColor="text1"/>
              </w:rPr>
            </w:pPr>
            <w:r w:rsidRPr="00286216">
              <w:rPr>
                <w:color w:val="000000" w:themeColor="text1"/>
              </w:rPr>
              <w:t>Відхилено</w:t>
            </w:r>
          </w:p>
          <w:p w14:paraId="1F040A2C" w14:textId="4F0E15E0"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7906F1A7" w14:textId="7AC83941" w:rsidR="008E6EDB" w:rsidRPr="00286216" w:rsidRDefault="008E6EDB" w:rsidP="008E6EDB">
            <w:pPr>
              <w:pStyle w:val="StyleZakonu"/>
              <w:rPr>
                <w:color w:val="000000" w:themeColor="text1"/>
              </w:rPr>
            </w:pPr>
            <w:r w:rsidRPr="00286216">
              <w:rPr>
                <w:color w:val="000000" w:themeColor="text1"/>
              </w:rPr>
              <w:t xml:space="preserve">"9) встановлювати порядок проведення перевірок та оформлення їх результатів, відповідно до якого проводити самостійно чи разом з іншими відповідними органами перевірки діяльності професійних учасників ринків капіталу та організованих товарних ринків, суб’єктів системи накопичувального пенсійного забезпечення (крім вкладників та учасників) щодо їх діяльності у такій </w:t>
            </w:r>
            <w:r w:rsidRPr="00286216">
              <w:rPr>
                <w:color w:val="000000" w:themeColor="text1"/>
              </w:rPr>
              <w:lastRenderedPageBreak/>
              <w:t>системі, та саморегулівних організацій професійних учасників ринків капіталу, а також перевірки діяльності емітентів щодо стану корпоративного управління та здійснення операцій з емісії та обігу цінних паперів";</w:t>
            </w:r>
          </w:p>
        </w:tc>
      </w:tr>
      <w:tr w:rsidR="008E6EDB" w:rsidRPr="00286216" w14:paraId="08038299" w14:textId="77777777" w:rsidTr="00091AA5">
        <w:tc>
          <w:tcPr>
            <w:tcW w:w="576" w:type="dxa"/>
          </w:tcPr>
          <w:p w14:paraId="1206468D" w14:textId="77777777" w:rsidR="008E6EDB" w:rsidRPr="00286216" w:rsidRDefault="008E6EDB" w:rsidP="008E6EDB">
            <w:pPr>
              <w:pStyle w:val="StyleWisnow"/>
              <w:rPr>
                <w:color w:val="000000" w:themeColor="text1"/>
              </w:rPr>
            </w:pPr>
            <w:bookmarkStart w:id="2909" w:name="n3037" w:colFirst="0" w:colLast="0"/>
            <w:bookmarkEnd w:id="2908"/>
            <w:r w:rsidRPr="00286216">
              <w:rPr>
                <w:color w:val="000000" w:themeColor="text1"/>
              </w:rPr>
              <w:lastRenderedPageBreak/>
              <w:t>3037.</w:t>
            </w:r>
          </w:p>
        </w:tc>
        <w:tc>
          <w:tcPr>
            <w:tcW w:w="4818" w:type="dxa"/>
          </w:tcPr>
          <w:p w14:paraId="15CD5A01" w14:textId="77777777" w:rsidR="008E6EDB" w:rsidRPr="00286216" w:rsidRDefault="008E6EDB" w:rsidP="008E6EDB">
            <w:pPr>
              <w:pStyle w:val="StyleZakonu"/>
              <w:rPr>
                <w:color w:val="000000" w:themeColor="text1"/>
              </w:rPr>
            </w:pPr>
            <w:r w:rsidRPr="00286216">
              <w:rPr>
                <w:color w:val="000000" w:themeColor="text1"/>
              </w:rPr>
              <w:t>и) пункт 9</w:t>
            </w:r>
            <w:r w:rsidRPr="00286216">
              <w:rPr>
                <w:color w:val="000000" w:themeColor="text1"/>
                <w:vertAlign w:val="superscript"/>
              </w:rPr>
              <w:t>1</w:t>
            </w:r>
            <w:r w:rsidRPr="00286216">
              <w:rPr>
                <w:color w:val="000000" w:themeColor="text1"/>
              </w:rPr>
              <w:t xml:space="preserve"> викласти в такій редакції:</w:t>
            </w:r>
          </w:p>
        </w:tc>
        <w:tc>
          <w:tcPr>
            <w:tcW w:w="3686" w:type="dxa"/>
          </w:tcPr>
          <w:p w14:paraId="0202967C" w14:textId="77777777" w:rsidR="008E6EDB" w:rsidRPr="00286216" w:rsidRDefault="008E6EDB" w:rsidP="008E6EDB">
            <w:pPr>
              <w:pStyle w:val="StyleProp"/>
              <w:rPr>
                <w:color w:val="000000" w:themeColor="text1"/>
                <w:szCs w:val="18"/>
              </w:rPr>
            </w:pPr>
          </w:p>
        </w:tc>
        <w:tc>
          <w:tcPr>
            <w:tcW w:w="1987" w:type="dxa"/>
          </w:tcPr>
          <w:p w14:paraId="3853B66A" w14:textId="77777777" w:rsidR="008E6EDB" w:rsidRPr="00286216" w:rsidRDefault="008E6EDB" w:rsidP="008E6EDB">
            <w:pPr>
              <w:pStyle w:val="StyleWisnow"/>
              <w:rPr>
                <w:color w:val="000000" w:themeColor="text1"/>
              </w:rPr>
            </w:pPr>
          </w:p>
        </w:tc>
        <w:tc>
          <w:tcPr>
            <w:tcW w:w="4818" w:type="dxa"/>
          </w:tcPr>
          <w:p w14:paraId="7E89D028" w14:textId="14AF37B1" w:rsidR="008E6EDB" w:rsidRPr="00286216" w:rsidRDefault="008E6EDB" w:rsidP="008E6EDB">
            <w:pPr>
              <w:pStyle w:val="StyleZakonu"/>
              <w:rPr>
                <w:color w:val="000000" w:themeColor="text1"/>
              </w:rPr>
            </w:pPr>
            <w:r w:rsidRPr="00286216">
              <w:rPr>
                <w:color w:val="000000" w:themeColor="text1"/>
              </w:rPr>
              <w:t>ї) пункт 9</w:t>
            </w:r>
            <w:r w:rsidRPr="00286216">
              <w:rPr>
                <w:color w:val="000000" w:themeColor="text1"/>
                <w:vertAlign w:val="superscript"/>
              </w:rPr>
              <w:t>1</w:t>
            </w:r>
            <w:r w:rsidRPr="00286216">
              <w:rPr>
                <w:color w:val="000000" w:themeColor="text1"/>
              </w:rPr>
              <w:t xml:space="preserve"> викласти в такій редакції:</w:t>
            </w:r>
          </w:p>
        </w:tc>
      </w:tr>
      <w:tr w:rsidR="008E6EDB" w:rsidRPr="00286216" w14:paraId="3515627E" w14:textId="77777777" w:rsidTr="00091AA5">
        <w:tc>
          <w:tcPr>
            <w:tcW w:w="576" w:type="dxa"/>
          </w:tcPr>
          <w:p w14:paraId="09B5E900" w14:textId="77777777" w:rsidR="008E6EDB" w:rsidRPr="00286216" w:rsidRDefault="008E6EDB" w:rsidP="008E6EDB">
            <w:pPr>
              <w:pStyle w:val="StyleWisnow"/>
              <w:rPr>
                <w:color w:val="000000" w:themeColor="text1"/>
              </w:rPr>
            </w:pPr>
            <w:bookmarkStart w:id="2910" w:name="n3038" w:colFirst="0" w:colLast="0"/>
            <w:bookmarkEnd w:id="2909"/>
            <w:r w:rsidRPr="00286216">
              <w:rPr>
                <w:color w:val="000000" w:themeColor="text1"/>
              </w:rPr>
              <w:t>3038.</w:t>
            </w:r>
          </w:p>
        </w:tc>
        <w:tc>
          <w:tcPr>
            <w:tcW w:w="4818" w:type="dxa"/>
          </w:tcPr>
          <w:p w14:paraId="22B84812" w14:textId="77777777" w:rsidR="008E6EDB" w:rsidRPr="00286216" w:rsidRDefault="008E6EDB" w:rsidP="008E6EDB">
            <w:pPr>
              <w:pStyle w:val="StyleZakonu"/>
              <w:rPr>
                <w:color w:val="000000" w:themeColor="text1"/>
              </w:rPr>
            </w:pPr>
            <w:r w:rsidRPr="00286216">
              <w:rPr>
                <w:color w:val="000000" w:themeColor="text1"/>
              </w:rPr>
              <w:t>"проводити самостійно чи спільно з іншими відповідними органами перевірки юридичних осіб, що отримали ліцензію, передбачену статтею 4 цього Закону та строк дії якої закінчився або яку анульовано, щодо дотримання вимог законодавства, що регулює дії таких юридичних осіб у випадку закінчення строку дії або анулювання їх ліцензії. Така перевірка може бути проведена не більше ніж протягом трьох років з дня закінчення дії (анулювання) зазначеної ліцензії; ";</w:t>
            </w:r>
          </w:p>
        </w:tc>
        <w:tc>
          <w:tcPr>
            <w:tcW w:w="3686" w:type="dxa"/>
          </w:tcPr>
          <w:p w14:paraId="12B18E51" w14:textId="77777777" w:rsidR="008E6EDB" w:rsidRPr="00286216" w:rsidRDefault="008E6EDB" w:rsidP="008E6EDB">
            <w:pPr>
              <w:pStyle w:val="StyleProp"/>
              <w:rPr>
                <w:color w:val="000000" w:themeColor="text1"/>
                <w:szCs w:val="18"/>
              </w:rPr>
            </w:pPr>
          </w:p>
        </w:tc>
        <w:tc>
          <w:tcPr>
            <w:tcW w:w="1987" w:type="dxa"/>
          </w:tcPr>
          <w:p w14:paraId="40AD809C" w14:textId="77777777" w:rsidR="008E6EDB" w:rsidRPr="00286216" w:rsidRDefault="008E6EDB" w:rsidP="008E6EDB">
            <w:pPr>
              <w:pStyle w:val="StyleWisnow"/>
              <w:rPr>
                <w:color w:val="000000" w:themeColor="text1"/>
              </w:rPr>
            </w:pPr>
          </w:p>
        </w:tc>
        <w:tc>
          <w:tcPr>
            <w:tcW w:w="4818" w:type="dxa"/>
          </w:tcPr>
          <w:p w14:paraId="5B2BA993" w14:textId="6C894DE9"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1</w:t>
            </w:r>
            <w:r w:rsidRPr="00286216">
              <w:rPr>
                <w:color w:val="000000" w:themeColor="text1"/>
              </w:rPr>
              <w:t>) проводити самостійно чи спільно з іншими відповідними органами перевірки юридичних осіб, що отримали ліцензію, передбачену статтею 4 цього Закону, та строк дії якої закінчився або яку анульовано, щодо дотримання вимог законодавства, що регулює дії таких юридичних осіб у випадку закінчення строку дії або анулювання їх ліцензії. Така перевірка може бути проведена не більше ніж протягом трьох років з дня закінчення дії (анулювання) зазначеної ліцензії";</w:t>
            </w:r>
          </w:p>
        </w:tc>
      </w:tr>
      <w:tr w:rsidR="008E6EDB" w:rsidRPr="00286216" w14:paraId="00531518" w14:textId="77777777" w:rsidTr="00091AA5">
        <w:tc>
          <w:tcPr>
            <w:tcW w:w="576" w:type="dxa"/>
          </w:tcPr>
          <w:p w14:paraId="10703971" w14:textId="77777777" w:rsidR="008E6EDB" w:rsidRPr="00286216" w:rsidRDefault="008E6EDB" w:rsidP="008E6EDB">
            <w:pPr>
              <w:pStyle w:val="StyleWisnow"/>
              <w:rPr>
                <w:color w:val="000000" w:themeColor="text1"/>
              </w:rPr>
            </w:pPr>
            <w:bookmarkStart w:id="2911" w:name="n3039" w:colFirst="0" w:colLast="0"/>
            <w:bookmarkEnd w:id="2910"/>
            <w:r w:rsidRPr="00286216">
              <w:rPr>
                <w:color w:val="000000" w:themeColor="text1"/>
              </w:rPr>
              <w:t>3039.</w:t>
            </w:r>
          </w:p>
        </w:tc>
        <w:tc>
          <w:tcPr>
            <w:tcW w:w="4818" w:type="dxa"/>
          </w:tcPr>
          <w:p w14:paraId="3C586A56" w14:textId="77777777" w:rsidR="008E6EDB" w:rsidRPr="00286216" w:rsidRDefault="008E6EDB" w:rsidP="008E6EDB">
            <w:pPr>
              <w:pStyle w:val="StyleZakonu"/>
              <w:rPr>
                <w:color w:val="000000" w:themeColor="text1"/>
              </w:rPr>
            </w:pPr>
            <w:r w:rsidRPr="00286216">
              <w:rPr>
                <w:color w:val="000000" w:themeColor="text1"/>
              </w:rPr>
              <w:t>ї) у пункті 9</w:t>
            </w:r>
            <w:r w:rsidRPr="00286216">
              <w:rPr>
                <w:color w:val="000000" w:themeColor="text1"/>
                <w:vertAlign w:val="superscript"/>
              </w:rPr>
              <w:t>2</w:t>
            </w:r>
            <w:r w:rsidRPr="00286216">
              <w:rPr>
                <w:color w:val="000000" w:themeColor="text1"/>
              </w:rPr>
              <w:t xml:space="preserve"> слова "ринку цінних паперів" замінити словами "ринках капіталу та організованих товарних ринках";</w:t>
            </w:r>
          </w:p>
        </w:tc>
        <w:tc>
          <w:tcPr>
            <w:tcW w:w="3686" w:type="dxa"/>
          </w:tcPr>
          <w:p w14:paraId="26F42742" w14:textId="77F88574"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1347</w:t>
            </w:r>
            <w:r w:rsidRPr="00286216">
              <w:rPr>
                <w:color w:val="000000" w:themeColor="text1"/>
              </w:rPr>
              <w:fldChar w:fldCharType="end"/>
            </w:r>
            <w:r w:rsidRPr="00286216">
              <w:rPr>
                <w:color w:val="000000" w:themeColor="text1"/>
              </w:rPr>
              <w:t>-Н.д.Шахов С.В.(Реєстр.картка №114)</w:t>
            </w:r>
          </w:p>
          <w:p w14:paraId="7F92C36C"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3F2231C0"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4BBE3E9B" w14:textId="1DDB597C"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5C749A5F" w14:textId="2090523D" w:rsidR="008E6EDB" w:rsidRPr="00286216" w:rsidRDefault="008E6EDB" w:rsidP="008E6EDB">
            <w:pPr>
              <w:pStyle w:val="StyleZakonu"/>
              <w:rPr>
                <w:color w:val="000000" w:themeColor="text1"/>
              </w:rPr>
            </w:pPr>
            <w:r w:rsidRPr="00286216">
              <w:rPr>
                <w:color w:val="000000" w:themeColor="text1"/>
              </w:rPr>
              <w:t>й) у пункті 9</w:t>
            </w:r>
            <w:r w:rsidRPr="00286216">
              <w:rPr>
                <w:color w:val="000000" w:themeColor="text1"/>
                <w:vertAlign w:val="superscript"/>
              </w:rPr>
              <w:t>2</w:t>
            </w:r>
            <w:r w:rsidRPr="00286216">
              <w:rPr>
                <w:color w:val="000000" w:themeColor="text1"/>
              </w:rPr>
              <w:t xml:space="preserve"> слова "ринку цінних паперів" замінити словами "ринках капіталу та організованих товарних ринках";</w:t>
            </w:r>
          </w:p>
        </w:tc>
      </w:tr>
      <w:tr w:rsidR="008E6EDB" w:rsidRPr="00286216" w14:paraId="693C4C1B" w14:textId="77777777" w:rsidTr="00091AA5">
        <w:tc>
          <w:tcPr>
            <w:tcW w:w="576" w:type="dxa"/>
          </w:tcPr>
          <w:p w14:paraId="0E5CE063" w14:textId="77777777" w:rsidR="008E6EDB" w:rsidRPr="00286216" w:rsidRDefault="008E6EDB" w:rsidP="008E6EDB">
            <w:pPr>
              <w:pStyle w:val="StyleWisnow"/>
              <w:rPr>
                <w:color w:val="000000" w:themeColor="text1"/>
              </w:rPr>
            </w:pPr>
            <w:bookmarkStart w:id="2912" w:name="n3040" w:colFirst="0" w:colLast="0"/>
            <w:bookmarkEnd w:id="2911"/>
            <w:r w:rsidRPr="00286216">
              <w:rPr>
                <w:color w:val="000000" w:themeColor="text1"/>
              </w:rPr>
              <w:t>3040.</w:t>
            </w:r>
          </w:p>
        </w:tc>
        <w:tc>
          <w:tcPr>
            <w:tcW w:w="4818" w:type="dxa"/>
          </w:tcPr>
          <w:p w14:paraId="1C18DEF4" w14:textId="77777777" w:rsidR="008E6EDB" w:rsidRPr="00286216" w:rsidRDefault="008E6EDB" w:rsidP="008E6EDB">
            <w:pPr>
              <w:pStyle w:val="StyleZakonu"/>
              <w:rPr>
                <w:color w:val="000000" w:themeColor="text1"/>
              </w:rPr>
            </w:pPr>
            <w:r w:rsidRPr="00286216">
              <w:rPr>
                <w:color w:val="000000" w:themeColor="text1"/>
              </w:rPr>
              <w:t>й) доповнити частину після пункту 9</w:t>
            </w:r>
            <w:r w:rsidRPr="00286216">
              <w:rPr>
                <w:color w:val="000000" w:themeColor="text1"/>
                <w:vertAlign w:val="superscript"/>
              </w:rPr>
              <w:t>2</w:t>
            </w:r>
            <w:r w:rsidRPr="00286216">
              <w:rPr>
                <w:color w:val="000000" w:themeColor="text1"/>
              </w:rPr>
              <w:t xml:space="preserve"> новим пунктом такого змісту:</w:t>
            </w:r>
          </w:p>
        </w:tc>
        <w:tc>
          <w:tcPr>
            <w:tcW w:w="3686" w:type="dxa"/>
          </w:tcPr>
          <w:p w14:paraId="012E0633" w14:textId="77777777" w:rsidR="008E6EDB" w:rsidRPr="00286216" w:rsidRDefault="008E6EDB" w:rsidP="008E6EDB">
            <w:pPr>
              <w:pStyle w:val="StyleProp"/>
              <w:rPr>
                <w:color w:val="000000" w:themeColor="text1"/>
                <w:szCs w:val="18"/>
              </w:rPr>
            </w:pPr>
          </w:p>
        </w:tc>
        <w:tc>
          <w:tcPr>
            <w:tcW w:w="1987" w:type="dxa"/>
          </w:tcPr>
          <w:p w14:paraId="5DB08A1F" w14:textId="77777777" w:rsidR="008E6EDB" w:rsidRPr="00286216" w:rsidRDefault="008E6EDB" w:rsidP="008E6EDB">
            <w:pPr>
              <w:pStyle w:val="StyleWisnow"/>
              <w:rPr>
                <w:color w:val="000000" w:themeColor="text1"/>
              </w:rPr>
            </w:pPr>
          </w:p>
        </w:tc>
        <w:tc>
          <w:tcPr>
            <w:tcW w:w="4818" w:type="dxa"/>
          </w:tcPr>
          <w:p w14:paraId="58AFBEEC" w14:textId="7C0F596D" w:rsidR="008E6EDB" w:rsidRPr="00286216" w:rsidRDefault="008E6EDB" w:rsidP="008E6EDB">
            <w:pPr>
              <w:pStyle w:val="StyleZakonu"/>
              <w:rPr>
                <w:color w:val="000000" w:themeColor="text1"/>
              </w:rPr>
            </w:pPr>
            <w:r w:rsidRPr="00286216">
              <w:rPr>
                <w:color w:val="000000" w:themeColor="text1"/>
              </w:rPr>
              <w:t>к) доповнити пунктом 9</w:t>
            </w:r>
            <w:r w:rsidRPr="00286216">
              <w:rPr>
                <w:color w:val="000000" w:themeColor="text1"/>
                <w:vertAlign w:val="superscript"/>
              </w:rPr>
              <w:t xml:space="preserve">3 </w:t>
            </w:r>
            <w:r w:rsidRPr="00286216">
              <w:rPr>
                <w:color w:val="000000" w:themeColor="text1"/>
              </w:rPr>
              <w:t>такого змісту:</w:t>
            </w:r>
          </w:p>
        </w:tc>
      </w:tr>
      <w:tr w:rsidR="008E6EDB" w:rsidRPr="00286216" w14:paraId="4BD51991" w14:textId="77777777" w:rsidTr="00091AA5">
        <w:tc>
          <w:tcPr>
            <w:tcW w:w="576" w:type="dxa"/>
          </w:tcPr>
          <w:p w14:paraId="4940A8FC" w14:textId="77777777" w:rsidR="008E6EDB" w:rsidRPr="00286216" w:rsidRDefault="008E6EDB" w:rsidP="008E6EDB">
            <w:pPr>
              <w:pStyle w:val="StyleWisnow"/>
              <w:rPr>
                <w:color w:val="000000" w:themeColor="text1"/>
              </w:rPr>
            </w:pPr>
            <w:bookmarkStart w:id="2913" w:name="n3041" w:colFirst="0" w:colLast="0"/>
            <w:bookmarkEnd w:id="2912"/>
            <w:r w:rsidRPr="00286216">
              <w:rPr>
                <w:color w:val="000000" w:themeColor="text1"/>
              </w:rPr>
              <w:t>3041.</w:t>
            </w:r>
          </w:p>
        </w:tc>
        <w:tc>
          <w:tcPr>
            <w:tcW w:w="4818" w:type="dxa"/>
          </w:tcPr>
          <w:p w14:paraId="509FAB14" w14:textId="77777777"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3</w:t>
            </w:r>
            <w:r w:rsidRPr="00286216">
              <w:rPr>
                <w:color w:val="000000" w:themeColor="text1"/>
              </w:rPr>
              <w:t>) проводити перевірки адміністраторів за випуском облігацій щодо додержання вимог законодавства про ринки капіталу, які застосовуються до адміністратора за випуском облігацій";</w:t>
            </w:r>
          </w:p>
        </w:tc>
        <w:tc>
          <w:tcPr>
            <w:tcW w:w="3686" w:type="dxa"/>
          </w:tcPr>
          <w:p w14:paraId="18730ED0" w14:textId="77777777" w:rsidR="008E6EDB" w:rsidRPr="00286216" w:rsidRDefault="008E6EDB" w:rsidP="008E6EDB">
            <w:pPr>
              <w:pStyle w:val="StyleProp"/>
              <w:rPr>
                <w:color w:val="000000" w:themeColor="text1"/>
                <w:szCs w:val="18"/>
              </w:rPr>
            </w:pPr>
          </w:p>
        </w:tc>
        <w:tc>
          <w:tcPr>
            <w:tcW w:w="1987" w:type="dxa"/>
          </w:tcPr>
          <w:p w14:paraId="110BEE4C" w14:textId="77777777" w:rsidR="008E6EDB" w:rsidRPr="00286216" w:rsidRDefault="008E6EDB" w:rsidP="008E6EDB">
            <w:pPr>
              <w:pStyle w:val="StyleWisnow"/>
              <w:rPr>
                <w:color w:val="000000" w:themeColor="text1"/>
              </w:rPr>
            </w:pPr>
          </w:p>
        </w:tc>
        <w:tc>
          <w:tcPr>
            <w:tcW w:w="4818" w:type="dxa"/>
          </w:tcPr>
          <w:p w14:paraId="11C19DF2" w14:textId="72E5AFA2"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3</w:t>
            </w:r>
            <w:r w:rsidRPr="00286216">
              <w:rPr>
                <w:color w:val="000000" w:themeColor="text1"/>
              </w:rPr>
              <w:t>) проводити перевірки адміністраторів за випуском облігацій щодо додержання вимог законодавства про ринки капіталу, які застосовуються до адміністратора за випуском облігацій";</w:t>
            </w:r>
          </w:p>
        </w:tc>
      </w:tr>
      <w:tr w:rsidR="008E6EDB" w:rsidRPr="00286216" w14:paraId="132185E9" w14:textId="77777777" w:rsidTr="00091AA5">
        <w:tc>
          <w:tcPr>
            <w:tcW w:w="576" w:type="dxa"/>
          </w:tcPr>
          <w:p w14:paraId="4942A28C" w14:textId="77777777" w:rsidR="008E6EDB" w:rsidRPr="00286216" w:rsidRDefault="008E6EDB" w:rsidP="008E6EDB">
            <w:pPr>
              <w:pStyle w:val="StyleWisnow"/>
              <w:rPr>
                <w:color w:val="000000" w:themeColor="text1"/>
              </w:rPr>
            </w:pPr>
            <w:bookmarkStart w:id="2914" w:name="n3042" w:colFirst="0" w:colLast="0"/>
            <w:bookmarkEnd w:id="2913"/>
            <w:r w:rsidRPr="00286216">
              <w:rPr>
                <w:color w:val="000000" w:themeColor="text1"/>
              </w:rPr>
              <w:t>3042.</w:t>
            </w:r>
          </w:p>
        </w:tc>
        <w:tc>
          <w:tcPr>
            <w:tcW w:w="4818" w:type="dxa"/>
          </w:tcPr>
          <w:p w14:paraId="1C62AAA8" w14:textId="77777777" w:rsidR="008E6EDB" w:rsidRPr="00286216" w:rsidRDefault="008E6EDB" w:rsidP="008E6EDB">
            <w:pPr>
              <w:pStyle w:val="StyleZakonu"/>
              <w:rPr>
                <w:color w:val="000000" w:themeColor="text1"/>
              </w:rPr>
            </w:pPr>
            <w:r w:rsidRPr="00286216">
              <w:rPr>
                <w:color w:val="000000" w:themeColor="text1"/>
              </w:rPr>
              <w:t>к) пункт 10 викласти в такій редакції:</w:t>
            </w:r>
          </w:p>
        </w:tc>
        <w:tc>
          <w:tcPr>
            <w:tcW w:w="3686" w:type="dxa"/>
          </w:tcPr>
          <w:p w14:paraId="1039A1B0" w14:textId="77777777" w:rsidR="008E6EDB" w:rsidRPr="00286216" w:rsidRDefault="008E6EDB" w:rsidP="008E6EDB">
            <w:pPr>
              <w:pStyle w:val="StyleProp"/>
              <w:rPr>
                <w:color w:val="000000" w:themeColor="text1"/>
                <w:szCs w:val="18"/>
              </w:rPr>
            </w:pPr>
          </w:p>
        </w:tc>
        <w:tc>
          <w:tcPr>
            <w:tcW w:w="1987" w:type="dxa"/>
          </w:tcPr>
          <w:p w14:paraId="0DFC8853" w14:textId="77777777" w:rsidR="008E6EDB" w:rsidRPr="00286216" w:rsidRDefault="008E6EDB" w:rsidP="008E6EDB">
            <w:pPr>
              <w:pStyle w:val="StyleWisnow"/>
              <w:rPr>
                <w:color w:val="000000" w:themeColor="text1"/>
              </w:rPr>
            </w:pPr>
          </w:p>
        </w:tc>
        <w:tc>
          <w:tcPr>
            <w:tcW w:w="4818" w:type="dxa"/>
          </w:tcPr>
          <w:p w14:paraId="2C069226" w14:textId="590C2413" w:rsidR="008E6EDB" w:rsidRPr="00286216" w:rsidRDefault="008E6EDB" w:rsidP="008E6EDB">
            <w:pPr>
              <w:pStyle w:val="StyleZakonu"/>
              <w:rPr>
                <w:color w:val="000000" w:themeColor="text1"/>
              </w:rPr>
            </w:pPr>
            <w:r w:rsidRPr="00286216">
              <w:rPr>
                <w:color w:val="000000" w:themeColor="text1"/>
              </w:rPr>
              <w:t>л) пункт 10 викласти в такій редакції:</w:t>
            </w:r>
          </w:p>
        </w:tc>
      </w:tr>
      <w:tr w:rsidR="008E6EDB" w:rsidRPr="00286216" w14:paraId="75838529" w14:textId="77777777" w:rsidTr="00091AA5">
        <w:tc>
          <w:tcPr>
            <w:tcW w:w="576" w:type="dxa"/>
          </w:tcPr>
          <w:p w14:paraId="081B07C7" w14:textId="77777777" w:rsidR="008E6EDB" w:rsidRPr="00286216" w:rsidRDefault="008E6EDB" w:rsidP="008E6EDB">
            <w:pPr>
              <w:pStyle w:val="StyleWisnow"/>
              <w:rPr>
                <w:color w:val="000000" w:themeColor="text1"/>
              </w:rPr>
            </w:pPr>
            <w:bookmarkStart w:id="2915" w:name="n3043" w:colFirst="0" w:colLast="0"/>
            <w:bookmarkEnd w:id="2914"/>
            <w:r w:rsidRPr="00286216">
              <w:rPr>
                <w:color w:val="000000" w:themeColor="text1"/>
              </w:rPr>
              <w:t>3043.</w:t>
            </w:r>
          </w:p>
        </w:tc>
        <w:tc>
          <w:tcPr>
            <w:tcW w:w="4818" w:type="dxa"/>
          </w:tcPr>
          <w:p w14:paraId="1005FF63" w14:textId="77777777" w:rsidR="008E6EDB" w:rsidRPr="00286216" w:rsidRDefault="008E6EDB" w:rsidP="008E6EDB">
            <w:pPr>
              <w:pStyle w:val="StyleZakonu"/>
              <w:rPr>
                <w:color w:val="000000" w:themeColor="text1"/>
              </w:rPr>
            </w:pPr>
            <w:r w:rsidRPr="00286216">
              <w:rPr>
                <w:color w:val="000000" w:themeColor="text1"/>
              </w:rPr>
              <w:t>"10) надсилати емітентам, суб'єктам системи накопичувального пенсійного забезпечення (крім вкладників та учасників) та особам, які здійснюють професійну діяльність на ринках капіталу та організованих товарних ринках та саморегулівним організаціям обов’язкові для виконання розпорядження про усунення порушень законодавства про ринки капіталу та організовані товарні ринки, законодавства про захист прав споживачів фінансових послуг та законодавства про акціонерні товариства, а також вимагати надання необхідних документів відповідно до законодавства";</w:t>
            </w:r>
          </w:p>
        </w:tc>
        <w:tc>
          <w:tcPr>
            <w:tcW w:w="3686" w:type="dxa"/>
          </w:tcPr>
          <w:p w14:paraId="5123453E" w14:textId="5B8BB08C"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1348</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12431EA" w14:textId="77777777" w:rsidR="008E6EDB" w:rsidRPr="00286216" w:rsidRDefault="008E6EDB" w:rsidP="008E6EDB">
            <w:pPr>
              <w:pStyle w:val="StyleProp"/>
              <w:rPr>
                <w:color w:val="000000" w:themeColor="text1"/>
                <w:szCs w:val="18"/>
              </w:rPr>
            </w:pPr>
            <w:r w:rsidRPr="00286216">
              <w:rPr>
                <w:color w:val="000000" w:themeColor="text1"/>
                <w:szCs w:val="18"/>
              </w:rPr>
              <w:t>Абзац другий підпункту «к» підпункту 9 пункту 17 після слова «надсилати» доповнити словами «офіційним каналом зв’язку».</w:t>
            </w:r>
          </w:p>
        </w:tc>
        <w:tc>
          <w:tcPr>
            <w:tcW w:w="1987" w:type="dxa"/>
          </w:tcPr>
          <w:p w14:paraId="749BC867"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176414ED" w14:textId="02792C49" w:rsidR="008E6EDB" w:rsidRPr="00286216" w:rsidRDefault="008E6EDB" w:rsidP="008E6EDB">
            <w:pPr>
              <w:pStyle w:val="StyleZakonu"/>
              <w:rPr>
                <w:color w:val="000000" w:themeColor="text1"/>
              </w:rPr>
            </w:pPr>
            <w:r w:rsidRPr="00286216">
              <w:rPr>
                <w:color w:val="000000" w:themeColor="text1"/>
              </w:rPr>
              <w:t xml:space="preserve">"10) надсилати </w:t>
            </w:r>
            <w:r w:rsidRPr="00286216">
              <w:rPr>
                <w:color w:val="000000" w:themeColor="text1"/>
                <w:szCs w:val="18"/>
              </w:rPr>
              <w:t>офіційним каналом зв’язку</w:t>
            </w:r>
            <w:r w:rsidRPr="00286216">
              <w:rPr>
                <w:color w:val="000000" w:themeColor="text1"/>
              </w:rPr>
              <w:t xml:space="preserve"> емітентам, суб'єктам системи накопичувального пенсійного забезпечення (крім вкладників та учасників) та особам, які  провадять професійну діяльність на ринках капіталу та організованих товарних ринках та саморегулівним організаціям обов’язкові для виконання розпорядження про усунення порушень законодавства про ринки капіталу та організовані товарні ринки, законодавства про захист прав споживачів фінансових послуг та законодавства про акціонерні товариства, а також вимагати надання необхідних документів відповідно до законодавства";</w:t>
            </w:r>
          </w:p>
        </w:tc>
      </w:tr>
      <w:tr w:rsidR="008E6EDB" w:rsidRPr="00286216" w14:paraId="2DB6EA4E" w14:textId="77777777" w:rsidTr="00091AA5">
        <w:tc>
          <w:tcPr>
            <w:tcW w:w="576" w:type="dxa"/>
          </w:tcPr>
          <w:p w14:paraId="51987785" w14:textId="77777777" w:rsidR="008E6EDB" w:rsidRPr="00286216" w:rsidRDefault="008E6EDB" w:rsidP="008E6EDB">
            <w:pPr>
              <w:pStyle w:val="StyleWisnow"/>
              <w:rPr>
                <w:color w:val="000000" w:themeColor="text1"/>
              </w:rPr>
            </w:pPr>
            <w:bookmarkStart w:id="2916" w:name="n3044" w:colFirst="0" w:colLast="0"/>
            <w:bookmarkEnd w:id="2915"/>
            <w:r w:rsidRPr="00286216">
              <w:rPr>
                <w:color w:val="000000" w:themeColor="text1"/>
              </w:rPr>
              <w:t>3044.</w:t>
            </w:r>
          </w:p>
        </w:tc>
        <w:tc>
          <w:tcPr>
            <w:tcW w:w="4818" w:type="dxa"/>
          </w:tcPr>
          <w:p w14:paraId="612E0C72" w14:textId="77777777" w:rsidR="008E6EDB" w:rsidRPr="00286216" w:rsidRDefault="008E6EDB" w:rsidP="008E6EDB">
            <w:pPr>
              <w:pStyle w:val="StyleZakonu"/>
              <w:rPr>
                <w:color w:val="000000" w:themeColor="text1"/>
              </w:rPr>
            </w:pPr>
            <w:r w:rsidRPr="00286216">
              <w:rPr>
                <w:color w:val="000000" w:themeColor="text1"/>
              </w:rPr>
              <w:t xml:space="preserve">л) пункт 14 після слів "чинного законодавства" доповнити словами та знаками "про ринки капіталу та організовані товарні ринки, у тому числі про систему </w:t>
            </w:r>
            <w:r w:rsidRPr="00286216">
              <w:rPr>
                <w:color w:val="000000" w:themeColor="text1"/>
              </w:rPr>
              <w:lastRenderedPageBreak/>
              <w:t>накопичувального пенсійного забезпечення, ", слова "ринку цінних паперів та діяльності у системі накопичувального пенсійного забезпечення" замінити словами "ринках капіталу та організованих товарних ринках";</w:t>
            </w:r>
          </w:p>
        </w:tc>
        <w:tc>
          <w:tcPr>
            <w:tcW w:w="3686" w:type="dxa"/>
          </w:tcPr>
          <w:p w14:paraId="3EA0572B" w14:textId="4EFF67C2" w:rsidR="008E6EDB" w:rsidRPr="00286216" w:rsidRDefault="008E6EDB" w:rsidP="008E6EDB">
            <w:pPr>
              <w:pStyle w:val="StyleAwt"/>
              <w:rPr>
                <w:color w:val="000000" w:themeColor="text1"/>
              </w:rPr>
            </w:pPr>
            <w:r w:rsidRPr="00286216">
              <w:rPr>
                <w:color w:val="000000" w:themeColor="text1"/>
              </w:rPr>
              <w:lastRenderedPageBreak/>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1349</w:t>
            </w:r>
            <w:r w:rsidRPr="00286216">
              <w:rPr>
                <w:color w:val="000000" w:themeColor="text1"/>
              </w:rPr>
              <w:fldChar w:fldCharType="end"/>
            </w:r>
            <w:r w:rsidRPr="00286216">
              <w:rPr>
                <w:color w:val="000000" w:themeColor="text1"/>
              </w:rPr>
              <w:t>-Н.д.Шахов С.В.(Реєстр.картка №114)</w:t>
            </w:r>
          </w:p>
          <w:p w14:paraId="283CD9B9" w14:textId="77777777" w:rsidR="008E6EDB" w:rsidRPr="00286216" w:rsidRDefault="008E6EDB" w:rsidP="008E6EDB">
            <w:pPr>
              <w:pStyle w:val="StyleProp"/>
              <w:rPr>
                <w:color w:val="000000" w:themeColor="text1"/>
                <w:szCs w:val="18"/>
              </w:rPr>
            </w:pPr>
            <w:r w:rsidRPr="00286216">
              <w:rPr>
                <w:color w:val="000000" w:themeColor="text1"/>
                <w:spacing w:val="-4"/>
                <w:szCs w:val="18"/>
              </w:rPr>
              <w:t xml:space="preserve">За текстом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w:t>
            </w:r>
            <w:r w:rsidRPr="00286216">
              <w:rPr>
                <w:color w:val="000000" w:themeColor="text1"/>
                <w:spacing w:val="-2"/>
                <w:szCs w:val="18"/>
              </w:rPr>
              <w:lastRenderedPageBreak/>
              <w:t>виключити.</w:t>
            </w:r>
          </w:p>
        </w:tc>
        <w:tc>
          <w:tcPr>
            <w:tcW w:w="1987" w:type="dxa"/>
          </w:tcPr>
          <w:p w14:paraId="793C028F" w14:textId="77777777" w:rsidR="008E6EDB" w:rsidRPr="00286216" w:rsidRDefault="008E6EDB" w:rsidP="008E6EDB">
            <w:pPr>
              <w:pStyle w:val="StyleWisnow"/>
              <w:spacing w:line="180" w:lineRule="exact"/>
              <w:rPr>
                <w:color w:val="000000" w:themeColor="text1"/>
              </w:rPr>
            </w:pPr>
            <w:r w:rsidRPr="00286216">
              <w:rPr>
                <w:color w:val="000000" w:themeColor="text1"/>
              </w:rPr>
              <w:lastRenderedPageBreak/>
              <w:t>Відхилено</w:t>
            </w:r>
          </w:p>
          <w:p w14:paraId="69124C1B" w14:textId="0E3B174C" w:rsidR="008E6EDB" w:rsidRPr="00286216" w:rsidRDefault="008E6EDB" w:rsidP="008E6EDB">
            <w:pPr>
              <w:pStyle w:val="StyleWisnow"/>
              <w:spacing w:line="180" w:lineRule="exact"/>
              <w:rPr>
                <w:color w:val="000000" w:themeColor="text1"/>
              </w:rPr>
            </w:pPr>
            <w:r w:rsidRPr="00286216">
              <w:rPr>
                <w:color w:val="000000" w:themeColor="text1"/>
              </w:rPr>
              <w:t xml:space="preserve">не відповідає концепції І-го читання, за якої </w:t>
            </w:r>
            <w:r w:rsidRPr="00286216">
              <w:rPr>
                <w:color w:val="000000" w:themeColor="text1"/>
              </w:rPr>
              <w:lastRenderedPageBreak/>
              <w:t>державне регулювання організованих товарних ринків за НКЦПФР</w:t>
            </w:r>
          </w:p>
        </w:tc>
        <w:tc>
          <w:tcPr>
            <w:tcW w:w="4818" w:type="dxa"/>
          </w:tcPr>
          <w:p w14:paraId="7DFEA96E" w14:textId="2DBDA0C8" w:rsidR="008E6EDB" w:rsidRPr="00286216" w:rsidRDefault="008E6EDB" w:rsidP="008E6EDB">
            <w:pPr>
              <w:pStyle w:val="StyleZakonu"/>
              <w:rPr>
                <w:color w:val="000000" w:themeColor="text1"/>
              </w:rPr>
            </w:pPr>
            <w:r w:rsidRPr="00286216">
              <w:rPr>
                <w:color w:val="000000" w:themeColor="text1"/>
              </w:rPr>
              <w:lastRenderedPageBreak/>
              <w:t xml:space="preserve">м) пункт 14 після слів "чинного законодавства" доповнити словами "про ринки капіталу та організовані товарні ринки, у тому числі про систему </w:t>
            </w:r>
            <w:r w:rsidRPr="00286216">
              <w:rPr>
                <w:color w:val="000000" w:themeColor="text1"/>
              </w:rPr>
              <w:lastRenderedPageBreak/>
              <w:t>накопичувального пенсійного забезпечення", слова "ринку цінних паперів та діяльності у системі накопичувального пенсійного забезпечення" замінити словами "ринках капіталу та організованих товарних ринках";</w:t>
            </w:r>
          </w:p>
        </w:tc>
      </w:tr>
      <w:tr w:rsidR="008E6EDB" w:rsidRPr="00286216" w14:paraId="1CBCFB1A" w14:textId="77777777" w:rsidTr="00091AA5">
        <w:tc>
          <w:tcPr>
            <w:tcW w:w="576" w:type="dxa"/>
          </w:tcPr>
          <w:p w14:paraId="5D478A3A" w14:textId="77777777" w:rsidR="008E6EDB" w:rsidRPr="00286216" w:rsidRDefault="008E6EDB" w:rsidP="008E6EDB">
            <w:pPr>
              <w:pStyle w:val="StyleWisnow"/>
              <w:rPr>
                <w:color w:val="000000" w:themeColor="text1"/>
              </w:rPr>
            </w:pPr>
            <w:bookmarkStart w:id="2917" w:name="n3045" w:colFirst="0" w:colLast="0"/>
            <w:bookmarkEnd w:id="2916"/>
            <w:r w:rsidRPr="00286216">
              <w:rPr>
                <w:color w:val="000000" w:themeColor="text1"/>
              </w:rPr>
              <w:lastRenderedPageBreak/>
              <w:t>3045.</w:t>
            </w:r>
          </w:p>
        </w:tc>
        <w:tc>
          <w:tcPr>
            <w:tcW w:w="4818" w:type="dxa"/>
          </w:tcPr>
          <w:p w14:paraId="1C8EAF62" w14:textId="77777777" w:rsidR="008E6EDB" w:rsidRPr="00286216" w:rsidRDefault="008E6EDB" w:rsidP="008E6EDB">
            <w:pPr>
              <w:pStyle w:val="StyleZakonu"/>
              <w:rPr>
                <w:color w:val="000000" w:themeColor="text1"/>
              </w:rPr>
            </w:pPr>
            <w:r w:rsidRPr="00286216">
              <w:rPr>
                <w:color w:val="000000" w:themeColor="text1"/>
              </w:rPr>
              <w:t>м) пункти 15-16 викласти в такій редакції:</w:t>
            </w:r>
          </w:p>
        </w:tc>
        <w:tc>
          <w:tcPr>
            <w:tcW w:w="3686" w:type="dxa"/>
          </w:tcPr>
          <w:p w14:paraId="28EB140D" w14:textId="77777777" w:rsidR="008E6EDB" w:rsidRPr="00286216" w:rsidRDefault="008E6EDB" w:rsidP="008E6EDB">
            <w:pPr>
              <w:pStyle w:val="StyleProp"/>
              <w:rPr>
                <w:color w:val="000000" w:themeColor="text1"/>
                <w:szCs w:val="18"/>
              </w:rPr>
            </w:pPr>
          </w:p>
        </w:tc>
        <w:tc>
          <w:tcPr>
            <w:tcW w:w="1987" w:type="dxa"/>
          </w:tcPr>
          <w:p w14:paraId="5D6CFB35" w14:textId="77777777" w:rsidR="008E6EDB" w:rsidRPr="00286216" w:rsidRDefault="008E6EDB" w:rsidP="008E6EDB">
            <w:pPr>
              <w:pStyle w:val="StyleWisnow"/>
              <w:spacing w:line="180" w:lineRule="exact"/>
              <w:rPr>
                <w:color w:val="000000" w:themeColor="text1"/>
              </w:rPr>
            </w:pPr>
          </w:p>
        </w:tc>
        <w:tc>
          <w:tcPr>
            <w:tcW w:w="4818" w:type="dxa"/>
          </w:tcPr>
          <w:p w14:paraId="38EDFAD8" w14:textId="1A89EA17" w:rsidR="008E6EDB" w:rsidRPr="00286216" w:rsidRDefault="008E6EDB" w:rsidP="008E6EDB">
            <w:pPr>
              <w:pStyle w:val="StyleZakonu"/>
              <w:rPr>
                <w:color w:val="000000" w:themeColor="text1"/>
              </w:rPr>
            </w:pPr>
            <w:r w:rsidRPr="00286216">
              <w:rPr>
                <w:color w:val="000000" w:themeColor="text1"/>
              </w:rPr>
              <w:t>н) пункти 15-16 викласти в такій редакції:</w:t>
            </w:r>
          </w:p>
        </w:tc>
      </w:tr>
      <w:tr w:rsidR="008E6EDB" w:rsidRPr="00286216" w14:paraId="1FBE8E66" w14:textId="77777777" w:rsidTr="00091AA5">
        <w:tc>
          <w:tcPr>
            <w:tcW w:w="576" w:type="dxa"/>
          </w:tcPr>
          <w:p w14:paraId="18F9C4A0" w14:textId="77777777" w:rsidR="008E6EDB" w:rsidRPr="00286216" w:rsidRDefault="008E6EDB" w:rsidP="008E6EDB">
            <w:pPr>
              <w:pStyle w:val="StyleWisnow"/>
              <w:rPr>
                <w:color w:val="000000" w:themeColor="text1"/>
              </w:rPr>
            </w:pPr>
            <w:bookmarkStart w:id="2918" w:name="n3046" w:colFirst="0" w:colLast="0"/>
            <w:bookmarkEnd w:id="2917"/>
            <w:r w:rsidRPr="00286216">
              <w:rPr>
                <w:color w:val="000000" w:themeColor="text1"/>
              </w:rPr>
              <w:t>3046.</w:t>
            </w:r>
          </w:p>
        </w:tc>
        <w:tc>
          <w:tcPr>
            <w:tcW w:w="4818" w:type="dxa"/>
          </w:tcPr>
          <w:p w14:paraId="40F90019" w14:textId="77777777" w:rsidR="008E6EDB" w:rsidRPr="00286216" w:rsidRDefault="008E6EDB" w:rsidP="008E6EDB">
            <w:pPr>
              <w:pStyle w:val="StyleZakonu"/>
              <w:rPr>
                <w:color w:val="000000" w:themeColor="text1"/>
              </w:rPr>
            </w:pPr>
            <w:r w:rsidRPr="00286216">
              <w:rPr>
                <w:color w:val="000000" w:themeColor="text1"/>
              </w:rPr>
              <w:t>"15) порушувати питання про звільнення з посад керівників операторів організованих ринків, Центрального депозитарію цінних паперів та інших установ інфраструктури ринків капіталу у випадках недодержання ними чинного законодавства України про ринки капіталу та організовані товарні ринки, у тому числі про систему накопичувального пенсійного забезпечення, з метою захисту інтересів інвесторів в фінансові інструменти та громадян;</w:t>
            </w:r>
          </w:p>
        </w:tc>
        <w:tc>
          <w:tcPr>
            <w:tcW w:w="3686" w:type="dxa"/>
          </w:tcPr>
          <w:p w14:paraId="2B858DFC" w14:textId="2072F5A9" w:rsidR="008E6EDB" w:rsidRPr="00286216" w:rsidRDefault="008E6EDB" w:rsidP="008E6EDB">
            <w:pPr>
              <w:pStyle w:val="StyleAwt"/>
              <w:rPr>
                <w:color w:val="000000" w:themeColor="text1"/>
              </w:rPr>
            </w:pPr>
            <w:r w:rsidRPr="00286216">
              <w:rPr>
                <w:color w:val="000000" w:themeColor="text1"/>
              </w:rPr>
              <w:t>-</w:t>
            </w:r>
            <w:r w:rsidRPr="00286216">
              <w:rPr>
                <w:color w:val="000000" w:themeColor="text1"/>
              </w:rPr>
              <w:fldChar w:fldCharType="begin"/>
            </w:r>
            <w:r w:rsidRPr="00286216">
              <w:rPr>
                <w:color w:val="000000" w:themeColor="text1"/>
              </w:rPr>
              <w:instrText xml:space="preserve"> SEQ aa </w:instrText>
            </w:r>
            <w:r w:rsidRPr="00286216">
              <w:rPr>
                <w:color w:val="000000" w:themeColor="text1"/>
              </w:rPr>
              <w:fldChar w:fldCharType="separate"/>
            </w:r>
            <w:r w:rsidR="00C46B29">
              <w:rPr>
                <w:noProof/>
                <w:color w:val="000000" w:themeColor="text1"/>
              </w:rPr>
              <w:t>1350</w:t>
            </w:r>
            <w:r w:rsidRPr="00286216">
              <w:rPr>
                <w:color w:val="000000" w:themeColor="text1"/>
              </w:rPr>
              <w:fldChar w:fldCharType="end"/>
            </w:r>
            <w:r w:rsidRPr="00286216">
              <w:rPr>
                <w:color w:val="000000" w:themeColor="text1"/>
              </w:rPr>
              <w:t>-Н.д.Шахов С.В.(Реєстр.картка №114)</w:t>
            </w:r>
          </w:p>
          <w:p w14:paraId="3DA4BA4A" w14:textId="77777777" w:rsidR="008E6EDB" w:rsidRPr="00286216" w:rsidRDefault="008E6EDB" w:rsidP="008E6EDB">
            <w:pPr>
              <w:pStyle w:val="StyleProp"/>
              <w:spacing w:line="180" w:lineRule="exact"/>
              <w:rPr>
                <w:color w:val="000000" w:themeColor="text1"/>
              </w:rPr>
            </w:pPr>
            <w:r w:rsidRPr="00286216">
              <w:rPr>
                <w:color w:val="000000" w:themeColor="text1"/>
              </w:rPr>
              <w:t>У п.п."м" п.п.9 п. 17 (зміни до ч.1 статті 8):</w:t>
            </w:r>
          </w:p>
          <w:p w14:paraId="738B7622" w14:textId="77777777" w:rsidR="008E6EDB" w:rsidRPr="00286216" w:rsidRDefault="008E6EDB" w:rsidP="008E6EDB">
            <w:pPr>
              <w:pStyle w:val="StyleProp"/>
              <w:spacing w:line="180" w:lineRule="exact"/>
              <w:rPr>
                <w:color w:val="000000" w:themeColor="text1"/>
              </w:rPr>
            </w:pPr>
            <w:r w:rsidRPr="00286216">
              <w:rPr>
                <w:color w:val="000000" w:themeColor="text1"/>
              </w:rPr>
              <w:t>після слів організованих ринків" доповнити словом "капіталу";</w:t>
            </w:r>
          </w:p>
          <w:p w14:paraId="483FDA9B" w14:textId="77777777" w:rsidR="008E6EDB" w:rsidRPr="00286216" w:rsidRDefault="008E6EDB" w:rsidP="008E6EDB">
            <w:pPr>
              <w:pStyle w:val="StyleProp"/>
              <w:spacing w:line="180" w:lineRule="exact"/>
              <w:rPr>
                <w:color w:val="000000" w:themeColor="text1"/>
              </w:rPr>
            </w:pPr>
            <w:r w:rsidRPr="00286216">
              <w:rPr>
                <w:color w:val="000000" w:themeColor="text1"/>
                <w:szCs w:val="18"/>
              </w:rPr>
              <w:t>слова "та організовані товарні ринки" виключити.</w:t>
            </w:r>
          </w:p>
        </w:tc>
        <w:tc>
          <w:tcPr>
            <w:tcW w:w="1987" w:type="dxa"/>
          </w:tcPr>
          <w:p w14:paraId="26DF006C"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56736EE4" w14:textId="5420003B"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2571F486" w14:textId="18167411" w:rsidR="008E6EDB" w:rsidRPr="00286216" w:rsidRDefault="008E6EDB" w:rsidP="008E6EDB">
            <w:pPr>
              <w:pStyle w:val="StyleZakonu"/>
              <w:rPr>
                <w:color w:val="000000" w:themeColor="text1"/>
              </w:rPr>
            </w:pPr>
            <w:r w:rsidRPr="00286216">
              <w:rPr>
                <w:color w:val="000000" w:themeColor="text1"/>
              </w:rPr>
              <w:t>"15) порушувати питання про звільнення з посад керівників операторів організованих ринків, Центрального депозитарію цінних паперів та інших установ інфраструктури ринків капіталу у випадках недодержання ними чинного законодавства України про ринки капіталу та організовані товарні ринки, у тому числі про систему накопичувального пенсійного забезпечення, з метою захисту інтересів інвесторів у фінансові інструменти та громадян;</w:t>
            </w:r>
          </w:p>
        </w:tc>
      </w:tr>
      <w:tr w:rsidR="008E6EDB" w:rsidRPr="00286216" w14:paraId="10994901" w14:textId="77777777" w:rsidTr="00091AA5">
        <w:tc>
          <w:tcPr>
            <w:tcW w:w="576" w:type="dxa"/>
          </w:tcPr>
          <w:p w14:paraId="6C69B119" w14:textId="77777777" w:rsidR="008E6EDB" w:rsidRPr="00286216" w:rsidRDefault="008E6EDB" w:rsidP="008E6EDB">
            <w:pPr>
              <w:pStyle w:val="StyleWisnow"/>
              <w:rPr>
                <w:color w:val="000000" w:themeColor="text1"/>
              </w:rPr>
            </w:pPr>
            <w:bookmarkStart w:id="2919" w:name="n3047" w:colFirst="0" w:colLast="0"/>
            <w:bookmarkEnd w:id="2918"/>
            <w:r w:rsidRPr="00286216">
              <w:rPr>
                <w:color w:val="000000" w:themeColor="text1"/>
              </w:rPr>
              <w:t>3047.</w:t>
            </w:r>
          </w:p>
        </w:tc>
        <w:tc>
          <w:tcPr>
            <w:tcW w:w="4818" w:type="dxa"/>
          </w:tcPr>
          <w:p w14:paraId="2DBC0851" w14:textId="77777777" w:rsidR="008E6EDB" w:rsidRPr="00286216" w:rsidRDefault="008E6EDB" w:rsidP="008E6EDB">
            <w:pPr>
              <w:pStyle w:val="StyleZakonu"/>
              <w:rPr>
                <w:color w:val="000000" w:themeColor="text1"/>
              </w:rPr>
            </w:pPr>
            <w:r w:rsidRPr="00286216">
              <w:rPr>
                <w:color w:val="000000" w:themeColor="text1"/>
              </w:rPr>
              <w:t>16) призначати тимчасово (до шести місяців) керівників операторів організованих ринків капіталу та регульованих товарних ринків, Центрального депозитарію цінних паперів та інших установ інфраструктури ринків капіталу, зупиняти або припиняти допуск активів до торгів на організованих ринках або торгівлю ними на будь-якому такому ринку, зупиняти операції з деривативами на організованому ринку, зупиняти кліринг та укладення договорів купівлі-продажу активів, що допущені до торгів на організованих ринках на певний термін для захисту держави, інвесторів";</w:t>
            </w:r>
          </w:p>
        </w:tc>
        <w:tc>
          <w:tcPr>
            <w:tcW w:w="3686" w:type="dxa"/>
          </w:tcPr>
          <w:p w14:paraId="2197C533" w14:textId="4483BF77" w:rsidR="008E6EDB" w:rsidRPr="00286216" w:rsidRDefault="008E6EDB" w:rsidP="008E6EDB">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1351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674EABA" w14:textId="77777777" w:rsidR="008E6EDB" w:rsidRPr="00286216" w:rsidRDefault="008E6EDB" w:rsidP="008E6EDB">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E5DBA0F" w14:textId="77777777" w:rsidR="008E6EDB" w:rsidRPr="00286216" w:rsidRDefault="008E6EDB" w:rsidP="008E6EDB">
            <w:pPr>
              <w:pStyle w:val="StyleProp"/>
              <w:rPr>
                <w:color w:val="000000" w:themeColor="text1"/>
                <w:szCs w:val="18"/>
              </w:rPr>
            </w:pPr>
            <w:r w:rsidRPr="00286216">
              <w:rPr>
                <w:color w:val="000000" w:themeColor="text1"/>
                <w:szCs w:val="18"/>
              </w:rPr>
              <w:t>В абзаці 3 підпункту «м» підпункту 9 пункту 17 слово «регульованих» замінити словом «організованих».</w:t>
            </w:r>
          </w:p>
        </w:tc>
        <w:tc>
          <w:tcPr>
            <w:tcW w:w="1987" w:type="dxa"/>
          </w:tcPr>
          <w:p w14:paraId="4CB7BF25" w14:textId="77777777" w:rsidR="008E6EDB" w:rsidRPr="00286216" w:rsidRDefault="008E6EDB" w:rsidP="008E6EDB">
            <w:pPr>
              <w:pStyle w:val="StyleWisnow"/>
              <w:spacing w:line="180" w:lineRule="exact"/>
              <w:rPr>
                <w:color w:val="000000" w:themeColor="text1"/>
              </w:rPr>
            </w:pPr>
            <w:r w:rsidRPr="00286216">
              <w:rPr>
                <w:color w:val="000000" w:themeColor="text1"/>
                <w:lang w:eastAsia="uk-UA"/>
              </w:rPr>
              <w:t>Враховано</w:t>
            </w:r>
          </w:p>
        </w:tc>
        <w:tc>
          <w:tcPr>
            <w:tcW w:w="4818" w:type="dxa"/>
          </w:tcPr>
          <w:p w14:paraId="402CC549" w14:textId="3B2F5C46" w:rsidR="008E6EDB" w:rsidRPr="00286216" w:rsidRDefault="008E6EDB" w:rsidP="008E6EDB">
            <w:pPr>
              <w:pStyle w:val="StyleZakonu"/>
              <w:rPr>
                <w:color w:val="000000" w:themeColor="text1"/>
              </w:rPr>
            </w:pPr>
            <w:r w:rsidRPr="00286216">
              <w:rPr>
                <w:color w:val="000000" w:themeColor="text1"/>
              </w:rPr>
              <w:t xml:space="preserve">16) призначати тимчасово (до шести місяців) керівників операторів організованих ринків капіталу та </w:t>
            </w:r>
            <w:r w:rsidRPr="00286216">
              <w:rPr>
                <w:color w:val="000000" w:themeColor="text1"/>
                <w:szCs w:val="18"/>
              </w:rPr>
              <w:t>організованих</w:t>
            </w:r>
            <w:r w:rsidRPr="00286216" w:rsidDel="00107146">
              <w:rPr>
                <w:color w:val="000000" w:themeColor="text1"/>
              </w:rPr>
              <w:t xml:space="preserve"> </w:t>
            </w:r>
            <w:r w:rsidRPr="00286216">
              <w:rPr>
                <w:color w:val="000000" w:themeColor="text1"/>
              </w:rPr>
              <w:t>товарних ринків, Центрального депозитарію цінних паперів та інших установ інфраструктури ринків капіталу, зупиняти або припиняти допуск активів до торгів на організованих ринках або торгівлю ними на будь-якому такому ринку, зупиняти операції з деривативами на організованому ринку, зупиняти кліринг та укладення договорів купівлі-продажу активів, що допущені до торгів на організованих ринках на певний термін для захисту держави, інвесторів";</w:t>
            </w:r>
          </w:p>
        </w:tc>
      </w:tr>
      <w:tr w:rsidR="008E6EDB" w:rsidRPr="00286216" w14:paraId="51776B44" w14:textId="77777777" w:rsidTr="00091AA5">
        <w:tc>
          <w:tcPr>
            <w:tcW w:w="576" w:type="dxa"/>
          </w:tcPr>
          <w:p w14:paraId="639269C7" w14:textId="77777777" w:rsidR="008E6EDB" w:rsidRPr="00286216" w:rsidRDefault="008E6EDB" w:rsidP="008E6EDB">
            <w:pPr>
              <w:pStyle w:val="StyleWisnow"/>
              <w:rPr>
                <w:color w:val="000000" w:themeColor="text1"/>
              </w:rPr>
            </w:pPr>
            <w:bookmarkStart w:id="2920" w:name="n3048" w:colFirst="0" w:colLast="0"/>
            <w:bookmarkEnd w:id="2919"/>
            <w:r w:rsidRPr="00286216">
              <w:rPr>
                <w:color w:val="000000" w:themeColor="text1"/>
              </w:rPr>
              <w:t>3048.</w:t>
            </w:r>
          </w:p>
        </w:tc>
        <w:tc>
          <w:tcPr>
            <w:tcW w:w="4818" w:type="dxa"/>
          </w:tcPr>
          <w:p w14:paraId="02F0DCE6" w14:textId="77777777" w:rsidR="008E6EDB" w:rsidRPr="00286216" w:rsidRDefault="008E6EDB" w:rsidP="008E6EDB">
            <w:pPr>
              <w:pStyle w:val="StyleZakonu"/>
              <w:rPr>
                <w:color w:val="000000" w:themeColor="text1"/>
              </w:rPr>
            </w:pPr>
            <w:r w:rsidRPr="00286216">
              <w:rPr>
                <w:color w:val="000000" w:themeColor="text1"/>
              </w:rPr>
              <w:t>н) у пунктах 16</w:t>
            </w:r>
            <w:r w:rsidRPr="00286216">
              <w:rPr>
                <w:color w:val="000000" w:themeColor="text1"/>
                <w:vertAlign w:val="superscript"/>
              </w:rPr>
              <w:t>1</w:t>
            </w:r>
            <w:r w:rsidRPr="00286216">
              <w:rPr>
                <w:color w:val="000000" w:themeColor="text1"/>
              </w:rPr>
              <w:t xml:space="preserve"> та 16</w:t>
            </w:r>
            <w:r w:rsidRPr="00286216">
              <w:rPr>
                <w:color w:val="000000" w:themeColor="text1"/>
                <w:vertAlign w:val="superscript"/>
              </w:rPr>
              <w:t>2</w:t>
            </w:r>
            <w:r w:rsidRPr="00286216">
              <w:rPr>
                <w:color w:val="000000" w:themeColor="text1"/>
              </w:rPr>
              <w:t xml:space="preserve"> слова "фондових біржах" замінити словами "організованих ринках";</w:t>
            </w:r>
          </w:p>
        </w:tc>
        <w:tc>
          <w:tcPr>
            <w:tcW w:w="3686" w:type="dxa"/>
          </w:tcPr>
          <w:p w14:paraId="6D5722B8" w14:textId="113BE9E4"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1352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2DBCB68" w14:textId="77777777" w:rsidR="008E6EDB" w:rsidRPr="00286216" w:rsidRDefault="008E6EDB" w:rsidP="008E6EDB">
            <w:pPr>
              <w:pStyle w:val="StyleProp"/>
              <w:rPr>
                <w:color w:val="000000" w:themeColor="text1"/>
                <w:szCs w:val="18"/>
              </w:rPr>
            </w:pPr>
            <w:r w:rsidRPr="00286216">
              <w:rPr>
                <w:color w:val="000000" w:themeColor="text1"/>
                <w:szCs w:val="18"/>
              </w:rPr>
              <w:t>У підпункті 9 пункту 17 розділу 3 Законопроекту:</w:t>
            </w:r>
          </w:p>
          <w:p w14:paraId="0517282E" w14:textId="77777777" w:rsidR="008E6EDB" w:rsidRPr="00286216" w:rsidRDefault="008E6EDB" w:rsidP="008E6EDB">
            <w:pPr>
              <w:pStyle w:val="StyleProp"/>
              <w:rPr>
                <w:color w:val="000000" w:themeColor="text1"/>
                <w:szCs w:val="18"/>
              </w:rPr>
            </w:pPr>
            <w:r w:rsidRPr="00286216">
              <w:rPr>
                <w:color w:val="000000" w:themeColor="text1"/>
                <w:szCs w:val="18"/>
              </w:rPr>
              <w:t>підпункти «н» і «о» доповнити словами «та слова «законодавства про цінні папери» замінити словами «ринки капіталу»</w:t>
            </w:r>
          </w:p>
        </w:tc>
        <w:tc>
          <w:tcPr>
            <w:tcW w:w="1987" w:type="dxa"/>
          </w:tcPr>
          <w:p w14:paraId="646D268E" w14:textId="77777777" w:rsidR="008E6EDB" w:rsidRPr="00286216" w:rsidRDefault="008E6EDB" w:rsidP="008E6EDB">
            <w:pPr>
              <w:pStyle w:val="StyleWisnow"/>
              <w:rPr>
                <w:color w:val="000000" w:themeColor="text1"/>
              </w:rPr>
            </w:pPr>
            <w:r w:rsidRPr="00286216">
              <w:rPr>
                <w:color w:val="000000" w:themeColor="text1"/>
              </w:rPr>
              <w:t>Враховано редакційно</w:t>
            </w:r>
          </w:p>
        </w:tc>
        <w:tc>
          <w:tcPr>
            <w:tcW w:w="4818" w:type="dxa"/>
          </w:tcPr>
          <w:p w14:paraId="4A6CF81E" w14:textId="7B0A5195" w:rsidR="008E6EDB" w:rsidRPr="00286216" w:rsidRDefault="008E6EDB" w:rsidP="008E6EDB">
            <w:pPr>
              <w:pStyle w:val="StyleZakonu"/>
              <w:rPr>
                <w:color w:val="000000" w:themeColor="text1"/>
              </w:rPr>
            </w:pPr>
            <w:r w:rsidRPr="00286216">
              <w:rPr>
                <w:color w:val="000000" w:themeColor="text1"/>
              </w:rPr>
              <w:t>о) у пунктах 16</w:t>
            </w:r>
            <w:r w:rsidRPr="00286216">
              <w:rPr>
                <w:color w:val="000000" w:themeColor="text1"/>
                <w:vertAlign w:val="superscript"/>
              </w:rPr>
              <w:t>1</w:t>
            </w:r>
            <w:r w:rsidRPr="00286216">
              <w:rPr>
                <w:color w:val="000000" w:themeColor="text1"/>
              </w:rPr>
              <w:t xml:space="preserve"> та 16</w:t>
            </w:r>
            <w:r w:rsidRPr="00286216">
              <w:rPr>
                <w:color w:val="000000" w:themeColor="text1"/>
                <w:vertAlign w:val="superscript"/>
              </w:rPr>
              <w:t>2</w:t>
            </w:r>
            <w:r w:rsidRPr="00286216">
              <w:rPr>
                <w:color w:val="000000" w:themeColor="text1"/>
              </w:rPr>
              <w:t xml:space="preserve"> слова "фондових біржах" замінити словами "організованих ринках" та слова «законодавства про цінні папери»  - словами «законодавства про ринки капіталу»; </w:t>
            </w:r>
          </w:p>
        </w:tc>
      </w:tr>
      <w:tr w:rsidR="008E6EDB" w:rsidRPr="00286216" w14:paraId="01C8E5D0" w14:textId="77777777" w:rsidTr="00091AA5">
        <w:tc>
          <w:tcPr>
            <w:tcW w:w="576" w:type="dxa"/>
          </w:tcPr>
          <w:p w14:paraId="6D5AFDC5" w14:textId="77777777" w:rsidR="008E6EDB" w:rsidRPr="00286216" w:rsidRDefault="008E6EDB" w:rsidP="008E6EDB">
            <w:pPr>
              <w:pStyle w:val="StyleWisnow"/>
              <w:rPr>
                <w:color w:val="000000" w:themeColor="text1"/>
              </w:rPr>
            </w:pPr>
            <w:bookmarkStart w:id="2921" w:name="n3049" w:colFirst="0" w:colLast="0"/>
            <w:bookmarkEnd w:id="2920"/>
            <w:r w:rsidRPr="00286216">
              <w:rPr>
                <w:color w:val="000000" w:themeColor="text1"/>
              </w:rPr>
              <w:t>3049.</w:t>
            </w:r>
          </w:p>
        </w:tc>
        <w:tc>
          <w:tcPr>
            <w:tcW w:w="4818" w:type="dxa"/>
          </w:tcPr>
          <w:p w14:paraId="56C66840" w14:textId="77777777" w:rsidR="008E6EDB" w:rsidRPr="00286216" w:rsidRDefault="008E6EDB" w:rsidP="008E6EDB">
            <w:pPr>
              <w:pStyle w:val="StyleZakonu"/>
              <w:rPr>
                <w:color w:val="000000" w:themeColor="text1"/>
              </w:rPr>
            </w:pPr>
            <w:r w:rsidRPr="00286216">
              <w:rPr>
                <w:color w:val="000000" w:themeColor="text1"/>
              </w:rPr>
              <w:t>о) у пункті 16</w:t>
            </w:r>
            <w:r w:rsidRPr="00286216">
              <w:rPr>
                <w:color w:val="000000" w:themeColor="text1"/>
                <w:vertAlign w:val="superscript"/>
              </w:rPr>
              <w:t>4</w:t>
            </w:r>
            <w:r w:rsidRPr="00286216">
              <w:rPr>
                <w:color w:val="000000" w:themeColor="text1"/>
              </w:rPr>
              <w:t xml:space="preserve"> слова "фондовій біржі" замінити словами "регульованому ринку";</w:t>
            </w:r>
          </w:p>
        </w:tc>
        <w:tc>
          <w:tcPr>
            <w:tcW w:w="3686" w:type="dxa"/>
          </w:tcPr>
          <w:p w14:paraId="149A387E" w14:textId="09FF9A90"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1353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B75FA0F" w14:textId="77777777" w:rsidR="008E6EDB" w:rsidRPr="00286216" w:rsidRDefault="008E6EDB" w:rsidP="008E6EDB">
            <w:pPr>
              <w:pStyle w:val="StyleProp"/>
              <w:rPr>
                <w:color w:val="000000" w:themeColor="text1"/>
                <w:szCs w:val="18"/>
              </w:rPr>
            </w:pPr>
            <w:r w:rsidRPr="00286216">
              <w:rPr>
                <w:color w:val="000000" w:themeColor="text1"/>
                <w:szCs w:val="18"/>
              </w:rPr>
              <w:t>У підпункті 9 пункту 17 розділу 3 Законопроекту:</w:t>
            </w:r>
          </w:p>
          <w:p w14:paraId="78070BCE" w14:textId="77777777" w:rsidR="008E6EDB" w:rsidRPr="00286216" w:rsidRDefault="008E6EDB" w:rsidP="008E6EDB">
            <w:pPr>
              <w:pStyle w:val="StyleProp"/>
              <w:rPr>
                <w:color w:val="000000" w:themeColor="text1"/>
                <w:szCs w:val="18"/>
              </w:rPr>
            </w:pPr>
            <w:r w:rsidRPr="00286216">
              <w:rPr>
                <w:color w:val="000000" w:themeColor="text1"/>
                <w:szCs w:val="18"/>
              </w:rPr>
              <w:t>підпункти «н» і «о» доповнити словами «та слова «законодавства про цінні папери» замінити словами «ринки капіталу»</w:t>
            </w:r>
          </w:p>
        </w:tc>
        <w:tc>
          <w:tcPr>
            <w:tcW w:w="1987" w:type="dxa"/>
          </w:tcPr>
          <w:p w14:paraId="415CCF81"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20915079" w14:textId="5C39B80A" w:rsidR="008E6EDB" w:rsidRPr="00286216" w:rsidRDefault="008E6EDB" w:rsidP="008E6EDB">
            <w:pPr>
              <w:pStyle w:val="StyleZakonu"/>
              <w:rPr>
                <w:color w:val="000000" w:themeColor="text1"/>
              </w:rPr>
            </w:pPr>
            <w:r w:rsidRPr="00286216">
              <w:rPr>
                <w:color w:val="000000" w:themeColor="text1"/>
              </w:rPr>
              <w:t>п) у пункті 16</w:t>
            </w:r>
            <w:r w:rsidRPr="00286216">
              <w:rPr>
                <w:color w:val="000000" w:themeColor="text1"/>
                <w:vertAlign w:val="superscript"/>
              </w:rPr>
              <w:t>4</w:t>
            </w:r>
            <w:r w:rsidRPr="00286216">
              <w:rPr>
                <w:color w:val="000000" w:themeColor="text1"/>
              </w:rPr>
              <w:t xml:space="preserve"> слова "фондовій біржі" замінити словами "регульованому ринку" та слова «законодавства про цінні папери»  - словами «законодавства про ринки капіталу»;</w:t>
            </w:r>
          </w:p>
        </w:tc>
      </w:tr>
      <w:tr w:rsidR="008E6EDB" w:rsidRPr="00286216" w14:paraId="66E8E768" w14:textId="77777777" w:rsidTr="00091AA5">
        <w:tc>
          <w:tcPr>
            <w:tcW w:w="576" w:type="dxa"/>
          </w:tcPr>
          <w:p w14:paraId="1325045A" w14:textId="77777777" w:rsidR="008E6EDB" w:rsidRPr="00286216" w:rsidRDefault="008E6EDB" w:rsidP="008E6EDB">
            <w:pPr>
              <w:pStyle w:val="StyleWisnow"/>
              <w:rPr>
                <w:color w:val="000000" w:themeColor="text1"/>
              </w:rPr>
            </w:pPr>
            <w:bookmarkStart w:id="2922" w:name="n3050" w:colFirst="0" w:colLast="0"/>
            <w:bookmarkEnd w:id="2921"/>
            <w:r w:rsidRPr="00286216">
              <w:rPr>
                <w:color w:val="000000" w:themeColor="text1"/>
              </w:rPr>
              <w:t>3050.</w:t>
            </w:r>
          </w:p>
        </w:tc>
        <w:tc>
          <w:tcPr>
            <w:tcW w:w="4818" w:type="dxa"/>
          </w:tcPr>
          <w:p w14:paraId="0E24B57C" w14:textId="77777777" w:rsidR="008E6EDB" w:rsidRPr="00286216" w:rsidRDefault="008E6EDB" w:rsidP="008E6EDB">
            <w:pPr>
              <w:pStyle w:val="StyleZakonu"/>
              <w:rPr>
                <w:color w:val="000000" w:themeColor="text1"/>
              </w:rPr>
            </w:pPr>
            <w:r w:rsidRPr="00286216">
              <w:rPr>
                <w:color w:val="000000" w:themeColor="text1"/>
              </w:rPr>
              <w:t>п) у пункті 19 слова "фондового ринку" замінити словами "ринків капіталу";</w:t>
            </w:r>
          </w:p>
        </w:tc>
        <w:tc>
          <w:tcPr>
            <w:tcW w:w="3686" w:type="dxa"/>
          </w:tcPr>
          <w:p w14:paraId="315316C9" w14:textId="0322F9B2" w:rsidR="008E6EDB" w:rsidRPr="00286216" w:rsidRDefault="008E6EDB" w:rsidP="008E6ED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1354</w:t>
            </w:r>
            <w:r w:rsidRPr="00286216">
              <w:rPr>
                <w:color w:val="000000" w:themeColor="text1"/>
                <w:spacing w:val="-2"/>
              </w:rPr>
              <w:fldChar w:fldCharType="end"/>
            </w:r>
            <w:r w:rsidRPr="00286216">
              <w:rPr>
                <w:color w:val="000000" w:themeColor="text1"/>
                <w:spacing w:val="-2"/>
              </w:rPr>
              <w:t>-Н.д.Шахов С.В. (Реєстр.картка №114)</w:t>
            </w:r>
          </w:p>
          <w:p w14:paraId="5B9DF476" w14:textId="77777777" w:rsidR="008E6EDB" w:rsidRPr="00286216" w:rsidRDefault="008E6EDB" w:rsidP="008E6EDB">
            <w:pPr>
              <w:pStyle w:val="StyleProp"/>
              <w:spacing w:line="180" w:lineRule="exact"/>
              <w:rPr>
                <w:color w:val="000000" w:themeColor="text1"/>
              </w:rPr>
            </w:pPr>
            <w:r w:rsidRPr="00286216">
              <w:rPr>
                <w:color w:val="000000" w:themeColor="text1"/>
              </w:rPr>
              <w:t>П.п. "п" п.п. 9 п. 17 (зміни до п. 19 ч.1 статті 8) доповнити словами "а слова "та впроваджувати" виключити.</w:t>
            </w:r>
          </w:p>
        </w:tc>
        <w:tc>
          <w:tcPr>
            <w:tcW w:w="1987" w:type="dxa"/>
          </w:tcPr>
          <w:p w14:paraId="55B82BBB"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15728F1C" w14:textId="617AC0AF" w:rsidR="008E6EDB" w:rsidRPr="00286216" w:rsidRDefault="008E6EDB" w:rsidP="008E6EDB">
            <w:pPr>
              <w:pStyle w:val="StyleZakonu"/>
              <w:rPr>
                <w:color w:val="000000" w:themeColor="text1"/>
              </w:rPr>
            </w:pPr>
            <w:r w:rsidRPr="00286216">
              <w:rPr>
                <w:color w:val="000000" w:themeColor="text1"/>
              </w:rPr>
              <w:t>р) у пункті 19 слова "фондового ринку" замінити словами "ринків капіталу", а слова "та впроваджувати" виключити;</w:t>
            </w:r>
          </w:p>
        </w:tc>
      </w:tr>
      <w:tr w:rsidR="008E6EDB" w:rsidRPr="00286216" w14:paraId="75CCEEE2" w14:textId="77777777" w:rsidTr="00091AA5">
        <w:tc>
          <w:tcPr>
            <w:tcW w:w="576" w:type="dxa"/>
          </w:tcPr>
          <w:p w14:paraId="10027081" w14:textId="77777777" w:rsidR="008E6EDB" w:rsidRPr="00286216" w:rsidRDefault="008E6EDB" w:rsidP="008E6EDB">
            <w:pPr>
              <w:pStyle w:val="StyleWisnow"/>
              <w:rPr>
                <w:color w:val="000000" w:themeColor="text1"/>
              </w:rPr>
            </w:pPr>
            <w:bookmarkStart w:id="2923" w:name="n3051" w:colFirst="0" w:colLast="0"/>
            <w:bookmarkEnd w:id="2922"/>
            <w:r w:rsidRPr="00286216">
              <w:rPr>
                <w:color w:val="000000" w:themeColor="text1"/>
              </w:rPr>
              <w:t>3051.</w:t>
            </w:r>
          </w:p>
        </w:tc>
        <w:tc>
          <w:tcPr>
            <w:tcW w:w="4818" w:type="dxa"/>
          </w:tcPr>
          <w:p w14:paraId="48A2B1AC" w14:textId="77777777" w:rsidR="008E6EDB" w:rsidRPr="00286216" w:rsidRDefault="008E6EDB" w:rsidP="008E6EDB">
            <w:pPr>
              <w:pStyle w:val="StyleZakonu"/>
              <w:rPr>
                <w:color w:val="000000" w:themeColor="text1"/>
              </w:rPr>
            </w:pPr>
            <w:r w:rsidRPr="00286216">
              <w:rPr>
                <w:color w:val="000000" w:themeColor="text1"/>
              </w:rPr>
              <w:t>р) у пункті 22 слова "та саморегулівних організацій" виключити;</w:t>
            </w:r>
          </w:p>
        </w:tc>
        <w:tc>
          <w:tcPr>
            <w:tcW w:w="3686" w:type="dxa"/>
          </w:tcPr>
          <w:p w14:paraId="2486DECA" w14:textId="77777777" w:rsidR="008E6EDB" w:rsidRPr="00286216" w:rsidRDefault="008E6EDB" w:rsidP="008E6EDB">
            <w:pPr>
              <w:pStyle w:val="StyleProp"/>
              <w:rPr>
                <w:color w:val="000000" w:themeColor="text1"/>
                <w:szCs w:val="18"/>
              </w:rPr>
            </w:pPr>
          </w:p>
        </w:tc>
        <w:tc>
          <w:tcPr>
            <w:tcW w:w="1987" w:type="dxa"/>
          </w:tcPr>
          <w:p w14:paraId="651DB3E9" w14:textId="77777777" w:rsidR="008E6EDB" w:rsidRPr="00286216" w:rsidRDefault="008E6EDB" w:rsidP="008E6EDB">
            <w:pPr>
              <w:pStyle w:val="StyleWisnow"/>
              <w:rPr>
                <w:color w:val="000000" w:themeColor="text1"/>
              </w:rPr>
            </w:pPr>
          </w:p>
        </w:tc>
        <w:tc>
          <w:tcPr>
            <w:tcW w:w="4818" w:type="dxa"/>
          </w:tcPr>
          <w:p w14:paraId="3F8BEB41" w14:textId="30DF1D0C" w:rsidR="008E6EDB" w:rsidRPr="00286216" w:rsidRDefault="008E6EDB" w:rsidP="008E6EDB">
            <w:pPr>
              <w:pStyle w:val="StyleZakonu"/>
              <w:rPr>
                <w:color w:val="000000" w:themeColor="text1"/>
              </w:rPr>
            </w:pPr>
            <w:r w:rsidRPr="00286216">
              <w:rPr>
                <w:color w:val="000000" w:themeColor="text1"/>
              </w:rPr>
              <w:t>с) у пункті 22 слова "та саморегулівних організацій" виключити;</w:t>
            </w:r>
          </w:p>
        </w:tc>
      </w:tr>
      <w:tr w:rsidR="008E6EDB" w:rsidRPr="00286216" w14:paraId="26CA617F" w14:textId="77777777" w:rsidTr="00091AA5">
        <w:tc>
          <w:tcPr>
            <w:tcW w:w="576" w:type="dxa"/>
          </w:tcPr>
          <w:p w14:paraId="51F53EE0" w14:textId="77777777" w:rsidR="008E6EDB" w:rsidRPr="00286216" w:rsidRDefault="008E6EDB" w:rsidP="008E6EDB">
            <w:pPr>
              <w:pStyle w:val="StyleWisnow"/>
              <w:rPr>
                <w:color w:val="000000" w:themeColor="text1"/>
              </w:rPr>
            </w:pPr>
            <w:bookmarkStart w:id="2924" w:name="n3052" w:colFirst="0" w:colLast="0"/>
            <w:bookmarkEnd w:id="2923"/>
            <w:r w:rsidRPr="00286216">
              <w:rPr>
                <w:color w:val="000000" w:themeColor="text1"/>
              </w:rPr>
              <w:t>3052.</w:t>
            </w:r>
          </w:p>
        </w:tc>
        <w:tc>
          <w:tcPr>
            <w:tcW w:w="4818" w:type="dxa"/>
          </w:tcPr>
          <w:p w14:paraId="4879EB12" w14:textId="77777777" w:rsidR="008E6EDB" w:rsidRPr="00286216" w:rsidRDefault="008E6EDB" w:rsidP="008E6EDB">
            <w:pPr>
              <w:pStyle w:val="StyleZakonu"/>
              <w:rPr>
                <w:color w:val="000000" w:themeColor="text1"/>
              </w:rPr>
            </w:pPr>
            <w:r w:rsidRPr="00286216">
              <w:rPr>
                <w:color w:val="000000" w:themeColor="text1"/>
              </w:rPr>
              <w:t xml:space="preserve">с) у пункті 25 слова "ринку цінних паперів" </w:t>
            </w:r>
            <w:r w:rsidRPr="00286216">
              <w:rPr>
                <w:color w:val="000000" w:themeColor="text1"/>
              </w:rPr>
              <w:lastRenderedPageBreak/>
              <w:t>замінити словами "ринки капіталу" у відповідних відмінках, слова "і професійних учасників ринку цінних паперів" виключити;</w:t>
            </w:r>
          </w:p>
        </w:tc>
        <w:tc>
          <w:tcPr>
            <w:tcW w:w="3686" w:type="dxa"/>
          </w:tcPr>
          <w:p w14:paraId="083BE743" w14:textId="77777777" w:rsidR="008E6EDB" w:rsidRPr="00286216" w:rsidRDefault="008E6EDB" w:rsidP="008E6EDB">
            <w:pPr>
              <w:pStyle w:val="StyleProp"/>
              <w:rPr>
                <w:color w:val="000000" w:themeColor="text1"/>
                <w:szCs w:val="18"/>
              </w:rPr>
            </w:pPr>
          </w:p>
        </w:tc>
        <w:tc>
          <w:tcPr>
            <w:tcW w:w="1987" w:type="dxa"/>
          </w:tcPr>
          <w:p w14:paraId="7D23A105" w14:textId="77777777" w:rsidR="008E6EDB" w:rsidRPr="00286216" w:rsidRDefault="008E6EDB" w:rsidP="008E6EDB">
            <w:pPr>
              <w:pStyle w:val="StyleWisnow"/>
              <w:rPr>
                <w:color w:val="000000" w:themeColor="text1"/>
              </w:rPr>
            </w:pPr>
          </w:p>
        </w:tc>
        <w:tc>
          <w:tcPr>
            <w:tcW w:w="4818" w:type="dxa"/>
          </w:tcPr>
          <w:p w14:paraId="5AE5390C" w14:textId="56652BEA" w:rsidR="008E6EDB" w:rsidRPr="00286216" w:rsidRDefault="008E6EDB" w:rsidP="008E6EDB">
            <w:pPr>
              <w:pStyle w:val="StyleZakonu"/>
              <w:rPr>
                <w:color w:val="000000" w:themeColor="text1"/>
              </w:rPr>
            </w:pPr>
            <w:r w:rsidRPr="00286216">
              <w:rPr>
                <w:color w:val="000000" w:themeColor="text1"/>
              </w:rPr>
              <w:t xml:space="preserve">т) у пункті 25 слова "ринку цінних паперів" </w:t>
            </w:r>
            <w:r w:rsidRPr="00286216">
              <w:rPr>
                <w:color w:val="000000" w:themeColor="text1"/>
              </w:rPr>
              <w:lastRenderedPageBreak/>
              <w:t>замінити словами "ринки капіталу" у відповідному відмінку, а слова "і професійних учасників ринку цінних паперів" виключити;</w:t>
            </w:r>
          </w:p>
        </w:tc>
      </w:tr>
      <w:tr w:rsidR="008E6EDB" w:rsidRPr="00286216" w14:paraId="47FD6D33" w14:textId="77777777" w:rsidTr="00091AA5">
        <w:tc>
          <w:tcPr>
            <w:tcW w:w="576" w:type="dxa"/>
          </w:tcPr>
          <w:p w14:paraId="3D0AFA56" w14:textId="77777777" w:rsidR="008E6EDB" w:rsidRPr="00286216" w:rsidRDefault="008E6EDB" w:rsidP="008E6EDB">
            <w:pPr>
              <w:pStyle w:val="StyleWisnow"/>
              <w:rPr>
                <w:color w:val="000000" w:themeColor="text1"/>
              </w:rPr>
            </w:pPr>
            <w:bookmarkStart w:id="2925" w:name="n3053" w:colFirst="0" w:colLast="0"/>
            <w:bookmarkEnd w:id="2924"/>
            <w:r w:rsidRPr="00286216">
              <w:rPr>
                <w:color w:val="000000" w:themeColor="text1"/>
              </w:rPr>
              <w:lastRenderedPageBreak/>
              <w:t>3053.</w:t>
            </w:r>
          </w:p>
        </w:tc>
        <w:tc>
          <w:tcPr>
            <w:tcW w:w="4818" w:type="dxa"/>
          </w:tcPr>
          <w:p w14:paraId="69328DBB" w14:textId="77777777" w:rsidR="008E6EDB" w:rsidRPr="00286216" w:rsidRDefault="008E6EDB" w:rsidP="008E6EDB">
            <w:pPr>
              <w:pStyle w:val="StyleZakonu"/>
              <w:rPr>
                <w:color w:val="000000" w:themeColor="text1"/>
              </w:rPr>
            </w:pPr>
            <w:r w:rsidRPr="00286216">
              <w:rPr>
                <w:color w:val="000000" w:themeColor="text1"/>
              </w:rPr>
              <w:t>т) пункт 31 виключити;</w:t>
            </w:r>
          </w:p>
        </w:tc>
        <w:tc>
          <w:tcPr>
            <w:tcW w:w="3686" w:type="dxa"/>
          </w:tcPr>
          <w:p w14:paraId="53742CA1" w14:textId="77777777" w:rsidR="008E6EDB" w:rsidRPr="00286216" w:rsidRDefault="008E6EDB" w:rsidP="008E6EDB">
            <w:pPr>
              <w:pStyle w:val="StyleProp"/>
              <w:rPr>
                <w:color w:val="000000" w:themeColor="text1"/>
                <w:szCs w:val="18"/>
              </w:rPr>
            </w:pPr>
          </w:p>
        </w:tc>
        <w:tc>
          <w:tcPr>
            <w:tcW w:w="1987" w:type="dxa"/>
          </w:tcPr>
          <w:p w14:paraId="2AE0F355" w14:textId="77777777" w:rsidR="008E6EDB" w:rsidRPr="00286216" w:rsidRDefault="008E6EDB" w:rsidP="008E6EDB">
            <w:pPr>
              <w:pStyle w:val="StyleWisnow"/>
              <w:rPr>
                <w:color w:val="000000" w:themeColor="text1"/>
              </w:rPr>
            </w:pPr>
          </w:p>
        </w:tc>
        <w:tc>
          <w:tcPr>
            <w:tcW w:w="4818" w:type="dxa"/>
          </w:tcPr>
          <w:p w14:paraId="12E3CB5D" w14:textId="34E94B36" w:rsidR="008E6EDB" w:rsidRPr="00286216" w:rsidRDefault="008E6EDB" w:rsidP="008E6EDB">
            <w:pPr>
              <w:pStyle w:val="StyleZakonu"/>
              <w:rPr>
                <w:color w:val="000000" w:themeColor="text1"/>
              </w:rPr>
            </w:pPr>
            <w:r w:rsidRPr="00286216">
              <w:rPr>
                <w:color w:val="000000" w:themeColor="text1"/>
              </w:rPr>
              <w:t>у) пункт 31 виключити;</w:t>
            </w:r>
          </w:p>
        </w:tc>
      </w:tr>
      <w:bookmarkEnd w:id="2925"/>
      <w:tr w:rsidR="008E6EDB" w:rsidRPr="00286216" w14:paraId="76107485" w14:textId="77777777" w:rsidTr="00091AA5">
        <w:tc>
          <w:tcPr>
            <w:tcW w:w="576" w:type="dxa"/>
          </w:tcPr>
          <w:p w14:paraId="60532321" w14:textId="77777777" w:rsidR="008E6EDB" w:rsidRPr="00286216" w:rsidRDefault="008E6EDB" w:rsidP="008E6EDB">
            <w:pPr>
              <w:pStyle w:val="StyleWisnow"/>
              <w:rPr>
                <w:color w:val="000000" w:themeColor="text1"/>
              </w:rPr>
            </w:pPr>
            <w:r w:rsidRPr="00286216">
              <w:rPr>
                <w:color w:val="000000" w:themeColor="text1"/>
              </w:rPr>
              <w:t>3054.</w:t>
            </w:r>
          </w:p>
        </w:tc>
        <w:tc>
          <w:tcPr>
            <w:tcW w:w="4818" w:type="dxa"/>
          </w:tcPr>
          <w:p w14:paraId="70778E83" w14:textId="77777777" w:rsidR="008E6EDB" w:rsidRPr="00286216" w:rsidRDefault="008E6EDB" w:rsidP="008E6EDB">
            <w:pPr>
              <w:pStyle w:val="StyleZakonu"/>
              <w:rPr>
                <w:color w:val="000000" w:themeColor="text1"/>
              </w:rPr>
            </w:pPr>
            <w:r w:rsidRPr="00286216">
              <w:rPr>
                <w:color w:val="000000" w:themeColor="text1"/>
              </w:rPr>
              <w:t>у) пункти 32</w:t>
            </w:r>
            <w:r w:rsidRPr="00286216">
              <w:rPr>
                <w:color w:val="000000" w:themeColor="text1"/>
                <w:vertAlign w:val="superscript"/>
              </w:rPr>
              <w:t>1</w:t>
            </w:r>
            <w:r w:rsidRPr="00286216">
              <w:rPr>
                <w:color w:val="000000" w:themeColor="text1"/>
              </w:rPr>
              <w:t xml:space="preserve"> - 33 замінити шістьма пунктами такого змісту:</w:t>
            </w:r>
          </w:p>
        </w:tc>
        <w:tc>
          <w:tcPr>
            <w:tcW w:w="3686" w:type="dxa"/>
          </w:tcPr>
          <w:p w14:paraId="35A33C83" w14:textId="1529C93B"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1355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5152915" w14:textId="7DA05851" w:rsidR="008E6EDB" w:rsidRPr="00286216" w:rsidRDefault="008E6EDB" w:rsidP="008E6EDB">
            <w:pPr>
              <w:pStyle w:val="StyleProp"/>
              <w:spacing w:line="180" w:lineRule="exact"/>
              <w:rPr>
                <w:color w:val="000000" w:themeColor="text1"/>
                <w:spacing w:val="-4"/>
                <w:szCs w:val="18"/>
              </w:rPr>
            </w:pPr>
            <w:r w:rsidRPr="00286216">
              <w:rPr>
                <w:color w:val="000000" w:themeColor="text1"/>
                <w:spacing w:val="-4"/>
                <w:szCs w:val="18"/>
              </w:rPr>
              <w:t>У підпункті 9 пункту 17 розділу 3 у підпункті «у» слово «шістьма» замінити словом «сімома», слово «поставними» виключити.</w:t>
            </w:r>
          </w:p>
        </w:tc>
        <w:tc>
          <w:tcPr>
            <w:tcW w:w="1987" w:type="dxa"/>
          </w:tcPr>
          <w:p w14:paraId="37D5D5C8"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21773A9E" w14:textId="46E60564" w:rsidR="008E6EDB" w:rsidRPr="00286216" w:rsidRDefault="008E6EDB" w:rsidP="008E6EDB">
            <w:pPr>
              <w:pStyle w:val="StyleZakonu"/>
              <w:rPr>
                <w:color w:val="000000" w:themeColor="text1"/>
              </w:rPr>
            </w:pPr>
            <w:r w:rsidRPr="00286216">
              <w:rPr>
                <w:color w:val="000000" w:themeColor="text1"/>
              </w:rPr>
              <w:t>ф) пункти 32</w:t>
            </w:r>
            <w:r w:rsidRPr="00286216">
              <w:rPr>
                <w:color w:val="000000" w:themeColor="text1"/>
                <w:vertAlign w:val="superscript"/>
              </w:rPr>
              <w:t>1</w:t>
            </w:r>
            <w:r w:rsidRPr="00286216">
              <w:rPr>
                <w:color w:val="000000" w:themeColor="text1"/>
              </w:rPr>
              <w:t xml:space="preserve"> - 33 замінити </w:t>
            </w:r>
            <w:r w:rsidRPr="00286216">
              <w:rPr>
                <w:color w:val="000000" w:themeColor="text1"/>
                <w:szCs w:val="18"/>
              </w:rPr>
              <w:t xml:space="preserve"> дев’ятьма</w:t>
            </w:r>
            <w:r w:rsidRPr="00286216">
              <w:rPr>
                <w:color w:val="000000" w:themeColor="text1"/>
              </w:rPr>
              <w:t xml:space="preserve"> пунктами такого змісту:</w:t>
            </w:r>
          </w:p>
        </w:tc>
      </w:tr>
      <w:tr w:rsidR="008E6EDB" w:rsidRPr="00286216" w14:paraId="042BF3FD" w14:textId="77777777" w:rsidTr="00091AA5">
        <w:tc>
          <w:tcPr>
            <w:tcW w:w="576" w:type="dxa"/>
          </w:tcPr>
          <w:p w14:paraId="4346211C" w14:textId="77777777" w:rsidR="008E6EDB" w:rsidRPr="00286216" w:rsidRDefault="008E6EDB" w:rsidP="008E6EDB">
            <w:pPr>
              <w:pStyle w:val="StyleWisnow"/>
              <w:rPr>
                <w:color w:val="000000" w:themeColor="text1"/>
              </w:rPr>
            </w:pPr>
            <w:bookmarkStart w:id="2926" w:name="n3055" w:colFirst="0" w:colLast="0"/>
            <w:r w:rsidRPr="00286216">
              <w:rPr>
                <w:color w:val="000000" w:themeColor="text1"/>
              </w:rPr>
              <w:t>3055.</w:t>
            </w:r>
          </w:p>
        </w:tc>
        <w:tc>
          <w:tcPr>
            <w:tcW w:w="4818" w:type="dxa"/>
          </w:tcPr>
          <w:p w14:paraId="7471100D" w14:textId="77777777" w:rsidR="008E6EDB" w:rsidRPr="00286216" w:rsidRDefault="008E6EDB" w:rsidP="008E6EDB">
            <w:pPr>
              <w:pStyle w:val="StyleZakonu"/>
              <w:rPr>
                <w:color w:val="000000" w:themeColor="text1"/>
              </w:rPr>
            </w:pPr>
            <w:r w:rsidRPr="00286216">
              <w:rPr>
                <w:color w:val="000000" w:themeColor="text1"/>
              </w:rPr>
              <w:t>"33) здійснювати контроль за виконанням фізичними та юридичними особами вимог, встановлених Законом України "Про акціонерні товариства", зокрема щодо:</w:t>
            </w:r>
          </w:p>
        </w:tc>
        <w:tc>
          <w:tcPr>
            <w:tcW w:w="3686" w:type="dxa"/>
          </w:tcPr>
          <w:p w14:paraId="3081BD9B" w14:textId="77777777" w:rsidR="008E6EDB" w:rsidRPr="00286216" w:rsidRDefault="008E6EDB" w:rsidP="008E6EDB">
            <w:pPr>
              <w:pStyle w:val="StyleProp"/>
              <w:rPr>
                <w:color w:val="000000" w:themeColor="text1"/>
                <w:szCs w:val="18"/>
              </w:rPr>
            </w:pPr>
          </w:p>
        </w:tc>
        <w:tc>
          <w:tcPr>
            <w:tcW w:w="1987" w:type="dxa"/>
          </w:tcPr>
          <w:p w14:paraId="7C53B8F3" w14:textId="77777777" w:rsidR="008E6EDB" w:rsidRPr="00286216" w:rsidRDefault="008E6EDB" w:rsidP="008E6EDB">
            <w:pPr>
              <w:pStyle w:val="StyleWisnow"/>
              <w:rPr>
                <w:color w:val="000000" w:themeColor="text1"/>
              </w:rPr>
            </w:pPr>
          </w:p>
        </w:tc>
        <w:tc>
          <w:tcPr>
            <w:tcW w:w="4818" w:type="dxa"/>
          </w:tcPr>
          <w:p w14:paraId="32EB33B8" w14:textId="4ECF6888" w:rsidR="008E6EDB" w:rsidRPr="00286216" w:rsidRDefault="008E6EDB" w:rsidP="008E6EDB">
            <w:pPr>
              <w:pStyle w:val="StyleZakonu"/>
              <w:rPr>
                <w:color w:val="000000" w:themeColor="text1"/>
              </w:rPr>
            </w:pPr>
            <w:r w:rsidRPr="00286216">
              <w:rPr>
                <w:color w:val="000000" w:themeColor="text1"/>
              </w:rPr>
              <w:t>"33) здійснювати контроль за виконанням фізичними та юридичними особами вимог, встановлених Законом України "Про акціонерні товариства", зокрема щодо:</w:t>
            </w:r>
          </w:p>
        </w:tc>
      </w:tr>
      <w:tr w:rsidR="008E6EDB" w:rsidRPr="00286216" w14:paraId="47CC7D40" w14:textId="77777777" w:rsidTr="00091AA5">
        <w:tc>
          <w:tcPr>
            <w:tcW w:w="576" w:type="dxa"/>
          </w:tcPr>
          <w:p w14:paraId="253BD1BB" w14:textId="77777777" w:rsidR="008E6EDB" w:rsidRPr="00286216" w:rsidRDefault="008E6EDB" w:rsidP="008E6EDB">
            <w:pPr>
              <w:pStyle w:val="StyleWisnow"/>
              <w:rPr>
                <w:color w:val="000000" w:themeColor="text1"/>
              </w:rPr>
            </w:pPr>
            <w:bookmarkStart w:id="2927" w:name="n3056" w:colFirst="0" w:colLast="0"/>
            <w:bookmarkEnd w:id="2926"/>
            <w:r w:rsidRPr="00286216">
              <w:rPr>
                <w:color w:val="000000" w:themeColor="text1"/>
              </w:rPr>
              <w:t>3056.</w:t>
            </w:r>
          </w:p>
        </w:tc>
        <w:tc>
          <w:tcPr>
            <w:tcW w:w="4818" w:type="dxa"/>
          </w:tcPr>
          <w:p w14:paraId="02E9BBD8" w14:textId="77777777" w:rsidR="008E6EDB" w:rsidRPr="00286216" w:rsidRDefault="008E6EDB" w:rsidP="008E6EDB">
            <w:pPr>
              <w:pStyle w:val="StyleZakonu"/>
              <w:rPr>
                <w:color w:val="000000" w:themeColor="text1"/>
              </w:rPr>
            </w:pPr>
            <w:r w:rsidRPr="00286216">
              <w:rPr>
                <w:color w:val="000000" w:themeColor="text1"/>
              </w:rPr>
              <w:t>придбання акцій товариства за наслідками придбання контрольного пакета акцій та значного контрольного пакета акцій;</w:t>
            </w:r>
          </w:p>
        </w:tc>
        <w:tc>
          <w:tcPr>
            <w:tcW w:w="3686" w:type="dxa"/>
          </w:tcPr>
          <w:p w14:paraId="5BD7F6D4" w14:textId="77777777" w:rsidR="008E6EDB" w:rsidRPr="00286216" w:rsidRDefault="008E6EDB" w:rsidP="008E6EDB">
            <w:pPr>
              <w:pStyle w:val="StyleProp"/>
              <w:rPr>
                <w:color w:val="000000" w:themeColor="text1"/>
                <w:szCs w:val="18"/>
              </w:rPr>
            </w:pPr>
          </w:p>
        </w:tc>
        <w:tc>
          <w:tcPr>
            <w:tcW w:w="1987" w:type="dxa"/>
          </w:tcPr>
          <w:p w14:paraId="0725070D" w14:textId="77777777" w:rsidR="008E6EDB" w:rsidRPr="00286216" w:rsidRDefault="008E6EDB" w:rsidP="008E6EDB">
            <w:pPr>
              <w:pStyle w:val="StyleWisnow"/>
              <w:rPr>
                <w:color w:val="000000" w:themeColor="text1"/>
              </w:rPr>
            </w:pPr>
          </w:p>
        </w:tc>
        <w:tc>
          <w:tcPr>
            <w:tcW w:w="4818" w:type="dxa"/>
          </w:tcPr>
          <w:p w14:paraId="328C34A5" w14:textId="73E36A51" w:rsidR="008E6EDB" w:rsidRPr="00286216" w:rsidRDefault="008E6EDB" w:rsidP="008E6EDB">
            <w:pPr>
              <w:pStyle w:val="StyleZakonu"/>
              <w:rPr>
                <w:color w:val="000000" w:themeColor="text1"/>
              </w:rPr>
            </w:pPr>
            <w:r w:rsidRPr="00286216">
              <w:rPr>
                <w:color w:val="000000" w:themeColor="text1"/>
              </w:rPr>
              <w:t>придбання акцій товариства за наслідками придбання контрольного пакета акцій та значного контрольного пакета акцій;</w:t>
            </w:r>
          </w:p>
        </w:tc>
      </w:tr>
      <w:tr w:rsidR="008E6EDB" w:rsidRPr="00286216" w14:paraId="03F0060F" w14:textId="77777777" w:rsidTr="00091AA5">
        <w:tc>
          <w:tcPr>
            <w:tcW w:w="576" w:type="dxa"/>
          </w:tcPr>
          <w:p w14:paraId="0AEDDBE4" w14:textId="77777777" w:rsidR="008E6EDB" w:rsidRPr="00286216" w:rsidRDefault="008E6EDB" w:rsidP="008E6EDB">
            <w:pPr>
              <w:pStyle w:val="StyleWisnow"/>
              <w:rPr>
                <w:color w:val="000000" w:themeColor="text1"/>
              </w:rPr>
            </w:pPr>
            <w:bookmarkStart w:id="2928" w:name="n3057" w:colFirst="0" w:colLast="0"/>
            <w:bookmarkEnd w:id="2927"/>
            <w:r w:rsidRPr="00286216">
              <w:rPr>
                <w:color w:val="000000" w:themeColor="text1"/>
              </w:rPr>
              <w:t>3057.</w:t>
            </w:r>
          </w:p>
        </w:tc>
        <w:tc>
          <w:tcPr>
            <w:tcW w:w="4818" w:type="dxa"/>
          </w:tcPr>
          <w:p w14:paraId="621972EC" w14:textId="77777777" w:rsidR="008E6EDB" w:rsidRPr="00286216" w:rsidRDefault="008E6EDB" w:rsidP="008E6EDB">
            <w:pPr>
              <w:pStyle w:val="StyleZakonu"/>
              <w:rPr>
                <w:color w:val="000000" w:themeColor="text1"/>
              </w:rPr>
            </w:pPr>
            <w:r w:rsidRPr="00286216">
              <w:rPr>
                <w:color w:val="000000" w:themeColor="text1"/>
              </w:rPr>
              <w:t>обов’язкового продажу акцій акціонерами на вимогу особи (осіб, що діють спільно) -власника домінуючого контрольного пакета акцій;</w:t>
            </w:r>
          </w:p>
        </w:tc>
        <w:tc>
          <w:tcPr>
            <w:tcW w:w="3686" w:type="dxa"/>
          </w:tcPr>
          <w:p w14:paraId="055AB150" w14:textId="77777777" w:rsidR="008E6EDB" w:rsidRPr="00286216" w:rsidRDefault="008E6EDB" w:rsidP="008E6EDB">
            <w:pPr>
              <w:pStyle w:val="StyleProp"/>
              <w:rPr>
                <w:color w:val="000000" w:themeColor="text1"/>
                <w:szCs w:val="18"/>
              </w:rPr>
            </w:pPr>
          </w:p>
        </w:tc>
        <w:tc>
          <w:tcPr>
            <w:tcW w:w="1987" w:type="dxa"/>
          </w:tcPr>
          <w:p w14:paraId="0350FAEB" w14:textId="77777777" w:rsidR="008E6EDB" w:rsidRPr="00286216" w:rsidRDefault="008E6EDB" w:rsidP="008E6EDB">
            <w:pPr>
              <w:pStyle w:val="StyleWisnow"/>
              <w:rPr>
                <w:color w:val="000000" w:themeColor="text1"/>
              </w:rPr>
            </w:pPr>
          </w:p>
        </w:tc>
        <w:tc>
          <w:tcPr>
            <w:tcW w:w="4818" w:type="dxa"/>
          </w:tcPr>
          <w:p w14:paraId="54B6CD55" w14:textId="1B6A07E3" w:rsidR="008E6EDB" w:rsidRPr="00286216" w:rsidRDefault="008E6EDB" w:rsidP="008E6EDB">
            <w:pPr>
              <w:pStyle w:val="StyleZakonu"/>
              <w:rPr>
                <w:color w:val="000000" w:themeColor="text1"/>
              </w:rPr>
            </w:pPr>
            <w:r w:rsidRPr="00286216">
              <w:rPr>
                <w:color w:val="000000" w:themeColor="text1"/>
              </w:rPr>
              <w:t>обов’язкового продажу акцій акціонерами на вимогу особи (осіб, що діють спільно) - власника домінуючого контрольного пакета акцій;</w:t>
            </w:r>
          </w:p>
        </w:tc>
      </w:tr>
      <w:tr w:rsidR="008E6EDB" w:rsidRPr="00286216" w14:paraId="0F5C4D5A" w14:textId="77777777" w:rsidTr="00091AA5">
        <w:tc>
          <w:tcPr>
            <w:tcW w:w="576" w:type="dxa"/>
          </w:tcPr>
          <w:p w14:paraId="2A251F34" w14:textId="77777777" w:rsidR="008E6EDB" w:rsidRPr="00286216" w:rsidRDefault="008E6EDB" w:rsidP="008E6EDB">
            <w:pPr>
              <w:pStyle w:val="StyleWisnow"/>
              <w:rPr>
                <w:color w:val="000000" w:themeColor="text1"/>
              </w:rPr>
            </w:pPr>
            <w:bookmarkStart w:id="2929" w:name="n3058" w:colFirst="0" w:colLast="0"/>
            <w:bookmarkEnd w:id="2928"/>
            <w:r w:rsidRPr="00286216">
              <w:rPr>
                <w:color w:val="000000" w:themeColor="text1"/>
              </w:rPr>
              <w:t>3058.</w:t>
            </w:r>
          </w:p>
        </w:tc>
        <w:tc>
          <w:tcPr>
            <w:tcW w:w="4818" w:type="dxa"/>
          </w:tcPr>
          <w:p w14:paraId="6D2AD8BE" w14:textId="77777777" w:rsidR="008E6EDB" w:rsidRPr="00286216" w:rsidRDefault="008E6EDB" w:rsidP="008E6EDB">
            <w:pPr>
              <w:pStyle w:val="StyleZakonu"/>
              <w:rPr>
                <w:color w:val="000000" w:themeColor="text1"/>
              </w:rPr>
            </w:pPr>
            <w:r w:rsidRPr="00286216">
              <w:rPr>
                <w:color w:val="000000" w:themeColor="text1"/>
              </w:rPr>
              <w:t>обов’язкового придбання акцій особою (особами, що діють спільно) -власником домінуючого контрольного пакета акцій на вимогу акціонерів;</w:t>
            </w:r>
          </w:p>
        </w:tc>
        <w:tc>
          <w:tcPr>
            <w:tcW w:w="3686" w:type="dxa"/>
          </w:tcPr>
          <w:p w14:paraId="1FC9DC79" w14:textId="77777777" w:rsidR="008E6EDB" w:rsidRPr="00286216" w:rsidRDefault="008E6EDB" w:rsidP="008E6EDB">
            <w:pPr>
              <w:pStyle w:val="StyleProp"/>
              <w:spacing w:line="180" w:lineRule="exact"/>
              <w:rPr>
                <w:color w:val="000000" w:themeColor="text1"/>
              </w:rPr>
            </w:pPr>
          </w:p>
        </w:tc>
        <w:tc>
          <w:tcPr>
            <w:tcW w:w="1987" w:type="dxa"/>
          </w:tcPr>
          <w:p w14:paraId="1E1BD3B8" w14:textId="77777777" w:rsidR="008E6EDB" w:rsidRPr="00286216" w:rsidRDefault="008E6EDB" w:rsidP="008E6EDB">
            <w:pPr>
              <w:pStyle w:val="StyleWisnow"/>
              <w:rPr>
                <w:color w:val="000000" w:themeColor="text1"/>
              </w:rPr>
            </w:pPr>
          </w:p>
        </w:tc>
        <w:tc>
          <w:tcPr>
            <w:tcW w:w="4818" w:type="dxa"/>
          </w:tcPr>
          <w:p w14:paraId="2C95F171" w14:textId="724A975F" w:rsidR="008E6EDB" w:rsidRPr="00286216" w:rsidRDefault="008E6EDB" w:rsidP="008E6EDB">
            <w:pPr>
              <w:pStyle w:val="StyleZakonu"/>
              <w:rPr>
                <w:color w:val="000000" w:themeColor="text1"/>
              </w:rPr>
            </w:pPr>
            <w:r w:rsidRPr="00286216">
              <w:rPr>
                <w:color w:val="000000" w:themeColor="text1"/>
              </w:rPr>
              <w:t>обов’язкового придбання акцій особою (особами, що діють спільно) - власником домінуючого контрольного пакета акцій на вимогу акціонерів;</w:t>
            </w:r>
          </w:p>
        </w:tc>
      </w:tr>
      <w:tr w:rsidR="008E6EDB" w:rsidRPr="00286216" w14:paraId="6ECA26EA" w14:textId="77777777" w:rsidTr="00091AA5">
        <w:tc>
          <w:tcPr>
            <w:tcW w:w="576" w:type="dxa"/>
          </w:tcPr>
          <w:p w14:paraId="63102C3E" w14:textId="77777777" w:rsidR="008E6EDB" w:rsidRPr="00286216" w:rsidRDefault="008E6EDB" w:rsidP="008E6EDB">
            <w:pPr>
              <w:pStyle w:val="StyleWisnow"/>
              <w:rPr>
                <w:color w:val="000000" w:themeColor="text1"/>
              </w:rPr>
            </w:pPr>
          </w:p>
        </w:tc>
        <w:tc>
          <w:tcPr>
            <w:tcW w:w="4818" w:type="dxa"/>
          </w:tcPr>
          <w:p w14:paraId="7E7E295A" w14:textId="77777777" w:rsidR="008E6EDB" w:rsidRPr="00286216" w:rsidRDefault="008E6EDB" w:rsidP="008E6EDB">
            <w:pPr>
              <w:pStyle w:val="StyleZakonu"/>
              <w:rPr>
                <w:color w:val="000000" w:themeColor="text1"/>
              </w:rPr>
            </w:pPr>
          </w:p>
        </w:tc>
        <w:tc>
          <w:tcPr>
            <w:tcW w:w="3686" w:type="dxa"/>
          </w:tcPr>
          <w:p w14:paraId="490551F0" w14:textId="16AF2169"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1356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C2541EC" w14:textId="77777777" w:rsidR="008E6EDB" w:rsidRPr="00286216" w:rsidRDefault="008E6EDB" w:rsidP="008E6EDB">
            <w:pPr>
              <w:pStyle w:val="StyleProp"/>
              <w:rPr>
                <w:color w:val="000000" w:themeColor="text1"/>
              </w:rPr>
            </w:pPr>
            <w:r w:rsidRPr="00286216">
              <w:rPr>
                <w:color w:val="000000" w:themeColor="text1"/>
              </w:rPr>
              <w:t>Підпункт «у» підпункту 9 пункту 17 розділу ІІІ після пункту 33 доповнити новим пунктом 34 у такій редакції:</w:t>
            </w:r>
          </w:p>
          <w:p w14:paraId="6C5EDD7D" w14:textId="77777777" w:rsidR="008E6EDB" w:rsidRPr="00286216" w:rsidRDefault="008E6EDB" w:rsidP="008E6EDB">
            <w:pPr>
              <w:pStyle w:val="StyleProp"/>
              <w:rPr>
                <w:color w:val="000000" w:themeColor="text1"/>
              </w:rPr>
            </w:pPr>
            <w:r w:rsidRPr="00286216">
              <w:rPr>
                <w:color w:val="000000" w:themeColor="text1"/>
              </w:rPr>
              <w:t>«34) розробляти методичні рекомендації щодо організації системи корпоративного управління професійних учасників ринків капіталу та організованих товарних ринків;».</w:t>
            </w:r>
          </w:p>
          <w:p w14:paraId="0E63EDD6" w14:textId="77777777" w:rsidR="008E6EDB" w:rsidRPr="00286216" w:rsidRDefault="008E6EDB" w:rsidP="008E6EDB">
            <w:pPr>
              <w:pStyle w:val="StyleProp"/>
              <w:rPr>
                <w:color w:val="000000" w:themeColor="text1"/>
              </w:rPr>
            </w:pPr>
            <w:r w:rsidRPr="00286216">
              <w:rPr>
                <w:color w:val="000000" w:themeColor="text1"/>
              </w:rPr>
              <w:t>Відповідно нумерацію пунктів 33)-37) вважати пунктами 34)-38).</w:t>
            </w:r>
          </w:p>
        </w:tc>
        <w:tc>
          <w:tcPr>
            <w:tcW w:w="1987" w:type="dxa"/>
          </w:tcPr>
          <w:p w14:paraId="2AA7F419"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084C3642" w14:textId="76F20E5C" w:rsidR="008E6EDB" w:rsidRPr="00286216" w:rsidRDefault="008E6EDB" w:rsidP="008E6EDB">
            <w:pPr>
              <w:pStyle w:val="StyleZakonu"/>
              <w:rPr>
                <w:color w:val="000000" w:themeColor="text1"/>
              </w:rPr>
            </w:pPr>
            <w:r w:rsidRPr="00286216">
              <w:rPr>
                <w:color w:val="000000" w:themeColor="text1"/>
              </w:rPr>
              <w:t>34) розробляти методичні рекомендації щодо організації системи корпоративного управління професійних учасників ринків капіталу та організованих товарних ринків;</w:t>
            </w:r>
          </w:p>
        </w:tc>
      </w:tr>
      <w:tr w:rsidR="008E6EDB" w:rsidRPr="00286216" w14:paraId="31A8F7A5" w14:textId="77777777" w:rsidTr="00091AA5">
        <w:tc>
          <w:tcPr>
            <w:tcW w:w="576" w:type="dxa"/>
          </w:tcPr>
          <w:p w14:paraId="5C43CDE6" w14:textId="77777777" w:rsidR="008E6EDB" w:rsidRPr="00286216" w:rsidRDefault="008E6EDB" w:rsidP="008E6EDB">
            <w:pPr>
              <w:pStyle w:val="StyleWisnow"/>
              <w:rPr>
                <w:color w:val="000000" w:themeColor="text1"/>
              </w:rPr>
            </w:pPr>
            <w:bookmarkStart w:id="2930" w:name="n3059" w:colFirst="0" w:colLast="0"/>
            <w:bookmarkEnd w:id="2929"/>
            <w:r w:rsidRPr="00286216">
              <w:rPr>
                <w:color w:val="000000" w:themeColor="text1"/>
              </w:rPr>
              <w:t>3059.</w:t>
            </w:r>
          </w:p>
        </w:tc>
        <w:tc>
          <w:tcPr>
            <w:tcW w:w="4818" w:type="dxa"/>
          </w:tcPr>
          <w:p w14:paraId="303EEA2A" w14:textId="77777777" w:rsidR="008E6EDB" w:rsidRPr="00286216" w:rsidRDefault="008E6EDB" w:rsidP="008E6EDB">
            <w:pPr>
              <w:pStyle w:val="StyleZakonu"/>
              <w:rPr>
                <w:color w:val="000000" w:themeColor="text1"/>
              </w:rPr>
            </w:pPr>
            <w:r w:rsidRPr="00286216">
              <w:rPr>
                <w:color w:val="000000" w:themeColor="text1"/>
              </w:rPr>
              <w:t>34) встановлювати вимоги до порядку, строків та змісту інформації, що подається сторонами деривативних контрактів до торгового репозиторію, за поставними деривативними контрактами грошового ринку - додатково за погодженням з Національним банком України;</w:t>
            </w:r>
          </w:p>
        </w:tc>
        <w:tc>
          <w:tcPr>
            <w:tcW w:w="3686" w:type="dxa"/>
          </w:tcPr>
          <w:p w14:paraId="78AA1F87" w14:textId="65FC2B00"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1357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18868D1" w14:textId="402849C9" w:rsidR="008E6EDB" w:rsidRPr="00286216" w:rsidRDefault="008E6EDB" w:rsidP="008E6EDB">
            <w:pPr>
              <w:pStyle w:val="StyleProp"/>
              <w:rPr>
                <w:color w:val="000000" w:themeColor="text1"/>
                <w:szCs w:val="18"/>
              </w:rPr>
            </w:pPr>
            <w:r w:rsidRPr="00286216">
              <w:rPr>
                <w:color w:val="000000" w:themeColor="text1"/>
                <w:szCs w:val="18"/>
              </w:rPr>
              <w:t>Абзац 6 підпункту «у» підпункту 9 пункту 17 розділу 3 викласти в такій редакції:</w:t>
            </w:r>
          </w:p>
          <w:p w14:paraId="5929ED9F" w14:textId="49406A5C" w:rsidR="008E6EDB" w:rsidRPr="00286216" w:rsidRDefault="008E6EDB" w:rsidP="008E6EDB">
            <w:pPr>
              <w:pStyle w:val="StyleProp"/>
              <w:spacing w:line="180" w:lineRule="exact"/>
              <w:rPr>
                <w:color w:val="000000" w:themeColor="text1"/>
                <w:spacing w:val="-4"/>
                <w:szCs w:val="18"/>
              </w:rPr>
            </w:pPr>
            <w:r w:rsidRPr="00286216">
              <w:rPr>
                <w:color w:val="000000" w:themeColor="text1"/>
                <w:spacing w:val="-4"/>
                <w:szCs w:val="18"/>
              </w:rPr>
              <w:t>"35) встановлювати вимоги до порядку, строків та змісту інформації, що подається сторонами деривативних контрактів  та договорів про купівлю-продаж права вимоги чи інших договорів, наслідками яких є заміна сторони деривативного контракту, до торгового репозиторію, а щодо деривативних контрактів грошового ринку – додатково за погодженням з Національним банком України"</w:t>
            </w:r>
          </w:p>
          <w:p w14:paraId="388DC27B" w14:textId="302E63B4" w:rsidR="008E6EDB" w:rsidRPr="00286216" w:rsidRDefault="008E6EDB" w:rsidP="008E6ED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1358</w:t>
            </w:r>
            <w:r w:rsidRPr="00286216">
              <w:rPr>
                <w:color w:val="000000" w:themeColor="text1"/>
                <w:spacing w:val="-2"/>
              </w:rPr>
              <w:fldChar w:fldCharType="end"/>
            </w:r>
            <w:r w:rsidRPr="00286216">
              <w:rPr>
                <w:color w:val="000000" w:themeColor="text1"/>
                <w:spacing w:val="-2"/>
              </w:rPr>
              <w:t>-Н.д.Шахов С.В. (Реєстр.картка №114)</w:t>
            </w:r>
          </w:p>
          <w:p w14:paraId="316ABABB" w14:textId="77777777" w:rsidR="008E6EDB" w:rsidRPr="00286216" w:rsidRDefault="008E6EDB" w:rsidP="008E6EDB">
            <w:pPr>
              <w:pStyle w:val="StyleProp"/>
              <w:spacing w:line="180" w:lineRule="exact"/>
              <w:rPr>
                <w:color w:val="000000" w:themeColor="text1"/>
              </w:rPr>
            </w:pPr>
            <w:r w:rsidRPr="00286216">
              <w:rPr>
                <w:color w:val="000000" w:themeColor="text1"/>
              </w:rPr>
              <w:t>У п.п. "у" п.п. 9 п. 17 (п. 34 ч.1 ст.8) викласти абзац у такій редакції:</w:t>
            </w:r>
          </w:p>
          <w:p w14:paraId="668A6DCD" w14:textId="77777777" w:rsidR="008E6EDB" w:rsidRPr="00286216" w:rsidRDefault="008E6EDB" w:rsidP="008E6EDB">
            <w:pPr>
              <w:pStyle w:val="StyleProp"/>
              <w:spacing w:line="180" w:lineRule="exact"/>
              <w:rPr>
                <w:color w:val="000000" w:themeColor="text1"/>
              </w:rPr>
            </w:pPr>
            <w:r w:rsidRPr="00286216">
              <w:rPr>
                <w:color w:val="000000" w:themeColor="text1"/>
              </w:rPr>
              <w:t xml:space="preserve">"34) встановлювати вимоги до порядку, строків та змісту інформації, що подається </w:t>
            </w:r>
            <w:r w:rsidRPr="00286216">
              <w:rPr>
                <w:color w:val="000000" w:themeColor="text1"/>
              </w:rPr>
              <w:lastRenderedPageBreak/>
              <w:t>сторонами деривативних контрактів до торгового репозиторію, за поставними деривативними контрактами грошового ринку – додатково за погодженням з Національним банком України, за поставними товарними деривативними контрактами – додатково за погодженням з регулятором відповідного товарного ринку".</w:t>
            </w:r>
          </w:p>
        </w:tc>
        <w:tc>
          <w:tcPr>
            <w:tcW w:w="1987" w:type="dxa"/>
          </w:tcPr>
          <w:p w14:paraId="67A33174" w14:textId="77777777" w:rsidR="008E6EDB" w:rsidRPr="00286216" w:rsidRDefault="008E6EDB" w:rsidP="008E6EDB">
            <w:pPr>
              <w:pStyle w:val="StyleWisnow"/>
              <w:rPr>
                <w:color w:val="000000" w:themeColor="text1"/>
              </w:rPr>
            </w:pPr>
            <w:r w:rsidRPr="00286216">
              <w:rPr>
                <w:color w:val="000000" w:themeColor="text1"/>
              </w:rPr>
              <w:lastRenderedPageBreak/>
              <w:t>Враховано</w:t>
            </w:r>
          </w:p>
          <w:p w14:paraId="7AAD2320" w14:textId="77777777" w:rsidR="008E6EDB" w:rsidRPr="00286216" w:rsidRDefault="008E6EDB" w:rsidP="008E6EDB">
            <w:pPr>
              <w:pStyle w:val="StyleWisnow"/>
              <w:rPr>
                <w:color w:val="000000" w:themeColor="text1"/>
              </w:rPr>
            </w:pPr>
          </w:p>
          <w:p w14:paraId="5F2989B8" w14:textId="77777777" w:rsidR="008E6EDB" w:rsidRPr="00286216" w:rsidRDefault="008E6EDB" w:rsidP="008E6EDB">
            <w:pPr>
              <w:pStyle w:val="StyleWisnow"/>
              <w:rPr>
                <w:color w:val="000000" w:themeColor="text1"/>
              </w:rPr>
            </w:pPr>
          </w:p>
          <w:p w14:paraId="579544DD" w14:textId="77777777" w:rsidR="008E6EDB" w:rsidRPr="00286216" w:rsidRDefault="008E6EDB" w:rsidP="008E6EDB">
            <w:pPr>
              <w:pStyle w:val="StyleWisnow"/>
              <w:rPr>
                <w:color w:val="000000" w:themeColor="text1"/>
              </w:rPr>
            </w:pPr>
          </w:p>
          <w:p w14:paraId="147FB724" w14:textId="77777777" w:rsidR="008E6EDB" w:rsidRPr="00286216" w:rsidRDefault="008E6EDB" w:rsidP="008E6EDB">
            <w:pPr>
              <w:pStyle w:val="StyleWisnow"/>
              <w:rPr>
                <w:color w:val="000000" w:themeColor="text1"/>
              </w:rPr>
            </w:pPr>
          </w:p>
          <w:p w14:paraId="02A1A64A" w14:textId="77777777" w:rsidR="008E6EDB" w:rsidRPr="00286216" w:rsidRDefault="008E6EDB" w:rsidP="008E6EDB">
            <w:pPr>
              <w:pStyle w:val="StyleWisnow"/>
              <w:rPr>
                <w:color w:val="000000" w:themeColor="text1"/>
              </w:rPr>
            </w:pPr>
          </w:p>
          <w:p w14:paraId="0E751FEE" w14:textId="77777777" w:rsidR="008E6EDB" w:rsidRPr="00286216" w:rsidRDefault="008E6EDB" w:rsidP="008E6EDB">
            <w:pPr>
              <w:pStyle w:val="StyleWisnow"/>
              <w:rPr>
                <w:color w:val="000000" w:themeColor="text1"/>
              </w:rPr>
            </w:pPr>
          </w:p>
          <w:p w14:paraId="3E56A609" w14:textId="77777777" w:rsidR="008E6EDB" w:rsidRPr="00286216" w:rsidRDefault="008E6EDB" w:rsidP="008E6EDB">
            <w:pPr>
              <w:pStyle w:val="StyleWisnow"/>
              <w:rPr>
                <w:color w:val="000000" w:themeColor="text1"/>
              </w:rPr>
            </w:pPr>
          </w:p>
          <w:p w14:paraId="1D2C7712" w14:textId="77777777" w:rsidR="008E6EDB" w:rsidRPr="00286216" w:rsidRDefault="008E6EDB" w:rsidP="008E6EDB">
            <w:pPr>
              <w:pStyle w:val="StyleWisnow"/>
              <w:rPr>
                <w:color w:val="000000" w:themeColor="text1"/>
              </w:rPr>
            </w:pPr>
          </w:p>
          <w:p w14:paraId="2D0BA5FA" w14:textId="77777777" w:rsidR="008E6EDB" w:rsidRPr="00286216" w:rsidRDefault="008E6EDB" w:rsidP="008E6EDB">
            <w:pPr>
              <w:pStyle w:val="StyleWisnow"/>
              <w:rPr>
                <w:color w:val="000000" w:themeColor="text1"/>
              </w:rPr>
            </w:pPr>
          </w:p>
          <w:p w14:paraId="32EB3F1D"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24C1CF49" w14:textId="0F94AF79" w:rsidR="008E6EDB" w:rsidRPr="00286216" w:rsidRDefault="008E6EDB" w:rsidP="008E6EDB">
            <w:pPr>
              <w:pStyle w:val="StyleWisnow"/>
              <w:spacing w:line="180" w:lineRule="exact"/>
              <w:rPr>
                <w:color w:val="000000" w:themeColor="text1"/>
              </w:rPr>
            </w:pPr>
            <w:r w:rsidRPr="00286216">
              <w:rPr>
                <w:color w:val="000000" w:themeColor="text1"/>
              </w:rPr>
              <w:t xml:space="preserve">суперечитиме статті 34 Закону «Про ринки капіталу та організовані товарні </w:t>
            </w:r>
            <w:r w:rsidRPr="00286216">
              <w:rPr>
                <w:color w:val="000000" w:themeColor="text1"/>
              </w:rPr>
              <w:lastRenderedPageBreak/>
              <w:t>ринки»</w:t>
            </w:r>
          </w:p>
        </w:tc>
        <w:tc>
          <w:tcPr>
            <w:tcW w:w="4818" w:type="dxa"/>
          </w:tcPr>
          <w:p w14:paraId="5A134E20" w14:textId="78F0653E" w:rsidR="008E6EDB" w:rsidRPr="00286216" w:rsidRDefault="008E6EDB" w:rsidP="008E6EDB">
            <w:pPr>
              <w:pStyle w:val="StyleZakonu"/>
              <w:rPr>
                <w:color w:val="000000" w:themeColor="text1"/>
              </w:rPr>
            </w:pPr>
            <w:r w:rsidRPr="00286216">
              <w:rPr>
                <w:color w:val="000000" w:themeColor="text1"/>
              </w:rPr>
              <w:lastRenderedPageBreak/>
              <w:t>35) встановлювати вимоги до порядку, строків та змісту інформації, що подається сторонами деривативних контрактів  та договорів про купівлю-продаж права вимоги чи інших договорів, наслідками яких є заміна сторони деривативного контракту, до торгового репозиторію, а щодо деривативних контрактів грошового ринку – додатково за погодженням з Національним банком України;</w:t>
            </w:r>
          </w:p>
        </w:tc>
      </w:tr>
      <w:bookmarkEnd w:id="2930"/>
      <w:tr w:rsidR="008E6EDB" w:rsidRPr="00286216" w14:paraId="6C398C62" w14:textId="77777777" w:rsidTr="00091AA5">
        <w:tc>
          <w:tcPr>
            <w:tcW w:w="576" w:type="dxa"/>
          </w:tcPr>
          <w:p w14:paraId="3A313C80" w14:textId="77777777" w:rsidR="008E6EDB" w:rsidRPr="00286216" w:rsidRDefault="008E6EDB" w:rsidP="008E6EDB">
            <w:pPr>
              <w:pStyle w:val="StyleWisnow"/>
              <w:rPr>
                <w:color w:val="000000" w:themeColor="text1"/>
              </w:rPr>
            </w:pPr>
          </w:p>
        </w:tc>
        <w:tc>
          <w:tcPr>
            <w:tcW w:w="4818" w:type="dxa"/>
          </w:tcPr>
          <w:p w14:paraId="0DEABFE3" w14:textId="77777777" w:rsidR="008E6EDB" w:rsidRPr="00286216" w:rsidRDefault="008E6EDB" w:rsidP="008E6EDB">
            <w:pPr>
              <w:pStyle w:val="StyleZakonu"/>
              <w:rPr>
                <w:color w:val="000000" w:themeColor="text1"/>
              </w:rPr>
            </w:pPr>
          </w:p>
        </w:tc>
        <w:tc>
          <w:tcPr>
            <w:tcW w:w="3686" w:type="dxa"/>
          </w:tcPr>
          <w:p w14:paraId="01D02296" w14:textId="37A2CF88" w:rsidR="008E6EDB" w:rsidRPr="00286216" w:rsidRDefault="008E6EDB" w:rsidP="008E6EDB">
            <w:pPr>
              <w:pStyle w:val="StyleAwt"/>
              <w:rPr>
                <w:color w:val="000000" w:themeColor="text1"/>
                <w:szCs w:val="18"/>
              </w:rPr>
            </w:pP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1359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8CB9408" w14:textId="59F3932C" w:rsidR="008E6EDB" w:rsidRPr="00286216" w:rsidRDefault="008E6EDB" w:rsidP="008E6EDB">
            <w:pPr>
              <w:pStyle w:val="StyleProp"/>
              <w:spacing w:line="180" w:lineRule="exact"/>
              <w:rPr>
                <w:color w:val="000000" w:themeColor="text1"/>
                <w:spacing w:val="-2"/>
                <w:szCs w:val="18"/>
              </w:rPr>
            </w:pPr>
            <w:r w:rsidRPr="00286216">
              <w:rPr>
                <w:color w:val="000000" w:themeColor="text1"/>
                <w:spacing w:val="-2"/>
                <w:szCs w:val="18"/>
              </w:rPr>
              <w:t>У підпункті 9 пункту 17 розділу 3 у підпункті «у» слово «поставними» виключити.</w:t>
            </w:r>
          </w:p>
        </w:tc>
        <w:tc>
          <w:tcPr>
            <w:tcW w:w="1987" w:type="dxa"/>
          </w:tcPr>
          <w:p w14:paraId="24FAD1F3" w14:textId="77777777" w:rsidR="008E6EDB" w:rsidRPr="00286216" w:rsidRDefault="008E6EDB" w:rsidP="008E6EDB">
            <w:pPr>
              <w:pStyle w:val="StyleWisnow"/>
              <w:rPr>
                <w:color w:val="000000" w:themeColor="text1"/>
              </w:rPr>
            </w:pPr>
            <w:r w:rsidRPr="00286216">
              <w:rPr>
                <w:color w:val="000000" w:themeColor="text1"/>
              </w:rPr>
              <w:t>Враховано редакційно</w:t>
            </w:r>
          </w:p>
        </w:tc>
        <w:tc>
          <w:tcPr>
            <w:tcW w:w="4818" w:type="dxa"/>
          </w:tcPr>
          <w:p w14:paraId="455515FE" w14:textId="77777777" w:rsidR="008E6EDB" w:rsidRPr="00286216" w:rsidRDefault="008E6EDB" w:rsidP="008E6EDB">
            <w:pPr>
              <w:pStyle w:val="StyleZakonu"/>
              <w:rPr>
                <w:color w:val="000000" w:themeColor="text1"/>
              </w:rPr>
            </w:pPr>
          </w:p>
        </w:tc>
      </w:tr>
      <w:tr w:rsidR="008E6EDB" w:rsidRPr="00286216" w14:paraId="051E822B" w14:textId="77777777" w:rsidTr="00091AA5">
        <w:tc>
          <w:tcPr>
            <w:tcW w:w="576" w:type="dxa"/>
          </w:tcPr>
          <w:p w14:paraId="76CB8701" w14:textId="77777777" w:rsidR="008E6EDB" w:rsidRPr="00286216" w:rsidRDefault="008E6EDB" w:rsidP="008E6EDB">
            <w:pPr>
              <w:pStyle w:val="StyleWisnow"/>
              <w:rPr>
                <w:color w:val="000000" w:themeColor="text1"/>
              </w:rPr>
            </w:pPr>
            <w:bookmarkStart w:id="2931" w:name="n3060" w:colFirst="0" w:colLast="0"/>
            <w:r w:rsidRPr="00286216">
              <w:rPr>
                <w:color w:val="000000" w:themeColor="text1"/>
              </w:rPr>
              <w:t>3060.</w:t>
            </w:r>
          </w:p>
        </w:tc>
        <w:tc>
          <w:tcPr>
            <w:tcW w:w="4818" w:type="dxa"/>
          </w:tcPr>
          <w:p w14:paraId="790737DB" w14:textId="77777777" w:rsidR="008E6EDB" w:rsidRPr="00286216" w:rsidRDefault="008E6EDB" w:rsidP="008E6EDB">
            <w:pPr>
              <w:pStyle w:val="StyleZakonu"/>
              <w:rPr>
                <w:color w:val="000000" w:themeColor="text1"/>
              </w:rPr>
            </w:pPr>
            <w:r w:rsidRPr="00286216">
              <w:rPr>
                <w:color w:val="000000" w:themeColor="text1"/>
              </w:rPr>
              <w:t>35) встановлювати обмеження на вчинення правочинів з фінансовими інструментами для некваліфікованих інвесторів;</w:t>
            </w:r>
          </w:p>
        </w:tc>
        <w:tc>
          <w:tcPr>
            <w:tcW w:w="3686" w:type="dxa"/>
          </w:tcPr>
          <w:p w14:paraId="24F6CE90" w14:textId="77777777" w:rsidR="008E6EDB" w:rsidRPr="00286216" w:rsidRDefault="008E6EDB" w:rsidP="008E6EDB">
            <w:pPr>
              <w:pStyle w:val="StyleProp"/>
              <w:rPr>
                <w:color w:val="000000" w:themeColor="text1"/>
                <w:szCs w:val="18"/>
              </w:rPr>
            </w:pPr>
          </w:p>
        </w:tc>
        <w:tc>
          <w:tcPr>
            <w:tcW w:w="1987" w:type="dxa"/>
          </w:tcPr>
          <w:p w14:paraId="2B5F237C" w14:textId="77777777" w:rsidR="008E6EDB" w:rsidRPr="00286216" w:rsidRDefault="008E6EDB" w:rsidP="008E6EDB">
            <w:pPr>
              <w:pStyle w:val="StyleWisnow"/>
              <w:rPr>
                <w:color w:val="000000" w:themeColor="text1"/>
              </w:rPr>
            </w:pPr>
          </w:p>
        </w:tc>
        <w:tc>
          <w:tcPr>
            <w:tcW w:w="4818" w:type="dxa"/>
          </w:tcPr>
          <w:p w14:paraId="7BE11639" w14:textId="0D3FECDE" w:rsidR="008E6EDB" w:rsidRPr="00286216" w:rsidRDefault="008E6EDB" w:rsidP="008E6EDB">
            <w:pPr>
              <w:pStyle w:val="StyleZakonu"/>
              <w:rPr>
                <w:color w:val="000000" w:themeColor="text1"/>
              </w:rPr>
            </w:pPr>
            <w:r w:rsidRPr="00286216">
              <w:rPr>
                <w:color w:val="000000" w:themeColor="text1"/>
              </w:rPr>
              <w:t>36) встановлювати обмеження на вчинення правочинів з фінансовими інструментами для некваліфікованих інвесторів;</w:t>
            </w:r>
          </w:p>
        </w:tc>
      </w:tr>
      <w:tr w:rsidR="008E6EDB" w:rsidRPr="00286216" w14:paraId="742B5A13" w14:textId="77777777" w:rsidTr="00091AA5">
        <w:tc>
          <w:tcPr>
            <w:tcW w:w="576" w:type="dxa"/>
          </w:tcPr>
          <w:p w14:paraId="7E747007" w14:textId="77777777" w:rsidR="008E6EDB" w:rsidRPr="00286216" w:rsidRDefault="008E6EDB" w:rsidP="008E6EDB">
            <w:pPr>
              <w:pStyle w:val="StyleWisnow"/>
              <w:rPr>
                <w:color w:val="000000" w:themeColor="text1"/>
              </w:rPr>
            </w:pPr>
            <w:bookmarkStart w:id="2932" w:name="n3061" w:colFirst="0" w:colLast="0"/>
            <w:bookmarkEnd w:id="2931"/>
            <w:r w:rsidRPr="00286216">
              <w:rPr>
                <w:color w:val="000000" w:themeColor="text1"/>
              </w:rPr>
              <w:t>3061.</w:t>
            </w:r>
          </w:p>
        </w:tc>
        <w:tc>
          <w:tcPr>
            <w:tcW w:w="4818" w:type="dxa"/>
          </w:tcPr>
          <w:p w14:paraId="53FAB686" w14:textId="77777777" w:rsidR="008E6EDB" w:rsidRPr="00286216" w:rsidRDefault="008E6EDB" w:rsidP="008E6EDB">
            <w:pPr>
              <w:pStyle w:val="StyleZakonu"/>
              <w:rPr>
                <w:color w:val="000000" w:themeColor="text1"/>
              </w:rPr>
            </w:pPr>
            <w:r w:rsidRPr="00286216">
              <w:rPr>
                <w:color w:val="000000" w:themeColor="text1"/>
              </w:rPr>
              <w:t>36) у встановленому нею порядку визначати випадки обов’язковості проведення клірингу Центральним контрагентом за деривативними контрактами, укладеними поза регульованим ринком, а за деривативними контрактами грошового ринку - за погодженням з Національним банком України;</w:t>
            </w:r>
          </w:p>
        </w:tc>
        <w:tc>
          <w:tcPr>
            <w:tcW w:w="3686" w:type="dxa"/>
          </w:tcPr>
          <w:p w14:paraId="543927CB" w14:textId="3713BE40" w:rsidR="008E6EDB" w:rsidRPr="00286216" w:rsidRDefault="008E6EDB" w:rsidP="008E6ED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1360</w:t>
            </w:r>
            <w:r w:rsidRPr="00286216">
              <w:rPr>
                <w:color w:val="000000" w:themeColor="text1"/>
                <w:spacing w:val="-2"/>
              </w:rPr>
              <w:fldChar w:fldCharType="end"/>
            </w:r>
            <w:r w:rsidRPr="00286216">
              <w:rPr>
                <w:color w:val="000000" w:themeColor="text1"/>
                <w:spacing w:val="-2"/>
              </w:rPr>
              <w:t>-Н.д.Шахов С.В. (Реєстр.картка №114)</w:t>
            </w:r>
          </w:p>
          <w:p w14:paraId="2FB86CEA" w14:textId="77777777" w:rsidR="008E6EDB" w:rsidRPr="00286216" w:rsidRDefault="008E6EDB" w:rsidP="008E6EDB">
            <w:pPr>
              <w:pStyle w:val="StyleProp"/>
              <w:spacing w:line="180" w:lineRule="exact"/>
              <w:rPr>
                <w:color w:val="000000" w:themeColor="text1"/>
                <w:spacing w:val="-2"/>
              </w:rPr>
            </w:pPr>
            <w:r w:rsidRPr="00286216">
              <w:rPr>
                <w:color w:val="000000" w:themeColor="text1"/>
                <w:spacing w:val="-2"/>
              </w:rPr>
              <w:t xml:space="preserve">У п.п. "у" п.п. 9 п. 17 у новому п. 34 ч. 1 ст.8 слова "а за деривативними контрактами грошового ринку - за погодженням з Національним банком України" замінити словами "при цьому за </w:t>
            </w:r>
            <w:r w:rsidRPr="00286216">
              <w:rPr>
                <w:rFonts w:eastAsia="MS Mincho"/>
                <w:color w:val="000000" w:themeColor="text1"/>
                <w:spacing w:val="-2"/>
              </w:rPr>
              <w:t xml:space="preserve">деривативними контрактами грошового ринку – за погодженням з Національним банком України, за поставними товарними деривативними контрактами – </w:t>
            </w:r>
            <w:r w:rsidRPr="00286216">
              <w:rPr>
                <w:color w:val="000000" w:themeColor="text1"/>
                <w:spacing w:val="-2"/>
              </w:rPr>
              <w:t>додатково за погодженням з регулятором відповідного товарного ринку".</w:t>
            </w:r>
          </w:p>
        </w:tc>
        <w:tc>
          <w:tcPr>
            <w:tcW w:w="1987" w:type="dxa"/>
          </w:tcPr>
          <w:p w14:paraId="51372280" w14:textId="77777777" w:rsidR="008E6EDB" w:rsidRPr="00286216" w:rsidRDefault="008E6EDB" w:rsidP="008E6EDB">
            <w:pPr>
              <w:pStyle w:val="StyleWisnow"/>
              <w:rPr>
                <w:color w:val="000000" w:themeColor="text1"/>
              </w:rPr>
            </w:pPr>
            <w:r w:rsidRPr="00286216">
              <w:rPr>
                <w:color w:val="000000" w:themeColor="text1"/>
              </w:rPr>
              <w:t>Відхилено</w:t>
            </w:r>
          </w:p>
          <w:p w14:paraId="4B336C01" w14:textId="76B2BABE" w:rsidR="008E6EDB" w:rsidRPr="00286216" w:rsidRDefault="008E6EDB" w:rsidP="008E6EDB">
            <w:pPr>
              <w:pStyle w:val="StyleWisnow"/>
              <w:spacing w:line="180" w:lineRule="exact"/>
              <w:rPr>
                <w:color w:val="000000" w:themeColor="text1"/>
              </w:rPr>
            </w:pPr>
            <w:r w:rsidRPr="00286216">
              <w:rPr>
                <w:color w:val="000000" w:themeColor="text1"/>
              </w:rPr>
              <w:t>клірингова діяльність як діяльність на орагнізованих ринках капіталу регулюється виключно НКЦПФР</w:t>
            </w:r>
          </w:p>
        </w:tc>
        <w:tc>
          <w:tcPr>
            <w:tcW w:w="4818" w:type="dxa"/>
          </w:tcPr>
          <w:p w14:paraId="0EC34499" w14:textId="7AC198A1" w:rsidR="008E6EDB" w:rsidRPr="00286216" w:rsidRDefault="008E6EDB" w:rsidP="008E6EDB">
            <w:pPr>
              <w:pStyle w:val="StyleZakonu"/>
              <w:rPr>
                <w:color w:val="000000" w:themeColor="text1"/>
              </w:rPr>
            </w:pPr>
            <w:r w:rsidRPr="00286216">
              <w:rPr>
                <w:color w:val="000000" w:themeColor="text1"/>
              </w:rPr>
              <w:t>37) у встановленому нею порядку визначати випадки обов’язковості проведення клірингу центральним контрагентом за деривативними контрактами, укладеними поза регульованим ринком, а за деривативними контрактами грошового ринку - за погодженням з Національним банком України;</w:t>
            </w:r>
          </w:p>
        </w:tc>
      </w:tr>
      <w:tr w:rsidR="008E6EDB" w:rsidRPr="00286216" w14:paraId="38DB9C33" w14:textId="77777777" w:rsidTr="00091AA5">
        <w:tc>
          <w:tcPr>
            <w:tcW w:w="576" w:type="dxa"/>
          </w:tcPr>
          <w:p w14:paraId="3E2B8975" w14:textId="77777777" w:rsidR="008E6EDB" w:rsidRPr="00286216" w:rsidRDefault="008E6EDB" w:rsidP="008E6EDB">
            <w:pPr>
              <w:pStyle w:val="StyleWisnow"/>
              <w:rPr>
                <w:color w:val="000000" w:themeColor="text1"/>
              </w:rPr>
            </w:pPr>
            <w:bookmarkStart w:id="2933" w:name="n3062" w:colFirst="0" w:colLast="0"/>
            <w:bookmarkEnd w:id="2932"/>
            <w:r w:rsidRPr="00286216">
              <w:rPr>
                <w:color w:val="000000" w:themeColor="text1"/>
              </w:rPr>
              <w:t>3062.</w:t>
            </w:r>
          </w:p>
        </w:tc>
        <w:tc>
          <w:tcPr>
            <w:tcW w:w="4818" w:type="dxa"/>
          </w:tcPr>
          <w:p w14:paraId="27451F67" w14:textId="77777777" w:rsidR="008E6EDB" w:rsidRPr="00286216" w:rsidRDefault="008E6EDB" w:rsidP="008E6EDB">
            <w:pPr>
              <w:pStyle w:val="StyleZakonu"/>
              <w:rPr>
                <w:color w:val="000000" w:themeColor="text1"/>
              </w:rPr>
            </w:pPr>
            <w:r w:rsidRPr="00286216">
              <w:rPr>
                <w:color w:val="000000" w:themeColor="text1"/>
              </w:rPr>
              <w:t>37) встановлювати критерії віднесення професійних учасників ринків капіталу та організованих товарних ринків до системно важливих професійних учасників ринків капіталу та організованих товарних ринків;</w:t>
            </w:r>
          </w:p>
        </w:tc>
        <w:tc>
          <w:tcPr>
            <w:tcW w:w="3686" w:type="dxa"/>
          </w:tcPr>
          <w:p w14:paraId="21D27A5A" w14:textId="592591A6" w:rsidR="008E6EDB" w:rsidRPr="00286216" w:rsidRDefault="008E6EDB" w:rsidP="008E6EDB">
            <w:pPr>
              <w:pStyle w:val="StyleAwt"/>
              <w:rPr>
                <w:color w:val="000000" w:themeColor="text1"/>
                <w:szCs w:val="18"/>
              </w:rPr>
            </w:pP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1361</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2AC908F" w14:textId="77777777" w:rsidR="008E6EDB" w:rsidRPr="00286216" w:rsidRDefault="008E6EDB" w:rsidP="008E6EDB">
            <w:pPr>
              <w:pStyle w:val="StyleProp"/>
              <w:rPr>
                <w:color w:val="000000" w:themeColor="text1"/>
                <w:spacing w:val="-2"/>
                <w:szCs w:val="18"/>
              </w:rPr>
            </w:pPr>
            <w:r w:rsidRPr="00286216">
              <w:rPr>
                <w:color w:val="000000" w:themeColor="text1"/>
                <w:spacing w:val="-2"/>
                <w:szCs w:val="18"/>
              </w:rPr>
              <w:t>Підпункт "у" підпункту 9 пункту 17 розділу 3 доповнити новим абзацом такого змісту:</w:t>
            </w:r>
          </w:p>
          <w:p w14:paraId="1B04A86E" w14:textId="74DD918A" w:rsidR="008E6EDB" w:rsidRPr="00286216" w:rsidRDefault="008E6EDB" w:rsidP="00630147">
            <w:pPr>
              <w:pStyle w:val="StyleProp"/>
              <w:rPr>
                <w:color w:val="000000" w:themeColor="text1"/>
                <w:spacing w:val="-2"/>
                <w:szCs w:val="18"/>
              </w:rPr>
            </w:pPr>
            <w:r w:rsidRPr="00286216">
              <w:rPr>
                <w:color w:val="000000" w:themeColor="text1"/>
                <w:spacing w:val="-2"/>
                <w:szCs w:val="18"/>
              </w:rPr>
              <w:t xml:space="preserve">«38) оприлюднювати на своєму офіційному веб-сайті відомості про структуру власності професійних учасників фондового ринку;». </w:t>
            </w:r>
          </w:p>
        </w:tc>
        <w:tc>
          <w:tcPr>
            <w:tcW w:w="1987" w:type="dxa"/>
          </w:tcPr>
          <w:p w14:paraId="1CBE4D65" w14:textId="7E981648" w:rsidR="008E6EDB" w:rsidRPr="00286216" w:rsidRDefault="008E6EDB" w:rsidP="008E6EDB">
            <w:pPr>
              <w:pStyle w:val="StyleWisnow"/>
              <w:rPr>
                <w:color w:val="000000" w:themeColor="text1"/>
              </w:rPr>
            </w:pPr>
            <w:r w:rsidRPr="00286216">
              <w:rPr>
                <w:color w:val="000000" w:themeColor="text1"/>
              </w:rPr>
              <w:t>Враховано редакційно</w:t>
            </w:r>
          </w:p>
        </w:tc>
        <w:tc>
          <w:tcPr>
            <w:tcW w:w="4818" w:type="dxa"/>
          </w:tcPr>
          <w:p w14:paraId="1942F5C7" w14:textId="3068BDD0" w:rsidR="008E6EDB" w:rsidRPr="00286216" w:rsidRDefault="008E6EDB" w:rsidP="008E6EDB">
            <w:pPr>
              <w:pStyle w:val="StyleZakonu"/>
              <w:rPr>
                <w:color w:val="000000" w:themeColor="text1"/>
                <w:spacing w:val="-2"/>
                <w:szCs w:val="18"/>
              </w:rPr>
            </w:pPr>
            <w:r w:rsidRPr="00286216">
              <w:rPr>
                <w:color w:val="000000" w:themeColor="text1"/>
                <w:spacing w:val="-2"/>
                <w:szCs w:val="18"/>
              </w:rPr>
              <w:t>38) оприлюднювати на своєму офіційному веб-сайті відомості про структуру власності професійних учасників фондового ринку;</w:t>
            </w:r>
          </w:p>
        </w:tc>
      </w:tr>
      <w:bookmarkEnd w:id="2933"/>
      <w:tr w:rsidR="008E6EDB" w:rsidRPr="00286216" w14:paraId="48A93297" w14:textId="77777777" w:rsidTr="00091AA5">
        <w:tc>
          <w:tcPr>
            <w:tcW w:w="576" w:type="dxa"/>
          </w:tcPr>
          <w:p w14:paraId="5C042040" w14:textId="77777777" w:rsidR="008E6EDB" w:rsidRPr="00286216" w:rsidRDefault="008E6EDB" w:rsidP="008E6EDB">
            <w:pPr>
              <w:pStyle w:val="StyleWisnow"/>
              <w:rPr>
                <w:color w:val="000000" w:themeColor="text1"/>
              </w:rPr>
            </w:pPr>
          </w:p>
        </w:tc>
        <w:tc>
          <w:tcPr>
            <w:tcW w:w="4818" w:type="dxa"/>
          </w:tcPr>
          <w:p w14:paraId="25561B48" w14:textId="77777777" w:rsidR="008E6EDB" w:rsidRPr="00286216" w:rsidRDefault="008E6EDB" w:rsidP="008E6EDB">
            <w:pPr>
              <w:pStyle w:val="StyleZakonu"/>
              <w:rPr>
                <w:color w:val="000000" w:themeColor="text1"/>
              </w:rPr>
            </w:pPr>
          </w:p>
        </w:tc>
        <w:tc>
          <w:tcPr>
            <w:tcW w:w="3686" w:type="dxa"/>
          </w:tcPr>
          <w:p w14:paraId="73615F70" w14:textId="02712320" w:rsidR="008E6EDB" w:rsidRPr="00286216" w:rsidRDefault="008E6EDB" w:rsidP="008E6ED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1362</w:t>
            </w:r>
            <w:r w:rsidRPr="00286216">
              <w:rPr>
                <w:color w:val="000000" w:themeColor="text1"/>
                <w:spacing w:val="-2"/>
              </w:rPr>
              <w:fldChar w:fldCharType="end"/>
            </w:r>
            <w:r w:rsidRPr="00286216">
              <w:rPr>
                <w:color w:val="000000" w:themeColor="text1"/>
                <w:spacing w:val="-2"/>
              </w:rPr>
              <w:t>-Н.д.Шахов С.В. (Реєстр.картка №114)</w:t>
            </w:r>
          </w:p>
          <w:p w14:paraId="7997340F" w14:textId="77777777" w:rsidR="008E6EDB" w:rsidRPr="00286216" w:rsidRDefault="008E6EDB" w:rsidP="008E6EDB">
            <w:pPr>
              <w:pStyle w:val="StyleProp"/>
              <w:spacing w:line="180" w:lineRule="exact"/>
              <w:rPr>
                <w:color w:val="000000" w:themeColor="text1"/>
                <w:szCs w:val="18"/>
              </w:rPr>
            </w:pPr>
            <w:r w:rsidRPr="00286216">
              <w:rPr>
                <w:color w:val="000000" w:themeColor="text1"/>
                <w:spacing w:val="-4"/>
                <w:szCs w:val="18"/>
              </w:rPr>
              <w:t xml:space="preserve">У тексті </w:t>
            </w:r>
            <w:r w:rsidRPr="00286216">
              <w:rPr>
                <w:color w:val="000000" w:themeColor="text1"/>
                <w:spacing w:val="-4"/>
              </w:rPr>
              <w:t xml:space="preserve">п.п.9 п.17 (зміни у ст.8) </w:t>
            </w:r>
            <w:r w:rsidRPr="00286216">
              <w:rPr>
                <w:color w:val="000000" w:themeColor="text1"/>
                <w:spacing w:val="-4"/>
                <w:szCs w:val="18"/>
              </w:rPr>
              <w:t>слова "та</w:t>
            </w:r>
            <w:r w:rsidRPr="00286216">
              <w:rPr>
                <w:color w:val="000000" w:themeColor="text1"/>
                <w:spacing w:val="-2"/>
                <w:szCs w:val="18"/>
              </w:rPr>
              <w:t xml:space="preserve"> організовані товарні ринки" в усіх відмінках виключити.</w:t>
            </w:r>
          </w:p>
        </w:tc>
        <w:tc>
          <w:tcPr>
            <w:tcW w:w="1987" w:type="dxa"/>
          </w:tcPr>
          <w:p w14:paraId="38B524B4" w14:textId="77777777" w:rsidR="008E6EDB" w:rsidRPr="00286216" w:rsidRDefault="008E6EDB" w:rsidP="008E6EDB">
            <w:pPr>
              <w:pStyle w:val="StyleWisnow"/>
              <w:rPr>
                <w:color w:val="000000" w:themeColor="text1"/>
              </w:rPr>
            </w:pPr>
            <w:r w:rsidRPr="00286216">
              <w:rPr>
                <w:color w:val="000000" w:themeColor="text1"/>
              </w:rPr>
              <w:t>Відхилено</w:t>
            </w:r>
          </w:p>
          <w:p w14:paraId="184DCD9B" w14:textId="32EE1383" w:rsidR="008E6EDB" w:rsidRPr="00286216" w:rsidRDefault="008E6EDB" w:rsidP="008E6EDB">
            <w:pPr>
              <w:pStyle w:val="StyleWisnow"/>
              <w:spacing w:line="180" w:lineRule="exact"/>
              <w:rPr>
                <w:color w:val="000000" w:themeColor="text1"/>
              </w:rPr>
            </w:pPr>
            <w:r w:rsidRPr="00286216">
              <w:rPr>
                <w:color w:val="000000" w:themeColor="text1"/>
              </w:rPr>
              <w:t>не відповідає концепції І-го читання, за якої державне регулювання організованих товарних ринків за НКЦПФР</w:t>
            </w:r>
          </w:p>
        </w:tc>
        <w:tc>
          <w:tcPr>
            <w:tcW w:w="4818" w:type="dxa"/>
          </w:tcPr>
          <w:p w14:paraId="7BD58055" w14:textId="77777777" w:rsidR="008E6EDB" w:rsidRPr="00286216" w:rsidRDefault="008E6EDB" w:rsidP="008E6EDB">
            <w:pPr>
              <w:pStyle w:val="StyleZakonu"/>
              <w:rPr>
                <w:color w:val="000000" w:themeColor="text1"/>
              </w:rPr>
            </w:pPr>
          </w:p>
        </w:tc>
      </w:tr>
      <w:tr w:rsidR="008E6EDB" w:rsidRPr="00286216" w14:paraId="71C744EF" w14:textId="77777777" w:rsidTr="00091AA5">
        <w:tc>
          <w:tcPr>
            <w:tcW w:w="576" w:type="dxa"/>
          </w:tcPr>
          <w:p w14:paraId="1E06B27C" w14:textId="77777777" w:rsidR="008E6EDB" w:rsidRPr="00286216" w:rsidRDefault="008E6EDB" w:rsidP="008E6EDB">
            <w:pPr>
              <w:pStyle w:val="StyleWisnow"/>
              <w:rPr>
                <w:color w:val="000000" w:themeColor="text1"/>
              </w:rPr>
            </w:pPr>
            <w:bookmarkStart w:id="2934" w:name="n3063" w:colFirst="0" w:colLast="0"/>
            <w:r w:rsidRPr="00286216">
              <w:rPr>
                <w:color w:val="000000" w:themeColor="text1"/>
              </w:rPr>
              <w:t>3063.</w:t>
            </w:r>
          </w:p>
        </w:tc>
        <w:tc>
          <w:tcPr>
            <w:tcW w:w="4818" w:type="dxa"/>
          </w:tcPr>
          <w:p w14:paraId="01F9FA8B" w14:textId="77777777" w:rsidR="008E6EDB" w:rsidRPr="00286216" w:rsidRDefault="008E6EDB" w:rsidP="008E6EDB">
            <w:pPr>
              <w:pStyle w:val="StyleZakonu"/>
              <w:rPr>
                <w:color w:val="000000" w:themeColor="text1"/>
              </w:rPr>
            </w:pPr>
            <w:r w:rsidRPr="00286216">
              <w:rPr>
                <w:color w:val="000000" w:themeColor="text1"/>
              </w:rPr>
              <w:t>38) здійснювати інші права, передбачені законом.";</w:t>
            </w:r>
          </w:p>
        </w:tc>
        <w:tc>
          <w:tcPr>
            <w:tcW w:w="3686" w:type="dxa"/>
          </w:tcPr>
          <w:p w14:paraId="6E0D6283" w14:textId="1A833B86"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1363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12892864" w14:textId="6AD4EEE3" w:rsidR="008E6EDB" w:rsidRPr="00286216" w:rsidRDefault="008E6EDB" w:rsidP="00630147">
            <w:pPr>
              <w:pStyle w:val="StyleProp"/>
              <w:spacing w:line="180" w:lineRule="exact"/>
              <w:rPr>
                <w:color w:val="000000" w:themeColor="text1"/>
                <w:szCs w:val="18"/>
              </w:rPr>
            </w:pPr>
            <w:r w:rsidRPr="00286216">
              <w:rPr>
                <w:color w:val="000000" w:themeColor="text1"/>
                <w:szCs w:val="18"/>
              </w:rPr>
              <w:t>підпункт 9 пункту 17 розділу 3 доповнити новим підпунктом 38, і відповідно 37 вважати 38, в такій редакції:«38) встановлювати факт наявності в правилах функціонування багатосторонньої системи положень, що передбачають обов’язковість централізованого вчинення та централізованого виконання правочинів;».</w:t>
            </w:r>
          </w:p>
          <w:p w14:paraId="32DF44FE" w14:textId="0CFEA2CD"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1364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A6694BF" w14:textId="77777777" w:rsidR="008E6EDB" w:rsidRPr="00286216" w:rsidRDefault="008E6EDB" w:rsidP="00630147">
            <w:pPr>
              <w:pStyle w:val="StyleProp"/>
              <w:spacing w:line="180" w:lineRule="exact"/>
              <w:rPr>
                <w:color w:val="000000" w:themeColor="text1"/>
                <w:szCs w:val="18"/>
              </w:rPr>
            </w:pPr>
            <w:r w:rsidRPr="00286216">
              <w:rPr>
                <w:color w:val="000000" w:themeColor="text1"/>
                <w:szCs w:val="18"/>
              </w:rPr>
              <w:t>Замінити абзац десятий підпункту «у» підпункту 9 пункту 17 двома абзацами такого змісту:</w:t>
            </w:r>
          </w:p>
          <w:p w14:paraId="0C654060" w14:textId="77777777" w:rsidR="008E6EDB" w:rsidRPr="00286216" w:rsidRDefault="008E6EDB" w:rsidP="00630147">
            <w:pPr>
              <w:pStyle w:val="StyleProp"/>
              <w:spacing w:line="180" w:lineRule="exact"/>
              <w:rPr>
                <w:color w:val="000000" w:themeColor="text1"/>
                <w:szCs w:val="18"/>
              </w:rPr>
            </w:pPr>
            <w:r w:rsidRPr="00286216">
              <w:rPr>
                <w:color w:val="000000" w:themeColor="text1"/>
                <w:szCs w:val="18"/>
              </w:rPr>
              <w:t xml:space="preserve">«38) встановлювати порядок присвоєння унікальних ідентифікаторів продуктів (Unique Product Identifier) та унікальних </w:t>
            </w:r>
            <w:r w:rsidRPr="00286216">
              <w:rPr>
                <w:color w:val="000000" w:themeColor="text1"/>
                <w:szCs w:val="18"/>
              </w:rPr>
              <w:lastRenderedPageBreak/>
              <w:t>ідентифікаторів транзакцій (Unique Transaction Identifier);</w:t>
            </w:r>
          </w:p>
          <w:p w14:paraId="23636650" w14:textId="77777777" w:rsidR="008E6EDB" w:rsidRPr="00286216" w:rsidRDefault="008E6EDB" w:rsidP="00630147">
            <w:pPr>
              <w:pStyle w:val="StyleProp"/>
              <w:spacing w:line="180" w:lineRule="exact"/>
              <w:rPr>
                <w:color w:val="000000" w:themeColor="text1"/>
                <w:szCs w:val="18"/>
              </w:rPr>
            </w:pPr>
            <w:r w:rsidRPr="00286216">
              <w:rPr>
                <w:color w:val="000000" w:themeColor="text1"/>
                <w:szCs w:val="18"/>
              </w:rPr>
              <w:t>39) здійснювати інші права, передбачені законом».</w:t>
            </w:r>
          </w:p>
        </w:tc>
        <w:tc>
          <w:tcPr>
            <w:tcW w:w="1987" w:type="dxa"/>
          </w:tcPr>
          <w:p w14:paraId="14D8DAF0" w14:textId="77777777" w:rsidR="008E6EDB" w:rsidRPr="00286216" w:rsidRDefault="008E6EDB" w:rsidP="008E6EDB">
            <w:pPr>
              <w:pStyle w:val="StyleWisnow"/>
              <w:rPr>
                <w:color w:val="000000" w:themeColor="text1"/>
              </w:rPr>
            </w:pPr>
            <w:r w:rsidRPr="00286216">
              <w:rPr>
                <w:color w:val="000000" w:themeColor="text1"/>
              </w:rPr>
              <w:lastRenderedPageBreak/>
              <w:t>Враховано редакційно</w:t>
            </w:r>
          </w:p>
          <w:p w14:paraId="1CA93112" w14:textId="77777777" w:rsidR="008E6EDB" w:rsidRPr="00286216" w:rsidRDefault="008E6EDB" w:rsidP="008E6EDB">
            <w:pPr>
              <w:pStyle w:val="StyleWisnow"/>
              <w:rPr>
                <w:color w:val="000000" w:themeColor="text1"/>
              </w:rPr>
            </w:pPr>
          </w:p>
          <w:p w14:paraId="5276A444" w14:textId="77777777" w:rsidR="008E6EDB" w:rsidRPr="00286216" w:rsidRDefault="008E6EDB" w:rsidP="008E6EDB">
            <w:pPr>
              <w:pStyle w:val="StyleWisnow"/>
              <w:rPr>
                <w:color w:val="000000" w:themeColor="text1"/>
              </w:rPr>
            </w:pPr>
          </w:p>
          <w:p w14:paraId="7D3AE7FD" w14:textId="77777777" w:rsidR="008E6EDB" w:rsidRPr="00286216" w:rsidRDefault="008E6EDB" w:rsidP="008E6EDB">
            <w:pPr>
              <w:pStyle w:val="StyleWisnow"/>
              <w:rPr>
                <w:color w:val="000000" w:themeColor="text1"/>
              </w:rPr>
            </w:pPr>
          </w:p>
          <w:p w14:paraId="5FEFE5B4" w14:textId="77777777" w:rsidR="008E6EDB" w:rsidRPr="00286216" w:rsidRDefault="008E6EDB" w:rsidP="008E6EDB">
            <w:pPr>
              <w:pStyle w:val="StyleWisnow"/>
              <w:rPr>
                <w:color w:val="000000" w:themeColor="text1"/>
              </w:rPr>
            </w:pPr>
          </w:p>
          <w:p w14:paraId="0C33882F" w14:textId="77777777" w:rsidR="008E6EDB" w:rsidRPr="00286216" w:rsidRDefault="008E6EDB" w:rsidP="008E6EDB">
            <w:pPr>
              <w:pStyle w:val="StyleWisnow"/>
              <w:rPr>
                <w:color w:val="000000" w:themeColor="text1"/>
              </w:rPr>
            </w:pPr>
          </w:p>
          <w:p w14:paraId="53A89178" w14:textId="77777777" w:rsidR="008E6EDB" w:rsidRPr="00286216" w:rsidRDefault="008E6EDB" w:rsidP="008E6EDB">
            <w:pPr>
              <w:pStyle w:val="StyleWisnow"/>
              <w:rPr>
                <w:color w:val="000000" w:themeColor="text1"/>
              </w:rPr>
            </w:pPr>
          </w:p>
          <w:p w14:paraId="3758D0D2" w14:textId="34DC8529"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58A6993B" w14:textId="77777777" w:rsidR="008E6EDB" w:rsidRPr="00286216" w:rsidRDefault="008E6EDB" w:rsidP="008E6EDB">
            <w:pPr>
              <w:pStyle w:val="StyleZakonu"/>
              <w:rPr>
                <w:color w:val="000000" w:themeColor="text1"/>
              </w:rPr>
            </w:pPr>
            <w:r w:rsidRPr="00286216">
              <w:rPr>
                <w:color w:val="000000" w:themeColor="text1"/>
              </w:rPr>
              <w:t>39) встановлювати факт наявності в правилах функціонування багатосторонньої системи положень, що передбачають обов’язковість централізованого вчинення та централізованого виконання правочинів;</w:t>
            </w:r>
          </w:p>
          <w:p w14:paraId="0A51539D" w14:textId="77777777" w:rsidR="008E6EDB" w:rsidRPr="00286216" w:rsidRDefault="008E6EDB" w:rsidP="008E6EDB">
            <w:pPr>
              <w:pStyle w:val="StyleZakonu"/>
              <w:rPr>
                <w:color w:val="000000" w:themeColor="text1"/>
              </w:rPr>
            </w:pPr>
          </w:p>
          <w:p w14:paraId="6D016614" w14:textId="77777777" w:rsidR="008E6EDB" w:rsidRPr="00286216" w:rsidRDefault="008E6EDB" w:rsidP="008E6EDB">
            <w:pPr>
              <w:pStyle w:val="StyleZakonu"/>
              <w:rPr>
                <w:color w:val="000000" w:themeColor="text1"/>
              </w:rPr>
            </w:pPr>
          </w:p>
          <w:p w14:paraId="578D7766" w14:textId="77777777" w:rsidR="008E6EDB" w:rsidRPr="00286216" w:rsidRDefault="008E6EDB" w:rsidP="008E6EDB">
            <w:pPr>
              <w:pStyle w:val="StyleZakonu"/>
              <w:rPr>
                <w:color w:val="000000" w:themeColor="text1"/>
              </w:rPr>
            </w:pPr>
          </w:p>
          <w:p w14:paraId="692A5B0B" w14:textId="77777777" w:rsidR="008E6EDB" w:rsidRPr="00286216" w:rsidRDefault="008E6EDB" w:rsidP="008E6EDB">
            <w:pPr>
              <w:pStyle w:val="StyleZakonu"/>
              <w:rPr>
                <w:color w:val="000000" w:themeColor="text1"/>
              </w:rPr>
            </w:pPr>
          </w:p>
          <w:p w14:paraId="18F3B0C8" w14:textId="77777777" w:rsidR="008E6EDB" w:rsidRPr="00286216" w:rsidRDefault="008E6EDB" w:rsidP="008E6EDB">
            <w:pPr>
              <w:pStyle w:val="StyleZakonu"/>
              <w:rPr>
                <w:color w:val="000000" w:themeColor="text1"/>
              </w:rPr>
            </w:pPr>
            <w:r w:rsidRPr="00286216">
              <w:rPr>
                <w:color w:val="000000" w:themeColor="text1"/>
              </w:rPr>
              <w:t>40) встановлювати порядок присвоєння унікальних ідентифікаторів продуктів (Unique Product Identifier) та унікальних ідентифікаторів транзакцій (Unique Transaction Identifier);</w:t>
            </w:r>
          </w:p>
          <w:p w14:paraId="6482320F" w14:textId="57D19ED4" w:rsidR="008E6EDB" w:rsidRPr="00286216" w:rsidRDefault="008E6EDB" w:rsidP="008E6EDB">
            <w:pPr>
              <w:pStyle w:val="StyleZakonu"/>
              <w:rPr>
                <w:color w:val="000000" w:themeColor="text1"/>
              </w:rPr>
            </w:pPr>
            <w:r w:rsidRPr="00286216">
              <w:rPr>
                <w:color w:val="000000" w:themeColor="text1"/>
              </w:rPr>
              <w:lastRenderedPageBreak/>
              <w:t>41) здійснювати інші права, передбачені законом";</w:t>
            </w:r>
          </w:p>
        </w:tc>
      </w:tr>
      <w:tr w:rsidR="008E6EDB" w:rsidRPr="00286216" w14:paraId="30321DBE" w14:textId="77777777" w:rsidTr="00091AA5">
        <w:tc>
          <w:tcPr>
            <w:tcW w:w="576" w:type="dxa"/>
          </w:tcPr>
          <w:p w14:paraId="04AC7CB7" w14:textId="77777777" w:rsidR="008E6EDB" w:rsidRPr="00286216" w:rsidRDefault="008E6EDB" w:rsidP="008E6EDB">
            <w:pPr>
              <w:pStyle w:val="StyleWisnow"/>
              <w:rPr>
                <w:color w:val="000000" w:themeColor="text1"/>
              </w:rPr>
            </w:pPr>
            <w:bookmarkStart w:id="2935" w:name="n3064" w:colFirst="0" w:colLast="0"/>
            <w:bookmarkEnd w:id="2934"/>
            <w:r w:rsidRPr="00286216">
              <w:rPr>
                <w:color w:val="000000" w:themeColor="text1"/>
              </w:rPr>
              <w:lastRenderedPageBreak/>
              <w:t>3064.</w:t>
            </w:r>
          </w:p>
        </w:tc>
        <w:tc>
          <w:tcPr>
            <w:tcW w:w="4818" w:type="dxa"/>
          </w:tcPr>
          <w:p w14:paraId="68391D91" w14:textId="77777777" w:rsidR="008E6EDB" w:rsidRPr="00286216" w:rsidRDefault="008E6EDB" w:rsidP="008E6EDB">
            <w:pPr>
              <w:pStyle w:val="StyleZakonu"/>
              <w:rPr>
                <w:color w:val="000000" w:themeColor="text1"/>
              </w:rPr>
            </w:pPr>
            <w:r w:rsidRPr="00286216">
              <w:rPr>
                <w:color w:val="000000" w:themeColor="text1"/>
              </w:rPr>
              <w:t>10) абзац п’ятий частини другої статті 9 викласти в такій редакції:</w:t>
            </w:r>
          </w:p>
        </w:tc>
        <w:tc>
          <w:tcPr>
            <w:tcW w:w="3686" w:type="dxa"/>
          </w:tcPr>
          <w:p w14:paraId="72304081" w14:textId="77777777" w:rsidR="008E6EDB" w:rsidRPr="00286216" w:rsidRDefault="008E6EDB" w:rsidP="008E6EDB">
            <w:pPr>
              <w:pStyle w:val="StyleProp"/>
              <w:rPr>
                <w:color w:val="000000" w:themeColor="text1"/>
                <w:szCs w:val="18"/>
              </w:rPr>
            </w:pPr>
          </w:p>
        </w:tc>
        <w:tc>
          <w:tcPr>
            <w:tcW w:w="1987" w:type="dxa"/>
          </w:tcPr>
          <w:p w14:paraId="4027863B" w14:textId="77777777" w:rsidR="008E6EDB" w:rsidRPr="00286216" w:rsidRDefault="008E6EDB" w:rsidP="008E6EDB">
            <w:pPr>
              <w:pStyle w:val="StyleWisnow"/>
              <w:rPr>
                <w:color w:val="000000" w:themeColor="text1"/>
              </w:rPr>
            </w:pPr>
          </w:p>
        </w:tc>
        <w:tc>
          <w:tcPr>
            <w:tcW w:w="4818" w:type="dxa"/>
          </w:tcPr>
          <w:p w14:paraId="47555887" w14:textId="32F221A2" w:rsidR="008E6EDB" w:rsidRPr="00286216" w:rsidRDefault="008E6EDB" w:rsidP="008E6EDB">
            <w:pPr>
              <w:pStyle w:val="StyleZakonu"/>
              <w:rPr>
                <w:color w:val="000000" w:themeColor="text1"/>
              </w:rPr>
            </w:pPr>
            <w:r w:rsidRPr="00286216">
              <w:rPr>
                <w:color w:val="000000" w:themeColor="text1"/>
              </w:rPr>
              <w:t>11) абзац п’ятий частини другої статті 9 викласти в такій редакції:</w:t>
            </w:r>
          </w:p>
        </w:tc>
      </w:tr>
      <w:tr w:rsidR="008E6EDB" w:rsidRPr="00286216" w14:paraId="01D4CD13" w14:textId="77777777" w:rsidTr="00091AA5">
        <w:tc>
          <w:tcPr>
            <w:tcW w:w="576" w:type="dxa"/>
          </w:tcPr>
          <w:p w14:paraId="0DABCEAE" w14:textId="77777777" w:rsidR="008E6EDB" w:rsidRPr="00286216" w:rsidRDefault="008E6EDB" w:rsidP="008E6EDB">
            <w:pPr>
              <w:pStyle w:val="StyleWisnow"/>
              <w:rPr>
                <w:color w:val="000000" w:themeColor="text1"/>
              </w:rPr>
            </w:pPr>
            <w:bookmarkStart w:id="2936" w:name="n3065" w:colFirst="0" w:colLast="0"/>
            <w:bookmarkEnd w:id="2935"/>
            <w:r w:rsidRPr="00286216">
              <w:rPr>
                <w:color w:val="000000" w:themeColor="text1"/>
              </w:rPr>
              <w:t>3065.</w:t>
            </w:r>
          </w:p>
        </w:tc>
        <w:tc>
          <w:tcPr>
            <w:tcW w:w="4818" w:type="dxa"/>
          </w:tcPr>
          <w:p w14:paraId="132495B9" w14:textId="77777777" w:rsidR="008E6EDB" w:rsidRPr="00286216" w:rsidRDefault="008E6EDB" w:rsidP="008E6EDB">
            <w:pPr>
              <w:pStyle w:val="StyleZakonu"/>
              <w:rPr>
                <w:color w:val="000000" w:themeColor="text1"/>
              </w:rPr>
            </w:pPr>
            <w:r w:rsidRPr="00286216">
              <w:rPr>
                <w:color w:val="000000" w:themeColor="text1"/>
              </w:rPr>
              <w:t>"відповідно до розподілу обов’язків чи письмового доручення провадити в межах наданих повноважень розгляд справ про порушення чинного законодавства про ринки капіталу та організовані товарні ринки, у тому числі про систему накопичувального пенсійного забезпечення, видавати розпорядження про усунення порушень такого законодавства, звертатись із заявою або повідомленням про кримінальне правопорушення до органу державної влади, уповноваженого розпочати досудове розслідування, або вживати інших заходів відповідно до законодавства; ";</w:t>
            </w:r>
          </w:p>
        </w:tc>
        <w:tc>
          <w:tcPr>
            <w:tcW w:w="3686" w:type="dxa"/>
          </w:tcPr>
          <w:p w14:paraId="7D9089A2" w14:textId="77777777" w:rsidR="008E6EDB" w:rsidRPr="00286216" w:rsidRDefault="008E6EDB" w:rsidP="008E6EDB">
            <w:pPr>
              <w:pStyle w:val="StyleProp"/>
              <w:rPr>
                <w:color w:val="000000" w:themeColor="text1"/>
                <w:szCs w:val="18"/>
              </w:rPr>
            </w:pPr>
          </w:p>
        </w:tc>
        <w:tc>
          <w:tcPr>
            <w:tcW w:w="1987" w:type="dxa"/>
          </w:tcPr>
          <w:p w14:paraId="2CFD0B3B" w14:textId="77777777" w:rsidR="008E6EDB" w:rsidRPr="00286216" w:rsidRDefault="008E6EDB" w:rsidP="008E6EDB">
            <w:pPr>
              <w:pStyle w:val="StyleWisnow"/>
              <w:rPr>
                <w:color w:val="000000" w:themeColor="text1"/>
              </w:rPr>
            </w:pPr>
          </w:p>
        </w:tc>
        <w:tc>
          <w:tcPr>
            <w:tcW w:w="4818" w:type="dxa"/>
          </w:tcPr>
          <w:p w14:paraId="02A4A82F" w14:textId="5C24BDBD" w:rsidR="008E6EDB" w:rsidRPr="00286216" w:rsidRDefault="008E6EDB" w:rsidP="008E6EDB">
            <w:pPr>
              <w:pStyle w:val="StyleZakonu"/>
              <w:rPr>
                <w:color w:val="000000" w:themeColor="text1"/>
              </w:rPr>
            </w:pPr>
            <w:r w:rsidRPr="00286216">
              <w:rPr>
                <w:color w:val="000000" w:themeColor="text1"/>
              </w:rPr>
              <w:t>"відповідно до розподілу обов’язків чи письмового доручення провадити в межах наданих повноважень розгляд справ про порушення чинного законодавства про ринки капіталу та організовані товарні ринки, у тому числі про систему накопичувального пенсійного забезпечення, видавати розпорядження про усунення порушень такого законодавства, звертатися із заявою або повідомленням про кримінальне правопорушення до органу державної влади, уповноваженого розпочати досудове розслідування, або вживати інших заходів відповідно до законодавства";</w:t>
            </w:r>
          </w:p>
        </w:tc>
      </w:tr>
      <w:tr w:rsidR="008E6EDB" w:rsidRPr="00286216" w14:paraId="1C18131D" w14:textId="77777777" w:rsidTr="00091AA5">
        <w:tc>
          <w:tcPr>
            <w:tcW w:w="576" w:type="dxa"/>
          </w:tcPr>
          <w:p w14:paraId="5BCBF5A5" w14:textId="77777777" w:rsidR="008E6EDB" w:rsidRPr="00286216" w:rsidRDefault="008E6EDB" w:rsidP="008E6EDB">
            <w:pPr>
              <w:pStyle w:val="StyleWisnow"/>
              <w:rPr>
                <w:color w:val="000000" w:themeColor="text1"/>
              </w:rPr>
            </w:pPr>
            <w:bookmarkStart w:id="2937" w:name="n3066" w:colFirst="0" w:colLast="0"/>
            <w:bookmarkEnd w:id="2936"/>
            <w:r w:rsidRPr="00286216">
              <w:rPr>
                <w:color w:val="000000" w:themeColor="text1"/>
              </w:rPr>
              <w:t>3066.</w:t>
            </w:r>
          </w:p>
        </w:tc>
        <w:tc>
          <w:tcPr>
            <w:tcW w:w="4818" w:type="dxa"/>
          </w:tcPr>
          <w:p w14:paraId="3A9B9E11" w14:textId="77777777" w:rsidR="008E6EDB" w:rsidRPr="00286216" w:rsidRDefault="008E6EDB" w:rsidP="008E6EDB">
            <w:pPr>
              <w:pStyle w:val="StyleZakonu"/>
              <w:rPr>
                <w:color w:val="000000" w:themeColor="text1"/>
              </w:rPr>
            </w:pPr>
            <w:r w:rsidRPr="00286216">
              <w:rPr>
                <w:color w:val="000000" w:themeColor="text1"/>
              </w:rPr>
              <w:t>11) у частині четвертій статті 10 слова "будуть випускатися цінні папери" замінити словами "буде здійснена емісія цінних паперів"</w:t>
            </w:r>
          </w:p>
        </w:tc>
        <w:tc>
          <w:tcPr>
            <w:tcW w:w="3686" w:type="dxa"/>
          </w:tcPr>
          <w:p w14:paraId="7F0BD048" w14:textId="77777777" w:rsidR="008E6EDB" w:rsidRPr="00286216" w:rsidRDefault="008E6EDB" w:rsidP="008E6EDB">
            <w:pPr>
              <w:pStyle w:val="StyleProp"/>
              <w:rPr>
                <w:color w:val="000000" w:themeColor="text1"/>
                <w:szCs w:val="18"/>
              </w:rPr>
            </w:pPr>
          </w:p>
        </w:tc>
        <w:tc>
          <w:tcPr>
            <w:tcW w:w="1987" w:type="dxa"/>
          </w:tcPr>
          <w:p w14:paraId="03425FC2" w14:textId="77777777" w:rsidR="008E6EDB" w:rsidRPr="00286216" w:rsidRDefault="008E6EDB" w:rsidP="008E6EDB">
            <w:pPr>
              <w:pStyle w:val="StyleWisnow"/>
              <w:rPr>
                <w:color w:val="000000" w:themeColor="text1"/>
              </w:rPr>
            </w:pPr>
          </w:p>
        </w:tc>
        <w:tc>
          <w:tcPr>
            <w:tcW w:w="4818" w:type="dxa"/>
          </w:tcPr>
          <w:p w14:paraId="246043DC" w14:textId="12BBED21" w:rsidR="008E6EDB" w:rsidRPr="00286216" w:rsidRDefault="008E6EDB" w:rsidP="008E6EDB">
            <w:pPr>
              <w:pStyle w:val="StyleZakonu"/>
              <w:rPr>
                <w:color w:val="000000" w:themeColor="text1"/>
              </w:rPr>
            </w:pPr>
            <w:r w:rsidRPr="00286216">
              <w:rPr>
                <w:color w:val="000000" w:themeColor="text1"/>
              </w:rPr>
              <w:t>12) у частині четвертій статті 10 слова "будуть випускатися цінні папери" замінити словами "буде здійснена емісія цінних паперів";</w:t>
            </w:r>
          </w:p>
        </w:tc>
      </w:tr>
      <w:tr w:rsidR="008E6EDB" w:rsidRPr="00286216" w14:paraId="595E96B6" w14:textId="77777777" w:rsidTr="00091AA5">
        <w:tc>
          <w:tcPr>
            <w:tcW w:w="576" w:type="dxa"/>
          </w:tcPr>
          <w:p w14:paraId="62A1EEE3" w14:textId="77777777" w:rsidR="008E6EDB" w:rsidRPr="00286216" w:rsidRDefault="008E6EDB" w:rsidP="008E6EDB">
            <w:pPr>
              <w:pStyle w:val="StyleWisnow"/>
              <w:rPr>
                <w:color w:val="000000" w:themeColor="text1"/>
              </w:rPr>
            </w:pPr>
            <w:bookmarkStart w:id="2938" w:name="n3067" w:colFirst="0" w:colLast="0"/>
            <w:bookmarkEnd w:id="2937"/>
            <w:r w:rsidRPr="00286216">
              <w:rPr>
                <w:color w:val="000000" w:themeColor="text1"/>
              </w:rPr>
              <w:t>3067.</w:t>
            </w:r>
          </w:p>
        </w:tc>
        <w:tc>
          <w:tcPr>
            <w:tcW w:w="4818" w:type="dxa"/>
          </w:tcPr>
          <w:p w14:paraId="795672DF" w14:textId="77777777" w:rsidR="008E6EDB" w:rsidRPr="00286216" w:rsidRDefault="008E6EDB" w:rsidP="008E6EDB">
            <w:pPr>
              <w:pStyle w:val="StyleZakonu"/>
              <w:rPr>
                <w:color w:val="000000" w:themeColor="text1"/>
              </w:rPr>
            </w:pPr>
            <w:r w:rsidRPr="00286216">
              <w:rPr>
                <w:color w:val="000000" w:themeColor="text1"/>
              </w:rPr>
              <w:t>12) статтю 10</w:t>
            </w:r>
            <w:r w:rsidRPr="00286216">
              <w:rPr>
                <w:color w:val="000000" w:themeColor="text1"/>
                <w:vertAlign w:val="superscript"/>
              </w:rPr>
              <w:t>1</w:t>
            </w:r>
            <w:r w:rsidRPr="00286216">
              <w:rPr>
                <w:color w:val="000000" w:themeColor="text1"/>
              </w:rPr>
              <w:t xml:space="preserve"> виключити;</w:t>
            </w:r>
          </w:p>
        </w:tc>
        <w:tc>
          <w:tcPr>
            <w:tcW w:w="3686" w:type="dxa"/>
          </w:tcPr>
          <w:p w14:paraId="0481D13F" w14:textId="77777777" w:rsidR="008E6EDB" w:rsidRPr="00286216" w:rsidRDefault="008E6EDB" w:rsidP="008E6EDB">
            <w:pPr>
              <w:pStyle w:val="StyleProp"/>
              <w:rPr>
                <w:color w:val="000000" w:themeColor="text1"/>
                <w:szCs w:val="18"/>
              </w:rPr>
            </w:pPr>
          </w:p>
        </w:tc>
        <w:tc>
          <w:tcPr>
            <w:tcW w:w="1987" w:type="dxa"/>
          </w:tcPr>
          <w:p w14:paraId="034517A9" w14:textId="77777777" w:rsidR="008E6EDB" w:rsidRPr="00286216" w:rsidRDefault="008E6EDB" w:rsidP="008E6EDB">
            <w:pPr>
              <w:pStyle w:val="StyleWisnow"/>
              <w:rPr>
                <w:color w:val="000000" w:themeColor="text1"/>
              </w:rPr>
            </w:pPr>
          </w:p>
        </w:tc>
        <w:tc>
          <w:tcPr>
            <w:tcW w:w="4818" w:type="dxa"/>
          </w:tcPr>
          <w:p w14:paraId="0CA96399" w14:textId="577CF687" w:rsidR="008E6EDB" w:rsidRPr="00286216" w:rsidRDefault="008E6EDB" w:rsidP="008E6EDB">
            <w:pPr>
              <w:pStyle w:val="StyleZakonu"/>
              <w:rPr>
                <w:color w:val="000000" w:themeColor="text1"/>
              </w:rPr>
            </w:pPr>
            <w:r w:rsidRPr="00286216">
              <w:rPr>
                <w:color w:val="000000" w:themeColor="text1"/>
              </w:rPr>
              <w:t>13) статтю 10</w:t>
            </w:r>
            <w:r w:rsidRPr="00286216">
              <w:rPr>
                <w:color w:val="000000" w:themeColor="text1"/>
                <w:vertAlign w:val="superscript"/>
              </w:rPr>
              <w:t>1</w:t>
            </w:r>
            <w:r w:rsidRPr="00286216">
              <w:rPr>
                <w:color w:val="000000" w:themeColor="text1"/>
              </w:rPr>
              <w:t xml:space="preserve"> виключити;</w:t>
            </w:r>
          </w:p>
        </w:tc>
      </w:tr>
      <w:tr w:rsidR="008E6EDB" w:rsidRPr="00286216" w14:paraId="150AB215" w14:textId="77777777" w:rsidTr="00091AA5">
        <w:tc>
          <w:tcPr>
            <w:tcW w:w="576" w:type="dxa"/>
          </w:tcPr>
          <w:p w14:paraId="1CC8A272" w14:textId="77777777" w:rsidR="008E6EDB" w:rsidRPr="00286216" w:rsidRDefault="008E6EDB" w:rsidP="008E6EDB">
            <w:pPr>
              <w:pStyle w:val="StyleWisnow"/>
              <w:rPr>
                <w:color w:val="000000" w:themeColor="text1"/>
              </w:rPr>
            </w:pPr>
            <w:bookmarkStart w:id="2939" w:name="n3068" w:colFirst="0" w:colLast="0"/>
            <w:bookmarkEnd w:id="2938"/>
            <w:r w:rsidRPr="00286216">
              <w:rPr>
                <w:color w:val="000000" w:themeColor="text1"/>
              </w:rPr>
              <w:t>3068.</w:t>
            </w:r>
          </w:p>
        </w:tc>
        <w:tc>
          <w:tcPr>
            <w:tcW w:w="4818" w:type="dxa"/>
          </w:tcPr>
          <w:p w14:paraId="580CADE7" w14:textId="77777777" w:rsidR="008E6EDB" w:rsidRPr="00286216" w:rsidRDefault="008E6EDB" w:rsidP="008E6EDB">
            <w:pPr>
              <w:pStyle w:val="StyleZakonu"/>
              <w:rPr>
                <w:color w:val="000000" w:themeColor="text1"/>
              </w:rPr>
            </w:pPr>
            <w:r w:rsidRPr="00286216">
              <w:rPr>
                <w:color w:val="000000" w:themeColor="text1"/>
              </w:rPr>
              <w:t>13) у статті 11:</w:t>
            </w:r>
          </w:p>
        </w:tc>
        <w:tc>
          <w:tcPr>
            <w:tcW w:w="3686" w:type="dxa"/>
          </w:tcPr>
          <w:p w14:paraId="7978637C" w14:textId="77777777" w:rsidR="008E6EDB" w:rsidRPr="00286216" w:rsidRDefault="008E6EDB" w:rsidP="008E6EDB">
            <w:pPr>
              <w:pStyle w:val="StyleProp"/>
              <w:rPr>
                <w:color w:val="000000" w:themeColor="text1"/>
                <w:szCs w:val="18"/>
              </w:rPr>
            </w:pPr>
          </w:p>
        </w:tc>
        <w:tc>
          <w:tcPr>
            <w:tcW w:w="1987" w:type="dxa"/>
          </w:tcPr>
          <w:p w14:paraId="1A8D93D2" w14:textId="77777777" w:rsidR="008E6EDB" w:rsidRPr="00286216" w:rsidRDefault="008E6EDB" w:rsidP="008E6EDB">
            <w:pPr>
              <w:pStyle w:val="StyleWisnow"/>
              <w:rPr>
                <w:color w:val="000000" w:themeColor="text1"/>
              </w:rPr>
            </w:pPr>
          </w:p>
        </w:tc>
        <w:tc>
          <w:tcPr>
            <w:tcW w:w="4818" w:type="dxa"/>
          </w:tcPr>
          <w:p w14:paraId="446C97DC" w14:textId="5E391F00" w:rsidR="008E6EDB" w:rsidRPr="00286216" w:rsidRDefault="008E6EDB" w:rsidP="008E6EDB">
            <w:pPr>
              <w:pStyle w:val="StyleZakonu"/>
              <w:rPr>
                <w:color w:val="000000" w:themeColor="text1"/>
              </w:rPr>
            </w:pPr>
            <w:r w:rsidRPr="00286216">
              <w:rPr>
                <w:color w:val="000000" w:themeColor="text1"/>
              </w:rPr>
              <w:t>14) у статті 11:</w:t>
            </w:r>
          </w:p>
        </w:tc>
      </w:tr>
      <w:tr w:rsidR="008E6EDB" w:rsidRPr="00286216" w14:paraId="4CF97BF1" w14:textId="77777777" w:rsidTr="00091AA5">
        <w:tc>
          <w:tcPr>
            <w:tcW w:w="576" w:type="dxa"/>
          </w:tcPr>
          <w:p w14:paraId="565E9D54" w14:textId="77777777" w:rsidR="008E6EDB" w:rsidRPr="00286216" w:rsidRDefault="008E6EDB" w:rsidP="008E6EDB">
            <w:pPr>
              <w:pStyle w:val="StyleWisnow"/>
              <w:rPr>
                <w:color w:val="000000" w:themeColor="text1"/>
              </w:rPr>
            </w:pPr>
            <w:bookmarkStart w:id="2940" w:name="n3069" w:colFirst="0" w:colLast="0"/>
            <w:bookmarkEnd w:id="2939"/>
            <w:r w:rsidRPr="00286216">
              <w:rPr>
                <w:color w:val="000000" w:themeColor="text1"/>
              </w:rPr>
              <w:t>3069.</w:t>
            </w:r>
          </w:p>
        </w:tc>
        <w:tc>
          <w:tcPr>
            <w:tcW w:w="4818" w:type="dxa"/>
          </w:tcPr>
          <w:p w14:paraId="06C68738" w14:textId="77777777" w:rsidR="008E6EDB" w:rsidRPr="00286216" w:rsidRDefault="008E6EDB" w:rsidP="008E6EDB">
            <w:pPr>
              <w:pStyle w:val="StyleZakonu"/>
              <w:rPr>
                <w:color w:val="000000" w:themeColor="text1"/>
              </w:rPr>
            </w:pPr>
            <w:r w:rsidRPr="00286216">
              <w:rPr>
                <w:color w:val="000000" w:themeColor="text1"/>
              </w:rPr>
              <w:t>а) у назві слова "ринку цінних паперів у системі накопичувального пенсійного забезпечення" замінити словами "ринках капіталу та/або організованих товарних ринках";</w:t>
            </w:r>
          </w:p>
        </w:tc>
        <w:tc>
          <w:tcPr>
            <w:tcW w:w="3686" w:type="dxa"/>
          </w:tcPr>
          <w:p w14:paraId="093E31CF" w14:textId="7B68EC8F" w:rsidR="008E6EDB" w:rsidRPr="00286216" w:rsidRDefault="008E6EDB" w:rsidP="008E6ED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1365</w:t>
            </w:r>
            <w:r w:rsidRPr="00286216">
              <w:rPr>
                <w:color w:val="000000" w:themeColor="text1"/>
                <w:spacing w:val="-10"/>
              </w:rPr>
              <w:fldChar w:fldCharType="end"/>
            </w:r>
            <w:r w:rsidRPr="00286216">
              <w:rPr>
                <w:color w:val="000000" w:themeColor="text1"/>
                <w:spacing w:val="-10"/>
              </w:rPr>
              <w:t>-Н.д.Гетманцев Д.О.(Реєстр.картка №245)</w:t>
            </w:r>
          </w:p>
          <w:p w14:paraId="32098A19" w14:textId="77777777" w:rsidR="008E6EDB" w:rsidRPr="00286216" w:rsidRDefault="008E6EDB" w:rsidP="008E6EDB">
            <w:pPr>
              <w:pStyle w:val="StyleProp"/>
              <w:rPr>
                <w:color w:val="000000" w:themeColor="text1"/>
              </w:rPr>
            </w:pPr>
            <w:r w:rsidRPr="00286216">
              <w:rPr>
                <w:color w:val="000000" w:themeColor="text1"/>
              </w:rPr>
              <w:t>У пункті 17 у підпункті 13 у підпункті «а» після слів «у назві слова» додати слова ««юридичних осіб» виключити, а слова»</w:t>
            </w:r>
          </w:p>
        </w:tc>
        <w:tc>
          <w:tcPr>
            <w:tcW w:w="1987" w:type="dxa"/>
          </w:tcPr>
          <w:p w14:paraId="3303A7E4"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2E4CA242" w14:textId="231FC3DC" w:rsidR="008E6EDB" w:rsidRPr="00286216" w:rsidRDefault="008E6EDB" w:rsidP="008E6EDB">
            <w:pPr>
              <w:pStyle w:val="StyleZakonu"/>
              <w:rPr>
                <w:color w:val="000000" w:themeColor="text1"/>
              </w:rPr>
            </w:pPr>
            <w:r w:rsidRPr="00286216">
              <w:rPr>
                <w:color w:val="000000" w:themeColor="text1"/>
              </w:rPr>
              <w:t>а) у назві слова "юридичних осіб" виключити, а слова "ринку цінних паперів та у системі накопичувального пенсійного забезпечення" замінити словами "ринках капіталу та/або організованих товарних ринках";</w:t>
            </w:r>
          </w:p>
        </w:tc>
      </w:tr>
      <w:tr w:rsidR="008E6EDB" w:rsidRPr="00286216" w14:paraId="0CFD5212" w14:textId="77777777" w:rsidTr="00091AA5">
        <w:tc>
          <w:tcPr>
            <w:tcW w:w="576" w:type="dxa"/>
          </w:tcPr>
          <w:p w14:paraId="1A14AEB6" w14:textId="77777777" w:rsidR="008E6EDB" w:rsidRPr="00286216" w:rsidRDefault="008E6EDB" w:rsidP="008E6EDB">
            <w:pPr>
              <w:pStyle w:val="StyleWisnow"/>
              <w:rPr>
                <w:color w:val="000000" w:themeColor="text1"/>
              </w:rPr>
            </w:pPr>
            <w:bookmarkStart w:id="2941" w:name="n3070" w:colFirst="0" w:colLast="0"/>
            <w:bookmarkEnd w:id="2940"/>
            <w:r w:rsidRPr="00286216">
              <w:rPr>
                <w:color w:val="000000" w:themeColor="text1"/>
              </w:rPr>
              <w:t>3070.</w:t>
            </w:r>
          </w:p>
        </w:tc>
        <w:tc>
          <w:tcPr>
            <w:tcW w:w="4818" w:type="dxa"/>
          </w:tcPr>
          <w:p w14:paraId="267F2DA6" w14:textId="77777777" w:rsidR="008E6EDB" w:rsidRPr="00286216" w:rsidRDefault="008E6EDB" w:rsidP="008E6EDB">
            <w:pPr>
              <w:pStyle w:val="StyleZakonu"/>
              <w:rPr>
                <w:color w:val="000000" w:themeColor="text1"/>
              </w:rPr>
            </w:pPr>
            <w:r w:rsidRPr="00286216">
              <w:rPr>
                <w:color w:val="000000" w:themeColor="text1"/>
              </w:rPr>
              <w:t>б) у частині першій:</w:t>
            </w:r>
          </w:p>
        </w:tc>
        <w:tc>
          <w:tcPr>
            <w:tcW w:w="3686" w:type="dxa"/>
          </w:tcPr>
          <w:p w14:paraId="7806EF40" w14:textId="77777777" w:rsidR="008E6EDB" w:rsidRPr="00286216" w:rsidRDefault="008E6EDB" w:rsidP="008E6EDB">
            <w:pPr>
              <w:pStyle w:val="StyleProp"/>
              <w:rPr>
                <w:color w:val="000000" w:themeColor="text1"/>
                <w:szCs w:val="18"/>
              </w:rPr>
            </w:pPr>
          </w:p>
        </w:tc>
        <w:tc>
          <w:tcPr>
            <w:tcW w:w="1987" w:type="dxa"/>
          </w:tcPr>
          <w:p w14:paraId="3D156210" w14:textId="77777777" w:rsidR="008E6EDB" w:rsidRPr="00286216" w:rsidRDefault="008E6EDB" w:rsidP="008E6EDB">
            <w:pPr>
              <w:pStyle w:val="StyleWisnow"/>
              <w:rPr>
                <w:color w:val="000000" w:themeColor="text1"/>
              </w:rPr>
            </w:pPr>
          </w:p>
        </w:tc>
        <w:tc>
          <w:tcPr>
            <w:tcW w:w="4818" w:type="dxa"/>
          </w:tcPr>
          <w:p w14:paraId="785FC45E" w14:textId="48FEB211" w:rsidR="008E6EDB" w:rsidRPr="00286216" w:rsidRDefault="008E6EDB" w:rsidP="008E6EDB">
            <w:pPr>
              <w:pStyle w:val="StyleZakonu"/>
              <w:rPr>
                <w:color w:val="000000" w:themeColor="text1"/>
              </w:rPr>
            </w:pPr>
            <w:r w:rsidRPr="00286216">
              <w:rPr>
                <w:color w:val="000000" w:themeColor="text1"/>
              </w:rPr>
              <w:t>б) у частині першій:</w:t>
            </w:r>
          </w:p>
        </w:tc>
      </w:tr>
      <w:tr w:rsidR="008E6EDB" w:rsidRPr="00286216" w14:paraId="3278E12A" w14:textId="77777777" w:rsidTr="00091AA5">
        <w:tc>
          <w:tcPr>
            <w:tcW w:w="576" w:type="dxa"/>
          </w:tcPr>
          <w:p w14:paraId="6D424332" w14:textId="77777777" w:rsidR="008E6EDB" w:rsidRPr="00286216" w:rsidRDefault="008E6EDB" w:rsidP="008E6EDB">
            <w:pPr>
              <w:pStyle w:val="StyleWisnow"/>
              <w:rPr>
                <w:color w:val="000000" w:themeColor="text1"/>
              </w:rPr>
            </w:pPr>
            <w:bookmarkStart w:id="2942" w:name="n3071" w:colFirst="0" w:colLast="0"/>
            <w:bookmarkEnd w:id="2941"/>
            <w:r w:rsidRPr="00286216">
              <w:rPr>
                <w:color w:val="000000" w:themeColor="text1"/>
              </w:rPr>
              <w:t>3071.</w:t>
            </w:r>
          </w:p>
        </w:tc>
        <w:tc>
          <w:tcPr>
            <w:tcW w:w="4818" w:type="dxa"/>
          </w:tcPr>
          <w:p w14:paraId="2218BA05" w14:textId="77777777" w:rsidR="008E6EDB" w:rsidRPr="00286216" w:rsidRDefault="008E6EDB" w:rsidP="008E6EDB">
            <w:pPr>
              <w:pStyle w:val="StyleZakonu"/>
              <w:rPr>
                <w:color w:val="000000" w:themeColor="text1"/>
              </w:rPr>
            </w:pPr>
            <w:r w:rsidRPr="00286216">
              <w:rPr>
                <w:color w:val="000000" w:themeColor="text1"/>
              </w:rPr>
              <w:t>абзац перший пункту 2 викласти у такій редакції:</w:t>
            </w:r>
          </w:p>
        </w:tc>
        <w:tc>
          <w:tcPr>
            <w:tcW w:w="3686" w:type="dxa"/>
          </w:tcPr>
          <w:p w14:paraId="29A5182D" w14:textId="77777777" w:rsidR="008E6EDB" w:rsidRPr="00286216" w:rsidRDefault="008E6EDB" w:rsidP="008E6EDB">
            <w:pPr>
              <w:pStyle w:val="StyleProp"/>
              <w:rPr>
                <w:color w:val="000000" w:themeColor="text1"/>
                <w:szCs w:val="18"/>
              </w:rPr>
            </w:pPr>
          </w:p>
        </w:tc>
        <w:tc>
          <w:tcPr>
            <w:tcW w:w="1987" w:type="dxa"/>
          </w:tcPr>
          <w:p w14:paraId="3D9D3F54" w14:textId="77777777" w:rsidR="008E6EDB" w:rsidRPr="00286216" w:rsidRDefault="008E6EDB" w:rsidP="008E6EDB">
            <w:pPr>
              <w:pStyle w:val="StyleWisnow"/>
              <w:rPr>
                <w:color w:val="000000" w:themeColor="text1"/>
              </w:rPr>
            </w:pPr>
          </w:p>
        </w:tc>
        <w:tc>
          <w:tcPr>
            <w:tcW w:w="4818" w:type="dxa"/>
          </w:tcPr>
          <w:p w14:paraId="54935035" w14:textId="61526DEF" w:rsidR="008E6EDB" w:rsidRPr="00286216" w:rsidRDefault="008E6EDB" w:rsidP="008E6EDB">
            <w:pPr>
              <w:pStyle w:val="StyleZakonu"/>
              <w:rPr>
                <w:color w:val="000000" w:themeColor="text1"/>
              </w:rPr>
            </w:pPr>
            <w:r w:rsidRPr="00286216">
              <w:rPr>
                <w:color w:val="000000" w:themeColor="text1"/>
              </w:rPr>
              <w:t>абзац перший пункту 2 викласти в такій редакції:</w:t>
            </w:r>
          </w:p>
        </w:tc>
      </w:tr>
      <w:tr w:rsidR="008E6EDB" w:rsidRPr="00286216" w14:paraId="30ACBA1A" w14:textId="77777777" w:rsidTr="00091AA5">
        <w:tc>
          <w:tcPr>
            <w:tcW w:w="576" w:type="dxa"/>
          </w:tcPr>
          <w:p w14:paraId="6262CEEA" w14:textId="77777777" w:rsidR="008E6EDB" w:rsidRPr="00286216" w:rsidRDefault="008E6EDB" w:rsidP="008E6EDB">
            <w:pPr>
              <w:pStyle w:val="StyleWisnow"/>
              <w:rPr>
                <w:color w:val="000000" w:themeColor="text1"/>
              </w:rPr>
            </w:pPr>
            <w:bookmarkStart w:id="2943" w:name="n3072" w:colFirst="0" w:colLast="0"/>
            <w:bookmarkEnd w:id="2942"/>
            <w:r w:rsidRPr="00286216">
              <w:rPr>
                <w:color w:val="000000" w:themeColor="text1"/>
              </w:rPr>
              <w:t>3072.</w:t>
            </w:r>
          </w:p>
        </w:tc>
        <w:tc>
          <w:tcPr>
            <w:tcW w:w="4818" w:type="dxa"/>
          </w:tcPr>
          <w:p w14:paraId="03A8CBDE" w14:textId="77777777" w:rsidR="008E6EDB" w:rsidRPr="00286216" w:rsidRDefault="008E6EDB" w:rsidP="008E6EDB">
            <w:pPr>
              <w:pStyle w:val="StyleZakonu"/>
              <w:rPr>
                <w:color w:val="000000" w:themeColor="text1"/>
              </w:rPr>
            </w:pPr>
            <w:r w:rsidRPr="00286216">
              <w:rPr>
                <w:color w:val="000000" w:themeColor="text1"/>
              </w:rPr>
              <w:t>"2) провадження професійної діяльності на ринках капіталу та/або організованих товарних ринках, що підлягає ліцензуванню відповідно до закону, без ліцензії на провадження окремих видів такої діяльності, провадження частини відповідного виду діяльності, що підлягає ліцензуванню, іншої ніж та, на яку надано ліцензію, або провадження професійної діяльності на ринках капіталу та/або організованих товарних ринках з порушенням умов ліцензування, -";</w:t>
            </w:r>
          </w:p>
        </w:tc>
        <w:tc>
          <w:tcPr>
            <w:tcW w:w="3686" w:type="dxa"/>
          </w:tcPr>
          <w:p w14:paraId="7DA1A37D" w14:textId="77777777" w:rsidR="008E6EDB" w:rsidRPr="00286216" w:rsidRDefault="008E6EDB" w:rsidP="008E6EDB">
            <w:pPr>
              <w:pStyle w:val="StyleProp"/>
              <w:rPr>
                <w:color w:val="000000" w:themeColor="text1"/>
                <w:szCs w:val="18"/>
              </w:rPr>
            </w:pPr>
          </w:p>
        </w:tc>
        <w:tc>
          <w:tcPr>
            <w:tcW w:w="1987" w:type="dxa"/>
          </w:tcPr>
          <w:p w14:paraId="3D09FA2E" w14:textId="77777777" w:rsidR="008E6EDB" w:rsidRPr="00286216" w:rsidRDefault="008E6EDB" w:rsidP="008E6EDB">
            <w:pPr>
              <w:pStyle w:val="StyleWisnow"/>
              <w:rPr>
                <w:color w:val="000000" w:themeColor="text1"/>
              </w:rPr>
            </w:pPr>
          </w:p>
        </w:tc>
        <w:tc>
          <w:tcPr>
            <w:tcW w:w="4818" w:type="dxa"/>
          </w:tcPr>
          <w:p w14:paraId="42CF95A5" w14:textId="4C6EA05C" w:rsidR="008E6EDB" w:rsidRPr="00286216" w:rsidRDefault="008E6EDB" w:rsidP="008E6EDB">
            <w:pPr>
              <w:pStyle w:val="StyleZakonu"/>
              <w:rPr>
                <w:color w:val="000000" w:themeColor="text1"/>
              </w:rPr>
            </w:pPr>
            <w:r w:rsidRPr="00286216">
              <w:rPr>
                <w:color w:val="000000" w:themeColor="text1"/>
              </w:rPr>
              <w:t xml:space="preserve">"2) </w:t>
            </w:r>
            <w:r w:rsidRPr="00286216">
              <w:rPr>
                <w:color w:val="000000" w:themeColor="text1"/>
                <w:szCs w:val="18"/>
              </w:rPr>
              <w:t>здійснення юридичною особою операції (операцій), пов’язаної (пов’язаних) з безпосереднім провадженням професійної діяльності на ринках капіталу та організованих товарних ринках, для здійснення якої (яких) необхідна наявність відповідної ліцензії, без ліцензії на провадження відповідного виду діяльності в межах такої професійної діяльності, або провадження відповідного виду діяльності, що підлягає ліцензуванню на підставі ліцензії, іншої ніж та, що надає право на провадження такого виду діяльності, або провадження професійної діяльності на ринках капіталу та організованих товарних ринках з порушенням умов ліцензування»;</w:t>
            </w:r>
          </w:p>
        </w:tc>
      </w:tr>
      <w:tr w:rsidR="008E6EDB" w:rsidRPr="00286216" w14:paraId="1C82FBB7" w14:textId="77777777" w:rsidTr="00091AA5">
        <w:tc>
          <w:tcPr>
            <w:tcW w:w="576" w:type="dxa"/>
          </w:tcPr>
          <w:p w14:paraId="6D6C4525" w14:textId="77777777" w:rsidR="008E6EDB" w:rsidRPr="00286216" w:rsidRDefault="008E6EDB" w:rsidP="008E6EDB">
            <w:pPr>
              <w:pStyle w:val="StyleWisnow"/>
              <w:rPr>
                <w:color w:val="000000" w:themeColor="text1"/>
              </w:rPr>
            </w:pPr>
            <w:bookmarkStart w:id="2944" w:name="n3073" w:colFirst="0" w:colLast="0"/>
            <w:bookmarkEnd w:id="2943"/>
            <w:r w:rsidRPr="00286216">
              <w:rPr>
                <w:color w:val="000000" w:themeColor="text1"/>
              </w:rPr>
              <w:t>3073.</w:t>
            </w:r>
          </w:p>
        </w:tc>
        <w:tc>
          <w:tcPr>
            <w:tcW w:w="4818" w:type="dxa"/>
          </w:tcPr>
          <w:p w14:paraId="6DA58424" w14:textId="77777777" w:rsidR="008E6EDB" w:rsidRPr="00286216" w:rsidRDefault="008E6EDB" w:rsidP="008E6EDB">
            <w:pPr>
              <w:pStyle w:val="StyleZakonu"/>
              <w:rPr>
                <w:color w:val="000000" w:themeColor="text1"/>
              </w:rPr>
            </w:pPr>
            <w:r w:rsidRPr="00286216">
              <w:rPr>
                <w:color w:val="000000" w:themeColor="text1"/>
              </w:rPr>
              <w:t xml:space="preserve">у пункті 4 слова "в цінні папери" замінити словами </w:t>
            </w:r>
            <w:r w:rsidRPr="00286216">
              <w:rPr>
                <w:color w:val="000000" w:themeColor="text1"/>
              </w:rPr>
              <w:lastRenderedPageBreak/>
              <w:t>"у фінансові інструменти";</w:t>
            </w:r>
          </w:p>
        </w:tc>
        <w:tc>
          <w:tcPr>
            <w:tcW w:w="3686" w:type="dxa"/>
          </w:tcPr>
          <w:p w14:paraId="01CB41E8" w14:textId="77777777" w:rsidR="008E6EDB" w:rsidRPr="00286216" w:rsidRDefault="008E6EDB" w:rsidP="008E6EDB">
            <w:pPr>
              <w:pStyle w:val="StyleProp"/>
              <w:rPr>
                <w:color w:val="000000" w:themeColor="text1"/>
                <w:szCs w:val="18"/>
              </w:rPr>
            </w:pPr>
          </w:p>
        </w:tc>
        <w:tc>
          <w:tcPr>
            <w:tcW w:w="1987" w:type="dxa"/>
          </w:tcPr>
          <w:p w14:paraId="6DAC1940" w14:textId="77777777" w:rsidR="008E6EDB" w:rsidRPr="00286216" w:rsidRDefault="008E6EDB" w:rsidP="008E6EDB">
            <w:pPr>
              <w:pStyle w:val="StyleWisnow"/>
              <w:rPr>
                <w:color w:val="000000" w:themeColor="text1"/>
              </w:rPr>
            </w:pPr>
          </w:p>
        </w:tc>
        <w:tc>
          <w:tcPr>
            <w:tcW w:w="4818" w:type="dxa"/>
          </w:tcPr>
          <w:p w14:paraId="7E51A063" w14:textId="787E6129" w:rsidR="008E6EDB" w:rsidRPr="00286216" w:rsidRDefault="008E6EDB" w:rsidP="008E6EDB">
            <w:pPr>
              <w:pStyle w:val="StyleZakonu"/>
              <w:rPr>
                <w:color w:val="000000" w:themeColor="text1"/>
              </w:rPr>
            </w:pPr>
            <w:r w:rsidRPr="00286216">
              <w:rPr>
                <w:color w:val="000000" w:themeColor="text1"/>
              </w:rPr>
              <w:t xml:space="preserve">у пункті 4 слова "в цінні папери" замінити словами </w:t>
            </w:r>
            <w:r w:rsidRPr="00286216">
              <w:rPr>
                <w:color w:val="000000" w:themeColor="text1"/>
              </w:rPr>
              <w:lastRenderedPageBreak/>
              <w:t>"у фінансові інструменти";</w:t>
            </w:r>
          </w:p>
        </w:tc>
      </w:tr>
      <w:tr w:rsidR="008E6EDB" w:rsidRPr="00286216" w14:paraId="615CDC3E" w14:textId="77777777" w:rsidTr="00091AA5">
        <w:tc>
          <w:tcPr>
            <w:tcW w:w="576" w:type="dxa"/>
          </w:tcPr>
          <w:p w14:paraId="67FF57CC" w14:textId="77777777" w:rsidR="008E6EDB" w:rsidRPr="00286216" w:rsidRDefault="008E6EDB" w:rsidP="008E6EDB">
            <w:pPr>
              <w:pStyle w:val="StyleWisnow"/>
              <w:rPr>
                <w:color w:val="000000" w:themeColor="text1"/>
              </w:rPr>
            </w:pPr>
            <w:bookmarkStart w:id="2945" w:name="n3074" w:colFirst="0" w:colLast="0"/>
            <w:bookmarkEnd w:id="2944"/>
            <w:r w:rsidRPr="00286216">
              <w:rPr>
                <w:color w:val="000000" w:themeColor="text1"/>
              </w:rPr>
              <w:lastRenderedPageBreak/>
              <w:t>3074.</w:t>
            </w:r>
          </w:p>
        </w:tc>
        <w:tc>
          <w:tcPr>
            <w:tcW w:w="4818" w:type="dxa"/>
          </w:tcPr>
          <w:p w14:paraId="49D80F6A" w14:textId="77777777" w:rsidR="008E6EDB" w:rsidRPr="00286216" w:rsidRDefault="008E6EDB" w:rsidP="008E6EDB">
            <w:pPr>
              <w:pStyle w:val="StyleZakonu"/>
              <w:rPr>
                <w:color w:val="000000" w:themeColor="text1"/>
              </w:rPr>
            </w:pPr>
            <w:r w:rsidRPr="00286216">
              <w:rPr>
                <w:color w:val="000000" w:themeColor="text1"/>
              </w:rPr>
              <w:t>доповнити частину після пункту 7 новим пунктом такого змісту:</w:t>
            </w:r>
          </w:p>
        </w:tc>
        <w:tc>
          <w:tcPr>
            <w:tcW w:w="3686" w:type="dxa"/>
          </w:tcPr>
          <w:p w14:paraId="00D43B57" w14:textId="77777777" w:rsidR="008E6EDB" w:rsidRPr="00286216" w:rsidRDefault="008E6EDB" w:rsidP="008E6EDB">
            <w:pPr>
              <w:pStyle w:val="StyleProp"/>
              <w:rPr>
                <w:color w:val="000000" w:themeColor="text1"/>
                <w:szCs w:val="18"/>
              </w:rPr>
            </w:pPr>
          </w:p>
        </w:tc>
        <w:tc>
          <w:tcPr>
            <w:tcW w:w="1987" w:type="dxa"/>
          </w:tcPr>
          <w:p w14:paraId="68F5264F" w14:textId="77777777" w:rsidR="008E6EDB" w:rsidRPr="00286216" w:rsidRDefault="008E6EDB" w:rsidP="008E6EDB">
            <w:pPr>
              <w:pStyle w:val="StyleWisnow"/>
              <w:rPr>
                <w:color w:val="000000" w:themeColor="text1"/>
              </w:rPr>
            </w:pPr>
          </w:p>
        </w:tc>
        <w:tc>
          <w:tcPr>
            <w:tcW w:w="4818" w:type="dxa"/>
          </w:tcPr>
          <w:p w14:paraId="1FCB9D43" w14:textId="114B9FF8" w:rsidR="008E6EDB" w:rsidRPr="00286216" w:rsidRDefault="008E6EDB" w:rsidP="008E6EDB">
            <w:pPr>
              <w:pStyle w:val="StyleZakonu"/>
              <w:rPr>
                <w:color w:val="000000" w:themeColor="text1"/>
              </w:rPr>
            </w:pPr>
            <w:r w:rsidRPr="00286216">
              <w:rPr>
                <w:color w:val="000000" w:themeColor="text1"/>
              </w:rPr>
              <w:t>доповнити пунктом 7</w:t>
            </w:r>
            <w:r w:rsidRPr="00286216">
              <w:rPr>
                <w:color w:val="000000" w:themeColor="text1"/>
                <w:vertAlign w:val="superscript"/>
              </w:rPr>
              <w:t>1</w:t>
            </w:r>
            <w:r w:rsidRPr="00286216">
              <w:rPr>
                <w:color w:val="000000" w:themeColor="text1"/>
              </w:rPr>
              <w:t xml:space="preserve"> такого змісту:</w:t>
            </w:r>
          </w:p>
        </w:tc>
      </w:tr>
      <w:tr w:rsidR="008E6EDB" w:rsidRPr="00286216" w14:paraId="672FEED4" w14:textId="77777777" w:rsidTr="00091AA5">
        <w:tc>
          <w:tcPr>
            <w:tcW w:w="576" w:type="dxa"/>
          </w:tcPr>
          <w:p w14:paraId="427A2C9C" w14:textId="77777777" w:rsidR="008E6EDB" w:rsidRPr="00286216" w:rsidRDefault="008E6EDB" w:rsidP="008E6EDB">
            <w:pPr>
              <w:pStyle w:val="StyleWisnow"/>
              <w:rPr>
                <w:color w:val="000000" w:themeColor="text1"/>
              </w:rPr>
            </w:pPr>
            <w:bookmarkStart w:id="2946" w:name="n3075" w:colFirst="0" w:colLast="0"/>
            <w:bookmarkEnd w:id="2945"/>
            <w:r w:rsidRPr="00286216">
              <w:rPr>
                <w:color w:val="000000" w:themeColor="text1"/>
              </w:rPr>
              <w:t>3075.</w:t>
            </w:r>
          </w:p>
        </w:tc>
        <w:tc>
          <w:tcPr>
            <w:tcW w:w="4818" w:type="dxa"/>
          </w:tcPr>
          <w:p w14:paraId="640E40B3" w14:textId="77777777" w:rsidR="008E6EDB" w:rsidRPr="00286216" w:rsidRDefault="008E6EDB" w:rsidP="008E6EDB">
            <w:pPr>
              <w:pStyle w:val="StyleZakonu"/>
              <w:rPr>
                <w:color w:val="000000" w:themeColor="text1"/>
              </w:rPr>
            </w:pPr>
            <w:r w:rsidRPr="00286216">
              <w:rPr>
                <w:color w:val="000000" w:themeColor="text1"/>
              </w:rPr>
              <w:t>"7</w:t>
            </w:r>
            <w:r w:rsidRPr="00286216">
              <w:rPr>
                <w:color w:val="000000" w:themeColor="text1"/>
                <w:vertAlign w:val="superscript"/>
              </w:rPr>
              <w:t>1</w:t>
            </w:r>
            <w:r w:rsidRPr="00286216">
              <w:rPr>
                <w:color w:val="000000" w:themeColor="text1"/>
              </w:rPr>
              <w:t>) неподання, подання не в повному обсязі інформації або подання недостовірної інформації емітентом облігацій або особою, яка надає забезпечення, обов’язок подання якої встановлено законодавством -</w:t>
            </w:r>
          </w:p>
        </w:tc>
        <w:tc>
          <w:tcPr>
            <w:tcW w:w="3686" w:type="dxa"/>
          </w:tcPr>
          <w:p w14:paraId="11D4FFAD" w14:textId="77777777" w:rsidR="008E6EDB" w:rsidRPr="00286216" w:rsidRDefault="008E6EDB" w:rsidP="008E6EDB">
            <w:pPr>
              <w:pStyle w:val="StyleProp"/>
              <w:rPr>
                <w:color w:val="000000" w:themeColor="text1"/>
                <w:szCs w:val="18"/>
              </w:rPr>
            </w:pPr>
          </w:p>
        </w:tc>
        <w:tc>
          <w:tcPr>
            <w:tcW w:w="1987" w:type="dxa"/>
          </w:tcPr>
          <w:p w14:paraId="336151DC" w14:textId="77777777" w:rsidR="008E6EDB" w:rsidRPr="00286216" w:rsidRDefault="008E6EDB" w:rsidP="008E6EDB">
            <w:pPr>
              <w:pStyle w:val="StyleWisnow"/>
              <w:rPr>
                <w:color w:val="000000" w:themeColor="text1"/>
              </w:rPr>
            </w:pPr>
          </w:p>
        </w:tc>
        <w:tc>
          <w:tcPr>
            <w:tcW w:w="4818" w:type="dxa"/>
          </w:tcPr>
          <w:p w14:paraId="378E3FBC" w14:textId="6DA86902" w:rsidR="008E6EDB" w:rsidRPr="00286216" w:rsidRDefault="008E6EDB" w:rsidP="008E6EDB">
            <w:pPr>
              <w:pStyle w:val="StyleZakonu"/>
              <w:rPr>
                <w:color w:val="000000" w:themeColor="text1"/>
              </w:rPr>
            </w:pPr>
            <w:r w:rsidRPr="00286216">
              <w:rPr>
                <w:color w:val="000000" w:themeColor="text1"/>
              </w:rPr>
              <w:t>"7</w:t>
            </w:r>
            <w:r w:rsidRPr="00286216">
              <w:rPr>
                <w:color w:val="000000" w:themeColor="text1"/>
                <w:vertAlign w:val="superscript"/>
              </w:rPr>
              <w:t>1</w:t>
            </w:r>
            <w:r w:rsidRPr="00286216">
              <w:rPr>
                <w:color w:val="000000" w:themeColor="text1"/>
              </w:rPr>
              <w:t>) неподання, подання не в повному обсязі інформації або подання недостовірної інформації емітентом облігацій або особою, яка надає забезпечення, обов’язок подання якої встановлено законодавством -</w:t>
            </w:r>
          </w:p>
        </w:tc>
      </w:tr>
      <w:tr w:rsidR="008E6EDB" w:rsidRPr="00286216" w14:paraId="3A454867" w14:textId="77777777" w:rsidTr="00091AA5">
        <w:tc>
          <w:tcPr>
            <w:tcW w:w="576" w:type="dxa"/>
          </w:tcPr>
          <w:p w14:paraId="34EA2B8F" w14:textId="77777777" w:rsidR="008E6EDB" w:rsidRPr="00286216" w:rsidRDefault="008E6EDB" w:rsidP="008E6EDB">
            <w:pPr>
              <w:pStyle w:val="StyleWisnow"/>
              <w:rPr>
                <w:color w:val="000000" w:themeColor="text1"/>
              </w:rPr>
            </w:pPr>
            <w:bookmarkStart w:id="2947" w:name="n3076" w:colFirst="0" w:colLast="0"/>
            <w:bookmarkEnd w:id="2946"/>
            <w:r w:rsidRPr="00286216">
              <w:rPr>
                <w:color w:val="000000" w:themeColor="text1"/>
              </w:rPr>
              <w:t>3076.</w:t>
            </w:r>
          </w:p>
        </w:tc>
        <w:tc>
          <w:tcPr>
            <w:tcW w:w="4818" w:type="dxa"/>
          </w:tcPr>
          <w:p w14:paraId="1695E00C" w14:textId="77777777" w:rsidR="008E6EDB" w:rsidRPr="00286216" w:rsidRDefault="008E6EDB" w:rsidP="008E6EDB">
            <w:pPr>
              <w:pStyle w:val="StyleZakonu"/>
              <w:rPr>
                <w:color w:val="000000" w:themeColor="text1"/>
              </w:rPr>
            </w:pPr>
            <w:r w:rsidRPr="00286216">
              <w:rPr>
                <w:color w:val="000000" w:themeColor="text1"/>
              </w:rPr>
              <w:t>у розмірі до тисячі неоподатковуваних мінімумів доходів громадян.</w:t>
            </w:r>
          </w:p>
        </w:tc>
        <w:tc>
          <w:tcPr>
            <w:tcW w:w="3686" w:type="dxa"/>
          </w:tcPr>
          <w:p w14:paraId="0EC0F0B3" w14:textId="77777777" w:rsidR="008E6EDB" w:rsidRPr="00286216" w:rsidRDefault="008E6EDB" w:rsidP="008E6EDB">
            <w:pPr>
              <w:pStyle w:val="StyleProp"/>
              <w:rPr>
                <w:color w:val="000000" w:themeColor="text1"/>
                <w:szCs w:val="18"/>
              </w:rPr>
            </w:pPr>
          </w:p>
        </w:tc>
        <w:tc>
          <w:tcPr>
            <w:tcW w:w="1987" w:type="dxa"/>
          </w:tcPr>
          <w:p w14:paraId="1ADEA951" w14:textId="77777777" w:rsidR="008E6EDB" w:rsidRPr="00286216" w:rsidRDefault="008E6EDB" w:rsidP="008E6EDB">
            <w:pPr>
              <w:pStyle w:val="StyleWisnow"/>
              <w:rPr>
                <w:color w:val="000000" w:themeColor="text1"/>
              </w:rPr>
            </w:pPr>
          </w:p>
        </w:tc>
        <w:tc>
          <w:tcPr>
            <w:tcW w:w="4818" w:type="dxa"/>
          </w:tcPr>
          <w:p w14:paraId="6B125B4B" w14:textId="2DA7EDA9"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r>
      <w:tr w:rsidR="008E6EDB" w:rsidRPr="00286216" w14:paraId="5879AA0A" w14:textId="77777777" w:rsidTr="00091AA5">
        <w:tc>
          <w:tcPr>
            <w:tcW w:w="576" w:type="dxa"/>
          </w:tcPr>
          <w:p w14:paraId="0EF77083" w14:textId="77777777" w:rsidR="008E6EDB" w:rsidRPr="00286216" w:rsidRDefault="008E6EDB" w:rsidP="008E6EDB">
            <w:pPr>
              <w:pStyle w:val="StyleWisnow"/>
              <w:rPr>
                <w:color w:val="000000" w:themeColor="text1"/>
              </w:rPr>
            </w:pPr>
            <w:bookmarkStart w:id="2948" w:name="n3077" w:colFirst="0" w:colLast="0"/>
            <w:bookmarkEnd w:id="2947"/>
            <w:r w:rsidRPr="00286216">
              <w:rPr>
                <w:color w:val="000000" w:themeColor="text1"/>
              </w:rPr>
              <w:t>3077.</w:t>
            </w:r>
          </w:p>
        </w:tc>
        <w:tc>
          <w:tcPr>
            <w:tcW w:w="4818" w:type="dxa"/>
          </w:tcPr>
          <w:p w14:paraId="45A403F1"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403810CA" w14:textId="77777777" w:rsidR="008E6EDB" w:rsidRPr="00286216" w:rsidRDefault="008E6EDB" w:rsidP="008E6EDB">
            <w:pPr>
              <w:pStyle w:val="StyleProp"/>
              <w:rPr>
                <w:color w:val="000000" w:themeColor="text1"/>
                <w:szCs w:val="18"/>
              </w:rPr>
            </w:pPr>
          </w:p>
        </w:tc>
        <w:tc>
          <w:tcPr>
            <w:tcW w:w="1987" w:type="dxa"/>
          </w:tcPr>
          <w:p w14:paraId="41E8DFDD" w14:textId="77777777" w:rsidR="008E6EDB" w:rsidRPr="00286216" w:rsidRDefault="008E6EDB" w:rsidP="008E6EDB">
            <w:pPr>
              <w:pStyle w:val="StyleWisnow"/>
              <w:rPr>
                <w:color w:val="000000" w:themeColor="text1"/>
              </w:rPr>
            </w:pPr>
          </w:p>
        </w:tc>
        <w:tc>
          <w:tcPr>
            <w:tcW w:w="4818" w:type="dxa"/>
          </w:tcPr>
          <w:p w14:paraId="1DE0E9E5" w14:textId="47044E06"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7ACE4AB7" w14:textId="77777777" w:rsidTr="00091AA5">
        <w:tc>
          <w:tcPr>
            <w:tcW w:w="576" w:type="dxa"/>
          </w:tcPr>
          <w:p w14:paraId="4E7D3625" w14:textId="77777777" w:rsidR="008E6EDB" w:rsidRPr="00286216" w:rsidRDefault="008E6EDB" w:rsidP="008E6EDB">
            <w:pPr>
              <w:pStyle w:val="StyleWisnow"/>
              <w:rPr>
                <w:color w:val="000000" w:themeColor="text1"/>
              </w:rPr>
            </w:pPr>
            <w:bookmarkStart w:id="2949" w:name="n3078" w:colFirst="0" w:colLast="0"/>
            <w:bookmarkEnd w:id="2948"/>
            <w:r w:rsidRPr="00286216">
              <w:rPr>
                <w:color w:val="000000" w:themeColor="text1"/>
              </w:rPr>
              <w:t>3078.</w:t>
            </w:r>
          </w:p>
        </w:tc>
        <w:tc>
          <w:tcPr>
            <w:tcW w:w="4818" w:type="dxa"/>
          </w:tcPr>
          <w:p w14:paraId="34931497" w14:textId="77777777" w:rsidR="008E6EDB" w:rsidRPr="00286216" w:rsidRDefault="008E6EDB" w:rsidP="008E6EDB">
            <w:pPr>
              <w:pStyle w:val="StyleZakonu"/>
              <w:rPr>
                <w:color w:val="000000" w:themeColor="text1"/>
              </w:rPr>
            </w:pPr>
            <w:r w:rsidRPr="00286216">
              <w:rPr>
                <w:color w:val="000000" w:themeColor="text1"/>
              </w:rPr>
              <w:t>у розмірі від тисячі до п’яти тисяч неоподатковуваних мінімумів доходів громадян; ";</w:t>
            </w:r>
          </w:p>
        </w:tc>
        <w:tc>
          <w:tcPr>
            <w:tcW w:w="3686" w:type="dxa"/>
          </w:tcPr>
          <w:p w14:paraId="0989B4F5" w14:textId="77777777" w:rsidR="008E6EDB" w:rsidRPr="00286216" w:rsidRDefault="008E6EDB" w:rsidP="008E6EDB">
            <w:pPr>
              <w:pStyle w:val="StyleProp"/>
              <w:rPr>
                <w:color w:val="000000" w:themeColor="text1"/>
                <w:szCs w:val="18"/>
              </w:rPr>
            </w:pPr>
          </w:p>
        </w:tc>
        <w:tc>
          <w:tcPr>
            <w:tcW w:w="1987" w:type="dxa"/>
          </w:tcPr>
          <w:p w14:paraId="02EFD527" w14:textId="77777777" w:rsidR="008E6EDB" w:rsidRPr="00286216" w:rsidRDefault="008E6EDB" w:rsidP="008E6EDB">
            <w:pPr>
              <w:pStyle w:val="StyleWisnow"/>
              <w:rPr>
                <w:color w:val="000000" w:themeColor="text1"/>
              </w:rPr>
            </w:pPr>
          </w:p>
        </w:tc>
        <w:tc>
          <w:tcPr>
            <w:tcW w:w="4818" w:type="dxa"/>
          </w:tcPr>
          <w:p w14:paraId="45D0EAD8" w14:textId="1A0260D2"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r>
      <w:tr w:rsidR="008E6EDB" w:rsidRPr="00286216" w14:paraId="15C48811" w14:textId="77777777" w:rsidTr="00091AA5">
        <w:tc>
          <w:tcPr>
            <w:tcW w:w="576" w:type="dxa"/>
          </w:tcPr>
          <w:p w14:paraId="5715550D" w14:textId="77777777" w:rsidR="008E6EDB" w:rsidRPr="00286216" w:rsidRDefault="008E6EDB" w:rsidP="008E6EDB">
            <w:pPr>
              <w:pStyle w:val="StyleWisnow"/>
              <w:rPr>
                <w:color w:val="000000" w:themeColor="text1"/>
              </w:rPr>
            </w:pPr>
            <w:bookmarkStart w:id="2950" w:name="n3079" w:colFirst="0" w:colLast="0"/>
            <w:bookmarkEnd w:id="2949"/>
            <w:r w:rsidRPr="00286216">
              <w:rPr>
                <w:color w:val="000000" w:themeColor="text1"/>
              </w:rPr>
              <w:t>3079.</w:t>
            </w:r>
          </w:p>
        </w:tc>
        <w:tc>
          <w:tcPr>
            <w:tcW w:w="4818" w:type="dxa"/>
          </w:tcPr>
          <w:p w14:paraId="686CB640" w14:textId="77777777" w:rsidR="008E6EDB" w:rsidRPr="00286216" w:rsidRDefault="008E6EDB" w:rsidP="008E6EDB">
            <w:pPr>
              <w:pStyle w:val="StyleZakonu"/>
              <w:rPr>
                <w:color w:val="000000" w:themeColor="text1"/>
              </w:rPr>
            </w:pPr>
            <w:r w:rsidRPr="00286216">
              <w:rPr>
                <w:color w:val="000000" w:themeColor="text1"/>
              </w:rPr>
              <w:t>у пункті 8 слова "на ринку цінних паперів" замінити словами "про ринки капіталу та організовані товарні ринки, ";</w:t>
            </w:r>
          </w:p>
        </w:tc>
        <w:tc>
          <w:tcPr>
            <w:tcW w:w="3686" w:type="dxa"/>
          </w:tcPr>
          <w:p w14:paraId="2D98AFFC" w14:textId="77777777" w:rsidR="008E6EDB" w:rsidRPr="00286216" w:rsidRDefault="008E6EDB" w:rsidP="008E6EDB">
            <w:pPr>
              <w:pStyle w:val="StyleProp"/>
              <w:rPr>
                <w:color w:val="000000" w:themeColor="text1"/>
                <w:szCs w:val="18"/>
              </w:rPr>
            </w:pPr>
          </w:p>
        </w:tc>
        <w:tc>
          <w:tcPr>
            <w:tcW w:w="1987" w:type="dxa"/>
          </w:tcPr>
          <w:p w14:paraId="55A41E41" w14:textId="77777777" w:rsidR="008E6EDB" w:rsidRPr="00286216" w:rsidRDefault="008E6EDB" w:rsidP="008E6EDB">
            <w:pPr>
              <w:pStyle w:val="StyleWisnow"/>
              <w:rPr>
                <w:color w:val="000000" w:themeColor="text1"/>
              </w:rPr>
            </w:pPr>
          </w:p>
        </w:tc>
        <w:tc>
          <w:tcPr>
            <w:tcW w:w="4818" w:type="dxa"/>
          </w:tcPr>
          <w:p w14:paraId="142976F0" w14:textId="57889687" w:rsidR="008E6EDB" w:rsidRPr="00286216" w:rsidRDefault="008E6EDB" w:rsidP="008E6EDB">
            <w:pPr>
              <w:pStyle w:val="StyleZakonu"/>
              <w:rPr>
                <w:color w:val="000000" w:themeColor="text1"/>
              </w:rPr>
            </w:pPr>
            <w:r w:rsidRPr="00286216">
              <w:rPr>
                <w:color w:val="000000" w:themeColor="text1"/>
              </w:rPr>
              <w:t>у пункті 8 слова "на ринку цінних паперів" замінити словами "про ринки капіталу та організовані товарні ринки";</w:t>
            </w:r>
          </w:p>
        </w:tc>
      </w:tr>
      <w:tr w:rsidR="008E6EDB" w:rsidRPr="00286216" w14:paraId="1ABA7F9D" w14:textId="77777777" w:rsidTr="00091AA5">
        <w:tc>
          <w:tcPr>
            <w:tcW w:w="576" w:type="dxa"/>
          </w:tcPr>
          <w:p w14:paraId="2FA4B477" w14:textId="77777777" w:rsidR="008E6EDB" w:rsidRPr="00286216" w:rsidRDefault="008E6EDB" w:rsidP="008E6EDB">
            <w:pPr>
              <w:pStyle w:val="StyleWisnow"/>
              <w:rPr>
                <w:color w:val="000000" w:themeColor="text1"/>
              </w:rPr>
            </w:pPr>
            <w:bookmarkStart w:id="2951" w:name="n3080" w:colFirst="0" w:colLast="0"/>
            <w:bookmarkEnd w:id="2950"/>
            <w:r w:rsidRPr="00286216">
              <w:rPr>
                <w:color w:val="000000" w:themeColor="text1"/>
              </w:rPr>
              <w:t>3080.</w:t>
            </w:r>
          </w:p>
        </w:tc>
        <w:tc>
          <w:tcPr>
            <w:tcW w:w="4818" w:type="dxa"/>
          </w:tcPr>
          <w:p w14:paraId="5CAC0D39" w14:textId="77777777" w:rsidR="008E6EDB" w:rsidRPr="00286216" w:rsidRDefault="008E6EDB" w:rsidP="008E6EDB">
            <w:pPr>
              <w:pStyle w:val="StyleZakonu"/>
              <w:rPr>
                <w:color w:val="000000" w:themeColor="text1"/>
              </w:rPr>
            </w:pPr>
            <w:r w:rsidRPr="00286216">
              <w:rPr>
                <w:color w:val="000000" w:themeColor="text1"/>
              </w:rPr>
              <w:t>доповнити частину після пункту 9 двома пунктами такого змісту:</w:t>
            </w:r>
          </w:p>
        </w:tc>
        <w:tc>
          <w:tcPr>
            <w:tcW w:w="3686" w:type="dxa"/>
          </w:tcPr>
          <w:p w14:paraId="4F84354C" w14:textId="77777777" w:rsidR="008E6EDB" w:rsidRPr="00286216" w:rsidRDefault="008E6EDB" w:rsidP="008E6EDB">
            <w:pPr>
              <w:pStyle w:val="StyleProp"/>
              <w:rPr>
                <w:color w:val="000000" w:themeColor="text1"/>
                <w:szCs w:val="18"/>
              </w:rPr>
            </w:pPr>
          </w:p>
        </w:tc>
        <w:tc>
          <w:tcPr>
            <w:tcW w:w="1987" w:type="dxa"/>
          </w:tcPr>
          <w:p w14:paraId="1DFD8C8A" w14:textId="77777777" w:rsidR="008E6EDB" w:rsidRPr="00286216" w:rsidRDefault="008E6EDB" w:rsidP="008E6EDB">
            <w:pPr>
              <w:pStyle w:val="StyleWisnow"/>
              <w:rPr>
                <w:color w:val="000000" w:themeColor="text1"/>
              </w:rPr>
            </w:pPr>
          </w:p>
        </w:tc>
        <w:tc>
          <w:tcPr>
            <w:tcW w:w="4818" w:type="dxa"/>
          </w:tcPr>
          <w:p w14:paraId="23053B23" w14:textId="0FE6D960" w:rsidR="008E6EDB" w:rsidRPr="00286216" w:rsidRDefault="008E6EDB" w:rsidP="00630147">
            <w:pPr>
              <w:pStyle w:val="StyleZakonu"/>
              <w:rPr>
                <w:color w:val="000000" w:themeColor="text1"/>
              </w:rPr>
            </w:pPr>
            <w:r w:rsidRPr="00286216">
              <w:rPr>
                <w:color w:val="000000" w:themeColor="text1"/>
              </w:rPr>
              <w:t>доповнити пунктами 9</w:t>
            </w:r>
            <w:r w:rsidRPr="00286216">
              <w:rPr>
                <w:color w:val="000000" w:themeColor="text1"/>
                <w:vertAlign w:val="superscript"/>
              </w:rPr>
              <w:t>1</w:t>
            </w:r>
            <w:r w:rsidRPr="00286216">
              <w:rPr>
                <w:color w:val="000000" w:themeColor="text1"/>
              </w:rPr>
              <w:t xml:space="preserve"> і 9</w:t>
            </w:r>
            <w:r w:rsidRPr="00286216">
              <w:rPr>
                <w:color w:val="000000" w:themeColor="text1"/>
                <w:vertAlign w:val="superscript"/>
              </w:rPr>
              <w:t>2</w:t>
            </w:r>
            <w:r w:rsidRPr="00286216">
              <w:rPr>
                <w:color w:val="000000" w:themeColor="text1"/>
              </w:rPr>
              <w:t xml:space="preserve">  такого змісту:</w:t>
            </w:r>
          </w:p>
        </w:tc>
      </w:tr>
      <w:tr w:rsidR="008E6EDB" w:rsidRPr="00286216" w14:paraId="77A864F1" w14:textId="77777777" w:rsidTr="00091AA5">
        <w:tc>
          <w:tcPr>
            <w:tcW w:w="576" w:type="dxa"/>
          </w:tcPr>
          <w:p w14:paraId="7FBE71F6" w14:textId="77777777" w:rsidR="008E6EDB" w:rsidRPr="00286216" w:rsidRDefault="008E6EDB" w:rsidP="008E6EDB">
            <w:pPr>
              <w:pStyle w:val="StyleWisnow"/>
              <w:rPr>
                <w:color w:val="000000" w:themeColor="text1"/>
              </w:rPr>
            </w:pPr>
            <w:bookmarkStart w:id="2952" w:name="n3081" w:colFirst="0" w:colLast="0"/>
            <w:bookmarkEnd w:id="2951"/>
            <w:r w:rsidRPr="00286216">
              <w:rPr>
                <w:color w:val="000000" w:themeColor="text1"/>
              </w:rPr>
              <w:t>3081.</w:t>
            </w:r>
          </w:p>
        </w:tc>
        <w:tc>
          <w:tcPr>
            <w:tcW w:w="4818" w:type="dxa"/>
          </w:tcPr>
          <w:p w14:paraId="4826F8F5" w14:textId="77777777"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1</w:t>
            </w:r>
            <w:r w:rsidRPr="00286216">
              <w:rPr>
                <w:color w:val="000000" w:themeColor="text1"/>
              </w:rPr>
              <w:t>) порушення адміністратором за випуском облігацій або особою, відповідальною за проведення зборів власників облігацій, своїх обов’язків, передбачених законодавством, -</w:t>
            </w:r>
          </w:p>
        </w:tc>
        <w:tc>
          <w:tcPr>
            <w:tcW w:w="3686" w:type="dxa"/>
          </w:tcPr>
          <w:p w14:paraId="1A299BF5" w14:textId="77777777" w:rsidR="008E6EDB" w:rsidRPr="00286216" w:rsidRDefault="008E6EDB" w:rsidP="008E6EDB">
            <w:pPr>
              <w:pStyle w:val="StyleProp"/>
              <w:rPr>
                <w:color w:val="000000" w:themeColor="text1"/>
                <w:szCs w:val="18"/>
              </w:rPr>
            </w:pPr>
          </w:p>
        </w:tc>
        <w:tc>
          <w:tcPr>
            <w:tcW w:w="1987" w:type="dxa"/>
          </w:tcPr>
          <w:p w14:paraId="4950CE62" w14:textId="77777777" w:rsidR="008E6EDB" w:rsidRPr="00286216" w:rsidRDefault="008E6EDB" w:rsidP="008E6EDB">
            <w:pPr>
              <w:pStyle w:val="StyleWisnow"/>
              <w:rPr>
                <w:color w:val="000000" w:themeColor="text1"/>
              </w:rPr>
            </w:pPr>
          </w:p>
        </w:tc>
        <w:tc>
          <w:tcPr>
            <w:tcW w:w="4818" w:type="dxa"/>
          </w:tcPr>
          <w:p w14:paraId="3C0A7146" w14:textId="3F23031F"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1</w:t>
            </w:r>
            <w:r w:rsidRPr="00286216">
              <w:rPr>
                <w:color w:val="000000" w:themeColor="text1"/>
              </w:rPr>
              <w:t>) порушення адміністратором за випуском облігацій або особою, відповідальною за проведення зборів власників облігацій, своїх обов’язків, передбачених законодавством, -</w:t>
            </w:r>
          </w:p>
        </w:tc>
      </w:tr>
      <w:tr w:rsidR="008E6EDB" w:rsidRPr="00286216" w14:paraId="1AF17BBF" w14:textId="77777777" w:rsidTr="00091AA5">
        <w:tc>
          <w:tcPr>
            <w:tcW w:w="576" w:type="dxa"/>
          </w:tcPr>
          <w:p w14:paraId="12355B94" w14:textId="77777777" w:rsidR="008E6EDB" w:rsidRPr="00286216" w:rsidRDefault="008E6EDB" w:rsidP="008E6EDB">
            <w:pPr>
              <w:pStyle w:val="StyleWisnow"/>
              <w:rPr>
                <w:color w:val="000000" w:themeColor="text1"/>
              </w:rPr>
            </w:pPr>
            <w:bookmarkStart w:id="2953" w:name="n3082" w:colFirst="0" w:colLast="0"/>
            <w:bookmarkEnd w:id="2952"/>
            <w:r w:rsidRPr="00286216">
              <w:rPr>
                <w:color w:val="000000" w:themeColor="text1"/>
              </w:rPr>
              <w:t>3082.</w:t>
            </w:r>
          </w:p>
        </w:tc>
        <w:tc>
          <w:tcPr>
            <w:tcW w:w="4818" w:type="dxa"/>
          </w:tcPr>
          <w:p w14:paraId="2406F124" w14:textId="77777777" w:rsidR="008E6EDB" w:rsidRPr="00286216" w:rsidRDefault="008E6EDB" w:rsidP="008E6EDB">
            <w:pPr>
              <w:pStyle w:val="StyleZakonu"/>
              <w:rPr>
                <w:color w:val="000000" w:themeColor="text1"/>
              </w:rPr>
            </w:pPr>
            <w:r w:rsidRPr="00286216">
              <w:rPr>
                <w:color w:val="000000" w:themeColor="text1"/>
              </w:rPr>
              <w:t>у розмірі до тисячі неоподатковуваних мінімумів доходів громадян.</w:t>
            </w:r>
          </w:p>
        </w:tc>
        <w:tc>
          <w:tcPr>
            <w:tcW w:w="3686" w:type="dxa"/>
          </w:tcPr>
          <w:p w14:paraId="395DCAA5" w14:textId="77777777" w:rsidR="008E6EDB" w:rsidRPr="00286216" w:rsidRDefault="008E6EDB" w:rsidP="008E6EDB">
            <w:pPr>
              <w:pStyle w:val="StyleProp"/>
              <w:rPr>
                <w:color w:val="000000" w:themeColor="text1"/>
                <w:szCs w:val="18"/>
              </w:rPr>
            </w:pPr>
          </w:p>
        </w:tc>
        <w:tc>
          <w:tcPr>
            <w:tcW w:w="1987" w:type="dxa"/>
          </w:tcPr>
          <w:p w14:paraId="5E33EA3D" w14:textId="77777777" w:rsidR="008E6EDB" w:rsidRPr="00286216" w:rsidRDefault="008E6EDB" w:rsidP="008E6EDB">
            <w:pPr>
              <w:pStyle w:val="StyleWisnow"/>
              <w:rPr>
                <w:color w:val="000000" w:themeColor="text1"/>
              </w:rPr>
            </w:pPr>
          </w:p>
        </w:tc>
        <w:tc>
          <w:tcPr>
            <w:tcW w:w="4818" w:type="dxa"/>
          </w:tcPr>
          <w:p w14:paraId="08AE1F3F" w14:textId="3095C528"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r>
      <w:tr w:rsidR="008E6EDB" w:rsidRPr="00286216" w14:paraId="06BEDA58" w14:textId="77777777" w:rsidTr="00091AA5">
        <w:tc>
          <w:tcPr>
            <w:tcW w:w="576" w:type="dxa"/>
          </w:tcPr>
          <w:p w14:paraId="3D250948" w14:textId="77777777" w:rsidR="008E6EDB" w:rsidRPr="00286216" w:rsidRDefault="008E6EDB" w:rsidP="008E6EDB">
            <w:pPr>
              <w:pStyle w:val="StyleWisnow"/>
              <w:rPr>
                <w:color w:val="000000" w:themeColor="text1"/>
              </w:rPr>
            </w:pPr>
            <w:bookmarkStart w:id="2954" w:name="n3083" w:colFirst="0" w:colLast="0"/>
            <w:bookmarkEnd w:id="2953"/>
            <w:r w:rsidRPr="00286216">
              <w:rPr>
                <w:color w:val="000000" w:themeColor="text1"/>
              </w:rPr>
              <w:t>3083.</w:t>
            </w:r>
          </w:p>
        </w:tc>
        <w:tc>
          <w:tcPr>
            <w:tcW w:w="4818" w:type="dxa"/>
          </w:tcPr>
          <w:p w14:paraId="50E1E027"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04611F93" w14:textId="77777777" w:rsidR="008E6EDB" w:rsidRPr="00286216" w:rsidRDefault="008E6EDB" w:rsidP="008E6EDB">
            <w:pPr>
              <w:pStyle w:val="StyleProp"/>
              <w:rPr>
                <w:color w:val="000000" w:themeColor="text1"/>
                <w:szCs w:val="18"/>
              </w:rPr>
            </w:pPr>
          </w:p>
        </w:tc>
        <w:tc>
          <w:tcPr>
            <w:tcW w:w="1987" w:type="dxa"/>
          </w:tcPr>
          <w:p w14:paraId="1D04F0FE" w14:textId="77777777" w:rsidR="008E6EDB" w:rsidRPr="00286216" w:rsidRDefault="008E6EDB" w:rsidP="008E6EDB">
            <w:pPr>
              <w:pStyle w:val="StyleWisnow"/>
              <w:rPr>
                <w:color w:val="000000" w:themeColor="text1"/>
              </w:rPr>
            </w:pPr>
          </w:p>
        </w:tc>
        <w:tc>
          <w:tcPr>
            <w:tcW w:w="4818" w:type="dxa"/>
          </w:tcPr>
          <w:p w14:paraId="619E08A7" w14:textId="6C12A0F6"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0835C193" w14:textId="77777777" w:rsidTr="00091AA5">
        <w:tc>
          <w:tcPr>
            <w:tcW w:w="576" w:type="dxa"/>
          </w:tcPr>
          <w:p w14:paraId="62CB161E" w14:textId="77777777" w:rsidR="008E6EDB" w:rsidRPr="00286216" w:rsidRDefault="008E6EDB" w:rsidP="008E6EDB">
            <w:pPr>
              <w:pStyle w:val="StyleWisnow"/>
              <w:rPr>
                <w:color w:val="000000" w:themeColor="text1"/>
              </w:rPr>
            </w:pPr>
            <w:bookmarkStart w:id="2955" w:name="n3084" w:colFirst="0" w:colLast="0"/>
            <w:bookmarkEnd w:id="2954"/>
            <w:r w:rsidRPr="00286216">
              <w:rPr>
                <w:color w:val="000000" w:themeColor="text1"/>
              </w:rPr>
              <w:t>3084.</w:t>
            </w:r>
          </w:p>
        </w:tc>
        <w:tc>
          <w:tcPr>
            <w:tcW w:w="4818" w:type="dxa"/>
          </w:tcPr>
          <w:p w14:paraId="241C66ED" w14:textId="77777777" w:rsidR="008E6EDB" w:rsidRPr="00286216" w:rsidRDefault="008E6EDB" w:rsidP="008E6EDB">
            <w:pPr>
              <w:pStyle w:val="StyleZakonu"/>
              <w:rPr>
                <w:color w:val="000000" w:themeColor="text1"/>
              </w:rPr>
            </w:pPr>
            <w:r w:rsidRPr="00286216">
              <w:rPr>
                <w:color w:val="000000" w:themeColor="text1"/>
              </w:rPr>
              <w:t>у розмірі від тисячі до п’яти тисяч неоподатковуваних мінімумів доходів громадян;</w:t>
            </w:r>
          </w:p>
        </w:tc>
        <w:tc>
          <w:tcPr>
            <w:tcW w:w="3686" w:type="dxa"/>
          </w:tcPr>
          <w:p w14:paraId="70A54665" w14:textId="77777777" w:rsidR="008E6EDB" w:rsidRPr="00286216" w:rsidRDefault="008E6EDB" w:rsidP="008E6EDB">
            <w:pPr>
              <w:pStyle w:val="StyleProp"/>
              <w:rPr>
                <w:color w:val="000000" w:themeColor="text1"/>
                <w:szCs w:val="18"/>
              </w:rPr>
            </w:pPr>
          </w:p>
        </w:tc>
        <w:tc>
          <w:tcPr>
            <w:tcW w:w="1987" w:type="dxa"/>
          </w:tcPr>
          <w:p w14:paraId="0F8A88A8" w14:textId="77777777" w:rsidR="008E6EDB" w:rsidRPr="00286216" w:rsidRDefault="008E6EDB" w:rsidP="008E6EDB">
            <w:pPr>
              <w:pStyle w:val="StyleWisnow"/>
              <w:rPr>
                <w:color w:val="000000" w:themeColor="text1"/>
              </w:rPr>
            </w:pPr>
          </w:p>
        </w:tc>
        <w:tc>
          <w:tcPr>
            <w:tcW w:w="4818" w:type="dxa"/>
          </w:tcPr>
          <w:p w14:paraId="50A9412A" w14:textId="5DE49AC0"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r>
      <w:tr w:rsidR="008E6EDB" w:rsidRPr="00286216" w14:paraId="0C330BAF" w14:textId="77777777" w:rsidTr="00091AA5">
        <w:tc>
          <w:tcPr>
            <w:tcW w:w="576" w:type="dxa"/>
          </w:tcPr>
          <w:p w14:paraId="114FEBAA" w14:textId="77777777" w:rsidR="008E6EDB" w:rsidRPr="00286216" w:rsidRDefault="008E6EDB" w:rsidP="008E6EDB">
            <w:pPr>
              <w:pStyle w:val="StyleWisnow"/>
              <w:rPr>
                <w:color w:val="000000" w:themeColor="text1"/>
              </w:rPr>
            </w:pPr>
            <w:bookmarkStart w:id="2956" w:name="n3085" w:colFirst="0" w:colLast="0"/>
            <w:bookmarkEnd w:id="2955"/>
            <w:r w:rsidRPr="00286216">
              <w:rPr>
                <w:color w:val="000000" w:themeColor="text1"/>
              </w:rPr>
              <w:t>3085.</w:t>
            </w:r>
          </w:p>
        </w:tc>
        <w:tc>
          <w:tcPr>
            <w:tcW w:w="4818" w:type="dxa"/>
          </w:tcPr>
          <w:p w14:paraId="42108245" w14:textId="77777777"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2</w:t>
            </w:r>
            <w:r w:rsidRPr="00286216">
              <w:rPr>
                <w:color w:val="000000" w:themeColor="text1"/>
              </w:rPr>
              <w:t>) порушення емітентом облігацій свого обов’язку щодо призначення адміністратора за випуском облігацій (у тому числі у зв’язку із зміною адміністратора за випуском облігацій у випадках, передбачених законодавством), а також порушення обов’язку щодо реєстрації змін до проспекту цінних паперів (рішення про емісію цінних паперів), -</w:t>
            </w:r>
          </w:p>
        </w:tc>
        <w:tc>
          <w:tcPr>
            <w:tcW w:w="3686" w:type="dxa"/>
          </w:tcPr>
          <w:p w14:paraId="0E625CAC" w14:textId="77777777" w:rsidR="008E6EDB" w:rsidRPr="00286216" w:rsidRDefault="008E6EDB" w:rsidP="008E6EDB">
            <w:pPr>
              <w:pStyle w:val="StyleProp"/>
              <w:rPr>
                <w:color w:val="000000" w:themeColor="text1"/>
                <w:szCs w:val="18"/>
              </w:rPr>
            </w:pPr>
          </w:p>
        </w:tc>
        <w:tc>
          <w:tcPr>
            <w:tcW w:w="1987" w:type="dxa"/>
          </w:tcPr>
          <w:p w14:paraId="6E89F086" w14:textId="77777777" w:rsidR="008E6EDB" w:rsidRPr="00286216" w:rsidRDefault="008E6EDB" w:rsidP="008E6EDB">
            <w:pPr>
              <w:pStyle w:val="StyleWisnow"/>
              <w:rPr>
                <w:color w:val="000000" w:themeColor="text1"/>
              </w:rPr>
            </w:pPr>
          </w:p>
        </w:tc>
        <w:tc>
          <w:tcPr>
            <w:tcW w:w="4818" w:type="dxa"/>
          </w:tcPr>
          <w:p w14:paraId="3CDD2DCE" w14:textId="0CD42AF8" w:rsidR="008E6EDB" w:rsidRPr="00286216" w:rsidRDefault="008E6EDB" w:rsidP="008E6EDB">
            <w:pPr>
              <w:pStyle w:val="StyleZakonu"/>
              <w:rPr>
                <w:color w:val="000000" w:themeColor="text1"/>
              </w:rPr>
            </w:pPr>
            <w:r w:rsidRPr="00286216">
              <w:rPr>
                <w:color w:val="000000" w:themeColor="text1"/>
              </w:rPr>
              <w:t>9</w:t>
            </w:r>
            <w:r w:rsidRPr="00286216">
              <w:rPr>
                <w:color w:val="000000" w:themeColor="text1"/>
                <w:vertAlign w:val="superscript"/>
              </w:rPr>
              <w:t>2</w:t>
            </w:r>
            <w:r w:rsidRPr="00286216">
              <w:rPr>
                <w:color w:val="000000" w:themeColor="text1"/>
              </w:rPr>
              <w:t>) порушення емітентом облігацій свого обов’язку щодо призначення адміністратора за випуском облігацій (у тому числі у зв’язку із зміною адміністратора за випуском облігацій у випадках, передбачених законодавством), а також порушення обов’язку щодо реєстрації змін до проспекту цінних паперів (рішення про емісію цінних паперів), -</w:t>
            </w:r>
          </w:p>
        </w:tc>
      </w:tr>
      <w:tr w:rsidR="008E6EDB" w:rsidRPr="00286216" w14:paraId="6F9145C8" w14:textId="77777777" w:rsidTr="00091AA5">
        <w:tc>
          <w:tcPr>
            <w:tcW w:w="576" w:type="dxa"/>
          </w:tcPr>
          <w:p w14:paraId="1D53F5DE" w14:textId="77777777" w:rsidR="008E6EDB" w:rsidRPr="00286216" w:rsidRDefault="008E6EDB" w:rsidP="008E6EDB">
            <w:pPr>
              <w:pStyle w:val="StyleWisnow"/>
              <w:rPr>
                <w:color w:val="000000" w:themeColor="text1"/>
              </w:rPr>
            </w:pPr>
            <w:bookmarkStart w:id="2957" w:name="n3086" w:colFirst="0" w:colLast="0"/>
            <w:bookmarkEnd w:id="2956"/>
            <w:r w:rsidRPr="00286216">
              <w:rPr>
                <w:color w:val="000000" w:themeColor="text1"/>
              </w:rPr>
              <w:t>3086.</w:t>
            </w:r>
          </w:p>
        </w:tc>
        <w:tc>
          <w:tcPr>
            <w:tcW w:w="4818" w:type="dxa"/>
          </w:tcPr>
          <w:p w14:paraId="390C0F74" w14:textId="77777777" w:rsidR="008E6EDB" w:rsidRPr="00286216" w:rsidRDefault="008E6EDB" w:rsidP="008E6EDB">
            <w:pPr>
              <w:pStyle w:val="StyleZakonu"/>
              <w:rPr>
                <w:color w:val="000000" w:themeColor="text1"/>
              </w:rPr>
            </w:pPr>
            <w:r w:rsidRPr="00286216">
              <w:rPr>
                <w:color w:val="000000" w:themeColor="text1"/>
              </w:rPr>
              <w:t>у розмірі до тисячі неоподатковуваних мінімумів доходів громадян.</w:t>
            </w:r>
          </w:p>
        </w:tc>
        <w:tc>
          <w:tcPr>
            <w:tcW w:w="3686" w:type="dxa"/>
          </w:tcPr>
          <w:p w14:paraId="1EB9ABC3" w14:textId="77777777" w:rsidR="008E6EDB" w:rsidRPr="00286216" w:rsidRDefault="008E6EDB" w:rsidP="008E6EDB">
            <w:pPr>
              <w:pStyle w:val="StyleProp"/>
              <w:rPr>
                <w:color w:val="000000" w:themeColor="text1"/>
                <w:szCs w:val="18"/>
              </w:rPr>
            </w:pPr>
          </w:p>
        </w:tc>
        <w:tc>
          <w:tcPr>
            <w:tcW w:w="1987" w:type="dxa"/>
          </w:tcPr>
          <w:p w14:paraId="53FF0A6A" w14:textId="77777777" w:rsidR="008E6EDB" w:rsidRPr="00286216" w:rsidRDefault="008E6EDB" w:rsidP="008E6EDB">
            <w:pPr>
              <w:pStyle w:val="StyleWisnow"/>
              <w:rPr>
                <w:color w:val="000000" w:themeColor="text1"/>
              </w:rPr>
            </w:pPr>
          </w:p>
        </w:tc>
        <w:tc>
          <w:tcPr>
            <w:tcW w:w="4818" w:type="dxa"/>
          </w:tcPr>
          <w:p w14:paraId="7A3F75A5" w14:textId="6E1DDBC9"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r>
      <w:tr w:rsidR="008E6EDB" w:rsidRPr="00286216" w14:paraId="5BD28F11" w14:textId="77777777" w:rsidTr="00091AA5">
        <w:tc>
          <w:tcPr>
            <w:tcW w:w="576" w:type="dxa"/>
          </w:tcPr>
          <w:p w14:paraId="332EF9D3" w14:textId="77777777" w:rsidR="008E6EDB" w:rsidRPr="00286216" w:rsidRDefault="008E6EDB" w:rsidP="008E6EDB">
            <w:pPr>
              <w:pStyle w:val="StyleWisnow"/>
              <w:rPr>
                <w:color w:val="000000" w:themeColor="text1"/>
              </w:rPr>
            </w:pPr>
            <w:bookmarkStart w:id="2958" w:name="n3087" w:colFirst="0" w:colLast="0"/>
            <w:bookmarkEnd w:id="2957"/>
            <w:r w:rsidRPr="00286216">
              <w:rPr>
                <w:color w:val="000000" w:themeColor="text1"/>
              </w:rPr>
              <w:t>3087.</w:t>
            </w:r>
          </w:p>
        </w:tc>
        <w:tc>
          <w:tcPr>
            <w:tcW w:w="4818" w:type="dxa"/>
          </w:tcPr>
          <w:p w14:paraId="2C32EA59"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385511E1" w14:textId="77777777" w:rsidR="008E6EDB" w:rsidRPr="00286216" w:rsidRDefault="008E6EDB" w:rsidP="008E6EDB">
            <w:pPr>
              <w:pStyle w:val="StyleProp"/>
              <w:rPr>
                <w:color w:val="000000" w:themeColor="text1"/>
                <w:szCs w:val="18"/>
              </w:rPr>
            </w:pPr>
          </w:p>
        </w:tc>
        <w:tc>
          <w:tcPr>
            <w:tcW w:w="1987" w:type="dxa"/>
          </w:tcPr>
          <w:p w14:paraId="329BAB66" w14:textId="77777777" w:rsidR="008E6EDB" w:rsidRPr="00286216" w:rsidRDefault="008E6EDB" w:rsidP="008E6EDB">
            <w:pPr>
              <w:pStyle w:val="StyleWisnow"/>
              <w:rPr>
                <w:color w:val="000000" w:themeColor="text1"/>
              </w:rPr>
            </w:pPr>
          </w:p>
        </w:tc>
        <w:tc>
          <w:tcPr>
            <w:tcW w:w="4818" w:type="dxa"/>
          </w:tcPr>
          <w:p w14:paraId="190B268C" w14:textId="45B03012"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57E5870A" w14:textId="77777777" w:rsidTr="00091AA5">
        <w:tc>
          <w:tcPr>
            <w:tcW w:w="576" w:type="dxa"/>
          </w:tcPr>
          <w:p w14:paraId="37C76095" w14:textId="77777777" w:rsidR="008E6EDB" w:rsidRPr="00286216" w:rsidRDefault="008E6EDB" w:rsidP="008E6EDB">
            <w:pPr>
              <w:pStyle w:val="StyleWisnow"/>
              <w:rPr>
                <w:color w:val="000000" w:themeColor="text1"/>
              </w:rPr>
            </w:pPr>
            <w:bookmarkStart w:id="2959" w:name="n3088" w:colFirst="0" w:colLast="0"/>
            <w:bookmarkEnd w:id="2958"/>
            <w:r w:rsidRPr="00286216">
              <w:rPr>
                <w:color w:val="000000" w:themeColor="text1"/>
              </w:rPr>
              <w:t>3088.</w:t>
            </w:r>
          </w:p>
        </w:tc>
        <w:tc>
          <w:tcPr>
            <w:tcW w:w="4818" w:type="dxa"/>
          </w:tcPr>
          <w:p w14:paraId="76D1130F" w14:textId="77777777" w:rsidR="008E6EDB" w:rsidRPr="00286216" w:rsidRDefault="008E6EDB" w:rsidP="008E6EDB">
            <w:pPr>
              <w:pStyle w:val="StyleZakonu"/>
              <w:rPr>
                <w:color w:val="000000" w:themeColor="text1"/>
              </w:rPr>
            </w:pPr>
            <w:r w:rsidRPr="00286216">
              <w:rPr>
                <w:color w:val="000000" w:themeColor="text1"/>
              </w:rPr>
              <w:t>у розмірі від тисячі до п’яти тисяч неоподатковуваних мінімумів доходів громадян; ";</w:t>
            </w:r>
          </w:p>
        </w:tc>
        <w:tc>
          <w:tcPr>
            <w:tcW w:w="3686" w:type="dxa"/>
          </w:tcPr>
          <w:p w14:paraId="4DD52BF9" w14:textId="77777777" w:rsidR="008E6EDB" w:rsidRPr="00286216" w:rsidRDefault="008E6EDB" w:rsidP="008E6EDB">
            <w:pPr>
              <w:pStyle w:val="StyleProp"/>
              <w:rPr>
                <w:color w:val="000000" w:themeColor="text1"/>
                <w:szCs w:val="18"/>
              </w:rPr>
            </w:pPr>
          </w:p>
        </w:tc>
        <w:tc>
          <w:tcPr>
            <w:tcW w:w="1987" w:type="dxa"/>
          </w:tcPr>
          <w:p w14:paraId="0604BD50" w14:textId="77777777" w:rsidR="008E6EDB" w:rsidRPr="00286216" w:rsidRDefault="008E6EDB" w:rsidP="008E6EDB">
            <w:pPr>
              <w:pStyle w:val="StyleWisnow"/>
              <w:rPr>
                <w:color w:val="000000" w:themeColor="text1"/>
              </w:rPr>
            </w:pPr>
          </w:p>
        </w:tc>
        <w:tc>
          <w:tcPr>
            <w:tcW w:w="4818" w:type="dxa"/>
          </w:tcPr>
          <w:p w14:paraId="7EDF4EF8" w14:textId="5B17F259"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r>
      <w:tr w:rsidR="008E6EDB" w:rsidRPr="00286216" w14:paraId="7EA82079" w14:textId="77777777" w:rsidTr="00091AA5">
        <w:tc>
          <w:tcPr>
            <w:tcW w:w="576" w:type="dxa"/>
          </w:tcPr>
          <w:p w14:paraId="1B7A69B8" w14:textId="77777777" w:rsidR="008E6EDB" w:rsidRPr="00286216" w:rsidRDefault="008E6EDB" w:rsidP="008E6EDB">
            <w:pPr>
              <w:pStyle w:val="StyleWisnow"/>
              <w:rPr>
                <w:color w:val="000000" w:themeColor="text1"/>
              </w:rPr>
            </w:pPr>
            <w:bookmarkStart w:id="2960" w:name="n3089" w:colFirst="0" w:colLast="0"/>
            <w:bookmarkEnd w:id="2959"/>
            <w:r w:rsidRPr="00286216">
              <w:rPr>
                <w:color w:val="000000" w:themeColor="text1"/>
              </w:rPr>
              <w:t>3089.</w:t>
            </w:r>
          </w:p>
        </w:tc>
        <w:tc>
          <w:tcPr>
            <w:tcW w:w="4818" w:type="dxa"/>
          </w:tcPr>
          <w:p w14:paraId="42367E94" w14:textId="77777777" w:rsidR="008E6EDB" w:rsidRPr="00286216" w:rsidRDefault="008E6EDB" w:rsidP="008E6EDB">
            <w:pPr>
              <w:pStyle w:val="StyleZakonu"/>
              <w:rPr>
                <w:color w:val="000000" w:themeColor="text1"/>
              </w:rPr>
            </w:pPr>
            <w:r w:rsidRPr="00286216">
              <w:rPr>
                <w:color w:val="000000" w:themeColor="text1"/>
              </w:rPr>
              <w:t>у пункті 11 слова "фондовому ринку" замінити словами "організованих ринках";</w:t>
            </w:r>
          </w:p>
        </w:tc>
        <w:tc>
          <w:tcPr>
            <w:tcW w:w="3686" w:type="dxa"/>
          </w:tcPr>
          <w:p w14:paraId="3FA2B939" w14:textId="77777777" w:rsidR="008E6EDB" w:rsidRPr="00286216" w:rsidRDefault="008E6EDB" w:rsidP="008E6EDB">
            <w:pPr>
              <w:pStyle w:val="StyleProp"/>
              <w:rPr>
                <w:color w:val="000000" w:themeColor="text1"/>
                <w:szCs w:val="18"/>
              </w:rPr>
            </w:pPr>
          </w:p>
        </w:tc>
        <w:tc>
          <w:tcPr>
            <w:tcW w:w="1987" w:type="dxa"/>
          </w:tcPr>
          <w:p w14:paraId="60A8A828" w14:textId="77777777" w:rsidR="008E6EDB" w:rsidRPr="00286216" w:rsidRDefault="008E6EDB" w:rsidP="008E6EDB">
            <w:pPr>
              <w:pStyle w:val="StyleWisnow"/>
              <w:rPr>
                <w:color w:val="000000" w:themeColor="text1"/>
              </w:rPr>
            </w:pPr>
          </w:p>
        </w:tc>
        <w:tc>
          <w:tcPr>
            <w:tcW w:w="4818" w:type="dxa"/>
          </w:tcPr>
          <w:p w14:paraId="4147E850" w14:textId="17A6C1BD" w:rsidR="008E6EDB" w:rsidRPr="00286216" w:rsidRDefault="008E6EDB" w:rsidP="008E6EDB">
            <w:pPr>
              <w:pStyle w:val="StyleZakonu"/>
              <w:rPr>
                <w:color w:val="000000" w:themeColor="text1"/>
              </w:rPr>
            </w:pPr>
            <w:r w:rsidRPr="00286216">
              <w:rPr>
                <w:color w:val="000000" w:themeColor="text1"/>
              </w:rPr>
              <w:t>у пункті 11 слова "фондовому ринку" замінити словами "організованих ринках";</w:t>
            </w:r>
          </w:p>
        </w:tc>
      </w:tr>
      <w:tr w:rsidR="008E6EDB" w:rsidRPr="00286216" w14:paraId="64B1576A" w14:textId="77777777" w:rsidTr="00091AA5">
        <w:tc>
          <w:tcPr>
            <w:tcW w:w="576" w:type="dxa"/>
          </w:tcPr>
          <w:p w14:paraId="12F2B2E1" w14:textId="77777777" w:rsidR="008E6EDB" w:rsidRPr="00286216" w:rsidRDefault="008E6EDB" w:rsidP="008E6EDB">
            <w:pPr>
              <w:pStyle w:val="StyleWisnow"/>
              <w:rPr>
                <w:color w:val="000000" w:themeColor="text1"/>
              </w:rPr>
            </w:pPr>
            <w:bookmarkStart w:id="2961" w:name="n3090" w:colFirst="0" w:colLast="0"/>
            <w:bookmarkEnd w:id="2960"/>
            <w:r w:rsidRPr="00286216">
              <w:rPr>
                <w:color w:val="000000" w:themeColor="text1"/>
              </w:rPr>
              <w:lastRenderedPageBreak/>
              <w:t>3090.</w:t>
            </w:r>
          </w:p>
        </w:tc>
        <w:tc>
          <w:tcPr>
            <w:tcW w:w="4818" w:type="dxa"/>
          </w:tcPr>
          <w:p w14:paraId="03C50B07" w14:textId="77777777" w:rsidR="008E6EDB" w:rsidRPr="00286216" w:rsidRDefault="008E6EDB" w:rsidP="008E6EDB">
            <w:pPr>
              <w:pStyle w:val="StyleZakonu"/>
              <w:rPr>
                <w:color w:val="000000" w:themeColor="text1"/>
              </w:rPr>
            </w:pPr>
            <w:r w:rsidRPr="00286216">
              <w:rPr>
                <w:color w:val="000000" w:themeColor="text1"/>
              </w:rPr>
              <w:t>у пункті 12 слова "цінних паперів чи похідних (деривативів)" та "цінних паперів чи похідних (деривативів)" замінити словами "фінансових інструментів";</w:t>
            </w:r>
          </w:p>
        </w:tc>
        <w:tc>
          <w:tcPr>
            <w:tcW w:w="3686" w:type="dxa"/>
          </w:tcPr>
          <w:p w14:paraId="3944C23E" w14:textId="77777777" w:rsidR="008E6EDB" w:rsidRPr="00286216" w:rsidRDefault="008E6EDB" w:rsidP="008E6EDB">
            <w:pPr>
              <w:pStyle w:val="StyleProp"/>
              <w:rPr>
                <w:color w:val="000000" w:themeColor="text1"/>
                <w:szCs w:val="18"/>
              </w:rPr>
            </w:pPr>
          </w:p>
        </w:tc>
        <w:tc>
          <w:tcPr>
            <w:tcW w:w="1987" w:type="dxa"/>
          </w:tcPr>
          <w:p w14:paraId="1DDC8EEE" w14:textId="77777777" w:rsidR="008E6EDB" w:rsidRPr="00286216" w:rsidRDefault="008E6EDB" w:rsidP="008E6EDB">
            <w:pPr>
              <w:pStyle w:val="StyleWisnow"/>
              <w:rPr>
                <w:color w:val="000000" w:themeColor="text1"/>
              </w:rPr>
            </w:pPr>
          </w:p>
        </w:tc>
        <w:tc>
          <w:tcPr>
            <w:tcW w:w="4818" w:type="dxa"/>
          </w:tcPr>
          <w:p w14:paraId="31640219" w14:textId="3D7E64EE" w:rsidR="008E6EDB" w:rsidRPr="00286216" w:rsidRDefault="008E6EDB" w:rsidP="008E6EDB">
            <w:pPr>
              <w:pStyle w:val="StyleZakonu"/>
              <w:rPr>
                <w:color w:val="000000" w:themeColor="text1"/>
              </w:rPr>
            </w:pPr>
            <w:r w:rsidRPr="00286216">
              <w:rPr>
                <w:color w:val="000000" w:themeColor="text1"/>
              </w:rPr>
              <w:t>у пункті 12 слова "цінних паперів чи похідних (деривативів)" та "цінних паперів чи похідних (деривативів)" замінити словами "фінансових інструментів";</w:t>
            </w:r>
          </w:p>
        </w:tc>
      </w:tr>
      <w:tr w:rsidR="008E6EDB" w:rsidRPr="00286216" w14:paraId="506DE6FE" w14:textId="77777777" w:rsidTr="00091AA5">
        <w:tc>
          <w:tcPr>
            <w:tcW w:w="576" w:type="dxa"/>
          </w:tcPr>
          <w:p w14:paraId="027371A7" w14:textId="77777777" w:rsidR="008E6EDB" w:rsidRPr="00286216" w:rsidRDefault="008E6EDB" w:rsidP="008E6EDB">
            <w:pPr>
              <w:pStyle w:val="StyleWisnow"/>
              <w:rPr>
                <w:color w:val="000000" w:themeColor="text1"/>
              </w:rPr>
            </w:pPr>
            <w:bookmarkStart w:id="2962" w:name="n3091" w:colFirst="0" w:colLast="0"/>
            <w:bookmarkEnd w:id="2961"/>
            <w:r w:rsidRPr="00286216">
              <w:rPr>
                <w:color w:val="000000" w:themeColor="text1"/>
              </w:rPr>
              <w:t>3091.</w:t>
            </w:r>
          </w:p>
        </w:tc>
        <w:tc>
          <w:tcPr>
            <w:tcW w:w="4818" w:type="dxa"/>
          </w:tcPr>
          <w:p w14:paraId="21DBB59D" w14:textId="77777777" w:rsidR="008E6EDB" w:rsidRPr="00286216" w:rsidRDefault="008E6EDB" w:rsidP="008E6EDB">
            <w:pPr>
              <w:pStyle w:val="StyleZakonu"/>
              <w:rPr>
                <w:color w:val="000000" w:themeColor="text1"/>
              </w:rPr>
            </w:pPr>
            <w:r w:rsidRPr="00286216">
              <w:rPr>
                <w:color w:val="000000" w:themeColor="text1"/>
              </w:rPr>
              <w:t>пункти 13 та 14 викласти в такій редакції:</w:t>
            </w:r>
          </w:p>
        </w:tc>
        <w:tc>
          <w:tcPr>
            <w:tcW w:w="3686" w:type="dxa"/>
          </w:tcPr>
          <w:p w14:paraId="04D30662" w14:textId="77777777" w:rsidR="008E6EDB" w:rsidRPr="00286216" w:rsidRDefault="008E6EDB" w:rsidP="008E6EDB">
            <w:pPr>
              <w:pStyle w:val="StyleProp"/>
              <w:rPr>
                <w:color w:val="000000" w:themeColor="text1"/>
                <w:szCs w:val="18"/>
              </w:rPr>
            </w:pPr>
          </w:p>
        </w:tc>
        <w:tc>
          <w:tcPr>
            <w:tcW w:w="1987" w:type="dxa"/>
          </w:tcPr>
          <w:p w14:paraId="2EA88684" w14:textId="77777777" w:rsidR="008E6EDB" w:rsidRPr="00286216" w:rsidRDefault="008E6EDB" w:rsidP="008E6EDB">
            <w:pPr>
              <w:pStyle w:val="StyleWisnow"/>
              <w:rPr>
                <w:color w:val="000000" w:themeColor="text1"/>
              </w:rPr>
            </w:pPr>
          </w:p>
        </w:tc>
        <w:tc>
          <w:tcPr>
            <w:tcW w:w="4818" w:type="dxa"/>
          </w:tcPr>
          <w:p w14:paraId="123D302D" w14:textId="63161701" w:rsidR="008E6EDB" w:rsidRPr="00286216" w:rsidRDefault="008E6EDB" w:rsidP="008E6EDB">
            <w:pPr>
              <w:pStyle w:val="StyleZakonu"/>
              <w:rPr>
                <w:color w:val="000000" w:themeColor="text1"/>
              </w:rPr>
            </w:pPr>
            <w:r w:rsidRPr="00286216">
              <w:rPr>
                <w:color w:val="000000" w:themeColor="text1"/>
              </w:rPr>
              <w:t>пункти 13 та 14 викласти в такій редакції:</w:t>
            </w:r>
          </w:p>
        </w:tc>
      </w:tr>
      <w:tr w:rsidR="008E6EDB" w:rsidRPr="00286216" w14:paraId="5F86BA66" w14:textId="77777777" w:rsidTr="00091AA5">
        <w:tc>
          <w:tcPr>
            <w:tcW w:w="576" w:type="dxa"/>
          </w:tcPr>
          <w:p w14:paraId="23438467" w14:textId="77777777" w:rsidR="008E6EDB" w:rsidRPr="00286216" w:rsidRDefault="008E6EDB" w:rsidP="008E6EDB">
            <w:pPr>
              <w:pStyle w:val="StyleWisnow"/>
              <w:rPr>
                <w:color w:val="000000" w:themeColor="text1"/>
              </w:rPr>
            </w:pPr>
            <w:bookmarkStart w:id="2963" w:name="n3092" w:colFirst="0" w:colLast="0"/>
            <w:bookmarkEnd w:id="2962"/>
            <w:r w:rsidRPr="00286216">
              <w:rPr>
                <w:color w:val="000000" w:themeColor="text1"/>
              </w:rPr>
              <w:t>3092.</w:t>
            </w:r>
          </w:p>
        </w:tc>
        <w:tc>
          <w:tcPr>
            <w:tcW w:w="4818" w:type="dxa"/>
          </w:tcPr>
          <w:p w14:paraId="703B2CFF" w14:textId="77777777" w:rsidR="008E6EDB" w:rsidRPr="00286216" w:rsidRDefault="008E6EDB" w:rsidP="008E6EDB">
            <w:pPr>
              <w:pStyle w:val="StyleZakonu"/>
              <w:rPr>
                <w:color w:val="000000" w:themeColor="text1"/>
              </w:rPr>
            </w:pPr>
            <w:r w:rsidRPr="00286216">
              <w:rPr>
                <w:color w:val="000000" w:themeColor="text1"/>
              </w:rPr>
              <w:t>"13) невиконання умов проспекту цінних паперів, затвердженого у встановленому порядку, або рішення про емісію цінних паперів, випуск яких зареєстровано у встановленому порядку, -</w:t>
            </w:r>
          </w:p>
        </w:tc>
        <w:tc>
          <w:tcPr>
            <w:tcW w:w="3686" w:type="dxa"/>
          </w:tcPr>
          <w:p w14:paraId="293A1AB7" w14:textId="77777777" w:rsidR="008E6EDB" w:rsidRPr="00286216" w:rsidRDefault="008E6EDB" w:rsidP="008E6EDB">
            <w:pPr>
              <w:pStyle w:val="StyleProp"/>
              <w:rPr>
                <w:color w:val="000000" w:themeColor="text1"/>
                <w:szCs w:val="18"/>
              </w:rPr>
            </w:pPr>
          </w:p>
        </w:tc>
        <w:tc>
          <w:tcPr>
            <w:tcW w:w="1987" w:type="dxa"/>
          </w:tcPr>
          <w:p w14:paraId="351F9D7F" w14:textId="77777777" w:rsidR="008E6EDB" w:rsidRPr="00286216" w:rsidRDefault="008E6EDB" w:rsidP="008E6EDB">
            <w:pPr>
              <w:pStyle w:val="StyleWisnow"/>
              <w:rPr>
                <w:color w:val="000000" w:themeColor="text1"/>
              </w:rPr>
            </w:pPr>
          </w:p>
        </w:tc>
        <w:tc>
          <w:tcPr>
            <w:tcW w:w="4818" w:type="dxa"/>
          </w:tcPr>
          <w:p w14:paraId="18E9E1C3" w14:textId="259E77D6" w:rsidR="008E6EDB" w:rsidRPr="00286216" w:rsidRDefault="008E6EDB" w:rsidP="008E6EDB">
            <w:pPr>
              <w:pStyle w:val="StyleZakonu"/>
              <w:rPr>
                <w:color w:val="000000" w:themeColor="text1"/>
              </w:rPr>
            </w:pPr>
            <w:r w:rsidRPr="00286216">
              <w:rPr>
                <w:color w:val="000000" w:themeColor="text1"/>
              </w:rPr>
              <w:t>"13) невиконання умов проспекту цінних паперів, затвердженого у встановленому порядку, або рішення про емісію цінних паперів, випуск яких зареєстровано у встановленому порядку, -</w:t>
            </w:r>
          </w:p>
        </w:tc>
      </w:tr>
      <w:tr w:rsidR="008E6EDB" w:rsidRPr="00286216" w14:paraId="0B1B8460" w14:textId="77777777" w:rsidTr="00091AA5">
        <w:tc>
          <w:tcPr>
            <w:tcW w:w="576" w:type="dxa"/>
          </w:tcPr>
          <w:p w14:paraId="4EA9BC9C" w14:textId="77777777" w:rsidR="008E6EDB" w:rsidRPr="00286216" w:rsidRDefault="008E6EDB" w:rsidP="008E6EDB">
            <w:pPr>
              <w:pStyle w:val="StyleWisnow"/>
              <w:rPr>
                <w:color w:val="000000" w:themeColor="text1"/>
              </w:rPr>
            </w:pPr>
            <w:bookmarkStart w:id="2964" w:name="n3093" w:colFirst="0" w:colLast="0"/>
            <w:bookmarkEnd w:id="2963"/>
            <w:r w:rsidRPr="00286216">
              <w:rPr>
                <w:color w:val="000000" w:themeColor="text1"/>
              </w:rPr>
              <w:t>3093.</w:t>
            </w:r>
          </w:p>
        </w:tc>
        <w:tc>
          <w:tcPr>
            <w:tcW w:w="4818" w:type="dxa"/>
          </w:tcPr>
          <w:p w14:paraId="60B5998A" w14:textId="77777777"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c>
          <w:tcPr>
            <w:tcW w:w="3686" w:type="dxa"/>
          </w:tcPr>
          <w:p w14:paraId="31D0406A" w14:textId="77777777" w:rsidR="008E6EDB" w:rsidRPr="00286216" w:rsidRDefault="008E6EDB" w:rsidP="008E6EDB">
            <w:pPr>
              <w:pStyle w:val="StyleProp"/>
              <w:rPr>
                <w:color w:val="000000" w:themeColor="text1"/>
                <w:szCs w:val="18"/>
              </w:rPr>
            </w:pPr>
          </w:p>
        </w:tc>
        <w:tc>
          <w:tcPr>
            <w:tcW w:w="1987" w:type="dxa"/>
          </w:tcPr>
          <w:p w14:paraId="1D43F0F6" w14:textId="77777777" w:rsidR="008E6EDB" w:rsidRPr="00286216" w:rsidRDefault="008E6EDB" w:rsidP="008E6EDB">
            <w:pPr>
              <w:pStyle w:val="StyleWisnow"/>
              <w:rPr>
                <w:color w:val="000000" w:themeColor="text1"/>
              </w:rPr>
            </w:pPr>
          </w:p>
        </w:tc>
        <w:tc>
          <w:tcPr>
            <w:tcW w:w="4818" w:type="dxa"/>
          </w:tcPr>
          <w:p w14:paraId="527FC7A9" w14:textId="6FF9F4B8"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r>
      <w:tr w:rsidR="008E6EDB" w:rsidRPr="00286216" w14:paraId="1A0CF2E9" w14:textId="77777777" w:rsidTr="00091AA5">
        <w:tc>
          <w:tcPr>
            <w:tcW w:w="576" w:type="dxa"/>
          </w:tcPr>
          <w:p w14:paraId="39B21285" w14:textId="77777777" w:rsidR="008E6EDB" w:rsidRPr="00286216" w:rsidRDefault="008E6EDB" w:rsidP="008E6EDB">
            <w:pPr>
              <w:pStyle w:val="StyleWisnow"/>
              <w:rPr>
                <w:color w:val="000000" w:themeColor="text1"/>
              </w:rPr>
            </w:pPr>
            <w:bookmarkStart w:id="2965" w:name="n3094" w:colFirst="0" w:colLast="0"/>
            <w:bookmarkEnd w:id="2964"/>
            <w:r w:rsidRPr="00286216">
              <w:rPr>
                <w:color w:val="000000" w:themeColor="text1"/>
              </w:rPr>
              <w:t>3094.</w:t>
            </w:r>
          </w:p>
        </w:tc>
        <w:tc>
          <w:tcPr>
            <w:tcW w:w="4818" w:type="dxa"/>
          </w:tcPr>
          <w:p w14:paraId="7F7D4244"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036435A0" w14:textId="77777777" w:rsidR="008E6EDB" w:rsidRPr="00286216" w:rsidRDefault="008E6EDB" w:rsidP="008E6EDB">
            <w:pPr>
              <w:pStyle w:val="StyleProp"/>
              <w:rPr>
                <w:color w:val="000000" w:themeColor="text1"/>
                <w:szCs w:val="18"/>
              </w:rPr>
            </w:pPr>
          </w:p>
        </w:tc>
        <w:tc>
          <w:tcPr>
            <w:tcW w:w="1987" w:type="dxa"/>
          </w:tcPr>
          <w:p w14:paraId="3669E59C" w14:textId="77777777" w:rsidR="008E6EDB" w:rsidRPr="00286216" w:rsidRDefault="008E6EDB" w:rsidP="008E6EDB">
            <w:pPr>
              <w:pStyle w:val="StyleWisnow"/>
              <w:rPr>
                <w:color w:val="000000" w:themeColor="text1"/>
              </w:rPr>
            </w:pPr>
          </w:p>
        </w:tc>
        <w:tc>
          <w:tcPr>
            <w:tcW w:w="4818" w:type="dxa"/>
          </w:tcPr>
          <w:p w14:paraId="179A6B24" w14:textId="7E841ECB"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39465BBD" w14:textId="77777777" w:rsidTr="00091AA5">
        <w:tc>
          <w:tcPr>
            <w:tcW w:w="576" w:type="dxa"/>
          </w:tcPr>
          <w:p w14:paraId="7DCF9C46" w14:textId="77777777" w:rsidR="008E6EDB" w:rsidRPr="00286216" w:rsidRDefault="008E6EDB" w:rsidP="008E6EDB">
            <w:pPr>
              <w:pStyle w:val="StyleWisnow"/>
              <w:rPr>
                <w:color w:val="000000" w:themeColor="text1"/>
              </w:rPr>
            </w:pPr>
            <w:bookmarkStart w:id="2966" w:name="n3095" w:colFirst="0" w:colLast="0"/>
            <w:bookmarkEnd w:id="2965"/>
            <w:r w:rsidRPr="00286216">
              <w:rPr>
                <w:color w:val="000000" w:themeColor="text1"/>
              </w:rPr>
              <w:t>3095.</w:t>
            </w:r>
          </w:p>
        </w:tc>
        <w:tc>
          <w:tcPr>
            <w:tcW w:w="4818" w:type="dxa"/>
          </w:tcPr>
          <w:p w14:paraId="20AB1C26" w14:textId="77777777"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c>
          <w:tcPr>
            <w:tcW w:w="3686" w:type="dxa"/>
          </w:tcPr>
          <w:p w14:paraId="5F6394E0" w14:textId="77777777" w:rsidR="008E6EDB" w:rsidRPr="00286216" w:rsidRDefault="008E6EDB" w:rsidP="008E6EDB">
            <w:pPr>
              <w:pStyle w:val="StyleProp"/>
              <w:rPr>
                <w:color w:val="000000" w:themeColor="text1"/>
                <w:szCs w:val="18"/>
              </w:rPr>
            </w:pPr>
          </w:p>
        </w:tc>
        <w:tc>
          <w:tcPr>
            <w:tcW w:w="1987" w:type="dxa"/>
          </w:tcPr>
          <w:p w14:paraId="0A5342A0" w14:textId="77777777" w:rsidR="008E6EDB" w:rsidRPr="00286216" w:rsidRDefault="008E6EDB" w:rsidP="008E6EDB">
            <w:pPr>
              <w:pStyle w:val="StyleWisnow"/>
              <w:rPr>
                <w:color w:val="000000" w:themeColor="text1"/>
              </w:rPr>
            </w:pPr>
          </w:p>
        </w:tc>
        <w:tc>
          <w:tcPr>
            <w:tcW w:w="4818" w:type="dxa"/>
          </w:tcPr>
          <w:p w14:paraId="372FA128" w14:textId="2D224FF4"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r>
      <w:tr w:rsidR="008E6EDB" w:rsidRPr="00286216" w14:paraId="554D5BA7" w14:textId="77777777" w:rsidTr="00091AA5">
        <w:tc>
          <w:tcPr>
            <w:tcW w:w="576" w:type="dxa"/>
          </w:tcPr>
          <w:p w14:paraId="5B3A4431" w14:textId="77777777" w:rsidR="008E6EDB" w:rsidRPr="00286216" w:rsidRDefault="008E6EDB" w:rsidP="008E6EDB">
            <w:pPr>
              <w:pStyle w:val="StyleWisnow"/>
              <w:rPr>
                <w:color w:val="000000" w:themeColor="text1"/>
              </w:rPr>
            </w:pPr>
            <w:bookmarkStart w:id="2967" w:name="n3096" w:colFirst="0" w:colLast="0"/>
            <w:bookmarkEnd w:id="2966"/>
            <w:r w:rsidRPr="00286216">
              <w:rPr>
                <w:color w:val="000000" w:themeColor="text1"/>
              </w:rPr>
              <w:t>3096.</w:t>
            </w:r>
          </w:p>
        </w:tc>
        <w:tc>
          <w:tcPr>
            <w:tcW w:w="4818" w:type="dxa"/>
          </w:tcPr>
          <w:p w14:paraId="6556E02B" w14:textId="77777777" w:rsidR="008E6EDB" w:rsidRPr="00286216" w:rsidRDefault="008E6EDB" w:rsidP="008E6EDB">
            <w:pPr>
              <w:pStyle w:val="StyleZakonu"/>
              <w:rPr>
                <w:color w:val="000000" w:themeColor="text1"/>
              </w:rPr>
            </w:pPr>
            <w:r w:rsidRPr="00286216">
              <w:rPr>
                <w:color w:val="000000" w:themeColor="text1"/>
              </w:rPr>
              <w:t>14) розміщення реклами фінансових інструментів та ринків капіталу, яка не відповідає вимогам законодавства про рекламу, -</w:t>
            </w:r>
          </w:p>
        </w:tc>
        <w:tc>
          <w:tcPr>
            <w:tcW w:w="3686" w:type="dxa"/>
          </w:tcPr>
          <w:p w14:paraId="50E2BFB1" w14:textId="77777777" w:rsidR="008E6EDB" w:rsidRPr="00286216" w:rsidRDefault="008E6EDB" w:rsidP="008E6EDB">
            <w:pPr>
              <w:pStyle w:val="StyleProp"/>
              <w:rPr>
                <w:color w:val="000000" w:themeColor="text1"/>
              </w:rPr>
            </w:pPr>
          </w:p>
        </w:tc>
        <w:tc>
          <w:tcPr>
            <w:tcW w:w="1987" w:type="dxa"/>
          </w:tcPr>
          <w:p w14:paraId="25E0BC9F" w14:textId="77777777" w:rsidR="008E6EDB" w:rsidRPr="00286216" w:rsidRDefault="008E6EDB" w:rsidP="008E6EDB">
            <w:pPr>
              <w:pStyle w:val="StyleWisnow"/>
              <w:rPr>
                <w:color w:val="000000" w:themeColor="text1"/>
              </w:rPr>
            </w:pPr>
          </w:p>
        </w:tc>
        <w:tc>
          <w:tcPr>
            <w:tcW w:w="4818" w:type="dxa"/>
          </w:tcPr>
          <w:p w14:paraId="39B0F901" w14:textId="0753E662" w:rsidR="008E6EDB" w:rsidRPr="00286216" w:rsidRDefault="008E6EDB" w:rsidP="008E6EDB">
            <w:pPr>
              <w:pStyle w:val="StyleZakonu"/>
              <w:rPr>
                <w:color w:val="000000" w:themeColor="text1"/>
              </w:rPr>
            </w:pPr>
            <w:r w:rsidRPr="00286216">
              <w:rPr>
                <w:color w:val="000000" w:themeColor="text1"/>
              </w:rPr>
              <w:t>14) замовлення послуг з виготовлення, розміщення та/або розповсюдження реклами фінансових інструментів,  ринків капіталу та організованих товарних ринків, яка не відповідає вимогам законодавства про рекламу, -</w:t>
            </w:r>
          </w:p>
        </w:tc>
      </w:tr>
      <w:bookmarkEnd w:id="2967"/>
      <w:tr w:rsidR="008E6EDB" w:rsidRPr="00286216" w14:paraId="32947FE5" w14:textId="77777777" w:rsidTr="00091AA5">
        <w:tc>
          <w:tcPr>
            <w:tcW w:w="576" w:type="dxa"/>
          </w:tcPr>
          <w:p w14:paraId="13C1E9AA" w14:textId="77777777" w:rsidR="008E6EDB" w:rsidRPr="00286216" w:rsidRDefault="008E6EDB" w:rsidP="008E6EDB">
            <w:pPr>
              <w:pStyle w:val="StyleWisnow"/>
              <w:rPr>
                <w:color w:val="000000" w:themeColor="text1"/>
              </w:rPr>
            </w:pPr>
          </w:p>
        </w:tc>
        <w:tc>
          <w:tcPr>
            <w:tcW w:w="4818" w:type="dxa"/>
          </w:tcPr>
          <w:p w14:paraId="112DE9FD" w14:textId="77777777" w:rsidR="008E6EDB" w:rsidRPr="00286216" w:rsidRDefault="008E6EDB" w:rsidP="008E6EDB">
            <w:pPr>
              <w:pStyle w:val="StyleZakonu"/>
              <w:rPr>
                <w:color w:val="000000" w:themeColor="text1"/>
              </w:rPr>
            </w:pPr>
          </w:p>
        </w:tc>
        <w:tc>
          <w:tcPr>
            <w:tcW w:w="3686" w:type="dxa"/>
          </w:tcPr>
          <w:p w14:paraId="29765079" w14:textId="6D96CC44" w:rsidR="008E6EDB" w:rsidRPr="00286216" w:rsidRDefault="008E6EDB" w:rsidP="008E6ED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1366</w:t>
            </w:r>
            <w:r w:rsidRPr="00286216">
              <w:rPr>
                <w:color w:val="000000" w:themeColor="text1"/>
                <w:spacing w:val="-10"/>
              </w:rPr>
              <w:fldChar w:fldCharType="end"/>
            </w:r>
            <w:r w:rsidRPr="00286216">
              <w:rPr>
                <w:color w:val="000000" w:themeColor="text1"/>
                <w:spacing w:val="-10"/>
              </w:rPr>
              <w:t>-Н.д.Гетманцев Д.О.(Реєстр.картка №245)</w:t>
            </w:r>
          </w:p>
          <w:p w14:paraId="3AFA0953" w14:textId="77777777" w:rsidR="008E6EDB" w:rsidRPr="00286216" w:rsidRDefault="008E6EDB" w:rsidP="00630147">
            <w:pPr>
              <w:pStyle w:val="StyleProp"/>
              <w:spacing w:line="180" w:lineRule="exact"/>
              <w:rPr>
                <w:color w:val="000000" w:themeColor="text1"/>
              </w:rPr>
            </w:pPr>
            <w:r w:rsidRPr="00286216">
              <w:rPr>
                <w:color w:val="000000" w:themeColor="text1"/>
              </w:rPr>
              <w:t>У пункті 17 у підпункті 13 у підпункті «б» у двадцять сьомому абзаці перед словами «розміщення реклами» додати слова «замовлення послуг»</w:t>
            </w:r>
          </w:p>
        </w:tc>
        <w:tc>
          <w:tcPr>
            <w:tcW w:w="1987" w:type="dxa"/>
          </w:tcPr>
          <w:p w14:paraId="2544870D" w14:textId="77777777" w:rsidR="008E6EDB" w:rsidRPr="00286216" w:rsidRDefault="008E6EDB" w:rsidP="008E6EDB">
            <w:pPr>
              <w:pStyle w:val="StyleWisnow"/>
              <w:rPr>
                <w:color w:val="000000" w:themeColor="text1"/>
              </w:rPr>
            </w:pPr>
            <w:r w:rsidRPr="00286216">
              <w:rPr>
                <w:color w:val="000000" w:themeColor="text1"/>
              </w:rPr>
              <w:t>Враховано редакційно</w:t>
            </w:r>
          </w:p>
        </w:tc>
        <w:tc>
          <w:tcPr>
            <w:tcW w:w="4818" w:type="dxa"/>
          </w:tcPr>
          <w:p w14:paraId="50FDC5A7" w14:textId="77777777" w:rsidR="008E6EDB" w:rsidRPr="00286216" w:rsidRDefault="008E6EDB" w:rsidP="008E6EDB">
            <w:pPr>
              <w:pStyle w:val="StyleZakonu"/>
              <w:rPr>
                <w:color w:val="000000" w:themeColor="text1"/>
              </w:rPr>
            </w:pPr>
          </w:p>
        </w:tc>
      </w:tr>
      <w:tr w:rsidR="008E6EDB" w:rsidRPr="00286216" w14:paraId="18A8BB78" w14:textId="77777777" w:rsidTr="00091AA5">
        <w:tc>
          <w:tcPr>
            <w:tcW w:w="576" w:type="dxa"/>
          </w:tcPr>
          <w:p w14:paraId="05FB4112" w14:textId="77777777" w:rsidR="008E6EDB" w:rsidRPr="00286216" w:rsidRDefault="008E6EDB" w:rsidP="008E6EDB">
            <w:pPr>
              <w:pStyle w:val="StyleWisnow"/>
              <w:rPr>
                <w:color w:val="000000" w:themeColor="text1"/>
              </w:rPr>
            </w:pPr>
            <w:bookmarkStart w:id="2968" w:name="n3097" w:colFirst="0" w:colLast="0"/>
            <w:r w:rsidRPr="00286216">
              <w:rPr>
                <w:color w:val="000000" w:themeColor="text1"/>
              </w:rPr>
              <w:t>3097.</w:t>
            </w:r>
          </w:p>
        </w:tc>
        <w:tc>
          <w:tcPr>
            <w:tcW w:w="4818" w:type="dxa"/>
          </w:tcPr>
          <w:p w14:paraId="12FC10F4" w14:textId="77777777" w:rsidR="008E6EDB" w:rsidRPr="00286216" w:rsidRDefault="008E6EDB" w:rsidP="008E6EDB">
            <w:pPr>
              <w:pStyle w:val="StyleZakonu"/>
              <w:rPr>
                <w:color w:val="000000" w:themeColor="text1"/>
              </w:rPr>
            </w:pPr>
            <w:r w:rsidRPr="00286216">
              <w:rPr>
                <w:color w:val="000000" w:themeColor="text1"/>
              </w:rPr>
              <w:t>у розмірі від тисячі до п’яти тисяч неоподатковуваних мінімумів доходів громадян;</w:t>
            </w:r>
          </w:p>
        </w:tc>
        <w:tc>
          <w:tcPr>
            <w:tcW w:w="3686" w:type="dxa"/>
          </w:tcPr>
          <w:p w14:paraId="6B232A11" w14:textId="77777777" w:rsidR="008E6EDB" w:rsidRPr="00286216" w:rsidRDefault="008E6EDB" w:rsidP="008E6EDB">
            <w:pPr>
              <w:pStyle w:val="StyleProp"/>
              <w:rPr>
                <w:color w:val="000000" w:themeColor="text1"/>
                <w:szCs w:val="18"/>
              </w:rPr>
            </w:pPr>
          </w:p>
        </w:tc>
        <w:tc>
          <w:tcPr>
            <w:tcW w:w="1987" w:type="dxa"/>
          </w:tcPr>
          <w:p w14:paraId="3F11CEAE" w14:textId="77777777" w:rsidR="008E6EDB" w:rsidRPr="00286216" w:rsidRDefault="008E6EDB" w:rsidP="008E6EDB">
            <w:pPr>
              <w:pStyle w:val="StyleWisnow"/>
              <w:rPr>
                <w:color w:val="000000" w:themeColor="text1"/>
              </w:rPr>
            </w:pPr>
          </w:p>
        </w:tc>
        <w:tc>
          <w:tcPr>
            <w:tcW w:w="4818" w:type="dxa"/>
          </w:tcPr>
          <w:p w14:paraId="2932B078" w14:textId="535C1BAA" w:rsidR="008E6EDB" w:rsidRPr="00286216" w:rsidRDefault="008E6EDB" w:rsidP="008E6EDB">
            <w:pPr>
              <w:pStyle w:val="StyleZakonu"/>
              <w:rPr>
                <w:color w:val="000000" w:themeColor="text1"/>
              </w:rPr>
            </w:pPr>
            <w:r w:rsidRPr="00286216">
              <w:rPr>
                <w:color w:val="000000" w:themeColor="text1"/>
              </w:rPr>
              <w:t>у розмірі від однієї тисячі до п’яти тисяч неоподатковуваних мінімумів доходів громадян;</w:t>
            </w:r>
          </w:p>
        </w:tc>
      </w:tr>
      <w:tr w:rsidR="008E6EDB" w:rsidRPr="00286216" w14:paraId="37E2156F" w14:textId="77777777" w:rsidTr="00091AA5">
        <w:tc>
          <w:tcPr>
            <w:tcW w:w="576" w:type="dxa"/>
          </w:tcPr>
          <w:p w14:paraId="1C2CB633" w14:textId="77777777" w:rsidR="008E6EDB" w:rsidRPr="00286216" w:rsidRDefault="008E6EDB" w:rsidP="008E6EDB">
            <w:pPr>
              <w:pStyle w:val="StyleWisnow"/>
              <w:rPr>
                <w:color w:val="000000" w:themeColor="text1"/>
              </w:rPr>
            </w:pPr>
            <w:bookmarkStart w:id="2969" w:name="n3098" w:colFirst="0" w:colLast="0"/>
            <w:bookmarkEnd w:id="2968"/>
            <w:r w:rsidRPr="00286216">
              <w:rPr>
                <w:color w:val="000000" w:themeColor="text1"/>
              </w:rPr>
              <w:t>3098.</w:t>
            </w:r>
          </w:p>
        </w:tc>
        <w:tc>
          <w:tcPr>
            <w:tcW w:w="4818" w:type="dxa"/>
          </w:tcPr>
          <w:p w14:paraId="7A568091"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638F23CC" w14:textId="77777777" w:rsidR="008E6EDB" w:rsidRPr="00286216" w:rsidRDefault="008E6EDB" w:rsidP="008E6EDB">
            <w:pPr>
              <w:pStyle w:val="StyleProp"/>
              <w:rPr>
                <w:color w:val="000000" w:themeColor="text1"/>
                <w:szCs w:val="18"/>
              </w:rPr>
            </w:pPr>
          </w:p>
        </w:tc>
        <w:tc>
          <w:tcPr>
            <w:tcW w:w="1987" w:type="dxa"/>
          </w:tcPr>
          <w:p w14:paraId="055D4352" w14:textId="77777777" w:rsidR="008E6EDB" w:rsidRPr="00286216" w:rsidRDefault="008E6EDB" w:rsidP="008E6EDB">
            <w:pPr>
              <w:pStyle w:val="StyleWisnow"/>
              <w:rPr>
                <w:color w:val="000000" w:themeColor="text1"/>
              </w:rPr>
            </w:pPr>
          </w:p>
        </w:tc>
        <w:tc>
          <w:tcPr>
            <w:tcW w:w="4818" w:type="dxa"/>
          </w:tcPr>
          <w:p w14:paraId="65EC5E14" w14:textId="43A196B9"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16A5E01E" w14:textId="77777777" w:rsidTr="00091AA5">
        <w:tc>
          <w:tcPr>
            <w:tcW w:w="576" w:type="dxa"/>
          </w:tcPr>
          <w:p w14:paraId="775D19F0" w14:textId="77777777" w:rsidR="008E6EDB" w:rsidRPr="00286216" w:rsidRDefault="008E6EDB" w:rsidP="008E6EDB">
            <w:pPr>
              <w:pStyle w:val="StyleWisnow"/>
              <w:rPr>
                <w:color w:val="000000" w:themeColor="text1"/>
              </w:rPr>
            </w:pPr>
            <w:bookmarkStart w:id="2970" w:name="n3099" w:colFirst="0" w:colLast="0"/>
            <w:bookmarkEnd w:id="2969"/>
            <w:r w:rsidRPr="00286216">
              <w:rPr>
                <w:color w:val="000000" w:themeColor="text1"/>
              </w:rPr>
              <w:t>3099.</w:t>
            </w:r>
          </w:p>
        </w:tc>
        <w:tc>
          <w:tcPr>
            <w:tcW w:w="4818" w:type="dxa"/>
          </w:tcPr>
          <w:p w14:paraId="49B90B7E" w14:textId="77777777" w:rsidR="008E6EDB" w:rsidRPr="00286216" w:rsidRDefault="008E6EDB" w:rsidP="008E6EDB">
            <w:pPr>
              <w:pStyle w:val="StyleZakonu"/>
              <w:rPr>
                <w:color w:val="000000" w:themeColor="text1"/>
              </w:rPr>
            </w:pPr>
            <w:r w:rsidRPr="00286216">
              <w:rPr>
                <w:color w:val="000000" w:themeColor="text1"/>
              </w:rPr>
              <w:t>у розмірі від п’яти тисяч до десяти тисяч неоподатковуваних мінімумів доходів громадян; ";</w:t>
            </w:r>
          </w:p>
        </w:tc>
        <w:tc>
          <w:tcPr>
            <w:tcW w:w="3686" w:type="dxa"/>
          </w:tcPr>
          <w:p w14:paraId="5AFAABA0" w14:textId="77777777" w:rsidR="008E6EDB" w:rsidRPr="00286216" w:rsidRDefault="008E6EDB" w:rsidP="008E6EDB">
            <w:pPr>
              <w:pStyle w:val="StyleProp"/>
              <w:rPr>
                <w:color w:val="000000" w:themeColor="text1"/>
                <w:szCs w:val="18"/>
              </w:rPr>
            </w:pPr>
          </w:p>
        </w:tc>
        <w:tc>
          <w:tcPr>
            <w:tcW w:w="1987" w:type="dxa"/>
          </w:tcPr>
          <w:p w14:paraId="5D970492" w14:textId="77777777" w:rsidR="008E6EDB" w:rsidRPr="00286216" w:rsidRDefault="008E6EDB" w:rsidP="008E6EDB">
            <w:pPr>
              <w:pStyle w:val="StyleWisnow"/>
              <w:rPr>
                <w:color w:val="000000" w:themeColor="text1"/>
              </w:rPr>
            </w:pPr>
          </w:p>
        </w:tc>
        <w:tc>
          <w:tcPr>
            <w:tcW w:w="4818" w:type="dxa"/>
          </w:tcPr>
          <w:p w14:paraId="05974104" w14:textId="4FFE16BA" w:rsidR="008E6EDB" w:rsidRPr="00286216" w:rsidRDefault="008E6EDB" w:rsidP="008E6EDB">
            <w:pPr>
              <w:pStyle w:val="StyleZakonu"/>
              <w:rPr>
                <w:color w:val="000000" w:themeColor="text1"/>
              </w:rPr>
            </w:pPr>
            <w:r w:rsidRPr="00286216">
              <w:rPr>
                <w:color w:val="000000" w:themeColor="text1"/>
              </w:rPr>
              <w:t>у розмірі від п’яти тисяч до десяти тисяч неоподатковуваних мінімумів доходів громадян";</w:t>
            </w:r>
          </w:p>
        </w:tc>
      </w:tr>
      <w:tr w:rsidR="008E6EDB" w:rsidRPr="00286216" w14:paraId="6BB88CBB" w14:textId="77777777" w:rsidTr="00091AA5">
        <w:tc>
          <w:tcPr>
            <w:tcW w:w="576" w:type="dxa"/>
          </w:tcPr>
          <w:p w14:paraId="74939212" w14:textId="77777777" w:rsidR="008E6EDB" w:rsidRPr="00286216" w:rsidRDefault="008E6EDB" w:rsidP="008E6EDB">
            <w:pPr>
              <w:pStyle w:val="StyleWisnow"/>
              <w:rPr>
                <w:color w:val="000000" w:themeColor="text1"/>
              </w:rPr>
            </w:pPr>
            <w:bookmarkStart w:id="2971" w:name="n3100" w:colFirst="0" w:colLast="0"/>
            <w:bookmarkEnd w:id="2970"/>
            <w:r w:rsidRPr="00286216">
              <w:rPr>
                <w:color w:val="000000" w:themeColor="text1"/>
              </w:rPr>
              <w:t>3100.</w:t>
            </w:r>
          </w:p>
        </w:tc>
        <w:tc>
          <w:tcPr>
            <w:tcW w:w="4818" w:type="dxa"/>
          </w:tcPr>
          <w:p w14:paraId="5C57BF10" w14:textId="77777777" w:rsidR="008E6EDB" w:rsidRPr="00286216" w:rsidRDefault="008E6EDB" w:rsidP="008E6EDB">
            <w:pPr>
              <w:pStyle w:val="StyleZakonu"/>
              <w:rPr>
                <w:color w:val="000000" w:themeColor="text1"/>
              </w:rPr>
            </w:pPr>
            <w:r w:rsidRPr="00286216">
              <w:rPr>
                <w:color w:val="000000" w:themeColor="text1"/>
              </w:rPr>
              <w:t>абзац перший пункту 17 викласти в новій редакції:</w:t>
            </w:r>
          </w:p>
        </w:tc>
        <w:tc>
          <w:tcPr>
            <w:tcW w:w="3686" w:type="dxa"/>
          </w:tcPr>
          <w:p w14:paraId="2D49B2D6" w14:textId="77777777" w:rsidR="008E6EDB" w:rsidRPr="00286216" w:rsidRDefault="008E6EDB" w:rsidP="008E6EDB">
            <w:pPr>
              <w:pStyle w:val="StyleProp"/>
              <w:rPr>
                <w:color w:val="000000" w:themeColor="text1"/>
                <w:szCs w:val="18"/>
              </w:rPr>
            </w:pPr>
          </w:p>
        </w:tc>
        <w:tc>
          <w:tcPr>
            <w:tcW w:w="1987" w:type="dxa"/>
          </w:tcPr>
          <w:p w14:paraId="7F5E9667" w14:textId="77777777" w:rsidR="008E6EDB" w:rsidRPr="00286216" w:rsidRDefault="008E6EDB" w:rsidP="008E6EDB">
            <w:pPr>
              <w:pStyle w:val="StyleWisnow"/>
              <w:rPr>
                <w:color w:val="000000" w:themeColor="text1"/>
              </w:rPr>
            </w:pPr>
          </w:p>
        </w:tc>
        <w:tc>
          <w:tcPr>
            <w:tcW w:w="4818" w:type="dxa"/>
          </w:tcPr>
          <w:p w14:paraId="6ABCE560" w14:textId="53D020AB" w:rsidR="008E6EDB" w:rsidRPr="00286216" w:rsidRDefault="008E6EDB" w:rsidP="008E6EDB">
            <w:pPr>
              <w:pStyle w:val="StyleZakonu"/>
              <w:rPr>
                <w:color w:val="000000" w:themeColor="text1"/>
              </w:rPr>
            </w:pPr>
            <w:r w:rsidRPr="00286216">
              <w:rPr>
                <w:color w:val="000000" w:themeColor="text1"/>
              </w:rPr>
              <w:t>абзац перший пункту 17 викласти в такій редакції:</w:t>
            </w:r>
          </w:p>
        </w:tc>
      </w:tr>
      <w:tr w:rsidR="008E6EDB" w:rsidRPr="00286216" w14:paraId="699C2F0F" w14:textId="77777777" w:rsidTr="00091AA5">
        <w:tc>
          <w:tcPr>
            <w:tcW w:w="576" w:type="dxa"/>
          </w:tcPr>
          <w:p w14:paraId="21FBE19D" w14:textId="77777777" w:rsidR="008E6EDB" w:rsidRPr="00286216" w:rsidRDefault="008E6EDB" w:rsidP="008E6EDB">
            <w:pPr>
              <w:pStyle w:val="StyleWisnow"/>
              <w:rPr>
                <w:color w:val="000000" w:themeColor="text1"/>
              </w:rPr>
            </w:pPr>
            <w:bookmarkStart w:id="2972" w:name="n3101" w:colFirst="0" w:colLast="0"/>
            <w:bookmarkEnd w:id="2971"/>
            <w:r w:rsidRPr="00286216">
              <w:rPr>
                <w:color w:val="000000" w:themeColor="text1"/>
              </w:rPr>
              <w:t>3101.</w:t>
            </w:r>
          </w:p>
        </w:tc>
        <w:tc>
          <w:tcPr>
            <w:tcW w:w="4818" w:type="dxa"/>
          </w:tcPr>
          <w:p w14:paraId="570B0B4A" w14:textId="77777777" w:rsidR="008E6EDB" w:rsidRPr="00286216" w:rsidRDefault="008E6EDB" w:rsidP="008E6EDB">
            <w:pPr>
              <w:pStyle w:val="StyleZakonu"/>
              <w:rPr>
                <w:color w:val="000000" w:themeColor="text1"/>
              </w:rPr>
            </w:pPr>
            <w:r w:rsidRPr="00286216">
              <w:rPr>
                <w:color w:val="000000" w:themeColor="text1"/>
              </w:rPr>
              <w:t>"17) ненадання депозитарною установою депоненту виписки з рахунка в цінних паперах або інших документів, надання яких передбачено законодавством про депозитарну систему України, -";</w:t>
            </w:r>
          </w:p>
        </w:tc>
        <w:tc>
          <w:tcPr>
            <w:tcW w:w="3686" w:type="dxa"/>
          </w:tcPr>
          <w:p w14:paraId="5DBD0C1E" w14:textId="77777777" w:rsidR="008E6EDB" w:rsidRPr="00286216" w:rsidRDefault="008E6EDB" w:rsidP="008E6EDB">
            <w:pPr>
              <w:pStyle w:val="StyleProp"/>
              <w:rPr>
                <w:color w:val="000000" w:themeColor="text1"/>
                <w:szCs w:val="18"/>
              </w:rPr>
            </w:pPr>
          </w:p>
        </w:tc>
        <w:tc>
          <w:tcPr>
            <w:tcW w:w="1987" w:type="dxa"/>
          </w:tcPr>
          <w:p w14:paraId="3886CCDD" w14:textId="77777777" w:rsidR="008E6EDB" w:rsidRPr="00286216" w:rsidRDefault="008E6EDB" w:rsidP="008E6EDB">
            <w:pPr>
              <w:pStyle w:val="StyleWisnow"/>
              <w:rPr>
                <w:color w:val="000000" w:themeColor="text1"/>
              </w:rPr>
            </w:pPr>
          </w:p>
        </w:tc>
        <w:tc>
          <w:tcPr>
            <w:tcW w:w="4818" w:type="dxa"/>
          </w:tcPr>
          <w:p w14:paraId="266E1EB1" w14:textId="056F956E" w:rsidR="008E6EDB" w:rsidRPr="00286216" w:rsidRDefault="008E6EDB" w:rsidP="008E6EDB">
            <w:pPr>
              <w:pStyle w:val="StyleZakonu"/>
              <w:rPr>
                <w:color w:val="000000" w:themeColor="text1"/>
              </w:rPr>
            </w:pPr>
            <w:r w:rsidRPr="00286216">
              <w:rPr>
                <w:color w:val="000000" w:themeColor="text1"/>
              </w:rPr>
              <w:t>"17) ненадання депозитарною установою депоненту виписки з рахунка в цінних паперах або інших документів, надання яких передбачено законодавством про депозитарну систему України";</w:t>
            </w:r>
          </w:p>
        </w:tc>
      </w:tr>
      <w:tr w:rsidR="008E6EDB" w:rsidRPr="00286216" w14:paraId="00CFF258" w14:textId="77777777" w:rsidTr="002C738B">
        <w:trPr>
          <w:trHeight w:val="565"/>
        </w:trPr>
        <w:tc>
          <w:tcPr>
            <w:tcW w:w="576" w:type="dxa"/>
          </w:tcPr>
          <w:p w14:paraId="27C64C96" w14:textId="77777777" w:rsidR="008E6EDB" w:rsidRPr="00286216" w:rsidRDefault="008E6EDB" w:rsidP="008E6EDB">
            <w:pPr>
              <w:pStyle w:val="StyleWisnow"/>
              <w:rPr>
                <w:color w:val="000000" w:themeColor="text1"/>
              </w:rPr>
            </w:pPr>
            <w:bookmarkStart w:id="2973" w:name="n3102" w:colFirst="0" w:colLast="0"/>
            <w:bookmarkEnd w:id="2972"/>
            <w:r w:rsidRPr="00286216">
              <w:rPr>
                <w:color w:val="000000" w:themeColor="text1"/>
              </w:rPr>
              <w:t>3102.</w:t>
            </w:r>
          </w:p>
        </w:tc>
        <w:tc>
          <w:tcPr>
            <w:tcW w:w="4818" w:type="dxa"/>
          </w:tcPr>
          <w:p w14:paraId="7D74CCD0" w14:textId="77777777" w:rsidR="008E6EDB" w:rsidRPr="00286216" w:rsidRDefault="008E6EDB" w:rsidP="008E6EDB">
            <w:pPr>
              <w:pStyle w:val="StyleZakonu"/>
              <w:rPr>
                <w:color w:val="000000" w:themeColor="text1"/>
              </w:rPr>
            </w:pPr>
            <w:r w:rsidRPr="00286216">
              <w:rPr>
                <w:color w:val="000000" w:themeColor="text1"/>
              </w:rPr>
              <w:t>доповнити частину двома пунктами такого змісту:</w:t>
            </w:r>
          </w:p>
        </w:tc>
        <w:tc>
          <w:tcPr>
            <w:tcW w:w="3686" w:type="dxa"/>
          </w:tcPr>
          <w:p w14:paraId="04E23BDB" w14:textId="77777777" w:rsidR="008E6EDB" w:rsidRPr="00286216" w:rsidRDefault="008E6EDB" w:rsidP="008E6EDB">
            <w:pPr>
              <w:pStyle w:val="StyleProp"/>
              <w:rPr>
                <w:color w:val="000000" w:themeColor="text1"/>
                <w:szCs w:val="18"/>
              </w:rPr>
            </w:pPr>
          </w:p>
        </w:tc>
        <w:tc>
          <w:tcPr>
            <w:tcW w:w="1987" w:type="dxa"/>
          </w:tcPr>
          <w:p w14:paraId="761EF06F" w14:textId="77777777" w:rsidR="008E6EDB" w:rsidRPr="00286216" w:rsidRDefault="008E6EDB" w:rsidP="008E6EDB">
            <w:pPr>
              <w:pStyle w:val="StyleWisnow"/>
              <w:rPr>
                <w:color w:val="000000" w:themeColor="text1"/>
              </w:rPr>
            </w:pPr>
          </w:p>
        </w:tc>
        <w:tc>
          <w:tcPr>
            <w:tcW w:w="4818" w:type="dxa"/>
          </w:tcPr>
          <w:p w14:paraId="1BFAD527" w14:textId="19743431" w:rsidR="008E6EDB" w:rsidRPr="00286216" w:rsidRDefault="008E6EDB" w:rsidP="008E6EDB">
            <w:pPr>
              <w:pStyle w:val="StyleZakonu"/>
              <w:rPr>
                <w:color w:val="000000" w:themeColor="text1"/>
              </w:rPr>
            </w:pPr>
            <w:r w:rsidRPr="00286216">
              <w:rPr>
                <w:color w:val="000000" w:themeColor="text1"/>
              </w:rPr>
              <w:t>доповнити пунктами 18 і 19 такого змісту:</w:t>
            </w:r>
          </w:p>
        </w:tc>
      </w:tr>
      <w:tr w:rsidR="008E6EDB" w:rsidRPr="00286216" w14:paraId="575211CD" w14:textId="77777777" w:rsidTr="00091AA5">
        <w:tc>
          <w:tcPr>
            <w:tcW w:w="576" w:type="dxa"/>
          </w:tcPr>
          <w:p w14:paraId="4490BDC9" w14:textId="77777777" w:rsidR="008E6EDB" w:rsidRPr="00286216" w:rsidRDefault="008E6EDB" w:rsidP="008E6EDB">
            <w:pPr>
              <w:pStyle w:val="StyleWisnow"/>
              <w:rPr>
                <w:color w:val="000000" w:themeColor="text1"/>
              </w:rPr>
            </w:pPr>
            <w:bookmarkStart w:id="2974" w:name="n3103" w:colFirst="0" w:colLast="0"/>
            <w:bookmarkEnd w:id="2973"/>
            <w:r w:rsidRPr="00286216">
              <w:rPr>
                <w:color w:val="000000" w:themeColor="text1"/>
              </w:rPr>
              <w:t>3103.</w:t>
            </w:r>
          </w:p>
        </w:tc>
        <w:tc>
          <w:tcPr>
            <w:tcW w:w="4818" w:type="dxa"/>
          </w:tcPr>
          <w:p w14:paraId="7FCD9B1D" w14:textId="77777777" w:rsidR="008E6EDB" w:rsidRPr="00286216" w:rsidRDefault="008E6EDB" w:rsidP="008E6EDB">
            <w:pPr>
              <w:pStyle w:val="StyleZakonu"/>
              <w:rPr>
                <w:color w:val="000000" w:themeColor="text1"/>
              </w:rPr>
            </w:pPr>
            <w:r w:rsidRPr="00286216">
              <w:rPr>
                <w:color w:val="000000" w:themeColor="text1"/>
              </w:rPr>
              <w:t>"18) неподання інформації про укладання деривативного контракту поза організованим ринком капіталу до торгового репозиторію, -</w:t>
            </w:r>
          </w:p>
        </w:tc>
        <w:tc>
          <w:tcPr>
            <w:tcW w:w="3686" w:type="dxa"/>
          </w:tcPr>
          <w:p w14:paraId="5F40E097" w14:textId="731267D3" w:rsidR="008E6EDB" w:rsidRPr="00286216" w:rsidRDefault="008E6EDB" w:rsidP="008E6EDB">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1367</w:t>
            </w:r>
            <w:r w:rsidRPr="00286216">
              <w:rPr>
                <w:color w:val="000000" w:themeColor="text1"/>
                <w:spacing w:val="-3"/>
              </w:rPr>
              <w:fldChar w:fldCharType="end"/>
            </w:r>
            <w:r w:rsidRPr="00286216">
              <w:rPr>
                <w:color w:val="000000" w:themeColor="text1"/>
                <w:spacing w:val="-3"/>
              </w:rPr>
              <w:t>-Народні депутати України– члени Комітету з питань фінансів, податкової та митної політики Гетманцев Д.О. та інші</w:t>
            </w:r>
          </w:p>
          <w:p w14:paraId="2AAE2FF4" w14:textId="1176982C" w:rsidR="008E6EDB" w:rsidRPr="00286216" w:rsidRDefault="008E6EDB" w:rsidP="008E6EDB">
            <w:pPr>
              <w:pStyle w:val="StyleProp"/>
              <w:spacing w:line="180" w:lineRule="exact"/>
              <w:rPr>
                <w:color w:val="000000" w:themeColor="text1"/>
                <w:spacing w:val="-4"/>
              </w:rPr>
            </w:pPr>
            <w:r w:rsidRPr="00286216">
              <w:rPr>
                <w:color w:val="000000" w:themeColor="text1"/>
              </w:rPr>
              <w:t xml:space="preserve">Абзаци 34-37 підпункту «б» підпункту 13 </w:t>
            </w:r>
            <w:r w:rsidRPr="00286216">
              <w:rPr>
                <w:color w:val="000000" w:themeColor="text1"/>
                <w:spacing w:val="-4"/>
              </w:rPr>
              <w:t>пукнту 17 розділу 3 викласти в такій редакції.</w:t>
            </w:r>
          </w:p>
          <w:p w14:paraId="777278FB" w14:textId="77777777" w:rsidR="008E6EDB" w:rsidRPr="00286216" w:rsidRDefault="008E6EDB" w:rsidP="008E6EDB">
            <w:pPr>
              <w:pStyle w:val="StyleProp"/>
              <w:spacing w:line="180" w:lineRule="exact"/>
              <w:rPr>
                <w:color w:val="000000" w:themeColor="text1"/>
                <w:spacing w:val="-4"/>
              </w:rPr>
            </w:pPr>
            <w:r w:rsidRPr="00286216">
              <w:rPr>
                <w:color w:val="000000" w:themeColor="text1"/>
                <w:spacing w:val="-4"/>
              </w:rPr>
              <w:t xml:space="preserve">"18) неподання, несвоєчасне подання, подання не в повному обсязі інформації або </w:t>
            </w:r>
            <w:r w:rsidRPr="00286216">
              <w:rPr>
                <w:color w:val="000000" w:themeColor="text1"/>
                <w:spacing w:val="-4"/>
              </w:rPr>
              <w:lastRenderedPageBreak/>
              <w:t>подання недостовірної інформації про укладання деривативного контракту до торгового репозиторію, -</w:t>
            </w:r>
          </w:p>
          <w:p w14:paraId="7D98311D" w14:textId="41834878" w:rsidR="008E6EDB" w:rsidRPr="00286216" w:rsidRDefault="008E6EDB" w:rsidP="008E6EDB">
            <w:pPr>
              <w:pStyle w:val="StyleProp"/>
              <w:spacing w:line="180" w:lineRule="exact"/>
              <w:rPr>
                <w:color w:val="000000" w:themeColor="text1"/>
                <w:spacing w:val="-4"/>
              </w:rPr>
            </w:pPr>
            <w:r w:rsidRPr="00286216">
              <w:rPr>
                <w:color w:val="000000" w:themeColor="text1"/>
                <w:spacing w:val="-4"/>
              </w:rPr>
              <w:t>у розмірі до 10 відсотків ціни деривативного контракту на момент його укладення.</w:t>
            </w:r>
          </w:p>
          <w:p w14:paraId="52A11028" w14:textId="77777777" w:rsidR="008E6EDB" w:rsidRPr="00286216" w:rsidRDefault="008E6EDB" w:rsidP="008E6EDB">
            <w:pPr>
              <w:pStyle w:val="StyleProp"/>
              <w:spacing w:line="180" w:lineRule="exact"/>
              <w:rPr>
                <w:color w:val="000000" w:themeColor="text1"/>
                <w:spacing w:val="-4"/>
              </w:rPr>
            </w:pPr>
            <w:r w:rsidRPr="00286216">
              <w:rPr>
                <w:color w:val="000000" w:themeColor="text1"/>
                <w:spacing w:val="-4"/>
              </w:rPr>
              <w:t>За ті самі дії, вчинені повторно протягом року, -</w:t>
            </w:r>
          </w:p>
          <w:p w14:paraId="4AE2A0BC" w14:textId="14D583CD" w:rsidR="008E6EDB" w:rsidRPr="00286216" w:rsidRDefault="008E6EDB" w:rsidP="008E6EDB">
            <w:pPr>
              <w:pStyle w:val="StyleProp"/>
              <w:spacing w:line="180" w:lineRule="exact"/>
              <w:rPr>
                <w:color w:val="000000" w:themeColor="text1"/>
              </w:rPr>
            </w:pPr>
            <w:r w:rsidRPr="00286216">
              <w:rPr>
                <w:color w:val="000000" w:themeColor="text1"/>
                <w:spacing w:val="-4"/>
              </w:rPr>
              <w:t>у розмірі до 50 відсотків ціни деривативного контракту</w:t>
            </w:r>
            <w:r w:rsidRPr="00286216">
              <w:rPr>
                <w:color w:val="000000" w:themeColor="text1"/>
              </w:rPr>
              <w:t xml:space="preserve"> на момент його укладення»</w:t>
            </w:r>
          </w:p>
        </w:tc>
        <w:tc>
          <w:tcPr>
            <w:tcW w:w="1987" w:type="dxa"/>
          </w:tcPr>
          <w:p w14:paraId="5A2B61AC" w14:textId="2A9E454E" w:rsidR="008E6EDB" w:rsidRPr="00286216" w:rsidRDefault="008E6EDB" w:rsidP="008E6EDB">
            <w:pPr>
              <w:pStyle w:val="StyleWisnow"/>
              <w:spacing w:line="180" w:lineRule="exact"/>
              <w:rPr>
                <w:color w:val="000000" w:themeColor="text1"/>
              </w:rPr>
            </w:pPr>
            <w:r w:rsidRPr="00286216">
              <w:rPr>
                <w:color w:val="000000" w:themeColor="text1"/>
              </w:rPr>
              <w:lastRenderedPageBreak/>
              <w:t>Враховано</w:t>
            </w:r>
          </w:p>
          <w:p w14:paraId="1699DFD5" w14:textId="4D4EFC6B" w:rsidR="008E6EDB" w:rsidRPr="00286216" w:rsidRDefault="008E6EDB" w:rsidP="008E6EDB">
            <w:pPr>
              <w:pStyle w:val="StyleWisnow"/>
              <w:spacing w:line="180" w:lineRule="exact"/>
              <w:rPr>
                <w:color w:val="000000" w:themeColor="text1"/>
              </w:rPr>
            </w:pPr>
            <w:r w:rsidRPr="00286216">
              <w:rPr>
                <w:color w:val="000000" w:themeColor="text1"/>
              </w:rPr>
              <w:t>внаслідок врахування обговорених на засіданні Комітету зауважень НБУ та ФГВФО</w:t>
            </w:r>
          </w:p>
        </w:tc>
        <w:tc>
          <w:tcPr>
            <w:tcW w:w="4818" w:type="dxa"/>
          </w:tcPr>
          <w:p w14:paraId="1A02F520" w14:textId="77777777" w:rsidR="008E6EDB" w:rsidRPr="00286216" w:rsidRDefault="008E6EDB" w:rsidP="008E6EDB">
            <w:pPr>
              <w:pStyle w:val="StyleZakonu"/>
              <w:rPr>
                <w:color w:val="000000" w:themeColor="text1"/>
              </w:rPr>
            </w:pPr>
            <w:r w:rsidRPr="00286216">
              <w:rPr>
                <w:color w:val="000000" w:themeColor="text1"/>
              </w:rPr>
              <w:t>«18) неподання, несвоєчасне подання, подання не в повному обсязі інформації або подання недостовірної інформації про укладення деривативного контракту до торгового репозиторію, -</w:t>
            </w:r>
          </w:p>
          <w:p w14:paraId="282CBCC1" w14:textId="28E0D8F4" w:rsidR="008E6EDB" w:rsidRPr="00286216" w:rsidRDefault="008E6EDB" w:rsidP="008E6EDB">
            <w:pPr>
              <w:pStyle w:val="StyleZakonu"/>
              <w:rPr>
                <w:color w:val="000000" w:themeColor="text1"/>
              </w:rPr>
            </w:pPr>
          </w:p>
        </w:tc>
      </w:tr>
      <w:tr w:rsidR="008E6EDB" w:rsidRPr="00286216" w14:paraId="6D788545" w14:textId="77777777" w:rsidTr="00091AA5">
        <w:tc>
          <w:tcPr>
            <w:tcW w:w="576" w:type="dxa"/>
          </w:tcPr>
          <w:p w14:paraId="0281CF93" w14:textId="77777777" w:rsidR="008E6EDB" w:rsidRPr="00286216" w:rsidRDefault="008E6EDB" w:rsidP="008E6EDB">
            <w:pPr>
              <w:pStyle w:val="StyleWisnow"/>
              <w:rPr>
                <w:color w:val="000000" w:themeColor="text1"/>
              </w:rPr>
            </w:pPr>
            <w:bookmarkStart w:id="2975" w:name="n3104" w:colFirst="0" w:colLast="0"/>
            <w:bookmarkEnd w:id="2974"/>
            <w:r w:rsidRPr="00286216">
              <w:rPr>
                <w:color w:val="000000" w:themeColor="text1"/>
              </w:rPr>
              <w:t>3104.</w:t>
            </w:r>
          </w:p>
        </w:tc>
        <w:tc>
          <w:tcPr>
            <w:tcW w:w="4818" w:type="dxa"/>
          </w:tcPr>
          <w:p w14:paraId="4904F5AC" w14:textId="77777777" w:rsidR="008E6EDB" w:rsidRPr="00286216" w:rsidRDefault="008E6EDB" w:rsidP="008E6EDB">
            <w:pPr>
              <w:pStyle w:val="StyleZakonu"/>
              <w:rPr>
                <w:color w:val="000000" w:themeColor="text1"/>
              </w:rPr>
            </w:pPr>
            <w:r w:rsidRPr="00286216">
              <w:rPr>
                <w:color w:val="000000" w:themeColor="text1"/>
              </w:rPr>
              <w:t>у розмірі до однієї тисячі неоподатковуваних мінімумів доходів громадян.</w:t>
            </w:r>
          </w:p>
        </w:tc>
        <w:tc>
          <w:tcPr>
            <w:tcW w:w="3686" w:type="dxa"/>
          </w:tcPr>
          <w:p w14:paraId="4AFC9BDA" w14:textId="618311D2" w:rsidR="008E6EDB" w:rsidRPr="00286216" w:rsidRDefault="008E6EDB" w:rsidP="008E6EDB">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1368</w:t>
            </w:r>
            <w:r w:rsidRPr="00286216">
              <w:rPr>
                <w:color w:val="000000" w:themeColor="text1"/>
                <w:spacing w:val="-5"/>
              </w:rPr>
              <w:fldChar w:fldCharType="end"/>
            </w:r>
            <w:r w:rsidRPr="00286216">
              <w:rPr>
                <w:color w:val="000000" w:themeColor="text1"/>
                <w:spacing w:val="-5"/>
              </w:rPr>
              <w:t>-Н.д.Бєлькова О.В. (Реєстр.картка №403)</w:t>
            </w:r>
          </w:p>
          <w:p w14:paraId="5E5194F6" w14:textId="57F3E6B1" w:rsidR="008E6EDB" w:rsidRPr="00286216" w:rsidRDefault="008E6EDB" w:rsidP="008E6EDB">
            <w:pPr>
              <w:pStyle w:val="StyleProp"/>
              <w:spacing w:line="180" w:lineRule="exact"/>
              <w:rPr>
                <w:color w:val="000000" w:themeColor="text1"/>
                <w:szCs w:val="18"/>
              </w:rPr>
            </w:pPr>
            <w:r w:rsidRPr="00286216">
              <w:rPr>
                <w:color w:val="000000" w:themeColor="text1"/>
                <w:szCs w:val="18"/>
              </w:rPr>
              <w:t>Абзаци тридцять четвертий-тридцять сьомий підпункту «б» підпункту 13 пукнту 17 розділу 3 виключити</w:t>
            </w:r>
          </w:p>
        </w:tc>
        <w:tc>
          <w:tcPr>
            <w:tcW w:w="1987" w:type="dxa"/>
          </w:tcPr>
          <w:p w14:paraId="0A04ABB8"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7ACC8B2A" w14:textId="703C6A43" w:rsidR="008E6EDB" w:rsidRPr="00286216" w:rsidRDefault="008E6EDB" w:rsidP="008E6EDB">
            <w:pPr>
              <w:pStyle w:val="StyleWisnow"/>
              <w:spacing w:line="180" w:lineRule="exact"/>
              <w:rPr>
                <w:color w:val="000000" w:themeColor="text1"/>
              </w:rPr>
            </w:pPr>
            <w:r w:rsidRPr="00286216">
              <w:rPr>
                <w:color w:val="000000" w:themeColor="text1"/>
              </w:rPr>
              <w:t>внаслідок врахування обговорених на засіданні Комітету зауважень НБУ та ФГВФО</w:t>
            </w:r>
          </w:p>
        </w:tc>
        <w:tc>
          <w:tcPr>
            <w:tcW w:w="4818" w:type="dxa"/>
          </w:tcPr>
          <w:p w14:paraId="1403B662" w14:textId="6F371A17" w:rsidR="008E6EDB" w:rsidRPr="00286216" w:rsidRDefault="008E6EDB" w:rsidP="008E6EDB">
            <w:pPr>
              <w:pStyle w:val="StyleZakonu"/>
              <w:rPr>
                <w:color w:val="000000" w:themeColor="text1"/>
              </w:rPr>
            </w:pPr>
            <w:r w:rsidRPr="00286216">
              <w:rPr>
                <w:color w:val="000000" w:themeColor="text1"/>
              </w:rPr>
              <w:t>у розмірі до 10 відсотків ціни деривативного контракту на момент його укладення.</w:t>
            </w:r>
          </w:p>
        </w:tc>
      </w:tr>
      <w:tr w:rsidR="008E6EDB" w:rsidRPr="00286216" w14:paraId="3EA79A96" w14:textId="77777777" w:rsidTr="00091AA5">
        <w:tc>
          <w:tcPr>
            <w:tcW w:w="576" w:type="dxa"/>
          </w:tcPr>
          <w:p w14:paraId="439DA6B2" w14:textId="77777777" w:rsidR="008E6EDB" w:rsidRPr="00286216" w:rsidRDefault="008E6EDB" w:rsidP="008E6EDB">
            <w:pPr>
              <w:pStyle w:val="StyleWisnow"/>
              <w:rPr>
                <w:color w:val="000000" w:themeColor="text1"/>
              </w:rPr>
            </w:pPr>
            <w:bookmarkStart w:id="2976" w:name="n3105" w:colFirst="0" w:colLast="0"/>
            <w:bookmarkEnd w:id="2975"/>
            <w:r w:rsidRPr="00286216">
              <w:rPr>
                <w:color w:val="000000" w:themeColor="text1"/>
              </w:rPr>
              <w:t>3105.</w:t>
            </w:r>
          </w:p>
        </w:tc>
        <w:tc>
          <w:tcPr>
            <w:tcW w:w="4818" w:type="dxa"/>
          </w:tcPr>
          <w:p w14:paraId="1210D39B" w14:textId="77777777"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c>
          <w:tcPr>
            <w:tcW w:w="3686" w:type="dxa"/>
          </w:tcPr>
          <w:p w14:paraId="2A92AC17" w14:textId="77777777" w:rsidR="008E6EDB" w:rsidRPr="00286216" w:rsidRDefault="008E6EDB" w:rsidP="008E6EDB">
            <w:pPr>
              <w:pStyle w:val="StyleProp"/>
              <w:rPr>
                <w:color w:val="000000" w:themeColor="text1"/>
                <w:szCs w:val="18"/>
              </w:rPr>
            </w:pPr>
          </w:p>
        </w:tc>
        <w:tc>
          <w:tcPr>
            <w:tcW w:w="1987" w:type="dxa"/>
          </w:tcPr>
          <w:p w14:paraId="57E0AC78" w14:textId="77777777" w:rsidR="008E6EDB" w:rsidRPr="00286216" w:rsidRDefault="008E6EDB" w:rsidP="008E6EDB">
            <w:pPr>
              <w:pStyle w:val="StyleWisnow"/>
              <w:spacing w:line="180" w:lineRule="exact"/>
              <w:rPr>
                <w:color w:val="000000" w:themeColor="text1"/>
              </w:rPr>
            </w:pPr>
          </w:p>
        </w:tc>
        <w:tc>
          <w:tcPr>
            <w:tcW w:w="4818" w:type="dxa"/>
          </w:tcPr>
          <w:p w14:paraId="614567AF" w14:textId="4463B764" w:rsidR="008E6EDB" w:rsidRPr="00286216" w:rsidRDefault="008E6EDB" w:rsidP="008E6EDB">
            <w:pPr>
              <w:pStyle w:val="StyleZakonu"/>
              <w:rPr>
                <w:color w:val="000000" w:themeColor="text1"/>
              </w:rPr>
            </w:pPr>
            <w:r w:rsidRPr="00286216">
              <w:rPr>
                <w:color w:val="000000" w:themeColor="text1"/>
              </w:rPr>
              <w:t>За ті самі дії, вчинені повторно протягом року, -</w:t>
            </w:r>
          </w:p>
        </w:tc>
      </w:tr>
      <w:tr w:rsidR="008E6EDB" w:rsidRPr="00286216" w14:paraId="4C739A8B" w14:textId="77777777" w:rsidTr="00091AA5">
        <w:tc>
          <w:tcPr>
            <w:tcW w:w="576" w:type="dxa"/>
          </w:tcPr>
          <w:p w14:paraId="3EE2498E" w14:textId="77777777" w:rsidR="008E6EDB" w:rsidRPr="00286216" w:rsidRDefault="008E6EDB" w:rsidP="008E6EDB">
            <w:pPr>
              <w:pStyle w:val="StyleWisnow"/>
              <w:rPr>
                <w:color w:val="000000" w:themeColor="text1"/>
              </w:rPr>
            </w:pPr>
            <w:bookmarkStart w:id="2977" w:name="n3106" w:colFirst="0" w:colLast="0"/>
            <w:bookmarkEnd w:id="2976"/>
            <w:r w:rsidRPr="00286216">
              <w:rPr>
                <w:color w:val="000000" w:themeColor="text1"/>
              </w:rPr>
              <w:t>3106.</w:t>
            </w:r>
          </w:p>
        </w:tc>
        <w:tc>
          <w:tcPr>
            <w:tcW w:w="4818" w:type="dxa"/>
          </w:tcPr>
          <w:p w14:paraId="0A2C96FE" w14:textId="77777777" w:rsidR="008E6EDB" w:rsidRPr="00286216" w:rsidRDefault="008E6EDB" w:rsidP="008E6EDB">
            <w:pPr>
              <w:pStyle w:val="StyleZakonu"/>
              <w:rPr>
                <w:color w:val="000000" w:themeColor="text1"/>
              </w:rPr>
            </w:pPr>
            <w:r w:rsidRPr="00286216">
              <w:rPr>
                <w:color w:val="000000" w:themeColor="text1"/>
              </w:rPr>
              <w:t>у розмірі від тисячі до п’яти тисяч неоподатковуваних мінімумів доходів громадян.</w:t>
            </w:r>
          </w:p>
        </w:tc>
        <w:tc>
          <w:tcPr>
            <w:tcW w:w="3686" w:type="dxa"/>
          </w:tcPr>
          <w:p w14:paraId="6BA94FE9" w14:textId="77777777" w:rsidR="008E6EDB" w:rsidRPr="00286216" w:rsidRDefault="008E6EDB" w:rsidP="008E6EDB">
            <w:pPr>
              <w:pStyle w:val="StyleProp"/>
              <w:rPr>
                <w:color w:val="000000" w:themeColor="text1"/>
                <w:szCs w:val="18"/>
              </w:rPr>
            </w:pPr>
          </w:p>
        </w:tc>
        <w:tc>
          <w:tcPr>
            <w:tcW w:w="1987" w:type="dxa"/>
          </w:tcPr>
          <w:p w14:paraId="596B7BFA" w14:textId="77777777" w:rsidR="008E6EDB" w:rsidRPr="00286216" w:rsidRDefault="008E6EDB" w:rsidP="008E6EDB">
            <w:pPr>
              <w:pStyle w:val="StyleWisnow"/>
              <w:rPr>
                <w:color w:val="000000" w:themeColor="text1"/>
              </w:rPr>
            </w:pPr>
          </w:p>
        </w:tc>
        <w:tc>
          <w:tcPr>
            <w:tcW w:w="4818" w:type="dxa"/>
          </w:tcPr>
          <w:p w14:paraId="0B801A0A" w14:textId="6E4E5C51" w:rsidR="008E6EDB" w:rsidRPr="00286216" w:rsidRDefault="008E6EDB" w:rsidP="008E6EDB">
            <w:pPr>
              <w:pStyle w:val="StyleZakonu"/>
              <w:rPr>
                <w:color w:val="000000" w:themeColor="text1"/>
              </w:rPr>
            </w:pPr>
            <w:r w:rsidRPr="00286216">
              <w:rPr>
                <w:color w:val="000000" w:themeColor="text1"/>
              </w:rPr>
              <w:t>у розмірі до 50 відсотків ціни деривативного контракту на момент його укладення;</w:t>
            </w:r>
          </w:p>
        </w:tc>
      </w:tr>
      <w:tr w:rsidR="008E6EDB" w:rsidRPr="00286216" w14:paraId="75A6A989" w14:textId="77777777" w:rsidTr="00091AA5">
        <w:tc>
          <w:tcPr>
            <w:tcW w:w="576" w:type="dxa"/>
          </w:tcPr>
          <w:p w14:paraId="09FCA715" w14:textId="77777777" w:rsidR="008E6EDB" w:rsidRPr="00286216" w:rsidRDefault="008E6EDB" w:rsidP="008E6EDB">
            <w:pPr>
              <w:pStyle w:val="StyleWisnow"/>
              <w:rPr>
                <w:color w:val="000000" w:themeColor="text1"/>
              </w:rPr>
            </w:pPr>
            <w:bookmarkStart w:id="2978" w:name="n3107" w:colFirst="0" w:colLast="0"/>
            <w:bookmarkEnd w:id="2977"/>
            <w:r w:rsidRPr="00286216">
              <w:rPr>
                <w:color w:val="000000" w:themeColor="text1"/>
              </w:rPr>
              <w:t>3107.</w:t>
            </w:r>
          </w:p>
        </w:tc>
        <w:tc>
          <w:tcPr>
            <w:tcW w:w="4818" w:type="dxa"/>
          </w:tcPr>
          <w:p w14:paraId="3CA28946" w14:textId="77777777" w:rsidR="008E6EDB" w:rsidRPr="00286216" w:rsidRDefault="008E6EDB" w:rsidP="008E6EDB">
            <w:pPr>
              <w:pStyle w:val="StyleZakonu"/>
              <w:rPr>
                <w:color w:val="000000" w:themeColor="text1"/>
              </w:rPr>
            </w:pPr>
            <w:r w:rsidRPr="00286216">
              <w:rPr>
                <w:color w:val="000000" w:themeColor="text1"/>
              </w:rPr>
              <w:t>19) порушення порядку набуття або збільшення участі у професійному учаснику ринків капіталу та організованих товарних ринків, -</w:t>
            </w:r>
          </w:p>
        </w:tc>
        <w:tc>
          <w:tcPr>
            <w:tcW w:w="3686" w:type="dxa"/>
          </w:tcPr>
          <w:p w14:paraId="4279288F" w14:textId="11E979DC" w:rsidR="008E6EDB" w:rsidRPr="00286216" w:rsidRDefault="008E6EDB" w:rsidP="008E6EDB">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1369</w:t>
            </w:r>
            <w:r w:rsidRPr="00286216">
              <w:rPr>
                <w:color w:val="000000" w:themeColor="text1"/>
                <w:spacing w:val="-2"/>
              </w:rPr>
              <w:fldChar w:fldCharType="end"/>
            </w:r>
            <w:r w:rsidRPr="00286216">
              <w:rPr>
                <w:color w:val="000000" w:themeColor="text1"/>
                <w:spacing w:val="-2"/>
              </w:rPr>
              <w:t>-Н.д.Шахов С.В. (Реєстр.картка №114)</w:t>
            </w:r>
          </w:p>
          <w:p w14:paraId="3D15BF88" w14:textId="77777777" w:rsidR="008E6EDB" w:rsidRPr="00286216" w:rsidRDefault="008E6EDB" w:rsidP="008E6EDB">
            <w:pPr>
              <w:pStyle w:val="StyleProp"/>
              <w:spacing w:line="180" w:lineRule="exact"/>
              <w:rPr>
                <w:rFonts w:eastAsia="Calibri"/>
                <w:color w:val="000000" w:themeColor="text1"/>
                <w:szCs w:val="18"/>
              </w:rPr>
            </w:pPr>
            <w:r w:rsidRPr="00286216">
              <w:rPr>
                <w:color w:val="000000" w:themeColor="text1"/>
                <w:spacing w:val="-4"/>
                <w:szCs w:val="18"/>
              </w:rPr>
              <w:t xml:space="preserve">У </w:t>
            </w:r>
            <w:r w:rsidRPr="00286216">
              <w:rPr>
                <w:color w:val="000000" w:themeColor="text1"/>
                <w:spacing w:val="-4"/>
              </w:rPr>
              <w:t xml:space="preserve">п.п. "б" п.п. 13 п. 17 (зміни до ст.11) зміни до п. 19 доповнити словами </w:t>
            </w:r>
            <w:r w:rsidRPr="00286216">
              <w:rPr>
                <w:color w:val="000000" w:themeColor="text1"/>
              </w:rPr>
              <w:t>(крім участі у товарні біржі)".</w:t>
            </w:r>
          </w:p>
        </w:tc>
        <w:tc>
          <w:tcPr>
            <w:tcW w:w="1987" w:type="dxa"/>
          </w:tcPr>
          <w:p w14:paraId="0661861F" w14:textId="77777777" w:rsidR="008E6EDB" w:rsidRPr="00286216" w:rsidRDefault="008E6EDB" w:rsidP="008E6EDB">
            <w:pPr>
              <w:pStyle w:val="StyleWisnow"/>
              <w:spacing w:line="180" w:lineRule="exact"/>
              <w:rPr>
                <w:color w:val="000000" w:themeColor="text1"/>
              </w:rPr>
            </w:pPr>
            <w:r w:rsidRPr="00286216">
              <w:rPr>
                <w:color w:val="000000" w:themeColor="text1"/>
              </w:rPr>
              <w:t>Відхилено</w:t>
            </w:r>
          </w:p>
          <w:p w14:paraId="66631233" w14:textId="0199E76D" w:rsidR="008E6EDB" w:rsidRPr="00286216" w:rsidRDefault="008E6EDB" w:rsidP="008E6EDB">
            <w:pPr>
              <w:pStyle w:val="StyleWisnow"/>
              <w:spacing w:line="180" w:lineRule="exact"/>
              <w:rPr>
                <w:color w:val="000000" w:themeColor="text1"/>
              </w:rPr>
            </w:pPr>
            <w:r w:rsidRPr="00286216">
              <w:rPr>
                <w:color w:val="000000" w:themeColor="text1"/>
              </w:rPr>
              <w:t>товарні біржі зобов’язані повідомляти про факт набуття у них участі, що є частиною порядку</w:t>
            </w:r>
          </w:p>
        </w:tc>
        <w:tc>
          <w:tcPr>
            <w:tcW w:w="4818" w:type="dxa"/>
          </w:tcPr>
          <w:p w14:paraId="01BE1E8D" w14:textId="47CB4695" w:rsidR="008E6EDB" w:rsidRPr="00286216" w:rsidRDefault="008E6EDB" w:rsidP="008E6EDB">
            <w:pPr>
              <w:pStyle w:val="StyleZakonu"/>
              <w:rPr>
                <w:color w:val="000000" w:themeColor="text1"/>
              </w:rPr>
            </w:pPr>
            <w:r w:rsidRPr="00286216">
              <w:rPr>
                <w:color w:val="000000" w:themeColor="text1"/>
              </w:rPr>
              <w:t>19) порушення порядку набуття або збільшення участі у професійному учаснику ринків капіталу та організованих товарних ринків, -</w:t>
            </w:r>
          </w:p>
        </w:tc>
      </w:tr>
      <w:tr w:rsidR="008E6EDB" w:rsidRPr="00286216" w14:paraId="4E7134D6" w14:textId="77777777" w:rsidTr="00091AA5">
        <w:tc>
          <w:tcPr>
            <w:tcW w:w="576" w:type="dxa"/>
          </w:tcPr>
          <w:p w14:paraId="15C2F452" w14:textId="77777777" w:rsidR="008E6EDB" w:rsidRPr="00286216" w:rsidRDefault="008E6EDB" w:rsidP="008E6EDB">
            <w:pPr>
              <w:pStyle w:val="StyleWisnow"/>
              <w:rPr>
                <w:color w:val="000000" w:themeColor="text1"/>
              </w:rPr>
            </w:pPr>
            <w:bookmarkStart w:id="2979" w:name="n3108" w:colFirst="0" w:colLast="0"/>
            <w:bookmarkEnd w:id="2978"/>
            <w:r w:rsidRPr="00286216">
              <w:rPr>
                <w:color w:val="000000" w:themeColor="text1"/>
              </w:rPr>
              <w:t>3108.</w:t>
            </w:r>
          </w:p>
        </w:tc>
        <w:tc>
          <w:tcPr>
            <w:tcW w:w="4818" w:type="dxa"/>
          </w:tcPr>
          <w:p w14:paraId="7323A875" w14:textId="77777777" w:rsidR="008E6EDB" w:rsidRPr="00286216" w:rsidRDefault="008E6EDB" w:rsidP="008E6EDB">
            <w:pPr>
              <w:pStyle w:val="StyleZakonu"/>
              <w:rPr>
                <w:color w:val="000000" w:themeColor="text1"/>
              </w:rPr>
            </w:pPr>
            <w:r w:rsidRPr="00286216">
              <w:rPr>
                <w:color w:val="000000" w:themeColor="text1"/>
              </w:rPr>
              <w:t>у розмірі номінальної вартості придбаних акцій (часток) професійного учасника ринків капіталу та організованих товарних ринків, якщо особа набула або збільшила пряму участь у професійному учаснику ринку капіталу та регульованих ринків, -</w:t>
            </w:r>
          </w:p>
        </w:tc>
        <w:tc>
          <w:tcPr>
            <w:tcW w:w="3686" w:type="dxa"/>
          </w:tcPr>
          <w:p w14:paraId="3A0272F6" w14:textId="79C56330" w:rsidR="008E6EDB" w:rsidRPr="00286216" w:rsidRDefault="008E6EDB" w:rsidP="008E6EDB">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1370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B0114EC" w14:textId="5038677D" w:rsidR="008E6EDB" w:rsidRPr="00286216" w:rsidRDefault="008E6EDB" w:rsidP="00630147">
            <w:pPr>
              <w:pStyle w:val="StyleProp"/>
              <w:spacing w:line="180" w:lineRule="exact"/>
              <w:rPr>
                <w:color w:val="000000" w:themeColor="text1"/>
                <w:szCs w:val="18"/>
              </w:rPr>
            </w:pPr>
            <w:r w:rsidRPr="00286216">
              <w:rPr>
                <w:rFonts w:eastAsia="Calibri"/>
                <w:color w:val="000000" w:themeColor="text1"/>
                <w:szCs w:val="18"/>
              </w:rPr>
              <w:t>В абзаці другому підпункту 19 пункту 17 розділу 3 слова "</w:t>
            </w:r>
            <w:r w:rsidRPr="00286216">
              <w:rPr>
                <w:color w:val="000000" w:themeColor="text1"/>
                <w:szCs w:val="18"/>
              </w:rPr>
              <w:t>номінальної вартості" замінити словами "до 10 відсотків від номінальної вартості".</w:t>
            </w:r>
          </w:p>
          <w:p w14:paraId="438C5523" w14:textId="20971293" w:rsidR="008E6EDB" w:rsidRPr="00286216" w:rsidRDefault="008E6EDB" w:rsidP="008E6EDB">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1371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9AAEA6A" w14:textId="77777777" w:rsidR="008E6EDB" w:rsidRPr="00286216" w:rsidRDefault="008E6EDB" w:rsidP="008E6EDB">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2CEFE862" w14:textId="77777777" w:rsidR="008E6EDB" w:rsidRPr="00286216" w:rsidRDefault="008E6EDB" w:rsidP="008E6EDB">
            <w:pPr>
              <w:pStyle w:val="StyleProp"/>
              <w:rPr>
                <w:rFonts w:eastAsia="Calibri"/>
                <w:color w:val="000000" w:themeColor="text1"/>
                <w:szCs w:val="18"/>
              </w:rPr>
            </w:pPr>
            <w:r w:rsidRPr="00286216">
              <w:rPr>
                <w:color w:val="000000" w:themeColor="text1"/>
                <w:szCs w:val="18"/>
              </w:rPr>
              <w:t>В абзаці 39 підпункту «б» підпункту 13 пункту 17 слово «регульованих» замінити словами  «організованих</w:t>
            </w:r>
            <w:r w:rsidRPr="00286216">
              <w:rPr>
                <w:color w:val="000000" w:themeColor="text1"/>
              </w:rPr>
              <w:t xml:space="preserve"> товарних</w:t>
            </w:r>
            <w:r w:rsidRPr="00286216">
              <w:rPr>
                <w:color w:val="000000" w:themeColor="text1"/>
                <w:szCs w:val="18"/>
              </w:rPr>
              <w:t>».</w:t>
            </w:r>
          </w:p>
        </w:tc>
        <w:tc>
          <w:tcPr>
            <w:tcW w:w="1987" w:type="dxa"/>
          </w:tcPr>
          <w:p w14:paraId="0AB2C575" w14:textId="77777777" w:rsidR="008E6EDB" w:rsidRPr="00286216" w:rsidRDefault="008E6EDB" w:rsidP="008E6EDB">
            <w:pPr>
              <w:pStyle w:val="StyleWisnow"/>
              <w:spacing w:line="180" w:lineRule="exact"/>
              <w:rPr>
                <w:rFonts w:eastAsia="Calibri"/>
                <w:color w:val="000000" w:themeColor="text1"/>
              </w:rPr>
            </w:pPr>
            <w:r w:rsidRPr="00286216">
              <w:rPr>
                <w:rFonts w:eastAsia="Calibri"/>
                <w:color w:val="000000" w:themeColor="text1"/>
              </w:rPr>
              <w:t>Враховано</w:t>
            </w:r>
          </w:p>
          <w:p w14:paraId="074DC26B" w14:textId="77777777" w:rsidR="008E6EDB" w:rsidRPr="00286216" w:rsidRDefault="008E6EDB" w:rsidP="008E6EDB">
            <w:pPr>
              <w:pStyle w:val="StyleWisnow"/>
              <w:spacing w:line="180" w:lineRule="exact"/>
              <w:rPr>
                <w:rFonts w:eastAsia="Calibri"/>
                <w:color w:val="000000" w:themeColor="text1"/>
              </w:rPr>
            </w:pPr>
          </w:p>
          <w:p w14:paraId="4D283D17" w14:textId="77777777" w:rsidR="008E6EDB" w:rsidRPr="00286216" w:rsidRDefault="008E6EDB" w:rsidP="008E6EDB">
            <w:pPr>
              <w:pStyle w:val="StyleWisnow"/>
              <w:spacing w:line="180" w:lineRule="exact"/>
              <w:rPr>
                <w:rFonts w:eastAsia="Calibri"/>
                <w:color w:val="000000" w:themeColor="text1"/>
              </w:rPr>
            </w:pPr>
          </w:p>
          <w:p w14:paraId="1BBC7A5E" w14:textId="77777777" w:rsidR="008E6EDB" w:rsidRPr="00286216" w:rsidRDefault="008E6EDB" w:rsidP="008E6EDB">
            <w:pPr>
              <w:pStyle w:val="StyleWisnow"/>
              <w:spacing w:line="180" w:lineRule="exact"/>
              <w:rPr>
                <w:rFonts w:eastAsia="Calibri"/>
                <w:color w:val="000000" w:themeColor="text1"/>
              </w:rPr>
            </w:pPr>
          </w:p>
          <w:p w14:paraId="28AF27EA" w14:textId="77777777" w:rsidR="008E6EDB" w:rsidRPr="00286216" w:rsidRDefault="008E6EDB" w:rsidP="008E6EDB">
            <w:pPr>
              <w:pStyle w:val="StyleWisnow"/>
              <w:spacing w:line="180" w:lineRule="exact"/>
              <w:rPr>
                <w:rFonts w:eastAsia="Calibri"/>
                <w:color w:val="000000" w:themeColor="text1"/>
              </w:rPr>
            </w:pPr>
          </w:p>
          <w:p w14:paraId="629B0596" w14:textId="77777777" w:rsidR="008E6EDB" w:rsidRPr="00286216" w:rsidRDefault="008E6EDB" w:rsidP="008E6EDB">
            <w:pPr>
              <w:pStyle w:val="StyleWisnow"/>
              <w:spacing w:line="180" w:lineRule="exact"/>
              <w:rPr>
                <w:rFonts w:eastAsia="Calibri"/>
                <w:color w:val="000000" w:themeColor="text1"/>
              </w:rPr>
            </w:pPr>
          </w:p>
          <w:p w14:paraId="70323391" w14:textId="77777777" w:rsidR="008E6EDB" w:rsidRPr="00286216" w:rsidRDefault="008E6EDB" w:rsidP="008E6EDB">
            <w:pPr>
              <w:pStyle w:val="StyleWisnow"/>
              <w:spacing w:line="180" w:lineRule="exact"/>
              <w:rPr>
                <w:rFonts w:eastAsia="Calibri"/>
                <w:color w:val="000000" w:themeColor="text1"/>
              </w:rPr>
            </w:pPr>
            <w:r w:rsidRPr="00286216">
              <w:rPr>
                <w:color w:val="000000" w:themeColor="text1"/>
                <w:lang w:eastAsia="uk-UA"/>
              </w:rPr>
              <w:t>Враховано</w:t>
            </w:r>
          </w:p>
        </w:tc>
        <w:tc>
          <w:tcPr>
            <w:tcW w:w="4818" w:type="dxa"/>
          </w:tcPr>
          <w:p w14:paraId="50F126FA" w14:textId="5BE95F83" w:rsidR="008E6EDB" w:rsidRPr="00286216" w:rsidRDefault="008E6EDB" w:rsidP="008E6EDB">
            <w:pPr>
              <w:pStyle w:val="StyleZakonu"/>
              <w:rPr>
                <w:color w:val="000000" w:themeColor="text1"/>
              </w:rPr>
            </w:pPr>
            <w:r w:rsidRPr="00286216">
              <w:rPr>
                <w:color w:val="000000" w:themeColor="text1"/>
              </w:rPr>
              <w:t xml:space="preserve">у розмірі </w:t>
            </w:r>
            <w:r w:rsidRPr="00286216">
              <w:rPr>
                <w:color w:val="000000" w:themeColor="text1"/>
                <w:szCs w:val="18"/>
              </w:rPr>
              <w:t>до 10 відсотків номінальної вартості</w:t>
            </w:r>
            <w:r w:rsidRPr="00286216">
              <w:rPr>
                <w:color w:val="000000" w:themeColor="text1"/>
              </w:rPr>
              <w:t xml:space="preserve"> придбаних акцій (часток) професійного учасника ринків капіталу та організованих товарних ринків, якщо особа набула або збільшила пряму участь у професійному учаснику ринку капіталу та </w:t>
            </w:r>
            <w:r w:rsidRPr="00286216">
              <w:rPr>
                <w:color w:val="000000" w:themeColor="text1"/>
                <w:szCs w:val="18"/>
              </w:rPr>
              <w:t>організованих</w:t>
            </w:r>
            <w:r w:rsidRPr="00286216">
              <w:rPr>
                <w:color w:val="000000" w:themeColor="text1"/>
              </w:rPr>
              <w:t xml:space="preserve"> товарних</w:t>
            </w:r>
            <w:r w:rsidRPr="00286216" w:rsidDel="00107146">
              <w:rPr>
                <w:color w:val="000000" w:themeColor="text1"/>
              </w:rPr>
              <w:t xml:space="preserve"> </w:t>
            </w:r>
            <w:r w:rsidRPr="00286216">
              <w:rPr>
                <w:color w:val="000000" w:themeColor="text1"/>
              </w:rPr>
              <w:t>ринків, -</w:t>
            </w:r>
          </w:p>
        </w:tc>
      </w:tr>
      <w:tr w:rsidR="008E6EDB" w:rsidRPr="00286216" w14:paraId="27938478" w14:textId="77777777" w:rsidTr="00091AA5">
        <w:tc>
          <w:tcPr>
            <w:tcW w:w="576" w:type="dxa"/>
          </w:tcPr>
          <w:p w14:paraId="6804E4C9" w14:textId="77777777" w:rsidR="008E6EDB" w:rsidRPr="00286216" w:rsidRDefault="008E6EDB" w:rsidP="008E6EDB">
            <w:pPr>
              <w:pStyle w:val="StyleWisnow"/>
              <w:rPr>
                <w:color w:val="000000" w:themeColor="text1"/>
              </w:rPr>
            </w:pPr>
            <w:bookmarkStart w:id="2980" w:name="n3109" w:colFirst="0" w:colLast="0"/>
            <w:bookmarkEnd w:id="2979"/>
            <w:r w:rsidRPr="00286216">
              <w:rPr>
                <w:color w:val="000000" w:themeColor="text1"/>
              </w:rPr>
              <w:t>3109.</w:t>
            </w:r>
          </w:p>
        </w:tc>
        <w:tc>
          <w:tcPr>
            <w:tcW w:w="4818" w:type="dxa"/>
          </w:tcPr>
          <w:p w14:paraId="1EC9D434" w14:textId="77777777" w:rsidR="008E6EDB" w:rsidRPr="00286216" w:rsidRDefault="008E6EDB" w:rsidP="008E6EDB">
            <w:pPr>
              <w:pStyle w:val="StyleZakonu"/>
              <w:rPr>
                <w:color w:val="000000" w:themeColor="text1"/>
              </w:rPr>
            </w:pPr>
            <w:r w:rsidRPr="00286216">
              <w:rPr>
                <w:color w:val="000000" w:themeColor="text1"/>
              </w:rPr>
              <w:t>у розмірі номінальної вартості акцій (часток), що належать акціонеру (учаснику) професійного учасника ринків капіталу та організованих товарних ринків, через якого особа набула або збільшила участь у професійному учаснику ринків капіталу та організованих товарних ринків, якщо особа набула або збільшила опосередковану участь у професійному учаснику ринків капіталу та організованих товарних ринків.";</w:t>
            </w:r>
          </w:p>
        </w:tc>
        <w:tc>
          <w:tcPr>
            <w:tcW w:w="3686" w:type="dxa"/>
          </w:tcPr>
          <w:p w14:paraId="1B73B859" w14:textId="2BED564C" w:rsidR="008E6EDB" w:rsidRPr="00286216" w:rsidRDefault="008E6EDB" w:rsidP="008E6EDB">
            <w:pPr>
              <w:pStyle w:val="StyleAwt"/>
              <w:rPr>
                <w:color w:val="000000" w:themeColor="text1"/>
                <w:spacing w:val="-8"/>
                <w:szCs w:val="18"/>
              </w:rPr>
            </w:pP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1372</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173FBE2" w14:textId="4894359D" w:rsidR="008E6EDB" w:rsidRPr="00286216" w:rsidRDefault="008E6EDB" w:rsidP="008E6EDB">
            <w:pPr>
              <w:pStyle w:val="StyleProp"/>
              <w:rPr>
                <w:color w:val="000000" w:themeColor="text1"/>
                <w:szCs w:val="18"/>
              </w:rPr>
            </w:pPr>
            <w:r w:rsidRPr="00286216">
              <w:rPr>
                <w:rFonts w:eastAsia="Calibri"/>
                <w:color w:val="000000" w:themeColor="text1"/>
                <w:szCs w:val="18"/>
              </w:rPr>
              <w:t>В абзаці третьому підпункту 19 пункту 17 розділу 3 слова "</w:t>
            </w:r>
            <w:r w:rsidRPr="00286216">
              <w:rPr>
                <w:color w:val="000000" w:themeColor="text1"/>
                <w:szCs w:val="18"/>
              </w:rPr>
              <w:t>номінальної вартості" замінити словами "до 10 відсотків від номінальної вартості".</w:t>
            </w:r>
          </w:p>
          <w:p w14:paraId="3FDE98EC" w14:textId="77777777" w:rsidR="008E6EDB" w:rsidRPr="00286216" w:rsidRDefault="008E6EDB" w:rsidP="008E6EDB">
            <w:pPr>
              <w:pStyle w:val="StyleProp"/>
              <w:rPr>
                <w:color w:val="000000" w:themeColor="text1"/>
                <w:szCs w:val="18"/>
              </w:rPr>
            </w:pPr>
          </w:p>
        </w:tc>
        <w:tc>
          <w:tcPr>
            <w:tcW w:w="1987" w:type="dxa"/>
          </w:tcPr>
          <w:p w14:paraId="599D5AE4" w14:textId="2D76C266"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04B4CFC6" w14:textId="223C4916" w:rsidR="008E6EDB" w:rsidRPr="00286216" w:rsidRDefault="008E6EDB" w:rsidP="008E6EDB">
            <w:pPr>
              <w:pStyle w:val="StyleZakonu"/>
              <w:rPr>
                <w:color w:val="000000" w:themeColor="text1"/>
              </w:rPr>
            </w:pPr>
            <w:r w:rsidRPr="00286216">
              <w:rPr>
                <w:color w:val="000000" w:themeColor="text1"/>
              </w:rPr>
              <w:t xml:space="preserve">у розмірі </w:t>
            </w:r>
            <w:r w:rsidRPr="00286216">
              <w:rPr>
                <w:color w:val="000000" w:themeColor="text1"/>
                <w:szCs w:val="18"/>
              </w:rPr>
              <w:t xml:space="preserve">до 10 відсотків </w:t>
            </w:r>
            <w:r w:rsidRPr="00286216">
              <w:rPr>
                <w:color w:val="000000" w:themeColor="text1"/>
              </w:rPr>
              <w:t>номінальної вартості акцій (часток), що належать акціонеру (учаснику) професійного учасника ринків капіталу та організованих товарних ринків, через якого особа набула або збільшила участь у професійному учаснику ринків капіталу та організованих товарних ринків, якщо особа набула або збільшила опосередковану участь у професійному учаснику ринків капіталу та організованих товарних ринків";</w:t>
            </w:r>
          </w:p>
        </w:tc>
      </w:tr>
      <w:bookmarkEnd w:id="2980"/>
      <w:tr w:rsidR="008E6EDB" w:rsidRPr="00286216" w14:paraId="4A3A419D" w14:textId="77777777" w:rsidTr="00091AA5">
        <w:tc>
          <w:tcPr>
            <w:tcW w:w="576" w:type="dxa"/>
          </w:tcPr>
          <w:p w14:paraId="13EBD79B" w14:textId="77777777" w:rsidR="008E6EDB" w:rsidRPr="00286216" w:rsidRDefault="008E6EDB" w:rsidP="008E6EDB">
            <w:pPr>
              <w:pStyle w:val="StyleWisnow"/>
              <w:rPr>
                <w:color w:val="000000" w:themeColor="text1"/>
              </w:rPr>
            </w:pPr>
          </w:p>
        </w:tc>
        <w:tc>
          <w:tcPr>
            <w:tcW w:w="4818" w:type="dxa"/>
          </w:tcPr>
          <w:p w14:paraId="59BB0C9B" w14:textId="77777777" w:rsidR="008E6EDB" w:rsidRPr="00286216" w:rsidRDefault="008E6EDB" w:rsidP="008E6EDB">
            <w:pPr>
              <w:pStyle w:val="StyleZakonu"/>
              <w:rPr>
                <w:color w:val="000000" w:themeColor="text1"/>
              </w:rPr>
            </w:pPr>
          </w:p>
        </w:tc>
        <w:tc>
          <w:tcPr>
            <w:tcW w:w="3686" w:type="dxa"/>
          </w:tcPr>
          <w:p w14:paraId="7D91EF3C" w14:textId="29609A88" w:rsidR="008E6EDB" w:rsidRPr="00286216" w:rsidRDefault="008E6EDB" w:rsidP="008E6EDB">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1373</w:t>
            </w:r>
            <w:r w:rsidRPr="00286216">
              <w:rPr>
                <w:color w:val="000000" w:themeColor="text1"/>
                <w:spacing w:val="-10"/>
              </w:rPr>
              <w:fldChar w:fldCharType="end"/>
            </w:r>
            <w:r w:rsidRPr="00286216">
              <w:rPr>
                <w:color w:val="000000" w:themeColor="text1"/>
                <w:spacing w:val="-10"/>
              </w:rPr>
              <w:t>-Н.д.Гетманцев Д.О.(Реєстр.картка №245)</w:t>
            </w:r>
          </w:p>
          <w:p w14:paraId="6293BC18" w14:textId="77777777" w:rsidR="008E6EDB" w:rsidRPr="00286216" w:rsidRDefault="008E6EDB" w:rsidP="008E6EDB">
            <w:pPr>
              <w:pStyle w:val="StyleProp"/>
              <w:spacing w:line="180" w:lineRule="exact"/>
              <w:rPr>
                <w:color w:val="000000" w:themeColor="text1"/>
                <w:spacing w:val="-2"/>
              </w:rPr>
            </w:pPr>
            <w:r w:rsidRPr="00286216">
              <w:rPr>
                <w:color w:val="000000" w:themeColor="text1"/>
                <w:spacing w:val="-2"/>
              </w:rPr>
              <w:t>У пункті 17 у підпункті тринадцятому доповнити новим підпунктом такого змісту:</w:t>
            </w:r>
          </w:p>
          <w:p w14:paraId="58A3C2C1" w14:textId="77777777" w:rsidR="008E6EDB" w:rsidRPr="00286216" w:rsidRDefault="008E6EDB" w:rsidP="008E6EDB">
            <w:pPr>
              <w:pStyle w:val="StyleProp"/>
              <w:spacing w:line="180" w:lineRule="exact"/>
              <w:rPr>
                <w:color w:val="000000" w:themeColor="text1"/>
                <w:spacing w:val="-2"/>
              </w:rPr>
            </w:pPr>
            <w:r w:rsidRPr="00286216">
              <w:rPr>
                <w:color w:val="000000" w:themeColor="text1"/>
                <w:spacing w:val="-2"/>
              </w:rPr>
              <w:t>«в) частину першу після пункту 20 доповнити новими абзацами такого змісту:</w:t>
            </w:r>
          </w:p>
          <w:p w14:paraId="1D733E62" w14:textId="77777777" w:rsidR="008E6EDB" w:rsidRPr="00286216" w:rsidRDefault="008E6EDB" w:rsidP="008E6EDB">
            <w:pPr>
              <w:pStyle w:val="StyleProp"/>
              <w:spacing w:line="180" w:lineRule="exact"/>
              <w:rPr>
                <w:color w:val="000000" w:themeColor="text1"/>
                <w:spacing w:val="-2"/>
              </w:rPr>
            </w:pPr>
            <w:r w:rsidRPr="00286216">
              <w:rPr>
                <w:color w:val="000000" w:themeColor="text1"/>
                <w:spacing w:val="-2"/>
              </w:rPr>
              <w:t xml:space="preserve">«Національна комісія з цінних паперів та фондового ринку застосовує до особи, яка набула або збільшила істотну участь у </w:t>
            </w:r>
            <w:r w:rsidRPr="00286216">
              <w:rPr>
                <w:color w:val="000000" w:themeColor="text1"/>
                <w:spacing w:val="-2"/>
              </w:rPr>
              <w:lastRenderedPageBreak/>
              <w:t>професійному учаснику ринків капіталу та організованих товарних ринків, або до будь-якої з осіб у структурі власності професійного учасника ринків капіталу та організованих товарних ринків, через яку така особа набула або збільшила істотну участь у професійному учаснику ринків капіталу та організованих товарних ринків, фінансові санкції за порушення порядку набуття або збільшення участі у професійному учаснику ринків капіталу та організованих товарних ринків, -</w:t>
            </w:r>
          </w:p>
          <w:p w14:paraId="692CE807" w14:textId="77777777" w:rsidR="008E6EDB" w:rsidRPr="00286216" w:rsidRDefault="008E6EDB" w:rsidP="008E6EDB">
            <w:pPr>
              <w:pStyle w:val="StyleProp"/>
              <w:spacing w:line="180" w:lineRule="exact"/>
              <w:rPr>
                <w:color w:val="000000" w:themeColor="text1"/>
                <w:spacing w:val="-2"/>
              </w:rPr>
            </w:pPr>
            <w:r w:rsidRPr="00286216">
              <w:rPr>
                <w:color w:val="000000" w:themeColor="text1"/>
                <w:spacing w:val="-2"/>
              </w:rPr>
              <w:t>у розмірі до 10 відсотків номінальної вартості придбаних акцій (часток) професійного учасника ринків капіталу та організованих товарних ринків, якщо особа набула або збільшила пряму участь у професійному учаснику ринку капіталу та регульованих ринків, -</w:t>
            </w:r>
          </w:p>
          <w:p w14:paraId="77DF7218" w14:textId="7ACE37BF" w:rsidR="008E6EDB" w:rsidRPr="00286216" w:rsidRDefault="008E6EDB" w:rsidP="008E6EDB">
            <w:pPr>
              <w:pStyle w:val="StyleProp"/>
              <w:spacing w:line="180" w:lineRule="exact"/>
              <w:rPr>
                <w:color w:val="000000" w:themeColor="text1"/>
                <w:szCs w:val="18"/>
              </w:rPr>
            </w:pPr>
            <w:r w:rsidRPr="00286216">
              <w:rPr>
                <w:color w:val="000000" w:themeColor="text1"/>
                <w:spacing w:val="-2"/>
              </w:rPr>
              <w:t>у розмірі до 10 відсотків номінальної вартості акцій (часток), що належать акціонеру (учаснику) професійного учасника ринків капіталу та організованих товарних ринків, через якого особа набула або збільшила участь у професійному учаснику ринків капіталу та організованих товарних ринків, якщо особа набула або збільшила опосередковану участь у професійному учаснику ринків капіталу та організованих товарних ринків.»</w:t>
            </w:r>
          </w:p>
        </w:tc>
        <w:tc>
          <w:tcPr>
            <w:tcW w:w="1987" w:type="dxa"/>
          </w:tcPr>
          <w:p w14:paraId="5228F01D" w14:textId="543D871B" w:rsidR="008E6EDB" w:rsidRPr="00286216" w:rsidRDefault="008E6EDB" w:rsidP="008E6EDB">
            <w:pPr>
              <w:pStyle w:val="StyleWisnow"/>
              <w:spacing w:line="180" w:lineRule="exact"/>
              <w:rPr>
                <w:rFonts w:eastAsia="Calibri"/>
                <w:color w:val="000000" w:themeColor="text1"/>
              </w:rPr>
            </w:pPr>
            <w:r w:rsidRPr="00286216">
              <w:rPr>
                <w:color w:val="000000" w:themeColor="text1"/>
              </w:rPr>
              <w:lastRenderedPageBreak/>
              <w:t>Враховано</w:t>
            </w:r>
          </w:p>
        </w:tc>
        <w:tc>
          <w:tcPr>
            <w:tcW w:w="4818" w:type="dxa"/>
          </w:tcPr>
          <w:p w14:paraId="6EF8F51D" w14:textId="77777777" w:rsidR="008E6EDB" w:rsidRPr="00286216" w:rsidRDefault="008E6EDB" w:rsidP="008E6EDB">
            <w:pPr>
              <w:pStyle w:val="StyleZakonu"/>
              <w:rPr>
                <w:color w:val="000000" w:themeColor="text1"/>
              </w:rPr>
            </w:pPr>
            <w:r w:rsidRPr="00286216">
              <w:rPr>
                <w:color w:val="000000" w:themeColor="text1"/>
              </w:rPr>
              <w:t>в) частину першу після пункту 20 доповнити новими абзацами такого змісту:</w:t>
            </w:r>
          </w:p>
          <w:p w14:paraId="5FE054A4" w14:textId="569D3806" w:rsidR="008E6EDB" w:rsidRPr="00286216" w:rsidRDefault="008E6EDB" w:rsidP="008E6EDB">
            <w:pPr>
              <w:pStyle w:val="StyleZakonu"/>
              <w:rPr>
                <w:color w:val="000000" w:themeColor="text1"/>
              </w:rPr>
            </w:pPr>
            <w:r w:rsidRPr="00286216">
              <w:rPr>
                <w:color w:val="000000" w:themeColor="text1"/>
              </w:rPr>
              <w:t xml:space="preserve">"Національна комісія з цінних паперів та фондового ринку застосовує до особи, яка набула або збільшила істотну участь у професійному учаснику ринків капіталу та організованих товарних ринків, або </w:t>
            </w:r>
            <w:r w:rsidRPr="00286216">
              <w:rPr>
                <w:color w:val="000000" w:themeColor="text1"/>
              </w:rPr>
              <w:lastRenderedPageBreak/>
              <w:t>до будь-якої з осіб у структурі власності професійного учасника ринків капіталу та організованих товарних ринків, через яку така особа набула або збільшила істотну участь у професійному учаснику ринків капіталу та організованих товарних ринків, фінансові санкції за порушення порядку набуття або збільшення участі у професійному учаснику ринків капіталу та організованих товарних ринків, -</w:t>
            </w:r>
          </w:p>
          <w:p w14:paraId="3C1C0234" w14:textId="77777777" w:rsidR="008E6EDB" w:rsidRPr="00286216" w:rsidRDefault="008E6EDB" w:rsidP="008E6EDB">
            <w:pPr>
              <w:pStyle w:val="StyleZakonu"/>
              <w:rPr>
                <w:color w:val="000000" w:themeColor="text1"/>
              </w:rPr>
            </w:pPr>
            <w:r w:rsidRPr="00286216">
              <w:rPr>
                <w:color w:val="000000" w:themeColor="text1"/>
              </w:rPr>
              <w:t>у розмірі до 10 відсотків номінальної вартості придбаних акцій (часток) професійного учасника ринків капіталу та організованих товарних ринків, якщо особа набула або збільшила пряму участь у професійному учаснику ринку капіталу та організованих товарних ринків, -</w:t>
            </w:r>
          </w:p>
          <w:p w14:paraId="079069DF" w14:textId="0C623D8A" w:rsidR="008E6EDB" w:rsidRPr="00286216" w:rsidRDefault="008E6EDB" w:rsidP="008E6EDB">
            <w:pPr>
              <w:pStyle w:val="StyleZakonu"/>
              <w:rPr>
                <w:color w:val="000000" w:themeColor="text1"/>
              </w:rPr>
            </w:pPr>
            <w:r w:rsidRPr="00286216">
              <w:rPr>
                <w:color w:val="000000" w:themeColor="text1"/>
              </w:rPr>
              <w:t>у розмірі до 10 відсотків номінальної вартості акцій (часток), що належать акціонеру (учаснику) професійного учасника ринків капіталу та організованих товарних ринків, через якого особа набула або збільшила участь у професійному учаснику ринків капіталу та організованих товарних ринків, якщо особа набула або збільшила опосередковану участь у професійному учаснику ринків капіталу та організованих товарних ринків";</w:t>
            </w:r>
          </w:p>
        </w:tc>
      </w:tr>
      <w:tr w:rsidR="008E6EDB" w:rsidRPr="00286216" w14:paraId="754CC2D4" w14:textId="77777777" w:rsidTr="00091AA5">
        <w:tc>
          <w:tcPr>
            <w:tcW w:w="576" w:type="dxa"/>
          </w:tcPr>
          <w:p w14:paraId="614DC982" w14:textId="77777777" w:rsidR="008E6EDB" w:rsidRPr="00286216" w:rsidRDefault="008E6EDB" w:rsidP="008E6EDB">
            <w:pPr>
              <w:pStyle w:val="StyleWisnow"/>
              <w:rPr>
                <w:color w:val="000000" w:themeColor="text1"/>
              </w:rPr>
            </w:pPr>
            <w:bookmarkStart w:id="2981" w:name="n3110" w:colFirst="0" w:colLast="0"/>
            <w:r w:rsidRPr="00286216">
              <w:rPr>
                <w:color w:val="000000" w:themeColor="text1"/>
              </w:rPr>
              <w:lastRenderedPageBreak/>
              <w:t>3110.</w:t>
            </w:r>
          </w:p>
        </w:tc>
        <w:tc>
          <w:tcPr>
            <w:tcW w:w="4818" w:type="dxa"/>
          </w:tcPr>
          <w:p w14:paraId="003858DF" w14:textId="77777777" w:rsidR="008E6EDB" w:rsidRPr="00286216" w:rsidRDefault="008E6EDB" w:rsidP="008E6EDB">
            <w:pPr>
              <w:pStyle w:val="StyleZakonu"/>
              <w:rPr>
                <w:color w:val="000000" w:themeColor="text1"/>
              </w:rPr>
            </w:pPr>
            <w:r w:rsidRPr="00286216">
              <w:rPr>
                <w:color w:val="000000" w:themeColor="text1"/>
              </w:rPr>
              <w:t>і) абзац шістдесят перший доповнити словами та знаками ", передбачену статтею 4 цього Закону.";</w:t>
            </w:r>
          </w:p>
        </w:tc>
        <w:tc>
          <w:tcPr>
            <w:tcW w:w="3686" w:type="dxa"/>
          </w:tcPr>
          <w:p w14:paraId="0CB611EC" w14:textId="77777777" w:rsidR="008E6EDB" w:rsidRPr="00286216" w:rsidRDefault="008E6EDB" w:rsidP="008E6EDB">
            <w:pPr>
              <w:pStyle w:val="StyleProp"/>
              <w:rPr>
                <w:color w:val="000000" w:themeColor="text1"/>
                <w:szCs w:val="18"/>
              </w:rPr>
            </w:pPr>
          </w:p>
        </w:tc>
        <w:tc>
          <w:tcPr>
            <w:tcW w:w="1987" w:type="dxa"/>
          </w:tcPr>
          <w:p w14:paraId="3FDA32F9" w14:textId="77777777" w:rsidR="008E6EDB" w:rsidRPr="00286216" w:rsidRDefault="008E6EDB" w:rsidP="008E6EDB">
            <w:pPr>
              <w:pStyle w:val="StyleWisnow"/>
              <w:spacing w:line="180" w:lineRule="exact"/>
              <w:rPr>
                <w:rFonts w:eastAsia="Calibri"/>
                <w:color w:val="000000" w:themeColor="text1"/>
              </w:rPr>
            </w:pPr>
          </w:p>
        </w:tc>
        <w:tc>
          <w:tcPr>
            <w:tcW w:w="4818" w:type="dxa"/>
          </w:tcPr>
          <w:p w14:paraId="30E25111" w14:textId="2B0F8C7A" w:rsidR="008E6EDB" w:rsidRPr="00286216" w:rsidRDefault="008E6EDB" w:rsidP="008E6EDB">
            <w:pPr>
              <w:pStyle w:val="StyleZakonu"/>
              <w:rPr>
                <w:color w:val="000000" w:themeColor="text1"/>
              </w:rPr>
            </w:pPr>
            <w:r w:rsidRPr="00286216">
              <w:rPr>
                <w:color w:val="000000" w:themeColor="text1"/>
              </w:rPr>
              <w:t>г) абзац шістдесят перший доповнити словами "передбачену статтею 4 цього Закону";</w:t>
            </w:r>
          </w:p>
        </w:tc>
      </w:tr>
      <w:tr w:rsidR="008E6EDB" w:rsidRPr="00286216" w14:paraId="109D50E3" w14:textId="77777777" w:rsidTr="00091AA5">
        <w:tc>
          <w:tcPr>
            <w:tcW w:w="576" w:type="dxa"/>
          </w:tcPr>
          <w:p w14:paraId="1CDB2E10" w14:textId="77777777" w:rsidR="008E6EDB" w:rsidRPr="00286216" w:rsidRDefault="008E6EDB" w:rsidP="008E6EDB">
            <w:pPr>
              <w:pStyle w:val="StyleWisnow"/>
              <w:rPr>
                <w:color w:val="000000" w:themeColor="text1"/>
              </w:rPr>
            </w:pPr>
            <w:bookmarkStart w:id="2982" w:name="n3111" w:colFirst="0" w:colLast="0"/>
            <w:bookmarkEnd w:id="2981"/>
            <w:r w:rsidRPr="00286216">
              <w:rPr>
                <w:color w:val="000000" w:themeColor="text1"/>
              </w:rPr>
              <w:t>3111.</w:t>
            </w:r>
          </w:p>
        </w:tc>
        <w:tc>
          <w:tcPr>
            <w:tcW w:w="4818" w:type="dxa"/>
          </w:tcPr>
          <w:p w14:paraId="1F82D6C9" w14:textId="77777777" w:rsidR="008E6EDB" w:rsidRPr="00286216" w:rsidRDefault="008E6EDB" w:rsidP="008E6EDB">
            <w:pPr>
              <w:pStyle w:val="StyleZakonu"/>
              <w:rPr>
                <w:color w:val="000000" w:themeColor="text1"/>
              </w:rPr>
            </w:pPr>
            <w:r w:rsidRPr="00286216">
              <w:rPr>
                <w:color w:val="000000" w:themeColor="text1"/>
              </w:rPr>
              <w:t>ї) у абзаці шістдесят другому слова "фондового ринку" замінити словами "ринків капіталу";</w:t>
            </w:r>
          </w:p>
        </w:tc>
        <w:tc>
          <w:tcPr>
            <w:tcW w:w="3686" w:type="dxa"/>
          </w:tcPr>
          <w:p w14:paraId="79768E9E" w14:textId="77777777" w:rsidR="008E6EDB" w:rsidRPr="00286216" w:rsidRDefault="008E6EDB" w:rsidP="008E6EDB">
            <w:pPr>
              <w:pStyle w:val="StyleProp"/>
              <w:rPr>
                <w:color w:val="000000" w:themeColor="text1"/>
                <w:szCs w:val="18"/>
              </w:rPr>
            </w:pPr>
          </w:p>
        </w:tc>
        <w:tc>
          <w:tcPr>
            <w:tcW w:w="1987" w:type="dxa"/>
          </w:tcPr>
          <w:p w14:paraId="544A4D0A" w14:textId="77777777" w:rsidR="008E6EDB" w:rsidRPr="00286216" w:rsidRDefault="008E6EDB" w:rsidP="008E6EDB">
            <w:pPr>
              <w:pStyle w:val="StyleWisnow"/>
              <w:spacing w:line="180" w:lineRule="exact"/>
              <w:rPr>
                <w:rFonts w:eastAsia="Calibri"/>
                <w:color w:val="000000" w:themeColor="text1"/>
              </w:rPr>
            </w:pPr>
          </w:p>
        </w:tc>
        <w:tc>
          <w:tcPr>
            <w:tcW w:w="4818" w:type="dxa"/>
          </w:tcPr>
          <w:p w14:paraId="417A6C66" w14:textId="7AED7B90" w:rsidR="008E6EDB" w:rsidRPr="00286216" w:rsidRDefault="008E6EDB" w:rsidP="008E6EDB">
            <w:pPr>
              <w:pStyle w:val="StyleZakonu"/>
              <w:rPr>
                <w:color w:val="000000" w:themeColor="text1"/>
              </w:rPr>
            </w:pPr>
            <w:r w:rsidRPr="00286216">
              <w:rPr>
                <w:color w:val="000000" w:themeColor="text1"/>
              </w:rPr>
              <w:t>ґ) у абзаці шістдесят другому слова "фондового ринку" замінити словами "ринків капіталу";</w:t>
            </w:r>
          </w:p>
        </w:tc>
      </w:tr>
      <w:tr w:rsidR="008E6EDB" w:rsidRPr="00286216" w14:paraId="62998195" w14:textId="77777777" w:rsidTr="00091AA5">
        <w:tc>
          <w:tcPr>
            <w:tcW w:w="576" w:type="dxa"/>
          </w:tcPr>
          <w:p w14:paraId="45AF0A76" w14:textId="77777777" w:rsidR="008E6EDB" w:rsidRPr="00286216" w:rsidRDefault="008E6EDB" w:rsidP="008E6EDB">
            <w:pPr>
              <w:pStyle w:val="StyleWisnow"/>
              <w:rPr>
                <w:color w:val="000000" w:themeColor="text1"/>
              </w:rPr>
            </w:pPr>
            <w:bookmarkStart w:id="2983" w:name="n3112" w:colFirst="0" w:colLast="0"/>
            <w:bookmarkEnd w:id="2982"/>
            <w:r w:rsidRPr="00286216">
              <w:rPr>
                <w:color w:val="000000" w:themeColor="text1"/>
              </w:rPr>
              <w:t>3112.</w:t>
            </w:r>
          </w:p>
        </w:tc>
        <w:tc>
          <w:tcPr>
            <w:tcW w:w="4818" w:type="dxa"/>
          </w:tcPr>
          <w:p w14:paraId="67312C5A" w14:textId="77777777" w:rsidR="008E6EDB" w:rsidRPr="00286216" w:rsidRDefault="008E6EDB" w:rsidP="008E6EDB">
            <w:pPr>
              <w:pStyle w:val="StyleZakonu"/>
              <w:rPr>
                <w:color w:val="000000" w:themeColor="text1"/>
              </w:rPr>
            </w:pPr>
            <w:r w:rsidRPr="00286216">
              <w:rPr>
                <w:color w:val="000000" w:themeColor="text1"/>
              </w:rPr>
              <w:t>14) у абзаці четвертому частини першої статті 11</w:t>
            </w:r>
            <w:r w:rsidRPr="00286216">
              <w:rPr>
                <w:color w:val="000000" w:themeColor="text1"/>
                <w:vertAlign w:val="superscript"/>
              </w:rPr>
              <w:t>2</w:t>
            </w:r>
            <w:r w:rsidRPr="00286216">
              <w:rPr>
                <w:color w:val="000000" w:themeColor="text1"/>
              </w:rPr>
              <w:t xml:space="preserve"> слова "високі професійні та моральні якості, " виключити, а слова "з цінними паперами" замінити словами "на ринках капіталу та організованих товарних ринках";</w:t>
            </w:r>
          </w:p>
        </w:tc>
        <w:tc>
          <w:tcPr>
            <w:tcW w:w="3686" w:type="dxa"/>
          </w:tcPr>
          <w:p w14:paraId="647F7094" w14:textId="77777777" w:rsidR="008E6EDB" w:rsidRPr="00286216" w:rsidRDefault="008E6EDB" w:rsidP="008E6EDB">
            <w:pPr>
              <w:pStyle w:val="StyleProp"/>
              <w:rPr>
                <w:color w:val="000000" w:themeColor="text1"/>
                <w:szCs w:val="18"/>
              </w:rPr>
            </w:pPr>
          </w:p>
        </w:tc>
        <w:tc>
          <w:tcPr>
            <w:tcW w:w="1987" w:type="dxa"/>
          </w:tcPr>
          <w:p w14:paraId="080ECF96" w14:textId="77777777" w:rsidR="008E6EDB" w:rsidRPr="00286216" w:rsidRDefault="008E6EDB" w:rsidP="008E6EDB">
            <w:pPr>
              <w:pStyle w:val="StyleWisnow"/>
              <w:spacing w:line="180" w:lineRule="exact"/>
              <w:rPr>
                <w:rFonts w:eastAsia="Calibri"/>
                <w:color w:val="000000" w:themeColor="text1"/>
              </w:rPr>
            </w:pPr>
          </w:p>
        </w:tc>
        <w:tc>
          <w:tcPr>
            <w:tcW w:w="4818" w:type="dxa"/>
          </w:tcPr>
          <w:p w14:paraId="3B3E5D99" w14:textId="355E1143" w:rsidR="008E6EDB" w:rsidRPr="00286216" w:rsidRDefault="008E6EDB" w:rsidP="008E6EDB">
            <w:pPr>
              <w:pStyle w:val="StyleZakonu"/>
              <w:rPr>
                <w:color w:val="000000" w:themeColor="text1"/>
              </w:rPr>
            </w:pPr>
            <w:r w:rsidRPr="00286216">
              <w:rPr>
                <w:color w:val="000000" w:themeColor="text1"/>
              </w:rPr>
              <w:t>15) в абзаці четвертому частини першої статті 11</w:t>
            </w:r>
            <w:r w:rsidRPr="00286216">
              <w:rPr>
                <w:color w:val="000000" w:themeColor="text1"/>
                <w:vertAlign w:val="superscript"/>
              </w:rPr>
              <w:t>2</w:t>
            </w:r>
            <w:r w:rsidRPr="00286216">
              <w:rPr>
                <w:color w:val="000000" w:themeColor="text1"/>
              </w:rPr>
              <w:t xml:space="preserve"> слова "високі професійні та моральні якості" виключити, а слова "з цінними паперами" замінити словами "на ринках капіталу та організованих товарних ринках";</w:t>
            </w:r>
          </w:p>
        </w:tc>
      </w:tr>
      <w:bookmarkEnd w:id="2983"/>
      <w:tr w:rsidR="008E6EDB" w:rsidRPr="00286216" w14:paraId="59F32B72" w14:textId="77777777" w:rsidTr="00091AA5">
        <w:tc>
          <w:tcPr>
            <w:tcW w:w="576" w:type="dxa"/>
          </w:tcPr>
          <w:p w14:paraId="360D2A83" w14:textId="77777777" w:rsidR="008E6EDB" w:rsidRPr="00286216" w:rsidRDefault="008E6EDB" w:rsidP="008E6EDB">
            <w:pPr>
              <w:pStyle w:val="StyleWisnow"/>
              <w:rPr>
                <w:color w:val="000000" w:themeColor="text1"/>
              </w:rPr>
            </w:pPr>
          </w:p>
        </w:tc>
        <w:tc>
          <w:tcPr>
            <w:tcW w:w="4818" w:type="dxa"/>
          </w:tcPr>
          <w:p w14:paraId="3224C752" w14:textId="77777777" w:rsidR="008E6EDB" w:rsidRPr="00286216" w:rsidRDefault="008E6EDB" w:rsidP="008E6EDB">
            <w:pPr>
              <w:pStyle w:val="StyleZakonu"/>
              <w:rPr>
                <w:color w:val="000000" w:themeColor="text1"/>
              </w:rPr>
            </w:pPr>
          </w:p>
        </w:tc>
        <w:tc>
          <w:tcPr>
            <w:tcW w:w="3686" w:type="dxa"/>
          </w:tcPr>
          <w:p w14:paraId="47FF6590" w14:textId="171436FA"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1374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BE817CF" w14:textId="77777777" w:rsidR="008E6EDB" w:rsidRPr="00286216" w:rsidRDefault="008E6EDB" w:rsidP="008E6EDB">
            <w:pPr>
              <w:pStyle w:val="StyleProp"/>
              <w:spacing w:line="180" w:lineRule="exact"/>
              <w:rPr>
                <w:color w:val="000000" w:themeColor="text1"/>
                <w:szCs w:val="18"/>
              </w:rPr>
            </w:pPr>
            <w:r w:rsidRPr="00286216">
              <w:rPr>
                <w:color w:val="000000" w:themeColor="text1"/>
                <w:szCs w:val="18"/>
              </w:rPr>
              <w:t>Доповнити пункт 17 новим підпунктом 15 такого змісту:</w:t>
            </w:r>
          </w:p>
          <w:p w14:paraId="78394435" w14:textId="46E93C81" w:rsidR="008E6EDB" w:rsidRPr="00286216" w:rsidRDefault="008E6EDB" w:rsidP="008E6EDB">
            <w:pPr>
              <w:pStyle w:val="StyleProp"/>
              <w:spacing w:line="180" w:lineRule="exact"/>
              <w:rPr>
                <w:color w:val="000000" w:themeColor="text1"/>
                <w:szCs w:val="18"/>
              </w:rPr>
            </w:pPr>
            <w:r w:rsidRPr="00286216">
              <w:rPr>
                <w:color w:val="000000" w:themeColor="text1"/>
                <w:szCs w:val="18"/>
              </w:rPr>
              <w:t>«15) друге речення частини п’ятої статті 12 доповнити словами «офіційним каналом зв’язку»;».</w:t>
            </w:r>
          </w:p>
        </w:tc>
        <w:tc>
          <w:tcPr>
            <w:tcW w:w="1987" w:type="dxa"/>
          </w:tcPr>
          <w:p w14:paraId="47FA9B7E"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742C1373" w14:textId="5EFE5664" w:rsidR="008E6EDB" w:rsidRPr="00286216" w:rsidRDefault="008E6EDB" w:rsidP="008E6EDB">
            <w:pPr>
              <w:pStyle w:val="StyleZakonu"/>
              <w:rPr>
                <w:color w:val="000000" w:themeColor="text1"/>
              </w:rPr>
            </w:pPr>
            <w:r w:rsidRPr="00286216">
              <w:rPr>
                <w:color w:val="000000" w:themeColor="text1"/>
              </w:rPr>
              <w:t>16) друге речення частини п’ятої статті 12 доповнити словами «офіційним каналом зв’язку»;</w:t>
            </w:r>
          </w:p>
        </w:tc>
      </w:tr>
      <w:tr w:rsidR="00630147" w:rsidRPr="00286216" w14:paraId="1518D54F" w14:textId="77777777" w:rsidTr="00091AA5">
        <w:tc>
          <w:tcPr>
            <w:tcW w:w="576" w:type="dxa"/>
          </w:tcPr>
          <w:p w14:paraId="60D69A3D" w14:textId="77777777" w:rsidR="00630147" w:rsidRPr="00286216" w:rsidRDefault="00630147" w:rsidP="00630147">
            <w:pPr>
              <w:pStyle w:val="StyleWisnow"/>
              <w:rPr>
                <w:color w:val="000000" w:themeColor="text1"/>
              </w:rPr>
            </w:pPr>
            <w:bookmarkStart w:id="2984" w:name="n3113" w:colFirst="0" w:colLast="0"/>
            <w:r w:rsidRPr="00286216">
              <w:rPr>
                <w:color w:val="000000" w:themeColor="text1"/>
              </w:rPr>
              <w:t>3113.</w:t>
            </w:r>
          </w:p>
        </w:tc>
        <w:tc>
          <w:tcPr>
            <w:tcW w:w="4818" w:type="dxa"/>
          </w:tcPr>
          <w:p w14:paraId="23E81098" w14:textId="77777777" w:rsidR="00630147" w:rsidRPr="00286216" w:rsidRDefault="00630147" w:rsidP="00630147">
            <w:pPr>
              <w:pStyle w:val="StyleZakonu"/>
              <w:rPr>
                <w:color w:val="000000" w:themeColor="text1"/>
              </w:rPr>
            </w:pPr>
            <w:r w:rsidRPr="00286216">
              <w:rPr>
                <w:color w:val="000000" w:themeColor="text1"/>
              </w:rPr>
              <w:t xml:space="preserve">15) у пунктах 20, 26 статті 8, у частині першій статті 10, у назві та тексті статті 12, а також у статтях 15 слова "ринок цінних паперів" та "фондовий ринок" в усіх відмінках замінити словами "ринки капіталу та організовані товарні ринки" у відповідному відмінку, крім випадку їх використання у словосполученні </w:t>
            </w:r>
            <w:r w:rsidRPr="00286216">
              <w:rPr>
                <w:color w:val="000000" w:themeColor="text1"/>
              </w:rPr>
              <w:lastRenderedPageBreak/>
              <w:t>"Національна комісія з цінних паперів та фондового ринку" в усіх відмінках;</w:t>
            </w:r>
          </w:p>
        </w:tc>
        <w:tc>
          <w:tcPr>
            <w:tcW w:w="3686" w:type="dxa"/>
          </w:tcPr>
          <w:p w14:paraId="18D1696B" w14:textId="47B0AA96" w:rsidR="00630147" w:rsidRPr="00286216" w:rsidRDefault="00630147" w:rsidP="00630147">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1375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4C5EB50"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Підпункт 15 пункту 17 розділу 3 Законопроекту перед словами «у пунктах 20, 26 статті 8» доповнити словами «у абзацах п’ятому та дев’ятому статті 3, у пункті 5 частини першої та у пункті 16 частини другої статті 7,».</w:t>
            </w:r>
          </w:p>
        </w:tc>
        <w:tc>
          <w:tcPr>
            <w:tcW w:w="1987" w:type="dxa"/>
          </w:tcPr>
          <w:p w14:paraId="27E133CE"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058D3437" w14:textId="0FB609F8" w:rsidR="00630147" w:rsidRPr="00286216" w:rsidRDefault="00630147" w:rsidP="00630147">
            <w:pPr>
              <w:pStyle w:val="StyleZakonu"/>
              <w:rPr>
                <w:color w:val="000000" w:themeColor="text1"/>
              </w:rPr>
            </w:pPr>
            <w:r w:rsidRPr="00286216">
              <w:rPr>
                <w:color w:val="000000" w:themeColor="text1"/>
              </w:rPr>
              <w:t xml:space="preserve">17) </w:t>
            </w:r>
            <w:r w:rsidRPr="00286216">
              <w:rPr>
                <w:color w:val="000000" w:themeColor="text1"/>
                <w:szCs w:val="18"/>
              </w:rPr>
              <w:t>в абзацах п’ятому та дев’ятому статті 3, у пункті 5 частини першої та у пункті 16 частини другої статті 7,</w:t>
            </w:r>
            <w:r w:rsidRPr="00286216">
              <w:rPr>
                <w:color w:val="000000" w:themeColor="text1"/>
              </w:rPr>
              <w:t xml:space="preserve"> у пунктах 20, 26 статті 8, у частині першій статті 10, у назві та тексті статті 12, а також у статті 15 слова "ринок цінних паперів" та "фондовий ринок" в усіх відмінках замінити словами "ринки капіталу та </w:t>
            </w:r>
            <w:r w:rsidRPr="00286216">
              <w:rPr>
                <w:color w:val="000000" w:themeColor="text1"/>
              </w:rPr>
              <w:lastRenderedPageBreak/>
              <w:t>організовані товарні ринки" у відповідному відмінку, крім випадку їх використання у словосполученні "Національна комісія з цінних паперів та фондового ринку" в усіх відмінках;</w:t>
            </w:r>
          </w:p>
        </w:tc>
      </w:tr>
      <w:tr w:rsidR="00630147" w:rsidRPr="00286216" w14:paraId="1F1D3252" w14:textId="77777777" w:rsidTr="00091AA5">
        <w:tc>
          <w:tcPr>
            <w:tcW w:w="576" w:type="dxa"/>
          </w:tcPr>
          <w:p w14:paraId="74BBFB6E" w14:textId="77777777" w:rsidR="00630147" w:rsidRPr="00286216" w:rsidRDefault="00630147" w:rsidP="00630147">
            <w:pPr>
              <w:pStyle w:val="StyleWisnow"/>
              <w:rPr>
                <w:color w:val="000000" w:themeColor="text1"/>
              </w:rPr>
            </w:pPr>
            <w:bookmarkStart w:id="2985" w:name="n3114" w:colFirst="0" w:colLast="0"/>
            <w:bookmarkEnd w:id="2984"/>
            <w:r w:rsidRPr="00286216">
              <w:rPr>
                <w:color w:val="000000" w:themeColor="text1"/>
              </w:rPr>
              <w:lastRenderedPageBreak/>
              <w:t>3114.</w:t>
            </w:r>
          </w:p>
        </w:tc>
        <w:tc>
          <w:tcPr>
            <w:tcW w:w="4818" w:type="dxa"/>
          </w:tcPr>
          <w:p w14:paraId="6AA9B2F4" w14:textId="77777777" w:rsidR="00630147" w:rsidRPr="00286216" w:rsidRDefault="00630147" w:rsidP="00630147">
            <w:pPr>
              <w:pStyle w:val="StyleZakonu"/>
              <w:rPr>
                <w:color w:val="000000" w:themeColor="text1"/>
              </w:rPr>
            </w:pPr>
            <w:r w:rsidRPr="00286216">
              <w:rPr>
                <w:color w:val="000000" w:themeColor="text1"/>
              </w:rPr>
              <w:t>16) у тексті Закону слова "законодавство на ринку цінних паперів", "законодавство про цінні папери" та "законодавство щодо випуску та обігу цінних паперів" в усіх відмінках замінити словами "законодавство про ринки капіталу та організовані товарні ринки" у відповідному відмінку;</w:t>
            </w:r>
          </w:p>
        </w:tc>
        <w:tc>
          <w:tcPr>
            <w:tcW w:w="3686" w:type="dxa"/>
          </w:tcPr>
          <w:p w14:paraId="0B432E8F" w14:textId="41F2144F"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1376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B5DD75A"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Підпункт 16 пункту 17 розділу 3 Законопроекту викласти в такій редакції:</w:t>
            </w:r>
          </w:p>
          <w:p w14:paraId="4A1B6266"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«17) у тексті Закону слова «законодавство на ринку цінних паперів» та «законодавство про цінні папери» в усіх відмінках замінити словами «законодавство про ринки капіталу та організовані товарні ринки» у відповідному відмінку.</w:t>
            </w:r>
          </w:p>
        </w:tc>
        <w:tc>
          <w:tcPr>
            <w:tcW w:w="1987" w:type="dxa"/>
          </w:tcPr>
          <w:p w14:paraId="179AC09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26DA4887" w14:textId="581844C0" w:rsidR="00630147" w:rsidRPr="00286216" w:rsidRDefault="00630147" w:rsidP="00630147">
            <w:pPr>
              <w:pStyle w:val="StyleZakonu"/>
              <w:rPr>
                <w:color w:val="000000" w:themeColor="text1"/>
              </w:rPr>
            </w:pPr>
            <w:r w:rsidRPr="00286216">
              <w:rPr>
                <w:color w:val="000000" w:themeColor="text1"/>
              </w:rPr>
              <w:t>18) у тексті Закону слова «законодавство на ринку цінних паперів» та «законодавство про цінні папери» в усіх відмінках замінити словами «законодавство про ринки капіталу та організовані товарні ринки» у відповідному відмінку.</w:t>
            </w:r>
          </w:p>
        </w:tc>
      </w:tr>
      <w:tr w:rsidR="00630147" w:rsidRPr="00286216" w14:paraId="78BBE198" w14:textId="77777777" w:rsidTr="00091AA5">
        <w:tc>
          <w:tcPr>
            <w:tcW w:w="576" w:type="dxa"/>
          </w:tcPr>
          <w:p w14:paraId="3E202E02" w14:textId="77777777" w:rsidR="00630147" w:rsidRPr="00286216" w:rsidRDefault="00630147" w:rsidP="00630147">
            <w:pPr>
              <w:pStyle w:val="StyleWisnow"/>
              <w:rPr>
                <w:color w:val="000000" w:themeColor="text1"/>
              </w:rPr>
            </w:pPr>
            <w:bookmarkStart w:id="2986" w:name="n3115" w:colFirst="0" w:colLast="0"/>
            <w:bookmarkEnd w:id="2985"/>
            <w:r w:rsidRPr="00286216">
              <w:rPr>
                <w:color w:val="000000" w:themeColor="text1"/>
              </w:rPr>
              <w:t>3115.</w:t>
            </w:r>
          </w:p>
        </w:tc>
        <w:tc>
          <w:tcPr>
            <w:tcW w:w="4818" w:type="dxa"/>
          </w:tcPr>
          <w:p w14:paraId="7391E1BC" w14:textId="77777777" w:rsidR="00630147" w:rsidRPr="00286216" w:rsidRDefault="00630147" w:rsidP="00630147">
            <w:pPr>
              <w:pStyle w:val="StyleZakonu"/>
              <w:rPr>
                <w:color w:val="000000" w:themeColor="text1"/>
              </w:rPr>
            </w:pPr>
            <w:r w:rsidRPr="00286216">
              <w:rPr>
                <w:color w:val="000000" w:themeColor="text1"/>
              </w:rPr>
              <w:t>18. У абзац 21 частини першої статті 1 Закону України "Про бухгалтерський облік та фінансову звітність в Україні" (Відомості Верховної Ради України, 1999, № 40, ст. 365, із наступними змінами) слова "на фондових біржах" замінити словами "на організованому ринку капіталу".</w:t>
            </w:r>
          </w:p>
        </w:tc>
        <w:tc>
          <w:tcPr>
            <w:tcW w:w="3686" w:type="dxa"/>
          </w:tcPr>
          <w:p w14:paraId="3E8DCF6D" w14:textId="0B8D4719"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1377</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615B5240" w14:textId="77777777" w:rsidR="00630147" w:rsidRPr="00286216" w:rsidRDefault="00630147" w:rsidP="00630147">
            <w:pPr>
              <w:pStyle w:val="StyleProp"/>
              <w:spacing w:line="180" w:lineRule="exact"/>
              <w:rPr>
                <w:rFonts w:eastAsia="Calibri"/>
                <w:color w:val="000000" w:themeColor="text1"/>
                <w:szCs w:val="18"/>
              </w:rPr>
            </w:pPr>
            <w:r w:rsidRPr="00286216">
              <w:rPr>
                <w:rFonts w:eastAsia="Calibri"/>
                <w:color w:val="000000" w:themeColor="text1"/>
                <w:szCs w:val="18"/>
              </w:rPr>
              <w:t>У пункті 18 розділу 3 слово "організованого" замінити словом "регульованому".</w:t>
            </w:r>
          </w:p>
          <w:p w14:paraId="076F504C" w14:textId="3A2E5F4F"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1378</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54682E6D" w14:textId="77777777" w:rsidR="00630147" w:rsidRPr="00286216" w:rsidRDefault="00630147" w:rsidP="00630147">
            <w:pPr>
              <w:pStyle w:val="StyleProp"/>
              <w:spacing w:line="180" w:lineRule="exact"/>
              <w:rPr>
                <w:rFonts w:eastAsia="Calibri"/>
                <w:color w:val="000000" w:themeColor="text1"/>
                <w:szCs w:val="18"/>
              </w:rPr>
            </w:pPr>
            <w:r w:rsidRPr="00286216">
              <w:rPr>
                <w:color w:val="000000" w:themeColor="text1"/>
              </w:rPr>
              <w:t>У пункті 18 розділу 3 (зміни до Закону України «Про бухгалтерський облік та фінансову звітність в Україні») слова «на організованому ринку капіталу» замінити на слова «регульованому ринку капіталу».</w:t>
            </w:r>
          </w:p>
        </w:tc>
        <w:tc>
          <w:tcPr>
            <w:tcW w:w="1987" w:type="dxa"/>
          </w:tcPr>
          <w:p w14:paraId="3BC9FBFE" w14:textId="77777777" w:rsidR="00630147" w:rsidRPr="00286216" w:rsidRDefault="00630147" w:rsidP="00630147">
            <w:pPr>
              <w:pStyle w:val="StyleWisnow"/>
              <w:rPr>
                <w:color w:val="000000" w:themeColor="text1"/>
              </w:rPr>
            </w:pPr>
            <w:r w:rsidRPr="00286216">
              <w:rPr>
                <w:color w:val="000000" w:themeColor="text1"/>
              </w:rPr>
              <w:t>Враховано</w:t>
            </w:r>
          </w:p>
          <w:p w14:paraId="4ED5046F" w14:textId="77777777" w:rsidR="00630147" w:rsidRPr="00286216" w:rsidRDefault="00630147" w:rsidP="00630147">
            <w:pPr>
              <w:pStyle w:val="StyleWisnow"/>
              <w:rPr>
                <w:color w:val="000000" w:themeColor="text1"/>
              </w:rPr>
            </w:pPr>
          </w:p>
          <w:p w14:paraId="5D17E2E6" w14:textId="77777777" w:rsidR="00630147" w:rsidRPr="00286216" w:rsidRDefault="00630147" w:rsidP="00630147">
            <w:pPr>
              <w:pStyle w:val="StyleWisnow"/>
              <w:rPr>
                <w:color w:val="000000" w:themeColor="text1"/>
              </w:rPr>
            </w:pPr>
          </w:p>
          <w:p w14:paraId="786883D1" w14:textId="77777777" w:rsidR="00630147" w:rsidRPr="00286216" w:rsidRDefault="00630147" w:rsidP="00630147">
            <w:pPr>
              <w:pStyle w:val="StyleWisnow"/>
              <w:rPr>
                <w:color w:val="000000" w:themeColor="text1"/>
              </w:rPr>
            </w:pPr>
          </w:p>
          <w:p w14:paraId="7E204887"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378B5EAD" w14:textId="76EFC71A" w:rsidR="00630147" w:rsidRPr="00286216" w:rsidRDefault="00630147" w:rsidP="00630147">
            <w:pPr>
              <w:pStyle w:val="StyleZakonu"/>
              <w:rPr>
                <w:color w:val="000000" w:themeColor="text1"/>
              </w:rPr>
            </w:pPr>
            <w:r w:rsidRPr="00286216">
              <w:rPr>
                <w:color w:val="000000" w:themeColor="text1"/>
              </w:rPr>
              <w:t xml:space="preserve">17. В абзаці двадцять першому частини першої статті 1 Закону України "Про бухгалтерський облік та фінансову звітність в Україні" (Відомості Верховної Ради України, 1999 р., № 40, ст. 365 із наступними змінами) слова "на фондових біржах" замінити словами "на </w:t>
            </w:r>
            <w:r w:rsidRPr="00286216">
              <w:rPr>
                <w:rFonts w:eastAsia="Calibri"/>
                <w:color w:val="000000" w:themeColor="text1"/>
                <w:szCs w:val="18"/>
              </w:rPr>
              <w:t>регульованому</w:t>
            </w:r>
            <w:r w:rsidRPr="00286216">
              <w:rPr>
                <w:color w:val="000000" w:themeColor="text1"/>
              </w:rPr>
              <w:t xml:space="preserve"> ринку капіталу".</w:t>
            </w:r>
          </w:p>
        </w:tc>
      </w:tr>
      <w:bookmarkEnd w:id="2986"/>
      <w:tr w:rsidR="00630147" w:rsidRPr="00286216" w14:paraId="6167DEED" w14:textId="77777777" w:rsidTr="00091AA5">
        <w:tc>
          <w:tcPr>
            <w:tcW w:w="576" w:type="dxa"/>
          </w:tcPr>
          <w:p w14:paraId="5ACA80C0" w14:textId="77777777" w:rsidR="00630147" w:rsidRPr="00286216" w:rsidRDefault="00630147" w:rsidP="00630147">
            <w:pPr>
              <w:pStyle w:val="StyleWisnow"/>
              <w:rPr>
                <w:color w:val="000000" w:themeColor="text1"/>
              </w:rPr>
            </w:pPr>
          </w:p>
        </w:tc>
        <w:tc>
          <w:tcPr>
            <w:tcW w:w="4818" w:type="dxa"/>
          </w:tcPr>
          <w:p w14:paraId="25BA1B65" w14:textId="77777777" w:rsidR="00630147" w:rsidRPr="00286216" w:rsidRDefault="00630147" w:rsidP="00630147">
            <w:pPr>
              <w:pStyle w:val="StyleZakonu"/>
              <w:rPr>
                <w:color w:val="000000" w:themeColor="text1"/>
              </w:rPr>
            </w:pPr>
          </w:p>
        </w:tc>
        <w:tc>
          <w:tcPr>
            <w:tcW w:w="3686" w:type="dxa"/>
          </w:tcPr>
          <w:p w14:paraId="6FB9BCC4" w14:textId="4F234655"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1379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38BAB8E"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У пункті 18 слова «організованому ринку капіталу» замінити словами «регульованому ринку».</w:t>
            </w:r>
          </w:p>
        </w:tc>
        <w:tc>
          <w:tcPr>
            <w:tcW w:w="1987" w:type="dxa"/>
          </w:tcPr>
          <w:p w14:paraId="60414645"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3319D2F" w14:textId="77777777" w:rsidR="00630147" w:rsidRPr="00286216" w:rsidRDefault="00630147" w:rsidP="00630147">
            <w:pPr>
              <w:pStyle w:val="StyleZakonu"/>
              <w:rPr>
                <w:color w:val="000000" w:themeColor="text1"/>
              </w:rPr>
            </w:pPr>
          </w:p>
        </w:tc>
      </w:tr>
      <w:tr w:rsidR="00630147" w:rsidRPr="00286216" w14:paraId="0AA62528" w14:textId="77777777" w:rsidTr="00091AA5">
        <w:tc>
          <w:tcPr>
            <w:tcW w:w="576" w:type="dxa"/>
          </w:tcPr>
          <w:p w14:paraId="68E0158B" w14:textId="77777777" w:rsidR="00630147" w:rsidRPr="00286216" w:rsidRDefault="00630147" w:rsidP="00630147">
            <w:pPr>
              <w:pStyle w:val="StyleWisnow"/>
              <w:rPr>
                <w:color w:val="000000" w:themeColor="text1"/>
              </w:rPr>
            </w:pPr>
            <w:bookmarkStart w:id="2987" w:name="n3116" w:colFirst="0" w:colLast="0"/>
            <w:r w:rsidRPr="00286216">
              <w:rPr>
                <w:color w:val="000000" w:themeColor="text1"/>
              </w:rPr>
              <w:t>3116.</w:t>
            </w:r>
          </w:p>
        </w:tc>
        <w:tc>
          <w:tcPr>
            <w:tcW w:w="4818" w:type="dxa"/>
          </w:tcPr>
          <w:p w14:paraId="77A76177" w14:textId="77777777" w:rsidR="00630147" w:rsidRPr="00286216" w:rsidRDefault="00630147" w:rsidP="00630147">
            <w:pPr>
              <w:pStyle w:val="StyleZakonu"/>
              <w:rPr>
                <w:color w:val="000000" w:themeColor="text1"/>
              </w:rPr>
            </w:pPr>
            <w:r w:rsidRPr="00286216">
              <w:rPr>
                <w:color w:val="000000" w:themeColor="text1"/>
              </w:rPr>
              <w:t>19. У Законі України "Про Національний банк України" (Відомості Верховної Ради України (ВВР), 1999, № 29, ст.238, із наступними змінами):</w:t>
            </w:r>
          </w:p>
        </w:tc>
        <w:tc>
          <w:tcPr>
            <w:tcW w:w="3686" w:type="dxa"/>
          </w:tcPr>
          <w:p w14:paraId="6B53089D" w14:textId="77777777" w:rsidR="00630147" w:rsidRPr="00286216" w:rsidRDefault="00630147" w:rsidP="00630147">
            <w:pPr>
              <w:pStyle w:val="StyleProp"/>
              <w:rPr>
                <w:color w:val="000000" w:themeColor="text1"/>
                <w:szCs w:val="18"/>
              </w:rPr>
            </w:pPr>
          </w:p>
        </w:tc>
        <w:tc>
          <w:tcPr>
            <w:tcW w:w="1987" w:type="dxa"/>
          </w:tcPr>
          <w:p w14:paraId="6B7E6EEF" w14:textId="77777777" w:rsidR="00630147" w:rsidRPr="00286216" w:rsidRDefault="00630147" w:rsidP="00630147">
            <w:pPr>
              <w:pStyle w:val="StyleWisnow"/>
              <w:rPr>
                <w:color w:val="000000" w:themeColor="text1"/>
              </w:rPr>
            </w:pPr>
          </w:p>
        </w:tc>
        <w:tc>
          <w:tcPr>
            <w:tcW w:w="4818" w:type="dxa"/>
          </w:tcPr>
          <w:p w14:paraId="6C72C96C" w14:textId="54FEF042" w:rsidR="00630147" w:rsidRPr="00286216" w:rsidRDefault="00630147" w:rsidP="00630147">
            <w:pPr>
              <w:pStyle w:val="StyleZakonu"/>
              <w:rPr>
                <w:color w:val="000000" w:themeColor="text1"/>
              </w:rPr>
            </w:pPr>
            <w:r w:rsidRPr="00286216">
              <w:rPr>
                <w:color w:val="000000" w:themeColor="text1"/>
              </w:rPr>
              <w:t>16. У Законі України "Про Національний банк України" (Відомості Верховної Ради України, 1999 р., № 29, ст.238 із наступними змінами):</w:t>
            </w:r>
          </w:p>
        </w:tc>
      </w:tr>
      <w:tr w:rsidR="00630147" w:rsidRPr="00286216" w14:paraId="72B64A94" w14:textId="77777777" w:rsidTr="00091AA5">
        <w:tc>
          <w:tcPr>
            <w:tcW w:w="576" w:type="dxa"/>
          </w:tcPr>
          <w:p w14:paraId="22EC18D2" w14:textId="77777777" w:rsidR="00630147" w:rsidRPr="00286216" w:rsidRDefault="00630147" w:rsidP="00630147">
            <w:pPr>
              <w:pStyle w:val="StyleWisnow"/>
              <w:rPr>
                <w:color w:val="000000" w:themeColor="text1"/>
              </w:rPr>
            </w:pPr>
            <w:bookmarkStart w:id="2988" w:name="n3117" w:colFirst="0" w:colLast="0"/>
            <w:bookmarkEnd w:id="2987"/>
            <w:r w:rsidRPr="00286216">
              <w:rPr>
                <w:color w:val="000000" w:themeColor="text1"/>
              </w:rPr>
              <w:t>3117.</w:t>
            </w:r>
          </w:p>
        </w:tc>
        <w:tc>
          <w:tcPr>
            <w:tcW w:w="4818" w:type="dxa"/>
          </w:tcPr>
          <w:p w14:paraId="5680E6FC" w14:textId="77777777" w:rsidR="00630147" w:rsidRPr="00286216" w:rsidRDefault="00630147" w:rsidP="00630147">
            <w:pPr>
              <w:pStyle w:val="StyleZakonu"/>
              <w:rPr>
                <w:color w:val="000000" w:themeColor="text1"/>
              </w:rPr>
            </w:pPr>
            <w:r w:rsidRPr="00286216">
              <w:rPr>
                <w:color w:val="000000" w:themeColor="text1"/>
              </w:rPr>
              <w:t>1) доповнити статтю 7 пунктом 36 такого змісту:</w:t>
            </w:r>
          </w:p>
        </w:tc>
        <w:tc>
          <w:tcPr>
            <w:tcW w:w="3686" w:type="dxa"/>
          </w:tcPr>
          <w:p w14:paraId="2A2A4251" w14:textId="77777777" w:rsidR="00630147" w:rsidRPr="00286216" w:rsidRDefault="00630147" w:rsidP="00630147">
            <w:pPr>
              <w:pStyle w:val="StyleProp"/>
              <w:rPr>
                <w:color w:val="000000" w:themeColor="text1"/>
                <w:szCs w:val="18"/>
              </w:rPr>
            </w:pPr>
          </w:p>
        </w:tc>
        <w:tc>
          <w:tcPr>
            <w:tcW w:w="1987" w:type="dxa"/>
          </w:tcPr>
          <w:p w14:paraId="323EDF10" w14:textId="77777777" w:rsidR="00630147" w:rsidRPr="00286216" w:rsidRDefault="00630147" w:rsidP="00630147">
            <w:pPr>
              <w:pStyle w:val="StyleWisnow"/>
              <w:rPr>
                <w:color w:val="000000" w:themeColor="text1"/>
              </w:rPr>
            </w:pPr>
          </w:p>
        </w:tc>
        <w:tc>
          <w:tcPr>
            <w:tcW w:w="4818" w:type="dxa"/>
          </w:tcPr>
          <w:p w14:paraId="31004726" w14:textId="5766CA9F" w:rsidR="00630147" w:rsidRPr="00286216" w:rsidRDefault="00630147" w:rsidP="00630147">
            <w:pPr>
              <w:pStyle w:val="StyleZakonu"/>
              <w:rPr>
                <w:color w:val="000000" w:themeColor="text1"/>
              </w:rPr>
            </w:pPr>
            <w:r w:rsidRPr="00286216">
              <w:rPr>
                <w:color w:val="000000" w:themeColor="text1"/>
              </w:rPr>
              <w:t>1) статтю 7 доповнити пунктом 36 такого змісту:</w:t>
            </w:r>
          </w:p>
        </w:tc>
      </w:tr>
      <w:tr w:rsidR="00630147" w:rsidRPr="00286216" w14:paraId="24548CDD" w14:textId="77777777" w:rsidTr="00091AA5">
        <w:tc>
          <w:tcPr>
            <w:tcW w:w="576" w:type="dxa"/>
          </w:tcPr>
          <w:p w14:paraId="5657FE6F" w14:textId="77777777" w:rsidR="00630147" w:rsidRPr="00286216" w:rsidRDefault="00630147" w:rsidP="00630147">
            <w:pPr>
              <w:pStyle w:val="StyleWisnow"/>
              <w:rPr>
                <w:color w:val="000000" w:themeColor="text1"/>
              </w:rPr>
            </w:pPr>
            <w:bookmarkStart w:id="2989" w:name="n3118" w:colFirst="0" w:colLast="0"/>
            <w:bookmarkEnd w:id="2988"/>
            <w:r w:rsidRPr="00286216">
              <w:rPr>
                <w:color w:val="000000" w:themeColor="text1"/>
              </w:rPr>
              <w:t>3118.</w:t>
            </w:r>
          </w:p>
        </w:tc>
        <w:tc>
          <w:tcPr>
            <w:tcW w:w="4818" w:type="dxa"/>
          </w:tcPr>
          <w:p w14:paraId="08C8CD1B" w14:textId="77777777" w:rsidR="00630147" w:rsidRPr="00286216" w:rsidRDefault="00630147" w:rsidP="00630147">
            <w:pPr>
              <w:pStyle w:val="StyleZakonu"/>
              <w:rPr>
                <w:color w:val="000000" w:themeColor="text1"/>
              </w:rPr>
            </w:pPr>
            <w:r w:rsidRPr="00286216">
              <w:rPr>
                <w:color w:val="000000" w:themeColor="text1"/>
              </w:rPr>
              <w:t>"36) встановлює вимоги щодо здійснення емісії банками депозитних сертифікатів банків";</w:t>
            </w:r>
          </w:p>
        </w:tc>
        <w:tc>
          <w:tcPr>
            <w:tcW w:w="3686" w:type="dxa"/>
          </w:tcPr>
          <w:p w14:paraId="3A78914D" w14:textId="2606C4CE"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3E6B1529" w14:textId="3C7FE71E"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Абзац 3 пункту 19 розділу 3 викласти в такій редакції:</w:t>
            </w:r>
          </w:p>
          <w:p w14:paraId="1A71440D" w14:textId="1C43C84D" w:rsidR="00630147" w:rsidRPr="00286216" w:rsidRDefault="00630147" w:rsidP="00630147">
            <w:pPr>
              <w:pStyle w:val="StyleProp"/>
              <w:spacing w:line="180" w:lineRule="exact"/>
              <w:rPr>
                <w:color w:val="000000" w:themeColor="text1"/>
                <w:szCs w:val="18"/>
              </w:rPr>
            </w:pPr>
            <w:r w:rsidRPr="00286216">
              <w:rPr>
                <w:color w:val="000000" w:themeColor="text1"/>
              </w:rPr>
              <w:t>"36) встановлює вимоги до банків, що здійснюватимуть емісію депозитних сертифікатів банків".</w:t>
            </w:r>
          </w:p>
        </w:tc>
        <w:tc>
          <w:tcPr>
            <w:tcW w:w="1987" w:type="dxa"/>
          </w:tcPr>
          <w:p w14:paraId="064C65E4" w14:textId="7C2A1A0E"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3BED9406" w14:textId="224EB4DE" w:rsidR="00630147" w:rsidRPr="00286216" w:rsidRDefault="00630147" w:rsidP="00630147">
            <w:pPr>
              <w:pStyle w:val="StyleZakonu"/>
              <w:rPr>
                <w:color w:val="000000" w:themeColor="text1"/>
              </w:rPr>
            </w:pPr>
            <w:r w:rsidRPr="00286216">
              <w:rPr>
                <w:color w:val="000000" w:themeColor="text1"/>
              </w:rPr>
              <w:t>"36</w:t>
            </w:r>
            <w:r w:rsidRPr="00286216">
              <w:rPr>
                <w:color w:val="000000" w:themeColor="text1"/>
                <w:sz w:val="18"/>
              </w:rPr>
              <w:t xml:space="preserve">) </w:t>
            </w:r>
            <w:r w:rsidRPr="00286216">
              <w:rPr>
                <w:color w:val="000000" w:themeColor="text1"/>
              </w:rPr>
              <w:t>встановлює вимоги до банків, що здійснюватимуть емісію депозитних сертифікатів банків";</w:t>
            </w:r>
          </w:p>
        </w:tc>
      </w:tr>
      <w:tr w:rsidR="00630147" w:rsidRPr="00286216" w14:paraId="078D86D2" w14:textId="77777777" w:rsidTr="00091AA5">
        <w:tc>
          <w:tcPr>
            <w:tcW w:w="576" w:type="dxa"/>
          </w:tcPr>
          <w:p w14:paraId="5AACB63A" w14:textId="77777777" w:rsidR="00630147" w:rsidRPr="00286216" w:rsidRDefault="00630147" w:rsidP="00630147">
            <w:pPr>
              <w:pStyle w:val="StyleWisnow"/>
              <w:rPr>
                <w:color w:val="000000" w:themeColor="text1"/>
              </w:rPr>
            </w:pPr>
            <w:bookmarkStart w:id="2990" w:name="n3119" w:colFirst="0" w:colLast="0"/>
            <w:bookmarkEnd w:id="2989"/>
            <w:r w:rsidRPr="00286216">
              <w:rPr>
                <w:color w:val="000000" w:themeColor="text1"/>
              </w:rPr>
              <w:t>3119.</w:t>
            </w:r>
          </w:p>
        </w:tc>
        <w:tc>
          <w:tcPr>
            <w:tcW w:w="4818" w:type="dxa"/>
          </w:tcPr>
          <w:p w14:paraId="2ED7B4E6" w14:textId="77777777" w:rsidR="00630147" w:rsidRPr="00286216" w:rsidRDefault="00630147" w:rsidP="00630147">
            <w:pPr>
              <w:pStyle w:val="StyleZakonu"/>
              <w:rPr>
                <w:color w:val="000000" w:themeColor="text1"/>
              </w:rPr>
            </w:pPr>
            <w:r w:rsidRPr="00286216">
              <w:rPr>
                <w:color w:val="000000" w:themeColor="text1"/>
              </w:rPr>
              <w:t>2) пункти 18, 19 частини першої статті 42 викласти в такій редакції:</w:t>
            </w:r>
          </w:p>
        </w:tc>
        <w:tc>
          <w:tcPr>
            <w:tcW w:w="3686" w:type="dxa"/>
          </w:tcPr>
          <w:p w14:paraId="2443AFA0" w14:textId="08B94FEF"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1381</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53B55F52" w14:textId="77777777" w:rsidR="00630147" w:rsidRPr="00286216" w:rsidRDefault="00630147" w:rsidP="00630147">
            <w:pPr>
              <w:spacing w:line="200" w:lineRule="exact"/>
              <w:ind w:firstLine="227"/>
              <w:jc w:val="both"/>
              <w:rPr>
                <w:color w:val="000000" w:themeColor="text1"/>
                <w:sz w:val="18"/>
              </w:rPr>
            </w:pPr>
            <w:r w:rsidRPr="00286216">
              <w:rPr>
                <w:color w:val="000000" w:themeColor="text1"/>
                <w:sz w:val="18"/>
              </w:rPr>
              <w:t>Підпункт 2 пункту 19 розділу 3 викласти в такій редакції:</w:t>
            </w:r>
          </w:p>
          <w:p w14:paraId="7016B097" w14:textId="77777777" w:rsidR="00630147" w:rsidRPr="00286216" w:rsidRDefault="00630147" w:rsidP="00630147">
            <w:pPr>
              <w:spacing w:line="200" w:lineRule="exact"/>
              <w:ind w:firstLine="227"/>
              <w:jc w:val="both"/>
              <w:rPr>
                <w:color w:val="000000" w:themeColor="text1"/>
                <w:sz w:val="18"/>
              </w:rPr>
            </w:pPr>
            <w:r w:rsidRPr="00286216">
              <w:rPr>
                <w:color w:val="000000" w:themeColor="text1"/>
                <w:sz w:val="18"/>
              </w:rPr>
              <w:t>“2) пункти 18, 19 частини першої статті 42 замінити одним пунктом в такій редакції:</w:t>
            </w:r>
          </w:p>
        </w:tc>
        <w:tc>
          <w:tcPr>
            <w:tcW w:w="1987" w:type="dxa"/>
          </w:tcPr>
          <w:p w14:paraId="31818EF6"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2948EF7D" w14:textId="77777777" w:rsidR="00630147" w:rsidRPr="00286216" w:rsidRDefault="00630147" w:rsidP="00630147">
            <w:pPr>
              <w:pStyle w:val="StyleZakonu"/>
              <w:rPr>
                <w:color w:val="000000" w:themeColor="text1"/>
              </w:rPr>
            </w:pPr>
            <w:r w:rsidRPr="00286216">
              <w:rPr>
                <w:color w:val="000000" w:themeColor="text1"/>
              </w:rPr>
              <w:t>2) у частині першій статті 42:</w:t>
            </w:r>
          </w:p>
          <w:p w14:paraId="6E18671F" w14:textId="77777777" w:rsidR="00630147" w:rsidRPr="00286216" w:rsidRDefault="00630147" w:rsidP="00630147">
            <w:pPr>
              <w:pStyle w:val="StyleZakonu"/>
              <w:rPr>
                <w:color w:val="000000" w:themeColor="text1"/>
              </w:rPr>
            </w:pPr>
          </w:p>
          <w:p w14:paraId="5C536D1B" w14:textId="393912DD" w:rsidR="00630147" w:rsidRPr="00286216" w:rsidRDefault="00630147" w:rsidP="00630147">
            <w:pPr>
              <w:pStyle w:val="StyleZakonu"/>
              <w:rPr>
                <w:color w:val="000000" w:themeColor="text1"/>
              </w:rPr>
            </w:pPr>
            <w:r w:rsidRPr="00286216">
              <w:rPr>
                <w:color w:val="000000" w:themeColor="text1"/>
              </w:rPr>
              <w:t>а) пункт 18викласти в такій редакції:</w:t>
            </w:r>
          </w:p>
        </w:tc>
      </w:tr>
      <w:tr w:rsidR="00630147" w:rsidRPr="00286216" w14:paraId="5B9F174A" w14:textId="77777777" w:rsidTr="00091AA5">
        <w:tc>
          <w:tcPr>
            <w:tcW w:w="576" w:type="dxa"/>
          </w:tcPr>
          <w:p w14:paraId="5B79C9E1" w14:textId="77777777" w:rsidR="00630147" w:rsidRPr="00286216" w:rsidRDefault="00630147" w:rsidP="00630147">
            <w:pPr>
              <w:pStyle w:val="StyleWisnow"/>
              <w:rPr>
                <w:color w:val="000000" w:themeColor="text1"/>
              </w:rPr>
            </w:pPr>
            <w:bookmarkStart w:id="2991" w:name="n3120" w:colFirst="0" w:colLast="0"/>
            <w:bookmarkEnd w:id="2990"/>
            <w:r w:rsidRPr="00286216">
              <w:rPr>
                <w:color w:val="000000" w:themeColor="text1"/>
              </w:rPr>
              <w:t>3120.</w:t>
            </w:r>
          </w:p>
        </w:tc>
        <w:tc>
          <w:tcPr>
            <w:tcW w:w="4818" w:type="dxa"/>
          </w:tcPr>
          <w:p w14:paraId="6A42A14A" w14:textId="77777777" w:rsidR="00630147" w:rsidRPr="00286216" w:rsidRDefault="00630147" w:rsidP="00630147">
            <w:pPr>
              <w:pStyle w:val="StyleZakonu"/>
              <w:rPr>
                <w:color w:val="000000" w:themeColor="text1"/>
              </w:rPr>
            </w:pPr>
            <w:r w:rsidRPr="00286216">
              <w:rPr>
                <w:color w:val="000000" w:themeColor="text1"/>
              </w:rPr>
              <w:t>"18) встановлює кореспондентські відносини з міжнародними депозитаріями з метою здійснення функцій грошово-кредитної політики та управління державним боргом;</w:t>
            </w:r>
          </w:p>
        </w:tc>
        <w:tc>
          <w:tcPr>
            <w:tcW w:w="3686" w:type="dxa"/>
          </w:tcPr>
          <w:p w14:paraId="19328AF2" w14:textId="340DE6F9" w:rsidR="00630147" w:rsidRPr="00286216" w:rsidRDefault="00630147" w:rsidP="00630147">
            <w:pPr>
              <w:pStyle w:val="StyleProp"/>
              <w:spacing w:line="180" w:lineRule="exact"/>
              <w:rPr>
                <w:color w:val="000000" w:themeColor="text1"/>
                <w:szCs w:val="18"/>
              </w:rPr>
            </w:pPr>
            <w:r w:rsidRPr="00286216">
              <w:rPr>
                <w:color w:val="000000" w:themeColor="text1"/>
              </w:rPr>
              <w:t>18) встановлює кореспондентські відносини з міжнародними депозитаріями з метою виконання функцій в межах грошово-кредитної політики, управління державним боргом та веде рахунки депозитаріїв іноземних держав та міжнародних депозитарно-клірингових установ з метою  здійснення своїх повноважень у сфері депозитарного обліку”.</w:t>
            </w:r>
          </w:p>
        </w:tc>
        <w:tc>
          <w:tcPr>
            <w:tcW w:w="1987" w:type="dxa"/>
          </w:tcPr>
          <w:p w14:paraId="43093171" w14:textId="77777777" w:rsidR="00630147" w:rsidRPr="00286216" w:rsidRDefault="00630147" w:rsidP="00630147">
            <w:pPr>
              <w:pStyle w:val="StyleWisnow"/>
              <w:rPr>
                <w:color w:val="000000" w:themeColor="text1"/>
              </w:rPr>
            </w:pPr>
          </w:p>
        </w:tc>
        <w:tc>
          <w:tcPr>
            <w:tcW w:w="4818" w:type="dxa"/>
          </w:tcPr>
          <w:p w14:paraId="496371AE" w14:textId="77777777" w:rsidR="00630147" w:rsidRPr="00286216" w:rsidRDefault="00630147" w:rsidP="00630147">
            <w:pPr>
              <w:pStyle w:val="StyleZakonu"/>
              <w:rPr>
                <w:color w:val="000000" w:themeColor="text1"/>
              </w:rPr>
            </w:pPr>
            <w:r w:rsidRPr="00286216">
              <w:rPr>
                <w:color w:val="000000" w:themeColor="text1"/>
              </w:rPr>
              <w:t>"18) встановлює кореспондентські відносини з міжнародними депозитаріями з метою виконання функцій в межах грошово-кредитної політики, управління державним боргом та веде рахунки депозитаріїв іноземних держав та міжнародних депозитарно-клірингових установ з метою здійснення своїх повноважень у сфері депозитарного обліку";</w:t>
            </w:r>
          </w:p>
          <w:p w14:paraId="52BA997C" w14:textId="070CF64F" w:rsidR="00630147" w:rsidRPr="00286216" w:rsidRDefault="00630147" w:rsidP="00630147">
            <w:pPr>
              <w:pStyle w:val="StyleZakonu"/>
              <w:rPr>
                <w:color w:val="000000" w:themeColor="text1"/>
              </w:rPr>
            </w:pPr>
            <w:r w:rsidRPr="00286216">
              <w:rPr>
                <w:color w:val="000000" w:themeColor="text1"/>
              </w:rPr>
              <w:lastRenderedPageBreak/>
              <w:t>б) пункт 19 виключити;</w:t>
            </w:r>
          </w:p>
        </w:tc>
      </w:tr>
      <w:tr w:rsidR="00630147" w:rsidRPr="00286216" w14:paraId="5FA8BFAC" w14:textId="77777777" w:rsidTr="00091AA5">
        <w:tc>
          <w:tcPr>
            <w:tcW w:w="576" w:type="dxa"/>
          </w:tcPr>
          <w:p w14:paraId="014D6BA5" w14:textId="77777777" w:rsidR="00630147" w:rsidRPr="00286216" w:rsidRDefault="00630147" w:rsidP="00630147">
            <w:pPr>
              <w:pStyle w:val="StyleWisnow"/>
              <w:rPr>
                <w:color w:val="000000" w:themeColor="text1"/>
              </w:rPr>
            </w:pPr>
            <w:bookmarkStart w:id="2992" w:name="n3121" w:colFirst="0" w:colLast="0"/>
            <w:bookmarkEnd w:id="2991"/>
            <w:r w:rsidRPr="00286216">
              <w:rPr>
                <w:color w:val="000000" w:themeColor="text1"/>
              </w:rPr>
              <w:lastRenderedPageBreak/>
              <w:t>3121.</w:t>
            </w:r>
          </w:p>
        </w:tc>
        <w:tc>
          <w:tcPr>
            <w:tcW w:w="4818" w:type="dxa"/>
          </w:tcPr>
          <w:p w14:paraId="122752CA" w14:textId="77777777" w:rsidR="00630147" w:rsidRPr="00286216" w:rsidRDefault="00630147" w:rsidP="00630147">
            <w:pPr>
              <w:pStyle w:val="StyleZakonu"/>
              <w:rPr>
                <w:color w:val="000000" w:themeColor="text1"/>
              </w:rPr>
            </w:pPr>
            <w:r w:rsidRPr="00286216">
              <w:rPr>
                <w:color w:val="000000" w:themeColor="text1"/>
              </w:rPr>
              <w:t>19) провадить клірингову діяльність, забезпечує здійснення клірингу та розрахунків за правочинами на фінансових ринках, у тому числі шляхом участі у капіталі однієї з клірингових установ; ";</w:t>
            </w:r>
          </w:p>
        </w:tc>
        <w:tc>
          <w:tcPr>
            <w:tcW w:w="3686" w:type="dxa"/>
          </w:tcPr>
          <w:p w14:paraId="099FCB8E" w14:textId="77777777" w:rsidR="00630147" w:rsidRPr="00286216" w:rsidRDefault="00630147" w:rsidP="00630147">
            <w:pPr>
              <w:pStyle w:val="StyleProp"/>
              <w:rPr>
                <w:color w:val="000000" w:themeColor="text1"/>
                <w:szCs w:val="18"/>
              </w:rPr>
            </w:pPr>
          </w:p>
        </w:tc>
        <w:tc>
          <w:tcPr>
            <w:tcW w:w="1987" w:type="dxa"/>
          </w:tcPr>
          <w:p w14:paraId="5250C018" w14:textId="77777777" w:rsidR="00630147" w:rsidRPr="00286216" w:rsidRDefault="00630147" w:rsidP="00630147">
            <w:pPr>
              <w:pStyle w:val="StyleWisnow"/>
              <w:rPr>
                <w:color w:val="000000" w:themeColor="text1"/>
              </w:rPr>
            </w:pPr>
          </w:p>
        </w:tc>
        <w:tc>
          <w:tcPr>
            <w:tcW w:w="4818" w:type="dxa"/>
          </w:tcPr>
          <w:p w14:paraId="7EE62F12" w14:textId="77777777" w:rsidR="00630147" w:rsidRPr="00286216" w:rsidRDefault="00630147" w:rsidP="00630147">
            <w:pPr>
              <w:pStyle w:val="StyleZakonu"/>
              <w:rPr>
                <w:color w:val="000000" w:themeColor="text1"/>
              </w:rPr>
            </w:pPr>
          </w:p>
        </w:tc>
      </w:tr>
      <w:tr w:rsidR="00630147" w:rsidRPr="00286216" w14:paraId="66EA712D" w14:textId="77777777" w:rsidTr="00091AA5">
        <w:tc>
          <w:tcPr>
            <w:tcW w:w="576" w:type="dxa"/>
          </w:tcPr>
          <w:p w14:paraId="67CE0652" w14:textId="77777777" w:rsidR="00630147" w:rsidRPr="00286216" w:rsidRDefault="00630147" w:rsidP="00630147">
            <w:pPr>
              <w:pStyle w:val="StyleWisnow"/>
              <w:rPr>
                <w:color w:val="000000" w:themeColor="text1"/>
              </w:rPr>
            </w:pPr>
            <w:bookmarkStart w:id="2993" w:name="n3122" w:colFirst="0" w:colLast="0"/>
            <w:bookmarkEnd w:id="2992"/>
            <w:r w:rsidRPr="00286216">
              <w:rPr>
                <w:color w:val="000000" w:themeColor="text1"/>
              </w:rPr>
              <w:t>3122.</w:t>
            </w:r>
          </w:p>
        </w:tc>
        <w:tc>
          <w:tcPr>
            <w:tcW w:w="4818" w:type="dxa"/>
          </w:tcPr>
          <w:p w14:paraId="65D553A6" w14:textId="77777777" w:rsidR="00630147" w:rsidRPr="00286216" w:rsidRDefault="00630147" w:rsidP="00630147">
            <w:pPr>
              <w:pStyle w:val="StyleZakonu"/>
              <w:rPr>
                <w:color w:val="000000" w:themeColor="text1"/>
              </w:rPr>
            </w:pPr>
            <w:r w:rsidRPr="00286216">
              <w:rPr>
                <w:color w:val="000000" w:themeColor="text1"/>
              </w:rPr>
              <w:t>3) доповнити частину першу статті 42 після пункту 19 новим пунктом такого змісту:</w:t>
            </w:r>
          </w:p>
        </w:tc>
        <w:tc>
          <w:tcPr>
            <w:tcW w:w="3686" w:type="dxa"/>
          </w:tcPr>
          <w:p w14:paraId="43F6FBAB" w14:textId="77777777" w:rsidR="00630147" w:rsidRPr="00286216" w:rsidRDefault="00630147" w:rsidP="00630147">
            <w:pPr>
              <w:spacing w:line="200" w:lineRule="exact"/>
              <w:ind w:firstLine="227"/>
              <w:jc w:val="both"/>
              <w:rPr>
                <w:color w:val="000000" w:themeColor="text1"/>
                <w:szCs w:val="18"/>
              </w:rPr>
            </w:pPr>
          </w:p>
        </w:tc>
        <w:tc>
          <w:tcPr>
            <w:tcW w:w="1987" w:type="dxa"/>
          </w:tcPr>
          <w:p w14:paraId="7521AC54" w14:textId="77777777" w:rsidR="00630147" w:rsidRPr="00286216" w:rsidRDefault="00630147" w:rsidP="00630147">
            <w:pPr>
              <w:pStyle w:val="StyleWisnow"/>
              <w:rPr>
                <w:color w:val="000000" w:themeColor="text1"/>
              </w:rPr>
            </w:pPr>
          </w:p>
        </w:tc>
        <w:tc>
          <w:tcPr>
            <w:tcW w:w="4818" w:type="dxa"/>
          </w:tcPr>
          <w:p w14:paraId="27DD1139" w14:textId="3A92CB8C" w:rsidR="00630147" w:rsidRPr="00286216" w:rsidRDefault="00630147" w:rsidP="00630147">
            <w:pPr>
              <w:pStyle w:val="StyleZakonu"/>
              <w:rPr>
                <w:color w:val="000000" w:themeColor="text1"/>
              </w:rPr>
            </w:pPr>
            <w:r w:rsidRPr="00286216">
              <w:rPr>
                <w:color w:val="000000" w:themeColor="text1"/>
              </w:rPr>
              <w:t>в) доповнити пунктами 19</w:t>
            </w:r>
            <w:r w:rsidRPr="00286216">
              <w:rPr>
                <w:color w:val="000000" w:themeColor="text1"/>
                <w:vertAlign w:val="superscript"/>
              </w:rPr>
              <w:t>1</w:t>
            </w:r>
            <w:r w:rsidRPr="00286216">
              <w:rPr>
                <w:color w:val="000000" w:themeColor="text1"/>
              </w:rPr>
              <w:t>, 22 і 23 такого змісту:</w:t>
            </w:r>
          </w:p>
        </w:tc>
      </w:tr>
      <w:tr w:rsidR="00630147" w:rsidRPr="00286216" w14:paraId="20BC5D58" w14:textId="77777777" w:rsidTr="00091AA5">
        <w:tc>
          <w:tcPr>
            <w:tcW w:w="576" w:type="dxa"/>
          </w:tcPr>
          <w:p w14:paraId="4B04B166" w14:textId="77777777" w:rsidR="00630147" w:rsidRPr="00286216" w:rsidRDefault="00630147" w:rsidP="00630147">
            <w:pPr>
              <w:pStyle w:val="StyleWisnow"/>
              <w:rPr>
                <w:color w:val="000000" w:themeColor="text1"/>
              </w:rPr>
            </w:pPr>
            <w:bookmarkStart w:id="2994" w:name="n3123" w:colFirst="0" w:colLast="0"/>
            <w:bookmarkEnd w:id="2993"/>
            <w:r w:rsidRPr="00286216">
              <w:rPr>
                <w:color w:val="000000" w:themeColor="text1"/>
              </w:rPr>
              <w:t>3123.</w:t>
            </w:r>
          </w:p>
        </w:tc>
        <w:tc>
          <w:tcPr>
            <w:tcW w:w="4818" w:type="dxa"/>
          </w:tcPr>
          <w:p w14:paraId="0E167F08" w14:textId="77777777" w:rsidR="00630147" w:rsidRPr="00286216" w:rsidRDefault="00630147" w:rsidP="00630147">
            <w:pPr>
              <w:pStyle w:val="StyleZakonu"/>
              <w:rPr>
                <w:color w:val="000000" w:themeColor="text1"/>
              </w:rPr>
            </w:pPr>
            <w:r w:rsidRPr="00286216">
              <w:rPr>
                <w:color w:val="000000" w:themeColor="text1"/>
              </w:rPr>
              <w:t>"19</w:t>
            </w:r>
            <w:r w:rsidRPr="00286216">
              <w:rPr>
                <w:color w:val="000000" w:themeColor="text1"/>
                <w:vertAlign w:val="superscript"/>
              </w:rPr>
              <w:t>1</w:t>
            </w:r>
            <w:r w:rsidRPr="00286216">
              <w:rPr>
                <w:color w:val="000000" w:themeColor="text1"/>
              </w:rPr>
              <w:t>) підтримує ліквідність центральних контрагентів за ставкою не нижче ставки рефінансування Національного банку та в порядку, визначеному Національним банком; ";</w:t>
            </w:r>
          </w:p>
        </w:tc>
        <w:tc>
          <w:tcPr>
            <w:tcW w:w="3686" w:type="dxa"/>
          </w:tcPr>
          <w:p w14:paraId="10141BBE" w14:textId="4B2D7F1B"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1382</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6E790696" w14:textId="77777777" w:rsidR="00630147" w:rsidRPr="00286216" w:rsidRDefault="00630147" w:rsidP="00630147">
            <w:pPr>
              <w:pStyle w:val="StyleProp"/>
              <w:spacing w:line="180" w:lineRule="exact"/>
              <w:rPr>
                <w:color w:val="000000" w:themeColor="text1"/>
              </w:rPr>
            </w:pPr>
            <w:r w:rsidRPr="00286216">
              <w:rPr>
                <w:color w:val="000000" w:themeColor="text1"/>
              </w:rPr>
              <w:t>Абзац другий підпункту 3 пункту 19 розділу 3 викласти в такій редакції:</w:t>
            </w:r>
          </w:p>
          <w:p w14:paraId="49B4BC57" w14:textId="1462AC4F" w:rsidR="00630147" w:rsidRPr="00286216" w:rsidRDefault="00630147" w:rsidP="00630147">
            <w:pPr>
              <w:pStyle w:val="StyleProp"/>
              <w:spacing w:line="180" w:lineRule="exact"/>
              <w:rPr>
                <w:color w:val="000000" w:themeColor="text1"/>
                <w:szCs w:val="18"/>
              </w:rPr>
            </w:pPr>
            <w:r w:rsidRPr="00286216">
              <w:rPr>
                <w:color w:val="000000" w:themeColor="text1"/>
              </w:rPr>
              <w:t>«19-1) має право здійснювати підтримку ліквідності центрального контрагента за ставкою не нижче ставки рефінансування Національного банку та в порядку, визначеному Національним банком;»</w:t>
            </w:r>
          </w:p>
        </w:tc>
        <w:tc>
          <w:tcPr>
            <w:tcW w:w="1987" w:type="dxa"/>
          </w:tcPr>
          <w:p w14:paraId="35AA42DA"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EC61910" w14:textId="4F3D9DDC" w:rsidR="00630147" w:rsidRPr="00286216" w:rsidRDefault="00630147" w:rsidP="00630147">
            <w:pPr>
              <w:pStyle w:val="StyleZakonu"/>
              <w:rPr>
                <w:color w:val="000000" w:themeColor="text1"/>
              </w:rPr>
            </w:pPr>
            <w:r w:rsidRPr="00286216">
              <w:rPr>
                <w:color w:val="000000" w:themeColor="text1"/>
              </w:rPr>
              <w:t>"19</w:t>
            </w:r>
            <w:r w:rsidRPr="00286216">
              <w:rPr>
                <w:color w:val="000000" w:themeColor="text1"/>
                <w:vertAlign w:val="superscript"/>
              </w:rPr>
              <w:t>1</w:t>
            </w:r>
            <w:r w:rsidRPr="00286216">
              <w:rPr>
                <w:color w:val="000000" w:themeColor="text1"/>
              </w:rPr>
              <w:t>) має право здійснювати підтримку ліквідності центрального контрагента за ставкою не нижче ставки рефінансування Національного банку та в порядку, визначеному Національним банком";</w:t>
            </w:r>
          </w:p>
        </w:tc>
      </w:tr>
      <w:tr w:rsidR="00630147" w:rsidRPr="00286216" w14:paraId="6C172446" w14:textId="77777777" w:rsidTr="00091AA5">
        <w:tc>
          <w:tcPr>
            <w:tcW w:w="576" w:type="dxa"/>
          </w:tcPr>
          <w:p w14:paraId="7555CD56" w14:textId="77777777" w:rsidR="00630147" w:rsidRPr="00286216" w:rsidRDefault="00630147" w:rsidP="00630147">
            <w:pPr>
              <w:pStyle w:val="StyleWisnow"/>
              <w:rPr>
                <w:color w:val="000000" w:themeColor="text1"/>
              </w:rPr>
            </w:pPr>
            <w:bookmarkStart w:id="2995" w:name="n3124" w:colFirst="0" w:colLast="0"/>
            <w:bookmarkEnd w:id="2994"/>
            <w:r w:rsidRPr="00286216">
              <w:rPr>
                <w:color w:val="000000" w:themeColor="text1"/>
              </w:rPr>
              <w:t>3124.</w:t>
            </w:r>
          </w:p>
        </w:tc>
        <w:tc>
          <w:tcPr>
            <w:tcW w:w="4818" w:type="dxa"/>
          </w:tcPr>
          <w:p w14:paraId="77B34A4F" w14:textId="77777777" w:rsidR="00630147" w:rsidRPr="00286216" w:rsidRDefault="00630147" w:rsidP="00630147">
            <w:pPr>
              <w:pStyle w:val="StyleZakonu"/>
              <w:rPr>
                <w:color w:val="000000" w:themeColor="text1"/>
              </w:rPr>
            </w:pPr>
            <w:r w:rsidRPr="00286216">
              <w:rPr>
                <w:color w:val="000000" w:themeColor="text1"/>
              </w:rPr>
              <w:t>4) доповнити частину першу статті 42 новим пунктом такого змісту:</w:t>
            </w:r>
          </w:p>
        </w:tc>
        <w:tc>
          <w:tcPr>
            <w:tcW w:w="3686" w:type="dxa"/>
          </w:tcPr>
          <w:p w14:paraId="3436B275" w14:textId="53467D02"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316912CA"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Підпункт 4 пункту 19 розділу 3 викласти в такій редакції:</w:t>
            </w:r>
          </w:p>
          <w:p w14:paraId="27029285"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«4) доповнити частину першу статті 42 новими пунктами такого змісту:»</w:t>
            </w:r>
          </w:p>
        </w:tc>
        <w:tc>
          <w:tcPr>
            <w:tcW w:w="1987" w:type="dxa"/>
          </w:tcPr>
          <w:p w14:paraId="28BBC89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70A2AC2" w14:textId="09DDEDB9" w:rsidR="00630147" w:rsidRPr="00286216" w:rsidRDefault="00630147" w:rsidP="00630147">
            <w:pPr>
              <w:pStyle w:val="StyleZakonu"/>
              <w:rPr>
                <w:color w:val="000000" w:themeColor="text1"/>
                <w:szCs w:val="18"/>
              </w:rPr>
            </w:pPr>
          </w:p>
        </w:tc>
      </w:tr>
      <w:tr w:rsidR="00630147" w:rsidRPr="00286216" w14:paraId="203BF475" w14:textId="77777777" w:rsidTr="00091AA5">
        <w:tc>
          <w:tcPr>
            <w:tcW w:w="576" w:type="dxa"/>
          </w:tcPr>
          <w:p w14:paraId="4ED77C6D" w14:textId="77777777" w:rsidR="00630147" w:rsidRPr="00286216" w:rsidRDefault="00630147" w:rsidP="00630147">
            <w:pPr>
              <w:pStyle w:val="StyleWisnow"/>
              <w:rPr>
                <w:color w:val="000000" w:themeColor="text1"/>
              </w:rPr>
            </w:pPr>
            <w:bookmarkStart w:id="2996" w:name="n3125" w:colFirst="0" w:colLast="0"/>
            <w:bookmarkEnd w:id="2995"/>
            <w:r w:rsidRPr="00286216">
              <w:rPr>
                <w:color w:val="000000" w:themeColor="text1"/>
              </w:rPr>
              <w:t>3125.</w:t>
            </w:r>
          </w:p>
        </w:tc>
        <w:tc>
          <w:tcPr>
            <w:tcW w:w="4818" w:type="dxa"/>
          </w:tcPr>
          <w:p w14:paraId="3BCD4A20" w14:textId="77777777" w:rsidR="00630147" w:rsidRPr="00286216" w:rsidRDefault="00630147" w:rsidP="00630147">
            <w:pPr>
              <w:pStyle w:val="StyleZakonu"/>
              <w:rPr>
                <w:color w:val="000000" w:themeColor="text1"/>
              </w:rPr>
            </w:pPr>
            <w:r w:rsidRPr="00286216">
              <w:rPr>
                <w:color w:val="000000" w:themeColor="text1"/>
              </w:rPr>
              <w:t>"22) веде рахунки Центрального депозитарію цінних паперів (крім рахунків у цінних паперах) та клірингових установ.".</w:t>
            </w:r>
          </w:p>
        </w:tc>
        <w:tc>
          <w:tcPr>
            <w:tcW w:w="3686" w:type="dxa"/>
          </w:tcPr>
          <w:p w14:paraId="4DA17003"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22) веде рахунки Центрального депозитарію цінних паперів (крім рахунків у цінних паперах) та клірингових установ;</w:t>
            </w:r>
          </w:p>
          <w:p w14:paraId="4552FA62"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23) здійснює діяльність торгового репозиторію відповідно до Закону України «Про ринки капіталу та організовані товарні ринки».»</w:t>
            </w:r>
          </w:p>
        </w:tc>
        <w:tc>
          <w:tcPr>
            <w:tcW w:w="1987" w:type="dxa"/>
          </w:tcPr>
          <w:p w14:paraId="1B5C4C88" w14:textId="77777777" w:rsidR="00630147" w:rsidRPr="00286216" w:rsidRDefault="00630147" w:rsidP="00630147">
            <w:pPr>
              <w:pStyle w:val="StyleWisnow"/>
              <w:rPr>
                <w:color w:val="000000" w:themeColor="text1"/>
              </w:rPr>
            </w:pPr>
          </w:p>
        </w:tc>
        <w:tc>
          <w:tcPr>
            <w:tcW w:w="4818" w:type="dxa"/>
          </w:tcPr>
          <w:p w14:paraId="619AED51" w14:textId="77777777" w:rsidR="00630147" w:rsidRPr="00286216" w:rsidRDefault="00630147" w:rsidP="00630147">
            <w:pPr>
              <w:pStyle w:val="StyleZakonu"/>
              <w:rPr>
                <w:color w:val="000000" w:themeColor="text1"/>
                <w:szCs w:val="18"/>
              </w:rPr>
            </w:pPr>
            <w:r w:rsidRPr="00286216">
              <w:rPr>
                <w:color w:val="000000" w:themeColor="text1"/>
                <w:szCs w:val="18"/>
              </w:rPr>
              <w:t>22) веде рахунки Центрального депозитарію цінних паперів (крім рахунків у цінних паперах) та клірингових установ;</w:t>
            </w:r>
          </w:p>
          <w:p w14:paraId="366D755B" w14:textId="0F8F1CB6" w:rsidR="00630147" w:rsidRPr="00286216" w:rsidRDefault="00630147" w:rsidP="00630147">
            <w:pPr>
              <w:pStyle w:val="StyleZakonu"/>
              <w:rPr>
                <w:color w:val="000000" w:themeColor="text1"/>
                <w:szCs w:val="18"/>
              </w:rPr>
            </w:pPr>
            <w:r w:rsidRPr="00286216">
              <w:rPr>
                <w:color w:val="000000" w:themeColor="text1"/>
                <w:szCs w:val="18"/>
              </w:rPr>
              <w:t>23) провадить діяльність торгового репозиторію відповідно до Закону України "Про ринки капіталу та організовані товарні ринки".</w:t>
            </w:r>
          </w:p>
        </w:tc>
      </w:tr>
      <w:tr w:rsidR="00630147" w:rsidRPr="00286216" w14:paraId="2C41203F" w14:textId="77777777" w:rsidTr="00091AA5">
        <w:tc>
          <w:tcPr>
            <w:tcW w:w="576" w:type="dxa"/>
          </w:tcPr>
          <w:p w14:paraId="371E0286" w14:textId="77777777" w:rsidR="00630147" w:rsidRPr="00286216" w:rsidRDefault="00630147" w:rsidP="00630147">
            <w:pPr>
              <w:pStyle w:val="StyleWisnow"/>
              <w:rPr>
                <w:color w:val="000000" w:themeColor="text1"/>
              </w:rPr>
            </w:pPr>
            <w:bookmarkStart w:id="2997" w:name="n3126" w:colFirst="0" w:colLast="0"/>
            <w:bookmarkEnd w:id="2996"/>
            <w:r w:rsidRPr="00286216">
              <w:rPr>
                <w:color w:val="000000" w:themeColor="text1"/>
              </w:rPr>
              <w:t>3126.</w:t>
            </w:r>
          </w:p>
        </w:tc>
        <w:tc>
          <w:tcPr>
            <w:tcW w:w="4818" w:type="dxa"/>
          </w:tcPr>
          <w:p w14:paraId="1553963D" w14:textId="77777777" w:rsidR="00630147" w:rsidRPr="00286216" w:rsidRDefault="00630147" w:rsidP="00630147">
            <w:pPr>
              <w:pStyle w:val="StyleZakonu"/>
              <w:rPr>
                <w:color w:val="000000" w:themeColor="text1"/>
              </w:rPr>
            </w:pPr>
            <w:r w:rsidRPr="00286216">
              <w:rPr>
                <w:color w:val="000000" w:themeColor="text1"/>
              </w:rPr>
              <w:t>20. У Законі України "Про банки і банківську діяльність" (Відомості Верховної Ради України, 2001 р., №5 - 6, ст. 30, із наступними змінами):</w:t>
            </w:r>
          </w:p>
        </w:tc>
        <w:tc>
          <w:tcPr>
            <w:tcW w:w="3686" w:type="dxa"/>
          </w:tcPr>
          <w:p w14:paraId="42B7678B" w14:textId="77777777" w:rsidR="00630147" w:rsidRPr="00286216" w:rsidRDefault="00630147" w:rsidP="00630147">
            <w:pPr>
              <w:pStyle w:val="StyleProp"/>
              <w:rPr>
                <w:color w:val="000000" w:themeColor="text1"/>
                <w:szCs w:val="18"/>
              </w:rPr>
            </w:pPr>
          </w:p>
        </w:tc>
        <w:tc>
          <w:tcPr>
            <w:tcW w:w="1987" w:type="dxa"/>
          </w:tcPr>
          <w:p w14:paraId="110C20FB" w14:textId="77777777" w:rsidR="00630147" w:rsidRPr="00286216" w:rsidRDefault="00630147" w:rsidP="00630147">
            <w:pPr>
              <w:pStyle w:val="StyleWisnow"/>
              <w:rPr>
                <w:color w:val="000000" w:themeColor="text1"/>
              </w:rPr>
            </w:pPr>
          </w:p>
        </w:tc>
        <w:tc>
          <w:tcPr>
            <w:tcW w:w="4818" w:type="dxa"/>
          </w:tcPr>
          <w:p w14:paraId="1959FCBA" w14:textId="2D00CEDD" w:rsidR="00630147" w:rsidRPr="00286216" w:rsidRDefault="00630147" w:rsidP="00630147">
            <w:pPr>
              <w:pStyle w:val="StyleZakonu"/>
              <w:rPr>
                <w:color w:val="000000" w:themeColor="text1"/>
              </w:rPr>
            </w:pPr>
            <w:r w:rsidRPr="00286216">
              <w:rPr>
                <w:color w:val="000000" w:themeColor="text1"/>
              </w:rPr>
              <w:t>18. У Законі України "Про банки і банківську діяльність" (Відомості Верховної Ради України, 2001 р., №5 - 6, ст. 30 із наступними змінами):</w:t>
            </w:r>
          </w:p>
        </w:tc>
      </w:tr>
      <w:tr w:rsidR="00630147" w:rsidRPr="00286216" w14:paraId="49F3B2C2" w14:textId="77777777" w:rsidTr="00091AA5">
        <w:tc>
          <w:tcPr>
            <w:tcW w:w="576" w:type="dxa"/>
          </w:tcPr>
          <w:p w14:paraId="597EDEF6" w14:textId="77777777" w:rsidR="00630147" w:rsidRPr="00286216" w:rsidRDefault="00630147" w:rsidP="00630147">
            <w:pPr>
              <w:pStyle w:val="StyleWisnow"/>
              <w:rPr>
                <w:color w:val="000000" w:themeColor="text1"/>
              </w:rPr>
            </w:pPr>
            <w:bookmarkStart w:id="2998" w:name="n3127" w:colFirst="0" w:colLast="0"/>
            <w:bookmarkEnd w:id="2997"/>
            <w:r w:rsidRPr="00286216">
              <w:rPr>
                <w:color w:val="000000" w:themeColor="text1"/>
              </w:rPr>
              <w:t>3127.</w:t>
            </w:r>
          </w:p>
        </w:tc>
        <w:tc>
          <w:tcPr>
            <w:tcW w:w="4818" w:type="dxa"/>
          </w:tcPr>
          <w:p w14:paraId="733C678B" w14:textId="77777777" w:rsidR="00630147" w:rsidRPr="00286216" w:rsidRDefault="00630147" w:rsidP="00630147">
            <w:pPr>
              <w:pStyle w:val="StyleZakonu"/>
              <w:rPr>
                <w:color w:val="000000" w:themeColor="text1"/>
              </w:rPr>
            </w:pPr>
            <w:r w:rsidRPr="00286216">
              <w:rPr>
                <w:color w:val="000000" w:themeColor="text1"/>
              </w:rPr>
              <w:t>1) у статті 2:</w:t>
            </w:r>
          </w:p>
        </w:tc>
        <w:tc>
          <w:tcPr>
            <w:tcW w:w="3686" w:type="dxa"/>
          </w:tcPr>
          <w:p w14:paraId="6F5D3A14" w14:textId="77777777" w:rsidR="00630147" w:rsidRPr="00286216" w:rsidRDefault="00630147" w:rsidP="00630147">
            <w:pPr>
              <w:pStyle w:val="StyleProp"/>
              <w:rPr>
                <w:color w:val="000000" w:themeColor="text1"/>
                <w:szCs w:val="18"/>
              </w:rPr>
            </w:pPr>
          </w:p>
        </w:tc>
        <w:tc>
          <w:tcPr>
            <w:tcW w:w="1987" w:type="dxa"/>
          </w:tcPr>
          <w:p w14:paraId="6689F166" w14:textId="77777777" w:rsidR="00630147" w:rsidRPr="00286216" w:rsidRDefault="00630147" w:rsidP="00630147">
            <w:pPr>
              <w:pStyle w:val="StyleWisnow"/>
              <w:rPr>
                <w:color w:val="000000" w:themeColor="text1"/>
              </w:rPr>
            </w:pPr>
          </w:p>
        </w:tc>
        <w:tc>
          <w:tcPr>
            <w:tcW w:w="4818" w:type="dxa"/>
          </w:tcPr>
          <w:p w14:paraId="54FEB1B1" w14:textId="6AA34055" w:rsidR="00630147" w:rsidRPr="00286216" w:rsidRDefault="00630147" w:rsidP="00630147">
            <w:pPr>
              <w:pStyle w:val="StyleZakonu"/>
              <w:rPr>
                <w:color w:val="000000" w:themeColor="text1"/>
              </w:rPr>
            </w:pPr>
            <w:r w:rsidRPr="00286216">
              <w:rPr>
                <w:color w:val="000000" w:themeColor="text1"/>
              </w:rPr>
              <w:t>1) у статті 2:</w:t>
            </w:r>
          </w:p>
        </w:tc>
      </w:tr>
      <w:tr w:rsidR="00630147" w:rsidRPr="00286216" w14:paraId="025AFD3E" w14:textId="77777777" w:rsidTr="00091AA5">
        <w:tc>
          <w:tcPr>
            <w:tcW w:w="576" w:type="dxa"/>
          </w:tcPr>
          <w:p w14:paraId="251DA60D" w14:textId="77777777" w:rsidR="00630147" w:rsidRPr="00286216" w:rsidRDefault="00630147" w:rsidP="00630147">
            <w:pPr>
              <w:pStyle w:val="StyleWisnow"/>
              <w:rPr>
                <w:color w:val="000000" w:themeColor="text1"/>
              </w:rPr>
            </w:pPr>
            <w:bookmarkStart w:id="2999" w:name="n3128" w:colFirst="0" w:colLast="0"/>
            <w:bookmarkEnd w:id="2998"/>
            <w:r w:rsidRPr="00286216">
              <w:rPr>
                <w:color w:val="000000" w:themeColor="text1"/>
              </w:rPr>
              <w:t>3128.</w:t>
            </w:r>
          </w:p>
        </w:tc>
        <w:tc>
          <w:tcPr>
            <w:tcW w:w="4818" w:type="dxa"/>
          </w:tcPr>
          <w:p w14:paraId="7D7817F0" w14:textId="77777777" w:rsidR="00630147" w:rsidRPr="00286216" w:rsidRDefault="00630147" w:rsidP="00630147">
            <w:pPr>
              <w:pStyle w:val="StyleZakonu"/>
              <w:rPr>
                <w:color w:val="000000" w:themeColor="text1"/>
              </w:rPr>
            </w:pPr>
            <w:r w:rsidRPr="00286216">
              <w:rPr>
                <w:color w:val="000000" w:themeColor="text1"/>
              </w:rPr>
              <w:t>а) термін "публічна компанія" викласти в такій редакції:</w:t>
            </w:r>
          </w:p>
        </w:tc>
        <w:tc>
          <w:tcPr>
            <w:tcW w:w="3686" w:type="dxa"/>
          </w:tcPr>
          <w:p w14:paraId="033B3C84" w14:textId="77777777" w:rsidR="00630147" w:rsidRPr="00286216" w:rsidRDefault="00630147" w:rsidP="00630147">
            <w:pPr>
              <w:pStyle w:val="StyleProp"/>
              <w:rPr>
                <w:color w:val="000000" w:themeColor="text1"/>
                <w:szCs w:val="18"/>
              </w:rPr>
            </w:pPr>
          </w:p>
        </w:tc>
        <w:tc>
          <w:tcPr>
            <w:tcW w:w="1987" w:type="dxa"/>
          </w:tcPr>
          <w:p w14:paraId="128D3DD7" w14:textId="77777777" w:rsidR="00630147" w:rsidRPr="00286216" w:rsidRDefault="00630147" w:rsidP="00630147">
            <w:pPr>
              <w:pStyle w:val="StyleWisnow"/>
              <w:rPr>
                <w:color w:val="000000" w:themeColor="text1"/>
              </w:rPr>
            </w:pPr>
          </w:p>
        </w:tc>
        <w:tc>
          <w:tcPr>
            <w:tcW w:w="4818" w:type="dxa"/>
          </w:tcPr>
          <w:p w14:paraId="4F8A2930" w14:textId="41FF6D2D" w:rsidR="00630147" w:rsidRPr="00286216" w:rsidRDefault="00630147" w:rsidP="00630147">
            <w:pPr>
              <w:pStyle w:val="StyleZakonu"/>
              <w:rPr>
                <w:color w:val="000000" w:themeColor="text1"/>
              </w:rPr>
            </w:pPr>
            <w:r w:rsidRPr="00286216">
              <w:rPr>
                <w:color w:val="000000" w:themeColor="text1"/>
              </w:rPr>
              <w:t>а) термін "публічна компанія" викласти в такій редакції:</w:t>
            </w:r>
          </w:p>
        </w:tc>
      </w:tr>
      <w:tr w:rsidR="00630147" w:rsidRPr="00286216" w14:paraId="4535325F" w14:textId="77777777" w:rsidTr="00091AA5">
        <w:tc>
          <w:tcPr>
            <w:tcW w:w="576" w:type="dxa"/>
          </w:tcPr>
          <w:p w14:paraId="77B1EF17" w14:textId="77777777" w:rsidR="00630147" w:rsidRPr="00286216" w:rsidRDefault="00630147" w:rsidP="00630147">
            <w:pPr>
              <w:pStyle w:val="StyleWisnow"/>
              <w:rPr>
                <w:color w:val="000000" w:themeColor="text1"/>
              </w:rPr>
            </w:pPr>
            <w:bookmarkStart w:id="3000" w:name="n3129" w:colFirst="0" w:colLast="0"/>
            <w:bookmarkEnd w:id="2999"/>
            <w:r w:rsidRPr="00286216">
              <w:rPr>
                <w:color w:val="000000" w:themeColor="text1"/>
              </w:rPr>
              <w:t>3129.</w:t>
            </w:r>
          </w:p>
        </w:tc>
        <w:tc>
          <w:tcPr>
            <w:tcW w:w="4818" w:type="dxa"/>
          </w:tcPr>
          <w:p w14:paraId="002E2EB6" w14:textId="77777777" w:rsidR="00630147" w:rsidRPr="00286216" w:rsidRDefault="00630147" w:rsidP="00630147">
            <w:pPr>
              <w:pStyle w:val="StyleZakonu"/>
              <w:rPr>
                <w:color w:val="000000" w:themeColor="text1"/>
              </w:rPr>
            </w:pPr>
            <w:r w:rsidRPr="00286216">
              <w:rPr>
                <w:color w:val="000000" w:themeColor="text1"/>
              </w:rPr>
              <w:t>"публічна компанія - юридична особа, створена у формі публічного акціонерного товариства, акції якої допущені до торгів на регульованому фондовому ринку, який відповідає критеріям, визначеним Національною комісією з цінних паперів та фондового ринку; ";</w:t>
            </w:r>
          </w:p>
        </w:tc>
        <w:tc>
          <w:tcPr>
            <w:tcW w:w="3686" w:type="dxa"/>
          </w:tcPr>
          <w:p w14:paraId="06C2AF26" w14:textId="11C14444"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1384</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75C5ECAA" w14:textId="49A7DE27" w:rsidR="00630147" w:rsidRPr="00286216" w:rsidRDefault="00630147" w:rsidP="00630147">
            <w:pPr>
              <w:spacing w:line="180" w:lineRule="exact"/>
              <w:ind w:firstLine="227"/>
              <w:jc w:val="both"/>
              <w:rPr>
                <w:color w:val="000000" w:themeColor="text1"/>
                <w:spacing w:val="-2"/>
                <w:sz w:val="18"/>
              </w:rPr>
            </w:pPr>
            <w:r w:rsidRPr="00286216">
              <w:rPr>
                <w:color w:val="000000" w:themeColor="text1"/>
                <w:sz w:val="18"/>
              </w:rPr>
              <w:t xml:space="preserve">Абзац другий підпункту “а” підпункту 1 </w:t>
            </w:r>
            <w:r w:rsidRPr="00286216">
              <w:rPr>
                <w:color w:val="000000" w:themeColor="text1"/>
                <w:spacing w:val="-2"/>
                <w:sz w:val="18"/>
              </w:rPr>
              <w:t>пункту 20 розділу 3, термін «публічна компанія» викласти в такій редакції:</w:t>
            </w:r>
          </w:p>
          <w:p w14:paraId="45153640" w14:textId="77777777" w:rsidR="00630147" w:rsidRPr="00286216" w:rsidRDefault="00630147" w:rsidP="00630147">
            <w:pPr>
              <w:spacing w:line="180" w:lineRule="exact"/>
              <w:ind w:firstLine="227"/>
              <w:jc w:val="both"/>
              <w:rPr>
                <w:color w:val="000000" w:themeColor="text1"/>
                <w:szCs w:val="18"/>
              </w:rPr>
            </w:pPr>
            <w:r w:rsidRPr="00286216">
              <w:rPr>
                <w:color w:val="000000" w:themeColor="text1"/>
                <w:spacing w:val="-2"/>
                <w:sz w:val="18"/>
              </w:rPr>
              <w:t>««публічна компанія - юридична особа, створена у формі публічного акціонерного товариства, яка відповідає вимогам, визначеним Національним банком України»;».</w:t>
            </w:r>
          </w:p>
        </w:tc>
        <w:tc>
          <w:tcPr>
            <w:tcW w:w="1987" w:type="dxa"/>
          </w:tcPr>
          <w:p w14:paraId="59CF1395" w14:textId="77777777" w:rsidR="00630147" w:rsidRPr="00286216" w:rsidRDefault="00630147" w:rsidP="00630147">
            <w:pPr>
              <w:spacing w:line="200" w:lineRule="exact"/>
              <w:jc w:val="both"/>
              <w:rPr>
                <w:color w:val="000000" w:themeColor="text1"/>
              </w:rPr>
            </w:pPr>
            <w:r w:rsidRPr="00286216">
              <w:rPr>
                <w:color w:val="000000" w:themeColor="text1"/>
                <w:sz w:val="18"/>
              </w:rPr>
              <w:t>Враховано</w:t>
            </w:r>
          </w:p>
        </w:tc>
        <w:tc>
          <w:tcPr>
            <w:tcW w:w="4818" w:type="dxa"/>
          </w:tcPr>
          <w:p w14:paraId="782F2F44" w14:textId="134BDEA7" w:rsidR="00630147" w:rsidRPr="00286216" w:rsidRDefault="00630147" w:rsidP="00630147">
            <w:pPr>
              <w:pStyle w:val="StyleZakonu"/>
              <w:rPr>
                <w:color w:val="000000" w:themeColor="text1"/>
              </w:rPr>
            </w:pPr>
            <w:r w:rsidRPr="00286216">
              <w:rPr>
                <w:color w:val="000000" w:themeColor="text1"/>
              </w:rPr>
              <w:t>"публічна компанія – юридична особа, створена у формі публічного акціонерного товариства, яка відповідає вимогам, визначеним Національним банком України";</w:t>
            </w:r>
          </w:p>
        </w:tc>
      </w:tr>
      <w:tr w:rsidR="00630147" w:rsidRPr="00286216" w14:paraId="2429C8AB" w14:textId="77777777" w:rsidTr="00091AA5">
        <w:tc>
          <w:tcPr>
            <w:tcW w:w="576" w:type="dxa"/>
          </w:tcPr>
          <w:p w14:paraId="24DA4B4B" w14:textId="77777777" w:rsidR="00630147" w:rsidRPr="00286216" w:rsidRDefault="00630147" w:rsidP="00630147">
            <w:pPr>
              <w:pStyle w:val="StyleWisnow"/>
              <w:rPr>
                <w:color w:val="000000" w:themeColor="text1"/>
              </w:rPr>
            </w:pPr>
            <w:bookmarkStart w:id="3001" w:name="n3130" w:colFirst="0" w:colLast="0"/>
            <w:bookmarkEnd w:id="3000"/>
            <w:r w:rsidRPr="00286216">
              <w:rPr>
                <w:color w:val="000000" w:themeColor="text1"/>
              </w:rPr>
              <w:t>3130.</w:t>
            </w:r>
          </w:p>
        </w:tc>
        <w:tc>
          <w:tcPr>
            <w:tcW w:w="4818" w:type="dxa"/>
          </w:tcPr>
          <w:p w14:paraId="65873B7C" w14:textId="77777777" w:rsidR="00630147" w:rsidRPr="00286216" w:rsidRDefault="00630147" w:rsidP="00630147">
            <w:pPr>
              <w:pStyle w:val="StyleZakonu"/>
              <w:rPr>
                <w:color w:val="000000" w:themeColor="text1"/>
              </w:rPr>
            </w:pPr>
            <w:r w:rsidRPr="00286216">
              <w:rPr>
                <w:color w:val="000000" w:themeColor="text1"/>
              </w:rPr>
              <w:t>б) частину третю викласти в такій редакції:</w:t>
            </w:r>
          </w:p>
        </w:tc>
        <w:tc>
          <w:tcPr>
            <w:tcW w:w="3686" w:type="dxa"/>
          </w:tcPr>
          <w:p w14:paraId="1001E994" w14:textId="77777777" w:rsidR="00630147" w:rsidRPr="00286216" w:rsidRDefault="00630147" w:rsidP="00630147">
            <w:pPr>
              <w:pStyle w:val="StyleProp"/>
              <w:rPr>
                <w:color w:val="000000" w:themeColor="text1"/>
                <w:szCs w:val="18"/>
              </w:rPr>
            </w:pPr>
          </w:p>
        </w:tc>
        <w:tc>
          <w:tcPr>
            <w:tcW w:w="1987" w:type="dxa"/>
          </w:tcPr>
          <w:p w14:paraId="346A8AF6" w14:textId="77777777" w:rsidR="00630147" w:rsidRPr="00286216" w:rsidRDefault="00630147" w:rsidP="00630147">
            <w:pPr>
              <w:pStyle w:val="StyleWisnow"/>
              <w:rPr>
                <w:color w:val="000000" w:themeColor="text1"/>
              </w:rPr>
            </w:pPr>
          </w:p>
        </w:tc>
        <w:tc>
          <w:tcPr>
            <w:tcW w:w="4818" w:type="dxa"/>
          </w:tcPr>
          <w:p w14:paraId="7661E20B" w14:textId="5FA8DCC8" w:rsidR="00630147" w:rsidRPr="00286216" w:rsidRDefault="00630147" w:rsidP="00630147">
            <w:pPr>
              <w:pStyle w:val="StyleZakonu"/>
              <w:rPr>
                <w:color w:val="000000" w:themeColor="text1"/>
              </w:rPr>
            </w:pPr>
            <w:r w:rsidRPr="00286216">
              <w:rPr>
                <w:color w:val="000000" w:themeColor="text1"/>
              </w:rPr>
              <w:t>б) частину третю викласти в такій редакції:</w:t>
            </w:r>
          </w:p>
        </w:tc>
      </w:tr>
      <w:tr w:rsidR="00630147" w:rsidRPr="00286216" w14:paraId="79566ED3" w14:textId="77777777" w:rsidTr="00091AA5">
        <w:tc>
          <w:tcPr>
            <w:tcW w:w="576" w:type="dxa"/>
          </w:tcPr>
          <w:p w14:paraId="72040795" w14:textId="77777777" w:rsidR="00630147" w:rsidRPr="00286216" w:rsidRDefault="00630147" w:rsidP="00630147">
            <w:pPr>
              <w:pStyle w:val="StyleWisnow"/>
              <w:rPr>
                <w:color w:val="000000" w:themeColor="text1"/>
              </w:rPr>
            </w:pPr>
            <w:bookmarkStart w:id="3002" w:name="n3131" w:colFirst="0" w:colLast="0"/>
            <w:bookmarkEnd w:id="3001"/>
            <w:r w:rsidRPr="00286216">
              <w:rPr>
                <w:color w:val="000000" w:themeColor="text1"/>
              </w:rPr>
              <w:t>3131.</w:t>
            </w:r>
          </w:p>
        </w:tc>
        <w:tc>
          <w:tcPr>
            <w:tcW w:w="4818" w:type="dxa"/>
          </w:tcPr>
          <w:p w14:paraId="1FA3D990" w14:textId="77777777" w:rsidR="00630147" w:rsidRPr="00286216" w:rsidRDefault="00630147" w:rsidP="00630147">
            <w:pPr>
              <w:pStyle w:val="StyleZakonu"/>
              <w:rPr>
                <w:color w:val="000000" w:themeColor="text1"/>
              </w:rPr>
            </w:pPr>
            <w:r w:rsidRPr="00286216">
              <w:rPr>
                <w:color w:val="000000" w:themeColor="text1"/>
              </w:rPr>
              <w:t>"Терміни "андеррайтер", "андеррайтинг", вживаються у значеннях, визначених Законом України "Про ринки капіталу та організовані товарні ринки"";</w:t>
            </w:r>
          </w:p>
        </w:tc>
        <w:tc>
          <w:tcPr>
            <w:tcW w:w="3686" w:type="dxa"/>
          </w:tcPr>
          <w:p w14:paraId="7D4B9720" w14:textId="349669BA" w:rsidR="00630147" w:rsidRPr="00286216" w:rsidRDefault="00630147" w:rsidP="00630147">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1385</w:t>
            </w:r>
            <w:r w:rsidRPr="00286216">
              <w:rPr>
                <w:color w:val="000000" w:themeColor="text1"/>
                <w:spacing w:val="-5"/>
              </w:rPr>
              <w:fldChar w:fldCharType="end"/>
            </w:r>
            <w:r w:rsidRPr="00286216">
              <w:rPr>
                <w:color w:val="000000" w:themeColor="text1"/>
                <w:spacing w:val="-5"/>
              </w:rPr>
              <w:t>-Н.д.Бєлькова О.В.(Реєстр.картка №403)</w:t>
            </w:r>
          </w:p>
          <w:p w14:paraId="50D72884" w14:textId="77777777" w:rsidR="00630147" w:rsidRPr="00286216" w:rsidRDefault="00630147" w:rsidP="00630147">
            <w:pPr>
              <w:spacing w:line="180" w:lineRule="exact"/>
              <w:ind w:firstLine="227"/>
              <w:jc w:val="both"/>
              <w:rPr>
                <w:color w:val="000000" w:themeColor="text1"/>
                <w:spacing w:val="-2"/>
                <w:sz w:val="18"/>
              </w:rPr>
            </w:pPr>
            <w:r w:rsidRPr="00286216">
              <w:rPr>
                <w:color w:val="000000" w:themeColor="text1"/>
                <w:spacing w:val="-2"/>
                <w:sz w:val="18"/>
              </w:rPr>
              <w:t>Абзац 2 підпункту "б" підпункту 1 пункту 20 розділу 3 викласти у такій редакції:</w:t>
            </w:r>
          </w:p>
          <w:p w14:paraId="6BDE3BA8" w14:textId="117077C8" w:rsidR="00630147" w:rsidRPr="00286216" w:rsidRDefault="00630147" w:rsidP="00630147">
            <w:pPr>
              <w:pStyle w:val="StyleProp"/>
              <w:spacing w:line="180" w:lineRule="exact"/>
              <w:rPr>
                <w:color w:val="000000" w:themeColor="text1"/>
                <w:szCs w:val="18"/>
              </w:rPr>
            </w:pPr>
            <w:r w:rsidRPr="00286216">
              <w:rPr>
                <w:color w:val="000000" w:themeColor="text1"/>
                <w:spacing w:val="-2"/>
              </w:rPr>
              <w:t>"Термін "андеррайтинг" вживається у значенні, визначеному Законом України "Про ринки капіталу та організовані товарні ринки".</w:t>
            </w:r>
          </w:p>
        </w:tc>
        <w:tc>
          <w:tcPr>
            <w:tcW w:w="1987" w:type="dxa"/>
          </w:tcPr>
          <w:p w14:paraId="47A38DC6" w14:textId="6F01F1E1"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6882B494" w14:textId="3F9E5704" w:rsidR="00630147" w:rsidRPr="00286216" w:rsidRDefault="00630147" w:rsidP="00630147">
            <w:pPr>
              <w:pStyle w:val="StyleZakonu"/>
              <w:rPr>
                <w:color w:val="000000" w:themeColor="text1"/>
              </w:rPr>
            </w:pPr>
            <w:r w:rsidRPr="00286216">
              <w:rPr>
                <w:color w:val="000000" w:themeColor="text1"/>
              </w:rPr>
              <w:t>"</w:t>
            </w:r>
            <w:r w:rsidRPr="00286216">
              <w:rPr>
                <w:color w:val="000000" w:themeColor="text1"/>
                <w:spacing w:val="-2"/>
              </w:rPr>
              <w:t>Термін "андеррайтинг" у цьому Законі вживається у значенні, визначеному в Законі України "Про ринки капіталу та організовані товарні ринки</w:t>
            </w:r>
            <w:r w:rsidRPr="00286216">
              <w:rPr>
                <w:color w:val="000000" w:themeColor="text1"/>
              </w:rPr>
              <w:t>";</w:t>
            </w:r>
          </w:p>
        </w:tc>
      </w:tr>
      <w:tr w:rsidR="00630147" w:rsidRPr="00286216" w14:paraId="5B559864" w14:textId="77777777" w:rsidTr="00091AA5">
        <w:tc>
          <w:tcPr>
            <w:tcW w:w="576" w:type="dxa"/>
          </w:tcPr>
          <w:p w14:paraId="03E6856C" w14:textId="77777777" w:rsidR="00630147" w:rsidRPr="00286216" w:rsidRDefault="00630147" w:rsidP="00630147">
            <w:pPr>
              <w:pStyle w:val="StyleWisnow"/>
              <w:rPr>
                <w:color w:val="000000" w:themeColor="text1"/>
              </w:rPr>
            </w:pPr>
            <w:bookmarkStart w:id="3003" w:name="n3132" w:colFirst="0" w:colLast="0"/>
            <w:bookmarkEnd w:id="3002"/>
            <w:r w:rsidRPr="00286216">
              <w:rPr>
                <w:color w:val="000000" w:themeColor="text1"/>
              </w:rPr>
              <w:lastRenderedPageBreak/>
              <w:t>3132.</w:t>
            </w:r>
          </w:p>
        </w:tc>
        <w:tc>
          <w:tcPr>
            <w:tcW w:w="4818" w:type="dxa"/>
          </w:tcPr>
          <w:p w14:paraId="3D9941F2" w14:textId="77777777" w:rsidR="00630147" w:rsidRPr="00286216" w:rsidRDefault="00630147" w:rsidP="00630147">
            <w:pPr>
              <w:pStyle w:val="StyleZakonu"/>
              <w:rPr>
                <w:color w:val="000000" w:themeColor="text1"/>
              </w:rPr>
            </w:pPr>
            <w:r w:rsidRPr="00286216">
              <w:rPr>
                <w:color w:val="000000" w:themeColor="text1"/>
              </w:rPr>
              <w:t>2) частину шосту статті 4 викласти в такій редакції:</w:t>
            </w:r>
          </w:p>
        </w:tc>
        <w:tc>
          <w:tcPr>
            <w:tcW w:w="3686" w:type="dxa"/>
          </w:tcPr>
          <w:p w14:paraId="3B83C638" w14:textId="77777777" w:rsidR="00630147" w:rsidRPr="00286216" w:rsidRDefault="00630147" w:rsidP="00630147">
            <w:pPr>
              <w:pStyle w:val="StyleProp"/>
              <w:rPr>
                <w:color w:val="000000" w:themeColor="text1"/>
                <w:szCs w:val="18"/>
              </w:rPr>
            </w:pPr>
          </w:p>
        </w:tc>
        <w:tc>
          <w:tcPr>
            <w:tcW w:w="1987" w:type="dxa"/>
          </w:tcPr>
          <w:p w14:paraId="49581BFF" w14:textId="77777777" w:rsidR="00630147" w:rsidRPr="00286216" w:rsidRDefault="00630147" w:rsidP="00630147">
            <w:pPr>
              <w:pStyle w:val="StyleWisnow"/>
              <w:rPr>
                <w:color w:val="000000" w:themeColor="text1"/>
              </w:rPr>
            </w:pPr>
          </w:p>
        </w:tc>
        <w:tc>
          <w:tcPr>
            <w:tcW w:w="4818" w:type="dxa"/>
          </w:tcPr>
          <w:p w14:paraId="5436F4AE" w14:textId="2ECE399D" w:rsidR="00630147" w:rsidRPr="00286216" w:rsidRDefault="00630147" w:rsidP="00630147">
            <w:pPr>
              <w:pStyle w:val="StyleZakonu"/>
              <w:rPr>
                <w:color w:val="000000" w:themeColor="text1"/>
              </w:rPr>
            </w:pPr>
            <w:r w:rsidRPr="00286216">
              <w:rPr>
                <w:color w:val="000000" w:themeColor="text1"/>
              </w:rPr>
              <w:t>2) частину шосту статті 4 викласти в такій редакції:</w:t>
            </w:r>
          </w:p>
        </w:tc>
      </w:tr>
      <w:tr w:rsidR="00630147" w:rsidRPr="00286216" w14:paraId="4FE1E0E8" w14:textId="77777777" w:rsidTr="00091AA5">
        <w:tc>
          <w:tcPr>
            <w:tcW w:w="576" w:type="dxa"/>
          </w:tcPr>
          <w:p w14:paraId="7DC424B8" w14:textId="77777777" w:rsidR="00630147" w:rsidRPr="00286216" w:rsidRDefault="00630147" w:rsidP="00630147">
            <w:pPr>
              <w:pStyle w:val="StyleWisnow"/>
              <w:rPr>
                <w:color w:val="000000" w:themeColor="text1"/>
              </w:rPr>
            </w:pPr>
            <w:bookmarkStart w:id="3004" w:name="n3133" w:colFirst="0" w:colLast="0"/>
            <w:bookmarkEnd w:id="3003"/>
            <w:r w:rsidRPr="00286216">
              <w:rPr>
                <w:color w:val="000000" w:themeColor="text1"/>
              </w:rPr>
              <w:t>3133.</w:t>
            </w:r>
          </w:p>
        </w:tc>
        <w:tc>
          <w:tcPr>
            <w:tcW w:w="4818" w:type="dxa"/>
          </w:tcPr>
          <w:p w14:paraId="68C1925D" w14:textId="77777777" w:rsidR="00630147" w:rsidRPr="00286216" w:rsidRDefault="00630147" w:rsidP="00630147">
            <w:pPr>
              <w:pStyle w:val="StyleZakonu"/>
              <w:rPr>
                <w:color w:val="000000" w:themeColor="text1"/>
              </w:rPr>
            </w:pPr>
            <w:r w:rsidRPr="00286216">
              <w:rPr>
                <w:color w:val="000000" w:themeColor="text1"/>
              </w:rPr>
              <w:t>"Національний банк України здійснює регулювання та банківський нагляд відповідно до положень Конституції України, цього Закону, Закону України "Про Національний банк України", інших законодавчих актів України та нормативно-правових актів Національного банку України. Національний банк України визначає особливості регулювання та нагляду за системно важливими банками з урахуванням специфіки їх діяльності.";</w:t>
            </w:r>
          </w:p>
        </w:tc>
        <w:tc>
          <w:tcPr>
            <w:tcW w:w="3686" w:type="dxa"/>
          </w:tcPr>
          <w:p w14:paraId="6518ECCC" w14:textId="31AD6BCD"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1386</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08414759" w14:textId="4A6DD6FB" w:rsidR="00630147" w:rsidRPr="00286216" w:rsidRDefault="00630147" w:rsidP="00630147">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Після підпункту 1) пункту 20 розділу 3 проекту доповнити підпунктом такого змісту:</w:t>
            </w:r>
          </w:p>
          <w:p w14:paraId="4B5AD0C3" w14:textId="77777777" w:rsidR="00630147" w:rsidRPr="00286216" w:rsidRDefault="00630147" w:rsidP="00630147">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«Частину другу статті 4 доповнити новим реченням такого змісту: «Банк, який надає банківські послуги, визначені статтею 47 цього Закону, є універсальним.»;</w:t>
            </w:r>
          </w:p>
          <w:p w14:paraId="7607A1DA" w14:textId="77777777" w:rsidR="00630147" w:rsidRPr="00286216" w:rsidRDefault="00630147" w:rsidP="00630147">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доповнити частину третю статті 4 наступними словами «з урахуванням положень, визначених у цій статті»;</w:t>
            </w:r>
          </w:p>
          <w:p w14:paraId="1DD9204F" w14:textId="77777777" w:rsidR="00630147" w:rsidRPr="00286216" w:rsidRDefault="00630147" w:rsidP="00630147">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доповнити частину 4 новим реченням такого змісту: «Спеціалізованим є банк, який створений для виконання відповідних цілей.»</w:t>
            </w:r>
          </w:p>
        </w:tc>
        <w:tc>
          <w:tcPr>
            <w:tcW w:w="1987" w:type="dxa"/>
          </w:tcPr>
          <w:p w14:paraId="2DB930C5" w14:textId="77777777" w:rsidR="00630147" w:rsidRPr="00286216" w:rsidRDefault="00630147" w:rsidP="00630147">
            <w:pPr>
              <w:pStyle w:val="StyleWisnow"/>
              <w:rPr>
                <w:color w:val="000000" w:themeColor="text1"/>
              </w:rPr>
            </w:pPr>
            <w:r w:rsidRPr="00286216">
              <w:rPr>
                <w:color w:val="000000" w:themeColor="text1"/>
              </w:rPr>
              <w:t>Відхилено</w:t>
            </w:r>
          </w:p>
          <w:p w14:paraId="3490C6A4" w14:textId="13BD485D" w:rsidR="00630147" w:rsidRPr="00286216" w:rsidRDefault="00630147" w:rsidP="00630147">
            <w:pPr>
              <w:pStyle w:val="StyleWisnow"/>
              <w:spacing w:line="180" w:lineRule="exact"/>
              <w:rPr>
                <w:color w:val="000000" w:themeColor="text1"/>
              </w:rPr>
            </w:pPr>
            <w:r w:rsidRPr="00286216">
              <w:rPr>
                <w:color w:val="000000" w:themeColor="text1"/>
              </w:rPr>
              <w:t>не є предметом даного законопроекту та може бути вирішено у складі комплексного проекту Закону щодо банківської діяльності</w:t>
            </w:r>
          </w:p>
          <w:p w14:paraId="31214996" w14:textId="77777777" w:rsidR="00630147" w:rsidRPr="00286216" w:rsidRDefault="00630147" w:rsidP="00630147">
            <w:pPr>
              <w:pStyle w:val="StyleWisnow"/>
              <w:rPr>
                <w:color w:val="000000" w:themeColor="text1"/>
              </w:rPr>
            </w:pPr>
          </w:p>
        </w:tc>
        <w:tc>
          <w:tcPr>
            <w:tcW w:w="4818" w:type="dxa"/>
          </w:tcPr>
          <w:p w14:paraId="6510C852" w14:textId="5FE7FA9F" w:rsidR="00630147" w:rsidRPr="00286216" w:rsidRDefault="00630147" w:rsidP="00630147">
            <w:pPr>
              <w:pStyle w:val="StyleZakonu"/>
              <w:rPr>
                <w:color w:val="000000" w:themeColor="text1"/>
              </w:rPr>
            </w:pPr>
            <w:r w:rsidRPr="00286216">
              <w:rPr>
                <w:color w:val="000000" w:themeColor="text1"/>
              </w:rPr>
              <w:t>"Національний банк України здійснює регулювання та банківський нагляд відповідно до положень Конституції України, цього Закону, Закону України "Про Національний банк України", інших законодавчих актів України та нормативно-правових актів Національного банку України. Національний банк України визначає особливості регулювання та нагляду за системно важливими банками з урахуванням специфіки їх діяльності.";</w:t>
            </w:r>
          </w:p>
        </w:tc>
      </w:tr>
      <w:tr w:rsidR="00630147" w:rsidRPr="00286216" w14:paraId="0FFCE6D6" w14:textId="77777777" w:rsidTr="00091AA5">
        <w:tc>
          <w:tcPr>
            <w:tcW w:w="576" w:type="dxa"/>
          </w:tcPr>
          <w:p w14:paraId="277E0C6F" w14:textId="77777777" w:rsidR="00630147" w:rsidRPr="00286216" w:rsidRDefault="00630147" w:rsidP="00630147">
            <w:pPr>
              <w:pStyle w:val="StyleWisnow"/>
              <w:rPr>
                <w:color w:val="000000" w:themeColor="text1"/>
              </w:rPr>
            </w:pPr>
            <w:bookmarkStart w:id="3005" w:name="n3134" w:colFirst="0" w:colLast="0"/>
            <w:bookmarkEnd w:id="3004"/>
            <w:r w:rsidRPr="00286216">
              <w:rPr>
                <w:color w:val="000000" w:themeColor="text1"/>
              </w:rPr>
              <w:t>3134.</w:t>
            </w:r>
          </w:p>
        </w:tc>
        <w:tc>
          <w:tcPr>
            <w:tcW w:w="4818" w:type="dxa"/>
          </w:tcPr>
          <w:p w14:paraId="29AFC43C" w14:textId="77777777" w:rsidR="00630147" w:rsidRPr="00286216" w:rsidRDefault="00630147" w:rsidP="00630147">
            <w:pPr>
              <w:pStyle w:val="StyleZakonu"/>
              <w:rPr>
                <w:color w:val="000000" w:themeColor="text1"/>
              </w:rPr>
            </w:pPr>
            <w:r w:rsidRPr="00286216">
              <w:rPr>
                <w:color w:val="000000" w:themeColor="text1"/>
              </w:rPr>
              <w:t>3) у частині третій статті 34 слова "фондовому ринку" замінити словами "ринках капіталу";</w:t>
            </w:r>
          </w:p>
        </w:tc>
        <w:tc>
          <w:tcPr>
            <w:tcW w:w="3686" w:type="dxa"/>
          </w:tcPr>
          <w:p w14:paraId="6DB2E341" w14:textId="4BE40839" w:rsidR="00630147" w:rsidRPr="00286216" w:rsidRDefault="00630147" w:rsidP="00630147">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1387</w:t>
            </w:r>
            <w:r w:rsidRPr="00286216">
              <w:rPr>
                <w:color w:val="000000" w:themeColor="text1"/>
                <w:spacing w:val="-5"/>
              </w:rPr>
              <w:fldChar w:fldCharType="end"/>
            </w:r>
            <w:r w:rsidRPr="00286216">
              <w:rPr>
                <w:color w:val="000000" w:themeColor="text1"/>
                <w:spacing w:val="-5"/>
              </w:rPr>
              <w:t>-Н.д.Бєлькова О.В.(Реєстр.картка №403)</w:t>
            </w:r>
          </w:p>
          <w:p w14:paraId="2FCFF954" w14:textId="378615D8" w:rsidR="00630147" w:rsidRPr="00286216" w:rsidRDefault="00630147" w:rsidP="00630147">
            <w:pPr>
              <w:spacing w:line="180" w:lineRule="exact"/>
              <w:ind w:firstLine="227"/>
              <w:jc w:val="both"/>
              <w:rPr>
                <w:color w:val="000000" w:themeColor="text1"/>
                <w:spacing w:val="-4"/>
                <w:sz w:val="18"/>
              </w:rPr>
            </w:pPr>
            <w:r w:rsidRPr="00286216">
              <w:rPr>
                <w:color w:val="000000" w:themeColor="text1"/>
                <w:spacing w:val="-4"/>
                <w:sz w:val="18"/>
              </w:rPr>
              <w:t>П.20 розділу 3 доповнити таким абзацом:</w:t>
            </w:r>
          </w:p>
          <w:p w14:paraId="5707F754" w14:textId="1D6C8A02" w:rsidR="00630147" w:rsidRPr="00286216" w:rsidRDefault="00630147" w:rsidP="00630147">
            <w:pPr>
              <w:pStyle w:val="StyleProp"/>
              <w:spacing w:line="180" w:lineRule="exact"/>
              <w:rPr>
                <w:color w:val="000000" w:themeColor="text1"/>
                <w:szCs w:val="18"/>
              </w:rPr>
            </w:pPr>
            <w:r w:rsidRPr="00286216">
              <w:rPr>
                <w:color w:val="000000" w:themeColor="text1"/>
                <w:spacing w:val="-2"/>
              </w:rPr>
              <w:t>"перше речення частини шостої статті 33 викласти у такій редакції: "Банк здійснює емісію своїх акцій в порядку встановленому Законом України «Про ринки капіталу та організовані товарні ринки».</w:t>
            </w:r>
          </w:p>
        </w:tc>
        <w:tc>
          <w:tcPr>
            <w:tcW w:w="1987" w:type="dxa"/>
          </w:tcPr>
          <w:p w14:paraId="67A840EF" w14:textId="456D7E00"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01B17369" w14:textId="77777777" w:rsidR="00630147" w:rsidRPr="00286216" w:rsidRDefault="00630147" w:rsidP="00630147">
            <w:pPr>
              <w:pStyle w:val="StyleZakonu"/>
              <w:rPr>
                <w:color w:val="000000" w:themeColor="text1"/>
              </w:rPr>
            </w:pPr>
            <w:r w:rsidRPr="00286216">
              <w:rPr>
                <w:color w:val="000000" w:themeColor="text1"/>
              </w:rPr>
              <w:t xml:space="preserve">3) </w:t>
            </w:r>
            <w:r w:rsidRPr="00286216">
              <w:rPr>
                <w:color w:val="000000" w:themeColor="text1"/>
                <w:spacing w:val="-2"/>
              </w:rPr>
              <w:t>перше речення частини шостої статті 33 викласти у такій редакції: "Банк здійснює емісію своїх акцій в порядку, встановленому Законом України "Про ринки капіталу та організовані товарні ринки";</w:t>
            </w:r>
          </w:p>
          <w:p w14:paraId="3CCFEE7C" w14:textId="0FA544DC" w:rsidR="00630147" w:rsidRPr="00286216" w:rsidRDefault="00630147" w:rsidP="00630147">
            <w:pPr>
              <w:pStyle w:val="StyleZakonu"/>
              <w:rPr>
                <w:color w:val="000000" w:themeColor="text1"/>
              </w:rPr>
            </w:pPr>
            <w:r w:rsidRPr="00286216">
              <w:rPr>
                <w:color w:val="000000" w:themeColor="text1"/>
              </w:rPr>
              <w:t>4) у частині третій статті 34 слова "фондовому ринку" замінити словами "ринках капіталу";</w:t>
            </w:r>
          </w:p>
        </w:tc>
      </w:tr>
      <w:tr w:rsidR="00630147" w:rsidRPr="00286216" w14:paraId="751B10AB" w14:textId="77777777" w:rsidTr="00091AA5">
        <w:tc>
          <w:tcPr>
            <w:tcW w:w="576" w:type="dxa"/>
          </w:tcPr>
          <w:p w14:paraId="743066C5" w14:textId="77777777" w:rsidR="00630147" w:rsidRPr="00286216" w:rsidRDefault="00630147" w:rsidP="00630147">
            <w:pPr>
              <w:pStyle w:val="StyleWisnow"/>
              <w:rPr>
                <w:color w:val="000000" w:themeColor="text1"/>
              </w:rPr>
            </w:pPr>
            <w:bookmarkStart w:id="3006" w:name="n3135" w:colFirst="0" w:colLast="0"/>
            <w:bookmarkEnd w:id="3005"/>
            <w:r w:rsidRPr="00286216">
              <w:rPr>
                <w:color w:val="000000" w:themeColor="text1"/>
              </w:rPr>
              <w:t>3135.</w:t>
            </w:r>
          </w:p>
        </w:tc>
        <w:tc>
          <w:tcPr>
            <w:tcW w:w="4818" w:type="dxa"/>
          </w:tcPr>
          <w:p w14:paraId="7FE39B42" w14:textId="77777777" w:rsidR="00630147" w:rsidRPr="00286216" w:rsidRDefault="00630147" w:rsidP="00630147">
            <w:pPr>
              <w:pStyle w:val="StyleZakonu"/>
              <w:rPr>
                <w:color w:val="000000" w:themeColor="text1"/>
              </w:rPr>
            </w:pPr>
            <w:r w:rsidRPr="00286216">
              <w:rPr>
                <w:color w:val="000000" w:themeColor="text1"/>
              </w:rPr>
              <w:t>4) у статті 47:</w:t>
            </w:r>
          </w:p>
        </w:tc>
        <w:tc>
          <w:tcPr>
            <w:tcW w:w="3686" w:type="dxa"/>
          </w:tcPr>
          <w:p w14:paraId="59C83161" w14:textId="77777777" w:rsidR="00630147" w:rsidRPr="00286216" w:rsidRDefault="00630147" w:rsidP="00630147">
            <w:pPr>
              <w:pStyle w:val="StyleProp"/>
              <w:rPr>
                <w:color w:val="000000" w:themeColor="text1"/>
                <w:szCs w:val="18"/>
              </w:rPr>
            </w:pPr>
          </w:p>
        </w:tc>
        <w:tc>
          <w:tcPr>
            <w:tcW w:w="1987" w:type="dxa"/>
          </w:tcPr>
          <w:p w14:paraId="701B408F" w14:textId="77777777" w:rsidR="00630147" w:rsidRPr="00286216" w:rsidRDefault="00630147" w:rsidP="00630147">
            <w:pPr>
              <w:pStyle w:val="StyleWisnow"/>
              <w:rPr>
                <w:color w:val="000000" w:themeColor="text1"/>
              </w:rPr>
            </w:pPr>
          </w:p>
        </w:tc>
        <w:tc>
          <w:tcPr>
            <w:tcW w:w="4818" w:type="dxa"/>
          </w:tcPr>
          <w:p w14:paraId="6088A47C" w14:textId="4BC380F1" w:rsidR="00630147" w:rsidRPr="00286216" w:rsidRDefault="00630147" w:rsidP="00630147">
            <w:pPr>
              <w:pStyle w:val="StyleZakonu"/>
              <w:rPr>
                <w:color w:val="000000" w:themeColor="text1"/>
              </w:rPr>
            </w:pPr>
            <w:r w:rsidRPr="00286216">
              <w:rPr>
                <w:color w:val="000000" w:themeColor="text1"/>
              </w:rPr>
              <w:t>5) у статті 47:</w:t>
            </w:r>
          </w:p>
        </w:tc>
      </w:tr>
      <w:tr w:rsidR="00630147" w:rsidRPr="00286216" w14:paraId="75E98B92" w14:textId="77777777" w:rsidTr="00091AA5">
        <w:tc>
          <w:tcPr>
            <w:tcW w:w="576" w:type="dxa"/>
          </w:tcPr>
          <w:p w14:paraId="2A5B7858" w14:textId="77777777" w:rsidR="00630147" w:rsidRPr="00286216" w:rsidRDefault="00630147" w:rsidP="00630147">
            <w:pPr>
              <w:pStyle w:val="StyleWisnow"/>
              <w:rPr>
                <w:color w:val="000000" w:themeColor="text1"/>
              </w:rPr>
            </w:pPr>
            <w:bookmarkStart w:id="3007" w:name="n3136" w:colFirst="0" w:colLast="0"/>
            <w:bookmarkEnd w:id="3006"/>
            <w:r w:rsidRPr="00286216">
              <w:rPr>
                <w:color w:val="000000" w:themeColor="text1"/>
              </w:rPr>
              <w:t>3136.</w:t>
            </w:r>
          </w:p>
        </w:tc>
        <w:tc>
          <w:tcPr>
            <w:tcW w:w="4818" w:type="dxa"/>
          </w:tcPr>
          <w:p w14:paraId="12248424" w14:textId="77777777" w:rsidR="00630147" w:rsidRPr="00286216" w:rsidRDefault="00630147" w:rsidP="00630147">
            <w:pPr>
              <w:pStyle w:val="StyleZakonu"/>
              <w:rPr>
                <w:color w:val="000000" w:themeColor="text1"/>
              </w:rPr>
            </w:pPr>
            <w:r w:rsidRPr="00286216">
              <w:rPr>
                <w:color w:val="000000" w:themeColor="text1"/>
              </w:rPr>
              <w:t>а) у частині четвертій слова "Центральний депозитарій цінних паперів має право провадити окремі банківські операції на підставі ліцензії на здійснення окремих банківських операцій, що видається у встановленому Національним банком України порядку" виключити.</w:t>
            </w:r>
          </w:p>
        </w:tc>
        <w:tc>
          <w:tcPr>
            <w:tcW w:w="3686" w:type="dxa"/>
          </w:tcPr>
          <w:p w14:paraId="1DEE0716" w14:textId="77777777" w:rsidR="00630147" w:rsidRPr="00286216" w:rsidRDefault="00630147" w:rsidP="00630147">
            <w:pPr>
              <w:pStyle w:val="StyleProp"/>
              <w:rPr>
                <w:color w:val="000000" w:themeColor="text1"/>
                <w:szCs w:val="18"/>
              </w:rPr>
            </w:pPr>
          </w:p>
        </w:tc>
        <w:tc>
          <w:tcPr>
            <w:tcW w:w="1987" w:type="dxa"/>
          </w:tcPr>
          <w:p w14:paraId="4F929EB3" w14:textId="77777777" w:rsidR="00630147" w:rsidRPr="00286216" w:rsidRDefault="00630147" w:rsidP="00630147">
            <w:pPr>
              <w:pStyle w:val="StyleWisnow"/>
              <w:rPr>
                <w:color w:val="000000" w:themeColor="text1"/>
              </w:rPr>
            </w:pPr>
          </w:p>
        </w:tc>
        <w:tc>
          <w:tcPr>
            <w:tcW w:w="4818" w:type="dxa"/>
          </w:tcPr>
          <w:p w14:paraId="46DF0C59" w14:textId="1460B40D" w:rsidR="00630147" w:rsidRPr="00286216" w:rsidRDefault="00630147" w:rsidP="00630147">
            <w:pPr>
              <w:pStyle w:val="StyleZakonu"/>
              <w:rPr>
                <w:color w:val="000000" w:themeColor="text1"/>
              </w:rPr>
            </w:pPr>
            <w:r w:rsidRPr="00286216">
              <w:rPr>
                <w:color w:val="000000" w:themeColor="text1"/>
              </w:rPr>
              <w:t>а) у частині четвертій слова "Центральний депозитарій цінних паперів має право провадити окремі банківські операції на підставі ліцензії на здійснення окремих банківських операцій, що видається у встановленому Національним банком України порядку" виключити;</w:t>
            </w:r>
          </w:p>
        </w:tc>
      </w:tr>
      <w:tr w:rsidR="00630147" w:rsidRPr="00286216" w14:paraId="08FD260C" w14:textId="77777777" w:rsidTr="00091AA5">
        <w:tc>
          <w:tcPr>
            <w:tcW w:w="576" w:type="dxa"/>
          </w:tcPr>
          <w:p w14:paraId="1B9C46B2" w14:textId="77777777" w:rsidR="00630147" w:rsidRPr="00286216" w:rsidRDefault="00630147" w:rsidP="00630147">
            <w:pPr>
              <w:pStyle w:val="StyleWisnow"/>
              <w:rPr>
                <w:color w:val="000000" w:themeColor="text1"/>
              </w:rPr>
            </w:pPr>
            <w:bookmarkStart w:id="3008" w:name="n3137" w:colFirst="0" w:colLast="0"/>
            <w:bookmarkEnd w:id="3007"/>
            <w:r w:rsidRPr="00286216">
              <w:rPr>
                <w:color w:val="000000" w:themeColor="text1"/>
              </w:rPr>
              <w:t>3137.</w:t>
            </w:r>
          </w:p>
        </w:tc>
        <w:tc>
          <w:tcPr>
            <w:tcW w:w="4818" w:type="dxa"/>
          </w:tcPr>
          <w:p w14:paraId="5550C872" w14:textId="77777777" w:rsidR="00630147" w:rsidRPr="00286216" w:rsidRDefault="00630147" w:rsidP="00630147">
            <w:pPr>
              <w:pStyle w:val="StyleZakonu"/>
              <w:rPr>
                <w:color w:val="000000" w:themeColor="text1"/>
              </w:rPr>
            </w:pPr>
            <w:r w:rsidRPr="00286216">
              <w:rPr>
                <w:color w:val="000000" w:themeColor="text1"/>
              </w:rPr>
              <w:t>б) частину восьму доповнити новим пунктом такого змісту:</w:t>
            </w:r>
          </w:p>
        </w:tc>
        <w:tc>
          <w:tcPr>
            <w:tcW w:w="3686" w:type="dxa"/>
          </w:tcPr>
          <w:p w14:paraId="17269695" w14:textId="77777777" w:rsidR="00630147" w:rsidRPr="00286216" w:rsidRDefault="00630147" w:rsidP="00630147">
            <w:pPr>
              <w:pStyle w:val="StyleProp"/>
              <w:rPr>
                <w:color w:val="000000" w:themeColor="text1"/>
                <w:szCs w:val="18"/>
              </w:rPr>
            </w:pPr>
          </w:p>
        </w:tc>
        <w:tc>
          <w:tcPr>
            <w:tcW w:w="1987" w:type="dxa"/>
          </w:tcPr>
          <w:p w14:paraId="3E6B8B73" w14:textId="77777777" w:rsidR="00630147" w:rsidRPr="00286216" w:rsidRDefault="00630147" w:rsidP="00630147">
            <w:pPr>
              <w:pStyle w:val="StyleWisnow"/>
              <w:rPr>
                <w:color w:val="000000" w:themeColor="text1"/>
              </w:rPr>
            </w:pPr>
          </w:p>
        </w:tc>
        <w:tc>
          <w:tcPr>
            <w:tcW w:w="4818" w:type="dxa"/>
          </w:tcPr>
          <w:p w14:paraId="3ED192E5" w14:textId="503A7167" w:rsidR="00630147" w:rsidRPr="00286216" w:rsidRDefault="00630147" w:rsidP="00630147">
            <w:pPr>
              <w:pStyle w:val="StyleZakonu"/>
              <w:rPr>
                <w:color w:val="000000" w:themeColor="text1"/>
              </w:rPr>
            </w:pPr>
            <w:r w:rsidRPr="00286216">
              <w:rPr>
                <w:color w:val="000000" w:themeColor="text1"/>
              </w:rPr>
              <w:t>б) частину восьму доповнити пунктом 8 такого змісту:</w:t>
            </w:r>
          </w:p>
        </w:tc>
      </w:tr>
      <w:tr w:rsidR="00630147" w:rsidRPr="00286216" w14:paraId="0FE1E757" w14:textId="77777777" w:rsidTr="00091AA5">
        <w:tc>
          <w:tcPr>
            <w:tcW w:w="576" w:type="dxa"/>
          </w:tcPr>
          <w:p w14:paraId="72A95F71" w14:textId="77777777" w:rsidR="00630147" w:rsidRPr="00286216" w:rsidRDefault="00630147" w:rsidP="00630147">
            <w:pPr>
              <w:pStyle w:val="StyleWisnow"/>
              <w:rPr>
                <w:color w:val="000000" w:themeColor="text1"/>
              </w:rPr>
            </w:pPr>
            <w:bookmarkStart w:id="3009" w:name="n3138" w:colFirst="0" w:colLast="0"/>
            <w:bookmarkEnd w:id="3008"/>
            <w:r w:rsidRPr="00286216">
              <w:rPr>
                <w:color w:val="000000" w:themeColor="text1"/>
              </w:rPr>
              <w:t>3138.</w:t>
            </w:r>
          </w:p>
        </w:tc>
        <w:tc>
          <w:tcPr>
            <w:tcW w:w="4818" w:type="dxa"/>
          </w:tcPr>
          <w:p w14:paraId="66BF5E05" w14:textId="77777777" w:rsidR="00630147" w:rsidRPr="00286216" w:rsidRDefault="00630147" w:rsidP="00630147">
            <w:pPr>
              <w:pStyle w:val="StyleZakonu"/>
              <w:rPr>
                <w:color w:val="000000" w:themeColor="text1"/>
              </w:rPr>
            </w:pPr>
            <w:r w:rsidRPr="00286216">
              <w:rPr>
                <w:color w:val="000000" w:themeColor="text1"/>
              </w:rPr>
              <w:t>"8) надання послуг адміністратора за випуском облігацій відповідно до Закону України "Про ринки капіталу та організовані товарні ринки".";</w:t>
            </w:r>
          </w:p>
        </w:tc>
        <w:tc>
          <w:tcPr>
            <w:tcW w:w="3686" w:type="dxa"/>
          </w:tcPr>
          <w:p w14:paraId="5686DC47" w14:textId="77777777" w:rsidR="00630147" w:rsidRPr="00286216" w:rsidRDefault="00630147" w:rsidP="00630147">
            <w:pPr>
              <w:pStyle w:val="StyleProp"/>
              <w:rPr>
                <w:color w:val="000000" w:themeColor="text1"/>
                <w:szCs w:val="18"/>
              </w:rPr>
            </w:pPr>
          </w:p>
        </w:tc>
        <w:tc>
          <w:tcPr>
            <w:tcW w:w="1987" w:type="dxa"/>
          </w:tcPr>
          <w:p w14:paraId="0EBD704E" w14:textId="77777777" w:rsidR="00630147" w:rsidRPr="00286216" w:rsidRDefault="00630147" w:rsidP="00630147">
            <w:pPr>
              <w:pStyle w:val="StyleWisnow"/>
              <w:rPr>
                <w:color w:val="000000" w:themeColor="text1"/>
              </w:rPr>
            </w:pPr>
          </w:p>
        </w:tc>
        <w:tc>
          <w:tcPr>
            <w:tcW w:w="4818" w:type="dxa"/>
          </w:tcPr>
          <w:p w14:paraId="148A1204" w14:textId="1824436E" w:rsidR="00630147" w:rsidRPr="00286216" w:rsidRDefault="00630147" w:rsidP="00630147">
            <w:pPr>
              <w:pStyle w:val="StyleZakonu"/>
              <w:rPr>
                <w:color w:val="000000" w:themeColor="text1"/>
              </w:rPr>
            </w:pPr>
            <w:r w:rsidRPr="00286216">
              <w:rPr>
                <w:color w:val="000000" w:themeColor="text1"/>
              </w:rPr>
              <w:t>"8) надання послуг адміністратора за випуском облігацій відповідно до Закону України "Про ринки капіталу та організовані товарні ринки";</w:t>
            </w:r>
          </w:p>
        </w:tc>
      </w:tr>
      <w:tr w:rsidR="00630147" w:rsidRPr="00286216" w14:paraId="53E8C750" w14:textId="77777777" w:rsidTr="00091AA5">
        <w:tc>
          <w:tcPr>
            <w:tcW w:w="576" w:type="dxa"/>
          </w:tcPr>
          <w:p w14:paraId="6874BDCF" w14:textId="77777777" w:rsidR="00630147" w:rsidRPr="00286216" w:rsidRDefault="00630147" w:rsidP="00630147">
            <w:pPr>
              <w:pStyle w:val="StyleWisnow"/>
              <w:rPr>
                <w:color w:val="000000" w:themeColor="text1"/>
              </w:rPr>
            </w:pPr>
            <w:bookmarkStart w:id="3010" w:name="n3139" w:colFirst="0" w:colLast="0"/>
            <w:bookmarkEnd w:id="3009"/>
            <w:r w:rsidRPr="00286216">
              <w:rPr>
                <w:color w:val="000000" w:themeColor="text1"/>
              </w:rPr>
              <w:t>3139.</w:t>
            </w:r>
          </w:p>
        </w:tc>
        <w:tc>
          <w:tcPr>
            <w:tcW w:w="4818" w:type="dxa"/>
          </w:tcPr>
          <w:p w14:paraId="61A299CB" w14:textId="77777777" w:rsidR="00630147" w:rsidRPr="00286216" w:rsidRDefault="00630147" w:rsidP="00630147">
            <w:pPr>
              <w:pStyle w:val="StyleZakonu"/>
              <w:rPr>
                <w:color w:val="000000" w:themeColor="text1"/>
              </w:rPr>
            </w:pPr>
            <w:r w:rsidRPr="00286216">
              <w:rPr>
                <w:color w:val="000000" w:themeColor="text1"/>
              </w:rPr>
              <w:t>5) у пункті 1 частини першої статті 49 слова "на ринку цінних паперів" замінити словами "на ринках капіталу";</w:t>
            </w:r>
          </w:p>
        </w:tc>
        <w:tc>
          <w:tcPr>
            <w:tcW w:w="3686" w:type="dxa"/>
          </w:tcPr>
          <w:p w14:paraId="35F2FAA8" w14:textId="77777777" w:rsidR="00630147" w:rsidRPr="00286216" w:rsidRDefault="00630147" w:rsidP="00630147">
            <w:pPr>
              <w:pStyle w:val="StyleProp"/>
              <w:rPr>
                <w:color w:val="000000" w:themeColor="text1"/>
                <w:szCs w:val="18"/>
              </w:rPr>
            </w:pPr>
          </w:p>
        </w:tc>
        <w:tc>
          <w:tcPr>
            <w:tcW w:w="1987" w:type="dxa"/>
          </w:tcPr>
          <w:p w14:paraId="4586C6D0" w14:textId="77777777" w:rsidR="00630147" w:rsidRPr="00286216" w:rsidRDefault="00630147" w:rsidP="00630147">
            <w:pPr>
              <w:pStyle w:val="StyleWisnow"/>
              <w:rPr>
                <w:color w:val="000000" w:themeColor="text1"/>
              </w:rPr>
            </w:pPr>
          </w:p>
        </w:tc>
        <w:tc>
          <w:tcPr>
            <w:tcW w:w="4818" w:type="dxa"/>
          </w:tcPr>
          <w:p w14:paraId="5E85F3D9" w14:textId="012B4228" w:rsidR="00630147" w:rsidRPr="00286216" w:rsidRDefault="00630147" w:rsidP="00630147">
            <w:pPr>
              <w:pStyle w:val="StyleZakonu"/>
              <w:rPr>
                <w:color w:val="000000" w:themeColor="text1"/>
              </w:rPr>
            </w:pPr>
            <w:r w:rsidRPr="00286216">
              <w:rPr>
                <w:color w:val="000000" w:themeColor="text1"/>
              </w:rPr>
              <w:t>6) у пункті 1 частини першої статті 49 слова "на ринку цінних паперів" замінити словами "на ринках капіталу";</w:t>
            </w:r>
          </w:p>
        </w:tc>
      </w:tr>
      <w:tr w:rsidR="00630147" w:rsidRPr="00286216" w14:paraId="65E7FB64" w14:textId="77777777" w:rsidTr="00091AA5">
        <w:tc>
          <w:tcPr>
            <w:tcW w:w="576" w:type="dxa"/>
          </w:tcPr>
          <w:p w14:paraId="24332F17" w14:textId="77777777" w:rsidR="00630147" w:rsidRPr="00286216" w:rsidRDefault="00630147" w:rsidP="00630147">
            <w:pPr>
              <w:pStyle w:val="StyleWisnow"/>
              <w:rPr>
                <w:color w:val="000000" w:themeColor="text1"/>
              </w:rPr>
            </w:pPr>
            <w:bookmarkStart w:id="3011" w:name="n3140" w:colFirst="0" w:colLast="0"/>
            <w:bookmarkEnd w:id="3010"/>
            <w:r w:rsidRPr="00286216">
              <w:rPr>
                <w:color w:val="000000" w:themeColor="text1"/>
              </w:rPr>
              <w:t>3140.</w:t>
            </w:r>
          </w:p>
        </w:tc>
        <w:tc>
          <w:tcPr>
            <w:tcW w:w="4818" w:type="dxa"/>
          </w:tcPr>
          <w:p w14:paraId="5AA255D4" w14:textId="77777777" w:rsidR="00630147" w:rsidRPr="00286216" w:rsidRDefault="00630147" w:rsidP="00630147">
            <w:pPr>
              <w:pStyle w:val="StyleZakonu"/>
              <w:rPr>
                <w:color w:val="000000" w:themeColor="text1"/>
              </w:rPr>
            </w:pPr>
            <w:r w:rsidRPr="00286216">
              <w:rPr>
                <w:color w:val="000000" w:themeColor="text1"/>
              </w:rPr>
              <w:t>6) у пункті 7 частини першої статті 62 слова "адміністративних даних відповідно до законів про цінні папери та фондовий ринок" замінити словами "звітних даних відповідно до законів про ринки капіталу та організовані товарні ринки";</w:t>
            </w:r>
          </w:p>
        </w:tc>
        <w:tc>
          <w:tcPr>
            <w:tcW w:w="3686" w:type="dxa"/>
          </w:tcPr>
          <w:p w14:paraId="20C38301" w14:textId="77777777" w:rsidR="00630147" w:rsidRPr="00286216" w:rsidRDefault="00630147" w:rsidP="00630147">
            <w:pPr>
              <w:spacing w:line="200" w:lineRule="exact"/>
              <w:ind w:firstLine="227"/>
              <w:jc w:val="both"/>
              <w:rPr>
                <w:color w:val="000000" w:themeColor="text1"/>
                <w:szCs w:val="18"/>
              </w:rPr>
            </w:pPr>
          </w:p>
        </w:tc>
        <w:tc>
          <w:tcPr>
            <w:tcW w:w="1987" w:type="dxa"/>
          </w:tcPr>
          <w:p w14:paraId="078580CD" w14:textId="77777777" w:rsidR="00630147" w:rsidRPr="00286216" w:rsidRDefault="00630147" w:rsidP="00630147">
            <w:pPr>
              <w:pStyle w:val="StyleWisnow"/>
              <w:rPr>
                <w:color w:val="000000" w:themeColor="text1"/>
              </w:rPr>
            </w:pPr>
          </w:p>
        </w:tc>
        <w:tc>
          <w:tcPr>
            <w:tcW w:w="4818" w:type="dxa"/>
          </w:tcPr>
          <w:p w14:paraId="27AAFE3C" w14:textId="4EFD6585" w:rsidR="00630147" w:rsidRPr="00286216" w:rsidRDefault="00630147" w:rsidP="00630147">
            <w:pPr>
              <w:pStyle w:val="StyleZakonu"/>
              <w:rPr>
                <w:color w:val="000000" w:themeColor="text1"/>
              </w:rPr>
            </w:pPr>
            <w:r w:rsidRPr="00286216">
              <w:rPr>
                <w:color w:val="000000" w:themeColor="text1"/>
              </w:rPr>
              <w:t>7) у пункті 7 частини першої статті 62 слова "адміністративних даних відповідно до законів про цінні папери та фондовий ринок" замінити словами "звітних даних відповідно до законів про ринки капіталу та організовані товарні ринки";</w:t>
            </w:r>
          </w:p>
        </w:tc>
      </w:tr>
      <w:tr w:rsidR="00630147" w:rsidRPr="00286216" w14:paraId="5ADD8021" w14:textId="77777777" w:rsidTr="00091AA5">
        <w:tc>
          <w:tcPr>
            <w:tcW w:w="576" w:type="dxa"/>
          </w:tcPr>
          <w:p w14:paraId="0FA422FE" w14:textId="77777777" w:rsidR="00630147" w:rsidRPr="00286216" w:rsidRDefault="00630147" w:rsidP="00630147">
            <w:pPr>
              <w:pStyle w:val="StyleWisnow"/>
              <w:rPr>
                <w:color w:val="000000" w:themeColor="text1"/>
              </w:rPr>
            </w:pPr>
          </w:p>
        </w:tc>
        <w:tc>
          <w:tcPr>
            <w:tcW w:w="4818" w:type="dxa"/>
          </w:tcPr>
          <w:p w14:paraId="26DF20D3" w14:textId="77777777" w:rsidR="00630147" w:rsidRPr="00286216" w:rsidRDefault="00630147" w:rsidP="00630147">
            <w:pPr>
              <w:pStyle w:val="StyleZakonu"/>
              <w:rPr>
                <w:color w:val="000000" w:themeColor="text1"/>
              </w:rPr>
            </w:pPr>
          </w:p>
        </w:tc>
        <w:tc>
          <w:tcPr>
            <w:tcW w:w="3686" w:type="dxa"/>
          </w:tcPr>
          <w:p w14:paraId="58FAFB1E" w14:textId="065B2C6A"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1388</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О.В.(Реєстр.картка №403)</w:t>
            </w:r>
          </w:p>
          <w:p w14:paraId="2F809E24"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Підпункт 6 пункту 20 розділу 3, яким пропонується внести зміни до статті 62 Закону України “Про  банки та банківську діяльність», викласти в такій редакції:</w:t>
            </w:r>
          </w:p>
          <w:p w14:paraId="743FA8A9"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lastRenderedPageBreak/>
              <w:t>“6) у статті 62:</w:t>
            </w:r>
          </w:p>
          <w:p w14:paraId="49365694"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а) у пункті 7 частини першої слова «адміністративних даних відповідно до законів про цінні папери та фондовий ринок» замінити словами «звітних даних відповідно до законів про ринки капіталу та організовані товарні ринки»;</w:t>
            </w:r>
          </w:p>
          <w:p w14:paraId="44A436EB"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б) доповнити новою частиною одинадцятою такого змісту:</w:t>
            </w:r>
          </w:p>
          <w:p w14:paraId="6ADBB653"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«Національний банк України має право надавати Національній комісії з цінних паперів та фондового ринку, щодо банку, який має намір провадити професійну діяльність на ринках капіталу, документи та інформацію, які містять банківську таємницю, передбачені для отримання ліцензії на провадження професійної діяльності на ринках капіталу та організованих товарних ринках, а також необхідні для здійснення нагляду за діяльністю такого банку».</w:t>
            </w:r>
          </w:p>
          <w:p w14:paraId="09EE9002"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У зв’язку із цим частини одинадцяту-сімнадцяту відповідно вважати частинами дванадцятою-вісімнадцятою..</w:t>
            </w:r>
          </w:p>
        </w:tc>
        <w:tc>
          <w:tcPr>
            <w:tcW w:w="1987" w:type="dxa"/>
          </w:tcPr>
          <w:p w14:paraId="201747F6" w14:textId="77777777" w:rsidR="00630147" w:rsidRPr="00286216" w:rsidRDefault="00630147" w:rsidP="00630147">
            <w:pPr>
              <w:pStyle w:val="StyleWisnow"/>
              <w:rPr>
                <w:color w:val="000000" w:themeColor="text1"/>
              </w:rPr>
            </w:pPr>
            <w:r w:rsidRPr="00286216">
              <w:rPr>
                <w:color w:val="000000" w:themeColor="text1"/>
              </w:rPr>
              <w:lastRenderedPageBreak/>
              <w:t>Враховано</w:t>
            </w:r>
          </w:p>
          <w:p w14:paraId="38307ACA" w14:textId="77777777" w:rsidR="00630147" w:rsidRPr="00286216" w:rsidRDefault="00630147" w:rsidP="00630147">
            <w:pPr>
              <w:spacing w:line="200" w:lineRule="exact"/>
              <w:ind w:firstLine="227"/>
              <w:jc w:val="both"/>
              <w:rPr>
                <w:color w:val="000000" w:themeColor="text1"/>
                <w:sz w:val="18"/>
              </w:rPr>
            </w:pPr>
          </w:p>
        </w:tc>
        <w:tc>
          <w:tcPr>
            <w:tcW w:w="4818" w:type="dxa"/>
          </w:tcPr>
          <w:p w14:paraId="4A38E249" w14:textId="77777777" w:rsidR="00630147" w:rsidRPr="00286216" w:rsidRDefault="00630147" w:rsidP="00630147">
            <w:pPr>
              <w:pStyle w:val="StyleZakonu"/>
              <w:rPr>
                <w:color w:val="000000" w:themeColor="text1"/>
              </w:rPr>
            </w:pPr>
            <w:r w:rsidRPr="00286216">
              <w:rPr>
                <w:color w:val="000000" w:themeColor="text1"/>
              </w:rPr>
              <w:t>8) у статті 62:</w:t>
            </w:r>
          </w:p>
          <w:p w14:paraId="034DE3C3" w14:textId="77777777" w:rsidR="00630147" w:rsidRPr="00286216" w:rsidRDefault="00630147" w:rsidP="00630147">
            <w:pPr>
              <w:pStyle w:val="StyleZakonu"/>
              <w:rPr>
                <w:color w:val="000000" w:themeColor="text1"/>
              </w:rPr>
            </w:pPr>
            <w:r w:rsidRPr="00286216">
              <w:rPr>
                <w:color w:val="000000" w:themeColor="text1"/>
              </w:rPr>
              <w:t xml:space="preserve">а) у пункті 7 частини першої слова «адміністративних даних відповідно до законів про цінні папери та фондовий ринок» замінити словами </w:t>
            </w:r>
            <w:r w:rsidRPr="00286216">
              <w:rPr>
                <w:color w:val="000000" w:themeColor="text1"/>
              </w:rPr>
              <w:lastRenderedPageBreak/>
              <w:t>«звітних даних відповідно до законів про ринки капіталу та організовані товарні ринки»;</w:t>
            </w:r>
          </w:p>
          <w:p w14:paraId="5E277020" w14:textId="77777777" w:rsidR="00630147" w:rsidRPr="00286216" w:rsidRDefault="00630147" w:rsidP="00630147">
            <w:pPr>
              <w:pStyle w:val="StyleZakonu"/>
              <w:rPr>
                <w:color w:val="000000" w:themeColor="text1"/>
              </w:rPr>
            </w:pPr>
            <w:r w:rsidRPr="00286216">
              <w:rPr>
                <w:color w:val="000000" w:themeColor="text1"/>
              </w:rPr>
              <w:t>б) після частини десятої доповнити новою частиною такого змісту:</w:t>
            </w:r>
          </w:p>
          <w:p w14:paraId="2A0575FD" w14:textId="77777777" w:rsidR="00630147" w:rsidRPr="00286216" w:rsidRDefault="00630147" w:rsidP="00630147">
            <w:pPr>
              <w:pStyle w:val="StyleZakonu"/>
              <w:rPr>
                <w:color w:val="000000" w:themeColor="text1"/>
              </w:rPr>
            </w:pPr>
            <w:r w:rsidRPr="00286216">
              <w:rPr>
                <w:color w:val="000000" w:themeColor="text1"/>
              </w:rPr>
              <w:t>«Національний банк України має право надавати Національній комісії з цінних паперів та фондового ринку, щодо банку, який має намір провадити діяльність на ринках капіталу, документи та інформацію, які містять банківську таємницю, передбачені для отримання ліцензії на провадження професійної діяльності на ринках капіталу та організованих товарних ринках, а також необхідні для здійснення нагляду за діяльністю такого банку».</w:t>
            </w:r>
          </w:p>
          <w:p w14:paraId="775D8C55" w14:textId="2E8C26C7" w:rsidR="00630147" w:rsidRPr="00286216" w:rsidRDefault="00630147" w:rsidP="00630147">
            <w:pPr>
              <w:pStyle w:val="StyleZakonu"/>
              <w:rPr>
                <w:color w:val="000000" w:themeColor="text1"/>
              </w:rPr>
            </w:pPr>
            <w:r w:rsidRPr="00286216">
              <w:rPr>
                <w:color w:val="000000" w:themeColor="text1"/>
              </w:rPr>
              <w:t>У зв’язку із цим частини одинадцяту-сімнадцяту вважати відповідно частинами дванадцятою-вісімнадцятою;</w:t>
            </w:r>
          </w:p>
        </w:tc>
      </w:tr>
      <w:tr w:rsidR="00630147" w:rsidRPr="00286216" w14:paraId="697530E0" w14:textId="77777777" w:rsidTr="00091AA5">
        <w:tc>
          <w:tcPr>
            <w:tcW w:w="576" w:type="dxa"/>
          </w:tcPr>
          <w:p w14:paraId="7E895783" w14:textId="77777777" w:rsidR="00630147" w:rsidRPr="00286216" w:rsidRDefault="00630147" w:rsidP="00630147">
            <w:pPr>
              <w:pStyle w:val="StyleWisnow"/>
              <w:rPr>
                <w:color w:val="000000" w:themeColor="text1"/>
              </w:rPr>
            </w:pPr>
            <w:bookmarkStart w:id="3012" w:name="n3141" w:colFirst="0" w:colLast="0"/>
            <w:bookmarkEnd w:id="3011"/>
            <w:r w:rsidRPr="00286216">
              <w:rPr>
                <w:color w:val="000000" w:themeColor="text1"/>
              </w:rPr>
              <w:lastRenderedPageBreak/>
              <w:t>3141.</w:t>
            </w:r>
          </w:p>
        </w:tc>
        <w:tc>
          <w:tcPr>
            <w:tcW w:w="4818" w:type="dxa"/>
          </w:tcPr>
          <w:p w14:paraId="75EF4182" w14:textId="77777777" w:rsidR="00630147" w:rsidRPr="00286216" w:rsidRDefault="00630147" w:rsidP="00630147">
            <w:pPr>
              <w:pStyle w:val="StyleZakonu"/>
              <w:rPr>
                <w:color w:val="000000" w:themeColor="text1"/>
              </w:rPr>
            </w:pPr>
            <w:r w:rsidRPr="00286216">
              <w:rPr>
                <w:color w:val="000000" w:themeColor="text1"/>
              </w:rPr>
              <w:t>7) у абзаці шістнадцятому статті 64 слова "ринку цінних паперів" замінити словами "ринків капіталу та організованих товарних ринків", а слова "ринку цінних паперів (фондового ринку)" замінити словами "ринках капіталу".</w:t>
            </w:r>
          </w:p>
        </w:tc>
        <w:tc>
          <w:tcPr>
            <w:tcW w:w="3686" w:type="dxa"/>
          </w:tcPr>
          <w:p w14:paraId="76B1216B" w14:textId="54FAB440"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1389</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045BF631" w14:textId="57348DB5"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Підпункт 7 пункту 20 розділу 3,  яким пропонується внести зміни до статті 64 Закону України “Про  банки та банківську діяльність» виключити.</w:t>
            </w:r>
          </w:p>
        </w:tc>
        <w:tc>
          <w:tcPr>
            <w:tcW w:w="1987" w:type="dxa"/>
          </w:tcPr>
          <w:p w14:paraId="5700741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77187D7" w14:textId="77777777" w:rsidR="00630147" w:rsidRPr="00286216" w:rsidRDefault="00630147" w:rsidP="00630147">
            <w:pPr>
              <w:pStyle w:val="StyleZakonu"/>
              <w:rPr>
                <w:color w:val="000000" w:themeColor="text1"/>
              </w:rPr>
            </w:pPr>
          </w:p>
        </w:tc>
      </w:tr>
      <w:tr w:rsidR="00630147" w:rsidRPr="00286216" w14:paraId="22B6E8D2" w14:textId="77777777" w:rsidTr="00091AA5">
        <w:tc>
          <w:tcPr>
            <w:tcW w:w="576" w:type="dxa"/>
          </w:tcPr>
          <w:p w14:paraId="4FE0DF2F" w14:textId="77777777" w:rsidR="00630147" w:rsidRPr="00286216" w:rsidRDefault="00630147" w:rsidP="00630147">
            <w:pPr>
              <w:pStyle w:val="StyleWisnow"/>
              <w:rPr>
                <w:color w:val="000000" w:themeColor="text1"/>
              </w:rPr>
            </w:pPr>
          </w:p>
        </w:tc>
        <w:tc>
          <w:tcPr>
            <w:tcW w:w="4818" w:type="dxa"/>
          </w:tcPr>
          <w:p w14:paraId="00DEF7CD" w14:textId="77777777" w:rsidR="00630147" w:rsidRPr="00286216" w:rsidRDefault="00630147" w:rsidP="00630147">
            <w:pPr>
              <w:pStyle w:val="StyleZakonu"/>
              <w:rPr>
                <w:color w:val="000000" w:themeColor="text1"/>
              </w:rPr>
            </w:pPr>
          </w:p>
        </w:tc>
        <w:tc>
          <w:tcPr>
            <w:tcW w:w="3686" w:type="dxa"/>
          </w:tcPr>
          <w:p w14:paraId="04D53244" w14:textId="64F78B29"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1390</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01F6166D" w14:textId="126ED790" w:rsidR="00630147" w:rsidRPr="00286216" w:rsidRDefault="00630147" w:rsidP="00630147">
            <w:pPr>
              <w:spacing w:line="180" w:lineRule="exact"/>
              <w:ind w:firstLine="227"/>
              <w:jc w:val="both"/>
              <w:rPr>
                <w:color w:val="000000" w:themeColor="text1"/>
                <w:sz w:val="18"/>
              </w:rPr>
            </w:pPr>
            <w:r w:rsidRPr="00286216">
              <w:rPr>
                <w:color w:val="000000" w:themeColor="text1"/>
                <w:sz w:val="18"/>
              </w:rPr>
              <w:t>Пункт 20 розділу 4 доповнити підпунктами в такій редакції:</w:t>
            </w:r>
          </w:p>
          <w:p w14:paraId="58C709A7" w14:textId="77777777" w:rsidR="00630147" w:rsidRPr="00286216" w:rsidRDefault="00630147" w:rsidP="00630147">
            <w:pPr>
              <w:spacing w:line="180" w:lineRule="exact"/>
              <w:ind w:firstLine="227"/>
              <w:jc w:val="both"/>
              <w:rPr>
                <w:color w:val="000000" w:themeColor="text1"/>
                <w:sz w:val="18"/>
              </w:rPr>
            </w:pPr>
            <w:r w:rsidRPr="00286216">
              <w:rPr>
                <w:color w:val="000000" w:themeColor="text1"/>
                <w:sz w:val="18"/>
              </w:rPr>
              <w:t>«8) частину другу статті 76 після слів «Про систему гарантування вкладів фізичних осіб» доповнити словами «та особі, що провадить клірингову діяльність»;</w:t>
            </w:r>
          </w:p>
          <w:p w14:paraId="66CA331F" w14:textId="77777777" w:rsidR="00630147" w:rsidRPr="00286216" w:rsidRDefault="00630147" w:rsidP="00630147">
            <w:pPr>
              <w:spacing w:line="180" w:lineRule="exact"/>
              <w:ind w:firstLine="227"/>
              <w:jc w:val="both"/>
              <w:rPr>
                <w:color w:val="000000" w:themeColor="text1"/>
                <w:szCs w:val="18"/>
              </w:rPr>
            </w:pPr>
            <w:r w:rsidRPr="00286216">
              <w:rPr>
                <w:color w:val="000000" w:themeColor="text1"/>
                <w:sz w:val="18"/>
              </w:rPr>
              <w:t>9) частину п’яту статті 77 після слів «Фонду гарантування вкладів фізичних осіб» доповнити словами «та особі, що провадить клірингову діяльність».»</w:t>
            </w:r>
          </w:p>
        </w:tc>
        <w:tc>
          <w:tcPr>
            <w:tcW w:w="1987" w:type="dxa"/>
          </w:tcPr>
          <w:p w14:paraId="3FB18375" w14:textId="2EF23CFF" w:rsidR="00630147" w:rsidRPr="00286216" w:rsidRDefault="00630147" w:rsidP="00630147">
            <w:pPr>
              <w:pStyle w:val="StyleWisnow"/>
              <w:spacing w:line="200" w:lineRule="exact"/>
              <w:rPr>
                <w:color w:val="000000" w:themeColor="text1"/>
              </w:rPr>
            </w:pPr>
            <w:r w:rsidRPr="00286216">
              <w:rPr>
                <w:color w:val="000000" w:themeColor="text1"/>
              </w:rPr>
              <w:t>Враховано редакційно</w:t>
            </w:r>
          </w:p>
          <w:p w14:paraId="463DC0F8" w14:textId="77777777" w:rsidR="00630147" w:rsidRPr="00286216" w:rsidRDefault="00630147" w:rsidP="00630147">
            <w:pPr>
              <w:pStyle w:val="StyleWisnow"/>
              <w:spacing w:line="200" w:lineRule="exact"/>
              <w:rPr>
                <w:rStyle w:val="rvts0"/>
                <w:color w:val="000000" w:themeColor="text1"/>
              </w:rPr>
            </w:pPr>
            <w:r w:rsidRPr="00286216">
              <w:rPr>
                <w:color w:val="000000" w:themeColor="text1"/>
              </w:rPr>
              <w:t xml:space="preserve">з урахуванням змін, внесених на підставі Закону </w:t>
            </w:r>
            <w:r w:rsidRPr="00286216">
              <w:rPr>
                <w:rStyle w:val="rvts0"/>
                <w:color w:val="000000" w:themeColor="text1"/>
              </w:rPr>
              <w:t>№ 590-IX</w:t>
            </w:r>
          </w:p>
          <w:p w14:paraId="76181768" w14:textId="41507BF7" w:rsidR="00630147" w:rsidRPr="00286216" w:rsidRDefault="00630147" w:rsidP="00630147">
            <w:pPr>
              <w:pStyle w:val="StyleWisnow"/>
              <w:spacing w:line="200" w:lineRule="exact"/>
              <w:rPr>
                <w:color w:val="000000" w:themeColor="text1"/>
              </w:rPr>
            </w:pPr>
            <w:r w:rsidRPr="00286216">
              <w:rPr>
                <w:rStyle w:val="rvts0"/>
                <w:color w:val="000000" w:themeColor="text1"/>
              </w:rPr>
              <w:t>від 13.05.2020</w:t>
            </w:r>
          </w:p>
        </w:tc>
        <w:tc>
          <w:tcPr>
            <w:tcW w:w="4818" w:type="dxa"/>
          </w:tcPr>
          <w:p w14:paraId="5C22161B" w14:textId="2DF2D35C" w:rsidR="00630147" w:rsidRPr="00286216" w:rsidRDefault="00630147" w:rsidP="00630147">
            <w:pPr>
              <w:pStyle w:val="StyleZakonu"/>
              <w:rPr>
                <w:color w:val="000000" w:themeColor="text1"/>
              </w:rPr>
            </w:pPr>
            <w:r w:rsidRPr="00286216">
              <w:rPr>
                <w:color w:val="000000" w:themeColor="text1"/>
              </w:rPr>
              <w:t>9) пункт 1 частини четвертої статті 76 та  пункт 1 частини п’ятої статті 77 доповнити словами "та особам, які провадять клірингову діяльність".</w:t>
            </w:r>
          </w:p>
        </w:tc>
      </w:tr>
      <w:tr w:rsidR="00630147" w:rsidRPr="00286216" w14:paraId="50C25801" w14:textId="77777777" w:rsidTr="00091AA5">
        <w:tc>
          <w:tcPr>
            <w:tcW w:w="576" w:type="dxa"/>
          </w:tcPr>
          <w:p w14:paraId="5E0E800D" w14:textId="77777777" w:rsidR="00630147" w:rsidRPr="00286216" w:rsidRDefault="00630147" w:rsidP="00630147">
            <w:pPr>
              <w:pStyle w:val="StyleWisnow"/>
              <w:rPr>
                <w:color w:val="000000" w:themeColor="text1"/>
              </w:rPr>
            </w:pPr>
            <w:bookmarkStart w:id="3013" w:name="n3142" w:colFirst="0" w:colLast="0"/>
            <w:bookmarkEnd w:id="3012"/>
            <w:r w:rsidRPr="00286216">
              <w:rPr>
                <w:color w:val="000000" w:themeColor="text1"/>
              </w:rPr>
              <w:t>3142.</w:t>
            </w:r>
          </w:p>
        </w:tc>
        <w:tc>
          <w:tcPr>
            <w:tcW w:w="4818" w:type="dxa"/>
          </w:tcPr>
          <w:p w14:paraId="6D5362AA" w14:textId="77777777" w:rsidR="00630147" w:rsidRPr="00286216" w:rsidRDefault="00630147" w:rsidP="00630147">
            <w:pPr>
              <w:pStyle w:val="StyleZakonu"/>
              <w:rPr>
                <w:color w:val="000000" w:themeColor="text1"/>
              </w:rPr>
            </w:pPr>
            <w:r w:rsidRPr="00286216">
              <w:rPr>
                <w:color w:val="000000" w:themeColor="text1"/>
              </w:rPr>
              <w:t>21. У абзаці сьомому частини першої статті 1 Закону України "Про захист економічної конкуренції" (Відомості Верховної Ради України, 2001 р., №12, ст. 64, із наступними змінами) слова "ринку цінних паперів" замінити словами "ринків капіталу та організованих товарних ринків".</w:t>
            </w:r>
          </w:p>
        </w:tc>
        <w:tc>
          <w:tcPr>
            <w:tcW w:w="3686" w:type="dxa"/>
          </w:tcPr>
          <w:p w14:paraId="32FCFBD6" w14:textId="77777777" w:rsidR="00630147" w:rsidRPr="00286216" w:rsidRDefault="00630147" w:rsidP="00630147">
            <w:pPr>
              <w:pStyle w:val="StyleProp"/>
              <w:rPr>
                <w:color w:val="000000" w:themeColor="text1"/>
                <w:szCs w:val="18"/>
              </w:rPr>
            </w:pPr>
          </w:p>
        </w:tc>
        <w:tc>
          <w:tcPr>
            <w:tcW w:w="1987" w:type="dxa"/>
          </w:tcPr>
          <w:p w14:paraId="2E55FFC2" w14:textId="77777777" w:rsidR="00630147" w:rsidRPr="00286216" w:rsidRDefault="00630147" w:rsidP="00630147">
            <w:pPr>
              <w:pStyle w:val="StyleWisnow"/>
              <w:rPr>
                <w:color w:val="000000" w:themeColor="text1"/>
              </w:rPr>
            </w:pPr>
          </w:p>
        </w:tc>
        <w:tc>
          <w:tcPr>
            <w:tcW w:w="4818" w:type="dxa"/>
          </w:tcPr>
          <w:p w14:paraId="3441861A" w14:textId="2D312BDA" w:rsidR="00630147" w:rsidRPr="00286216" w:rsidRDefault="00630147" w:rsidP="00630147">
            <w:pPr>
              <w:pStyle w:val="StyleZakonu"/>
              <w:rPr>
                <w:color w:val="000000" w:themeColor="text1"/>
              </w:rPr>
            </w:pPr>
            <w:r w:rsidRPr="00286216">
              <w:rPr>
                <w:color w:val="000000" w:themeColor="text1"/>
              </w:rPr>
              <w:t>19. В абзаці восьмому статті 1 Закону України "Про захист економічної конкуренції" (Відомості Верховної Ради України, 2001 р., №12, ст. 64 із наступними змінами) слова "ринку цінних паперів" замінити словами "ринків капіталу та організованих товарних ринків".</w:t>
            </w:r>
          </w:p>
        </w:tc>
      </w:tr>
      <w:tr w:rsidR="00630147" w:rsidRPr="00286216" w14:paraId="6F82D882" w14:textId="77777777" w:rsidTr="00091AA5">
        <w:tc>
          <w:tcPr>
            <w:tcW w:w="576" w:type="dxa"/>
          </w:tcPr>
          <w:p w14:paraId="4AB6FFEB" w14:textId="77777777" w:rsidR="00630147" w:rsidRPr="00286216" w:rsidRDefault="00630147" w:rsidP="00630147">
            <w:pPr>
              <w:pStyle w:val="StyleWisnow"/>
              <w:rPr>
                <w:color w:val="000000" w:themeColor="text1"/>
              </w:rPr>
            </w:pPr>
            <w:bookmarkStart w:id="3014" w:name="n3143" w:colFirst="0" w:colLast="0"/>
            <w:bookmarkEnd w:id="3013"/>
            <w:r w:rsidRPr="00286216">
              <w:rPr>
                <w:color w:val="000000" w:themeColor="text1"/>
              </w:rPr>
              <w:t>3143.</w:t>
            </w:r>
          </w:p>
        </w:tc>
        <w:tc>
          <w:tcPr>
            <w:tcW w:w="4818" w:type="dxa"/>
          </w:tcPr>
          <w:p w14:paraId="6984C73D" w14:textId="77777777" w:rsidR="00630147" w:rsidRPr="00286216" w:rsidRDefault="00630147" w:rsidP="00630147">
            <w:pPr>
              <w:pStyle w:val="StyleZakonu"/>
              <w:rPr>
                <w:color w:val="000000" w:themeColor="text1"/>
              </w:rPr>
            </w:pPr>
            <w:r w:rsidRPr="00286216">
              <w:rPr>
                <w:color w:val="000000" w:themeColor="text1"/>
              </w:rPr>
              <w:t>22. У Законі України "Про обіг векселів в Україні" (Відомості Верховної Ради України, 2001, № 24, ст.128, із наступними змінами):</w:t>
            </w:r>
          </w:p>
        </w:tc>
        <w:tc>
          <w:tcPr>
            <w:tcW w:w="3686" w:type="dxa"/>
          </w:tcPr>
          <w:p w14:paraId="25DC6C71" w14:textId="77777777" w:rsidR="00630147" w:rsidRPr="00286216" w:rsidRDefault="00630147" w:rsidP="00630147">
            <w:pPr>
              <w:pStyle w:val="StyleProp"/>
              <w:rPr>
                <w:color w:val="000000" w:themeColor="text1"/>
                <w:szCs w:val="18"/>
              </w:rPr>
            </w:pPr>
          </w:p>
        </w:tc>
        <w:tc>
          <w:tcPr>
            <w:tcW w:w="1987" w:type="dxa"/>
          </w:tcPr>
          <w:p w14:paraId="1438F981" w14:textId="77777777" w:rsidR="00630147" w:rsidRPr="00286216" w:rsidRDefault="00630147" w:rsidP="00630147">
            <w:pPr>
              <w:pStyle w:val="StyleWisnow"/>
              <w:rPr>
                <w:color w:val="000000" w:themeColor="text1"/>
              </w:rPr>
            </w:pPr>
          </w:p>
        </w:tc>
        <w:tc>
          <w:tcPr>
            <w:tcW w:w="4818" w:type="dxa"/>
          </w:tcPr>
          <w:p w14:paraId="68C88428" w14:textId="4C2ADFEA" w:rsidR="00630147" w:rsidRPr="00286216" w:rsidRDefault="00630147" w:rsidP="00630147">
            <w:pPr>
              <w:pStyle w:val="StyleZakonu"/>
              <w:rPr>
                <w:color w:val="000000" w:themeColor="text1"/>
              </w:rPr>
            </w:pPr>
            <w:r w:rsidRPr="00286216">
              <w:rPr>
                <w:color w:val="000000" w:themeColor="text1"/>
              </w:rPr>
              <w:t>20. У Законі України "Про обіг векселів в Україні" (Відомості Верховної Ради України, 2001 р., № 24, ст.128, із наступними змінами):</w:t>
            </w:r>
          </w:p>
        </w:tc>
      </w:tr>
      <w:tr w:rsidR="00630147" w:rsidRPr="00286216" w14:paraId="1A22C68C" w14:textId="77777777" w:rsidTr="00091AA5">
        <w:tc>
          <w:tcPr>
            <w:tcW w:w="576" w:type="dxa"/>
          </w:tcPr>
          <w:p w14:paraId="09B8D53D" w14:textId="77777777" w:rsidR="00630147" w:rsidRPr="00286216" w:rsidRDefault="00630147" w:rsidP="00630147">
            <w:pPr>
              <w:pStyle w:val="StyleWisnow"/>
              <w:rPr>
                <w:color w:val="000000" w:themeColor="text1"/>
              </w:rPr>
            </w:pPr>
            <w:bookmarkStart w:id="3015" w:name="n3144" w:colFirst="0" w:colLast="0"/>
            <w:bookmarkEnd w:id="3014"/>
            <w:r w:rsidRPr="00286216">
              <w:rPr>
                <w:color w:val="000000" w:themeColor="text1"/>
              </w:rPr>
              <w:t>3144.</w:t>
            </w:r>
          </w:p>
        </w:tc>
        <w:tc>
          <w:tcPr>
            <w:tcW w:w="4818" w:type="dxa"/>
          </w:tcPr>
          <w:p w14:paraId="12D928C1" w14:textId="77777777" w:rsidR="00630147" w:rsidRPr="00286216" w:rsidRDefault="00630147" w:rsidP="00630147">
            <w:pPr>
              <w:pStyle w:val="StyleZakonu"/>
              <w:rPr>
                <w:color w:val="000000" w:themeColor="text1"/>
              </w:rPr>
            </w:pPr>
            <w:r w:rsidRPr="00286216">
              <w:rPr>
                <w:color w:val="000000" w:themeColor="text1"/>
              </w:rPr>
              <w:t xml:space="preserve">1) у статті 1 слова та знаки "Закону України "Про цінні папери і фондову біржу"" замінити словами </w:t>
            </w:r>
            <w:r w:rsidRPr="00286216">
              <w:rPr>
                <w:color w:val="000000" w:themeColor="text1"/>
              </w:rPr>
              <w:lastRenderedPageBreak/>
              <w:t>"Закону України "Про ринки капіталу та організовані товарні ринки"";</w:t>
            </w:r>
          </w:p>
        </w:tc>
        <w:tc>
          <w:tcPr>
            <w:tcW w:w="3686" w:type="dxa"/>
          </w:tcPr>
          <w:p w14:paraId="2FFD324E" w14:textId="77777777" w:rsidR="00630147" w:rsidRPr="00286216" w:rsidRDefault="00630147" w:rsidP="00630147">
            <w:pPr>
              <w:pStyle w:val="StyleProp"/>
              <w:rPr>
                <w:color w:val="000000" w:themeColor="text1"/>
                <w:szCs w:val="18"/>
              </w:rPr>
            </w:pPr>
          </w:p>
        </w:tc>
        <w:tc>
          <w:tcPr>
            <w:tcW w:w="1987" w:type="dxa"/>
          </w:tcPr>
          <w:p w14:paraId="1F7FAB09" w14:textId="77777777" w:rsidR="00630147" w:rsidRPr="00286216" w:rsidRDefault="00630147" w:rsidP="00630147">
            <w:pPr>
              <w:pStyle w:val="StyleWisnow"/>
              <w:rPr>
                <w:color w:val="000000" w:themeColor="text1"/>
              </w:rPr>
            </w:pPr>
          </w:p>
        </w:tc>
        <w:tc>
          <w:tcPr>
            <w:tcW w:w="4818" w:type="dxa"/>
          </w:tcPr>
          <w:p w14:paraId="7FD143CB" w14:textId="6B32AB21" w:rsidR="00630147" w:rsidRPr="00286216" w:rsidRDefault="00630147" w:rsidP="00630147">
            <w:pPr>
              <w:pStyle w:val="StyleZakonu"/>
              <w:rPr>
                <w:color w:val="000000" w:themeColor="text1"/>
              </w:rPr>
            </w:pPr>
            <w:r w:rsidRPr="00286216">
              <w:rPr>
                <w:color w:val="000000" w:themeColor="text1"/>
              </w:rPr>
              <w:t xml:space="preserve">1) у статті 1 слова "Закону України "Про цінні папери і фондову біржу" замінити словами "Закону </w:t>
            </w:r>
            <w:r w:rsidRPr="00286216">
              <w:rPr>
                <w:color w:val="000000" w:themeColor="text1"/>
              </w:rPr>
              <w:lastRenderedPageBreak/>
              <w:t>України "Про ринки капіталу та організовані товарні ринки";</w:t>
            </w:r>
          </w:p>
        </w:tc>
      </w:tr>
      <w:tr w:rsidR="00630147" w:rsidRPr="00286216" w14:paraId="4026CC4C" w14:textId="77777777" w:rsidTr="00091AA5">
        <w:tc>
          <w:tcPr>
            <w:tcW w:w="576" w:type="dxa"/>
          </w:tcPr>
          <w:p w14:paraId="4327AFD1" w14:textId="77777777" w:rsidR="00630147" w:rsidRPr="00286216" w:rsidRDefault="00630147" w:rsidP="00630147">
            <w:pPr>
              <w:pStyle w:val="StyleWisnow"/>
              <w:rPr>
                <w:color w:val="000000" w:themeColor="text1"/>
              </w:rPr>
            </w:pPr>
            <w:bookmarkStart w:id="3016" w:name="n3145" w:colFirst="0" w:colLast="0"/>
            <w:bookmarkEnd w:id="3015"/>
            <w:r w:rsidRPr="00286216">
              <w:rPr>
                <w:color w:val="000000" w:themeColor="text1"/>
              </w:rPr>
              <w:lastRenderedPageBreak/>
              <w:t>3145.</w:t>
            </w:r>
          </w:p>
        </w:tc>
        <w:tc>
          <w:tcPr>
            <w:tcW w:w="4818" w:type="dxa"/>
          </w:tcPr>
          <w:p w14:paraId="6490BF4A" w14:textId="77777777" w:rsidR="00630147" w:rsidRPr="00286216" w:rsidRDefault="00630147" w:rsidP="00630147">
            <w:pPr>
              <w:pStyle w:val="StyleZakonu"/>
              <w:rPr>
                <w:color w:val="000000" w:themeColor="text1"/>
              </w:rPr>
            </w:pPr>
            <w:r w:rsidRPr="00286216">
              <w:rPr>
                <w:color w:val="000000" w:themeColor="text1"/>
              </w:rPr>
              <w:t>2) частину восьму статті 4</w:t>
            </w:r>
            <w:r w:rsidRPr="00286216">
              <w:rPr>
                <w:color w:val="000000" w:themeColor="text1"/>
                <w:vertAlign w:val="superscript"/>
              </w:rPr>
              <w:t>1</w:t>
            </w:r>
            <w:r w:rsidRPr="00286216">
              <w:rPr>
                <w:color w:val="000000" w:themeColor="text1"/>
              </w:rPr>
              <w:t xml:space="preserve"> викласти в такій редакції:</w:t>
            </w:r>
          </w:p>
        </w:tc>
        <w:tc>
          <w:tcPr>
            <w:tcW w:w="3686" w:type="dxa"/>
          </w:tcPr>
          <w:p w14:paraId="200755F9" w14:textId="77777777" w:rsidR="00630147" w:rsidRPr="00286216" w:rsidRDefault="00630147" w:rsidP="00630147">
            <w:pPr>
              <w:pStyle w:val="StyleProp"/>
              <w:rPr>
                <w:color w:val="000000" w:themeColor="text1"/>
                <w:szCs w:val="18"/>
              </w:rPr>
            </w:pPr>
          </w:p>
        </w:tc>
        <w:tc>
          <w:tcPr>
            <w:tcW w:w="1987" w:type="dxa"/>
          </w:tcPr>
          <w:p w14:paraId="5479EE00" w14:textId="77777777" w:rsidR="00630147" w:rsidRPr="00286216" w:rsidRDefault="00630147" w:rsidP="00630147">
            <w:pPr>
              <w:pStyle w:val="StyleWisnow"/>
              <w:rPr>
                <w:color w:val="000000" w:themeColor="text1"/>
              </w:rPr>
            </w:pPr>
          </w:p>
        </w:tc>
        <w:tc>
          <w:tcPr>
            <w:tcW w:w="4818" w:type="dxa"/>
          </w:tcPr>
          <w:p w14:paraId="64AC46D9" w14:textId="3E36C878" w:rsidR="00630147" w:rsidRPr="00286216" w:rsidRDefault="00630147" w:rsidP="00630147">
            <w:pPr>
              <w:pStyle w:val="StyleZakonu"/>
              <w:rPr>
                <w:color w:val="000000" w:themeColor="text1"/>
              </w:rPr>
            </w:pPr>
            <w:r w:rsidRPr="00286216">
              <w:rPr>
                <w:color w:val="000000" w:themeColor="text1"/>
              </w:rPr>
              <w:t>2) частину восьму статті 4</w:t>
            </w:r>
            <w:r w:rsidRPr="00286216">
              <w:rPr>
                <w:color w:val="000000" w:themeColor="text1"/>
                <w:vertAlign w:val="superscript"/>
              </w:rPr>
              <w:t>1</w:t>
            </w:r>
            <w:r w:rsidRPr="00286216">
              <w:rPr>
                <w:color w:val="000000" w:themeColor="text1"/>
              </w:rPr>
              <w:t xml:space="preserve"> викласти в такій редакції:</w:t>
            </w:r>
          </w:p>
        </w:tc>
      </w:tr>
      <w:tr w:rsidR="00630147" w:rsidRPr="00286216" w14:paraId="73DD0444" w14:textId="77777777" w:rsidTr="00091AA5">
        <w:tc>
          <w:tcPr>
            <w:tcW w:w="576" w:type="dxa"/>
          </w:tcPr>
          <w:p w14:paraId="2B7854CE" w14:textId="77777777" w:rsidR="00630147" w:rsidRPr="00286216" w:rsidRDefault="00630147" w:rsidP="00630147">
            <w:pPr>
              <w:pStyle w:val="StyleWisnow"/>
              <w:rPr>
                <w:color w:val="000000" w:themeColor="text1"/>
              </w:rPr>
            </w:pPr>
            <w:bookmarkStart w:id="3017" w:name="n3146" w:colFirst="0" w:colLast="0"/>
            <w:bookmarkEnd w:id="3016"/>
            <w:r w:rsidRPr="00286216">
              <w:rPr>
                <w:color w:val="000000" w:themeColor="text1"/>
              </w:rPr>
              <w:t>3146.</w:t>
            </w:r>
          </w:p>
        </w:tc>
        <w:tc>
          <w:tcPr>
            <w:tcW w:w="4818" w:type="dxa"/>
          </w:tcPr>
          <w:p w14:paraId="425A2A78" w14:textId="77777777" w:rsidR="00630147" w:rsidRPr="00286216" w:rsidRDefault="00630147" w:rsidP="00630147">
            <w:pPr>
              <w:pStyle w:val="StyleZakonu"/>
              <w:rPr>
                <w:color w:val="000000" w:themeColor="text1"/>
              </w:rPr>
            </w:pPr>
            <w:r w:rsidRPr="00286216">
              <w:rPr>
                <w:color w:val="000000" w:themeColor="text1"/>
              </w:rPr>
              <w:t>"Ведення реєстру фінансових векселів, виданих як електронний документ, та облік прав за ними, а також їх погашення забезпечується адміністратором системи електронного обігу фінансових векселів. Функції адміністратора системи електронного обігу фінансових векселів виконує юридична особа, визначена Національною комісією з цінних паперів та фондового ринку за погодженням з Національним банком України.";</w:t>
            </w:r>
          </w:p>
        </w:tc>
        <w:tc>
          <w:tcPr>
            <w:tcW w:w="3686" w:type="dxa"/>
          </w:tcPr>
          <w:p w14:paraId="181C09F3" w14:textId="77777777" w:rsidR="00630147" w:rsidRPr="00286216" w:rsidRDefault="00630147" w:rsidP="00630147">
            <w:pPr>
              <w:pStyle w:val="StyleProp"/>
              <w:rPr>
                <w:color w:val="000000" w:themeColor="text1"/>
                <w:szCs w:val="18"/>
              </w:rPr>
            </w:pPr>
          </w:p>
        </w:tc>
        <w:tc>
          <w:tcPr>
            <w:tcW w:w="1987" w:type="dxa"/>
          </w:tcPr>
          <w:p w14:paraId="06B66647" w14:textId="77777777" w:rsidR="00630147" w:rsidRPr="00286216" w:rsidRDefault="00630147" w:rsidP="00630147">
            <w:pPr>
              <w:pStyle w:val="StyleWisnow"/>
              <w:rPr>
                <w:color w:val="000000" w:themeColor="text1"/>
              </w:rPr>
            </w:pPr>
          </w:p>
        </w:tc>
        <w:tc>
          <w:tcPr>
            <w:tcW w:w="4818" w:type="dxa"/>
          </w:tcPr>
          <w:p w14:paraId="1E7E71B6" w14:textId="0980552F" w:rsidR="00630147" w:rsidRPr="00286216" w:rsidRDefault="00630147" w:rsidP="00630147">
            <w:pPr>
              <w:pStyle w:val="StyleZakonu"/>
              <w:rPr>
                <w:color w:val="000000" w:themeColor="text1"/>
              </w:rPr>
            </w:pPr>
            <w:r w:rsidRPr="00286216">
              <w:rPr>
                <w:color w:val="000000" w:themeColor="text1"/>
              </w:rPr>
              <w:t>"Ведення реєстру фінансових векселів, виданих як електронний документ, та облік прав за ними, а також їх погашення забезпечується адміністратором системи електронного обігу фінансових векселів. Функції адміністратора системи електронного обігу фінансових векселів виконує юридична особа, визначена Національною комісією з цінних паперів та фондового ринку за погодженням з Національним банком України".</w:t>
            </w:r>
          </w:p>
        </w:tc>
      </w:tr>
      <w:tr w:rsidR="00630147" w:rsidRPr="00286216" w14:paraId="4864AF42" w14:textId="77777777" w:rsidTr="00091AA5">
        <w:tc>
          <w:tcPr>
            <w:tcW w:w="576" w:type="dxa"/>
          </w:tcPr>
          <w:p w14:paraId="00F9AAE7" w14:textId="77777777" w:rsidR="00630147" w:rsidRPr="00286216" w:rsidRDefault="00630147" w:rsidP="00630147">
            <w:pPr>
              <w:pStyle w:val="StyleWisnow"/>
              <w:rPr>
                <w:color w:val="000000" w:themeColor="text1"/>
              </w:rPr>
            </w:pPr>
            <w:bookmarkStart w:id="3018" w:name="n3147" w:colFirst="0" w:colLast="0"/>
            <w:bookmarkEnd w:id="3017"/>
            <w:r w:rsidRPr="00286216">
              <w:rPr>
                <w:color w:val="000000" w:themeColor="text1"/>
              </w:rPr>
              <w:t>3147.</w:t>
            </w:r>
          </w:p>
        </w:tc>
        <w:tc>
          <w:tcPr>
            <w:tcW w:w="4818" w:type="dxa"/>
          </w:tcPr>
          <w:p w14:paraId="051E1FB0" w14:textId="77777777" w:rsidR="00630147" w:rsidRPr="00286216" w:rsidRDefault="00630147" w:rsidP="00630147">
            <w:pPr>
              <w:pStyle w:val="StyleZakonu"/>
              <w:rPr>
                <w:color w:val="000000" w:themeColor="text1"/>
              </w:rPr>
            </w:pPr>
            <w:r w:rsidRPr="00286216">
              <w:rPr>
                <w:color w:val="000000" w:themeColor="text1"/>
              </w:rPr>
              <w:t>3) статтю 13-1 виключити.</w:t>
            </w:r>
          </w:p>
        </w:tc>
        <w:tc>
          <w:tcPr>
            <w:tcW w:w="3686" w:type="dxa"/>
          </w:tcPr>
          <w:p w14:paraId="6FB24627" w14:textId="02A4059B" w:rsidR="00630147" w:rsidRPr="00286216" w:rsidRDefault="00630147" w:rsidP="00630147">
            <w:pPr>
              <w:pStyle w:val="StyleAwt"/>
              <w:rPr>
                <w:color w:val="000000" w:themeColor="text1"/>
                <w:spacing w:val="-10"/>
                <w:szCs w:val="18"/>
              </w:rPr>
            </w:pPr>
            <w:r w:rsidRPr="00286216">
              <w:rPr>
                <w:color w:val="000000" w:themeColor="text1"/>
                <w:spacing w:val="-10"/>
                <w:szCs w:val="18"/>
              </w:rPr>
              <w:t>-</w:t>
            </w:r>
            <w:r w:rsidRPr="00286216">
              <w:rPr>
                <w:color w:val="000000" w:themeColor="text1"/>
                <w:spacing w:val="-10"/>
                <w:szCs w:val="18"/>
              </w:rPr>
              <w:fldChar w:fldCharType="begin"/>
            </w:r>
            <w:r w:rsidRPr="00286216">
              <w:rPr>
                <w:color w:val="000000" w:themeColor="text1"/>
                <w:spacing w:val="-10"/>
                <w:szCs w:val="18"/>
              </w:rPr>
              <w:instrText xml:space="preserve"> SEQ aa </w:instrText>
            </w:r>
            <w:r w:rsidRPr="00286216">
              <w:rPr>
                <w:color w:val="000000" w:themeColor="text1"/>
                <w:spacing w:val="-10"/>
                <w:szCs w:val="18"/>
              </w:rPr>
              <w:fldChar w:fldCharType="separate"/>
            </w:r>
            <w:r w:rsidR="00C46B29">
              <w:rPr>
                <w:noProof/>
                <w:color w:val="000000" w:themeColor="text1"/>
                <w:spacing w:val="-10"/>
                <w:szCs w:val="18"/>
              </w:rPr>
              <w:t>1391</w:t>
            </w:r>
            <w:r w:rsidRPr="00286216">
              <w:rPr>
                <w:color w:val="000000" w:themeColor="text1"/>
                <w:spacing w:val="-10"/>
                <w:szCs w:val="18"/>
              </w:rPr>
              <w:fldChar w:fldCharType="end"/>
            </w:r>
            <w:r w:rsidRPr="00286216">
              <w:rPr>
                <w:color w:val="000000" w:themeColor="text1"/>
                <w:spacing w:val="-10"/>
                <w:szCs w:val="18"/>
              </w:rPr>
              <w:t>-Н.д.Гончаренко О.О. (Реєстр.картка №137)</w:t>
            </w:r>
          </w:p>
          <w:p w14:paraId="253A39BE" w14:textId="77777777" w:rsidR="00630147" w:rsidRPr="00286216" w:rsidRDefault="00630147" w:rsidP="00630147">
            <w:pPr>
              <w:pStyle w:val="StyleProp"/>
              <w:rPr>
                <w:color w:val="000000" w:themeColor="text1"/>
                <w:szCs w:val="18"/>
              </w:rPr>
            </w:pPr>
            <w:r w:rsidRPr="00286216">
              <w:rPr>
                <w:color w:val="000000" w:themeColor="text1"/>
                <w:szCs w:val="18"/>
              </w:rPr>
              <w:t>Залишити статтю 13</w:t>
            </w:r>
            <w:r w:rsidRPr="00286216">
              <w:rPr>
                <w:color w:val="000000" w:themeColor="text1"/>
                <w:szCs w:val="18"/>
                <w:vertAlign w:val="superscript"/>
              </w:rPr>
              <w:t>1</w:t>
            </w:r>
          </w:p>
        </w:tc>
        <w:tc>
          <w:tcPr>
            <w:tcW w:w="1987" w:type="dxa"/>
          </w:tcPr>
          <w:p w14:paraId="45C5F415"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56319D19" w14:textId="77777777" w:rsidR="00630147" w:rsidRPr="00286216" w:rsidRDefault="00630147" w:rsidP="00630147">
            <w:pPr>
              <w:pStyle w:val="StyleZakonu"/>
              <w:rPr>
                <w:color w:val="000000" w:themeColor="text1"/>
              </w:rPr>
            </w:pPr>
          </w:p>
        </w:tc>
      </w:tr>
      <w:bookmarkEnd w:id="3018"/>
      <w:tr w:rsidR="00630147" w:rsidRPr="00286216" w14:paraId="4B0F8614" w14:textId="77777777" w:rsidTr="00091AA5">
        <w:tc>
          <w:tcPr>
            <w:tcW w:w="576" w:type="dxa"/>
          </w:tcPr>
          <w:p w14:paraId="59A45563" w14:textId="77777777" w:rsidR="00630147" w:rsidRPr="00286216" w:rsidRDefault="00630147" w:rsidP="00630147">
            <w:pPr>
              <w:pStyle w:val="StyleWisnow"/>
              <w:rPr>
                <w:color w:val="000000" w:themeColor="text1"/>
              </w:rPr>
            </w:pPr>
          </w:p>
        </w:tc>
        <w:tc>
          <w:tcPr>
            <w:tcW w:w="4818" w:type="dxa"/>
          </w:tcPr>
          <w:p w14:paraId="106C8BB6" w14:textId="77777777" w:rsidR="00630147" w:rsidRPr="00286216" w:rsidRDefault="00630147" w:rsidP="00630147">
            <w:pPr>
              <w:pStyle w:val="StyleZakonu"/>
              <w:rPr>
                <w:color w:val="000000" w:themeColor="text1"/>
              </w:rPr>
            </w:pPr>
          </w:p>
        </w:tc>
        <w:tc>
          <w:tcPr>
            <w:tcW w:w="3686" w:type="dxa"/>
          </w:tcPr>
          <w:p w14:paraId="2F38894E" w14:textId="5CE0B3E3"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1392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6F8340E" w14:textId="3A96D801" w:rsidR="00630147" w:rsidRPr="00286216" w:rsidRDefault="00630147" w:rsidP="00630147">
            <w:pPr>
              <w:pStyle w:val="StyleProp"/>
              <w:spacing w:line="180" w:lineRule="exact"/>
              <w:rPr>
                <w:color w:val="000000" w:themeColor="text1"/>
                <w:szCs w:val="18"/>
              </w:rPr>
            </w:pPr>
            <w:r w:rsidRPr="00286216">
              <w:rPr>
                <w:color w:val="000000" w:themeColor="text1"/>
                <w:szCs w:val="18"/>
              </w:rPr>
              <w:t>Підпункт 3 пункту 22 розділу 3 Законопроекту виключити.</w:t>
            </w:r>
          </w:p>
        </w:tc>
        <w:tc>
          <w:tcPr>
            <w:tcW w:w="1987" w:type="dxa"/>
          </w:tcPr>
          <w:p w14:paraId="1AF1B1D7"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54033C9" w14:textId="77777777" w:rsidR="00630147" w:rsidRPr="00286216" w:rsidRDefault="00630147" w:rsidP="00630147">
            <w:pPr>
              <w:pStyle w:val="StyleZakonu"/>
              <w:rPr>
                <w:color w:val="000000" w:themeColor="text1"/>
              </w:rPr>
            </w:pPr>
          </w:p>
        </w:tc>
      </w:tr>
      <w:tr w:rsidR="00630147" w:rsidRPr="00286216" w14:paraId="3D3F918D" w14:textId="77777777" w:rsidTr="00091AA5">
        <w:tc>
          <w:tcPr>
            <w:tcW w:w="576" w:type="dxa"/>
          </w:tcPr>
          <w:p w14:paraId="2D9781DC" w14:textId="77777777" w:rsidR="00630147" w:rsidRPr="00286216" w:rsidRDefault="00630147" w:rsidP="00630147">
            <w:pPr>
              <w:pStyle w:val="StyleWisnow"/>
              <w:rPr>
                <w:color w:val="000000" w:themeColor="text1"/>
              </w:rPr>
            </w:pPr>
            <w:bookmarkStart w:id="3019" w:name="n3148" w:colFirst="0" w:colLast="0"/>
            <w:r w:rsidRPr="00286216">
              <w:rPr>
                <w:color w:val="000000" w:themeColor="text1"/>
              </w:rPr>
              <w:t>3148.</w:t>
            </w:r>
          </w:p>
        </w:tc>
        <w:tc>
          <w:tcPr>
            <w:tcW w:w="4818" w:type="dxa"/>
          </w:tcPr>
          <w:p w14:paraId="285DB189" w14:textId="77777777" w:rsidR="00630147" w:rsidRPr="00286216" w:rsidRDefault="00630147" w:rsidP="00630147">
            <w:pPr>
              <w:pStyle w:val="StyleZakonu"/>
              <w:rPr>
                <w:color w:val="000000" w:themeColor="text1"/>
              </w:rPr>
            </w:pPr>
            <w:r w:rsidRPr="00286216">
              <w:rPr>
                <w:color w:val="000000" w:themeColor="text1"/>
              </w:rPr>
              <w:t>23. У Законі України "Про платіжні системи та переказ коштів в Україні" (Відомості Верховної Ради України, 2001 р., №29, ст. 137, із наступними змінами):</w:t>
            </w:r>
          </w:p>
        </w:tc>
        <w:tc>
          <w:tcPr>
            <w:tcW w:w="3686" w:type="dxa"/>
          </w:tcPr>
          <w:p w14:paraId="2D709BBA" w14:textId="77777777" w:rsidR="00630147" w:rsidRPr="00286216" w:rsidRDefault="00630147" w:rsidP="00630147">
            <w:pPr>
              <w:pStyle w:val="StyleProp"/>
              <w:rPr>
                <w:color w:val="000000" w:themeColor="text1"/>
                <w:szCs w:val="18"/>
              </w:rPr>
            </w:pPr>
          </w:p>
        </w:tc>
        <w:tc>
          <w:tcPr>
            <w:tcW w:w="1987" w:type="dxa"/>
          </w:tcPr>
          <w:p w14:paraId="541308EF" w14:textId="77777777" w:rsidR="00630147" w:rsidRPr="00286216" w:rsidRDefault="00630147" w:rsidP="00630147">
            <w:pPr>
              <w:pStyle w:val="StyleWisnow"/>
              <w:rPr>
                <w:color w:val="000000" w:themeColor="text1"/>
              </w:rPr>
            </w:pPr>
          </w:p>
        </w:tc>
        <w:tc>
          <w:tcPr>
            <w:tcW w:w="4818" w:type="dxa"/>
          </w:tcPr>
          <w:p w14:paraId="794A94E8" w14:textId="7F75D0D9" w:rsidR="00630147" w:rsidRPr="00286216" w:rsidRDefault="00630147" w:rsidP="00630147">
            <w:pPr>
              <w:pStyle w:val="StyleZakonu"/>
              <w:rPr>
                <w:color w:val="000000" w:themeColor="text1"/>
              </w:rPr>
            </w:pPr>
            <w:r w:rsidRPr="00286216">
              <w:rPr>
                <w:color w:val="000000" w:themeColor="text1"/>
              </w:rPr>
              <w:t>21. У Законі України "Про платіжні системи та переказ коштів в Україні" (Відомості Верховної Ради України, 2001 р., №29, ст. 137 із наступними змінами):</w:t>
            </w:r>
          </w:p>
        </w:tc>
      </w:tr>
      <w:tr w:rsidR="00630147" w:rsidRPr="00286216" w14:paraId="0FAD5F47" w14:textId="77777777" w:rsidTr="00091AA5">
        <w:tc>
          <w:tcPr>
            <w:tcW w:w="576" w:type="dxa"/>
          </w:tcPr>
          <w:p w14:paraId="4ABF9F12" w14:textId="77777777" w:rsidR="00630147" w:rsidRPr="00286216" w:rsidRDefault="00630147" w:rsidP="00630147">
            <w:pPr>
              <w:pStyle w:val="StyleWisnow"/>
              <w:rPr>
                <w:color w:val="000000" w:themeColor="text1"/>
              </w:rPr>
            </w:pPr>
            <w:bookmarkStart w:id="3020" w:name="n3149" w:colFirst="0" w:colLast="0"/>
            <w:bookmarkEnd w:id="3019"/>
            <w:r w:rsidRPr="00286216">
              <w:rPr>
                <w:color w:val="000000" w:themeColor="text1"/>
              </w:rPr>
              <w:t>3149.</w:t>
            </w:r>
          </w:p>
        </w:tc>
        <w:tc>
          <w:tcPr>
            <w:tcW w:w="4818" w:type="dxa"/>
          </w:tcPr>
          <w:p w14:paraId="34464F01" w14:textId="77777777" w:rsidR="00630147" w:rsidRPr="00286216" w:rsidRDefault="00630147" w:rsidP="00630147">
            <w:pPr>
              <w:pStyle w:val="StyleZakonu"/>
              <w:rPr>
                <w:color w:val="000000" w:themeColor="text1"/>
              </w:rPr>
            </w:pPr>
            <w:r w:rsidRPr="00286216">
              <w:rPr>
                <w:color w:val="000000" w:themeColor="text1"/>
              </w:rPr>
              <w:t>1) пункт 7.1.2-1 статті 7 після слів "(бенефіціару або бенефіціарам)" доповнити словами ", а в разі надання бенефіціаром письмової вказівки банку - особі (особам), вказаній (вказаним) бенефіціаром, ";</w:t>
            </w:r>
          </w:p>
        </w:tc>
        <w:tc>
          <w:tcPr>
            <w:tcW w:w="3686" w:type="dxa"/>
          </w:tcPr>
          <w:p w14:paraId="0851AE8F" w14:textId="50361585"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1393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40A26B95" w14:textId="77777777" w:rsidR="00630147" w:rsidRPr="00286216" w:rsidRDefault="00630147" w:rsidP="00630147">
            <w:pPr>
              <w:spacing w:line="180" w:lineRule="exact"/>
              <w:ind w:firstLine="227"/>
              <w:jc w:val="both"/>
              <w:rPr>
                <w:color w:val="000000" w:themeColor="text1"/>
                <w:szCs w:val="18"/>
              </w:rPr>
            </w:pPr>
            <w:r w:rsidRPr="00286216">
              <w:rPr>
                <w:color w:val="000000" w:themeColor="text1"/>
                <w:sz w:val="18"/>
              </w:rPr>
              <w:t>Підпункт 1 пункту 23 розділу 3, яким пропонується внести зміни до статті 7 Закону України “Про платіжні системи та переказ коштів в Україні”, після слів «а в разі надання бенефіціаром письмової вказівки банку – особі (особам), вказаній (вказаним) бенефіціаром» доповнити словами « якщо це передбачено відповідним договором».</w:t>
            </w:r>
          </w:p>
        </w:tc>
        <w:tc>
          <w:tcPr>
            <w:tcW w:w="1987" w:type="dxa"/>
          </w:tcPr>
          <w:p w14:paraId="3205FF7B"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2B26EF0C" w14:textId="793DB942" w:rsidR="00630147" w:rsidRPr="00286216" w:rsidRDefault="00630147" w:rsidP="00630147">
            <w:pPr>
              <w:pStyle w:val="StyleZakonu"/>
              <w:rPr>
                <w:color w:val="000000" w:themeColor="text1"/>
              </w:rPr>
            </w:pPr>
            <w:r w:rsidRPr="00286216">
              <w:rPr>
                <w:color w:val="000000" w:themeColor="text1"/>
              </w:rPr>
              <w:t>1) пункт 7.1.2-1 статті 7 після слів "(бенефіціару або бенефіціарам)" доповнити словами " а в разі надання бенефіціаром письмової вказівки банку - особі (особам), вказаній (вказаним) бенефіціаром, якщо це передбачено відповідним договором";</w:t>
            </w:r>
          </w:p>
        </w:tc>
      </w:tr>
      <w:tr w:rsidR="00630147" w:rsidRPr="00286216" w14:paraId="67B378A7" w14:textId="77777777" w:rsidTr="00091AA5">
        <w:tc>
          <w:tcPr>
            <w:tcW w:w="576" w:type="dxa"/>
          </w:tcPr>
          <w:p w14:paraId="092CD7F3" w14:textId="77777777" w:rsidR="00630147" w:rsidRPr="00286216" w:rsidRDefault="00630147" w:rsidP="00630147">
            <w:pPr>
              <w:pStyle w:val="StyleWisnow"/>
              <w:rPr>
                <w:color w:val="000000" w:themeColor="text1"/>
              </w:rPr>
            </w:pPr>
            <w:bookmarkStart w:id="3021" w:name="n3150" w:colFirst="0" w:colLast="0"/>
            <w:bookmarkEnd w:id="3020"/>
            <w:r w:rsidRPr="00286216">
              <w:rPr>
                <w:color w:val="000000" w:themeColor="text1"/>
              </w:rPr>
              <w:t>3150.</w:t>
            </w:r>
          </w:p>
        </w:tc>
        <w:tc>
          <w:tcPr>
            <w:tcW w:w="4818" w:type="dxa"/>
          </w:tcPr>
          <w:p w14:paraId="18653EC0" w14:textId="77777777" w:rsidR="00630147" w:rsidRPr="00286216" w:rsidRDefault="00630147" w:rsidP="00630147">
            <w:pPr>
              <w:pStyle w:val="StyleZakonu"/>
              <w:rPr>
                <w:color w:val="000000" w:themeColor="text1"/>
              </w:rPr>
            </w:pPr>
            <w:r w:rsidRPr="00286216">
              <w:rPr>
                <w:color w:val="000000" w:themeColor="text1"/>
              </w:rPr>
              <w:t>2) у пункті 11.4 статті 11 слова та знаки ", Розрахунковий центр з обслуговування договорів на фінансових ринках" виключити.</w:t>
            </w:r>
          </w:p>
        </w:tc>
        <w:tc>
          <w:tcPr>
            <w:tcW w:w="3686" w:type="dxa"/>
          </w:tcPr>
          <w:p w14:paraId="7F250B6F" w14:textId="77777777" w:rsidR="00630147" w:rsidRPr="00286216" w:rsidRDefault="00630147" w:rsidP="00630147">
            <w:pPr>
              <w:pStyle w:val="StyleProp"/>
              <w:rPr>
                <w:color w:val="000000" w:themeColor="text1"/>
              </w:rPr>
            </w:pPr>
          </w:p>
        </w:tc>
        <w:tc>
          <w:tcPr>
            <w:tcW w:w="1987" w:type="dxa"/>
          </w:tcPr>
          <w:p w14:paraId="4B34B0A9" w14:textId="77777777" w:rsidR="00630147" w:rsidRPr="00286216" w:rsidRDefault="00630147" w:rsidP="00630147">
            <w:pPr>
              <w:pStyle w:val="StyleWisnow"/>
              <w:rPr>
                <w:color w:val="000000" w:themeColor="text1"/>
              </w:rPr>
            </w:pPr>
          </w:p>
        </w:tc>
        <w:tc>
          <w:tcPr>
            <w:tcW w:w="4818" w:type="dxa"/>
          </w:tcPr>
          <w:p w14:paraId="3F6A2FAB" w14:textId="58C532C7" w:rsidR="00630147" w:rsidRPr="00286216" w:rsidRDefault="00630147" w:rsidP="00630147">
            <w:pPr>
              <w:pStyle w:val="StyleZakonu"/>
              <w:rPr>
                <w:color w:val="000000" w:themeColor="text1"/>
              </w:rPr>
            </w:pPr>
            <w:r w:rsidRPr="00286216">
              <w:rPr>
                <w:color w:val="000000" w:themeColor="text1"/>
              </w:rPr>
              <w:t>2) у пункті 11.4 статті 11 слова "Розрахунковий центр з обслуговування договорів на фінансових ринках" виключити.</w:t>
            </w:r>
          </w:p>
        </w:tc>
      </w:tr>
      <w:tr w:rsidR="00630147" w:rsidRPr="00286216" w14:paraId="589CF597" w14:textId="77777777" w:rsidTr="00091AA5">
        <w:tc>
          <w:tcPr>
            <w:tcW w:w="576" w:type="dxa"/>
          </w:tcPr>
          <w:p w14:paraId="6B288E16" w14:textId="77777777" w:rsidR="00630147" w:rsidRPr="00286216" w:rsidRDefault="00630147" w:rsidP="00630147">
            <w:pPr>
              <w:pStyle w:val="StyleWisnow"/>
              <w:rPr>
                <w:color w:val="000000" w:themeColor="text1"/>
              </w:rPr>
            </w:pPr>
            <w:bookmarkStart w:id="3022" w:name="n3151" w:colFirst="0" w:colLast="0"/>
            <w:bookmarkEnd w:id="3021"/>
            <w:r w:rsidRPr="00286216">
              <w:rPr>
                <w:color w:val="000000" w:themeColor="text1"/>
              </w:rPr>
              <w:t>3151.</w:t>
            </w:r>
          </w:p>
        </w:tc>
        <w:tc>
          <w:tcPr>
            <w:tcW w:w="4818" w:type="dxa"/>
          </w:tcPr>
          <w:p w14:paraId="0DDFBFA8" w14:textId="77777777" w:rsidR="00630147" w:rsidRPr="00286216" w:rsidRDefault="00630147" w:rsidP="00630147">
            <w:pPr>
              <w:pStyle w:val="StyleZakonu"/>
              <w:rPr>
                <w:color w:val="000000" w:themeColor="text1"/>
              </w:rPr>
            </w:pPr>
            <w:r w:rsidRPr="00286216">
              <w:rPr>
                <w:color w:val="000000" w:themeColor="text1"/>
              </w:rPr>
              <w:t>24. У статті 41 Закону України "Про нафту і газ" (Відомості Верховної Ради України, 2001 р., № 50, ст. 262, із наступними змінами) слова "біржовий аукціон" в усіх відмінках замінити словами "аукціон на організованих товарних ринках" у відповідному відмінку.</w:t>
            </w:r>
          </w:p>
        </w:tc>
        <w:tc>
          <w:tcPr>
            <w:tcW w:w="3686" w:type="dxa"/>
          </w:tcPr>
          <w:p w14:paraId="5BC8459B" w14:textId="697D145A"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1394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D232047" w14:textId="77777777" w:rsidR="00630147" w:rsidRPr="00286216" w:rsidRDefault="00630147" w:rsidP="0063014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379A1CE2" w14:textId="77777777" w:rsidR="00630147" w:rsidRPr="00286216" w:rsidRDefault="00630147" w:rsidP="00630147">
            <w:pPr>
              <w:pStyle w:val="StyleProp"/>
              <w:rPr>
                <w:color w:val="000000" w:themeColor="text1"/>
                <w:szCs w:val="18"/>
              </w:rPr>
            </w:pPr>
            <w:r w:rsidRPr="00286216">
              <w:rPr>
                <w:color w:val="000000" w:themeColor="text1"/>
                <w:szCs w:val="18"/>
              </w:rPr>
              <w:t>Пункт 24 виключити.</w:t>
            </w:r>
          </w:p>
          <w:p w14:paraId="2E52E2D1" w14:textId="777A1CE2" w:rsidR="00630147" w:rsidRPr="00286216" w:rsidRDefault="00630147" w:rsidP="00630147">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1395</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Н.д.Козак Т.Р. (Реєстр.картка №359)</w:t>
            </w:r>
          </w:p>
          <w:p w14:paraId="3CD4482A" w14:textId="77777777" w:rsidR="00630147" w:rsidRPr="00286216" w:rsidRDefault="00630147" w:rsidP="00630147">
            <w:pPr>
              <w:pStyle w:val="StyleProp"/>
              <w:spacing w:line="180" w:lineRule="exact"/>
              <w:rPr>
                <w:color w:val="000000" w:themeColor="text1"/>
              </w:rPr>
            </w:pPr>
            <w:r w:rsidRPr="00286216">
              <w:rPr>
                <w:color w:val="000000" w:themeColor="text1"/>
              </w:rPr>
              <w:t>Останнє речення частини п'ятої статті 4</w:t>
            </w:r>
            <w:r w:rsidRPr="00286216">
              <w:rPr>
                <w:color w:val="000000" w:themeColor="text1"/>
                <w:vertAlign w:val="superscript"/>
              </w:rPr>
              <w:t>1</w:t>
            </w:r>
            <w:r w:rsidRPr="00286216">
              <w:rPr>
                <w:color w:val="000000" w:themeColor="text1"/>
              </w:rPr>
              <w:t xml:space="preserve"> Закону України «Про нафту і газ» видалити, а дану частину викласти у наступній редакції:</w:t>
            </w:r>
          </w:p>
          <w:p w14:paraId="36E13DBD" w14:textId="77777777" w:rsidR="00630147" w:rsidRPr="00286216" w:rsidRDefault="00630147" w:rsidP="00630147">
            <w:pPr>
              <w:pStyle w:val="StyleProp"/>
              <w:spacing w:line="180" w:lineRule="exact"/>
              <w:rPr>
                <w:color w:val="000000" w:themeColor="text1"/>
              </w:rPr>
            </w:pPr>
            <w:r w:rsidRPr="00286216">
              <w:rPr>
                <w:color w:val="000000" w:themeColor="text1"/>
              </w:rPr>
              <w:t xml:space="preserve">«У разі якщо ціна, за якою здійснюється реалізація нафти сирої і газового конденсату на аукціонах на організованих товарних ринках, нижча за стартову ціну, яка визначена згідно з частиною другою цієї статті, суб‘єкти господарювання, визначені частиною першою цієї статті, сплачують до </w:t>
            </w:r>
            <w:r w:rsidRPr="00286216">
              <w:rPr>
                <w:color w:val="000000" w:themeColor="text1"/>
              </w:rPr>
              <w:lastRenderedPageBreak/>
              <w:t>державного бюджету штраф у розмірі 100 відсотків різниці вартості, обчисленої за стартовою ціною та фактичними цінами реалізації. Накладення та стягнення таких штрафів здійснюється центральним органом виконавчої влади, що забезпечує формування та реалізує політику в нафтогазовому комплексі. Порядок накладення та стягнення зазначених штрафів встановлюється Кабінетом Міністрів України.».</w:t>
            </w:r>
          </w:p>
        </w:tc>
        <w:tc>
          <w:tcPr>
            <w:tcW w:w="1987" w:type="dxa"/>
          </w:tcPr>
          <w:p w14:paraId="7A0A4443" w14:textId="77777777" w:rsidR="00630147" w:rsidRPr="00286216" w:rsidRDefault="00630147" w:rsidP="00630147">
            <w:pPr>
              <w:pStyle w:val="StyleWisnow"/>
              <w:rPr>
                <w:color w:val="000000" w:themeColor="text1"/>
              </w:rPr>
            </w:pPr>
            <w:r w:rsidRPr="00286216">
              <w:rPr>
                <w:color w:val="000000" w:themeColor="text1"/>
              </w:rPr>
              <w:lastRenderedPageBreak/>
              <w:t>Враховано</w:t>
            </w:r>
          </w:p>
          <w:p w14:paraId="76E9BEEA" w14:textId="77777777" w:rsidR="00630147" w:rsidRPr="00286216" w:rsidRDefault="00630147" w:rsidP="00630147">
            <w:pPr>
              <w:pStyle w:val="StyleWisnow"/>
              <w:rPr>
                <w:color w:val="000000" w:themeColor="text1"/>
              </w:rPr>
            </w:pPr>
          </w:p>
          <w:p w14:paraId="004E0B87" w14:textId="77777777" w:rsidR="00630147" w:rsidRPr="00286216" w:rsidRDefault="00630147" w:rsidP="00630147">
            <w:pPr>
              <w:pStyle w:val="StyleWisnow"/>
              <w:rPr>
                <w:color w:val="000000" w:themeColor="text1"/>
              </w:rPr>
            </w:pPr>
          </w:p>
          <w:p w14:paraId="4D1CD88A" w14:textId="77777777" w:rsidR="00630147" w:rsidRPr="00286216" w:rsidRDefault="00630147" w:rsidP="00630147">
            <w:pPr>
              <w:pStyle w:val="StyleWisnow"/>
              <w:spacing w:line="180" w:lineRule="exact"/>
              <w:rPr>
                <w:color w:val="000000" w:themeColor="text1"/>
              </w:rPr>
            </w:pPr>
            <w:r w:rsidRPr="00286216">
              <w:rPr>
                <w:color w:val="000000" w:themeColor="text1"/>
              </w:rPr>
              <w:t>Відхилено</w:t>
            </w:r>
          </w:p>
          <w:p w14:paraId="66ABFD33" w14:textId="77777777" w:rsidR="00630147" w:rsidRPr="00286216" w:rsidRDefault="00630147" w:rsidP="00630147">
            <w:pPr>
              <w:pStyle w:val="StyleWisnow"/>
              <w:spacing w:line="180" w:lineRule="exact"/>
              <w:rPr>
                <w:color w:val="000000" w:themeColor="text1"/>
              </w:rPr>
            </w:pPr>
            <w:r w:rsidRPr="00286216">
              <w:rPr>
                <w:color w:val="000000" w:themeColor="text1"/>
              </w:rPr>
              <w:t>Не є предметом регулювання цього законопроекту</w:t>
            </w:r>
          </w:p>
        </w:tc>
        <w:tc>
          <w:tcPr>
            <w:tcW w:w="4818" w:type="dxa"/>
          </w:tcPr>
          <w:p w14:paraId="6F1D784C" w14:textId="77777777" w:rsidR="00630147" w:rsidRPr="00286216" w:rsidRDefault="00630147" w:rsidP="00630147">
            <w:pPr>
              <w:pStyle w:val="StyleZakonu"/>
              <w:rPr>
                <w:color w:val="000000" w:themeColor="text1"/>
              </w:rPr>
            </w:pPr>
          </w:p>
        </w:tc>
      </w:tr>
      <w:bookmarkEnd w:id="3022"/>
      <w:tr w:rsidR="00630147" w:rsidRPr="00286216" w14:paraId="6403AEF1" w14:textId="77777777" w:rsidTr="00091AA5">
        <w:tc>
          <w:tcPr>
            <w:tcW w:w="576" w:type="dxa"/>
          </w:tcPr>
          <w:p w14:paraId="188696F9" w14:textId="77777777" w:rsidR="00630147" w:rsidRPr="00286216" w:rsidRDefault="00630147" w:rsidP="00630147">
            <w:pPr>
              <w:pStyle w:val="StyleWisnow"/>
              <w:rPr>
                <w:color w:val="000000" w:themeColor="text1"/>
              </w:rPr>
            </w:pPr>
          </w:p>
        </w:tc>
        <w:tc>
          <w:tcPr>
            <w:tcW w:w="4818" w:type="dxa"/>
          </w:tcPr>
          <w:p w14:paraId="7E5A7E42" w14:textId="77777777" w:rsidR="00630147" w:rsidRPr="00286216" w:rsidRDefault="00630147" w:rsidP="00630147">
            <w:pPr>
              <w:pStyle w:val="StyleZakonu"/>
              <w:rPr>
                <w:color w:val="000000" w:themeColor="text1"/>
              </w:rPr>
            </w:pPr>
          </w:p>
        </w:tc>
        <w:tc>
          <w:tcPr>
            <w:tcW w:w="3686" w:type="dxa"/>
          </w:tcPr>
          <w:p w14:paraId="70AAA5D5" w14:textId="3F0CA62C" w:rsidR="00630147" w:rsidRPr="00286216" w:rsidRDefault="00630147" w:rsidP="00630147">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1396</w:t>
            </w:r>
            <w:r w:rsidRPr="00286216">
              <w:rPr>
                <w:color w:val="000000" w:themeColor="text1"/>
                <w:spacing w:val="-2"/>
              </w:rPr>
              <w:fldChar w:fldCharType="end"/>
            </w:r>
            <w:r w:rsidRPr="00286216">
              <w:rPr>
                <w:color w:val="000000" w:themeColor="text1"/>
                <w:spacing w:val="-2"/>
              </w:rPr>
              <w:t>-Н.д.Шахов С.В. (Реєстр.картка №114)</w:t>
            </w:r>
          </w:p>
          <w:p w14:paraId="5DA8BFF5" w14:textId="77777777" w:rsidR="00630147" w:rsidRPr="00286216" w:rsidRDefault="00630147" w:rsidP="00630147">
            <w:pPr>
              <w:pStyle w:val="StyleProp"/>
              <w:rPr>
                <w:color w:val="000000" w:themeColor="text1"/>
              </w:rPr>
            </w:pPr>
            <w:r w:rsidRPr="00286216">
              <w:rPr>
                <w:color w:val="000000" w:themeColor="text1"/>
              </w:rPr>
              <w:t>пункт 24 розділу ІІІ (зміни до Закону України «Про нафту і газ») виключити</w:t>
            </w:r>
          </w:p>
        </w:tc>
        <w:tc>
          <w:tcPr>
            <w:tcW w:w="1987" w:type="dxa"/>
          </w:tcPr>
          <w:p w14:paraId="2DD90348"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795F9C7F" w14:textId="77777777" w:rsidR="00630147" w:rsidRPr="00286216" w:rsidRDefault="00630147" w:rsidP="00630147">
            <w:pPr>
              <w:pStyle w:val="StyleZakonu"/>
              <w:rPr>
                <w:color w:val="000000" w:themeColor="text1"/>
              </w:rPr>
            </w:pPr>
          </w:p>
        </w:tc>
      </w:tr>
      <w:tr w:rsidR="00630147" w:rsidRPr="00286216" w14:paraId="29122CEF" w14:textId="77777777" w:rsidTr="00091AA5">
        <w:tc>
          <w:tcPr>
            <w:tcW w:w="576" w:type="dxa"/>
          </w:tcPr>
          <w:p w14:paraId="7C5B48A9" w14:textId="77777777" w:rsidR="00630147" w:rsidRPr="00286216" w:rsidRDefault="00630147" w:rsidP="00630147">
            <w:pPr>
              <w:pStyle w:val="StyleWisnow"/>
              <w:rPr>
                <w:color w:val="000000" w:themeColor="text1"/>
              </w:rPr>
            </w:pPr>
            <w:bookmarkStart w:id="3023" w:name="n3152" w:colFirst="0" w:colLast="0"/>
            <w:r w:rsidRPr="00286216">
              <w:rPr>
                <w:color w:val="000000" w:themeColor="text1"/>
              </w:rPr>
              <w:t>3152.</w:t>
            </w:r>
          </w:p>
        </w:tc>
        <w:tc>
          <w:tcPr>
            <w:tcW w:w="4818" w:type="dxa"/>
          </w:tcPr>
          <w:p w14:paraId="54FF77ED" w14:textId="77777777" w:rsidR="00630147" w:rsidRPr="00286216" w:rsidRDefault="00630147" w:rsidP="00630147">
            <w:pPr>
              <w:pStyle w:val="StyleZakonu"/>
              <w:rPr>
                <w:color w:val="000000" w:themeColor="text1"/>
              </w:rPr>
            </w:pPr>
            <w:r w:rsidRPr="00286216">
              <w:rPr>
                <w:color w:val="000000" w:themeColor="text1"/>
              </w:rPr>
              <w:t>25. У Законі України "Про фінансові послуги та державне регулювання ринків фінансових послуг" (Відомості Верховної Ради України, 2002 р., №1, ст. 1, із наступними змінами):</w:t>
            </w:r>
          </w:p>
        </w:tc>
        <w:tc>
          <w:tcPr>
            <w:tcW w:w="3686" w:type="dxa"/>
          </w:tcPr>
          <w:p w14:paraId="67A894BD" w14:textId="77777777" w:rsidR="00630147" w:rsidRPr="00286216" w:rsidRDefault="00630147" w:rsidP="00630147">
            <w:pPr>
              <w:pStyle w:val="StyleProp"/>
              <w:rPr>
                <w:color w:val="000000" w:themeColor="text1"/>
              </w:rPr>
            </w:pPr>
          </w:p>
        </w:tc>
        <w:tc>
          <w:tcPr>
            <w:tcW w:w="1987" w:type="dxa"/>
          </w:tcPr>
          <w:p w14:paraId="495F081A" w14:textId="77777777" w:rsidR="00630147" w:rsidRPr="00286216" w:rsidRDefault="00630147" w:rsidP="00630147">
            <w:pPr>
              <w:pStyle w:val="StyleWisnow"/>
              <w:rPr>
                <w:color w:val="000000" w:themeColor="text1"/>
              </w:rPr>
            </w:pPr>
          </w:p>
        </w:tc>
        <w:tc>
          <w:tcPr>
            <w:tcW w:w="4818" w:type="dxa"/>
          </w:tcPr>
          <w:p w14:paraId="5DC6A76F" w14:textId="6A22B69E" w:rsidR="00630147" w:rsidRPr="00286216" w:rsidRDefault="00630147" w:rsidP="00630147">
            <w:pPr>
              <w:pStyle w:val="StyleZakonu"/>
              <w:rPr>
                <w:color w:val="000000" w:themeColor="text1"/>
              </w:rPr>
            </w:pPr>
            <w:r w:rsidRPr="00286216">
              <w:rPr>
                <w:color w:val="000000" w:themeColor="text1"/>
              </w:rPr>
              <w:t>22. У Законі України "Про фінансові послуги та державне регулювання ринків фінансових послуг" (Відомості Верховної Ради України, 2002 р., №1, ст. 1 із наступними змінами):</w:t>
            </w:r>
          </w:p>
        </w:tc>
      </w:tr>
      <w:tr w:rsidR="00630147" w:rsidRPr="00286216" w14:paraId="447AC73E" w14:textId="77777777" w:rsidTr="00091AA5">
        <w:tc>
          <w:tcPr>
            <w:tcW w:w="576" w:type="dxa"/>
          </w:tcPr>
          <w:p w14:paraId="39529DF9" w14:textId="77777777" w:rsidR="00630147" w:rsidRPr="00286216" w:rsidRDefault="00630147" w:rsidP="00630147">
            <w:pPr>
              <w:pStyle w:val="StyleWisnow"/>
              <w:rPr>
                <w:color w:val="000000" w:themeColor="text1"/>
              </w:rPr>
            </w:pPr>
            <w:bookmarkStart w:id="3024" w:name="n3153" w:colFirst="0" w:colLast="0"/>
            <w:bookmarkEnd w:id="3023"/>
            <w:r w:rsidRPr="00286216">
              <w:rPr>
                <w:color w:val="000000" w:themeColor="text1"/>
              </w:rPr>
              <w:t>3153.</w:t>
            </w:r>
          </w:p>
        </w:tc>
        <w:tc>
          <w:tcPr>
            <w:tcW w:w="4818" w:type="dxa"/>
          </w:tcPr>
          <w:p w14:paraId="3183286F" w14:textId="77777777" w:rsidR="00630147" w:rsidRPr="00286216" w:rsidRDefault="00630147" w:rsidP="00630147">
            <w:pPr>
              <w:pStyle w:val="StyleZakonu"/>
              <w:rPr>
                <w:color w:val="000000" w:themeColor="text1"/>
              </w:rPr>
            </w:pPr>
            <w:r w:rsidRPr="00286216">
              <w:rPr>
                <w:color w:val="000000" w:themeColor="text1"/>
              </w:rPr>
              <w:t>1) у статті 1:</w:t>
            </w:r>
          </w:p>
        </w:tc>
        <w:tc>
          <w:tcPr>
            <w:tcW w:w="3686" w:type="dxa"/>
          </w:tcPr>
          <w:p w14:paraId="0FB2EF09" w14:textId="77777777" w:rsidR="00630147" w:rsidRPr="00286216" w:rsidRDefault="00630147" w:rsidP="00630147">
            <w:pPr>
              <w:pStyle w:val="StyleProp"/>
              <w:rPr>
                <w:color w:val="000000" w:themeColor="text1"/>
                <w:szCs w:val="18"/>
              </w:rPr>
            </w:pPr>
          </w:p>
        </w:tc>
        <w:tc>
          <w:tcPr>
            <w:tcW w:w="1987" w:type="dxa"/>
          </w:tcPr>
          <w:p w14:paraId="5E88F566" w14:textId="77777777" w:rsidR="00630147" w:rsidRPr="00286216" w:rsidRDefault="00630147" w:rsidP="00630147">
            <w:pPr>
              <w:pStyle w:val="StyleWisnow"/>
              <w:rPr>
                <w:color w:val="000000" w:themeColor="text1"/>
              </w:rPr>
            </w:pPr>
          </w:p>
        </w:tc>
        <w:tc>
          <w:tcPr>
            <w:tcW w:w="4818" w:type="dxa"/>
          </w:tcPr>
          <w:p w14:paraId="473B2EAF" w14:textId="287EA7B9" w:rsidR="00630147" w:rsidRPr="00286216" w:rsidRDefault="00630147" w:rsidP="00630147">
            <w:pPr>
              <w:pStyle w:val="StyleZakonu"/>
              <w:rPr>
                <w:color w:val="000000" w:themeColor="text1"/>
              </w:rPr>
            </w:pPr>
            <w:r w:rsidRPr="00286216">
              <w:rPr>
                <w:color w:val="000000" w:themeColor="text1"/>
              </w:rPr>
              <w:t>1) у статті 1:</w:t>
            </w:r>
          </w:p>
        </w:tc>
      </w:tr>
      <w:tr w:rsidR="00630147" w:rsidRPr="00286216" w14:paraId="4A2F0F1E" w14:textId="77777777" w:rsidTr="00091AA5">
        <w:tc>
          <w:tcPr>
            <w:tcW w:w="576" w:type="dxa"/>
          </w:tcPr>
          <w:p w14:paraId="353A5CEE" w14:textId="77777777" w:rsidR="00630147" w:rsidRPr="00286216" w:rsidRDefault="00630147" w:rsidP="00630147">
            <w:pPr>
              <w:pStyle w:val="StyleWisnow"/>
              <w:rPr>
                <w:color w:val="000000" w:themeColor="text1"/>
              </w:rPr>
            </w:pPr>
            <w:bookmarkStart w:id="3025" w:name="n3154" w:colFirst="0" w:colLast="0"/>
            <w:bookmarkEnd w:id="3024"/>
            <w:r w:rsidRPr="00286216">
              <w:rPr>
                <w:color w:val="000000" w:themeColor="text1"/>
              </w:rPr>
              <w:t>3154.</w:t>
            </w:r>
          </w:p>
        </w:tc>
        <w:tc>
          <w:tcPr>
            <w:tcW w:w="4818" w:type="dxa"/>
          </w:tcPr>
          <w:p w14:paraId="1B0BF446" w14:textId="77777777" w:rsidR="00630147" w:rsidRPr="00286216" w:rsidRDefault="00630147" w:rsidP="00630147">
            <w:pPr>
              <w:pStyle w:val="StyleZakonu"/>
              <w:rPr>
                <w:color w:val="000000" w:themeColor="text1"/>
              </w:rPr>
            </w:pPr>
            <w:r w:rsidRPr="00286216">
              <w:rPr>
                <w:color w:val="000000" w:themeColor="text1"/>
              </w:rPr>
              <w:t>а) у пунктах 4 і 6 частини першої слова "цінні папери" в усіх відмінках замінити словами "фінансові інструменти" у відповідному відмінку;</w:t>
            </w:r>
          </w:p>
        </w:tc>
        <w:tc>
          <w:tcPr>
            <w:tcW w:w="3686" w:type="dxa"/>
          </w:tcPr>
          <w:p w14:paraId="579BB885" w14:textId="02657706"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1397</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1CCE281F" w14:textId="220E12AB" w:rsidR="00630147" w:rsidRPr="00286216" w:rsidRDefault="00630147" w:rsidP="00630147">
            <w:pPr>
              <w:pStyle w:val="StyleProp"/>
              <w:spacing w:line="180" w:lineRule="exact"/>
              <w:rPr>
                <w:color w:val="000000" w:themeColor="text1"/>
              </w:rPr>
            </w:pPr>
            <w:r w:rsidRPr="00286216">
              <w:rPr>
                <w:color w:val="000000" w:themeColor="text1"/>
              </w:rPr>
              <w:t>Підпункт "а" підпункту 1 пункту 24 викласти у такій редакції:</w:t>
            </w:r>
          </w:p>
          <w:p w14:paraId="12A44379" w14:textId="77777777" w:rsidR="00630147" w:rsidRPr="00286216" w:rsidRDefault="00630147" w:rsidP="00630147">
            <w:pPr>
              <w:pStyle w:val="StyleProp"/>
              <w:spacing w:line="180" w:lineRule="exact"/>
              <w:rPr>
                <w:color w:val="000000" w:themeColor="text1"/>
              </w:rPr>
            </w:pPr>
            <w:r w:rsidRPr="00286216">
              <w:rPr>
                <w:color w:val="000000" w:themeColor="text1"/>
              </w:rPr>
              <w:t>а) у частині першій:</w:t>
            </w:r>
          </w:p>
          <w:p w14:paraId="4B967FAB" w14:textId="77777777" w:rsidR="00630147" w:rsidRPr="00286216" w:rsidRDefault="00630147" w:rsidP="00630147">
            <w:pPr>
              <w:pStyle w:val="StyleProp"/>
              <w:spacing w:line="180" w:lineRule="exact"/>
              <w:rPr>
                <w:color w:val="000000" w:themeColor="text1"/>
              </w:rPr>
            </w:pPr>
            <w:r w:rsidRPr="00286216">
              <w:rPr>
                <w:color w:val="000000" w:themeColor="text1"/>
              </w:rPr>
              <w:t>у пункті 4 слова "цінні папери" замінити словами "фінансові інструменти";</w:t>
            </w:r>
          </w:p>
          <w:p w14:paraId="34A6E4CB" w14:textId="5ADEF2B0" w:rsidR="00630147" w:rsidRPr="00286216" w:rsidRDefault="00630147" w:rsidP="00630147">
            <w:pPr>
              <w:pStyle w:val="StyleProp"/>
              <w:spacing w:line="180" w:lineRule="exact"/>
              <w:rPr>
                <w:color w:val="000000" w:themeColor="text1"/>
                <w:shd w:val="clear" w:color="auto" w:fill="FFFFFF"/>
              </w:rPr>
            </w:pPr>
            <w:r w:rsidRPr="00286216">
              <w:rPr>
                <w:color w:val="000000" w:themeColor="text1"/>
              </w:rPr>
              <w:t>у пункті 6 слова "</w:t>
            </w:r>
            <w:r w:rsidRPr="00286216">
              <w:rPr>
                <w:color w:val="000000" w:themeColor="text1"/>
                <w:shd w:val="clear" w:color="auto" w:fill="FFFFFF"/>
              </w:rPr>
              <w:t>операцій з цінними паперами" замінити словом "капіталу".</w:t>
            </w:r>
          </w:p>
        </w:tc>
        <w:tc>
          <w:tcPr>
            <w:tcW w:w="1987" w:type="dxa"/>
          </w:tcPr>
          <w:p w14:paraId="01A3FE8A" w14:textId="5C034D7C"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61DC00BD" w14:textId="77777777" w:rsidR="00630147" w:rsidRPr="00286216" w:rsidRDefault="00630147" w:rsidP="00630147">
            <w:pPr>
              <w:pStyle w:val="StyleZakonu"/>
              <w:rPr>
                <w:color w:val="000000" w:themeColor="text1"/>
              </w:rPr>
            </w:pPr>
            <w:r w:rsidRPr="00286216">
              <w:rPr>
                <w:color w:val="000000" w:themeColor="text1"/>
              </w:rPr>
              <w:t>а) у частині першій:</w:t>
            </w:r>
          </w:p>
          <w:p w14:paraId="50154C91" w14:textId="77777777" w:rsidR="00630147" w:rsidRPr="00286216" w:rsidRDefault="00630147" w:rsidP="00630147">
            <w:pPr>
              <w:pStyle w:val="StyleZakonu"/>
              <w:rPr>
                <w:color w:val="000000" w:themeColor="text1"/>
              </w:rPr>
            </w:pPr>
            <w:r w:rsidRPr="00286216">
              <w:rPr>
                <w:color w:val="000000" w:themeColor="text1"/>
              </w:rPr>
              <w:t>у пункті 4 слова "цінні папери" замінити словами "фінансові інструменти";</w:t>
            </w:r>
          </w:p>
          <w:p w14:paraId="0B68AFDB" w14:textId="5C2744D2" w:rsidR="00630147" w:rsidRPr="00286216" w:rsidRDefault="00630147" w:rsidP="00630147">
            <w:pPr>
              <w:pStyle w:val="StyleZakonu"/>
              <w:rPr>
                <w:color w:val="000000" w:themeColor="text1"/>
              </w:rPr>
            </w:pPr>
            <w:r w:rsidRPr="00286216">
              <w:rPr>
                <w:color w:val="000000" w:themeColor="text1"/>
              </w:rPr>
              <w:t>у пункті 6 слова "</w:t>
            </w:r>
            <w:r w:rsidRPr="00286216">
              <w:rPr>
                <w:color w:val="000000" w:themeColor="text1"/>
                <w:shd w:val="clear" w:color="auto" w:fill="FFFFFF"/>
              </w:rPr>
              <w:t>операцій з цінними паперами" замінити словом "капіталу"</w:t>
            </w:r>
            <w:r w:rsidRPr="00286216">
              <w:rPr>
                <w:color w:val="000000" w:themeColor="text1"/>
              </w:rPr>
              <w:t>;</w:t>
            </w:r>
          </w:p>
        </w:tc>
      </w:tr>
      <w:tr w:rsidR="00630147" w:rsidRPr="00286216" w14:paraId="0C9CE892" w14:textId="77777777" w:rsidTr="00091AA5">
        <w:tc>
          <w:tcPr>
            <w:tcW w:w="576" w:type="dxa"/>
          </w:tcPr>
          <w:p w14:paraId="0A63DDD6" w14:textId="77777777" w:rsidR="00630147" w:rsidRPr="00286216" w:rsidRDefault="00630147" w:rsidP="00630147">
            <w:pPr>
              <w:pStyle w:val="StyleWisnow"/>
              <w:rPr>
                <w:color w:val="000000" w:themeColor="text1"/>
              </w:rPr>
            </w:pPr>
            <w:bookmarkStart w:id="3026" w:name="n3155" w:colFirst="0" w:colLast="0"/>
            <w:bookmarkEnd w:id="3025"/>
            <w:r w:rsidRPr="00286216">
              <w:rPr>
                <w:color w:val="000000" w:themeColor="text1"/>
              </w:rPr>
              <w:t>3155.</w:t>
            </w:r>
          </w:p>
        </w:tc>
        <w:tc>
          <w:tcPr>
            <w:tcW w:w="4818" w:type="dxa"/>
          </w:tcPr>
          <w:p w14:paraId="34421423" w14:textId="77777777" w:rsidR="00630147" w:rsidRPr="00286216" w:rsidRDefault="00630147" w:rsidP="00630147">
            <w:pPr>
              <w:pStyle w:val="StyleZakonu"/>
              <w:rPr>
                <w:color w:val="000000" w:themeColor="text1"/>
              </w:rPr>
            </w:pPr>
            <w:r w:rsidRPr="00286216">
              <w:rPr>
                <w:color w:val="000000" w:themeColor="text1"/>
              </w:rPr>
              <w:t>б) у пункті 26 після слів "за корисливі злочини" доповнити словами ", злочини проти власності, у сфері службової діяльності";</w:t>
            </w:r>
          </w:p>
        </w:tc>
        <w:tc>
          <w:tcPr>
            <w:tcW w:w="3686" w:type="dxa"/>
          </w:tcPr>
          <w:p w14:paraId="660B61CC" w14:textId="77777777" w:rsidR="00630147" w:rsidRPr="00286216" w:rsidRDefault="00630147" w:rsidP="00630147">
            <w:pPr>
              <w:pStyle w:val="StyleProp"/>
              <w:rPr>
                <w:color w:val="000000" w:themeColor="text1"/>
                <w:szCs w:val="18"/>
              </w:rPr>
            </w:pPr>
          </w:p>
        </w:tc>
        <w:tc>
          <w:tcPr>
            <w:tcW w:w="1987" w:type="dxa"/>
          </w:tcPr>
          <w:p w14:paraId="5DB3BC34" w14:textId="77777777" w:rsidR="00630147" w:rsidRPr="00286216" w:rsidRDefault="00630147" w:rsidP="00630147">
            <w:pPr>
              <w:pStyle w:val="StyleWisnow"/>
              <w:rPr>
                <w:color w:val="000000" w:themeColor="text1"/>
              </w:rPr>
            </w:pPr>
          </w:p>
        </w:tc>
        <w:tc>
          <w:tcPr>
            <w:tcW w:w="4818" w:type="dxa"/>
          </w:tcPr>
          <w:p w14:paraId="534802B6" w14:textId="227130E3" w:rsidR="00630147" w:rsidRPr="00286216" w:rsidRDefault="00630147" w:rsidP="00630147">
            <w:pPr>
              <w:pStyle w:val="StyleZakonu"/>
              <w:rPr>
                <w:color w:val="000000" w:themeColor="text1"/>
              </w:rPr>
            </w:pPr>
            <w:r w:rsidRPr="00286216">
              <w:rPr>
                <w:color w:val="000000" w:themeColor="text1"/>
              </w:rPr>
              <w:t>пункт 26 після слів "за корисливі злочини" доповнити словами "злочини проти власності, у сфері службової діяльності";</w:t>
            </w:r>
          </w:p>
        </w:tc>
      </w:tr>
      <w:tr w:rsidR="00630147" w:rsidRPr="00286216" w14:paraId="7F99292D" w14:textId="77777777" w:rsidTr="00091AA5">
        <w:tc>
          <w:tcPr>
            <w:tcW w:w="576" w:type="dxa"/>
          </w:tcPr>
          <w:p w14:paraId="7A92E474" w14:textId="77777777" w:rsidR="00630147" w:rsidRPr="00286216" w:rsidRDefault="00630147" w:rsidP="00630147">
            <w:pPr>
              <w:pStyle w:val="StyleWisnow"/>
              <w:rPr>
                <w:color w:val="000000" w:themeColor="text1"/>
              </w:rPr>
            </w:pPr>
            <w:bookmarkStart w:id="3027" w:name="n3156" w:colFirst="0" w:colLast="0"/>
            <w:bookmarkEnd w:id="3026"/>
            <w:r w:rsidRPr="00286216">
              <w:rPr>
                <w:color w:val="000000" w:themeColor="text1"/>
              </w:rPr>
              <w:t>3156.</w:t>
            </w:r>
          </w:p>
        </w:tc>
        <w:tc>
          <w:tcPr>
            <w:tcW w:w="4818" w:type="dxa"/>
          </w:tcPr>
          <w:p w14:paraId="705337EA" w14:textId="77777777" w:rsidR="00630147" w:rsidRPr="00286216" w:rsidRDefault="00630147" w:rsidP="00630147">
            <w:pPr>
              <w:pStyle w:val="StyleZakonu"/>
              <w:rPr>
                <w:color w:val="000000" w:themeColor="text1"/>
              </w:rPr>
            </w:pPr>
            <w:r w:rsidRPr="00286216">
              <w:rPr>
                <w:color w:val="000000" w:themeColor="text1"/>
              </w:rPr>
              <w:t>в) частину другу викласти у такій редакції:</w:t>
            </w:r>
          </w:p>
        </w:tc>
        <w:tc>
          <w:tcPr>
            <w:tcW w:w="3686" w:type="dxa"/>
          </w:tcPr>
          <w:p w14:paraId="4394FCED" w14:textId="77777777" w:rsidR="00630147" w:rsidRPr="00286216" w:rsidRDefault="00630147" w:rsidP="00630147">
            <w:pPr>
              <w:pStyle w:val="StyleProp"/>
              <w:rPr>
                <w:color w:val="000000" w:themeColor="text1"/>
                <w:szCs w:val="18"/>
              </w:rPr>
            </w:pPr>
          </w:p>
        </w:tc>
        <w:tc>
          <w:tcPr>
            <w:tcW w:w="1987" w:type="dxa"/>
          </w:tcPr>
          <w:p w14:paraId="45B7DFBF" w14:textId="77777777" w:rsidR="00630147" w:rsidRPr="00286216" w:rsidRDefault="00630147" w:rsidP="00630147">
            <w:pPr>
              <w:pStyle w:val="StyleWisnow"/>
              <w:rPr>
                <w:color w:val="000000" w:themeColor="text1"/>
              </w:rPr>
            </w:pPr>
          </w:p>
        </w:tc>
        <w:tc>
          <w:tcPr>
            <w:tcW w:w="4818" w:type="dxa"/>
          </w:tcPr>
          <w:p w14:paraId="3A0F7F73" w14:textId="579C0376" w:rsidR="00630147" w:rsidRPr="00286216" w:rsidRDefault="00630147" w:rsidP="00630147">
            <w:pPr>
              <w:pStyle w:val="StyleZakonu"/>
              <w:rPr>
                <w:color w:val="000000" w:themeColor="text1"/>
              </w:rPr>
            </w:pPr>
            <w:r w:rsidRPr="00286216">
              <w:rPr>
                <w:color w:val="000000" w:themeColor="text1"/>
              </w:rPr>
              <w:t>б) частину другу викласти в такій редакції:</w:t>
            </w:r>
          </w:p>
        </w:tc>
      </w:tr>
      <w:tr w:rsidR="00630147" w:rsidRPr="00286216" w14:paraId="67302FBA" w14:textId="77777777" w:rsidTr="00091AA5">
        <w:tc>
          <w:tcPr>
            <w:tcW w:w="576" w:type="dxa"/>
          </w:tcPr>
          <w:p w14:paraId="31CDB1B6" w14:textId="77777777" w:rsidR="00630147" w:rsidRPr="00286216" w:rsidRDefault="00630147" w:rsidP="00630147">
            <w:pPr>
              <w:pStyle w:val="StyleWisnow"/>
              <w:rPr>
                <w:color w:val="000000" w:themeColor="text1"/>
              </w:rPr>
            </w:pPr>
            <w:bookmarkStart w:id="3028" w:name="n3157" w:colFirst="0" w:colLast="0"/>
            <w:bookmarkEnd w:id="3027"/>
            <w:r w:rsidRPr="00286216">
              <w:rPr>
                <w:color w:val="000000" w:themeColor="text1"/>
              </w:rPr>
              <w:t>3157.</w:t>
            </w:r>
          </w:p>
        </w:tc>
        <w:tc>
          <w:tcPr>
            <w:tcW w:w="4818" w:type="dxa"/>
          </w:tcPr>
          <w:p w14:paraId="3B277174" w14:textId="77777777" w:rsidR="00630147" w:rsidRPr="00286216" w:rsidRDefault="00630147" w:rsidP="00630147">
            <w:pPr>
              <w:pStyle w:val="StyleZakonu"/>
              <w:rPr>
                <w:color w:val="000000" w:themeColor="text1"/>
              </w:rPr>
            </w:pPr>
            <w:r w:rsidRPr="00286216">
              <w:rPr>
                <w:color w:val="000000" w:themeColor="text1"/>
              </w:rPr>
              <w:t>"2. Терміни "фінансовий інструмент" та "професійні учасники ринків капіталу" вживаються у цьому Законі у значенні, визначеному у Законі України "Про ринки капіталу та організовані товарні ринки".</w:t>
            </w:r>
          </w:p>
        </w:tc>
        <w:tc>
          <w:tcPr>
            <w:tcW w:w="3686" w:type="dxa"/>
          </w:tcPr>
          <w:p w14:paraId="73383CEA" w14:textId="77777777" w:rsidR="00630147" w:rsidRPr="00286216" w:rsidRDefault="00630147" w:rsidP="00630147">
            <w:pPr>
              <w:pStyle w:val="StyleProp"/>
              <w:rPr>
                <w:color w:val="000000" w:themeColor="text1"/>
                <w:szCs w:val="18"/>
              </w:rPr>
            </w:pPr>
          </w:p>
        </w:tc>
        <w:tc>
          <w:tcPr>
            <w:tcW w:w="1987" w:type="dxa"/>
          </w:tcPr>
          <w:p w14:paraId="4F85CBAD" w14:textId="77777777" w:rsidR="00630147" w:rsidRPr="00286216" w:rsidRDefault="00630147" w:rsidP="00630147">
            <w:pPr>
              <w:pStyle w:val="StyleWisnow"/>
              <w:rPr>
                <w:color w:val="000000" w:themeColor="text1"/>
              </w:rPr>
            </w:pPr>
          </w:p>
        </w:tc>
        <w:tc>
          <w:tcPr>
            <w:tcW w:w="4818" w:type="dxa"/>
          </w:tcPr>
          <w:p w14:paraId="5AE390A0" w14:textId="32A32EBD" w:rsidR="00630147" w:rsidRPr="00286216" w:rsidRDefault="00630147" w:rsidP="00630147">
            <w:pPr>
              <w:pStyle w:val="StyleZakonu"/>
              <w:rPr>
                <w:color w:val="000000" w:themeColor="text1"/>
              </w:rPr>
            </w:pPr>
            <w:r w:rsidRPr="00286216">
              <w:rPr>
                <w:color w:val="000000" w:themeColor="text1"/>
              </w:rPr>
              <w:t>"2. Терміни "фінансовий інструмент" та "професійні учасники ринків капіталу" вживаються у цьому Законі у значенні, визначеному у Законі України "Про ринки капіталу та організовані товарні ринки".</w:t>
            </w:r>
          </w:p>
        </w:tc>
      </w:tr>
      <w:tr w:rsidR="00630147" w:rsidRPr="00286216" w14:paraId="5BCC13B1" w14:textId="77777777" w:rsidTr="00091AA5">
        <w:tc>
          <w:tcPr>
            <w:tcW w:w="576" w:type="dxa"/>
          </w:tcPr>
          <w:p w14:paraId="3EA3D819" w14:textId="77777777" w:rsidR="00630147" w:rsidRPr="00286216" w:rsidRDefault="00630147" w:rsidP="00630147">
            <w:pPr>
              <w:pStyle w:val="StyleWisnow"/>
              <w:rPr>
                <w:color w:val="000000" w:themeColor="text1"/>
              </w:rPr>
            </w:pPr>
            <w:bookmarkStart w:id="3029" w:name="n3158" w:colFirst="0" w:colLast="0"/>
            <w:bookmarkEnd w:id="3028"/>
            <w:r w:rsidRPr="00286216">
              <w:rPr>
                <w:color w:val="000000" w:themeColor="text1"/>
              </w:rPr>
              <w:t>3158.</w:t>
            </w:r>
          </w:p>
        </w:tc>
        <w:tc>
          <w:tcPr>
            <w:tcW w:w="4818" w:type="dxa"/>
          </w:tcPr>
          <w:p w14:paraId="2EA615A5" w14:textId="77777777" w:rsidR="00630147" w:rsidRPr="00286216" w:rsidRDefault="00630147" w:rsidP="00630147">
            <w:pPr>
              <w:pStyle w:val="StyleZakonu"/>
              <w:rPr>
                <w:color w:val="000000" w:themeColor="text1"/>
              </w:rPr>
            </w:pPr>
            <w:r w:rsidRPr="00286216">
              <w:rPr>
                <w:color w:val="000000" w:themeColor="text1"/>
              </w:rPr>
              <w:t>Інші терміни, які вживаються в цьому Законі, застосовуються у значенні законів України з питань регулювання окремих ринків фінансових послуг.";</w:t>
            </w:r>
          </w:p>
        </w:tc>
        <w:tc>
          <w:tcPr>
            <w:tcW w:w="3686" w:type="dxa"/>
          </w:tcPr>
          <w:p w14:paraId="34991742" w14:textId="77777777" w:rsidR="00630147" w:rsidRPr="00286216" w:rsidRDefault="00630147" w:rsidP="00630147">
            <w:pPr>
              <w:pStyle w:val="StyleProp"/>
              <w:rPr>
                <w:color w:val="000000" w:themeColor="text1"/>
                <w:szCs w:val="18"/>
              </w:rPr>
            </w:pPr>
          </w:p>
        </w:tc>
        <w:tc>
          <w:tcPr>
            <w:tcW w:w="1987" w:type="dxa"/>
          </w:tcPr>
          <w:p w14:paraId="701E2148" w14:textId="77777777" w:rsidR="00630147" w:rsidRPr="00286216" w:rsidRDefault="00630147" w:rsidP="00630147">
            <w:pPr>
              <w:pStyle w:val="StyleWisnow"/>
              <w:rPr>
                <w:color w:val="000000" w:themeColor="text1"/>
              </w:rPr>
            </w:pPr>
          </w:p>
        </w:tc>
        <w:tc>
          <w:tcPr>
            <w:tcW w:w="4818" w:type="dxa"/>
          </w:tcPr>
          <w:p w14:paraId="4EEFACFC" w14:textId="1E738B0F" w:rsidR="00630147" w:rsidRPr="00286216" w:rsidRDefault="00630147" w:rsidP="00630147">
            <w:pPr>
              <w:pStyle w:val="StyleZakonu"/>
              <w:rPr>
                <w:color w:val="000000" w:themeColor="text1"/>
              </w:rPr>
            </w:pPr>
            <w:r w:rsidRPr="00286216">
              <w:rPr>
                <w:color w:val="000000" w:themeColor="text1"/>
              </w:rPr>
              <w:t>Інші терміни, які вживаються в цьому Законі, застосовуються у значенні законів України з питань регулювання окремих ринків фінансових послуг";</w:t>
            </w:r>
          </w:p>
        </w:tc>
      </w:tr>
      <w:tr w:rsidR="00630147" w:rsidRPr="00286216" w14:paraId="01A7E72E" w14:textId="77777777" w:rsidTr="00091AA5">
        <w:tc>
          <w:tcPr>
            <w:tcW w:w="576" w:type="dxa"/>
          </w:tcPr>
          <w:p w14:paraId="3F1C4677" w14:textId="77777777" w:rsidR="00630147" w:rsidRPr="00286216" w:rsidRDefault="00630147" w:rsidP="00630147">
            <w:pPr>
              <w:pStyle w:val="StyleWisnow"/>
              <w:rPr>
                <w:color w:val="000000" w:themeColor="text1"/>
              </w:rPr>
            </w:pPr>
            <w:bookmarkStart w:id="3030" w:name="n3159" w:colFirst="0" w:colLast="0"/>
            <w:bookmarkEnd w:id="3029"/>
            <w:r w:rsidRPr="00286216">
              <w:rPr>
                <w:color w:val="000000" w:themeColor="text1"/>
              </w:rPr>
              <w:t>3159.</w:t>
            </w:r>
          </w:p>
        </w:tc>
        <w:tc>
          <w:tcPr>
            <w:tcW w:w="4818" w:type="dxa"/>
          </w:tcPr>
          <w:p w14:paraId="3AC822EA" w14:textId="77777777" w:rsidR="00630147" w:rsidRPr="00286216" w:rsidRDefault="00630147" w:rsidP="00630147">
            <w:pPr>
              <w:pStyle w:val="StyleZakonu"/>
              <w:rPr>
                <w:color w:val="000000" w:themeColor="text1"/>
              </w:rPr>
            </w:pPr>
            <w:r w:rsidRPr="00286216">
              <w:rPr>
                <w:color w:val="000000" w:themeColor="text1"/>
              </w:rPr>
              <w:t>2) у пункті 10 частини першої статті 4 слова "ринку цінних паперів" замінити словами "ринках капіталу";</w:t>
            </w:r>
          </w:p>
        </w:tc>
        <w:tc>
          <w:tcPr>
            <w:tcW w:w="3686" w:type="dxa"/>
          </w:tcPr>
          <w:p w14:paraId="2AF04320" w14:textId="77777777" w:rsidR="00630147" w:rsidRPr="00286216" w:rsidRDefault="00630147" w:rsidP="00630147">
            <w:pPr>
              <w:pStyle w:val="StyleProp"/>
              <w:rPr>
                <w:color w:val="000000" w:themeColor="text1"/>
                <w:szCs w:val="18"/>
              </w:rPr>
            </w:pPr>
          </w:p>
        </w:tc>
        <w:tc>
          <w:tcPr>
            <w:tcW w:w="1987" w:type="dxa"/>
          </w:tcPr>
          <w:p w14:paraId="5E4BED7A" w14:textId="77777777" w:rsidR="00630147" w:rsidRPr="00286216" w:rsidRDefault="00630147" w:rsidP="00630147">
            <w:pPr>
              <w:pStyle w:val="StyleWisnow"/>
              <w:rPr>
                <w:color w:val="000000" w:themeColor="text1"/>
              </w:rPr>
            </w:pPr>
          </w:p>
        </w:tc>
        <w:tc>
          <w:tcPr>
            <w:tcW w:w="4818" w:type="dxa"/>
          </w:tcPr>
          <w:p w14:paraId="21E24CC5" w14:textId="164B3B75" w:rsidR="00630147" w:rsidRPr="00286216" w:rsidRDefault="00630147" w:rsidP="00630147">
            <w:pPr>
              <w:pStyle w:val="StyleZakonu"/>
              <w:rPr>
                <w:color w:val="000000" w:themeColor="text1"/>
              </w:rPr>
            </w:pPr>
            <w:r w:rsidRPr="00286216">
              <w:rPr>
                <w:color w:val="000000" w:themeColor="text1"/>
              </w:rPr>
              <w:t>2) у пункті 10 частини першої статті 4 слова "ринку цінних паперів" замінити словами "ринках капіталу";</w:t>
            </w:r>
          </w:p>
        </w:tc>
      </w:tr>
      <w:tr w:rsidR="00630147" w:rsidRPr="00286216" w14:paraId="7009B7C4" w14:textId="77777777" w:rsidTr="00091AA5">
        <w:tc>
          <w:tcPr>
            <w:tcW w:w="576" w:type="dxa"/>
          </w:tcPr>
          <w:p w14:paraId="215C7960" w14:textId="77777777" w:rsidR="00630147" w:rsidRPr="00286216" w:rsidRDefault="00630147" w:rsidP="00630147">
            <w:pPr>
              <w:pStyle w:val="StyleWisnow"/>
              <w:rPr>
                <w:color w:val="000000" w:themeColor="text1"/>
              </w:rPr>
            </w:pPr>
            <w:bookmarkStart w:id="3031" w:name="n3160" w:colFirst="0" w:colLast="0"/>
            <w:bookmarkEnd w:id="3030"/>
            <w:r w:rsidRPr="00286216">
              <w:rPr>
                <w:color w:val="000000" w:themeColor="text1"/>
              </w:rPr>
              <w:t>3160.</w:t>
            </w:r>
          </w:p>
        </w:tc>
        <w:tc>
          <w:tcPr>
            <w:tcW w:w="4818" w:type="dxa"/>
          </w:tcPr>
          <w:p w14:paraId="73A90B0D" w14:textId="77777777" w:rsidR="00630147" w:rsidRPr="00286216" w:rsidRDefault="00630147" w:rsidP="00630147">
            <w:pPr>
              <w:pStyle w:val="StyleZakonu"/>
              <w:rPr>
                <w:color w:val="000000" w:themeColor="text1"/>
              </w:rPr>
            </w:pPr>
            <w:r w:rsidRPr="00286216">
              <w:rPr>
                <w:color w:val="000000" w:themeColor="text1"/>
              </w:rPr>
              <w:t>3) у статті 9:</w:t>
            </w:r>
          </w:p>
        </w:tc>
        <w:tc>
          <w:tcPr>
            <w:tcW w:w="3686" w:type="dxa"/>
          </w:tcPr>
          <w:p w14:paraId="3719D963" w14:textId="77777777" w:rsidR="00630147" w:rsidRPr="00286216" w:rsidRDefault="00630147" w:rsidP="00630147">
            <w:pPr>
              <w:pStyle w:val="StyleProp"/>
              <w:rPr>
                <w:color w:val="000000" w:themeColor="text1"/>
                <w:szCs w:val="18"/>
              </w:rPr>
            </w:pPr>
          </w:p>
        </w:tc>
        <w:tc>
          <w:tcPr>
            <w:tcW w:w="1987" w:type="dxa"/>
          </w:tcPr>
          <w:p w14:paraId="75B57D29" w14:textId="77777777" w:rsidR="00630147" w:rsidRPr="00286216" w:rsidRDefault="00630147" w:rsidP="00630147">
            <w:pPr>
              <w:pStyle w:val="StyleWisnow"/>
              <w:rPr>
                <w:color w:val="000000" w:themeColor="text1"/>
              </w:rPr>
            </w:pPr>
          </w:p>
        </w:tc>
        <w:tc>
          <w:tcPr>
            <w:tcW w:w="4818" w:type="dxa"/>
          </w:tcPr>
          <w:p w14:paraId="4E8F71B3" w14:textId="0478DAE0" w:rsidR="00630147" w:rsidRPr="00286216" w:rsidRDefault="00630147" w:rsidP="00630147">
            <w:pPr>
              <w:pStyle w:val="StyleZakonu"/>
              <w:rPr>
                <w:color w:val="000000" w:themeColor="text1"/>
              </w:rPr>
            </w:pPr>
            <w:r w:rsidRPr="00286216">
              <w:rPr>
                <w:color w:val="000000" w:themeColor="text1"/>
              </w:rPr>
              <w:t>3) у статті 9:</w:t>
            </w:r>
          </w:p>
        </w:tc>
      </w:tr>
      <w:tr w:rsidR="00630147" w:rsidRPr="00286216" w14:paraId="6FAA0D1E" w14:textId="77777777" w:rsidTr="00091AA5">
        <w:tc>
          <w:tcPr>
            <w:tcW w:w="576" w:type="dxa"/>
          </w:tcPr>
          <w:p w14:paraId="3FDBCEF1" w14:textId="77777777" w:rsidR="00630147" w:rsidRPr="00286216" w:rsidRDefault="00630147" w:rsidP="00630147">
            <w:pPr>
              <w:pStyle w:val="StyleWisnow"/>
              <w:rPr>
                <w:color w:val="000000" w:themeColor="text1"/>
              </w:rPr>
            </w:pPr>
            <w:bookmarkStart w:id="3032" w:name="n3161" w:colFirst="0" w:colLast="0"/>
            <w:bookmarkEnd w:id="3031"/>
            <w:r w:rsidRPr="00286216">
              <w:rPr>
                <w:color w:val="000000" w:themeColor="text1"/>
              </w:rPr>
              <w:t>3161.</w:t>
            </w:r>
          </w:p>
        </w:tc>
        <w:tc>
          <w:tcPr>
            <w:tcW w:w="4818" w:type="dxa"/>
          </w:tcPr>
          <w:p w14:paraId="6E9ECD63" w14:textId="77777777" w:rsidR="00630147" w:rsidRPr="00286216" w:rsidRDefault="00630147" w:rsidP="00630147">
            <w:pPr>
              <w:pStyle w:val="StyleZakonu"/>
              <w:rPr>
                <w:color w:val="000000" w:themeColor="text1"/>
              </w:rPr>
            </w:pPr>
            <w:r w:rsidRPr="00286216">
              <w:rPr>
                <w:color w:val="000000" w:themeColor="text1"/>
              </w:rPr>
              <w:t>а) доповнити частину другу новим абзацом такого змісту:</w:t>
            </w:r>
          </w:p>
        </w:tc>
        <w:tc>
          <w:tcPr>
            <w:tcW w:w="3686" w:type="dxa"/>
          </w:tcPr>
          <w:p w14:paraId="5D3A4700" w14:textId="77777777" w:rsidR="00630147" w:rsidRPr="00286216" w:rsidRDefault="00630147" w:rsidP="00630147">
            <w:pPr>
              <w:pStyle w:val="StyleProp"/>
              <w:rPr>
                <w:color w:val="000000" w:themeColor="text1"/>
                <w:szCs w:val="18"/>
              </w:rPr>
            </w:pPr>
          </w:p>
        </w:tc>
        <w:tc>
          <w:tcPr>
            <w:tcW w:w="1987" w:type="dxa"/>
          </w:tcPr>
          <w:p w14:paraId="1FC2A48B" w14:textId="77777777" w:rsidR="00630147" w:rsidRPr="00286216" w:rsidRDefault="00630147" w:rsidP="00630147">
            <w:pPr>
              <w:pStyle w:val="StyleWisnow"/>
              <w:rPr>
                <w:color w:val="000000" w:themeColor="text1"/>
              </w:rPr>
            </w:pPr>
          </w:p>
        </w:tc>
        <w:tc>
          <w:tcPr>
            <w:tcW w:w="4818" w:type="dxa"/>
          </w:tcPr>
          <w:p w14:paraId="092F1E4C" w14:textId="3956ECF9" w:rsidR="00630147" w:rsidRPr="00286216" w:rsidRDefault="00630147" w:rsidP="00630147">
            <w:pPr>
              <w:pStyle w:val="StyleZakonu"/>
              <w:rPr>
                <w:color w:val="000000" w:themeColor="text1"/>
              </w:rPr>
            </w:pPr>
            <w:r w:rsidRPr="00286216">
              <w:rPr>
                <w:color w:val="000000" w:themeColor="text1"/>
              </w:rPr>
              <w:t>а) частину другу доповнити абзацом другим такого змісту:</w:t>
            </w:r>
          </w:p>
        </w:tc>
      </w:tr>
      <w:tr w:rsidR="00630147" w:rsidRPr="00286216" w14:paraId="75621460" w14:textId="77777777" w:rsidTr="00091AA5">
        <w:tc>
          <w:tcPr>
            <w:tcW w:w="576" w:type="dxa"/>
          </w:tcPr>
          <w:p w14:paraId="69C62AFC" w14:textId="77777777" w:rsidR="00630147" w:rsidRPr="00286216" w:rsidRDefault="00630147" w:rsidP="00630147">
            <w:pPr>
              <w:pStyle w:val="StyleWisnow"/>
              <w:rPr>
                <w:color w:val="000000" w:themeColor="text1"/>
              </w:rPr>
            </w:pPr>
            <w:bookmarkStart w:id="3033" w:name="n3162" w:colFirst="0" w:colLast="0"/>
            <w:bookmarkEnd w:id="3032"/>
            <w:r w:rsidRPr="00286216">
              <w:rPr>
                <w:color w:val="000000" w:themeColor="text1"/>
              </w:rPr>
              <w:t>3162.</w:t>
            </w:r>
          </w:p>
        </w:tc>
        <w:tc>
          <w:tcPr>
            <w:tcW w:w="4818" w:type="dxa"/>
          </w:tcPr>
          <w:p w14:paraId="726C05BF" w14:textId="77777777" w:rsidR="00630147" w:rsidRPr="00286216" w:rsidRDefault="00630147" w:rsidP="00630147">
            <w:pPr>
              <w:pStyle w:val="StyleZakonu"/>
              <w:rPr>
                <w:color w:val="000000" w:themeColor="text1"/>
              </w:rPr>
            </w:pPr>
            <w:r w:rsidRPr="00286216">
              <w:rPr>
                <w:color w:val="000000" w:themeColor="text1"/>
              </w:rPr>
              <w:t>"Вимоги цієї частини не застосовуються до професійних учасників ринків капіталу.";</w:t>
            </w:r>
          </w:p>
        </w:tc>
        <w:tc>
          <w:tcPr>
            <w:tcW w:w="3686" w:type="dxa"/>
          </w:tcPr>
          <w:p w14:paraId="3525686C" w14:textId="77777777" w:rsidR="00630147" w:rsidRPr="00286216" w:rsidRDefault="00630147" w:rsidP="00630147">
            <w:pPr>
              <w:pStyle w:val="StyleProp"/>
              <w:rPr>
                <w:color w:val="000000" w:themeColor="text1"/>
                <w:szCs w:val="18"/>
              </w:rPr>
            </w:pPr>
          </w:p>
        </w:tc>
        <w:tc>
          <w:tcPr>
            <w:tcW w:w="1987" w:type="dxa"/>
          </w:tcPr>
          <w:p w14:paraId="7723D0C5" w14:textId="77777777" w:rsidR="00630147" w:rsidRPr="00286216" w:rsidRDefault="00630147" w:rsidP="00630147">
            <w:pPr>
              <w:pStyle w:val="StyleWisnow"/>
              <w:rPr>
                <w:color w:val="000000" w:themeColor="text1"/>
              </w:rPr>
            </w:pPr>
          </w:p>
        </w:tc>
        <w:tc>
          <w:tcPr>
            <w:tcW w:w="4818" w:type="dxa"/>
          </w:tcPr>
          <w:p w14:paraId="340D1818" w14:textId="34310179" w:rsidR="00630147" w:rsidRPr="00286216" w:rsidRDefault="00630147" w:rsidP="00630147">
            <w:pPr>
              <w:pStyle w:val="StyleZakonu"/>
              <w:rPr>
                <w:color w:val="000000" w:themeColor="text1"/>
              </w:rPr>
            </w:pPr>
            <w:r w:rsidRPr="00286216">
              <w:rPr>
                <w:color w:val="000000" w:themeColor="text1"/>
              </w:rPr>
              <w:t>"Вимоги цієї частини не застосовуються до професійних учасників ринків капіталу.";</w:t>
            </w:r>
          </w:p>
        </w:tc>
      </w:tr>
      <w:tr w:rsidR="00630147" w:rsidRPr="00286216" w14:paraId="328BE13B" w14:textId="77777777" w:rsidTr="00091AA5">
        <w:tc>
          <w:tcPr>
            <w:tcW w:w="576" w:type="dxa"/>
          </w:tcPr>
          <w:p w14:paraId="4EB4A7E7" w14:textId="77777777" w:rsidR="00630147" w:rsidRPr="00286216" w:rsidRDefault="00630147" w:rsidP="00630147">
            <w:pPr>
              <w:pStyle w:val="StyleWisnow"/>
              <w:rPr>
                <w:color w:val="000000" w:themeColor="text1"/>
              </w:rPr>
            </w:pPr>
            <w:bookmarkStart w:id="3034" w:name="n3163" w:colFirst="0" w:colLast="0"/>
            <w:bookmarkEnd w:id="3033"/>
            <w:r w:rsidRPr="00286216">
              <w:rPr>
                <w:color w:val="000000" w:themeColor="text1"/>
              </w:rPr>
              <w:lastRenderedPageBreak/>
              <w:t>3163.</w:t>
            </w:r>
          </w:p>
        </w:tc>
        <w:tc>
          <w:tcPr>
            <w:tcW w:w="4818" w:type="dxa"/>
          </w:tcPr>
          <w:p w14:paraId="039A1AAB" w14:textId="77777777" w:rsidR="00630147" w:rsidRPr="00286216" w:rsidRDefault="00630147" w:rsidP="00630147">
            <w:pPr>
              <w:pStyle w:val="StyleZakonu"/>
              <w:rPr>
                <w:color w:val="000000" w:themeColor="text1"/>
              </w:rPr>
            </w:pPr>
            <w:r w:rsidRPr="00286216">
              <w:rPr>
                <w:color w:val="000000" w:themeColor="text1"/>
              </w:rPr>
              <w:t>б) у частині дев’ятій:</w:t>
            </w:r>
          </w:p>
        </w:tc>
        <w:tc>
          <w:tcPr>
            <w:tcW w:w="3686" w:type="dxa"/>
          </w:tcPr>
          <w:p w14:paraId="49FDCC1E" w14:textId="77777777" w:rsidR="00630147" w:rsidRPr="00286216" w:rsidRDefault="00630147" w:rsidP="00630147">
            <w:pPr>
              <w:pStyle w:val="StyleProp"/>
              <w:rPr>
                <w:color w:val="000000" w:themeColor="text1"/>
                <w:szCs w:val="18"/>
              </w:rPr>
            </w:pPr>
          </w:p>
        </w:tc>
        <w:tc>
          <w:tcPr>
            <w:tcW w:w="1987" w:type="dxa"/>
          </w:tcPr>
          <w:p w14:paraId="288C6501" w14:textId="77777777" w:rsidR="00630147" w:rsidRPr="00286216" w:rsidRDefault="00630147" w:rsidP="00630147">
            <w:pPr>
              <w:pStyle w:val="StyleWisnow"/>
              <w:rPr>
                <w:color w:val="000000" w:themeColor="text1"/>
              </w:rPr>
            </w:pPr>
          </w:p>
        </w:tc>
        <w:tc>
          <w:tcPr>
            <w:tcW w:w="4818" w:type="dxa"/>
          </w:tcPr>
          <w:p w14:paraId="2D0BA37E" w14:textId="72EE7DEC" w:rsidR="00630147" w:rsidRPr="00286216" w:rsidRDefault="00630147" w:rsidP="00630147">
            <w:pPr>
              <w:pStyle w:val="StyleZakonu"/>
              <w:rPr>
                <w:color w:val="000000" w:themeColor="text1"/>
              </w:rPr>
            </w:pPr>
            <w:r w:rsidRPr="00286216">
              <w:rPr>
                <w:color w:val="000000" w:themeColor="text1"/>
              </w:rPr>
              <w:t>б) у частині дев’ятій:</w:t>
            </w:r>
          </w:p>
        </w:tc>
      </w:tr>
      <w:tr w:rsidR="00630147" w:rsidRPr="00286216" w14:paraId="6D63059D" w14:textId="77777777" w:rsidTr="00091AA5">
        <w:tc>
          <w:tcPr>
            <w:tcW w:w="576" w:type="dxa"/>
          </w:tcPr>
          <w:p w14:paraId="3B4C60B6" w14:textId="77777777" w:rsidR="00630147" w:rsidRPr="00286216" w:rsidRDefault="00630147" w:rsidP="00630147">
            <w:pPr>
              <w:pStyle w:val="StyleWisnow"/>
              <w:rPr>
                <w:color w:val="000000" w:themeColor="text1"/>
              </w:rPr>
            </w:pPr>
            <w:bookmarkStart w:id="3035" w:name="n3164" w:colFirst="0" w:colLast="0"/>
            <w:bookmarkEnd w:id="3034"/>
            <w:r w:rsidRPr="00286216">
              <w:rPr>
                <w:color w:val="000000" w:themeColor="text1"/>
              </w:rPr>
              <w:t>3164.</w:t>
            </w:r>
          </w:p>
        </w:tc>
        <w:tc>
          <w:tcPr>
            <w:tcW w:w="4818" w:type="dxa"/>
          </w:tcPr>
          <w:p w14:paraId="7C26FC82" w14:textId="77777777" w:rsidR="00630147" w:rsidRPr="00286216" w:rsidRDefault="00630147" w:rsidP="00630147">
            <w:pPr>
              <w:pStyle w:val="StyleZakonu"/>
              <w:rPr>
                <w:color w:val="000000" w:themeColor="text1"/>
              </w:rPr>
            </w:pPr>
            <w:r w:rsidRPr="00286216">
              <w:rPr>
                <w:color w:val="000000" w:themeColor="text1"/>
              </w:rPr>
              <w:t>абзац перший після слів "прямо чи опосередковано" доповнити словами "(в тому числі, шляхом передачі свого права голосу третім особам), ";</w:t>
            </w:r>
          </w:p>
        </w:tc>
        <w:tc>
          <w:tcPr>
            <w:tcW w:w="3686" w:type="dxa"/>
          </w:tcPr>
          <w:p w14:paraId="7EB1F19F" w14:textId="77777777" w:rsidR="00630147" w:rsidRPr="00286216" w:rsidRDefault="00630147" w:rsidP="00630147">
            <w:pPr>
              <w:pStyle w:val="StyleProp"/>
              <w:rPr>
                <w:color w:val="000000" w:themeColor="text1"/>
                <w:szCs w:val="18"/>
              </w:rPr>
            </w:pPr>
          </w:p>
        </w:tc>
        <w:tc>
          <w:tcPr>
            <w:tcW w:w="1987" w:type="dxa"/>
          </w:tcPr>
          <w:p w14:paraId="0B8F5E45" w14:textId="77777777" w:rsidR="00630147" w:rsidRPr="00286216" w:rsidRDefault="00630147" w:rsidP="00630147">
            <w:pPr>
              <w:pStyle w:val="StyleWisnow"/>
              <w:rPr>
                <w:color w:val="000000" w:themeColor="text1"/>
              </w:rPr>
            </w:pPr>
          </w:p>
        </w:tc>
        <w:tc>
          <w:tcPr>
            <w:tcW w:w="4818" w:type="dxa"/>
          </w:tcPr>
          <w:p w14:paraId="16203A23" w14:textId="3859A221" w:rsidR="00630147" w:rsidRPr="00286216" w:rsidRDefault="00630147" w:rsidP="00630147">
            <w:pPr>
              <w:pStyle w:val="StyleZakonu"/>
              <w:rPr>
                <w:color w:val="000000" w:themeColor="text1"/>
              </w:rPr>
            </w:pPr>
            <w:r w:rsidRPr="00286216">
              <w:rPr>
                <w:color w:val="000000" w:themeColor="text1"/>
              </w:rPr>
              <w:t>абзац перший після слів "прямо чи опосередковано" доповнити словами "(у тому числі шляхом передачі свого права голосу третім особам), ";</w:t>
            </w:r>
          </w:p>
        </w:tc>
      </w:tr>
      <w:tr w:rsidR="00630147" w:rsidRPr="00286216" w14:paraId="30865B56" w14:textId="77777777" w:rsidTr="00091AA5">
        <w:tc>
          <w:tcPr>
            <w:tcW w:w="576" w:type="dxa"/>
          </w:tcPr>
          <w:p w14:paraId="0ADB3B05" w14:textId="77777777" w:rsidR="00630147" w:rsidRPr="00286216" w:rsidRDefault="00630147" w:rsidP="00630147">
            <w:pPr>
              <w:pStyle w:val="StyleWisnow"/>
              <w:rPr>
                <w:color w:val="000000" w:themeColor="text1"/>
              </w:rPr>
            </w:pPr>
            <w:bookmarkStart w:id="3036" w:name="n3165" w:colFirst="0" w:colLast="0"/>
            <w:bookmarkEnd w:id="3035"/>
            <w:r w:rsidRPr="00286216">
              <w:rPr>
                <w:color w:val="000000" w:themeColor="text1"/>
              </w:rPr>
              <w:t>3165.</w:t>
            </w:r>
          </w:p>
        </w:tc>
        <w:tc>
          <w:tcPr>
            <w:tcW w:w="4818" w:type="dxa"/>
          </w:tcPr>
          <w:p w14:paraId="1773E059" w14:textId="77777777" w:rsidR="00630147" w:rsidRPr="00286216" w:rsidRDefault="00630147" w:rsidP="00630147">
            <w:pPr>
              <w:pStyle w:val="StyleZakonu"/>
              <w:rPr>
                <w:color w:val="000000" w:themeColor="text1"/>
              </w:rPr>
            </w:pPr>
            <w:r w:rsidRPr="00286216">
              <w:rPr>
                <w:color w:val="000000" w:themeColor="text1"/>
              </w:rPr>
              <w:t>доповнити частину новим абзацом такого змісту:</w:t>
            </w:r>
          </w:p>
        </w:tc>
        <w:tc>
          <w:tcPr>
            <w:tcW w:w="3686" w:type="dxa"/>
          </w:tcPr>
          <w:p w14:paraId="53726C48" w14:textId="77777777" w:rsidR="00630147" w:rsidRPr="00286216" w:rsidRDefault="00630147" w:rsidP="00630147">
            <w:pPr>
              <w:pStyle w:val="StyleProp"/>
              <w:rPr>
                <w:color w:val="000000" w:themeColor="text1"/>
                <w:szCs w:val="18"/>
              </w:rPr>
            </w:pPr>
          </w:p>
        </w:tc>
        <w:tc>
          <w:tcPr>
            <w:tcW w:w="1987" w:type="dxa"/>
          </w:tcPr>
          <w:p w14:paraId="67B0D79A" w14:textId="77777777" w:rsidR="00630147" w:rsidRPr="00286216" w:rsidRDefault="00630147" w:rsidP="00630147">
            <w:pPr>
              <w:pStyle w:val="StyleWisnow"/>
              <w:spacing w:line="180" w:lineRule="exact"/>
              <w:rPr>
                <w:color w:val="000000" w:themeColor="text1"/>
              </w:rPr>
            </w:pPr>
          </w:p>
        </w:tc>
        <w:tc>
          <w:tcPr>
            <w:tcW w:w="4818" w:type="dxa"/>
          </w:tcPr>
          <w:p w14:paraId="064C19CC" w14:textId="5E076474" w:rsidR="00630147" w:rsidRPr="00286216" w:rsidRDefault="00630147" w:rsidP="00630147">
            <w:pPr>
              <w:pStyle w:val="StyleZakonu"/>
              <w:rPr>
                <w:color w:val="000000" w:themeColor="text1"/>
              </w:rPr>
            </w:pPr>
            <w:r w:rsidRPr="00286216">
              <w:rPr>
                <w:color w:val="000000" w:themeColor="text1"/>
              </w:rPr>
              <w:t>доповнити абзацом другим такого змісту:</w:t>
            </w:r>
          </w:p>
        </w:tc>
      </w:tr>
      <w:tr w:rsidR="00630147" w:rsidRPr="00286216" w14:paraId="55D61638" w14:textId="77777777" w:rsidTr="00091AA5">
        <w:tc>
          <w:tcPr>
            <w:tcW w:w="576" w:type="dxa"/>
          </w:tcPr>
          <w:p w14:paraId="2D6ABCDF" w14:textId="77777777" w:rsidR="00630147" w:rsidRPr="00286216" w:rsidRDefault="00630147" w:rsidP="00630147">
            <w:pPr>
              <w:pStyle w:val="StyleWisnow"/>
              <w:rPr>
                <w:color w:val="000000" w:themeColor="text1"/>
              </w:rPr>
            </w:pPr>
            <w:bookmarkStart w:id="3037" w:name="n3166" w:colFirst="0" w:colLast="0"/>
            <w:bookmarkEnd w:id="3036"/>
            <w:r w:rsidRPr="00286216">
              <w:rPr>
                <w:color w:val="000000" w:themeColor="text1"/>
              </w:rPr>
              <w:t>3166.</w:t>
            </w:r>
          </w:p>
        </w:tc>
        <w:tc>
          <w:tcPr>
            <w:tcW w:w="4818" w:type="dxa"/>
          </w:tcPr>
          <w:p w14:paraId="72DC8D8D" w14:textId="77777777" w:rsidR="00630147" w:rsidRPr="00286216" w:rsidRDefault="00630147" w:rsidP="00630147">
            <w:pPr>
              <w:pStyle w:val="StyleZakonu"/>
              <w:rPr>
                <w:color w:val="000000" w:themeColor="text1"/>
              </w:rPr>
            </w:pPr>
            <w:r w:rsidRPr="00286216">
              <w:rPr>
                <w:color w:val="000000" w:themeColor="text1"/>
              </w:rPr>
              <w:t>"Особа, яка набула істотної участі у фінансовій установі або збільшила свою істотну участь до рівня, визначеного частиною п’ятою цієї статті, без отримання письмового погодження органу, який здійснює державне регулювання ринків фінансових послуг, несе установлену законом відповідальність. Особа, яка набула участь у фінансовій установі або збільшила її з порушенням вимог цього Закону, не має права користуватися правом голосу за акціями (частками), які вона набула з порушенням вимог.";</w:t>
            </w:r>
          </w:p>
        </w:tc>
        <w:tc>
          <w:tcPr>
            <w:tcW w:w="3686" w:type="dxa"/>
          </w:tcPr>
          <w:p w14:paraId="122F5290" w14:textId="77777777" w:rsidR="00630147" w:rsidRPr="00286216" w:rsidRDefault="00630147" w:rsidP="00630147">
            <w:pPr>
              <w:pStyle w:val="StyleProp"/>
              <w:rPr>
                <w:color w:val="000000" w:themeColor="text1"/>
                <w:szCs w:val="18"/>
              </w:rPr>
            </w:pPr>
          </w:p>
        </w:tc>
        <w:tc>
          <w:tcPr>
            <w:tcW w:w="1987" w:type="dxa"/>
          </w:tcPr>
          <w:p w14:paraId="3C7F0700" w14:textId="77777777" w:rsidR="00630147" w:rsidRPr="00286216" w:rsidRDefault="00630147" w:rsidP="00630147">
            <w:pPr>
              <w:pStyle w:val="StyleWisnow"/>
              <w:spacing w:line="180" w:lineRule="exact"/>
              <w:rPr>
                <w:color w:val="000000" w:themeColor="text1"/>
              </w:rPr>
            </w:pPr>
          </w:p>
        </w:tc>
        <w:tc>
          <w:tcPr>
            <w:tcW w:w="4818" w:type="dxa"/>
          </w:tcPr>
          <w:p w14:paraId="703C56AD" w14:textId="584EEDCF" w:rsidR="00630147" w:rsidRPr="00286216" w:rsidRDefault="00630147" w:rsidP="00630147">
            <w:pPr>
              <w:pStyle w:val="StyleZakonu"/>
              <w:rPr>
                <w:color w:val="000000" w:themeColor="text1"/>
              </w:rPr>
            </w:pPr>
            <w:r w:rsidRPr="00286216">
              <w:rPr>
                <w:color w:val="000000" w:themeColor="text1"/>
              </w:rPr>
              <w:t>"Особа, яка набула істотної участі у фінансовій установі або збільшила свою істотну участь до рівня, визначеного частиною п’ятою цієї статті, без отримання письмового погодження органу, який здійснює державне регулювання ринків фінансових послуг, несе установлену законом відповідальність. Особа, яка набула участь у фінансовій установі або збільшила її з порушенням вимог цього Закону, не має права користуватися правом голосу за акціями (частками), які вона набула з порушенням вимог";</w:t>
            </w:r>
          </w:p>
        </w:tc>
      </w:tr>
      <w:tr w:rsidR="00630147" w:rsidRPr="00286216" w14:paraId="589CCE5F" w14:textId="77777777" w:rsidTr="00091AA5">
        <w:tc>
          <w:tcPr>
            <w:tcW w:w="576" w:type="dxa"/>
          </w:tcPr>
          <w:p w14:paraId="111F476D" w14:textId="77777777" w:rsidR="00630147" w:rsidRPr="00286216" w:rsidRDefault="00630147" w:rsidP="00630147">
            <w:pPr>
              <w:pStyle w:val="StyleWisnow"/>
              <w:rPr>
                <w:color w:val="000000" w:themeColor="text1"/>
              </w:rPr>
            </w:pPr>
            <w:bookmarkStart w:id="3038" w:name="n3167" w:colFirst="0" w:colLast="0"/>
            <w:bookmarkEnd w:id="3037"/>
            <w:r w:rsidRPr="00286216">
              <w:rPr>
                <w:color w:val="000000" w:themeColor="text1"/>
              </w:rPr>
              <w:t>3167.</w:t>
            </w:r>
          </w:p>
        </w:tc>
        <w:tc>
          <w:tcPr>
            <w:tcW w:w="4818" w:type="dxa"/>
          </w:tcPr>
          <w:p w14:paraId="7803D558" w14:textId="77777777" w:rsidR="00630147" w:rsidRPr="00286216" w:rsidRDefault="00630147" w:rsidP="00630147">
            <w:pPr>
              <w:pStyle w:val="StyleZakonu"/>
              <w:rPr>
                <w:color w:val="000000" w:themeColor="text1"/>
              </w:rPr>
            </w:pPr>
            <w:r w:rsidRPr="00286216">
              <w:rPr>
                <w:color w:val="000000" w:themeColor="text1"/>
              </w:rPr>
              <w:t>в) частину десяту та одинадцяту викласти в такій редакції:</w:t>
            </w:r>
          </w:p>
        </w:tc>
        <w:tc>
          <w:tcPr>
            <w:tcW w:w="3686" w:type="dxa"/>
          </w:tcPr>
          <w:p w14:paraId="461C8C60" w14:textId="77777777" w:rsidR="00630147" w:rsidRPr="00286216" w:rsidRDefault="00630147" w:rsidP="00630147">
            <w:pPr>
              <w:pStyle w:val="StyleProp"/>
              <w:rPr>
                <w:color w:val="000000" w:themeColor="text1"/>
                <w:szCs w:val="18"/>
              </w:rPr>
            </w:pPr>
          </w:p>
        </w:tc>
        <w:tc>
          <w:tcPr>
            <w:tcW w:w="1987" w:type="dxa"/>
          </w:tcPr>
          <w:p w14:paraId="50421F02" w14:textId="77777777" w:rsidR="00630147" w:rsidRPr="00286216" w:rsidRDefault="00630147" w:rsidP="00630147">
            <w:pPr>
              <w:pStyle w:val="StyleWisnow"/>
              <w:spacing w:line="180" w:lineRule="exact"/>
              <w:rPr>
                <w:color w:val="000000" w:themeColor="text1"/>
              </w:rPr>
            </w:pPr>
          </w:p>
        </w:tc>
        <w:tc>
          <w:tcPr>
            <w:tcW w:w="4818" w:type="dxa"/>
          </w:tcPr>
          <w:p w14:paraId="13AC6B4B" w14:textId="77777777" w:rsidR="00630147" w:rsidRPr="00286216" w:rsidRDefault="00630147" w:rsidP="00630147">
            <w:pPr>
              <w:pStyle w:val="StyleZakonu"/>
              <w:rPr>
                <w:color w:val="000000" w:themeColor="text1"/>
              </w:rPr>
            </w:pPr>
          </w:p>
        </w:tc>
      </w:tr>
      <w:tr w:rsidR="00630147" w:rsidRPr="00286216" w14:paraId="046F060C" w14:textId="77777777" w:rsidTr="00091AA5">
        <w:tc>
          <w:tcPr>
            <w:tcW w:w="576" w:type="dxa"/>
          </w:tcPr>
          <w:p w14:paraId="12A60036" w14:textId="77777777" w:rsidR="00630147" w:rsidRPr="00286216" w:rsidRDefault="00630147" w:rsidP="00630147">
            <w:pPr>
              <w:pStyle w:val="StyleWisnow"/>
              <w:rPr>
                <w:color w:val="000000" w:themeColor="text1"/>
              </w:rPr>
            </w:pPr>
            <w:bookmarkStart w:id="3039" w:name="n3168" w:colFirst="0" w:colLast="0"/>
            <w:bookmarkEnd w:id="3038"/>
            <w:r w:rsidRPr="00286216">
              <w:rPr>
                <w:color w:val="000000" w:themeColor="text1"/>
              </w:rPr>
              <w:t>3168.</w:t>
            </w:r>
          </w:p>
        </w:tc>
        <w:tc>
          <w:tcPr>
            <w:tcW w:w="4818" w:type="dxa"/>
          </w:tcPr>
          <w:p w14:paraId="0562C81A" w14:textId="77777777" w:rsidR="00630147" w:rsidRPr="00286216" w:rsidRDefault="00630147" w:rsidP="00630147">
            <w:pPr>
              <w:pStyle w:val="StyleZakonu"/>
              <w:rPr>
                <w:color w:val="000000" w:themeColor="text1"/>
              </w:rPr>
            </w:pPr>
            <w:r w:rsidRPr="00286216">
              <w:rPr>
                <w:color w:val="000000" w:themeColor="text1"/>
              </w:rPr>
              <w:t>"10. У разі виявлення органом, який здійснює державне регулювання ринків фінансових послуг, факту набуття особою істотної участі у фінансовій установі або збільшення особою своєї істотної участі до рівня, визначеного частиною п’ятою цієї статті, без отримання письмового погодження органу, який здійснює державне регулювання ринків фінансових послуг, зазначений орган може призначити довірену особу, якій передається право брати участь у голосуванні у відповідних органах управління такої фінансової установи.</w:t>
            </w:r>
          </w:p>
        </w:tc>
        <w:tc>
          <w:tcPr>
            <w:tcW w:w="3686" w:type="dxa"/>
          </w:tcPr>
          <w:p w14:paraId="39A32E90" w14:textId="053B5AC4"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1398</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443E2F17" w14:textId="77777777" w:rsidR="00630147" w:rsidRPr="00286216" w:rsidRDefault="00630147" w:rsidP="00630147">
            <w:pPr>
              <w:pStyle w:val="StyleProp"/>
              <w:rPr>
                <w:color w:val="000000" w:themeColor="text1"/>
                <w:szCs w:val="18"/>
              </w:rPr>
            </w:pPr>
            <w:r w:rsidRPr="00286216">
              <w:rPr>
                <w:color w:val="000000" w:themeColor="text1"/>
                <w:szCs w:val="18"/>
              </w:rPr>
              <w:t>Підпункт "в" підпункту 3 пункту 25 (щодо внесення змін до Закону України "Про фінансові послуги та державне регулювання ринків фінансових послуг" замінити двома підпунктами такого змісту:</w:t>
            </w:r>
          </w:p>
          <w:p w14:paraId="20A16AF6" w14:textId="77777777" w:rsidR="00630147" w:rsidRPr="00286216" w:rsidRDefault="00630147" w:rsidP="00630147">
            <w:pPr>
              <w:pStyle w:val="StyleProp"/>
              <w:rPr>
                <w:color w:val="000000" w:themeColor="text1"/>
                <w:szCs w:val="18"/>
              </w:rPr>
            </w:pPr>
            <w:r w:rsidRPr="00286216">
              <w:rPr>
                <w:color w:val="000000" w:themeColor="text1"/>
                <w:szCs w:val="18"/>
              </w:rPr>
              <w:t>«в) частину десяту виключити</w:t>
            </w:r>
          </w:p>
          <w:p w14:paraId="6B911E88" w14:textId="77777777" w:rsidR="00630147" w:rsidRPr="00286216" w:rsidRDefault="00630147" w:rsidP="00630147">
            <w:pPr>
              <w:pStyle w:val="StyleProp"/>
              <w:rPr>
                <w:color w:val="000000" w:themeColor="text1"/>
                <w:szCs w:val="18"/>
              </w:rPr>
            </w:pPr>
            <w:r w:rsidRPr="00286216">
              <w:rPr>
                <w:color w:val="000000" w:themeColor="text1"/>
                <w:szCs w:val="18"/>
              </w:rPr>
              <w:t>г) у частині одинадцятій слова «частинами дев’ятою та десятою» замінити словами «частиною дев’ятою»</w:t>
            </w:r>
          </w:p>
        </w:tc>
        <w:tc>
          <w:tcPr>
            <w:tcW w:w="1987" w:type="dxa"/>
          </w:tcPr>
          <w:p w14:paraId="394D25F7" w14:textId="77777777" w:rsidR="00630147" w:rsidRPr="00286216" w:rsidRDefault="00630147" w:rsidP="00630147">
            <w:pPr>
              <w:pStyle w:val="StyleWisnow"/>
              <w:spacing w:line="180" w:lineRule="exact"/>
              <w:rPr>
                <w:color w:val="000000" w:themeColor="text1"/>
              </w:rPr>
            </w:pPr>
            <w:r w:rsidRPr="00286216">
              <w:rPr>
                <w:color w:val="000000" w:themeColor="text1"/>
              </w:rPr>
              <w:t>Враховано</w:t>
            </w:r>
          </w:p>
        </w:tc>
        <w:tc>
          <w:tcPr>
            <w:tcW w:w="4818" w:type="dxa"/>
          </w:tcPr>
          <w:p w14:paraId="6CFAB2EE" w14:textId="77777777" w:rsidR="00630147" w:rsidRPr="00286216" w:rsidRDefault="00630147" w:rsidP="00630147">
            <w:pPr>
              <w:pStyle w:val="StyleZakonu"/>
              <w:rPr>
                <w:color w:val="000000" w:themeColor="text1"/>
              </w:rPr>
            </w:pPr>
            <w:r w:rsidRPr="00286216">
              <w:rPr>
                <w:color w:val="000000" w:themeColor="text1"/>
              </w:rPr>
              <w:t>в) частину десяту виключити;</w:t>
            </w:r>
          </w:p>
          <w:p w14:paraId="68AF3DCF" w14:textId="77777777" w:rsidR="00630147" w:rsidRPr="00286216" w:rsidRDefault="00630147" w:rsidP="00630147">
            <w:pPr>
              <w:pStyle w:val="StyleZakonu"/>
              <w:rPr>
                <w:color w:val="000000" w:themeColor="text1"/>
              </w:rPr>
            </w:pPr>
          </w:p>
          <w:p w14:paraId="25E31707" w14:textId="77777777" w:rsidR="00630147" w:rsidRPr="00286216" w:rsidRDefault="00630147" w:rsidP="00630147">
            <w:pPr>
              <w:pStyle w:val="StyleZakonu"/>
              <w:rPr>
                <w:color w:val="000000" w:themeColor="text1"/>
              </w:rPr>
            </w:pPr>
          </w:p>
          <w:p w14:paraId="483A6CDC" w14:textId="13F71F71" w:rsidR="00630147" w:rsidRPr="00286216" w:rsidRDefault="00630147" w:rsidP="00630147">
            <w:pPr>
              <w:pStyle w:val="StyleZakonu"/>
              <w:rPr>
                <w:color w:val="000000" w:themeColor="text1"/>
              </w:rPr>
            </w:pPr>
            <w:r w:rsidRPr="00286216">
              <w:rPr>
                <w:color w:val="000000" w:themeColor="text1"/>
                <w:szCs w:val="18"/>
              </w:rPr>
              <w:t>г) у частині одинадцятій слова "частинами дев’ятою та десятою" замінити словами "частиною дев’ятою";</w:t>
            </w:r>
          </w:p>
        </w:tc>
      </w:tr>
      <w:tr w:rsidR="00630147" w:rsidRPr="00286216" w14:paraId="5ACF8061" w14:textId="77777777" w:rsidTr="00091AA5">
        <w:tc>
          <w:tcPr>
            <w:tcW w:w="576" w:type="dxa"/>
          </w:tcPr>
          <w:p w14:paraId="3247B0D5" w14:textId="77777777" w:rsidR="00630147" w:rsidRPr="00286216" w:rsidRDefault="00630147" w:rsidP="00630147">
            <w:pPr>
              <w:pStyle w:val="StyleWisnow"/>
              <w:rPr>
                <w:color w:val="000000" w:themeColor="text1"/>
              </w:rPr>
            </w:pPr>
            <w:bookmarkStart w:id="3040" w:name="n3169" w:colFirst="0" w:colLast="0"/>
            <w:bookmarkEnd w:id="3039"/>
            <w:r w:rsidRPr="00286216">
              <w:rPr>
                <w:color w:val="000000" w:themeColor="text1"/>
              </w:rPr>
              <w:t>3169.</w:t>
            </w:r>
          </w:p>
        </w:tc>
        <w:tc>
          <w:tcPr>
            <w:tcW w:w="4818" w:type="dxa"/>
          </w:tcPr>
          <w:p w14:paraId="0357B73F" w14:textId="77777777" w:rsidR="00630147" w:rsidRPr="00286216" w:rsidRDefault="00630147" w:rsidP="00630147">
            <w:pPr>
              <w:pStyle w:val="StyleZakonu"/>
              <w:rPr>
                <w:color w:val="000000" w:themeColor="text1"/>
              </w:rPr>
            </w:pPr>
            <w:r w:rsidRPr="00286216">
              <w:rPr>
                <w:color w:val="000000" w:themeColor="text1"/>
              </w:rPr>
              <w:t>Довірена особа призначається на період до усунення порушення вимоги, визначеної частиною п’ятою цієї статті, у порядку, встановленому органом, який здійснює державне регулювання ринків фінансових послуг.</w:t>
            </w:r>
          </w:p>
        </w:tc>
        <w:tc>
          <w:tcPr>
            <w:tcW w:w="3686" w:type="dxa"/>
          </w:tcPr>
          <w:p w14:paraId="571D9386" w14:textId="77777777" w:rsidR="00630147" w:rsidRPr="00286216" w:rsidRDefault="00630147" w:rsidP="00630147">
            <w:pPr>
              <w:pStyle w:val="StyleProp"/>
              <w:rPr>
                <w:color w:val="000000" w:themeColor="text1"/>
                <w:szCs w:val="18"/>
              </w:rPr>
            </w:pPr>
          </w:p>
        </w:tc>
        <w:tc>
          <w:tcPr>
            <w:tcW w:w="1987" w:type="dxa"/>
          </w:tcPr>
          <w:p w14:paraId="24B158E4" w14:textId="77777777" w:rsidR="00630147" w:rsidRPr="00286216" w:rsidRDefault="00630147" w:rsidP="00630147">
            <w:pPr>
              <w:pStyle w:val="StyleWisnow"/>
              <w:spacing w:line="180" w:lineRule="exact"/>
              <w:rPr>
                <w:color w:val="000000" w:themeColor="text1"/>
              </w:rPr>
            </w:pPr>
          </w:p>
        </w:tc>
        <w:tc>
          <w:tcPr>
            <w:tcW w:w="4818" w:type="dxa"/>
          </w:tcPr>
          <w:p w14:paraId="42ABFB2B" w14:textId="77777777" w:rsidR="00630147" w:rsidRPr="00286216" w:rsidRDefault="00630147" w:rsidP="00630147">
            <w:pPr>
              <w:pStyle w:val="StyleZakonu"/>
              <w:rPr>
                <w:color w:val="000000" w:themeColor="text1"/>
              </w:rPr>
            </w:pPr>
          </w:p>
        </w:tc>
      </w:tr>
      <w:tr w:rsidR="00630147" w:rsidRPr="00286216" w14:paraId="404B29F9" w14:textId="77777777" w:rsidTr="00091AA5">
        <w:tc>
          <w:tcPr>
            <w:tcW w:w="576" w:type="dxa"/>
          </w:tcPr>
          <w:p w14:paraId="657CE852" w14:textId="77777777" w:rsidR="00630147" w:rsidRPr="00286216" w:rsidRDefault="00630147" w:rsidP="00630147">
            <w:pPr>
              <w:pStyle w:val="StyleWisnow"/>
              <w:rPr>
                <w:color w:val="000000" w:themeColor="text1"/>
              </w:rPr>
            </w:pPr>
            <w:bookmarkStart w:id="3041" w:name="n3170" w:colFirst="0" w:colLast="0"/>
            <w:bookmarkEnd w:id="3040"/>
            <w:r w:rsidRPr="00286216">
              <w:rPr>
                <w:color w:val="000000" w:themeColor="text1"/>
              </w:rPr>
              <w:t>3170.</w:t>
            </w:r>
          </w:p>
        </w:tc>
        <w:tc>
          <w:tcPr>
            <w:tcW w:w="4818" w:type="dxa"/>
          </w:tcPr>
          <w:p w14:paraId="03E97EE3" w14:textId="77777777" w:rsidR="00630147" w:rsidRPr="00286216" w:rsidRDefault="00630147" w:rsidP="00630147">
            <w:pPr>
              <w:pStyle w:val="StyleZakonu"/>
              <w:rPr>
                <w:color w:val="000000" w:themeColor="text1"/>
              </w:rPr>
            </w:pPr>
            <w:r w:rsidRPr="00286216">
              <w:rPr>
                <w:color w:val="000000" w:themeColor="text1"/>
              </w:rPr>
              <w:t>Довірена особа, яка призначається органом, який здійснює державне регулювання ринків фінансових послуг, зобов’язана протягом усього часу, упродовж якого вона зберігає свій статус, відповідати вимогам, установленим цим Законом та нормативно-правовими актами органу, який здійснює державне регулювання ринків фінансових послуг.</w:t>
            </w:r>
          </w:p>
        </w:tc>
        <w:tc>
          <w:tcPr>
            <w:tcW w:w="3686" w:type="dxa"/>
          </w:tcPr>
          <w:p w14:paraId="2FB58FED" w14:textId="77777777" w:rsidR="00630147" w:rsidRPr="00286216" w:rsidRDefault="00630147" w:rsidP="00630147">
            <w:pPr>
              <w:pStyle w:val="StyleProp"/>
              <w:rPr>
                <w:color w:val="000000" w:themeColor="text1"/>
                <w:szCs w:val="18"/>
              </w:rPr>
            </w:pPr>
          </w:p>
        </w:tc>
        <w:tc>
          <w:tcPr>
            <w:tcW w:w="1987" w:type="dxa"/>
          </w:tcPr>
          <w:p w14:paraId="635F392F" w14:textId="77777777" w:rsidR="00630147" w:rsidRPr="00286216" w:rsidRDefault="00630147" w:rsidP="00630147">
            <w:pPr>
              <w:pStyle w:val="StyleWisnow"/>
              <w:spacing w:line="180" w:lineRule="exact"/>
              <w:rPr>
                <w:color w:val="000000" w:themeColor="text1"/>
              </w:rPr>
            </w:pPr>
          </w:p>
        </w:tc>
        <w:tc>
          <w:tcPr>
            <w:tcW w:w="4818" w:type="dxa"/>
          </w:tcPr>
          <w:p w14:paraId="5721A1DB" w14:textId="77777777" w:rsidR="00630147" w:rsidRPr="00286216" w:rsidRDefault="00630147" w:rsidP="00630147">
            <w:pPr>
              <w:pStyle w:val="StyleZakonu"/>
              <w:rPr>
                <w:color w:val="000000" w:themeColor="text1"/>
              </w:rPr>
            </w:pPr>
          </w:p>
        </w:tc>
      </w:tr>
      <w:tr w:rsidR="00630147" w:rsidRPr="00286216" w14:paraId="4FF50757" w14:textId="77777777" w:rsidTr="00091AA5">
        <w:tc>
          <w:tcPr>
            <w:tcW w:w="576" w:type="dxa"/>
          </w:tcPr>
          <w:p w14:paraId="1E960003" w14:textId="77777777" w:rsidR="00630147" w:rsidRPr="00286216" w:rsidRDefault="00630147" w:rsidP="00630147">
            <w:pPr>
              <w:pStyle w:val="StyleWisnow"/>
              <w:rPr>
                <w:color w:val="000000" w:themeColor="text1"/>
              </w:rPr>
            </w:pPr>
            <w:bookmarkStart w:id="3042" w:name="n3171" w:colFirst="0" w:colLast="0"/>
            <w:bookmarkEnd w:id="3041"/>
            <w:r w:rsidRPr="00286216">
              <w:rPr>
                <w:color w:val="000000" w:themeColor="text1"/>
              </w:rPr>
              <w:t>3171.</w:t>
            </w:r>
          </w:p>
        </w:tc>
        <w:tc>
          <w:tcPr>
            <w:tcW w:w="4818" w:type="dxa"/>
          </w:tcPr>
          <w:p w14:paraId="7B8B42A9" w14:textId="77777777" w:rsidR="00630147" w:rsidRPr="00286216" w:rsidRDefault="00630147" w:rsidP="00630147">
            <w:pPr>
              <w:pStyle w:val="StyleZakonu"/>
              <w:rPr>
                <w:color w:val="000000" w:themeColor="text1"/>
              </w:rPr>
            </w:pPr>
            <w:r w:rsidRPr="00286216">
              <w:rPr>
                <w:color w:val="000000" w:themeColor="text1"/>
              </w:rPr>
              <w:t>Довірена особа зобов’язана під час голосування діяти в інтересах кваліфікованого та зваженого управління фінансовою установою.</w:t>
            </w:r>
          </w:p>
        </w:tc>
        <w:tc>
          <w:tcPr>
            <w:tcW w:w="3686" w:type="dxa"/>
          </w:tcPr>
          <w:p w14:paraId="288949DA" w14:textId="77777777" w:rsidR="00630147" w:rsidRPr="00286216" w:rsidRDefault="00630147" w:rsidP="00630147">
            <w:pPr>
              <w:pStyle w:val="StyleProp"/>
              <w:rPr>
                <w:color w:val="000000" w:themeColor="text1"/>
                <w:szCs w:val="18"/>
              </w:rPr>
            </w:pPr>
          </w:p>
        </w:tc>
        <w:tc>
          <w:tcPr>
            <w:tcW w:w="1987" w:type="dxa"/>
          </w:tcPr>
          <w:p w14:paraId="35E2FECC" w14:textId="77777777" w:rsidR="00630147" w:rsidRPr="00286216" w:rsidRDefault="00630147" w:rsidP="00630147">
            <w:pPr>
              <w:pStyle w:val="StyleWisnow"/>
              <w:spacing w:line="180" w:lineRule="exact"/>
              <w:rPr>
                <w:color w:val="000000" w:themeColor="text1"/>
              </w:rPr>
            </w:pPr>
          </w:p>
        </w:tc>
        <w:tc>
          <w:tcPr>
            <w:tcW w:w="4818" w:type="dxa"/>
          </w:tcPr>
          <w:p w14:paraId="6055A057" w14:textId="77777777" w:rsidR="00630147" w:rsidRPr="00286216" w:rsidRDefault="00630147" w:rsidP="00630147">
            <w:pPr>
              <w:pStyle w:val="StyleZakonu"/>
              <w:rPr>
                <w:color w:val="000000" w:themeColor="text1"/>
              </w:rPr>
            </w:pPr>
          </w:p>
        </w:tc>
      </w:tr>
      <w:tr w:rsidR="00630147" w:rsidRPr="00286216" w14:paraId="2FFE0669" w14:textId="77777777" w:rsidTr="00091AA5">
        <w:tc>
          <w:tcPr>
            <w:tcW w:w="576" w:type="dxa"/>
          </w:tcPr>
          <w:p w14:paraId="0627775D" w14:textId="77777777" w:rsidR="00630147" w:rsidRPr="00286216" w:rsidRDefault="00630147" w:rsidP="00630147">
            <w:pPr>
              <w:pStyle w:val="StyleWisnow"/>
              <w:rPr>
                <w:color w:val="000000" w:themeColor="text1"/>
              </w:rPr>
            </w:pPr>
            <w:bookmarkStart w:id="3043" w:name="n3172" w:colFirst="0" w:colLast="0"/>
            <w:bookmarkEnd w:id="3042"/>
            <w:r w:rsidRPr="00286216">
              <w:rPr>
                <w:color w:val="000000" w:themeColor="text1"/>
              </w:rPr>
              <w:lastRenderedPageBreak/>
              <w:t>3172.</w:t>
            </w:r>
          </w:p>
        </w:tc>
        <w:tc>
          <w:tcPr>
            <w:tcW w:w="4818" w:type="dxa"/>
          </w:tcPr>
          <w:p w14:paraId="331AEDB2" w14:textId="77777777" w:rsidR="00630147" w:rsidRPr="00286216" w:rsidRDefault="00630147" w:rsidP="00630147">
            <w:pPr>
              <w:pStyle w:val="StyleZakonu"/>
              <w:rPr>
                <w:color w:val="000000" w:themeColor="text1"/>
              </w:rPr>
            </w:pPr>
            <w:r w:rsidRPr="00286216">
              <w:rPr>
                <w:color w:val="000000" w:themeColor="text1"/>
              </w:rPr>
              <w:t>11. Рішення загальних зборів учасників фінансової установи, у складі учасників якої відбулися зміни, передбачені частиною 5 цієї статті, прийняті з порушенням вимог, визначених частинами дев’ятою та десятою цієї статті, можуть бути визнані судом недійсними.";</w:t>
            </w:r>
          </w:p>
        </w:tc>
        <w:tc>
          <w:tcPr>
            <w:tcW w:w="3686" w:type="dxa"/>
          </w:tcPr>
          <w:p w14:paraId="2B1DA75F" w14:textId="77777777" w:rsidR="00630147" w:rsidRPr="00286216" w:rsidRDefault="00630147" w:rsidP="00630147">
            <w:pPr>
              <w:pStyle w:val="StyleProp"/>
              <w:rPr>
                <w:color w:val="000000" w:themeColor="text1"/>
                <w:szCs w:val="18"/>
              </w:rPr>
            </w:pPr>
          </w:p>
        </w:tc>
        <w:tc>
          <w:tcPr>
            <w:tcW w:w="1987" w:type="dxa"/>
          </w:tcPr>
          <w:p w14:paraId="2BAABBF5" w14:textId="77777777" w:rsidR="00630147" w:rsidRPr="00286216" w:rsidRDefault="00630147" w:rsidP="00630147">
            <w:pPr>
              <w:pStyle w:val="StyleWisnow"/>
              <w:rPr>
                <w:color w:val="000000" w:themeColor="text1"/>
              </w:rPr>
            </w:pPr>
          </w:p>
        </w:tc>
        <w:tc>
          <w:tcPr>
            <w:tcW w:w="4818" w:type="dxa"/>
          </w:tcPr>
          <w:p w14:paraId="4FF974AE" w14:textId="77777777" w:rsidR="00630147" w:rsidRPr="00286216" w:rsidRDefault="00630147" w:rsidP="00630147">
            <w:pPr>
              <w:pStyle w:val="StyleZakonu"/>
              <w:rPr>
                <w:color w:val="000000" w:themeColor="text1"/>
              </w:rPr>
            </w:pPr>
          </w:p>
        </w:tc>
      </w:tr>
      <w:tr w:rsidR="00630147" w:rsidRPr="00286216" w14:paraId="3BBBAC95" w14:textId="77777777" w:rsidTr="00091AA5">
        <w:tc>
          <w:tcPr>
            <w:tcW w:w="576" w:type="dxa"/>
          </w:tcPr>
          <w:p w14:paraId="3F48C3C2" w14:textId="77777777" w:rsidR="00630147" w:rsidRPr="00286216" w:rsidRDefault="00630147" w:rsidP="00630147">
            <w:pPr>
              <w:pStyle w:val="StyleWisnow"/>
              <w:rPr>
                <w:color w:val="000000" w:themeColor="text1"/>
              </w:rPr>
            </w:pPr>
            <w:bookmarkStart w:id="3044" w:name="n3173" w:colFirst="0" w:colLast="0"/>
            <w:bookmarkEnd w:id="3043"/>
            <w:r w:rsidRPr="00286216">
              <w:rPr>
                <w:color w:val="000000" w:themeColor="text1"/>
              </w:rPr>
              <w:t>3173.</w:t>
            </w:r>
          </w:p>
        </w:tc>
        <w:tc>
          <w:tcPr>
            <w:tcW w:w="4818" w:type="dxa"/>
          </w:tcPr>
          <w:p w14:paraId="658ACC9B" w14:textId="77777777" w:rsidR="00630147" w:rsidRPr="00286216" w:rsidRDefault="00630147" w:rsidP="00630147">
            <w:pPr>
              <w:pStyle w:val="StyleZakonu"/>
              <w:rPr>
                <w:color w:val="000000" w:themeColor="text1"/>
              </w:rPr>
            </w:pPr>
            <w:r w:rsidRPr="00286216">
              <w:rPr>
                <w:color w:val="000000" w:themeColor="text1"/>
              </w:rPr>
              <w:t>г) доповнити статтю новою частиною такого змісту:</w:t>
            </w:r>
          </w:p>
        </w:tc>
        <w:tc>
          <w:tcPr>
            <w:tcW w:w="3686" w:type="dxa"/>
          </w:tcPr>
          <w:p w14:paraId="18D83C10" w14:textId="77777777" w:rsidR="00630147" w:rsidRPr="00286216" w:rsidRDefault="00630147" w:rsidP="00630147">
            <w:pPr>
              <w:pStyle w:val="StyleProp"/>
              <w:rPr>
                <w:color w:val="000000" w:themeColor="text1"/>
                <w:szCs w:val="18"/>
              </w:rPr>
            </w:pPr>
          </w:p>
        </w:tc>
        <w:tc>
          <w:tcPr>
            <w:tcW w:w="1987" w:type="dxa"/>
          </w:tcPr>
          <w:p w14:paraId="3A84FEEA" w14:textId="77777777" w:rsidR="00630147" w:rsidRPr="00286216" w:rsidRDefault="00630147" w:rsidP="00630147">
            <w:pPr>
              <w:pStyle w:val="StyleWisnow"/>
              <w:rPr>
                <w:color w:val="000000" w:themeColor="text1"/>
              </w:rPr>
            </w:pPr>
          </w:p>
        </w:tc>
        <w:tc>
          <w:tcPr>
            <w:tcW w:w="4818" w:type="dxa"/>
          </w:tcPr>
          <w:p w14:paraId="1B342D54" w14:textId="1DC0DC5A" w:rsidR="00630147" w:rsidRPr="00286216" w:rsidRDefault="00630147" w:rsidP="00630147">
            <w:pPr>
              <w:pStyle w:val="StyleZakonu"/>
              <w:rPr>
                <w:color w:val="000000" w:themeColor="text1"/>
              </w:rPr>
            </w:pPr>
            <w:r w:rsidRPr="00286216">
              <w:rPr>
                <w:color w:val="000000" w:themeColor="text1"/>
              </w:rPr>
              <w:t>ґ) доповнити частиною чотирнадцятою такого змісту:</w:t>
            </w:r>
          </w:p>
        </w:tc>
      </w:tr>
      <w:tr w:rsidR="00630147" w:rsidRPr="00286216" w14:paraId="4ABDCE70" w14:textId="77777777" w:rsidTr="00091AA5">
        <w:tc>
          <w:tcPr>
            <w:tcW w:w="576" w:type="dxa"/>
          </w:tcPr>
          <w:p w14:paraId="29D8AB65" w14:textId="77777777" w:rsidR="00630147" w:rsidRPr="00286216" w:rsidRDefault="00630147" w:rsidP="00630147">
            <w:pPr>
              <w:pStyle w:val="StyleWisnow"/>
              <w:rPr>
                <w:color w:val="000000" w:themeColor="text1"/>
              </w:rPr>
            </w:pPr>
            <w:bookmarkStart w:id="3045" w:name="n3174" w:colFirst="0" w:colLast="0"/>
            <w:bookmarkEnd w:id="3044"/>
            <w:r w:rsidRPr="00286216">
              <w:rPr>
                <w:color w:val="000000" w:themeColor="text1"/>
              </w:rPr>
              <w:t>3174.</w:t>
            </w:r>
          </w:p>
        </w:tc>
        <w:tc>
          <w:tcPr>
            <w:tcW w:w="4818" w:type="dxa"/>
          </w:tcPr>
          <w:p w14:paraId="7833FE4E" w14:textId="77777777" w:rsidR="00630147" w:rsidRPr="00286216" w:rsidRDefault="00630147" w:rsidP="00630147">
            <w:pPr>
              <w:pStyle w:val="StyleZakonu"/>
              <w:rPr>
                <w:color w:val="000000" w:themeColor="text1"/>
              </w:rPr>
            </w:pPr>
            <w:r w:rsidRPr="00286216">
              <w:rPr>
                <w:color w:val="000000" w:themeColor="text1"/>
              </w:rPr>
              <w:t>"14. Положення частин п’ятої - тринадцятої цієї статті застосовуються до окремих фінансових установ з урахуванням вимог законів, що регулюють діяльність таких фінансових установ.";</w:t>
            </w:r>
          </w:p>
        </w:tc>
        <w:tc>
          <w:tcPr>
            <w:tcW w:w="3686" w:type="dxa"/>
          </w:tcPr>
          <w:p w14:paraId="7DAFF483" w14:textId="48AB797B"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1399</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6244414B"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У абзаці другому підпункту «г» підпункту 3 пункту 25 розділу 3 слова «, що регулюють діяльність таких фінансових установ» замінити словами «з питань регулювання окремих ринків фінансових послуг»</w:t>
            </w:r>
          </w:p>
        </w:tc>
        <w:tc>
          <w:tcPr>
            <w:tcW w:w="1987" w:type="dxa"/>
          </w:tcPr>
          <w:p w14:paraId="6F89D640"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5ED46B2" w14:textId="3B22038D" w:rsidR="00630147" w:rsidRPr="00286216" w:rsidRDefault="00630147" w:rsidP="00630147">
            <w:pPr>
              <w:pStyle w:val="StyleZakonu"/>
              <w:rPr>
                <w:color w:val="000000" w:themeColor="text1"/>
              </w:rPr>
            </w:pPr>
            <w:r w:rsidRPr="00286216">
              <w:rPr>
                <w:color w:val="000000" w:themeColor="text1"/>
              </w:rPr>
              <w:t xml:space="preserve">"14. Положення частин п’ятої - тринадцятої цієї статті застосовуються до окремих фінансових установ з урахуванням вимог законів </w:t>
            </w:r>
            <w:r w:rsidRPr="00286216">
              <w:rPr>
                <w:color w:val="000000" w:themeColor="text1"/>
                <w:szCs w:val="18"/>
              </w:rPr>
              <w:t>з питань регулювання окремих ринків фінансових послуг</w:t>
            </w:r>
            <w:r w:rsidRPr="00286216">
              <w:rPr>
                <w:color w:val="000000" w:themeColor="text1"/>
              </w:rPr>
              <w:t>";</w:t>
            </w:r>
          </w:p>
        </w:tc>
      </w:tr>
      <w:tr w:rsidR="00630147" w:rsidRPr="00286216" w14:paraId="682CBA94" w14:textId="77777777" w:rsidTr="00091AA5">
        <w:tc>
          <w:tcPr>
            <w:tcW w:w="576" w:type="dxa"/>
          </w:tcPr>
          <w:p w14:paraId="6EA58C3B" w14:textId="77777777" w:rsidR="00630147" w:rsidRPr="00286216" w:rsidRDefault="00630147" w:rsidP="00630147">
            <w:pPr>
              <w:pStyle w:val="StyleWisnow"/>
              <w:rPr>
                <w:color w:val="000000" w:themeColor="text1"/>
              </w:rPr>
            </w:pPr>
            <w:bookmarkStart w:id="3046" w:name="n3175" w:colFirst="0" w:colLast="0"/>
            <w:bookmarkEnd w:id="3045"/>
            <w:r w:rsidRPr="00286216">
              <w:rPr>
                <w:color w:val="000000" w:themeColor="text1"/>
              </w:rPr>
              <w:t>3175.</w:t>
            </w:r>
          </w:p>
        </w:tc>
        <w:tc>
          <w:tcPr>
            <w:tcW w:w="4818" w:type="dxa"/>
          </w:tcPr>
          <w:p w14:paraId="6001A2B3" w14:textId="77777777" w:rsidR="00630147" w:rsidRPr="00286216" w:rsidRDefault="00630147" w:rsidP="00630147">
            <w:pPr>
              <w:pStyle w:val="StyleZakonu"/>
              <w:rPr>
                <w:color w:val="000000" w:themeColor="text1"/>
              </w:rPr>
            </w:pPr>
            <w:r w:rsidRPr="00286216">
              <w:rPr>
                <w:color w:val="000000" w:themeColor="text1"/>
              </w:rPr>
              <w:t>4) у абзаці другому частини 1 статті 21 слова "ринків цінних паперів та похідних (деривативів), професійної діяльності на ринку цінних паперів та діяльності у системі накопичувального пенсійного забезпечення" замінити словами "ринків капіталу та організованих товарних ринків".</w:t>
            </w:r>
          </w:p>
        </w:tc>
        <w:tc>
          <w:tcPr>
            <w:tcW w:w="3686" w:type="dxa"/>
          </w:tcPr>
          <w:p w14:paraId="39CBA331" w14:textId="77777777" w:rsidR="00630147" w:rsidRPr="00286216" w:rsidRDefault="00630147" w:rsidP="00630147">
            <w:pPr>
              <w:pStyle w:val="StyleProp"/>
              <w:rPr>
                <w:color w:val="000000" w:themeColor="text1"/>
                <w:szCs w:val="18"/>
              </w:rPr>
            </w:pPr>
          </w:p>
        </w:tc>
        <w:tc>
          <w:tcPr>
            <w:tcW w:w="1987" w:type="dxa"/>
          </w:tcPr>
          <w:p w14:paraId="5440536F" w14:textId="77777777" w:rsidR="00630147" w:rsidRPr="00286216" w:rsidRDefault="00630147" w:rsidP="00630147">
            <w:pPr>
              <w:pStyle w:val="StyleWisnow"/>
              <w:rPr>
                <w:color w:val="000000" w:themeColor="text1"/>
              </w:rPr>
            </w:pPr>
          </w:p>
        </w:tc>
        <w:tc>
          <w:tcPr>
            <w:tcW w:w="4818" w:type="dxa"/>
          </w:tcPr>
          <w:p w14:paraId="42CDB1D9" w14:textId="484A04D9" w:rsidR="00630147" w:rsidRPr="00286216" w:rsidRDefault="00630147" w:rsidP="00630147">
            <w:pPr>
              <w:pStyle w:val="StyleZakonu"/>
              <w:rPr>
                <w:color w:val="000000" w:themeColor="text1"/>
              </w:rPr>
            </w:pPr>
            <w:r w:rsidRPr="00286216">
              <w:rPr>
                <w:color w:val="000000" w:themeColor="text1"/>
              </w:rPr>
              <w:t>4) в абзаці другому частини першої статті 21 слова "ринків цінних паперів та похідних (деривативів), професійної діяльності на ринку цінних паперів та діяльності у системі накопичувального пенсійного забезпечення" замінити словами "ринків капіталу та організованих товарних ринків".</w:t>
            </w:r>
          </w:p>
        </w:tc>
      </w:tr>
      <w:tr w:rsidR="00630147" w:rsidRPr="00286216" w14:paraId="1128EAC8" w14:textId="77777777" w:rsidTr="00091AA5">
        <w:tc>
          <w:tcPr>
            <w:tcW w:w="576" w:type="dxa"/>
          </w:tcPr>
          <w:p w14:paraId="16FEBD6C" w14:textId="77777777" w:rsidR="00630147" w:rsidRPr="00286216" w:rsidRDefault="00630147" w:rsidP="00630147">
            <w:pPr>
              <w:pStyle w:val="StyleWisnow"/>
              <w:rPr>
                <w:color w:val="000000" w:themeColor="text1"/>
              </w:rPr>
            </w:pPr>
            <w:bookmarkStart w:id="3047" w:name="n3176" w:colFirst="0" w:colLast="0"/>
            <w:bookmarkEnd w:id="3046"/>
            <w:r w:rsidRPr="00286216">
              <w:rPr>
                <w:color w:val="000000" w:themeColor="text1"/>
              </w:rPr>
              <w:t>3176.</w:t>
            </w:r>
          </w:p>
        </w:tc>
        <w:tc>
          <w:tcPr>
            <w:tcW w:w="4818" w:type="dxa"/>
          </w:tcPr>
          <w:p w14:paraId="45B5A32A" w14:textId="77777777" w:rsidR="00630147" w:rsidRPr="00286216" w:rsidRDefault="00630147" w:rsidP="00630147">
            <w:pPr>
              <w:pStyle w:val="StyleZakonu"/>
              <w:rPr>
                <w:color w:val="000000" w:themeColor="text1"/>
              </w:rPr>
            </w:pPr>
            <w:r w:rsidRPr="00286216">
              <w:rPr>
                <w:color w:val="000000" w:themeColor="text1"/>
              </w:rPr>
              <w:t>26. У Законі України "Про кредитні спілки" (Відомості Верховної Ради України, 2002, № 15, ст. 101, із наступними змінами):</w:t>
            </w:r>
          </w:p>
        </w:tc>
        <w:tc>
          <w:tcPr>
            <w:tcW w:w="3686" w:type="dxa"/>
          </w:tcPr>
          <w:p w14:paraId="64414E4F" w14:textId="77777777" w:rsidR="00630147" w:rsidRPr="00286216" w:rsidRDefault="00630147" w:rsidP="00630147">
            <w:pPr>
              <w:pStyle w:val="StyleProp"/>
              <w:rPr>
                <w:color w:val="000000" w:themeColor="text1"/>
                <w:szCs w:val="18"/>
              </w:rPr>
            </w:pPr>
          </w:p>
        </w:tc>
        <w:tc>
          <w:tcPr>
            <w:tcW w:w="1987" w:type="dxa"/>
          </w:tcPr>
          <w:p w14:paraId="3866148D" w14:textId="77777777" w:rsidR="00630147" w:rsidRPr="00286216" w:rsidRDefault="00630147" w:rsidP="00630147">
            <w:pPr>
              <w:pStyle w:val="StyleWisnow"/>
              <w:rPr>
                <w:color w:val="000000" w:themeColor="text1"/>
              </w:rPr>
            </w:pPr>
          </w:p>
        </w:tc>
        <w:tc>
          <w:tcPr>
            <w:tcW w:w="4818" w:type="dxa"/>
          </w:tcPr>
          <w:p w14:paraId="3F2F359F" w14:textId="1864F0A5" w:rsidR="00630147" w:rsidRPr="00286216" w:rsidRDefault="00630147" w:rsidP="00630147">
            <w:pPr>
              <w:pStyle w:val="StyleZakonu"/>
              <w:rPr>
                <w:color w:val="000000" w:themeColor="text1"/>
              </w:rPr>
            </w:pPr>
            <w:r w:rsidRPr="00286216">
              <w:rPr>
                <w:color w:val="000000" w:themeColor="text1"/>
              </w:rPr>
              <w:t>24. У Законі України "Про кредитні спілки" (Відомості Верховної Ради України, 2002 р., № 15, ст. 101 із наступними змінами):</w:t>
            </w:r>
          </w:p>
        </w:tc>
      </w:tr>
      <w:tr w:rsidR="00630147" w:rsidRPr="00286216" w14:paraId="438F2D68" w14:textId="77777777" w:rsidTr="00091AA5">
        <w:tc>
          <w:tcPr>
            <w:tcW w:w="576" w:type="dxa"/>
          </w:tcPr>
          <w:p w14:paraId="69C3C236" w14:textId="77777777" w:rsidR="00630147" w:rsidRPr="00286216" w:rsidRDefault="00630147" w:rsidP="00630147">
            <w:pPr>
              <w:pStyle w:val="StyleWisnow"/>
              <w:rPr>
                <w:color w:val="000000" w:themeColor="text1"/>
              </w:rPr>
            </w:pPr>
            <w:bookmarkStart w:id="3048" w:name="n3177" w:colFirst="0" w:colLast="0"/>
            <w:bookmarkEnd w:id="3047"/>
            <w:r w:rsidRPr="00286216">
              <w:rPr>
                <w:color w:val="000000" w:themeColor="text1"/>
              </w:rPr>
              <w:t>3177.</w:t>
            </w:r>
          </w:p>
        </w:tc>
        <w:tc>
          <w:tcPr>
            <w:tcW w:w="4818" w:type="dxa"/>
          </w:tcPr>
          <w:p w14:paraId="15FE7D5E" w14:textId="77777777" w:rsidR="00630147" w:rsidRPr="00286216" w:rsidRDefault="00630147" w:rsidP="00630147">
            <w:pPr>
              <w:pStyle w:val="StyleZakonu"/>
              <w:rPr>
                <w:color w:val="000000" w:themeColor="text1"/>
              </w:rPr>
            </w:pPr>
            <w:r w:rsidRPr="00286216">
              <w:rPr>
                <w:color w:val="000000" w:themeColor="text1"/>
              </w:rPr>
              <w:t>1) абзац четвертий частини першої статті 19 доповнити словами "та облігацій міжнародних фінансових організацій, що розміщуються на території України";</w:t>
            </w:r>
          </w:p>
        </w:tc>
        <w:tc>
          <w:tcPr>
            <w:tcW w:w="3686" w:type="dxa"/>
          </w:tcPr>
          <w:p w14:paraId="5F1C3A44" w14:textId="77777777" w:rsidR="00630147" w:rsidRPr="00286216" w:rsidRDefault="00630147" w:rsidP="00630147">
            <w:pPr>
              <w:pStyle w:val="StyleProp"/>
              <w:rPr>
                <w:color w:val="000000" w:themeColor="text1"/>
                <w:szCs w:val="18"/>
              </w:rPr>
            </w:pPr>
          </w:p>
        </w:tc>
        <w:tc>
          <w:tcPr>
            <w:tcW w:w="1987" w:type="dxa"/>
          </w:tcPr>
          <w:p w14:paraId="58F4289B" w14:textId="77777777" w:rsidR="00630147" w:rsidRPr="00286216" w:rsidRDefault="00630147" w:rsidP="00630147">
            <w:pPr>
              <w:pStyle w:val="StyleWisnow"/>
              <w:rPr>
                <w:color w:val="000000" w:themeColor="text1"/>
              </w:rPr>
            </w:pPr>
          </w:p>
        </w:tc>
        <w:tc>
          <w:tcPr>
            <w:tcW w:w="4818" w:type="dxa"/>
          </w:tcPr>
          <w:p w14:paraId="29C69D59" w14:textId="4270A240" w:rsidR="00630147" w:rsidRPr="00286216" w:rsidRDefault="00630147" w:rsidP="00630147">
            <w:pPr>
              <w:pStyle w:val="StyleZakonu"/>
              <w:rPr>
                <w:color w:val="000000" w:themeColor="text1"/>
              </w:rPr>
            </w:pPr>
            <w:r w:rsidRPr="00286216">
              <w:rPr>
                <w:color w:val="000000" w:themeColor="text1"/>
              </w:rPr>
              <w:t>1) абзац четвертий частини першої статті 19 доповнити словами "та облігацій міжнародних фінансових організацій, що розміщуються на території України";</w:t>
            </w:r>
          </w:p>
        </w:tc>
      </w:tr>
      <w:tr w:rsidR="00630147" w:rsidRPr="00286216" w14:paraId="6D1D5181" w14:textId="77777777" w:rsidTr="00091AA5">
        <w:tc>
          <w:tcPr>
            <w:tcW w:w="576" w:type="dxa"/>
          </w:tcPr>
          <w:p w14:paraId="66CDD2F5" w14:textId="77777777" w:rsidR="00630147" w:rsidRPr="00286216" w:rsidRDefault="00630147" w:rsidP="00630147">
            <w:pPr>
              <w:pStyle w:val="StyleWisnow"/>
              <w:rPr>
                <w:color w:val="000000" w:themeColor="text1"/>
              </w:rPr>
            </w:pPr>
            <w:bookmarkStart w:id="3049" w:name="n3178" w:colFirst="0" w:colLast="0"/>
            <w:bookmarkEnd w:id="3048"/>
            <w:r w:rsidRPr="00286216">
              <w:rPr>
                <w:color w:val="000000" w:themeColor="text1"/>
              </w:rPr>
              <w:t>3178.</w:t>
            </w:r>
          </w:p>
        </w:tc>
        <w:tc>
          <w:tcPr>
            <w:tcW w:w="4818" w:type="dxa"/>
          </w:tcPr>
          <w:p w14:paraId="0122FB97" w14:textId="77777777" w:rsidR="00630147" w:rsidRPr="00286216" w:rsidRDefault="00630147" w:rsidP="00630147">
            <w:pPr>
              <w:pStyle w:val="StyleZakonu"/>
              <w:rPr>
                <w:color w:val="000000" w:themeColor="text1"/>
              </w:rPr>
            </w:pPr>
            <w:r w:rsidRPr="00286216">
              <w:rPr>
                <w:color w:val="000000" w:themeColor="text1"/>
              </w:rPr>
              <w:t>2) абзац шостий частини першої статті 21 після слів "Уповноваженим органом, " доповнити словами "облігації міжнародних фінансових організацій, що розміщуються на території України, ";</w:t>
            </w:r>
          </w:p>
        </w:tc>
        <w:tc>
          <w:tcPr>
            <w:tcW w:w="3686" w:type="dxa"/>
          </w:tcPr>
          <w:p w14:paraId="361A89A0" w14:textId="77777777" w:rsidR="00630147" w:rsidRPr="00286216" w:rsidRDefault="00630147" w:rsidP="00630147">
            <w:pPr>
              <w:pStyle w:val="StyleProp"/>
              <w:rPr>
                <w:color w:val="000000" w:themeColor="text1"/>
                <w:szCs w:val="18"/>
              </w:rPr>
            </w:pPr>
          </w:p>
        </w:tc>
        <w:tc>
          <w:tcPr>
            <w:tcW w:w="1987" w:type="dxa"/>
          </w:tcPr>
          <w:p w14:paraId="331E9AB1" w14:textId="77777777" w:rsidR="00630147" w:rsidRPr="00286216" w:rsidRDefault="00630147" w:rsidP="00630147">
            <w:pPr>
              <w:pStyle w:val="StyleWisnow"/>
              <w:rPr>
                <w:color w:val="000000" w:themeColor="text1"/>
              </w:rPr>
            </w:pPr>
          </w:p>
        </w:tc>
        <w:tc>
          <w:tcPr>
            <w:tcW w:w="4818" w:type="dxa"/>
          </w:tcPr>
          <w:p w14:paraId="382135E5" w14:textId="768808B7" w:rsidR="00630147" w:rsidRPr="00286216" w:rsidRDefault="00630147" w:rsidP="00630147">
            <w:pPr>
              <w:pStyle w:val="StyleZakonu"/>
              <w:rPr>
                <w:color w:val="000000" w:themeColor="text1"/>
              </w:rPr>
            </w:pPr>
            <w:r w:rsidRPr="00286216">
              <w:rPr>
                <w:color w:val="000000" w:themeColor="text1"/>
              </w:rPr>
              <w:t>2) абзац шостий частини першої статті 21 після слів "Уповноваженим органом, " доповнити словами "облігації міжнародних фінансових організацій, що розміщуються на території України";</w:t>
            </w:r>
          </w:p>
        </w:tc>
      </w:tr>
      <w:tr w:rsidR="00630147" w:rsidRPr="00286216" w14:paraId="657C3221" w14:textId="77777777" w:rsidTr="00091AA5">
        <w:tc>
          <w:tcPr>
            <w:tcW w:w="576" w:type="dxa"/>
          </w:tcPr>
          <w:p w14:paraId="18CCAE5D" w14:textId="77777777" w:rsidR="00630147" w:rsidRPr="00286216" w:rsidRDefault="00630147" w:rsidP="00630147">
            <w:pPr>
              <w:pStyle w:val="StyleWisnow"/>
              <w:rPr>
                <w:color w:val="000000" w:themeColor="text1"/>
              </w:rPr>
            </w:pPr>
            <w:bookmarkStart w:id="3050" w:name="n3179" w:colFirst="0" w:colLast="0"/>
            <w:bookmarkEnd w:id="3049"/>
            <w:r w:rsidRPr="00286216">
              <w:rPr>
                <w:color w:val="000000" w:themeColor="text1"/>
              </w:rPr>
              <w:t>3179.</w:t>
            </w:r>
          </w:p>
        </w:tc>
        <w:tc>
          <w:tcPr>
            <w:tcW w:w="4818" w:type="dxa"/>
          </w:tcPr>
          <w:p w14:paraId="7F49D9DB" w14:textId="77777777" w:rsidR="00630147" w:rsidRPr="00286216" w:rsidRDefault="00630147" w:rsidP="00630147">
            <w:pPr>
              <w:pStyle w:val="StyleZakonu"/>
              <w:rPr>
                <w:color w:val="000000" w:themeColor="text1"/>
              </w:rPr>
            </w:pPr>
            <w:r w:rsidRPr="00286216">
              <w:rPr>
                <w:color w:val="000000" w:themeColor="text1"/>
              </w:rPr>
              <w:t>3) абзац другий частини другої статті 23 доповнити словами ", та облігації міжнародних фінансових організацій, що розміщуються на території України.".</w:t>
            </w:r>
          </w:p>
        </w:tc>
        <w:tc>
          <w:tcPr>
            <w:tcW w:w="3686" w:type="dxa"/>
          </w:tcPr>
          <w:p w14:paraId="4F37AFFA" w14:textId="77777777" w:rsidR="00630147" w:rsidRPr="00286216" w:rsidRDefault="00630147" w:rsidP="00630147">
            <w:pPr>
              <w:pStyle w:val="StyleProp"/>
              <w:rPr>
                <w:color w:val="000000" w:themeColor="text1"/>
                <w:szCs w:val="18"/>
              </w:rPr>
            </w:pPr>
          </w:p>
        </w:tc>
        <w:tc>
          <w:tcPr>
            <w:tcW w:w="1987" w:type="dxa"/>
          </w:tcPr>
          <w:p w14:paraId="2666E8C2" w14:textId="77777777" w:rsidR="00630147" w:rsidRPr="00286216" w:rsidRDefault="00630147" w:rsidP="00630147">
            <w:pPr>
              <w:pStyle w:val="StyleWisnow"/>
              <w:rPr>
                <w:color w:val="000000" w:themeColor="text1"/>
              </w:rPr>
            </w:pPr>
          </w:p>
        </w:tc>
        <w:tc>
          <w:tcPr>
            <w:tcW w:w="4818" w:type="dxa"/>
          </w:tcPr>
          <w:p w14:paraId="54FC1345" w14:textId="6DF6A1F1" w:rsidR="00630147" w:rsidRPr="00286216" w:rsidRDefault="00630147" w:rsidP="00630147">
            <w:pPr>
              <w:pStyle w:val="StyleZakonu"/>
              <w:rPr>
                <w:color w:val="000000" w:themeColor="text1"/>
              </w:rPr>
            </w:pPr>
            <w:r w:rsidRPr="00286216">
              <w:rPr>
                <w:color w:val="000000" w:themeColor="text1"/>
              </w:rPr>
              <w:t>3) абзац другий частини другої статті 23 доповнити словами "та облігації міжнародних фінансових організацій, що розміщуються на території України.".</w:t>
            </w:r>
          </w:p>
        </w:tc>
      </w:tr>
      <w:tr w:rsidR="00630147" w:rsidRPr="00286216" w14:paraId="2BEBBAB9" w14:textId="77777777" w:rsidTr="00091AA5">
        <w:tc>
          <w:tcPr>
            <w:tcW w:w="576" w:type="dxa"/>
          </w:tcPr>
          <w:p w14:paraId="689C03B0" w14:textId="77777777" w:rsidR="00630147" w:rsidRPr="00286216" w:rsidRDefault="00630147" w:rsidP="00630147">
            <w:pPr>
              <w:pStyle w:val="StyleWisnow"/>
              <w:rPr>
                <w:color w:val="000000" w:themeColor="text1"/>
              </w:rPr>
            </w:pPr>
            <w:bookmarkStart w:id="3051" w:name="n3180" w:colFirst="0" w:colLast="0"/>
            <w:bookmarkEnd w:id="3050"/>
            <w:r w:rsidRPr="00286216">
              <w:rPr>
                <w:color w:val="000000" w:themeColor="text1"/>
              </w:rPr>
              <w:t>3180.</w:t>
            </w:r>
          </w:p>
        </w:tc>
        <w:tc>
          <w:tcPr>
            <w:tcW w:w="4818" w:type="dxa"/>
          </w:tcPr>
          <w:p w14:paraId="44465FC3" w14:textId="77777777" w:rsidR="00630147" w:rsidRPr="00286216" w:rsidRDefault="00630147" w:rsidP="00630147">
            <w:pPr>
              <w:pStyle w:val="StyleZakonu"/>
              <w:rPr>
                <w:color w:val="000000" w:themeColor="text1"/>
              </w:rPr>
            </w:pPr>
            <w:r w:rsidRPr="00286216">
              <w:rPr>
                <w:color w:val="000000" w:themeColor="text1"/>
              </w:rPr>
              <w:t>27. У пункті 1 статті 1 Закону України "Про зерно та ринок зерна в Україні" (Відомості Верховної Ради України, 2002 р., №35, ст. 258, із наступними змінами) слова "товарні біржі" та "біржових угод" замінити відповідно словами "оператори регульованих товарних ринків" та "угод на товарних регульованих ринках щодо".</w:t>
            </w:r>
          </w:p>
        </w:tc>
        <w:tc>
          <w:tcPr>
            <w:tcW w:w="3686" w:type="dxa"/>
          </w:tcPr>
          <w:p w14:paraId="5AD49A19" w14:textId="07619826"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1400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9289E41" w14:textId="77777777" w:rsidR="00630147" w:rsidRPr="00286216" w:rsidRDefault="00630147" w:rsidP="0063014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164BF00B" w14:textId="77777777" w:rsidR="00630147" w:rsidRPr="00286216" w:rsidRDefault="00630147" w:rsidP="00630147">
            <w:pPr>
              <w:pStyle w:val="StyleProp"/>
              <w:rPr>
                <w:color w:val="000000" w:themeColor="text1"/>
                <w:szCs w:val="18"/>
              </w:rPr>
            </w:pPr>
            <w:r w:rsidRPr="00286216">
              <w:rPr>
                <w:color w:val="000000" w:themeColor="text1"/>
                <w:szCs w:val="18"/>
              </w:rPr>
              <w:t>Пункт 27 виключити.</w:t>
            </w:r>
          </w:p>
        </w:tc>
        <w:tc>
          <w:tcPr>
            <w:tcW w:w="1987" w:type="dxa"/>
          </w:tcPr>
          <w:p w14:paraId="7A4493F5"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33ED2686" w14:textId="2AAEFC91" w:rsidR="00630147" w:rsidRPr="00286216" w:rsidRDefault="00630147" w:rsidP="00630147">
            <w:pPr>
              <w:pStyle w:val="StyleZakonu"/>
              <w:rPr>
                <w:color w:val="000000" w:themeColor="text1"/>
              </w:rPr>
            </w:pPr>
          </w:p>
        </w:tc>
      </w:tr>
      <w:tr w:rsidR="00630147" w:rsidRPr="00286216" w14:paraId="622B7D87" w14:textId="77777777" w:rsidTr="00091AA5">
        <w:tc>
          <w:tcPr>
            <w:tcW w:w="576" w:type="dxa"/>
          </w:tcPr>
          <w:p w14:paraId="0D670F18" w14:textId="77777777" w:rsidR="00630147" w:rsidRPr="00286216" w:rsidRDefault="00630147" w:rsidP="00630147">
            <w:pPr>
              <w:pStyle w:val="StyleWisnow"/>
              <w:rPr>
                <w:color w:val="000000" w:themeColor="text1"/>
              </w:rPr>
            </w:pPr>
            <w:bookmarkStart w:id="3052" w:name="n3181" w:colFirst="0" w:colLast="0"/>
            <w:bookmarkEnd w:id="3051"/>
            <w:r w:rsidRPr="00286216">
              <w:rPr>
                <w:color w:val="000000" w:themeColor="text1"/>
              </w:rPr>
              <w:t>3181.</w:t>
            </w:r>
          </w:p>
        </w:tc>
        <w:tc>
          <w:tcPr>
            <w:tcW w:w="4818" w:type="dxa"/>
          </w:tcPr>
          <w:p w14:paraId="45BAD4EC" w14:textId="77777777" w:rsidR="00630147" w:rsidRPr="00286216" w:rsidRDefault="00630147" w:rsidP="00630147">
            <w:pPr>
              <w:pStyle w:val="StyleZakonu"/>
              <w:rPr>
                <w:color w:val="000000" w:themeColor="text1"/>
              </w:rPr>
            </w:pPr>
            <w:r w:rsidRPr="00286216">
              <w:rPr>
                <w:color w:val="000000" w:themeColor="text1"/>
              </w:rPr>
              <w:t xml:space="preserve">28. У Закону України "Про іпотеку" (Відомості Верховної Ради України, 2003 р., № 38, ст. 313, із </w:t>
            </w:r>
            <w:r w:rsidRPr="00286216">
              <w:rPr>
                <w:color w:val="000000" w:themeColor="text1"/>
              </w:rPr>
              <w:lastRenderedPageBreak/>
              <w:t>наступними змінами) у частині першій статті 31 слова "і іпотечних сертифікатів" виключити.</w:t>
            </w:r>
          </w:p>
        </w:tc>
        <w:tc>
          <w:tcPr>
            <w:tcW w:w="3686" w:type="dxa"/>
          </w:tcPr>
          <w:p w14:paraId="2B874D55" w14:textId="77777777" w:rsidR="00630147" w:rsidRPr="00286216" w:rsidRDefault="00630147" w:rsidP="00630147">
            <w:pPr>
              <w:pStyle w:val="StyleProp"/>
              <w:rPr>
                <w:color w:val="000000" w:themeColor="text1"/>
                <w:szCs w:val="18"/>
              </w:rPr>
            </w:pPr>
          </w:p>
        </w:tc>
        <w:tc>
          <w:tcPr>
            <w:tcW w:w="1987" w:type="dxa"/>
          </w:tcPr>
          <w:p w14:paraId="00AE896E" w14:textId="77777777" w:rsidR="00630147" w:rsidRPr="00286216" w:rsidRDefault="00630147" w:rsidP="00630147">
            <w:pPr>
              <w:pStyle w:val="StyleWisnow"/>
              <w:rPr>
                <w:color w:val="000000" w:themeColor="text1"/>
              </w:rPr>
            </w:pPr>
          </w:p>
        </w:tc>
        <w:tc>
          <w:tcPr>
            <w:tcW w:w="4818" w:type="dxa"/>
          </w:tcPr>
          <w:p w14:paraId="42DAE261" w14:textId="4EBCE7DC" w:rsidR="00630147" w:rsidRPr="00286216" w:rsidRDefault="00630147" w:rsidP="00630147">
            <w:pPr>
              <w:pStyle w:val="StyleZakonu"/>
              <w:rPr>
                <w:color w:val="000000" w:themeColor="text1"/>
              </w:rPr>
            </w:pPr>
            <w:r w:rsidRPr="00286216">
              <w:rPr>
                <w:color w:val="000000" w:themeColor="text1"/>
              </w:rPr>
              <w:t xml:space="preserve">25. У у частині першій статті 31 Закону України "Про іпотеку" (Відомості Верховної Ради України, </w:t>
            </w:r>
            <w:r w:rsidRPr="00286216">
              <w:rPr>
                <w:color w:val="000000" w:themeColor="text1"/>
              </w:rPr>
              <w:lastRenderedPageBreak/>
              <w:t>2003 р., № 38, ст. 313, із наступними змінами) слова "і іпотечних сертифікатів" виключити.</w:t>
            </w:r>
          </w:p>
        </w:tc>
      </w:tr>
      <w:tr w:rsidR="00630147" w:rsidRPr="00286216" w14:paraId="2AB0FCE3" w14:textId="77777777" w:rsidTr="00091AA5">
        <w:tc>
          <w:tcPr>
            <w:tcW w:w="576" w:type="dxa"/>
          </w:tcPr>
          <w:p w14:paraId="397B84A0" w14:textId="77777777" w:rsidR="00630147" w:rsidRPr="00286216" w:rsidRDefault="00630147" w:rsidP="00630147">
            <w:pPr>
              <w:pStyle w:val="StyleWisnow"/>
              <w:rPr>
                <w:color w:val="000000" w:themeColor="text1"/>
              </w:rPr>
            </w:pPr>
            <w:bookmarkStart w:id="3053" w:name="n3182" w:colFirst="0" w:colLast="0"/>
            <w:bookmarkEnd w:id="3052"/>
            <w:r w:rsidRPr="00286216">
              <w:rPr>
                <w:color w:val="000000" w:themeColor="text1"/>
              </w:rPr>
              <w:lastRenderedPageBreak/>
              <w:t>3182.</w:t>
            </w:r>
          </w:p>
        </w:tc>
        <w:tc>
          <w:tcPr>
            <w:tcW w:w="4818" w:type="dxa"/>
          </w:tcPr>
          <w:p w14:paraId="529BCD22" w14:textId="77777777" w:rsidR="00630147" w:rsidRPr="00286216" w:rsidRDefault="00630147" w:rsidP="00630147">
            <w:pPr>
              <w:pStyle w:val="StyleZakonu"/>
              <w:rPr>
                <w:color w:val="000000" w:themeColor="text1"/>
              </w:rPr>
            </w:pPr>
            <w:r w:rsidRPr="00286216">
              <w:rPr>
                <w:color w:val="000000" w:themeColor="text1"/>
              </w:rPr>
              <w:t>29. У Законі України "Про недержавне пенсійне забезпечення" (Відомості Верховної Ради України, 2003 р., №47 - 48, ст. 372, із наступними змінами):</w:t>
            </w:r>
          </w:p>
        </w:tc>
        <w:tc>
          <w:tcPr>
            <w:tcW w:w="3686" w:type="dxa"/>
          </w:tcPr>
          <w:p w14:paraId="3E19777B" w14:textId="77777777" w:rsidR="00630147" w:rsidRPr="00286216" w:rsidRDefault="00630147" w:rsidP="00630147">
            <w:pPr>
              <w:pStyle w:val="StyleProp"/>
              <w:rPr>
                <w:color w:val="000000" w:themeColor="text1"/>
                <w:szCs w:val="18"/>
              </w:rPr>
            </w:pPr>
          </w:p>
        </w:tc>
        <w:tc>
          <w:tcPr>
            <w:tcW w:w="1987" w:type="dxa"/>
          </w:tcPr>
          <w:p w14:paraId="72097343" w14:textId="77777777" w:rsidR="00630147" w:rsidRPr="00286216" w:rsidRDefault="00630147" w:rsidP="00630147">
            <w:pPr>
              <w:pStyle w:val="StyleWisnow"/>
              <w:rPr>
                <w:color w:val="000000" w:themeColor="text1"/>
              </w:rPr>
            </w:pPr>
          </w:p>
        </w:tc>
        <w:tc>
          <w:tcPr>
            <w:tcW w:w="4818" w:type="dxa"/>
          </w:tcPr>
          <w:p w14:paraId="6F97B96A" w14:textId="5CF24A67" w:rsidR="00630147" w:rsidRPr="00286216" w:rsidRDefault="00630147" w:rsidP="00630147">
            <w:pPr>
              <w:pStyle w:val="StyleZakonu"/>
              <w:rPr>
                <w:color w:val="000000" w:themeColor="text1"/>
              </w:rPr>
            </w:pPr>
            <w:r w:rsidRPr="00286216">
              <w:rPr>
                <w:color w:val="000000" w:themeColor="text1"/>
              </w:rPr>
              <w:t>26. У Законі України "Про недержавне пенсійне забезпечення" (Відомості Верховної Ради України, 2003 р., №47 - 48, ст. 372 із наступними змінами):</w:t>
            </w:r>
          </w:p>
        </w:tc>
      </w:tr>
      <w:tr w:rsidR="00630147" w:rsidRPr="00286216" w14:paraId="3D51C4A1" w14:textId="77777777" w:rsidTr="00091AA5">
        <w:tc>
          <w:tcPr>
            <w:tcW w:w="576" w:type="dxa"/>
          </w:tcPr>
          <w:p w14:paraId="62E26129" w14:textId="77777777" w:rsidR="00630147" w:rsidRPr="00286216" w:rsidRDefault="00630147" w:rsidP="00630147">
            <w:pPr>
              <w:pStyle w:val="StyleWisnow"/>
              <w:rPr>
                <w:color w:val="000000" w:themeColor="text1"/>
              </w:rPr>
            </w:pPr>
            <w:bookmarkStart w:id="3054" w:name="n3183" w:colFirst="0" w:colLast="0"/>
            <w:bookmarkEnd w:id="3053"/>
            <w:r w:rsidRPr="00286216">
              <w:rPr>
                <w:color w:val="000000" w:themeColor="text1"/>
              </w:rPr>
              <w:t>3183.</w:t>
            </w:r>
          </w:p>
        </w:tc>
        <w:tc>
          <w:tcPr>
            <w:tcW w:w="4818" w:type="dxa"/>
          </w:tcPr>
          <w:p w14:paraId="21B653CA" w14:textId="77777777" w:rsidR="00630147" w:rsidRPr="00286216" w:rsidRDefault="00630147" w:rsidP="00630147">
            <w:pPr>
              <w:pStyle w:val="StyleZakonu"/>
              <w:rPr>
                <w:color w:val="000000" w:themeColor="text1"/>
              </w:rPr>
            </w:pPr>
            <w:r w:rsidRPr="00286216">
              <w:rPr>
                <w:color w:val="000000" w:themeColor="text1"/>
              </w:rPr>
              <w:t>1) у статті 1:</w:t>
            </w:r>
          </w:p>
        </w:tc>
        <w:tc>
          <w:tcPr>
            <w:tcW w:w="3686" w:type="dxa"/>
          </w:tcPr>
          <w:p w14:paraId="6AB92374" w14:textId="77777777" w:rsidR="00630147" w:rsidRPr="00286216" w:rsidRDefault="00630147" w:rsidP="00630147">
            <w:pPr>
              <w:pStyle w:val="StyleProp"/>
              <w:rPr>
                <w:color w:val="000000" w:themeColor="text1"/>
                <w:szCs w:val="18"/>
              </w:rPr>
            </w:pPr>
          </w:p>
        </w:tc>
        <w:tc>
          <w:tcPr>
            <w:tcW w:w="1987" w:type="dxa"/>
          </w:tcPr>
          <w:p w14:paraId="5B920662" w14:textId="77777777" w:rsidR="00630147" w:rsidRPr="00286216" w:rsidRDefault="00630147" w:rsidP="00630147">
            <w:pPr>
              <w:pStyle w:val="StyleWisnow"/>
              <w:rPr>
                <w:color w:val="000000" w:themeColor="text1"/>
              </w:rPr>
            </w:pPr>
          </w:p>
        </w:tc>
        <w:tc>
          <w:tcPr>
            <w:tcW w:w="4818" w:type="dxa"/>
          </w:tcPr>
          <w:p w14:paraId="0C0BD75D" w14:textId="4EABC3E6" w:rsidR="00630147" w:rsidRPr="00286216" w:rsidRDefault="00630147" w:rsidP="00630147">
            <w:pPr>
              <w:pStyle w:val="StyleZakonu"/>
              <w:rPr>
                <w:color w:val="000000" w:themeColor="text1"/>
              </w:rPr>
            </w:pPr>
          </w:p>
        </w:tc>
      </w:tr>
      <w:tr w:rsidR="00630147" w:rsidRPr="00286216" w14:paraId="2E17D9FE" w14:textId="77777777" w:rsidTr="00091AA5">
        <w:tc>
          <w:tcPr>
            <w:tcW w:w="576" w:type="dxa"/>
          </w:tcPr>
          <w:p w14:paraId="04F13706" w14:textId="77777777" w:rsidR="00630147" w:rsidRPr="00286216" w:rsidRDefault="00630147" w:rsidP="00630147">
            <w:pPr>
              <w:pStyle w:val="StyleWisnow"/>
              <w:rPr>
                <w:color w:val="000000" w:themeColor="text1"/>
              </w:rPr>
            </w:pPr>
            <w:bookmarkStart w:id="3055" w:name="n3184" w:colFirst="0" w:colLast="0"/>
            <w:bookmarkEnd w:id="3054"/>
            <w:r w:rsidRPr="00286216">
              <w:rPr>
                <w:color w:val="000000" w:themeColor="text1"/>
              </w:rPr>
              <w:t>3184.</w:t>
            </w:r>
          </w:p>
        </w:tc>
        <w:tc>
          <w:tcPr>
            <w:tcW w:w="4818" w:type="dxa"/>
          </w:tcPr>
          <w:p w14:paraId="34D88F30" w14:textId="77777777" w:rsidR="00630147" w:rsidRPr="00286216" w:rsidRDefault="00630147" w:rsidP="00630147">
            <w:pPr>
              <w:pStyle w:val="StyleZakonu"/>
              <w:rPr>
                <w:color w:val="000000" w:themeColor="text1"/>
              </w:rPr>
            </w:pPr>
            <w:r w:rsidRPr="00286216">
              <w:rPr>
                <w:color w:val="000000" w:themeColor="text1"/>
              </w:rPr>
              <w:t>а) в абзаці восьмому частини першої слова "цінні папери та фондовий ринок" замінити словами "ринки капіталу та організовані товарні ринки";</w:t>
            </w:r>
          </w:p>
        </w:tc>
        <w:tc>
          <w:tcPr>
            <w:tcW w:w="3686" w:type="dxa"/>
          </w:tcPr>
          <w:p w14:paraId="72F9EC24" w14:textId="77777777" w:rsidR="00630147" w:rsidRPr="00286216" w:rsidRDefault="00630147" w:rsidP="00630147">
            <w:pPr>
              <w:pStyle w:val="StyleProp"/>
              <w:rPr>
                <w:color w:val="000000" w:themeColor="text1"/>
                <w:szCs w:val="18"/>
              </w:rPr>
            </w:pPr>
          </w:p>
        </w:tc>
        <w:tc>
          <w:tcPr>
            <w:tcW w:w="1987" w:type="dxa"/>
          </w:tcPr>
          <w:p w14:paraId="78E51AC2" w14:textId="77777777" w:rsidR="00630147" w:rsidRPr="00286216" w:rsidRDefault="00630147" w:rsidP="00630147">
            <w:pPr>
              <w:pStyle w:val="StyleWisnow"/>
              <w:rPr>
                <w:color w:val="000000" w:themeColor="text1"/>
              </w:rPr>
            </w:pPr>
          </w:p>
        </w:tc>
        <w:tc>
          <w:tcPr>
            <w:tcW w:w="4818" w:type="dxa"/>
          </w:tcPr>
          <w:p w14:paraId="08408415" w14:textId="3CC89E55" w:rsidR="00630147" w:rsidRPr="00286216" w:rsidRDefault="00630147" w:rsidP="00630147">
            <w:pPr>
              <w:pStyle w:val="StyleZakonu"/>
              <w:rPr>
                <w:color w:val="000000" w:themeColor="text1"/>
              </w:rPr>
            </w:pPr>
            <w:r w:rsidRPr="00286216">
              <w:rPr>
                <w:color w:val="000000" w:themeColor="text1"/>
              </w:rPr>
              <w:t>1) в абзаці восьмому частини першої статті 1 слова "цінні папери та фондовий ринок" замінити словами "ринки капіталу та організовані товарні ринки";</w:t>
            </w:r>
          </w:p>
        </w:tc>
      </w:tr>
      <w:tr w:rsidR="00630147" w:rsidRPr="00286216" w14:paraId="47C41A73" w14:textId="77777777" w:rsidTr="00091AA5">
        <w:tc>
          <w:tcPr>
            <w:tcW w:w="576" w:type="dxa"/>
          </w:tcPr>
          <w:p w14:paraId="6412C03C" w14:textId="77777777" w:rsidR="00630147" w:rsidRPr="00286216" w:rsidRDefault="00630147" w:rsidP="00630147">
            <w:pPr>
              <w:pStyle w:val="StyleWisnow"/>
              <w:rPr>
                <w:color w:val="000000" w:themeColor="text1"/>
              </w:rPr>
            </w:pPr>
            <w:bookmarkStart w:id="3056" w:name="n3185" w:colFirst="0" w:colLast="0"/>
            <w:bookmarkEnd w:id="3055"/>
            <w:r w:rsidRPr="00286216">
              <w:rPr>
                <w:color w:val="000000" w:themeColor="text1"/>
              </w:rPr>
              <w:t>3185.</w:t>
            </w:r>
          </w:p>
        </w:tc>
        <w:tc>
          <w:tcPr>
            <w:tcW w:w="4818" w:type="dxa"/>
          </w:tcPr>
          <w:p w14:paraId="3E65AB44" w14:textId="77777777" w:rsidR="00630147" w:rsidRPr="00286216" w:rsidRDefault="00630147" w:rsidP="00630147">
            <w:pPr>
              <w:pStyle w:val="StyleZakonu"/>
              <w:rPr>
                <w:color w:val="000000" w:themeColor="text1"/>
              </w:rPr>
            </w:pPr>
            <w:r w:rsidRPr="00286216">
              <w:rPr>
                <w:color w:val="000000" w:themeColor="text1"/>
              </w:rPr>
              <w:t>б) доповнити частиною такого змісту:</w:t>
            </w:r>
          </w:p>
        </w:tc>
        <w:tc>
          <w:tcPr>
            <w:tcW w:w="3686" w:type="dxa"/>
          </w:tcPr>
          <w:p w14:paraId="5D683800" w14:textId="77777777" w:rsidR="00630147" w:rsidRPr="00286216" w:rsidRDefault="00630147" w:rsidP="00630147">
            <w:pPr>
              <w:pStyle w:val="StyleProp"/>
              <w:rPr>
                <w:color w:val="000000" w:themeColor="text1"/>
                <w:szCs w:val="18"/>
              </w:rPr>
            </w:pPr>
          </w:p>
        </w:tc>
        <w:tc>
          <w:tcPr>
            <w:tcW w:w="1987" w:type="dxa"/>
          </w:tcPr>
          <w:p w14:paraId="02395236" w14:textId="77777777" w:rsidR="00630147" w:rsidRPr="00286216" w:rsidRDefault="00630147" w:rsidP="00630147">
            <w:pPr>
              <w:pStyle w:val="StyleWisnow"/>
              <w:rPr>
                <w:color w:val="000000" w:themeColor="text1"/>
              </w:rPr>
            </w:pPr>
          </w:p>
        </w:tc>
        <w:tc>
          <w:tcPr>
            <w:tcW w:w="4818" w:type="dxa"/>
          </w:tcPr>
          <w:p w14:paraId="6C139EE8" w14:textId="12FA32CC" w:rsidR="00630147" w:rsidRPr="00286216" w:rsidRDefault="00630147" w:rsidP="00630147">
            <w:pPr>
              <w:pStyle w:val="StyleZakonu"/>
              <w:rPr>
                <w:color w:val="000000" w:themeColor="text1"/>
              </w:rPr>
            </w:pPr>
          </w:p>
        </w:tc>
      </w:tr>
      <w:tr w:rsidR="00630147" w:rsidRPr="00286216" w14:paraId="507BF378" w14:textId="77777777" w:rsidTr="00091AA5">
        <w:tc>
          <w:tcPr>
            <w:tcW w:w="576" w:type="dxa"/>
          </w:tcPr>
          <w:p w14:paraId="49379B66" w14:textId="77777777" w:rsidR="00630147" w:rsidRPr="00286216" w:rsidRDefault="00630147" w:rsidP="00630147">
            <w:pPr>
              <w:pStyle w:val="StyleWisnow"/>
              <w:rPr>
                <w:color w:val="000000" w:themeColor="text1"/>
              </w:rPr>
            </w:pPr>
            <w:bookmarkStart w:id="3057" w:name="n3186" w:colFirst="0" w:colLast="0"/>
            <w:bookmarkEnd w:id="3056"/>
            <w:r w:rsidRPr="00286216">
              <w:rPr>
                <w:color w:val="000000" w:themeColor="text1"/>
              </w:rPr>
              <w:t>3186.</w:t>
            </w:r>
          </w:p>
        </w:tc>
        <w:tc>
          <w:tcPr>
            <w:tcW w:w="4818" w:type="dxa"/>
          </w:tcPr>
          <w:p w14:paraId="755167ED" w14:textId="77777777" w:rsidR="00630147" w:rsidRPr="00286216" w:rsidRDefault="00630147" w:rsidP="00630147">
            <w:pPr>
              <w:pStyle w:val="StyleZakonu"/>
              <w:rPr>
                <w:color w:val="000000" w:themeColor="text1"/>
              </w:rPr>
            </w:pPr>
            <w:r w:rsidRPr="00286216">
              <w:rPr>
                <w:color w:val="000000" w:themeColor="text1"/>
              </w:rPr>
              <w:t>"Терміни "регульований ринок" та інвестиційна фірма" та вживаються у цьому Законі у значенні, визначеному у Законі України "Про ринки капіталу та організовані товарні ринки";</w:t>
            </w:r>
          </w:p>
        </w:tc>
        <w:tc>
          <w:tcPr>
            <w:tcW w:w="3686" w:type="dxa"/>
          </w:tcPr>
          <w:p w14:paraId="71509FF4" w14:textId="6E51912B"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1401</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F0CE110" w14:textId="40C11523" w:rsidR="00630147" w:rsidRPr="00286216" w:rsidRDefault="00630147" w:rsidP="00630147">
            <w:pPr>
              <w:pStyle w:val="StyleProp"/>
              <w:rPr>
                <w:color w:val="000000" w:themeColor="text1"/>
                <w:szCs w:val="18"/>
              </w:rPr>
            </w:pPr>
            <w:r w:rsidRPr="00286216">
              <w:rPr>
                <w:color w:val="000000" w:themeColor="text1"/>
                <w:szCs w:val="18"/>
              </w:rPr>
              <w:t>підпункт "б" підпункту 1 пункут 29 виключити</w:t>
            </w:r>
          </w:p>
        </w:tc>
        <w:tc>
          <w:tcPr>
            <w:tcW w:w="1987" w:type="dxa"/>
          </w:tcPr>
          <w:p w14:paraId="3C23074B" w14:textId="2F94E59D"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26DB91FA" w14:textId="51AE1C94" w:rsidR="00630147" w:rsidRPr="00286216" w:rsidRDefault="00630147" w:rsidP="00630147">
            <w:pPr>
              <w:pStyle w:val="StyleZakonu"/>
              <w:rPr>
                <w:color w:val="000000" w:themeColor="text1"/>
              </w:rPr>
            </w:pPr>
          </w:p>
        </w:tc>
      </w:tr>
      <w:tr w:rsidR="00630147" w:rsidRPr="00286216" w14:paraId="57CF08BE" w14:textId="77777777" w:rsidTr="00091AA5">
        <w:tc>
          <w:tcPr>
            <w:tcW w:w="576" w:type="dxa"/>
          </w:tcPr>
          <w:p w14:paraId="3E381FA8" w14:textId="77777777" w:rsidR="00630147" w:rsidRPr="00286216" w:rsidRDefault="00630147" w:rsidP="00630147">
            <w:pPr>
              <w:pStyle w:val="StyleWisnow"/>
              <w:rPr>
                <w:color w:val="000000" w:themeColor="text1"/>
              </w:rPr>
            </w:pPr>
            <w:bookmarkStart w:id="3058" w:name="n3187" w:colFirst="0" w:colLast="0"/>
            <w:bookmarkEnd w:id="3057"/>
            <w:r w:rsidRPr="00286216">
              <w:rPr>
                <w:color w:val="000000" w:themeColor="text1"/>
              </w:rPr>
              <w:t>3187.</w:t>
            </w:r>
          </w:p>
        </w:tc>
        <w:tc>
          <w:tcPr>
            <w:tcW w:w="4818" w:type="dxa"/>
          </w:tcPr>
          <w:p w14:paraId="0A233A70" w14:textId="77777777" w:rsidR="00630147" w:rsidRPr="00286216" w:rsidRDefault="00630147" w:rsidP="00630147">
            <w:pPr>
              <w:pStyle w:val="StyleZakonu"/>
              <w:rPr>
                <w:color w:val="000000" w:themeColor="text1"/>
              </w:rPr>
            </w:pPr>
            <w:r w:rsidRPr="00286216">
              <w:rPr>
                <w:color w:val="000000" w:themeColor="text1"/>
              </w:rPr>
              <w:t>2) у статті 3 слова "Про цінні папери та фондовий ринок" та "Про державне регулювання ринку цінних паперів в Україні" замінити відповідно словами "Про ринки капіталу та організовані товарні ринки" та "Про державне регулювання ринків капіталу та організованих товарних ринків";</w:t>
            </w:r>
          </w:p>
        </w:tc>
        <w:tc>
          <w:tcPr>
            <w:tcW w:w="3686" w:type="dxa"/>
          </w:tcPr>
          <w:p w14:paraId="04859C54" w14:textId="77777777" w:rsidR="00630147" w:rsidRPr="00286216" w:rsidRDefault="00630147" w:rsidP="00630147">
            <w:pPr>
              <w:pStyle w:val="StyleProp"/>
              <w:rPr>
                <w:color w:val="000000" w:themeColor="text1"/>
                <w:szCs w:val="18"/>
              </w:rPr>
            </w:pPr>
          </w:p>
        </w:tc>
        <w:tc>
          <w:tcPr>
            <w:tcW w:w="1987" w:type="dxa"/>
          </w:tcPr>
          <w:p w14:paraId="14CAFA7D" w14:textId="77777777" w:rsidR="00630147" w:rsidRPr="00286216" w:rsidRDefault="00630147" w:rsidP="00630147">
            <w:pPr>
              <w:pStyle w:val="StyleWisnow"/>
              <w:rPr>
                <w:color w:val="000000" w:themeColor="text1"/>
              </w:rPr>
            </w:pPr>
          </w:p>
        </w:tc>
        <w:tc>
          <w:tcPr>
            <w:tcW w:w="4818" w:type="dxa"/>
          </w:tcPr>
          <w:p w14:paraId="49F85B2F" w14:textId="7724390C" w:rsidR="00630147" w:rsidRPr="00286216" w:rsidRDefault="00630147" w:rsidP="00630147">
            <w:pPr>
              <w:pStyle w:val="StyleZakonu"/>
              <w:rPr>
                <w:color w:val="000000" w:themeColor="text1"/>
              </w:rPr>
            </w:pPr>
            <w:r w:rsidRPr="00286216">
              <w:rPr>
                <w:color w:val="000000" w:themeColor="text1"/>
              </w:rPr>
              <w:t>2) у статті 3 слова "Про цінні папери та фондовий ринок" та "Про державне регулювання ринку цінних паперів в Україні" замінити відповідно словами "Про ринки капіталу та організовані товарні ринки" та "Про державне регулювання ринків капіталу та організованих товарних ринків";</w:t>
            </w:r>
          </w:p>
        </w:tc>
      </w:tr>
      <w:tr w:rsidR="00630147" w:rsidRPr="00286216" w14:paraId="3E51A509" w14:textId="77777777" w:rsidTr="00091AA5">
        <w:tc>
          <w:tcPr>
            <w:tcW w:w="576" w:type="dxa"/>
          </w:tcPr>
          <w:p w14:paraId="3C8F45BA" w14:textId="77777777" w:rsidR="00630147" w:rsidRPr="00286216" w:rsidRDefault="00630147" w:rsidP="00630147">
            <w:pPr>
              <w:pStyle w:val="StyleWisnow"/>
              <w:rPr>
                <w:color w:val="000000" w:themeColor="text1"/>
              </w:rPr>
            </w:pPr>
            <w:bookmarkStart w:id="3059" w:name="n3188" w:colFirst="0" w:colLast="0"/>
            <w:bookmarkEnd w:id="3058"/>
            <w:r w:rsidRPr="00286216">
              <w:rPr>
                <w:color w:val="000000" w:themeColor="text1"/>
              </w:rPr>
              <w:t>3188.</w:t>
            </w:r>
          </w:p>
        </w:tc>
        <w:tc>
          <w:tcPr>
            <w:tcW w:w="4818" w:type="dxa"/>
          </w:tcPr>
          <w:p w14:paraId="5F72CF34" w14:textId="77777777" w:rsidR="00630147" w:rsidRPr="00286216" w:rsidRDefault="00630147" w:rsidP="00630147">
            <w:pPr>
              <w:pStyle w:val="StyleZakonu"/>
              <w:rPr>
                <w:color w:val="000000" w:themeColor="text1"/>
              </w:rPr>
            </w:pPr>
            <w:r w:rsidRPr="00286216">
              <w:rPr>
                <w:color w:val="000000" w:themeColor="text1"/>
              </w:rPr>
              <w:t>3) у абзаці третьому частини другої статті 12 слова "фондовому ринку" замінити словами "ринках капіталу";</w:t>
            </w:r>
          </w:p>
        </w:tc>
        <w:tc>
          <w:tcPr>
            <w:tcW w:w="3686" w:type="dxa"/>
          </w:tcPr>
          <w:p w14:paraId="5283E78A" w14:textId="77777777" w:rsidR="00630147" w:rsidRPr="00286216" w:rsidRDefault="00630147" w:rsidP="00630147">
            <w:pPr>
              <w:pStyle w:val="StyleProp"/>
              <w:rPr>
                <w:color w:val="000000" w:themeColor="text1"/>
                <w:szCs w:val="18"/>
              </w:rPr>
            </w:pPr>
          </w:p>
        </w:tc>
        <w:tc>
          <w:tcPr>
            <w:tcW w:w="1987" w:type="dxa"/>
          </w:tcPr>
          <w:p w14:paraId="29567752" w14:textId="77777777" w:rsidR="00630147" w:rsidRPr="00286216" w:rsidRDefault="00630147" w:rsidP="00630147">
            <w:pPr>
              <w:pStyle w:val="StyleWisnow"/>
              <w:rPr>
                <w:color w:val="000000" w:themeColor="text1"/>
              </w:rPr>
            </w:pPr>
          </w:p>
        </w:tc>
        <w:tc>
          <w:tcPr>
            <w:tcW w:w="4818" w:type="dxa"/>
          </w:tcPr>
          <w:p w14:paraId="752C44A0" w14:textId="72C33DE2" w:rsidR="00630147" w:rsidRPr="00286216" w:rsidRDefault="00630147" w:rsidP="00630147">
            <w:pPr>
              <w:pStyle w:val="StyleZakonu"/>
              <w:rPr>
                <w:color w:val="000000" w:themeColor="text1"/>
              </w:rPr>
            </w:pPr>
            <w:r w:rsidRPr="00286216">
              <w:rPr>
                <w:color w:val="000000" w:themeColor="text1"/>
              </w:rPr>
              <w:t>3) в абзаці третьому частини другої статті 12 слова "фондовому ринку" замінити словами "ринках капіталу";</w:t>
            </w:r>
          </w:p>
        </w:tc>
      </w:tr>
      <w:tr w:rsidR="00630147" w:rsidRPr="00286216" w14:paraId="4B6E7E34" w14:textId="77777777" w:rsidTr="00091AA5">
        <w:tc>
          <w:tcPr>
            <w:tcW w:w="576" w:type="dxa"/>
          </w:tcPr>
          <w:p w14:paraId="5D352E4C" w14:textId="77777777" w:rsidR="00630147" w:rsidRPr="00286216" w:rsidRDefault="00630147" w:rsidP="00630147">
            <w:pPr>
              <w:pStyle w:val="StyleWisnow"/>
              <w:rPr>
                <w:color w:val="000000" w:themeColor="text1"/>
              </w:rPr>
            </w:pPr>
            <w:bookmarkStart w:id="3060" w:name="n3189" w:colFirst="0" w:colLast="0"/>
            <w:bookmarkEnd w:id="3059"/>
            <w:r w:rsidRPr="00286216">
              <w:rPr>
                <w:color w:val="000000" w:themeColor="text1"/>
              </w:rPr>
              <w:t>3189.</w:t>
            </w:r>
          </w:p>
        </w:tc>
        <w:tc>
          <w:tcPr>
            <w:tcW w:w="4818" w:type="dxa"/>
          </w:tcPr>
          <w:p w14:paraId="5C3E0641" w14:textId="77777777" w:rsidR="00630147" w:rsidRPr="00286216" w:rsidRDefault="00630147" w:rsidP="00630147">
            <w:pPr>
              <w:pStyle w:val="StyleZakonu"/>
              <w:rPr>
                <w:color w:val="000000" w:themeColor="text1"/>
              </w:rPr>
            </w:pPr>
            <w:r w:rsidRPr="00286216">
              <w:rPr>
                <w:color w:val="000000" w:themeColor="text1"/>
              </w:rPr>
              <w:t>4) у частині другій статті 34 слова "ринку цінних паперів" замінити словами "ринках капіталу";</w:t>
            </w:r>
          </w:p>
        </w:tc>
        <w:tc>
          <w:tcPr>
            <w:tcW w:w="3686" w:type="dxa"/>
          </w:tcPr>
          <w:p w14:paraId="5282D3FD" w14:textId="77777777" w:rsidR="00630147" w:rsidRPr="00286216" w:rsidRDefault="00630147" w:rsidP="00630147">
            <w:pPr>
              <w:pStyle w:val="StyleProp"/>
              <w:rPr>
                <w:color w:val="000000" w:themeColor="text1"/>
                <w:szCs w:val="18"/>
              </w:rPr>
            </w:pPr>
          </w:p>
        </w:tc>
        <w:tc>
          <w:tcPr>
            <w:tcW w:w="1987" w:type="dxa"/>
          </w:tcPr>
          <w:p w14:paraId="000B6BBA" w14:textId="77777777" w:rsidR="00630147" w:rsidRPr="00286216" w:rsidRDefault="00630147" w:rsidP="00630147">
            <w:pPr>
              <w:pStyle w:val="StyleWisnow"/>
              <w:rPr>
                <w:color w:val="000000" w:themeColor="text1"/>
              </w:rPr>
            </w:pPr>
          </w:p>
        </w:tc>
        <w:tc>
          <w:tcPr>
            <w:tcW w:w="4818" w:type="dxa"/>
          </w:tcPr>
          <w:p w14:paraId="513077BD" w14:textId="31AC3591" w:rsidR="00630147" w:rsidRPr="00286216" w:rsidRDefault="00630147" w:rsidP="00630147">
            <w:pPr>
              <w:pStyle w:val="StyleZakonu"/>
              <w:rPr>
                <w:color w:val="000000" w:themeColor="text1"/>
              </w:rPr>
            </w:pPr>
            <w:r w:rsidRPr="00286216">
              <w:rPr>
                <w:color w:val="000000" w:themeColor="text1"/>
              </w:rPr>
              <w:t>4) у частині другій статті 34 слова "ринку цінних паперів" замінити словами "ринках капіталу";</w:t>
            </w:r>
          </w:p>
        </w:tc>
      </w:tr>
      <w:tr w:rsidR="00630147" w:rsidRPr="00286216" w14:paraId="29762386" w14:textId="77777777" w:rsidTr="00091AA5">
        <w:tc>
          <w:tcPr>
            <w:tcW w:w="576" w:type="dxa"/>
          </w:tcPr>
          <w:p w14:paraId="68EC719F" w14:textId="77777777" w:rsidR="00630147" w:rsidRPr="00286216" w:rsidRDefault="00630147" w:rsidP="00630147">
            <w:pPr>
              <w:pStyle w:val="StyleWisnow"/>
              <w:rPr>
                <w:color w:val="000000" w:themeColor="text1"/>
              </w:rPr>
            </w:pPr>
            <w:bookmarkStart w:id="3061" w:name="n3190" w:colFirst="0" w:colLast="0"/>
            <w:bookmarkEnd w:id="3060"/>
            <w:r w:rsidRPr="00286216">
              <w:rPr>
                <w:color w:val="000000" w:themeColor="text1"/>
              </w:rPr>
              <w:t>3190.</w:t>
            </w:r>
          </w:p>
        </w:tc>
        <w:tc>
          <w:tcPr>
            <w:tcW w:w="4818" w:type="dxa"/>
          </w:tcPr>
          <w:p w14:paraId="51CFCDB5" w14:textId="77777777" w:rsidR="00630147" w:rsidRPr="00286216" w:rsidRDefault="00630147" w:rsidP="00630147">
            <w:pPr>
              <w:pStyle w:val="StyleZakonu"/>
              <w:rPr>
                <w:color w:val="000000" w:themeColor="text1"/>
              </w:rPr>
            </w:pPr>
            <w:r w:rsidRPr="00286216">
              <w:rPr>
                <w:color w:val="000000" w:themeColor="text1"/>
              </w:rPr>
              <w:t>5) у частині першій та третій статті 38 слова "торговцям цінними паперами" у відповідних відмінках замінити словами "інвестиційним фірмам" у відповідному відмінку;</w:t>
            </w:r>
          </w:p>
        </w:tc>
        <w:tc>
          <w:tcPr>
            <w:tcW w:w="3686" w:type="dxa"/>
          </w:tcPr>
          <w:p w14:paraId="2C1376A4" w14:textId="77777777" w:rsidR="00630147" w:rsidRPr="00286216" w:rsidRDefault="00630147" w:rsidP="00630147">
            <w:pPr>
              <w:pStyle w:val="StyleProp"/>
              <w:rPr>
                <w:color w:val="000000" w:themeColor="text1"/>
                <w:szCs w:val="18"/>
              </w:rPr>
            </w:pPr>
          </w:p>
        </w:tc>
        <w:tc>
          <w:tcPr>
            <w:tcW w:w="1987" w:type="dxa"/>
          </w:tcPr>
          <w:p w14:paraId="01BB3BE9" w14:textId="77777777" w:rsidR="00630147" w:rsidRPr="00286216" w:rsidRDefault="00630147" w:rsidP="00630147">
            <w:pPr>
              <w:pStyle w:val="StyleWisnow"/>
              <w:rPr>
                <w:color w:val="000000" w:themeColor="text1"/>
              </w:rPr>
            </w:pPr>
          </w:p>
        </w:tc>
        <w:tc>
          <w:tcPr>
            <w:tcW w:w="4818" w:type="dxa"/>
          </w:tcPr>
          <w:p w14:paraId="06F61451" w14:textId="432AC6BA" w:rsidR="00630147" w:rsidRPr="00286216" w:rsidRDefault="00630147" w:rsidP="00630147">
            <w:pPr>
              <w:pStyle w:val="StyleZakonu"/>
              <w:rPr>
                <w:color w:val="000000" w:themeColor="text1"/>
              </w:rPr>
            </w:pPr>
            <w:r w:rsidRPr="00286216">
              <w:rPr>
                <w:color w:val="000000" w:themeColor="text1"/>
              </w:rPr>
              <w:t>5) у частинах першій і третій статті 38 слова "торговцям цінними паперами" у всіх відмінках замінити словами "інвестиційним фірмам" у відповідному відмінку;</w:t>
            </w:r>
          </w:p>
        </w:tc>
      </w:tr>
      <w:tr w:rsidR="00630147" w:rsidRPr="00286216" w14:paraId="48196E59" w14:textId="77777777" w:rsidTr="00091AA5">
        <w:tc>
          <w:tcPr>
            <w:tcW w:w="576" w:type="dxa"/>
          </w:tcPr>
          <w:p w14:paraId="343D89B6" w14:textId="77777777" w:rsidR="00630147" w:rsidRPr="00286216" w:rsidRDefault="00630147" w:rsidP="00630147">
            <w:pPr>
              <w:pStyle w:val="StyleWisnow"/>
              <w:rPr>
                <w:color w:val="000000" w:themeColor="text1"/>
              </w:rPr>
            </w:pPr>
            <w:bookmarkStart w:id="3062" w:name="n3191" w:colFirst="0" w:colLast="0"/>
            <w:bookmarkEnd w:id="3061"/>
            <w:r w:rsidRPr="00286216">
              <w:rPr>
                <w:color w:val="000000" w:themeColor="text1"/>
              </w:rPr>
              <w:t>3191.</w:t>
            </w:r>
          </w:p>
        </w:tc>
        <w:tc>
          <w:tcPr>
            <w:tcW w:w="4818" w:type="dxa"/>
          </w:tcPr>
          <w:p w14:paraId="37D8E4FF" w14:textId="77777777" w:rsidR="00630147" w:rsidRPr="00286216" w:rsidRDefault="00630147" w:rsidP="00630147">
            <w:pPr>
              <w:pStyle w:val="StyleZakonu"/>
              <w:rPr>
                <w:color w:val="000000" w:themeColor="text1"/>
              </w:rPr>
            </w:pPr>
            <w:r w:rsidRPr="00286216">
              <w:rPr>
                <w:color w:val="000000" w:themeColor="text1"/>
              </w:rPr>
              <w:t>6) у частині 2 статті 40 слова "цінними паперами" замінити словами "фінансовими інструментами";</w:t>
            </w:r>
          </w:p>
        </w:tc>
        <w:tc>
          <w:tcPr>
            <w:tcW w:w="3686" w:type="dxa"/>
          </w:tcPr>
          <w:p w14:paraId="16D5CC9D" w14:textId="77777777" w:rsidR="00630147" w:rsidRPr="00286216" w:rsidRDefault="00630147" w:rsidP="00630147">
            <w:pPr>
              <w:pStyle w:val="StyleProp"/>
              <w:rPr>
                <w:color w:val="000000" w:themeColor="text1"/>
                <w:szCs w:val="18"/>
              </w:rPr>
            </w:pPr>
          </w:p>
        </w:tc>
        <w:tc>
          <w:tcPr>
            <w:tcW w:w="1987" w:type="dxa"/>
          </w:tcPr>
          <w:p w14:paraId="23176739" w14:textId="77777777" w:rsidR="00630147" w:rsidRPr="00286216" w:rsidRDefault="00630147" w:rsidP="00630147">
            <w:pPr>
              <w:pStyle w:val="StyleWisnow"/>
              <w:rPr>
                <w:color w:val="000000" w:themeColor="text1"/>
              </w:rPr>
            </w:pPr>
          </w:p>
        </w:tc>
        <w:tc>
          <w:tcPr>
            <w:tcW w:w="4818" w:type="dxa"/>
          </w:tcPr>
          <w:p w14:paraId="53DFB46C" w14:textId="0CF0B20A" w:rsidR="00630147" w:rsidRPr="00286216" w:rsidRDefault="00630147" w:rsidP="00630147">
            <w:pPr>
              <w:pStyle w:val="StyleZakonu"/>
              <w:rPr>
                <w:color w:val="000000" w:themeColor="text1"/>
              </w:rPr>
            </w:pPr>
            <w:r w:rsidRPr="00286216">
              <w:rPr>
                <w:color w:val="000000" w:themeColor="text1"/>
              </w:rPr>
              <w:t>6) у частині другій статті 40 слова "цінними паперами" замінити словами "фінансовими інструментами";</w:t>
            </w:r>
          </w:p>
        </w:tc>
      </w:tr>
      <w:tr w:rsidR="00630147" w:rsidRPr="00286216" w14:paraId="5A2DE1BA" w14:textId="77777777" w:rsidTr="00091AA5">
        <w:tc>
          <w:tcPr>
            <w:tcW w:w="576" w:type="dxa"/>
          </w:tcPr>
          <w:p w14:paraId="12AB2161" w14:textId="77777777" w:rsidR="00630147" w:rsidRPr="00286216" w:rsidRDefault="00630147" w:rsidP="00630147">
            <w:pPr>
              <w:pStyle w:val="StyleWisnow"/>
              <w:rPr>
                <w:color w:val="000000" w:themeColor="text1"/>
              </w:rPr>
            </w:pPr>
            <w:bookmarkStart w:id="3063" w:name="n3192" w:colFirst="0" w:colLast="0"/>
            <w:bookmarkEnd w:id="3062"/>
            <w:r w:rsidRPr="00286216">
              <w:rPr>
                <w:color w:val="000000" w:themeColor="text1"/>
              </w:rPr>
              <w:t>3192.</w:t>
            </w:r>
          </w:p>
        </w:tc>
        <w:tc>
          <w:tcPr>
            <w:tcW w:w="4818" w:type="dxa"/>
          </w:tcPr>
          <w:p w14:paraId="4A2C3FEF" w14:textId="77777777" w:rsidR="00630147" w:rsidRPr="00286216" w:rsidRDefault="00630147" w:rsidP="00630147">
            <w:pPr>
              <w:pStyle w:val="StyleZakonu"/>
              <w:rPr>
                <w:color w:val="000000" w:themeColor="text1"/>
              </w:rPr>
            </w:pPr>
            <w:r w:rsidRPr="00286216">
              <w:rPr>
                <w:color w:val="000000" w:themeColor="text1"/>
              </w:rPr>
              <w:t>7) у частині третій статті 42 слова "торговців цінними паперами" замінити словами "інвестиційних фірм";</w:t>
            </w:r>
          </w:p>
        </w:tc>
        <w:tc>
          <w:tcPr>
            <w:tcW w:w="3686" w:type="dxa"/>
          </w:tcPr>
          <w:p w14:paraId="1E9D886C" w14:textId="77777777" w:rsidR="00630147" w:rsidRPr="00286216" w:rsidRDefault="00630147" w:rsidP="00630147">
            <w:pPr>
              <w:pStyle w:val="StyleProp"/>
              <w:rPr>
                <w:color w:val="000000" w:themeColor="text1"/>
                <w:szCs w:val="18"/>
              </w:rPr>
            </w:pPr>
          </w:p>
        </w:tc>
        <w:tc>
          <w:tcPr>
            <w:tcW w:w="1987" w:type="dxa"/>
          </w:tcPr>
          <w:p w14:paraId="1C874D7C" w14:textId="77777777" w:rsidR="00630147" w:rsidRPr="00286216" w:rsidRDefault="00630147" w:rsidP="00630147">
            <w:pPr>
              <w:pStyle w:val="StyleWisnow"/>
              <w:rPr>
                <w:color w:val="000000" w:themeColor="text1"/>
              </w:rPr>
            </w:pPr>
          </w:p>
        </w:tc>
        <w:tc>
          <w:tcPr>
            <w:tcW w:w="4818" w:type="dxa"/>
          </w:tcPr>
          <w:p w14:paraId="0DB45502" w14:textId="34D2711D" w:rsidR="00630147" w:rsidRPr="00286216" w:rsidRDefault="00630147" w:rsidP="00630147">
            <w:pPr>
              <w:pStyle w:val="StyleZakonu"/>
              <w:rPr>
                <w:color w:val="000000" w:themeColor="text1"/>
              </w:rPr>
            </w:pPr>
            <w:r w:rsidRPr="00286216">
              <w:rPr>
                <w:color w:val="000000" w:themeColor="text1"/>
              </w:rPr>
              <w:t>7) у частині третій статті 42 слова "торговців цінними паперами" замінити словами "інвестиційних фірм";</w:t>
            </w:r>
          </w:p>
        </w:tc>
      </w:tr>
      <w:tr w:rsidR="00630147" w:rsidRPr="00286216" w14:paraId="0EDD8769" w14:textId="77777777" w:rsidTr="00091AA5">
        <w:tc>
          <w:tcPr>
            <w:tcW w:w="576" w:type="dxa"/>
          </w:tcPr>
          <w:p w14:paraId="2D3978A9" w14:textId="77777777" w:rsidR="00630147" w:rsidRPr="00286216" w:rsidRDefault="00630147" w:rsidP="00630147">
            <w:pPr>
              <w:pStyle w:val="StyleWisnow"/>
              <w:rPr>
                <w:color w:val="000000" w:themeColor="text1"/>
              </w:rPr>
            </w:pPr>
            <w:bookmarkStart w:id="3064" w:name="n3193" w:colFirst="0" w:colLast="0"/>
            <w:bookmarkEnd w:id="3063"/>
            <w:r w:rsidRPr="00286216">
              <w:rPr>
                <w:color w:val="000000" w:themeColor="text1"/>
              </w:rPr>
              <w:t>3193.</w:t>
            </w:r>
          </w:p>
        </w:tc>
        <w:tc>
          <w:tcPr>
            <w:tcW w:w="4818" w:type="dxa"/>
          </w:tcPr>
          <w:p w14:paraId="10D6A7F1" w14:textId="77777777" w:rsidR="00630147" w:rsidRPr="00286216" w:rsidRDefault="00630147" w:rsidP="00630147">
            <w:pPr>
              <w:pStyle w:val="StyleZakonu"/>
              <w:rPr>
                <w:color w:val="000000" w:themeColor="text1"/>
              </w:rPr>
            </w:pPr>
            <w:r w:rsidRPr="00286216">
              <w:rPr>
                <w:color w:val="000000" w:themeColor="text1"/>
              </w:rPr>
              <w:t>8) у частині третій та шостій статті 44 слова "торговців цінними паперами" у відповідних відмінках замінити словами "інвестиційних фірм" у відповідному відмінку;</w:t>
            </w:r>
          </w:p>
        </w:tc>
        <w:tc>
          <w:tcPr>
            <w:tcW w:w="3686" w:type="dxa"/>
          </w:tcPr>
          <w:p w14:paraId="15F5730A" w14:textId="77777777" w:rsidR="00630147" w:rsidRPr="00286216" w:rsidRDefault="00630147" w:rsidP="00630147">
            <w:pPr>
              <w:pStyle w:val="StyleProp"/>
              <w:rPr>
                <w:color w:val="000000" w:themeColor="text1"/>
                <w:szCs w:val="18"/>
              </w:rPr>
            </w:pPr>
          </w:p>
        </w:tc>
        <w:tc>
          <w:tcPr>
            <w:tcW w:w="1987" w:type="dxa"/>
          </w:tcPr>
          <w:p w14:paraId="044AF9BD" w14:textId="77777777" w:rsidR="00630147" w:rsidRPr="00286216" w:rsidRDefault="00630147" w:rsidP="00630147">
            <w:pPr>
              <w:pStyle w:val="StyleWisnow"/>
              <w:rPr>
                <w:color w:val="000000" w:themeColor="text1"/>
              </w:rPr>
            </w:pPr>
          </w:p>
        </w:tc>
        <w:tc>
          <w:tcPr>
            <w:tcW w:w="4818" w:type="dxa"/>
          </w:tcPr>
          <w:p w14:paraId="4B5B767D" w14:textId="20BF1675" w:rsidR="00630147" w:rsidRPr="00286216" w:rsidRDefault="00630147" w:rsidP="00630147">
            <w:pPr>
              <w:pStyle w:val="StyleZakonu"/>
              <w:rPr>
                <w:color w:val="000000" w:themeColor="text1"/>
              </w:rPr>
            </w:pPr>
            <w:r w:rsidRPr="00286216">
              <w:rPr>
                <w:color w:val="000000" w:themeColor="text1"/>
              </w:rPr>
              <w:t>8) у частинах третій і шостій статті 44 слова "торговців цінними паперами" у всіх відмінках замінити словами "інвестиційних фірм" у відповідному відмінку;</w:t>
            </w:r>
          </w:p>
        </w:tc>
      </w:tr>
      <w:tr w:rsidR="00630147" w:rsidRPr="00286216" w14:paraId="4225330B" w14:textId="77777777" w:rsidTr="00091AA5">
        <w:tc>
          <w:tcPr>
            <w:tcW w:w="576" w:type="dxa"/>
          </w:tcPr>
          <w:p w14:paraId="63A06D22" w14:textId="77777777" w:rsidR="00630147" w:rsidRPr="00286216" w:rsidRDefault="00630147" w:rsidP="00630147">
            <w:pPr>
              <w:pStyle w:val="StyleWisnow"/>
              <w:rPr>
                <w:color w:val="000000" w:themeColor="text1"/>
              </w:rPr>
            </w:pPr>
            <w:bookmarkStart w:id="3065" w:name="n3194" w:colFirst="0" w:colLast="0"/>
            <w:bookmarkEnd w:id="3064"/>
            <w:r w:rsidRPr="00286216">
              <w:rPr>
                <w:color w:val="000000" w:themeColor="text1"/>
              </w:rPr>
              <w:t>3194.</w:t>
            </w:r>
          </w:p>
        </w:tc>
        <w:tc>
          <w:tcPr>
            <w:tcW w:w="4818" w:type="dxa"/>
          </w:tcPr>
          <w:p w14:paraId="1C878EB7" w14:textId="77777777" w:rsidR="00630147" w:rsidRPr="00286216" w:rsidRDefault="00630147" w:rsidP="00630147">
            <w:pPr>
              <w:pStyle w:val="StyleZakonu"/>
              <w:rPr>
                <w:color w:val="000000" w:themeColor="text1"/>
              </w:rPr>
            </w:pPr>
            <w:r w:rsidRPr="00286216">
              <w:rPr>
                <w:color w:val="000000" w:themeColor="text1"/>
              </w:rPr>
              <w:t>9) у статті 47:</w:t>
            </w:r>
          </w:p>
        </w:tc>
        <w:tc>
          <w:tcPr>
            <w:tcW w:w="3686" w:type="dxa"/>
          </w:tcPr>
          <w:p w14:paraId="177AC266" w14:textId="77777777" w:rsidR="00630147" w:rsidRPr="00286216" w:rsidRDefault="00630147" w:rsidP="00630147">
            <w:pPr>
              <w:pStyle w:val="StyleProp"/>
              <w:rPr>
                <w:color w:val="000000" w:themeColor="text1"/>
                <w:szCs w:val="18"/>
              </w:rPr>
            </w:pPr>
          </w:p>
        </w:tc>
        <w:tc>
          <w:tcPr>
            <w:tcW w:w="1987" w:type="dxa"/>
          </w:tcPr>
          <w:p w14:paraId="5B807435" w14:textId="77777777" w:rsidR="00630147" w:rsidRPr="00286216" w:rsidRDefault="00630147" w:rsidP="00630147">
            <w:pPr>
              <w:pStyle w:val="StyleWisnow"/>
              <w:rPr>
                <w:color w:val="000000" w:themeColor="text1"/>
              </w:rPr>
            </w:pPr>
          </w:p>
        </w:tc>
        <w:tc>
          <w:tcPr>
            <w:tcW w:w="4818" w:type="dxa"/>
          </w:tcPr>
          <w:p w14:paraId="69F6F516" w14:textId="29049804" w:rsidR="00630147" w:rsidRPr="00286216" w:rsidRDefault="00630147" w:rsidP="00630147">
            <w:pPr>
              <w:pStyle w:val="StyleZakonu"/>
              <w:rPr>
                <w:color w:val="000000" w:themeColor="text1"/>
              </w:rPr>
            </w:pPr>
            <w:r w:rsidRPr="00286216">
              <w:rPr>
                <w:color w:val="000000" w:themeColor="text1"/>
              </w:rPr>
              <w:t>9) у статті 47:</w:t>
            </w:r>
          </w:p>
        </w:tc>
      </w:tr>
      <w:tr w:rsidR="00630147" w:rsidRPr="00286216" w14:paraId="17E03C3A" w14:textId="77777777" w:rsidTr="00091AA5">
        <w:tc>
          <w:tcPr>
            <w:tcW w:w="576" w:type="dxa"/>
          </w:tcPr>
          <w:p w14:paraId="282415F9" w14:textId="77777777" w:rsidR="00630147" w:rsidRPr="00286216" w:rsidRDefault="00630147" w:rsidP="00630147">
            <w:pPr>
              <w:pStyle w:val="StyleWisnow"/>
              <w:rPr>
                <w:color w:val="000000" w:themeColor="text1"/>
              </w:rPr>
            </w:pPr>
            <w:bookmarkStart w:id="3066" w:name="n3195" w:colFirst="0" w:colLast="0"/>
            <w:bookmarkEnd w:id="3065"/>
            <w:r w:rsidRPr="00286216">
              <w:rPr>
                <w:color w:val="000000" w:themeColor="text1"/>
              </w:rPr>
              <w:t>3195.</w:t>
            </w:r>
          </w:p>
        </w:tc>
        <w:tc>
          <w:tcPr>
            <w:tcW w:w="4818" w:type="dxa"/>
          </w:tcPr>
          <w:p w14:paraId="0B6BB74B" w14:textId="77777777" w:rsidR="00630147" w:rsidRPr="00286216" w:rsidRDefault="00630147" w:rsidP="00630147">
            <w:pPr>
              <w:pStyle w:val="StyleZakonu"/>
              <w:rPr>
                <w:color w:val="000000" w:themeColor="text1"/>
              </w:rPr>
            </w:pPr>
            <w:r w:rsidRPr="00286216">
              <w:rPr>
                <w:color w:val="000000" w:themeColor="text1"/>
              </w:rPr>
              <w:t>а) у частині другій:</w:t>
            </w:r>
          </w:p>
        </w:tc>
        <w:tc>
          <w:tcPr>
            <w:tcW w:w="3686" w:type="dxa"/>
          </w:tcPr>
          <w:p w14:paraId="3E6376D0" w14:textId="77777777" w:rsidR="00630147" w:rsidRPr="00286216" w:rsidRDefault="00630147" w:rsidP="00630147">
            <w:pPr>
              <w:pStyle w:val="StyleProp"/>
              <w:rPr>
                <w:color w:val="000000" w:themeColor="text1"/>
                <w:szCs w:val="18"/>
              </w:rPr>
            </w:pPr>
          </w:p>
        </w:tc>
        <w:tc>
          <w:tcPr>
            <w:tcW w:w="1987" w:type="dxa"/>
          </w:tcPr>
          <w:p w14:paraId="08D1D6BE" w14:textId="77777777" w:rsidR="00630147" w:rsidRPr="00286216" w:rsidRDefault="00630147" w:rsidP="00630147">
            <w:pPr>
              <w:pStyle w:val="StyleWisnow"/>
              <w:rPr>
                <w:color w:val="000000" w:themeColor="text1"/>
              </w:rPr>
            </w:pPr>
          </w:p>
        </w:tc>
        <w:tc>
          <w:tcPr>
            <w:tcW w:w="4818" w:type="dxa"/>
          </w:tcPr>
          <w:p w14:paraId="7527EDF1" w14:textId="6C6AAA3D" w:rsidR="00630147" w:rsidRPr="00286216" w:rsidRDefault="00630147" w:rsidP="00630147">
            <w:pPr>
              <w:pStyle w:val="StyleZakonu"/>
              <w:rPr>
                <w:color w:val="000000" w:themeColor="text1"/>
              </w:rPr>
            </w:pPr>
            <w:r w:rsidRPr="00286216">
              <w:rPr>
                <w:color w:val="000000" w:themeColor="text1"/>
              </w:rPr>
              <w:t>а) у частині другій:</w:t>
            </w:r>
          </w:p>
        </w:tc>
      </w:tr>
      <w:tr w:rsidR="00630147" w:rsidRPr="00286216" w14:paraId="0464FC5F" w14:textId="77777777" w:rsidTr="00091AA5">
        <w:tc>
          <w:tcPr>
            <w:tcW w:w="576" w:type="dxa"/>
          </w:tcPr>
          <w:p w14:paraId="10733259" w14:textId="77777777" w:rsidR="00630147" w:rsidRPr="00286216" w:rsidRDefault="00630147" w:rsidP="00630147">
            <w:pPr>
              <w:pStyle w:val="StyleWisnow"/>
              <w:rPr>
                <w:color w:val="000000" w:themeColor="text1"/>
              </w:rPr>
            </w:pPr>
            <w:bookmarkStart w:id="3067" w:name="n3196" w:colFirst="0" w:colLast="0"/>
            <w:bookmarkEnd w:id="3066"/>
            <w:r w:rsidRPr="00286216">
              <w:rPr>
                <w:color w:val="000000" w:themeColor="text1"/>
              </w:rPr>
              <w:lastRenderedPageBreak/>
              <w:t>3196.</w:t>
            </w:r>
          </w:p>
        </w:tc>
        <w:tc>
          <w:tcPr>
            <w:tcW w:w="4818" w:type="dxa"/>
          </w:tcPr>
          <w:p w14:paraId="2E5F396E" w14:textId="77777777" w:rsidR="00630147" w:rsidRPr="00286216" w:rsidRDefault="00630147" w:rsidP="00630147">
            <w:pPr>
              <w:pStyle w:val="StyleZakonu"/>
              <w:rPr>
                <w:color w:val="000000" w:themeColor="text1"/>
              </w:rPr>
            </w:pPr>
            <w:r w:rsidRPr="00286216">
              <w:rPr>
                <w:color w:val="000000" w:themeColor="text1"/>
              </w:rPr>
              <w:t>у пункті 21 частини другої та пункту 2 частини третьої статті 47 слова "пройшли лістинг на фондовій біржі" замінити словами "допущені до торгів на регульованому фондовому ринку";</w:t>
            </w:r>
          </w:p>
        </w:tc>
        <w:tc>
          <w:tcPr>
            <w:tcW w:w="3686" w:type="dxa"/>
          </w:tcPr>
          <w:p w14:paraId="162AF42D" w14:textId="77777777" w:rsidR="00630147" w:rsidRPr="00286216" w:rsidRDefault="00630147" w:rsidP="00630147">
            <w:pPr>
              <w:pStyle w:val="StyleProp"/>
              <w:rPr>
                <w:color w:val="000000" w:themeColor="text1"/>
                <w:szCs w:val="18"/>
              </w:rPr>
            </w:pPr>
          </w:p>
        </w:tc>
        <w:tc>
          <w:tcPr>
            <w:tcW w:w="1987" w:type="dxa"/>
          </w:tcPr>
          <w:p w14:paraId="08E61334" w14:textId="77777777" w:rsidR="00630147" w:rsidRPr="00286216" w:rsidRDefault="00630147" w:rsidP="00630147">
            <w:pPr>
              <w:pStyle w:val="StyleWisnow"/>
              <w:rPr>
                <w:color w:val="000000" w:themeColor="text1"/>
              </w:rPr>
            </w:pPr>
          </w:p>
        </w:tc>
        <w:tc>
          <w:tcPr>
            <w:tcW w:w="4818" w:type="dxa"/>
          </w:tcPr>
          <w:p w14:paraId="7D7B75D9" w14:textId="6DF38FCE" w:rsidR="00630147" w:rsidRPr="00286216" w:rsidRDefault="00630147" w:rsidP="00630147">
            <w:pPr>
              <w:pStyle w:val="StyleZakonu"/>
              <w:rPr>
                <w:color w:val="000000" w:themeColor="text1"/>
              </w:rPr>
            </w:pPr>
            <w:r w:rsidRPr="00286216">
              <w:rPr>
                <w:color w:val="000000" w:themeColor="text1"/>
              </w:rPr>
              <w:t>у пункті 2</w:t>
            </w:r>
            <w:r w:rsidRPr="00286216">
              <w:rPr>
                <w:color w:val="000000" w:themeColor="text1"/>
                <w:vertAlign w:val="superscript"/>
              </w:rPr>
              <w:t>1</w:t>
            </w:r>
            <w:r w:rsidRPr="00286216">
              <w:rPr>
                <w:color w:val="000000" w:themeColor="text1"/>
              </w:rPr>
              <w:t xml:space="preserve"> частини другої слова "пройшли лістинг на фондовій біржі" замінити словами "допущені до торгів на регульованому фондовому ринку";</w:t>
            </w:r>
          </w:p>
        </w:tc>
      </w:tr>
      <w:tr w:rsidR="00630147" w:rsidRPr="00286216" w14:paraId="76E5EAC5" w14:textId="77777777" w:rsidTr="00091AA5">
        <w:tc>
          <w:tcPr>
            <w:tcW w:w="576" w:type="dxa"/>
          </w:tcPr>
          <w:p w14:paraId="313289C7" w14:textId="77777777" w:rsidR="00630147" w:rsidRPr="00286216" w:rsidRDefault="00630147" w:rsidP="00630147">
            <w:pPr>
              <w:pStyle w:val="StyleWisnow"/>
              <w:rPr>
                <w:color w:val="000000" w:themeColor="text1"/>
              </w:rPr>
            </w:pPr>
            <w:bookmarkStart w:id="3068" w:name="n3197" w:colFirst="0" w:colLast="0"/>
            <w:bookmarkEnd w:id="3067"/>
            <w:r w:rsidRPr="00286216">
              <w:rPr>
                <w:color w:val="000000" w:themeColor="text1"/>
              </w:rPr>
              <w:t>3197.</w:t>
            </w:r>
          </w:p>
        </w:tc>
        <w:tc>
          <w:tcPr>
            <w:tcW w:w="4818" w:type="dxa"/>
          </w:tcPr>
          <w:p w14:paraId="7ADC52C8" w14:textId="77777777" w:rsidR="00630147" w:rsidRPr="00286216" w:rsidRDefault="00630147" w:rsidP="00630147">
            <w:pPr>
              <w:pStyle w:val="StyleZakonu"/>
              <w:rPr>
                <w:color w:val="000000" w:themeColor="text1"/>
              </w:rPr>
            </w:pPr>
            <w:r w:rsidRPr="00286216">
              <w:rPr>
                <w:color w:val="000000" w:themeColor="text1"/>
              </w:rPr>
              <w:t>доповнити частину після пункту третього новим пунктом такого змісту:</w:t>
            </w:r>
          </w:p>
        </w:tc>
        <w:tc>
          <w:tcPr>
            <w:tcW w:w="3686" w:type="dxa"/>
          </w:tcPr>
          <w:p w14:paraId="7160CB66" w14:textId="77777777" w:rsidR="00630147" w:rsidRPr="00286216" w:rsidRDefault="00630147" w:rsidP="00630147">
            <w:pPr>
              <w:pStyle w:val="StyleProp"/>
              <w:rPr>
                <w:color w:val="000000" w:themeColor="text1"/>
                <w:szCs w:val="18"/>
              </w:rPr>
            </w:pPr>
          </w:p>
        </w:tc>
        <w:tc>
          <w:tcPr>
            <w:tcW w:w="1987" w:type="dxa"/>
          </w:tcPr>
          <w:p w14:paraId="2967F4ED" w14:textId="77777777" w:rsidR="00630147" w:rsidRPr="00286216" w:rsidRDefault="00630147" w:rsidP="00630147">
            <w:pPr>
              <w:pStyle w:val="StyleWisnow"/>
              <w:rPr>
                <w:color w:val="000000" w:themeColor="text1"/>
              </w:rPr>
            </w:pPr>
          </w:p>
        </w:tc>
        <w:tc>
          <w:tcPr>
            <w:tcW w:w="4818" w:type="dxa"/>
          </w:tcPr>
          <w:p w14:paraId="142BFF18" w14:textId="537934DC" w:rsidR="00630147" w:rsidRPr="00286216" w:rsidRDefault="00630147" w:rsidP="00630147">
            <w:pPr>
              <w:pStyle w:val="StyleZakonu"/>
              <w:rPr>
                <w:color w:val="000000" w:themeColor="text1"/>
              </w:rPr>
            </w:pPr>
            <w:r w:rsidRPr="00286216">
              <w:rPr>
                <w:color w:val="000000" w:themeColor="text1"/>
              </w:rPr>
              <w:t>доповнити пунктом 3</w:t>
            </w:r>
            <w:r w:rsidRPr="00286216">
              <w:rPr>
                <w:color w:val="000000" w:themeColor="text1"/>
                <w:vertAlign w:val="superscript"/>
              </w:rPr>
              <w:t>1</w:t>
            </w:r>
            <w:r w:rsidRPr="00286216">
              <w:rPr>
                <w:color w:val="000000" w:themeColor="text1"/>
              </w:rPr>
              <w:t xml:space="preserve"> такого змісту: </w:t>
            </w:r>
          </w:p>
        </w:tc>
      </w:tr>
      <w:tr w:rsidR="00630147" w:rsidRPr="00286216" w14:paraId="52054C7A" w14:textId="77777777" w:rsidTr="00091AA5">
        <w:tc>
          <w:tcPr>
            <w:tcW w:w="576" w:type="dxa"/>
          </w:tcPr>
          <w:p w14:paraId="6D6C8A77" w14:textId="77777777" w:rsidR="00630147" w:rsidRPr="00286216" w:rsidRDefault="00630147" w:rsidP="00630147">
            <w:pPr>
              <w:pStyle w:val="StyleWisnow"/>
              <w:rPr>
                <w:color w:val="000000" w:themeColor="text1"/>
              </w:rPr>
            </w:pPr>
            <w:bookmarkStart w:id="3069" w:name="n3198" w:colFirst="0" w:colLast="0"/>
            <w:bookmarkEnd w:id="3068"/>
            <w:r w:rsidRPr="00286216">
              <w:rPr>
                <w:color w:val="000000" w:themeColor="text1"/>
              </w:rPr>
              <w:t>3198.</w:t>
            </w:r>
          </w:p>
        </w:tc>
        <w:tc>
          <w:tcPr>
            <w:tcW w:w="4818" w:type="dxa"/>
          </w:tcPr>
          <w:p w14:paraId="7808DDA8" w14:textId="77777777" w:rsidR="00630147" w:rsidRPr="00286216" w:rsidRDefault="00630147" w:rsidP="00630147">
            <w:pPr>
              <w:pStyle w:val="StyleZakonu"/>
              <w:rPr>
                <w:color w:val="000000" w:themeColor="text1"/>
              </w:rPr>
            </w:pPr>
            <w:r w:rsidRPr="00286216">
              <w:rPr>
                <w:color w:val="000000" w:themeColor="text1"/>
              </w:rPr>
              <w:t>"31) облігацій міжнародних фінансових організацій, що розміщуються на території України; ";</w:t>
            </w:r>
          </w:p>
        </w:tc>
        <w:tc>
          <w:tcPr>
            <w:tcW w:w="3686" w:type="dxa"/>
          </w:tcPr>
          <w:p w14:paraId="072C5B90" w14:textId="77777777" w:rsidR="00630147" w:rsidRPr="00286216" w:rsidRDefault="00630147" w:rsidP="00630147">
            <w:pPr>
              <w:pStyle w:val="StyleProp"/>
              <w:rPr>
                <w:color w:val="000000" w:themeColor="text1"/>
                <w:szCs w:val="18"/>
              </w:rPr>
            </w:pPr>
          </w:p>
        </w:tc>
        <w:tc>
          <w:tcPr>
            <w:tcW w:w="1987" w:type="dxa"/>
          </w:tcPr>
          <w:p w14:paraId="4BC15B95" w14:textId="77777777" w:rsidR="00630147" w:rsidRPr="00286216" w:rsidRDefault="00630147" w:rsidP="00630147">
            <w:pPr>
              <w:pStyle w:val="StyleWisnow"/>
              <w:rPr>
                <w:color w:val="000000" w:themeColor="text1"/>
              </w:rPr>
            </w:pPr>
          </w:p>
        </w:tc>
        <w:tc>
          <w:tcPr>
            <w:tcW w:w="4818" w:type="dxa"/>
          </w:tcPr>
          <w:p w14:paraId="53E34CC7" w14:textId="18A7F3EC" w:rsidR="00630147" w:rsidRPr="00286216" w:rsidRDefault="00630147" w:rsidP="00630147">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облігацій міжнародних фінансових організацій, що розміщуються на території України";</w:t>
            </w:r>
          </w:p>
        </w:tc>
      </w:tr>
      <w:tr w:rsidR="00630147" w:rsidRPr="00286216" w14:paraId="6D503C86" w14:textId="77777777" w:rsidTr="00091AA5">
        <w:tc>
          <w:tcPr>
            <w:tcW w:w="576" w:type="dxa"/>
          </w:tcPr>
          <w:p w14:paraId="3053CA86" w14:textId="77777777" w:rsidR="00630147" w:rsidRPr="00286216" w:rsidRDefault="00630147" w:rsidP="00630147">
            <w:pPr>
              <w:pStyle w:val="StyleWisnow"/>
              <w:rPr>
                <w:color w:val="000000" w:themeColor="text1"/>
              </w:rPr>
            </w:pPr>
            <w:bookmarkStart w:id="3070" w:name="n3199" w:colFirst="0" w:colLast="0"/>
            <w:bookmarkEnd w:id="3069"/>
            <w:r w:rsidRPr="00286216">
              <w:rPr>
                <w:color w:val="000000" w:themeColor="text1"/>
              </w:rPr>
              <w:t>3199.</w:t>
            </w:r>
          </w:p>
        </w:tc>
        <w:tc>
          <w:tcPr>
            <w:tcW w:w="4818" w:type="dxa"/>
          </w:tcPr>
          <w:p w14:paraId="198D473B" w14:textId="77777777" w:rsidR="00630147" w:rsidRPr="00286216" w:rsidRDefault="00630147" w:rsidP="00630147">
            <w:pPr>
              <w:pStyle w:val="StyleZakonu"/>
              <w:rPr>
                <w:color w:val="000000" w:themeColor="text1"/>
              </w:rPr>
            </w:pPr>
            <w:r w:rsidRPr="00286216">
              <w:rPr>
                <w:color w:val="000000" w:themeColor="text1"/>
              </w:rPr>
              <w:t>пункт четвертому після слів "іноземних емітентів" доповнити словами "(крім облігацій міжнародних фінансових організацій, що розміщуються на території України)";</w:t>
            </w:r>
          </w:p>
        </w:tc>
        <w:tc>
          <w:tcPr>
            <w:tcW w:w="3686" w:type="dxa"/>
          </w:tcPr>
          <w:p w14:paraId="5BF26006" w14:textId="77777777" w:rsidR="00630147" w:rsidRPr="00286216" w:rsidRDefault="00630147" w:rsidP="00630147">
            <w:pPr>
              <w:pStyle w:val="StyleProp"/>
              <w:rPr>
                <w:color w:val="000000" w:themeColor="text1"/>
                <w:szCs w:val="18"/>
              </w:rPr>
            </w:pPr>
          </w:p>
        </w:tc>
        <w:tc>
          <w:tcPr>
            <w:tcW w:w="1987" w:type="dxa"/>
          </w:tcPr>
          <w:p w14:paraId="7C5AABDB" w14:textId="77777777" w:rsidR="00630147" w:rsidRPr="00286216" w:rsidRDefault="00630147" w:rsidP="00630147">
            <w:pPr>
              <w:pStyle w:val="StyleWisnow"/>
              <w:rPr>
                <w:color w:val="000000" w:themeColor="text1"/>
              </w:rPr>
            </w:pPr>
          </w:p>
        </w:tc>
        <w:tc>
          <w:tcPr>
            <w:tcW w:w="4818" w:type="dxa"/>
          </w:tcPr>
          <w:p w14:paraId="3D7FDD0E" w14:textId="452DA319" w:rsidR="00630147" w:rsidRPr="00286216" w:rsidRDefault="00630147" w:rsidP="00630147">
            <w:pPr>
              <w:pStyle w:val="StyleZakonu"/>
              <w:rPr>
                <w:color w:val="000000" w:themeColor="text1"/>
              </w:rPr>
            </w:pPr>
            <w:r w:rsidRPr="00286216">
              <w:rPr>
                <w:color w:val="000000" w:themeColor="text1"/>
              </w:rPr>
              <w:t>пункт 4 після слів "іноземних емітентів" доповнити словами "(крім облігацій міжнародних фінансових організацій, що розміщуються на території України)";</w:t>
            </w:r>
          </w:p>
        </w:tc>
      </w:tr>
      <w:tr w:rsidR="00630147" w:rsidRPr="00286216" w14:paraId="6D62225C" w14:textId="77777777" w:rsidTr="00091AA5">
        <w:tc>
          <w:tcPr>
            <w:tcW w:w="576" w:type="dxa"/>
          </w:tcPr>
          <w:p w14:paraId="3A2EC3BC" w14:textId="77777777" w:rsidR="00630147" w:rsidRPr="00286216" w:rsidRDefault="00630147" w:rsidP="00630147">
            <w:pPr>
              <w:pStyle w:val="StyleWisnow"/>
              <w:rPr>
                <w:color w:val="000000" w:themeColor="text1"/>
              </w:rPr>
            </w:pPr>
            <w:bookmarkStart w:id="3071" w:name="n3200" w:colFirst="0" w:colLast="0"/>
            <w:bookmarkEnd w:id="3070"/>
            <w:r w:rsidRPr="00286216">
              <w:rPr>
                <w:color w:val="000000" w:themeColor="text1"/>
              </w:rPr>
              <w:t>3200.</w:t>
            </w:r>
          </w:p>
        </w:tc>
        <w:tc>
          <w:tcPr>
            <w:tcW w:w="4818" w:type="dxa"/>
          </w:tcPr>
          <w:p w14:paraId="2F17E23B" w14:textId="77777777" w:rsidR="00630147" w:rsidRPr="00286216" w:rsidRDefault="00630147" w:rsidP="00630147">
            <w:pPr>
              <w:pStyle w:val="StyleZakonu"/>
              <w:rPr>
                <w:color w:val="000000" w:themeColor="text1"/>
              </w:rPr>
            </w:pPr>
            <w:r w:rsidRPr="00286216">
              <w:rPr>
                <w:color w:val="000000" w:themeColor="text1"/>
              </w:rPr>
              <w:t>у пункті п’ятому слова "організованих фондових ринках та пройшли лістинг" замінити словами "регульованих фондових ринках та допущені до торгів";</w:t>
            </w:r>
          </w:p>
        </w:tc>
        <w:tc>
          <w:tcPr>
            <w:tcW w:w="3686" w:type="dxa"/>
          </w:tcPr>
          <w:p w14:paraId="424ED098" w14:textId="77777777" w:rsidR="00630147" w:rsidRPr="00286216" w:rsidRDefault="00630147" w:rsidP="00630147">
            <w:pPr>
              <w:pStyle w:val="StyleProp"/>
              <w:rPr>
                <w:color w:val="000000" w:themeColor="text1"/>
                <w:szCs w:val="18"/>
              </w:rPr>
            </w:pPr>
          </w:p>
        </w:tc>
        <w:tc>
          <w:tcPr>
            <w:tcW w:w="1987" w:type="dxa"/>
          </w:tcPr>
          <w:p w14:paraId="64A524EB" w14:textId="77777777" w:rsidR="00630147" w:rsidRPr="00286216" w:rsidRDefault="00630147" w:rsidP="00630147">
            <w:pPr>
              <w:pStyle w:val="StyleWisnow"/>
              <w:rPr>
                <w:color w:val="000000" w:themeColor="text1"/>
              </w:rPr>
            </w:pPr>
          </w:p>
        </w:tc>
        <w:tc>
          <w:tcPr>
            <w:tcW w:w="4818" w:type="dxa"/>
          </w:tcPr>
          <w:p w14:paraId="2E863313" w14:textId="08C7C1D2" w:rsidR="00630147" w:rsidRPr="00286216" w:rsidRDefault="00630147" w:rsidP="00630147">
            <w:pPr>
              <w:pStyle w:val="StyleZakonu"/>
              <w:rPr>
                <w:color w:val="000000" w:themeColor="text1"/>
              </w:rPr>
            </w:pPr>
            <w:r w:rsidRPr="00286216">
              <w:rPr>
                <w:color w:val="000000" w:themeColor="text1"/>
              </w:rPr>
              <w:t>у пункті 5 слова "організованих фондових ринках та пройшли лістинг" замінити словами "регульованих фондових ринках та допущені до торгів";</w:t>
            </w:r>
          </w:p>
        </w:tc>
      </w:tr>
      <w:tr w:rsidR="00630147" w:rsidRPr="00286216" w14:paraId="1D028A5A" w14:textId="77777777" w:rsidTr="00091AA5">
        <w:tc>
          <w:tcPr>
            <w:tcW w:w="576" w:type="dxa"/>
          </w:tcPr>
          <w:p w14:paraId="68CD280B" w14:textId="77777777" w:rsidR="00630147" w:rsidRPr="00286216" w:rsidRDefault="00630147" w:rsidP="00630147">
            <w:pPr>
              <w:pStyle w:val="StyleWisnow"/>
              <w:rPr>
                <w:color w:val="000000" w:themeColor="text1"/>
              </w:rPr>
            </w:pPr>
            <w:bookmarkStart w:id="3072" w:name="n3201" w:colFirst="0" w:colLast="0"/>
            <w:bookmarkEnd w:id="3071"/>
            <w:r w:rsidRPr="00286216">
              <w:rPr>
                <w:color w:val="000000" w:themeColor="text1"/>
              </w:rPr>
              <w:t>3201.</w:t>
            </w:r>
          </w:p>
        </w:tc>
        <w:tc>
          <w:tcPr>
            <w:tcW w:w="4818" w:type="dxa"/>
          </w:tcPr>
          <w:p w14:paraId="21861B52" w14:textId="77777777" w:rsidR="00630147" w:rsidRPr="00286216" w:rsidRDefault="00630147" w:rsidP="00630147">
            <w:pPr>
              <w:pStyle w:val="StyleZakonu"/>
              <w:rPr>
                <w:color w:val="000000" w:themeColor="text1"/>
              </w:rPr>
            </w:pPr>
            <w:r w:rsidRPr="00286216">
              <w:rPr>
                <w:color w:val="000000" w:themeColor="text1"/>
              </w:rPr>
              <w:t>б) у частині третій:</w:t>
            </w:r>
          </w:p>
        </w:tc>
        <w:tc>
          <w:tcPr>
            <w:tcW w:w="3686" w:type="dxa"/>
          </w:tcPr>
          <w:p w14:paraId="30D2CCCA" w14:textId="77777777" w:rsidR="00630147" w:rsidRPr="00286216" w:rsidRDefault="00630147" w:rsidP="00630147">
            <w:pPr>
              <w:pStyle w:val="StyleProp"/>
              <w:rPr>
                <w:color w:val="000000" w:themeColor="text1"/>
                <w:szCs w:val="18"/>
              </w:rPr>
            </w:pPr>
          </w:p>
        </w:tc>
        <w:tc>
          <w:tcPr>
            <w:tcW w:w="1987" w:type="dxa"/>
          </w:tcPr>
          <w:p w14:paraId="22073D79" w14:textId="77777777" w:rsidR="00630147" w:rsidRPr="00286216" w:rsidRDefault="00630147" w:rsidP="00630147">
            <w:pPr>
              <w:pStyle w:val="StyleWisnow"/>
              <w:rPr>
                <w:color w:val="000000" w:themeColor="text1"/>
              </w:rPr>
            </w:pPr>
          </w:p>
        </w:tc>
        <w:tc>
          <w:tcPr>
            <w:tcW w:w="4818" w:type="dxa"/>
          </w:tcPr>
          <w:p w14:paraId="0ACE0781" w14:textId="6572B54C" w:rsidR="00630147" w:rsidRPr="00286216" w:rsidRDefault="00630147" w:rsidP="00630147">
            <w:pPr>
              <w:pStyle w:val="StyleZakonu"/>
              <w:rPr>
                <w:color w:val="000000" w:themeColor="text1"/>
              </w:rPr>
            </w:pPr>
            <w:r w:rsidRPr="00286216">
              <w:rPr>
                <w:color w:val="000000" w:themeColor="text1"/>
              </w:rPr>
              <w:t>б) у частині третій:</w:t>
            </w:r>
          </w:p>
        </w:tc>
      </w:tr>
      <w:tr w:rsidR="00630147" w:rsidRPr="00286216" w14:paraId="4743095B" w14:textId="77777777" w:rsidTr="00091AA5">
        <w:tc>
          <w:tcPr>
            <w:tcW w:w="576" w:type="dxa"/>
          </w:tcPr>
          <w:p w14:paraId="058251CD" w14:textId="77777777" w:rsidR="00630147" w:rsidRPr="00286216" w:rsidRDefault="00630147" w:rsidP="00630147">
            <w:pPr>
              <w:pStyle w:val="StyleWisnow"/>
              <w:rPr>
                <w:color w:val="000000" w:themeColor="text1"/>
              </w:rPr>
            </w:pPr>
            <w:bookmarkStart w:id="3073" w:name="n3202" w:colFirst="0" w:colLast="0"/>
            <w:bookmarkEnd w:id="3072"/>
            <w:r w:rsidRPr="00286216">
              <w:rPr>
                <w:color w:val="000000" w:themeColor="text1"/>
              </w:rPr>
              <w:t>3202.</w:t>
            </w:r>
          </w:p>
        </w:tc>
        <w:tc>
          <w:tcPr>
            <w:tcW w:w="4818" w:type="dxa"/>
          </w:tcPr>
          <w:p w14:paraId="7388D44D" w14:textId="77777777" w:rsidR="00630147" w:rsidRPr="00286216" w:rsidRDefault="00630147" w:rsidP="00630147">
            <w:pPr>
              <w:pStyle w:val="StyleZakonu"/>
              <w:rPr>
                <w:color w:val="000000" w:themeColor="text1"/>
              </w:rPr>
            </w:pPr>
            <w:r w:rsidRPr="00286216">
              <w:rPr>
                <w:color w:val="000000" w:themeColor="text1"/>
              </w:rPr>
              <w:t>у пункті другому слова "які не пройшли лістинг на фондовій біржі, що відповідає вимогам, встановленим Національною комісією з цінних паперів та фондового ринку, та не перебувають в обігу на фондовій біржі, зареєстрованій у встановленому порядку, " замінити словами "які не допущені до торгів на регульованому фондовому ринку, "</w:t>
            </w:r>
          </w:p>
        </w:tc>
        <w:tc>
          <w:tcPr>
            <w:tcW w:w="3686" w:type="dxa"/>
          </w:tcPr>
          <w:p w14:paraId="63457BF7" w14:textId="77777777" w:rsidR="00630147" w:rsidRPr="00286216" w:rsidRDefault="00630147" w:rsidP="00630147">
            <w:pPr>
              <w:pStyle w:val="StyleProp"/>
              <w:rPr>
                <w:color w:val="000000" w:themeColor="text1"/>
                <w:szCs w:val="18"/>
              </w:rPr>
            </w:pPr>
          </w:p>
        </w:tc>
        <w:tc>
          <w:tcPr>
            <w:tcW w:w="1987" w:type="dxa"/>
          </w:tcPr>
          <w:p w14:paraId="7BB1A571" w14:textId="77777777" w:rsidR="00630147" w:rsidRPr="00286216" w:rsidRDefault="00630147" w:rsidP="00630147">
            <w:pPr>
              <w:pStyle w:val="StyleWisnow"/>
              <w:rPr>
                <w:color w:val="000000" w:themeColor="text1"/>
              </w:rPr>
            </w:pPr>
          </w:p>
        </w:tc>
        <w:tc>
          <w:tcPr>
            <w:tcW w:w="4818" w:type="dxa"/>
          </w:tcPr>
          <w:p w14:paraId="6924E3C6" w14:textId="72A79A07" w:rsidR="00630147" w:rsidRPr="00286216" w:rsidRDefault="00630147" w:rsidP="00630147">
            <w:pPr>
              <w:pStyle w:val="StyleZakonu"/>
              <w:rPr>
                <w:color w:val="000000" w:themeColor="text1"/>
              </w:rPr>
            </w:pPr>
            <w:r w:rsidRPr="00286216">
              <w:rPr>
                <w:color w:val="000000" w:themeColor="text1"/>
              </w:rPr>
              <w:t>у пункті 2 слова "які не пройшли лістинг на фондовій біржі, що відповідає вимогам, встановленим Національною комісією з цінних паперів та фондового ринку, та не перебувають в обігу на фондовій біржі, зареєстрованій у встановленому порядку, " замінити словами "які не допущені до торгів на регульованому фондовому ринку"</w:t>
            </w:r>
          </w:p>
        </w:tc>
      </w:tr>
      <w:tr w:rsidR="00630147" w:rsidRPr="00286216" w14:paraId="260131A3" w14:textId="77777777" w:rsidTr="00091AA5">
        <w:tc>
          <w:tcPr>
            <w:tcW w:w="576" w:type="dxa"/>
          </w:tcPr>
          <w:p w14:paraId="71CACD82" w14:textId="77777777" w:rsidR="00630147" w:rsidRPr="00286216" w:rsidRDefault="00630147" w:rsidP="00630147">
            <w:pPr>
              <w:pStyle w:val="StyleWisnow"/>
              <w:rPr>
                <w:color w:val="000000" w:themeColor="text1"/>
              </w:rPr>
            </w:pPr>
            <w:bookmarkStart w:id="3074" w:name="n3203" w:colFirst="0" w:colLast="0"/>
            <w:bookmarkEnd w:id="3073"/>
            <w:r w:rsidRPr="00286216">
              <w:rPr>
                <w:color w:val="000000" w:themeColor="text1"/>
              </w:rPr>
              <w:t>3203.</w:t>
            </w:r>
          </w:p>
        </w:tc>
        <w:tc>
          <w:tcPr>
            <w:tcW w:w="4818" w:type="dxa"/>
          </w:tcPr>
          <w:p w14:paraId="0C3AF22F" w14:textId="77777777" w:rsidR="00630147" w:rsidRPr="00286216" w:rsidRDefault="00630147" w:rsidP="00630147">
            <w:pPr>
              <w:pStyle w:val="StyleZakonu"/>
              <w:rPr>
                <w:color w:val="000000" w:themeColor="text1"/>
              </w:rPr>
            </w:pPr>
            <w:r w:rsidRPr="00286216">
              <w:rPr>
                <w:color w:val="000000" w:themeColor="text1"/>
              </w:rPr>
              <w:t>доповнити частину новим абзацом такого змісту:</w:t>
            </w:r>
          </w:p>
        </w:tc>
        <w:tc>
          <w:tcPr>
            <w:tcW w:w="3686" w:type="dxa"/>
          </w:tcPr>
          <w:p w14:paraId="4C69B596" w14:textId="77777777" w:rsidR="00630147" w:rsidRPr="00286216" w:rsidRDefault="00630147" w:rsidP="00630147">
            <w:pPr>
              <w:pStyle w:val="StyleProp"/>
              <w:rPr>
                <w:color w:val="000000" w:themeColor="text1"/>
                <w:szCs w:val="18"/>
              </w:rPr>
            </w:pPr>
          </w:p>
        </w:tc>
        <w:tc>
          <w:tcPr>
            <w:tcW w:w="1987" w:type="dxa"/>
          </w:tcPr>
          <w:p w14:paraId="0E682465" w14:textId="77777777" w:rsidR="00630147" w:rsidRPr="00286216" w:rsidRDefault="00630147" w:rsidP="00630147">
            <w:pPr>
              <w:pStyle w:val="StyleWisnow"/>
              <w:rPr>
                <w:color w:val="000000" w:themeColor="text1"/>
              </w:rPr>
            </w:pPr>
          </w:p>
        </w:tc>
        <w:tc>
          <w:tcPr>
            <w:tcW w:w="4818" w:type="dxa"/>
          </w:tcPr>
          <w:p w14:paraId="4C48F58E" w14:textId="294AE5B1" w:rsidR="00630147" w:rsidRPr="00286216" w:rsidRDefault="00630147" w:rsidP="00630147">
            <w:pPr>
              <w:pStyle w:val="StyleZakonu"/>
              <w:rPr>
                <w:color w:val="000000" w:themeColor="text1"/>
              </w:rPr>
            </w:pPr>
            <w:r w:rsidRPr="00286216">
              <w:rPr>
                <w:color w:val="000000" w:themeColor="text1"/>
              </w:rPr>
              <w:t>доповнити абзацом сьомим такого змісту:</w:t>
            </w:r>
          </w:p>
        </w:tc>
      </w:tr>
      <w:tr w:rsidR="00630147" w:rsidRPr="00286216" w14:paraId="25FD543F" w14:textId="77777777" w:rsidTr="00091AA5">
        <w:tc>
          <w:tcPr>
            <w:tcW w:w="576" w:type="dxa"/>
          </w:tcPr>
          <w:p w14:paraId="16DA0705" w14:textId="77777777" w:rsidR="00630147" w:rsidRPr="00286216" w:rsidRDefault="00630147" w:rsidP="00630147">
            <w:pPr>
              <w:pStyle w:val="StyleWisnow"/>
              <w:rPr>
                <w:color w:val="000000" w:themeColor="text1"/>
              </w:rPr>
            </w:pPr>
            <w:bookmarkStart w:id="3075" w:name="n3204" w:colFirst="0" w:colLast="0"/>
            <w:bookmarkEnd w:id="3074"/>
            <w:r w:rsidRPr="00286216">
              <w:rPr>
                <w:color w:val="000000" w:themeColor="text1"/>
              </w:rPr>
              <w:t>3204.</w:t>
            </w:r>
          </w:p>
        </w:tc>
        <w:tc>
          <w:tcPr>
            <w:tcW w:w="4818" w:type="dxa"/>
          </w:tcPr>
          <w:p w14:paraId="454C0543" w14:textId="77777777" w:rsidR="00630147" w:rsidRPr="00286216" w:rsidRDefault="00630147" w:rsidP="00630147">
            <w:pPr>
              <w:pStyle w:val="StyleZakonu"/>
              <w:rPr>
                <w:color w:val="000000" w:themeColor="text1"/>
              </w:rPr>
            </w:pPr>
            <w:r w:rsidRPr="00286216">
              <w:rPr>
                <w:color w:val="000000" w:themeColor="text1"/>
              </w:rPr>
              <w:t>"Вимоги пункту 2 цієї частини не застосовуються до облігацій міжнародних фінансових організацій, що розміщуються на території України.";</w:t>
            </w:r>
          </w:p>
        </w:tc>
        <w:tc>
          <w:tcPr>
            <w:tcW w:w="3686" w:type="dxa"/>
          </w:tcPr>
          <w:p w14:paraId="1072A8E5" w14:textId="77777777" w:rsidR="00630147" w:rsidRPr="00286216" w:rsidRDefault="00630147" w:rsidP="00630147">
            <w:pPr>
              <w:pStyle w:val="StyleProp"/>
              <w:rPr>
                <w:color w:val="000000" w:themeColor="text1"/>
                <w:szCs w:val="18"/>
              </w:rPr>
            </w:pPr>
          </w:p>
        </w:tc>
        <w:tc>
          <w:tcPr>
            <w:tcW w:w="1987" w:type="dxa"/>
          </w:tcPr>
          <w:p w14:paraId="19C60C98" w14:textId="77777777" w:rsidR="00630147" w:rsidRPr="00286216" w:rsidRDefault="00630147" w:rsidP="00630147">
            <w:pPr>
              <w:pStyle w:val="StyleWisnow"/>
              <w:rPr>
                <w:color w:val="000000" w:themeColor="text1"/>
              </w:rPr>
            </w:pPr>
          </w:p>
        </w:tc>
        <w:tc>
          <w:tcPr>
            <w:tcW w:w="4818" w:type="dxa"/>
          </w:tcPr>
          <w:p w14:paraId="5DDDEDEC" w14:textId="61960E39" w:rsidR="00630147" w:rsidRPr="00286216" w:rsidRDefault="00630147" w:rsidP="00630147">
            <w:pPr>
              <w:pStyle w:val="StyleZakonu"/>
              <w:rPr>
                <w:color w:val="000000" w:themeColor="text1"/>
              </w:rPr>
            </w:pPr>
            <w:r w:rsidRPr="00286216">
              <w:rPr>
                <w:color w:val="000000" w:themeColor="text1"/>
              </w:rPr>
              <w:t>"Вимоги пункту 2 цієї частини не застосовуються до облігацій міжнародних фінансових організацій, що розміщуються на території України";</w:t>
            </w:r>
          </w:p>
        </w:tc>
      </w:tr>
      <w:tr w:rsidR="00630147" w:rsidRPr="00286216" w14:paraId="00D01AC2" w14:textId="77777777" w:rsidTr="00091AA5">
        <w:tc>
          <w:tcPr>
            <w:tcW w:w="576" w:type="dxa"/>
          </w:tcPr>
          <w:p w14:paraId="0295C2BE" w14:textId="77777777" w:rsidR="00630147" w:rsidRPr="00286216" w:rsidRDefault="00630147" w:rsidP="00630147">
            <w:pPr>
              <w:pStyle w:val="StyleWisnow"/>
              <w:rPr>
                <w:color w:val="000000" w:themeColor="text1"/>
              </w:rPr>
            </w:pPr>
            <w:bookmarkStart w:id="3076" w:name="n3205" w:colFirst="0" w:colLast="0"/>
            <w:bookmarkEnd w:id="3075"/>
            <w:r w:rsidRPr="00286216">
              <w:rPr>
                <w:color w:val="000000" w:themeColor="text1"/>
              </w:rPr>
              <w:t>3205.</w:t>
            </w:r>
          </w:p>
        </w:tc>
        <w:tc>
          <w:tcPr>
            <w:tcW w:w="4818" w:type="dxa"/>
          </w:tcPr>
          <w:p w14:paraId="465C9BEF" w14:textId="77777777" w:rsidR="00630147" w:rsidRPr="00286216" w:rsidRDefault="00630147" w:rsidP="00630147">
            <w:pPr>
              <w:pStyle w:val="StyleZakonu"/>
              <w:rPr>
                <w:color w:val="000000" w:themeColor="text1"/>
              </w:rPr>
            </w:pPr>
            <w:r w:rsidRPr="00286216">
              <w:rPr>
                <w:color w:val="000000" w:themeColor="text1"/>
              </w:rPr>
              <w:t>10) у пункті восьмому частини першої статті 48 слова "торговців цінними паперами" замінити словами "інвестиційних фірм";</w:t>
            </w:r>
          </w:p>
        </w:tc>
        <w:tc>
          <w:tcPr>
            <w:tcW w:w="3686" w:type="dxa"/>
          </w:tcPr>
          <w:p w14:paraId="69D70068" w14:textId="77777777" w:rsidR="00630147" w:rsidRPr="00286216" w:rsidRDefault="00630147" w:rsidP="00630147">
            <w:pPr>
              <w:pStyle w:val="StyleProp"/>
              <w:rPr>
                <w:color w:val="000000" w:themeColor="text1"/>
                <w:szCs w:val="18"/>
              </w:rPr>
            </w:pPr>
          </w:p>
        </w:tc>
        <w:tc>
          <w:tcPr>
            <w:tcW w:w="1987" w:type="dxa"/>
          </w:tcPr>
          <w:p w14:paraId="78378BCA" w14:textId="77777777" w:rsidR="00630147" w:rsidRPr="00286216" w:rsidRDefault="00630147" w:rsidP="00630147">
            <w:pPr>
              <w:pStyle w:val="StyleWisnow"/>
              <w:rPr>
                <w:color w:val="000000" w:themeColor="text1"/>
              </w:rPr>
            </w:pPr>
          </w:p>
        </w:tc>
        <w:tc>
          <w:tcPr>
            <w:tcW w:w="4818" w:type="dxa"/>
          </w:tcPr>
          <w:p w14:paraId="05FAC7D0" w14:textId="7BDCD0E0" w:rsidR="00630147" w:rsidRPr="00286216" w:rsidRDefault="00630147" w:rsidP="00630147">
            <w:pPr>
              <w:pStyle w:val="StyleZakonu"/>
              <w:rPr>
                <w:color w:val="000000" w:themeColor="text1"/>
              </w:rPr>
            </w:pPr>
            <w:r w:rsidRPr="00286216">
              <w:rPr>
                <w:color w:val="000000" w:themeColor="text1"/>
              </w:rPr>
              <w:t>10) у пункті 8 частини першої статті 48 слова "торговців цінними паперами" замінити словами "інвестиційних фірм";</w:t>
            </w:r>
          </w:p>
        </w:tc>
      </w:tr>
      <w:tr w:rsidR="00630147" w:rsidRPr="00286216" w14:paraId="159412D0" w14:textId="77777777" w:rsidTr="00091AA5">
        <w:tc>
          <w:tcPr>
            <w:tcW w:w="576" w:type="dxa"/>
          </w:tcPr>
          <w:p w14:paraId="4A9F2DB0" w14:textId="77777777" w:rsidR="00630147" w:rsidRPr="00286216" w:rsidRDefault="00630147" w:rsidP="00630147">
            <w:pPr>
              <w:pStyle w:val="StyleWisnow"/>
              <w:rPr>
                <w:color w:val="000000" w:themeColor="text1"/>
              </w:rPr>
            </w:pPr>
            <w:bookmarkStart w:id="3077" w:name="n3206" w:colFirst="0" w:colLast="0"/>
            <w:bookmarkEnd w:id="3076"/>
            <w:r w:rsidRPr="00286216">
              <w:rPr>
                <w:color w:val="000000" w:themeColor="text1"/>
              </w:rPr>
              <w:t>3206.</w:t>
            </w:r>
          </w:p>
        </w:tc>
        <w:tc>
          <w:tcPr>
            <w:tcW w:w="4818" w:type="dxa"/>
          </w:tcPr>
          <w:p w14:paraId="57A88F08" w14:textId="77777777" w:rsidR="00630147" w:rsidRPr="00286216" w:rsidRDefault="00630147" w:rsidP="00630147">
            <w:pPr>
              <w:pStyle w:val="StyleZakonu"/>
              <w:rPr>
                <w:color w:val="000000" w:themeColor="text1"/>
              </w:rPr>
            </w:pPr>
            <w:r w:rsidRPr="00286216">
              <w:rPr>
                <w:color w:val="000000" w:themeColor="text1"/>
              </w:rPr>
              <w:t>11) у статті 49:</w:t>
            </w:r>
          </w:p>
        </w:tc>
        <w:tc>
          <w:tcPr>
            <w:tcW w:w="3686" w:type="dxa"/>
          </w:tcPr>
          <w:p w14:paraId="7883FFE4" w14:textId="77777777" w:rsidR="00630147" w:rsidRPr="00286216" w:rsidRDefault="00630147" w:rsidP="00630147">
            <w:pPr>
              <w:pStyle w:val="StyleProp"/>
              <w:rPr>
                <w:color w:val="000000" w:themeColor="text1"/>
                <w:szCs w:val="18"/>
              </w:rPr>
            </w:pPr>
          </w:p>
        </w:tc>
        <w:tc>
          <w:tcPr>
            <w:tcW w:w="1987" w:type="dxa"/>
          </w:tcPr>
          <w:p w14:paraId="7AFCD3CC" w14:textId="77777777" w:rsidR="00630147" w:rsidRPr="00286216" w:rsidRDefault="00630147" w:rsidP="00630147">
            <w:pPr>
              <w:pStyle w:val="StyleWisnow"/>
              <w:rPr>
                <w:color w:val="000000" w:themeColor="text1"/>
              </w:rPr>
            </w:pPr>
          </w:p>
        </w:tc>
        <w:tc>
          <w:tcPr>
            <w:tcW w:w="4818" w:type="dxa"/>
          </w:tcPr>
          <w:p w14:paraId="5056309F" w14:textId="5AE7980F" w:rsidR="00630147" w:rsidRPr="00286216" w:rsidRDefault="00630147" w:rsidP="00630147">
            <w:pPr>
              <w:pStyle w:val="StyleZakonu"/>
              <w:rPr>
                <w:color w:val="000000" w:themeColor="text1"/>
              </w:rPr>
            </w:pPr>
            <w:r w:rsidRPr="00286216">
              <w:rPr>
                <w:color w:val="000000" w:themeColor="text1"/>
              </w:rPr>
              <w:t>11) у статті 49:</w:t>
            </w:r>
          </w:p>
        </w:tc>
      </w:tr>
      <w:tr w:rsidR="00630147" w:rsidRPr="00286216" w14:paraId="7FF9463E" w14:textId="77777777" w:rsidTr="00091AA5">
        <w:tc>
          <w:tcPr>
            <w:tcW w:w="576" w:type="dxa"/>
          </w:tcPr>
          <w:p w14:paraId="6CA2813D" w14:textId="77777777" w:rsidR="00630147" w:rsidRPr="00286216" w:rsidRDefault="00630147" w:rsidP="00630147">
            <w:pPr>
              <w:pStyle w:val="StyleWisnow"/>
              <w:rPr>
                <w:color w:val="000000" w:themeColor="text1"/>
              </w:rPr>
            </w:pPr>
            <w:bookmarkStart w:id="3078" w:name="n3207" w:colFirst="0" w:colLast="0"/>
            <w:bookmarkEnd w:id="3077"/>
            <w:r w:rsidRPr="00286216">
              <w:rPr>
                <w:color w:val="000000" w:themeColor="text1"/>
              </w:rPr>
              <w:t>3207.</w:t>
            </w:r>
          </w:p>
        </w:tc>
        <w:tc>
          <w:tcPr>
            <w:tcW w:w="4818" w:type="dxa"/>
          </w:tcPr>
          <w:p w14:paraId="3144EC89" w14:textId="77777777" w:rsidR="00630147" w:rsidRPr="00286216" w:rsidRDefault="00630147" w:rsidP="00630147">
            <w:pPr>
              <w:pStyle w:val="StyleZakonu"/>
              <w:rPr>
                <w:color w:val="000000" w:themeColor="text1"/>
              </w:rPr>
            </w:pPr>
            <w:r w:rsidRPr="00286216">
              <w:rPr>
                <w:color w:val="000000" w:themeColor="text1"/>
              </w:rPr>
              <w:t>а) у частині першій:</w:t>
            </w:r>
          </w:p>
        </w:tc>
        <w:tc>
          <w:tcPr>
            <w:tcW w:w="3686" w:type="dxa"/>
          </w:tcPr>
          <w:p w14:paraId="3C33027C" w14:textId="77777777" w:rsidR="00630147" w:rsidRPr="00286216" w:rsidRDefault="00630147" w:rsidP="00630147">
            <w:pPr>
              <w:pStyle w:val="StyleProp"/>
              <w:rPr>
                <w:color w:val="000000" w:themeColor="text1"/>
                <w:szCs w:val="18"/>
              </w:rPr>
            </w:pPr>
          </w:p>
        </w:tc>
        <w:tc>
          <w:tcPr>
            <w:tcW w:w="1987" w:type="dxa"/>
          </w:tcPr>
          <w:p w14:paraId="0BF32A2A" w14:textId="77777777" w:rsidR="00630147" w:rsidRPr="00286216" w:rsidRDefault="00630147" w:rsidP="00630147">
            <w:pPr>
              <w:pStyle w:val="StyleWisnow"/>
              <w:rPr>
                <w:color w:val="000000" w:themeColor="text1"/>
              </w:rPr>
            </w:pPr>
          </w:p>
        </w:tc>
        <w:tc>
          <w:tcPr>
            <w:tcW w:w="4818" w:type="dxa"/>
          </w:tcPr>
          <w:p w14:paraId="0AA53BF1" w14:textId="73BF4E5E" w:rsidR="00630147" w:rsidRPr="00286216" w:rsidRDefault="00630147" w:rsidP="00630147">
            <w:pPr>
              <w:pStyle w:val="StyleZakonu"/>
              <w:rPr>
                <w:color w:val="000000" w:themeColor="text1"/>
              </w:rPr>
            </w:pPr>
            <w:r w:rsidRPr="00286216">
              <w:rPr>
                <w:color w:val="000000" w:themeColor="text1"/>
              </w:rPr>
              <w:t>а) у частині першій:</w:t>
            </w:r>
          </w:p>
        </w:tc>
      </w:tr>
      <w:tr w:rsidR="00630147" w:rsidRPr="00286216" w14:paraId="752E1D1D" w14:textId="77777777" w:rsidTr="00091AA5">
        <w:tc>
          <w:tcPr>
            <w:tcW w:w="576" w:type="dxa"/>
          </w:tcPr>
          <w:p w14:paraId="1908B37C" w14:textId="77777777" w:rsidR="00630147" w:rsidRPr="00286216" w:rsidRDefault="00630147" w:rsidP="00630147">
            <w:pPr>
              <w:pStyle w:val="StyleWisnow"/>
              <w:rPr>
                <w:color w:val="000000" w:themeColor="text1"/>
              </w:rPr>
            </w:pPr>
            <w:bookmarkStart w:id="3079" w:name="n3208" w:colFirst="0" w:colLast="0"/>
            <w:bookmarkEnd w:id="3078"/>
            <w:r w:rsidRPr="00286216">
              <w:rPr>
                <w:color w:val="000000" w:themeColor="text1"/>
              </w:rPr>
              <w:t>3208.</w:t>
            </w:r>
          </w:p>
        </w:tc>
        <w:tc>
          <w:tcPr>
            <w:tcW w:w="4818" w:type="dxa"/>
          </w:tcPr>
          <w:p w14:paraId="7DDA525E" w14:textId="77777777" w:rsidR="00630147" w:rsidRPr="00286216" w:rsidRDefault="00630147" w:rsidP="00630147">
            <w:pPr>
              <w:pStyle w:val="StyleZakonu"/>
              <w:rPr>
                <w:color w:val="000000" w:themeColor="text1"/>
              </w:rPr>
            </w:pPr>
            <w:r w:rsidRPr="00286216">
              <w:rPr>
                <w:color w:val="000000" w:themeColor="text1"/>
              </w:rPr>
              <w:t>у пункті четвертому після слів "ощадних сертифікатах банків" доповнити словами "депозитних сертифікатах банків";</w:t>
            </w:r>
          </w:p>
        </w:tc>
        <w:tc>
          <w:tcPr>
            <w:tcW w:w="3686" w:type="dxa"/>
          </w:tcPr>
          <w:p w14:paraId="3B96D470" w14:textId="77777777" w:rsidR="00630147" w:rsidRPr="00286216" w:rsidRDefault="00630147" w:rsidP="00630147">
            <w:pPr>
              <w:pStyle w:val="StyleProp"/>
              <w:rPr>
                <w:color w:val="000000" w:themeColor="text1"/>
                <w:szCs w:val="18"/>
              </w:rPr>
            </w:pPr>
          </w:p>
        </w:tc>
        <w:tc>
          <w:tcPr>
            <w:tcW w:w="1987" w:type="dxa"/>
          </w:tcPr>
          <w:p w14:paraId="2460A2EF" w14:textId="77777777" w:rsidR="00630147" w:rsidRPr="00286216" w:rsidRDefault="00630147" w:rsidP="00630147">
            <w:pPr>
              <w:pStyle w:val="StyleWisnow"/>
              <w:rPr>
                <w:color w:val="000000" w:themeColor="text1"/>
              </w:rPr>
            </w:pPr>
          </w:p>
        </w:tc>
        <w:tc>
          <w:tcPr>
            <w:tcW w:w="4818" w:type="dxa"/>
          </w:tcPr>
          <w:p w14:paraId="2A5760ED" w14:textId="45C6A690" w:rsidR="00630147" w:rsidRPr="00286216" w:rsidRDefault="00630147" w:rsidP="00630147">
            <w:pPr>
              <w:pStyle w:val="StyleZakonu"/>
              <w:rPr>
                <w:color w:val="000000" w:themeColor="text1"/>
              </w:rPr>
            </w:pPr>
            <w:r w:rsidRPr="00286216">
              <w:rPr>
                <w:color w:val="000000" w:themeColor="text1"/>
              </w:rPr>
              <w:t>пункт 4 після слів "ощадних сертифікатах банків" доповнити словами "депозитних сертифікатах банків";</w:t>
            </w:r>
          </w:p>
        </w:tc>
      </w:tr>
      <w:tr w:rsidR="00630147" w:rsidRPr="00286216" w14:paraId="07D95109" w14:textId="77777777" w:rsidTr="00091AA5">
        <w:tc>
          <w:tcPr>
            <w:tcW w:w="576" w:type="dxa"/>
          </w:tcPr>
          <w:p w14:paraId="051FEA82" w14:textId="77777777" w:rsidR="00630147" w:rsidRPr="00286216" w:rsidRDefault="00630147" w:rsidP="00630147">
            <w:pPr>
              <w:pStyle w:val="StyleWisnow"/>
              <w:rPr>
                <w:color w:val="000000" w:themeColor="text1"/>
              </w:rPr>
            </w:pPr>
            <w:bookmarkStart w:id="3080" w:name="n3209" w:colFirst="0" w:colLast="0"/>
            <w:bookmarkEnd w:id="3079"/>
            <w:r w:rsidRPr="00286216">
              <w:rPr>
                <w:color w:val="000000" w:themeColor="text1"/>
              </w:rPr>
              <w:t>3209.</w:t>
            </w:r>
          </w:p>
        </w:tc>
        <w:tc>
          <w:tcPr>
            <w:tcW w:w="4818" w:type="dxa"/>
          </w:tcPr>
          <w:p w14:paraId="34743234" w14:textId="77777777" w:rsidR="00630147" w:rsidRPr="00286216" w:rsidRDefault="00630147" w:rsidP="00630147">
            <w:pPr>
              <w:pStyle w:val="StyleZakonu"/>
              <w:rPr>
                <w:color w:val="000000" w:themeColor="text1"/>
              </w:rPr>
            </w:pPr>
            <w:r w:rsidRPr="00286216">
              <w:rPr>
                <w:color w:val="000000" w:themeColor="text1"/>
              </w:rPr>
              <w:t>пункт п’ятий після слів "активів (крім" доповнити словами "облігацій міжнародних фінансових організацій, що розміщуються на території України, ";</w:t>
            </w:r>
          </w:p>
        </w:tc>
        <w:tc>
          <w:tcPr>
            <w:tcW w:w="3686" w:type="dxa"/>
          </w:tcPr>
          <w:p w14:paraId="68B6B879" w14:textId="77777777" w:rsidR="00630147" w:rsidRPr="00286216" w:rsidRDefault="00630147" w:rsidP="00630147">
            <w:pPr>
              <w:pStyle w:val="StyleProp"/>
              <w:rPr>
                <w:color w:val="000000" w:themeColor="text1"/>
                <w:szCs w:val="18"/>
              </w:rPr>
            </w:pPr>
          </w:p>
        </w:tc>
        <w:tc>
          <w:tcPr>
            <w:tcW w:w="1987" w:type="dxa"/>
          </w:tcPr>
          <w:p w14:paraId="44CFF404" w14:textId="77777777" w:rsidR="00630147" w:rsidRPr="00286216" w:rsidRDefault="00630147" w:rsidP="00630147">
            <w:pPr>
              <w:pStyle w:val="StyleWisnow"/>
              <w:rPr>
                <w:color w:val="000000" w:themeColor="text1"/>
              </w:rPr>
            </w:pPr>
          </w:p>
        </w:tc>
        <w:tc>
          <w:tcPr>
            <w:tcW w:w="4818" w:type="dxa"/>
          </w:tcPr>
          <w:p w14:paraId="78D1132B" w14:textId="5D13257D" w:rsidR="00630147" w:rsidRPr="00286216" w:rsidRDefault="00630147" w:rsidP="00630147">
            <w:pPr>
              <w:pStyle w:val="StyleZakonu"/>
              <w:rPr>
                <w:color w:val="000000" w:themeColor="text1"/>
              </w:rPr>
            </w:pPr>
            <w:r w:rsidRPr="00286216">
              <w:rPr>
                <w:color w:val="000000" w:themeColor="text1"/>
              </w:rPr>
              <w:t>пункт 5 після слів "активів (крім" доповнити словами "облігацій міжнародних фінансових організацій, що розміщуються на території України";</w:t>
            </w:r>
          </w:p>
        </w:tc>
      </w:tr>
      <w:tr w:rsidR="00630147" w:rsidRPr="00286216" w14:paraId="19CF57B2" w14:textId="77777777" w:rsidTr="00091AA5">
        <w:tc>
          <w:tcPr>
            <w:tcW w:w="576" w:type="dxa"/>
          </w:tcPr>
          <w:p w14:paraId="370675DA" w14:textId="77777777" w:rsidR="00630147" w:rsidRPr="00286216" w:rsidRDefault="00630147" w:rsidP="00630147">
            <w:pPr>
              <w:pStyle w:val="StyleWisnow"/>
              <w:rPr>
                <w:color w:val="000000" w:themeColor="text1"/>
              </w:rPr>
            </w:pPr>
            <w:bookmarkStart w:id="3081" w:name="n3210" w:colFirst="0" w:colLast="0"/>
            <w:bookmarkEnd w:id="3080"/>
            <w:r w:rsidRPr="00286216">
              <w:rPr>
                <w:color w:val="000000" w:themeColor="text1"/>
              </w:rPr>
              <w:t>3210.</w:t>
            </w:r>
          </w:p>
        </w:tc>
        <w:tc>
          <w:tcPr>
            <w:tcW w:w="4818" w:type="dxa"/>
          </w:tcPr>
          <w:p w14:paraId="0DE3ECC9" w14:textId="77777777" w:rsidR="00630147" w:rsidRPr="00286216" w:rsidRDefault="00630147" w:rsidP="00630147">
            <w:pPr>
              <w:pStyle w:val="StyleZakonu"/>
              <w:rPr>
                <w:color w:val="000000" w:themeColor="text1"/>
              </w:rPr>
            </w:pPr>
            <w:r w:rsidRPr="00286216">
              <w:rPr>
                <w:color w:val="000000" w:themeColor="text1"/>
              </w:rPr>
              <w:t>доповнити частину після пункту шостого новим пунктом такого змісту:</w:t>
            </w:r>
          </w:p>
        </w:tc>
        <w:tc>
          <w:tcPr>
            <w:tcW w:w="3686" w:type="dxa"/>
          </w:tcPr>
          <w:p w14:paraId="7BFFA485" w14:textId="77777777" w:rsidR="00630147" w:rsidRPr="00286216" w:rsidRDefault="00630147" w:rsidP="00630147">
            <w:pPr>
              <w:pStyle w:val="StyleProp"/>
              <w:rPr>
                <w:color w:val="000000" w:themeColor="text1"/>
                <w:szCs w:val="18"/>
              </w:rPr>
            </w:pPr>
          </w:p>
        </w:tc>
        <w:tc>
          <w:tcPr>
            <w:tcW w:w="1987" w:type="dxa"/>
          </w:tcPr>
          <w:p w14:paraId="195789CA" w14:textId="77777777" w:rsidR="00630147" w:rsidRPr="00286216" w:rsidRDefault="00630147" w:rsidP="00630147">
            <w:pPr>
              <w:pStyle w:val="StyleWisnow"/>
              <w:rPr>
                <w:color w:val="000000" w:themeColor="text1"/>
              </w:rPr>
            </w:pPr>
          </w:p>
        </w:tc>
        <w:tc>
          <w:tcPr>
            <w:tcW w:w="4818" w:type="dxa"/>
          </w:tcPr>
          <w:p w14:paraId="4E4DCD71" w14:textId="76F557B2" w:rsidR="00630147" w:rsidRPr="00286216" w:rsidRDefault="00630147" w:rsidP="00630147">
            <w:pPr>
              <w:pStyle w:val="StyleZakonu"/>
              <w:rPr>
                <w:color w:val="000000" w:themeColor="text1"/>
              </w:rPr>
            </w:pPr>
            <w:r w:rsidRPr="00286216">
              <w:rPr>
                <w:color w:val="000000" w:themeColor="text1"/>
              </w:rPr>
              <w:t>доповнити пунктом 6</w:t>
            </w:r>
            <w:r w:rsidRPr="00286216">
              <w:rPr>
                <w:color w:val="000000" w:themeColor="text1"/>
                <w:vertAlign w:val="superscript"/>
              </w:rPr>
              <w:t>1</w:t>
            </w:r>
            <w:r w:rsidRPr="00286216">
              <w:rPr>
                <w:color w:val="000000" w:themeColor="text1"/>
              </w:rPr>
              <w:t xml:space="preserve"> такого змісту:</w:t>
            </w:r>
          </w:p>
        </w:tc>
      </w:tr>
      <w:tr w:rsidR="00630147" w:rsidRPr="00286216" w14:paraId="6AA42FF5" w14:textId="77777777" w:rsidTr="00091AA5">
        <w:tc>
          <w:tcPr>
            <w:tcW w:w="576" w:type="dxa"/>
          </w:tcPr>
          <w:p w14:paraId="426413DE" w14:textId="77777777" w:rsidR="00630147" w:rsidRPr="00286216" w:rsidRDefault="00630147" w:rsidP="00630147">
            <w:pPr>
              <w:pStyle w:val="StyleWisnow"/>
              <w:rPr>
                <w:color w:val="000000" w:themeColor="text1"/>
              </w:rPr>
            </w:pPr>
            <w:bookmarkStart w:id="3082" w:name="n3211" w:colFirst="0" w:colLast="0"/>
            <w:bookmarkEnd w:id="3081"/>
            <w:r w:rsidRPr="00286216">
              <w:rPr>
                <w:color w:val="000000" w:themeColor="text1"/>
              </w:rPr>
              <w:lastRenderedPageBreak/>
              <w:t>3211.</w:t>
            </w:r>
          </w:p>
        </w:tc>
        <w:tc>
          <w:tcPr>
            <w:tcW w:w="4818" w:type="dxa"/>
          </w:tcPr>
          <w:p w14:paraId="145AFB13" w14:textId="77777777" w:rsidR="00630147" w:rsidRPr="00286216" w:rsidRDefault="00630147" w:rsidP="00630147">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придбавати або додатково інвестувати в облігації міжнародних фінансових організацій, що розміщуються на території України, більш як 50 відсотків загальної вартості пенсійних активів; ";</w:t>
            </w:r>
          </w:p>
        </w:tc>
        <w:tc>
          <w:tcPr>
            <w:tcW w:w="3686" w:type="dxa"/>
          </w:tcPr>
          <w:p w14:paraId="015ED010" w14:textId="77777777" w:rsidR="00630147" w:rsidRPr="00286216" w:rsidRDefault="00630147" w:rsidP="00630147">
            <w:pPr>
              <w:pStyle w:val="StyleProp"/>
              <w:rPr>
                <w:color w:val="000000" w:themeColor="text1"/>
                <w:szCs w:val="18"/>
              </w:rPr>
            </w:pPr>
          </w:p>
        </w:tc>
        <w:tc>
          <w:tcPr>
            <w:tcW w:w="1987" w:type="dxa"/>
          </w:tcPr>
          <w:p w14:paraId="2D60A638" w14:textId="77777777" w:rsidR="00630147" w:rsidRPr="00286216" w:rsidRDefault="00630147" w:rsidP="00630147">
            <w:pPr>
              <w:pStyle w:val="StyleWisnow"/>
              <w:rPr>
                <w:color w:val="000000" w:themeColor="text1"/>
              </w:rPr>
            </w:pPr>
          </w:p>
        </w:tc>
        <w:tc>
          <w:tcPr>
            <w:tcW w:w="4818" w:type="dxa"/>
          </w:tcPr>
          <w:p w14:paraId="6FD572DB" w14:textId="4ADF79B5" w:rsidR="00630147" w:rsidRPr="00286216" w:rsidRDefault="00630147" w:rsidP="00630147">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придбавати або додатково інвестувати в облігації міжнародних фінансових організацій, що розміщуються на території України, більш як 50 відсотків загальної вартості пенсійних активів";</w:t>
            </w:r>
          </w:p>
        </w:tc>
      </w:tr>
      <w:tr w:rsidR="00630147" w:rsidRPr="00286216" w14:paraId="61A9376A" w14:textId="77777777" w:rsidTr="00091AA5">
        <w:tc>
          <w:tcPr>
            <w:tcW w:w="576" w:type="dxa"/>
          </w:tcPr>
          <w:p w14:paraId="37D0BDEB" w14:textId="77777777" w:rsidR="00630147" w:rsidRPr="00286216" w:rsidRDefault="00630147" w:rsidP="00630147">
            <w:pPr>
              <w:pStyle w:val="StyleWisnow"/>
              <w:rPr>
                <w:color w:val="000000" w:themeColor="text1"/>
              </w:rPr>
            </w:pPr>
            <w:bookmarkStart w:id="3083" w:name="n3212" w:colFirst="0" w:colLast="0"/>
            <w:bookmarkEnd w:id="3082"/>
            <w:r w:rsidRPr="00286216">
              <w:rPr>
                <w:color w:val="000000" w:themeColor="text1"/>
              </w:rPr>
              <w:t>3212.</w:t>
            </w:r>
          </w:p>
        </w:tc>
        <w:tc>
          <w:tcPr>
            <w:tcW w:w="4818" w:type="dxa"/>
          </w:tcPr>
          <w:p w14:paraId="5E12BA22" w14:textId="77777777" w:rsidR="00630147" w:rsidRPr="00286216" w:rsidRDefault="00630147" w:rsidP="00630147">
            <w:pPr>
              <w:pStyle w:val="StyleZakonu"/>
              <w:rPr>
                <w:color w:val="000000" w:themeColor="text1"/>
              </w:rPr>
            </w:pPr>
            <w:r w:rsidRPr="00286216">
              <w:rPr>
                <w:color w:val="000000" w:themeColor="text1"/>
              </w:rPr>
              <w:t>у пункті восьмому слова "облігації підприємств" замінити словами "корпоративні облігації";</w:t>
            </w:r>
          </w:p>
        </w:tc>
        <w:tc>
          <w:tcPr>
            <w:tcW w:w="3686" w:type="dxa"/>
          </w:tcPr>
          <w:p w14:paraId="0F7B9B6C" w14:textId="77777777" w:rsidR="00630147" w:rsidRPr="00286216" w:rsidRDefault="00630147" w:rsidP="00630147">
            <w:pPr>
              <w:pStyle w:val="StyleProp"/>
              <w:rPr>
                <w:color w:val="000000" w:themeColor="text1"/>
                <w:szCs w:val="18"/>
              </w:rPr>
            </w:pPr>
          </w:p>
        </w:tc>
        <w:tc>
          <w:tcPr>
            <w:tcW w:w="1987" w:type="dxa"/>
          </w:tcPr>
          <w:p w14:paraId="14063562" w14:textId="77777777" w:rsidR="00630147" w:rsidRPr="00286216" w:rsidRDefault="00630147" w:rsidP="00630147">
            <w:pPr>
              <w:pStyle w:val="StyleWisnow"/>
              <w:rPr>
                <w:color w:val="000000" w:themeColor="text1"/>
              </w:rPr>
            </w:pPr>
          </w:p>
        </w:tc>
        <w:tc>
          <w:tcPr>
            <w:tcW w:w="4818" w:type="dxa"/>
          </w:tcPr>
          <w:p w14:paraId="4D3ABE74" w14:textId="768396B4" w:rsidR="00630147" w:rsidRPr="00286216" w:rsidRDefault="00630147" w:rsidP="00630147">
            <w:pPr>
              <w:pStyle w:val="StyleZakonu"/>
              <w:rPr>
                <w:color w:val="000000" w:themeColor="text1"/>
              </w:rPr>
            </w:pPr>
            <w:r w:rsidRPr="00286216">
              <w:rPr>
                <w:color w:val="000000" w:themeColor="text1"/>
              </w:rPr>
              <w:t>у пункті 8 слова "облігації підприємств" замінити словами "корпоративні облігації";</w:t>
            </w:r>
          </w:p>
        </w:tc>
      </w:tr>
      <w:tr w:rsidR="00630147" w:rsidRPr="00286216" w14:paraId="3BEF93FB" w14:textId="77777777" w:rsidTr="00091AA5">
        <w:tc>
          <w:tcPr>
            <w:tcW w:w="576" w:type="dxa"/>
          </w:tcPr>
          <w:p w14:paraId="33BFBE17" w14:textId="77777777" w:rsidR="00630147" w:rsidRPr="00286216" w:rsidRDefault="00630147" w:rsidP="00630147">
            <w:pPr>
              <w:pStyle w:val="StyleWisnow"/>
              <w:rPr>
                <w:color w:val="000000" w:themeColor="text1"/>
              </w:rPr>
            </w:pPr>
            <w:bookmarkStart w:id="3084" w:name="n3213" w:colFirst="0" w:colLast="0"/>
            <w:bookmarkEnd w:id="3083"/>
            <w:r w:rsidRPr="00286216">
              <w:rPr>
                <w:color w:val="000000" w:themeColor="text1"/>
              </w:rPr>
              <w:t>3213.</w:t>
            </w:r>
          </w:p>
        </w:tc>
        <w:tc>
          <w:tcPr>
            <w:tcW w:w="4818" w:type="dxa"/>
          </w:tcPr>
          <w:p w14:paraId="5DEC575D" w14:textId="77777777" w:rsidR="00630147" w:rsidRPr="00286216" w:rsidRDefault="00630147" w:rsidP="00630147">
            <w:pPr>
              <w:pStyle w:val="StyleZakonu"/>
              <w:rPr>
                <w:color w:val="000000" w:themeColor="text1"/>
              </w:rPr>
            </w:pPr>
            <w:r w:rsidRPr="00286216">
              <w:rPr>
                <w:color w:val="000000" w:themeColor="text1"/>
              </w:rPr>
              <w:t>у пункті 9</w:t>
            </w:r>
            <w:r w:rsidRPr="00286216">
              <w:rPr>
                <w:color w:val="000000" w:themeColor="text1"/>
                <w:vertAlign w:val="superscript"/>
              </w:rPr>
              <w:t>1</w:t>
            </w:r>
            <w:r w:rsidRPr="00286216">
              <w:rPr>
                <w:color w:val="000000" w:themeColor="text1"/>
              </w:rPr>
              <w:t xml:space="preserve"> слова "фондовій біржі" замінити словами "регульованому фондовому ринку";</w:t>
            </w:r>
          </w:p>
        </w:tc>
        <w:tc>
          <w:tcPr>
            <w:tcW w:w="3686" w:type="dxa"/>
          </w:tcPr>
          <w:p w14:paraId="4EE070E9" w14:textId="77777777" w:rsidR="00630147" w:rsidRPr="00286216" w:rsidRDefault="00630147" w:rsidP="00630147">
            <w:pPr>
              <w:pStyle w:val="StyleProp"/>
              <w:rPr>
                <w:color w:val="000000" w:themeColor="text1"/>
                <w:szCs w:val="18"/>
              </w:rPr>
            </w:pPr>
          </w:p>
        </w:tc>
        <w:tc>
          <w:tcPr>
            <w:tcW w:w="1987" w:type="dxa"/>
          </w:tcPr>
          <w:p w14:paraId="13588A97" w14:textId="77777777" w:rsidR="00630147" w:rsidRPr="00286216" w:rsidRDefault="00630147" w:rsidP="00630147">
            <w:pPr>
              <w:pStyle w:val="StyleWisnow"/>
              <w:rPr>
                <w:color w:val="000000" w:themeColor="text1"/>
              </w:rPr>
            </w:pPr>
          </w:p>
        </w:tc>
        <w:tc>
          <w:tcPr>
            <w:tcW w:w="4818" w:type="dxa"/>
          </w:tcPr>
          <w:p w14:paraId="46C98491" w14:textId="041E1A70" w:rsidR="00630147" w:rsidRPr="00286216" w:rsidRDefault="00630147" w:rsidP="00630147">
            <w:pPr>
              <w:pStyle w:val="StyleZakonu"/>
              <w:rPr>
                <w:color w:val="000000" w:themeColor="text1"/>
              </w:rPr>
            </w:pPr>
            <w:r w:rsidRPr="00286216">
              <w:rPr>
                <w:color w:val="000000" w:themeColor="text1"/>
              </w:rPr>
              <w:t>у пункті 9</w:t>
            </w:r>
            <w:r w:rsidRPr="00286216">
              <w:rPr>
                <w:color w:val="000000" w:themeColor="text1"/>
                <w:vertAlign w:val="superscript"/>
              </w:rPr>
              <w:t>1</w:t>
            </w:r>
            <w:r w:rsidRPr="00286216">
              <w:rPr>
                <w:color w:val="000000" w:themeColor="text1"/>
              </w:rPr>
              <w:t xml:space="preserve"> слова "фондовій біржі" замінити словами "регульованому фондовому ринку";</w:t>
            </w:r>
          </w:p>
        </w:tc>
      </w:tr>
      <w:bookmarkEnd w:id="3084"/>
      <w:tr w:rsidR="00630147" w:rsidRPr="00286216" w14:paraId="57B6152C" w14:textId="77777777" w:rsidTr="00091AA5">
        <w:tc>
          <w:tcPr>
            <w:tcW w:w="576" w:type="dxa"/>
          </w:tcPr>
          <w:p w14:paraId="710CCDD6" w14:textId="77777777" w:rsidR="00630147" w:rsidRPr="00286216" w:rsidRDefault="00630147" w:rsidP="00630147">
            <w:pPr>
              <w:pStyle w:val="StyleWisnow"/>
              <w:rPr>
                <w:color w:val="000000" w:themeColor="text1"/>
              </w:rPr>
            </w:pPr>
            <w:r w:rsidRPr="00286216">
              <w:rPr>
                <w:color w:val="000000" w:themeColor="text1"/>
              </w:rPr>
              <w:t>3214.</w:t>
            </w:r>
          </w:p>
        </w:tc>
        <w:tc>
          <w:tcPr>
            <w:tcW w:w="4818" w:type="dxa"/>
          </w:tcPr>
          <w:p w14:paraId="134179CA" w14:textId="77777777" w:rsidR="00630147" w:rsidRPr="00286216" w:rsidRDefault="00630147" w:rsidP="00630147">
            <w:pPr>
              <w:pStyle w:val="StyleZakonu"/>
              <w:rPr>
                <w:color w:val="000000" w:themeColor="text1"/>
              </w:rPr>
            </w:pPr>
            <w:r w:rsidRPr="00286216">
              <w:rPr>
                <w:color w:val="000000" w:themeColor="text1"/>
              </w:rPr>
              <w:t>пункт десятий після слів "іноземних емітентів" доповнити словами "(крім облігацій міжнародних фінансових організацій, що розміщуються на території України)";</w:t>
            </w:r>
          </w:p>
        </w:tc>
        <w:tc>
          <w:tcPr>
            <w:tcW w:w="3686" w:type="dxa"/>
          </w:tcPr>
          <w:p w14:paraId="51E9F55A" w14:textId="77777777" w:rsidR="00630147" w:rsidRPr="00286216" w:rsidRDefault="00630147" w:rsidP="00630147">
            <w:pPr>
              <w:pStyle w:val="StyleProp"/>
              <w:rPr>
                <w:color w:val="000000" w:themeColor="text1"/>
                <w:szCs w:val="18"/>
              </w:rPr>
            </w:pPr>
          </w:p>
        </w:tc>
        <w:tc>
          <w:tcPr>
            <w:tcW w:w="1987" w:type="dxa"/>
          </w:tcPr>
          <w:p w14:paraId="177655AA" w14:textId="77777777" w:rsidR="00630147" w:rsidRPr="00286216" w:rsidRDefault="00630147" w:rsidP="00630147">
            <w:pPr>
              <w:pStyle w:val="StyleWisnow"/>
              <w:spacing w:line="180" w:lineRule="exact"/>
              <w:rPr>
                <w:color w:val="000000" w:themeColor="text1"/>
              </w:rPr>
            </w:pPr>
          </w:p>
        </w:tc>
        <w:tc>
          <w:tcPr>
            <w:tcW w:w="4818" w:type="dxa"/>
          </w:tcPr>
          <w:p w14:paraId="31C117AD" w14:textId="2D621153" w:rsidR="00630147" w:rsidRPr="00286216" w:rsidRDefault="00630147" w:rsidP="00630147">
            <w:pPr>
              <w:pStyle w:val="StyleZakonu"/>
              <w:rPr>
                <w:color w:val="000000" w:themeColor="text1"/>
              </w:rPr>
            </w:pPr>
            <w:r w:rsidRPr="00286216">
              <w:rPr>
                <w:color w:val="000000" w:themeColor="text1"/>
              </w:rPr>
              <w:t>пункт 10 після слів "іноземних емітентів" доповнити словами "(крім облігацій міжнародних фінансових організацій, що розміщуються на території України)";</w:t>
            </w:r>
          </w:p>
        </w:tc>
      </w:tr>
      <w:tr w:rsidR="00630147" w:rsidRPr="00286216" w14:paraId="347A990C" w14:textId="77777777" w:rsidTr="00091AA5">
        <w:tc>
          <w:tcPr>
            <w:tcW w:w="576" w:type="dxa"/>
          </w:tcPr>
          <w:p w14:paraId="7F572434" w14:textId="77777777" w:rsidR="00630147" w:rsidRPr="00286216" w:rsidRDefault="00630147" w:rsidP="00630147">
            <w:pPr>
              <w:pStyle w:val="StyleWisnow"/>
              <w:rPr>
                <w:color w:val="000000" w:themeColor="text1"/>
              </w:rPr>
            </w:pPr>
            <w:bookmarkStart w:id="3085" w:name="n3215" w:colFirst="0" w:colLast="0"/>
            <w:r w:rsidRPr="00286216">
              <w:rPr>
                <w:color w:val="000000" w:themeColor="text1"/>
              </w:rPr>
              <w:t>3215.</w:t>
            </w:r>
          </w:p>
        </w:tc>
        <w:tc>
          <w:tcPr>
            <w:tcW w:w="4818" w:type="dxa"/>
          </w:tcPr>
          <w:p w14:paraId="4D14DC52" w14:textId="77777777" w:rsidR="00630147" w:rsidRPr="00286216" w:rsidRDefault="00630147" w:rsidP="00630147">
            <w:pPr>
              <w:pStyle w:val="StyleZakonu"/>
              <w:rPr>
                <w:color w:val="000000" w:themeColor="text1"/>
              </w:rPr>
            </w:pPr>
            <w:r w:rsidRPr="00286216">
              <w:rPr>
                <w:color w:val="000000" w:themeColor="text1"/>
              </w:rPr>
              <w:t>пункт двадцятий після слів "юридичної особи" доповнити словами "(крім облігацій міжнародних фінансових організацій, що розміщуються на території України)";</w:t>
            </w:r>
          </w:p>
        </w:tc>
        <w:tc>
          <w:tcPr>
            <w:tcW w:w="3686" w:type="dxa"/>
          </w:tcPr>
          <w:p w14:paraId="34551254" w14:textId="77777777" w:rsidR="00630147" w:rsidRPr="00286216" w:rsidRDefault="00630147" w:rsidP="00630147">
            <w:pPr>
              <w:pStyle w:val="StyleProp"/>
              <w:rPr>
                <w:color w:val="000000" w:themeColor="text1"/>
                <w:szCs w:val="18"/>
              </w:rPr>
            </w:pPr>
          </w:p>
        </w:tc>
        <w:tc>
          <w:tcPr>
            <w:tcW w:w="1987" w:type="dxa"/>
          </w:tcPr>
          <w:p w14:paraId="3EACE081" w14:textId="77777777" w:rsidR="00630147" w:rsidRPr="00286216" w:rsidRDefault="00630147" w:rsidP="00630147">
            <w:pPr>
              <w:pStyle w:val="StyleWisnow"/>
              <w:spacing w:line="180" w:lineRule="exact"/>
              <w:rPr>
                <w:color w:val="000000" w:themeColor="text1"/>
              </w:rPr>
            </w:pPr>
          </w:p>
        </w:tc>
        <w:tc>
          <w:tcPr>
            <w:tcW w:w="4818" w:type="dxa"/>
          </w:tcPr>
          <w:p w14:paraId="092D935A" w14:textId="675B12C5" w:rsidR="00630147" w:rsidRPr="00286216" w:rsidRDefault="00630147" w:rsidP="00630147">
            <w:pPr>
              <w:pStyle w:val="StyleZakonu"/>
              <w:rPr>
                <w:color w:val="000000" w:themeColor="text1"/>
              </w:rPr>
            </w:pPr>
            <w:r w:rsidRPr="00286216">
              <w:rPr>
                <w:color w:val="000000" w:themeColor="text1"/>
              </w:rPr>
              <w:t>пункт 20 після слів "юридичної особи" доповнити словами "(крім облігацій міжнародних фінансових організацій, що розміщуються на території України)";</w:t>
            </w:r>
          </w:p>
        </w:tc>
      </w:tr>
      <w:tr w:rsidR="00630147" w:rsidRPr="00286216" w14:paraId="73C8B94B" w14:textId="77777777" w:rsidTr="00091AA5">
        <w:tc>
          <w:tcPr>
            <w:tcW w:w="576" w:type="dxa"/>
          </w:tcPr>
          <w:p w14:paraId="5E4E216C" w14:textId="77777777" w:rsidR="00630147" w:rsidRPr="00286216" w:rsidRDefault="00630147" w:rsidP="00630147">
            <w:pPr>
              <w:pStyle w:val="StyleWisnow"/>
              <w:rPr>
                <w:color w:val="000000" w:themeColor="text1"/>
              </w:rPr>
            </w:pPr>
            <w:bookmarkStart w:id="3086" w:name="n3216" w:colFirst="0" w:colLast="0"/>
            <w:bookmarkEnd w:id="3085"/>
            <w:r w:rsidRPr="00286216">
              <w:rPr>
                <w:color w:val="000000" w:themeColor="text1"/>
              </w:rPr>
              <w:t>3216.</w:t>
            </w:r>
          </w:p>
        </w:tc>
        <w:tc>
          <w:tcPr>
            <w:tcW w:w="4818" w:type="dxa"/>
          </w:tcPr>
          <w:p w14:paraId="766511AF" w14:textId="77777777" w:rsidR="00630147" w:rsidRPr="00286216" w:rsidRDefault="00630147" w:rsidP="00630147">
            <w:pPr>
              <w:pStyle w:val="StyleZakonu"/>
              <w:rPr>
                <w:color w:val="000000" w:themeColor="text1"/>
              </w:rPr>
            </w:pPr>
            <w:r w:rsidRPr="00286216">
              <w:rPr>
                <w:color w:val="000000" w:themeColor="text1"/>
              </w:rPr>
              <w:t>доповнити частину після пункту двадцятого новим пунктом такого змісту:</w:t>
            </w:r>
          </w:p>
        </w:tc>
        <w:tc>
          <w:tcPr>
            <w:tcW w:w="3686" w:type="dxa"/>
          </w:tcPr>
          <w:p w14:paraId="1E646488" w14:textId="77777777" w:rsidR="00630147" w:rsidRPr="00286216" w:rsidRDefault="00630147" w:rsidP="00630147">
            <w:pPr>
              <w:pStyle w:val="StyleProp"/>
              <w:rPr>
                <w:color w:val="000000" w:themeColor="text1"/>
                <w:szCs w:val="18"/>
              </w:rPr>
            </w:pPr>
          </w:p>
        </w:tc>
        <w:tc>
          <w:tcPr>
            <w:tcW w:w="1987" w:type="dxa"/>
          </w:tcPr>
          <w:p w14:paraId="0C7175EC" w14:textId="77777777" w:rsidR="00630147" w:rsidRPr="00286216" w:rsidRDefault="00630147" w:rsidP="00630147">
            <w:pPr>
              <w:pStyle w:val="StyleWisnow"/>
              <w:spacing w:line="180" w:lineRule="exact"/>
              <w:rPr>
                <w:color w:val="000000" w:themeColor="text1"/>
              </w:rPr>
            </w:pPr>
          </w:p>
        </w:tc>
        <w:tc>
          <w:tcPr>
            <w:tcW w:w="4818" w:type="dxa"/>
          </w:tcPr>
          <w:p w14:paraId="77C5A145" w14:textId="1593DEE0" w:rsidR="00630147" w:rsidRPr="00286216" w:rsidRDefault="00630147" w:rsidP="00630147">
            <w:pPr>
              <w:pStyle w:val="StyleZakonu"/>
              <w:rPr>
                <w:color w:val="000000" w:themeColor="text1"/>
              </w:rPr>
            </w:pPr>
            <w:r w:rsidRPr="00286216">
              <w:rPr>
                <w:color w:val="000000" w:themeColor="text1"/>
              </w:rPr>
              <w:t>доповнити пунктом 20</w:t>
            </w:r>
            <w:r w:rsidRPr="00286216">
              <w:rPr>
                <w:color w:val="000000" w:themeColor="text1"/>
                <w:vertAlign w:val="superscript"/>
              </w:rPr>
              <w:t>1</w:t>
            </w:r>
            <w:r w:rsidRPr="00286216">
              <w:rPr>
                <w:color w:val="000000" w:themeColor="text1"/>
              </w:rPr>
              <w:t xml:space="preserve"> такого змісту:</w:t>
            </w:r>
          </w:p>
        </w:tc>
      </w:tr>
      <w:tr w:rsidR="00630147" w:rsidRPr="00286216" w14:paraId="27EBC59A" w14:textId="77777777" w:rsidTr="00091AA5">
        <w:tc>
          <w:tcPr>
            <w:tcW w:w="576" w:type="dxa"/>
          </w:tcPr>
          <w:p w14:paraId="76795B5E" w14:textId="77777777" w:rsidR="00630147" w:rsidRPr="00286216" w:rsidRDefault="00630147" w:rsidP="00630147">
            <w:pPr>
              <w:pStyle w:val="StyleWisnow"/>
              <w:rPr>
                <w:color w:val="000000" w:themeColor="text1"/>
              </w:rPr>
            </w:pPr>
            <w:bookmarkStart w:id="3087" w:name="n3217" w:colFirst="0" w:colLast="0"/>
            <w:bookmarkEnd w:id="3086"/>
            <w:r w:rsidRPr="00286216">
              <w:rPr>
                <w:color w:val="000000" w:themeColor="text1"/>
              </w:rPr>
              <w:t>3217.</w:t>
            </w:r>
          </w:p>
        </w:tc>
        <w:tc>
          <w:tcPr>
            <w:tcW w:w="4818" w:type="dxa"/>
          </w:tcPr>
          <w:p w14:paraId="28B31F5C" w14:textId="77777777" w:rsidR="00630147" w:rsidRPr="00286216" w:rsidRDefault="00630147" w:rsidP="00630147">
            <w:pPr>
              <w:pStyle w:val="StyleZakonu"/>
              <w:rPr>
                <w:color w:val="000000" w:themeColor="text1"/>
              </w:rPr>
            </w:pPr>
            <w:r w:rsidRPr="00286216">
              <w:rPr>
                <w:color w:val="000000" w:themeColor="text1"/>
              </w:rPr>
              <w:t>"20</w:t>
            </w:r>
            <w:r w:rsidRPr="00286216">
              <w:rPr>
                <w:color w:val="000000" w:themeColor="text1"/>
                <w:vertAlign w:val="superscript"/>
              </w:rPr>
              <w:t>1</w:t>
            </w:r>
            <w:r w:rsidRPr="00286216">
              <w:rPr>
                <w:color w:val="000000" w:themeColor="text1"/>
              </w:rPr>
              <w:t>) розміщувати в облігації однієї міжнародної фінансової організації, які розміщуються на території України, більш як 20 відсотків загальної вартості пенсійних активів; ";</w:t>
            </w:r>
          </w:p>
        </w:tc>
        <w:tc>
          <w:tcPr>
            <w:tcW w:w="3686" w:type="dxa"/>
          </w:tcPr>
          <w:p w14:paraId="7AC6C9C9" w14:textId="77777777" w:rsidR="00630147" w:rsidRPr="00286216" w:rsidRDefault="00630147" w:rsidP="00630147">
            <w:pPr>
              <w:pStyle w:val="StyleProp"/>
              <w:rPr>
                <w:color w:val="000000" w:themeColor="text1"/>
                <w:szCs w:val="18"/>
              </w:rPr>
            </w:pPr>
          </w:p>
        </w:tc>
        <w:tc>
          <w:tcPr>
            <w:tcW w:w="1987" w:type="dxa"/>
          </w:tcPr>
          <w:p w14:paraId="37381B28" w14:textId="77777777" w:rsidR="00630147" w:rsidRPr="00286216" w:rsidRDefault="00630147" w:rsidP="00630147">
            <w:pPr>
              <w:pStyle w:val="StyleWisnow"/>
              <w:spacing w:line="180" w:lineRule="exact"/>
              <w:rPr>
                <w:color w:val="000000" w:themeColor="text1"/>
              </w:rPr>
            </w:pPr>
          </w:p>
        </w:tc>
        <w:tc>
          <w:tcPr>
            <w:tcW w:w="4818" w:type="dxa"/>
          </w:tcPr>
          <w:p w14:paraId="7E76A02C" w14:textId="1B26EFED" w:rsidR="00630147" w:rsidRPr="00286216" w:rsidRDefault="00630147" w:rsidP="00630147">
            <w:pPr>
              <w:pStyle w:val="StyleZakonu"/>
              <w:rPr>
                <w:color w:val="000000" w:themeColor="text1"/>
              </w:rPr>
            </w:pPr>
            <w:r w:rsidRPr="00286216">
              <w:rPr>
                <w:color w:val="000000" w:themeColor="text1"/>
              </w:rPr>
              <w:t>"20</w:t>
            </w:r>
            <w:r w:rsidRPr="00286216">
              <w:rPr>
                <w:color w:val="000000" w:themeColor="text1"/>
                <w:vertAlign w:val="superscript"/>
              </w:rPr>
              <w:t>1</w:t>
            </w:r>
            <w:r w:rsidRPr="00286216">
              <w:rPr>
                <w:color w:val="000000" w:themeColor="text1"/>
              </w:rPr>
              <w:t>) розміщувати в облігації однієї міжнародної фінансової організації, які розміщуються на території України, більш як 20 відсотків загальної вартості пенсійних активів";</w:t>
            </w:r>
          </w:p>
        </w:tc>
      </w:tr>
      <w:tr w:rsidR="00630147" w:rsidRPr="00286216" w14:paraId="194B4D05" w14:textId="77777777" w:rsidTr="00091AA5">
        <w:tc>
          <w:tcPr>
            <w:tcW w:w="576" w:type="dxa"/>
          </w:tcPr>
          <w:p w14:paraId="1B08641D" w14:textId="77777777" w:rsidR="00630147" w:rsidRPr="00286216" w:rsidRDefault="00630147" w:rsidP="00630147">
            <w:pPr>
              <w:pStyle w:val="StyleWisnow"/>
              <w:rPr>
                <w:color w:val="000000" w:themeColor="text1"/>
              </w:rPr>
            </w:pPr>
            <w:bookmarkStart w:id="3088" w:name="n3218" w:colFirst="0" w:colLast="0"/>
            <w:bookmarkEnd w:id="3087"/>
            <w:r w:rsidRPr="00286216">
              <w:rPr>
                <w:color w:val="000000" w:themeColor="text1"/>
              </w:rPr>
              <w:t>3218.</w:t>
            </w:r>
          </w:p>
        </w:tc>
        <w:tc>
          <w:tcPr>
            <w:tcW w:w="4818" w:type="dxa"/>
          </w:tcPr>
          <w:p w14:paraId="2BF564BC" w14:textId="77777777" w:rsidR="00630147" w:rsidRPr="00286216" w:rsidRDefault="00630147" w:rsidP="00630147">
            <w:pPr>
              <w:pStyle w:val="StyleZakonu"/>
              <w:rPr>
                <w:color w:val="000000" w:themeColor="text1"/>
              </w:rPr>
            </w:pPr>
            <w:r w:rsidRPr="00286216">
              <w:rPr>
                <w:color w:val="000000" w:themeColor="text1"/>
              </w:rPr>
              <w:t>доповнити пункт двадцять словами "(крім облігацій міжнародних фінансових організацій, що розміщуються на території України)";</w:t>
            </w:r>
          </w:p>
        </w:tc>
        <w:tc>
          <w:tcPr>
            <w:tcW w:w="3686" w:type="dxa"/>
          </w:tcPr>
          <w:p w14:paraId="00263C9E" w14:textId="11D94C09"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1402</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5F03557"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Викласти абзац дванадцятий підпункту «а» підпункту 11 пункту 29 в такій редакції:</w:t>
            </w:r>
          </w:p>
          <w:p w14:paraId="7B3B306E"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«доповнити пункт 21 словами "(крім облігацій міжнародних фінансових організацій, що розміщуються на території України)"»;</w:t>
            </w:r>
          </w:p>
        </w:tc>
        <w:tc>
          <w:tcPr>
            <w:tcW w:w="1987" w:type="dxa"/>
          </w:tcPr>
          <w:p w14:paraId="28BDF4C8"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A646A36" w14:textId="04CCDB77" w:rsidR="00630147" w:rsidRPr="00286216" w:rsidRDefault="00630147" w:rsidP="00630147">
            <w:pPr>
              <w:pStyle w:val="StyleZakonu"/>
              <w:rPr>
                <w:color w:val="000000" w:themeColor="text1"/>
              </w:rPr>
            </w:pPr>
            <w:r w:rsidRPr="00286216">
              <w:rPr>
                <w:color w:val="000000" w:themeColor="text1"/>
                <w:szCs w:val="18"/>
              </w:rPr>
              <w:t>пункт 21 доповнити словами "(крім облігацій міжнародних фінансових організацій, що розміщуються на території України)"</w:t>
            </w:r>
            <w:r w:rsidRPr="00286216">
              <w:rPr>
                <w:color w:val="000000" w:themeColor="text1"/>
              </w:rPr>
              <w:t>;</w:t>
            </w:r>
          </w:p>
        </w:tc>
      </w:tr>
      <w:tr w:rsidR="00630147" w:rsidRPr="00286216" w14:paraId="05344F84" w14:textId="77777777" w:rsidTr="00091AA5">
        <w:tc>
          <w:tcPr>
            <w:tcW w:w="576" w:type="dxa"/>
          </w:tcPr>
          <w:p w14:paraId="78D68384" w14:textId="77777777" w:rsidR="00630147" w:rsidRPr="00286216" w:rsidRDefault="00630147" w:rsidP="00630147">
            <w:pPr>
              <w:pStyle w:val="StyleWisnow"/>
              <w:rPr>
                <w:color w:val="000000" w:themeColor="text1"/>
              </w:rPr>
            </w:pPr>
            <w:bookmarkStart w:id="3089" w:name="n3219" w:colFirst="0" w:colLast="0"/>
            <w:bookmarkEnd w:id="3088"/>
            <w:r w:rsidRPr="00286216">
              <w:rPr>
                <w:color w:val="000000" w:themeColor="text1"/>
              </w:rPr>
              <w:t>3219.</w:t>
            </w:r>
          </w:p>
        </w:tc>
        <w:tc>
          <w:tcPr>
            <w:tcW w:w="4818" w:type="dxa"/>
          </w:tcPr>
          <w:p w14:paraId="588062D3" w14:textId="77777777" w:rsidR="00630147" w:rsidRPr="00286216" w:rsidRDefault="00630147" w:rsidP="00630147">
            <w:pPr>
              <w:pStyle w:val="StyleZakonu"/>
              <w:rPr>
                <w:color w:val="000000" w:themeColor="text1"/>
              </w:rPr>
            </w:pPr>
            <w:r w:rsidRPr="00286216">
              <w:rPr>
                <w:color w:val="000000" w:themeColor="text1"/>
              </w:rPr>
              <w:t>доповнити частину після пункту двадцять першого новим пунктом такого змісту:</w:t>
            </w:r>
          </w:p>
        </w:tc>
        <w:tc>
          <w:tcPr>
            <w:tcW w:w="3686" w:type="dxa"/>
          </w:tcPr>
          <w:p w14:paraId="505C2CDE" w14:textId="77777777" w:rsidR="00630147" w:rsidRPr="00286216" w:rsidRDefault="00630147" w:rsidP="00630147">
            <w:pPr>
              <w:pStyle w:val="StyleProp"/>
              <w:rPr>
                <w:color w:val="000000" w:themeColor="text1"/>
                <w:szCs w:val="18"/>
              </w:rPr>
            </w:pPr>
          </w:p>
        </w:tc>
        <w:tc>
          <w:tcPr>
            <w:tcW w:w="1987" w:type="dxa"/>
          </w:tcPr>
          <w:p w14:paraId="7B320FEB" w14:textId="77777777" w:rsidR="00630147" w:rsidRPr="00286216" w:rsidRDefault="00630147" w:rsidP="00630147">
            <w:pPr>
              <w:pStyle w:val="StyleWisnow"/>
              <w:rPr>
                <w:color w:val="000000" w:themeColor="text1"/>
              </w:rPr>
            </w:pPr>
          </w:p>
        </w:tc>
        <w:tc>
          <w:tcPr>
            <w:tcW w:w="4818" w:type="dxa"/>
          </w:tcPr>
          <w:p w14:paraId="4A99B151" w14:textId="66BF57DC" w:rsidR="00630147" w:rsidRPr="00286216" w:rsidRDefault="00630147" w:rsidP="00630147">
            <w:pPr>
              <w:pStyle w:val="StyleZakonu"/>
              <w:rPr>
                <w:color w:val="000000" w:themeColor="text1"/>
              </w:rPr>
            </w:pPr>
            <w:r w:rsidRPr="00286216">
              <w:rPr>
                <w:color w:val="000000" w:themeColor="text1"/>
              </w:rPr>
              <w:t>доповнити пунктом 21</w:t>
            </w:r>
            <w:r w:rsidRPr="00286216">
              <w:rPr>
                <w:color w:val="000000" w:themeColor="text1"/>
                <w:vertAlign w:val="superscript"/>
              </w:rPr>
              <w:t xml:space="preserve">1 </w:t>
            </w:r>
            <w:r w:rsidRPr="00286216">
              <w:rPr>
                <w:color w:val="000000" w:themeColor="text1"/>
              </w:rPr>
              <w:t>такого змісту:</w:t>
            </w:r>
          </w:p>
        </w:tc>
      </w:tr>
      <w:tr w:rsidR="00630147" w:rsidRPr="00286216" w14:paraId="174613B3" w14:textId="77777777" w:rsidTr="00091AA5">
        <w:tc>
          <w:tcPr>
            <w:tcW w:w="576" w:type="dxa"/>
          </w:tcPr>
          <w:p w14:paraId="42DB1B53" w14:textId="77777777" w:rsidR="00630147" w:rsidRPr="00286216" w:rsidRDefault="00630147" w:rsidP="00630147">
            <w:pPr>
              <w:pStyle w:val="StyleWisnow"/>
              <w:rPr>
                <w:color w:val="000000" w:themeColor="text1"/>
              </w:rPr>
            </w:pPr>
            <w:bookmarkStart w:id="3090" w:name="n3220" w:colFirst="0" w:colLast="0"/>
            <w:bookmarkEnd w:id="3089"/>
            <w:r w:rsidRPr="00286216">
              <w:rPr>
                <w:color w:val="000000" w:themeColor="text1"/>
              </w:rPr>
              <w:t>3220.</w:t>
            </w:r>
          </w:p>
        </w:tc>
        <w:tc>
          <w:tcPr>
            <w:tcW w:w="4818" w:type="dxa"/>
          </w:tcPr>
          <w:p w14:paraId="6AB4049C" w14:textId="77777777" w:rsidR="00630147" w:rsidRPr="00286216" w:rsidRDefault="00630147" w:rsidP="00630147">
            <w:pPr>
              <w:pStyle w:val="StyleZakonu"/>
              <w:rPr>
                <w:color w:val="000000" w:themeColor="text1"/>
              </w:rPr>
            </w:pPr>
            <w:r w:rsidRPr="00286216">
              <w:rPr>
                <w:color w:val="000000" w:themeColor="text1"/>
              </w:rPr>
              <w:t>"21</w:t>
            </w:r>
            <w:r w:rsidRPr="00286216">
              <w:rPr>
                <w:color w:val="000000" w:themeColor="text1"/>
                <w:vertAlign w:val="superscript"/>
              </w:rPr>
              <w:t>1</w:t>
            </w:r>
            <w:r w:rsidRPr="00286216">
              <w:rPr>
                <w:color w:val="000000" w:themeColor="text1"/>
              </w:rPr>
              <w:t>) тримати більш як 20 відсотків облігацій, розміщених на території України, однієї міжнародної фінансової організації.";</w:t>
            </w:r>
          </w:p>
        </w:tc>
        <w:tc>
          <w:tcPr>
            <w:tcW w:w="3686" w:type="dxa"/>
          </w:tcPr>
          <w:p w14:paraId="1721BD20" w14:textId="77777777" w:rsidR="00630147" w:rsidRPr="00286216" w:rsidRDefault="00630147" w:rsidP="00630147">
            <w:pPr>
              <w:pStyle w:val="StyleProp"/>
              <w:rPr>
                <w:color w:val="000000" w:themeColor="text1"/>
                <w:szCs w:val="18"/>
              </w:rPr>
            </w:pPr>
          </w:p>
        </w:tc>
        <w:tc>
          <w:tcPr>
            <w:tcW w:w="1987" w:type="dxa"/>
          </w:tcPr>
          <w:p w14:paraId="0461300C" w14:textId="77777777" w:rsidR="00630147" w:rsidRPr="00286216" w:rsidRDefault="00630147" w:rsidP="00630147">
            <w:pPr>
              <w:pStyle w:val="StyleWisnow"/>
              <w:rPr>
                <w:color w:val="000000" w:themeColor="text1"/>
              </w:rPr>
            </w:pPr>
          </w:p>
        </w:tc>
        <w:tc>
          <w:tcPr>
            <w:tcW w:w="4818" w:type="dxa"/>
          </w:tcPr>
          <w:p w14:paraId="1F7CF169" w14:textId="2583EA61" w:rsidR="00630147" w:rsidRPr="00286216" w:rsidRDefault="00630147" w:rsidP="00630147">
            <w:pPr>
              <w:pStyle w:val="StyleZakonu"/>
              <w:rPr>
                <w:color w:val="000000" w:themeColor="text1"/>
              </w:rPr>
            </w:pPr>
            <w:r w:rsidRPr="00286216">
              <w:rPr>
                <w:color w:val="000000" w:themeColor="text1"/>
              </w:rPr>
              <w:t>"21</w:t>
            </w:r>
            <w:r w:rsidRPr="00286216">
              <w:rPr>
                <w:color w:val="000000" w:themeColor="text1"/>
                <w:vertAlign w:val="superscript"/>
              </w:rPr>
              <w:t>1</w:t>
            </w:r>
            <w:r w:rsidRPr="00286216">
              <w:rPr>
                <w:color w:val="000000" w:themeColor="text1"/>
              </w:rPr>
              <w:t>) тримати більш як 20 відсотків облігацій, розміщених на території України, однієї міжнародної фінансової організації.";</w:t>
            </w:r>
          </w:p>
        </w:tc>
      </w:tr>
      <w:tr w:rsidR="00630147" w:rsidRPr="00286216" w14:paraId="59C8638C" w14:textId="77777777" w:rsidTr="00091AA5">
        <w:tc>
          <w:tcPr>
            <w:tcW w:w="576" w:type="dxa"/>
          </w:tcPr>
          <w:p w14:paraId="766E8999" w14:textId="77777777" w:rsidR="00630147" w:rsidRPr="00286216" w:rsidRDefault="00630147" w:rsidP="00630147">
            <w:pPr>
              <w:pStyle w:val="StyleWisnow"/>
              <w:rPr>
                <w:color w:val="000000" w:themeColor="text1"/>
              </w:rPr>
            </w:pPr>
            <w:bookmarkStart w:id="3091" w:name="n3221" w:colFirst="0" w:colLast="0"/>
            <w:bookmarkEnd w:id="3090"/>
            <w:r w:rsidRPr="00286216">
              <w:rPr>
                <w:color w:val="000000" w:themeColor="text1"/>
              </w:rPr>
              <w:t>3221.</w:t>
            </w:r>
          </w:p>
        </w:tc>
        <w:tc>
          <w:tcPr>
            <w:tcW w:w="4818" w:type="dxa"/>
          </w:tcPr>
          <w:p w14:paraId="09A1AF0B" w14:textId="77777777" w:rsidR="00630147" w:rsidRPr="00286216" w:rsidRDefault="00630147" w:rsidP="00630147">
            <w:pPr>
              <w:pStyle w:val="StyleZakonu"/>
              <w:rPr>
                <w:color w:val="000000" w:themeColor="text1"/>
              </w:rPr>
            </w:pPr>
            <w:r w:rsidRPr="00286216">
              <w:rPr>
                <w:color w:val="000000" w:themeColor="text1"/>
              </w:rPr>
              <w:t>б) у частині третій статті 49 слова "фондовій біржі" замінити словами "організованому ринку капіталу";</w:t>
            </w:r>
          </w:p>
        </w:tc>
        <w:tc>
          <w:tcPr>
            <w:tcW w:w="3686" w:type="dxa"/>
          </w:tcPr>
          <w:p w14:paraId="1AC4E13C" w14:textId="77777777" w:rsidR="00630147" w:rsidRPr="00286216" w:rsidRDefault="00630147" w:rsidP="00630147">
            <w:pPr>
              <w:pStyle w:val="StyleProp"/>
              <w:rPr>
                <w:color w:val="000000" w:themeColor="text1"/>
                <w:szCs w:val="18"/>
              </w:rPr>
            </w:pPr>
          </w:p>
        </w:tc>
        <w:tc>
          <w:tcPr>
            <w:tcW w:w="1987" w:type="dxa"/>
          </w:tcPr>
          <w:p w14:paraId="0E018308" w14:textId="77777777" w:rsidR="00630147" w:rsidRPr="00286216" w:rsidRDefault="00630147" w:rsidP="00630147">
            <w:pPr>
              <w:pStyle w:val="StyleWisnow"/>
              <w:rPr>
                <w:color w:val="000000" w:themeColor="text1"/>
              </w:rPr>
            </w:pPr>
          </w:p>
        </w:tc>
        <w:tc>
          <w:tcPr>
            <w:tcW w:w="4818" w:type="dxa"/>
          </w:tcPr>
          <w:p w14:paraId="6B0C8147" w14:textId="6D8061B1" w:rsidR="00630147" w:rsidRPr="00286216" w:rsidRDefault="00630147" w:rsidP="00630147">
            <w:pPr>
              <w:pStyle w:val="StyleZakonu"/>
              <w:rPr>
                <w:color w:val="000000" w:themeColor="text1"/>
              </w:rPr>
            </w:pPr>
            <w:r w:rsidRPr="00286216">
              <w:rPr>
                <w:color w:val="000000" w:themeColor="text1"/>
              </w:rPr>
              <w:t>б) у частині третій слова "фондовій біржі" замінити словами "організованому ринку капіталу";</w:t>
            </w:r>
          </w:p>
        </w:tc>
      </w:tr>
      <w:tr w:rsidR="00630147" w:rsidRPr="00286216" w14:paraId="363BFABE" w14:textId="77777777" w:rsidTr="00091AA5">
        <w:tc>
          <w:tcPr>
            <w:tcW w:w="576" w:type="dxa"/>
          </w:tcPr>
          <w:p w14:paraId="779FDB48" w14:textId="77777777" w:rsidR="00630147" w:rsidRPr="00286216" w:rsidRDefault="00630147" w:rsidP="00630147">
            <w:pPr>
              <w:pStyle w:val="StyleWisnow"/>
              <w:rPr>
                <w:color w:val="000000" w:themeColor="text1"/>
              </w:rPr>
            </w:pPr>
            <w:bookmarkStart w:id="3092" w:name="n3222" w:colFirst="0" w:colLast="0"/>
            <w:bookmarkEnd w:id="3091"/>
            <w:r w:rsidRPr="00286216">
              <w:rPr>
                <w:color w:val="000000" w:themeColor="text1"/>
              </w:rPr>
              <w:t>3222.</w:t>
            </w:r>
          </w:p>
        </w:tc>
        <w:tc>
          <w:tcPr>
            <w:tcW w:w="4818" w:type="dxa"/>
          </w:tcPr>
          <w:p w14:paraId="4AAC48CD" w14:textId="77777777" w:rsidR="00630147" w:rsidRPr="00286216" w:rsidRDefault="00630147" w:rsidP="00630147">
            <w:pPr>
              <w:pStyle w:val="StyleZakonu"/>
              <w:rPr>
                <w:color w:val="000000" w:themeColor="text1"/>
              </w:rPr>
            </w:pPr>
            <w:r w:rsidRPr="00286216">
              <w:rPr>
                <w:color w:val="000000" w:themeColor="text1"/>
              </w:rPr>
              <w:t>12) у тексті Закону слова "торговець цінними паперами" та "торговці цінними паперами" в усіх відмінках замінити відповідно словами "інвестиційна фірма" та "інвестиційні фірми" у відповідному відмінку, а слова "ринку цінних паперів" в усіх відмінках замінити словами "ринків капіталу" у відповідному відмінку.</w:t>
            </w:r>
          </w:p>
        </w:tc>
        <w:tc>
          <w:tcPr>
            <w:tcW w:w="3686" w:type="dxa"/>
          </w:tcPr>
          <w:p w14:paraId="4E71ACD3" w14:textId="77777777" w:rsidR="00630147" w:rsidRPr="00286216" w:rsidRDefault="00630147" w:rsidP="00630147">
            <w:pPr>
              <w:pStyle w:val="StyleProp"/>
              <w:rPr>
                <w:color w:val="000000" w:themeColor="text1"/>
                <w:szCs w:val="18"/>
              </w:rPr>
            </w:pPr>
          </w:p>
        </w:tc>
        <w:tc>
          <w:tcPr>
            <w:tcW w:w="1987" w:type="dxa"/>
          </w:tcPr>
          <w:p w14:paraId="79FFF803" w14:textId="77777777" w:rsidR="00630147" w:rsidRPr="00286216" w:rsidRDefault="00630147" w:rsidP="00630147">
            <w:pPr>
              <w:pStyle w:val="StyleWisnow"/>
              <w:rPr>
                <w:color w:val="000000" w:themeColor="text1"/>
              </w:rPr>
            </w:pPr>
          </w:p>
        </w:tc>
        <w:tc>
          <w:tcPr>
            <w:tcW w:w="4818" w:type="dxa"/>
          </w:tcPr>
          <w:p w14:paraId="6BDA715D" w14:textId="767B6106" w:rsidR="00630147" w:rsidRPr="00286216" w:rsidRDefault="00630147" w:rsidP="00630147">
            <w:pPr>
              <w:pStyle w:val="StyleZakonu"/>
              <w:rPr>
                <w:color w:val="000000" w:themeColor="text1"/>
              </w:rPr>
            </w:pPr>
            <w:r w:rsidRPr="00286216">
              <w:rPr>
                <w:color w:val="000000" w:themeColor="text1"/>
              </w:rPr>
              <w:t>12) у тексті Закону слова "торговець цінними паперами" та "торговці цінними паперами" в усіх відмінках замінити відповідно словами "інвестиційна фірма" та "інвестиційні фірми" у відповідному відмінку, а слова "ринку цінних паперів" в усіх відмінках замінити словами "ринків капіталу" у відповідному відмінку.</w:t>
            </w:r>
          </w:p>
        </w:tc>
      </w:tr>
      <w:tr w:rsidR="00630147" w:rsidRPr="00286216" w14:paraId="0AEB751F" w14:textId="77777777" w:rsidTr="00091AA5">
        <w:tc>
          <w:tcPr>
            <w:tcW w:w="576" w:type="dxa"/>
          </w:tcPr>
          <w:p w14:paraId="360F0B8A" w14:textId="77777777" w:rsidR="00630147" w:rsidRPr="00286216" w:rsidRDefault="00630147" w:rsidP="00630147">
            <w:pPr>
              <w:pStyle w:val="StyleWisnow"/>
              <w:rPr>
                <w:color w:val="000000" w:themeColor="text1"/>
              </w:rPr>
            </w:pPr>
            <w:bookmarkStart w:id="3093" w:name="n3223" w:colFirst="0" w:colLast="0"/>
            <w:bookmarkEnd w:id="3092"/>
            <w:r w:rsidRPr="00286216">
              <w:rPr>
                <w:color w:val="000000" w:themeColor="text1"/>
              </w:rPr>
              <w:lastRenderedPageBreak/>
              <w:t>3223.</w:t>
            </w:r>
          </w:p>
        </w:tc>
        <w:tc>
          <w:tcPr>
            <w:tcW w:w="4818" w:type="dxa"/>
          </w:tcPr>
          <w:p w14:paraId="7A3A6FAA" w14:textId="77777777" w:rsidR="00630147" w:rsidRPr="00286216" w:rsidRDefault="00630147" w:rsidP="00630147">
            <w:pPr>
              <w:pStyle w:val="StyleZakonu"/>
              <w:rPr>
                <w:color w:val="000000" w:themeColor="text1"/>
              </w:rPr>
            </w:pPr>
            <w:r w:rsidRPr="00286216">
              <w:rPr>
                <w:color w:val="000000" w:themeColor="text1"/>
              </w:rPr>
              <w:t>30. У Законі України "Про загальнообов’язкове державне пенсійне страхування" (Відомості Верховної Ради України, 2003 р., №49 - 51, ст. 376, із наступними змінами):</w:t>
            </w:r>
          </w:p>
        </w:tc>
        <w:tc>
          <w:tcPr>
            <w:tcW w:w="3686" w:type="dxa"/>
          </w:tcPr>
          <w:p w14:paraId="2EDAD85A" w14:textId="77777777" w:rsidR="00630147" w:rsidRPr="00286216" w:rsidRDefault="00630147" w:rsidP="00630147">
            <w:pPr>
              <w:pStyle w:val="StyleProp"/>
              <w:rPr>
                <w:color w:val="000000" w:themeColor="text1"/>
                <w:szCs w:val="18"/>
              </w:rPr>
            </w:pPr>
          </w:p>
        </w:tc>
        <w:tc>
          <w:tcPr>
            <w:tcW w:w="1987" w:type="dxa"/>
          </w:tcPr>
          <w:p w14:paraId="1CAAB775" w14:textId="77777777" w:rsidR="00630147" w:rsidRPr="00286216" w:rsidRDefault="00630147" w:rsidP="00630147">
            <w:pPr>
              <w:pStyle w:val="StyleWisnow"/>
              <w:rPr>
                <w:color w:val="000000" w:themeColor="text1"/>
              </w:rPr>
            </w:pPr>
          </w:p>
        </w:tc>
        <w:tc>
          <w:tcPr>
            <w:tcW w:w="4818" w:type="dxa"/>
          </w:tcPr>
          <w:p w14:paraId="5C4CD746" w14:textId="7B273F96" w:rsidR="00630147" w:rsidRPr="00286216" w:rsidRDefault="00630147" w:rsidP="00630147">
            <w:pPr>
              <w:pStyle w:val="StyleZakonu"/>
              <w:rPr>
                <w:color w:val="000000" w:themeColor="text1"/>
              </w:rPr>
            </w:pPr>
            <w:r w:rsidRPr="00286216">
              <w:rPr>
                <w:color w:val="000000" w:themeColor="text1"/>
              </w:rPr>
              <w:t>27. У Законі України "Про загальнообов’язкове державне пенсійне страхування" (Відомості Верховної Ради України, 2003 р., №№49 - 51, ст. 376 із наступними змінами):</w:t>
            </w:r>
          </w:p>
        </w:tc>
      </w:tr>
      <w:tr w:rsidR="00630147" w:rsidRPr="00286216" w14:paraId="2896C6DB" w14:textId="77777777" w:rsidTr="00091AA5">
        <w:tc>
          <w:tcPr>
            <w:tcW w:w="576" w:type="dxa"/>
          </w:tcPr>
          <w:p w14:paraId="05F8CDD4" w14:textId="77777777" w:rsidR="00630147" w:rsidRPr="00286216" w:rsidRDefault="00630147" w:rsidP="00630147">
            <w:pPr>
              <w:pStyle w:val="StyleWisnow"/>
              <w:rPr>
                <w:color w:val="000000" w:themeColor="text1"/>
              </w:rPr>
            </w:pPr>
            <w:bookmarkStart w:id="3094" w:name="n3224" w:colFirst="0" w:colLast="0"/>
            <w:bookmarkEnd w:id="3093"/>
            <w:r w:rsidRPr="00286216">
              <w:rPr>
                <w:color w:val="000000" w:themeColor="text1"/>
              </w:rPr>
              <w:t>3224.</w:t>
            </w:r>
          </w:p>
        </w:tc>
        <w:tc>
          <w:tcPr>
            <w:tcW w:w="4818" w:type="dxa"/>
          </w:tcPr>
          <w:p w14:paraId="34FCEDE5" w14:textId="77777777" w:rsidR="00630147" w:rsidRPr="00286216" w:rsidRDefault="00630147" w:rsidP="00630147">
            <w:pPr>
              <w:pStyle w:val="StyleZakonu"/>
              <w:rPr>
                <w:color w:val="000000" w:themeColor="text1"/>
              </w:rPr>
            </w:pPr>
            <w:r w:rsidRPr="00286216">
              <w:rPr>
                <w:color w:val="000000" w:themeColor="text1"/>
              </w:rPr>
              <w:t>1) у статті 1:</w:t>
            </w:r>
          </w:p>
        </w:tc>
        <w:tc>
          <w:tcPr>
            <w:tcW w:w="3686" w:type="dxa"/>
          </w:tcPr>
          <w:p w14:paraId="663F46A7" w14:textId="77777777" w:rsidR="00630147" w:rsidRPr="00286216" w:rsidRDefault="00630147" w:rsidP="00630147">
            <w:pPr>
              <w:pStyle w:val="StyleProp"/>
              <w:rPr>
                <w:color w:val="000000" w:themeColor="text1"/>
                <w:szCs w:val="18"/>
              </w:rPr>
            </w:pPr>
          </w:p>
        </w:tc>
        <w:tc>
          <w:tcPr>
            <w:tcW w:w="1987" w:type="dxa"/>
          </w:tcPr>
          <w:p w14:paraId="2486540E" w14:textId="77777777" w:rsidR="00630147" w:rsidRPr="00286216" w:rsidRDefault="00630147" w:rsidP="00630147">
            <w:pPr>
              <w:pStyle w:val="StyleWisnow"/>
              <w:rPr>
                <w:color w:val="000000" w:themeColor="text1"/>
              </w:rPr>
            </w:pPr>
          </w:p>
        </w:tc>
        <w:tc>
          <w:tcPr>
            <w:tcW w:w="4818" w:type="dxa"/>
          </w:tcPr>
          <w:p w14:paraId="50535954" w14:textId="688E3AFE" w:rsidR="00630147" w:rsidRPr="00286216" w:rsidRDefault="00630147" w:rsidP="00630147">
            <w:pPr>
              <w:pStyle w:val="StyleZakonu"/>
              <w:rPr>
                <w:color w:val="000000" w:themeColor="text1"/>
              </w:rPr>
            </w:pPr>
            <w:r w:rsidRPr="00286216">
              <w:rPr>
                <w:color w:val="000000" w:themeColor="text1"/>
              </w:rPr>
              <w:t>1) у статті 1:</w:t>
            </w:r>
          </w:p>
        </w:tc>
      </w:tr>
      <w:tr w:rsidR="00630147" w:rsidRPr="00286216" w14:paraId="4CCC4139" w14:textId="77777777" w:rsidTr="00091AA5">
        <w:tc>
          <w:tcPr>
            <w:tcW w:w="576" w:type="dxa"/>
          </w:tcPr>
          <w:p w14:paraId="3B578325" w14:textId="77777777" w:rsidR="00630147" w:rsidRPr="00286216" w:rsidRDefault="00630147" w:rsidP="00630147">
            <w:pPr>
              <w:pStyle w:val="StyleWisnow"/>
              <w:rPr>
                <w:color w:val="000000" w:themeColor="text1"/>
              </w:rPr>
            </w:pPr>
            <w:bookmarkStart w:id="3095" w:name="n3225" w:colFirst="0" w:colLast="0"/>
            <w:bookmarkEnd w:id="3094"/>
            <w:r w:rsidRPr="00286216">
              <w:rPr>
                <w:color w:val="000000" w:themeColor="text1"/>
              </w:rPr>
              <w:t>3225.</w:t>
            </w:r>
          </w:p>
        </w:tc>
        <w:tc>
          <w:tcPr>
            <w:tcW w:w="4818" w:type="dxa"/>
          </w:tcPr>
          <w:p w14:paraId="274EF623" w14:textId="77777777" w:rsidR="00630147" w:rsidRPr="00286216" w:rsidRDefault="00630147" w:rsidP="00630147">
            <w:pPr>
              <w:pStyle w:val="StyleZakonu"/>
              <w:rPr>
                <w:color w:val="000000" w:themeColor="text1"/>
              </w:rPr>
            </w:pPr>
            <w:r w:rsidRPr="00286216">
              <w:rPr>
                <w:color w:val="000000" w:themeColor="text1"/>
              </w:rPr>
              <w:t>а) в абзаці третьому слова "цінні папери та фондовий ринок" замінити словами "ринки капіталу та організовані товарні ринки";</w:t>
            </w:r>
          </w:p>
        </w:tc>
        <w:tc>
          <w:tcPr>
            <w:tcW w:w="3686" w:type="dxa"/>
          </w:tcPr>
          <w:p w14:paraId="1B45726F" w14:textId="77777777" w:rsidR="00630147" w:rsidRPr="00286216" w:rsidRDefault="00630147" w:rsidP="00630147">
            <w:pPr>
              <w:pStyle w:val="StyleProp"/>
              <w:rPr>
                <w:color w:val="000000" w:themeColor="text1"/>
                <w:szCs w:val="18"/>
              </w:rPr>
            </w:pPr>
          </w:p>
        </w:tc>
        <w:tc>
          <w:tcPr>
            <w:tcW w:w="1987" w:type="dxa"/>
          </w:tcPr>
          <w:p w14:paraId="5243DE5F" w14:textId="77777777" w:rsidR="00630147" w:rsidRPr="00286216" w:rsidRDefault="00630147" w:rsidP="00630147">
            <w:pPr>
              <w:pStyle w:val="StyleWisnow"/>
              <w:rPr>
                <w:color w:val="000000" w:themeColor="text1"/>
              </w:rPr>
            </w:pPr>
          </w:p>
        </w:tc>
        <w:tc>
          <w:tcPr>
            <w:tcW w:w="4818" w:type="dxa"/>
          </w:tcPr>
          <w:p w14:paraId="10B6B862" w14:textId="6EB79D6E" w:rsidR="00630147" w:rsidRPr="00286216" w:rsidRDefault="00630147" w:rsidP="00630147">
            <w:pPr>
              <w:pStyle w:val="StyleZakonu"/>
              <w:rPr>
                <w:color w:val="000000" w:themeColor="text1"/>
              </w:rPr>
            </w:pPr>
            <w:r w:rsidRPr="00286216">
              <w:rPr>
                <w:color w:val="000000" w:themeColor="text1"/>
              </w:rPr>
              <w:t>а) в абзаці третьому слова "цінні папери та фондовий ринок" замінити словами "ринки капіталу та організовані товарні ринки";</w:t>
            </w:r>
          </w:p>
        </w:tc>
      </w:tr>
      <w:tr w:rsidR="00630147" w:rsidRPr="00286216" w14:paraId="29CE99DE" w14:textId="77777777" w:rsidTr="00091AA5">
        <w:tc>
          <w:tcPr>
            <w:tcW w:w="576" w:type="dxa"/>
          </w:tcPr>
          <w:p w14:paraId="52EEF555" w14:textId="77777777" w:rsidR="00630147" w:rsidRPr="00286216" w:rsidRDefault="00630147" w:rsidP="00630147">
            <w:pPr>
              <w:pStyle w:val="StyleWisnow"/>
              <w:rPr>
                <w:color w:val="000000" w:themeColor="text1"/>
              </w:rPr>
            </w:pPr>
            <w:bookmarkStart w:id="3096" w:name="n3226" w:colFirst="0" w:colLast="0"/>
            <w:bookmarkEnd w:id="3095"/>
            <w:r w:rsidRPr="00286216">
              <w:rPr>
                <w:color w:val="000000" w:themeColor="text1"/>
              </w:rPr>
              <w:t>3226.</w:t>
            </w:r>
          </w:p>
        </w:tc>
        <w:tc>
          <w:tcPr>
            <w:tcW w:w="4818" w:type="dxa"/>
          </w:tcPr>
          <w:p w14:paraId="34469E9D" w14:textId="77777777" w:rsidR="00630147" w:rsidRPr="00286216" w:rsidRDefault="00630147" w:rsidP="00630147">
            <w:pPr>
              <w:pStyle w:val="StyleZakonu"/>
              <w:rPr>
                <w:color w:val="000000" w:themeColor="text1"/>
              </w:rPr>
            </w:pPr>
            <w:r w:rsidRPr="00286216">
              <w:rPr>
                <w:color w:val="000000" w:themeColor="text1"/>
              </w:rPr>
              <w:t>б) в абзаці двадцять третьому слова "цінні папери" замінити словами "фінансові інструменти";</w:t>
            </w:r>
          </w:p>
        </w:tc>
        <w:tc>
          <w:tcPr>
            <w:tcW w:w="3686" w:type="dxa"/>
          </w:tcPr>
          <w:p w14:paraId="143FB39F" w14:textId="77777777" w:rsidR="00630147" w:rsidRPr="00286216" w:rsidRDefault="00630147" w:rsidP="00630147">
            <w:pPr>
              <w:pStyle w:val="StyleProp"/>
              <w:rPr>
                <w:color w:val="000000" w:themeColor="text1"/>
                <w:szCs w:val="18"/>
              </w:rPr>
            </w:pPr>
          </w:p>
        </w:tc>
        <w:tc>
          <w:tcPr>
            <w:tcW w:w="1987" w:type="dxa"/>
          </w:tcPr>
          <w:p w14:paraId="6ADA9248" w14:textId="77777777" w:rsidR="00630147" w:rsidRPr="00286216" w:rsidRDefault="00630147" w:rsidP="00630147">
            <w:pPr>
              <w:pStyle w:val="StyleWisnow"/>
              <w:rPr>
                <w:color w:val="000000" w:themeColor="text1"/>
              </w:rPr>
            </w:pPr>
          </w:p>
        </w:tc>
        <w:tc>
          <w:tcPr>
            <w:tcW w:w="4818" w:type="dxa"/>
          </w:tcPr>
          <w:p w14:paraId="5E2AC4D9" w14:textId="744A592E" w:rsidR="00630147" w:rsidRPr="00286216" w:rsidRDefault="00630147" w:rsidP="00630147">
            <w:pPr>
              <w:pStyle w:val="StyleZakonu"/>
              <w:rPr>
                <w:color w:val="000000" w:themeColor="text1"/>
              </w:rPr>
            </w:pPr>
            <w:r w:rsidRPr="00286216">
              <w:rPr>
                <w:color w:val="000000" w:themeColor="text1"/>
              </w:rPr>
              <w:t>б) в абзаці двадцять третьому слова "цінні папери" замінити словами "фінансові інструменти";</w:t>
            </w:r>
          </w:p>
        </w:tc>
      </w:tr>
      <w:tr w:rsidR="00630147" w:rsidRPr="00286216" w14:paraId="069B7A14" w14:textId="77777777" w:rsidTr="00091AA5">
        <w:tc>
          <w:tcPr>
            <w:tcW w:w="576" w:type="dxa"/>
          </w:tcPr>
          <w:p w14:paraId="75F195BD" w14:textId="77777777" w:rsidR="00630147" w:rsidRPr="00286216" w:rsidRDefault="00630147" w:rsidP="00630147">
            <w:pPr>
              <w:pStyle w:val="StyleWisnow"/>
              <w:rPr>
                <w:color w:val="000000" w:themeColor="text1"/>
              </w:rPr>
            </w:pPr>
            <w:bookmarkStart w:id="3097" w:name="n3227" w:colFirst="0" w:colLast="0"/>
            <w:bookmarkEnd w:id="3096"/>
            <w:r w:rsidRPr="00286216">
              <w:rPr>
                <w:color w:val="000000" w:themeColor="text1"/>
              </w:rPr>
              <w:t>3227.</w:t>
            </w:r>
          </w:p>
        </w:tc>
        <w:tc>
          <w:tcPr>
            <w:tcW w:w="4818" w:type="dxa"/>
          </w:tcPr>
          <w:p w14:paraId="500A676C" w14:textId="77777777" w:rsidR="00630147" w:rsidRPr="00286216" w:rsidRDefault="00630147" w:rsidP="00630147">
            <w:pPr>
              <w:pStyle w:val="StyleZakonu"/>
              <w:rPr>
                <w:color w:val="000000" w:themeColor="text1"/>
              </w:rPr>
            </w:pPr>
            <w:r w:rsidRPr="00286216">
              <w:rPr>
                <w:color w:val="000000" w:themeColor="text1"/>
              </w:rPr>
              <w:t>в) в абзаці тридцять першому слова "що розуміється в значенні, визначеному Законом України "Про державне регулювання ринку цінних паперів в Україні" замінити словами "визначена Законом України "Про ринки капіталу та організовані товарні ринки";</w:t>
            </w:r>
          </w:p>
        </w:tc>
        <w:tc>
          <w:tcPr>
            <w:tcW w:w="3686" w:type="dxa"/>
          </w:tcPr>
          <w:p w14:paraId="3A2E8C80" w14:textId="77777777" w:rsidR="00630147" w:rsidRPr="00286216" w:rsidRDefault="00630147" w:rsidP="00630147">
            <w:pPr>
              <w:pStyle w:val="StyleProp"/>
              <w:rPr>
                <w:color w:val="000000" w:themeColor="text1"/>
                <w:szCs w:val="18"/>
              </w:rPr>
            </w:pPr>
          </w:p>
        </w:tc>
        <w:tc>
          <w:tcPr>
            <w:tcW w:w="1987" w:type="dxa"/>
          </w:tcPr>
          <w:p w14:paraId="26D0E46A" w14:textId="77777777" w:rsidR="00630147" w:rsidRPr="00286216" w:rsidRDefault="00630147" w:rsidP="00630147">
            <w:pPr>
              <w:pStyle w:val="StyleWisnow"/>
              <w:rPr>
                <w:color w:val="000000" w:themeColor="text1"/>
              </w:rPr>
            </w:pPr>
          </w:p>
        </w:tc>
        <w:tc>
          <w:tcPr>
            <w:tcW w:w="4818" w:type="dxa"/>
          </w:tcPr>
          <w:p w14:paraId="36D78F26" w14:textId="7A8263ED" w:rsidR="00630147" w:rsidRPr="00286216" w:rsidRDefault="00630147" w:rsidP="00630147">
            <w:pPr>
              <w:pStyle w:val="StyleZakonu"/>
              <w:rPr>
                <w:color w:val="000000" w:themeColor="text1"/>
              </w:rPr>
            </w:pPr>
            <w:r w:rsidRPr="00286216">
              <w:rPr>
                <w:color w:val="000000" w:themeColor="text1"/>
              </w:rPr>
              <w:t>в) в абзаці тридцять першому слова "що розуміється в значенні, визначеному Законом України "Про державне регулювання ринку цінних паперів в Україні" замінити словами "визначена Законом України "Про ринки капіталу та організовані товарні ринки";</w:t>
            </w:r>
          </w:p>
        </w:tc>
      </w:tr>
      <w:tr w:rsidR="00630147" w:rsidRPr="00286216" w14:paraId="1BAFACF1" w14:textId="77777777" w:rsidTr="00091AA5">
        <w:tc>
          <w:tcPr>
            <w:tcW w:w="576" w:type="dxa"/>
          </w:tcPr>
          <w:p w14:paraId="15A6F981" w14:textId="77777777" w:rsidR="00630147" w:rsidRPr="00286216" w:rsidRDefault="00630147" w:rsidP="00630147">
            <w:pPr>
              <w:pStyle w:val="StyleWisnow"/>
              <w:rPr>
                <w:color w:val="000000" w:themeColor="text1"/>
              </w:rPr>
            </w:pPr>
            <w:bookmarkStart w:id="3098" w:name="n3228" w:colFirst="0" w:colLast="0"/>
            <w:bookmarkEnd w:id="3097"/>
            <w:r w:rsidRPr="00286216">
              <w:rPr>
                <w:color w:val="000000" w:themeColor="text1"/>
              </w:rPr>
              <w:t>3228.</w:t>
            </w:r>
          </w:p>
        </w:tc>
        <w:tc>
          <w:tcPr>
            <w:tcW w:w="4818" w:type="dxa"/>
          </w:tcPr>
          <w:p w14:paraId="41BE9218" w14:textId="77777777" w:rsidR="00630147" w:rsidRPr="00286216" w:rsidRDefault="00630147" w:rsidP="00630147">
            <w:pPr>
              <w:pStyle w:val="StyleZakonu"/>
              <w:rPr>
                <w:color w:val="000000" w:themeColor="text1"/>
              </w:rPr>
            </w:pPr>
            <w:r w:rsidRPr="00286216">
              <w:rPr>
                <w:color w:val="000000" w:themeColor="text1"/>
              </w:rPr>
              <w:t>г) доповнити частиною другою такого змісту:</w:t>
            </w:r>
          </w:p>
        </w:tc>
        <w:tc>
          <w:tcPr>
            <w:tcW w:w="3686" w:type="dxa"/>
          </w:tcPr>
          <w:p w14:paraId="46F78074" w14:textId="77777777" w:rsidR="00630147" w:rsidRPr="00286216" w:rsidRDefault="00630147" w:rsidP="00630147">
            <w:pPr>
              <w:pStyle w:val="StyleProp"/>
              <w:rPr>
                <w:color w:val="000000" w:themeColor="text1"/>
                <w:szCs w:val="18"/>
              </w:rPr>
            </w:pPr>
          </w:p>
        </w:tc>
        <w:tc>
          <w:tcPr>
            <w:tcW w:w="1987" w:type="dxa"/>
          </w:tcPr>
          <w:p w14:paraId="2007C4E6" w14:textId="77777777" w:rsidR="00630147" w:rsidRPr="00286216" w:rsidRDefault="00630147" w:rsidP="00630147">
            <w:pPr>
              <w:pStyle w:val="StyleWisnow"/>
              <w:rPr>
                <w:color w:val="000000" w:themeColor="text1"/>
              </w:rPr>
            </w:pPr>
          </w:p>
        </w:tc>
        <w:tc>
          <w:tcPr>
            <w:tcW w:w="4818" w:type="dxa"/>
          </w:tcPr>
          <w:p w14:paraId="65196E77" w14:textId="7FAD2BF4" w:rsidR="00630147" w:rsidRPr="00286216" w:rsidRDefault="00630147" w:rsidP="00630147">
            <w:pPr>
              <w:pStyle w:val="StyleZakonu"/>
              <w:rPr>
                <w:color w:val="000000" w:themeColor="text1"/>
              </w:rPr>
            </w:pPr>
            <w:r w:rsidRPr="00286216">
              <w:rPr>
                <w:color w:val="000000" w:themeColor="text1"/>
              </w:rPr>
              <w:t>г) доповнити частиною другою такого змісту:</w:t>
            </w:r>
          </w:p>
        </w:tc>
      </w:tr>
      <w:tr w:rsidR="00630147" w:rsidRPr="00286216" w14:paraId="1A3C011D" w14:textId="77777777" w:rsidTr="00091AA5">
        <w:tc>
          <w:tcPr>
            <w:tcW w:w="576" w:type="dxa"/>
          </w:tcPr>
          <w:p w14:paraId="3D8A47A2" w14:textId="77777777" w:rsidR="00630147" w:rsidRPr="00286216" w:rsidRDefault="00630147" w:rsidP="00630147">
            <w:pPr>
              <w:pStyle w:val="StyleWisnow"/>
              <w:rPr>
                <w:color w:val="000000" w:themeColor="text1"/>
              </w:rPr>
            </w:pPr>
            <w:bookmarkStart w:id="3099" w:name="n3229" w:colFirst="0" w:colLast="0"/>
            <w:bookmarkEnd w:id="3098"/>
            <w:r w:rsidRPr="00286216">
              <w:rPr>
                <w:color w:val="000000" w:themeColor="text1"/>
              </w:rPr>
              <w:t>3229.</w:t>
            </w:r>
          </w:p>
        </w:tc>
        <w:tc>
          <w:tcPr>
            <w:tcW w:w="4818" w:type="dxa"/>
          </w:tcPr>
          <w:p w14:paraId="7CEAE086" w14:textId="77777777" w:rsidR="00630147" w:rsidRPr="00286216" w:rsidRDefault="00630147" w:rsidP="00630147">
            <w:pPr>
              <w:pStyle w:val="StyleZakonu"/>
              <w:rPr>
                <w:color w:val="000000" w:themeColor="text1"/>
              </w:rPr>
            </w:pPr>
            <w:r w:rsidRPr="00286216">
              <w:rPr>
                <w:color w:val="000000" w:themeColor="text1"/>
              </w:rPr>
              <w:t>"2. Терміни "фінансовий інструмент" та "ринки капіталу" вживаються у цьому Законі у значенні, визначеному у Законі України "Про ринки капіталу та організовані товарні ринки".</w:t>
            </w:r>
          </w:p>
        </w:tc>
        <w:tc>
          <w:tcPr>
            <w:tcW w:w="3686" w:type="dxa"/>
          </w:tcPr>
          <w:p w14:paraId="59B46A3E" w14:textId="77777777" w:rsidR="00630147" w:rsidRPr="00286216" w:rsidRDefault="00630147" w:rsidP="00630147">
            <w:pPr>
              <w:pStyle w:val="StyleProp"/>
              <w:rPr>
                <w:color w:val="000000" w:themeColor="text1"/>
                <w:szCs w:val="18"/>
              </w:rPr>
            </w:pPr>
          </w:p>
        </w:tc>
        <w:tc>
          <w:tcPr>
            <w:tcW w:w="1987" w:type="dxa"/>
          </w:tcPr>
          <w:p w14:paraId="795CA636" w14:textId="77777777" w:rsidR="00630147" w:rsidRPr="00286216" w:rsidRDefault="00630147" w:rsidP="00630147">
            <w:pPr>
              <w:pStyle w:val="StyleWisnow"/>
              <w:rPr>
                <w:color w:val="000000" w:themeColor="text1"/>
              </w:rPr>
            </w:pPr>
          </w:p>
        </w:tc>
        <w:tc>
          <w:tcPr>
            <w:tcW w:w="4818" w:type="dxa"/>
          </w:tcPr>
          <w:p w14:paraId="72614FB7" w14:textId="061BAE03" w:rsidR="00630147" w:rsidRPr="00286216" w:rsidRDefault="00630147" w:rsidP="00630147">
            <w:pPr>
              <w:pStyle w:val="StyleZakonu"/>
              <w:rPr>
                <w:color w:val="000000" w:themeColor="text1"/>
              </w:rPr>
            </w:pPr>
            <w:r w:rsidRPr="00286216">
              <w:rPr>
                <w:color w:val="000000" w:themeColor="text1"/>
              </w:rPr>
              <w:t>"2. Терміни "фінансовий інструмент" та "ринки капіталу" вживаються у цьому Законі у значенні, визначеному в Законі України "Про ринки капіталу та організовані товарні ринки";</w:t>
            </w:r>
          </w:p>
        </w:tc>
      </w:tr>
      <w:tr w:rsidR="00630147" w:rsidRPr="00286216" w14:paraId="1EAF543A" w14:textId="77777777" w:rsidTr="00091AA5">
        <w:tc>
          <w:tcPr>
            <w:tcW w:w="576" w:type="dxa"/>
          </w:tcPr>
          <w:p w14:paraId="0B038317" w14:textId="77777777" w:rsidR="00630147" w:rsidRPr="00286216" w:rsidRDefault="00630147" w:rsidP="00630147">
            <w:pPr>
              <w:pStyle w:val="StyleWisnow"/>
              <w:rPr>
                <w:color w:val="000000" w:themeColor="text1"/>
              </w:rPr>
            </w:pPr>
            <w:bookmarkStart w:id="3100" w:name="n3230" w:colFirst="0" w:colLast="0"/>
            <w:bookmarkEnd w:id="3099"/>
            <w:r w:rsidRPr="00286216">
              <w:rPr>
                <w:color w:val="000000" w:themeColor="text1"/>
              </w:rPr>
              <w:t>3230.</w:t>
            </w:r>
          </w:p>
        </w:tc>
        <w:tc>
          <w:tcPr>
            <w:tcW w:w="4818" w:type="dxa"/>
          </w:tcPr>
          <w:p w14:paraId="20C8BCC2" w14:textId="77777777" w:rsidR="00630147" w:rsidRPr="00286216" w:rsidRDefault="00630147" w:rsidP="00630147">
            <w:pPr>
              <w:pStyle w:val="StyleZakonu"/>
              <w:rPr>
                <w:color w:val="000000" w:themeColor="text1"/>
              </w:rPr>
            </w:pPr>
            <w:r w:rsidRPr="00286216">
              <w:rPr>
                <w:color w:val="000000" w:themeColor="text1"/>
              </w:rPr>
              <w:t>2) у статті 80:</w:t>
            </w:r>
          </w:p>
        </w:tc>
        <w:tc>
          <w:tcPr>
            <w:tcW w:w="3686" w:type="dxa"/>
          </w:tcPr>
          <w:p w14:paraId="4FFE292E" w14:textId="77777777" w:rsidR="00630147" w:rsidRPr="00286216" w:rsidRDefault="00630147" w:rsidP="00630147">
            <w:pPr>
              <w:pStyle w:val="StyleProp"/>
              <w:rPr>
                <w:color w:val="000000" w:themeColor="text1"/>
                <w:szCs w:val="18"/>
              </w:rPr>
            </w:pPr>
          </w:p>
        </w:tc>
        <w:tc>
          <w:tcPr>
            <w:tcW w:w="1987" w:type="dxa"/>
          </w:tcPr>
          <w:p w14:paraId="647EA738" w14:textId="77777777" w:rsidR="00630147" w:rsidRPr="00286216" w:rsidRDefault="00630147" w:rsidP="00630147">
            <w:pPr>
              <w:pStyle w:val="StyleWisnow"/>
              <w:rPr>
                <w:color w:val="000000" w:themeColor="text1"/>
              </w:rPr>
            </w:pPr>
          </w:p>
        </w:tc>
        <w:tc>
          <w:tcPr>
            <w:tcW w:w="4818" w:type="dxa"/>
          </w:tcPr>
          <w:p w14:paraId="69E2038E" w14:textId="6D2CB5F6" w:rsidR="00630147" w:rsidRPr="00286216" w:rsidRDefault="00630147" w:rsidP="00630147">
            <w:pPr>
              <w:pStyle w:val="StyleZakonu"/>
              <w:rPr>
                <w:color w:val="000000" w:themeColor="text1"/>
              </w:rPr>
            </w:pPr>
            <w:r w:rsidRPr="00286216">
              <w:rPr>
                <w:color w:val="000000" w:themeColor="text1"/>
              </w:rPr>
              <w:t>2) у статті 80:</w:t>
            </w:r>
          </w:p>
        </w:tc>
      </w:tr>
      <w:tr w:rsidR="00630147" w:rsidRPr="00286216" w14:paraId="147B9432" w14:textId="77777777" w:rsidTr="00091AA5">
        <w:tc>
          <w:tcPr>
            <w:tcW w:w="576" w:type="dxa"/>
          </w:tcPr>
          <w:p w14:paraId="473EEF4A" w14:textId="77777777" w:rsidR="00630147" w:rsidRPr="00286216" w:rsidRDefault="00630147" w:rsidP="00630147">
            <w:pPr>
              <w:pStyle w:val="StyleWisnow"/>
              <w:rPr>
                <w:color w:val="000000" w:themeColor="text1"/>
              </w:rPr>
            </w:pPr>
            <w:bookmarkStart w:id="3101" w:name="n3231" w:colFirst="0" w:colLast="0"/>
            <w:bookmarkEnd w:id="3100"/>
            <w:r w:rsidRPr="00286216">
              <w:rPr>
                <w:color w:val="000000" w:themeColor="text1"/>
              </w:rPr>
              <w:t>3231.</w:t>
            </w:r>
          </w:p>
        </w:tc>
        <w:tc>
          <w:tcPr>
            <w:tcW w:w="4818" w:type="dxa"/>
          </w:tcPr>
          <w:p w14:paraId="546EC8E4" w14:textId="77777777" w:rsidR="00630147" w:rsidRPr="00286216" w:rsidRDefault="00630147" w:rsidP="00630147">
            <w:pPr>
              <w:pStyle w:val="StyleZakonu"/>
              <w:rPr>
                <w:color w:val="000000" w:themeColor="text1"/>
              </w:rPr>
            </w:pPr>
            <w:r w:rsidRPr="00286216">
              <w:rPr>
                <w:color w:val="000000" w:themeColor="text1"/>
              </w:rPr>
              <w:t>а) у частині третій:</w:t>
            </w:r>
          </w:p>
        </w:tc>
        <w:tc>
          <w:tcPr>
            <w:tcW w:w="3686" w:type="dxa"/>
          </w:tcPr>
          <w:p w14:paraId="391DB8F5" w14:textId="77777777" w:rsidR="00630147" w:rsidRPr="00286216" w:rsidRDefault="00630147" w:rsidP="00630147">
            <w:pPr>
              <w:pStyle w:val="StyleProp"/>
              <w:rPr>
                <w:color w:val="000000" w:themeColor="text1"/>
                <w:szCs w:val="18"/>
              </w:rPr>
            </w:pPr>
          </w:p>
        </w:tc>
        <w:tc>
          <w:tcPr>
            <w:tcW w:w="1987" w:type="dxa"/>
          </w:tcPr>
          <w:p w14:paraId="444D5895" w14:textId="77777777" w:rsidR="00630147" w:rsidRPr="00286216" w:rsidRDefault="00630147" w:rsidP="00630147">
            <w:pPr>
              <w:pStyle w:val="StyleWisnow"/>
              <w:rPr>
                <w:color w:val="000000" w:themeColor="text1"/>
              </w:rPr>
            </w:pPr>
          </w:p>
        </w:tc>
        <w:tc>
          <w:tcPr>
            <w:tcW w:w="4818" w:type="dxa"/>
          </w:tcPr>
          <w:p w14:paraId="664C3434" w14:textId="256D73F2" w:rsidR="00630147" w:rsidRPr="00286216" w:rsidRDefault="00630147" w:rsidP="00630147">
            <w:pPr>
              <w:pStyle w:val="StyleZakonu"/>
              <w:rPr>
                <w:color w:val="000000" w:themeColor="text1"/>
              </w:rPr>
            </w:pPr>
            <w:r w:rsidRPr="00286216">
              <w:rPr>
                <w:color w:val="000000" w:themeColor="text1"/>
              </w:rPr>
              <w:t>а) у частині третій:</w:t>
            </w:r>
          </w:p>
        </w:tc>
      </w:tr>
      <w:tr w:rsidR="00630147" w:rsidRPr="00286216" w14:paraId="27892A24" w14:textId="77777777" w:rsidTr="00091AA5">
        <w:tc>
          <w:tcPr>
            <w:tcW w:w="576" w:type="dxa"/>
          </w:tcPr>
          <w:p w14:paraId="63F10BD1" w14:textId="77777777" w:rsidR="00630147" w:rsidRPr="00286216" w:rsidRDefault="00630147" w:rsidP="00630147">
            <w:pPr>
              <w:pStyle w:val="StyleWisnow"/>
              <w:rPr>
                <w:color w:val="000000" w:themeColor="text1"/>
              </w:rPr>
            </w:pPr>
            <w:bookmarkStart w:id="3102" w:name="n3232" w:colFirst="0" w:colLast="0"/>
            <w:bookmarkEnd w:id="3101"/>
            <w:r w:rsidRPr="00286216">
              <w:rPr>
                <w:color w:val="000000" w:themeColor="text1"/>
              </w:rPr>
              <w:t>3232.</w:t>
            </w:r>
          </w:p>
        </w:tc>
        <w:tc>
          <w:tcPr>
            <w:tcW w:w="4818" w:type="dxa"/>
          </w:tcPr>
          <w:p w14:paraId="315F3FF9" w14:textId="77777777" w:rsidR="00630147" w:rsidRPr="00286216" w:rsidRDefault="00630147" w:rsidP="00630147">
            <w:pPr>
              <w:pStyle w:val="StyleZakonu"/>
              <w:rPr>
                <w:color w:val="000000" w:themeColor="text1"/>
              </w:rPr>
            </w:pPr>
            <w:r w:rsidRPr="00286216">
              <w:rPr>
                <w:color w:val="000000" w:themeColor="text1"/>
              </w:rPr>
              <w:t>у абзаці першому слова "цінних паперах" замінити словами "фінансових інструментах";</w:t>
            </w:r>
          </w:p>
        </w:tc>
        <w:tc>
          <w:tcPr>
            <w:tcW w:w="3686" w:type="dxa"/>
          </w:tcPr>
          <w:p w14:paraId="2E25EE47" w14:textId="77777777" w:rsidR="00630147" w:rsidRPr="00286216" w:rsidRDefault="00630147" w:rsidP="00630147">
            <w:pPr>
              <w:pStyle w:val="StyleProp"/>
              <w:rPr>
                <w:color w:val="000000" w:themeColor="text1"/>
                <w:szCs w:val="18"/>
              </w:rPr>
            </w:pPr>
          </w:p>
        </w:tc>
        <w:tc>
          <w:tcPr>
            <w:tcW w:w="1987" w:type="dxa"/>
          </w:tcPr>
          <w:p w14:paraId="0032E3D4" w14:textId="77777777" w:rsidR="00630147" w:rsidRPr="00286216" w:rsidRDefault="00630147" w:rsidP="00630147">
            <w:pPr>
              <w:pStyle w:val="StyleWisnow"/>
              <w:rPr>
                <w:color w:val="000000" w:themeColor="text1"/>
              </w:rPr>
            </w:pPr>
          </w:p>
        </w:tc>
        <w:tc>
          <w:tcPr>
            <w:tcW w:w="4818" w:type="dxa"/>
          </w:tcPr>
          <w:p w14:paraId="3B5ADAD0" w14:textId="429603C3" w:rsidR="00630147" w:rsidRPr="00286216" w:rsidRDefault="00630147" w:rsidP="00630147">
            <w:pPr>
              <w:pStyle w:val="StyleZakonu"/>
              <w:rPr>
                <w:color w:val="000000" w:themeColor="text1"/>
              </w:rPr>
            </w:pPr>
            <w:r w:rsidRPr="00286216">
              <w:rPr>
                <w:color w:val="000000" w:themeColor="text1"/>
              </w:rPr>
              <w:t>в абзаці першому слова "цінних паперах" замінити словами "фінансових інструментах";</w:t>
            </w:r>
          </w:p>
        </w:tc>
      </w:tr>
      <w:tr w:rsidR="00630147" w:rsidRPr="00286216" w14:paraId="15197401" w14:textId="77777777" w:rsidTr="00091AA5">
        <w:tc>
          <w:tcPr>
            <w:tcW w:w="576" w:type="dxa"/>
          </w:tcPr>
          <w:p w14:paraId="5422815E" w14:textId="77777777" w:rsidR="00630147" w:rsidRPr="00286216" w:rsidRDefault="00630147" w:rsidP="00630147">
            <w:pPr>
              <w:pStyle w:val="StyleWisnow"/>
              <w:rPr>
                <w:color w:val="000000" w:themeColor="text1"/>
              </w:rPr>
            </w:pPr>
            <w:bookmarkStart w:id="3103" w:name="n3233" w:colFirst="0" w:colLast="0"/>
            <w:bookmarkEnd w:id="3102"/>
            <w:r w:rsidRPr="00286216">
              <w:rPr>
                <w:color w:val="000000" w:themeColor="text1"/>
              </w:rPr>
              <w:t>3233.</w:t>
            </w:r>
          </w:p>
        </w:tc>
        <w:tc>
          <w:tcPr>
            <w:tcW w:w="4818" w:type="dxa"/>
          </w:tcPr>
          <w:p w14:paraId="4AC9C844" w14:textId="77777777" w:rsidR="00630147" w:rsidRPr="00286216" w:rsidRDefault="00630147" w:rsidP="00630147">
            <w:pPr>
              <w:pStyle w:val="StyleZakonu"/>
              <w:rPr>
                <w:color w:val="000000" w:themeColor="text1"/>
              </w:rPr>
            </w:pPr>
            <w:r w:rsidRPr="00286216">
              <w:rPr>
                <w:color w:val="000000" w:themeColor="text1"/>
              </w:rPr>
              <w:t>у пункті другому слова "пройшли лістинг, перебувають в обігу на фондовій біржі, що відповідає вимогам, встановленим Національною комісією з цінних паперів та фондового ринку" замінити словами "допущені до торгів на регульованому фондовому ринку";</w:t>
            </w:r>
          </w:p>
        </w:tc>
        <w:tc>
          <w:tcPr>
            <w:tcW w:w="3686" w:type="dxa"/>
          </w:tcPr>
          <w:p w14:paraId="3A14BFBB" w14:textId="77777777" w:rsidR="00630147" w:rsidRPr="00286216" w:rsidRDefault="00630147" w:rsidP="00630147">
            <w:pPr>
              <w:pStyle w:val="StyleProp"/>
              <w:rPr>
                <w:color w:val="000000" w:themeColor="text1"/>
                <w:szCs w:val="18"/>
              </w:rPr>
            </w:pPr>
          </w:p>
        </w:tc>
        <w:tc>
          <w:tcPr>
            <w:tcW w:w="1987" w:type="dxa"/>
          </w:tcPr>
          <w:p w14:paraId="490C3968" w14:textId="77777777" w:rsidR="00630147" w:rsidRPr="00286216" w:rsidRDefault="00630147" w:rsidP="00630147">
            <w:pPr>
              <w:pStyle w:val="StyleWisnow"/>
              <w:spacing w:line="180" w:lineRule="exact"/>
              <w:rPr>
                <w:color w:val="000000" w:themeColor="text1"/>
              </w:rPr>
            </w:pPr>
          </w:p>
        </w:tc>
        <w:tc>
          <w:tcPr>
            <w:tcW w:w="4818" w:type="dxa"/>
          </w:tcPr>
          <w:p w14:paraId="750327C4" w14:textId="7CA7CF0D" w:rsidR="00630147" w:rsidRPr="00286216" w:rsidRDefault="00630147" w:rsidP="00630147">
            <w:pPr>
              <w:pStyle w:val="StyleZakonu"/>
              <w:rPr>
                <w:color w:val="000000" w:themeColor="text1"/>
              </w:rPr>
            </w:pPr>
            <w:r w:rsidRPr="00286216">
              <w:rPr>
                <w:color w:val="000000" w:themeColor="text1"/>
              </w:rPr>
              <w:t>у пункті 2 слова "пройшли лістинг, перебувають в обігу на фондовій біржі, що відповідає вимогам, встановленим Національною комісією з цінних паперів та фондового ринку" замінити словами "допущені до торгів на регульованому фондовому ринку";</w:t>
            </w:r>
          </w:p>
        </w:tc>
      </w:tr>
      <w:tr w:rsidR="00630147" w:rsidRPr="00286216" w14:paraId="02919E39" w14:textId="77777777" w:rsidTr="00091AA5">
        <w:tc>
          <w:tcPr>
            <w:tcW w:w="576" w:type="dxa"/>
          </w:tcPr>
          <w:p w14:paraId="0C841020" w14:textId="77777777" w:rsidR="00630147" w:rsidRPr="00286216" w:rsidRDefault="00630147" w:rsidP="00630147">
            <w:pPr>
              <w:pStyle w:val="StyleWisnow"/>
              <w:rPr>
                <w:color w:val="000000" w:themeColor="text1"/>
              </w:rPr>
            </w:pPr>
            <w:bookmarkStart w:id="3104" w:name="n3234" w:colFirst="0" w:colLast="0"/>
            <w:bookmarkEnd w:id="3103"/>
            <w:r w:rsidRPr="00286216">
              <w:rPr>
                <w:color w:val="000000" w:themeColor="text1"/>
              </w:rPr>
              <w:t>3234.</w:t>
            </w:r>
          </w:p>
        </w:tc>
        <w:tc>
          <w:tcPr>
            <w:tcW w:w="4818" w:type="dxa"/>
          </w:tcPr>
          <w:p w14:paraId="416B5339" w14:textId="77777777" w:rsidR="00630147" w:rsidRPr="00286216" w:rsidRDefault="00630147" w:rsidP="00630147">
            <w:pPr>
              <w:pStyle w:val="StyleZakonu"/>
              <w:rPr>
                <w:color w:val="000000" w:themeColor="text1"/>
              </w:rPr>
            </w:pPr>
            <w:r w:rsidRPr="00286216">
              <w:rPr>
                <w:color w:val="000000" w:themeColor="text1"/>
              </w:rPr>
              <w:t>у пункті 2-1 слова "пройшли лістинг на фондовій біржі, що відповідає вимогам, установленим Національною комісією з цінних паперів та фондового ринку" замінити словами "допущені до торгів на регульованому фондовому ринку";</w:t>
            </w:r>
          </w:p>
        </w:tc>
        <w:tc>
          <w:tcPr>
            <w:tcW w:w="3686" w:type="dxa"/>
          </w:tcPr>
          <w:p w14:paraId="4D648301" w14:textId="77777777" w:rsidR="00630147" w:rsidRPr="00286216" w:rsidRDefault="00630147" w:rsidP="00630147">
            <w:pPr>
              <w:pStyle w:val="StyleProp"/>
              <w:rPr>
                <w:color w:val="000000" w:themeColor="text1"/>
                <w:szCs w:val="18"/>
              </w:rPr>
            </w:pPr>
          </w:p>
        </w:tc>
        <w:tc>
          <w:tcPr>
            <w:tcW w:w="1987" w:type="dxa"/>
          </w:tcPr>
          <w:p w14:paraId="24029A47" w14:textId="77777777" w:rsidR="00630147" w:rsidRPr="00286216" w:rsidRDefault="00630147" w:rsidP="00630147">
            <w:pPr>
              <w:pStyle w:val="StyleWisnow"/>
              <w:rPr>
                <w:color w:val="000000" w:themeColor="text1"/>
              </w:rPr>
            </w:pPr>
          </w:p>
        </w:tc>
        <w:tc>
          <w:tcPr>
            <w:tcW w:w="4818" w:type="dxa"/>
          </w:tcPr>
          <w:p w14:paraId="12E55243" w14:textId="5DC273F6" w:rsidR="00630147" w:rsidRPr="00286216" w:rsidRDefault="00630147" w:rsidP="00630147">
            <w:pPr>
              <w:pStyle w:val="StyleZakonu"/>
              <w:rPr>
                <w:color w:val="000000" w:themeColor="text1"/>
              </w:rPr>
            </w:pPr>
            <w:r w:rsidRPr="00286216">
              <w:rPr>
                <w:color w:val="000000" w:themeColor="text1"/>
              </w:rPr>
              <w:t>у пункті 2</w:t>
            </w:r>
            <w:r w:rsidRPr="00286216">
              <w:rPr>
                <w:color w:val="000000" w:themeColor="text1"/>
                <w:vertAlign w:val="superscript"/>
              </w:rPr>
              <w:t>1</w:t>
            </w:r>
            <w:r w:rsidRPr="00286216">
              <w:rPr>
                <w:color w:val="000000" w:themeColor="text1"/>
              </w:rPr>
              <w:t xml:space="preserve"> слова "пройшли лістинг на фондовій біржі, що відповідає вимогам, установленим Національною комісією з цінних паперів та фондового ринку" замінити словами "допущені до торгів на регульованому фондовому ринку";</w:t>
            </w:r>
          </w:p>
        </w:tc>
      </w:tr>
      <w:tr w:rsidR="00630147" w:rsidRPr="00286216" w14:paraId="7D71F43C" w14:textId="77777777" w:rsidTr="00091AA5">
        <w:tc>
          <w:tcPr>
            <w:tcW w:w="576" w:type="dxa"/>
          </w:tcPr>
          <w:p w14:paraId="276FA7EE" w14:textId="77777777" w:rsidR="00630147" w:rsidRPr="00286216" w:rsidRDefault="00630147" w:rsidP="00630147">
            <w:pPr>
              <w:pStyle w:val="StyleWisnow"/>
              <w:rPr>
                <w:color w:val="000000" w:themeColor="text1"/>
              </w:rPr>
            </w:pPr>
            <w:bookmarkStart w:id="3105" w:name="n3235" w:colFirst="0" w:colLast="0"/>
            <w:bookmarkEnd w:id="3104"/>
            <w:r w:rsidRPr="00286216">
              <w:rPr>
                <w:color w:val="000000" w:themeColor="text1"/>
              </w:rPr>
              <w:t>3235.</w:t>
            </w:r>
          </w:p>
        </w:tc>
        <w:tc>
          <w:tcPr>
            <w:tcW w:w="4818" w:type="dxa"/>
          </w:tcPr>
          <w:p w14:paraId="018A2A49" w14:textId="77777777" w:rsidR="00630147" w:rsidRPr="00286216" w:rsidRDefault="00630147" w:rsidP="00630147">
            <w:pPr>
              <w:pStyle w:val="StyleZakonu"/>
              <w:rPr>
                <w:color w:val="000000" w:themeColor="text1"/>
              </w:rPr>
            </w:pPr>
            <w:r w:rsidRPr="00286216">
              <w:rPr>
                <w:color w:val="000000" w:themeColor="text1"/>
              </w:rPr>
              <w:t>доповнити частину після пункту третього новим пунктом такого змісту:</w:t>
            </w:r>
          </w:p>
        </w:tc>
        <w:tc>
          <w:tcPr>
            <w:tcW w:w="3686" w:type="dxa"/>
          </w:tcPr>
          <w:p w14:paraId="2C84EE50" w14:textId="77777777" w:rsidR="00630147" w:rsidRPr="00286216" w:rsidRDefault="00630147" w:rsidP="00630147">
            <w:pPr>
              <w:pStyle w:val="StyleProp"/>
              <w:rPr>
                <w:color w:val="000000" w:themeColor="text1"/>
                <w:szCs w:val="18"/>
              </w:rPr>
            </w:pPr>
          </w:p>
        </w:tc>
        <w:tc>
          <w:tcPr>
            <w:tcW w:w="1987" w:type="dxa"/>
          </w:tcPr>
          <w:p w14:paraId="02B74AF5" w14:textId="77777777" w:rsidR="00630147" w:rsidRPr="00286216" w:rsidRDefault="00630147" w:rsidP="00630147">
            <w:pPr>
              <w:pStyle w:val="StyleWisnow"/>
              <w:rPr>
                <w:color w:val="000000" w:themeColor="text1"/>
              </w:rPr>
            </w:pPr>
          </w:p>
        </w:tc>
        <w:tc>
          <w:tcPr>
            <w:tcW w:w="4818" w:type="dxa"/>
          </w:tcPr>
          <w:p w14:paraId="4CC35A74" w14:textId="59AD48B9" w:rsidR="00630147" w:rsidRPr="00286216" w:rsidRDefault="00630147" w:rsidP="00630147">
            <w:pPr>
              <w:pStyle w:val="StyleZakonu"/>
              <w:rPr>
                <w:color w:val="000000" w:themeColor="text1"/>
              </w:rPr>
            </w:pPr>
            <w:r w:rsidRPr="00286216">
              <w:rPr>
                <w:color w:val="000000" w:themeColor="text1"/>
              </w:rPr>
              <w:t>доповнити новим пунктом 3</w:t>
            </w:r>
            <w:r w:rsidRPr="00286216">
              <w:rPr>
                <w:color w:val="000000" w:themeColor="text1"/>
                <w:vertAlign w:val="superscript"/>
              </w:rPr>
              <w:t>1</w:t>
            </w:r>
            <w:r w:rsidRPr="00286216">
              <w:rPr>
                <w:color w:val="000000" w:themeColor="text1"/>
              </w:rPr>
              <w:t xml:space="preserve"> такого змісту:</w:t>
            </w:r>
          </w:p>
        </w:tc>
      </w:tr>
      <w:tr w:rsidR="00630147" w:rsidRPr="00286216" w14:paraId="05ABAC38" w14:textId="77777777" w:rsidTr="00091AA5">
        <w:tc>
          <w:tcPr>
            <w:tcW w:w="576" w:type="dxa"/>
          </w:tcPr>
          <w:p w14:paraId="17B3A406" w14:textId="77777777" w:rsidR="00630147" w:rsidRPr="00286216" w:rsidRDefault="00630147" w:rsidP="00630147">
            <w:pPr>
              <w:pStyle w:val="StyleWisnow"/>
              <w:rPr>
                <w:color w:val="000000" w:themeColor="text1"/>
              </w:rPr>
            </w:pPr>
            <w:bookmarkStart w:id="3106" w:name="n3236" w:colFirst="0" w:colLast="0"/>
            <w:bookmarkEnd w:id="3105"/>
            <w:r w:rsidRPr="00286216">
              <w:rPr>
                <w:color w:val="000000" w:themeColor="text1"/>
              </w:rPr>
              <w:t>3236.</w:t>
            </w:r>
          </w:p>
        </w:tc>
        <w:tc>
          <w:tcPr>
            <w:tcW w:w="4818" w:type="dxa"/>
          </w:tcPr>
          <w:p w14:paraId="61A84854" w14:textId="77777777" w:rsidR="00630147" w:rsidRPr="00286216" w:rsidRDefault="00630147" w:rsidP="00630147">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облігацій міжнародних фінансових організацій, що розміщуються на території України; ";</w:t>
            </w:r>
          </w:p>
        </w:tc>
        <w:tc>
          <w:tcPr>
            <w:tcW w:w="3686" w:type="dxa"/>
          </w:tcPr>
          <w:p w14:paraId="0FEBA9AB" w14:textId="77777777" w:rsidR="00630147" w:rsidRPr="00286216" w:rsidRDefault="00630147" w:rsidP="00630147">
            <w:pPr>
              <w:pStyle w:val="StyleProp"/>
              <w:rPr>
                <w:color w:val="000000" w:themeColor="text1"/>
                <w:szCs w:val="18"/>
              </w:rPr>
            </w:pPr>
          </w:p>
        </w:tc>
        <w:tc>
          <w:tcPr>
            <w:tcW w:w="1987" w:type="dxa"/>
          </w:tcPr>
          <w:p w14:paraId="5ED8AEDB" w14:textId="77777777" w:rsidR="00630147" w:rsidRPr="00286216" w:rsidRDefault="00630147" w:rsidP="00630147">
            <w:pPr>
              <w:pStyle w:val="StyleWisnow"/>
              <w:rPr>
                <w:color w:val="000000" w:themeColor="text1"/>
              </w:rPr>
            </w:pPr>
          </w:p>
        </w:tc>
        <w:tc>
          <w:tcPr>
            <w:tcW w:w="4818" w:type="dxa"/>
          </w:tcPr>
          <w:p w14:paraId="39B8E811" w14:textId="0F351D21" w:rsidR="00630147" w:rsidRPr="00286216" w:rsidRDefault="00630147" w:rsidP="00630147">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облігацій міжнародних фінансових організацій, що розміщуються на території України";</w:t>
            </w:r>
          </w:p>
        </w:tc>
      </w:tr>
      <w:tr w:rsidR="00630147" w:rsidRPr="00286216" w14:paraId="451C42EE" w14:textId="77777777" w:rsidTr="00091AA5">
        <w:tc>
          <w:tcPr>
            <w:tcW w:w="576" w:type="dxa"/>
          </w:tcPr>
          <w:p w14:paraId="25FAA43B" w14:textId="77777777" w:rsidR="00630147" w:rsidRPr="00286216" w:rsidRDefault="00630147" w:rsidP="00630147">
            <w:pPr>
              <w:pStyle w:val="StyleWisnow"/>
              <w:rPr>
                <w:color w:val="000000" w:themeColor="text1"/>
              </w:rPr>
            </w:pPr>
            <w:bookmarkStart w:id="3107" w:name="n3237" w:colFirst="0" w:colLast="0"/>
            <w:bookmarkEnd w:id="3106"/>
            <w:r w:rsidRPr="00286216">
              <w:rPr>
                <w:color w:val="000000" w:themeColor="text1"/>
              </w:rPr>
              <w:t>3237.</w:t>
            </w:r>
          </w:p>
        </w:tc>
        <w:tc>
          <w:tcPr>
            <w:tcW w:w="4818" w:type="dxa"/>
          </w:tcPr>
          <w:p w14:paraId="1B7B34A4" w14:textId="77777777" w:rsidR="00630147" w:rsidRPr="00286216" w:rsidRDefault="00630147" w:rsidP="00630147">
            <w:pPr>
              <w:pStyle w:val="StyleZakonu"/>
              <w:rPr>
                <w:color w:val="000000" w:themeColor="text1"/>
              </w:rPr>
            </w:pPr>
            <w:r w:rsidRPr="00286216">
              <w:rPr>
                <w:color w:val="000000" w:themeColor="text1"/>
              </w:rPr>
              <w:t xml:space="preserve">у пункті 5 слова "організованих фондових ринках та пройшли лістинг на" замінити словами </w:t>
            </w:r>
            <w:r w:rsidRPr="00286216">
              <w:rPr>
                <w:color w:val="000000" w:themeColor="text1"/>
              </w:rPr>
              <w:lastRenderedPageBreak/>
              <w:t>"регульованих фондових ринках та допущені до торгів";</w:t>
            </w:r>
          </w:p>
        </w:tc>
        <w:tc>
          <w:tcPr>
            <w:tcW w:w="3686" w:type="dxa"/>
          </w:tcPr>
          <w:p w14:paraId="609F3CCF" w14:textId="77777777" w:rsidR="00630147" w:rsidRPr="00286216" w:rsidRDefault="00630147" w:rsidP="00630147">
            <w:pPr>
              <w:pStyle w:val="StyleProp"/>
              <w:rPr>
                <w:color w:val="000000" w:themeColor="text1"/>
                <w:szCs w:val="18"/>
              </w:rPr>
            </w:pPr>
          </w:p>
        </w:tc>
        <w:tc>
          <w:tcPr>
            <w:tcW w:w="1987" w:type="dxa"/>
          </w:tcPr>
          <w:p w14:paraId="57ECCB1B" w14:textId="77777777" w:rsidR="00630147" w:rsidRPr="00286216" w:rsidRDefault="00630147" w:rsidP="00630147">
            <w:pPr>
              <w:pStyle w:val="StyleWisnow"/>
              <w:rPr>
                <w:color w:val="000000" w:themeColor="text1"/>
              </w:rPr>
            </w:pPr>
          </w:p>
        </w:tc>
        <w:tc>
          <w:tcPr>
            <w:tcW w:w="4818" w:type="dxa"/>
          </w:tcPr>
          <w:p w14:paraId="3238B8F4" w14:textId="57D7CBC6" w:rsidR="00630147" w:rsidRPr="00286216" w:rsidRDefault="00630147" w:rsidP="00630147">
            <w:pPr>
              <w:pStyle w:val="StyleZakonu"/>
              <w:rPr>
                <w:color w:val="000000" w:themeColor="text1"/>
              </w:rPr>
            </w:pPr>
            <w:r w:rsidRPr="00286216">
              <w:rPr>
                <w:color w:val="000000" w:themeColor="text1"/>
              </w:rPr>
              <w:t xml:space="preserve">у пункті 5 слова "організованих фондових ринках та пройшли лістинг на" замінити словами </w:t>
            </w:r>
            <w:r w:rsidRPr="00286216">
              <w:rPr>
                <w:color w:val="000000" w:themeColor="text1"/>
              </w:rPr>
              <w:lastRenderedPageBreak/>
              <w:t>"регульованих фондових ринках та допущені до торгів";</w:t>
            </w:r>
          </w:p>
        </w:tc>
      </w:tr>
      <w:tr w:rsidR="00630147" w:rsidRPr="00286216" w14:paraId="51FCF72F" w14:textId="77777777" w:rsidTr="00091AA5">
        <w:tc>
          <w:tcPr>
            <w:tcW w:w="576" w:type="dxa"/>
          </w:tcPr>
          <w:p w14:paraId="68407994" w14:textId="77777777" w:rsidR="00630147" w:rsidRPr="00286216" w:rsidRDefault="00630147" w:rsidP="00630147">
            <w:pPr>
              <w:pStyle w:val="StyleWisnow"/>
              <w:rPr>
                <w:color w:val="000000" w:themeColor="text1"/>
              </w:rPr>
            </w:pPr>
            <w:bookmarkStart w:id="3108" w:name="n3238" w:colFirst="0" w:colLast="0"/>
            <w:bookmarkEnd w:id="3107"/>
            <w:r w:rsidRPr="00286216">
              <w:rPr>
                <w:color w:val="000000" w:themeColor="text1"/>
              </w:rPr>
              <w:lastRenderedPageBreak/>
              <w:t>3238.</w:t>
            </w:r>
          </w:p>
        </w:tc>
        <w:tc>
          <w:tcPr>
            <w:tcW w:w="4818" w:type="dxa"/>
          </w:tcPr>
          <w:p w14:paraId="0C8509CC" w14:textId="77777777" w:rsidR="00630147" w:rsidRPr="00286216" w:rsidRDefault="00630147" w:rsidP="00630147">
            <w:pPr>
              <w:pStyle w:val="StyleZakonu"/>
              <w:rPr>
                <w:color w:val="000000" w:themeColor="text1"/>
              </w:rPr>
            </w:pPr>
            <w:r w:rsidRPr="00286216">
              <w:rPr>
                <w:color w:val="000000" w:themeColor="text1"/>
              </w:rPr>
              <w:t>б) у частині четвертій:</w:t>
            </w:r>
          </w:p>
        </w:tc>
        <w:tc>
          <w:tcPr>
            <w:tcW w:w="3686" w:type="dxa"/>
          </w:tcPr>
          <w:p w14:paraId="66D58138" w14:textId="77777777" w:rsidR="00630147" w:rsidRPr="00286216" w:rsidRDefault="00630147" w:rsidP="00630147">
            <w:pPr>
              <w:pStyle w:val="StyleProp"/>
              <w:rPr>
                <w:color w:val="000000" w:themeColor="text1"/>
                <w:szCs w:val="18"/>
              </w:rPr>
            </w:pPr>
          </w:p>
        </w:tc>
        <w:tc>
          <w:tcPr>
            <w:tcW w:w="1987" w:type="dxa"/>
          </w:tcPr>
          <w:p w14:paraId="27CB1E55" w14:textId="77777777" w:rsidR="00630147" w:rsidRPr="00286216" w:rsidRDefault="00630147" w:rsidP="00630147">
            <w:pPr>
              <w:pStyle w:val="StyleWisnow"/>
              <w:rPr>
                <w:color w:val="000000" w:themeColor="text1"/>
              </w:rPr>
            </w:pPr>
          </w:p>
        </w:tc>
        <w:tc>
          <w:tcPr>
            <w:tcW w:w="4818" w:type="dxa"/>
          </w:tcPr>
          <w:p w14:paraId="36576651" w14:textId="099F149C" w:rsidR="00630147" w:rsidRPr="00286216" w:rsidRDefault="00630147" w:rsidP="00630147">
            <w:pPr>
              <w:pStyle w:val="StyleZakonu"/>
              <w:rPr>
                <w:color w:val="000000" w:themeColor="text1"/>
              </w:rPr>
            </w:pPr>
            <w:r w:rsidRPr="00286216">
              <w:rPr>
                <w:color w:val="000000" w:themeColor="text1"/>
              </w:rPr>
              <w:t>б) у частині четвертій:</w:t>
            </w:r>
          </w:p>
        </w:tc>
      </w:tr>
      <w:tr w:rsidR="00630147" w:rsidRPr="00286216" w14:paraId="7A9788B1" w14:textId="77777777" w:rsidTr="00091AA5">
        <w:tc>
          <w:tcPr>
            <w:tcW w:w="576" w:type="dxa"/>
          </w:tcPr>
          <w:p w14:paraId="70A3A408" w14:textId="77777777" w:rsidR="00630147" w:rsidRPr="00286216" w:rsidRDefault="00630147" w:rsidP="00630147">
            <w:pPr>
              <w:pStyle w:val="StyleWisnow"/>
              <w:rPr>
                <w:color w:val="000000" w:themeColor="text1"/>
              </w:rPr>
            </w:pPr>
            <w:bookmarkStart w:id="3109" w:name="n3239" w:colFirst="0" w:colLast="0"/>
            <w:bookmarkEnd w:id="3108"/>
            <w:r w:rsidRPr="00286216">
              <w:rPr>
                <w:color w:val="000000" w:themeColor="text1"/>
              </w:rPr>
              <w:t>3239.</w:t>
            </w:r>
          </w:p>
        </w:tc>
        <w:tc>
          <w:tcPr>
            <w:tcW w:w="4818" w:type="dxa"/>
          </w:tcPr>
          <w:p w14:paraId="50D8BE91" w14:textId="77777777" w:rsidR="00630147" w:rsidRPr="00286216" w:rsidRDefault="00630147" w:rsidP="00630147">
            <w:pPr>
              <w:pStyle w:val="StyleZakonu"/>
              <w:rPr>
                <w:color w:val="000000" w:themeColor="text1"/>
              </w:rPr>
            </w:pPr>
            <w:r w:rsidRPr="00286216">
              <w:rPr>
                <w:color w:val="000000" w:themeColor="text1"/>
              </w:rPr>
              <w:t>у абзаці першому слова "цінних паперах" замінити словами "фінансових інструментах";</w:t>
            </w:r>
          </w:p>
        </w:tc>
        <w:tc>
          <w:tcPr>
            <w:tcW w:w="3686" w:type="dxa"/>
          </w:tcPr>
          <w:p w14:paraId="26139DAA" w14:textId="77777777" w:rsidR="00630147" w:rsidRPr="00286216" w:rsidRDefault="00630147" w:rsidP="00630147">
            <w:pPr>
              <w:pStyle w:val="StyleProp"/>
              <w:rPr>
                <w:color w:val="000000" w:themeColor="text1"/>
                <w:szCs w:val="18"/>
              </w:rPr>
            </w:pPr>
          </w:p>
        </w:tc>
        <w:tc>
          <w:tcPr>
            <w:tcW w:w="1987" w:type="dxa"/>
          </w:tcPr>
          <w:p w14:paraId="59944631" w14:textId="77777777" w:rsidR="00630147" w:rsidRPr="00286216" w:rsidRDefault="00630147" w:rsidP="00630147">
            <w:pPr>
              <w:pStyle w:val="StyleWisnow"/>
              <w:rPr>
                <w:color w:val="000000" w:themeColor="text1"/>
              </w:rPr>
            </w:pPr>
          </w:p>
        </w:tc>
        <w:tc>
          <w:tcPr>
            <w:tcW w:w="4818" w:type="dxa"/>
          </w:tcPr>
          <w:p w14:paraId="2855B1ED" w14:textId="3EE74EEF" w:rsidR="00630147" w:rsidRPr="00286216" w:rsidRDefault="00630147" w:rsidP="00630147">
            <w:pPr>
              <w:pStyle w:val="StyleZakonu"/>
              <w:rPr>
                <w:color w:val="000000" w:themeColor="text1"/>
              </w:rPr>
            </w:pPr>
            <w:r w:rsidRPr="00286216">
              <w:rPr>
                <w:color w:val="000000" w:themeColor="text1"/>
              </w:rPr>
              <w:t>у абзаці першому слова "цінних паперах" замінити словами "фінансових інструментах";</w:t>
            </w:r>
          </w:p>
        </w:tc>
      </w:tr>
      <w:tr w:rsidR="00630147" w:rsidRPr="00286216" w14:paraId="3CCE6A56" w14:textId="77777777" w:rsidTr="00091AA5">
        <w:tc>
          <w:tcPr>
            <w:tcW w:w="576" w:type="dxa"/>
          </w:tcPr>
          <w:p w14:paraId="2263E5F7" w14:textId="77777777" w:rsidR="00630147" w:rsidRPr="00286216" w:rsidRDefault="00630147" w:rsidP="00630147">
            <w:pPr>
              <w:pStyle w:val="StyleWisnow"/>
              <w:rPr>
                <w:color w:val="000000" w:themeColor="text1"/>
              </w:rPr>
            </w:pPr>
            <w:bookmarkStart w:id="3110" w:name="n3240" w:colFirst="0" w:colLast="0"/>
            <w:bookmarkEnd w:id="3109"/>
            <w:r w:rsidRPr="00286216">
              <w:rPr>
                <w:color w:val="000000" w:themeColor="text1"/>
              </w:rPr>
              <w:t>3240.</w:t>
            </w:r>
          </w:p>
        </w:tc>
        <w:tc>
          <w:tcPr>
            <w:tcW w:w="4818" w:type="dxa"/>
          </w:tcPr>
          <w:p w14:paraId="6D79EB5A" w14:textId="77777777" w:rsidR="00630147" w:rsidRPr="00286216" w:rsidRDefault="00630147" w:rsidP="00630147">
            <w:pPr>
              <w:pStyle w:val="StyleZakonu"/>
              <w:rPr>
                <w:color w:val="000000" w:themeColor="text1"/>
              </w:rPr>
            </w:pPr>
            <w:r w:rsidRPr="00286216">
              <w:rPr>
                <w:color w:val="000000" w:themeColor="text1"/>
              </w:rPr>
              <w:t>у пункті 2 слова "пройшли лістинг на фондовій біржі (крім" замінити словами "допущені до торгів на регульованому фондовому ринку (крім облігацій міжнародних фінансових організацій, що розміщуються на території України, та";</w:t>
            </w:r>
          </w:p>
        </w:tc>
        <w:tc>
          <w:tcPr>
            <w:tcW w:w="3686" w:type="dxa"/>
          </w:tcPr>
          <w:p w14:paraId="7946C57E" w14:textId="77777777" w:rsidR="00630147" w:rsidRPr="00286216" w:rsidRDefault="00630147" w:rsidP="00630147">
            <w:pPr>
              <w:pStyle w:val="StyleProp"/>
              <w:rPr>
                <w:color w:val="000000" w:themeColor="text1"/>
                <w:szCs w:val="18"/>
              </w:rPr>
            </w:pPr>
          </w:p>
        </w:tc>
        <w:tc>
          <w:tcPr>
            <w:tcW w:w="1987" w:type="dxa"/>
          </w:tcPr>
          <w:p w14:paraId="2B135EE6" w14:textId="77777777" w:rsidR="00630147" w:rsidRPr="00286216" w:rsidRDefault="00630147" w:rsidP="00630147">
            <w:pPr>
              <w:pStyle w:val="StyleWisnow"/>
              <w:rPr>
                <w:color w:val="000000" w:themeColor="text1"/>
              </w:rPr>
            </w:pPr>
          </w:p>
        </w:tc>
        <w:tc>
          <w:tcPr>
            <w:tcW w:w="4818" w:type="dxa"/>
          </w:tcPr>
          <w:p w14:paraId="212C553B" w14:textId="0CC70804" w:rsidR="00630147" w:rsidRPr="00286216" w:rsidRDefault="00630147" w:rsidP="00630147">
            <w:pPr>
              <w:pStyle w:val="StyleZakonu"/>
              <w:rPr>
                <w:color w:val="000000" w:themeColor="text1"/>
              </w:rPr>
            </w:pPr>
            <w:r w:rsidRPr="00286216">
              <w:rPr>
                <w:color w:val="000000" w:themeColor="text1"/>
              </w:rPr>
              <w:t>у пункті 2 слова "пройшли лістинг на фондовій біржі (крім" замінити словами "допущені до торгів на регульованому фондовому ринку (крім облігацій міжнародних фінансових організацій, що розміщуються на території України, та";</w:t>
            </w:r>
          </w:p>
        </w:tc>
      </w:tr>
      <w:tr w:rsidR="00630147" w:rsidRPr="00286216" w14:paraId="2AAF0F57" w14:textId="77777777" w:rsidTr="00091AA5">
        <w:tc>
          <w:tcPr>
            <w:tcW w:w="576" w:type="dxa"/>
          </w:tcPr>
          <w:p w14:paraId="55D23E08" w14:textId="77777777" w:rsidR="00630147" w:rsidRPr="00286216" w:rsidRDefault="00630147" w:rsidP="00630147">
            <w:pPr>
              <w:pStyle w:val="StyleWisnow"/>
              <w:rPr>
                <w:color w:val="000000" w:themeColor="text1"/>
              </w:rPr>
            </w:pPr>
            <w:bookmarkStart w:id="3111" w:name="n3241" w:colFirst="0" w:colLast="0"/>
            <w:bookmarkEnd w:id="3110"/>
            <w:r w:rsidRPr="00286216">
              <w:rPr>
                <w:color w:val="000000" w:themeColor="text1"/>
              </w:rPr>
              <w:t>3241.</w:t>
            </w:r>
          </w:p>
        </w:tc>
        <w:tc>
          <w:tcPr>
            <w:tcW w:w="4818" w:type="dxa"/>
          </w:tcPr>
          <w:p w14:paraId="7DA29C1C" w14:textId="77777777" w:rsidR="00630147" w:rsidRPr="00286216" w:rsidRDefault="00630147" w:rsidP="00630147">
            <w:pPr>
              <w:pStyle w:val="StyleZakonu"/>
              <w:rPr>
                <w:color w:val="000000" w:themeColor="text1"/>
              </w:rPr>
            </w:pPr>
            <w:r w:rsidRPr="00286216">
              <w:rPr>
                <w:color w:val="000000" w:themeColor="text1"/>
              </w:rPr>
              <w:t>у пункті 5 слова "похідні (деривативи)" замінити словами "деривативні (похідні) фінансові інструменти";</w:t>
            </w:r>
          </w:p>
        </w:tc>
        <w:tc>
          <w:tcPr>
            <w:tcW w:w="3686" w:type="dxa"/>
          </w:tcPr>
          <w:p w14:paraId="624BCAE4" w14:textId="2AD86CA5" w:rsidR="00630147" w:rsidRPr="00286216" w:rsidRDefault="00630147" w:rsidP="00630147">
            <w:pPr>
              <w:spacing w:line="220" w:lineRule="exact"/>
              <w:rPr>
                <w:b/>
                <w:i/>
                <w:color w:val="000000" w:themeColor="text1"/>
                <w:spacing w:val="-4"/>
                <w:sz w:val="18"/>
                <w:u w:val="single"/>
              </w:rPr>
            </w:pPr>
            <w:r w:rsidRPr="00286216">
              <w:rPr>
                <w:b/>
                <w:i/>
                <w:color w:val="000000" w:themeColor="text1"/>
                <w:spacing w:val="-4"/>
                <w:sz w:val="18"/>
                <w:u w:val="single"/>
              </w:rPr>
              <w:t>-</w:t>
            </w:r>
            <w:r w:rsidRPr="00286216">
              <w:rPr>
                <w:b/>
                <w:i/>
                <w:color w:val="000000" w:themeColor="text1"/>
                <w:spacing w:val="-4"/>
                <w:sz w:val="18"/>
                <w:u w:val="single"/>
              </w:rPr>
              <w:fldChar w:fldCharType="begin"/>
            </w:r>
            <w:r w:rsidRPr="00286216">
              <w:rPr>
                <w:b/>
                <w:i/>
                <w:color w:val="000000" w:themeColor="text1"/>
                <w:spacing w:val="-4"/>
                <w:sz w:val="18"/>
                <w:u w:val="single"/>
              </w:rPr>
              <w:instrText xml:space="preserve"> SEQ aa </w:instrText>
            </w:r>
            <w:r w:rsidRPr="00286216">
              <w:rPr>
                <w:b/>
                <w:i/>
                <w:color w:val="000000" w:themeColor="text1"/>
                <w:spacing w:val="-4"/>
                <w:sz w:val="18"/>
                <w:u w:val="single"/>
              </w:rPr>
              <w:fldChar w:fldCharType="separate"/>
            </w:r>
            <w:r w:rsidR="00C46B29">
              <w:rPr>
                <w:b/>
                <w:i/>
                <w:noProof/>
                <w:color w:val="000000" w:themeColor="text1"/>
                <w:spacing w:val="-4"/>
                <w:sz w:val="18"/>
                <w:u w:val="single"/>
              </w:rPr>
              <w:t>1403</w:t>
            </w:r>
            <w:r w:rsidRPr="00286216">
              <w:rPr>
                <w:b/>
                <w:i/>
                <w:color w:val="000000" w:themeColor="text1"/>
                <w:spacing w:val="-4"/>
                <w:sz w:val="18"/>
                <w:u w:val="single"/>
              </w:rPr>
              <w:fldChar w:fldCharType="end"/>
            </w:r>
            <w:r w:rsidRPr="00286216">
              <w:rPr>
                <w:b/>
                <w:i/>
                <w:color w:val="000000" w:themeColor="text1"/>
                <w:spacing w:val="-4"/>
                <w:sz w:val="18"/>
                <w:u w:val="single"/>
              </w:rPr>
              <w:t>-Н.д.Бєлькова О.В.(Реєстр.картка №403)</w:t>
            </w:r>
          </w:p>
          <w:p w14:paraId="10B37C40" w14:textId="77777777" w:rsidR="00630147" w:rsidRPr="00286216" w:rsidRDefault="00630147" w:rsidP="00630147">
            <w:pPr>
              <w:spacing w:line="180" w:lineRule="exact"/>
              <w:ind w:firstLine="227"/>
              <w:jc w:val="both"/>
              <w:rPr>
                <w:color w:val="000000" w:themeColor="text1"/>
                <w:szCs w:val="18"/>
              </w:rPr>
            </w:pPr>
            <w:r w:rsidRPr="00286216">
              <w:rPr>
                <w:color w:val="000000" w:themeColor="text1"/>
                <w:sz w:val="18"/>
              </w:rPr>
              <w:t>У абзаці четвертому підпункту «б» підпункту 2 пункту 30 Розділу 3 законопроекту, яким вносяться зміни до пункту 5 частини четвертої статті 80 Закону України «Про загальнообов’язкове державне пенсійне страхування», слово та символи «(похідні)» виключити.</w:t>
            </w:r>
          </w:p>
        </w:tc>
        <w:tc>
          <w:tcPr>
            <w:tcW w:w="1987" w:type="dxa"/>
          </w:tcPr>
          <w:p w14:paraId="50B25A8C"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654888A5" w14:textId="57EAD21C" w:rsidR="00630147" w:rsidRPr="00286216" w:rsidRDefault="00630147" w:rsidP="00630147">
            <w:pPr>
              <w:pStyle w:val="StyleZakonu"/>
              <w:rPr>
                <w:color w:val="000000" w:themeColor="text1"/>
              </w:rPr>
            </w:pPr>
            <w:r w:rsidRPr="00286216">
              <w:rPr>
                <w:color w:val="000000" w:themeColor="text1"/>
              </w:rPr>
              <w:t>у пункті 5 слова "похідні (деривативи)" замінити словами "деривативні фінансові інструменти";</w:t>
            </w:r>
          </w:p>
        </w:tc>
      </w:tr>
      <w:tr w:rsidR="00630147" w:rsidRPr="00286216" w14:paraId="2E8C0717" w14:textId="77777777" w:rsidTr="00091AA5">
        <w:tc>
          <w:tcPr>
            <w:tcW w:w="576" w:type="dxa"/>
          </w:tcPr>
          <w:p w14:paraId="18EC3794" w14:textId="77777777" w:rsidR="00630147" w:rsidRPr="00286216" w:rsidRDefault="00630147" w:rsidP="00630147">
            <w:pPr>
              <w:pStyle w:val="StyleWisnow"/>
              <w:rPr>
                <w:color w:val="000000" w:themeColor="text1"/>
              </w:rPr>
            </w:pPr>
            <w:bookmarkStart w:id="3112" w:name="n3242" w:colFirst="0" w:colLast="0"/>
            <w:bookmarkEnd w:id="3111"/>
            <w:r w:rsidRPr="00286216">
              <w:rPr>
                <w:color w:val="000000" w:themeColor="text1"/>
              </w:rPr>
              <w:t>3242.</w:t>
            </w:r>
          </w:p>
        </w:tc>
        <w:tc>
          <w:tcPr>
            <w:tcW w:w="4818" w:type="dxa"/>
          </w:tcPr>
          <w:p w14:paraId="391CDA5E" w14:textId="77777777" w:rsidR="00630147" w:rsidRPr="00286216" w:rsidRDefault="00630147" w:rsidP="00630147">
            <w:pPr>
              <w:pStyle w:val="StyleZakonu"/>
              <w:rPr>
                <w:color w:val="000000" w:themeColor="text1"/>
              </w:rPr>
            </w:pPr>
            <w:r w:rsidRPr="00286216">
              <w:rPr>
                <w:color w:val="000000" w:themeColor="text1"/>
              </w:rPr>
              <w:t>3) у статті 86:</w:t>
            </w:r>
          </w:p>
        </w:tc>
        <w:tc>
          <w:tcPr>
            <w:tcW w:w="3686" w:type="dxa"/>
          </w:tcPr>
          <w:p w14:paraId="22F22B6E" w14:textId="77777777" w:rsidR="00630147" w:rsidRPr="00286216" w:rsidRDefault="00630147" w:rsidP="00630147">
            <w:pPr>
              <w:pStyle w:val="StyleProp"/>
              <w:rPr>
                <w:color w:val="000000" w:themeColor="text1"/>
                <w:szCs w:val="18"/>
              </w:rPr>
            </w:pPr>
          </w:p>
        </w:tc>
        <w:tc>
          <w:tcPr>
            <w:tcW w:w="1987" w:type="dxa"/>
          </w:tcPr>
          <w:p w14:paraId="3F78E84A" w14:textId="77777777" w:rsidR="00630147" w:rsidRPr="00286216" w:rsidRDefault="00630147" w:rsidP="00630147">
            <w:pPr>
              <w:pStyle w:val="StyleWisnow"/>
              <w:rPr>
                <w:color w:val="000000" w:themeColor="text1"/>
              </w:rPr>
            </w:pPr>
          </w:p>
        </w:tc>
        <w:tc>
          <w:tcPr>
            <w:tcW w:w="4818" w:type="dxa"/>
          </w:tcPr>
          <w:p w14:paraId="1C7423BF" w14:textId="09F9A811" w:rsidR="00630147" w:rsidRPr="00286216" w:rsidRDefault="00630147" w:rsidP="00630147">
            <w:pPr>
              <w:pStyle w:val="StyleZakonu"/>
              <w:rPr>
                <w:color w:val="000000" w:themeColor="text1"/>
              </w:rPr>
            </w:pPr>
            <w:r w:rsidRPr="00286216">
              <w:rPr>
                <w:color w:val="000000" w:themeColor="text1"/>
              </w:rPr>
              <w:t>3) у статті 86:</w:t>
            </w:r>
          </w:p>
        </w:tc>
      </w:tr>
      <w:tr w:rsidR="00630147" w:rsidRPr="00286216" w14:paraId="74C74168" w14:textId="77777777" w:rsidTr="00091AA5">
        <w:tc>
          <w:tcPr>
            <w:tcW w:w="576" w:type="dxa"/>
          </w:tcPr>
          <w:p w14:paraId="4CF8D9BE" w14:textId="77777777" w:rsidR="00630147" w:rsidRPr="00286216" w:rsidRDefault="00630147" w:rsidP="00630147">
            <w:pPr>
              <w:pStyle w:val="StyleWisnow"/>
              <w:rPr>
                <w:color w:val="000000" w:themeColor="text1"/>
              </w:rPr>
            </w:pPr>
            <w:bookmarkStart w:id="3113" w:name="n3243" w:colFirst="0" w:colLast="0"/>
            <w:bookmarkEnd w:id="3112"/>
            <w:r w:rsidRPr="00286216">
              <w:rPr>
                <w:color w:val="000000" w:themeColor="text1"/>
              </w:rPr>
              <w:t>3243.</w:t>
            </w:r>
          </w:p>
        </w:tc>
        <w:tc>
          <w:tcPr>
            <w:tcW w:w="4818" w:type="dxa"/>
          </w:tcPr>
          <w:p w14:paraId="01C62671" w14:textId="77777777" w:rsidR="00630147" w:rsidRPr="00286216" w:rsidRDefault="00630147" w:rsidP="00630147">
            <w:pPr>
              <w:pStyle w:val="StyleZakonu"/>
              <w:rPr>
                <w:color w:val="000000" w:themeColor="text1"/>
              </w:rPr>
            </w:pPr>
            <w:r w:rsidRPr="00286216">
              <w:rPr>
                <w:color w:val="000000" w:themeColor="text1"/>
              </w:rPr>
              <w:t>а) у пункті 3 частини першої слова "цінні папери" замінити словами "фінансові інструменти";</w:t>
            </w:r>
          </w:p>
        </w:tc>
        <w:tc>
          <w:tcPr>
            <w:tcW w:w="3686" w:type="dxa"/>
          </w:tcPr>
          <w:p w14:paraId="29BD7D6A" w14:textId="77777777" w:rsidR="00630147" w:rsidRPr="00286216" w:rsidRDefault="00630147" w:rsidP="00630147">
            <w:pPr>
              <w:pStyle w:val="StyleProp"/>
              <w:rPr>
                <w:color w:val="000000" w:themeColor="text1"/>
                <w:szCs w:val="18"/>
              </w:rPr>
            </w:pPr>
          </w:p>
        </w:tc>
        <w:tc>
          <w:tcPr>
            <w:tcW w:w="1987" w:type="dxa"/>
          </w:tcPr>
          <w:p w14:paraId="65812679" w14:textId="77777777" w:rsidR="00630147" w:rsidRPr="00286216" w:rsidRDefault="00630147" w:rsidP="00630147">
            <w:pPr>
              <w:pStyle w:val="StyleWisnow"/>
              <w:rPr>
                <w:color w:val="000000" w:themeColor="text1"/>
              </w:rPr>
            </w:pPr>
          </w:p>
        </w:tc>
        <w:tc>
          <w:tcPr>
            <w:tcW w:w="4818" w:type="dxa"/>
          </w:tcPr>
          <w:p w14:paraId="26ADCE12" w14:textId="33586959" w:rsidR="00630147" w:rsidRPr="00286216" w:rsidRDefault="00630147" w:rsidP="00630147">
            <w:pPr>
              <w:pStyle w:val="StyleZakonu"/>
              <w:rPr>
                <w:color w:val="000000" w:themeColor="text1"/>
              </w:rPr>
            </w:pPr>
            <w:r w:rsidRPr="00286216">
              <w:rPr>
                <w:color w:val="000000" w:themeColor="text1"/>
              </w:rPr>
              <w:t>а) у пункті 3 частини першої слова "цінні папери" замінити словами "фінансові інструменти";</w:t>
            </w:r>
          </w:p>
        </w:tc>
      </w:tr>
      <w:tr w:rsidR="00630147" w:rsidRPr="00286216" w14:paraId="59C3B246" w14:textId="77777777" w:rsidTr="00091AA5">
        <w:tc>
          <w:tcPr>
            <w:tcW w:w="576" w:type="dxa"/>
          </w:tcPr>
          <w:p w14:paraId="1B252DD1" w14:textId="77777777" w:rsidR="00630147" w:rsidRPr="00286216" w:rsidRDefault="00630147" w:rsidP="00630147">
            <w:pPr>
              <w:pStyle w:val="StyleWisnow"/>
              <w:rPr>
                <w:color w:val="000000" w:themeColor="text1"/>
              </w:rPr>
            </w:pPr>
            <w:bookmarkStart w:id="3114" w:name="n3244" w:colFirst="0" w:colLast="0"/>
            <w:bookmarkEnd w:id="3113"/>
            <w:r w:rsidRPr="00286216">
              <w:rPr>
                <w:color w:val="000000" w:themeColor="text1"/>
              </w:rPr>
              <w:t>3244.</w:t>
            </w:r>
          </w:p>
        </w:tc>
        <w:tc>
          <w:tcPr>
            <w:tcW w:w="4818" w:type="dxa"/>
          </w:tcPr>
          <w:p w14:paraId="7C5B684A" w14:textId="77777777" w:rsidR="00630147" w:rsidRPr="00286216" w:rsidRDefault="00630147" w:rsidP="00630147">
            <w:pPr>
              <w:pStyle w:val="StyleZakonu"/>
              <w:rPr>
                <w:color w:val="000000" w:themeColor="text1"/>
              </w:rPr>
            </w:pPr>
            <w:r w:rsidRPr="00286216">
              <w:rPr>
                <w:color w:val="000000" w:themeColor="text1"/>
              </w:rPr>
              <w:t>б) у частині 5 слова "фондовому ринку" замінити словами "ринках капіталу";</w:t>
            </w:r>
          </w:p>
        </w:tc>
        <w:tc>
          <w:tcPr>
            <w:tcW w:w="3686" w:type="dxa"/>
          </w:tcPr>
          <w:p w14:paraId="59BCD604" w14:textId="77777777" w:rsidR="00630147" w:rsidRPr="00286216" w:rsidRDefault="00630147" w:rsidP="00630147">
            <w:pPr>
              <w:pStyle w:val="StyleProp"/>
              <w:rPr>
                <w:color w:val="000000" w:themeColor="text1"/>
                <w:szCs w:val="18"/>
              </w:rPr>
            </w:pPr>
          </w:p>
        </w:tc>
        <w:tc>
          <w:tcPr>
            <w:tcW w:w="1987" w:type="dxa"/>
          </w:tcPr>
          <w:p w14:paraId="3C6B5076" w14:textId="77777777" w:rsidR="00630147" w:rsidRPr="00286216" w:rsidRDefault="00630147" w:rsidP="00630147">
            <w:pPr>
              <w:pStyle w:val="StyleWisnow"/>
              <w:rPr>
                <w:color w:val="000000" w:themeColor="text1"/>
              </w:rPr>
            </w:pPr>
          </w:p>
        </w:tc>
        <w:tc>
          <w:tcPr>
            <w:tcW w:w="4818" w:type="dxa"/>
          </w:tcPr>
          <w:p w14:paraId="7BFAA61D" w14:textId="402E129E" w:rsidR="00630147" w:rsidRPr="00286216" w:rsidRDefault="00630147" w:rsidP="00630147">
            <w:pPr>
              <w:pStyle w:val="StyleZakonu"/>
              <w:rPr>
                <w:color w:val="000000" w:themeColor="text1"/>
              </w:rPr>
            </w:pPr>
            <w:r w:rsidRPr="00286216">
              <w:rPr>
                <w:color w:val="000000" w:themeColor="text1"/>
              </w:rPr>
              <w:t>б) у частині п’ятій слова "фондовому ринку" замінити словами "ринках капіталу";</w:t>
            </w:r>
          </w:p>
        </w:tc>
      </w:tr>
      <w:tr w:rsidR="00630147" w:rsidRPr="00286216" w14:paraId="767ABB64" w14:textId="77777777" w:rsidTr="00091AA5">
        <w:tc>
          <w:tcPr>
            <w:tcW w:w="576" w:type="dxa"/>
          </w:tcPr>
          <w:p w14:paraId="439B1E7E" w14:textId="77777777" w:rsidR="00630147" w:rsidRPr="00286216" w:rsidRDefault="00630147" w:rsidP="00630147">
            <w:pPr>
              <w:pStyle w:val="StyleWisnow"/>
              <w:rPr>
                <w:color w:val="000000" w:themeColor="text1"/>
              </w:rPr>
            </w:pPr>
            <w:bookmarkStart w:id="3115" w:name="n3245" w:colFirst="0" w:colLast="0"/>
            <w:bookmarkEnd w:id="3114"/>
            <w:r w:rsidRPr="00286216">
              <w:rPr>
                <w:color w:val="000000" w:themeColor="text1"/>
              </w:rPr>
              <w:t>3245.</w:t>
            </w:r>
          </w:p>
        </w:tc>
        <w:tc>
          <w:tcPr>
            <w:tcW w:w="4818" w:type="dxa"/>
          </w:tcPr>
          <w:p w14:paraId="30ED934D" w14:textId="77777777" w:rsidR="00630147" w:rsidRPr="00286216" w:rsidRDefault="00630147" w:rsidP="00630147">
            <w:pPr>
              <w:pStyle w:val="StyleZakonu"/>
              <w:rPr>
                <w:color w:val="000000" w:themeColor="text1"/>
              </w:rPr>
            </w:pPr>
            <w:r w:rsidRPr="00286216">
              <w:rPr>
                <w:color w:val="000000" w:themeColor="text1"/>
              </w:rPr>
              <w:t>4) у статті 88:</w:t>
            </w:r>
          </w:p>
        </w:tc>
        <w:tc>
          <w:tcPr>
            <w:tcW w:w="3686" w:type="dxa"/>
          </w:tcPr>
          <w:p w14:paraId="2538CE69" w14:textId="77777777" w:rsidR="00630147" w:rsidRPr="00286216" w:rsidRDefault="00630147" w:rsidP="00630147">
            <w:pPr>
              <w:pStyle w:val="StyleProp"/>
              <w:rPr>
                <w:color w:val="000000" w:themeColor="text1"/>
                <w:szCs w:val="18"/>
              </w:rPr>
            </w:pPr>
          </w:p>
        </w:tc>
        <w:tc>
          <w:tcPr>
            <w:tcW w:w="1987" w:type="dxa"/>
          </w:tcPr>
          <w:p w14:paraId="0F535908" w14:textId="77777777" w:rsidR="00630147" w:rsidRPr="00286216" w:rsidRDefault="00630147" w:rsidP="00630147">
            <w:pPr>
              <w:pStyle w:val="StyleWisnow"/>
              <w:rPr>
                <w:color w:val="000000" w:themeColor="text1"/>
              </w:rPr>
            </w:pPr>
          </w:p>
        </w:tc>
        <w:tc>
          <w:tcPr>
            <w:tcW w:w="4818" w:type="dxa"/>
          </w:tcPr>
          <w:p w14:paraId="0B8B34F1" w14:textId="39E676CE" w:rsidR="00630147" w:rsidRPr="00286216" w:rsidRDefault="00630147" w:rsidP="00630147">
            <w:pPr>
              <w:pStyle w:val="StyleZakonu"/>
              <w:rPr>
                <w:color w:val="000000" w:themeColor="text1"/>
              </w:rPr>
            </w:pPr>
            <w:r w:rsidRPr="00286216">
              <w:rPr>
                <w:color w:val="000000" w:themeColor="text1"/>
              </w:rPr>
              <w:t>4) у статті 88:</w:t>
            </w:r>
          </w:p>
        </w:tc>
      </w:tr>
      <w:tr w:rsidR="00630147" w:rsidRPr="00286216" w14:paraId="760C0A6D" w14:textId="77777777" w:rsidTr="00091AA5">
        <w:tc>
          <w:tcPr>
            <w:tcW w:w="576" w:type="dxa"/>
          </w:tcPr>
          <w:p w14:paraId="5D73F438" w14:textId="77777777" w:rsidR="00630147" w:rsidRPr="00286216" w:rsidRDefault="00630147" w:rsidP="00630147">
            <w:pPr>
              <w:pStyle w:val="StyleWisnow"/>
              <w:rPr>
                <w:color w:val="000000" w:themeColor="text1"/>
              </w:rPr>
            </w:pPr>
            <w:bookmarkStart w:id="3116" w:name="n3246" w:colFirst="0" w:colLast="0"/>
            <w:bookmarkEnd w:id="3115"/>
            <w:r w:rsidRPr="00286216">
              <w:rPr>
                <w:color w:val="000000" w:themeColor="text1"/>
              </w:rPr>
              <w:t>3246.</w:t>
            </w:r>
          </w:p>
        </w:tc>
        <w:tc>
          <w:tcPr>
            <w:tcW w:w="4818" w:type="dxa"/>
          </w:tcPr>
          <w:p w14:paraId="446D0327" w14:textId="77777777" w:rsidR="00630147" w:rsidRPr="00286216" w:rsidRDefault="00630147" w:rsidP="00630147">
            <w:pPr>
              <w:pStyle w:val="StyleZakonu"/>
              <w:rPr>
                <w:color w:val="000000" w:themeColor="text1"/>
              </w:rPr>
            </w:pPr>
            <w:r w:rsidRPr="00286216">
              <w:rPr>
                <w:color w:val="000000" w:themeColor="text1"/>
              </w:rPr>
              <w:t>а) у частині першій:</w:t>
            </w:r>
          </w:p>
        </w:tc>
        <w:tc>
          <w:tcPr>
            <w:tcW w:w="3686" w:type="dxa"/>
          </w:tcPr>
          <w:p w14:paraId="251EBDD8" w14:textId="77777777" w:rsidR="00630147" w:rsidRPr="00286216" w:rsidRDefault="00630147" w:rsidP="00630147">
            <w:pPr>
              <w:pStyle w:val="StyleProp"/>
              <w:rPr>
                <w:color w:val="000000" w:themeColor="text1"/>
                <w:szCs w:val="18"/>
              </w:rPr>
            </w:pPr>
          </w:p>
        </w:tc>
        <w:tc>
          <w:tcPr>
            <w:tcW w:w="1987" w:type="dxa"/>
          </w:tcPr>
          <w:p w14:paraId="2765D6AB" w14:textId="77777777" w:rsidR="00630147" w:rsidRPr="00286216" w:rsidRDefault="00630147" w:rsidP="00630147">
            <w:pPr>
              <w:pStyle w:val="StyleWisnow"/>
              <w:rPr>
                <w:color w:val="000000" w:themeColor="text1"/>
              </w:rPr>
            </w:pPr>
          </w:p>
        </w:tc>
        <w:tc>
          <w:tcPr>
            <w:tcW w:w="4818" w:type="dxa"/>
          </w:tcPr>
          <w:p w14:paraId="08E937BD" w14:textId="1C665CA7" w:rsidR="00630147" w:rsidRPr="00286216" w:rsidRDefault="00630147" w:rsidP="00630147">
            <w:pPr>
              <w:pStyle w:val="StyleZakonu"/>
              <w:rPr>
                <w:color w:val="000000" w:themeColor="text1"/>
              </w:rPr>
            </w:pPr>
            <w:r w:rsidRPr="00286216">
              <w:rPr>
                <w:color w:val="000000" w:themeColor="text1"/>
              </w:rPr>
              <w:t>а) у частині першій:</w:t>
            </w:r>
          </w:p>
        </w:tc>
      </w:tr>
      <w:tr w:rsidR="00630147" w:rsidRPr="00286216" w14:paraId="1A69568F" w14:textId="77777777" w:rsidTr="00091AA5">
        <w:tc>
          <w:tcPr>
            <w:tcW w:w="576" w:type="dxa"/>
          </w:tcPr>
          <w:p w14:paraId="46F8DD5A" w14:textId="77777777" w:rsidR="00630147" w:rsidRPr="00286216" w:rsidRDefault="00630147" w:rsidP="00630147">
            <w:pPr>
              <w:pStyle w:val="StyleWisnow"/>
              <w:rPr>
                <w:color w:val="000000" w:themeColor="text1"/>
              </w:rPr>
            </w:pPr>
            <w:bookmarkStart w:id="3117" w:name="n3247" w:colFirst="0" w:colLast="0"/>
            <w:bookmarkEnd w:id="3116"/>
            <w:r w:rsidRPr="00286216">
              <w:rPr>
                <w:color w:val="000000" w:themeColor="text1"/>
              </w:rPr>
              <w:t>3247.</w:t>
            </w:r>
          </w:p>
        </w:tc>
        <w:tc>
          <w:tcPr>
            <w:tcW w:w="4818" w:type="dxa"/>
          </w:tcPr>
          <w:p w14:paraId="545092F2" w14:textId="77777777" w:rsidR="00630147" w:rsidRPr="00286216" w:rsidRDefault="00630147" w:rsidP="00630147">
            <w:pPr>
              <w:pStyle w:val="StyleZakonu"/>
              <w:rPr>
                <w:color w:val="000000" w:themeColor="text1"/>
              </w:rPr>
            </w:pPr>
            <w:r w:rsidRPr="00286216">
              <w:rPr>
                <w:color w:val="000000" w:themeColor="text1"/>
              </w:rPr>
              <w:t>у пункті четвертому після слів "ощадних сертифікатах банків" доповнити словами ", депозитних сертифікатах банків";</w:t>
            </w:r>
          </w:p>
        </w:tc>
        <w:tc>
          <w:tcPr>
            <w:tcW w:w="3686" w:type="dxa"/>
          </w:tcPr>
          <w:p w14:paraId="3222322B" w14:textId="77777777" w:rsidR="00630147" w:rsidRPr="00286216" w:rsidRDefault="00630147" w:rsidP="00630147">
            <w:pPr>
              <w:pStyle w:val="StyleProp"/>
              <w:rPr>
                <w:color w:val="000000" w:themeColor="text1"/>
                <w:szCs w:val="18"/>
              </w:rPr>
            </w:pPr>
          </w:p>
        </w:tc>
        <w:tc>
          <w:tcPr>
            <w:tcW w:w="1987" w:type="dxa"/>
          </w:tcPr>
          <w:p w14:paraId="64EB76CF" w14:textId="77777777" w:rsidR="00630147" w:rsidRPr="00286216" w:rsidRDefault="00630147" w:rsidP="00630147">
            <w:pPr>
              <w:pStyle w:val="StyleWisnow"/>
              <w:spacing w:line="180" w:lineRule="exact"/>
              <w:rPr>
                <w:color w:val="000000" w:themeColor="text1"/>
              </w:rPr>
            </w:pPr>
          </w:p>
        </w:tc>
        <w:tc>
          <w:tcPr>
            <w:tcW w:w="4818" w:type="dxa"/>
          </w:tcPr>
          <w:p w14:paraId="3839BF36" w14:textId="143A04C7" w:rsidR="00630147" w:rsidRPr="00286216" w:rsidRDefault="00630147" w:rsidP="00630147">
            <w:pPr>
              <w:pStyle w:val="StyleZakonu"/>
              <w:rPr>
                <w:color w:val="000000" w:themeColor="text1"/>
              </w:rPr>
            </w:pPr>
            <w:r w:rsidRPr="00286216">
              <w:rPr>
                <w:color w:val="000000" w:themeColor="text1"/>
              </w:rPr>
              <w:t>пункт 4 після слів "ощадних сертифікатах банків" доповнити словами "депозитних сертифікатах банків";</w:t>
            </w:r>
          </w:p>
        </w:tc>
      </w:tr>
      <w:tr w:rsidR="00630147" w:rsidRPr="00286216" w14:paraId="67C95BFE" w14:textId="77777777" w:rsidTr="00091AA5">
        <w:tc>
          <w:tcPr>
            <w:tcW w:w="576" w:type="dxa"/>
          </w:tcPr>
          <w:p w14:paraId="562A5A8E" w14:textId="77777777" w:rsidR="00630147" w:rsidRPr="00286216" w:rsidRDefault="00630147" w:rsidP="00630147">
            <w:pPr>
              <w:pStyle w:val="StyleWisnow"/>
              <w:rPr>
                <w:color w:val="000000" w:themeColor="text1"/>
              </w:rPr>
            </w:pPr>
            <w:bookmarkStart w:id="3118" w:name="n3248" w:colFirst="0" w:colLast="0"/>
            <w:bookmarkEnd w:id="3117"/>
            <w:r w:rsidRPr="00286216">
              <w:rPr>
                <w:color w:val="000000" w:themeColor="text1"/>
              </w:rPr>
              <w:t>3248.</w:t>
            </w:r>
          </w:p>
        </w:tc>
        <w:tc>
          <w:tcPr>
            <w:tcW w:w="4818" w:type="dxa"/>
          </w:tcPr>
          <w:p w14:paraId="31E0D2AD" w14:textId="77777777" w:rsidR="00630147" w:rsidRPr="00286216" w:rsidRDefault="00630147" w:rsidP="00630147">
            <w:pPr>
              <w:pStyle w:val="StyleZakonu"/>
              <w:rPr>
                <w:color w:val="000000" w:themeColor="text1"/>
              </w:rPr>
            </w:pPr>
            <w:r w:rsidRPr="00286216">
              <w:rPr>
                <w:color w:val="000000" w:themeColor="text1"/>
              </w:rPr>
              <w:t>пункт п’ятий доповнити словами "та облігацій міжнародних фінансових організацій, що розміщуються на території України)";</w:t>
            </w:r>
          </w:p>
        </w:tc>
        <w:tc>
          <w:tcPr>
            <w:tcW w:w="3686" w:type="dxa"/>
          </w:tcPr>
          <w:p w14:paraId="18FF0F91" w14:textId="77777777" w:rsidR="00630147" w:rsidRPr="00286216" w:rsidRDefault="00630147" w:rsidP="00630147">
            <w:pPr>
              <w:pStyle w:val="StyleProp"/>
              <w:rPr>
                <w:color w:val="000000" w:themeColor="text1"/>
                <w:szCs w:val="18"/>
              </w:rPr>
            </w:pPr>
          </w:p>
        </w:tc>
        <w:tc>
          <w:tcPr>
            <w:tcW w:w="1987" w:type="dxa"/>
          </w:tcPr>
          <w:p w14:paraId="0C04E38D" w14:textId="77777777" w:rsidR="00630147" w:rsidRPr="00286216" w:rsidRDefault="00630147" w:rsidP="00630147">
            <w:pPr>
              <w:pStyle w:val="StyleWisnow"/>
              <w:spacing w:line="180" w:lineRule="exact"/>
              <w:rPr>
                <w:color w:val="000000" w:themeColor="text1"/>
              </w:rPr>
            </w:pPr>
          </w:p>
        </w:tc>
        <w:tc>
          <w:tcPr>
            <w:tcW w:w="4818" w:type="dxa"/>
          </w:tcPr>
          <w:p w14:paraId="329A62B4" w14:textId="00063C43" w:rsidR="00630147" w:rsidRPr="00286216" w:rsidRDefault="00630147" w:rsidP="00630147">
            <w:pPr>
              <w:pStyle w:val="StyleZakonu"/>
              <w:rPr>
                <w:color w:val="000000" w:themeColor="text1"/>
              </w:rPr>
            </w:pPr>
            <w:r w:rsidRPr="00286216">
              <w:rPr>
                <w:color w:val="000000" w:themeColor="text1"/>
              </w:rPr>
              <w:t>пункт 5 доповнити словами "та облігацій міжнародних фінансових організацій, що розміщуються на території України)";</w:t>
            </w:r>
          </w:p>
        </w:tc>
      </w:tr>
      <w:tr w:rsidR="00630147" w:rsidRPr="00286216" w14:paraId="2640FF7C" w14:textId="77777777" w:rsidTr="00091AA5">
        <w:tc>
          <w:tcPr>
            <w:tcW w:w="576" w:type="dxa"/>
          </w:tcPr>
          <w:p w14:paraId="32DB1FDA" w14:textId="77777777" w:rsidR="00630147" w:rsidRPr="00286216" w:rsidRDefault="00630147" w:rsidP="00630147">
            <w:pPr>
              <w:pStyle w:val="StyleWisnow"/>
              <w:rPr>
                <w:color w:val="000000" w:themeColor="text1"/>
              </w:rPr>
            </w:pPr>
            <w:bookmarkStart w:id="3119" w:name="n3249" w:colFirst="0" w:colLast="0"/>
            <w:bookmarkEnd w:id="3118"/>
            <w:r w:rsidRPr="00286216">
              <w:rPr>
                <w:color w:val="000000" w:themeColor="text1"/>
              </w:rPr>
              <w:t>3249.</w:t>
            </w:r>
          </w:p>
        </w:tc>
        <w:tc>
          <w:tcPr>
            <w:tcW w:w="4818" w:type="dxa"/>
          </w:tcPr>
          <w:p w14:paraId="1B61BC59" w14:textId="77777777" w:rsidR="00630147" w:rsidRPr="00286216" w:rsidRDefault="00630147" w:rsidP="00630147">
            <w:pPr>
              <w:pStyle w:val="StyleZakonu"/>
              <w:rPr>
                <w:color w:val="000000" w:themeColor="text1"/>
              </w:rPr>
            </w:pPr>
            <w:r w:rsidRPr="00286216">
              <w:rPr>
                <w:color w:val="000000" w:themeColor="text1"/>
              </w:rPr>
              <w:t>після пункту шостого доповнити частину новим пунктом такого змісту:</w:t>
            </w:r>
          </w:p>
        </w:tc>
        <w:tc>
          <w:tcPr>
            <w:tcW w:w="3686" w:type="dxa"/>
          </w:tcPr>
          <w:p w14:paraId="0F83671F" w14:textId="77777777" w:rsidR="00630147" w:rsidRPr="00286216" w:rsidRDefault="00630147" w:rsidP="00630147">
            <w:pPr>
              <w:pStyle w:val="StyleProp"/>
              <w:rPr>
                <w:color w:val="000000" w:themeColor="text1"/>
                <w:szCs w:val="18"/>
              </w:rPr>
            </w:pPr>
          </w:p>
        </w:tc>
        <w:tc>
          <w:tcPr>
            <w:tcW w:w="1987" w:type="dxa"/>
          </w:tcPr>
          <w:p w14:paraId="3F17B9FF" w14:textId="77777777" w:rsidR="00630147" w:rsidRPr="00286216" w:rsidRDefault="00630147" w:rsidP="00630147">
            <w:pPr>
              <w:pStyle w:val="StyleWisnow"/>
              <w:spacing w:line="180" w:lineRule="exact"/>
              <w:rPr>
                <w:color w:val="000000" w:themeColor="text1"/>
              </w:rPr>
            </w:pPr>
          </w:p>
        </w:tc>
        <w:tc>
          <w:tcPr>
            <w:tcW w:w="4818" w:type="dxa"/>
          </w:tcPr>
          <w:p w14:paraId="0C474C26" w14:textId="36743FAD" w:rsidR="00630147" w:rsidRPr="00286216" w:rsidRDefault="00630147" w:rsidP="00630147">
            <w:pPr>
              <w:pStyle w:val="StyleZakonu"/>
              <w:rPr>
                <w:color w:val="000000" w:themeColor="text1"/>
              </w:rPr>
            </w:pPr>
            <w:r w:rsidRPr="00286216">
              <w:rPr>
                <w:color w:val="000000" w:themeColor="text1"/>
              </w:rPr>
              <w:t>доповнити новим пунктом 6</w:t>
            </w:r>
            <w:r w:rsidRPr="00286216">
              <w:rPr>
                <w:color w:val="000000" w:themeColor="text1"/>
                <w:vertAlign w:val="superscript"/>
              </w:rPr>
              <w:t>1</w:t>
            </w:r>
            <w:r w:rsidRPr="00286216">
              <w:rPr>
                <w:color w:val="000000" w:themeColor="text1"/>
              </w:rPr>
              <w:t>такого змісту:</w:t>
            </w:r>
          </w:p>
        </w:tc>
      </w:tr>
      <w:tr w:rsidR="00630147" w:rsidRPr="00286216" w14:paraId="39AF8484" w14:textId="77777777" w:rsidTr="00091AA5">
        <w:tc>
          <w:tcPr>
            <w:tcW w:w="576" w:type="dxa"/>
          </w:tcPr>
          <w:p w14:paraId="2695FBEF" w14:textId="77777777" w:rsidR="00630147" w:rsidRPr="00286216" w:rsidRDefault="00630147" w:rsidP="00630147">
            <w:pPr>
              <w:pStyle w:val="StyleWisnow"/>
              <w:rPr>
                <w:color w:val="000000" w:themeColor="text1"/>
              </w:rPr>
            </w:pPr>
            <w:bookmarkStart w:id="3120" w:name="n3250" w:colFirst="0" w:colLast="0"/>
            <w:bookmarkEnd w:id="3119"/>
            <w:r w:rsidRPr="00286216">
              <w:rPr>
                <w:color w:val="000000" w:themeColor="text1"/>
              </w:rPr>
              <w:t>3250.</w:t>
            </w:r>
          </w:p>
        </w:tc>
        <w:tc>
          <w:tcPr>
            <w:tcW w:w="4818" w:type="dxa"/>
          </w:tcPr>
          <w:p w14:paraId="62EEC907" w14:textId="77777777" w:rsidR="00630147" w:rsidRPr="00286216" w:rsidRDefault="00630147" w:rsidP="00630147">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придбавати або додатково інвестувати в облігації міжнародних фінансових організацій, що розміщуються на території України, більше ніж 50 відсотків загальної вартості пенсійних активів; ";</w:t>
            </w:r>
          </w:p>
        </w:tc>
        <w:tc>
          <w:tcPr>
            <w:tcW w:w="3686" w:type="dxa"/>
          </w:tcPr>
          <w:p w14:paraId="7DA2FD23" w14:textId="77777777" w:rsidR="00630147" w:rsidRPr="00286216" w:rsidRDefault="00630147" w:rsidP="00630147">
            <w:pPr>
              <w:pStyle w:val="StyleProp"/>
              <w:rPr>
                <w:color w:val="000000" w:themeColor="text1"/>
                <w:szCs w:val="18"/>
              </w:rPr>
            </w:pPr>
          </w:p>
        </w:tc>
        <w:tc>
          <w:tcPr>
            <w:tcW w:w="1987" w:type="dxa"/>
          </w:tcPr>
          <w:p w14:paraId="70D6219F" w14:textId="77777777" w:rsidR="00630147" w:rsidRPr="00286216" w:rsidRDefault="00630147" w:rsidP="00630147">
            <w:pPr>
              <w:pStyle w:val="StyleWisnow"/>
              <w:spacing w:line="180" w:lineRule="exact"/>
              <w:rPr>
                <w:color w:val="000000" w:themeColor="text1"/>
              </w:rPr>
            </w:pPr>
          </w:p>
        </w:tc>
        <w:tc>
          <w:tcPr>
            <w:tcW w:w="4818" w:type="dxa"/>
          </w:tcPr>
          <w:p w14:paraId="61D4BEFB" w14:textId="4E05B316" w:rsidR="00630147" w:rsidRPr="00286216" w:rsidRDefault="00630147" w:rsidP="00630147">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придбавати або додатково інвестувати в облігації міжнародних фінансових організацій, що розміщуються на території України, більше ніж 50 відсотків загальної вартості пенсійних активів";</w:t>
            </w:r>
          </w:p>
        </w:tc>
      </w:tr>
      <w:tr w:rsidR="00630147" w:rsidRPr="00286216" w14:paraId="33C42D47" w14:textId="77777777" w:rsidTr="00091AA5">
        <w:tc>
          <w:tcPr>
            <w:tcW w:w="576" w:type="dxa"/>
          </w:tcPr>
          <w:p w14:paraId="1D7B93EC" w14:textId="77777777" w:rsidR="00630147" w:rsidRPr="00286216" w:rsidRDefault="00630147" w:rsidP="00630147">
            <w:pPr>
              <w:pStyle w:val="StyleWisnow"/>
              <w:rPr>
                <w:color w:val="000000" w:themeColor="text1"/>
              </w:rPr>
            </w:pPr>
            <w:bookmarkStart w:id="3121" w:name="n3251" w:colFirst="0" w:colLast="0"/>
            <w:bookmarkEnd w:id="3120"/>
            <w:r w:rsidRPr="00286216">
              <w:rPr>
                <w:color w:val="000000" w:themeColor="text1"/>
              </w:rPr>
              <w:t>3251.</w:t>
            </w:r>
          </w:p>
        </w:tc>
        <w:tc>
          <w:tcPr>
            <w:tcW w:w="4818" w:type="dxa"/>
          </w:tcPr>
          <w:p w14:paraId="28E681A7" w14:textId="77777777" w:rsidR="00630147" w:rsidRPr="00286216" w:rsidRDefault="00630147" w:rsidP="00630147">
            <w:pPr>
              <w:pStyle w:val="StyleZakonu"/>
              <w:rPr>
                <w:color w:val="000000" w:themeColor="text1"/>
              </w:rPr>
            </w:pPr>
            <w:r w:rsidRPr="00286216">
              <w:rPr>
                <w:color w:val="000000" w:themeColor="text1"/>
              </w:rPr>
              <w:t>у пункті восьмому слова "облігації підприємств" замінити словами "корпоративні облігації"</w:t>
            </w:r>
          </w:p>
        </w:tc>
        <w:tc>
          <w:tcPr>
            <w:tcW w:w="3686" w:type="dxa"/>
          </w:tcPr>
          <w:p w14:paraId="2E08B0FF" w14:textId="77777777" w:rsidR="00630147" w:rsidRPr="00286216" w:rsidRDefault="00630147" w:rsidP="00630147">
            <w:pPr>
              <w:pStyle w:val="StyleProp"/>
              <w:rPr>
                <w:color w:val="000000" w:themeColor="text1"/>
                <w:szCs w:val="18"/>
              </w:rPr>
            </w:pPr>
          </w:p>
        </w:tc>
        <w:tc>
          <w:tcPr>
            <w:tcW w:w="1987" w:type="dxa"/>
          </w:tcPr>
          <w:p w14:paraId="1E7AEB80" w14:textId="77777777" w:rsidR="00630147" w:rsidRPr="00286216" w:rsidRDefault="00630147" w:rsidP="00630147">
            <w:pPr>
              <w:pStyle w:val="StyleWisnow"/>
              <w:rPr>
                <w:color w:val="000000" w:themeColor="text1"/>
              </w:rPr>
            </w:pPr>
          </w:p>
        </w:tc>
        <w:tc>
          <w:tcPr>
            <w:tcW w:w="4818" w:type="dxa"/>
          </w:tcPr>
          <w:p w14:paraId="6CA93E33" w14:textId="584B8E85" w:rsidR="00630147" w:rsidRPr="00286216" w:rsidRDefault="00630147" w:rsidP="00630147">
            <w:pPr>
              <w:pStyle w:val="StyleZakonu"/>
              <w:rPr>
                <w:color w:val="000000" w:themeColor="text1"/>
              </w:rPr>
            </w:pPr>
            <w:r w:rsidRPr="00286216">
              <w:rPr>
                <w:color w:val="000000" w:themeColor="text1"/>
              </w:rPr>
              <w:t>у пункті 8 слова "облігації підприємств" замінити словами "корпоративні облігації";</w:t>
            </w:r>
          </w:p>
        </w:tc>
      </w:tr>
      <w:tr w:rsidR="00630147" w:rsidRPr="00286216" w14:paraId="634B3680" w14:textId="77777777" w:rsidTr="00091AA5">
        <w:tc>
          <w:tcPr>
            <w:tcW w:w="576" w:type="dxa"/>
          </w:tcPr>
          <w:p w14:paraId="0809D549" w14:textId="77777777" w:rsidR="00630147" w:rsidRPr="00286216" w:rsidRDefault="00630147" w:rsidP="00630147">
            <w:pPr>
              <w:pStyle w:val="StyleWisnow"/>
              <w:rPr>
                <w:color w:val="000000" w:themeColor="text1"/>
              </w:rPr>
            </w:pPr>
            <w:bookmarkStart w:id="3122" w:name="n3252" w:colFirst="0" w:colLast="0"/>
            <w:bookmarkEnd w:id="3121"/>
            <w:r w:rsidRPr="00286216">
              <w:rPr>
                <w:color w:val="000000" w:themeColor="text1"/>
              </w:rPr>
              <w:t>3252.</w:t>
            </w:r>
          </w:p>
        </w:tc>
        <w:tc>
          <w:tcPr>
            <w:tcW w:w="4818" w:type="dxa"/>
          </w:tcPr>
          <w:p w14:paraId="7C4818D9" w14:textId="77777777" w:rsidR="00630147" w:rsidRPr="00286216" w:rsidRDefault="00630147" w:rsidP="00630147">
            <w:pPr>
              <w:pStyle w:val="StyleZakonu"/>
              <w:rPr>
                <w:color w:val="000000" w:themeColor="text1"/>
              </w:rPr>
            </w:pPr>
            <w:r w:rsidRPr="00286216">
              <w:rPr>
                <w:color w:val="000000" w:themeColor="text1"/>
              </w:rPr>
              <w:t>у пункті 11 слова "пройшли лістинг на організованих фондових ринках" замінити словами "допущені до торгів на регульованих фондових ринках";</w:t>
            </w:r>
          </w:p>
        </w:tc>
        <w:tc>
          <w:tcPr>
            <w:tcW w:w="3686" w:type="dxa"/>
          </w:tcPr>
          <w:p w14:paraId="74EE3A09" w14:textId="77777777" w:rsidR="00630147" w:rsidRPr="00286216" w:rsidRDefault="00630147" w:rsidP="00630147">
            <w:pPr>
              <w:pStyle w:val="StyleProp"/>
              <w:rPr>
                <w:color w:val="000000" w:themeColor="text1"/>
                <w:szCs w:val="18"/>
              </w:rPr>
            </w:pPr>
          </w:p>
        </w:tc>
        <w:tc>
          <w:tcPr>
            <w:tcW w:w="1987" w:type="dxa"/>
          </w:tcPr>
          <w:p w14:paraId="72355930" w14:textId="77777777" w:rsidR="00630147" w:rsidRPr="00286216" w:rsidRDefault="00630147" w:rsidP="00630147">
            <w:pPr>
              <w:pStyle w:val="StyleWisnow"/>
              <w:rPr>
                <w:color w:val="000000" w:themeColor="text1"/>
              </w:rPr>
            </w:pPr>
          </w:p>
        </w:tc>
        <w:tc>
          <w:tcPr>
            <w:tcW w:w="4818" w:type="dxa"/>
          </w:tcPr>
          <w:p w14:paraId="03AB7243" w14:textId="5FCB8219" w:rsidR="00630147" w:rsidRPr="00286216" w:rsidRDefault="00630147" w:rsidP="00630147">
            <w:pPr>
              <w:pStyle w:val="StyleZakonu"/>
              <w:rPr>
                <w:color w:val="000000" w:themeColor="text1"/>
              </w:rPr>
            </w:pPr>
            <w:r w:rsidRPr="00286216">
              <w:rPr>
                <w:color w:val="000000" w:themeColor="text1"/>
              </w:rPr>
              <w:t>у пункті 11 слова "пройшли лістинг на організованих фондових ринках" замінити словами "допущені до торгів на регульованих фондових ринках";</w:t>
            </w:r>
          </w:p>
        </w:tc>
      </w:tr>
      <w:tr w:rsidR="00630147" w:rsidRPr="00286216" w14:paraId="68070264" w14:textId="77777777" w:rsidTr="00091AA5">
        <w:tc>
          <w:tcPr>
            <w:tcW w:w="576" w:type="dxa"/>
          </w:tcPr>
          <w:p w14:paraId="5776B540" w14:textId="77777777" w:rsidR="00630147" w:rsidRPr="00286216" w:rsidRDefault="00630147" w:rsidP="00630147">
            <w:pPr>
              <w:pStyle w:val="StyleWisnow"/>
              <w:rPr>
                <w:color w:val="000000" w:themeColor="text1"/>
              </w:rPr>
            </w:pPr>
            <w:bookmarkStart w:id="3123" w:name="n3253" w:colFirst="0" w:colLast="0"/>
            <w:bookmarkEnd w:id="3122"/>
            <w:r w:rsidRPr="00286216">
              <w:rPr>
                <w:color w:val="000000" w:themeColor="text1"/>
              </w:rPr>
              <w:lastRenderedPageBreak/>
              <w:t>3253.</w:t>
            </w:r>
          </w:p>
        </w:tc>
        <w:tc>
          <w:tcPr>
            <w:tcW w:w="4818" w:type="dxa"/>
          </w:tcPr>
          <w:p w14:paraId="00142F8C" w14:textId="77777777" w:rsidR="00630147" w:rsidRPr="00286216" w:rsidRDefault="00630147" w:rsidP="00630147">
            <w:pPr>
              <w:pStyle w:val="StyleZakonu"/>
              <w:rPr>
                <w:color w:val="000000" w:themeColor="text1"/>
              </w:rPr>
            </w:pPr>
            <w:r w:rsidRPr="00286216">
              <w:rPr>
                <w:color w:val="000000" w:themeColor="text1"/>
              </w:rPr>
              <w:t>у пункті 15 слова "цінними паперами" замінити словами "фінансовими інструментами";</w:t>
            </w:r>
          </w:p>
        </w:tc>
        <w:tc>
          <w:tcPr>
            <w:tcW w:w="3686" w:type="dxa"/>
          </w:tcPr>
          <w:p w14:paraId="2170B26D" w14:textId="77777777" w:rsidR="00630147" w:rsidRPr="00286216" w:rsidRDefault="00630147" w:rsidP="00630147">
            <w:pPr>
              <w:pStyle w:val="StyleProp"/>
              <w:rPr>
                <w:color w:val="000000" w:themeColor="text1"/>
                <w:szCs w:val="18"/>
              </w:rPr>
            </w:pPr>
          </w:p>
        </w:tc>
        <w:tc>
          <w:tcPr>
            <w:tcW w:w="1987" w:type="dxa"/>
          </w:tcPr>
          <w:p w14:paraId="7B79CBA6" w14:textId="77777777" w:rsidR="00630147" w:rsidRPr="00286216" w:rsidRDefault="00630147" w:rsidP="00630147">
            <w:pPr>
              <w:pStyle w:val="StyleWisnow"/>
              <w:rPr>
                <w:color w:val="000000" w:themeColor="text1"/>
              </w:rPr>
            </w:pPr>
          </w:p>
        </w:tc>
        <w:tc>
          <w:tcPr>
            <w:tcW w:w="4818" w:type="dxa"/>
          </w:tcPr>
          <w:p w14:paraId="0A8694CC" w14:textId="5F8C7FBA" w:rsidR="00630147" w:rsidRPr="00286216" w:rsidRDefault="00630147" w:rsidP="00630147">
            <w:pPr>
              <w:pStyle w:val="StyleZakonu"/>
              <w:rPr>
                <w:color w:val="000000" w:themeColor="text1"/>
              </w:rPr>
            </w:pPr>
            <w:r w:rsidRPr="00286216">
              <w:rPr>
                <w:color w:val="000000" w:themeColor="text1"/>
              </w:rPr>
              <w:t>у пункті 15 слова "цінними паперами" замінити словами "фінансовими інструментами";</w:t>
            </w:r>
          </w:p>
        </w:tc>
      </w:tr>
      <w:tr w:rsidR="00630147" w:rsidRPr="00286216" w14:paraId="59058329" w14:textId="77777777" w:rsidTr="00091AA5">
        <w:tc>
          <w:tcPr>
            <w:tcW w:w="576" w:type="dxa"/>
          </w:tcPr>
          <w:p w14:paraId="6FF39D94" w14:textId="77777777" w:rsidR="00630147" w:rsidRPr="00286216" w:rsidRDefault="00630147" w:rsidP="00630147">
            <w:pPr>
              <w:pStyle w:val="StyleWisnow"/>
              <w:rPr>
                <w:color w:val="000000" w:themeColor="text1"/>
              </w:rPr>
            </w:pPr>
            <w:bookmarkStart w:id="3124" w:name="n3254" w:colFirst="0" w:colLast="0"/>
            <w:bookmarkEnd w:id="3123"/>
            <w:r w:rsidRPr="00286216">
              <w:rPr>
                <w:color w:val="000000" w:themeColor="text1"/>
              </w:rPr>
              <w:t>3254.</w:t>
            </w:r>
          </w:p>
        </w:tc>
        <w:tc>
          <w:tcPr>
            <w:tcW w:w="4818" w:type="dxa"/>
          </w:tcPr>
          <w:p w14:paraId="6FF11C24" w14:textId="77777777" w:rsidR="00630147" w:rsidRPr="00286216" w:rsidRDefault="00630147" w:rsidP="00630147">
            <w:pPr>
              <w:pStyle w:val="StyleZakonu"/>
              <w:rPr>
                <w:color w:val="000000" w:themeColor="text1"/>
              </w:rPr>
            </w:pPr>
            <w:r w:rsidRPr="00286216">
              <w:rPr>
                <w:color w:val="000000" w:themeColor="text1"/>
              </w:rPr>
              <w:t>б) у частині третій слова "фондовій біржі, зареєстрованій у встановленому законодавством порядку, яка" замінити словами "організованому ринку капіталу, зареєстрованому у встановленому законодавством порядку, який";</w:t>
            </w:r>
          </w:p>
        </w:tc>
        <w:tc>
          <w:tcPr>
            <w:tcW w:w="3686" w:type="dxa"/>
          </w:tcPr>
          <w:p w14:paraId="0FD18824" w14:textId="77777777" w:rsidR="00630147" w:rsidRPr="00286216" w:rsidRDefault="00630147" w:rsidP="00630147">
            <w:pPr>
              <w:pStyle w:val="StyleProp"/>
              <w:rPr>
                <w:color w:val="000000" w:themeColor="text1"/>
                <w:szCs w:val="18"/>
              </w:rPr>
            </w:pPr>
          </w:p>
        </w:tc>
        <w:tc>
          <w:tcPr>
            <w:tcW w:w="1987" w:type="dxa"/>
          </w:tcPr>
          <w:p w14:paraId="746098AE" w14:textId="77777777" w:rsidR="00630147" w:rsidRPr="00286216" w:rsidRDefault="00630147" w:rsidP="00630147">
            <w:pPr>
              <w:pStyle w:val="StyleWisnow"/>
              <w:rPr>
                <w:color w:val="000000" w:themeColor="text1"/>
              </w:rPr>
            </w:pPr>
          </w:p>
        </w:tc>
        <w:tc>
          <w:tcPr>
            <w:tcW w:w="4818" w:type="dxa"/>
          </w:tcPr>
          <w:p w14:paraId="38CE2F9E" w14:textId="04E374A6" w:rsidR="00630147" w:rsidRPr="00286216" w:rsidRDefault="00630147" w:rsidP="00630147">
            <w:pPr>
              <w:pStyle w:val="StyleZakonu"/>
              <w:rPr>
                <w:color w:val="000000" w:themeColor="text1"/>
              </w:rPr>
            </w:pPr>
            <w:r w:rsidRPr="00286216">
              <w:rPr>
                <w:color w:val="000000" w:themeColor="text1"/>
              </w:rPr>
              <w:t>б) у частині третій слова "фондовій біржі, зареєстрованій у встановленому законодавством порядку, яка" замінити словами "організованому ринку капіталу, зареєстрованому у встановленому законодавством порядку, який";</w:t>
            </w:r>
          </w:p>
        </w:tc>
      </w:tr>
      <w:tr w:rsidR="00630147" w:rsidRPr="00286216" w14:paraId="136D5881" w14:textId="77777777" w:rsidTr="00091AA5">
        <w:tc>
          <w:tcPr>
            <w:tcW w:w="576" w:type="dxa"/>
          </w:tcPr>
          <w:p w14:paraId="43858FAA" w14:textId="77777777" w:rsidR="00630147" w:rsidRPr="00286216" w:rsidRDefault="00630147" w:rsidP="00630147">
            <w:pPr>
              <w:pStyle w:val="StyleWisnow"/>
              <w:rPr>
                <w:color w:val="000000" w:themeColor="text1"/>
              </w:rPr>
            </w:pPr>
            <w:bookmarkStart w:id="3125" w:name="n3255" w:colFirst="0" w:colLast="0"/>
            <w:bookmarkEnd w:id="3124"/>
            <w:r w:rsidRPr="00286216">
              <w:rPr>
                <w:color w:val="000000" w:themeColor="text1"/>
              </w:rPr>
              <w:t>3255.</w:t>
            </w:r>
          </w:p>
        </w:tc>
        <w:tc>
          <w:tcPr>
            <w:tcW w:w="4818" w:type="dxa"/>
          </w:tcPr>
          <w:p w14:paraId="75E54971" w14:textId="77777777" w:rsidR="00630147" w:rsidRPr="00286216" w:rsidRDefault="00630147" w:rsidP="00630147">
            <w:pPr>
              <w:pStyle w:val="StyleZakonu"/>
              <w:rPr>
                <w:color w:val="000000" w:themeColor="text1"/>
              </w:rPr>
            </w:pPr>
            <w:r w:rsidRPr="00286216">
              <w:rPr>
                <w:color w:val="000000" w:themeColor="text1"/>
              </w:rPr>
              <w:t>5) у частині четвертій статті 99 слова "торговця цінними паперами" замінити словами "інвестиційної фірми", а слова "цінних паперах" замінити словами "фінансових інструментах";</w:t>
            </w:r>
          </w:p>
        </w:tc>
        <w:tc>
          <w:tcPr>
            <w:tcW w:w="3686" w:type="dxa"/>
          </w:tcPr>
          <w:p w14:paraId="783F6856" w14:textId="77777777" w:rsidR="00630147" w:rsidRPr="00286216" w:rsidRDefault="00630147" w:rsidP="00630147">
            <w:pPr>
              <w:pStyle w:val="StyleProp"/>
              <w:rPr>
                <w:color w:val="000000" w:themeColor="text1"/>
                <w:szCs w:val="18"/>
              </w:rPr>
            </w:pPr>
          </w:p>
        </w:tc>
        <w:tc>
          <w:tcPr>
            <w:tcW w:w="1987" w:type="dxa"/>
          </w:tcPr>
          <w:p w14:paraId="3392A7D9" w14:textId="77777777" w:rsidR="00630147" w:rsidRPr="00286216" w:rsidRDefault="00630147" w:rsidP="00630147">
            <w:pPr>
              <w:pStyle w:val="StyleWisnow"/>
              <w:rPr>
                <w:color w:val="000000" w:themeColor="text1"/>
              </w:rPr>
            </w:pPr>
          </w:p>
        </w:tc>
        <w:tc>
          <w:tcPr>
            <w:tcW w:w="4818" w:type="dxa"/>
          </w:tcPr>
          <w:p w14:paraId="1C3E0C5F" w14:textId="591719C3" w:rsidR="00630147" w:rsidRPr="00286216" w:rsidRDefault="00630147" w:rsidP="00630147">
            <w:pPr>
              <w:pStyle w:val="StyleZakonu"/>
              <w:rPr>
                <w:color w:val="000000" w:themeColor="text1"/>
              </w:rPr>
            </w:pPr>
            <w:r w:rsidRPr="00286216">
              <w:rPr>
                <w:color w:val="000000" w:themeColor="text1"/>
              </w:rPr>
              <w:t>5) у частині четвертій статті 99 слова "торговця цінними паперами" замінити словами "інвестиційної фірми", а слова "цінних паперах" – словами "фінансових інструментах";</w:t>
            </w:r>
          </w:p>
        </w:tc>
      </w:tr>
      <w:tr w:rsidR="00630147" w:rsidRPr="00286216" w14:paraId="40375DD2" w14:textId="77777777" w:rsidTr="00091AA5">
        <w:tc>
          <w:tcPr>
            <w:tcW w:w="576" w:type="dxa"/>
          </w:tcPr>
          <w:p w14:paraId="64E904FC" w14:textId="77777777" w:rsidR="00630147" w:rsidRPr="00286216" w:rsidRDefault="00630147" w:rsidP="00630147">
            <w:pPr>
              <w:pStyle w:val="StyleWisnow"/>
              <w:rPr>
                <w:color w:val="000000" w:themeColor="text1"/>
              </w:rPr>
            </w:pPr>
            <w:bookmarkStart w:id="3126" w:name="n3256" w:colFirst="0" w:colLast="0"/>
            <w:bookmarkEnd w:id="3125"/>
            <w:r w:rsidRPr="00286216">
              <w:rPr>
                <w:color w:val="000000" w:themeColor="text1"/>
              </w:rPr>
              <w:t>3256.</w:t>
            </w:r>
          </w:p>
        </w:tc>
        <w:tc>
          <w:tcPr>
            <w:tcW w:w="4818" w:type="dxa"/>
          </w:tcPr>
          <w:p w14:paraId="5A711342" w14:textId="77777777" w:rsidR="00630147" w:rsidRPr="00286216" w:rsidRDefault="00630147" w:rsidP="00630147">
            <w:pPr>
              <w:pStyle w:val="StyleZakonu"/>
              <w:rPr>
                <w:color w:val="000000" w:themeColor="text1"/>
              </w:rPr>
            </w:pPr>
            <w:r w:rsidRPr="00286216">
              <w:rPr>
                <w:color w:val="000000" w:themeColor="text1"/>
              </w:rPr>
              <w:t>6) у тексті Закону слова "активи у цінних паперах", "законодавство про цінні папери та фондовий ринок" та "професійна діяльність на фондовому ринку" в усіх відмінках замінити відповідно словами "активи у фінансових інструментах", "законодавство про ринки капіталу та організовані товарні ринки" та "професійна діяльність на ринках капіталу" у відповідному відмінку.</w:t>
            </w:r>
          </w:p>
        </w:tc>
        <w:tc>
          <w:tcPr>
            <w:tcW w:w="3686" w:type="dxa"/>
          </w:tcPr>
          <w:p w14:paraId="3EFCB167" w14:textId="77777777" w:rsidR="00630147" w:rsidRPr="00286216" w:rsidRDefault="00630147" w:rsidP="00630147">
            <w:pPr>
              <w:pStyle w:val="StyleProp"/>
              <w:rPr>
                <w:color w:val="000000" w:themeColor="text1"/>
                <w:szCs w:val="18"/>
              </w:rPr>
            </w:pPr>
          </w:p>
        </w:tc>
        <w:tc>
          <w:tcPr>
            <w:tcW w:w="1987" w:type="dxa"/>
          </w:tcPr>
          <w:p w14:paraId="7F2EA1DE" w14:textId="77777777" w:rsidR="00630147" w:rsidRPr="00286216" w:rsidRDefault="00630147" w:rsidP="00630147">
            <w:pPr>
              <w:pStyle w:val="StyleWisnow"/>
              <w:rPr>
                <w:color w:val="000000" w:themeColor="text1"/>
              </w:rPr>
            </w:pPr>
          </w:p>
        </w:tc>
        <w:tc>
          <w:tcPr>
            <w:tcW w:w="4818" w:type="dxa"/>
          </w:tcPr>
          <w:p w14:paraId="6CC9C111" w14:textId="5F799278" w:rsidR="00630147" w:rsidRPr="00286216" w:rsidRDefault="00630147" w:rsidP="00630147">
            <w:pPr>
              <w:pStyle w:val="StyleZakonu"/>
              <w:rPr>
                <w:color w:val="000000" w:themeColor="text1"/>
              </w:rPr>
            </w:pPr>
            <w:r w:rsidRPr="00286216">
              <w:rPr>
                <w:color w:val="000000" w:themeColor="text1"/>
              </w:rPr>
              <w:t>6) у тексті Закону слова "активи у цінних паперах", "законодавство про цінні папери та фондовий ринок" та "професійна діяльність на фондовому ринку" в усіх відмінках замінити відповідно словами "активи у фінансових інструментах", "законодавство про ринки капіталу та організовані товарні ринки" та "професійна діяльність на ринках капіталу" у відповідному відмінку.</w:t>
            </w:r>
          </w:p>
        </w:tc>
      </w:tr>
      <w:tr w:rsidR="00630147" w:rsidRPr="00286216" w14:paraId="2F64D6C0" w14:textId="77777777" w:rsidTr="00091AA5">
        <w:tc>
          <w:tcPr>
            <w:tcW w:w="576" w:type="dxa"/>
          </w:tcPr>
          <w:p w14:paraId="27172A31" w14:textId="77777777" w:rsidR="00630147" w:rsidRPr="00286216" w:rsidRDefault="00630147" w:rsidP="00630147">
            <w:pPr>
              <w:pStyle w:val="StyleWisnow"/>
              <w:rPr>
                <w:color w:val="000000" w:themeColor="text1"/>
              </w:rPr>
            </w:pPr>
            <w:bookmarkStart w:id="3127" w:name="n3257" w:colFirst="0" w:colLast="0"/>
            <w:bookmarkEnd w:id="3126"/>
            <w:r w:rsidRPr="00286216">
              <w:rPr>
                <w:color w:val="000000" w:themeColor="text1"/>
              </w:rPr>
              <w:t>3257.</w:t>
            </w:r>
          </w:p>
        </w:tc>
        <w:tc>
          <w:tcPr>
            <w:tcW w:w="4818" w:type="dxa"/>
          </w:tcPr>
          <w:p w14:paraId="3EBA58AB" w14:textId="77777777" w:rsidR="00630147" w:rsidRPr="00286216" w:rsidRDefault="00630147" w:rsidP="00630147">
            <w:pPr>
              <w:pStyle w:val="StyleZakonu"/>
              <w:rPr>
                <w:color w:val="000000" w:themeColor="text1"/>
              </w:rPr>
            </w:pPr>
            <w:r w:rsidRPr="00286216">
              <w:rPr>
                <w:color w:val="000000" w:themeColor="text1"/>
              </w:rPr>
              <w:t>31. У Законі України "Про рекламу" (Відомості Верховної Ради України, 2004 р., №8, ст. 62, із наступними змінами):</w:t>
            </w:r>
          </w:p>
        </w:tc>
        <w:tc>
          <w:tcPr>
            <w:tcW w:w="3686" w:type="dxa"/>
          </w:tcPr>
          <w:p w14:paraId="0DE85AD0" w14:textId="77777777" w:rsidR="00630147" w:rsidRPr="00286216" w:rsidRDefault="00630147" w:rsidP="00630147">
            <w:pPr>
              <w:pStyle w:val="StyleProp"/>
              <w:rPr>
                <w:color w:val="000000" w:themeColor="text1"/>
                <w:szCs w:val="18"/>
              </w:rPr>
            </w:pPr>
          </w:p>
        </w:tc>
        <w:tc>
          <w:tcPr>
            <w:tcW w:w="1987" w:type="dxa"/>
          </w:tcPr>
          <w:p w14:paraId="25F08401" w14:textId="77777777" w:rsidR="00630147" w:rsidRPr="00286216" w:rsidRDefault="00630147" w:rsidP="00630147">
            <w:pPr>
              <w:pStyle w:val="StyleWisnow"/>
              <w:rPr>
                <w:color w:val="000000" w:themeColor="text1"/>
              </w:rPr>
            </w:pPr>
          </w:p>
        </w:tc>
        <w:tc>
          <w:tcPr>
            <w:tcW w:w="4818" w:type="dxa"/>
          </w:tcPr>
          <w:p w14:paraId="1704D4CF" w14:textId="2EF5ADF2" w:rsidR="00630147" w:rsidRPr="00286216" w:rsidRDefault="00630147" w:rsidP="00630147">
            <w:pPr>
              <w:pStyle w:val="StyleZakonu"/>
              <w:rPr>
                <w:color w:val="000000" w:themeColor="text1"/>
              </w:rPr>
            </w:pPr>
            <w:r w:rsidRPr="00286216">
              <w:rPr>
                <w:color w:val="000000" w:themeColor="text1"/>
              </w:rPr>
              <w:t>28. У Законі України "Про рекламу" (Відомості Верховної Ради України, 2004 р., №8, ст. 62 із наступними змінами):</w:t>
            </w:r>
          </w:p>
        </w:tc>
      </w:tr>
      <w:tr w:rsidR="00630147" w:rsidRPr="00286216" w14:paraId="580C3AE4" w14:textId="77777777" w:rsidTr="00091AA5">
        <w:tc>
          <w:tcPr>
            <w:tcW w:w="576" w:type="dxa"/>
          </w:tcPr>
          <w:p w14:paraId="4A8F5D84" w14:textId="77777777" w:rsidR="00630147" w:rsidRPr="00286216" w:rsidRDefault="00630147" w:rsidP="00630147">
            <w:pPr>
              <w:pStyle w:val="StyleWisnow"/>
              <w:rPr>
                <w:color w:val="000000" w:themeColor="text1"/>
              </w:rPr>
            </w:pPr>
            <w:bookmarkStart w:id="3128" w:name="n3258" w:colFirst="0" w:colLast="0"/>
            <w:bookmarkEnd w:id="3127"/>
            <w:r w:rsidRPr="00286216">
              <w:rPr>
                <w:color w:val="000000" w:themeColor="text1"/>
              </w:rPr>
              <w:t>3258.</w:t>
            </w:r>
          </w:p>
        </w:tc>
        <w:tc>
          <w:tcPr>
            <w:tcW w:w="4818" w:type="dxa"/>
          </w:tcPr>
          <w:p w14:paraId="79035BA7" w14:textId="77777777" w:rsidR="00630147" w:rsidRPr="00286216" w:rsidRDefault="00630147" w:rsidP="00630147">
            <w:pPr>
              <w:pStyle w:val="StyleZakonu"/>
              <w:rPr>
                <w:color w:val="000000" w:themeColor="text1"/>
              </w:rPr>
            </w:pPr>
            <w:r w:rsidRPr="00286216">
              <w:rPr>
                <w:color w:val="000000" w:themeColor="text1"/>
              </w:rPr>
              <w:t>1) статтю 1 доповнити новою частиною такого змісту:</w:t>
            </w:r>
          </w:p>
        </w:tc>
        <w:tc>
          <w:tcPr>
            <w:tcW w:w="3686" w:type="dxa"/>
          </w:tcPr>
          <w:p w14:paraId="10E0198C" w14:textId="77777777" w:rsidR="00630147" w:rsidRPr="00286216" w:rsidRDefault="00630147" w:rsidP="00630147">
            <w:pPr>
              <w:pStyle w:val="StyleProp"/>
              <w:rPr>
                <w:color w:val="000000" w:themeColor="text1"/>
                <w:szCs w:val="18"/>
              </w:rPr>
            </w:pPr>
          </w:p>
        </w:tc>
        <w:tc>
          <w:tcPr>
            <w:tcW w:w="1987" w:type="dxa"/>
          </w:tcPr>
          <w:p w14:paraId="0040B75A" w14:textId="77777777" w:rsidR="00630147" w:rsidRPr="00286216" w:rsidRDefault="00630147" w:rsidP="00630147">
            <w:pPr>
              <w:pStyle w:val="StyleWisnow"/>
              <w:rPr>
                <w:color w:val="000000" w:themeColor="text1"/>
              </w:rPr>
            </w:pPr>
          </w:p>
        </w:tc>
        <w:tc>
          <w:tcPr>
            <w:tcW w:w="4818" w:type="dxa"/>
          </w:tcPr>
          <w:p w14:paraId="4DC6A09B" w14:textId="15DF3EF7" w:rsidR="00630147" w:rsidRPr="00286216" w:rsidRDefault="00630147" w:rsidP="00630147">
            <w:pPr>
              <w:pStyle w:val="StyleZakonu"/>
              <w:rPr>
                <w:color w:val="000000" w:themeColor="text1"/>
              </w:rPr>
            </w:pPr>
            <w:r w:rsidRPr="00286216">
              <w:rPr>
                <w:color w:val="000000" w:themeColor="text1"/>
              </w:rPr>
              <w:t>1) статтю 1 доповнити частиною другою такого змісту:</w:t>
            </w:r>
          </w:p>
        </w:tc>
      </w:tr>
      <w:tr w:rsidR="00630147" w:rsidRPr="00286216" w14:paraId="31581B5D" w14:textId="77777777" w:rsidTr="00091AA5">
        <w:tc>
          <w:tcPr>
            <w:tcW w:w="576" w:type="dxa"/>
          </w:tcPr>
          <w:p w14:paraId="683C2A39" w14:textId="77777777" w:rsidR="00630147" w:rsidRPr="00286216" w:rsidRDefault="00630147" w:rsidP="00630147">
            <w:pPr>
              <w:pStyle w:val="StyleWisnow"/>
              <w:rPr>
                <w:color w:val="000000" w:themeColor="text1"/>
              </w:rPr>
            </w:pPr>
            <w:bookmarkStart w:id="3129" w:name="n3259" w:colFirst="0" w:colLast="0"/>
            <w:bookmarkEnd w:id="3128"/>
            <w:r w:rsidRPr="00286216">
              <w:rPr>
                <w:color w:val="000000" w:themeColor="text1"/>
              </w:rPr>
              <w:t>3259.</w:t>
            </w:r>
          </w:p>
        </w:tc>
        <w:tc>
          <w:tcPr>
            <w:tcW w:w="4818" w:type="dxa"/>
          </w:tcPr>
          <w:p w14:paraId="672CAE09" w14:textId="77777777" w:rsidR="00630147" w:rsidRPr="00286216" w:rsidRDefault="00630147" w:rsidP="00630147">
            <w:pPr>
              <w:pStyle w:val="StyleZakonu"/>
              <w:rPr>
                <w:color w:val="000000" w:themeColor="text1"/>
              </w:rPr>
            </w:pPr>
            <w:r w:rsidRPr="00286216">
              <w:rPr>
                <w:color w:val="000000" w:themeColor="text1"/>
              </w:rPr>
              <w:t>"2. Терміни "професійний учасник ринків капіталу та організованих товарних ринків", "оператор регульованого ринку", "фінансові інструменти", "деривативний контракт" та "ринки капіталу" вживаються у цьому Законі у значенні, визначеному у Законі України "Про ринки капіталу та організовані товарні ринки";</w:t>
            </w:r>
          </w:p>
        </w:tc>
        <w:tc>
          <w:tcPr>
            <w:tcW w:w="3686" w:type="dxa"/>
          </w:tcPr>
          <w:p w14:paraId="381D8D99" w14:textId="096ED2CD"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1404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60CE09DC" w14:textId="77777777" w:rsidR="00630147" w:rsidRPr="00286216" w:rsidRDefault="00630147" w:rsidP="0063014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B5D309C" w14:textId="77777777" w:rsidR="00630147" w:rsidRPr="00286216" w:rsidRDefault="00630147" w:rsidP="00630147">
            <w:pPr>
              <w:pStyle w:val="StyleProp"/>
              <w:rPr>
                <w:color w:val="000000" w:themeColor="text1"/>
                <w:szCs w:val="18"/>
              </w:rPr>
            </w:pPr>
            <w:r w:rsidRPr="00286216">
              <w:rPr>
                <w:color w:val="000000" w:themeColor="text1"/>
                <w:szCs w:val="18"/>
              </w:rPr>
              <w:t>В абзаці другому підпункту 1 пункту 31 слово «регульованого» замінити словом  «організованого».</w:t>
            </w:r>
          </w:p>
        </w:tc>
        <w:tc>
          <w:tcPr>
            <w:tcW w:w="1987" w:type="dxa"/>
          </w:tcPr>
          <w:p w14:paraId="211EBBE5"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331B1742" w14:textId="1D8C9E38" w:rsidR="00630147" w:rsidRPr="00286216" w:rsidRDefault="00630147" w:rsidP="00630147">
            <w:pPr>
              <w:pStyle w:val="StyleZakonu"/>
              <w:rPr>
                <w:color w:val="000000" w:themeColor="text1"/>
              </w:rPr>
            </w:pPr>
            <w:r w:rsidRPr="00286216">
              <w:rPr>
                <w:color w:val="000000" w:themeColor="text1"/>
              </w:rPr>
              <w:t xml:space="preserve">"2. Терміни "професійний учасник ринків капіталу та організованих товарних ринків", "оператор </w:t>
            </w:r>
            <w:r w:rsidRPr="00286216">
              <w:rPr>
                <w:color w:val="000000" w:themeColor="text1"/>
                <w:szCs w:val="18"/>
              </w:rPr>
              <w:t>організованого</w:t>
            </w:r>
            <w:r w:rsidRPr="00286216" w:rsidDel="00107146">
              <w:rPr>
                <w:color w:val="000000" w:themeColor="text1"/>
              </w:rPr>
              <w:t xml:space="preserve"> </w:t>
            </w:r>
            <w:r w:rsidRPr="00286216">
              <w:rPr>
                <w:color w:val="000000" w:themeColor="text1"/>
              </w:rPr>
              <w:t>ринку", "фінансові інструменти", "деривативний контракт" та "ринки капіталу" вживаються у цьому Законі у значенні, визначеному в Законі України "Про ринки капіталу та організовані товарні ринки";</w:t>
            </w:r>
          </w:p>
        </w:tc>
      </w:tr>
      <w:tr w:rsidR="00630147" w:rsidRPr="00286216" w14:paraId="5AEDC9E8" w14:textId="77777777" w:rsidTr="00091AA5">
        <w:tc>
          <w:tcPr>
            <w:tcW w:w="576" w:type="dxa"/>
          </w:tcPr>
          <w:p w14:paraId="1C1E9734" w14:textId="77777777" w:rsidR="00630147" w:rsidRPr="00286216" w:rsidRDefault="00630147" w:rsidP="00630147">
            <w:pPr>
              <w:pStyle w:val="StyleWisnow"/>
              <w:rPr>
                <w:color w:val="000000" w:themeColor="text1"/>
              </w:rPr>
            </w:pPr>
            <w:bookmarkStart w:id="3130" w:name="n3260" w:colFirst="0" w:colLast="0"/>
            <w:bookmarkEnd w:id="3129"/>
            <w:r w:rsidRPr="00286216">
              <w:rPr>
                <w:color w:val="000000" w:themeColor="text1"/>
              </w:rPr>
              <w:t>3260.</w:t>
            </w:r>
          </w:p>
        </w:tc>
        <w:tc>
          <w:tcPr>
            <w:tcW w:w="4818" w:type="dxa"/>
          </w:tcPr>
          <w:p w14:paraId="5C9B6641" w14:textId="77777777" w:rsidR="00630147" w:rsidRPr="00286216" w:rsidRDefault="00630147" w:rsidP="00630147">
            <w:pPr>
              <w:pStyle w:val="StyleZakonu"/>
              <w:rPr>
                <w:color w:val="000000" w:themeColor="text1"/>
              </w:rPr>
            </w:pPr>
            <w:r w:rsidRPr="00286216">
              <w:rPr>
                <w:color w:val="000000" w:themeColor="text1"/>
              </w:rPr>
              <w:t>2) у абзаці п’ятому частини першої статті 24 слова "цінних паперів та фондового ринку" замінити словами "фінансових інструментів та ринків капіталу";</w:t>
            </w:r>
          </w:p>
        </w:tc>
        <w:tc>
          <w:tcPr>
            <w:tcW w:w="3686" w:type="dxa"/>
          </w:tcPr>
          <w:p w14:paraId="50AEA693" w14:textId="77777777" w:rsidR="00630147" w:rsidRPr="00286216" w:rsidRDefault="00630147" w:rsidP="00630147">
            <w:pPr>
              <w:pStyle w:val="StyleProp"/>
              <w:rPr>
                <w:color w:val="000000" w:themeColor="text1"/>
                <w:szCs w:val="18"/>
              </w:rPr>
            </w:pPr>
          </w:p>
        </w:tc>
        <w:tc>
          <w:tcPr>
            <w:tcW w:w="1987" w:type="dxa"/>
          </w:tcPr>
          <w:p w14:paraId="573942DF" w14:textId="77777777" w:rsidR="00630147" w:rsidRPr="00286216" w:rsidRDefault="00630147" w:rsidP="00630147">
            <w:pPr>
              <w:pStyle w:val="StyleWisnow"/>
              <w:rPr>
                <w:color w:val="000000" w:themeColor="text1"/>
              </w:rPr>
            </w:pPr>
          </w:p>
        </w:tc>
        <w:tc>
          <w:tcPr>
            <w:tcW w:w="4818" w:type="dxa"/>
          </w:tcPr>
          <w:p w14:paraId="4AC74D50" w14:textId="7CC30B20" w:rsidR="00630147" w:rsidRPr="00286216" w:rsidRDefault="00630147" w:rsidP="00630147">
            <w:pPr>
              <w:pStyle w:val="StyleZakonu"/>
              <w:rPr>
                <w:color w:val="000000" w:themeColor="text1"/>
              </w:rPr>
            </w:pPr>
            <w:r w:rsidRPr="00286216">
              <w:rPr>
                <w:color w:val="000000" w:themeColor="text1"/>
              </w:rPr>
              <w:t>2) в абзаці п’ятому частини першої статті 24 слова "цінних паперів та фондового ринку" замінити словами "фінансових інструментів та ринків капіталу";</w:t>
            </w:r>
          </w:p>
        </w:tc>
      </w:tr>
      <w:tr w:rsidR="00630147" w:rsidRPr="00286216" w14:paraId="5811B38A" w14:textId="77777777" w:rsidTr="00091AA5">
        <w:tc>
          <w:tcPr>
            <w:tcW w:w="576" w:type="dxa"/>
          </w:tcPr>
          <w:p w14:paraId="6F67ACEF" w14:textId="77777777" w:rsidR="00630147" w:rsidRPr="00286216" w:rsidRDefault="00630147" w:rsidP="00630147">
            <w:pPr>
              <w:pStyle w:val="StyleWisnow"/>
              <w:rPr>
                <w:color w:val="000000" w:themeColor="text1"/>
              </w:rPr>
            </w:pPr>
            <w:bookmarkStart w:id="3131" w:name="n3261" w:colFirst="0" w:colLast="0"/>
            <w:bookmarkEnd w:id="3130"/>
            <w:r w:rsidRPr="00286216">
              <w:rPr>
                <w:color w:val="000000" w:themeColor="text1"/>
              </w:rPr>
              <w:t>3261.</w:t>
            </w:r>
          </w:p>
        </w:tc>
        <w:tc>
          <w:tcPr>
            <w:tcW w:w="4818" w:type="dxa"/>
          </w:tcPr>
          <w:p w14:paraId="77623CFD" w14:textId="77777777" w:rsidR="00630147" w:rsidRPr="00286216" w:rsidRDefault="00630147" w:rsidP="00630147">
            <w:pPr>
              <w:pStyle w:val="StyleZakonu"/>
              <w:rPr>
                <w:color w:val="000000" w:themeColor="text1"/>
              </w:rPr>
            </w:pPr>
            <w:r w:rsidRPr="00286216">
              <w:rPr>
                <w:color w:val="000000" w:themeColor="text1"/>
              </w:rPr>
              <w:t>3) у статті 25:</w:t>
            </w:r>
          </w:p>
        </w:tc>
        <w:tc>
          <w:tcPr>
            <w:tcW w:w="3686" w:type="dxa"/>
          </w:tcPr>
          <w:p w14:paraId="0ECAB2F8" w14:textId="77777777" w:rsidR="00630147" w:rsidRPr="00286216" w:rsidRDefault="00630147" w:rsidP="00630147">
            <w:pPr>
              <w:pStyle w:val="StyleProp"/>
              <w:rPr>
                <w:color w:val="000000" w:themeColor="text1"/>
              </w:rPr>
            </w:pPr>
          </w:p>
        </w:tc>
        <w:tc>
          <w:tcPr>
            <w:tcW w:w="1987" w:type="dxa"/>
          </w:tcPr>
          <w:p w14:paraId="11408DB7" w14:textId="77777777" w:rsidR="00630147" w:rsidRPr="00286216" w:rsidRDefault="00630147" w:rsidP="00630147">
            <w:pPr>
              <w:pStyle w:val="StyleWisnow"/>
              <w:rPr>
                <w:color w:val="000000" w:themeColor="text1"/>
              </w:rPr>
            </w:pPr>
          </w:p>
        </w:tc>
        <w:tc>
          <w:tcPr>
            <w:tcW w:w="4818" w:type="dxa"/>
          </w:tcPr>
          <w:p w14:paraId="7489731A" w14:textId="3D783F3B" w:rsidR="00630147" w:rsidRPr="00286216" w:rsidRDefault="00630147" w:rsidP="00630147">
            <w:pPr>
              <w:pStyle w:val="StyleZakonu"/>
              <w:rPr>
                <w:color w:val="000000" w:themeColor="text1"/>
              </w:rPr>
            </w:pPr>
            <w:r w:rsidRPr="00286216">
              <w:rPr>
                <w:color w:val="000000" w:themeColor="text1"/>
              </w:rPr>
              <w:t>3) у статті 25:</w:t>
            </w:r>
          </w:p>
        </w:tc>
      </w:tr>
      <w:tr w:rsidR="00630147" w:rsidRPr="00286216" w14:paraId="656183BD" w14:textId="77777777" w:rsidTr="00091AA5">
        <w:tc>
          <w:tcPr>
            <w:tcW w:w="576" w:type="dxa"/>
          </w:tcPr>
          <w:p w14:paraId="3A21A227" w14:textId="77777777" w:rsidR="00630147" w:rsidRPr="00286216" w:rsidRDefault="00630147" w:rsidP="00630147">
            <w:pPr>
              <w:pStyle w:val="StyleWisnow"/>
              <w:rPr>
                <w:color w:val="000000" w:themeColor="text1"/>
              </w:rPr>
            </w:pPr>
            <w:bookmarkStart w:id="3132" w:name="n3262" w:colFirst="0" w:colLast="0"/>
            <w:bookmarkEnd w:id="3131"/>
            <w:r w:rsidRPr="00286216">
              <w:rPr>
                <w:color w:val="000000" w:themeColor="text1"/>
              </w:rPr>
              <w:t>3262.</w:t>
            </w:r>
          </w:p>
        </w:tc>
        <w:tc>
          <w:tcPr>
            <w:tcW w:w="4818" w:type="dxa"/>
          </w:tcPr>
          <w:p w14:paraId="37569706" w14:textId="77777777" w:rsidR="00630147" w:rsidRPr="00286216" w:rsidRDefault="00630147" w:rsidP="00630147">
            <w:pPr>
              <w:pStyle w:val="StyleZakonu"/>
              <w:rPr>
                <w:color w:val="000000" w:themeColor="text1"/>
              </w:rPr>
            </w:pPr>
            <w:r w:rsidRPr="00286216">
              <w:rPr>
                <w:color w:val="000000" w:themeColor="text1"/>
              </w:rPr>
              <w:t>а) у назві та тексті статті слова "цінних паперів та фондового ринку" замінити словами "фінансових інструментів та ринків капіталу", крім випадку їх використання у словосполученні "Національна комісія з цінних паперів та фондового ринку";</w:t>
            </w:r>
          </w:p>
        </w:tc>
        <w:tc>
          <w:tcPr>
            <w:tcW w:w="3686" w:type="dxa"/>
          </w:tcPr>
          <w:p w14:paraId="0FEC8764" w14:textId="51DD88D9"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1405</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0012C260" w14:textId="77777777" w:rsidR="00630147" w:rsidRPr="00286216" w:rsidRDefault="00630147" w:rsidP="00630147">
            <w:pPr>
              <w:pStyle w:val="StyleProp"/>
              <w:spacing w:line="180" w:lineRule="exact"/>
              <w:rPr>
                <w:color w:val="000000" w:themeColor="text1"/>
              </w:rPr>
            </w:pPr>
            <w:r w:rsidRPr="00286216">
              <w:rPr>
                <w:color w:val="000000" w:themeColor="text1"/>
              </w:rPr>
              <w:t>а) у назві та тексті статті слова "цінних паперів та фондового ринку" замінити словами "фінансових інструментів, ринків капіталу та організованих товарних ринків", крім випадку їх використання у словосполученні "Національна комісія з цінних паперів та фондового ринку";</w:t>
            </w:r>
          </w:p>
        </w:tc>
        <w:tc>
          <w:tcPr>
            <w:tcW w:w="1987" w:type="dxa"/>
          </w:tcPr>
          <w:p w14:paraId="6AB79572"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FED1594" w14:textId="3287917F" w:rsidR="00630147" w:rsidRPr="00286216" w:rsidRDefault="00630147" w:rsidP="00630147">
            <w:pPr>
              <w:pStyle w:val="StyleZakonu"/>
              <w:rPr>
                <w:color w:val="000000" w:themeColor="text1"/>
              </w:rPr>
            </w:pPr>
            <w:r w:rsidRPr="00286216">
              <w:rPr>
                <w:color w:val="000000" w:themeColor="text1"/>
              </w:rPr>
              <w:t>а) у назві та тексті статті слова "цінних паперів та фондового ринку" замінити словами "фінансових інструментів, ринків капіталу та організованих товарних ринків", крім випадку їх використання у назві "Національна комісія з цінних паперів та фондового ринку";</w:t>
            </w:r>
          </w:p>
        </w:tc>
      </w:tr>
      <w:tr w:rsidR="00630147" w:rsidRPr="00286216" w14:paraId="25734737" w14:textId="77777777" w:rsidTr="00091AA5">
        <w:tc>
          <w:tcPr>
            <w:tcW w:w="576" w:type="dxa"/>
          </w:tcPr>
          <w:p w14:paraId="6907D39B" w14:textId="77777777" w:rsidR="00630147" w:rsidRPr="00286216" w:rsidRDefault="00630147" w:rsidP="00630147">
            <w:pPr>
              <w:pStyle w:val="StyleWisnow"/>
              <w:rPr>
                <w:color w:val="000000" w:themeColor="text1"/>
              </w:rPr>
            </w:pPr>
            <w:bookmarkStart w:id="3133" w:name="n3263" w:colFirst="0" w:colLast="0"/>
            <w:bookmarkEnd w:id="3132"/>
            <w:r w:rsidRPr="00286216">
              <w:rPr>
                <w:color w:val="000000" w:themeColor="text1"/>
              </w:rPr>
              <w:lastRenderedPageBreak/>
              <w:t>3263.</w:t>
            </w:r>
          </w:p>
        </w:tc>
        <w:tc>
          <w:tcPr>
            <w:tcW w:w="4818" w:type="dxa"/>
          </w:tcPr>
          <w:p w14:paraId="6C4DDB5D" w14:textId="77777777" w:rsidR="00630147" w:rsidRPr="00286216" w:rsidRDefault="00630147" w:rsidP="00630147">
            <w:pPr>
              <w:pStyle w:val="StyleZakonu"/>
              <w:rPr>
                <w:color w:val="000000" w:themeColor="text1"/>
              </w:rPr>
            </w:pPr>
            <w:r w:rsidRPr="00286216">
              <w:rPr>
                <w:color w:val="000000" w:themeColor="text1"/>
              </w:rPr>
              <w:t>б) у частині першій:</w:t>
            </w:r>
          </w:p>
        </w:tc>
        <w:tc>
          <w:tcPr>
            <w:tcW w:w="3686" w:type="dxa"/>
          </w:tcPr>
          <w:p w14:paraId="01E57ADF" w14:textId="02358E70"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1406</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BA768B2" w14:textId="3585836C" w:rsidR="00630147" w:rsidRPr="00286216" w:rsidRDefault="00630147" w:rsidP="00630147">
            <w:pPr>
              <w:pStyle w:val="StyleProp"/>
              <w:spacing w:line="180" w:lineRule="exact"/>
              <w:rPr>
                <w:color w:val="000000" w:themeColor="text1"/>
              </w:rPr>
            </w:pPr>
            <w:r w:rsidRPr="00286216">
              <w:rPr>
                <w:color w:val="000000" w:themeColor="text1"/>
              </w:rPr>
              <w:t>Доповнити підпункт «б» підпункту 3 пункту 31 розділу 3 абзацами такого змісту:</w:t>
            </w:r>
          </w:p>
          <w:p w14:paraId="40684A89" w14:textId="77777777" w:rsidR="00630147" w:rsidRPr="00286216" w:rsidRDefault="00630147" w:rsidP="00630147">
            <w:pPr>
              <w:pStyle w:val="StyleProp"/>
              <w:spacing w:line="180" w:lineRule="exact"/>
              <w:rPr>
                <w:color w:val="000000" w:themeColor="text1"/>
              </w:rPr>
            </w:pPr>
            <w:r w:rsidRPr="00286216">
              <w:rPr>
                <w:color w:val="000000" w:themeColor="text1"/>
              </w:rPr>
              <w:t>«абзац перший викласти в такій редакції:</w:t>
            </w:r>
          </w:p>
          <w:p w14:paraId="7C003A64" w14:textId="77777777" w:rsidR="00630147" w:rsidRPr="00286216" w:rsidRDefault="00630147" w:rsidP="00630147">
            <w:pPr>
              <w:pStyle w:val="StyleProp"/>
              <w:spacing w:line="180" w:lineRule="exact"/>
              <w:rPr>
                <w:color w:val="000000" w:themeColor="text1"/>
              </w:rPr>
            </w:pPr>
            <w:r w:rsidRPr="00286216">
              <w:rPr>
                <w:color w:val="000000" w:themeColor="text1"/>
              </w:rPr>
              <w:t>«1. Рекламою фінансових інструментів, ринків капіталу та організованих товарних ринків визнається розповсюджена в будь-якій формі та в будь-який спосіб інформація про:»</w:t>
            </w:r>
          </w:p>
        </w:tc>
        <w:tc>
          <w:tcPr>
            <w:tcW w:w="1987" w:type="dxa"/>
          </w:tcPr>
          <w:p w14:paraId="2FCCF94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E413152" w14:textId="77777777" w:rsidR="00630147" w:rsidRPr="00286216" w:rsidRDefault="00630147" w:rsidP="00630147">
            <w:pPr>
              <w:pStyle w:val="StyleZakonu"/>
              <w:rPr>
                <w:color w:val="000000" w:themeColor="text1"/>
              </w:rPr>
            </w:pPr>
            <w:r w:rsidRPr="00286216">
              <w:rPr>
                <w:color w:val="000000" w:themeColor="text1"/>
              </w:rPr>
              <w:t>б) у частині першій:</w:t>
            </w:r>
          </w:p>
          <w:p w14:paraId="460DD222" w14:textId="77777777" w:rsidR="00630147" w:rsidRPr="00286216" w:rsidRDefault="00630147" w:rsidP="00630147">
            <w:pPr>
              <w:pStyle w:val="StyleZakonu"/>
              <w:rPr>
                <w:color w:val="000000" w:themeColor="text1"/>
              </w:rPr>
            </w:pPr>
            <w:r w:rsidRPr="00286216">
              <w:rPr>
                <w:color w:val="000000" w:themeColor="text1"/>
              </w:rPr>
              <w:t>абзац перший викласти в такій редакції:</w:t>
            </w:r>
          </w:p>
          <w:p w14:paraId="183E3490" w14:textId="1B4336CC" w:rsidR="00630147" w:rsidRPr="00286216" w:rsidRDefault="00630147" w:rsidP="00630147">
            <w:pPr>
              <w:pStyle w:val="StyleZakonu"/>
              <w:rPr>
                <w:color w:val="000000" w:themeColor="text1"/>
              </w:rPr>
            </w:pPr>
            <w:r w:rsidRPr="00286216">
              <w:rPr>
                <w:color w:val="000000" w:themeColor="text1"/>
              </w:rPr>
              <w:t>«1. Рекламою фінансових інструментів, ринків капіталу та організованих товарних ринків визнається розповсюджена в будь-якій формі та в будь-який спосіб інформація про»;</w:t>
            </w:r>
          </w:p>
        </w:tc>
      </w:tr>
      <w:tr w:rsidR="00630147" w:rsidRPr="00286216" w14:paraId="064F54D6" w14:textId="77777777" w:rsidTr="00091AA5">
        <w:tc>
          <w:tcPr>
            <w:tcW w:w="576" w:type="dxa"/>
          </w:tcPr>
          <w:p w14:paraId="527FC6B8" w14:textId="77777777" w:rsidR="00630147" w:rsidRPr="00286216" w:rsidRDefault="00630147" w:rsidP="00630147">
            <w:pPr>
              <w:pStyle w:val="StyleWisnow"/>
              <w:rPr>
                <w:color w:val="000000" w:themeColor="text1"/>
              </w:rPr>
            </w:pPr>
            <w:bookmarkStart w:id="3134" w:name="n3264" w:colFirst="0" w:colLast="0"/>
            <w:bookmarkEnd w:id="3133"/>
            <w:r w:rsidRPr="00286216">
              <w:rPr>
                <w:color w:val="000000" w:themeColor="text1"/>
              </w:rPr>
              <w:t>3264.</w:t>
            </w:r>
          </w:p>
        </w:tc>
        <w:tc>
          <w:tcPr>
            <w:tcW w:w="4818" w:type="dxa"/>
          </w:tcPr>
          <w:p w14:paraId="0AF77476" w14:textId="77777777" w:rsidR="00630147" w:rsidRPr="00286216" w:rsidRDefault="00630147" w:rsidP="00630147">
            <w:pPr>
              <w:pStyle w:val="StyleZakonu"/>
              <w:rPr>
                <w:color w:val="000000" w:themeColor="text1"/>
              </w:rPr>
            </w:pPr>
            <w:r w:rsidRPr="00286216">
              <w:rPr>
                <w:color w:val="000000" w:themeColor="text1"/>
              </w:rPr>
              <w:t>у пункті 3 слова "фондовому ринку" замінити словами "ринків капіталу";</w:t>
            </w:r>
          </w:p>
        </w:tc>
        <w:tc>
          <w:tcPr>
            <w:tcW w:w="3686" w:type="dxa"/>
          </w:tcPr>
          <w:p w14:paraId="523B90C2" w14:textId="0C4A6FFD"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1407</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22D3DAA" w14:textId="77777777" w:rsidR="00630147" w:rsidRPr="00286216" w:rsidRDefault="00630147" w:rsidP="00630147">
            <w:pPr>
              <w:pStyle w:val="StyleProp"/>
              <w:spacing w:line="180" w:lineRule="exact"/>
              <w:rPr>
                <w:color w:val="000000" w:themeColor="text1"/>
              </w:rPr>
            </w:pPr>
            <w:r w:rsidRPr="00286216">
              <w:rPr>
                <w:color w:val="000000" w:themeColor="text1"/>
              </w:rPr>
              <w:t>у пункті 3 слова "фондовому ринку" замінити словами "ринків капіталу та організованих товарних ринків";</w:t>
            </w:r>
          </w:p>
        </w:tc>
        <w:tc>
          <w:tcPr>
            <w:tcW w:w="1987" w:type="dxa"/>
          </w:tcPr>
          <w:p w14:paraId="2CA37EC5"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7432782" w14:textId="3AD03438" w:rsidR="00630147" w:rsidRPr="00286216" w:rsidRDefault="00630147" w:rsidP="00630147">
            <w:pPr>
              <w:pStyle w:val="StyleZakonu"/>
              <w:rPr>
                <w:color w:val="000000" w:themeColor="text1"/>
              </w:rPr>
            </w:pPr>
            <w:r w:rsidRPr="00286216">
              <w:rPr>
                <w:color w:val="000000" w:themeColor="text1"/>
              </w:rPr>
              <w:t>у пункті 3 слова "фондовому ринку" замінити словами "ринків капіталу та організованих товарних ринків";</w:t>
            </w:r>
          </w:p>
        </w:tc>
      </w:tr>
      <w:tr w:rsidR="00630147" w:rsidRPr="00286216" w14:paraId="0CBA009B" w14:textId="77777777" w:rsidTr="00091AA5">
        <w:tc>
          <w:tcPr>
            <w:tcW w:w="576" w:type="dxa"/>
          </w:tcPr>
          <w:p w14:paraId="2C764878" w14:textId="77777777" w:rsidR="00630147" w:rsidRPr="00286216" w:rsidRDefault="00630147" w:rsidP="00630147">
            <w:pPr>
              <w:pStyle w:val="StyleWisnow"/>
              <w:rPr>
                <w:color w:val="000000" w:themeColor="text1"/>
              </w:rPr>
            </w:pPr>
            <w:bookmarkStart w:id="3135" w:name="n3265" w:colFirst="0" w:colLast="0"/>
            <w:bookmarkEnd w:id="3134"/>
            <w:r w:rsidRPr="00286216">
              <w:rPr>
                <w:color w:val="000000" w:themeColor="text1"/>
              </w:rPr>
              <w:t>3265.</w:t>
            </w:r>
          </w:p>
        </w:tc>
        <w:tc>
          <w:tcPr>
            <w:tcW w:w="4818" w:type="dxa"/>
          </w:tcPr>
          <w:p w14:paraId="50C6FC4F" w14:textId="77777777" w:rsidR="00630147" w:rsidRPr="00286216" w:rsidRDefault="00630147" w:rsidP="00630147">
            <w:pPr>
              <w:pStyle w:val="StyleZakonu"/>
              <w:rPr>
                <w:color w:val="000000" w:themeColor="text1"/>
              </w:rPr>
            </w:pPr>
            <w:r w:rsidRPr="00286216">
              <w:rPr>
                <w:color w:val="000000" w:themeColor="text1"/>
              </w:rPr>
              <w:t>у пункті 4 слова "фондового ринку" замінити словами "ринків капіталу";</w:t>
            </w:r>
          </w:p>
        </w:tc>
        <w:tc>
          <w:tcPr>
            <w:tcW w:w="3686" w:type="dxa"/>
          </w:tcPr>
          <w:p w14:paraId="7CCA3EEF" w14:textId="77777777" w:rsidR="00630147" w:rsidRPr="00286216" w:rsidRDefault="00630147" w:rsidP="00630147">
            <w:pPr>
              <w:pStyle w:val="StyleProp"/>
              <w:rPr>
                <w:color w:val="000000" w:themeColor="text1"/>
              </w:rPr>
            </w:pPr>
          </w:p>
        </w:tc>
        <w:tc>
          <w:tcPr>
            <w:tcW w:w="1987" w:type="dxa"/>
          </w:tcPr>
          <w:p w14:paraId="75DD47AA" w14:textId="77777777" w:rsidR="00630147" w:rsidRPr="00286216" w:rsidRDefault="00630147" w:rsidP="00630147">
            <w:pPr>
              <w:pStyle w:val="StyleWisnow"/>
              <w:rPr>
                <w:color w:val="000000" w:themeColor="text1"/>
              </w:rPr>
            </w:pPr>
          </w:p>
        </w:tc>
        <w:tc>
          <w:tcPr>
            <w:tcW w:w="4818" w:type="dxa"/>
          </w:tcPr>
          <w:p w14:paraId="451333E0" w14:textId="48D67701" w:rsidR="00630147" w:rsidRPr="00286216" w:rsidRDefault="00630147" w:rsidP="00630147">
            <w:pPr>
              <w:pStyle w:val="StyleZakonu"/>
              <w:rPr>
                <w:color w:val="000000" w:themeColor="text1"/>
              </w:rPr>
            </w:pPr>
            <w:r w:rsidRPr="00286216">
              <w:rPr>
                <w:color w:val="000000" w:themeColor="text1"/>
              </w:rPr>
              <w:t>у пункті 4 слова "фондового ринку" замінити словами "ринків капіталу";</w:t>
            </w:r>
          </w:p>
        </w:tc>
      </w:tr>
      <w:tr w:rsidR="00630147" w:rsidRPr="00286216" w14:paraId="78EB7D45" w14:textId="77777777" w:rsidTr="00091AA5">
        <w:tc>
          <w:tcPr>
            <w:tcW w:w="576" w:type="dxa"/>
          </w:tcPr>
          <w:p w14:paraId="56B5E0D2" w14:textId="77777777" w:rsidR="00630147" w:rsidRPr="00286216" w:rsidRDefault="00630147" w:rsidP="00630147">
            <w:pPr>
              <w:pStyle w:val="StyleWisnow"/>
              <w:rPr>
                <w:color w:val="000000" w:themeColor="text1"/>
              </w:rPr>
            </w:pPr>
            <w:bookmarkStart w:id="3136" w:name="n3266" w:colFirst="0" w:colLast="0"/>
            <w:bookmarkEnd w:id="3135"/>
            <w:r w:rsidRPr="00286216">
              <w:rPr>
                <w:color w:val="000000" w:themeColor="text1"/>
              </w:rPr>
              <w:t>3266.</w:t>
            </w:r>
          </w:p>
        </w:tc>
        <w:tc>
          <w:tcPr>
            <w:tcW w:w="4818" w:type="dxa"/>
          </w:tcPr>
          <w:p w14:paraId="1A7EC011" w14:textId="77777777" w:rsidR="00630147" w:rsidRPr="00286216" w:rsidRDefault="00630147" w:rsidP="00630147">
            <w:pPr>
              <w:pStyle w:val="StyleZakonu"/>
              <w:rPr>
                <w:color w:val="000000" w:themeColor="text1"/>
              </w:rPr>
            </w:pPr>
            <w:r w:rsidRPr="00286216">
              <w:rPr>
                <w:color w:val="000000" w:themeColor="text1"/>
              </w:rPr>
              <w:t>доповнити пунктом 6 такого змісту:</w:t>
            </w:r>
          </w:p>
        </w:tc>
        <w:tc>
          <w:tcPr>
            <w:tcW w:w="3686" w:type="dxa"/>
          </w:tcPr>
          <w:p w14:paraId="0B9B159C" w14:textId="77777777" w:rsidR="00630147" w:rsidRPr="00286216" w:rsidRDefault="00630147" w:rsidP="00630147">
            <w:pPr>
              <w:pStyle w:val="StyleProp"/>
              <w:rPr>
                <w:color w:val="000000" w:themeColor="text1"/>
                <w:szCs w:val="18"/>
              </w:rPr>
            </w:pPr>
          </w:p>
        </w:tc>
        <w:tc>
          <w:tcPr>
            <w:tcW w:w="1987" w:type="dxa"/>
          </w:tcPr>
          <w:p w14:paraId="5798B572" w14:textId="77777777" w:rsidR="00630147" w:rsidRPr="00286216" w:rsidRDefault="00630147" w:rsidP="00630147">
            <w:pPr>
              <w:pStyle w:val="StyleWisnow"/>
              <w:rPr>
                <w:color w:val="000000" w:themeColor="text1"/>
              </w:rPr>
            </w:pPr>
          </w:p>
        </w:tc>
        <w:tc>
          <w:tcPr>
            <w:tcW w:w="4818" w:type="dxa"/>
          </w:tcPr>
          <w:p w14:paraId="1875C3F6" w14:textId="2D36FE1D" w:rsidR="00630147" w:rsidRPr="00286216" w:rsidRDefault="00630147" w:rsidP="00630147">
            <w:pPr>
              <w:pStyle w:val="StyleZakonu"/>
              <w:rPr>
                <w:color w:val="000000" w:themeColor="text1"/>
              </w:rPr>
            </w:pPr>
            <w:r w:rsidRPr="00286216">
              <w:rPr>
                <w:color w:val="000000" w:themeColor="text1"/>
              </w:rPr>
              <w:t>доповнити пунктом 6 такого змісту:</w:t>
            </w:r>
          </w:p>
        </w:tc>
      </w:tr>
      <w:tr w:rsidR="00630147" w:rsidRPr="00286216" w14:paraId="4529299C" w14:textId="77777777" w:rsidTr="00091AA5">
        <w:tc>
          <w:tcPr>
            <w:tcW w:w="576" w:type="dxa"/>
          </w:tcPr>
          <w:p w14:paraId="7D31B626" w14:textId="77777777" w:rsidR="00630147" w:rsidRPr="00286216" w:rsidRDefault="00630147" w:rsidP="00630147">
            <w:pPr>
              <w:pStyle w:val="StyleWisnow"/>
              <w:rPr>
                <w:color w:val="000000" w:themeColor="text1"/>
              </w:rPr>
            </w:pPr>
            <w:bookmarkStart w:id="3137" w:name="n3267" w:colFirst="0" w:colLast="0"/>
            <w:bookmarkEnd w:id="3136"/>
            <w:r w:rsidRPr="00286216">
              <w:rPr>
                <w:color w:val="000000" w:themeColor="text1"/>
              </w:rPr>
              <w:t>3267.</w:t>
            </w:r>
          </w:p>
        </w:tc>
        <w:tc>
          <w:tcPr>
            <w:tcW w:w="4818" w:type="dxa"/>
          </w:tcPr>
          <w:p w14:paraId="7725DA32" w14:textId="77777777" w:rsidR="00630147" w:rsidRPr="00286216" w:rsidRDefault="00630147" w:rsidP="00630147">
            <w:pPr>
              <w:pStyle w:val="StyleZakonu"/>
              <w:rPr>
                <w:color w:val="000000" w:themeColor="text1"/>
              </w:rPr>
            </w:pPr>
            <w:r w:rsidRPr="00286216">
              <w:rPr>
                <w:color w:val="000000" w:themeColor="text1"/>
              </w:rPr>
              <w:t>"6) деривативний контракт.";</w:t>
            </w:r>
          </w:p>
        </w:tc>
        <w:tc>
          <w:tcPr>
            <w:tcW w:w="3686" w:type="dxa"/>
          </w:tcPr>
          <w:p w14:paraId="02309CE4" w14:textId="77777777" w:rsidR="00630147" w:rsidRPr="00286216" w:rsidRDefault="00630147" w:rsidP="00630147">
            <w:pPr>
              <w:pStyle w:val="StyleProp"/>
              <w:rPr>
                <w:color w:val="000000" w:themeColor="text1"/>
                <w:szCs w:val="18"/>
              </w:rPr>
            </w:pPr>
          </w:p>
        </w:tc>
        <w:tc>
          <w:tcPr>
            <w:tcW w:w="1987" w:type="dxa"/>
          </w:tcPr>
          <w:p w14:paraId="1DFF7986" w14:textId="77777777" w:rsidR="00630147" w:rsidRPr="00286216" w:rsidRDefault="00630147" w:rsidP="00630147">
            <w:pPr>
              <w:pStyle w:val="StyleWisnow"/>
              <w:rPr>
                <w:color w:val="000000" w:themeColor="text1"/>
              </w:rPr>
            </w:pPr>
          </w:p>
        </w:tc>
        <w:tc>
          <w:tcPr>
            <w:tcW w:w="4818" w:type="dxa"/>
          </w:tcPr>
          <w:p w14:paraId="6CE5C0FA" w14:textId="186B98B5" w:rsidR="00630147" w:rsidRPr="00286216" w:rsidRDefault="00630147" w:rsidP="00630147">
            <w:pPr>
              <w:pStyle w:val="StyleZakonu"/>
              <w:rPr>
                <w:color w:val="000000" w:themeColor="text1"/>
              </w:rPr>
            </w:pPr>
            <w:r w:rsidRPr="00286216">
              <w:rPr>
                <w:color w:val="000000" w:themeColor="text1"/>
              </w:rPr>
              <w:t>"6) деривативний контракт";</w:t>
            </w:r>
          </w:p>
        </w:tc>
      </w:tr>
      <w:bookmarkEnd w:id="3137"/>
      <w:tr w:rsidR="00630147" w:rsidRPr="00286216" w14:paraId="705B79D8" w14:textId="77777777" w:rsidTr="00091AA5">
        <w:tc>
          <w:tcPr>
            <w:tcW w:w="576" w:type="dxa"/>
          </w:tcPr>
          <w:p w14:paraId="572E2A00" w14:textId="77777777" w:rsidR="00630147" w:rsidRPr="00286216" w:rsidRDefault="00630147" w:rsidP="00630147">
            <w:pPr>
              <w:pStyle w:val="StyleWisnow"/>
              <w:rPr>
                <w:color w:val="000000" w:themeColor="text1"/>
              </w:rPr>
            </w:pPr>
          </w:p>
        </w:tc>
        <w:tc>
          <w:tcPr>
            <w:tcW w:w="4818" w:type="dxa"/>
          </w:tcPr>
          <w:p w14:paraId="210E2429" w14:textId="77777777" w:rsidR="00630147" w:rsidRPr="00286216" w:rsidRDefault="00630147" w:rsidP="00630147">
            <w:pPr>
              <w:pStyle w:val="StyleZakonu"/>
              <w:rPr>
                <w:color w:val="000000" w:themeColor="text1"/>
              </w:rPr>
            </w:pPr>
          </w:p>
        </w:tc>
        <w:tc>
          <w:tcPr>
            <w:tcW w:w="3686" w:type="dxa"/>
          </w:tcPr>
          <w:p w14:paraId="368DEA6C" w14:textId="40D4A9E4"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1408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D670D8B" w14:textId="1CD9E260" w:rsidR="00630147" w:rsidRPr="00286216" w:rsidRDefault="00630147" w:rsidP="00630147">
            <w:pPr>
              <w:pStyle w:val="StyleProp"/>
              <w:spacing w:line="180" w:lineRule="exact"/>
              <w:rPr>
                <w:color w:val="000000" w:themeColor="text1"/>
                <w:szCs w:val="18"/>
              </w:rPr>
            </w:pPr>
            <w:r w:rsidRPr="00286216">
              <w:rPr>
                <w:color w:val="000000" w:themeColor="text1"/>
                <w:szCs w:val="18"/>
              </w:rPr>
              <w:t>У підпункті 3 пункту 31 розділу 3:</w:t>
            </w:r>
          </w:p>
          <w:p w14:paraId="757F854E"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доповнити підпункт «б» новими абзацами такого змісту:</w:t>
            </w:r>
          </w:p>
          <w:p w14:paraId="3829EC42"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«доповнити частину новим абзацом такого змісту:</w:t>
            </w:r>
          </w:p>
          <w:p w14:paraId="3B59819C"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«Будь-яка інформація, передбачена цією частиною, що розмішена у вільному доступі, є рекламою фінансових інструментів та ринків капіталу».</w:t>
            </w:r>
          </w:p>
        </w:tc>
        <w:tc>
          <w:tcPr>
            <w:tcW w:w="1987" w:type="dxa"/>
          </w:tcPr>
          <w:p w14:paraId="73CE0B25" w14:textId="77777777" w:rsidR="00630147" w:rsidRPr="00286216" w:rsidRDefault="00630147" w:rsidP="00630147">
            <w:pPr>
              <w:pStyle w:val="StyleWisnow"/>
              <w:rPr>
                <w:color w:val="000000" w:themeColor="text1"/>
              </w:rPr>
            </w:pPr>
            <w:r w:rsidRPr="00286216">
              <w:rPr>
                <w:color w:val="000000" w:themeColor="text1"/>
              </w:rPr>
              <w:t>Враховано по суті</w:t>
            </w:r>
          </w:p>
        </w:tc>
        <w:tc>
          <w:tcPr>
            <w:tcW w:w="4818" w:type="dxa"/>
          </w:tcPr>
          <w:p w14:paraId="428E839A" w14:textId="77777777" w:rsidR="00630147" w:rsidRPr="00286216" w:rsidRDefault="00630147" w:rsidP="00630147">
            <w:pPr>
              <w:pStyle w:val="StyleZakonu"/>
              <w:rPr>
                <w:color w:val="000000" w:themeColor="text1"/>
              </w:rPr>
            </w:pPr>
          </w:p>
        </w:tc>
      </w:tr>
      <w:tr w:rsidR="00630147" w:rsidRPr="00286216" w14:paraId="2C0D2455" w14:textId="77777777" w:rsidTr="00091AA5">
        <w:tc>
          <w:tcPr>
            <w:tcW w:w="576" w:type="dxa"/>
          </w:tcPr>
          <w:p w14:paraId="005E3794" w14:textId="77777777" w:rsidR="00630147" w:rsidRPr="00286216" w:rsidRDefault="00630147" w:rsidP="00630147">
            <w:pPr>
              <w:pStyle w:val="StyleWisnow"/>
              <w:rPr>
                <w:color w:val="000000" w:themeColor="text1"/>
              </w:rPr>
            </w:pPr>
            <w:bookmarkStart w:id="3138" w:name="n3268" w:colFirst="0" w:colLast="0"/>
            <w:r w:rsidRPr="00286216">
              <w:rPr>
                <w:color w:val="000000" w:themeColor="text1"/>
              </w:rPr>
              <w:t>3268.</w:t>
            </w:r>
          </w:p>
        </w:tc>
        <w:tc>
          <w:tcPr>
            <w:tcW w:w="4818" w:type="dxa"/>
          </w:tcPr>
          <w:p w14:paraId="3986CFA7" w14:textId="77777777" w:rsidR="00630147" w:rsidRPr="00286216" w:rsidRDefault="00630147" w:rsidP="00630147">
            <w:pPr>
              <w:pStyle w:val="StyleZakonu"/>
              <w:rPr>
                <w:color w:val="000000" w:themeColor="text1"/>
              </w:rPr>
            </w:pPr>
            <w:r w:rsidRPr="00286216">
              <w:rPr>
                <w:color w:val="000000" w:themeColor="text1"/>
              </w:rPr>
              <w:t>в) у частині другій:</w:t>
            </w:r>
          </w:p>
        </w:tc>
        <w:tc>
          <w:tcPr>
            <w:tcW w:w="3686" w:type="dxa"/>
          </w:tcPr>
          <w:p w14:paraId="03D91DED" w14:textId="77777777" w:rsidR="00630147" w:rsidRPr="00286216" w:rsidRDefault="00630147" w:rsidP="00630147">
            <w:pPr>
              <w:pStyle w:val="StyleProp"/>
              <w:rPr>
                <w:color w:val="000000" w:themeColor="text1"/>
                <w:szCs w:val="18"/>
              </w:rPr>
            </w:pPr>
          </w:p>
        </w:tc>
        <w:tc>
          <w:tcPr>
            <w:tcW w:w="1987" w:type="dxa"/>
          </w:tcPr>
          <w:p w14:paraId="3B5DD04F" w14:textId="77777777" w:rsidR="00630147" w:rsidRPr="00286216" w:rsidRDefault="00630147" w:rsidP="00630147">
            <w:pPr>
              <w:pStyle w:val="StyleWisnow"/>
              <w:rPr>
                <w:color w:val="000000" w:themeColor="text1"/>
              </w:rPr>
            </w:pPr>
          </w:p>
        </w:tc>
        <w:tc>
          <w:tcPr>
            <w:tcW w:w="4818" w:type="dxa"/>
          </w:tcPr>
          <w:p w14:paraId="190D3DEB" w14:textId="6610226A" w:rsidR="00630147" w:rsidRPr="00286216" w:rsidRDefault="00630147" w:rsidP="00630147">
            <w:pPr>
              <w:pStyle w:val="StyleZakonu"/>
              <w:rPr>
                <w:color w:val="000000" w:themeColor="text1"/>
              </w:rPr>
            </w:pPr>
            <w:r w:rsidRPr="00286216">
              <w:rPr>
                <w:color w:val="000000" w:themeColor="text1"/>
              </w:rPr>
              <w:t>в) у частині другій:</w:t>
            </w:r>
          </w:p>
        </w:tc>
      </w:tr>
      <w:tr w:rsidR="00630147" w:rsidRPr="00286216" w14:paraId="53409639" w14:textId="77777777" w:rsidTr="00091AA5">
        <w:tc>
          <w:tcPr>
            <w:tcW w:w="576" w:type="dxa"/>
          </w:tcPr>
          <w:p w14:paraId="0F37A10E" w14:textId="77777777" w:rsidR="00630147" w:rsidRPr="00286216" w:rsidRDefault="00630147" w:rsidP="00630147">
            <w:pPr>
              <w:pStyle w:val="StyleWisnow"/>
              <w:rPr>
                <w:color w:val="000000" w:themeColor="text1"/>
              </w:rPr>
            </w:pPr>
            <w:bookmarkStart w:id="3139" w:name="n3269" w:colFirst="0" w:colLast="0"/>
            <w:bookmarkEnd w:id="3138"/>
            <w:r w:rsidRPr="00286216">
              <w:rPr>
                <w:color w:val="000000" w:themeColor="text1"/>
              </w:rPr>
              <w:t>3269.</w:t>
            </w:r>
          </w:p>
        </w:tc>
        <w:tc>
          <w:tcPr>
            <w:tcW w:w="4818" w:type="dxa"/>
          </w:tcPr>
          <w:p w14:paraId="642A5732" w14:textId="77777777" w:rsidR="00630147" w:rsidRPr="00286216" w:rsidRDefault="00630147" w:rsidP="00630147">
            <w:pPr>
              <w:pStyle w:val="StyleZakonu"/>
              <w:rPr>
                <w:color w:val="000000" w:themeColor="text1"/>
              </w:rPr>
            </w:pPr>
            <w:r w:rsidRPr="00286216">
              <w:rPr>
                <w:color w:val="000000" w:themeColor="text1"/>
              </w:rPr>
              <w:t>у абзаці першому слова "цінних паперів та фондового ринку" замінити словами "фінансових інструментів та ринків капіталу та організованих товарних ринків";</w:t>
            </w:r>
          </w:p>
        </w:tc>
        <w:tc>
          <w:tcPr>
            <w:tcW w:w="3686" w:type="dxa"/>
          </w:tcPr>
          <w:p w14:paraId="47601372" w14:textId="762BA44C"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1409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E6A3052" w14:textId="5167F747" w:rsidR="00630147" w:rsidRPr="00286216" w:rsidRDefault="00630147" w:rsidP="00630147">
            <w:pPr>
              <w:pStyle w:val="StyleProp"/>
              <w:spacing w:line="190" w:lineRule="exact"/>
              <w:rPr>
                <w:color w:val="000000" w:themeColor="text1"/>
                <w:szCs w:val="18"/>
              </w:rPr>
            </w:pPr>
            <w:r w:rsidRPr="00286216">
              <w:rPr>
                <w:color w:val="000000" w:themeColor="text1"/>
                <w:szCs w:val="18"/>
              </w:rPr>
              <w:t>У підпункті 3 пункту 31 розділу 3 у підпункті «в» слова «та організованих товарних ринків» виключити.</w:t>
            </w:r>
          </w:p>
        </w:tc>
        <w:tc>
          <w:tcPr>
            <w:tcW w:w="1987" w:type="dxa"/>
          </w:tcPr>
          <w:p w14:paraId="1ACC6A6C" w14:textId="77777777" w:rsidR="00630147" w:rsidRPr="00286216" w:rsidRDefault="00630147" w:rsidP="00630147">
            <w:pPr>
              <w:pStyle w:val="StyleWisnow"/>
              <w:rPr>
                <w:color w:val="000000" w:themeColor="text1"/>
              </w:rPr>
            </w:pPr>
            <w:r w:rsidRPr="00286216">
              <w:rPr>
                <w:color w:val="000000" w:themeColor="text1"/>
              </w:rPr>
              <w:t>Відхилено</w:t>
            </w:r>
          </w:p>
          <w:p w14:paraId="2F1B604A" w14:textId="08ADFCCC" w:rsidR="00630147" w:rsidRPr="00286216" w:rsidRDefault="00630147" w:rsidP="00630147">
            <w:pPr>
              <w:pStyle w:val="StyleWisnow"/>
              <w:spacing w:line="180" w:lineRule="exact"/>
              <w:rPr>
                <w:color w:val="000000" w:themeColor="text1"/>
              </w:rPr>
            </w:pPr>
            <w:r w:rsidRPr="00286216">
              <w:rPr>
                <w:color w:val="000000" w:themeColor="text1"/>
              </w:rPr>
              <w:t>з метою збереження єдності нормативного викладу</w:t>
            </w:r>
          </w:p>
        </w:tc>
        <w:tc>
          <w:tcPr>
            <w:tcW w:w="4818" w:type="dxa"/>
          </w:tcPr>
          <w:p w14:paraId="4849D36B" w14:textId="23BE146B" w:rsidR="00630147" w:rsidRPr="00286216" w:rsidRDefault="00630147" w:rsidP="00630147">
            <w:pPr>
              <w:pStyle w:val="StyleZakonu"/>
              <w:rPr>
                <w:color w:val="000000" w:themeColor="text1"/>
              </w:rPr>
            </w:pPr>
            <w:r w:rsidRPr="00286216">
              <w:rPr>
                <w:color w:val="000000" w:themeColor="text1"/>
              </w:rPr>
              <w:t>в абзаці першому слова "цінних паперів та фондового ринку" замінити словами "фінансових інструментів та ринків капіталу та організованих товарних ринків";</w:t>
            </w:r>
          </w:p>
        </w:tc>
      </w:tr>
      <w:tr w:rsidR="00630147" w:rsidRPr="00286216" w14:paraId="441A05F0" w14:textId="77777777" w:rsidTr="00091AA5">
        <w:tc>
          <w:tcPr>
            <w:tcW w:w="576" w:type="dxa"/>
          </w:tcPr>
          <w:p w14:paraId="6FCFE730" w14:textId="77777777" w:rsidR="00630147" w:rsidRPr="00286216" w:rsidRDefault="00630147" w:rsidP="00630147">
            <w:pPr>
              <w:pStyle w:val="StyleWisnow"/>
              <w:rPr>
                <w:color w:val="000000" w:themeColor="text1"/>
              </w:rPr>
            </w:pPr>
            <w:bookmarkStart w:id="3140" w:name="n3270" w:colFirst="0" w:colLast="0"/>
            <w:bookmarkEnd w:id="3139"/>
            <w:r w:rsidRPr="00286216">
              <w:rPr>
                <w:color w:val="000000" w:themeColor="text1"/>
              </w:rPr>
              <w:t>3270.</w:t>
            </w:r>
          </w:p>
        </w:tc>
        <w:tc>
          <w:tcPr>
            <w:tcW w:w="4818" w:type="dxa"/>
          </w:tcPr>
          <w:p w14:paraId="15E51E84" w14:textId="77777777" w:rsidR="00630147" w:rsidRPr="00286216" w:rsidRDefault="00630147" w:rsidP="00630147">
            <w:pPr>
              <w:pStyle w:val="StyleZakonu"/>
              <w:rPr>
                <w:color w:val="000000" w:themeColor="text1"/>
              </w:rPr>
            </w:pPr>
            <w:r w:rsidRPr="00286216">
              <w:rPr>
                <w:color w:val="000000" w:themeColor="text1"/>
              </w:rPr>
              <w:t>у пункті другому та четвертому слова "фондового ринку" замінити словами "ринків капіталу";</w:t>
            </w:r>
          </w:p>
        </w:tc>
        <w:tc>
          <w:tcPr>
            <w:tcW w:w="3686" w:type="dxa"/>
          </w:tcPr>
          <w:p w14:paraId="11D06E05" w14:textId="6BECB0EF"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1410</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FA6BFDF" w14:textId="1BC8BBF6" w:rsidR="00630147" w:rsidRPr="00286216" w:rsidRDefault="00630147" w:rsidP="008C392C">
            <w:pPr>
              <w:pStyle w:val="StyleProp"/>
              <w:spacing w:line="180" w:lineRule="exact"/>
              <w:rPr>
                <w:color w:val="000000" w:themeColor="text1"/>
              </w:rPr>
            </w:pPr>
            <w:r w:rsidRPr="00286216">
              <w:rPr>
                <w:color w:val="000000" w:themeColor="text1"/>
              </w:rPr>
              <w:t>у пункті другому слова "фондового ринку" замінити словами "ринків капіталу та організованих товарних ринків";</w:t>
            </w:r>
          </w:p>
        </w:tc>
        <w:tc>
          <w:tcPr>
            <w:tcW w:w="1987" w:type="dxa"/>
          </w:tcPr>
          <w:p w14:paraId="1B1BB4D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0CB2D820" w14:textId="3B62B667" w:rsidR="00630147" w:rsidRPr="00286216" w:rsidRDefault="00630147" w:rsidP="008C392C">
            <w:pPr>
              <w:pStyle w:val="StyleZakonu"/>
              <w:rPr>
                <w:color w:val="000000" w:themeColor="text1"/>
              </w:rPr>
            </w:pPr>
            <w:r w:rsidRPr="00286216">
              <w:rPr>
                <w:color w:val="000000" w:themeColor="text1"/>
              </w:rPr>
              <w:t>у пункті 2 слова "фондового ринку" замінити словами "ринків капіталу та організованих товарних ринків";</w:t>
            </w:r>
          </w:p>
        </w:tc>
      </w:tr>
      <w:tr w:rsidR="00630147" w:rsidRPr="00286216" w14:paraId="35AFE85E" w14:textId="77777777" w:rsidTr="00091AA5">
        <w:tc>
          <w:tcPr>
            <w:tcW w:w="576" w:type="dxa"/>
          </w:tcPr>
          <w:p w14:paraId="35629883" w14:textId="77777777" w:rsidR="00630147" w:rsidRPr="00286216" w:rsidRDefault="00630147" w:rsidP="00630147">
            <w:pPr>
              <w:pStyle w:val="StyleWisnow"/>
              <w:rPr>
                <w:color w:val="000000" w:themeColor="text1"/>
              </w:rPr>
            </w:pPr>
            <w:bookmarkStart w:id="3141" w:name="n3271" w:colFirst="0" w:colLast="0"/>
            <w:bookmarkEnd w:id="3140"/>
            <w:r w:rsidRPr="00286216">
              <w:rPr>
                <w:color w:val="000000" w:themeColor="text1"/>
              </w:rPr>
              <w:t>3271.</w:t>
            </w:r>
          </w:p>
        </w:tc>
        <w:tc>
          <w:tcPr>
            <w:tcW w:w="4818" w:type="dxa"/>
          </w:tcPr>
          <w:p w14:paraId="2281A8A4" w14:textId="77777777" w:rsidR="00630147" w:rsidRPr="00286216" w:rsidRDefault="00630147" w:rsidP="00630147">
            <w:pPr>
              <w:pStyle w:val="StyleZakonu"/>
              <w:rPr>
                <w:color w:val="000000" w:themeColor="text1"/>
              </w:rPr>
            </w:pPr>
            <w:r w:rsidRPr="00286216">
              <w:rPr>
                <w:color w:val="000000" w:themeColor="text1"/>
              </w:rPr>
              <w:t>пункт третій виключити;</w:t>
            </w:r>
          </w:p>
        </w:tc>
        <w:tc>
          <w:tcPr>
            <w:tcW w:w="3686" w:type="dxa"/>
          </w:tcPr>
          <w:p w14:paraId="632F6741" w14:textId="7F6BC0DA" w:rsidR="00630147" w:rsidRPr="00286216" w:rsidRDefault="008C392C" w:rsidP="00630147">
            <w:pPr>
              <w:pStyle w:val="StyleProp"/>
              <w:rPr>
                <w:color w:val="000000" w:themeColor="text1"/>
                <w:szCs w:val="18"/>
              </w:rPr>
            </w:pPr>
            <w:r w:rsidRPr="00286216">
              <w:rPr>
                <w:color w:val="000000" w:themeColor="text1"/>
              </w:rPr>
              <w:t>у пункті четвертому слова "фондового ринку" замінити словами "ринків капіталу";</w:t>
            </w:r>
          </w:p>
        </w:tc>
        <w:tc>
          <w:tcPr>
            <w:tcW w:w="1987" w:type="dxa"/>
          </w:tcPr>
          <w:p w14:paraId="2C9913FD" w14:textId="77777777" w:rsidR="00630147" w:rsidRPr="00286216" w:rsidRDefault="00630147" w:rsidP="00630147">
            <w:pPr>
              <w:pStyle w:val="StyleWisnow"/>
              <w:rPr>
                <w:color w:val="000000" w:themeColor="text1"/>
              </w:rPr>
            </w:pPr>
          </w:p>
        </w:tc>
        <w:tc>
          <w:tcPr>
            <w:tcW w:w="4818" w:type="dxa"/>
          </w:tcPr>
          <w:p w14:paraId="30E95222" w14:textId="77777777" w:rsidR="008C392C" w:rsidRPr="00286216" w:rsidRDefault="008C392C" w:rsidP="008C392C">
            <w:pPr>
              <w:pStyle w:val="StyleZakonu"/>
              <w:rPr>
                <w:color w:val="000000" w:themeColor="text1"/>
              </w:rPr>
            </w:pPr>
            <w:r w:rsidRPr="00286216">
              <w:rPr>
                <w:color w:val="000000" w:themeColor="text1"/>
              </w:rPr>
              <w:t>пункт 3 виключити;</w:t>
            </w:r>
          </w:p>
          <w:p w14:paraId="07A08F8E" w14:textId="0200A7AA" w:rsidR="00630147" w:rsidRPr="00286216" w:rsidRDefault="008C392C" w:rsidP="008C392C">
            <w:pPr>
              <w:pStyle w:val="StyleZakonu"/>
              <w:rPr>
                <w:color w:val="000000" w:themeColor="text1"/>
              </w:rPr>
            </w:pPr>
            <w:r w:rsidRPr="00286216">
              <w:rPr>
                <w:color w:val="000000" w:themeColor="text1"/>
              </w:rPr>
              <w:t>у пункті 4 слова "фондового ринку" замінити словами "ринків капіталу";</w:t>
            </w:r>
          </w:p>
        </w:tc>
      </w:tr>
      <w:tr w:rsidR="00630147" w:rsidRPr="00286216" w14:paraId="3F953C12" w14:textId="77777777" w:rsidTr="00091AA5">
        <w:tc>
          <w:tcPr>
            <w:tcW w:w="576" w:type="dxa"/>
          </w:tcPr>
          <w:p w14:paraId="38723750" w14:textId="77777777" w:rsidR="00630147" w:rsidRPr="00286216" w:rsidRDefault="00630147" w:rsidP="00630147">
            <w:pPr>
              <w:pStyle w:val="StyleWisnow"/>
              <w:rPr>
                <w:color w:val="000000" w:themeColor="text1"/>
              </w:rPr>
            </w:pPr>
            <w:bookmarkStart w:id="3142" w:name="n3272" w:colFirst="0" w:colLast="0"/>
            <w:bookmarkEnd w:id="3141"/>
            <w:r w:rsidRPr="00286216">
              <w:rPr>
                <w:color w:val="000000" w:themeColor="text1"/>
              </w:rPr>
              <w:t>3272.</w:t>
            </w:r>
          </w:p>
        </w:tc>
        <w:tc>
          <w:tcPr>
            <w:tcW w:w="4818" w:type="dxa"/>
          </w:tcPr>
          <w:p w14:paraId="10C0D7C0" w14:textId="77777777" w:rsidR="00630147" w:rsidRPr="00286216" w:rsidRDefault="00630147" w:rsidP="00630147">
            <w:pPr>
              <w:pStyle w:val="StyleZakonu"/>
              <w:rPr>
                <w:color w:val="000000" w:themeColor="text1"/>
              </w:rPr>
            </w:pPr>
            <w:r w:rsidRPr="00286216">
              <w:rPr>
                <w:color w:val="000000" w:themeColor="text1"/>
              </w:rPr>
              <w:t>пункт п’ятий викласти в такій редакції:</w:t>
            </w:r>
          </w:p>
        </w:tc>
        <w:tc>
          <w:tcPr>
            <w:tcW w:w="3686" w:type="dxa"/>
          </w:tcPr>
          <w:p w14:paraId="51219280" w14:textId="77777777" w:rsidR="00630147" w:rsidRPr="00286216" w:rsidRDefault="00630147" w:rsidP="00630147">
            <w:pPr>
              <w:pStyle w:val="StyleProp"/>
              <w:rPr>
                <w:color w:val="000000" w:themeColor="text1"/>
                <w:szCs w:val="18"/>
              </w:rPr>
            </w:pPr>
          </w:p>
        </w:tc>
        <w:tc>
          <w:tcPr>
            <w:tcW w:w="1987" w:type="dxa"/>
          </w:tcPr>
          <w:p w14:paraId="0FFE29B8" w14:textId="77777777" w:rsidR="00630147" w:rsidRPr="00286216" w:rsidRDefault="00630147" w:rsidP="00630147">
            <w:pPr>
              <w:pStyle w:val="StyleWisnow"/>
              <w:rPr>
                <w:color w:val="000000" w:themeColor="text1"/>
              </w:rPr>
            </w:pPr>
          </w:p>
        </w:tc>
        <w:tc>
          <w:tcPr>
            <w:tcW w:w="4818" w:type="dxa"/>
          </w:tcPr>
          <w:p w14:paraId="24933CEE" w14:textId="4D63FEE7" w:rsidR="00630147" w:rsidRPr="00286216" w:rsidRDefault="00630147" w:rsidP="00630147">
            <w:pPr>
              <w:pStyle w:val="StyleZakonu"/>
              <w:rPr>
                <w:color w:val="000000" w:themeColor="text1"/>
              </w:rPr>
            </w:pPr>
            <w:r w:rsidRPr="00286216">
              <w:rPr>
                <w:color w:val="000000" w:themeColor="text1"/>
              </w:rPr>
              <w:t>пункт 5 викласти в такій редакції:</w:t>
            </w:r>
          </w:p>
        </w:tc>
      </w:tr>
      <w:tr w:rsidR="00630147" w:rsidRPr="00286216" w14:paraId="76C4C60F" w14:textId="77777777" w:rsidTr="00091AA5">
        <w:tc>
          <w:tcPr>
            <w:tcW w:w="576" w:type="dxa"/>
          </w:tcPr>
          <w:p w14:paraId="5B2E4E90" w14:textId="77777777" w:rsidR="00630147" w:rsidRPr="00286216" w:rsidRDefault="00630147" w:rsidP="00630147">
            <w:pPr>
              <w:pStyle w:val="StyleWisnow"/>
              <w:rPr>
                <w:color w:val="000000" w:themeColor="text1"/>
              </w:rPr>
            </w:pPr>
            <w:bookmarkStart w:id="3143" w:name="n3273" w:colFirst="0" w:colLast="0"/>
            <w:bookmarkEnd w:id="3142"/>
            <w:r w:rsidRPr="00286216">
              <w:rPr>
                <w:color w:val="000000" w:themeColor="text1"/>
              </w:rPr>
              <w:t>3273.</w:t>
            </w:r>
          </w:p>
        </w:tc>
        <w:tc>
          <w:tcPr>
            <w:tcW w:w="4818" w:type="dxa"/>
          </w:tcPr>
          <w:p w14:paraId="1A88C3DB" w14:textId="77777777" w:rsidR="00630147" w:rsidRPr="00286216" w:rsidRDefault="00630147" w:rsidP="00630147">
            <w:pPr>
              <w:pStyle w:val="StyleZakonu"/>
              <w:rPr>
                <w:color w:val="000000" w:themeColor="text1"/>
              </w:rPr>
            </w:pPr>
            <w:r w:rsidRPr="00286216">
              <w:rPr>
                <w:color w:val="000000" w:themeColor="text1"/>
              </w:rPr>
              <w:t>"5) інформація щодо фінансових інструментів, допущених до торгів на організованому ринку капіталу, яка оприлюднюється оператором такого ринку.";</w:t>
            </w:r>
          </w:p>
        </w:tc>
        <w:tc>
          <w:tcPr>
            <w:tcW w:w="3686" w:type="dxa"/>
          </w:tcPr>
          <w:p w14:paraId="0BCE5E5C" w14:textId="77777777" w:rsidR="00630147" w:rsidRPr="00286216" w:rsidRDefault="00630147" w:rsidP="00630147">
            <w:pPr>
              <w:pStyle w:val="StyleProp"/>
              <w:rPr>
                <w:color w:val="000000" w:themeColor="text1"/>
                <w:szCs w:val="18"/>
              </w:rPr>
            </w:pPr>
          </w:p>
        </w:tc>
        <w:tc>
          <w:tcPr>
            <w:tcW w:w="1987" w:type="dxa"/>
          </w:tcPr>
          <w:p w14:paraId="0706B2F0" w14:textId="77777777" w:rsidR="00630147" w:rsidRPr="00286216" w:rsidRDefault="00630147" w:rsidP="00630147">
            <w:pPr>
              <w:pStyle w:val="StyleWisnow"/>
              <w:rPr>
                <w:color w:val="000000" w:themeColor="text1"/>
              </w:rPr>
            </w:pPr>
          </w:p>
        </w:tc>
        <w:tc>
          <w:tcPr>
            <w:tcW w:w="4818" w:type="dxa"/>
          </w:tcPr>
          <w:p w14:paraId="270B478D" w14:textId="1036B6CB" w:rsidR="00630147" w:rsidRPr="00286216" w:rsidRDefault="00630147" w:rsidP="00630147">
            <w:pPr>
              <w:pStyle w:val="StyleZakonu"/>
              <w:rPr>
                <w:color w:val="000000" w:themeColor="text1"/>
              </w:rPr>
            </w:pPr>
            <w:r w:rsidRPr="00286216">
              <w:rPr>
                <w:color w:val="000000" w:themeColor="text1"/>
              </w:rPr>
              <w:t>"5) інформація щодо фінансових інструментів, допущених до торгів на організованому ринку капіталу, яка оприлюднюється оператором такого ринку.";</w:t>
            </w:r>
          </w:p>
        </w:tc>
      </w:tr>
      <w:tr w:rsidR="00630147" w:rsidRPr="00286216" w14:paraId="4B1BC8A4" w14:textId="77777777" w:rsidTr="00091AA5">
        <w:tc>
          <w:tcPr>
            <w:tcW w:w="576" w:type="dxa"/>
          </w:tcPr>
          <w:p w14:paraId="75EF257B" w14:textId="77777777" w:rsidR="00630147" w:rsidRPr="00286216" w:rsidRDefault="00630147" w:rsidP="00630147">
            <w:pPr>
              <w:pStyle w:val="StyleWisnow"/>
              <w:rPr>
                <w:color w:val="000000" w:themeColor="text1"/>
              </w:rPr>
            </w:pPr>
            <w:bookmarkStart w:id="3144" w:name="n3274" w:colFirst="0" w:colLast="0"/>
            <w:bookmarkEnd w:id="3143"/>
            <w:r w:rsidRPr="00286216">
              <w:rPr>
                <w:color w:val="000000" w:themeColor="text1"/>
              </w:rPr>
              <w:t>3274.</w:t>
            </w:r>
          </w:p>
        </w:tc>
        <w:tc>
          <w:tcPr>
            <w:tcW w:w="4818" w:type="dxa"/>
          </w:tcPr>
          <w:p w14:paraId="727DDF95" w14:textId="77777777" w:rsidR="00630147" w:rsidRPr="00286216" w:rsidRDefault="00630147" w:rsidP="00630147">
            <w:pPr>
              <w:pStyle w:val="StyleZakonu"/>
              <w:rPr>
                <w:color w:val="000000" w:themeColor="text1"/>
              </w:rPr>
            </w:pPr>
            <w:r w:rsidRPr="00286216">
              <w:rPr>
                <w:color w:val="000000" w:themeColor="text1"/>
              </w:rPr>
              <w:t>г) у частині третій:</w:t>
            </w:r>
          </w:p>
        </w:tc>
        <w:tc>
          <w:tcPr>
            <w:tcW w:w="3686" w:type="dxa"/>
          </w:tcPr>
          <w:p w14:paraId="61F759BA" w14:textId="77777777" w:rsidR="00630147" w:rsidRPr="00286216" w:rsidRDefault="00630147" w:rsidP="00630147">
            <w:pPr>
              <w:pStyle w:val="StyleProp"/>
              <w:rPr>
                <w:color w:val="000000" w:themeColor="text1"/>
              </w:rPr>
            </w:pPr>
          </w:p>
        </w:tc>
        <w:tc>
          <w:tcPr>
            <w:tcW w:w="1987" w:type="dxa"/>
          </w:tcPr>
          <w:p w14:paraId="693A257C" w14:textId="77777777" w:rsidR="00630147" w:rsidRPr="00286216" w:rsidRDefault="00630147" w:rsidP="00630147">
            <w:pPr>
              <w:pStyle w:val="StyleWisnow"/>
              <w:rPr>
                <w:color w:val="000000" w:themeColor="text1"/>
              </w:rPr>
            </w:pPr>
          </w:p>
        </w:tc>
        <w:tc>
          <w:tcPr>
            <w:tcW w:w="4818" w:type="dxa"/>
          </w:tcPr>
          <w:p w14:paraId="76BCFBFB" w14:textId="49114C5D" w:rsidR="00630147" w:rsidRPr="00286216" w:rsidRDefault="00630147" w:rsidP="00630147">
            <w:pPr>
              <w:pStyle w:val="StyleZakonu"/>
              <w:rPr>
                <w:color w:val="000000" w:themeColor="text1"/>
              </w:rPr>
            </w:pPr>
            <w:r w:rsidRPr="00286216">
              <w:rPr>
                <w:color w:val="000000" w:themeColor="text1"/>
              </w:rPr>
              <w:t>г) у частині третій:</w:t>
            </w:r>
          </w:p>
        </w:tc>
      </w:tr>
      <w:tr w:rsidR="00630147" w:rsidRPr="00286216" w14:paraId="10FBDF32" w14:textId="77777777" w:rsidTr="00091AA5">
        <w:tc>
          <w:tcPr>
            <w:tcW w:w="576" w:type="dxa"/>
          </w:tcPr>
          <w:p w14:paraId="03ED0A2F" w14:textId="77777777" w:rsidR="00630147" w:rsidRPr="00286216" w:rsidRDefault="00630147" w:rsidP="00630147">
            <w:pPr>
              <w:pStyle w:val="StyleWisnow"/>
              <w:rPr>
                <w:color w:val="000000" w:themeColor="text1"/>
              </w:rPr>
            </w:pPr>
            <w:bookmarkStart w:id="3145" w:name="n3275" w:colFirst="0" w:colLast="0"/>
            <w:bookmarkEnd w:id="3144"/>
            <w:r w:rsidRPr="00286216">
              <w:rPr>
                <w:color w:val="000000" w:themeColor="text1"/>
              </w:rPr>
              <w:t>3275.</w:t>
            </w:r>
          </w:p>
        </w:tc>
        <w:tc>
          <w:tcPr>
            <w:tcW w:w="4818" w:type="dxa"/>
          </w:tcPr>
          <w:p w14:paraId="37AC4EF1" w14:textId="77777777" w:rsidR="00630147" w:rsidRPr="00286216" w:rsidRDefault="00630147" w:rsidP="00630147">
            <w:pPr>
              <w:pStyle w:val="StyleZakonu"/>
              <w:rPr>
                <w:color w:val="000000" w:themeColor="text1"/>
              </w:rPr>
            </w:pPr>
            <w:r w:rsidRPr="00286216">
              <w:rPr>
                <w:color w:val="000000" w:themeColor="text1"/>
              </w:rPr>
              <w:t>у пункті третьому та четвертому слова "фондового ринку" замінити словами "ринків капіталу";</w:t>
            </w:r>
          </w:p>
        </w:tc>
        <w:tc>
          <w:tcPr>
            <w:tcW w:w="3686" w:type="dxa"/>
          </w:tcPr>
          <w:p w14:paraId="685D5149" w14:textId="02BED304"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1411</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F044046" w14:textId="77777777" w:rsidR="00630147" w:rsidRPr="00286216" w:rsidRDefault="00630147" w:rsidP="00630147">
            <w:pPr>
              <w:pStyle w:val="StyleProp"/>
              <w:spacing w:line="180" w:lineRule="exact"/>
              <w:rPr>
                <w:color w:val="000000" w:themeColor="text1"/>
              </w:rPr>
            </w:pPr>
            <w:r w:rsidRPr="00286216">
              <w:rPr>
                <w:color w:val="000000" w:themeColor="text1"/>
              </w:rPr>
              <w:t xml:space="preserve">у пункті третьому слова "фондового ринку" замінити словами "ринків капіталу та </w:t>
            </w:r>
            <w:r w:rsidRPr="00286216">
              <w:rPr>
                <w:color w:val="000000" w:themeColor="text1"/>
              </w:rPr>
              <w:lastRenderedPageBreak/>
              <w:t>організованих товарних ринків";</w:t>
            </w:r>
          </w:p>
          <w:p w14:paraId="4122A6B4" w14:textId="77777777" w:rsidR="00630147" w:rsidRPr="00286216" w:rsidRDefault="00630147" w:rsidP="00630147">
            <w:pPr>
              <w:pStyle w:val="StyleProp"/>
              <w:spacing w:line="180" w:lineRule="exact"/>
              <w:rPr>
                <w:color w:val="000000" w:themeColor="text1"/>
              </w:rPr>
            </w:pPr>
            <w:r w:rsidRPr="00286216">
              <w:rPr>
                <w:color w:val="000000" w:themeColor="text1"/>
              </w:rPr>
              <w:t>у пункті четвертому слова "фондового ринку" замінити словами "ринків капіталу";</w:t>
            </w:r>
          </w:p>
        </w:tc>
        <w:tc>
          <w:tcPr>
            <w:tcW w:w="1987" w:type="dxa"/>
          </w:tcPr>
          <w:p w14:paraId="69622918" w14:textId="77777777" w:rsidR="00630147" w:rsidRPr="00286216" w:rsidRDefault="00630147" w:rsidP="00630147">
            <w:pPr>
              <w:pStyle w:val="StyleWisnow"/>
              <w:rPr>
                <w:color w:val="000000" w:themeColor="text1"/>
              </w:rPr>
            </w:pPr>
            <w:r w:rsidRPr="00286216">
              <w:rPr>
                <w:color w:val="000000" w:themeColor="text1"/>
              </w:rPr>
              <w:lastRenderedPageBreak/>
              <w:t>Враховано</w:t>
            </w:r>
          </w:p>
        </w:tc>
        <w:tc>
          <w:tcPr>
            <w:tcW w:w="4818" w:type="dxa"/>
          </w:tcPr>
          <w:p w14:paraId="44300AC4" w14:textId="77777777" w:rsidR="00630147" w:rsidRPr="00286216" w:rsidRDefault="00630147" w:rsidP="00630147">
            <w:pPr>
              <w:pStyle w:val="StyleZakonu"/>
              <w:rPr>
                <w:color w:val="000000" w:themeColor="text1"/>
              </w:rPr>
            </w:pPr>
            <w:r w:rsidRPr="00286216">
              <w:rPr>
                <w:color w:val="000000" w:themeColor="text1"/>
              </w:rPr>
              <w:t xml:space="preserve">у пункті 3 слова "фондового ринку" замінити словами "ринків капіталу та організованих товарних </w:t>
            </w:r>
            <w:r w:rsidRPr="00286216">
              <w:rPr>
                <w:color w:val="000000" w:themeColor="text1"/>
              </w:rPr>
              <w:lastRenderedPageBreak/>
              <w:t>ринків";</w:t>
            </w:r>
          </w:p>
          <w:p w14:paraId="334FA1B8" w14:textId="0219CB50" w:rsidR="00630147" w:rsidRPr="00286216" w:rsidRDefault="00630147" w:rsidP="00630147">
            <w:pPr>
              <w:pStyle w:val="StyleZakonu"/>
              <w:rPr>
                <w:color w:val="000000" w:themeColor="text1"/>
              </w:rPr>
            </w:pPr>
            <w:r w:rsidRPr="00286216">
              <w:rPr>
                <w:color w:val="000000" w:themeColor="text1"/>
              </w:rPr>
              <w:t>у пункті 4 слова "фондового ринку" замінити словами "ринків капіталу";</w:t>
            </w:r>
          </w:p>
        </w:tc>
      </w:tr>
      <w:tr w:rsidR="00630147" w:rsidRPr="00286216" w14:paraId="0EDFD496" w14:textId="77777777" w:rsidTr="00091AA5">
        <w:tc>
          <w:tcPr>
            <w:tcW w:w="576" w:type="dxa"/>
          </w:tcPr>
          <w:p w14:paraId="29AE425A" w14:textId="77777777" w:rsidR="00630147" w:rsidRPr="00286216" w:rsidRDefault="00630147" w:rsidP="00630147">
            <w:pPr>
              <w:pStyle w:val="StyleWisnow"/>
              <w:rPr>
                <w:color w:val="000000" w:themeColor="text1"/>
              </w:rPr>
            </w:pPr>
            <w:bookmarkStart w:id="3146" w:name="n3276" w:colFirst="0" w:colLast="0"/>
            <w:bookmarkEnd w:id="3145"/>
            <w:r w:rsidRPr="00286216">
              <w:rPr>
                <w:color w:val="000000" w:themeColor="text1"/>
              </w:rPr>
              <w:lastRenderedPageBreak/>
              <w:t>3276.</w:t>
            </w:r>
          </w:p>
        </w:tc>
        <w:tc>
          <w:tcPr>
            <w:tcW w:w="4818" w:type="dxa"/>
          </w:tcPr>
          <w:p w14:paraId="1D345196" w14:textId="77777777" w:rsidR="00630147" w:rsidRPr="00286216" w:rsidRDefault="00630147" w:rsidP="00630147">
            <w:pPr>
              <w:pStyle w:val="StyleZakonu"/>
              <w:rPr>
                <w:color w:val="000000" w:themeColor="text1"/>
              </w:rPr>
            </w:pPr>
            <w:r w:rsidRPr="00286216">
              <w:rPr>
                <w:color w:val="000000" w:themeColor="text1"/>
              </w:rPr>
              <w:t>доповнити пунктом 6 такого змісту:</w:t>
            </w:r>
          </w:p>
        </w:tc>
        <w:tc>
          <w:tcPr>
            <w:tcW w:w="3686" w:type="dxa"/>
          </w:tcPr>
          <w:p w14:paraId="7B2AA7A1" w14:textId="77777777" w:rsidR="00630147" w:rsidRPr="00286216" w:rsidRDefault="00630147" w:rsidP="00630147">
            <w:pPr>
              <w:pStyle w:val="StyleProp"/>
              <w:rPr>
                <w:color w:val="000000" w:themeColor="text1"/>
              </w:rPr>
            </w:pPr>
          </w:p>
        </w:tc>
        <w:tc>
          <w:tcPr>
            <w:tcW w:w="1987" w:type="dxa"/>
          </w:tcPr>
          <w:p w14:paraId="2E6DB7E9" w14:textId="77777777" w:rsidR="00630147" w:rsidRPr="00286216" w:rsidRDefault="00630147" w:rsidP="00630147">
            <w:pPr>
              <w:pStyle w:val="StyleWisnow"/>
              <w:rPr>
                <w:color w:val="000000" w:themeColor="text1"/>
              </w:rPr>
            </w:pPr>
          </w:p>
        </w:tc>
        <w:tc>
          <w:tcPr>
            <w:tcW w:w="4818" w:type="dxa"/>
          </w:tcPr>
          <w:p w14:paraId="42353931" w14:textId="414ACA79" w:rsidR="00630147" w:rsidRPr="00286216" w:rsidRDefault="00630147" w:rsidP="00630147">
            <w:pPr>
              <w:pStyle w:val="StyleZakonu"/>
              <w:rPr>
                <w:color w:val="000000" w:themeColor="text1"/>
              </w:rPr>
            </w:pPr>
            <w:r w:rsidRPr="00286216">
              <w:rPr>
                <w:color w:val="000000" w:themeColor="text1"/>
              </w:rPr>
              <w:t>доповнити пунктом 6 такого змісту:</w:t>
            </w:r>
          </w:p>
        </w:tc>
      </w:tr>
      <w:tr w:rsidR="00630147" w:rsidRPr="00286216" w14:paraId="2FC0E90A" w14:textId="77777777" w:rsidTr="00091AA5">
        <w:tc>
          <w:tcPr>
            <w:tcW w:w="576" w:type="dxa"/>
          </w:tcPr>
          <w:p w14:paraId="3BEB326B" w14:textId="77777777" w:rsidR="00630147" w:rsidRPr="00286216" w:rsidRDefault="00630147" w:rsidP="00630147">
            <w:pPr>
              <w:pStyle w:val="StyleWisnow"/>
              <w:rPr>
                <w:color w:val="000000" w:themeColor="text1"/>
              </w:rPr>
            </w:pPr>
            <w:bookmarkStart w:id="3147" w:name="n3277" w:colFirst="0" w:colLast="0"/>
            <w:bookmarkEnd w:id="3146"/>
            <w:r w:rsidRPr="00286216">
              <w:rPr>
                <w:color w:val="000000" w:themeColor="text1"/>
              </w:rPr>
              <w:t>3277.</w:t>
            </w:r>
          </w:p>
        </w:tc>
        <w:tc>
          <w:tcPr>
            <w:tcW w:w="4818" w:type="dxa"/>
          </w:tcPr>
          <w:p w14:paraId="48FA07FD" w14:textId="77777777" w:rsidR="00630147" w:rsidRPr="00286216" w:rsidRDefault="00630147" w:rsidP="00630147">
            <w:pPr>
              <w:pStyle w:val="StyleZakonu"/>
              <w:rPr>
                <w:color w:val="000000" w:themeColor="text1"/>
              </w:rPr>
            </w:pPr>
            <w:r w:rsidRPr="00286216">
              <w:rPr>
                <w:color w:val="000000" w:themeColor="text1"/>
              </w:rPr>
              <w:t>"6) щодо деривативних контрактів та правочинів щодо них - виключно особа, яка пропонує від свого імені укласти деривативний контракт, або сторона деривативного контракту.";</w:t>
            </w:r>
          </w:p>
        </w:tc>
        <w:tc>
          <w:tcPr>
            <w:tcW w:w="3686" w:type="dxa"/>
          </w:tcPr>
          <w:p w14:paraId="3B115BF0" w14:textId="77777777" w:rsidR="00630147" w:rsidRPr="00286216" w:rsidRDefault="00630147" w:rsidP="00630147">
            <w:pPr>
              <w:pStyle w:val="StyleProp"/>
              <w:rPr>
                <w:color w:val="000000" w:themeColor="text1"/>
              </w:rPr>
            </w:pPr>
          </w:p>
        </w:tc>
        <w:tc>
          <w:tcPr>
            <w:tcW w:w="1987" w:type="dxa"/>
          </w:tcPr>
          <w:p w14:paraId="2400D6AA" w14:textId="77777777" w:rsidR="00630147" w:rsidRPr="00286216" w:rsidRDefault="00630147" w:rsidP="00630147">
            <w:pPr>
              <w:pStyle w:val="StyleWisnow"/>
              <w:rPr>
                <w:color w:val="000000" w:themeColor="text1"/>
              </w:rPr>
            </w:pPr>
          </w:p>
        </w:tc>
        <w:tc>
          <w:tcPr>
            <w:tcW w:w="4818" w:type="dxa"/>
          </w:tcPr>
          <w:p w14:paraId="4F37EE61" w14:textId="40F35C7D" w:rsidR="00630147" w:rsidRPr="00286216" w:rsidRDefault="00630147" w:rsidP="00630147">
            <w:pPr>
              <w:pStyle w:val="StyleZakonu"/>
              <w:rPr>
                <w:color w:val="000000" w:themeColor="text1"/>
              </w:rPr>
            </w:pPr>
            <w:r w:rsidRPr="00286216">
              <w:rPr>
                <w:color w:val="000000" w:themeColor="text1"/>
              </w:rPr>
              <w:t>"6) щодо деривативних контрактів та правочинів щодо них – виключно особа, яка пропонує від свого імені укласти деривативний контракт, або сторона деривативного контракту";</w:t>
            </w:r>
          </w:p>
        </w:tc>
      </w:tr>
      <w:tr w:rsidR="00630147" w:rsidRPr="00286216" w14:paraId="25B05C1A" w14:textId="77777777" w:rsidTr="00091AA5">
        <w:tc>
          <w:tcPr>
            <w:tcW w:w="576" w:type="dxa"/>
          </w:tcPr>
          <w:p w14:paraId="16B8EA65" w14:textId="77777777" w:rsidR="00630147" w:rsidRPr="00286216" w:rsidRDefault="00630147" w:rsidP="00630147">
            <w:pPr>
              <w:pStyle w:val="StyleWisnow"/>
              <w:rPr>
                <w:color w:val="000000" w:themeColor="text1"/>
              </w:rPr>
            </w:pPr>
            <w:bookmarkStart w:id="3148" w:name="n3278" w:colFirst="0" w:colLast="0"/>
            <w:bookmarkEnd w:id="3147"/>
            <w:r w:rsidRPr="00286216">
              <w:rPr>
                <w:color w:val="000000" w:themeColor="text1"/>
              </w:rPr>
              <w:t>3278.</w:t>
            </w:r>
          </w:p>
        </w:tc>
        <w:tc>
          <w:tcPr>
            <w:tcW w:w="4818" w:type="dxa"/>
          </w:tcPr>
          <w:p w14:paraId="4F04DC4A" w14:textId="77777777" w:rsidR="00630147" w:rsidRPr="00286216" w:rsidRDefault="00630147" w:rsidP="00630147">
            <w:pPr>
              <w:pStyle w:val="StyleZakonu"/>
              <w:rPr>
                <w:color w:val="000000" w:themeColor="text1"/>
              </w:rPr>
            </w:pPr>
            <w:r w:rsidRPr="00286216">
              <w:rPr>
                <w:color w:val="000000" w:themeColor="text1"/>
              </w:rPr>
              <w:t>ґ) у частині п’ятій:</w:t>
            </w:r>
          </w:p>
        </w:tc>
        <w:tc>
          <w:tcPr>
            <w:tcW w:w="3686" w:type="dxa"/>
          </w:tcPr>
          <w:p w14:paraId="0883D42F" w14:textId="77777777" w:rsidR="00630147" w:rsidRPr="00286216" w:rsidRDefault="00630147" w:rsidP="00630147">
            <w:pPr>
              <w:pStyle w:val="StyleProp"/>
              <w:rPr>
                <w:color w:val="000000" w:themeColor="text1"/>
              </w:rPr>
            </w:pPr>
          </w:p>
        </w:tc>
        <w:tc>
          <w:tcPr>
            <w:tcW w:w="1987" w:type="dxa"/>
          </w:tcPr>
          <w:p w14:paraId="446FC59F" w14:textId="77777777" w:rsidR="00630147" w:rsidRPr="00286216" w:rsidRDefault="00630147" w:rsidP="00630147">
            <w:pPr>
              <w:pStyle w:val="StyleWisnow"/>
              <w:rPr>
                <w:color w:val="000000" w:themeColor="text1"/>
              </w:rPr>
            </w:pPr>
          </w:p>
        </w:tc>
        <w:tc>
          <w:tcPr>
            <w:tcW w:w="4818" w:type="dxa"/>
          </w:tcPr>
          <w:p w14:paraId="0EFD4798" w14:textId="7087EA21" w:rsidR="00630147" w:rsidRPr="00286216" w:rsidRDefault="00630147" w:rsidP="00630147">
            <w:pPr>
              <w:pStyle w:val="StyleZakonu"/>
              <w:rPr>
                <w:color w:val="000000" w:themeColor="text1"/>
              </w:rPr>
            </w:pPr>
            <w:r w:rsidRPr="00286216">
              <w:rPr>
                <w:color w:val="000000" w:themeColor="text1"/>
              </w:rPr>
              <w:t>ґ) у частині п’ятій:</w:t>
            </w:r>
          </w:p>
        </w:tc>
      </w:tr>
      <w:tr w:rsidR="00630147" w:rsidRPr="00286216" w14:paraId="13B18D7B" w14:textId="77777777" w:rsidTr="00091AA5">
        <w:tc>
          <w:tcPr>
            <w:tcW w:w="576" w:type="dxa"/>
          </w:tcPr>
          <w:p w14:paraId="79CA08AA" w14:textId="77777777" w:rsidR="00630147" w:rsidRPr="00286216" w:rsidRDefault="00630147" w:rsidP="00630147">
            <w:pPr>
              <w:pStyle w:val="StyleWisnow"/>
              <w:rPr>
                <w:color w:val="000000" w:themeColor="text1"/>
              </w:rPr>
            </w:pPr>
            <w:bookmarkStart w:id="3149" w:name="n3279" w:colFirst="0" w:colLast="0"/>
            <w:bookmarkEnd w:id="3148"/>
            <w:r w:rsidRPr="00286216">
              <w:rPr>
                <w:color w:val="000000" w:themeColor="text1"/>
              </w:rPr>
              <w:t>3279.</w:t>
            </w:r>
          </w:p>
        </w:tc>
        <w:tc>
          <w:tcPr>
            <w:tcW w:w="4818" w:type="dxa"/>
          </w:tcPr>
          <w:p w14:paraId="56BB5CF0" w14:textId="77777777" w:rsidR="00630147" w:rsidRPr="00286216" w:rsidRDefault="00630147" w:rsidP="00630147">
            <w:pPr>
              <w:pStyle w:val="StyleZakonu"/>
              <w:rPr>
                <w:color w:val="000000" w:themeColor="text1"/>
              </w:rPr>
            </w:pPr>
            <w:r w:rsidRPr="00286216">
              <w:rPr>
                <w:color w:val="000000" w:themeColor="text1"/>
              </w:rPr>
              <w:t>у абзацах третьому та четвертому слова "фондовому ринку" замінити словами "ринків капіталу";</w:t>
            </w:r>
          </w:p>
        </w:tc>
        <w:tc>
          <w:tcPr>
            <w:tcW w:w="3686" w:type="dxa"/>
          </w:tcPr>
          <w:p w14:paraId="6CE954B4" w14:textId="5F8E7BA2"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1412</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4E635E59" w14:textId="77777777" w:rsidR="00630147" w:rsidRPr="00286216" w:rsidRDefault="00630147" w:rsidP="00630147">
            <w:pPr>
              <w:pStyle w:val="StyleProp"/>
              <w:spacing w:line="180" w:lineRule="exact"/>
              <w:rPr>
                <w:color w:val="000000" w:themeColor="text1"/>
              </w:rPr>
            </w:pPr>
            <w:r w:rsidRPr="00286216">
              <w:rPr>
                <w:color w:val="000000" w:themeColor="text1"/>
              </w:rPr>
              <w:t>у абзаці третьому слова "фондовому ринку" замінити словами "ринків капіталу та організованих товарних ринків";</w:t>
            </w:r>
          </w:p>
          <w:p w14:paraId="552757F8" w14:textId="77777777" w:rsidR="00630147" w:rsidRPr="00286216" w:rsidRDefault="00630147" w:rsidP="00630147">
            <w:pPr>
              <w:pStyle w:val="StyleProp"/>
              <w:spacing w:line="180" w:lineRule="exact"/>
              <w:rPr>
                <w:color w:val="000000" w:themeColor="text1"/>
              </w:rPr>
            </w:pPr>
            <w:r w:rsidRPr="00286216">
              <w:rPr>
                <w:color w:val="000000" w:themeColor="text1"/>
              </w:rPr>
              <w:t>у абзаці четвертому слова "фондовому ринку" замінити словами "ринків капіталу";</w:t>
            </w:r>
          </w:p>
        </w:tc>
        <w:tc>
          <w:tcPr>
            <w:tcW w:w="1987" w:type="dxa"/>
          </w:tcPr>
          <w:p w14:paraId="6166A48D"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635F8926" w14:textId="77777777" w:rsidR="00630147" w:rsidRPr="00286216" w:rsidRDefault="00630147" w:rsidP="00630147">
            <w:pPr>
              <w:pStyle w:val="StyleZakonu"/>
              <w:rPr>
                <w:color w:val="000000" w:themeColor="text1"/>
              </w:rPr>
            </w:pPr>
            <w:r w:rsidRPr="00286216">
              <w:rPr>
                <w:color w:val="000000" w:themeColor="text1"/>
              </w:rPr>
              <w:t>в абзаці третьому слова "фондовому ринку" замінити словами "ринків капіталу та організованих товарних ринків";</w:t>
            </w:r>
          </w:p>
          <w:p w14:paraId="20AFCF54" w14:textId="631D647F" w:rsidR="00630147" w:rsidRPr="00286216" w:rsidRDefault="00630147" w:rsidP="00630147">
            <w:pPr>
              <w:pStyle w:val="StyleZakonu"/>
              <w:rPr>
                <w:color w:val="000000" w:themeColor="text1"/>
              </w:rPr>
            </w:pPr>
            <w:r w:rsidRPr="00286216">
              <w:rPr>
                <w:color w:val="000000" w:themeColor="text1"/>
              </w:rPr>
              <w:t>в абзаці четвертому слова "фондовому ринку" замінити словами "ринків капіталу";</w:t>
            </w:r>
          </w:p>
        </w:tc>
      </w:tr>
      <w:tr w:rsidR="00630147" w:rsidRPr="00286216" w14:paraId="6B81BF07" w14:textId="77777777" w:rsidTr="00091AA5">
        <w:tc>
          <w:tcPr>
            <w:tcW w:w="576" w:type="dxa"/>
          </w:tcPr>
          <w:p w14:paraId="1D8D517F" w14:textId="77777777" w:rsidR="00630147" w:rsidRPr="00286216" w:rsidRDefault="00630147" w:rsidP="00630147">
            <w:pPr>
              <w:pStyle w:val="StyleWisnow"/>
              <w:rPr>
                <w:color w:val="000000" w:themeColor="text1"/>
              </w:rPr>
            </w:pPr>
            <w:bookmarkStart w:id="3150" w:name="n3280" w:colFirst="0" w:colLast="0"/>
            <w:bookmarkEnd w:id="3149"/>
            <w:r w:rsidRPr="00286216">
              <w:rPr>
                <w:color w:val="000000" w:themeColor="text1"/>
              </w:rPr>
              <w:t>3280.</w:t>
            </w:r>
          </w:p>
        </w:tc>
        <w:tc>
          <w:tcPr>
            <w:tcW w:w="4818" w:type="dxa"/>
          </w:tcPr>
          <w:p w14:paraId="517C3640" w14:textId="77777777" w:rsidR="00630147" w:rsidRPr="00286216" w:rsidRDefault="00630147" w:rsidP="00630147">
            <w:pPr>
              <w:pStyle w:val="StyleZakonu"/>
              <w:rPr>
                <w:color w:val="000000" w:themeColor="text1"/>
              </w:rPr>
            </w:pPr>
            <w:r w:rsidRPr="00286216">
              <w:rPr>
                <w:color w:val="000000" w:themeColor="text1"/>
              </w:rPr>
              <w:t>д) частину шосту виключити;</w:t>
            </w:r>
          </w:p>
        </w:tc>
        <w:tc>
          <w:tcPr>
            <w:tcW w:w="3686" w:type="dxa"/>
          </w:tcPr>
          <w:p w14:paraId="253A092C" w14:textId="77777777" w:rsidR="00630147" w:rsidRPr="00286216" w:rsidRDefault="00630147" w:rsidP="00630147">
            <w:pPr>
              <w:pStyle w:val="StyleProp"/>
              <w:rPr>
                <w:color w:val="000000" w:themeColor="text1"/>
              </w:rPr>
            </w:pPr>
          </w:p>
        </w:tc>
        <w:tc>
          <w:tcPr>
            <w:tcW w:w="1987" w:type="dxa"/>
          </w:tcPr>
          <w:p w14:paraId="3E7EA13F" w14:textId="77777777" w:rsidR="00630147" w:rsidRPr="00286216" w:rsidRDefault="00630147" w:rsidP="00630147">
            <w:pPr>
              <w:pStyle w:val="StyleWisnow"/>
              <w:rPr>
                <w:color w:val="000000" w:themeColor="text1"/>
              </w:rPr>
            </w:pPr>
          </w:p>
        </w:tc>
        <w:tc>
          <w:tcPr>
            <w:tcW w:w="4818" w:type="dxa"/>
          </w:tcPr>
          <w:p w14:paraId="1AFCB393" w14:textId="57614C73" w:rsidR="00630147" w:rsidRPr="00286216" w:rsidRDefault="00630147" w:rsidP="00630147">
            <w:pPr>
              <w:pStyle w:val="StyleZakonu"/>
              <w:rPr>
                <w:color w:val="000000" w:themeColor="text1"/>
              </w:rPr>
            </w:pPr>
            <w:r w:rsidRPr="00286216">
              <w:rPr>
                <w:color w:val="000000" w:themeColor="text1"/>
              </w:rPr>
              <w:t>д) частину шосту виключити;</w:t>
            </w:r>
          </w:p>
        </w:tc>
      </w:tr>
      <w:tr w:rsidR="00630147" w:rsidRPr="00286216" w14:paraId="5D22918D" w14:textId="77777777" w:rsidTr="00091AA5">
        <w:tc>
          <w:tcPr>
            <w:tcW w:w="576" w:type="dxa"/>
          </w:tcPr>
          <w:p w14:paraId="6B8A6B52" w14:textId="77777777" w:rsidR="00630147" w:rsidRPr="00286216" w:rsidRDefault="00630147" w:rsidP="00630147">
            <w:pPr>
              <w:pStyle w:val="StyleWisnow"/>
              <w:rPr>
                <w:color w:val="000000" w:themeColor="text1"/>
              </w:rPr>
            </w:pPr>
            <w:bookmarkStart w:id="3151" w:name="n3281" w:colFirst="0" w:colLast="0"/>
            <w:bookmarkEnd w:id="3150"/>
            <w:r w:rsidRPr="00286216">
              <w:rPr>
                <w:color w:val="000000" w:themeColor="text1"/>
              </w:rPr>
              <w:t>3281.</w:t>
            </w:r>
          </w:p>
        </w:tc>
        <w:tc>
          <w:tcPr>
            <w:tcW w:w="4818" w:type="dxa"/>
          </w:tcPr>
          <w:p w14:paraId="38442BB1" w14:textId="77777777" w:rsidR="00630147" w:rsidRPr="00286216" w:rsidRDefault="00630147" w:rsidP="00630147">
            <w:pPr>
              <w:pStyle w:val="StyleZakonu"/>
              <w:rPr>
                <w:color w:val="000000" w:themeColor="text1"/>
              </w:rPr>
            </w:pPr>
            <w:r w:rsidRPr="00286216">
              <w:rPr>
                <w:color w:val="000000" w:themeColor="text1"/>
              </w:rPr>
              <w:t>е) у частині сьомій:</w:t>
            </w:r>
          </w:p>
        </w:tc>
        <w:tc>
          <w:tcPr>
            <w:tcW w:w="3686" w:type="dxa"/>
          </w:tcPr>
          <w:p w14:paraId="2A4CE55E" w14:textId="77777777" w:rsidR="00630147" w:rsidRPr="00286216" w:rsidRDefault="00630147" w:rsidP="00630147">
            <w:pPr>
              <w:pStyle w:val="StyleProp"/>
              <w:rPr>
                <w:color w:val="000000" w:themeColor="text1"/>
                <w:szCs w:val="18"/>
              </w:rPr>
            </w:pPr>
          </w:p>
        </w:tc>
        <w:tc>
          <w:tcPr>
            <w:tcW w:w="1987" w:type="dxa"/>
          </w:tcPr>
          <w:p w14:paraId="6308063C" w14:textId="77777777" w:rsidR="00630147" w:rsidRPr="00286216" w:rsidRDefault="00630147" w:rsidP="00630147">
            <w:pPr>
              <w:pStyle w:val="StyleWisnow"/>
              <w:rPr>
                <w:color w:val="000000" w:themeColor="text1"/>
              </w:rPr>
            </w:pPr>
          </w:p>
        </w:tc>
        <w:tc>
          <w:tcPr>
            <w:tcW w:w="4818" w:type="dxa"/>
          </w:tcPr>
          <w:p w14:paraId="45E429C0" w14:textId="125A38EF" w:rsidR="00630147" w:rsidRPr="00286216" w:rsidRDefault="00630147" w:rsidP="00630147">
            <w:pPr>
              <w:pStyle w:val="StyleZakonu"/>
              <w:rPr>
                <w:color w:val="000000" w:themeColor="text1"/>
              </w:rPr>
            </w:pPr>
            <w:r w:rsidRPr="00286216">
              <w:rPr>
                <w:color w:val="000000" w:themeColor="text1"/>
              </w:rPr>
              <w:t>е) у частині сьомій:</w:t>
            </w:r>
          </w:p>
        </w:tc>
      </w:tr>
      <w:tr w:rsidR="00630147" w:rsidRPr="00286216" w14:paraId="336585B7" w14:textId="77777777" w:rsidTr="00091AA5">
        <w:tc>
          <w:tcPr>
            <w:tcW w:w="576" w:type="dxa"/>
          </w:tcPr>
          <w:p w14:paraId="1236B028" w14:textId="77777777" w:rsidR="00630147" w:rsidRPr="00286216" w:rsidRDefault="00630147" w:rsidP="00630147">
            <w:pPr>
              <w:pStyle w:val="StyleWisnow"/>
              <w:rPr>
                <w:color w:val="000000" w:themeColor="text1"/>
              </w:rPr>
            </w:pPr>
            <w:bookmarkStart w:id="3152" w:name="n3282" w:colFirst="0" w:colLast="0"/>
            <w:bookmarkEnd w:id="3151"/>
            <w:r w:rsidRPr="00286216">
              <w:rPr>
                <w:color w:val="000000" w:themeColor="text1"/>
              </w:rPr>
              <w:t>3282.</w:t>
            </w:r>
          </w:p>
        </w:tc>
        <w:tc>
          <w:tcPr>
            <w:tcW w:w="4818" w:type="dxa"/>
          </w:tcPr>
          <w:p w14:paraId="5710B184" w14:textId="77777777" w:rsidR="00630147" w:rsidRPr="00286216" w:rsidRDefault="00630147" w:rsidP="00630147">
            <w:pPr>
              <w:pStyle w:val="StyleZakonu"/>
              <w:rPr>
                <w:color w:val="000000" w:themeColor="text1"/>
              </w:rPr>
            </w:pPr>
            <w:r w:rsidRPr="00286216">
              <w:rPr>
                <w:color w:val="000000" w:themeColor="text1"/>
              </w:rPr>
              <w:t>в абзаці другому слова "цінними паперами" у всіх відмінках" замінити словами "фінансовими інструментами" у відповідному відмінку;</w:t>
            </w:r>
          </w:p>
        </w:tc>
        <w:tc>
          <w:tcPr>
            <w:tcW w:w="3686" w:type="dxa"/>
          </w:tcPr>
          <w:p w14:paraId="3676FDA1" w14:textId="77777777" w:rsidR="00630147" w:rsidRPr="00286216" w:rsidRDefault="00630147" w:rsidP="00630147">
            <w:pPr>
              <w:pStyle w:val="StyleProp"/>
              <w:rPr>
                <w:color w:val="000000" w:themeColor="text1"/>
                <w:szCs w:val="18"/>
              </w:rPr>
            </w:pPr>
          </w:p>
        </w:tc>
        <w:tc>
          <w:tcPr>
            <w:tcW w:w="1987" w:type="dxa"/>
          </w:tcPr>
          <w:p w14:paraId="0DECD9D1" w14:textId="77777777" w:rsidR="00630147" w:rsidRPr="00286216" w:rsidRDefault="00630147" w:rsidP="00630147">
            <w:pPr>
              <w:pStyle w:val="StyleWisnow"/>
              <w:rPr>
                <w:color w:val="000000" w:themeColor="text1"/>
              </w:rPr>
            </w:pPr>
          </w:p>
        </w:tc>
        <w:tc>
          <w:tcPr>
            <w:tcW w:w="4818" w:type="dxa"/>
          </w:tcPr>
          <w:p w14:paraId="526CCF9C" w14:textId="7C0281B1" w:rsidR="00630147" w:rsidRPr="00286216" w:rsidRDefault="00630147" w:rsidP="00630147">
            <w:pPr>
              <w:pStyle w:val="StyleZakonu"/>
              <w:rPr>
                <w:color w:val="000000" w:themeColor="text1"/>
              </w:rPr>
            </w:pPr>
            <w:r w:rsidRPr="00286216">
              <w:rPr>
                <w:color w:val="000000" w:themeColor="text1"/>
              </w:rPr>
              <w:t>в абзаці другому слова "цінними паперами" у всіх відмінках" замінити словами "фінансовими інструментами" у відповідному відмінку;</w:t>
            </w:r>
          </w:p>
        </w:tc>
      </w:tr>
      <w:tr w:rsidR="00630147" w:rsidRPr="00286216" w14:paraId="1C3905F9" w14:textId="77777777" w:rsidTr="00091AA5">
        <w:tc>
          <w:tcPr>
            <w:tcW w:w="576" w:type="dxa"/>
          </w:tcPr>
          <w:p w14:paraId="58C7827D" w14:textId="77777777" w:rsidR="00630147" w:rsidRPr="00286216" w:rsidRDefault="00630147" w:rsidP="00630147">
            <w:pPr>
              <w:pStyle w:val="StyleWisnow"/>
              <w:rPr>
                <w:color w:val="000000" w:themeColor="text1"/>
              </w:rPr>
            </w:pPr>
            <w:bookmarkStart w:id="3153" w:name="n3283" w:colFirst="0" w:colLast="0"/>
            <w:bookmarkEnd w:id="3152"/>
            <w:r w:rsidRPr="00286216">
              <w:rPr>
                <w:color w:val="000000" w:themeColor="text1"/>
              </w:rPr>
              <w:t>3283.</w:t>
            </w:r>
          </w:p>
        </w:tc>
        <w:tc>
          <w:tcPr>
            <w:tcW w:w="4818" w:type="dxa"/>
          </w:tcPr>
          <w:p w14:paraId="78E5DA69" w14:textId="77777777" w:rsidR="00630147" w:rsidRPr="00286216" w:rsidRDefault="00630147" w:rsidP="00630147">
            <w:pPr>
              <w:pStyle w:val="StyleZakonu"/>
              <w:rPr>
                <w:color w:val="000000" w:themeColor="text1"/>
              </w:rPr>
            </w:pPr>
            <w:r w:rsidRPr="00286216">
              <w:rPr>
                <w:color w:val="000000" w:themeColor="text1"/>
              </w:rPr>
              <w:t>абзац третій замінити двома абзацами такого змісту:</w:t>
            </w:r>
          </w:p>
        </w:tc>
        <w:tc>
          <w:tcPr>
            <w:tcW w:w="3686" w:type="dxa"/>
          </w:tcPr>
          <w:p w14:paraId="24F8E8A7" w14:textId="77777777" w:rsidR="00630147" w:rsidRPr="00286216" w:rsidRDefault="00630147" w:rsidP="00630147">
            <w:pPr>
              <w:pStyle w:val="StyleProp"/>
              <w:rPr>
                <w:color w:val="000000" w:themeColor="text1"/>
                <w:szCs w:val="18"/>
              </w:rPr>
            </w:pPr>
          </w:p>
        </w:tc>
        <w:tc>
          <w:tcPr>
            <w:tcW w:w="1987" w:type="dxa"/>
          </w:tcPr>
          <w:p w14:paraId="7C0227E7" w14:textId="77777777" w:rsidR="00630147" w:rsidRPr="00286216" w:rsidRDefault="00630147" w:rsidP="00630147">
            <w:pPr>
              <w:pStyle w:val="StyleWisnow"/>
              <w:rPr>
                <w:color w:val="000000" w:themeColor="text1"/>
              </w:rPr>
            </w:pPr>
          </w:p>
        </w:tc>
        <w:tc>
          <w:tcPr>
            <w:tcW w:w="4818" w:type="dxa"/>
          </w:tcPr>
          <w:p w14:paraId="79C1D5EE" w14:textId="4CD91A81" w:rsidR="00630147" w:rsidRPr="00286216" w:rsidRDefault="00630147" w:rsidP="00630147">
            <w:pPr>
              <w:pStyle w:val="StyleZakonu"/>
              <w:rPr>
                <w:color w:val="000000" w:themeColor="text1"/>
              </w:rPr>
            </w:pPr>
            <w:r w:rsidRPr="00286216">
              <w:rPr>
                <w:color w:val="000000" w:themeColor="text1"/>
              </w:rPr>
              <w:t>абзац третій замінити двома абзацами такого змісту:</w:t>
            </w:r>
          </w:p>
        </w:tc>
      </w:tr>
      <w:tr w:rsidR="00630147" w:rsidRPr="00286216" w14:paraId="0C6E8305" w14:textId="77777777" w:rsidTr="00091AA5">
        <w:tc>
          <w:tcPr>
            <w:tcW w:w="576" w:type="dxa"/>
          </w:tcPr>
          <w:p w14:paraId="52A6D455" w14:textId="77777777" w:rsidR="00630147" w:rsidRPr="00286216" w:rsidRDefault="00630147" w:rsidP="00630147">
            <w:pPr>
              <w:pStyle w:val="StyleWisnow"/>
              <w:rPr>
                <w:color w:val="000000" w:themeColor="text1"/>
              </w:rPr>
            </w:pPr>
            <w:bookmarkStart w:id="3154" w:name="n3284" w:colFirst="0" w:colLast="0"/>
            <w:bookmarkEnd w:id="3153"/>
            <w:r w:rsidRPr="00286216">
              <w:rPr>
                <w:color w:val="000000" w:themeColor="text1"/>
              </w:rPr>
              <w:t>3284.</w:t>
            </w:r>
          </w:p>
        </w:tc>
        <w:tc>
          <w:tcPr>
            <w:tcW w:w="4818" w:type="dxa"/>
          </w:tcPr>
          <w:p w14:paraId="652CA787" w14:textId="77777777" w:rsidR="00630147" w:rsidRPr="00286216" w:rsidRDefault="00630147" w:rsidP="00630147">
            <w:pPr>
              <w:pStyle w:val="StyleZakonu"/>
              <w:rPr>
                <w:color w:val="000000" w:themeColor="text1"/>
              </w:rPr>
            </w:pPr>
            <w:r w:rsidRPr="00286216">
              <w:rPr>
                <w:color w:val="000000" w:themeColor="text1"/>
              </w:rPr>
              <w:t>"рекламувати цінні папери до затвердження проспекту цінних паперів згідно із законодавством про ринки капіталу та організовані товарні ринки та нормативно-правовими актами Національної комісії з цінних паперів та фондового ринку;</w:t>
            </w:r>
          </w:p>
        </w:tc>
        <w:tc>
          <w:tcPr>
            <w:tcW w:w="3686" w:type="dxa"/>
          </w:tcPr>
          <w:p w14:paraId="7D23E066" w14:textId="77777777" w:rsidR="00630147" w:rsidRPr="00286216" w:rsidRDefault="00630147" w:rsidP="00630147">
            <w:pPr>
              <w:pStyle w:val="StyleProp"/>
              <w:rPr>
                <w:color w:val="000000" w:themeColor="text1"/>
                <w:szCs w:val="18"/>
              </w:rPr>
            </w:pPr>
          </w:p>
        </w:tc>
        <w:tc>
          <w:tcPr>
            <w:tcW w:w="1987" w:type="dxa"/>
          </w:tcPr>
          <w:p w14:paraId="64649AA5" w14:textId="77777777" w:rsidR="00630147" w:rsidRPr="00286216" w:rsidRDefault="00630147" w:rsidP="00630147">
            <w:pPr>
              <w:pStyle w:val="StyleWisnow"/>
              <w:rPr>
                <w:color w:val="000000" w:themeColor="text1"/>
              </w:rPr>
            </w:pPr>
          </w:p>
        </w:tc>
        <w:tc>
          <w:tcPr>
            <w:tcW w:w="4818" w:type="dxa"/>
          </w:tcPr>
          <w:p w14:paraId="028D93DF" w14:textId="44BAE3E0" w:rsidR="00630147" w:rsidRPr="00286216" w:rsidRDefault="00630147" w:rsidP="00630147">
            <w:pPr>
              <w:pStyle w:val="StyleZakonu"/>
              <w:rPr>
                <w:color w:val="000000" w:themeColor="text1"/>
              </w:rPr>
            </w:pPr>
            <w:r w:rsidRPr="00286216">
              <w:rPr>
                <w:color w:val="000000" w:themeColor="text1"/>
              </w:rPr>
              <w:t>"рекламувати цінні папери до затвердження проспекту цінних паперів згідно із законодавством про ринки капіталу та організовані товарні ринки та нормативно-правовими актами Національної комісії з цінних паперів та фондового ринку;</w:t>
            </w:r>
          </w:p>
        </w:tc>
      </w:tr>
      <w:tr w:rsidR="00630147" w:rsidRPr="00286216" w14:paraId="5964F3C3" w14:textId="77777777" w:rsidTr="00091AA5">
        <w:tc>
          <w:tcPr>
            <w:tcW w:w="576" w:type="dxa"/>
          </w:tcPr>
          <w:p w14:paraId="06A5025B" w14:textId="77777777" w:rsidR="00630147" w:rsidRPr="00286216" w:rsidRDefault="00630147" w:rsidP="00630147">
            <w:pPr>
              <w:pStyle w:val="StyleWisnow"/>
              <w:rPr>
                <w:color w:val="000000" w:themeColor="text1"/>
              </w:rPr>
            </w:pPr>
            <w:bookmarkStart w:id="3155" w:name="n3285" w:colFirst="0" w:colLast="0"/>
            <w:bookmarkEnd w:id="3154"/>
            <w:r w:rsidRPr="00286216">
              <w:rPr>
                <w:color w:val="000000" w:themeColor="text1"/>
              </w:rPr>
              <w:t>3285.</w:t>
            </w:r>
          </w:p>
        </w:tc>
        <w:tc>
          <w:tcPr>
            <w:tcW w:w="4818" w:type="dxa"/>
          </w:tcPr>
          <w:p w14:paraId="035815A0" w14:textId="77777777" w:rsidR="00630147" w:rsidRPr="00286216" w:rsidRDefault="00630147" w:rsidP="00630147">
            <w:pPr>
              <w:pStyle w:val="StyleZakonu"/>
              <w:rPr>
                <w:color w:val="000000" w:themeColor="text1"/>
              </w:rPr>
            </w:pPr>
            <w:r w:rsidRPr="00286216">
              <w:rPr>
                <w:color w:val="000000" w:themeColor="text1"/>
              </w:rPr>
              <w:t>рекламувати деривативні контракти, що укладаються на організованому ринку капіталу, до реєстрації специфікації таких деривативних контрактів згідно із законодавством про ринки капіталу та організовані товарні ринки, а також нормативно-правовими актами Національної комісії з цінних паперів та ринку фондового ринку; ";</w:t>
            </w:r>
          </w:p>
        </w:tc>
        <w:tc>
          <w:tcPr>
            <w:tcW w:w="3686" w:type="dxa"/>
          </w:tcPr>
          <w:p w14:paraId="654244A9" w14:textId="77777777" w:rsidR="00630147" w:rsidRPr="00286216" w:rsidRDefault="00630147" w:rsidP="00630147">
            <w:pPr>
              <w:pStyle w:val="StyleProp"/>
              <w:rPr>
                <w:color w:val="000000" w:themeColor="text1"/>
                <w:szCs w:val="18"/>
              </w:rPr>
            </w:pPr>
          </w:p>
        </w:tc>
        <w:tc>
          <w:tcPr>
            <w:tcW w:w="1987" w:type="dxa"/>
          </w:tcPr>
          <w:p w14:paraId="3A5100C5" w14:textId="77777777" w:rsidR="00630147" w:rsidRPr="00286216" w:rsidRDefault="00630147" w:rsidP="00630147">
            <w:pPr>
              <w:pStyle w:val="StyleWisnow"/>
              <w:rPr>
                <w:color w:val="000000" w:themeColor="text1"/>
              </w:rPr>
            </w:pPr>
          </w:p>
        </w:tc>
        <w:tc>
          <w:tcPr>
            <w:tcW w:w="4818" w:type="dxa"/>
          </w:tcPr>
          <w:p w14:paraId="50975A03" w14:textId="2EADEC8E" w:rsidR="00630147" w:rsidRPr="00286216" w:rsidRDefault="00630147" w:rsidP="00630147">
            <w:pPr>
              <w:pStyle w:val="StyleZakonu"/>
              <w:rPr>
                <w:color w:val="000000" w:themeColor="text1"/>
              </w:rPr>
            </w:pPr>
            <w:r w:rsidRPr="00286216">
              <w:rPr>
                <w:color w:val="000000" w:themeColor="text1"/>
              </w:rPr>
              <w:t>рекламувати деривативні контракти, що укладаються на організованому ринку капіталу, до реєстрації специфікації таких деривативних контрактів згідно із законодавством про ринки капіталу та організовані товарні ринки, а також нормативно-правовими актами Національної комісії з цінних паперів та ринку фондового ринку".</w:t>
            </w:r>
          </w:p>
        </w:tc>
      </w:tr>
      <w:tr w:rsidR="00630147" w:rsidRPr="00286216" w14:paraId="6C637679" w14:textId="77777777" w:rsidTr="00091AA5">
        <w:tc>
          <w:tcPr>
            <w:tcW w:w="576" w:type="dxa"/>
          </w:tcPr>
          <w:p w14:paraId="10E87568" w14:textId="77777777" w:rsidR="00630147" w:rsidRPr="00286216" w:rsidRDefault="00630147" w:rsidP="00630147">
            <w:pPr>
              <w:pStyle w:val="StyleWisnow"/>
              <w:rPr>
                <w:color w:val="000000" w:themeColor="text1"/>
              </w:rPr>
            </w:pPr>
            <w:bookmarkStart w:id="3156" w:name="n3286" w:colFirst="0" w:colLast="0"/>
            <w:bookmarkEnd w:id="3155"/>
            <w:r w:rsidRPr="00286216">
              <w:rPr>
                <w:color w:val="000000" w:themeColor="text1"/>
              </w:rPr>
              <w:t>3286.</w:t>
            </w:r>
          </w:p>
        </w:tc>
        <w:tc>
          <w:tcPr>
            <w:tcW w:w="4818" w:type="dxa"/>
          </w:tcPr>
          <w:p w14:paraId="40ECCA08" w14:textId="77777777" w:rsidR="00630147" w:rsidRPr="00286216" w:rsidRDefault="00630147" w:rsidP="00630147">
            <w:pPr>
              <w:pStyle w:val="StyleZakonu"/>
              <w:rPr>
                <w:color w:val="000000" w:themeColor="text1"/>
              </w:rPr>
            </w:pPr>
            <w:r w:rsidRPr="00286216">
              <w:rPr>
                <w:color w:val="000000" w:themeColor="text1"/>
              </w:rPr>
              <w:t>у зв’язку з цим абзаци четвертий - шостий вважати відповідно абзацами п’ятим - сьомим;</w:t>
            </w:r>
          </w:p>
        </w:tc>
        <w:tc>
          <w:tcPr>
            <w:tcW w:w="3686" w:type="dxa"/>
          </w:tcPr>
          <w:p w14:paraId="570F7809" w14:textId="77777777" w:rsidR="00630147" w:rsidRPr="00286216" w:rsidRDefault="00630147" w:rsidP="00630147">
            <w:pPr>
              <w:pStyle w:val="StyleProp"/>
              <w:rPr>
                <w:color w:val="000000" w:themeColor="text1"/>
                <w:szCs w:val="18"/>
              </w:rPr>
            </w:pPr>
          </w:p>
        </w:tc>
        <w:tc>
          <w:tcPr>
            <w:tcW w:w="1987" w:type="dxa"/>
          </w:tcPr>
          <w:p w14:paraId="077CD707" w14:textId="77777777" w:rsidR="00630147" w:rsidRPr="00286216" w:rsidRDefault="00630147" w:rsidP="00630147">
            <w:pPr>
              <w:pStyle w:val="StyleWisnow"/>
              <w:rPr>
                <w:color w:val="000000" w:themeColor="text1"/>
              </w:rPr>
            </w:pPr>
          </w:p>
        </w:tc>
        <w:tc>
          <w:tcPr>
            <w:tcW w:w="4818" w:type="dxa"/>
          </w:tcPr>
          <w:p w14:paraId="5B51CE48" w14:textId="28281C4C" w:rsidR="00630147" w:rsidRPr="00286216" w:rsidRDefault="00630147" w:rsidP="00630147">
            <w:pPr>
              <w:pStyle w:val="StyleZakonu"/>
              <w:rPr>
                <w:color w:val="000000" w:themeColor="text1"/>
              </w:rPr>
            </w:pPr>
            <w:r w:rsidRPr="00286216">
              <w:rPr>
                <w:color w:val="000000" w:themeColor="text1"/>
              </w:rPr>
              <w:t>У зв’язку з цим абзаци четвертий - шостий вважати відповідно абзацами п’ятим - сьомим;</w:t>
            </w:r>
          </w:p>
        </w:tc>
      </w:tr>
      <w:tr w:rsidR="00630147" w:rsidRPr="00286216" w14:paraId="17F5B243" w14:textId="77777777" w:rsidTr="00091AA5">
        <w:tc>
          <w:tcPr>
            <w:tcW w:w="576" w:type="dxa"/>
          </w:tcPr>
          <w:p w14:paraId="3EC4E363" w14:textId="77777777" w:rsidR="00630147" w:rsidRPr="00286216" w:rsidRDefault="00630147" w:rsidP="00630147">
            <w:pPr>
              <w:pStyle w:val="StyleWisnow"/>
              <w:rPr>
                <w:color w:val="000000" w:themeColor="text1"/>
              </w:rPr>
            </w:pPr>
            <w:bookmarkStart w:id="3157" w:name="n3287" w:colFirst="0" w:colLast="0"/>
            <w:bookmarkEnd w:id="3156"/>
            <w:r w:rsidRPr="00286216">
              <w:rPr>
                <w:color w:val="000000" w:themeColor="text1"/>
              </w:rPr>
              <w:t>3287.</w:t>
            </w:r>
          </w:p>
        </w:tc>
        <w:tc>
          <w:tcPr>
            <w:tcW w:w="4818" w:type="dxa"/>
          </w:tcPr>
          <w:p w14:paraId="2254284E" w14:textId="77777777" w:rsidR="00630147" w:rsidRPr="00286216" w:rsidRDefault="00630147" w:rsidP="00630147">
            <w:pPr>
              <w:pStyle w:val="StyleZakonu"/>
              <w:rPr>
                <w:color w:val="000000" w:themeColor="text1"/>
              </w:rPr>
            </w:pPr>
            <w:r w:rsidRPr="00286216">
              <w:rPr>
                <w:color w:val="000000" w:themeColor="text1"/>
              </w:rPr>
              <w:t>в абзаці шостому слова "цінними паперами" замінити словами "фінансовими інструментами";</w:t>
            </w:r>
          </w:p>
        </w:tc>
        <w:tc>
          <w:tcPr>
            <w:tcW w:w="3686" w:type="dxa"/>
          </w:tcPr>
          <w:p w14:paraId="119AFBED" w14:textId="77777777" w:rsidR="00630147" w:rsidRPr="00286216" w:rsidRDefault="00630147" w:rsidP="00630147">
            <w:pPr>
              <w:pStyle w:val="StyleProp"/>
              <w:rPr>
                <w:color w:val="000000" w:themeColor="text1"/>
                <w:szCs w:val="18"/>
              </w:rPr>
            </w:pPr>
          </w:p>
        </w:tc>
        <w:tc>
          <w:tcPr>
            <w:tcW w:w="1987" w:type="dxa"/>
          </w:tcPr>
          <w:p w14:paraId="01BF606F" w14:textId="77777777" w:rsidR="00630147" w:rsidRPr="00286216" w:rsidRDefault="00630147" w:rsidP="00630147">
            <w:pPr>
              <w:pStyle w:val="StyleWisnow"/>
              <w:rPr>
                <w:color w:val="000000" w:themeColor="text1"/>
              </w:rPr>
            </w:pPr>
          </w:p>
        </w:tc>
        <w:tc>
          <w:tcPr>
            <w:tcW w:w="4818" w:type="dxa"/>
          </w:tcPr>
          <w:p w14:paraId="25E331AE" w14:textId="140493E0" w:rsidR="00630147" w:rsidRPr="00286216" w:rsidRDefault="00630147" w:rsidP="00630147">
            <w:pPr>
              <w:pStyle w:val="StyleZakonu"/>
              <w:rPr>
                <w:color w:val="000000" w:themeColor="text1"/>
              </w:rPr>
            </w:pPr>
            <w:r w:rsidRPr="00286216">
              <w:rPr>
                <w:color w:val="000000" w:themeColor="text1"/>
              </w:rPr>
              <w:t>в абзаці шостому слова "цінними паперами" замінити словами "фінансовими інструментами";</w:t>
            </w:r>
          </w:p>
        </w:tc>
      </w:tr>
      <w:tr w:rsidR="00630147" w:rsidRPr="00286216" w14:paraId="00F1EFBC" w14:textId="77777777" w:rsidTr="00091AA5">
        <w:tc>
          <w:tcPr>
            <w:tcW w:w="576" w:type="dxa"/>
          </w:tcPr>
          <w:p w14:paraId="47C47AD9" w14:textId="77777777" w:rsidR="00630147" w:rsidRPr="00286216" w:rsidRDefault="00630147" w:rsidP="00630147">
            <w:pPr>
              <w:pStyle w:val="StyleWisnow"/>
              <w:rPr>
                <w:color w:val="000000" w:themeColor="text1"/>
              </w:rPr>
            </w:pPr>
            <w:bookmarkStart w:id="3158" w:name="n3288" w:colFirst="0" w:colLast="0"/>
            <w:bookmarkEnd w:id="3157"/>
            <w:r w:rsidRPr="00286216">
              <w:rPr>
                <w:color w:val="000000" w:themeColor="text1"/>
              </w:rPr>
              <w:t>3288.</w:t>
            </w:r>
          </w:p>
        </w:tc>
        <w:tc>
          <w:tcPr>
            <w:tcW w:w="4818" w:type="dxa"/>
          </w:tcPr>
          <w:p w14:paraId="57A9ADBF" w14:textId="77777777" w:rsidR="00630147" w:rsidRPr="00286216" w:rsidRDefault="00630147" w:rsidP="00630147">
            <w:pPr>
              <w:pStyle w:val="StyleZakonu"/>
              <w:rPr>
                <w:color w:val="000000" w:themeColor="text1"/>
              </w:rPr>
            </w:pPr>
            <w:r w:rsidRPr="00286216">
              <w:rPr>
                <w:color w:val="000000" w:themeColor="text1"/>
              </w:rPr>
              <w:t>в абзаці сьомому слова "фондовому ринку" замінити словами "ринках капіталу";</w:t>
            </w:r>
          </w:p>
        </w:tc>
        <w:tc>
          <w:tcPr>
            <w:tcW w:w="3686" w:type="dxa"/>
          </w:tcPr>
          <w:p w14:paraId="237B6D34" w14:textId="77777777" w:rsidR="00630147" w:rsidRPr="00286216" w:rsidRDefault="00630147" w:rsidP="00630147">
            <w:pPr>
              <w:pStyle w:val="StyleProp"/>
              <w:rPr>
                <w:color w:val="000000" w:themeColor="text1"/>
                <w:szCs w:val="18"/>
              </w:rPr>
            </w:pPr>
          </w:p>
        </w:tc>
        <w:tc>
          <w:tcPr>
            <w:tcW w:w="1987" w:type="dxa"/>
          </w:tcPr>
          <w:p w14:paraId="51191E2F" w14:textId="77777777" w:rsidR="00630147" w:rsidRPr="00286216" w:rsidRDefault="00630147" w:rsidP="00630147">
            <w:pPr>
              <w:pStyle w:val="StyleWisnow"/>
              <w:rPr>
                <w:color w:val="000000" w:themeColor="text1"/>
              </w:rPr>
            </w:pPr>
          </w:p>
        </w:tc>
        <w:tc>
          <w:tcPr>
            <w:tcW w:w="4818" w:type="dxa"/>
          </w:tcPr>
          <w:p w14:paraId="4BA7D70D" w14:textId="1F2CB09E" w:rsidR="00630147" w:rsidRPr="00286216" w:rsidRDefault="00630147" w:rsidP="00630147">
            <w:pPr>
              <w:pStyle w:val="StyleZakonu"/>
              <w:rPr>
                <w:color w:val="000000" w:themeColor="text1"/>
              </w:rPr>
            </w:pPr>
            <w:r w:rsidRPr="00286216">
              <w:rPr>
                <w:color w:val="000000" w:themeColor="text1"/>
              </w:rPr>
              <w:t>в абзаці сьомому слова "фондовому ринку" замінити словами "ринках капіталу";</w:t>
            </w:r>
          </w:p>
        </w:tc>
      </w:tr>
      <w:tr w:rsidR="00630147" w:rsidRPr="00286216" w14:paraId="3DD9652B" w14:textId="77777777" w:rsidTr="00091AA5">
        <w:tc>
          <w:tcPr>
            <w:tcW w:w="576" w:type="dxa"/>
          </w:tcPr>
          <w:p w14:paraId="5C86A2E3" w14:textId="77777777" w:rsidR="00630147" w:rsidRPr="00286216" w:rsidRDefault="00630147" w:rsidP="00630147">
            <w:pPr>
              <w:pStyle w:val="StyleWisnow"/>
              <w:rPr>
                <w:color w:val="000000" w:themeColor="text1"/>
              </w:rPr>
            </w:pPr>
            <w:bookmarkStart w:id="3159" w:name="n3289" w:colFirst="0" w:colLast="0"/>
            <w:bookmarkEnd w:id="3158"/>
            <w:r w:rsidRPr="00286216">
              <w:rPr>
                <w:color w:val="000000" w:themeColor="text1"/>
              </w:rPr>
              <w:t>3289.</w:t>
            </w:r>
          </w:p>
        </w:tc>
        <w:tc>
          <w:tcPr>
            <w:tcW w:w="4818" w:type="dxa"/>
          </w:tcPr>
          <w:p w14:paraId="3423C305" w14:textId="77777777" w:rsidR="00630147" w:rsidRPr="00286216" w:rsidRDefault="00630147" w:rsidP="00630147">
            <w:pPr>
              <w:pStyle w:val="StyleZakonu"/>
              <w:rPr>
                <w:color w:val="000000" w:themeColor="text1"/>
              </w:rPr>
            </w:pPr>
            <w:r w:rsidRPr="00286216">
              <w:rPr>
                <w:color w:val="000000" w:themeColor="text1"/>
              </w:rPr>
              <w:t xml:space="preserve">є) у частині дев’ятій слова "учасниками фондового ринку" замінити словами "учасниками ринків </w:t>
            </w:r>
            <w:r w:rsidRPr="00286216">
              <w:rPr>
                <w:color w:val="000000" w:themeColor="text1"/>
              </w:rPr>
              <w:lastRenderedPageBreak/>
              <w:t>капіталу";</w:t>
            </w:r>
          </w:p>
        </w:tc>
        <w:tc>
          <w:tcPr>
            <w:tcW w:w="3686" w:type="dxa"/>
          </w:tcPr>
          <w:p w14:paraId="5AFD72FA" w14:textId="77777777" w:rsidR="00630147" w:rsidRPr="00286216" w:rsidRDefault="00630147" w:rsidP="00630147">
            <w:pPr>
              <w:pStyle w:val="StyleProp"/>
              <w:rPr>
                <w:color w:val="000000" w:themeColor="text1"/>
                <w:szCs w:val="18"/>
              </w:rPr>
            </w:pPr>
          </w:p>
        </w:tc>
        <w:tc>
          <w:tcPr>
            <w:tcW w:w="1987" w:type="dxa"/>
          </w:tcPr>
          <w:p w14:paraId="4830CAB2" w14:textId="77777777" w:rsidR="00630147" w:rsidRPr="00286216" w:rsidRDefault="00630147" w:rsidP="00630147">
            <w:pPr>
              <w:pStyle w:val="StyleWisnow"/>
              <w:rPr>
                <w:color w:val="000000" w:themeColor="text1"/>
              </w:rPr>
            </w:pPr>
          </w:p>
        </w:tc>
        <w:tc>
          <w:tcPr>
            <w:tcW w:w="4818" w:type="dxa"/>
          </w:tcPr>
          <w:p w14:paraId="12DCDB65" w14:textId="295D2880" w:rsidR="00630147" w:rsidRPr="00286216" w:rsidRDefault="00630147" w:rsidP="00630147">
            <w:pPr>
              <w:pStyle w:val="StyleZakonu"/>
              <w:rPr>
                <w:color w:val="000000" w:themeColor="text1"/>
              </w:rPr>
            </w:pPr>
            <w:r w:rsidRPr="00286216">
              <w:rPr>
                <w:color w:val="000000" w:themeColor="text1"/>
              </w:rPr>
              <w:t xml:space="preserve">є) у частині дев’ятій слова "учасниками фондового ринку" замінити словами "учасниками ринків </w:t>
            </w:r>
            <w:r w:rsidRPr="00286216">
              <w:rPr>
                <w:color w:val="000000" w:themeColor="text1"/>
              </w:rPr>
              <w:lastRenderedPageBreak/>
              <w:t>капіталу";</w:t>
            </w:r>
          </w:p>
        </w:tc>
      </w:tr>
      <w:tr w:rsidR="00630147" w:rsidRPr="00286216" w14:paraId="2B97D972" w14:textId="77777777" w:rsidTr="00091AA5">
        <w:tc>
          <w:tcPr>
            <w:tcW w:w="576" w:type="dxa"/>
          </w:tcPr>
          <w:p w14:paraId="580AF44B" w14:textId="77777777" w:rsidR="00630147" w:rsidRPr="00286216" w:rsidRDefault="00630147" w:rsidP="00630147">
            <w:pPr>
              <w:pStyle w:val="StyleWisnow"/>
              <w:rPr>
                <w:color w:val="000000" w:themeColor="text1"/>
              </w:rPr>
            </w:pPr>
            <w:bookmarkStart w:id="3160" w:name="n3290" w:colFirst="0" w:colLast="0"/>
            <w:bookmarkEnd w:id="3159"/>
            <w:r w:rsidRPr="00286216">
              <w:rPr>
                <w:color w:val="000000" w:themeColor="text1"/>
              </w:rPr>
              <w:lastRenderedPageBreak/>
              <w:t>3290.</w:t>
            </w:r>
          </w:p>
        </w:tc>
        <w:tc>
          <w:tcPr>
            <w:tcW w:w="4818" w:type="dxa"/>
          </w:tcPr>
          <w:p w14:paraId="374ABAA3" w14:textId="77777777" w:rsidR="00630147" w:rsidRPr="00286216" w:rsidRDefault="00630147" w:rsidP="00630147">
            <w:pPr>
              <w:pStyle w:val="StyleZakonu"/>
              <w:rPr>
                <w:color w:val="000000" w:themeColor="text1"/>
              </w:rPr>
            </w:pPr>
            <w:r w:rsidRPr="00286216">
              <w:rPr>
                <w:color w:val="000000" w:themeColor="text1"/>
              </w:rPr>
              <w:t>4) у абзаці шостому частини першої статті 26 слова "фондовому ринку" замінити словами "ринках капіталу".</w:t>
            </w:r>
          </w:p>
        </w:tc>
        <w:tc>
          <w:tcPr>
            <w:tcW w:w="3686" w:type="dxa"/>
          </w:tcPr>
          <w:p w14:paraId="48E6CD71" w14:textId="77777777" w:rsidR="00630147" w:rsidRPr="00286216" w:rsidRDefault="00630147" w:rsidP="00630147">
            <w:pPr>
              <w:pStyle w:val="StyleProp"/>
              <w:rPr>
                <w:color w:val="000000" w:themeColor="text1"/>
                <w:szCs w:val="18"/>
              </w:rPr>
            </w:pPr>
          </w:p>
        </w:tc>
        <w:tc>
          <w:tcPr>
            <w:tcW w:w="1987" w:type="dxa"/>
          </w:tcPr>
          <w:p w14:paraId="596433CD" w14:textId="77777777" w:rsidR="00630147" w:rsidRPr="00286216" w:rsidRDefault="00630147" w:rsidP="00630147">
            <w:pPr>
              <w:pStyle w:val="StyleWisnow"/>
              <w:rPr>
                <w:color w:val="000000" w:themeColor="text1"/>
              </w:rPr>
            </w:pPr>
          </w:p>
        </w:tc>
        <w:tc>
          <w:tcPr>
            <w:tcW w:w="4818" w:type="dxa"/>
          </w:tcPr>
          <w:p w14:paraId="742431CF" w14:textId="4D90E2AF" w:rsidR="00630147" w:rsidRPr="00286216" w:rsidRDefault="00630147" w:rsidP="00630147">
            <w:pPr>
              <w:pStyle w:val="StyleZakonu"/>
              <w:rPr>
                <w:color w:val="000000" w:themeColor="text1"/>
              </w:rPr>
            </w:pPr>
            <w:r w:rsidRPr="00286216">
              <w:rPr>
                <w:color w:val="000000" w:themeColor="text1"/>
              </w:rPr>
              <w:t>4) в абзаці шостому частини першої статті 26 слова "фондовому ринку" замінити словами "ринках капіталу".</w:t>
            </w:r>
          </w:p>
        </w:tc>
      </w:tr>
      <w:tr w:rsidR="00630147" w:rsidRPr="00286216" w14:paraId="262215BB" w14:textId="77777777" w:rsidTr="00091AA5">
        <w:tc>
          <w:tcPr>
            <w:tcW w:w="576" w:type="dxa"/>
          </w:tcPr>
          <w:p w14:paraId="7B7DBF01" w14:textId="77777777" w:rsidR="00630147" w:rsidRPr="00286216" w:rsidRDefault="00630147" w:rsidP="00630147">
            <w:pPr>
              <w:pStyle w:val="StyleWisnow"/>
              <w:rPr>
                <w:color w:val="000000" w:themeColor="text1"/>
              </w:rPr>
            </w:pPr>
            <w:bookmarkStart w:id="3161" w:name="n3291" w:colFirst="0" w:colLast="0"/>
            <w:bookmarkEnd w:id="3160"/>
            <w:r w:rsidRPr="00286216">
              <w:rPr>
                <w:color w:val="000000" w:themeColor="text1"/>
              </w:rPr>
              <w:t>3291.</w:t>
            </w:r>
          </w:p>
        </w:tc>
        <w:tc>
          <w:tcPr>
            <w:tcW w:w="4818" w:type="dxa"/>
          </w:tcPr>
          <w:p w14:paraId="22158C57" w14:textId="77777777" w:rsidR="00630147" w:rsidRPr="00286216" w:rsidRDefault="00630147" w:rsidP="00630147">
            <w:pPr>
              <w:pStyle w:val="StyleZakonu"/>
              <w:rPr>
                <w:color w:val="000000" w:themeColor="text1"/>
              </w:rPr>
            </w:pPr>
            <w:r w:rsidRPr="00286216">
              <w:rPr>
                <w:color w:val="000000" w:themeColor="text1"/>
              </w:rPr>
              <w:t>32. У Законі України "Про забезпечення вимог кредиторів та реєстрацію обтяжень" (Відомості Верховної Ради України, 2004 р., №11, ст. 140, із наступними змінами):</w:t>
            </w:r>
          </w:p>
        </w:tc>
        <w:tc>
          <w:tcPr>
            <w:tcW w:w="3686" w:type="dxa"/>
          </w:tcPr>
          <w:p w14:paraId="2FB5AC90" w14:textId="77777777" w:rsidR="00630147" w:rsidRPr="00286216" w:rsidRDefault="00630147" w:rsidP="00630147">
            <w:pPr>
              <w:pStyle w:val="StyleProp"/>
              <w:rPr>
                <w:color w:val="000000" w:themeColor="text1"/>
                <w:szCs w:val="18"/>
              </w:rPr>
            </w:pPr>
          </w:p>
        </w:tc>
        <w:tc>
          <w:tcPr>
            <w:tcW w:w="1987" w:type="dxa"/>
          </w:tcPr>
          <w:p w14:paraId="67A9EAAD" w14:textId="77777777" w:rsidR="00630147" w:rsidRPr="00286216" w:rsidRDefault="00630147" w:rsidP="00630147">
            <w:pPr>
              <w:pStyle w:val="StyleWisnow"/>
              <w:rPr>
                <w:color w:val="000000" w:themeColor="text1"/>
              </w:rPr>
            </w:pPr>
          </w:p>
        </w:tc>
        <w:tc>
          <w:tcPr>
            <w:tcW w:w="4818" w:type="dxa"/>
          </w:tcPr>
          <w:p w14:paraId="7C9CCAEE" w14:textId="433A3078" w:rsidR="00630147" w:rsidRPr="00286216" w:rsidRDefault="00630147" w:rsidP="00630147">
            <w:pPr>
              <w:pStyle w:val="StyleZakonu"/>
              <w:rPr>
                <w:color w:val="000000" w:themeColor="text1"/>
              </w:rPr>
            </w:pPr>
            <w:r w:rsidRPr="00286216">
              <w:rPr>
                <w:color w:val="000000" w:themeColor="text1"/>
              </w:rPr>
              <w:t>29. У Законі України "Про забезпечення вимог кредиторів та реєстрацію обтяжень" (Відомості Верховної Ради України, 2004 р., №11, ст. 140 із наступними змінами):</w:t>
            </w:r>
          </w:p>
        </w:tc>
      </w:tr>
      <w:tr w:rsidR="00630147" w:rsidRPr="00286216" w14:paraId="4891379C" w14:textId="77777777" w:rsidTr="00091AA5">
        <w:tc>
          <w:tcPr>
            <w:tcW w:w="576" w:type="dxa"/>
          </w:tcPr>
          <w:p w14:paraId="04A877C9" w14:textId="77777777" w:rsidR="00630147" w:rsidRPr="00286216" w:rsidRDefault="00630147" w:rsidP="00630147">
            <w:pPr>
              <w:pStyle w:val="StyleWisnow"/>
              <w:rPr>
                <w:color w:val="000000" w:themeColor="text1"/>
              </w:rPr>
            </w:pPr>
            <w:bookmarkStart w:id="3162" w:name="n3292" w:colFirst="0" w:colLast="0"/>
            <w:bookmarkEnd w:id="3161"/>
            <w:r w:rsidRPr="00286216">
              <w:rPr>
                <w:color w:val="000000" w:themeColor="text1"/>
              </w:rPr>
              <w:t>3292.</w:t>
            </w:r>
          </w:p>
        </w:tc>
        <w:tc>
          <w:tcPr>
            <w:tcW w:w="4818" w:type="dxa"/>
          </w:tcPr>
          <w:p w14:paraId="4E080D1F" w14:textId="77777777" w:rsidR="00630147" w:rsidRPr="00286216" w:rsidRDefault="00630147" w:rsidP="00630147">
            <w:pPr>
              <w:pStyle w:val="StyleZakonu"/>
              <w:rPr>
                <w:color w:val="000000" w:themeColor="text1"/>
              </w:rPr>
            </w:pPr>
            <w:r w:rsidRPr="00286216">
              <w:rPr>
                <w:color w:val="000000" w:themeColor="text1"/>
              </w:rPr>
              <w:t>1) в абзаці одинадцятий статті 2 слова "відповідно до" замінити словами ", що випливає з";</w:t>
            </w:r>
          </w:p>
        </w:tc>
        <w:tc>
          <w:tcPr>
            <w:tcW w:w="3686" w:type="dxa"/>
          </w:tcPr>
          <w:p w14:paraId="25EC3375" w14:textId="77777777" w:rsidR="00630147" w:rsidRPr="00286216" w:rsidRDefault="00630147" w:rsidP="00630147">
            <w:pPr>
              <w:pStyle w:val="StyleProp"/>
              <w:rPr>
                <w:color w:val="000000" w:themeColor="text1"/>
                <w:szCs w:val="18"/>
              </w:rPr>
            </w:pPr>
          </w:p>
        </w:tc>
        <w:tc>
          <w:tcPr>
            <w:tcW w:w="1987" w:type="dxa"/>
          </w:tcPr>
          <w:p w14:paraId="717ED722" w14:textId="77777777" w:rsidR="00630147" w:rsidRPr="00286216" w:rsidRDefault="00630147" w:rsidP="00630147">
            <w:pPr>
              <w:pStyle w:val="StyleWisnow"/>
              <w:rPr>
                <w:color w:val="000000" w:themeColor="text1"/>
              </w:rPr>
            </w:pPr>
          </w:p>
        </w:tc>
        <w:tc>
          <w:tcPr>
            <w:tcW w:w="4818" w:type="dxa"/>
          </w:tcPr>
          <w:p w14:paraId="2A102612" w14:textId="17DD7BB0" w:rsidR="00630147" w:rsidRPr="00286216" w:rsidRDefault="00630147" w:rsidP="00630147">
            <w:pPr>
              <w:pStyle w:val="StyleZakonu"/>
              <w:rPr>
                <w:color w:val="000000" w:themeColor="text1"/>
              </w:rPr>
            </w:pPr>
            <w:r w:rsidRPr="00286216">
              <w:rPr>
                <w:color w:val="000000" w:themeColor="text1"/>
              </w:rPr>
              <w:t>1) в абзаці одинадцятому статті 2 слова "відповідно до" замінити словами ", що випливає з";</w:t>
            </w:r>
          </w:p>
        </w:tc>
      </w:tr>
      <w:tr w:rsidR="00630147" w:rsidRPr="00286216" w14:paraId="063C6434" w14:textId="77777777" w:rsidTr="00091AA5">
        <w:tc>
          <w:tcPr>
            <w:tcW w:w="576" w:type="dxa"/>
          </w:tcPr>
          <w:p w14:paraId="060F48EC" w14:textId="77777777" w:rsidR="00630147" w:rsidRPr="00286216" w:rsidRDefault="00630147" w:rsidP="00630147">
            <w:pPr>
              <w:pStyle w:val="StyleWisnow"/>
              <w:rPr>
                <w:color w:val="000000" w:themeColor="text1"/>
              </w:rPr>
            </w:pPr>
            <w:bookmarkStart w:id="3163" w:name="n3293" w:colFirst="0" w:colLast="0"/>
            <w:bookmarkEnd w:id="3162"/>
            <w:r w:rsidRPr="00286216">
              <w:rPr>
                <w:color w:val="000000" w:themeColor="text1"/>
              </w:rPr>
              <w:t>3293.</w:t>
            </w:r>
          </w:p>
        </w:tc>
        <w:tc>
          <w:tcPr>
            <w:tcW w:w="4818" w:type="dxa"/>
          </w:tcPr>
          <w:p w14:paraId="136D32C5" w14:textId="77777777" w:rsidR="00630147" w:rsidRPr="00286216" w:rsidRDefault="00630147" w:rsidP="00630147">
            <w:pPr>
              <w:pStyle w:val="StyleZakonu"/>
              <w:rPr>
                <w:color w:val="000000" w:themeColor="text1"/>
              </w:rPr>
            </w:pPr>
            <w:r w:rsidRPr="00286216">
              <w:rPr>
                <w:color w:val="000000" w:themeColor="text1"/>
              </w:rPr>
              <w:t>2) частину другу статті 3 доповнити новим реченням такого змісту:</w:t>
            </w:r>
          </w:p>
        </w:tc>
        <w:tc>
          <w:tcPr>
            <w:tcW w:w="3686" w:type="dxa"/>
          </w:tcPr>
          <w:p w14:paraId="5F416969" w14:textId="77777777" w:rsidR="00630147" w:rsidRPr="00286216" w:rsidRDefault="00630147" w:rsidP="00630147">
            <w:pPr>
              <w:pStyle w:val="StyleProp"/>
              <w:rPr>
                <w:color w:val="000000" w:themeColor="text1"/>
                <w:szCs w:val="18"/>
              </w:rPr>
            </w:pPr>
          </w:p>
        </w:tc>
        <w:tc>
          <w:tcPr>
            <w:tcW w:w="1987" w:type="dxa"/>
          </w:tcPr>
          <w:p w14:paraId="6B75C3AC" w14:textId="77777777" w:rsidR="00630147" w:rsidRPr="00286216" w:rsidRDefault="00630147" w:rsidP="00630147">
            <w:pPr>
              <w:pStyle w:val="StyleWisnow"/>
              <w:rPr>
                <w:color w:val="000000" w:themeColor="text1"/>
              </w:rPr>
            </w:pPr>
          </w:p>
        </w:tc>
        <w:tc>
          <w:tcPr>
            <w:tcW w:w="4818" w:type="dxa"/>
          </w:tcPr>
          <w:p w14:paraId="1FE09838" w14:textId="4C4ADD5E" w:rsidR="00630147" w:rsidRPr="00286216" w:rsidRDefault="00630147" w:rsidP="00630147">
            <w:pPr>
              <w:pStyle w:val="StyleZakonu"/>
              <w:rPr>
                <w:color w:val="000000" w:themeColor="text1"/>
              </w:rPr>
            </w:pPr>
            <w:r w:rsidRPr="00286216">
              <w:rPr>
                <w:color w:val="000000" w:themeColor="text1"/>
              </w:rPr>
              <w:t>2) частину другу статті 3 доповнити реченням другим такого змісту:</w:t>
            </w:r>
          </w:p>
        </w:tc>
      </w:tr>
      <w:tr w:rsidR="00630147" w:rsidRPr="00286216" w14:paraId="5EB79DC4" w14:textId="77777777" w:rsidTr="00091AA5">
        <w:tc>
          <w:tcPr>
            <w:tcW w:w="576" w:type="dxa"/>
          </w:tcPr>
          <w:p w14:paraId="55DCD9C9" w14:textId="77777777" w:rsidR="00630147" w:rsidRPr="00286216" w:rsidRDefault="00630147" w:rsidP="00630147">
            <w:pPr>
              <w:pStyle w:val="StyleWisnow"/>
              <w:rPr>
                <w:color w:val="000000" w:themeColor="text1"/>
              </w:rPr>
            </w:pPr>
            <w:bookmarkStart w:id="3164" w:name="n3294" w:colFirst="0" w:colLast="0"/>
            <w:bookmarkEnd w:id="3163"/>
            <w:r w:rsidRPr="00286216">
              <w:rPr>
                <w:color w:val="000000" w:themeColor="text1"/>
              </w:rPr>
              <w:t>3294.</w:t>
            </w:r>
          </w:p>
        </w:tc>
        <w:tc>
          <w:tcPr>
            <w:tcW w:w="4818" w:type="dxa"/>
          </w:tcPr>
          <w:p w14:paraId="149BC505" w14:textId="77777777" w:rsidR="00630147" w:rsidRPr="00286216" w:rsidRDefault="00630147" w:rsidP="00630147">
            <w:pPr>
              <w:pStyle w:val="StyleZakonu"/>
              <w:rPr>
                <w:color w:val="000000" w:themeColor="text1"/>
              </w:rPr>
            </w:pPr>
            <w:r w:rsidRPr="00286216">
              <w:rPr>
                <w:color w:val="000000" w:themeColor="text1"/>
              </w:rPr>
              <w:t>"У випадках, встановлених законом, права і обов’язки, пов’язані з обтяженням, виникають у третіх осіб.";</w:t>
            </w:r>
          </w:p>
        </w:tc>
        <w:tc>
          <w:tcPr>
            <w:tcW w:w="3686" w:type="dxa"/>
          </w:tcPr>
          <w:p w14:paraId="36E211DB" w14:textId="77777777" w:rsidR="00630147" w:rsidRPr="00286216" w:rsidRDefault="00630147" w:rsidP="00630147">
            <w:pPr>
              <w:pStyle w:val="StyleProp"/>
              <w:rPr>
                <w:color w:val="000000" w:themeColor="text1"/>
                <w:szCs w:val="18"/>
              </w:rPr>
            </w:pPr>
          </w:p>
        </w:tc>
        <w:tc>
          <w:tcPr>
            <w:tcW w:w="1987" w:type="dxa"/>
          </w:tcPr>
          <w:p w14:paraId="19D3CB83" w14:textId="77777777" w:rsidR="00630147" w:rsidRPr="00286216" w:rsidRDefault="00630147" w:rsidP="00630147">
            <w:pPr>
              <w:pStyle w:val="StyleWisnow"/>
              <w:rPr>
                <w:color w:val="000000" w:themeColor="text1"/>
              </w:rPr>
            </w:pPr>
          </w:p>
        </w:tc>
        <w:tc>
          <w:tcPr>
            <w:tcW w:w="4818" w:type="dxa"/>
          </w:tcPr>
          <w:p w14:paraId="6D3328F8" w14:textId="02889209" w:rsidR="00630147" w:rsidRPr="00286216" w:rsidRDefault="00630147" w:rsidP="00630147">
            <w:pPr>
              <w:pStyle w:val="StyleZakonu"/>
              <w:rPr>
                <w:color w:val="000000" w:themeColor="text1"/>
              </w:rPr>
            </w:pPr>
            <w:r w:rsidRPr="00286216">
              <w:rPr>
                <w:color w:val="000000" w:themeColor="text1"/>
              </w:rPr>
              <w:t>"У випадках, встановлених законом, права і обов’язки, пов’язані з обтяженням, виникають у третіх осіб";</w:t>
            </w:r>
          </w:p>
        </w:tc>
      </w:tr>
      <w:tr w:rsidR="00630147" w:rsidRPr="00286216" w14:paraId="6A4DCA40" w14:textId="77777777" w:rsidTr="00091AA5">
        <w:tc>
          <w:tcPr>
            <w:tcW w:w="576" w:type="dxa"/>
          </w:tcPr>
          <w:p w14:paraId="452C42CB" w14:textId="77777777" w:rsidR="00630147" w:rsidRPr="00286216" w:rsidRDefault="00630147" w:rsidP="00630147">
            <w:pPr>
              <w:pStyle w:val="StyleWisnow"/>
              <w:rPr>
                <w:color w:val="000000" w:themeColor="text1"/>
              </w:rPr>
            </w:pPr>
            <w:bookmarkStart w:id="3165" w:name="n3295" w:colFirst="0" w:colLast="0"/>
            <w:bookmarkEnd w:id="3164"/>
            <w:r w:rsidRPr="00286216">
              <w:rPr>
                <w:color w:val="000000" w:themeColor="text1"/>
              </w:rPr>
              <w:t>3295.</w:t>
            </w:r>
          </w:p>
        </w:tc>
        <w:tc>
          <w:tcPr>
            <w:tcW w:w="4818" w:type="dxa"/>
          </w:tcPr>
          <w:p w14:paraId="4E0B3060" w14:textId="77777777" w:rsidR="00630147" w:rsidRPr="00286216" w:rsidRDefault="00630147" w:rsidP="00630147">
            <w:pPr>
              <w:pStyle w:val="StyleZakonu"/>
              <w:rPr>
                <w:color w:val="000000" w:themeColor="text1"/>
              </w:rPr>
            </w:pPr>
            <w:r w:rsidRPr="00286216">
              <w:rPr>
                <w:color w:val="000000" w:themeColor="text1"/>
              </w:rPr>
              <w:t>3) частину третю статті 5 після слів "майно, яке стане" доповнити словами "та/або може стати";</w:t>
            </w:r>
          </w:p>
        </w:tc>
        <w:tc>
          <w:tcPr>
            <w:tcW w:w="3686" w:type="dxa"/>
          </w:tcPr>
          <w:p w14:paraId="1E4BA96B" w14:textId="77777777" w:rsidR="00630147" w:rsidRPr="00286216" w:rsidRDefault="00630147" w:rsidP="00630147">
            <w:pPr>
              <w:pStyle w:val="StyleProp"/>
              <w:rPr>
                <w:color w:val="000000" w:themeColor="text1"/>
                <w:szCs w:val="18"/>
              </w:rPr>
            </w:pPr>
          </w:p>
        </w:tc>
        <w:tc>
          <w:tcPr>
            <w:tcW w:w="1987" w:type="dxa"/>
          </w:tcPr>
          <w:p w14:paraId="57AF3FD7" w14:textId="77777777" w:rsidR="00630147" w:rsidRPr="00286216" w:rsidRDefault="00630147" w:rsidP="00630147">
            <w:pPr>
              <w:pStyle w:val="StyleWisnow"/>
              <w:rPr>
                <w:color w:val="000000" w:themeColor="text1"/>
              </w:rPr>
            </w:pPr>
          </w:p>
        </w:tc>
        <w:tc>
          <w:tcPr>
            <w:tcW w:w="4818" w:type="dxa"/>
          </w:tcPr>
          <w:p w14:paraId="7931105D" w14:textId="425B82B8" w:rsidR="00630147" w:rsidRPr="00286216" w:rsidRDefault="00630147" w:rsidP="00630147">
            <w:pPr>
              <w:pStyle w:val="StyleZakonu"/>
              <w:rPr>
                <w:color w:val="000000" w:themeColor="text1"/>
              </w:rPr>
            </w:pPr>
            <w:r w:rsidRPr="00286216">
              <w:rPr>
                <w:color w:val="000000" w:themeColor="text1"/>
              </w:rPr>
              <w:t>3) частину третю статті 5 після слів "майно, яке стане" доповнити словами "та/або може стати";</w:t>
            </w:r>
          </w:p>
        </w:tc>
      </w:tr>
      <w:tr w:rsidR="00630147" w:rsidRPr="00286216" w14:paraId="71F42D2F" w14:textId="77777777" w:rsidTr="00091AA5">
        <w:tc>
          <w:tcPr>
            <w:tcW w:w="576" w:type="dxa"/>
          </w:tcPr>
          <w:p w14:paraId="4554ECDD" w14:textId="77777777" w:rsidR="00630147" w:rsidRPr="00286216" w:rsidRDefault="00630147" w:rsidP="00630147">
            <w:pPr>
              <w:pStyle w:val="StyleWisnow"/>
              <w:rPr>
                <w:color w:val="000000" w:themeColor="text1"/>
              </w:rPr>
            </w:pPr>
            <w:bookmarkStart w:id="3166" w:name="n3296" w:colFirst="0" w:colLast="0"/>
            <w:bookmarkEnd w:id="3165"/>
            <w:r w:rsidRPr="00286216">
              <w:rPr>
                <w:color w:val="000000" w:themeColor="text1"/>
              </w:rPr>
              <w:t>3296.</w:t>
            </w:r>
          </w:p>
        </w:tc>
        <w:tc>
          <w:tcPr>
            <w:tcW w:w="4818" w:type="dxa"/>
          </w:tcPr>
          <w:p w14:paraId="660FBE8A" w14:textId="77777777" w:rsidR="00630147" w:rsidRPr="00286216" w:rsidRDefault="00630147" w:rsidP="00630147">
            <w:pPr>
              <w:pStyle w:val="StyleZakonu"/>
              <w:rPr>
                <w:color w:val="000000" w:themeColor="text1"/>
              </w:rPr>
            </w:pPr>
            <w:r w:rsidRPr="00286216">
              <w:rPr>
                <w:color w:val="000000" w:themeColor="text1"/>
              </w:rPr>
              <w:t>4) статтю 16 викласти в такій редакції:</w:t>
            </w:r>
          </w:p>
        </w:tc>
        <w:tc>
          <w:tcPr>
            <w:tcW w:w="3686" w:type="dxa"/>
          </w:tcPr>
          <w:p w14:paraId="050D8F53" w14:textId="77777777" w:rsidR="00630147" w:rsidRPr="00286216" w:rsidRDefault="00630147" w:rsidP="00630147">
            <w:pPr>
              <w:pStyle w:val="StyleProp"/>
              <w:rPr>
                <w:color w:val="000000" w:themeColor="text1"/>
                <w:szCs w:val="18"/>
              </w:rPr>
            </w:pPr>
          </w:p>
        </w:tc>
        <w:tc>
          <w:tcPr>
            <w:tcW w:w="1987" w:type="dxa"/>
          </w:tcPr>
          <w:p w14:paraId="744018CC" w14:textId="77777777" w:rsidR="00630147" w:rsidRPr="00286216" w:rsidRDefault="00630147" w:rsidP="00630147">
            <w:pPr>
              <w:pStyle w:val="StyleWisnow"/>
              <w:rPr>
                <w:color w:val="000000" w:themeColor="text1"/>
              </w:rPr>
            </w:pPr>
          </w:p>
        </w:tc>
        <w:tc>
          <w:tcPr>
            <w:tcW w:w="4818" w:type="dxa"/>
          </w:tcPr>
          <w:p w14:paraId="5A044C69" w14:textId="1F35BECF" w:rsidR="00630147" w:rsidRPr="00286216" w:rsidRDefault="00630147" w:rsidP="00630147">
            <w:pPr>
              <w:pStyle w:val="StyleZakonu"/>
              <w:rPr>
                <w:color w:val="000000" w:themeColor="text1"/>
              </w:rPr>
            </w:pPr>
            <w:r w:rsidRPr="00286216">
              <w:rPr>
                <w:color w:val="000000" w:themeColor="text1"/>
              </w:rPr>
              <w:t>4) статтю 16 викласти в такій редакції:</w:t>
            </w:r>
          </w:p>
        </w:tc>
      </w:tr>
      <w:tr w:rsidR="00630147" w:rsidRPr="00286216" w14:paraId="45464EB5" w14:textId="77777777" w:rsidTr="00091AA5">
        <w:tc>
          <w:tcPr>
            <w:tcW w:w="576" w:type="dxa"/>
          </w:tcPr>
          <w:p w14:paraId="3F766A7F" w14:textId="77777777" w:rsidR="00630147" w:rsidRPr="00286216" w:rsidRDefault="00630147" w:rsidP="00630147">
            <w:pPr>
              <w:pStyle w:val="StyleWisnow"/>
              <w:rPr>
                <w:color w:val="000000" w:themeColor="text1"/>
              </w:rPr>
            </w:pPr>
            <w:bookmarkStart w:id="3167" w:name="n3297" w:colFirst="0" w:colLast="0"/>
            <w:bookmarkEnd w:id="3166"/>
            <w:r w:rsidRPr="00286216">
              <w:rPr>
                <w:color w:val="000000" w:themeColor="text1"/>
              </w:rPr>
              <w:t>3297.</w:t>
            </w:r>
          </w:p>
        </w:tc>
        <w:tc>
          <w:tcPr>
            <w:tcW w:w="4818" w:type="dxa"/>
          </w:tcPr>
          <w:p w14:paraId="3CE05EE2" w14:textId="77777777" w:rsidR="00630147" w:rsidRPr="00286216" w:rsidRDefault="00630147" w:rsidP="00630147">
            <w:pPr>
              <w:pStyle w:val="StyleZakonu"/>
              <w:rPr>
                <w:color w:val="000000" w:themeColor="text1"/>
              </w:rPr>
            </w:pPr>
            <w:r w:rsidRPr="00286216">
              <w:rPr>
                <w:color w:val="000000" w:themeColor="text1"/>
              </w:rPr>
              <w:t>"Стаття 16. Пріоритет обтяжень, предметом яких є цінні папери (права на цінні папери)</w:t>
            </w:r>
          </w:p>
        </w:tc>
        <w:tc>
          <w:tcPr>
            <w:tcW w:w="3686" w:type="dxa"/>
          </w:tcPr>
          <w:p w14:paraId="06A4C84A" w14:textId="77777777" w:rsidR="00630147" w:rsidRPr="00286216" w:rsidRDefault="00630147" w:rsidP="00630147">
            <w:pPr>
              <w:pStyle w:val="StyleProp"/>
              <w:rPr>
                <w:color w:val="000000" w:themeColor="text1"/>
                <w:szCs w:val="18"/>
              </w:rPr>
            </w:pPr>
          </w:p>
        </w:tc>
        <w:tc>
          <w:tcPr>
            <w:tcW w:w="1987" w:type="dxa"/>
          </w:tcPr>
          <w:p w14:paraId="7AA47D98" w14:textId="77777777" w:rsidR="00630147" w:rsidRPr="00286216" w:rsidRDefault="00630147" w:rsidP="00630147">
            <w:pPr>
              <w:pStyle w:val="StyleWisnow"/>
              <w:rPr>
                <w:color w:val="000000" w:themeColor="text1"/>
              </w:rPr>
            </w:pPr>
          </w:p>
        </w:tc>
        <w:tc>
          <w:tcPr>
            <w:tcW w:w="4818" w:type="dxa"/>
          </w:tcPr>
          <w:p w14:paraId="137331B3" w14:textId="6B4EBC4C" w:rsidR="00630147" w:rsidRPr="00286216" w:rsidRDefault="00630147" w:rsidP="00630147">
            <w:pPr>
              <w:pStyle w:val="StyleZakonu"/>
              <w:rPr>
                <w:color w:val="000000" w:themeColor="text1"/>
              </w:rPr>
            </w:pPr>
            <w:r w:rsidRPr="00286216">
              <w:rPr>
                <w:color w:val="000000" w:themeColor="text1"/>
              </w:rPr>
              <w:t>"Стаття 16. Пріоритет обтяжень, предметом яких є цінні папери (права на цінні папери)</w:t>
            </w:r>
          </w:p>
        </w:tc>
      </w:tr>
      <w:tr w:rsidR="00630147" w:rsidRPr="00286216" w14:paraId="7C5EF5F4" w14:textId="77777777" w:rsidTr="00091AA5">
        <w:tc>
          <w:tcPr>
            <w:tcW w:w="576" w:type="dxa"/>
          </w:tcPr>
          <w:p w14:paraId="354655D0" w14:textId="77777777" w:rsidR="00630147" w:rsidRPr="00286216" w:rsidRDefault="00630147" w:rsidP="00630147">
            <w:pPr>
              <w:pStyle w:val="StyleWisnow"/>
              <w:rPr>
                <w:color w:val="000000" w:themeColor="text1"/>
              </w:rPr>
            </w:pPr>
            <w:bookmarkStart w:id="3168" w:name="n3298" w:colFirst="0" w:colLast="0"/>
            <w:bookmarkEnd w:id="3167"/>
            <w:r w:rsidRPr="00286216">
              <w:rPr>
                <w:color w:val="000000" w:themeColor="text1"/>
              </w:rPr>
              <w:t>3298.</w:t>
            </w:r>
          </w:p>
        </w:tc>
        <w:tc>
          <w:tcPr>
            <w:tcW w:w="4818" w:type="dxa"/>
          </w:tcPr>
          <w:p w14:paraId="6656E128" w14:textId="77777777" w:rsidR="00630147" w:rsidRPr="00286216" w:rsidRDefault="00630147" w:rsidP="00630147">
            <w:pPr>
              <w:pStyle w:val="StyleZakonu"/>
              <w:rPr>
                <w:color w:val="000000" w:themeColor="text1"/>
              </w:rPr>
            </w:pPr>
            <w:r w:rsidRPr="00286216">
              <w:rPr>
                <w:color w:val="000000" w:themeColor="text1"/>
              </w:rPr>
              <w:t>Пріоритет обтяжень, предметом яких є цінні папери (права на цінні папери), визначається з моменту реєстрації таких обтяжень, крім випадків, передбачених частинами другою і третьою цієї статті.</w:t>
            </w:r>
          </w:p>
        </w:tc>
        <w:tc>
          <w:tcPr>
            <w:tcW w:w="3686" w:type="dxa"/>
          </w:tcPr>
          <w:p w14:paraId="2E089825" w14:textId="77777777" w:rsidR="00630147" w:rsidRPr="00286216" w:rsidRDefault="00630147" w:rsidP="00630147">
            <w:pPr>
              <w:pStyle w:val="StyleProp"/>
              <w:rPr>
                <w:color w:val="000000" w:themeColor="text1"/>
                <w:szCs w:val="18"/>
              </w:rPr>
            </w:pPr>
          </w:p>
        </w:tc>
        <w:tc>
          <w:tcPr>
            <w:tcW w:w="1987" w:type="dxa"/>
          </w:tcPr>
          <w:p w14:paraId="1AC18A67" w14:textId="77777777" w:rsidR="00630147" w:rsidRPr="00286216" w:rsidRDefault="00630147" w:rsidP="00630147">
            <w:pPr>
              <w:pStyle w:val="StyleWisnow"/>
              <w:rPr>
                <w:color w:val="000000" w:themeColor="text1"/>
              </w:rPr>
            </w:pPr>
          </w:p>
        </w:tc>
        <w:tc>
          <w:tcPr>
            <w:tcW w:w="4818" w:type="dxa"/>
          </w:tcPr>
          <w:p w14:paraId="0DE7456C" w14:textId="34F06BFC" w:rsidR="00630147" w:rsidRPr="00286216" w:rsidRDefault="00630147" w:rsidP="00630147">
            <w:pPr>
              <w:pStyle w:val="StyleZakonu"/>
              <w:rPr>
                <w:color w:val="000000" w:themeColor="text1"/>
              </w:rPr>
            </w:pPr>
            <w:r w:rsidRPr="00286216">
              <w:rPr>
                <w:color w:val="000000" w:themeColor="text1"/>
              </w:rPr>
              <w:t>Пріоритет обтяжень, предметом яких є цінні папери (права на цінні папери), визначається з моменту реєстрації таких обтяжень, крім випадків, передбачених частинами другою і третьою цієї статті.</w:t>
            </w:r>
          </w:p>
        </w:tc>
      </w:tr>
      <w:tr w:rsidR="00630147" w:rsidRPr="00286216" w14:paraId="091939A8" w14:textId="77777777" w:rsidTr="00091AA5">
        <w:tc>
          <w:tcPr>
            <w:tcW w:w="576" w:type="dxa"/>
          </w:tcPr>
          <w:p w14:paraId="620E9AE8" w14:textId="77777777" w:rsidR="00630147" w:rsidRPr="00286216" w:rsidRDefault="00630147" w:rsidP="00630147">
            <w:pPr>
              <w:pStyle w:val="StyleWisnow"/>
              <w:rPr>
                <w:color w:val="000000" w:themeColor="text1"/>
              </w:rPr>
            </w:pPr>
            <w:bookmarkStart w:id="3169" w:name="n3299" w:colFirst="0" w:colLast="0"/>
            <w:bookmarkEnd w:id="3168"/>
            <w:r w:rsidRPr="00286216">
              <w:rPr>
                <w:color w:val="000000" w:themeColor="text1"/>
              </w:rPr>
              <w:t>3299.</w:t>
            </w:r>
          </w:p>
        </w:tc>
        <w:tc>
          <w:tcPr>
            <w:tcW w:w="4818" w:type="dxa"/>
          </w:tcPr>
          <w:p w14:paraId="6559AD7D" w14:textId="77777777" w:rsidR="00630147" w:rsidRPr="00286216" w:rsidRDefault="00630147" w:rsidP="00630147">
            <w:pPr>
              <w:pStyle w:val="StyleZakonu"/>
              <w:rPr>
                <w:color w:val="000000" w:themeColor="text1"/>
              </w:rPr>
            </w:pPr>
            <w:r w:rsidRPr="00286216">
              <w:rPr>
                <w:color w:val="000000" w:themeColor="text1"/>
              </w:rPr>
              <w:t>У разі передачі цінних паперів обтяжувачу пріоритет обтяження, предметом якого є відповідні цінні папери (права на них), встановлюється з моменту передачі, і таке обтяження набирає чинності у відносинах з третіми особами без потреби його реєстрації. У такому разі обтяжувач має вищий пріоритет над усіма іншими обтяженнями, у тому числі зареєстрованими раніше.</w:t>
            </w:r>
          </w:p>
        </w:tc>
        <w:tc>
          <w:tcPr>
            <w:tcW w:w="3686" w:type="dxa"/>
          </w:tcPr>
          <w:p w14:paraId="3C61943D" w14:textId="77777777" w:rsidR="00630147" w:rsidRPr="00286216" w:rsidRDefault="00630147" w:rsidP="00630147">
            <w:pPr>
              <w:pStyle w:val="StyleProp"/>
              <w:rPr>
                <w:color w:val="000000" w:themeColor="text1"/>
                <w:szCs w:val="18"/>
              </w:rPr>
            </w:pPr>
          </w:p>
        </w:tc>
        <w:tc>
          <w:tcPr>
            <w:tcW w:w="1987" w:type="dxa"/>
          </w:tcPr>
          <w:p w14:paraId="0680BD5C" w14:textId="77777777" w:rsidR="00630147" w:rsidRPr="00286216" w:rsidRDefault="00630147" w:rsidP="00630147">
            <w:pPr>
              <w:pStyle w:val="StyleWisnow"/>
              <w:rPr>
                <w:color w:val="000000" w:themeColor="text1"/>
              </w:rPr>
            </w:pPr>
          </w:p>
        </w:tc>
        <w:tc>
          <w:tcPr>
            <w:tcW w:w="4818" w:type="dxa"/>
          </w:tcPr>
          <w:p w14:paraId="13ED13B1" w14:textId="65788929" w:rsidR="00630147" w:rsidRPr="00286216" w:rsidRDefault="00630147" w:rsidP="00630147">
            <w:pPr>
              <w:pStyle w:val="StyleZakonu"/>
              <w:rPr>
                <w:color w:val="000000" w:themeColor="text1"/>
              </w:rPr>
            </w:pPr>
            <w:r w:rsidRPr="00286216">
              <w:rPr>
                <w:color w:val="000000" w:themeColor="text1"/>
              </w:rPr>
              <w:t>У разі передачі цінних паперів обтяжувачу пріоритет обтяження, предметом якого є відповідні цінні папери (права на них), встановлюється з моменту передачі, і таке обтяження набирає чинності у відносинах з третіми особами без потреби його реєстрації. У такому разі обтяжувач має вищий пріоритет над усіма іншими обтяженнями, у тому числі зареєстрованими раніше.</w:t>
            </w:r>
          </w:p>
        </w:tc>
      </w:tr>
      <w:tr w:rsidR="00630147" w:rsidRPr="00286216" w14:paraId="74F18946" w14:textId="77777777" w:rsidTr="00091AA5">
        <w:tc>
          <w:tcPr>
            <w:tcW w:w="576" w:type="dxa"/>
          </w:tcPr>
          <w:p w14:paraId="27C59908" w14:textId="77777777" w:rsidR="00630147" w:rsidRPr="00286216" w:rsidRDefault="00630147" w:rsidP="00630147">
            <w:pPr>
              <w:pStyle w:val="StyleWisnow"/>
              <w:rPr>
                <w:color w:val="000000" w:themeColor="text1"/>
              </w:rPr>
            </w:pPr>
            <w:bookmarkStart w:id="3170" w:name="n3300" w:colFirst="0" w:colLast="0"/>
            <w:bookmarkEnd w:id="3169"/>
            <w:r w:rsidRPr="00286216">
              <w:rPr>
                <w:color w:val="000000" w:themeColor="text1"/>
              </w:rPr>
              <w:t>3300.</w:t>
            </w:r>
          </w:p>
        </w:tc>
        <w:tc>
          <w:tcPr>
            <w:tcW w:w="4818" w:type="dxa"/>
          </w:tcPr>
          <w:p w14:paraId="628C87D1" w14:textId="77777777" w:rsidR="00630147" w:rsidRPr="00286216" w:rsidRDefault="00630147" w:rsidP="00630147">
            <w:pPr>
              <w:pStyle w:val="StyleZakonu"/>
              <w:rPr>
                <w:color w:val="000000" w:themeColor="text1"/>
              </w:rPr>
            </w:pPr>
            <w:r w:rsidRPr="00286216">
              <w:rPr>
                <w:color w:val="000000" w:themeColor="text1"/>
              </w:rPr>
              <w:t>Обтяження, предметом яких є цінні папери (права на цінні папери), що існують в бездокументарній формі і не передаються обтяжувачу, набирають чинності у відносинах з третіми особами, і їх пріоритет визначається з моменту встановлення обмеження щодо обігу таких цінних паперів у зв’язку з відповідним обтяженням відповідно до законодавства про депозитарну систему України.";</w:t>
            </w:r>
          </w:p>
        </w:tc>
        <w:tc>
          <w:tcPr>
            <w:tcW w:w="3686" w:type="dxa"/>
          </w:tcPr>
          <w:p w14:paraId="44435ACE" w14:textId="7922732C"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1413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6FF70AB" w14:textId="77777777" w:rsidR="00630147" w:rsidRPr="00286216" w:rsidRDefault="00630147" w:rsidP="00630147">
            <w:pPr>
              <w:pStyle w:val="StyleProp"/>
              <w:rPr>
                <w:color w:val="000000" w:themeColor="text1"/>
                <w:szCs w:val="18"/>
              </w:rPr>
            </w:pPr>
            <w:r w:rsidRPr="00286216">
              <w:rPr>
                <w:color w:val="000000" w:themeColor="text1"/>
                <w:szCs w:val="18"/>
              </w:rPr>
              <w:t>У абзаці п’ятому підпункту 4 пункту 32 слово «бездокументарній» замінити словом «електронній».</w:t>
            </w:r>
          </w:p>
        </w:tc>
        <w:tc>
          <w:tcPr>
            <w:tcW w:w="1987" w:type="dxa"/>
          </w:tcPr>
          <w:p w14:paraId="7092362C"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34351EF6" w14:textId="243261F6" w:rsidR="00630147" w:rsidRPr="00286216" w:rsidRDefault="00630147" w:rsidP="00630147">
            <w:pPr>
              <w:pStyle w:val="StyleZakonu"/>
              <w:rPr>
                <w:color w:val="000000" w:themeColor="text1"/>
              </w:rPr>
            </w:pPr>
            <w:r w:rsidRPr="00286216">
              <w:rPr>
                <w:color w:val="000000" w:themeColor="text1"/>
              </w:rPr>
              <w:t>Обтяження, предметом яких є цінні папери (права на цінні папери), що існують в електронній формі і не передаються обтяжувачу, набирають чинності у відносинах з третіми особами, і їх пріоритет визначається з моменту встановлення обмеження щодо обігу таких цінних паперів у зв’язку з відповідним обтяженням відповідно до законодавства про депозитарну систему України";</w:t>
            </w:r>
          </w:p>
        </w:tc>
      </w:tr>
      <w:tr w:rsidR="00630147" w:rsidRPr="00286216" w14:paraId="6F6C308A" w14:textId="77777777" w:rsidTr="00091AA5">
        <w:tc>
          <w:tcPr>
            <w:tcW w:w="576" w:type="dxa"/>
          </w:tcPr>
          <w:p w14:paraId="712C2E53" w14:textId="77777777" w:rsidR="00630147" w:rsidRPr="00286216" w:rsidRDefault="00630147" w:rsidP="00630147">
            <w:pPr>
              <w:pStyle w:val="StyleWisnow"/>
              <w:rPr>
                <w:color w:val="000000" w:themeColor="text1"/>
              </w:rPr>
            </w:pPr>
            <w:bookmarkStart w:id="3171" w:name="n3301" w:colFirst="0" w:colLast="0"/>
            <w:bookmarkEnd w:id="3170"/>
            <w:r w:rsidRPr="00286216">
              <w:rPr>
                <w:color w:val="000000" w:themeColor="text1"/>
              </w:rPr>
              <w:t>3301.</w:t>
            </w:r>
          </w:p>
        </w:tc>
        <w:tc>
          <w:tcPr>
            <w:tcW w:w="4818" w:type="dxa"/>
          </w:tcPr>
          <w:p w14:paraId="46FA1592" w14:textId="77777777" w:rsidR="00630147" w:rsidRPr="00286216" w:rsidRDefault="00630147" w:rsidP="00630147">
            <w:pPr>
              <w:pStyle w:val="StyleZakonu"/>
              <w:rPr>
                <w:color w:val="000000" w:themeColor="text1"/>
              </w:rPr>
            </w:pPr>
            <w:r w:rsidRPr="00286216">
              <w:rPr>
                <w:color w:val="000000" w:themeColor="text1"/>
              </w:rPr>
              <w:t>5) доповнити частину першу статті 21 після пункту 3-1 новим пунктом такого змісту:</w:t>
            </w:r>
          </w:p>
        </w:tc>
        <w:tc>
          <w:tcPr>
            <w:tcW w:w="3686" w:type="dxa"/>
          </w:tcPr>
          <w:p w14:paraId="031A5FC7" w14:textId="77777777" w:rsidR="00630147" w:rsidRPr="00286216" w:rsidRDefault="00630147" w:rsidP="00630147">
            <w:pPr>
              <w:pStyle w:val="StyleProp"/>
              <w:rPr>
                <w:color w:val="000000" w:themeColor="text1"/>
                <w:szCs w:val="18"/>
              </w:rPr>
            </w:pPr>
          </w:p>
        </w:tc>
        <w:tc>
          <w:tcPr>
            <w:tcW w:w="1987" w:type="dxa"/>
          </w:tcPr>
          <w:p w14:paraId="25D911B0" w14:textId="77777777" w:rsidR="00630147" w:rsidRPr="00286216" w:rsidRDefault="00630147" w:rsidP="00630147">
            <w:pPr>
              <w:pStyle w:val="StyleWisnow"/>
              <w:rPr>
                <w:color w:val="000000" w:themeColor="text1"/>
              </w:rPr>
            </w:pPr>
          </w:p>
        </w:tc>
        <w:tc>
          <w:tcPr>
            <w:tcW w:w="4818" w:type="dxa"/>
          </w:tcPr>
          <w:p w14:paraId="13884FDB" w14:textId="54DBFC14" w:rsidR="00630147" w:rsidRPr="00286216" w:rsidRDefault="00630147" w:rsidP="00630147">
            <w:pPr>
              <w:pStyle w:val="StyleZakonu"/>
              <w:rPr>
                <w:color w:val="000000" w:themeColor="text1"/>
              </w:rPr>
            </w:pPr>
            <w:r w:rsidRPr="00286216">
              <w:rPr>
                <w:color w:val="000000" w:themeColor="text1"/>
              </w:rPr>
              <w:t>5) частину першу статті 21 доповнити пунктом 3</w:t>
            </w:r>
            <w:r w:rsidRPr="00286216">
              <w:rPr>
                <w:color w:val="000000" w:themeColor="text1"/>
                <w:vertAlign w:val="superscript"/>
              </w:rPr>
              <w:t>2</w:t>
            </w:r>
            <w:r w:rsidRPr="00286216">
              <w:rPr>
                <w:color w:val="000000" w:themeColor="text1"/>
              </w:rPr>
              <w:t xml:space="preserve"> такого змісту:</w:t>
            </w:r>
          </w:p>
        </w:tc>
      </w:tr>
      <w:tr w:rsidR="00630147" w:rsidRPr="00286216" w14:paraId="3CBF706B" w14:textId="77777777" w:rsidTr="00091AA5">
        <w:tc>
          <w:tcPr>
            <w:tcW w:w="576" w:type="dxa"/>
          </w:tcPr>
          <w:p w14:paraId="248F0FE0" w14:textId="77777777" w:rsidR="00630147" w:rsidRPr="00286216" w:rsidRDefault="00630147" w:rsidP="00630147">
            <w:pPr>
              <w:pStyle w:val="StyleWisnow"/>
              <w:rPr>
                <w:color w:val="000000" w:themeColor="text1"/>
              </w:rPr>
            </w:pPr>
            <w:bookmarkStart w:id="3172" w:name="n3302" w:colFirst="0" w:colLast="0"/>
            <w:bookmarkEnd w:id="3171"/>
            <w:r w:rsidRPr="00286216">
              <w:rPr>
                <w:color w:val="000000" w:themeColor="text1"/>
              </w:rPr>
              <w:lastRenderedPageBreak/>
              <w:t>3302.</w:t>
            </w:r>
          </w:p>
        </w:tc>
        <w:tc>
          <w:tcPr>
            <w:tcW w:w="4818" w:type="dxa"/>
          </w:tcPr>
          <w:p w14:paraId="1F60D407" w14:textId="77777777" w:rsidR="00630147" w:rsidRPr="00286216" w:rsidRDefault="00630147" w:rsidP="00630147">
            <w:pPr>
              <w:pStyle w:val="StyleZakonu"/>
              <w:rPr>
                <w:color w:val="000000" w:themeColor="text1"/>
              </w:rPr>
            </w:pPr>
            <w:r w:rsidRPr="00286216">
              <w:rPr>
                <w:color w:val="000000" w:themeColor="text1"/>
              </w:rPr>
              <w:t>"4) право зворотного викупу повністю оплаченого рухомого майна, фінансового інструменту, валюти чи прав грошової вимоги; ".</w:t>
            </w:r>
          </w:p>
        </w:tc>
        <w:tc>
          <w:tcPr>
            <w:tcW w:w="3686" w:type="dxa"/>
          </w:tcPr>
          <w:p w14:paraId="60B2C73D" w14:textId="77777777" w:rsidR="00630147" w:rsidRPr="00286216" w:rsidRDefault="00630147" w:rsidP="00630147">
            <w:pPr>
              <w:pStyle w:val="StyleProp"/>
              <w:rPr>
                <w:color w:val="000000" w:themeColor="text1"/>
                <w:szCs w:val="18"/>
              </w:rPr>
            </w:pPr>
          </w:p>
        </w:tc>
        <w:tc>
          <w:tcPr>
            <w:tcW w:w="1987" w:type="dxa"/>
          </w:tcPr>
          <w:p w14:paraId="45925FED" w14:textId="77777777" w:rsidR="00630147" w:rsidRPr="00286216" w:rsidRDefault="00630147" w:rsidP="00630147">
            <w:pPr>
              <w:pStyle w:val="StyleWisnow"/>
              <w:rPr>
                <w:color w:val="000000" w:themeColor="text1"/>
              </w:rPr>
            </w:pPr>
          </w:p>
        </w:tc>
        <w:tc>
          <w:tcPr>
            <w:tcW w:w="4818" w:type="dxa"/>
          </w:tcPr>
          <w:p w14:paraId="1B76EF1A" w14:textId="5899A54C" w:rsidR="00630147" w:rsidRPr="00286216" w:rsidRDefault="00630147" w:rsidP="00630147">
            <w:pPr>
              <w:pStyle w:val="StyleZakonu"/>
              <w:rPr>
                <w:color w:val="000000" w:themeColor="text1"/>
              </w:rPr>
            </w:pPr>
            <w:r w:rsidRPr="00286216">
              <w:rPr>
                <w:color w:val="000000" w:themeColor="text1"/>
              </w:rPr>
              <w:t>"3</w:t>
            </w:r>
            <w:r w:rsidRPr="00286216">
              <w:rPr>
                <w:color w:val="000000" w:themeColor="text1"/>
                <w:vertAlign w:val="superscript"/>
              </w:rPr>
              <w:t>2</w:t>
            </w:r>
            <w:r w:rsidRPr="00286216">
              <w:rPr>
                <w:color w:val="000000" w:themeColor="text1"/>
              </w:rPr>
              <w:t>) право зворотного викупу повністю оплаченого рухомого майна, фінансового інструменту, валюти чи прав грошової вимоги".</w:t>
            </w:r>
          </w:p>
        </w:tc>
      </w:tr>
      <w:tr w:rsidR="00630147" w:rsidRPr="00286216" w14:paraId="1CAD5B90" w14:textId="77777777" w:rsidTr="00091AA5">
        <w:tc>
          <w:tcPr>
            <w:tcW w:w="576" w:type="dxa"/>
          </w:tcPr>
          <w:p w14:paraId="174886A6" w14:textId="77777777" w:rsidR="00630147" w:rsidRPr="00286216" w:rsidRDefault="00630147" w:rsidP="00630147">
            <w:pPr>
              <w:pStyle w:val="StyleWisnow"/>
              <w:rPr>
                <w:color w:val="000000" w:themeColor="text1"/>
              </w:rPr>
            </w:pPr>
            <w:bookmarkStart w:id="3173" w:name="n3303" w:colFirst="0" w:colLast="0"/>
            <w:bookmarkEnd w:id="3172"/>
            <w:r w:rsidRPr="00286216">
              <w:rPr>
                <w:color w:val="000000" w:themeColor="text1"/>
              </w:rPr>
              <w:t>3303.</w:t>
            </w:r>
          </w:p>
        </w:tc>
        <w:tc>
          <w:tcPr>
            <w:tcW w:w="4818" w:type="dxa"/>
          </w:tcPr>
          <w:p w14:paraId="5462569C" w14:textId="77777777" w:rsidR="00630147" w:rsidRPr="00286216" w:rsidRDefault="00630147" w:rsidP="00630147">
            <w:pPr>
              <w:pStyle w:val="StyleZakonu"/>
              <w:rPr>
                <w:color w:val="000000" w:themeColor="text1"/>
              </w:rPr>
            </w:pPr>
            <w:r w:rsidRPr="00286216">
              <w:rPr>
                <w:color w:val="000000" w:themeColor="text1"/>
              </w:rPr>
              <w:t>У звʼязку з цим пункт четвертий вважати пунктом пʼятим;</w:t>
            </w:r>
          </w:p>
        </w:tc>
        <w:tc>
          <w:tcPr>
            <w:tcW w:w="3686" w:type="dxa"/>
          </w:tcPr>
          <w:p w14:paraId="5BA18360" w14:textId="77777777" w:rsidR="00630147" w:rsidRPr="00286216" w:rsidRDefault="00630147" w:rsidP="00630147">
            <w:pPr>
              <w:pStyle w:val="StyleProp"/>
              <w:rPr>
                <w:color w:val="000000" w:themeColor="text1"/>
                <w:szCs w:val="18"/>
              </w:rPr>
            </w:pPr>
          </w:p>
        </w:tc>
        <w:tc>
          <w:tcPr>
            <w:tcW w:w="1987" w:type="dxa"/>
          </w:tcPr>
          <w:p w14:paraId="5E39D882" w14:textId="77777777" w:rsidR="00630147" w:rsidRPr="00286216" w:rsidRDefault="00630147" w:rsidP="00630147">
            <w:pPr>
              <w:pStyle w:val="StyleWisnow"/>
              <w:rPr>
                <w:color w:val="000000" w:themeColor="text1"/>
              </w:rPr>
            </w:pPr>
          </w:p>
        </w:tc>
        <w:tc>
          <w:tcPr>
            <w:tcW w:w="4818" w:type="dxa"/>
          </w:tcPr>
          <w:p w14:paraId="6C33DCE0" w14:textId="19673C50" w:rsidR="00630147" w:rsidRPr="00286216" w:rsidRDefault="00630147" w:rsidP="00630147">
            <w:pPr>
              <w:pStyle w:val="StyleZakonu"/>
              <w:rPr>
                <w:color w:val="000000" w:themeColor="text1"/>
              </w:rPr>
            </w:pPr>
          </w:p>
        </w:tc>
      </w:tr>
      <w:tr w:rsidR="00630147" w:rsidRPr="00286216" w14:paraId="0C935252" w14:textId="77777777" w:rsidTr="00091AA5">
        <w:tc>
          <w:tcPr>
            <w:tcW w:w="576" w:type="dxa"/>
          </w:tcPr>
          <w:p w14:paraId="419E633A" w14:textId="77777777" w:rsidR="00630147" w:rsidRPr="00286216" w:rsidRDefault="00630147" w:rsidP="00630147">
            <w:pPr>
              <w:pStyle w:val="StyleWisnow"/>
              <w:rPr>
                <w:color w:val="000000" w:themeColor="text1"/>
              </w:rPr>
            </w:pPr>
            <w:bookmarkStart w:id="3174" w:name="n3304" w:colFirst="0" w:colLast="0"/>
            <w:bookmarkEnd w:id="3173"/>
            <w:r w:rsidRPr="00286216">
              <w:rPr>
                <w:color w:val="000000" w:themeColor="text1"/>
              </w:rPr>
              <w:t>3304.</w:t>
            </w:r>
          </w:p>
        </w:tc>
        <w:tc>
          <w:tcPr>
            <w:tcW w:w="4818" w:type="dxa"/>
          </w:tcPr>
          <w:p w14:paraId="74517F95" w14:textId="77777777" w:rsidR="00630147" w:rsidRPr="00286216" w:rsidRDefault="00630147" w:rsidP="00630147">
            <w:pPr>
              <w:pStyle w:val="StyleZakonu"/>
              <w:rPr>
                <w:color w:val="000000" w:themeColor="text1"/>
              </w:rPr>
            </w:pPr>
            <w:r w:rsidRPr="00286216">
              <w:rPr>
                <w:color w:val="000000" w:themeColor="text1"/>
              </w:rPr>
              <w:t>6) у статті 23:</w:t>
            </w:r>
          </w:p>
        </w:tc>
        <w:tc>
          <w:tcPr>
            <w:tcW w:w="3686" w:type="dxa"/>
          </w:tcPr>
          <w:p w14:paraId="75987D53" w14:textId="77777777" w:rsidR="00630147" w:rsidRPr="00286216" w:rsidRDefault="00630147" w:rsidP="00630147">
            <w:pPr>
              <w:pStyle w:val="StyleProp"/>
              <w:rPr>
                <w:color w:val="000000" w:themeColor="text1"/>
                <w:szCs w:val="18"/>
              </w:rPr>
            </w:pPr>
          </w:p>
        </w:tc>
        <w:tc>
          <w:tcPr>
            <w:tcW w:w="1987" w:type="dxa"/>
          </w:tcPr>
          <w:p w14:paraId="760CBF47" w14:textId="77777777" w:rsidR="00630147" w:rsidRPr="00286216" w:rsidRDefault="00630147" w:rsidP="00630147">
            <w:pPr>
              <w:pStyle w:val="StyleWisnow"/>
              <w:rPr>
                <w:color w:val="000000" w:themeColor="text1"/>
              </w:rPr>
            </w:pPr>
          </w:p>
        </w:tc>
        <w:tc>
          <w:tcPr>
            <w:tcW w:w="4818" w:type="dxa"/>
          </w:tcPr>
          <w:p w14:paraId="6212F6CF" w14:textId="0CD271F1" w:rsidR="00630147" w:rsidRPr="00286216" w:rsidRDefault="00630147" w:rsidP="00630147">
            <w:pPr>
              <w:pStyle w:val="StyleZakonu"/>
              <w:rPr>
                <w:color w:val="000000" w:themeColor="text1"/>
              </w:rPr>
            </w:pPr>
            <w:r w:rsidRPr="00286216">
              <w:rPr>
                <w:color w:val="000000" w:themeColor="text1"/>
              </w:rPr>
              <w:t>6) у статті 23:</w:t>
            </w:r>
          </w:p>
        </w:tc>
      </w:tr>
      <w:tr w:rsidR="00630147" w:rsidRPr="00286216" w14:paraId="41034A17" w14:textId="77777777" w:rsidTr="00091AA5">
        <w:tc>
          <w:tcPr>
            <w:tcW w:w="576" w:type="dxa"/>
          </w:tcPr>
          <w:p w14:paraId="0AC9D594" w14:textId="77777777" w:rsidR="00630147" w:rsidRPr="00286216" w:rsidRDefault="00630147" w:rsidP="00630147">
            <w:pPr>
              <w:pStyle w:val="StyleWisnow"/>
              <w:rPr>
                <w:color w:val="000000" w:themeColor="text1"/>
              </w:rPr>
            </w:pPr>
            <w:bookmarkStart w:id="3175" w:name="n3305" w:colFirst="0" w:colLast="0"/>
            <w:bookmarkEnd w:id="3174"/>
            <w:r w:rsidRPr="00286216">
              <w:rPr>
                <w:color w:val="000000" w:themeColor="text1"/>
              </w:rPr>
              <w:t>3305.</w:t>
            </w:r>
          </w:p>
        </w:tc>
        <w:tc>
          <w:tcPr>
            <w:tcW w:w="4818" w:type="dxa"/>
          </w:tcPr>
          <w:p w14:paraId="7C1354AC" w14:textId="77777777" w:rsidR="00630147" w:rsidRPr="00286216" w:rsidRDefault="00630147" w:rsidP="00630147">
            <w:pPr>
              <w:pStyle w:val="StyleZakonu"/>
              <w:rPr>
                <w:color w:val="000000" w:themeColor="text1"/>
              </w:rPr>
            </w:pPr>
            <w:r w:rsidRPr="00286216">
              <w:rPr>
                <w:color w:val="000000" w:themeColor="text1"/>
              </w:rPr>
              <w:t>а) у частині першій слова "якщо інше не передбачено" замінити словами "а також в інших випадках встановлених";</w:t>
            </w:r>
          </w:p>
        </w:tc>
        <w:tc>
          <w:tcPr>
            <w:tcW w:w="3686" w:type="dxa"/>
          </w:tcPr>
          <w:p w14:paraId="0CA43662" w14:textId="77777777" w:rsidR="00630147" w:rsidRPr="00286216" w:rsidRDefault="00630147" w:rsidP="00630147">
            <w:pPr>
              <w:pStyle w:val="StyleProp"/>
              <w:rPr>
                <w:color w:val="000000" w:themeColor="text1"/>
                <w:szCs w:val="18"/>
              </w:rPr>
            </w:pPr>
          </w:p>
        </w:tc>
        <w:tc>
          <w:tcPr>
            <w:tcW w:w="1987" w:type="dxa"/>
          </w:tcPr>
          <w:p w14:paraId="12C716A9" w14:textId="77777777" w:rsidR="00630147" w:rsidRPr="00286216" w:rsidRDefault="00630147" w:rsidP="00630147">
            <w:pPr>
              <w:pStyle w:val="StyleWisnow"/>
              <w:rPr>
                <w:color w:val="000000" w:themeColor="text1"/>
              </w:rPr>
            </w:pPr>
          </w:p>
        </w:tc>
        <w:tc>
          <w:tcPr>
            <w:tcW w:w="4818" w:type="dxa"/>
          </w:tcPr>
          <w:p w14:paraId="7ABD08B0" w14:textId="7B5D22D8" w:rsidR="00630147" w:rsidRPr="00286216" w:rsidRDefault="00630147" w:rsidP="00630147">
            <w:pPr>
              <w:pStyle w:val="StyleZakonu"/>
              <w:rPr>
                <w:color w:val="000000" w:themeColor="text1"/>
              </w:rPr>
            </w:pPr>
            <w:r w:rsidRPr="00286216">
              <w:rPr>
                <w:color w:val="000000" w:themeColor="text1"/>
              </w:rPr>
              <w:t>а) у частині першій слова "якщо інше не передбачено" замінити словами "а також в інших випадках, встановлених";</w:t>
            </w:r>
          </w:p>
        </w:tc>
      </w:tr>
      <w:tr w:rsidR="00630147" w:rsidRPr="00286216" w14:paraId="22F81AB0" w14:textId="77777777" w:rsidTr="00091AA5">
        <w:tc>
          <w:tcPr>
            <w:tcW w:w="576" w:type="dxa"/>
          </w:tcPr>
          <w:p w14:paraId="363E1B77" w14:textId="77777777" w:rsidR="00630147" w:rsidRPr="00286216" w:rsidRDefault="00630147" w:rsidP="00630147">
            <w:pPr>
              <w:pStyle w:val="StyleWisnow"/>
              <w:rPr>
                <w:color w:val="000000" w:themeColor="text1"/>
              </w:rPr>
            </w:pPr>
            <w:bookmarkStart w:id="3176" w:name="n3306" w:colFirst="0" w:colLast="0"/>
            <w:bookmarkEnd w:id="3175"/>
            <w:r w:rsidRPr="00286216">
              <w:rPr>
                <w:color w:val="000000" w:themeColor="text1"/>
              </w:rPr>
              <w:t>3306.</w:t>
            </w:r>
          </w:p>
        </w:tc>
        <w:tc>
          <w:tcPr>
            <w:tcW w:w="4818" w:type="dxa"/>
          </w:tcPr>
          <w:p w14:paraId="07B0662C" w14:textId="77777777" w:rsidR="00630147" w:rsidRPr="00286216" w:rsidRDefault="00630147" w:rsidP="00630147">
            <w:pPr>
              <w:pStyle w:val="StyleZakonu"/>
              <w:rPr>
                <w:color w:val="000000" w:themeColor="text1"/>
              </w:rPr>
            </w:pPr>
            <w:r w:rsidRPr="00286216">
              <w:rPr>
                <w:color w:val="000000" w:themeColor="text1"/>
              </w:rPr>
              <w:t>б) у пункті третьому частини третьої слово "рухоме" виключити;</w:t>
            </w:r>
          </w:p>
        </w:tc>
        <w:tc>
          <w:tcPr>
            <w:tcW w:w="3686" w:type="dxa"/>
          </w:tcPr>
          <w:p w14:paraId="154C5378" w14:textId="77777777" w:rsidR="00630147" w:rsidRPr="00286216" w:rsidRDefault="00630147" w:rsidP="00630147">
            <w:pPr>
              <w:pStyle w:val="StyleProp"/>
              <w:rPr>
                <w:color w:val="000000" w:themeColor="text1"/>
                <w:szCs w:val="18"/>
              </w:rPr>
            </w:pPr>
          </w:p>
        </w:tc>
        <w:tc>
          <w:tcPr>
            <w:tcW w:w="1987" w:type="dxa"/>
          </w:tcPr>
          <w:p w14:paraId="2C2ADFE3" w14:textId="77777777" w:rsidR="00630147" w:rsidRPr="00286216" w:rsidRDefault="00630147" w:rsidP="00630147">
            <w:pPr>
              <w:pStyle w:val="StyleWisnow"/>
              <w:rPr>
                <w:color w:val="000000" w:themeColor="text1"/>
              </w:rPr>
            </w:pPr>
          </w:p>
        </w:tc>
        <w:tc>
          <w:tcPr>
            <w:tcW w:w="4818" w:type="dxa"/>
          </w:tcPr>
          <w:p w14:paraId="03DBD146" w14:textId="3461EC83" w:rsidR="00630147" w:rsidRPr="00286216" w:rsidRDefault="00630147" w:rsidP="00630147">
            <w:pPr>
              <w:pStyle w:val="StyleZakonu"/>
              <w:rPr>
                <w:color w:val="000000" w:themeColor="text1"/>
              </w:rPr>
            </w:pPr>
            <w:r w:rsidRPr="00286216">
              <w:rPr>
                <w:color w:val="000000" w:themeColor="text1"/>
              </w:rPr>
              <w:t>б) у пункті 3 частини третьої слово "рухоме" виключити;</w:t>
            </w:r>
          </w:p>
        </w:tc>
      </w:tr>
      <w:tr w:rsidR="00630147" w:rsidRPr="00286216" w14:paraId="6B662D42" w14:textId="77777777" w:rsidTr="00091AA5">
        <w:tc>
          <w:tcPr>
            <w:tcW w:w="576" w:type="dxa"/>
          </w:tcPr>
          <w:p w14:paraId="23248484" w14:textId="77777777" w:rsidR="00630147" w:rsidRPr="00286216" w:rsidRDefault="00630147" w:rsidP="00630147">
            <w:pPr>
              <w:pStyle w:val="StyleWisnow"/>
              <w:rPr>
                <w:color w:val="000000" w:themeColor="text1"/>
              </w:rPr>
            </w:pPr>
            <w:bookmarkStart w:id="3177" w:name="n3307" w:colFirst="0" w:colLast="0"/>
            <w:bookmarkEnd w:id="3176"/>
            <w:r w:rsidRPr="00286216">
              <w:rPr>
                <w:color w:val="000000" w:themeColor="text1"/>
              </w:rPr>
              <w:t>3307.</w:t>
            </w:r>
          </w:p>
        </w:tc>
        <w:tc>
          <w:tcPr>
            <w:tcW w:w="4818" w:type="dxa"/>
          </w:tcPr>
          <w:p w14:paraId="4AFC86BB" w14:textId="77777777" w:rsidR="00630147" w:rsidRPr="00286216" w:rsidRDefault="00630147" w:rsidP="00630147">
            <w:pPr>
              <w:pStyle w:val="StyleZakonu"/>
              <w:rPr>
                <w:color w:val="000000" w:themeColor="text1"/>
              </w:rPr>
            </w:pPr>
            <w:r w:rsidRPr="00286216">
              <w:rPr>
                <w:color w:val="000000" w:themeColor="text1"/>
              </w:rPr>
              <w:t>7) пункт перший частини першої статті 26 доповнити словами "(в тому числі передача цінних паперів бездокументарної форми існування у власність обтяжувача відповідно до законодавства про депозитарну систему України)";</w:t>
            </w:r>
          </w:p>
        </w:tc>
        <w:tc>
          <w:tcPr>
            <w:tcW w:w="3686" w:type="dxa"/>
          </w:tcPr>
          <w:p w14:paraId="54C99869" w14:textId="77777777" w:rsidR="00630147" w:rsidRPr="00286216" w:rsidRDefault="00630147" w:rsidP="00630147">
            <w:pPr>
              <w:pStyle w:val="StyleProp"/>
              <w:rPr>
                <w:color w:val="000000" w:themeColor="text1"/>
                <w:szCs w:val="18"/>
              </w:rPr>
            </w:pPr>
          </w:p>
        </w:tc>
        <w:tc>
          <w:tcPr>
            <w:tcW w:w="1987" w:type="dxa"/>
          </w:tcPr>
          <w:p w14:paraId="54E8E43C" w14:textId="77777777" w:rsidR="00630147" w:rsidRPr="00286216" w:rsidRDefault="00630147" w:rsidP="00630147">
            <w:pPr>
              <w:pStyle w:val="StyleWisnow"/>
              <w:rPr>
                <w:color w:val="000000" w:themeColor="text1"/>
              </w:rPr>
            </w:pPr>
          </w:p>
        </w:tc>
        <w:tc>
          <w:tcPr>
            <w:tcW w:w="4818" w:type="dxa"/>
          </w:tcPr>
          <w:p w14:paraId="0588C7D0" w14:textId="4852E83F" w:rsidR="00630147" w:rsidRPr="00286216" w:rsidRDefault="00630147" w:rsidP="00630147">
            <w:pPr>
              <w:pStyle w:val="StyleZakonu"/>
              <w:rPr>
                <w:color w:val="000000" w:themeColor="text1"/>
              </w:rPr>
            </w:pPr>
            <w:r w:rsidRPr="00286216">
              <w:rPr>
                <w:color w:val="000000" w:themeColor="text1"/>
              </w:rPr>
              <w:t>7) пункт перший частини першої статті 26 доповнити словами "(у тому числі передача цінних паперів бездокументарної форми існування у власність обтяжувача відповідно до законодавства про депозитарну систему України)";</w:t>
            </w:r>
          </w:p>
        </w:tc>
      </w:tr>
      <w:tr w:rsidR="00630147" w:rsidRPr="00286216" w14:paraId="2D47411B" w14:textId="77777777" w:rsidTr="00091AA5">
        <w:tc>
          <w:tcPr>
            <w:tcW w:w="576" w:type="dxa"/>
          </w:tcPr>
          <w:p w14:paraId="49E32DBE" w14:textId="77777777" w:rsidR="00630147" w:rsidRPr="00286216" w:rsidRDefault="00630147" w:rsidP="00630147">
            <w:pPr>
              <w:pStyle w:val="StyleWisnow"/>
              <w:rPr>
                <w:color w:val="000000" w:themeColor="text1"/>
              </w:rPr>
            </w:pPr>
            <w:bookmarkStart w:id="3178" w:name="n3308" w:colFirst="0" w:colLast="0"/>
            <w:bookmarkEnd w:id="3177"/>
            <w:r w:rsidRPr="00286216">
              <w:rPr>
                <w:color w:val="000000" w:themeColor="text1"/>
              </w:rPr>
              <w:t>3308.</w:t>
            </w:r>
          </w:p>
        </w:tc>
        <w:tc>
          <w:tcPr>
            <w:tcW w:w="4818" w:type="dxa"/>
          </w:tcPr>
          <w:p w14:paraId="2B5EBA1A" w14:textId="77777777" w:rsidR="00630147" w:rsidRPr="00286216" w:rsidRDefault="00630147" w:rsidP="00630147">
            <w:pPr>
              <w:pStyle w:val="StyleZakonu"/>
              <w:rPr>
                <w:color w:val="000000" w:themeColor="text1"/>
              </w:rPr>
            </w:pPr>
            <w:r w:rsidRPr="00286216">
              <w:rPr>
                <w:color w:val="000000" w:themeColor="text1"/>
              </w:rPr>
              <w:t>8) у пункті шостому частини другої статті 27 слова "30 днів з моменту реєстрації в Державному реєстрі відомостей про звернення стягнення на предмет забезпечувального обтяження" замінити словами "строку, що визначається згідно з частиною другою статті 28 цього Закону.";</w:t>
            </w:r>
          </w:p>
        </w:tc>
        <w:tc>
          <w:tcPr>
            <w:tcW w:w="3686" w:type="dxa"/>
          </w:tcPr>
          <w:p w14:paraId="6C163662" w14:textId="77777777" w:rsidR="00630147" w:rsidRPr="00286216" w:rsidRDefault="00630147" w:rsidP="00630147">
            <w:pPr>
              <w:pStyle w:val="StyleProp"/>
              <w:rPr>
                <w:color w:val="000000" w:themeColor="text1"/>
                <w:szCs w:val="18"/>
              </w:rPr>
            </w:pPr>
          </w:p>
        </w:tc>
        <w:tc>
          <w:tcPr>
            <w:tcW w:w="1987" w:type="dxa"/>
          </w:tcPr>
          <w:p w14:paraId="2B313D9F" w14:textId="77777777" w:rsidR="00630147" w:rsidRPr="00286216" w:rsidRDefault="00630147" w:rsidP="00630147">
            <w:pPr>
              <w:pStyle w:val="StyleWisnow"/>
              <w:rPr>
                <w:color w:val="000000" w:themeColor="text1"/>
              </w:rPr>
            </w:pPr>
          </w:p>
        </w:tc>
        <w:tc>
          <w:tcPr>
            <w:tcW w:w="4818" w:type="dxa"/>
          </w:tcPr>
          <w:p w14:paraId="1B15C585" w14:textId="55B2315B" w:rsidR="00630147" w:rsidRPr="00286216" w:rsidRDefault="00630147" w:rsidP="00630147">
            <w:pPr>
              <w:pStyle w:val="StyleZakonu"/>
              <w:rPr>
                <w:color w:val="000000" w:themeColor="text1"/>
              </w:rPr>
            </w:pPr>
            <w:r w:rsidRPr="00286216">
              <w:rPr>
                <w:color w:val="000000" w:themeColor="text1"/>
              </w:rPr>
              <w:t>8) у пункті 6 частини другої статті 27 слова і цифри "30 днів з моменту реєстрації в Державному реєстрі відомостей про звернення стягнення на предмет забезпечувального обтяження" замінити словами та цифрами "строку, що визначається згідно з частиною другою статті 28 цього Закону";</w:t>
            </w:r>
          </w:p>
        </w:tc>
      </w:tr>
      <w:tr w:rsidR="00630147" w:rsidRPr="00286216" w14:paraId="6CFE4BA5" w14:textId="77777777" w:rsidTr="00091AA5">
        <w:tc>
          <w:tcPr>
            <w:tcW w:w="576" w:type="dxa"/>
          </w:tcPr>
          <w:p w14:paraId="21996EB8" w14:textId="77777777" w:rsidR="00630147" w:rsidRPr="00286216" w:rsidRDefault="00630147" w:rsidP="00630147">
            <w:pPr>
              <w:pStyle w:val="StyleWisnow"/>
              <w:rPr>
                <w:color w:val="000000" w:themeColor="text1"/>
              </w:rPr>
            </w:pPr>
            <w:bookmarkStart w:id="3179" w:name="n3309" w:colFirst="0" w:colLast="0"/>
            <w:bookmarkEnd w:id="3178"/>
            <w:r w:rsidRPr="00286216">
              <w:rPr>
                <w:color w:val="000000" w:themeColor="text1"/>
              </w:rPr>
              <w:t>3309.</w:t>
            </w:r>
          </w:p>
        </w:tc>
        <w:tc>
          <w:tcPr>
            <w:tcW w:w="4818" w:type="dxa"/>
          </w:tcPr>
          <w:p w14:paraId="16394E61" w14:textId="77777777" w:rsidR="00630147" w:rsidRPr="00286216" w:rsidRDefault="00630147" w:rsidP="00630147">
            <w:pPr>
              <w:pStyle w:val="StyleZakonu"/>
              <w:rPr>
                <w:color w:val="000000" w:themeColor="text1"/>
              </w:rPr>
            </w:pPr>
            <w:r w:rsidRPr="00286216">
              <w:rPr>
                <w:color w:val="000000" w:themeColor="text1"/>
              </w:rPr>
              <w:t>9) у статті 28:</w:t>
            </w:r>
          </w:p>
        </w:tc>
        <w:tc>
          <w:tcPr>
            <w:tcW w:w="3686" w:type="dxa"/>
          </w:tcPr>
          <w:p w14:paraId="2F80A84B" w14:textId="77777777" w:rsidR="00630147" w:rsidRPr="00286216" w:rsidRDefault="00630147" w:rsidP="00630147">
            <w:pPr>
              <w:pStyle w:val="StyleProp"/>
              <w:rPr>
                <w:color w:val="000000" w:themeColor="text1"/>
                <w:szCs w:val="18"/>
              </w:rPr>
            </w:pPr>
          </w:p>
        </w:tc>
        <w:tc>
          <w:tcPr>
            <w:tcW w:w="1987" w:type="dxa"/>
          </w:tcPr>
          <w:p w14:paraId="75C522E7" w14:textId="77777777" w:rsidR="00630147" w:rsidRPr="00286216" w:rsidRDefault="00630147" w:rsidP="00630147">
            <w:pPr>
              <w:pStyle w:val="StyleWisnow"/>
              <w:rPr>
                <w:color w:val="000000" w:themeColor="text1"/>
              </w:rPr>
            </w:pPr>
          </w:p>
        </w:tc>
        <w:tc>
          <w:tcPr>
            <w:tcW w:w="4818" w:type="dxa"/>
          </w:tcPr>
          <w:p w14:paraId="26D8FA12" w14:textId="4A59D68F" w:rsidR="00630147" w:rsidRPr="00286216" w:rsidRDefault="00630147" w:rsidP="00630147">
            <w:pPr>
              <w:pStyle w:val="StyleZakonu"/>
              <w:rPr>
                <w:color w:val="000000" w:themeColor="text1"/>
              </w:rPr>
            </w:pPr>
            <w:r w:rsidRPr="00286216">
              <w:rPr>
                <w:color w:val="000000" w:themeColor="text1"/>
              </w:rPr>
              <w:t>9) у статті 28:</w:t>
            </w:r>
          </w:p>
        </w:tc>
      </w:tr>
      <w:tr w:rsidR="00630147" w:rsidRPr="00286216" w14:paraId="22C6B94F" w14:textId="77777777" w:rsidTr="00091AA5">
        <w:tc>
          <w:tcPr>
            <w:tcW w:w="576" w:type="dxa"/>
          </w:tcPr>
          <w:p w14:paraId="72A8E13D" w14:textId="77777777" w:rsidR="00630147" w:rsidRPr="00286216" w:rsidRDefault="00630147" w:rsidP="00630147">
            <w:pPr>
              <w:pStyle w:val="StyleWisnow"/>
              <w:rPr>
                <w:color w:val="000000" w:themeColor="text1"/>
              </w:rPr>
            </w:pPr>
            <w:bookmarkStart w:id="3180" w:name="n3310" w:colFirst="0" w:colLast="0"/>
            <w:bookmarkEnd w:id="3179"/>
            <w:r w:rsidRPr="00286216">
              <w:rPr>
                <w:color w:val="000000" w:themeColor="text1"/>
              </w:rPr>
              <w:t>3310.</w:t>
            </w:r>
          </w:p>
        </w:tc>
        <w:tc>
          <w:tcPr>
            <w:tcW w:w="4818" w:type="dxa"/>
          </w:tcPr>
          <w:p w14:paraId="53D5DB5E" w14:textId="77777777" w:rsidR="00630147" w:rsidRPr="00286216" w:rsidRDefault="00630147" w:rsidP="00630147">
            <w:pPr>
              <w:pStyle w:val="StyleZakonu"/>
              <w:rPr>
                <w:color w:val="000000" w:themeColor="text1"/>
              </w:rPr>
            </w:pPr>
            <w:r w:rsidRPr="00286216">
              <w:rPr>
                <w:color w:val="000000" w:themeColor="text1"/>
              </w:rPr>
              <w:t>а) частину другу:</w:t>
            </w:r>
          </w:p>
        </w:tc>
        <w:tc>
          <w:tcPr>
            <w:tcW w:w="3686" w:type="dxa"/>
          </w:tcPr>
          <w:p w14:paraId="4E4D88E1" w14:textId="77777777" w:rsidR="00630147" w:rsidRPr="00286216" w:rsidRDefault="00630147" w:rsidP="00630147">
            <w:pPr>
              <w:pStyle w:val="StyleProp"/>
              <w:rPr>
                <w:color w:val="000000" w:themeColor="text1"/>
                <w:szCs w:val="18"/>
              </w:rPr>
            </w:pPr>
          </w:p>
        </w:tc>
        <w:tc>
          <w:tcPr>
            <w:tcW w:w="1987" w:type="dxa"/>
          </w:tcPr>
          <w:p w14:paraId="0F88F084" w14:textId="77777777" w:rsidR="00630147" w:rsidRPr="00286216" w:rsidRDefault="00630147" w:rsidP="00630147">
            <w:pPr>
              <w:pStyle w:val="StyleWisnow"/>
              <w:rPr>
                <w:color w:val="000000" w:themeColor="text1"/>
              </w:rPr>
            </w:pPr>
          </w:p>
        </w:tc>
        <w:tc>
          <w:tcPr>
            <w:tcW w:w="4818" w:type="dxa"/>
          </w:tcPr>
          <w:p w14:paraId="137FA417" w14:textId="6C95B232" w:rsidR="00630147" w:rsidRPr="00286216" w:rsidRDefault="00630147" w:rsidP="00630147">
            <w:pPr>
              <w:pStyle w:val="StyleZakonu"/>
              <w:rPr>
                <w:color w:val="000000" w:themeColor="text1"/>
              </w:rPr>
            </w:pPr>
            <w:r w:rsidRPr="00286216">
              <w:rPr>
                <w:color w:val="000000" w:themeColor="text1"/>
              </w:rPr>
              <w:t>а) у частині другій:</w:t>
            </w:r>
          </w:p>
        </w:tc>
      </w:tr>
      <w:tr w:rsidR="00630147" w:rsidRPr="00286216" w14:paraId="724FFCF6" w14:textId="77777777" w:rsidTr="00091AA5">
        <w:tc>
          <w:tcPr>
            <w:tcW w:w="576" w:type="dxa"/>
          </w:tcPr>
          <w:p w14:paraId="3CBFD2F5" w14:textId="77777777" w:rsidR="00630147" w:rsidRPr="00286216" w:rsidRDefault="00630147" w:rsidP="00630147">
            <w:pPr>
              <w:pStyle w:val="StyleWisnow"/>
              <w:rPr>
                <w:color w:val="000000" w:themeColor="text1"/>
              </w:rPr>
            </w:pPr>
            <w:bookmarkStart w:id="3181" w:name="n3311" w:colFirst="0" w:colLast="0"/>
            <w:bookmarkEnd w:id="3180"/>
            <w:r w:rsidRPr="00286216">
              <w:rPr>
                <w:color w:val="000000" w:themeColor="text1"/>
              </w:rPr>
              <w:t>3311.</w:t>
            </w:r>
          </w:p>
        </w:tc>
        <w:tc>
          <w:tcPr>
            <w:tcW w:w="4818" w:type="dxa"/>
          </w:tcPr>
          <w:p w14:paraId="260CD0E1" w14:textId="77777777" w:rsidR="00630147" w:rsidRPr="00286216" w:rsidRDefault="00630147" w:rsidP="00630147">
            <w:pPr>
              <w:pStyle w:val="StyleZakonu"/>
              <w:rPr>
                <w:color w:val="000000" w:themeColor="text1"/>
              </w:rPr>
            </w:pPr>
            <w:r w:rsidRPr="00286216">
              <w:rPr>
                <w:color w:val="000000" w:themeColor="text1"/>
              </w:rPr>
              <w:t>після слів "предмет забезпечувального обтяження" доповнити словами "або іншого строку, встановленого за домовленістю обтяжувача та боржника, ";</w:t>
            </w:r>
          </w:p>
        </w:tc>
        <w:tc>
          <w:tcPr>
            <w:tcW w:w="3686" w:type="dxa"/>
          </w:tcPr>
          <w:p w14:paraId="54B61357" w14:textId="77777777" w:rsidR="00630147" w:rsidRPr="00286216" w:rsidRDefault="00630147" w:rsidP="00630147">
            <w:pPr>
              <w:pStyle w:val="StyleProp"/>
              <w:rPr>
                <w:color w:val="000000" w:themeColor="text1"/>
                <w:szCs w:val="18"/>
              </w:rPr>
            </w:pPr>
          </w:p>
        </w:tc>
        <w:tc>
          <w:tcPr>
            <w:tcW w:w="1987" w:type="dxa"/>
          </w:tcPr>
          <w:p w14:paraId="6810D502" w14:textId="77777777" w:rsidR="00630147" w:rsidRPr="00286216" w:rsidRDefault="00630147" w:rsidP="00630147">
            <w:pPr>
              <w:pStyle w:val="StyleWisnow"/>
              <w:rPr>
                <w:color w:val="000000" w:themeColor="text1"/>
              </w:rPr>
            </w:pPr>
          </w:p>
        </w:tc>
        <w:tc>
          <w:tcPr>
            <w:tcW w:w="4818" w:type="dxa"/>
          </w:tcPr>
          <w:p w14:paraId="68C896D9" w14:textId="0F41FAC3" w:rsidR="00630147" w:rsidRPr="00286216" w:rsidRDefault="00630147" w:rsidP="00630147">
            <w:pPr>
              <w:pStyle w:val="StyleZakonu"/>
              <w:rPr>
                <w:color w:val="000000" w:themeColor="text1"/>
              </w:rPr>
            </w:pPr>
            <w:r w:rsidRPr="00286216">
              <w:rPr>
                <w:color w:val="000000" w:themeColor="text1"/>
              </w:rPr>
              <w:t>пеше речення після слів "предмет забезпечувального обтяження" доповнити словами "або іншого строку, встановленого за домовленістю обтяжувача та боржника";</w:t>
            </w:r>
          </w:p>
        </w:tc>
      </w:tr>
      <w:tr w:rsidR="00630147" w:rsidRPr="00286216" w14:paraId="4C147D01" w14:textId="77777777" w:rsidTr="00091AA5">
        <w:tc>
          <w:tcPr>
            <w:tcW w:w="576" w:type="dxa"/>
          </w:tcPr>
          <w:p w14:paraId="01A86C6C" w14:textId="77777777" w:rsidR="00630147" w:rsidRPr="00286216" w:rsidRDefault="00630147" w:rsidP="00630147">
            <w:pPr>
              <w:pStyle w:val="StyleWisnow"/>
              <w:rPr>
                <w:color w:val="000000" w:themeColor="text1"/>
              </w:rPr>
            </w:pPr>
            <w:bookmarkStart w:id="3182" w:name="n3312" w:colFirst="0" w:colLast="0"/>
            <w:bookmarkEnd w:id="3181"/>
            <w:r w:rsidRPr="00286216">
              <w:rPr>
                <w:color w:val="000000" w:themeColor="text1"/>
              </w:rPr>
              <w:t>3312.</w:t>
            </w:r>
          </w:p>
        </w:tc>
        <w:tc>
          <w:tcPr>
            <w:tcW w:w="4818" w:type="dxa"/>
          </w:tcPr>
          <w:p w14:paraId="355412DF" w14:textId="77777777" w:rsidR="00630147" w:rsidRPr="00286216" w:rsidRDefault="00630147" w:rsidP="00630147">
            <w:pPr>
              <w:pStyle w:val="StyleZakonu"/>
              <w:rPr>
                <w:color w:val="000000" w:themeColor="text1"/>
              </w:rPr>
            </w:pPr>
            <w:r w:rsidRPr="00286216">
              <w:rPr>
                <w:color w:val="000000" w:themeColor="text1"/>
              </w:rPr>
              <w:t>доповнити частину новим реченням такого змісту:</w:t>
            </w:r>
          </w:p>
        </w:tc>
        <w:tc>
          <w:tcPr>
            <w:tcW w:w="3686" w:type="dxa"/>
          </w:tcPr>
          <w:p w14:paraId="7564D239" w14:textId="77777777" w:rsidR="00630147" w:rsidRPr="00286216" w:rsidRDefault="00630147" w:rsidP="00630147">
            <w:pPr>
              <w:pStyle w:val="StyleProp"/>
              <w:rPr>
                <w:color w:val="000000" w:themeColor="text1"/>
                <w:szCs w:val="18"/>
              </w:rPr>
            </w:pPr>
          </w:p>
        </w:tc>
        <w:tc>
          <w:tcPr>
            <w:tcW w:w="1987" w:type="dxa"/>
          </w:tcPr>
          <w:p w14:paraId="37E1B88D" w14:textId="77777777" w:rsidR="00630147" w:rsidRPr="00286216" w:rsidRDefault="00630147" w:rsidP="00630147">
            <w:pPr>
              <w:pStyle w:val="StyleWisnow"/>
              <w:rPr>
                <w:color w:val="000000" w:themeColor="text1"/>
              </w:rPr>
            </w:pPr>
          </w:p>
        </w:tc>
        <w:tc>
          <w:tcPr>
            <w:tcW w:w="4818" w:type="dxa"/>
          </w:tcPr>
          <w:p w14:paraId="6971C160" w14:textId="69D78E4B" w:rsidR="00630147" w:rsidRPr="00286216" w:rsidRDefault="00630147" w:rsidP="00630147">
            <w:pPr>
              <w:pStyle w:val="StyleZakonu"/>
              <w:rPr>
                <w:color w:val="000000" w:themeColor="text1"/>
              </w:rPr>
            </w:pPr>
            <w:r w:rsidRPr="00286216">
              <w:rPr>
                <w:color w:val="000000" w:themeColor="text1"/>
              </w:rPr>
              <w:t>доповнити реченням третім такого змісту:</w:t>
            </w:r>
          </w:p>
        </w:tc>
      </w:tr>
      <w:tr w:rsidR="00630147" w:rsidRPr="00286216" w14:paraId="743B6DC1" w14:textId="77777777" w:rsidTr="00091AA5">
        <w:tc>
          <w:tcPr>
            <w:tcW w:w="576" w:type="dxa"/>
          </w:tcPr>
          <w:p w14:paraId="490C763D" w14:textId="77777777" w:rsidR="00630147" w:rsidRPr="00286216" w:rsidRDefault="00630147" w:rsidP="00630147">
            <w:pPr>
              <w:pStyle w:val="StyleWisnow"/>
              <w:rPr>
                <w:color w:val="000000" w:themeColor="text1"/>
              </w:rPr>
            </w:pPr>
            <w:bookmarkStart w:id="3183" w:name="n3313" w:colFirst="0" w:colLast="0"/>
            <w:bookmarkEnd w:id="3182"/>
            <w:r w:rsidRPr="00286216">
              <w:rPr>
                <w:color w:val="000000" w:themeColor="text1"/>
              </w:rPr>
              <w:t>3313.</w:t>
            </w:r>
          </w:p>
        </w:tc>
        <w:tc>
          <w:tcPr>
            <w:tcW w:w="4818" w:type="dxa"/>
          </w:tcPr>
          <w:p w14:paraId="7E20EB0E" w14:textId="77777777" w:rsidR="00630147" w:rsidRPr="00286216" w:rsidRDefault="00630147" w:rsidP="00630147">
            <w:pPr>
              <w:pStyle w:val="StyleZakonu"/>
              <w:rPr>
                <w:color w:val="000000" w:themeColor="text1"/>
              </w:rPr>
            </w:pPr>
            <w:r w:rsidRPr="00286216">
              <w:rPr>
                <w:color w:val="000000" w:themeColor="text1"/>
              </w:rPr>
              <w:t>"У разі отримання предмету обтяження у володіння обтяжувач зобов’язаний до закінчення процедури звернення стягнення вживати заходи щодо збереження відповідного майна згідно з вимогами, встановленими статтею 8 цього Закону.";</w:t>
            </w:r>
          </w:p>
        </w:tc>
        <w:tc>
          <w:tcPr>
            <w:tcW w:w="3686" w:type="dxa"/>
          </w:tcPr>
          <w:p w14:paraId="4FE683AD" w14:textId="77777777" w:rsidR="00630147" w:rsidRPr="00286216" w:rsidRDefault="00630147" w:rsidP="00630147">
            <w:pPr>
              <w:pStyle w:val="StyleProp"/>
              <w:rPr>
                <w:color w:val="000000" w:themeColor="text1"/>
                <w:szCs w:val="18"/>
              </w:rPr>
            </w:pPr>
          </w:p>
        </w:tc>
        <w:tc>
          <w:tcPr>
            <w:tcW w:w="1987" w:type="dxa"/>
          </w:tcPr>
          <w:p w14:paraId="59566CF9" w14:textId="77777777" w:rsidR="00630147" w:rsidRPr="00286216" w:rsidRDefault="00630147" w:rsidP="00630147">
            <w:pPr>
              <w:pStyle w:val="StyleWisnow"/>
              <w:rPr>
                <w:color w:val="000000" w:themeColor="text1"/>
              </w:rPr>
            </w:pPr>
          </w:p>
        </w:tc>
        <w:tc>
          <w:tcPr>
            <w:tcW w:w="4818" w:type="dxa"/>
          </w:tcPr>
          <w:p w14:paraId="639F603A" w14:textId="385A1F21" w:rsidR="00630147" w:rsidRPr="00286216" w:rsidRDefault="00630147" w:rsidP="00630147">
            <w:pPr>
              <w:pStyle w:val="StyleZakonu"/>
              <w:rPr>
                <w:color w:val="000000" w:themeColor="text1"/>
              </w:rPr>
            </w:pPr>
            <w:r w:rsidRPr="00286216">
              <w:rPr>
                <w:color w:val="000000" w:themeColor="text1"/>
              </w:rPr>
              <w:t>"У разі отримання предмета обтяження у володіння обтяжувач зобов’язаний до закінчення процедури звернення стягнення вживати заходів щодо збереження відповідного майна згідно з вимогами, встановленими статтею 8 цього Закону";</w:t>
            </w:r>
          </w:p>
        </w:tc>
      </w:tr>
      <w:tr w:rsidR="00630147" w:rsidRPr="00286216" w14:paraId="489F4EDE" w14:textId="77777777" w:rsidTr="00091AA5">
        <w:tc>
          <w:tcPr>
            <w:tcW w:w="576" w:type="dxa"/>
          </w:tcPr>
          <w:p w14:paraId="26EE7967" w14:textId="77777777" w:rsidR="00630147" w:rsidRPr="00286216" w:rsidRDefault="00630147" w:rsidP="00630147">
            <w:pPr>
              <w:pStyle w:val="StyleWisnow"/>
              <w:rPr>
                <w:color w:val="000000" w:themeColor="text1"/>
              </w:rPr>
            </w:pPr>
            <w:bookmarkStart w:id="3184" w:name="n3314" w:colFirst="0" w:colLast="0"/>
            <w:bookmarkEnd w:id="3183"/>
            <w:r w:rsidRPr="00286216">
              <w:rPr>
                <w:color w:val="000000" w:themeColor="text1"/>
              </w:rPr>
              <w:t>3314.</w:t>
            </w:r>
          </w:p>
        </w:tc>
        <w:tc>
          <w:tcPr>
            <w:tcW w:w="4818" w:type="dxa"/>
          </w:tcPr>
          <w:p w14:paraId="25B43AAA" w14:textId="77777777" w:rsidR="00630147" w:rsidRPr="00286216" w:rsidRDefault="00630147" w:rsidP="00630147">
            <w:pPr>
              <w:pStyle w:val="StyleZakonu"/>
              <w:rPr>
                <w:color w:val="000000" w:themeColor="text1"/>
              </w:rPr>
            </w:pPr>
            <w:r w:rsidRPr="00286216">
              <w:rPr>
                <w:color w:val="000000" w:themeColor="text1"/>
              </w:rPr>
              <w:t>б) у частині третій слово "обов’язок" замінити словами "вимогу обтяжувача";</w:t>
            </w:r>
          </w:p>
        </w:tc>
        <w:tc>
          <w:tcPr>
            <w:tcW w:w="3686" w:type="dxa"/>
          </w:tcPr>
          <w:p w14:paraId="0E3B41DC" w14:textId="77777777" w:rsidR="00630147" w:rsidRPr="00286216" w:rsidRDefault="00630147" w:rsidP="00630147">
            <w:pPr>
              <w:pStyle w:val="StyleProp"/>
              <w:rPr>
                <w:color w:val="000000" w:themeColor="text1"/>
                <w:szCs w:val="18"/>
              </w:rPr>
            </w:pPr>
          </w:p>
        </w:tc>
        <w:tc>
          <w:tcPr>
            <w:tcW w:w="1987" w:type="dxa"/>
          </w:tcPr>
          <w:p w14:paraId="125A4DF2" w14:textId="77777777" w:rsidR="00630147" w:rsidRPr="00286216" w:rsidRDefault="00630147" w:rsidP="00630147">
            <w:pPr>
              <w:pStyle w:val="StyleWisnow"/>
              <w:rPr>
                <w:color w:val="000000" w:themeColor="text1"/>
              </w:rPr>
            </w:pPr>
          </w:p>
        </w:tc>
        <w:tc>
          <w:tcPr>
            <w:tcW w:w="4818" w:type="dxa"/>
          </w:tcPr>
          <w:p w14:paraId="2D6CF928" w14:textId="7A2ED1EE" w:rsidR="00630147" w:rsidRPr="00286216" w:rsidRDefault="00630147" w:rsidP="00630147">
            <w:pPr>
              <w:pStyle w:val="StyleZakonu"/>
              <w:rPr>
                <w:color w:val="000000" w:themeColor="text1"/>
              </w:rPr>
            </w:pPr>
            <w:r w:rsidRPr="00286216">
              <w:rPr>
                <w:color w:val="000000" w:themeColor="text1"/>
              </w:rPr>
              <w:t>б) у частині третій слово "обов’язок" замінити словами "вимогу обтяжувача";</w:t>
            </w:r>
          </w:p>
        </w:tc>
      </w:tr>
      <w:tr w:rsidR="00630147" w:rsidRPr="00286216" w14:paraId="3638C99D" w14:textId="77777777" w:rsidTr="00091AA5">
        <w:tc>
          <w:tcPr>
            <w:tcW w:w="576" w:type="dxa"/>
          </w:tcPr>
          <w:p w14:paraId="22A18499" w14:textId="77777777" w:rsidR="00630147" w:rsidRPr="00286216" w:rsidRDefault="00630147" w:rsidP="00630147">
            <w:pPr>
              <w:pStyle w:val="StyleWisnow"/>
              <w:rPr>
                <w:color w:val="000000" w:themeColor="text1"/>
              </w:rPr>
            </w:pPr>
            <w:bookmarkStart w:id="3185" w:name="n3315" w:colFirst="0" w:colLast="0"/>
            <w:bookmarkEnd w:id="3184"/>
            <w:r w:rsidRPr="00286216">
              <w:rPr>
                <w:color w:val="000000" w:themeColor="text1"/>
              </w:rPr>
              <w:t>3315.</w:t>
            </w:r>
          </w:p>
        </w:tc>
        <w:tc>
          <w:tcPr>
            <w:tcW w:w="4818" w:type="dxa"/>
          </w:tcPr>
          <w:p w14:paraId="2968B547" w14:textId="77777777" w:rsidR="00630147" w:rsidRPr="00286216" w:rsidRDefault="00630147" w:rsidP="00630147">
            <w:pPr>
              <w:pStyle w:val="StyleZakonu"/>
              <w:rPr>
                <w:color w:val="000000" w:themeColor="text1"/>
              </w:rPr>
            </w:pPr>
            <w:r w:rsidRPr="00286216">
              <w:rPr>
                <w:color w:val="000000" w:themeColor="text1"/>
              </w:rPr>
              <w:t>в) доповнити статтю новою частиною такого змісту:</w:t>
            </w:r>
          </w:p>
        </w:tc>
        <w:tc>
          <w:tcPr>
            <w:tcW w:w="3686" w:type="dxa"/>
          </w:tcPr>
          <w:p w14:paraId="30FF3A83" w14:textId="77777777" w:rsidR="00630147" w:rsidRPr="00286216" w:rsidRDefault="00630147" w:rsidP="00630147">
            <w:pPr>
              <w:pStyle w:val="StyleProp"/>
              <w:rPr>
                <w:color w:val="000000" w:themeColor="text1"/>
                <w:szCs w:val="18"/>
              </w:rPr>
            </w:pPr>
          </w:p>
        </w:tc>
        <w:tc>
          <w:tcPr>
            <w:tcW w:w="1987" w:type="dxa"/>
          </w:tcPr>
          <w:p w14:paraId="4A7485A3" w14:textId="77777777" w:rsidR="00630147" w:rsidRPr="00286216" w:rsidRDefault="00630147" w:rsidP="00630147">
            <w:pPr>
              <w:pStyle w:val="StyleWisnow"/>
              <w:rPr>
                <w:color w:val="000000" w:themeColor="text1"/>
              </w:rPr>
            </w:pPr>
          </w:p>
        </w:tc>
        <w:tc>
          <w:tcPr>
            <w:tcW w:w="4818" w:type="dxa"/>
          </w:tcPr>
          <w:p w14:paraId="73379414" w14:textId="22B7AB2A" w:rsidR="00630147" w:rsidRPr="00286216" w:rsidRDefault="00630147" w:rsidP="00630147">
            <w:pPr>
              <w:pStyle w:val="StyleZakonu"/>
              <w:rPr>
                <w:color w:val="000000" w:themeColor="text1"/>
              </w:rPr>
            </w:pPr>
            <w:r w:rsidRPr="00286216">
              <w:rPr>
                <w:color w:val="000000" w:themeColor="text1"/>
              </w:rPr>
              <w:t>в) доповнити частиною четвертою такого змісту:</w:t>
            </w:r>
          </w:p>
        </w:tc>
      </w:tr>
      <w:tr w:rsidR="00630147" w:rsidRPr="00286216" w14:paraId="78992E46" w14:textId="77777777" w:rsidTr="00091AA5">
        <w:tc>
          <w:tcPr>
            <w:tcW w:w="576" w:type="dxa"/>
          </w:tcPr>
          <w:p w14:paraId="3B9B59BD" w14:textId="77777777" w:rsidR="00630147" w:rsidRPr="00286216" w:rsidRDefault="00630147" w:rsidP="00630147">
            <w:pPr>
              <w:pStyle w:val="StyleWisnow"/>
              <w:rPr>
                <w:color w:val="000000" w:themeColor="text1"/>
              </w:rPr>
            </w:pPr>
            <w:bookmarkStart w:id="3186" w:name="n3316" w:colFirst="0" w:colLast="0"/>
            <w:bookmarkEnd w:id="3185"/>
            <w:r w:rsidRPr="00286216">
              <w:rPr>
                <w:color w:val="000000" w:themeColor="text1"/>
              </w:rPr>
              <w:t>3316.</w:t>
            </w:r>
          </w:p>
        </w:tc>
        <w:tc>
          <w:tcPr>
            <w:tcW w:w="4818" w:type="dxa"/>
          </w:tcPr>
          <w:p w14:paraId="51CE68FF" w14:textId="77777777" w:rsidR="00630147" w:rsidRPr="00286216" w:rsidRDefault="00630147" w:rsidP="00630147">
            <w:pPr>
              <w:pStyle w:val="StyleZakonu"/>
              <w:rPr>
                <w:color w:val="000000" w:themeColor="text1"/>
              </w:rPr>
            </w:pPr>
            <w:r w:rsidRPr="00286216">
              <w:rPr>
                <w:color w:val="000000" w:themeColor="text1"/>
              </w:rPr>
              <w:t xml:space="preserve">"Строк, визначений частиною другою цієї статті, не може бути встановлений за домовленістю обтяжувача та боржника меншим ніж 30 днів, якщо хоча б одним боржником (за забезпеченим </w:t>
            </w:r>
            <w:r w:rsidRPr="00286216">
              <w:rPr>
                <w:color w:val="000000" w:themeColor="text1"/>
              </w:rPr>
              <w:lastRenderedPageBreak/>
              <w:t>обтяженням зобов’язанням, майновим поручителем тощо) за відповідним забезпечувальним обтяженням є фізична особа та/або забезпечене відповідним обтяженням зобов’язання не пов’язане із здійсненням хоча б одним боржником за таким зобов’язанням підприємницької діяльності, а також не може бути меншим, ніж вказаний у Державному реєстрі строк, встановлений обтяжувачем з вищим пріоритетом та боржником.";</w:t>
            </w:r>
          </w:p>
        </w:tc>
        <w:tc>
          <w:tcPr>
            <w:tcW w:w="3686" w:type="dxa"/>
          </w:tcPr>
          <w:p w14:paraId="769EE775" w14:textId="77777777" w:rsidR="00630147" w:rsidRPr="00286216" w:rsidRDefault="00630147" w:rsidP="00630147">
            <w:pPr>
              <w:pStyle w:val="StyleProp"/>
              <w:rPr>
                <w:color w:val="000000" w:themeColor="text1"/>
                <w:szCs w:val="18"/>
              </w:rPr>
            </w:pPr>
          </w:p>
        </w:tc>
        <w:tc>
          <w:tcPr>
            <w:tcW w:w="1987" w:type="dxa"/>
          </w:tcPr>
          <w:p w14:paraId="49227820" w14:textId="77777777" w:rsidR="00630147" w:rsidRPr="00286216" w:rsidRDefault="00630147" w:rsidP="00630147">
            <w:pPr>
              <w:pStyle w:val="StyleWisnow"/>
              <w:rPr>
                <w:color w:val="000000" w:themeColor="text1"/>
              </w:rPr>
            </w:pPr>
          </w:p>
        </w:tc>
        <w:tc>
          <w:tcPr>
            <w:tcW w:w="4818" w:type="dxa"/>
          </w:tcPr>
          <w:p w14:paraId="4A6750F2" w14:textId="33710462" w:rsidR="00630147" w:rsidRPr="00286216" w:rsidRDefault="00630147" w:rsidP="00630147">
            <w:pPr>
              <w:pStyle w:val="StyleZakonu"/>
              <w:rPr>
                <w:color w:val="000000" w:themeColor="text1"/>
              </w:rPr>
            </w:pPr>
            <w:r w:rsidRPr="00286216">
              <w:rPr>
                <w:color w:val="000000" w:themeColor="text1"/>
              </w:rPr>
              <w:t xml:space="preserve">"Строк, визначений частиною другою цієї статті, не може бути встановлений за домовленістю обтяжувача та боржника меншим ніж 30 днів, якщо хоча б одним боржником (за забезпеченим </w:t>
            </w:r>
            <w:r w:rsidRPr="00286216">
              <w:rPr>
                <w:color w:val="000000" w:themeColor="text1"/>
              </w:rPr>
              <w:lastRenderedPageBreak/>
              <w:t>обтяженням зобов’язанням, майновим поручителем тощо) за відповідним забезпечувальним обтяженням є фізична особа та/або забезпечене відповідним обтяженням зобов’язання не пов’язане із здійсненням хоча б одним боржником за таким зобов’язанням підприємницької діяльності, а також не може бути меншим, ніж зазначений у Державному реєстрі строк, встановлений обтяжувачем з вищим пріоритетом та боржником";</w:t>
            </w:r>
          </w:p>
        </w:tc>
      </w:tr>
      <w:tr w:rsidR="00630147" w:rsidRPr="00286216" w14:paraId="5D6C688B" w14:textId="77777777" w:rsidTr="00091AA5">
        <w:tc>
          <w:tcPr>
            <w:tcW w:w="576" w:type="dxa"/>
          </w:tcPr>
          <w:p w14:paraId="279135E2" w14:textId="77777777" w:rsidR="00630147" w:rsidRPr="00286216" w:rsidRDefault="00630147" w:rsidP="00630147">
            <w:pPr>
              <w:pStyle w:val="StyleWisnow"/>
              <w:rPr>
                <w:color w:val="000000" w:themeColor="text1"/>
              </w:rPr>
            </w:pPr>
            <w:bookmarkStart w:id="3187" w:name="n3317" w:colFirst="0" w:colLast="0"/>
            <w:bookmarkEnd w:id="3186"/>
            <w:r w:rsidRPr="00286216">
              <w:rPr>
                <w:color w:val="000000" w:themeColor="text1"/>
              </w:rPr>
              <w:lastRenderedPageBreak/>
              <w:t>3317.</w:t>
            </w:r>
          </w:p>
        </w:tc>
        <w:tc>
          <w:tcPr>
            <w:tcW w:w="4818" w:type="dxa"/>
          </w:tcPr>
          <w:p w14:paraId="08CCDBB9" w14:textId="77777777" w:rsidR="00630147" w:rsidRPr="00286216" w:rsidRDefault="00630147" w:rsidP="00630147">
            <w:pPr>
              <w:pStyle w:val="StyleZakonu"/>
              <w:rPr>
                <w:color w:val="000000" w:themeColor="text1"/>
              </w:rPr>
            </w:pPr>
            <w:r w:rsidRPr="00286216">
              <w:rPr>
                <w:color w:val="000000" w:themeColor="text1"/>
              </w:rPr>
              <w:t>10) частину четверту статті 29 викласти у такій редакції:</w:t>
            </w:r>
          </w:p>
        </w:tc>
        <w:tc>
          <w:tcPr>
            <w:tcW w:w="3686" w:type="dxa"/>
          </w:tcPr>
          <w:p w14:paraId="3615F9A9" w14:textId="77777777" w:rsidR="00630147" w:rsidRPr="00286216" w:rsidRDefault="00630147" w:rsidP="00630147">
            <w:pPr>
              <w:pStyle w:val="StyleProp"/>
              <w:rPr>
                <w:color w:val="000000" w:themeColor="text1"/>
                <w:szCs w:val="18"/>
              </w:rPr>
            </w:pPr>
          </w:p>
        </w:tc>
        <w:tc>
          <w:tcPr>
            <w:tcW w:w="1987" w:type="dxa"/>
          </w:tcPr>
          <w:p w14:paraId="04179DBE" w14:textId="77777777" w:rsidR="00630147" w:rsidRPr="00286216" w:rsidRDefault="00630147" w:rsidP="00630147">
            <w:pPr>
              <w:pStyle w:val="StyleWisnow"/>
              <w:rPr>
                <w:color w:val="000000" w:themeColor="text1"/>
              </w:rPr>
            </w:pPr>
          </w:p>
        </w:tc>
        <w:tc>
          <w:tcPr>
            <w:tcW w:w="4818" w:type="dxa"/>
          </w:tcPr>
          <w:p w14:paraId="190B313B" w14:textId="593EB411" w:rsidR="00630147" w:rsidRPr="00286216" w:rsidRDefault="00630147" w:rsidP="00630147">
            <w:pPr>
              <w:pStyle w:val="StyleZakonu"/>
              <w:rPr>
                <w:color w:val="000000" w:themeColor="text1"/>
              </w:rPr>
            </w:pPr>
            <w:r w:rsidRPr="00286216">
              <w:rPr>
                <w:color w:val="000000" w:themeColor="text1"/>
              </w:rPr>
              <w:t>10) частину четверту статті 29 викласти в такій редакції:</w:t>
            </w:r>
          </w:p>
        </w:tc>
      </w:tr>
      <w:tr w:rsidR="00630147" w:rsidRPr="00286216" w14:paraId="436D6412" w14:textId="77777777" w:rsidTr="00091AA5">
        <w:tc>
          <w:tcPr>
            <w:tcW w:w="576" w:type="dxa"/>
          </w:tcPr>
          <w:p w14:paraId="22F37A9C" w14:textId="77777777" w:rsidR="00630147" w:rsidRPr="00286216" w:rsidRDefault="00630147" w:rsidP="00630147">
            <w:pPr>
              <w:pStyle w:val="StyleWisnow"/>
              <w:rPr>
                <w:color w:val="000000" w:themeColor="text1"/>
              </w:rPr>
            </w:pPr>
            <w:bookmarkStart w:id="3188" w:name="n3318" w:colFirst="0" w:colLast="0"/>
            <w:bookmarkEnd w:id="3187"/>
            <w:r w:rsidRPr="00286216">
              <w:rPr>
                <w:color w:val="000000" w:themeColor="text1"/>
              </w:rPr>
              <w:t>3318.</w:t>
            </w:r>
          </w:p>
        </w:tc>
        <w:tc>
          <w:tcPr>
            <w:tcW w:w="4818" w:type="dxa"/>
          </w:tcPr>
          <w:p w14:paraId="71B36B8A" w14:textId="77777777" w:rsidR="00630147" w:rsidRPr="00286216" w:rsidRDefault="00630147" w:rsidP="00630147">
            <w:pPr>
              <w:pStyle w:val="StyleZakonu"/>
              <w:rPr>
                <w:color w:val="000000" w:themeColor="text1"/>
              </w:rPr>
            </w:pPr>
            <w:r w:rsidRPr="00286216">
              <w:rPr>
                <w:color w:val="000000" w:themeColor="text1"/>
              </w:rPr>
              <w:t>"Якщо договором не передбачена вартість предмета забезпечувального обтяження (або порядок її визначення) для цілей звернення стягнення, у разі набуття обтяжувачем права власності на предмет забезпечувального обтяження відповідне зобов’язання, забезпечене обтяженням, вважається повністю виконаним.";</w:t>
            </w:r>
          </w:p>
        </w:tc>
        <w:tc>
          <w:tcPr>
            <w:tcW w:w="3686" w:type="dxa"/>
          </w:tcPr>
          <w:p w14:paraId="0B31882B" w14:textId="77777777" w:rsidR="00630147" w:rsidRPr="00286216" w:rsidRDefault="00630147" w:rsidP="00630147">
            <w:pPr>
              <w:pStyle w:val="StyleProp"/>
              <w:rPr>
                <w:color w:val="000000" w:themeColor="text1"/>
                <w:szCs w:val="18"/>
              </w:rPr>
            </w:pPr>
          </w:p>
        </w:tc>
        <w:tc>
          <w:tcPr>
            <w:tcW w:w="1987" w:type="dxa"/>
          </w:tcPr>
          <w:p w14:paraId="064196FE" w14:textId="77777777" w:rsidR="00630147" w:rsidRPr="00286216" w:rsidRDefault="00630147" w:rsidP="00630147">
            <w:pPr>
              <w:pStyle w:val="StyleWisnow"/>
              <w:rPr>
                <w:color w:val="000000" w:themeColor="text1"/>
              </w:rPr>
            </w:pPr>
          </w:p>
        </w:tc>
        <w:tc>
          <w:tcPr>
            <w:tcW w:w="4818" w:type="dxa"/>
          </w:tcPr>
          <w:p w14:paraId="1D4A38AF" w14:textId="65416695" w:rsidR="00630147" w:rsidRPr="00286216" w:rsidRDefault="00630147" w:rsidP="00630147">
            <w:pPr>
              <w:pStyle w:val="StyleZakonu"/>
              <w:rPr>
                <w:color w:val="000000" w:themeColor="text1"/>
              </w:rPr>
            </w:pPr>
            <w:r w:rsidRPr="00286216">
              <w:rPr>
                <w:color w:val="000000" w:themeColor="text1"/>
              </w:rPr>
              <w:t>"Якщо договором не передбачена вартість предмета забезпечувального обтяження (або порядок її визначення) для цілей звернення стягнення, у разі набуття обтяжувачем права власності на предмет забезпечувального обтяження відповідне зобов’язання, забезпечене обтяженням, вважається повністю виконаним";</w:t>
            </w:r>
          </w:p>
        </w:tc>
      </w:tr>
      <w:tr w:rsidR="00630147" w:rsidRPr="00286216" w14:paraId="50E91676" w14:textId="77777777" w:rsidTr="00091AA5">
        <w:tc>
          <w:tcPr>
            <w:tcW w:w="576" w:type="dxa"/>
          </w:tcPr>
          <w:p w14:paraId="56A4DFDA" w14:textId="77777777" w:rsidR="00630147" w:rsidRPr="00286216" w:rsidRDefault="00630147" w:rsidP="00630147">
            <w:pPr>
              <w:pStyle w:val="StyleWisnow"/>
              <w:rPr>
                <w:color w:val="000000" w:themeColor="text1"/>
              </w:rPr>
            </w:pPr>
            <w:bookmarkStart w:id="3189" w:name="n3319" w:colFirst="0" w:colLast="0"/>
            <w:bookmarkEnd w:id="3188"/>
            <w:r w:rsidRPr="00286216">
              <w:rPr>
                <w:color w:val="000000" w:themeColor="text1"/>
              </w:rPr>
              <w:t>3319.</w:t>
            </w:r>
          </w:p>
        </w:tc>
        <w:tc>
          <w:tcPr>
            <w:tcW w:w="4818" w:type="dxa"/>
          </w:tcPr>
          <w:p w14:paraId="0E2C9BD2" w14:textId="77777777" w:rsidR="00630147" w:rsidRPr="00286216" w:rsidRDefault="00630147" w:rsidP="00630147">
            <w:pPr>
              <w:pStyle w:val="StyleZakonu"/>
              <w:rPr>
                <w:color w:val="000000" w:themeColor="text1"/>
              </w:rPr>
            </w:pPr>
            <w:r w:rsidRPr="00286216">
              <w:rPr>
                <w:color w:val="000000" w:themeColor="text1"/>
              </w:rPr>
              <w:t>11) пункт 7 частини першої статті 34 доповнити словами:</w:t>
            </w:r>
          </w:p>
        </w:tc>
        <w:tc>
          <w:tcPr>
            <w:tcW w:w="3686" w:type="dxa"/>
          </w:tcPr>
          <w:p w14:paraId="606270CC" w14:textId="77777777" w:rsidR="00630147" w:rsidRPr="00286216" w:rsidRDefault="00630147" w:rsidP="00630147">
            <w:pPr>
              <w:pStyle w:val="StyleProp"/>
              <w:rPr>
                <w:color w:val="000000" w:themeColor="text1"/>
                <w:szCs w:val="18"/>
              </w:rPr>
            </w:pPr>
          </w:p>
        </w:tc>
        <w:tc>
          <w:tcPr>
            <w:tcW w:w="1987" w:type="dxa"/>
          </w:tcPr>
          <w:p w14:paraId="3B8E3413" w14:textId="77777777" w:rsidR="00630147" w:rsidRPr="00286216" w:rsidRDefault="00630147" w:rsidP="00630147">
            <w:pPr>
              <w:pStyle w:val="StyleWisnow"/>
              <w:rPr>
                <w:color w:val="000000" w:themeColor="text1"/>
              </w:rPr>
            </w:pPr>
          </w:p>
        </w:tc>
        <w:tc>
          <w:tcPr>
            <w:tcW w:w="4818" w:type="dxa"/>
          </w:tcPr>
          <w:p w14:paraId="5970A14E" w14:textId="3E9D57E8" w:rsidR="00630147" w:rsidRPr="00286216" w:rsidRDefault="00630147" w:rsidP="008C392C">
            <w:pPr>
              <w:pStyle w:val="StyleZakonu"/>
              <w:rPr>
                <w:color w:val="000000" w:themeColor="text1"/>
              </w:rPr>
            </w:pPr>
            <w:r w:rsidRPr="00286216">
              <w:rPr>
                <w:color w:val="000000" w:themeColor="text1"/>
              </w:rPr>
              <w:t xml:space="preserve">11) пункт 7 частини першої статті 34 доповнити </w:t>
            </w:r>
            <w:r w:rsidRPr="00286216">
              <w:rPr>
                <w:color w:val="000000" w:themeColor="text1"/>
                <w:spacing w:val="-2"/>
              </w:rPr>
              <w:t xml:space="preserve">словами "за відкладальною обставиною або з правом </w:t>
            </w:r>
            <w:r w:rsidRPr="00286216">
              <w:rPr>
                <w:color w:val="000000" w:themeColor="text1"/>
                <w:spacing w:val="-7"/>
              </w:rPr>
              <w:t xml:space="preserve">та/або обов’язком зворотного відступлення в </w:t>
            </w:r>
            <w:r w:rsidR="008C392C" w:rsidRPr="00286216">
              <w:rPr>
                <w:color w:val="000000" w:themeColor="text1"/>
                <w:spacing w:val="-7"/>
              </w:rPr>
              <w:t>майбутньому</w:t>
            </w:r>
          </w:p>
        </w:tc>
      </w:tr>
      <w:tr w:rsidR="00630147" w:rsidRPr="00286216" w14:paraId="16C5E386" w14:textId="77777777" w:rsidTr="00091AA5">
        <w:tc>
          <w:tcPr>
            <w:tcW w:w="576" w:type="dxa"/>
          </w:tcPr>
          <w:p w14:paraId="190F80A4" w14:textId="77777777" w:rsidR="00630147" w:rsidRPr="00286216" w:rsidRDefault="00630147" w:rsidP="00630147">
            <w:pPr>
              <w:pStyle w:val="StyleWisnow"/>
              <w:rPr>
                <w:color w:val="000000" w:themeColor="text1"/>
              </w:rPr>
            </w:pPr>
            <w:bookmarkStart w:id="3190" w:name="n3320" w:colFirst="0" w:colLast="0"/>
            <w:bookmarkEnd w:id="3189"/>
            <w:r w:rsidRPr="00286216">
              <w:rPr>
                <w:color w:val="000000" w:themeColor="text1"/>
              </w:rPr>
              <w:t>3320.</w:t>
            </w:r>
          </w:p>
        </w:tc>
        <w:tc>
          <w:tcPr>
            <w:tcW w:w="4818" w:type="dxa"/>
          </w:tcPr>
          <w:p w14:paraId="02C6C9E8" w14:textId="77777777" w:rsidR="00630147" w:rsidRPr="00286216" w:rsidRDefault="00630147" w:rsidP="00630147">
            <w:pPr>
              <w:pStyle w:val="StyleZakonu"/>
              <w:rPr>
                <w:color w:val="000000" w:themeColor="text1"/>
              </w:rPr>
            </w:pPr>
            <w:r w:rsidRPr="00286216">
              <w:rPr>
                <w:color w:val="000000" w:themeColor="text1"/>
              </w:rPr>
              <w:t>"за відкладальною обставиною або з правом та/або обов’язком зворотного відступлення в майбутньому (у тому числі за умови настання певної події в майбутньому); ";</w:t>
            </w:r>
          </w:p>
        </w:tc>
        <w:tc>
          <w:tcPr>
            <w:tcW w:w="3686" w:type="dxa"/>
          </w:tcPr>
          <w:p w14:paraId="1F3C70D9" w14:textId="77777777" w:rsidR="00630147" w:rsidRPr="00286216" w:rsidRDefault="00630147" w:rsidP="00630147">
            <w:pPr>
              <w:pStyle w:val="StyleProp"/>
              <w:rPr>
                <w:color w:val="000000" w:themeColor="text1"/>
                <w:szCs w:val="18"/>
              </w:rPr>
            </w:pPr>
          </w:p>
        </w:tc>
        <w:tc>
          <w:tcPr>
            <w:tcW w:w="1987" w:type="dxa"/>
          </w:tcPr>
          <w:p w14:paraId="6CC1E4B6" w14:textId="77777777" w:rsidR="00630147" w:rsidRPr="00286216" w:rsidRDefault="00630147" w:rsidP="00630147">
            <w:pPr>
              <w:pStyle w:val="StyleWisnow"/>
              <w:rPr>
                <w:color w:val="000000" w:themeColor="text1"/>
              </w:rPr>
            </w:pPr>
          </w:p>
        </w:tc>
        <w:tc>
          <w:tcPr>
            <w:tcW w:w="4818" w:type="dxa"/>
          </w:tcPr>
          <w:p w14:paraId="65700D94" w14:textId="371A9026" w:rsidR="00630147" w:rsidRPr="00286216" w:rsidRDefault="008C392C" w:rsidP="008C392C">
            <w:pPr>
              <w:pStyle w:val="StyleZakonu"/>
              <w:ind w:firstLine="0"/>
              <w:rPr>
                <w:color w:val="000000" w:themeColor="text1"/>
              </w:rPr>
            </w:pPr>
            <w:r w:rsidRPr="00286216">
              <w:rPr>
                <w:color w:val="000000" w:themeColor="text1"/>
              </w:rPr>
              <w:t>(у тому числі за умови настання певної події в майбутньому)";</w:t>
            </w:r>
          </w:p>
        </w:tc>
      </w:tr>
      <w:tr w:rsidR="00630147" w:rsidRPr="00286216" w14:paraId="31ED8F5C" w14:textId="77777777" w:rsidTr="00091AA5">
        <w:tc>
          <w:tcPr>
            <w:tcW w:w="576" w:type="dxa"/>
          </w:tcPr>
          <w:p w14:paraId="40B64FB7" w14:textId="77777777" w:rsidR="00630147" w:rsidRPr="00286216" w:rsidRDefault="00630147" w:rsidP="00630147">
            <w:pPr>
              <w:pStyle w:val="StyleWisnow"/>
              <w:rPr>
                <w:color w:val="000000" w:themeColor="text1"/>
              </w:rPr>
            </w:pPr>
            <w:bookmarkStart w:id="3191" w:name="n3321" w:colFirst="0" w:colLast="0"/>
            <w:bookmarkEnd w:id="3190"/>
            <w:r w:rsidRPr="00286216">
              <w:rPr>
                <w:color w:val="000000" w:themeColor="text1"/>
              </w:rPr>
              <w:t>3321.</w:t>
            </w:r>
          </w:p>
        </w:tc>
        <w:tc>
          <w:tcPr>
            <w:tcW w:w="4818" w:type="dxa"/>
          </w:tcPr>
          <w:p w14:paraId="2D1CF6A0" w14:textId="77777777" w:rsidR="00630147" w:rsidRPr="00286216" w:rsidRDefault="00630147" w:rsidP="00630147">
            <w:pPr>
              <w:pStyle w:val="StyleZakonu"/>
              <w:rPr>
                <w:color w:val="000000" w:themeColor="text1"/>
              </w:rPr>
            </w:pPr>
            <w:r w:rsidRPr="00286216">
              <w:rPr>
                <w:color w:val="000000" w:themeColor="text1"/>
              </w:rPr>
              <w:t>12) перше речення пункту 2 частини першої статті 43 після слів "обтяження та його зміст" доповнити словами ", а також строк, визначений згідно з частиною другою статті 28 цього Закону, а у разі відсутності зазначення такого строку вважається, що він становить 30 днів.";</w:t>
            </w:r>
          </w:p>
        </w:tc>
        <w:tc>
          <w:tcPr>
            <w:tcW w:w="3686" w:type="dxa"/>
          </w:tcPr>
          <w:p w14:paraId="4B2E151E" w14:textId="77777777" w:rsidR="00630147" w:rsidRPr="00286216" w:rsidRDefault="00630147" w:rsidP="00630147">
            <w:pPr>
              <w:pStyle w:val="StyleProp"/>
              <w:rPr>
                <w:color w:val="000000" w:themeColor="text1"/>
                <w:szCs w:val="18"/>
              </w:rPr>
            </w:pPr>
          </w:p>
        </w:tc>
        <w:tc>
          <w:tcPr>
            <w:tcW w:w="1987" w:type="dxa"/>
          </w:tcPr>
          <w:p w14:paraId="41ECF431" w14:textId="77777777" w:rsidR="00630147" w:rsidRPr="00286216" w:rsidRDefault="00630147" w:rsidP="00630147">
            <w:pPr>
              <w:pStyle w:val="StyleWisnow"/>
              <w:rPr>
                <w:color w:val="000000" w:themeColor="text1"/>
              </w:rPr>
            </w:pPr>
          </w:p>
        </w:tc>
        <w:tc>
          <w:tcPr>
            <w:tcW w:w="4818" w:type="dxa"/>
          </w:tcPr>
          <w:p w14:paraId="3A60E2E7" w14:textId="7523B0A9" w:rsidR="00630147" w:rsidRPr="00286216" w:rsidRDefault="00630147" w:rsidP="00630147">
            <w:pPr>
              <w:pStyle w:val="StyleZakonu"/>
              <w:rPr>
                <w:color w:val="000000" w:themeColor="text1"/>
              </w:rPr>
            </w:pPr>
            <w:r w:rsidRPr="00286216">
              <w:rPr>
                <w:color w:val="000000" w:themeColor="text1"/>
              </w:rPr>
              <w:t>12) перше речення пункту 2 частини першої статті 43 після слів "обтяження та його зміст" доповнити словами та цифрами "а також строк, визначений згідно з частиною другою статті 28 цього Закону, а у разі відсутності зазначення такого строку вважається, що він становить 30 днів";</w:t>
            </w:r>
          </w:p>
        </w:tc>
      </w:tr>
      <w:tr w:rsidR="00630147" w:rsidRPr="00286216" w14:paraId="20DFCD8D" w14:textId="77777777" w:rsidTr="00091AA5">
        <w:tc>
          <w:tcPr>
            <w:tcW w:w="576" w:type="dxa"/>
          </w:tcPr>
          <w:p w14:paraId="01A1954A" w14:textId="77777777" w:rsidR="00630147" w:rsidRPr="00286216" w:rsidRDefault="00630147" w:rsidP="00630147">
            <w:pPr>
              <w:pStyle w:val="StyleWisnow"/>
              <w:rPr>
                <w:color w:val="000000" w:themeColor="text1"/>
              </w:rPr>
            </w:pPr>
            <w:bookmarkStart w:id="3192" w:name="n3322" w:colFirst="0" w:colLast="0"/>
            <w:bookmarkEnd w:id="3191"/>
            <w:r w:rsidRPr="00286216">
              <w:rPr>
                <w:color w:val="000000" w:themeColor="text1"/>
              </w:rPr>
              <w:t>3322.</w:t>
            </w:r>
          </w:p>
        </w:tc>
        <w:tc>
          <w:tcPr>
            <w:tcW w:w="4818" w:type="dxa"/>
          </w:tcPr>
          <w:p w14:paraId="2EE8FBB2" w14:textId="77777777" w:rsidR="00630147" w:rsidRPr="00286216" w:rsidRDefault="00630147" w:rsidP="00630147">
            <w:pPr>
              <w:pStyle w:val="StyleZakonu"/>
              <w:rPr>
                <w:color w:val="000000" w:themeColor="text1"/>
              </w:rPr>
            </w:pPr>
            <w:r w:rsidRPr="00286216">
              <w:rPr>
                <w:color w:val="000000" w:themeColor="text1"/>
              </w:rPr>
              <w:t>13) статтю 47 доповнити новою частиною такого змісту:</w:t>
            </w:r>
          </w:p>
        </w:tc>
        <w:tc>
          <w:tcPr>
            <w:tcW w:w="3686" w:type="dxa"/>
          </w:tcPr>
          <w:p w14:paraId="3B0C9DE7" w14:textId="77777777" w:rsidR="00630147" w:rsidRPr="00286216" w:rsidRDefault="00630147" w:rsidP="00630147">
            <w:pPr>
              <w:pStyle w:val="StyleProp"/>
              <w:rPr>
                <w:color w:val="000000" w:themeColor="text1"/>
                <w:szCs w:val="18"/>
              </w:rPr>
            </w:pPr>
          </w:p>
        </w:tc>
        <w:tc>
          <w:tcPr>
            <w:tcW w:w="1987" w:type="dxa"/>
          </w:tcPr>
          <w:p w14:paraId="6E127BC6" w14:textId="77777777" w:rsidR="00630147" w:rsidRPr="00286216" w:rsidRDefault="00630147" w:rsidP="00630147">
            <w:pPr>
              <w:pStyle w:val="StyleWisnow"/>
              <w:rPr>
                <w:color w:val="000000" w:themeColor="text1"/>
              </w:rPr>
            </w:pPr>
          </w:p>
        </w:tc>
        <w:tc>
          <w:tcPr>
            <w:tcW w:w="4818" w:type="dxa"/>
          </w:tcPr>
          <w:p w14:paraId="56233CC9" w14:textId="4AD2B0D8" w:rsidR="00630147" w:rsidRPr="00286216" w:rsidRDefault="00630147" w:rsidP="00630147">
            <w:pPr>
              <w:pStyle w:val="StyleZakonu"/>
              <w:rPr>
                <w:color w:val="000000" w:themeColor="text1"/>
              </w:rPr>
            </w:pPr>
            <w:r w:rsidRPr="00286216">
              <w:rPr>
                <w:color w:val="000000" w:themeColor="text1"/>
              </w:rPr>
              <w:t>13) статтю 47 доповнити частиною четвертою такого змісту:</w:t>
            </w:r>
          </w:p>
        </w:tc>
      </w:tr>
      <w:tr w:rsidR="00630147" w:rsidRPr="00286216" w14:paraId="47259288" w14:textId="77777777" w:rsidTr="00091AA5">
        <w:tc>
          <w:tcPr>
            <w:tcW w:w="576" w:type="dxa"/>
          </w:tcPr>
          <w:p w14:paraId="44DD6E98" w14:textId="77777777" w:rsidR="00630147" w:rsidRPr="00286216" w:rsidRDefault="00630147" w:rsidP="00630147">
            <w:pPr>
              <w:pStyle w:val="StyleWisnow"/>
              <w:rPr>
                <w:color w:val="000000" w:themeColor="text1"/>
              </w:rPr>
            </w:pPr>
            <w:bookmarkStart w:id="3193" w:name="n3323" w:colFirst="0" w:colLast="0"/>
            <w:bookmarkEnd w:id="3192"/>
            <w:r w:rsidRPr="00286216">
              <w:rPr>
                <w:color w:val="000000" w:themeColor="text1"/>
              </w:rPr>
              <w:t>3323.</w:t>
            </w:r>
          </w:p>
        </w:tc>
        <w:tc>
          <w:tcPr>
            <w:tcW w:w="4818" w:type="dxa"/>
          </w:tcPr>
          <w:p w14:paraId="7DE884EC" w14:textId="77777777" w:rsidR="00630147" w:rsidRPr="00286216" w:rsidRDefault="00630147" w:rsidP="00630147">
            <w:pPr>
              <w:pStyle w:val="StyleZakonu"/>
              <w:rPr>
                <w:color w:val="000000" w:themeColor="text1"/>
              </w:rPr>
            </w:pPr>
            <w:r w:rsidRPr="00286216">
              <w:rPr>
                <w:color w:val="000000" w:themeColor="text1"/>
              </w:rPr>
              <w:t>"Набрання чинності, вимоги до реєстрації, правові наслідки реєстрації та порядок звернення стягнення на предмет обтяжень, предметом яких є цінні папери іноземних емітентів у бездокументарній формі, встановлюється правом держави, яким регулюється договір про обслуговування відповідного рахунка в цінних паперах.".</w:t>
            </w:r>
          </w:p>
        </w:tc>
        <w:tc>
          <w:tcPr>
            <w:tcW w:w="3686" w:type="dxa"/>
          </w:tcPr>
          <w:p w14:paraId="5C404B6B" w14:textId="3302F72F"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1414</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99A211D" w14:textId="77777777" w:rsidR="00630147" w:rsidRPr="00286216" w:rsidRDefault="00630147" w:rsidP="00630147">
            <w:pPr>
              <w:pStyle w:val="StyleProp"/>
              <w:rPr>
                <w:color w:val="000000" w:themeColor="text1"/>
                <w:szCs w:val="18"/>
              </w:rPr>
            </w:pPr>
            <w:r w:rsidRPr="00286216">
              <w:rPr>
                <w:color w:val="000000" w:themeColor="text1"/>
                <w:szCs w:val="18"/>
              </w:rPr>
              <w:t>У абзаці другому підпункту 13 пункту 32 слово «бездокументарній» замінити словом «електронній».</w:t>
            </w:r>
          </w:p>
        </w:tc>
        <w:tc>
          <w:tcPr>
            <w:tcW w:w="1987" w:type="dxa"/>
          </w:tcPr>
          <w:p w14:paraId="18F515D4"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0D5313A6" w14:textId="4AAB41F6" w:rsidR="00630147" w:rsidRPr="00286216" w:rsidRDefault="00630147" w:rsidP="00630147">
            <w:pPr>
              <w:pStyle w:val="StyleZakonu"/>
              <w:rPr>
                <w:color w:val="000000" w:themeColor="text1"/>
              </w:rPr>
            </w:pPr>
            <w:r w:rsidRPr="00286216">
              <w:rPr>
                <w:color w:val="000000" w:themeColor="text1"/>
              </w:rPr>
              <w:t xml:space="preserve">"Набрання чинності, вимоги до реєстрації, правові наслідки реєстрації та порядок звернення стягнення на предмет обтяжень, предметом яких є цінні папери іноземних емітентів у </w:t>
            </w:r>
            <w:r w:rsidRPr="00286216">
              <w:rPr>
                <w:color w:val="000000" w:themeColor="text1"/>
                <w:szCs w:val="18"/>
              </w:rPr>
              <w:t>електронній</w:t>
            </w:r>
            <w:r w:rsidRPr="00286216">
              <w:rPr>
                <w:color w:val="000000" w:themeColor="text1"/>
              </w:rPr>
              <w:t xml:space="preserve"> формі, встановлюється правом держави, яким регулюється договір про обслуговування відповідного рахунка в цінних паперах".</w:t>
            </w:r>
          </w:p>
        </w:tc>
      </w:tr>
      <w:tr w:rsidR="00630147" w:rsidRPr="00286216" w14:paraId="131EE0A2" w14:textId="77777777" w:rsidTr="00091AA5">
        <w:tc>
          <w:tcPr>
            <w:tcW w:w="576" w:type="dxa"/>
          </w:tcPr>
          <w:p w14:paraId="07735356" w14:textId="77777777" w:rsidR="00630147" w:rsidRPr="00286216" w:rsidRDefault="00630147" w:rsidP="00630147">
            <w:pPr>
              <w:pStyle w:val="StyleWisnow"/>
              <w:rPr>
                <w:color w:val="000000" w:themeColor="text1"/>
              </w:rPr>
            </w:pPr>
            <w:bookmarkStart w:id="3194" w:name="n3324" w:colFirst="0" w:colLast="0"/>
            <w:bookmarkEnd w:id="3193"/>
            <w:r w:rsidRPr="00286216">
              <w:rPr>
                <w:color w:val="000000" w:themeColor="text1"/>
              </w:rPr>
              <w:t>3324.</w:t>
            </w:r>
          </w:p>
        </w:tc>
        <w:tc>
          <w:tcPr>
            <w:tcW w:w="4818" w:type="dxa"/>
          </w:tcPr>
          <w:p w14:paraId="6E50BB3E" w14:textId="77777777" w:rsidR="00630147" w:rsidRPr="00286216" w:rsidRDefault="00630147" w:rsidP="00630147">
            <w:pPr>
              <w:pStyle w:val="StyleZakonu"/>
              <w:rPr>
                <w:color w:val="000000" w:themeColor="text1"/>
              </w:rPr>
            </w:pPr>
            <w:r w:rsidRPr="00286216">
              <w:rPr>
                <w:color w:val="000000" w:themeColor="text1"/>
              </w:rPr>
              <w:t>33. У Законі України "Про третейські суди" (Відомості Верховної Ради України, 2004 р., № 35, ст. 412, із наступними змінами):</w:t>
            </w:r>
          </w:p>
        </w:tc>
        <w:tc>
          <w:tcPr>
            <w:tcW w:w="3686" w:type="dxa"/>
          </w:tcPr>
          <w:p w14:paraId="2A2C31C9" w14:textId="77777777" w:rsidR="00630147" w:rsidRPr="00286216" w:rsidRDefault="00630147" w:rsidP="00630147">
            <w:pPr>
              <w:pStyle w:val="StyleProp"/>
              <w:rPr>
                <w:color w:val="000000" w:themeColor="text1"/>
                <w:szCs w:val="18"/>
              </w:rPr>
            </w:pPr>
          </w:p>
        </w:tc>
        <w:tc>
          <w:tcPr>
            <w:tcW w:w="1987" w:type="dxa"/>
          </w:tcPr>
          <w:p w14:paraId="7C7EB406" w14:textId="77777777" w:rsidR="00630147" w:rsidRPr="00286216" w:rsidRDefault="00630147" w:rsidP="00630147">
            <w:pPr>
              <w:pStyle w:val="StyleWisnow"/>
              <w:rPr>
                <w:color w:val="000000" w:themeColor="text1"/>
              </w:rPr>
            </w:pPr>
          </w:p>
        </w:tc>
        <w:tc>
          <w:tcPr>
            <w:tcW w:w="4818" w:type="dxa"/>
          </w:tcPr>
          <w:p w14:paraId="23CD3960" w14:textId="69712191" w:rsidR="00630147" w:rsidRPr="00286216" w:rsidRDefault="00630147" w:rsidP="00630147">
            <w:pPr>
              <w:pStyle w:val="StyleZakonu"/>
              <w:rPr>
                <w:color w:val="000000" w:themeColor="text1"/>
              </w:rPr>
            </w:pPr>
            <w:r w:rsidRPr="00286216">
              <w:rPr>
                <w:color w:val="000000" w:themeColor="text1"/>
              </w:rPr>
              <w:t>30. У Законі України "Про третейські суди" (Відомості Верховної Ради України, 2004 р., № 35, ст. 412 із наступними змінами):</w:t>
            </w:r>
          </w:p>
        </w:tc>
      </w:tr>
      <w:tr w:rsidR="00630147" w:rsidRPr="00286216" w14:paraId="77D52FE6" w14:textId="77777777" w:rsidTr="00091AA5">
        <w:tc>
          <w:tcPr>
            <w:tcW w:w="576" w:type="dxa"/>
          </w:tcPr>
          <w:p w14:paraId="229C68A4" w14:textId="77777777" w:rsidR="00630147" w:rsidRPr="00286216" w:rsidRDefault="00630147" w:rsidP="00630147">
            <w:pPr>
              <w:pStyle w:val="StyleWisnow"/>
              <w:rPr>
                <w:color w:val="000000" w:themeColor="text1"/>
              </w:rPr>
            </w:pPr>
            <w:bookmarkStart w:id="3195" w:name="n3325" w:colFirst="0" w:colLast="0"/>
            <w:bookmarkEnd w:id="3194"/>
            <w:r w:rsidRPr="00286216">
              <w:rPr>
                <w:color w:val="000000" w:themeColor="text1"/>
              </w:rPr>
              <w:lastRenderedPageBreak/>
              <w:t>3325.</w:t>
            </w:r>
          </w:p>
        </w:tc>
        <w:tc>
          <w:tcPr>
            <w:tcW w:w="4818" w:type="dxa"/>
          </w:tcPr>
          <w:p w14:paraId="6567217C" w14:textId="77777777" w:rsidR="00630147" w:rsidRPr="00286216" w:rsidRDefault="00630147" w:rsidP="00630147">
            <w:pPr>
              <w:pStyle w:val="StyleZakonu"/>
              <w:rPr>
                <w:color w:val="000000" w:themeColor="text1"/>
              </w:rPr>
            </w:pPr>
            <w:r w:rsidRPr="00286216">
              <w:rPr>
                <w:color w:val="000000" w:themeColor="text1"/>
              </w:rPr>
              <w:t>1) у статті 2:</w:t>
            </w:r>
          </w:p>
        </w:tc>
        <w:tc>
          <w:tcPr>
            <w:tcW w:w="3686" w:type="dxa"/>
          </w:tcPr>
          <w:p w14:paraId="407C7DF2" w14:textId="77777777" w:rsidR="00630147" w:rsidRPr="00286216" w:rsidRDefault="00630147" w:rsidP="00630147">
            <w:pPr>
              <w:pStyle w:val="StyleProp"/>
              <w:rPr>
                <w:color w:val="000000" w:themeColor="text1"/>
                <w:szCs w:val="18"/>
              </w:rPr>
            </w:pPr>
          </w:p>
        </w:tc>
        <w:tc>
          <w:tcPr>
            <w:tcW w:w="1987" w:type="dxa"/>
          </w:tcPr>
          <w:p w14:paraId="02F875F9" w14:textId="77777777" w:rsidR="00630147" w:rsidRPr="00286216" w:rsidRDefault="00630147" w:rsidP="00630147">
            <w:pPr>
              <w:pStyle w:val="StyleWisnow"/>
              <w:rPr>
                <w:color w:val="000000" w:themeColor="text1"/>
              </w:rPr>
            </w:pPr>
          </w:p>
        </w:tc>
        <w:tc>
          <w:tcPr>
            <w:tcW w:w="4818" w:type="dxa"/>
          </w:tcPr>
          <w:p w14:paraId="10D288C2" w14:textId="0784BEDF" w:rsidR="00630147" w:rsidRPr="00286216" w:rsidRDefault="00630147" w:rsidP="00630147">
            <w:pPr>
              <w:pStyle w:val="StyleZakonu"/>
              <w:rPr>
                <w:color w:val="000000" w:themeColor="text1"/>
              </w:rPr>
            </w:pPr>
            <w:r w:rsidRPr="00286216">
              <w:rPr>
                <w:color w:val="000000" w:themeColor="text1"/>
              </w:rPr>
              <w:t>1) у статті 2:</w:t>
            </w:r>
          </w:p>
        </w:tc>
      </w:tr>
      <w:tr w:rsidR="00630147" w:rsidRPr="00286216" w14:paraId="3E1D5CBC" w14:textId="77777777" w:rsidTr="00091AA5">
        <w:tc>
          <w:tcPr>
            <w:tcW w:w="576" w:type="dxa"/>
          </w:tcPr>
          <w:p w14:paraId="489B8EF4" w14:textId="77777777" w:rsidR="00630147" w:rsidRPr="00286216" w:rsidRDefault="00630147" w:rsidP="00630147">
            <w:pPr>
              <w:pStyle w:val="StyleWisnow"/>
              <w:rPr>
                <w:color w:val="000000" w:themeColor="text1"/>
              </w:rPr>
            </w:pPr>
            <w:bookmarkStart w:id="3196" w:name="n3326" w:colFirst="0" w:colLast="0"/>
            <w:bookmarkEnd w:id="3195"/>
            <w:r w:rsidRPr="00286216">
              <w:rPr>
                <w:color w:val="000000" w:themeColor="text1"/>
              </w:rPr>
              <w:t>3326.</w:t>
            </w:r>
          </w:p>
        </w:tc>
        <w:tc>
          <w:tcPr>
            <w:tcW w:w="4818" w:type="dxa"/>
          </w:tcPr>
          <w:p w14:paraId="12C7FEFC" w14:textId="77777777" w:rsidR="00630147" w:rsidRPr="00286216" w:rsidRDefault="00630147" w:rsidP="00630147">
            <w:pPr>
              <w:pStyle w:val="StyleZakonu"/>
              <w:rPr>
                <w:color w:val="000000" w:themeColor="text1"/>
              </w:rPr>
            </w:pPr>
            <w:r w:rsidRPr="00286216">
              <w:rPr>
                <w:color w:val="000000" w:themeColor="text1"/>
              </w:rPr>
              <w:t>а) друге речення абзацу восьмого доповнити словами ", а також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w:t>
            </w:r>
          </w:p>
        </w:tc>
        <w:tc>
          <w:tcPr>
            <w:tcW w:w="3686" w:type="dxa"/>
          </w:tcPr>
          <w:p w14:paraId="1D8DC2F2" w14:textId="77777777" w:rsidR="00630147" w:rsidRPr="00286216" w:rsidRDefault="00630147" w:rsidP="00630147">
            <w:pPr>
              <w:pStyle w:val="StyleProp"/>
              <w:rPr>
                <w:color w:val="000000" w:themeColor="text1"/>
                <w:szCs w:val="18"/>
              </w:rPr>
            </w:pPr>
          </w:p>
        </w:tc>
        <w:tc>
          <w:tcPr>
            <w:tcW w:w="1987" w:type="dxa"/>
          </w:tcPr>
          <w:p w14:paraId="627C76A2" w14:textId="77777777" w:rsidR="00630147" w:rsidRPr="00286216" w:rsidRDefault="00630147" w:rsidP="00630147">
            <w:pPr>
              <w:pStyle w:val="StyleWisnow"/>
              <w:rPr>
                <w:color w:val="000000" w:themeColor="text1"/>
              </w:rPr>
            </w:pPr>
          </w:p>
        </w:tc>
        <w:tc>
          <w:tcPr>
            <w:tcW w:w="4818" w:type="dxa"/>
          </w:tcPr>
          <w:p w14:paraId="5BE011F2" w14:textId="7A32FF57" w:rsidR="00630147" w:rsidRPr="00286216" w:rsidRDefault="00630147" w:rsidP="00630147">
            <w:pPr>
              <w:pStyle w:val="StyleZakonu"/>
              <w:rPr>
                <w:color w:val="000000" w:themeColor="text1"/>
              </w:rPr>
            </w:pPr>
            <w:r w:rsidRPr="00286216">
              <w:rPr>
                <w:color w:val="000000" w:themeColor="text1"/>
              </w:rPr>
              <w:t>а) друге речення абзацу восьмого доповнити словами "а також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w:t>
            </w:r>
          </w:p>
        </w:tc>
      </w:tr>
      <w:tr w:rsidR="00630147" w:rsidRPr="00286216" w14:paraId="0F254A2B" w14:textId="77777777" w:rsidTr="00091AA5">
        <w:tc>
          <w:tcPr>
            <w:tcW w:w="576" w:type="dxa"/>
          </w:tcPr>
          <w:p w14:paraId="077B80C0" w14:textId="77777777" w:rsidR="00630147" w:rsidRPr="00286216" w:rsidRDefault="00630147" w:rsidP="00630147">
            <w:pPr>
              <w:pStyle w:val="StyleWisnow"/>
              <w:rPr>
                <w:color w:val="000000" w:themeColor="text1"/>
              </w:rPr>
            </w:pPr>
            <w:bookmarkStart w:id="3197" w:name="n3327" w:colFirst="0" w:colLast="0"/>
            <w:bookmarkEnd w:id="3196"/>
            <w:r w:rsidRPr="00286216">
              <w:rPr>
                <w:color w:val="000000" w:themeColor="text1"/>
              </w:rPr>
              <w:t>3327.</w:t>
            </w:r>
          </w:p>
        </w:tc>
        <w:tc>
          <w:tcPr>
            <w:tcW w:w="4818" w:type="dxa"/>
          </w:tcPr>
          <w:p w14:paraId="2807012C" w14:textId="77777777" w:rsidR="00630147" w:rsidRPr="00286216" w:rsidRDefault="00630147" w:rsidP="00630147">
            <w:pPr>
              <w:pStyle w:val="StyleZakonu"/>
              <w:rPr>
                <w:color w:val="000000" w:themeColor="text1"/>
              </w:rPr>
            </w:pPr>
            <w:r w:rsidRPr="00286216">
              <w:rPr>
                <w:color w:val="000000" w:themeColor="text1"/>
              </w:rPr>
              <w:t>б) доповнити статтю абзацом такого змісту:</w:t>
            </w:r>
          </w:p>
        </w:tc>
        <w:tc>
          <w:tcPr>
            <w:tcW w:w="3686" w:type="dxa"/>
          </w:tcPr>
          <w:p w14:paraId="2FC4AA09" w14:textId="77777777" w:rsidR="00630147" w:rsidRPr="00286216" w:rsidRDefault="00630147" w:rsidP="00630147">
            <w:pPr>
              <w:pStyle w:val="StyleProp"/>
              <w:rPr>
                <w:color w:val="000000" w:themeColor="text1"/>
                <w:szCs w:val="18"/>
              </w:rPr>
            </w:pPr>
          </w:p>
        </w:tc>
        <w:tc>
          <w:tcPr>
            <w:tcW w:w="1987" w:type="dxa"/>
          </w:tcPr>
          <w:p w14:paraId="26BBE5D3" w14:textId="77777777" w:rsidR="00630147" w:rsidRPr="00286216" w:rsidRDefault="00630147" w:rsidP="00630147">
            <w:pPr>
              <w:pStyle w:val="StyleWisnow"/>
              <w:rPr>
                <w:color w:val="000000" w:themeColor="text1"/>
              </w:rPr>
            </w:pPr>
          </w:p>
        </w:tc>
        <w:tc>
          <w:tcPr>
            <w:tcW w:w="4818" w:type="dxa"/>
          </w:tcPr>
          <w:p w14:paraId="116C9F3B" w14:textId="2AFC4AAC" w:rsidR="00630147" w:rsidRPr="00286216" w:rsidRDefault="00630147" w:rsidP="00630147">
            <w:pPr>
              <w:pStyle w:val="StyleZakonu"/>
              <w:rPr>
                <w:color w:val="000000" w:themeColor="text1"/>
              </w:rPr>
            </w:pPr>
            <w:r w:rsidRPr="00286216">
              <w:rPr>
                <w:color w:val="000000" w:themeColor="text1"/>
              </w:rPr>
              <w:t>б) доповнити частиною другою такого змісту:</w:t>
            </w:r>
          </w:p>
        </w:tc>
      </w:tr>
      <w:tr w:rsidR="00630147" w:rsidRPr="00286216" w14:paraId="11C46C48" w14:textId="77777777" w:rsidTr="00091AA5">
        <w:tc>
          <w:tcPr>
            <w:tcW w:w="576" w:type="dxa"/>
          </w:tcPr>
          <w:p w14:paraId="249AFBC9" w14:textId="77777777" w:rsidR="00630147" w:rsidRPr="00286216" w:rsidRDefault="00630147" w:rsidP="00630147">
            <w:pPr>
              <w:pStyle w:val="StyleWisnow"/>
              <w:rPr>
                <w:color w:val="000000" w:themeColor="text1"/>
              </w:rPr>
            </w:pPr>
            <w:bookmarkStart w:id="3198" w:name="n3328" w:colFirst="0" w:colLast="0"/>
            <w:bookmarkEnd w:id="3197"/>
            <w:r w:rsidRPr="00286216">
              <w:rPr>
                <w:color w:val="000000" w:themeColor="text1"/>
              </w:rPr>
              <w:t>3328.</w:t>
            </w:r>
          </w:p>
        </w:tc>
        <w:tc>
          <w:tcPr>
            <w:tcW w:w="4818" w:type="dxa"/>
          </w:tcPr>
          <w:p w14:paraId="68BA0F48" w14:textId="77777777" w:rsidR="00630147" w:rsidRPr="00286216" w:rsidRDefault="00630147" w:rsidP="00630147">
            <w:pPr>
              <w:pStyle w:val="StyleZakonu"/>
              <w:rPr>
                <w:color w:val="000000" w:themeColor="text1"/>
              </w:rPr>
            </w:pPr>
            <w:r w:rsidRPr="00286216">
              <w:rPr>
                <w:color w:val="000000" w:themeColor="text1"/>
              </w:rPr>
              <w:t>"Термін "адміністратор за випуском облігацій" вживається у значенні, наведеному у Законі України "Про ринки капіталу та організовані товарні ринки".";</w:t>
            </w:r>
          </w:p>
        </w:tc>
        <w:tc>
          <w:tcPr>
            <w:tcW w:w="3686" w:type="dxa"/>
          </w:tcPr>
          <w:p w14:paraId="44E91F03" w14:textId="77777777" w:rsidR="00630147" w:rsidRPr="00286216" w:rsidRDefault="00630147" w:rsidP="00630147">
            <w:pPr>
              <w:pStyle w:val="StyleProp"/>
              <w:rPr>
                <w:color w:val="000000" w:themeColor="text1"/>
                <w:szCs w:val="18"/>
              </w:rPr>
            </w:pPr>
          </w:p>
        </w:tc>
        <w:tc>
          <w:tcPr>
            <w:tcW w:w="1987" w:type="dxa"/>
          </w:tcPr>
          <w:p w14:paraId="3E579879" w14:textId="77777777" w:rsidR="00630147" w:rsidRPr="00286216" w:rsidRDefault="00630147" w:rsidP="00630147">
            <w:pPr>
              <w:pStyle w:val="StyleWisnow"/>
              <w:rPr>
                <w:color w:val="000000" w:themeColor="text1"/>
              </w:rPr>
            </w:pPr>
          </w:p>
        </w:tc>
        <w:tc>
          <w:tcPr>
            <w:tcW w:w="4818" w:type="dxa"/>
          </w:tcPr>
          <w:p w14:paraId="41812064" w14:textId="688BCA82" w:rsidR="00630147" w:rsidRPr="00286216" w:rsidRDefault="00630147" w:rsidP="00630147">
            <w:pPr>
              <w:pStyle w:val="StyleZakonu"/>
              <w:rPr>
                <w:color w:val="000000" w:themeColor="text1"/>
              </w:rPr>
            </w:pPr>
            <w:r w:rsidRPr="00286216">
              <w:rPr>
                <w:color w:val="000000" w:themeColor="text1"/>
              </w:rPr>
              <w:t>"Термін "адміністратор за випуском облігацій" у цьому Законі вживається у значенні, наведеному в Законі України "Про ринки капіталу та організовані товарні ринки";</w:t>
            </w:r>
          </w:p>
        </w:tc>
      </w:tr>
      <w:tr w:rsidR="00630147" w:rsidRPr="00286216" w14:paraId="39A96E0F" w14:textId="77777777" w:rsidTr="00091AA5">
        <w:tc>
          <w:tcPr>
            <w:tcW w:w="576" w:type="dxa"/>
          </w:tcPr>
          <w:p w14:paraId="377AB25D" w14:textId="77777777" w:rsidR="00630147" w:rsidRPr="00286216" w:rsidRDefault="00630147" w:rsidP="00630147">
            <w:pPr>
              <w:pStyle w:val="StyleWisnow"/>
              <w:rPr>
                <w:color w:val="000000" w:themeColor="text1"/>
              </w:rPr>
            </w:pPr>
            <w:bookmarkStart w:id="3199" w:name="n3329" w:colFirst="0" w:colLast="0"/>
            <w:bookmarkEnd w:id="3198"/>
            <w:r w:rsidRPr="00286216">
              <w:rPr>
                <w:color w:val="000000" w:themeColor="text1"/>
              </w:rPr>
              <w:t>3329.</w:t>
            </w:r>
          </w:p>
        </w:tc>
        <w:tc>
          <w:tcPr>
            <w:tcW w:w="4818" w:type="dxa"/>
          </w:tcPr>
          <w:p w14:paraId="79197A11" w14:textId="77777777" w:rsidR="00630147" w:rsidRPr="00286216" w:rsidRDefault="00630147" w:rsidP="00630147">
            <w:pPr>
              <w:pStyle w:val="StyleZakonu"/>
              <w:rPr>
                <w:color w:val="000000" w:themeColor="text1"/>
              </w:rPr>
            </w:pPr>
            <w:r w:rsidRPr="00286216">
              <w:rPr>
                <w:color w:val="000000" w:themeColor="text1"/>
              </w:rPr>
              <w:t>2) перше речення частини першої статті 5 після слів "фізичні особи" доповнити словами ", а також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 ";</w:t>
            </w:r>
          </w:p>
        </w:tc>
        <w:tc>
          <w:tcPr>
            <w:tcW w:w="3686" w:type="dxa"/>
          </w:tcPr>
          <w:p w14:paraId="616CC7AC" w14:textId="77777777" w:rsidR="00630147" w:rsidRPr="00286216" w:rsidRDefault="00630147" w:rsidP="00630147">
            <w:pPr>
              <w:pStyle w:val="StyleProp"/>
              <w:rPr>
                <w:color w:val="000000" w:themeColor="text1"/>
                <w:szCs w:val="18"/>
              </w:rPr>
            </w:pPr>
          </w:p>
        </w:tc>
        <w:tc>
          <w:tcPr>
            <w:tcW w:w="1987" w:type="dxa"/>
          </w:tcPr>
          <w:p w14:paraId="25350819" w14:textId="77777777" w:rsidR="00630147" w:rsidRPr="00286216" w:rsidRDefault="00630147" w:rsidP="00630147">
            <w:pPr>
              <w:pStyle w:val="StyleWisnow"/>
              <w:rPr>
                <w:color w:val="000000" w:themeColor="text1"/>
              </w:rPr>
            </w:pPr>
          </w:p>
        </w:tc>
        <w:tc>
          <w:tcPr>
            <w:tcW w:w="4818" w:type="dxa"/>
          </w:tcPr>
          <w:p w14:paraId="7E846F29" w14:textId="46B98606" w:rsidR="00630147" w:rsidRPr="00286216" w:rsidRDefault="00630147" w:rsidP="00630147">
            <w:pPr>
              <w:pStyle w:val="StyleZakonu"/>
              <w:rPr>
                <w:color w:val="000000" w:themeColor="text1"/>
              </w:rPr>
            </w:pPr>
            <w:r w:rsidRPr="00286216">
              <w:rPr>
                <w:color w:val="000000" w:themeColor="text1"/>
              </w:rPr>
              <w:t>2) перше речення частини першої статті 5 після слів "фізичні особи" доповнити словами "а також адміністратор за випуском облігацій, який діє в інтересах власників облігацій відповідно до положень Закону України "Про ринки капіталу та організовані товарні ринки";</w:t>
            </w:r>
          </w:p>
        </w:tc>
      </w:tr>
      <w:tr w:rsidR="00630147" w:rsidRPr="00286216" w14:paraId="2B7AC0E6" w14:textId="77777777" w:rsidTr="00091AA5">
        <w:tc>
          <w:tcPr>
            <w:tcW w:w="576" w:type="dxa"/>
          </w:tcPr>
          <w:p w14:paraId="33EFFA29" w14:textId="77777777" w:rsidR="00630147" w:rsidRPr="00286216" w:rsidRDefault="00630147" w:rsidP="00630147">
            <w:pPr>
              <w:pStyle w:val="StyleWisnow"/>
              <w:rPr>
                <w:color w:val="000000" w:themeColor="text1"/>
              </w:rPr>
            </w:pPr>
            <w:bookmarkStart w:id="3200" w:name="n3330" w:colFirst="0" w:colLast="0"/>
            <w:bookmarkEnd w:id="3199"/>
            <w:r w:rsidRPr="00286216">
              <w:rPr>
                <w:color w:val="000000" w:themeColor="text1"/>
              </w:rPr>
              <w:t>3330.</w:t>
            </w:r>
          </w:p>
        </w:tc>
        <w:tc>
          <w:tcPr>
            <w:tcW w:w="4818" w:type="dxa"/>
          </w:tcPr>
          <w:p w14:paraId="185CC007" w14:textId="77777777" w:rsidR="00630147" w:rsidRPr="00286216" w:rsidRDefault="00630147" w:rsidP="00630147">
            <w:pPr>
              <w:pStyle w:val="StyleZakonu"/>
              <w:rPr>
                <w:color w:val="000000" w:themeColor="text1"/>
              </w:rPr>
            </w:pPr>
            <w:r w:rsidRPr="00286216">
              <w:rPr>
                <w:color w:val="000000" w:themeColor="text1"/>
              </w:rPr>
              <w:t>3) абзац четвертий частини першої статті 8 викласти в такій редакції:</w:t>
            </w:r>
          </w:p>
        </w:tc>
        <w:tc>
          <w:tcPr>
            <w:tcW w:w="3686" w:type="dxa"/>
          </w:tcPr>
          <w:p w14:paraId="393F8ACF" w14:textId="77777777" w:rsidR="00630147" w:rsidRPr="00286216" w:rsidRDefault="00630147" w:rsidP="00630147">
            <w:pPr>
              <w:pStyle w:val="StyleProp"/>
              <w:rPr>
                <w:color w:val="000000" w:themeColor="text1"/>
                <w:szCs w:val="18"/>
              </w:rPr>
            </w:pPr>
          </w:p>
        </w:tc>
        <w:tc>
          <w:tcPr>
            <w:tcW w:w="1987" w:type="dxa"/>
          </w:tcPr>
          <w:p w14:paraId="55BCFEDD" w14:textId="77777777" w:rsidR="00630147" w:rsidRPr="00286216" w:rsidRDefault="00630147" w:rsidP="00630147">
            <w:pPr>
              <w:pStyle w:val="StyleWisnow"/>
              <w:rPr>
                <w:color w:val="000000" w:themeColor="text1"/>
              </w:rPr>
            </w:pPr>
          </w:p>
        </w:tc>
        <w:tc>
          <w:tcPr>
            <w:tcW w:w="4818" w:type="dxa"/>
          </w:tcPr>
          <w:p w14:paraId="4E8A520E" w14:textId="71D4369E" w:rsidR="00630147" w:rsidRPr="00286216" w:rsidRDefault="00630147" w:rsidP="00630147">
            <w:pPr>
              <w:pStyle w:val="StyleZakonu"/>
              <w:rPr>
                <w:color w:val="000000" w:themeColor="text1"/>
              </w:rPr>
            </w:pPr>
            <w:r w:rsidRPr="00286216">
              <w:rPr>
                <w:color w:val="000000" w:themeColor="text1"/>
              </w:rPr>
              <w:t>3) абзац четвертий частини першої статті 8 викласти в такій редакції:</w:t>
            </w:r>
          </w:p>
        </w:tc>
      </w:tr>
      <w:tr w:rsidR="00630147" w:rsidRPr="00286216" w14:paraId="7C84C7F2" w14:textId="77777777" w:rsidTr="00091AA5">
        <w:tc>
          <w:tcPr>
            <w:tcW w:w="576" w:type="dxa"/>
          </w:tcPr>
          <w:p w14:paraId="1F46FAEB" w14:textId="77777777" w:rsidR="00630147" w:rsidRPr="00286216" w:rsidRDefault="00630147" w:rsidP="00630147">
            <w:pPr>
              <w:pStyle w:val="StyleWisnow"/>
              <w:rPr>
                <w:color w:val="000000" w:themeColor="text1"/>
              </w:rPr>
            </w:pPr>
            <w:bookmarkStart w:id="3201" w:name="n3331" w:colFirst="0" w:colLast="0"/>
            <w:bookmarkEnd w:id="3200"/>
            <w:r w:rsidRPr="00286216">
              <w:rPr>
                <w:color w:val="000000" w:themeColor="text1"/>
              </w:rPr>
              <w:t>3331.</w:t>
            </w:r>
          </w:p>
        </w:tc>
        <w:tc>
          <w:tcPr>
            <w:tcW w:w="4818" w:type="dxa"/>
          </w:tcPr>
          <w:p w14:paraId="0114C82A" w14:textId="651969E3" w:rsidR="00630147" w:rsidRPr="00286216" w:rsidRDefault="00630147" w:rsidP="00630147">
            <w:pPr>
              <w:pStyle w:val="StyleZakonu"/>
              <w:rPr>
                <w:color w:val="000000" w:themeColor="text1"/>
              </w:rPr>
            </w:pPr>
            <w:r w:rsidRPr="00286216">
              <w:rPr>
                <w:color w:val="000000" w:themeColor="text1"/>
              </w:rPr>
              <w:t>"операторах регульованих ринків, саморегулівних організаціях професійних учасників ринків капіталу;";</w:t>
            </w:r>
          </w:p>
        </w:tc>
        <w:tc>
          <w:tcPr>
            <w:tcW w:w="3686" w:type="dxa"/>
          </w:tcPr>
          <w:p w14:paraId="154FAEFB" w14:textId="6A4458F2"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1415</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2CF87DBF" w14:textId="77777777" w:rsidR="00630147" w:rsidRPr="00286216" w:rsidRDefault="00630147" w:rsidP="0063014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53FCCDF5"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В абзаці другому підпункту 3 пункту 33 слово «регульованих» замінити словом  «організованих».</w:t>
            </w:r>
          </w:p>
        </w:tc>
        <w:tc>
          <w:tcPr>
            <w:tcW w:w="1987" w:type="dxa"/>
          </w:tcPr>
          <w:p w14:paraId="24760FBA"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60461AF3" w14:textId="3C14A1FA" w:rsidR="00630147" w:rsidRPr="00286216" w:rsidRDefault="00630147" w:rsidP="00630147">
            <w:pPr>
              <w:pStyle w:val="StyleZakonu"/>
              <w:rPr>
                <w:color w:val="000000" w:themeColor="text1"/>
              </w:rPr>
            </w:pPr>
            <w:r w:rsidRPr="00286216">
              <w:rPr>
                <w:color w:val="000000" w:themeColor="text1"/>
              </w:rPr>
              <w:t xml:space="preserve">"операторах </w:t>
            </w:r>
            <w:r w:rsidRPr="00286216">
              <w:rPr>
                <w:color w:val="000000" w:themeColor="text1"/>
                <w:szCs w:val="18"/>
              </w:rPr>
              <w:t>організованих</w:t>
            </w:r>
            <w:r w:rsidRPr="00286216" w:rsidDel="00107146">
              <w:rPr>
                <w:color w:val="000000" w:themeColor="text1"/>
              </w:rPr>
              <w:t xml:space="preserve"> </w:t>
            </w:r>
            <w:r w:rsidRPr="00286216">
              <w:rPr>
                <w:color w:val="000000" w:themeColor="text1"/>
              </w:rPr>
              <w:t>ринків, саморегулівних організаціях професійних учасників ринків капіталу";</w:t>
            </w:r>
          </w:p>
        </w:tc>
      </w:tr>
      <w:tr w:rsidR="00630147" w:rsidRPr="00286216" w14:paraId="1BA1D5F0" w14:textId="77777777" w:rsidTr="00091AA5">
        <w:tc>
          <w:tcPr>
            <w:tcW w:w="576" w:type="dxa"/>
          </w:tcPr>
          <w:p w14:paraId="0CF78FCB" w14:textId="77777777" w:rsidR="00630147" w:rsidRPr="00286216" w:rsidRDefault="00630147" w:rsidP="00630147">
            <w:pPr>
              <w:pStyle w:val="StyleWisnow"/>
              <w:rPr>
                <w:color w:val="000000" w:themeColor="text1"/>
              </w:rPr>
            </w:pPr>
            <w:bookmarkStart w:id="3202" w:name="n3332" w:colFirst="0" w:colLast="0"/>
            <w:bookmarkEnd w:id="3201"/>
            <w:r w:rsidRPr="00286216">
              <w:rPr>
                <w:color w:val="000000" w:themeColor="text1"/>
              </w:rPr>
              <w:t>3332.</w:t>
            </w:r>
          </w:p>
        </w:tc>
        <w:tc>
          <w:tcPr>
            <w:tcW w:w="4818" w:type="dxa"/>
          </w:tcPr>
          <w:p w14:paraId="10542269" w14:textId="77777777" w:rsidR="00630147" w:rsidRPr="00286216" w:rsidRDefault="00630147" w:rsidP="00630147">
            <w:pPr>
              <w:pStyle w:val="StyleZakonu"/>
              <w:rPr>
                <w:color w:val="000000" w:themeColor="text1"/>
              </w:rPr>
            </w:pPr>
            <w:r w:rsidRPr="00286216">
              <w:rPr>
                <w:color w:val="000000" w:themeColor="text1"/>
              </w:rPr>
              <w:t>4) у другому реченні частини четвертої статті 12 після слів "підписана сторонами" доповнити словами "або міститься у проспекті цінних паперів (рішенні про емісію цінних паперів), що передбачає призначення адміністратора за випуском облігацій, ".</w:t>
            </w:r>
          </w:p>
        </w:tc>
        <w:tc>
          <w:tcPr>
            <w:tcW w:w="3686" w:type="dxa"/>
          </w:tcPr>
          <w:p w14:paraId="06B8CA73" w14:textId="77777777" w:rsidR="00630147" w:rsidRPr="00286216" w:rsidRDefault="00630147" w:rsidP="00630147">
            <w:pPr>
              <w:pStyle w:val="StyleProp"/>
              <w:rPr>
                <w:color w:val="000000" w:themeColor="text1"/>
                <w:szCs w:val="18"/>
              </w:rPr>
            </w:pPr>
          </w:p>
        </w:tc>
        <w:tc>
          <w:tcPr>
            <w:tcW w:w="1987" w:type="dxa"/>
          </w:tcPr>
          <w:p w14:paraId="7A3B4902" w14:textId="77777777" w:rsidR="00630147" w:rsidRPr="00286216" w:rsidRDefault="00630147" w:rsidP="00630147">
            <w:pPr>
              <w:pStyle w:val="StyleWisnow"/>
              <w:rPr>
                <w:color w:val="000000" w:themeColor="text1"/>
              </w:rPr>
            </w:pPr>
          </w:p>
        </w:tc>
        <w:tc>
          <w:tcPr>
            <w:tcW w:w="4818" w:type="dxa"/>
          </w:tcPr>
          <w:p w14:paraId="4F6CCA83" w14:textId="76C4C773" w:rsidR="00630147" w:rsidRPr="00286216" w:rsidRDefault="00630147" w:rsidP="00630147">
            <w:pPr>
              <w:pStyle w:val="StyleZakonu"/>
              <w:rPr>
                <w:color w:val="000000" w:themeColor="text1"/>
              </w:rPr>
            </w:pPr>
            <w:r w:rsidRPr="00286216">
              <w:rPr>
                <w:color w:val="000000" w:themeColor="text1"/>
              </w:rPr>
              <w:t>4) друге речення частини четвертої статті 12 після слів "підписана сторонами" доповнити словами "або міститься у проспекті цінних паперів (рішенні про емісію цінних паперів), що передбачає призначення адміністратора за випуском облігацій".</w:t>
            </w:r>
          </w:p>
        </w:tc>
      </w:tr>
      <w:tr w:rsidR="00630147" w:rsidRPr="00286216" w14:paraId="0095F8B2" w14:textId="77777777" w:rsidTr="00091AA5">
        <w:tc>
          <w:tcPr>
            <w:tcW w:w="576" w:type="dxa"/>
          </w:tcPr>
          <w:p w14:paraId="2A992391" w14:textId="77777777" w:rsidR="00630147" w:rsidRPr="00286216" w:rsidRDefault="00630147" w:rsidP="00630147">
            <w:pPr>
              <w:pStyle w:val="StyleWisnow"/>
              <w:rPr>
                <w:color w:val="000000" w:themeColor="text1"/>
              </w:rPr>
            </w:pPr>
            <w:bookmarkStart w:id="3203" w:name="n3333" w:colFirst="0" w:colLast="0"/>
            <w:bookmarkEnd w:id="3202"/>
            <w:r w:rsidRPr="00286216">
              <w:rPr>
                <w:color w:val="000000" w:themeColor="text1"/>
              </w:rPr>
              <w:t>3333.</w:t>
            </w:r>
          </w:p>
        </w:tc>
        <w:tc>
          <w:tcPr>
            <w:tcW w:w="4818" w:type="dxa"/>
          </w:tcPr>
          <w:p w14:paraId="4FF6412D" w14:textId="77777777" w:rsidR="00630147" w:rsidRPr="00286216" w:rsidRDefault="00630147" w:rsidP="00630147">
            <w:pPr>
              <w:pStyle w:val="StyleZakonu"/>
              <w:rPr>
                <w:color w:val="000000" w:themeColor="text1"/>
              </w:rPr>
            </w:pPr>
            <w:r w:rsidRPr="00286216">
              <w:rPr>
                <w:color w:val="000000" w:themeColor="text1"/>
              </w:rPr>
              <w:t>34. Абзац перший статті 9 Закону України "Про впорядкування питань, пов’язаних із забезпеченням ядерної безпеки" (Відомості Верховної Ради України, 2004, № 46, ст. 511, із наступними змінами) після слів "емітуються державою, " доповнити словами "та облігації міжнародних фінансових організацій, що розміщуються на території України, ".</w:t>
            </w:r>
          </w:p>
        </w:tc>
        <w:tc>
          <w:tcPr>
            <w:tcW w:w="3686" w:type="dxa"/>
          </w:tcPr>
          <w:p w14:paraId="352F2A79" w14:textId="77777777" w:rsidR="00630147" w:rsidRPr="00286216" w:rsidRDefault="00630147" w:rsidP="00630147">
            <w:pPr>
              <w:pStyle w:val="StyleProp"/>
              <w:rPr>
                <w:color w:val="000000" w:themeColor="text1"/>
                <w:szCs w:val="18"/>
              </w:rPr>
            </w:pPr>
          </w:p>
        </w:tc>
        <w:tc>
          <w:tcPr>
            <w:tcW w:w="1987" w:type="dxa"/>
          </w:tcPr>
          <w:p w14:paraId="6D7D369A" w14:textId="77777777" w:rsidR="00630147" w:rsidRPr="00286216" w:rsidRDefault="00630147" w:rsidP="00630147">
            <w:pPr>
              <w:pStyle w:val="StyleWisnow"/>
              <w:rPr>
                <w:color w:val="000000" w:themeColor="text1"/>
              </w:rPr>
            </w:pPr>
          </w:p>
        </w:tc>
        <w:tc>
          <w:tcPr>
            <w:tcW w:w="4818" w:type="dxa"/>
          </w:tcPr>
          <w:p w14:paraId="77A49932" w14:textId="6EB7C6D4" w:rsidR="00630147" w:rsidRPr="00286216" w:rsidRDefault="00630147" w:rsidP="00630147">
            <w:pPr>
              <w:pStyle w:val="StyleZakonu"/>
              <w:rPr>
                <w:color w:val="000000" w:themeColor="text1"/>
              </w:rPr>
            </w:pPr>
            <w:r w:rsidRPr="00286216">
              <w:rPr>
                <w:color w:val="000000" w:themeColor="text1"/>
              </w:rPr>
              <w:t>31. Абзац перший статті 9 Закону України "Про впорядкування питань, пов’язаних із забезпеченням ядерної безпеки" (Відомості Верховної Ради України, 2004 р., № 46, ст. 511 із наступними змінами) після слів "емітуються державою" доповнити словами "та облігації міжнародних фінансових організацій, що розміщуються на території України".</w:t>
            </w:r>
          </w:p>
        </w:tc>
      </w:tr>
      <w:tr w:rsidR="00630147" w:rsidRPr="00286216" w14:paraId="7BD8FF88" w14:textId="77777777" w:rsidTr="00091AA5">
        <w:tc>
          <w:tcPr>
            <w:tcW w:w="576" w:type="dxa"/>
          </w:tcPr>
          <w:p w14:paraId="14727CF0" w14:textId="77777777" w:rsidR="00630147" w:rsidRPr="00286216" w:rsidRDefault="00630147" w:rsidP="00630147">
            <w:pPr>
              <w:pStyle w:val="StyleWisnow"/>
              <w:rPr>
                <w:color w:val="000000" w:themeColor="text1"/>
              </w:rPr>
            </w:pPr>
            <w:bookmarkStart w:id="3204" w:name="n3334" w:colFirst="0" w:colLast="0"/>
            <w:bookmarkEnd w:id="3203"/>
            <w:r w:rsidRPr="00286216">
              <w:rPr>
                <w:color w:val="000000" w:themeColor="text1"/>
              </w:rPr>
              <w:t>3334.</w:t>
            </w:r>
          </w:p>
        </w:tc>
        <w:tc>
          <w:tcPr>
            <w:tcW w:w="4818" w:type="dxa"/>
          </w:tcPr>
          <w:p w14:paraId="072FC67A" w14:textId="77777777" w:rsidR="00630147" w:rsidRPr="00286216" w:rsidRDefault="00630147" w:rsidP="00630147">
            <w:pPr>
              <w:pStyle w:val="StyleZakonu"/>
              <w:rPr>
                <w:color w:val="000000" w:themeColor="text1"/>
              </w:rPr>
            </w:pPr>
            <w:r w:rsidRPr="00286216">
              <w:rPr>
                <w:color w:val="000000" w:themeColor="text1"/>
              </w:rPr>
              <w:t>35. У Законі України "Про державну підтримку сільського господарства України" (Відомості Верховної Ради України, 2004 р., №49, ст. 527, із наступними змінами):</w:t>
            </w:r>
          </w:p>
        </w:tc>
        <w:tc>
          <w:tcPr>
            <w:tcW w:w="3686" w:type="dxa"/>
          </w:tcPr>
          <w:p w14:paraId="4EDDF9A5" w14:textId="77777777" w:rsidR="00630147" w:rsidRPr="00286216" w:rsidRDefault="00630147" w:rsidP="00630147">
            <w:pPr>
              <w:pStyle w:val="StyleProp"/>
              <w:rPr>
                <w:color w:val="000000" w:themeColor="text1"/>
                <w:szCs w:val="18"/>
              </w:rPr>
            </w:pPr>
          </w:p>
        </w:tc>
        <w:tc>
          <w:tcPr>
            <w:tcW w:w="1987" w:type="dxa"/>
          </w:tcPr>
          <w:p w14:paraId="34BEFD6E" w14:textId="77777777" w:rsidR="00630147" w:rsidRPr="00286216" w:rsidRDefault="00630147" w:rsidP="00630147">
            <w:pPr>
              <w:pStyle w:val="StyleWisnow"/>
              <w:rPr>
                <w:color w:val="000000" w:themeColor="text1"/>
              </w:rPr>
            </w:pPr>
          </w:p>
        </w:tc>
        <w:tc>
          <w:tcPr>
            <w:tcW w:w="4818" w:type="dxa"/>
          </w:tcPr>
          <w:p w14:paraId="1E0D35E3" w14:textId="0943803F" w:rsidR="00630147" w:rsidRPr="00286216" w:rsidRDefault="00630147" w:rsidP="00630147">
            <w:pPr>
              <w:pStyle w:val="StyleZakonu"/>
              <w:rPr>
                <w:color w:val="000000" w:themeColor="text1"/>
              </w:rPr>
            </w:pPr>
            <w:r w:rsidRPr="00286216">
              <w:rPr>
                <w:color w:val="000000" w:themeColor="text1"/>
              </w:rPr>
              <w:t>32. У Законі України "Про державну підтримку сільського господарства України" (Відомості Верховної Ради України, 2004 р., №49, ст. 527 із наступними змінами):</w:t>
            </w:r>
          </w:p>
        </w:tc>
      </w:tr>
      <w:tr w:rsidR="00630147" w:rsidRPr="00286216" w14:paraId="4BDFE41C" w14:textId="77777777" w:rsidTr="00091AA5">
        <w:tc>
          <w:tcPr>
            <w:tcW w:w="576" w:type="dxa"/>
          </w:tcPr>
          <w:p w14:paraId="4ECFFBD7" w14:textId="77777777" w:rsidR="00630147" w:rsidRPr="00286216" w:rsidRDefault="00630147" w:rsidP="00630147">
            <w:pPr>
              <w:pStyle w:val="StyleWisnow"/>
              <w:rPr>
                <w:color w:val="000000" w:themeColor="text1"/>
              </w:rPr>
            </w:pPr>
            <w:bookmarkStart w:id="3205" w:name="n3335" w:colFirst="0" w:colLast="0"/>
            <w:bookmarkEnd w:id="3204"/>
            <w:r w:rsidRPr="00286216">
              <w:rPr>
                <w:color w:val="000000" w:themeColor="text1"/>
              </w:rPr>
              <w:t>3335.</w:t>
            </w:r>
          </w:p>
        </w:tc>
        <w:tc>
          <w:tcPr>
            <w:tcW w:w="4818" w:type="dxa"/>
          </w:tcPr>
          <w:p w14:paraId="1BFD55A1" w14:textId="77777777" w:rsidR="00630147" w:rsidRPr="00286216" w:rsidRDefault="00630147" w:rsidP="00630147">
            <w:pPr>
              <w:pStyle w:val="StyleZakonu"/>
              <w:rPr>
                <w:color w:val="000000" w:themeColor="text1"/>
              </w:rPr>
            </w:pPr>
            <w:r w:rsidRPr="00286216">
              <w:rPr>
                <w:color w:val="000000" w:themeColor="text1"/>
              </w:rPr>
              <w:t>1) у статті 2:</w:t>
            </w:r>
          </w:p>
        </w:tc>
        <w:tc>
          <w:tcPr>
            <w:tcW w:w="3686" w:type="dxa"/>
          </w:tcPr>
          <w:p w14:paraId="60CAB1E4" w14:textId="77777777" w:rsidR="00630147" w:rsidRPr="00286216" w:rsidRDefault="00630147" w:rsidP="00630147">
            <w:pPr>
              <w:pStyle w:val="StyleProp"/>
              <w:rPr>
                <w:color w:val="000000" w:themeColor="text1"/>
                <w:szCs w:val="18"/>
              </w:rPr>
            </w:pPr>
          </w:p>
        </w:tc>
        <w:tc>
          <w:tcPr>
            <w:tcW w:w="1987" w:type="dxa"/>
          </w:tcPr>
          <w:p w14:paraId="5B175EB4" w14:textId="77777777" w:rsidR="00630147" w:rsidRPr="00286216" w:rsidRDefault="00630147" w:rsidP="00630147">
            <w:pPr>
              <w:pStyle w:val="StyleWisnow"/>
              <w:rPr>
                <w:color w:val="000000" w:themeColor="text1"/>
              </w:rPr>
            </w:pPr>
          </w:p>
        </w:tc>
        <w:tc>
          <w:tcPr>
            <w:tcW w:w="4818" w:type="dxa"/>
          </w:tcPr>
          <w:p w14:paraId="2A99084B" w14:textId="5A1F5160" w:rsidR="00630147" w:rsidRPr="00286216" w:rsidRDefault="00630147" w:rsidP="00630147">
            <w:pPr>
              <w:pStyle w:val="StyleZakonu"/>
              <w:rPr>
                <w:color w:val="000000" w:themeColor="text1"/>
              </w:rPr>
            </w:pPr>
            <w:r w:rsidRPr="00286216">
              <w:rPr>
                <w:color w:val="000000" w:themeColor="text1"/>
              </w:rPr>
              <w:t>1) у статті 2:</w:t>
            </w:r>
          </w:p>
        </w:tc>
      </w:tr>
      <w:tr w:rsidR="00630147" w:rsidRPr="00286216" w14:paraId="7FEE3EA3" w14:textId="77777777" w:rsidTr="00091AA5">
        <w:tc>
          <w:tcPr>
            <w:tcW w:w="576" w:type="dxa"/>
          </w:tcPr>
          <w:p w14:paraId="673EEF38" w14:textId="77777777" w:rsidR="00630147" w:rsidRPr="00286216" w:rsidRDefault="00630147" w:rsidP="00630147">
            <w:pPr>
              <w:pStyle w:val="StyleWisnow"/>
              <w:rPr>
                <w:color w:val="000000" w:themeColor="text1"/>
              </w:rPr>
            </w:pPr>
            <w:bookmarkStart w:id="3206" w:name="n3336" w:colFirst="0" w:colLast="0"/>
            <w:bookmarkEnd w:id="3205"/>
            <w:r w:rsidRPr="00286216">
              <w:rPr>
                <w:color w:val="000000" w:themeColor="text1"/>
              </w:rPr>
              <w:t>3336.</w:t>
            </w:r>
          </w:p>
        </w:tc>
        <w:tc>
          <w:tcPr>
            <w:tcW w:w="4818" w:type="dxa"/>
          </w:tcPr>
          <w:p w14:paraId="746C2A81" w14:textId="77777777" w:rsidR="00630147" w:rsidRPr="00286216" w:rsidRDefault="00630147" w:rsidP="00630147">
            <w:pPr>
              <w:pStyle w:val="StyleZakonu"/>
              <w:rPr>
                <w:color w:val="000000" w:themeColor="text1"/>
              </w:rPr>
            </w:pPr>
            <w:r w:rsidRPr="00286216">
              <w:rPr>
                <w:color w:val="000000" w:themeColor="text1"/>
              </w:rPr>
              <w:t>а) пункт 2.1 викласти в такій редакції:</w:t>
            </w:r>
          </w:p>
        </w:tc>
        <w:tc>
          <w:tcPr>
            <w:tcW w:w="3686" w:type="dxa"/>
          </w:tcPr>
          <w:p w14:paraId="74A79E08" w14:textId="58A77CF5"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1416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2352E21" w14:textId="36A632E8" w:rsidR="00630147" w:rsidRPr="00286216" w:rsidRDefault="00630147" w:rsidP="00630147">
            <w:pPr>
              <w:pStyle w:val="StyleProp"/>
              <w:rPr>
                <w:color w:val="000000" w:themeColor="text1"/>
                <w:szCs w:val="18"/>
              </w:rPr>
            </w:pPr>
            <w:r w:rsidRPr="00286216">
              <w:rPr>
                <w:color w:val="000000" w:themeColor="text1"/>
                <w:szCs w:val="18"/>
              </w:rPr>
              <w:t xml:space="preserve">У підпункті 1 пункту 35 розділу 3, в абзаці </w:t>
            </w:r>
            <w:r w:rsidRPr="00286216">
              <w:rPr>
                <w:color w:val="000000" w:themeColor="text1"/>
                <w:szCs w:val="18"/>
              </w:rPr>
              <w:lastRenderedPageBreak/>
              <w:t>другому підпункту «а)» слово «товарного» виключити;</w:t>
            </w:r>
          </w:p>
        </w:tc>
        <w:tc>
          <w:tcPr>
            <w:tcW w:w="1987" w:type="dxa"/>
          </w:tcPr>
          <w:p w14:paraId="0D3779AA" w14:textId="77777777" w:rsidR="00630147" w:rsidRPr="00286216" w:rsidRDefault="00630147" w:rsidP="00630147">
            <w:pPr>
              <w:pStyle w:val="StyleWisnow"/>
              <w:spacing w:line="180" w:lineRule="exact"/>
              <w:rPr>
                <w:color w:val="000000" w:themeColor="text1"/>
                <w:spacing w:val="-2"/>
              </w:rPr>
            </w:pPr>
            <w:r w:rsidRPr="00286216">
              <w:rPr>
                <w:color w:val="000000" w:themeColor="text1"/>
                <w:spacing w:val="-2"/>
              </w:rPr>
              <w:lastRenderedPageBreak/>
              <w:t xml:space="preserve">Відхилено </w:t>
            </w:r>
          </w:p>
          <w:p w14:paraId="244321C9" w14:textId="77777777" w:rsidR="00630147" w:rsidRPr="00286216" w:rsidRDefault="00630147" w:rsidP="00630147">
            <w:pPr>
              <w:pStyle w:val="StyleWisnow"/>
              <w:spacing w:line="180" w:lineRule="exact"/>
              <w:rPr>
                <w:color w:val="000000" w:themeColor="text1"/>
              </w:rPr>
            </w:pPr>
            <w:r w:rsidRPr="00286216">
              <w:rPr>
                <w:color w:val="000000" w:themeColor="text1"/>
                <w:spacing w:val="-2"/>
              </w:rPr>
              <w:t xml:space="preserve">суперечить термінології Закону «Про ринки </w:t>
            </w:r>
            <w:r w:rsidRPr="00286216">
              <w:rPr>
                <w:color w:val="000000" w:themeColor="text1"/>
                <w:spacing w:val="-2"/>
              </w:rPr>
              <w:lastRenderedPageBreak/>
              <w:t>капіталу та організовані товарні ринки»</w:t>
            </w:r>
          </w:p>
        </w:tc>
        <w:tc>
          <w:tcPr>
            <w:tcW w:w="4818" w:type="dxa"/>
          </w:tcPr>
          <w:p w14:paraId="3E73EA3F" w14:textId="4F7561DC" w:rsidR="00630147" w:rsidRPr="00286216" w:rsidRDefault="00630147" w:rsidP="00630147">
            <w:pPr>
              <w:pStyle w:val="StyleZakonu"/>
              <w:rPr>
                <w:color w:val="000000" w:themeColor="text1"/>
              </w:rPr>
            </w:pPr>
            <w:r w:rsidRPr="00286216">
              <w:rPr>
                <w:color w:val="000000" w:themeColor="text1"/>
              </w:rPr>
              <w:lastRenderedPageBreak/>
              <w:t>а) пункти 2.1 і 2.3 викласти в такій редакції:</w:t>
            </w:r>
          </w:p>
        </w:tc>
      </w:tr>
      <w:tr w:rsidR="00630147" w:rsidRPr="00286216" w14:paraId="00A6F6A1" w14:textId="77777777" w:rsidTr="00091AA5">
        <w:tc>
          <w:tcPr>
            <w:tcW w:w="576" w:type="dxa"/>
          </w:tcPr>
          <w:p w14:paraId="71E5E58D" w14:textId="77777777" w:rsidR="00630147" w:rsidRPr="00286216" w:rsidRDefault="00630147" w:rsidP="00630147">
            <w:pPr>
              <w:pStyle w:val="StyleWisnow"/>
              <w:rPr>
                <w:color w:val="000000" w:themeColor="text1"/>
              </w:rPr>
            </w:pPr>
            <w:bookmarkStart w:id="3207" w:name="n3337" w:colFirst="0" w:colLast="0"/>
            <w:bookmarkEnd w:id="3206"/>
            <w:r w:rsidRPr="00286216">
              <w:rPr>
                <w:color w:val="000000" w:themeColor="text1"/>
              </w:rPr>
              <w:t>3337.</w:t>
            </w:r>
          </w:p>
        </w:tc>
        <w:tc>
          <w:tcPr>
            <w:tcW w:w="4818" w:type="dxa"/>
          </w:tcPr>
          <w:p w14:paraId="1BA4599F" w14:textId="77777777" w:rsidR="00630147" w:rsidRPr="00286216" w:rsidRDefault="00630147" w:rsidP="00630147">
            <w:pPr>
              <w:pStyle w:val="StyleZakonu"/>
              <w:rPr>
                <w:color w:val="000000" w:themeColor="text1"/>
              </w:rPr>
            </w:pPr>
            <w:r w:rsidRPr="00286216">
              <w:rPr>
                <w:color w:val="000000" w:themeColor="text1"/>
              </w:rPr>
              <w:t>"2.1. Аграрна біржа - оператор регульованого товарного ринку, що функціонує відповідно до Закону України "Про ринки капіталу та організовані товарні ринки" з урахуванням положень цього Закону";</w:t>
            </w:r>
          </w:p>
        </w:tc>
        <w:tc>
          <w:tcPr>
            <w:tcW w:w="3686" w:type="dxa"/>
          </w:tcPr>
          <w:p w14:paraId="0B0EE4EF" w14:textId="1F63E795"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1417</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57152D4" w14:textId="6D3A7F22" w:rsidR="00630147" w:rsidRPr="00286216" w:rsidRDefault="00630147" w:rsidP="00630147">
            <w:pPr>
              <w:pStyle w:val="StyleProp"/>
              <w:spacing w:line="180" w:lineRule="exact"/>
              <w:rPr>
                <w:color w:val="000000" w:themeColor="text1"/>
              </w:rPr>
            </w:pPr>
            <w:r w:rsidRPr="00286216">
              <w:rPr>
                <w:color w:val="000000" w:themeColor="text1"/>
              </w:rPr>
              <w:t>Абзац другий підпункту «а» підпункту 1 пункту 35 викласти в такій редакції:</w:t>
            </w:r>
          </w:p>
          <w:p w14:paraId="77837D15" w14:textId="77777777" w:rsidR="00630147" w:rsidRPr="00286216" w:rsidRDefault="00630147" w:rsidP="00630147">
            <w:pPr>
              <w:pStyle w:val="StyleProp"/>
              <w:spacing w:line="180" w:lineRule="exact"/>
              <w:rPr>
                <w:color w:val="000000" w:themeColor="text1"/>
              </w:rPr>
            </w:pPr>
            <w:r w:rsidRPr="00286216">
              <w:rPr>
                <w:color w:val="000000" w:themeColor="text1"/>
              </w:rPr>
              <w:t>«2.1. Аграрна біржа – товарна біржа, що функціонує відповідно до Закону України "Про товарні біржі" з урахуванням положень цього Закону».</w:t>
            </w:r>
          </w:p>
        </w:tc>
        <w:tc>
          <w:tcPr>
            <w:tcW w:w="1987" w:type="dxa"/>
          </w:tcPr>
          <w:p w14:paraId="0A62885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01143E4E" w14:textId="321CA634" w:rsidR="00630147" w:rsidRPr="00286216" w:rsidRDefault="00630147" w:rsidP="00630147">
            <w:pPr>
              <w:pStyle w:val="StyleZakonu"/>
              <w:rPr>
                <w:color w:val="000000" w:themeColor="text1"/>
              </w:rPr>
            </w:pPr>
            <w:r w:rsidRPr="00286216">
              <w:rPr>
                <w:color w:val="000000" w:themeColor="text1"/>
              </w:rPr>
              <w:t>«2.1. Аграрна біржа – товарна біржа, що функціонує відповідно до Закону України "Про товарні біржі" з урахуванням положень цього Закону»;</w:t>
            </w:r>
          </w:p>
        </w:tc>
      </w:tr>
      <w:tr w:rsidR="00630147" w:rsidRPr="00286216" w14:paraId="17CEF7FF" w14:textId="77777777" w:rsidTr="00091AA5">
        <w:tc>
          <w:tcPr>
            <w:tcW w:w="576" w:type="dxa"/>
          </w:tcPr>
          <w:p w14:paraId="20502C1F" w14:textId="77777777" w:rsidR="00630147" w:rsidRPr="00286216" w:rsidRDefault="00630147" w:rsidP="00630147">
            <w:pPr>
              <w:pStyle w:val="StyleWisnow"/>
              <w:rPr>
                <w:color w:val="000000" w:themeColor="text1"/>
              </w:rPr>
            </w:pPr>
            <w:bookmarkStart w:id="3208" w:name="n3338" w:colFirst="0" w:colLast="0"/>
            <w:bookmarkEnd w:id="3207"/>
            <w:r w:rsidRPr="00286216">
              <w:rPr>
                <w:color w:val="000000" w:themeColor="text1"/>
              </w:rPr>
              <w:t>3338.</w:t>
            </w:r>
          </w:p>
        </w:tc>
        <w:tc>
          <w:tcPr>
            <w:tcW w:w="4818" w:type="dxa"/>
          </w:tcPr>
          <w:p w14:paraId="3EB977FD" w14:textId="77777777" w:rsidR="00630147" w:rsidRPr="00286216" w:rsidRDefault="00630147" w:rsidP="00630147">
            <w:pPr>
              <w:pStyle w:val="StyleZakonu"/>
              <w:rPr>
                <w:color w:val="000000" w:themeColor="text1"/>
              </w:rPr>
            </w:pPr>
            <w:r w:rsidRPr="00286216">
              <w:rPr>
                <w:color w:val="000000" w:themeColor="text1"/>
              </w:rPr>
              <w:t>б) пункт 2.3 викласти в такій редакції:</w:t>
            </w:r>
          </w:p>
        </w:tc>
        <w:tc>
          <w:tcPr>
            <w:tcW w:w="3686" w:type="dxa"/>
          </w:tcPr>
          <w:p w14:paraId="6C3D047B" w14:textId="77777777" w:rsidR="00630147" w:rsidRPr="00286216" w:rsidRDefault="00630147" w:rsidP="00630147">
            <w:pPr>
              <w:pStyle w:val="StyleProp"/>
              <w:rPr>
                <w:color w:val="000000" w:themeColor="text1"/>
                <w:szCs w:val="18"/>
              </w:rPr>
            </w:pPr>
          </w:p>
        </w:tc>
        <w:tc>
          <w:tcPr>
            <w:tcW w:w="1987" w:type="dxa"/>
          </w:tcPr>
          <w:p w14:paraId="7BE1C37D" w14:textId="77777777" w:rsidR="00630147" w:rsidRPr="00286216" w:rsidRDefault="00630147" w:rsidP="00630147">
            <w:pPr>
              <w:pStyle w:val="StyleWisnow"/>
              <w:rPr>
                <w:color w:val="000000" w:themeColor="text1"/>
              </w:rPr>
            </w:pPr>
          </w:p>
        </w:tc>
        <w:tc>
          <w:tcPr>
            <w:tcW w:w="4818" w:type="dxa"/>
          </w:tcPr>
          <w:p w14:paraId="1F158654" w14:textId="1020E7CB" w:rsidR="00630147" w:rsidRPr="00286216" w:rsidRDefault="00630147" w:rsidP="00630147">
            <w:pPr>
              <w:pStyle w:val="StyleZakonu"/>
              <w:rPr>
                <w:color w:val="000000" w:themeColor="text1"/>
              </w:rPr>
            </w:pPr>
          </w:p>
        </w:tc>
      </w:tr>
      <w:tr w:rsidR="00630147" w:rsidRPr="00286216" w14:paraId="6AC9F040" w14:textId="77777777" w:rsidTr="00091AA5">
        <w:tc>
          <w:tcPr>
            <w:tcW w:w="576" w:type="dxa"/>
          </w:tcPr>
          <w:p w14:paraId="7A0C9CF1" w14:textId="77777777" w:rsidR="00630147" w:rsidRPr="00286216" w:rsidRDefault="00630147" w:rsidP="00630147">
            <w:pPr>
              <w:pStyle w:val="StyleWisnow"/>
              <w:rPr>
                <w:color w:val="000000" w:themeColor="text1"/>
              </w:rPr>
            </w:pPr>
            <w:bookmarkStart w:id="3209" w:name="n3339" w:colFirst="0" w:colLast="0"/>
            <w:bookmarkEnd w:id="3208"/>
            <w:r w:rsidRPr="00286216">
              <w:rPr>
                <w:color w:val="000000" w:themeColor="text1"/>
              </w:rPr>
              <w:t>3339.</w:t>
            </w:r>
          </w:p>
        </w:tc>
        <w:tc>
          <w:tcPr>
            <w:tcW w:w="4818" w:type="dxa"/>
          </w:tcPr>
          <w:p w14:paraId="50EDC94E" w14:textId="77777777" w:rsidR="00630147" w:rsidRPr="00286216" w:rsidRDefault="00630147" w:rsidP="00630147">
            <w:pPr>
              <w:pStyle w:val="StyleZakonu"/>
              <w:rPr>
                <w:color w:val="000000" w:themeColor="text1"/>
              </w:rPr>
            </w:pPr>
            <w:r w:rsidRPr="00286216">
              <w:rPr>
                <w:color w:val="000000" w:themeColor="text1"/>
              </w:rPr>
              <w:t>"2.3. Термін "базовий актив" у цьому Законі вживається у значенні, наведеному у Законі України "Про ринки капіталу та організовані товарні ринки".";</w:t>
            </w:r>
          </w:p>
        </w:tc>
        <w:tc>
          <w:tcPr>
            <w:tcW w:w="3686" w:type="dxa"/>
          </w:tcPr>
          <w:p w14:paraId="4D5083A3" w14:textId="77777777" w:rsidR="00630147" w:rsidRPr="00286216" w:rsidRDefault="00630147" w:rsidP="00630147">
            <w:pPr>
              <w:pStyle w:val="StyleProp"/>
              <w:rPr>
                <w:color w:val="000000" w:themeColor="text1"/>
                <w:szCs w:val="18"/>
              </w:rPr>
            </w:pPr>
          </w:p>
        </w:tc>
        <w:tc>
          <w:tcPr>
            <w:tcW w:w="1987" w:type="dxa"/>
          </w:tcPr>
          <w:p w14:paraId="24D6D6F0" w14:textId="77777777" w:rsidR="00630147" w:rsidRPr="00286216" w:rsidRDefault="00630147" w:rsidP="00630147">
            <w:pPr>
              <w:pStyle w:val="StyleWisnow"/>
              <w:rPr>
                <w:color w:val="000000" w:themeColor="text1"/>
              </w:rPr>
            </w:pPr>
          </w:p>
        </w:tc>
        <w:tc>
          <w:tcPr>
            <w:tcW w:w="4818" w:type="dxa"/>
          </w:tcPr>
          <w:p w14:paraId="61007D0B" w14:textId="2F43CCAA" w:rsidR="00630147" w:rsidRPr="00286216" w:rsidRDefault="00630147" w:rsidP="00630147">
            <w:pPr>
              <w:pStyle w:val="StyleZakonu"/>
              <w:rPr>
                <w:color w:val="000000" w:themeColor="text1"/>
              </w:rPr>
            </w:pPr>
            <w:r w:rsidRPr="00286216">
              <w:rPr>
                <w:color w:val="000000" w:themeColor="text1"/>
              </w:rPr>
              <w:t>2.3. Термін "базовий актив" у цьому Законі вживається у значенні, наведеному в Законі України "Про ринки капіталу та організовані товарні ринки";</w:t>
            </w:r>
          </w:p>
        </w:tc>
      </w:tr>
      <w:tr w:rsidR="00630147" w:rsidRPr="00286216" w14:paraId="458DCBCE" w14:textId="77777777" w:rsidTr="00091AA5">
        <w:tc>
          <w:tcPr>
            <w:tcW w:w="576" w:type="dxa"/>
          </w:tcPr>
          <w:p w14:paraId="6012BE9C" w14:textId="77777777" w:rsidR="00630147" w:rsidRPr="00286216" w:rsidRDefault="00630147" w:rsidP="00630147">
            <w:pPr>
              <w:pStyle w:val="StyleWisnow"/>
              <w:rPr>
                <w:color w:val="000000" w:themeColor="text1"/>
              </w:rPr>
            </w:pPr>
            <w:bookmarkStart w:id="3210" w:name="n3340" w:colFirst="0" w:colLast="0"/>
            <w:bookmarkEnd w:id="3209"/>
            <w:r w:rsidRPr="00286216">
              <w:rPr>
                <w:color w:val="000000" w:themeColor="text1"/>
              </w:rPr>
              <w:t>3340.</w:t>
            </w:r>
          </w:p>
        </w:tc>
        <w:tc>
          <w:tcPr>
            <w:tcW w:w="4818" w:type="dxa"/>
          </w:tcPr>
          <w:p w14:paraId="4A274E26" w14:textId="77777777" w:rsidR="00630147" w:rsidRPr="00286216" w:rsidRDefault="00630147" w:rsidP="00630147">
            <w:pPr>
              <w:pStyle w:val="StyleZakonu"/>
              <w:rPr>
                <w:color w:val="000000" w:themeColor="text1"/>
              </w:rPr>
            </w:pPr>
            <w:r w:rsidRPr="00286216">
              <w:rPr>
                <w:color w:val="000000" w:themeColor="text1"/>
              </w:rPr>
              <w:t>в) доповнити пунктом 2.3-1 такого змісту:</w:t>
            </w:r>
          </w:p>
        </w:tc>
        <w:tc>
          <w:tcPr>
            <w:tcW w:w="3686" w:type="dxa"/>
          </w:tcPr>
          <w:p w14:paraId="60EDDBB9" w14:textId="77777777" w:rsidR="00630147" w:rsidRPr="00286216" w:rsidRDefault="00630147" w:rsidP="00630147">
            <w:pPr>
              <w:pStyle w:val="StyleProp"/>
              <w:rPr>
                <w:color w:val="000000" w:themeColor="text1"/>
                <w:szCs w:val="18"/>
              </w:rPr>
            </w:pPr>
          </w:p>
        </w:tc>
        <w:tc>
          <w:tcPr>
            <w:tcW w:w="1987" w:type="dxa"/>
          </w:tcPr>
          <w:p w14:paraId="201332D5" w14:textId="77777777" w:rsidR="00630147" w:rsidRPr="00286216" w:rsidRDefault="00630147" w:rsidP="00630147">
            <w:pPr>
              <w:pStyle w:val="StyleWisnow"/>
              <w:rPr>
                <w:color w:val="000000" w:themeColor="text1"/>
              </w:rPr>
            </w:pPr>
          </w:p>
        </w:tc>
        <w:tc>
          <w:tcPr>
            <w:tcW w:w="4818" w:type="dxa"/>
          </w:tcPr>
          <w:p w14:paraId="1B91DB11" w14:textId="0208E27F" w:rsidR="00630147" w:rsidRPr="00286216" w:rsidRDefault="00630147" w:rsidP="00630147">
            <w:pPr>
              <w:pStyle w:val="StyleZakonu"/>
              <w:rPr>
                <w:color w:val="000000" w:themeColor="text1"/>
              </w:rPr>
            </w:pPr>
            <w:r w:rsidRPr="00286216">
              <w:rPr>
                <w:color w:val="000000" w:themeColor="text1"/>
              </w:rPr>
              <w:t>б) доповнити пунктом 2.3</w:t>
            </w:r>
            <w:r w:rsidRPr="00286216">
              <w:rPr>
                <w:color w:val="000000" w:themeColor="text1"/>
                <w:vertAlign w:val="superscript"/>
              </w:rPr>
              <w:t>1</w:t>
            </w:r>
            <w:r w:rsidRPr="00286216">
              <w:rPr>
                <w:color w:val="000000" w:themeColor="text1"/>
              </w:rPr>
              <w:t xml:space="preserve"> такого змісту:</w:t>
            </w:r>
          </w:p>
        </w:tc>
      </w:tr>
      <w:tr w:rsidR="00630147" w:rsidRPr="00286216" w14:paraId="5D8EB0E3" w14:textId="77777777" w:rsidTr="00091AA5">
        <w:tc>
          <w:tcPr>
            <w:tcW w:w="576" w:type="dxa"/>
          </w:tcPr>
          <w:p w14:paraId="6BD07340" w14:textId="77777777" w:rsidR="00630147" w:rsidRPr="00286216" w:rsidRDefault="00630147" w:rsidP="00630147">
            <w:pPr>
              <w:pStyle w:val="StyleWisnow"/>
              <w:rPr>
                <w:color w:val="000000" w:themeColor="text1"/>
              </w:rPr>
            </w:pPr>
            <w:bookmarkStart w:id="3211" w:name="n3341" w:colFirst="0" w:colLast="0"/>
            <w:bookmarkEnd w:id="3210"/>
            <w:r w:rsidRPr="00286216">
              <w:rPr>
                <w:color w:val="000000" w:themeColor="text1"/>
              </w:rPr>
              <w:t>3341.</w:t>
            </w:r>
          </w:p>
        </w:tc>
        <w:tc>
          <w:tcPr>
            <w:tcW w:w="4818" w:type="dxa"/>
          </w:tcPr>
          <w:p w14:paraId="36E26127" w14:textId="77777777" w:rsidR="00630147" w:rsidRPr="00286216" w:rsidRDefault="00630147" w:rsidP="00630147">
            <w:pPr>
              <w:pStyle w:val="StyleZakonu"/>
              <w:rPr>
                <w:color w:val="000000" w:themeColor="text1"/>
              </w:rPr>
            </w:pPr>
            <w:r w:rsidRPr="00286216">
              <w:rPr>
                <w:color w:val="000000" w:themeColor="text1"/>
              </w:rPr>
              <w:t>"2.3-1. Регулярні торги - укладення угод кожного торгівельного дня протягом календарного року, у тому числі товарних деривативних контрактів, базовим активом яких є сільськогосподарська продукція та/або базовим показником яких є ціна на сільськогосподарську продукцію або на декілька видів сільськогосподарської продукції (індекс).";</w:t>
            </w:r>
          </w:p>
        </w:tc>
        <w:tc>
          <w:tcPr>
            <w:tcW w:w="3686" w:type="dxa"/>
          </w:tcPr>
          <w:p w14:paraId="25B5D53C" w14:textId="77777777" w:rsidR="00630147" w:rsidRPr="00286216" w:rsidRDefault="00630147" w:rsidP="00630147">
            <w:pPr>
              <w:pStyle w:val="StyleProp"/>
              <w:rPr>
                <w:color w:val="000000" w:themeColor="text1"/>
                <w:szCs w:val="18"/>
              </w:rPr>
            </w:pPr>
          </w:p>
        </w:tc>
        <w:tc>
          <w:tcPr>
            <w:tcW w:w="1987" w:type="dxa"/>
          </w:tcPr>
          <w:p w14:paraId="4BC21DE3" w14:textId="77777777" w:rsidR="00630147" w:rsidRPr="00286216" w:rsidRDefault="00630147" w:rsidP="00630147">
            <w:pPr>
              <w:pStyle w:val="StyleWisnow"/>
              <w:rPr>
                <w:color w:val="000000" w:themeColor="text1"/>
              </w:rPr>
            </w:pPr>
          </w:p>
        </w:tc>
        <w:tc>
          <w:tcPr>
            <w:tcW w:w="4818" w:type="dxa"/>
          </w:tcPr>
          <w:p w14:paraId="7101650E" w14:textId="719415F5" w:rsidR="00630147" w:rsidRPr="00286216" w:rsidRDefault="00630147" w:rsidP="00630147">
            <w:pPr>
              <w:pStyle w:val="StyleZakonu"/>
              <w:rPr>
                <w:color w:val="000000" w:themeColor="text1"/>
              </w:rPr>
            </w:pPr>
            <w:r w:rsidRPr="00286216">
              <w:rPr>
                <w:color w:val="000000" w:themeColor="text1"/>
              </w:rPr>
              <w:t>"2.3</w:t>
            </w:r>
            <w:r w:rsidRPr="00286216">
              <w:rPr>
                <w:color w:val="000000" w:themeColor="text1"/>
                <w:vertAlign w:val="superscript"/>
              </w:rPr>
              <w:t>1</w:t>
            </w:r>
            <w:r w:rsidRPr="00286216">
              <w:rPr>
                <w:color w:val="000000" w:themeColor="text1"/>
              </w:rPr>
              <w:t>. Регулярні торги - укладення угод кожного торгівельного дня протягом календарного року, у тому числі товарних деривативних контрактів, базовим активом яких є сільськогосподарська продукція та/або базовим показником яких є ціна на сільськогосподарську продукцію або на декілька видів сільськогосподарської продукції (індекс)";</w:t>
            </w:r>
          </w:p>
        </w:tc>
      </w:tr>
      <w:tr w:rsidR="00630147" w:rsidRPr="00286216" w14:paraId="6718751C" w14:textId="77777777" w:rsidTr="00091AA5">
        <w:tc>
          <w:tcPr>
            <w:tcW w:w="576" w:type="dxa"/>
          </w:tcPr>
          <w:p w14:paraId="4624D665" w14:textId="77777777" w:rsidR="00630147" w:rsidRPr="00286216" w:rsidRDefault="00630147" w:rsidP="00630147">
            <w:pPr>
              <w:pStyle w:val="StyleWisnow"/>
              <w:rPr>
                <w:color w:val="000000" w:themeColor="text1"/>
              </w:rPr>
            </w:pPr>
            <w:bookmarkStart w:id="3212" w:name="n3342" w:colFirst="0" w:colLast="0"/>
            <w:bookmarkEnd w:id="3211"/>
            <w:r w:rsidRPr="00286216">
              <w:rPr>
                <w:color w:val="000000" w:themeColor="text1"/>
              </w:rPr>
              <w:t>3342.</w:t>
            </w:r>
          </w:p>
        </w:tc>
        <w:tc>
          <w:tcPr>
            <w:tcW w:w="4818" w:type="dxa"/>
          </w:tcPr>
          <w:p w14:paraId="0E41CA0B" w14:textId="77777777" w:rsidR="00630147" w:rsidRPr="00286216" w:rsidRDefault="00630147" w:rsidP="00630147">
            <w:pPr>
              <w:pStyle w:val="StyleZakonu"/>
              <w:rPr>
                <w:color w:val="000000" w:themeColor="text1"/>
              </w:rPr>
            </w:pPr>
            <w:r w:rsidRPr="00286216">
              <w:rPr>
                <w:color w:val="000000" w:themeColor="text1"/>
              </w:rPr>
              <w:t>г) пункт 2.4 викласти в такій редакції:</w:t>
            </w:r>
          </w:p>
        </w:tc>
        <w:tc>
          <w:tcPr>
            <w:tcW w:w="3686" w:type="dxa"/>
          </w:tcPr>
          <w:p w14:paraId="0CF0CA50" w14:textId="77777777" w:rsidR="00630147" w:rsidRPr="00286216" w:rsidRDefault="00630147" w:rsidP="00630147">
            <w:pPr>
              <w:pStyle w:val="StyleProp"/>
              <w:rPr>
                <w:color w:val="000000" w:themeColor="text1"/>
                <w:szCs w:val="18"/>
              </w:rPr>
            </w:pPr>
          </w:p>
        </w:tc>
        <w:tc>
          <w:tcPr>
            <w:tcW w:w="1987" w:type="dxa"/>
          </w:tcPr>
          <w:p w14:paraId="0C8E0907" w14:textId="77777777" w:rsidR="00630147" w:rsidRPr="00286216" w:rsidRDefault="00630147" w:rsidP="00630147">
            <w:pPr>
              <w:pStyle w:val="StyleWisnow"/>
              <w:rPr>
                <w:color w:val="000000" w:themeColor="text1"/>
              </w:rPr>
            </w:pPr>
          </w:p>
        </w:tc>
        <w:tc>
          <w:tcPr>
            <w:tcW w:w="4818" w:type="dxa"/>
          </w:tcPr>
          <w:p w14:paraId="3FFCFA3B" w14:textId="060B9DEC" w:rsidR="00630147" w:rsidRPr="00286216" w:rsidRDefault="00630147" w:rsidP="00630147">
            <w:pPr>
              <w:pStyle w:val="StyleZakonu"/>
              <w:rPr>
                <w:color w:val="000000" w:themeColor="text1"/>
              </w:rPr>
            </w:pPr>
            <w:r w:rsidRPr="00286216">
              <w:rPr>
                <w:color w:val="000000" w:themeColor="text1"/>
              </w:rPr>
              <w:t>в) пункт 2.4 викласти в такій редакції:</w:t>
            </w:r>
          </w:p>
        </w:tc>
      </w:tr>
      <w:tr w:rsidR="00630147" w:rsidRPr="00286216" w14:paraId="44ECDCE4" w14:textId="77777777" w:rsidTr="00091AA5">
        <w:tc>
          <w:tcPr>
            <w:tcW w:w="576" w:type="dxa"/>
          </w:tcPr>
          <w:p w14:paraId="30519E8C" w14:textId="77777777" w:rsidR="00630147" w:rsidRPr="00286216" w:rsidRDefault="00630147" w:rsidP="00630147">
            <w:pPr>
              <w:pStyle w:val="StyleWisnow"/>
              <w:rPr>
                <w:color w:val="000000" w:themeColor="text1"/>
              </w:rPr>
            </w:pPr>
            <w:bookmarkStart w:id="3213" w:name="n3343" w:colFirst="0" w:colLast="0"/>
            <w:bookmarkEnd w:id="3212"/>
            <w:r w:rsidRPr="00286216">
              <w:rPr>
                <w:color w:val="000000" w:themeColor="text1"/>
              </w:rPr>
              <w:t>3343.</w:t>
            </w:r>
          </w:p>
        </w:tc>
        <w:tc>
          <w:tcPr>
            <w:tcW w:w="4818" w:type="dxa"/>
          </w:tcPr>
          <w:p w14:paraId="463C1F80" w14:textId="77777777" w:rsidR="00630147" w:rsidRPr="00286216" w:rsidRDefault="00630147" w:rsidP="00630147">
            <w:pPr>
              <w:pStyle w:val="StyleZakonu"/>
              <w:rPr>
                <w:color w:val="000000" w:themeColor="text1"/>
              </w:rPr>
            </w:pPr>
            <w:r w:rsidRPr="00286216">
              <w:rPr>
                <w:color w:val="000000" w:themeColor="text1"/>
              </w:rPr>
              <w:t>"2.4. Клірингова діяльність за результатами регулярних торгів, проведених на Аграрній біржі, здійснюється у порядку, встановленому Законом України "Про ринки капіталу та організовані товарні ринки".";</w:t>
            </w:r>
          </w:p>
        </w:tc>
        <w:tc>
          <w:tcPr>
            <w:tcW w:w="3686" w:type="dxa"/>
          </w:tcPr>
          <w:p w14:paraId="0B9145A6" w14:textId="77777777" w:rsidR="00630147" w:rsidRPr="00286216" w:rsidRDefault="00630147" w:rsidP="00630147">
            <w:pPr>
              <w:pStyle w:val="StyleProp"/>
              <w:rPr>
                <w:color w:val="000000" w:themeColor="text1"/>
                <w:szCs w:val="18"/>
              </w:rPr>
            </w:pPr>
          </w:p>
        </w:tc>
        <w:tc>
          <w:tcPr>
            <w:tcW w:w="1987" w:type="dxa"/>
          </w:tcPr>
          <w:p w14:paraId="5F29A41B" w14:textId="77777777" w:rsidR="00630147" w:rsidRPr="00286216" w:rsidRDefault="00630147" w:rsidP="00630147">
            <w:pPr>
              <w:pStyle w:val="StyleWisnow"/>
              <w:rPr>
                <w:color w:val="000000" w:themeColor="text1"/>
              </w:rPr>
            </w:pPr>
          </w:p>
        </w:tc>
        <w:tc>
          <w:tcPr>
            <w:tcW w:w="4818" w:type="dxa"/>
          </w:tcPr>
          <w:p w14:paraId="5B897F7E" w14:textId="14182FC8" w:rsidR="00630147" w:rsidRPr="00286216" w:rsidRDefault="00630147" w:rsidP="00630147">
            <w:pPr>
              <w:pStyle w:val="StyleZakonu"/>
              <w:rPr>
                <w:color w:val="000000" w:themeColor="text1"/>
              </w:rPr>
            </w:pPr>
            <w:r w:rsidRPr="00286216">
              <w:rPr>
                <w:color w:val="000000" w:themeColor="text1"/>
              </w:rPr>
              <w:t>"2.4. Клірингова діяльність за результатами регулярних торгів, проведених на Аграрній біржі, здійснюється у порядку, встановленому Законом України "Про ринки капіталу та організовані товарні ринки";</w:t>
            </w:r>
          </w:p>
        </w:tc>
      </w:tr>
      <w:tr w:rsidR="00630147" w:rsidRPr="00286216" w14:paraId="1088121A" w14:textId="77777777" w:rsidTr="00091AA5">
        <w:tc>
          <w:tcPr>
            <w:tcW w:w="576" w:type="dxa"/>
          </w:tcPr>
          <w:p w14:paraId="4DE2E1AE" w14:textId="77777777" w:rsidR="00630147" w:rsidRPr="00286216" w:rsidRDefault="00630147" w:rsidP="00630147">
            <w:pPr>
              <w:pStyle w:val="StyleWisnow"/>
              <w:rPr>
                <w:color w:val="000000" w:themeColor="text1"/>
              </w:rPr>
            </w:pPr>
            <w:bookmarkStart w:id="3214" w:name="n3344" w:colFirst="0" w:colLast="0"/>
            <w:bookmarkEnd w:id="3213"/>
            <w:r w:rsidRPr="00286216">
              <w:rPr>
                <w:color w:val="000000" w:themeColor="text1"/>
              </w:rPr>
              <w:t>3344.</w:t>
            </w:r>
          </w:p>
        </w:tc>
        <w:tc>
          <w:tcPr>
            <w:tcW w:w="4818" w:type="dxa"/>
          </w:tcPr>
          <w:p w14:paraId="13F8BBA9" w14:textId="77777777" w:rsidR="00630147" w:rsidRPr="00286216" w:rsidRDefault="00630147" w:rsidP="00630147">
            <w:pPr>
              <w:pStyle w:val="StyleZakonu"/>
              <w:rPr>
                <w:color w:val="000000" w:themeColor="text1"/>
              </w:rPr>
            </w:pPr>
            <w:r w:rsidRPr="00286216">
              <w:rPr>
                <w:color w:val="000000" w:themeColor="text1"/>
              </w:rPr>
              <w:t>ґ) у пункті 2.5 слово "аграрному" замінити словом "товарному", а слова "продажу товарних деривативів" та "придбання товарних деривативів" замінити словами "укладення товарних деривативних контрактів";</w:t>
            </w:r>
          </w:p>
        </w:tc>
        <w:tc>
          <w:tcPr>
            <w:tcW w:w="3686" w:type="dxa"/>
          </w:tcPr>
          <w:p w14:paraId="48440801" w14:textId="77777777" w:rsidR="00630147" w:rsidRPr="00286216" w:rsidRDefault="00630147" w:rsidP="00630147">
            <w:pPr>
              <w:pStyle w:val="StyleProp"/>
              <w:rPr>
                <w:color w:val="000000" w:themeColor="text1"/>
                <w:szCs w:val="18"/>
              </w:rPr>
            </w:pPr>
          </w:p>
        </w:tc>
        <w:tc>
          <w:tcPr>
            <w:tcW w:w="1987" w:type="dxa"/>
          </w:tcPr>
          <w:p w14:paraId="74F3DE62" w14:textId="77777777" w:rsidR="00630147" w:rsidRPr="00286216" w:rsidRDefault="00630147" w:rsidP="00630147">
            <w:pPr>
              <w:pStyle w:val="StyleWisnow"/>
              <w:rPr>
                <w:color w:val="000000" w:themeColor="text1"/>
              </w:rPr>
            </w:pPr>
          </w:p>
        </w:tc>
        <w:tc>
          <w:tcPr>
            <w:tcW w:w="4818" w:type="dxa"/>
          </w:tcPr>
          <w:p w14:paraId="4AA75581" w14:textId="043FD0B4" w:rsidR="00630147" w:rsidRPr="00286216" w:rsidRDefault="00630147" w:rsidP="00630147">
            <w:pPr>
              <w:pStyle w:val="StyleZakonu"/>
              <w:rPr>
                <w:color w:val="000000" w:themeColor="text1"/>
              </w:rPr>
            </w:pPr>
            <w:r w:rsidRPr="00286216">
              <w:rPr>
                <w:color w:val="000000" w:themeColor="text1"/>
              </w:rPr>
              <w:t>г) у пункті 2.5 слово "аграрному" замінити словом "товарному", а слова "продажу товарних деривативів" та "придбання товарних деривативів" –  словами "укладення товарних деривативних контрактів";</w:t>
            </w:r>
          </w:p>
        </w:tc>
      </w:tr>
      <w:tr w:rsidR="00630147" w:rsidRPr="00286216" w14:paraId="50FAD5C4" w14:textId="77777777" w:rsidTr="00091AA5">
        <w:tc>
          <w:tcPr>
            <w:tcW w:w="576" w:type="dxa"/>
          </w:tcPr>
          <w:p w14:paraId="4F2B39EC" w14:textId="77777777" w:rsidR="00630147" w:rsidRPr="00286216" w:rsidRDefault="00630147" w:rsidP="00630147">
            <w:pPr>
              <w:pStyle w:val="StyleWisnow"/>
              <w:rPr>
                <w:color w:val="000000" w:themeColor="text1"/>
              </w:rPr>
            </w:pPr>
            <w:bookmarkStart w:id="3215" w:name="n3345" w:colFirst="0" w:colLast="0"/>
            <w:bookmarkEnd w:id="3214"/>
            <w:r w:rsidRPr="00286216">
              <w:rPr>
                <w:color w:val="000000" w:themeColor="text1"/>
              </w:rPr>
              <w:t>3345.</w:t>
            </w:r>
          </w:p>
        </w:tc>
        <w:tc>
          <w:tcPr>
            <w:tcW w:w="4818" w:type="dxa"/>
          </w:tcPr>
          <w:p w14:paraId="485A01B4" w14:textId="77777777" w:rsidR="00630147" w:rsidRPr="00286216" w:rsidRDefault="00630147" w:rsidP="00630147">
            <w:pPr>
              <w:pStyle w:val="StyleZakonu"/>
              <w:rPr>
                <w:color w:val="000000" w:themeColor="text1"/>
              </w:rPr>
            </w:pPr>
            <w:r w:rsidRPr="00286216">
              <w:rPr>
                <w:color w:val="000000" w:themeColor="text1"/>
              </w:rPr>
              <w:t>д) пункт 2.5-1 викласти в такій редакції:</w:t>
            </w:r>
          </w:p>
        </w:tc>
        <w:tc>
          <w:tcPr>
            <w:tcW w:w="3686" w:type="dxa"/>
          </w:tcPr>
          <w:p w14:paraId="4000309B" w14:textId="77777777" w:rsidR="00630147" w:rsidRPr="00286216" w:rsidRDefault="00630147" w:rsidP="00630147">
            <w:pPr>
              <w:pStyle w:val="StyleProp"/>
              <w:rPr>
                <w:color w:val="000000" w:themeColor="text1"/>
                <w:szCs w:val="18"/>
              </w:rPr>
            </w:pPr>
          </w:p>
        </w:tc>
        <w:tc>
          <w:tcPr>
            <w:tcW w:w="1987" w:type="dxa"/>
          </w:tcPr>
          <w:p w14:paraId="62557875" w14:textId="77777777" w:rsidR="00630147" w:rsidRPr="00286216" w:rsidRDefault="00630147" w:rsidP="00630147">
            <w:pPr>
              <w:pStyle w:val="StyleWisnow"/>
              <w:rPr>
                <w:color w:val="000000" w:themeColor="text1"/>
              </w:rPr>
            </w:pPr>
          </w:p>
        </w:tc>
        <w:tc>
          <w:tcPr>
            <w:tcW w:w="4818" w:type="dxa"/>
          </w:tcPr>
          <w:p w14:paraId="03FB0BA8" w14:textId="0176038B" w:rsidR="00630147" w:rsidRPr="00286216" w:rsidRDefault="00630147" w:rsidP="00630147">
            <w:pPr>
              <w:pStyle w:val="StyleZakonu"/>
              <w:rPr>
                <w:color w:val="000000" w:themeColor="text1"/>
              </w:rPr>
            </w:pPr>
            <w:r w:rsidRPr="00286216">
              <w:rPr>
                <w:color w:val="000000" w:themeColor="text1"/>
              </w:rPr>
              <w:t>ґ) пункт 2.5</w:t>
            </w:r>
            <w:r w:rsidRPr="00286216">
              <w:rPr>
                <w:color w:val="000000" w:themeColor="text1"/>
                <w:vertAlign w:val="superscript"/>
              </w:rPr>
              <w:t>1</w:t>
            </w:r>
            <w:r w:rsidRPr="00286216">
              <w:rPr>
                <w:color w:val="000000" w:themeColor="text1"/>
              </w:rPr>
              <w:t xml:space="preserve"> викласти в такій редакції:</w:t>
            </w:r>
          </w:p>
        </w:tc>
      </w:tr>
      <w:tr w:rsidR="00630147" w:rsidRPr="00286216" w14:paraId="7C79BBA4" w14:textId="77777777" w:rsidTr="00091AA5">
        <w:tc>
          <w:tcPr>
            <w:tcW w:w="576" w:type="dxa"/>
          </w:tcPr>
          <w:p w14:paraId="41E7A0B6" w14:textId="77777777" w:rsidR="00630147" w:rsidRPr="00286216" w:rsidRDefault="00630147" w:rsidP="00630147">
            <w:pPr>
              <w:pStyle w:val="StyleWisnow"/>
              <w:rPr>
                <w:color w:val="000000" w:themeColor="text1"/>
              </w:rPr>
            </w:pPr>
            <w:bookmarkStart w:id="3216" w:name="n3346" w:colFirst="0" w:colLast="0"/>
            <w:bookmarkEnd w:id="3215"/>
            <w:r w:rsidRPr="00286216">
              <w:rPr>
                <w:color w:val="000000" w:themeColor="text1"/>
              </w:rPr>
              <w:t>3346.</w:t>
            </w:r>
          </w:p>
        </w:tc>
        <w:tc>
          <w:tcPr>
            <w:tcW w:w="4818" w:type="dxa"/>
          </w:tcPr>
          <w:p w14:paraId="6E0D3E28" w14:textId="77777777" w:rsidR="00630147" w:rsidRPr="00286216" w:rsidRDefault="00630147" w:rsidP="00630147">
            <w:pPr>
              <w:pStyle w:val="StyleZakonu"/>
              <w:rPr>
                <w:color w:val="000000" w:themeColor="text1"/>
              </w:rPr>
            </w:pPr>
            <w:r w:rsidRPr="00286216">
              <w:rPr>
                <w:color w:val="000000" w:themeColor="text1"/>
              </w:rPr>
              <w:t>"2.5-1. Державний інтервенційний фонд - фонд, який формується Аграрним фондом за рахунок фінансових інтервенцій, заставних закупівель, укладення ф’ючерсів і форвардів та використовується для здійснення товарних інтервенцій з метою забезпечення цінової стабільності.";</w:t>
            </w:r>
          </w:p>
        </w:tc>
        <w:tc>
          <w:tcPr>
            <w:tcW w:w="3686" w:type="dxa"/>
          </w:tcPr>
          <w:p w14:paraId="0D166EC8" w14:textId="77777777" w:rsidR="00630147" w:rsidRPr="00286216" w:rsidRDefault="00630147" w:rsidP="00630147">
            <w:pPr>
              <w:pStyle w:val="StyleProp"/>
              <w:rPr>
                <w:color w:val="000000" w:themeColor="text1"/>
                <w:szCs w:val="18"/>
              </w:rPr>
            </w:pPr>
          </w:p>
        </w:tc>
        <w:tc>
          <w:tcPr>
            <w:tcW w:w="1987" w:type="dxa"/>
          </w:tcPr>
          <w:p w14:paraId="30A4B803" w14:textId="77777777" w:rsidR="00630147" w:rsidRPr="00286216" w:rsidRDefault="00630147" w:rsidP="00630147">
            <w:pPr>
              <w:pStyle w:val="StyleWisnow"/>
              <w:rPr>
                <w:color w:val="000000" w:themeColor="text1"/>
              </w:rPr>
            </w:pPr>
          </w:p>
        </w:tc>
        <w:tc>
          <w:tcPr>
            <w:tcW w:w="4818" w:type="dxa"/>
          </w:tcPr>
          <w:p w14:paraId="3A341E43" w14:textId="75B66C31" w:rsidR="00630147" w:rsidRPr="00286216" w:rsidRDefault="00630147" w:rsidP="00630147">
            <w:pPr>
              <w:pStyle w:val="StyleZakonu"/>
              <w:rPr>
                <w:color w:val="000000" w:themeColor="text1"/>
              </w:rPr>
            </w:pPr>
            <w:r w:rsidRPr="00286216">
              <w:rPr>
                <w:color w:val="000000" w:themeColor="text1"/>
              </w:rPr>
              <w:t>"2.5</w:t>
            </w:r>
            <w:r w:rsidRPr="00286216">
              <w:rPr>
                <w:color w:val="000000" w:themeColor="text1"/>
                <w:vertAlign w:val="superscript"/>
              </w:rPr>
              <w:t>1</w:t>
            </w:r>
            <w:r w:rsidRPr="00286216">
              <w:rPr>
                <w:color w:val="000000" w:themeColor="text1"/>
              </w:rPr>
              <w:t>. Державний інтервенційний фонд - фонд, який формується Аграрним фондом за рахунок фінансових інтервенцій, заставних закупівель, укладення ф’ючерсів і форвардів та використовується для здійснення товарних інтервенцій з метою забезпечення цінової стабільності";</w:t>
            </w:r>
          </w:p>
        </w:tc>
      </w:tr>
      <w:tr w:rsidR="00630147" w:rsidRPr="00286216" w14:paraId="5ED19693" w14:textId="77777777" w:rsidTr="00091AA5">
        <w:tc>
          <w:tcPr>
            <w:tcW w:w="576" w:type="dxa"/>
          </w:tcPr>
          <w:p w14:paraId="65207178" w14:textId="77777777" w:rsidR="00630147" w:rsidRPr="00286216" w:rsidRDefault="00630147" w:rsidP="00630147">
            <w:pPr>
              <w:pStyle w:val="StyleWisnow"/>
              <w:rPr>
                <w:color w:val="000000" w:themeColor="text1"/>
              </w:rPr>
            </w:pPr>
            <w:bookmarkStart w:id="3217" w:name="n3347" w:colFirst="0" w:colLast="0"/>
            <w:bookmarkEnd w:id="3216"/>
            <w:r w:rsidRPr="00286216">
              <w:rPr>
                <w:color w:val="000000" w:themeColor="text1"/>
              </w:rPr>
              <w:t>3347.</w:t>
            </w:r>
          </w:p>
        </w:tc>
        <w:tc>
          <w:tcPr>
            <w:tcW w:w="4818" w:type="dxa"/>
          </w:tcPr>
          <w:p w14:paraId="28AE0234" w14:textId="77777777" w:rsidR="00630147" w:rsidRPr="00286216" w:rsidRDefault="00630147" w:rsidP="00630147">
            <w:pPr>
              <w:pStyle w:val="StyleZakonu"/>
              <w:rPr>
                <w:color w:val="000000" w:themeColor="text1"/>
              </w:rPr>
            </w:pPr>
            <w:r w:rsidRPr="00286216">
              <w:rPr>
                <w:color w:val="000000" w:themeColor="text1"/>
              </w:rPr>
              <w:t>е) у пункті 2.10 слово "п’яти" замінити словом "тридцяти двох"</w:t>
            </w:r>
          </w:p>
        </w:tc>
        <w:tc>
          <w:tcPr>
            <w:tcW w:w="3686" w:type="dxa"/>
          </w:tcPr>
          <w:p w14:paraId="3697572A" w14:textId="695BDC0E"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1418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65B35BE" w14:textId="633FEE37" w:rsidR="00630147" w:rsidRPr="00286216" w:rsidRDefault="00630147" w:rsidP="008C392C">
            <w:pPr>
              <w:pStyle w:val="StyleProp"/>
              <w:spacing w:line="180" w:lineRule="exact"/>
              <w:rPr>
                <w:color w:val="000000" w:themeColor="text1"/>
                <w:szCs w:val="18"/>
              </w:rPr>
            </w:pPr>
            <w:r w:rsidRPr="00286216">
              <w:rPr>
                <w:color w:val="000000" w:themeColor="text1"/>
                <w:szCs w:val="18"/>
              </w:rPr>
              <w:t>У підпункті 1 пункту 35 розділу 3 в підпункті «е)» слова «тридцяти двох» замінити словами «двох, якщо більший строк не передбачено правилами функціонування Аграрної біржі,».</w:t>
            </w:r>
          </w:p>
        </w:tc>
        <w:tc>
          <w:tcPr>
            <w:tcW w:w="1987" w:type="dxa"/>
          </w:tcPr>
          <w:p w14:paraId="342988C6" w14:textId="77777777" w:rsidR="00630147" w:rsidRPr="00286216" w:rsidRDefault="00630147" w:rsidP="00630147">
            <w:pPr>
              <w:pStyle w:val="StyleWisnow"/>
              <w:rPr>
                <w:color w:val="000000" w:themeColor="text1"/>
              </w:rPr>
            </w:pPr>
            <w:r w:rsidRPr="00286216">
              <w:rPr>
                <w:color w:val="000000" w:themeColor="text1"/>
              </w:rPr>
              <w:t>Враховано редакційно</w:t>
            </w:r>
          </w:p>
        </w:tc>
        <w:tc>
          <w:tcPr>
            <w:tcW w:w="4818" w:type="dxa"/>
          </w:tcPr>
          <w:p w14:paraId="3870EA19" w14:textId="24F4C686" w:rsidR="00630147" w:rsidRPr="00286216" w:rsidRDefault="00630147" w:rsidP="00630147">
            <w:pPr>
              <w:pStyle w:val="StyleZakonu"/>
              <w:rPr>
                <w:color w:val="000000" w:themeColor="text1"/>
              </w:rPr>
            </w:pPr>
            <w:r w:rsidRPr="00286216">
              <w:rPr>
                <w:color w:val="000000" w:themeColor="text1"/>
              </w:rPr>
              <w:t>д) у пункті 2.10 слова "п’яти робочих днів" замінити словами "двох робочих днів (якщо більший строк не передбачено правилами функціонування Аграрної біржі)";</w:t>
            </w:r>
          </w:p>
        </w:tc>
      </w:tr>
      <w:tr w:rsidR="00630147" w:rsidRPr="00286216" w14:paraId="66164034" w14:textId="77777777" w:rsidTr="00091AA5">
        <w:tc>
          <w:tcPr>
            <w:tcW w:w="576" w:type="dxa"/>
          </w:tcPr>
          <w:p w14:paraId="298A68E9" w14:textId="77777777" w:rsidR="00630147" w:rsidRPr="00286216" w:rsidRDefault="00630147" w:rsidP="00630147">
            <w:pPr>
              <w:pStyle w:val="StyleWisnow"/>
              <w:rPr>
                <w:color w:val="000000" w:themeColor="text1"/>
              </w:rPr>
            </w:pPr>
            <w:bookmarkStart w:id="3218" w:name="n3348" w:colFirst="0" w:colLast="0"/>
            <w:bookmarkEnd w:id="3217"/>
            <w:r w:rsidRPr="00286216">
              <w:rPr>
                <w:color w:val="000000" w:themeColor="text1"/>
              </w:rPr>
              <w:lastRenderedPageBreak/>
              <w:t>3348.</w:t>
            </w:r>
          </w:p>
        </w:tc>
        <w:tc>
          <w:tcPr>
            <w:tcW w:w="4818" w:type="dxa"/>
          </w:tcPr>
          <w:p w14:paraId="3DE76E83" w14:textId="77777777" w:rsidR="00630147" w:rsidRPr="00286216" w:rsidRDefault="00630147" w:rsidP="00630147">
            <w:pPr>
              <w:pStyle w:val="StyleZakonu"/>
              <w:rPr>
                <w:color w:val="000000" w:themeColor="text1"/>
              </w:rPr>
            </w:pPr>
            <w:r w:rsidRPr="00286216">
              <w:rPr>
                <w:color w:val="000000" w:themeColor="text1"/>
              </w:rPr>
              <w:t>є) пункт 2.16 викласти в такій редакції:</w:t>
            </w:r>
          </w:p>
        </w:tc>
        <w:tc>
          <w:tcPr>
            <w:tcW w:w="3686" w:type="dxa"/>
          </w:tcPr>
          <w:p w14:paraId="72877672" w14:textId="77777777" w:rsidR="00630147" w:rsidRPr="00286216" w:rsidRDefault="00630147" w:rsidP="00630147">
            <w:pPr>
              <w:pStyle w:val="StyleProp"/>
              <w:rPr>
                <w:color w:val="000000" w:themeColor="text1"/>
                <w:szCs w:val="18"/>
              </w:rPr>
            </w:pPr>
          </w:p>
        </w:tc>
        <w:tc>
          <w:tcPr>
            <w:tcW w:w="1987" w:type="dxa"/>
          </w:tcPr>
          <w:p w14:paraId="51D7F1F8" w14:textId="77777777" w:rsidR="00630147" w:rsidRPr="00286216" w:rsidRDefault="00630147" w:rsidP="00630147">
            <w:pPr>
              <w:pStyle w:val="StyleWisnow"/>
              <w:rPr>
                <w:color w:val="000000" w:themeColor="text1"/>
              </w:rPr>
            </w:pPr>
          </w:p>
        </w:tc>
        <w:tc>
          <w:tcPr>
            <w:tcW w:w="4818" w:type="dxa"/>
          </w:tcPr>
          <w:p w14:paraId="646A88FD" w14:textId="4B6D0725" w:rsidR="00630147" w:rsidRPr="00286216" w:rsidRDefault="00630147" w:rsidP="00630147">
            <w:pPr>
              <w:pStyle w:val="StyleZakonu"/>
              <w:rPr>
                <w:color w:val="000000" w:themeColor="text1"/>
              </w:rPr>
            </w:pPr>
            <w:r w:rsidRPr="00286216">
              <w:rPr>
                <w:color w:val="000000" w:themeColor="text1"/>
              </w:rPr>
              <w:t>е) пункт 2.16 викласти в такій редакції:</w:t>
            </w:r>
          </w:p>
        </w:tc>
      </w:tr>
      <w:tr w:rsidR="00630147" w:rsidRPr="00286216" w14:paraId="2A02D892" w14:textId="77777777" w:rsidTr="00091AA5">
        <w:tc>
          <w:tcPr>
            <w:tcW w:w="576" w:type="dxa"/>
          </w:tcPr>
          <w:p w14:paraId="7EA9F31D" w14:textId="77777777" w:rsidR="00630147" w:rsidRPr="00286216" w:rsidRDefault="00630147" w:rsidP="00630147">
            <w:pPr>
              <w:pStyle w:val="StyleWisnow"/>
              <w:rPr>
                <w:color w:val="000000" w:themeColor="text1"/>
              </w:rPr>
            </w:pPr>
            <w:bookmarkStart w:id="3219" w:name="n3349" w:colFirst="0" w:colLast="0"/>
            <w:bookmarkEnd w:id="3218"/>
            <w:r w:rsidRPr="00286216">
              <w:rPr>
                <w:color w:val="000000" w:themeColor="text1"/>
              </w:rPr>
              <w:t>3349.</w:t>
            </w:r>
          </w:p>
        </w:tc>
        <w:tc>
          <w:tcPr>
            <w:tcW w:w="4818" w:type="dxa"/>
          </w:tcPr>
          <w:p w14:paraId="58E092C6" w14:textId="77777777" w:rsidR="00630147" w:rsidRPr="00286216" w:rsidRDefault="00630147" w:rsidP="00630147">
            <w:pPr>
              <w:pStyle w:val="StyleZakonu"/>
              <w:rPr>
                <w:color w:val="000000" w:themeColor="text1"/>
              </w:rPr>
            </w:pPr>
            <w:r w:rsidRPr="00286216">
              <w:rPr>
                <w:color w:val="000000" w:themeColor="text1"/>
              </w:rPr>
              <w:t>"2.16. Деривативний контракт - правочин, що відповідає визначенню, наведеному в Законі України "Про ринки капіталу та організовані товарні ринки".";</w:t>
            </w:r>
          </w:p>
        </w:tc>
        <w:tc>
          <w:tcPr>
            <w:tcW w:w="3686" w:type="dxa"/>
          </w:tcPr>
          <w:p w14:paraId="3A6B9DDB" w14:textId="77777777" w:rsidR="00630147" w:rsidRPr="00286216" w:rsidRDefault="00630147" w:rsidP="00630147">
            <w:pPr>
              <w:pStyle w:val="StyleProp"/>
              <w:rPr>
                <w:color w:val="000000" w:themeColor="text1"/>
                <w:szCs w:val="18"/>
              </w:rPr>
            </w:pPr>
          </w:p>
        </w:tc>
        <w:tc>
          <w:tcPr>
            <w:tcW w:w="1987" w:type="dxa"/>
          </w:tcPr>
          <w:p w14:paraId="4D93B1ED" w14:textId="77777777" w:rsidR="00630147" w:rsidRPr="00286216" w:rsidRDefault="00630147" w:rsidP="00630147">
            <w:pPr>
              <w:pStyle w:val="StyleWisnow"/>
              <w:rPr>
                <w:color w:val="000000" w:themeColor="text1"/>
              </w:rPr>
            </w:pPr>
          </w:p>
        </w:tc>
        <w:tc>
          <w:tcPr>
            <w:tcW w:w="4818" w:type="dxa"/>
          </w:tcPr>
          <w:p w14:paraId="361DA2FF" w14:textId="1EAEA79F" w:rsidR="00630147" w:rsidRPr="00286216" w:rsidRDefault="00630147" w:rsidP="00630147">
            <w:pPr>
              <w:pStyle w:val="StyleZakonu"/>
              <w:rPr>
                <w:color w:val="000000" w:themeColor="text1"/>
              </w:rPr>
            </w:pPr>
            <w:r w:rsidRPr="00286216">
              <w:rPr>
                <w:color w:val="000000" w:themeColor="text1"/>
              </w:rPr>
              <w:t>"2.16. Деривативний контракт - правочин, що відповідає визначенню, наведеному в Законі України "Про ринки капіталу та організовані товарні ринки";</w:t>
            </w:r>
          </w:p>
        </w:tc>
      </w:tr>
      <w:tr w:rsidR="00630147" w:rsidRPr="00286216" w14:paraId="45A1A93F" w14:textId="77777777" w:rsidTr="00091AA5">
        <w:tc>
          <w:tcPr>
            <w:tcW w:w="576" w:type="dxa"/>
          </w:tcPr>
          <w:p w14:paraId="4A3B1AE7" w14:textId="77777777" w:rsidR="00630147" w:rsidRPr="00286216" w:rsidRDefault="00630147" w:rsidP="00630147">
            <w:pPr>
              <w:pStyle w:val="StyleWisnow"/>
              <w:rPr>
                <w:color w:val="000000" w:themeColor="text1"/>
              </w:rPr>
            </w:pPr>
            <w:bookmarkStart w:id="3220" w:name="n3350" w:colFirst="0" w:colLast="0"/>
            <w:bookmarkEnd w:id="3219"/>
            <w:r w:rsidRPr="00286216">
              <w:rPr>
                <w:color w:val="000000" w:themeColor="text1"/>
              </w:rPr>
              <w:t>3350.</w:t>
            </w:r>
          </w:p>
        </w:tc>
        <w:tc>
          <w:tcPr>
            <w:tcW w:w="4818" w:type="dxa"/>
          </w:tcPr>
          <w:p w14:paraId="5883DCCB" w14:textId="77777777" w:rsidR="00630147" w:rsidRPr="00286216" w:rsidRDefault="00630147" w:rsidP="00630147">
            <w:pPr>
              <w:pStyle w:val="StyleZakonu"/>
              <w:rPr>
                <w:color w:val="000000" w:themeColor="text1"/>
              </w:rPr>
            </w:pPr>
            <w:r w:rsidRPr="00286216">
              <w:rPr>
                <w:color w:val="000000" w:themeColor="text1"/>
              </w:rPr>
              <w:t>ж) у пункті 2.17 слово "(біржова)" замінити словом "організована", а слова "біржових торгів" замінити словами "регулярних торгів";</w:t>
            </w:r>
          </w:p>
        </w:tc>
        <w:tc>
          <w:tcPr>
            <w:tcW w:w="3686" w:type="dxa"/>
          </w:tcPr>
          <w:p w14:paraId="55BA3F85" w14:textId="77777777" w:rsidR="00630147" w:rsidRPr="00286216" w:rsidRDefault="00630147" w:rsidP="00630147">
            <w:pPr>
              <w:pStyle w:val="StyleProp"/>
              <w:rPr>
                <w:color w:val="000000" w:themeColor="text1"/>
                <w:szCs w:val="18"/>
              </w:rPr>
            </w:pPr>
          </w:p>
        </w:tc>
        <w:tc>
          <w:tcPr>
            <w:tcW w:w="1987" w:type="dxa"/>
          </w:tcPr>
          <w:p w14:paraId="6523C11C" w14:textId="77777777" w:rsidR="00630147" w:rsidRPr="00286216" w:rsidRDefault="00630147" w:rsidP="00630147">
            <w:pPr>
              <w:pStyle w:val="StyleWisnow"/>
              <w:rPr>
                <w:color w:val="000000" w:themeColor="text1"/>
              </w:rPr>
            </w:pPr>
          </w:p>
        </w:tc>
        <w:tc>
          <w:tcPr>
            <w:tcW w:w="4818" w:type="dxa"/>
          </w:tcPr>
          <w:p w14:paraId="27B42950" w14:textId="044CE5C9" w:rsidR="00630147" w:rsidRPr="00286216" w:rsidRDefault="00630147" w:rsidP="00630147">
            <w:pPr>
              <w:pStyle w:val="StyleZakonu"/>
              <w:rPr>
                <w:color w:val="000000" w:themeColor="text1"/>
              </w:rPr>
            </w:pPr>
            <w:r w:rsidRPr="00286216">
              <w:rPr>
                <w:color w:val="000000" w:themeColor="text1"/>
              </w:rPr>
              <w:t>є) у пункті 2.17 слово "(біржова)" замінити словом "організована", а слова "біржових торгів" -  словами "регулярних торгів";</w:t>
            </w:r>
          </w:p>
        </w:tc>
      </w:tr>
      <w:tr w:rsidR="00630147" w:rsidRPr="00286216" w14:paraId="5D1E2B58" w14:textId="77777777" w:rsidTr="00091AA5">
        <w:tc>
          <w:tcPr>
            <w:tcW w:w="576" w:type="dxa"/>
          </w:tcPr>
          <w:p w14:paraId="65E69ECA" w14:textId="77777777" w:rsidR="00630147" w:rsidRPr="00286216" w:rsidRDefault="00630147" w:rsidP="00630147">
            <w:pPr>
              <w:pStyle w:val="StyleWisnow"/>
              <w:rPr>
                <w:color w:val="000000" w:themeColor="text1"/>
              </w:rPr>
            </w:pPr>
            <w:bookmarkStart w:id="3221" w:name="n3351" w:colFirst="0" w:colLast="0"/>
            <w:bookmarkEnd w:id="3220"/>
            <w:r w:rsidRPr="00286216">
              <w:rPr>
                <w:color w:val="000000" w:themeColor="text1"/>
              </w:rPr>
              <w:t>3351.</w:t>
            </w:r>
          </w:p>
        </w:tc>
        <w:tc>
          <w:tcPr>
            <w:tcW w:w="4818" w:type="dxa"/>
          </w:tcPr>
          <w:p w14:paraId="5B66A178" w14:textId="77777777" w:rsidR="00630147" w:rsidRPr="00286216" w:rsidRDefault="00630147" w:rsidP="00630147">
            <w:pPr>
              <w:pStyle w:val="StyleZakonu"/>
              <w:rPr>
                <w:color w:val="000000" w:themeColor="text1"/>
              </w:rPr>
            </w:pPr>
            <w:r w:rsidRPr="00286216">
              <w:rPr>
                <w:color w:val="000000" w:themeColor="text1"/>
              </w:rPr>
              <w:t>з) у пункті 2.18 слова "біржової торгівлі" замінити словами "регулярних торгів", а слова " (крім форварду)" виключити;</w:t>
            </w:r>
          </w:p>
        </w:tc>
        <w:tc>
          <w:tcPr>
            <w:tcW w:w="3686" w:type="dxa"/>
          </w:tcPr>
          <w:p w14:paraId="0B4D5CA0" w14:textId="77777777" w:rsidR="00630147" w:rsidRPr="00286216" w:rsidRDefault="00630147" w:rsidP="00630147">
            <w:pPr>
              <w:pStyle w:val="StyleProp"/>
              <w:rPr>
                <w:color w:val="000000" w:themeColor="text1"/>
                <w:szCs w:val="18"/>
              </w:rPr>
            </w:pPr>
          </w:p>
        </w:tc>
        <w:tc>
          <w:tcPr>
            <w:tcW w:w="1987" w:type="dxa"/>
          </w:tcPr>
          <w:p w14:paraId="31E72C69" w14:textId="77777777" w:rsidR="00630147" w:rsidRPr="00286216" w:rsidRDefault="00630147" w:rsidP="00630147">
            <w:pPr>
              <w:pStyle w:val="StyleWisnow"/>
              <w:rPr>
                <w:color w:val="000000" w:themeColor="text1"/>
              </w:rPr>
            </w:pPr>
          </w:p>
        </w:tc>
        <w:tc>
          <w:tcPr>
            <w:tcW w:w="4818" w:type="dxa"/>
          </w:tcPr>
          <w:p w14:paraId="0C9F7A29" w14:textId="54E37577" w:rsidR="00630147" w:rsidRPr="00286216" w:rsidRDefault="00630147" w:rsidP="00630147">
            <w:pPr>
              <w:pStyle w:val="StyleZakonu"/>
              <w:rPr>
                <w:color w:val="000000" w:themeColor="text1"/>
              </w:rPr>
            </w:pPr>
            <w:r w:rsidRPr="00286216">
              <w:rPr>
                <w:color w:val="000000" w:themeColor="text1"/>
              </w:rPr>
              <w:t>ж) у пункті 2.18 слова "біржової торгівлі" замінити словами "регулярних торгів", а слова "(крім форварду)" виключити;</w:t>
            </w:r>
          </w:p>
        </w:tc>
      </w:tr>
      <w:tr w:rsidR="00630147" w:rsidRPr="00286216" w14:paraId="3D9B1D89" w14:textId="77777777" w:rsidTr="00091AA5">
        <w:tc>
          <w:tcPr>
            <w:tcW w:w="576" w:type="dxa"/>
          </w:tcPr>
          <w:p w14:paraId="6971AE80" w14:textId="77777777" w:rsidR="00630147" w:rsidRPr="00286216" w:rsidRDefault="00630147" w:rsidP="00630147">
            <w:pPr>
              <w:pStyle w:val="StyleWisnow"/>
              <w:rPr>
                <w:color w:val="000000" w:themeColor="text1"/>
              </w:rPr>
            </w:pPr>
            <w:bookmarkStart w:id="3222" w:name="n3352" w:colFirst="0" w:colLast="0"/>
            <w:bookmarkEnd w:id="3221"/>
            <w:r w:rsidRPr="00286216">
              <w:rPr>
                <w:color w:val="000000" w:themeColor="text1"/>
              </w:rPr>
              <w:t>3352.</w:t>
            </w:r>
          </w:p>
        </w:tc>
        <w:tc>
          <w:tcPr>
            <w:tcW w:w="4818" w:type="dxa"/>
          </w:tcPr>
          <w:p w14:paraId="4940550B" w14:textId="77777777" w:rsidR="00630147" w:rsidRPr="00286216" w:rsidRDefault="00630147" w:rsidP="00630147">
            <w:pPr>
              <w:pStyle w:val="StyleZakonu"/>
              <w:rPr>
                <w:color w:val="000000" w:themeColor="text1"/>
              </w:rPr>
            </w:pPr>
            <w:r w:rsidRPr="00286216">
              <w:rPr>
                <w:color w:val="000000" w:themeColor="text1"/>
              </w:rPr>
              <w:t>2) у статті 6:</w:t>
            </w:r>
          </w:p>
        </w:tc>
        <w:tc>
          <w:tcPr>
            <w:tcW w:w="3686" w:type="dxa"/>
          </w:tcPr>
          <w:p w14:paraId="440B5A17" w14:textId="77777777" w:rsidR="00630147" w:rsidRPr="00286216" w:rsidRDefault="00630147" w:rsidP="00630147">
            <w:pPr>
              <w:pStyle w:val="StyleProp"/>
              <w:rPr>
                <w:color w:val="000000" w:themeColor="text1"/>
                <w:szCs w:val="18"/>
              </w:rPr>
            </w:pPr>
          </w:p>
        </w:tc>
        <w:tc>
          <w:tcPr>
            <w:tcW w:w="1987" w:type="dxa"/>
          </w:tcPr>
          <w:p w14:paraId="028C0F0F" w14:textId="77777777" w:rsidR="00630147" w:rsidRPr="00286216" w:rsidRDefault="00630147" w:rsidP="00630147">
            <w:pPr>
              <w:pStyle w:val="StyleWisnow"/>
              <w:rPr>
                <w:color w:val="000000" w:themeColor="text1"/>
              </w:rPr>
            </w:pPr>
          </w:p>
        </w:tc>
        <w:tc>
          <w:tcPr>
            <w:tcW w:w="4818" w:type="dxa"/>
          </w:tcPr>
          <w:p w14:paraId="522A58BD" w14:textId="61523DC8" w:rsidR="00630147" w:rsidRPr="00286216" w:rsidRDefault="00630147" w:rsidP="00630147">
            <w:pPr>
              <w:pStyle w:val="StyleZakonu"/>
              <w:rPr>
                <w:color w:val="000000" w:themeColor="text1"/>
              </w:rPr>
            </w:pPr>
            <w:r w:rsidRPr="00286216">
              <w:rPr>
                <w:color w:val="000000" w:themeColor="text1"/>
              </w:rPr>
              <w:t>2) у статті 6:</w:t>
            </w:r>
          </w:p>
        </w:tc>
      </w:tr>
      <w:tr w:rsidR="00630147" w:rsidRPr="00286216" w14:paraId="7CF16CFB" w14:textId="77777777" w:rsidTr="00091AA5">
        <w:tc>
          <w:tcPr>
            <w:tcW w:w="576" w:type="dxa"/>
          </w:tcPr>
          <w:p w14:paraId="02C8D735" w14:textId="77777777" w:rsidR="00630147" w:rsidRPr="00286216" w:rsidRDefault="00630147" w:rsidP="00630147">
            <w:pPr>
              <w:pStyle w:val="StyleWisnow"/>
              <w:rPr>
                <w:color w:val="000000" w:themeColor="text1"/>
              </w:rPr>
            </w:pPr>
            <w:bookmarkStart w:id="3223" w:name="n3353" w:colFirst="0" w:colLast="0"/>
            <w:bookmarkEnd w:id="3222"/>
            <w:r w:rsidRPr="00286216">
              <w:rPr>
                <w:color w:val="000000" w:themeColor="text1"/>
              </w:rPr>
              <w:t>3353.</w:t>
            </w:r>
          </w:p>
        </w:tc>
        <w:tc>
          <w:tcPr>
            <w:tcW w:w="4818" w:type="dxa"/>
          </w:tcPr>
          <w:p w14:paraId="6DF4B5D6" w14:textId="77777777" w:rsidR="00630147" w:rsidRPr="00286216" w:rsidRDefault="00630147" w:rsidP="00630147">
            <w:pPr>
              <w:pStyle w:val="StyleZakonu"/>
              <w:rPr>
                <w:color w:val="000000" w:themeColor="text1"/>
              </w:rPr>
            </w:pPr>
            <w:r w:rsidRPr="00286216">
              <w:rPr>
                <w:color w:val="000000" w:themeColor="text1"/>
              </w:rPr>
              <w:t>а) слова "аграрному" замінити "товарному"</w:t>
            </w:r>
          </w:p>
        </w:tc>
        <w:tc>
          <w:tcPr>
            <w:tcW w:w="3686" w:type="dxa"/>
          </w:tcPr>
          <w:p w14:paraId="5FF0CBAD" w14:textId="77777777" w:rsidR="00630147" w:rsidRPr="00286216" w:rsidRDefault="00630147" w:rsidP="00630147">
            <w:pPr>
              <w:pStyle w:val="StyleProp"/>
              <w:rPr>
                <w:color w:val="000000" w:themeColor="text1"/>
                <w:szCs w:val="18"/>
              </w:rPr>
            </w:pPr>
          </w:p>
        </w:tc>
        <w:tc>
          <w:tcPr>
            <w:tcW w:w="1987" w:type="dxa"/>
          </w:tcPr>
          <w:p w14:paraId="33C2A336" w14:textId="77777777" w:rsidR="00630147" w:rsidRPr="00286216" w:rsidRDefault="00630147" w:rsidP="00630147">
            <w:pPr>
              <w:pStyle w:val="StyleWisnow"/>
              <w:rPr>
                <w:color w:val="000000" w:themeColor="text1"/>
              </w:rPr>
            </w:pPr>
          </w:p>
        </w:tc>
        <w:tc>
          <w:tcPr>
            <w:tcW w:w="4818" w:type="dxa"/>
          </w:tcPr>
          <w:p w14:paraId="4CFC0FA8" w14:textId="78190CF2" w:rsidR="00630147" w:rsidRPr="00286216" w:rsidRDefault="00630147" w:rsidP="00630147">
            <w:pPr>
              <w:pStyle w:val="StyleZakonu"/>
              <w:rPr>
                <w:color w:val="000000" w:themeColor="text1"/>
              </w:rPr>
            </w:pPr>
            <w:r w:rsidRPr="00286216">
              <w:rPr>
                <w:color w:val="000000" w:themeColor="text1"/>
              </w:rPr>
              <w:t>а) слово "аграрному" замінити словом "товарному";</w:t>
            </w:r>
          </w:p>
        </w:tc>
      </w:tr>
      <w:tr w:rsidR="00630147" w:rsidRPr="00286216" w14:paraId="7298B331" w14:textId="77777777" w:rsidTr="00091AA5">
        <w:tc>
          <w:tcPr>
            <w:tcW w:w="576" w:type="dxa"/>
          </w:tcPr>
          <w:p w14:paraId="54EEC7ED" w14:textId="77777777" w:rsidR="00630147" w:rsidRPr="00286216" w:rsidRDefault="00630147" w:rsidP="00630147">
            <w:pPr>
              <w:pStyle w:val="StyleWisnow"/>
              <w:rPr>
                <w:color w:val="000000" w:themeColor="text1"/>
              </w:rPr>
            </w:pPr>
            <w:bookmarkStart w:id="3224" w:name="n3354" w:colFirst="0" w:colLast="0"/>
            <w:bookmarkEnd w:id="3223"/>
            <w:r w:rsidRPr="00286216">
              <w:rPr>
                <w:color w:val="000000" w:themeColor="text1"/>
              </w:rPr>
              <w:t>3354.</w:t>
            </w:r>
          </w:p>
        </w:tc>
        <w:tc>
          <w:tcPr>
            <w:tcW w:w="4818" w:type="dxa"/>
          </w:tcPr>
          <w:p w14:paraId="6778BAEB" w14:textId="77777777" w:rsidR="00630147" w:rsidRPr="00286216" w:rsidRDefault="00630147" w:rsidP="00630147">
            <w:pPr>
              <w:pStyle w:val="StyleZakonu"/>
              <w:rPr>
                <w:color w:val="000000" w:themeColor="text1"/>
              </w:rPr>
            </w:pPr>
            <w:r w:rsidRPr="00286216">
              <w:rPr>
                <w:color w:val="000000" w:themeColor="text1"/>
              </w:rPr>
              <w:t>б) слова "форварду" в усіх відмінках замінити словами "ф’ючерсу та/або форварду" у відповідному відмінку;</w:t>
            </w:r>
          </w:p>
        </w:tc>
        <w:tc>
          <w:tcPr>
            <w:tcW w:w="3686" w:type="dxa"/>
          </w:tcPr>
          <w:p w14:paraId="1DA7B1D3" w14:textId="77777777" w:rsidR="00630147" w:rsidRPr="00286216" w:rsidRDefault="00630147" w:rsidP="00630147">
            <w:pPr>
              <w:pStyle w:val="StyleProp"/>
              <w:rPr>
                <w:color w:val="000000" w:themeColor="text1"/>
                <w:szCs w:val="18"/>
              </w:rPr>
            </w:pPr>
          </w:p>
        </w:tc>
        <w:tc>
          <w:tcPr>
            <w:tcW w:w="1987" w:type="dxa"/>
          </w:tcPr>
          <w:p w14:paraId="455DA712" w14:textId="77777777" w:rsidR="00630147" w:rsidRPr="00286216" w:rsidRDefault="00630147" w:rsidP="00630147">
            <w:pPr>
              <w:pStyle w:val="StyleWisnow"/>
              <w:rPr>
                <w:color w:val="000000" w:themeColor="text1"/>
              </w:rPr>
            </w:pPr>
          </w:p>
        </w:tc>
        <w:tc>
          <w:tcPr>
            <w:tcW w:w="4818" w:type="dxa"/>
          </w:tcPr>
          <w:p w14:paraId="34DF38F4" w14:textId="064856AC" w:rsidR="00630147" w:rsidRPr="00286216" w:rsidRDefault="00630147" w:rsidP="00630147">
            <w:pPr>
              <w:pStyle w:val="StyleZakonu"/>
              <w:rPr>
                <w:color w:val="000000" w:themeColor="text1"/>
              </w:rPr>
            </w:pPr>
            <w:r w:rsidRPr="00286216">
              <w:rPr>
                <w:color w:val="000000" w:themeColor="text1"/>
              </w:rPr>
              <w:t>б) слова "форварду" в усіх відмінках замінити словами "ф’ючерсу та/або форварду" у відповідному відмінку;</w:t>
            </w:r>
          </w:p>
        </w:tc>
      </w:tr>
      <w:tr w:rsidR="00630147" w:rsidRPr="00286216" w14:paraId="0161857D" w14:textId="77777777" w:rsidTr="00091AA5">
        <w:tc>
          <w:tcPr>
            <w:tcW w:w="576" w:type="dxa"/>
          </w:tcPr>
          <w:p w14:paraId="671F54BC" w14:textId="77777777" w:rsidR="00630147" w:rsidRPr="00286216" w:rsidRDefault="00630147" w:rsidP="00630147">
            <w:pPr>
              <w:pStyle w:val="StyleWisnow"/>
              <w:rPr>
                <w:color w:val="000000" w:themeColor="text1"/>
              </w:rPr>
            </w:pPr>
            <w:bookmarkStart w:id="3225" w:name="n3355" w:colFirst="0" w:colLast="0"/>
            <w:bookmarkEnd w:id="3224"/>
            <w:r w:rsidRPr="00286216">
              <w:rPr>
                <w:color w:val="000000" w:themeColor="text1"/>
              </w:rPr>
              <w:t>3355.</w:t>
            </w:r>
          </w:p>
        </w:tc>
        <w:tc>
          <w:tcPr>
            <w:tcW w:w="4818" w:type="dxa"/>
          </w:tcPr>
          <w:p w14:paraId="3802ACE7" w14:textId="77777777" w:rsidR="00630147" w:rsidRPr="00286216" w:rsidRDefault="00630147" w:rsidP="00630147">
            <w:pPr>
              <w:pStyle w:val="StyleZakonu"/>
              <w:rPr>
                <w:color w:val="000000" w:themeColor="text1"/>
              </w:rPr>
            </w:pPr>
            <w:r w:rsidRPr="00286216">
              <w:rPr>
                <w:color w:val="000000" w:themeColor="text1"/>
              </w:rPr>
              <w:t>в) слова "біржової сесії" в усіх відмінках замінити словами "регулярних торгах" у відповідному відмінку;</w:t>
            </w:r>
          </w:p>
        </w:tc>
        <w:tc>
          <w:tcPr>
            <w:tcW w:w="3686" w:type="dxa"/>
          </w:tcPr>
          <w:p w14:paraId="59AFF661" w14:textId="77777777" w:rsidR="00630147" w:rsidRPr="00286216" w:rsidRDefault="00630147" w:rsidP="00630147">
            <w:pPr>
              <w:pStyle w:val="StyleProp"/>
              <w:rPr>
                <w:color w:val="000000" w:themeColor="text1"/>
                <w:szCs w:val="18"/>
              </w:rPr>
            </w:pPr>
          </w:p>
        </w:tc>
        <w:tc>
          <w:tcPr>
            <w:tcW w:w="1987" w:type="dxa"/>
          </w:tcPr>
          <w:p w14:paraId="4E8BC69F" w14:textId="77777777" w:rsidR="00630147" w:rsidRPr="00286216" w:rsidRDefault="00630147" w:rsidP="00630147">
            <w:pPr>
              <w:pStyle w:val="StyleWisnow"/>
              <w:rPr>
                <w:color w:val="000000" w:themeColor="text1"/>
              </w:rPr>
            </w:pPr>
          </w:p>
        </w:tc>
        <w:tc>
          <w:tcPr>
            <w:tcW w:w="4818" w:type="dxa"/>
          </w:tcPr>
          <w:p w14:paraId="634FA45E" w14:textId="2D00FA56" w:rsidR="00630147" w:rsidRPr="00286216" w:rsidRDefault="00630147" w:rsidP="00630147">
            <w:pPr>
              <w:pStyle w:val="StyleZakonu"/>
              <w:rPr>
                <w:color w:val="000000" w:themeColor="text1"/>
              </w:rPr>
            </w:pPr>
            <w:r w:rsidRPr="00286216">
              <w:rPr>
                <w:color w:val="000000" w:themeColor="text1"/>
              </w:rPr>
              <w:t>в) слова "біржової сесії" в усіх відмінках замінити словами "регулярних торгах" у відповідному відмінку;</w:t>
            </w:r>
          </w:p>
        </w:tc>
      </w:tr>
      <w:tr w:rsidR="00630147" w:rsidRPr="00286216" w14:paraId="470EAAFB" w14:textId="77777777" w:rsidTr="00091AA5">
        <w:tc>
          <w:tcPr>
            <w:tcW w:w="576" w:type="dxa"/>
          </w:tcPr>
          <w:p w14:paraId="154AD000" w14:textId="77777777" w:rsidR="00630147" w:rsidRPr="00286216" w:rsidRDefault="00630147" w:rsidP="00630147">
            <w:pPr>
              <w:pStyle w:val="StyleWisnow"/>
              <w:rPr>
                <w:color w:val="000000" w:themeColor="text1"/>
              </w:rPr>
            </w:pPr>
            <w:bookmarkStart w:id="3226" w:name="n3356" w:colFirst="0" w:colLast="0"/>
            <w:bookmarkEnd w:id="3225"/>
            <w:r w:rsidRPr="00286216">
              <w:rPr>
                <w:color w:val="000000" w:themeColor="text1"/>
              </w:rPr>
              <w:t>3356.</w:t>
            </w:r>
          </w:p>
        </w:tc>
        <w:tc>
          <w:tcPr>
            <w:tcW w:w="4818" w:type="dxa"/>
          </w:tcPr>
          <w:p w14:paraId="721A3D54" w14:textId="77777777" w:rsidR="00630147" w:rsidRPr="00286216" w:rsidRDefault="00630147" w:rsidP="00630147">
            <w:pPr>
              <w:pStyle w:val="StyleZakonu"/>
              <w:rPr>
                <w:color w:val="000000" w:themeColor="text1"/>
              </w:rPr>
            </w:pPr>
            <w:r w:rsidRPr="00286216">
              <w:rPr>
                <w:color w:val="000000" w:themeColor="text1"/>
              </w:rPr>
              <w:t>г) слова "біржового ринку" в усіх відмінках замінити словами "організованого товарного ринку" у відповідному відмінку;</w:t>
            </w:r>
          </w:p>
        </w:tc>
        <w:tc>
          <w:tcPr>
            <w:tcW w:w="3686" w:type="dxa"/>
          </w:tcPr>
          <w:p w14:paraId="73AFC718" w14:textId="77777777" w:rsidR="00630147" w:rsidRPr="00286216" w:rsidRDefault="00630147" w:rsidP="00630147">
            <w:pPr>
              <w:pStyle w:val="StyleProp"/>
              <w:rPr>
                <w:color w:val="000000" w:themeColor="text1"/>
                <w:szCs w:val="18"/>
              </w:rPr>
            </w:pPr>
          </w:p>
        </w:tc>
        <w:tc>
          <w:tcPr>
            <w:tcW w:w="1987" w:type="dxa"/>
          </w:tcPr>
          <w:p w14:paraId="3975EAD1" w14:textId="77777777" w:rsidR="00630147" w:rsidRPr="00286216" w:rsidRDefault="00630147" w:rsidP="00630147">
            <w:pPr>
              <w:pStyle w:val="StyleWisnow"/>
              <w:rPr>
                <w:color w:val="000000" w:themeColor="text1"/>
              </w:rPr>
            </w:pPr>
          </w:p>
        </w:tc>
        <w:tc>
          <w:tcPr>
            <w:tcW w:w="4818" w:type="dxa"/>
          </w:tcPr>
          <w:p w14:paraId="7BBE1A94" w14:textId="571089DB" w:rsidR="00630147" w:rsidRPr="00286216" w:rsidRDefault="00630147" w:rsidP="00630147">
            <w:pPr>
              <w:pStyle w:val="StyleZakonu"/>
              <w:rPr>
                <w:color w:val="000000" w:themeColor="text1"/>
              </w:rPr>
            </w:pPr>
            <w:r w:rsidRPr="00286216">
              <w:rPr>
                <w:color w:val="000000" w:themeColor="text1"/>
              </w:rPr>
              <w:t>г) слова "біржового ринку" в усіх відмінках замінити словами "організованого товарного ринку" у відповідному відмінку;</w:t>
            </w:r>
          </w:p>
        </w:tc>
      </w:tr>
      <w:tr w:rsidR="00630147" w:rsidRPr="00286216" w14:paraId="660F6DDF" w14:textId="77777777" w:rsidTr="00091AA5">
        <w:tc>
          <w:tcPr>
            <w:tcW w:w="576" w:type="dxa"/>
          </w:tcPr>
          <w:p w14:paraId="18C24BE8" w14:textId="77777777" w:rsidR="00630147" w:rsidRPr="00286216" w:rsidRDefault="00630147" w:rsidP="00630147">
            <w:pPr>
              <w:pStyle w:val="StyleWisnow"/>
              <w:rPr>
                <w:color w:val="000000" w:themeColor="text1"/>
              </w:rPr>
            </w:pPr>
            <w:bookmarkStart w:id="3227" w:name="n3357" w:colFirst="0" w:colLast="0"/>
            <w:bookmarkEnd w:id="3226"/>
            <w:r w:rsidRPr="00286216">
              <w:rPr>
                <w:color w:val="000000" w:themeColor="text1"/>
              </w:rPr>
              <w:t>3357.</w:t>
            </w:r>
          </w:p>
        </w:tc>
        <w:tc>
          <w:tcPr>
            <w:tcW w:w="4818" w:type="dxa"/>
          </w:tcPr>
          <w:p w14:paraId="70E6CC42" w14:textId="77777777" w:rsidR="00630147" w:rsidRPr="00286216" w:rsidRDefault="00630147" w:rsidP="00630147">
            <w:pPr>
              <w:pStyle w:val="StyleZakonu"/>
              <w:rPr>
                <w:color w:val="000000" w:themeColor="text1"/>
              </w:rPr>
            </w:pPr>
            <w:r w:rsidRPr="00286216">
              <w:rPr>
                <w:color w:val="000000" w:themeColor="text1"/>
              </w:rPr>
              <w:t>ґ) слова "біржові торги" в усіх відмінках замінити словами "регулярні торги" у відповідному відмінку;</w:t>
            </w:r>
          </w:p>
        </w:tc>
        <w:tc>
          <w:tcPr>
            <w:tcW w:w="3686" w:type="dxa"/>
          </w:tcPr>
          <w:p w14:paraId="6136FD08" w14:textId="77777777" w:rsidR="00630147" w:rsidRPr="00286216" w:rsidRDefault="00630147" w:rsidP="00630147">
            <w:pPr>
              <w:pStyle w:val="StyleProp"/>
              <w:rPr>
                <w:color w:val="000000" w:themeColor="text1"/>
                <w:szCs w:val="18"/>
              </w:rPr>
            </w:pPr>
          </w:p>
        </w:tc>
        <w:tc>
          <w:tcPr>
            <w:tcW w:w="1987" w:type="dxa"/>
          </w:tcPr>
          <w:p w14:paraId="1595FBE4" w14:textId="77777777" w:rsidR="00630147" w:rsidRPr="00286216" w:rsidRDefault="00630147" w:rsidP="00630147">
            <w:pPr>
              <w:pStyle w:val="StyleWisnow"/>
              <w:rPr>
                <w:color w:val="000000" w:themeColor="text1"/>
              </w:rPr>
            </w:pPr>
          </w:p>
        </w:tc>
        <w:tc>
          <w:tcPr>
            <w:tcW w:w="4818" w:type="dxa"/>
          </w:tcPr>
          <w:p w14:paraId="35ED2774" w14:textId="0B5AFD8A" w:rsidR="00630147" w:rsidRPr="00286216" w:rsidRDefault="00630147" w:rsidP="00630147">
            <w:pPr>
              <w:pStyle w:val="StyleZakonu"/>
              <w:rPr>
                <w:color w:val="000000" w:themeColor="text1"/>
              </w:rPr>
            </w:pPr>
            <w:r w:rsidRPr="00286216">
              <w:rPr>
                <w:color w:val="000000" w:themeColor="text1"/>
              </w:rPr>
              <w:t>ґ) слова "біржові торги" в усіх відмінках замінити словами "регулярні торги" у відповідному відмінку;</w:t>
            </w:r>
          </w:p>
        </w:tc>
      </w:tr>
      <w:tr w:rsidR="00630147" w:rsidRPr="00286216" w14:paraId="6A28653E" w14:textId="77777777" w:rsidTr="00091AA5">
        <w:tc>
          <w:tcPr>
            <w:tcW w:w="576" w:type="dxa"/>
          </w:tcPr>
          <w:p w14:paraId="78F6F0F4" w14:textId="77777777" w:rsidR="00630147" w:rsidRPr="00286216" w:rsidRDefault="00630147" w:rsidP="00630147">
            <w:pPr>
              <w:pStyle w:val="StyleWisnow"/>
              <w:rPr>
                <w:color w:val="000000" w:themeColor="text1"/>
              </w:rPr>
            </w:pPr>
            <w:bookmarkStart w:id="3228" w:name="n3358" w:colFirst="0" w:colLast="0"/>
            <w:bookmarkEnd w:id="3227"/>
            <w:r w:rsidRPr="00286216">
              <w:rPr>
                <w:color w:val="000000" w:themeColor="text1"/>
              </w:rPr>
              <w:t>3358.</w:t>
            </w:r>
          </w:p>
        </w:tc>
        <w:tc>
          <w:tcPr>
            <w:tcW w:w="4818" w:type="dxa"/>
          </w:tcPr>
          <w:p w14:paraId="3486C4E4" w14:textId="77777777" w:rsidR="00630147" w:rsidRPr="00286216" w:rsidRDefault="00630147" w:rsidP="00630147">
            <w:pPr>
              <w:pStyle w:val="StyleZakonu"/>
              <w:rPr>
                <w:color w:val="000000" w:themeColor="text1"/>
              </w:rPr>
            </w:pPr>
            <w:r w:rsidRPr="00286216">
              <w:rPr>
                <w:color w:val="000000" w:themeColor="text1"/>
              </w:rPr>
              <w:t>3) у статті 7:</w:t>
            </w:r>
          </w:p>
        </w:tc>
        <w:tc>
          <w:tcPr>
            <w:tcW w:w="3686" w:type="dxa"/>
          </w:tcPr>
          <w:p w14:paraId="313C293C" w14:textId="77777777" w:rsidR="00630147" w:rsidRPr="00286216" w:rsidRDefault="00630147" w:rsidP="00630147">
            <w:pPr>
              <w:pStyle w:val="StyleProp"/>
              <w:rPr>
                <w:color w:val="000000" w:themeColor="text1"/>
                <w:szCs w:val="18"/>
              </w:rPr>
            </w:pPr>
          </w:p>
        </w:tc>
        <w:tc>
          <w:tcPr>
            <w:tcW w:w="1987" w:type="dxa"/>
          </w:tcPr>
          <w:p w14:paraId="6C06A46F" w14:textId="77777777" w:rsidR="00630147" w:rsidRPr="00286216" w:rsidRDefault="00630147" w:rsidP="00630147">
            <w:pPr>
              <w:pStyle w:val="StyleWisnow"/>
              <w:rPr>
                <w:color w:val="000000" w:themeColor="text1"/>
              </w:rPr>
            </w:pPr>
          </w:p>
        </w:tc>
        <w:tc>
          <w:tcPr>
            <w:tcW w:w="4818" w:type="dxa"/>
          </w:tcPr>
          <w:p w14:paraId="55DF14A8" w14:textId="45121246" w:rsidR="00630147" w:rsidRPr="00286216" w:rsidRDefault="00630147" w:rsidP="00630147">
            <w:pPr>
              <w:pStyle w:val="StyleZakonu"/>
              <w:rPr>
                <w:color w:val="000000" w:themeColor="text1"/>
              </w:rPr>
            </w:pPr>
            <w:r w:rsidRPr="00286216">
              <w:rPr>
                <w:color w:val="000000" w:themeColor="text1"/>
              </w:rPr>
              <w:t>3) у статті 7:</w:t>
            </w:r>
          </w:p>
        </w:tc>
      </w:tr>
      <w:tr w:rsidR="00630147" w:rsidRPr="00286216" w14:paraId="1CFABE65" w14:textId="77777777" w:rsidTr="00091AA5">
        <w:tc>
          <w:tcPr>
            <w:tcW w:w="576" w:type="dxa"/>
          </w:tcPr>
          <w:p w14:paraId="2AC0F12A" w14:textId="77777777" w:rsidR="00630147" w:rsidRPr="00286216" w:rsidRDefault="00630147" w:rsidP="00630147">
            <w:pPr>
              <w:pStyle w:val="StyleWisnow"/>
              <w:rPr>
                <w:color w:val="000000" w:themeColor="text1"/>
              </w:rPr>
            </w:pPr>
            <w:bookmarkStart w:id="3229" w:name="n3359" w:colFirst="0" w:colLast="0"/>
            <w:bookmarkEnd w:id="3228"/>
            <w:r w:rsidRPr="00286216">
              <w:rPr>
                <w:color w:val="000000" w:themeColor="text1"/>
              </w:rPr>
              <w:t>3359.</w:t>
            </w:r>
          </w:p>
        </w:tc>
        <w:tc>
          <w:tcPr>
            <w:tcW w:w="4818" w:type="dxa"/>
          </w:tcPr>
          <w:p w14:paraId="46F0927A" w14:textId="77777777" w:rsidR="00630147" w:rsidRPr="00286216" w:rsidRDefault="00630147" w:rsidP="00630147">
            <w:pPr>
              <w:pStyle w:val="StyleZakonu"/>
              <w:rPr>
                <w:color w:val="000000" w:themeColor="text1"/>
              </w:rPr>
            </w:pPr>
            <w:r w:rsidRPr="00286216">
              <w:rPr>
                <w:color w:val="000000" w:themeColor="text1"/>
              </w:rPr>
              <w:t>а) слова "форварду" в усіх відмінках замінити словами "ф’ючерсу та/або форварду" у відповідному відмінку;</w:t>
            </w:r>
          </w:p>
        </w:tc>
        <w:tc>
          <w:tcPr>
            <w:tcW w:w="3686" w:type="dxa"/>
          </w:tcPr>
          <w:p w14:paraId="16303155" w14:textId="77777777" w:rsidR="00630147" w:rsidRPr="00286216" w:rsidRDefault="00630147" w:rsidP="00630147">
            <w:pPr>
              <w:pStyle w:val="StyleProp"/>
              <w:rPr>
                <w:color w:val="000000" w:themeColor="text1"/>
                <w:szCs w:val="18"/>
              </w:rPr>
            </w:pPr>
          </w:p>
        </w:tc>
        <w:tc>
          <w:tcPr>
            <w:tcW w:w="1987" w:type="dxa"/>
          </w:tcPr>
          <w:p w14:paraId="51E149A4" w14:textId="77777777" w:rsidR="00630147" w:rsidRPr="00286216" w:rsidRDefault="00630147" w:rsidP="00630147">
            <w:pPr>
              <w:pStyle w:val="StyleWisnow"/>
              <w:rPr>
                <w:color w:val="000000" w:themeColor="text1"/>
              </w:rPr>
            </w:pPr>
          </w:p>
        </w:tc>
        <w:tc>
          <w:tcPr>
            <w:tcW w:w="4818" w:type="dxa"/>
          </w:tcPr>
          <w:p w14:paraId="4AD30885" w14:textId="6B8293E4" w:rsidR="00630147" w:rsidRPr="00286216" w:rsidRDefault="00630147" w:rsidP="00630147">
            <w:pPr>
              <w:pStyle w:val="StyleZakonu"/>
              <w:rPr>
                <w:color w:val="000000" w:themeColor="text1"/>
              </w:rPr>
            </w:pPr>
            <w:r w:rsidRPr="00286216">
              <w:rPr>
                <w:color w:val="000000" w:themeColor="text1"/>
              </w:rPr>
              <w:t>а) слово "форварду" в усіх відмінках замінити словами "ф’ючерсу та/або форварду" у відповідному відмінку;</w:t>
            </w:r>
          </w:p>
        </w:tc>
      </w:tr>
      <w:tr w:rsidR="00630147" w:rsidRPr="00286216" w14:paraId="6D9D597F" w14:textId="77777777" w:rsidTr="00091AA5">
        <w:tc>
          <w:tcPr>
            <w:tcW w:w="576" w:type="dxa"/>
          </w:tcPr>
          <w:p w14:paraId="5A66E7A1" w14:textId="77777777" w:rsidR="00630147" w:rsidRPr="00286216" w:rsidRDefault="00630147" w:rsidP="00630147">
            <w:pPr>
              <w:pStyle w:val="StyleWisnow"/>
              <w:rPr>
                <w:color w:val="000000" w:themeColor="text1"/>
              </w:rPr>
            </w:pPr>
            <w:bookmarkStart w:id="3230" w:name="n3360" w:colFirst="0" w:colLast="0"/>
            <w:bookmarkEnd w:id="3229"/>
            <w:r w:rsidRPr="00286216">
              <w:rPr>
                <w:color w:val="000000" w:themeColor="text1"/>
              </w:rPr>
              <w:t>3360.</w:t>
            </w:r>
          </w:p>
        </w:tc>
        <w:tc>
          <w:tcPr>
            <w:tcW w:w="4818" w:type="dxa"/>
          </w:tcPr>
          <w:p w14:paraId="38D0FB82" w14:textId="77777777" w:rsidR="00630147" w:rsidRPr="00286216" w:rsidRDefault="00630147" w:rsidP="00630147">
            <w:pPr>
              <w:pStyle w:val="StyleZakonu"/>
              <w:rPr>
                <w:color w:val="000000" w:themeColor="text1"/>
              </w:rPr>
            </w:pPr>
            <w:r w:rsidRPr="00286216">
              <w:rPr>
                <w:color w:val="000000" w:themeColor="text1"/>
              </w:rPr>
              <w:t>б) слова "біржової сесії" в усіх відмінках замінити словами "регулярних торгах" у відповідному відмінку;</w:t>
            </w:r>
          </w:p>
        </w:tc>
        <w:tc>
          <w:tcPr>
            <w:tcW w:w="3686" w:type="dxa"/>
          </w:tcPr>
          <w:p w14:paraId="444D72E8" w14:textId="77777777" w:rsidR="00630147" w:rsidRPr="00286216" w:rsidRDefault="00630147" w:rsidP="00630147">
            <w:pPr>
              <w:pStyle w:val="StyleProp"/>
              <w:rPr>
                <w:color w:val="000000" w:themeColor="text1"/>
                <w:szCs w:val="18"/>
              </w:rPr>
            </w:pPr>
          </w:p>
        </w:tc>
        <w:tc>
          <w:tcPr>
            <w:tcW w:w="1987" w:type="dxa"/>
          </w:tcPr>
          <w:p w14:paraId="6A3E0F76" w14:textId="77777777" w:rsidR="00630147" w:rsidRPr="00286216" w:rsidRDefault="00630147" w:rsidP="00630147">
            <w:pPr>
              <w:pStyle w:val="StyleWisnow"/>
              <w:rPr>
                <w:color w:val="000000" w:themeColor="text1"/>
              </w:rPr>
            </w:pPr>
          </w:p>
        </w:tc>
        <w:tc>
          <w:tcPr>
            <w:tcW w:w="4818" w:type="dxa"/>
          </w:tcPr>
          <w:p w14:paraId="69E41242" w14:textId="73D0C600" w:rsidR="00630147" w:rsidRPr="00286216" w:rsidRDefault="00630147" w:rsidP="00630147">
            <w:pPr>
              <w:pStyle w:val="StyleZakonu"/>
              <w:rPr>
                <w:color w:val="000000" w:themeColor="text1"/>
              </w:rPr>
            </w:pPr>
            <w:r w:rsidRPr="00286216">
              <w:rPr>
                <w:color w:val="000000" w:themeColor="text1"/>
              </w:rPr>
              <w:t>б) слова "біржової сесії" в усіх відмінках замінити словами "регулярних торгах" у відповідному відмінку;</w:t>
            </w:r>
          </w:p>
        </w:tc>
      </w:tr>
      <w:tr w:rsidR="00630147" w:rsidRPr="00286216" w14:paraId="0A80AED9" w14:textId="77777777" w:rsidTr="00091AA5">
        <w:tc>
          <w:tcPr>
            <w:tcW w:w="576" w:type="dxa"/>
          </w:tcPr>
          <w:p w14:paraId="487F5014" w14:textId="77777777" w:rsidR="00630147" w:rsidRPr="00286216" w:rsidRDefault="00630147" w:rsidP="00630147">
            <w:pPr>
              <w:pStyle w:val="StyleWisnow"/>
              <w:rPr>
                <w:color w:val="000000" w:themeColor="text1"/>
              </w:rPr>
            </w:pPr>
            <w:bookmarkStart w:id="3231" w:name="n3361" w:colFirst="0" w:colLast="0"/>
            <w:bookmarkEnd w:id="3230"/>
            <w:r w:rsidRPr="00286216">
              <w:rPr>
                <w:color w:val="000000" w:themeColor="text1"/>
              </w:rPr>
              <w:t>3361.</w:t>
            </w:r>
          </w:p>
        </w:tc>
        <w:tc>
          <w:tcPr>
            <w:tcW w:w="4818" w:type="dxa"/>
          </w:tcPr>
          <w:p w14:paraId="572FDB51" w14:textId="77777777" w:rsidR="00630147" w:rsidRPr="00286216" w:rsidRDefault="00630147" w:rsidP="00630147">
            <w:pPr>
              <w:pStyle w:val="StyleZakonu"/>
              <w:rPr>
                <w:color w:val="000000" w:themeColor="text1"/>
              </w:rPr>
            </w:pPr>
            <w:r w:rsidRPr="00286216">
              <w:rPr>
                <w:color w:val="000000" w:themeColor="text1"/>
              </w:rPr>
              <w:t>в) слова "біржового ринку" в усіх відмінках замінити словами "організованого товарного ринку" у відповідному відмінку;</w:t>
            </w:r>
          </w:p>
        </w:tc>
        <w:tc>
          <w:tcPr>
            <w:tcW w:w="3686" w:type="dxa"/>
          </w:tcPr>
          <w:p w14:paraId="61FD9A46" w14:textId="77777777" w:rsidR="00630147" w:rsidRPr="00286216" w:rsidRDefault="00630147" w:rsidP="00630147">
            <w:pPr>
              <w:pStyle w:val="StyleProp"/>
              <w:rPr>
                <w:color w:val="000000" w:themeColor="text1"/>
                <w:szCs w:val="18"/>
              </w:rPr>
            </w:pPr>
          </w:p>
        </w:tc>
        <w:tc>
          <w:tcPr>
            <w:tcW w:w="1987" w:type="dxa"/>
          </w:tcPr>
          <w:p w14:paraId="59146631" w14:textId="77777777" w:rsidR="00630147" w:rsidRPr="00286216" w:rsidRDefault="00630147" w:rsidP="00630147">
            <w:pPr>
              <w:pStyle w:val="StyleWisnow"/>
              <w:rPr>
                <w:color w:val="000000" w:themeColor="text1"/>
              </w:rPr>
            </w:pPr>
          </w:p>
        </w:tc>
        <w:tc>
          <w:tcPr>
            <w:tcW w:w="4818" w:type="dxa"/>
          </w:tcPr>
          <w:p w14:paraId="7EA13BD1" w14:textId="28BEA904" w:rsidR="00630147" w:rsidRPr="00286216" w:rsidRDefault="00630147" w:rsidP="00630147">
            <w:pPr>
              <w:pStyle w:val="StyleZakonu"/>
              <w:rPr>
                <w:color w:val="000000" w:themeColor="text1"/>
              </w:rPr>
            </w:pPr>
            <w:r w:rsidRPr="00286216">
              <w:rPr>
                <w:color w:val="000000" w:themeColor="text1"/>
              </w:rPr>
              <w:t>в) слова "біржового ринку" в усіх відмінках замінити словами "організованого товарного ринку" у відповідному відмінку;</w:t>
            </w:r>
          </w:p>
        </w:tc>
      </w:tr>
      <w:tr w:rsidR="00630147" w:rsidRPr="00286216" w14:paraId="6A14D1C3" w14:textId="77777777" w:rsidTr="00091AA5">
        <w:tc>
          <w:tcPr>
            <w:tcW w:w="576" w:type="dxa"/>
          </w:tcPr>
          <w:p w14:paraId="05C0804B" w14:textId="77777777" w:rsidR="00630147" w:rsidRPr="00286216" w:rsidRDefault="00630147" w:rsidP="00630147">
            <w:pPr>
              <w:pStyle w:val="StyleWisnow"/>
              <w:rPr>
                <w:color w:val="000000" w:themeColor="text1"/>
              </w:rPr>
            </w:pPr>
            <w:bookmarkStart w:id="3232" w:name="n3362" w:colFirst="0" w:colLast="0"/>
            <w:bookmarkEnd w:id="3231"/>
            <w:r w:rsidRPr="00286216">
              <w:rPr>
                <w:color w:val="000000" w:themeColor="text1"/>
              </w:rPr>
              <w:t>3362.</w:t>
            </w:r>
          </w:p>
        </w:tc>
        <w:tc>
          <w:tcPr>
            <w:tcW w:w="4818" w:type="dxa"/>
          </w:tcPr>
          <w:p w14:paraId="45067F55" w14:textId="77777777" w:rsidR="00630147" w:rsidRPr="00286216" w:rsidRDefault="00630147" w:rsidP="00630147">
            <w:pPr>
              <w:pStyle w:val="StyleZakonu"/>
              <w:rPr>
                <w:color w:val="000000" w:themeColor="text1"/>
              </w:rPr>
            </w:pPr>
            <w:r w:rsidRPr="00286216">
              <w:rPr>
                <w:color w:val="000000" w:themeColor="text1"/>
              </w:rPr>
              <w:t>г) слова "біржові торги" в усіх відмінках замінити словами "регулярні торги" у відповідному відмінку;</w:t>
            </w:r>
          </w:p>
        </w:tc>
        <w:tc>
          <w:tcPr>
            <w:tcW w:w="3686" w:type="dxa"/>
          </w:tcPr>
          <w:p w14:paraId="254FC1AA" w14:textId="77777777" w:rsidR="00630147" w:rsidRPr="00286216" w:rsidRDefault="00630147" w:rsidP="00630147">
            <w:pPr>
              <w:pStyle w:val="StyleProp"/>
              <w:rPr>
                <w:color w:val="000000" w:themeColor="text1"/>
                <w:szCs w:val="18"/>
              </w:rPr>
            </w:pPr>
          </w:p>
        </w:tc>
        <w:tc>
          <w:tcPr>
            <w:tcW w:w="1987" w:type="dxa"/>
          </w:tcPr>
          <w:p w14:paraId="7FC54BCE" w14:textId="77777777" w:rsidR="00630147" w:rsidRPr="00286216" w:rsidRDefault="00630147" w:rsidP="00630147">
            <w:pPr>
              <w:pStyle w:val="StyleWisnow"/>
              <w:rPr>
                <w:color w:val="000000" w:themeColor="text1"/>
              </w:rPr>
            </w:pPr>
          </w:p>
        </w:tc>
        <w:tc>
          <w:tcPr>
            <w:tcW w:w="4818" w:type="dxa"/>
          </w:tcPr>
          <w:p w14:paraId="4EFA0EC1" w14:textId="4176D59B" w:rsidR="00630147" w:rsidRPr="00286216" w:rsidRDefault="00630147" w:rsidP="00630147">
            <w:pPr>
              <w:pStyle w:val="StyleZakonu"/>
              <w:rPr>
                <w:color w:val="000000" w:themeColor="text1"/>
              </w:rPr>
            </w:pPr>
            <w:r w:rsidRPr="00286216">
              <w:rPr>
                <w:color w:val="000000" w:themeColor="text1"/>
              </w:rPr>
              <w:t>г) слова "біржові торги" в усіх відмінках замінити словами "регулярні торги" у відповідному відмінку;</w:t>
            </w:r>
          </w:p>
        </w:tc>
      </w:tr>
      <w:tr w:rsidR="00630147" w:rsidRPr="00286216" w14:paraId="4D50AE38" w14:textId="77777777" w:rsidTr="00091AA5">
        <w:tc>
          <w:tcPr>
            <w:tcW w:w="576" w:type="dxa"/>
          </w:tcPr>
          <w:p w14:paraId="3BC002E7" w14:textId="77777777" w:rsidR="00630147" w:rsidRPr="00286216" w:rsidRDefault="00630147" w:rsidP="00630147">
            <w:pPr>
              <w:pStyle w:val="StyleWisnow"/>
              <w:rPr>
                <w:color w:val="000000" w:themeColor="text1"/>
              </w:rPr>
            </w:pPr>
            <w:bookmarkStart w:id="3233" w:name="n3363" w:colFirst="0" w:colLast="0"/>
            <w:bookmarkEnd w:id="3232"/>
            <w:r w:rsidRPr="00286216">
              <w:rPr>
                <w:color w:val="000000" w:themeColor="text1"/>
              </w:rPr>
              <w:t>3363.</w:t>
            </w:r>
          </w:p>
        </w:tc>
        <w:tc>
          <w:tcPr>
            <w:tcW w:w="4818" w:type="dxa"/>
          </w:tcPr>
          <w:p w14:paraId="503C2252" w14:textId="77777777" w:rsidR="00630147" w:rsidRPr="00286216" w:rsidRDefault="00630147" w:rsidP="00630147">
            <w:pPr>
              <w:pStyle w:val="StyleZakonu"/>
              <w:rPr>
                <w:color w:val="000000" w:themeColor="text1"/>
              </w:rPr>
            </w:pPr>
            <w:r w:rsidRPr="00286216">
              <w:rPr>
                <w:color w:val="000000" w:themeColor="text1"/>
              </w:rPr>
              <w:t>ґ) підпункт а) пункту 7.3.1 виключити;</w:t>
            </w:r>
          </w:p>
        </w:tc>
        <w:tc>
          <w:tcPr>
            <w:tcW w:w="3686" w:type="dxa"/>
          </w:tcPr>
          <w:p w14:paraId="2DFD8BCA" w14:textId="77777777" w:rsidR="00630147" w:rsidRPr="00286216" w:rsidRDefault="00630147" w:rsidP="00630147">
            <w:pPr>
              <w:pStyle w:val="StyleProp"/>
              <w:rPr>
                <w:color w:val="000000" w:themeColor="text1"/>
                <w:szCs w:val="18"/>
              </w:rPr>
            </w:pPr>
          </w:p>
        </w:tc>
        <w:tc>
          <w:tcPr>
            <w:tcW w:w="1987" w:type="dxa"/>
          </w:tcPr>
          <w:p w14:paraId="72E8A2B7" w14:textId="77777777" w:rsidR="00630147" w:rsidRPr="00286216" w:rsidRDefault="00630147" w:rsidP="00630147">
            <w:pPr>
              <w:pStyle w:val="StyleWisnow"/>
              <w:rPr>
                <w:color w:val="000000" w:themeColor="text1"/>
              </w:rPr>
            </w:pPr>
          </w:p>
        </w:tc>
        <w:tc>
          <w:tcPr>
            <w:tcW w:w="4818" w:type="dxa"/>
          </w:tcPr>
          <w:p w14:paraId="61B73A9E" w14:textId="5D5DF3DD" w:rsidR="00630147" w:rsidRPr="00286216" w:rsidRDefault="00630147" w:rsidP="00630147">
            <w:pPr>
              <w:pStyle w:val="StyleZakonu"/>
              <w:rPr>
                <w:color w:val="000000" w:themeColor="text1"/>
              </w:rPr>
            </w:pPr>
            <w:r w:rsidRPr="00286216">
              <w:rPr>
                <w:color w:val="000000" w:themeColor="text1"/>
              </w:rPr>
              <w:t>ґ) підпункт «а» пункту 7.3.1 виключити;</w:t>
            </w:r>
          </w:p>
        </w:tc>
      </w:tr>
      <w:tr w:rsidR="00630147" w:rsidRPr="00286216" w14:paraId="0C96BA9B" w14:textId="77777777" w:rsidTr="00091AA5">
        <w:tc>
          <w:tcPr>
            <w:tcW w:w="576" w:type="dxa"/>
          </w:tcPr>
          <w:p w14:paraId="2B38669F" w14:textId="77777777" w:rsidR="00630147" w:rsidRPr="00286216" w:rsidRDefault="00630147" w:rsidP="00630147">
            <w:pPr>
              <w:pStyle w:val="StyleWisnow"/>
              <w:rPr>
                <w:color w:val="000000" w:themeColor="text1"/>
              </w:rPr>
            </w:pPr>
            <w:bookmarkStart w:id="3234" w:name="n3364" w:colFirst="0" w:colLast="0"/>
            <w:bookmarkEnd w:id="3233"/>
            <w:r w:rsidRPr="00286216">
              <w:rPr>
                <w:color w:val="000000" w:themeColor="text1"/>
              </w:rPr>
              <w:t>3364.</w:t>
            </w:r>
          </w:p>
        </w:tc>
        <w:tc>
          <w:tcPr>
            <w:tcW w:w="4818" w:type="dxa"/>
          </w:tcPr>
          <w:p w14:paraId="2DC5B828" w14:textId="77777777" w:rsidR="00630147" w:rsidRPr="00286216" w:rsidRDefault="00630147" w:rsidP="00630147">
            <w:pPr>
              <w:pStyle w:val="StyleZakonu"/>
              <w:rPr>
                <w:color w:val="000000" w:themeColor="text1"/>
              </w:rPr>
            </w:pPr>
            <w:r w:rsidRPr="00286216">
              <w:rPr>
                <w:color w:val="000000" w:themeColor="text1"/>
              </w:rPr>
              <w:t>д) у підпункті б) пункту 7.4.1. слова "біржовій сесії" замінити словами "торговій сесії";</w:t>
            </w:r>
          </w:p>
        </w:tc>
        <w:tc>
          <w:tcPr>
            <w:tcW w:w="3686" w:type="dxa"/>
          </w:tcPr>
          <w:p w14:paraId="15369A92" w14:textId="77777777" w:rsidR="00630147" w:rsidRPr="00286216" w:rsidRDefault="00630147" w:rsidP="00630147">
            <w:pPr>
              <w:pStyle w:val="StyleProp"/>
              <w:rPr>
                <w:color w:val="000000" w:themeColor="text1"/>
                <w:szCs w:val="18"/>
              </w:rPr>
            </w:pPr>
          </w:p>
        </w:tc>
        <w:tc>
          <w:tcPr>
            <w:tcW w:w="1987" w:type="dxa"/>
          </w:tcPr>
          <w:p w14:paraId="6AD483D1" w14:textId="77777777" w:rsidR="00630147" w:rsidRPr="00286216" w:rsidRDefault="00630147" w:rsidP="00630147">
            <w:pPr>
              <w:pStyle w:val="StyleWisnow"/>
              <w:rPr>
                <w:color w:val="000000" w:themeColor="text1"/>
              </w:rPr>
            </w:pPr>
          </w:p>
        </w:tc>
        <w:tc>
          <w:tcPr>
            <w:tcW w:w="4818" w:type="dxa"/>
          </w:tcPr>
          <w:p w14:paraId="75D1CC47" w14:textId="4A2EED36" w:rsidR="00630147" w:rsidRPr="00286216" w:rsidRDefault="00630147" w:rsidP="00630147">
            <w:pPr>
              <w:pStyle w:val="StyleZakonu"/>
              <w:rPr>
                <w:color w:val="000000" w:themeColor="text1"/>
              </w:rPr>
            </w:pPr>
            <w:r w:rsidRPr="00286216">
              <w:rPr>
                <w:color w:val="000000" w:themeColor="text1"/>
              </w:rPr>
              <w:t>д) у підпункті «б» пункту 7.4.1 слова "біржовій сесії" замінити словами "торговій сесії";</w:t>
            </w:r>
          </w:p>
        </w:tc>
      </w:tr>
      <w:tr w:rsidR="00630147" w:rsidRPr="00286216" w14:paraId="00962FF0" w14:textId="77777777" w:rsidTr="00091AA5">
        <w:tc>
          <w:tcPr>
            <w:tcW w:w="576" w:type="dxa"/>
          </w:tcPr>
          <w:p w14:paraId="0D8174B3" w14:textId="77777777" w:rsidR="00630147" w:rsidRPr="00286216" w:rsidRDefault="00630147" w:rsidP="00630147">
            <w:pPr>
              <w:pStyle w:val="StyleWisnow"/>
              <w:rPr>
                <w:color w:val="000000" w:themeColor="text1"/>
              </w:rPr>
            </w:pPr>
            <w:bookmarkStart w:id="3235" w:name="n3365" w:colFirst="0" w:colLast="0"/>
            <w:bookmarkEnd w:id="3234"/>
            <w:r w:rsidRPr="00286216">
              <w:rPr>
                <w:color w:val="000000" w:themeColor="text1"/>
              </w:rPr>
              <w:t>3365.</w:t>
            </w:r>
          </w:p>
        </w:tc>
        <w:tc>
          <w:tcPr>
            <w:tcW w:w="4818" w:type="dxa"/>
          </w:tcPr>
          <w:p w14:paraId="3A66A6D5" w14:textId="77777777" w:rsidR="00630147" w:rsidRPr="00286216" w:rsidRDefault="00630147" w:rsidP="00630147">
            <w:pPr>
              <w:pStyle w:val="StyleZakonu"/>
              <w:rPr>
                <w:color w:val="000000" w:themeColor="text1"/>
              </w:rPr>
            </w:pPr>
            <w:r w:rsidRPr="00286216">
              <w:rPr>
                <w:color w:val="000000" w:themeColor="text1"/>
              </w:rPr>
              <w:t>4) у статті 9:</w:t>
            </w:r>
          </w:p>
        </w:tc>
        <w:tc>
          <w:tcPr>
            <w:tcW w:w="3686" w:type="dxa"/>
          </w:tcPr>
          <w:p w14:paraId="0F1B0EE0" w14:textId="77777777" w:rsidR="00630147" w:rsidRPr="00286216" w:rsidRDefault="00630147" w:rsidP="00630147">
            <w:pPr>
              <w:pStyle w:val="StyleProp"/>
              <w:rPr>
                <w:color w:val="000000" w:themeColor="text1"/>
                <w:szCs w:val="18"/>
              </w:rPr>
            </w:pPr>
          </w:p>
        </w:tc>
        <w:tc>
          <w:tcPr>
            <w:tcW w:w="1987" w:type="dxa"/>
          </w:tcPr>
          <w:p w14:paraId="1C166485" w14:textId="77777777" w:rsidR="00630147" w:rsidRPr="00286216" w:rsidRDefault="00630147" w:rsidP="00630147">
            <w:pPr>
              <w:pStyle w:val="StyleWisnow"/>
              <w:rPr>
                <w:color w:val="000000" w:themeColor="text1"/>
              </w:rPr>
            </w:pPr>
          </w:p>
        </w:tc>
        <w:tc>
          <w:tcPr>
            <w:tcW w:w="4818" w:type="dxa"/>
          </w:tcPr>
          <w:p w14:paraId="221AFE30" w14:textId="47871730" w:rsidR="00630147" w:rsidRPr="00286216" w:rsidRDefault="00630147" w:rsidP="00630147">
            <w:pPr>
              <w:pStyle w:val="StyleZakonu"/>
              <w:rPr>
                <w:color w:val="000000" w:themeColor="text1"/>
              </w:rPr>
            </w:pPr>
            <w:r w:rsidRPr="00286216">
              <w:rPr>
                <w:color w:val="000000" w:themeColor="text1"/>
              </w:rPr>
              <w:t>4) у статті 9:</w:t>
            </w:r>
          </w:p>
        </w:tc>
      </w:tr>
      <w:tr w:rsidR="00630147" w:rsidRPr="00286216" w14:paraId="719C4AA2" w14:textId="77777777" w:rsidTr="00091AA5">
        <w:tc>
          <w:tcPr>
            <w:tcW w:w="576" w:type="dxa"/>
          </w:tcPr>
          <w:p w14:paraId="1CB9BC04" w14:textId="77777777" w:rsidR="00630147" w:rsidRPr="00286216" w:rsidRDefault="00630147" w:rsidP="00630147">
            <w:pPr>
              <w:pStyle w:val="StyleWisnow"/>
              <w:rPr>
                <w:color w:val="000000" w:themeColor="text1"/>
              </w:rPr>
            </w:pPr>
            <w:bookmarkStart w:id="3236" w:name="n3366" w:colFirst="0" w:colLast="0"/>
            <w:bookmarkEnd w:id="3235"/>
            <w:r w:rsidRPr="00286216">
              <w:rPr>
                <w:color w:val="000000" w:themeColor="text1"/>
              </w:rPr>
              <w:t>3366.</w:t>
            </w:r>
          </w:p>
        </w:tc>
        <w:tc>
          <w:tcPr>
            <w:tcW w:w="4818" w:type="dxa"/>
          </w:tcPr>
          <w:p w14:paraId="1C6EB747" w14:textId="77777777" w:rsidR="00630147" w:rsidRPr="00286216" w:rsidRDefault="00630147" w:rsidP="00630147">
            <w:pPr>
              <w:pStyle w:val="StyleZakonu"/>
              <w:rPr>
                <w:color w:val="000000" w:themeColor="text1"/>
              </w:rPr>
            </w:pPr>
            <w:r w:rsidRPr="00286216">
              <w:rPr>
                <w:color w:val="000000" w:themeColor="text1"/>
              </w:rPr>
              <w:t xml:space="preserve">а) у пункті 9.2.3 слова "крім форвардів" замінити </w:t>
            </w:r>
            <w:r w:rsidRPr="00286216">
              <w:rPr>
                <w:color w:val="000000" w:themeColor="text1"/>
              </w:rPr>
              <w:lastRenderedPageBreak/>
              <w:t>словами "крім ф’ючерсів та форвардів";</w:t>
            </w:r>
          </w:p>
        </w:tc>
        <w:tc>
          <w:tcPr>
            <w:tcW w:w="3686" w:type="dxa"/>
          </w:tcPr>
          <w:p w14:paraId="5E79EB41" w14:textId="77777777" w:rsidR="00630147" w:rsidRPr="00286216" w:rsidRDefault="00630147" w:rsidP="00630147">
            <w:pPr>
              <w:pStyle w:val="StyleProp"/>
              <w:rPr>
                <w:color w:val="000000" w:themeColor="text1"/>
                <w:szCs w:val="18"/>
              </w:rPr>
            </w:pPr>
          </w:p>
        </w:tc>
        <w:tc>
          <w:tcPr>
            <w:tcW w:w="1987" w:type="dxa"/>
          </w:tcPr>
          <w:p w14:paraId="0643179D" w14:textId="77777777" w:rsidR="00630147" w:rsidRPr="00286216" w:rsidRDefault="00630147" w:rsidP="00630147">
            <w:pPr>
              <w:pStyle w:val="StyleWisnow"/>
              <w:rPr>
                <w:color w:val="000000" w:themeColor="text1"/>
              </w:rPr>
            </w:pPr>
          </w:p>
        </w:tc>
        <w:tc>
          <w:tcPr>
            <w:tcW w:w="4818" w:type="dxa"/>
          </w:tcPr>
          <w:p w14:paraId="56ED888C" w14:textId="7A9471E0" w:rsidR="00630147" w:rsidRPr="00286216" w:rsidRDefault="00630147" w:rsidP="00630147">
            <w:pPr>
              <w:pStyle w:val="StyleZakonu"/>
              <w:rPr>
                <w:color w:val="000000" w:themeColor="text1"/>
              </w:rPr>
            </w:pPr>
            <w:r w:rsidRPr="00286216">
              <w:rPr>
                <w:color w:val="000000" w:themeColor="text1"/>
              </w:rPr>
              <w:t xml:space="preserve">а) у підпункті 9.2.3 слова "крім форвардів" </w:t>
            </w:r>
            <w:r w:rsidRPr="00286216">
              <w:rPr>
                <w:color w:val="000000" w:themeColor="text1"/>
              </w:rPr>
              <w:lastRenderedPageBreak/>
              <w:t>замінити словами "крім ф’ючерсів та форвардів";</w:t>
            </w:r>
          </w:p>
        </w:tc>
      </w:tr>
      <w:tr w:rsidR="00630147" w:rsidRPr="00286216" w14:paraId="4F7BE253" w14:textId="77777777" w:rsidTr="00091AA5">
        <w:tc>
          <w:tcPr>
            <w:tcW w:w="576" w:type="dxa"/>
          </w:tcPr>
          <w:p w14:paraId="13E818A6" w14:textId="77777777" w:rsidR="00630147" w:rsidRPr="00286216" w:rsidRDefault="00630147" w:rsidP="00630147">
            <w:pPr>
              <w:pStyle w:val="StyleWisnow"/>
              <w:rPr>
                <w:color w:val="000000" w:themeColor="text1"/>
              </w:rPr>
            </w:pPr>
            <w:bookmarkStart w:id="3237" w:name="n3367" w:colFirst="0" w:colLast="0"/>
            <w:bookmarkEnd w:id="3236"/>
            <w:r w:rsidRPr="00286216">
              <w:rPr>
                <w:color w:val="000000" w:themeColor="text1"/>
              </w:rPr>
              <w:lastRenderedPageBreak/>
              <w:t>3367.</w:t>
            </w:r>
          </w:p>
        </w:tc>
        <w:tc>
          <w:tcPr>
            <w:tcW w:w="4818" w:type="dxa"/>
          </w:tcPr>
          <w:p w14:paraId="4A064C14" w14:textId="77777777" w:rsidR="00630147" w:rsidRPr="00286216" w:rsidRDefault="00630147" w:rsidP="00630147">
            <w:pPr>
              <w:pStyle w:val="StyleZakonu"/>
              <w:rPr>
                <w:color w:val="000000" w:themeColor="text1"/>
              </w:rPr>
            </w:pPr>
            <w:r w:rsidRPr="00286216">
              <w:rPr>
                <w:color w:val="000000" w:themeColor="text1"/>
              </w:rPr>
              <w:t>б) пункт 9.2.5 викласти в такій редакції:</w:t>
            </w:r>
          </w:p>
        </w:tc>
        <w:tc>
          <w:tcPr>
            <w:tcW w:w="3686" w:type="dxa"/>
          </w:tcPr>
          <w:p w14:paraId="6EA188CF" w14:textId="77777777" w:rsidR="00630147" w:rsidRPr="00286216" w:rsidRDefault="00630147" w:rsidP="00630147">
            <w:pPr>
              <w:pStyle w:val="StyleProp"/>
              <w:rPr>
                <w:color w:val="000000" w:themeColor="text1"/>
                <w:szCs w:val="18"/>
              </w:rPr>
            </w:pPr>
          </w:p>
        </w:tc>
        <w:tc>
          <w:tcPr>
            <w:tcW w:w="1987" w:type="dxa"/>
          </w:tcPr>
          <w:p w14:paraId="460A5C78" w14:textId="77777777" w:rsidR="00630147" w:rsidRPr="00286216" w:rsidRDefault="00630147" w:rsidP="00630147">
            <w:pPr>
              <w:pStyle w:val="StyleWisnow"/>
              <w:rPr>
                <w:color w:val="000000" w:themeColor="text1"/>
              </w:rPr>
            </w:pPr>
          </w:p>
        </w:tc>
        <w:tc>
          <w:tcPr>
            <w:tcW w:w="4818" w:type="dxa"/>
          </w:tcPr>
          <w:p w14:paraId="168A3765" w14:textId="05FB4EA4" w:rsidR="00630147" w:rsidRPr="00286216" w:rsidRDefault="00630147" w:rsidP="00630147">
            <w:pPr>
              <w:pStyle w:val="StyleZakonu"/>
              <w:rPr>
                <w:color w:val="000000" w:themeColor="text1"/>
              </w:rPr>
            </w:pPr>
            <w:r w:rsidRPr="00286216">
              <w:rPr>
                <w:color w:val="000000" w:themeColor="text1"/>
              </w:rPr>
              <w:t>б) підпункт 9.2.5 викласти в такій редакції:</w:t>
            </w:r>
          </w:p>
        </w:tc>
      </w:tr>
      <w:tr w:rsidR="00630147" w:rsidRPr="00286216" w14:paraId="11C448D2" w14:textId="77777777" w:rsidTr="00091AA5">
        <w:tc>
          <w:tcPr>
            <w:tcW w:w="576" w:type="dxa"/>
          </w:tcPr>
          <w:p w14:paraId="5EA672AD" w14:textId="77777777" w:rsidR="00630147" w:rsidRPr="00286216" w:rsidRDefault="00630147" w:rsidP="00630147">
            <w:pPr>
              <w:pStyle w:val="StyleWisnow"/>
              <w:rPr>
                <w:color w:val="000000" w:themeColor="text1"/>
              </w:rPr>
            </w:pPr>
            <w:bookmarkStart w:id="3238" w:name="n3368" w:colFirst="0" w:colLast="0"/>
            <w:bookmarkEnd w:id="3237"/>
            <w:r w:rsidRPr="00286216">
              <w:rPr>
                <w:color w:val="000000" w:themeColor="text1"/>
              </w:rPr>
              <w:t>3368.</w:t>
            </w:r>
          </w:p>
        </w:tc>
        <w:tc>
          <w:tcPr>
            <w:tcW w:w="4818" w:type="dxa"/>
          </w:tcPr>
          <w:p w14:paraId="328A3F99" w14:textId="77777777" w:rsidR="00630147" w:rsidRPr="00286216" w:rsidRDefault="00630147" w:rsidP="00630147">
            <w:pPr>
              <w:pStyle w:val="StyleZakonu"/>
              <w:rPr>
                <w:color w:val="000000" w:themeColor="text1"/>
              </w:rPr>
            </w:pPr>
            <w:r w:rsidRPr="00286216">
              <w:rPr>
                <w:color w:val="000000" w:themeColor="text1"/>
              </w:rPr>
              <w:t>"9.2.5. Для цілей цього пункту спекулятивними вважаються операції з придбання товару (укладення товарного деривативного контракту) з метою продажу такого самого товару (укладення товарного деривативного контракту з протилежною позицією) з будь-якими цілями, відмінними від цілей цього Закону.";</w:t>
            </w:r>
          </w:p>
        </w:tc>
        <w:tc>
          <w:tcPr>
            <w:tcW w:w="3686" w:type="dxa"/>
          </w:tcPr>
          <w:p w14:paraId="7CB6A7DF" w14:textId="77777777" w:rsidR="00630147" w:rsidRPr="00286216" w:rsidRDefault="00630147" w:rsidP="00630147">
            <w:pPr>
              <w:pStyle w:val="StyleProp"/>
              <w:rPr>
                <w:color w:val="000000" w:themeColor="text1"/>
                <w:szCs w:val="18"/>
              </w:rPr>
            </w:pPr>
          </w:p>
        </w:tc>
        <w:tc>
          <w:tcPr>
            <w:tcW w:w="1987" w:type="dxa"/>
          </w:tcPr>
          <w:p w14:paraId="0653074F" w14:textId="77777777" w:rsidR="00630147" w:rsidRPr="00286216" w:rsidRDefault="00630147" w:rsidP="00630147">
            <w:pPr>
              <w:pStyle w:val="StyleWisnow"/>
              <w:rPr>
                <w:color w:val="000000" w:themeColor="text1"/>
              </w:rPr>
            </w:pPr>
          </w:p>
        </w:tc>
        <w:tc>
          <w:tcPr>
            <w:tcW w:w="4818" w:type="dxa"/>
          </w:tcPr>
          <w:p w14:paraId="3A4C0764" w14:textId="6EEFBDE6" w:rsidR="00630147" w:rsidRPr="00286216" w:rsidRDefault="00630147" w:rsidP="00630147">
            <w:pPr>
              <w:pStyle w:val="StyleZakonu"/>
              <w:rPr>
                <w:color w:val="000000" w:themeColor="text1"/>
              </w:rPr>
            </w:pPr>
            <w:r w:rsidRPr="00286216">
              <w:rPr>
                <w:color w:val="000000" w:themeColor="text1"/>
              </w:rPr>
              <w:t>"9.2.5. Для цілей цього пункту спекулятивними вважаються операції з придбання товару (укладення товарного деривативного контракту) з метою продажу такого самого товару (укладення товарного деривативного контракту з протилежною позицією) з будь-якими цілями, відмінними від цілей цього Закону";</w:t>
            </w:r>
          </w:p>
        </w:tc>
      </w:tr>
      <w:tr w:rsidR="00630147" w:rsidRPr="00286216" w14:paraId="74F28351" w14:textId="77777777" w:rsidTr="00091AA5">
        <w:tc>
          <w:tcPr>
            <w:tcW w:w="576" w:type="dxa"/>
          </w:tcPr>
          <w:p w14:paraId="322A4A53" w14:textId="77777777" w:rsidR="00630147" w:rsidRPr="00286216" w:rsidRDefault="00630147" w:rsidP="00630147">
            <w:pPr>
              <w:pStyle w:val="StyleWisnow"/>
              <w:rPr>
                <w:color w:val="000000" w:themeColor="text1"/>
              </w:rPr>
            </w:pPr>
            <w:bookmarkStart w:id="3239" w:name="n3369" w:colFirst="0" w:colLast="0"/>
            <w:bookmarkEnd w:id="3238"/>
            <w:r w:rsidRPr="00286216">
              <w:rPr>
                <w:color w:val="000000" w:themeColor="text1"/>
              </w:rPr>
              <w:t>3369.</w:t>
            </w:r>
          </w:p>
        </w:tc>
        <w:tc>
          <w:tcPr>
            <w:tcW w:w="4818" w:type="dxa"/>
          </w:tcPr>
          <w:p w14:paraId="1B72282C" w14:textId="77777777" w:rsidR="00630147" w:rsidRPr="00286216" w:rsidRDefault="00630147" w:rsidP="00630147">
            <w:pPr>
              <w:pStyle w:val="StyleZakonu"/>
              <w:rPr>
                <w:color w:val="000000" w:themeColor="text1"/>
              </w:rPr>
            </w:pPr>
            <w:r w:rsidRPr="00286216">
              <w:rPr>
                <w:color w:val="000000" w:themeColor="text1"/>
              </w:rPr>
              <w:t>5) у статті 17:</w:t>
            </w:r>
          </w:p>
        </w:tc>
        <w:tc>
          <w:tcPr>
            <w:tcW w:w="3686" w:type="dxa"/>
          </w:tcPr>
          <w:p w14:paraId="057BE78B" w14:textId="77777777" w:rsidR="00630147" w:rsidRPr="00286216" w:rsidRDefault="00630147" w:rsidP="00630147">
            <w:pPr>
              <w:pStyle w:val="StyleProp"/>
              <w:rPr>
                <w:color w:val="000000" w:themeColor="text1"/>
                <w:szCs w:val="18"/>
              </w:rPr>
            </w:pPr>
          </w:p>
        </w:tc>
        <w:tc>
          <w:tcPr>
            <w:tcW w:w="1987" w:type="dxa"/>
          </w:tcPr>
          <w:p w14:paraId="7D6E84E0" w14:textId="77777777" w:rsidR="00630147" w:rsidRPr="00286216" w:rsidRDefault="00630147" w:rsidP="00630147">
            <w:pPr>
              <w:pStyle w:val="StyleWisnow"/>
              <w:rPr>
                <w:color w:val="000000" w:themeColor="text1"/>
              </w:rPr>
            </w:pPr>
          </w:p>
        </w:tc>
        <w:tc>
          <w:tcPr>
            <w:tcW w:w="4818" w:type="dxa"/>
          </w:tcPr>
          <w:p w14:paraId="13EC8D39" w14:textId="21E22F4B" w:rsidR="00630147" w:rsidRPr="00286216" w:rsidRDefault="00630147" w:rsidP="00630147">
            <w:pPr>
              <w:pStyle w:val="StyleZakonu"/>
              <w:rPr>
                <w:color w:val="000000" w:themeColor="text1"/>
              </w:rPr>
            </w:pPr>
            <w:r w:rsidRPr="00286216">
              <w:rPr>
                <w:color w:val="000000" w:themeColor="text1"/>
              </w:rPr>
              <w:t>5) у статті 17:</w:t>
            </w:r>
          </w:p>
        </w:tc>
      </w:tr>
      <w:tr w:rsidR="00630147" w:rsidRPr="00286216" w14:paraId="5AE374DB" w14:textId="77777777" w:rsidTr="00091AA5">
        <w:tc>
          <w:tcPr>
            <w:tcW w:w="576" w:type="dxa"/>
          </w:tcPr>
          <w:p w14:paraId="16A4C2CC" w14:textId="77777777" w:rsidR="00630147" w:rsidRPr="00286216" w:rsidRDefault="00630147" w:rsidP="00630147">
            <w:pPr>
              <w:pStyle w:val="StyleWisnow"/>
              <w:rPr>
                <w:color w:val="000000" w:themeColor="text1"/>
              </w:rPr>
            </w:pPr>
            <w:bookmarkStart w:id="3240" w:name="n3370" w:colFirst="0" w:colLast="0"/>
            <w:bookmarkEnd w:id="3239"/>
            <w:r w:rsidRPr="00286216">
              <w:rPr>
                <w:color w:val="000000" w:themeColor="text1"/>
              </w:rPr>
              <w:t>3370.</w:t>
            </w:r>
          </w:p>
        </w:tc>
        <w:tc>
          <w:tcPr>
            <w:tcW w:w="4818" w:type="dxa"/>
          </w:tcPr>
          <w:p w14:paraId="49D1D610" w14:textId="77777777" w:rsidR="00630147" w:rsidRPr="00286216" w:rsidRDefault="00630147" w:rsidP="00630147">
            <w:pPr>
              <w:pStyle w:val="StyleZakonu"/>
              <w:rPr>
                <w:color w:val="000000" w:themeColor="text1"/>
              </w:rPr>
            </w:pPr>
            <w:r w:rsidRPr="00286216">
              <w:rPr>
                <w:color w:val="000000" w:themeColor="text1"/>
              </w:rPr>
              <w:t>а) пункту 17.1 викласти в такій редакції:</w:t>
            </w:r>
          </w:p>
        </w:tc>
        <w:tc>
          <w:tcPr>
            <w:tcW w:w="3686" w:type="dxa"/>
          </w:tcPr>
          <w:p w14:paraId="120E085F" w14:textId="77777777" w:rsidR="00630147" w:rsidRPr="00286216" w:rsidRDefault="00630147" w:rsidP="00630147">
            <w:pPr>
              <w:pStyle w:val="StyleProp"/>
              <w:rPr>
                <w:color w:val="000000" w:themeColor="text1"/>
                <w:szCs w:val="18"/>
              </w:rPr>
            </w:pPr>
          </w:p>
        </w:tc>
        <w:tc>
          <w:tcPr>
            <w:tcW w:w="1987" w:type="dxa"/>
          </w:tcPr>
          <w:p w14:paraId="3F63CED9" w14:textId="77777777" w:rsidR="00630147" w:rsidRPr="00286216" w:rsidRDefault="00630147" w:rsidP="00630147">
            <w:pPr>
              <w:pStyle w:val="StyleWisnow"/>
              <w:rPr>
                <w:color w:val="000000" w:themeColor="text1"/>
              </w:rPr>
            </w:pPr>
          </w:p>
        </w:tc>
        <w:tc>
          <w:tcPr>
            <w:tcW w:w="4818" w:type="dxa"/>
          </w:tcPr>
          <w:p w14:paraId="7303265B" w14:textId="2B8D81CF" w:rsidR="00630147" w:rsidRPr="00286216" w:rsidRDefault="00630147" w:rsidP="00630147">
            <w:pPr>
              <w:pStyle w:val="StyleZakonu"/>
              <w:rPr>
                <w:color w:val="000000" w:themeColor="text1"/>
              </w:rPr>
            </w:pPr>
            <w:r w:rsidRPr="00286216">
              <w:rPr>
                <w:color w:val="000000" w:themeColor="text1"/>
              </w:rPr>
              <w:t>а) пункту 17.1 викласти в такій редакції:</w:t>
            </w:r>
          </w:p>
        </w:tc>
      </w:tr>
      <w:tr w:rsidR="00630147" w:rsidRPr="00286216" w14:paraId="7028D21B" w14:textId="77777777" w:rsidTr="00091AA5">
        <w:tc>
          <w:tcPr>
            <w:tcW w:w="576" w:type="dxa"/>
          </w:tcPr>
          <w:p w14:paraId="6306E2E1" w14:textId="77777777" w:rsidR="00630147" w:rsidRPr="00286216" w:rsidRDefault="00630147" w:rsidP="00630147">
            <w:pPr>
              <w:pStyle w:val="StyleWisnow"/>
              <w:rPr>
                <w:color w:val="000000" w:themeColor="text1"/>
              </w:rPr>
            </w:pPr>
            <w:bookmarkStart w:id="3241" w:name="n3371" w:colFirst="0" w:colLast="0"/>
            <w:bookmarkEnd w:id="3240"/>
            <w:r w:rsidRPr="00286216">
              <w:rPr>
                <w:color w:val="000000" w:themeColor="text1"/>
              </w:rPr>
              <w:t>3371.</w:t>
            </w:r>
          </w:p>
        </w:tc>
        <w:tc>
          <w:tcPr>
            <w:tcW w:w="4818" w:type="dxa"/>
          </w:tcPr>
          <w:p w14:paraId="1A3AAC1B" w14:textId="77777777" w:rsidR="00630147" w:rsidRPr="00286216" w:rsidRDefault="00630147" w:rsidP="00630147">
            <w:pPr>
              <w:pStyle w:val="StyleZakonu"/>
              <w:rPr>
                <w:color w:val="000000" w:themeColor="text1"/>
              </w:rPr>
            </w:pPr>
            <w:r w:rsidRPr="00286216">
              <w:rPr>
                <w:color w:val="000000" w:themeColor="text1"/>
              </w:rPr>
              <w:t>"17.1. Аграрна біржа функціонує у формі акціонерного товариства. Засновником Аграрної біржі може бути Кабінет Міністрів України.";</w:t>
            </w:r>
          </w:p>
        </w:tc>
        <w:tc>
          <w:tcPr>
            <w:tcW w:w="3686" w:type="dxa"/>
          </w:tcPr>
          <w:p w14:paraId="57E93D88" w14:textId="77777777" w:rsidR="00630147" w:rsidRPr="00286216" w:rsidRDefault="00630147" w:rsidP="00630147">
            <w:pPr>
              <w:pStyle w:val="StyleProp"/>
              <w:rPr>
                <w:color w:val="000000" w:themeColor="text1"/>
                <w:szCs w:val="18"/>
              </w:rPr>
            </w:pPr>
          </w:p>
        </w:tc>
        <w:tc>
          <w:tcPr>
            <w:tcW w:w="1987" w:type="dxa"/>
          </w:tcPr>
          <w:p w14:paraId="29EA6D50" w14:textId="77777777" w:rsidR="00630147" w:rsidRPr="00286216" w:rsidRDefault="00630147" w:rsidP="00630147">
            <w:pPr>
              <w:pStyle w:val="StyleWisnow"/>
              <w:rPr>
                <w:color w:val="000000" w:themeColor="text1"/>
              </w:rPr>
            </w:pPr>
          </w:p>
        </w:tc>
        <w:tc>
          <w:tcPr>
            <w:tcW w:w="4818" w:type="dxa"/>
          </w:tcPr>
          <w:p w14:paraId="217066EA" w14:textId="62B5483D" w:rsidR="00630147" w:rsidRPr="00286216" w:rsidRDefault="00630147" w:rsidP="00630147">
            <w:pPr>
              <w:pStyle w:val="StyleZakonu"/>
              <w:rPr>
                <w:color w:val="000000" w:themeColor="text1"/>
              </w:rPr>
            </w:pPr>
            <w:r w:rsidRPr="00286216">
              <w:rPr>
                <w:color w:val="000000" w:themeColor="text1"/>
              </w:rPr>
              <w:t>"17.1. Аграрна біржа функціонує у формі акціонерного товариства. Засновником Аграрної біржі може бути Кабінет Міністрів України.";</w:t>
            </w:r>
          </w:p>
        </w:tc>
      </w:tr>
      <w:tr w:rsidR="00630147" w:rsidRPr="00286216" w14:paraId="14796CF4" w14:textId="77777777" w:rsidTr="00091AA5">
        <w:tc>
          <w:tcPr>
            <w:tcW w:w="576" w:type="dxa"/>
          </w:tcPr>
          <w:p w14:paraId="6911515D" w14:textId="77777777" w:rsidR="00630147" w:rsidRPr="00286216" w:rsidRDefault="00630147" w:rsidP="00630147">
            <w:pPr>
              <w:pStyle w:val="StyleWisnow"/>
              <w:rPr>
                <w:color w:val="000000" w:themeColor="text1"/>
              </w:rPr>
            </w:pPr>
            <w:bookmarkStart w:id="3242" w:name="n3372" w:colFirst="0" w:colLast="0"/>
            <w:bookmarkEnd w:id="3241"/>
            <w:r w:rsidRPr="00286216">
              <w:rPr>
                <w:color w:val="000000" w:themeColor="text1"/>
              </w:rPr>
              <w:t>3372.</w:t>
            </w:r>
          </w:p>
        </w:tc>
        <w:tc>
          <w:tcPr>
            <w:tcW w:w="4818" w:type="dxa"/>
          </w:tcPr>
          <w:p w14:paraId="586B4ADB" w14:textId="77777777" w:rsidR="00630147" w:rsidRPr="00286216" w:rsidRDefault="00630147" w:rsidP="00630147">
            <w:pPr>
              <w:pStyle w:val="StyleZakonu"/>
              <w:rPr>
                <w:color w:val="000000" w:themeColor="text1"/>
              </w:rPr>
            </w:pPr>
            <w:r w:rsidRPr="00286216">
              <w:rPr>
                <w:color w:val="000000" w:themeColor="text1"/>
              </w:rPr>
              <w:t>б) пункти 17.2. -17.6. виключити;</w:t>
            </w:r>
          </w:p>
        </w:tc>
        <w:tc>
          <w:tcPr>
            <w:tcW w:w="3686" w:type="dxa"/>
          </w:tcPr>
          <w:p w14:paraId="272386E1" w14:textId="77777777" w:rsidR="00630147" w:rsidRPr="00286216" w:rsidRDefault="00630147" w:rsidP="00630147">
            <w:pPr>
              <w:pStyle w:val="StyleProp"/>
              <w:rPr>
                <w:color w:val="000000" w:themeColor="text1"/>
                <w:szCs w:val="18"/>
              </w:rPr>
            </w:pPr>
          </w:p>
        </w:tc>
        <w:tc>
          <w:tcPr>
            <w:tcW w:w="1987" w:type="dxa"/>
          </w:tcPr>
          <w:p w14:paraId="18FA3EFB" w14:textId="77777777" w:rsidR="00630147" w:rsidRPr="00286216" w:rsidRDefault="00630147" w:rsidP="00630147">
            <w:pPr>
              <w:pStyle w:val="StyleWisnow"/>
              <w:rPr>
                <w:color w:val="000000" w:themeColor="text1"/>
              </w:rPr>
            </w:pPr>
          </w:p>
        </w:tc>
        <w:tc>
          <w:tcPr>
            <w:tcW w:w="4818" w:type="dxa"/>
          </w:tcPr>
          <w:p w14:paraId="534EE379" w14:textId="48017438" w:rsidR="00630147" w:rsidRPr="00286216" w:rsidRDefault="00630147" w:rsidP="00630147">
            <w:pPr>
              <w:pStyle w:val="StyleZakonu"/>
              <w:rPr>
                <w:color w:val="000000" w:themeColor="text1"/>
              </w:rPr>
            </w:pPr>
            <w:r w:rsidRPr="00286216">
              <w:rPr>
                <w:color w:val="000000" w:themeColor="text1"/>
              </w:rPr>
              <w:t>б) пункти 17.2 -17.6 виключити;</w:t>
            </w:r>
          </w:p>
        </w:tc>
      </w:tr>
      <w:tr w:rsidR="00630147" w:rsidRPr="00286216" w14:paraId="0C9E7220" w14:textId="77777777" w:rsidTr="00091AA5">
        <w:tc>
          <w:tcPr>
            <w:tcW w:w="576" w:type="dxa"/>
          </w:tcPr>
          <w:p w14:paraId="115597DF" w14:textId="77777777" w:rsidR="00630147" w:rsidRPr="00286216" w:rsidRDefault="00630147" w:rsidP="00630147">
            <w:pPr>
              <w:pStyle w:val="StyleWisnow"/>
              <w:rPr>
                <w:color w:val="000000" w:themeColor="text1"/>
              </w:rPr>
            </w:pPr>
            <w:bookmarkStart w:id="3243" w:name="n3373" w:colFirst="0" w:colLast="0"/>
            <w:bookmarkEnd w:id="3242"/>
            <w:r w:rsidRPr="00286216">
              <w:rPr>
                <w:color w:val="000000" w:themeColor="text1"/>
              </w:rPr>
              <w:t>3373.</w:t>
            </w:r>
          </w:p>
        </w:tc>
        <w:tc>
          <w:tcPr>
            <w:tcW w:w="4818" w:type="dxa"/>
          </w:tcPr>
          <w:p w14:paraId="1BB00794" w14:textId="77777777" w:rsidR="00630147" w:rsidRPr="00286216" w:rsidRDefault="00630147" w:rsidP="00630147">
            <w:pPr>
              <w:pStyle w:val="StyleZakonu"/>
              <w:rPr>
                <w:color w:val="000000" w:themeColor="text1"/>
              </w:rPr>
            </w:pPr>
            <w:r w:rsidRPr="00286216">
              <w:rPr>
                <w:color w:val="000000" w:themeColor="text1"/>
              </w:rPr>
              <w:t>в) підпункт "а" пункту 17.7 викласти у такій редакції:</w:t>
            </w:r>
          </w:p>
        </w:tc>
        <w:tc>
          <w:tcPr>
            <w:tcW w:w="3686" w:type="dxa"/>
          </w:tcPr>
          <w:p w14:paraId="4B1F69C5" w14:textId="77777777" w:rsidR="00630147" w:rsidRPr="00286216" w:rsidRDefault="00630147" w:rsidP="00630147">
            <w:pPr>
              <w:pStyle w:val="StyleProp"/>
              <w:rPr>
                <w:color w:val="000000" w:themeColor="text1"/>
                <w:szCs w:val="18"/>
              </w:rPr>
            </w:pPr>
          </w:p>
        </w:tc>
        <w:tc>
          <w:tcPr>
            <w:tcW w:w="1987" w:type="dxa"/>
          </w:tcPr>
          <w:p w14:paraId="0F297C77" w14:textId="77777777" w:rsidR="00630147" w:rsidRPr="00286216" w:rsidRDefault="00630147" w:rsidP="00630147">
            <w:pPr>
              <w:pStyle w:val="StyleWisnow"/>
              <w:rPr>
                <w:color w:val="000000" w:themeColor="text1"/>
              </w:rPr>
            </w:pPr>
          </w:p>
        </w:tc>
        <w:tc>
          <w:tcPr>
            <w:tcW w:w="4818" w:type="dxa"/>
          </w:tcPr>
          <w:p w14:paraId="402C3DBB" w14:textId="77777777" w:rsidR="00630147" w:rsidRPr="00286216" w:rsidRDefault="00630147" w:rsidP="00630147">
            <w:pPr>
              <w:pStyle w:val="StyleZakonu"/>
              <w:rPr>
                <w:color w:val="000000" w:themeColor="text1"/>
              </w:rPr>
            </w:pPr>
            <w:r w:rsidRPr="00286216">
              <w:rPr>
                <w:color w:val="000000" w:themeColor="text1"/>
              </w:rPr>
              <w:t>в) у підпункті 17.7:</w:t>
            </w:r>
          </w:p>
          <w:p w14:paraId="4598A929" w14:textId="7C4900AD" w:rsidR="00630147" w:rsidRPr="00286216" w:rsidRDefault="00630147" w:rsidP="00630147">
            <w:pPr>
              <w:pStyle w:val="StyleZakonu"/>
              <w:rPr>
                <w:color w:val="000000" w:themeColor="text1"/>
              </w:rPr>
            </w:pPr>
            <w:r w:rsidRPr="00286216">
              <w:rPr>
                <w:color w:val="000000" w:themeColor="text1"/>
              </w:rPr>
              <w:t>підпункт "а" викласти в такій редакції:</w:t>
            </w:r>
          </w:p>
        </w:tc>
      </w:tr>
      <w:tr w:rsidR="00630147" w:rsidRPr="00286216" w14:paraId="088FA344" w14:textId="77777777" w:rsidTr="00091AA5">
        <w:tc>
          <w:tcPr>
            <w:tcW w:w="576" w:type="dxa"/>
          </w:tcPr>
          <w:p w14:paraId="358CDC24" w14:textId="77777777" w:rsidR="00630147" w:rsidRPr="00286216" w:rsidRDefault="00630147" w:rsidP="00630147">
            <w:pPr>
              <w:pStyle w:val="StyleWisnow"/>
              <w:rPr>
                <w:color w:val="000000" w:themeColor="text1"/>
              </w:rPr>
            </w:pPr>
            <w:bookmarkStart w:id="3244" w:name="n3374" w:colFirst="0" w:colLast="0"/>
            <w:bookmarkEnd w:id="3243"/>
            <w:r w:rsidRPr="00286216">
              <w:rPr>
                <w:color w:val="000000" w:themeColor="text1"/>
              </w:rPr>
              <w:t>3374.</w:t>
            </w:r>
          </w:p>
        </w:tc>
        <w:tc>
          <w:tcPr>
            <w:tcW w:w="4818" w:type="dxa"/>
          </w:tcPr>
          <w:p w14:paraId="77E6127D" w14:textId="77777777" w:rsidR="00630147" w:rsidRPr="00286216" w:rsidRDefault="00630147" w:rsidP="00630147">
            <w:pPr>
              <w:pStyle w:val="StyleZakonu"/>
              <w:rPr>
                <w:color w:val="000000" w:themeColor="text1"/>
              </w:rPr>
            </w:pPr>
            <w:r w:rsidRPr="00286216">
              <w:rPr>
                <w:color w:val="000000" w:themeColor="text1"/>
              </w:rPr>
              <w:t>"а) у сфері діяльності організованого товарного ринку - Національна комісія з цінних паперів та фондового ринку; ";</w:t>
            </w:r>
          </w:p>
        </w:tc>
        <w:tc>
          <w:tcPr>
            <w:tcW w:w="3686" w:type="dxa"/>
          </w:tcPr>
          <w:p w14:paraId="50603534" w14:textId="77777777" w:rsidR="00630147" w:rsidRPr="00286216" w:rsidRDefault="00630147" w:rsidP="00630147">
            <w:pPr>
              <w:pStyle w:val="StyleProp"/>
              <w:rPr>
                <w:color w:val="000000" w:themeColor="text1"/>
                <w:szCs w:val="18"/>
              </w:rPr>
            </w:pPr>
          </w:p>
        </w:tc>
        <w:tc>
          <w:tcPr>
            <w:tcW w:w="1987" w:type="dxa"/>
          </w:tcPr>
          <w:p w14:paraId="15E5E608" w14:textId="77777777" w:rsidR="00630147" w:rsidRPr="00286216" w:rsidRDefault="00630147" w:rsidP="00630147">
            <w:pPr>
              <w:pStyle w:val="StyleWisnow"/>
              <w:rPr>
                <w:color w:val="000000" w:themeColor="text1"/>
              </w:rPr>
            </w:pPr>
          </w:p>
        </w:tc>
        <w:tc>
          <w:tcPr>
            <w:tcW w:w="4818" w:type="dxa"/>
          </w:tcPr>
          <w:p w14:paraId="2FB68817" w14:textId="3AABF24B" w:rsidR="00630147" w:rsidRPr="00286216" w:rsidRDefault="00630147" w:rsidP="00630147">
            <w:pPr>
              <w:pStyle w:val="StyleZakonu"/>
              <w:rPr>
                <w:color w:val="000000" w:themeColor="text1"/>
              </w:rPr>
            </w:pPr>
            <w:r w:rsidRPr="00286216">
              <w:rPr>
                <w:color w:val="000000" w:themeColor="text1"/>
              </w:rPr>
              <w:t>"а) у сфері діяльності організованого товарного ринку - Національна комісія з цінних паперів та фондового ринку";</w:t>
            </w:r>
          </w:p>
        </w:tc>
      </w:tr>
      <w:tr w:rsidR="00630147" w:rsidRPr="00286216" w14:paraId="11EC9E39" w14:textId="77777777" w:rsidTr="00091AA5">
        <w:tc>
          <w:tcPr>
            <w:tcW w:w="576" w:type="dxa"/>
          </w:tcPr>
          <w:p w14:paraId="09771111" w14:textId="77777777" w:rsidR="00630147" w:rsidRPr="00286216" w:rsidRDefault="00630147" w:rsidP="00630147">
            <w:pPr>
              <w:pStyle w:val="StyleWisnow"/>
              <w:rPr>
                <w:color w:val="000000" w:themeColor="text1"/>
              </w:rPr>
            </w:pPr>
            <w:bookmarkStart w:id="3245" w:name="n3375" w:colFirst="0" w:colLast="0"/>
            <w:bookmarkEnd w:id="3244"/>
            <w:r w:rsidRPr="00286216">
              <w:rPr>
                <w:color w:val="000000" w:themeColor="text1"/>
              </w:rPr>
              <w:t>3375.</w:t>
            </w:r>
          </w:p>
        </w:tc>
        <w:tc>
          <w:tcPr>
            <w:tcW w:w="4818" w:type="dxa"/>
          </w:tcPr>
          <w:p w14:paraId="37D676D8" w14:textId="77777777" w:rsidR="00630147" w:rsidRPr="00286216" w:rsidRDefault="00630147" w:rsidP="00630147">
            <w:pPr>
              <w:pStyle w:val="StyleZakonu"/>
              <w:rPr>
                <w:color w:val="000000" w:themeColor="text1"/>
              </w:rPr>
            </w:pPr>
            <w:r w:rsidRPr="00286216">
              <w:rPr>
                <w:color w:val="000000" w:themeColor="text1"/>
              </w:rPr>
              <w:t>г) підпункт "в" пункту 17.7 виключити;</w:t>
            </w:r>
          </w:p>
        </w:tc>
        <w:tc>
          <w:tcPr>
            <w:tcW w:w="3686" w:type="dxa"/>
          </w:tcPr>
          <w:p w14:paraId="399A02C1" w14:textId="77777777" w:rsidR="00630147" w:rsidRPr="00286216" w:rsidRDefault="00630147" w:rsidP="00630147">
            <w:pPr>
              <w:pStyle w:val="StyleProp"/>
              <w:rPr>
                <w:color w:val="000000" w:themeColor="text1"/>
                <w:szCs w:val="18"/>
              </w:rPr>
            </w:pPr>
          </w:p>
        </w:tc>
        <w:tc>
          <w:tcPr>
            <w:tcW w:w="1987" w:type="dxa"/>
          </w:tcPr>
          <w:p w14:paraId="64686820" w14:textId="77777777" w:rsidR="00630147" w:rsidRPr="00286216" w:rsidRDefault="00630147" w:rsidP="00630147">
            <w:pPr>
              <w:pStyle w:val="StyleWisnow"/>
              <w:rPr>
                <w:color w:val="000000" w:themeColor="text1"/>
              </w:rPr>
            </w:pPr>
          </w:p>
        </w:tc>
        <w:tc>
          <w:tcPr>
            <w:tcW w:w="4818" w:type="dxa"/>
          </w:tcPr>
          <w:p w14:paraId="146F6E71" w14:textId="16EE1A47" w:rsidR="00630147" w:rsidRPr="00286216" w:rsidRDefault="00630147" w:rsidP="00630147">
            <w:pPr>
              <w:pStyle w:val="StyleZakonu"/>
              <w:rPr>
                <w:color w:val="000000" w:themeColor="text1"/>
              </w:rPr>
            </w:pPr>
            <w:r w:rsidRPr="00286216">
              <w:rPr>
                <w:color w:val="000000" w:themeColor="text1"/>
              </w:rPr>
              <w:t>підпункт "в" виключити;</w:t>
            </w:r>
          </w:p>
        </w:tc>
      </w:tr>
      <w:tr w:rsidR="00630147" w:rsidRPr="00286216" w14:paraId="0427A92C" w14:textId="77777777" w:rsidTr="00091AA5">
        <w:tc>
          <w:tcPr>
            <w:tcW w:w="576" w:type="dxa"/>
          </w:tcPr>
          <w:p w14:paraId="3D7EBAE3" w14:textId="77777777" w:rsidR="00630147" w:rsidRPr="00286216" w:rsidRDefault="00630147" w:rsidP="00630147">
            <w:pPr>
              <w:pStyle w:val="StyleWisnow"/>
              <w:rPr>
                <w:color w:val="000000" w:themeColor="text1"/>
              </w:rPr>
            </w:pPr>
            <w:bookmarkStart w:id="3246" w:name="n3376" w:colFirst="0" w:colLast="0"/>
            <w:bookmarkEnd w:id="3245"/>
            <w:r w:rsidRPr="00286216">
              <w:rPr>
                <w:color w:val="000000" w:themeColor="text1"/>
              </w:rPr>
              <w:t>3376.</w:t>
            </w:r>
          </w:p>
        </w:tc>
        <w:tc>
          <w:tcPr>
            <w:tcW w:w="4818" w:type="dxa"/>
          </w:tcPr>
          <w:p w14:paraId="41D4698F" w14:textId="77777777" w:rsidR="00630147" w:rsidRPr="00286216" w:rsidRDefault="00630147" w:rsidP="00630147">
            <w:pPr>
              <w:pStyle w:val="StyleZakonu"/>
              <w:rPr>
                <w:color w:val="000000" w:themeColor="text1"/>
              </w:rPr>
            </w:pPr>
            <w:r w:rsidRPr="00286216">
              <w:rPr>
                <w:color w:val="000000" w:themeColor="text1"/>
              </w:rPr>
              <w:t>6) у статті 17</w:t>
            </w:r>
            <w:r w:rsidRPr="00286216">
              <w:rPr>
                <w:color w:val="000000" w:themeColor="text1"/>
                <w:vertAlign w:val="superscript"/>
              </w:rPr>
              <w:t>2</w:t>
            </w:r>
            <w:r w:rsidRPr="00286216">
              <w:rPr>
                <w:color w:val="000000" w:themeColor="text1"/>
              </w:rPr>
              <w:t>:</w:t>
            </w:r>
          </w:p>
        </w:tc>
        <w:tc>
          <w:tcPr>
            <w:tcW w:w="3686" w:type="dxa"/>
          </w:tcPr>
          <w:p w14:paraId="0CE27DA7" w14:textId="77777777" w:rsidR="00630147" w:rsidRPr="00286216" w:rsidRDefault="00630147" w:rsidP="00630147">
            <w:pPr>
              <w:pStyle w:val="StyleProp"/>
              <w:rPr>
                <w:color w:val="000000" w:themeColor="text1"/>
                <w:szCs w:val="18"/>
              </w:rPr>
            </w:pPr>
          </w:p>
        </w:tc>
        <w:tc>
          <w:tcPr>
            <w:tcW w:w="1987" w:type="dxa"/>
          </w:tcPr>
          <w:p w14:paraId="67FB15F4" w14:textId="77777777" w:rsidR="00630147" w:rsidRPr="00286216" w:rsidRDefault="00630147" w:rsidP="00630147">
            <w:pPr>
              <w:pStyle w:val="StyleWisnow"/>
              <w:rPr>
                <w:color w:val="000000" w:themeColor="text1"/>
              </w:rPr>
            </w:pPr>
          </w:p>
        </w:tc>
        <w:tc>
          <w:tcPr>
            <w:tcW w:w="4818" w:type="dxa"/>
          </w:tcPr>
          <w:p w14:paraId="26862AE0" w14:textId="1D774183" w:rsidR="00630147" w:rsidRPr="00286216" w:rsidRDefault="00630147" w:rsidP="00630147">
            <w:pPr>
              <w:pStyle w:val="StyleZakonu"/>
              <w:rPr>
                <w:color w:val="000000" w:themeColor="text1"/>
              </w:rPr>
            </w:pPr>
            <w:r w:rsidRPr="00286216">
              <w:rPr>
                <w:color w:val="000000" w:themeColor="text1"/>
              </w:rPr>
              <w:t>6) у статті 17</w:t>
            </w:r>
            <w:r w:rsidRPr="00286216">
              <w:rPr>
                <w:color w:val="000000" w:themeColor="text1"/>
                <w:vertAlign w:val="superscript"/>
              </w:rPr>
              <w:t>2</w:t>
            </w:r>
            <w:r w:rsidRPr="00286216">
              <w:rPr>
                <w:color w:val="000000" w:themeColor="text1"/>
              </w:rPr>
              <w:t>:</w:t>
            </w:r>
          </w:p>
        </w:tc>
      </w:tr>
      <w:tr w:rsidR="00630147" w:rsidRPr="00286216" w14:paraId="01FDCD98" w14:textId="77777777" w:rsidTr="00091AA5">
        <w:tc>
          <w:tcPr>
            <w:tcW w:w="576" w:type="dxa"/>
          </w:tcPr>
          <w:p w14:paraId="0091AFA4" w14:textId="77777777" w:rsidR="00630147" w:rsidRPr="00286216" w:rsidRDefault="00630147" w:rsidP="00630147">
            <w:pPr>
              <w:pStyle w:val="StyleWisnow"/>
              <w:rPr>
                <w:color w:val="000000" w:themeColor="text1"/>
              </w:rPr>
            </w:pPr>
            <w:bookmarkStart w:id="3247" w:name="n3377" w:colFirst="0" w:colLast="0"/>
            <w:bookmarkEnd w:id="3246"/>
            <w:r w:rsidRPr="00286216">
              <w:rPr>
                <w:color w:val="000000" w:themeColor="text1"/>
              </w:rPr>
              <w:t>3377.</w:t>
            </w:r>
          </w:p>
        </w:tc>
        <w:tc>
          <w:tcPr>
            <w:tcW w:w="4818" w:type="dxa"/>
          </w:tcPr>
          <w:p w14:paraId="700BD1F6" w14:textId="77777777" w:rsidR="00630147" w:rsidRPr="00286216" w:rsidRDefault="00630147" w:rsidP="00630147">
            <w:pPr>
              <w:pStyle w:val="StyleZakonu"/>
              <w:rPr>
                <w:color w:val="000000" w:themeColor="text1"/>
              </w:rPr>
            </w:pPr>
            <w:r w:rsidRPr="00286216">
              <w:rPr>
                <w:color w:val="000000" w:themeColor="text1"/>
              </w:rPr>
              <w:t>а) пункт 17</w:t>
            </w:r>
            <w:r w:rsidRPr="00286216">
              <w:rPr>
                <w:color w:val="000000" w:themeColor="text1"/>
                <w:vertAlign w:val="superscript"/>
              </w:rPr>
              <w:t>2</w:t>
            </w:r>
            <w:r w:rsidRPr="00286216">
              <w:rPr>
                <w:color w:val="000000" w:themeColor="text1"/>
              </w:rPr>
              <w:t>.2 викласти в такій редакції:</w:t>
            </w:r>
          </w:p>
        </w:tc>
        <w:tc>
          <w:tcPr>
            <w:tcW w:w="3686" w:type="dxa"/>
          </w:tcPr>
          <w:p w14:paraId="1082AABB" w14:textId="77777777" w:rsidR="00630147" w:rsidRPr="00286216" w:rsidRDefault="00630147" w:rsidP="00630147">
            <w:pPr>
              <w:pStyle w:val="StyleProp"/>
              <w:rPr>
                <w:color w:val="000000" w:themeColor="text1"/>
                <w:szCs w:val="18"/>
              </w:rPr>
            </w:pPr>
          </w:p>
        </w:tc>
        <w:tc>
          <w:tcPr>
            <w:tcW w:w="1987" w:type="dxa"/>
          </w:tcPr>
          <w:p w14:paraId="7FDC7736" w14:textId="77777777" w:rsidR="00630147" w:rsidRPr="00286216" w:rsidRDefault="00630147" w:rsidP="00630147">
            <w:pPr>
              <w:pStyle w:val="StyleWisnow"/>
              <w:rPr>
                <w:color w:val="000000" w:themeColor="text1"/>
              </w:rPr>
            </w:pPr>
          </w:p>
        </w:tc>
        <w:tc>
          <w:tcPr>
            <w:tcW w:w="4818" w:type="dxa"/>
          </w:tcPr>
          <w:p w14:paraId="47D6440F" w14:textId="707B374B" w:rsidR="00630147" w:rsidRPr="00286216" w:rsidRDefault="00630147" w:rsidP="00630147">
            <w:pPr>
              <w:pStyle w:val="StyleZakonu"/>
              <w:rPr>
                <w:color w:val="000000" w:themeColor="text1"/>
              </w:rPr>
            </w:pPr>
            <w:r w:rsidRPr="00286216">
              <w:rPr>
                <w:color w:val="000000" w:themeColor="text1"/>
              </w:rPr>
              <w:t>а) пункт 17</w:t>
            </w:r>
            <w:r w:rsidRPr="00286216">
              <w:rPr>
                <w:color w:val="000000" w:themeColor="text1"/>
                <w:vertAlign w:val="superscript"/>
              </w:rPr>
              <w:t>2</w:t>
            </w:r>
            <w:r w:rsidRPr="00286216">
              <w:rPr>
                <w:color w:val="000000" w:themeColor="text1"/>
              </w:rPr>
              <w:t>.2 викласти в такій редакції:</w:t>
            </w:r>
          </w:p>
        </w:tc>
      </w:tr>
      <w:tr w:rsidR="00630147" w:rsidRPr="00286216" w14:paraId="78985C30" w14:textId="77777777" w:rsidTr="00091AA5">
        <w:tc>
          <w:tcPr>
            <w:tcW w:w="576" w:type="dxa"/>
          </w:tcPr>
          <w:p w14:paraId="00C4E10B" w14:textId="77777777" w:rsidR="00630147" w:rsidRPr="00286216" w:rsidRDefault="00630147" w:rsidP="00630147">
            <w:pPr>
              <w:pStyle w:val="StyleWisnow"/>
              <w:rPr>
                <w:color w:val="000000" w:themeColor="text1"/>
              </w:rPr>
            </w:pPr>
            <w:bookmarkStart w:id="3248" w:name="n3378" w:colFirst="0" w:colLast="0"/>
            <w:bookmarkEnd w:id="3247"/>
            <w:r w:rsidRPr="00286216">
              <w:rPr>
                <w:color w:val="000000" w:themeColor="text1"/>
              </w:rPr>
              <w:t>3378.</w:t>
            </w:r>
          </w:p>
        </w:tc>
        <w:tc>
          <w:tcPr>
            <w:tcW w:w="4818" w:type="dxa"/>
          </w:tcPr>
          <w:p w14:paraId="1BFA058B" w14:textId="77777777" w:rsidR="00630147" w:rsidRPr="00286216" w:rsidRDefault="00630147" w:rsidP="00630147">
            <w:pPr>
              <w:pStyle w:val="StyleZakonu"/>
              <w:rPr>
                <w:color w:val="000000" w:themeColor="text1"/>
              </w:rPr>
            </w:pPr>
            <w:r w:rsidRPr="00286216">
              <w:rPr>
                <w:color w:val="000000" w:themeColor="text1"/>
              </w:rPr>
              <w:t>"17</w:t>
            </w:r>
            <w:r w:rsidRPr="00286216">
              <w:rPr>
                <w:color w:val="000000" w:themeColor="text1"/>
                <w:vertAlign w:val="superscript"/>
              </w:rPr>
              <w:t>2</w:t>
            </w:r>
            <w:r w:rsidRPr="00286216">
              <w:rPr>
                <w:color w:val="000000" w:themeColor="text1"/>
              </w:rPr>
              <w:t>.2 Держава забезпечує підтримку у формі застосування державних закупівель зерна на умовах ф’ючерсів та/або форвардів на організованому товарному ринку України.";</w:t>
            </w:r>
          </w:p>
        </w:tc>
        <w:tc>
          <w:tcPr>
            <w:tcW w:w="3686" w:type="dxa"/>
          </w:tcPr>
          <w:p w14:paraId="61B365DA" w14:textId="77777777" w:rsidR="00630147" w:rsidRPr="00286216" w:rsidRDefault="00630147" w:rsidP="00630147">
            <w:pPr>
              <w:pStyle w:val="StyleProp"/>
              <w:rPr>
                <w:color w:val="000000" w:themeColor="text1"/>
                <w:szCs w:val="18"/>
              </w:rPr>
            </w:pPr>
          </w:p>
        </w:tc>
        <w:tc>
          <w:tcPr>
            <w:tcW w:w="1987" w:type="dxa"/>
          </w:tcPr>
          <w:p w14:paraId="3A574A61" w14:textId="77777777" w:rsidR="00630147" w:rsidRPr="00286216" w:rsidRDefault="00630147" w:rsidP="00630147">
            <w:pPr>
              <w:pStyle w:val="StyleWisnow"/>
              <w:rPr>
                <w:color w:val="000000" w:themeColor="text1"/>
              </w:rPr>
            </w:pPr>
          </w:p>
        </w:tc>
        <w:tc>
          <w:tcPr>
            <w:tcW w:w="4818" w:type="dxa"/>
          </w:tcPr>
          <w:p w14:paraId="41CD35DE" w14:textId="58F26EE3" w:rsidR="00630147" w:rsidRPr="00286216" w:rsidRDefault="00630147" w:rsidP="00630147">
            <w:pPr>
              <w:pStyle w:val="StyleZakonu"/>
              <w:rPr>
                <w:color w:val="000000" w:themeColor="text1"/>
              </w:rPr>
            </w:pPr>
            <w:r w:rsidRPr="00286216">
              <w:rPr>
                <w:color w:val="000000" w:themeColor="text1"/>
              </w:rPr>
              <w:t>"17</w:t>
            </w:r>
            <w:r w:rsidRPr="00286216">
              <w:rPr>
                <w:color w:val="000000" w:themeColor="text1"/>
                <w:vertAlign w:val="superscript"/>
              </w:rPr>
              <w:t>2</w:t>
            </w:r>
            <w:r w:rsidRPr="00286216">
              <w:rPr>
                <w:color w:val="000000" w:themeColor="text1"/>
              </w:rPr>
              <w:t>.2 Держава забезпечує підтримку у формі застосування державних закупівель зерна на умовах ф’ючерсів та/або форвардів на організованому товарному ринку України";</w:t>
            </w:r>
          </w:p>
        </w:tc>
      </w:tr>
      <w:tr w:rsidR="00630147" w:rsidRPr="00286216" w14:paraId="5DEB9365" w14:textId="77777777" w:rsidTr="00091AA5">
        <w:tc>
          <w:tcPr>
            <w:tcW w:w="576" w:type="dxa"/>
          </w:tcPr>
          <w:p w14:paraId="081595C7" w14:textId="77777777" w:rsidR="00630147" w:rsidRPr="00286216" w:rsidRDefault="00630147" w:rsidP="00630147">
            <w:pPr>
              <w:pStyle w:val="StyleWisnow"/>
              <w:rPr>
                <w:color w:val="000000" w:themeColor="text1"/>
              </w:rPr>
            </w:pPr>
            <w:bookmarkStart w:id="3249" w:name="n3379" w:colFirst="0" w:colLast="0"/>
            <w:bookmarkEnd w:id="3248"/>
            <w:r w:rsidRPr="00286216">
              <w:rPr>
                <w:color w:val="000000" w:themeColor="text1"/>
              </w:rPr>
              <w:t>3379.</w:t>
            </w:r>
          </w:p>
        </w:tc>
        <w:tc>
          <w:tcPr>
            <w:tcW w:w="4818" w:type="dxa"/>
          </w:tcPr>
          <w:p w14:paraId="3F1F9BFB" w14:textId="77777777" w:rsidR="00630147" w:rsidRPr="00286216" w:rsidRDefault="00630147" w:rsidP="00630147">
            <w:pPr>
              <w:pStyle w:val="StyleZakonu"/>
              <w:rPr>
                <w:color w:val="000000" w:themeColor="text1"/>
              </w:rPr>
            </w:pPr>
            <w:r w:rsidRPr="00286216">
              <w:rPr>
                <w:color w:val="000000" w:themeColor="text1"/>
              </w:rPr>
              <w:t>б) у пункті 17</w:t>
            </w:r>
            <w:r w:rsidRPr="00286216">
              <w:rPr>
                <w:color w:val="000000" w:themeColor="text1"/>
                <w:vertAlign w:val="superscript"/>
              </w:rPr>
              <w:t>2</w:t>
            </w:r>
            <w:r w:rsidRPr="00286216">
              <w:rPr>
                <w:color w:val="000000" w:themeColor="text1"/>
              </w:rPr>
              <w:t>.6. слова "біржової торгівлі" замінити словами "регулярних торгів".</w:t>
            </w:r>
          </w:p>
        </w:tc>
        <w:tc>
          <w:tcPr>
            <w:tcW w:w="3686" w:type="dxa"/>
          </w:tcPr>
          <w:p w14:paraId="3AAFB7DD" w14:textId="77777777" w:rsidR="00630147" w:rsidRPr="00286216" w:rsidRDefault="00630147" w:rsidP="00630147">
            <w:pPr>
              <w:pStyle w:val="StyleProp"/>
              <w:rPr>
                <w:color w:val="000000" w:themeColor="text1"/>
                <w:szCs w:val="18"/>
              </w:rPr>
            </w:pPr>
          </w:p>
        </w:tc>
        <w:tc>
          <w:tcPr>
            <w:tcW w:w="1987" w:type="dxa"/>
          </w:tcPr>
          <w:p w14:paraId="022D5E4C" w14:textId="77777777" w:rsidR="00630147" w:rsidRPr="00286216" w:rsidRDefault="00630147" w:rsidP="00630147">
            <w:pPr>
              <w:pStyle w:val="StyleWisnow"/>
              <w:rPr>
                <w:color w:val="000000" w:themeColor="text1"/>
              </w:rPr>
            </w:pPr>
          </w:p>
        </w:tc>
        <w:tc>
          <w:tcPr>
            <w:tcW w:w="4818" w:type="dxa"/>
          </w:tcPr>
          <w:p w14:paraId="21874840" w14:textId="5758FB33" w:rsidR="00630147" w:rsidRPr="00286216" w:rsidRDefault="00630147" w:rsidP="00630147">
            <w:pPr>
              <w:pStyle w:val="StyleZakonu"/>
              <w:rPr>
                <w:color w:val="000000" w:themeColor="text1"/>
              </w:rPr>
            </w:pPr>
            <w:r w:rsidRPr="00286216">
              <w:rPr>
                <w:color w:val="000000" w:themeColor="text1"/>
              </w:rPr>
              <w:t>б) у пункті 17</w:t>
            </w:r>
            <w:r w:rsidRPr="00286216">
              <w:rPr>
                <w:color w:val="000000" w:themeColor="text1"/>
                <w:vertAlign w:val="superscript"/>
              </w:rPr>
              <w:t>2</w:t>
            </w:r>
            <w:r w:rsidRPr="00286216">
              <w:rPr>
                <w:color w:val="000000" w:themeColor="text1"/>
              </w:rPr>
              <w:t>.6 слова "біржової торгівлі" замінити словами "регулярних торгів".</w:t>
            </w:r>
          </w:p>
        </w:tc>
      </w:tr>
      <w:tr w:rsidR="00630147" w:rsidRPr="00286216" w14:paraId="57EA4612" w14:textId="77777777" w:rsidTr="00091AA5">
        <w:tc>
          <w:tcPr>
            <w:tcW w:w="576" w:type="dxa"/>
          </w:tcPr>
          <w:p w14:paraId="318279DC" w14:textId="77777777" w:rsidR="00630147" w:rsidRPr="00286216" w:rsidRDefault="00630147" w:rsidP="00630147">
            <w:pPr>
              <w:pStyle w:val="StyleWisnow"/>
              <w:rPr>
                <w:color w:val="000000" w:themeColor="text1"/>
              </w:rPr>
            </w:pPr>
            <w:bookmarkStart w:id="3250" w:name="n3380" w:colFirst="0" w:colLast="0"/>
            <w:bookmarkEnd w:id="3249"/>
            <w:r w:rsidRPr="00286216">
              <w:rPr>
                <w:color w:val="000000" w:themeColor="text1"/>
              </w:rPr>
              <w:t>3380.</w:t>
            </w:r>
          </w:p>
        </w:tc>
        <w:tc>
          <w:tcPr>
            <w:tcW w:w="4818" w:type="dxa"/>
          </w:tcPr>
          <w:p w14:paraId="7589C389" w14:textId="77777777" w:rsidR="00630147" w:rsidRPr="00286216" w:rsidRDefault="00630147" w:rsidP="00630147">
            <w:pPr>
              <w:pStyle w:val="StyleZakonu"/>
              <w:rPr>
                <w:color w:val="000000" w:themeColor="text1"/>
              </w:rPr>
            </w:pPr>
            <w:r w:rsidRPr="00286216">
              <w:rPr>
                <w:color w:val="000000" w:themeColor="text1"/>
              </w:rPr>
              <w:t>36. Пункт 43.4. статті 43 Закону України "Про обов’язкове страхування цивільно-правової відповідальності власників наземних транспортних засобів" (Відомості Верховної Ради України, 2005, № 1, ст.1, із наступними змінами) доповнити словами ", облігації міжнародних фінансових організацій, що розміщуються на території України".</w:t>
            </w:r>
          </w:p>
        </w:tc>
        <w:tc>
          <w:tcPr>
            <w:tcW w:w="3686" w:type="dxa"/>
          </w:tcPr>
          <w:p w14:paraId="411F5E13" w14:textId="77777777" w:rsidR="00630147" w:rsidRPr="00286216" w:rsidRDefault="00630147" w:rsidP="00630147">
            <w:pPr>
              <w:pStyle w:val="StyleProp"/>
              <w:rPr>
                <w:color w:val="000000" w:themeColor="text1"/>
                <w:szCs w:val="18"/>
              </w:rPr>
            </w:pPr>
          </w:p>
        </w:tc>
        <w:tc>
          <w:tcPr>
            <w:tcW w:w="1987" w:type="dxa"/>
          </w:tcPr>
          <w:p w14:paraId="6B68C9C1" w14:textId="77777777" w:rsidR="00630147" w:rsidRPr="00286216" w:rsidRDefault="00630147" w:rsidP="00630147">
            <w:pPr>
              <w:pStyle w:val="StyleWisnow"/>
              <w:rPr>
                <w:color w:val="000000" w:themeColor="text1"/>
              </w:rPr>
            </w:pPr>
          </w:p>
        </w:tc>
        <w:tc>
          <w:tcPr>
            <w:tcW w:w="4818" w:type="dxa"/>
          </w:tcPr>
          <w:p w14:paraId="2E10DC90" w14:textId="24F77B84" w:rsidR="00630147" w:rsidRPr="00286216" w:rsidRDefault="00630147" w:rsidP="00630147">
            <w:pPr>
              <w:pStyle w:val="StyleZakonu"/>
              <w:rPr>
                <w:color w:val="000000" w:themeColor="text1"/>
              </w:rPr>
            </w:pPr>
            <w:r w:rsidRPr="00286216">
              <w:rPr>
                <w:color w:val="000000" w:themeColor="text1"/>
              </w:rPr>
              <w:t>33. Абзац перший пункту 43.4. статті 43 Закону України "Про обов’язкове страхування цивільно-правової відповідальності власників наземних транспортних засобів" (Відомості Верховної Ради України, 2005 р., № 1, ст.1 із наступними змінами) доповнити словами ", облігації міжнародних фінансових організацій, що розміщуються на території України".</w:t>
            </w:r>
          </w:p>
        </w:tc>
      </w:tr>
      <w:tr w:rsidR="00630147" w:rsidRPr="00286216" w14:paraId="3B7F5CA9" w14:textId="77777777" w:rsidTr="00091AA5">
        <w:tc>
          <w:tcPr>
            <w:tcW w:w="576" w:type="dxa"/>
          </w:tcPr>
          <w:p w14:paraId="518EFE80" w14:textId="77777777" w:rsidR="00630147" w:rsidRPr="00286216" w:rsidRDefault="00630147" w:rsidP="00630147">
            <w:pPr>
              <w:pStyle w:val="StyleWisnow"/>
              <w:rPr>
                <w:color w:val="000000" w:themeColor="text1"/>
              </w:rPr>
            </w:pPr>
            <w:bookmarkStart w:id="3251" w:name="n3381" w:colFirst="0" w:colLast="0"/>
            <w:bookmarkEnd w:id="3250"/>
            <w:r w:rsidRPr="00286216">
              <w:rPr>
                <w:color w:val="000000" w:themeColor="text1"/>
              </w:rPr>
              <w:t>3381.</w:t>
            </w:r>
          </w:p>
        </w:tc>
        <w:tc>
          <w:tcPr>
            <w:tcW w:w="4818" w:type="dxa"/>
          </w:tcPr>
          <w:p w14:paraId="75C645CB" w14:textId="77777777" w:rsidR="00630147" w:rsidRPr="00286216" w:rsidRDefault="00630147" w:rsidP="00630147">
            <w:pPr>
              <w:pStyle w:val="StyleZakonu"/>
              <w:rPr>
                <w:color w:val="000000" w:themeColor="text1"/>
              </w:rPr>
            </w:pPr>
            <w:r w:rsidRPr="00286216">
              <w:rPr>
                <w:color w:val="000000" w:themeColor="text1"/>
              </w:rPr>
              <w:t>37. У Законі України "Про міжнародне приватне право" (Відомості Верховної Ради України, 2005 р., №32, ст. 422, із наступними змінами):</w:t>
            </w:r>
          </w:p>
        </w:tc>
        <w:tc>
          <w:tcPr>
            <w:tcW w:w="3686" w:type="dxa"/>
          </w:tcPr>
          <w:p w14:paraId="52708005" w14:textId="77777777" w:rsidR="00630147" w:rsidRPr="00286216" w:rsidRDefault="00630147" w:rsidP="00630147">
            <w:pPr>
              <w:pStyle w:val="StyleProp"/>
              <w:rPr>
                <w:color w:val="000000" w:themeColor="text1"/>
                <w:szCs w:val="18"/>
              </w:rPr>
            </w:pPr>
          </w:p>
        </w:tc>
        <w:tc>
          <w:tcPr>
            <w:tcW w:w="1987" w:type="dxa"/>
          </w:tcPr>
          <w:p w14:paraId="40EC22A6" w14:textId="77777777" w:rsidR="00630147" w:rsidRPr="00286216" w:rsidRDefault="00630147" w:rsidP="00630147">
            <w:pPr>
              <w:pStyle w:val="StyleWisnow"/>
              <w:rPr>
                <w:color w:val="000000" w:themeColor="text1"/>
              </w:rPr>
            </w:pPr>
          </w:p>
        </w:tc>
        <w:tc>
          <w:tcPr>
            <w:tcW w:w="4818" w:type="dxa"/>
          </w:tcPr>
          <w:p w14:paraId="3DFA042F" w14:textId="78EE3F59" w:rsidR="00630147" w:rsidRPr="00286216" w:rsidRDefault="00630147" w:rsidP="00630147">
            <w:pPr>
              <w:pStyle w:val="StyleZakonu"/>
              <w:rPr>
                <w:color w:val="000000" w:themeColor="text1"/>
              </w:rPr>
            </w:pPr>
            <w:r w:rsidRPr="00286216">
              <w:rPr>
                <w:color w:val="000000" w:themeColor="text1"/>
              </w:rPr>
              <w:t>34. У Законі України "Про міжнародне приватне право" (Відомості Верховної Ради України, 2005 р., №32, ст. 422 із наступними змінами):</w:t>
            </w:r>
          </w:p>
        </w:tc>
      </w:tr>
      <w:tr w:rsidR="00630147" w:rsidRPr="00286216" w14:paraId="27205ED2" w14:textId="77777777" w:rsidTr="00091AA5">
        <w:tc>
          <w:tcPr>
            <w:tcW w:w="576" w:type="dxa"/>
          </w:tcPr>
          <w:p w14:paraId="20129437" w14:textId="77777777" w:rsidR="00630147" w:rsidRPr="00286216" w:rsidRDefault="00630147" w:rsidP="00630147">
            <w:pPr>
              <w:pStyle w:val="StyleWisnow"/>
              <w:rPr>
                <w:color w:val="000000" w:themeColor="text1"/>
              </w:rPr>
            </w:pPr>
            <w:bookmarkStart w:id="3252" w:name="n3382" w:colFirst="0" w:colLast="0"/>
            <w:bookmarkEnd w:id="3251"/>
            <w:r w:rsidRPr="00286216">
              <w:rPr>
                <w:color w:val="000000" w:themeColor="text1"/>
              </w:rPr>
              <w:t>3382.</w:t>
            </w:r>
          </w:p>
        </w:tc>
        <w:tc>
          <w:tcPr>
            <w:tcW w:w="4818" w:type="dxa"/>
          </w:tcPr>
          <w:p w14:paraId="03CCCD23" w14:textId="77777777" w:rsidR="00630147" w:rsidRPr="00286216" w:rsidRDefault="00630147" w:rsidP="00630147">
            <w:pPr>
              <w:pStyle w:val="StyleZakonu"/>
              <w:rPr>
                <w:color w:val="000000" w:themeColor="text1"/>
              </w:rPr>
            </w:pPr>
            <w:r w:rsidRPr="00286216">
              <w:rPr>
                <w:color w:val="000000" w:themeColor="text1"/>
              </w:rPr>
              <w:t xml:space="preserve">1) частину третю статті 31 доповнити новим </w:t>
            </w:r>
            <w:r w:rsidRPr="00286216">
              <w:rPr>
                <w:color w:val="000000" w:themeColor="text1"/>
              </w:rPr>
              <w:lastRenderedPageBreak/>
              <w:t>реченням такого змісту:</w:t>
            </w:r>
          </w:p>
        </w:tc>
        <w:tc>
          <w:tcPr>
            <w:tcW w:w="3686" w:type="dxa"/>
          </w:tcPr>
          <w:p w14:paraId="62E6724F" w14:textId="77777777" w:rsidR="00630147" w:rsidRPr="00286216" w:rsidRDefault="00630147" w:rsidP="00630147">
            <w:pPr>
              <w:pStyle w:val="StyleProp"/>
              <w:rPr>
                <w:color w:val="000000" w:themeColor="text1"/>
                <w:szCs w:val="18"/>
              </w:rPr>
            </w:pPr>
          </w:p>
        </w:tc>
        <w:tc>
          <w:tcPr>
            <w:tcW w:w="1987" w:type="dxa"/>
          </w:tcPr>
          <w:p w14:paraId="3DBC1C30" w14:textId="77777777" w:rsidR="00630147" w:rsidRPr="00286216" w:rsidRDefault="00630147" w:rsidP="00630147">
            <w:pPr>
              <w:pStyle w:val="StyleWisnow"/>
              <w:rPr>
                <w:color w:val="000000" w:themeColor="text1"/>
              </w:rPr>
            </w:pPr>
          </w:p>
        </w:tc>
        <w:tc>
          <w:tcPr>
            <w:tcW w:w="4818" w:type="dxa"/>
          </w:tcPr>
          <w:p w14:paraId="74922EF5" w14:textId="3F3B3ACE" w:rsidR="00630147" w:rsidRPr="00286216" w:rsidRDefault="00630147" w:rsidP="008C392C">
            <w:pPr>
              <w:pStyle w:val="StyleZakonu"/>
              <w:rPr>
                <w:color w:val="000000" w:themeColor="text1"/>
              </w:rPr>
            </w:pPr>
            <w:r w:rsidRPr="00286216">
              <w:rPr>
                <w:color w:val="000000" w:themeColor="text1"/>
              </w:rPr>
              <w:t xml:space="preserve">1) частину третю статті 31 доповнити другим </w:t>
            </w:r>
            <w:r w:rsidRPr="00286216">
              <w:rPr>
                <w:color w:val="000000" w:themeColor="text1"/>
              </w:rPr>
              <w:lastRenderedPageBreak/>
              <w:t xml:space="preserve">реченням реченням такого змісту: "Правові наслідки </w:t>
            </w:r>
            <w:r w:rsidRPr="00286216">
              <w:rPr>
                <w:color w:val="000000" w:themeColor="text1"/>
                <w:spacing w:val="2"/>
              </w:rPr>
              <w:t xml:space="preserve">недодержання </w:t>
            </w:r>
            <w:r w:rsidR="008C392C" w:rsidRPr="00286216">
              <w:rPr>
                <w:color w:val="000000" w:themeColor="text1"/>
                <w:spacing w:val="2"/>
              </w:rPr>
              <w:t xml:space="preserve">   </w:t>
            </w:r>
            <w:r w:rsidRPr="00286216">
              <w:rPr>
                <w:color w:val="000000" w:themeColor="text1"/>
                <w:spacing w:val="2"/>
              </w:rPr>
              <w:t>вимоги</w:t>
            </w:r>
            <w:r w:rsidR="008C392C" w:rsidRPr="00286216">
              <w:rPr>
                <w:color w:val="000000" w:themeColor="text1"/>
                <w:spacing w:val="2"/>
              </w:rPr>
              <w:t xml:space="preserve">    </w:t>
            </w:r>
            <w:r w:rsidRPr="00286216">
              <w:rPr>
                <w:color w:val="000000" w:themeColor="text1"/>
                <w:spacing w:val="2"/>
              </w:rPr>
              <w:t xml:space="preserve"> щодо</w:t>
            </w:r>
            <w:r w:rsidR="008C392C" w:rsidRPr="00286216">
              <w:rPr>
                <w:color w:val="000000" w:themeColor="text1"/>
                <w:spacing w:val="2"/>
              </w:rPr>
              <w:t xml:space="preserve">   </w:t>
            </w:r>
            <w:r w:rsidRPr="00286216">
              <w:rPr>
                <w:color w:val="000000" w:themeColor="text1"/>
                <w:spacing w:val="2"/>
              </w:rPr>
              <w:t xml:space="preserve"> письмової</w:t>
            </w:r>
            <w:r w:rsidR="008C392C" w:rsidRPr="00286216">
              <w:rPr>
                <w:color w:val="000000" w:themeColor="text1"/>
                <w:spacing w:val="2"/>
              </w:rPr>
              <w:t xml:space="preserve">  </w:t>
            </w:r>
            <w:r w:rsidRPr="00286216">
              <w:rPr>
                <w:color w:val="000000" w:themeColor="text1"/>
                <w:spacing w:val="2"/>
              </w:rPr>
              <w:t xml:space="preserve"> форми</w:t>
            </w:r>
            <w:r w:rsidRPr="00286216">
              <w:rPr>
                <w:color w:val="000000" w:themeColor="text1"/>
              </w:rPr>
              <w:t xml:space="preserve"> </w:t>
            </w:r>
          </w:p>
        </w:tc>
      </w:tr>
      <w:tr w:rsidR="00630147" w:rsidRPr="00286216" w14:paraId="4817E7AC" w14:textId="77777777" w:rsidTr="00091AA5">
        <w:tc>
          <w:tcPr>
            <w:tcW w:w="576" w:type="dxa"/>
          </w:tcPr>
          <w:p w14:paraId="1FE274D5" w14:textId="77777777" w:rsidR="00630147" w:rsidRPr="00286216" w:rsidRDefault="00630147" w:rsidP="00630147">
            <w:pPr>
              <w:pStyle w:val="StyleWisnow"/>
              <w:rPr>
                <w:color w:val="000000" w:themeColor="text1"/>
              </w:rPr>
            </w:pPr>
            <w:bookmarkStart w:id="3253" w:name="n3383" w:colFirst="0" w:colLast="0"/>
            <w:bookmarkEnd w:id="3252"/>
            <w:r w:rsidRPr="00286216">
              <w:rPr>
                <w:color w:val="000000" w:themeColor="text1"/>
              </w:rPr>
              <w:lastRenderedPageBreak/>
              <w:t>3383.</w:t>
            </w:r>
          </w:p>
        </w:tc>
        <w:tc>
          <w:tcPr>
            <w:tcW w:w="4818" w:type="dxa"/>
          </w:tcPr>
          <w:p w14:paraId="4DA8E15A" w14:textId="77777777" w:rsidR="00630147" w:rsidRPr="00286216" w:rsidRDefault="00630147" w:rsidP="00630147">
            <w:pPr>
              <w:pStyle w:val="StyleZakonu"/>
              <w:rPr>
                <w:color w:val="000000" w:themeColor="text1"/>
              </w:rPr>
            </w:pPr>
            <w:r w:rsidRPr="00286216">
              <w:rPr>
                <w:color w:val="000000" w:themeColor="text1"/>
              </w:rPr>
              <w:t>"Правові наслідки недодержання вимоги щодо письмової форми зовнішньоекономічного договору визначаються правом, що застосовується до змісту правочину";</w:t>
            </w:r>
          </w:p>
        </w:tc>
        <w:tc>
          <w:tcPr>
            <w:tcW w:w="3686" w:type="dxa"/>
          </w:tcPr>
          <w:p w14:paraId="62DA0898" w14:textId="77777777" w:rsidR="00630147" w:rsidRPr="00286216" w:rsidRDefault="00630147" w:rsidP="00630147">
            <w:pPr>
              <w:pStyle w:val="StyleProp"/>
              <w:rPr>
                <w:color w:val="000000" w:themeColor="text1"/>
                <w:szCs w:val="18"/>
              </w:rPr>
            </w:pPr>
          </w:p>
        </w:tc>
        <w:tc>
          <w:tcPr>
            <w:tcW w:w="1987" w:type="dxa"/>
          </w:tcPr>
          <w:p w14:paraId="61889352" w14:textId="77777777" w:rsidR="00630147" w:rsidRPr="00286216" w:rsidRDefault="00630147" w:rsidP="00630147">
            <w:pPr>
              <w:pStyle w:val="StyleWisnow"/>
              <w:rPr>
                <w:color w:val="000000" w:themeColor="text1"/>
              </w:rPr>
            </w:pPr>
          </w:p>
        </w:tc>
        <w:tc>
          <w:tcPr>
            <w:tcW w:w="4818" w:type="dxa"/>
          </w:tcPr>
          <w:p w14:paraId="4F88A467" w14:textId="601BC4C4" w:rsidR="00630147" w:rsidRPr="00286216" w:rsidRDefault="008C392C" w:rsidP="008C392C">
            <w:pPr>
              <w:pStyle w:val="StyleZakonu"/>
              <w:ind w:firstLine="0"/>
              <w:rPr>
                <w:color w:val="000000" w:themeColor="text1"/>
              </w:rPr>
            </w:pPr>
            <w:r w:rsidRPr="00286216">
              <w:rPr>
                <w:color w:val="000000" w:themeColor="text1"/>
              </w:rPr>
              <w:t>зовнішньоекономічного договору визначаються правом, що застосовується до змісту правочину";</w:t>
            </w:r>
          </w:p>
        </w:tc>
      </w:tr>
      <w:tr w:rsidR="00630147" w:rsidRPr="00286216" w14:paraId="797B9928" w14:textId="77777777" w:rsidTr="00091AA5">
        <w:tc>
          <w:tcPr>
            <w:tcW w:w="576" w:type="dxa"/>
          </w:tcPr>
          <w:p w14:paraId="581F8CAC" w14:textId="77777777" w:rsidR="00630147" w:rsidRPr="00286216" w:rsidRDefault="00630147" w:rsidP="00630147">
            <w:pPr>
              <w:pStyle w:val="StyleWisnow"/>
              <w:rPr>
                <w:color w:val="000000" w:themeColor="text1"/>
              </w:rPr>
            </w:pPr>
            <w:bookmarkStart w:id="3254" w:name="n3384" w:colFirst="0" w:colLast="0"/>
            <w:bookmarkEnd w:id="3253"/>
            <w:r w:rsidRPr="00286216">
              <w:rPr>
                <w:color w:val="000000" w:themeColor="text1"/>
              </w:rPr>
              <w:t>3384.</w:t>
            </w:r>
          </w:p>
        </w:tc>
        <w:tc>
          <w:tcPr>
            <w:tcW w:w="4818" w:type="dxa"/>
          </w:tcPr>
          <w:p w14:paraId="4D647E7F" w14:textId="77777777" w:rsidR="00630147" w:rsidRPr="00286216" w:rsidRDefault="00630147" w:rsidP="00630147">
            <w:pPr>
              <w:pStyle w:val="StyleZakonu"/>
              <w:rPr>
                <w:color w:val="000000" w:themeColor="text1"/>
              </w:rPr>
            </w:pPr>
            <w:r w:rsidRPr="00286216">
              <w:rPr>
                <w:color w:val="000000" w:themeColor="text1"/>
              </w:rPr>
              <w:t>2) статтю 38 доповнити частинами третьою та четвертою такого змісту:</w:t>
            </w:r>
          </w:p>
        </w:tc>
        <w:tc>
          <w:tcPr>
            <w:tcW w:w="3686" w:type="dxa"/>
          </w:tcPr>
          <w:p w14:paraId="2355AA13" w14:textId="77777777" w:rsidR="00630147" w:rsidRPr="00286216" w:rsidRDefault="00630147" w:rsidP="00630147">
            <w:pPr>
              <w:pStyle w:val="StyleProp"/>
              <w:rPr>
                <w:color w:val="000000" w:themeColor="text1"/>
                <w:szCs w:val="18"/>
              </w:rPr>
            </w:pPr>
          </w:p>
        </w:tc>
        <w:tc>
          <w:tcPr>
            <w:tcW w:w="1987" w:type="dxa"/>
          </w:tcPr>
          <w:p w14:paraId="286A6FDF" w14:textId="77777777" w:rsidR="00630147" w:rsidRPr="00286216" w:rsidRDefault="00630147" w:rsidP="00630147">
            <w:pPr>
              <w:pStyle w:val="StyleWisnow"/>
              <w:rPr>
                <w:color w:val="000000" w:themeColor="text1"/>
              </w:rPr>
            </w:pPr>
          </w:p>
        </w:tc>
        <w:tc>
          <w:tcPr>
            <w:tcW w:w="4818" w:type="dxa"/>
          </w:tcPr>
          <w:p w14:paraId="1652971B" w14:textId="34881728" w:rsidR="00630147" w:rsidRPr="00286216" w:rsidRDefault="00630147" w:rsidP="00630147">
            <w:pPr>
              <w:pStyle w:val="StyleZakonu"/>
              <w:rPr>
                <w:color w:val="000000" w:themeColor="text1"/>
              </w:rPr>
            </w:pPr>
            <w:r w:rsidRPr="00286216">
              <w:rPr>
                <w:color w:val="000000" w:themeColor="text1"/>
              </w:rPr>
              <w:t>2) статтю 38 доповнити частинами третьою та четвертою такого змісту:</w:t>
            </w:r>
          </w:p>
        </w:tc>
      </w:tr>
      <w:tr w:rsidR="00630147" w:rsidRPr="00286216" w14:paraId="2DAB7D75" w14:textId="77777777" w:rsidTr="00091AA5">
        <w:tc>
          <w:tcPr>
            <w:tcW w:w="576" w:type="dxa"/>
          </w:tcPr>
          <w:p w14:paraId="15AF9622" w14:textId="77777777" w:rsidR="00630147" w:rsidRPr="00286216" w:rsidRDefault="00630147" w:rsidP="00630147">
            <w:pPr>
              <w:pStyle w:val="StyleWisnow"/>
              <w:rPr>
                <w:color w:val="000000" w:themeColor="text1"/>
              </w:rPr>
            </w:pPr>
            <w:bookmarkStart w:id="3255" w:name="n3385" w:colFirst="0" w:colLast="0"/>
            <w:bookmarkEnd w:id="3254"/>
            <w:r w:rsidRPr="00286216">
              <w:rPr>
                <w:color w:val="000000" w:themeColor="text1"/>
              </w:rPr>
              <w:t>3385.</w:t>
            </w:r>
          </w:p>
        </w:tc>
        <w:tc>
          <w:tcPr>
            <w:tcW w:w="4818" w:type="dxa"/>
          </w:tcPr>
          <w:p w14:paraId="0C1F60E9" w14:textId="77777777" w:rsidR="00630147" w:rsidRPr="00286216" w:rsidRDefault="00630147" w:rsidP="00630147">
            <w:pPr>
              <w:pStyle w:val="StyleZakonu"/>
              <w:rPr>
                <w:color w:val="000000" w:themeColor="text1"/>
              </w:rPr>
            </w:pPr>
            <w:r w:rsidRPr="00286216">
              <w:rPr>
                <w:color w:val="000000" w:themeColor="text1"/>
              </w:rPr>
              <w:t>"3. Місцезнаходженням цінних паперів, що існують у бездокументарній формі, вважається держава місцезнаходження професійного учасника ринків капіталу - депозитарної установи або особи, яка здійснює аналогічну діяльність у такій державі.</w:t>
            </w:r>
          </w:p>
        </w:tc>
        <w:tc>
          <w:tcPr>
            <w:tcW w:w="3686" w:type="dxa"/>
          </w:tcPr>
          <w:p w14:paraId="2AD573DB" w14:textId="5C0C5719"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1419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9CA6EA6" w14:textId="77777777" w:rsidR="00630147" w:rsidRPr="00286216" w:rsidRDefault="00630147" w:rsidP="00630147">
            <w:pPr>
              <w:pStyle w:val="StyleProp"/>
              <w:rPr>
                <w:color w:val="000000" w:themeColor="text1"/>
                <w:szCs w:val="18"/>
              </w:rPr>
            </w:pPr>
            <w:r w:rsidRPr="00286216">
              <w:rPr>
                <w:color w:val="000000" w:themeColor="text1"/>
                <w:szCs w:val="18"/>
              </w:rPr>
              <w:t>У абзаці другому підпункту 2 пункту 37 слово «бездокументарній» замінити словом «електронній»</w:t>
            </w:r>
          </w:p>
        </w:tc>
        <w:tc>
          <w:tcPr>
            <w:tcW w:w="1987" w:type="dxa"/>
          </w:tcPr>
          <w:p w14:paraId="4603CB31"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A96FE6E" w14:textId="1A9CBA6F" w:rsidR="00630147" w:rsidRPr="00286216" w:rsidRDefault="00630147" w:rsidP="00630147">
            <w:pPr>
              <w:pStyle w:val="StyleZakonu"/>
              <w:rPr>
                <w:color w:val="000000" w:themeColor="text1"/>
              </w:rPr>
            </w:pPr>
            <w:r w:rsidRPr="00286216">
              <w:rPr>
                <w:color w:val="000000" w:themeColor="text1"/>
              </w:rPr>
              <w:t xml:space="preserve">"3. Місцезнаходженням цінних паперів, що існують в </w:t>
            </w:r>
            <w:r w:rsidRPr="00286216">
              <w:rPr>
                <w:color w:val="000000" w:themeColor="text1"/>
                <w:szCs w:val="18"/>
              </w:rPr>
              <w:t>електронній</w:t>
            </w:r>
            <w:r w:rsidRPr="00286216">
              <w:rPr>
                <w:color w:val="000000" w:themeColor="text1"/>
              </w:rPr>
              <w:t xml:space="preserve"> формі, вважається держава місцезнаходження професійного учасника ринків капіталу - депозитарної установи або особи, яка провадить аналогічну діяльність у такій державі.</w:t>
            </w:r>
          </w:p>
        </w:tc>
      </w:tr>
      <w:tr w:rsidR="00630147" w:rsidRPr="00286216" w14:paraId="25D8D0B6" w14:textId="77777777" w:rsidTr="00091AA5">
        <w:tc>
          <w:tcPr>
            <w:tcW w:w="576" w:type="dxa"/>
          </w:tcPr>
          <w:p w14:paraId="26F8AD86" w14:textId="77777777" w:rsidR="00630147" w:rsidRPr="00286216" w:rsidRDefault="00630147" w:rsidP="00630147">
            <w:pPr>
              <w:pStyle w:val="StyleWisnow"/>
              <w:rPr>
                <w:color w:val="000000" w:themeColor="text1"/>
              </w:rPr>
            </w:pPr>
            <w:bookmarkStart w:id="3256" w:name="n3386" w:colFirst="0" w:colLast="0"/>
            <w:bookmarkEnd w:id="3255"/>
            <w:r w:rsidRPr="00286216">
              <w:rPr>
                <w:color w:val="000000" w:themeColor="text1"/>
              </w:rPr>
              <w:t>3386.</w:t>
            </w:r>
          </w:p>
        </w:tc>
        <w:tc>
          <w:tcPr>
            <w:tcW w:w="4818" w:type="dxa"/>
          </w:tcPr>
          <w:p w14:paraId="2D25B41D" w14:textId="77777777" w:rsidR="00630147" w:rsidRPr="00286216" w:rsidRDefault="00630147" w:rsidP="00630147">
            <w:pPr>
              <w:pStyle w:val="StyleZakonu"/>
              <w:rPr>
                <w:color w:val="000000" w:themeColor="text1"/>
              </w:rPr>
            </w:pPr>
            <w:r w:rsidRPr="00286216">
              <w:rPr>
                <w:color w:val="000000" w:themeColor="text1"/>
              </w:rPr>
              <w:t>4. Майнові права на грошові кошти, що знаходяться на банківському рахунку, вважаються такими, що знаходяться в державі місцезнаходження відповідного банку або особи, яка здійснює аналогічну діяльність в іншій державі.";</w:t>
            </w:r>
          </w:p>
        </w:tc>
        <w:tc>
          <w:tcPr>
            <w:tcW w:w="3686" w:type="dxa"/>
          </w:tcPr>
          <w:p w14:paraId="1A7B8C7C" w14:textId="77777777" w:rsidR="00630147" w:rsidRPr="00286216" w:rsidRDefault="00630147" w:rsidP="00630147">
            <w:pPr>
              <w:pStyle w:val="StyleProp"/>
              <w:rPr>
                <w:color w:val="000000" w:themeColor="text1"/>
                <w:szCs w:val="18"/>
              </w:rPr>
            </w:pPr>
          </w:p>
        </w:tc>
        <w:tc>
          <w:tcPr>
            <w:tcW w:w="1987" w:type="dxa"/>
          </w:tcPr>
          <w:p w14:paraId="10C9439F" w14:textId="77777777" w:rsidR="00630147" w:rsidRPr="00286216" w:rsidRDefault="00630147" w:rsidP="00630147">
            <w:pPr>
              <w:pStyle w:val="StyleWisnow"/>
              <w:rPr>
                <w:color w:val="000000" w:themeColor="text1"/>
              </w:rPr>
            </w:pPr>
          </w:p>
        </w:tc>
        <w:tc>
          <w:tcPr>
            <w:tcW w:w="4818" w:type="dxa"/>
          </w:tcPr>
          <w:p w14:paraId="1433E4AF" w14:textId="2F643A0F" w:rsidR="00630147" w:rsidRPr="00286216" w:rsidRDefault="00630147" w:rsidP="00630147">
            <w:pPr>
              <w:pStyle w:val="StyleZakonu"/>
              <w:rPr>
                <w:color w:val="000000" w:themeColor="text1"/>
              </w:rPr>
            </w:pPr>
            <w:r w:rsidRPr="00286216">
              <w:rPr>
                <w:color w:val="000000" w:themeColor="text1"/>
              </w:rPr>
              <w:t>4. Майнові права на грошові кошти, що знаходяться на банківському рахунку, вважаються такими, що знаходяться в державі місцезнаходження відповідного банку або особи, яка здійснює аналогічну діяльність в іншій державі";</w:t>
            </w:r>
          </w:p>
        </w:tc>
      </w:tr>
      <w:tr w:rsidR="00630147" w:rsidRPr="00286216" w14:paraId="1E8A52CD" w14:textId="77777777" w:rsidTr="00091AA5">
        <w:tc>
          <w:tcPr>
            <w:tcW w:w="576" w:type="dxa"/>
          </w:tcPr>
          <w:p w14:paraId="09CBA65E" w14:textId="77777777" w:rsidR="00630147" w:rsidRPr="00286216" w:rsidRDefault="00630147" w:rsidP="00630147">
            <w:pPr>
              <w:pStyle w:val="StyleWisnow"/>
              <w:rPr>
                <w:color w:val="000000" w:themeColor="text1"/>
              </w:rPr>
            </w:pPr>
            <w:bookmarkStart w:id="3257" w:name="n3387" w:colFirst="0" w:colLast="0"/>
            <w:bookmarkEnd w:id="3256"/>
            <w:r w:rsidRPr="00286216">
              <w:rPr>
                <w:color w:val="000000" w:themeColor="text1"/>
              </w:rPr>
              <w:t>3387.</w:t>
            </w:r>
          </w:p>
        </w:tc>
        <w:tc>
          <w:tcPr>
            <w:tcW w:w="4818" w:type="dxa"/>
          </w:tcPr>
          <w:p w14:paraId="64BA2C3A" w14:textId="77777777" w:rsidR="00630147" w:rsidRPr="00286216" w:rsidRDefault="00630147" w:rsidP="00630147">
            <w:pPr>
              <w:pStyle w:val="StyleZakonu"/>
              <w:rPr>
                <w:color w:val="000000" w:themeColor="text1"/>
              </w:rPr>
            </w:pPr>
            <w:r w:rsidRPr="00286216">
              <w:rPr>
                <w:color w:val="000000" w:themeColor="text1"/>
              </w:rPr>
              <w:t>3) у частині другій статті 44:</w:t>
            </w:r>
          </w:p>
        </w:tc>
        <w:tc>
          <w:tcPr>
            <w:tcW w:w="3686" w:type="dxa"/>
          </w:tcPr>
          <w:p w14:paraId="553FA33B" w14:textId="77777777" w:rsidR="00630147" w:rsidRPr="00286216" w:rsidRDefault="00630147" w:rsidP="00630147">
            <w:pPr>
              <w:pStyle w:val="StyleProp"/>
              <w:rPr>
                <w:color w:val="000000" w:themeColor="text1"/>
                <w:szCs w:val="18"/>
              </w:rPr>
            </w:pPr>
          </w:p>
        </w:tc>
        <w:tc>
          <w:tcPr>
            <w:tcW w:w="1987" w:type="dxa"/>
          </w:tcPr>
          <w:p w14:paraId="0565F96F" w14:textId="77777777" w:rsidR="00630147" w:rsidRPr="00286216" w:rsidRDefault="00630147" w:rsidP="00630147">
            <w:pPr>
              <w:pStyle w:val="StyleWisnow"/>
              <w:rPr>
                <w:color w:val="000000" w:themeColor="text1"/>
              </w:rPr>
            </w:pPr>
          </w:p>
        </w:tc>
        <w:tc>
          <w:tcPr>
            <w:tcW w:w="4818" w:type="dxa"/>
          </w:tcPr>
          <w:p w14:paraId="341ED97D" w14:textId="283502E7" w:rsidR="00630147" w:rsidRPr="00286216" w:rsidRDefault="00630147" w:rsidP="00630147">
            <w:pPr>
              <w:pStyle w:val="StyleZakonu"/>
              <w:rPr>
                <w:color w:val="000000" w:themeColor="text1"/>
              </w:rPr>
            </w:pPr>
            <w:r w:rsidRPr="00286216">
              <w:rPr>
                <w:color w:val="000000" w:themeColor="text1"/>
              </w:rPr>
              <w:t>3) у частині другій статті 44:</w:t>
            </w:r>
          </w:p>
        </w:tc>
      </w:tr>
      <w:tr w:rsidR="00630147" w:rsidRPr="00286216" w14:paraId="53689FF4" w14:textId="77777777" w:rsidTr="00091AA5">
        <w:tc>
          <w:tcPr>
            <w:tcW w:w="576" w:type="dxa"/>
          </w:tcPr>
          <w:p w14:paraId="3B973367" w14:textId="77777777" w:rsidR="00630147" w:rsidRPr="00286216" w:rsidRDefault="00630147" w:rsidP="00630147">
            <w:pPr>
              <w:pStyle w:val="StyleWisnow"/>
              <w:rPr>
                <w:color w:val="000000" w:themeColor="text1"/>
              </w:rPr>
            </w:pPr>
            <w:bookmarkStart w:id="3258" w:name="n3388" w:colFirst="0" w:colLast="0"/>
            <w:bookmarkEnd w:id="3257"/>
            <w:r w:rsidRPr="00286216">
              <w:rPr>
                <w:color w:val="000000" w:themeColor="text1"/>
              </w:rPr>
              <w:t>3388.</w:t>
            </w:r>
          </w:p>
        </w:tc>
        <w:tc>
          <w:tcPr>
            <w:tcW w:w="4818" w:type="dxa"/>
          </w:tcPr>
          <w:p w14:paraId="329BC159" w14:textId="77777777" w:rsidR="00630147" w:rsidRPr="00286216" w:rsidRDefault="00630147" w:rsidP="00630147">
            <w:pPr>
              <w:pStyle w:val="StyleZakonu"/>
              <w:rPr>
                <w:color w:val="000000" w:themeColor="text1"/>
              </w:rPr>
            </w:pPr>
            <w:r w:rsidRPr="00286216">
              <w:rPr>
                <w:color w:val="000000" w:themeColor="text1"/>
              </w:rPr>
              <w:t>а) у пункті 3 слова "на біржі" замінити словами "на регульованому ринку", а слова "знаходиться біржа" замінити словами "зареєстрований оператор організованого ринку капіталу";</w:t>
            </w:r>
          </w:p>
        </w:tc>
        <w:tc>
          <w:tcPr>
            <w:tcW w:w="3686" w:type="dxa"/>
          </w:tcPr>
          <w:p w14:paraId="1C553F63" w14:textId="316519E6" w:rsidR="00630147" w:rsidRPr="00286216" w:rsidRDefault="00630147" w:rsidP="00630147">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1420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D6D7A75" w14:textId="77777777" w:rsidR="00630147" w:rsidRPr="00286216" w:rsidRDefault="00630147" w:rsidP="00630147">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3BFF848A" w14:textId="77777777" w:rsidR="00630147" w:rsidRPr="00286216" w:rsidRDefault="00630147" w:rsidP="00630147">
            <w:pPr>
              <w:pStyle w:val="StyleProp"/>
              <w:rPr>
                <w:color w:val="000000" w:themeColor="text1"/>
                <w:szCs w:val="18"/>
              </w:rPr>
            </w:pPr>
            <w:r w:rsidRPr="00286216">
              <w:rPr>
                <w:color w:val="000000" w:themeColor="text1"/>
                <w:szCs w:val="18"/>
              </w:rPr>
              <w:t>В підпункті «а» підпункту 3 пункту 37 слово «регульованому» замінити словом  «організованому».</w:t>
            </w:r>
          </w:p>
        </w:tc>
        <w:tc>
          <w:tcPr>
            <w:tcW w:w="1987" w:type="dxa"/>
          </w:tcPr>
          <w:p w14:paraId="548C7826"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2BEA37BA" w14:textId="341D2B59" w:rsidR="00630147" w:rsidRPr="00286216" w:rsidRDefault="00630147" w:rsidP="00630147">
            <w:pPr>
              <w:pStyle w:val="StyleZakonu"/>
              <w:rPr>
                <w:color w:val="000000" w:themeColor="text1"/>
              </w:rPr>
            </w:pPr>
            <w:r w:rsidRPr="00286216">
              <w:rPr>
                <w:color w:val="000000" w:themeColor="text1"/>
              </w:rPr>
              <w:t xml:space="preserve">а) у пункті 3 слова "на біржі" замінити словами "на </w:t>
            </w:r>
            <w:r w:rsidRPr="00286216">
              <w:rPr>
                <w:color w:val="000000" w:themeColor="text1"/>
                <w:szCs w:val="18"/>
              </w:rPr>
              <w:t>організованому</w:t>
            </w:r>
            <w:r w:rsidRPr="00286216" w:rsidDel="00107146">
              <w:rPr>
                <w:color w:val="000000" w:themeColor="text1"/>
              </w:rPr>
              <w:t xml:space="preserve"> </w:t>
            </w:r>
            <w:r w:rsidRPr="00286216">
              <w:rPr>
                <w:color w:val="000000" w:themeColor="text1"/>
              </w:rPr>
              <w:t>ринку", а слова "знаходиться біржа" – словами "зареєстрований оператор організованого ринку капіталу";</w:t>
            </w:r>
          </w:p>
        </w:tc>
      </w:tr>
      <w:tr w:rsidR="00630147" w:rsidRPr="00286216" w14:paraId="090E0C56" w14:textId="77777777" w:rsidTr="00091AA5">
        <w:tc>
          <w:tcPr>
            <w:tcW w:w="576" w:type="dxa"/>
          </w:tcPr>
          <w:p w14:paraId="6FCD351F" w14:textId="77777777" w:rsidR="00630147" w:rsidRPr="00286216" w:rsidRDefault="00630147" w:rsidP="00630147">
            <w:pPr>
              <w:pStyle w:val="StyleWisnow"/>
              <w:rPr>
                <w:color w:val="000000" w:themeColor="text1"/>
              </w:rPr>
            </w:pPr>
            <w:bookmarkStart w:id="3259" w:name="n3389" w:colFirst="0" w:colLast="0"/>
            <w:bookmarkEnd w:id="3258"/>
            <w:r w:rsidRPr="00286216">
              <w:rPr>
                <w:color w:val="000000" w:themeColor="text1"/>
              </w:rPr>
              <w:t>3389.</w:t>
            </w:r>
          </w:p>
        </w:tc>
        <w:tc>
          <w:tcPr>
            <w:tcW w:w="4818" w:type="dxa"/>
          </w:tcPr>
          <w:p w14:paraId="2E7BCC2A" w14:textId="77777777" w:rsidR="00630147" w:rsidRPr="00286216" w:rsidRDefault="00630147" w:rsidP="00630147">
            <w:pPr>
              <w:pStyle w:val="StyleZakonu"/>
              <w:rPr>
                <w:color w:val="000000" w:themeColor="text1"/>
              </w:rPr>
            </w:pPr>
            <w:r w:rsidRPr="00286216">
              <w:rPr>
                <w:color w:val="000000" w:themeColor="text1"/>
              </w:rPr>
              <w:t>б) доповнити пунктом 4 такого змісту:</w:t>
            </w:r>
          </w:p>
        </w:tc>
        <w:tc>
          <w:tcPr>
            <w:tcW w:w="3686" w:type="dxa"/>
          </w:tcPr>
          <w:p w14:paraId="5E54424B" w14:textId="77777777" w:rsidR="00630147" w:rsidRPr="00286216" w:rsidRDefault="00630147" w:rsidP="00630147">
            <w:pPr>
              <w:pStyle w:val="StyleProp"/>
              <w:rPr>
                <w:color w:val="000000" w:themeColor="text1"/>
                <w:szCs w:val="18"/>
              </w:rPr>
            </w:pPr>
          </w:p>
        </w:tc>
        <w:tc>
          <w:tcPr>
            <w:tcW w:w="1987" w:type="dxa"/>
          </w:tcPr>
          <w:p w14:paraId="61802BAF" w14:textId="77777777" w:rsidR="00630147" w:rsidRPr="00286216" w:rsidRDefault="00630147" w:rsidP="00630147">
            <w:pPr>
              <w:pStyle w:val="StyleWisnow"/>
              <w:rPr>
                <w:color w:val="000000" w:themeColor="text1"/>
              </w:rPr>
            </w:pPr>
          </w:p>
        </w:tc>
        <w:tc>
          <w:tcPr>
            <w:tcW w:w="4818" w:type="dxa"/>
          </w:tcPr>
          <w:p w14:paraId="0D18BCC2" w14:textId="5B7FC925" w:rsidR="00630147" w:rsidRPr="00286216" w:rsidRDefault="00630147" w:rsidP="00630147">
            <w:pPr>
              <w:pStyle w:val="StyleZakonu"/>
              <w:rPr>
                <w:color w:val="000000" w:themeColor="text1"/>
              </w:rPr>
            </w:pPr>
            <w:r w:rsidRPr="00286216">
              <w:rPr>
                <w:color w:val="000000" w:themeColor="text1"/>
              </w:rPr>
              <w:t>б) доповнити пунктом 4 такого змісту:</w:t>
            </w:r>
          </w:p>
        </w:tc>
      </w:tr>
      <w:tr w:rsidR="00630147" w:rsidRPr="00286216" w14:paraId="38115DE5" w14:textId="77777777" w:rsidTr="00091AA5">
        <w:tc>
          <w:tcPr>
            <w:tcW w:w="576" w:type="dxa"/>
          </w:tcPr>
          <w:p w14:paraId="7AFBF902" w14:textId="77777777" w:rsidR="00630147" w:rsidRPr="00286216" w:rsidRDefault="00630147" w:rsidP="00630147">
            <w:pPr>
              <w:pStyle w:val="StyleWisnow"/>
              <w:rPr>
                <w:color w:val="000000" w:themeColor="text1"/>
              </w:rPr>
            </w:pPr>
            <w:bookmarkStart w:id="3260" w:name="n3390" w:colFirst="0" w:colLast="0"/>
            <w:bookmarkEnd w:id="3259"/>
            <w:r w:rsidRPr="00286216">
              <w:rPr>
                <w:color w:val="000000" w:themeColor="text1"/>
              </w:rPr>
              <w:t>3390.</w:t>
            </w:r>
          </w:p>
        </w:tc>
        <w:tc>
          <w:tcPr>
            <w:tcW w:w="4818" w:type="dxa"/>
          </w:tcPr>
          <w:p w14:paraId="2F8CC3A7" w14:textId="77777777" w:rsidR="00630147" w:rsidRPr="00286216" w:rsidRDefault="00630147" w:rsidP="00630147">
            <w:pPr>
              <w:pStyle w:val="StyleZakonu"/>
              <w:rPr>
                <w:color w:val="000000" w:themeColor="text1"/>
              </w:rPr>
            </w:pPr>
            <w:r w:rsidRPr="00286216">
              <w:rPr>
                <w:color w:val="000000" w:themeColor="text1"/>
              </w:rPr>
              <w:t>"4) щодо договорів про обслуговування рахунка у цінних паперах - право держави місцезнаходження відповідного професійного учасника ринків капіталу - депозитарної установи або особи, яка здійснює аналогічну діяльність.".</w:t>
            </w:r>
          </w:p>
        </w:tc>
        <w:tc>
          <w:tcPr>
            <w:tcW w:w="3686" w:type="dxa"/>
          </w:tcPr>
          <w:p w14:paraId="463AB64F" w14:textId="77777777" w:rsidR="00630147" w:rsidRPr="00286216" w:rsidRDefault="00630147" w:rsidP="00630147">
            <w:pPr>
              <w:pStyle w:val="StyleProp"/>
              <w:rPr>
                <w:color w:val="000000" w:themeColor="text1"/>
                <w:szCs w:val="18"/>
              </w:rPr>
            </w:pPr>
          </w:p>
        </w:tc>
        <w:tc>
          <w:tcPr>
            <w:tcW w:w="1987" w:type="dxa"/>
          </w:tcPr>
          <w:p w14:paraId="5570C9F7" w14:textId="77777777" w:rsidR="00630147" w:rsidRPr="00286216" w:rsidRDefault="00630147" w:rsidP="00630147">
            <w:pPr>
              <w:pStyle w:val="StyleWisnow"/>
              <w:rPr>
                <w:color w:val="000000" w:themeColor="text1"/>
              </w:rPr>
            </w:pPr>
          </w:p>
        </w:tc>
        <w:tc>
          <w:tcPr>
            <w:tcW w:w="4818" w:type="dxa"/>
          </w:tcPr>
          <w:p w14:paraId="6300FDB1" w14:textId="5127E1B5" w:rsidR="00630147" w:rsidRPr="00286216" w:rsidRDefault="00630147" w:rsidP="00630147">
            <w:pPr>
              <w:pStyle w:val="StyleZakonu"/>
              <w:rPr>
                <w:color w:val="000000" w:themeColor="text1"/>
              </w:rPr>
            </w:pPr>
            <w:r w:rsidRPr="00286216">
              <w:rPr>
                <w:color w:val="000000" w:themeColor="text1"/>
              </w:rPr>
              <w:t>"4) щодо договорів про обслуговування рахунка у цінних паперах - право держави місцезнаходження відповідного професійного учасника ринків капіталу - депозитарної установи або особи, яка провадить аналогічну діяльність".</w:t>
            </w:r>
          </w:p>
        </w:tc>
      </w:tr>
      <w:tr w:rsidR="00630147" w:rsidRPr="00286216" w14:paraId="0E18578D" w14:textId="77777777" w:rsidTr="00091AA5">
        <w:tc>
          <w:tcPr>
            <w:tcW w:w="576" w:type="dxa"/>
          </w:tcPr>
          <w:p w14:paraId="0D4BF7EE" w14:textId="77777777" w:rsidR="00630147" w:rsidRPr="00286216" w:rsidRDefault="00630147" w:rsidP="00630147">
            <w:pPr>
              <w:pStyle w:val="StyleWisnow"/>
              <w:rPr>
                <w:color w:val="000000" w:themeColor="text1"/>
              </w:rPr>
            </w:pPr>
            <w:bookmarkStart w:id="3261" w:name="n3391" w:colFirst="0" w:colLast="0"/>
            <w:bookmarkEnd w:id="3260"/>
            <w:r w:rsidRPr="00286216">
              <w:rPr>
                <w:color w:val="000000" w:themeColor="text1"/>
              </w:rPr>
              <w:t>3391.</w:t>
            </w:r>
          </w:p>
        </w:tc>
        <w:tc>
          <w:tcPr>
            <w:tcW w:w="4818" w:type="dxa"/>
          </w:tcPr>
          <w:p w14:paraId="367321DB" w14:textId="77777777" w:rsidR="00630147" w:rsidRPr="00286216" w:rsidRDefault="00630147" w:rsidP="00630147">
            <w:pPr>
              <w:pStyle w:val="StyleZakonu"/>
              <w:rPr>
                <w:color w:val="000000" w:themeColor="text1"/>
              </w:rPr>
            </w:pPr>
            <w:r w:rsidRPr="00286216">
              <w:rPr>
                <w:color w:val="000000" w:themeColor="text1"/>
              </w:rPr>
              <w:t>38. У Законі України "Про іпотечні облігації" (Відомості Верховної Ради України, 2006 р., №16, ст. 134, із наступними змінами):</w:t>
            </w:r>
          </w:p>
        </w:tc>
        <w:tc>
          <w:tcPr>
            <w:tcW w:w="3686" w:type="dxa"/>
          </w:tcPr>
          <w:p w14:paraId="79E69177" w14:textId="77777777" w:rsidR="00630147" w:rsidRPr="00286216" w:rsidRDefault="00630147" w:rsidP="00630147">
            <w:pPr>
              <w:pStyle w:val="StyleProp"/>
              <w:rPr>
                <w:color w:val="000000" w:themeColor="text1"/>
                <w:szCs w:val="18"/>
              </w:rPr>
            </w:pPr>
          </w:p>
        </w:tc>
        <w:tc>
          <w:tcPr>
            <w:tcW w:w="1987" w:type="dxa"/>
          </w:tcPr>
          <w:p w14:paraId="1D678A4D" w14:textId="77777777" w:rsidR="00630147" w:rsidRPr="00286216" w:rsidRDefault="00630147" w:rsidP="00630147">
            <w:pPr>
              <w:pStyle w:val="StyleWisnow"/>
              <w:rPr>
                <w:color w:val="000000" w:themeColor="text1"/>
              </w:rPr>
            </w:pPr>
          </w:p>
        </w:tc>
        <w:tc>
          <w:tcPr>
            <w:tcW w:w="4818" w:type="dxa"/>
          </w:tcPr>
          <w:p w14:paraId="2831806B" w14:textId="714228EC" w:rsidR="00630147" w:rsidRPr="00286216" w:rsidRDefault="00630147" w:rsidP="00630147">
            <w:pPr>
              <w:pStyle w:val="StyleZakonu"/>
              <w:rPr>
                <w:color w:val="000000" w:themeColor="text1"/>
              </w:rPr>
            </w:pPr>
            <w:r w:rsidRPr="00286216">
              <w:rPr>
                <w:color w:val="000000" w:themeColor="text1"/>
              </w:rPr>
              <w:t>35. У Законі України "Про іпотечні облігації" (Відомості Верховної Ради України, 2006 р., №16, ст. 134 із наступними змінами):</w:t>
            </w:r>
          </w:p>
        </w:tc>
      </w:tr>
      <w:tr w:rsidR="00630147" w:rsidRPr="00286216" w14:paraId="78291EE4" w14:textId="77777777" w:rsidTr="00091AA5">
        <w:tc>
          <w:tcPr>
            <w:tcW w:w="576" w:type="dxa"/>
          </w:tcPr>
          <w:p w14:paraId="56E3650F" w14:textId="77777777" w:rsidR="00630147" w:rsidRPr="00286216" w:rsidRDefault="00630147" w:rsidP="00630147">
            <w:pPr>
              <w:pStyle w:val="StyleWisnow"/>
              <w:rPr>
                <w:color w:val="000000" w:themeColor="text1"/>
              </w:rPr>
            </w:pPr>
            <w:bookmarkStart w:id="3262" w:name="n3392" w:colFirst="0" w:colLast="0"/>
            <w:bookmarkEnd w:id="3261"/>
            <w:r w:rsidRPr="00286216">
              <w:rPr>
                <w:color w:val="000000" w:themeColor="text1"/>
              </w:rPr>
              <w:t>3392.</w:t>
            </w:r>
          </w:p>
        </w:tc>
        <w:tc>
          <w:tcPr>
            <w:tcW w:w="4818" w:type="dxa"/>
          </w:tcPr>
          <w:p w14:paraId="6CA8CA10" w14:textId="77777777" w:rsidR="00630147" w:rsidRPr="00286216" w:rsidRDefault="00630147" w:rsidP="00630147">
            <w:pPr>
              <w:pStyle w:val="StyleZakonu"/>
              <w:rPr>
                <w:color w:val="000000" w:themeColor="text1"/>
              </w:rPr>
            </w:pPr>
            <w:r w:rsidRPr="00286216">
              <w:rPr>
                <w:color w:val="000000" w:themeColor="text1"/>
              </w:rPr>
              <w:t>1) у статті 2:</w:t>
            </w:r>
          </w:p>
        </w:tc>
        <w:tc>
          <w:tcPr>
            <w:tcW w:w="3686" w:type="dxa"/>
          </w:tcPr>
          <w:p w14:paraId="225CAAF2" w14:textId="77777777" w:rsidR="00630147" w:rsidRPr="00286216" w:rsidRDefault="00630147" w:rsidP="00630147">
            <w:pPr>
              <w:pStyle w:val="StyleProp"/>
              <w:rPr>
                <w:color w:val="000000" w:themeColor="text1"/>
                <w:szCs w:val="18"/>
              </w:rPr>
            </w:pPr>
          </w:p>
        </w:tc>
        <w:tc>
          <w:tcPr>
            <w:tcW w:w="1987" w:type="dxa"/>
          </w:tcPr>
          <w:p w14:paraId="5816C561" w14:textId="77777777" w:rsidR="00630147" w:rsidRPr="00286216" w:rsidRDefault="00630147" w:rsidP="00630147">
            <w:pPr>
              <w:pStyle w:val="StyleWisnow"/>
              <w:rPr>
                <w:color w:val="000000" w:themeColor="text1"/>
              </w:rPr>
            </w:pPr>
          </w:p>
        </w:tc>
        <w:tc>
          <w:tcPr>
            <w:tcW w:w="4818" w:type="dxa"/>
          </w:tcPr>
          <w:p w14:paraId="7C9EEE4E" w14:textId="42837979" w:rsidR="00630147" w:rsidRPr="00286216" w:rsidRDefault="00630147" w:rsidP="00630147">
            <w:pPr>
              <w:pStyle w:val="StyleZakonu"/>
              <w:rPr>
                <w:color w:val="000000" w:themeColor="text1"/>
              </w:rPr>
            </w:pPr>
            <w:r w:rsidRPr="00286216">
              <w:rPr>
                <w:color w:val="000000" w:themeColor="text1"/>
              </w:rPr>
              <w:t>1) у статті 2:</w:t>
            </w:r>
          </w:p>
        </w:tc>
      </w:tr>
      <w:tr w:rsidR="00630147" w:rsidRPr="00286216" w14:paraId="199C763F" w14:textId="77777777" w:rsidTr="00091AA5">
        <w:tc>
          <w:tcPr>
            <w:tcW w:w="576" w:type="dxa"/>
          </w:tcPr>
          <w:p w14:paraId="5C931B12" w14:textId="77777777" w:rsidR="00630147" w:rsidRPr="00286216" w:rsidRDefault="00630147" w:rsidP="00630147">
            <w:pPr>
              <w:pStyle w:val="StyleWisnow"/>
              <w:rPr>
                <w:color w:val="000000" w:themeColor="text1"/>
              </w:rPr>
            </w:pPr>
            <w:bookmarkStart w:id="3263" w:name="n3393" w:colFirst="0" w:colLast="0"/>
            <w:bookmarkEnd w:id="3262"/>
            <w:r w:rsidRPr="00286216">
              <w:rPr>
                <w:color w:val="000000" w:themeColor="text1"/>
              </w:rPr>
              <w:t>3393.</w:t>
            </w:r>
          </w:p>
        </w:tc>
        <w:tc>
          <w:tcPr>
            <w:tcW w:w="4818" w:type="dxa"/>
          </w:tcPr>
          <w:p w14:paraId="12826054" w14:textId="77777777" w:rsidR="00630147" w:rsidRPr="00286216" w:rsidRDefault="00630147" w:rsidP="00630147">
            <w:pPr>
              <w:pStyle w:val="StyleZakonu"/>
              <w:rPr>
                <w:color w:val="000000" w:themeColor="text1"/>
              </w:rPr>
            </w:pPr>
            <w:r w:rsidRPr="00286216">
              <w:rPr>
                <w:color w:val="000000" w:themeColor="text1"/>
              </w:rPr>
              <w:t>а) пункт дев’ятий частини першої виключити;</w:t>
            </w:r>
          </w:p>
        </w:tc>
        <w:tc>
          <w:tcPr>
            <w:tcW w:w="3686" w:type="dxa"/>
          </w:tcPr>
          <w:p w14:paraId="2EB62160" w14:textId="77777777" w:rsidR="00630147" w:rsidRPr="00286216" w:rsidRDefault="00630147" w:rsidP="00630147">
            <w:pPr>
              <w:pStyle w:val="StyleProp"/>
              <w:rPr>
                <w:color w:val="000000" w:themeColor="text1"/>
                <w:szCs w:val="18"/>
              </w:rPr>
            </w:pPr>
          </w:p>
        </w:tc>
        <w:tc>
          <w:tcPr>
            <w:tcW w:w="1987" w:type="dxa"/>
          </w:tcPr>
          <w:p w14:paraId="1C2B35D2" w14:textId="77777777" w:rsidR="00630147" w:rsidRPr="00286216" w:rsidRDefault="00630147" w:rsidP="00630147">
            <w:pPr>
              <w:pStyle w:val="StyleWisnow"/>
              <w:rPr>
                <w:color w:val="000000" w:themeColor="text1"/>
              </w:rPr>
            </w:pPr>
          </w:p>
        </w:tc>
        <w:tc>
          <w:tcPr>
            <w:tcW w:w="4818" w:type="dxa"/>
          </w:tcPr>
          <w:p w14:paraId="40BC79E1" w14:textId="1C43D60E" w:rsidR="00630147" w:rsidRPr="00286216" w:rsidRDefault="00630147" w:rsidP="00630147">
            <w:pPr>
              <w:pStyle w:val="StyleZakonu"/>
              <w:rPr>
                <w:color w:val="000000" w:themeColor="text1"/>
              </w:rPr>
            </w:pPr>
            <w:r w:rsidRPr="00286216">
              <w:rPr>
                <w:color w:val="000000" w:themeColor="text1"/>
              </w:rPr>
              <w:t>а) пункт 9 частини першої виключити;</w:t>
            </w:r>
          </w:p>
        </w:tc>
      </w:tr>
      <w:tr w:rsidR="00630147" w:rsidRPr="00286216" w14:paraId="64ACCB06" w14:textId="77777777" w:rsidTr="00091AA5">
        <w:tc>
          <w:tcPr>
            <w:tcW w:w="576" w:type="dxa"/>
          </w:tcPr>
          <w:p w14:paraId="227109A2" w14:textId="77777777" w:rsidR="00630147" w:rsidRPr="00286216" w:rsidRDefault="00630147" w:rsidP="00630147">
            <w:pPr>
              <w:pStyle w:val="StyleWisnow"/>
              <w:rPr>
                <w:color w:val="000000" w:themeColor="text1"/>
              </w:rPr>
            </w:pPr>
            <w:bookmarkStart w:id="3264" w:name="n3394" w:colFirst="0" w:colLast="0"/>
            <w:bookmarkEnd w:id="3263"/>
            <w:r w:rsidRPr="00286216">
              <w:rPr>
                <w:color w:val="000000" w:themeColor="text1"/>
              </w:rPr>
              <w:t>3394.</w:t>
            </w:r>
          </w:p>
        </w:tc>
        <w:tc>
          <w:tcPr>
            <w:tcW w:w="4818" w:type="dxa"/>
          </w:tcPr>
          <w:p w14:paraId="658B4EE9" w14:textId="77777777" w:rsidR="00630147" w:rsidRPr="00286216" w:rsidRDefault="00630147" w:rsidP="00630147">
            <w:pPr>
              <w:pStyle w:val="StyleZakonu"/>
              <w:rPr>
                <w:color w:val="000000" w:themeColor="text1"/>
              </w:rPr>
            </w:pPr>
            <w:r w:rsidRPr="00286216">
              <w:rPr>
                <w:color w:val="000000" w:themeColor="text1"/>
              </w:rPr>
              <w:t>б) доповнити статтю частиною другою такого змісту:</w:t>
            </w:r>
          </w:p>
        </w:tc>
        <w:tc>
          <w:tcPr>
            <w:tcW w:w="3686" w:type="dxa"/>
          </w:tcPr>
          <w:p w14:paraId="2C5F304A" w14:textId="77777777" w:rsidR="00630147" w:rsidRPr="00286216" w:rsidRDefault="00630147" w:rsidP="00630147">
            <w:pPr>
              <w:pStyle w:val="StyleProp"/>
              <w:rPr>
                <w:color w:val="000000" w:themeColor="text1"/>
                <w:szCs w:val="18"/>
              </w:rPr>
            </w:pPr>
          </w:p>
        </w:tc>
        <w:tc>
          <w:tcPr>
            <w:tcW w:w="1987" w:type="dxa"/>
          </w:tcPr>
          <w:p w14:paraId="5ACC5315" w14:textId="77777777" w:rsidR="00630147" w:rsidRPr="00286216" w:rsidRDefault="00630147" w:rsidP="00630147">
            <w:pPr>
              <w:pStyle w:val="StyleWisnow"/>
              <w:rPr>
                <w:color w:val="000000" w:themeColor="text1"/>
              </w:rPr>
            </w:pPr>
          </w:p>
        </w:tc>
        <w:tc>
          <w:tcPr>
            <w:tcW w:w="4818" w:type="dxa"/>
          </w:tcPr>
          <w:p w14:paraId="6B9C426A" w14:textId="14A949DB" w:rsidR="00630147" w:rsidRPr="00286216" w:rsidRDefault="00630147" w:rsidP="00630147">
            <w:pPr>
              <w:pStyle w:val="StyleZakonu"/>
              <w:rPr>
                <w:color w:val="000000" w:themeColor="text1"/>
              </w:rPr>
            </w:pPr>
            <w:r w:rsidRPr="00286216">
              <w:rPr>
                <w:color w:val="000000" w:themeColor="text1"/>
              </w:rPr>
              <w:t>б) доповнити частиною другою такого змісту:</w:t>
            </w:r>
          </w:p>
        </w:tc>
      </w:tr>
      <w:tr w:rsidR="00630147" w:rsidRPr="00286216" w14:paraId="77DB9478" w14:textId="77777777" w:rsidTr="00091AA5">
        <w:tc>
          <w:tcPr>
            <w:tcW w:w="576" w:type="dxa"/>
          </w:tcPr>
          <w:p w14:paraId="53F5A262" w14:textId="77777777" w:rsidR="00630147" w:rsidRPr="00286216" w:rsidRDefault="00630147" w:rsidP="00630147">
            <w:pPr>
              <w:pStyle w:val="StyleWisnow"/>
              <w:rPr>
                <w:color w:val="000000" w:themeColor="text1"/>
              </w:rPr>
            </w:pPr>
            <w:bookmarkStart w:id="3265" w:name="n3395" w:colFirst="0" w:colLast="0"/>
            <w:bookmarkEnd w:id="3264"/>
            <w:r w:rsidRPr="00286216">
              <w:rPr>
                <w:color w:val="000000" w:themeColor="text1"/>
              </w:rPr>
              <w:t>3395.</w:t>
            </w:r>
          </w:p>
        </w:tc>
        <w:tc>
          <w:tcPr>
            <w:tcW w:w="4818" w:type="dxa"/>
          </w:tcPr>
          <w:p w14:paraId="11637773" w14:textId="77777777" w:rsidR="00630147" w:rsidRPr="00286216" w:rsidRDefault="00630147" w:rsidP="00630147">
            <w:pPr>
              <w:pStyle w:val="StyleZakonu"/>
              <w:rPr>
                <w:color w:val="000000" w:themeColor="text1"/>
              </w:rPr>
            </w:pPr>
            <w:r w:rsidRPr="00286216">
              <w:rPr>
                <w:color w:val="000000" w:themeColor="text1"/>
              </w:rPr>
              <w:t>"2. Терміни "дефолт", "збори власників облігацій", "адміністратор за випуском облігацій", "проспект цінних паперів" та "ринки капіталу" у цьому Законі вживається у значеннях, наведених у Законі України "Про ринки капіталу та організовані товарні ринки".</w:t>
            </w:r>
          </w:p>
        </w:tc>
        <w:tc>
          <w:tcPr>
            <w:tcW w:w="3686" w:type="dxa"/>
          </w:tcPr>
          <w:p w14:paraId="2FEA3532" w14:textId="77777777" w:rsidR="00630147" w:rsidRPr="00286216" w:rsidRDefault="00630147" w:rsidP="00630147">
            <w:pPr>
              <w:pStyle w:val="StyleProp"/>
              <w:rPr>
                <w:color w:val="000000" w:themeColor="text1"/>
                <w:szCs w:val="18"/>
              </w:rPr>
            </w:pPr>
          </w:p>
        </w:tc>
        <w:tc>
          <w:tcPr>
            <w:tcW w:w="1987" w:type="dxa"/>
          </w:tcPr>
          <w:p w14:paraId="47077E67" w14:textId="77777777" w:rsidR="00630147" w:rsidRPr="00286216" w:rsidRDefault="00630147" w:rsidP="00630147">
            <w:pPr>
              <w:pStyle w:val="StyleWisnow"/>
              <w:rPr>
                <w:color w:val="000000" w:themeColor="text1"/>
              </w:rPr>
            </w:pPr>
          </w:p>
        </w:tc>
        <w:tc>
          <w:tcPr>
            <w:tcW w:w="4818" w:type="dxa"/>
          </w:tcPr>
          <w:p w14:paraId="05891AF3" w14:textId="66EB4F87" w:rsidR="00630147" w:rsidRPr="00286216" w:rsidRDefault="00630147" w:rsidP="00630147">
            <w:pPr>
              <w:pStyle w:val="StyleZakonu"/>
              <w:rPr>
                <w:color w:val="000000" w:themeColor="text1"/>
              </w:rPr>
            </w:pPr>
            <w:r w:rsidRPr="00286216">
              <w:rPr>
                <w:color w:val="000000" w:themeColor="text1"/>
              </w:rPr>
              <w:t>"2. Терміни "дефолт", "збори власників облігацій", "адміністратор за випуском облігацій", "проспект цінних паперів" та "ринки капіталу" у цьому Законі вживаються у значеннях, наведених у Законі України "Про ринки капіталу та організовані товарні ринки".</w:t>
            </w:r>
          </w:p>
        </w:tc>
      </w:tr>
      <w:tr w:rsidR="00630147" w:rsidRPr="00286216" w14:paraId="11120332" w14:textId="77777777" w:rsidTr="00091AA5">
        <w:tc>
          <w:tcPr>
            <w:tcW w:w="576" w:type="dxa"/>
          </w:tcPr>
          <w:p w14:paraId="3DDBC8A3" w14:textId="77777777" w:rsidR="00630147" w:rsidRPr="00286216" w:rsidRDefault="00630147" w:rsidP="00630147">
            <w:pPr>
              <w:pStyle w:val="StyleWisnow"/>
              <w:rPr>
                <w:color w:val="000000" w:themeColor="text1"/>
              </w:rPr>
            </w:pPr>
            <w:bookmarkStart w:id="3266" w:name="n3396" w:colFirst="0" w:colLast="0"/>
            <w:bookmarkEnd w:id="3265"/>
            <w:r w:rsidRPr="00286216">
              <w:rPr>
                <w:color w:val="000000" w:themeColor="text1"/>
              </w:rPr>
              <w:lastRenderedPageBreak/>
              <w:t>3396.</w:t>
            </w:r>
          </w:p>
        </w:tc>
        <w:tc>
          <w:tcPr>
            <w:tcW w:w="4818" w:type="dxa"/>
          </w:tcPr>
          <w:p w14:paraId="33ACF799" w14:textId="77777777" w:rsidR="00630147" w:rsidRPr="00286216" w:rsidRDefault="00630147" w:rsidP="00630147">
            <w:pPr>
              <w:pStyle w:val="StyleZakonu"/>
              <w:rPr>
                <w:color w:val="000000" w:themeColor="text1"/>
              </w:rPr>
            </w:pPr>
            <w:r w:rsidRPr="00286216">
              <w:rPr>
                <w:color w:val="000000" w:themeColor="text1"/>
              </w:rPr>
              <w:t>Термін "пов’язана особа" у цьому Законі вживається у значенні, наведеному в Законі України "Про фінансові послуги та державне регулювання ринків фінансових послуг".";</w:t>
            </w:r>
          </w:p>
        </w:tc>
        <w:tc>
          <w:tcPr>
            <w:tcW w:w="3686" w:type="dxa"/>
          </w:tcPr>
          <w:p w14:paraId="0DA36F05" w14:textId="77777777" w:rsidR="00630147" w:rsidRPr="00286216" w:rsidRDefault="00630147" w:rsidP="00630147">
            <w:pPr>
              <w:pStyle w:val="StyleProp"/>
              <w:rPr>
                <w:color w:val="000000" w:themeColor="text1"/>
                <w:szCs w:val="18"/>
              </w:rPr>
            </w:pPr>
          </w:p>
        </w:tc>
        <w:tc>
          <w:tcPr>
            <w:tcW w:w="1987" w:type="dxa"/>
          </w:tcPr>
          <w:p w14:paraId="51E6BC67" w14:textId="77777777" w:rsidR="00630147" w:rsidRPr="00286216" w:rsidRDefault="00630147" w:rsidP="00630147">
            <w:pPr>
              <w:pStyle w:val="StyleWisnow"/>
              <w:rPr>
                <w:color w:val="000000" w:themeColor="text1"/>
              </w:rPr>
            </w:pPr>
          </w:p>
        </w:tc>
        <w:tc>
          <w:tcPr>
            <w:tcW w:w="4818" w:type="dxa"/>
          </w:tcPr>
          <w:p w14:paraId="1BD68DFE" w14:textId="590831B8" w:rsidR="00630147" w:rsidRPr="00286216" w:rsidRDefault="00630147" w:rsidP="00630147">
            <w:pPr>
              <w:pStyle w:val="StyleZakonu"/>
              <w:rPr>
                <w:color w:val="000000" w:themeColor="text1"/>
              </w:rPr>
            </w:pPr>
            <w:r w:rsidRPr="00286216">
              <w:rPr>
                <w:color w:val="000000" w:themeColor="text1"/>
              </w:rPr>
              <w:t>Термін "пов’язана особа" у цьому Законі вживається у значенні, наведеному в Законі України "Про фінансові послуги та державне регулювання ринків фінансових послуг";</w:t>
            </w:r>
          </w:p>
        </w:tc>
      </w:tr>
      <w:tr w:rsidR="00630147" w:rsidRPr="00286216" w14:paraId="1FF5948F" w14:textId="77777777" w:rsidTr="00091AA5">
        <w:tc>
          <w:tcPr>
            <w:tcW w:w="576" w:type="dxa"/>
          </w:tcPr>
          <w:p w14:paraId="7B11584C" w14:textId="77777777" w:rsidR="00630147" w:rsidRPr="00286216" w:rsidRDefault="00630147" w:rsidP="00630147">
            <w:pPr>
              <w:pStyle w:val="StyleWisnow"/>
              <w:rPr>
                <w:color w:val="000000" w:themeColor="text1"/>
              </w:rPr>
            </w:pPr>
            <w:bookmarkStart w:id="3267" w:name="n3397" w:colFirst="0" w:colLast="0"/>
            <w:bookmarkEnd w:id="3266"/>
            <w:r w:rsidRPr="00286216">
              <w:rPr>
                <w:color w:val="000000" w:themeColor="text1"/>
              </w:rPr>
              <w:t>3397.</w:t>
            </w:r>
          </w:p>
        </w:tc>
        <w:tc>
          <w:tcPr>
            <w:tcW w:w="4818" w:type="dxa"/>
          </w:tcPr>
          <w:p w14:paraId="63755238" w14:textId="77777777" w:rsidR="00630147" w:rsidRPr="00286216" w:rsidRDefault="00630147" w:rsidP="00630147">
            <w:pPr>
              <w:pStyle w:val="StyleZakonu"/>
              <w:rPr>
                <w:color w:val="000000" w:themeColor="text1"/>
              </w:rPr>
            </w:pPr>
            <w:r w:rsidRPr="00286216">
              <w:rPr>
                <w:color w:val="000000" w:themeColor="text1"/>
              </w:rPr>
              <w:t>2) частину першу статті 3 викласти в такій редакції:</w:t>
            </w:r>
          </w:p>
        </w:tc>
        <w:tc>
          <w:tcPr>
            <w:tcW w:w="3686" w:type="dxa"/>
          </w:tcPr>
          <w:p w14:paraId="26E01CDD" w14:textId="77777777" w:rsidR="00630147" w:rsidRPr="00286216" w:rsidRDefault="00630147" w:rsidP="00630147">
            <w:pPr>
              <w:pStyle w:val="StyleProp"/>
              <w:rPr>
                <w:color w:val="000000" w:themeColor="text1"/>
                <w:szCs w:val="18"/>
              </w:rPr>
            </w:pPr>
          </w:p>
        </w:tc>
        <w:tc>
          <w:tcPr>
            <w:tcW w:w="1987" w:type="dxa"/>
          </w:tcPr>
          <w:p w14:paraId="7EC0210C" w14:textId="77777777" w:rsidR="00630147" w:rsidRPr="00286216" w:rsidRDefault="00630147" w:rsidP="00630147">
            <w:pPr>
              <w:pStyle w:val="StyleWisnow"/>
              <w:rPr>
                <w:color w:val="000000" w:themeColor="text1"/>
              </w:rPr>
            </w:pPr>
          </w:p>
        </w:tc>
        <w:tc>
          <w:tcPr>
            <w:tcW w:w="4818" w:type="dxa"/>
          </w:tcPr>
          <w:p w14:paraId="2BC0D69A" w14:textId="7E2BA134" w:rsidR="00630147" w:rsidRPr="00286216" w:rsidRDefault="00630147" w:rsidP="00630147">
            <w:pPr>
              <w:pStyle w:val="StyleZakonu"/>
              <w:rPr>
                <w:color w:val="000000" w:themeColor="text1"/>
              </w:rPr>
            </w:pPr>
            <w:r w:rsidRPr="00286216">
              <w:rPr>
                <w:color w:val="000000" w:themeColor="text1"/>
              </w:rPr>
              <w:t>2) частину першу статті 3 викласти в такій редакції:</w:t>
            </w:r>
          </w:p>
        </w:tc>
      </w:tr>
      <w:tr w:rsidR="00630147" w:rsidRPr="00286216" w14:paraId="799EE5CE" w14:textId="77777777" w:rsidTr="00091AA5">
        <w:tc>
          <w:tcPr>
            <w:tcW w:w="576" w:type="dxa"/>
          </w:tcPr>
          <w:p w14:paraId="2B50F7C9" w14:textId="77777777" w:rsidR="00630147" w:rsidRPr="00286216" w:rsidRDefault="00630147" w:rsidP="00630147">
            <w:pPr>
              <w:pStyle w:val="StyleWisnow"/>
              <w:rPr>
                <w:color w:val="000000" w:themeColor="text1"/>
              </w:rPr>
            </w:pPr>
            <w:bookmarkStart w:id="3268" w:name="n3398" w:colFirst="0" w:colLast="0"/>
            <w:bookmarkEnd w:id="3267"/>
            <w:r w:rsidRPr="00286216">
              <w:rPr>
                <w:color w:val="000000" w:themeColor="text1"/>
              </w:rPr>
              <w:t>3398.</w:t>
            </w:r>
          </w:p>
        </w:tc>
        <w:tc>
          <w:tcPr>
            <w:tcW w:w="4818" w:type="dxa"/>
          </w:tcPr>
          <w:p w14:paraId="5C3E9895" w14:textId="77777777" w:rsidR="00630147" w:rsidRPr="00286216" w:rsidRDefault="00630147" w:rsidP="00630147">
            <w:pPr>
              <w:pStyle w:val="StyleZakonu"/>
              <w:rPr>
                <w:color w:val="000000" w:themeColor="text1"/>
              </w:rPr>
            </w:pPr>
            <w:r w:rsidRPr="00286216">
              <w:rPr>
                <w:color w:val="000000" w:themeColor="text1"/>
              </w:rPr>
              <w:t>"1. Іпотечними облігаціями є облігації, виконання зобов’язань емітента за якими забезпечене іпотечним покриттям у порядку, встановленому цим Законом. Іпотечні облігації є іменними цінними паперами. Іпотечна облігація засвідчує внесення грошових коштів її першим власником і підтверджує обов’язок емітента сплачувати власнику номінальну вартість цієї облігації та грошовий дохід в порядку, встановленому цим Законом та проспектом цінних паперів (рішенням про емісію цінних паперів), а в разі невиконання емітентом зобов’язань за іпотечною облігацією надає її власнику право задовольнити свою вимогу за рахунок іпотечного покриття. Проспект іпотечних облігацій (рішення про емісію іпотечних облігацій) може також передбачати інші права власників та обов’язки емітента, осіб, які надають забезпечення за облігаціями.";</w:t>
            </w:r>
          </w:p>
        </w:tc>
        <w:tc>
          <w:tcPr>
            <w:tcW w:w="3686" w:type="dxa"/>
          </w:tcPr>
          <w:p w14:paraId="68707FAB" w14:textId="138429BD"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1421</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3EDEA068" w14:textId="77777777" w:rsidR="00630147" w:rsidRPr="00286216" w:rsidRDefault="00630147" w:rsidP="00630147">
            <w:pPr>
              <w:pStyle w:val="StyleProp"/>
              <w:spacing w:line="180" w:lineRule="exact"/>
              <w:rPr>
                <w:color w:val="000000" w:themeColor="text1"/>
                <w:szCs w:val="18"/>
              </w:rPr>
            </w:pPr>
            <w:r w:rsidRPr="00286216">
              <w:rPr>
                <w:rFonts w:eastAsia="Calibri"/>
                <w:color w:val="000000" w:themeColor="text1"/>
                <w:szCs w:val="18"/>
              </w:rPr>
              <w:t>У підпункті 2) пункту 38) розділу ІІІ (зміни до Закону «Про іпотечні облігації») слова «осіб, які надають забезпечення за облігаціями» замінити словами «осіб, які надають гарантії щодо виконання грошових зобов’язань за іпотечними облігаціями (в разі надання гарантії».</w:t>
            </w:r>
          </w:p>
        </w:tc>
        <w:tc>
          <w:tcPr>
            <w:tcW w:w="1987" w:type="dxa"/>
          </w:tcPr>
          <w:p w14:paraId="7DBC9516" w14:textId="77777777" w:rsidR="00630147" w:rsidRPr="00286216" w:rsidRDefault="00630147" w:rsidP="00630147">
            <w:pPr>
              <w:pStyle w:val="StyleWisnow"/>
              <w:spacing w:line="180" w:lineRule="exact"/>
              <w:rPr>
                <w:color w:val="000000" w:themeColor="text1"/>
              </w:rPr>
            </w:pPr>
            <w:r w:rsidRPr="00286216">
              <w:rPr>
                <w:color w:val="000000" w:themeColor="text1"/>
              </w:rPr>
              <w:t>Враховано</w:t>
            </w:r>
          </w:p>
        </w:tc>
        <w:tc>
          <w:tcPr>
            <w:tcW w:w="4818" w:type="dxa"/>
          </w:tcPr>
          <w:p w14:paraId="46B06EFE" w14:textId="6E0F44C1" w:rsidR="00630147" w:rsidRPr="00286216" w:rsidRDefault="00630147" w:rsidP="00630147">
            <w:pPr>
              <w:pStyle w:val="StyleZakonu"/>
              <w:rPr>
                <w:color w:val="000000" w:themeColor="text1"/>
              </w:rPr>
            </w:pPr>
            <w:r w:rsidRPr="00286216">
              <w:rPr>
                <w:color w:val="000000" w:themeColor="text1"/>
              </w:rPr>
              <w:t xml:space="preserve">"1. Іпотечними облігаціями є облігації, виконання зобов’язань емітента за якими забезпечене іпотечним покриттям у порядку, встановленому цим Законом. Іпотечні облігації є іменними цінними паперами. Іпотечна облігація посвідчує внесення грошових коштів її першим власником і підтверджує обов’язок емітента сплачувати власнику номінальну вартість цієї облігації та грошовий дохід у порядку, встановленому цим Законом та проспектом цінних паперів (рішенням про емісію цінних паперів), а в разі невиконання емітентом зобов’язань за іпотечною облігацією надає її власнику право задовольнити свою вимогу за рахунок іпотечного покриття. Проспект іпотечних облігацій (рішення про емісію іпотечних облігацій) може також передбачати інші права власників та обов’язки емітента, </w:t>
            </w:r>
            <w:r w:rsidRPr="00286216">
              <w:rPr>
                <w:rFonts w:eastAsia="Calibri"/>
                <w:color w:val="000000" w:themeColor="text1"/>
                <w:szCs w:val="18"/>
              </w:rPr>
              <w:t>осіб, які надають гарантії щодо виконання грошових зобов’язань за іпотечними облігаціями (в разі надання гарантії</w:t>
            </w:r>
            <w:r w:rsidRPr="00286216">
              <w:rPr>
                <w:color w:val="000000" w:themeColor="text1"/>
              </w:rPr>
              <w:t>";</w:t>
            </w:r>
          </w:p>
        </w:tc>
      </w:tr>
      <w:tr w:rsidR="00630147" w:rsidRPr="00286216" w14:paraId="44EA358E" w14:textId="77777777" w:rsidTr="00091AA5">
        <w:tc>
          <w:tcPr>
            <w:tcW w:w="576" w:type="dxa"/>
          </w:tcPr>
          <w:p w14:paraId="5FE30060" w14:textId="77777777" w:rsidR="00630147" w:rsidRPr="00286216" w:rsidRDefault="00630147" w:rsidP="00630147">
            <w:pPr>
              <w:pStyle w:val="StyleWisnow"/>
              <w:rPr>
                <w:color w:val="000000" w:themeColor="text1"/>
              </w:rPr>
            </w:pPr>
            <w:bookmarkStart w:id="3269" w:name="n3399" w:colFirst="0" w:colLast="0"/>
            <w:bookmarkEnd w:id="3268"/>
            <w:r w:rsidRPr="00286216">
              <w:rPr>
                <w:color w:val="000000" w:themeColor="text1"/>
              </w:rPr>
              <w:t>3399.</w:t>
            </w:r>
          </w:p>
        </w:tc>
        <w:tc>
          <w:tcPr>
            <w:tcW w:w="4818" w:type="dxa"/>
          </w:tcPr>
          <w:p w14:paraId="22925C7C" w14:textId="77777777" w:rsidR="00630147" w:rsidRPr="00286216" w:rsidRDefault="00630147" w:rsidP="00630147">
            <w:pPr>
              <w:pStyle w:val="StyleZakonu"/>
              <w:rPr>
                <w:color w:val="000000" w:themeColor="text1"/>
              </w:rPr>
            </w:pPr>
            <w:r w:rsidRPr="00286216">
              <w:rPr>
                <w:color w:val="000000" w:themeColor="text1"/>
              </w:rPr>
              <w:t>3) статтю 4 викласти в такій редакції:</w:t>
            </w:r>
          </w:p>
        </w:tc>
        <w:tc>
          <w:tcPr>
            <w:tcW w:w="3686" w:type="dxa"/>
          </w:tcPr>
          <w:p w14:paraId="63F2D351" w14:textId="77777777" w:rsidR="00630147" w:rsidRPr="00286216" w:rsidRDefault="00630147" w:rsidP="00630147">
            <w:pPr>
              <w:pStyle w:val="StyleProp"/>
              <w:rPr>
                <w:color w:val="000000" w:themeColor="text1"/>
                <w:szCs w:val="18"/>
              </w:rPr>
            </w:pPr>
          </w:p>
        </w:tc>
        <w:tc>
          <w:tcPr>
            <w:tcW w:w="1987" w:type="dxa"/>
          </w:tcPr>
          <w:p w14:paraId="75A1B532" w14:textId="77777777" w:rsidR="00630147" w:rsidRPr="00286216" w:rsidRDefault="00630147" w:rsidP="00630147">
            <w:pPr>
              <w:pStyle w:val="StyleWisnow"/>
              <w:rPr>
                <w:color w:val="000000" w:themeColor="text1"/>
              </w:rPr>
            </w:pPr>
          </w:p>
        </w:tc>
        <w:tc>
          <w:tcPr>
            <w:tcW w:w="4818" w:type="dxa"/>
          </w:tcPr>
          <w:p w14:paraId="57B13925" w14:textId="1C4FE367" w:rsidR="00630147" w:rsidRPr="00286216" w:rsidRDefault="00630147" w:rsidP="00630147">
            <w:pPr>
              <w:pStyle w:val="StyleZakonu"/>
              <w:rPr>
                <w:color w:val="000000" w:themeColor="text1"/>
              </w:rPr>
            </w:pPr>
            <w:r w:rsidRPr="00286216">
              <w:rPr>
                <w:color w:val="000000" w:themeColor="text1"/>
              </w:rPr>
              <w:t>3) статті 4 і 5 викласти в такій редакції:</w:t>
            </w:r>
          </w:p>
        </w:tc>
      </w:tr>
      <w:tr w:rsidR="00630147" w:rsidRPr="00286216" w14:paraId="24F35180" w14:textId="77777777" w:rsidTr="00091AA5">
        <w:tc>
          <w:tcPr>
            <w:tcW w:w="576" w:type="dxa"/>
          </w:tcPr>
          <w:p w14:paraId="68155EC0" w14:textId="77777777" w:rsidR="00630147" w:rsidRPr="00286216" w:rsidRDefault="00630147" w:rsidP="00630147">
            <w:pPr>
              <w:pStyle w:val="StyleWisnow"/>
              <w:rPr>
                <w:color w:val="000000" w:themeColor="text1"/>
              </w:rPr>
            </w:pPr>
            <w:bookmarkStart w:id="3270" w:name="n3400" w:colFirst="0" w:colLast="0"/>
            <w:bookmarkEnd w:id="3269"/>
            <w:r w:rsidRPr="00286216">
              <w:rPr>
                <w:color w:val="000000" w:themeColor="text1"/>
              </w:rPr>
              <w:t>3400.</w:t>
            </w:r>
          </w:p>
        </w:tc>
        <w:tc>
          <w:tcPr>
            <w:tcW w:w="4818" w:type="dxa"/>
          </w:tcPr>
          <w:p w14:paraId="16E0E79C" w14:textId="77777777" w:rsidR="00630147" w:rsidRPr="00286216" w:rsidRDefault="00630147" w:rsidP="00630147">
            <w:pPr>
              <w:pStyle w:val="StyleZakonu"/>
              <w:rPr>
                <w:color w:val="000000" w:themeColor="text1"/>
              </w:rPr>
            </w:pPr>
            <w:r w:rsidRPr="00286216">
              <w:rPr>
                <w:color w:val="000000" w:themeColor="text1"/>
              </w:rPr>
              <w:t>"Стаття 4. Загальні умови емісії та обігу іпотечних облігацій</w:t>
            </w:r>
          </w:p>
        </w:tc>
        <w:tc>
          <w:tcPr>
            <w:tcW w:w="3686" w:type="dxa"/>
          </w:tcPr>
          <w:p w14:paraId="4D2208D0" w14:textId="77777777" w:rsidR="00630147" w:rsidRPr="00286216" w:rsidRDefault="00630147" w:rsidP="00630147">
            <w:pPr>
              <w:pStyle w:val="StyleProp"/>
              <w:rPr>
                <w:color w:val="000000" w:themeColor="text1"/>
                <w:szCs w:val="18"/>
              </w:rPr>
            </w:pPr>
          </w:p>
        </w:tc>
        <w:tc>
          <w:tcPr>
            <w:tcW w:w="1987" w:type="dxa"/>
          </w:tcPr>
          <w:p w14:paraId="2DB8F5CC" w14:textId="77777777" w:rsidR="00630147" w:rsidRPr="00286216" w:rsidRDefault="00630147" w:rsidP="00630147">
            <w:pPr>
              <w:pStyle w:val="StyleWisnow"/>
              <w:rPr>
                <w:color w:val="000000" w:themeColor="text1"/>
              </w:rPr>
            </w:pPr>
          </w:p>
        </w:tc>
        <w:tc>
          <w:tcPr>
            <w:tcW w:w="4818" w:type="dxa"/>
          </w:tcPr>
          <w:p w14:paraId="2BBA4B9B" w14:textId="33AF98C5" w:rsidR="00630147" w:rsidRPr="00286216" w:rsidRDefault="00630147" w:rsidP="00630147">
            <w:pPr>
              <w:pStyle w:val="StyleZakonu"/>
              <w:rPr>
                <w:color w:val="000000" w:themeColor="text1"/>
              </w:rPr>
            </w:pPr>
            <w:r w:rsidRPr="00286216">
              <w:rPr>
                <w:color w:val="000000" w:themeColor="text1"/>
              </w:rPr>
              <w:t>"Стаття 4. Загальні умови емісії та обігу іпотечних облігацій</w:t>
            </w:r>
          </w:p>
        </w:tc>
      </w:tr>
      <w:tr w:rsidR="00630147" w:rsidRPr="00286216" w14:paraId="621A838F" w14:textId="77777777" w:rsidTr="00091AA5">
        <w:tc>
          <w:tcPr>
            <w:tcW w:w="576" w:type="dxa"/>
          </w:tcPr>
          <w:p w14:paraId="258A6D53" w14:textId="77777777" w:rsidR="00630147" w:rsidRPr="00286216" w:rsidRDefault="00630147" w:rsidP="00630147">
            <w:pPr>
              <w:pStyle w:val="StyleWisnow"/>
              <w:rPr>
                <w:color w:val="000000" w:themeColor="text1"/>
              </w:rPr>
            </w:pPr>
            <w:bookmarkStart w:id="3271" w:name="n3401" w:colFirst="0" w:colLast="0"/>
            <w:bookmarkEnd w:id="3270"/>
            <w:r w:rsidRPr="00286216">
              <w:rPr>
                <w:color w:val="000000" w:themeColor="text1"/>
              </w:rPr>
              <w:t>3401.</w:t>
            </w:r>
          </w:p>
        </w:tc>
        <w:tc>
          <w:tcPr>
            <w:tcW w:w="4818" w:type="dxa"/>
          </w:tcPr>
          <w:p w14:paraId="4A90CA1D" w14:textId="77777777" w:rsidR="00630147" w:rsidRPr="00286216" w:rsidRDefault="00630147" w:rsidP="00630147">
            <w:pPr>
              <w:pStyle w:val="StyleZakonu"/>
              <w:rPr>
                <w:color w:val="000000" w:themeColor="text1"/>
              </w:rPr>
            </w:pPr>
            <w:r w:rsidRPr="00286216">
              <w:rPr>
                <w:color w:val="000000" w:themeColor="text1"/>
              </w:rPr>
              <w:t>1. Реєстрацію випусків іпотечних облігацій здійснюється Національною комісією з цінних паперів та фондового ринку в порядку встановленому Законом України "Про ринки капіталу та організовані товарні ринки".</w:t>
            </w:r>
          </w:p>
        </w:tc>
        <w:tc>
          <w:tcPr>
            <w:tcW w:w="3686" w:type="dxa"/>
          </w:tcPr>
          <w:p w14:paraId="2FA6A6E2" w14:textId="77777777" w:rsidR="00630147" w:rsidRPr="00286216" w:rsidRDefault="00630147" w:rsidP="00630147">
            <w:pPr>
              <w:pStyle w:val="StyleProp"/>
              <w:rPr>
                <w:color w:val="000000" w:themeColor="text1"/>
                <w:szCs w:val="18"/>
              </w:rPr>
            </w:pPr>
          </w:p>
        </w:tc>
        <w:tc>
          <w:tcPr>
            <w:tcW w:w="1987" w:type="dxa"/>
          </w:tcPr>
          <w:p w14:paraId="275CF89B" w14:textId="77777777" w:rsidR="00630147" w:rsidRPr="00286216" w:rsidRDefault="00630147" w:rsidP="00630147">
            <w:pPr>
              <w:pStyle w:val="StyleWisnow"/>
              <w:rPr>
                <w:color w:val="000000" w:themeColor="text1"/>
              </w:rPr>
            </w:pPr>
          </w:p>
        </w:tc>
        <w:tc>
          <w:tcPr>
            <w:tcW w:w="4818" w:type="dxa"/>
          </w:tcPr>
          <w:p w14:paraId="34BA173E" w14:textId="6232F3A7" w:rsidR="00630147" w:rsidRPr="00286216" w:rsidRDefault="00630147" w:rsidP="00630147">
            <w:pPr>
              <w:pStyle w:val="StyleZakonu"/>
              <w:rPr>
                <w:color w:val="000000" w:themeColor="text1"/>
              </w:rPr>
            </w:pPr>
            <w:r w:rsidRPr="00286216">
              <w:rPr>
                <w:color w:val="000000" w:themeColor="text1"/>
              </w:rPr>
              <w:t>1. Реєстрацію випусків іпотечних облігацій здійснює Національна комісія з цінних паперів та фондового ринку в порядку, встановленому Законом України "Про ринки капіталу та організовані товарні ринки".</w:t>
            </w:r>
          </w:p>
        </w:tc>
      </w:tr>
      <w:tr w:rsidR="00630147" w:rsidRPr="00286216" w14:paraId="7BC027FA" w14:textId="77777777" w:rsidTr="00091AA5">
        <w:tc>
          <w:tcPr>
            <w:tcW w:w="576" w:type="dxa"/>
          </w:tcPr>
          <w:p w14:paraId="2E35DD37" w14:textId="77777777" w:rsidR="00630147" w:rsidRPr="00286216" w:rsidRDefault="00630147" w:rsidP="00630147">
            <w:pPr>
              <w:pStyle w:val="StyleWisnow"/>
              <w:rPr>
                <w:color w:val="000000" w:themeColor="text1"/>
              </w:rPr>
            </w:pPr>
            <w:bookmarkStart w:id="3272" w:name="n3402" w:colFirst="0" w:colLast="0"/>
            <w:bookmarkEnd w:id="3271"/>
            <w:r w:rsidRPr="00286216">
              <w:rPr>
                <w:color w:val="000000" w:themeColor="text1"/>
              </w:rPr>
              <w:t>3402.</w:t>
            </w:r>
          </w:p>
        </w:tc>
        <w:tc>
          <w:tcPr>
            <w:tcW w:w="4818" w:type="dxa"/>
          </w:tcPr>
          <w:p w14:paraId="63745FC5" w14:textId="77777777" w:rsidR="00630147" w:rsidRPr="00286216" w:rsidRDefault="00630147" w:rsidP="00630147">
            <w:pPr>
              <w:pStyle w:val="StyleZakonu"/>
              <w:rPr>
                <w:color w:val="000000" w:themeColor="text1"/>
              </w:rPr>
            </w:pPr>
            <w:r w:rsidRPr="00286216">
              <w:rPr>
                <w:color w:val="000000" w:themeColor="text1"/>
              </w:rPr>
              <w:t>2. Емісія іпотечних облігацій здійснюється в порядку, встановленому Законом України "Про ринки капіталу та організовані товарні ринки" та нормативно-правовими актами Національної комісії з цінних паперів та фондового ринку.</w:t>
            </w:r>
          </w:p>
        </w:tc>
        <w:tc>
          <w:tcPr>
            <w:tcW w:w="3686" w:type="dxa"/>
          </w:tcPr>
          <w:p w14:paraId="028AEBC7" w14:textId="77777777" w:rsidR="00630147" w:rsidRPr="00286216" w:rsidRDefault="00630147" w:rsidP="00630147">
            <w:pPr>
              <w:pStyle w:val="StyleProp"/>
              <w:rPr>
                <w:color w:val="000000" w:themeColor="text1"/>
                <w:szCs w:val="18"/>
              </w:rPr>
            </w:pPr>
          </w:p>
        </w:tc>
        <w:tc>
          <w:tcPr>
            <w:tcW w:w="1987" w:type="dxa"/>
          </w:tcPr>
          <w:p w14:paraId="2683D14A" w14:textId="77777777" w:rsidR="00630147" w:rsidRPr="00286216" w:rsidRDefault="00630147" w:rsidP="00630147">
            <w:pPr>
              <w:pStyle w:val="StyleWisnow"/>
              <w:rPr>
                <w:color w:val="000000" w:themeColor="text1"/>
              </w:rPr>
            </w:pPr>
          </w:p>
        </w:tc>
        <w:tc>
          <w:tcPr>
            <w:tcW w:w="4818" w:type="dxa"/>
          </w:tcPr>
          <w:p w14:paraId="2A00CCDE" w14:textId="1D22A589" w:rsidR="00630147" w:rsidRPr="00286216" w:rsidRDefault="00630147" w:rsidP="00630147">
            <w:pPr>
              <w:pStyle w:val="StyleZakonu"/>
              <w:rPr>
                <w:color w:val="000000" w:themeColor="text1"/>
              </w:rPr>
            </w:pPr>
            <w:r w:rsidRPr="00286216">
              <w:rPr>
                <w:color w:val="000000" w:themeColor="text1"/>
              </w:rPr>
              <w:t>2. Емісія іпотечних облігацій здійснюється в порядку, встановленому Законом України "Про ринки капіталу та організовані товарні ринки" та нормативно-правовими актами Національної комісії з цінних паперів та фондового ринку.</w:t>
            </w:r>
          </w:p>
        </w:tc>
      </w:tr>
      <w:tr w:rsidR="00630147" w:rsidRPr="00286216" w14:paraId="35AABFAC" w14:textId="77777777" w:rsidTr="00091AA5">
        <w:tc>
          <w:tcPr>
            <w:tcW w:w="576" w:type="dxa"/>
          </w:tcPr>
          <w:p w14:paraId="15CA9F07" w14:textId="77777777" w:rsidR="00630147" w:rsidRPr="00286216" w:rsidRDefault="00630147" w:rsidP="00630147">
            <w:pPr>
              <w:pStyle w:val="StyleWisnow"/>
              <w:rPr>
                <w:color w:val="000000" w:themeColor="text1"/>
              </w:rPr>
            </w:pPr>
            <w:bookmarkStart w:id="3273" w:name="n3403" w:colFirst="0" w:colLast="0"/>
            <w:bookmarkEnd w:id="3272"/>
            <w:r w:rsidRPr="00286216">
              <w:rPr>
                <w:color w:val="000000" w:themeColor="text1"/>
              </w:rPr>
              <w:t>3403.</w:t>
            </w:r>
          </w:p>
        </w:tc>
        <w:tc>
          <w:tcPr>
            <w:tcW w:w="4818" w:type="dxa"/>
          </w:tcPr>
          <w:p w14:paraId="1943971A" w14:textId="77777777" w:rsidR="00630147" w:rsidRPr="00286216" w:rsidRDefault="00630147" w:rsidP="00630147">
            <w:pPr>
              <w:pStyle w:val="StyleZakonu"/>
              <w:rPr>
                <w:color w:val="000000" w:themeColor="text1"/>
              </w:rPr>
            </w:pPr>
            <w:r w:rsidRPr="00286216">
              <w:rPr>
                <w:color w:val="000000" w:themeColor="text1"/>
              </w:rPr>
              <w:t>3. На момент реєстрації випуску іпотечних облігацій емітент зобов’язаний сформувати іпотечне покриття, що відповідає вимогам, встановленим цим Законом.</w:t>
            </w:r>
          </w:p>
        </w:tc>
        <w:tc>
          <w:tcPr>
            <w:tcW w:w="3686" w:type="dxa"/>
          </w:tcPr>
          <w:p w14:paraId="510885D4" w14:textId="77777777" w:rsidR="00630147" w:rsidRPr="00286216" w:rsidRDefault="00630147" w:rsidP="00630147">
            <w:pPr>
              <w:pStyle w:val="StyleProp"/>
              <w:rPr>
                <w:color w:val="000000" w:themeColor="text1"/>
                <w:szCs w:val="18"/>
              </w:rPr>
            </w:pPr>
          </w:p>
        </w:tc>
        <w:tc>
          <w:tcPr>
            <w:tcW w:w="1987" w:type="dxa"/>
          </w:tcPr>
          <w:p w14:paraId="4F02F77F" w14:textId="77777777" w:rsidR="00630147" w:rsidRPr="00286216" w:rsidRDefault="00630147" w:rsidP="00630147">
            <w:pPr>
              <w:pStyle w:val="StyleWisnow"/>
              <w:rPr>
                <w:color w:val="000000" w:themeColor="text1"/>
              </w:rPr>
            </w:pPr>
          </w:p>
        </w:tc>
        <w:tc>
          <w:tcPr>
            <w:tcW w:w="4818" w:type="dxa"/>
          </w:tcPr>
          <w:p w14:paraId="3FDDA90A" w14:textId="78280DEE" w:rsidR="00630147" w:rsidRPr="00286216" w:rsidRDefault="00630147" w:rsidP="00630147">
            <w:pPr>
              <w:pStyle w:val="StyleZakonu"/>
              <w:rPr>
                <w:color w:val="000000" w:themeColor="text1"/>
              </w:rPr>
            </w:pPr>
            <w:r w:rsidRPr="00286216">
              <w:rPr>
                <w:color w:val="000000" w:themeColor="text1"/>
              </w:rPr>
              <w:t>3. На момент реєстрації випуску іпотечних облігацій емітент зобов’язаний сформувати іпотечне покриття, що відповідає вимогам, встановленим цим Законом.</w:t>
            </w:r>
          </w:p>
        </w:tc>
      </w:tr>
      <w:tr w:rsidR="00630147" w:rsidRPr="00286216" w14:paraId="39B744D0" w14:textId="77777777" w:rsidTr="00091AA5">
        <w:tc>
          <w:tcPr>
            <w:tcW w:w="576" w:type="dxa"/>
          </w:tcPr>
          <w:p w14:paraId="7287F78F" w14:textId="77777777" w:rsidR="00630147" w:rsidRPr="00286216" w:rsidRDefault="00630147" w:rsidP="00630147">
            <w:pPr>
              <w:pStyle w:val="StyleWisnow"/>
              <w:rPr>
                <w:color w:val="000000" w:themeColor="text1"/>
              </w:rPr>
            </w:pPr>
            <w:bookmarkStart w:id="3274" w:name="n3404" w:colFirst="0" w:colLast="0"/>
            <w:bookmarkEnd w:id="3273"/>
            <w:r w:rsidRPr="00286216">
              <w:rPr>
                <w:color w:val="000000" w:themeColor="text1"/>
              </w:rPr>
              <w:t>3404.</w:t>
            </w:r>
          </w:p>
        </w:tc>
        <w:tc>
          <w:tcPr>
            <w:tcW w:w="4818" w:type="dxa"/>
          </w:tcPr>
          <w:p w14:paraId="65310D20" w14:textId="77777777" w:rsidR="00630147" w:rsidRPr="00286216" w:rsidRDefault="00630147" w:rsidP="00630147">
            <w:pPr>
              <w:pStyle w:val="StyleZakonu"/>
              <w:rPr>
                <w:color w:val="000000" w:themeColor="text1"/>
              </w:rPr>
            </w:pPr>
            <w:r w:rsidRPr="00286216">
              <w:rPr>
                <w:color w:val="000000" w:themeColor="text1"/>
              </w:rPr>
              <w:t xml:space="preserve">4. У разі емісії звичайних іпотечних облігацій </w:t>
            </w:r>
            <w:r w:rsidRPr="00286216">
              <w:rPr>
                <w:color w:val="000000" w:themeColor="text1"/>
              </w:rPr>
              <w:lastRenderedPageBreak/>
              <w:t>договір на депозитарне обслуговування укладає емітент. У разі емісії структурованих іпотечних облігацій договір на депозитарне обслуговування укладає управитель.</w:t>
            </w:r>
          </w:p>
        </w:tc>
        <w:tc>
          <w:tcPr>
            <w:tcW w:w="3686" w:type="dxa"/>
          </w:tcPr>
          <w:p w14:paraId="25D17F49" w14:textId="77777777" w:rsidR="00630147" w:rsidRPr="00286216" w:rsidRDefault="00630147" w:rsidP="00630147">
            <w:pPr>
              <w:pStyle w:val="StyleProp"/>
              <w:rPr>
                <w:color w:val="000000" w:themeColor="text1"/>
                <w:szCs w:val="18"/>
              </w:rPr>
            </w:pPr>
          </w:p>
        </w:tc>
        <w:tc>
          <w:tcPr>
            <w:tcW w:w="1987" w:type="dxa"/>
          </w:tcPr>
          <w:p w14:paraId="710CD441" w14:textId="77777777" w:rsidR="00630147" w:rsidRPr="00286216" w:rsidRDefault="00630147" w:rsidP="00630147">
            <w:pPr>
              <w:pStyle w:val="StyleWisnow"/>
              <w:rPr>
                <w:color w:val="000000" w:themeColor="text1"/>
              </w:rPr>
            </w:pPr>
          </w:p>
        </w:tc>
        <w:tc>
          <w:tcPr>
            <w:tcW w:w="4818" w:type="dxa"/>
          </w:tcPr>
          <w:p w14:paraId="1437BF6C" w14:textId="4ECB1D25" w:rsidR="00630147" w:rsidRPr="00286216" w:rsidRDefault="00630147" w:rsidP="00630147">
            <w:pPr>
              <w:pStyle w:val="StyleZakonu"/>
              <w:rPr>
                <w:color w:val="000000" w:themeColor="text1"/>
              </w:rPr>
            </w:pPr>
            <w:r w:rsidRPr="00286216">
              <w:rPr>
                <w:color w:val="000000" w:themeColor="text1"/>
              </w:rPr>
              <w:t xml:space="preserve">4. У разі емісії звичайних іпотечних облігацій </w:t>
            </w:r>
            <w:r w:rsidRPr="00286216">
              <w:rPr>
                <w:color w:val="000000" w:themeColor="text1"/>
              </w:rPr>
              <w:lastRenderedPageBreak/>
              <w:t>договір на депозитарне обслуговування укладає емітент. У разі емісії структурованих іпотечних облігацій договір на депозитарне обслуговування укладає управитель.</w:t>
            </w:r>
          </w:p>
        </w:tc>
      </w:tr>
      <w:tr w:rsidR="00630147" w:rsidRPr="00286216" w14:paraId="31F4950A" w14:textId="77777777" w:rsidTr="00091AA5">
        <w:tc>
          <w:tcPr>
            <w:tcW w:w="576" w:type="dxa"/>
          </w:tcPr>
          <w:p w14:paraId="46D7AA57" w14:textId="77777777" w:rsidR="00630147" w:rsidRPr="00286216" w:rsidRDefault="00630147" w:rsidP="00630147">
            <w:pPr>
              <w:pStyle w:val="StyleWisnow"/>
              <w:rPr>
                <w:color w:val="000000" w:themeColor="text1"/>
              </w:rPr>
            </w:pPr>
            <w:bookmarkStart w:id="3275" w:name="n3405" w:colFirst="0" w:colLast="0"/>
            <w:bookmarkEnd w:id="3274"/>
            <w:r w:rsidRPr="00286216">
              <w:rPr>
                <w:color w:val="000000" w:themeColor="text1"/>
              </w:rPr>
              <w:lastRenderedPageBreak/>
              <w:t>3405.</w:t>
            </w:r>
          </w:p>
        </w:tc>
        <w:tc>
          <w:tcPr>
            <w:tcW w:w="4818" w:type="dxa"/>
          </w:tcPr>
          <w:p w14:paraId="5AAEB015" w14:textId="77777777" w:rsidR="00630147" w:rsidRPr="00286216" w:rsidRDefault="00630147" w:rsidP="00630147">
            <w:pPr>
              <w:pStyle w:val="StyleZakonu"/>
              <w:rPr>
                <w:color w:val="000000" w:themeColor="text1"/>
              </w:rPr>
            </w:pPr>
            <w:r w:rsidRPr="00286216">
              <w:rPr>
                <w:color w:val="000000" w:themeColor="text1"/>
              </w:rPr>
              <w:t>5. Положення Закону України "Про ринки капіталу та організовані товарні ринки" щодо зборів власників облігацій, адміністратора за випуском облігацій, дефолту застосовуються до іпотечних облігацій з особливостями, передбаченими цим Законом.";</w:t>
            </w:r>
          </w:p>
        </w:tc>
        <w:tc>
          <w:tcPr>
            <w:tcW w:w="3686" w:type="dxa"/>
          </w:tcPr>
          <w:p w14:paraId="7AA605B8" w14:textId="77777777" w:rsidR="00630147" w:rsidRPr="00286216" w:rsidRDefault="00630147" w:rsidP="00630147">
            <w:pPr>
              <w:pStyle w:val="StyleProp"/>
              <w:rPr>
                <w:color w:val="000000" w:themeColor="text1"/>
                <w:szCs w:val="18"/>
              </w:rPr>
            </w:pPr>
          </w:p>
        </w:tc>
        <w:tc>
          <w:tcPr>
            <w:tcW w:w="1987" w:type="dxa"/>
          </w:tcPr>
          <w:p w14:paraId="4E3659DB" w14:textId="77777777" w:rsidR="00630147" w:rsidRPr="00286216" w:rsidRDefault="00630147" w:rsidP="00630147">
            <w:pPr>
              <w:pStyle w:val="StyleWisnow"/>
              <w:rPr>
                <w:color w:val="000000" w:themeColor="text1"/>
              </w:rPr>
            </w:pPr>
          </w:p>
        </w:tc>
        <w:tc>
          <w:tcPr>
            <w:tcW w:w="4818" w:type="dxa"/>
          </w:tcPr>
          <w:p w14:paraId="162203B3" w14:textId="225EDE0B" w:rsidR="00630147" w:rsidRPr="00286216" w:rsidRDefault="00630147" w:rsidP="00630147">
            <w:pPr>
              <w:pStyle w:val="StyleZakonu"/>
              <w:rPr>
                <w:color w:val="000000" w:themeColor="text1"/>
              </w:rPr>
            </w:pPr>
            <w:r w:rsidRPr="00286216">
              <w:rPr>
                <w:color w:val="000000" w:themeColor="text1"/>
              </w:rPr>
              <w:t>5. Положення Закону України "Про ринки капіталу та організовані товарні ринки" щодо зборів власників облігацій, адміністратора за випуском облігацій, дефолту застосовуються до іпотечних облігацій з особливостями, передбаченими цим Законом".</w:t>
            </w:r>
          </w:p>
        </w:tc>
      </w:tr>
      <w:tr w:rsidR="00630147" w:rsidRPr="00286216" w14:paraId="1BFDE0B0" w14:textId="77777777" w:rsidTr="00091AA5">
        <w:tc>
          <w:tcPr>
            <w:tcW w:w="576" w:type="dxa"/>
          </w:tcPr>
          <w:p w14:paraId="0F065E27" w14:textId="77777777" w:rsidR="00630147" w:rsidRPr="00286216" w:rsidRDefault="00630147" w:rsidP="00630147">
            <w:pPr>
              <w:pStyle w:val="StyleWisnow"/>
              <w:rPr>
                <w:color w:val="000000" w:themeColor="text1"/>
              </w:rPr>
            </w:pPr>
            <w:bookmarkStart w:id="3276" w:name="n3406" w:colFirst="0" w:colLast="0"/>
            <w:bookmarkEnd w:id="3275"/>
            <w:r w:rsidRPr="00286216">
              <w:rPr>
                <w:color w:val="000000" w:themeColor="text1"/>
              </w:rPr>
              <w:t>3406.</w:t>
            </w:r>
          </w:p>
        </w:tc>
        <w:tc>
          <w:tcPr>
            <w:tcW w:w="4818" w:type="dxa"/>
          </w:tcPr>
          <w:p w14:paraId="0256B685" w14:textId="77777777" w:rsidR="00630147" w:rsidRPr="00286216" w:rsidRDefault="00630147" w:rsidP="00630147">
            <w:pPr>
              <w:pStyle w:val="StyleZakonu"/>
              <w:rPr>
                <w:color w:val="000000" w:themeColor="text1"/>
              </w:rPr>
            </w:pPr>
            <w:r w:rsidRPr="00286216">
              <w:rPr>
                <w:color w:val="000000" w:themeColor="text1"/>
              </w:rPr>
              <w:t>4) статтю 5 викласти в такій редакції:</w:t>
            </w:r>
          </w:p>
        </w:tc>
        <w:tc>
          <w:tcPr>
            <w:tcW w:w="3686" w:type="dxa"/>
          </w:tcPr>
          <w:p w14:paraId="53A4B035" w14:textId="77777777" w:rsidR="00630147" w:rsidRPr="00286216" w:rsidRDefault="00630147" w:rsidP="00630147">
            <w:pPr>
              <w:pStyle w:val="StyleProp"/>
              <w:rPr>
                <w:color w:val="000000" w:themeColor="text1"/>
                <w:szCs w:val="18"/>
              </w:rPr>
            </w:pPr>
          </w:p>
        </w:tc>
        <w:tc>
          <w:tcPr>
            <w:tcW w:w="1987" w:type="dxa"/>
          </w:tcPr>
          <w:p w14:paraId="7008BB51" w14:textId="77777777" w:rsidR="00630147" w:rsidRPr="00286216" w:rsidRDefault="00630147" w:rsidP="00630147">
            <w:pPr>
              <w:pStyle w:val="StyleWisnow"/>
              <w:rPr>
                <w:color w:val="000000" w:themeColor="text1"/>
              </w:rPr>
            </w:pPr>
          </w:p>
        </w:tc>
        <w:tc>
          <w:tcPr>
            <w:tcW w:w="4818" w:type="dxa"/>
          </w:tcPr>
          <w:p w14:paraId="1A071002" w14:textId="2C7914AE" w:rsidR="00630147" w:rsidRPr="00286216" w:rsidRDefault="00630147" w:rsidP="00630147">
            <w:pPr>
              <w:pStyle w:val="StyleZakonu"/>
              <w:rPr>
                <w:color w:val="000000" w:themeColor="text1"/>
              </w:rPr>
            </w:pPr>
          </w:p>
        </w:tc>
      </w:tr>
      <w:tr w:rsidR="00630147" w:rsidRPr="00286216" w14:paraId="04EC0F83" w14:textId="77777777" w:rsidTr="00091AA5">
        <w:tc>
          <w:tcPr>
            <w:tcW w:w="576" w:type="dxa"/>
          </w:tcPr>
          <w:p w14:paraId="75A1901C" w14:textId="77777777" w:rsidR="00630147" w:rsidRPr="00286216" w:rsidRDefault="00630147" w:rsidP="00630147">
            <w:pPr>
              <w:pStyle w:val="StyleWisnow"/>
              <w:rPr>
                <w:color w:val="000000" w:themeColor="text1"/>
              </w:rPr>
            </w:pPr>
            <w:bookmarkStart w:id="3277" w:name="n3407" w:colFirst="0" w:colLast="0"/>
            <w:bookmarkEnd w:id="3276"/>
            <w:r w:rsidRPr="00286216">
              <w:rPr>
                <w:color w:val="000000" w:themeColor="text1"/>
              </w:rPr>
              <w:t>3407.</w:t>
            </w:r>
          </w:p>
        </w:tc>
        <w:tc>
          <w:tcPr>
            <w:tcW w:w="4818" w:type="dxa"/>
          </w:tcPr>
          <w:p w14:paraId="522269A6" w14:textId="77777777" w:rsidR="00630147" w:rsidRPr="00286216" w:rsidRDefault="00630147" w:rsidP="00630147">
            <w:pPr>
              <w:pStyle w:val="StyleZakonu"/>
              <w:rPr>
                <w:color w:val="000000" w:themeColor="text1"/>
              </w:rPr>
            </w:pPr>
            <w:r w:rsidRPr="00286216">
              <w:rPr>
                <w:color w:val="000000" w:themeColor="text1"/>
              </w:rPr>
              <w:t>"Стаття 5. Проспект іпотечних облігацій</w:t>
            </w:r>
          </w:p>
        </w:tc>
        <w:tc>
          <w:tcPr>
            <w:tcW w:w="3686" w:type="dxa"/>
          </w:tcPr>
          <w:p w14:paraId="0D3BD94D" w14:textId="77777777" w:rsidR="00630147" w:rsidRPr="00286216" w:rsidRDefault="00630147" w:rsidP="00630147">
            <w:pPr>
              <w:pStyle w:val="StyleProp"/>
              <w:rPr>
                <w:color w:val="000000" w:themeColor="text1"/>
                <w:szCs w:val="18"/>
              </w:rPr>
            </w:pPr>
          </w:p>
        </w:tc>
        <w:tc>
          <w:tcPr>
            <w:tcW w:w="1987" w:type="dxa"/>
          </w:tcPr>
          <w:p w14:paraId="4C0C2A33" w14:textId="77777777" w:rsidR="00630147" w:rsidRPr="00286216" w:rsidRDefault="00630147" w:rsidP="00630147">
            <w:pPr>
              <w:pStyle w:val="StyleWisnow"/>
              <w:rPr>
                <w:color w:val="000000" w:themeColor="text1"/>
              </w:rPr>
            </w:pPr>
          </w:p>
        </w:tc>
        <w:tc>
          <w:tcPr>
            <w:tcW w:w="4818" w:type="dxa"/>
          </w:tcPr>
          <w:p w14:paraId="09BBCE75" w14:textId="758F86EF" w:rsidR="00630147" w:rsidRPr="00286216" w:rsidRDefault="00630147" w:rsidP="00630147">
            <w:pPr>
              <w:pStyle w:val="StyleZakonu"/>
              <w:rPr>
                <w:color w:val="000000" w:themeColor="text1"/>
              </w:rPr>
            </w:pPr>
            <w:r w:rsidRPr="00286216">
              <w:rPr>
                <w:color w:val="000000" w:themeColor="text1"/>
              </w:rPr>
              <w:t>Стаття 5. Проспект іпотечних облігацій</w:t>
            </w:r>
          </w:p>
        </w:tc>
      </w:tr>
      <w:tr w:rsidR="00630147" w:rsidRPr="00286216" w14:paraId="7336F4A8" w14:textId="77777777" w:rsidTr="00091AA5">
        <w:tc>
          <w:tcPr>
            <w:tcW w:w="576" w:type="dxa"/>
          </w:tcPr>
          <w:p w14:paraId="6F1BC01F" w14:textId="77777777" w:rsidR="00630147" w:rsidRPr="00286216" w:rsidRDefault="00630147" w:rsidP="00630147">
            <w:pPr>
              <w:pStyle w:val="StyleWisnow"/>
              <w:rPr>
                <w:color w:val="000000" w:themeColor="text1"/>
              </w:rPr>
            </w:pPr>
            <w:bookmarkStart w:id="3278" w:name="n3408" w:colFirst="0" w:colLast="0"/>
            <w:bookmarkEnd w:id="3277"/>
            <w:r w:rsidRPr="00286216">
              <w:rPr>
                <w:color w:val="000000" w:themeColor="text1"/>
              </w:rPr>
              <w:t>3408.</w:t>
            </w:r>
          </w:p>
        </w:tc>
        <w:tc>
          <w:tcPr>
            <w:tcW w:w="4818" w:type="dxa"/>
          </w:tcPr>
          <w:p w14:paraId="16A6538F" w14:textId="77777777" w:rsidR="00630147" w:rsidRPr="00286216" w:rsidRDefault="00630147" w:rsidP="00630147">
            <w:pPr>
              <w:pStyle w:val="StyleZakonu"/>
              <w:rPr>
                <w:color w:val="000000" w:themeColor="text1"/>
              </w:rPr>
            </w:pPr>
            <w:r w:rsidRPr="00286216">
              <w:rPr>
                <w:color w:val="000000" w:themeColor="text1"/>
              </w:rPr>
              <w:t>1. Вимоги до відомостей, які має включати в себе проспект іпотечних облігацій та окремі його частини, встановлюються Національною комісією з цінних паперів та фондового ринку.</w:t>
            </w:r>
          </w:p>
        </w:tc>
        <w:tc>
          <w:tcPr>
            <w:tcW w:w="3686" w:type="dxa"/>
          </w:tcPr>
          <w:p w14:paraId="05E056D1" w14:textId="77777777" w:rsidR="00630147" w:rsidRPr="00286216" w:rsidRDefault="00630147" w:rsidP="00630147">
            <w:pPr>
              <w:pStyle w:val="StyleProp"/>
              <w:rPr>
                <w:color w:val="000000" w:themeColor="text1"/>
                <w:szCs w:val="18"/>
              </w:rPr>
            </w:pPr>
          </w:p>
        </w:tc>
        <w:tc>
          <w:tcPr>
            <w:tcW w:w="1987" w:type="dxa"/>
          </w:tcPr>
          <w:p w14:paraId="0A6F3671" w14:textId="77777777" w:rsidR="00630147" w:rsidRPr="00286216" w:rsidRDefault="00630147" w:rsidP="00630147">
            <w:pPr>
              <w:pStyle w:val="StyleWisnow"/>
              <w:rPr>
                <w:color w:val="000000" w:themeColor="text1"/>
              </w:rPr>
            </w:pPr>
          </w:p>
        </w:tc>
        <w:tc>
          <w:tcPr>
            <w:tcW w:w="4818" w:type="dxa"/>
          </w:tcPr>
          <w:p w14:paraId="67884E76" w14:textId="7554A4FB" w:rsidR="00630147" w:rsidRPr="00286216" w:rsidRDefault="00630147" w:rsidP="00630147">
            <w:pPr>
              <w:pStyle w:val="StyleZakonu"/>
              <w:rPr>
                <w:color w:val="000000" w:themeColor="text1"/>
              </w:rPr>
            </w:pPr>
            <w:r w:rsidRPr="00286216">
              <w:rPr>
                <w:color w:val="000000" w:themeColor="text1"/>
              </w:rPr>
              <w:t>1. Вимоги до відомостей, які має містити проспект іпотечних облігацій та окремі його частини, встановлюються Національною комісією з цінних паперів та фондового ринку.</w:t>
            </w:r>
          </w:p>
        </w:tc>
      </w:tr>
      <w:tr w:rsidR="00630147" w:rsidRPr="00286216" w14:paraId="568B9C8C" w14:textId="77777777" w:rsidTr="00091AA5">
        <w:tc>
          <w:tcPr>
            <w:tcW w:w="576" w:type="dxa"/>
          </w:tcPr>
          <w:p w14:paraId="1E54D189" w14:textId="77777777" w:rsidR="00630147" w:rsidRPr="00286216" w:rsidRDefault="00630147" w:rsidP="00630147">
            <w:pPr>
              <w:pStyle w:val="StyleWisnow"/>
              <w:rPr>
                <w:color w:val="000000" w:themeColor="text1"/>
              </w:rPr>
            </w:pPr>
            <w:bookmarkStart w:id="3279" w:name="n3409" w:colFirst="0" w:colLast="0"/>
            <w:bookmarkEnd w:id="3278"/>
            <w:r w:rsidRPr="00286216">
              <w:rPr>
                <w:color w:val="000000" w:themeColor="text1"/>
              </w:rPr>
              <w:t>3409.</w:t>
            </w:r>
          </w:p>
        </w:tc>
        <w:tc>
          <w:tcPr>
            <w:tcW w:w="4818" w:type="dxa"/>
          </w:tcPr>
          <w:p w14:paraId="36F73C07" w14:textId="77777777" w:rsidR="00630147" w:rsidRPr="00286216" w:rsidRDefault="00630147" w:rsidP="00630147">
            <w:pPr>
              <w:pStyle w:val="StyleZakonu"/>
              <w:rPr>
                <w:color w:val="000000" w:themeColor="text1"/>
              </w:rPr>
            </w:pPr>
            <w:r w:rsidRPr="00286216">
              <w:rPr>
                <w:color w:val="000000" w:themeColor="text1"/>
              </w:rPr>
              <w:t>2. Для реєстрації випуску іпотечних облігацій та/або затвердження їх проспекту Національною комісією з цінних паперів та фондового ринку додатково подаються реєстр іпотечного покриття та договір про управління іпотечним покриттям.</w:t>
            </w:r>
          </w:p>
        </w:tc>
        <w:tc>
          <w:tcPr>
            <w:tcW w:w="3686" w:type="dxa"/>
          </w:tcPr>
          <w:p w14:paraId="45C6A86B" w14:textId="77777777" w:rsidR="00630147" w:rsidRPr="00286216" w:rsidRDefault="00630147" w:rsidP="00630147">
            <w:pPr>
              <w:pStyle w:val="StyleProp"/>
              <w:rPr>
                <w:color w:val="000000" w:themeColor="text1"/>
                <w:szCs w:val="18"/>
              </w:rPr>
            </w:pPr>
          </w:p>
        </w:tc>
        <w:tc>
          <w:tcPr>
            <w:tcW w:w="1987" w:type="dxa"/>
          </w:tcPr>
          <w:p w14:paraId="7137DC79" w14:textId="77777777" w:rsidR="00630147" w:rsidRPr="00286216" w:rsidRDefault="00630147" w:rsidP="00630147">
            <w:pPr>
              <w:pStyle w:val="StyleWisnow"/>
              <w:rPr>
                <w:color w:val="000000" w:themeColor="text1"/>
              </w:rPr>
            </w:pPr>
          </w:p>
        </w:tc>
        <w:tc>
          <w:tcPr>
            <w:tcW w:w="4818" w:type="dxa"/>
          </w:tcPr>
          <w:p w14:paraId="0711F25D" w14:textId="774A20D0" w:rsidR="00630147" w:rsidRPr="00286216" w:rsidRDefault="00630147" w:rsidP="00630147">
            <w:pPr>
              <w:pStyle w:val="StyleZakonu"/>
              <w:rPr>
                <w:color w:val="000000" w:themeColor="text1"/>
              </w:rPr>
            </w:pPr>
            <w:r w:rsidRPr="00286216">
              <w:rPr>
                <w:color w:val="000000" w:themeColor="text1"/>
              </w:rPr>
              <w:t>2. Для реєстрації випуску іпотечних облігацій та/або затвердження їх проспекту Національною комісією з цінних паперів та фондового ринку додатково подаються реєстр іпотечного покриття та договір про управління іпотечним покриттям.</w:t>
            </w:r>
          </w:p>
        </w:tc>
      </w:tr>
      <w:tr w:rsidR="00630147" w:rsidRPr="00286216" w14:paraId="5E92634C" w14:textId="77777777" w:rsidTr="00091AA5">
        <w:tc>
          <w:tcPr>
            <w:tcW w:w="576" w:type="dxa"/>
          </w:tcPr>
          <w:p w14:paraId="45017AA1" w14:textId="77777777" w:rsidR="00630147" w:rsidRPr="00286216" w:rsidRDefault="00630147" w:rsidP="00630147">
            <w:pPr>
              <w:pStyle w:val="StyleWisnow"/>
              <w:rPr>
                <w:color w:val="000000" w:themeColor="text1"/>
              </w:rPr>
            </w:pPr>
            <w:bookmarkStart w:id="3280" w:name="n3410" w:colFirst="0" w:colLast="0"/>
            <w:bookmarkEnd w:id="3279"/>
            <w:r w:rsidRPr="00286216">
              <w:rPr>
                <w:color w:val="000000" w:themeColor="text1"/>
              </w:rPr>
              <w:t>3410.</w:t>
            </w:r>
          </w:p>
        </w:tc>
        <w:tc>
          <w:tcPr>
            <w:tcW w:w="4818" w:type="dxa"/>
          </w:tcPr>
          <w:p w14:paraId="64CA4F2C" w14:textId="77777777" w:rsidR="00630147" w:rsidRPr="00286216" w:rsidRDefault="00630147" w:rsidP="00630147">
            <w:pPr>
              <w:pStyle w:val="StyleZakonu"/>
              <w:rPr>
                <w:color w:val="000000" w:themeColor="text1"/>
              </w:rPr>
            </w:pPr>
            <w:r w:rsidRPr="00286216">
              <w:rPr>
                <w:color w:val="000000" w:themeColor="text1"/>
              </w:rPr>
              <w:t>3. Після початку розміщення іпотечних облігацій зміни до проспекту емісії (рішення про емісію іпотечних облігацій) вносяться емітентом за згодою усіх власників облігацій відповідного випуску або зборів власників облігацій у порядку, передбаченому Законом України "Про ринки капіталу та організовані товарні ринки". Виправлення технічних помилок, зміни, що не впливають на права власників іпотечних облігацій, вносяться емітентом за згодою адміністратора за випуском.";</w:t>
            </w:r>
          </w:p>
        </w:tc>
        <w:tc>
          <w:tcPr>
            <w:tcW w:w="3686" w:type="dxa"/>
          </w:tcPr>
          <w:p w14:paraId="404C3F46" w14:textId="77777777" w:rsidR="00630147" w:rsidRPr="00286216" w:rsidRDefault="00630147" w:rsidP="00630147">
            <w:pPr>
              <w:pStyle w:val="StyleProp"/>
              <w:rPr>
                <w:color w:val="000000" w:themeColor="text1"/>
                <w:szCs w:val="18"/>
              </w:rPr>
            </w:pPr>
          </w:p>
        </w:tc>
        <w:tc>
          <w:tcPr>
            <w:tcW w:w="1987" w:type="dxa"/>
          </w:tcPr>
          <w:p w14:paraId="482436AC" w14:textId="77777777" w:rsidR="00630147" w:rsidRPr="00286216" w:rsidRDefault="00630147" w:rsidP="00630147">
            <w:pPr>
              <w:pStyle w:val="StyleWisnow"/>
              <w:rPr>
                <w:color w:val="000000" w:themeColor="text1"/>
              </w:rPr>
            </w:pPr>
          </w:p>
        </w:tc>
        <w:tc>
          <w:tcPr>
            <w:tcW w:w="4818" w:type="dxa"/>
          </w:tcPr>
          <w:p w14:paraId="305240F2" w14:textId="47A23B9C" w:rsidR="00630147" w:rsidRPr="00286216" w:rsidRDefault="00630147" w:rsidP="00630147">
            <w:pPr>
              <w:pStyle w:val="StyleZakonu"/>
              <w:rPr>
                <w:color w:val="000000" w:themeColor="text1"/>
              </w:rPr>
            </w:pPr>
            <w:r w:rsidRPr="00286216">
              <w:rPr>
                <w:color w:val="000000" w:themeColor="text1"/>
              </w:rPr>
              <w:t>3. Після початку розміщення іпотечних облігацій зміни до проспекту емісії (рішення про емісію іпотечних облігацій) вносяться емітентом за згодою усіх власників облігацій відповідного випуску або зборів власників облігацій у порядку, передбаченому Законом України "Про ринки капіталу та організовані товарні ринки". Виправлення технічних помилок, зміни, що не впливають на права власників іпотечних облігацій, вносяться емітентом за згодою адміністратора за випуском";</w:t>
            </w:r>
          </w:p>
        </w:tc>
      </w:tr>
      <w:tr w:rsidR="00630147" w:rsidRPr="00286216" w14:paraId="698F8B85" w14:textId="77777777" w:rsidTr="00091AA5">
        <w:tc>
          <w:tcPr>
            <w:tcW w:w="576" w:type="dxa"/>
          </w:tcPr>
          <w:p w14:paraId="30F83D37" w14:textId="77777777" w:rsidR="00630147" w:rsidRPr="00286216" w:rsidRDefault="00630147" w:rsidP="00630147">
            <w:pPr>
              <w:pStyle w:val="StyleWisnow"/>
              <w:rPr>
                <w:color w:val="000000" w:themeColor="text1"/>
              </w:rPr>
            </w:pPr>
            <w:bookmarkStart w:id="3281" w:name="n3411" w:colFirst="0" w:colLast="0"/>
            <w:bookmarkEnd w:id="3280"/>
            <w:r w:rsidRPr="00286216">
              <w:rPr>
                <w:color w:val="000000" w:themeColor="text1"/>
              </w:rPr>
              <w:t>3411.</w:t>
            </w:r>
          </w:p>
        </w:tc>
        <w:tc>
          <w:tcPr>
            <w:tcW w:w="4818" w:type="dxa"/>
          </w:tcPr>
          <w:p w14:paraId="3E514252" w14:textId="77777777" w:rsidR="00630147" w:rsidRPr="00286216" w:rsidRDefault="00630147" w:rsidP="00630147">
            <w:pPr>
              <w:pStyle w:val="StyleZakonu"/>
              <w:rPr>
                <w:color w:val="000000" w:themeColor="text1"/>
              </w:rPr>
            </w:pPr>
            <w:r w:rsidRPr="00286216">
              <w:rPr>
                <w:color w:val="000000" w:themeColor="text1"/>
              </w:rPr>
              <w:t>5) у статті 11:</w:t>
            </w:r>
          </w:p>
        </w:tc>
        <w:tc>
          <w:tcPr>
            <w:tcW w:w="3686" w:type="dxa"/>
          </w:tcPr>
          <w:p w14:paraId="4E6A0760" w14:textId="77777777" w:rsidR="00630147" w:rsidRPr="00286216" w:rsidRDefault="00630147" w:rsidP="00630147">
            <w:pPr>
              <w:pStyle w:val="StyleProp"/>
              <w:rPr>
                <w:color w:val="000000" w:themeColor="text1"/>
                <w:szCs w:val="18"/>
              </w:rPr>
            </w:pPr>
          </w:p>
        </w:tc>
        <w:tc>
          <w:tcPr>
            <w:tcW w:w="1987" w:type="dxa"/>
          </w:tcPr>
          <w:p w14:paraId="54A9C192" w14:textId="77777777" w:rsidR="00630147" w:rsidRPr="00286216" w:rsidRDefault="00630147" w:rsidP="00630147">
            <w:pPr>
              <w:pStyle w:val="StyleWisnow"/>
              <w:rPr>
                <w:color w:val="000000" w:themeColor="text1"/>
              </w:rPr>
            </w:pPr>
          </w:p>
        </w:tc>
        <w:tc>
          <w:tcPr>
            <w:tcW w:w="4818" w:type="dxa"/>
          </w:tcPr>
          <w:p w14:paraId="0F73D3C3" w14:textId="5E4575BF" w:rsidR="00630147" w:rsidRPr="00286216" w:rsidRDefault="00630147" w:rsidP="00630147">
            <w:pPr>
              <w:pStyle w:val="StyleZakonu"/>
              <w:rPr>
                <w:color w:val="000000" w:themeColor="text1"/>
              </w:rPr>
            </w:pPr>
            <w:r w:rsidRPr="00286216">
              <w:rPr>
                <w:color w:val="000000" w:themeColor="text1"/>
              </w:rPr>
              <w:t>5) у статті 11:</w:t>
            </w:r>
          </w:p>
        </w:tc>
      </w:tr>
      <w:tr w:rsidR="00630147" w:rsidRPr="00286216" w14:paraId="37340AF7" w14:textId="77777777" w:rsidTr="00091AA5">
        <w:tc>
          <w:tcPr>
            <w:tcW w:w="576" w:type="dxa"/>
          </w:tcPr>
          <w:p w14:paraId="42E8698C" w14:textId="77777777" w:rsidR="00630147" w:rsidRPr="00286216" w:rsidRDefault="00630147" w:rsidP="00630147">
            <w:pPr>
              <w:pStyle w:val="StyleWisnow"/>
              <w:rPr>
                <w:color w:val="000000" w:themeColor="text1"/>
              </w:rPr>
            </w:pPr>
            <w:bookmarkStart w:id="3282" w:name="n3412" w:colFirst="0" w:colLast="0"/>
            <w:bookmarkEnd w:id="3281"/>
            <w:r w:rsidRPr="00286216">
              <w:rPr>
                <w:color w:val="000000" w:themeColor="text1"/>
              </w:rPr>
              <w:t>3412.</w:t>
            </w:r>
          </w:p>
        </w:tc>
        <w:tc>
          <w:tcPr>
            <w:tcW w:w="4818" w:type="dxa"/>
          </w:tcPr>
          <w:p w14:paraId="6925FFD7" w14:textId="77777777" w:rsidR="00630147" w:rsidRPr="00286216" w:rsidRDefault="00630147" w:rsidP="00630147">
            <w:pPr>
              <w:pStyle w:val="StyleZakonu"/>
              <w:rPr>
                <w:color w:val="000000" w:themeColor="text1"/>
              </w:rPr>
            </w:pPr>
            <w:r w:rsidRPr="00286216">
              <w:rPr>
                <w:color w:val="000000" w:themeColor="text1"/>
              </w:rPr>
              <w:t>а) у частині першій слова "випадках, передбачених цим Законом та проспектом емісії, " замінити словами "разі дефолту";</w:t>
            </w:r>
          </w:p>
        </w:tc>
        <w:tc>
          <w:tcPr>
            <w:tcW w:w="3686" w:type="dxa"/>
          </w:tcPr>
          <w:p w14:paraId="71D4CF17" w14:textId="77777777" w:rsidR="00630147" w:rsidRPr="00286216" w:rsidRDefault="00630147" w:rsidP="00630147">
            <w:pPr>
              <w:pStyle w:val="StyleProp"/>
              <w:rPr>
                <w:color w:val="000000" w:themeColor="text1"/>
                <w:szCs w:val="18"/>
              </w:rPr>
            </w:pPr>
          </w:p>
        </w:tc>
        <w:tc>
          <w:tcPr>
            <w:tcW w:w="1987" w:type="dxa"/>
          </w:tcPr>
          <w:p w14:paraId="0C19AC74" w14:textId="77777777" w:rsidR="00630147" w:rsidRPr="00286216" w:rsidRDefault="00630147" w:rsidP="00630147">
            <w:pPr>
              <w:pStyle w:val="StyleWisnow"/>
              <w:rPr>
                <w:color w:val="000000" w:themeColor="text1"/>
              </w:rPr>
            </w:pPr>
          </w:p>
        </w:tc>
        <w:tc>
          <w:tcPr>
            <w:tcW w:w="4818" w:type="dxa"/>
          </w:tcPr>
          <w:p w14:paraId="4FF9A4CC" w14:textId="3AC974EE" w:rsidR="00630147" w:rsidRPr="00286216" w:rsidRDefault="00630147" w:rsidP="00630147">
            <w:pPr>
              <w:pStyle w:val="StyleZakonu"/>
              <w:rPr>
                <w:color w:val="000000" w:themeColor="text1"/>
              </w:rPr>
            </w:pPr>
            <w:r w:rsidRPr="00286216">
              <w:rPr>
                <w:color w:val="000000" w:themeColor="text1"/>
              </w:rPr>
              <w:t>а) у частині першій слова "випадках, передбачених цим Законом та проспектом емісії" замінити словами "разі дефолту";</w:t>
            </w:r>
          </w:p>
        </w:tc>
      </w:tr>
      <w:tr w:rsidR="00630147" w:rsidRPr="00286216" w14:paraId="1A05CDAF" w14:textId="77777777" w:rsidTr="00091AA5">
        <w:tc>
          <w:tcPr>
            <w:tcW w:w="576" w:type="dxa"/>
          </w:tcPr>
          <w:p w14:paraId="62956BF0" w14:textId="77777777" w:rsidR="00630147" w:rsidRPr="00286216" w:rsidRDefault="00630147" w:rsidP="00630147">
            <w:pPr>
              <w:pStyle w:val="StyleWisnow"/>
              <w:rPr>
                <w:color w:val="000000" w:themeColor="text1"/>
              </w:rPr>
            </w:pPr>
            <w:bookmarkStart w:id="3283" w:name="n3413" w:colFirst="0" w:colLast="0"/>
            <w:bookmarkEnd w:id="3282"/>
            <w:r w:rsidRPr="00286216">
              <w:rPr>
                <w:color w:val="000000" w:themeColor="text1"/>
              </w:rPr>
              <w:t>3413.</w:t>
            </w:r>
          </w:p>
        </w:tc>
        <w:tc>
          <w:tcPr>
            <w:tcW w:w="4818" w:type="dxa"/>
          </w:tcPr>
          <w:p w14:paraId="195AB799" w14:textId="77777777" w:rsidR="00630147" w:rsidRPr="00286216" w:rsidRDefault="00630147" w:rsidP="00630147">
            <w:pPr>
              <w:pStyle w:val="StyleZakonu"/>
              <w:rPr>
                <w:color w:val="000000" w:themeColor="text1"/>
              </w:rPr>
            </w:pPr>
            <w:r w:rsidRPr="00286216">
              <w:rPr>
                <w:color w:val="000000" w:themeColor="text1"/>
              </w:rPr>
              <w:t>б) у частині другій слова "прийняття рішення" замінити словами "отримання вимоги", а слово "управителю" замінити словами "адміністратору за випуском облігацій";</w:t>
            </w:r>
          </w:p>
        </w:tc>
        <w:tc>
          <w:tcPr>
            <w:tcW w:w="3686" w:type="dxa"/>
          </w:tcPr>
          <w:p w14:paraId="48422127" w14:textId="77777777" w:rsidR="00630147" w:rsidRPr="00286216" w:rsidRDefault="00630147" w:rsidP="00630147">
            <w:pPr>
              <w:pStyle w:val="StyleProp"/>
              <w:rPr>
                <w:color w:val="000000" w:themeColor="text1"/>
                <w:szCs w:val="18"/>
              </w:rPr>
            </w:pPr>
          </w:p>
        </w:tc>
        <w:tc>
          <w:tcPr>
            <w:tcW w:w="1987" w:type="dxa"/>
          </w:tcPr>
          <w:p w14:paraId="2BFEB454" w14:textId="77777777" w:rsidR="00630147" w:rsidRPr="00286216" w:rsidRDefault="00630147" w:rsidP="00630147">
            <w:pPr>
              <w:pStyle w:val="StyleWisnow"/>
              <w:rPr>
                <w:color w:val="000000" w:themeColor="text1"/>
              </w:rPr>
            </w:pPr>
          </w:p>
        </w:tc>
        <w:tc>
          <w:tcPr>
            <w:tcW w:w="4818" w:type="dxa"/>
          </w:tcPr>
          <w:p w14:paraId="6558C837" w14:textId="1B9C809E" w:rsidR="00630147" w:rsidRPr="00286216" w:rsidRDefault="00630147" w:rsidP="00630147">
            <w:pPr>
              <w:pStyle w:val="StyleZakonu"/>
              <w:rPr>
                <w:color w:val="000000" w:themeColor="text1"/>
              </w:rPr>
            </w:pPr>
            <w:r w:rsidRPr="00286216">
              <w:rPr>
                <w:color w:val="000000" w:themeColor="text1"/>
              </w:rPr>
              <w:t>б) у частині другій слова "прийняття рішення" замінити словами "отримання вимоги", а слово "управителю" замінити словами "адміністратору за випуском облігацій";</w:t>
            </w:r>
          </w:p>
        </w:tc>
      </w:tr>
      <w:tr w:rsidR="00630147" w:rsidRPr="00286216" w14:paraId="49354AA0" w14:textId="77777777" w:rsidTr="00091AA5">
        <w:tc>
          <w:tcPr>
            <w:tcW w:w="576" w:type="dxa"/>
          </w:tcPr>
          <w:p w14:paraId="6BB07509" w14:textId="77777777" w:rsidR="00630147" w:rsidRPr="00286216" w:rsidRDefault="00630147" w:rsidP="00630147">
            <w:pPr>
              <w:pStyle w:val="StyleWisnow"/>
              <w:rPr>
                <w:color w:val="000000" w:themeColor="text1"/>
              </w:rPr>
            </w:pPr>
            <w:bookmarkStart w:id="3284" w:name="n3414" w:colFirst="0" w:colLast="0"/>
            <w:bookmarkEnd w:id="3283"/>
            <w:r w:rsidRPr="00286216">
              <w:rPr>
                <w:color w:val="000000" w:themeColor="text1"/>
              </w:rPr>
              <w:t>3414.</w:t>
            </w:r>
          </w:p>
        </w:tc>
        <w:tc>
          <w:tcPr>
            <w:tcW w:w="4818" w:type="dxa"/>
          </w:tcPr>
          <w:p w14:paraId="6B86B887" w14:textId="77777777" w:rsidR="00630147" w:rsidRPr="00286216" w:rsidRDefault="00630147" w:rsidP="00630147">
            <w:pPr>
              <w:pStyle w:val="StyleZakonu"/>
              <w:rPr>
                <w:color w:val="000000" w:themeColor="text1"/>
              </w:rPr>
            </w:pPr>
            <w:r w:rsidRPr="00286216">
              <w:rPr>
                <w:color w:val="000000" w:themeColor="text1"/>
              </w:rPr>
              <w:t>в) в)частину третю викласти в такій редакції:</w:t>
            </w:r>
          </w:p>
        </w:tc>
        <w:tc>
          <w:tcPr>
            <w:tcW w:w="3686" w:type="dxa"/>
          </w:tcPr>
          <w:p w14:paraId="2A62005D" w14:textId="77777777" w:rsidR="00630147" w:rsidRPr="00286216" w:rsidRDefault="00630147" w:rsidP="00630147">
            <w:pPr>
              <w:pStyle w:val="StyleProp"/>
              <w:rPr>
                <w:color w:val="000000" w:themeColor="text1"/>
                <w:szCs w:val="18"/>
              </w:rPr>
            </w:pPr>
          </w:p>
        </w:tc>
        <w:tc>
          <w:tcPr>
            <w:tcW w:w="1987" w:type="dxa"/>
          </w:tcPr>
          <w:p w14:paraId="0CB4CA3A" w14:textId="77777777" w:rsidR="00630147" w:rsidRPr="00286216" w:rsidRDefault="00630147" w:rsidP="00630147">
            <w:pPr>
              <w:pStyle w:val="StyleWisnow"/>
              <w:rPr>
                <w:color w:val="000000" w:themeColor="text1"/>
              </w:rPr>
            </w:pPr>
          </w:p>
        </w:tc>
        <w:tc>
          <w:tcPr>
            <w:tcW w:w="4818" w:type="dxa"/>
          </w:tcPr>
          <w:p w14:paraId="0EBECFC4" w14:textId="16507FB0" w:rsidR="00630147" w:rsidRPr="00286216" w:rsidRDefault="00630147" w:rsidP="00630147">
            <w:pPr>
              <w:pStyle w:val="StyleZakonu"/>
              <w:rPr>
                <w:color w:val="000000" w:themeColor="text1"/>
              </w:rPr>
            </w:pPr>
            <w:r w:rsidRPr="00286216">
              <w:rPr>
                <w:color w:val="000000" w:themeColor="text1"/>
              </w:rPr>
              <w:t>в) частину третю викласти в такій редакції:</w:t>
            </w:r>
          </w:p>
        </w:tc>
      </w:tr>
      <w:tr w:rsidR="00630147" w:rsidRPr="00286216" w14:paraId="0C0C341F" w14:textId="77777777" w:rsidTr="00091AA5">
        <w:tc>
          <w:tcPr>
            <w:tcW w:w="576" w:type="dxa"/>
          </w:tcPr>
          <w:p w14:paraId="1C7CAD5A" w14:textId="77777777" w:rsidR="00630147" w:rsidRPr="00286216" w:rsidRDefault="00630147" w:rsidP="00630147">
            <w:pPr>
              <w:pStyle w:val="StyleWisnow"/>
              <w:rPr>
                <w:color w:val="000000" w:themeColor="text1"/>
              </w:rPr>
            </w:pPr>
            <w:bookmarkStart w:id="3285" w:name="n3415" w:colFirst="0" w:colLast="0"/>
            <w:bookmarkEnd w:id="3284"/>
            <w:r w:rsidRPr="00286216">
              <w:rPr>
                <w:color w:val="000000" w:themeColor="text1"/>
              </w:rPr>
              <w:t>3415.</w:t>
            </w:r>
          </w:p>
        </w:tc>
        <w:tc>
          <w:tcPr>
            <w:tcW w:w="4818" w:type="dxa"/>
          </w:tcPr>
          <w:p w14:paraId="76130546" w14:textId="77777777" w:rsidR="00630147" w:rsidRPr="00286216" w:rsidRDefault="00630147" w:rsidP="00630147">
            <w:pPr>
              <w:pStyle w:val="StyleZakonu"/>
              <w:rPr>
                <w:color w:val="000000" w:themeColor="text1"/>
              </w:rPr>
            </w:pPr>
            <w:r w:rsidRPr="00286216">
              <w:rPr>
                <w:color w:val="000000" w:themeColor="text1"/>
              </w:rPr>
              <w:t xml:space="preserve">"3. Виручка від продажу іпотечного покриття звичайних іпотечних облігацій спрямовується на грошовий рахунок Центрального депозитарію цінних </w:t>
            </w:r>
            <w:r w:rsidRPr="00286216">
              <w:rPr>
                <w:color w:val="000000" w:themeColor="text1"/>
              </w:rPr>
              <w:lastRenderedPageBreak/>
              <w:t>паперів у Національному банку України, а від продажу іпотечного покриття структурованих іпотечних облігацій - на рахунок адміністратора за випуском облігацій, якщо інше не передбачено проспектом (рішенням про емісію) структурованих іпотечних облігацій та/або договором про управління іпотечним покриттям випуску структурованих іпотечних облігацій. Після відшкодування всіх витрат, пов’язаних із зверненням стягнення на іпотечне покриття і управлінням та обслуговуванням відповідних іпотечних активів, виручка від продажу іпотечного покриття розподіляється між власниками іпотечних облігацій пропорційно до належних їм облігацій. У разі коли виручка від продажу іпотечного покриття перевищує розмір зобов’язань за іпотечними облігаціями та витрат, пов’язаних із зверненням стягнення на іпотечне покриття, управлінням та обслуговуванням відповідних іпотечних активів, її надлишок повертається емітенту.";</w:t>
            </w:r>
          </w:p>
        </w:tc>
        <w:tc>
          <w:tcPr>
            <w:tcW w:w="3686" w:type="dxa"/>
          </w:tcPr>
          <w:p w14:paraId="52BE3561" w14:textId="0C8A4805" w:rsidR="00630147" w:rsidRPr="00286216" w:rsidRDefault="00630147" w:rsidP="0063014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1422</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6612BA41" w14:textId="0216B5C6" w:rsidR="00630147" w:rsidRPr="00286216" w:rsidRDefault="00630147" w:rsidP="00630147">
            <w:pPr>
              <w:pStyle w:val="StyleProp"/>
              <w:spacing w:line="180" w:lineRule="exact"/>
              <w:rPr>
                <w:color w:val="000000" w:themeColor="text1"/>
                <w:spacing w:val="-2"/>
              </w:rPr>
            </w:pPr>
            <w:r w:rsidRPr="00286216">
              <w:rPr>
                <w:color w:val="000000" w:themeColor="text1"/>
                <w:spacing w:val="-2"/>
              </w:rPr>
              <w:t xml:space="preserve">У підпункті 5) пункту 38) розділу ІІІ проекту Закону (зміни до Закону «Про іпотечні облігації») слова «Виручка від </w:t>
            </w:r>
            <w:r w:rsidRPr="00286216">
              <w:rPr>
                <w:color w:val="000000" w:themeColor="text1"/>
                <w:spacing w:val="-2"/>
              </w:rPr>
              <w:lastRenderedPageBreak/>
              <w:t>продажу іпотечного покриття звичайних іпотечних облігацій спрямовується на грошовий рахунок Центрального депозитарію цінних паперів у Національному банку України, а від продажу іпотечного покриття структурованих іпотечних облігацій – на рахунок адміністратора за випуском облігацій, якщо інше не передбачено проспектом (рішенням про емісію) структурованих іпотечних облігацій та/або договором про управління іпотечним покриттям випуску структурованих іпотечних облігацій» замінити словами «Будь-які кошти, які підлягають виплаті у процесі примусового стягнення заборгованості емітента за іпотечними облігаціями спрямовується на грошовий рахунок Центрального депозитарію цінних паперів у Національному банку України, а від продажу іпотечного покриття структурованих іпотечних облігацій - на рахунок адміністратора за випуском облігацій, якщо інше не передбачено проспектом (рішенням про емісію) структурованих іпотечних облігацій та/або договором про управління іпотечним покриттям випуску структурованих іпотечних облігацій».</w:t>
            </w:r>
          </w:p>
        </w:tc>
        <w:tc>
          <w:tcPr>
            <w:tcW w:w="1987" w:type="dxa"/>
          </w:tcPr>
          <w:p w14:paraId="0DF09437" w14:textId="12913DC4" w:rsidR="00630147" w:rsidRPr="00286216" w:rsidRDefault="00630147" w:rsidP="00630147">
            <w:pPr>
              <w:pStyle w:val="StyleWisnow"/>
              <w:rPr>
                <w:color w:val="000000" w:themeColor="text1"/>
              </w:rPr>
            </w:pPr>
            <w:r w:rsidRPr="00286216">
              <w:rPr>
                <w:color w:val="000000" w:themeColor="text1"/>
              </w:rPr>
              <w:lastRenderedPageBreak/>
              <w:t>Враховано</w:t>
            </w:r>
          </w:p>
        </w:tc>
        <w:tc>
          <w:tcPr>
            <w:tcW w:w="4818" w:type="dxa"/>
          </w:tcPr>
          <w:p w14:paraId="6172CC15" w14:textId="7A36C53E" w:rsidR="00630147" w:rsidRPr="00286216" w:rsidRDefault="00630147" w:rsidP="00630147">
            <w:pPr>
              <w:pStyle w:val="StyleZakonu"/>
              <w:rPr>
                <w:color w:val="000000" w:themeColor="text1"/>
              </w:rPr>
            </w:pPr>
            <w:r w:rsidRPr="00286216">
              <w:rPr>
                <w:color w:val="000000" w:themeColor="text1"/>
              </w:rPr>
              <w:t xml:space="preserve">"3. Будь-які кошти, які підлягають виплаті у процесі примусового стягнення заборгованості емітента за іпотечними облігаціями спрямовується на </w:t>
            </w:r>
            <w:r w:rsidRPr="00286216">
              <w:rPr>
                <w:color w:val="000000" w:themeColor="text1"/>
              </w:rPr>
              <w:lastRenderedPageBreak/>
              <w:t>грошовий рахунок Центрального депозитарію цінних паперів у Національному банку України, а від продажу іпотечного покриття структурованих іпотечних облігацій - на рахунок адміністратора за випуском облігацій, якщо інше не передбачено проспектом (рішенням про емісію) структурованих іпотечних облігацій та/або договором про управління іпотечним покриттям випуску структурованих іпотечних облігацій. Після відшкодування всіх витрат, пов’язаних із зверненням стягнення на іпотечне покриття і управлінням та обслуговуванням відповідних іпотечних активів, виручка від продажу іпотечного покриття розподіляється між власниками іпотечних облігацій пропорційно до належних їм облігацій. У разі коли виручка від продажу іпотечного покриття перевищує розмір зобов’язань за іпотечними облігаціями та витрат, пов’язаних із зверненням стягнення на іпотечне покриття, управлінням та обслуговуванням відповідних іпотечних активів, її надлишок повертається емітенту";</w:t>
            </w:r>
          </w:p>
        </w:tc>
      </w:tr>
      <w:tr w:rsidR="00630147" w:rsidRPr="00286216" w14:paraId="425629C8" w14:textId="77777777" w:rsidTr="00091AA5">
        <w:tc>
          <w:tcPr>
            <w:tcW w:w="576" w:type="dxa"/>
          </w:tcPr>
          <w:p w14:paraId="4B3851B8" w14:textId="77777777" w:rsidR="00630147" w:rsidRPr="00286216" w:rsidRDefault="00630147" w:rsidP="00630147">
            <w:pPr>
              <w:pStyle w:val="StyleWisnow"/>
              <w:rPr>
                <w:color w:val="000000" w:themeColor="text1"/>
              </w:rPr>
            </w:pPr>
            <w:bookmarkStart w:id="3286" w:name="n3416" w:colFirst="0" w:colLast="0"/>
            <w:bookmarkEnd w:id="3285"/>
            <w:r w:rsidRPr="00286216">
              <w:rPr>
                <w:color w:val="000000" w:themeColor="text1"/>
              </w:rPr>
              <w:lastRenderedPageBreak/>
              <w:t>3416.</w:t>
            </w:r>
          </w:p>
        </w:tc>
        <w:tc>
          <w:tcPr>
            <w:tcW w:w="4818" w:type="dxa"/>
          </w:tcPr>
          <w:p w14:paraId="4AA3CC1F" w14:textId="77777777" w:rsidR="00630147" w:rsidRPr="00286216" w:rsidRDefault="00630147" w:rsidP="00630147">
            <w:pPr>
              <w:pStyle w:val="StyleZakonu"/>
              <w:rPr>
                <w:color w:val="000000" w:themeColor="text1"/>
              </w:rPr>
            </w:pPr>
            <w:r w:rsidRPr="00286216">
              <w:rPr>
                <w:color w:val="000000" w:themeColor="text1"/>
              </w:rPr>
              <w:t>6) пункт перший частини четвертої статті 14 викласти в такій редакції:</w:t>
            </w:r>
          </w:p>
        </w:tc>
        <w:tc>
          <w:tcPr>
            <w:tcW w:w="3686" w:type="dxa"/>
          </w:tcPr>
          <w:p w14:paraId="08DA97A8" w14:textId="77777777" w:rsidR="00630147" w:rsidRPr="00286216" w:rsidRDefault="00630147" w:rsidP="00630147">
            <w:pPr>
              <w:pStyle w:val="StyleProp"/>
              <w:rPr>
                <w:color w:val="000000" w:themeColor="text1"/>
                <w:szCs w:val="18"/>
              </w:rPr>
            </w:pPr>
          </w:p>
        </w:tc>
        <w:tc>
          <w:tcPr>
            <w:tcW w:w="1987" w:type="dxa"/>
          </w:tcPr>
          <w:p w14:paraId="44F8CC11" w14:textId="77777777" w:rsidR="00630147" w:rsidRPr="00286216" w:rsidRDefault="00630147" w:rsidP="00630147">
            <w:pPr>
              <w:pStyle w:val="StyleWisnow"/>
              <w:rPr>
                <w:color w:val="000000" w:themeColor="text1"/>
              </w:rPr>
            </w:pPr>
          </w:p>
        </w:tc>
        <w:tc>
          <w:tcPr>
            <w:tcW w:w="4818" w:type="dxa"/>
          </w:tcPr>
          <w:p w14:paraId="17B97F52" w14:textId="22197006" w:rsidR="00630147" w:rsidRPr="00286216" w:rsidRDefault="00630147" w:rsidP="00630147">
            <w:pPr>
              <w:pStyle w:val="StyleZakonu"/>
              <w:rPr>
                <w:color w:val="000000" w:themeColor="text1"/>
              </w:rPr>
            </w:pPr>
            <w:r w:rsidRPr="00286216">
              <w:rPr>
                <w:color w:val="000000" w:themeColor="text1"/>
              </w:rPr>
              <w:t>5) пункт 1 частини четвертої статті 14 викласти в такій редакції:</w:t>
            </w:r>
          </w:p>
        </w:tc>
      </w:tr>
      <w:tr w:rsidR="00630147" w:rsidRPr="00286216" w14:paraId="2312C281" w14:textId="77777777" w:rsidTr="00091AA5">
        <w:tc>
          <w:tcPr>
            <w:tcW w:w="576" w:type="dxa"/>
          </w:tcPr>
          <w:p w14:paraId="7E8DB1F2" w14:textId="77777777" w:rsidR="00630147" w:rsidRPr="00286216" w:rsidRDefault="00630147" w:rsidP="00630147">
            <w:pPr>
              <w:pStyle w:val="StyleWisnow"/>
              <w:rPr>
                <w:color w:val="000000" w:themeColor="text1"/>
              </w:rPr>
            </w:pPr>
            <w:bookmarkStart w:id="3287" w:name="n3417" w:colFirst="0" w:colLast="0"/>
            <w:bookmarkEnd w:id="3286"/>
            <w:r w:rsidRPr="00286216">
              <w:rPr>
                <w:color w:val="000000" w:themeColor="text1"/>
              </w:rPr>
              <w:t>3417.</w:t>
            </w:r>
          </w:p>
        </w:tc>
        <w:tc>
          <w:tcPr>
            <w:tcW w:w="4818" w:type="dxa"/>
          </w:tcPr>
          <w:p w14:paraId="1CF09E62" w14:textId="77777777" w:rsidR="00630147" w:rsidRPr="00286216" w:rsidRDefault="00630147" w:rsidP="00630147">
            <w:pPr>
              <w:pStyle w:val="StyleZakonu"/>
              <w:rPr>
                <w:color w:val="000000" w:themeColor="text1"/>
              </w:rPr>
            </w:pPr>
            <w:r w:rsidRPr="00286216">
              <w:rPr>
                <w:color w:val="000000" w:themeColor="text1"/>
              </w:rPr>
              <w:t>"1) облігації міжнародних фінансових організацій, що розміщуються на території України, державні цінні папери або цінні папери, повністю гарантовані державою; ";</w:t>
            </w:r>
          </w:p>
        </w:tc>
        <w:tc>
          <w:tcPr>
            <w:tcW w:w="3686" w:type="dxa"/>
          </w:tcPr>
          <w:p w14:paraId="55F8C6AE" w14:textId="77777777" w:rsidR="00630147" w:rsidRPr="00286216" w:rsidRDefault="00630147" w:rsidP="00630147">
            <w:pPr>
              <w:pStyle w:val="StyleProp"/>
              <w:rPr>
                <w:color w:val="000000" w:themeColor="text1"/>
                <w:szCs w:val="18"/>
              </w:rPr>
            </w:pPr>
          </w:p>
        </w:tc>
        <w:tc>
          <w:tcPr>
            <w:tcW w:w="1987" w:type="dxa"/>
          </w:tcPr>
          <w:p w14:paraId="43EADA13" w14:textId="77777777" w:rsidR="00630147" w:rsidRPr="00286216" w:rsidRDefault="00630147" w:rsidP="00630147">
            <w:pPr>
              <w:pStyle w:val="StyleWisnow"/>
              <w:rPr>
                <w:color w:val="000000" w:themeColor="text1"/>
              </w:rPr>
            </w:pPr>
          </w:p>
        </w:tc>
        <w:tc>
          <w:tcPr>
            <w:tcW w:w="4818" w:type="dxa"/>
          </w:tcPr>
          <w:p w14:paraId="23BCF514" w14:textId="151BB9AD" w:rsidR="00630147" w:rsidRPr="00286216" w:rsidRDefault="00630147" w:rsidP="00630147">
            <w:pPr>
              <w:pStyle w:val="StyleZakonu"/>
              <w:rPr>
                <w:color w:val="000000" w:themeColor="text1"/>
              </w:rPr>
            </w:pPr>
            <w:r w:rsidRPr="00286216">
              <w:rPr>
                <w:color w:val="000000" w:themeColor="text1"/>
              </w:rPr>
              <w:t>"1) облігації міжнародних фінансових організацій, що розміщуються на території України, державні цінні папери або цінні папери, повністю гарантовані державою";</w:t>
            </w:r>
          </w:p>
        </w:tc>
      </w:tr>
      <w:tr w:rsidR="00630147" w:rsidRPr="00286216" w14:paraId="4B5ED43A" w14:textId="77777777" w:rsidTr="00091AA5">
        <w:tc>
          <w:tcPr>
            <w:tcW w:w="576" w:type="dxa"/>
          </w:tcPr>
          <w:p w14:paraId="21BC9838" w14:textId="77777777" w:rsidR="00630147" w:rsidRPr="00286216" w:rsidRDefault="00630147" w:rsidP="00630147">
            <w:pPr>
              <w:pStyle w:val="StyleWisnow"/>
              <w:rPr>
                <w:color w:val="000000" w:themeColor="text1"/>
              </w:rPr>
            </w:pPr>
            <w:bookmarkStart w:id="3288" w:name="n3418" w:colFirst="0" w:colLast="0"/>
            <w:bookmarkEnd w:id="3287"/>
            <w:r w:rsidRPr="00286216">
              <w:rPr>
                <w:color w:val="000000" w:themeColor="text1"/>
              </w:rPr>
              <w:t>3418.</w:t>
            </w:r>
          </w:p>
        </w:tc>
        <w:tc>
          <w:tcPr>
            <w:tcW w:w="4818" w:type="dxa"/>
          </w:tcPr>
          <w:p w14:paraId="5B286F83" w14:textId="77777777" w:rsidR="00630147" w:rsidRPr="00286216" w:rsidRDefault="00630147" w:rsidP="00630147">
            <w:pPr>
              <w:pStyle w:val="StyleZakonu"/>
              <w:rPr>
                <w:color w:val="000000" w:themeColor="text1"/>
              </w:rPr>
            </w:pPr>
            <w:r w:rsidRPr="00286216">
              <w:rPr>
                <w:color w:val="000000" w:themeColor="text1"/>
              </w:rPr>
              <w:t>7) у статті 15:</w:t>
            </w:r>
          </w:p>
        </w:tc>
        <w:tc>
          <w:tcPr>
            <w:tcW w:w="3686" w:type="dxa"/>
          </w:tcPr>
          <w:p w14:paraId="394AE642" w14:textId="77777777" w:rsidR="00630147" w:rsidRPr="00286216" w:rsidRDefault="00630147" w:rsidP="00630147">
            <w:pPr>
              <w:pStyle w:val="StyleProp"/>
              <w:rPr>
                <w:color w:val="000000" w:themeColor="text1"/>
                <w:szCs w:val="18"/>
              </w:rPr>
            </w:pPr>
          </w:p>
        </w:tc>
        <w:tc>
          <w:tcPr>
            <w:tcW w:w="1987" w:type="dxa"/>
          </w:tcPr>
          <w:p w14:paraId="09703A83" w14:textId="77777777" w:rsidR="00630147" w:rsidRPr="00286216" w:rsidRDefault="00630147" w:rsidP="00630147">
            <w:pPr>
              <w:pStyle w:val="StyleWisnow"/>
              <w:spacing w:line="180" w:lineRule="exact"/>
              <w:rPr>
                <w:color w:val="000000" w:themeColor="text1"/>
              </w:rPr>
            </w:pPr>
          </w:p>
        </w:tc>
        <w:tc>
          <w:tcPr>
            <w:tcW w:w="4818" w:type="dxa"/>
          </w:tcPr>
          <w:p w14:paraId="31816079" w14:textId="45AABDC8" w:rsidR="00630147" w:rsidRPr="00286216" w:rsidRDefault="00630147" w:rsidP="00630147">
            <w:pPr>
              <w:pStyle w:val="StyleZakonu"/>
              <w:rPr>
                <w:color w:val="000000" w:themeColor="text1"/>
              </w:rPr>
            </w:pPr>
            <w:r w:rsidRPr="00286216">
              <w:rPr>
                <w:color w:val="000000" w:themeColor="text1"/>
              </w:rPr>
              <w:t>6) у статті 15:</w:t>
            </w:r>
          </w:p>
        </w:tc>
      </w:tr>
      <w:tr w:rsidR="00630147" w:rsidRPr="00286216" w14:paraId="4FEAE7DD" w14:textId="77777777" w:rsidTr="00091AA5">
        <w:tc>
          <w:tcPr>
            <w:tcW w:w="576" w:type="dxa"/>
          </w:tcPr>
          <w:p w14:paraId="10009FD9" w14:textId="77777777" w:rsidR="00630147" w:rsidRPr="00286216" w:rsidRDefault="00630147" w:rsidP="00630147">
            <w:pPr>
              <w:pStyle w:val="StyleWisnow"/>
              <w:rPr>
                <w:color w:val="000000" w:themeColor="text1"/>
              </w:rPr>
            </w:pPr>
            <w:bookmarkStart w:id="3289" w:name="n3419" w:colFirst="0" w:colLast="0"/>
            <w:bookmarkEnd w:id="3288"/>
            <w:r w:rsidRPr="00286216">
              <w:rPr>
                <w:color w:val="000000" w:themeColor="text1"/>
              </w:rPr>
              <w:t>3419.</w:t>
            </w:r>
          </w:p>
        </w:tc>
        <w:tc>
          <w:tcPr>
            <w:tcW w:w="4818" w:type="dxa"/>
          </w:tcPr>
          <w:p w14:paraId="0300F518" w14:textId="77777777" w:rsidR="00630147" w:rsidRPr="00286216" w:rsidRDefault="00630147" w:rsidP="00630147">
            <w:pPr>
              <w:pStyle w:val="StyleZakonu"/>
              <w:rPr>
                <w:color w:val="000000" w:themeColor="text1"/>
              </w:rPr>
            </w:pPr>
            <w:r w:rsidRPr="00286216">
              <w:rPr>
                <w:color w:val="000000" w:themeColor="text1"/>
              </w:rPr>
              <w:t>а) у частині першій:</w:t>
            </w:r>
          </w:p>
        </w:tc>
        <w:tc>
          <w:tcPr>
            <w:tcW w:w="3686" w:type="dxa"/>
          </w:tcPr>
          <w:p w14:paraId="56C7421B" w14:textId="77777777" w:rsidR="00630147" w:rsidRPr="00286216" w:rsidRDefault="00630147" w:rsidP="00630147">
            <w:pPr>
              <w:pStyle w:val="StyleProp"/>
              <w:rPr>
                <w:color w:val="000000" w:themeColor="text1"/>
                <w:szCs w:val="18"/>
              </w:rPr>
            </w:pPr>
          </w:p>
        </w:tc>
        <w:tc>
          <w:tcPr>
            <w:tcW w:w="1987" w:type="dxa"/>
          </w:tcPr>
          <w:p w14:paraId="353FDBFB" w14:textId="77777777" w:rsidR="00630147" w:rsidRPr="00286216" w:rsidRDefault="00630147" w:rsidP="00630147">
            <w:pPr>
              <w:pStyle w:val="StyleWisnow"/>
              <w:spacing w:line="180" w:lineRule="exact"/>
              <w:rPr>
                <w:color w:val="000000" w:themeColor="text1"/>
              </w:rPr>
            </w:pPr>
          </w:p>
        </w:tc>
        <w:tc>
          <w:tcPr>
            <w:tcW w:w="4818" w:type="dxa"/>
          </w:tcPr>
          <w:p w14:paraId="6DE6F250" w14:textId="17497622" w:rsidR="00630147" w:rsidRPr="00286216" w:rsidRDefault="00630147" w:rsidP="00630147">
            <w:pPr>
              <w:pStyle w:val="StyleZakonu"/>
              <w:rPr>
                <w:color w:val="000000" w:themeColor="text1"/>
              </w:rPr>
            </w:pPr>
            <w:r w:rsidRPr="00286216">
              <w:rPr>
                <w:color w:val="000000" w:themeColor="text1"/>
              </w:rPr>
              <w:t>а) у частині першій:</w:t>
            </w:r>
          </w:p>
        </w:tc>
      </w:tr>
      <w:tr w:rsidR="00630147" w:rsidRPr="00286216" w14:paraId="0B7C1E77" w14:textId="77777777" w:rsidTr="00091AA5">
        <w:tc>
          <w:tcPr>
            <w:tcW w:w="576" w:type="dxa"/>
          </w:tcPr>
          <w:p w14:paraId="01CDEC6B" w14:textId="77777777" w:rsidR="00630147" w:rsidRPr="00286216" w:rsidRDefault="00630147" w:rsidP="00630147">
            <w:pPr>
              <w:pStyle w:val="StyleWisnow"/>
              <w:rPr>
                <w:color w:val="000000" w:themeColor="text1"/>
              </w:rPr>
            </w:pPr>
            <w:bookmarkStart w:id="3290" w:name="n3420" w:colFirst="0" w:colLast="0"/>
            <w:bookmarkEnd w:id="3289"/>
            <w:r w:rsidRPr="00286216">
              <w:rPr>
                <w:color w:val="000000" w:themeColor="text1"/>
              </w:rPr>
              <w:t>3420.</w:t>
            </w:r>
          </w:p>
        </w:tc>
        <w:tc>
          <w:tcPr>
            <w:tcW w:w="4818" w:type="dxa"/>
          </w:tcPr>
          <w:p w14:paraId="53F38442" w14:textId="77777777" w:rsidR="00630147" w:rsidRPr="00286216" w:rsidRDefault="00630147" w:rsidP="00630147">
            <w:pPr>
              <w:pStyle w:val="StyleZakonu"/>
              <w:rPr>
                <w:color w:val="000000" w:themeColor="text1"/>
              </w:rPr>
            </w:pPr>
            <w:r w:rsidRPr="00286216">
              <w:rPr>
                <w:color w:val="000000" w:themeColor="text1"/>
              </w:rPr>
              <w:t>в абзаці першому слово "управителя" замінити словом "на адміністратора за випуском облігацій";</w:t>
            </w:r>
          </w:p>
        </w:tc>
        <w:tc>
          <w:tcPr>
            <w:tcW w:w="3686" w:type="dxa"/>
          </w:tcPr>
          <w:p w14:paraId="4025CB72" w14:textId="77777777" w:rsidR="00630147" w:rsidRPr="00286216" w:rsidRDefault="00630147" w:rsidP="00630147">
            <w:pPr>
              <w:pStyle w:val="StyleProp"/>
              <w:rPr>
                <w:color w:val="000000" w:themeColor="text1"/>
                <w:szCs w:val="18"/>
              </w:rPr>
            </w:pPr>
          </w:p>
        </w:tc>
        <w:tc>
          <w:tcPr>
            <w:tcW w:w="1987" w:type="dxa"/>
          </w:tcPr>
          <w:p w14:paraId="04FA9B60" w14:textId="77777777" w:rsidR="00630147" w:rsidRPr="00286216" w:rsidRDefault="00630147" w:rsidP="00630147">
            <w:pPr>
              <w:pStyle w:val="StyleWisnow"/>
              <w:spacing w:line="180" w:lineRule="exact"/>
              <w:rPr>
                <w:color w:val="000000" w:themeColor="text1"/>
              </w:rPr>
            </w:pPr>
          </w:p>
        </w:tc>
        <w:tc>
          <w:tcPr>
            <w:tcW w:w="4818" w:type="dxa"/>
          </w:tcPr>
          <w:p w14:paraId="1D2765E1" w14:textId="23DE9833" w:rsidR="00630147" w:rsidRPr="00286216" w:rsidRDefault="00630147" w:rsidP="00630147">
            <w:pPr>
              <w:pStyle w:val="StyleZakonu"/>
              <w:rPr>
                <w:color w:val="000000" w:themeColor="text1"/>
              </w:rPr>
            </w:pPr>
            <w:r w:rsidRPr="00286216">
              <w:rPr>
                <w:color w:val="000000" w:themeColor="text1"/>
              </w:rPr>
              <w:t>в абзаці першому слово "управителя" замінити словом "на адміністратора за випуском облігацій";</w:t>
            </w:r>
          </w:p>
        </w:tc>
      </w:tr>
      <w:tr w:rsidR="00630147" w:rsidRPr="00286216" w14:paraId="0ADFFE41" w14:textId="77777777" w:rsidTr="00091AA5">
        <w:tc>
          <w:tcPr>
            <w:tcW w:w="576" w:type="dxa"/>
          </w:tcPr>
          <w:p w14:paraId="33A977C6" w14:textId="77777777" w:rsidR="00630147" w:rsidRPr="00286216" w:rsidRDefault="00630147" w:rsidP="00630147">
            <w:pPr>
              <w:pStyle w:val="StyleWisnow"/>
              <w:rPr>
                <w:color w:val="000000" w:themeColor="text1"/>
              </w:rPr>
            </w:pPr>
            <w:bookmarkStart w:id="3291" w:name="n3421" w:colFirst="0" w:colLast="0"/>
            <w:bookmarkEnd w:id="3290"/>
            <w:r w:rsidRPr="00286216">
              <w:rPr>
                <w:color w:val="000000" w:themeColor="text1"/>
              </w:rPr>
              <w:t>3421.</w:t>
            </w:r>
          </w:p>
        </w:tc>
        <w:tc>
          <w:tcPr>
            <w:tcW w:w="4818" w:type="dxa"/>
          </w:tcPr>
          <w:p w14:paraId="0764B7C8" w14:textId="77777777" w:rsidR="00630147" w:rsidRPr="00286216" w:rsidRDefault="00630147" w:rsidP="00630147">
            <w:pPr>
              <w:pStyle w:val="StyleZakonu"/>
              <w:rPr>
                <w:color w:val="000000" w:themeColor="text1"/>
              </w:rPr>
            </w:pPr>
            <w:r w:rsidRPr="00286216">
              <w:rPr>
                <w:color w:val="000000" w:themeColor="text1"/>
              </w:rPr>
              <w:t>пункт сьомий та десятий викласти в такій редакції:</w:t>
            </w:r>
          </w:p>
        </w:tc>
        <w:tc>
          <w:tcPr>
            <w:tcW w:w="3686" w:type="dxa"/>
          </w:tcPr>
          <w:p w14:paraId="3DEB26C2" w14:textId="77777777" w:rsidR="00630147" w:rsidRPr="00286216" w:rsidRDefault="00630147" w:rsidP="00630147">
            <w:pPr>
              <w:pStyle w:val="StyleProp"/>
              <w:rPr>
                <w:color w:val="000000" w:themeColor="text1"/>
                <w:szCs w:val="18"/>
              </w:rPr>
            </w:pPr>
          </w:p>
        </w:tc>
        <w:tc>
          <w:tcPr>
            <w:tcW w:w="1987" w:type="dxa"/>
          </w:tcPr>
          <w:p w14:paraId="013AB5AD" w14:textId="77777777" w:rsidR="00630147" w:rsidRPr="00286216" w:rsidRDefault="00630147" w:rsidP="00630147">
            <w:pPr>
              <w:pStyle w:val="StyleWisnow"/>
              <w:spacing w:line="180" w:lineRule="exact"/>
              <w:rPr>
                <w:color w:val="000000" w:themeColor="text1"/>
              </w:rPr>
            </w:pPr>
          </w:p>
        </w:tc>
        <w:tc>
          <w:tcPr>
            <w:tcW w:w="4818" w:type="dxa"/>
          </w:tcPr>
          <w:p w14:paraId="44584F1E" w14:textId="5F028216" w:rsidR="00630147" w:rsidRPr="00286216" w:rsidRDefault="00630147" w:rsidP="00630147">
            <w:pPr>
              <w:pStyle w:val="StyleZakonu"/>
              <w:rPr>
                <w:color w:val="000000" w:themeColor="text1"/>
              </w:rPr>
            </w:pPr>
            <w:r w:rsidRPr="00286216">
              <w:rPr>
                <w:color w:val="000000" w:themeColor="text1"/>
              </w:rPr>
              <w:t>пункт 7 та 10 викласти в такій редакції:</w:t>
            </w:r>
          </w:p>
        </w:tc>
      </w:tr>
      <w:tr w:rsidR="00630147" w:rsidRPr="00286216" w14:paraId="34F59E96" w14:textId="77777777" w:rsidTr="00091AA5">
        <w:tc>
          <w:tcPr>
            <w:tcW w:w="576" w:type="dxa"/>
          </w:tcPr>
          <w:p w14:paraId="4E29C613" w14:textId="77777777" w:rsidR="00630147" w:rsidRPr="00286216" w:rsidRDefault="00630147" w:rsidP="00630147">
            <w:pPr>
              <w:pStyle w:val="StyleWisnow"/>
              <w:rPr>
                <w:color w:val="000000" w:themeColor="text1"/>
              </w:rPr>
            </w:pPr>
            <w:bookmarkStart w:id="3292" w:name="n3422" w:colFirst="0" w:colLast="0"/>
            <w:bookmarkEnd w:id="3291"/>
            <w:r w:rsidRPr="00286216">
              <w:rPr>
                <w:color w:val="000000" w:themeColor="text1"/>
              </w:rPr>
              <w:t>3422.</w:t>
            </w:r>
          </w:p>
        </w:tc>
        <w:tc>
          <w:tcPr>
            <w:tcW w:w="4818" w:type="dxa"/>
          </w:tcPr>
          <w:p w14:paraId="33A0A52A" w14:textId="77777777" w:rsidR="00630147" w:rsidRPr="00286216" w:rsidRDefault="00630147" w:rsidP="00630147">
            <w:pPr>
              <w:pStyle w:val="StyleZakonu"/>
              <w:rPr>
                <w:color w:val="000000" w:themeColor="text1"/>
              </w:rPr>
            </w:pPr>
            <w:r w:rsidRPr="00286216">
              <w:rPr>
                <w:color w:val="000000" w:themeColor="text1"/>
              </w:rPr>
              <w:t>"7) у разі звернення стягнення на іпотечне покриття забезпечує обслуговування іпотечного покриття і надає необхідні розпорядження та документи для розподілу коштів від іпотечного покриття відповідно до цього Закону та проспекту цінних паперів (рішення про емісію цінних паперів);</w:t>
            </w:r>
          </w:p>
        </w:tc>
        <w:tc>
          <w:tcPr>
            <w:tcW w:w="3686" w:type="dxa"/>
          </w:tcPr>
          <w:p w14:paraId="34ED0311" w14:textId="77777777" w:rsidR="00630147" w:rsidRPr="00286216" w:rsidRDefault="00630147" w:rsidP="00630147">
            <w:pPr>
              <w:pStyle w:val="StyleProp"/>
              <w:rPr>
                <w:color w:val="000000" w:themeColor="text1"/>
                <w:szCs w:val="18"/>
              </w:rPr>
            </w:pPr>
          </w:p>
        </w:tc>
        <w:tc>
          <w:tcPr>
            <w:tcW w:w="1987" w:type="dxa"/>
          </w:tcPr>
          <w:p w14:paraId="039B6F9B" w14:textId="77777777" w:rsidR="00630147" w:rsidRPr="00286216" w:rsidRDefault="00630147" w:rsidP="00630147">
            <w:pPr>
              <w:pStyle w:val="StyleWisnow"/>
              <w:spacing w:line="180" w:lineRule="exact"/>
              <w:rPr>
                <w:color w:val="000000" w:themeColor="text1"/>
              </w:rPr>
            </w:pPr>
          </w:p>
        </w:tc>
        <w:tc>
          <w:tcPr>
            <w:tcW w:w="4818" w:type="dxa"/>
          </w:tcPr>
          <w:p w14:paraId="7D154B45" w14:textId="46BF3CF2" w:rsidR="00630147" w:rsidRPr="00286216" w:rsidRDefault="00630147" w:rsidP="00630147">
            <w:pPr>
              <w:pStyle w:val="StyleZakonu"/>
              <w:rPr>
                <w:color w:val="000000" w:themeColor="text1"/>
              </w:rPr>
            </w:pPr>
            <w:r w:rsidRPr="00286216">
              <w:rPr>
                <w:color w:val="000000" w:themeColor="text1"/>
              </w:rPr>
              <w:t>"7) у разі звернення стягнення на іпотечне покриття забезпечує обслуговування іпотечного покриття і надає необхідні розпорядження та документи для розподілу коштів від іпотечного покриття відповідно до цього Закону та проспекту цінних паперів (рішення про емісію цінних паперів)»;</w:t>
            </w:r>
          </w:p>
        </w:tc>
      </w:tr>
      <w:tr w:rsidR="00630147" w:rsidRPr="00286216" w14:paraId="6044D833" w14:textId="77777777" w:rsidTr="00091AA5">
        <w:tc>
          <w:tcPr>
            <w:tcW w:w="576" w:type="dxa"/>
          </w:tcPr>
          <w:p w14:paraId="4DD1B888" w14:textId="77777777" w:rsidR="00630147" w:rsidRPr="00286216" w:rsidRDefault="00630147" w:rsidP="00630147">
            <w:pPr>
              <w:pStyle w:val="StyleWisnow"/>
              <w:rPr>
                <w:color w:val="000000" w:themeColor="text1"/>
              </w:rPr>
            </w:pPr>
            <w:bookmarkStart w:id="3293" w:name="n3423" w:colFirst="0" w:colLast="0"/>
            <w:bookmarkEnd w:id="3292"/>
            <w:r w:rsidRPr="00286216">
              <w:rPr>
                <w:color w:val="000000" w:themeColor="text1"/>
              </w:rPr>
              <w:t>3423.</w:t>
            </w:r>
          </w:p>
        </w:tc>
        <w:tc>
          <w:tcPr>
            <w:tcW w:w="4818" w:type="dxa"/>
          </w:tcPr>
          <w:p w14:paraId="01A123A9" w14:textId="77777777" w:rsidR="00630147" w:rsidRPr="00286216" w:rsidRDefault="00630147" w:rsidP="00630147">
            <w:pPr>
              <w:pStyle w:val="StyleZakonu"/>
              <w:rPr>
                <w:color w:val="000000" w:themeColor="text1"/>
              </w:rPr>
            </w:pPr>
            <w:r w:rsidRPr="00286216">
              <w:rPr>
                <w:color w:val="000000" w:themeColor="text1"/>
              </w:rPr>
              <w:t>10) здійснює інші заходи відповідно до закону, проспекту цінних паперів (рішення про емісію цінних паперів), рішень зборів власників облігацій та договору про управління іпотечним покриттям.";</w:t>
            </w:r>
          </w:p>
        </w:tc>
        <w:tc>
          <w:tcPr>
            <w:tcW w:w="3686" w:type="dxa"/>
          </w:tcPr>
          <w:p w14:paraId="1DE1AD3D" w14:textId="77777777" w:rsidR="00630147" w:rsidRPr="00286216" w:rsidRDefault="00630147" w:rsidP="00630147">
            <w:pPr>
              <w:pStyle w:val="StyleProp"/>
              <w:rPr>
                <w:color w:val="000000" w:themeColor="text1"/>
                <w:szCs w:val="18"/>
              </w:rPr>
            </w:pPr>
          </w:p>
        </w:tc>
        <w:tc>
          <w:tcPr>
            <w:tcW w:w="1987" w:type="dxa"/>
          </w:tcPr>
          <w:p w14:paraId="75BFC264" w14:textId="77777777" w:rsidR="00630147" w:rsidRPr="00286216" w:rsidRDefault="00630147" w:rsidP="00630147">
            <w:pPr>
              <w:pStyle w:val="StyleWisnow"/>
              <w:spacing w:line="180" w:lineRule="exact"/>
              <w:rPr>
                <w:color w:val="000000" w:themeColor="text1"/>
              </w:rPr>
            </w:pPr>
          </w:p>
        </w:tc>
        <w:tc>
          <w:tcPr>
            <w:tcW w:w="4818" w:type="dxa"/>
          </w:tcPr>
          <w:p w14:paraId="58917BBD" w14:textId="4822C75E" w:rsidR="00630147" w:rsidRPr="00286216" w:rsidRDefault="00630147" w:rsidP="00630147">
            <w:pPr>
              <w:pStyle w:val="StyleZakonu"/>
              <w:rPr>
                <w:color w:val="000000" w:themeColor="text1"/>
              </w:rPr>
            </w:pPr>
            <w:r w:rsidRPr="00286216">
              <w:rPr>
                <w:color w:val="000000" w:themeColor="text1"/>
              </w:rPr>
              <w:t>«10) здійснює інші заходи відповідно до закону, проспекту цінних паперів (рішення про емісію цінних паперів), рішень зборів власників облігацій та договору про управління іпотечним покриттям";</w:t>
            </w:r>
          </w:p>
        </w:tc>
      </w:tr>
      <w:tr w:rsidR="00630147" w:rsidRPr="00286216" w14:paraId="66D37119" w14:textId="77777777" w:rsidTr="00091AA5">
        <w:tc>
          <w:tcPr>
            <w:tcW w:w="576" w:type="dxa"/>
          </w:tcPr>
          <w:p w14:paraId="4C2714DD" w14:textId="77777777" w:rsidR="00630147" w:rsidRPr="00286216" w:rsidRDefault="00630147" w:rsidP="00630147">
            <w:pPr>
              <w:pStyle w:val="StyleWisnow"/>
              <w:rPr>
                <w:color w:val="000000" w:themeColor="text1"/>
              </w:rPr>
            </w:pPr>
            <w:bookmarkStart w:id="3294" w:name="n3424" w:colFirst="0" w:colLast="0"/>
            <w:bookmarkEnd w:id="3293"/>
            <w:r w:rsidRPr="00286216">
              <w:rPr>
                <w:color w:val="000000" w:themeColor="text1"/>
              </w:rPr>
              <w:t>3424.</w:t>
            </w:r>
          </w:p>
        </w:tc>
        <w:tc>
          <w:tcPr>
            <w:tcW w:w="4818" w:type="dxa"/>
          </w:tcPr>
          <w:p w14:paraId="12583130" w14:textId="77777777" w:rsidR="00630147" w:rsidRPr="00286216" w:rsidRDefault="00630147" w:rsidP="00630147">
            <w:pPr>
              <w:pStyle w:val="StyleZakonu"/>
              <w:rPr>
                <w:color w:val="000000" w:themeColor="text1"/>
              </w:rPr>
            </w:pPr>
            <w:r w:rsidRPr="00286216">
              <w:rPr>
                <w:color w:val="000000" w:themeColor="text1"/>
              </w:rPr>
              <w:t xml:space="preserve">б) абзац перший частини другої викласти в такий </w:t>
            </w:r>
            <w:r w:rsidRPr="00286216">
              <w:rPr>
                <w:color w:val="000000" w:themeColor="text1"/>
              </w:rPr>
              <w:lastRenderedPageBreak/>
              <w:t>редакції:</w:t>
            </w:r>
          </w:p>
        </w:tc>
        <w:tc>
          <w:tcPr>
            <w:tcW w:w="3686" w:type="dxa"/>
          </w:tcPr>
          <w:p w14:paraId="5C63BC2D" w14:textId="77777777" w:rsidR="00630147" w:rsidRPr="00286216" w:rsidRDefault="00630147" w:rsidP="00630147">
            <w:pPr>
              <w:pStyle w:val="StyleProp"/>
              <w:rPr>
                <w:color w:val="000000" w:themeColor="text1"/>
                <w:szCs w:val="18"/>
              </w:rPr>
            </w:pPr>
          </w:p>
        </w:tc>
        <w:tc>
          <w:tcPr>
            <w:tcW w:w="1987" w:type="dxa"/>
          </w:tcPr>
          <w:p w14:paraId="7936FDF5" w14:textId="77777777" w:rsidR="00630147" w:rsidRPr="00286216" w:rsidRDefault="00630147" w:rsidP="00630147">
            <w:pPr>
              <w:pStyle w:val="StyleWisnow"/>
              <w:rPr>
                <w:color w:val="000000" w:themeColor="text1"/>
              </w:rPr>
            </w:pPr>
          </w:p>
        </w:tc>
        <w:tc>
          <w:tcPr>
            <w:tcW w:w="4818" w:type="dxa"/>
          </w:tcPr>
          <w:p w14:paraId="4DB9AA9F" w14:textId="3DEAFF5B" w:rsidR="00630147" w:rsidRPr="00286216" w:rsidRDefault="00630147" w:rsidP="00630147">
            <w:pPr>
              <w:pStyle w:val="StyleZakonu"/>
              <w:rPr>
                <w:color w:val="000000" w:themeColor="text1"/>
              </w:rPr>
            </w:pPr>
            <w:r w:rsidRPr="00286216">
              <w:rPr>
                <w:color w:val="000000" w:themeColor="text1"/>
              </w:rPr>
              <w:t xml:space="preserve">б) абзац перший частини другої викласти в такий </w:t>
            </w:r>
            <w:r w:rsidRPr="00286216">
              <w:rPr>
                <w:color w:val="000000" w:themeColor="text1"/>
              </w:rPr>
              <w:lastRenderedPageBreak/>
              <w:t>редакції:</w:t>
            </w:r>
          </w:p>
        </w:tc>
      </w:tr>
      <w:tr w:rsidR="00630147" w:rsidRPr="00286216" w14:paraId="51C9F13E" w14:textId="77777777" w:rsidTr="00091AA5">
        <w:tc>
          <w:tcPr>
            <w:tcW w:w="576" w:type="dxa"/>
          </w:tcPr>
          <w:p w14:paraId="58A6B608" w14:textId="77777777" w:rsidR="00630147" w:rsidRPr="00286216" w:rsidRDefault="00630147" w:rsidP="00630147">
            <w:pPr>
              <w:pStyle w:val="StyleWisnow"/>
              <w:rPr>
                <w:color w:val="000000" w:themeColor="text1"/>
              </w:rPr>
            </w:pPr>
            <w:bookmarkStart w:id="3295" w:name="n3425" w:colFirst="0" w:colLast="0"/>
            <w:bookmarkEnd w:id="3294"/>
            <w:r w:rsidRPr="00286216">
              <w:rPr>
                <w:color w:val="000000" w:themeColor="text1"/>
              </w:rPr>
              <w:lastRenderedPageBreak/>
              <w:t>3425.</w:t>
            </w:r>
          </w:p>
        </w:tc>
        <w:tc>
          <w:tcPr>
            <w:tcW w:w="4818" w:type="dxa"/>
          </w:tcPr>
          <w:p w14:paraId="0EA2249B" w14:textId="77777777" w:rsidR="00630147" w:rsidRPr="00286216" w:rsidRDefault="00630147" w:rsidP="00630147">
            <w:pPr>
              <w:pStyle w:val="StyleZakonu"/>
              <w:rPr>
                <w:color w:val="000000" w:themeColor="text1"/>
              </w:rPr>
            </w:pPr>
            <w:r w:rsidRPr="00286216">
              <w:rPr>
                <w:color w:val="000000" w:themeColor="text1"/>
              </w:rPr>
              <w:t>"2. Адміністратором за випуском облігацій за випуском іпотечних облігацій може бути особа, яка відповідає вимогам законодавства, та яка отримала ліцензію на провадження професійної діяльності на ринках капіталу - діяльності з управління іпотечним покриттям. Порядок видачі такої ліцензії встановлюється нормативно-правовими актами Національної комісії з цінних паперів та фондового ринку.";</w:t>
            </w:r>
          </w:p>
        </w:tc>
        <w:tc>
          <w:tcPr>
            <w:tcW w:w="3686" w:type="dxa"/>
          </w:tcPr>
          <w:p w14:paraId="7D62FDA9" w14:textId="77777777" w:rsidR="00630147" w:rsidRPr="00286216" w:rsidRDefault="00630147" w:rsidP="00630147">
            <w:pPr>
              <w:pStyle w:val="StyleProp"/>
              <w:rPr>
                <w:color w:val="000000" w:themeColor="text1"/>
                <w:szCs w:val="18"/>
              </w:rPr>
            </w:pPr>
          </w:p>
        </w:tc>
        <w:tc>
          <w:tcPr>
            <w:tcW w:w="1987" w:type="dxa"/>
          </w:tcPr>
          <w:p w14:paraId="59AA34CE" w14:textId="77777777" w:rsidR="00630147" w:rsidRPr="00286216" w:rsidRDefault="00630147" w:rsidP="00630147">
            <w:pPr>
              <w:pStyle w:val="StyleWisnow"/>
              <w:rPr>
                <w:color w:val="000000" w:themeColor="text1"/>
              </w:rPr>
            </w:pPr>
          </w:p>
        </w:tc>
        <w:tc>
          <w:tcPr>
            <w:tcW w:w="4818" w:type="dxa"/>
          </w:tcPr>
          <w:p w14:paraId="71B898C7" w14:textId="3FF880D9" w:rsidR="00630147" w:rsidRPr="00286216" w:rsidRDefault="00630147" w:rsidP="00630147">
            <w:pPr>
              <w:pStyle w:val="StyleZakonu"/>
              <w:rPr>
                <w:color w:val="000000" w:themeColor="text1"/>
              </w:rPr>
            </w:pPr>
            <w:r w:rsidRPr="00286216">
              <w:rPr>
                <w:color w:val="000000" w:themeColor="text1"/>
              </w:rPr>
              <w:t>"2. Адміністратором за випуском облігацій за випуском іпотечних облігацій може бути особа, яка відповідає вимогам законодавства та яка отримала ліцензію на провадження діяльності з управління іпотечним покриттям. Порядок видачі такої ліцензії встановлюється нормативно-правовими актами Національної комісії з цінних паперів та фондового ринку";</w:t>
            </w:r>
          </w:p>
        </w:tc>
      </w:tr>
      <w:tr w:rsidR="00630147" w:rsidRPr="00286216" w14:paraId="038BD07D" w14:textId="77777777" w:rsidTr="00091AA5">
        <w:tc>
          <w:tcPr>
            <w:tcW w:w="576" w:type="dxa"/>
          </w:tcPr>
          <w:p w14:paraId="4B38C78A" w14:textId="77777777" w:rsidR="00630147" w:rsidRPr="00286216" w:rsidRDefault="00630147" w:rsidP="00630147">
            <w:pPr>
              <w:pStyle w:val="StyleWisnow"/>
              <w:rPr>
                <w:color w:val="000000" w:themeColor="text1"/>
              </w:rPr>
            </w:pPr>
            <w:bookmarkStart w:id="3296" w:name="n3426" w:colFirst="0" w:colLast="0"/>
            <w:bookmarkEnd w:id="3295"/>
            <w:r w:rsidRPr="00286216">
              <w:rPr>
                <w:color w:val="000000" w:themeColor="text1"/>
              </w:rPr>
              <w:t>3426.</w:t>
            </w:r>
          </w:p>
        </w:tc>
        <w:tc>
          <w:tcPr>
            <w:tcW w:w="4818" w:type="dxa"/>
          </w:tcPr>
          <w:p w14:paraId="5C4BE82D" w14:textId="77777777" w:rsidR="00630147" w:rsidRPr="00286216" w:rsidRDefault="00630147" w:rsidP="00630147">
            <w:pPr>
              <w:pStyle w:val="StyleZakonu"/>
              <w:rPr>
                <w:color w:val="000000" w:themeColor="text1"/>
              </w:rPr>
            </w:pPr>
            <w:r w:rsidRPr="00286216">
              <w:rPr>
                <w:color w:val="000000" w:themeColor="text1"/>
              </w:rPr>
              <w:t>в) у частині третій слово "управителя" замінити словом "на адміністратора за випуском облігацій";</w:t>
            </w:r>
          </w:p>
        </w:tc>
        <w:tc>
          <w:tcPr>
            <w:tcW w:w="3686" w:type="dxa"/>
          </w:tcPr>
          <w:p w14:paraId="6716E787" w14:textId="77777777" w:rsidR="00630147" w:rsidRPr="00286216" w:rsidRDefault="00630147" w:rsidP="00630147">
            <w:pPr>
              <w:pStyle w:val="StyleProp"/>
              <w:rPr>
                <w:color w:val="000000" w:themeColor="text1"/>
                <w:szCs w:val="18"/>
              </w:rPr>
            </w:pPr>
          </w:p>
        </w:tc>
        <w:tc>
          <w:tcPr>
            <w:tcW w:w="1987" w:type="dxa"/>
          </w:tcPr>
          <w:p w14:paraId="74BD166F" w14:textId="77777777" w:rsidR="00630147" w:rsidRPr="00286216" w:rsidRDefault="00630147" w:rsidP="00630147">
            <w:pPr>
              <w:pStyle w:val="StyleWisnow"/>
              <w:rPr>
                <w:color w:val="000000" w:themeColor="text1"/>
              </w:rPr>
            </w:pPr>
          </w:p>
        </w:tc>
        <w:tc>
          <w:tcPr>
            <w:tcW w:w="4818" w:type="dxa"/>
          </w:tcPr>
          <w:p w14:paraId="15128BD9" w14:textId="648BDCAD" w:rsidR="00630147" w:rsidRPr="00286216" w:rsidRDefault="00630147" w:rsidP="00630147">
            <w:pPr>
              <w:pStyle w:val="StyleZakonu"/>
              <w:rPr>
                <w:color w:val="000000" w:themeColor="text1"/>
              </w:rPr>
            </w:pPr>
            <w:r w:rsidRPr="00286216">
              <w:rPr>
                <w:color w:val="000000" w:themeColor="text1"/>
              </w:rPr>
              <w:t>в) у частині третій слово "управителя" замінити словом "на адміністратора за випуском облігацій";</w:t>
            </w:r>
          </w:p>
        </w:tc>
      </w:tr>
      <w:tr w:rsidR="00630147" w:rsidRPr="00286216" w14:paraId="44AF52DC" w14:textId="77777777" w:rsidTr="00091AA5">
        <w:tc>
          <w:tcPr>
            <w:tcW w:w="576" w:type="dxa"/>
          </w:tcPr>
          <w:p w14:paraId="25C9F7EB" w14:textId="77777777" w:rsidR="00630147" w:rsidRPr="00286216" w:rsidRDefault="00630147" w:rsidP="00630147">
            <w:pPr>
              <w:pStyle w:val="StyleWisnow"/>
              <w:rPr>
                <w:color w:val="000000" w:themeColor="text1"/>
              </w:rPr>
            </w:pPr>
            <w:bookmarkStart w:id="3297" w:name="n3427" w:colFirst="0" w:colLast="0"/>
            <w:bookmarkEnd w:id="3296"/>
            <w:r w:rsidRPr="00286216">
              <w:rPr>
                <w:color w:val="000000" w:themeColor="text1"/>
              </w:rPr>
              <w:t>3427.</w:t>
            </w:r>
          </w:p>
        </w:tc>
        <w:tc>
          <w:tcPr>
            <w:tcW w:w="4818" w:type="dxa"/>
          </w:tcPr>
          <w:p w14:paraId="5038C82A" w14:textId="77777777" w:rsidR="00630147" w:rsidRPr="00286216" w:rsidRDefault="00630147" w:rsidP="00630147">
            <w:pPr>
              <w:pStyle w:val="StyleZakonu"/>
              <w:rPr>
                <w:color w:val="000000" w:themeColor="text1"/>
              </w:rPr>
            </w:pPr>
            <w:r w:rsidRPr="00286216">
              <w:rPr>
                <w:color w:val="000000" w:themeColor="text1"/>
              </w:rPr>
              <w:t>г) у частині четвертій:</w:t>
            </w:r>
          </w:p>
        </w:tc>
        <w:tc>
          <w:tcPr>
            <w:tcW w:w="3686" w:type="dxa"/>
          </w:tcPr>
          <w:p w14:paraId="2D63CC46" w14:textId="77777777" w:rsidR="00630147" w:rsidRPr="00286216" w:rsidRDefault="00630147" w:rsidP="00630147">
            <w:pPr>
              <w:pStyle w:val="StyleProp"/>
              <w:rPr>
                <w:color w:val="000000" w:themeColor="text1"/>
                <w:szCs w:val="18"/>
              </w:rPr>
            </w:pPr>
          </w:p>
        </w:tc>
        <w:tc>
          <w:tcPr>
            <w:tcW w:w="1987" w:type="dxa"/>
          </w:tcPr>
          <w:p w14:paraId="68A06B2D" w14:textId="77777777" w:rsidR="00630147" w:rsidRPr="00286216" w:rsidRDefault="00630147" w:rsidP="00630147">
            <w:pPr>
              <w:pStyle w:val="StyleWisnow"/>
              <w:rPr>
                <w:color w:val="000000" w:themeColor="text1"/>
              </w:rPr>
            </w:pPr>
          </w:p>
        </w:tc>
        <w:tc>
          <w:tcPr>
            <w:tcW w:w="4818" w:type="dxa"/>
          </w:tcPr>
          <w:p w14:paraId="6D3C7DB4" w14:textId="12D1051C" w:rsidR="00630147" w:rsidRPr="00286216" w:rsidRDefault="00630147" w:rsidP="00630147">
            <w:pPr>
              <w:pStyle w:val="StyleZakonu"/>
              <w:rPr>
                <w:color w:val="000000" w:themeColor="text1"/>
              </w:rPr>
            </w:pPr>
            <w:r w:rsidRPr="00286216">
              <w:rPr>
                <w:color w:val="000000" w:themeColor="text1"/>
              </w:rPr>
              <w:t>г) у частині четвертій:</w:t>
            </w:r>
          </w:p>
        </w:tc>
      </w:tr>
      <w:tr w:rsidR="00630147" w:rsidRPr="00286216" w14:paraId="0B67CB90" w14:textId="77777777" w:rsidTr="00091AA5">
        <w:tc>
          <w:tcPr>
            <w:tcW w:w="576" w:type="dxa"/>
          </w:tcPr>
          <w:p w14:paraId="150A8E20" w14:textId="77777777" w:rsidR="00630147" w:rsidRPr="00286216" w:rsidRDefault="00630147" w:rsidP="00630147">
            <w:pPr>
              <w:pStyle w:val="StyleWisnow"/>
              <w:rPr>
                <w:color w:val="000000" w:themeColor="text1"/>
              </w:rPr>
            </w:pPr>
            <w:bookmarkStart w:id="3298" w:name="n3428" w:colFirst="0" w:colLast="0"/>
            <w:bookmarkEnd w:id="3297"/>
            <w:r w:rsidRPr="00286216">
              <w:rPr>
                <w:color w:val="000000" w:themeColor="text1"/>
              </w:rPr>
              <w:t>3428.</w:t>
            </w:r>
          </w:p>
        </w:tc>
        <w:tc>
          <w:tcPr>
            <w:tcW w:w="4818" w:type="dxa"/>
          </w:tcPr>
          <w:p w14:paraId="50FB310C" w14:textId="77777777" w:rsidR="00630147" w:rsidRPr="00286216" w:rsidRDefault="00630147" w:rsidP="00630147">
            <w:pPr>
              <w:pStyle w:val="StyleZakonu"/>
              <w:rPr>
                <w:color w:val="000000" w:themeColor="text1"/>
              </w:rPr>
            </w:pPr>
            <w:r w:rsidRPr="00286216">
              <w:rPr>
                <w:color w:val="000000" w:themeColor="text1"/>
              </w:rPr>
              <w:t>в пункті першому:</w:t>
            </w:r>
          </w:p>
        </w:tc>
        <w:tc>
          <w:tcPr>
            <w:tcW w:w="3686" w:type="dxa"/>
          </w:tcPr>
          <w:p w14:paraId="4F9587E1" w14:textId="77777777" w:rsidR="00630147" w:rsidRPr="00286216" w:rsidRDefault="00630147" w:rsidP="00630147">
            <w:pPr>
              <w:pStyle w:val="StyleProp"/>
              <w:rPr>
                <w:color w:val="000000" w:themeColor="text1"/>
                <w:szCs w:val="18"/>
              </w:rPr>
            </w:pPr>
          </w:p>
        </w:tc>
        <w:tc>
          <w:tcPr>
            <w:tcW w:w="1987" w:type="dxa"/>
          </w:tcPr>
          <w:p w14:paraId="368A9982" w14:textId="77777777" w:rsidR="00630147" w:rsidRPr="00286216" w:rsidRDefault="00630147" w:rsidP="00630147">
            <w:pPr>
              <w:pStyle w:val="StyleWisnow"/>
              <w:rPr>
                <w:color w:val="000000" w:themeColor="text1"/>
              </w:rPr>
            </w:pPr>
          </w:p>
        </w:tc>
        <w:tc>
          <w:tcPr>
            <w:tcW w:w="4818" w:type="dxa"/>
          </w:tcPr>
          <w:p w14:paraId="7E2FD0BD" w14:textId="45C9BC52" w:rsidR="00630147" w:rsidRPr="00286216" w:rsidRDefault="00630147" w:rsidP="00630147">
            <w:pPr>
              <w:pStyle w:val="StyleZakonu"/>
              <w:rPr>
                <w:color w:val="000000" w:themeColor="text1"/>
              </w:rPr>
            </w:pPr>
            <w:r w:rsidRPr="00286216">
              <w:rPr>
                <w:color w:val="000000" w:themeColor="text1"/>
              </w:rPr>
              <w:t>у пункті 1 слова "про управителя" замінити словами "на адміністратора за випуском облігацій" та доповнити словами "та громадських формувань";</w:t>
            </w:r>
          </w:p>
        </w:tc>
      </w:tr>
      <w:tr w:rsidR="00630147" w:rsidRPr="00286216" w14:paraId="23E74FCB" w14:textId="77777777" w:rsidTr="00091AA5">
        <w:tc>
          <w:tcPr>
            <w:tcW w:w="576" w:type="dxa"/>
          </w:tcPr>
          <w:p w14:paraId="27F9122E" w14:textId="77777777" w:rsidR="00630147" w:rsidRPr="00286216" w:rsidRDefault="00630147" w:rsidP="00630147">
            <w:pPr>
              <w:pStyle w:val="StyleWisnow"/>
              <w:rPr>
                <w:color w:val="000000" w:themeColor="text1"/>
              </w:rPr>
            </w:pPr>
            <w:bookmarkStart w:id="3299" w:name="n3429" w:colFirst="0" w:colLast="0"/>
            <w:bookmarkEnd w:id="3298"/>
            <w:r w:rsidRPr="00286216">
              <w:rPr>
                <w:color w:val="000000" w:themeColor="text1"/>
              </w:rPr>
              <w:t>3429.</w:t>
            </w:r>
          </w:p>
        </w:tc>
        <w:tc>
          <w:tcPr>
            <w:tcW w:w="4818" w:type="dxa"/>
          </w:tcPr>
          <w:p w14:paraId="193B3166" w14:textId="77777777" w:rsidR="00630147" w:rsidRPr="00286216" w:rsidRDefault="00630147" w:rsidP="00630147">
            <w:pPr>
              <w:pStyle w:val="StyleZakonu"/>
              <w:rPr>
                <w:color w:val="000000" w:themeColor="text1"/>
              </w:rPr>
            </w:pPr>
            <w:r w:rsidRPr="00286216">
              <w:rPr>
                <w:color w:val="000000" w:themeColor="text1"/>
              </w:rPr>
              <w:t>слово "управителя" замінити словом "на адміністратора за випуском облігацій";</w:t>
            </w:r>
          </w:p>
        </w:tc>
        <w:tc>
          <w:tcPr>
            <w:tcW w:w="3686" w:type="dxa"/>
          </w:tcPr>
          <w:p w14:paraId="0EE2E2DC" w14:textId="77777777" w:rsidR="00630147" w:rsidRPr="00286216" w:rsidRDefault="00630147" w:rsidP="00630147">
            <w:pPr>
              <w:pStyle w:val="StyleProp"/>
              <w:rPr>
                <w:color w:val="000000" w:themeColor="text1"/>
                <w:szCs w:val="18"/>
              </w:rPr>
            </w:pPr>
          </w:p>
        </w:tc>
        <w:tc>
          <w:tcPr>
            <w:tcW w:w="1987" w:type="dxa"/>
          </w:tcPr>
          <w:p w14:paraId="3125CC5E" w14:textId="77777777" w:rsidR="00630147" w:rsidRPr="00286216" w:rsidRDefault="00630147" w:rsidP="00630147">
            <w:pPr>
              <w:pStyle w:val="StyleWisnow"/>
              <w:rPr>
                <w:color w:val="000000" w:themeColor="text1"/>
              </w:rPr>
            </w:pPr>
          </w:p>
        </w:tc>
        <w:tc>
          <w:tcPr>
            <w:tcW w:w="4818" w:type="dxa"/>
          </w:tcPr>
          <w:p w14:paraId="121DFFB4" w14:textId="674A62BD" w:rsidR="00630147" w:rsidRPr="00286216" w:rsidRDefault="00630147" w:rsidP="00630147">
            <w:pPr>
              <w:pStyle w:val="StyleZakonu"/>
              <w:rPr>
                <w:color w:val="000000" w:themeColor="text1"/>
              </w:rPr>
            </w:pPr>
          </w:p>
        </w:tc>
      </w:tr>
      <w:tr w:rsidR="00630147" w:rsidRPr="00286216" w14:paraId="09953484" w14:textId="77777777" w:rsidTr="00091AA5">
        <w:tc>
          <w:tcPr>
            <w:tcW w:w="576" w:type="dxa"/>
          </w:tcPr>
          <w:p w14:paraId="7BECE972" w14:textId="77777777" w:rsidR="00630147" w:rsidRPr="00286216" w:rsidRDefault="00630147" w:rsidP="00630147">
            <w:pPr>
              <w:pStyle w:val="StyleWisnow"/>
              <w:rPr>
                <w:color w:val="000000" w:themeColor="text1"/>
              </w:rPr>
            </w:pPr>
            <w:bookmarkStart w:id="3300" w:name="n3430" w:colFirst="0" w:colLast="0"/>
            <w:bookmarkEnd w:id="3299"/>
            <w:r w:rsidRPr="00286216">
              <w:rPr>
                <w:color w:val="000000" w:themeColor="text1"/>
              </w:rPr>
              <w:t>3430.</w:t>
            </w:r>
          </w:p>
        </w:tc>
        <w:tc>
          <w:tcPr>
            <w:tcW w:w="4818" w:type="dxa"/>
          </w:tcPr>
          <w:p w14:paraId="4AC4BE4A" w14:textId="77777777" w:rsidR="00630147" w:rsidRPr="00286216" w:rsidRDefault="00630147" w:rsidP="00630147">
            <w:pPr>
              <w:pStyle w:val="StyleZakonu"/>
              <w:rPr>
                <w:color w:val="000000" w:themeColor="text1"/>
              </w:rPr>
            </w:pPr>
            <w:r w:rsidRPr="00286216">
              <w:rPr>
                <w:color w:val="000000" w:themeColor="text1"/>
              </w:rPr>
              <w:t>доповнити пункт словами "та громадських формувань";</w:t>
            </w:r>
          </w:p>
        </w:tc>
        <w:tc>
          <w:tcPr>
            <w:tcW w:w="3686" w:type="dxa"/>
          </w:tcPr>
          <w:p w14:paraId="78C4EABB" w14:textId="77777777" w:rsidR="00630147" w:rsidRPr="00286216" w:rsidRDefault="00630147" w:rsidP="00630147">
            <w:pPr>
              <w:pStyle w:val="StyleProp"/>
              <w:rPr>
                <w:color w:val="000000" w:themeColor="text1"/>
                <w:szCs w:val="18"/>
              </w:rPr>
            </w:pPr>
          </w:p>
        </w:tc>
        <w:tc>
          <w:tcPr>
            <w:tcW w:w="1987" w:type="dxa"/>
          </w:tcPr>
          <w:p w14:paraId="356DFD92" w14:textId="77777777" w:rsidR="00630147" w:rsidRPr="00286216" w:rsidRDefault="00630147" w:rsidP="00630147">
            <w:pPr>
              <w:pStyle w:val="StyleWisnow"/>
              <w:rPr>
                <w:color w:val="000000" w:themeColor="text1"/>
              </w:rPr>
            </w:pPr>
          </w:p>
        </w:tc>
        <w:tc>
          <w:tcPr>
            <w:tcW w:w="4818" w:type="dxa"/>
          </w:tcPr>
          <w:p w14:paraId="57A5AAC5" w14:textId="2BBADB68" w:rsidR="00630147" w:rsidRPr="00286216" w:rsidRDefault="00630147" w:rsidP="00630147">
            <w:pPr>
              <w:pStyle w:val="StyleZakonu"/>
              <w:rPr>
                <w:color w:val="000000" w:themeColor="text1"/>
              </w:rPr>
            </w:pPr>
          </w:p>
        </w:tc>
      </w:tr>
      <w:tr w:rsidR="00630147" w:rsidRPr="00286216" w14:paraId="1B3B32CA" w14:textId="77777777" w:rsidTr="00091AA5">
        <w:tc>
          <w:tcPr>
            <w:tcW w:w="576" w:type="dxa"/>
          </w:tcPr>
          <w:p w14:paraId="3C0C637A" w14:textId="77777777" w:rsidR="00630147" w:rsidRPr="00286216" w:rsidRDefault="00630147" w:rsidP="00630147">
            <w:pPr>
              <w:pStyle w:val="StyleWisnow"/>
              <w:rPr>
                <w:color w:val="000000" w:themeColor="text1"/>
              </w:rPr>
            </w:pPr>
            <w:bookmarkStart w:id="3301" w:name="n3431" w:colFirst="0" w:colLast="0"/>
            <w:bookmarkEnd w:id="3300"/>
            <w:r w:rsidRPr="00286216">
              <w:rPr>
                <w:color w:val="000000" w:themeColor="text1"/>
              </w:rPr>
              <w:t>3431.</w:t>
            </w:r>
          </w:p>
        </w:tc>
        <w:tc>
          <w:tcPr>
            <w:tcW w:w="4818" w:type="dxa"/>
          </w:tcPr>
          <w:p w14:paraId="425109A6" w14:textId="77777777" w:rsidR="00630147" w:rsidRPr="00286216" w:rsidRDefault="00630147" w:rsidP="00630147">
            <w:pPr>
              <w:pStyle w:val="StyleZakonu"/>
              <w:rPr>
                <w:color w:val="000000" w:themeColor="text1"/>
              </w:rPr>
            </w:pPr>
            <w:r w:rsidRPr="00286216">
              <w:rPr>
                <w:color w:val="000000" w:themeColor="text1"/>
              </w:rPr>
              <w:t>пункти п’ятий - сьомий виключити;</w:t>
            </w:r>
          </w:p>
        </w:tc>
        <w:tc>
          <w:tcPr>
            <w:tcW w:w="3686" w:type="dxa"/>
          </w:tcPr>
          <w:p w14:paraId="39EC0656" w14:textId="77777777" w:rsidR="00630147" w:rsidRPr="00286216" w:rsidRDefault="00630147" w:rsidP="00630147">
            <w:pPr>
              <w:pStyle w:val="StyleProp"/>
              <w:rPr>
                <w:color w:val="000000" w:themeColor="text1"/>
                <w:szCs w:val="18"/>
              </w:rPr>
            </w:pPr>
          </w:p>
        </w:tc>
        <w:tc>
          <w:tcPr>
            <w:tcW w:w="1987" w:type="dxa"/>
          </w:tcPr>
          <w:p w14:paraId="2EBBF3B3" w14:textId="77777777" w:rsidR="00630147" w:rsidRPr="00286216" w:rsidRDefault="00630147" w:rsidP="00630147">
            <w:pPr>
              <w:pStyle w:val="StyleWisnow"/>
              <w:rPr>
                <w:color w:val="000000" w:themeColor="text1"/>
              </w:rPr>
            </w:pPr>
          </w:p>
        </w:tc>
        <w:tc>
          <w:tcPr>
            <w:tcW w:w="4818" w:type="dxa"/>
          </w:tcPr>
          <w:p w14:paraId="7B80E76D" w14:textId="58444EDE" w:rsidR="00630147" w:rsidRPr="00286216" w:rsidRDefault="00630147" w:rsidP="00630147">
            <w:pPr>
              <w:pStyle w:val="StyleZakonu"/>
              <w:rPr>
                <w:color w:val="000000" w:themeColor="text1"/>
              </w:rPr>
            </w:pPr>
            <w:r w:rsidRPr="00286216">
              <w:rPr>
                <w:color w:val="000000" w:themeColor="text1"/>
              </w:rPr>
              <w:t>пункти 5 - 7 виключити;</w:t>
            </w:r>
          </w:p>
        </w:tc>
      </w:tr>
      <w:tr w:rsidR="00630147" w:rsidRPr="00286216" w14:paraId="179B8F62" w14:textId="77777777" w:rsidTr="00091AA5">
        <w:tc>
          <w:tcPr>
            <w:tcW w:w="576" w:type="dxa"/>
          </w:tcPr>
          <w:p w14:paraId="49184254" w14:textId="77777777" w:rsidR="00630147" w:rsidRPr="00286216" w:rsidRDefault="00630147" w:rsidP="00630147">
            <w:pPr>
              <w:pStyle w:val="StyleWisnow"/>
              <w:rPr>
                <w:color w:val="000000" w:themeColor="text1"/>
              </w:rPr>
            </w:pPr>
            <w:bookmarkStart w:id="3302" w:name="n3432" w:colFirst="0" w:colLast="0"/>
            <w:bookmarkEnd w:id="3301"/>
            <w:r w:rsidRPr="00286216">
              <w:rPr>
                <w:color w:val="000000" w:themeColor="text1"/>
              </w:rPr>
              <w:t>3432.</w:t>
            </w:r>
          </w:p>
        </w:tc>
        <w:tc>
          <w:tcPr>
            <w:tcW w:w="4818" w:type="dxa"/>
          </w:tcPr>
          <w:p w14:paraId="42B56D47" w14:textId="77777777" w:rsidR="00630147" w:rsidRPr="00286216" w:rsidRDefault="00630147" w:rsidP="00630147">
            <w:pPr>
              <w:pStyle w:val="StyleZakonu"/>
              <w:rPr>
                <w:color w:val="000000" w:themeColor="text1"/>
              </w:rPr>
            </w:pPr>
            <w:r w:rsidRPr="00286216">
              <w:rPr>
                <w:color w:val="000000" w:themeColor="text1"/>
              </w:rPr>
              <w:t>ґ) частину п’яту викласти в такий редакції:</w:t>
            </w:r>
          </w:p>
        </w:tc>
        <w:tc>
          <w:tcPr>
            <w:tcW w:w="3686" w:type="dxa"/>
          </w:tcPr>
          <w:p w14:paraId="452E11B0" w14:textId="77777777" w:rsidR="00630147" w:rsidRPr="00286216" w:rsidRDefault="00630147" w:rsidP="00630147">
            <w:pPr>
              <w:pStyle w:val="StyleProp"/>
              <w:rPr>
                <w:color w:val="000000" w:themeColor="text1"/>
                <w:szCs w:val="18"/>
              </w:rPr>
            </w:pPr>
          </w:p>
        </w:tc>
        <w:tc>
          <w:tcPr>
            <w:tcW w:w="1987" w:type="dxa"/>
          </w:tcPr>
          <w:p w14:paraId="13695F10" w14:textId="77777777" w:rsidR="00630147" w:rsidRPr="00286216" w:rsidRDefault="00630147" w:rsidP="00630147">
            <w:pPr>
              <w:pStyle w:val="StyleWisnow"/>
              <w:rPr>
                <w:color w:val="000000" w:themeColor="text1"/>
              </w:rPr>
            </w:pPr>
          </w:p>
        </w:tc>
        <w:tc>
          <w:tcPr>
            <w:tcW w:w="4818" w:type="dxa"/>
          </w:tcPr>
          <w:p w14:paraId="4C709F49" w14:textId="42F89526" w:rsidR="00630147" w:rsidRPr="00286216" w:rsidRDefault="00630147" w:rsidP="00630147">
            <w:pPr>
              <w:pStyle w:val="StyleZakonu"/>
              <w:rPr>
                <w:color w:val="000000" w:themeColor="text1"/>
              </w:rPr>
            </w:pPr>
            <w:r w:rsidRPr="00286216">
              <w:rPr>
                <w:color w:val="000000" w:themeColor="text1"/>
              </w:rPr>
              <w:t>ґ) частину п’яту викласти в такий редакції:</w:t>
            </w:r>
          </w:p>
        </w:tc>
      </w:tr>
      <w:tr w:rsidR="00630147" w:rsidRPr="00286216" w14:paraId="7B863AA8" w14:textId="77777777" w:rsidTr="00091AA5">
        <w:tc>
          <w:tcPr>
            <w:tcW w:w="576" w:type="dxa"/>
          </w:tcPr>
          <w:p w14:paraId="45D8709A" w14:textId="77777777" w:rsidR="00630147" w:rsidRPr="00286216" w:rsidRDefault="00630147" w:rsidP="00630147">
            <w:pPr>
              <w:pStyle w:val="StyleWisnow"/>
              <w:rPr>
                <w:color w:val="000000" w:themeColor="text1"/>
              </w:rPr>
            </w:pPr>
            <w:bookmarkStart w:id="3303" w:name="n3433" w:colFirst="0" w:colLast="0"/>
            <w:bookmarkEnd w:id="3302"/>
            <w:r w:rsidRPr="00286216">
              <w:rPr>
                <w:color w:val="000000" w:themeColor="text1"/>
              </w:rPr>
              <w:t>3433.</w:t>
            </w:r>
          </w:p>
        </w:tc>
        <w:tc>
          <w:tcPr>
            <w:tcW w:w="4818" w:type="dxa"/>
          </w:tcPr>
          <w:p w14:paraId="1B64A129" w14:textId="77777777" w:rsidR="00630147" w:rsidRPr="00286216" w:rsidRDefault="00630147" w:rsidP="00630147">
            <w:pPr>
              <w:pStyle w:val="StyleZakonu"/>
              <w:rPr>
                <w:color w:val="000000" w:themeColor="text1"/>
              </w:rPr>
            </w:pPr>
            <w:r w:rsidRPr="00286216">
              <w:rPr>
                <w:color w:val="000000" w:themeColor="text1"/>
              </w:rPr>
              <w:t>"5. У разі порушення емітентом звичайних іпотечних облігацій вимог, встановлених цим Законом та проспектом цінних паперів (рішенням про емісію цінних паперів), адміністратор за випуском облігацій зобов’язаний письмово повідомити про це Національну комісію з цінних паперів та фондового ринку та власників іпотечних облігацій протягом 10 днів з дня виявлення факту такого порушення.";</w:t>
            </w:r>
          </w:p>
        </w:tc>
        <w:tc>
          <w:tcPr>
            <w:tcW w:w="3686" w:type="dxa"/>
          </w:tcPr>
          <w:p w14:paraId="7E8753DE" w14:textId="150106D8"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1423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8A971C6" w14:textId="77777777" w:rsidR="00630147" w:rsidRPr="00286216" w:rsidRDefault="00630147" w:rsidP="008C392C">
            <w:pPr>
              <w:pStyle w:val="StyleProp"/>
              <w:spacing w:line="180" w:lineRule="exact"/>
              <w:rPr>
                <w:color w:val="000000" w:themeColor="text1"/>
                <w:szCs w:val="18"/>
              </w:rPr>
            </w:pPr>
            <w:r w:rsidRPr="00286216">
              <w:rPr>
                <w:color w:val="000000" w:themeColor="text1"/>
                <w:szCs w:val="18"/>
              </w:rPr>
              <w:t>Абзац другий підпункту «ґ» підпункту 7 пункту 38 після слів «Національну комісію з цінних паперів та фондового ринку» доповнити словами «офіційним каналом зв’язку, передбаченим Законом України «Про ринки капіталу та організовані товарні ринки»».</w:t>
            </w:r>
          </w:p>
        </w:tc>
        <w:tc>
          <w:tcPr>
            <w:tcW w:w="1987" w:type="dxa"/>
          </w:tcPr>
          <w:p w14:paraId="077E71CE" w14:textId="77777777" w:rsidR="00630147" w:rsidRPr="00286216" w:rsidRDefault="00630147" w:rsidP="00630147">
            <w:pPr>
              <w:pStyle w:val="StyleWisnow"/>
              <w:rPr>
                <w:color w:val="000000" w:themeColor="text1"/>
              </w:rPr>
            </w:pPr>
            <w:r w:rsidRPr="00286216">
              <w:rPr>
                <w:color w:val="000000" w:themeColor="text1"/>
              </w:rPr>
              <w:t>Враховано частково</w:t>
            </w:r>
          </w:p>
        </w:tc>
        <w:tc>
          <w:tcPr>
            <w:tcW w:w="4818" w:type="dxa"/>
          </w:tcPr>
          <w:p w14:paraId="18E09A25" w14:textId="7675D5D6" w:rsidR="00630147" w:rsidRPr="00286216" w:rsidRDefault="00630147" w:rsidP="00630147">
            <w:pPr>
              <w:pStyle w:val="StyleZakonu"/>
              <w:rPr>
                <w:color w:val="000000" w:themeColor="text1"/>
              </w:rPr>
            </w:pPr>
            <w:r w:rsidRPr="00286216">
              <w:rPr>
                <w:color w:val="000000" w:themeColor="text1"/>
              </w:rPr>
              <w:t xml:space="preserve">"5. У разі порушення емітентом звичайних іпотечних облігацій вимог, встановлених цим Законом та проспектом цінних паперів (рішенням про емісію цінних паперів), адміністратор за випуском облігацій зобов’язаний письмово повідомити про це Національну комісію з цінних паперів та фондового ринку та власників іпотечних облігацій </w:t>
            </w:r>
            <w:r w:rsidRPr="00286216">
              <w:rPr>
                <w:color w:val="000000" w:themeColor="text1"/>
                <w:szCs w:val="18"/>
              </w:rPr>
              <w:t>офіційним каналом зв’язку</w:t>
            </w:r>
            <w:r w:rsidRPr="00286216">
              <w:rPr>
                <w:color w:val="000000" w:themeColor="text1"/>
              </w:rPr>
              <w:t xml:space="preserve"> протягом 10 днів з дня виявлення факту такого порушення";</w:t>
            </w:r>
          </w:p>
        </w:tc>
      </w:tr>
      <w:tr w:rsidR="00630147" w:rsidRPr="00286216" w14:paraId="4EDA2734" w14:textId="77777777" w:rsidTr="00091AA5">
        <w:tc>
          <w:tcPr>
            <w:tcW w:w="576" w:type="dxa"/>
          </w:tcPr>
          <w:p w14:paraId="6785283A" w14:textId="77777777" w:rsidR="00630147" w:rsidRPr="00286216" w:rsidRDefault="00630147" w:rsidP="00630147">
            <w:pPr>
              <w:pStyle w:val="StyleWisnow"/>
              <w:rPr>
                <w:color w:val="000000" w:themeColor="text1"/>
              </w:rPr>
            </w:pPr>
            <w:bookmarkStart w:id="3304" w:name="n3434" w:colFirst="0" w:colLast="0"/>
            <w:bookmarkEnd w:id="3303"/>
            <w:r w:rsidRPr="00286216">
              <w:rPr>
                <w:color w:val="000000" w:themeColor="text1"/>
              </w:rPr>
              <w:t>3434.</w:t>
            </w:r>
          </w:p>
        </w:tc>
        <w:tc>
          <w:tcPr>
            <w:tcW w:w="4818" w:type="dxa"/>
          </w:tcPr>
          <w:p w14:paraId="7A653A2B" w14:textId="77777777" w:rsidR="00630147" w:rsidRPr="00286216" w:rsidRDefault="00630147" w:rsidP="00630147">
            <w:pPr>
              <w:pStyle w:val="StyleZakonu"/>
              <w:rPr>
                <w:color w:val="000000" w:themeColor="text1"/>
              </w:rPr>
            </w:pPr>
            <w:r w:rsidRPr="00286216">
              <w:rPr>
                <w:color w:val="000000" w:themeColor="text1"/>
              </w:rPr>
              <w:t>д) частину шосту виключити;</w:t>
            </w:r>
          </w:p>
        </w:tc>
        <w:tc>
          <w:tcPr>
            <w:tcW w:w="3686" w:type="dxa"/>
          </w:tcPr>
          <w:p w14:paraId="1875828D" w14:textId="77777777" w:rsidR="00630147" w:rsidRPr="00286216" w:rsidRDefault="00630147" w:rsidP="00630147">
            <w:pPr>
              <w:pStyle w:val="StyleProp"/>
              <w:rPr>
                <w:color w:val="000000" w:themeColor="text1"/>
              </w:rPr>
            </w:pPr>
          </w:p>
        </w:tc>
        <w:tc>
          <w:tcPr>
            <w:tcW w:w="1987" w:type="dxa"/>
          </w:tcPr>
          <w:p w14:paraId="6F1E29AC" w14:textId="77777777" w:rsidR="00630147" w:rsidRPr="00286216" w:rsidRDefault="00630147" w:rsidP="00630147">
            <w:pPr>
              <w:pStyle w:val="StyleWisnow"/>
              <w:rPr>
                <w:color w:val="000000" w:themeColor="text1"/>
              </w:rPr>
            </w:pPr>
          </w:p>
        </w:tc>
        <w:tc>
          <w:tcPr>
            <w:tcW w:w="4818" w:type="dxa"/>
          </w:tcPr>
          <w:p w14:paraId="73318C24" w14:textId="15BC0C99" w:rsidR="00630147" w:rsidRPr="00286216" w:rsidRDefault="00630147" w:rsidP="00630147">
            <w:pPr>
              <w:pStyle w:val="StyleZakonu"/>
              <w:rPr>
                <w:color w:val="000000" w:themeColor="text1"/>
              </w:rPr>
            </w:pPr>
            <w:r w:rsidRPr="00286216">
              <w:rPr>
                <w:color w:val="000000" w:themeColor="text1"/>
              </w:rPr>
              <w:t>д) частину шосту виключити;</w:t>
            </w:r>
          </w:p>
        </w:tc>
      </w:tr>
      <w:tr w:rsidR="00630147" w:rsidRPr="00286216" w14:paraId="2F879441" w14:textId="77777777" w:rsidTr="00091AA5">
        <w:tc>
          <w:tcPr>
            <w:tcW w:w="576" w:type="dxa"/>
          </w:tcPr>
          <w:p w14:paraId="221EE5E9" w14:textId="77777777" w:rsidR="00630147" w:rsidRPr="00286216" w:rsidRDefault="00630147" w:rsidP="00630147">
            <w:pPr>
              <w:pStyle w:val="StyleWisnow"/>
              <w:rPr>
                <w:color w:val="000000" w:themeColor="text1"/>
              </w:rPr>
            </w:pPr>
            <w:bookmarkStart w:id="3305" w:name="n3435" w:colFirst="0" w:colLast="0"/>
            <w:bookmarkEnd w:id="3304"/>
            <w:r w:rsidRPr="00286216">
              <w:rPr>
                <w:color w:val="000000" w:themeColor="text1"/>
              </w:rPr>
              <w:t>3435.</w:t>
            </w:r>
          </w:p>
        </w:tc>
        <w:tc>
          <w:tcPr>
            <w:tcW w:w="4818" w:type="dxa"/>
          </w:tcPr>
          <w:p w14:paraId="1666E454" w14:textId="77777777" w:rsidR="00630147" w:rsidRPr="00286216" w:rsidRDefault="00630147" w:rsidP="00630147">
            <w:pPr>
              <w:pStyle w:val="StyleZakonu"/>
              <w:rPr>
                <w:color w:val="000000" w:themeColor="text1"/>
              </w:rPr>
            </w:pPr>
            <w:r w:rsidRPr="00286216">
              <w:rPr>
                <w:color w:val="000000" w:themeColor="text1"/>
              </w:rPr>
              <w:t>8) статтю 17 викласти в такий редакції:</w:t>
            </w:r>
          </w:p>
        </w:tc>
        <w:tc>
          <w:tcPr>
            <w:tcW w:w="3686" w:type="dxa"/>
          </w:tcPr>
          <w:p w14:paraId="04522557" w14:textId="669F3E12" w:rsidR="00630147" w:rsidRPr="00286216" w:rsidRDefault="00630147" w:rsidP="00630147">
            <w:pPr>
              <w:pStyle w:val="StyleAwt"/>
              <w:rPr>
                <w:color w:val="000000" w:themeColor="text1"/>
                <w:spacing w:val="-6"/>
                <w:szCs w:val="18"/>
              </w:rPr>
            </w:pPr>
            <w:r w:rsidRPr="00286216">
              <w:rPr>
                <w:color w:val="000000" w:themeColor="text1"/>
                <w:spacing w:val="-6"/>
                <w:szCs w:val="18"/>
              </w:rPr>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1424</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5E6F1E45" w14:textId="77777777" w:rsidR="00630147" w:rsidRPr="00286216" w:rsidRDefault="00630147" w:rsidP="00630147">
            <w:pPr>
              <w:pStyle w:val="StyleProp"/>
              <w:spacing w:line="180" w:lineRule="exact"/>
              <w:rPr>
                <w:color w:val="000000" w:themeColor="text1"/>
              </w:rPr>
            </w:pPr>
            <w:r w:rsidRPr="00286216">
              <w:rPr>
                <w:color w:val="000000" w:themeColor="text1"/>
              </w:rPr>
              <w:t>Доповнити пункт 38 розділу 3 новим підпунктом 8 такого змісту:</w:t>
            </w:r>
          </w:p>
          <w:p w14:paraId="67E92896" w14:textId="77777777" w:rsidR="00630147" w:rsidRPr="00286216" w:rsidRDefault="00630147" w:rsidP="00630147">
            <w:pPr>
              <w:pStyle w:val="StyleProp"/>
              <w:spacing w:line="180" w:lineRule="exact"/>
              <w:rPr>
                <w:color w:val="000000" w:themeColor="text1"/>
              </w:rPr>
            </w:pPr>
            <w:r w:rsidRPr="00286216">
              <w:rPr>
                <w:color w:val="000000" w:themeColor="text1"/>
              </w:rPr>
              <w:t>«8) перше речення частини другої статті 16 викласти в такій редакції:</w:t>
            </w:r>
          </w:p>
          <w:p w14:paraId="76C6F56E" w14:textId="77777777" w:rsidR="00630147" w:rsidRPr="00286216" w:rsidRDefault="00630147" w:rsidP="00630147">
            <w:pPr>
              <w:pStyle w:val="StyleProp"/>
              <w:spacing w:line="180" w:lineRule="exact"/>
              <w:rPr>
                <w:color w:val="000000" w:themeColor="text1"/>
              </w:rPr>
            </w:pPr>
            <w:r w:rsidRPr="00286216">
              <w:rPr>
                <w:color w:val="000000" w:themeColor="text1"/>
              </w:rPr>
              <w:t>«Реєстр власників звичайних іпотечних облігацій складається в порядку, передбаченому законодавством про депозитарну систему».</w:t>
            </w:r>
          </w:p>
          <w:p w14:paraId="49C26F3A" w14:textId="77777777" w:rsidR="00630147" w:rsidRPr="00286216" w:rsidRDefault="00630147" w:rsidP="00630147">
            <w:pPr>
              <w:pStyle w:val="StyleProp"/>
              <w:spacing w:line="180" w:lineRule="exact"/>
              <w:rPr>
                <w:color w:val="000000" w:themeColor="text1"/>
              </w:rPr>
            </w:pPr>
            <w:r w:rsidRPr="00286216">
              <w:rPr>
                <w:color w:val="000000" w:themeColor="text1"/>
              </w:rPr>
              <w:t>У зв’язку з цим підпункт 8 вважати підпунктом 9.</w:t>
            </w:r>
          </w:p>
        </w:tc>
        <w:tc>
          <w:tcPr>
            <w:tcW w:w="1987" w:type="dxa"/>
          </w:tcPr>
          <w:p w14:paraId="4331DE0F"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19E69FF2" w14:textId="77777777" w:rsidR="00630147" w:rsidRPr="00286216" w:rsidRDefault="00630147" w:rsidP="00630147">
            <w:pPr>
              <w:pStyle w:val="StyleZakonu"/>
              <w:rPr>
                <w:color w:val="000000" w:themeColor="text1"/>
              </w:rPr>
            </w:pPr>
            <w:r w:rsidRPr="00286216">
              <w:rPr>
                <w:color w:val="000000" w:themeColor="text1"/>
              </w:rPr>
              <w:t>7) перше речення частини другої статті 16 викласти в такій редакції:</w:t>
            </w:r>
          </w:p>
          <w:p w14:paraId="3F92B392" w14:textId="77777777" w:rsidR="00630147" w:rsidRPr="00286216" w:rsidRDefault="00630147" w:rsidP="00630147">
            <w:pPr>
              <w:pStyle w:val="StyleZakonu"/>
              <w:rPr>
                <w:color w:val="000000" w:themeColor="text1"/>
              </w:rPr>
            </w:pPr>
            <w:r w:rsidRPr="00286216">
              <w:rPr>
                <w:color w:val="000000" w:themeColor="text1"/>
              </w:rPr>
              <w:t>«Реєстр власників звичайних іпотечних облігацій складається в порядку, передбаченому законодавством про депозитарну систему»;</w:t>
            </w:r>
          </w:p>
          <w:p w14:paraId="79FFCBC4" w14:textId="77777777" w:rsidR="00630147" w:rsidRPr="00286216" w:rsidRDefault="00630147" w:rsidP="00630147">
            <w:pPr>
              <w:pStyle w:val="StyleZakonu"/>
              <w:rPr>
                <w:color w:val="000000" w:themeColor="text1"/>
              </w:rPr>
            </w:pPr>
          </w:p>
          <w:p w14:paraId="2DEE7191" w14:textId="65391556" w:rsidR="00630147" w:rsidRPr="00286216" w:rsidRDefault="00630147" w:rsidP="00630147">
            <w:pPr>
              <w:pStyle w:val="StyleZakonu"/>
              <w:rPr>
                <w:color w:val="000000" w:themeColor="text1"/>
              </w:rPr>
            </w:pPr>
            <w:r w:rsidRPr="00286216">
              <w:rPr>
                <w:color w:val="000000" w:themeColor="text1"/>
              </w:rPr>
              <w:t>8) статтю 17 викласти в такий редакції:</w:t>
            </w:r>
          </w:p>
        </w:tc>
      </w:tr>
      <w:tr w:rsidR="00630147" w:rsidRPr="00286216" w14:paraId="038832CD" w14:textId="77777777" w:rsidTr="00091AA5">
        <w:tc>
          <w:tcPr>
            <w:tcW w:w="576" w:type="dxa"/>
          </w:tcPr>
          <w:p w14:paraId="7F4F4D83" w14:textId="77777777" w:rsidR="00630147" w:rsidRPr="00286216" w:rsidRDefault="00630147" w:rsidP="00630147">
            <w:pPr>
              <w:pStyle w:val="StyleWisnow"/>
              <w:rPr>
                <w:color w:val="000000" w:themeColor="text1"/>
              </w:rPr>
            </w:pPr>
            <w:bookmarkStart w:id="3306" w:name="n3436" w:colFirst="0" w:colLast="0"/>
            <w:bookmarkEnd w:id="3305"/>
            <w:r w:rsidRPr="00286216">
              <w:rPr>
                <w:color w:val="000000" w:themeColor="text1"/>
              </w:rPr>
              <w:t>3436.</w:t>
            </w:r>
          </w:p>
        </w:tc>
        <w:tc>
          <w:tcPr>
            <w:tcW w:w="4818" w:type="dxa"/>
          </w:tcPr>
          <w:p w14:paraId="205D9ADF" w14:textId="77777777" w:rsidR="00630147" w:rsidRPr="00286216" w:rsidRDefault="00630147" w:rsidP="00630147">
            <w:pPr>
              <w:pStyle w:val="StyleZakonu"/>
              <w:rPr>
                <w:color w:val="000000" w:themeColor="text1"/>
              </w:rPr>
            </w:pPr>
            <w:r w:rsidRPr="00286216">
              <w:rPr>
                <w:color w:val="000000" w:themeColor="text1"/>
              </w:rPr>
              <w:t xml:space="preserve">"Стаття 17. Дефолт і технічний дефолт за </w:t>
            </w:r>
            <w:r w:rsidRPr="00286216">
              <w:rPr>
                <w:color w:val="000000" w:themeColor="text1"/>
              </w:rPr>
              <w:lastRenderedPageBreak/>
              <w:t>звичайними іпотечними облігаціями</w:t>
            </w:r>
          </w:p>
        </w:tc>
        <w:tc>
          <w:tcPr>
            <w:tcW w:w="3686" w:type="dxa"/>
          </w:tcPr>
          <w:p w14:paraId="420B0F4A" w14:textId="77777777" w:rsidR="00630147" w:rsidRPr="00286216" w:rsidRDefault="00630147" w:rsidP="00630147">
            <w:pPr>
              <w:pStyle w:val="StyleProp"/>
              <w:rPr>
                <w:color w:val="000000" w:themeColor="text1"/>
              </w:rPr>
            </w:pPr>
          </w:p>
        </w:tc>
        <w:tc>
          <w:tcPr>
            <w:tcW w:w="1987" w:type="dxa"/>
          </w:tcPr>
          <w:p w14:paraId="3D565F27" w14:textId="77777777" w:rsidR="00630147" w:rsidRPr="00286216" w:rsidRDefault="00630147" w:rsidP="00630147">
            <w:pPr>
              <w:pStyle w:val="StyleWisnow"/>
              <w:rPr>
                <w:color w:val="000000" w:themeColor="text1"/>
              </w:rPr>
            </w:pPr>
          </w:p>
        </w:tc>
        <w:tc>
          <w:tcPr>
            <w:tcW w:w="4818" w:type="dxa"/>
          </w:tcPr>
          <w:p w14:paraId="358D29C5" w14:textId="1375E781" w:rsidR="00630147" w:rsidRPr="00286216" w:rsidRDefault="00630147" w:rsidP="00630147">
            <w:pPr>
              <w:pStyle w:val="StyleZakonu"/>
              <w:rPr>
                <w:color w:val="000000" w:themeColor="text1"/>
              </w:rPr>
            </w:pPr>
            <w:r w:rsidRPr="00286216">
              <w:rPr>
                <w:color w:val="000000" w:themeColor="text1"/>
              </w:rPr>
              <w:t xml:space="preserve">"Стаття 17. Дефолт і технічний дефолт за </w:t>
            </w:r>
            <w:r w:rsidRPr="00286216">
              <w:rPr>
                <w:color w:val="000000" w:themeColor="text1"/>
              </w:rPr>
              <w:lastRenderedPageBreak/>
              <w:t>звичайними іпотечними облігаціями</w:t>
            </w:r>
          </w:p>
        </w:tc>
      </w:tr>
      <w:tr w:rsidR="00630147" w:rsidRPr="00286216" w14:paraId="29B1D21B" w14:textId="77777777" w:rsidTr="00091AA5">
        <w:tc>
          <w:tcPr>
            <w:tcW w:w="576" w:type="dxa"/>
          </w:tcPr>
          <w:p w14:paraId="1B1199D9" w14:textId="77777777" w:rsidR="00630147" w:rsidRPr="00286216" w:rsidRDefault="00630147" w:rsidP="00630147">
            <w:pPr>
              <w:pStyle w:val="StyleWisnow"/>
              <w:rPr>
                <w:color w:val="000000" w:themeColor="text1"/>
              </w:rPr>
            </w:pPr>
            <w:bookmarkStart w:id="3307" w:name="n3437" w:colFirst="0" w:colLast="0"/>
            <w:bookmarkEnd w:id="3306"/>
            <w:r w:rsidRPr="00286216">
              <w:rPr>
                <w:color w:val="000000" w:themeColor="text1"/>
              </w:rPr>
              <w:lastRenderedPageBreak/>
              <w:t>3437.</w:t>
            </w:r>
          </w:p>
        </w:tc>
        <w:tc>
          <w:tcPr>
            <w:tcW w:w="4818" w:type="dxa"/>
          </w:tcPr>
          <w:p w14:paraId="0D47D63A" w14:textId="77777777" w:rsidR="00630147" w:rsidRPr="00286216" w:rsidRDefault="00630147" w:rsidP="00630147">
            <w:pPr>
              <w:pStyle w:val="StyleZakonu"/>
              <w:rPr>
                <w:color w:val="000000" w:themeColor="text1"/>
              </w:rPr>
            </w:pPr>
            <w:r w:rsidRPr="00286216">
              <w:rPr>
                <w:color w:val="000000" w:themeColor="text1"/>
              </w:rPr>
              <w:t>1. У разі настання дефолту, один чи декілька власників звичайних іпотечних облігацій, які у сукупності володіють звичайними іпотечними облігаціями, сумарна номінальна вартість яких не менша ніж 25 відсотків від загальної номінальної вартості непогашених облігацій відповідного випуску облігацій, можуть без проведення зборів власників облігацій вимагати:</w:t>
            </w:r>
          </w:p>
        </w:tc>
        <w:tc>
          <w:tcPr>
            <w:tcW w:w="3686" w:type="dxa"/>
          </w:tcPr>
          <w:p w14:paraId="17F231FC" w14:textId="77777777" w:rsidR="00630147" w:rsidRPr="00286216" w:rsidRDefault="00630147" w:rsidP="00630147">
            <w:pPr>
              <w:pStyle w:val="StyleProp"/>
              <w:rPr>
                <w:color w:val="000000" w:themeColor="text1"/>
                <w:szCs w:val="18"/>
              </w:rPr>
            </w:pPr>
          </w:p>
        </w:tc>
        <w:tc>
          <w:tcPr>
            <w:tcW w:w="1987" w:type="dxa"/>
          </w:tcPr>
          <w:p w14:paraId="41744BE4" w14:textId="77777777" w:rsidR="00630147" w:rsidRPr="00286216" w:rsidRDefault="00630147" w:rsidP="00630147">
            <w:pPr>
              <w:pStyle w:val="StyleWisnow"/>
              <w:rPr>
                <w:color w:val="000000" w:themeColor="text1"/>
              </w:rPr>
            </w:pPr>
          </w:p>
        </w:tc>
        <w:tc>
          <w:tcPr>
            <w:tcW w:w="4818" w:type="dxa"/>
          </w:tcPr>
          <w:p w14:paraId="25903E46" w14:textId="64C4CE5C" w:rsidR="00630147" w:rsidRPr="00286216" w:rsidRDefault="00630147" w:rsidP="00630147">
            <w:pPr>
              <w:pStyle w:val="StyleZakonu"/>
              <w:rPr>
                <w:color w:val="000000" w:themeColor="text1"/>
              </w:rPr>
            </w:pPr>
            <w:r w:rsidRPr="00286216">
              <w:rPr>
                <w:color w:val="000000" w:themeColor="text1"/>
              </w:rPr>
              <w:t>1. У разі настання дефолту один чи декілька власників звичайних іпотечних облігацій, які у сукупності володіють звичайними іпотечними облігаціями, сумарна номінальна вартість яких не менша ніж 25 відсотків від загальної номінальної вартості непогашених облігацій відповідного випуску облігацій, можуть без проведення зборів власників облігацій вимагати:</w:t>
            </w:r>
          </w:p>
        </w:tc>
      </w:tr>
      <w:tr w:rsidR="00630147" w:rsidRPr="00286216" w14:paraId="0FBEDCF9" w14:textId="77777777" w:rsidTr="00091AA5">
        <w:tc>
          <w:tcPr>
            <w:tcW w:w="576" w:type="dxa"/>
          </w:tcPr>
          <w:p w14:paraId="25D62502" w14:textId="77777777" w:rsidR="00630147" w:rsidRPr="00286216" w:rsidRDefault="00630147" w:rsidP="00630147">
            <w:pPr>
              <w:pStyle w:val="StyleWisnow"/>
              <w:rPr>
                <w:color w:val="000000" w:themeColor="text1"/>
              </w:rPr>
            </w:pPr>
            <w:bookmarkStart w:id="3308" w:name="n3438" w:colFirst="0" w:colLast="0"/>
            <w:bookmarkEnd w:id="3307"/>
            <w:r w:rsidRPr="00286216">
              <w:rPr>
                <w:color w:val="000000" w:themeColor="text1"/>
              </w:rPr>
              <w:t>3438.</w:t>
            </w:r>
          </w:p>
        </w:tc>
        <w:tc>
          <w:tcPr>
            <w:tcW w:w="4818" w:type="dxa"/>
          </w:tcPr>
          <w:p w14:paraId="23569758" w14:textId="77777777" w:rsidR="00630147" w:rsidRPr="00286216" w:rsidRDefault="00630147" w:rsidP="00630147">
            <w:pPr>
              <w:pStyle w:val="StyleZakonu"/>
              <w:rPr>
                <w:color w:val="000000" w:themeColor="text1"/>
              </w:rPr>
            </w:pPr>
            <w:r w:rsidRPr="00286216">
              <w:rPr>
                <w:color w:val="000000" w:themeColor="text1"/>
              </w:rPr>
              <w:t>а) дострокового погашення іпотечних облігацій;</w:t>
            </w:r>
          </w:p>
        </w:tc>
        <w:tc>
          <w:tcPr>
            <w:tcW w:w="3686" w:type="dxa"/>
          </w:tcPr>
          <w:p w14:paraId="4BF8C7BC" w14:textId="77777777" w:rsidR="00630147" w:rsidRPr="00286216" w:rsidRDefault="00630147" w:rsidP="00630147">
            <w:pPr>
              <w:pStyle w:val="StyleProp"/>
              <w:rPr>
                <w:color w:val="000000" w:themeColor="text1"/>
                <w:szCs w:val="18"/>
              </w:rPr>
            </w:pPr>
          </w:p>
        </w:tc>
        <w:tc>
          <w:tcPr>
            <w:tcW w:w="1987" w:type="dxa"/>
          </w:tcPr>
          <w:p w14:paraId="22135D0D" w14:textId="77777777" w:rsidR="00630147" w:rsidRPr="00286216" w:rsidRDefault="00630147" w:rsidP="00630147">
            <w:pPr>
              <w:pStyle w:val="StyleWisnow"/>
              <w:rPr>
                <w:color w:val="000000" w:themeColor="text1"/>
              </w:rPr>
            </w:pPr>
          </w:p>
        </w:tc>
        <w:tc>
          <w:tcPr>
            <w:tcW w:w="4818" w:type="dxa"/>
          </w:tcPr>
          <w:p w14:paraId="5BE588D3" w14:textId="07213387" w:rsidR="00630147" w:rsidRPr="00286216" w:rsidRDefault="00630147" w:rsidP="00630147">
            <w:pPr>
              <w:pStyle w:val="StyleZakonu"/>
              <w:rPr>
                <w:color w:val="000000" w:themeColor="text1"/>
              </w:rPr>
            </w:pPr>
            <w:r w:rsidRPr="00286216">
              <w:rPr>
                <w:color w:val="000000" w:themeColor="text1"/>
              </w:rPr>
              <w:t>а) дострокового погашення іпотечних облігацій;</w:t>
            </w:r>
          </w:p>
        </w:tc>
      </w:tr>
      <w:tr w:rsidR="00630147" w:rsidRPr="00286216" w14:paraId="3C840D4B" w14:textId="77777777" w:rsidTr="00091AA5">
        <w:tc>
          <w:tcPr>
            <w:tcW w:w="576" w:type="dxa"/>
          </w:tcPr>
          <w:p w14:paraId="282FF986" w14:textId="77777777" w:rsidR="00630147" w:rsidRPr="00286216" w:rsidRDefault="00630147" w:rsidP="00630147">
            <w:pPr>
              <w:pStyle w:val="StyleWisnow"/>
              <w:rPr>
                <w:color w:val="000000" w:themeColor="text1"/>
              </w:rPr>
            </w:pPr>
            <w:bookmarkStart w:id="3309" w:name="n3439" w:colFirst="0" w:colLast="0"/>
            <w:bookmarkEnd w:id="3308"/>
            <w:r w:rsidRPr="00286216">
              <w:rPr>
                <w:color w:val="000000" w:themeColor="text1"/>
              </w:rPr>
              <w:t>3439.</w:t>
            </w:r>
          </w:p>
        </w:tc>
        <w:tc>
          <w:tcPr>
            <w:tcW w:w="4818" w:type="dxa"/>
          </w:tcPr>
          <w:p w14:paraId="538464F1" w14:textId="77777777" w:rsidR="00630147" w:rsidRPr="00286216" w:rsidRDefault="00630147" w:rsidP="00630147">
            <w:pPr>
              <w:pStyle w:val="StyleZakonu"/>
              <w:rPr>
                <w:color w:val="000000" w:themeColor="text1"/>
              </w:rPr>
            </w:pPr>
            <w:r w:rsidRPr="00286216">
              <w:rPr>
                <w:color w:val="000000" w:themeColor="text1"/>
              </w:rPr>
              <w:t>б) вжиття заходів примусового стягнення заборгованості емітента, осіб, які надають гарантії щодо виконання грошових зобов’язань за іпотечними облігаціями, відповідно до законодавства;</w:t>
            </w:r>
          </w:p>
        </w:tc>
        <w:tc>
          <w:tcPr>
            <w:tcW w:w="3686" w:type="dxa"/>
          </w:tcPr>
          <w:p w14:paraId="19215489" w14:textId="77777777" w:rsidR="00630147" w:rsidRPr="00286216" w:rsidRDefault="00630147" w:rsidP="00630147">
            <w:pPr>
              <w:pStyle w:val="StyleProp"/>
              <w:rPr>
                <w:color w:val="000000" w:themeColor="text1"/>
                <w:szCs w:val="18"/>
              </w:rPr>
            </w:pPr>
          </w:p>
        </w:tc>
        <w:tc>
          <w:tcPr>
            <w:tcW w:w="1987" w:type="dxa"/>
          </w:tcPr>
          <w:p w14:paraId="2EB4BD39" w14:textId="77777777" w:rsidR="00630147" w:rsidRPr="00286216" w:rsidRDefault="00630147" w:rsidP="00630147">
            <w:pPr>
              <w:pStyle w:val="StyleWisnow"/>
              <w:rPr>
                <w:color w:val="000000" w:themeColor="text1"/>
              </w:rPr>
            </w:pPr>
          </w:p>
        </w:tc>
        <w:tc>
          <w:tcPr>
            <w:tcW w:w="4818" w:type="dxa"/>
          </w:tcPr>
          <w:p w14:paraId="66CC090C" w14:textId="05031FE2" w:rsidR="00630147" w:rsidRPr="00286216" w:rsidRDefault="00630147" w:rsidP="00630147">
            <w:pPr>
              <w:pStyle w:val="StyleZakonu"/>
              <w:rPr>
                <w:color w:val="000000" w:themeColor="text1"/>
              </w:rPr>
            </w:pPr>
            <w:r w:rsidRPr="00286216">
              <w:rPr>
                <w:color w:val="000000" w:themeColor="text1"/>
              </w:rPr>
              <w:t>б) вжиття заходів примусового стягнення заборгованості емітента, осіб, які надають гарантії щодо виконання грошових зобов’язань за іпотечними облігаціями, відповідно до законодавства;</w:t>
            </w:r>
          </w:p>
        </w:tc>
      </w:tr>
      <w:tr w:rsidR="00630147" w:rsidRPr="00286216" w14:paraId="5B2EF681" w14:textId="77777777" w:rsidTr="00091AA5">
        <w:tc>
          <w:tcPr>
            <w:tcW w:w="576" w:type="dxa"/>
          </w:tcPr>
          <w:p w14:paraId="30FEBA5B" w14:textId="77777777" w:rsidR="00630147" w:rsidRPr="00286216" w:rsidRDefault="00630147" w:rsidP="00630147">
            <w:pPr>
              <w:pStyle w:val="StyleWisnow"/>
              <w:rPr>
                <w:color w:val="000000" w:themeColor="text1"/>
              </w:rPr>
            </w:pPr>
            <w:bookmarkStart w:id="3310" w:name="n3440" w:colFirst="0" w:colLast="0"/>
            <w:bookmarkEnd w:id="3309"/>
            <w:r w:rsidRPr="00286216">
              <w:rPr>
                <w:color w:val="000000" w:themeColor="text1"/>
              </w:rPr>
              <w:t>3440.</w:t>
            </w:r>
          </w:p>
        </w:tc>
        <w:tc>
          <w:tcPr>
            <w:tcW w:w="4818" w:type="dxa"/>
          </w:tcPr>
          <w:p w14:paraId="3740132B" w14:textId="77777777" w:rsidR="00630147" w:rsidRPr="00286216" w:rsidRDefault="00630147" w:rsidP="00630147">
            <w:pPr>
              <w:pStyle w:val="StyleZakonu"/>
              <w:rPr>
                <w:color w:val="000000" w:themeColor="text1"/>
              </w:rPr>
            </w:pPr>
            <w:r w:rsidRPr="00286216">
              <w:rPr>
                <w:color w:val="000000" w:themeColor="text1"/>
              </w:rPr>
              <w:t>в) звернення стягнення на іпотечне покриття;</w:t>
            </w:r>
          </w:p>
        </w:tc>
        <w:tc>
          <w:tcPr>
            <w:tcW w:w="3686" w:type="dxa"/>
          </w:tcPr>
          <w:p w14:paraId="302C37DB" w14:textId="77777777" w:rsidR="00630147" w:rsidRPr="00286216" w:rsidRDefault="00630147" w:rsidP="00630147">
            <w:pPr>
              <w:pStyle w:val="StyleProp"/>
              <w:rPr>
                <w:color w:val="000000" w:themeColor="text1"/>
                <w:szCs w:val="18"/>
              </w:rPr>
            </w:pPr>
          </w:p>
        </w:tc>
        <w:tc>
          <w:tcPr>
            <w:tcW w:w="1987" w:type="dxa"/>
          </w:tcPr>
          <w:p w14:paraId="2B67A13B" w14:textId="77777777" w:rsidR="00630147" w:rsidRPr="00286216" w:rsidRDefault="00630147" w:rsidP="00630147">
            <w:pPr>
              <w:pStyle w:val="StyleWisnow"/>
              <w:rPr>
                <w:color w:val="000000" w:themeColor="text1"/>
              </w:rPr>
            </w:pPr>
          </w:p>
        </w:tc>
        <w:tc>
          <w:tcPr>
            <w:tcW w:w="4818" w:type="dxa"/>
          </w:tcPr>
          <w:p w14:paraId="41A111A6" w14:textId="45B8A31B" w:rsidR="00630147" w:rsidRPr="00286216" w:rsidRDefault="00630147" w:rsidP="00630147">
            <w:pPr>
              <w:pStyle w:val="StyleZakonu"/>
              <w:rPr>
                <w:color w:val="000000" w:themeColor="text1"/>
              </w:rPr>
            </w:pPr>
            <w:r w:rsidRPr="00286216">
              <w:rPr>
                <w:color w:val="000000" w:themeColor="text1"/>
              </w:rPr>
              <w:t>в) звернення стягнення на іпотечне покриття;</w:t>
            </w:r>
          </w:p>
        </w:tc>
      </w:tr>
      <w:tr w:rsidR="00630147" w:rsidRPr="00286216" w14:paraId="510C8A86" w14:textId="77777777" w:rsidTr="00091AA5">
        <w:tc>
          <w:tcPr>
            <w:tcW w:w="576" w:type="dxa"/>
          </w:tcPr>
          <w:p w14:paraId="33B38D9A" w14:textId="77777777" w:rsidR="00630147" w:rsidRPr="00286216" w:rsidRDefault="00630147" w:rsidP="00630147">
            <w:pPr>
              <w:pStyle w:val="StyleWisnow"/>
              <w:rPr>
                <w:color w:val="000000" w:themeColor="text1"/>
              </w:rPr>
            </w:pPr>
            <w:bookmarkStart w:id="3311" w:name="n3441" w:colFirst="0" w:colLast="0"/>
            <w:bookmarkEnd w:id="3310"/>
            <w:r w:rsidRPr="00286216">
              <w:rPr>
                <w:color w:val="000000" w:themeColor="text1"/>
              </w:rPr>
              <w:t>3441.</w:t>
            </w:r>
          </w:p>
        </w:tc>
        <w:tc>
          <w:tcPr>
            <w:tcW w:w="4818" w:type="dxa"/>
          </w:tcPr>
          <w:p w14:paraId="0A4C2584" w14:textId="77777777" w:rsidR="00630147" w:rsidRPr="00286216" w:rsidRDefault="00630147" w:rsidP="00630147">
            <w:pPr>
              <w:pStyle w:val="StyleZakonu"/>
              <w:rPr>
                <w:color w:val="000000" w:themeColor="text1"/>
              </w:rPr>
            </w:pPr>
            <w:r w:rsidRPr="00286216">
              <w:rPr>
                <w:color w:val="000000" w:themeColor="text1"/>
              </w:rPr>
              <w:t>г) задоволення своїх вимог за рахунок інших активів емітента у разі недостатності коштів після звернення стягнення на іпотечне покриття.</w:t>
            </w:r>
          </w:p>
        </w:tc>
        <w:tc>
          <w:tcPr>
            <w:tcW w:w="3686" w:type="dxa"/>
          </w:tcPr>
          <w:p w14:paraId="2647E0E4" w14:textId="77777777" w:rsidR="00630147" w:rsidRPr="00286216" w:rsidRDefault="00630147" w:rsidP="00630147">
            <w:pPr>
              <w:pStyle w:val="StyleProp"/>
              <w:rPr>
                <w:color w:val="000000" w:themeColor="text1"/>
                <w:szCs w:val="18"/>
              </w:rPr>
            </w:pPr>
          </w:p>
        </w:tc>
        <w:tc>
          <w:tcPr>
            <w:tcW w:w="1987" w:type="dxa"/>
          </w:tcPr>
          <w:p w14:paraId="2E8B5D8D" w14:textId="77777777" w:rsidR="00630147" w:rsidRPr="00286216" w:rsidRDefault="00630147" w:rsidP="00630147">
            <w:pPr>
              <w:pStyle w:val="StyleWisnow"/>
              <w:rPr>
                <w:color w:val="000000" w:themeColor="text1"/>
              </w:rPr>
            </w:pPr>
          </w:p>
        </w:tc>
        <w:tc>
          <w:tcPr>
            <w:tcW w:w="4818" w:type="dxa"/>
          </w:tcPr>
          <w:p w14:paraId="3390B214" w14:textId="1E59552F" w:rsidR="00630147" w:rsidRPr="00286216" w:rsidRDefault="00630147" w:rsidP="00630147">
            <w:pPr>
              <w:pStyle w:val="StyleZakonu"/>
              <w:rPr>
                <w:color w:val="000000" w:themeColor="text1"/>
              </w:rPr>
            </w:pPr>
            <w:r w:rsidRPr="00286216">
              <w:rPr>
                <w:color w:val="000000" w:themeColor="text1"/>
              </w:rPr>
              <w:t>г) задоволення своїх вимог за рахунок інших активів емітента у разі недостатності коштів після звернення стягнення на іпотечне покриття.</w:t>
            </w:r>
          </w:p>
        </w:tc>
      </w:tr>
      <w:tr w:rsidR="00630147" w:rsidRPr="00286216" w14:paraId="7A9F152C" w14:textId="77777777" w:rsidTr="00091AA5">
        <w:tc>
          <w:tcPr>
            <w:tcW w:w="576" w:type="dxa"/>
          </w:tcPr>
          <w:p w14:paraId="692B07AD" w14:textId="77777777" w:rsidR="00630147" w:rsidRPr="00286216" w:rsidRDefault="00630147" w:rsidP="00630147">
            <w:pPr>
              <w:pStyle w:val="StyleWisnow"/>
              <w:rPr>
                <w:color w:val="000000" w:themeColor="text1"/>
              </w:rPr>
            </w:pPr>
            <w:bookmarkStart w:id="3312" w:name="n3442" w:colFirst="0" w:colLast="0"/>
            <w:bookmarkEnd w:id="3311"/>
            <w:r w:rsidRPr="00286216">
              <w:rPr>
                <w:color w:val="000000" w:themeColor="text1"/>
              </w:rPr>
              <w:t>3442.</w:t>
            </w:r>
          </w:p>
        </w:tc>
        <w:tc>
          <w:tcPr>
            <w:tcW w:w="4818" w:type="dxa"/>
          </w:tcPr>
          <w:p w14:paraId="32D25F40" w14:textId="77777777" w:rsidR="00630147" w:rsidRPr="00286216" w:rsidRDefault="00630147" w:rsidP="00630147">
            <w:pPr>
              <w:pStyle w:val="StyleZakonu"/>
              <w:rPr>
                <w:color w:val="000000" w:themeColor="text1"/>
              </w:rPr>
            </w:pPr>
            <w:r w:rsidRPr="00286216">
              <w:rPr>
                <w:color w:val="000000" w:themeColor="text1"/>
              </w:rPr>
              <w:t>2. Власники звичайних іпотечних облігацій здійснюють зазначені у цій статті права через адміністратора за випуском облігацій в порядку, передбаченому Законом України "Про ринки капіталу та організовані товарні ринки".";</w:t>
            </w:r>
          </w:p>
        </w:tc>
        <w:tc>
          <w:tcPr>
            <w:tcW w:w="3686" w:type="dxa"/>
          </w:tcPr>
          <w:p w14:paraId="4B9CE733" w14:textId="77777777" w:rsidR="00630147" w:rsidRPr="00286216" w:rsidRDefault="00630147" w:rsidP="00630147">
            <w:pPr>
              <w:pStyle w:val="StyleProp"/>
              <w:rPr>
                <w:color w:val="000000" w:themeColor="text1"/>
                <w:szCs w:val="18"/>
              </w:rPr>
            </w:pPr>
          </w:p>
        </w:tc>
        <w:tc>
          <w:tcPr>
            <w:tcW w:w="1987" w:type="dxa"/>
          </w:tcPr>
          <w:p w14:paraId="5D5E7E45" w14:textId="77777777" w:rsidR="00630147" w:rsidRPr="00286216" w:rsidRDefault="00630147" w:rsidP="00630147">
            <w:pPr>
              <w:pStyle w:val="StyleWisnow"/>
              <w:rPr>
                <w:color w:val="000000" w:themeColor="text1"/>
              </w:rPr>
            </w:pPr>
          </w:p>
        </w:tc>
        <w:tc>
          <w:tcPr>
            <w:tcW w:w="4818" w:type="dxa"/>
          </w:tcPr>
          <w:p w14:paraId="0D1F08BE" w14:textId="1654C8A2" w:rsidR="00630147" w:rsidRPr="00286216" w:rsidRDefault="00630147" w:rsidP="00630147">
            <w:pPr>
              <w:pStyle w:val="StyleZakonu"/>
              <w:rPr>
                <w:color w:val="000000" w:themeColor="text1"/>
              </w:rPr>
            </w:pPr>
            <w:r w:rsidRPr="00286216">
              <w:rPr>
                <w:color w:val="000000" w:themeColor="text1"/>
              </w:rPr>
              <w:t>2. Власники звичайних іпотечних облігацій здійснюють зазначені у цій статті права через адміністратора за випуском облігацій в порядку, передбаченому Законом України "Про ринки капіталу та організовані товарні ринки";</w:t>
            </w:r>
          </w:p>
        </w:tc>
      </w:tr>
      <w:tr w:rsidR="00630147" w:rsidRPr="00286216" w14:paraId="66DFA181" w14:textId="77777777" w:rsidTr="00091AA5">
        <w:tc>
          <w:tcPr>
            <w:tcW w:w="576" w:type="dxa"/>
          </w:tcPr>
          <w:p w14:paraId="43FC2302" w14:textId="77777777" w:rsidR="00630147" w:rsidRPr="00286216" w:rsidRDefault="00630147" w:rsidP="00630147">
            <w:pPr>
              <w:pStyle w:val="StyleWisnow"/>
              <w:rPr>
                <w:color w:val="000000" w:themeColor="text1"/>
              </w:rPr>
            </w:pPr>
            <w:bookmarkStart w:id="3313" w:name="n3443" w:colFirst="0" w:colLast="0"/>
            <w:bookmarkEnd w:id="3312"/>
            <w:r w:rsidRPr="00286216">
              <w:rPr>
                <w:color w:val="000000" w:themeColor="text1"/>
              </w:rPr>
              <w:t>3443.</w:t>
            </w:r>
          </w:p>
        </w:tc>
        <w:tc>
          <w:tcPr>
            <w:tcW w:w="4818" w:type="dxa"/>
          </w:tcPr>
          <w:p w14:paraId="3AD7DE77" w14:textId="77777777" w:rsidR="00630147" w:rsidRPr="00286216" w:rsidRDefault="00630147" w:rsidP="00630147">
            <w:pPr>
              <w:pStyle w:val="StyleZakonu"/>
              <w:rPr>
                <w:color w:val="000000" w:themeColor="text1"/>
              </w:rPr>
            </w:pPr>
            <w:r w:rsidRPr="00286216">
              <w:rPr>
                <w:color w:val="000000" w:themeColor="text1"/>
              </w:rPr>
              <w:t>9) у частині першій статті 17</w:t>
            </w:r>
            <w:r w:rsidRPr="00286216">
              <w:rPr>
                <w:color w:val="000000" w:themeColor="text1"/>
                <w:vertAlign w:val="superscript"/>
              </w:rPr>
              <w:t>1</w:t>
            </w:r>
            <w:r w:rsidRPr="00286216">
              <w:rPr>
                <w:color w:val="000000" w:themeColor="text1"/>
              </w:rPr>
              <w:t>:</w:t>
            </w:r>
          </w:p>
        </w:tc>
        <w:tc>
          <w:tcPr>
            <w:tcW w:w="3686" w:type="dxa"/>
          </w:tcPr>
          <w:p w14:paraId="067E53CD" w14:textId="77777777" w:rsidR="00630147" w:rsidRPr="00286216" w:rsidRDefault="00630147" w:rsidP="00630147">
            <w:pPr>
              <w:pStyle w:val="StyleProp"/>
              <w:rPr>
                <w:color w:val="000000" w:themeColor="text1"/>
                <w:szCs w:val="18"/>
              </w:rPr>
            </w:pPr>
          </w:p>
        </w:tc>
        <w:tc>
          <w:tcPr>
            <w:tcW w:w="1987" w:type="dxa"/>
          </w:tcPr>
          <w:p w14:paraId="37618769" w14:textId="77777777" w:rsidR="00630147" w:rsidRPr="00286216" w:rsidRDefault="00630147" w:rsidP="00630147">
            <w:pPr>
              <w:pStyle w:val="StyleWisnow"/>
              <w:rPr>
                <w:color w:val="000000" w:themeColor="text1"/>
              </w:rPr>
            </w:pPr>
          </w:p>
        </w:tc>
        <w:tc>
          <w:tcPr>
            <w:tcW w:w="4818" w:type="dxa"/>
          </w:tcPr>
          <w:p w14:paraId="339499DE" w14:textId="4F1C2852" w:rsidR="00630147" w:rsidRPr="00286216" w:rsidRDefault="00630147" w:rsidP="00630147">
            <w:pPr>
              <w:pStyle w:val="StyleZakonu"/>
              <w:rPr>
                <w:color w:val="000000" w:themeColor="text1"/>
              </w:rPr>
            </w:pPr>
            <w:r w:rsidRPr="00286216">
              <w:rPr>
                <w:color w:val="000000" w:themeColor="text1"/>
              </w:rPr>
              <w:t>9) у частині першій статті 17</w:t>
            </w:r>
            <w:r w:rsidRPr="00286216">
              <w:rPr>
                <w:color w:val="000000" w:themeColor="text1"/>
                <w:vertAlign w:val="superscript"/>
              </w:rPr>
              <w:t>1</w:t>
            </w:r>
            <w:r w:rsidRPr="00286216">
              <w:rPr>
                <w:color w:val="000000" w:themeColor="text1"/>
              </w:rPr>
              <w:t>:</w:t>
            </w:r>
          </w:p>
        </w:tc>
      </w:tr>
      <w:tr w:rsidR="00630147" w:rsidRPr="00286216" w14:paraId="71FDFA61" w14:textId="77777777" w:rsidTr="00091AA5">
        <w:tc>
          <w:tcPr>
            <w:tcW w:w="576" w:type="dxa"/>
          </w:tcPr>
          <w:p w14:paraId="2C43B31F" w14:textId="77777777" w:rsidR="00630147" w:rsidRPr="00286216" w:rsidRDefault="00630147" w:rsidP="00630147">
            <w:pPr>
              <w:pStyle w:val="StyleWisnow"/>
              <w:rPr>
                <w:color w:val="000000" w:themeColor="text1"/>
              </w:rPr>
            </w:pPr>
            <w:bookmarkStart w:id="3314" w:name="n3444" w:colFirst="0" w:colLast="0"/>
            <w:bookmarkEnd w:id="3313"/>
            <w:r w:rsidRPr="00286216">
              <w:rPr>
                <w:color w:val="000000" w:themeColor="text1"/>
              </w:rPr>
              <w:t>3444.</w:t>
            </w:r>
          </w:p>
        </w:tc>
        <w:tc>
          <w:tcPr>
            <w:tcW w:w="4818" w:type="dxa"/>
          </w:tcPr>
          <w:p w14:paraId="3C3B7D42" w14:textId="77777777" w:rsidR="00630147" w:rsidRPr="00286216" w:rsidRDefault="00630147" w:rsidP="00630147">
            <w:pPr>
              <w:pStyle w:val="StyleZakonu"/>
              <w:rPr>
                <w:color w:val="000000" w:themeColor="text1"/>
              </w:rPr>
            </w:pPr>
            <w:r w:rsidRPr="00286216">
              <w:rPr>
                <w:color w:val="000000" w:themeColor="text1"/>
              </w:rPr>
              <w:t>а) у абзаці першому слово "управитель" замінити словами "та отримання відповідної вимоги власників звичайних іпотечних облігацій адміністратор за випуском облігацій: ";</w:t>
            </w:r>
          </w:p>
        </w:tc>
        <w:tc>
          <w:tcPr>
            <w:tcW w:w="3686" w:type="dxa"/>
          </w:tcPr>
          <w:p w14:paraId="51413460" w14:textId="77777777" w:rsidR="00630147" w:rsidRPr="00286216" w:rsidRDefault="00630147" w:rsidP="00630147">
            <w:pPr>
              <w:pStyle w:val="StyleProp"/>
              <w:rPr>
                <w:color w:val="000000" w:themeColor="text1"/>
                <w:szCs w:val="18"/>
              </w:rPr>
            </w:pPr>
          </w:p>
        </w:tc>
        <w:tc>
          <w:tcPr>
            <w:tcW w:w="1987" w:type="dxa"/>
          </w:tcPr>
          <w:p w14:paraId="4D833A30" w14:textId="77777777" w:rsidR="00630147" w:rsidRPr="00286216" w:rsidRDefault="00630147" w:rsidP="00630147">
            <w:pPr>
              <w:pStyle w:val="StyleWisnow"/>
              <w:rPr>
                <w:color w:val="000000" w:themeColor="text1"/>
              </w:rPr>
            </w:pPr>
          </w:p>
        </w:tc>
        <w:tc>
          <w:tcPr>
            <w:tcW w:w="4818" w:type="dxa"/>
          </w:tcPr>
          <w:p w14:paraId="3E5C322F" w14:textId="7001AFCB" w:rsidR="00630147" w:rsidRPr="00286216" w:rsidRDefault="00630147" w:rsidP="00630147">
            <w:pPr>
              <w:pStyle w:val="StyleZakonu"/>
              <w:rPr>
                <w:color w:val="000000" w:themeColor="text1"/>
              </w:rPr>
            </w:pPr>
            <w:r w:rsidRPr="00286216">
              <w:rPr>
                <w:color w:val="000000" w:themeColor="text1"/>
              </w:rPr>
              <w:t>а) в абзаці першому слово "управитель" замінити словами "та отримання відповідної вимоги власників звичайних іпотечних облігацій адміністратор за випуском облігацій: ";</w:t>
            </w:r>
          </w:p>
        </w:tc>
      </w:tr>
      <w:tr w:rsidR="00630147" w:rsidRPr="00286216" w14:paraId="351CF2C7" w14:textId="77777777" w:rsidTr="00091AA5">
        <w:tc>
          <w:tcPr>
            <w:tcW w:w="576" w:type="dxa"/>
          </w:tcPr>
          <w:p w14:paraId="377B5C1E" w14:textId="77777777" w:rsidR="00630147" w:rsidRPr="00286216" w:rsidRDefault="00630147" w:rsidP="00630147">
            <w:pPr>
              <w:pStyle w:val="StyleWisnow"/>
              <w:rPr>
                <w:color w:val="000000" w:themeColor="text1"/>
              </w:rPr>
            </w:pPr>
            <w:bookmarkStart w:id="3315" w:name="n3445" w:colFirst="0" w:colLast="0"/>
            <w:bookmarkEnd w:id="3314"/>
            <w:r w:rsidRPr="00286216">
              <w:rPr>
                <w:color w:val="000000" w:themeColor="text1"/>
              </w:rPr>
              <w:t>3445.</w:t>
            </w:r>
          </w:p>
        </w:tc>
        <w:tc>
          <w:tcPr>
            <w:tcW w:w="4818" w:type="dxa"/>
          </w:tcPr>
          <w:p w14:paraId="1289AE90" w14:textId="77777777" w:rsidR="00630147" w:rsidRPr="00286216" w:rsidRDefault="00630147" w:rsidP="00630147">
            <w:pPr>
              <w:pStyle w:val="StyleZakonu"/>
              <w:rPr>
                <w:color w:val="000000" w:themeColor="text1"/>
              </w:rPr>
            </w:pPr>
            <w:r w:rsidRPr="00286216">
              <w:rPr>
                <w:color w:val="000000" w:themeColor="text1"/>
              </w:rPr>
              <w:t>б) пункт перший викласти в такий редакції:</w:t>
            </w:r>
          </w:p>
        </w:tc>
        <w:tc>
          <w:tcPr>
            <w:tcW w:w="3686" w:type="dxa"/>
          </w:tcPr>
          <w:p w14:paraId="46FA7E9D" w14:textId="77777777" w:rsidR="00630147" w:rsidRPr="00286216" w:rsidRDefault="00630147" w:rsidP="00630147">
            <w:pPr>
              <w:pStyle w:val="StyleProp"/>
              <w:rPr>
                <w:color w:val="000000" w:themeColor="text1"/>
                <w:szCs w:val="18"/>
              </w:rPr>
            </w:pPr>
          </w:p>
        </w:tc>
        <w:tc>
          <w:tcPr>
            <w:tcW w:w="1987" w:type="dxa"/>
          </w:tcPr>
          <w:p w14:paraId="12D81EA3" w14:textId="77777777" w:rsidR="00630147" w:rsidRPr="00286216" w:rsidRDefault="00630147" w:rsidP="00630147">
            <w:pPr>
              <w:pStyle w:val="StyleWisnow"/>
              <w:rPr>
                <w:color w:val="000000" w:themeColor="text1"/>
              </w:rPr>
            </w:pPr>
          </w:p>
        </w:tc>
        <w:tc>
          <w:tcPr>
            <w:tcW w:w="4818" w:type="dxa"/>
          </w:tcPr>
          <w:p w14:paraId="081BFF47" w14:textId="28313223" w:rsidR="00630147" w:rsidRPr="00286216" w:rsidRDefault="00630147" w:rsidP="00630147">
            <w:pPr>
              <w:pStyle w:val="StyleZakonu"/>
              <w:rPr>
                <w:color w:val="000000" w:themeColor="text1"/>
              </w:rPr>
            </w:pPr>
            <w:r w:rsidRPr="00286216">
              <w:rPr>
                <w:color w:val="000000" w:themeColor="text1"/>
              </w:rPr>
              <w:t>б) пункт 1 викласти в такий редакції:</w:t>
            </w:r>
          </w:p>
        </w:tc>
      </w:tr>
      <w:tr w:rsidR="00630147" w:rsidRPr="00286216" w14:paraId="54BD79B0" w14:textId="77777777" w:rsidTr="00091AA5">
        <w:tc>
          <w:tcPr>
            <w:tcW w:w="576" w:type="dxa"/>
          </w:tcPr>
          <w:p w14:paraId="329A87AC" w14:textId="77777777" w:rsidR="00630147" w:rsidRPr="00286216" w:rsidRDefault="00630147" w:rsidP="00630147">
            <w:pPr>
              <w:pStyle w:val="StyleWisnow"/>
              <w:rPr>
                <w:color w:val="000000" w:themeColor="text1"/>
              </w:rPr>
            </w:pPr>
            <w:bookmarkStart w:id="3316" w:name="n3446" w:colFirst="0" w:colLast="0"/>
            <w:bookmarkEnd w:id="3315"/>
            <w:r w:rsidRPr="00286216">
              <w:rPr>
                <w:color w:val="000000" w:themeColor="text1"/>
              </w:rPr>
              <w:t>3446.</w:t>
            </w:r>
          </w:p>
        </w:tc>
        <w:tc>
          <w:tcPr>
            <w:tcW w:w="4818" w:type="dxa"/>
          </w:tcPr>
          <w:p w14:paraId="6D53A0FB" w14:textId="77777777" w:rsidR="00630147" w:rsidRPr="00286216" w:rsidRDefault="00630147" w:rsidP="00630147">
            <w:pPr>
              <w:pStyle w:val="StyleZakonu"/>
              <w:rPr>
                <w:color w:val="000000" w:themeColor="text1"/>
              </w:rPr>
            </w:pPr>
            <w:r w:rsidRPr="00286216">
              <w:rPr>
                <w:color w:val="000000" w:themeColor="text1"/>
              </w:rPr>
              <w:t>"1) звертає стягнення на іпотечне покриття. У такому разі адміністратор за випуском облігацій продає іпотечне покриття, надає необхідні розпорядження та документи для розподілу виручки від його продажу між власниками звичайних іпотечних облігацій відповідно до частини третьої статті 11 цього Закону, а також вживає заходів щодо отримання ними коштів за рахунок реалізації іншого майна емітента; ";</w:t>
            </w:r>
          </w:p>
        </w:tc>
        <w:tc>
          <w:tcPr>
            <w:tcW w:w="3686" w:type="dxa"/>
          </w:tcPr>
          <w:p w14:paraId="3C53B2AC" w14:textId="77777777" w:rsidR="00630147" w:rsidRPr="00286216" w:rsidRDefault="00630147" w:rsidP="00630147">
            <w:pPr>
              <w:pStyle w:val="StyleProp"/>
              <w:rPr>
                <w:color w:val="000000" w:themeColor="text1"/>
                <w:szCs w:val="18"/>
              </w:rPr>
            </w:pPr>
          </w:p>
        </w:tc>
        <w:tc>
          <w:tcPr>
            <w:tcW w:w="1987" w:type="dxa"/>
          </w:tcPr>
          <w:p w14:paraId="71FA4321" w14:textId="77777777" w:rsidR="00630147" w:rsidRPr="00286216" w:rsidRDefault="00630147" w:rsidP="00630147">
            <w:pPr>
              <w:pStyle w:val="StyleWisnow"/>
              <w:rPr>
                <w:color w:val="000000" w:themeColor="text1"/>
              </w:rPr>
            </w:pPr>
          </w:p>
        </w:tc>
        <w:tc>
          <w:tcPr>
            <w:tcW w:w="4818" w:type="dxa"/>
          </w:tcPr>
          <w:p w14:paraId="28EE303E" w14:textId="49CFECCF" w:rsidR="00630147" w:rsidRPr="00286216" w:rsidRDefault="00630147" w:rsidP="00630147">
            <w:pPr>
              <w:pStyle w:val="StyleZakonu"/>
              <w:rPr>
                <w:color w:val="000000" w:themeColor="text1"/>
              </w:rPr>
            </w:pPr>
            <w:r w:rsidRPr="00286216">
              <w:rPr>
                <w:color w:val="000000" w:themeColor="text1"/>
              </w:rPr>
              <w:t>"1) звертає стягнення на іпотечне покриття. У такому разі адміністратор за випуском облігацій продає іпотечне покриття, надає необхідні розпорядження та документи для розподілу виручки від його продажу між власниками звичайних іпотечних облігацій відповідно до частини третьої статті 11 цього Закону, а також вживає заходів щодо отримання ними коштів за рахунок реалізації іншого майна емітента";</w:t>
            </w:r>
          </w:p>
        </w:tc>
      </w:tr>
      <w:tr w:rsidR="00630147" w:rsidRPr="00286216" w14:paraId="0257DE58" w14:textId="77777777" w:rsidTr="00091AA5">
        <w:tc>
          <w:tcPr>
            <w:tcW w:w="576" w:type="dxa"/>
          </w:tcPr>
          <w:p w14:paraId="03F23380" w14:textId="77777777" w:rsidR="00630147" w:rsidRPr="00286216" w:rsidRDefault="00630147" w:rsidP="00630147">
            <w:pPr>
              <w:pStyle w:val="StyleWisnow"/>
              <w:rPr>
                <w:color w:val="000000" w:themeColor="text1"/>
              </w:rPr>
            </w:pPr>
            <w:bookmarkStart w:id="3317" w:name="n3447" w:colFirst="0" w:colLast="0"/>
            <w:bookmarkEnd w:id="3316"/>
            <w:r w:rsidRPr="00286216">
              <w:rPr>
                <w:color w:val="000000" w:themeColor="text1"/>
              </w:rPr>
              <w:t>3447.</w:t>
            </w:r>
          </w:p>
        </w:tc>
        <w:tc>
          <w:tcPr>
            <w:tcW w:w="4818" w:type="dxa"/>
          </w:tcPr>
          <w:p w14:paraId="7DAE71D0" w14:textId="77777777" w:rsidR="00630147" w:rsidRPr="00286216" w:rsidRDefault="00630147" w:rsidP="00630147">
            <w:pPr>
              <w:pStyle w:val="StyleZakonu"/>
              <w:rPr>
                <w:color w:val="000000" w:themeColor="text1"/>
              </w:rPr>
            </w:pPr>
            <w:r w:rsidRPr="00286216">
              <w:rPr>
                <w:color w:val="000000" w:themeColor="text1"/>
              </w:rPr>
              <w:t>в) доповнити новим пунктом такого змісту:</w:t>
            </w:r>
          </w:p>
        </w:tc>
        <w:tc>
          <w:tcPr>
            <w:tcW w:w="3686" w:type="dxa"/>
          </w:tcPr>
          <w:p w14:paraId="2851413C" w14:textId="77777777" w:rsidR="00630147" w:rsidRPr="00286216" w:rsidRDefault="00630147" w:rsidP="00630147">
            <w:pPr>
              <w:pStyle w:val="StyleProp"/>
              <w:rPr>
                <w:color w:val="000000" w:themeColor="text1"/>
                <w:szCs w:val="18"/>
              </w:rPr>
            </w:pPr>
          </w:p>
        </w:tc>
        <w:tc>
          <w:tcPr>
            <w:tcW w:w="1987" w:type="dxa"/>
          </w:tcPr>
          <w:p w14:paraId="50405A43" w14:textId="77777777" w:rsidR="00630147" w:rsidRPr="00286216" w:rsidRDefault="00630147" w:rsidP="00630147">
            <w:pPr>
              <w:pStyle w:val="StyleWisnow"/>
              <w:rPr>
                <w:color w:val="000000" w:themeColor="text1"/>
              </w:rPr>
            </w:pPr>
          </w:p>
        </w:tc>
        <w:tc>
          <w:tcPr>
            <w:tcW w:w="4818" w:type="dxa"/>
          </w:tcPr>
          <w:p w14:paraId="4FD39069" w14:textId="05612526" w:rsidR="00630147" w:rsidRPr="00286216" w:rsidRDefault="00630147" w:rsidP="00630147">
            <w:pPr>
              <w:pStyle w:val="StyleZakonu"/>
              <w:rPr>
                <w:color w:val="000000" w:themeColor="text1"/>
              </w:rPr>
            </w:pPr>
            <w:r w:rsidRPr="00286216">
              <w:rPr>
                <w:color w:val="000000" w:themeColor="text1"/>
              </w:rPr>
              <w:t>в) доповнити пунктом 4 такого змісту:</w:t>
            </w:r>
          </w:p>
        </w:tc>
      </w:tr>
      <w:tr w:rsidR="00630147" w:rsidRPr="00286216" w14:paraId="0770DC5A" w14:textId="77777777" w:rsidTr="00091AA5">
        <w:tc>
          <w:tcPr>
            <w:tcW w:w="576" w:type="dxa"/>
          </w:tcPr>
          <w:p w14:paraId="7FF99368" w14:textId="77777777" w:rsidR="00630147" w:rsidRPr="00286216" w:rsidRDefault="00630147" w:rsidP="00630147">
            <w:pPr>
              <w:pStyle w:val="StyleWisnow"/>
              <w:rPr>
                <w:color w:val="000000" w:themeColor="text1"/>
              </w:rPr>
            </w:pPr>
            <w:bookmarkStart w:id="3318" w:name="n3448" w:colFirst="0" w:colLast="0"/>
            <w:bookmarkEnd w:id="3317"/>
            <w:r w:rsidRPr="00286216">
              <w:rPr>
                <w:color w:val="000000" w:themeColor="text1"/>
              </w:rPr>
              <w:t>3448.</w:t>
            </w:r>
          </w:p>
        </w:tc>
        <w:tc>
          <w:tcPr>
            <w:tcW w:w="4818" w:type="dxa"/>
          </w:tcPr>
          <w:p w14:paraId="2498FAE4" w14:textId="77777777" w:rsidR="00630147" w:rsidRPr="00286216" w:rsidRDefault="00630147" w:rsidP="00630147">
            <w:pPr>
              <w:pStyle w:val="StyleZakonu"/>
              <w:rPr>
                <w:color w:val="000000" w:themeColor="text1"/>
              </w:rPr>
            </w:pPr>
            <w:r w:rsidRPr="00286216">
              <w:rPr>
                <w:color w:val="000000" w:themeColor="text1"/>
              </w:rPr>
              <w:t>"4) виконує інші функції, передбачені законом.";</w:t>
            </w:r>
          </w:p>
        </w:tc>
        <w:tc>
          <w:tcPr>
            <w:tcW w:w="3686" w:type="dxa"/>
          </w:tcPr>
          <w:p w14:paraId="1BDDBBD8" w14:textId="77777777" w:rsidR="00630147" w:rsidRPr="00286216" w:rsidRDefault="00630147" w:rsidP="00630147">
            <w:pPr>
              <w:pStyle w:val="StyleProp"/>
              <w:rPr>
                <w:color w:val="000000" w:themeColor="text1"/>
                <w:szCs w:val="18"/>
              </w:rPr>
            </w:pPr>
          </w:p>
        </w:tc>
        <w:tc>
          <w:tcPr>
            <w:tcW w:w="1987" w:type="dxa"/>
          </w:tcPr>
          <w:p w14:paraId="247C1E18" w14:textId="77777777" w:rsidR="00630147" w:rsidRPr="00286216" w:rsidRDefault="00630147" w:rsidP="00630147">
            <w:pPr>
              <w:pStyle w:val="StyleWisnow"/>
              <w:rPr>
                <w:color w:val="000000" w:themeColor="text1"/>
              </w:rPr>
            </w:pPr>
          </w:p>
        </w:tc>
        <w:tc>
          <w:tcPr>
            <w:tcW w:w="4818" w:type="dxa"/>
          </w:tcPr>
          <w:p w14:paraId="489B4347" w14:textId="39C58989" w:rsidR="00630147" w:rsidRPr="00286216" w:rsidRDefault="00630147" w:rsidP="00630147">
            <w:pPr>
              <w:pStyle w:val="StyleZakonu"/>
              <w:rPr>
                <w:color w:val="000000" w:themeColor="text1"/>
              </w:rPr>
            </w:pPr>
            <w:r w:rsidRPr="00286216">
              <w:rPr>
                <w:color w:val="000000" w:themeColor="text1"/>
              </w:rPr>
              <w:t>"4) виконує інші функції, передбачені законом";</w:t>
            </w:r>
          </w:p>
        </w:tc>
      </w:tr>
      <w:tr w:rsidR="00630147" w:rsidRPr="00286216" w14:paraId="281EBBFA" w14:textId="77777777" w:rsidTr="00091AA5">
        <w:tc>
          <w:tcPr>
            <w:tcW w:w="576" w:type="dxa"/>
          </w:tcPr>
          <w:p w14:paraId="0FC22F35" w14:textId="77777777" w:rsidR="00630147" w:rsidRPr="00286216" w:rsidRDefault="00630147" w:rsidP="00630147">
            <w:pPr>
              <w:pStyle w:val="StyleWisnow"/>
              <w:rPr>
                <w:color w:val="000000" w:themeColor="text1"/>
              </w:rPr>
            </w:pPr>
            <w:bookmarkStart w:id="3319" w:name="n3449" w:colFirst="0" w:colLast="0"/>
            <w:bookmarkEnd w:id="3318"/>
            <w:r w:rsidRPr="00286216">
              <w:rPr>
                <w:color w:val="000000" w:themeColor="text1"/>
              </w:rPr>
              <w:t>3449.</w:t>
            </w:r>
          </w:p>
        </w:tc>
        <w:tc>
          <w:tcPr>
            <w:tcW w:w="4818" w:type="dxa"/>
          </w:tcPr>
          <w:p w14:paraId="2799B4CF" w14:textId="77777777" w:rsidR="00630147" w:rsidRPr="00286216" w:rsidRDefault="00630147" w:rsidP="00630147">
            <w:pPr>
              <w:pStyle w:val="StyleZakonu"/>
              <w:rPr>
                <w:color w:val="000000" w:themeColor="text1"/>
              </w:rPr>
            </w:pPr>
            <w:r w:rsidRPr="00286216">
              <w:rPr>
                <w:color w:val="000000" w:themeColor="text1"/>
              </w:rPr>
              <w:t>10) у статті 19:</w:t>
            </w:r>
          </w:p>
        </w:tc>
        <w:tc>
          <w:tcPr>
            <w:tcW w:w="3686" w:type="dxa"/>
          </w:tcPr>
          <w:p w14:paraId="4EBA37A6" w14:textId="77777777" w:rsidR="00630147" w:rsidRPr="00286216" w:rsidRDefault="00630147" w:rsidP="00630147">
            <w:pPr>
              <w:pStyle w:val="StyleProp"/>
              <w:rPr>
                <w:color w:val="000000" w:themeColor="text1"/>
                <w:szCs w:val="18"/>
              </w:rPr>
            </w:pPr>
          </w:p>
        </w:tc>
        <w:tc>
          <w:tcPr>
            <w:tcW w:w="1987" w:type="dxa"/>
          </w:tcPr>
          <w:p w14:paraId="58F5BBF6" w14:textId="77777777" w:rsidR="00630147" w:rsidRPr="00286216" w:rsidRDefault="00630147" w:rsidP="00630147">
            <w:pPr>
              <w:pStyle w:val="StyleWisnow"/>
              <w:rPr>
                <w:color w:val="000000" w:themeColor="text1"/>
              </w:rPr>
            </w:pPr>
          </w:p>
        </w:tc>
        <w:tc>
          <w:tcPr>
            <w:tcW w:w="4818" w:type="dxa"/>
          </w:tcPr>
          <w:p w14:paraId="6638B258" w14:textId="50C3248E" w:rsidR="00630147" w:rsidRPr="00286216" w:rsidRDefault="00630147" w:rsidP="00630147">
            <w:pPr>
              <w:pStyle w:val="StyleZakonu"/>
              <w:rPr>
                <w:color w:val="000000" w:themeColor="text1"/>
              </w:rPr>
            </w:pPr>
            <w:r w:rsidRPr="00286216">
              <w:rPr>
                <w:color w:val="000000" w:themeColor="text1"/>
              </w:rPr>
              <w:t>10) у статті 19:</w:t>
            </w:r>
          </w:p>
        </w:tc>
      </w:tr>
      <w:tr w:rsidR="00630147" w:rsidRPr="00286216" w14:paraId="4F4B984C" w14:textId="77777777" w:rsidTr="00091AA5">
        <w:tc>
          <w:tcPr>
            <w:tcW w:w="576" w:type="dxa"/>
          </w:tcPr>
          <w:p w14:paraId="3E1E2FC6" w14:textId="77777777" w:rsidR="00630147" w:rsidRPr="00286216" w:rsidRDefault="00630147" w:rsidP="00630147">
            <w:pPr>
              <w:pStyle w:val="StyleWisnow"/>
              <w:rPr>
                <w:color w:val="000000" w:themeColor="text1"/>
              </w:rPr>
            </w:pPr>
            <w:bookmarkStart w:id="3320" w:name="n3450" w:colFirst="0" w:colLast="0"/>
            <w:bookmarkEnd w:id="3319"/>
            <w:r w:rsidRPr="00286216">
              <w:rPr>
                <w:color w:val="000000" w:themeColor="text1"/>
              </w:rPr>
              <w:lastRenderedPageBreak/>
              <w:t>3450.</w:t>
            </w:r>
          </w:p>
        </w:tc>
        <w:tc>
          <w:tcPr>
            <w:tcW w:w="4818" w:type="dxa"/>
          </w:tcPr>
          <w:p w14:paraId="271BA37C" w14:textId="77777777" w:rsidR="00630147" w:rsidRPr="00286216" w:rsidRDefault="00630147" w:rsidP="00630147">
            <w:pPr>
              <w:pStyle w:val="StyleZakonu"/>
              <w:rPr>
                <w:color w:val="000000" w:themeColor="text1"/>
              </w:rPr>
            </w:pPr>
            <w:r w:rsidRPr="00286216">
              <w:rPr>
                <w:color w:val="000000" w:themeColor="text1"/>
              </w:rPr>
              <w:t>а) у частині п’ятій:</w:t>
            </w:r>
          </w:p>
        </w:tc>
        <w:tc>
          <w:tcPr>
            <w:tcW w:w="3686" w:type="dxa"/>
          </w:tcPr>
          <w:p w14:paraId="6A5B9CBE" w14:textId="77777777" w:rsidR="00630147" w:rsidRPr="00286216" w:rsidRDefault="00630147" w:rsidP="00630147">
            <w:pPr>
              <w:pStyle w:val="StyleProp"/>
              <w:rPr>
                <w:color w:val="000000" w:themeColor="text1"/>
                <w:szCs w:val="18"/>
              </w:rPr>
            </w:pPr>
          </w:p>
        </w:tc>
        <w:tc>
          <w:tcPr>
            <w:tcW w:w="1987" w:type="dxa"/>
          </w:tcPr>
          <w:p w14:paraId="579916EA" w14:textId="77777777" w:rsidR="00630147" w:rsidRPr="00286216" w:rsidRDefault="00630147" w:rsidP="00630147">
            <w:pPr>
              <w:pStyle w:val="StyleWisnow"/>
              <w:rPr>
                <w:color w:val="000000" w:themeColor="text1"/>
              </w:rPr>
            </w:pPr>
          </w:p>
        </w:tc>
        <w:tc>
          <w:tcPr>
            <w:tcW w:w="4818" w:type="dxa"/>
          </w:tcPr>
          <w:p w14:paraId="2710EC72" w14:textId="5E9623DF" w:rsidR="00630147" w:rsidRPr="00286216" w:rsidRDefault="00630147" w:rsidP="00630147">
            <w:pPr>
              <w:pStyle w:val="StyleZakonu"/>
              <w:rPr>
                <w:color w:val="000000" w:themeColor="text1"/>
              </w:rPr>
            </w:pPr>
            <w:r w:rsidRPr="00286216">
              <w:rPr>
                <w:color w:val="000000" w:themeColor="text1"/>
              </w:rPr>
              <w:t>а) у частині п’ятій:</w:t>
            </w:r>
          </w:p>
        </w:tc>
      </w:tr>
      <w:tr w:rsidR="00630147" w:rsidRPr="00286216" w14:paraId="06A46A43" w14:textId="77777777" w:rsidTr="00091AA5">
        <w:tc>
          <w:tcPr>
            <w:tcW w:w="576" w:type="dxa"/>
          </w:tcPr>
          <w:p w14:paraId="221E6F02" w14:textId="77777777" w:rsidR="00630147" w:rsidRPr="00286216" w:rsidRDefault="00630147" w:rsidP="00630147">
            <w:pPr>
              <w:pStyle w:val="StyleWisnow"/>
              <w:rPr>
                <w:color w:val="000000" w:themeColor="text1"/>
              </w:rPr>
            </w:pPr>
            <w:bookmarkStart w:id="3321" w:name="n3451" w:colFirst="0" w:colLast="0"/>
            <w:bookmarkEnd w:id="3320"/>
            <w:r w:rsidRPr="00286216">
              <w:rPr>
                <w:color w:val="000000" w:themeColor="text1"/>
              </w:rPr>
              <w:t>3451.</w:t>
            </w:r>
          </w:p>
        </w:tc>
        <w:tc>
          <w:tcPr>
            <w:tcW w:w="4818" w:type="dxa"/>
          </w:tcPr>
          <w:p w14:paraId="04955993" w14:textId="77777777" w:rsidR="00630147" w:rsidRPr="00286216" w:rsidRDefault="00630147" w:rsidP="00630147">
            <w:pPr>
              <w:pStyle w:val="StyleZakonu"/>
              <w:rPr>
                <w:color w:val="000000" w:themeColor="text1"/>
              </w:rPr>
            </w:pPr>
            <w:r w:rsidRPr="00286216">
              <w:rPr>
                <w:color w:val="000000" w:themeColor="text1"/>
              </w:rPr>
              <w:t>у абзаці першому слово "управителем" змінити словами "адміністратором за випуском облігацій";</w:t>
            </w:r>
          </w:p>
        </w:tc>
        <w:tc>
          <w:tcPr>
            <w:tcW w:w="3686" w:type="dxa"/>
          </w:tcPr>
          <w:p w14:paraId="709A1891" w14:textId="77777777" w:rsidR="00630147" w:rsidRPr="00286216" w:rsidRDefault="00630147" w:rsidP="00630147">
            <w:pPr>
              <w:pStyle w:val="StyleProp"/>
              <w:rPr>
                <w:color w:val="000000" w:themeColor="text1"/>
                <w:szCs w:val="18"/>
              </w:rPr>
            </w:pPr>
          </w:p>
        </w:tc>
        <w:tc>
          <w:tcPr>
            <w:tcW w:w="1987" w:type="dxa"/>
          </w:tcPr>
          <w:p w14:paraId="62AD6D68" w14:textId="77777777" w:rsidR="00630147" w:rsidRPr="00286216" w:rsidRDefault="00630147" w:rsidP="00630147">
            <w:pPr>
              <w:pStyle w:val="StyleWisnow"/>
              <w:rPr>
                <w:color w:val="000000" w:themeColor="text1"/>
              </w:rPr>
            </w:pPr>
          </w:p>
        </w:tc>
        <w:tc>
          <w:tcPr>
            <w:tcW w:w="4818" w:type="dxa"/>
          </w:tcPr>
          <w:p w14:paraId="324B1D00" w14:textId="13BB15A0" w:rsidR="00630147" w:rsidRPr="00286216" w:rsidRDefault="00630147" w:rsidP="00630147">
            <w:pPr>
              <w:pStyle w:val="StyleZakonu"/>
              <w:rPr>
                <w:color w:val="000000" w:themeColor="text1"/>
              </w:rPr>
            </w:pPr>
            <w:r w:rsidRPr="00286216">
              <w:rPr>
                <w:color w:val="000000" w:themeColor="text1"/>
              </w:rPr>
              <w:t>в абзаці першому слово "управителем" змінити словами "адміністратором за випуском облігацій";</w:t>
            </w:r>
          </w:p>
        </w:tc>
      </w:tr>
      <w:tr w:rsidR="00630147" w:rsidRPr="00286216" w14:paraId="2AA07ABF" w14:textId="77777777" w:rsidTr="00091AA5">
        <w:tc>
          <w:tcPr>
            <w:tcW w:w="576" w:type="dxa"/>
          </w:tcPr>
          <w:p w14:paraId="6C8D36F9" w14:textId="77777777" w:rsidR="00630147" w:rsidRPr="00286216" w:rsidRDefault="00630147" w:rsidP="00630147">
            <w:pPr>
              <w:pStyle w:val="StyleWisnow"/>
              <w:rPr>
                <w:color w:val="000000" w:themeColor="text1"/>
              </w:rPr>
            </w:pPr>
            <w:bookmarkStart w:id="3322" w:name="n3452" w:colFirst="0" w:colLast="0"/>
            <w:bookmarkEnd w:id="3321"/>
            <w:r w:rsidRPr="00286216">
              <w:rPr>
                <w:color w:val="000000" w:themeColor="text1"/>
              </w:rPr>
              <w:t>3452.</w:t>
            </w:r>
          </w:p>
        </w:tc>
        <w:tc>
          <w:tcPr>
            <w:tcW w:w="4818" w:type="dxa"/>
          </w:tcPr>
          <w:p w14:paraId="0082D5DD" w14:textId="77777777" w:rsidR="00630147" w:rsidRPr="00286216" w:rsidRDefault="00630147" w:rsidP="00630147">
            <w:pPr>
              <w:pStyle w:val="StyleZakonu"/>
              <w:rPr>
                <w:color w:val="000000" w:themeColor="text1"/>
              </w:rPr>
            </w:pPr>
            <w:r w:rsidRPr="00286216">
              <w:rPr>
                <w:color w:val="000000" w:themeColor="text1"/>
              </w:rPr>
              <w:t>пункт другий викласти в такий редакції:</w:t>
            </w:r>
          </w:p>
        </w:tc>
        <w:tc>
          <w:tcPr>
            <w:tcW w:w="3686" w:type="dxa"/>
          </w:tcPr>
          <w:p w14:paraId="365325E0" w14:textId="77777777" w:rsidR="00630147" w:rsidRPr="00286216" w:rsidRDefault="00630147" w:rsidP="00630147">
            <w:pPr>
              <w:pStyle w:val="StyleProp"/>
              <w:rPr>
                <w:color w:val="000000" w:themeColor="text1"/>
                <w:szCs w:val="18"/>
              </w:rPr>
            </w:pPr>
          </w:p>
        </w:tc>
        <w:tc>
          <w:tcPr>
            <w:tcW w:w="1987" w:type="dxa"/>
          </w:tcPr>
          <w:p w14:paraId="2EE0CAC2" w14:textId="77777777" w:rsidR="00630147" w:rsidRPr="00286216" w:rsidRDefault="00630147" w:rsidP="00630147">
            <w:pPr>
              <w:pStyle w:val="StyleWisnow"/>
              <w:rPr>
                <w:color w:val="000000" w:themeColor="text1"/>
              </w:rPr>
            </w:pPr>
          </w:p>
        </w:tc>
        <w:tc>
          <w:tcPr>
            <w:tcW w:w="4818" w:type="dxa"/>
          </w:tcPr>
          <w:p w14:paraId="00CF4541" w14:textId="337A59BC" w:rsidR="00630147" w:rsidRPr="00286216" w:rsidRDefault="00630147" w:rsidP="00630147">
            <w:pPr>
              <w:pStyle w:val="StyleZakonu"/>
              <w:rPr>
                <w:color w:val="000000" w:themeColor="text1"/>
              </w:rPr>
            </w:pPr>
            <w:r w:rsidRPr="00286216">
              <w:rPr>
                <w:color w:val="000000" w:themeColor="text1"/>
              </w:rPr>
              <w:t>пункт 2 викласти в такий редакції:</w:t>
            </w:r>
          </w:p>
        </w:tc>
      </w:tr>
      <w:tr w:rsidR="00630147" w:rsidRPr="00286216" w14:paraId="464B2899" w14:textId="77777777" w:rsidTr="00091AA5">
        <w:tc>
          <w:tcPr>
            <w:tcW w:w="576" w:type="dxa"/>
          </w:tcPr>
          <w:p w14:paraId="6991CAB3" w14:textId="77777777" w:rsidR="00630147" w:rsidRPr="00286216" w:rsidRDefault="00630147" w:rsidP="00630147">
            <w:pPr>
              <w:pStyle w:val="StyleWisnow"/>
              <w:rPr>
                <w:color w:val="000000" w:themeColor="text1"/>
              </w:rPr>
            </w:pPr>
            <w:bookmarkStart w:id="3323" w:name="n3453" w:colFirst="0" w:colLast="0"/>
            <w:bookmarkEnd w:id="3322"/>
            <w:r w:rsidRPr="00286216">
              <w:rPr>
                <w:color w:val="000000" w:themeColor="text1"/>
              </w:rPr>
              <w:t>3453.</w:t>
            </w:r>
          </w:p>
        </w:tc>
        <w:tc>
          <w:tcPr>
            <w:tcW w:w="4818" w:type="dxa"/>
          </w:tcPr>
          <w:p w14:paraId="191A2E27" w14:textId="77777777" w:rsidR="00630147" w:rsidRPr="00286216" w:rsidRDefault="00630147" w:rsidP="00630147">
            <w:pPr>
              <w:pStyle w:val="StyleZakonu"/>
              <w:rPr>
                <w:color w:val="000000" w:themeColor="text1"/>
              </w:rPr>
            </w:pPr>
            <w:r w:rsidRPr="00286216">
              <w:rPr>
                <w:color w:val="000000" w:themeColor="text1"/>
              </w:rPr>
              <w:t>"2) шляхом придбання облігацій міжнародних фінансових організацій, що розміщуються на території України, цінних паперів держави або цінних паперів, повністю гарантованих державою.";</w:t>
            </w:r>
          </w:p>
        </w:tc>
        <w:tc>
          <w:tcPr>
            <w:tcW w:w="3686" w:type="dxa"/>
          </w:tcPr>
          <w:p w14:paraId="1C69465E" w14:textId="77777777" w:rsidR="00630147" w:rsidRPr="00286216" w:rsidRDefault="00630147" w:rsidP="00630147">
            <w:pPr>
              <w:pStyle w:val="StyleProp"/>
              <w:rPr>
                <w:color w:val="000000" w:themeColor="text1"/>
                <w:szCs w:val="18"/>
              </w:rPr>
            </w:pPr>
          </w:p>
        </w:tc>
        <w:tc>
          <w:tcPr>
            <w:tcW w:w="1987" w:type="dxa"/>
          </w:tcPr>
          <w:p w14:paraId="0DBD4078" w14:textId="77777777" w:rsidR="00630147" w:rsidRPr="00286216" w:rsidRDefault="00630147" w:rsidP="00630147">
            <w:pPr>
              <w:pStyle w:val="StyleWisnow"/>
              <w:rPr>
                <w:color w:val="000000" w:themeColor="text1"/>
              </w:rPr>
            </w:pPr>
          </w:p>
        </w:tc>
        <w:tc>
          <w:tcPr>
            <w:tcW w:w="4818" w:type="dxa"/>
          </w:tcPr>
          <w:p w14:paraId="305EF78A" w14:textId="34BC29BC" w:rsidR="00630147" w:rsidRPr="00286216" w:rsidRDefault="00630147" w:rsidP="00630147">
            <w:pPr>
              <w:pStyle w:val="StyleZakonu"/>
              <w:rPr>
                <w:color w:val="000000" w:themeColor="text1"/>
              </w:rPr>
            </w:pPr>
            <w:r w:rsidRPr="00286216">
              <w:rPr>
                <w:color w:val="000000" w:themeColor="text1"/>
              </w:rPr>
              <w:t>"2) шляхом придбання облігацій міжнародних фінансових організацій, що розміщуються на території України, цінних паперів держави або цінних паперів, повністю гарантованих державою";</w:t>
            </w:r>
          </w:p>
        </w:tc>
      </w:tr>
      <w:tr w:rsidR="00630147" w:rsidRPr="00286216" w14:paraId="2A6BAC32" w14:textId="77777777" w:rsidTr="00091AA5">
        <w:tc>
          <w:tcPr>
            <w:tcW w:w="576" w:type="dxa"/>
          </w:tcPr>
          <w:p w14:paraId="4C6149A7" w14:textId="77777777" w:rsidR="00630147" w:rsidRPr="00286216" w:rsidRDefault="00630147" w:rsidP="00630147">
            <w:pPr>
              <w:pStyle w:val="StyleWisnow"/>
              <w:rPr>
                <w:color w:val="000000" w:themeColor="text1"/>
              </w:rPr>
            </w:pPr>
            <w:bookmarkStart w:id="3324" w:name="n3454" w:colFirst="0" w:colLast="0"/>
            <w:bookmarkEnd w:id="3323"/>
            <w:r w:rsidRPr="00286216">
              <w:rPr>
                <w:color w:val="000000" w:themeColor="text1"/>
              </w:rPr>
              <w:t>3454.</w:t>
            </w:r>
          </w:p>
        </w:tc>
        <w:tc>
          <w:tcPr>
            <w:tcW w:w="4818" w:type="dxa"/>
          </w:tcPr>
          <w:p w14:paraId="4B535DDD" w14:textId="77777777" w:rsidR="00630147" w:rsidRPr="00286216" w:rsidRDefault="00630147" w:rsidP="00630147">
            <w:pPr>
              <w:pStyle w:val="StyleZakonu"/>
              <w:rPr>
                <w:color w:val="000000" w:themeColor="text1"/>
              </w:rPr>
            </w:pPr>
            <w:r w:rsidRPr="00286216">
              <w:rPr>
                <w:color w:val="000000" w:themeColor="text1"/>
              </w:rPr>
              <w:t>б) у частині сьомій:</w:t>
            </w:r>
          </w:p>
        </w:tc>
        <w:tc>
          <w:tcPr>
            <w:tcW w:w="3686" w:type="dxa"/>
          </w:tcPr>
          <w:p w14:paraId="5844CB17" w14:textId="77777777" w:rsidR="00630147" w:rsidRPr="00286216" w:rsidRDefault="00630147" w:rsidP="00630147">
            <w:pPr>
              <w:pStyle w:val="StyleProp"/>
              <w:rPr>
                <w:color w:val="000000" w:themeColor="text1"/>
                <w:szCs w:val="18"/>
              </w:rPr>
            </w:pPr>
          </w:p>
        </w:tc>
        <w:tc>
          <w:tcPr>
            <w:tcW w:w="1987" w:type="dxa"/>
          </w:tcPr>
          <w:p w14:paraId="62300918" w14:textId="77777777" w:rsidR="00630147" w:rsidRPr="00286216" w:rsidRDefault="00630147" w:rsidP="00630147">
            <w:pPr>
              <w:pStyle w:val="StyleWisnow"/>
              <w:rPr>
                <w:color w:val="000000" w:themeColor="text1"/>
              </w:rPr>
            </w:pPr>
          </w:p>
        </w:tc>
        <w:tc>
          <w:tcPr>
            <w:tcW w:w="4818" w:type="dxa"/>
          </w:tcPr>
          <w:p w14:paraId="67D9D274" w14:textId="767D0ACD" w:rsidR="00630147" w:rsidRPr="00286216" w:rsidRDefault="00630147" w:rsidP="00630147">
            <w:pPr>
              <w:pStyle w:val="StyleZakonu"/>
              <w:rPr>
                <w:color w:val="000000" w:themeColor="text1"/>
              </w:rPr>
            </w:pPr>
            <w:r w:rsidRPr="00286216">
              <w:rPr>
                <w:color w:val="000000" w:themeColor="text1"/>
              </w:rPr>
              <w:t>б) у частині сьомій:</w:t>
            </w:r>
          </w:p>
        </w:tc>
      </w:tr>
      <w:tr w:rsidR="00630147" w:rsidRPr="00286216" w14:paraId="033EEC8E" w14:textId="77777777" w:rsidTr="00091AA5">
        <w:tc>
          <w:tcPr>
            <w:tcW w:w="576" w:type="dxa"/>
          </w:tcPr>
          <w:p w14:paraId="7FB9BDE5" w14:textId="77777777" w:rsidR="00630147" w:rsidRPr="00286216" w:rsidRDefault="00630147" w:rsidP="00630147">
            <w:pPr>
              <w:pStyle w:val="StyleWisnow"/>
              <w:rPr>
                <w:color w:val="000000" w:themeColor="text1"/>
              </w:rPr>
            </w:pPr>
            <w:bookmarkStart w:id="3325" w:name="n3455" w:colFirst="0" w:colLast="0"/>
            <w:bookmarkEnd w:id="3324"/>
            <w:r w:rsidRPr="00286216">
              <w:rPr>
                <w:color w:val="000000" w:themeColor="text1"/>
              </w:rPr>
              <w:t>3455.</w:t>
            </w:r>
          </w:p>
        </w:tc>
        <w:tc>
          <w:tcPr>
            <w:tcW w:w="4818" w:type="dxa"/>
          </w:tcPr>
          <w:p w14:paraId="13B70230" w14:textId="77777777" w:rsidR="00630147" w:rsidRPr="00286216" w:rsidRDefault="00630147" w:rsidP="00630147">
            <w:pPr>
              <w:pStyle w:val="StyleZakonu"/>
              <w:rPr>
                <w:color w:val="000000" w:themeColor="text1"/>
              </w:rPr>
            </w:pPr>
            <w:r w:rsidRPr="00286216">
              <w:rPr>
                <w:color w:val="000000" w:themeColor="text1"/>
              </w:rPr>
              <w:t>абзац перший викласти в такий редакції:</w:t>
            </w:r>
          </w:p>
        </w:tc>
        <w:tc>
          <w:tcPr>
            <w:tcW w:w="3686" w:type="dxa"/>
          </w:tcPr>
          <w:p w14:paraId="6EDBB8FC" w14:textId="77777777" w:rsidR="00630147" w:rsidRPr="00286216" w:rsidRDefault="00630147" w:rsidP="00630147">
            <w:pPr>
              <w:pStyle w:val="StyleProp"/>
              <w:rPr>
                <w:color w:val="000000" w:themeColor="text1"/>
                <w:szCs w:val="18"/>
              </w:rPr>
            </w:pPr>
          </w:p>
        </w:tc>
        <w:tc>
          <w:tcPr>
            <w:tcW w:w="1987" w:type="dxa"/>
          </w:tcPr>
          <w:p w14:paraId="7E549BAC" w14:textId="77777777" w:rsidR="00630147" w:rsidRPr="00286216" w:rsidRDefault="00630147" w:rsidP="00630147">
            <w:pPr>
              <w:pStyle w:val="StyleWisnow"/>
              <w:rPr>
                <w:color w:val="000000" w:themeColor="text1"/>
              </w:rPr>
            </w:pPr>
          </w:p>
        </w:tc>
        <w:tc>
          <w:tcPr>
            <w:tcW w:w="4818" w:type="dxa"/>
          </w:tcPr>
          <w:p w14:paraId="0EE506B4" w14:textId="4488C05F" w:rsidR="00630147" w:rsidRPr="00286216" w:rsidRDefault="00630147" w:rsidP="00630147">
            <w:pPr>
              <w:pStyle w:val="StyleZakonu"/>
              <w:rPr>
                <w:color w:val="000000" w:themeColor="text1"/>
              </w:rPr>
            </w:pPr>
            <w:r w:rsidRPr="00286216">
              <w:rPr>
                <w:color w:val="000000" w:themeColor="text1"/>
              </w:rPr>
              <w:t>абзац перший викласти в такий редакції:</w:t>
            </w:r>
          </w:p>
        </w:tc>
      </w:tr>
      <w:tr w:rsidR="00630147" w:rsidRPr="00286216" w14:paraId="17C61AA1" w14:textId="77777777" w:rsidTr="00091AA5">
        <w:tc>
          <w:tcPr>
            <w:tcW w:w="576" w:type="dxa"/>
          </w:tcPr>
          <w:p w14:paraId="2005A9CD" w14:textId="77777777" w:rsidR="00630147" w:rsidRPr="00286216" w:rsidRDefault="00630147" w:rsidP="00630147">
            <w:pPr>
              <w:pStyle w:val="StyleWisnow"/>
              <w:rPr>
                <w:color w:val="000000" w:themeColor="text1"/>
              </w:rPr>
            </w:pPr>
            <w:bookmarkStart w:id="3326" w:name="n3456" w:colFirst="0" w:colLast="0"/>
            <w:bookmarkEnd w:id="3325"/>
            <w:r w:rsidRPr="00286216">
              <w:rPr>
                <w:color w:val="000000" w:themeColor="text1"/>
              </w:rPr>
              <w:t>3456.</w:t>
            </w:r>
          </w:p>
        </w:tc>
        <w:tc>
          <w:tcPr>
            <w:tcW w:w="4818" w:type="dxa"/>
          </w:tcPr>
          <w:p w14:paraId="144FE961" w14:textId="77777777" w:rsidR="00630147" w:rsidRPr="00286216" w:rsidRDefault="00630147" w:rsidP="00630147">
            <w:pPr>
              <w:pStyle w:val="StyleZakonu"/>
              <w:rPr>
                <w:color w:val="000000" w:themeColor="text1"/>
              </w:rPr>
            </w:pPr>
            <w:r w:rsidRPr="00286216">
              <w:rPr>
                <w:color w:val="000000" w:themeColor="text1"/>
              </w:rPr>
              <w:t>"7. Протягом строку обігу структурованих іпотечних облігацій адміністратор за випуском облігацій зобов’язаний забезпечити проведення суб’єктом аудиторської діяльності, визначеним договором про управління іпотечним покриттям, перевірок іпотечного покриття на предмет його відповідності вимогам цього Закону та проспекту цінних паперів (рішення про емісію цінних паперів) відповідного випуску структурованих іпотечних облігацій.";</w:t>
            </w:r>
          </w:p>
        </w:tc>
        <w:tc>
          <w:tcPr>
            <w:tcW w:w="3686" w:type="dxa"/>
          </w:tcPr>
          <w:p w14:paraId="58B8F8CA" w14:textId="77777777" w:rsidR="00630147" w:rsidRPr="00286216" w:rsidRDefault="00630147" w:rsidP="00630147">
            <w:pPr>
              <w:pStyle w:val="StyleProp"/>
              <w:rPr>
                <w:color w:val="000000" w:themeColor="text1"/>
                <w:szCs w:val="18"/>
              </w:rPr>
            </w:pPr>
          </w:p>
        </w:tc>
        <w:tc>
          <w:tcPr>
            <w:tcW w:w="1987" w:type="dxa"/>
          </w:tcPr>
          <w:p w14:paraId="4B2D5352" w14:textId="77777777" w:rsidR="00630147" w:rsidRPr="00286216" w:rsidRDefault="00630147" w:rsidP="00630147">
            <w:pPr>
              <w:pStyle w:val="StyleWisnow"/>
              <w:rPr>
                <w:color w:val="000000" w:themeColor="text1"/>
              </w:rPr>
            </w:pPr>
          </w:p>
        </w:tc>
        <w:tc>
          <w:tcPr>
            <w:tcW w:w="4818" w:type="dxa"/>
          </w:tcPr>
          <w:p w14:paraId="24E246E2" w14:textId="7FE95A21" w:rsidR="00630147" w:rsidRPr="00286216" w:rsidRDefault="00630147" w:rsidP="00630147">
            <w:pPr>
              <w:pStyle w:val="StyleZakonu"/>
              <w:rPr>
                <w:color w:val="000000" w:themeColor="text1"/>
              </w:rPr>
            </w:pPr>
            <w:r w:rsidRPr="00286216">
              <w:rPr>
                <w:color w:val="000000" w:themeColor="text1"/>
              </w:rPr>
              <w:t>"7. Протягом строку обігу структурованих іпотечних облігацій адміністратор за випуском облігацій зобов’язаний забезпечити проведення суб’єктом аудиторської діяльності, визначеним договором про управління іпотечним покриттям, перевірок іпотечного покриття на предмет його відповідності вимогам цього Закону та проспекту цінних паперів (рішення про емісію цінних паперів) відповідного випуску структурованих іпотечних облігацій";</w:t>
            </w:r>
          </w:p>
        </w:tc>
      </w:tr>
      <w:tr w:rsidR="00630147" w:rsidRPr="00286216" w14:paraId="25F83576" w14:textId="77777777" w:rsidTr="00091AA5">
        <w:tc>
          <w:tcPr>
            <w:tcW w:w="576" w:type="dxa"/>
          </w:tcPr>
          <w:p w14:paraId="25F853C1" w14:textId="77777777" w:rsidR="00630147" w:rsidRPr="00286216" w:rsidRDefault="00630147" w:rsidP="00630147">
            <w:pPr>
              <w:pStyle w:val="StyleWisnow"/>
              <w:rPr>
                <w:color w:val="000000" w:themeColor="text1"/>
              </w:rPr>
            </w:pPr>
            <w:bookmarkStart w:id="3327" w:name="n3457" w:colFirst="0" w:colLast="0"/>
            <w:bookmarkEnd w:id="3326"/>
            <w:r w:rsidRPr="00286216">
              <w:rPr>
                <w:color w:val="000000" w:themeColor="text1"/>
              </w:rPr>
              <w:t>3457.</w:t>
            </w:r>
          </w:p>
        </w:tc>
        <w:tc>
          <w:tcPr>
            <w:tcW w:w="4818" w:type="dxa"/>
          </w:tcPr>
          <w:p w14:paraId="42B1CE9B" w14:textId="77777777" w:rsidR="00630147" w:rsidRPr="00286216" w:rsidRDefault="00630147" w:rsidP="00630147">
            <w:pPr>
              <w:pStyle w:val="StyleZakonu"/>
              <w:rPr>
                <w:color w:val="000000" w:themeColor="text1"/>
              </w:rPr>
            </w:pPr>
            <w:r w:rsidRPr="00286216">
              <w:rPr>
                <w:color w:val="000000" w:themeColor="text1"/>
              </w:rPr>
              <w:t>у абзаці другому слово "управителем" змінити словами "адміністратором за випуском облігацій";</w:t>
            </w:r>
          </w:p>
        </w:tc>
        <w:tc>
          <w:tcPr>
            <w:tcW w:w="3686" w:type="dxa"/>
          </w:tcPr>
          <w:p w14:paraId="3A4FF2B1" w14:textId="77777777" w:rsidR="00630147" w:rsidRPr="00286216" w:rsidRDefault="00630147" w:rsidP="00630147">
            <w:pPr>
              <w:pStyle w:val="StyleProp"/>
              <w:rPr>
                <w:color w:val="000000" w:themeColor="text1"/>
                <w:szCs w:val="18"/>
              </w:rPr>
            </w:pPr>
          </w:p>
        </w:tc>
        <w:tc>
          <w:tcPr>
            <w:tcW w:w="1987" w:type="dxa"/>
          </w:tcPr>
          <w:p w14:paraId="281E36BC" w14:textId="77777777" w:rsidR="00630147" w:rsidRPr="00286216" w:rsidRDefault="00630147" w:rsidP="00630147">
            <w:pPr>
              <w:pStyle w:val="StyleWisnow"/>
              <w:rPr>
                <w:color w:val="000000" w:themeColor="text1"/>
              </w:rPr>
            </w:pPr>
          </w:p>
        </w:tc>
        <w:tc>
          <w:tcPr>
            <w:tcW w:w="4818" w:type="dxa"/>
          </w:tcPr>
          <w:p w14:paraId="2A269A3F" w14:textId="7545E818" w:rsidR="00630147" w:rsidRPr="00286216" w:rsidRDefault="00630147" w:rsidP="00630147">
            <w:pPr>
              <w:pStyle w:val="StyleZakonu"/>
              <w:rPr>
                <w:color w:val="000000" w:themeColor="text1"/>
              </w:rPr>
            </w:pPr>
            <w:r w:rsidRPr="00286216">
              <w:rPr>
                <w:color w:val="000000" w:themeColor="text1"/>
              </w:rPr>
              <w:t>в абзаці другому слово "управителем" змінити словами "адміністратором за випуском облігацій";</w:t>
            </w:r>
          </w:p>
        </w:tc>
      </w:tr>
      <w:tr w:rsidR="00630147" w:rsidRPr="00286216" w14:paraId="29DCD303" w14:textId="77777777" w:rsidTr="00091AA5">
        <w:tc>
          <w:tcPr>
            <w:tcW w:w="576" w:type="dxa"/>
          </w:tcPr>
          <w:p w14:paraId="3E27A9CA" w14:textId="77777777" w:rsidR="00630147" w:rsidRPr="00286216" w:rsidRDefault="00630147" w:rsidP="00630147">
            <w:pPr>
              <w:pStyle w:val="StyleWisnow"/>
              <w:rPr>
                <w:color w:val="000000" w:themeColor="text1"/>
              </w:rPr>
            </w:pPr>
            <w:bookmarkStart w:id="3328" w:name="n3458" w:colFirst="0" w:colLast="0"/>
            <w:bookmarkEnd w:id="3327"/>
            <w:r w:rsidRPr="00286216">
              <w:rPr>
                <w:color w:val="000000" w:themeColor="text1"/>
              </w:rPr>
              <w:t>3458.</w:t>
            </w:r>
          </w:p>
        </w:tc>
        <w:tc>
          <w:tcPr>
            <w:tcW w:w="4818" w:type="dxa"/>
          </w:tcPr>
          <w:p w14:paraId="12A96D86" w14:textId="77777777" w:rsidR="00630147" w:rsidRPr="00286216" w:rsidRDefault="00630147" w:rsidP="00630147">
            <w:pPr>
              <w:pStyle w:val="StyleZakonu"/>
              <w:rPr>
                <w:color w:val="000000" w:themeColor="text1"/>
              </w:rPr>
            </w:pPr>
            <w:r w:rsidRPr="00286216">
              <w:rPr>
                <w:color w:val="000000" w:themeColor="text1"/>
              </w:rPr>
              <w:t>у абзаці четвертому та п’ятому слова "ринок цінних паперів" замінити словами "ринки капіталу або через особу,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08DB5791" w14:textId="29E5C4E5" w:rsidR="00630147" w:rsidRPr="00286216" w:rsidRDefault="00630147" w:rsidP="00630147">
            <w:pPr>
              <w:pStyle w:val="StyleAwt"/>
              <w:rPr>
                <w:color w:val="000000" w:themeColor="text1"/>
                <w:spacing w:val="-5"/>
                <w:szCs w:val="18"/>
              </w:rPr>
            </w:pPr>
            <w:r w:rsidRPr="00286216">
              <w:rPr>
                <w:color w:val="000000" w:themeColor="text1"/>
                <w:spacing w:val="-5"/>
                <w:szCs w:val="18"/>
              </w:rPr>
              <w:t>-</w:t>
            </w:r>
            <w:r w:rsidRPr="00286216">
              <w:rPr>
                <w:color w:val="000000" w:themeColor="text1"/>
                <w:spacing w:val="-5"/>
                <w:szCs w:val="18"/>
              </w:rPr>
              <w:fldChar w:fldCharType="begin"/>
            </w:r>
            <w:r w:rsidRPr="00286216">
              <w:rPr>
                <w:color w:val="000000" w:themeColor="text1"/>
                <w:spacing w:val="-5"/>
                <w:szCs w:val="18"/>
              </w:rPr>
              <w:instrText xml:space="preserve"> SEQ aa </w:instrText>
            </w:r>
            <w:r w:rsidRPr="00286216">
              <w:rPr>
                <w:color w:val="000000" w:themeColor="text1"/>
                <w:spacing w:val="-5"/>
                <w:szCs w:val="18"/>
              </w:rPr>
              <w:fldChar w:fldCharType="separate"/>
            </w:r>
            <w:r w:rsidR="00C46B29">
              <w:rPr>
                <w:noProof/>
                <w:color w:val="000000" w:themeColor="text1"/>
                <w:spacing w:val="-5"/>
                <w:szCs w:val="18"/>
              </w:rPr>
              <w:t>1425</w:t>
            </w:r>
            <w:r w:rsidRPr="00286216">
              <w:rPr>
                <w:color w:val="000000" w:themeColor="text1"/>
                <w:spacing w:val="-5"/>
                <w:szCs w:val="18"/>
              </w:rPr>
              <w:fldChar w:fldCharType="end"/>
            </w:r>
            <w:r w:rsidRPr="00286216">
              <w:rPr>
                <w:color w:val="000000" w:themeColor="text1"/>
                <w:spacing w:val="-5"/>
                <w:szCs w:val="18"/>
              </w:rPr>
              <w:t>-Н.д.Бєлькова О.В. (Реєстр.картка №403)</w:t>
            </w:r>
          </w:p>
          <w:p w14:paraId="61BB1DC1" w14:textId="19EFC5AB" w:rsidR="00630147" w:rsidRPr="00286216" w:rsidRDefault="00630147" w:rsidP="00630147">
            <w:pPr>
              <w:pStyle w:val="StyleProp"/>
              <w:spacing w:line="180" w:lineRule="exact"/>
              <w:rPr>
                <w:color w:val="000000" w:themeColor="text1"/>
                <w:spacing w:val="-2"/>
              </w:rPr>
            </w:pPr>
            <w:r w:rsidRPr="00286216">
              <w:rPr>
                <w:color w:val="000000" w:themeColor="text1"/>
                <w:spacing w:val="-2"/>
              </w:rPr>
              <w:t>Абзац 5 підпункту «б» підпункту 10 пункту 38 розділу 3 викласти в такій редакції:</w:t>
            </w:r>
          </w:p>
          <w:p w14:paraId="62716B46" w14:textId="77777777" w:rsidR="00630147" w:rsidRPr="00286216" w:rsidRDefault="00630147" w:rsidP="00630147">
            <w:pPr>
              <w:pStyle w:val="StyleProp"/>
              <w:spacing w:line="180" w:lineRule="exact"/>
              <w:rPr>
                <w:color w:val="000000" w:themeColor="text1"/>
              </w:rPr>
            </w:pPr>
            <w:r w:rsidRPr="00286216">
              <w:rPr>
                <w:color w:val="000000" w:themeColor="text1"/>
              </w:rPr>
              <w:t>"у абзаці четвертому та п’ятому слова «загальнодоступній інформаційній базі даних Національної комісії з цінних паперів та фондового ринку про ринок цінних паперів»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342D476E" w14:textId="77777777" w:rsidR="00630147" w:rsidRPr="00286216" w:rsidRDefault="00630147" w:rsidP="00630147">
            <w:pPr>
              <w:pStyle w:val="StyleWisnow"/>
              <w:rPr>
                <w:color w:val="000000" w:themeColor="text1"/>
              </w:rPr>
            </w:pPr>
            <w:r w:rsidRPr="00286216">
              <w:rPr>
                <w:color w:val="000000" w:themeColor="text1"/>
              </w:rPr>
              <w:t>Враховано</w:t>
            </w:r>
          </w:p>
        </w:tc>
        <w:tc>
          <w:tcPr>
            <w:tcW w:w="4818" w:type="dxa"/>
          </w:tcPr>
          <w:p w14:paraId="481A091F" w14:textId="2F402C11" w:rsidR="00630147" w:rsidRPr="00286216" w:rsidRDefault="00630147" w:rsidP="00630147">
            <w:pPr>
              <w:pStyle w:val="StyleZakonu"/>
              <w:rPr>
                <w:color w:val="000000" w:themeColor="text1"/>
              </w:rPr>
            </w:pPr>
            <w:r w:rsidRPr="00286216">
              <w:rPr>
                <w:color w:val="000000" w:themeColor="text1"/>
              </w:rPr>
              <w:t>в абзацах четвертому та п’ятому слова «загальнодоступній інформаційній базі даних Національної комісії з цінних паперів та фондового ринку про ринок цінних паперів»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r>
      <w:bookmarkEnd w:id="3328"/>
      <w:tr w:rsidR="00630147" w:rsidRPr="00286216" w14:paraId="79BFB53C" w14:textId="77777777" w:rsidTr="00091AA5">
        <w:tc>
          <w:tcPr>
            <w:tcW w:w="576" w:type="dxa"/>
          </w:tcPr>
          <w:p w14:paraId="1797F162" w14:textId="77777777" w:rsidR="00630147" w:rsidRPr="00286216" w:rsidRDefault="00630147" w:rsidP="00630147">
            <w:pPr>
              <w:pStyle w:val="StyleWisnow"/>
              <w:rPr>
                <w:color w:val="000000" w:themeColor="text1"/>
              </w:rPr>
            </w:pPr>
          </w:p>
        </w:tc>
        <w:tc>
          <w:tcPr>
            <w:tcW w:w="4818" w:type="dxa"/>
          </w:tcPr>
          <w:p w14:paraId="3B140788" w14:textId="77777777" w:rsidR="00630147" w:rsidRPr="00286216" w:rsidRDefault="00630147" w:rsidP="00630147">
            <w:pPr>
              <w:pStyle w:val="StyleZakonu"/>
              <w:rPr>
                <w:color w:val="000000" w:themeColor="text1"/>
              </w:rPr>
            </w:pPr>
          </w:p>
        </w:tc>
        <w:tc>
          <w:tcPr>
            <w:tcW w:w="3686" w:type="dxa"/>
          </w:tcPr>
          <w:p w14:paraId="0A71B876" w14:textId="27639A11"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1426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7BE485B" w14:textId="77777777" w:rsidR="00630147" w:rsidRPr="00286216" w:rsidRDefault="00630147" w:rsidP="00630147">
            <w:pPr>
              <w:pStyle w:val="StyleProp"/>
              <w:spacing w:line="180" w:lineRule="exact"/>
              <w:rPr>
                <w:color w:val="000000" w:themeColor="text1"/>
                <w:szCs w:val="18"/>
              </w:rPr>
            </w:pPr>
            <w:r w:rsidRPr="00286216">
              <w:rPr>
                <w:color w:val="000000" w:themeColor="text1"/>
                <w:szCs w:val="18"/>
              </w:rPr>
              <w:t>У абзаці п’ятому підпункту «б» підпункту 10 пункту 38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69EA9B74" w14:textId="77777777" w:rsidR="00630147" w:rsidRPr="00286216" w:rsidRDefault="00630147" w:rsidP="00630147">
            <w:pPr>
              <w:pStyle w:val="StyleWisnow"/>
              <w:rPr>
                <w:color w:val="000000" w:themeColor="text1"/>
              </w:rPr>
            </w:pPr>
            <w:r w:rsidRPr="00286216">
              <w:rPr>
                <w:color w:val="000000" w:themeColor="text1"/>
              </w:rPr>
              <w:t>Враховано редакційно</w:t>
            </w:r>
          </w:p>
        </w:tc>
        <w:tc>
          <w:tcPr>
            <w:tcW w:w="4818" w:type="dxa"/>
          </w:tcPr>
          <w:p w14:paraId="685AAD85" w14:textId="77777777" w:rsidR="00630147" w:rsidRPr="00286216" w:rsidRDefault="00630147" w:rsidP="00630147">
            <w:pPr>
              <w:pStyle w:val="StyleZakonu"/>
              <w:rPr>
                <w:color w:val="000000" w:themeColor="text1"/>
              </w:rPr>
            </w:pPr>
          </w:p>
        </w:tc>
      </w:tr>
      <w:tr w:rsidR="00630147" w:rsidRPr="00286216" w14:paraId="433D1D49" w14:textId="77777777" w:rsidTr="00091AA5">
        <w:tc>
          <w:tcPr>
            <w:tcW w:w="576" w:type="dxa"/>
          </w:tcPr>
          <w:p w14:paraId="4A98AA8B" w14:textId="77777777" w:rsidR="00630147" w:rsidRPr="00286216" w:rsidRDefault="00630147" w:rsidP="00630147">
            <w:pPr>
              <w:pStyle w:val="StyleWisnow"/>
              <w:rPr>
                <w:color w:val="000000" w:themeColor="text1"/>
              </w:rPr>
            </w:pPr>
            <w:bookmarkStart w:id="3329" w:name="n3459" w:colFirst="0" w:colLast="0"/>
            <w:r w:rsidRPr="00286216">
              <w:rPr>
                <w:color w:val="000000" w:themeColor="text1"/>
              </w:rPr>
              <w:t>3459.</w:t>
            </w:r>
          </w:p>
        </w:tc>
        <w:tc>
          <w:tcPr>
            <w:tcW w:w="4818" w:type="dxa"/>
          </w:tcPr>
          <w:p w14:paraId="5DD37820" w14:textId="77777777" w:rsidR="00630147" w:rsidRPr="00286216" w:rsidRDefault="00630147" w:rsidP="00630147">
            <w:pPr>
              <w:pStyle w:val="StyleZakonu"/>
              <w:rPr>
                <w:color w:val="000000" w:themeColor="text1"/>
              </w:rPr>
            </w:pPr>
            <w:r w:rsidRPr="00286216">
              <w:rPr>
                <w:color w:val="000000" w:themeColor="text1"/>
              </w:rPr>
              <w:t>11) частину четверту статті 20 викласти в такий редакції:</w:t>
            </w:r>
          </w:p>
        </w:tc>
        <w:tc>
          <w:tcPr>
            <w:tcW w:w="3686" w:type="dxa"/>
          </w:tcPr>
          <w:p w14:paraId="14B45778" w14:textId="77777777" w:rsidR="00630147" w:rsidRPr="00286216" w:rsidRDefault="00630147" w:rsidP="00630147">
            <w:pPr>
              <w:pStyle w:val="StyleProp"/>
              <w:rPr>
                <w:color w:val="000000" w:themeColor="text1"/>
                <w:szCs w:val="18"/>
              </w:rPr>
            </w:pPr>
          </w:p>
        </w:tc>
        <w:tc>
          <w:tcPr>
            <w:tcW w:w="1987" w:type="dxa"/>
          </w:tcPr>
          <w:p w14:paraId="658C4306" w14:textId="77777777" w:rsidR="00630147" w:rsidRPr="00286216" w:rsidRDefault="00630147" w:rsidP="00630147">
            <w:pPr>
              <w:pStyle w:val="StyleWisnow"/>
              <w:rPr>
                <w:color w:val="000000" w:themeColor="text1"/>
              </w:rPr>
            </w:pPr>
          </w:p>
        </w:tc>
        <w:tc>
          <w:tcPr>
            <w:tcW w:w="4818" w:type="dxa"/>
          </w:tcPr>
          <w:p w14:paraId="50F4325E" w14:textId="03804978" w:rsidR="00630147" w:rsidRPr="00286216" w:rsidRDefault="00630147" w:rsidP="00630147">
            <w:pPr>
              <w:pStyle w:val="StyleZakonu"/>
              <w:rPr>
                <w:color w:val="000000" w:themeColor="text1"/>
              </w:rPr>
            </w:pPr>
            <w:r w:rsidRPr="00286216">
              <w:rPr>
                <w:color w:val="000000" w:themeColor="text1"/>
              </w:rPr>
              <w:t>11) частину четверту статті 20 викласти в такий редакції:</w:t>
            </w:r>
          </w:p>
        </w:tc>
      </w:tr>
      <w:tr w:rsidR="00630147" w:rsidRPr="00286216" w14:paraId="215213A5" w14:textId="77777777" w:rsidTr="00091AA5">
        <w:tc>
          <w:tcPr>
            <w:tcW w:w="576" w:type="dxa"/>
          </w:tcPr>
          <w:p w14:paraId="1A994AE5" w14:textId="77777777" w:rsidR="00630147" w:rsidRPr="00286216" w:rsidRDefault="00630147" w:rsidP="00630147">
            <w:pPr>
              <w:pStyle w:val="StyleWisnow"/>
              <w:rPr>
                <w:color w:val="000000" w:themeColor="text1"/>
              </w:rPr>
            </w:pPr>
            <w:bookmarkStart w:id="3330" w:name="n3460" w:colFirst="0" w:colLast="0"/>
            <w:bookmarkEnd w:id="3329"/>
            <w:r w:rsidRPr="00286216">
              <w:rPr>
                <w:color w:val="000000" w:themeColor="text1"/>
              </w:rPr>
              <w:t>3460.</w:t>
            </w:r>
          </w:p>
        </w:tc>
        <w:tc>
          <w:tcPr>
            <w:tcW w:w="4818" w:type="dxa"/>
          </w:tcPr>
          <w:p w14:paraId="05DAF0B6" w14:textId="77777777" w:rsidR="00630147" w:rsidRPr="00286216" w:rsidRDefault="00630147" w:rsidP="00630147">
            <w:pPr>
              <w:pStyle w:val="StyleZakonu"/>
              <w:rPr>
                <w:color w:val="000000" w:themeColor="text1"/>
              </w:rPr>
            </w:pPr>
            <w:r w:rsidRPr="00286216">
              <w:rPr>
                <w:color w:val="000000" w:themeColor="text1"/>
              </w:rPr>
              <w:t xml:space="preserve">"4. Власники структурованих іпотечних облігацій набувають право вимагати дострокового виконання зобов’язань за цими облігаціями та звернення </w:t>
            </w:r>
            <w:r w:rsidRPr="00286216">
              <w:rPr>
                <w:color w:val="000000" w:themeColor="text1"/>
              </w:rPr>
              <w:lastRenderedPageBreak/>
              <w:t>стягнення на іпотечне покриття у разі дефолту в порядку, передбаченому частиною другою статті 17 цього Закону.";</w:t>
            </w:r>
          </w:p>
        </w:tc>
        <w:tc>
          <w:tcPr>
            <w:tcW w:w="3686" w:type="dxa"/>
          </w:tcPr>
          <w:p w14:paraId="3B512E77" w14:textId="12D23899" w:rsidR="00630147" w:rsidRPr="00286216" w:rsidRDefault="00630147" w:rsidP="00630147">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1427</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3470557C" w14:textId="77777777" w:rsidR="00630147" w:rsidRPr="00286216" w:rsidRDefault="00630147" w:rsidP="008C392C">
            <w:pPr>
              <w:pStyle w:val="StyleProp"/>
              <w:spacing w:line="180" w:lineRule="exact"/>
              <w:rPr>
                <w:color w:val="000000" w:themeColor="text1"/>
              </w:rPr>
            </w:pPr>
            <w:r w:rsidRPr="00286216">
              <w:rPr>
                <w:color w:val="000000" w:themeColor="text1"/>
              </w:rPr>
              <w:t>Абзац другий підпункту 11 пункту 38 розділу 3 викласти в такій редакції:</w:t>
            </w:r>
          </w:p>
          <w:p w14:paraId="548C501C" w14:textId="77777777" w:rsidR="00630147" w:rsidRPr="00286216" w:rsidRDefault="00630147" w:rsidP="008C392C">
            <w:pPr>
              <w:pStyle w:val="StyleProp"/>
              <w:spacing w:line="180" w:lineRule="exact"/>
              <w:rPr>
                <w:color w:val="000000" w:themeColor="text1"/>
                <w:szCs w:val="18"/>
              </w:rPr>
            </w:pPr>
            <w:r w:rsidRPr="00286216">
              <w:rPr>
                <w:color w:val="000000" w:themeColor="text1"/>
              </w:rPr>
              <w:t xml:space="preserve">«4. У разі настання дефолту власники </w:t>
            </w:r>
            <w:r w:rsidRPr="00286216">
              <w:rPr>
                <w:color w:val="000000" w:themeColor="text1"/>
              </w:rPr>
              <w:lastRenderedPageBreak/>
              <w:t>структурованих іпотечних облігацій набувають право вимагати дострокового виконання зобов’язань за цими облігаціями та звернення стягнення на іпотечне покриття в порядку, передбаченому частиною другою статті 17 цього Закону».</w:t>
            </w:r>
          </w:p>
        </w:tc>
        <w:tc>
          <w:tcPr>
            <w:tcW w:w="1987" w:type="dxa"/>
          </w:tcPr>
          <w:p w14:paraId="25EA28C0" w14:textId="77777777" w:rsidR="00630147" w:rsidRPr="00286216" w:rsidRDefault="00630147" w:rsidP="00630147">
            <w:pPr>
              <w:pStyle w:val="StyleWisnow"/>
              <w:rPr>
                <w:color w:val="000000" w:themeColor="text1"/>
              </w:rPr>
            </w:pPr>
            <w:r w:rsidRPr="00286216">
              <w:rPr>
                <w:color w:val="000000" w:themeColor="text1"/>
              </w:rPr>
              <w:lastRenderedPageBreak/>
              <w:t>Враховано</w:t>
            </w:r>
          </w:p>
        </w:tc>
        <w:tc>
          <w:tcPr>
            <w:tcW w:w="4818" w:type="dxa"/>
          </w:tcPr>
          <w:p w14:paraId="232A1AC7" w14:textId="70CD3CB3" w:rsidR="00630147" w:rsidRPr="00286216" w:rsidRDefault="00630147" w:rsidP="00630147">
            <w:pPr>
              <w:pStyle w:val="StyleZakonu"/>
              <w:rPr>
                <w:color w:val="000000" w:themeColor="text1"/>
              </w:rPr>
            </w:pPr>
            <w:r w:rsidRPr="00286216">
              <w:rPr>
                <w:color w:val="000000" w:themeColor="text1"/>
              </w:rPr>
              <w:t xml:space="preserve">«4. У разі настання дефолту власники структурованих іпотечних облігацій набувають право вимагати дострокового виконання зобов’язань за </w:t>
            </w:r>
            <w:r w:rsidRPr="00286216">
              <w:rPr>
                <w:color w:val="000000" w:themeColor="text1"/>
              </w:rPr>
              <w:lastRenderedPageBreak/>
              <w:t>цими облігаціями та звернення стягнення на іпотечне покриття в порядку, передбаченому частиною другою статті 17 цього Закону»;</w:t>
            </w:r>
          </w:p>
        </w:tc>
      </w:tr>
      <w:tr w:rsidR="00630147" w:rsidRPr="00286216" w14:paraId="636692F5" w14:textId="77777777" w:rsidTr="00091AA5">
        <w:tc>
          <w:tcPr>
            <w:tcW w:w="576" w:type="dxa"/>
          </w:tcPr>
          <w:p w14:paraId="64C86221" w14:textId="77777777" w:rsidR="00630147" w:rsidRPr="00286216" w:rsidRDefault="00630147" w:rsidP="00630147">
            <w:pPr>
              <w:pStyle w:val="StyleWisnow"/>
              <w:rPr>
                <w:color w:val="000000" w:themeColor="text1"/>
              </w:rPr>
            </w:pPr>
            <w:bookmarkStart w:id="3331" w:name="n3461" w:colFirst="0" w:colLast="0"/>
            <w:bookmarkEnd w:id="3330"/>
            <w:r w:rsidRPr="00286216">
              <w:rPr>
                <w:color w:val="000000" w:themeColor="text1"/>
              </w:rPr>
              <w:lastRenderedPageBreak/>
              <w:t>3461.</w:t>
            </w:r>
          </w:p>
        </w:tc>
        <w:tc>
          <w:tcPr>
            <w:tcW w:w="4818" w:type="dxa"/>
          </w:tcPr>
          <w:p w14:paraId="766966E0" w14:textId="77777777" w:rsidR="00630147" w:rsidRPr="00286216" w:rsidRDefault="00630147" w:rsidP="00630147">
            <w:pPr>
              <w:pStyle w:val="StyleZakonu"/>
              <w:rPr>
                <w:color w:val="000000" w:themeColor="text1"/>
              </w:rPr>
            </w:pPr>
            <w:r w:rsidRPr="00286216">
              <w:rPr>
                <w:color w:val="000000" w:themeColor="text1"/>
              </w:rPr>
              <w:t>12) у назві та частині першій статті 21 слова "Управитель іпотечного покриття" замінити словами "Адміністратор за випуском облігацій";</w:t>
            </w:r>
          </w:p>
        </w:tc>
        <w:tc>
          <w:tcPr>
            <w:tcW w:w="3686" w:type="dxa"/>
          </w:tcPr>
          <w:p w14:paraId="449C85E0" w14:textId="02441206" w:rsidR="00630147" w:rsidRPr="00286216" w:rsidRDefault="00630147" w:rsidP="00630147">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1428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3C8CECC" w14:textId="795E3729" w:rsidR="00630147" w:rsidRPr="00286216" w:rsidRDefault="00630147" w:rsidP="00630147">
            <w:pPr>
              <w:pStyle w:val="StyleProp"/>
              <w:rPr>
                <w:color w:val="000000" w:themeColor="text1"/>
                <w:spacing w:val="-4"/>
                <w:szCs w:val="18"/>
              </w:rPr>
            </w:pPr>
            <w:r w:rsidRPr="00286216">
              <w:rPr>
                <w:color w:val="000000" w:themeColor="text1"/>
                <w:spacing w:val="-4"/>
                <w:szCs w:val="18"/>
              </w:rPr>
              <w:t>Підпункт 12 пункту 38 Розділу ІІІ доповнити словами «та слова «банк або» виключити».</w:t>
            </w:r>
          </w:p>
        </w:tc>
        <w:tc>
          <w:tcPr>
            <w:tcW w:w="1987" w:type="dxa"/>
          </w:tcPr>
          <w:p w14:paraId="14A7E61C" w14:textId="77777777" w:rsidR="00630147" w:rsidRPr="00286216" w:rsidRDefault="00630147" w:rsidP="00630147">
            <w:pPr>
              <w:pStyle w:val="StyleWisnow"/>
              <w:rPr>
                <w:color w:val="000000" w:themeColor="text1"/>
              </w:rPr>
            </w:pPr>
            <w:r w:rsidRPr="00286216">
              <w:rPr>
                <w:color w:val="000000" w:themeColor="text1"/>
              </w:rPr>
              <w:t>Відхилено</w:t>
            </w:r>
          </w:p>
          <w:p w14:paraId="09B23B95" w14:textId="058AF99D" w:rsidR="00630147" w:rsidRPr="00286216" w:rsidRDefault="00630147" w:rsidP="00630147">
            <w:pPr>
              <w:pStyle w:val="StyleWisnow"/>
              <w:spacing w:line="180" w:lineRule="exact"/>
              <w:rPr>
                <w:color w:val="000000" w:themeColor="text1"/>
              </w:rPr>
            </w:pPr>
            <w:r w:rsidRPr="00286216">
              <w:rPr>
                <w:color w:val="000000" w:themeColor="text1"/>
              </w:rPr>
              <w:t xml:space="preserve">доцільна можливість провадження такої діяльності </w:t>
            </w:r>
          </w:p>
        </w:tc>
        <w:tc>
          <w:tcPr>
            <w:tcW w:w="4818" w:type="dxa"/>
          </w:tcPr>
          <w:p w14:paraId="15A483F2" w14:textId="390811F2" w:rsidR="00630147" w:rsidRPr="00286216" w:rsidRDefault="00630147" w:rsidP="00630147">
            <w:pPr>
              <w:pStyle w:val="StyleZakonu"/>
              <w:rPr>
                <w:color w:val="000000" w:themeColor="text1"/>
              </w:rPr>
            </w:pPr>
            <w:r w:rsidRPr="00286216">
              <w:rPr>
                <w:color w:val="000000" w:themeColor="text1"/>
              </w:rPr>
              <w:t>12) у назві та частині першій статті 21 слова "Управитель іпотечного покриття" замінити словами "Адміністратор за випуском облігацій";</w:t>
            </w:r>
          </w:p>
        </w:tc>
      </w:tr>
      <w:tr w:rsidR="00630147" w:rsidRPr="00286216" w14:paraId="390699EA" w14:textId="77777777" w:rsidTr="00091AA5">
        <w:tc>
          <w:tcPr>
            <w:tcW w:w="576" w:type="dxa"/>
          </w:tcPr>
          <w:p w14:paraId="7120BC1C" w14:textId="77777777" w:rsidR="00630147" w:rsidRPr="00286216" w:rsidRDefault="00630147" w:rsidP="00630147">
            <w:pPr>
              <w:pStyle w:val="StyleWisnow"/>
              <w:rPr>
                <w:color w:val="000000" w:themeColor="text1"/>
              </w:rPr>
            </w:pPr>
            <w:bookmarkStart w:id="3332" w:name="n3462" w:colFirst="0" w:colLast="0"/>
            <w:bookmarkEnd w:id="3331"/>
            <w:r w:rsidRPr="00286216">
              <w:rPr>
                <w:color w:val="000000" w:themeColor="text1"/>
              </w:rPr>
              <w:t>3462.</w:t>
            </w:r>
          </w:p>
        </w:tc>
        <w:tc>
          <w:tcPr>
            <w:tcW w:w="4818" w:type="dxa"/>
          </w:tcPr>
          <w:p w14:paraId="0FDD68B9" w14:textId="77777777" w:rsidR="00630147" w:rsidRPr="00286216" w:rsidRDefault="00630147" w:rsidP="00630147">
            <w:pPr>
              <w:pStyle w:val="StyleZakonu"/>
              <w:rPr>
                <w:color w:val="000000" w:themeColor="text1"/>
              </w:rPr>
            </w:pPr>
            <w:r w:rsidRPr="00286216">
              <w:rPr>
                <w:color w:val="000000" w:themeColor="text1"/>
              </w:rPr>
              <w:t>13) у статті 22:</w:t>
            </w:r>
          </w:p>
        </w:tc>
        <w:tc>
          <w:tcPr>
            <w:tcW w:w="3686" w:type="dxa"/>
          </w:tcPr>
          <w:p w14:paraId="3C074013" w14:textId="77777777" w:rsidR="00630147" w:rsidRPr="00286216" w:rsidRDefault="00630147" w:rsidP="00630147">
            <w:pPr>
              <w:pStyle w:val="StyleProp"/>
              <w:rPr>
                <w:color w:val="000000" w:themeColor="text1"/>
                <w:szCs w:val="18"/>
              </w:rPr>
            </w:pPr>
          </w:p>
        </w:tc>
        <w:tc>
          <w:tcPr>
            <w:tcW w:w="1987" w:type="dxa"/>
          </w:tcPr>
          <w:p w14:paraId="7D31DB96" w14:textId="77777777" w:rsidR="00630147" w:rsidRPr="00286216" w:rsidRDefault="00630147" w:rsidP="00630147">
            <w:pPr>
              <w:pStyle w:val="StyleWisnow"/>
              <w:rPr>
                <w:color w:val="000000" w:themeColor="text1"/>
              </w:rPr>
            </w:pPr>
          </w:p>
        </w:tc>
        <w:tc>
          <w:tcPr>
            <w:tcW w:w="4818" w:type="dxa"/>
          </w:tcPr>
          <w:p w14:paraId="7CC1FCA7" w14:textId="2E885E70" w:rsidR="00630147" w:rsidRPr="00286216" w:rsidRDefault="00630147" w:rsidP="00630147">
            <w:pPr>
              <w:pStyle w:val="StyleZakonu"/>
              <w:rPr>
                <w:color w:val="000000" w:themeColor="text1"/>
              </w:rPr>
            </w:pPr>
            <w:r w:rsidRPr="00286216">
              <w:rPr>
                <w:color w:val="000000" w:themeColor="text1"/>
              </w:rPr>
              <w:t>13) у статті 22:</w:t>
            </w:r>
          </w:p>
        </w:tc>
      </w:tr>
      <w:tr w:rsidR="00630147" w:rsidRPr="00286216" w14:paraId="10AC6187" w14:textId="77777777" w:rsidTr="00091AA5">
        <w:tc>
          <w:tcPr>
            <w:tcW w:w="576" w:type="dxa"/>
          </w:tcPr>
          <w:p w14:paraId="4D4B7A9A" w14:textId="77777777" w:rsidR="00630147" w:rsidRPr="00286216" w:rsidRDefault="00630147" w:rsidP="00630147">
            <w:pPr>
              <w:pStyle w:val="StyleWisnow"/>
              <w:rPr>
                <w:color w:val="000000" w:themeColor="text1"/>
              </w:rPr>
            </w:pPr>
            <w:bookmarkStart w:id="3333" w:name="n3463" w:colFirst="0" w:colLast="0"/>
            <w:bookmarkEnd w:id="3332"/>
            <w:r w:rsidRPr="00286216">
              <w:rPr>
                <w:color w:val="000000" w:themeColor="text1"/>
              </w:rPr>
              <w:t>3463.</w:t>
            </w:r>
          </w:p>
        </w:tc>
        <w:tc>
          <w:tcPr>
            <w:tcW w:w="4818" w:type="dxa"/>
          </w:tcPr>
          <w:p w14:paraId="63AB428E" w14:textId="77777777" w:rsidR="00630147" w:rsidRPr="00286216" w:rsidRDefault="00630147" w:rsidP="00630147">
            <w:pPr>
              <w:pStyle w:val="StyleZakonu"/>
              <w:rPr>
                <w:color w:val="000000" w:themeColor="text1"/>
              </w:rPr>
            </w:pPr>
            <w:r w:rsidRPr="00286216">
              <w:rPr>
                <w:color w:val="000000" w:themeColor="text1"/>
              </w:rPr>
              <w:t>а) у частині першій:</w:t>
            </w:r>
          </w:p>
        </w:tc>
        <w:tc>
          <w:tcPr>
            <w:tcW w:w="3686" w:type="dxa"/>
          </w:tcPr>
          <w:p w14:paraId="3C252EE8" w14:textId="77777777" w:rsidR="00630147" w:rsidRPr="00286216" w:rsidRDefault="00630147" w:rsidP="00630147">
            <w:pPr>
              <w:pStyle w:val="StyleProp"/>
              <w:rPr>
                <w:color w:val="000000" w:themeColor="text1"/>
                <w:szCs w:val="18"/>
              </w:rPr>
            </w:pPr>
          </w:p>
        </w:tc>
        <w:tc>
          <w:tcPr>
            <w:tcW w:w="1987" w:type="dxa"/>
          </w:tcPr>
          <w:p w14:paraId="798554A4" w14:textId="77777777" w:rsidR="00630147" w:rsidRPr="00286216" w:rsidRDefault="00630147" w:rsidP="00630147">
            <w:pPr>
              <w:pStyle w:val="StyleWisnow"/>
              <w:rPr>
                <w:color w:val="000000" w:themeColor="text1"/>
              </w:rPr>
            </w:pPr>
          </w:p>
        </w:tc>
        <w:tc>
          <w:tcPr>
            <w:tcW w:w="4818" w:type="dxa"/>
          </w:tcPr>
          <w:p w14:paraId="0B0D1A08" w14:textId="303B3951" w:rsidR="00630147" w:rsidRPr="00286216" w:rsidRDefault="00630147" w:rsidP="00630147">
            <w:pPr>
              <w:pStyle w:val="StyleZakonu"/>
              <w:rPr>
                <w:color w:val="000000" w:themeColor="text1"/>
              </w:rPr>
            </w:pPr>
            <w:r w:rsidRPr="00286216">
              <w:rPr>
                <w:color w:val="000000" w:themeColor="text1"/>
              </w:rPr>
              <w:t>а) у частині першій:</w:t>
            </w:r>
          </w:p>
        </w:tc>
      </w:tr>
      <w:tr w:rsidR="00630147" w:rsidRPr="00286216" w14:paraId="7F44DCA8" w14:textId="77777777" w:rsidTr="00091AA5">
        <w:tc>
          <w:tcPr>
            <w:tcW w:w="576" w:type="dxa"/>
          </w:tcPr>
          <w:p w14:paraId="4026297F" w14:textId="77777777" w:rsidR="00630147" w:rsidRPr="00286216" w:rsidRDefault="00630147" w:rsidP="00630147">
            <w:pPr>
              <w:pStyle w:val="StyleWisnow"/>
              <w:rPr>
                <w:color w:val="000000" w:themeColor="text1"/>
              </w:rPr>
            </w:pPr>
            <w:bookmarkStart w:id="3334" w:name="n3464" w:colFirst="0" w:colLast="0"/>
            <w:bookmarkEnd w:id="3333"/>
            <w:r w:rsidRPr="00286216">
              <w:rPr>
                <w:color w:val="000000" w:themeColor="text1"/>
              </w:rPr>
              <w:t>3464.</w:t>
            </w:r>
          </w:p>
        </w:tc>
        <w:tc>
          <w:tcPr>
            <w:tcW w:w="4818" w:type="dxa"/>
          </w:tcPr>
          <w:p w14:paraId="1312C27C" w14:textId="77777777" w:rsidR="00630147" w:rsidRPr="00286216" w:rsidRDefault="00630147" w:rsidP="00630147">
            <w:pPr>
              <w:pStyle w:val="StyleZakonu"/>
              <w:rPr>
                <w:color w:val="000000" w:themeColor="text1"/>
              </w:rPr>
            </w:pPr>
            <w:r w:rsidRPr="00286216">
              <w:rPr>
                <w:color w:val="000000" w:themeColor="text1"/>
              </w:rPr>
              <w:t>слова "Управитель іпотечного покриття" замінити словами "Адміністратор за випуском облігацій";</w:t>
            </w:r>
          </w:p>
        </w:tc>
        <w:tc>
          <w:tcPr>
            <w:tcW w:w="3686" w:type="dxa"/>
          </w:tcPr>
          <w:p w14:paraId="51BBBE40" w14:textId="77777777" w:rsidR="00630147" w:rsidRPr="00286216" w:rsidRDefault="00630147" w:rsidP="00630147">
            <w:pPr>
              <w:pStyle w:val="StyleProp"/>
              <w:rPr>
                <w:color w:val="000000" w:themeColor="text1"/>
                <w:szCs w:val="18"/>
              </w:rPr>
            </w:pPr>
          </w:p>
        </w:tc>
        <w:tc>
          <w:tcPr>
            <w:tcW w:w="1987" w:type="dxa"/>
          </w:tcPr>
          <w:p w14:paraId="2A7E87BA" w14:textId="77777777" w:rsidR="00630147" w:rsidRPr="00286216" w:rsidRDefault="00630147" w:rsidP="00630147">
            <w:pPr>
              <w:pStyle w:val="StyleWisnow"/>
              <w:rPr>
                <w:color w:val="000000" w:themeColor="text1"/>
              </w:rPr>
            </w:pPr>
          </w:p>
        </w:tc>
        <w:tc>
          <w:tcPr>
            <w:tcW w:w="4818" w:type="dxa"/>
          </w:tcPr>
          <w:p w14:paraId="5329A251" w14:textId="43C9F4DB" w:rsidR="00630147" w:rsidRPr="00286216" w:rsidRDefault="00630147" w:rsidP="00630147">
            <w:pPr>
              <w:pStyle w:val="StyleZakonu"/>
              <w:rPr>
                <w:color w:val="000000" w:themeColor="text1"/>
              </w:rPr>
            </w:pPr>
            <w:r w:rsidRPr="00286216">
              <w:rPr>
                <w:color w:val="000000" w:themeColor="text1"/>
              </w:rPr>
              <w:t>слова "Управитель іпотечного покриття" замінити словами "Адміністратор за випуском облігацій";</w:t>
            </w:r>
          </w:p>
        </w:tc>
      </w:tr>
      <w:tr w:rsidR="00630147" w:rsidRPr="00286216" w14:paraId="39DF07BF" w14:textId="77777777" w:rsidTr="00091AA5">
        <w:tc>
          <w:tcPr>
            <w:tcW w:w="576" w:type="dxa"/>
          </w:tcPr>
          <w:p w14:paraId="0FD21411" w14:textId="77777777" w:rsidR="00630147" w:rsidRPr="00286216" w:rsidRDefault="00630147" w:rsidP="00630147">
            <w:pPr>
              <w:pStyle w:val="StyleWisnow"/>
              <w:rPr>
                <w:color w:val="000000" w:themeColor="text1"/>
              </w:rPr>
            </w:pPr>
            <w:bookmarkStart w:id="3335" w:name="n3465" w:colFirst="0" w:colLast="0"/>
            <w:bookmarkEnd w:id="3334"/>
            <w:r w:rsidRPr="00286216">
              <w:rPr>
                <w:color w:val="000000" w:themeColor="text1"/>
              </w:rPr>
              <w:t>3465.</w:t>
            </w:r>
          </w:p>
        </w:tc>
        <w:tc>
          <w:tcPr>
            <w:tcW w:w="4818" w:type="dxa"/>
          </w:tcPr>
          <w:p w14:paraId="09588D8C" w14:textId="77777777" w:rsidR="00630147" w:rsidRPr="00286216" w:rsidRDefault="00630147" w:rsidP="00630147">
            <w:pPr>
              <w:pStyle w:val="StyleZakonu"/>
              <w:rPr>
                <w:color w:val="000000" w:themeColor="text1"/>
              </w:rPr>
            </w:pPr>
            <w:r w:rsidRPr="00286216">
              <w:rPr>
                <w:color w:val="000000" w:themeColor="text1"/>
              </w:rPr>
              <w:t>пункт восьмий викласти в такий редакції:</w:t>
            </w:r>
          </w:p>
        </w:tc>
        <w:tc>
          <w:tcPr>
            <w:tcW w:w="3686" w:type="dxa"/>
          </w:tcPr>
          <w:p w14:paraId="253ADE45" w14:textId="77777777" w:rsidR="00630147" w:rsidRPr="00286216" w:rsidRDefault="00630147" w:rsidP="00630147">
            <w:pPr>
              <w:pStyle w:val="StyleProp"/>
              <w:rPr>
                <w:color w:val="000000" w:themeColor="text1"/>
                <w:szCs w:val="18"/>
              </w:rPr>
            </w:pPr>
          </w:p>
        </w:tc>
        <w:tc>
          <w:tcPr>
            <w:tcW w:w="1987" w:type="dxa"/>
          </w:tcPr>
          <w:p w14:paraId="5E6DCF90" w14:textId="77777777" w:rsidR="00630147" w:rsidRPr="00286216" w:rsidRDefault="00630147" w:rsidP="00630147">
            <w:pPr>
              <w:pStyle w:val="StyleWisnow"/>
              <w:rPr>
                <w:color w:val="000000" w:themeColor="text1"/>
              </w:rPr>
            </w:pPr>
          </w:p>
        </w:tc>
        <w:tc>
          <w:tcPr>
            <w:tcW w:w="4818" w:type="dxa"/>
          </w:tcPr>
          <w:p w14:paraId="35C0A0A1" w14:textId="1E90A756" w:rsidR="00630147" w:rsidRPr="00286216" w:rsidRDefault="00630147" w:rsidP="00630147">
            <w:pPr>
              <w:pStyle w:val="StyleZakonu"/>
              <w:rPr>
                <w:color w:val="000000" w:themeColor="text1"/>
              </w:rPr>
            </w:pPr>
            <w:r w:rsidRPr="00286216">
              <w:rPr>
                <w:color w:val="000000" w:themeColor="text1"/>
              </w:rPr>
              <w:t>пункт 8 викласти в такий редакції:</w:t>
            </w:r>
          </w:p>
        </w:tc>
      </w:tr>
      <w:tr w:rsidR="00630147" w:rsidRPr="00286216" w14:paraId="798AB424" w14:textId="77777777" w:rsidTr="00091AA5">
        <w:tc>
          <w:tcPr>
            <w:tcW w:w="576" w:type="dxa"/>
          </w:tcPr>
          <w:p w14:paraId="3C38FA43" w14:textId="77777777" w:rsidR="00630147" w:rsidRPr="00286216" w:rsidRDefault="00630147" w:rsidP="00630147">
            <w:pPr>
              <w:pStyle w:val="StyleWisnow"/>
              <w:rPr>
                <w:color w:val="000000" w:themeColor="text1"/>
              </w:rPr>
            </w:pPr>
            <w:bookmarkStart w:id="3336" w:name="n3466" w:colFirst="0" w:colLast="0"/>
            <w:bookmarkEnd w:id="3335"/>
            <w:r w:rsidRPr="00286216">
              <w:rPr>
                <w:color w:val="000000" w:themeColor="text1"/>
              </w:rPr>
              <w:t>3466.</w:t>
            </w:r>
          </w:p>
        </w:tc>
        <w:tc>
          <w:tcPr>
            <w:tcW w:w="4818" w:type="dxa"/>
          </w:tcPr>
          <w:p w14:paraId="70E5A7F1" w14:textId="77777777" w:rsidR="00630147" w:rsidRPr="00286216" w:rsidRDefault="00630147" w:rsidP="00630147">
            <w:pPr>
              <w:pStyle w:val="StyleZakonu"/>
              <w:rPr>
                <w:color w:val="000000" w:themeColor="text1"/>
              </w:rPr>
            </w:pPr>
            <w:r w:rsidRPr="00286216">
              <w:rPr>
                <w:color w:val="000000" w:themeColor="text1"/>
              </w:rPr>
              <w:t>"8) організовує проведення зборів власників структурованих іпотечних облігацій; "</w:t>
            </w:r>
          </w:p>
        </w:tc>
        <w:tc>
          <w:tcPr>
            <w:tcW w:w="3686" w:type="dxa"/>
          </w:tcPr>
          <w:p w14:paraId="3568ACF5" w14:textId="77777777" w:rsidR="00630147" w:rsidRPr="00286216" w:rsidRDefault="00630147" w:rsidP="00630147">
            <w:pPr>
              <w:pStyle w:val="StyleProp"/>
              <w:rPr>
                <w:color w:val="000000" w:themeColor="text1"/>
                <w:szCs w:val="18"/>
              </w:rPr>
            </w:pPr>
          </w:p>
        </w:tc>
        <w:tc>
          <w:tcPr>
            <w:tcW w:w="1987" w:type="dxa"/>
          </w:tcPr>
          <w:p w14:paraId="0BBFF5C5" w14:textId="77777777" w:rsidR="00630147" w:rsidRPr="00286216" w:rsidRDefault="00630147" w:rsidP="00630147">
            <w:pPr>
              <w:pStyle w:val="StyleWisnow"/>
              <w:rPr>
                <w:color w:val="000000" w:themeColor="text1"/>
              </w:rPr>
            </w:pPr>
          </w:p>
        </w:tc>
        <w:tc>
          <w:tcPr>
            <w:tcW w:w="4818" w:type="dxa"/>
          </w:tcPr>
          <w:p w14:paraId="5E4433F9" w14:textId="25117072" w:rsidR="00630147" w:rsidRPr="00286216" w:rsidRDefault="00630147" w:rsidP="00630147">
            <w:pPr>
              <w:pStyle w:val="StyleZakonu"/>
              <w:rPr>
                <w:color w:val="000000" w:themeColor="text1"/>
              </w:rPr>
            </w:pPr>
            <w:r w:rsidRPr="00286216">
              <w:rPr>
                <w:color w:val="000000" w:themeColor="text1"/>
              </w:rPr>
              <w:t>"8) організовує проведення зборів власників структурованих іпотечних облігацій";</w:t>
            </w:r>
          </w:p>
        </w:tc>
      </w:tr>
      <w:tr w:rsidR="00630147" w:rsidRPr="00286216" w14:paraId="2BFC9E8A" w14:textId="77777777" w:rsidTr="00091AA5">
        <w:tc>
          <w:tcPr>
            <w:tcW w:w="576" w:type="dxa"/>
          </w:tcPr>
          <w:p w14:paraId="592DBD5E" w14:textId="77777777" w:rsidR="00630147" w:rsidRPr="00286216" w:rsidRDefault="00630147" w:rsidP="00630147">
            <w:pPr>
              <w:pStyle w:val="StyleWisnow"/>
              <w:rPr>
                <w:color w:val="000000" w:themeColor="text1"/>
              </w:rPr>
            </w:pPr>
            <w:bookmarkStart w:id="3337" w:name="n3467" w:colFirst="0" w:colLast="0"/>
            <w:bookmarkEnd w:id="3336"/>
            <w:r w:rsidRPr="00286216">
              <w:rPr>
                <w:color w:val="000000" w:themeColor="text1"/>
              </w:rPr>
              <w:t>3467.</w:t>
            </w:r>
          </w:p>
        </w:tc>
        <w:tc>
          <w:tcPr>
            <w:tcW w:w="4818" w:type="dxa"/>
          </w:tcPr>
          <w:p w14:paraId="4AC69564" w14:textId="77777777" w:rsidR="00630147" w:rsidRPr="00286216" w:rsidRDefault="00630147" w:rsidP="00630147">
            <w:pPr>
              <w:pStyle w:val="StyleZakonu"/>
              <w:rPr>
                <w:color w:val="000000" w:themeColor="text1"/>
              </w:rPr>
            </w:pPr>
            <w:r w:rsidRPr="00286216">
              <w:rPr>
                <w:color w:val="000000" w:themeColor="text1"/>
              </w:rPr>
              <w:t>б) у частині другій слово "управителя" замінити словами "адміністратора за випуском облігацій", а слово "загальних" виключити;</w:t>
            </w:r>
          </w:p>
        </w:tc>
        <w:tc>
          <w:tcPr>
            <w:tcW w:w="3686" w:type="dxa"/>
          </w:tcPr>
          <w:p w14:paraId="3F5DF9CA" w14:textId="77777777" w:rsidR="00630147" w:rsidRPr="00286216" w:rsidRDefault="00630147" w:rsidP="00630147">
            <w:pPr>
              <w:pStyle w:val="StyleProp"/>
              <w:rPr>
                <w:color w:val="000000" w:themeColor="text1"/>
                <w:szCs w:val="18"/>
              </w:rPr>
            </w:pPr>
          </w:p>
        </w:tc>
        <w:tc>
          <w:tcPr>
            <w:tcW w:w="1987" w:type="dxa"/>
          </w:tcPr>
          <w:p w14:paraId="134499C5" w14:textId="77777777" w:rsidR="00630147" w:rsidRPr="00286216" w:rsidRDefault="00630147" w:rsidP="00630147">
            <w:pPr>
              <w:pStyle w:val="StyleWisnow"/>
              <w:rPr>
                <w:color w:val="000000" w:themeColor="text1"/>
              </w:rPr>
            </w:pPr>
          </w:p>
        </w:tc>
        <w:tc>
          <w:tcPr>
            <w:tcW w:w="4818" w:type="dxa"/>
          </w:tcPr>
          <w:p w14:paraId="49CBD6CF" w14:textId="6FB79EF5" w:rsidR="00630147" w:rsidRPr="00286216" w:rsidRDefault="00630147" w:rsidP="00630147">
            <w:pPr>
              <w:pStyle w:val="StyleZakonu"/>
              <w:rPr>
                <w:color w:val="000000" w:themeColor="text1"/>
              </w:rPr>
            </w:pPr>
            <w:r w:rsidRPr="00286216">
              <w:rPr>
                <w:color w:val="000000" w:themeColor="text1"/>
              </w:rPr>
              <w:t>б) у частині другій слово "управителя" замінити словами "адміністратора за випуском облігацій", а слово "загальних" виключити;</w:t>
            </w:r>
          </w:p>
        </w:tc>
      </w:tr>
      <w:tr w:rsidR="00630147" w:rsidRPr="00286216" w14:paraId="62E7814F" w14:textId="77777777" w:rsidTr="00091AA5">
        <w:tc>
          <w:tcPr>
            <w:tcW w:w="576" w:type="dxa"/>
          </w:tcPr>
          <w:p w14:paraId="155AD7B9" w14:textId="77777777" w:rsidR="00630147" w:rsidRPr="00286216" w:rsidRDefault="00630147" w:rsidP="00630147">
            <w:pPr>
              <w:pStyle w:val="StyleWisnow"/>
              <w:rPr>
                <w:color w:val="000000" w:themeColor="text1"/>
              </w:rPr>
            </w:pPr>
            <w:bookmarkStart w:id="3338" w:name="n3468" w:colFirst="0" w:colLast="0"/>
            <w:bookmarkEnd w:id="3337"/>
            <w:r w:rsidRPr="00286216">
              <w:rPr>
                <w:color w:val="000000" w:themeColor="text1"/>
              </w:rPr>
              <w:t>3468.</w:t>
            </w:r>
          </w:p>
        </w:tc>
        <w:tc>
          <w:tcPr>
            <w:tcW w:w="4818" w:type="dxa"/>
          </w:tcPr>
          <w:p w14:paraId="5912818A" w14:textId="77777777" w:rsidR="00630147" w:rsidRPr="00286216" w:rsidRDefault="00630147" w:rsidP="00630147">
            <w:pPr>
              <w:pStyle w:val="StyleZakonu"/>
              <w:rPr>
                <w:color w:val="000000" w:themeColor="text1"/>
              </w:rPr>
            </w:pPr>
            <w:r w:rsidRPr="00286216">
              <w:rPr>
                <w:color w:val="000000" w:themeColor="text1"/>
              </w:rPr>
              <w:t>в) пункт п’ятий частини четвертої виключити;</w:t>
            </w:r>
          </w:p>
        </w:tc>
        <w:tc>
          <w:tcPr>
            <w:tcW w:w="3686" w:type="dxa"/>
          </w:tcPr>
          <w:p w14:paraId="360060DA" w14:textId="77777777" w:rsidR="00630147" w:rsidRPr="00286216" w:rsidRDefault="00630147" w:rsidP="00630147">
            <w:pPr>
              <w:pStyle w:val="StyleProp"/>
              <w:rPr>
                <w:color w:val="000000" w:themeColor="text1"/>
                <w:szCs w:val="18"/>
              </w:rPr>
            </w:pPr>
          </w:p>
        </w:tc>
        <w:tc>
          <w:tcPr>
            <w:tcW w:w="1987" w:type="dxa"/>
          </w:tcPr>
          <w:p w14:paraId="47905D3E" w14:textId="77777777" w:rsidR="00630147" w:rsidRPr="00286216" w:rsidRDefault="00630147" w:rsidP="00630147">
            <w:pPr>
              <w:pStyle w:val="StyleWisnow"/>
              <w:rPr>
                <w:color w:val="000000" w:themeColor="text1"/>
              </w:rPr>
            </w:pPr>
          </w:p>
        </w:tc>
        <w:tc>
          <w:tcPr>
            <w:tcW w:w="4818" w:type="dxa"/>
          </w:tcPr>
          <w:p w14:paraId="0855E965" w14:textId="03566C14" w:rsidR="00630147" w:rsidRPr="00286216" w:rsidRDefault="00630147" w:rsidP="00630147">
            <w:pPr>
              <w:pStyle w:val="StyleZakonu"/>
              <w:rPr>
                <w:color w:val="000000" w:themeColor="text1"/>
              </w:rPr>
            </w:pPr>
            <w:r w:rsidRPr="00286216">
              <w:rPr>
                <w:color w:val="000000" w:themeColor="text1"/>
              </w:rPr>
              <w:t>в) пункт 5 частини четвертої виключити;</w:t>
            </w:r>
          </w:p>
        </w:tc>
      </w:tr>
      <w:tr w:rsidR="008E6EDB" w:rsidRPr="00286216" w14:paraId="730A5FE4" w14:textId="77777777" w:rsidTr="00091AA5">
        <w:tc>
          <w:tcPr>
            <w:tcW w:w="576" w:type="dxa"/>
          </w:tcPr>
          <w:p w14:paraId="6658A7B0" w14:textId="77777777" w:rsidR="008E6EDB" w:rsidRPr="00286216" w:rsidRDefault="008E6EDB" w:rsidP="008E6EDB">
            <w:pPr>
              <w:pStyle w:val="StyleWisnow"/>
              <w:rPr>
                <w:color w:val="000000" w:themeColor="text1"/>
              </w:rPr>
            </w:pPr>
            <w:bookmarkStart w:id="3339" w:name="n3469" w:colFirst="0" w:colLast="0"/>
            <w:bookmarkEnd w:id="3338"/>
            <w:r w:rsidRPr="00286216">
              <w:rPr>
                <w:color w:val="000000" w:themeColor="text1"/>
              </w:rPr>
              <w:t>3469.</w:t>
            </w:r>
          </w:p>
        </w:tc>
        <w:tc>
          <w:tcPr>
            <w:tcW w:w="4818" w:type="dxa"/>
          </w:tcPr>
          <w:p w14:paraId="7225EBAB" w14:textId="77777777" w:rsidR="008E6EDB" w:rsidRPr="00286216" w:rsidRDefault="008E6EDB" w:rsidP="008E6EDB">
            <w:pPr>
              <w:pStyle w:val="StyleZakonu"/>
              <w:rPr>
                <w:color w:val="000000" w:themeColor="text1"/>
              </w:rPr>
            </w:pPr>
            <w:r w:rsidRPr="00286216">
              <w:rPr>
                <w:color w:val="000000" w:themeColor="text1"/>
              </w:rPr>
              <w:t>14) статтю 23 викласти в такий редакції:</w:t>
            </w:r>
          </w:p>
        </w:tc>
        <w:tc>
          <w:tcPr>
            <w:tcW w:w="3686" w:type="dxa"/>
          </w:tcPr>
          <w:p w14:paraId="33CEEC11" w14:textId="77777777" w:rsidR="008E6EDB" w:rsidRPr="00286216" w:rsidRDefault="008E6EDB" w:rsidP="008E6EDB">
            <w:pPr>
              <w:pStyle w:val="StyleProp"/>
              <w:rPr>
                <w:color w:val="000000" w:themeColor="text1"/>
                <w:szCs w:val="18"/>
              </w:rPr>
            </w:pPr>
          </w:p>
        </w:tc>
        <w:tc>
          <w:tcPr>
            <w:tcW w:w="1987" w:type="dxa"/>
          </w:tcPr>
          <w:p w14:paraId="24432636" w14:textId="77777777" w:rsidR="008E6EDB" w:rsidRPr="00286216" w:rsidRDefault="008E6EDB" w:rsidP="008E6EDB">
            <w:pPr>
              <w:pStyle w:val="StyleWisnow"/>
              <w:rPr>
                <w:color w:val="000000" w:themeColor="text1"/>
              </w:rPr>
            </w:pPr>
          </w:p>
        </w:tc>
        <w:tc>
          <w:tcPr>
            <w:tcW w:w="4818" w:type="dxa"/>
          </w:tcPr>
          <w:p w14:paraId="3F1DBDE2" w14:textId="77777777" w:rsidR="008E6EDB" w:rsidRPr="00286216" w:rsidRDefault="008E6EDB" w:rsidP="008E6EDB">
            <w:pPr>
              <w:pStyle w:val="StyleZakonu"/>
              <w:rPr>
                <w:color w:val="000000" w:themeColor="text1"/>
              </w:rPr>
            </w:pPr>
            <w:r w:rsidRPr="00286216">
              <w:rPr>
                <w:color w:val="000000" w:themeColor="text1"/>
              </w:rPr>
              <w:t>14) статтю 23 викласти в такий редакції:</w:t>
            </w:r>
          </w:p>
        </w:tc>
      </w:tr>
      <w:tr w:rsidR="008E6EDB" w:rsidRPr="00286216" w14:paraId="07F91DD3" w14:textId="77777777" w:rsidTr="00091AA5">
        <w:tc>
          <w:tcPr>
            <w:tcW w:w="576" w:type="dxa"/>
          </w:tcPr>
          <w:p w14:paraId="700D9108" w14:textId="77777777" w:rsidR="008E6EDB" w:rsidRPr="00286216" w:rsidRDefault="008E6EDB" w:rsidP="008E6EDB">
            <w:pPr>
              <w:pStyle w:val="StyleWisnow"/>
              <w:rPr>
                <w:color w:val="000000" w:themeColor="text1"/>
              </w:rPr>
            </w:pPr>
            <w:bookmarkStart w:id="3340" w:name="n3470" w:colFirst="0" w:colLast="0"/>
            <w:bookmarkEnd w:id="3339"/>
            <w:r w:rsidRPr="00286216">
              <w:rPr>
                <w:color w:val="000000" w:themeColor="text1"/>
              </w:rPr>
              <w:t>3470.</w:t>
            </w:r>
          </w:p>
        </w:tc>
        <w:tc>
          <w:tcPr>
            <w:tcW w:w="4818" w:type="dxa"/>
          </w:tcPr>
          <w:p w14:paraId="5381CCA0" w14:textId="77777777" w:rsidR="008E6EDB" w:rsidRPr="00286216" w:rsidRDefault="008E6EDB" w:rsidP="008E6EDB">
            <w:pPr>
              <w:pStyle w:val="StyleZakonu"/>
              <w:rPr>
                <w:color w:val="000000" w:themeColor="text1"/>
              </w:rPr>
            </w:pPr>
            <w:r w:rsidRPr="00286216">
              <w:rPr>
                <w:color w:val="000000" w:themeColor="text1"/>
              </w:rPr>
              <w:t>"Стаття 23. Заміна адміністратора за випуском облігацій</w:t>
            </w:r>
          </w:p>
        </w:tc>
        <w:tc>
          <w:tcPr>
            <w:tcW w:w="3686" w:type="dxa"/>
          </w:tcPr>
          <w:p w14:paraId="3594058B" w14:textId="77777777" w:rsidR="008E6EDB" w:rsidRPr="00286216" w:rsidRDefault="008E6EDB" w:rsidP="008E6EDB">
            <w:pPr>
              <w:pStyle w:val="StyleProp"/>
              <w:rPr>
                <w:color w:val="000000" w:themeColor="text1"/>
                <w:szCs w:val="18"/>
              </w:rPr>
            </w:pPr>
          </w:p>
        </w:tc>
        <w:tc>
          <w:tcPr>
            <w:tcW w:w="1987" w:type="dxa"/>
          </w:tcPr>
          <w:p w14:paraId="0AA58329" w14:textId="77777777" w:rsidR="008E6EDB" w:rsidRPr="00286216" w:rsidRDefault="008E6EDB" w:rsidP="008E6EDB">
            <w:pPr>
              <w:pStyle w:val="StyleWisnow"/>
              <w:rPr>
                <w:color w:val="000000" w:themeColor="text1"/>
              </w:rPr>
            </w:pPr>
          </w:p>
        </w:tc>
        <w:tc>
          <w:tcPr>
            <w:tcW w:w="4818" w:type="dxa"/>
          </w:tcPr>
          <w:p w14:paraId="0AA57152" w14:textId="77777777" w:rsidR="008E6EDB" w:rsidRPr="00286216" w:rsidRDefault="008E6EDB" w:rsidP="008E6EDB">
            <w:pPr>
              <w:pStyle w:val="StyleZakonu"/>
              <w:rPr>
                <w:color w:val="000000" w:themeColor="text1"/>
              </w:rPr>
            </w:pPr>
            <w:r w:rsidRPr="00286216">
              <w:rPr>
                <w:color w:val="000000" w:themeColor="text1"/>
              </w:rPr>
              <w:t>"Стаття 23. Заміна адміністратора за випуском облігацій</w:t>
            </w:r>
          </w:p>
        </w:tc>
      </w:tr>
      <w:tr w:rsidR="008E6EDB" w:rsidRPr="00286216" w14:paraId="5390D19B" w14:textId="77777777" w:rsidTr="00091AA5">
        <w:tc>
          <w:tcPr>
            <w:tcW w:w="576" w:type="dxa"/>
          </w:tcPr>
          <w:p w14:paraId="7AF9E29E" w14:textId="77777777" w:rsidR="008E6EDB" w:rsidRPr="00286216" w:rsidRDefault="008E6EDB" w:rsidP="008E6EDB">
            <w:pPr>
              <w:pStyle w:val="StyleWisnow"/>
              <w:rPr>
                <w:color w:val="000000" w:themeColor="text1"/>
              </w:rPr>
            </w:pPr>
            <w:bookmarkStart w:id="3341" w:name="n3471" w:colFirst="0" w:colLast="0"/>
            <w:bookmarkEnd w:id="3340"/>
            <w:r w:rsidRPr="00286216">
              <w:rPr>
                <w:color w:val="000000" w:themeColor="text1"/>
              </w:rPr>
              <w:t>3471.</w:t>
            </w:r>
          </w:p>
        </w:tc>
        <w:tc>
          <w:tcPr>
            <w:tcW w:w="4818" w:type="dxa"/>
          </w:tcPr>
          <w:p w14:paraId="5F77C5BA" w14:textId="77777777" w:rsidR="008E6EDB" w:rsidRPr="00286216" w:rsidRDefault="008E6EDB" w:rsidP="008E6EDB">
            <w:pPr>
              <w:pStyle w:val="StyleZakonu"/>
              <w:rPr>
                <w:color w:val="000000" w:themeColor="text1"/>
              </w:rPr>
            </w:pPr>
            <w:r w:rsidRPr="00286216">
              <w:rPr>
                <w:color w:val="000000" w:themeColor="text1"/>
              </w:rPr>
              <w:t>1. Припинення повноважень адміністратора за випуском облігацій та призначення нового адміністратора за випуском облігацій здійснюються відповідно до Закону України "Про ринки капіталу та організовані товарні ринки" з особливостями, передбаченими цим Законом.</w:t>
            </w:r>
          </w:p>
        </w:tc>
        <w:tc>
          <w:tcPr>
            <w:tcW w:w="3686" w:type="dxa"/>
          </w:tcPr>
          <w:p w14:paraId="10E95401" w14:textId="77777777" w:rsidR="008E6EDB" w:rsidRPr="00286216" w:rsidRDefault="008E6EDB" w:rsidP="008E6EDB">
            <w:pPr>
              <w:pStyle w:val="StyleProp"/>
              <w:rPr>
                <w:color w:val="000000" w:themeColor="text1"/>
                <w:szCs w:val="18"/>
              </w:rPr>
            </w:pPr>
          </w:p>
        </w:tc>
        <w:tc>
          <w:tcPr>
            <w:tcW w:w="1987" w:type="dxa"/>
          </w:tcPr>
          <w:p w14:paraId="62485F43" w14:textId="77777777" w:rsidR="008E6EDB" w:rsidRPr="00286216" w:rsidRDefault="008E6EDB" w:rsidP="008E6EDB">
            <w:pPr>
              <w:pStyle w:val="StyleWisnow"/>
              <w:rPr>
                <w:color w:val="000000" w:themeColor="text1"/>
              </w:rPr>
            </w:pPr>
          </w:p>
        </w:tc>
        <w:tc>
          <w:tcPr>
            <w:tcW w:w="4818" w:type="dxa"/>
          </w:tcPr>
          <w:p w14:paraId="0D7B7053" w14:textId="77777777" w:rsidR="008E6EDB" w:rsidRPr="00286216" w:rsidRDefault="008E6EDB" w:rsidP="008E6EDB">
            <w:pPr>
              <w:pStyle w:val="StyleZakonu"/>
              <w:rPr>
                <w:color w:val="000000" w:themeColor="text1"/>
              </w:rPr>
            </w:pPr>
            <w:r w:rsidRPr="00286216">
              <w:rPr>
                <w:color w:val="000000" w:themeColor="text1"/>
              </w:rPr>
              <w:t>1. Припинення повноважень адміністратора за випуском облігацій та призначення нового адміністратора за випуском облігацій здійснюються відповідно до Закону України "Про ринки капіталу та організовані товарні ринки" з особливостями, передбаченими цим Законом.</w:t>
            </w:r>
          </w:p>
        </w:tc>
      </w:tr>
      <w:tr w:rsidR="008C392C" w:rsidRPr="00286216" w14:paraId="4AF7DF34" w14:textId="77777777" w:rsidTr="00091AA5">
        <w:tc>
          <w:tcPr>
            <w:tcW w:w="576" w:type="dxa"/>
          </w:tcPr>
          <w:p w14:paraId="75C5FCA6" w14:textId="77777777" w:rsidR="008C392C" w:rsidRPr="00286216" w:rsidRDefault="008C392C" w:rsidP="008C392C">
            <w:pPr>
              <w:pStyle w:val="StyleWisnow"/>
              <w:rPr>
                <w:color w:val="000000" w:themeColor="text1"/>
              </w:rPr>
            </w:pPr>
            <w:bookmarkStart w:id="3342" w:name="n3472" w:colFirst="0" w:colLast="0"/>
            <w:bookmarkEnd w:id="3341"/>
            <w:r w:rsidRPr="00286216">
              <w:rPr>
                <w:color w:val="000000" w:themeColor="text1"/>
              </w:rPr>
              <w:t>3472.</w:t>
            </w:r>
          </w:p>
        </w:tc>
        <w:tc>
          <w:tcPr>
            <w:tcW w:w="4818" w:type="dxa"/>
          </w:tcPr>
          <w:p w14:paraId="477A683C" w14:textId="77777777" w:rsidR="008C392C" w:rsidRPr="00286216" w:rsidRDefault="008C392C" w:rsidP="008C392C">
            <w:pPr>
              <w:pStyle w:val="StyleZakonu"/>
              <w:rPr>
                <w:color w:val="000000" w:themeColor="text1"/>
              </w:rPr>
            </w:pPr>
            <w:r w:rsidRPr="00286216">
              <w:rPr>
                <w:color w:val="000000" w:themeColor="text1"/>
              </w:rPr>
              <w:t>2. Адміністратор за випуском облігацій продовжує виконувати свої обов’язки до укладення договору з новим адміністратором за випуском облігацій. У разі дострокового припинення повноважень адміністратор за випуском облігацій зобов’язаний передати всі документи та майно, що перебувають у його володінні у зв’язку з виконанням ним обов’язків за договором про управління іпотечним покриттям, новому адміністратору за випуском облігацій у строки, встановлені договором про управління іпотечним покриттям або рішенням зборів власників іпотечних облігацій.</w:t>
            </w:r>
          </w:p>
        </w:tc>
        <w:tc>
          <w:tcPr>
            <w:tcW w:w="3686" w:type="dxa"/>
          </w:tcPr>
          <w:p w14:paraId="3DFDB06C" w14:textId="77777777" w:rsidR="008C392C" w:rsidRPr="00286216" w:rsidRDefault="008C392C" w:rsidP="008C392C">
            <w:pPr>
              <w:pStyle w:val="StyleProp"/>
              <w:rPr>
                <w:color w:val="000000" w:themeColor="text1"/>
                <w:szCs w:val="18"/>
              </w:rPr>
            </w:pPr>
          </w:p>
        </w:tc>
        <w:tc>
          <w:tcPr>
            <w:tcW w:w="1987" w:type="dxa"/>
          </w:tcPr>
          <w:p w14:paraId="4865E4EB" w14:textId="77777777" w:rsidR="008C392C" w:rsidRPr="00286216" w:rsidRDefault="008C392C" w:rsidP="008C392C">
            <w:pPr>
              <w:pStyle w:val="StyleWisnow"/>
              <w:rPr>
                <w:color w:val="000000" w:themeColor="text1"/>
              </w:rPr>
            </w:pPr>
          </w:p>
        </w:tc>
        <w:tc>
          <w:tcPr>
            <w:tcW w:w="4818" w:type="dxa"/>
          </w:tcPr>
          <w:p w14:paraId="080BE25E" w14:textId="7ED68CF6" w:rsidR="008C392C" w:rsidRPr="00286216" w:rsidRDefault="008C392C" w:rsidP="008C392C">
            <w:pPr>
              <w:pStyle w:val="StyleZakonu"/>
              <w:rPr>
                <w:color w:val="000000" w:themeColor="text1"/>
              </w:rPr>
            </w:pPr>
            <w:r w:rsidRPr="00286216">
              <w:rPr>
                <w:color w:val="000000" w:themeColor="text1"/>
              </w:rPr>
              <w:t>2. Адміністратор за випуском облігацій продовжує виконувати свої обов’язки до укладення договору з новим адміністратором за випуском облігацій. У разі дострокового припинення повноважень адміністратор за випуском облігацій зобов’язаний передати всі документи та майно, що перебувають у його володінні у зв’язку з виконанням ним обов’язків за договором про управління іпотечним покриттям, новому адміністратору за випуском облігацій у строки, встановлені договором про управління іпотечним покриттям або рішенням зборів власників іпотечних облігацій.</w:t>
            </w:r>
          </w:p>
        </w:tc>
      </w:tr>
      <w:tr w:rsidR="008C392C" w:rsidRPr="00286216" w14:paraId="4B51F9C2" w14:textId="77777777" w:rsidTr="00091AA5">
        <w:tc>
          <w:tcPr>
            <w:tcW w:w="576" w:type="dxa"/>
          </w:tcPr>
          <w:p w14:paraId="223AAA6E" w14:textId="77777777" w:rsidR="008C392C" w:rsidRPr="00286216" w:rsidRDefault="008C392C" w:rsidP="008C392C">
            <w:pPr>
              <w:pStyle w:val="StyleWisnow"/>
              <w:rPr>
                <w:color w:val="000000" w:themeColor="text1"/>
              </w:rPr>
            </w:pPr>
            <w:bookmarkStart w:id="3343" w:name="n3473" w:colFirst="0" w:colLast="0"/>
            <w:bookmarkEnd w:id="3342"/>
            <w:r w:rsidRPr="00286216">
              <w:rPr>
                <w:color w:val="000000" w:themeColor="text1"/>
              </w:rPr>
              <w:t>3473.</w:t>
            </w:r>
          </w:p>
        </w:tc>
        <w:tc>
          <w:tcPr>
            <w:tcW w:w="4818" w:type="dxa"/>
          </w:tcPr>
          <w:p w14:paraId="3FA8FDF3" w14:textId="77777777" w:rsidR="008C392C" w:rsidRPr="00286216" w:rsidRDefault="008C392C" w:rsidP="008C392C">
            <w:pPr>
              <w:pStyle w:val="StyleZakonu"/>
              <w:rPr>
                <w:color w:val="000000" w:themeColor="text1"/>
              </w:rPr>
            </w:pPr>
            <w:r w:rsidRPr="00286216">
              <w:rPr>
                <w:color w:val="000000" w:themeColor="text1"/>
              </w:rPr>
              <w:t xml:space="preserve">У разі прийняття рішення про ліквідацію юридичної особи - адміністратора за випуском </w:t>
            </w:r>
            <w:r w:rsidRPr="00286216">
              <w:rPr>
                <w:color w:val="000000" w:themeColor="text1"/>
              </w:rPr>
              <w:lastRenderedPageBreak/>
              <w:t>облігацій, емітент до моменту виключення з Єдиного державного реєстру юридичних осіб, фізичних осіб - підприємців та громадських формувань зобов’язаний укласти договір про управління іпотечним покриттям з новим адміністратором за випуском облігацій.</w:t>
            </w:r>
          </w:p>
        </w:tc>
        <w:tc>
          <w:tcPr>
            <w:tcW w:w="3686" w:type="dxa"/>
          </w:tcPr>
          <w:p w14:paraId="512331C3" w14:textId="77777777" w:rsidR="008C392C" w:rsidRPr="00286216" w:rsidRDefault="008C392C" w:rsidP="008C392C">
            <w:pPr>
              <w:pStyle w:val="StyleProp"/>
              <w:rPr>
                <w:color w:val="000000" w:themeColor="text1"/>
                <w:szCs w:val="18"/>
              </w:rPr>
            </w:pPr>
          </w:p>
        </w:tc>
        <w:tc>
          <w:tcPr>
            <w:tcW w:w="1987" w:type="dxa"/>
          </w:tcPr>
          <w:p w14:paraId="4E38E18D" w14:textId="77777777" w:rsidR="008C392C" w:rsidRPr="00286216" w:rsidRDefault="008C392C" w:rsidP="008C392C">
            <w:pPr>
              <w:pStyle w:val="StyleWisnow"/>
              <w:rPr>
                <w:color w:val="000000" w:themeColor="text1"/>
              </w:rPr>
            </w:pPr>
          </w:p>
        </w:tc>
        <w:tc>
          <w:tcPr>
            <w:tcW w:w="4818" w:type="dxa"/>
          </w:tcPr>
          <w:p w14:paraId="7731C4A6" w14:textId="539E7F32" w:rsidR="008C392C" w:rsidRPr="00286216" w:rsidRDefault="008C392C" w:rsidP="008C392C">
            <w:pPr>
              <w:pStyle w:val="StyleZakonu"/>
              <w:rPr>
                <w:color w:val="000000" w:themeColor="text1"/>
              </w:rPr>
            </w:pPr>
            <w:r w:rsidRPr="00286216">
              <w:rPr>
                <w:color w:val="000000" w:themeColor="text1"/>
              </w:rPr>
              <w:t xml:space="preserve">У разі прийняття рішення про ліквідацію юридичної особи - адміністратора за випуском </w:t>
            </w:r>
            <w:r w:rsidRPr="00286216">
              <w:rPr>
                <w:color w:val="000000" w:themeColor="text1"/>
              </w:rPr>
              <w:lastRenderedPageBreak/>
              <w:t>облігацій, емітент до моменту виключення з Єдиного державного реєстру юридичних осіб, фізичних осіб - підприємців та громадських формувань зобов’язаний укласти договір про управління іпотечним покриттям з новим адміністратором за випуском облігацій.</w:t>
            </w:r>
          </w:p>
        </w:tc>
      </w:tr>
      <w:tr w:rsidR="008C392C" w:rsidRPr="00286216" w14:paraId="63E737B0" w14:textId="77777777" w:rsidTr="00091AA5">
        <w:tc>
          <w:tcPr>
            <w:tcW w:w="576" w:type="dxa"/>
          </w:tcPr>
          <w:p w14:paraId="22E75F38" w14:textId="77777777" w:rsidR="008C392C" w:rsidRPr="00286216" w:rsidRDefault="008C392C" w:rsidP="008C392C">
            <w:pPr>
              <w:pStyle w:val="StyleWisnow"/>
              <w:rPr>
                <w:color w:val="000000" w:themeColor="text1"/>
              </w:rPr>
            </w:pPr>
            <w:bookmarkStart w:id="3344" w:name="n3474" w:colFirst="0" w:colLast="0"/>
            <w:bookmarkEnd w:id="3343"/>
            <w:r w:rsidRPr="00286216">
              <w:rPr>
                <w:color w:val="000000" w:themeColor="text1"/>
              </w:rPr>
              <w:lastRenderedPageBreak/>
              <w:t>3474.</w:t>
            </w:r>
          </w:p>
        </w:tc>
        <w:tc>
          <w:tcPr>
            <w:tcW w:w="4818" w:type="dxa"/>
          </w:tcPr>
          <w:p w14:paraId="213CB5B9" w14:textId="77777777" w:rsidR="008C392C" w:rsidRPr="00286216" w:rsidRDefault="008C392C" w:rsidP="008C392C">
            <w:pPr>
              <w:pStyle w:val="StyleZakonu"/>
              <w:rPr>
                <w:color w:val="000000" w:themeColor="text1"/>
              </w:rPr>
            </w:pPr>
            <w:r w:rsidRPr="00286216">
              <w:rPr>
                <w:color w:val="000000" w:themeColor="text1"/>
              </w:rPr>
              <w:t>Новий адміністратор за випуском облігацій є правонаступником прав і обов’язків за договорами щодо структурованих іпотечних облігацій та їх іпотечного покриття, укладеними попереднім адміністратором за випуском облігацій, якщо інше не передбачено рішенням зборів.</w:t>
            </w:r>
          </w:p>
        </w:tc>
        <w:tc>
          <w:tcPr>
            <w:tcW w:w="3686" w:type="dxa"/>
          </w:tcPr>
          <w:p w14:paraId="31142D89" w14:textId="77777777" w:rsidR="008C392C" w:rsidRPr="00286216" w:rsidRDefault="008C392C" w:rsidP="008C392C">
            <w:pPr>
              <w:pStyle w:val="StyleProp"/>
              <w:rPr>
                <w:color w:val="000000" w:themeColor="text1"/>
                <w:szCs w:val="18"/>
              </w:rPr>
            </w:pPr>
          </w:p>
        </w:tc>
        <w:tc>
          <w:tcPr>
            <w:tcW w:w="1987" w:type="dxa"/>
          </w:tcPr>
          <w:p w14:paraId="6E23A481" w14:textId="77777777" w:rsidR="008C392C" w:rsidRPr="00286216" w:rsidRDefault="008C392C" w:rsidP="008C392C">
            <w:pPr>
              <w:pStyle w:val="StyleWisnow"/>
              <w:rPr>
                <w:color w:val="000000" w:themeColor="text1"/>
              </w:rPr>
            </w:pPr>
          </w:p>
        </w:tc>
        <w:tc>
          <w:tcPr>
            <w:tcW w:w="4818" w:type="dxa"/>
          </w:tcPr>
          <w:p w14:paraId="686ACA7E" w14:textId="6398BCD1" w:rsidR="008C392C" w:rsidRPr="00286216" w:rsidRDefault="008C392C" w:rsidP="008C392C">
            <w:pPr>
              <w:pStyle w:val="StyleZakonu"/>
              <w:rPr>
                <w:color w:val="000000" w:themeColor="text1"/>
              </w:rPr>
            </w:pPr>
            <w:r w:rsidRPr="00286216">
              <w:rPr>
                <w:color w:val="000000" w:themeColor="text1"/>
              </w:rPr>
              <w:t>Новий адміністратор за випуском облігацій є правонаступником прав і обов’язків за договорами щодо структурованих іпотечних облігацій та їх іпотечного покриття, укладеними попереднім адміністратором за випуском облігацій, якщо інше не передбачено рішенням зборів.</w:t>
            </w:r>
          </w:p>
        </w:tc>
      </w:tr>
      <w:tr w:rsidR="008C392C" w:rsidRPr="00286216" w14:paraId="043AB255" w14:textId="77777777" w:rsidTr="00091AA5">
        <w:tc>
          <w:tcPr>
            <w:tcW w:w="576" w:type="dxa"/>
          </w:tcPr>
          <w:p w14:paraId="385034B4" w14:textId="77777777" w:rsidR="008C392C" w:rsidRPr="00286216" w:rsidRDefault="008C392C" w:rsidP="008C392C">
            <w:pPr>
              <w:pStyle w:val="StyleWisnow"/>
              <w:rPr>
                <w:color w:val="000000" w:themeColor="text1"/>
              </w:rPr>
            </w:pPr>
            <w:bookmarkStart w:id="3345" w:name="n3475" w:colFirst="0" w:colLast="0"/>
            <w:bookmarkEnd w:id="3344"/>
            <w:r w:rsidRPr="00286216">
              <w:rPr>
                <w:color w:val="000000" w:themeColor="text1"/>
              </w:rPr>
              <w:t>3475.</w:t>
            </w:r>
          </w:p>
        </w:tc>
        <w:tc>
          <w:tcPr>
            <w:tcW w:w="4818" w:type="dxa"/>
          </w:tcPr>
          <w:p w14:paraId="7802A817" w14:textId="77777777" w:rsidR="008C392C" w:rsidRPr="00286216" w:rsidRDefault="008C392C" w:rsidP="008C392C">
            <w:pPr>
              <w:pStyle w:val="StyleZakonu"/>
              <w:rPr>
                <w:color w:val="000000" w:themeColor="text1"/>
              </w:rPr>
            </w:pPr>
            <w:r w:rsidRPr="00286216">
              <w:rPr>
                <w:color w:val="000000" w:themeColor="text1"/>
              </w:rPr>
              <w:t>3. Новий адміністратор за випуском облігацій зобов’язаний письмово повідомити емітента (залежно від ситуації), особу, яка здійснює депозитарне обслуговування та суб’єкт аудиторської діяльності про своє призначення.";</w:t>
            </w:r>
          </w:p>
        </w:tc>
        <w:tc>
          <w:tcPr>
            <w:tcW w:w="3686" w:type="dxa"/>
          </w:tcPr>
          <w:p w14:paraId="18F77E3B" w14:textId="77777777" w:rsidR="008C392C" w:rsidRPr="00286216" w:rsidRDefault="008C392C" w:rsidP="008C392C">
            <w:pPr>
              <w:pStyle w:val="StyleProp"/>
              <w:rPr>
                <w:color w:val="000000" w:themeColor="text1"/>
                <w:szCs w:val="18"/>
              </w:rPr>
            </w:pPr>
          </w:p>
        </w:tc>
        <w:tc>
          <w:tcPr>
            <w:tcW w:w="1987" w:type="dxa"/>
          </w:tcPr>
          <w:p w14:paraId="69B26B48" w14:textId="77777777" w:rsidR="008C392C" w:rsidRPr="00286216" w:rsidRDefault="008C392C" w:rsidP="008C392C">
            <w:pPr>
              <w:pStyle w:val="StyleWisnow"/>
              <w:rPr>
                <w:color w:val="000000" w:themeColor="text1"/>
              </w:rPr>
            </w:pPr>
          </w:p>
        </w:tc>
        <w:tc>
          <w:tcPr>
            <w:tcW w:w="4818" w:type="dxa"/>
          </w:tcPr>
          <w:p w14:paraId="7CCA9ECA" w14:textId="453241A4" w:rsidR="008C392C" w:rsidRPr="00286216" w:rsidRDefault="008C392C" w:rsidP="008C392C">
            <w:pPr>
              <w:pStyle w:val="StyleZakonu"/>
              <w:rPr>
                <w:color w:val="000000" w:themeColor="text1"/>
              </w:rPr>
            </w:pPr>
            <w:r w:rsidRPr="00286216">
              <w:rPr>
                <w:color w:val="000000" w:themeColor="text1"/>
              </w:rPr>
              <w:t>3. Новий адміністратор за випуском облігацій зобов’язаний письмово повідомити емітента (залежно від ситуації), особу, яка здійснює депозитарне обслуговування, та суб’єкта аудиторської діяльності про своє призначення";</w:t>
            </w:r>
          </w:p>
        </w:tc>
      </w:tr>
      <w:tr w:rsidR="008C392C" w:rsidRPr="00286216" w14:paraId="7B977AB3" w14:textId="77777777" w:rsidTr="00091AA5">
        <w:tc>
          <w:tcPr>
            <w:tcW w:w="576" w:type="dxa"/>
          </w:tcPr>
          <w:p w14:paraId="5AD81F99" w14:textId="77777777" w:rsidR="008C392C" w:rsidRPr="00286216" w:rsidRDefault="008C392C" w:rsidP="008C392C">
            <w:pPr>
              <w:pStyle w:val="StyleWisnow"/>
              <w:rPr>
                <w:color w:val="000000" w:themeColor="text1"/>
              </w:rPr>
            </w:pPr>
            <w:bookmarkStart w:id="3346" w:name="n3476" w:colFirst="0" w:colLast="0"/>
            <w:bookmarkEnd w:id="3345"/>
            <w:r w:rsidRPr="00286216">
              <w:rPr>
                <w:color w:val="000000" w:themeColor="text1"/>
              </w:rPr>
              <w:t>3476.</w:t>
            </w:r>
          </w:p>
        </w:tc>
        <w:tc>
          <w:tcPr>
            <w:tcW w:w="4818" w:type="dxa"/>
          </w:tcPr>
          <w:p w14:paraId="30411DAE" w14:textId="77777777" w:rsidR="008C392C" w:rsidRPr="00286216" w:rsidRDefault="008C392C" w:rsidP="008C392C">
            <w:pPr>
              <w:pStyle w:val="StyleZakonu"/>
              <w:rPr>
                <w:color w:val="000000" w:themeColor="text1"/>
              </w:rPr>
            </w:pPr>
            <w:r w:rsidRPr="00286216">
              <w:rPr>
                <w:color w:val="000000" w:themeColor="text1"/>
              </w:rPr>
              <w:t>15) у статті 25:</w:t>
            </w:r>
          </w:p>
        </w:tc>
        <w:tc>
          <w:tcPr>
            <w:tcW w:w="3686" w:type="dxa"/>
          </w:tcPr>
          <w:p w14:paraId="4D1C61AB" w14:textId="77777777" w:rsidR="008C392C" w:rsidRPr="00286216" w:rsidRDefault="008C392C" w:rsidP="008C392C">
            <w:pPr>
              <w:pStyle w:val="StyleProp"/>
              <w:rPr>
                <w:color w:val="000000" w:themeColor="text1"/>
                <w:szCs w:val="18"/>
              </w:rPr>
            </w:pPr>
          </w:p>
        </w:tc>
        <w:tc>
          <w:tcPr>
            <w:tcW w:w="1987" w:type="dxa"/>
          </w:tcPr>
          <w:p w14:paraId="54DBC592" w14:textId="77777777" w:rsidR="008C392C" w:rsidRPr="00286216" w:rsidRDefault="008C392C" w:rsidP="008C392C">
            <w:pPr>
              <w:pStyle w:val="StyleWisnow"/>
              <w:rPr>
                <w:color w:val="000000" w:themeColor="text1"/>
              </w:rPr>
            </w:pPr>
          </w:p>
        </w:tc>
        <w:tc>
          <w:tcPr>
            <w:tcW w:w="4818" w:type="dxa"/>
          </w:tcPr>
          <w:p w14:paraId="0E3753D3" w14:textId="742FF2B6" w:rsidR="008C392C" w:rsidRPr="00286216" w:rsidRDefault="008C392C" w:rsidP="008C392C">
            <w:pPr>
              <w:pStyle w:val="StyleZakonu"/>
              <w:rPr>
                <w:color w:val="000000" w:themeColor="text1"/>
              </w:rPr>
            </w:pPr>
            <w:r w:rsidRPr="00286216">
              <w:rPr>
                <w:color w:val="000000" w:themeColor="text1"/>
              </w:rPr>
              <w:t>15) у статті 25:</w:t>
            </w:r>
          </w:p>
        </w:tc>
      </w:tr>
      <w:tr w:rsidR="008C392C" w:rsidRPr="00286216" w14:paraId="2CCE9749" w14:textId="77777777" w:rsidTr="00091AA5">
        <w:tc>
          <w:tcPr>
            <w:tcW w:w="576" w:type="dxa"/>
          </w:tcPr>
          <w:p w14:paraId="7D4B15F1" w14:textId="77777777" w:rsidR="008C392C" w:rsidRPr="00286216" w:rsidRDefault="008C392C" w:rsidP="008C392C">
            <w:pPr>
              <w:pStyle w:val="StyleWisnow"/>
              <w:rPr>
                <w:color w:val="000000" w:themeColor="text1"/>
              </w:rPr>
            </w:pPr>
            <w:bookmarkStart w:id="3347" w:name="n3477" w:colFirst="0" w:colLast="0"/>
            <w:bookmarkEnd w:id="3346"/>
            <w:r w:rsidRPr="00286216">
              <w:rPr>
                <w:color w:val="000000" w:themeColor="text1"/>
              </w:rPr>
              <w:t>3477.</w:t>
            </w:r>
          </w:p>
        </w:tc>
        <w:tc>
          <w:tcPr>
            <w:tcW w:w="4818" w:type="dxa"/>
          </w:tcPr>
          <w:p w14:paraId="4495B490" w14:textId="77777777" w:rsidR="008C392C" w:rsidRPr="00286216" w:rsidRDefault="008C392C" w:rsidP="008C392C">
            <w:pPr>
              <w:pStyle w:val="StyleZakonu"/>
              <w:rPr>
                <w:color w:val="000000" w:themeColor="text1"/>
              </w:rPr>
            </w:pPr>
            <w:r w:rsidRPr="00286216">
              <w:rPr>
                <w:color w:val="000000" w:themeColor="text1"/>
              </w:rPr>
              <w:t>а) у назві та тексті слово "управителя" у всіх відмінках замінити словами "адміністратора за випуском облігацій" у відповідному відмінку;</w:t>
            </w:r>
          </w:p>
        </w:tc>
        <w:tc>
          <w:tcPr>
            <w:tcW w:w="3686" w:type="dxa"/>
          </w:tcPr>
          <w:p w14:paraId="3E3CD573" w14:textId="77777777" w:rsidR="008C392C" w:rsidRPr="00286216" w:rsidRDefault="008C392C" w:rsidP="008C392C">
            <w:pPr>
              <w:pStyle w:val="StyleProp"/>
              <w:rPr>
                <w:color w:val="000000" w:themeColor="text1"/>
                <w:szCs w:val="18"/>
              </w:rPr>
            </w:pPr>
          </w:p>
        </w:tc>
        <w:tc>
          <w:tcPr>
            <w:tcW w:w="1987" w:type="dxa"/>
          </w:tcPr>
          <w:p w14:paraId="3ED56E26" w14:textId="77777777" w:rsidR="008C392C" w:rsidRPr="00286216" w:rsidRDefault="008C392C" w:rsidP="008C392C">
            <w:pPr>
              <w:pStyle w:val="StyleWisnow"/>
              <w:rPr>
                <w:color w:val="000000" w:themeColor="text1"/>
              </w:rPr>
            </w:pPr>
          </w:p>
        </w:tc>
        <w:tc>
          <w:tcPr>
            <w:tcW w:w="4818" w:type="dxa"/>
          </w:tcPr>
          <w:p w14:paraId="1CEF8BB0" w14:textId="1F6AD72D" w:rsidR="008C392C" w:rsidRPr="00286216" w:rsidRDefault="008C392C" w:rsidP="008C392C">
            <w:pPr>
              <w:pStyle w:val="StyleZakonu"/>
              <w:rPr>
                <w:color w:val="000000" w:themeColor="text1"/>
              </w:rPr>
            </w:pPr>
            <w:r w:rsidRPr="00286216">
              <w:rPr>
                <w:color w:val="000000" w:themeColor="text1"/>
              </w:rPr>
              <w:t>а) у назві та тексті слово "управителя" у всіх відмінках замінити словами "адміністратора за випуском облігацій" у відповідному відмінку;</w:t>
            </w:r>
          </w:p>
        </w:tc>
      </w:tr>
      <w:tr w:rsidR="008C392C" w:rsidRPr="00286216" w14:paraId="2C4C3EB7" w14:textId="77777777" w:rsidTr="00091AA5">
        <w:tc>
          <w:tcPr>
            <w:tcW w:w="576" w:type="dxa"/>
          </w:tcPr>
          <w:p w14:paraId="0C8E95C7" w14:textId="77777777" w:rsidR="008C392C" w:rsidRPr="00286216" w:rsidRDefault="008C392C" w:rsidP="008C392C">
            <w:pPr>
              <w:pStyle w:val="StyleWisnow"/>
              <w:rPr>
                <w:color w:val="000000" w:themeColor="text1"/>
              </w:rPr>
            </w:pPr>
            <w:bookmarkStart w:id="3348" w:name="n3478" w:colFirst="0" w:colLast="0"/>
            <w:bookmarkEnd w:id="3347"/>
            <w:r w:rsidRPr="00286216">
              <w:rPr>
                <w:color w:val="000000" w:themeColor="text1"/>
              </w:rPr>
              <w:t>3478.</w:t>
            </w:r>
          </w:p>
        </w:tc>
        <w:tc>
          <w:tcPr>
            <w:tcW w:w="4818" w:type="dxa"/>
          </w:tcPr>
          <w:p w14:paraId="5514A6FE" w14:textId="77777777" w:rsidR="008C392C" w:rsidRPr="00286216" w:rsidRDefault="008C392C" w:rsidP="008C392C">
            <w:pPr>
              <w:pStyle w:val="StyleZakonu"/>
              <w:rPr>
                <w:color w:val="000000" w:themeColor="text1"/>
              </w:rPr>
            </w:pPr>
            <w:r w:rsidRPr="00286216">
              <w:rPr>
                <w:color w:val="000000" w:themeColor="text1"/>
              </w:rPr>
              <w:t>б) у пункті четвертому частини другої:</w:t>
            </w:r>
          </w:p>
        </w:tc>
        <w:tc>
          <w:tcPr>
            <w:tcW w:w="3686" w:type="dxa"/>
          </w:tcPr>
          <w:p w14:paraId="145744DA" w14:textId="77777777" w:rsidR="008C392C" w:rsidRPr="00286216" w:rsidRDefault="008C392C" w:rsidP="008C392C">
            <w:pPr>
              <w:pStyle w:val="StyleProp"/>
              <w:rPr>
                <w:color w:val="000000" w:themeColor="text1"/>
                <w:szCs w:val="18"/>
              </w:rPr>
            </w:pPr>
          </w:p>
        </w:tc>
        <w:tc>
          <w:tcPr>
            <w:tcW w:w="1987" w:type="dxa"/>
          </w:tcPr>
          <w:p w14:paraId="72F92C38" w14:textId="77777777" w:rsidR="008C392C" w:rsidRPr="00286216" w:rsidRDefault="008C392C" w:rsidP="008C392C">
            <w:pPr>
              <w:pStyle w:val="StyleWisnow"/>
              <w:rPr>
                <w:color w:val="000000" w:themeColor="text1"/>
              </w:rPr>
            </w:pPr>
          </w:p>
        </w:tc>
        <w:tc>
          <w:tcPr>
            <w:tcW w:w="4818" w:type="dxa"/>
          </w:tcPr>
          <w:p w14:paraId="5C22560E" w14:textId="4D7454B7" w:rsidR="008C392C" w:rsidRPr="00286216" w:rsidRDefault="008C392C" w:rsidP="008C392C">
            <w:pPr>
              <w:pStyle w:val="StyleZakonu"/>
              <w:rPr>
                <w:color w:val="000000" w:themeColor="text1"/>
              </w:rPr>
            </w:pPr>
            <w:r w:rsidRPr="00286216">
              <w:rPr>
                <w:color w:val="000000" w:themeColor="text1"/>
              </w:rPr>
              <w:t>б) у пункті  4 частини другої слово "загальних" виключити та доповнити словами "та їх засідань";</w:t>
            </w:r>
          </w:p>
        </w:tc>
      </w:tr>
      <w:tr w:rsidR="008C392C" w:rsidRPr="00286216" w14:paraId="250F7BD1" w14:textId="77777777" w:rsidTr="00091AA5">
        <w:tc>
          <w:tcPr>
            <w:tcW w:w="576" w:type="dxa"/>
          </w:tcPr>
          <w:p w14:paraId="040EADFA" w14:textId="77777777" w:rsidR="008C392C" w:rsidRPr="00286216" w:rsidRDefault="008C392C" w:rsidP="008C392C">
            <w:pPr>
              <w:pStyle w:val="StyleWisnow"/>
              <w:rPr>
                <w:color w:val="000000" w:themeColor="text1"/>
              </w:rPr>
            </w:pPr>
            <w:bookmarkStart w:id="3349" w:name="n3479" w:colFirst="0" w:colLast="0"/>
            <w:bookmarkEnd w:id="3348"/>
            <w:r w:rsidRPr="00286216">
              <w:rPr>
                <w:color w:val="000000" w:themeColor="text1"/>
              </w:rPr>
              <w:t>3479.</w:t>
            </w:r>
          </w:p>
        </w:tc>
        <w:tc>
          <w:tcPr>
            <w:tcW w:w="4818" w:type="dxa"/>
          </w:tcPr>
          <w:p w14:paraId="42350BD7" w14:textId="77777777" w:rsidR="008C392C" w:rsidRPr="00286216" w:rsidRDefault="008C392C" w:rsidP="008C392C">
            <w:pPr>
              <w:pStyle w:val="StyleZakonu"/>
              <w:rPr>
                <w:color w:val="000000" w:themeColor="text1"/>
              </w:rPr>
            </w:pPr>
            <w:r w:rsidRPr="00286216">
              <w:rPr>
                <w:color w:val="000000" w:themeColor="text1"/>
              </w:rPr>
              <w:t>слово "загальних" виключити;</w:t>
            </w:r>
          </w:p>
        </w:tc>
        <w:tc>
          <w:tcPr>
            <w:tcW w:w="3686" w:type="dxa"/>
          </w:tcPr>
          <w:p w14:paraId="0813FD8B" w14:textId="77777777" w:rsidR="008C392C" w:rsidRPr="00286216" w:rsidRDefault="008C392C" w:rsidP="008C392C">
            <w:pPr>
              <w:pStyle w:val="StyleProp"/>
              <w:rPr>
                <w:color w:val="000000" w:themeColor="text1"/>
                <w:szCs w:val="18"/>
              </w:rPr>
            </w:pPr>
          </w:p>
        </w:tc>
        <w:tc>
          <w:tcPr>
            <w:tcW w:w="1987" w:type="dxa"/>
          </w:tcPr>
          <w:p w14:paraId="01F26716" w14:textId="77777777" w:rsidR="008C392C" w:rsidRPr="00286216" w:rsidRDefault="008C392C" w:rsidP="008C392C">
            <w:pPr>
              <w:pStyle w:val="StyleWisnow"/>
              <w:rPr>
                <w:color w:val="000000" w:themeColor="text1"/>
              </w:rPr>
            </w:pPr>
          </w:p>
        </w:tc>
        <w:tc>
          <w:tcPr>
            <w:tcW w:w="4818" w:type="dxa"/>
          </w:tcPr>
          <w:p w14:paraId="4B696333" w14:textId="02E2C288" w:rsidR="008C392C" w:rsidRPr="00286216" w:rsidRDefault="008C392C" w:rsidP="008C392C">
            <w:pPr>
              <w:pStyle w:val="StyleZakonu"/>
              <w:rPr>
                <w:color w:val="000000" w:themeColor="text1"/>
              </w:rPr>
            </w:pPr>
          </w:p>
        </w:tc>
      </w:tr>
      <w:tr w:rsidR="008C392C" w:rsidRPr="00286216" w14:paraId="6722A80F" w14:textId="77777777" w:rsidTr="00091AA5">
        <w:tc>
          <w:tcPr>
            <w:tcW w:w="576" w:type="dxa"/>
          </w:tcPr>
          <w:p w14:paraId="5E0DB4B3" w14:textId="77777777" w:rsidR="008C392C" w:rsidRPr="00286216" w:rsidRDefault="008C392C" w:rsidP="008C392C">
            <w:pPr>
              <w:pStyle w:val="StyleWisnow"/>
              <w:rPr>
                <w:color w:val="000000" w:themeColor="text1"/>
              </w:rPr>
            </w:pPr>
            <w:bookmarkStart w:id="3350" w:name="n3480" w:colFirst="0" w:colLast="0"/>
            <w:bookmarkEnd w:id="3349"/>
            <w:r w:rsidRPr="00286216">
              <w:rPr>
                <w:color w:val="000000" w:themeColor="text1"/>
              </w:rPr>
              <w:t>3480.</w:t>
            </w:r>
          </w:p>
        </w:tc>
        <w:tc>
          <w:tcPr>
            <w:tcW w:w="4818" w:type="dxa"/>
          </w:tcPr>
          <w:p w14:paraId="4EDA2492" w14:textId="77777777" w:rsidR="008C392C" w:rsidRPr="00286216" w:rsidRDefault="008C392C" w:rsidP="008C392C">
            <w:pPr>
              <w:pStyle w:val="StyleZakonu"/>
              <w:rPr>
                <w:color w:val="000000" w:themeColor="text1"/>
              </w:rPr>
            </w:pPr>
            <w:r w:rsidRPr="00286216">
              <w:rPr>
                <w:color w:val="000000" w:themeColor="text1"/>
              </w:rPr>
              <w:t>доповнити пункт словами "та їх засідань";</w:t>
            </w:r>
          </w:p>
        </w:tc>
        <w:tc>
          <w:tcPr>
            <w:tcW w:w="3686" w:type="dxa"/>
          </w:tcPr>
          <w:p w14:paraId="21B9E44F" w14:textId="77777777" w:rsidR="008C392C" w:rsidRPr="00286216" w:rsidRDefault="008C392C" w:rsidP="008C392C">
            <w:pPr>
              <w:pStyle w:val="StyleProp"/>
              <w:rPr>
                <w:color w:val="000000" w:themeColor="text1"/>
                <w:szCs w:val="18"/>
              </w:rPr>
            </w:pPr>
          </w:p>
        </w:tc>
        <w:tc>
          <w:tcPr>
            <w:tcW w:w="1987" w:type="dxa"/>
          </w:tcPr>
          <w:p w14:paraId="73787A6C" w14:textId="77777777" w:rsidR="008C392C" w:rsidRPr="00286216" w:rsidRDefault="008C392C" w:rsidP="008C392C">
            <w:pPr>
              <w:pStyle w:val="StyleWisnow"/>
              <w:rPr>
                <w:color w:val="000000" w:themeColor="text1"/>
              </w:rPr>
            </w:pPr>
          </w:p>
        </w:tc>
        <w:tc>
          <w:tcPr>
            <w:tcW w:w="4818" w:type="dxa"/>
          </w:tcPr>
          <w:p w14:paraId="6FFD6543" w14:textId="504D8AE9" w:rsidR="008C392C" w:rsidRPr="00286216" w:rsidRDefault="008C392C" w:rsidP="008C392C">
            <w:pPr>
              <w:pStyle w:val="StyleZakonu"/>
              <w:rPr>
                <w:color w:val="000000" w:themeColor="text1"/>
              </w:rPr>
            </w:pPr>
          </w:p>
        </w:tc>
      </w:tr>
      <w:tr w:rsidR="008C392C" w:rsidRPr="00286216" w14:paraId="71226391" w14:textId="77777777" w:rsidTr="00091AA5">
        <w:tc>
          <w:tcPr>
            <w:tcW w:w="576" w:type="dxa"/>
          </w:tcPr>
          <w:p w14:paraId="379636DE" w14:textId="77777777" w:rsidR="008C392C" w:rsidRPr="00286216" w:rsidRDefault="008C392C" w:rsidP="008C392C">
            <w:pPr>
              <w:pStyle w:val="StyleWisnow"/>
              <w:rPr>
                <w:color w:val="000000" w:themeColor="text1"/>
              </w:rPr>
            </w:pPr>
            <w:bookmarkStart w:id="3351" w:name="n3481" w:colFirst="0" w:colLast="0"/>
            <w:bookmarkEnd w:id="3350"/>
            <w:r w:rsidRPr="00286216">
              <w:rPr>
                <w:color w:val="000000" w:themeColor="text1"/>
              </w:rPr>
              <w:t>3481.</w:t>
            </w:r>
          </w:p>
        </w:tc>
        <w:tc>
          <w:tcPr>
            <w:tcW w:w="4818" w:type="dxa"/>
          </w:tcPr>
          <w:p w14:paraId="18C3C050" w14:textId="77777777" w:rsidR="008C392C" w:rsidRPr="00286216" w:rsidRDefault="008C392C" w:rsidP="008C392C">
            <w:pPr>
              <w:pStyle w:val="StyleZakonu"/>
              <w:rPr>
                <w:color w:val="000000" w:themeColor="text1"/>
              </w:rPr>
            </w:pPr>
            <w:r w:rsidRPr="00286216">
              <w:rPr>
                <w:color w:val="000000" w:themeColor="text1"/>
              </w:rPr>
              <w:t>16) статтю 26 викласти в такій редакції:</w:t>
            </w:r>
          </w:p>
        </w:tc>
        <w:tc>
          <w:tcPr>
            <w:tcW w:w="3686" w:type="dxa"/>
          </w:tcPr>
          <w:p w14:paraId="28B5727D" w14:textId="77777777" w:rsidR="008C392C" w:rsidRPr="00286216" w:rsidRDefault="008C392C" w:rsidP="008C392C">
            <w:pPr>
              <w:pStyle w:val="StyleProp"/>
              <w:rPr>
                <w:color w:val="000000" w:themeColor="text1"/>
                <w:szCs w:val="18"/>
              </w:rPr>
            </w:pPr>
          </w:p>
        </w:tc>
        <w:tc>
          <w:tcPr>
            <w:tcW w:w="1987" w:type="dxa"/>
          </w:tcPr>
          <w:p w14:paraId="53F5EC71" w14:textId="77777777" w:rsidR="008C392C" w:rsidRPr="00286216" w:rsidRDefault="008C392C" w:rsidP="008C392C">
            <w:pPr>
              <w:pStyle w:val="StyleWisnow"/>
              <w:rPr>
                <w:color w:val="000000" w:themeColor="text1"/>
              </w:rPr>
            </w:pPr>
          </w:p>
        </w:tc>
        <w:tc>
          <w:tcPr>
            <w:tcW w:w="4818" w:type="dxa"/>
          </w:tcPr>
          <w:p w14:paraId="1C7C8C63" w14:textId="5540C11E" w:rsidR="008C392C" w:rsidRPr="00286216" w:rsidRDefault="008C392C" w:rsidP="008C392C">
            <w:pPr>
              <w:pStyle w:val="StyleZakonu"/>
              <w:rPr>
                <w:color w:val="000000" w:themeColor="text1"/>
              </w:rPr>
            </w:pPr>
            <w:r w:rsidRPr="00286216">
              <w:rPr>
                <w:color w:val="000000" w:themeColor="text1"/>
              </w:rPr>
              <w:t>16) статтю 26 викласти в такій редакції:</w:t>
            </w:r>
          </w:p>
        </w:tc>
      </w:tr>
      <w:tr w:rsidR="008C392C" w:rsidRPr="00286216" w14:paraId="6BE9DF4A" w14:textId="77777777" w:rsidTr="00091AA5">
        <w:tc>
          <w:tcPr>
            <w:tcW w:w="576" w:type="dxa"/>
          </w:tcPr>
          <w:p w14:paraId="4F5294F5" w14:textId="77777777" w:rsidR="008C392C" w:rsidRPr="00286216" w:rsidRDefault="008C392C" w:rsidP="008C392C">
            <w:pPr>
              <w:pStyle w:val="StyleWisnow"/>
              <w:rPr>
                <w:color w:val="000000" w:themeColor="text1"/>
              </w:rPr>
            </w:pPr>
            <w:bookmarkStart w:id="3352" w:name="n3482" w:colFirst="0" w:colLast="0"/>
            <w:bookmarkEnd w:id="3351"/>
            <w:r w:rsidRPr="00286216">
              <w:rPr>
                <w:color w:val="000000" w:themeColor="text1"/>
              </w:rPr>
              <w:t>3482.</w:t>
            </w:r>
          </w:p>
        </w:tc>
        <w:tc>
          <w:tcPr>
            <w:tcW w:w="4818" w:type="dxa"/>
          </w:tcPr>
          <w:p w14:paraId="2E294868" w14:textId="77777777" w:rsidR="008C392C" w:rsidRPr="00286216" w:rsidRDefault="008C392C" w:rsidP="008C392C">
            <w:pPr>
              <w:pStyle w:val="StyleZakonu"/>
              <w:rPr>
                <w:color w:val="000000" w:themeColor="text1"/>
              </w:rPr>
            </w:pPr>
            <w:r w:rsidRPr="00286216">
              <w:rPr>
                <w:color w:val="000000" w:themeColor="text1"/>
              </w:rPr>
              <w:t>"Стаття 26. Збори власників структурованих іпотечних облігацій</w:t>
            </w:r>
          </w:p>
        </w:tc>
        <w:tc>
          <w:tcPr>
            <w:tcW w:w="3686" w:type="dxa"/>
          </w:tcPr>
          <w:p w14:paraId="00CB899D" w14:textId="77777777" w:rsidR="008C392C" w:rsidRPr="00286216" w:rsidRDefault="008C392C" w:rsidP="008C392C">
            <w:pPr>
              <w:pStyle w:val="StyleProp"/>
              <w:rPr>
                <w:color w:val="000000" w:themeColor="text1"/>
                <w:szCs w:val="18"/>
              </w:rPr>
            </w:pPr>
          </w:p>
        </w:tc>
        <w:tc>
          <w:tcPr>
            <w:tcW w:w="1987" w:type="dxa"/>
          </w:tcPr>
          <w:p w14:paraId="1B6AF89F" w14:textId="77777777" w:rsidR="008C392C" w:rsidRPr="00286216" w:rsidRDefault="008C392C" w:rsidP="008C392C">
            <w:pPr>
              <w:pStyle w:val="StyleWisnow"/>
              <w:rPr>
                <w:color w:val="000000" w:themeColor="text1"/>
              </w:rPr>
            </w:pPr>
          </w:p>
        </w:tc>
        <w:tc>
          <w:tcPr>
            <w:tcW w:w="4818" w:type="dxa"/>
          </w:tcPr>
          <w:p w14:paraId="71D0A228" w14:textId="40874915" w:rsidR="008C392C" w:rsidRPr="00286216" w:rsidRDefault="008C392C" w:rsidP="008C392C">
            <w:pPr>
              <w:pStyle w:val="StyleZakonu"/>
              <w:rPr>
                <w:color w:val="000000" w:themeColor="text1"/>
              </w:rPr>
            </w:pPr>
            <w:r w:rsidRPr="00286216">
              <w:rPr>
                <w:color w:val="000000" w:themeColor="text1"/>
              </w:rPr>
              <w:t>"Стаття 26. Збори власників структурованих іпотечних облігацій</w:t>
            </w:r>
          </w:p>
        </w:tc>
      </w:tr>
      <w:tr w:rsidR="008C392C" w:rsidRPr="00286216" w14:paraId="243FDBDA" w14:textId="77777777" w:rsidTr="00091AA5">
        <w:tc>
          <w:tcPr>
            <w:tcW w:w="576" w:type="dxa"/>
          </w:tcPr>
          <w:p w14:paraId="0627FAC5" w14:textId="77777777" w:rsidR="008C392C" w:rsidRPr="00286216" w:rsidRDefault="008C392C" w:rsidP="008C392C">
            <w:pPr>
              <w:pStyle w:val="StyleWisnow"/>
              <w:rPr>
                <w:color w:val="000000" w:themeColor="text1"/>
              </w:rPr>
            </w:pPr>
            <w:bookmarkStart w:id="3353" w:name="n3483" w:colFirst="0" w:colLast="0"/>
            <w:bookmarkEnd w:id="3352"/>
            <w:r w:rsidRPr="00286216">
              <w:rPr>
                <w:color w:val="000000" w:themeColor="text1"/>
              </w:rPr>
              <w:t>3483.</w:t>
            </w:r>
          </w:p>
        </w:tc>
        <w:tc>
          <w:tcPr>
            <w:tcW w:w="4818" w:type="dxa"/>
          </w:tcPr>
          <w:p w14:paraId="46CC05CC" w14:textId="77777777" w:rsidR="008C392C" w:rsidRPr="00286216" w:rsidRDefault="008C392C" w:rsidP="008C392C">
            <w:pPr>
              <w:pStyle w:val="StyleZakonu"/>
              <w:rPr>
                <w:color w:val="000000" w:themeColor="text1"/>
              </w:rPr>
            </w:pPr>
            <w:r w:rsidRPr="00286216">
              <w:rPr>
                <w:color w:val="000000" w:themeColor="text1"/>
              </w:rPr>
              <w:t>1. Рішення зборів власників структурованих іпотечних облігацій приймаються в порядку, передбаченому Законом України "Про ринки капіталу та організовані товарні ринки", з особливостями, передбаченими цим Законом.</w:t>
            </w:r>
          </w:p>
        </w:tc>
        <w:tc>
          <w:tcPr>
            <w:tcW w:w="3686" w:type="dxa"/>
          </w:tcPr>
          <w:p w14:paraId="1C073FB9" w14:textId="77777777" w:rsidR="008C392C" w:rsidRPr="00286216" w:rsidRDefault="008C392C" w:rsidP="008C392C">
            <w:pPr>
              <w:pStyle w:val="StyleProp"/>
              <w:rPr>
                <w:color w:val="000000" w:themeColor="text1"/>
                <w:szCs w:val="18"/>
              </w:rPr>
            </w:pPr>
          </w:p>
        </w:tc>
        <w:tc>
          <w:tcPr>
            <w:tcW w:w="1987" w:type="dxa"/>
          </w:tcPr>
          <w:p w14:paraId="5D24632A" w14:textId="77777777" w:rsidR="008C392C" w:rsidRPr="00286216" w:rsidRDefault="008C392C" w:rsidP="008C392C">
            <w:pPr>
              <w:pStyle w:val="StyleWisnow"/>
              <w:rPr>
                <w:color w:val="000000" w:themeColor="text1"/>
              </w:rPr>
            </w:pPr>
          </w:p>
        </w:tc>
        <w:tc>
          <w:tcPr>
            <w:tcW w:w="4818" w:type="dxa"/>
          </w:tcPr>
          <w:p w14:paraId="57FD1C9F" w14:textId="527E1A69" w:rsidR="008C392C" w:rsidRPr="00286216" w:rsidRDefault="008C392C" w:rsidP="008C392C">
            <w:pPr>
              <w:pStyle w:val="StyleZakonu"/>
              <w:rPr>
                <w:color w:val="000000" w:themeColor="text1"/>
              </w:rPr>
            </w:pPr>
            <w:r w:rsidRPr="00286216">
              <w:rPr>
                <w:color w:val="000000" w:themeColor="text1"/>
              </w:rPr>
              <w:t>1. Рішення зборів власників структурованих іпотечних облігацій приймаються в порядку, передбаченому Законом України "Про ринки капіталу та організовані товарні ринки" з особливостями, передбаченими цим Законом.</w:t>
            </w:r>
          </w:p>
        </w:tc>
      </w:tr>
      <w:tr w:rsidR="008C392C" w:rsidRPr="00286216" w14:paraId="484CECEB" w14:textId="77777777" w:rsidTr="00091AA5">
        <w:tc>
          <w:tcPr>
            <w:tcW w:w="576" w:type="dxa"/>
          </w:tcPr>
          <w:p w14:paraId="40E1F6BD" w14:textId="77777777" w:rsidR="008C392C" w:rsidRPr="00286216" w:rsidRDefault="008C392C" w:rsidP="008C392C">
            <w:pPr>
              <w:pStyle w:val="StyleWisnow"/>
              <w:rPr>
                <w:color w:val="000000" w:themeColor="text1"/>
              </w:rPr>
            </w:pPr>
            <w:bookmarkStart w:id="3354" w:name="n3484" w:colFirst="0" w:colLast="0"/>
            <w:bookmarkEnd w:id="3353"/>
            <w:r w:rsidRPr="00286216">
              <w:rPr>
                <w:color w:val="000000" w:themeColor="text1"/>
              </w:rPr>
              <w:t>3484.</w:t>
            </w:r>
          </w:p>
        </w:tc>
        <w:tc>
          <w:tcPr>
            <w:tcW w:w="4818" w:type="dxa"/>
          </w:tcPr>
          <w:p w14:paraId="37C38182" w14:textId="77777777" w:rsidR="008C392C" w:rsidRPr="00286216" w:rsidRDefault="008C392C" w:rsidP="008C392C">
            <w:pPr>
              <w:pStyle w:val="StyleZakonu"/>
              <w:rPr>
                <w:color w:val="000000" w:themeColor="text1"/>
              </w:rPr>
            </w:pPr>
            <w:r w:rsidRPr="00286216">
              <w:rPr>
                <w:color w:val="000000" w:themeColor="text1"/>
              </w:rPr>
              <w:t>2. Збори вважаються правомочними приймати рішення, якщо у голосуванні з будь-якого з питань порядку денного були подані голоси у кількості не менше 75 відсотків від загальної кількості голосів власників непогашених структурованих іпотечних облігацій за всіма випусками облігацій, виконання зобов’язань за якими забезпечене єдиним іпотечним покриттям.</w:t>
            </w:r>
          </w:p>
        </w:tc>
        <w:tc>
          <w:tcPr>
            <w:tcW w:w="3686" w:type="dxa"/>
          </w:tcPr>
          <w:p w14:paraId="624C31B0" w14:textId="77777777" w:rsidR="008C392C" w:rsidRPr="00286216" w:rsidRDefault="008C392C" w:rsidP="008C392C">
            <w:pPr>
              <w:pStyle w:val="StyleProp"/>
              <w:rPr>
                <w:color w:val="000000" w:themeColor="text1"/>
                <w:szCs w:val="18"/>
              </w:rPr>
            </w:pPr>
          </w:p>
        </w:tc>
        <w:tc>
          <w:tcPr>
            <w:tcW w:w="1987" w:type="dxa"/>
          </w:tcPr>
          <w:p w14:paraId="201B287F" w14:textId="77777777" w:rsidR="008C392C" w:rsidRPr="00286216" w:rsidRDefault="008C392C" w:rsidP="008C392C">
            <w:pPr>
              <w:pStyle w:val="StyleWisnow"/>
              <w:rPr>
                <w:color w:val="000000" w:themeColor="text1"/>
              </w:rPr>
            </w:pPr>
          </w:p>
        </w:tc>
        <w:tc>
          <w:tcPr>
            <w:tcW w:w="4818" w:type="dxa"/>
          </w:tcPr>
          <w:p w14:paraId="4CED57C5" w14:textId="78992CB0" w:rsidR="008C392C" w:rsidRPr="00286216" w:rsidRDefault="008C392C" w:rsidP="008C392C">
            <w:pPr>
              <w:pStyle w:val="StyleZakonu"/>
              <w:rPr>
                <w:color w:val="000000" w:themeColor="text1"/>
              </w:rPr>
            </w:pPr>
            <w:r w:rsidRPr="00286216">
              <w:rPr>
                <w:color w:val="000000" w:themeColor="text1"/>
              </w:rPr>
              <w:t>2. Збори вважаються правомочними приймати рішення, якщо у голосуванні з будь-якого  питання порядку денного були подані голоси у кількості не менше 75 відсотків від загальної кількості голосів власників непогашених структурованих іпотечних облігацій за всіма випусками облігацій, виконання зобов’язань за якими забезпечене єдиним іпотечним покриттям.</w:t>
            </w:r>
          </w:p>
        </w:tc>
      </w:tr>
      <w:tr w:rsidR="008C392C" w:rsidRPr="00286216" w14:paraId="343CE09A" w14:textId="77777777" w:rsidTr="00091AA5">
        <w:tc>
          <w:tcPr>
            <w:tcW w:w="576" w:type="dxa"/>
          </w:tcPr>
          <w:p w14:paraId="4A29D0BB" w14:textId="77777777" w:rsidR="008C392C" w:rsidRPr="00286216" w:rsidRDefault="008C392C" w:rsidP="008C392C">
            <w:pPr>
              <w:pStyle w:val="StyleWisnow"/>
              <w:rPr>
                <w:color w:val="000000" w:themeColor="text1"/>
              </w:rPr>
            </w:pPr>
            <w:bookmarkStart w:id="3355" w:name="n3485" w:colFirst="0" w:colLast="0"/>
            <w:bookmarkEnd w:id="3354"/>
            <w:r w:rsidRPr="00286216">
              <w:rPr>
                <w:color w:val="000000" w:themeColor="text1"/>
              </w:rPr>
              <w:t>3485.</w:t>
            </w:r>
          </w:p>
        </w:tc>
        <w:tc>
          <w:tcPr>
            <w:tcW w:w="4818" w:type="dxa"/>
          </w:tcPr>
          <w:p w14:paraId="41397C36" w14:textId="77777777" w:rsidR="008C392C" w:rsidRPr="00286216" w:rsidRDefault="008C392C" w:rsidP="008C392C">
            <w:pPr>
              <w:pStyle w:val="StyleZakonu"/>
              <w:rPr>
                <w:color w:val="000000" w:themeColor="text1"/>
              </w:rPr>
            </w:pPr>
            <w:r w:rsidRPr="00286216">
              <w:rPr>
                <w:color w:val="000000" w:themeColor="text1"/>
              </w:rPr>
              <w:t xml:space="preserve">Якщо на зборах не було прийнято рішення з жодного з питань порядку денного через </w:t>
            </w:r>
            <w:r w:rsidRPr="00286216">
              <w:rPr>
                <w:color w:val="000000" w:themeColor="text1"/>
              </w:rPr>
              <w:lastRenderedPageBreak/>
              <w:t>неправомочність зборів приймати рішення, повторні збори з тих самих питань порядку денного вважаються правомочними приймати рішення, якщо у голосуванні з будь-якого з питань порядку денного були подані голоси у кількості не менше 25 відсотків від загальної кількості голосів власників непогашених структурованих іпотечних облігацій за всіма випусками облігацій, виконання зобов’язань за якими забезпечене єдиним іпотечним покриттям.</w:t>
            </w:r>
          </w:p>
        </w:tc>
        <w:tc>
          <w:tcPr>
            <w:tcW w:w="3686" w:type="dxa"/>
          </w:tcPr>
          <w:p w14:paraId="555EFB22" w14:textId="77777777" w:rsidR="008C392C" w:rsidRPr="00286216" w:rsidRDefault="008C392C" w:rsidP="008C392C">
            <w:pPr>
              <w:pStyle w:val="StyleProp"/>
              <w:rPr>
                <w:color w:val="000000" w:themeColor="text1"/>
                <w:szCs w:val="18"/>
              </w:rPr>
            </w:pPr>
          </w:p>
        </w:tc>
        <w:tc>
          <w:tcPr>
            <w:tcW w:w="1987" w:type="dxa"/>
          </w:tcPr>
          <w:p w14:paraId="37D52730" w14:textId="77777777" w:rsidR="008C392C" w:rsidRPr="00286216" w:rsidRDefault="008C392C" w:rsidP="008C392C">
            <w:pPr>
              <w:pStyle w:val="StyleWisnow"/>
              <w:rPr>
                <w:color w:val="000000" w:themeColor="text1"/>
              </w:rPr>
            </w:pPr>
          </w:p>
        </w:tc>
        <w:tc>
          <w:tcPr>
            <w:tcW w:w="4818" w:type="dxa"/>
          </w:tcPr>
          <w:p w14:paraId="074D1C21" w14:textId="69099223" w:rsidR="008C392C" w:rsidRPr="00286216" w:rsidRDefault="008C392C" w:rsidP="008C392C">
            <w:pPr>
              <w:pStyle w:val="StyleZakonu"/>
              <w:rPr>
                <w:color w:val="000000" w:themeColor="text1"/>
              </w:rPr>
            </w:pPr>
            <w:r w:rsidRPr="00286216">
              <w:rPr>
                <w:color w:val="000000" w:themeColor="text1"/>
              </w:rPr>
              <w:t xml:space="preserve">Якщо на зборах не було прийнято рішення з жодного з питань порядку денного у зв’язку з </w:t>
            </w:r>
            <w:r w:rsidRPr="00286216">
              <w:rPr>
                <w:color w:val="000000" w:themeColor="text1"/>
              </w:rPr>
              <w:lastRenderedPageBreak/>
              <w:t>неправомочністю зборів приймати рішення, повторні збори з тих самих питань порядку денного вважаються правомочними приймати рішення, якщо у голосуванні з будь-якого питання порядку денного були подані голоси у кількості не менше 25 відсотків від загальної кількості голосів власників непогашених структурованих іпотечних облігацій за всіма випусками облігацій, виконання зобов’язань за якими забезпечене єдиним іпотечним покриттям.</w:t>
            </w:r>
          </w:p>
        </w:tc>
      </w:tr>
      <w:tr w:rsidR="008C392C" w:rsidRPr="00286216" w14:paraId="7526CC10" w14:textId="77777777" w:rsidTr="00091AA5">
        <w:tc>
          <w:tcPr>
            <w:tcW w:w="576" w:type="dxa"/>
          </w:tcPr>
          <w:p w14:paraId="1E8139C8" w14:textId="77777777" w:rsidR="008C392C" w:rsidRPr="00286216" w:rsidRDefault="008C392C" w:rsidP="008C392C">
            <w:pPr>
              <w:pStyle w:val="StyleWisnow"/>
              <w:rPr>
                <w:color w:val="000000" w:themeColor="text1"/>
              </w:rPr>
            </w:pPr>
            <w:bookmarkStart w:id="3356" w:name="n3486" w:colFirst="0" w:colLast="0"/>
            <w:bookmarkEnd w:id="3355"/>
            <w:r w:rsidRPr="00286216">
              <w:rPr>
                <w:color w:val="000000" w:themeColor="text1"/>
              </w:rPr>
              <w:lastRenderedPageBreak/>
              <w:t>3486.</w:t>
            </w:r>
          </w:p>
        </w:tc>
        <w:tc>
          <w:tcPr>
            <w:tcW w:w="4818" w:type="dxa"/>
          </w:tcPr>
          <w:p w14:paraId="5E926C38" w14:textId="77777777" w:rsidR="008C392C" w:rsidRPr="00286216" w:rsidRDefault="008C392C" w:rsidP="008C392C">
            <w:pPr>
              <w:pStyle w:val="StyleZakonu"/>
              <w:rPr>
                <w:color w:val="000000" w:themeColor="text1"/>
              </w:rPr>
            </w:pPr>
            <w:r w:rsidRPr="00286216">
              <w:rPr>
                <w:color w:val="000000" w:themeColor="text1"/>
              </w:rPr>
              <w:t>3. Крім питань, визначених Законом України "Про ринки капіталу та організовані товарні ринки", до компетенції зборів власників структурованих іпотечних облігацій належить прийняття рішень з таких питань:</w:t>
            </w:r>
          </w:p>
        </w:tc>
        <w:tc>
          <w:tcPr>
            <w:tcW w:w="3686" w:type="dxa"/>
          </w:tcPr>
          <w:p w14:paraId="324E93E2" w14:textId="77777777" w:rsidR="008C392C" w:rsidRPr="00286216" w:rsidRDefault="008C392C" w:rsidP="008C392C">
            <w:pPr>
              <w:pStyle w:val="StyleProp"/>
              <w:rPr>
                <w:color w:val="000000" w:themeColor="text1"/>
                <w:szCs w:val="18"/>
              </w:rPr>
            </w:pPr>
          </w:p>
        </w:tc>
        <w:tc>
          <w:tcPr>
            <w:tcW w:w="1987" w:type="dxa"/>
          </w:tcPr>
          <w:p w14:paraId="0B8C2264" w14:textId="77777777" w:rsidR="008C392C" w:rsidRPr="00286216" w:rsidRDefault="008C392C" w:rsidP="008C392C">
            <w:pPr>
              <w:pStyle w:val="StyleWisnow"/>
              <w:rPr>
                <w:color w:val="000000" w:themeColor="text1"/>
              </w:rPr>
            </w:pPr>
          </w:p>
        </w:tc>
        <w:tc>
          <w:tcPr>
            <w:tcW w:w="4818" w:type="dxa"/>
          </w:tcPr>
          <w:p w14:paraId="1A100F47" w14:textId="1C01E02D" w:rsidR="008C392C" w:rsidRPr="00286216" w:rsidRDefault="008C392C" w:rsidP="008C392C">
            <w:pPr>
              <w:pStyle w:val="StyleZakonu"/>
              <w:rPr>
                <w:color w:val="000000" w:themeColor="text1"/>
              </w:rPr>
            </w:pPr>
            <w:r w:rsidRPr="00286216">
              <w:rPr>
                <w:color w:val="000000" w:themeColor="text1"/>
              </w:rPr>
              <w:t>3. Крім питань, визначених Законом України "Про ринки капіталу та організовані товарні ринки", до компетенції зборів власників структурованих іпотечних облігацій належить прийняття рішень з таких питань:</w:t>
            </w:r>
          </w:p>
        </w:tc>
      </w:tr>
      <w:tr w:rsidR="008C392C" w:rsidRPr="00286216" w14:paraId="4D4DDBA2" w14:textId="77777777" w:rsidTr="00091AA5">
        <w:tc>
          <w:tcPr>
            <w:tcW w:w="576" w:type="dxa"/>
          </w:tcPr>
          <w:p w14:paraId="6C6F87A2" w14:textId="77777777" w:rsidR="008C392C" w:rsidRPr="00286216" w:rsidRDefault="008C392C" w:rsidP="008C392C">
            <w:pPr>
              <w:pStyle w:val="StyleWisnow"/>
              <w:rPr>
                <w:color w:val="000000" w:themeColor="text1"/>
              </w:rPr>
            </w:pPr>
            <w:bookmarkStart w:id="3357" w:name="n3487" w:colFirst="0" w:colLast="0"/>
            <w:bookmarkEnd w:id="3356"/>
            <w:r w:rsidRPr="00286216">
              <w:rPr>
                <w:color w:val="000000" w:themeColor="text1"/>
              </w:rPr>
              <w:t>3487.</w:t>
            </w:r>
          </w:p>
        </w:tc>
        <w:tc>
          <w:tcPr>
            <w:tcW w:w="4818" w:type="dxa"/>
          </w:tcPr>
          <w:p w14:paraId="0DB33B94" w14:textId="77777777" w:rsidR="008C392C" w:rsidRPr="00286216" w:rsidRDefault="008C392C" w:rsidP="008C392C">
            <w:pPr>
              <w:pStyle w:val="StyleZakonu"/>
              <w:rPr>
                <w:color w:val="000000" w:themeColor="text1"/>
              </w:rPr>
            </w:pPr>
            <w:r w:rsidRPr="00286216">
              <w:rPr>
                <w:color w:val="000000" w:themeColor="text1"/>
              </w:rPr>
              <w:t>1) строки та умови передачі іпотечного покриття в управління новому адміністратору за випуском облігацій;</w:t>
            </w:r>
          </w:p>
        </w:tc>
        <w:tc>
          <w:tcPr>
            <w:tcW w:w="3686" w:type="dxa"/>
          </w:tcPr>
          <w:p w14:paraId="30015BA2" w14:textId="77777777" w:rsidR="008C392C" w:rsidRPr="00286216" w:rsidRDefault="008C392C" w:rsidP="008C392C">
            <w:pPr>
              <w:pStyle w:val="StyleProp"/>
              <w:rPr>
                <w:color w:val="000000" w:themeColor="text1"/>
                <w:szCs w:val="18"/>
              </w:rPr>
            </w:pPr>
          </w:p>
        </w:tc>
        <w:tc>
          <w:tcPr>
            <w:tcW w:w="1987" w:type="dxa"/>
          </w:tcPr>
          <w:p w14:paraId="3F25188A" w14:textId="77777777" w:rsidR="008C392C" w:rsidRPr="00286216" w:rsidRDefault="008C392C" w:rsidP="008C392C">
            <w:pPr>
              <w:pStyle w:val="StyleWisnow"/>
              <w:rPr>
                <w:color w:val="000000" w:themeColor="text1"/>
              </w:rPr>
            </w:pPr>
          </w:p>
        </w:tc>
        <w:tc>
          <w:tcPr>
            <w:tcW w:w="4818" w:type="dxa"/>
          </w:tcPr>
          <w:p w14:paraId="0D2B32F0" w14:textId="570E9877" w:rsidR="008C392C" w:rsidRPr="00286216" w:rsidRDefault="008C392C" w:rsidP="008C392C">
            <w:pPr>
              <w:pStyle w:val="StyleZakonu"/>
              <w:rPr>
                <w:color w:val="000000" w:themeColor="text1"/>
              </w:rPr>
            </w:pPr>
            <w:r w:rsidRPr="00286216">
              <w:rPr>
                <w:color w:val="000000" w:themeColor="text1"/>
              </w:rPr>
              <w:t>1) строки та умови передачі іпотечного покриття в управління новому адміністратору за випуском облігацій;</w:t>
            </w:r>
          </w:p>
        </w:tc>
      </w:tr>
      <w:tr w:rsidR="008C392C" w:rsidRPr="00286216" w14:paraId="2012BB37" w14:textId="77777777" w:rsidTr="00091AA5">
        <w:tc>
          <w:tcPr>
            <w:tcW w:w="576" w:type="dxa"/>
          </w:tcPr>
          <w:p w14:paraId="3EEFA367" w14:textId="77777777" w:rsidR="008C392C" w:rsidRPr="00286216" w:rsidRDefault="008C392C" w:rsidP="008C392C">
            <w:pPr>
              <w:pStyle w:val="StyleWisnow"/>
              <w:rPr>
                <w:color w:val="000000" w:themeColor="text1"/>
              </w:rPr>
            </w:pPr>
            <w:bookmarkStart w:id="3358" w:name="n3488" w:colFirst="0" w:colLast="0"/>
            <w:bookmarkEnd w:id="3357"/>
            <w:r w:rsidRPr="00286216">
              <w:rPr>
                <w:color w:val="000000" w:themeColor="text1"/>
              </w:rPr>
              <w:t>3488.</w:t>
            </w:r>
          </w:p>
        </w:tc>
        <w:tc>
          <w:tcPr>
            <w:tcW w:w="4818" w:type="dxa"/>
          </w:tcPr>
          <w:p w14:paraId="0A5C8030" w14:textId="77777777" w:rsidR="008C392C" w:rsidRPr="00286216" w:rsidRDefault="008C392C" w:rsidP="008C392C">
            <w:pPr>
              <w:pStyle w:val="StyleZakonu"/>
              <w:rPr>
                <w:color w:val="000000" w:themeColor="text1"/>
              </w:rPr>
            </w:pPr>
            <w:r w:rsidRPr="00286216">
              <w:rPr>
                <w:color w:val="000000" w:themeColor="text1"/>
              </w:rPr>
              <w:t>2) визначення способу звернення стягнення та порядок відшкодування витрат, пов’язаних із зверненням стягнення і продажом іпотечного покриття;</w:t>
            </w:r>
          </w:p>
        </w:tc>
        <w:tc>
          <w:tcPr>
            <w:tcW w:w="3686" w:type="dxa"/>
          </w:tcPr>
          <w:p w14:paraId="19AE55C8" w14:textId="77777777" w:rsidR="008C392C" w:rsidRPr="00286216" w:rsidRDefault="008C392C" w:rsidP="008C392C">
            <w:pPr>
              <w:pStyle w:val="StyleProp"/>
              <w:rPr>
                <w:color w:val="000000" w:themeColor="text1"/>
                <w:szCs w:val="18"/>
              </w:rPr>
            </w:pPr>
          </w:p>
        </w:tc>
        <w:tc>
          <w:tcPr>
            <w:tcW w:w="1987" w:type="dxa"/>
          </w:tcPr>
          <w:p w14:paraId="501D90CE" w14:textId="77777777" w:rsidR="008C392C" w:rsidRPr="00286216" w:rsidRDefault="008C392C" w:rsidP="008C392C">
            <w:pPr>
              <w:pStyle w:val="StyleWisnow"/>
              <w:rPr>
                <w:color w:val="000000" w:themeColor="text1"/>
              </w:rPr>
            </w:pPr>
          </w:p>
        </w:tc>
        <w:tc>
          <w:tcPr>
            <w:tcW w:w="4818" w:type="dxa"/>
          </w:tcPr>
          <w:p w14:paraId="1948FCB0" w14:textId="0E017683" w:rsidR="008C392C" w:rsidRPr="00286216" w:rsidRDefault="008C392C" w:rsidP="008C392C">
            <w:pPr>
              <w:pStyle w:val="StyleZakonu"/>
              <w:rPr>
                <w:color w:val="000000" w:themeColor="text1"/>
              </w:rPr>
            </w:pPr>
            <w:r w:rsidRPr="00286216">
              <w:rPr>
                <w:color w:val="000000" w:themeColor="text1"/>
              </w:rPr>
              <w:t>2) визначення способу звернення стягнення та порядок відшкодування витрат, пов’язаних із зверненням стягнення і продажом іпотечного покриття;</w:t>
            </w:r>
          </w:p>
        </w:tc>
      </w:tr>
      <w:tr w:rsidR="008C392C" w:rsidRPr="00286216" w14:paraId="184F32FA" w14:textId="77777777" w:rsidTr="00091AA5">
        <w:tc>
          <w:tcPr>
            <w:tcW w:w="576" w:type="dxa"/>
          </w:tcPr>
          <w:p w14:paraId="09A4E734" w14:textId="77777777" w:rsidR="008C392C" w:rsidRPr="00286216" w:rsidRDefault="008C392C" w:rsidP="008C392C">
            <w:pPr>
              <w:pStyle w:val="StyleWisnow"/>
              <w:rPr>
                <w:color w:val="000000" w:themeColor="text1"/>
              </w:rPr>
            </w:pPr>
            <w:bookmarkStart w:id="3359" w:name="n3489" w:colFirst="0" w:colLast="0"/>
            <w:bookmarkEnd w:id="3358"/>
            <w:r w:rsidRPr="00286216">
              <w:rPr>
                <w:color w:val="000000" w:themeColor="text1"/>
              </w:rPr>
              <w:t>3489.</w:t>
            </w:r>
          </w:p>
        </w:tc>
        <w:tc>
          <w:tcPr>
            <w:tcW w:w="4818" w:type="dxa"/>
          </w:tcPr>
          <w:p w14:paraId="16466E8A" w14:textId="77777777" w:rsidR="008C392C" w:rsidRPr="00286216" w:rsidRDefault="008C392C" w:rsidP="008C392C">
            <w:pPr>
              <w:pStyle w:val="StyleZakonu"/>
              <w:rPr>
                <w:color w:val="000000" w:themeColor="text1"/>
              </w:rPr>
            </w:pPr>
            <w:r w:rsidRPr="00286216">
              <w:rPr>
                <w:color w:val="000000" w:themeColor="text1"/>
              </w:rPr>
              <w:t>3) призначення позапланової аудиторської перевірки або позапланової перевірки іпотечного покриття;</w:t>
            </w:r>
          </w:p>
        </w:tc>
        <w:tc>
          <w:tcPr>
            <w:tcW w:w="3686" w:type="dxa"/>
          </w:tcPr>
          <w:p w14:paraId="270B63E6" w14:textId="77777777" w:rsidR="008C392C" w:rsidRPr="00286216" w:rsidRDefault="008C392C" w:rsidP="008C392C">
            <w:pPr>
              <w:pStyle w:val="StyleProp"/>
              <w:rPr>
                <w:color w:val="000000" w:themeColor="text1"/>
                <w:szCs w:val="18"/>
              </w:rPr>
            </w:pPr>
          </w:p>
        </w:tc>
        <w:tc>
          <w:tcPr>
            <w:tcW w:w="1987" w:type="dxa"/>
          </w:tcPr>
          <w:p w14:paraId="7B043822" w14:textId="77777777" w:rsidR="008C392C" w:rsidRPr="00286216" w:rsidRDefault="008C392C" w:rsidP="008C392C">
            <w:pPr>
              <w:pStyle w:val="StyleWisnow"/>
              <w:rPr>
                <w:color w:val="000000" w:themeColor="text1"/>
              </w:rPr>
            </w:pPr>
          </w:p>
        </w:tc>
        <w:tc>
          <w:tcPr>
            <w:tcW w:w="4818" w:type="dxa"/>
          </w:tcPr>
          <w:p w14:paraId="6BEA586D" w14:textId="6264A5AE" w:rsidR="008C392C" w:rsidRPr="00286216" w:rsidRDefault="008C392C" w:rsidP="008C392C">
            <w:pPr>
              <w:pStyle w:val="StyleZakonu"/>
              <w:rPr>
                <w:color w:val="000000" w:themeColor="text1"/>
              </w:rPr>
            </w:pPr>
            <w:r w:rsidRPr="00286216">
              <w:rPr>
                <w:color w:val="000000" w:themeColor="text1"/>
              </w:rPr>
              <w:t>3) призначення позапланової аудиторської перевірки або позапланової перевірки іпотечного покриття;</w:t>
            </w:r>
          </w:p>
        </w:tc>
      </w:tr>
      <w:tr w:rsidR="008C392C" w:rsidRPr="00286216" w14:paraId="6BAABCF3" w14:textId="77777777" w:rsidTr="00091AA5">
        <w:tc>
          <w:tcPr>
            <w:tcW w:w="576" w:type="dxa"/>
          </w:tcPr>
          <w:p w14:paraId="31637185" w14:textId="77777777" w:rsidR="008C392C" w:rsidRPr="00286216" w:rsidRDefault="008C392C" w:rsidP="008C392C">
            <w:pPr>
              <w:pStyle w:val="StyleWisnow"/>
              <w:rPr>
                <w:color w:val="000000" w:themeColor="text1"/>
              </w:rPr>
            </w:pPr>
            <w:bookmarkStart w:id="3360" w:name="n3490" w:colFirst="0" w:colLast="0"/>
            <w:bookmarkEnd w:id="3359"/>
            <w:r w:rsidRPr="00286216">
              <w:rPr>
                <w:color w:val="000000" w:themeColor="text1"/>
              </w:rPr>
              <w:t>3490.</w:t>
            </w:r>
          </w:p>
        </w:tc>
        <w:tc>
          <w:tcPr>
            <w:tcW w:w="4818" w:type="dxa"/>
          </w:tcPr>
          <w:p w14:paraId="4F06C6D8" w14:textId="77777777" w:rsidR="008C392C" w:rsidRPr="00286216" w:rsidRDefault="008C392C" w:rsidP="008C392C">
            <w:pPr>
              <w:pStyle w:val="StyleZakonu"/>
              <w:rPr>
                <w:color w:val="000000" w:themeColor="text1"/>
              </w:rPr>
            </w:pPr>
            <w:r w:rsidRPr="00286216">
              <w:rPr>
                <w:color w:val="000000" w:themeColor="text1"/>
              </w:rPr>
              <w:t>4) з інших питань відповідно до проспекту цінних паперів (рішення про емісію цінних паперів).";</w:t>
            </w:r>
          </w:p>
        </w:tc>
        <w:tc>
          <w:tcPr>
            <w:tcW w:w="3686" w:type="dxa"/>
          </w:tcPr>
          <w:p w14:paraId="520729E7" w14:textId="77777777" w:rsidR="008C392C" w:rsidRPr="00286216" w:rsidRDefault="008C392C" w:rsidP="008C392C">
            <w:pPr>
              <w:pStyle w:val="StyleProp"/>
              <w:rPr>
                <w:color w:val="000000" w:themeColor="text1"/>
                <w:szCs w:val="18"/>
              </w:rPr>
            </w:pPr>
          </w:p>
        </w:tc>
        <w:tc>
          <w:tcPr>
            <w:tcW w:w="1987" w:type="dxa"/>
          </w:tcPr>
          <w:p w14:paraId="77DF7029" w14:textId="77777777" w:rsidR="008C392C" w:rsidRPr="00286216" w:rsidRDefault="008C392C" w:rsidP="008C392C">
            <w:pPr>
              <w:pStyle w:val="StyleWisnow"/>
              <w:rPr>
                <w:color w:val="000000" w:themeColor="text1"/>
              </w:rPr>
            </w:pPr>
          </w:p>
        </w:tc>
        <w:tc>
          <w:tcPr>
            <w:tcW w:w="4818" w:type="dxa"/>
          </w:tcPr>
          <w:p w14:paraId="51DECEA7" w14:textId="69CA03CC" w:rsidR="008C392C" w:rsidRPr="00286216" w:rsidRDefault="008C392C" w:rsidP="008C392C">
            <w:pPr>
              <w:pStyle w:val="StyleZakonu"/>
              <w:rPr>
                <w:color w:val="000000" w:themeColor="text1"/>
              </w:rPr>
            </w:pPr>
            <w:r w:rsidRPr="00286216">
              <w:rPr>
                <w:color w:val="000000" w:themeColor="text1"/>
              </w:rPr>
              <w:t>4) з інших питань відповідно до проспекту цінних паперів (рішення про емісію цінних паперів)";</w:t>
            </w:r>
          </w:p>
        </w:tc>
      </w:tr>
      <w:tr w:rsidR="008C392C" w:rsidRPr="00286216" w14:paraId="264DE819" w14:textId="77777777" w:rsidTr="00091AA5">
        <w:tc>
          <w:tcPr>
            <w:tcW w:w="576" w:type="dxa"/>
          </w:tcPr>
          <w:p w14:paraId="101F9FC8" w14:textId="77777777" w:rsidR="008C392C" w:rsidRPr="00286216" w:rsidRDefault="008C392C" w:rsidP="008C392C">
            <w:pPr>
              <w:pStyle w:val="StyleWisnow"/>
              <w:rPr>
                <w:color w:val="000000" w:themeColor="text1"/>
              </w:rPr>
            </w:pPr>
            <w:bookmarkStart w:id="3361" w:name="n3491" w:colFirst="0" w:colLast="0"/>
            <w:bookmarkEnd w:id="3360"/>
            <w:r w:rsidRPr="00286216">
              <w:rPr>
                <w:color w:val="000000" w:themeColor="text1"/>
              </w:rPr>
              <w:t>3491.</w:t>
            </w:r>
          </w:p>
        </w:tc>
        <w:tc>
          <w:tcPr>
            <w:tcW w:w="4818" w:type="dxa"/>
          </w:tcPr>
          <w:p w14:paraId="2841658B" w14:textId="77777777" w:rsidR="008C392C" w:rsidRPr="00286216" w:rsidRDefault="008C392C" w:rsidP="008C392C">
            <w:pPr>
              <w:pStyle w:val="StyleZakonu"/>
              <w:rPr>
                <w:color w:val="000000" w:themeColor="text1"/>
              </w:rPr>
            </w:pPr>
            <w:r w:rsidRPr="00286216">
              <w:rPr>
                <w:color w:val="000000" w:themeColor="text1"/>
              </w:rPr>
              <w:t>17) у тексті Закону слова "з цінних паперів та фондового ринку" замінити словами "з цінних паперів та фондового ринку", а слова "проспект емісії" та "проспект їх емісії" в усіх відмінках замінити словами " проспект (рішення про емісію )" у відповідному відмінку.</w:t>
            </w:r>
          </w:p>
        </w:tc>
        <w:tc>
          <w:tcPr>
            <w:tcW w:w="3686" w:type="dxa"/>
          </w:tcPr>
          <w:p w14:paraId="6FE14D93" w14:textId="77777777" w:rsidR="008C392C" w:rsidRPr="00286216" w:rsidRDefault="008C392C" w:rsidP="008C392C">
            <w:pPr>
              <w:pStyle w:val="StyleProp"/>
              <w:rPr>
                <w:color w:val="000000" w:themeColor="text1"/>
                <w:szCs w:val="18"/>
              </w:rPr>
            </w:pPr>
          </w:p>
        </w:tc>
        <w:tc>
          <w:tcPr>
            <w:tcW w:w="1987" w:type="dxa"/>
          </w:tcPr>
          <w:p w14:paraId="3169F691" w14:textId="77777777" w:rsidR="008C392C" w:rsidRPr="00286216" w:rsidRDefault="008C392C" w:rsidP="008C392C">
            <w:pPr>
              <w:pStyle w:val="StyleWisnow"/>
              <w:rPr>
                <w:color w:val="000000" w:themeColor="text1"/>
              </w:rPr>
            </w:pPr>
          </w:p>
        </w:tc>
        <w:tc>
          <w:tcPr>
            <w:tcW w:w="4818" w:type="dxa"/>
          </w:tcPr>
          <w:p w14:paraId="4924DD63" w14:textId="5F9AB432" w:rsidR="008C392C" w:rsidRPr="00286216" w:rsidRDefault="008C392C" w:rsidP="008C392C">
            <w:pPr>
              <w:pStyle w:val="StyleZakonu"/>
              <w:rPr>
                <w:color w:val="000000" w:themeColor="text1"/>
              </w:rPr>
            </w:pPr>
            <w:r w:rsidRPr="00286216">
              <w:rPr>
                <w:color w:val="000000" w:themeColor="text1"/>
              </w:rPr>
              <w:t>17) у тексті Закону слова "з цінних паперів та фондового ринку" замінити словами "з цінних паперів та фондового ринку", а слова "проспект емісії" та "проспект їх емісії" в усіх відмінках  - словами "проспект (рішення про емісію)" у відповідному відмінку.</w:t>
            </w:r>
          </w:p>
        </w:tc>
      </w:tr>
      <w:tr w:rsidR="008C392C" w:rsidRPr="00286216" w14:paraId="07B9A0E2" w14:textId="77777777" w:rsidTr="00091AA5">
        <w:tc>
          <w:tcPr>
            <w:tcW w:w="576" w:type="dxa"/>
          </w:tcPr>
          <w:p w14:paraId="15CDC55A" w14:textId="77777777" w:rsidR="008C392C" w:rsidRPr="00286216" w:rsidRDefault="008C392C" w:rsidP="008C392C">
            <w:pPr>
              <w:pStyle w:val="StyleWisnow"/>
              <w:rPr>
                <w:color w:val="000000" w:themeColor="text1"/>
              </w:rPr>
            </w:pPr>
            <w:bookmarkStart w:id="3362" w:name="n3492" w:colFirst="0" w:colLast="0"/>
            <w:bookmarkEnd w:id="3361"/>
            <w:r w:rsidRPr="00286216">
              <w:rPr>
                <w:color w:val="000000" w:themeColor="text1"/>
              </w:rPr>
              <w:t>3492.</w:t>
            </w:r>
          </w:p>
        </w:tc>
        <w:tc>
          <w:tcPr>
            <w:tcW w:w="4818" w:type="dxa"/>
          </w:tcPr>
          <w:p w14:paraId="1218BF00" w14:textId="77777777" w:rsidR="008C392C" w:rsidRPr="00286216" w:rsidRDefault="008C392C" w:rsidP="008C392C">
            <w:pPr>
              <w:pStyle w:val="StyleZakonu"/>
              <w:rPr>
                <w:color w:val="000000" w:themeColor="text1"/>
              </w:rPr>
            </w:pPr>
            <w:r w:rsidRPr="00286216">
              <w:rPr>
                <w:color w:val="000000" w:themeColor="text1"/>
              </w:rPr>
              <w:t>39. У пункті 13 частини 1 статті 21 Закону України "Про систему інженерно-технічного забезпечення агропромислового комплексу України" (Відомості Верховної Ради України, 2006 р., №47, ст. 464, із наступними змінами) слова "біржових угод" замінити словами "угод на організованих товарних ринках".</w:t>
            </w:r>
          </w:p>
        </w:tc>
        <w:tc>
          <w:tcPr>
            <w:tcW w:w="3686" w:type="dxa"/>
          </w:tcPr>
          <w:p w14:paraId="5A642A68" w14:textId="69CAFE3D" w:rsidR="008C392C" w:rsidRPr="00286216" w:rsidRDefault="008C392C" w:rsidP="008C392C">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1429</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FBBB597" w14:textId="77777777" w:rsidR="008C392C" w:rsidRPr="00286216" w:rsidRDefault="008C392C" w:rsidP="008C392C">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6F324B94" w14:textId="2775A7CC" w:rsidR="008C392C" w:rsidRPr="00286216" w:rsidRDefault="008C392C" w:rsidP="008C392C">
            <w:pPr>
              <w:pStyle w:val="StyleProp"/>
              <w:rPr>
                <w:color w:val="000000" w:themeColor="text1"/>
                <w:szCs w:val="18"/>
              </w:rPr>
            </w:pPr>
            <w:r w:rsidRPr="00286216">
              <w:rPr>
                <w:color w:val="000000" w:themeColor="text1"/>
                <w:szCs w:val="18"/>
              </w:rPr>
              <w:t>Пункт 39 виключити.</w:t>
            </w:r>
          </w:p>
        </w:tc>
        <w:tc>
          <w:tcPr>
            <w:tcW w:w="1987" w:type="dxa"/>
          </w:tcPr>
          <w:p w14:paraId="778A51EA" w14:textId="77777777" w:rsidR="008C392C" w:rsidRPr="00286216" w:rsidRDefault="008C392C" w:rsidP="008C392C">
            <w:pPr>
              <w:pStyle w:val="StyleWisnow"/>
              <w:rPr>
                <w:color w:val="000000" w:themeColor="text1"/>
              </w:rPr>
            </w:pPr>
            <w:r w:rsidRPr="00286216">
              <w:rPr>
                <w:color w:val="000000" w:themeColor="text1"/>
              </w:rPr>
              <w:t>Враховано</w:t>
            </w:r>
          </w:p>
        </w:tc>
        <w:tc>
          <w:tcPr>
            <w:tcW w:w="4818" w:type="dxa"/>
          </w:tcPr>
          <w:p w14:paraId="1075869B" w14:textId="77777777" w:rsidR="008C392C" w:rsidRPr="00286216" w:rsidRDefault="008C392C" w:rsidP="008C392C">
            <w:pPr>
              <w:pStyle w:val="StyleZakonu"/>
              <w:rPr>
                <w:color w:val="000000" w:themeColor="text1"/>
              </w:rPr>
            </w:pPr>
          </w:p>
        </w:tc>
      </w:tr>
      <w:tr w:rsidR="008C392C" w:rsidRPr="00286216" w14:paraId="0BC2E995" w14:textId="77777777" w:rsidTr="00091AA5">
        <w:tc>
          <w:tcPr>
            <w:tcW w:w="576" w:type="dxa"/>
          </w:tcPr>
          <w:p w14:paraId="775DB6E5" w14:textId="77777777" w:rsidR="008C392C" w:rsidRPr="00286216" w:rsidRDefault="008C392C" w:rsidP="008C392C">
            <w:pPr>
              <w:pStyle w:val="StyleWisnow"/>
              <w:rPr>
                <w:color w:val="000000" w:themeColor="text1"/>
              </w:rPr>
            </w:pPr>
            <w:bookmarkStart w:id="3363" w:name="n3493" w:colFirst="0" w:colLast="0"/>
            <w:bookmarkEnd w:id="3362"/>
            <w:r w:rsidRPr="00286216">
              <w:rPr>
                <w:color w:val="000000" w:themeColor="text1"/>
              </w:rPr>
              <w:t>3493.</w:t>
            </w:r>
          </w:p>
        </w:tc>
        <w:tc>
          <w:tcPr>
            <w:tcW w:w="4818" w:type="dxa"/>
          </w:tcPr>
          <w:p w14:paraId="613E6341" w14:textId="77777777" w:rsidR="008C392C" w:rsidRPr="00286216" w:rsidRDefault="008C392C" w:rsidP="008C392C">
            <w:pPr>
              <w:pStyle w:val="StyleZakonu"/>
              <w:rPr>
                <w:color w:val="000000" w:themeColor="text1"/>
              </w:rPr>
            </w:pPr>
            <w:r w:rsidRPr="00286216">
              <w:rPr>
                <w:color w:val="000000" w:themeColor="text1"/>
              </w:rPr>
              <w:t>40. У Законі України "Про акціонерні товариства" (Відомості Верховної Ради України, 2008р., №50-51, ст. 384, із наступними змінами):</w:t>
            </w:r>
          </w:p>
        </w:tc>
        <w:tc>
          <w:tcPr>
            <w:tcW w:w="3686" w:type="dxa"/>
          </w:tcPr>
          <w:p w14:paraId="31729C64" w14:textId="77777777" w:rsidR="008C392C" w:rsidRPr="00286216" w:rsidRDefault="008C392C" w:rsidP="008C392C">
            <w:pPr>
              <w:pStyle w:val="StyleProp"/>
              <w:rPr>
                <w:color w:val="000000" w:themeColor="text1"/>
                <w:szCs w:val="18"/>
              </w:rPr>
            </w:pPr>
          </w:p>
        </w:tc>
        <w:tc>
          <w:tcPr>
            <w:tcW w:w="1987" w:type="dxa"/>
          </w:tcPr>
          <w:p w14:paraId="14E671C3" w14:textId="77777777" w:rsidR="008C392C" w:rsidRPr="00286216" w:rsidRDefault="008C392C" w:rsidP="008C392C">
            <w:pPr>
              <w:pStyle w:val="StyleWisnow"/>
              <w:rPr>
                <w:color w:val="000000" w:themeColor="text1"/>
              </w:rPr>
            </w:pPr>
          </w:p>
        </w:tc>
        <w:tc>
          <w:tcPr>
            <w:tcW w:w="4818" w:type="dxa"/>
          </w:tcPr>
          <w:p w14:paraId="67A6F99D" w14:textId="09946746" w:rsidR="008C392C" w:rsidRPr="00286216" w:rsidRDefault="008C392C" w:rsidP="008C392C">
            <w:pPr>
              <w:pStyle w:val="StyleZakonu"/>
              <w:rPr>
                <w:color w:val="000000" w:themeColor="text1"/>
              </w:rPr>
            </w:pPr>
            <w:r w:rsidRPr="00286216">
              <w:rPr>
                <w:color w:val="000000" w:themeColor="text1"/>
              </w:rPr>
              <w:t>38. У Законі України "Про акціонерні товариства" (Відомості Верховної Ради України, 2008 р., №50-51, ст. 384):</w:t>
            </w:r>
          </w:p>
        </w:tc>
      </w:tr>
      <w:tr w:rsidR="008C392C" w:rsidRPr="00286216" w14:paraId="2F57137C" w14:textId="77777777" w:rsidTr="00091AA5">
        <w:tc>
          <w:tcPr>
            <w:tcW w:w="576" w:type="dxa"/>
          </w:tcPr>
          <w:p w14:paraId="4F87C209" w14:textId="77777777" w:rsidR="008C392C" w:rsidRPr="00286216" w:rsidRDefault="008C392C" w:rsidP="008C392C">
            <w:pPr>
              <w:pStyle w:val="StyleWisnow"/>
              <w:rPr>
                <w:color w:val="000000" w:themeColor="text1"/>
              </w:rPr>
            </w:pPr>
            <w:bookmarkStart w:id="3364" w:name="n3494" w:colFirst="0" w:colLast="0"/>
            <w:bookmarkEnd w:id="3363"/>
            <w:r w:rsidRPr="00286216">
              <w:rPr>
                <w:color w:val="000000" w:themeColor="text1"/>
              </w:rPr>
              <w:t>3494.</w:t>
            </w:r>
          </w:p>
        </w:tc>
        <w:tc>
          <w:tcPr>
            <w:tcW w:w="4818" w:type="dxa"/>
          </w:tcPr>
          <w:p w14:paraId="262BA2FF" w14:textId="77777777" w:rsidR="008C392C" w:rsidRPr="00286216" w:rsidRDefault="008C392C" w:rsidP="008C392C">
            <w:pPr>
              <w:pStyle w:val="StyleZakonu"/>
              <w:rPr>
                <w:color w:val="000000" w:themeColor="text1"/>
              </w:rPr>
            </w:pPr>
            <w:r w:rsidRPr="00286216">
              <w:rPr>
                <w:color w:val="000000" w:themeColor="text1"/>
              </w:rPr>
              <w:t xml:space="preserve">1) у пункті 15-2 статті 2 слова "на фондовій біржі в частині включення до біржового реєстру" замінити </w:t>
            </w:r>
            <w:r w:rsidRPr="00286216">
              <w:rPr>
                <w:color w:val="000000" w:themeColor="text1"/>
              </w:rPr>
              <w:lastRenderedPageBreak/>
              <w:t>словами "на організованому ринку капіталу";</w:t>
            </w:r>
          </w:p>
        </w:tc>
        <w:tc>
          <w:tcPr>
            <w:tcW w:w="3686" w:type="dxa"/>
          </w:tcPr>
          <w:p w14:paraId="7318CE4D" w14:textId="77777777" w:rsidR="008C392C" w:rsidRPr="00286216" w:rsidRDefault="008C392C" w:rsidP="008C392C">
            <w:pPr>
              <w:pStyle w:val="StyleProp"/>
              <w:rPr>
                <w:color w:val="000000" w:themeColor="text1"/>
                <w:szCs w:val="18"/>
              </w:rPr>
            </w:pPr>
          </w:p>
        </w:tc>
        <w:tc>
          <w:tcPr>
            <w:tcW w:w="1987" w:type="dxa"/>
          </w:tcPr>
          <w:p w14:paraId="19AF4C9F" w14:textId="77777777" w:rsidR="008C392C" w:rsidRPr="00286216" w:rsidRDefault="008C392C" w:rsidP="008C392C">
            <w:pPr>
              <w:pStyle w:val="StyleWisnow"/>
              <w:rPr>
                <w:color w:val="000000" w:themeColor="text1"/>
              </w:rPr>
            </w:pPr>
          </w:p>
        </w:tc>
        <w:tc>
          <w:tcPr>
            <w:tcW w:w="4818" w:type="dxa"/>
          </w:tcPr>
          <w:p w14:paraId="751B31EC" w14:textId="506BDA8D" w:rsidR="008C392C" w:rsidRPr="00286216" w:rsidRDefault="008C392C" w:rsidP="008C392C">
            <w:pPr>
              <w:pStyle w:val="StyleZakonu"/>
              <w:rPr>
                <w:color w:val="000000" w:themeColor="text1"/>
              </w:rPr>
            </w:pPr>
            <w:r w:rsidRPr="00286216">
              <w:rPr>
                <w:color w:val="000000" w:themeColor="text1"/>
              </w:rPr>
              <w:t>1) у пункті 15</w:t>
            </w:r>
            <w:r w:rsidRPr="00286216">
              <w:rPr>
                <w:color w:val="000000" w:themeColor="text1"/>
                <w:vertAlign w:val="superscript"/>
              </w:rPr>
              <w:t>2</w:t>
            </w:r>
            <w:r w:rsidRPr="00286216">
              <w:rPr>
                <w:color w:val="000000" w:themeColor="text1"/>
              </w:rPr>
              <w:t xml:space="preserve"> статті 2 слова "на фондовій біржі в частині включення до біржового реєстру" замінити </w:t>
            </w:r>
            <w:r w:rsidRPr="00286216">
              <w:rPr>
                <w:color w:val="000000" w:themeColor="text1"/>
              </w:rPr>
              <w:lastRenderedPageBreak/>
              <w:t>словами "на організованому ринку капіталу";</w:t>
            </w:r>
          </w:p>
        </w:tc>
      </w:tr>
      <w:tr w:rsidR="008C392C" w:rsidRPr="00286216" w14:paraId="4156CF27" w14:textId="77777777" w:rsidTr="00091AA5">
        <w:tc>
          <w:tcPr>
            <w:tcW w:w="576" w:type="dxa"/>
          </w:tcPr>
          <w:p w14:paraId="3A93537D" w14:textId="77777777" w:rsidR="008C392C" w:rsidRPr="00286216" w:rsidRDefault="008C392C" w:rsidP="008C392C">
            <w:pPr>
              <w:pStyle w:val="StyleWisnow"/>
              <w:rPr>
                <w:color w:val="000000" w:themeColor="text1"/>
              </w:rPr>
            </w:pPr>
            <w:bookmarkStart w:id="3365" w:name="n3495" w:colFirst="0" w:colLast="0"/>
            <w:bookmarkEnd w:id="3364"/>
            <w:r w:rsidRPr="00286216">
              <w:rPr>
                <w:color w:val="000000" w:themeColor="text1"/>
              </w:rPr>
              <w:lastRenderedPageBreak/>
              <w:t>3495.</w:t>
            </w:r>
          </w:p>
        </w:tc>
        <w:tc>
          <w:tcPr>
            <w:tcW w:w="4818" w:type="dxa"/>
          </w:tcPr>
          <w:p w14:paraId="40F6BB46" w14:textId="77777777" w:rsidR="008C392C" w:rsidRPr="00286216" w:rsidRDefault="008C392C" w:rsidP="008C392C">
            <w:pPr>
              <w:pStyle w:val="StyleZakonu"/>
              <w:rPr>
                <w:color w:val="000000" w:themeColor="text1"/>
              </w:rPr>
            </w:pPr>
            <w:r w:rsidRPr="00286216">
              <w:rPr>
                <w:color w:val="000000" w:themeColor="text1"/>
              </w:rPr>
              <w:t>2) у статті 8:</w:t>
            </w:r>
          </w:p>
        </w:tc>
        <w:tc>
          <w:tcPr>
            <w:tcW w:w="3686" w:type="dxa"/>
          </w:tcPr>
          <w:p w14:paraId="547B569A" w14:textId="77777777" w:rsidR="008C392C" w:rsidRPr="00286216" w:rsidRDefault="008C392C" w:rsidP="008C392C">
            <w:pPr>
              <w:pStyle w:val="StyleProp"/>
              <w:rPr>
                <w:color w:val="000000" w:themeColor="text1"/>
                <w:szCs w:val="18"/>
              </w:rPr>
            </w:pPr>
          </w:p>
        </w:tc>
        <w:tc>
          <w:tcPr>
            <w:tcW w:w="1987" w:type="dxa"/>
          </w:tcPr>
          <w:p w14:paraId="1AB63A8C" w14:textId="77777777" w:rsidR="008C392C" w:rsidRPr="00286216" w:rsidRDefault="008C392C" w:rsidP="008C392C">
            <w:pPr>
              <w:pStyle w:val="StyleWisnow"/>
              <w:rPr>
                <w:color w:val="000000" w:themeColor="text1"/>
              </w:rPr>
            </w:pPr>
          </w:p>
        </w:tc>
        <w:tc>
          <w:tcPr>
            <w:tcW w:w="4818" w:type="dxa"/>
          </w:tcPr>
          <w:p w14:paraId="5BF0D636" w14:textId="6BDF3544" w:rsidR="008C392C" w:rsidRPr="00286216" w:rsidRDefault="008C392C" w:rsidP="008C392C">
            <w:pPr>
              <w:pStyle w:val="StyleZakonu"/>
              <w:rPr>
                <w:color w:val="000000" w:themeColor="text1"/>
              </w:rPr>
            </w:pPr>
            <w:r w:rsidRPr="00286216">
              <w:rPr>
                <w:color w:val="000000" w:themeColor="text1"/>
              </w:rPr>
              <w:t>2) у статті 8:</w:t>
            </w:r>
          </w:p>
        </w:tc>
      </w:tr>
      <w:tr w:rsidR="008C392C" w:rsidRPr="00286216" w14:paraId="3EEBBC15" w14:textId="77777777" w:rsidTr="00091AA5">
        <w:tc>
          <w:tcPr>
            <w:tcW w:w="576" w:type="dxa"/>
          </w:tcPr>
          <w:p w14:paraId="3A55D679" w14:textId="77777777" w:rsidR="008C392C" w:rsidRPr="00286216" w:rsidRDefault="008C392C" w:rsidP="008C392C">
            <w:pPr>
              <w:pStyle w:val="StyleWisnow"/>
              <w:rPr>
                <w:color w:val="000000" w:themeColor="text1"/>
              </w:rPr>
            </w:pPr>
            <w:bookmarkStart w:id="3366" w:name="n3496" w:colFirst="0" w:colLast="0"/>
            <w:bookmarkEnd w:id="3365"/>
            <w:r w:rsidRPr="00286216">
              <w:rPr>
                <w:color w:val="000000" w:themeColor="text1"/>
              </w:rPr>
              <w:t>3496.</w:t>
            </w:r>
          </w:p>
        </w:tc>
        <w:tc>
          <w:tcPr>
            <w:tcW w:w="4818" w:type="dxa"/>
          </w:tcPr>
          <w:p w14:paraId="0A11A87E" w14:textId="77777777" w:rsidR="008C392C" w:rsidRPr="00286216" w:rsidRDefault="008C392C" w:rsidP="008C392C">
            <w:pPr>
              <w:pStyle w:val="StyleZakonu"/>
              <w:rPr>
                <w:color w:val="000000" w:themeColor="text1"/>
              </w:rPr>
            </w:pPr>
            <w:r w:rsidRPr="00286216">
              <w:rPr>
                <w:color w:val="000000" w:themeColor="text1"/>
              </w:rPr>
              <w:t>а) у абзаці першому слова "Ринкова вартість" замінити словами "У випадках, визначених цим Законом, ринкова вартість";</w:t>
            </w:r>
          </w:p>
        </w:tc>
        <w:tc>
          <w:tcPr>
            <w:tcW w:w="3686" w:type="dxa"/>
          </w:tcPr>
          <w:p w14:paraId="627996A7" w14:textId="77777777" w:rsidR="008C392C" w:rsidRPr="00286216" w:rsidRDefault="008C392C" w:rsidP="008C392C">
            <w:pPr>
              <w:pStyle w:val="StyleProp"/>
              <w:rPr>
                <w:color w:val="000000" w:themeColor="text1"/>
                <w:szCs w:val="18"/>
              </w:rPr>
            </w:pPr>
          </w:p>
        </w:tc>
        <w:tc>
          <w:tcPr>
            <w:tcW w:w="1987" w:type="dxa"/>
          </w:tcPr>
          <w:p w14:paraId="6D957D4D" w14:textId="77777777" w:rsidR="008C392C" w:rsidRPr="00286216" w:rsidRDefault="008C392C" w:rsidP="008C392C">
            <w:pPr>
              <w:pStyle w:val="StyleWisnow"/>
              <w:rPr>
                <w:color w:val="000000" w:themeColor="text1"/>
              </w:rPr>
            </w:pPr>
          </w:p>
        </w:tc>
        <w:tc>
          <w:tcPr>
            <w:tcW w:w="4818" w:type="dxa"/>
          </w:tcPr>
          <w:p w14:paraId="1AF4DDC0" w14:textId="6AE70568" w:rsidR="008C392C" w:rsidRPr="00286216" w:rsidRDefault="008C392C" w:rsidP="008C392C">
            <w:pPr>
              <w:pStyle w:val="StyleZakonu"/>
              <w:rPr>
                <w:color w:val="000000" w:themeColor="text1"/>
              </w:rPr>
            </w:pPr>
            <w:r w:rsidRPr="00286216">
              <w:rPr>
                <w:color w:val="000000" w:themeColor="text1"/>
              </w:rPr>
              <w:t>а) в абзаці першому частини першої слова "Ринкова вартість" замінити словами "У випадках, визначених цим Законом, ринкова вартість";</w:t>
            </w:r>
          </w:p>
        </w:tc>
      </w:tr>
      <w:tr w:rsidR="008C392C" w:rsidRPr="00286216" w14:paraId="1576A331" w14:textId="77777777" w:rsidTr="00091AA5">
        <w:tc>
          <w:tcPr>
            <w:tcW w:w="576" w:type="dxa"/>
          </w:tcPr>
          <w:p w14:paraId="749B4758" w14:textId="77777777" w:rsidR="008C392C" w:rsidRPr="00286216" w:rsidRDefault="008C392C" w:rsidP="008C392C">
            <w:pPr>
              <w:pStyle w:val="StyleWisnow"/>
              <w:rPr>
                <w:color w:val="000000" w:themeColor="text1"/>
              </w:rPr>
            </w:pPr>
            <w:bookmarkStart w:id="3367" w:name="n3497" w:colFirst="0" w:colLast="0"/>
            <w:bookmarkEnd w:id="3366"/>
            <w:r w:rsidRPr="00286216">
              <w:rPr>
                <w:color w:val="000000" w:themeColor="text1"/>
              </w:rPr>
              <w:t>3497.</w:t>
            </w:r>
          </w:p>
        </w:tc>
        <w:tc>
          <w:tcPr>
            <w:tcW w:w="4818" w:type="dxa"/>
          </w:tcPr>
          <w:p w14:paraId="040CF362" w14:textId="77777777" w:rsidR="008C392C" w:rsidRPr="00286216" w:rsidRDefault="008C392C" w:rsidP="008C392C">
            <w:pPr>
              <w:pStyle w:val="StyleZakonu"/>
              <w:rPr>
                <w:color w:val="000000" w:themeColor="text1"/>
              </w:rPr>
            </w:pPr>
            <w:r w:rsidRPr="00286216">
              <w:rPr>
                <w:color w:val="000000" w:themeColor="text1"/>
              </w:rPr>
              <w:t>б) у пункті 1 та пункті 3 частини другої слова "фондових біржах" замінити словами "організованих ринках капіталу";</w:t>
            </w:r>
          </w:p>
        </w:tc>
        <w:tc>
          <w:tcPr>
            <w:tcW w:w="3686" w:type="dxa"/>
          </w:tcPr>
          <w:p w14:paraId="7FE1A62D" w14:textId="77777777" w:rsidR="008C392C" w:rsidRPr="00286216" w:rsidRDefault="008C392C" w:rsidP="008C392C">
            <w:pPr>
              <w:pStyle w:val="StyleProp"/>
              <w:rPr>
                <w:color w:val="000000" w:themeColor="text1"/>
                <w:szCs w:val="18"/>
              </w:rPr>
            </w:pPr>
          </w:p>
        </w:tc>
        <w:tc>
          <w:tcPr>
            <w:tcW w:w="1987" w:type="dxa"/>
          </w:tcPr>
          <w:p w14:paraId="0EB119AA" w14:textId="77777777" w:rsidR="008C392C" w:rsidRPr="00286216" w:rsidRDefault="008C392C" w:rsidP="008C392C">
            <w:pPr>
              <w:pStyle w:val="StyleWisnow"/>
              <w:rPr>
                <w:color w:val="000000" w:themeColor="text1"/>
              </w:rPr>
            </w:pPr>
          </w:p>
        </w:tc>
        <w:tc>
          <w:tcPr>
            <w:tcW w:w="4818" w:type="dxa"/>
          </w:tcPr>
          <w:p w14:paraId="6BF4A139" w14:textId="77777777" w:rsidR="008C392C" w:rsidRPr="00286216" w:rsidRDefault="008C392C" w:rsidP="008C392C">
            <w:pPr>
              <w:pStyle w:val="StyleZakonu"/>
              <w:rPr>
                <w:color w:val="000000" w:themeColor="text1"/>
              </w:rPr>
            </w:pPr>
            <w:r w:rsidRPr="00286216">
              <w:rPr>
                <w:color w:val="000000" w:themeColor="text1"/>
              </w:rPr>
              <w:t>б) у частині другій:</w:t>
            </w:r>
          </w:p>
          <w:p w14:paraId="3B32586A" w14:textId="22D9F2DB" w:rsidR="008C392C" w:rsidRPr="00286216" w:rsidRDefault="008C392C" w:rsidP="008C392C">
            <w:pPr>
              <w:pStyle w:val="StyleZakonu"/>
              <w:rPr>
                <w:color w:val="000000" w:themeColor="text1"/>
              </w:rPr>
            </w:pPr>
            <w:r w:rsidRPr="00286216">
              <w:rPr>
                <w:color w:val="000000" w:themeColor="text1"/>
              </w:rPr>
              <w:t>у пунктах 1  і  3  слова "фондових біржах" замінити словами "організованих ринках капіталу";</w:t>
            </w:r>
          </w:p>
        </w:tc>
      </w:tr>
      <w:tr w:rsidR="008C392C" w:rsidRPr="00286216" w14:paraId="29E67B75" w14:textId="77777777" w:rsidTr="00091AA5">
        <w:tc>
          <w:tcPr>
            <w:tcW w:w="576" w:type="dxa"/>
          </w:tcPr>
          <w:p w14:paraId="035F49A0" w14:textId="77777777" w:rsidR="008C392C" w:rsidRPr="00286216" w:rsidRDefault="008C392C" w:rsidP="008C392C">
            <w:pPr>
              <w:pStyle w:val="StyleWisnow"/>
              <w:rPr>
                <w:color w:val="000000" w:themeColor="text1"/>
              </w:rPr>
            </w:pPr>
            <w:bookmarkStart w:id="3368" w:name="n3498" w:colFirst="0" w:colLast="0"/>
            <w:bookmarkEnd w:id="3367"/>
            <w:r w:rsidRPr="00286216">
              <w:rPr>
                <w:color w:val="000000" w:themeColor="text1"/>
              </w:rPr>
              <w:t>3498.</w:t>
            </w:r>
          </w:p>
        </w:tc>
        <w:tc>
          <w:tcPr>
            <w:tcW w:w="4818" w:type="dxa"/>
          </w:tcPr>
          <w:p w14:paraId="799822CA" w14:textId="77777777" w:rsidR="008C392C" w:rsidRPr="00286216" w:rsidRDefault="008C392C" w:rsidP="008C392C">
            <w:pPr>
              <w:pStyle w:val="StyleZakonu"/>
              <w:rPr>
                <w:color w:val="000000" w:themeColor="text1"/>
              </w:rPr>
            </w:pPr>
            <w:r w:rsidRPr="00286216">
              <w:rPr>
                <w:color w:val="000000" w:themeColor="text1"/>
              </w:rPr>
              <w:t>в) абзац перший пункту 2 частини другої викласти в такій редакції:</w:t>
            </w:r>
          </w:p>
        </w:tc>
        <w:tc>
          <w:tcPr>
            <w:tcW w:w="3686" w:type="dxa"/>
          </w:tcPr>
          <w:p w14:paraId="5C7B8AE7" w14:textId="77777777" w:rsidR="008C392C" w:rsidRPr="00286216" w:rsidRDefault="008C392C" w:rsidP="008C392C">
            <w:pPr>
              <w:pStyle w:val="StyleProp"/>
              <w:rPr>
                <w:color w:val="000000" w:themeColor="text1"/>
                <w:szCs w:val="18"/>
              </w:rPr>
            </w:pPr>
          </w:p>
        </w:tc>
        <w:tc>
          <w:tcPr>
            <w:tcW w:w="1987" w:type="dxa"/>
          </w:tcPr>
          <w:p w14:paraId="0A8CB2F0" w14:textId="77777777" w:rsidR="008C392C" w:rsidRPr="00286216" w:rsidRDefault="008C392C" w:rsidP="008C392C">
            <w:pPr>
              <w:pStyle w:val="StyleWisnow"/>
              <w:rPr>
                <w:color w:val="000000" w:themeColor="text1"/>
              </w:rPr>
            </w:pPr>
          </w:p>
        </w:tc>
        <w:tc>
          <w:tcPr>
            <w:tcW w:w="4818" w:type="dxa"/>
          </w:tcPr>
          <w:p w14:paraId="136E4C49" w14:textId="77777777" w:rsidR="008C392C" w:rsidRPr="00286216" w:rsidRDefault="008C392C" w:rsidP="008C392C">
            <w:pPr>
              <w:pStyle w:val="StyleZakonu"/>
              <w:rPr>
                <w:color w:val="000000" w:themeColor="text1"/>
              </w:rPr>
            </w:pPr>
            <w:r w:rsidRPr="00286216">
              <w:rPr>
                <w:color w:val="000000" w:themeColor="text1"/>
              </w:rPr>
              <w:t>у пункті 2:</w:t>
            </w:r>
          </w:p>
          <w:p w14:paraId="52B94DB2" w14:textId="097135F5" w:rsidR="008C392C" w:rsidRPr="00286216" w:rsidRDefault="008C392C" w:rsidP="008C392C">
            <w:pPr>
              <w:pStyle w:val="StyleZakonu"/>
              <w:rPr>
                <w:color w:val="000000" w:themeColor="text1"/>
              </w:rPr>
            </w:pPr>
            <w:r w:rsidRPr="00286216">
              <w:rPr>
                <w:color w:val="000000" w:themeColor="text1"/>
              </w:rPr>
              <w:t>абзац перший викласти в такій редакції:</w:t>
            </w:r>
          </w:p>
        </w:tc>
      </w:tr>
      <w:tr w:rsidR="008C392C" w:rsidRPr="00286216" w14:paraId="1E92C381" w14:textId="77777777" w:rsidTr="00091AA5">
        <w:tc>
          <w:tcPr>
            <w:tcW w:w="576" w:type="dxa"/>
          </w:tcPr>
          <w:p w14:paraId="0A1B1086" w14:textId="77777777" w:rsidR="008C392C" w:rsidRPr="00286216" w:rsidRDefault="008C392C" w:rsidP="008C392C">
            <w:pPr>
              <w:pStyle w:val="StyleWisnow"/>
              <w:rPr>
                <w:color w:val="000000" w:themeColor="text1"/>
              </w:rPr>
            </w:pPr>
            <w:bookmarkStart w:id="3369" w:name="n3499" w:colFirst="0" w:colLast="0"/>
            <w:bookmarkEnd w:id="3368"/>
            <w:r w:rsidRPr="00286216">
              <w:rPr>
                <w:color w:val="000000" w:themeColor="text1"/>
              </w:rPr>
              <w:t>3499.</w:t>
            </w:r>
          </w:p>
        </w:tc>
        <w:tc>
          <w:tcPr>
            <w:tcW w:w="4818" w:type="dxa"/>
          </w:tcPr>
          <w:p w14:paraId="4B559010" w14:textId="77777777" w:rsidR="008C392C" w:rsidRPr="00286216" w:rsidRDefault="008C392C" w:rsidP="008C392C">
            <w:pPr>
              <w:pStyle w:val="StyleZakonu"/>
              <w:rPr>
                <w:color w:val="000000" w:themeColor="text1"/>
              </w:rPr>
            </w:pPr>
            <w:r w:rsidRPr="00286216">
              <w:rPr>
                <w:color w:val="000000" w:themeColor="text1"/>
              </w:rPr>
              <w:t>"2) для емісійних цінних паперів, що перебувають в обігу на організованих ринках капіталу, - як середній курс за результатами регулярних торгів таких цінних паперів на відповідному організованому ринку капіталу, розрахований оператором такого організованого ринку капіталу за останні три місяці їх обігу, що передують дню, станом на який визначається ринкова вартість таких цінних паперів.";</w:t>
            </w:r>
          </w:p>
        </w:tc>
        <w:tc>
          <w:tcPr>
            <w:tcW w:w="3686" w:type="dxa"/>
          </w:tcPr>
          <w:p w14:paraId="2C84962C" w14:textId="77777777" w:rsidR="008C392C" w:rsidRPr="00286216" w:rsidRDefault="008C392C" w:rsidP="008C392C">
            <w:pPr>
              <w:pStyle w:val="StyleProp"/>
              <w:rPr>
                <w:color w:val="000000" w:themeColor="text1"/>
                <w:szCs w:val="18"/>
              </w:rPr>
            </w:pPr>
          </w:p>
        </w:tc>
        <w:tc>
          <w:tcPr>
            <w:tcW w:w="1987" w:type="dxa"/>
          </w:tcPr>
          <w:p w14:paraId="7581E016" w14:textId="77777777" w:rsidR="008C392C" w:rsidRPr="00286216" w:rsidRDefault="008C392C" w:rsidP="008C392C">
            <w:pPr>
              <w:pStyle w:val="StyleWisnow"/>
              <w:rPr>
                <w:color w:val="000000" w:themeColor="text1"/>
              </w:rPr>
            </w:pPr>
          </w:p>
        </w:tc>
        <w:tc>
          <w:tcPr>
            <w:tcW w:w="4818" w:type="dxa"/>
          </w:tcPr>
          <w:p w14:paraId="127E9E7C" w14:textId="5D64A1BD" w:rsidR="008C392C" w:rsidRPr="00286216" w:rsidRDefault="008C392C" w:rsidP="008C392C">
            <w:pPr>
              <w:pStyle w:val="StyleZakonu"/>
              <w:rPr>
                <w:color w:val="000000" w:themeColor="text1"/>
              </w:rPr>
            </w:pPr>
            <w:r w:rsidRPr="00286216">
              <w:rPr>
                <w:color w:val="000000" w:themeColor="text1"/>
              </w:rPr>
              <w:t>"2) для емісійних цінних паперів, що перебувають в обігу на організованих ринках капіталу, - як середній курс за результатами регулярних торгів таких цінних паперів на відповідному організованому ринку капіталу, розрахований оператором такого організованого ринку капіталу за останні три місяці їх обігу, що передують дню, станом на який визначається ринкова вартість таких цінних паперів";</w:t>
            </w:r>
          </w:p>
        </w:tc>
      </w:tr>
      <w:tr w:rsidR="008C392C" w:rsidRPr="00286216" w14:paraId="6B8F6EDB" w14:textId="77777777" w:rsidTr="00091AA5">
        <w:tc>
          <w:tcPr>
            <w:tcW w:w="576" w:type="dxa"/>
          </w:tcPr>
          <w:p w14:paraId="7F62F823" w14:textId="77777777" w:rsidR="008C392C" w:rsidRPr="00286216" w:rsidRDefault="008C392C" w:rsidP="008C392C">
            <w:pPr>
              <w:pStyle w:val="StyleWisnow"/>
              <w:rPr>
                <w:color w:val="000000" w:themeColor="text1"/>
              </w:rPr>
            </w:pPr>
            <w:bookmarkStart w:id="3370" w:name="n3500" w:colFirst="0" w:colLast="0"/>
            <w:bookmarkEnd w:id="3369"/>
            <w:r w:rsidRPr="00286216">
              <w:rPr>
                <w:color w:val="000000" w:themeColor="text1"/>
              </w:rPr>
              <w:t>3500.</w:t>
            </w:r>
          </w:p>
        </w:tc>
        <w:tc>
          <w:tcPr>
            <w:tcW w:w="4818" w:type="dxa"/>
          </w:tcPr>
          <w:p w14:paraId="12D65379" w14:textId="77777777" w:rsidR="008C392C" w:rsidRPr="00286216" w:rsidRDefault="008C392C" w:rsidP="008C392C">
            <w:pPr>
              <w:pStyle w:val="StyleZakonu"/>
              <w:rPr>
                <w:color w:val="000000" w:themeColor="text1"/>
              </w:rPr>
            </w:pPr>
            <w:r w:rsidRPr="00286216">
              <w:rPr>
                <w:color w:val="000000" w:themeColor="text1"/>
              </w:rPr>
              <w:t>г) у абзаці другому пункту 2 частини другої слова "фондових біржах та їхній середній біржовий курс" замінити словами "організованих ринках капіталу та їхній середній курс за результатами торгів", а слово "біржах" замінити словами "організованих ринках капіталу";</w:t>
            </w:r>
          </w:p>
        </w:tc>
        <w:tc>
          <w:tcPr>
            <w:tcW w:w="3686" w:type="dxa"/>
          </w:tcPr>
          <w:p w14:paraId="434D0D11" w14:textId="77777777" w:rsidR="008C392C" w:rsidRPr="00286216" w:rsidRDefault="008C392C" w:rsidP="008C392C">
            <w:pPr>
              <w:pStyle w:val="StyleProp"/>
              <w:rPr>
                <w:color w:val="000000" w:themeColor="text1"/>
                <w:szCs w:val="18"/>
              </w:rPr>
            </w:pPr>
          </w:p>
        </w:tc>
        <w:tc>
          <w:tcPr>
            <w:tcW w:w="1987" w:type="dxa"/>
          </w:tcPr>
          <w:p w14:paraId="7DFB2348" w14:textId="77777777" w:rsidR="008C392C" w:rsidRPr="00286216" w:rsidRDefault="008C392C" w:rsidP="008C392C">
            <w:pPr>
              <w:pStyle w:val="StyleWisnow"/>
              <w:rPr>
                <w:color w:val="000000" w:themeColor="text1"/>
              </w:rPr>
            </w:pPr>
          </w:p>
        </w:tc>
        <w:tc>
          <w:tcPr>
            <w:tcW w:w="4818" w:type="dxa"/>
          </w:tcPr>
          <w:p w14:paraId="268586C1" w14:textId="55B86B6F" w:rsidR="008C392C" w:rsidRPr="00286216" w:rsidRDefault="008C392C" w:rsidP="008C392C">
            <w:pPr>
              <w:pStyle w:val="StyleZakonu"/>
              <w:rPr>
                <w:color w:val="000000" w:themeColor="text1"/>
              </w:rPr>
            </w:pPr>
            <w:r w:rsidRPr="00286216">
              <w:rPr>
                <w:color w:val="000000" w:themeColor="text1"/>
              </w:rPr>
              <w:t>в абзаці другому  слова "фондових біржах та їхній середній біржовий курс" замінити словами "організованих ринках капіталу та їхній середній курс за результатами торгів", а слово "біржах"  - словами "організованих ринках капіталу";</w:t>
            </w:r>
          </w:p>
        </w:tc>
      </w:tr>
      <w:tr w:rsidR="008C392C" w:rsidRPr="00286216" w14:paraId="47DA8F83" w14:textId="77777777" w:rsidTr="00091AA5">
        <w:tc>
          <w:tcPr>
            <w:tcW w:w="576" w:type="dxa"/>
          </w:tcPr>
          <w:p w14:paraId="789CB21A" w14:textId="77777777" w:rsidR="008C392C" w:rsidRPr="00286216" w:rsidRDefault="008C392C" w:rsidP="008C392C">
            <w:pPr>
              <w:pStyle w:val="StyleWisnow"/>
              <w:rPr>
                <w:color w:val="000000" w:themeColor="text1"/>
              </w:rPr>
            </w:pPr>
            <w:bookmarkStart w:id="3371" w:name="n3501" w:colFirst="0" w:colLast="0"/>
            <w:bookmarkEnd w:id="3370"/>
            <w:r w:rsidRPr="00286216">
              <w:rPr>
                <w:color w:val="000000" w:themeColor="text1"/>
              </w:rPr>
              <w:t>3501.</w:t>
            </w:r>
          </w:p>
        </w:tc>
        <w:tc>
          <w:tcPr>
            <w:tcW w:w="4818" w:type="dxa"/>
          </w:tcPr>
          <w:p w14:paraId="2E699B0A" w14:textId="77777777" w:rsidR="008C392C" w:rsidRPr="00286216" w:rsidRDefault="008C392C" w:rsidP="008C392C">
            <w:pPr>
              <w:pStyle w:val="StyleZakonu"/>
              <w:rPr>
                <w:color w:val="000000" w:themeColor="text1"/>
              </w:rPr>
            </w:pPr>
            <w:r w:rsidRPr="00286216">
              <w:rPr>
                <w:color w:val="000000" w:themeColor="text1"/>
              </w:rPr>
              <w:t>ґ) у абзаці п’ятому частини другої слова "на фондових біржах" замінити словами "на організованих ринках капіталу";</w:t>
            </w:r>
          </w:p>
        </w:tc>
        <w:tc>
          <w:tcPr>
            <w:tcW w:w="3686" w:type="dxa"/>
          </w:tcPr>
          <w:p w14:paraId="246D9165" w14:textId="77777777" w:rsidR="008C392C" w:rsidRPr="00286216" w:rsidRDefault="008C392C" w:rsidP="008C392C">
            <w:pPr>
              <w:pStyle w:val="StyleProp"/>
              <w:rPr>
                <w:color w:val="000000" w:themeColor="text1"/>
                <w:szCs w:val="18"/>
              </w:rPr>
            </w:pPr>
          </w:p>
        </w:tc>
        <w:tc>
          <w:tcPr>
            <w:tcW w:w="1987" w:type="dxa"/>
          </w:tcPr>
          <w:p w14:paraId="1A6FA377" w14:textId="77777777" w:rsidR="008C392C" w:rsidRPr="00286216" w:rsidRDefault="008C392C" w:rsidP="008C392C">
            <w:pPr>
              <w:pStyle w:val="StyleWisnow"/>
              <w:rPr>
                <w:color w:val="000000" w:themeColor="text1"/>
              </w:rPr>
            </w:pPr>
          </w:p>
        </w:tc>
        <w:tc>
          <w:tcPr>
            <w:tcW w:w="4818" w:type="dxa"/>
          </w:tcPr>
          <w:p w14:paraId="47DEC28E" w14:textId="1EFE72B1" w:rsidR="008C392C" w:rsidRPr="00286216" w:rsidRDefault="008C392C" w:rsidP="008C392C">
            <w:pPr>
              <w:pStyle w:val="StyleZakonu"/>
              <w:rPr>
                <w:color w:val="000000" w:themeColor="text1"/>
              </w:rPr>
            </w:pPr>
          </w:p>
        </w:tc>
      </w:tr>
      <w:tr w:rsidR="008C392C" w:rsidRPr="00286216" w14:paraId="78326D67" w14:textId="77777777" w:rsidTr="00091AA5">
        <w:tc>
          <w:tcPr>
            <w:tcW w:w="576" w:type="dxa"/>
          </w:tcPr>
          <w:p w14:paraId="26C06AD6" w14:textId="77777777" w:rsidR="008C392C" w:rsidRPr="00286216" w:rsidRDefault="008C392C" w:rsidP="008C392C">
            <w:pPr>
              <w:pStyle w:val="StyleWisnow"/>
              <w:rPr>
                <w:color w:val="000000" w:themeColor="text1"/>
              </w:rPr>
            </w:pPr>
            <w:bookmarkStart w:id="3372" w:name="n3502" w:colFirst="0" w:colLast="0"/>
            <w:bookmarkEnd w:id="3371"/>
            <w:r w:rsidRPr="00286216">
              <w:rPr>
                <w:color w:val="000000" w:themeColor="text1"/>
              </w:rPr>
              <w:t>3502.</w:t>
            </w:r>
          </w:p>
        </w:tc>
        <w:tc>
          <w:tcPr>
            <w:tcW w:w="4818" w:type="dxa"/>
          </w:tcPr>
          <w:p w14:paraId="3ECF49D7" w14:textId="77777777" w:rsidR="008C392C" w:rsidRPr="00286216" w:rsidRDefault="008C392C" w:rsidP="008C392C">
            <w:pPr>
              <w:pStyle w:val="StyleZakonu"/>
              <w:rPr>
                <w:color w:val="000000" w:themeColor="text1"/>
              </w:rPr>
            </w:pPr>
            <w:r w:rsidRPr="00286216">
              <w:rPr>
                <w:color w:val="000000" w:themeColor="text1"/>
              </w:rPr>
              <w:t>3) у статті 9:</w:t>
            </w:r>
          </w:p>
        </w:tc>
        <w:tc>
          <w:tcPr>
            <w:tcW w:w="3686" w:type="dxa"/>
          </w:tcPr>
          <w:p w14:paraId="31509C7E" w14:textId="77777777" w:rsidR="008C392C" w:rsidRPr="00286216" w:rsidRDefault="008C392C" w:rsidP="008C392C">
            <w:pPr>
              <w:pStyle w:val="StyleProp"/>
              <w:rPr>
                <w:color w:val="000000" w:themeColor="text1"/>
                <w:szCs w:val="18"/>
              </w:rPr>
            </w:pPr>
          </w:p>
        </w:tc>
        <w:tc>
          <w:tcPr>
            <w:tcW w:w="1987" w:type="dxa"/>
          </w:tcPr>
          <w:p w14:paraId="7C904A03" w14:textId="77777777" w:rsidR="008C392C" w:rsidRPr="00286216" w:rsidRDefault="008C392C" w:rsidP="008C392C">
            <w:pPr>
              <w:pStyle w:val="StyleWisnow"/>
              <w:rPr>
                <w:color w:val="000000" w:themeColor="text1"/>
              </w:rPr>
            </w:pPr>
          </w:p>
        </w:tc>
        <w:tc>
          <w:tcPr>
            <w:tcW w:w="4818" w:type="dxa"/>
          </w:tcPr>
          <w:p w14:paraId="467456CA" w14:textId="0D8C0486" w:rsidR="008C392C" w:rsidRPr="00286216" w:rsidRDefault="008C392C" w:rsidP="008C392C">
            <w:pPr>
              <w:pStyle w:val="StyleZakonu"/>
              <w:rPr>
                <w:color w:val="000000" w:themeColor="text1"/>
              </w:rPr>
            </w:pPr>
            <w:r w:rsidRPr="00286216">
              <w:rPr>
                <w:color w:val="000000" w:themeColor="text1"/>
              </w:rPr>
              <w:t>3) у статті 9:</w:t>
            </w:r>
          </w:p>
        </w:tc>
      </w:tr>
      <w:tr w:rsidR="008C392C" w:rsidRPr="00286216" w14:paraId="15DD42EA" w14:textId="77777777" w:rsidTr="00091AA5">
        <w:tc>
          <w:tcPr>
            <w:tcW w:w="576" w:type="dxa"/>
          </w:tcPr>
          <w:p w14:paraId="419C0972" w14:textId="77777777" w:rsidR="008C392C" w:rsidRPr="00286216" w:rsidRDefault="008C392C" w:rsidP="008C392C">
            <w:pPr>
              <w:pStyle w:val="StyleWisnow"/>
              <w:rPr>
                <w:color w:val="000000" w:themeColor="text1"/>
              </w:rPr>
            </w:pPr>
            <w:bookmarkStart w:id="3373" w:name="n3503" w:colFirst="0" w:colLast="0"/>
            <w:bookmarkEnd w:id="3372"/>
            <w:r w:rsidRPr="00286216">
              <w:rPr>
                <w:color w:val="000000" w:themeColor="text1"/>
              </w:rPr>
              <w:t>3503.</w:t>
            </w:r>
          </w:p>
        </w:tc>
        <w:tc>
          <w:tcPr>
            <w:tcW w:w="4818" w:type="dxa"/>
          </w:tcPr>
          <w:p w14:paraId="1A232C2A" w14:textId="77777777" w:rsidR="008C392C" w:rsidRPr="00286216" w:rsidRDefault="008C392C" w:rsidP="008C392C">
            <w:pPr>
              <w:pStyle w:val="StyleZakonu"/>
              <w:rPr>
                <w:color w:val="000000" w:themeColor="text1"/>
              </w:rPr>
            </w:pPr>
            <w:r w:rsidRPr="00286216">
              <w:rPr>
                <w:color w:val="000000" w:themeColor="text1"/>
              </w:rPr>
              <w:t>а) у абзаці другому та третьому частини третьої, пунктах 1, 6, 8, 10, 11 та абзаці п’ятнадцятому частини п’ятої слова "закрите (приватне) розміщення" у всіх відмінках замінити словом "емісія" у відповідному відмінку;</w:t>
            </w:r>
          </w:p>
        </w:tc>
        <w:tc>
          <w:tcPr>
            <w:tcW w:w="3686" w:type="dxa"/>
          </w:tcPr>
          <w:p w14:paraId="52620140" w14:textId="77777777" w:rsidR="008C392C" w:rsidRPr="00286216" w:rsidRDefault="008C392C" w:rsidP="008C392C">
            <w:pPr>
              <w:pStyle w:val="StyleProp"/>
              <w:rPr>
                <w:color w:val="000000" w:themeColor="text1"/>
                <w:szCs w:val="18"/>
              </w:rPr>
            </w:pPr>
          </w:p>
        </w:tc>
        <w:tc>
          <w:tcPr>
            <w:tcW w:w="1987" w:type="dxa"/>
          </w:tcPr>
          <w:p w14:paraId="14D6E4B8" w14:textId="77777777" w:rsidR="008C392C" w:rsidRPr="00286216" w:rsidRDefault="008C392C" w:rsidP="008C392C">
            <w:pPr>
              <w:pStyle w:val="StyleWisnow"/>
              <w:rPr>
                <w:color w:val="000000" w:themeColor="text1"/>
              </w:rPr>
            </w:pPr>
          </w:p>
        </w:tc>
        <w:tc>
          <w:tcPr>
            <w:tcW w:w="4818" w:type="dxa"/>
          </w:tcPr>
          <w:p w14:paraId="131132F9" w14:textId="5032CBDA" w:rsidR="008C392C" w:rsidRPr="00286216" w:rsidRDefault="008C392C" w:rsidP="008C392C">
            <w:pPr>
              <w:pStyle w:val="StyleZakonu"/>
              <w:rPr>
                <w:color w:val="000000" w:themeColor="text1"/>
              </w:rPr>
            </w:pPr>
            <w:r w:rsidRPr="00286216">
              <w:rPr>
                <w:color w:val="000000" w:themeColor="text1"/>
              </w:rPr>
              <w:t>а) в абзацах другому  і третьому частини третьої, пунктах 1, 6, 8, 10, 11 та абзаці п’ятнадцятому частини п’ятої слова "закрите (приватне) розміщення" у всіх відмінках замінити словом "емісія" у відповідному відмінку;</w:t>
            </w:r>
          </w:p>
        </w:tc>
      </w:tr>
      <w:tr w:rsidR="008C392C" w:rsidRPr="00286216" w14:paraId="739BDFD5" w14:textId="77777777" w:rsidTr="00091AA5">
        <w:tc>
          <w:tcPr>
            <w:tcW w:w="576" w:type="dxa"/>
          </w:tcPr>
          <w:p w14:paraId="645CD748" w14:textId="77777777" w:rsidR="008C392C" w:rsidRPr="00286216" w:rsidRDefault="008C392C" w:rsidP="008C392C">
            <w:pPr>
              <w:pStyle w:val="StyleWisnow"/>
              <w:rPr>
                <w:color w:val="000000" w:themeColor="text1"/>
              </w:rPr>
            </w:pPr>
            <w:bookmarkStart w:id="3374" w:name="n3504" w:colFirst="0" w:colLast="0"/>
            <w:bookmarkEnd w:id="3373"/>
            <w:r w:rsidRPr="00286216">
              <w:rPr>
                <w:color w:val="000000" w:themeColor="text1"/>
              </w:rPr>
              <w:t>3504.</w:t>
            </w:r>
          </w:p>
        </w:tc>
        <w:tc>
          <w:tcPr>
            <w:tcW w:w="4818" w:type="dxa"/>
          </w:tcPr>
          <w:p w14:paraId="58BBE1E9" w14:textId="77777777" w:rsidR="008C392C" w:rsidRPr="00286216" w:rsidRDefault="008C392C" w:rsidP="008C392C">
            <w:pPr>
              <w:pStyle w:val="StyleZakonu"/>
              <w:rPr>
                <w:color w:val="000000" w:themeColor="text1"/>
              </w:rPr>
            </w:pPr>
            <w:r w:rsidRPr="00286216">
              <w:rPr>
                <w:color w:val="000000" w:themeColor="text1"/>
              </w:rPr>
              <w:t>б) абзац третій частини третьої викласти у такій редакції:</w:t>
            </w:r>
          </w:p>
        </w:tc>
        <w:tc>
          <w:tcPr>
            <w:tcW w:w="3686" w:type="dxa"/>
          </w:tcPr>
          <w:p w14:paraId="3AD6920B" w14:textId="77777777" w:rsidR="008C392C" w:rsidRPr="00286216" w:rsidRDefault="008C392C" w:rsidP="008C392C">
            <w:pPr>
              <w:spacing w:line="200" w:lineRule="exact"/>
              <w:ind w:firstLine="227"/>
              <w:jc w:val="both"/>
              <w:rPr>
                <w:color w:val="000000" w:themeColor="text1"/>
                <w:szCs w:val="18"/>
              </w:rPr>
            </w:pPr>
          </w:p>
        </w:tc>
        <w:tc>
          <w:tcPr>
            <w:tcW w:w="1987" w:type="dxa"/>
          </w:tcPr>
          <w:p w14:paraId="54AD8723" w14:textId="77777777" w:rsidR="008C392C" w:rsidRPr="00286216" w:rsidRDefault="008C392C" w:rsidP="008C392C">
            <w:pPr>
              <w:pStyle w:val="StyleWisnow"/>
              <w:rPr>
                <w:color w:val="000000" w:themeColor="text1"/>
              </w:rPr>
            </w:pPr>
          </w:p>
        </w:tc>
        <w:tc>
          <w:tcPr>
            <w:tcW w:w="4818" w:type="dxa"/>
          </w:tcPr>
          <w:p w14:paraId="20262D12" w14:textId="2901BFD9" w:rsidR="008C392C" w:rsidRPr="00286216" w:rsidRDefault="008C392C" w:rsidP="008C392C">
            <w:pPr>
              <w:pStyle w:val="StyleZakonu"/>
              <w:rPr>
                <w:color w:val="000000" w:themeColor="text1"/>
              </w:rPr>
            </w:pPr>
            <w:r w:rsidRPr="00286216">
              <w:rPr>
                <w:color w:val="000000" w:themeColor="text1"/>
              </w:rPr>
              <w:t>б) абзац третій частини третьої викласти в такій редакції:</w:t>
            </w:r>
          </w:p>
        </w:tc>
      </w:tr>
      <w:tr w:rsidR="008C392C" w:rsidRPr="00286216" w14:paraId="1F815143" w14:textId="77777777" w:rsidTr="00091AA5">
        <w:tc>
          <w:tcPr>
            <w:tcW w:w="576" w:type="dxa"/>
          </w:tcPr>
          <w:p w14:paraId="3DE6D57B" w14:textId="77777777" w:rsidR="008C392C" w:rsidRPr="00286216" w:rsidRDefault="008C392C" w:rsidP="008C392C">
            <w:pPr>
              <w:pStyle w:val="StyleWisnow"/>
              <w:rPr>
                <w:color w:val="000000" w:themeColor="text1"/>
              </w:rPr>
            </w:pPr>
            <w:bookmarkStart w:id="3375" w:name="n3505" w:colFirst="0" w:colLast="0"/>
            <w:bookmarkEnd w:id="3374"/>
            <w:r w:rsidRPr="00286216">
              <w:rPr>
                <w:color w:val="000000" w:themeColor="text1"/>
              </w:rPr>
              <w:t>3505.</w:t>
            </w:r>
          </w:p>
        </w:tc>
        <w:tc>
          <w:tcPr>
            <w:tcW w:w="4818" w:type="dxa"/>
          </w:tcPr>
          <w:p w14:paraId="5B98A720" w14:textId="77777777" w:rsidR="008C392C" w:rsidRPr="00286216" w:rsidRDefault="008C392C" w:rsidP="008C392C">
            <w:pPr>
              <w:pStyle w:val="StyleZakonu"/>
              <w:rPr>
                <w:color w:val="000000" w:themeColor="text1"/>
              </w:rPr>
            </w:pPr>
            <w:r w:rsidRPr="00286216">
              <w:rPr>
                <w:color w:val="000000" w:themeColor="text1"/>
              </w:rPr>
              <w:t>"Засновницький договір не є установчим документом товариства і діє до дати затвердження звіту про результати емісії акцій.";</w:t>
            </w:r>
          </w:p>
        </w:tc>
        <w:tc>
          <w:tcPr>
            <w:tcW w:w="3686" w:type="dxa"/>
          </w:tcPr>
          <w:p w14:paraId="0A504F7E" w14:textId="298A9CC9"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6065895" w14:textId="371223E3" w:rsidR="008C392C" w:rsidRPr="00286216" w:rsidRDefault="008C392C" w:rsidP="008C392C">
            <w:pPr>
              <w:spacing w:line="180" w:lineRule="exact"/>
              <w:ind w:firstLine="227"/>
              <w:jc w:val="both"/>
              <w:rPr>
                <w:color w:val="000000" w:themeColor="text1"/>
                <w:szCs w:val="18"/>
              </w:rPr>
            </w:pPr>
            <w:r w:rsidRPr="00286216">
              <w:rPr>
                <w:color w:val="000000" w:themeColor="text1"/>
                <w:sz w:val="18"/>
              </w:rPr>
              <w:t>У підпункті 3 пункту 40 розділу 3 (внесення змін до ст. 9 Закону України «Про акціонерні товариства») абзац другий підпункту б) доповнити словами «уповноваженим органом товариства».</w:t>
            </w:r>
          </w:p>
        </w:tc>
        <w:tc>
          <w:tcPr>
            <w:tcW w:w="1987" w:type="dxa"/>
          </w:tcPr>
          <w:p w14:paraId="275DF07C" w14:textId="77777777" w:rsidR="00B87F8E" w:rsidRPr="00286216" w:rsidRDefault="00B87F8E" w:rsidP="00B87F8E">
            <w:pPr>
              <w:pStyle w:val="StyleWisnow"/>
              <w:spacing w:line="180" w:lineRule="exact"/>
              <w:rPr>
                <w:color w:val="000000" w:themeColor="text1"/>
              </w:rPr>
            </w:pPr>
            <w:r w:rsidRPr="00286216">
              <w:rPr>
                <w:color w:val="000000" w:themeColor="text1"/>
              </w:rPr>
              <w:t>Відхилено</w:t>
            </w:r>
          </w:p>
          <w:p w14:paraId="03D0B34B" w14:textId="59DF7C45" w:rsidR="008C392C" w:rsidRPr="00286216" w:rsidRDefault="00B87F8E" w:rsidP="00B87F8E">
            <w:pPr>
              <w:pStyle w:val="StyleWisnow"/>
              <w:spacing w:line="180" w:lineRule="exact"/>
              <w:rPr>
                <w:color w:val="000000" w:themeColor="text1"/>
              </w:rPr>
            </w:pPr>
            <w:r w:rsidRPr="00286216">
              <w:rPr>
                <w:color w:val="000000" w:themeColor="text1"/>
              </w:rPr>
              <w:t>дане питання потребує вирішення окремим законом</w:t>
            </w:r>
          </w:p>
        </w:tc>
        <w:tc>
          <w:tcPr>
            <w:tcW w:w="4818" w:type="dxa"/>
          </w:tcPr>
          <w:p w14:paraId="787AF120" w14:textId="3279665C" w:rsidR="008C392C" w:rsidRPr="00286216" w:rsidRDefault="008C392C" w:rsidP="008C392C">
            <w:pPr>
              <w:pStyle w:val="StyleZakonu"/>
              <w:rPr>
                <w:color w:val="000000" w:themeColor="text1"/>
              </w:rPr>
            </w:pPr>
            <w:r w:rsidRPr="00286216">
              <w:rPr>
                <w:color w:val="000000" w:themeColor="text1"/>
              </w:rPr>
              <w:t>"Засновницький договір не є установчим документом товариства і діє до дати затвердження звіту про результати емісії акцій.";</w:t>
            </w:r>
          </w:p>
        </w:tc>
      </w:tr>
      <w:tr w:rsidR="008C392C" w:rsidRPr="00286216" w14:paraId="5DA8150D" w14:textId="77777777" w:rsidTr="00091AA5">
        <w:tc>
          <w:tcPr>
            <w:tcW w:w="576" w:type="dxa"/>
          </w:tcPr>
          <w:p w14:paraId="3F173BE6" w14:textId="77777777" w:rsidR="008C392C" w:rsidRPr="00286216" w:rsidRDefault="008C392C" w:rsidP="008C392C">
            <w:pPr>
              <w:pStyle w:val="StyleWisnow"/>
              <w:rPr>
                <w:color w:val="000000" w:themeColor="text1"/>
              </w:rPr>
            </w:pPr>
            <w:bookmarkStart w:id="3376" w:name="n3506" w:colFirst="0" w:colLast="0"/>
            <w:bookmarkEnd w:id="3375"/>
            <w:r w:rsidRPr="00286216">
              <w:rPr>
                <w:color w:val="000000" w:themeColor="text1"/>
              </w:rPr>
              <w:t>3506.</w:t>
            </w:r>
          </w:p>
        </w:tc>
        <w:tc>
          <w:tcPr>
            <w:tcW w:w="4818" w:type="dxa"/>
          </w:tcPr>
          <w:p w14:paraId="7961C81C" w14:textId="77777777" w:rsidR="008C392C" w:rsidRPr="00286216" w:rsidRDefault="008C392C" w:rsidP="008C392C">
            <w:pPr>
              <w:pStyle w:val="StyleZakonu"/>
              <w:rPr>
                <w:color w:val="000000" w:themeColor="text1"/>
              </w:rPr>
            </w:pPr>
            <w:r w:rsidRPr="00286216">
              <w:rPr>
                <w:color w:val="000000" w:themeColor="text1"/>
              </w:rPr>
              <w:t>в) частину четверту викласти в такій редакції:</w:t>
            </w:r>
          </w:p>
        </w:tc>
        <w:tc>
          <w:tcPr>
            <w:tcW w:w="3686" w:type="dxa"/>
          </w:tcPr>
          <w:p w14:paraId="3746C70B" w14:textId="77777777" w:rsidR="008C392C" w:rsidRPr="00286216" w:rsidRDefault="008C392C" w:rsidP="008C392C">
            <w:pPr>
              <w:pStyle w:val="StyleProp"/>
              <w:rPr>
                <w:color w:val="000000" w:themeColor="text1"/>
                <w:szCs w:val="18"/>
              </w:rPr>
            </w:pPr>
          </w:p>
        </w:tc>
        <w:tc>
          <w:tcPr>
            <w:tcW w:w="1987" w:type="dxa"/>
          </w:tcPr>
          <w:p w14:paraId="314EC7FD" w14:textId="77777777" w:rsidR="008C392C" w:rsidRPr="00286216" w:rsidRDefault="008C392C" w:rsidP="008C392C">
            <w:pPr>
              <w:pStyle w:val="StyleWisnow"/>
              <w:rPr>
                <w:color w:val="000000" w:themeColor="text1"/>
              </w:rPr>
            </w:pPr>
          </w:p>
        </w:tc>
        <w:tc>
          <w:tcPr>
            <w:tcW w:w="4818" w:type="dxa"/>
          </w:tcPr>
          <w:p w14:paraId="365B0A54" w14:textId="3F6AB8FE" w:rsidR="008C392C" w:rsidRPr="00286216" w:rsidRDefault="008C392C" w:rsidP="008C392C">
            <w:pPr>
              <w:pStyle w:val="StyleZakonu"/>
              <w:rPr>
                <w:color w:val="000000" w:themeColor="text1"/>
              </w:rPr>
            </w:pPr>
            <w:r w:rsidRPr="00286216">
              <w:rPr>
                <w:color w:val="000000" w:themeColor="text1"/>
              </w:rPr>
              <w:t>в) частину четверту викласти в такій редакції:</w:t>
            </w:r>
          </w:p>
        </w:tc>
      </w:tr>
      <w:tr w:rsidR="008C392C" w:rsidRPr="00286216" w14:paraId="463FB788" w14:textId="77777777" w:rsidTr="00091AA5">
        <w:tc>
          <w:tcPr>
            <w:tcW w:w="576" w:type="dxa"/>
          </w:tcPr>
          <w:p w14:paraId="143C7A14" w14:textId="77777777" w:rsidR="008C392C" w:rsidRPr="00286216" w:rsidRDefault="008C392C" w:rsidP="008C392C">
            <w:pPr>
              <w:pStyle w:val="StyleWisnow"/>
              <w:rPr>
                <w:color w:val="000000" w:themeColor="text1"/>
              </w:rPr>
            </w:pPr>
            <w:bookmarkStart w:id="3377" w:name="n3507" w:colFirst="0" w:colLast="0"/>
            <w:bookmarkEnd w:id="3376"/>
            <w:r w:rsidRPr="00286216">
              <w:rPr>
                <w:color w:val="000000" w:themeColor="text1"/>
              </w:rPr>
              <w:t>3507.</w:t>
            </w:r>
          </w:p>
        </w:tc>
        <w:tc>
          <w:tcPr>
            <w:tcW w:w="4818" w:type="dxa"/>
          </w:tcPr>
          <w:p w14:paraId="6F240962" w14:textId="77777777" w:rsidR="008C392C" w:rsidRPr="00286216" w:rsidRDefault="008C392C" w:rsidP="008C392C">
            <w:pPr>
              <w:pStyle w:val="StyleZakonu"/>
              <w:rPr>
                <w:color w:val="000000" w:themeColor="text1"/>
              </w:rPr>
            </w:pPr>
            <w:r w:rsidRPr="00286216">
              <w:rPr>
                <w:color w:val="000000" w:themeColor="text1"/>
              </w:rPr>
              <w:t xml:space="preserve">"4. У разі заснування акціонерного товариства </w:t>
            </w:r>
            <w:r w:rsidRPr="00286216">
              <w:rPr>
                <w:color w:val="000000" w:themeColor="text1"/>
              </w:rPr>
              <w:lastRenderedPageBreak/>
              <w:t>його акції підлягають розміщенню виключно серед його засновників. Публічне пропозиція акцій товариства може здійснюватися після отримання свідоцтва про реєстрацію першого випуску акцій.";</w:t>
            </w:r>
          </w:p>
        </w:tc>
        <w:tc>
          <w:tcPr>
            <w:tcW w:w="3686" w:type="dxa"/>
          </w:tcPr>
          <w:p w14:paraId="5488F6AD" w14:textId="2FA3543A"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lastRenderedPageBreak/>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1431</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256C3147"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lastRenderedPageBreak/>
              <w:t>Підпункт в) підпункту 3 пункту 40 розділу 3 викласти в такій редакції:</w:t>
            </w:r>
          </w:p>
          <w:p w14:paraId="42AB2FE2"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«в) абзац перший частини четвертої викласти у наступній редакції:</w:t>
            </w:r>
          </w:p>
          <w:p w14:paraId="3C58C8B1"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«4. У разі заснування акціонерного товариства його акції підлягають розміщенню виключно серед його засновників. Публічне пропозиція акцій товариства може здійснюватися після затвердження звіту про результати емісії акцій уповноваженим органом товариства».</w:t>
            </w:r>
          </w:p>
        </w:tc>
        <w:tc>
          <w:tcPr>
            <w:tcW w:w="1987" w:type="dxa"/>
          </w:tcPr>
          <w:p w14:paraId="172035F7" w14:textId="77777777" w:rsidR="00B87F8E" w:rsidRPr="00286216" w:rsidRDefault="00B87F8E" w:rsidP="00B87F8E">
            <w:pPr>
              <w:pStyle w:val="StyleWisnow"/>
              <w:spacing w:line="180" w:lineRule="exact"/>
              <w:rPr>
                <w:color w:val="000000" w:themeColor="text1"/>
              </w:rPr>
            </w:pPr>
            <w:r w:rsidRPr="00286216">
              <w:rPr>
                <w:color w:val="000000" w:themeColor="text1"/>
              </w:rPr>
              <w:lastRenderedPageBreak/>
              <w:t>Відхилено</w:t>
            </w:r>
          </w:p>
          <w:p w14:paraId="77EE6860" w14:textId="49C31295" w:rsidR="008C392C" w:rsidRPr="00286216" w:rsidRDefault="00B87F8E" w:rsidP="00B87F8E">
            <w:pPr>
              <w:pStyle w:val="StyleWisnow"/>
              <w:rPr>
                <w:color w:val="000000" w:themeColor="text1"/>
              </w:rPr>
            </w:pPr>
            <w:r w:rsidRPr="00286216">
              <w:rPr>
                <w:color w:val="000000" w:themeColor="text1"/>
              </w:rPr>
              <w:lastRenderedPageBreak/>
              <w:t>дане питання потребує вирішення окремим законом</w:t>
            </w:r>
          </w:p>
        </w:tc>
        <w:tc>
          <w:tcPr>
            <w:tcW w:w="4818" w:type="dxa"/>
          </w:tcPr>
          <w:p w14:paraId="1027143A" w14:textId="6708AE8D" w:rsidR="008C392C" w:rsidRPr="00286216" w:rsidRDefault="008C392C" w:rsidP="008C392C">
            <w:pPr>
              <w:pStyle w:val="StyleZakonu"/>
              <w:rPr>
                <w:color w:val="000000" w:themeColor="text1"/>
              </w:rPr>
            </w:pPr>
            <w:r w:rsidRPr="00286216">
              <w:rPr>
                <w:color w:val="000000" w:themeColor="text1"/>
              </w:rPr>
              <w:lastRenderedPageBreak/>
              <w:t xml:space="preserve">"4. У разі заснування акціонерного товариства </w:t>
            </w:r>
            <w:r w:rsidRPr="00286216">
              <w:rPr>
                <w:color w:val="000000" w:themeColor="text1"/>
              </w:rPr>
              <w:lastRenderedPageBreak/>
              <w:t>його акції підлягають розміщенню виключно серед його засновників. Публічне пропозиція акцій товариства може здійснюватися після отримання свідоцтва про реєстрацію першого випуску акцій";</w:t>
            </w:r>
          </w:p>
        </w:tc>
      </w:tr>
      <w:bookmarkEnd w:id="3377"/>
      <w:tr w:rsidR="008C392C" w:rsidRPr="00286216" w14:paraId="1C58D70C" w14:textId="77777777" w:rsidTr="00091AA5">
        <w:tc>
          <w:tcPr>
            <w:tcW w:w="576" w:type="dxa"/>
          </w:tcPr>
          <w:p w14:paraId="1570BAAB" w14:textId="77777777" w:rsidR="008C392C" w:rsidRPr="00286216" w:rsidRDefault="008C392C" w:rsidP="008C392C">
            <w:pPr>
              <w:pStyle w:val="StyleWisnow"/>
              <w:rPr>
                <w:color w:val="000000" w:themeColor="text1"/>
              </w:rPr>
            </w:pPr>
          </w:p>
        </w:tc>
        <w:tc>
          <w:tcPr>
            <w:tcW w:w="4818" w:type="dxa"/>
          </w:tcPr>
          <w:p w14:paraId="20B5F8EE" w14:textId="77777777" w:rsidR="008C392C" w:rsidRPr="00286216" w:rsidRDefault="008C392C" w:rsidP="008C392C">
            <w:pPr>
              <w:pStyle w:val="StyleZakonu"/>
              <w:rPr>
                <w:color w:val="000000" w:themeColor="text1"/>
              </w:rPr>
            </w:pPr>
          </w:p>
        </w:tc>
        <w:tc>
          <w:tcPr>
            <w:tcW w:w="3686" w:type="dxa"/>
          </w:tcPr>
          <w:p w14:paraId="001B8EE4" w14:textId="62D786B3" w:rsidR="008C392C" w:rsidRPr="00286216" w:rsidRDefault="008C392C" w:rsidP="008C392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1432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C457ECB"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Доповнити підпункт 3 пункту 40 новим пунктом «г» такого змісту:</w:t>
            </w:r>
          </w:p>
          <w:p w14:paraId="511E13E7"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«г) пункт другий та десятий частини п’ятої після слова «подання» доповнити словами «офіційним каналом зв’язку»»</w:t>
            </w:r>
          </w:p>
        </w:tc>
        <w:tc>
          <w:tcPr>
            <w:tcW w:w="1987" w:type="dxa"/>
          </w:tcPr>
          <w:p w14:paraId="09EE6B33" w14:textId="77777777" w:rsidR="008C392C" w:rsidRPr="00286216" w:rsidRDefault="008C392C" w:rsidP="008C392C">
            <w:pPr>
              <w:pStyle w:val="StyleWisnow"/>
              <w:rPr>
                <w:color w:val="000000" w:themeColor="text1"/>
              </w:rPr>
            </w:pPr>
            <w:r w:rsidRPr="00286216">
              <w:rPr>
                <w:color w:val="000000" w:themeColor="text1"/>
              </w:rPr>
              <w:t>Враховано</w:t>
            </w:r>
          </w:p>
        </w:tc>
        <w:tc>
          <w:tcPr>
            <w:tcW w:w="4818" w:type="dxa"/>
          </w:tcPr>
          <w:p w14:paraId="1A9334AF" w14:textId="254E5DB0" w:rsidR="008C392C" w:rsidRPr="00286216" w:rsidRDefault="008C392C" w:rsidP="008C392C">
            <w:pPr>
              <w:pStyle w:val="StyleZakonu"/>
              <w:rPr>
                <w:color w:val="000000" w:themeColor="text1"/>
              </w:rPr>
            </w:pPr>
            <w:r w:rsidRPr="00286216">
              <w:rPr>
                <w:color w:val="000000" w:themeColor="text1"/>
                <w:szCs w:val="18"/>
              </w:rPr>
              <w:t>г) пункти 2  і 10 частини п’ятої після слова "подання" доповнити словами "офіційним каналом зв’язку";</w:t>
            </w:r>
          </w:p>
        </w:tc>
      </w:tr>
      <w:tr w:rsidR="008C392C" w:rsidRPr="00286216" w14:paraId="7B127EC9" w14:textId="77777777" w:rsidTr="00091AA5">
        <w:tc>
          <w:tcPr>
            <w:tcW w:w="576" w:type="dxa"/>
          </w:tcPr>
          <w:p w14:paraId="173EA70D" w14:textId="77777777" w:rsidR="008C392C" w:rsidRPr="00286216" w:rsidRDefault="008C392C" w:rsidP="008C392C">
            <w:pPr>
              <w:pStyle w:val="StyleWisnow"/>
              <w:rPr>
                <w:color w:val="000000" w:themeColor="text1"/>
              </w:rPr>
            </w:pPr>
          </w:p>
        </w:tc>
        <w:tc>
          <w:tcPr>
            <w:tcW w:w="4818" w:type="dxa"/>
          </w:tcPr>
          <w:p w14:paraId="599B6055" w14:textId="77777777" w:rsidR="008C392C" w:rsidRPr="00286216" w:rsidRDefault="008C392C" w:rsidP="008C392C">
            <w:pPr>
              <w:pStyle w:val="StyleZakonu"/>
              <w:rPr>
                <w:color w:val="000000" w:themeColor="text1"/>
              </w:rPr>
            </w:pPr>
          </w:p>
        </w:tc>
        <w:tc>
          <w:tcPr>
            <w:tcW w:w="3686" w:type="dxa"/>
          </w:tcPr>
          <w:p w14:paraId="38CB8913" w14:textId="13C67477"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35682D4"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Підпункт 3 пункту 40 розділу 3 доповнити підпунктом г) в такій редакції:</w:t>
            </w:r>
          </w:p>
          <w:p w14:paraId="58E5F28E"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 xml:space="preserve">«г) частину п’яту викласти у такій редакції: </w:t>
            </w:r>
          </w:p>
          <w:p w14:paraId="08970F06"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«5. Створення акціонерного товариства здійснюється за такими етапами:</w:t>
            </w:r>
          </w:p>
          <w:p w14:paraId="26282010"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1) прийняття зборами засновників рішення про створення акціонерного товариства та про емісію акцій;</w:t>
            </w:r>
          </w:p>
          <w:p w14:paraId="6C62D935"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2) оформлення тимчасового свідоцтва про реєстрацію випуску акцій відповідно до законодавства та подання його до Національного депозитарію України;</w:t>
            </w:r>
          </w:p>
          <w:p w14:paraId="2733A677"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3) присвоєння акціям міжнародного ідентифікаційного номера цінних паперів;</w:t>
            </w:r>
          </w:p>
          <w:p w14:paraId="0385DF67"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4) укладення з Центральним депозитарієм цінних паперів договору про обслуговування емісії акцій;</w:t>
            </w:r>
          </w:p>
          <w:p w14:paraId="41D8206D"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5) емісія  акцій серед засновників товариства;</w:t>
            </w:r>
          </w:p>
          <w:p w14:paraId="1B60BD4E"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6) оплата засновниками повної вартості акцій;</w:t>
            </w:r>
          </w:p>
          <w:p w14:paraId="694B2CA7"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7) затвердження установчими зборами товариства результатів емісії акцій серед засновників товариства, затвердження статуту товариства, затвердження звіту про результати емісії акцій, а також прийняття інших рішень, передбачених законом;</w:t>
            </w:r>
          </w:p>
          <w:p w14:paraId="03FD0246"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8) реєстрація товариства в органах державної реєстрації;</w:t>
            </w:r>
          </w:p>
          <w:p w14:paraId="1C4CF7B8"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9) видача засновникам товариства документів, що підтверджують право власності на акції.</w:t>
            </w:r>
          </w:p>
          <w:p w14:paraId="4FC821D6" w14:textId="77777777" w:rsidR="008C392C" w:rsidRPr="00286216" w:rsidRDefault="008C392C" w:rsidP="00B87F8E">
            <w:pPr>
              <w:spacing w:line="180" w:lineRule="exact"/>
              <w:ind w:firstLine="227"/>
              <w:jc w:val="both"/>
              <w:rPr>
                <w:color w:val="000000" w:themeColor="text1"/>
                <w:sz w:val="18"/>
              </w:rPr>
            </w:pPr>
            <w:r w:rsidRPr="00286216">
              <w:rPr>
                <w:color w:val="000000" w:themeColor="text1"/>
                <w:sz w:val="18"/>
              </w:rPr>
              <w:t xml:space="preserve">Дії, що порушують процедуру створення акціонерного товариства, встановлену цим Законом, є підставою для прийняття Національною комісією з цінних паперів та </w:t>
            </w:r>
            <w:r w:rsidRPr="00286216">
              <w:rPr>
                <w:color w:val="000000" w:themeColor="text1"/>
                <w:sz w:val="18"/>
              </w:rPr>
              <w:lastRenderedPageBreak/>
              <w:t>фондового ринку рішення про визнання емісії недобросовісною. У разі прийняття такого рішення Національна комісія з цінних паперів та фондового ринку має право звернутись до суду з позовом про ліквідацію акціонерного товариства».</w:t>
            </w:r>
          </w:p>
        </w:tc>
        <w:tc>
          <w:tcPr>
            <w:tcW w:w="1987" w:type="dxa"/>
          </w:tcPr>
          <w:p w14:paraId="4679C782" w14:textId="77777777" w:rsidR="00B87F8E" w:rsidRPr="00286216" w:rsidRDefault="00B87F8E" w:rsidP="00B87F8E">
            <w:pPr>
              <w:pStyle w:val="StyleWisnow"/>
              <w:spacing w:line="180" w:lineRule="exact"/>
              <w:rPr>
                <w:color w:val="000000" w:themeColor="text1"/>
              </w:rPr>
            </w:pPr>
            <w:r w:rsidRPr="00286216">
              <w:rPr>
                <w:color w:val="000000" w:themeColor="text1"/>
              </w:rPr>
              <w:lastRenderedPageBreak/>
              <w:t>Відхилено</w:t>
            </w:r>
          </w:p>
          <w:p w14:paraId="2C64A4CE" w14:textId="48E78EFB" w:rsidR="008C392C" w:rsidRPr="00286216" w:rsidRDefault="00B87F8E" w:rsidP="00B87F8E">
            <w:pPr>
              <w:pStyle w:val="StyleWisnow"/>
              <w:spacing w:line="180" w:lineRule="exact"/>
              <w:rPr>
                <w:color w:val="000000" w:themeColor="text1"/>
              </w:rPr>
            </w:pPr>
            <w:r w:rsidRPr="00286216">
              <w:rPr>
                <w:color w:val="000000" w:themeColor="text1"/>
              </w:rPr>
              <w:t>дане питання потребує вирішення окремим законом</w:t>
            </w:r>
          </w:p>
        </w:tc>
        <w:tc>
          <w:tcPr>
            <w:tcW w:w="4818" w:type="dxa"/>
          </w:tcPr>
          <w:p w14:paraId="2C134A34" w14:textId="77777777" w:rsidR="008C392C" w:rsidRPr="00286216" w:rsidRDefault="008C392C" w:rsidP="008C392C">
            <w:pPr>
              <w:pStyle w:val="StyleZakonu"/>
              <w:rPr>
                <w:color w:val="000000" w:themeColor="text1"/>
              </w:rPr>
            </w:pPr>
          </w:p>
        </w:tc>
      </w:tr>
      <w:tr w:rsidR="008C392C" w:rsidRPr="00286216" w14:paraId="4AA99022" w14:textId="77777777" w:rsidTr="00091AA5">
        <w:tc>
          <w:tcPr>
            <w:tcW w:w="576" w:type="dxa"/>
          </w:tcPr>
          <w:p w14:paraId="0F96D351" w14:textId="77777777" w:rsidR="008C392C" w:rsidRPr="00286216" w:rsidRDefault="008C392C" w:rsidP="008C392C">
            <w:pPr>
              <w:pStyle w:val="StyleWisnow"/>
              <w:rPr>
                <w:color w:val="000000" w:themeColor="text1"/>
              </w:rPr>
            </w:pPr>
            <w:bookmarkStart w:id="3378" w:name="n3508" w:colFirst="0" w:colLast="0"/>
            <w:r w:rsidRPr="00286216">
              <w:rPr>
                <w:color w:val="000000" w:themeColor="text1"/>
              </w:rPr>
              <w:t>3508.</w:t>
            </w:r>
          </w:p>
        </w:tc>
        <w:tc>
          <w:tcPr>
            <w:tcW w:w="4818" w:type="dxa"/>
          </w:tcPr>
          <w:p w14:paraId="28358C4A" w14:textId="77777777" w:rsidR="008C392C" w:rsidRPr="00286216" w:rsidRDefault="008C392C" w:rsidP="008C392C">
            <w:pPr>
              <w:pStyle w:val="StyleZakonu"/>
              <w:rPr>
                <w:color w:val="000000" w:themeColor="text1"/>
              </w:rPr>
            </w:pPr>
            <w:r w:rsidRPr="00286216">
              <w:rPr>
                <w:color w:val="000000" w:themeColor="text1"/>
              </w:rPr>
              <w:t>4) у пункті 7 частини другої статті 10 слово "розміщення" замінити словом "емісії" та доповнити словами "та звіту про результати емісії акцій";</w:t>
            </w:r>
          </w:p>
        </w:tc>
        <w:tc>
          <w:tcPr>
            <w:tcW w:w="3686" w:type="dxa"/>
          </w:tcPr>
          <w:p w14:paraId="2953BFC3" w14:textId="77777777" w:rsidR="008C392C" w:rsidRPr="00286216" w:rsidRDefault="008C392C" w:rsidP="008C392C">
            <w:pPr>
              <w:pStyle w:val="StyleProp"/>
              <w:rPr>
                <w:color w:val="000000" w:themeColor="text1"/>
                <w:szCs w:val="18"/>
              </w:rPr>
            </w:pPr>
          </w:p>
        </w:tc>
        <w:tc>
          <w:tcPr>
            <w:tcW w:w="1987" w:type="dxa"/>
          </w:tcPr>
          <w:p w14:paraId="0CF05D41" w14:textId="77777777" w:rsidR="008C392C" w:rsidRPr="00286216" w:rsidRDefault="008C392C" w:rsidP="008C392C">
            <w:pPr>
              <w:pStyle w:val="StyleWisnow"/>
              <w:rPr>
                <w:color w:val="000000" w:themeColor="text1"/>
              </w:rPr>
            </w:pPr>
          </w:p>
        </w:tc>
        <w:tc>
          <w:tcPr>
            <w:tcW w:w="4818" w:type="dxa"/>
          </w:tcPr>
          <w:p w14:paraId="7C36500A" w14:textId="51B1ADBE" w:rsidR="008C392C" w:rsidRPr="00286216" w:rsidRDefault="008C392C" w:rsidP="008C392C">
            <w:pPr>
              <w:pStyle w:val="StyleZakonu"/>
              <w:rPr>
                <w:color w:val="000000" w:themeColor="text1"/>
              </w:rPr>
            </w:pPr>
            <w:r w:rsidRPr="00286216">
              <w:rPr>
                <w:color w:val="000000" w:themeColor="text1"/>
              </w:rPr>
              <w:t>4) у пункті 7 частини другої статті 10 слово "розміщення" замінити словом "емісії" та доповнити словами "та звіту про результати емісії акцій";</w:t>
            </w:r>
          </w:p>
        </w:tc>
      </w:tr>
      <w:tr w:rsidR="008C392C" w:rsidRPr="00286216" w14:paraId="322737AB" w14:textId="77777777" w:rsidTr="00091AA5">
        <w:tc>
          <w:tcPr>
            <w:tcW w:w="576" w:type="dxa"/>
          </w:tcPr>
          <w:p w14:paraId="660B55F8" w14:textId="77777777" w:rsidR="008C392C" w:rsidRPr="00286216" w:rsidRDefault="008C392C" w:rsidP="008C392C">
            <w:pPr>
              <w:pStyle w:val="StyleWisnow"/>
              <w:rPr>
                <w:color w:val="000000" w:themeColor="text1"/>
              </w:rPr>
            </w:pPr>
            <w:bookmarkStart w:id="3379" w:name="n3509" w:colFirst="0" w:colLast="0"/>
            <w:bookmarkEnd w:id="3378"/>
            <w:r w:rsidRPr="00286216">
              <w:rPr>
                <w:color w:val="000000" w:themeColor="text1"/>
              </w:rPr>
              <w:t>3509.</w:t>
            </w:r>
          </w:p>
        </w:tc>
        <w:tc>
          <w:tcPr>
            <w:tcW w:w="4818" w:type="dxa"/>
          </w:tcPr>
          <w:p w14:paraId="5BEE0154" w14:textId="77777777" w:rsidR="008C392C" w:rsidRPr="00286216" w:rsidRDefault="008C392C" w:rsidP="008C392C">
            <w:pPr>
              <w:pStyle w:val="StyleZakonu"/>
              <w:rPr>
                <w:color w:val="000000" w:themeColor="text1"/>
              </w:rPr>
            </w:pPr>
            <w:r w:rsidRPr="00286216">
              <w:rPr>
                <w:color w:val="000000" w:themeColor="text1"/>
              </w:rPr>
              <w:t>5) у статті 11:</w:t>
            </w:r>
          </w:p>
        </w:tc>
        <w:tc>
          <w:tcPr>
            <w:tcW w:w="3686" w:type="dxa"/>
          </w:tcPr>
          <w:p w14:paraId="54B5E57B" w14:textId="77777777" w:rsidR="008C392C" w:rsidRPr="00286216" w:rsidRDefault="008C392C" w:rsidP="008C392C">
            <w:pPr>
              <w:pStyle w:val="StyleProp"/>
              <w:rPr>
                <w:color w:val="000000" w:themeColor="text1"/>
                <w:szCs w:val="18"/>
              </w:rPr>
            </w:pPr>
          </w:p>
        </w:tc>
        <w:tc>
          <w:tcPr>
            <w:tcW w:w="1987" w:type="dxa"/>
          </w:tcPr>
          <w:p w14:paraId="61318416" w14:textId="77777777" w:rsidR="008C392C" w:rsidRPr="00286216" w:rsidRDefault="008C392C" w:rsidP="008C392C">
            <w:pPr>
              <w:pStyle w:val="StyleWisnow"/>
              <w:rPr>
                <w:color w:val="000000" w:themeColor="text1"/>
              </w:rPr>
            </w:pPr>
          </w:p>
        </w:tc>
        <w:tc>
          <w:tcPr>
            <w:tcW w:w="4818" w:type="dxa"/>
          </w:tcPr>
          <w:p w14:paraId="43A5291E" w14:textId="002088C1" w:rsidR="008C392C" w:rsidRPr="00286216" w:rsidRDefault="008C392C" w:rsidP="008C392C">
            <w:pPr>
              <w:pStyle w:val="StyleZakonu"/>
              <w:rPr>
                <w:color w:val="000000" w:themeColor="text1"/>
              </w:rPr>
            </w:pPr>
            <w:r w:rsidRPr="00286216">
              <w:rPr>
                <w:color w:val="000000" w:themeColor="text1"/>
              </w:rPr>
              <w:t>5) у статті 11:</w:t>
            </w:r>
          </w:p>
        </w:tc>
      </w:tr>
      <w:tr w:rsidR="008C392C" w:rsidRPr="00286216" w14:paraId="3171D331" w14:textId="77777777" w:rsidTr="00091AA5">
        <w:tc>
          <w:tcPr>
            <w:tcW w:w="576" w:type="dxa"/>
          </w:tcPr>
          <w:p w14:paraId="258F77CF" w14:textId="77777777" w:rsidR="008C392C" w:rsidRPr="00286216" w:rsidRDefault="008C392C" w:rsidP="008C392C">
            <w:pPr>
              <w:pStyle w:val="StyleWisnow"/>
              <w:rPr>
                <w:color w:val="000000" w:themeColor="text1"/>
              </w:rPr>
            </w:pPr>
            <w:bookmarkStart w:id="3380" w:name="n3510" w:colFirst="0" w:colLast="0"/>
            <w:bookmarkEnd w:id="3379"/>
            <w:r w:rsidRPr="00286216">
              <w:rPr>
                <w:color w:val="000000" w:themeColor="text1"/>
              </w:rPr>
              <w:t>3510.</w:t>
            </w:r>
          </w:p>
        </w:tc>
        <w:tc>
          <w:tcPr>
            <w:tcW w:w="4818" w:type="dxa"/>
          </w:tcPr>
          <w:p w14:paraId="0BF40E21" w14:textId="77777777" w:rsidR="008C392C" w:rsidRPr="00286216" w:rsidRDefault="008C392C" w:rsidP="008C392C">
            <w:pPr>
              <w:pStyle w:val="StyleZakonu"/>
              <w:rPr>
                <w:color w:val="000000" w:themeColor="text1"/>
              </w:rPr>
            </w:pPr>
            <w:r w:rsidRPr="00286216">
              <w:rPr>
                <w:color w:val="000000" w:themeColor="text1"/>
              </w:rPr>
              <w:t>а) у частині третій</w:t>
            </w:r>
          </w:p>
        </w:tc>
        <w:tc>
          <w:tcPr>
            <w:tcW w:w="3686" w:type="dxa"/>
          </w:tcPr>
          <w:p w14:paraId="2CCEB7DE" w14:textId="77777777" w:rsidR="008C392C" w:rsidRPr="00286216" w:rsidRDefault="008C392C" w:rsidP="008C392C">
            <w:pPr>
              <w:pStyle w:val="StyleProp"/>
              <w:rPr>
                <w:color w:val="000000" w:themeColor="text1"/>
                <w:szCs w:val="18"/>
              </w:rPr>
            </w:pPr>
          </w:p>
        </w:tc>
        <w:tc>
          <w:tcPr>
            <w:tcW w:w="1987" w:type="dxa"/>
          </w:tcPr>
          <w:p w14:paraId="11709C1D" w14:textId="77777777" w:rsidR="008C392C" w:rsidRPr="00286216" w:rsidRDefault="008C392C" w:rsidP="008C392C">
            <w:pPr>
              <w:pStyle w:val="StyleWisnow"/>
              <w:rPr>
                <w:color w:val="000000" w:themeColor="text1"/>
              </w:rPr>
            </w:pPr>
          </w:p>
        </w:tc>
        <w:tc>
          <w:tcPr>
            <w:tcW w:w="4818" w:type="dxa"/>
          </w:tcPr>
          <w:p w14:paraId="2821BD8F" w14:textId="3BD7C8A7" w:rsidR="008C392C" w:rsidRPr="00286216" w:rsidRDefault="008C392C" w:rsidP="008C392C">
            <w:pPr>
              <w:pStyle w:val="StyleZakonu"/>
              <w:rPr>
                <w:color w:val="000000" w:themeColor="text1"/>
              </w:rPr>
            </w:pPr>
            <w:r w:rsidRPr="00286216">
              <w:rPr>
                <w:color w:val="000000" w:themeColor="text1"/>
              </w:rPr>
              <w:t>а) у частині третій:</w:t>
            </w:r>
          </w:p>
        </w:tc>
      </w:tr>
      <w:tr w:rsidR="008C392C" w:rsidRPr="00286216" w14:paraId="421DCF5E" w14:textId="77777777" w:rsidTr="00091AA5">
        <w:tc>
          <w:tcPr>
            <w:tcW w:w="576" w:type="dxa"/>
          </w:tcPr>
          <w:p w14:paraId="76BFDA23" w14:textId="77777777" w:rsidR="008C392C" w:rsidRPr="00286216" w:rsidRDefault="008C392C" w:rsidP="008C392C">
            <w:pPr>
              <w:pStyle w:val="StyleWisnow"/>
              <w:rPr>
                <w:color w:val="000000" w:themeColor="text1"/>
              </w:rPr>
            </w:pPr>
            <w:bookmarkStart w:id="3381" w:name="n3511" w:colFirst="0" w:colLast="0"/>
            <w:bookmarkEnd w:id="3380"/>
            <w:r w:rsidRPr="00286216">
              <w:rPr>
                <w:color w:val="000000" w:themeColor="text1"/>
              </w:rPr>
              <w:t>3511.</w:t>
            </w:r>
          </w:p>
        </w:tc>
        <w:tc>
          <w:tcPr>
            <w:tcW w:w="4818" w:type="dxa"/>
          </w:tcPr>
          <w:p w14:paraId="39205AAA" w14:textId="77777777" w:rsidR="008C392C" w:rsidRPr="00286216" w:rsidRDefault="008C392C" w:rsidP="008C392C">
            <w:pPr>
              <w:pStyle w:val="StyleZakonu"/>
              <w:rPr>
                <w:color w:val="000000" w:themeColor="text1"/>
              </w:rPr>
            </w:pPr>
            <w:r w:rsidRPr="00286216">
              <w:rPr>
                <w:color w:val="000000" w:themeColor="text1"/>
              </w:rPr>
              <w:t>у абзаці першому слова "розміщення першого випуску" замінити словом "емісії";</w:t>
            </w:r>
          </w:p>
        </w:tc>
        <w:tc>
          <w:tcPr>
            <w:tcW w:w="3686" w:type="dxa"/>
          </w:tcPr>
          <w:p w14:paraId="2942FF9B" w14:textId="77777777" w:rsidR="008C392C" w:rsidRPr="00286216" w:rsidRDefault="008C392C" w:rsidP="008C392C">
            <w:pPr>
              <w:spacing w:line="200" w:lineRule="exact"/>
              <w:ind w:firstLine="227"/>
              <w:jc w:val="both"/>
              <w:rPr>
                <w:color w:val="000000" w:themeColor="text1"/>
                <w:szCs w:val="18"/>
              </w:rPr>
            </w:pPr>
          </w:p>
        </w:tc>
        <w:tc>
          <w:tcPr>
            <w:tcW w:w="1987" w:type="dxa"/>
          </w:tcPr>
          <w:p w14:paraId="0A549A9B" w14:textId="77777777" w:rsidR="008C392C" w:rsidRPr="00286216" w:rsidRDefault="008C392C" w:rsidP="008C392C">
            <w:pPr>
              <w:pStyle w:val="StyleWisnow"/>
              <w:rPr>
                <w:color w:val="000000" w:themeColor="text1"/>
              </w:rPr>
            </w:pPr>
          </w:p>
        </w:tc>
        <w:tc>
          <w:tcPr>
            <w:tcW w:w="4818" w:type="dxa"/>
          </w:tcPr>
          <w:p w14:paraId="6ABBCFBF" w14:textId="17EC4F49" w:rsidR="008C392C" w:rsidRPr="00286216" w:rsidRDefault="008C392C" w:rsidP="008C392C">
            <w:pPr>
              <w:pStyle w:val="StyleZakonu"/>
              <w:rPr>
                <w:color w:val="000000" w:themeColor="text1"/>
              </w:rPr>
            </w:pPr>
            <w:r w:rsidRPr="00286216">
              <w:rPr>
                <w:color w:val="000000" w:themeColor="text1"/>
              </w:rPr>
              <w:t>в абзаці першому слова "розміщення першого випуску" замінити словом "емісії";</w:t>
            </w:r>
          </w:p>
        </w:tc>
      </w:tr>
      <w:tr w:rsidR="008C392C" w:rsidRPr="00286216" w14:paraId="428C57D6" w14:textId="77777777" w:rsidTr="00091AA5">
        <w:tc>
          <w:tcPr>
            <w:tcW w:w="576" w:type="dxa"/>
          </w:tcPr>
          <w:p w14:paraId="0CA92217" w14:textId="77777777" w:rsidR="008C392C" w:rsidRPr="00286216" w:rsidRDefault="008C392C" w:rsidP="008C392C">
            <w:pPr>
              <w:pStyle w:val="StyleWisnow"/>
              <w:rPr>
                <w:color w:val="000000" w:themeColor="text1"/>
              </w:rPr>
            </w:pPr>
            <w:bookmarkStart w:id="3382" w:name="n3512" w:colFirst="0" w:colLast="0"/>
            <w:bookmarkEnd w:id="3381"/>
            <w:r w:rsidRPr="00286216">
              <w:rPr>
                <w:color w:val="000000" w:themeColor="text1"/>
              </w:rPr>
              <w:t>3512.</w:t>
            </w:r>
          </w:p>
        </w:tc>
        <w:tc>
          <w:tcPr>
            <w:tcW w:w="4818" w:type="dxa"/>
          </w:tcPr>
          <w:p w14:paraId="4F8D9722" w14:textId="77777777" w:rsidR="008C392C" w:rsidRPr="00286216" w:rsidRDefault="008C392C" w:rsidP="008C392C">
            <w:pPr>
              <w:pStyle w:val="StyleZakonu"/>
              <w:rPr>
                <w:color w:val="000000" w:themeColor="text1"/>
              </w:rPr>
            </w:pPr>
            <w:r w:rsidRPr="00286216">
              <w:rPr>
                <w:color w:val="000000" w:themeColor="text1"/>
              </w:rPr>
              <w:t>у абзаці другому слово "розміщення" замінити словом "емісії";</w:t>
            </w:r>
          </w:p>
        </w:tc>
        <w:tc>
          <w:tcPr>
            <w:tcW w:w="3686" w:type="dxa"/>
          </w:tcPr>
          <w:p w14:paraId="05EBD7D6" w14:textId="13631EC0"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3C3D01C" w14:textId="77777777" w:rsidR="008C392C" w:rsidRPr="00286216" w:rsidRDefault="008C392C" w:rsidP="008C392C">
            <w:pPr>
              <w:spacing w:line="190" w:lineRule="exact"/>
              <w:ind w:firstLine="227"/>
              <w:jc w:val="both"/>
              <w:rPr>
                <w:color w:val="000000" w:themeColor="text1"/>
                <w:sz w:val="18"/>
              </w:rPr>
            </w:pPr>
            <w:r w:rsidRPr="00286216">
              <w:rPr>
                <w:color w:val="000000" w:themeColor="text1"/>
                <w:sz w:val="18"/>
              </w:rPr>
              <w:t>Підпункт а) підпункту 5) пункту 40 розділу 3 (внесення змін до ст. 11 Закону України «Про акціонерні товариства») доповнити абзацом в такій редакції:</w:t>
            </w:r>
          </w:p>
          <w:p w14:paraId="4A1391D2" w14:textId="77777777" w:rsidR="008C392C" w:rsidRPr="00286216" w:rsidRDefault="008C392C" w:rsidP="008C392C">
            <w:pPr>
              <w:spacing w:line="190" w:lineRule="exact"/>
              <w:ind w:firstLine="227"/>
              <w:jc w:val="both"/>
              <w:rPr>
                <w:color w:val="000000" w:themeColor="text1"/>
                <w:szCs w:val="18"/>
              </w:rPr>
            </w:pPr>
            <w:r w:rsidRPr="00286216">
              <w:rPr>
                <w:color w:val="000000" w:themeColor="text1"/>
                <w:sz w:val="18"/>
              </w:rPr>
              <w:t>«у абзаці другому слова «До реєстрації звіту про результати розміщення акцій» замінити словами «До затвердження звіту про результати емісії акцій уповноваженим органом товариства».</w:t>
            </w:r>
          </w:p>
        </w:tc>
        <w:tc>
          <w:tcPr>
            <w:tcW w:w="1987" w:type="dxa"/>
          </w:tcPr>
          <w:p w14:paraId="75B8845E" w14:textId="77777777" w:rsidR="00B87F8E" w:rsidRPr="00286216" w:rsidRDefault="00B87F8E" w:rsidP="00B87F8E">
            <w:pPr>
              <w:pStyle w:val="StyleWisnow"/>
              <w:spacing w:line="180" w:lineRule="atLeast"/>
              <w:rPr>
                <w:color w:val="000000" w:themeColor="text1"/>
              </w:rPr>
            </w:pPr>
            <w:r w:rsidRPr="00286216">
              <w:rPr>
                <w:color w:val="000000" w:themeColor="text1"/>
              </w:rPr>
              <w:t>Відхилено</w:t>
            </w:r>
          </w:p>
          <w:p w14:paraId="593D0119" w14:textId="42BB09C0" w:rsidR="008C392C" w:rsidRPr="00286216" w:rsidRDefault="00B87F8E" w:rsidP="00B87F8E">
            <w:pPr>
              <w:pStyle w:val="StyleWisnow"/>
              <w:spacing w:line="180" w:lineRule="atLeast"/>
              <w:rPr>
                <w:color w:val="000000" w:themeColor="text1"/>
              </w:rPr>
            </w:pPr>
            <w:r w:rsidRPr="00286216">
              <w:rPr>
                <w:color w:val="000000" w:themeColor="text1"/>
              </w:rPr>
              <w:t>дане питання потребує вирішення окремим законом</w:t>
            </w:r>
          </w:p>
        </w:tc>
        <w:tc>
          <w:tcPr>
            <w:tcW w:w="4818" w:type="dxa"/>
          </w:tcPr>
          <w:p w14:paraId="14600429" w14:textId="24488CC7" w:rsidR="008C392C" w:rsidRPr="00286216" w:rsidRDefault="008C392C" w:rsidP="008C392C">
            <w:pPr>
              <w:pStyle w:val="StyleZakonu"/>
              <w:rPr>
                <w:color w:val="000000" w:themeColor="text1"/>
              </w:rPr>
            </w:pPr>
            <w:r w:rsidRPr="00286216">
              <w:rPr>
                <w:color w:val="000000" w:themeColor="text1"/>
              </w:rPr>
              <w:t>в абзаці другому слово "розміщення" замінити словом "емісії";</w:t>
            </w:r>
          </w:p>
        </w:tc>
      </w:tr>
      <w:tr w:rsidR="008C392C" w:rsidRPr="00286216" w14:paraId="1A558529" w14:textId="77777777" w:rsidTr="00091AA5">
        <w:tc>
          <w:tcPr>
            <w:tcW w:w="576" w:type="dxa"/>
          </w:tcPr>
          <w:p w14:paraId="1D127666" w14:textId="77777777" w:rsidR="008C392C" w:rsidRPr="00286216" w:rsidRDefault="008C392C" w:rsidP="008C392C">
            <w:pPr>
              <w:pStyle w:val="StyleWisnow"/>
              <w:rPr>
                <w:color w:val="000000" w:themeColor="text1"/>
              </w:rPr>
            </w:pPr>
            <w:bookmarkStart w:id="3383" w:name="n3513" w:colFirst="0" w:colLast="0"/>
            <w:bookmarkEnd w:id="3382"/>
            <w:r w:rsidRPr="00286216">
              <w:rPr>
                <w:color w:val="000000" w:themeColor="text1"/>
              </w:rPr>
              <w:t>3513.</w:t>
            </w:r>
          </w:p>
        </w:tc>
        <w:tc>
          <w:tcPr>
            <w:tcW w:w="4818" w:type="dxa"/>
          </w:tcPr>
          <w:p w14:paraId="6854EFBC" w14:textId="77777777" w:rsidR="008C392C" w:rsidRPr="00286216" w:rsidRDefault="008C392C" w:rsidP="008C392C">
            <w:pPr>
              <w:pStyle w:val="StyleZakonu"/>
              <w:rPr>
                <w:color w:val="000000" w:themeColor="text1"/>
              </w:rPr>
            </w:pPr>
            <w:r w:rsidRPr="00286216">
              <w:rPr>
                <w:color w:val="000000" w:themeColor="text1"/>
              </w:rPr>
              <w:t>б) частину четверту виключити;</w:t>
            </w:r>
          </w:p>
        </w:tc>
        <w:tc>
          <w:tcPr>
            <w:tcW w:w="3686" w:type="dxa"/>
          </w:tcPr>
          <w:p w14:paraId="1D7DE07B" w14:textId="77777777" w:rsidR="008C392C" w:rsidRPr="00286216" w:rsidRDefault="008C392C" w:rsidP="008C392C">
            <w:pPr>
              <w:pStyle w:val="StyleProp"/>
              <w:rPr>
                <w:color w:val="000000" w:themeColor="text1"/>
                <w:szCs w:val="18"/>
              </w:rPr>
            </w:pPr>
          </w:p>
        </w:tc>
        <w:tc>
          <w:tcPr>
            <w:tcW w:w="1987" w:type="dxa"/>
          </w:tcPr>
          <w:p w14:paraId="011998B8" w14:textId="77777777" w:rsidR="008C392C" w:rsidRPr="00286216" w:rsidRDefault="008C392C" w:rsidP="00B87F8E">
            <w:pPr>
              <w:pStyle w:val="StyleWisnow"/>
              <w:spacing w:line="180" w:lineRule="atLeast"/>
              <w:rPr>
                <w:color w:val="000000" w:themeColor="text1"/>
              </w:rPr>
            </w:pPr>
          </w:p>
        </w:tc>
        <w:tc>
          <w:tcPr>
            <w:tcW w:w="4818" w:type="dxa"/>
          </w:tcPr>
          <w:p w14:paraId="4E0469A4" w14:textId="4BBD7C71" w:rsidR="008C392C" w:rsidRPr="00286216" w:rsidRDefault="008C392C" w:rsidP="008C392C">
            <w:pPr>
              <w:pStyle w:val="StyleZakonu"/>
              <w:rPr>
                <w:color w:val="000000" w:themeColor="text1"/>
              </w:rPr>
            </w:pPr>
            <w:r w:rsidRPr="00286216">
              <w:rPr>
                <w:color w:val="000000" w:themeColor="text1"/>
              </w:rPr>
              <w:t>б) частину четверту виключити;</w:t>
            </w:r>
          </w:p>
        </w:tc>
      </w:tr>
      <w:tr w:rsidR="008C392C" w:rsidRPr="00286216" w14:paraId="44E16A04" w14:textId="77777777" w:rsidTr="00091AA5">
        <w:tc>
          <w:tcPr>
            <w:tcW w:w="576" w:type="dxa"/>
          </w:tcPr>
          <w:p w14:paraId="5DE226E5" w14:textId="77777777" w:rsidR="008C392C" w:rsidRPr="00286216" w:rsidRDefault="008C392C" w:rsidP="008C392C">
            <w:pPr>
              <w:pStyle w:val="StyleWisnow"/>
              <w:rPr>
                <w:color w:val="000000" w:themeColor="text1"/>
              </w:rPr>
            </w:pPr>
          </w:p>
        </w:tc>
        <w:tc>
          <w:tcPr>
            <w:tcW w:w="4818" w:type="dxa"/>
          </w:tcPr>
          <w:p w14:paraId="47FB1773" w14:textId="77777777" w:rsidR="008C392C" w:rsidRPr="00286216" w:rsidRDefault="008C392C" w:rsidP="008C392C">
            <w:pPr>
              <w:pStyle w:val="StyleZakonu"/>
              <w:rPr>
                <w:color w:val="000000" w:themeColor="text1"/>
              </w:rPr>
            </w:pPr>
          </w:p>
        </w:tc>
        <w:tc>
          <w:tcPr>
            <w:tcW w:w="3686" w:type="dxa"/>
          </w:tcPr>
          <w:p w14:paraId="06BF8513" w14:textId="6A42D829" w:rsidR="008C392C" w:rsidRPr="00286216" w:rsidRDefault="008C392C" w:rsidP="008C392C">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1435</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7C60EBC3" w14:textId="7F5AAF34" w:rsidR="008C392C" w:rsidRPr="00286216" w:rsidRDefault="008C392C" w:rsidP="008C392C">
            <w:pPr>
              <w:pStyle w:val="StyleProp"/>
              <w:spacing w:line="180" w:lineRule="exact"/>
              <w:rPr>
                <w:color w:val="000000" w:themeColor="text1"/>
                <w:spacing w:val="-2"/>
              </w:rPr>
            </w:pPr>
            <w:r w:rsidRPr="00286216">
              <w:rPr>
                <w:color w:val="000000" w:themeColor="text1"/>
                <w:spacing w:val="-2"/>
              </w:rPr>
              <w:t>"Стаття 14. Статутний і власний капітал акціонерного товариства</w:t>
            </w:r>
          </w:p>
          <w:p w14:paraId="46816631" w14:textId="77777777" w:rsidR="008C392C" w:rsidRPr="00286216" w:rsidRDefault="008C392C" w:rsidP="008C392C">
            <w:pPr>
              <w:pStyle w:val="StyleProp"/>
              <w:spacing w:line="180" w:lineRule="exact"/>
              <w:rPr>
                <w:color w:val="000000" w:themeColor="text1"/>
                <w:spacing w:val="-2"/>
              </w:rPr>
            </w:pPr>
            <w:r w:rsidRPr="00286216">
              <w:rPr>
                <w:color w:val="000000" w:themeColor="text1"/>
                <w:spacing w:val="-2"/>
              </w:rPr>
              <w:t>4. Порядок збільшення (зменшення) статутного капіталу акціонерного товариства при здійсненні публічної пропозиції акцій встановлюється Національною комісією з цінних паперів та фондового ринку.</w:t>
            </w:r>
          </w:p>
          <w:p w14:paraId="6D3A3D2A" w14:textId="77777777" w:rsidR="008C392C" w:rsidRPr="00286216" w:rsidRDefault="008C392C" w:rsidP="008C392C">
            <w:pPr>
              <w:pStyle w:val="StyleProp"/>
              <w:spacing w:line="180" w:lineRule="exact"/>
              <w:rPr>
                <w:color w:val="000000" w:themeColor="text1"/>
                <w:spacing w:val="-2"/>
              </w:rPr>
            </w:pPr>
            <w:r w:rsidRPr="00286216">
              <w:rPr>
                <w:color w:val="000000" w:themeColor="text1"/>
                <w:spacing w:val="-2"/>
              </w:rPr>
              <w:t>5. Статутом акціонерного товариства може бути передбачено створення спеціального фонду для виплати дивідендів за привілейованими акціями. </w:t>
            </w:r>
          </w:p>
          <w:p w14:paraId="6E496C84" w14:textId="77777777" w:rsidR="008C392C" w:rsidRPr="00286216" w:rsidRDefault="008C392C" w:rsidP="008C392C">
            <w:pPr>
              <w:pStyle w:val="StyleProp"/>
              <w:spacing w:line="180" w:lineRule="exact"/>
              <w:rPr>
                <w:color w:val="000000" w:themeColor="text1"/>
                <w:spacing w:val="-4"/>
                <w:szCs w:val="18"/>
              </w:rPr>
            </w:pPr>
            <w:r w:rsidRPr="00286216">
              <w:rPr>
                <w:color w:val="000000" w:themeColor="text1"/>
                <w:spacing w:val="-4"/>
              </w:rPr>
              <w:t>Порядок формування та використання такого фонду для   акціонерних товариств, які здійснили публічну пропозицію цінних паперів, встановлюється Національною комісією з цінних паперів та фондового ринку".</w:t>
            </w:r>
          </w:p>
        </w:tc>
        <w:tc>
          <w:tcPr>
            <w:tcW w:w="1987" w:type="dxa"/>
          </w:tcPr>
          <w:p w14:paraId="65F9881E" w14:textId="77777777" w:rsidR="00B87F8E" w:rsidRPr="00286216" w:rsidRDefault="00B87F8E" w:rsidP="00B87F8E">
            <w:pPr>
              <w:pStyle w:val="StyleWisnow"/>
              <w:spacing w:line="180" w:lineRule="atLeast"/>
              <w:rPr>
                <w:color w:val="000000" w:themeColor="text1"/>
              </w:rPr>
            </w:pPr>
            <w:r w:rsidRPr="00286216">
              <w:rPr>
                <w:color w:val="000000" w:themeColor="text1"/>
              </w:rPr>
              <w:t>Відхилено</w:t>
            </w:r>
          </w:p>
          <w:p w14:paraId="3161230F" w14:textId="30E7CFCD" w:rsidR="008C392C" w:rsidRPr="00286216" w:rsidRDefault="00B87F8E" w:rsidP="00B87F8E">
            <w:pPr>
              <w:pStyle w:val="StyleWisnow"/>
              <w:spacing w:line="180" w:lineRule="atLeast"/>
              <w:rPr>
                <w:color w:val="000000" w:themeColor="text1"/>
              </w:rPr>
            </w:pPr>
            <w:r w:rsidRPr="00286216">
              <w:rPr>
                <w:color w:val="000000" w:themeColor="text1"/>
              </w:rPr>
              <w:t>дане питання потребує вирішення окремим законом</w:t>
            </w:r>
          </w:p>
        </w:tc>
        <w:tc>
          <w:tcPr>
            <w:tcW w:w="4818" w:type="dxa"/>
          </w:tcPr>
          <w:p w14:paraId="768AC62B" w14:textId="77777777" w:rsidR="008C392C" w:rsidRPr="00286216" w:rsidRDefault="008C392C" w:rsidP="008C392C">
            <w:pPr>
              <w:pStyle w:val="StyleZakonu"/>
              <w:rPr>
                <w:color w:val="000000" w:themeColor="text1"/>
              </w:rPr>
            </w:pPr>
          </w:p>
        </w:tc>
      </w:tr>
      <w:tr w:rsidR="008C392C" w:rsidRPr="00286216" w14:paraId="1D73F7FB" w14:textId="77777777" w:rsidTr="00091AA5">
        <w:tc>
          <w:tcPr>
            <w:tcW w:w="576" w:type="dxa"/>
          </w:tcPr>
          <w:p w14:paraId="16ACE1D0" w14:textId="77777777" w:rsidR="008C392C" w:rsidRPr="00286216" w:rsidRDefault="008C392C" w:rsidP="008C392C">
            <w:pPr>
              <w:pStyle w:val="StyleWisnow"/>
              <w:rPr>
                <w:color w:val="000000" w:themeColor="text1"/>
              </w:rPr>
            </w:pPr>
            <w:bookmarkStart w:id="3384" w:name="n3514" w:colFirst="0" w:colLast="0"/>
            <w:bookmarkEnd w:id="3383"/>
            <w:r w:rsidRPr="00286216">
              <w:rPr>
                <w:color w:val="000000" w:themeColor="text1"/>
              </w:rPr>
              <w:t>3514.</w:t>
            </w:r>
          </w:p>
        </w:tc>
        <w:tc>
          <w:tcPr>
            <w:tcW w:w="4818" w:type="dxa"/>
          </w:tcPr>
          <w:p w14:paraId="015FB18C" w14:textId="77777777" w:rsidR="008C392C" w:rsidRPr="00286216" w:rsidRDefault="008C392C" w:rsidP="008C392C">
            <w:pPr>
              <w:pStyle w:val="StyleZakonu"/>
              <w:rPr>
                <w:color w:val="000000" w:themeColor="text1"/>
              </w:rPr>
            </w:pPr>
            <w:r w:rsidRPr="00286216">
              <w:rPr>
                <w:color w:val="000000" w:themeColor="text1"/>
              </w:rPr>
              <w:t>6) у статті 15:</w:t>
            </w:r>
          </w:p>
        </w:tc>
        <w:tc>
          <w:tcPr>
            <w:tcW w:w="3686" w:type="dxa"/>
          </w:tcPr>
          <w:p w14:paraId="4F2AF830" w14:textId="77777777" w:rsidR="008C392C" w:rsidRPr="00286216" w:rsidRDefault="008C392C" w:rsidP="008C392C">
            <w:pPr>
              <w:pStyle w:val="StyleProp"/>
              <w:rPr>
                <w:color w:val="000000" w:themeColor="text1"/>
                <w:szCs w:val="18"/>
              </w:rPr>
            </w:pPr>
          </w:p>
        </w:tc>
        <w:tc>
          <w:tcPr>
            <w:tcW w:w="1987" w:type="dxa"/>
          </w:tcPr>
          <w:p w14:paraId="3E802959" w14:textId="77777777" w:rsidR="008C392C" w:rsidRPr="00286216" w:rsidRDefault="008C392C" w:rsidP="008C392C">
            <w:pPr>
              <w:pStyle w:val="StyleWisnow"/>
              <w:rPr>
                <w:color w:val="000000" w:themeColor="text1"/>
              </w:rPr>
            </w:pPr>
          </w:p>
        </w:tc>
        <w:tc>
          <w:tcPr>
            <w:tcW w:w="4818" w:type="dxa"/>
          </w:tcPr>
          <w:p w14:paraId="55BF0D74" w14:textId="424AB1C2" w:rsidR="008C392C" w:rsidRPr="00286216" w:rsidRDefault="008C392C" w:rsidP="008C392C">
            <w:pPr>
              <w:pStyle w:val="StyleZakonu"/>
              <w:rPr>
                <w:color w:val="000000" w:themeColor="text1"/>
              </w:rPr>
            </w:pPr>
            <w:r w:rsidRPr="00286216">
              <w:rPr>
                <w:color w:val="000000" w:themeColor="text1"/>
              </w:rPr>
              <w:t>6) у статті 15:</w:t>
            </w:r>
          </w:p>
        </w:tc>
      </w:tr>
      <w:tr w:rsidR="008C392C" w:rsidRPr="00286216" w14:paraId="48D6EAF0" w14:textId="77777777" w:rsidTr="00091AA5">
        <w:tc>
          <w:tcPr>
            <w:tcW w:w="576" w:type="dxa"/>
          </w:tcPr>
          <w:p w14:paraId="04FD0DB0" w14:textId="77777777" w:rsidR="008C392C" w:rsidRPr="00286216" w:rsidRDefault="008C392C" w:rsidP="008C392C">
            <w:pPr>
              <w:pStyle w:val="StyleWisnow"/>
              <w:rPr>
                <w:color w:val="000000" w:themeColor="text1"/>
              </w:rPr>
            </w:pPr>
            <w:bookmarkStart w:id="3385" w:name="n3515" w:colFirst="0" w:colLast="0"/>
            <w:bookmarkEnd w:id="3384"/>
            <w:r w:rsidRPr="00286216">
              <w:rPr>
                <w:color w:val="000000" w:themeColor="text1"/>
              </w:rPr>
              <w:t>3515.</w:t>
            </w:r>
          </w:p>
        </w:tc>
        <w:tc>
          <w:tcPr>
            <w:tcW w:w="4818" w:type="dxa"/>
          </w:tcPr>
          <w:p w14:paraId="7B02C092" w14:textId="77777777" w:rsidR="008C392C" w:rsidRPr="00286216" w:rsidRDefault="008C392C" w:rsidP="008C392C">
            <w:pPr>
              <w:pStyle w:val="StyleZakonu"/>
              <w:rPr>
                <w:color w:val="000000" w:themeColor="text1"/>
              </w:rPr>
            </w:pPr>
            <w:r w:rsidRPr="00286216">
              <w:rPr>
                <w:color w:val="000000" w:themeColor="text1"/>
              </w:rPr>
              <w:t>а) частину першу викласти в такій редакції:</w:t>
            </w:r>
          </w:p>
        </w:tc>
        <w:tc>
          <w:tcPr>
            <w:tcW w:w="3686" w:type="dxa"/>
          </w:tcPr>
          <w:p w14:paraId="33A2A49D" w14:textId="77777777" w:rsidR="008C392C" w:rsidRPr="00286216" w:rsidRDefault="008C392C" w:rsidP="008C392C">
            <w:pPr>
              <w:pStyle w:val="StyleProp"/>
              <w:rPr>
                <w:color w:val="000000" w:themeColor="text1"/>
                <w:szCs w:val="18"/>
              </w:rPr>
            </w:pPr>
          </w:p>
        </w:tc>
        <w:tc>
          <w:tcPr>
            <w:tcW w:w="1987" w:type="dxa"/>
          </w:tcPr>
          <w:p w14:paraId="0191F361" w14:textId="77777777" w:rsidR="008C392C" w:rsidRPr="00286216" w:rsidRDefault="008C392C" w:rsidP="008C392C">
            <w:pPr>
              <w:pStyle w:val="StyleWisnow"/>
              <w:rPr>
                <w:color w:val="000000" w:themeColor="text1"/>
              </w:rPr>
            </w:pPr>
          </w:p>
        </w:tc>
        <w:tc>
          <w:tcPr>
            <w:tcW w:w="4818" w:type="dxa"/>
          </w:tcPr>
          <w:p w14:paraId="573289A2" w14:textId="71323B2A" w:rsidR="008C392C" w:rsidRPr="00286216" w:rsidRDefault="008C392C" w:rsidP="008C392C">
            <w:pPr>
              <w:pStyle w:val="StyleZakonu"/>
              <w:rPr>
                <w:color w:val="000000" w:themeColor="text1"/>
              </w:rPr>
            </w:pPr>
            <w:r w:rsidRPr="00286216">
              <w:rPr>
                <w:color w:val="000000" w:themeColor="text1"/>
              </w:rPr>
              <w:t>а) частину першу викласти в такій редакції:</w:t>
            </w:r>
          </w:p>
        </w:tc>
      </w:tr>
      <w:tr w:rsidR="008C392C" w:rsidRPr="00286216" w14:paraId="6C5DFB4D" w14:textId="77777777" w:rsidTr="00091AA5">
        <w:tc>
          <w:tcPr>
            <w:tcW w:w="576" w:type="dxa"/>
          </w:tcPr>
          <w:p w14:paraId="77FFCB61" w14:textId="77777777" w:rsidR="008C392C" w:rsidRPr="00286216" w:rsidRDefault="008C392C" w:rsidP="008C392C">
            <w:pPr>
              <w:pStyle w:val="StyleWisnow"/>
              <w:rPr>
                <w:color w:val="000000" w:themeColor="text1"/>
              </w:rPr>
            </w:pPr>
            <w:bookmarkStart w:id="3386" w:name="n3516" w:colFirst="0" w:colLast="0"/>
            <w:bookmarkEnd w:id="3385"/>
            <w:r w:rsidRPr="00286216">
              <w:rPr>
                <w:color w:val="000000" w:themeColor="text1"/>
              </w:rPr>
              <w:t>3516.</w:t>
            </w:r>
          </w:p>
        </w:tc>
        <w:tc>
          <w:tcPr>
            <w:tcW w:w="4818" w:type="dxa"/>
          </w:tcPr>
          <w:p w14:paraId="2B2A5268" w14:textId="77777777" w:rsidR="008C392C" w:rsidRPr="00286216" w:rsidRDefault="008C392C" w:rsidP="008C392C">
            <w:pPr>
              <w:pStyle w:val="StyleZakonu"/>
              <w:rPr>
                <w:color w:val="000000" w:themeColor="text1"/>
              </w:rPr>
            </w:pPr>
            <w:r w:rsidRPr="00286216">
              <w:rPr>
                <w:color w:val="000000" w:themeColor="text1"/>
              </w:rPr>
              <w:t>"1. Статутний капітал товариства збільшується шляхом підвищення номінальної вартості акцій або додаткової емісії акцій існуючої номінальної вартості у порядку, встановленому Національною комісією з цінних паперів та фондового ринку.";</w:t>
            </w:r>
          </w:p>
        </w:tc>
        <w:tc>
          <w:tcPr>
            <w:tcW w:w="3686" w:type="dxa"/>
          </w:tcPr>
          <w:p w14:paraId="11A83787" w14:textId="36CA4D06" w:rsidR="008C392C" w:rsidRPr="00286216" w:rsidRDefault="008C392C" w:rsidP="008C392C">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1436</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7D66DE0D" w14:textId="5C066FC4" w:rsidR="008C392C" w:rsidRPr="00286216" w:rsidRDefault="008C392C" w:rsidP="008C392C">
            <w:pPr>
              <w:pStyle w:val="StyleProp"/>
              <w:spacing w:line="180" w:lineRule="exact"/>
              <w:rPr>
                <w:color w:val="000000" w:themeColor="text1"/>
                <w:spacing w:val="-4"/>
              </w:rPr>
            </w:pPr>
            <w:r w:rsidRPr="00286216">
              <w:rPr>
                <w:color w:val="000000" w:themeColor="text1"/>
                <w:spacing w:val="-4"/>
              </w:rPr>
              <w:t>"Стаття 15. Збільшення статутного капіталу</w:t>
            </w:r>
          </w:p>
          <w:p w14:paraId="6E6198C6" w14:textId="77777777" w:rsidR="008C392C" w:rsidRPr="00286216" w:rsidRDefault="008C392C" w:rsidP="008C392C">
            <w:pPr>
              <w:pStyle w:val="StyleProp"/>
              <w:spacing w:line="180" w:lineRule="exact"/>
              <w:rPr>
                <w:color w:val="000000" w:themeColor="text1"/>
                <w:spacing w:val="-4"/>
              </w:rPr>
            </w:pPr>
            <w:r w:rsidRPr="00286216">
              <w:rPr>
                <w:color w:val="000000" w:themeColor="text1"/>
                <w:spacing w:val="-4"/>
              </w:rPr>
              <w:t xml:space="preserve">1. Статутний капітал товариства збільшується шляхом підвищення номінальної вартості акцій або додаткової емісією додаткових акцій існуючої номінальної вартості у порядку, встановленому Національною </w:t>
            </w:r>
            <w:r w:rsidRPr="00286216">
              <w:rPr>
                <w:color w:val="000000" w:themeColor="text1"/>
                <w:spacing w:val="-4"/>
              </w:rPr>
              <w:lastRenderedPageBreak/>
              <w:t>комісією з цінних паперів та фондового ринку при здійсненні публічної пропозиції. Емісія додаткових акцій існуючої номінальної вартості здійснюється без здійснення публічної пропозиції здійснюється в порядку передбаченому Законом України «Про ринки капіталу та фінансові інструменти».</w:t>
            </w:r>
          </w:p>
          <w:p w14:paraId="312ECE1B" w14:textId="77777777" w:rsidR="008C392C" w:rsidRPr="00286216" w:rsidRDefault="008C392C" w:rsidP="008C392C">
            <w:pPr>
              <w:pStyle w:val="StyleProp"/>
              <w:spacing w:line="180" w:lineRule="exact"/>
              <w:rPr>
                <w:color w:val="000000" w:themeColor="text1"/>
                <w:spacing w:val="-4"/>
              </w:rPr>
            </w:pPr>
            <w:r w:rsidRPr="00286216">
              <w:rPr>
                <w:color w:val="000000" w:themeColor="text1"/>
                <w:spacing w:val="-4"/>
              </w:rPr>
              <w:t>2. Акціонерне товариство має право збільшувати статутний капітал після затвердження уповноваженим органом товариства звітів про результати емісії всіх попередніх випусків акцій.</w:t>
            </w:r>
          </w:p>
          <w:p w14:paraId="4C960996" w14:textId="77777777" w:rsidR="008C392C" w:rsidRPr="00286216" w:rsidRDefault="008C392C" w:rsidP="008C392C">
            <w:pPr>
              <w:pStyle w:val="StyleProp"/>
              <w:spacing w:line="180" w:lineRule="exact"/>
              <w:rPr>
                <w:color w:val="000000" w:themeColor="text1"/>
                <w:spacing w:val="-4"/>
              </w:rPr>
            </w:pPr>
            <w:r w:rsidRPr="00286216">
              <w:rPr>
                <w:color w:val="000000" w:themeColor="text1"/>
                <w:spacing w:val="-4"/>
              </w:rPr>
              <w:t>4. Збільшення статутного капіталу акціонерного товариства без залучення додаткових внесків здійснюється шляхом підвищення номінальної вартості акцій.</w:t>
            </w:r>
          </w:p>
          <w:p w14:paraId="32FA8E8B" w14:textId="77777777" w:rsidR="008C392C" w:rsidRPr="00286216" w:rsidRDefault="008C392C" w:rsidP="008C392C">
            <w:pPr>
              <w:pStyle w:val="StyleProp"/>
              <w:spacing w:line="180" w:lineRule="exact"/>
              <w:rPr>
                <w:color w:val="000000" w:themeColor="text1"/>
                <w:spacing w:val="-4"/>
              </w:rPr>
            </w:pPr>
            <w:r w:rsidRPr="00286216">
              <w:rPr>
                <w:color w:val="000000" w:themeColor="text1"/>
                <w:spacing w:val="-4"/>
              </w:rPr>
              <w:t>Акціонерне товариство не має права приймати рішення про збільшення статутного капіталу шляхом розміщення акцій, якщо розмір власного капіталу є меншим, ніж розмір його статутного капіталу.</w:t>
            </w:r>
          </w:p>
          <w:p w14:paraId="679A215B" w14:textId="20E61FDE" w:rsidR="008C392C" w:rsidRPr="00286216" w:rsidRDefault="008C392C" w:rsidP="008C392C">
            <w:pPr>
              <w:pStyle w:val="StyleProp"/>
              <w:spacing w:line="180" w:lineRule="exact"/>
              <w:rPr>
                <w:color w:val="000000" w:themeColor="text1"/>
                <w:szCs w:val="18"/>
              </w:rPr>
            </w:pPr>
            <w:r w:rsidRPr="00286216">
              <w:rPr>
                <w:color w:val="000000" w:themeColor="text1"/>
                <w:spacing w:val="-4"/>
              </w:rPr>
              <w:t>Збільшення статутного капіталу акціонерного товариства у разі наявності викуплених товариством акцій або іншим чином набутих не допускається".</w:t>
            </w:r>
          </w:p>
        </w:tc>
        <w:tc>
          <w:tcPr>
            <w:tcW w:w="1987" w:type="dxa"/>
          </w:tcPr>
          <w:p w14:paraId="6F2C2321" w14:textId="77777777" w:rsidR="00B87F8E" w:rsidRPr="00286216" w:rsidRDefault="00B87F8E" w:rsidP="00B87F8E">
            <w:pPr>
              <w:pStyle w:val="StyleWisnow"/>
              <w:spacing w:line="180" w:lineRule="exact"/>
              <w:rPr>
                <w:color w:val="000000" w:themeColor="text1"/>
              </w:rPr>
            </w:pPr>
            <w:r w:rsidRPr="00286216">
              <w:rPr>
                <w:color w:val="000000" w:themeColor="text1"/>
              </w:rPr>
              <w:lastRenderedPageBreak/>
              <w:t>Відхилено</w:t>
            </w:r>
          </w:p>
          <w:p w14:paraId="25438AF5" w14:textId="0B4CA6F2" w:rsidR="008C392C" w:rsidRPr="00286216" w:rsidRDefault="00B87F8E" w:rsidP="00B87F8E">
            <w:pPr>
              <w:pStyle w:val="StyleWisnow"/>
              <w:spacing w:line="200" w:lineRule="exact"/>
              <w:rPr>
                <w:color w:val="000000" w:themeColor="text1"/>
              </w:rPr>
            </w:pPr>
            <w:r w:rsidRPr="00286216">
              <w:rPr>
                <w:color w:val="000000" w:themeColor="text1"/>
              </w:rPr>
              <w:t>дане питання потребує вирішення окремим законом</w:t>
            </w:r>
          </w:p>
        </w:tc>
        <w:tc>
          <w:tcPr>
            <w:tcW w:w="4818" w:type="dxa"/>
          </w:tcPr>
          <w:p w14:paraId="2B36B22C" w14:textId="4A39477E" w:rsidR="008C392C" w:rsidRPr="00286216" w:rsidRDefault="008C392C" w:rsidP="008C392C">
            <w:pPr>
              <w:pStyle w:val="StyleZakonu"/>
              <w:rPr>
                <w:color w:val="000000" w:themeColor="text1"/>
              </w:rPr>
            </w:pPr>
            <w:r w:rsidRPr="00286216">
              <w:rPr>
                <w:color w:val="000000" w:themeColor="text1"/>
              </w:rPr>
              <w:t>"1. Статутний капітал товариства збільшується шляхом підвищення номінальної вартості акцій або додаткової емісії акцій існуючої номінальної вартості у порядку, встановленому Національною комісією з цінних паперів та фондового ринку";</w:t>
            </w:r>
          </w:p>
        </w:tc>
      </w:tr>
      <w:tr w:rsidR="008C392C" w:rsidRPr="00286216" w14:paraId="53F0C5A3" w14:textId="77777777" w:rsidTr="00091AA5">
        <w:tc>
          <w:tcPr>
            <w:tcW w:w="576" w:type="dxa"/>
          </w:tcPr>
          <w:p w14:paraId="6C7EB773" w14:textId="77777777" w:rsidR="008C392C" w:rsidRPr="00286216" w:rsidRDefault="008C392C" w:rsidP="008C392C">
            <w:pPr>
              <w:pStyle w:val="StyleWisnow"/>
              <w:rPr>
                <w:color w:val="000000" w:themeColor="text1"/>
              </w:rPr>
            </w:pPr>
            <w:bookmarkStart w:id="3387" w:name="n3517" w:colFirst="0" w:colLast="0"/>
            <w:bookmarkEnd w:id="3386"/>
            <w:r w:rsidRPr="00286216">
              <w:rPr>
                <w:color w:val="000000" w:themeColor="text1"/>
              </w:rPr>
              <w:t>3517.</w:t>
            </w:r>
          </w:p>
        </w:tc>
        <w:tc>
          <w:tcPr>
            <w:tcW w:w="4818" w:type="dxa"/>
          </w:tcPr>
          <w:p w14:paraId="5450A7FE" w14:textId="77777777" w:rsidR="008C392C" w:rsidRPr="00286216" w:rsidRDefault="008C392C" w:rsidP="008C392C">
            <w:pPr>
              <w:pStyle w:val="StyleZakonu"/>
              <w:rPr>
                <w:color w:val="000000" w:themeColor="text1"/>
              </w:rPr>
            </w:pPr>
            <w:r w:rsidRPr="00286216">
              <w:rPr>
                <w:color w:val="000000" w:themeColor="text1"/>
              </w:rPr>
              <w:t>б) у частині другій слово "розміщення" замінити словом "емісії";</w:t>
            </w:r>
          </w:p>
        </w:tc>
        <w:tc>
          <w:tcPr>
            <w:tcW w:w="3686" w:type="dxa"/>
          </w:tcPr>
          <w:p w14:paraId="3549A6CC" w14:textId="4C3326E0"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590ACAF"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Підпункт б) підпункту 5) пункту 40 розділу 3 (внесення змін до ст. 11 Закону України «Про акціонерні товариства») викласти в такій редакції:</w:t>
            </w:r>
          </w:p>
          <w:p w14:paraId="7A3DA7D6"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«б) частину четверту викласти у такій редакції:</w:t>
            </w:r>
          </w:p>
          <w:p w14:paraId="2A5CBD05"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«4. Документ, що засвідчує право власності засновника акціонерного товариства на акції, видається йому після повної оплати вартості таких акцій протягом 10 робочих днів з дати затвердження звіту про результати емісії акцій уповноваженим органом товариства.»</w:t>
            </w:r>
          </w:p>
        </w:tc>
        <w:tc>
          <w:tcPr>
            <w:tcW w:w="1987" w:type="dxa"/>
          </w:tcPr>
          <w:p w14:paraId="75D50DDE" w14:textId="77777777" w:rsidR="00B87F8E" w:rsidRPr="00286216" w:rsidRDefault="00B87F8E" w:rsidP="00B87F8E">
            <w:pPr>
              <w:pStyle w:val="StyleWisnow"/>
              <w:spacing w:line="180" w:lineRule="exact"/>
              <w:rPr>
                <w:color w:val="000000" w:themeColor="text1"/>
              </w:rPr>
            </w:pPr>
            <w:r w:rsidRPr="00286216">
              <w:rPr>
                <w:color w:val="000000" w:themeColor="text1"/>
              </w:rPr>
              <w:t>Відхилено</w:t>
            </w:r>
          </w:p>
          <w:p w14:paraId="30F7FAC6" w14:textId="098200B4" w:rsidR="008C392C" w:rsidRPr="00286216" w:rsidRDefault="00B87F8E" w:rsidP="00B87F8E">
            <w:pPr>
              <w:pStyle w:val="StyleWisnow"/>
              <w:spacing w:line="180" w:lineRule="exact"/>
              <w:rPr>
                <w:color w:val="000000" w:themeColor="text1"/>
              </w:rPr>
            </w:pPr>
            <w:r w:rsidRPr="00286216">
              <w:rPr>
                <w:color w:val="000000" w:themeColor="text1"/>
              </w:rPr>
              <w:t>дане питання потребує вирішення окремим законом</w:t>
            </w:r>
          </w:p>
        </w:tc>
        <w:tc>
          <w:tcPr>
            <w:tcW w:w="4818" w:type="dxa"/>
          </w:tcPr>
          <w:p w14:paraId="345C4C88" w14:textId="346C6B3C" w:rsidR="008C392C" w:rsidRPr="00286216" w:rsidRDefault="008C392C" w:rsidP="008C392C">
            <w:pPr>
              <w:pStyle w:val="StyleZakonu"/>
              <w:rPr>
                <w:color w:val="000000" w:themeColor="text1"/>
              </w:rPr>
            </w:pPr>
            <w:r w:rsidRPr="00286216">
              <w:rPr>
                <w:color w:val="000000" w:themeColor="text1"/>
              </w:rPr>
              <w:t>б) у частині другій слово "розміщення" замінити словом "емісії";</w:t>
            </w:r>
          </w:p>
        </w:tc>
      </w:tr>
      <w:tr w:rsidR="008C392C" w:rsidRPr="00286216" w14:paraId="18E9D91A" w14:textId="77777777" w:rsidTr="00091AA5">
        <w:tc>
          <w:tcPr>
            <w:tcW w:w="576" w:type="dxa"/>
          </w:tcPr>
          <w:p w14:paraId="56DADBF3" w14:textId="77777777" w:rsidR="008C392C" w:rsidRPr="00286216" w:rsidRDefault="008C392C" w:rsidP="008C392C">
            <w:pPr>
              <w:pStyle w:val="StyleWisnow"/>
              <w:rPr>
                <w:color w:val="000000" w:themeColor="text1"/>
              </w:rPr>
            </w:pPr>
            <w:bookmarkStart w:id="3388" w:name="n3518" w:colFirst="0" w:colLast="0"/>
            <w:bookmarkEnd w:id="3387"/>
            <w:r w:rsidRPr="00286216">
              <w:rPr>
                <w:color w:val="000000" w:themeColor="text1"/>
              </w:rPr>
              <w:t>3518.</w:t>
            </w:r>
          </w:p>
        </w:tc>
        <w:tc>
          <w:tcPr>
            <w:tcW w:w="4818" w:type="dxa"/>
          </w:tcPr>
          <w:p w14:paraId="2534DC09" w14:textId="77777777" w:rsidR="008C392C" w:rsidRPr="00286216" w:rsidRDefault="008C392C" w:rsidP="008C392C">
            <w:pPr>
              <w:pStyle w:val="StyleZakonu"/>
              <w:rPr>
                <w:color w:val="000000" w:themeColor="text1"/>
              </w:rPr>
            </w:pPr>
            <w:r w:rsidRPr="00286216">
              <w:rPr>
                <w:color w:val="000000" w:themeColor="text1"/>
              </w:rPr>
              <w:t>в) у частині четвертій:</w:t>
            </w:r>
          </w:p>
        </w:tc>
        <w:tc>
          <w:tcPr>
            <w:tcW w:w="3686" w:type="dxa"/>
          </w:tcPr>
          <w:p w14:paraId="77EA082D" w14:textId="77777777" w:rsidR="008C392C" w:rsidRPr="00286216" w:rsidRDefault="008C392C" w:rsidP="008C392C">
            <w:pPr>
              <w:pStyle w:val="StyleProp"/>
              <w:rPr>
                <w:color w:val="000000" w:themeColor="text1"/>
                <w:szCs w:val="18"/>
              </w:rPr>
            </w:pPr>
          </w:p>
        </w:tc>
        <w:tc>
          <w:tcPr>
            <w:tcW w:w="1987" w:type="dxa"/>
          </w:tcPr>
          <w:p w14:paraId="6848AE6A" w14:textId="77777777" w:rsidR="008C392C" w:rsidRPr="00286216" w:rsidRDefault="008C392C" w:rsidP="008C392C">
            <w:pPr>
              <w:pStyle w:val="StyleWisnow"/>
              <w:rPr>
                <w:color w:val="000000" w:themeColor="text1"/>
              </w:rPr>
            </w:pPr>
          </w:p>
        </w:tc>
        <w:tc>
          <w:tcPr>
            <w:tcW w:w="4818" w:type="dxa"/>
          </w:tcPr>
          <w:p w14:paraId="47581351" w14:textId="37AA8D92" w:rsidR="008C392C" w:rsidRPr="00286216" w:rsidRDefault="008C392C" w:rsidP="008C392C">
            <w:pPr>
              <w:pStyle w:val="StyleZakonu"/>
              <w:rPr>
                <w:color w:val="000000" w:themeColor="text1"/>
              </w:rPr>
            </w:pPr>
            <w:r w:rsidRPr="00286216">
              <w:rPr>
                <w:color w:val="000000" w:themeColor="text1"/>
              </w:rPr>
              <w:t>в) у частині четвертій:</w:t>
            </w:r>
          </w:p>
        </w:tc>
      </w:tr>
      <w:tr w:rsidR="008C392C" w:rsidRPr="00286216" w14:paraId="48677B9D" w14:textId="77777777" w:rsidTr="00091AA5">
        <w:tc>
          <w:tcPr>
            <w:tcW w:w="576" w:type="dxa"/>
          </w:tcPr>
          <w:p w14:paraId="5E3A89A5" w14:textId="77777777" w:rsidR="008C392C" w:rsidRPr="00286216" w:rsidRDefault="008C392C" w:rsidP="008C392C">
            <w:pPr>
              <w:pStyle w:val="StyleWisnow"/>
              <w:rPr>
                <w:color w:val="000000" w:themeColor="text1"/>
              </w:rPr>
            </w:pPr>
            <w:bookmarkStart w:id="3389" w:name="n3519" w:colFirst="0" w:colLast="0"/>
            <w:bookmarkEnd w:id="3388"/>
            <w:r w:rsidRPr="00286216">
              <w:rPr>
                <w:color w:val="000000" w:themeColor="text1"/>
              </w:rPr>
              <w:t>3519.</w:t>
            </w:r>
          </w:p>
        </w:tc>
        <w:tc>
          <w:tcPr>
            <w:tcW w:w="4818" w:type="dxa"/>
          </w:tcPr>
          <w:p w14:paraId="06BF588F" w14:textId="77777777" w:rsidR="008C392C" w:rsidRPr="00286216" w:rsidRDefault="008C392C" w:rsidP="008C392C">
            <w:pPr>
              <w:pStyle w:val="StyleZakonu"/>
              <w:rPr>
                <w:color w:val="000000" w:themeColor="text1"/>
              </w:rPr>
            </w:pPr>
            <w:r w:rsidRPr="00286216">
              <w:rPr>
                <w:color w:val="000000" w:themeColor="text1"/>
              </w:rPr>
              <w:t>у абзаці другому слово "публічного" виключити;</w:t>
            </w:r>
          </w:p>
        </w:tc>
        <w:tc>
          <w:tcPr>
            <w:tcW w:w="3686" w:type="dxa"/>
          </w:tcPr>
          <w:p w14:paraId="75B522B7" w14:textId="77777777" w:rsidR="008C392C" w:rsidRPr="00286216" w:rsidRDefault="008C392C" w:rsidP="008C392C">
            <w:pPr>
              <w:pStyle w:val="StyleProp"/>
              <w:rPr>
                <w:color w:val="000000" w:themeColor="text1"/>
                <w:szCs w:val="18"/>
              </w:rPr>
            </w:pPr>
          </w:p>
        </w:tc>
        <w:tc>
          <w:tcPr>
            <w:tcW w:w="1987" w:type="dxa"/>
          </w:tcPr>
          <w:p w14:paraId="4101AC3C" w14:textId="77777777" w:rsidR="008C392C" w:rsidRPr="00286216" w:rsidRDefault="008C392C" w:rsidP="008C392C">
            <w:pPr>
              <w:pStyle w:val="StyleWisnow"/>
              <w:rPr>
                <w:color w:val="000000" w:themeColor="text1"/>
              </w:rPr>
            </w:pPr>
          </w:p>
        </w:tc>
        <w:tc>
          <w:tcPr>
            <w:tcW w:w="4818" w:type="dxa"/>
          </w:tcPr>
          <w:p w14:paraId="7839470B" w14:textId="6F86BAA0" w:rsidR="008C392C" w:rsidRPr="00286216" w:rsidRDefault="008C392C" w:rsidP="008C392C">
            <w:pPr>
              <w:pStyle w:val="StyleZakonu"/>
              <w:rPr>
                <w:color w:val="000000" w:themeColor="text1"/>
              </w:rPr>
            </w:pPr>
            <w:r w:rsidRPr="00286216">
              <w:rPr>
                <w:color w:val="000000" w:themeColor="text1"/>
              </w:rPr>
              <w:t>в абзаці другому слово "публічного" виключити;</w:t>
            </w:r>
          </w:p>
        </w:tc>
      </w:tr>
      <w:tr w:rsidR="008C392C" w:rsidRPr="00286216" w14:paraId="22766183" w14:textId="77777777" w:rsidTr="00091AA5">
        <w:tc>
          <w:tcPr>
            <w:tcW w:w="576" w:type="dxa"/>
          </w:tcPr>
          <w:p w14:paraId="44FE115F" w14:textId="77777777" w:rsidR="008C392C" w:rsidRPr="00286216" w:rsidRDefault="008C392C" w:rsidP="008C392C">
            <w:pPr>
              <w:pStyle w:val="StyleWisnow"/>
              <w:rPr>
                <w:color w:val="000000" w:themeColor="text1"/>
              </w:rPr>
            </w:pPr>
            <w:bookmarkStart w:id="3390" w:name="n3520" w:colFirst="0" w:colLast="0"/>
            <w:bookmarkEnd w:id="3389"/>
            <w:r w:rsidRPr="00286216">
              <w:rPr>
                <w:color w:val="000000" w:themeColor="text1"/>
              </w:rPr>
              <w:t>3520.</w:t>
            </w:r>
          </w:p>
        </w:tc>
        <w:tc>
          <w:tcPr>
            <w:tcW w:w="4818" w:type="dxa"/>
          </w:tcPr>
          <w:p w14:paraId="61ED5375" w14:textId="77777777" w:rsidR="008C392C" w:rsidRPr="00286216" w:rsidRDefault="008C392C" w:rsidP="008C392C">
            <w:pPr>
              <w:pStyle w:val="StyleZakonu"/>
              <w:rPr>
                <w:color w:val="000000" w:themeColor="text1"/>
              </w:rPr>
            </w:pPr>
            <w:r w:rsidRPr="00286216">
              <w:rPr>
                <w:color w:val="000000" w:themeColor="text1"/>
              </w:rPr>
              <w:t>абзац третій після слів "викуплених товариством" доповнити словами "або іншим чином набутих";</w:t>
            </w:r>
          </w:p>
        </w:tc>
        <w:tc>
          <w:tcPr>
            <w:tcW w:w="3686" w:type="dxa"/>
          </w:tcPr>
          <w:p w14:paraId="68A7A98F" w14:textId="77777777" w:rsidR="008C392C" w:rsidRPr="00286216" w:rsidRDefault="008C392C" w:rsidP="008C392C">
            <w:pPr>
              <w:pStyle w:val="StyleProp"/>
              <w:rPr>
                <w:color w:val="000000" w:themeColor="text1"/>
                <w:szCs w:val="18"/>
              </w:rPr>
            </w:pPr>
          </w:p>
        </w:tc>
        <w:tc>
          <w:tcPr>
            <w:tcW w:w="1987" w:type="dxa"/>
          </w:tcPr>
          <w:p w14:paraId="0320CF09" w14:textId="77777777" w:rsidR="008C392C" w:rsidRPr="00286216" w:rsidRDefault="008C392C" w:rsidP="008C392C">
            <w:pPr>
              <w:pStyle w:val="StyleWisnow"/>
              <w:rPr>
                <w:color w:val="000000" w:themeColor="text1"/>
              </w:rPr>
            </w:pPr>
          </w:p>
        </w:tc>
        <w:tc>
          <w:tcPr>
            <w:tcW w:w="4818" w:type="dxa"/>
          </w:tcPr>
          <w:p w14:paraId="1CB337F5" w14:textId="3FB90720" w:rsidR="008C392C" w:rsidRPr="00286216" w:rsidRDefault="008C392C" w:rsidP="008C392C">
            <w:pPr>
              <w:pStyle w:val="StyleZakonu"/>
              <w:rPr>
                <w:color w:val="000000" w:themeColor="text1"/>
              </w:rPr>
            </w:pPr>
            <w:r w:rsidRPr="00286216">
              <w:rPr>
                <w:color w:val="000000" w:themeColor="text1"/>
              </w:rPr>
              <w:t>абзац третій після слів "викуплених товариством" доповнити словами "або іншим чином набутих";</w:t>
            </w:r>
          </w:p>
        </w:tc>
      </w:tr>
      <w:tr w:rsidR="008C392C" w:rsidRPr="00286216" w14:paraId="195AC036" w14:textId="77777777" w:rsidTr="00091AA5">
        <w:tc>
          <w:tcPr>
            <w:tcW w:w="576" w:type="dxa"/>
          </w:tcPr>
          <w:p w14:paraId="3287AF37" w14:textId="77777777" w:rsidR="008C392C" w:rsidRPr="00286216" w:rsidRDefault="008C392C" w:rsidP="008C392C">
            <w:pPr>
              <w:pStyle w:val="StyleWisnow"/>
              <w:rPr>
                <w:color w:val="000000" w:themeColor="text1"/>
              </w:rPr>
            </w:pPr>
          </w:p>
        </w:tc>
        <w:tc>
          <w:tcPr>
            <w:tcW w:w="4818" w:type="dxa"/>
          </w:tcPr>
          <w:p w14:paraId="1A59958B" w14:textId="77777777" w:rsidR="008C392C" w:rsidRPr="00286216" w:rsidRDefault="008C392C" w:rsidP="008C392C">
            <w:pPr>
              <w:pStyle w:val="StyleZakonu"/>
              <w:rPr>
                <w:color w:val="000000" w:themeColor="text1"/>
              </w:rPr>
            </w:pPr>
          </w:p>
        </w:tc>
        <w:tc>
          <w:tcPr>
            <w:tcW w:w="3686" w:type="dxa"/>
          </w:tcPr>
          <w:p w14:paraId="79CAB0B0" w14:textId="51D3D017"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1438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FE93CCE" w14:textId="2C677B49" w:rsidR="008C392C" w:rsidRPr="00286216" w:rsidRDefault="008C392C" w:rsidP="008C392C">
            <w:pPr>
              <w:spacing w:line="180" w:lineRule="exact"/>
              <w:ind w:firstLine="227"/>
              <w:jc w:val="both"/>
              <w:rPr>
                <w:color w:val="000000" w:themeColor="text1"/>
                <w:sz w:val="18"/>
              </w:rPr>
            </w:pPr>
            <w:r w:rsidRPr="00286216">
              <w:rPr>
                <w:color w:val="000000" w:themeColor="text1"/>
                <w:sz w:val="18"/>
              </w:rPr>
              <w:t>Пункт 40 розділу 3  доповнити підпунктом в такій редакції:</w:t>
            </w:r>
          </w:p>
          <w:p w14:paraId="61CEA830" w14:textId="57312254" w:rsidR="008C392C" w:rsidRPr="00286216" w:rsidRDefault="008C392C" w:rsidP="008C392C">
            <w:pPr>
              <w:spacing w:line="180" w:lineRule="exact"/>
              <w:ind w:firstLine="227"/>
              <w:jc w:val="both"/>
              <w:rPr>
                <w:color w:val="000000" w:themeColor="text1"/>
                <w:sz w:val="18"/>
              </w:rPr>
            </w:pPr>
            <w:r w:rsidRPr="00286216">
              <w:rPr>
                <w:color w:val="000000" w:themeColor="text1"/>
                <w:sz w:val="18"/>
              </w:rPr>
              <w:t>«у статті 14:</w:t>
            </w:r>
          </w:p>
          <w:p w14:paraId="5017354B"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частину четверту викласти у такій редакції:</w:t>
            </w:r>
          </w:p>
          <w:p w14:paraId="256461C1"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 xml:space="preserve">«4. Порядок збільшення (зменшення) статутного капіталу акціонерного товариства при здійсненні публічної пропозиції акцій встановлюється Національною комісією з </w:t>
            </w:r>
            <w:r w:rsidRPr="00286216">
              <w:rPr>
                <w:color w:val="000000" w:themeColor="text1"/>
                <w:sz w:val="18"/>
              </w:rPr>
              <w:lastRenderedPageBreak/>
              <w:t>цінних паперів та фондового ринку.»</w:t>
            </w:r>
          </w:p>
          <w:p w14:paraId="1706E4FC"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частину п’яту викласти у такій редакції:</w:t>
            </w:r>
          </w:p>
          <w:p w14:paraId="7E8B500A" w14:textId="77777777" w:rsidR="008C392C" w:rsidRPr="00286216" w:rsidRDefault="008C392C" w:rsidP="008C392C">
            <w:pPr>
              <w:spacing w:line="180" w:lineRule="exact"/>
              <w:ind w:firstLine="227"/>
              <w:jc w:val="both"/>
              <w:rPr>
                <w:color w:val="000000" w:themeColor="text1"/>
                <w:sz w:val="18"/>
              </w:rPr>
            </w:pPr>
            <w:r w:rsidRPr="00286216">
              <w:rPr>
                <w:color w:val="000000" w:themeColor="text1"/>
                <w:sz w:val="18"/>
              </w:rPr>
              <w:t>«5. Статутом акціонерного товариства може бути передбачено створення спеціального фонду для виплати дивідендів за привілейованими акціями. Порядок формування та використання такого фонду для   акціонерних товариств, які здійснили публічну пропозицію цінних паперів, встановлюється Національною комісією з цінних паперів та фондового ринку».</w:t>
            </w:r>
          </w:p>
        </w:tc>
        <w:tc>
          <w:tcPr>
            <w:tcW w:w="1987" w:type="dxa"/>
          </w:tcPr>
          <w:p w14:paraId="418A8E30" w14:textId="77777777" w:rsidR="008C392C" w:rsidRPr="00286216" w:rsidRDefault="008C392C" w:rsidP="00B87F8E">
            <w:pPr>
              <w:pStyle w:val="StyleWisnow"/>
              <w:spacing w:line="180" w:lineRule="exact"/>
              <w:rPr>
                <w:color w:val="000000" w:themeColor="text1"/>
              </w:rPr>
            </w:pPr>
            <w:r w:rsidRPr="00286216">
              <w:rPr>
                <w:color w:val="000000" w:themeColor="text1"/>
              </w:rPr>
              <w:lastRenderedPageBreak/>
              <w:t>Відхилено</w:t>
            </w:r>
          </w:p>
          <w:p w14:paraId="7B7D9955" w14:textId="1CF56C7F" w:rsidR="008C392C" w:rsidRPr="00286216" w:rsidRDefault="00B87F8E" w:rsidP="00B87F8E">
            <w:pPr>
              <w:pStyle w:val="StyleWisnow"/>
              <w:spacing w:line="180" w:lineRule="exact"/>
              <w:rPr>
                <w:color w:val="000000" w:themeColor="text1"/>
              </w:rPr>
            </w:pPr>
            <w:r w:rsidRPr="00286216">
              <w:rPr>
                <w:color w:val="000000" w:themeColor="text1"/>
              </w:rPr>
              <w:t xml:space="preserve">дане </w:t>
            </w:r>
            <w:r w:rsidR="008C392C" w:rsidRPr="00286216">
              <w:rPr>
                <w:color w:val="000000" w:themeColor="text1"/>
              </w:rPr>
              <w:t>питання потребує вирішення окремим законом</w:t>
            </w:r>
          </w:p>
        </w:tc>
        <w:tc>
          <w:tcPr>
            <w:tcW w:w="4818" w:type="dxa"/>
          </w:tcPr>
          <w:p w14:paraId="1C70402D" w14:textId="77777777" w:rsidR="008C392C" w:rsidRPr="00286216" w:rsidRDefault="008C392C" w:rsidP="008C392C">
            <w:pPr>
              <w:pStyle w:val="StyleZakonu"/>
              <w:rPr>
                <w:color w:val="000000" w:themeColor="text1"/>
              </w:rPr>
            </w:pPr>
          </w:p>
        </w:tc>
      </w:tr>
      <w:tr w:rsidR="008C392C" w:rsidRPr="00286216" w14:paraId="2C58F382" w14:textId="77777777" w:rsidTr="00091AA5">
        <w:tc>
          <w:tcPr>
            <w:tcW w:w="576" w:type="dxa"/>
          </w:tcPr>
          <w:p w14:paraId="498CA47E" w14:textId="77777777" w:rsidR="008C392C" w:rsidRPr="00286216" w:rsidRDefault="008C392C" w:rsidP="008C392C">
            <w:pPr>
              <w:pStyle w:val="StyleWisnow"/>
              <w:rPr>
                <w:color w:val="000000" w:themeColor="text1"/>
              </w:rPr>
            </w:pPr>
            <w:bookmarkStart w:id="3391" w:name="n3521" w:colFirst="0" w:colLast="0"/>
            <w:bookmarkEnd w:id="3390"/>
            <w:r w:rsidRPr="00286216">
              <w:rPr>
                <w:color w:val="000000" w:themeColor="text1"/>
              </w:rPr>
              <w:t>3521.</w:t>
            </w:r>
          </w:p>
        </w:tc>
        <w:tc>
          <w:tcPr>
            <w:tcW w:w="4818" w:type="dxa"/>
          </w:tcPr>
          <w:p w14:paraId="338F5D8D" w14:textId="77777777" w:rsidR="008C392C" w:rsidRPr="00286216" w:rsidRDefault="008C392C" w:rsidP="008C392C">
            <w:pPr>
              <w:pStyle w:val="StyleZakonu"/>
              <w:rPr>
                <w:color w:val="000000" w:themeColor="text1"/>
              </w:rPr>
            </w:pPr>
            <w:r w:rsidRPr="00286216">
              <w:rPr>
                <w:color w:val="000000" w:themeColor="text1"/>
              </w:rPr>
              <w:t>7) у другому реченні абзацу другого частини першої статті 21 слово "розміщення" замінити словом "емісію";</w:t>
            </w:r>
          </w:p>
        </w:tc>
        <w:tc>
          <w:tcPr>
            <w:tcW w:w="3686" w:type="dxa"/>
          </w:tcPr>
          <w:p w14:paraId="1E04B3A8" w14:textId="77777777" w:rsidR="008C392C" w:rsidRPr="00286216" w:rsidRDefault="008C392C" w:rsidP="008C392C">
            <w:pPr>
              <w:pStyle w:val="StyleProp"/>
              <w:rPr>
                <w:color w:val="000000" w:themeColor="text1"/>
                <w:szCs w:val="18"/>
              </w:rPr>
            </w:pPr>
          </w:p>
        </w:tc>
        <w:tc>
          <w:tcPr>
            <w:tcW w:w="1987" w:type="dxa"/>
          </w:tcPr>
          <w:p w14:paraId="356CE7CF" w14:textId="77777777" w:rsidR="008C392C" w:rsidRPr="00286216" w:rsidRDefault="008C392C" w:rsidP="008C392C">
            <w:pPr>
              <w:pStyle w:val="StyleWisnow"/>
              <w:rPr>
                <w:color w:val="000000" w:themeColor="text1"/>
              </w:rPr>
            </w:pPr>
          </w:p>
        </w:tc>
        <w:tc>
          <w:tcPr>
            <w:tcW w:w="4818" w:type="dxa"/>
          </w:tcPr>
          <w:p w14:paraId="2E05B762" w14:textId="6BE4267A" w:rsidR="008C392C" w:rsidRPr="00286216" w:rsidRDefault="008C392C" w:rsidP="008C392C">
            <w:pPr>
              <w:pStyle w:val="StyleZakonu"/>
              <w:rPr>
                <w:color w:val="000000" w:themeColor="text1"/>
              </w:rPr>
            </w:pPr>
            <w:r w:rsidRPr="00286216">
              <w:rPr>
                <w:color w:val="000000" w:themeColor="text1"/>
              </w:rPr>
              <w:t>7) у другому реченні абзацу другого частини першої статті 21 слово "розміщення" замінити словом "емісію";</w:t>
            </w:r>
          </w:p>
        </w:tc>
      </w:tr>
      <w:tr w:rsidR="008C392C" w:rsidRPr="00286216" w14:paraId="09CFF494" w14:textId="77777777" w:rsidTr="00091AA5">
        <w:tc>
          <w:tcPr>
            <w:tcW w:w="576" w:type="dxa"/>
          </w:tcPr>
          <w:p w14:paraId="6B8291F3" w14:textId="77777777" w:rsidR="008C392C" w:rsidRPr="00286216" w:rsidRDefault="008C392C" w:rsidP="008C392C">
            <w:pPr>
              <w:pStyle w:val="StyleWisnow"/>
              <w:rPr>
                <w:color w:val="000000" w:themeColor="text1"/>
              </w:rPr>
            </w:pPr>
            <w:bookmarkStart w:id="3392" w:name="n3522" w:colFirst="0" w:colLast="0"/>
            <w:bookmarkEnd w:id="3391"/>
            <w:r w:rsidRPr="00286216">
              <w:rPr>
                <w:color w:val="000000" w:themeColor="text1"/>
              </w:rPr>
              <w:t>3522.</w:t>
            </w:r>
          </w:p>
        </w:tc>
        <w:tc>
          <w:tcPr>
            <w:tcW w:w="4818" w:type="dxa"/>
          </w:tcPr>
          <w:p w14:paraId="0B25FB4F" w14:textId="77777777" w:rsidR="008C392C" w:rsidRPr="00286216" w:rsidRDefault="008C392C" w:rsidP="008C392C">
            <w:pPr>
              <w:pStyle w:val="StyleZakonu"/>
              <w:rPr>
                <w:color w:val="000000" w:themeColor="text1"/>
              </w:rPr>
            </w:pPr>
            <w:r w:rsidRPr="00286216">
              <w:rPr>
                <w:color w:val="000000" w:themeColor="text1"/>
              </w:rPr>
              <w:t>8) у статті 24 частину першу викласти в такій редакції:</w:t>
            </w:r>
          </w:p>
        </w:tc>
        <w:tc>
          <w:tcPr>
            <w:tcW w:w="3686" w:type="dxa"/>
          </w:tcPr>
          <w:p w14:paraId="4B26CC0E" w14:textId="77777777" w:rsidR="008C392C" w:rsidRPr="00286216" w:rsidRDefault="008C392C" w:rsidP="008C392C">
            <w:pPr>
              <w:pStyle w:val="StyleProp"/>
              <w:rPr>
                <w:color w:val="000000" w:themeColor="text1"/>
                <w:szCs w:val="18"/>
              </w:rPr>
            </w:pPr>
          </w:p>
        </w:tc>
        <w:tc>
          <w:tcPr>
            <w:tcW w:w="1987" w:type="dxa"/>
          </w:tcPr>
          <w:p w14:paraId="2A6F246E" w14:textId="77777777" w:rsidR="008C392C" w:rsidRPr="00286216" w:rsidRDefault="008C392C" w:rsidP="008C392C">
            <w:pPr>
              <w:pStyle w:val="StyleWisnow"/>
              <w:rPr>
                <w:color w:val="000000" w:themeColor="text1"/>
              </w:rPr>
            </w:pPr>
          </w:p>
        </w:tc>
        <w:tc>
          <w:tcPr>
            <w:tcW w:w="4818" w:type="dxa"/>
          </w:tcPr>
          <w:p w14:paraId="04D566A8" w14:textId="169AEFAE" w:rsidR="008C392C" w:rsidRPr="00286216" w:rsidRDefault="008C392C" w:rsidP="008C392C">
            <w:pPr>
              <w:pStyle w:val="StyleZakonu"/>
              <w:rPr>
                <w:color w:val="000000" w:themeColor="text1"/>
              </w:rPr>
            </w:pPr>
            <w:r w:rsidRPr="00286216">
              <w:rPr>
                <w:color w:val="000000" w:themeColor="text1"/>
              </w:rPr>
              <w:t>8) частину першу статті 24 викласти в такій редакції:</w:t>
            </w:r>
          </w:p>
        </w:tc>
      </w:tr>
      <w:tr w:rsidR="008C392C" w:rsidRPr="00286216" w14:paraId="744C2957" w14:textId="77777777" w:rsidTr="00091AA5">
        <w:tc>
          <w:tcPr>
            <w:tcW w:w="576" w:type="dxa"/>
          </w:tcPr>
          <w:p w14:paraId="09E6986D" w14:textId="77777777" w:rsidR="008C392C" w:rsidRPr="00286216" w:rsidRDefault="008C392C" w:rsidP="008C392C">
            <w:pPr>
              <w:pStyle w:val="StyleWisnow"/>
              <w:rPr>
                <w:color w:val="000000" w:themeColor="text1"/>
              </w:rPr>
            </w:pPr>
            <w:bookmarkStart w:id="3393" w:name="n3523" w:colFirst="0" w:colLast="0"/>
            <w:bookmarkEnd w:id="3392"/>
            <w:r w:rsidRPr="00286216">
              <w:rPr>
                <w:color w:val="000000" w:themeColor="text1"/>
              </w:rPr>
              <w:t>3523.</w:t>
            </w:r>
          </w:p>
        </w:tc>
        <w:tc>
          <w:tcPr>
            <w:tcW w:w="4818" w:type="dxa"/>
          </w:tcPr>
          <w:p w14:paraId="6E724C16" w14:textId="77777777" w:rsidR="008C392C" w:rsidRPr="00286216" w:rsidRDefault="008C392C" w:rsidP="008C392C">
            <w:pPr>
              <w:pStyle w:val="StyleZakonu"/>
              <w:rPr>
                <w:color w:val="000000" w:themeColor="text1"/>
              </w:rPr>
            </w:pPr>
            <w:r w:rsidRPr="00286216">
              <w:rPr>
                <w:color w:val="000000" w:themeColor="text1"/>
              </w:rPr>
              <w:t>"1. Акції акціонерного товариства можуть купуватися та продаватися на організованому ринку капіталу.</w:t>
            </w:r>
          </w:p>
        </w:tc>
        <w:tc>
          <w:tcPr>
            <w:tcW w:w="3686" w:type="dxa"/>
          </w:tcPr>
          <w:p w14:paraId="31DDD491" w14:textId="77777777" w:rsidR="008C392C" w:rsidRPr="00286216" w:rsidRDefault="008C392C" w:rsidP="008C392C">
            <w:pPr>
              <w:pStyle w:val="StyleProp"/>
              <w:rPr>
                <w:color w:val="000000" w:themeColor="text1"/>
                <w:szCs w:val="18"/>
              </w:rPr>
            </w:pPr>
          </w:p>
        </w:tc>
        <w:tc>
          <w:tcPr>
            <w:tcW w:w="1987" w:type="dxa"/>
          </w:tcPr>
          <w:p w14:paraId="263079CC" w14:textId="77777777" w:rsidR="008C392C" w:rsidRPr="00286216" w:rsidRDefault="008C392C" w:rsidP="008C392C">
            <w:pPr>
              <w:pStyle w:val="StyleWisnow"/>
              <w:rPr>
                <w:color w:val="000000" w:themeColor="text1"/>
              </w:rPr>
            </w:pPr>
          </w:p>
        </w:tc>
        <w:tc>
          <w:tcPr>
            <w:tcW w:w="4818" w:type="dxa"/>
          </w:tcPr>
          <w:p w14:paraId="2CBD46A6" w14:textId="2C94684B" w:rsidR="008C392C" w:rsidRPr="00286216" w:rsidRDefault="008C392C" w:rsidP="008C392C">
            <w:pPr>
              <w:pStyle w:val="StyleZakonu"/>
              <w:rPr>
                <w:color w:val="000000" w:themeColor="text1"/>
              </w:rPr>
            </w:pPr>
            <w:r w:rsidRPr="00286216">
              <w:rPr>
                <w:color w:val="000000" w:themeColor="text1"/>
              </w:rPr>
              <w:t>"1. Акції акціонерного товариства можуть купуватися та продаватися на організованому ринку капіталу.</w:t>
            </w:r>
          </w:p>
        </w:tc>
      </w:tr>
      <w:tr w:rsidR="008C392C" w:rsidRPr="00286216" w14:paraId="5A3488D9" w14:textId="77777777" w:rsidTr="00091AA5">
        <w:tc>
          <w:tcPr>
            <w:tcW w:w="576" w:type="dxa"/>
          </w:tcPr>
          <w:p w14:paraId="28DAE30C" w14:textId="77777777" w:rsidR="008C392C" w:rsidRPr="00286216" w:rsidRDefault="008C392C" w:rsidP="008C392C">
            <w:pPr>
              <w:pStyle w:val="StyleWisnow"/>
              <w:rPr>
                <w:color w:val="000000" w:themeColor="text1"/>
              </w:rPr>
            </w:pPr>
            <w:bookmarkStart w:id="3394" w:name="n3524" w:colFirst="0" w:colLast="0"/>
            <w:bookmarkEnd w:id="3393"/>
            <w:r w:rsidRPr="00286216">
              <w:rPr>
                <w:color w:val="000000" w:themeColor="text1"/>
              </w:rPr>
              <w:t>3524.</w:t>
            </w:r>
          </w:p>
        </w:tc>
        <w:tc>
          <w:tcPr>
            <w:tcW w:w="4818" w:type="dxa"/>
          </w:tcPr>
          <w:p w14:paraId="70450153" w14:textId="77777777" w:rsidR="008C392C" w:rsidRPr="00286216" w:rsidRDefault="008C392C" w:rsidP="008C392C">
            <w:pPr>
              <w:pStyle w:val="StyleZakonu"/>
              <w:rPr>
                <w:color w:val="000000" w:themeColor="text1"/>
              </w:rPr>
            </w:pPr>
            <w:r w:rsidRPr="00286216">
              <w:rPr>
                <w:color w:val="000000" w:themeColor="text1"/>
              </w:rPr>
              <w:t>Публічне акціонерне товариство зобов’язане пройти процедуру допуску акцій до торгів на регульованому фондовому ринку або фондовому багатосторонньому торгівельному майданчику у встановленому законодавством порядку та залишатися хоча б на одному з таких організованих ринків капіталу в Україні.";</w:t>
            </w:r>
          </w:p>
        </w:tc>
        <w:tc>
          <w:tcPr>
            <w:tcW w:w="3686" w:type="dxa"/>
          </w:tcPr>
          <w:p w14:paraId="2250AF50" w14:textId="77777777" w:rsidR="008C392C" w:rsidRPr="00286216" w:rsidRDefault="008C392C" w:rsidP="008C392C">
            <w:pPr>
              <w:pStyle w:val="StyleProp"/>
              <w:rPr>
                <w:color w:val="000000" w:themeColor="text1"/>
                <w:szCs w:val="18"/>
              </w:rPr>
            </w:pPr>
          </w:p>
        </w:tc>
        <w:tc>
          <w:tcPr>
            <w:tcW w:w="1987" w:type="dxa"/>
          </w:tcPr>
          <w:p w14:paraId="0C6241BE" w14:textId="77777777" w:rsidR="008C392C" w:rsidRPr="00286216" w:rsidRDefault="008C392C" w:rsidP="008C392C">
            <w:pPr>
              <w:pStyle w:val="StyleWisnow"/>
              <w:rPr>
                <w:color w:val="000000" w:themeColor="text1"/>
              </w:rPr>
            </w:pPr>
          </w:p>
        </w:tc>
        <w:tc>
          <w:tcPr>
            <w:tcW w:w="4818" w:type="dxa"/>
          </w:tcPr>
          <w:p w14:paraId="3080D9E9" w14:textId="2BFEA967" w:rsidR="008C392C" w:rsidRPr="00286216" w:rsidRDefault="008C392C" w:rsidP="008C392C">
            <w:pPr>
              <w:pStyle w:val="StyleZakonu"/>
              <w:rPr>
                <w:color w:val="000000" w:themeColor="text1"/>
              </w:rPr>
            </w:pPr>
            <w:r w:rsidRPr="00286216">
              <w:rPr>
                <w:color w:val="000000" w:themeColor="text1"/>
              </w:rPr>
              <w:t>Публічне акціонерне товариство зобов’язане пройти процедуру допуску акцій до торгів на регульованому фондовому ринку або фондовому багатосторонньому торговельному майданчику у встановленому законодавством порядку та залишатися хоча б на одному з таких організованих ринків капіталу в Україні";</w:t>
            </w:r>
          </w:p>
        </w:tc>
      </w:tr>
      <w:tr w:rsidR="008C392C" w:rsidRPr="00286216" w14:paraId="09182312" w14:textId="77777777" w:rsidTr="00091AA5">
        <w:tc>
          <w:tcPr>
            <w:tcW w:w="576" w:type="dxa"/>
          </w:tcPr>
          <w:p w14:paraId="2C72D86E" w14:textId="77777777" w:rsidR="008C392C" w:rsidRPr="00286216" w:rsidRDefault="008C392C" w:rsidP="008C392C">
            <w:pPr>
              <w:pStyle w:val="StyleWisnow"/>
              <w:rPr>
                <w:color w:val="000000" w:themeColor="text1"/>
              </w:rPr>
            </w:pPr>
            <w:bookmarkStart w:id="3395" w:name="n3525" w:colFirst="0" w:colLast="0"/>
            <w:bookmarkEnd w:id="3394"/>
            <w:r w:rsidRPr="00286216">
              <w:rPr>
                <w:color w:val="000000" w:themeColor="text1"/>
              </w:rPr>
              <w:t>3525.</w:t>
            </w:r>
          </w:p>
        </w:tc>
        <w:tc>
          <w:tcPr>
            <w:tcW w:w="4818" w:type="dxa"/>
          </w:tcPr>
          <w:p w14:paraId="4CE5C781" w14:textId="77777777" w:rsidR="008C392C" w:rsidRPr="00286216" w:rsidRDefault="008C392C" w:rsidP="008C392C">
            <w:pPr>
              <w:pStyle w:val="StyleZakonu"/>
              <w:rPr>
                <w:color w:val="000000" w:themeColor="text1"/>
              </w:rPr>
            </w:pPr>
            <w:r w:rsidRPr="00286216">
              <w:rPr>
                <w:color w:val="000000" w:themeColor="text1"/>
              </w:rPr>
              <w:t>9) у другому реченні абзацу третього частини четвертої статті 30 слова "фондову біржу (біржі), на якій (яких) акції допущені до торгів" замінити словами "оператора організованого ринку капіталу (операторів організованих ринків капіталу), на якому (яких) акції такого товариства допущені до торгів";</w:t>
            </w:r>
          </w:p>
        </w:tc>
        <w:tc>
          <w:tcPr>
            <w:tcW w:w="3686" w:type="dxa"/>
          </w:tcPr>
          <w:p w14:paraId="26238E03" w14:textId="77777777" w:rsidR="008C392C" w:rsidRPr="00286216" w:rsidRDefault="008C392C" w:rsidP="008C392C">
            <w:pPr>
              <w:pStyle w:val="StyleProp"/>
              <w:rPr>
                <w:color w:val="000000" w:themeColor="text1"/>
                <w:szCs w:val="18"/>
              </w:rPr>
            </w:pPr>
          </w:p>
        </w:tc>
        <w:tc>
          <w:tcPr>
            <w:tcW w:w="1987" w:type="dxa"/>
          </w:tcPr>
          <w:p w14:paraId="3D0BBD04" w14:textId="77777777" w:rsidR="008C392C" w:rsidRPr="00286216" w:rsidRDefault="008C392C" w:rsidP="008C392C">
            <w:pPr>
              <w:pStyle w:val="StyleWisnow"/>
              <w:rPr>
                <w:color w:val="000000" w:themeColor="text1"/>
              </w:rPr>
            </w:pPr>
          </w:p>
        </w:tc>
        <w:tc>
          <w:tcPr>
            <w:tcW w:w="4818" w:type="dxa"/>
          </w:tcPr>
          <w:p w14:paraId="065F1793" w14:textId="4AEB1728" w:rsidR="008C392C" w:rsidRPr="00286216" w:rsidRDefault="008C392C" w:rsidP="008C392C">
            <w:pPr>
              <w:pStyle w:val="StyleZakonu"/>
              <w:rPr>
                <w:color w:val="000000" w:themeColor="text1"/>
              </w:rPr>
            </w:pPr>
            <w:r w:rsidRPr="00286216">
              <w:rPr>
                <w:color w:val="000000" w:themeColor="text1"/>
              </w:rPr>
              <w:t>9) у другому реченні абзацу третього частини четвертої статті 30 слова "фондову біржу (біржі), на якій (яких) акції допущені до торгів" замінити словами "оператора організованого ринку капіталу (операторів організованих ринків капіталу), на якому (яких) акції такого товариства допущені до торгів";</w:t>
            </w:r>
          </w:p>
        </w:tc>
      </w:tr>
      <w:tr w:rsidR="008C392C" w:rsidRPr="00286216" w14:paraId="6C69669A" w14:textId="77777777" w:rsidTr="00091AA5">
        <w:tc>
          <w:tcPr>
            <w:tcW w:w="576" w:type="dxa"/>
          </w:tcPr>
          <w:p w14:paraId="7E0613A5" w14:textId="77777777" w:rsidR="008C392C" w:rsidRPr="00286216" w:rsidRDefault="008C392C" w:rsidP="008C392C">
            <w:pPr>
              <w:pStyle w:val="StyleWisnow"/>
              <w:rPr>
                <w:color w:val="000000" w:themeColor="text1"/>
              </w:rPr>
            </w:pPr>
            <w:bookmarkStart w:id="3396" w:name="n3526" w:colFirst="0" w:colLast="0"/>
            <w:bookmarkEnd w:id="3395"/>
            <w:r w:rsidRPr="00286216">
              <w:rPr>
                <w:color w:val="000000" w:themeColor="text1"/>
              </w:rPr>
              <w:t>3526.</w:t>
            </w:r>
          </w:p>
        </w:tc>
        <w:tc>
          <w:tcPr>
            <w:tcW w:w="4818" w:type="dxa"/>
          </w:tcPr>
          <w:p w14:paraId="4A2CA44A" w14:textId="77777777" w:rsidR="008C392C" w:rsidRPr="00286216" w:rsidRDefault="008C392C" w:rsidP="008C392C">
            <w:pPr>
              <w:pStyle w:val="StyleZakonu"/>
              <w:rPr>
                <w:color w:val="000000" w:themeColor="text1"/>
              </w:rPr>
            </w:pPr>
            <w:r w:rsidRPr="00286216">
              <w:rPr>
                <w:color w:val="000000" w:themeColor="text1"/>
              </w:rPr>
              <w:t>10) у частині другій статті 23, у абзаці четвертому частини першої статті 30, пунктах 1 частин першої та третьої статті 31, частині четвертій статті 67 та у пунктах 15 і 16 частини шостої статті 83 слово "розміщення" замінити словом "емісії" у відповідному відмінку;</w:t>
            </w:r>
          </w:p>
        </w:tc>
        <w:tc>
          <w:tcPr>
            <w:tcW w:w="3686" w:type="dxa"/>
          </w:tcPr>
          <w:p w14:paraId="2DA794C2" w14:textId="77777777" w:rsidR="008C392C" w:rsidRPr="00286216" w:rsidRDefault="008C392C" w:rsidP="008C392C">
            <w:pPr>
              <w:pStyle w:val="StyleProp"/>
              <w:rPr>
                <w:color w:val="000000" w:themeColor="text1"/>
                <w:szCs w:val="18"/>
              </w:rPr>
            </w:pPr>
          </w:p>
        </w:tc>
        <w:tc>
          <w:tcPr>
            <w:tcW w:w="1987" w:type="dxa"/>
          </w:tcPr>
          <w:p w14:paraId="1102A335" w14:textId="77777777" w:rsidR="008C392C" w:rsidRPr="00286216" w:rsidRDefault="008C392C" w:rsidP="008C392C">
            <w:pPr>
              <w:pStyle w:val="StyleWisnow"/>
              <w:rPr>
                <w:color w:val="000000" w:themeColor="text1"/>
              </w:rPr>
            </w:pPr>
          </w:p>
        </w:tc>
        <w:tc>
          <w:tcPr>
            <w:tcW w:w="4818" w:type="dxa"/>
          </w:tcPr>
          <w:p w14:paraId="2D3BDBBB" w14:textId="4BBB50D8" w:rsidR="008C392C" w:rsidRPr="00286216" w:rsidRDefault="008C392C" w:rsidP="008C392C">
            <w:pPr>
              <w:pStyle w:val="StyleZakonu"/>
              <w:rPr>
                <w:color w:val="000000" w:themeColor="text1"/>
              </w:rPr>
            </w:pPr>
            <w:r w:rsidRPr="00286216">
              <w:rPr>
                <w:color w:val="000000" w:themeColor="text1"/>
              </w:rPr>
              <w:t>10) у частині другій статті 23, в абзаці четвертому частини першої статті 30, пункті 1 частини першої та третьої статті 31, частині четвертій статті 67 та у пунктах 15 і 16 частини шостої статті 83 слово "розміщення" замінити словом "емісії" у відповідному відмінку;</w:t>
            </w:r>
          </w:p>
        </w:tc>
      </w:tr>
      <w:tr w:rsidR="008C392C" w:rsidRPr="00286216" w14:paraId="5FC8CBA7" w14:textId="77777777" w:rsidTr="00091AA5">
        <w:tc>
          <w:tcPr>
            <w:tcW w:w="576" w:type="dxa"/>
          </w:tcPr>
          <w:p w14:paraId="229221B3" w14:textId="77777777" w:rsidR="008C392C" w:rsidRPr="00286216" w:rsidRDefault="008C392C" w:rsidP="008C392C">
            <w:pPr>
              <w:pStyle w:val="StyleWisnow"/>
              <w:rPr>
                <w:color w:val="000000" w:themeColor="text1"/>
              </w:rPr>
            </w:pPr>
            <w:bookmarkStart w:id="3397" w:name="n3527" w:colFirst="0" w:colLast="0"/>
            <w:bookmarkEnd w:id="3396"/>
            <w:r w:rsidRPr="00286216">
              <w:rPr>
                <w:color w:val="000000" w:themeColor="text1"/>
              </w:rPr>
              <w:t>3527.</w:t>
            </w:r>
          </w:p>
        </w:tc>
        <w:tc>
          <w:tcPr>
            <w:tcW w:w="4818" w:type="dxa"/>
          </w:tcPr>
          <w:p w14:paraId="5B239E53" w14:textId="77777777" w:rsidR="008C392C" w:rsidRPr="00286216" w:rsidRDefault="008C392C" w:rsidP="008C392C">
            <w:pPr>
              <w:pStyle w:val="StyleZakonu"/>
              <w:rPr>
                <w:color w:val="000000" w:themeColor="text1"/>
              </w:rPr>
            </w:pPr>
            <w:r w:rsidRPr="00286216">
              <w:rPr>
                <w:color w:val="000000" w:themeColor="text1"/>
              </w:rPr>
              <w:t>11) у пунктах 5 та 5-1 частини другої статті 33 та у пункті 5 частини другої статті 52 слова "розміщення" замінити словом "емісію";</w:t>
            </w:r>
          </w:p>
        </w:tc>
        <w:tc>
          <w:tcPr>
            <w:tcW w:w="3686" w:type="dxa"/>
          </w:tcPr>
          <w:p w14:paraId="007DCF3E" w14:textId="77777777" w:rsidR="008C392C" w:rsidRPr="00286216" w:rsidRDefault="008C392C" w:rsidP="008C392C">
            <w:pPr>
              <w:pStyle w:val="StyleProp"/>
              <w:rPr>
                <w:color w:val="000000" w:themeColor="text1"/>
                <w:szCs w:val="18"/>
              </w:rPr>
            </w:pPr>
          </w:p>
        </w:tc>
        <w:tc>
          <w:tcPr>
            <w:tcW w:w="1987" w:type="dxa"/>
          </w:tcPr>
          <w:p w14:paraId="75841F03" w14:textId="77777777" w:rsidR="008C392C" w:rsidRPr="00286216" w:rsidRDefault="008C392C" w:rsidP="008C392C">
            <w:pPr>
              <w:pStyle w:val="StyleWisnow"/>
              <w:rPr>
                <w:color w:val="000000" w:themeColor="text1"/>
              </w:rPr>
            </w:pPr>
          </w:p>
        </w:tc>
        <w:tc>
          <w:tcPr>
            <w:tcW w:w="4818" w:type="dxa"/>
          </w:tcPr>
          <w:p w14:paraId="68A6BDB6" w14:textId="1FD57D6F" w:rsidR="008C392C" w:rsidRPr="00286216" w:rsidRDefault="008C392C" w:rsidP="008C392C">
            <w:pPr>
              <w:pStyle w:val="StyleZakonu"/>
              <w:rPr>
                <w:color w:val="000000" w:themeColor="text1"/>
              </w:rPr>
            </w:pPr>
            <w:r w:rsidRPr="00286216">
              <w:rPr>
                <w:color w:val="000000" w:themeColor="text1"/>
              </w:rPr>
              <w:t>11) у пунктах 5 та 5</w:t>
            </w:r>
            <w:r w:rsidRPr="00286216">
              <w:rPr>
                <w:color w:val="000000" w:themeColor="text1"/>
                <w:vertAlign w:val="superscript"/>
              </w:rPr>
              <w:t>1</w:t>
            </w:r>
            <w:r w:rsidRPr="00286216">
              <w:rPr>
                <w:color w:val="000000" w:themeColor="text1"/>
              </w:rPr>
              <w:t xml:space="preserve"> частини другої статті 33 та у пункті 5 частини другої статті 52 слова "розміщення" замінити словом "емісію";</w:t>
            </w:r>
          </w:p>
        </w:tc>
      </w:tr>
      <w:tr w:rsidR="008C392C" w:rsidRPr="00286216" w14:paraId="1DA2F9E2" w14:textId="77777777" w:rsidTr="00091AA5">
        <w:tc>
          <w:tcPr>
            <w:tcW w:w="576" w:type="dxa"/>
          </w:tcPr>
          <w:p w14:paraId="3539AC05" w14:textId="77777777" w:rsidR="008C392C" w:rsidRPr="00286216" w:rsidRDefault="008C392C" w:rsidP="008C392C">
            <w:pPr>
              <w:pStyle w:val="StyleWisnow"/>
              <w:rPr>
                <w:color w:val="000000" w:themeColor="text1"/>
              </w:rPr>
            </w:pPr>
            <w:bookmarkStart w:id="3398" w:name="n3528" w:colFirst="0" w:colLast="0"/>
            <w:bookmarkEnd w:id="3397"/>
            <w:r w:rsidRPr="00286216">
              <w:rPr>
                <w:color w:val="000000" w:themeColor="text1"/>
              </w:rPr>
              <w:t>3528.</w:t>
            </w:r>
          </w:p>
        </w:tc>
        <w:tc>
          <w:tcPr>
            <w:tcW w:w="4818" w:type="dxa"/>
          </w:tcPr>
          <w:p w14:paraId="00891A4E" w14:textId="77777777" w:rsidR="008C392C" w:rsidRPr="00286216" w:rsidRDefault="008C392C" w:rsidP="008C392C">
            <w:pPr>
              <w:pStyle w:val="StyleZakonu"/>
              <w:rPr>
                <w:color w:val="000000" w:themeColor="text1"/>
              </w:rPr>
            </w:pPr>
            <w:r w:rsidRPr="00286216">
              <w:rPr>
                <w:color w:val="000000" w:themeColor="text1"/>
              </w:rPr>
              <w:t>12) статтю 33 після слів "згідно із" доповнити словами "законом та/або";</w:t>
            </w:r>
          </w:p>
        </w:tc>
        <w:tc>
          <w:tcPr>
            <w:tcW w:w="3686" w:type="dxa"/>
          </w:tcPr>
          <w:p w14:paraId="26C2D7B0" w14:textId="77777777" w:rsidR="008C392C" w:rsidRPr="00286216" w:rsidRDefault="008C392C" w:rsidP="008C392C">
            <w:pPr>
              <w:pStyle w:val="StyleProp"/>
              <w:rPr>
                <w:color w:val="000000" w:themeColor="text1"/>
                <w:szCs w:val="18"/>
              </w:rPr>
            </w:pPr>
          </w:p>
        </w:tc>
        <w:tc>
          <w:tcPr>
            <w:tcW w:w="1987" w:type="dxa"/>
          </w:tcPr>
          <w:p w14:paraId="1BD93B01" w14:textId="77777777" w:rsidR="008C392C" w:rsidRPr="00286216" w:rsidRDefault="008C392C" w:rsidP="008C392C">
            <w:pPr>
              <w:pStyle w:val="StyleWisnow"/>
              <w:rPr>
                <w:color w:val="000000" w:themeColor="text1"/>
              </w:rPr>
            </w:pPr>
          </w:p>
        </w:tc>
        <w:tc>
          <w:tcPr>
            <w:tcW w:w="4818" w:type="dxa"/>
          </w:tcPr>
          <w:p w14:paraId="77B95FF4" w14:textId="332D9889" w:rsidR="008C392C" w:rsidRPr="00286216" w:rsidRDefault="008C392C" w:rsidP="008C392C">
            <w:pPr>
              <w:pStyle w:val="StyleZakonu"/>
              <w:rPr>
                <w:color w:val="000000" w:themeColor="text1"/>
              </w:rPr>
            </w:pPr>
            <w:r w:rsidRPr="00286216">
              <w:rPr>
                <w:color w:val="000000" w:themeColor="text1"/>
              </w:rPr>
              <w:t>12) пункт 27 частини другої статті 33 після слів "згідно із" доповнити словами "законом та/або";</w:t>
            </w:r>
          </w:p>
        </w:tc>
      </w:tr>
      <w:tr w:rsidR="008C392C" w:rsidRPr="00286216" w14:paraId="551AC72E" w14:textId="77777777" w:rsidTr="00091AA5">
        <w:tc>
          <w:tcPr>
            <w:tcW w:w="576" w:type="dxa"/>
          </w:tcPr>
          <w:p w14:paraId="10591411" w14:textId="77777777" w:rsidR="008C392C" w:rsidRPr="00286216" w:rsidRDefault="008C392C" w:rsidP="008C392C">
            <w:pPr>
              <w:pStyle w:val="StyleWisnow"/>
              <w:rPr>
                <w:color w:val="000000" w:themeColor="text1"/>
              </w:rPr>
            </w:pPr>
            <w:bookmarkStart w:id="3399" w:name="n3529" w:colFirst="0" w:colLast="0"/>
            <w:bookmarkEnd w:id="3398"/>
            <w:r w:rsidRPr="00286216">
              <w:rPr>
                <w:color w:val="000000" w:themeColor="text1"/>
              </w:rPr>
              <w:t>3529.</w:t>
            </w:r>
          </w:p>
        </w:tc>
        <w:tc>
          <w:tcPr>
            <w:tcW w:w="4818" w:type="dxa"/>
          </w:tcPr>
          <w:p w14:paraId="44639629" w14:textId="77777777" w:rsidR="008C392C" w:rsidRPr="00286216" w:rsidRDefault="008C392C" w:rsidP="008C392C">
            <w:pPr>
              <w:pStyle w:val="StyleZakonu"/>
              <w:rPr>
                <w:color w:val="000000" w:themeColor="text1"/>
              </w:rPr>
            </w:pPr>
            <w:r w:rsidRPr="00286216">
              <w:rPr>
                <w:color w:val="000000" w:themeColor="text1"/>
              </w:rPr>
              <w:t>13) доповнити статтю 34 новою частиною такого змісту:</w:t>
            </w:r>
          </w:p>
        </w:tc>
        <w:tc>
          <w:tcPr>
            <w:tcW w:w="3686" w:type="dxa"/>
          </w:tcPr>
          <w:p w14:paraId="3B846F66" w14:textId="77777777" w:rsidR="008C392C" w:rsidRPr="00286216" w:rsidRDefault="008C392C" w:rsidP="008C392C">
            <w:pPr>
              <w:pStyle w:val="StyleProp"/>
              <w:rPr>
                <w:color w:val="000000" w:themeColor="text1"/>
                <w:szCs w:val="18"/>
              </w:rPr>
            </w:pPr>
          </w:p>
        </w:tc>
        <w:tc>
          <w:tcPr>
            <w:tcW w:w="1987" w:type="dxa"/>
          </w:tcPr>
          <w:p w14:paraId="62B260FD" w14:textId="77777777" w:rsidR="008C392C" w:rsidRPr="00286216" w:rsidRDefault="008C392C" w:rsidP="008C392C">
            <w:pPr>
              <w:pStyle w:val="StyleWisnow"/>
              <w:rPr>
                <w:color w:val="000000" w:themeColor="text1"/>
              </w:rPr>
            </w:pPr>
          </w:p>
        </w:tc>
        <w:tc>
          <w:tcPr>
            <w:tcW w:w="4818" w:type="dxa"/>
          </w:tcPr>
          <w:p w14:paraId="703FA7F1" w14:textId="2983D4CC" w:rsidR="008C392C" w:rsidRPr="00286216" w:rsidRDefault="008C392C" w:rsidP="008C392C">
            <w:pPr>
              <w:pStyle w:val="StyleZakonu"/>
              <w:rPr>
                <w:color w:val="000000" w:themeColor="text1"/>
              </w:rPr>
            </w:pPr>
            <w:r w:rsidRPr="00286216">
              <w:rPr>
                <w:color w:val="000000" w:themeColor="text1"/>
              </w:rPr>
              <w:t>13) доповнити статтю 34  частиною третьою такого змісту:</w:t>
            </w:r>
          </w:p>
        </w:tc>
      </w:tr>
      <w:tr w:rsidR="008C392C" w:rsidRPr="00286216" w14:paraId="43CA401C" w14:textId="77777777" w:rsidTr="00091AA5">
        <w:tc>
          <w:tcPr>
            <w:tcW w:w="576" w:type="dxa"/>
          </w:tcPr>
          <w:p w14:paraId="7F5808A6" w14:textId="77777777" w:rsidR="008C392C" w:rsidRPr="00286216" w:rsidRDefault="008C392C" w:rsidP="008C392C">
            <w:pPr>
              <w:pStyle w:val="StyleWisnow"/>
              <w:rPr>
                <w:color w:val="000000" w:themeColor="text1"/>
              </w:rPr>
            </w:pPr>
            <w:bookmarkStart w:id="3400" w:name="n3530" w:colFirst="0" w:colLast="0"/>
            <w:bookmarkEnd w:id="3399"/>
            <w:r w:rsidRPr="00286216">
              <w:rPr>
                <w:color w:val="000000" w:themeColor="text1"/>
              </w:rPr>
              <w:lastRenderedPageBreak/>
              <w:t>3530.</w:t>
            </w:r>
          </w:p>
        </w:tc>
        <w:tc>
          <w:tcPr>
            <w:tcW w:w="4818" w:type="dxa"/>
          </w:tcPr>
          <w:p w14:paraId="6F50B972" w14:textId="77777777" w:rsidR="008C392C" w:rsidRPr="00286216" w:rsidRDefault="008C392C" w:rsidP="008C392C">
            <w:pPr>
              <w:pStyle w:val="StyleZakonu"/>
              <w:rPr>
                <w:color w:val="000000" w:themeColor="text1"/>
              </w:rPr>
            </w:pPr>
            <w:r w:rsidRPr="00286216">
              <w:rPr>
                <w:color w:val="000000" w:themeColor="text1"/>
              </w:rPr>
              <w:t>"3. У разі передання акціонером права на участь у загальних зборах акціонерного товариства та голосування за належними йому акціями, права на які обліковуються на рахунку умовного зберігання цінних паперів (ескроу цінних паперів), іншій особі відповідна інформація відображається в переліку акціонерів, які мають право на участь у загальних зборах, у порядку, встановленому законодавством про депозитарну систему України. У такому разі особа, якій акціонером передано право на участь у загальних зборах акціонерного товариства та голосування, набуває право на участь у загальних зборах акціонерного товариства та до неї застосовуються всі норми цього Закону, що визначають порядок проведення акціонерним товариством загальних зборів і реалізації акціонером права на участь у загальних зборах та голосування.";</w:t>
            </w:r>
          </w:p>
        </w:tc>
        <w:tc>
          <w:tcPr>
            <w:tcW w:w="3686" w:type="dxa"/>
          </w:tcPr>
          <w:p w14:paraId="06E72F0C" w14:textId="77777777" w:rsidR="008C392C" w:rsidRPr="00286216" w:rsidRDefault="008C392C" w:rsidP="008C392C">
            <w:pPr>
              <w:pStyle w:val="StyleProp"/>
              <w:rPr>
                <w:color w:val="000000" w:themeColor="text1"/>
                <w:szCs w:val="18"/>
              </w:rPr>
            </w:pPr>
          </w:p>
        </w:tc>
        <w:tc>
          <w:tcPr>
            <w:tcW w:w="1987" w:type="dxa"/>
          </w:tcPr>
          <w:p w14:paraId="6E0490BC" w14:textId="77777777" w:rsidR="008C392C" w:rsidRPr="00286216" w:rsidRDefault="008C392C" w:rsidP="008C392C">
            <w:pPr>
              <w:pStyle w:val="StyleWisnow"/>
              <w:rPr>
                <w:color w:val="000000" w:themeColor="text1"/>
              </w:rPr>
            </w:pPr>
          </w:p>
        </w:tc>
        <w:tc>
          <w:tcPr>
            <w:tcW w:w="4818" w:type="dxa"/>
          </w:tcPr>
          <w:p w14:paraId="40317109" w14:textId="7F10464C" w:rsidR="008C392C" w:rsidRPr="00286216" w:rsidRDefault="008C392C" w:rsidP="008C392C">
            <w:pPr>
              <w:pStyle w:val="StyleZakonu"/>
              <w:rPr>
                <w:color w:val="000000" w:themeColor="text1"/>
              </w:rPr>
            </w:pPr>
            <w:r w:rsidRPr="00286216">
              <w:rPr>
                <w:color w:val="000000" w:themeColor="text1"/>
              </w:rPr>
              <w:t>"3. У разі передання акціонером права на участь у загальних зборах акціонерного товариства та голосування за належними йому акціями, права на які обліковуються на рахунку умовного зберігання цінних паперів (ескроу цінних паперів), іншій особі відповідна інформація відображається в переліку акціонерів, які мають право на участь у загальних зборах, у порядку, встановленому законодавством про депозитарну систему України. У такому разі особа, якій акціонером передано право на участь у загальних зборах акціонерного товариства та голосування, набуває право на участь у загальних зборах акціонерного товариства та до неї застосовуються всі норми цього Закону, що визначають порядок проведення акціонерним товариством загальних зборів і реалізації акціонером права на участь у загальних зборах та голосування";</w:t>
            </w:r>
          </w:p>
        </w:tc>
      </w:tr>
      <w:tr w:rsidR="008C392C" w:rsidRPr="00286216" w14:paraId="3D360AFB" w14:textId="77777777" w:rsidTr="00091AA5">
        <w:tc>
          <w:tcPr>
            <w:tcW w:w="576" w:type="dxa"/>
          </w:tcPr>
          <w:p w14:paraId="410A43D8" w14:textId="77777777" w:rsidR="008C392C" w:rsidRPr="00286216" w:rsidRDefault="008C392C" w:rsidP="008C392C">
            <w:pPr>
              <w:pStyle w:val="StyleWisnow"/>
              <w:rPr>
                <w:color w:val="000000" w:themeColor="text1"/>
              </w:rPr>
            </w:pPr>
            <w:bookmarkStart w:id="3401" w:name="n3531" w:colFirst="0" w:colLast="0"/>
            <w:bookmarkEnd w:id="3400"/>
            <w:r w:rsidRPr="00286216">
              <w:rPr>
                <w:color w:val="000000" w:themeColor="text1"/>
              </w:rPr>
              <w:t>3531.</w:t>
            </w:r>
          </w:p>
        </w:tc>
        <w:tc>
          <w:tcPr>
            <w:tcW w:w="4818" w:type="dxa"/>
          </w:tcPr>
          <w:p w14:paraId="41D98EDC" w14:textId="77777777" w:rsidR="008C392C" w:rsidRPr="00286216" w:rsidRDefault="008C392C" w:rsidP="008C392C">
            <w:pPr>
              <w:pStyle w:val="StyleZakonu"/>
              <w:rPr>
                <w:color w:val="000000" w:themeColor="text1"/>
              </w:rPr>
            </w:pPr>
            <w:r w:rsidRPr="00286216">
              <w:rPr>
                <w:color w:val="000000" w:themeColor="text1"/>
              </w:rPr>
              <w:t>14) у другому реченні абзацу третього частини першої статті 35 слова "фондовій біржі, на якій цінні папери допущені до торгів" замінити словами "оператору організованого ринку капіталу (операторам організованих ринків капіталу), на якому (яких) акції товариства допущені до торгів";</w:t>
            </w:r>
          </w:p>
        </w:tc>
        <w:tc>
          <w:tcPr>
            <w:tcW w:w="3686" w:type="dxa"/>
          </w:tcPr>
          <w:p w14:paraId="524A5C25" w14:textId="77777777" w:rsidR="008C392C" w:rsidRPr="00286216" w:rsidRDefault="008C392C" w:rsidP="008C392C">
            <w:pPr>
              <w:pStyle w:val="StyleProp"/>
              <w:rPr>
                <w:color w:val="000000" w:themeColor="text1"/>
                <w:szCs w:val="18"/>
              </w:rPr>
            </w:pPr>
          </w:p>
        </w:tc>
        <w:tc>
          <w:tcPr>
            <w:tcW w:w="1987" w:type="dxa"/>
          </w:tcPr>
          <w:p w14:paraId="09BDE990" w14:textId="77777777" w:rsidR="008C392C" w:rsidRPr="00286216" w:rsidRDefault="008C392C" w:rsidP="008C392C">
            <w:pPr>
              <w:pStyle w:val="StyleWisnow"/>
              <w:rPr>
                <w:color w:val="000000" w:themeColor="text1"/>
              </w:rPr>
            </w:pPr>
          </w:p>
        </w:tc>
        <w:tc>
          <w:tcPr>
            <w:tcW w:w="4818" w:type="dxa"/>
          </w:tcPr>
          <w:p w14:paraId="55B5DEED" w14:textId="12FB2CA4" w:rsidR="008C392C" w:rsidRPr="00286216" w:rsidRDefault="008C392C" w:rsidP="008C392C">
            <w:pPr>
              <w:pStyle w:val="StyleZakonu"/>
              <w:rPr>
                <w:color w:val="000000" w:themeColor="text1"/>
              </w:rPr>
            </w:pPr>
            <w:r w:rsidRPr="00286216">
              <w:rPr>
                <w:color w:val="000000" w:themeColor="text1"/>
              </w:rPr>
              <w:t>14) у другому реченні абзацу третього частини першої статті 35 слова "фондовій біржі, на якій цінні папери допущені до торгів" замінити словами "оператору організованого ринку капіталу (операторам організованих ринків капіталу), на якому (яких) акції товариства допущені до торгів";</w:t>
            </w:r>
          </w:p>
        </w:tc>
      </w:tr>
      <w:tr w:rsidR="008C392C" w:rsidRPr="00286216" w14:paraId="069DD914" w14:textId="77777777" w:rsidTr="00091AA5">
        <w:tc>
          <w:tcPr>
            <w:tcW w:w="576" w:type="dxa"/>
          </w:tcPr>
          <w:p w14:paraId="5D5013B4" w14:textId="77777777" w:rsidR="008C392C" w:rsidRPr="00286216" w:rsidRDefault="008C392C" w:rsidP="008C392C">
            <w:pPr>
              <w:pStyle w:val="StyleWisnow"/>
              <w:rPr>
                <w:color w:val="000000" w:themeColor="text1"/>
              </w:rPr>
            </w:pPr>
            <w:bookmarkStart w:id="3402" w:name="n3532" w:colFirst="0" w:colLast="0"/>
            <w:bookmarkEnd w:id="3401"/>
            <w:r w:rsidRPr="00286216">
              <w:rPr>
                <w:color w:val="000000" w:themeColor="text1"/>
              </w:rPr>
              <w:t>3532.</w:t>
            </w:r>
          </w:p>
        </w:tc>
        <w:tc>
          <w:tcPr>
            <w:tcW w:w="4818" w:type="dxa"/>
          </w:tcPr>
          <w:p w14:paraId="6410B608" w14:textId="77777777" w:rsidR="008C392C" w:rsidRPr="00286216" w:rsidRDefault="008C392C" w:rsidP="008C392C">
            <w:pPr>
              <w:pStyle w:val="StyleZakonu"/>
              <w:rPr>
                <w:color w:val="000000" w:themeColor="text1"/>
              </w:rPr>
            </w:pPr>
            <w:r w:rsidRPr="00286216">
              <w:rPr>
                <w:color w:val="000000" w:themeColor="text1"/>
              </w:rPr>
              <w:t>15) в абзаці другому частини восьмої статті 38 слова "фондовій біржі (біржам), на яких цінні папери товариства допущені до торгів" замінити словами "оператору організованого ринку капіталу (операторам організованих ринків капіталу), на якому (яких) акції товариства допущені до торгів";</w:t>
            </w:r>
          </w:p>
        </w:tc>
        <w:tc>
          <w:tcPr>
            <w:tcW w:w="3686" w:type="dxa"/>
          </w:tcPr>
          <w:p w14:paraId="70244258" w14:textId="77777777" w:rsidR="008C392C" w:rsidRPr="00286216" w:rsidRDefault="008C392C" w:rsidP="008C392C">
            <w:pPr>
              <w:pStyle w:val="StyleProp"/>
              <w:rPr>
                <w:color w:val="000000" w:themeColor="text1"/>
                <w:szCs w:val="18"/>
              </w:rPr>
            </w:pPr>
          </w:p>
        </w:tc>
        <w:tc>
          <w:tcPr>
            <w:tcW w:w="1987" w:type="dxa"/>
          </w:tcPr>
          <w:p w14:paraId="3A122A52" w14:textId="77777777" w:rsidR="008C392C" w:rsidRPr="00286216" w:rsidRDefault="008C392C" w:rsidP="008C392C">
            <w:pPr>
              <w:pStyle w:val="StyleWisnow"/>
              <w:rPr>
                <w:color w:val="000000" w:themeColor="text1"/>
              </w:rPr>
            </w:pPr>
          </w:p>
        </w:tc>
        <w:tc>
          <w:tcPr>
            <w:tcW w:w="4818" w:type="dxa"/>
          </w:tcPr>
          <w:p w14:paraId="65EE6B78" w14:textId="2B6D9AE8" w:rsidR="008C392C" w:rsidRPr="00286216" w:rsidRDefault="008C392C" w:rsidP="008C392C">
            <w:pPr>
              <w:pStyle w:val="StyleZakonu"/>
              <w:rPr>
                <w:color w:val="000000" w:themeColor="text1"/>
              </w:rPr>
            </w:pPr>
            <w:r w:rsidRPr="00286216">
              <w:rPr>
                <w:color w:val="000000" w:themeColor="text1"/>
              </w:rPr>
              <w:t>15) в абзаці другому частини восьмої статті 38 слова "фондовій біржі (біржам), на яких цінні папери товариства допущені до торгів" замінити словами "оператору організованого ринку капіталу (операторам організованих ринків капіталу), на якому (яких) акції товариства допущені до торгів";</w:t>
            </w:r>
          </w:p>
        </w:tc>
      </w:tr>
      <w:tr w:rsidR="008C392C" w:rsidRPr="00286216" w14:paraId="3E36C2BC" w14:textId="77777777" w:rsidTr="00091AA5">
        <w:tc>
          <w:tcPr>
            <w:tcW w:w="576" w:type="dxa"/>
          </w:tcPr>
          <w:p w14:paraId="709D78C1" w14:textId="77777777" w:rsidR="008C392C" w:rsidRPr="00286216" w:rsidRDefault="008C392C" w:rsidP="008C392C">
            <w:pPr>
              <w:pStyle w:val="StyleWisnow"/>
              <w:rPr>
                <w:color w:val="000000" w:themeColor="text1"/>
              </w:rPr>
            </w:pPr>
            <w:bookmarkStart w:id="3403" w:name="n3533" w:colFirst="0" w:colLast="0"/>
            <w:bookmarkEnd w:id="3402"/>
            <w:r w:rsidRPr="00286216">
              <w:rPr>
                <w:color w:val="000000" w:themeColor="text1"/>
              </w:rPr>
              <w:t>3533.</w:t>
            </w:r>
          </w:p>
        </w:tc>
        <w:tc>
          <w:tcPr>
            <w:tcW w:w="4818" w:type="dxa"/>
          </w:tcPr>
          <w:p w14:paraId="642E6F8F" w14:textId="77777777" w:rsidR="008C392C" w:rsidRPr="00286216" w:rsidRDefault="008C392C" w:rsidP="008C392C">
            <w:pPr>
              <w:pStyle w:val="StyleZakonu"/>
              <w:rPr>
                <w:color w:val="000000" w:themeColor="text1"/>
              </w:rPr>
            </w:pPr>
            <w:r w:rsidRPr="00286216">
              <w:rPr>
                <w:color w:val="000000" w:themeColor="text1"/>
              </w:rPr>
              <w:t>16) у другому реченні абзацу другого частини шостої статті 47 слова "фондовій біржі (біржам), на якій акції такого товариства допущені до торгів" замінити словами "оператору організованого ринку капіталу (операторам організованих ринків капіталу), на якому (яких) акції такого товариства допущені до торгів";</w:t>
            </w:r>
          </w:p>
        </w:tc>
        <w:tc>
          <w:tcPr>
            <w:tcW w:w="3686" w:type="dxa"/>
          </w:tcPr>
          <w:p w14:paraId="647AAD12" w14:textId="2A9F21EA" w:rsidR="008C392C" w:rsidRPr="00286216" w:rsidRDefault="008C392C" w:rsidP="008C392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514E6980"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Підпункти 16-23 пункту 40 замінити дванадцятьма підпунктами такого змісту:</w:t>
            </w:r>
          </w:p>
          <w:p w14:paraId="483224CC"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«16) доповнити абзац перший частини четвертої статті 40 новим реченням такого змісту: «Таке повідомлення здійснюється Комісією офіційним каналом зв’язку».</w:t>
            </w:r>
          </w:p>
          <w:p w14:paraId="46BA8305"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17) у другому реченні абзацу другого частини шостої статті 47 слова «фондовій біржі (біржам), на якій акції такого товариства допущені до торгів» замінити словами «оператору організованого ринку капіталу (операторам організованих ринків капіталу), на якому (яких) акції такого товариства допущені до торгів»;</w:t>
            </w:r>
          </w:p>
          <w:p w14:paraId="7C4139A5"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18) пункт 4 частини другої статті 52 виключити;</w:t>
            </w:r>
          </w:p>
          <w:p w14:paraId="6D4D5F2E"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19) в частині першій статті 64:</w:t>
            </w:r>
          </w:p>
          <w:p w14:paraId="4C496BCF"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а) слова «(далі – значний пакет акцій)» </w:t>
            </w:r>
            <w:r w:rsidRPr="00286216">
              <w:rPr>
                <w:color w:val="000000" w:themeColor="text1"/>
                <w:szCs w:val="18"/>
              </w:rPr>
              <w:lastRenderedPageBreak/>
              <w:t>виключити, а слова  «10 і більше відсотків голосуючих акцій товариства» замінити словами «5 і більше відсотків простих акцій»;</w:t>
            </w:r>
          </w:p>
          <w:p w14:paraId="37B9C708"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б)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6D1547C8"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20) абзац сьомий частини четвертої статті 64-1 доповнити словами «офіційним каналом зв’язку»; </w:t>
            </w:r>
          </w:p>
          <w:p w14:paraId="646FC79A"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21) у статті 65:</w:t>
            </w:r>
          </w:p>
          <w:p w14:paraId="2F495A34"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а) абзац перший частини першої та абзац перший частини другої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2C164F03"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б) в частині четвертій:</w:t>
            </w:r>
          </w:p>
          <w:p w14:paraId="6EE202EC"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слова «кожній фондовій біржі, на якій цінні папери (акції) товариства допущено до торгів» замінити словами «кожному оператору організованого ринку, який здійснює управління організованим ринком, на якому цінні папери (акції) товариства допущені до торгів»;</w:t>
            </w:r>
          </w:p>
          <w:p w14:paraId="6F9719F5"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абзац другий доповнити реченням такого змісту «Така оферта надсилається Національній комісії з цінних паперів та фондового ринку  офіційним каналом зв’язку».</w:t>
            </w:r>
          </w:p>
          <w:p w14:paraId="12CBC085"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22) у статті 65-1:</w:t>
            </w:r>
          </w:p>
          <w:p w14:paraId="2DA5732D"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а) абзац перший частини першої та абзац перший частини другої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3F405C6A"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б) абзац другий частини четвертої доповнити реченням такого змісту «Така оферта надсилається Національній комісії з цінних паперів та фондового ринку  офіційним каналом зв’язку».</w:t>
            </w:r>
          </w:p>
          <w:p w14:paraId="23262AE5"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23) у статті 65-2:</w:t>
            </w:r>
          </w:p>
          <w:p w14:paraId="0A486B9C"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а) частину першу після слів «зобов’язана подати» доповнити словами «офіційним каналом зв’язку»;</w:t>
            </w:r>
          </w:p>
          <w:p w14:paraId="1755000A"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б) у пунктах 3 частини пʼятої, шостої та сьомої слова «суб’єктом оціночної діяльності» виключити;</w:t>
            </w:r>
          </w:p>
          <w:p w14:paraId="32EF343C"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в) абзац перший частини десятої доповнити реченням такого змісту: «Таке повідомлення Національної комісії з цінних паперів та фондового ринку  здійснюється офіційним каналом зв’язку». </w:t>
            </w:r>
          </w:p>
          <w:p w14:paraId="1DB3A8E8"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24) у абзаці восьмому частини першої статті 66 та у абзаці другому частини першої </w:t>
            </w:r>
            <w:r w:rsidRPr="00286216">
              <w:rPr>
                <w:color w:val="000000" w:themeColor="text1"/>
                <w:szCs w:val="18"/>
              </w:rPr>
              <w:lastRenderedPageBreak/>
              <w:t xml:space="preserve">статті 69 слово «скликання» замінити словом «проведення»; </w:t>
            </w:r>
          </w:p>
          <w:p w14:paraId="10638E39"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25) у абзаці першому статті 82 слова «кожну фондову біржу, на якій цінні папери товариства допущені до торгів» замінити словами «кожного оператора організованого ринку капіталу, що здійснює управління організованим ринком, на якому акції товариства допущені до торгів»;</w:t>
            </w:r>
          </w:p>
          <w:p w14:paraId="5653CE30"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26) пункти 8 та 15 частини шостої статті 83 після слова «подання» доповнити словами «офіційним каналом зв’язку»;</w:t>
            </w:r>
          </w:p>
          <w:p w14:paraId="6819EB17"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27) у тексті закону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455CC186" w14:textId="77777777" w:rsidR="008C392C" w:rsidRPr="00286216" w:rsidRDefault="008C392C" w:rsidP="008C392C">
            <w:pPr>
              <w:pStyle w:val="StyleWisnow"/>
              <w:rPr>
                <w:color w:val="000000" w:themeColor="text1"/>
              </w:rPr>
            </w:pPr>
            <w:r w:rsidRPr="00286216">
              <w:rPr>
                <w:color w:val="000000" w:themeColor="text1"/>
              </w:rPr>
              <w:lastRenderedPageBreak/>
              <w:t>Враховано</w:t>
            </w:r>
          </w:p>
        </w:tc>
        <w:tc>
          <w:tcPr>
            <w:tcW w:w="4818" w:type="dxa"/>
          </w:tcPr>
          <w:p w14:paraId="7284159E" w14:textId="77777777" w:rsidR="008C392C" w:rsidRPr="00286216" w:rsidRDefault="008C392C" w:rsidP="008C392C">
            <w:pPr>
              <w:pStyle w:val="StyleZakonu"/>
              <w:rPr>
                <w:color w:val="000000" w:themeColor="text1"/>
              </w:rPr>
            </w:pPr>
            <w:r w:rsidRPr="00286216">
              <w:rPr>
                <w:color w:val="000000" w:themeColor="text1"/>
              </w:rPr>
              <w:t>16) абзац перший частини четвертої статті 40 доповнити новим реченням третім такого змісту: «Таке повідомлення здійснюється Комісією офіційним каналом зв’язку»;</w:t>
            </w:r>
          </w:p>
          <w:p w14:paraId="503E45AF" w14:textId="77777777" w:rsidR="008C392C" w:rsidRPr="00286216" w:rsidRDefault="008C392C" w:rsidP="008C392C">
            <w:pPr>
              <w:pStyle w:val="StyleZakonu"/>
              <w:rPr>
                <w:color w:val="000000" w:themeColor="text1"/>
              </w:rPr>
            </w:pPr>
            <w:r w:rsidRPr="00286216">
              <w:rPr>
                <w:color w:val="000000" w:themeColor="text1"/>
              </w:rPr>
              <w:t>17) у другому реченні абзацу другого частини шостої статті 47 слова «фондовій біржі (біржам), на якій акції такого товариства допущені до торгів» замінити словами «оператору організованого ринку капіталу (операторам організованих ринків капіталу), на якому (яких) акції такого товариства допущені до торгів»;</w:t>
            </w:r>
          </w:p>
          <w:p w14:paraId="00042B03" w14:textId="77777777" w:rsidR="008C392C" w:rsidRPr="00286216" w:rsidRDefault="008C392C" w:rsidP="008C392C">
            <w:pPr>
              <w:pStyle w:val="StyleZakonu"/>
              <w:rPr>
                <w:color w:val="000000" w:themeColor="text1"/>
              </w:rPr>
            </w:pPr>
            <w:r w:rsidRPr="00286216">
              <w:rPr>
                <w:color w:val="000000" w:themeColor="text1"/>
              </w:rPr>
              <w:t>18) пункт 4 частини другої статті 52 виключити;</w:t>
            </w:r>
          </w:p>
          <w:p w14:paraId="3AF2BCCD" w14:textId="77777777" w:rsidR="008C392C" w:rsidRPr="00286216" w:rsidRDefault="008C392C" w:rsidP="008C392C">
            <w:pPr>
              <w:pStyle w:val="StyleZakonu"/>
              <w:rPr>
                <w:color w:val="000000" w:themeColor="text1"/>
              </w:rPr>
            </w:pPr>
            <w:r w:rsidRPr="00286216">
              <w:rPr>
                <w:color w:val="000000" w:themeColor="text1"/>
              </w:rPr>
              <w:t>19) у частині першій статті 64:</w:t>
            </w:r>
          </w:p>
          <w:p w14:paraId="0D41CC7C" w14:textId="77777777" w:rsidR="008C392C" w:rsidRPr="00286216" w:rsidRDefault="008C392C" w:rsidP="008C392C">
            <w:pPr>
              <w:pStyle w:val="StyleZakonu"/>
              <w:rPr>
                <w:color w:val="000000" w:themeColor="text1"/>
              </w:rPr>
            </w:pPr>
            <w:r w:rsidRPr="00286216">
              <w:rPr>
                <w:color w:val="000000" w:themeColor="text1"/>
              </w:rPr>
              <w:t xml:space="preserve">а) в абзаці першому  слова та цифри «10 і більше відсотків голосуючих акцій товариства (далі – </w:t>
            </w:r>
            <w:r w:rsidRPr="00286216">
              <w:rPr>
                <w:color w:val="000000" w:themeColor="text1"/>
              </w:rPr>
              <w:lastRenderedPageBreak/>
              <w:t>значний пакет акцій)» замінити словами та цифрою «5 і більше відсотків простих акцій», а слова "кожній фондовій біржі, на якій цінні папери допущено до торгів" замінити словами "кожному оператору організованого ринку, який здійснює управління організованим ринком, на якому цінні папери допущені до торгів";;</w:t>
            </w:r>
          </w:p>
          <w:p w14:paraId="304E6160" w14:textId="77777777" w:rsidR="008C392C" w:rsidRPr="00286216" w:rsidRDefault="008C392C" w:rsidP="008C392C">
            <w:pPr>
              <w:pStyle w:val="StyleZakonu"/>
              <w:rPr>
                <w:color w:val="000000" w:themeColor="text1"/>
              </w:rPr>
            </w:pPr>
            <w:r w:rsidRPr="00286216">
              <w:rPr>
                <w:color w:val="000000" w:themeColor="text1"/>
              </w:rPr>
              <w:t>б) абзац другий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49FA7FC8" w14:textId="77777777" w:rsidR="008C392C" w:rsidRPr="00286216" w:rsidRDefault="008C392C" w:rsidP="008C392C">
            <w:pPr>
              <w:pStyle w:val="StyleZakonu"/>
              <w:rPr>
                <w:color w:val="000000" w:themeColor="text1"/>
              </w:rPr>
            </w:pPr>
            <w:r w:rsidRPr="00286216">
              <w:rPr>
                <w:color w:val="000000" w:themeColor="text1"/>
              </w:rPr>
              <w:t>20) абзац сьомий частини четвертої статті 64</w:t>
            </w:r>
            <w:r w:rsidRPr="00286216">
              <w:rPr>
                <w:color w:val="000000" w:themeColor="text1"/>
                <w:vertAlign w:val="superscript"/>
              </w:rPr>
              <w:t>1</w:t>
            </w:r>
            <w:r w:rsidRPr="00286216">
              <w:rPr>
                <w:color w:val="000000" w:themeColor="text1"/>
              </w:rPr>
              <w:t xml:space="preserve"> доповнити словами «офіційним каналом зв’язку»; </w:t>
            </w:r>
          </w:p>
          <w:p w14:paraId="2A0508AE" w14:textId="77777777" w:rsidR="008C392C" w:rsidRPr="00286216" w:rsidRDefault="008C392C" w:rsidP="008C392C">
            <w:pPr>
              <w:pStyle w:val="StyleZakonu"/>
              <w:rPr>
                <w:color w:val="000000" w:themeColor="text1"/>
              </w:rPr>
            </w:pPr>
            <w:r w:rsidRPr="00286216">
              <w:rPr>
                <w:color w:val="000000" w:themeColor="text1"/>
              </w:rPr>
              <w:t>21) у статті 65:</w:t>
            </w:r>
          </w:p>
          <w:p w14:paraId="1E2AB9B4" w14:textId="77777777" w:rsidR="008C392C" w:rsidRPr="00286216" w:rsidRDefault="008C392C" w:rsidP="008C392C">
            <w:pPr>
              <w:pStyle w:val="StyleZakonu"/>
              <w:rPr>
                <w:color w:val="000000" w:themeColor="text1"/>
              </w:rPr>
            </w:pPr>
            <w:r w:rsidRPr="00286216">
              <w:rPr>
                <w:color w:val="000000" w:themeColor="text1"/>
              </w:rPr>
              <w:t>а) абзац перший частини першої та абзац перший частини другої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6822F499" w14:textId="77777777" w:rsidR="008C392C" w:rsidRPr="00286216" w:rsidRDefault="008C392C" w:rsidP="008C392C">
            <w:pPr>
              <w:pStyle w:val="StyleZakonu"/>
              <w:rPr>
                <w:color w:val="000000" w:themeColor="text1"/>
              </w:rPr>
            </w:pPr>
            <w:r w:rsidRPr="00286216">
              <w:rPr>
                <w:color w:val="000000" w:themeColor="text1"/>
              </w:rPr>
              <w:t>б) в абзаці другому частини четвертої:</w:t>
            </w:r>
          </w:p>
          <w:p w14:paraId="200E72FE" w14:textId="77777777" w:rsidR="008C392C" w:rsidRPr="00286216" w:rsidRDefault="008C392C" w:rsidP="008C392C">
            <w:pPr>
              <w:pStyle w:val="StyleZakonu"/>
              <w:rPr>
                <w:color w:val="000000" w:themeColor="text1"/>
              </w:rPr>
            </w:pPr>
            <w:r w:rsidRPr="00286216">
              <w:rPr>
                <w:color w:val="000000" w:themeColor="text1"/>
              </w:rPr>
              <w:t>слова «кожній фондовій біржі, на якій цінні папери (акції) товариства допущено до торгів» замінити словами «кожному оператору організованого ринку, який здійснює управління організованим ринком, на якому цінні папери (акції) товариства допущені до торгів»;</w:t>
            </w:r>
          </w:p>
          <w:p w14:paraId="655E32D8" w14:textId="77777777" w:rsidR="008C392C" w:rsidRPr="00286216" w:rsidRDefault="008C392C" w:rsidP="008C392C">
            <w:pPr>
              <w:pStyle w:val="StyleZakonu"/>
              <w:rPr>
                <w:color w:val="000000" w:themeColor="text1"/>
              </w:rPr>
            </w:pPr>
            <w:r w:rsidRPr="00286216">
              <w:rPr>
                <w:color w:val="000000" w:themeColor="text1"/>
              </w:rPr>
              <w:t>доповнити реченням такого змісту: «Така оферта надсилається Національній комісії з цінних паперів та фондового ринку  офіційним каналом зв’язку»;</w:t>
            </w:r>
          </w:p>
          <w:p w14:paraId="69D167A0" w14:textId="77777777" w:rsidR="008C392C" w:rsidRPr="00286216" w:rsidRDefault="008C392C" w:rsidP="008C392C">
            <w:pPr>
              <w:pStyle w:val="StyleZakonu"/>
              <w:rPr>
                <w:color w:val="000000" w:themeColor="text1"/>
              </w:rPr>
            </w:pPr>
            <w:r w:rsidRPr="00286216">
              <w:rPr>
                <w:color w:val="000000" w:themeColor="text1"/>
              </w:rPr>
              <w:t>22) у статті 65</w:t>
            </w:r>
            <w:r w:rsidRPr="00286216">
              <w:rPr>
                <w:color w:val="000000" w:themeColor="text1"/>
                <w:vertAlign w:val="superscript"/>
              </w:rPr>
              <w:t>1</w:t>
            </w:r>
            <w:r w:rsidRPr="00286216">
              <w:rPr>
                <w:color w:val="000000" w:themeColor="text1"/>
              </w:rPr>
              <w:t>:</w:t>
            </w:r>
          </w:p>
          <w:p w14:paraId="21815931" w14:textId="77777777" w:rsidR="008C392C" w:rsidRPr="00286216" w:rsidRDefault="008C392C" w:rsidP="008C392C">
            <w:pPr>
              <w:pStyle w:val="StyleZakonu"/>
              <w:rPr>
                <w:color w:val="000000" w:themeColor="text1"/>
              </w:rPr>
            </w:pPr>
            <w:r w:rsidRPr="00286216">
              <w:rPr>
                <w:color w:val="000000" w:themeColor="text1"/>
              </w:rPr>
              <w:t>а) абзац перший частини першої та абзац перший частини другої  доповнити реченням такого змісту: «Таке повідомлення Національної комісії з цінних паперів та фондового ринку  здійснюється офіційним каналом зв’язку»;</w:t>
            </w:r>
          </w:p>
          <w:p w14:paraId="7A476E23" w14:textId="77777777" w:rsidR="008C392C" w:rsidRPr="00286216" w:rsidRDefault="008C392C" w:rsidP="008C392C">
            <w:pPr>
              <w:pStyle w:val="StyleZakonu"/>
              <w:rPr>
                <w:color w:val="000000" w:themeColor="text1"/>
              </w:rPr>
            </w:pPr>
            <w:r w:rsidRPr="00286216">
              <w:rPr>
                <w:color w:val="000000" w:themeColor="text1"/>
              </w:rPr>
              <w:t>б) абзац другий частини четвертої доповнити реченням такого змісту «Така оферта надсилається Національній комісії з цінних паперів та фондового ринку  офіційним каналом зв’язку»;</w:t>
            </w:r>
          </w:p>
          <w:p w14:paraId="21591D8B" w14:textId="77777777" w:rsidR="008C392C" w:rsidRPr="00286216" w:rsidRDefault="008C392C" w:rsidP="008C392C">
            <w:pPr>
              <w:pStyle w:val="StyleZakonu"/>
              <w:spacing w:after="40"/>
              <w:rPr>
                <w:color w:val="000000" w:themeColor="text1"/>
              </w:rPr>
            </w:pPr>
            <w:r w:rsidRPr="00286216">
              <w:rPr>
                <w:color w:val="000000" w:themeColor="text1"/>
              </w:rPr>
              <w:t>23) у статті 65</w:t>
            </w:r>
            <w:r w:rsidRPr="00286216">
              <w:rPr>
                <w:color w:val="000000" w:themeColor="text1"/>
                <w:vertAlign w:val="superscript"/>
              </w:rPr>
              <w:t>2</w:t>
            </w:r>
            <w:r w:rsidRPr="00286216">
              <w:rPr>
                <w:color w:val="000000" w:themeColor="text1"/>
              </w:rPr>
              <w:t>:</w:t>
            </w:r>
          </w:p>
          <w:p w14:paraId="72CF1577" w14:textId="77777777" w:rsidR="008C392C" w:rsidRPr="00286216" w:rsidRDefault="008C392C" w:rsidP="008C392C">
            <w:pPr>
              <w:pStyle w:val="StyleZakonu"/>
              <w:rPr>
                <w:color w:val="000000" w:themeColor="text1"/>
              </w:rPr>
            </w:pPr>
            <w:r w:rsidRPr="00286216">
              <w:rPr>
                <w:color w:val="000000" w:themeColor="text1"/>
              </w:rPr>
              <w:t>а) частину першу після слів «зобов’язана подати» доповнити словами «офіційним каналом зв’язку»;</w:t>
            </w:r>
          </w:p>
          <w:p w14:paraId="0D776A5F" w14:textId="77777777" w:rsidR="008C392C" w:rsidRPr="00286216" w:rsidRDefault="008C392C" w:rsidP="008C392C">
            <w:pPr>
              <w:pStyle w:val="StyleZakonu"/>
              <w:rPr>
                <w:color w:val="000000" w:themeColor="text1"/>
              </w:rPr>
            </w:pPr>
            <w:r w:rsidRPr="00286216">
              <w:rPr>
                <w:color w:val="000000" w:themeColor="text1"/>
              </w:rPr>
              <w:lastRenderedPageBreak/>
              <w:t>б) у пункті 3 частин п’ятої, шостої та сьомої слова «суб’єктом оціночної діяльності» виключити;</w:t>
            </w:r>
          </w:p>
          <w:p w14:paraId="393886F8" w14:textId="77777777" w:rsidR="008C392C" w:rsidRPr="00286216" w:rsidRDefault="008C392C" w:rsidP="008C392C">
            <w:pPr>
              <w:pStyle w:val="StyleZakonu"/>
              <w:rPr>
                <w:color w:val="000000" w:themeColor="text1"/>
              </w:rPr>
            </w:pPr>
            <w:r w:rsidRPr="00286216">
              <w:rPr>
                <w:color w:val="000000" w:themeColor="text1"/>
              </w:rPr>
              <w:t xml:space="preserve">в) абзац перший частини десятої доповнити реченням другим такого змісту: «Таке повідомлення Національної комісії з цінних паперів та фондового ринку  здійснюється офіційним каналом зв’язку»; </w:t>
            </w:r>
          </w:p>
          <w:p w14:paraId="489EA45F" w14:textId="77777777" w:rsidR="008C392C" w:rsidRPr="00286216" w:rsidRDefault="008C392C" w:rsidP="008C392C">
            <w:pPr>
              <w:pStyle w:val="StyleZakonu"/>
              <w:rPr>
                <w:color w:val="000000" w:themeColor="text1"/>
              </w:rPr>
            </w:pPr>
            <w:r w:rsidRPr="00286216">
              <w:rPr>
                <w:color w:val="000000" w:themeColor="text1"/>
              </w:rPr>
              <w:t xml:space="preserve">24) в абзаці восьмому частини першої статті 66 та  абзаці другому частини першої статті 69 слово «скликання» замінити словом «проведення»; </w:t>
            </w:r>
          </w:p>
          <w:p w14:paraId="0914A6E8" w14:textId="77777777" w:rsidR="008C392C" w:rsidRPr="00286216" w:rsidRDefault="008C392C" w:rsidP="008C392C">
            <w:pPr>
              <w:pStyle w:val="StyleZakonu"/>
              <w:rPr>
                <w:color w:val="000000" w:themeColor="text1"/>
              </w:rPr>
            </w:pPr>
            <w:r w:rsidRPr="00286216">
              <w:rPr>
                <w:color w:val="000000" w:themeColor="text1"/>
              </w:rPr>
              <w:t>25) в абзаці першому статті 82 слова «кожну фондову біржу, на якій цінні папери товариства допущені до торгів» замінити словами «кожного оператора організованого ринку капіталу, що здійснює управління організованим ринком, на якому акції товариства допущені до торгів»;</w:t>
            </w:r>
          </w:p>
          <w:p w14:paraId="7853D650" w14:textId="77777777" w:rsidR="008C392C" w:rsidRPr="00286216" w:rsidRDefault="008C392C" w:rsidP="008C392C">
            <w:pPr>
              <w:pStyle w:val="StyleZakonu"/>
              <w:spacing w:after="40"/>
              <w:rPr>
                <w:color w:val="000000" w:themeColor="text1"/>
              </w:rPr>
            </w:pPr>
            <w:r w:rsidRPr="00286216">
              <w:rPr>
                <w:color w:val="000000" w:themeColor="text1"/>
              </w:rPr>
              <w:t>26) пункти 8 та 15 частини шостої статті 83 після слова «подання» доповнити словами «офіційним каналом зв’язку»;</w:t>
            </w:r>
          </w:p>
          <w:p w14:paraId="1B08DDEE" w14:textId="08F7DE72" w:rsidR="008C392C" w:rsidRPr="00286216" w:rsidRDefault="008C392C" w:rsidP="008C392C">
            <w:pPr>
              <w:pStyle w:val="StyleZakonu"/>
              <w:rPr>
                <w:color w:val="000000" w:themeColor="text1"/>
              </w:rPr>
            </w:pPr>
          </w:p>
        </w:tc>
      </w:tr>
      <w:tr w:rsidR="008C392C" w:rsidRPr="00286216" w14:paraId="008ECEFE" w14:textId="77777777" w:rsidTr="00091AA5">
        <w:tc>
          <w:tcPr>
            <w:tcW w:w="576" w:type="dxa"/>
          </w:tcPr>
          <w:p w14:paraId="55D986E1" w14:textId="77777777" w:rsidR="008C392C" w:rsidRPr="00286216" w:rsidRDefault="008C392C" w:rsidP="008C392C">
            <w:pPr>
              <w:pStyle w:val="StyleWisnow"/>
              <w:rPr>
                <w:color w:val="000000" w:themeColor="text1"/>
              </w:rPr>
            </w:pPr>
            <w:bookmarkStart w:id="3404" w:name="n3534" w:colFirst="0" w:colLast="0"/>
            <w:bookmarkEnd w:id="3403"/>
            <w:r w:rsidRPr="00286216">
              <w:rPr>
                <w:color w:val="000000" w:themeColor="text1"/>
              </w:rPr>
              <w:lastRenderedPageBreak/>
              <w:t>3534.</w:t>
            </w:r>
          </w:p>
        </w:tc>
        <w:tc>
          <w:tcPr>
            <w:tcW w:w="4818" w:type="dxa"/>
          </w:tcPr>
          <w:p w14:paraId="151844C0" w14:textId="77777777" w:rsidR="008C392C" w:rsidRPr="00286216" w:rsidRDefault="008C392C" w:rsidP="008C392C">
            <w:pPr>
              <w:pStyle w:val="StyleZakonu"/>
              <w:rPr>
                <w:color w:val="000000" w:themeColor="text1"/>
              </w:rPr>
            </w:pPr>
            <w:r w:rsidRPr="00286216">
              <w:rPr>
                <w:color w:val="000000" w:themeColor="text1"/>
              </w:rPr>
              <w:t>17) пункт 4 частини другої статті 52 виключити;</w:t>
            </w:r>
          </w:p>
        </w:tc>
        <w:tc>
          <w:tcPr>
            <w:tcW w:w="3686" w:type="dxa"/>
          </w:tcPr>
          <w:p w14:paraId="5F123983" w14:textId="77777777" w:rsidR="008C392C" w:rsidRPr="00286216" w:rsidRDefault="008C392C" w:rsidP="008C392C">
            <w:pPr>
              <w:pStyle w:val="StyleProp"/>
              <w:rPr>
                <w:color w:val="000000" w:themeColor="text1"/>
                <w:szCs w:val="18"/>
              </w:rPr>
            </w:pPr>
          </w:p>
        </w:tc>
        <w:tc>
          <w:tcPr>
            <w:tcW w:w="1987" w:type="dxa"/>
          </w:tcPr>
          <w:p w14:paraId="59354688" w14:textId="77777777" w:rsidR="008C392C" w:rsidRPr="00286216" w:rsidRDefault="008C392C" w:rsidP="008C392C">
            <w:pPr>
              <w:pStyle w:val="StyleWisnow"/>
              <w:rPr>
                <w:color w:val="000000" w:themeColor="text1"/>
              </w:rPr>
            </w:pPr>
          </w:p>
        </w:tc>
        <w:tc>
          <w:tcPr>
            <w:tcW w:w="4818" w:type="dxa"/>
          </w:tcPr>
          <w:p w14:paraId="6BDFB77B" w14:textId="77777777" w:rsidR="008C392C" w:rsidRPr="00286216" w:rsidRDefault="008C392C" w:rsidP="008C392C">
            <w:pPr>
              <w:pStyle w:val="StyleZakonu"/>
              <w:rPr>
                <w:color w:val="000000" w:themeColor="text1"/>
              </w:rPr>
            </w:pPr>
          </w:p>
        </w:tc>
      </w:tr>
      <w:tr w:rsidR="008C392C" w:rsidRPr="00286216" w14:paraId="37FD22BA" w14:textId="77777777" w:rsidTr="00091AA5">
        <w:tc>
          <w:tcPr>
            <w:tcW w:w="576" w:type="dxa"/>
          </w:tcPr>
          <w:p w14:paraId="01A78992" w14:textId="77777777" w:rsidR="008C392C" w:rsidRPr="00286216" w:rsidRDefault="008C392C" w:rsidP="008C392C">
            <w:pPr>
              <w:pStyle w:val="StyleWisnow"/>
              <w:rPr>
                <w:color w:val="000000" w:themeColor="text1"/>
              </w:rPr>
            </w:pPr>
            <w:bookmarkStart w:id="3405" w:name="n3535" w:colFirst="0" w:colLast="0"/>
            <w:bookmarkEnd w:id="3404"/>
            <w:r w:rsidRPr="00286216">
              <w:rPr>
                <w:color w:val="000000" w:themeColor="text1"/>
              </w:rPr>
              <w:t>3535.</w:t>
            </w:r>
          </w:p>
        </w:tc>
        <w:tc>
          <w:tcPr>
            <w:tcW w:w="4818" w:type="dxa"/>
          </w:tcPr>
          <w:p w14:paraId="1355485C" w14:textId="77777777" w:rsidR="008C392C" w:rsidRPr="00286216" w:rsidRDefault="008C392C" w:rsidP="008C392C">
            <w:pPr>
              <w:pStyle w:val="StyleZakonu"/>
              <w:rPr>
                <w:color w:val="000000" w:themeColor="text1"/>
              </w:rPr>
            </w:pPr>
            <w:r w:rsidRPr="00286216">
              <w:rPr>
                <w:color w:val="000000" w:themeColor="text1"/>
              </w:rPr>
              <w:t>18) в частині першій статті 64 слова "(далі - значний пакет акцій)" виключити, а слова "10 і більше відсотків голосуючих акцій товариства" замінити словами "5 і більше відсотків простих акцій";</w:t>
            </w:r>
          </w:p>
        </w:tc>
        <w:tc>
          <w:tcPr>
            <w:tcW w:w="3686" w:type="dxa"/>
          </w:tcPr>
          <w:p w14:paraId="49C5B7BD" w14:textId="29D5DF0C" w:rsidR="008C392C" w:rsidRPr="00286216" w:rsidRDefault="008C392C" w:rsidP="008C392C">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1440</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4126B5B3" w14:textId="77777777" w:rsidR="008C392C" w:rsidRPr="00286216" w:rsidRDefault="008C392C" w:rsidP="008C392C">
            <w:pPr>
              <w:pStyle w:val="StyleProp"/>
              <w:spacing w:line="190" w:lineRule="exact"/>
              <w:rPr>
                <w:color w:val="000000" w:themeColor="text1"/>
                <w:spacing w:val="-2"/>
              </w:rPr>
            </w:pPr>
            <w:r w:rsidRPr="00286216">
              <w:rPr>
                <w:color w:val="000000" w:themeColor="text1"/>
              </w:rPr>
              <w:t xml:space="preserve">Стаття 64. Придбання значного пакета </w:t>
            </w:r>
            <w:r w:rsidRPr="00286216">
              <w:rPr>
                <w:color w:val="000000" w:themeColor="text1"/>
                <w:spacing w:val="-2"/>
              </w:rPr>
              <w:t xml:space="preserve">акцій товариства </w:t>
            </w:r>
          </w:p>
          <w:p w14:paraId="051562B5" w14:textId="77777777" w:rsidR="008C392C" w:rsidRPr="00286216" w:rsidRDefault="008C392C" w:rsidP="008C392C">
            <w:pPr>
              <w:pStyle w:val="StyleProp"/>
              <w:spacing w:line="190" w:lineRule="exact"/>
              <w:rPr>
                <w:color w:val="000000" w:themeColor="text1"/>
                <w:spacing w:val="-4"/>
                <w:szCs w:val="18"/>
              </w:rPr>
            </w:pPr>
            <w:r w:rsidRPr="00286216">
              <w:rPr>
                <w:color w:val="000000" w:themeColor="text1"/>
                <w:spacing w:val="-4"/>
              </w:rPr>
              <w:t>1. Особа (особи, що діють спільно), яка має намір придбати акції, що з урахуванням кількості акцій, які належать їй та її афілійованим особам, за наслідками такого придбання становитимуть 10 і більше відсотків простих акцій товариства, зобов'язана не п</w:t>
            </w:r>
            <w:r w:rsidRPr="00286216">
              <w:rPr>
                <w:color w:val="000000" w:themeColor="text1"/>
                <w:spacing w:val="-6"/>
              </w:rPr>
              <w:t xml:space="preserve">ізніше ніж за 30 днів до дати придбання відповідного пакета акцій подати товариству письмове повідомлення про свій намір та оприлюднити його. Оприлюднення </w:t>
            </w:r>
            <w:r w:rsidRPr="00286216">
              <w:rPr>
                <w:color w:val="000000" w:themeColor="text1"/>
                <w:spacing w:val="-9"/>
              </w:rPr>
              <w:t>повідомлення</w:t>
            </w:r>
            <w:r w:rsidRPr="00286216">
              <w:rPr>
                <w:color w:val="000000" w:themeColor="text1"/>
                <w:spacing w:val="-6"/>
              </w:rPr>
              <w:t xml:space="preserve"> здійснюється шляхом надання його Національній комісії з цінних паперів та </w:t>
            </w:r>
            <w:r w:rsidRPr="00286216">
              <w:rPr>
                <w:color w:val="000000" w:themeColor="text1"/>
                <w:spacing w:val="-10"/>
              </w:rPr>
              <w:t>фондового</w:t>
            </w:r>
            <w:r w:rsidRPr="00286216">
              <w:rPr>
                <w:color w:val="000000" w:themeColor="text1"/>
                <w:spacing w:val="-6"/>
              </w:rPr>
              <w:t xml:space="preserve"> </w:t>
            </w:r>
            <w:r w:rsidRPr="00286216">
              <w:rPr>
                <w:color w:val="000000" w:themeColor="text1"/>
                <w:spacing w:val="-8"/>
              </w:rPr>
              <w:t>ринку, кожному</w:t>
            </w:r>
            <w:r w:rsidRPr="00286216">
              <w:rPr>
                <w:color w:val="000000" w:themeColor="text1"/>
                <w:spacing w:val="-6"/>
              </w:rPr>
              <w:t xml:space="preserve"> </w:t>
            </w:r>
            <w:r w:rsidRPr="00286216">
              <w:rPr>
                <w:color w:val="000000" w:themeColor="text1"/>
                <w:spacing w:val="-8"/>
              </w:rPr>
              <w:t>оператору</w:t>
            </w:r>
            <w:r w:rsidRPr="00286216">
              <w:rPr>
                <w:color w:val="000000" w:themeColor="text1"/>
                <w:spacing w:val="-6"/>
              </w:rPr>
              <w:t xml:space="preserve">  </w:t>
            </w:r>
            <w:r w:rsidRPr="00286216">
              <w:rPr>
                <w:color w:val="000000" w:themeColor="text1"/>
                <w:spacing w:val="-4"/>
              </w:rPr>
              <w:t>організованого</w:t>
            </w:r>
            <w:r w:rsidRPr="00286216">
              <w:rPr>
                <w:color w:val="000000" w:themeColor="text1"/>
                <w:spacing w:val="-6"/>
              </w:rPr>
              <w:t xml:space="preserve"> ринку</w:t>
            </w:r>
            <w:r w:rsidRPr="00286216">
              <w:rPr>
                <w:color w:val="000000" w:themeColor="text1"/>
                <w:spacing w:val="-4"/>
              </w:rPr>
              <w:t xml:space="preserve"> капіталу, на якому акції товариства допущені до торгів, та </w:t>
            </w:r>
            <w:r w:rsidRPr="00286216">
              <w:rPr>
                <w:color w:val="000000" w:themeColor="text1"/>
                <w:spacing w:val="-6"/>
              </w:rPr>
              <w:t>опублікування в офіційному друкованому</w:t>
            </w:r>
            <w:r w:rsidRPr="00286216">
              <w:rPr>
                <w:color w:val="000000" w:themeColor="text1"/>
                <w:spacing w:val="-4"/>
              </w:rPr>
              <w:t xml:space="preserve"> </w:t>
            </w:r>
            <w:r w:rsidRPr="00286216">
              <w:rPr>
                <w:color w:val="000000" w:themeColor="text1"/>
                <w:spacing w:val="-6"/>
              </w:rPr>
              <w:t>органі.</w:t>
            </w:r>
          </w:p>
        </w:tc>
        <w:tc>
          <w:tcPr>
            <w:tcW w:w="1987" w:type="dxa"/>
          </w:tcPr>
          <w:p w14:paraId="20786298" w14:textId="77777777" w:rsidR="008C392C" w:rsidRPr="00286216" w:rsidRDefault="008C392C" w:rsidP="008C392C">
            <w:pPr>
              <w:pStyle w:val="StyleWisnow"/>
              <w:rPr>
                <w:color w:val="000000" w:themeColor="text1"/>
              </w:rPr>
            </w:pPr>
            <w:r w:rsidRPr="00286216">
              <w:rPr>
                <w:color w:val="000000" w:themeColor="text1"/>
              </w:rPr>
              <w:t>Враховано частково</w:t>
            </w:r>
          </w:p>
        </w:tc>
        <w:tc>
          <w:tcPr>
            <w:tcW w:w="4818" w:type="dxa"/>
          </w:tcPr>
          <w:p w14:paraId="456B1478" w14:textId="3122761B" w:rsidR="008C392C" w:rsidRPr="00286216" w:rsidRDefault="008C392C" w:rsidP="008C392C">
            <w:pPr>
              <w:pStyle w:val="StyleZakonu"/>
              <w:rPr>
                <w:color w:val="000000" w:themeColor="text1"/>
              </w:rPr>
            </w:pPr>
          </w:p>
        </w:tc>
      </w:tr>
      <w:tr w:rsidR="008C392C" w:rsidRPr="00286216" w14:paraId="4A900A5E" w14:textId="77777777" w:rsidTr="00091AA5">
        <w:tc>
          <w:tcPr>
            <w:tcW w:w="576" w:type="dxa"/>
          </w:tcPr>
          <w:p w14:paraId="0529F8F7" w14:textId="77777777" w:rsidR="008C392C" w:rsidRPr="00286216" w:rsidRDefault="008C392C" w:rsidP="008C392C">
            <w:pPr>
              <w:pStyle w:val="StyleWisnow"/>
              <w:rPr>
                <w:color w:val="000000" w:themeColor="text1"/>
              </w:rPr>
            </w:pPr>
            <w:bookmarkStart w:id="3406" w:name="n3536" w:colFirst="0" w:colLast="0"/>
            <w:bookmarkEnd w:id="3405"/>
            <w:r w:rsidRPr="00286216">
              <w:rPr>
                <w:color w:val="000000" w:themeColor="text1"/>
              </w:rPr>
              <w:t>3536.</w:t>
            </w:r>
          </w:p>
        </w:tc>
        <w:tc>
          <w:tcPr>
            <w:tcW w:w="4818" w:type="dxa"/>
          </w:tcPr>
          <w:p w14:paraId="3640C278" w14:textId="77777777" w:rsidR="008C392C" w:rsidRPr="00286216" w:rsidRDefault="008C392C" w:rsidP="008C392C">
            <w:pPr>
              <w:pStyle w:val="StyleZakonu"/>
              <w:rPr>
                <w:color w:val="000000" w:themeColor="text1"/>
              </w:rPr>
            </w:pPr>
            <w:r w:rsidRPr="00286216">
              <w:rPr>
                <w:color w:val="000000" w:themeColor="text1"/>
              </w:rPr>
              <w:t xml:space="preserve">19) в частині четвертій статті 65 слова "кожній фондовій біржі, на якій цінні папери (акції) товариства допущено до торгів" замінити словами "кожному оператору організованого ринку, який здійснює управління організованим ринком, на якому </w:t>
            </w:r>
            <w:r w:rsidRPr="00286216">
              <w:rPr>
                <w:color w:val="000000" w:themeColor="text1"/>
              </w:rPr>
              <w:lastRenderedPageBreak/>
              <w:t>цінні папери (акції) товариства допущені до торгів";</w:t>
            </w:r>
          </w:p>
        </w:tc>
        <w:tc>
          <w:tcPr>
            <w:tcW w:w="3686" w:type="dxa"/>
          </w:tcPr>
          <w:p w14:paraId="6D714BE9" w14:textId="3B4C3EB1" w:rsidR="008C392C" w:rsidRPr="00286216" w:rsidRDefault="008C392C" w:rsidP="008C392C">
            <w:pPr>
              <w:pStyle w:val="StyleAwt"/>
              <w:rPr>
                <w:color w:val="000000" w:themeColor="text1"/>
                <w:spacing w:val="-6"/>
                <w:szCs w:val="18"/>
              </w:rPr>
            </w:pPr>
            <w:r w:rsidRPr="00286216">
              <w:rPr>
                <w:color w:val="000000" w:themeColor="text1"/>
                <w:spacing w:val="-6"/>
                <w:szCs w:val="18"/>
              </w:rPr>
              <w:lastRenderedPageBreak/>
              <w:t>-</w:t>
            </w:r>
            <w:r w:rsidRPr="00286216">
              <w:rPr>
                <w:color w:val="000000" w:themeColor="text1"/>
                <w:spacing w:val="-6"/>
                <w:szCs w:val="18"/>
              </w:rPr>
              <w:fldChar w:fldCharType="begin"/>
            </w:r>
            <w:r w:rsidRPr="00286216">
              <w:rPr>
                <w:color w:val="000000" w:themeColor="text1"/>
                <w:spacing w:val="-6"/>
                <w:szCs w:val="18"/>
              </w:rPr>
              <w:instrText xml:space="preserve"> SEQ aa </w:instrText>
            </w:r>
            <w:r w:rsidRPr="00286216">
              <w:rPr>
                <w:color w:val="000000" w:themeColor="text1"/>
                <w:spacing w:val="-6"/>
                <w:szCs w:val="18"/>
              </w:rPr>
              <w:fldChar w:fldCharType="separate"/>
            </w:r>
            <w:r w:rsidR="00C46B29">
              <w:rPr>
                <w:noProof/>
                <w:color w:val="000000" w:themeColor="text1"/>
                <w:spacing w:val="-6"/>
                <w:szCs w:val="18"/>
              </w:rPr>
              <w:t>1441</w:t>
            </w:r>
            <w:r w:rsidRPr="00286216">
              <w:rPr>
                <w:color w:val="000000" w:themeColor="text1"/>
                <w:spacing w:val="-6"/>
                <w:szCs w:val="18"/>
              </w:rPr>
              <w:fldChar w:fldCharType="end"/>
            </w:r>
            <w:r w:rsidRPr="00286216">
              <w:rPr>
                <w:color w:val="000000" w:themeColor="text1"/>
                <w:spacing w:val="-6"/>
                <w:szCs w:val="18"/>
              </w:rPr>
              <w:t>-Н.д.Ніколаєнко А.І.(Реєстр.картка№405)</w:t>
            </w:r>
          </w:p>
          <w:p w14:paraId="2E7A0D13" w14:textId="77777777" w:rsidR="008C392C" w:rsidRPr="00286216" w:rsidRDefault="008C392C" w:rsidP="008C392C">
            <w:pPr>
              <w:pStyle w:val="StyleProp"/>
              <w:spacing w:line="180" w:lineRule="exact"/>
              <w:rPr>
                <w:color w:val="000000" w:themeColor="text1"/>
                <w:spacing w:val="-2"/>
              </w:rPr>
            </w:pPr>
            <w:r w:rsidRPr="00286216">
              <w:rPr>
                <w:color w:val="000000" w:themeColor="text1"/>
              </w:rPr>
              <w:t xml:space="preserve">Підпункт 19 пункту 40 розділ 3 викласти в </w:t>
            </w:r>
            <w:r w:rsidRPr="00286216">
              <w:rPr>
                <w:color w:val="000000" w:themeColor="text1"/>
                <w:spacing w:val="-2"/>
              </w:rPr>
              <w:t>такій редакції:</w:t>
            </w:r>
          </w:p>
          <w:p w14:paraId="1B546D3E" w14:textId="77777777" w:rsidR="008C392C" w:rsidRPr="00286216" w:rsidRDefault="008C392C" w:rsidP="008C392C">
            <w:pPr>
              <w:pStyle w:val="StyleProp"/>
              <w:spacing w:line="180" w:lineRule="exact"/>
              <w:rPr>
                <w:color w:val="000000" w:themeColor="text1"/>
              </w:rPr>
            </w:pPr>
            <w:r w:rsidRPr="00286216">
              <w:rPr>
                <w:color w:val="000000" w:themeColor="text1"/>
                <w:spacing w:val="-2"/>
              </w:rPr>
              <w:t xml:space="preserve">«19) в частині четвертій статті 65 слова "кожній фондовій біржі, на якій цінні папери (акції) товариства допущено до торгів" </w:t>
            </w:r>
            <w:r w:rsidRPr="00286216">
              <w:rPr>
                <w:color w:val="000000" w:themeColor="text1"/>
                <w:spacing w:val="-2"/>
              </w:rPr>
              <w:lastRenderedPageBreak/>
              <w:t>замінити словами "кожному оператору організованого ринку, який здійснює управління організованим ринком, на якому цінні папери товариства допущені до торгів";»</w:t>
            </w:r>
          </w:p>
        </w:tc>
        <w:tc>
          <w:tcPr>
            <w:tcW w:w="1987" w:type="dxa"/>
          </w:tcPr>
          <w:p w14:paraId="10EFA71D" w14:textId="22B43EC1" w:rsidR="008C392C" w:rsidRPr="00286216" w:rsidRDefault="008C392C" w:rsidP="00B87F8E">
            <w:pPr>
              <w:pStyle w:val="StyleWisnow"/>
              <w:rPr>
                <w:color w:val="000000" w:themeColor="text1"/>
              </w:rPr>
            </w:pPr>
            <w:r w:rsidRPr="00286216">
              <w:rPr>
                <w:color w:val="000000" w:themeColor="text1"/>
              </w:rPr>
              <w:lastRenderedPageBreak/>
              <w:t>Враховано</w:t>
            </w:r>
            <w:r w:rsidR="00B87F8E" w:rsidRPr="00286216">
              <w:rPr>
                <w:color w:val="000000" w:themeColor="text1"/>
              </w:rPr>
              <w:t xml:space="preserve"> редакційно</w:t>
            </w:r>
          </w:p>
        </w:tc>
        <w:tc>
          <w:tcPr>
            <w:tcW w:w="4818" w:type="dxa"/>
          </w:tcPr>
          <w:p w14:paraId="54EAB0DE" w14:textId="1219C513" w:rsidR="008C392C" w:rsidRPr="00286216" w:rsidRDefault="008C392C" w:rsidP="008C392C">
            <w:pPr>
              <w:pStyle w:val="StyleZakonu"/>
              <w:rPr>
                <w:color w:val="000000" w:themeColor="text1"/>
              </w:rPr>
            </w:pPr>
          </w:p>
        </w:tc>
      </w:tr>
      <w:tr w:rsidR="008C392C" w:rsidRPr="00286216" w14:paraId="3125B9F5" w14:textId="77777777" w:rsidTr="00091AA5">
        <w:tc>
          <w:tcPr>
            <w:tcW w:w="576" w:type="dxa"/>
          </w:tcPr>
          <w:p w14:paraId="12EA8A33" w14:textId="77777777" w:rsidR="008C392C" w:rsidRPr="00286216" w:rsidRDefault="008C392C" w:rsidP="008C392C">
            <w:pPr>
              <w:pStyle w:val="StyleWisnow"/>
              <w:rPr>
                <w:color w:val="000000" w:themeColor="text1"/>
              </w:rPr>
            </w:pPr>
            <w:bookmarkStart w:id="3407" w:name="n3537" w:colFirst="0" w:colLast="0"/>
            <w:bookmarkEnd w:id="3406"/>
            <w:r w:rsidRPr="00286216">
              <w:rPr>
                <w:color w:val="000000" w:themeColor="text1"/>
              </w:rPr>
              <w:t>3537.</w:t>
            </w:r>
          </w:p>
        </w:tc>
        <w:tc>
          <w:tcPr>
            <w:tcW w:w="4818" w:type="dxa"/>
          </w:tcPr>
          <w:p w14:paraId="4AC47608" w14:textId="77777777" w:rsidR="008C392C" w:rsidRPr="00286216" w:rsidRDefault="008C392C" w:rsidP="008C392C">
            <w:pPr>
              <w:pStyle w:val="StyleZakonu"/>
              <w:rPr>
                <w:color w:val="000000" w:themeColor="text1"/>
              </w:rPr>
            </w:pPr>
            <w:r w:rsidRPr="00286216">
              <w:rPr>
                <w:color w:val="000000" w:themeColor="text1"/>
              </w:rPr>
              <w:t>20) у пунктах 3 частини пʼятої, шостої та сьомої статті 65</w:t>
            </w:r>
            <w:r w:rsidRPr="00286216">
              <w:rPr>
                <w:color w:val="000000" w:themeColor="text1"/>
                <w:vertAlign w:val="superscript"/>
              </w:rPr>
              <w:t>2</w:t>
            </w:r>
            <w:r w:rsidRPr="00286216">
              <w:rPr>
                <w:color w:val="000000" w:themeColor="text1"/>
              </w:rPr>
              <w:t xml:space="preserve"> слова "суб’єктом оціночної діяльності" виключити;</w:t>
            </w:r>
          </w:p>
        </w:tc>
        <w:tc>
          <w:tcPr>
            <w:tcW w:w="3686" w:type="dxa"/>
          </w:tcPr>
          <w:p w14:paraId="6DF0F0E3" w14:textId="77777777" w:rsidR="008C392C" w:rsidRPr="00286216" w:rsidRDefault="008C392C" w:rsidP="008C392C">
            <w:pPr>
              <w:pStyle w:val="StyleProp"/>
              <w:rPr>
                <w:color w:val="000000" w:themeColor="text1"/>
              </w:rPr>
            </w:pPr>
          </w:p>
        </w:tc>
        <w:tc>
          <w:tcPr>
            <w:tcW w:w="1987" w:type="dxa"/>
          </w:tcPr>
          <w:p w14:paraId="4F562874" w14:textId="77777777" w:rsidR="008C392C" w:rsidRPr="00286216" w:rsidRDefault="008C392C" w:rsidP="008C392C">
            <w:pPr>
              <w:pStyle w:val="StyleWisnow"/>
              <w:rPr>
                <w:color w:val="000000" w:themeColor="text1"/>
              </w:rPr>
            </w:pPr>
          </w:p>
        </w:tc>
        <w:tc>
          <w:tcPr>
            <w:tcW w:w="4818" w:type="dxa"/>
          </w:tcPr>
          <w:p w14:paraId="375ACAE0" w14:textId="01AA2686" w:rsidR="008C392C" w:rsidRPr="00286216" w:rsidRDefault="008C392C" w:rsidP="008C392C">
            <w:pPr>
              <w:pStyle w:val="StyleZakonu"/>
              <w:rPr>
                <w:color w:val="000000" w:themeColor="text1"/>
              </w:rPr>
            </w:pPr>
          </w:p>
        </w:tc>
      </w:tr>
      <w:tr w:rsidR="008C392C" w:rsidRPr="00286216" w14:paraId="10FEDAED" w14:textId="77777777" w:rsidTr="00091AA5">
        <w:tc>
          <w:tcPr>
            <w:tcW w:w="576" w:type="dxa"/>
          </w:tcPr>
          <w:p w14:paraId="0F5BC9E4" w14:textId="77777777" w:rsidR="008C392C" w:rsidRPr="00286216" w:rsidRDefault="008C392C" w:rsidP="008C392C">
            <w:pPr>
              <w:pStyle w:val="StyleWisnow"/>
              <w:rPr>
                <w:color w:val="000000" w:themeColor="text1"/>
              </w:rPr>
            </w:pPr>
            <w:bookmarkStart w:id="3408" w:name="n3538" w:colFirst="0" w:colLast="0"/>
            <w:bookmarkEnd w:id="3407"/>
            <w:r w:rsidRPr="00286216">
              <w:rPr>
                <w:color w:val="000000" w:themeColor="text1"/>
              </w:rPr>
              <w:t>3538.</w:t>
            </w:r>
          </w:p>
        </w:tc>
        <w:tc>
          <w:tcPr>
            <w:tcW w:w="4818" w:type="dxa"/>
          </w:tcPr>
          <w:p w14:paraId="4F5CFA28" w14:textId="77777777" w:rsidR="008C392C" w:rsidRPr="00286216" w:rsidRDefault="008C392C" w:rsidP="008C392C">
            <w:pPr>
              <w:pStyle w:val="StyleZakonu"/>
              <w:rPr>
                <w:color w:val="000000" w:themeColor="text1"/>
              </w:rPr>
            </w:pPr>
            <w:r w:rsidRPr="00286216">
              <w:rPr>
                <w:color w:val="000000" w:themeColor="text1"/>
              </w:rPr>
              <w:t>21) у абзаці восьмому частини першої статті 66 та у абзаці другому частини першої статті 69 слово "скликання" замінити словом "проведення";</w:t>
            </w:r>
          </w:p>
        </w:tc>
        <w:tc>
          <w:tcPr>
            <w:tcW w:w="3686" w:type="dxa"/>
          </w:tcPr>
          <w:p w14:paraId="3CF5B190" w14:textId="77777777" w:rsidR="008C392C" w:rsidRPr="00286216" w:rsidRDefault="008C392C" w:rsidP="008C392C">
            <w:pPr>
              <w:pStyle w:val="StyleProp"/>
              <w:rPr>
                <w:color w:val="000000" w:themeColor="text1"/>
                <w:szCs w:val="18"/>
              </w:rPr>
            </w:pPr>
          </w:p>
        </w:tc>
        <w:tc>
          <w:tcPr>
            <w:tcW w:w="1987" w:type="dxa"/>
          </w:tcPr>
          <w:p w14:paraId="38A9C3C5" w14:textId="77777777" w:rsidR="008C392C" w:rsidRPr="00286216" w:rsidRDefault="008C392C" w:rsidP="008C392C">
            <w:pPr>
              <w:pStyle w:val="StyleWisnow"/>
              <w:rPr>
                <w:color w:val="000000" w:themeColor="text1"/>
              </w:rPr>
            </w:pPr>
          </w:p>
        </w:tc>
        <w:tc>
          <w:tcPr>
            <w:tcW w:w="4818" w:type="dxa"/>
          </w:tcPr>
          <w:p w14:paraId="63C829F7" w14:textId="77949421" w:rsidR="008C392C" w:rsidRPr="00286216" w:rsidRDefault="008C392C" w:rsidP="008C392C">
            <w:pPr>
              <w:pStyle w:val="StyleZakonu"/>
              <w:rPr>
                <w:color w:val="000000" w:themeColor="text1"/>
              </w:rPr>
            </w:pPr>
          </w:p>
        </w:tc>
      </w:tr>
      <w:tr w:rsidR="008C392C" w:rsidRPr="00286216" w14:paraId="01FC9AB5" w14:textId="77777777" w:rsidTr="00091AA5">
        <w:tc>
          <w:tcPr>
            <w:tcW w:w="576" w:type="dxa"/>
          </w:tcPr>
          <w:p w14:paraId="1C2162AF" w14:textId="77777777" w:rsidR="008C392C" w:rsidRPr="00286216" w:rsidRDefault="008C392C" w:rsidP="008C392C">
            <w:pPr>
              <w:pStyle w:val="StyleWisnow"/>
              <w:rPr>
                <w:color w:val="000000" w:themeColor="text1"/>
              </w:rPr>
            </w:pPr>
            <w:bookmarkStart w:id="3409" w:name="n3539" w:colFirst="0" w:colLast="0"/>
            <w:bookmarkEnd w:id="3408"/>
            <w:r w:rsidRPr="00286216">
              <w:rPr>
                <w:color w:val="000000" w:themeColor="text1"/>
              </w:rPr>
              <w:t>3539.</w:t>
            </w:r>
          </w:p>
        </w:tc>
        <w:tc>
          <w:tcPr>
            <w:tcW w:w="4818" w:type="dxa"/>
          </w:tcPr>
          <w:p w14:paraId="47D389F9" w14:textId="77777777" w:rsidR="008C392C" w:rsidRPr="00286216" w:rsidRDefault="008C392C" w:rsidP="008C392C">
            <w:pPr>
              <w:pStyle w:val="StyleZakonu"/>
              <w:rPr>
                <w:color w:val="000000" w:themeColor="text1"/>
              </w:rPr>
            </w:pPr>
            <w:r w:rsidRPr="00286216">
              <w:rPr>
                <w:color w:val="000000" w:themeColor="text1"/>
              </w:rPr>
              <w:t>22) у абзаці першому статті 82 слова "кожну фондову біржу, на якій цінні папери товариства допущені до торгів" замінити словами "кожного оператора організованого ринку капіталу, що здійснює управління організованим ринком, на якому акції товариства допущені до торгів";</w:t>
            </w:r>
          </w:p>
        </w:tc>
        <w:tc>
          <w:tcPr>
            <w:tcW w:w="3686" w:type="dxa"/>
          </w:tcPr>
          <w:p w14:paraId="1960EA5A" w14:textId="77777777" w:rsidR="008C392C" w:rsidRPr="00286216" w:rsidRDefault="008C392C" w:rsidP="008C392C">
            <w:pPr>
              <w:pStyle w:val="StyleProp"/>
              <w:rPr>
                <w:color w:val="000000" w:themeColor="text1"/>
                <w:szCs w:val="18"/>
              </w:rPr>
            </w:pPr>
          </w:p>
        </w:tc>
        <w:tc>
          <w:tcPr>
            <w:tcW w:w="1987" w:type="dxa"/>
          </w:tcPr>
          <w:p w14:paraId="360B50D1" w14:textId="77777777" w:rsidR="008C392C" w:rsidRPr="00286216" w:rsidRDefault="008C392C" w:rsidP="008C392C">
            <w:pPr>
              <w:pStyle w:val="StyleWisnow"/>
              <w:rPr>
                <w:color w:val="000000" w:themeColor="text1"/>
              </w:rPr>
            </w:pPr>
          </w:p>
        </w:tc>
        <w:tc>
          <w:tcPr>
            <w:tcW w:w="4818" w:type="dxa"/>
          </w:tcPr>
          <w:p w14:paraId="6B283EC2" w14:textId="1A03B1B3" w:rsidR="008C392C" w:rsidRPr="00286216" w:rsidRDefault="008C392C" w:rsidP="008C392C">
            <w:pPr>
              <w:pStyle w:val="StyleZakonu"/>
              <w:rPr>
                <w:color w:val="000000" w:themeColor="text1"/>
              </w:rPr>
            </w:pPr>
          </w:p>
        </w:tc>
      </w:tr>
      <w:tr w:rsidR="008C392C" w:rsidRPr="00286216" w14:paraId="7311BCB8" w14:textId="77777777" w:rsidTr="00091AA5">
        <w:tc>
          <w:tcPr>
            <w:tcW w:w="576" w:type="dxa"/>
          </w:tcPr>
          <w:p w14:paraId="52C7B98A" w14:textId="77777777" w:rsidR="008C392C" w:rsidRPr="00286216" w:rsidRDefault="008C392C" w:rsidP="008C392C">
            <w:pPr>
              <w:pStyle w:val="StyleWisnow"/>
              <w:rPr>
                <w:color w:val="000000" w:themeColor="text1"/>
              </w:rPr>
            </w:pPr>
            <w:bookmarkStart w:id="3410" w:name="n3540" w:colFirst="0" w:colLast="0"/>
            <w:bookmarkEnd w:id="3409"/>
            <w:r w:rsidRPr="00286216">
              <w:rPr>
                <w:color w:val="000000" w:themeColor="text1"/>
              </w:rPr>
              <w:t>3540.</w:t>
            </w:r>
          </w:p>
        </w:tc>
        <w:tc>
          <w:tcPr>
            <w:tcW w:w="4818" w:type="dxa"/>
          </w:tcPr>
          <w:p w14:paraId="5325CE48" w14:textId="77777777" w:rsidR="008C392C" w:rsidRPr="00286216" w:rsidRDefault="008C392C" w:rsidP="008C392C">
            <w:pPr>
              <w:pStyle w:val="StyleZakonu"/>
              <w:rPr>
                <w:color w:val="000000" w:themeColor="text1"/>
              </w:rPr>
            </w:pPr>
            <w:r w:rsidRPr="00286216">
              <w:rPr>
                <w:color w:val="000000" w:themeColor="text1"/>
              </w:rPr>
              <w:t>23) у тексті закону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6C678741" w14:textId="6A9EEC1F" w:rsidR="008C392C" w:rsidRPr="00286216" w:rsidRDefault="008C392C" w:rsidP="008C392C">
            <w:pPr>
              <w:pStyle w:val="StyleAwt"/>
              <w:rPr>
                <w:color w:val="000000" w:themeColor="text1"/>
                <w:spacing w:val="-5"/>
                <w:szCs w:val="18"/>
              </w:rPr>
            </w:pPr>
            <w:r w:rsidRPr="00286216">
              <w:rPr>
                <w:color w:val="000000" w:themeColor="text1"/>
                <w:spacing w:val="-5"/>
                <w:szCs w:val="18"/>
              </w:rPr>
              <w:t>-</w:t>
            </w:r>
            <w:r w:rsidRPr="00286216">
              <w:rPr>
                <w:color w:val="000000" w:themeColor="text1"/>
                <w:spacing w:val="-5"/>
                <w:szCs w:val="18"/>
              </w:rPr>
              <w:fldChar w:fldCharType="begin"/>
            </w:r>
            <w:r w:rsidRPr="00286216">
              <w:rPr>
                <w:color w:val="000000" w:themeColor="text1"/>
                <w:spacing w:val="-5"/>
                <w:szCs w:val="18"/>
              </w:rPr>
              <w:instrText xml:space="preserve"> SEQ aa </w:instrText>
            </w:r>
            <w:r w:rsidRPr="00286216">
              <w:rPr>
                <w:color w:val="000000" w:themeColor="text1"/>
                <w:spacing w:val="-5"/>
                <w:szCs w:val="18"/>
              </w:rPr>
              <w:fldChar w:fldCharType="separate"/>
            </w:r>
            <w:r w:rsidR="00C46B29">
              <w:rPr>
                <w:noProof/>
                <w:color w:val="000000" w:themeColor="text1"/>
                <w:spacing w:val="-5"/>
                <w:szCs w:val="18"/>
              </w:rPr>
              <w:t>1442</w:t>
            </w:r>
            <w:r w:rsidRPr="00286216">
              <w:rPr>
                <w:color w:val="000000" w:themeColor="text1"/>
                <w:spacing w:val="-5"/>
                <w:szCs w:val="18"/>
              </w:rPr>
              <w:fldChar w:fldCharType="end"/>
            </w:r>
            <w:r w:rsidRPr="00286216">
              <w:rPr>
                <w:color w:val="000000" w:themeColor="text1"/>
                <w:spacing w:val="-5"/>
                <w:szCs w:val="18"/>
              </w:rPr>
              <w:t>-Н.д.Бєлькова О.В. (Реєстр.картка №403)</w:t>
            </w:r>
          </w:p>
          <w:p w14:paraId="5ABCC66B"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Підпункт 23 пункту 23 розділу ІІІ викласти у такій редакції:</w:t>
            </w:r>
          </w:p>
          <w:p w14:paraId="1714CFD0" w14:textId="77777777" w:rsidR="008C392C" w:rsidRPr="00286216" w:rsidRDefault="008C392C" w:rsidP="008C392C">
            <w:pPr>
              <w:pStyle w:val="StyleProp"/>
              <w:spacing w:line="180" w:lineRule="exact"/>
              <w:rPr>
                <w:color w:val="000000" w:themeColor="text1"/>
              </w:rPr>
            </w:pPr>
            <w:r w:rsidRPr="00286216">
              <w:rPr>
                <w:color w:val="000000" w:themeColor="text1"/>
                <w:szCs w:val="18"/>
              </w:rPr>
              <w:t>"23) у тексті Ззакону слова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 ", а слова "торговець цінними паперами" в усіх відмінках і числах та "управління цінними паперами" в усіх відмінках замінити відповідно словами "інвестиційна фірма" у відповідному відмінку і числі та "управління портфелем фінансових інструментів"  у відповідному відмінку".»</w:t>
            </w:r>
          </w:p>
        </w:tc>
        <w:tc>
          <w:tcPr>
            <w:tcW w:w="1987" w:type="dxa"/>
          </w:tcPr>
          <w:p w14:paraId="14752958" w14:textId="77777777" w:rsidR="008C392C" w:rsidRPr="00286216" w:rsidRDefault="008C392C" w:rsidP="008C392C">
            <w:pPr>
              <w:pStyle w:val="StyleWisnow"/>
              <w:rPr>
                <w:color w:val="000000" w:themeColor="text1"/>
              </w:rPr>
            </w:pPr>
            <w:r w:rsidRPr="00286216">
              <w:rPr>
                <w:color w:val="000000" w:themeColor="text1"/>
              </w:rPr>
              <w:t>Враховано</w:t>
            </w:r>
          </w:p>
        </w:tc>
        <w:tc>
          <w:tcPr>
            <w:tcW w:w="4818" w:type="dxa"/>
          </w:tcPr>
          <w:p w14:paraId="6DBFD315" w14:textId="74A8D240" w:rsidR="008C392C" w:rsidRPr="00286216" w:rsidRDefault="008C392C" w:rsidP="008C392C">
            <w:pPr>
              <w:pStyle w:val="StyleZakonu"/>
              <w:rPr>
                <w:color w:val="000000" w:themeColor="text1"/>
              </w:rPr>
            </w:pPr>
            <w:r w:rsidRPr="00286216">
              <w:rPr>
                <w:color w:val="000000" w:themeColor="text1"/>
              </w:rPr>
              <w:t>27) у тексті Закону слова "у 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 замінити словами "у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 а слова "торговець цінними паперами" в усіх відмінках і числах та "управління цінними паперами" в усіх відмінках замінити відповідно словами "інвестиційна фірма" у відповідному відмінку і числі та "управління портфелем фінансових інструментів"  у відповідному відмінку.</w:t>
            </w:r>
          </w:p>
        </w:tc>
      </w:tr>
      <w:tr w:rsidR="008C392C" w:rsidRPr="00286216" w14:paraId="2DD98F35" w14:textId="77777777" w:rsidTr="00091AA5">
        <w:tc>
          <w:tcPr>
            <w:tcW w:w="576" w:type="dxa"/>
          </w:tcPr>
          <w:p w14:paraId="0A81D4DC" w14:textId="77777777" w:rsidR="008C392C" w:rsidRPr="00286216" w:rsidRDefault="008C392C" w:rsidP="008C392C">
            <w:pPr>
              <w:pStyle w:val="StyleWisnow"/>
              <w:rPr>
                <w:color w:val="000000" w:themeColor="text1"/>
              </w:rPr>
            </w:pPr>
            <w:bookmarkStart w:id="3411" w:name="n3541" w:colFirst="0" w:colLast="0"/>
            <w:bookmarkEnd w:id="3410"/>
            <w:r w:rsidRPr="00286216">
              <w:rPr>
                <w:color w:val="000000" w:themeColor="text1"/>
              </w:rPr>
              <w:t>3541.</w:t>
            </w:r>
          </w:p>
        </w:tc>
        <w:tc>
          <w:tcPr>
            <w:tcW w:w="4818" w:type="dxa"/>
          </w:tcPr>
          <w:p w14:paraId="31CFB2B2" w14:textId="77777777" w:rsidR="008C392C" w:rsidRPr="00286216" w:rsidRDefault="008C392C" w:rsidP="008C392C">
            <w:pPr>
              <w:pStyle w:val="StyleZakonu"/>
              <w:rPr>
                <w:color w:val="000000" w:themeColor="text1"/>
              </w:rPr>
            </w:pPr>
            <w:r w:rsidRPr="00286216">
              <w:rPr>
                <w:color w:val="000000" w:themeColor="text1"/>
              </w:rPr>
              <w:t>41. У Законі України "Про Фонд державного майна України" (Відомості Верховної Ради України, 2012 р., №28, ст. 311, із наступними змінами) в двадцять другому абзаці пункту 2 частини першої статті 5 слова "фондовими біржами" замінити словами "операторами організованого ринку капіталу".</w:t>
            </w:r>
          </w:p>
        </w:tc>
        <w:tc>
          <w:tcPr>
            <w:tcW w:w="3686" w:type="dxa"/>
          </w:tcPr>
          <w:p w14:paraId="0807280A" w14:textId="77777777" w:rsidR="008C392C" w:rsidRPr="00286216" w:rsidRDefault="008C392C" w:rsidP="008C392C">
            <w:pPr>
              <w:pStyle w:val="StyleProp"/>
              <w:rPr>
                <w:color w:val="000000" w:themeColor="text1"/>
                <w:szCs w:val="18"/>
              </w:rPr>
            </w:pPr>
          </w:p>
        </w:tc>
        <w:tc>
          <w:tcPr>
            <w:tcW w:w="1987" w:type="dxa"/>
          </w:tcPr>
          <w:p w14:paraId="1597C527" w14:textId="77777777" w:rsidR="008C392C" w:rsidRPr="00286216" w:rsidRDefault="008C392C" w:rsidP="008C392C">
            <w:pPr>
              <w:pStyle w:val="StyleWisnow"/>
              <w:rPr>
                <w:color w:val="000000" w:themeColor="text1"/>
              </w:rPr>
            </w:pPr>
          </w:p>
        </w:tc>
        <w:tc>
          <w:tcPr>
            <w:tcW w:w="4818" w:type="dxa"/>
          </w:tcPr>
          <w:p w14:paraId="7A732183" w14:textId="1C78838E" w:rsidR="008C392C" w:rsidRPr="00286216" w:rsidRDefault="008C392C" w:rsidP="008C392C">
            <w:pPr>
              <w:pStyle w:val="StyleZakonu"/>
              <w:rPr>
                <w:color w:val="000000" w:themeColor="text1"/>
              </w:rPr>
            </w:pPr>
            <w:r w:rsidRPr="00286216">
              <w:rPr>
                <w:color w:val="000000" w:themeColor="text1"/>
              </w:rPr>
              <w:t>39. В абзаці двадцять другому пункту 2 частини першої статті 5 Закону України "Про Фонд державного майна України" (Відомості Верховної Ради України, 2012 р., №28, ст. 311) слова "фондовими біржами" замінити словами "операторами організованих ринків капіталу".</w:t>
            </w:r>
          </w:p>
        </w:tc>
      </w:tr>
      <w:tr w:rsidR="008C392C" w:rsidRPr="00286216" w14:paraId="02199CDA" w14:textId="77777777" w:rsidTr="00091AA5">
        <w:tc>
          <w:tcPr>
            <w:tcW w:w="576" w:type="dxa"/>
          </w:tcPr>
          <w:p w14:paraId="0E57BE65" w14:textId="77777777" w:rsidR="008C392C" w:rsidRPr="00286216" w:rsidRDefault="008C392C" w:rsidP="008C392C">
            <w:pPr>
              <w:pStyle w:val="StyleWisnow"/>
              <w:rPr>
                <w:color w:val="000000" w:themeColor="text1"/>
              </w:rPr>
            </w:pPr>
            <w:bookmarkStart w:id="3412" w:name="n3542" w:colFirst="0" w:colLast="0"/>
            <w:bookmarkEnd w:id="3411"/>
            <w:r w:rsidRPr="00286216">
              <w:rPr>
                <w:color w:val="000000" w:themeColor="text1"/>
              </w:rPr>
              <w:t>3542.</w:t>
            </w:r>
          </w:p>
        </w:tc>
        <w:tc>
          <w:tcPr>
            <w:tcW w:w="4818" w:type="dxa"/>
          </w:tcPr>
          <w:p w14:paraId="572FEFDF" w14:textId="77777777" w:rsidR="008C392C" w:rsidRPr="00286216" w:rsidRDefault="008C392C" w:rsidP="008C392C">
            <w:pPr>
              <w:pStyle w:val="StyleZakonu"/>
              <w:rPr>
                <w:color w:val="000000" w:themeColor="text1"/>
              </w:rPr>
            </w:pPr>
            <w:r w:rsidRPr="00286216">
              <w:rPr>
                <w:color w:val="000000" w:themeColor="text1"/>
              </w:rPr>
              <w:t>42. У Законі України "Про систему гарантування вкладів фізичних осіб" (Відомості Верховної Ради України, 2012 р., №50, ст. 564, із наступними змінами):</w:t>
            </w:r>
          </w:p>
        </w:tc>
        <w:tc>
          <w:tcPr>
            <w:tcW w:w="3686" w:type="dxa"/>
          </w:tcPr>
          <w:p w14:paraId="65122D47" w14:textId="77777777" w:rsidR="008C392C" w:rsidRPr="00286216" w:rsidRDefault="008C392C" w:rsidP="008C392C">
            <w:pPr>
              <w:pStyle w:val="StyleProp"/>
              <w:rPr>
                <w:color w:val="000000" w:themeColor="text1"/>
                <w:szCs w:val="18"/>
              </w:rPr>
            </w:pPr>
          </w:p>
        </w:tc>
        <w:tc>
          <w:tcPr>
            <w:tcW w:w="1987" w:type="dxa"/>
          </w:tcPr>
          <w:p w14:paraId="055FF2E2" w14:textId="77777777" w:rsidR="008C392C" w:rsidRPr="00286216" w:rsidRDefault="008C392C" w:rsidP="008C392C">
            <w:pPr>
              <w:pStyle w:val="StyleWisnow"/>
              <w:rPr>
                <w:color w:val="000000" w:themeColor="text1"/>
              </w:rPr>
            </w:pPr>
          </w:p>
        </w:tc>
        <w:tc>
          <w:tcPr>
            <w:tcW w:w="4818" w:type="dxa"/>
          </w:tcPr>
          <w:p w14:paraId="4CF585C4" w14:textId="50B198BE" w:rsidR="008C392C" w:rsidRPr="00286216" w:rsidRDefault="008C392C" w:rsidP="008C392C">
            <w:pPr>
              <w:pStyle w:val="StyleZakonu"/>
              <w:rPr>
                <w:color w:val="000000" w:themeColor="text1"/>
              </w:rPr>
            </w:pPr>
            <w:r w:rsidRPr="00286216">
              <w:rPr>
                <w:color w:val="000000" w:themeColor="text1"/>
              </w:rPr>
              <w:t>40. У Законі України "Про систему гарантування вкладів фізичних осіб" (Відомості Верховної Ради України, 2012 р., №50, ст. 564):</w:t>
            </w:r>
          </w:p>
        </w:tc>
      </w:tr>
      <w:tr w:rsidR="008C392C" w:rsidRPr="00286216" w14:paraId="3E0E0857" w14:textId="77777777" w:rsidTr="00091AA5">
        <w:tc>
          <w:tcPr>
            <w:tcW w:w="576" w:type="dxa"/>
          </w:tcPr>
          <w:p w14:paraId="2BA31935" w14:textId="77777777" w:rsidR="008C392C" w:rsidRPr="00286216" w:rsidRDefault="008C392C" w:rsidP="008C392C">
            <w:pPr>
              <w:pStyle w:val="StyleWisnow"/>
              <w:rPr>
                <w:color w:val="000000" w:themeColor="text1"/>
              </w:rPr>
            </w:pPr>
            <w:bookmarkStart w:id="3413" w:name="n3543" w:colFirst="0" w:colLast="0"/>
            <w:bookmarkEnd w:id="3412"/>
            <w:r w:rsidRPr="00286216">
              <w:rPr>
                <w:color w:val="000000" w:themeColor="text1"/>
              </w:rPr>
              <w:lastRenderedPageBreak/>
              <w:t>3543.</w:t>
            </w:r>
          </w:p>
        </w:tc>
        <w:tc>
          <w:tcPr>
            <w:tcW w:w="4818" w:type="dxa"/>
          </w:tcPr>
          <w:p w14:paraId="2B0AE112" w14:textId="77777777" w:rsidR="008C392C" w:rsidRPr="00286216" w:rsidRDefault="008C392C" w:rsidP="008C392C">
            <w:pPr>
              <w:pStyle w:val="StyleZakonu"/>
              <w:rPr>
                <w:color w:val="000000" w:themeColor="text1"/>
              </w:rPr>
            </w:pPr>
            <w:r w:rsidRPr="00286216">
              <w:rPr>
                <w:color w:val="000000" w:themeColor="text1"/>
              </w:rPr>
              <w:t>1) статтю 1 доповнити двома частинами такого змісту:</w:t>
            </w:r>
          </w:p>
        </w:tc>
        <w:tc>
          <w:tcPr>
            <w:tcW w:w="3686" w:type="dxa"/>
          </w:tcPr>
          <w:p w14:paraId="5B693FB6" w14:textId="77777777" w:rsidR="008C392C" w:rsidRPr="00286216" w:rsidRDefault="008C392C" w:rsidP="008C392C">
            <w:pPr>
              <w:pStyle w:val="StyleProp"/>
              <w:rPr>
                <w:color w:val="000000" w:themeColor="text1"/>
                <w:szCs w:val="18"/>
              </w:rPr>
            </w:pPr>
          </w:p>
        </w:tc>
        <w:tc>
          <w:tcPr>
            <w:tcW w:w="1987" w:type="dxa"/>
          </w:tcPr>
          <w:p w14:paraId="6FBE1097" w14:textId="77777777" w:rsidR="008C392C" w:rsidRPr="00286216" w:rsidRDefault="008C392C" w:rsidP="008C392C">
            <w:pPr>
              <w:pStyle w:val="StyleWisnow"/>
              <w:rPr>
                <w:color w:val="000000" w:themeColor="text1"/>
              </w:rPr>
            </w:pPr>
          </w:p>
        </w:tc>
        <w:tc>
          <w:tcPr>
            <w:tcW w:w="4818" w:type="dxa"/>
          </w:tcPr>
          <w:p w14:paraId="698F6B23" w14:textId="7B1F1C4D" w:rsidR="008C392C" w:rsidRPr="00286216" w:rsidRDefault="008C392C" w:rsidP="008C392C">
            <w:pPr>
              <w:pStyle w:val="StyleZakonu"/>
              <w:rPr>
                <w:color w:val="000000" w:themeColor="text1"/>
              </w:rPr>
            </w:pPr>
            <w:r w:rsidRPr="00286216">
              <w:rPr>
                <w:color w:val="000000" w:themeColor="text1"/>
              </w:rPr>
              <w:t>1) статтю 1 доповнити  частинами четвертою та п’ятою такого змісту:</w:t>
            </w:r>
          </w:p>
        </w:tc>
      </w:tr>
      <w:tr w:rsidR="008C392C" w:rsidRPr="00286216" w14:paraId="73319CD4" w14:textId="77777777" w:rsidTr="00091AA5">
        <w:tc>
          <w:tcPr>
            <w:tcW w:w="576" w:type="dxa"/>
          </w:tcPr>
          <w:p w14:paraId="3B62B74A" w14:textId="77777777" w:rsidR="008C392C" w:rsidRPr="00286216" w:rsidRDefault="008C392C" w:rsidP="008C392C">
            <w:pPr>
              <w:pStyle w:val="StyleWisnow"/>
              <w:rPr>
                <w:color w:val="000000" w:themeColor="text1"/>
              </w:rPr>
            </w:pPr>
            <w:bookmarkStart w:id="3414" w:name="n3544" w:colFirst="0" w:colLast="0"/>
            <w:bookmarkEnd w:id="3413"/>
            <w:r w:rsidRPr="00286216">
              <w:rPr>
                <w:color w:val="000000" w:themeColor="text1"/>
              </w:rPr>
              <w:t>3544.</w:t>
            </w:r>
          </w:p>
        </w:tc>
        <w:tc>
          <w:tcPr>
            <w:tcW w:w="4818" w:type="dxa"/>
          </w:tcPr>
          <w:p w14:paraId="551E68E0" w14:textId="77777777" w:rsidR="008C392C" w:rsidRPr="00286216" w:rsidRDefault="008C392C" w:rsidP="008C392C">
            <w:pPr>
              <w:pStyle w:val="StyleZakonu"/>
              <w:rPr>
                <w:color w:val="000000" w:themeColor="text1"/>
              </w:rPr>
            </w:pPr>
            <w:r w:rsidRPr="00286216">
              <w:rPr>
                <w:color w:val="000000" w:themeColor="text1"/>
              </w:rPr>
              <w:t>"4. Відносини, що виникають у зв’язку із виведенням неплатоспроможних банків, які є стороною одного чи кількох деривативних контрактів, з ринку та ліквідацією таких банків, регулюються цим Законом з урахуванням особливостей, передбачених законодавством про ринки капіталу та організовані товарні ринки.</w:t>
            </w:r>
          </w:p>
        </w:tc>
        <w:tc>
          <w:tcPr>
            <w:tcW w:w="3686" w:type="dxa"/>
          </w:tcPr>
          <w:p w14:paraId="0AAA2ECC" w14:textId="28EFDE9E" w:rsidR="008C392C" w:rsidRPr="00286216" w:rsidRDefault="008C392C" w:rsidP="008C392C">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1443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DD1FE48" w14:textId="77777777" w:rsidR="008C392C" w:rsidRPr="00286216" w:rsidRDefault="008C392C" w:rsidP="008C392C">
            <w:pPr>
              <w:spacing w:line="200" w:lineRule="exact"/>
              <w:ind w:firstLine="227"/>
              <w:jc w:val="both"/>
              <w:rPr>
                <w:color w:val="000000" w:themeColor="text1"/>
                <w:szCs w:val="18"/>
              </w:rPr>
            </w:pPr>
            <w:r w:rsidRPr="00286216">
              <w:rPr>
                <w:color w:val="000000" w:themeColor="text1"/>
                <w:sz w:val="18"/>
              </w:rPr>
              <w:t>У абзаці 2 підпункту 1 пункту 42 розділу 4 (зміни до ст. 1 Закону України про систему гарантування вкладів фізичних осіб) після слова «які» доповнити словами «мають зобов’язання, що випливають з правочинів щодо фінансових інструментів та валютних цінностей, або».</w:t>
            </w:r>
          </w:p>
        </w:tc>
        <w:tc>
          <w:tcPr>
            <w:tcW w:w="1987" w:type="dxa"/>
          </w:tcPr>
          <w:p w14:paraId="3C14F682" w14:textId="77777777" w:rsidR="008C392C" w:rsidRPr="00286216" w:rsidRDefault="008C392C" w:rsidP="008C392C">
            <w:pPr>
              <w:pStyle w:val="StyleWisnow"/>
              <w:rPr>
                <w:color w:val="000000" w:themeColor="text1"/>
              </w:rPr>
            </w:pPr>
            <w:r w:rsidRPr="00286216">
              <w:rPr>
                <w:color w:val="000000" w:themeColor="text1"/>
              </w:rPr>
              <w:t>Враховано</w:t>
            </w:r>
          </w:p>
        </w:tc>
        <w:tc>
          <w:tcPr>
            <w:tcW w:w="4818" w:type="dxa"/>
          </w:tcPr>
          <w:p w14:paraId="0B41B7B7" w14:textId="1C2B89C6" w:rsidR="008C392C" w:rsidRPr="00286216" w:rsidRDefault="008C392C" w:rsidP="008C392C">
            <w:pPr>
              <w:pStyle w:val="StyleZakonu"/>
              <w:rPr>
                <w:color w:val="000000" w:themeColor="text1"/>
              </w:rPr>
            </w:pPr>
            <w:r w:rsidRPr="00286216">
              <w:rPr>
                <w:color w:val="000000" w:themeColor="text1"/>
              </w:rPr>
              <w:t>"4. Відносини, що виникають у зв’язку із виведенням неплатоспроможних банків, які мають зобов’язання, що випливають з правочинів щодо фінансових інструментів та валютних цінностей, або є стороною одного чи кількох деривативних контрактів, з ринку та ліквідацією таких банків, регулюються цим Законом з урахуванням особливостей, передбачених законодавством про ринки капіталу та організовані товарні ринки.</w:t>
            </w:r>
          </w:p>
        </w:tc>
      </w:tr>
      <w:tr w:rsidR="008C392C" w:rsidRPr="00286216" w14:paraId="0282D568" w14:textId="77777777" w:rsidTr="00091AA5">
        <w:tc>
          <w:tcPr>
            <w:tcW w:w="576" w:type="dxa"/>
          </w:tcPr>
          <w:p w14:paraId="515A5771" w14:textId="77777777" w:rsidR="008C392C" w:rsidRPr="00286216" w:rsidRDefault="008C392C" w:rsidP="008C392C">
            <w:pPr>
              <w:pStyle w:val="StyleWisnow"/>
              <w:rPr>
                <w:color w:val="000000" w:themeColor="text1"/>
              </w:rPr>
            </w:pPr>
            <w:bookmarkStart w:id="3415" w:name="n3545" w:colFirst="0" w:colLast="0"/>
            <w:bookmarkEnd w:id="3414"/>
            <w:r w:rsidRPr="00286216">
              <w:rPr>
                <w:color w:val="000000" w:themeColor="text1"/>
              </w:rPr>
              <w:t>3545.</w:t>
            </w:r>
          </w:p>
        </w:tc>
        <w:tc>
          <w:tcPr>
            <w:tcW w:w="4818" w:type="dxa"/>
          </w:tcPr>
          <w:p w14:paraId="11D96F95" w14:textId="77777777" w:rsidR="008C392C" w:rsidRPr="00286216" w:rsidRDefault="008C392C" w:rsidP="008C392C">
            <w:pPr>
              <w:pStyle w:val="StyleZakonu"/>
              <w:rPr>
                <w:color w:val="000000" w:themeColor="text1"/>
              </w:rPr>
            </w:pPr>
            <w:r w:rsidRPr="00286216">
              <w:rPr>
                <w:color w:val="000000" w:themeColor="text1"/>
              </w:rPr>
              <w:t>5. У випадку, якщо банк є емітентом облігацій або особою, яка надає забезпечення за облігаціями (далі разом - банк, який має зобов’язання за облігаціями), і за облігаціями відповідного випуску облігацій призначено адміністратора, відносини щодо ліквідації такого банку регулюються цим Законом з урахуванням особливостей, визначених Законом України "Про ринки капіталу та організовані товарні ринки"";</w:t>
            </w:r>
          </w:p>
        </w:tc>
        <w:tc>
          <w:tcPr>
            <w:tcW w:w="3686" w:type="dxa"/>
          </w:tcPr>
          <w:p w14:paraId="5D9A5F53" w14:textId="77777777" w:rsidR="008C392C" w:rsidRPr="00286216" w:rsidRDefault="008C392C" w:rsidP="008C392C">
            <w:pPr>
              <w:pStyle w:val="StyleProp"/>
              <w:rPr>
                <w:color w:val="000000" w:themeColor="text1"/>
                <w:szCs w:val="18"/>
              </w:rPr>
            </w:pPr>
          </w:p>
        </w:tc>
        <w:tc>
          <w:tcPr>
            <w:tcW w:w="1987" w:type="dxa"/>
          </w:tcPr>
          <w:p w14:paraId="0647D5D6" w14:textId="77777777" w:rsidR="008C392C" w:rsidRPr="00286216" w:rsidRDefault="008C392C" w:rsidP="008C392C">
            <w:pPr>
              <w:pStyle w:val="StyleWisnow"/>
              <w:rPr>
                <w:color w:val="000000" w:themeColor="text1"/>
              </w:rPr>
            </w:pPr>
          </w:p>
        </w:tc>
        <w:tc>
          <w:tcPr>
            <w:tcW w:w="4818" w:type="dxa"/>
          </w:tcPr>
          <w:p w14:paraId="0CE32EB0" w14:textId="3DDA30D9" w:rsidR="008C392C" w:rsidRPr="00286216" w:rsidRDefault="008C392C" w:rsidP="008C392C">
            <w:pPr>
              <w:pStyle w:val="StyleZakonu"/>
              <w:rPr>
                <w:color w:val="000000" w:themeColor="text1"/>
              </w:rPr>
            </w:pPr>
            <w:r w:rsidRPr="00286216">
              <w:rPr>
                <w:color w:val="000000" w:themeColor="text1"/>
              </w:rPr>
              <w:t>5. У разі якщо банк є емітентом облігацій або особою, яка надає забезпечення за облігаціями (далі  – банк, який має зобов’язання за облігаціями), і за облігаціями відповідного випуску призначено адміністратора, відносини щодо ліквідації такого банку регулюються цим Законом з урахуванням особливостей, передбачених Законом України "Про ринки капіталу та організовані товарні ринки";</w:t>
            </w:r>
          </w:p>
        </w:tc>
      </w:tr>
      <w:tr w:rsidR="008C392C" w:rsidRPr="00286216" w14:paraId="2BCD1A90" w14:textId="77777777" w:rsidTr="00091AA5">
        <w:tc>
          <w:tcPr>
            <w:tcW w:w="576" w:type="dxa"/>
          </w:tcPr>
          <w:p w14:paraId="7041A47C" w14:textId="77777777" w:rsidR="008C392C" w:rsidRPr="00286216" w:rsidRDefault="008C392C" w:rsidP="008C392C">
            <w:pPr>
              <w:pStyle w:val="StyleWisnow"/>
              <w:rPr>
                <w:color w:val="000000" w:themeColor="text1"/>
              </w:rPr>
            </w:pPr>
            <w:bookmarkStart w:id="3416" w:name="n3546" w:colFirst="0" w:colLast="0"/>
            <w:bookmarkEnd w:id="3415"/>
            <w:r w:rsidRPr="00286216">
              <w:rPr>
                <w:color w:val="000000" w:themeColor="text1"/>
              </w:rPr>
              <w:t>3546.</w:t>
            </w:r>
          </w:p>
        </w:tc>
        <w:tc>
          <w:tcPr>
            <w:tcW w:w="4818" w:type="dxa"/>
          </w:tcPr>
          <w:p w14:paraId="2150219C" w14:textId="77777777" w:rsidR="008C392C" w:rsidRPr="00286216" w:rsidRDefault="008C392C" w:rsidP="008C392C">
            <w:pPr>
              <w:pStyle w:val="StyleZakonu"/>
              <w:rPr>
                <w:color w:val="000000" w:themeColor="text1"/>
              </w:rPr>
            </w:pPr>
            <w:r w:rsidRPr="00286216">
              <w:rPr>
                <w:color w:val="000000" w:themeColor="text1"/>
              </w:rPr>
              <w:t>2) у статті 2:</w:t>
            </w:r>
          </w:p>
        </w:tc>
        <w:tc>
          <w:tcPr>
            <w:tcW w:w="3686" w:type="dxa"/>
          </w:tcPr>
          <w:p w14:paraId="1A26321E" w14:textId="77777777" w:rsidR="008C392C" w:rsidRPr="00286216" w:rsidRDefault="008C392C" w:rsidP="008C392C">
            <w:pPr>
              <w:pStyle w:val="StyleProp"/>
              <w:rPr>
                <w:color w:val="000000" w:themeColor="text1"/>
                <w:szCs w:val="18"/>
              </w:rPr>
            </w:pPr>
          </w:p>
        </w:tc>
        <w:tc>
          <w:tcPr>
            <w:tcW w:w="1987" w:type="dxa"/>
          </w:tcPr>
          <w:p w14:paraId="465D7793" w14:textId="77777777" w:rsidR="008C392C" w:rsidRPr="00286216" w:rsidRDefault="008C392C" w:rsidP="008C392C">
            <w:pPr>
              <w:pStyle w:val="StyleWisnow"/>
              <w:rPr>
                <w:color w:val="000000" w:themeColor="text1"/>
              </w:rPr>
            </w:pPr>
          </w:p>
        </w:tc>
        <w:tc>
          <w:tcPr>
            <w:tcW w:w="4818" w:type="dxa"/>
          </w:tcPr>
          <w:p w14:paraId="0AC1119B" w14:textId="2D5DE242" w:rsidR="008C392C" w:rsidRPr="00286216" w:rsidRDefault="008C392C" w:rsidP="008C392C">
            <w:pPr>
              <w:pStyle w:val="StyleZakonu"/>
              <w:rPr>
                <w:color w:val="000000" w:themeColor="text1"/>
              </w:rPr>
            </w:pPr>
            <w:r w:rsidRPr="00286216">
              <w:rPr>
                <w:color w:val="000000" w:themeColor="text1"/>
              </w:rPr>
              <w:t>2) у статті 2:</w:t>
            </w:r>
          </w:p>
        </w:tc>
      </w:tr>
      <w:tr w:rsidR="008C392C" w:rsidRPr="00286216" w14:paraId="446555D1" w14:textId="77777777" w:rsidTr="00091AA5">
        <w:tc>
          <w:tcPr>
            <w:tcW w:w="576" w:type="dxa"/>
          </w:tcPr>
          <w:p w14:paraId="7680C314" w14:textId="77777777" w:rsidR="008C392C" w:rsidRPr="00286216" w:rsidRDefault="008C392C" w:rsidP="008C392C">
            <w:pPr>
              <w:pStyle w:val="StyleWisnow"/>
              <w:rPr>
                <w:color w:val="000000" w:themeColor="text1"/>
              </w:rPr>
            </w:pPr>
            <w:bookmarkStart w:id="3417" w:name="n3547" w:colFirst="0" w:colLast="0"/>
            <w:bookmarkEnd w:id="3416"/>
            <w:r w:rsidRPr="00286216">
              <w:rPr>
                <w:color w:val="000000" w:themeColor="text1"/>
              </w:rPr>
              <w:t>3547.</w:t>
            </w:r>
          </w:p>
        </w:tc>
        <w:tc>
          <w:tcPr>
            <w:tcW w:w="4818" w:type="dxa"/>
          </w:tcPr>
          <w:p w14:paraId="44C8BC05" w14:textId="77777777" w:rsidR="008C392C" w:rsidRPr="00286216" w:rsidRDefault="008C392C" w:rsidP="008C392C">
            <w:pPr>
              <w:pStyle w:val="StyleZakonu"/>
              <w:rPr>
                <w:color w:val="000000" w:themeColor="text1"/>
              </w:rPr>
            </w:pPr>
            <w:r w:rsidRPr="00286216">
              <w:rPr>
                <w:color w:val="000000" w:themeColor="text1"/>
              </w:rPr>
              <w:t>а) пункт 5-4 частини першої після слів "майнових зобов’язань" доповнити словами ", а також адміністратор за випуском облігацій, який відповідно до положень Закону України "Про ринки капіталу та організовані товарні ринки" діє в інтересах власників облігацій, які мають документально підтверджені вимоги до банку щодо його майнових зобов’язань";</w:t>
            </w:r>
          </w:p>
        </w:tc>
        <w:tc>
          <w:tcPr>
            <w:tcW w:w="3686" w:type="dxa"/>
          </w:tcPr>
          <w:p w14:paraId="63E1D911" w14:textId="77777777" w:rsidR="008C392C" w:rsidRPr="00286216" w:rsidRDefault="008C392C" w:rsidP="008C392C">
            <w:pPr>
              <w:pStyle w:val="StyleProp"/>
              <w:rPr>
                <w:color w:val="000000" w:themeColor="text1"/>
                <w:szCs w:val="18"/>
              </w:rPr>
            </w:pPr>
          </w:p>
        </w:tc>
        <w:tc>
          <w:tcPr>
            <w:tcW w:w="1987" w:type="dxa"/>
          </w:tcPr>
          <w:p w14:paraId="6A51456D" w14:textId="77777777" w:rsidR="008C392C" w:rsidRPr="00286216" w:rsidRDefault="008C392C" w:rsidP="008C392C">
            <w:pPr>
              <w:pStyle w:val="StyleWisnow"/>
              <w:rPr>
                <w:color w:val="000000" w:themeColor="text1"/>
              </w:rPr>
            </w:pPr>
          </w:p>
        </w:tc>
        <w:tc>
          <w:tcPr>
            <w:tcW w:w="4818" w:type="dxa"/>
          </w:tcPr>
          <w:p w14:paraId="4AE16826" w14:textId="5FAE375B" w:rsidR="008C392C" w:rsidRPr="00286216" w:rsidRDefault="008C392C" w:rsidP="008C392C">
            <w:pPr>
              <w:pStyle w:val="StyleZakonu"/>
              <w:rPr>
                <w:color w:val="000000" w:themeColor="text1"/>
              </w:rPr>
            </w:pPr>
            <w:r w:rsidRPr="00286216">
              <w:rPr>
                <w:color w:val="000000" w:themeColor="text1"/>
              </w:rPr>
              <w:t xml:space="preserve">а) пункт 5 </w:t>
            </w:r>
            <w:r w:rsidRPr="00286216">
              <w:rPr>
                <w:color w:val="000000" w:themeColor="text1"/>
                <w:vertAlign w:val="superscript"/>
              </w:rPr>
              <w:t>4</w:t>
            </w:r>
            <w:r w:rsidRPr="00286216">
              <w:rPr>
                <w:color w:val="000000" w:themeColor="text1"/>
              </w:rPr>
              <w:t xml:space="preserve"> частини першої після слів "майнових зобов’язань" доповнити словами "а також адміністратор за випуском облігацій, який відповідно до Закону України "Про ринки капіталу та організовані товарні ринки" діє в інтересах власників облігацій, які мають документально підтверджені вимоги до банку щодо його майнових зобов’язань";</w:t>
            </w:r>
          </w:p>
        </w:tc>
      </w:tr>
      <w:tr w:rsidR="008C392C" w:rsidRPr="00286216" w14:paraId="04A01223" w14:textId="77777777" w:rsidTr="00091AA5">
        <w:tc>
          <w:tcPr>
            <w:tcW w:w="576" w:type="dxa"/>
          </w:tcPr>
          <w:p w14:paraId="7E9A0EDC" w14:textId="77777777" w:rsidR="008C392C" w:rsidRPr="00286216" w:rsidRDefault="008C392C" w:rsidP="008C392C">
            <w:pPr>
              <w:pStyle w:val="StyleWisnow"/>
              <w:rPr>
                <w:color w:val="000000" w:themeColor="text1"/>
              </w:rPr>
            </w:pPr>
            <w:bookmarkStart w:id="3418" w:name="n3548" w:colFirst="0" w:colLast="0"/>
            <w:bookmarkEnd w:id="3417"/>
            <w:r w:rsidRPr="00286216">
              <w:rPr>
                <w:color w:val="000000" w:themeColor="text1"/>
              </w:rPr>
              <w:t>3548.</w:t>
            </w:r>
          </w:p>
        </w:tc>
        <w:tc>
          <w:tcPr>
            <w:tcW w:w="4818" w:type="dxa"/>
          </w:tcPr>
          <w:p w14:paraId="77390940" w14:textId="77777777" w:rsidR="008C392C" w:rsidRPr="00286216" w:rsidRDefault="008C392C" w:rsidP="008C392C">
            <w:pPr>
              <w:pStyle w:val="StyleZakonu"/>
              <w:rPr>
                <w:color w:val="000000" w:themeColor="text1"/>
              </w:rPr>
            </w:pPr>
            <w:r w:rsidRPr="00286216">
              <w:rPr>
                <w:color w:val="000000" w:themeColor="text1"/>
              </w:rPr>
              <w:t>б) доповнити статтю частиною другою такого змісту:</w:t>
            </w:r>
          </w:p>
        </w:tc>
        <w:tc>
          <w:tcPr>
            <w:tcW w:w="3686" w:type="dxa"/>
          </w:tcPr>
          <w:p w14:paraId="6224DBDA" w14:textId="77777777" w:rsidR="008C392C" w:rsidRPr="00286216" w:rsidRDefault="008C392C" w:rsidP="008C392C">
            <w:pPr>
              <w:pStyle w:val="StyleProp"/>
              <w:rPr>
                <w:color w:val="000000" w:themeColor="text1"/>
                <w:szCs w:val="18"/>
              </w:rPr>
            </w:pPr>
          </w:p>
        </w:tc>
        <w:tc>
          <w:tcPr>
            <w:tcW w:w="1987" w:type="dxa"/>
          </w:tcPr>
          <w:p w14:paraId="3B1320EC" w14:textId="77777777" w:rsidR="008C392C" w:rsidRPr="00286216" w:rsidRDefault="008C392C" w:rsidP="008C392C">
            <w:pPr>
              <w:pStyle w:val="StyleWisnow"/>
              <w:rPr>
                <w:color w:val="000000" w:themeColor="text1"/>
              </w:rPr>
            </w:pPr>
          </w:p>
        </w:tc>
        <w:tc>
          <w:tcPr>
            <w:tcW w:w="4818" w:type="dxa"/>
          </w:tcPr>
          <w:p w14:paraId="67E2D8B2" w14:textId="2972460A" w:rsidR="008C392C" w:rsidRPr="00286216" w:rsidRDefault="008C392C" w:rsidP="008C392C">
            <w:pPr>
              <w:pStyle w:val="StyleZakonu"/>
              <w:rPr>
                <w:color w:val="000000" w:themeColor="text1"/>
              </w:rPr>
            </w:pPr>
            <w:r w:rsidRPr="00286216">
              <w:rPr>
                <w:color w:val="000000" w:themeColor="text1"/>
              </w:rPr>
              <w:t>б) доповнити частиною другою такого змісту:</w:t>
            </w:r>
          </w:p>
        </w:tc>
      </w:tr>
      <w:tr w:rsidR="008C392C" w:rsidRPr="00286216" w14:paraId="1A7D5B50" w14:textId="77777777" w:rsidTr="00091AA5">
        <w:tc>
          <w:tcPr>
            <w:tcW w:w="576" w:type="dxa"/>
          </w:tcPr>
          <w:p w14:paraId="0BE48AA8" w14:textId="77777777" w:rsidR="008C392C" w:rsidRPr="00286216" w:rsidRDefault="008C392C" w:rsidP="008C392C">
            <w:pPr>
              <w:pStyle w:val="StyleWisnow"/>
              <w:rPr>
                <w:color w:val="000000" w:themeColor="text1"/>
              </w:rPr>
            </w:pPr>
            <w:bookmarkStart w:id="3419" w:name="n3549" w:colFirst="0" w:colLast="0"/>
            <w:bookmarkEnd w:id="3418"/>
            <w:r w:rsidRPr="00286216">
              <w:rPr>
                <w:color w:val="000000" w:themeColor="text1"/>
              </w:rPr>
              <w:t>3549.</w:t>
            </w:r>
          </w:p>
        </w:tc>
        <w:tc>
          <w:tcPr>
            <w:tcW w:w="4818" w:type="dxa"/>
          </w:tcPr>
          <w:p w14:paraId="59A7FC83" w14:textId="77777777" w:rsidR="008C392C" w:rsidRPr="00286216" w:rsidRDefault="008C392C" w:rsidP="008C392C">
            <w:pPr>
              <w:pStyle w:val="StyleZakonu"/>
              <w:rPr>
                <w:color w:val="000000" w:themeColor="text1"/>
              </w:rPr>
            </w:pPr>
            <w:r w:rsidRPr="00286216">
              <w:rPr>
                <w:color w:val="000000" w:themeColor="text1"/>
              </w:rPr>
              <w:t>"2. Терміни "адміністратор за випуском облігацій" та "особа, яка надає забезпечення" вживаються у значеннях, наведених у Законі України "Про ринки капіталу та організовані товарні ринки".";</w:t>
            </w:r>
          </w:p>
        </w:tc>
        <w:tc>
          <w:tcPr>
            <w:tcW w:w="3686" w:type="dxa"/>
          </w:tcPr>
          <w:p w14:paraId="1C8F113F" w14:textId="77777777" w:rsidR="008C392C" w:rsidRPr="00286216" w:rsidRDefault="008C392C" w:rsidP="008C392C">
            <w:pPr>
              <w:pStyle w:val="StyleProp"/>
              <w:rPr>
                <w:color w:val="000000" w:themeColor="text1"/>
                <w:szCs w:val="18"/>
              </w:rPr>
            </w:pPr>
          </w:p>
        </w:tc>
        <w:tc>
          <w:tcPr>
            <w:tcW w:w="1987" w:type="dxa"/>
          </w:tcPr>
          <w:p w14:paraId="379567B1" w14:textId="77777777" w:rsidR="008C392C" w:rsidRPr="00286216" w:rsidRDefault="008C392C" w:rsidP="008C392C">
            <w:pPr>
              <w:pStyle w:val="StyleWisnow"/>
              <w:rPr>
                <w:color w:val="000000" w:themeColor="text1"/>
              </w:rPr>
            </w:pPr>
          </w:p>
        </w:tc>
        <w:tc>
          <w:tcPr>
            <w:tcW w:w="4818" w:type="dxa"/>
          </w:tcPr>
          <w:p w14:paraId="79B7C7EA" w14:textId="3006E041" w:rsidR="008C392C" w:rsidRPr="00286216" w:rsidRDefault="008C392C" w:rsidP="008C392C">
            <w:pPr>
              <w:pStyle w:val="StyleZakonu"/>
              <w:rPr>
                <w:color w:val="000000" w:themeColor="text1"/>
              </w:rPr>
            </w:pPr>
            <w:r w:rsidRPr="00286216">
              <w:rPr>
                <w:color w:val="000000" w:themeColor="text1"/>
              </w:rPr>
              <w:t>"2. Терміни "адміністратор за випуском облігацій" та "особа, яка надає забезпечення" у цьому Законі вживаються у значеннях, наведених у Законі України "Про ринки капіталу та організовані товарні ринки";</w:t>
            </w:r>
          </w:p>
        </w:tc>
      </w:tr>
      <w:tr w:rsidR="008C392C" w:rsidRPr="00286216" w14:paraId="10782A93" w14:textId="77777777" w:rsidTr="00091AA5">
        <w:tc>
          <w:tcPr>
            <w:tcW w:w="576" w:type="dxa"/>
          </w:tcPr>
          <w:p w14:paraId="5624D6EA" w14:textId="77777777" w:rsidR="008C392C" w:rsidRPr="00286216" w:rsidRDefault="008C392C" w:rsidP="008C392C">
            <w:pPr>
              <w:pStyle w:val="StyleWisnow"/>
              <w:rPr>
                <w:color w:val="000000" w:themeColor="text1"/>
              </w:rPr>
            </w:pPr>
            <w:bookmarkStart w:id="3420" w:name="n3550" w:colFirst="0" w:colLast="0"/>
            <w:bookmarkEnd w:id="3419"/>
            <w:r w:rsidRPr="00286216">
              <w:rPr>
                <w:color w:val="000000" w:themeColor="text1"/>
              </w:rPr>
              <w:t>3550.</w:t>
            </w:r>
          </w:p>
        </w:tc>
        <w:tc>
          <w:tcPr>
            <w:tcW w:w="4818" w:type="dxa"/>
          </w:tcPr>
          <w:p w14:paraId="5E55BA74" w14:textId="77777777" w:rsidR="008C392C" w:rsidRPr="00286216" w:rsidRDefault="008C392C" w:rsidP="008C392C">
            <w:pPr>
              <w:pStyle w:val="StyleZakonu"/>
              <w:rPr>
                <w:color w:val="000000" w:themeColor="text1"/>
              </w:rPr>
            </w:pPr>
            <w:r w:rsidRPr="00286216">
              <w:rPr>
                <w:color w:val="000000" w:themeColor="text1"/>
              </w:rPr>
              <w:t>3) пункт 3 частини другої статті 4 після слів "цінні папери України" доповнити словами "та облігації міжнародних фінансових організацій, що розміщуються на території України";</w:t>
            </w:r>
          </w:p>
        </w:tc>
        <w:tc>
          <w:tcPr>
            <w:tcW w:w="3686" w:type="dxa"/>
          </w:tcPr>
          <w:p w14:paraId="19DEE01D" w14:textId="77777777" w:rsidR="008C392C" w:rsidRPr="00286216" w:rsidRDefault="008C392C" w:rsidP="008C392C">
            <w:pPr>
              <w:pStyle w:val="StyleProp"/>
              <w:rPr>
                <w:color w:val="000000" w:themeColor="text1"/>
                <w:szCs w:val="18"/>
              </w:rPr>
            </w:pPr>
          </w:p>
        </w:tc>
        <w:tc>
          <w:tcPr>
            <w:tcW w:w="1987" w:type="dxa"/>
          </w:tcPr>
          <w:p w14:paraId="16488890" w14:textId="77777777" w:rsidR="008C392C" w:rsidRPr="00286216" w:rsidRDefault="008C392C" w:rsidP="008C392C">
            <w:pPr>
              <w:pStyle w:val="StyleWisnow"/>
              <w:rPr>
                <w:color w:val="000000" w:themeColor="text1"/>
              </w:rPr>
            </w:pPr>
          </w:p>
        </w:tc>
        <w:tc>
          <w:tcPr>
            <w:tcW w:w="4818" w:type="dxa"/>
          </w:tcPr>
          <w:p w14:paraId="77ABAF7C" w14:textId="350A343F" w:rsidR="008C392C" w:rsidRPr="00286216" w:rsidRDefault="008C392C" w:rsidP="008C392C">
            <w:pPr>
              <w:pStyle w:val="StyleZakonu"/>
              <w:rPr>
                <w:color w:val="000000" w:themeColor="text1"/>
              </w:rPr>
            </w:pPr>
            <w:r w:rsidRPr="00286216">
              <w:rPr>
                <w:color w:val="000000" w:themeColor="text1"/>
              </w:rPr>
              <w:t>3) пункт 3 частини другої статті 4 після слів "цінні папери України" доповнити словами "та облігації міжнародних фінансових організацій, що розміщуються на території України";</w:t>
            </w:r>
          </w:p>
        </w:tc>
      </w:tr>
      <w:tr w:rsidR="008C392C" w:rsidRPr="00286216" w14:paraId="5071213E" w14:textId="77777777" w:rsidTr="00091AA5">
        <w:tc>
          <w:tcPr>
            <w:tcW w:w="576" w:type="dxa"/>
          </w:tcPr>
          <w:p w14:paraId="6D060D0F" w14:textId="77777777" w:rsidR="008C392C" w:rsidRPr="00286216" w:rsidRDefault="008C392C" w:rsidP="008C392C">
            <w:pPr>
              <w:pStyle w:val="StyleWisnow"/>
              <w:rPr>
                <w:color w:val="000000" w:themeColor="text1"/>
              </w:rPr>
            </w:pPr>
            <w:bookmarkStart w:id="3421" w:name="n3551" w:colFirst="0" w:colLast="0"/>
            <w:bookmarkEnd w:id="3420"/>
            <w:r w:rsidRPr="00286216">
              <w:rPr>
                <w:color w:val="000000" w:themeColor="text1"/>
              </w:rPr>
              <w:t>3551.</w:t>
            </w:r>
          </w:p>
        </w:tc>
        <w:tc>
          <w:tcPr>
            <w:tcW w:w="4818" w:type="dxa"/>
          </w:tcPr>
          <w:p w14:paraId="1C2FF97A" w14:textId="77777777" w:rsidR="008C392C" w:rsidRPr="00286216" w:rsidRDefault="008C392C" w:rsidP="008C392C">
            <w:pPr>
              <w:pStyle w:val="StyleZakonu"/>
              <w:rPr>
                <w:color w:val="000000" w:themeColor="text1"/>
              </w:rPr>
            </w:pPr>
            <w:r w:rsidRPr="00286216">
              <w:rPr>
                <w:color w:val="000000" w:themeColor="text1"/>
              </w:rPr>
              <w:t>4) у пункті 3-1 частини другої статті 4 слова "розміщення облігацій" замінити словами "емісію корпоративних облігацій";</w:t>
            </w:r>
          </w:p>
        </w:tc>
        <w:tc>
          <w:tcPr>
            <w:tcW w:w="3686" w:type="dxa"/>
          </w:tcPr>
          <w:p w14:paraId="77828F10" w14:textId="77777777" w:rsidR="008C392C" w:rsidRPr="00286216" w:rsidRDefault="008C392C" w:rsidP="008C392C">
            <w:pPr>
              <w:pStyle w:val="StyleProp"/>
              <w:rPr>
                <w:color w:val="000000" w:themeColor="text1"/>
                <w:szCs w:val="18"/>
              </w:rPr>
            </w:pPr>
          </w:p>
        </w:tc>
        <w:tc>
          <w:tcPr>
            <w:tcW w:w="1987" w:type="dxa"/>
          </w:tcPr>
          <w:p w14:paraId="66B75F88" w14:textId="77777777" w:rsidR="008C392C" w:rsidRPr="00286216" w:rsidRDefault="008C392C" w:rsidP="008C392C">
            <w:pPr>
              <w:pStyle w:val="StyleWisnow"/>
              <w:rPr>
                <w:color w:val="000000" w:themeColor="text1"/>
              </w:rPr>
            </w:pPr>
          </w:p>
        </w:tc>
        <w:tc>
          <w:tcPr>
            <w:tcW w:w="4818" w:type="dxa"/>
          </w:tcPr>
          <w:p w14:paraId="23D8D507" w14:textId="37C4885A" w:rsidR="008C392C" w:rsidRPr="00286216" w:rsidRDefault="008C392C" w:rsidP="008C392C">
            <w:pPr>
              <w:pStyle w:val="StyleZakonu"/>
              <w:rPr>
                <w:color w:val="000000" w:themeColor="text1"/>
              </w:rPr>
            </w:pPr>
            <w:r w:rsidRPr="00286216">
              <w:rPr>
                <w:color w:val="000000" w:themeColor="text1"/>
              </w:rPr>
              <w:t>4) у пункті 3</w:t>
            </w:r>
            <w:r w:rsidRPr="00286216">
              <w:rPr>
                <w:color w:val="000000" w:themeColor="text1"/>
                <w:vertAlign w:val="superscript"/>
              </w:rPr>
              <w:t>1</w:t>
            </w:r>
            <w:r w:rsidRPr="00286216">
              <w:rPr>
                <w:color w:val="000000" w:themeColor="text1"/>
              </w:rPr>
              <w:t xml:space="preserve"> частини другої статті 4 слова "розміщення облігацій" замінити словами "емісію корпоративних облігацій";</w:t>
            </w:r>
          </w:p>
        </w:tc>
      </w:tr>
      <w:tr w:rsidR="008C392C" w:rsidRPr="00286216" w14:paraId="068A9247" w14:textId="77777777" w:rsidTr="00091AA5">
        <w:tc>
          <w:tcPr>
            <w:tcW w:w="576" w:type="dxa"/>
          </w:tcPr>
          <w:p w14:paraId="1F152E1A" w14:textId="77777777" w:rsidR="008C392C" w:rsidRPr="00286216" w:rsidRDefault="008C392C" w:rsidP="008C392C">
            <w:pPr>
              <w:pStyle w:val="StyleWisnow"/>
              <w:rPr>
                <w:color w:val="000000" w:themeColor="text1"/>
              </w:rPr>
            </w:pPr>
            <w:bookmarkStart w:id="3422" w:name="n3552" w:colFirst="0" w:colLast="0"/>
            <w:bookmarkEnd w:id="3421"/>
            <w:r w:rsidRPr="00286216">
              <w:rPr>
                <w:color w:val="000000" w:themeColor="text1"/>
              </w:rPr>
              <w:t>3552.</w:t>
            </w:r>
          </w:p>
        </w:tc>
        <w:tc>
          <w:tcPr>
            <w:tcW w:w="4818" w:type="dxa"/>
          </w:tcPr>
          <w:p w14:paraId="0A96687A" w14:textId="77777777" w:rsidR="008C392C" w:rsidRPr="00286216" w:rsidRDefault="008C392C" w:rsidP="008C392C">
            <w:pPr>
              <w:pStyle w:val="StyleZakonu"/>
              <w:rPr>
                <w:color w:val="000000" w:themeColor="text1"/>
              </w:rPr>
            </w:pPr>
            <w:r w:rsidRPr="00286216">
              <w:rPr>
                <w:color w:val="000000" w:themeColor="text1"/>
              </w:rPr>
              <w:t>5) пункт 6-1 частини першої статті 9 викласти в такій редакції:</w:t>
            </w:r>
          </w:p>
        </w:tc>
        <w:tc>
          <w:tcPr>
            <w:tcW w:w="3686" w:type="dxa"/>
          </w:tcPr>
          <w:p w14:paraId="4732B94E" w14:textId="77777777" w:rsidR="008C392C" w:rsidRPr="00286216" w:rsidRDefault="008C392C" w:rsidP="008C392C">
            <w:pPr>
              <w:pStyle w:val="StyleProp"/>
              <w:rPr>
                <w:color w:val="000000" w:themeColor="text1"/>
                <w:szCs w:val="18"/>
              </w:rPr>
            </w:pPr>
          </w:p>
        </w:tc>
        <w:tc>
          <w:tcPr>
            <w:tcW w:w="1987" w:type="dxa"/>
          </w:tcPr>
          <w:p w14:paraId="7FFBCCE2" w14:textId="77777777" w:rsidR="008C392C" w:rsidRPr="00286216" w:rsidRDefault="008C392C" w:rsidP="008C392C">
            <w:pPr>
              <w:pStyle w:val="StyleWisnow"/>
              <w:rPr>
                <w:color w:val="000000" w:themeColor="text1"/>
              </w:rPr>
            </w:pPr>
          </w:p>
        </w:tc>
        <w:tc>
          <w:tcPr>
            <w:tcW w:w="4818" w:type="dxa"/>
          </w:tcPr>
          <w:p w14:paraId="79EFFB5A" w14:textId="333C4153" w:rsidR="008C392C" w:rsidRPr="00286216" w:rsidRDefault="008C392C" w:rsidP="008C392C">
            <w:pPr>
              <w:pStyle w:val="StyleZakonu"/>
              <w:rPr>
                <w:color w:val="000000" w:themeColor="text1"/>
              </w:rPr>
            </w:pPr>
            <w:r w:rsidRPr="00286216">
              <w:rPr>
                <w:color w:val="000000" w:themeColor="text1"/>
              </w:rPr>
              <w:t>5) пункт 6</w:t>
            </w:r>
            <w:r w:rsidRPr="00286216">
              <w:rPr>
                <w:color w:val="000000" w:themeColor="text1"/>
                <w:vertAlign w:val="superscript"/>
              </w:rPr>
              <w:t>1</w:t>
            </w:r>
            <w:r w:rsidRPr="00286216">
              <w:rPr>
                <w:color w:val="000000" w:themeColor="text1"/>
              </w:rPr>
              <w:t xml:space="preserve"> частини першої статті 9 викласти в такій редакції:</w:t>
            </w:r>
          </w:p>
        </w:tc>
      </w:tr>
      <w:tr w:rsidR="008C392C" w:rsidRPr="00286216" w14:paraId="6C343FDC" w14:textId="77777777" w:rsidTr="00091AA5">
        <w:tc>
          <w:tcPr>
            <w:tcW w:w="576" w:type="dxa"/>
          </w:tcPr>
          <w:p w14:paraId="0D1A5489" w14:textId="77777777" w:rsidR="008C392C" w:rsidRPr="00286216" w:rsidRDefault="008C392C" w:rsidP="008C392C">
            <w:pPr>
              <w:pStyle w:val="StyleWisnow"/>
              <w:rPr>
                <w:color w:val="000000" w:themeColor="text1"/>
              </w:rPr>
            </w:pPr>
            <w:bookmarkStart w:id="3423" w:name="n3553" w:colFirst="0" w:colLast="0"/>
            <w:bookmarkEnd w:id="3422"/>
            <w:r w:rsidRPr="00286216">
              <w:rPr>
                <w:color w:val="000000" w:themeColor="text1"/>
              </w:rPr>
              <w:lastRenderedPageBreak/>
              <w:t>3553.</w:t>
            </w:r>
          </w:p>
        </w:tc>
        <w:tc>
          <w:tcPr>
            <w:tcW w:w="4818" w:type="dxa"/>
          </w:tcPr>
          <w:p w14:paraId="4629BBB9" w14:textId="77777777" w:rsidR="008C392C" w:rsidRPr="00286216" w:rsidRDefault="008C392C" w:rsidP="008C392C">
            <w:pPr>
              <w:pStyle w:val="StyleZakonu"/>
              <w:rPr>
                <w:color w:val="000000" w:themeColor="text1"/>
              </w:rPr>
            </w:pPr>
            <w:r w:rsidRPr="00286216">
              <w:rPr>
                <w:color w:val="000000" w:themeColor="text1"/>
              </w:rPr>
              <w:t>"6-1) погоджує рішення виконавчої дирекції про емісію корпоративних облігацій або видачу векселів Фонду та напрями використання коштів, залучених від їх емісії (видачі)";</w:t>
            </w:r>
          </w:p>
        </w:tc>
        <w:tc>
          <w:tcPr>
            <w:tcW w:w="3686" w:type="dxa"/>
          </w:tcPr>
          <w:p w14:paraId="4A138BA3" w14:textId="77777777" w:rsidR="008C392C" w:rsidRPr="00286216" w:rsidRDefault="008C392C" w:rsidP="008C392C">
            <w:pPr>
              <w:pStyle w:val="StyleProp"/>
              <w:rPr>
                <w:color w:val="000000" w:themeColor="text1"/>
                <w:szCs w:val="18"/>
              </w:rPr>
            </w:pPr>
          </w:p>
        </w:tc>
        <w:tc>
          <w:tcPr>
            <w:tcW w:w="1987" w:type="dxa"/>
          </w:tcPr>
          <w:p w14:paraId="6AE0C77A" w14:textId="77777777" w:rsidR="008C392C" w:rsidRPr="00286216" w:rsidRDefault="008C392C" w:rsidP="008C392C">
            <w:pPr>
              <w:pStyle w:val="StyleWisnow"/>
              <w:rPr>
                <w:color w:val="000000" w:themeColor="text1"/>
              </w:rPr>
            </w:pPr>
          </w:p>
        </w:tc>
        <w:tc>
          <w:tcPr>
            <w:tcW w:w="4818" w:type="dxa"/>
          </w:tcPr>
          <w:p w14:paraId="4C51764D" w14:textId="6A47E726" w:rsidR="008C392C" w:rsidRPr="00286216" w:rsidRDefault="008C392C" w:rsidP="008C392C">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погоджує рішення виконавчої дирекції про емісію корпоративних облігацій або видачу векселів Фонду та напрями використання коштів, залучених від їх емісії (видачі)";</w:t>
            </w:r>
          </w:p>
        </w:tc>
      </w:tr>
      <w:tr w:rsidR="008C392C" w:rsidRPr="00286216" w14:paraId="2399B1CB" w14:textId="77777777" w:rsidTr="00091AA5">
        <w:tc>
          <w:tcPr>
            <w:tcW w:w="576" w:type="dxa"/>
          </w:tcPr>
          <w:p w14:paraId="2B82DD99" w14:textId="77777777" w:rsidR="008C392C" w:rsidRPr="00286216" w:rsidRDefault="008C392C" w:rsidP="008C392C">
            <w:pPr>
              <w:pStyle w:val="StyleWisnow"/>
              <w:rPr>
                <w:color w:val="000000" w:themeColor="text1"/>
              </w:rPr>
            </w:pPr>
            <w:bookmarkStart w:id="3424" w:name="n3554" w:colFirst="0" w:colLast="0"/>
            <w:bookmarkEnd w:id="3423"/>
            <w:r w:rsidRPr="00286216">
              <w:rPr>
                <w:color w:val="000000" w:themeColor="text1"/>
              </w:rPr>
              <w:t>3554.</w:t>
            </w:r>
          </w:p>
        </w:tc>
        <w:tc>
          <w:tcPr>
            <w:tcW w:w="4818" w:type="dxa"/>
          </w:tcPr>
          <w:p w14:paraId="567C0807" w14:textId="77777777" w:rsidR="008C392C" w:rsidRPr="00286216" w:rsidRDefault="008C392C" w:rsidP="008C392C">
            <w:pPr>
              <w:pStyle w:val="StyleZakonu"/>
              <w:rPr>
                <w:color w:val="000000" w:themeColor="text1"/>
              </w:rPr>
            </w:pPr>
            <w:r w:rsidRPr="00286216">
              <w:rPr>
                <w:color w:val="000000" w:themeColor="text1"/>
              </w:rPr>
              <w:t>6) у пункті 1-1 частини другої статті 12:</w:t>
            </w:r>
          </w:p>
        </w:tc>
        <w:tc>
          <w:tcPr>
            <w:tcW w:w="3686" w:type="dxa"/>
          </w:tcPr>
          <w:p w14:paraId="6F4CDF63" w14:textId="3F3BDEDE" w:rsidR="008C392C" w:rsidRPr="00286216" w:rsidRDefault="008C392C" w:rsidP="008C392C">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1444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7322D9EA" w14:textId="08AF4DFC" w:rsidR="008C392C" w:rsidRPr="00286216" w:rsidRDefault="008C392C" w:rsidP="008C392C">
            <w:pPr>
              <w:pStyle w:val="StyleProp"/>
              <w:spacing w:line="180" w:lineRule="exact"/>
              <w:rPr>
                <w:color w:val="000000" w:themeColor="text1"/>
                <w:szCs w:val="18"/>
              </w:rPr>
            </w:pPr>
            <w:r w:rsidRPr="00286216">
              <w:rPr>
                <w:color w:val="000000" w:themeColor="text1"/>
                <w:szCs w:val="18"/>
              </w:rPr>
              <w:t>Підпункт 6 пункту 42 Розділу ІІІ Законопроекту викласти в такій редакції:</w:t>
            </w:r>
          </w:p>
          <w:p w14:paraId="1B0ED714"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«6) у статті 12:</w:t>
            </w:r>
          </w:p>
          <w:p w14:paraId="235DD17D"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 частину першу доповнити пунктом 14 такого змісту:</w:t>
            </w:r>
          </w:p>
          <w:p w14:paraId="613A7D3A"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«14) приймає рішення щодо користування майном (активами), у тому числі технічними можливостями банку, який виводиться з ринку, а також щодо задоволення вимог Фонду за рахунок майна (активів) банку відповідно до частини дев’ятої статті 36 цього Закону.»;</w:t>
            </w:r>
          </w:p>
          <w:p w14:paraId="1BE30B97"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 xml:space="preserve"> у частині другій:</w:t>
            </w:r>
          </w:p>
          <w:p w14:paraId="70405A72"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в першому реченні пункту 1-1 слова «розміщення облігацій» замінити словами «емісію корпоративних облігацій»;</w:t>
            </w:r>
          </w:p>
          <w:p w14:paraId="6FDAC943" w14:textId="77777777" w:rsidR="008C392C" w:rsidRPr="00286216" w:rsidRDefault="008C392C" w:rsidP="008C392C">
            <w:pPr>
              <w:pStyle w:val="StyleProp"/>
              <w:spacing w:line="180" w:lineRule="exact"/>
              <w:rPr>
                <w:color w:val="000000" w:themeColor="text1"/>
                <w:szCs w:val="18"/>
              </w:rPr>
            </w:pPr>
            <w:r w:rsidRPr="00286216">
              <w:rPr>
                <w:color w:val="000000" w:themeColor="text1"/>
                <w:szCs w:val="18"/>
              </w:rPr>
              <w:t>у другому реченні слова «Таке розміщення, видачу» замінити словами «Така емісія, видача»;»</w:t>
            </w:r>
          </w:p>
        </w:tc>
        <w:tc>
          <w:tcPr>
            <w:tcW w:w="1987" w:type="dxa"/>
          </w:tcPr>
          <w:p w14:paraId="3768074D" w14:textId="77777777" w:rsidR="008C392C" w:rsidRPr="00286216" w:rsidRDefault="008C392C" w:rsidP="00B87F8E">
            <w:pPr>
              <w:pStyle w:val="StyleWisnow"/>
              <w:spacing w:line="180" w:lineRule="exact"/>
              <w:rPr>
                <w:color w:val="000000" w:themeColor="text1"/>
              </w:rPr>
            </w:pPr>
            <w:r w:rsidRPr="00286216">
              <w:rPr>
                <w:color w:val="000000" w:themeColor="text1"/>
              </w:rPr>
              <w:t>Відхилено</w:t>
            </w:r>
          </w:p>
          <w:p w14:paraId="2CECE778" w14:textId="77777777" w:rsidR="008C392C" w:rsidRPr="00286216" w:rsidRDefault="008C392C" w:rsidP="00B87F8E">
            <w:pPr>
              <w:pStyle w:val="StyleWisnow"/>
              <w:spacing w:line="180" w:lineRule="exact"/>
              <w:rPr>
                <w:color w:val="000000" w:themeColor="text1"/>
              </w:rPr>
            </w:pPr>
            <w:r w:rsidRPr="00286216">
              <w:rPr>
                <w:color w:val="000000" w:themeColor="text1"/>
              </w:rPr>
              <w:t>не є предметом даного законопроекту</w:t>
            </w:r>
          </w:p>
          <w:p w14:paraId="1778BFE9" w14:textId="77777777" w:rsidR="008C392C" w:rsidRPr="00286216" w:rsidRDefault="008C392C" w:rsidP="008C392C">
            <w:pPr>
              <w:pStyle w:val="StyleWisnow"/>
              <w:rPr>
                <w:color w:val="000000" w:themeColor="text1"/>
              </w:rPr>
            </w:pPr>
          </w:p>
        </w:tc>
        <w:tc>
          <w:tcPr>
            <w:tcW w:w="4818" w:type="dxa"/>
          </w:tcPr>
          <w:p w14:paraId="0E6714E8" w14:textId="16717C5A" w:rsidR="008C392C" w:rsidRPr="00286216" w:rsidRDefault="008C392C" w:rsidP="008C392C">
            <w:pPr>
              <w:pStyle w:val="StyleZakonu"/>
              <w:rPr>
                <w:color w:val="000000" w:themeColor="text1"/>
              </w:rPr>
            </w:pPr>
            <w:r w:rsidRPr="00286216">
              <w:rPr>
                <w:color w:val="000000" w:themeColor="text1"/>
              </w:rPr>
              <w:t>6) у пункті 1</w:t>
            </w:r>
            <w:r w:rsidRPr="00286216">
              <w:rPr>
                <w:color w:val="000000" w:themeColor="text1"/>
                <w:vertAlign w:val="superscript"/>
              </w:rPr>
              <w:t>1</w:t>
            </w:r>
            <w:r w:rsidRPr="00286216">
              <w:rPr>
                <w:color w:val="000000" w:themeColor="text1"/>
              </w:rPr>
              <w:t xml:space="preserve"> частини другої статті 12:</w:t>
            </w:r>
          </w:p>
        </w:tc>
      </w:tr>
      <w:tr w:rsidR="008C392C" w:rsidRPr="00286216" w14:paraId="406629A6" w14:textId="77777777" w:rsidTr="00091AA5">
        <w:tc>
          <w:tcPr>
            <w:tcW w:w="576" w:type="dxa"/>
          </w:tcPr>
          <w:p w14:paraId="5A468459" w14:textId="77777777" w:rsidR="008C392C" w:rsidRPr="00286216" w:rsidRDefault="008C392C" w:rsidP="008C392C">
            <w:pPr>
              <w:pStyle w:val="StyleWisnow"/>
              <w:rPr>
                <w:color w:val="000000" w:themeColor="text1"/>
              </w:rPr>
            </w:pPr>
            <w:bookmarkStart w:id="3425" w:name="n3555" w:colFirst="0" w:colLast="0"/>
            <w:bookmarkEnd w:id="3424"/>
            <w:r w:rsidRPr="00286216">
              <w:rPr>
                <w:color w:val="000000" w:themeColor="text1"/>
              </w:rPr>
              <w:t>3555.</w:t>
            </w:r>
          </w:p>
        </w:tc>
        <w:tc>
          <w:tcPr>
            <w:tcW w:w="4818" w:type="dxa"/>
          </w:tcPr>
          <w:p w14:paraId="5E502EBC" w14:textId="77777777" w:rsidR="008C392C" w:rsidRPr="00286216" w:rsidRDefault="008C392C" w:rsidP="008C392C">
            <w:pPr>
              <w:pStyle w:val="StyleZakonu"/>
              <w:rPr>
                <w:color w:val="000000" w:themeColor="text1"/>
              </w:rPr>
            </w:pPr>
            <w:r w:rsidRPr="00286216">
              <w:rPr>
                <w:color w:val="000000" w:themeColor="text1"/>
              </w:rPr>
              <w:t>а) в першому реченні слова "розміщення облігацій" замінити словами "емісію корпоративних облігацій";</w:t>
            </w:r>
          </w:p>
        </w:tc>
        <w:tc>
          <w:tcPr>
            <w:tcW w:w="3686" w:type="dxa"/>
          </w:tcPr>
          <w:p w14:paraId="451DCB6C" w14:textId="77777777" w:rsidR="008C392C" w:rsidRPr="00286216" w:rsidRDefault="008C392C" w:rsidP="008C392C">
            <w:pPr>
              <w:pStyle w:val="StyleProp"/>
              <w:rPr>
                <w:color w:val="000000" w:themeColor="text1"/>
                <w:szCs w:val="18"/>
              </w:rPr>
            </w:pPr>
          </w:p>
        </w:tc>
        <w:tc>
          <w:tcPr>
            <w:tcW w:w="1987" w:type="dxa"/>
          </w:tcPr>
          <w:p w14:paraId="2311C202" w14:textId="77777777" w:rsidR="008C392C" w:rsidRPr="00286216" w:rsidRDefault="008C392C" w:rsidP="008C392C">
            <w:pPr>
              <w:pStyle w:val="StyleWisnow"/>
              <w:rPr>
                <w:color w:val="000000" w:themeColor="text1"/>
              </w:rPr>
            </w:pPr>
          </w:p>
        </w:tc>
        <w:tc>
          <w:tcPr>
            <w:tcW w:w="4818" w:type="dxa"/>
          </w:tcPr>
          <w:p w14:paraId="7B4C7D0C" w14:textId="449C1BCB" w:rsidR="008C392C" w:rsidRPr="00286216" w:rsidRDefault="008C392C" w:rsidP="008C392C">
            <w:pPr>
              <w:pStyle w:val="StyleZakonu"/>
              <w:rPr>
                <w:color w:val="000000" w:themeColor="text1"/>
              </w:rPr>
            </w:pPr>
            <w:r w:rsidRPr="00286216">
              <w:rPr>
                <w:color w:val="000000" w:themeColor="text1"/>
              </w:rPr>
              <w:t>а) у першому реченні слова "розміщення облігацій" замінити словами "емісію корпоративних облігацій";</w:t>
            </w:r>
          </w:p>
        </w:tc>
      </w:tr>
      <w:tr w:rsidR="008E6EDB" w:rsidRPr="00286216" w14:paraId="233FEAC0" w14:textId="77777777" w:rsidTr="00091AA5">
        <w:tc>
          <w:tcPr>
            <w:tcW w:w="576" w:type="dxa"/>
          </w:tcPr>
          <w:p w14:paraId="2A589B8C" w14:textId="77777777" w:rsidR="008E6EDB" w:rsidRPr="00286216" w:rsidRDefault="008E6EDB" w:rsidP="008E6EDB">
            <w:pPr>
              <w:pStyle w:val="StyleWisnow"/>
              <w:rPr>
                <w:color w:val="000000" w:themeColor="text1"/>
              </w:rPr>
            </w:pPr>
            <w:bookmarkStart w:id="3426" w:name="n3556" w:colFirst="0" w:colLast="0"/>
            <w:bookmarkEnd w:id="3425"/>
            <w:r w:rsidRPr="00286216">
              <w:rPr>
                <w:color w:val="000000" w:themeColor="text1"/>
              </w:rPr>
              <w:t>3556.</w:t>
            </w:r>
          </w:p>
        </w:tc>
        <w:tc>
          <w:tcPr>
            <w:tcW w:w="4818" w:type="dxa"/>
          </w:tcPr>
          <w:p w14:paraId="24542653" w14:textId="77777777" w:rsidR="008E6EDB" w:rsidRPr="00286216" w:rsidRDefault="008E6EDB" w:rsidP="008E6EDB">
            <w:pPr>
              <w:pStyle w:val="StyleZakonu"/>
              <w:rPr>
                <w:color w:val="000000" w:themeColor="text1"/>
              </w:rPr>
            </w:pPr>
            <w:r w:rsidRPr="00286216">
              <w:rPr>
                <w:color w:val="000000" w:themeColor="text1"/>
              </w:rPr>
              <w:t>б) у другому реченні слова "Таке розміщення, видачу" замінити словами "Така емісія, видача";</w:t>
            </w:r>
          </w:p>
        </w:tc>
        <w:tc>
          <w:tcPr>
            <w:tcW w:w="3686" w:type="dxa"/>
          </w:tcPr>
          <w:p w14:paraId="4B4EF72C" w14:textId="77777777" w:rsidR="008E6EDB" w:rsidRPr="00286216" w:rsidRDefault="008E6EDB" w:rsidP="008E6EDB">
            <w:pPr>
              <w:pStyle w:val="StyleProp"/>
              <w:rPr>
                <w:color w:val="000000" w:themeColor="text1"/>
                <w:szCs w:val="18"/>
              </w:rPr>
            </w:pPr>
          </w:p>
        </w:tc>
        <w:tc>
          <w:tcPr>
            <w:tcW w:w="1987" w:type="dxa"/>
          </w:tcPr>
          <w:p w14:paraId="2F6D3597" w14:textId="77777777" w:rsidR="008E6EDB" w:rsidRPr="00286216" w:rsidRDefault="008E6EDB" w:rsidP="008E6EDB">
            <w:pPr>
              <w:pStyle w:val="StyleWisnow"/>
              <w:rPr>
                <w:color w:val="000000" w:themeColor="text1"/>
              </w:rPr>
            </w:pPr>
          </w:p>
        </w:tc>
        <w:tc>
          <w:tcPr>
            <w:tcW w:w="4818" w:type="dxa"/>
          </w:tcPr>
          <w:p w14:paraId="0BADBD32" w14:textId="77777777" w:rsidR="008E6EDB" w:rsidRPr="00286216" w:rsidRDefault="008E6EDB" w:rsidP="008E6EDB">
            <w:pPr>
              <w:pStyle w:val="StyleZakonu"/>
              <w:rPr>
                <w:color w:val="000000" w:themeColor="text1"/>
              </w:rPr>
            </w:pPr>
            <w:r w:rsidRPr="00286216">
              <w:rPr>
                <w:color w:val="000000" w:themeColor="text1"/>
              </w:rPr>
              <w:t>б) у другому реченні слова "Таке розміщення, видачу" замінити словами "Така емісія, видача";</w:t>
            </w:r>
          </w:p>
        </w:tc>
      </w:tr>
      <w:tr w:rsidR="008E6EDB" w:rsidRPr="00286216" w14:paraId="24560379" w14:textId="77777777" w:rsidTr="00091AA5">
        <w:tc>
          <w:tcPr>
            <w:tcW w:w="576" w:type="dxa"/>
          </w:tcPr>
          <w:p w14:paraId="661D9B71" w14:textId="77777777" w:rsidR="008E6EDB" w:rsidRPr="00286216" w:rsidRDefault="008E6EDB" w:rsidP="008E6EDB">
            <w:pPr>
              <w:pStyle w:val="StyleWisnow"/>
              <w:rPr>
                <w:color w:val="000000" w:themeColor="text1"/>
              </w:rPr>
            </w:pPr>
            <w:bookmarkStart w:id="3427" w:name="n3557" w:colFirst="0" w:colLast="0"/>
            <w:bookmarkEnd w:id="3426"/>
            <w:r w:rsidRPr="00286216">
              <w:rPr>
                <w:color w:val="000000" w:themeColor="text1"/>
              </w:rPr>
              <w:t>3557.</w:t>
            </w:r>
          </w:p>
        </w:tc>
        <w:tc>
          <w:tcPr>
            <w:tcW w:w="4818" w:type="dxa"/>
          </w:tcPr>
          <w:p w14:paraId="18E13A22" w14:textId="77777777" w:rsidR="008E6EDB" w:rsidRPr="00286216" w:rsidRDefault="008E6EDB" w:rsidP="008E6EDB">
            <w:pPr>
              <w:pStyle w:val="StyleZakonu"/>
              <w:rPr>
                <w:color w:val="000000" w:themeColor="text1"/>
              </w:rPr>
            </w:pPr>
            <w:r w:rsidRPr="00286216">
              <w:rPr>
                <w:color w:val="000000" w:themeColor="text1"/>
              </w:rPr>
              <w:t>7) у статті 19:</w:t>
            </w:r>
          </w:p>
        </w:tc>
        <w:tc>
          <w:tcPr>
            <w:tcW w:w="3686" w:type="dxa"/>
          </w:tcPr>
          <w:p w14:paraId="137FFC67" w14:textId="77777777" w:rsidR="008E6EDB" w:rsidRPr="00286216" w:rsidRDefault="008E6EDB" w:rsidP="008E6EDB">
            <w:pPr>
              <w:pStyle w:val="StyleProp"/>
              <w:rPr>
                <w:color w:val="000000" w:themeColor="text1"/>
                <w:szCs w:val="18"/>
              </w:rPr>
            </w:pPr>
          </w:p>
        </w:tc>
        <w:tc>
          <w:tcPr>
            <w:tcW w:w="1987" w:type="dxa"/>
          </w:tcPr>
          <w:p w14:paraId="3002AAEC" w14:textId="77777777" w:rsidR="008E6EDB" w:rsidRPr="00286216" w:rsidRDefault="008E6EDB" w:rsidP="008E6EDB">
            <w:pPr>
              <w:pStyle w:val="StyleWisnow"/>
              <w:rPr>
                <w:color w:val="000000" w:themeColor="text1"/>
              </w:rPr>
            </w:pPr>
          </w:p>
        </w:tc>
        <w:tc>
          <w:tcPr>
            <w:tcW w:w="4818" w:type="dxa"/>
          </w:tcPr>
          <w:p w14:paraId="7163FFB7" w14:textId="77777777" w:rsidR="008E6EDB" w:rsidRPr="00286216" w:rsidRDefault="008E6EDB" w:rsidP="008E6EDB">
            <w:pPr>
              <w:pStyle w:val="StyleZakonu"/>
              <w:rPr>
                <w:color w:val="000000" w:themeColor="text1"/>
              </w:rPr>
            </w:pPr>
            <w:r w:rsidRPr="00286216">
              <w:rPr>
                <w:color w:val="000000" w:themeColor="text1"/>
              </w:rPr>
              <w:t>7) у статті 19:</w:t>
            </w:r>
          </w:p>
        </w:tc>
      </w:tr>
      <w:tr w:rsidR="008E6EDB" w:rsidRPr="00286216" w14:paraId="60AD6728" w14:textId="77777777" w:rsidTr="00091AA5">
        <w:tc>
          <w:tcPr>
            <w:tcW w:w="576" w:type="dxa"/>
          </w:tcPr>
          <w:p w14:paraId="12CFF354" w14:textId="77777777" w:rsidR="008E6EDB" w:rsidRPr="00286216" w:rsidRDefault="008E6EDB" w:rsidP="008E6EDB">
            <w:pPr>
              <w:pStyle w:val="StyleWisnow"/>
              <w:rPr>
                <w:color w:val="000000" w:themeColor="text1"/>
              </w:rPr>
            </w:pPr>
            <w:bookmarkStart w:id="3428" w:name="n3558" w:colFirst="0" w:colLast="0"/>
            <w:bookmarkEnd w:id="3427"/>
            <w:r w:rsidRPr="00286216">
              <w:rPr>
                <w:color w:val="000000" w:themeColor="text1"/>
              </w:rPr>
              <w:t>3558.</w:t>
            </w:r>
          </w:p>
        </w:tc>
        <w:tc>
          <w:tcPr>
            <w:tcW w:w="4818" w:type="dxa"/>
          </w:tcPr>
          <w:p w14:paraId="4EB6A419" w14:textId="77777777" w:rsidR="008E6EDB" w:rsidRPr="00286216" w:rsidRDefault="008E6EDB" w:rsidP="008E6EDB">
            <w:pPr>
              <w:pStyle w:val="StyleZakonu"/>
              <w:rPr>
                <w:color w:val="000000" w:themeColor="text1"/>
              </w:rPr>
            </w:pPr>
            <w:r w:rsidRPr="00286216">
              <w:rPr>
                <w:color w:val="000000" w:themeColor="text1"/>
              </w:rPr>
              <w:t>а) пункт 4 частини першої після слів "цінні папери України" доповнити словами "та облігації міжнародних фінансових організацій, що розміщуються на території України";</w:t>
            </w:r>
          </w:p>
        </w:tc>
        <w:tc>
          <w:tcPr>
            <w:tcW w:w="3686" w:type="dxa"/>
          </w:tcPr>
          <w:p w14:paraId="4FC230F7" w14:textId="77777777" w:rsidR="008E6EDB" w:rsidRPr="00286216" w:rsidRDefault="008E6EDB" w:rsidP="008E6EDB">
            <w:pPr>
              <w:pStyle w:val="StyleProp"/>
              <w:rPr>
                <w:color w:val="000000" w:themeColor="text1"/>
                <w:szCs w:val="18"/>
              </w:rPr>
            </w:pPr>
          </w:p>
        </w:tc>
        <w:tc>
          <w:tcPr>
            <w:tcW w:w="1987" w:type="dxa"/>
          </w:tcPr>
          <w:p w14:paraId="67DD646C" w14:textId="77777777" w:rsidR="008E6EDB" w:rsidRPr="00286216" w:rsidRDefault="008E6EDB" w:rsidP="008E6EDB">
            <w:pPr>
              <w:pStyle w:val="StyleWisnow"/>
              <w:rPr>
                <w:color w:val="000000" w:themeColor="text1"/>
              </w:rPr>
            </w:pPr>
          </w:p>
        </w:tc>
        <w:tc>
          <w:tcPr>
            <w:tcW w:w="4818" w:type="dxa"/>
          </w:tcPr>
          <w:p w14:paraId="3E1B0202" w14:textId="4335699B" w:rsidR="008E6EDB" w:rsidRPr="00286216" w:rsidRDefault="008E6EDB" w:rsidP="008E6EDB">
            <w:pPr>
              <w:pStyle w:val="StyleZakonu"/>
              <w:rPr>
                <w:color w:val="000000" w:themeColor="text1"/>
              </w:rPr>
            </w:pPr>
            <w:r w:rsidRPr="00286216">
              <w:rPr>
                <w:color w:val="000000" w:themeColor="text1"/>
              </w:rPr>
              <w:t>а) у частині першій:</w:t>
            </w:r>
          </w:p>
          <w:p w14:paraId="33626445" w14:textId="70897DDF" w:rsidR="008E6EDB" w:rsidRPr="00286216" w:rsidRDefault="008E6EDB" w:rsidP="008E6EDB">
            <w:pPr>
              <w:pStyle w:val="StyleZakonu"/>
              <w:rPr>
                <w:color w:val="000000" w:themeColor="text1"/>
              </w:rPr>
            </w:pPr>
            <w:r w:rsidRPr="00286216">
              <w:rPr>
                <w:color w:val="000000" w:themeColor="text1"/>
              </w:rPr>
              <w:t>пункт 4 після слів "цінні папери України" доповнити словами "та облігації міжнародних фінансових організацій, що розміщуються на території України";</w:t>
            </w:r>
          </w:p>
        </w:tc>
      </w:tr>
      <w:tr w:rsidR="008E6EDB" w:rsidRPr="00286216" w14:paraId="261B8596" w14:textId="77777777" w:rsidTr="00091AA5">
        <w:tc>
          <w:tcPr>
            <w:tcW w:w="576" w:type="dxa"/>
          </w:tcPr>
          <w:p w14:paraId="775B5D4B" w14:textId="77777777" w:rsidR="008E6EDB" w:rsidRPr="00286216" w:rsidRDefault="008E6EDB" w:rsidP="008E6EDB">
            <w:pPr>
              <w:pStyle w:val="StyleWisnow"/>
              <w:rPr>
                <w:color w:val="000000" w:themeColor="text1"/>
              </w:rPr>
            </w:pPr>
            <w:bookmarkStart w:id="3429" w:name="n3559" w:colFirst="0" w:colLast="0"/>
            <w:bookmarkEnd w:id="3428"/>
            <w:r w:rsidRPr="00286216">
              <w:rPr>
                <w:color w:val="000000" w:themeColor="text1"/>
              </w:rPr>
              <w:t>3559.</w:t>
            </w:r>
          </w:p>
        </w:tc>
        <w:tc>
          <w:tcPr>
            <w:tcW w:w="4818" w:type="dxa"/>
          </w:tcPr>
          <w:p w14:paraId="0716F871" w14:textId="77777777" w:rsidR="008E6EDB" w:rsidRPr="00286216" w:rsidRDefault="008E6EDB" w:rsidP="008E6EDB">
            <w:pPr>
              <w:pStyle w:val="StyleZakonu"/>
              <w:rPr>
                <w:color w:val="000000" w:themeColor="text1"/>
              </w:rPr>
            </w:pPr>
            <w:r w:rsidRPr="00286216">
              <w:rPr>
                <w:color w:val="000000" w:themeColor="text1"/>
              </w:rPr>
              <w:t>б) у пункті 4-1 частини першої слова "розміщення облігацій" замінити словами "емісії корпоративних облігацій";</w:t>
            </w:r>
          </w:p>
        </w:tc>
        <w:tc>
          <w:tcPr>
            <w:tcW w:w="3686" w:type="dxa"/>
          </w:tcPr>
          <w:p w14:paraId="1745B3A3" w14:textId="77777777" w:rsidR="008E6EDB" w:rsidRPr="00286216" w:rsidRDefault="008E6EDB" w:rsidP="008E6EDB">
            <w:pPr>
              <w:pStyle w:val="StyleProp"/>
              <w:rPr>
                <w:color w:val="000000" w:themeColor="text1"/>
                <w:szCs w:val="18"/>
              </w:rPr>
            </w:pPr>
          </w:p>
        </w:tc>
        <w:tc>
          <w:tcPr>
            <w:tcW w:w="1987" w:type="dxa"/>
          </w:tcPr>
          <w:p w14:paraId="68092A9C" w14:textId="77777777" w:rsidR="008E6EDB" w:rsidRPr="00286216" w:rsidRDefault="008E6EDB" w:rsidP="008E6EDB">
            <w:pPr>
              <w:pStyle w:val="StyleWisnow"/>
              <w:rPr>
                <w:color w:val="000000" w:themeColor="text1"/>
              </w:rPr>
            </w:pPr>
          </w:p>
        </w:tc>
        <w:tc>
          <w:tcPr>
            <w:tcW w:w="4818" w:type="dxa"/>
          </w:tcPr>
          <w:p w14:paraId="42B49DEE" w14:textId="77FFD915" w:rsidR="008E6EDB" w:rsidRPr="00286216" w:rsidRDefault="008E6EDB" w:rsidP="008E6EDB">
            <w:pPr>
              <w:pStyle w:val="StyleZakonu"/>
              <w:rPr>
                <w:color w:val="000000" w:themeColor="text1"/>
              </w:rPr>
            </w:pPr>
            <w:r w:rsidRPr="00286216">
              <w:rPr>
                <w:color w:val="000000" w:themeColor="text1"/>
              </w:rPr>
              <w:t>у пункті 4</w:t>
            </w:r>
            <w:r w:rsidRPr="00286216">
              <w:rPr>
                <w:color w:val="000000" w:themeColor="text1"/>
                <w:vertAlign w:val="superscript"/>
              </w:rPr>
              <w:t xml:space="preserve"> 1</w:t>
            </w:r>
            <w:r w:rsidRPr="00286216">
              <w:rPr>
                <w:color w:val="000000" w:themeColor="text1"/>
              </w:rPr>
              <w:t xml:space="preserve"> слова "розміщення облігацій" замінити словами "емісії корпоративних облігацій";</w:t>
            </w:r>
          </w:p>
        </w:tc>
      </w:tr>
      <w:tr w:rsidR="008E6EDB" w:rsidRPr="00286216" w14:paraId="06FA14DC" w14:textId="77777777" w:rsidTr="00091AA5">
        <w:tc>
          <w:tcPr>
            <w:tcW w:w="576" w:type="dxa"/>
          </w:tcPr>
          <w:p w14:paraId="08E081F8" w14:textId="77777777" w:rsidR="008E6EDB" w:rsidRPr="00286216" w:rsidRDefault="008E6EDB" w:rsidP="008E6EDB">
            <w:pPr>
              <w:pStyle w:val="StyleWisnow"/>
              <w:rPr>
                <w:color w:val="000000" w:themeColor="text1"/>
              </w:rPr>
            </w:pPr>
            <w:bookmarkStart w:id="3430" w:name="n3560" w:colFirst="0" w:colLast="0"/>
            <w:bookmarkEnd w:id="3429"/>
            <w:r w:rsidRPr="00286216">
              <w:rPr>
                <w:color w:val="000000" w:themeColor="text1"/>
              </w:rPr>
              <w:t>3560.</w:t>
            </w:r>
          </w:p>
        </w:tc>
        <w:tc>
          <w:tcPr>
            <w:tcW w:w="4818" w:type="dxa"/>
          </w:tcPr>
          <w:p w14:paraId="27E6BC98" w14:textId="77777777" w:rsidR="008E6EDB" w:rsidRPr="00286216" w:rsidRDefault="008E6EDB" w:rsidP="008E6EDB">
            <w:pPr>
              <w:pStyle w:val="StyleZakonu"/>
              <w:rPr>
                <w:color w:val="000000" w:themeColor="text1"/>
              </w:rPr>
            </w:pPr>
            <w:r w:rsidRPr="00286216">
              <w:rPr>
                <w:color w:val="000000" w:themeColor="text1"/>
              </w:rPr>
              <w:t>в) перше речення частини третьої після слів "державних цінні папери" доповнити словами "та облігацій міжнародних фінансових організацій, що розміщуються на території України";</w:t>
            </w:r>
          </w:p>
        </w:tc>
        <w:tc>
          <w:tcPr>
            <w:tcW w:w="3686" w:type="dxa"/>
          </w:tcPr>
          <w:p w14:paraId="59DDE138" w14:textId="2D688C33" w:rsidR="008E6EDB" w:rsidRPr="00286216" w:rsidRDefault="008E6EDB" w:rsidP="008E6EDB">
            <w:pPr>
              <w:pStyle w:val="StyleProp"/>
              <w:rPr>
                <w:color w:val="000000" w:themeColor="text1"/>
              </w:rPr>
            </w:pPr>
          </w:p>
        </w:tc>
        <w:tc>
          <w:tcPr>
            <w:tcW w:w="1987" w:type="dxa"/>
          </w:tcPr>
          <w:p w14:paraId="3015FE8E" w14:textId="77777777" w:rsidR="008E6EDB" w:rsidRPr="00286216" w:rsidRDefault="008E6EDB" w:rsidP="008E6EDB">
            <w:pPr>
              <w:pStyle w:val="StyleWisnow"/>
              <w:rPr>
                <w:color w:val="000000" w:themeColor="text1"/>
              </w:rPr>
            </w:pPr>
          </w:p>
        </w:tc>
        <w:tc>
          <w:tcPr>
            <w:tcW w:w="4818" w:type="dxa"/>
          </w:tcPr>
          <w:p w14:paraId="56D365ED" w14:textId="4BD8A25A" w:rsidR="008E6EDB" w:rsidRPr="00286216" w:rsidRDefault="008E6EDB" w:rsidP="008E6EDB">
            <w:pPr>
              <w:pStyle w:val="StyleZakonu"/>
              <w:rPr>
                <w:color w:val="000000" w:themeColor="text1"/>
              </w:rPr>
            </w:pPr>
            <w:r w:rsidRPr="00286216">
              <w:rPr>
                <w:color w:val="000000" w:themeColor="text1"/>
              </w:rPr>
              <w:t>б) перше речення частини третьої після слів "державних цінних паперів" доповнити словами "та облігацій міжнародних фінансових організацій, що розміщуються на території України";</w:t>
            </w:r>
          </w:p>
        </w:tc>
      </w:tr>
      <w:tr w:rsidR="008E6EDB" w:rsidRPr="00286216" w14:paraId="0478C9E4" w14:textId="77777777" w:rsidTr="00091AA5">
        <w:tc>
          <w:tcPr>
            <w:tcW w:w="576" w:type="dxa"/>
          </w:tcPr>
          <w:p w14:paraId="42FEF4A5" w14:textId="77777777" w:rsidR="008E6EDB" w:rsidRPr="00286216" w:rsidRDefault="008E6EDB" w:rsidP="008E6EDB">
            <w:pPr>
              <w:pStyle w:val="StyleWisnow"/>
              <w:rPr>
                <w:color w:val="000000" w:themeColor="text1"/>
              </w:rPr>
            </w:pPr>
            <w:bookmarkStart w:id="3431" w:name="n3561" w:colFirst="0" w:colLast="0"/>
            <w:bookmarkEnd w:id="3430"/>
            <w:r w:rsidRPr="00286216">
              <w:rPr>
                <w:color w:val="000000" w:themeColor="text1"/>
              </w:rPr>
              <w:t>3561.</w:t>
            </w:r>
          </w:p>
        </w:tc>
        <w:tc>
          <w:tcPr>
            <w:tcW w:w="4818" w:type="dxa"/>
          </w:tcPr>
          <w:p w14:paraId="49FC24AC" w14:textId="77777777" w:rsidR="008E6EDB" w:rsidRPr="00286216" w:rsidRDefault="008E6EDB" w:rsidP="008E6EDB">
            <w:pPr>
              <w:pStyle w:val="StyleZakonu"/>
              <w:rPr>
                <w:color w:val="000000" w:themeColor="text1"/>
              </w:rPr>
            </w:pPr>
            <w:r w:rsidRPr="00286216">
              <w:rPr>
                <w:color w:val="000000" w:themeColor="text1"/>
              </w:rPr>
              <w:t>8) частину третю статті 20 після слів "цінні папери України" доповнити словами "та облігації міжнародних фінансових організацій, що розміщуються на території України";</w:t>
            </w:r>
          </w:p>
        </w:tc>
        <w:tc>
          <w:tcPr>
            <w:tcW w:w="3686" w:type="dxa"/>
          </w:tcPr>
          <w:p w14:paraId="6917C64E" w14:textId="05CE70C3" w:rsidR="008E6EDB" w:rsidRPr="00286216" w:rsidRDefault="008E6EDB" w:rsidP="008E6EDB">
            <w:pPr>
              <w:pStyle w:val="StyleProp"/>
              <w:rPr>
                <w:color w:val="000000" w:themeColor="text1"/>
              </w:rPr>
            </w:pPr>
          </w:p>
        </w:tc>
        <w:tc>
          <w:tcPr>
            <w:tcW w:w="1987" w:type="dxa"/>
          </w:tcPr>
          <w:p w14:paraId="501F86C9" w14:textId="0F34D6CC" w:rsidR="008E6EDB" w:rsidRPr="00286216" w:rsidRDefault="008E6EDB" w:rsidP="008E6EDB">
            <w:pPr>
              <w:pStyle w:val="StyleWisnow"/>
              <w:rPr>
                <w:color w:val="000000" w:themeColor="text1"/>
              </w:rPr>
            </w:pPr>
          </w:p>
        </w:tc>
        <w:tc>
          <w:tcPr>
            <w:tcW w:w="4818" w:type="dxa"/>
          </w:tcPr>
          <w:p w14:paraId="6482AECD" w14:textId="77777777" w:rsidR="008E6EDB" w:rsidRPr="00286216" w:rsidRDefault="008E6EDB" w:rsidP="008E6EDB">
            <w:pPr>
              <w:pStyle w:val="StyleZakonu"/>
              <w:rPr>
                <w:color w:val="000000" w:themeColor="text1"/>
              </w:rPr>
            </w:pPr>
            <w:r w:rsidRPr="00286216">
              <w:rPr>
                <w:color w:val="000000" w:themeColor="text1"/>
              </w:rPr>
              <w:t>8) частину третю статті 20 після слів "цінні папери України" доповнити словами "та облігації міжнародних фінансових організацій, що розміщуються на території України";</w:t>
            </w:r>
          </w:p>
        </w:tc>
      </w:tr>
      <w:tr w:rsidR="00B87F8E" w:rsidRPr="00286216" w14:paraId="28A35B4E" w14:textId="77777777" w:rsidTr="00091AA5">
        <w:tc>
          <w:tcPr>
            <w:tcW w:w="576" w:type="dxa"/>
          </w:tcPr>
          <w:p w14:paraId="28E5D405" w14:textId="77777777" w:rsidR="00B87F8E" w:rsidRPr="00286216" w:rsidRDefault="00B87F8E" w:rsidP="00B87F8E">
            <w:pPr>
              <w:pStyle w:val="StyleWisnow"/>
              <w:rPr>
                <w:color w:val="000000" w:themeColor="text1"/>
              </w:rPr>
            </w:pPr>
            <w:bookmarkStart w:id="3432" w:name="n3562" w:colFirst="0" w:colLast="0"/>
            <w:bookmarkEnd w:id="3431"/>
            <w:r w:rsidRPr="00286216">
              <w:rPr>
                <w:color w:val="000000" w:themeColor="text1"/>
              </w:rPr>
              <w:lastRenderedPageBreak/>
              <w:t>3562.</w:t>
            </w:r>
          </w:p>
        </w:tc>
        <w:tc>
          <w:tcPr>
            <w:tcW w:w="4818" w:type="dxa"/>
          </w:tcPr>
          <w:p w14:paraId="14039365" w14:textId="77777777" w:rsidR="00B87F8E" w:rsidRPr="00286216" w:rsidRDefault="00B87F8E" w:rsidP="00B87F8E">
            <w:pPr>
              <w:pStyle w:val="StyleZakonu"/>
              <w:rPr>
                <w:color w:val="000000" w:themeColor="text1"/>
              </w:rPr>
            </w:pPr>
            <w:r w:rsidRPr="00286216">
              <w:rPr>
                <w:color w:val="000000" w:themeColor="text1"/>
              </w:rPr>
              <w:t>9) пункт третій частини четвертої статті 26 викласти в такій редакції:</w:t>
            </w:r>
          </w:p>
        </w:tc>
        <w:tc>
          <w:tcPr>
            <w:tcW w:w="3686" w:type="dxa"/>
          </w:tcPr>
          <w:p w14:paraId="683A396B" w14:textId="5001ECA6" w:rsidR="00B87F8E" w:rsidRPr="00286216" w:rsidRDefault="00B87F8E" w:rsidP="00B87F8E">
            <w:pPr>
              <w:pStyle w:val="StyleAwt"/>
              <w:rPr>
                <w:color w:val="000000" w:themeColor="text1"/>
                <w:spacing w:val="-2"/>
              </w:rPr>
            </w:pPr>
            <w:r w:rsidRPr="00286216">
              <w:rPr>
                <w:color w:val="000000" w:themeColor="text1"/>
                <w:spacing w:val="-2"/>
                <w:szCs w:val="18"/>
              </w:rPr>
              <w:t>-</w:t>
            </w:r>
            <w:r w:rsidRPr="00286216">
              <w:rPr>
                <w:color w:val="000000" w:themeColor="text1"/>
                <w:spacing w:val="-2"/>
                <w:szCs w:val="18"/>
              </w:rPr>
              <w:fldChar w:fldCharType="begin"/>
            </w:r>
            <w:r w:rsidRPr="00286216">
              <w:rPr>
                <w:color w:val="000000" w:themeColor="text1"/>
                <w:spacing w:val="-2"/>
                <w:szCs w:val="18"/>
              </w:rPr>
              <w:instrText xml:space="preserve"> SEQ aa </w:instrText>
            </w:r>
            <w:r w:rsidRPr="00286216">
              <w:rPr>
                <w:color w:val="000000" w:themeColor="text1"/>
                <w:spacing w:val="-2"/>
                <w:szCs w:val="18"/>
              </w:rPr>
              <w:fldChar w:fldCharType="separate"/>
            </w:r>
            <w:r w:rsidR="00C46B29">
              <w:rPr>
                <w:noProof/>
                <w:color w:val="000000" w:themeColor="text1"/>
                <w:spacing w:val="-2"/>
                <w:szCs w:val="18"/>
              </w:rPr>
              <w:t>1445</w:t>
            </w:r>
            <w:r w:rsidRPr="00286216">
              <w:rPr>
                <w:color w:val="000000" w:themeColor="text1"/>
                <w:spacing w:val="-2"/>
                <w:szCs w:val="18"/>
              </w:rPr>
              <w:fldChar w:fldCharType="end"/>
            </w:r>
            <w:r w:rsidRPr="00286216">
              <w:rPr>
                <w:color w:val="000000" w:themeColor="text1"/>
                <w:spacing w:val="-2"/>
                <w:szCs w:val="18"/>
              </w:rPr>
              <w:t>-Народні депутати України – члени Комітету з питань фінансів, податкової та митної політики Гетманцев Д.О. та інші</w:t>
            </w:r>
          </w:p>
        </w:tc>
        <w:tc>
          <w:tcPr>
            <w:tcW w:w="1987" w:type="dxa"/>
          </w:tcPr>
          <w:p w14:paraId="14EA0161" w14:textId="77777777" w:rsidR="00B87F8E" w:rsidRPr="00286216" w:rsidRDefault="00B87F8E" w:rsidP="00B87F8E">
            <w:pPr>
              <w:pStyle w:val="StyleWisnow"/>
              <w:spacing w:after="60" w:line="200" w:lineRule="exact"/>
              <w:rPr>
                <w:color w:val="000000" w:themeColor="text1"/>
              </w:rPr>
            </w:pPr>
            <w:r w:rsidRPr="00286216">
              <w:rPr>
                <w:color w:val="000000" w:themeColor="text1"/>
              </w:rPr>
              <w:t>Враховано</w:t>
            </w:r>
          </w:p>
          <w:p w14:paraId="1CB9B2C3" w14:textId="70DC61BA" w:rsidR="00B87F8E" w:rsidRPr="00286216" w:rsidRDefault="00B87F8E" w:rsidP="00B87F8E">
            <w:pPr>
              <w:pStyle w:val="StyleWisnow"/>
              <w:spacing w:line="180" w:lineRule="exact"/>
              <w:rPr>
                <w:color w:val="000000" w:themeColor="text1"/>
              </w:rPr>
            </w:pPr>
            <w:r w:rsidRPr="00286216">
              <w:rPr>
                <w:color w:val="000000" w:themeColor="text1"/>
              </w:rPr>
              <w:t xml:space="preserve">за наслідками обговорення на </w:t>
            </w:r>
          </w:p>
        </w:tc>
        <w:tc>
          <w:tcPr>
            <w:tcW w:w="4818" w:type="dxa"/>
          </w:tcPr>
          <w:p w14:paraId="1B0BA41B" w14:textId="29B8A71E" w:rsidR="00B87F8E" w:rsidRPr="00286216" w:rsidRDefault="00B87F8E" w:rsidP="00B87F8E">
            <w:pPr>
              <w:pStyle w:val="StyleZakonu"/>
              <w:rPr>
                <w:color w:val="000000" w:themeColor="text1"/>
              </w:rPr>
            </w:pPr>
            <w:r w:rsidRPr="00286216">
              <w:rPr>
                <w:color w:val="000000" w:themeColor="text1"/>
              </w:rPr>
              <w:t>9) пункт 3 частини четвертої статті 26 викласти в такій редакції:</w:t>
            </w:r>
          </w:p>
        </w:tc>
      </w:tr>
      <w:tr w:rsidR="00B87F8E" w:rsidRPr="00286216" w14:paraId="285134CB" w14:textId="77777777" w:rsidTr="00091AA5">
        <w:tc>
          <w:tcPr>
            <w:tcW w:w="576" w:type="dxa"/>
          </w:tcPr>
          <w:p w14:paraId="1DF27B5B" w14:textId="77777777" w:rsidR="00B87F8E" w:rsidRPr="00286216" w:rsidRDefault="00B87F8E" w:rsidP="00B87F8E">
            <w:pPr>
              <w:pStyle w:val="StyleWisnow"/>
              <w:rPr>
                <w:color w:val="000000" w:themeColor="text1"/>
              </w:rPr>
            </w:pPr>
            <w:bookmarkStart w:id="3433" w:name="n3563" w:colFirst="0" w:colLast="0"/>
            <w:bookmarkEnd w:id="3432"/>
            <w:r w:rsidRPr="00286216">
              <w:rPr>
                <w:color w:val="000000" w:themeColor="text1"/>
              </w:rPr>
              <w:t>3563.</w:t>
            </w:r>
          </w:p>
        </w:tc>
        <w:tc>
          <w:tcPr>
            <w:tcW w:w="4818" w:type="dxa"/>
          </w:tcPr>
          <w:p w14:paraId="7A73187D" w14:textId="77777777" w:rsidR="00B87F8E" w:rsidRPr="00286216" w:rsidRDefault="00B87F8E" w:rsidP="00B87F8E">
            <w:pPr>
              <w:pStyle w:val="StyleZakonu"/>
              <w:rPr>
                <w:color w:val="000000" w:themeColor="text1"/>
              </w:rPr>
            </w:pPr>
            <w:r w:rsidRPr="00286216">
              <w:rPr>
                <w:color w:val="000000" w:themeColor="text1"/>
              </w:rPr>
              <w:t>"3) за вкладом, підтвердженим ощадним сертифікатом банку з бланковим наказом, за депозитними сертифікатами банку; ";</w:t>
            </w:r>
          </w:p>
        </w:tc>
        <w:tc>
          <w:tcPr>
            <w:tcW w:w="3686" w:type="dxa"/>
          </w:tcPr>
          <w:p w14:paraId="2E69917D" w14:textId="0BC4B5D8" w:rsidR="00B87F8E" w:rsidRPr="00286216" w:rsidRDefault="00B87F8E" w:rsidP="00B87F8E">
            <w:pPr>
              <w:pStyle w:val="StyleProp"/>
              <w:spacing w:line="190" w:lineRule="exact"/>
              <w:rPr>
                <w:color w:val="000000" w:themeColor="text1"/>
                <w:spacing w:val="-2"/>
                <w:lang w:val="ru-RU"/>
              </w:rPr>
            </w:pPr>
            <w:r w:rsidRPr="00286216">
              <w:rPr>
                <w:color w:val="000000" w:themeColor="text1"/>
                <w:spacing w:val="-2"/>
              </w:rPr>
              <w:t>Абзац другий підп</w:t>
            </w:r>
            <w:r w:rsidRPr="00286216">
              <w:rPr>
                <w:color w:val="000000" w:themeColor="text1"/>
                <w:spacing w:val="-2"/>
                <w:lang w:val="ru-RU"/>
              </w:rPr>
              <w:t>ункту 9 пункту 42 розділу ІІІ викласти у такій редакції:</w:t>
            </w:r>
          </w:p>
          <w:p w14:paraId="2C7F69B9" w14:textId="7C3CF06A" w:rsidR="00B87F8E" w:rsidRPr="00286216" w:rsidRDefault="00B87F8E" w:rsidP="00B87F8E">
            <w:pPr>
              <w:pStyle w:val="StyleProp"/>
              <w:spacing w:line="190" w:lineRule="exact"/>
              <w:rPr>
                <w:color w:val="000000" w:themeColor="text1"/>
              </w:rPr>
            </w:pPr>
            <w:r w:rsidRPr="00286216">
              <w:rPr>
                <w:color w:val="000000" w:themeColor="text1"/>
              </w:rPr>
              <w:t>"3) за депозитними сертифікатами банків"</w:t>
            </w:r>
            <w:r w:rsidRPr="00286216">
              <w:rPr>
                <w:color w:val="000000" w:themeColor="text1"/>
                <w:spacing w:val="-2"/>
              </w:rPr>
              <w:t>.</w:t>
            </w:r>
          </w:p>
        </w:tc>
        <w:tc>
          <w:tcPr>
            <w:tcW w:w="1987" w:type="dxa"/>
          </w:tcPr>
          <w:p w14:paraId="2F07B0DB" w14:textId="75433846" w:rsidR="00B87F8E" w:rsidRPr="00286216" w:rsidRDefault="00B87F8E" w:rsidP="00B87F8E">
            <w:pPr>
              <w:pStyle w:val="StyleWisnow"/>
              <w:spacing w:line="180" w:lineRule="exact"/>
              <w:rPr>
                <w:color w:val="000000" w:themeColor="text1"/>
              </w:rPr>
            </w:pPr>
            <w:r w:rsidRPr="00286216">
              <w:rPr>
                <w:color w:val="000000" w:themeColor="text1"/>
              </w:rPr>
              <w:t>засіданні Комітету зауважень НБУ та ФГВФО</w:t>
            </w:r>
          </w:p>
        </w:tc>
        <w:tc>
          <w:tcPr>
            <w:tcW w:w="4818" w:type="dxa"/>
          </w:tcPr>
          <w:p w14:paraId="55188272" w14:textId="2F76563C" w:rsidR="00B87F8E" w:rsidRPr="00286216" w:rsidRDefault="00B87F8E" w:rsidP="00B87F8E">
            <w:pPr>
              <w:pStyle w:val="StyleZakonu"/>
              <w:rPr>
                <w:color w:val="000000" w:themeColor="text1"/>
              </w:rPr>
            </w:pPr>
            <w:r w:rsidRPr="00286216">
              <w:rPr>
                <w:color w:val="000000" w:themeColor="text1"/>
              </w:rPr>
              <w:t>"3) за депозитними сертифікатами банків";</w:t>
            </w:r>
          </w:p>
        </w:tc>
      </w:tr>
      <w:tr w:rsidR="00B87F8E" w:rsidRPr="00286216" w14:paraId="3075C5FF" w14:textId="77777777" w:rsidTr="00091AA5">
        <w:tc>
          <w:tcPr>
            <w:tcW w:w="576" w:type="dxa"/>
          </w:tcPr>
          <w:p w14:paraId="4E63205E" w14:textId="77777777" w:rsidR="00B87F8E" w:rsidRPr="00286216" w:rsidRDefault="00B87F8E" w:rsidP="00B87F8E">
            <w:pPr>
              <w:pStyle w:val="StyleWisnow"/>
              <w:rPr>
                <w:color w:val="000000" w:themeColor="text1"/>
              </w:rPr>
            </w:pPr>
            <w:bookmarkStart w:id="3434" w:name="n3564" w:colFirst="0" w:colLast="0"/>
            <w:bookmarkEnd w:id="3433"/>
            <w:r w:rsidRPr="00286216">
              <w:rPr>
                <w:color w:val="000000" w:themeColor="text1"/>
              </w:rPr>
              <w:t>3564.</w:t>
            </w:r>
          </w:p>
        </w:tc>
        <w:tc>
          <w:tcPr>
            <w:tcW w:w="4818" w:type="dxa"/>
          </w:tcPr>
          <w:p w14:paraId="4BDDA112" w14:textId="77777777" w:rsidR="00B87F8E" w:rsidRPr="00286216" w:rsidRDefault="00B87F8E" w:rsidP="00B87F8E">
            <w:pPr>
              <w:pStyle w:val="StyleZakonu"/>
              <w:rPr>
                <w:color w:val="000000" w:themeColor="text1"/>
              </w:rPr>
            </w:pPr>
            <w:r w:rsidRPr="00286216">
              <w:rPr>
                <w:color w:val="000000" w:themeColor="text1"/>
              </w:rPr>
              <w:t>10) статтю 36 доповнити новою частиною такого змісту:</w:t>
            </w:r>
          </w:p>
        </w:tc>
        <w:tc>
          <w:tcPr>
            <w:tcW w:w="3686" w:type="dxa"/>
          </w:tcPr>
          <w:p w14:paraId="10791119" w14:textId="62383A14"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1446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F91B298"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Абзац перший підпункту 10 пункту 42 Розділу ІІІ замінити абзацами такого змісту:</w:t>
            </w:r>
          </w:p>
          <w:p w14:paraId="637D21C5"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«10) у статті 36:</w:t>
            </w:r>
          </w:p>
          <w:p w14:paraId="52857761"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а) частину дев’яту викласти у такій редакції:</w:t>
            </w:r>
          </w:p>
          <w:p w14:paraId="6541A4E5"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«9. Протягом періоду виведення банку з ринку та/або ліквідації банку Фонд має право користуватися майном(активами), у тому числі технічними можливостями такого банку (технічними засобами, серверами, кол-центром, приміщенням тощо) з метою мінімізації своїх витрат, та задовольнити свої вимоги, у черговості встановленій статтею 52 цього Закону, до банку за рахунок майна (активів) банку, за оціночною вартістю.»</w:t>
            </w:r>
          </w:p>
          <w:p w14:paraId="225FCB2C"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б) доповнити новою частиною такого змісту:»</w:t>
            </w:r>
          </w:p>
        </w:tc>
        <w:tc>
          <w:tcPr>
            <w:tcW w:w="1987" w:type="dxa"/>
          </w:tcPr>
          <w:p w14:paraId="500212A0" w14:textId="77777777" w:rsidR="00B87F8E" w:rsidRPr="00286216" w:rsidRDefault="00B87F8E" w:rsidP="00B87F8E">
            <w:pPr>
              <w:pStyle w:val="StyleWisnow"/>
              <w:rPr>
                <w:color w:val="000000" w:themeColor="text1"/>
              </w:rPr>
            </w:pPr>
            <w:r w:rsidRPr="00286216">
              <w:rPr>
                <w:color w:val="000000" w:themeColor="text1"/>
              </w:rPr>
              <w:t>Відхилено</w:t>
            </w:r>
          </w:p>
          <w:p w14:paraId="392CF79B" w14:textId="0FC86151" w:rsidR="00B87F8E" w:rsidRPr="00286216" w:rsidRDefault="00B87F8E" w:rsidP="00B87F8E">
            <w:pPr>
              <w:pStyle w:val="StyleWisnow"/>
              <w:spacing w:line="180" w:lineRule="exact"/>
              <w:rPr>
                <w:color w:val="000000" w:themeColor="text1"/>
              </w:rPr>
            </w:pPr>
            <w:r w:rsidRPr="00286216">
              <w:rPr>
                <w:color w:val="000000" w:themeColor="text1"/>
              </w:rPr>
              <w:t>не є предметом даного законопроекту</w:t>
            </w:r>
          </w:p>
        </w:tc>
        <w:tc>
          <w:tcPr>
            <w:tcW w:w="4818" w:type="dxa"/>
          </w:tcPr>
          <w:p w14:paraId="0D23C629" w14:textId="778ECC1D" w:rsidR="00B87F8E" w:rsidRPr="00286216" w:rsidRDefault="00B87F8E" w:rsidP="00B87F8E">
            <w:pPr>
              <w:pStyle w:val="StyleZakonu"/>
              <w:rPr>
                <w:color w:val="000000" w:themeColor="text1"/>
              </w:rPr>
            </w:pPr>
            <w:r w:rsidRPr="00286216">
              <w:rPr>
                <w:color w:val="000000" w:themeColor="text1"/>
              </w:rPr>
              <w:t>10) статтю 36 доповнити частиною тринадцятою такого змісту:</w:t>
            </w:r>
          </w:p>
        </w:tc>
      </w:tr>
      <w:tr w:rsidR="00B87F8E" w:rsidRPr="00286216" w14:paraId="7473D6BF" w14:textId="77777777" w:rsidTr="00091AA5">
        <w:tc>
          <w:tcPr>
            <w:tcW w:w="576" w:type="dxa"/>
          </w:tcPr>
          <w:p w14:paraId="31399CD5" w14:textId="77777777" w:rsidR="00B87F8E" w:rsidRPr="00286216" w:rsidRDefault="00B87F8E" w:rsidP="00B87F8E">
            <w:pPr>
              <w:pStyle w:val="StyleWisnow"/>
              <w:rPr>
                <w:color w:val="000000" w:themeColor="text1"/>
              </w:rPr>
            </w:pPr>
            <w:bookmarkStart w:id="3435" w:name="n3565" w:colFirst="0" w:colLast="0"/>
            <w:bookmarkEnd w:id="3434"/>
            <w:r w:rsidRPr="00286216">
              <w:rPr>
                <w:color w:val="000000" w:themeColor="text1"/>
              </w:rPr>
              <w:t>3565.</w:t>
            </w:r>
          </w:p>
        </w:tc>
        <w:tc>
          <w:tcPr>
            <w:tcW w:w="4818" w:type="dxa"/>
          </w:tcPr>
          <w:p w14:paraId="0A425F04" w14:textId="77777777" w:rsidR="00B87F8E" w:rsidRPr="00286216" w:rsidRDefault="00B87F8E" w:rsidP="00B87F8E">
            <w:pPr>
              <w:pStyle w:val="StyleZakonu"/>
              <w:rPr>
                <w:color w:val="000000" w:themeColor="text1"/>
              </w:rPr>
            </w:pPr>
            <w:r w:rsidRPr="00286216">
              <w:rPr>
                <w:color w:val="000000" w:themeColor="text1"/>
              </w:rPr>
              <w:t>"10. Обмеження, встановлені частиною третьою, а також пунктами 1, 2 та 4 частини п’ятої цієї статті, не поширюються на процедуру проведення ліквідаційного неттінгу в порядку, встановленому статтею 54-1 цього Закону.";</w:t>
            </w:r>
          </w:p>
        </w:tc>
        <w:tc>
          <w:tcPr>
            <w:tcW w:w="3686" w:type="dxa"/>
          </w:tcPr>
          <w:p w14:paraId="2F43C271" w14:textId="77777777" w:rsidR="00B87F8E" w:rsidRPr="00286216" w:rsidRDefault="00B87F8E" w:rsidP="00B87F8E">
            <w:pPr>
              <w:pStyle w:val="StyleProp"/>
              <w:rPr>
                <w:color w:val="000000" w:themeColor="text1"/>
              </w:rPr>
            </w:pPr>
          </w:p>
        </w:tc>
        <w:tc>
          <w:tcPr>
            <w:tcW w:w="1987" w:type="dxa"/>
          </w:tcPr>
          <w:p w14:paraId="55874669" w14:textId="77777777" w:rsidR="00B87F8E" w:rsidRPr="00286216" w:rsidRDefault="00B87F8E" w:rsidP="00B87F8E">
            <w:pPr>
              <w:pStyle w:val="StyleWisnow"/>
              <w:rPr>
                <w:color w:val="000000" w:themeColor="text1"/>
              </w:rPr>
            </w:pPr>
          </w:p>
        </w:tc>
        <w:tc>
          <w:tcPr>
            <w:tcW w:w="4818" w:type="dxa"/>
          </w:tcPr>
          <w:p w14:paraId="41A5106C" w14:textId="01ADDA84" w:rsidR="00B87F8E" w:rsidRPr="00286216" w:rsidRDefault="00B87F8E" w:rsidP="00B87F8E">
            <w:pPr>
              <w:pStyle w:val="StyleZakonu"/>
              <w:rPr>
                <w:color w:val="000000" w:themeColor="text1"/>
              </w:rPr>
            </w:pPr>
            <w:r w:rsidRPr="00286216">
              <w:rPr>
                <w:color w:val="000000" w:themeColor="text1"/>
              </w:rPr>
              <w:t>"13. Обмеження, встановлені частиною третьою, а також пунктами 1, 2 та 4 частини п’ятої цієї статті, не поширюються на процедуру проведення ліквідаційного неттінгу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tc>
      </w:tr>
      <w:tr w:rsidR="00B87F8E" w:rsidRPr="00286216" w14:paraId="044809A2" w14:textId="77777777" w:rsidTr="00091AA5">
        <w:tc>
          <w:tcPr>
            <w:tcW w:w="576" w:type="dxa"/>
          </w:tcPr>
          <w:p w14:paraId="1B026396" w14:textId="77777777" w:rsidR="00B87F8E" w:rsidRPr="00286216" w:rsidRDefault="00B87F8E" w:rsidP="00B87F8E">
            <w:pPr>
              <w:pStyle w:val="StyleWisnow"/>
              <w:rPr>
                <w:color w:val="000000" w:themeColor="text1"/>
              </w:rPr>
            </w:pPr>
            <w:bookmarkStart w:id="3436" w:name="n3566" w:colFirst="0" w:colLast="0"/>
            <w:bookmarkEnd w:id="3435"/>
            <w:r w:rsidRPr="00286216">
              <w:rPr>
                <w:color w:val="000000" w:themeColor="text1"/>
              </w:rPr>
              <w:t>3566.</w:t>
            </w:r>
          </w:p>
        </w:tc>
        <w:tc>
          <w:tcPr>
            <w:tcW w:w="4818" w:type="dxa"/>
          </w:tcPr>
          <w:p w14:paraId="45B33142" w14:textId="77777777" w:rsidR="00B87F8E" w:rsidRPr="00286216" w:rsidRDefault="00B87F8E" w:rsidP="00B87F8E">
            <w:pPr>
              <w:pStyle w:val="StyleZakonu"/>
              <w:rPr>
                <w:color w:val="000000" w:themeColor="text1"/>
              </w:rPr>
            </w:pPr>
            <w:r w:rsidRPr="00286216">
              <w:rPr>
                <w:color w:val="000000" w:themeColor="text1"/>
              </w:rPr>
              <w:t>11) пункт третій частини другої статті 37 доповнити новим реченням такого змісту: "Фонд безпосередньо або уповноважена особа Фонду не має права обмежувати або припиняти здійснення банком операцій в процедурі ліквідаційного неттінгу в порядку, встановленому статтею 54-1 цього Закону; ";</w:t>
            </w:r>
          </w:p>
        </w:tc>
        <w:tc>
          <w:tcPr>
            <w:tcW w:w="3686" w:type="dxa"/>
          </w:tcPr>
          <w:p w14:paraId="06757A8F" w14:textId="31C3B3B0"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1447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3EB81A9" w14:textId="77777777" w:rsidR="00B87F8E" w:rsidRPr="00286216" w:rsidRDefault="00B87F8E" w:rsidP="00B87F8E">
            <w:pPr>
              <w:pStyle w:val="StyleProp"/>
              <w:spacing w:line="180" w:lineRule="exact"/>
              <w:rPr>
                <w:color w:val="000000" w:themeColor="text1"/>
              </w:rPr>
            </w:pPr>
            <w:r w:rsidRPr="00286216">
              <w:rPr>
                <w:color w:val="000000" w:themeColor="text1"/>
              </w:rPr>
              <w:t>Підпункт 11 пункту 42 розділу 3 викласти в такій редакції:</w:t>
            </w:r>
          </w:p>
          <w:p w14:paraId="5CDA15B2"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«11) пункт 3 частини другої статті 37 викласти в такій редакції: </w:t>
            </w:r>
          </w:p>
          <w:p w14:paraId="357F3DAF" w14:textId="77777777" w:rsidR="00B87F8E" w:rsidRPr="00286216" w:rsidRDefault="00B87F8E" w:rsidP="00B87F8E">
            <w:pPr>
              <w:pStyle w:val="StyleProp"/>
              <w:spacing w:line="180" w:lineRule="exact"/>
              <w:rPr>
                <w:color w:val="000000" w:themeColor="text1"/>
              </w:rPr>
            </w:pPr>
            <w:r w:rsidRPr="00286216">
              <w:rPr>
                <w:color w:val="000000" w:themeColor="text1"/>
              </w:rPr>
              <w:t>«3) продовжувати, обмежувати або припиняти здійснення банком будь-яких операцій. Фонд безпосередньо або уповноважена особа Фонду не має права обмежувати або припиняти здійснення банком операцій в процедурі ліквідаційного неттінгу в порядку, встановленому статтею 54-1 цього Закону. Фонд безпосередньо або уповноважена особа Фонду не має права обмежувати або припиняти здійснення операцій, направлених на виконання нетто-зобов’язання, визначеного відповідно до статті 54-1 цього Закону, шляхом звернення стягнення на предмет забезпечення, переданий банком на виконання зобов’язань за такою угодою».»</w:t>
            </w:r>
          </w:p>
          <w:p w14:paraId="6D6E2B41"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У зв’язку з цим доповнити пункт 1 розділу 4 новим підпунктом щодо набрання чинності </w:t>
            </w:r>
            <w:r w:rsidRPr="00286216">
              <w:rPr>
                <w:color w:val="000000" w:themeColor="text1"/>
              </w:rPr>
              <w:lastRenderedPageBreak/>
              <w:t>цими змінами з дня, наступного за днем опублікування цього Закону</w:t>
            </w:r>
          </w:p>
        </w:tc>
        <w:tc>
          <w:tcPr>
            <w:tcW w:w="1987" w:type="dxa"/>
          </w:tcPr>
          <w:p w14:paraId="5744DC1E" w14:textId="77777777" w:rsidR="00B87F8E" w:rsidRPr="00286216" w:rsidRDefault="00B87F8E" w:rsidP="00B87F8E">
            <w:pPr>
              <w:pStyle w:val="StyleWisnow"/>
              <w:spacing w:line="200" w:lineRule="exact"/>
              <w:rPr>
                <w:color w:val="000000" w:themeColor="text1"/>
              </w:rPr>
            </w:pPr>
            <w:r w:rsidRPr="00286216">
              <w:rPr>
                <w:color w:val="000000" w:themeColor="text1"/>
              </w:rPr>
              <w:lastRenderedPageBreak/>
              <w:t>Враховано</w:t>
            </w:r>
          </w:p>
          <w:p w14:paraId="367E3DCC" w14:textId="324D0FCC" w:rsidR="00B87F8E" w:rsidRPr="00286216" w:rsidRDefault="00B87F8E" w:rsidP="00B87F8E">
            <w:pPr>
              <w:pStyle w:val="StyleWisnow"/>
              <w:spacing w:line="200" w:lineRule="exact"/>
              <w:rPr>
                <w:color w:val="000000" w:themeColor="text1"/>
              </w:rPr>
            </w:pPr>
            <w:r w:rsidRPr="00286216">
              <w:rPr>
                <w:color w:val="000000" w:themeColor="text1"/>
              </w:rPr>
              <w:t>з належним техніко-юридичним редагуванням</w:t>
            </w:r>
          </w:p>
        </w:tc>
        <w:tc>
          <w:tcPr>
            <w:tcW w:w="4818" w:type="dxa"/>
          </w:tcPr>
          <w:p w14:paraId="1AD1B8CD" w14:textId="77777777" w:rsidR="00B87F8E" w:rsidRPr="00286216" w:rsidRDefault="00B87F8E" w:rsidP="00B87F8E">
            <w:pPr>
              <w:pStyle w:val="StyleZakonu"/>
              <w:rPr>
                <w:color w:val="000000" w:themeColor="text1"/>
              </w:rPr>
            </w:pPr>
            <w:r w:rsidRPr="00286216">
              <w:rPr>
                <w:color w:val="000000" w:themeColor="text1"/>
              </w:rPr>
              <w:t xml:space="preserve">11) пункт 3 частини другої статті 37 викласти в такій редакції: </w:t>
            </w:r>
          </w:p>
          <w:p w14:paraId="7AAB4788" w14:textId="77777777" w:rsidR="00B87F8E" w:rsidRPr="00286216" w:rsidRDefault="00B87F8E" w:rsidP="00B87F8E">
            <w:pPr>
              <w:pStyle w:val="StyleZakonu"/>
              <w:rPr>
                <w:color w:val="000000" w:themeColor="text1"/>
              </w:rPr>
            </w:pPr>
            <w:r w:rsidRPr="00286216">
              <w:rPr>
                <w:color w:val="000000" w:themeColor="text1"/>
              </w:rPr>
              <w:t>«3) продовжувати, обмежувати або припиняти здійснення банком будь-яких операцій. Фонд безпосередньо або уповноважена особа Фонду не має права обмежувати або припиняти здійснення:</w:t>
            </w:r>
          </w:p>
          <w:p w14:paraId="17E430C5" w14:textId="77777777" w:rsidR="00B87F8E" w:rsidRPr="00286216" w:rsidRDefault="00B87F8E" w:rsidP="00B87F8E">
            <w:pPr>
              <w:pStyle w:val="StyleZakonu"/>
              <w:rPr>
                <w:color w:val="000000" w:themeColor="text1"/>
              </w:rPr>
            </w:pPr>
            <w:r w:rsidRPr="00286216">
              <w:rPr>
                <w:color w:val="000000" w:themeColor="text1"/>
              </w:rPr>
              <w:t>а) банком операцій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p w14:paraId="68A45B1B" w14:textId="282FB748" w:rsidR="00B87F8E" w:rsidRPr="00286216" w:rsidRDefault="00B87F8E" w:rsidP="00B87F8E">
            <w:pPr>
              <w:pStyle w:val="StyleZakonu"/>
              <w:rPr>
                <w:color w:val="000000" w:themeColor="text1"/>
              </w:rPr>
            </w:pPr>
            <w:r w:rsidRPr="00286216">
              <w:rPr>
                <w:color w:val="000000" w:themeColor="text1"/>
              </w:rPr>
              <w:t>б) операцій,  спрямованих на виконання нетто-зобов’язання, визначеного відповідно до статті 54</w:t>
            </w:r>
            <w:r w:rsidRPr="00286216">
              <w:rPr>
                <w:color w:val="000000" w:themeColor="text1"/>
                <w:vertAlign w:val="superscript"/>
              </w:rPr>
              <w:t>1</w:t>
            </w:r>
            <w:r w:rsidRPr="00286216">
              <w:rPr>
                <w:color w:val="000000" w:themeColor="text1"/>
              </w:rPr>
              <w:t xml:space="preserve"> цього Закону, шляхом звернення стягнення на предмет забезпечення, переданий банком на виконання зобов’язань за такою угодою";</w:t>
            </w:r>
          </w:p>
        </w:tc>
      </w:tr>
      <w:tr w:rsidR="00B87F8E" w:rsidRPr="00286216" w14:paraId="3FAA0F81" w14:textId="77777777" w:rsidTr="00091AA5">
        <w:tc>
          <w:tcPr>
            <w:tcW w:w="576" w:type="dxa"/>
          </w:tcPr>
          <w:p w14:paraId="5AA631C4" w14:textId="77777777" w:rsidR="00B87F8E" w:rsidRPr="00286216" w:rsidRDefault="00B87F8E" w:rsidP="00B87F8E">
            <w:pPr>
              <w:pStyle w:val="StyleWisnow"/>
              <w:rPr>
                <w:color w:val="000000" w:themeColor="text1"/>
              </w:rPr>
            </w:pPr>
            <w:bookmarkStart w:id="3437" w:name="n3567" w:colFirst="0" w:colLast="0"/>
            <w:bookmarkEnd w:id="3436"/>
            <w:r w:rsidRPr="00286216">
              <w:rPr>
                <w:color w:val="000000" w:themeColor="text1"/>
              </w:rPr>
              <w:lastRenderedPageBreak/>
              <w:t>3567.</w:t>
            </w:r>
          </w:p>
        </w:tc>
        <w:tc>
          <w:tcPr>
            <w:tcW w:w="4818" w:type="dxa"/>
          </w:tcPr>
          <w:p w14:paraId="34D00299" w14:textId="77777777" w:rsidR="00B87F8E" w:rsidRPr="00286216" w:rsidRDefault="00B87F8E" w:rsidP="00B87F8E">
            <w:pPr>
              <w:pStyle w:val="StyleZakonu"/>
              <w:rPr>
                <w:color w:val="000000" w:themeColor="text1"/>
              </w:rPr>
            </w:pPr>
            <w:r w:rsidRPr="00286216">
              <w:rPr>
                <w:color w:val="000000" w:themeColor="text1"/>
              </w:rPr>
              <w:t>12) частину третю статті 38 доповнити новим абзацом такого змісту:</w:t>
            </w:r>
          </w:p>
        </w:tc>
        <w:tc>
          <w:tcPr>
            <w:tcW w:w="3686" w:type="dxa"/>
          </w:tcPr>
          <w:p w14:paraId="33B4EF00" w14:textId="63DD38EA" w:rsidR="00B87F8E" w:rsidRPr="00286216" w:rsidRDefault="00B87F8E" w:rsidP="00B87F8E">
            <w:pPr>
              <w:spacing w:line="220" w:lineRule="exact"/>
              <w:rPr>
                <w:b/>
                <w:i/>
                <w:color w:val="000000" w:themeColor="text1"/>
                <w:spacing w:val="-2"/>
                <w:sz w:val="18"/>
                <w:u w:val="single"/>
              </w:rPr>
            </w:pPr>
            <w:r w:rsidRPr="00286216">
              <w:rPr>
                <w:b/>
                <w:i/>
                <w:color w:val="000000" w:themeColor="text1"/>
                <w:spacing w:val="-2"/>
                <w:sz w:val="18"/>
                <w:u w:val="single"/>
              </w:rPr>
              <w:t>-</w:t>
            </w:r>
            <w:r w:rsidRPr="00286216">
              <w:rPr>
                <w:b/>
                <w:i/>
                <w:color w:val="000000" w:themeColor="text1"/>
                <w:spacing w:val="-2"/>
                <w:sz w:val="18"/>
                <w:u w:val="single"/>
              </w:rPr>
              <w:fldChar w:fldCharType="begin"/>
            </w:r>
            <w:r w:rsidRPr="00286216">
              <w:rPr>
                <w:b/>
                <w:i/>
                <w:color w:val="000000" w:themeColor="text1"/>
                <w:spacing w:val="-2"/>
                <w:sz w:val="18"/>
                <w:u w:val="single"/>
              </w:rPr>
              <w:instrText xml:space="preserve"> SEQ aa </w:instrText>
            </w:r>
            <w:r w:rsidRPr="00286216">
              <w:rPr>
                <w:b/>
                <w:i/>
                <w:color w:val="000000" w:themeColor="text1"/>
                <w:spacing w:val="-2"/>
                <w:sz w:val="18"/>
                <w:u w:val="single"/>
              </w:rPr>
              <w:fldChar w:fldCharType="separate"/>
            </w:r>
            <w:r w:rsidR="00C46B29">
              <w:rPr>
                <w:b/>
                <w:i/>
                <w:noProof/>
                <w:color w:val="000000" w:themeColor="text1"/>
                <w:spacing w:val="-2"/>
                <w:sz w:val="18"/>
                <w:u w:val="single"/>
              </w:rPr>
              <w:t>1448</w:t>
            </w:r>
            <w:r w:rsidRPr="00286216">
              <w:rPr>
                <w:b/>
                <w:i/>
                <w:color w:val="000000" w:themeColor="text1"/>
                <w:spacing w:val="-2"/>
                <w:sz w:val="18"/>
                <w:u w:val="single"/>
              </w:rPr>
              <w:fldChar w:fldCharType="end"/>
            </w:r>
            <w:r w:rsidRPr="00286216">
              <w:rPr>
                <w:b/>
                <w:i/>
                <w:color w:val="000000" w:themeColor="text1"/>
                <w:spacing w:val="-2"/>
                <w:sz w:val="18"/>
                <w:u w:val="single"/>
              </w:rPr>
              <w:t>-Народні депутати України – члени Комітету з питань фінансів, податкової та митної політики Гетманцев Д.О. та інші</w:t>
            </w:r>
          </w:p>
          <w:p w14:paraId="31BFA037" w14:textId="36F61C71" w:rsidR="00B87F8E" w:rsidRPr="00286216" w:rsidRDefault="00B87F8E" w:rsidP="00B87F8E">
            <w:pPr>
              <w:pStyle w:val="StyleProp"/>
              <w:spacing w:line="190" w:lineRule="exact"/>
              <w:rPr>
                <w:color w:val="000000" w:themeColor="text1"/>
                <w:lang w:val="ru-RU"/>
              </w:rPr>
            </w:pPr>
            <w:r w:rsidRPr="00286216">
              <w:rPr>
                <w:color w:val="000000" w:themeColor="text1"/>
                <w:spacing w:val="-2"/>
              </w:rPr>
              <w:t>Підп</w:t>
            </w:r>
            <w:r w:rsidRPr="00286216">
              <w:rPr>
                <w:color w:val="000000" w:themeColor="text1"/>
                <w:spacing w:val="-2"/>
                <w:lang w:val="ru-RU"/>
              </w:rPr>
              <w:t>ункт 9 пункту 42 розділу ІІІ викласти у такій редакції:12:</w:t>
            </w:r>
          </w:p>
          <w:p w14:paraId="10A2B3EA" w14:textId="31D71ABA" w:rsidR="00B87F8E" w:rsidRPr="00286216" w:rsidRDefault="00B87F8E" w:rsidP="00B87F8E">
            <w:pPr>
              <w:pStyle w:val="StyleProp"/>
              <w:spacing w:line="190" w:lineRule="exact"/>
              <w:rPr>
                <w:color w:val="000000" w:themeColor="text1"/>
              </w:rPr>
            </w:pPr>
            <w:r w:rsidRPr="00286216">
              <w:rPr>
                <w:color w:val="000000" w:themeColor="text1"/>
              </w:rPr>
              <w:t>"12) у статті 38:</w:t>
            </w:r>
          </w:p>
          <w:p w14:paraId="4CDCE3E9" w14:textId="2E41E17C" w:rsidR="00B87F8E" w:rsidRPr="00286216" w:rsidRDefault="00B87F8E" w:rsidP="00B87F8E">
            <w:pPr>
              <w:pStyle w:val="StyleProp"/>
              <w:spacing w:line="190" w:lineRule="exact"/>
              <w:rPr>
                <w:color w:val="000000" w:themeColor="text1"/>
              </w:rPr>
            </w:pPr>
            <w:r w:rsidRPr="00286216">
              <w:rPr>
                <w:color w:val="000000" w:themeColor="text1"/>
              </w:rPr>
              <w:t>а) доповнити частину третю новим абзацом такого змісту:</w:t>
            </w:r>
          </w:p>
          <w:p w14:paraId="51203B8F" w14:textId="77777777" w:rsidR="00B87F8E" w:rsidRPr="00286216" w:rsidRDefault="00B87F8E" w:rsidP="00B87F8E">
            <w:pPr>
              <w:pStyle w:val="StyleProp"/>
              <w:spacing w:line="190" w:lineRule="exact"/>
              <w:rPr>
                <w:color w:val="000000" w:themeColor="text1"/>
              </w:rPr>
            </w:pPr>
            <w:r w:rsidRPr="00286216">
              <w:rPr>
                <w:color w:val="000000" w:themeColor="text1"/>
              </w:rPr>
              <w:t xml:space="preserve">«Положення цієї частини не поширюються на деривативні контракти та інші правочини, зобов’язання за якими припиняються в процедурі ліквідаційного неттінгу, що здійснюється в порядку, встановленому статтею 54 </w:t>
            </w:r>
            <w:r w:rsidRPr="00286216">
              <w:rPr>
                <w:color w:val="000000" w:themeColor="text1"/>
                <w:vertAlign w:val="superscript"/>
              </w:rPr>
              <w:t>1</w:t>
            </w:r>
            <w:r w:rsidRPr="00286216">
              <w:rPr>
                <w:color w:val="000000" w:themeColor="text1"/>
              </w:rPr>
              <w:t xml:space="preserve"> цього Закону";</w:t>
            </w:r>
          </w:p>
          <w:p w14:paraId="5C99B597" w14:textId="069D2CEB" w:rsidR="00B87F8E" w:rsidRPr="00286216" w:rsidRDefault="00B87F8E" w:rsidP="00B87F8E">
            <w:pPr>
              <w:pStyle w:val="StyleProp"/>
              <w:spacing w:line="190" w:lineRule="exact"/>
              <w:rPr>
                <w:color w:val="000000" w:themeColor="text1"/>
              </w:rPr>
            </w:pPr>
            <w:r w:rsidRPr="00286216">
              <w:rPr>
                <w:color w:val="000000" w:themeColor="text1"/>
              </w:rPr>
              <w:t>б) доповнити частину восьму новим абзацом  такого змісту:</w:t>
            </w:r>
          </w:p>
          <w:p w14:paraId="2C8CFED9" w14:textId="33456B52" w:rsidR="00B87F8E" w:rsidRPr="00286216" w:rsidRDefault="00B87F8E" w:rsidP="00B87F8E">
            <w:pPr>
              <w:pStyle w:val="StyleProp"/>
              <w:spacing w:line="190" w:lineRule="exact"/>
              <w:rPr>
                <w:color w:val="000000" w:themeColor="text1"/>
              </w:rPr>
            </w:pPr>
            <w:r w:rsidRPr="00286216">
              <w:rPr>
                <w:color w:val="000000" w:themeColor="text1"/>
              </w:rPr>
              <w:t>"Положення цієї частини не поширюються на деривативні контракти та інші правочини, зобов’язання за якими припиняються в процедурі ліквідаційного неттінгу, що здійснюється в порядку, встановленому статтею 54</w:t>
            </w:r>
            <w:r w:rsidRPr="00286216">
              <w:rPr>
                <w:color w:val="000000" w:themeColor="text1"/>
                <w:vertAlign w:val="superscript"/>
              </w:rPr>
              <w:t xml:space="preserve"> 1</w:t>
            </w:r>
            <w:r w:rsidRPr="00286216">
              <w:rPr>
                <w:color w:val="000000" w:themeColor="text1"/>
              </w:rPr>
              <w:t xml:space="preserve"> цього Закону".</w:t>
            </w:r>
          </w:p>
        </w:tc>
        <w:tc>
          <w:tcPr>
            <w:tcW w:w="1987" w:type="dxa"/>
          </w:tcPr>
          <w:p w14:paraId="239F04AE" w14:textId="77777777" w:rsidR="00B87F8E" w:rsidRPr="00286216" w:rsidRDefault="00B87F8E" w:rsidP="00B87F8E">
            <w:pPr>
              <w:pStyle w:val="StyleWisnow"/>
              <w:spacing w:line="200" w:lineRule="exact"/>
              <w:rPr>
                <w:color w:val="000000" w:themeColor="text1"/>
              </w:rPr>
            </w:pPr>
            <w:r w:rsidRPr="00286216">
              <w:rPr>
                <w:color w:val="000000" w:themeColor="text1"/>
              </w:rPr>
              <w:t>Враховано</w:t>
            </w:r>
          </w:p>
          <w:p w14:paraId="4CF5DE4C" w14:textId="11A964AB" w:rsidR="00B87F8E" w:rsidRPr="00286216" w:rsidRDefault="00B87F8E" w:rsidP="00B87F8E">
            <w:pPr>
              <w:pStyle w:val="StyleWisnow"/>
              <w:spacing w:line="200" w:lineRule="exact"/>
              <w:rPr>
                <w:color w:val="000000" w:themeColor="text1"/>
              </w:rPr>
            </w:pPr>
            <w:r w:rsidRPr="00286216">
              <w:rPr>
                <w:color w:val="000000" w:themeColor="text1"/>
              </w:rPr>
              <w:t>за наслідками обговорення на засіданні Комітету</w:t>
            </w:r>
          </w:p>
          <w:p w14:paraId="38198EA5" w14:textId="1A643819" w:rsidR="00B87F8E" w:rsidRPr="00286216" w:rsidRDefault="00B87F8E" w:rsidP="00B87F8E">
            <w:pPr>
              <w:pStyle w:val="StyleWisnow"/>
              <w:spacing w:line="200" w:lineRule="exact"/>
              <w:rPr>
                <w:color w:val="000000" w:themeColor="text1"/>
              </w:rPr>
            </w:pPr>
            <w:r w:rsidRPr="00286216">
              <w:rPr>
                <w:color w:val="000000" w:themeColor="text1"/>
              </w:rPr>
              <w:t>зауважень НБУ та ФГВФО</w:t>
            </w:r>
          </w:p>
        </w:tc>
        <w:tc>
          <w:tcPr>
            <w:tcW w:w="4818" w:type="dxa"/>
          </w:tcPr>
          <w:p w14:paraId="49970419" w14:textId="77777777" w:rsidR="00B87F8E" w:rsidRPr="00286216" w:rsidRDefault="00B87F8E" w:rsidP="00B87F8E">
            <w:pPr>
              <w:pStyle w:val="StyleZakonu"/>
              <w:rPr>
                <w:color w:val="000000" w:themeColor="text1"/>
              </w:rPr>
            </w:pPr>
            <w:r w:rsidRPr="00286216">
              <w:rPr>
                <w:color w:val="000000" w:themeColor="text1"/>
              </w:rPr>
              <w:t>12) у статті 38:</w:t>
            </w:r>
          </w:p>
          <w:p w14:paraId="4184FCBD" w14:textId="77777777" w:rsidR="00B87F8E" w:rsidRPr="00286216" w:rsidRDefault="00B87F8E" w:rsidP="00B87F8E">
            <w:pPr>
              <w:pStyle w:val="StyleZakonu"/>
              <w:rPr>
                <w:color w:val="000000" w:themeColor="text1"/>
              </w:rPr>
            </w:pPr>
            <w:r w:rsidRPr="00286216">
              <w:rPr>
                <w:color w:val="000000" w:themeColor="text1"/>
              </w:rPr>
              <w:t>а) частину третю доповнити абзацом дванадцятим такого змісту:</w:t>
            </w:r>
          </w:p>
          <w:p w14:paraId="25E0A758" w14:textId="77777777" w:rsidR="00B87F8E" w:rsidRPr="00286216" w:rsidRDefault="00B87F8E" w:rsidP="00B87F8E">
            <w:pPr>
              <w:pStyle w:val="StyleZakonu"/>
              <w:rPr>
                <w:color w:val="000000" w:themeColor="text1"/>
              </w:rPr>
            </w:pPr>
            <w:r w:rsidRPr="00286216">
              <w:rPr>
                <w:color w:val="000000" w:themeColor="text1"/>
              </w:rPr>
              <w:t>«Положення цієї частини не поширюються на правочини, зобов’язання за якими припиняються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p w14:paraId="368095CA" w14:textId="77777777" w:rsidR="00B87F8E" w:rsidRPr="00286216" w:rsidRDefault="00B87F8E" w:rsidP="00B87F8E">
            <w:pPr>
              <w:pStyle w:val="StyleZakonu"/>
              <w:rPr>
                <w:color w:val="000000" w:themeColor="text1"/>
              </w:rPr>
            </w:pPr>
            <w:r w:rsidRPr="00286216">
              <w:rPr>
                <w:color w:val="000000" w:themeColor="text1"/>
              </w:rPr>
              <w:t>б) частину восьму доповнити  абзацом сьомим  такого змісту:</w:t>
            </w:r>
          </w:p>
          <w:p w14:paraId="7DFF3069" w14:textId="77777777" w:rsidR="00B87F8E" w:rsidRPr="00286216" w:rsidRDefault="00B87F8E" w:rsidP="00B87F8E">
            <w:pPr>
              <w:pStyle w:val="StyleZakonu"/>
              <w:rPr>
                <w:color w:val="000000" w:themeColor="text1"/>
              </w:rPr>
            </w:pPr>
            <w:r w:rsidRPr="00286216">
              <w:rPr>
                <w:color w:val="000000" w:themeColor="text1"/>
              </w:rPr>
              <w:t>"Положення цієї частини не поширюються на правочини, зобов’язання за якими припиняються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p w14:paraId="157EE1D3" w14:textId="40AB035A" w:rsidR="00B87F8E" w:rsidRPr="00286216" w:rsidRDefault="00B87F8E" w:rsidP="00B87F8E">
            <w:pPr>
              <w:pStyle w:val="StyleZakonu"/>
              <w:rPr>
                <w:color w:val="000000" w:themeColor="text1"/>
              </w:rPr>
            </w:pPr>
          </w:p>
        </w:tc>
      </w:tr>
      <w:tr w:rsidR="00B87F8E" w:rsidRPr="00286216" w14:paraId="14251D8A" w14:textId="77777777" w:rsidTr="00091AA5">
        <w:tc>
          <w:tcPr>
            <w:tcW w:w="576" w:type="dxa"/>
          </w:tcPr>
          <w:p w14:paraId="7A219603" w14:textId="77777777" w:rsidR="00B87F8E" w:rsidRPr="00286216" w:rsidRDefault="00B87F8E" w:rsidP="00B87F8E">
            <w:pPr>
              <w:pStyle w:val="StyleWisnow"/>
              <w:rPr>
                <w:color w:val="000000" w:themeColor="text1"/>
              </w:rPr>
            </w:pPr>
            <w:bookmarkStart w:id="3438" w:name="n3568" w:colFirst="0" w:colLast="0"/>
            <w:bookmarkEnd w:id="3437"/>
            <w:r w:rsidRPr="00286216">
              <w:rPr>
                <w:color w:val="000000" w:themeColor="text1"/>
              </w:rPr>
              <w:t>3568.</w:t>
            </w:r>
          </w:p>
        </w:tc>
        <w:tc>
          <w:tcPr>
            <w:tcW w:w="4818" w:type="dxa"/>
          </w:tcPr>
          <w:p w14:paraId="7584DC3C" w14:textId="77777777" w:rsidR="00B87F8E" w:rsidRPr="00286216" w:rsidRDefault="00B87F8E" w:rsidP="00B87F8E">
            <w:pPr>
              <w:pStyle w:val="StyleZakonu"/>
              <w:rPr>
                <w:color w:val="000000" w:themeColor="text1"/>
              </w:rPr>
            </w:pPr>
            <w:r w:rsidRPr="00286216">
              <w:rPr>
                <w:color w:val="000000" w:themeColor="text1"/>
              </w:rPr>
              <w:t>"Положення цієї частини не поширюються на процедуру проведення ліквідаційного неттінгу в порядку, встановленому статтею 54-1 цього Закону, та правочини, зобов’язання за якими припиняються в такій процедурі.";</w:t>
            </w:r>
          </w:p>
        </w:tc>
        <w:tc>
          <w:tcPr>
            <w:tcW w:w="3686" w:type="dxa"/>
          </w:tcPr>
          <w:p w14:paraId="070D712C" w14:textId="1D9936A4"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1449</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29BB6892" w14:textId="77777777" w:rsidR="00B87F8E" w:rsidRPr="00286216" w:rsidRDefault="00B87F8E" w:rsidP="00B87F8E">
            <w:pPr>
              <w:pStyle w:val="StyleProp"/>
              <w:spacing w:line="190" w:lineRule="exact"/>
              <w:rPr>
                <w:color w:val="000000" w:themeColor="text1"/>
              </w:rPr>
            </w:pPr>
            <w:r w:rsidRPr="00286216">
              <w:rPr>
                <w:color w:val="000000" w:themeColor="text1"/>
              </w:rPr>
              <w:t>Підпункт 12 пункту 42 розділу 3 викласти в такій редакції:</w:t>
            </w:r>
          </w:p>
          <w:p w14:paraId="15A77CBD" w14:textId="77777777" w:rsidR="00B87F8E" w:rsidRPr="00286216" w:rsidRDefault="00B87F8E" w:rsidP="00B87F8E">
            <w:pPr>
              <w:pStyle w:val="StyleProp"/>
              <w:spacing w:line="190" w:lineRule="exact"/>
              <w:rPr>
                <w:color w:val="000000" w:themeColor="text1"/>
              </w:rPr>
            </w:pPr>
            <w:r w:rsidRPr="00286216">
              <w:rPr>
                <w:color w:val="000000" w:themeColor="text1"/>
              </w:rPr>
              <w:t>«12) у статті 38:</w:t>
            </w:r>
          </w:p>
          <w:p w14:paraId="55690E04" w14:textId="77777777" w:rsidR="00B87F8E" w:rsidRPr="00286216" w:rsidRDefault="00B87F8E" w:rsidP="00B87F8E">
            <w:pPr>
              <w:pStyle w:val="StyleProp"/>
              <w:spacing w:line="190" w:lineRule="exact"/>
              <w:rPr>
                <w:color w:val="000000" w:themeColor="text1"/>
              </w:rPr>
            </w:pPr>
            <w:r w:rsidRPr="00286216">
              <w:rPr>
                <w:color w:val="000000" w:themeColor="text1"/>
              </w:rPr>
              <w:t>а) викласти абзац дванадцятий частини третьої в такій редакції::</w:t>
            </w:r>
          </w:p>
          <w:p w14:paraId="3A4B8180" w14:textId="77777777" w:rsidR="00B87F8E" w:rsidRPr="00286216" w:rsidRDefault="00B87F8E" w:rsidP="00B87F8E">
            <w:pPr>
              <w:pStyle w:val="StyleProp"/>
              <w:spacing w:line="190" w:lineRule="exact"/>
              <w:rPr>
                <w:color w:val="000000" w:themeColor="text1"/>
              </w:rPr>
            </w:pPr>
            <w:r w:rsidRPr="00286216">
              <w:rPr>
                <w:color w:val="000000" w:themeColor="text1"/>
              </w:rPr>
              <w:t>«Положення цієї частини не поширюються на правочини, зобов’язання за якими припиняються в процедурі проведення ліквідаційного неттінгу в порядку, встановленому статтею 54-1 цього Закону крім правочинів, вчинених поза організованим ринком протягом місяця, що передував даті ліквідаційного неттінгу, без очевидної економічної чи законної мети, або правочинів, вчинених поза організованим ринком з пов’язаними особами банку.»;</w:t>
            </w:r>
          </w:p>
          <w:p w14:paraId="7DB3E15D" w14:textId="77777777" w:rsidR="00B87F8E" w:rsidRPr="00286216" w:rsidRDefault="00B87F8E" w:rsidP="00B87F8E">
            <w:pPr>
              <w:pStyle w:val="StyleProp"/>
              <w:spacing w:line="190" w:lineRule="exact"/>
              <w:rPr>
                <w:color w:val="000000" w:themeColor="text1"/>
              </w:rPr>
            </w:pPr>
            <w:r w:rsidRPr="00286216">
              <w:rPr>
                <w:color w:val="000000" w:themeColor="text1"/>
              </w:rPr>
              <w:t xml:space="preserve">б) викласти абзац сьомий частини восьмої в такій редакції:: </w:t>
            </w:r>
          </w:p>
          <w:p w14:paraId="0501E06A" w14:textId="78D9B321" w:rsidR="00B87F8E" w:rsidRPr="00286216" w:rsidRDefault="00B87F8E" w:rsidP="00B87F8E">
            <w:pPr>
              <w:pStyle w:val="StyleProp"/>
              <w:spacing w:line="190" w:lineRule="exact"/>
              <w:rPr>
                <w:color w:val="000000" w:themeColor="text1"/>
              </w:rPr>
            </w:pPr>
            <w:r w:rsidRPr="00286216">
              <w:rPr>
                <w:color w:val="000000" w:themeColor="text1"/>
              </w:rPr>
              <w:t xml:space="preserve">«Положення цієї частини не поширюються на правочини, зобов’язання за якими припиняються в процедурі проведення ліквідаційного неттінгу в порядку, встановленому статтею 54-1 цього Закону, крім правочинів, вчинених поза організованим ринком протягом місяця, що передував даті ліквідаційного неттінгу, без очевидної економічної чи законної мети, або </w:t>
            </w:r>
            <w:r w:rsidRPr="00286216">
              <w:rPr>
                <w:color w:val="000000" w:themeColor="text1"/>
              </w:rPr>
              <w:lastRenderedPageBreak/>
              <w:t>правочинів, вчинених поза організованим ринком з пов’язаними особами банку.».</w:t>
            </w:r>
          </w:p>
        </w:tc>
        <w:tc>
          <w:tcPr>
            <w:tcW w:w="1987" w:type="dxa"/>
          </w:tcPr>
          <w:p w14:paraId="340AE44D" w14:textId="491BD0A1" w:rsidR="00B87F8E" w:rsidRPr="00286216" w:rsidRDefault="00B87F8E" w:rsidP="00B87F8E">
            <w:pPr>
              <w:pStyle w:val="StyleWisnow"/>
              <w:rPr>
                <w:color w:val="000000" w:themeColor="text1"/>
              </w:rPr>
            </w:pPr>
            <w:r w:rsidRPr="00286216">
              <w:rPr>
                <w:color w:val="000000" w:themeColor="text1"/>
              </w:rPr>
              <w:lastRenderedPageBreak/>
              <w:t>Враховано редакційно</w:t>
            </w:r>
          </w:p>
        </w:tc>
        <w:tc>
          <w:tcPr>
            <w:tcW w:w="4818" w:type="dxa"/>
          </w:tcPr>
          <w:p w14:paraId="20E534BE" w14:textId="77777777" w:rsidR="00B87F8E" w:rsidRPr="00286216" w:rsidRDefault="00B87F8E" w:rsidP="00B87F8E">
            <w:pPr>
              <w:pStyle w:val="StyleZakonu"/>
              <w:rPr>
                <w:color w:val="000000" w:themeColor="text1"/>
              </w:rPr>
            </w:pPr>
          </w:p>
        </w:tc>
      </w:tr>
      <w:tr w:rsidR="00B87F8E" w:rsidRPr="00286216" w14:paraId="0B4F70E0" w14:textId="77777777" w:rsidTr="00091AA5">
        <w:tc>
          <w:tcPr>
            <w:tcW w:w="576" w:type="dxa"/>
          </w:tcPr>
          <w:p w14:paraId="6EEAF9AB" w14:textId="77777777" w:rsidR="00B87F8E" w:rsidRPr="00286216" w:rsidRDefault="00B87F8E" w:rsidP="00B87F8E">
            <w:pPr>
              <w:pStyle w:val="StyleWisnow"/>
              <w:rPr>
                <w:color w:val="000000" w:themeColor="text1"/>
              </w:rPr>
            </w:pPr>
            <w:bookmarkStart w:id="3439" w:name="n3569" w:colFirst="0" w:colLast="0"/>
            <w:bookmarkEnd w:id="3438"/>
            <w:r w:rsidRPr="00286216">
              <w:rPr>
                <w:color w:val="000000" w:themeColor="text1"/>
              </w:rPr>
              <w:t>3569.</w:t>
            </w:r>
          </w:p>
        </w:tc>
        <w:tc>
          <w:tcPr>
            <w:tcW w:w="4818" w:type="dxa"/>
          </w:tcPr>
          <w:p w14:paraId="4778FA59" w14:textId="77777777" w:rsidR="00B87F8E" w:rsidRPr="00286216" w:rsidRDefault="00B87F8E" w:rsidP="00B87F8E">
            <w:pPr>
              <w:pStyle w:val="StyleZakonu"/>
              <w:rPr>
                <w:color w:val="000000" w:themeColor="text1"/>
              </w:rPr>
            </w:pPr>
            <w:r w:rsidRPr="00286216">
              <w:rPr>
                <w:color w:val="000000" w:themeColor="text1"/>
              </w:rPr>
              <w:t>13) частину сьому статті 40 доповнити новим абзацом такого змісту:</w:t>
            </w:r>
          </w:p>
        </w:tc>
        <w:tc>
          <w:tcPr>
            <w:tcW w:w="3686" w:type="dxa"/>
          </w:tcPr>
          <w:p w14:paraId="07291176" w14:textId="2732BA65"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1450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D8F8946" w14:textId="77777777" w:rsidR="00B87F8E" w:rsidRPr="00286216" w:rsidRDefault="00B87F8E" w:rsidP="00B87F8E">
            <w:pPr>
              <w:pStyle w:val="StyleProp"/>
              <w:rPr>
                <w:color w:val="000000" w:themeColor="text1"/>
              </w:rPr>
            </w:pPr>
            <w:r w:rsidRPr="00286216">
              <w:rPr>
                <w:color w:val="000000" w:themeColor="text1"/>
              </w:rPr>
              <w:t>Підпункт 13 пункту 42 розділу 3 викласти в такій редакції:</w:t>
            </w:r>
          </w:p>
          <w:p w14:paraId="3C5A67E5" w14:textId="6238EA19" w:rsidR="00B87F8E" w:rsidRPr="00286216" w:rsidRDefault="00B87F8E" w:rsidP="00B87F8E">
            <w:pPr>
              <w:pStyle w:val="StyleProp"/>
              <w:rPr>
                <w:color w:val="000000" w:themeColor="text1"/>
              </w:rPr>
            </w:pPr>
            <w:r w:rsidRPr="00286216">
              <w:rPr>
                <w:color w:val="000000" w:themeColor="text1"/>
              </w:rPr>
              <w:t>«13) частину сьому статті 40 доповнити новим абзацом такого змісту:</w:t>
            </w:r>
          </w:p>
        </w:tc>
        <w:tc>
          <w:tcPr>
            <w:tcW w:w="1987" w:type="dxa"/>
          </w:tcPr>
          <w:p w14:paraId="6D4BDBFA" w14:textId="4316167B" w:rsidR="00B87F8E" w:rsidRPr="00286216" w:rsidRDefault="00B87F8E" w:rsidP="00B87F8E">
            <w:pPr>
              <w:pStyle w:val="StyleWisnow"/>
              <w:spacing w:line="180" w:lineRule="exact"/>
              <w:rPr>
                <w:color w:val="000000" w:themeColor="text1"/>
              </w:rPr>
            </w:pPr>
            <w:r w:rsidRPr="00286216">
              <w:rPr>
                <w:color w:val="000000" w:themeColor="text1"/>
              </w:rPr>
              <w:t xml:space="preserve">Враховано редакційно </w:t>
            </w:r>
          </w:p>
          <w:p w14:paraId="735098BA" w14:textId="7F8B790D" w:rsidR="00B87F8E" w:rsidRPr="00286216" w:rsidRDefault="00B87F8E" w:rsidP="00B87F8E">
            <w:pPr>
              <w:pStyle w:val="StyleWisnow"/>
              <w:spacing w:line="180" w:lineRule="exact"/>
              <w:rPr>
                <w:color w:val="000000" w:themeColor="text1"/>
              </w:rPr>
            </w:pPr>
            <w:r w:rsidRPr="00286216">
              <w:rPr>
                <w:color w:val="000000" w:themeColor="text1"/>
              </w:rPr>
              <w:t>з належним техніко-юридичним редагуванням</w:t>
            </w:r>
          </w:p>
        </w:tc>
        <w:tc>
          <w:tcPr>
            <w:tcW w:w="4818" w:type="dxa"/>
          </w:tcPr>
          <w:p w14:paraId="78BD255E" w14:textId="5925C7C6" w:rsidR="00B87F8E" w:rsidRPr="00286216" w:rsidRDefault="00B87F8E" w:rsidP="00B87F8E">
            <w:pPr>
              <w:pStyle w:val="StyleZakonu"/>
              <w:rPr>
                <w:color w:val="000000" w:themeColor="text1"/>
              </w:rPr>
            </w:pPr>
            <w:r w:rsidRPr="00286216">
              <w:rPr>
                <w:color w:val="000000" w:themeColor="text1"/>
              </w:rPr>
              <w:t>13) статтю 40 доповнити  частиною дванадцятою такого змісту:</w:t>
            </w:r>
          </w:p>
        </w:tc>
      </w:tr>
      <w:tr w:rsidR="00B87F8E" w:rsidRPr="00286216" w14:paraId="3F0991A8" w14:textId="77777777" w:rsidTr="00091AA5">
        <w:tc>
          <w:tcPr>
            <w:tcW w:w="576" w:type="dxa"/>
          </w:tcPr>
          <w:p w14:paraId="01AA003E" w14:textId="77777777" w:rsidR="00B87F8E" w:rsidRPr="00286216" w:rsidRDefault="00B87F8E" w:rsidP="00B87F8E">
            <w:pPr>
              <w:pStyle w:val="StyleWisnow"/>
              <w:rPr>
                <w:color w:val="000000" w:themeColor="text1"/>
              </w:rPr>
            </w:pPr>
            <w:bookmarkStart w:id="3440" w:name="n3570" w:colFirst="0" w:colLast="0"/>
            <w:bookmarkEnd w:id="3439"/>
            <w:r w:rsidRPr="00286216">
              <w:rPr>
                <w:color w:val="000000" w:themeColor="text1"/>
              </w:rPr>
              <w:t>3570.</w:t>
            </w:r>
          </w:p>
        </w:tc>
        <w:tc>
          <w:tcPr>
            <w:tcW w:w="4818" w:type="dxa"/>
          </w:tcPr>
          <w:p w14:paraId="71D80D35" w14:textId="77777777" w:rsidR="00B87F8E" w:rsidRPr="00286216" w:rsidRDefault="00B87F8E" w:rsidP="00B87F8E">
            <w:pPr>
              <w:pStyle w:val="StyleZakonu"/>
              <w:rPr>
                <w:color w:val="000000" w:themeColor="text1"/>
              </w:rPr>
            </w:pPr>
            <w:r w:rsidRPr="00286216">
              <w:rPr>
                <w:color w:val="000000" w:themeColor="text1"/>
              </w:rPr>
              <w:t>"Положення частини п’ятої та шостої цієї статті не застосовуються до процедури проведення ліквідаційного неттінгу в порядку, встановленому статтею 54-1 цього Закону.";</w:t>
            </w:r>
          </w:p>
        </w:tc>
        <w:tc>
          <w:tcPr>
            <w:tcW w:w="3686" w:type="dxa"/>
          </w:tcPr>
          <w:p w14:paraId="7B4DAE25" w14:textId="77777777" w:rsidR="00B87F8E" w:rsidRPr="00286216" w:rsidRDefault="00B87F8E" w:rsidP="00B87F8E">
            <w:pPr>
              <w:pStyle w:val="StyleProp"/>
              <w:spacing w:line="180" w:lineRule="exact"/>
              <w:rPr>
                <w:color w:val="000000" w:themeColor="text1"/>
              </w:rPr>
            </w:pPr>
            <w:r w:rsidRPr="00286216">
              <w:rPr>
                <w:color w:val="000000" w:themeColor="text1"/>
              </w:rPr>
              <w:t>Положення частини п’ятої та шостої цієї статті не застосовуються до зобов’язань та прав вимоги, що виникли внаслідок вчинення правочинів, зобов’язання за якими припиняються в процедурі проведення ліквідаційного неттінгу в порядку, встановленому статтею 54-1 цього Закону»</w:t>
            </w:r>
          </w:p>
          <w:p w14:paraId="087F9D6C" w14:textId="6E1ECCBB" w:rsidR="00B87F8E" w:rsidRPr="00286216" w:rsidRDefault="00B87F8E" w:rsidP="00B87F8E">
            <w:pPr>
              <w:pStyle w:val="StyleProp"/>
              <w:spacing w:line="180" w:lineRule="exact"/>
              <w:rPr>
                <w:color w:val="000000" w:themeColor="text1"/>
              </w:rPr>
            </w:pPr>
            <w:r w:rsidRPr="00286216">
              <w:rPr>
                <w:color w:val="000000" w:themeColor="text1"/>
              </w:rPr>
              <w:t>У зв’язку з цим доповнити пункт 1 розділу 4 новим підпунктом щодо набрання чинності цими змінами з дня, наступного за днем опублікування цього Закону.</w:t>
            </w:r>
          </w:p>
        </w:tc>
        <w:tc>
          <w:tcPr>
            <w:tcW w:w="1987" w:type="dxa"/>
          </w:tcPr>
          <w:p w14:paraId="22C6FE4B" w14:textId="77777777" w:rsidR="00B87F8E" w:rsidRPr="00286216" w:rsidRDefault="00B87F8E" w:rsidP="00B87F8E">
            <w:pPr>
              <w:pStyle w:val="StyleWisnow"/>
              <w:rPr>
                <w:color w:val="000000" w:themeColor="text1"/>
              </w:rPr>
            </w:pPr>
          </w:p>
        </w:tc>
        <w:tc>
          <w:tcPr>
            <w:tcW w:w="4818" w:type="dxa"/>
          </w:tcPr>
          <w:p w14:paraId="471656B7" w14:textId="23E39345" w:rsidR="00B87F8E" w:rsidRPr="00286216" w:rsidRDefault="00B87F8E" w:rsidP="00B87F8E">
            <w:pPr>
              <w:pStyle w:val="StyleZakonu"/>
              <w:rPr>
                <w:color w:val="000000" w:themeColor="text1"/>
              </w:rPr>
            </w:pPr>
            <w:r w:rsidRPr="00286216">
              <w:rPr>
                <w:color w:val="000000" w:themeColor="text1"/>
              </w:rPr>
              <w:t>"12. Положення частин п’ятої та шостої цієї статті не застосовуються до зобов’язань та прав вимоги, що виникли внаслідок вчинення правочинів, зобов’язання за якими припиняються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tc>
      </w:tr>
      <w:tr w:rsidR="00B87F8E" w:rsidRPr="00286216" w14:paraId="3D977FF3" w14:textId="77777777" w:rsidTr="00091AA5">
        <w:tc>
          <w:tcPr>
            <w:tcW w:w="576" w:type="dxa"/>
          </w:tcPr>
          <w:p w14:paraId="6D25B870" w14:textId="77777777" w:rsidR="00B87F8E" w:rsidRPr="00286216" w:rsidRDefault="00B87F8E" w:rsidP="00B87F8E">
            <w:pPr>
              <w:pStyle w:val="StyleWisnow"/>
              <w:rPr>
                <w:color w:val="000000" w:themeColor="text1"/>
              </w:rPr>
            </w:pPr>
            <w:bookmarkStart w:id="3441" w:name="n3571" w:colFirst="0" w:colLast="0"/>
            <w:bookmarkEnd w:id="3440"/>
            <w:r w:rsidRPr="00286216">
              <w:rPr>
                <w:color w:val="000000" w:themeColor="text1"/>
              </w:rPr>
              <w:t>3571.</w:t>
            </w:r>
          </w:p>
        </w:tc>
        <w:tc>
          <w:tcPr>
            <w:tcW w:w="4818" w:type="dxa"/>
          </w:tcPr>
          <w:p w14:paraId="5B219BCB" w14:textId="77777777" w:rsidR="00B87F8E" w:rsidRPr="00286216" w:rsidRDefault="00B87F8E" w:rsidP="00B87F8E">
            <w:pPr>
              <w:pStyle w:val="StyleZakonu"/>
              <w:rPr>
                <w:color w:val="000000" w:themeColor="text1"/>
              </w:rPr>
            </w:pPr>
            <w:r w:rsidRPr="00286216">
              <w:rPr>
                <w:color w:val="000000" w:themeColor="text1"/>
              </w:rPr>
              <w:t>14) доповнити частину п’яту статті 45 абзацом такого змісту:</w:t>
            </w:r>
          </w:p>
        </w:tc>
        <w:tc>
          <w:tcPr>
            <w:tcW w:w="3686" w:type="dxa"/>
          </w:tcPr>
          <w:p w14:paraId="3362A55F" w14:textId="45D1BDA2" w:rsidR="00B87F8E" w:rsidRPr="00286216" w:rsidRDefault="00B87F8E" w:rsidP="00B87F8E">
            <w:pPr>
              <w:spacing w:line="220" w:lineRule="exact"/>
              <w:rPr>
                <w:b/>
                <w:i/>
                <w:color w:val="000000" w:themeColor="text1"/>
                <w:spacing w:val="-6"/>
                <w:u w:val="single"/>
              </w:rPr>
            </w:pPr>
          </w:p>
        </w:tc>
        <w:tc>
          <w:tcPr>
            <w:tcW w:w="1987" w:type="dxa"/>
          </w:tcPr>
          <w:p w14:paraId="6A6EF331" w14:textId="77777777" w:rsidR="00B87F8E" w:rsidRPr="00286216" w:rsidRDefault="00B87F8E" w:rsidP="00B87F8E">
            <w:pPr>
              <w:pStyle w:val="StyleWisnow"/>
              <w:rPr>
                <w:color w:val="000000" w:themeColor="text1"/>
              </w:rPr>
            </w:pPr>
          </w:p>
        </w:tc>
        <w:tc>
          <w:tcPr>
            <w:tcW w:w="4818" w:type="dxa"/>
          </w:tcPr>
          <w:p w14:paraId="3D749C28" w14:textId="3C121497" w:rsidR="00B87F8E" w:rsidRPr="00286216" w:rsidRDefault="00B87F8E" w:rsidP="00B87F8E">
            <w:pPr>
              <w:pStyle w:val="StyleZakonu"/>
              <w:rPr>
                <w:color w:val="000000" w:themeColor="text1"/>
              </w:rPr>
            </w:pPr>
            <w:r w:rsidRPr="00286216">
              <w:rPr>
                <w:color w:val="000000" w:themeColor="text1"/>
              </w:rPr>
              <w:t>14) частину п’яту статті 45 доповнити абзацом другим такого змісту:</w:t>
            </w:r>
          </w:p>
        </w:tc>
      </w:tr>
      <w:tr w:rsidR="00B87F8E" w:rsidRPr="00286216" w14:paraId="6D577CE3" w14:textId="77777777" w:rsidTr="00091AA5">
        <w:tc>
          <w:tcPr>
            <w:tcW w:w="576" w:type="dxa"/>
          </w:tcPr>
          <w:p w14:paraId="781469D0" w14:textId="77777777" w:rsidR="00B87F8E" w:rsidRPr="00286216" w:rsidRDefault="00B87F8E" w:rsidP="00B87F8E">
            <w:pPr>
              <w:pStyle w:val="StyleWisnow"/>
              <w:rPr>
                <w:color w:val="000000" w:themeColor="text1"/>
              </w:rPr>
            </w:pPr>
            <w:bookmarkStart w:id="3442" w:name="n3572" w:colFirst="0" w:colLast="0"/>
            <w:bookmarkEnd w:id="3441"/>
            <w:r w:rsidRPr="00286216">
              <w:rPr>
                <w:color w:val="000000" w:themeColor="text1"/>
              </w:rPr>
              <w:t>3572.</w:t>
            </w:r>
          </w:p>
        </w:tc>
        <w:tc>
          <w:tcPr>
            <w:tcW w:w="4818" w:type="dxa"/>
          </w:tcPr>
          <w:p w14:paraId="422C36EA" w14:textId="77777777" w:rsidR="00B87F8E" w:rsidRPr="00286216" w:rsidRDefault="00B87F8E" w:rsidP="00B87F8E">
            <w:pPr>
              <w:pStyle w:val="StyleZakonu"/>
              <w:rPr>
                <w:color w:val="000000" w:themeColor="text1"/>
              </w:rPr>
            </w:pPr>
            <w:r w:rsidRPr="00286216">
              <w:rPr>
                <w:color w:val="000000" w:themeColor="text1"/>
              </w:rPr>
              <w:t>"У випадку ліквідації банку, який має зобов’язання за облігаціями, адміністратор за випуском облігацій, що є кредитором для цілей цього Закону, заявляє Фонду вимоги в інтересах всіх власників облігацій відповідного випуску облігацій. Така вимога адміністратора за випуском облігацій в інтересах всіх власників облігацій розглядається як єдина вимога кредитора. При цьому ідентифікація кожного власника облігацій не вимагається.";</w:t>
            </w:r>
          </w:p>
        </w:tc>
        <w:tc>
          <w:tcPr>
            <w:tcW w:w="3686" w:type="dxa"/>
          </w:tcPr>
          <w:p w14:paraId="26539600" w14:textId="17AC7931" w:rsidR="00B87F8E" w:rsidRPr="00286216" w:rsidRDefault="00B87F8E" w:rsidP="00B87F8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1451</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35438DA5" w14:textId="7A33500A" w:rsidR="00B87F8E" w:rsidRPr="00286216" w:rsidRDefault="00B87F8E" w:rsidP="00B87F8E">
            <w:pPr>
              <w:pStyle w:val="StyleProp"/>
              <w:spacing w:line="190" w:lineRule="exact"/>
              <w:rPr>
                <w:color w:val="000000" w:themeColor="text1"/>
                <w:szCs w:val="18"/>
              </w:rPr>
            </w:pPr>
            <w:r w:rsidRPr="00286216">
              <w:rPr>
                <w:color w:val="000000" w:themeColor="text1"/>
                <w:szCs w:val="18"/>
              </w:rPr>
              <w:t>В абзаці другому підпункту 14 пункту 42 розділу ІІІ слова "Фонду вимоги" замінити словами "Фонду про вимоги до такого банку", а слова "</w:t>
            </w:r>
            <w:r w:rsidRPr="00286216">
              <w:rPr>
                <w:color w:val="000000" w:themeColor="text1"/>
              </w:rPr>
              <w:t>облігацій розглядається" замінити словами "облігацій одного випуску розглядається".</w:t>
            </w:r>
          </w:p>
        </w:tc>
        <w:tc>
          <w:tcPr>
            <w:tcW w:w="1987" w:type="dxa"/>
          </w:tcPr>
          <w:p w14:paraId="068E4949" w14:textId="6725F2EE" w:rsidR="00B87F8E" w:rsidRPr="00286216" w:rsidRDefault="00B87F8E" w:rsidP="00B87F8E">
            <w:pPr>
              <w:pStyle w:val="StyleWisnow"/>
              <w:rPr>
                <w:color w:val="000000" w:themeColor="text1"/>
              </w:rPr>
            </w:pPr>
            <w:r w:rsidRPr="00286216">
              <w:rPr>
                <w:color w:val="000000" w:themeColor="text1"/>
              </w:rPr>
              <w:t>Враховано</w:t>
            </w:r>
          </w:p>
          <w:p w14:paraId="7B9DB639" w14:textId="49A3A169" w:rsidR="00B87F8E" w:rsidRPr="00286216" w:rsidRDefault="00B87F8E" w:rsidP="00B87F8E">
            <w:pPr>
              <w:pStyle w:val="StyleWisnow"/>
              <w:spacing w:line="180" w:lineRule="exact"/>
              <w:rPr>
                <w:color w:val="000000" w:themeColor="text1"/>
              </w:rPr>
            </w:pPr>
            <w:r w:rsidRPr="00286216">
              <w:rPr>
                <w:color w:val="000000" w:themeColor="text1"/>
              </w:rPr>
              <w:t>за наслідками обговорення на засіданні Комітету зауважень НБУ та ФГВФО</w:t>
            </w:r>
          </w:p>
        </w:tc>
        <w:tc>
          <w:tcPr>
            <w:tcW w:w="4818" w:type="dxa"/>
          </w:tcPr>
          <w:p w14:paraId="6C64AD41" w14:textId="2B1978F5" w:rsidR="00B87F8E" w:rsidRPr="00286216" w:rsidRDefault="00B87F8E" w:rsidP="00B87F8E">
            <w:pPr>
              <w:pStyle w:val="StyleZakonu"/>
              <w:rPr>
                <w:color w:val="000000" w:themeColor="text1"/>
              </w:rPr>
            </w:pPr>
            <w:r w:rsidRPr="00286216">
              <w:rPr>
                <w:color w:val="000000" w:themeColor="text1"/>
              </w:rPr>
              <w:t>"У випадку ліквідації банку, який має зобов’язання за облігаціями, адміністратор за випуском облігацій, що є кредитором для цілей цього Закону, заявляє Фонду про вимогу до такого банку в інтересах всіх власників облігацій відповідного випуску. Така вимога адміністратора за випуском облігацій в інтересах всіх власників облігацій одного випуску розглядається як єдина вимога кредитора. При цьому ідентифікація кожного власника облігацій не вимагається";</w:t>
            </w:r>
          </w:p>
        </w:tc>
      </w:tr>
      <w:tr w:rsidR="00B87F8E" w:rsidRPr="00286216" w14:paraId="5F7DD76F" w14:textId="77777777" w:rsidTr="00091AA5">
        <w:tc>
          <w:tcPr>
            <w:tcW w:w="576" w:type="dxa"/>
          </w:tcPr>
          <w:p w14:paraId="505F0E6B" w14:textId="77777777" w:rsidR="00B87F8E" w:rsidRPr="00286216" w:rsidRDefault="00B87F8E" w:rsidP="00B87F8E">
            <w:pPr>
              <w:pStyle w:val="StyleWisnow"/>
              <w:rPr>
                <w:color w:val="000000" w:themeColor="text1"/>
              </w:rPr>
            </w:pPr>
            <w:bookmarkStart w:id="3443" w:name="n3573" w:colFirst="0" w:colLast="0"/>
            <w:bookmarkEnd w:id="3442"/>
            <w:r w:rsidRPr="00286216">
              <w:rPr>
                <w:color w:val="000000" w:themeColor="text1"/>
              </w:rPr>
              <w:t>3573.</w:t>
            </w:r>
          </w:p>
        </w:tc>
        <w:tc>
          <w:tcPr>
            <w:tcW w:w="4818" w:type="dxa"/>
          </w:tcPr>
          <w:p w14:paraId="69B905BF" w14:textId="77777777" w:rsidR="00B87F8E" w:rsidRPr="00286216" w:rsidRDefault="00B87F8E" w:rsidP="00B87F8E">
            <w:pPr>
              <w:pStyle w:val="StyleZakonu"/>
              <w:rPr>
                <w:color w:val="000000" w:themeColor="text1"/>
              </w:rPr>
            </w:pPr>
            <w:r w:rsidRPr="00286216">
              <w:rPr>
                <w:color w:val="000000" w:themeColor="text1"/>
              </w:rPr>
              <w:t>15) абзац 10 частини другої статті 46 після слів "не поширюються на" доповнити словами "процедуру проведення ліквідаційного неттінгу в порядку, встановленому статтею 54-1 цього Закону, а також на";</w:t>
            </w:r>
          </w:p>
        </w:tc>
        <w:tc>
          <w:tcPr>
            <w:tcW w:w="3686" w:type="dxa"/>
          </w:tcPr>
          <w:p w14:paraId="03E6A5C7" w14:textId="1D76B8D4" w:rsidR="00B87F8E" w:rsidRPr="00286216" w:rsidRDefault="00B87F8E" w:rsidP="00B87F8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1452</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6C8ED4A9" w14:textId="22FF47AF" w:rsidR="00B87F8E" w:rsidRPr="00286216" w:rsidRDefault="00B87F8E" w:rsidP="00B87F8E">
            <w:pPr>
              <w:pStyle w:val="StyleProp"/>
              <w:spacing w:line="180" w:lineRule="exact"/>
              <w:rPr>
                <w:color w:val="000000" w:themeColor="text1"/>
              </w:rPr>
            </w:pPr>
            <w:r w:rsidRPr="00286216">
              <w:rPr>
                <w:color w:val="000000" w:themeColor="text1"/>
              </w:rPr>
              <w:t>Підпункт 15 пункту 42 розділу 3 викласти в такій редакції:</w:t>
            </w:r>
          </w:p>
          <w:p w14:paraId="7A1E5948" w14:textId="796343CE" w:rsidR="00B87F8E" w:rsidRPr="00286216" w:rsidRDefault="00B87F8E" w:rsidP="00B87F8E">
            <w:pPr>
              <w:pStyle w:val="StyleProp"/>
              <w:spacing w:line="180" w:lineRule="exact"/>
              <w:rPr>
                <w:color w:val="000000" w:themeColor="text1"/>
              </w:rPr>
            </w:pPr>
            <w:r w:rsidRPr="00286216">
              <w:rPr>
                <w:color w:val="000000" w:themeColor="text1"/>
              </w:rPr>
              <w:t>"15) пункт 8 частини другої статті 46 доповнити речення другим такого змісту: "Обмеження, встановлені цим пунктом, не поширюються на правочини, зобов’язання за якими припиняються в процедурі ліквідаційного неттінгу, що здійснюється в порядку, встановленому статтею 54</w:t>
            </w:r>
            <w:r w:rsidRPr="00286216">
              <w:rPr>
                <w:color w:val="000000" w:themeColor="text1"/>
                <w:vertAlign w:val="superscript"/>
              </w:rPr>
              <w:t xml:space="preserve"> 1</w:t>
            </w:r>
            <w:r w:rsidRPr="00286216">
              <w:rPr>
                <w:color w:val="000000" w:themeColor="text1"/>
              </w:rPr>
              <w:t xml:space="preserve"> цього Закону".</w:t>
            </w:r>
          </w:p>
        </w:tc>
        <w:tc>
          <w:tcPr>
            <w:tcW w:w="1987" w:type="dxa"/>
          </w:tcPr>
          <w:p w14:paraId="04D41494" w14:textId="77777777" w:rsidR="00B87F8E" w:rsidRPr="00286216" w:rsidRDefault="00B87F8E" w:rsidP="00B87F8E">
            <w:pPr>
              <w:pStyle w:val="StyleWisnow"/>
              <w:rPr>
                <w:color w:val="000000" w:themeColor="text1"/>
              </w:rPr>
            </w:pPr>
            <w:r w:rsidRPr="00286216">
              <w:rPr>
                <w:color w:val="000000" w:themeColor="text1"/>
              </w:rPr>
              <w:t>Враховано</w:t>
            </w:r>
          </w:p>
          <w:p w14:paraId="79542ABF" w14:textId="17B9B758" w:rsidR="00B87F8E" w:rsidRPr="00286216" w:rsidRDefault="00B87F8E" w:rsidP="00B87F8E">
            <w:pPr>
              <w:pStyle w:val="StyleWisnow"/>
              <w:spacing w:line="180" w:lineRule="exact"/>
              <w:rPr>
                <w:color w:val="000000" w:themeColor="text1"/>
              </w:rPr>
            </w:pPr>
            <w:r w:rsidRPr="00286216">
              <w:rPr>
                <w:color w:val="000000" w:themeColor="text1"/>
              </w:rPr>
              <w:t xml:space="preserve">узгодження редакції законопроекту з новим Законом № </w:t>
            </w:r>
            <w:hyperlink r:id="rId14" w:tgtFrame="_blank" w:history="1">
              <w:r w:rsidRPr="00286216">
                <w:rPr>
                  <w:color w:val="000000" w:themeColor="text1"/>
                </w:rPr>
                <w:t>590-IX</w:t>
              </w:r>
            </w:hyperlink>
            <w:r w:rsidRPr="00286216">
              <w:rPr>
                <w:color w:val="000000" w:themeColor="text1"/>
              </w:rPr>
              <w:t xml:space="preserve"> від 13.05.2020</w:t>
            </w:r>
          </w:p>
        </w:tc>
        <w:tc>
          <w:tcPr>
            <w:tcW w:w="4818" w:type="dxa"/>
          </w:tcPr>
          <w:p w14:paraId="2CF8CA83" w14:textId="017996ED" w:rsidR="00B87F8E" w:rsidRPr="00286216" w:rsidRDefault="00B87F8E" w:rsidP="00B87F8E">
            <w:pPr>
              <w:pStyle w:val="StyleZakonu"/>
              <w:rPr>
                <w:color w:val="000000" w:themeColor="text1"/>
              </w:rPr>
            </w:pPr>
            <w:r w:rsidRPr="00286216">
              <w:rPr>
                <w:color w:val="000000" w:themeColor="text1"/>
              </w:rPr>
              <w:t>15) пункт 8 частини другої статті 46 доповнити речення другим такого змісту: "Обмеження, встановлені цим пунктом, не поширюються на правочини, зобов’язання за якими припиняються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tc>
      </w:tr>
      <w:tr w:rsidR="00B87F8E" w:rsidRPr="00286216" w14:paraId="5DD8AFBA" w14:textId="77777777" w:rsidTr="00091AA5">
        <w:tc>
          <w:tcPr>
            <w:tcW w:w="576" w:type="dxa"/>
          </w:tcPr>
          <w:p w14:paraId="79BEA0FA" w14:textId="77777777" w:rsidR="00B87F8E" w:rsidRPr="00286216" w:rsidRDefault="00B87F8E" w:rsidP="00B87F8E">
            <w:pPr>
              <w:pStyle w:val="StyleWisnow"/>
              <w:rPr>
                <w:color w:val="000000" w:themeColor="text1"/>
              </w:rPr>
            </w:pPr>
            <w:bookmarkStart w:id="3444" w:name="n3574" w:colFirst="0" w:colLast="0"/>
            <w:bookmarkEnd w:id="3443"/>
            <w:r w:rsidRPr="00286216">
              <w:rPr>
                <w:color w:val="000000" w:themeColor="text1"/>
              </w:rPr>
              <w:t>3574.</w:t>
            </w:r>
          </w:p>
        </w:tc>
        <w:tc>
          <w:tcPr>
            <w:tcW w:w="4818" w:type="dxa"/>
          </w:tcPr>
          <w:p w14:paraId="213286FD" w14:textId="77777777" w:rsidR="00B87F8E" w:rsidRPr="00286216" w:rsidRDefault="00B87F8E" w:rsidP="00B87F8E">
            <w:pPr>
              <w:pStyle w:val="StyleZakonu"/>
              <w:rPr>
                <w:color w:val="000000" w:themeColor="text1"/>
              </w:rPr>
            </w:pPr>
            <w:r w:rsidRPr="00286216">
              <w:rPr>
                <w:color w:val="000000" w:themeColor="text1"/>
              </w:rPr>
              <w:t>16) пункт шостий частини першої статті 48 доповнити словами "крім правочинів, що припиняються у процедурі проведення ліквідаційного неттінгу в порядку, встановленому статтею 54-1 цього Закону; ";</w:t>
            </w:r>
          </w:p>
        </w:tc>
        <w:tc>
          <w:tcPr>
            <w:tcW w:w="3686" w:type="dxa"/>
          </w:tcPr>
          <w:p w14:paraId="3D28CC4C" w14:textId="28A38FB7" w:rsidR="00B87F8E" w:rsidRPr="00286216" w:rsidRDefault="00B87F8E" w:rsidP="00B87F8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1453</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613241FF" w14:textId="2C946117" w:rsidR="00B87F8E" w:rsidRPr="00286216" w:rsidRDefault="00B87F8E" w:rsidP="00B87F8E">
            <w:pPr>
              <w:pStyle w:val="StyleProp"/>
              <w:spacing w:line="180" w:lineRule="exact"/>
              <w:rPr>
                <w:color w:val="000000" w:themeColor="text1"/>
              </w:rPr>
            </w:pPr>
            <w:r w:rsidRPr="00286216">
              <w:rPr>
                <w:color w:val="000000" w:themeColor="text1"/>
              </w:rPr>
              <w:t>Підпункт 16 пункту 42 розділу 3 викласти в такій редакції:</w:t>
            </w:r>
          </w:p>
          <w:p w14:paraId="6D531719" w14:textId="2D996EB5" w:rsidR="00B87F8E" w:rsidRPr="00286216" w:rsidRDefault="00B87F8E" w:rsidP="00B87F8E">
            <w:pPr>
              <w:pStyle w:val="StyleProp"/>
              <w:spacing w:line="180" w:lineRule="exact"/>
              <w:rPr>
                <w:color w:val="000000" w:themeColor="text1"/>
              </w:rPr>
            </w:pPr>
            <w:r w:rsidRPr="00286216">
              <w:rPr>
                <w:color w:val="000000" w:themeColor="text1"/>
              </w:rPr>
              <w:t xml:space="preserve">"16) пункт 6 частини першої статті 48 доповнити речення другим такого змісту: </w:t>
            </w:r>
            <w:r w:rsidRPr="00286216">
              <w:rPr>
                <w:color w:val="000000" w:themeColor="text1"/>
              </w:rPr>
              <w:lastRenderedPageBreak/>
              <w:t>"Цей пункт не застосовується до деривативних контрактів та інших правочинів, зобов’язання за якими припиняються в процедурі ліквідаційного неттінгу, що здійснюється в порядку, встановленому статтею 54</w:t>
            </w:r>
            <w:r w:rsidRPr="00286216">
              <w:rPr>
                <w:color w:val="000000" w:themeColor="text1"/>
                <w:vertAlign w:val="superscript"/>
              </w:rPr>
              <w:t xml:space="preserve"> 1</w:t>
            </w:r>
            <w:r w:rsidRPr="00286216">
              <w:rPr>
                <w:color w:val="000000" w:themeColor="text1"/>
              </w:rPr>
              <w:t xml:space="preserve"> цього Закону".</w:t>
            </w:r>
          </w:p>
        </w:tc>
        <w:tc>
          <w:tcPr>
            <w:tcW w:w="1987" w:type="dxa"/>
          </w:tcPr>
          <w:p w14:paraId="7A1C3763" w14:textId="77777777" w:rsidR="00B87F8E" w:rsidRPr="00286216" w:rsidRDefault="00B87F8E" w:rsidP="00B87F8E">
            <w:pPr>
              <w:pStyle w:val="StyleWisnow"/>
              <w:rPr>
                <w:color w:val="000000" w:themeColor="text1"/>
              </w:rPr>
            </w:pPr>
            <w:r w:rsidRPr="00286216">
              <w:rPr>
                <w:color w:val="000000" w:themeColor="text1"/>
              </w:rPr>
              <w:lastRenderedPageBreak/>
              <w:t>Враховано</w:t>
            </w:r>
          </w:p>
          <w:p w14:paraId="27AA096E" w14:textId="43D9871D" w:rsidR="00B87F8E" w:rsidRPr="00286216" w:rsidRDefault="00B87F8E" w:rsidP="00B87F8E">
            <w:pPr>
              <w:pStyle w:val="StyleWisnow"/>
              <w:spacing w:line="180" w:lineRule="exact"/>
              <w:rPr>
                <w:color w:val="000000" w:themeColor="text1"/>
              </w:rPr>
            </w:pPr>
            <w:r w:rsidRPr="00286216">
              <w:rPr>
                <w:color w:val="000000" w:themeColor="text1"/>
              </w:rPr>
              <w:t xml:space="preserve">узгодження редакції законопроекту з новим Законом № </w:t>
            </w:r>
            <w:hyperlink r:id="rId15" w:tgtFrame="_blank" w:history="1">
              <w:r w:rsidRPr="00286216">
                <w:rPr>
                  <w:color w:val="000000" w:themeColor="text1"/>
                </w:rPr>
                <w:t>590-IX</w:t>
              </w:r>
            </w:hyperlink>
            <w:r w:rsidRPr="00286216">
              <w:rPr>
                <w:color w:val="000000" w:themeColor="text1"/>
              </w:rPr>
              <w:t xml:space="preserve"> від 13.05.2020</w:t>
            </w:r>
          </w:p>
        </w:tc>
        <w:tc>
          <w:tcPr>
            <w:tcW w:w="4818" w:type="dxa"/>
          </w:tcPr>
          <w:p w14:paraId="30D45BF6" w14:textId="7776378F" w:rsidR="00B87F8E" w:rsidRPr="00286216" w:rsidRDefault="00B87F8E" w:rsidP="00B87F8E">
            <w:pPr>
              <w:pStyle w:val="StyleZakonu"/>
              <w:rPr>
                <w:color w:val="000000" w:themeColor="text1"/>
              </w:rPr>
            </w:pPr>
            <w:r w:rsidRPr="00286216">
              <w:rPr>
                <w:color w:val="000000" w:themeColor="text1"/>
              </w:rPr>
              <w:t>16) пункт 6 частини першої статті 48 доповнити речення другим такого змісту: "Цей пункт не застосовується до правочинів, зобов’язання за якими припиняються у процедурі ліквідаційного неттінгу, що здійснюється в порядку, встановленому статтею 54</w:t>
            </w:r>
            <w:r w:rsidRPr="00286216">
              <w:rPr>
                <w:color w:val="000000" w:themeColor="text1"/>
                <w:vertAlign w:val="superscript"/>
              </w:rPr>
              <w:t>1</w:t>
            </w:r>
            <w:r w:rsidRPr="00286216">
              <w:rPr>
                <w:color w:val="000000" w:themeColor="text1"/>
              </w:rPr>
              <w:t xml:space="preserve"> цього Закону";</w:t>
            </w:r>
          </w:p>
        </w:tc>
      </w:tr>
      <w:tr w:rsidR="00B87F8E" w:rsidRPr="00286216" w14:paraId="70415C13" w14:textId="77777777" w:rsidTr="00091AA5">
        <w:tc>
          <w:tcPr>
            <w:tcW w:w="576" w:type="dxa"/>
          </w:tcPr>
          <w:p w14:paraId="5CDA57B9" w14:textId="694CBFF4" w:rsidR="00B87F8E" w:rsidRPr="00286216" w:rsidRDefault="00B87F8E" w:rsidP="00B87F8E">
            <w:pPr>
              <w:pStyle w:val="StyleWisnow"/>
              <w:rPr>
                <w:color w:val="000000" w:themeColor="text1"/>
              </w:rPr>
            </w:pPr>
            <w:bookmarkStart w:id="3445" w:name="n3575" w:colFirst="0" w:colLast="0"/>
            <w:bookmarkEnd w:id="3444"/>
            <w:r w:rsidRPr="00286216">
              <w:rPr>
                <w:color w:val="000000" w:themeColor="text1"/>
              </w:rPr>
              <w:t>3575.</w:t>
            </w:r>
          </w:p>
        </w:tc>
        <w:tc>
          <w:tcPr>
            <w:tcW w:w="4818" w:type="dxa"/>
          </w:tcPr>
          <w:p w14:paraId="3F64364A" w14:textId="78913E6C" w:rsidR="00B87F8E" w:rsidRPr="00286216" w:rsidRDefault="00B87F8E" w:rsidP="00B87F8E">
            <w:pPr>
              <w:pStyle w:val="StyleZakonu"/>
              <w:spacing w:line="200" w:lineRule="exact"/>
              <w:rPr>
                <w:color w:val="000000" w:themeColor="text1"/>
              </w:rPr>
            </w:pPr>
            <w:r w:rsidRPr="00286216">
              <w:rPr>
                <w:color w:val="000000" w:themeColor="text1"/>
              </w:rPr>
              <w:t>17) у статті 50:</w:t>
            </w:r>
          </w:p>
        </w:tc>
        <w:tc>
          <w:tcPr>
            <w:tcW w:w="3686" w:type="dxa"/>
          </w:tcPr>
          <w:p w14:paraId="2506A711" w14:textId="4D3F4EE9"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1454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B440182" w14:textId="77777777" w:rsidR="00B87F8E" w:rsidRPr="00286216" w:rsidRDefault="00B87F8E" w:rsidP="00B87F8E">
            <w:pPr>
              <w:pStyle w:val="StyleProp"/>
              <w:rPr>
                <w:color w:val="000000" w:themeColor="text1"/>
              </w:rPr>
            </w:pPr>
            <w:r w:rsidRPr="00286216">
              <w:rPr>
                <w:color w:val="000000" w:themeColor="text1"/>
              </w:rPr>
              <w:t>Підпункт 16 пункту 42 Розділу 3 викласти в такій редакції:</w:t>
            </w:r>
          </w:p>
          <w:p w14:paraId="028385CF" w14:textId="1F82661E" w:rsidR="00B87F8E" w:rsidRPr="00286216" w:rsidRDefault="00B87F8E" w:rsidP="00B87F8E">
            <w:pPr>
              <w:pStyle w:val="StyleProp"/>
              <w:rPr>
                <w:color w:val="000000" w:themeColor="text1"/>
                <w:szCs w:val="18"/>
              </w:rPr>
            </w:pPr>
            <w:r w:rsidRPr="00286216">
              <w:rPr>
                <w:color w:val="000000" w:themeColor="text1"/>
              </w:rPr>
              <w:t>«16) викласти абзац дванадцятий частини першої статті 48 в такій редакції:</w:t>
            </w:r>
          </w:p>
        </w:tc>
        <w:tc>
          <w:tcPr>
            <w:tcW w:w="1987" w:type="dxa"/>
          </w:tcPr>
          <w:p w14:paraId="0AB11046" w14:textId="3BB85B69" w:rsidR="00B87F8E" w:rsidRPr="00286216" w:rsidRDefault="00B87F8E" w:rsidP="00B87F8E">
            <w:pPr>
              <w:pStyle w:val="StyleWisnow"/>
              <w:rPr>
                <w:color w:val="000000" w:themeColor="text1"/>
              </w:rPr>
            </w:pPr>
            <w:r w:rsidRPr="00286216">
              <w:rPr>
                <w:color w:val="000000" w:themeColor="text1"/>
              </w:rPr>
              <w:t>Враховано редакційно</w:t>
            </w:r>
          </w:p>
        </w:tc>
        <w:tc>
          <w:tcPr>
            <w:tcW w:w="4818" w:type="dxa"/>
          </w:tcPr>
          <w:p w14:paraId="45C9F824" w14:textId="2D116D81" w:rsidR="00B87F8E" w:rsidRPr="00286216" w:rsidRDefault="00B87F8E" w:rsidP="00B87F8E">
            <w:pPr>
              <w:pStyle w:val="StyleZakonu"/>
              <w:rPr>
                <w:color w:val="000000" w:themeColor="text1"/>
              </w:rPr>
            </w:pPr>
            <w:r w:rsidRPr="00286216">
              <w:rPr>
                <w:color w:val="000000" w:themeColor="text1"/>
              </w:rPr>
              <w:t>17) у статті 50:</w:t>
            </w:r>
          </w:p>
        </w:tc>
      </w:tr>
      <w:tr w:rsidR="00B87F8E" w:rsidRPr="00286216" w14:paraId="0D9A261E" w14:textId="77777777" w:rsidTr="00091AA5">
        <w:tc>
          <w:tcPr>
            <w:tcW w:w="576" w:type="dxa"/>
          </w:tcPr>
          <w:p w14:paraId="1676421C" w14:textId="77777777" w:rsidR="00B87F8E" w:rsidRPr="00286216" w:rsidRDefault="00B87F8E" w:rsidP="00B87F8E">
            <w:pPr>
              <w:pStyle w:val="StyleWisnow"/>
              <w:rPr>
                <w:color w:val="000000" w:themeColor="text1"/>
              </w:rPr>
            </w:pPr>
            <w:bookmarkStart w:id="3446" w:name="n3576" w:colFirst="0" w:colLast="0"/>
            <w:bookmarkEnd w:id="3445"/>
            <w:r w:rsidRPr="00286216">
              <w:rPr>
                <w:color w:val="000000" w:themeColor="text1"/>
              </w:rPr>
              <w:t>3576.</w:t>
            </w:r>
          </w:p>
        </w:tc>
        <w:tc>
          <w:tcPr>
            <w:tcW w:w="4818" w:type="dxa"/>
          </w:tcPr>
          <w:p w14:paraId="51D2F3BA" w14:textId="77777777" w:rsidR="00B87F8E" w:rsidRPr="00286216" w:rsidRDefault="00B87F8E" w:rsidP="00B87F8E">
            <w:pPr>
              <w:pStyle w:val="StyleZakonu"/>
              <w:rPr>
                <w:color w:val="000000" w:themeColor="text1"/>
              </w:rPr>
            </w:pPr>
            <w:r w:rsidRPr="00286216">
              <w:rPr>
                <w:color w:val="000000" w:themeColor="text1"/>
              </w:rPr>
              <w:t>а) у абзаці першому частини п’ятої слова "або є забезпеченням виконання зобов’язань за сертифікатами з фіксованою дохідністю, емітентом яких є банк" виключити, а слова "законів України "Про іпотечне кредитування, операції з консолідованим іпотечним боргом та іпотечні сертифікати" та" замінити словами "Закону України";</w:t>
            </w:r>
          </w:p>
        </w:tc>
        <w:tc>
          <w:tcPr>
            <w:tcW w:w="3686" w:type="dxa"/>
          </w:tcPr>
          <w:p w14:paraId="356231CA" w14:textId="77777777" w:rsidR="00B87F8E" w:rsidRPr="00286216" w:rsidRDefault="00B87F8E" w:rsidP="00B87F8E">
            <w:pPr>
              <w:pStyle w:val="StyleProp"/>
              <w:spacing w:line="180" w:lineRule="exact"/>
              <w:rPr>
                <w:color w:val="000000" w:themeColor="text1"/>
              </w:rPr>
            </w:pPr>
            <w:r w:rsidRPr="00286216">
              <w:rPr>
                <w:color w:val="000000" w:themeColor="text1"/>
              </w:rPr>
              <w:t>"Пункт 6 цієї частини статті не застосовується до операцій, що проводяться у ході ліквідаційного неттінгу в порядку, передбаченому статтю 54-1 цього Закону крім правочинів, вчинених поза організованим ринком протягом місяця, що передував даті ліквідаційного неттінгу, без очевидної економічної чи законної мети, або правочинів, вчинених поза організованим ринком з пов’язаними особами банку";».</w:t>
            </w:r>
          </w:p>
          <w:p w14:paraId="24DD1252" w14:textId="131CECF9" w:rsidR="00B87F8E" w:rsidRPr="00286216" w:rsidRDefault="00B87F8E" w:rsidP="00B87F8E">
            <w:pPr>
              <w:pStyle w:val="StyleProp"/>
              <w:spacing w:line="180" w:lineRule="exact"/>
              <w:rPr>
                <w:color w:val="000000" w:themeColor="text1"/>
                <w:szCs w:val="18"/>
              </w:rPr>
            </w:pPr>
            <w:r w:rsidRPr="00286216">
              <w:rPr>
                <w:color w:val="000000" w:themeColor="text1"/>
              </w:rPr>
              <w:t>У зв’язку з цим доповнити пункт 1 розділу 4 новим підпунктом щодо набрання чинності цими змінами з дня, наступного за днем опублікування цього Закону.</w:t>
            </w:r>
          </w:p>
        </w:tc>
        <w:tc>
          <w:tcPr>
            <w:tcW w:w="1987" w:type="dxa"/>
          </w:tcPr>
          <w:p w14:paraId="50148EE8" w14:textId="77777777" w:rsidR="00B87F8E" w:rsidRPr="00286216" w:rsidRDefault="00B87F8E" w:rsidP="00B87F8E">
            <w:pPr>
              <w:pStyle w:val="StyleWisnow"/>
              <w:rPr>
                <w:color w:val="000000" w:themeColor="text1"/>
              </w:rPr>
            </w:pPr>
          </w:p>
        </w:tc>
        <w:tc>
          <w:tcPr>
            <w:tcW w:w="4818" w:type="dxa"/>
          </w:tcPr>
          <w:p w14:paraId="3FBB402F" w14:textId="4C112163" w:rsidR="00B87F8E" w:rsidRPr="00286216" w:rsidRDefault="00B87F8E" w:rsidP="00B87F8E">
            <w:pPr>
              <w:pStyle w:val="StyleZakonu"/>
              <w:rPr>
                <w:color w:val="000000" w:themeColor="text1"/>
              </w:rPr>
            </w:pPr>
            <w:r w:rsidRPr="00286216">
              <w:rPr>
                <w:color w:val="000000" w:themeColor="text1"/>
              </w:rPr>
              <w:t>а) в абзаці першому частини п’ятої слова "або є забезпеченням виконання зобов’язань за сертифікатами з фіксованою дохідністю, емітентом яких є банк" виключити, а слова "законів України "Про іпотечне кредитування, операції з консолідованим іпотечним боргом та іпотечні сертифікати" та" замінити словами "Закону України";</w:t>
            </w:r>
          </w:p>
        </w:tc>
      </w:tr>
      <w:tr w:rsidR="00B87F8E" w:rsidRPr="00286216" w14:paraId="2F9510BE" w14:textId="77777777" w:rsidTr="00091AA5">
        <w:tc>
          <w:tcPr>
            <w:tcW w:w="576" w:type="dxa"/>
          </w:tcPr>
          <w:p w14:paraId="6DB4F49C" w14:textId="77777777" w:rsidR="00B87F8E" w:rsidRPr="00286216" w:rsidRDefault="00B87F8E" w:rsidP="00B87F8E">
            <w:pPr>
              <w:pStyle w:val="StyleWisnow"/>
              <w:rPr>
                <w:color w:val="000000" w:themeColor="text1"/>
              </w:rPr>
            </w:pPr>
            <w:bookmarkStart w:id="3447" w:name="n3577" w:colFirst="0" w:colLast="0"/>
            <w:bookmarkEnd w:id="3446"/>
            <w:r w:rsidRPr="00286216">
              <w:rPr>
                <w:color w:val="000000" w:themeColor="text1"/>
              </w:rPr>
              <w:t>3577.</w:t>
            </w:r>
          </w:p>
        </w:tc>
        <w:tc>
          <w:tcPr>
            <w:tcW w:w="4818" w:type="dxa"/>
          </w:tcPr>
          <w:p w14:paraId="5218E8DA" w14:textId="77777777" w:rsidR="00B87F8E" w:rsidRPr="00286216" w:rsidRDefault="00B87F8E" w:rsidP="00B87F8E">
            <w:pPr>
              <w:pStyle w:val="StyleZakonu"/>
              <w:rPr>
                <w:color w:val="000000" w:themeColor="text1"/>
              </w:rPr>
            </w:pPr>
            <w:r w:rsidRPr="00286216">
              <w:rPr>
                <w:color w:val="000000" w:themeColor="text1"/>
              </w:rPr>
              <w:t>б) доповнити новою частиною такого змісту:</w:t>
            </w:r>
          </w:p>
        </w:tc>
        <w:tc>
          <w:tcPr>
            <w:tcW w:w="3686" w:type="dxa"/>
          </w:tcPr>
          <w:p w14:paraId="20A9C77E" w14:textId="26212CA3"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1455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C56ED83" w14:textId="76536BB6" w:rsidR="00B87F8E" w:rsidRPr="00286216" w:rsidRDefault="00B87F8E" w:rsidP="00B87F8E">
            <w:pPr>
              <w:pStyle w:val="StyleProp"/>
              <w:spacing w:line="180" w:lineRule="exact"/>
              <w:rPr>
                <w:color w:val="000000" w:themeColor="text1"/>
                <w:szCs w:val="18"/>
              </w:rPr>
            </w:pPr>
            <w:r w:rsidRPr="00286216">
              <w:rPr>
                <w:color w:val="000000" w:themeColor="text1"/>
                <w:szCs w:val="18"/>
              </w:rPr>
              <w:t>Абзац 3 підпункту 17 пункту 42 Розділу ІІІ Законопроекту виключити</w:t>
            </w:r>
          </w:p>
        </w:tc>
        <w:tc>
          <w:tcPr>
            <w:tcW w:w="1987" w:type="dxa"/>
          </w:tcPr>
          <w:p w14:paraId="1DE29209" w14:textId="77777777" w:rsidR="00B87F8E" w:rsidRPr="00286216" w:rsidRDefault="00B87F8E" w:rsidP="00B87F8E">
            <w:pPr>
              <w:pStyle w:val="StyleWisnow"/>
              <w:rPr>
                <w:color w:val="000000" w:themeColor="text1"/>
              </w:rPr>
            </w:pPr>
            <w:r w:rsidRPr="00286216">
              <w:rPr>
                <w:color w:val="000000" w:themeColor="text1"/>
              </w:rPr>
              <w:t>Враховано</w:t>
            </w:r>
          </w:p>
        </w:tc>
        <w:tc>
          <w:tcPr>
            <w:tcW w:w="4818" w:type="dxa"/>
          </w:tcPr>
          <w:p w14:paraId="180915C6" w14:textId="77777777" w:rsidR="00B87F8E" w:rsidRPr="00286216" w:rsidRDefault="00B87F8E" w:rsidP="00B87F8E">
            <w:pPr>
              <w:pStyle w:val="StyleZakonu"/>
              <w:rPr>
                <w:color w:val="000000" w:themeColor="text1"/>
              </w:rPr>
            </w:pPr>
          </w:p>
        </w:tc>
      </w:tr>
      <w:tr w:rsidR="008E6EDB" w:rsidRPr="00286216" w14:paraId="77B1AAA2" w14:textId="77777777" w:rsidTr="00091AA5">
        <w:tc>
          <w:tcPr>
            <w:tcW w:w="576" w:type="dxa"/>
          </w:tcPr>
          <w:p w14:paraId="04B00B44" w14:textId="77777777" w:rsidR="008E6EDB" w:rsidRPr="00286216" w:rsidRDefault="008E6EDB" w:rsidP="008E6EDB">
            <w:pPr>
              <w:pStyle w:val="StyleWisnow"/>
              <w:rPr>
                <w:color w:val="000000" w:themeColor="text1"/>
              </w:rPr>
            </w:pPr>
            <w:bookmarkStart w:id="3448" w:name="n3578" w:colFirst="0" w:colLast="0"/>
            <w:bookmarkEnd w:id="3447"/>
            <w:r w:rsidRPr="00286216">
              <w:rPr>
                <w:color w:val="000000" w:themeColor="text1"/>
              </w:rPr>
              <w:t>3578.</w:t>
            </w:r>
          </w:p>
        </w:tc>
        <w:tc>
          <w:tcPr>
            <w:tcW w:w="4818" w:type="dxa"/>
          </w:tcPr>
          <w:p w14:paraId="70ACD2B1" w14:textId="77777777" w:rsidR="008E6EDB" w:rsidRPr="00286216" w:rsidRDefault="008E6EDB" w:rsidP="008E6EDB">
            <w:pPr>
              <w:pStyle w:val="StyleZakonu"/>
              <w:rPr>
                <w:color w:val="000000" w:themeColor="text1"/>
              </w:rPr>
            </w:pPr>
            <w:r w:rsidRPr="00286216">
              <w:rPr>
                <w:color w:val="000000" w:themeColor="text1"/>
              </w:rPr>
              <w:t>"6. Активи банку, який є адміністратором за випуском облігацій, отримані ним від емітента таких облігацій, осіб, які надають забезпечення за ними, у процесі стягнення заборгованості за такими облігаціями або в процедурі банкрутства або ліквідації таких осіб для подальшої передачі власникам облігацій в якості погашення та виплати доходів за облігаціями, не включаються до його ліквідаційної маси. Відчуження цих активів здійснюється відповідно до Закону України "Про ринки капіталу та організовані товарні ринки".";</w:t>
            </w:r>
          </w:p>
        </w:tc>
        <w:tc>
          <w:tcPr>
            <w:tcW w:w="3686" w:type="dxa"/>
          </w:tcPr>
          <w:p w14:paraId="311BC9D6" w14:textId="3EF960CC" w:rsidR="008E6EDB" w:rsidRPr="00286216" w:rsidRDefault="008E6EDB" w:rsidP="008E6EDB">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1456</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21AE233" w14:textId="79581249" w:rsidR="008E6EDB" w:rsidRPr="00286216" w:rsidRDefault="008E6EDB" w:rsidP="008E6EDB">
            <w:pPr>
              <w:pStyle w:val="StyleProp"/>
              <w:spacing w:line="180" w:lineRule="exact"/>
              <w:rPr>
                <w:color w:val="000000" w:themeColor="text1"/>
                <w:szCs w:val="18"/>
              </w:rPr>
            </w:pPr>
            <w:r w:rsidRPr="00286216">
              <w:rPr>
                <w:color w:val="000000" w:themeColor="text1"/>
                <w:szCs w:val="18"/>
              </w:rPr>
              <w:t>Абзац 4 підпункту 17 пункту 42 Розділу ІІІ Законопроекту виключити</w:t>
            </w:r>
          </w:p>
          <w:p w14:paraId="2C646EA2" w14:textId="77777777" w:rsidR="008E6EDB" w:rsidRPr="00286216" w:rsidRDefault="008E6EDB" w:rsidP="008E6EDB">
            <w:pPr>
              <w:pStyle w:val="StyleProp"/>
              <w:rPr>
                <w:color w:val="000000" w:themeColor="text1"/>
                <w:szCs w:val="18"/>
              </w:rPr>
            </w:pPr>
          </w:p>
          <w:p w14:paraId="23F507DB" w14:textId="18324A36"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1457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1B9D247F" w14:textId="3F6F2A6E" w:rsidR="008E6EDB" w:rsidRPr="00286216" w:rsidRDefault="008E6EDB" w:rsidP="008E6EDB">
            <w:pPr>
              <w:spacing w:line="180" w:lineRule="exact"/>
              <w:ind w:firstLine="227"/>
              <w:jc w:val="both"/>
              <w:rPr>
                <w:color w:val="000000" w:themeColor="text1"/>
                <w:sz w:val="18"/>
              </w:rPr>
            </w:pPr>
            <w:r w:rsidRPr="00286216">
              <w:rPr>
                <w:color w:val="000000" w:themeColor="text1"/>
                <w:sz w:val="18"/>
              </w:rPr>
              <w:t>У пункті 42 розділу 3, яким пропонується внести зміни до Закону України “Про систему гарантування вкладів фізичних осіб” підпункт “б” підпункту 17 пункту 42 розділу 3 виключити;</w:t>
            </w:r>
          </w:p>
        </w:tc>
        <w:tc>
          <w:tcPr>
            <w:tcW w:w="1987" w:type="dxa"/>
          </w:tcPr>
          <w:p w14:paraId="768DECE8" w14:textId="77777777" w:rsidR="008E6EDB" w:rsidRPr="00286216" w:rsidRDefault="008E6EDB" w:rsidP="008E6EDB">
            <w:pPr>
              <w:pStyle w:val="StyleWisnow"/>
              <w:rPr>
                <w:color w:val="000000" w:themeColor="text1"/>
              </w:rPr>
            </w:pPr>
            <w:r w:rsidRPr="00286216">
              <w:rPr>
                <w:color w:val="000000" w:themeColor="text1"/>
              </w:rPr>
              <w:t>Враховано</w:t>
            </w:r>
          </w:p>
          <w:p w14:paraId="3DC67924" w14:textId="77777777" w:rsidR="008E6EDB" w:rsidRPr="00286216" w:rsidRDefault="008E6EDB" w:rsidP="008E6EDB">
            <w:pPr>
              <w:pStyle w:val="StyleWisnow"/>
              <w:rPr>
                <w:color w:val="000000" w:themeColor="text1"/>
              </w:rPr>
            </w:pPr>
          </w:p>
          <w:p w14:paraId="02223379" w14:textId="77777777" w:rsidR="008E6EDB" w:rsidRPr="00286216" w:rsidRDefault="008E6EDB" w:rsidP="008E6EDB">
            <w:pPr>
              <w:pStyle w:val="StyleWisnow"/>
              <w:rPr>
                <w:color w:val="000000" w:themeColor="text1"/>
              </w:rPr>
            </w:pPr>
          </w:p>
          <w:p w14:paraId="751D50D1" w14:textId="77777777" w:rsidR="008E6EDB" w:rsidRPr="00286216" w:rsidRDefault="008E6EDB" w:rsidP="008E6EDB">
            <w:pPr>
              <w:pStyle w:val="StyleWisnow"/>
              <w:rPr>
                <w:color w:val="000000" w:themeColor="text1"/>
              </w:rPr>
            </w:pPr>
          </w:p>
          <w:p w14:paraId="00B2540C"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544F0CFA" w14:textId="77777777" w:rsidR="008E6EDB" w:rsidRPr="00286216" w:rsidRDefault="008E6EDB" w:rsidP="008E6EDB">
            <w:pPr>
              <w:pStyle w:val="StyleZakonu"/>
              <w:rPr>
                <w:color w:val="000000" w:themeColor="text1"/>
              </w:rPr>
            </w:pPr>
          </w:p>
        </w:tc>
      </w:tr>
      <w:tr w:rsidR="00B87F8E" w:rsidRPr="00286216" w14:paraId="53C3A75B" w14:textId="77777777" w:rsidTr="00091AA5">
        <w:tc>
          <w:tcPr>
            <w:tcW w:w="576" w:type="dxa"/>
          </w:tcPr>
          <w:p w14:paraId="75EC1005" w14:textId="77777777" w:rsidR="00B87F8E" w:rsidRPr="00286216" w:rsidRDefault="00B87F8E" w:rsidP="00B87F8E">
            <w:pPr>
              <w:pStyle w:val="StyleWisnow"/>
              <w:rPr>
                <w:color w:val="000000" w:themeColor="text1"/>
              </w:rPr>
            </w:pPr>
            <w:bookmarkStart w:id="3449" w:name="n3579" w:colFirst="0" w:colLast="0"/>
            <w:bookmarkEnd w:id="3448"/>
            <w:r w:rsidRPr="00286216">
              <w:rPr>
                <w:color w:val="000000" w:themeColor="text1"/>
              </w:rPr>
              <w:t>3579.</w:t>
            </w:r>
          </w:p>
        </w:tc>
        <w:tc>
          <w:tcPr>
            <w:tcW w:w="4818" w:type="dxa"/>
          </w:tcPr>
          <w:p w14:paraId="7C2F83BA" w14:textId="77777777" w:rsidR="00B87F8E" w:rsidRPr="00286216" w:rsidRDefault="00B87F8E" w:rsidP="00B87F8E">
            <w:pPr>
              <w:pStyle w:val="StyleZakonu"/>
              <w:rPr>
                <w:color w:val="000000" w:themeColor="text1"/>
              </w:rPr>
            </w:pPr>
            <w:r w:rsidRPr="00286216">
              <w:rPr>
                <w:color w:val="000000" w:themeColor="text1"/>
              </w:rPr>
              <w:t>18) у статті 51:</w:t>
            </w:r>
          </w:p>
        </w:tc>
        <w:tc>
          <w:tcPr>
            <w:tcW w:w="3686" w:type="dxa"/>
          </w:tcPr>
          <w:p w14:paraId="45DD76C6" w14:textId="77777777" w:rsidR="00B87F8E" w:rsidRPr="00286216" w:rsidRDefault="00B87F8E" w:rsidP="00B87F8E">
            <w:pPr>
              <w:pStyle w:val="StyleProp"/>
              <w:rPr>
                <w:color w:val="000000" w:themeColor="text1"/>
                <w:szCs w:val="18"/>
              </w:rPr>
            </w:pPr>
          </w:p>
        </w:tc>
        <w:tc>
          <w:tcPr>
            <w:tcW w:w="1987" w:type="dxa"/>
          </w:tcPr>
          <w:p w14:paraId="5C225BAD" w14:textId="77777777" w:rsidR="00B87F8E" w:rsidRPr="00286216" w:rsidRDefault="00B87F8E" w:rsidP="00B87F8E">
            <w:pPr>
              <w:pStyle w:val="StyleWisnow"/>
              <w:rPr>
                <w:color w:val="000000" w:themeColor="text1"/>
              </w:rPr>
            </w:pPr>
          </w:p>
        </w:tc>
        <w:tc>
          <w:tcPr>
            <w:tcW w:w="4818" w:type="dxa"/>
          </w:tcPr>
          <w:p w14:paraId="2D23DC35" w14:textId="6CC26004" w:rsidR="00B87F8E" w:rsidRPr="00286216" w:rsidRDefault="00B87F8E" w:rsidP="00B87F8E">
            <w:pPr>
              <w:pStyle w:val="StyleZakonu"/>
              <w:rPr>
                <w:color w:val="000000" w:themeColor="text1"/>
              </w:rPr>
            </w:pPr>
            <w:r w:rsidRPr="00286216">
              <w:rPr>
                <w:color w:val="000000" w:themeColor="text1"/>
              </w:rPr>
              <w:t>18) у статті 51:</w:t>
            </w:r>
          </w:p>
        </w:tc>
      </w:tr>
      <w:tr w:rsidR="00B87F8E" w:rsidRPr="00286216" w14:paraId="1F66616E" w14:textId="77777777" w:rsidTr="00091AA5">
        <w:tc>
          <w:tcPr>
            <w:tcW w:w="576" w:type="dxa"/>
          </w:tcPr>
          <w:p w14:paraId="13F8408D" w14:textId="77777777" w:rsidR="00B87F8E" w:rsidRPr="00286216" w:rsidRDefault="00B87F8E" w:rsidP="00B87F8E">
            <w:pPr>
              <w:pStyle w:val="StyleWisnow"/>
              <w:rPr>
                <w:color w:val="000000" w:themeColor="text1"/>
              </w:rPr>
            </w:pPr>
            <w:bookmarkStart w:id="3450" w:name="n3580" w:colFirst="0" w:colLast="0"/>
            <w:bookmarkEnd w:id="3449"/>
            <w:r w:rsidRPr="00286216">
              <w:rPr>
                <w:color w:val="000000" w:themeColor="text1"/>
              </w:rPr>
              <w:t>3580.</w:t>
            </w:r>
          </w:p>
        </w:tc>
        <w:tc>
          <w:tcPr>
            <w:tcW w:w="4818" w:type="dxa"/>
          </w:tcPr>
          <w:p w14:paraId="35D129AE" w14:textId="77777777" w:rsidR="00B87F8E" w:rsidRPr="00286216" w:rsidRDefault="00B87F8E" w:rsidP="00B87F8E">
            <w:pPr>
              <w:pStyle w:val="StyleZakonu"/>
              <w:rPr>
                <w:color w:val="000000" w:themeColor="text1"/>
              </w:rPr>
            </w:pPr>
            <w:r w:rsidRPr="00286216">
              <w:rPr>
                <w:color w:val="000000" w:themeColor="text1"/>
              </w:rPr>
              <w:t>а) у пункті 6 частини сьомої слово "біржою" замінити словами "оператором організованого ринку капіталу";</w:t>
            </w:r>
          </w:p>
        </w:tc>
        <w:tc>
          <w:tcPr>
            <w:tcW w:w="3686" w:type="dxa"/>
          </w:tcPr>
          <w:p w14:paraId="3438C47D" w14:textId="61AFA53E"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1458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0D6C5CF" w14:textId="4DDBE6DB" w:rsidR="00B87F8E" w:rsidRPr="00286216" w:rsidRDefault="00B87F8E" w:rsidP="00B87F8E">
            <w:pPr>
              <w:pStyle w:val="StyleProp"/>
              <w:spacing w:line="180" w:lineRule="exact"/>
              <w:rPr>
                <w:color w:val="000000" w:themeColor="text1"/>
                <w:szCs w:val="18"/>
              </w:rPr>
            </w:pPr>
            <w:r w:rsidRPr="00286216">
              <w:rPr>
                <w:color w:val="000000" w:themeColor="text1"/>
                <w:szCs w:val="18"/>
              </w:rPr>
              <w:t>Абзац 2 та 3 підпункту 18 пункту 42 Розділу ІІІ замінити абзацами такого змісту:</w:t>
            </w:r>
          </w:p>
          <w:p w14:paraId="4A6F33DF"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а) «частину шосту доповнити пунктом 3 такого змісту:</w:t>
            </w:r>
          </w:p>
          <w:p w14:paraId="2725C928"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«3) шляхом передачі у власність Фонду в рахунок задоволення вимог до банку.»;</w:t>
            </w:r>
          </w:p>
          <w:p w14:paraId="6FA2CBFC"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б) у пункті 6 частини сьомої слово «біржою» замінити словами «оператором організованого ринку капіталу»;</w:t>
            </w:r>
          </w:p>
          <w:p w14:paraId="53787530"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 xml:space="preserve">в) частину десяту викласти в такій </w:t>
            </w:r>
            <w:r w:rsidRPr="00286216">
              <w:rPr>
                <w:color w:val="000000" w:themeColor="text1"/>
                <w:szCs w:val="18"/>
              </w:rPr>
              <w:lastRenderedPageBreak/>
              <w:t>редакції:».</w:t>
            </w:r>
          </w:p>
        </w:tc>
        <w:tc>
          <w:tcPr>
            <w:tcW w:w="1987" w:type="dxa"/>
          </w:tcPr>
          <w:p w14:paraId="4F3488FB" w14:textId="77777777" w:rsidR="00B87F8E" w:rsidRPr="00286216" w:rsidRDefault="00B87F8E" w:rsidP="00B87F8E">
            <w:pPr>
              <w:pStyle w:val="StyleWisnow"/>
              <w:spacing w:line="180" w:lineRule="exact"/>
              <w:rPr>
                <w:color w:val="000000" w:themeColor="text1"/>
              </w:rPr>
            </w:pPr>
            <w:r w:rsidRPr="00286216">
              <w:rPr>
                <w:color w:val="000000" w:themeColor="text1"/>
              </w:rPr>
              <w:lastRenderedPageBreak/>
              <w:t>Відхилено</w:t>
            </w:r>
          </w:p>
          <w:p w14:paraId="2D77D728" w14:textId="77777777" w:rsidR="00B87F8E" w:rsidRPr="00286216" w:rsidRDefault="00B87F8E" w:rsidP="00B87F8E">
            <w:pPr>
              <w:pStyle w:val="StyleWisnow"/>
              <w:spacing w:line="180" w:lineRule="exact"/>
              <w:rPr>
                <w:color w:val="000000" w:themeColor="text1"/>
              </w:rPr>
            </w:pPr>
            <w:r w:rsidRPr="00286216">
              <w:rPr>
                <w:color w:val="000000" w:themeColor="text1"/>
              </w:rPr>
              <w:t>не є предметом даного законопроекту</w:t>
            </w:r>
          </w:p>
          <w:p w14:paraId="6985E86E" w14:textId="77777777" w:rsidR="00B87F8E" w:rsidRPr="00286216" w:rsidRDefault="00B87F8E" w:rsidP="00B87F8E">
            <w:pPr>
              <w:pStyle w:val="StyleWisnow"/>
              <w:rPr>
                <w:color w:val="000000" w:themeColor="text1"/>
              </w:rPr>
            </w:pPr>
          </w:p>
        </w:tc>
        <w:tc>
          <w:tcPr>
            <w:tcW w:w="4818" w:type="dxa"/>
          </w:tcPr>
          <w:p w14:paraId="5132A810" w14:textId="7647966F" w:rsidR="00B87F8E" w:rsidRPr="00286216" w:rsidRDefault="00B87F8E" w:rsidP="00B87F8E">
            <w:pPr>
              <w:pStyle w:val="StyleZakonu"/>
              <w:rPr>
                <w:color w:val="000000" w:themeColor="text1"/>
              </w:rPr>
            </w:pPr>
            <w:r w:rsidRPr="00286216">
              <w:rPr>
                <w:color w:val="000000" w:themeColor="text1"/>
              </w:rPr>
              <w:t>а) у пункті 6 частини сьомої слово "біржою" замінити словами "оператором організованого ринку капіталу";</w:t>
            </w:r>
          </w:p>
        </w:tc>
      </w:tr>
      <w:tr w:rsidR="00B87F8E" w:rsidRPr="00286216" w14:paraId="08ACECB1" w14:textId="77777777" w:rsidTr="00091AA5">
        <w:tc>
          <w:tcPr>
            <w:tcW w:w="576" w:type="dxa"/>
          </w:tcPr>
          <w:p w14:paraId="35B476DA" w14:textId="77777777" w:rsidR="00B87F8E" w:rsidRPr="00286216" w:rsidRDefault="00B87F8E" w:rsidP="00B87F8E">
            <w:pPr>
              <w:pStyle w:val="StyleWisnow"/>
              <w:rPr>
                <w:color w:val="000000" w:themeColor="text1"/>
              </w:rPr>
            </w:pPr>
            <w:bookmarkStart w:id="3451" w:name="n3581" w:colFirst="0" w:colLast="0"/>
            <w:bookmarkEnd w:id="3450"/>
            <w:r w:rsidRPr="00286216">
              <w:rPr>
                <w:color w:val="000000" w:themeColor="text1"/>
              </w:rPr>
              <w:t>3581.</w:t>
            </w:r>
          </w:p>
        </w:tc>
        <w:tc>
          <w:tcPr>
            <w:tcW w:w="4818" w:type="dxa"/>
          </w:tcPr>
          <w:p w14:paraId="67406462" w14:textId="77777777" w:rsidR="00B87F8E" w:rsidRPr="00286216" w:rsidRDefault="00B87F8E" w:rsidP="00B87F8E">
            <w:pPr>
              <w:pStyle w:val="StyleZakonu"/>
              <w:rPr>
                <w:color w:val="000000" w:themeColor="text1"/>
              </w:rPr>
            </w:pPr>
            <w:r w:rsidRPr="00286216">
              <w:rPr>
                <w:color w:val="000000" w:themeColor="text1"/>
              </w:rPr>
              <w:t>б) частину десяту викласти в такій редакції:</w:t>
            </w:r>
          </w:p>
        </w:tc>
        <w:tc>
          <w:tcPr>
            <w:tcW w:w="3686" w:type="dxa"/>
          </w:tcPr>
          <w:p w14:paraId="2C57DF9D" w14:textId="77777777" w:rsidR="00B87F8E" w:rsidRPr="00286216" w:rsidRDefault="00B87F8E" w:rsidP="00B87F8E">
            <w:pPr>
              <w:pStyle w:val="StyleProp"/>
              <w:rPr>
                <w:color w:val="000000" w:themeColor="text1"/>
                <w:szCs w:val="18"/>
              </w:rPr>
            </w:pPr>
          </w:p>
        </w:tc>
        <w:tc>
          <w:tcPr>
            <w:tcW w:w="1987" w:type="dxa"/>
          </w:tcPr>
          <w:p w14:paraId="422A65F9" w14:textId="77777777" w:rsidR="00B87F8E" w:rsidRPr="00286216" w:rsidRDefault="00B87F8E" w:rsidP="00B87F8E">
            <w:pPr>
              <w:pStyle w:val="StyleWisnow"/>
              <w:rPr>
                <w:color w:val="000000" w:themeColor="text1"/>
              </w:rPr>
            </w:pPr>
          </w:p>
        </w:tc>
        <w:tc>
          <w:tcPr>
            <w:tcW w:w="4818" w:type="dxa"/>
          </w:tcPr>
          <w:p w14:paraId="6F96D66C" w14:textId="7CAA2F5F" w:rsidR="00B87F8E" w:rsidRPr="00286216" w:rsidRDefault="00B87F8E" w:rsidP="00B87F8E">
            <w:pPr>
              <w:pStyle w:val="StyleZakonu"/>
              <w:rPr>
                <w:color w:val="000000" w:themeColor="text1"/>
              </w:rPr>
            </w:pPr>
            <w:r w:rsidRPr="00286216">
              <w:rPr>
                <w:color w:val="000000" w:themeColor="text1"/>
              </w:rPr>
              <w:t>б) частину десяту викласти в такій редакції:</w:t>
            </w:r>
          </w:p>
        </w:tc>
      </w:tr>
      <w:tr w:rsidR="00B87F8E" w:rsidRPr="00286216" w14:paraId="1A67F99F" w14:textId="77777777" w:rsidTr="00091AA5">
        <w:tc>
          <w:tcPr>
            <w:tcW w:w="576" w:type="dxa"/>
          </w:tcPr>
          <w:p w14:paraId="6D00F4BA" w14:textId="77777777" w:rsidR="00B87F8E" w:rsidRPr="00286216" w:rsidRDefault="00B87F8E" w:rsidP="00B87F8E">
            <w:pPr>
              <w:pStyle w:val="StyleWisnow"/>
              <w:rPr>
                <w:color w:val="000000" w:themeColor="text1"/>
              </w:rPr>
            </w:pPr>
            <w:bookmarkStart w:id="3452" w:name="n3582" w:colFirst="0" w:colLast="0"/>
            <w:bookmarkEnd w:id="3451"/>
            <w:r w:rsidRPr="00286216">
              <w:rPr>
                <w:color w:val="000000" w:themeColor="text1"/>
              </w:rPr>
              <w:t>3582.</w:t>
            </w:r>
          </w:p>
        </w:tc>
        <w:tc>
          <w:tcPr>
            <w:tcW w:w="4818" w:type="dxa"/>
          </w:tcPr>
          <w:p w14:paraId="58B966C6" w14:textId="77777777" w:rsidR="00B87F8E" w:rsidRPr="00286216" w:rsidRDefault="00B87F8E" w:rsidP="00B87F8E">
            <w:pPr>
              <w:pStyle w:val="StyleZakonu"/>
              <w:rPr>
                <w:color w:val="000000" w:themeColor="text1"/>
              </w:rPr>
            </w:pPr>
            <w:r w:rsidRPr="00286216">
              <w:rPr>
                <w:color w:val="000000" w:themeColor="text1"/>
              </w:rPr>
              <w:t>"10. Фонд організовує продаж фінансових інструментів через професійного учасника ринків капіталу в порядку, визначеному законодавством, згідно з договором, укладеним між Фондом та інвестиційною фірмою.";</w:t>
            </w:r>
          </w:p>
        </w:tc>
        <w:tc>
          <w:tcPr>
            <w:tcW w:w="3686" w:type="dxa"/>
          </w:tcPr>
          <w:p w14:paraId="5BA8A6A6" w14:textId="77777777" w:rsidR="00B87F8E" w:rsidRPr="00286216" w:rsidRDefault="00B87F8E" w:rsidP="00B87F8E">
            <w:pPr>
              <w:pStyle w:val="StyleProp"/>
              <w:rPr>
                <w:color w:val="000000" w:themeColor="text1"/>
                <w:szCs w:val="18"/>
              </w:rPr>
            </w:pPr>
          </w:p>
        </w:tc>
        <w:tc>
          <w:tcPr>
            <w:tcW w:w="1987" w:type="dxa"/>
          </w:tcPr>
          <w:p w14:paraId="700E1DA5" w14:textId="77777777" w:rsidR="00B87F8E" w:rsidRPr="00286216" w:rsidRDefault="00B87F8E" w:rsidP="00B87F8E">
            <w:pPr>
              <w:pStyle w:val="StyleWisnow"/>
              <w:rPr>
                <w:color w:val="000000" w:themeColor="text1"/>
              </w:rPr>
            </w:pPr>
          </w:p>
        </w:tc>
        <w:tc>
          <w:tcPr>
            <w:tcW w:w="4818" w:type="dxa"/>
          </w:tcPr>
          <w:p w14:paraId="68943FFF" w14:textId="181B7C3A" w:rsidR="00B87F8E" w:rsidRPr="00286216" w:rsidRDefault="00B87F8E" w:rsidP="00B87F8E">
            <w:pPr>
              <w:pStyle w:val="StyleZakonu"/>
              <w:rPr>
                <w:color w:val="000000" w:themeColor="text1"/>
              </w:rPr>
            </w:pPr>
            <w:r w:rsidRPr="00286216">
              <w:rPr>
                <w:color w:val="000000" w:themeColor="text1"/>
              </w:rPr>
              <w:t>"10. Фонд організовує продаж фінансових інструментів через професійного учасника ринків капіталу в порядку, визначеному законодавством, згідно з договором, укладеним між Фондом та інвестиційною фірмою";</w:t>
            </w:r>
          </w:p>
        </w:tc>
      </w:tr>
      <w:tr w:rsidR="00B87F8E" w:rsidRPr="00286216" w14:paraId="58D47BD3" w14:textId="77777777" w:rsidTr="00091AA5">
        <w:tc>
          <w:tcPr>
            <w:tcW w:w="576" w:type="dxa"/>
          </w:tcPr>
          <w:p w14:paraId="21E01664" w14:textId="77777777" w:rsidR="00B87F8E" w:rsidRPr="00286216" w:rsidRDefault="00B87F8E" w:rsidP="00B87F8E">
            <w:pPr>
              <w:pStyle w:val="StyleWisnow"/>
              <w:rPr>
                <w:color w:val="000000" w:themeColor="text1"/>
              </w:rPr>
            </w:pPr>
            <w:bookmarkStart w:id="3453" w:name="n3583" w:colFirst="0" w:colLast="0"/>
            <w:bookmarkEnd w:id="3452"/>
            <w:r w:rsidRPr="00286216">
              <w:rPr>
                <w:color w:val="000000" w:themeColor="text1"/>
              </w:rPr>
              <w:t>3583.</w:t>
            </w:r>
          </w:p>
        </w:tc>
        <w:tc>
          <w:tcPr>
            <w:tcW w:w="4818" w:type="dxa"/>
          </w:tcPr>
          <w:p w14:paraId="2CC7B4B3" w14:textId="77777777" w:rsidR="00B87F8E" w:rsidRPr="00286216" w:rsidRDefault="00B87F8E" w:rsidP="00B87F8E">
            <w:pPr>
              <w:pStyle w:val="StyleZakonu"/>
              <w:rPr>
                <w:color w:val="000000" w:themeColor="text1"/>
              </w:rPr>
            </w:pPr>
            <w:r w:rsidRPr="00286216">
              <w:rPr>
                <w:color w:val="000000" w:themeColor="text1"/>
              </w:rPr>
              <w:t>19) у статті 52:</w:t>
            </w:r>
          </w:p>
        </w:tc>
        <w:tc>
          <w:tcPr>
            <w:tcW w:w="3686" w:type="dxa"/>
          </w:tcPr>
          <w:p w14:paraId="046BFD9D" w14:textId="77777777" w:rsidR="00B87F8E" w:rsidRPr="00286216" w:rsidRDefault="00B87F8E" w:rsidP="00B87F8E">
            <w:pPr>
              <w:pStyle w:val="StyleProp"/>
              <w:rPr>
                <w:color w:val="000000" w:themeColor="text1"/>
                <w:szCs w:val="18"/>
              </w:rPr>
            </w:pPr>
          </w:p>
        </w:tc>
        <w:tc>
          <w:tcPr>
            <w:tcW w:w="1987" w:type="dxa"/>
          </w:tcPr>
          <w:p w14:paraId="3DED278F" w14:textId="77777777" w:rsidR="00B87F8E" w:rsidRPr="00286216" w:rsidRDefault="00B87F8E" w:rsidP="00B87F8E">
            <w:pPr>
              <w:pStyle w:val="StyleWisnow"/>
              <w:rPr>
                <w:color w:val="000000" w:themeColor="text1"/>
              </w:rPr>
            </w:pPr>
          </w:p>
        </w:tc>
        <w:tc>
          <w:tcPr>
            <w:tcW w:w="4818" w:type="dxa"/>
          </w:tcPr>
          <w:p w14:paraId="4E136347" w14:textId="59F6A701" w:rsidR="00B87F8E" w:rsidRPr="00286216" w:rsidRDefault="00B87F8E" w:rsidP="00B87F8E">
            <w:pPr>
              <w:pStyle w:val="StyleZakonu"/>
              <w:rPr>
                <w:color w:val="000000" w:themeColor="text1"/>
              </w:rPr>
            </w:pPr>
            <w:r w:rsidRPr="00286216">
              <w:rPr>
                <w:color w:val="000000" w:themeColor="text1"/>
              </w:rPr>
              <w:t>19) у статті 52:</w:t>
            </w:r>
          </w:p>
        </w:tc>
      </w:tr>
      <w:tr w:rsidR="00B87F8E" w:rsidRPr="00286216" w14:paraId="4B481339" w14:textId="77777777" w:rsidTr="00091AA5">
        <w:tc>
          <w:tcPr>
            <w:tcW w:w="576" w:type="dxa"/>
          </w:tcPr>
          <w:p w14:paraId="6A9F301B" w14:textId="77777777" w:rsidR="00B87F8E" w:rsidRPr="00286216" w:rsidRDefault="00B87F8E" w:rsidP="00B87F8E">
            <w:pPr>
              <w:pStyle w:val="StyleWisnow"/>
              <w:rPr>
                <w:color w:val="000000" w:themeColor="text1"/>
              </w:rPr>
            </w:pPr>
            <w:bookmarkStart w:id="3454" w:name="n3584" w:colFirst="0" w:colLast="0"/>
            <w:bookmarkEnd w:id="3453"/>
            <w:r w:rsidRPr="00286216">
              <w:rPr>
                <w:color w:val="000000" w:themeColor="text1"/>
              </w:rPr>
              <w:t>3584.</w:t>
            </w:r>
          </w:p>
        </w:tc>
        <w:tc>
          <w:tcPr>
            <w:tcW w:w="4818" w:type="dxa"/>
          </w:tcPr>
          <w:p w14:paraId="78056F92" w14:textId="77777777" w:rsidR="00B87F8E" w:rsidRPr="00286216" w:rsidRDefault="00B87F8E" w:rsidP="00B87F8E">
            <w:pPr>
              <w:pStyle w:val="StyleZakonu"/>
              <w:rPr>
                <w:color w:val="000000" w:themeColor="text1"/>
              </w:rPr>
            </w:pPr>
            <w:r w:rsidRPr="00286216">
              <w:rPr>
                <w:color w:val="000000" w:themeColor="text1"/>
              </w:rPr>
              <w:t>а) абзац перший частини третьої доповнити реченням такого змісту: "Ціна заставленого майна, на яке звертається стягнення в процедурі ліквідаційного неттінгу, визначається в порядку, встановленому генеральною угодою, відповідно до якої здійснюється такий ліквідаційний неттінг.";</w:t>
            </w:r>
          </w:p>
        </w:tc>
        <w:tc>
          <w:tcPr>
            <w:tcW w:w="3686" w:type="dxa"/>
          </w:tcPr>
          <w:p w14:paraId="0396263C" w14:textId="38F7A2C6"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1459</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2457861" w14:textId="77777777" w:rsidR="00B87F8E" w:rsidRPr="00286216" w:rsidRDefault="00B87F8E" w:rsidP="00B87F8E">
            <w:pPr>
              <w:pStyle w:val="StyleProp"/>
              <w:rPr>
                <w:color w:val="000000" w:themeColor="text1"/>
                <w:szCs w:val="18"/>
              </w:rPr>
            </w:pPr>
            <w:r w:rsidRPr="00286216">
              <w:rPr>
                <w:color w:val="000000" w:themeColor="text1"/>
                <w:szCs w:val="18"/>
              </w:rPr>
              <w:t>підпункт «а» підпункту 19 пункту 42 Розділу 3 викласти в такій редакції:</w:t>
            </w:r>
          </w:p>
          <w:p w14:paraId="4F481AE5" w14:textId="79F7680D" w:rsidR="00B87F8E" w:rsidRPr="00286216" w:rsidRDefault="00B87F8E" w:rsidP="00B87F8E">
            <w:pPr>
              <w:pStyle w:val="StyleProp"/>
              <w:spacing w:line="180" w:lineRule="exact"/>
              <w:rPr>
                <w:color w:val="000000" w:themeColor="text1"/>
                <w:szCs w:val="18"/>
              </w:rPr>
            </w:pPr>
            <w:r w:rsidRPr="00286216">
              <w:rPr>
                <w:color w:val="000000" w:themeColor="text1"/>
                <w:szCs w:val="18"/>
              </w:rPr>
              <w:t>«а) доповнити абзац перший частини третьої статті 52 реченням такого змісту: «Ціна майна, на яке звертається стягнення як на предмет забезпечення, переданий сторонами угоди щодо ліквідаційного неттінгу на виконання зобов’язань таких сторін за такою угодою, при виконанні нетто-зобов’язання, визначеного відповідно до статті 54-1 цього Закону, а також порядок звернення стягнення на такий предмет забезпечення встановлюється в порядку, встановленому угодою щодо ліквідаційного неттінгу, відповідно до якої здійснюється такий ліквідаційний неттінг».</w:t>
            </w:r>
          </w:p>
          <w:p w14:paraId="1C3C9551" w14:textId="77777777" w:rsidR="00B87F8E" w:rsidRPr="00286216" w:rsidRDefault="00B87F8E" w:rsidP="00B87F8E">
            <w:pPr>
              <w:pStyle w:val="StyleProp"/>
              <w:rPr>
                <w:color w:val="000000" w:themeColor="text1"/>
                <w:szCs w:val="18"/>
              </w:rPr>
            </w:pPr>
            <w:r w:rsidRPr="00286216">
              <w:rPr>
                <w:color w:val="000000" w:themeColor="text1"/>
                <w:szCs w:val="18"/>
              </w:rPr>
              <w:t>У зв’язку з цим доповнити пункт 1 розділу 4 новим підпунктом щодо набрання чинності цими змінами з дня, наступного за днем опублікування цього Закону</w:t>
            </w:r>
          </w:p>
        </w:tc>
        <w:tc>
          <w:tcPr>
            <w:tcW w:w="1987" w:type="dxa"/>
          </w:tcPr>
          <w:p w14:paraId="5B38FAE6" w14:textId="72D044C9" w:rsidR="00B87F8E" w:rsidRPr="00286216" w:rsidRDefault="00B87F8E" w:rsidP="00B87F8E">
            <w:pPr>
              <w:pStyle w:val="StyleWisnow"/>
              <w:rPr>
                <w:color w:val="000000" w:themeColor="text1"/>
              </w:rPr>
            </w:pPr>
            <w:r w:rsidRPr="00286216">
              <w:rPr>
                <w:color w:val="000000" w:themeColor="text1"/>
              </w:rPr>
              <w:t>Враховано редакційно</w:t>
            </w:r>
          </w:p>
        </w:tc>
        <w:tc>
          <w:tcPr>
            <w:tcW w:w="4818" w:type="dxa"/>
          </w:tcPr>
          <w:p w14:paraId="37EE47DF" w14:textId="35BB4DC8" w:rsidR="00B87F8E" w:rsidRPr="00286216" w:rsidRDefault="00B87F8E" w:rsidP="00B87F8E">
            <w:pPr>
              <w:pStyle w:val="StyleZakonu"/>
              <w:rPr>
                <w:color w:val="000000" w:themeColor="text1"/>
              </w:rPr>
            </w:pPr>
            <w:r w:rsidRPr="00286216">
              <w:rPr>
                <w:color w:val="000000" w:themeColor="text1"/>
              </w:rPr>
              <w:t>а) абзац перший частини третьої доповнити реченням третім такого змісту: "Ціна майна, на яке звертається стягнення як на предмет забезпечення, переданий сторонами угоди щодо ліквідаційного неттінгу на виконання їхніх зобов’язань за такою угодою, під час виконання нетто-зобов’язання, визначеного відповідно до статті 54</w:t>
            </w:r>
            <w:r w:rsidRPr="00286216">
              <w:rPr>
                <w:color w:val="000000" w:themeColor="text1"/>
                <w:vertAlign w:val="superscript"/>
              </w:rPr>
              <w:t>1</w:t>
            </w:r>
            <w:r w:rsidRPr="00286216">
              <w:rPr>
                <w:color w:val="000000" w:themeColor="text1"/>
              </w:rPr>
              <w:t xml:space="preserve"> цього Закону, а також порядок звернення стягнення на такий предмет забезпечення визначається угодою щодо ліквідаційного неттінгу, відповідно до якої здійснюється такий ліквідаційний неттінг";</w:t>
            </w:r>
          </w:p>
        </w:tc>
      </w:tr>
      <w:bookmarkEnd w:id="3454"/>
      <w:tr w:rsidR="00B87F8E" w:rsidRPr="00286216" w14:paraId="769F083D" w14:textId="77777777" w:rsidTr="00091AA5">
        <w:tc>
          <w:tcPr>
            <w:tcW w:w="576" w:type="dxa"/>
          </w:tcPr>
          <w:p w14:paraId="27164A0D" w14:textId="77777777" w:rsidR="00B87F8E" w:rsidRPr="00286216" w:rsidRDefault="00B87F8E" w:rsidP="00B87F8E">
            <w:pPr>
              <w:pStyle w:val="StyleWisnow"/>
              <w:rPr>
                <w:color w:val="000000" w:themeColor="text1"/>
              </w:rPr>
            </w:pPr>
          </w:p>
        </w:tc>
        <w:tc>
          <w:tcPr>
            <w:tcW w:w="4818" w:type="dxa"/>
          </w:tcPr>
          <w:p w14:paraId="1D238E1F" w14:textId="77777777" w:rsidR="00B87F8E" w:rsidRPr="00286216" w:rsidRDefault="00B87F8E" w:rsidP="00B87F8E">
            <w:pPr>
              <w:pStyle w:val="StyleZakonu"/>
              <w:rPr>
                <w:color w:val="000000" w:themeColor="text1"/>
              </w:rPr>
            </w:pPr>
          </w:p>
        </w:tc>
        <w:tc>
          <w:tcPr>
            <w:tcW w:w="3686" w:type="dxa"/>
          </w:tcPr>
          <w:p w14:paraId="780FF3FB" w14:textId="5108942C"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1460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170FD148" w14:textId="27D162E7" w:rsidR="00B87F8E" w:rsidRPr="00286216" w:rsidRDefault="00B87F8E" w:rsidP="00B87F8E">
            <w:pPr>
              <w:pStyle w:val="StyleProp"/>
              <w:spacing w:line="180" w:lineRule="exact"/>
              <w:rPr>
                <w:color w:val="000000" w:themeColor="text1"/>
                <w:szCs w:val="18"/>
              </w:rPr>
            </w:pPr>
            <w:r w:rsidRPr="00286216">
              <w:rPr>
                <w:color w:val="000000" w:themeColor="text1"/>
                <w:szCs w:val="18"/>
              </w:rPr>
              <w:t>Підпункт 19 пункту 42 Розділу ІІІ доповнити підпунктом «б» такого змісту:</w:t>
            </w:r>
          </w:p>
          <w:p w14:paraId="54DC7C9D"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 xml:space="preserve">«б) частину четверту доповнити новим абзацом такого змісту: </w:t>
            </w:r>
          </w:p>
          <w:p w14:paraId="4C7F25D4" w14:textId="3ACAFFC5" w:rsidR="00B87F8E" w:rsidRPr="00286216" w:rsidRDefault="00B87F8E" w:rsidP="00B87F8E">
            <w:pPr>
              <w:pStyle w:val="StyleProp"/>
              <w:spacing w:line="180" w:lineRule="exact"/>
              <w:rPr>
                <w:color w:val="000000" w:themeColor="text1"/>
                <w:szCs w:val="18"/>
              </w:rPr>
            </w:pPr>
            <w:r w:rsidRPr="00286216">
              <w:rPr>
                <w:color w:val="000000" w:themeColor="text1"/>
                <w:szCs w:val="18"/>
              </w:rPr>
              <w:t>«Вимоги Фонду до банку, які підлягають задоволенню у третю чергу, можуть бути задоволені за рахунок майна (активів) банку, на підставі договору про задоволення вимог, що укладається між банком та Фондом. Договір про задоволення вимог повинен передбачати передачу Фонду права власності на майно (активи) банку за оціночною вартістю в рахунок задоволення вимог Фонду до банку. Договір про задоволення вимог за рахунок нерухомого майна підлягає нотаріальному посвідченню і є правовою підставою для реєстрації права власності Фонду на нерухоме майно. Право власності Фонду на нерухоме майно виникає з моменту державної реєстрації права власності Фонду на нерухоме майно на підставі договору про задоволення вимог.».</w:t>
            </w:r>
          </w:p>
        </w:tc>
        <w:tc>
          <w:tcPr>
            <w:tcW w:w="1987" w:type="dxa"/>
          </w:tcPr>
          <w:p w14:paraId="44DB116E" w14:textId="77777777" w:rsidR="00B87F8E" w:rsidRPr="00286216" w:rsidRDefault="00B87F8E" w:rsidP="00B87F8E">
            <w:pPr>
              <w:pStyle w:val="StyleWisnow"/>
              <w:rPr>
                <w:color w:val="000000" w:themeColor="text1"/>
              </w:rPr>
            </w:pPr>
            <w:r w:rsidRPr="00286216">
              <w:rPr>
                <w:color w:val="000000" w:themeColor="text1"/>
              </w:rPr>
              <w:t>Відхилено</w:t>
            </w:r>
          </w:p>
          <w:p w14:paraId="23387384" w14:textId="77777777" w:rsidR="00B87F8E" w:rsidRPr="00286216" w:rsidRDefault="00B87F8E" w:rsidP="00B87F8E">
            <w:pPr>
              <w:pStyle w:val="StyleWisnow"/>
              <w:rPr>
                <w:color w:val="000000" w:themeColor="text1"/>
              </w:rPr>
            </w:pPr>
            <w:r w:rsidRPr="00286216">
              <w:rPr>
                <w:color w:val="000000" w:themeColor="text1"/>
              </w:rPr>
              <w:t>не є предметом даного законопроекту</w:t>
            </w:r>
          </w:p>
          <w:p w14:paraId="47B45E87" w14:textId="77777777" w:rsidR="00B87F8E" w:rsidRPr="00286216" w:rsidRDefault="00B87F8E" w:rsidP="00B87F8E">
            <w:pPr>
              <w:pStyle w:val="StyleWisnow"/>
              <w:rPr>
                <w:color w:val="000000" w:themeColor="text1"/>
              </w:rPr>
            </w:pPr>
          </w:p>
        </w:tc>
        <w:tc>
          <w:tcPr>
            <w:tcW w:w="4818" w:type="dxa"/>
          </w:tcPr>
          <w:p w14:paraId="6D9B3722" w14:textId="77777777" w:rsidR="00B87F8E" w:rsidRPr="00286216" w:rsidRDefault="00B87F8E" w:rsidP="00B87F8E">
            <w:pPr>
              <w:pStyle w:val="StyleZakonu"/>
              <w:rPr>
                <w:color w:val="000000" w:themeColor="text1"/>
              </w:rPr>
            </w:pPr>
          </w:p>
        </w:tc>
      </w:tr>
      <w:tr w:rsidR="00B87F8E" w:rsidRPr="00286216" w14:paraId="3F68D129" w14:textId="77777777" w:rsidTr="00091AA5">
        <w:tc>
          <w:tcPr>
            <w:tcW w:w="576" w:type="dxa"/>
          </w:tcPr>
          <w:p w14:paraId="4E0BF3C9" w14:textId="77777777" w:rsidR="00B87F8E" w:rsidRPr="00286216" w:rsidRDefault="00B87F8E" w:rsidP="00B87F8E">
            <w:pPr>
              <w:pStyle w:val="StyleWisnow"/>
              <w:rPr>
                <w:color w:val="000000" w:themeColor="text1"/>
              </w:rPr>
            </w:pPr>
            <w:bookmarkStart w:id="3455" w:name="n3585" w:colFirst="0" w:colLast="0"/>
            <w:r w:rsidRPr="00286216">
              <w:rPr>
                <w:color w:val="000000" w:themeColor="text1"/>
              </w:rPr>
              <w:lastRenderedPageBreak/>
              <w:t>3585.</w:t>
            </w:r>
          </w:p>
        </w:tc>
        <w:tc>
          <w:tcPr>
            <w:tcW w:w="4818" w:type="dxa"/>
          </w:tcPr>
          <w:p w14:paraId="3B9447F4" w14:textId="77777777" w:rsidR="00B87F8E" w:rsidRPr="00286216" w:rsidRDefault="00B87F8E" w:rsidP="00B87F8E">
            <w:pPr>
              <w:pStyle w:val="StyleZakonu"/>
              <w:rPr>
                <w:color w:val="000000" w:themeColor="text1"/>
              </w:rPr>
            </w:pPr>
            <w:r w:rsidRPr="00286216">
              <w:rPr>
                <w:color w:val="000000" w:themeColor="text1"/>
              </w:rPr>
              <w:t>б) доповнити новою частиною такого змісту:</w:t>
            </w:r>
          </w:p>
        </w:tc>
        <w:tc>
          <w:tcPr>
            <w:tcW w:w="3686" w:type="dxa"/>
          </w:tcPr>
          <w:p w14:paraId="42991EA0" w14:textId="77777777" w:rsidR="00B87F8E" w:rsidRPr="00286216" w:rsidRDefault="00B87F8E" w:rsidP="00B87F8E">
            <w:pPr>
              <w:pStyle w:val="StyleProp"/>
              <w:rPr>
                <w:color w:val="000000" w:themeColor="text1"/>
                <w:szCs w:val="18"/>
              </w:rPr>
            </w:pPr>
          </w:p>
        </w:tc>
        <w:tc>
          <w:tcPr>
            <w:tcW w:w="1987" w:type="dxa"/>
          </w:tcPr>
          <w:p w14:paraId="0738C8CE" w14:textId="77777777" w:rsidR="00B87F8E" w:rsidRPr="00286216" w:rsidRDefault="00B87F8E" w:rsidP="00B87F8E">
            <w:pPr>
              <w:pStyle w:val="StyleWisnow"/>
              <w:rPr>
                <w:color w:val="000000" w:themeColor="text1"/>
              </w:rPr>
            </w:pPr>
          </w:p>
        </w:tc>
        <w:tc>
          <w:tcPr>
            <w:tcW w:w="4818" w:type="dxa"/>
          </w:tcPr>
          <w:p w14:paraId="287C30CC" w14:textId="3F891B65" w:rsidR="00B87F8E" w:rsidRPr="00286216" w:rsidRDefault="00B87F8E" w:rsidP="00B87F8E">
            <w:pPr>
              <w:pStyle w:val="StyleZakonu"/>
              <w:rPr>
                <w:color w:val="000000" w:themeColor="text1"/>
              </w:rPr>
            </w:pPr>
            <w:r w:rsidRPr="00286216">
              <w:rPr>
                <w:color w:val="000000" w:themeColor="text1"/>
              </w:rPr>
              <w:t>б) доповнити частиною шостою такого змісту:</w:t>
            </w:r>
          </w:p>
        </w:tc>
      </w:tr>
      <w:tr w:rsidR="00B87F8E" w:rsidRPr="00286216" w14:paraId="3D58DCBC" w14:textId="77777777" w:rsidTr="00091AA5">
        <w:tc>
          <w:tcPr>
            <w:tcW w:w="576" w:type="dxa"/>
          </w:tcPr>
          <w:p w14:paraId="332CDD93" w14:textId="77777777" w:rsidR="00B87F8E" w:rsidRPr="00286216" w:rsidRDefault="00B87F8E" w:rsidP="00B87F8E">
            <w:pPr>
              <w:pStyle w:val="StyleWisnow"/>
              <w:rPr>
                <w:color w:val="000000" w:themeColor="text1"/>
              </w:rPr>
            </w:pPr>
            <w:bookmarkStart w:id="3456" w:name="n3586" w:colFirst="0" w:colLast="0"/>
            <w:bookmarkEnd w:id="3455"/>
            <w:r w:rsidRPr="00286216">
              <w:rPr>
                <w:color w:val="000000" w:themeColor="text1"/>
              </w:rPr>
              <w:t>3586.</w:t>
            </w:r>
          </w:p>
        </w:tc>
        <w:tc>
          <w:tcPr>
            <w:tcW w:w="4818" w:type="dxa"/>
          </w:tcPr>
          <w:p w14:paraId="5B3D1569" w14:textId="77777777" w:rsidR="00B87F8E" w:rsidRPr="00286216" w:rsidRDefault="00B87F8E" w:rsidP="00B87F8E">
            <w:pPr>
              <w:pStyle w:val="StyleZakonu"/>
              <w:rPr>
                <w:color w:val="000000" w:themeColor="text1"/>
              </w:rPr>
            </w:pPr>
            <w:r w:rsidRPr="00286216">
              <w:rPr>
                <w:color w:val="000000" w:themeColor="text1"/>
              </w:rPr>
              <w:t>"6. У разі якщо за випуском облігацій призначено адміністратора, виплати, отримані у ході процедури ліквідації банку, який має зобов’язання за облігаціями, розподіляються між власниками облігацій у порядку, передбаченому Законом України "Про ринки капіталу та організовані товарні ринки".".</w:t>
            </w:r>
          </w:p>
        </w:tc>
        <w:tc>
          <w:tcPr>
            <w:tcW w:w="3686" w:type="dxa"/>
          </w:tcPr>
          <w:p w14:paraId="516B4226" w14:textId="77777777" w:rsidR="00B87F8E" w:rsidRPr="00286216" w:rsidRDefault="00B87F8E" w:rsidP="00B87F8E">
            <w:pPr>
              <w:pStyle w:val="StyleProp"/>
              <w:rPr>
                <w:color w:val="000000" w:themeColor="text1"/>
                <w:szCs w:val="18"/>
              </w:rPr>
            </w:pPr>
          </w:p>
        </w:tc>
        <w:tc>
          <w:tcPr>
            <w:tcW w:w="1987" w:type="dxa"/>
          </w:tcPr>
          <w:p w14:paraId="1AD57FF4" w14:textId="77777777" w:rsidR="00B87F8E" w:rsidRPr="00286216" w:rsidRDefault="00B87F8E" w:rsidP="00B87F8E">
            <w:pPr>
              <w:pStyle w:val="StyleWisnow"/>
              <w:rPr>
                <w:color w:val="000000" w:themeColor="text1"/>
              </w:rPr>
            </w:pPr>
          </w:p>
        </w:tc>
        <w:tc>
          <w:tcPr>
            <w:tcW w:w="4818" w:type="dxa"/>
          </w:tcPr>
          <w:p w14:paraId="0B9A6672" w14:textId="5D17E8C4" w:rsidR="00B87F8E" w:rsidRPr="00286216" w:rsidRDefault="00B87F8E" w:rsidP="00B87F8E">
            <w:pPr>
              <w:pStyle w:val="StyleZakonu"/>
              <w:rPr>
                <w:color w:val="000000" w:themeColor="text1"/>
              </w:rPr>
            </w:pPr>
            <w:r w:rsidRPr="00286216">
              <w:rPr>
                <w:color w:val="000000" w:themeColor="text1"/>
              </w:rPr>
              <w:t>6. У разі якщо за випуском облігацій призначено адміністратора, виплати, отримані у ході процедури ліквідації банку, який має зобов’язання за такими облігаціями, розподіляються між власниками цих облігацій у порядку, встановленому Законом України "Про ринки капіталу та організовані товарні ринки";</w:t>
            </w:r>
          </w:p>
        </w:tc>
      </w:tr>
      <w:tr w:rsidR="00B87F8E" w:rsidRPr="00286216" w14:paraId="096CA458" w14:textId="77777777" w:rsidTr="00091AA5">
        <w:tc>
          <w:tcPr>
            <w:tcW w:w="576" w:type="dxa"/>
          </w:tcPr>
          <w:p w14:paraId="1518F06A" w14:textId="77777777" w:rsidR="00B87F8E" w:rsidRPr="00286216" w:rsidRDefault="00B87F8E" w:rsidP="00B87F8E">
            <w:pPr>
              <w:pStyle w:val="StyleWisnow"/>
              <w:rPr>
                <w:color w:val="000000" w:themeColor="text1"/>
              </w:rPr>
            </w:pPr>
            <w:bookmarkStart w:id="3457" w:name="n3587" w:colFirst="0" w:colLast="0"/>
            <w:bookmarkEnd w:id="3456"/>
            <w:r w:rsidRPr="00286216">
              <w:rPr>
                <w:color w:val="000000" w:themeColor="text1"/>
              </w:rPr>
              <w:t>3587.</w:t>
            </w:r>
          </w:p>
        </w:tc>
        <w:tc>
          <w:tcPr>
            <w:tcW w:w="4818" w:type="dxa"/>
          </w:tcPr>
          <w:p w14:paraId="78CBDD5C" w14:textId="77777777" w:rsidR="00B87F8E" w:rsidRPr="00286216" w:rsidRDefault="00B87F8E" w:rsidP="00B87F8E">
            <w:pPr>
              <w:pStyle w:val="StyleZakonu"/>
              <w:rPr>
                <w:color w:val="000000" w:themeColor="text1"/>
              </w:rPr>
            </w:pPr>
            <w:r w:rsidRPr="00286216">
              <w:rPr>
                <w:color w:val="000000" w:themeColor="text1"/>
              </w:rPr>
              <w:t>20) доповнити розділом VIII</w:t>
            </w:r>
            <w:r w:rsidRPr="00286216">
              <w:rPr>
                <w:color w:val="000000" w:themeColor="text1"/>
                <w:vertAlign w:val="superscript"/>
              </w:rPr>
              <w:t>1</w:t>
            </w:r>
            <w:r w:rsidRPr="00286216">
              <w:rPr>
                <w:color w:val="000000" w:themeColor="text1"/>
              </w:rPr>
              <w:t xml:space="preserve"> такого змісту:</w:t>
            </w:r>
          </w:p>
        </w:tc>
        <w:tc>
          <w:tcPr>
            <w:tcW w:w="3686" w:type="dxa"/>
          </w:tcPr>
          <w:p w14:paraId="750E6BF0" w14:textId="351110AE" w:rsidR="00B87F8E" w:rsidRPr="00286216" w:rsidRDefault="00B87F8E" w:rsidP="00B87F8E">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1461</w:t>
            </w:r>
            <w:r w:rsidRPr="00286216">
              <w:rPr>
                <w:color w:val="000000" w:themeColor="text1"/>
                <w:spacing w:val="-3"/>
              </w:rPr>
              <w:fldChar w:fldCharType="end"/>
            </w:r>
            <w:r w:rsidRPr="00286216">
              <w:rPr>
                <w:color w:val="000000" w:themeColor="text1"/>
                <w:spacing w:val="-3"/>
              </w:rPr>
              <w:t>-Народні депутати України – члени Комітету з питань фінансів, податкової та митної політики Гетманцев Д.О. та інші</w:t>
            </w:r>
          </w:p>
          <w:p w14:paraId="454FC010" w14:textId="77777777" w:rsidR="00B87F8E" w:rsidRPr="00286216" w:rsidRDefault="00B87F8E" w:rsidP="00B87F8E">
            <w:pPr>
              <w:pStyle w:val="StyleProp"/>
              <w:rPr>
                <w:color w:val="000000" w:themeColor="text1"/>
              </w:rPr>
            </w:pPr>
            <w:r w:rsidRPr="00286216">
              <w:rPr>
                <w:color w:val="000000" w:themeColor="text1"/>
              </w:rPr>
              <w:t>Підпункт 20 пункту 42 розділу 3 викласти в такій редакції:</w:t>
            </w:r>
          </w:p>
          <w:p w14:paraId="3FF7FDDF" w14:textId="432EB9B8" w:rsidR="00B87F8E" w:rsidRPr="00286216" w:rsidRDefault="00B87F8E" w:rsidP="00B87F8E">
            <w:pPr>
              <w:pStyle w:val="StyleProp"/>
              <w:rPr>
                <w:color w:val="000000" w:themeColor="text1"/>
                <w:szCs w:val="18"/>
              </w:rPr>
            </w:pPr>
            <w:r w:rsidRPr="00286216">
              <w:rPr>
                <w:color w:val="000000" w:themeColor="text1"/>
              </w:rPr>
              <w:t>20) статтю 54</w:t>
            </w:r>
            <w:r w:rsidRPr="00286216">
              <w:rPr>
                <w:color w:val="000000" w:themeColor="text1"/>
                <w:vertAlign w:val="superscript"/>
              </w:rPr>
              <w:t xml:space="preserve"> 1</w:t>
            </w:r>
            <w:r w:rsidRPr="00286216">
              <w:rPr>
                <w:color w:val="000000" w:themeColor="text1"/>
              </w:rPr>
              <w:t xml:space="preserve"> викласти у такій редакції:</w:t>
            </w:r>
          </w:p>
        </w:tc>
        <w:tc>
          <w:tcPr>
            <w:tcW w:w="1987" w:type="dxa"/>
          </w:tcPr>
          <w:p w14:paraId="3038412B" w14:textId="77777777" w:rsidR="00B87F8E" w:rsidRPr="00286216" w:rsidRDefault="00B87F8E" w:rsidP="00B87F8E">
            <w:pPr>
              <w:pStyle w:val="StyleWisnow"/>
              <w:rPr>
                <w:color w:val="000000" w:themeColor="text1"/>
              </w:rPr>
            </w:pPr>
            <w:r w:rsidRPr="00286216">
              <w:rPr>
                <w:color w:val="000000" w:themeColor="text1"/>
              </w:rPr>
              <w:t>Враховано</w:t>
            </w:r>
          </w:p>
          <w:p w14:paraId="27D319C6" w14:textId="7928D3ED" w:rsidR="00B87F8E" w:rsidRPr="00286216" w:rsidRDefault="00B87F8E" w:rsidP="00B87F8E">
            <w:pPr>
              <w:pStyle w:val="StyleWisnow"/>
              <w:spacing w:line="180" w:lineRule="exact"/>
              <w:rPr>
                <w:color w:val="000000" w:themeColor="text1"/>
              </w:rPr>
            </w:pPr>
            <w:r w:rsidRPr="00286216">
              <w:rPr>
                <w:color w:val="000000" w:themeColor="text1"/>
              </w:rPr>
              <w:t>за наслідками обговорення на засіданні Комітету зауважень НБУ та ФГВФО</w:t>
            </w:r>
          </w:p>
        </w:tc>
        <w:tc>
          <w:tcPr>
            <w:tcW w:w="4818" w:type="dxa"/>
          </w:tcPr>
          <w:p w14:paraId="68907886" w14:textId="155E03DC" w:rsidR="00B87F8E" w:rsidRPr="00286216" w:rsidRDefault="00B87F8E" w:rsidP="00B87F8E">
            <w:pPr>
              <w:pStyle w:val="StyleZakonu"/>
              <w:rPr>
                <w:color w:val="000000" w:themeColor="text1"/>
              </w:rPr>
            </w:pPr>
            <w:r w:rsidRPr="00286216">
              <w:rPr>
                <w:color w:val="000000" w:themeColor="text1"/>
              </w:rPr>
              <w:t>20) статтю 54</w:t>
            </w:r>
            <w:r w:rsidRPr="00286216">
              <w:rPr>
                <w:color w:val="000000" w:themeColor="text1"/>
                <w:vertAlign w:val="superscript"/>
              </w:rPr>
              <w:t>1</w:t>
            </w:r>
            <w:r w:rsidRPr="00286216">
              <w:rPr>
                <w:color w:val="000000" w:themeColor="text1"/>
              </w:rPr>
              <w:t xml:space="preserve"> викласти в такій редакції:</w:t>
            </w:r>
          </w:p>
        </w:tc>
      </w:tr>
      <w:tr w:rsidR="00B87F8E" w:rsidRPr="00286216" w14:paraId="5B5F9260" w14:textId="77777777" w:rsidTr="00091AA5">
        <w:tc>
          <w:tcPr>
            <w:tcW w:w="576" w:type="dxa"/>
          </w:tcPr>
          <w:p w14:paraId="27E97A85" w14:textId="77777777" w:rsidR="00B87F8E" w:rsidRPr="00286216" w:rsidRDefault="00B87F8E" w:rsidP="00B87F8E">
            <w:pPr>
              <w:pStyle w:val="StyleWisnow"/>
              <w:rPr>
                <w:color w:val="000000" w:themeColor="text1"/>
              </w:rPr>
            </w:pPr>
            <w:bookmarkStart w:id="3458" w:name="n3588" w:colFirst="0" w:colLast="0"/>
            <w:bookmarkEnd w:id="3457"/>
            <w:r w:rsidRPr="00286216">
              <w:rPr>
                <w:color w:val="000000" w:themeColor="text1"/>
              </w:rPr>
              <w:t>3588.</w:t>
            </w:r>
          </w:p>
        </w:tc>
        <w:tc>
          <w:tcPr>
            <w:tcW w:w="4818" w:type="dxa"/>
          </w:tcPr>
          <w:p w14:paraId="430DFCC9" w14:textId="77777777" w:rsidR="00B87F8E" w:rsidRPr="00286216" w:rsidRDefault="00B87F8E" w:rsidP="00B87F8E">
            <w:pPr>
              <w:pStyle w:val="StyleZakonu"/>
              <w:spacing w:after="0"/>
              <w:ind w:firstLine="0"/>
              <w:jc w:val="center"/>
              <w:rPr>
                <w:color w:val="000000" w:themeColor="text1"/>
                <w:vertAlign w:val="superscript"/>
              </w:rPr>
            </w:pPr>
            <w:r w:rsidRPr="00286216">
              <w:rPr>
                <w:color w:val="000000" w:themeColor="text1"/>
              </w:rPr>
              <w:t>"РОЗДІЛ VIII</w:t>
            </w:r>
            <w:r w:rsidRPr="00286216">
              <w:rPr>
                <w:color w:val="000000" w:themeColor="text1"/>
                <w:vertAlign w:val="superscript"/>
              </w:rPr>
              <w:t>1</w:t>
            </w:r>
          </w:p>
          <w:p w14:paraId="0AA774E7" w14:textId="77777777" w:rsidR="00B87F8E" w:rsidRPr="00286216" w:rsidRDefault="00B87F8E" w:rsidP="00B87F8E">
            <w:pPr>
              <w:pStyle w:val="StyleZakonu"/>
              <w:ind w:firstLine="0"/>
              <w:jc w:val="center"/>
              <w:rPr>
                <w:color w:val="000000" w:themeColor="text1"/>
              </w:rPr>
            </w:pPr>
            <w:r w:rsidRPr="00286216">
              <w:rPr>
                <w:color w:val="000000" w:themeColor="text1"/>
              </w:rPr>
              <w:t>ОСОБЛИВОСТІ ЗДІЙСНЕННЯ ТИМЧАСОВОЇ АДМІНІСТРАЦІЇ ТА ЛІКВІДАЦІЇ БАНКУ, ЯКИЙ Є СТОРОНОЮ ОДНОГО АБО КІЛЬКОХ ДЕРИВАТИВНИХ КОНТРАКТІВ, ВІДПОВІДНО ДО ГЕНЕРАЛЬНОЇ УГОДИ</w:t>
            </w:r>
          </w:p>
        </w:tc>
        <w:tc>
          <w:tcPr>
            <w:tcW w:w="3686" w:type="dxa"/>
          </w:tcPr>
          <w:p w14:paraId="717C90E0" w14:textId="47E2ADDE" w:rsidR="00B87F8E" w:rsidRPr="00286216" w:rsidRDefault="00B87F8E" w:rsidP="00B87F8E">
            <w:pPr>
              <w:pStyle w:val="StyleProp"/>
              <w:rPr>
                <w:color w:val="000000" w:themeColor="text1"/>
              </w:rPr>
            </w:pPr>
            <w:r w:rsidRPr="00286216">
              <w:rPr>
                <w:color w:val="000000" w:themeColor="text1"/>
              </w:rPr>
              <w:t xml:space="preserve">"Стаття 54 </w:t>
            </w:r>
            <w:r w:rsidRPr="00286216">
              <w:rPr>
                <w:color w:val="000000" w:themeColor="text1"/>
                <w:vertAlign w:val="superscript"/>
              </w:rPr>
              <w:t>1</w:t>
            </w:r>
            <w:r w:rsidRPr="00286216">
              <w:rPr>
                <w:color w:val="000000" w:themeColor="text1"/>
              </w:rPr>
              <w:t>. Ліквідаційний неттінг</w:t>
            </w:r>
          </w:p>
          <w:p w14:paraId="4D6C7DFE" w14:textId="77777777" w:rsidR="00B87F8E" w:rsidRPr="00286216" w:rsidRDefault="00B87F8E" w:rsidP="00B87F8E">
            <w:pPr>
              <w:pStyle w:val="StyleProp"/>
              <w:spacing w:line="180" w:lineRule="exact"/>
              <w:rPr>
                <w:color w:val="000000" w:themeColor="text1"/>
              </w:rPr>
            </w:pPr>
            <w:r w:rsidRPr="00286216">
              <w:rPr>
                <w:color w:val="000000" w:themeColor="text1"/>
              </w:rPr>
              <w:t>1. Для цілей цієї статті:</w:t>
            </w:r>
          </w:p>
          <w:p w14:paraId="09CBBEA9" w14:textId="703F7233" w:rsidR="00B87F8E" w:rsidRPr="00286216" w:rsidRDefault="00B87F8E" w:rsidP="00B87F8E">
            <w:pPr>
              <w:pStyle w:val="StyleProp"/>
              <w:spacing w:line="180" w:lineRule="exact"/>
              <w:rPr>
                <w:color w:val="000000" w:themeColor="text1"/>
              </w:rPr>
            </w:pPr>
            <w:r w:rsidRPr="00286216">
              <w:rPr>
                <w:color w:val="000000" w:themeColor="text1"/>
              </w:rPr>
              <w:t>1) термін "правочин щодо фінансових інструментів" вживається у значенні, наведеному у частині першій статті 2 Закону України "Про ринки капіталу та організовані товарні ринки", а терміни "нетто-зобовʼязання", "розрахунок вартості зобов'язань", "сторони угоди щодо ліквідаційного неттінгу", "угода щодо ліквідаційного неттінгу" – у значеннях, наведених у частині другій статті 40 Закону України "Про ринки капіталу та організовані товарні ринки";</w:t>
            </w:r>
          </w:p>
        </w:tc>
        <w:tc>
          <w:tcPr>
            <w:tcW w:w="1987" w:type="dxa"/>
          </w:tcPr>
          <w:p w14:paraId="7CEF63DC" w14:textId="6BD6A3DC" w:rsidR="00B87F8E" w:rsidRPr="00286216" w:rsidRDefault="00B87F8E" w:rsidP="00B87F8E">
            <w:pPr>
              <w:pStyle w:val="StyleWisnow"/>
              <w:rPr>
                <w:color w:val="000000" w:themeColor="text1"/>
              </w:rPr>
            </w:pPr>
          </w:p>
        </w:tc>
        <w:tc>
          <w:tcPr>
            <w:tcW w:w="4818" w:type="dxa"/>
          </w:tcPr>
          <w:p w14:paraId="2E3F132D" w14:textId="77777777" w:rsidR="00B87F8E" w:rsidRPr="00286216" w:rsidRDefault="00B87F8E" w:rsidP="00B87F8E">
            <w:pPr>
              <w:pStyle w:val="StyleZakonu"/>
              <w:rPr>
                <w:color w:val="000000" w:themeColor="text1"/>
              </w:rPr>
            </w:pPr>
            <w:r w:rsidRPr="00286216">
              <w:rPr>
                <w:color w:val="000000" w:themeColor="text1"/>
              </w:rPr>
              <w:t>"Стаття 54</w:t>
            </w:r>
            <w:r w:rsidRPr="00286216">
              <w:rPr>
                <w:color w:val="000000" w:themeColor="text1"/>
                <w:vertAlign w:val="superscript"/>
              </w:rPr>
              <w:t>1</w:t>
            </w:r>
            <w:r w:rsidRPr="00286216">
              <w:rPr>
                <w:color w:val="000000" w:themeColor="text1"/>
              </w:rPr>
              <w:t>. Ліквідаційний неттінг</w:t>
            </w:r>
          </w:p>
          <w:p w14:paraId="44CF73A6" w14:textId="77777777" w:rsidR="00B87F8E" w:rsidRPr="00286216" w:rsidRDefault="00B87F8E" w:rsidP="00B87F8E">
            <w:pPr>
              <w:pStyle w:val="StyleZakonu"/>
              <w:rPr>
                <w:color w:val="000000" w:themeColor="text1"/>
              </w:rPr>
            </w:pPr>
            <w:r w:rsidRPr="00286216">
              <w:rPr>
                <w:color w:val="000000" w:themeColor="text1"/>
              </w:rPr>
              <w:t>1. Для цілей цієї статті:</w:t>
            </w:r>
          </w:p>
          <w:p w14:paraId="4088CE4F" w14:textId="65947A06" w:rsidR="00B87F8E" w:rsidRPr="00286216" w:rsidRDefault="00B87F8E" w:rsidP="00B87F8E">
            <w:pPr>
              <w:pStyle w:val="StyleZakonu"/>
              <w:rPr>
                <w:color w:val="000000" w:themeColor="text1"/>
              </w:rPr>
            </w:pPr>
            <w:r w:rsidRPr="00286216">
              <w:rPr>
                <w:color w:val="000000" w:themeColor="text1"/>
              </w:rPr>
              <w:t>1) термін "правочин щодо фінансових інструментів" вживається у значенні, наведеному в частині першій статті 2 Закону України "Про ринки капіталу та організовані товарні ринки", а терміни "нетто-зобов’язання", "розрахунок вартості зобов'язань", "сторони угоди щодо ліквідаційного неттінгу", "угода щодо ліквідаційного неттінгу" – у значеннях, наведених у частині другій статті 40 Закону України "Про ринки капіталу та організовані товарні ринки";</w:t>
            </w:r>
          </w:p>
        </w:tc>
      </w:tr>
      <w:tr w:rsidR="00B87F8E" w:rsidRPr="00286216" w14:paraId="0D443455" w14:textId="77777777" w:rsidTr="00091AA5">
        <w:tc>
          <w:tcPr>
            <w:tcW w:w="576" w:type="dxa"/>
          </w:tcPr>
          <w:p w14:paraId="7C7F595E" w14:textId="77777777" w:rsidR="00B87F8E" w:rsidRPr="00286216" w:rsidRDefault="00B87F8E" w:rsidP="00B87F8E">
            <w:pPr>
              <w:pStyle w:val="StyleWisnow"/>
              <w:rPr>
                <w:color w:val="000000" w:themeColor="text1"/>
              </w:rPr>
            </w:pPr>
            <w:bookmarkStart w:id="3459" w:name="n3589" w:colFirst="0" w:colLast="0"/>
            <w:bookmarkEnd w:id="3458"/>
            <w:r w:rsidRPr="00286216">
              <w:rPr>
                <w:color w:val="000000" w:themeColor="text1"/>
              </w:rPr>
              <w:t>3589.</w:t>
            </w:r>
          </w:p>
        </w:tc>
        <w:tc>
          <w:tcPr>
            <w:tcW w:w="4818" w:type="dxa"/>
          </w:tcPr>
          <w:p w14:paraId="3C946BF3" w14:textId="77777777" w:rsidR="00B87F8E" w:rsidRPr="00286216" w:rsidRDefault="00B87F8E" w:rsidP="00B87F8E">
            <w:pPr>
              <w:pStyle w:val="StyleZakonu"/>
              <w:rPr>
                <w:color w:val="000000" w:themeColor="text1"/>
              </w:rPr>
            </w:pPr>
            <w:r w:rsidRPr="00286216">
              <w:rPr>
                <w:color w:val="000000" w:themeColor="text1"/>
              </w:rPr>
              <w:t>Стаття 54</w:t>
            </w:r>
            <w:r w:rsidRPr="00286216">
              <w:rPr>
                <w:color w:val="000000" w:themeColor="text1"/>
                <w:vertAlign w:val="superscript"/>
              </w:rPr>
              <w:t>1</w:t>
            </w:r>
            <w:r w:rsidRPr="00286216">
              <w:rPr>
                <w:color w:val="000000" w:themeColor="text1"/>
              </w:rPr>
              <w:t>. Ліквідаційний неттінг</w:t>
            </w:r>
          </w:p>
        </w:tc>
        <w:tc>
          <w:tcPr>
            <w:tcW w:w="3686" w:type="dxa"/>
          </w:tcPr>
          <w:p w14:paraId="24FE2C69" w14:textId="0DBAE548" w:rsidR="00B87F8E" w:rsidRPr="00286216" w:rsidRDefault="00B87F8E" w:rsidP="00B87F8E">
            <w:pPr>
              <w:pStyle w:val="StyleProp"/>
              <w:spacing w:line="180" w:lineRule="exact"/>
              <w:rPr>
                <w:color w:val="000000" w:themeColor="text1"/>
                <w:szCs w:val="18"/>
              </w:rPr>
            </w:pPr>
            <w:r w:rsidRPr="00286216">
              <w:rPr>
                <w:color w:val="000000" w:themeColor="text1"/>
              </w:rPr>
              <w:t>2) під датою ліквідаційного неттінгу розуміється дата прийняття рішення про віднесення до категорії неплатоспроможних банку, якій є стороною угоди щодо ліквідаційного неттінгу, або прийняття рішення про відкликання у такого банку банківської ліцензії та його ліквідацію, у разі якщо таке рішення має наслідком обмеження або відтермінування можливості здійснення передачі активів або переказу коштів;</w:t>
            </w:r>
          </w:p>
        </w:tc>
        <w:tc>
          <w:tcPr>
            <w:tcW w:w="1987" w:type="dxa"/>
          </w:tcPr>
          <w:p w14:paraId="45FA7789" w14:textId="77777777" w:rsidR="00B87F8E" w:rsidRPr="00286216" w:rsidRDefault="00B87F8E" w:rsidP="00B87F8E">
            <w:pPr>
              <w:pStyle w:val="StyleWisnow"/>
              <w:rPr>
                <w:color w:val="000000" w:themeColor="text1"/>
              </w:rPr>
            </w:pPr>
          </w:p>
        </w:tc>
        <w:tc>
          <w:tcPr>
            <w:tcW w:w="4818" w:type="dxa"/>
          </w:tcPr>
          <w:p w14:paraId="34C88FDF" w14:textId="623FF84F" w:rsidR="00B87F8E" w:rsidRPr="00286216" w:rsidRDefault="00B87F8E" w:rsidP="00B87F8E">
            <w:pPr>
              <w:pStyle w:val="StyleZakonu"/>
              <w:rPr>
                <w:color w:val="000000" w:themeColor="text1"/>
              </w:rPr>
            </w:pPr>
            <w:r w:rsidRPr="00286216">
              <w:rPr>
                <w:color w:val="000000" w:themeColor="text1"/>
              </w:rPr>
              <w:t>2) під датою ліквідаційного неттінгу розуміється дата прийняття рішення про віднесення до категорії неплатоспроможних банку, якій є стороною угоди щодо ліквідаційного неттінгу, або прийняття рішення про відкликання у такого банку банківської ліцензії та його ліквідацію, у разі якщо таке рішення має наслідком обмеження або відтермінування можливості здійснення передачі активів або переказу коштів;</w:t>
            </w:r>
          </w:p>
        </w:tc>
      </w:tr>
      <w:tr w:rsidR="00B87F8E" w:rsidRPr="00286216" w14:paraId="08505547" w14:textId="77777777" w:rsidTr="00091AA5">
        <w:tc>
          <w:tcPr>
            <w:tcW w:w="576" w:type="dxa"/>
          </w:tcPr>
          <w:p w14:paraId="0C985DF3" w14:textId="77777777" w:rsidR="00B87F8E" w:rsidRPr="00286216" w:rsidRDefault="00B87F8E" w:rsidP="00B87F8E">
            <w:pPr>
              <w:pStyle w:val="StyleWisnow"/>
              <w:rPr>
                <w:color w:val="000000" w:themeColor="text1"/>
              </w:rPr>
            </w:pPr>
            <w:bookmarkStart w:id="3460" w:name="n3590" w:colFirst="0" w:colLast="0"/>
            <w:bookmarkEnd w:id="3459"/>
            <w:r w:rsidRPr="00286216">
              <w:rPr>
                <w:color w:val="000000" w:themeColor="text1"/>
              </w:rPr>
              <w:t>3590.</w:t>
            </w:r>
          </w:p>
        </w:tc>
        <w:tc>
          <w:tcPr>
            <w:tcW w:w="4818" w:type="dxa"/>
          </w:tcPr>
          <w:p w14:paraId="4C58E82D" w14:textId="77777777" w:rsidR="00B87F8E" w:rsidRPr="00286216" w:rsidRDefault="00B87F8E" w:rsidP="00B87F8E">
            <w:pPr>
              <w:pStyle w:val="StyleZakonu"/>
              <w:rPr>
                <w:color w:val="000000" w:themeColor="text1"/>
              </w:rPr>
            </w:pPr>
            <w:r w:rsidRPr="00286216">
              <w:rPr>
                <w:color w:val="000000" w:themeColor="text1"/>
              </w:rPr>
              <w:t>1. Ліквідаційний неттінг - здійснення усіх таких дій відповідно до умов генеральної угоди:</w:t>
            </w:r>
          </w:p>
        </w:tc>
        <w:tc>
          <w:tcPr>
            <w:tcW w:w="3686" w:type="dxa"/>
          </w:tcPr>
          <w:p w14:paraId="32F38A08" w14:textId="77777777" w:rsidR="00B87F8E" w:rsidRPr="00286216" w:rsidRDefault="00B87F8E" w:rsidP="00B87F8E">
            <w:pPr>
              <w:pStyle w:val="StyleProp"/>
              <w:spacing w:line="180" w:lineRule="exact"/>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09CFE955" w14:textId="7F09C72C" w:rsidR="00B87F8E" w:rsidRPr="00286216" w:rsidRDefault="00B87F8E" w:rsidP="00B87F8E">
            <w:pPr>
              <w:pStyle w:val="StyleProp"/>
              <w:spacing w:line="180" w:lineRule="exact"/>
              <w:rPr>
                <w:color w:val="000000" w:themeColor="text1"/>
              </w:rPr>
            </w:pPr>
            <w:r w:rsidRPr="00286216">
              <w:rPr>
                <w:color w:val="000000" w:themeColor="text1"/>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банку, який є стороною угоди щодо ліквідаційного неттінгу та щодо якого прийнято рішення, зазначене у пункті 2 </w:t>
            </w:r>
            <w:r w:rsidRPr="00286216">
              <w:rPr>
                <w:color w:val="000000" w:themeColor="text1"/>
              </w:rPr>
              <w:lastRenderedPageBreak/>
              <w:t xml:space="preserve">частини першої цієї статті, а також зобов'язань кожного контрагента, який є іншою стороною такої угоди щодо ліквідаційного неттінгу,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tc>
        <w:tc>
          <w:tcPr>
            <w:tcW w:w="1987" w:type="dxa"/>
          </w:tcPr>
          <w:p w14:paraId="08371356" w14:textId="77777777" w:rsidR="00B87F8E" w:rsidRPr="00286216" w:rsidRDefault="00B87F8E" w:rsidP="00B87F8E">
            <w:pPr>
              <w:spacing w:line="200" w:lineRule="exact"/>
              <w:ind w:firstLine="227"/>
              <w:rPr>
                <w:color w:val="000000" w:themeColor="text1"/>
              </w:rPr>
            </w:pPr>
          </w:p>
        </w:tc>
        <w:tc>
          <w:tcPr>
            <w:tcW w:w="4818" w:type="dxa"/>
          </w:tcPr>
          <w:p w14:paraId="07F7B4DB" w14:textId="77777777" w:rsidR="00B87F8E" w:rsidRPr="00286216" w:rsidRDefault="00B87F8E" w:rsidP="00B87F8E">
            <w:pPr>
              <w:pStyle w:val="StyleZakonu"/>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43ED7939" w14:textId="44E1DC26" w:rsidR="00B87F8E" w:rsidRPr="00286216" w:rsidRDefault="00B87F8E" w:rsidP="00B87F8E">
            <w:pPr>
              <w:pStyle w:val="StyleZakonu"/>
              <w:rPr>
                <w:color w:val="000000" w:themeColor="text1"/>
              </w:rPr>
            </w:pPr>
            <w:r w:rsidRPr="00286216">
              <w:rPr>
                <w:color w:val="000000" w:themeColor="text1"/>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банку, який є стороною угоди щодо ліквідаційного неттінгу та щодо якого прийнято рішення, зазначене у пункті 2 частини першої цієї статті, а також зобов'язань </w:t>
            </w:r>
            <w:r w:rsidRPr="00286216">
              <w:rPr>
                <w:color w:val="000000" w:themeColor="text1"/>
              </w:rPr>
              <w:lastRenderedPageBreak/>
              <w:t>кожного контрагента, який є іншою стороною такої угоди щодо ліквідаційного неттінгу, за одним або кількома деривативними контрактами,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w:t>
            </w:r>
          </w:p>
        </w:tc>
      </w:tr>
      <w:tr w:rsidR="00B87F8E" w:rsidRPr="00286216" w14:paraId="728ABE1C" w14:textId="77777777" w:rsidTr="00091AA5">
        <w:tc>
          <w:tcPr>
            <w:tcW w:w="576" w:type="dxa"/>
          </w:tcPr>
          <w:p w14:paraId="0CE448E8" w14:textId="77777777" w:rsidR="00B87F8E" w:rsidRPr="00286216" w:rsidRDefault="00B87F8E" w:rsidP="00B87F8E">
            <w:pPr>
              <w:pStyle w:val="StyleWisnow"/>
              <w:rPr>
                <w:color w:val="000000" w:themeColor="text1"/>
              </w:rPr>
            </w:pPr>
            <w:bookmarkStart w:id="3461" w:name="n3591" w:colFirst="0" w:colLast="0"/>
            <w:bookmarkEnd w:id="3460"/>
            <w:r w:rsidRPr="00286216">
              <w:rPr>
                <w:color w:val="000000" w:themeColor="text1"/>
              </w:rPr>
              <w:lastRenderedPageBreak/>
              <w:t>3591.</w:t>
            </w:r>
          </w:p>
        </w:tc>
        <w:tc>
          <w:tcPr>
            <w:tcW w:w="4818" w:type="dxa"/>
          </w:tcPr>
          <w:p w14:paraId="2CCDA408" w14:textId="77777777" w:rsidR="00B87F8E" w:rsidRPr="00286216" w:rsidRDefault="00B87F8E" w:rsidP="00B87F8E">
            <w:pPr>
              <w:pStyle w:val="StyleZakonu"/>
              <w:rPr>
                <w:color w:val="000000" w:themeColor="text1"/>
              </w:rPr>
            </w:pPr>
            <w:r w:rsidRPr="00286216">
              <w:rPr>
                <w:color w:val="000000" w:themeColor="text1"/>
              </w:rPr>
              <w:t>1) здійснення особою, зазначеною в генеральній угоді, станом на дату, передбачену пунктом другим цієї частини, розрахунку суми зобов’язань банку-сторони генеральної угоди, щодо якого прийнято рішення, передбачене статтею 12 Закону України "Про ринки капіталу та організовані товарні ринки", та кожного його контрагента за одним або кількома деривативними контрактами, укладеними на підставі такої генеральної угоди. Порядок здійснення такого розрахунку передбачається генеральною угодою;</w:t>
            </w:r>
          </w:p>
        </w:tc>
        <w:tc>
          <w:tcPr>
            <w:tcW w:w="3686" w:type="dxa"/>
          </w:tcPr>
          <w:p w14:paraId="7B31B57F" w14:textId="77777777" w:rsidR="00B87F8E" w:rsidRPr="00286216" w:rsidRDefault="00B87F8E" w:rsidP="00B87F8E">
            <w:pPr>
              <w:pStyle w:val="StyleProp"/>
              <w:spacing w:line="18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3D0CD0D5" w14:textId="77777777" w:rsidR="00B87F8E" w:rsidRPr="00286216" w:rsidRDefault="00B87F8E" w:rsidP="00B87F8E">
            <w:pPr>
              <w:pStyle w:val="StyleProp"/>
              <w:spacing w:line="18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2FB4536C" w14:textId="77777777" w:rsidR="00B87F8E" w:rsidRPr="00286216" w:rsidRDefault="00B87F8E" w:rsidP="00B87F8E">
            <w:pPr>
              <w:pStyle w:val="StyleProp"/>
              <w:spacing w:line="18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33F11A1F" w14:textId="77777777" w:rsidR="00B87F8E" w:rsidRPr="00286216" w:rsidRDefault="00B87F8E" w:rsidP="00B87F8E">
            <w:pPr>
              <w:pStyle w:val="StyleProp"/>
              <w:spacing w:line="180" w:lineRule="exact"/>
              <w:rPr>
                <w:color w:val="000000" w:themeColor="text1"/>
              </w:rPr>
            </w:pPr>
            <w:r w:rsidRPr="00286216">
              <w:rPr>
                <w:color w:val="000000" w:themeColor="text1"/>
              </w:rPr>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ліквідаційного неттінгу.</w:t>
            </w:r>
          </w:p>
          <w:p w14:paraId="4383E077" w14:textId="77777777" w:rsidR="00B87F8E" w:rsidRPr="00286216" w:rsidRDefault="00B87F8E" w:rsidP="00B87F8E">
            <w:pPr>
              <w:pStyle w:val="StyleProp"/>
              <w:spacing w:line="180" w:lineRule="exact"/>
              <w:rPr>
                <w:color w:val="000000" w:themeColor="text1"/>
              </w:rPr>
            </w:pPr>
            <w:r w:rsidRPr="00286216">
              <w:rPr>
                <w:color w:val="000000" w:themeColor="text1"/>
              </w:rPr>
              <w:t>4. Ліквідаційний неттінг не здійснюється у таких випадках:</w:t>
            </w:r>
          </w:p>
          <w:p w14:paraId="354720D4" w14:textId="77777777" w:rsidR="00B87F8E" w:rsidRPr="00286216" w:rsidRDefault="00B87F8E" w:rsidP="00B87F8E">
            <w:pPr>
              <w:pStyle w:val="StyleProp"/>
              <w:spacing w:line="180" w:lineRule="exact"/>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04C33891" w14:textId="77777777" w:rsidR="00B87F8E" w:rsidRPr="00286216" w:rsidRDefault="00B87F8E" w:rsidP="00B87F8E">
            <w:pPr>
              <w:pStyle w:val="StyleProp"/>
              <w:spacing w:line="180" w:lineRule="exact"/>
              <w:rPr>
                <w:color w:val="000000" w:themeColor="text1"/>
              </w:rPr>
            </w:pPr>
            <w:r w:rsidRPr="00286216">
              <w:rPr>
                <w:color w:val="000000" w:themeColor="text1"/>
              </w:rPr>
              <w:t>2) відповідна угода щодо ліквідаційного неттінгу укладена після дати прийняття рішення, зазначеного у пункті 2 частини першої цієї статті;</w:t>
            </w:r>
          </w:p>
          <w:p w14:paraId="505DB418"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3) деривативний контракт, що містить посилання на обов’язковість відповідної </w:t>
            </w:r>
            <w:r w:rsidRPr="00286216">
              <w:rPr>
                <w:color w:val="000000" w:themeColor="text1"/>
              </w:rPr>
              <w:lastRenderedPageBreak/>
              <w:t>угоди щодо ліквідаційного неттінгу, був укладений банком після дати прийняття рішення, зазначеного у пункті 2 частини першої цієї статті.</w:t>
            </w:r>
          </w:p>
          <w:p w14:paraId="35D2D702" w14:textId="77777777" w:rsidR="00B87F8E" w:rsidRPr="00286216" w:rsidRDefault="00B87F8E" w:rsidP="00B87F8E">
            <w:pPr>
              <w:pStyle w:val="StyleProp"/>
              <w:spacing w:line="180" w:lineRule="exact"/>
              <w:rPr>
                <w:color w:val="000000" w:themeColor="text1"/>
              </w:rPr>
            </w:pPr>
            <w:r w:rsidRPr="00286216">
              <w:rPr>
                <w:color w:val="000000" w:themeColor="text1"/>
              </w:rPr>
              <w:t>5. Будь-які інші положення цього Закону, окрім передбачених цією статтею, не можуть бути підставою для:</w:t>
            </w:r>
          </w:p>
          <w:p w14:paraId="748F3CD8" w14:textId="77777777" w:rsidR="00B87F8E" w:rsidRPr="00286216" w:rsidRDefault="00B87F8E" w:rsidP="00B87F8E">
            <w:pPr>
              <w:pStyle w:val="StyleProp"/>
              <w:spacing w:line="180" w:lineRule="exact"/>
              <w:rPr>
                <w:color w:val="000000" w:themeColor="text1"/>
              </w:rPr>
            </w:pPr>
            <w:r w:rsidRPr="00286216">
              <w:rPr>
                <w:color w:val="000000" w:themeColor="text1"/>
              </w:rPr>
              <w:t>1) визнання незаконними, недійсними та/або нікчемними дій, що здійснюються під час   ліквідаційного неттінгу відповідно до цієї статті;</w:t>
            </w:r>
          </w:p>
          <w:p w14:paraId="361E117F" w14:textId="77777777" w:rsidR="00B87F8E" w:rsidRPr="00286216" w:rsidRDefault="00B87F8E" w:rsidP="00B87F8E">
            <w:pPr>
              <w:pStyle w:val="StyleProp"/>
              <w:spacing w:line="180" w:lineRule="exact"/>
              <w:rPr>
                <w:color w:val="000000" w:themeColor="text1"/>
              </w:rPr>
            </w:pPr>
            <w:r w:rsidRPr="00286216">
              <w:rPr>
                <w:color w:val="000000" w:themeColor="text1"/>
              </w:rPr>
              <w:t>2) відмови від проведення ліквідаційного неттінгу відповідно до умов угоди щодо ліквідаційного неттінгу та/або посилань на неможливість такого проведення;</w:t>
            </w:r>
          </w:p>
          <w:p w14:paraId="3A9205AF" w14:textId="77777777" w:rsidR="00B87F8E" w:rsidRPr="00286216" w:rsidRDefault="00B87F8E" w:rsidP="00B87F8E">
            <w:pPr>
              <w:pStyle w:val="StyleProp"/>
              <w:spacing w:line="180" w:lineRule="exact"/>
              <w:rPr>
                <w:color w:val="000000" w:themeColor="text1"/>
              </w:rPr>
            </w:pPr>
            <w:r w:rsidRPr="00286216">
              <w:rPr>
                <w:color w:val="000000" w:themeColor="text1"/>
              </w:rPr>
              <w:t>3) відмови від звернення стягнення на предмет обтяження, що забезпечує виконання зобов’язань сторін за угодою щодо ліквідаційного неттінгу, та/або посилань на неможливість такого звернення.</w:t>
            </w:r>
          </w:p>
          <w:p w14:paraId="0EF0EE88" w14:textId="05E10944" w:rsidR="00B87F8E" w:rsidRPr="00286216" w:rsidRDefault="00B87F8E" w:rsidP="00B87F8E">
            <w:pPr>
              <w:pStyle w:val="StyleProp"/>
              <w:spacing w:line="180" w:lineRule="exact"/>
              <w:rPr>
                <w:color w:val="000000" w:themeColor="text1"/>
              </w:rPr>
            </w:pPr>
            <w:r w:rsidRPr="00286216">
              <w:rPr>
                <w:color w:val="000000" w:themeColor="text1"/>
              </w:rPr>
              <w:t>6.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банку, який є стороною угоди щодо ліквідаційного неттінгу та щодо якого прийнято рішення, передбаченого пунктом 2 частини першої цієї статті, за одним або кількома деривативними контрактами, зазначеними у пункті 1 частини другої цієї статті, здійснюється в позасудовому порядку та не потребують будь-якої згоди та/або затвердження такого банку або будь-якої іншої особи.</w:t>
            </w:r>
          </w:p>
          <w:p w14:paraId="681A7FC6" w14:textId="47746BE1" w:rsidR="00B87F8E" w:rsidRPr="00286216" w:rsidRDefault="00B87F8E" w:rsidP="00B87F8E">
            <w:pPr>
              <w:pStyle w:val="StyleProp"/>
              <w:spacing w:line="180" w:lineRule="exact"/>
              <w:rPr>
                <w:color w:val="000000" w:themeColor="text1"/>
                <w:szCs w:val="18"/>
              </w:rPr>
            </w:pPr>
            <w:r w:rsidRPr="00286216">
              <w:rPr>
                <w:color w:val="000000" w:themeColor="text1"/>
              </w:rPr>
              <w:t>7. Ліквідаційний неттінг щодо банку, в якому здійснюється тимчасова адміністрація або ліквідація, проводиться протягом семи робочих днів з дати ліквідаційного неттінгу. Особа,  зазначена в угоді щодо ліквідаційного неттінгу, зобов’язана протягом трьох робочих днів після дати ліквідаційного неттінгу надати у письмовій формі банку та Фонду перелік деривативних контрактів, зазначених у пункті 1 частини другої цієї статті, та орієнтовну дату завершення проведення ліквідаційного неттінгу.</w:t>
            </w:r>
          </w:p>
        </w:tc>
        <w:tc>
          <w:tcPr>
            <w:tcW w:w="1987" w:type="dxa"/>
          </w:tcPr>
          <w:p w14:paraId="5BA4C9F6" w14:textId="77777777" w:rsidR="00B87F8E" w:rsidRPr="00286216" w:rsidRDefault="00B87F8E" w:rsidP="00B87F8E">
            <w:pPr>
              <w:pStyle w:val="StyleWisnow"/>
              <w:rPr>
                <w:color w:val="000000" w:themeColor="text1"/>
              </w:rPr>
            </w:pPr>
          </w:p>
        </w:tc>
        <w:tc>
          <w:tcPr>
            <w:tcW w:w="4818" w:type="dxa"/>
          </w:tcPr>
          <w:p w14:paraId="27A804BF" w14:textId="77777777" w:rsidR="00B87F8E" w:rsidRPr="00286216" w:rsidRDefault="00B87F8E" w:rsidP="00B87F8E">
            <w:pPr>
              <w:pStyle w:val="StyleZakonu"/>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73CAEDE6" w14:textId="77777777" w:rsidR="00B87F8E" w:rsidRPr="00286216" w:rsidRDefault="00B87F8E" w:rsidP="00B87F8E">
            <w:pPr>
              <w:pStyle w:val="StyleZakonu"/>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4B157A94" w14:textId="77777777" w:rsidR="00B87F8E" w:rsidRPr="00286216" w:rsidRDefault="00B87F8E" w:rsidP="00B87F8E">
            <w:pPr>
              <w:pStyle w:val="StyleZakonu"/>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120C5A82" w14:textId="77777777" w:rsidR="00B87F8E" w:rsidRPr="00286216" w:rsidRDefault="00B87F8E" w:rsidP="00B87F8E">
            <w:pPr>
              <w:pStyle w:val="StyleZakonu"/>
              <w:rPr>
                <w:color w:val="000000" w:themeColor="text1"/>
              </w:rPr>
            </w:pPr>
            <w:r w:rsidRPr="00286216">
              <w:rPr>
                <w:color w:val="000000" w:themeColor="text1"/>
              </w:rPr>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деривативними контрактами, укладеним (укладеними) сторонами угоди щодо ліквідаційного неттінгу.</w:t>
            </w:r>
          </w:p>
          <w:p w14:paraId="7EF8DF6D" w14:textId="77777777" w:rsidR="00B87F8E" w:rsidRPr="00286216" w:rsidRDefault="00B87F8E" w:rsidP="00B87F8E">
            <w:pPr>
              <w:pStyle w:val="StyleZakonu"/>
              <w:rPr>
                <w:color w:val="000000" w:themeColor="text1"/>
              </w:rPr>
            </w:pPr>
            <w:r w:rsidRPr="00286216">
              <w:rPr>
                <w:color w:val="000000" w:themeColor="text1"/>
              </w:rPr>
              <w:t>4. Ліквідаційний неттінг не здійснюється у таких випадках:</w:t>
            </w:r>
          </w:p>
          <w:p w14:paraId="2CA04D43" w14:textId="77777777" w:rsidR="00B87F8E" w:rsidRPr="00286216" w:rsidRDefault="00B87F8E" w:rsidP="00B87F8E">
            <w:pPr>
              <w:pStyle w:val="StyleZakonu"/>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1CC0D623" w14:textId="77777777" w:rsidR="00B87F8E" w:rsidRPr="00286216" w:rsidRDefault="00B87F8E" w:rsidP="00B87F8E">
            <w:pPr>
              <w:pStyle w:val="StyleZakonu"/>
              <w:rPr>
                <w:color w:val="000000" w:themeColor="text1"/>
              </w:rPr>
            </w:pPr>
            <w:r w:rsidRPr="00286216">
              <w:rPr>
                <w:color w:val="000000" w:themeColor="text1"/>
              </w:rPr>
              <w:t>2) відповідна угода щодо ліквідаційного неттінгу укладена після дати прийняття рішення, зазначеного у пункті 2 частини першої цієї статті;</w:t>
            </w:r>
          </w:p>
          <w:p w14:paraId="2CE3CB8A" w14:textId="77777777" w:rsidR="00B87F8E" w:rsidRPr="00286216" w:rsidRDefault="00B87F8E" w:rsidP="00B87F8E">
            <w:pPr>
              <w:pStyle w:val="StyleZakonu"/>
              <w:rPr>
                <w:color w:val="000000" w:themeColor="text1"/>
              </w:rPr>
            </w:pPr>
            <w:r w:rsidRPr="00286216">
              <w:rPr>
                <w:color w:val="000000" w:themeColor="text1"/>
              </w:rPr>
              <w:lastRenderedPageBreak/>
              <w:t>3) деривативний контракт, що містить посилання на обов’язковість відповідної угоди щодо ліквідаційного неттінгу, був укладений банком після дати прийняття рішення, зазначеного у пункті 2 частини першої цієї статті.</w:t>
            </w:r>
          </w:p>
          <w:p w14:paraId="3A044A45" w14:textId="77777777" w:rsidR="00B87F8E" w:rsidRPr="00286216" w:rsidRDefault="00B87F8E" w:rsidP="00B87F8E">
            <w:pPr>
              <w:pStyle w:val="StyleZakonu"/>
              <w:rPr>
                <w:color w:val="000000" w:themeColor="text1"/>
              </w:rPr>
            </w:pPr>
            <w:r w:rsidRPr="00286216">
              <w:rPr>
                <w:color w:val="000000" w:themeColor="text1"/>
              </w:rPr>
              <w:t>5. Будь-які інші положення цього Закону, крім передбачених цією статтею, не можуть бути підставою для:</w:t>
            </w:r>
          </w:p>
          <w:p w14:paraId="51A20A70" w14:textId="77777777" w:rsidR="00B87F8E" w:rsidRPr="00286216" w:rsidRDefault="00B87F8E" w:rsidP="00B87F8E">
            <w:pPr>
              <w:pStyle w:val="StyleZakonu"/>
              <w:rPr>
                <w:color w:val="000000" w:themeColor="text1"/>
              </w:rPr>
            </w:pPr>
            <w:r w:rsidRPr="00286216">
              <w:rPr>
                <w:color w:val="000000" w:themeColor="text1"/>
              </w:rPr>
              <w:t>1) визнання незаконними, недійсними та/або нікчемними дій, що здійснюються під час ліквідаційного неттінгу відповідно до цієї статті;</w:t>
            </w:r>
          </w:p>
          <w:p w14:paraId="50774E91" w14:textId="77777777" w:rsidR="00B87F8E" w:rsidRPr="00286216" w:rsidRDefault="00B87F8E" w:rsidP="00B87F8E">
            <w:pPr>
              <w:pStyle w:val="StyleZakonu"/>
              <w:rPr>
                <w:color w:val="000000" w:themeColor="text1"/>
              </w:rPr>
            </w:pPr>
            <w:r w:rsidRPr="00286216">
              <w:rPr>
                <w:color w:val="000000" w:themeColor="text1"/>
              </w:rPr>
              <w:t>2) відмови від проведення ліквідаційного неттінгу відповідно до умов угоди щодо ліквідаційного неттінгу та/або посилань на неможливість такого проведення;</w:t>
            </w:r>
          </w:p>
          <w:p w14:paraId="5BE4C5F2" w14:textId="0C0DEF63" w:rsidR="00B87F8E" w:rsidRPr="00286216" w:rsidRDefault="00B87F8E" w:rsidP="00B87F8E">
            <w:pPr>
              <w:pStyle w:val="StyleZakonu"/>
              <w:rPr>
                <w:color w:val="000000" w:themeColor="text1"/>
              </w:rPr>
            </w:pPr>
            <w:r w:rsidRPr="00286216">
              <w:rPr>
                <w:color w:val="000000" w:themeColor="text1"/>
              </w:rPr>
              <w:t>3) відмови від звернення стягнення на предмет обтяження, що забезпечує виконання зобов’язань сторін за угодою щодо ліквідаційного неттінгу, та/або посилань на неможливість такого звернення.</w:t>
            </w:r>
          </w:p>
        </w:tc>
      </w:tr>
      <w:tr w:rsidR="00B87F8E" w:rsidRPr="00286216" w14:paraId="35DEA020" w14:textId="77777777" w:rsidTr="00091AA5">
        <w:tc>
          <w:tcPr>
            <w:tcW w:w="576" w:type="dxa"/>
          </w:tcPr>
          <w:p w14:paraId="4FAC3946" w14:textId="77777777" w:rsidR="00B87F8E" w:rsidRPr="00286216" w:rsidRDefault="00B87F8E" w:rsidP="00B87F8E">
            <w:pPr>
              <w:pStyle w:val="StyleWisnow"/>
              <w:rPr>
                <w:color w:val="000000" w:themeColor="text1"/>
              </w:rPr>
            </w:pPr>
            <w:bookmarkStart w:id="3462" w:name="n3592" w:colFirst="0" w:colLast="0"/>
            <w:bookmarkEnd w:id="3461"/>
            <w:r w:rsidRPr="00286216">
              <w:rPr>
                <w:color w:val="000000" w:themeColor="text1"/>
              </w:rPr>
              <w:lastRenderedPageBreak/>
              <w:t>3592.</w:t>
            </w:r>
          </w:p>
        </w:tc>
        <w:tc>
          <w:tcPr>
            <w:tcW w:w="4818" w:type="dxa"/>
          </w:tcPr>
          <w:p w14:paraId="1D1E0B13" w14:textId="77777777" w:rsidR="00B87F8E" w:rsidRPr="00286216" w:rsidRDefault="00B87F8E" w:rsidP="00B87F8E">
            <w:pPr>
              <w:pStyle w:val="StyleZakonu"/>
              <w:rPr>
                <w:color w:val="000000" w:themeColor="text1"/>
              </w:rPr>
            </w:pPr>
            <w:r w:rsidRPr="00286216">
              <w:rPr>
                <w:color w:val="000000" w:themeColor="text1"/>
              </w:rPr>
              <w:t xml:space="preserve">2) припинення всіх існуючих станом на дату, передбачену генеральною угодою, або існуючих в день, що передує даті рішення, передбаченого статтею 12 Закону України "Про ринки капіталу та організовані товарні ринки" (залежно від того, яка із зазначених дат настає раніше), зобов’язань за одним або кількома деривативними контрактами, </w:t>
            </w:r>
            <w:r w:rsidRPr="00286216">
              <w:rPr>
                <w:color w:val="000000" w:themeColor="text1"/>
              </w:rPr>
              <w:lastRenderedPageBreak/>
              <w:t>укладеними таким банком та іншою стороною генеральної угоди (незалежно від їх змісту та/або строку (терміну) виконання), шляхом:</w:t>
            </w:r>
          </w:p>
        </w:tc>
        <w:tc>
          <w:tcPr>
            <w:tcW w:w="3686" w:type="dxa"/>
          </w:tcPr>
          <w:p w14:paraId="6C82F2F6" w14:textId="300A7C0B" w:rsidR="00B87F8E" w:rsidRPr="00286216" w:rsidRDefault="00B87F8E" w:rsidP="00B87F8E">
            <w:pPr>
              <w:pStyle w:val="StyleProp"/>
              <w:spacing w:line="180" w:lineRule="exact"/>
              <w:rPr>
                <w:noProof/>
                <w:color w:val="000000" w:themeColor="text1"/>
              </w:rPr>
            </w:pPr>
            <w:r w:rsidRPr="00286216">
              <w:rPr>
                <w:color w:val="000000" w:themeColor="text1"/>
              </w:rPr>
              <w:lastRenderedPageBreak/>
              <w:t xml:space="preserve">8. </w:t>
            </w:r>
            <w:r w:rsidRPr="00286216">
              <w:rPr>
                <w:noProof/>
                <w:color w:val="000000" w:themeColor="text1"/>
              </w:rPr>
              <w:t xml:space="preserve">Протягом дії тимчасової адміністрації та/або ліквідації Фонд зобов’язаний забезпечити проведення перевірки деривативних контрактів, укладених банком поза організованими ринками капіталу з пов'язаними особами протягом 6 місяців до дати ліквідаційного неттінгу (з іншими особами – протягом одного місяця) з метою виявлення деривативних контрактів, що були </w:t>
            </w:r>
            <w:r w:rsidRPr="00286216">
              <w:rPr>
                <w:noProof/>
                <w:color w:val="000000" w:themeColor="text1"/>
              </w:rPr>
              <w:lastRenderedPageBreak/>
              <w:t>укладені з посиланням на обов’язковість для них угоди щодо ліквідаційного неттінгу та є нікчемними з таких підстав:</w:t>
            </w:r>
          </w:p>
          <w:p w14:paraId="76AFAD1E" w14:textId="77777777" w:rsidR="00B87F8E" w:rsidRPr="00286216" w:rsidRDefault="00B87F8E" w:rsidP="00B87F8E">
            <w:pPr>
              <w:pStyle w:val="StyleProp"/>
              <w:spacing w:line="180" w:lineRule="exact"/>
              <w:rPr>
                <w:color w:val="000000" w:themeColor="text1"/>
              </w:rPr>
            </w:pPr>
            <w:r w:rsidRPr="00286216">
              <w:rPr>
                <w:color w:val="000000" w:themeColor="text1"/>
              </w:rPr>
              <w:t>1) результатом укладення деривативного контракту було недобросовісне надання банком переваги окремому кредитору (групі кредиторів) у порівнянні з іншими кредиторами в частині задоволення (в тому числі черговості такого задоволення) вимог кредиторів в процедурі тимчасової адміністрації та/або ліквідації банку;</w:t>
            </w:r>
          </w:p>
          <w:p w14:paraId="4C914B83" w14:textId="77777777" w:rsidR="00B87F8E" w:rsidRPr="00286216" w:rsidRDefault="00B87F8E" w:rsidP="00B87F8E">
            <w:pPr>
              <w:pStyle w:val="StyleProp"/>
              <w:spacing w:line="180" w:lineRule="exact"/>
              <w:rPr>
                <w:color w:val="000000" w:themeColor="text1"/>
              </w:rPr>
            </w:pPr>
            <w:r w:rsidRPr="00286216">
              <w:rPr>
                <w:color w:val="000000" w:themeColor="text1"/>
              </w:rPr>
              <w:t>2) деривативний контракт було укладено  банком з метою недобросовісного виключення майна банку зі складу ліквідаційної маси;</w:t>
            </w:r>
          </w:p>
          <w:p w14:paraId="7D0AC4EA" w14:textId="77777777" w:rsidR="00B87F8E" w:rsidRPr="00286216" w:rsidRDefault="00B87F8E" w:rsidP="00B87F8E">
            <w:pPr>
              <w:pStyle w:val="StyleProp"/>
              <w:spacing w:line="180" w:lineRule="exact"/>
              <w:rPr>
                <w:color w:val="000000" w:themeColor="text1"/>
              </w:rPr>
            </w:pPr>
            <w:r w:rsidRPr="00286216">
              <w:rPr>
                <w:color w:val="000000" w:themeColor="text1"/>
              </w:rPr>
              <w:t>3) результатом укладення деривативного контракту було недобросовісне збільшення розміру грошових зобов’язань банку перед окремим кредитором (групою кредиторів).</w:t>
            </w:r>
          </w:p>
          <w:p w14:paraId="249B86CF" w14:textId="7B780C15" w:rsidR="00B87F8E" w:rsidRPr="00286216" w:rsidRDefault="00B87F8E" w:rsidP="00B87F8E">
            <w:pPr>
              <w:pStyle w:val="StyleProp"/>
              <w:spacing w:line="180" w:lineRule="exact"/>
              <w:rPr>
                <w:color w:val="000000" w:themeColor="text1"/>
              </w:rPr>
            </w:pPr>
            <w:r w:rsidRPr="00286216">
              <w:rPr>
                <w:color w:val="000000" w:themeColor="text1"/>
              </w:rPr>
              <w:t>Порядок виявлення нікчемних деривативних контрактів, а також дій Фонду у разі їх виявлення визначаються нормативно-правовими актами Фонду.</w:t>
            </w:r>
          </w:p>
        </w:tc>
        <w:tc>
          <w:tcPr>
            <w:tcW w:w="1987" w:type="dxa"/>
          </w:tcPr>
          <w:p w14:paraId="7D8F81CC" w14:textId="77777777" w:rsidR="00B87F8E" w:rsidRPr="00286216" w:rsidRDefault="00B87F8E" w:rsidP="00B87F8E">
            <w:pPr>
              <w:pStyle w:val="StyleWisnow"/>
              <w:rPr>
                <w:color w:val="000000" w:themeColor="text1"/>
              </w:rPr>
            </w:pPr>
          </w:p>
        </w:tc>
        <w:tc>
          <w:tcPr>
            <w:tcW w:w="4818" w:type="dxa"/>
          </w:tcPr>
          <w:p w14:paraId="05735DB5" w14:textId="77777777" w:rsidR="00B87F8E" w:rsidRPr="00286216" w:rsidRDefault="00B87F8E" w:rsidP="00B87F8E">
            <w:pPr>
              <w:pStyle w:val="StyleZakonu"/>
              <w:rPr>
                <w:color w:val="000000" w:themeColor="text1"/>
              </w:rPr>
            </w:pPr>
          </w:p>
        </w:tc>
      </w:tr>
      <w:tr w:rsidR="00B87F8E" w:rsidRPr="00286216" w14:paraId="7C5E590A" w14:textId="77777777" w:rsidTr="00091AA5">
        <w:tc>
          <w:tcPr>
            <w:tcW w:w="576" w:type="dxa"/>
          </w:tcPr>
          <w:p w14:paraId="38B1CE62" w14:textId="77777777" w:rsidR="00B87F8E" w:rsidRPr="00286216" w:rsidRDefault="00B87F8E" w:rsidP="00B87F8E">
            <w:pPr>
              <w:pStyle w:val="StyleWisnow"/>
              <w:rPr>
                <w:color w:val="000000" w:themeColor="text1"/>
              </w:rPr>
            </w:pPr>
            <w:bookmarkStart w:id="3463" w:name="n3593" w:colFirst="0" w:colLast="0"/>
            <w:bookmarkEnd w:id="3462"/>
            <w:r w:rsidRPr="00286216">
              <w:rPr>
                <w:color w:val="000000" w:themeColor="text1"/>
              </w:rPr>
              <w:t>3593.</w:t>
            </w:r>
          </w:p>
        </w:tc>
        <w:tc>
          <w:tcPr>
            <w:tcW w:w="4818" w:type="dxa"/>
          </w:tcPr>
          <w:p w14:paraId="18474884" w14:textId="77777777" w:rsidR="00B87F8E" w:rsidRPr="00286216" w:rsidRDefault="00B87F8E" w:rsidP="00B87F8E">
            <w:pPr>
              <w:pStyle w:val="StyleZakonu"/>
              <w:rPr>
                <w:color w:val="000000" w:themeColor="text1"/>
              </w:rPr>
            </w:pPr>
            <w:r w:rsidRPr="00286216">
              <w:rPr>
                <w:color w:val="000000" w:themeColor="text1"/>
              </w:rPr>
              <w:t>а) зарахування зустрічних однорідних вимог за такими зобов’язаннями. При цьому вважається що строк виконання вимог за такими зобов’язаннями настав в день, передбачених цим пунктом;</w:t>
            </w:r>
          </w:p>
        </w:tc>
        <w:tc>
          <w:tcPr>
            <w:tcW w:w="3686" w:type="dxa"/>
          </w:tcPr>
          <w:p w14:paraId="3115F8C1" w14:textId="77777777" w:rsidR="00B87F8E" w:rsidRPr="00286216" w:rsidRDefault="00B87F8E" w:rsidP="00B87F8E">
            <w:pPr>
              <w:pStyle w:val="StyleProp"/>
              <w:spacing w:line="180" w:lineRule="exact"/>
              <w:rPr>
                <w:color w:val="000000" w:themeColor="text1"/>
              </w:rPr>
            </w:pPr>
            <w:r w:rsidRPr="00286216">
              <w:rPr>
                <w:color w:val="000000" w:themeColor="text1"/>
              </w:rPr>
              <w:t>9. Фонд:</w:t>
            </w:r>
          </w:p>
          <w:p w14:paraId="32F4C142" w14:textId="77777777" w:rsidR="00B87F8E" w:rsidRPr="00286216" w:rsidRDefault="00B87F8E" w:rsidP="00B87F8E">
            <w:pPr>
              <w:pStyle w:val="StyleProp"/>
              <w:spacing w:line="180" w:lineRule="exact"/>
              <w:rPr>
                <w:color w:val="000000" w:themeColor="text1"/>
              </w:rPr>
            </w:pPr>
            <w:r w:rsidRPr="00286216">
              <w:rPr>
                <w:color w:val="000000" w:themeColor="text1"/>
              </w:rPr>
              <w:t>1) протягом дії тимчасової адміністрації, а також протягом ліквідації повідомляє сторони деривативних контрактів, зазначених у пунктах 1 – 3 частини восьмої цієї статті, про нікчемність таких деривативних контрактів та вчиняє дії щодо застосування наслідків нікчемності таких деривативних контрактів;</w:t>
            </w:r>
          </w:p>
          <w:p w14:paraId="72A6BCD7" w14:textId="77777777" w:rsidR="00B87F8E" w:rsidRPr="00286216" w:rsidRDefault="00B87F8E" w:rsidP="00B87F8E">
            <w:pPr>
              <w:pStyle w:val="StyleProp"/>
              <w:spacing w:line="180" w:lineRule="exact"/>
              <w:rPr>
                <w:color w:val="000000" w:themeColor="text1"/>
              </w:rPr>
            </w:pPr>
            <w:r w:rsidRPr="00286216">
              <w:rPr>
                <w:color w:val="000000" w:themeColor="text1"/>
              </w:rPr>
              <w:t>2) вживає заходів до витребування (повернення) майна (коштів) банку, переданого за такими деривативними контрактами;</w:t>
            </w:r>
          </w:p>
          <w:p w14:paraId="01A78955" w14:textId="77777777" w:rsidR="00B87F8E" w:rsidRPr="00286216" w:rsidRDefault="00B87F8E" w:rsidP="00B87F8E">
            <w:pPr>
              <w:pStyle w:val="StyleProp"/>
              <w:spacing w:line="180" w:lineRule="exact"/>
              <w:rPr>
                <w:color w:val="000000" w:themeColor="text1"/>
              </w:rPr>
            </w:pPr>
            <w:r w:rsidRPr="00286216">
              <w:rPr>
                <w:color w:val="000000" w:themeColor="text1"/>
              </w:rPr>
              <w:t>3) має право вимагати відшкодування збитків, спричинених укладенням таких деривативними контрактами.</w:t>
            </w:r>
          </w:p>
          <w:p w14:paraId="6D6E3851" w14:textId="3A780250" w:rsidR="00B87F8E" w:rsidRPr="00286216" w:rsidRDefault="00B87F8E" w:rsidP="00B87F8E">
            <w:pPr>
              <w:pStyle w:val="StyleProp"/>
              <w:spacing w:line="180" w:lineRule="exact"/>
              <w:rPr>
                <w:color w:val="000000" w:themeColor="text1"/>
              </w:rPr>
            </w:pPr>
            <w:r w:rsidRPr="00286216">
              <w:rPr>
                <w:color w:val="000000" w:themeColor="text1"/>
              </w:rPr>
              <w:t>У разі отримання повідомлення Фонду про нікчемність деривативного контракту з підстав, передбачених частиною восьмою цієї статті, особа, зазначена в угоді щодо ліквідаційного неттінгу, зобов'язана повторно провести процедуру визначення нетто-зобов'язання без врахування зобов'язань за таким деривативним контрактом та повідомити сторонам такого деривативного контракту нову суму нетто-зобов'язання. Інша сторона деривативного контракту, яка отримала від банку кошти за результатами попереднього ліквідаційного неттінгу, зобов'язана повернути банку різницю між сумою попереднього та нового нетто-зобов'язання.</w:t>
            </w:r>
          </w:p>
          <w:p w14:paraId="01B5AB4D" w14:textId="23D863C5" w:rsidR="00B87F8E" w:rsidRPr="00286216" w:rsidRDefault="00B87F8E" w:rsidP="00B87F8E">
            <w:pPr>
              <w:pStyle w:val="StyleProp"/>
              <w:spacing w:line="180" w:lineRule="exact"/>
              <w:rPr>
                <w:color w:val="000000" w:themeColor="text1"/>
                <w:szCs w:val="18"/>
              </w:rPr>
            </w:pPr>
            <w:r w:rsidRPr="00286216">
              <w:rPr>
                <w:color w:val="000000" w:themeColor="text1"/>
              </w:rPr>
              <w:t xml:space="preserve">10. Положення цієї статті, окрім частин </w:t>
            </w:r>
            <w:r w:rsidRPr="00286216">
              <w:rPr>
                <w:color w:val="000000" w:themeColor="text1"/>
              </w:rPr>
              <w:lastRenderedPageBreak/>
              <w:t xml:space="preserve">восьмої та дев’ятої, також застосовується до вчинених </w:t>
            </w:r>
            <w:r w:rsidRPr="00286216">
              <w:rPr>
                <w:noProof/>
                <w:color w:val="000000" w:themeColor="text1"/>
              </w:rPr>
              <w:t xml:space="preserve">банком на організованих ринках капіталу та поза ними </w:t>
            </w:r>
            <w:r w:rsidRPr="00286216">
              <w:rPr>
                <w:color w:val="000000" w:themeColor="text1"/>
              </w:rPr>
              <w:t xml:space="preserve">правочинів щодо фінансових інструментів та щодо валютних цінностей, у разі якщо такі правочини були вчинені з посиланням на обов’язковість для них угоди щодо ліквідаційного неттінгу, а також до правочинів, вчинених з метою забезпечення виконання зобов’язань за деривативними контрактами та іншими правочинами, зазначеними у цій частині. Положення частин восьмої та дев’ятої цієї статті застосовується лише до тих правочинів, зазначених у цій частині, що були вчинені </w:t>
            </w:r>
            <w:r w:rsidRPr="00286216">
              <w:rPr>
                <w:noProof/>
                <w:color w:val="000000" w:themeColor="text1"/>
              </w:rPr>
              <w:t>банком поза організованими ринками капіталу</w:t>
            </w:r>
            <w:r w:rsidRPr="00286216">
              <w:rPr>
                <w:color w:val="000000" w:themeColor="text1"/>
              </w:rPr>
              <w:t>".</w:t>
            </w:r>
          </w:p>
        </w:tc>
        <w:tc>
          <w:tcPr>
            <w:tcW w:w="1987" w:type="dxa"/>
          </w:tcPr>
          <w:p w14:paraId="3179570E" w14:textId="77777777" w:rsidR="00B87F8E" w:rsidRPr="00286216" w:rsidRDefault="00B87F8E" w:rsidP="00B87F8E">
            <w:pPr>
              <w:pStyle w:val="StyleWisnow"/>
              <w:rPr>
                <w:color w:val="000000" w:themeColor="text1"/>
              </w:rPr>
            </w:pPr>
          </w:p>
        </w:tc>
        <w:tc>
          <w:tcPr>
            <w:tcW w:w="4818" w:type="dxa"/>
          </w:tcPr>
          <w:p w14:paraId="170D82C4" w14:textId="77777777" w:rsidR="00B87F8E" w:rsidRPr="00286216" w:rsidRDefault="00B87F8E" w:rsidP="00B87F8E">
            <w:pPr>
              <w:pStyle w:val="StyleZakonu"/>
              <w:rPr>
                <w:color w:val="000000" w:themeColor="text1"/>
              </w:rPr>
            </w:pPr>
          </w:p>
        </w:tc>
      </w:tr>
      <w:tr w:rsidR="00B87F8E" w:rsidRPr="00286216" w14:paraId="60066485" w14:textId="77777777" w:rsidTr="00091AA5">
        <w:tc>
          <w:tcPr>
            <w:tcW w:w="576" w:type="dxa"/>
          </w:tcPr>
          <w:p w14:paraId="4A8ACB8B" w14:textId="77777777" w:rsidR="00B87F8E" w:rsidRPr="00286216" w:rsidRDefault="00B87F8E" w:rsidP="00B87F8E">
            <w:pPr>
              <w:pStyle w:val="StyleWisnow"/>
              <w:rPr>
                <w:color w:val="000000" w:themeColor="text1"/>
              </w:rPr>
            </w:pPr>
            <w:bookmarkStart w:id="3464" w:name="n3594" w:colFirst="0" w:colLast="0"/>
            <w:bookmarkEnd w:id="3463"/>
            <w:r w:rsidRPr="00286216">
              <w:rPr>
                <w:color w:val="000000" w:themeColor="text1"/>
              </w:rPr>
              <w:t>3594.</w:t>
            </w:r>
          </w:p>
        </w:tc>
        <w:tc>
          <w:tcPr>
            <w:tcW w:w="4818" w:type="dxa"/>
          </w:tcPr>
          <w:p w14:paraId="49AF7786" w14:textId="77777777" w:rsidR="00B87F8E" w:rsidRPr="00286216" w:rsidRDefault="00B87F8E" w:rsidP="00B87F8E">
            <w:pPr>
              <w:pStyle w:val="StyleZakonu"/>
              <w:rPr>
                <w:color w:val="000000" w:themeColor="text1"/>
              </w:rPr>
            </w:pPr>
            <w:r w:rsidRPr="00286216">
              <w:rPr>
                <w:color w:val="000000" w:themeColor="text1"/>
              </w:rPr>
              <w:t>б) заміни зобов’язань, які не були припиненні шляхом зарахування відповідно до підпункту "0" цього пункту новим єдиним грошовим зобов’язанням, за яким одна із сторін генеральної угоди (розмір суми зобов’язань якої є більшою) повинна сплатити іншій стороні генеральної угоди (розмір суми зобов’язань якої є меншою) певну грошову суму (нетто-зобов’язання).</w:t>
            </w:r>
          </w:p>
        </w:tc>
        <w:tc>
          <w:tcPr>
            <w:tcW w:w="3686" w:type="dxa"/>
          </w:tcPr>
          <w:p w14:paraId="6B893C53" w14:textId="6F6EB1BC"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1462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ADC2488" w14:textId="77777777" w:rsidR="00B87F8E" w:rsidRPr="00286216" w:rsidRDefault="00B87F8E" w:rsidP="00B87F8E">
            <w:pPr>
              <w:pStyle w:val="StyleProp"/>
              <w:rPr>
                <w:color w:val="000000" w:themeColor="text1"/>
                <w:szCs w:val="18"/>
              </w:rPr>
            </w:pPr>
            <w:r w:rsidRPr="00286216">
              <w:rPr>
                <w:color w:val="000000" w:themeColor="text1"/>
                <w:szCs w:val="18"/>
              </w:rPr>
              <w:t>У підпункті 20 пункту 42 Розділу ІІІ Законопроекту: підпункт «б» пункту 2 частини першої  після слова «певну» доповнити словом «розраховану»;</w:t>
            </w:r>
          </w:p>
        </w:tc>
        <w:tc>
          <w:tcPr>
            <w:tcW w:w="1987" w:type="dxa"/>
          </w:tcPr>
          <w:p w14:paraId="741D4AC9" w14:textId="7EB1A5B3" w:rsidR="00B87F8E" w:rsidRPr="00286216" w:rsidRDefault="00B87F8E" w:rsidP="00B87F8E">
            <w:pPr>
              <w:pStyle w:val="StyleWisnow"/>
              <w:rPr>
                <w:color w:val="000000" w:themeColor="text1"/>
              </w:rPr>
            </w:pPr>
            <w:r w:rsidRPr="00286216">
              <w:rPr>
                <w:color w:val="000000" w:themeColor="text1"/>
              </w:rPr>
              <w:t>Враховано по суті</w:t>
            </w:r>
          </w:p>
        </w:tc>
        <w:tc>
          <w:tcPr>
            <w:tcW w:w="4818" w:type="dxa"/>
          </w:tcPr>
          <w:p w14:paraId="22CAFADB" w14:textId="77777777" w:rsidR="00B87F8E" w:rsidRPr="00286216" w:rsidRDefault="00B87F8E" w:rsidP="00B87F8E">
            <w:pPr>
              <w:pStyle w:val="StyleZakonu"/>
              <w:rPr>
                <w:color w:val="000000" w:themeColor="text1"/>
              </w:rPr>
            </w:pPr>
          </w:p>
        </w:tc>
      </w:tr>
      <w:tr w:rsidR="00B87F8E" w:rsidRPr="00286216" w14:paraId="24B94435" w14:textId="77777777" w:rsidTr="00091AA5">
        <w:tc>
          <w:tcPr>
            <w:tcW w:w="576" w:type="dxa"/>
          </w:tcPr>
          <w:p w14:paraId="704B2EA9" w14:textId="77777777" w:rsidR="00B87F8E" w:rsidRPr="00286216" w:rsidRDefault="00B87F8E" w:rsidP="00B87F8E">
            <w:pPr>
              <w:pStyle w:val="StyleWisnow"/>
              <w:rPr>
                <w:color w:val="000000" w:themeColor="text1"/>
              </w:rPr>
            </w:pPr>
            <w:bookmarkStart w:id="3465" w:name="n3595" w:colFirst="0" w:colLast="0"/>
            <w:bookmarkEnd w:id="3464"/>
            <w:r w:rsidRPr="00286216">
              <w:rPr>
                <w:color w:val="000000" w:themeColor="text1"/>
              </w:rPr>
              <w:t>3595.</w:t>
            </w:r>
          </w:p>
        </w:tc>
        <w:tc>
          <w:tcPr>
            <w:tcW w:w="4818" w:type="dxa"/>
          </w:tcPr>
          <w:p w14:paraId="0F49FC43" w14:textId="77777777" w:rsidR="00B87F8E" w:rsidRPr="00286216" w:rsidRDefault="00B87F8E" w:rsidP="00B87F8E">
            <w:pPr>
              <w:pStyle w:val="StyleZakonu"/>
              <w:rPr>
                <w:color w:val="000000" w:themeColor="text1"/>
              </w:rPr>
            </w:pPr>
            <w:r w:rsidRPr="00286216">
              <w:rPr>
                <w:color w:val="000000" w:themeColor="text1"/>
              </w:rPr>
              <w:t>2. Будь-які положення цього Закону не впливають на законність та дійсність, а також на неможливість відкликання проведення ліквідаційного неттінгу стосовно зобов’язань банку, щодо якого введено тимчасову адміністрацію або прийнято рішення про відкликання банківської ліцензії та ліквідацію, за одним або кількома деривативними контрактами відповідно до умов генеральної угоди, а також звернення стягнення на предмет обтяжень, які забезпечують виконання зобов’язань сторін за генеральною угодою.</w:t>
            </w:r>
          </w:p>
        </w:tc>
        <w:tc>
          <w:tcPr>
            <w:tcW w:w="3686" w:type="dxa"/>
          </w:tcPr>
          <w:p w14:paraId="245F5B5A" w14:textId="5604E9F6" w:rsidR="00B87F8E" w:rsidRPr="00286216" w:rsidRDefault="00B87F8E" w:rsidP="00B87F8E">
            <w:pPr>
              <w:pStyle w:val="StyleProp"/>
              <w:spacing w:line="180" w:lineRule="exact"/>
              <w:rPr>
                <w:color w:val="000000" w:themeColor="text1"/>
                <w:szCs w:val="18"/>
              </w:rPr>
            </w:pPr>
          </w:p>
        </w:tc>
        <w:tc>
          <w:tcPr>
            <w:tcW w:w="1987" w:type="dxa"/>
          </w:tcPr>
          <w:p w14:paraId="79404A55" w14:textId="14015E7F" w:rsidR="00B87F8E" w:rsidRPr="00286216" w:rsidRDefault="00B87F8E" w:rsidP="00B87F8E">
            <w:pPr>
              <w:pStyle w:val="StyleWisnow"/>
              <w:rPr>
                <w:color w:val="000000" w:themeColor="text1"/>
              </w:rPr>
            </w:pPr>
          </w:p>
        </w:tc>
        <w:tc>
          <w:tcPr>
            <w:tcW w:w="4818" w:type="dxa"/>
          </w:tcPr>
          <w:p w14:paraId="32709963" w14:textId="77777777" w:rsidR="00B87F8E" w:rsidRPr="00286216" w:rsidRDefault="00B87F8E" w:rsidP="00B87F8E">
            <w:pPr>
              <w:pStyle w:val="StyleZakonu"/>
              <w:rPr>
                <w:color w:val="000000" w:themeColor="text1"/>
              </w:rPr>
            </w:pPr>
          </w:p>
        </w:tc>
      </w:tr>
      <w:tr w:rsidR="00B87F8E" w:rsidRPr="00286216" w14:paraId="66FF999C" w14:textId="77777777" w:rsidTr="00091AA5">
        <w:tc>
          <w:tcPr>
            <w:tcW w:w="576" w:type="dxa"/>
          </w:tcPr>
          <w:p w14:paraId="727A658A" w14:textId="77777777" w:rsidR="00B87F8E" w:rsidRPr="00286216" w:rsidRDefault="00B87F8E" w:rsidP="00B87F8E">
            <w:pPr>
              <w:pStyle w:val="StyleWisnow"/>
              <w:rPr>
                <w:color w:val="000000" w:themeColor="text1"/>
              </w:rPr>
            </w:pPr>
            <w:bookmarkStart w:id="3466" w:name="n3596" w:colFirst="0" w:colLast="0"/>
            <w:bookmarkEnd w:id="3465"/>
            <w:r w:rsidRPr="00286216">
              <w:rPr>
                <w:color w:val="000000" w:themeColor="text1"/>
              </w:rPr>
              <w:t>3596.</w:t>
            </w:r>
          </w:p>
        </w:tc>
        <w:tc>
          <w:tcPr>
            <w:tcW w:w="4818" w:type="dxa"/>
          </w:tcPr>
          <w:p w14:paraId="5C96597D" w14:textId="77777777" w:rsidR="00B87F8E" w:rsidRPr="00286216" w:rsidRDefault="00B87F8E" w:rsidP="00B87F8E">
            <w:pPr>
              <w:pStyle w:val="StyleZakonu"/>
              <w:rPr>
                <w:color w:val="000000" w:themeColor="text1"/>
              </w:rPr>
            </w:pPr>
            <w:r w:rsidRPr="00286216">
              <w:rPr>
                <w:color w:val="000000" w:themeColor="text1"/>
              </w:rPr>
              <w:t>3. Проведення особою, зазначеною в генеральній угоді, ліквідаційного неттінгу та звернення стягнення на предмет обтяження, який забезпечує виконання зобов’язань банку-сторони генеральної угоди щодо якої прийнято рішення, передбачене статтею 12 Закону України "Про ринки капіталу та організовані товарні ринки", за одним або кількома деривативними контрактами, укладеними таким банком до умов генеральної угоди, не потребують будь-якої згоди та/або затвердження такого банку або будь-якої іншої особи.</w:t>
            </w:r>
          </w:p>
        </w:tc>
        <w:tc>
          <w:tcPr>
            <w:tcW w:w="3686" w:type="dxa"/>
          </w:tcPr>
          <w:p w14:paraId="0EF40214" w14:textId="56730BE0"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1463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20081CC" w14:textId="77777777" w:rsidR="00B87F8E" w:rsidRPr="00286216" w:rsidRDefault="00B87F8E" w:rsidP="00B87F8E">
            <w:pPr>
              <w:pStyle w:val="StyleProp"/>
              <w:rPr>
                <w:color w:val="000000" w:themeColor="text1"/>
              </w:rPr>
            </w:pPr>
            <w:r w:rsidRPr="00286216">
              <w:rPr>
                <w:color w:val="000000" w:themeColor="text1"/>
              </w:rPr>
              <w:t>У підпункті 20 пункту 42 Розділу ІІІ Законопроекту частину третю доповнити новим абзацом такого змісту:</w:t>
            </w:r>
          </w:p>
          <w:p w14:paraId="2880425B" w14:textId="77777777" w:rsidR="00B87F8E" w:rsidRPr="00286216" w:rsidRDefault="00B87F8E" w:rsidP="00B87F8E">
            <w:pPr>
              <w:pStyle w:val="StyleProp"/>
              <w:rPr>
                <w:color w:val="000000" w:themeColor="text1"/>
              </w:rPr>
            </w:pPr>
            <w:r w:rsidRPr="00286216">
              <w:rPr>
                <w:color w:val="000000" w:themeColor="text1"/>
              </w:rPr>
              <w:t>«Ліквідаційний неттінг здійснюється протягом 7 робочих днів з дати прийняття рішення передбаченого статтею Стаття 12 цього Закону України «Про ринки капіталу та організовані товарні ринки».»;</w:t>
            </w:r>
          </w:p>
        </w:tc>
        <w:tc>
          <w:tcPr>
            <w:tcW w:w="1987" w:type="dxa"/>
          </w:tcPr>
          <w:p w14:paraId="5B7E6F54" w14:textId="77777777" w:rsidR="00B87F8E" w:rsidRPr="00286216" w:rsidRDefault="00B87F8E" w:rsidP="00B87F8E">
            <w:pPr>
              <w:pStyle w:val="StyleWisnow"/>
              <w:rPr>
                <w:color w:val="000000" w:themeColor="text1"/>
              </w:rPr>
            </w:pPr>
            <w:r w:rsidRPr="00286216">
              <w:rPr>
                <w:color w:val="000000" w:themeColor="text1"/>
              </w:rPr>
              <w:t>Враховано по суті</w:t>
            </w:r>
          </w:p>
          <w:p w14:paraId="1C81D44A" w14:textId="77777777" w:rsidR="00B87F8E" w:rsidRPr="00286216" w:rsidRDefault="00B87F8E" w:rsidP="00B87F8E">
            <w:pPr>
              <w:pStyle w:val="StyleWisnow"/>
              <w:rPr>
                <w:color w:val="000000" w:themeColor="text1"/>
              </w:rPr>
            </w:pPr>
          </w:p>
        </w:tc>
        <w:tc>
          <w:tcPr>
            <w:tcW w:w="4818" w:type="dxa"/>
          </w:tcPr>
          <w:p w14:paraId="3BB9EE81" w14:textId="1F420569" w:rsidR="00B87F8E" w:rsidRPr="00286216" w:rsidRDefault="00B87F8E" w:rsidP="00B87F8E">
            <w:pPr>
              <w:pStyle w:val="StyleZakonu"/>
              <w:rPr>
                <w:color w:val="000000" w:themeColor="text1"/>
              </w:rPr>
            </w:pPr>
            <w:r w:rsidRPr="00286216">
              <w:rPr>
                <w:color w:val="000000" w:themeColor="text1"/>
              </w:rPr>
              <w:t>6.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банку, який є стороною угоди щодо ліквідаційного неттінгу та щодо якого прийнято рішення, передбачене пунктом 2 частини першої цієї статті, за одним або кількома деривативними контрактами, зазначеними у пункті 1 частини другої цієї статті, здійснюються в позасудовому порядку та не потребують будь-якої згоди та/або затвердження такого банку або будь-якої іншої особи.</w:t>
            </w:r>
          </w:p>
        </w:tc>
      </w:tr>
      <w:tr w:rsidR="00B87F8E" w:rsidRPr="00286216" w14:paraId="4D6D972B" w14:textId="77777777" w:rsidTr="00091AA5">
        <w:tc>
          <w:tcPr>
            <w:tcW w:w="576" w:type="dxa"/>
          </w:tcPr>
          <w:p w14:paraId="76B4F233" w14:textId="77777777" w:rsidR="00B87F8E" w:rsidRPr="00286216" w:rsidRDefault="00B87F8E" w:rsidP="00B87F8E">
            <w:pPr>
              <w:pStyle w:val="StyleWisnow"/>
              <w:rPr>
                <w:color w:val="000000" w:themeColor="text1"/>
              </w:rPr>
            </w:pPr>
            <w:bookmarkStart w:id="3467" w:name="n3597" w:colFirst="0" w:colLast="0"/>
            <w:bookmarkEnd w:id="3466"/>
            <w:r w:rsidRPr="00286216">
              <w:rPr>
                <w:color w:val="000000" w:themeColor="text1"/>
              </w:rPr>
              <w:t>3597.</w:t>
            </w:r>
          </w:p>
        </w:tc>
        <w:tc>
          <w:tcPr>
            <w:tcW w:w="4818" w:type="dxa"/>
          </w:tcPr>
          <w:p w14:paraId="16BC8A63" w14:textId="77777777" w:rsidR="00B87F8E" w:rsidRPr="00286216" w:rsidRDefault="00B87F8E" w:rsidP="00B87F8E">
            <w:pPr>
              <w:pStyle w:val="StyleZakonu"/>
              <w:rPr>
                <w:color w:val="000000" w:themeColor="text1"/>
              </w:rPr>
            </w:pPr>
            <w:r w:rsidRPr="00286216">
              <w:rPr>
                <w:color w:val="000000" w:themeColor="text1"/>
              </w:rPr>
              <w:t>4. Ліквідаційний неттінг не проводиться в будь-</w:t>
            </w:r>
            <w:r w:rsidRPr="00286216">
              <w:rPr>
                <w:color w:val="000000" w:themeColor="text1"/>
              </w:rPr>
              <w:lastRenderedPageBreak/>
              <w:t>якому з таких випадків:</w:t>
            </w:r>
          </w:p>
        </w:tc>
        <w:tc>
          <w:tcPr>
            <w:tcW w:w="3686" w:type="dxa"/>
          </w:tcPr>
          <w:p w14:paraId="5A15B52E" w14:textId="77777777" w:rsidR="00B87F8E" w:rsidRPr="00286216" w:rsidRDefault="00B87F8E" w:rsidP="00B87F8E">
            <w:pPr>
              <w:pStyle w:val="StyleProp"/>
              <w:rPr>
                <w:color w:val="000000" w:themeColor="text1"/>
                <w:szCs w:val="18"/>
              </w:rPr>
            </w:pPr>
          </w:p>
        </w:tc>
        <w:tc>
          <w:tcPr>
            <w:tcW w:w="1987" w:type="dxa"/>
          </w:tcPr>
          <w:p w14:paraId="0DD48EEA" w14:textId="77777777" w:rsidR="00B87F8E" w:rsidRPr="00286216" w:rsidRDefault="00B87F8E" w:rsidP="00B87F8E">
            <w:pPr>
              <w:pStyle w:val="StyleWisnow"/>
              <w:rPr>
                <w:color w:val="000000" w:themeColor="text1"/>
              </w:rPr>
            </w:pPr>
          </w:p>
        </w:tc>
        <w:tc>
          <w:tcPr>
            <w:tcW w:w="4818" w:type="dxa"/>
          </w:tcPr>
          <w:p w14:paraId="2E7B5B62" w14:textId="6A244760" w:rsidR="00B87F8E" w:rsidRPr="00286216" w:rsidRDefault="00897762" w:rsidP="00B87F8E">
            <w:pPr>
              <w:pStyle w:val="StyleZakonu"/>
              <w:rPr>
                <w:color w:val="000000" w:themeColor="text1"/>
              </w:rPr>
            </w:pPr>
            <w:r w:rsidRPr="00286216">
              <w:rPr>
                <w:color w:val="000000" w:themeColor="text1"/>
              </w:rPr>
              <w:t xml:space="preserve">7. Ліквідаційний неттінг щодо банку, в якому </w:t>
            </w:r>
            <w:r w:rsidRPr="00286216">
              <w:rPr>
                <w:color w:val="000000" w:themeColor="text1"/>
              </w:rPr>
              <w:lastRenderedPageBreak/>
              <w:t>здійснюється тимчасова адміністрація або ліквідація, проводиться протягом семи робочих днів з дати ліквідаційного неттінгу. Особа, зазначена в угоді щодо ліквідаційного неттінгу, зобов’язана протягом трьох робочих днів після дати ліквідаційного неттінгу</w:t>
            </w:r>
          </w:p>
        </w:tc>
      </w:tr>
      <w:tr w:rsidR="00B87F8E" w:rsidRPr="00286216" w14:paraId="0E8663AA" w14:textId="77777777" w:rsidTr="00091AA5">
        <w:tc>
          <w:tcPr>
            <w:tcW w:w="576" w:type="dxa"/>
          </w:tcPr>
          <w:p w14:paraId="004D1AED" w14:textId="77777777" w:rsidR="00B87F8E" w:rsidRPr="00286216" w:rsidRDefault="00B87F8E" w:rsidP="00B87F8E">
            <w:pPr>
              <w:pStyle w:val="StyleWisnow"/>
              <w:rPr>
                <w:color w:val="000000" w:themeColor="text1"/>
              </w:rPr>
            </w:pPr>
            <w:bookmarkStart w:id="3468" w:name="n3598" w:colFirst="0" w:colLast="0"/>
            <w:bookmarkEnd w:id="3467"/>
            <w:r w:rsidRPr="00286216">
              <w:rPr>
                <w:color w:val="000000" w:themeColor="text1"/>
              </w:rPr>
              <w:lastRenderedPageBreak/>
              <w:t>3598.</w:t>
            </w:r>
          </w:p>
        </w:tc>
        <w:tc>
          <w:tcPr>
            <w:tcW w:w="4818" w:type="dxa"/>
          </w:tcPr>
          <w:p w14:paraId="290EA275" w14:textId="77777777" w:rsidR="00B87F8E" w:rsidRPr="00286216" w:rsidRDefault="00B87F8E" w:rsidP="00B87F8E">
            <w:pPr>
              <w:pStyle w:val="StyleZakonu"/>
              <w:rPr>
                <w:color w:val="000000" w:themeColor="text1"/>
              </w:rPr>
            </w:pPr>
            <w:r w:rsidRPr="00286216">
              <w:rPr>
                <w:color w:val="000000" w:themeColor="text1"/>
              </w:rPr>
              <w:t>1) якщо відповідна генеральна угода не передбачає можливості або процедури його проведення;</w:t>
            </w:r>
          </w:p>
        </w:tc>
        <w:tc>
          <w:tcPr>
            <w:tcW w:w="3686" w:type="dxa"/>
          </w:tcPr>
          <w:p w14:paraId="317B2A5D" w14:textId="77777777" w:rsidR="00B87F8E" w:rsidRPr="00286216" w:rsidRDefault="00B87F8E" w:rsidP="00B87F8E">
            <w:pPr>
              <w:pStyle w:val="StyleProp"/>
              <w:rPr>
                <w:color w:val="000000" w:themeColor="text1"/>
                <w:szCs w:val="18"/>
              </w:rPr>
            </w:pPr>
          </w:p>
        </w:tc>
        <w:tc>
          <w:tcPr>
            <w:tcW w:w="1987" w:type="dxa"/>
          </w:tcPr>
          <w:p w14:paraId="5D14FB10" w14:textId="77777777" w:rsidR="00B87F8E" w:rsidRPr="00286216" w:rsidRDefault="00B87F8E" w:rsidP="00B87F8E">
            <w:pPr>
              <w:pStyle w:val="StyleWisnow"/>
              <w:rPr>
                <w:color w:val="000000" w:themeColor="text1"/>
              </w:rPr>
            </w:pPr>
          </w:p>
        </w:tc>
        <w:tc>
          <w:tcPr>
            <w:tcW w:w="4818" w:type="dxa"/>
          </w:tcPr>
          <w:p w14:paraId="08F08762" w14:textId="58DD9DA4" w:rsidR="00B87F8E" w:rsidRPr="00286216" w:rsidRDefault="00B87F8E" w:rsidP="00897762">
            <w:pPr>
              <w:pStyle w:val="StyleZakonu"/>
              <w:ind w:firstLine="0"/>
              <w:rPr>
                <w:color w:val="000000" w:themeColor="text1"/>
              </w:rPr>
            </w:pPr>
            <w:r w:rsidRPr="00286216">
              <w:rPr>
                <w:color w:val="000000" w:themeColor="text1"/>
              </w:rPr>
              <w:t>надати у письмовій формі банку та Фонду перелік деривативних контрактів, зазначених у пункті 1 частини другої цієї статті, та орієнтовну дату завершення проведення ліквідаційного неттінгу.</w:t>
            </w:r>
          </w:p>
        </w:tc>
      </w:tr>
      <w:tr w:rsidR="00B87F8E" w:rsidRPr="00286216" w14:paraId="1C83B2BB" w14:textId="77777777" w:rsidTr="00091AA5">
        <w:tc>
          <w:tcPr>
            <w:tcW w:w="576" w:type="dxa"/>
          </w:tcPr>
          <w:p w14:paraId="54AA38EA" w14:textId="77777777" w:rsidR="00B87F8E" w:rsidRPr="00286216" w:rsidRDefault="00B87F8E" w:rsidP="00B87F8E">
            <w:pPr>
              <w:pStyle w:val="StyleWisnow"/>
              <w:rPr>
                <w:color w:val="000000" w:themeColor="text1"/>
              </w:rPr>
            </w:pPr>
            <w:bookmarkStart w:id="3469" w:name="n3599" w:colFirst="0" w:colLast="0"/>
            <w:bookmarkEnd w:id="3468"/>
            <w:r w:rsidRPr="00286216">
              <w:rPr>
                <w:color w:val="000000" w:themeColor="text1"/>
              </w:rPr>
              <w:t>3599.</w:t>
            </w:r>
          </w:p>
        </w:tc>
        <w:tc>
          <w:tcPr>
            <w:tcW w:w="4818" w:type="dxa"/>
          </w:tcPr>
          <w:p w14:paraId="21563FC7" w14:textId="77777777" w:rsidR="00B87F8E" w:rsidRPr="00286216" w:rsidRDefault="00B87F8E" w:rsidP="00B87F8E">
            <w:pPr>
              <w:pStyle w:val="StyleZakonu"/>
              <w:rPr>
                <w:color w:val="000000" w:themeColor="text1"/>
              </w:rPr>
            </w:pPr>
            <w:r w:rsidRPr="00286216">
              <w:rPr>
                <w:color w:val="000000" w:themeColor="text1"/>
              </w:rPr>
              <w:t>2) якщо відповідна генеральна угода укладена після прийняття рішення, передбаченого статтею 12 Закону України "Про ринки капіталу та організовані товарні ринки";</w:t>
            </w:r>
          </w:p>
        </w:tc>
        <w:tc>
          <w:tcPr>
            <w:tcW w:w="3686" w:type="dxa"/>
          </w:tcPr>
          <w:p w14:paraId="5094A601" w14:textId="65BC1554" w:rsidR="00B87F8E" w:rsidRPr="00286216" w:rsidRDefault="00B87F8E" w:rsidP="00B87F8E">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1464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1B147C1" w14:textId="77777777" w:rsidR="00B87F8E" w:rsidRPr="00286216" w:rsidRDefault="00B87F8E" w:rsidP="00B87F8E">
            <w:pPr>
              <w:pStyle w:val="StyleProp"/>
              <w:spacing w:line="180" w:lineRule="exact"/>
              <w:rPr>
                <w:color w:val="000000" w:themeColor="text1"/>
              </w:rPr>
            </w:pPr>
            <w:r w:rsidRPr="00286216">
              <w:rPr>
                <w:color w:val="000000" w:themeColor="text1"/>
              </w:rPr>
              <w:t>Підпункт 20 пункту 42 розділу 4 викласти в такій редакції:</w:t>
            </w:r>
          </w:p>
          <w:p w14:paraId="391ABDAF" w14:textId="77777777" w:rsidR="00B87F8E" w:rsidRPr="00286216" w:rsidRDefault="00B87F8E" w:rsidP="00B87F8E">
            <w:pPr>
              <w:pStyle w:val="StyleProp"/>
              <w:spacing w:line="180" w:lineRule="exact"/>
              <w:rPr>
                <w:color w:val="000000" w:themeColor="text1"/>
              </w:rPr>
            </w:pPr>
            <w:r w:rsidRPr="00286216">
              <w:rPr>
                <w:color w:val="000000" w:themeColor="text1"/>
              </w:rPr>
              <w:t>20) доповнити розділом VIII-1 такого змісту:</w:t>
            </w:r>
          </w:p>
          <w:p w14:paraId="51EBC51B" w14:textId="77777777" w:rsidR="00B87F8E" w:rsidRPr="00286216" w:rsidRDefault="00B87F8E" w:rsidP="00B87F8E">
            <w:pPr>
              <w:pStyle w:val="StyleProp"/>
              <w:spacing w:line="180" w:lineRule="exact"/>
              <w:rPr>
                <w:color w:val="000000" w:themeColor="text1"/>
              </w:rPr>
            </w:pPr>
            <w:r w:rsidRPr="00286216">
              <w:rPr>
                <w:color w:val="000000" w:themeColor="text1"/>
              </w:rPr>
              <w:t>«РОЗДІЛ VIII-1</w:t>
            </w:r>
          </w:p>
          <w:p w14:paraId="5CF5712D" w14:textId="77777777" w:rsidR="00B87F8E" w:rsidRPr="00286216" w:rsidRDefault="00B87F8E" w:rsidP="00B87F8E">
            <w:pPr>
              <w:pStyle w:val="StyleProp"/>
              <w:spacing w:line="180" w:lineRule="exact"/>
              <w:rPr>
                <w:color w:val="000000" w:themeColor="text1"/>
              </w:rPr>
            </w:pPr>
            <w:r w:rsidRPr="00286216">
              <w:rPr>
                <w:color w:val="000000" w:themeColor="text1"/>
              </w:rPr>
              <w:t>ОСОБЛИВОСТІ ЗДІЙСНЕННЯ ТИМЧАСОВОЇ АДМІНІСТРАЦІЇ ТА ЛІКВІДАЦІЇ БАНКУ, ЯКИЙ МАЄ ЗОБОВ’ЯЗАННЯ, ЩО ВИНИКЛИ З ПОСИЛАННЯМ НА ОБОВ’ЯЗКОВІСТЬ УГОДИ ЩОДО ЛІКВІДАЦІЙНОГО НЕТТІНГУ</w:t>
            </w:r>
          </w:p>
          <w:p w14:paraId="4F03B96B" w14:textId="77777777" w:rsidR="00B87F8E" w:rsidRPr="00286216" w:rsidRDefault="00B87F8E" w:rsidP="00B87F8E">
            <w:pPr>
              <w:pStyle w:val="StyleProp"/>
              <w:spacing w:line="180" w:lineRule="exact"/>
              <w:rPr>
                <w:color w:val="000000" w:themeColor="text1"/>
              </w:rPr>
            </w:pPr>
            <w:r w:rsidRPr="00286216">
              <w:rPr>
                <w:color w:val="000000" w:themeColor="text1"/>
              </w:rPr>
              <w:t>Стаття 54-1. Ліквідаційний неттінг</w:t>
            </w:r>
          </w:p>
          <w:p w14:paraId="5CED1131" w14:textId="77777777" w:rsidR="00B87F8E" w:rsidRPr="00286216" w:rsidRDefault="00B87F8E" w:rsidP="00B87F8E">
            <w:pPr>
              <w:pStyle w:val="StyleProp"/>
              <w:spacing w:line="180" w:lineRule="exact"/>
              <w:rPr>
                <w:color w:val="000000" w:themeColor="text1"/>
              </w:rPr>
            </w:pPr>
            <w:r w:rsidRPr="00286216">
              <w:rPr>
                <w:color w:val="000000" w:themeColor="text1"/>
              </w:rPr>
              <w:t>1. Ліквідаційний неттінг – здійснення усіх таких дій відповідно до угоди щодо ліквідаційного неттінгу:</w:t>
            </w:r>
          </w:p>
          <w:p w14:paraId="0DB95E0B"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1)  здійснення особою, зазначеною в угоді щодо ліквідаційного неттінгу, розрахунку вартості зобов’язань банку-сторони угоди щодо ліквідаційного неттінгу, щодо якого прийнято рішення, передбачене статтею 12 Закону України «Про ринки капіталу та організовані товарні ринки», та кожного його контрагента-сторони такої угоди щодо ліквідаційного неттінгу за одним або кількома деривативними контрактами, що існували станом на дату ліквідаційного неттінгу, та були укладені цими сторонами з посиланням на обов’язковість для них такої угоди щодо ліквідаційного неттінгу. Порядок здійснення такого розрахунку передбачається угодою щодо ліквідаційного неттінгу; </w:t>
            </w:r>
          </w:p>
          <w:p w14:paraId="1B598C4A" w14:textId="77777777" w:rsidR="00B87F8E" w:rsidRPr="00286216" w:rsidRDefault="00B87F8E" w:rsidP="00B87F8E">
            <w:pPr>
              <w:pStyle w:val="StyleProp"/>
              <w:spacing w:line="18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деривативними контрактами(незалежно від їх змісту та/або строку (терміну) виконання), укладеними такими сторонами угоди щодо ліквідаційного неттінгу  з посиланням на обов’язковість для них угоди щодо ліквідаційного неттінгу, у такій послідовності:</w:t>
            </w:r>
          </w:p>
          <w:p w14:paraId="5567A083"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а)  заміна, відповідно до статті 604 Цивільного кодексу України, зобов’язань, які </w:t>
            </w:r>
            <w:r w:rsidRPr="00286216">
              <w:rPr>
                <w:color w:val="000000" w:themeColor="text1"/>
              </w:rPr>
              <w:lastRenderedPageBreak/>
              <w:t>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статті. При цьому вважається що строк виконання вимог за такими новими грошовими зобов’язаннями настав;</w:t>
            </w:r>
          </w:p>
          <w:p w14:paraId="0385B32F" w14:textId="77777777" w:rsidR="00B87F8E" w:rsidRPr="00286216" w:rsidRDefault="00B87F8E" w:rsidP="00B87F8E">
            <w:pPr>
              <w:pStyle w:val="StyleProp"/>
              <w:spacing w:line="18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3B37D3A3" w14:textId="77777777" w:rsidR="00B87F8E" w:rsidRPr="00286216" w:rsidRDefault="00B87F8E" w:rsidP="00B87F8E">
            <w:pPr>
              <w:pStyle w:val="StyleProp"/>
              <w:spacing w:line="180" w:lineRule="exact"/>
              <w:rPr>
                <w:color w:val="000000" w:themeColor="text1"/>
              </w:rPr>
            </w:pPr>
            <w:r w:rsidRPr="00286216">
              <w:rPr>
                <w:color w:val="000000" w:themeColor="text1"/>
              </w:rPr>
              <w:t>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деривативними контрактами, укладеними такими сторонами угоди щодо ліквідаційного неттінгу.</w:t>
            </w:r>
          </w:p>
          <w:p w14:paraId="67BEEB94" w14:textId="77777777" w:rsidR="00B87F8E" w:rsidRPr="00286216" w:rsidRDefault="00B87F8E" w:rsidP="00B87F8E">
            <w:pPr>
              <w:pStyle w:val="StyleProp"/>
              <w:spacing w:line="180" w:lineRule="exact"/>
              <w:rPr>
                <w:color w:val="000000" w:themeColor="text1"/>
              </w:rPr>
            </w:pPr>
            <w:r w:rsidRPr="00286216">
              <w:rPr>
                <w:color w:val="000000" w:themeColor="text1"/>
              </w:rPr>
              <w:t>Для цілей цього Закону:</w:t>
            </w:r>
          </w:p>
          <w:p w14:paraId="22608507" w14:textId="77777777" w:rsidR="00B87F8E" w:rsidRPr="00286216" w:rsidRDefault="00B87F8E" w:rsidP="00B87F8E">
            <w:pPr>
              <w:pStyle w:val="StyleProp"/>
              <w:spacing w:line="180" w:lineRule="exact"/>
              <w:rPr>
                <w:color w:val="000000" w:themeColor="text1"/>
              </w:rPr>
            </w:pPr>
            <w:r w:rsidRPr="00286216">
              <w:rPr>
                <w:color w:val="000000" w:themeColor="text1"/>
              </w:rPr>
              <w:t>1) угода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деривативного контракту надали при укладенні договору клірингового обслуговування з особою, яка провадить клірингову діяльність;</w:t>
            </w:r>
          </w:p>
          <w:p w14:paraId="6BDC2579" w14:textId="77777777" w:rsidR="00B87F8E" w:rsidRPr="00286216" w:rsidRDefault="00B87F8E" w:rsidP="00B87F8E">
            <w:pPr>
              <w:pStyle w:val="StyleProp"/>
              <w:spacing w:line="180" w:lineRule="exact"/>
              <w:rPr>
                <w:color w:val="000000" w:themeColor="text1"/>
              </w:rPr>
            </w:pPr>
            <w:r w:rsidRPr="00286216">
              <w:rPr>
                <w:color w:val="000000" w:themeColor="text1"/>
              </w:rPr>
              <w:t>2) сторони угоди щодо ліквідаційного неттінгу – сторони генеральної угоди, сторони іншого документу (договору), що містить умови та порядок проведення ліквідаційного неттінгу, сторони деривативного контракту, укладеного з посиланням на обов’язковість угоди щодо ліквідаційного неттінгу, які уклали договір клірингового обслуговування з особою, якій сторони деривативного контракту направили розпорядження на проведення клірингу;</w:t>
            </w:r>
          </w:p>
          <w:p w14:paraId="77967B2E" w14:textId="77777777" w:rsidR="00B87F8E" w:rsidRPr="00286216" w:rsidRDefault="00B87F8E" w:rsidP="00B87F8E">
            <w:pPr>
              <w:pStyle w:val="StyleProp"/>
              <w:spacing w:line="180" w:lineRule="exact"/>
              <w:rPr>
                <w:color w:val="000000" w:themeColor="text1"/>
              </w:rPr>
            </w:pPr>
            <w:r w:rsidRPr="00286216">
              <w:rPr>
                <w:color w:val="000000" w:themeColor="text1"/>
              </w:rPr>
              <w:t>3) дата ліквідаційного неттінгу – дата, передбачена статтею 12 Закону України «Про ринки капіталу та організовані товарні ринки»;</w:t>
            </w:r>
          </w:p>
          <w:p w14:paraId="63008706" w14:textId="77777777" w:rsidR="00B87F8E" w:rsidRPr="00286216" w:rsidRDefault="00B87F8E" w:rsidP="00B87F8E">
            <w:pPr>
              <w:pStyle w:val="StyleProp"/>
              <w:spacing w:line="180" w:lineRule="exact"/>
              <w:rPr>
                <w:color w:val="000000" w:themeColor="text1"/>
              </w:rPr>
            </w:pPr>
            <w:r w:rsidRPr="00286216">
              <w:rPr>
                <w:color w:val="000000" w:themeColor="text1"/>
              </w:rPr>
              <w:t>4) 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деривативними контрактами, укладеними з посиланням на обов’язковість угоди щодо ліквідаційного неттінгу;</w:t>
            </w:r>
          </w:p>
          <w:p w14:paraId="2648E000" w14:textId="77777777" w:rsidR="00B87F8E" w:rsidRPr="00286216" w:rsidRDefault="00B87F8E" w:rsidP="00B87F8E">
            <w:pPr>
              <w:pStyle w:val="StyleProp"/>
              <w:spacing w:line="180" w:lineRule="exact"/>
              <w:rPr>
                <w:color w:val="000000" w:themeColor="text1"/>
              </w:rPr>
            </w:pPr>
            <w:r w:rsidRPr="00286216">
              <w:rPr>
                <w:color w:val="000000" w:themeColor="text1"/>
              </w:rPr>
              <w:lastRenderedPageBreak/>
              <w:t>5) 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меншою) та визначається як різниця між сумами зобов’язань таких сторін.</w:t>
            </w:r>
          </w:p>
          <w:p w14:paraId="54C62C47"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2. Будь-які положення цього Закону не впливають на законність та дійсність дій, що вчиняються у процесі ліквідаційного неттінгу а також на неможливість відмови від проведення ліквідаційного неттінгу стосовно зобов’язань банку, щодо якого введено тимчасову адміністрацію або прийнято рішення про відкликання банківської ліцензії та ліквідацію, за одним або кількома деривативними контрактами відповідно до умов угоди щодо ліквідаційного неттінгу, а також звернення стягнення на предмет обтяжень, які забезпечують виконання зобов’язань сторін за угодою щодо ліквідаційного неттінгу. </w:t>
            </w:r>
          </w:p>
          <w:p w14:paraId="519D762F" w14:textId="77777777" w:rsidR="00B87F8E" w:rsidRPr="00286216" w:rsidRDefault="00B87F8E" w:rsidP="00B87F8E">
            <w:pPr>
              <w:pStyle w:val="StyleProp"/>
              <w:spacing w:line="180" w:lineRule="exact"/>
              <w:rPr>
                <w:color w:val="000000" w:themeColor="text1"/>
              </w:rPr>
            </w:pPr>
            <w:r w:rsidRPr="00286216">
              <w:rPr>
                <w:color w:val="000000" w:themeColor="text1"/>
              </w:rPr>
              <w:t>3.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банку-сторони угоди щодо ліквідаційного неттінгу, щодо якого прийнято рішення, передбачене статтею 12 Закону України «Про ринки капіталу та організовані товарні ринки», за одним або кількома деривативними контрактами, укладеними таким банком з посиланням на обов’язковість угоди щодо ліквідаційного неттінгу, здійснюється в позасудовому порядку та не потребують будь-якої згоди та/або затвердження такого банку або будь-якої іншої особи.</w:t>
            </w:r>
          </w:p>
          <w:p w14:paraId="20CBD37A" w14:textId="77777777" w:rsidR="00B87F8E" w:rsidRPr="00286216" w:rsidRDefault="00B87F8E" w:rsidP="00B87F8E">
            <w:pPr>
              <w:pStyle w:val="StyleProp"/>
              <w:spacing w:line="180" w:lineRule="exact"/>
              <w:rPr>
                <w:color w:val="000000" w:themeColor="text1"/>
              </w:rPr>
            </w:pPr>
            <w:r w:rsidRPr="00286216">
              <w:rPr>
                <w:color w:val="000000" w:themeColor="text1"/>
              </w:rPr>
              <w:t>4. Ліквідаційний неттінг не проводиться в будь-якому з таких випадків:</w:t>
            </w:r>
          </w:p>
          <w:p w14:paraId="467CA019" w14:textId="77777777" w:rsidR="00B87F8E" w:rsidRPr="00286216" w:rsidRDefault="00B87F8E" w:rsidP="00B87F8E">
            <w:pPr>
              <w:pStyle w:val="StyleProp"/>
              <w:spacing w:line="180" w:lineRule="exact"/>
              <w:rPr>
                <w:color w:val="000000" w:themeColor="text1"/>
              </w:rPr>
            </w:pPr>
            <w:r w:rsidRPr="00286216">
              <w:rPr>
                <w:color w:val="000000" w:themeColor="text1"/>
              </w:rPr>
              <w:t>1)  якщо відповідна генеральна угода не передбачає можливості або процедури його проведення;</w:t>
            </w:r>
          </w:p>
          <w:p w14:paraId="3616C270" w14:textId="002EB3F9" w:rsidR="00B87F8E" w:rsidRPr="00286216" w:rsidRDefault="00B87F8E" w:rsidP="00B87F8E">
            <w:pPr>
              <w:pStyle w:val="StyleProp"/>
              <w:spacing w:line="180" w:lineRule="exact"/>
              <w:rPr>
                <w:color w:val="000000" w:themeColor="text1"/>
              </w:rPr>
            </w:pPr>
            <w:r w:rsidRPr="00286216">
              <w:rPr>
                <w:color w:val="000000" w:themeColor="text1"/>
              </w:rPr>
              <w:t>2) якщо відповідна угода щодо ліквідаційного неттінгу укладена після прийняття рішення, передбаченого статтею 12 Закону України «Про ринки капіталу та організовані товарні ринки»;</w:t>
            </w:r>
          </w:p>
          <w:p w14:paraId="222E16FC" w14:textId="1ABB1952" w:rsidR="00B87F8E" w:rsidRPr="00286216" w:rsidRDefault="00B87F8E" w:rsidP="00B87F8E">
            <w:pPr>
              <w:pStyle w:val="StyleProp"/>
              <w:spacing w:line="180" w:lineRule="exact"/>
              <w:rPr>
                <w:color w:val="000000" w:themeColor="text1"/>
              </w:rPr>
            </w:pPr>
            <w:r w:rsidRPr="00286216">
              <w:rPr>
                <w:color w:val="000000" w:themeColor="text1"/>
              </w:rPr>
              <w:t>3) якщо деривативний контракт, укладений банком з посиланням на обов’язковість відповідної угоди щодо ліквідаційного неттінгу, був укладений після прийняття рішення, передбаченого статтею 12 Закону України «Про ринки капіталу та організовані товарні ринки».</w:t>
            </w:r>
          </w:p>
          <w:p w14:paraId="5D348249" w14:textId="77777777" w:rsidR="00B87F8E" w:rsidRPr="00286216" w:rsidRDefault="00B87F8E" w:rsidP="00B87F8E">
            <w:pPr>
              <w:pStyle w:val="StyleProp"/>
              <w:spacing w:line="180" w:lineRule="exact"/>
              <w:rPr>
                <w:color w:val="000000" w:themeColor="text1"/>
              </w:rPr>
            </w:pPr>
            <w:r w:rsidRPr="00286216">
              <w:rPr>
                <w:color w:val="000000" w:themeColor="text1"/>
              </w:rPr>
              <w:lastRenderedPageBreak/>
              <w:t>5. Ліквідаційний неттінг щодо банку, в якому здійснюється тимчасова адміністрація або ліквідація, проводиться протягом семи робочих днів з дати ліквідаційного неттінгу (а у разі виведення неплатоспроможного банку з ринку за участю держави – протягом семи робочих днів з дня прийняття Кабінетом Міністрів України рішення про участь держави у виведенні неплатоспроможного банку з ринку). Особа, зазначена в угоді щодо ліквідаційного неттінгу, зобов’язана не пізніше третього робочого дня з дати, зазначеної в першому реченні цієї частини письмово повідомити банк та Фонд про вартість зобов’язань банку, розраховану відповідно до пункту 1 частини першої цієї статті, та орієнтовну дату завершення проведення ліквідаційного неттінгу.</w:t>
            </w:r>
          </w:p>
          <w:p w14:paraId="427701F6" w14:textId="77777777" w:rsidR="00B87F8E" w:rsidRPr="00286216" w:rsidRDefault="00B87F8E" w:rsidP="00B87F8E">
            <w:pPr>
              <w:pStyle w:val="StyleProp"/>
              <w:spacing w:line="180" w:lineRule="exact"/>
              <w:rPr>
                <w:color w:val="000000" w:themeColor="text1"/>
              </w:rPr>
            </w:pPr>
            <w:r w:rsidRPr="00286216">
              <w:rPr>
                <w:color w:val="000000" w:themeColor="text1"/>
              </w:rPr>
              <w:t xml:space="preserve">6. Положення цієї статті не застосовується до укладених поза організованим ринком деривативних контрактів, за умови, що сторона такого контракту до кінця дня, що є датою ліквідаційного неттінгу, не подала інформацію про укладення такого контракту, або до кінця дня, що є датою ліквідаційного неттінгу, не подала інформацію про укладення договору про заміну сторони такого деривативного контракту до торгового репозиторію в порядку та строки, встановлені Національною комісією з цінних паперів та фондового ринку. </w:t>
            </w:r>
          </w:p>
          <w:p w14:paraId="04D975CF" w14:textId="6A93133B" w:rsidR="00B87F8E" w:rsidRPr="00286216" w:rsidRDefault="00B87F8E" w:rsidP="00897762">
            <w:pPr>
              <w:pStyle w:val="StyleProp"/>
              <w:spacing w:line="180" w:lineRule="exact"/>
              <w:rPr>
                <w:color w:val="000000" w:themeColor="text1"/>
                <w:szCs w:val="18"/>
              </w:rPr>
            </w:pPr>
            <w:r w:rsidRPr="00286216">
              <w:rPr>
                <w:color w:val="000000" w:themeColor="text1"/>
              </w:rPr>
              <w:t>7. Положення цієї статті застосовується також до правочинів щодо фінансових інструментів, правочинів щодо валютних цінностей, а також правочинів, вчинених з метою забезпечення виконання зобов’язань за такими правочинами та операціями з посиланням на обов’язковість відповідної угоди щодо ліквідаційного неттінгу.</w:t>
            </w:r>
          </w:p>
        </w:tc>
        <w:tc>
          <w:tcPr>
            <w:tcW w:w="1987" w:type="dxa"/>
          </w:tcPr>
          <w:p w14:paraId="258948BD" w14:textId="2755A89C" w:rsidR="00B87F8E" w:rsidRPr="00286216" w:rsidRDefault="00B87F8E" w:rsidP="00B87F8E">
            <w:pPr>
              <w:pStyle w:val="StyleWisnow"/>
              <w:rPr>
                <w:color w:val="000000" w:themeColor="text1"/>
              </w:rPr>
            </w:pPr>
            <w:r w:rsidRPr="00286216">
              <w:rPr>
                <w:color w:val="000000" w:themeColor="text1"/>
              </w:rPr>
              <w:lastRenderedPageBreak/>
              <w:t>Враховано редакційно</w:t>
            </w:r>
          </w:p>
        </w:tc>
        <w:tc>
          <w:tcPr>
            <w:tcW w:w="4818" w:type="dxa"/>
          </w:tcPr>
          <w:p w14:paraId="6E92F92C" w14:textId="77777777" w:rsidR="00B87F8E" w:rsidRPr="00286216" w:rsidRDefault="00B87F8E" w:rsidP="00B87F8E">
            <w:pPr>
              <w:pStyle w:val="StyleZakonu"/>
              <w:rPr>
                <w:color w:val="000000" w:themeColor="text1"/>
              </w:rPr>
            </w:pPr>
            <w:r w:rsidRPr="00286216">
              <w:rPr>
                <w:color w:val="000000" w:themeColor="text1"/>
              </w:rPr>
              <w:t>8. Протягом дії тимчасової адміністрації та/або ліквідації Фонд зобов’язаний забезпечити проведення перевірки деривативних контрактів, укладених банком поза організованими ринками капіталу з пов'язаними особами протягом 6 місяців до дати ліквідаційного неттінгу (з іншими особами – протягом одного місяця) з метою виявлення деривативних контрактів, що були укладені з посиланням на обов’язковість для них угоди щодо ліквідаційного неттінгу та є нікчемними з таких підстав:</w:t>
            </w:r>
          </w:p>
          <w:p w14:paraId="176E0E3D" w14:textId="77777777" w:rsidR="00B87F8E" w:rsidRPr="00286216" w:rsidRDefault="00B87F8E" w:rsidP="00B87F8E">
            <w:pPr>
              <w:pStyle w:val="StyleZakonu"/>
              <w:rPr>
                <w:color w:val="000000" w:themeColor="text1"/>
              </w:rPr>
            </w:pPr>
            <w:r w:rsidRPr="00286216">
              <w:rPr>
                <w:color w:val="000000" w:themeColor="text1"/>
              </w:rPr>
              <w:t>1) результатом укладення деривативного контракту було недобросовісне надання банком переваги окремому кредитору (групі кредиторів) у порівнянні з іншими кредиторами в частині задоволення (у тому числі черговості такого задоволення) вимог кредиторів у процедурі тимчасової адміністрації та/або ліквідації банку;</w:t>
            </w:r>
          </w:p>
          <w:p w14:paraId="7424FA5F" w14:textId="77777777" w:rsidR="00B87F8E" w:rsidRPr="00286216" w:rsidRDefault="00B87F8E" w:rsidP="00B87F8E">
            <w:pPr>
              <w:pStyle w:val="StyleZakonu"/>
              <w:rPr>
                <w:color w:val="000000" w:themeColor="text1"/>
              </w:rPr>
            </w:pPr>
            <w:r w:rsidRPr="00286216">
              <w:rPr>
                <w:color w:val="000000" w:themeColor="text1"/>
              </w:rPr>
              <w:t>2) деривативний контракт було укладено  банком з метою недобросовісного виключення майна банку зі складу ліквідаційної маси;</w:t>
            </w:r>
          </w:p>
          <w:p w14:paraId="49A601E7" w14:textId="77777777" w:rsidR="00B87F8E" w:rsidRPr="00286216" w:rsidRDefault="00B87F8E" w:rsidP="00B87F8E">
            <w:pPr>
              <w:pStyle w:val="StyleZakonu"/>
              <w:rPr>
                <w:color w:val="000000" w:themeColor="text1"/>
              </w:rPr>
            </w:pPr>
            <w:r w:rsidRPr="00286216">
              <w:rPr>
                <w:color w:val="000000" w:themeColor="text1"/>
              </w:rPr>
              <w:t>3) результатом укладення деривативного контракту було недобросовісне збільшення розміру грошових зобов’язань банку перед окремим кредитором (групою кредиторів).</w:t>
            </w:r>
          </w:p>
          <w:p w14:paraId="03A4D2E5" w14:textId="77777777" w:rsidR="00B87F8E" w:rsidRPr="00286216" w:rsidRDefault="00B87F8E" w:rsidP="00B87F8E">
            <w:pPr>
              <w:pStyle w:val="StyleZakonu"/>
              <w:rPr>
                <w:color w:val="000000" w:themeColor="text1"/>
              </w:rPr>
            </w:pPr>
            <w:r w:rsidRPr="00286216">
              <w:rPr>
                <w:color w:val="000000" w:themeColor="text1"/>
              </w:rPr>
              <w:t>Порядок виявлення нікчемних деривативних контрактів, а також дій Фонду у разі їх виявлення визначаються нормативно-правовими актами Фонду.</w:t>
            </w:r>
          </w:p>
          <w:p w14:paraId="3A768DD1" w14:textId="77777777" w:rsidR="00897762" w:rsidRPr="00286216" w:rsidRDefault="00897762" w:rsidP="00897762">
            <w:pPr>
              <w:pStyle w:val="StyleZakonu"/>
              <w:rPr>
                <w:color w:val="000000" w:themeColor="text1"/>
              </w:rPr>
            </w:pPr>
            <w:r w:rsidRPr="00286216">
              <w:rPr>
                <w:color w:val="000000" w:themeColor="text1"/>
              </w:rPr>
              <w:t>9. Фонд:</w:t>
            </w:r>
          </w:p>
          <w:p w14:paraId="712B50AE" w14:textId="77777777" w:rsidR="00897762" w:rsidRPr="00286216" w:rsidRDefault="00897762" w:rsidP="00897762">
            <w:pPr>
              <w:pStyle w:val="StyleZakonu"/>
              <w:rPr>
                <w:color w:val="000000" w:themeColor="text1"/>
              </w:rPr>
            </w:pPr>
            <w:r w:rsidRPr="00286216">
              <w:rPr>
                <w:color w:val="000000" w:themeColor="text1"/>
              </w:rPr>
              <w:t xml:space="preserve">1) протягом дії тимчасової адміністрації та/або ліквідації повідомляє сторони деривативних контрактів, зазначених у пунктах 1 – 3 частини восьмої цієї статті, та особу, зазначену в угоді щодо ліквідаційного неттінгу, про нікчемність таких </w:t>
            </w:r>
            <w:r w:rsidRPr="00286216">
              <w:rPr>
                <w:color w:val="000000" w:themeColor="text1"/>
              </w:rPr>
              <w:lastRenderedPageBreak/>
              <w:t>деривативних контрактів, а також вчиняє дії щодо застосування наслідків нікчемності таких деривативних контрактів;</w:t>
            </w:r>
          </w:p>
          <w:p w14:paraId="25C32789" w14:textId="77777777" w:rsidR="00897762" w:rsidRPr="00286216" w:rsidRDefault="00897762" w:rsidP="00897762">
            <w:pPr>
              <w:pStyle w:val="StyleZakonu"/>
              <w:rPr>
                <w:color w:val="000000" w:themeColor="text1"/>
              </w:rPr>
            </w:pPr>
            <w:r w:rsidRPr="00286216">
              <w:rPr>
                <w:color w:val="000000" w:themeColor="text1"/>
              </w:rPr>
              <w:t>2) вживає заходів до витребування (повернення) майна (коштів) банку, переданого за такими деривативними контрактами;</w:t>
            </w:r>
          </w:p>
          <w:p w14:paraId="4AD08437" w14:textId="77777777" w:rsidR="00897762" w:rsidRPr="00286216" w:rsidRDefault="00897762" w:rsidP="00897762">
            <w:pPr>
              <w:pStyle w:val="StyleZakonu"/>
              <w:rPr>
                <w:color w:val="000000" w:themeColor="text1"/>
              </w:rPr>
            </w:pPr>
            <w:r w:rsidRPr="00286216">
              <w:rPr>
                <w:color w:val="000000" w:themeColor="text1"/>
              </w:rPr>
              <w:t>3) має право вимагати відшкодування збитків, спричинених укладенням таких деривативними контрактами.</w:t>
            </w:r>
          </w:p>
          <w:p w14:paraId="1EB83987" w14:textId="5911EA85" w:rsidR="00897762" w:rsidRPr="00286216" w:rsidRDefault="00897762" w:rsidP="00B87F8E">
            <w:pPr>
              <w:pStyle w:val="StyleZakonu"/>
              <w:rPr>
                <w:noProof/>
                <w:color w:val="000000" w:themeColor="text1"/>
              </w:rPr>
            </w:pPr>
          </w:p>
        </w:tc>
      </w:tr>
      <w:tr w:rsidR="00B87F8E" w:rsidRPr="00286216" w14:paraId="615DD97A" w14:textId="77777777" w:rsidTr="00091AA5">
        <w:tc>
          <w:tcPr>
            <w:tcW w:w="576" w:type="dxa"/>
          </w:tcPr>
          <w:p w14:paraId="036C7CBD" w14:textId="77777777" w:rsidR="00B87F8E" w:rsidRPr="00286216" w:rsidRDefault="00B87F8E" w:rsidP="00B87F8E">
            <w:pPr>
              <w:pStyle w:val="StyleWisnow"/>
              <w:rPr>
                <w:color w:val="000000" w:themeColor="text1"/>
              </w:rPr>
            </w:pPr>
            <w:bookmarkStart w:id="3470" w:name="n3600" w:colFirst="0" w:colLast="0"/>
            <w:bookmarkEnd w:id="3469"/>
            <w:r w:rsidRPr="00286216">
              <w:rPr>
                <w:color w:val="000000" w:themeColor="text1"/>
              </w:rPr>
              <w:lastRenderedPageBreak/>
              <w:t>3600.</w:t>
            </w:r>
          </w:p>
        </w:tc>
        <w:tc>
          <w:tcPr>
            <w:tcW w:w="4818" w:type="dxa"/>
          </w:tcPr>
          <w:p w14:paraId="73FA191A" w14:textId="77777777" w:rsidR="00B87F8E" w:rsidRPr="00286216" w:rsidRDefault="00B87F8E" w:rsidP="00B87F8E">
            <w:pPr>
              <w:pStyle w:val="StyleZakonu"/>
              <w:rPr>
                <w:color w:val="000000" w:themeColor="text1"/>
              </w:rPr>
            </w:pPr>
            <w:r w:rsidRPr="00286216">
              <w:rPr>
                <w:color w:val="000000" w:themeColor="text1"/>
              </w:rPr>
              <w:t>3) якщо деривативний контракт, укладений стороною на підставі відповідної генеральної угоди після прийняття рішення, передбаченого статтею 12 Закону України "Про ринки капіталу та організовані товарні ринки".</w:t>
            </w:r>
          </w:p>
        </w:tc>
        <w:tc>
          <w:tcPr>
            <w:tcW w:w="3686" w:type="dxa"/>
          </w:tcPr>
          <w:p w14:paraId="5CA1EE5C" w14:textId="77777777" w:rsidR="00B87F8E" w:rsidRPr="00286216" w:rsidRDefault="00B87F8E" w:rsidP="00B87F8E">
            <w:pPr>
              <w:pStyle w:val="StyleProp"/>
              <w:rPr>
                <w:color w:val="000000" w:themeColor="text1"/>
                <w:szCs w:val="18"/>
              </w:rPr>
            </w:pPr>
          </w:p>
        </w:tc>
        <w:tc>
          <w:tcPr>
            <w:tcW w:w="1987" w:type="dxa"/>
          </w:tcPr>
          <w:p w14:paraId="4B421943" w14:textId="77777777" w:rsidR="00B87F8E" w:rsidRPr="00286216" w:rsidRDefault="00B87F8E" w:rsidP="00B87F8E">
            <w:pPr>
              <w:pStyle w:val="StyleWisnow"/>
              <w:rPr>
                <w:color w:val="000000" w:themeColor="text1"/>
              </w:rPr>
            </w:pPr>
          </w:p>
        </w:tc>
        <w:tc>
          <w:tcPr>
            <w:tcW w:w="4818" w:type="dxa"/>
          </w:tcPr>
          <w:p w14:paraId="41CFF103" w14:textId="67D758EC" w:rsidR="00B87F8E" w:rsidRPr="00286216" w:rsidRDefault="00B87F8E" w:rsidP="00B87F8E">
            <w:pPr>
              <w:pStyle w:val="StyleZakonu"/>
              <w:rPr>
                <w:color w:val="000000" w:themeColor="text1"/>
              </w:rPr>
            </w:pPr>
            <w:r w:rsidRPr="00286216">
              <w:rPr>
                <w:color w:val="000000" w:themeColor="text1"/>
              </w:rPr>
              <w:t>У разі отримання повідомлення Фонду про нікчемність деривативного контракту з підстав, передбачених частиною восьмою цієї статті, особа, зазначена в угоді щодо ліквідаційного неттінгу, зобов'язана повторно провести процедуру визначення нетто-зобов'язання без врахування зобов'язань за таким деривативним контрактом та повідомити сторонам такого деривативного контракту нову суму нетто-зобов'язання. Інша сторона деривативного контракту, яка отримала від банку кошти за результатами попереднього ліквідаційного неттінгу, зобов'язана повернути банку різницю між сумою попереднього та нового нетто-зобов'язання.</w:t>
            </w:r>
          </w:p>
        </w:tc>
      </w:tr>
      <w:tr w:rsidR="00B87F8E" w:rsidRPr="00286216" w14:paraId="5AA75532" w14:textId="77777777" w:rsidTr="00091AA5">
        <w:tc>
          <w:tcPr>
            <w:tcW w:w="576" w:type="dxa"/>
          </w:tcPr>
          <w:p w14:paraId="686D11E8" w14:textId="77777777" w:rsidR="00B87F8E" w:rsidRPr="00286216" w:rsidRDefault="00B87F8E" w:rsidP="00B87F8E">
            <w:pPr>
              <w:pStyle w:val="StyleWisnow"/>
              <w:rPr>
                <w:color w:val="000000" w:themeColor="text1"/>
              </w:rPr>
            </w:pPr>
            <w:bookmarkStart w:id="3471" w:name="n3601" w:colFirst="0" w:colLast="0"/>
            <w:bookmarkEnd w:id="3470"/>
            <w:r w:rsidRPr="00286216">
              <w:rPr>
                <w:color w:val="000000" w:themeColor="text1"/>
              </w:rPr>
              <w:lastRenderedPageBreak/>
              <w:t>3601.</w:t>
            </w:r>
          </w:p>
        </w:tc>
        <w:tc>
          <w:tcPr>
            <w:tcW w:w="4818" w:type="dxa"/>
          </w:tcPr>
          <w:p w14:paraId="3B54E366" w14:textId="77777777" w:rsidR="00B87F8E" w:rsidRPr="00286216" w:rsidRDefault="00B87F8E" w:rsidP="00B87F8E">
            <w:pPr>
              <w:pStyle w:val="StyleZakonu"/>
              <w:rPr>
                <w:color w:val="000000" w:themeColor="text1"/>
              </w:rPr>
            </w:pPr>
            <w:r w:rsidRPr="00286216">
              <w:rPr>
                <w:color w:val="000000" w:themeColor="text1"/>
              </w:rPr>
              <w:t>5. Положення цієї статті застосовується також до інших фінансових інструментів та правочинів щодо них, а також до правочинів щодо валютних цінностей.</w:t>
            </w:r>
          </w:p>
        </w:tc>
        <w:tc>
          <w:tcPr>
            <w:tcW w:w="3686" w:type="dxa"/>
          </w:tcPr>
          <w:p w14:paraId="42A48C08" w14:textId="23CEE315"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1465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3D9CEFCA" w14:textId="70755E17" w:rsidR="00B87F8E" w:rsidRPr="00286216" w:rsidRDefault="00B87F8E" w:rsidP="00B87F8E">
            <w:pPr>
              <w:pStyle w:val="StyleProp"/>
              <w:spacing w:line="180" w:lineRule="exact"/>
              <w:rPr>
                <w:color w:val="000000" w:themeColor="text1"/>
                <w:szCs w:val="18"/>
              </w:rPr>
            </w:pPr>
            <w:r w:rsidRPr="00286216">
              <w:rPr>
                <w:color w:val="000000" w:themeColor="text1"/>
                <w:szCs w:val="18"/>
              </w:rPr>
              <w:t>У підпункті 20 пункту 42 Розділу ІІІ доповнити абзацом такого змісту:</w:t>
            </w:r>
          </w:p>
          <w:p w14:paraId="48A7ECE7" w14:textId="7110EBAF" w:rsidR="00B87F8E" w:rsidRPr="00286216" w:rsidRDefault="00B87F8E" w:rsidP="00B87F8E">
            <w:pPr>
              <w:pStyle w:val="StyleProp"/>
              <w:spacing w:line="180" w:lineRule="exact"/>
              <w:rPr>
                <w:color w:val="000000" w:themeColor="text1"/>
                <w:szCs w:val="18"/>
              </w:rPr>
            </w:pPr>
            <w:r w:rsidRPr="00286216">
              <w:rPr>
                <w:color w:val="000000" w:themeColor="text1"/>
                <w:szCs w:val="18"/>
              </w:rPr>
              <w:t>доповнити новою частиною такого змісту:</w:t>
            </w:r>
          </w:p>
          <w:p w14:paraId="6D382F8F" w14:textId="77777777" w:rsidR="00B87F8E" w:rsidRPr="00286216" w:rsidRDefault="00B87F8E" w:rsidP="00B87F8E">
            <w:pPr>
              <w:pStyle w:val="StyleProp"/>
              <w:spacing w:line="180" w:lineRule="exact"/>
              <w:rPr>
                <w:color w:val="000000" w:themeColor="text1"/>
                <w:szCs w:val="18"/>
              </w:rPr>
            </w:pPr>
            <w:r w:rsidRPr="00286216">
              <w:rPr>
                <w:color w:val="000000" w:themeColor="text1"/>
                <w:szCs w:val="18"/>
              </w:rPr>
              <w:t>«6. Особливості проведення ліквідаційного неттінгу щодо неплатоспроможного банку, виведення з ринку якого здійснюється за участі держави, встановлюється Національною комісією з цінних паперів та фондового ринку за погодженням з Фондом.».</w:t>
            </w:r>
          </w:p>
        </w:tc>
        <w:tc>
          <w:tcPr>
            <w:tcW w:w="1987" w:type="dxa"/>
          </w:tcPr>
          <w:p w14:paraId="1F857265" w14:textId="77777777" w:rsidR="00B87F8E" w:rsidRPr="00286216" w:rsidRDefault="00B87F8E" w:rsidP="00B87F8E">
            <w:pPr>
              <w:pStyle w:val="StyleWisnow"/>
              <w:rPr>
                <w:color w:val="000000" w:themeColor="text1"/>
              </w:rPr>
            </w:pPr>
            <w:r w:rsidRPr="00286216">
              <w:rPr>
                <w:color w:val="000000" w:themeColor="text1"/>
              </w:rPr>
              <w:t>Враховано по суті</w:t>
            </w:r>
          </w:p>
          <w:p w14:paraId="5D824077" w14:textId="77777777" w:rsidR="00B87F8E" w:rsidRPr="00286216" w:rsidRDefault="00B87F8E" w:rsidP="00B87F8E">
            <w:pPr>
              <w:pStyle w:val="StyleWisnow"/>
              <w:rPr>
                <w:color w:val="000000" w:themeColor="text1"/>
              </w:rPr>
            </w:pPr>
          </w:p>
        </w:tc>
        <w:tc>
          <w:tcPr>
            <w:tcW w:w="4818" w:type="dxa"/>
          </w:tcPr>
          <w:p w14:paraId="68F002C6" w14:textId="52B70B39" w:rsidR="00B87F8E" w:rsidRPr="00286216" w:rsidRDefault="00B87F8E" w:rsidP="00B87F8E">
            <w:pPr>
              <w:pStyle w:val="StyleZakonu"/>
              <w:rPr>
                <w:color w:val="000000" w:themeColor="text1"/>
              </w:rPr>
            </w:pPr>
            <w:r w:rsidRPr="00286216">
              <w:rPr>
                <w:color w:val="000000" w:themeColor="text1"/>
              </w:rPr>
              <w:t>10. Положення цієї статті, крім частин восьмої та дев’ятої, також застосовується до вчинених банком на організованих ринках капіталу та поза ними правочинів щодо фінансових інструментів та щодо валютних цінностей, у разі якщо такі правочини були вчинені з посиланням на обов’язковість для них угоди щодо ліквідаційного неттінгу, а також до правочинів, вчинених з метою забезпечення виконання зобов’язань за деривативними контрактами та іншими правочинами, зазначеними у цій частині. Положення частин восьмої та дев’ятої цієї статті застосовується виключно до тих правочинів, зазначених у цій частині, що були вчинені банком поза організованими ринками капіталу".</w:t>
            </w:r>
          </w:p>
        </w:tc>
      </w:tr>
      <w:tr w:rsidR="00B87F8E" w:rsidRPr="00286216" w14:paraId="087FFEAA" w14:textId="77777777" w:rsidTr="00091AA5">
        <w:tc>
          <w:tcPr>
            <w:tcW w:w="576" w:type="dxa"/>
          </w:tcPr>
          <w:p w14:paraId="607C5540" w14:textId="77777777" w:rsidR="00B87F8E" w:rsidRPr="00286216" w:rsidRDefault="00B87F8E" w:rsidP="00B87F8E">
            <w:pPr>
              <w:pStyle w:val="StyleWisnow"/>
              <w:rPr>
                <w:color w:val="000000" w:themeColor="text1"/>
              </w:rPr>
            </w:pPr>
            <w:bookmarkStart w:id="3472" w:name="n3602" w:colFirst="0" w:colLast="0"/>
            <w:bookmarkEnd w:id="3471"/>
            <w:r w:rsidRPr="00286216">
              <w:rPr>
                <w:color w:val="000000" w:themeColor="text1"/>
              </w:rPr>
              <w:t>3602.</w:t>
            </w:r>
          </w:p>
        </w:tc>
        <w:tc>
          <w:tcPr>
            <w:tcW w:w="4818" w:type="dxa"/>
          </w:tcPr>
          <w:p w14:paraId="1CDF5C48" w14:textId="77777777" w:rsidR="00B87F8E" w:rsidRPr="00286216" w:rsidRDefault="00B87F8E" w:rsidP="00B87F8E">
            <w:pPr>
              <w:pStyle w:val="StyleZakonu"/>
              <w:rPr>
                <w:color w:val="000000" w:themeColor="text1"/>
              </w:rPr>
            </w:pPr>
            <w:r w:rsidRPr="00286216">
              <w:rPr>
                <w:color w:val="000000" w:themeColor="text1"/>
              </w:rPr>
              <w:t>43. У Законі України "Про інститути спільного інвестування" (Відомості Верховної Ради України, 2013 р., №29, ст. 337, із наступними змінами):</w:t>
            </w:r>
          </w:p>
        </w:tc>
        <w:tc>
          <w:tcPr>
            <w:tcW w:w="3686" w:type="dxa"/>
          </w:tcPr>
          <w:p w14:paraId="3FE3FC70" w14:textId="77777777" w:rsidR="00B87F8E" w:rsidRPr="00286216" w:rsidRDefault="00B87F8E" w:rsidP="00B87F8E">
            <w:pPr>
              <w:pStyle w:val="StyleProp"/>
              <w:rPr>
                <w:color w:val="000000" w:themeColor="text1"/>
                <w:szCs w:val="18"/>
              </w:rPr>
            </w:pPr>
          </w:p>
        </w:tc>
        <w:tc>
          <w:tcPr>
            <w:tcW w:w="1987" w:type="dxa"/>
          </w:tcPr>
          <w:p w14:paraId="28583D10" w14:textId="77777777" w:rsidR="00B87F8E" w:rsidRPr="00286216" w:rsidRDefault="00B87F8E" w:rsidP="00B87F8E">
            <w:pPr>
              <w:pStyle w:val="StyleWisnow"/>
              <w:rPr>
                <w:color w:val="000000" w:themeColor="text1"/>
              </w:rPr>
            </w:pPr>
          </w:p>
        </w:tc>
        <w:tc>
          <w:tcPr>
            <w:tcW w:w="4818" w:type="dxa"/>
          </w:tcPr>
          <w:p w14:paraId="5C2B69A0" w14:textId="6CA094F9" w:rsidR="00B87F8E" w:rsidRPr="00286216" w:rsidRDefault="00B87F8E" w:rsidP="00B87F8E">
            <w:pPr>
              <w:pStyle w:val="StyleZakonu"/>
              <w:rPr>
                <w:color w:val="000000" w:themeColor="text1"/>
              </w:rPr>
            </w:pPr>
            <w:r w:rsidRPr="00286216">
              <w:rPr>
                <w:color w:val="000000" w:themeColor="text1"/>
              </w:rPr>
              <w:t>41. У Законі України "Про інститути спільного інвестування" (Відомості Верховної Ради України, 2013 р., №29, ст. 337):</w:t>
            </w:r>
          </w:p>
        </w:tc>
      </w:tr>
      <w:tr w:rsidR="00B87F8E" w:rsidRPr="00286216" w14:paraId="7377E57C" w14:textId="77777777" w:rsidTr="00091AA5">
        <w:tc>
          <w:tcPr>
            <w:tcW w:w="576" w:type="dxa"/>
          </w:tcPr>
          <w:p w14:paraId="31596393" w14:textId="77777777" w:rsidR="00B87F8E" w:rsidRPr="00286216" w:rsidRDefault="00B87F8E" w:rsidP="00B87F8E">
            <w:pPr>
              <w:pStyle w:val="StyleWisnow"/>
              <w:rPr>
                <w:color w:val="000000" w:themeColor="text1"/>
              </w:rPr>
            </w:pPr>
            <w:bookmarkStart w:id="3473" w:name="n3603" w:colFirst="0" w:colLast="0"/>
            <w:bookmarkEnd w:id="3472"/>
            <w:r w:rsidRPr="00286216">
              <w:rPr>
                <w:color w:val="000000" w:themeColor="text1"/>
              </w:rPr>
              <w:t>3603.</w:t>
            </w:r>
          </w:p>
        </w:tc>
        <w:tc>
          <w:tcPr>
            <w:tcW w:w="4818" w:type="dxa"/>
          </w:tcPr>
          <w:p w14:paraId="4D4DD17F" w14:textId="77777777" w:rsidR="00B87F8E" w:rsidRPr="00286216" w:rsidRDefault="00B87F8E" w:rsidP="00B87F8E">
            <w:pPr>
              <w:pStyle w:val="StyleZakonu"/>
              <w:rPr>
                <w:color w:val="000000" w:themeColor="text1"/>
              </w:rPr>
            </w:pPr>
            <w:r w:rsidRPr="00286216">
              <w:rPr>
                <w:color w:val="000000" w:themeColor="text1"/>
              </w:rPr>
              <w:t>1) у статті 1:</w:t>
            </w:r>
          </w:p>
        </w:tc>
        <w:tc>
          <w:tcPr>
            <w:tcW w:w="3686" w:type="dxa"/>
          </w:tcPr>
          <w:p w14:paraId="3D6ADFD6" w14:textId="051DCA4F" w:rsidR="00B87F8E" w:rsidRPr="00286216" w:rsidRDefault="00B87F8E" w:rsidP="00B87F8E">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1466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819E165"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zCs w:val="18"/>
              </w:rPr>
              <w:t xml:space="preserve">Підпункти 1-7 пункту 43 замінити </w:t>
            </w:r>
            <w:r w:rsidRPr="00286216">
              <w:rPr>
                <w:color w:val="000000" w:themeColor="text1"/>
                <w:spacing w:val="-2"/>
                <w:szCs w:val="18"/>
              </w:rPr>
              <w:t>десятьма підпунктами такого змісту:</w:t>
            </w:r>
          </w:p>
          <w:p w14:paraId="23E8B290"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 xml:space="preserve">«1) у статті 1: </w:t>
            </w:r>
          </w:p>
          <w:p w14:paraId="3117141B"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а) у частині першій:</w:t>
            </w:r>
          </w:p>
          <w:p w14:paraId="5D6B28D2"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пункт 9 викласти в такій редакції:</w:t>
            </w:r>
          </w:p>
          <w:p w14:paraId="7309F865"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«9) індексний кошик - сукупність фінансових інструментів у відповідних співвідношеннях, на підставі якої розраховується індекс регульованого фондового ринку відповідно до зареєстрованих Комісією правил функціонування регульованого фондового ринку;»;</w:t>
            </w:r>
          </w:p>
          <w:p w14:paraId="608B4169"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доповнити після пункту 17 новим пунктом такого змісту:</w:t>
            </w:r>
          </w:p>
          <w:p w14:paraId="595949C3"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«17-1) товарний актив, допущений до торгів на багатосторонніх торгівельних майданчиках, – продукція та інше майно, визначене родовими ознаками, допущені до торгів на багатосторонніх торгівельних майданчиках;»;</w:t>
            </w:r>
          </w:p>
          <w:p w14:paraId="516F97E7"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б) доповнити статтю новою частиною такого змісту:</w:t>
            </w:r>
          </w:p>
          <w:p w14:paraId="41235F7F"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 xml:space="preserve">«2. Терміни «багатосторонній торгівельний майданчик», «офіційний канал зв’язку», «продукція», «регульований ринок», «регульований фондовий ринок», «регулярні торги» вживаються в цьому Законі у значеннях, визначених у Законі України «Про ринки капіталу та організовані товарні ринки». </w:t>
            </w:r>
          </w:p>
          <w:p w14:paraId="0513582B"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Термін «продукція» вживається в цьому Законі у значенні, визначеному у Законі України «Про товарну біржу».»;</w:t>
            </w:r>
          </w:p>
          <w:p w14:paraId="522A129B"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lastRenderedPageBreak/>
              <w:t>в частині першій статті 3 слова «фондового ринку» замінити словами «ринків капіталу»;</w:t>
            </w:r>
          </w:p>
          <w:p w14:paraId="3318ABDC"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2) частину четверту статті 6 після слів «надсилаються заявнику» доповнити словами «офіційним каналом зв’язку»;</w:t>
            </w:r>
          </w:p>
          <w:p w14:paraId="5485F1CF"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3) у статті 7:</w:t>
            </w:r>
          </w:p>
          <w:p w14:paraId="319A78B4"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а) слова «фондовій біржі» замінити словами «регульованому ринку»;</w:t>
            </w:r>
          </w:p>
          <w:p w14:paraId="0E155774"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б) пункт третій частини четвертої викласти в такій редакції:</w:t>
            </w:r>
          </w:p>
          <w:p w14:paraId="63C8AA3F"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«3) не менш як 70 відсотків загальної вартості активів інституту спільного інвестування становлять кошти, в тому числі на банківських депозитних рахунках, ощадні сертифікати банку, депозитні сертифікату банку, банківські метали, корпоративні облігації та облігації місцевих позик, державні цінні папери, облігації міжнародних фінансових організацій, що розміщуються на території України, а також цінні папери, що допущені до торгів на регульованому фондовому ринку.»;</w:t>
            </w:r>
          </w:p>
          <w:p w14:paraId="24381A11"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в) у пункті 5 частини шостої слова «біржових товарних активів» замінити словами «товарних активів, що допущені до торгів на багатосторонніх торгівельних майданчиках»;</w:t>
            </w:r>
          </w:p>
          <w:p w14:paraId="174CB63A"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 xml:space="preserve">г) у частині девʼятій: </w:t>
            </w:r>
          </w:p>
          <w:p w14:paraId="74F77D73"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у пункті першому слова «фондовій біржі, визначеній» замінити словами «регульованому фондовому ринку, визначеному»;</w:t>
            </w:r>
          </w:p>
          <w:p w14:paraId="55948F53"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 xml:space="preserve"> пункт 3 викласти в такій редакції: «інвестиційна фірма, яка здійснила андеррайтинг цінних паперів такого інституту зобов’язана виконувати функцію маркет-мейкера щодо таких цінних паперів ІСІ у встановленому Національною комісією з цінних паперів та фондового ринку порядку;»;</w:t>
            </w:r>
          </w:p>
          <w:p w14:paraId="3F4B4861"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4) частину п’яту статті 11 після слів «повідомленням Комісії» доповнити словами «офіційним каналом зв’язку»;</w:t>
            </w:r>
          </w:p>
          <w:p w14:paraId="46249A4A"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5) в абзаці п’ятому частини першої статті 19 слова «фондовій біржі» та «такій фондовій біржі» замінити відповідно словами «організованому ринку капіталу» та «оператору такого ринку»;</w:t>
            </w:r>
          </w:p>
          <w:p w14:paraId="053FD5B0"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6) в абзаці другому частини сьомої статті 21 слова «акції якого перебувають в лістингу на фондовій біржі, надсилає такій біржі» замінити словами «акції якого допущені до торгів на організованому ринку капіталу, надсилає оператору такого ринку»;</w:t>
            </w:r>
          </w:p>
          <w:p w14:paraId="7CF57B61"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 xml:space="preserve">7) доповнити абзац перший частини четвертої статті 23 новим реченням такого змісту: «Таке повідомлення здійснюється Комісією офіційним каналом зв’язку». </w:t>
            </w:r>
          </w:p>
          <w:p w14:paraId="708B2C26"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lastRenderedPageBreak/>
              <w:t>8) в абзаці другому частині четвертій статті 31 слова «фондовій біржі, рішення про проведення загальних зборів шляхом опитування надсилається відповідній фондовій біржі» замінити словами «організованому ринку капіталу, рішення про проведення загальних зборів шляхом опитування надсилається відповідному оператору організованого ринку капіталу»;</w:t>
            </w:r>
          </w:p>
          <w:p w14:paraId="2629AE02" w14:textId="77777777" w:rsidR="00B87F8E" w:rsidRPr="00286216" w:rsidRDefault="00B87F8E" w:rsidP="00B87F8E">
            <w:pPr>
              <w:pStyle w:val="StyleProp"/>
              <w:spacing w:line="180" w:lineRule="exact"/>
              <w:rPr>
                <w:color w:val="000000" w:themeColor="text1"/>
                <w:spacing w:val="-2"/>
                <w:szCs w:val="18"/>
              </w:rPr>
            </w:pPr>
            <w:r w:rsidRPr="00286216">
              <w:rPr>
                <w:color w:val="000000" w:themeColor="text1"/>
                <w:spacing w:val="-2"/>
                <w:szCs w:val="18"/>
              </w:rPr>
              <w:t>9) в пункті 2 частини четвертої статті 35 слова «торговців цінними паперами» замінити словами «інвестиційних фірм»;</w:t>
            </w:r>
          </w:p>
          <w:p w14:paraId="6F868650" w14:textId="4EE56212" w:rsidR="00B87F8E" w:rsidRPr="00286216" w:rsidRDefault="00B87F8E" w:rsidP="00897762">
            <w:pPr>
              <w:pStyle w:val="StyleProp"/>
              <w:spacing w:line="180" w:lineRule="exact"/>
              <w:rPr>
                <w:color w:val="000000" w:themeColor="text1"/>
                <w:spacing w:val="-2"/>
                <w:szCs w:val="18"/>
              </w:rPr>
            </w:pPr>
            <w:r w:rsidRPr="00286216">
              <w:rPr>
                <w:color w:val="000000" w:themeColor="text1"/>
                <w:spacing w:val="-2"/>
                <w:szCs w:val="18"/>
              </w:rPr>
              <w:t>10) у частині сьомій статті 37 слова «загальнодоступній інформаційній базі даних Комісії про ринок цінних паперів» замінити словами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16DB9B88" w14:textId="77777777" w:rsidR="00B87F8E" w:rsidRPr="00286216" w:rsidRDefault="00B87F8E" w:rsidP="00B87F8E">
            <w:pPr>
              <w:pStyle w:val="StyleWisnow"/>
              <w:rPr>
                <w:color w:val="000000" w:themeColor="text1"/>
              </w:rPr>
            </w:pPr>
            <w:r w:rsidRPr="00286216">
              <w:rPr>
                <w:color w:val="000000" w:themeColor="text1"/>
              </w:rPr>
              <w:lastRenderedPageBreak/>
              <w:t>Враховано редакційно</w:t>
            </w:r>
          </w:p>
        </w:tc>
        <w:tc>
          <w:tcPr>
            <w:tcW w:w="4818" w:type="dxa"/>
          </w:tcPr>
          <w:p w14:paraId="33B75668" w14:textId="77777777" w:rsidR="00B87F8E" w:rsidRPr="00286216" w:rsidRDefault="00B87F8E" w:rsidP="00B87F8E">
            <w:pPr>
              <w:pStyle w:val="StyleZakonu"/>
              <w:rPr>
                <w:color w:val="000000" w:themeColor="text1"/>
              </w:rPr>
            </w:pPr>
            <w:r w:rsidRPr="00286216">
              <w:rPr>
                <w:color w:val="000000" w:themeColor="text1"/>
              </w:rPr>
              <w:t xml:space="preserve">1) у статті 1: </w:t>
            </w:r>
          </w:p>
          <w:p w14:paraId="1B7AA4B5" w14:textId="77777777" w:rsidR="00B87F8E" w:rsidRPr="00286216" w:rsidRDefault="00B87F8E" w:rsidP="00B87F8E">
            <w:pPr>
              <w:pStyle w:val="StyleZakonu"/>
              <w:rPr>
                <w:color w:val="000000" w:themeColor="text1"/>
              </w:rPr>
            </w:pPr>
            <w:r w:rsidRPr="00286216">
              <w:rPr>
                <w:color w:val="000000" w:themeColor="text1"/>
              </w:rPr>
              <w:t>а) у частині першій:</w:t>
            </w:r>
          </w:p>
          <w:p w14:paraId="4B0D6DD3" w14:textId="77777777" w:rsidR="00B87F8E" w:rsidRPr="00286216" w:rsidRDefault="00B87F8E" w:rsidP="00B87F8E">
            <w:pPr>
              <w:pStyle w:val="StyleZakonu"/>
              <w:rPr>
                <w:color w:val="000000" w:themeColor="text1"/>
              </w:rPr>
            </w:pPr>
            <w:r w:rsidRPr="00286216">
              <w:rPr>
                <w:color w:val="000000" w:themeColor="text1"/>
              </w:rPr>
              <w:t>пункт 9 викласти в такій редакції:</w:t>
            </w:r>
          </w:p>
          <w:p w14:paraId="5D3B08B9" w14:textId="77777777" w:rsidR="00B87F8E" w:rsidRPr="00286216" w:rsidRDefault="00B87F8E" w:rsidP="00B87F8E">
            <w:pPr>
              <w:pStyle w:val="StyleZakonu"/>
              <w:rPr>
                <w:color w:val="000000" w:themeColor="text1"/>
              </w:rPr>
            </w:pPr>
            <w:r w:rsidRPr="00286216">
              <w:rPr>
                <w:color w:val="000000" w:themeColor="text1"/>
              </w:rPr>
              <w:t>«9) індексний кошик - сукупність фінансових інструментів у відповідних співвідношеннях, на підставі якої розраховується індекс регульованого фондового ринку відповідно до зареєстрованих Комісією правил функціонування регульованого фондового ринку»;</w:t>
            </w:r>
          </w:p>
          <w:p w14:paraId="3CCA8F94" w14:textId="77777777" w:rsidR="00B87F8E" w:rsidRPr="00286216" w:rsidRDefault="00B87F8E" w:rsidP="00B87F8E">
            <w:pPr>
              <w:pStyle w:val="StyleZakonu"/>
              <w:rPr>
                <w:color w:val="000000" w:themeColor="text1"/>
              </w:rPr>
            </w:pPr>
            <w:r w:rsidRPr="00286216">
              <w:rPr>
                <w:color w:val="000000" w:themeColor="text1"/>
              </w:rPr>
              <w:t>доповнити пунктом 17</w:t>
            </w:r>
            <w:r w:rsidRPr="00286216">
              <w:rPr>
                <w:color w:val="000000" w:themeColor="text1"/>
                <w:vertAlign w:val="superscript"/>
              </w:rPr>
              <w:t>1</w:t>
            </w:r>
            <w:r w:rsidRPr="00286216">
              <w:rPr>
                <w:color w:val="000000" w:themeColor="text1"/>
              </w:rPr>
              <w:t xml:space="preserve"> такого змісту:</w:t>
            </w:r>
          </w:p>
          <w:p w14:paraId="41F2E999" w14:textId="77777777" w:rsidR="00B87F8E" w:rsidRPr="00286216" w:rsidRDefault="00B87F8E" w:rsidP="00B87F8E">
            <w:pPr>
              <w:pStyle w:val="StyleZakonu"/>
              <w:rPr>
                <w:color w:val="000000" w:themeColor="text1"/>
              </w:rPr>
            </w:pPr>
            <w:r w:rsidRPr="00286216">
              <w:rPr>
                <w:color w:val="000000" w:themeColor="text1"/>
              </w:rPr>
              <w:t>«17</w:t>
            </w:r>
            <w:r w:rsidRPr="00286216">
              <w:rPr>
                <w:color w:val="000000" w:themeColor="text1"/>
                <w:vertAlign w:val="superscript"/>
              </w:rPr>
              <w:t>1</w:t>
            </w:r>
            <w:r w:rsidRPr="00286216">
              <w:rPr>
                <w:color w:val="000000" w:themeColor="text1"/>
              </w:rPr>
              <w:t>) товарний актив, допущений до торгів на багатосторонніх торговельних майданчиках, – продукція та інше майно, визначене родовими ознаками, допущені до торгів на багатосторонніх торговельних майданчиках»;</w:t>
            </w:r>
          </w:p>
          <w:p w14:paraId="1EF85B57" w14:textId="77777777" w:rsidR="00B87F8E" w:rsidRPr="00286216" w:rsidRDefault="00B87F8E" w:rsidP="00B87F8E">
            <w:pPr>
              <w:pStyle w:val="StyleZakonu"/>
              <w:rPr>
                <w:color w:val="000000" w:themeColor="text1"/>
              </w:rPr>
            </w:pPr>
            <w:r w:rsidRPr="00286216">
              <w:rPr>
                <w:color w:val="000000" w:themeColor="text1"/>
              </w:rPr>
              <w:t>б) доповнити частиною другою такого змісту:</w:t>
            </w:r>
          </w:p>
          <w:p w14:paraId="38D4DA65" w14:textId="77777777" w:rsidR="00B87F8E" w:rsidRPr="00286216" w:rsidRDefault="00B87F8E" w:rsidP="00B87F8E">
            <w:pPr>
              <w:pStyle w:val="StyleZakonu"/>
              <w:rPr>
                <w:color w:val="000000" w:themeColor="text1"/>
              </w:rPr>
            </w:pPr>
            <w:r w:rsidRPr="00286216">
              <w:rPr>
                <w:color w:val="000000" w:themeColor="text1"/>
              </w:rPr>
              <w:t xml:space="preserve">«2. Терміни «багатосторонній торговельний майданчик», «офіційний канал зв’язку», «регульований ринок», «регулярні торги» вживаються в цьому Законі у значеннях, визначених у Законі України «Про ринки капіталу та організовані товарні ринки». </w:t>
            </w:r>
          </w:p>
          <w:p w14:paraId="58CB1A99" w14:textId="77777777" w:rsidR="00B87F8E" w:rsidRPr="00286216" w:rsidRDefault="00B87F8E" w:rsidP="00B87F8E">
            <w:pPr>
              <w:pStyle w:val="StyleZakonu"/>
              <w:rPr>
                <w:color w:val="000000" w:themeColor="text1"/>
              </w:rPr>
            </w:pPr>
            <w:r w:rsidRPr="00286216">
              <w:rPr>
                <w:color w:val="000000" w:themeColor="text1"/>
              </w:rPr>
              <w:t>Термін «продукція» вживається в цьому Законі у значенні, визначеному у Законі України «Про товарну біржу»;</w:t>
            </w:r>
          </w:p>
          <w:p w14:paraId="02C84B7C" w14:textId="4AB186CC" w:rsidR="00B87F8E" w:rsidRPr="00286216" w:rsidRDefault="002579A3" w:rsidP="00B87F8E">
            <w:pPr>
              <w:pStyle w:val="StyleZakonu"/>
              <w:rPr>
                <w:color w:val="000000" w:themeColor="text1"/>
              </w:rPr>
            </w:pPr>
            <w:r w:rsidRPr="00286216">
              <w:rPr>
                <w:color w:val="000000" w:themeColor="text1"/>
              </w:rPr>
              <w:lastRenderedPageBreak/>
              <w:t xml:space="preserve">2) </w:t>
            </w:r>
            <w:r w:rsidR="00B87F8E" w:rsidRPr="00286216">
              <w:rPr>
                <w:color w:val="000000" w:themeColor="text1"/>
              </w:rPr>
              <w:t>у частині першій статті 3 слова «фондового ринку» замінити словами «ринків капіталу»;</w:t>
            </w:r>
          </w:p>
          <w:p w14:paraId="590476BD" w14:textId="0C2084A1" w:rsidR="00B87F8E" w:rsidRPr="00286216" w:rsidRDefault="002579A3" w:rsidP="00B87F8E">
            <w:pPr>
              <w:pStyle w:val="StyleZakonu"/>
              <w:rPr>
                <w:color w:val="000000" w:themeColor="text1"/>
              </w:rPr>
            </w:pPr>
            <w:r w:rsidRPr="00286216">
              <w:rPr>
                <w:color w:val="000000" w:themeColor="text1"/>
              </w:rPr>
              <w:t>3</w:t>
            </w:r>
            <w:r w:rsidR="00B87F8E" w:rsidRPr="00286216">
              <w:rPr>
                <w:color w:val="000000" w:themeColor="text1"/>
              </w:rPr>
              <w:t>) частину четверту статті 6 після слів «надсилаються заявнику» доповнити словами «офіційним каналом зв’язку»;</w:t>
            </w:r>
          </w:p>
          <w:p w14:paraId="1B4C0E53" w14:textId="568CC20B" w:rsidR="00B87F8E" w:rsidRPr="00286216" w:rsidRDefault="002579A3" w:rsidP="00B87F8E">
            <w:pPr>
              <w:pStyle w:val="StyleZakonu"/>
              <w:rPr>
                <w:color w:val="000000" w:themeColor="text1"/>
              </w:rPr>
            </w:pPr>
            <w:r w:rsidRPr="00286216">
              <w:rPr>
                <w:color w:val="000000" w:themeColor="text1"/>
              </w:rPr>
              <w:t>4</w:t>
            </w:r>
            <w:r w:rsidR="00B87F8E" w:rsidRPr="00286216">
              <w:rPr>
                <w:color w:val="000000" w:themeColor="text1"/>
              </w:rPr>
              <w:t>) у статті 7:</w:t>
            </w:r>
          </w:p>
          <w:p w14:paraId="4FCE5294" w14:textId="77777777" w:rsidR="00B87F8E" w:rsidRPr="00286216" w:rsidRDefault="00B87F8E" w:rsidP="00B87F8E">
            <w:pPr>
              <w:pStyle w:val="StyleZakonu"/>
              <w:rPr>
                <w:color w:val="000000" w:themeColor="text1"/>
              </w:rPr>
            </w:pPr>
            <w:r w:rsidRPr="00286216">
              <w:rPr>
                <w:color w:val="000000" w:themeColor="text1"/>
              </w:rPr>
              <w:t>а) пункт 3 частини четвертої викласти в такій редакції:</w:t>
            </w:r>
          </w:p>
          <w:p w14:paraId="3942DC18" w14:textId="77777777" w:rsidR="00B87F8E" w:rsidRPr="00286216" w:rsidRDefault="00B87F8E" w:rsidP="00B87F8E">
            <w:pPr>
              <w:pStyle w:val="StyleZakonu"/>
              <w:rPr>
                <w:color w:val="000000" w:themeColor="text1"/>
              </w:rPr>
            </w:pPr>
            <w:r w:rsidRPr="00286216">
              <w:rPr>
                <w:color w:val="000000" w:themeColor="text1"/>
              </w:rPr>
              <w:t>«3) не менш як 70 відсотків загальної вартості активів інституту спільного інвестування становлять кошти, у тому числі на банківських депозитних рахунках, ощадні сертифікати банку, депозитні сертифікати банку, банківські метали, корпоративні облігації та облігації місцевих позик, державні цінні папери, облігації міжнародних фінансових організацій, що розміщуються на території України, а також цінні папери, що допущені до торгів на регульованому фондовому ринку»;</w:t>
            </w:r>
          </w:p>
          <w:p w14:paraId="550266E0" w14:textId="77777777" w:rsidR="00B87F8E" w:rsidRPr="00286216" w:rsidRDefault="00B87F8E" w:rsidP="00B87F8E">
            <w:pPr>
              <w:pStyle w:val="StyleZakonu"/>
              <w:rPr>
                <w:color w:val="000000" w:themeColor="text1"/>
              </w:rPr>
            </w:pPr>
            <w:r w:rsidRPr="00286216">
              <w:rPr>
                <w:color w:val="000000" w:themeColor="text1"/>
              </w:rPr>
              <w:t>б) у пункті 5 частини шостої слова «біржових товарних активів» замінити словами «товарних активів, що допущені до торгів на багатосторонніх торгівельних майданчиках»;</w:t>
            </w:r>
          </w:p>
          <w:p w14:paraId="58317744" w14:textId="77777777" w:rsidR="00B87F8E" w:rsidRPr="00286216" w:rsidRDefault="00B87F8E" w:rsidP="00B87F8E">
            <w:pPr>
              <w:pStyle w:val="StyleZakonu"/>
              <w:rPr>
                <w:color w:val="000000" w:themeColor="text1"/>
              </w:rPr>
            </w:pPr>
            <w:r w:rsidRPr="00286216">
              <w:rPr>
                <w:color w:val="000000" w:themeColor="text1"/>
              </w:rPr>
              <w:t xml:space="preserve">в) у частині дев’ятій: </w:t>
            </w:r>
          </w:p>
          <w:p w14:paraId="7CB94803" w14:textId="77777777" w:rsidR="00B87F8E" w:rsidRPr="00286216" w:rsidRDefault="00B87F8E" w:rsidP="00B87F8E">
            <w:pPr>
              <w:pStyle w:val="StyleZakonu"/>
              <w:rPr>
                <w:color w:val="000000" w:themeColor="text1"/>
              </w:rPr>
            </w:pPr>
            <w:r w:rsidRPr="00286216">
              <w:rPr>
                <w:color w:val="000000" w:themeColor="text1"/>
              </w:rPr>
              <w:t>у пункті 1 слова «фондовій біржі, визначеній» замінити словами «регульованому фондовому ринку, визначеному»;</w:t>
            </w:r>
          </w:p>
          <w:p w14:paraId="6B0C92E6" w14:textId="70FD0A9E" w:rsidR="00B87F8E" w:rsidRPr="00286216" w:rsidRDefault="00B87F8E" w:rsidP="00B87F8E">
            <w:pPr>
              <w:pStyle w:val="StyleZakonu"/>
              <w:rPr>
                <w:color w:val="000000" w:themeColor="text1"/>
              </w:rPr>
            </w:pPr>
            <w:r w:rsidRPr="00286216">
              <w:rPr>
                <w:color w:val="000000" w:themeColor="text1"/>
              </w:rPr>
              <w:t xml:space="preserve">пункт 3 викласти в такій редакції: </w:t>
            </w:r>
          </w:p>
          <w:p w14:paraId="5C6C6C7A" w14:textId="77777777" w:rsidR="00B87F8E" w:rsidRPr="00286216" w:rsidRDefault="00B87F8E" w:rsidP="00B87F8E">
            <w:pPr>
              <w:pStyle w:val="StyleZakonu"/>
              <w:rPr>
                <w:color w:val="000000" w:themeColor="text1"/>
              </w:rPr>
            </w:pPr>
            <w:r w:rsidRPr="00286216">
              <w:rPr>
                <w:color w:val="000000" w:themeColor="text1"/>
              </w:rPr>
              <w:t>«3) інвестиційна фірма, яка здійснила андеррайтинг цінних паперів такого інституту зобов’язана виконувати функцію маркет-мейкера щодо таких цінних паперів ІСІ у встановленому Національною комісією з цінних паперів та фондового ринку порядку»;</w:t>
            </w:r>
          </w:p>
          <w:p w14:paraId="468A65F4" w14:textId="368D3B72" w:rsidR="00B87F8E" w:rsidRPr="00286216" w:rsidRDefault="002579A3" w:rsidP="00B87F8E">
            <w:pPr>
              <w:pStyle w:val="StyleZakonu"/>
              <w:rPr>
                <w:color w:val="000000" w:themeColor="text1"/>
              </w:rPr>
            </w:pPr>
            <w:r w:rsidRPr="00286216">
              <w:rPr>
                <w:color w:val="000000" w:themeColor="text1"/>
              </w:rPr>
              <w:t>5</w:t>
            </w:r>
            <w:r w:rsidR="00B87F8E" w:rsidRPr="00286216">
              <w:rPr>
                <w:color w:val="000000" w:themeColor="text1"/>
              </w:rPr>
              <w:t>) частину п’яту статті 11 після слів «повідомленням Комісії» доповнити словами «офіційним каналом зв’язку»;</w:t>
            </w:r>
          </w:p>
          <w:p w14:paraId="46760F1E" w14:textId="632E5B8E" w:rsidR="00B87F8E" w:rsidRPr="00286216" w:rsidRDefault="002579A3" w:rsidP="00B87F8E">
            <w:pPr>
              <w:pStyle w:val="StyleZakonu"/>
              <w:rPr>
                <w:color w:val="000000" w:themeColor="text1"/>
              </w:rPr>
            </w:pPr>
            <w:r w:rsidRPr="00286216">
              <w:rPr>
                <w:color w:val="000000" w:themeColor="text1"/>
              </w:rPr>
              <w:t>6</w:t>
            </w:r>
            <w:r w:rsidR="00B87F8E" w:rsidRPr="00286216">
              <w:rPr>
                <w:color w:val="000000" w:themeColor="text1"/>
              </w:rPr>
              <w:t>) в абзаці п’ятому частини першої статті 19 слова «фондовій біржі» та «такій фондовій біржі» замінити відповідно словами «організованому ринку капіталу» та «оператору такого ринку»;</w:t>
            </w:r>
          </w:p>
          <w:p w14:paraId="3A2EC4B2" w14:textId="047B39F2" w:rsidR="00B87F8E" w:rsidRPr="00286216" w:rsidRDefault="002579A3" w:rsidP="00B87F8E">
            <w:pPr>
              <w:pStyle w:val="StyleZakonu"/>
              <w:rPr>
                <w:color w:val="000000" w:themeColor="text1"/>
              </w:rPr>
            </w:pPr>
            <w:r w:rsidRPr="00286216">
              <w:rPr>
                <w:color w:val="000000" w:themeColor="text1"/>
              </w:rPr>
              <w:t>7</w:t>
            </w:r>
            <w:r w:rsidR="00B87F8E" w:rsidRPr="00286216">
              <w:rPr>
                <w:color w:val="000000" w:themeColor="text1"/>
              </w:rPr>
              <w:t xml:space="preserve">) в абзаці другому частини сьомої статті 21 слова «акції якого перебувають в лістингу на фондовій </w:t>
            </w:r>
            <w:r w:rsidR="00B87F8E" w:rsidRPr="00286216">
              <w:rPr>
                <w:color w:val="000000" w:themeColor="text1"/>
              </w:rPr>
              <w:lastRenderedPageBreak/>
              <w:t>біржі, надсилає такій біржі» замінити словами «акції якого допущені до торгів на організованому ринку капіталу, надсилає оператору такого ринку»;</w:t>
            </w:r>
          </w:p>
          <w:p w14:paraId="2F3CAF7D" w14:textId="066AA6D9" w:rsidR="00B87F8E" w:rsidRPr="00286216" w:rsidRDefault="002579A3" w:rsidP="00B87F8E">
            <w:pPr>
              <w:pStyle w:val="StyleZakonu"/>
              <w:rPr>
                <w:color w:val="000000" w:themeColor="text1"/>
              </w:rPr>
            </w:pPr>
            <w:r w:rsidRPr="00286216">
              <w:rPr>
                <w:color w:val="000000" w:themeColor="text1"/>
              </w:rPr>
              <w:t>8</w:t>
            </w:r>
            <w:r w:rsidR="00B87F8E" w:rsidRPr="00286216">
              <w:rPr>
                <w:color w:val="000000" w:themeColor="text1"/>
              </w:rPr>
              <w:t xml:space="preserve">) абзац перший частини четвертої статті 23 доповнити новим реченням третім такого змісту: «Таке повідомлення здійснюється Комісією офіційним каналом зв’язку»; </w:t>
            </w:r>
          </w:p>
          <w:p w14:paraId="46252B8C" w14:textId="448F9392" w:rsidR="00B87F8E" w:rsidRPr="00286216" w:rsidRDefault="002579A3" w:rsidP="00B87F8E">
            <w:pPr>
              <w:pStyle w:val="StyleZakonu"/>
              <w:rPr>
                <w:color w:val="000000" w:themeColor="text1"/>
              </w:rPr>
            </w:pPr>
            <w:r w:rsidRPr="00286216">
              <w:rPr>
                <w:color w:val="000000" w:themeColor="text1"/>
              </w:rPr>
              <w:t>9</w:t>
            </w:r>
            <w:r w:rsidR="00B87F8E" w:rsidRPr="00286216">
              <w:rPr>
                <w:color w:val="000000" w:themeColor="text1"/>
              </w:rPr>
              <w:t>) в абзаці другому частині четвертій статті 31 слова «фондовій біржі, рішення про проведення загальних зборів шляхом опитування надсилається відповідній фондовій біржі» замінити словами «організованому ринку капіталу, рішення про проведення загальних зборів шляхом опитування надсилається відповідному оператору організованого ринку капіталу»;</w:t>
            </w:r>
          </w:p>
          <w:p w14:paraId="60E2AF9C" w14:textId="531D1F7B" w:rsidR="00B87F8E" w:rsidRPr="00286216" w:rsidRDefault="002579A3" w:rsidP="002579A3">
            <w:pPr>
              <w:pStyle w:val="StyleZakonu"/>
              <w:rPr>
                <w:color w:val="000000" w:themeColor="text1"/>
              </w:rPr>
            </w:pPr>
            <w:r w:rsidRPr="00286216">
              <w:rPr>
                <w:color w:val="000000" w:themeColor="text1"/>
              </w:rPr>
              <w:t>10</w:t>
            </w:r>
            <w:r w:rsidR="00B87F8E" w:rsidRPr="00286216">
              <w:rPr>
                <w:color w:val="000000" w:themeColor="text1"/>
              </w:rPr>
              <w:t>) у пункті 2 частини четвертої статті 35 слова «торговців цінними паперами» замінити словами «інвестиційних фірм»;</w:t>
            </w:r>
          </w:p>
        </w:tc>
      </w:tr>
      <w:tr w:rsidR="00B87F8E" w:rsidRPr="00286216" w14:paraId="59C16A34" w14:textId="77777777" w:rsidTr="00091AA5">
        <w:tc>
          <w:tcPr>
            <w:tcW w:w="576" w:type="dxa"/>
          </w:tcPr>
          <w:p w14:paraId="59ABC2E0" w14:textId="77777777" w:rsidR="00B87F8E" w:rsidRPr="00286216" w:rsidRDefault="00B87F8E" w:rsidP="00B87F8E">
            <w:pPr>
              <w:pStyle w:val="StyleWisnow"/>
              <w:rPr>
                <w:color w:val="000000" w:themeColor="text1"/>
              </w:rPr>
            </w:pPr>
            <w:bookmarkStart w:id="3474" w:name="n3604" w:colFirst="0" w:colLast="0"/>
            <w:bookmarkEnd w:id="3473"/>
            <w:r w:rsidRPr="00286216">
              <w:rPr>
                <w:color w:val="000000" w:themeColor="text1"/>
              </w:rPr>
              <w:lastRenderedPageBreak/>
              <w:t>3604.</w:t>
            </w:r>
          </w:p>
        </w:tc>
        <w:tc>
          <w:tcPr>
            <w:tcW w:w="4818" w:type="dxa"/>
          </w:tcPr>
          <w:p w14:paraId="2D5FFCE5" w14:textId="77777777" w:rsidR="00B87F8E" w:rsidRPr="00286216" w:rsidRDefault="00B87F8E" w:rsidP="00B87F8E">
            <w:pPr>
              <w:pStyle w:val="StyleZakonu"/>
              <w:rPr>
                <w:color w:val="000000" w:themeColor="text1"/>
              </w:rPr>
            </w:pPr>
            <w:r w:rsidRPr="00286216">
              <w:rPr>
                <w:color w:val="000000" w:themeColor="text1"/>
              </w:rPr>
              <w:t>а) у частині першій:</w:t>
            </w:r>
          </w:p>
        </w:tc>
        <w:tc>
          <w:tcPr>
            <w:tcW w:w="3686" w:type="dxa"/>
          </w:tcPr>
          <w:p w14:paraId="567597C9" w14:textId="77777777" w:rsidR="00B87F8E" w:rsidRPr="00286216" w:rsidRDefault="00B87F8E" w:rsidP="00B87F8E">
            <w:pPr>
              <w:pStyle w:val="StyleProp"/>
              <w:rPr>
                <w:color w:val="000000" w:themeColor="text1"/>
                <w:szCs w:val="18"/>
              </w:rPr>
            </w:pPr>
          </w:p>
        </w:tc>
        <w:tc>
          <w:tcPr>
            <w:tcW w:w="1987" w:type="dxa"/>
          </w:tcPr>
          <w:p w14:paraId="784CD581" w14:textId="77777777" w:rsidR="00B87F8E" w:rsidRPr="00286216" w:rsidRDefault="00B87F8E" w:rsidP="00B87F8E">
            <w:pPr>
              <w:pStyle w:val="StyleWisnow"/>
              <w:rPr>
                <w:color w:val="000000" w:themeColor="text1"/>
              </w:rPr>
            </w:pPr>
          </w:p>
        </w:tc>
        <w:tc>
          <w:tcPr>
            <w:tcW w:w="4818" w:type="dxa"/>
          </w:tcPr>
          <w:p w14:paraId="36A7ADC0" w14:textId="77777777" w:rsidR="00B87F8E" w:rsidRPr="00286216" w:rsidRDefault="00B87F8E" w:rsidP="00B87F8E">
            <w:pPr>
              <w:pStyle w:val="StyleZakonu"/>
              <w:rPr>
                <w:color w:val="000000" w:themeColor="text1"/>
              </w:rPr>
            </w:pPr>
          </w:p>
        </w:tc>
      </w:tr>
      <w:tr w:rsidR="008E6EDB" w:rsidRPr="00286216" w14:paraId="4FE1B18A" w14:textId="77777777" w:rsidTr="00091AA5">
        <w:tc>
          <w:tcPr>
            <w:tcW w:w="576" w:type="dxa"/>
          </w:tcPr>
          <w:p w14:paraId="6C14235B" w14:textId="77777777" w:rsidR="008E6EDB" w:rsidRPr="00286216" w:rsidRDefault="008E6EDB" w:rsidP="008E6EDB">
            <w:pPr>
              <w:pStyle w:val="StyleWisnow"/>
              <w:rPr>
                <w:color w:val="000000" w:themeColor="text1"/>
              </w:rPr>
            </w:pPr>
            <w:bookmarkStart w:id="3475" w:name="n3605" w:colFirst="0" w:colLast="0"/>
            <w:bookmarkEnd w:id="3474"/>
            <w:r w:rsidRPr="00286216">
              <w:rPr>
                <w:color w:val="000000" w:themeColor="text1"/>
              </w:rPr>
              <w:t>3605.</w:t>
            </w:r>
          </w:p>
        </w:tc>
        <w:tc>
          <w:tcPr>
            <w:tcW w:w="4818" w:type="dxa"/>
          </w:tcPr>
          <w:p w14:paraId="5B9D4B6C" w14:textId="77777777" w:rsidR="008E6EDB" w:rsidRPr="00286216" w:rsidRDefault="008E6EDB" w:rsidP="008E6EDB">
            <w:pPr>
              <w:pStyle w:val="StyleZakonu"/>
              <w:rPr>
                <w:color w:val="000000" w:themeColor="text1"/>
              </w:rPr>
            </w:pPr>
            <w:r w:rsidRPr="00286216">
              <w:rPr>
                <w:color w:val="000000" w:themeColor="text1"/>
              </w:rPr>
              <w:t>пункт 9 викласти в такій редакції:</w:t>
            </w:r>
          </w:p>
        </w:tc>
        <w:tc>
          <w:tcPr>
            <w:tcW w:w="3686" w:type="dxa"/>
          </w:tcPr>
          <w:p w14:paraId="3C6367B2" w14:textId="77777777" w:rsidR="008E6EDB" w:rsidRPr="00286216" w:rsidRDefault="008E6EDB" w:rsidP="008E6EDB">
            <w:pPr>
              <w:pStyle w:val="StyleProp"/>
              <w:rPr>
                <w:color w:val="000000" w:themeColor="text1"/>
                <w:szCs w:val="18"/>
              </w:rPr>
            </w:pPr>
          </w:p>
        </w:tc>
        <w:tc>
          <w:tcPr>
            <w:tcW w:w="1987" w:type="dxa"/>
          </w:tcPr>
          <w:p w14:paraId="4C8DDC00" w14:textId="77777777" w:rsidR="008E6EDB" w:rsidRPr="00286216" w:rsidRDefault="008E6EDB" w:rsidP="008E6EDB">
            <w:pPr>
              <w:pStyle w:val="StyleWisnow"/>
              <w:rPr>
                <w:color w:val="000000" w:themeColor="text1"/>
              </w:rPr>
            </w:pPr>
          </w:p>
        </w:tc>
        <w:tc>
          <w:tcPr>
            <w:tcW w:w="4818" w:type="dxa"/>
          </w:tcPr>
          <w:p w14:paraId="793DB8A6" w14:textId="77777777" w:rsidR="008E6EDB" w:rsidRPr="00286216" w:rsidRDefault="008E6EDB" w:rsidP="008E6EDB">
            <w:pPr>
              <w:pStyle w:val="StyleZakonu"/>
              <w:rPr>
                <w:color w:val="000000" w:themeColor="text1"/>
              </w:rPr>
            </w:pPr>
          </w:p>
        </w:tc>
      </w:tr>
      <w:tr w:rsidR="008E6EDB" w:rsidRPr="00286216" w14:paraId="2C946464" w14:textId="77777777" w:rsidTr="00091AA5">
        <w:tc>
          <w:tcPr>
            <w:tcW w:w="576" w:type="dxa"/>
          </w:tcPr>
          <w:p w14:paraId="2064D114" w14:textId="77777777" w:rsidR="008E6EDB" w:rsidRPr="00286216" w:rsidRDefault="008E6EDB" w:rsidP="008E6EDB">
            <w:pPr>
              <w:pStyle w:val="StyleWisnow"/>
              <w:rPr>
                <w:color w:val="000000" w:themeColor="text1"/>
              </w:rPr>
            </w:pPr>
            <w:bookmarkStart w:id="3476" w:name="n3606" w:colFirst="0" w:colLast="0"/>
            <w:bookmarkEnd w:id="3475"/>
            <w:r w:rsidRPr="00286216">
              <w:rPr>
                <w:color w:val="000000" w:themeColor="text1"/>
              </w:rPr>
              <w:t>3606.</w:t>
            </w:r>
          </w:p>
        </w:tc>
        <w:tc>
          <w:tcPr>
            <w:tcW w:w="4818" w:type="dxa"/>
          </w:tcPr>
          <w:p w14:paraId="56B5ACDA" w14:textId="77777777" w:rsidR="008E6EDB" w:rsidRPr="00286216" w:rsidRDefault="008E6EDB" w:rsidP="008E6EDB">
            <w:pPr>
              <w:pStyle w:val="StyleZakonu"/>
              <w:rPr>
                <w:color w:val="000000" w:themeColor="text1"/>
              </w:rPr>
            </w:pPr>
            <w:r w:rsidRPr="00286216">
              <w:rPr>
                <w:color w:val="000000" w:themeColor="text1"/>
              </w:rPr>
              <w:t>"9) індексний кошик - сукупність фінансових інструментів у відповідних співвідношеннях, на підставі якої розраховується індекс регульованого фондового ринку відповідно до зареєстрованих Комісією правил функціонування регульованого фондового ринку; ";</w:t>
            </w:r>
          </w:p>
        </w:tc>
        <w:tc>
          <w:tcPr>
            <w:tcW w:w="3686" w:type="dxa"/>
          </w:tcPr>
          <w:p w14:paraId="12B51711" w14:textId="77777777" w:rsidR="008E6EDB" w:rsidRPr="00286216" w:rsidRDefault="008E6EDB" w:rsidP="008E6EDB">
            <w:pPr>
              <w:pStyle w:val="StyleProp"/>
              <w:rPr>
                <w:color w:val="000000" w:themeColor="text1"/>
                <w:szCs w:val="18"/>
              </w:rPr>
            </w:pPr>
          </w:p>
        </w:tc>
        <w:tc>
          <w:tcPr>
            <w:tcW w:w="1987" w:type="dxa"/>
          </w:tcPr>
          <w:p w14:paraId="4842A1EB" w14:textId="77777777" w:rsidR="008E6EDB" w:rsidRPr="00286216" w:rsidRDefault="008E6EDB" w:rsidP="008E6EDB">
            <w:pPr>
              <w:pStyle w:val="StyleWisnow"/>
              <w:rPr>
                <w:color w:val="000000" w:themeColor="text1"/>
              </w:rPr>
            </w:pPr>
          </w:p>
        </w:tc>
        <w:tc>
          <w:tcPr>
            <w:tcW w:w="4818" w:type="dxa"/>
          </w:tcPr>
          <w:p w14:paraId="3F4A9DCC" w14:textId="77777777" w:rsidR="008E6EDB" w:rsidRPr="00286216" w:rsidRDefault="008E6EDB" w:rsidP="008E6EDB">
            <w:pPr>
              <w:pStyle w:val="StyleZakonu"/>
              <w:rPr>
                <w:color w:val="000000" w:themeColor="text1"/>
              </w:rPr>
            </w:pPr>
          </w:p>
        </w:tc>
      </w:tr>
      <w:tr w:rsidR="008E6EDB" w:rsidRPr="00286216" w14:paraId="4AAD01D7" w14:textId="77777777" w:rsidTr="00091AA5">
        <w:tc>
          <w:tcPr>
            <w:tcW w:w="576" w:type="dxa"/>
          </w:tcPr>
          <w:p w14:paraId="53DC1C88" w14:textId="77777777" w:rsidR="008E6EDB" w:rsidRPr="00286216" w:rsidRDefault="008E6EDB" w:rsidP="008E6EDB">
            <w:pPr>
              <w:pStyle w:val="StyleWisnow"/>
              <w:rPr>
                <w:color w:val="000000" w:themeColor="text1"/>
              </w:rPr>
            </w:pPr>
            <w:bookmarkStart w:id="3477" w:name="n3607" w:colFirst="0" w:colLast="0"/>
            <w:bookmarkEnd w:id="3476"/>
            <w:r w:rsidRPr="00286216">
              <w:rPr>
                <w:color w:val="000000" w:themeColor="text1"/>
              </w:rPr>
              <w:t>3607.</w:t>
            </w:r>
          </w:p>
        </w:tc>
        <w:tc>
          <w:tcPr>
            <w:tcW w:w="4818" w:type="dxa"/>
          </w:tcPr>
          <w:p w14:paraId="3E3F5CD5" w14:textId="77777777" w:rsidR="008E6EDB" w:rsidRPr="00286216" w:rsidRDefault="008E6EDB" w:rsidP="008E6EDB">
            <w:pPr>
              <w:pStyle w:val="StyleZakonu"/>
              <w:rPr>
                <w:color w:val="000000" w:themeColor="text1"/>
              </w:rPr>
            </w:pPr>
            <w:r w:rsidRPr="00286216">
              <w:rPr>
                <w:color w:val="000000" w:themeColor="text1"/>
              </w:rPr>
              <w:t>доповнити після пункту 17 новим пунктом такого змісту:</w:t>
            </w:r>
          </w:p>
        </w:tc>
        <w:tc>
          <w:tcPr>
            <w:tcW w:w="3686" w:type="dxa"/>
          </w:tcPr>
          <w:p w14:paraId="1FD91F8A" w14:textId="77777777" w:rsidR="008E6EDB" w:rsidRPr="00286216" w:rsidRDefault="008E6EDB" w:rsidP="008E6EDB">
            <w:pPr>
              <w:pStyle w:val="StyleProp"/>
              <w:rPr>
                <w:color w:val="000000" w:themeColor="text1"/>
                <w:szCs w:val="18"/>
              </w:rPr>
            </w:pPr>
          </w:p>
        </w:tc>
        <w:tc>
          <w:tcPr>
            <w:tcW w:w="1987" w:type="dxa"/>
          </w:tcPr>
          <w:p w14:paraId="679BA189" w14:textId="77777777" w:rsidR="008E6EDB" w:rsidRPr="00286216" w:rsidRDefault="008E6EDB" w:rsidP="008E6EDB">
            <w:pPr>
              <w:pStyle w:val="StyleWisnow"/>
              <w:rPr>
                <w:color w:val="000000" w:themeColor="text1"/>
              </w:rPr>
            </w:pPr>
          </w:p>
        </w:tc>
        <w:tc>
          <w:tcPr>
            <w:tcW w:w="4818" w:type="dxa"/>
          </w:tcPr>
          <w:p w14:paraId="5890EBA5" w14:textId="77777777" w:rsidR="008E6EDB" w:rsidRPr="00286216" w:rsidRDefault="008E6EDB" w:rsidP="008E6EDB">
            <w:pPr>
              <w:pStyle w:val="StyleZakonu"/>
              <w:rPr>
                <w:color w:val="000000" w:themeColor="text1"/>
              </w:rPr>
            </w:pPr>
          </w:p>
        </w:tc>
      </w:tr>
      <w:tr w:rsidR="008E6EDB" w:rsidRPr="00286216" w14:paraId="212C1CD3" w14:textId="77777777" w:rsidTr="00091AA5">
        <w:tc>
          <w:tcPr>
            <w:tcW w:w="576" w:type="dxa"/>
          </w:tcPr>
          <w:p w14:paraId="6A2C7A55" w14:textId="77777777" w:rsidR="008E6EDB" w:rsidRPr="00286216" w:rsidRDefault="008E6EDB" w:rsidP="008E6EDB">
            <w:pPr>
              <w:pStyle w:val="StyleWisnow"/>
              <w:rPr>
                <w:color w:val="000000" w:themeColor="text1"/>
              </w:rPr>
            </w:pPr>
            <w:bookmarkStart w:id="3478" w:name="n3608" w:colFirst="0" w:colLast="0"/>
            <w:bookmarkEnd w:id="3477"/>
            <w:r w:rsidRPr="00286216">
              <w:rPr>
                <w:color w:val="000000" w:themeColor="text1"/>
              </w:rPr>
              <w:t>3608.</w:t>
            </w:r>
          </w:p>
        </w:tc>
        <w:tc>
          <w:tcPr>
            <w:tcW w:w="4818" w:type="dxa"/>
          </w:tcPr>
          <w:p w14:paraId="475DF7EE" w14:textId="77777777" w:rsidR="008E6EDB" w:rsidRPr="00286216" w:rsidRDefault="008E6EDB" w:rsidP="008E6EDB">
            <w:pPr>
              <w:pStyle w:val="StyleZakonu"/>
              <w:rPr>
                <w:color w:val="000000" w:themeColor="text1"/>
              </w:rPr>
            </w:pPr>
            <w:r w:rsidRPr="00286216">
              <w:rPr>
                <w:color w:val="000000" w:themeColor="text1"/>
              </w:rPr>
              <w:t>"17</w:t>
            </w:r>
            <w:r w:rsidRPr="00286216">
              <w:rPr>
                <w:color w:val="000000" w:themeColor="text1"/>
                <w:vertAlign w:val="superscript"/>
              </w:rPr>
              <w:t>1</w:t>
            </w:r>
            <w:r w:rsidRPr="00286216">
              <w:rPr>
                <w:color w:val="000000" w:themeColor="text1"/>
              </w:rPr>
              <w:t>) товарний актив, допущений до торгів на багатосторонніх торгівельних майданчиках, -продукція та інше майно, визначене родовими ознаками, допущені до торгів на багатосторонніх торгівельних майданчиках; ";</w:t>
            </w:r>
          </w:p>
        </w:tc>
        <w:tc>
          <w:tcPr>
            <w:tcW w:w="3686" w:type="dxa"/>
          </w:tcPr>
          <w:p w14:paraId="7AFD3242" w14:textId="77777777" w:rsidR="008E6EDB" w:rsidRPr="00286216" w:rsidRDefault="008E6EDB" w:rsidP="008E6EDB">
            <w:pPr>
              <w:pStyle w:val="StyleProp"/>
              <w:rPr>
                <w:color w:val="000000" w:themeColor="text1"/>
                <w:szCs w:val="18"/>
              </w:rPr>
            </w:pPr>
          </w:p>
        </w:tc>
        <w:tc>
          <w:tcPr>
            <w:tcW w:w="1987" w:type="dxa"/>
          </w:tcPr>
          <w:p w14:paraId="5E7E1525" w14:textId="77777777" w:rsidR="008E6EDB" w:rsidRPr="00286216" w:rsidRDefault="008E6EDB" w:rsidP="008E6EDB">
            <w:pPr>
              <w:pStyle w:val="StyleWisnow"/>
              <w:rPr>
                <w:color w:val="000000" w:themeColor="text1"/>
              </w:rPr>
            </w:pPr>
          </w:p>
        </w:tc>
        <w:tc>
          <w:tcPr>
            <w:tcW w:w="4818" w:type="dxa"/>
          </w:tcPr>
          <w:p w14:paraId="25FE205B" w14:textId="77777777" w:rsidR="008E6EDB" w:rsidRPr="00286216" w:rsidRDefault="008E6EDB" w:rsidP="008E6EDB">
            <w:pPr>
              <w:pStyle w:val="StyleZakonu"/>
              <w:rPr>
                <w:color w:val="000000" w:themeColor="text1"/>
              </w:rPr>
            </w:pPr>
          </w:p>
        </w:tc>
      </w:tr>
      <w:tr w:rsidR="008E6EDB" w:rsidRPr="00286216" w14:paraId="1105FA8E" w14:textId="77777777" w:rsidTr="00091AA5">
        <w:tc>
          <w:tcPr>
            <w:tcW w:w="576" w:type="dxa"/>
          </w:tcPr>
          <w:p w14:paraId="345A955B" w14:textId="77777777" w:rsidR="008E6EDB" w:rsidRPr="00286216" w:rsidRDefault="008E6EDB" w:rsidP="008E6EDB">
            <w:pPr>
              <w:pStyle w:val="StyleWisnow"/>
              <w:rPr>
                <w:color w:val="000000" w:themeColor="text1"/>
              </w:rPr>
            </w:pPr>
            <w:bookmarkStart w:id="3479" w:name="n3609" w:colFirst="0" w:colLast="0"/>
            <w:bookmarkEnd w:id="3478"/>
            <w:r w:rsidRPr="00286216">
              <w:rPr>
                <w:color w:val="000000" w:themeColor="text1"/>
              </w:rPr>
              <w:t>3609.</w:t>
            </w:r>
          </w:p>
        </w:tc>
        <w:tc>
          <w:tcPr>
            <w:tcW w:w="4818" w:type="dxa"/>
          </w:tcPr>
          <w:p w14:paraId="1220A192" w14:textId="77777777" w:rsidR="008E6EDB" w:rsidRPr="00286216" w:rsidRDefault="008E6EDB" w:rsidP="008E6EDB">
            <w:pPr>
              <w:pStyle w:val="StyleZakonu"/>
              <w:rPr>
                <w:color w:val="000000" w:themeColor="text1"/>
              </w:rPr>
            </w:pPr>
            <w:r w:rsidRPr="00286216">
              <w:rPr>
                <w:color w:val="000000" w:themeColor="text1"/>
              </w:rPr>
              <w:t>б) доповнити статтю новою частиною такого змісту:</w:t>
            </w:r>
          </w:p>
        </w:tc>
        <w:tc>
          <w:tcPr>
            <w:tcW w:w="3686" w:type="dxa"/>
          </w:tcPr>
          <w:p w14:paraId="08E32BE5" w14:textId="77777777" w:rsidR="008E6EDB" w:rsidRPr="00286216" w:rsidRDefault="008E6EDB" w:rsidP="008E6EDB">
            <w:pPr>
              <w:pStyle w:val="StyleProp"/>
              <w:rPr>
                <w:color w:val="000000" w:themeColor="text1"/>
                <w:szCs w:val="18"/>
              </w:rPr>
            </w:pPr>
          </w:p>
        </w:tc>
        <w:tc>
          <w:tcPr>
            <w:tcW w:w="1987" w:type="dxa"/>
          </w:tcPr>
          <w:p w14:paraId="0E17991B" w14:textId="77777777" w:rsidR="008E6EDB" w:rsidRPr="00286216" w:rsidRDefault="008E6EDB" w:rsidP="008E6EDB">
            <w:pPr>
              <w:pStyle w:val="StyleWisnow"/>
              <w:rPr>
                <w:color w:val="000000" w:themeColor="text1"/>
              </w:rPr>
            </w:pPr>
          </w:p>
        </w:tc>
        <w:tc>
          <w:tcPr>
            <w:tcW w:w="4818" w:type="dxa"/>
          </w:tcPr>
          <w:p w14:paraId="3A595B07" w14:textId="77777777" w:rsidR="008E6EDB" w:rsidRPr="00286216" w:rsidRDefault="008E6EDB" w:rsidP="008E6EDB">
            <w:pPr>
              <w:pStyle w:val="StyleZakonu"/>
              <w:rPr>
                <w:color w:val="000000" w:themeColor="text1"/>
              </w:rPr>
            </w:pPr>
          </w:p>
        </w:tc>
      </w:tr>
      <w:tr w:rsidR="008E6EDB" w:rsidRPr="00286216" w14:paraId="18B05234" w14:textId="77777777" w:rsidTr="00091AA5">
        <w:tc>
          <w:tcPr>
            <w:tcW w:w="576" w:type="dxa"/>
          </w:tcPr>
          <w:p w14:paraId="2D69D95A" w14:textId="77777777" w:rsidR="008E6EDB" w:rsidRPr="00286216" w:rsidRDefault="008E6EDB" w:rsidP="008E6EDB">
            <w:pPr>
              <w:pStyle w:val="StyleWisnow"/>
              <w:rPr>
                <w:color w:val="000000" w:themeColor="text1"/>
              </w:rPr>
            </w:pPr>
            <w:bookmarkStart w:id="3480" w:name="n3610" w:colFirst="0" w:colLast="0"/>
            <w:bookmarkEnd w:id="3479"/>
            <w:r w:rsidRPr="00286216">
              <w:rPr>
                <w:color w:val="000000" w:themeColor="text1"/>
              </w:rPr>
              <w:t>3610.</w:t>
            </w:r>
          </w:p>
        </w:tc>
        <w:tc>
          <w:tcPr>
            <w:tcW w:w="4818" w:type="dxa"/>
          </w:tcPr>
          <w:p w14:paraId="50C41B46" w14:textId="77777777" w:rsidR="008E6EDB" w:rsidRPr="00286216" w:rsidRDefault="008E6EDB" w:rsidP="008E6EDB">
            <w:pPr>
              <w:pStyle w:val="StyleZakonu"/>
              <w:rPr>
                <w:color w:val="000000" w:themeColor="text1"/>
              </w:rPr>
            </w:pPr>
            <w:r w:rsidRPr="00286216">
              <w:rPr>
                <w:color w:val="000000" w:themeColor="text1"/>
              </w:rPr>
              <w:t>"2. Терміни "багатосторонній торгівельний майданчик", "продукція", "регульований ринок", "регульований фондовий ринок", "регулярні торги" вживаються в цьому Законі у значеннях, визначених у Законі України "Про ринки капіталу та організовані товарні ринки".</w:t>
            </w:r>
          </w:p>
        </w:tc>
        <w:tc>
          <w:tcPr>
            <w:tcW w:w="3686" w:type="dxa"/>
          </w:tcPr>
          <w:p w14:paraId="0E573482" w14:textId="4EAC1B48" w:rsidR="008E6EDB" w:rsidRPr="00286216" w:rsidRDefault="008E6EDB" w:rsidP="008E6EDB">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1467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2861E2B" w14:textId="77777777" w:rsidR="008E6EDB" w:rsidRPr="00286216" w:rsidRDefault="008E6EDB" w:rsidP="008E6EDB">
            <w:pPr>
              <w:pStyle w:val="StyleAwt"/>
              <w:rPr>
                <w:b w:val="0"/>
                <w:i w:val="0"/>
                <w:color w:val="000000" w:themeColor="text1"/>
                <w:spacing w:val="-4"/>
              </w:rPr>
            </w:pPr>
            <w:r w:rsidRPr="00286216">
              <w:rPr>
                <w:color w:val="000000" w:themeColor="text1"/>
                <w:spacing w:val="-4"/>
              </w:rPr>
              <w:t xml:space="preserve">    Н.д.Гетманцев Д.О.(Реєстр.картка №245)</w:t>
            </w:r>
          </w:p>
          <w:p w14:paraId="2E402147" w14:textId="77777777" w:rsidR="008E6EDB" w:rsidRPr="00286216" w:rsidRDefault="008E6EDB" w:rsidP="008E6EDB">
            <w:pPr>
              <w:pStyle w:val="StyleProp"/>
              <w:rPr>
                <w:color w:val="000000" w:themeColor="text1"/>
                <w:szCs w:val="18"/>
              </w:rPr>
            </w:pPr>
            <w:r w:rsidRPr="00286216">
              <w:rPr>
                <w:color w:val="000000" w:themeColor="text1"/>
                <w:szCs w:val="18"/>
              </w:rPr>
              <w:t xml:space="preserve">В абзаці другому підпункті «б» підпункту 1 пункту 43 слово </w:t>
            </w:r>
            <w:r w:rsidRPr="00286216">
              <w:rPr>
                <w:color w:val="000000" w:themeColor="text1"/>
              </w:rPr>
              <w:t>"продукція" виключити</w:t>
            </w:r>
            <w:r w:rsidRPr="00286216">
              <w:rPr>
                <w:color w:val="000000" w:themeColor="text1"/>
                <w:szCs w:val="18"/>
              </w:rPr>
              <w:t>.</w:t>
            </w:r>
          </w:p>
        </w:tc>
        <w:tc>
          <w:tcPr>
            <w:tcW w:w="1987" w:type="dxa"/>
          </w:tcPr>
          <w:p w14:paraId="6D496979" w14:textId="77777777" w:rsidR="008E6EDB" w:rsidRPr="00286216" w:rsidRDefault="008E6EDB" w:rsidP="008E6EDB">
            <w:pPr>
              <w:pStyle w:val="StyleWisnow"/>
              <w:rPr>
                <w:color w:val="000000" w:themeColor="text1"/>
              </w:rPr>
            </w:pPr>
            <w:r w:rsidRPr="00286216">
              <w:rPr>
                <w:color w:val="000000" w:themeColor="text1"/>
              </w:rPr>
              <w:t>Враховано</w:t>
            </w:r>
          </w:p>
          <w:p w14:paraId="34602824" w14:textId="77777777" w:rsidR="008E6EDB" w:rsidRPr="00286216" w:rsidRDefault="008E6EDB" w:rsidP="008E6EDB">
            <w:pPr>
              <w:pStyle w:val="StyleWisnow"/>
              <w:rPr>
                <w:color w:val="000000" w:themeColor="text1"/>
              </w:rPr>
            </w:pPr>
            <w:r w:rsidRPr="00286216">
              <w:rPr>
                <w:color w:val="000000" w:themeColor="text1"/>
              </w:rPr>
              <w:t>в запропонованій редакції цього пункту</w:t>
            </w:r>
          </w:p>
        </w:tc>
        <w:tc>
          <w:tcPr>
            <w:tcW w:w="4818" w:type="dxa"/>
          </w:tcPr>
          <w:p w14:paraId="67F0B72E" w14:textId="77777777" w:rsidR="008E6EDB" w:rsidRPr="00286216" w:rsidRDefault="008E6EDB" w:rsidP="008E6EDB">
            <w:pPr>
              <w:pStyle w:val="StyleZakonu"/>
              <w:rPr>
                <w:color w:val="000000" w:themeColor="text1"/>
              </w:rPr>
            </w:pPr>
          </w:p>
        </w:tc>
      </w:tr>
      <w:tr w:rsidR="008E6EDB" w:rsidRPr="00286216" w14:paraId="33B729D5" w14:textId="77777777" w:rsidTr="00091AA5">
        <w:tc>
          <w:tcPr>
            <w:tcW w:w="576" w:type="dxa"/>
          </w:tcPr>
          <w:p w14:paraId="3F4E5D59" w14:textId="77777777" w:rsidR="008E6EDB" w:rsidRPr="00286216" w:rsidRDefault="008E6EDB" w:rsidP="008E6EDB">
            <w:pPr>
              <w:pStyle w:val="StyleWisnow"/>
              <w:rPr>
                <w:color w:val="000000" w:themeColor="text1"/>
              </w:rPr>
            </w:pPr>
            <w:bookmarkStart w:id="3481" w:name="n3611" w:colFirst="0" w:colLast="0"/>
            <w:bookmarkEnd w:id="3480"/>
            <w:r w:rsidRPr="00286216">
              <w:rPr>
                <w:color w:val="000000" w:themeColor="text1"/>
              </w:rPr>
              <w:t>3611.</w:t>
            </w:r>
          </w:p>
        </w:tc>
        <w:tc>
          <w:tcPr>
            <w:tcW w:w="4818" w:type="dxa"/>
          </w:tcPr>
          <w:p w14:paraId="3C5FEB9C" w14:textId="77777777" w:rsidR="008E6EDB" w:rsidRPr="00286216" w:rsidRDefault="008E6EDB" w:rsidP="008E6EDB">
            <w:pPr>
              <w:pStyle w:val="StyleZakonu"/>
              <w:rPr>
                <w:color w:val="000000" w:themeColor="text1"/>
              </w:rPr>
            </w:pPr>
            <w:r w:rsidRPr="00286216">
              <w:rPr>
                <w:color w:val="000000" w:themeColor="text1"/>
              </w:rPr>
              <w:t xml:space="preserve">Термін "продукція" вживається в цьому Законі у </w:t>
            </w:r>
            <w:r w:rsidRPr="00286216">
              <w:rPr>
                <w:color w:val="000000" w:themeColor="text1"/>
              </w:rPr>
              <w:lastRenderedPageBreak/>
              <w:t>значенні, визначеному у Законі України "Про товарну біржу".";</w:t>
            </w:r>
          </w:p>
        </w:tc>
        <w:tc>
          <w:tcPr>
            <w:tcW w:w="3686" w:type="dxa"/>
          </w:tcPr>
          <w:p w14:paraId="46DE9610" w14:textId="77777777" w:rsidR="008E6EDB" w:rsidRPr="00286216" w:rsidRDefault="008E6EDB" w:rsidP="008E6EDB">
            <w:pPr>
              <w:pStyle w:val="StyleProp"/>
              <w:rPr>
                <w:color w:val="000000" w:themeColor="text1"/>
                <w:szCs w:val="18"/>
              </w:rPr>
            </w:pPr>
          </w:p>
        </w:tc>
        <w:tc>
          <w:tcPr>
            <w:tcW w:w="1987" w:type="dxa"/>
          </w:tcPr>
          <w:p w14:paraId="642FCE35" w14:textId="77777777" w:rsidR="008E6EDB" w:rsidRPr="00286216" w:rsidRDefault="008E6EDB" w:rsidP="008E6EDB">
            <w:pPr>
              <w:pStyle w:val="StyleWisnow"/>
              <w:rPr>
                <w:color w:val="000000" w:themeColor="text1"/>
              </w:rPr>
            </w:pPr>
          </w:p>
        </w:tc>
        <w:tc>
          <w:tcPr>
            <w:tcW w:w="4818" w:type="dxa"/>
          </w:tcPr>
          <w:p w14:paraId="1906C4C3" w14:textId="77777777" w:rsidR="008E6EDB" w:rsidRPr="00286216" w:rsidRDefault="008E6EDB" w:rsidP="008E6EDB">
            <w:pPr>
              <w:pStyle w:val="StyleZakonu"/>
              <w:rPr>
                <w:color w:val="000000" w:themeColor="text1"/>
              </w:rPr>
            </w:pPr>
          </w:p>
        </w:tc>
      </w:tr>
      <w:tr w:rsidR="008E6EDB" w:rsidRPr="00286216" w14:paraId="685D1383" w14:textId="77777777" w:rsidTr="00091AA5">
        <w:tc>
          <w:tcPr>
            <w:tcW w:w="576" w:type="dxa"/>
          </w:tcPr>
          <w:p w14:paraId="14CCA4AD" w14:textId="77777777" w:rsidR="008E6EDB" w:rsidRPr="00286216" w:rsidRDefault="008E6EDB" w:rsidP="008E6EDB">
            <w:pPr>
              <w:pStyle w:val="StyleWisnow"/>
              <w:rPr>
                <w:color w:val="000000" w:themeColor="text1"/>
              </w:rPr>
            </w:pPr>
            <w:bookmarkStart w:id="3482" w:name="n3612" w:colFirst="0" w:colLast="0"/>
            <w:bookmarkEnd w:id="3481"/>
            <w:r w:rsidRPr="00286216">
              <w:rPr>
                <w:color w:val="000000" w:themeColor="text1"/>
              </w:rPr>
              <w:t>3612.</w:t>
            </w:r>
          </w:p>
        </w:tc>
        <w:tc>
          <w:tcPr>
            <w:tcW w:w="4818" w:type="dxa"/>
          </w:tcPr>
          <w:p w14:paraId="09D64197" w14:textId="77777777" w:rsidR="008E6EDB" w:rsidRPr="00286216" w:rsidRDefault="008E6EDB" w:rsidP="008E6EDB">
            <w:pPr>
              <w:pStyle w:val="StyleZakonu"/>
              <w:rPr>
                <w:color w:val="000000" w:themeColor="text1"/>
              </w:rPr>
            </w:pPr>
            <w:r w:rsidRPr="00286216">
              <w:rPr>
                <w:color w:val="000000" w:themeColor="text1"/>
              </w:rPr>
              <w:t>в частині першій статті 3 слова "фондового ринку" замінити словами "ринків капіталу";</w:t>
            </w:r>
          </w:p>
        </w:tc>
        <w:tc>
          <w:tcPr>
            <w:tcW w:w="3686" w:type="dxa"/>
          </w:tcPr>
          <w:p w14:paraId="7B9EEEEE" w14:textId="77777777" w:rsidR="008E6EDB" w:rsidRPr="00286216" w:rsidRDefault="008E6EDB" w:rsidP="008E6EDB">
            <w:pPr>
              <w:pStyle w:val="StyleProp"/>
              <w:rPr>
                <w:color w:val="000000" w:themeColor="text1"/>
                <w:szCs w:val="18"/>
              </w:rPr>
            </w:pPr>
          </w:p>
        </w:tc>
        <w:tc>
          <w:tcPr>
            <w:tcW w:w="1987" w:type="dxa"/>
          </w:tcPr>
          <w:p w14:paraId="1B411FB1" w14:textId="77777777" w:rsidR="008E6EDB" w:rsidRPr="00286216" w:rsidRDefault="008E6EDB" w:rsidP="008E6EDB">
            <w:pPr>
              <w:pStyle w:val="StyleWisnow"/>
              <w:rPr>
                <w:color w:val="000000" w:themeColor="text1"/>
              </w:rPr>
            </w:pPr>
          </w:p>
        </w:tc>
        <w:tc>
          <w:tcPr>
            <w:tcW w:w="4818" w:type="dxa"/>
          </w:tcPr>
          <w:p w14:paraId="2C698D43" w14:textId="77777777" w:rsidR="008E6EDB" w:rsidRPr="00286216" w:rsidRDefault="008E6EDB" w:rsidP="008E6EDB">
            <w:pPr>
              <w:pStyle w:val="StyleZakonu"/>
              <w:rPr>
                <w:color w:val="000000" w:themeColor="text1"/>
              </w:rPr>
            </w:pPr>
          </w:p>
        </w:tc>
      </w:tr>
      <w:tr w:rsidR="008E6EDB" w:rsidRPr="00286216" w14:paraId="50116DD0" w14:textId="77777777" w:rsidTr="00091AA5">
        <w:tc>
          <w:tcPr>
            <w:tcW w:w="576" w:type="dxa"/>
          </w:tcPr>
          <w:p w14:paraId="55C27011" w14:textId="77777777" w:rsidR="008E6EDB" w:rsidRPr="00286216" w:rsidRDefault="008E6EDB" w:rsidP="008E6EDB">
            <w:pPr>
              <w:pStyle w:val="StyleWisnow"/>
              <w:rPr>
                <w:color w:val="000000" w:themeColor="text1"/>
              </w:rPr>
            </w:pPr>
            <w:bookmarkStart w:id="3483" w:name="n3613" w:colFirst="0" w:colLast="0"/>
            <w:bookmarkEnd w:id="3482"/>
            <w:r w:rsidRPr="00286216">
              <w:rPr>
                <w:color w:val="000000" w:themeColor="text1"/>
              </w:rPr>
              <w:t>3613.</w:t>
            </w:r>
          </w:p>
        </w:tc>
        <w:tc>
          <w:tcPr>
            <w:tcW w:w="4818" w:type="dxa"/>
          </w:tcPr>
          <w:p w14:paraId="1F521019" w14:textId="77777777" w:rsidR="008E6EDB" w:rsidRPr="00286216" w:rsidRDefault="008E6EDB" w:rsidP="008E6EDB">
            <w:pPr>
              <w:pStyle w:val="StyleZakonu"/>
              <w:rPr>
                <w:color w:val="000000" w:themeColor="text1"/>
              </w:rPr>
            </w:pPr>
            <w:r w:rsidRPr="00286216">
              <w:rPr>
                <w:color w:val="000000" w:themeColor="text1"/>
              </w:rPr>
              <w:t>2) у статті 7:</w:t>
            </w:r>
          </w:p>
        </w:tc>
        <w:tc>
          <w:tcPr>
            <w:tcW w:w="3686" w:type="dxa"/>
          </w:tcPr>
          <w:p w14:paraId="2A405358" w14:textId="77777777" w:rsidR="008E6EDB" w:rsidRPr="00286216" w:rsidRDefault="008E6EDB" w:rsidP="008E6EDB">
            <w:pPr>
              <w:pStyle w:val="StyleProp"/>
              <w:rPr>
                <w:color w:val="000000" w:themeColor="text1"/>
                <w:szCs w:val="18"/>
              </w:rPr>
            </w:pPr>
          </w:p>
        </w:tc>
        <w:tc>
          <w:tcPr>
            <w:tcW w:w="1987" w:type="dxa"/>
          </w:tcPr>
          <w:p w14:paraId="00CA1CA8" w14:textId="77777777" w:rsidR="008E6EDB" w:rsidRPr="00286216" w:rsidRDefault="008E6EDB" w:rsidP="008E6EDB">
            <w:pPr>
              <w:pStyle w:val="StyleWisnow"/>
              <w:rPr>
                <w:color w:val="000000" w:themeColor="text1"/>
              </w:rPr>
            </w:pPr>
          </w:p>
        </w:tc>
        <w:tc>
          <w:tcPr>
            <w:tcW w:w="4818" w:type="dxa"/>
          </w:tcPr>
          <w:p w14:paraId="64BA09A8" w14:textId="77777777" w:rsidR="008E6EDB" w:rsidRPr="00286216" w:rsidRDefault="008E6EDB" w:rsidP="008E6EDB">
            <w:pPr>
              <w:pStyle w:val="StyleZakonu"/>
              <w:rPr>
                <w:color w:val="000000" w:themeColor="text1"/>
              </w:rPr>
            </w:pPr>
          </w:p>
        </w:tc>
      </w:tr>
      <w:tr w:rsidR="008E6EDB" w:rsidRPr="00286216" w14:paraId="3AD9A3AE" w14:textId="77777777" w:rsidTr="00091AA5">
        <w:tc>
          <w:tcPr>
            <w:tcW w:w="576" w:type="dxa"/>
          </w:tcPr>
          <w:p w14:paraId="47AEAC90" w14:textId="77777777" w:rsidR="008E6EDB" w:rsidRPr="00286216" w:rsidRDefault="008E6EDB" w:rsidP="008E6EDB">
            <w:pPr>
              <w:pStyle w:val="StyleWisnow"/>
              <w:rPr>
                <w:color w:val="000000" w:themeColor="text1"/>
              </w:rPr>
            </w:pPr>
            <w:bookmarkStart w:id="3484" w:name="n3614" w:colFirst="0" w:colLast="0"/>
            <w:bookmarkEnd w:id="3483"/>
            <w:r w:rsidRPr="00286216">
              <w:rPr>
                <w:color w:val="000000" w:themeColor="text1"/>
              </w:rPr>
              <w:t>3614.</w:t>
            </w:r>
          </w:p>
        </w:tc>
        <w:tc>
          <w:tcPr>
            <w:tcW w:w="4818" w:type="dxa"/>
          </w:tcPr>
          <w:p w14:paraId="131EEEA6" w14:textId="77777777" w:rsidR="008E6EDB" w:rsidRPr="00286216" w:rsidRDefault="008E6EDB" w:rsidP="008E6EDB">
            <w:pPr>
              <w:pStyle w:val="StyleZakonu"/>
              <w:rPr>
                <w:color w:val="000000" w:themeColor="text1"/>
              </w:rPr>
            </w:pPr>
            <w:r w:rsidRPr="00286216">
              <w:rPr>
                <w:color w:val="000000" w:themeColor="text1"/>
              </w:rPr>
              <w:t>а) слова "фондовій біржі" замінити словами "регульованому ринку";</w:t>
            </w:r>
          </w:p>
        </w:tc>
        <w:tc>
          <w:tcPr>
            <w:tcW w:w="3686" w:type="dxa"/>
          </w:tcPr>
          <w:p w14:paraId="24B62415" w14:textId="77777777" w:rsidR="008E6EDB" w:rsidRPr="00286216" w:rsidRDefault="008E6EDB" w:rsidP="008E6EDB">
            <w:pPr>
              <w:pStyle w:val="StyleProp"/>
              <w:rPr>
                <w:color w:val="000000" w:themeColor="text1"/>
                <w:szCs w:val="18"/>
              </w:rPr>
            </w:pPr>
          </w:p>
        </w:tc>
        <w:tc>
          <w:tcPr>
            <w:tcW w:w="1987" w:type="dxa"/>
          </w:tcPr>
          <w:p w14:paraId="7A9301EE" w14:textId="77777777" w:rsidR="008E6EDB" w:rsidRPr="00286216" w:rsidRDefault="008E6EDB" w:rsidP="008E6EDB">
            <w:pPr>
              <w:pStyle w:val="StyleWisnow"/>
              <w:rPr>
                <w:color w:val="000000" w:themeColor="text1"/>
              </w:rPr>
            </w:pPr>
          </w:p>
        </w:tc>
        <w:tc>
          <w:tcPr>
            <w:tcW w:w="4818" w:type="dxa"/>
          </w:tcPr>
          <w:p w14:paraId="74BE1286" w14:textId="77777777" w:rsidR="008E6EDB" w:rsidRPr="00286216" w:rsidRDefault="008E6EDB" w:rsidP="008E6EDB">
            <w:pPr>
              <w:pStyle w:val="StyleZakonu"/>
              <w:rPr>
                <w:color w:val="000000" w:themeColor="text1"/>
              </w:rPr>
            </w:pPr>
          </w:p>
        </w:tc>
      </w:tr>
      <w:tr w:rsidR="008E6EDB" w:rsidRPr="00286216" w14:paraId="6D2B791B" w14:textId="77777777" w:rsidTr="00091AA5">
        <w:tc>
          <w:tcPr>
            <w:tcW w:w="576" w:type="dxa"/>
          </w:tcPr>
          <w:p w14:paraId="4A690D92" w14:textId="77777777" w:rsidR="008E6EDB" w:rsidRPr="00286216" w:rsidRDefault="008E6EDB" w:rsidP="008E6EDB">
            <w:pPr>
              <w:pStyle w:val="StyleWisnow"/>
              <w:rPr>
                <w:color w:val="000000" w:themeColor="text1"/>
              </w:rPr>
            </w:pPr>
            <w:bookmarkStart w:id="3485" w:name="n3615" w:colFirst="0" w:colLast="0"/>
            <w:bookmarkEnd w:id="3484"/>
            <w:r w:rsidRPr="00286216">
              <w:rPr>
                <w:color w:val="000000" w:themeColor="text1"/>
              </w:rPr>
              <w:t>3615.</w:t>
            </w:r>
          </w:p>
        </w:tc>
        <w:tc>
          <w:tcPr>
            <w:tcW w:w="4818" w:type="dxa"/>
          </w:tcPr>
          <w:p w14:paraId="3B3A7F31" w14:textId="77777777" w:rsidR="008E6EDB" w:rsidRPr="00286216" w:rsidRDefault="008E6EDB" w:rsidP="008E6EDB">
            <w:pPr>
              <w:pStyle w:val="StyleZakonu"/>
              <w:rPr>
                <w:color w:val="000000" w:themeColor="text1"/>
              </w:rPr>
            </w:pPr>
            <w:r w:rsidRPr="00286216">
              <w:rPr>
                <w:color w:val="000000" w:themeColor="text1"/>
              </w:rPr>
              <w:t>б) пункт третій частини четвертої викласти в такій редакції:</w:t>
            </w:r>
          </w:p>
        </w:tc>
        <w:tc>
          <w:tcPr>
            <w:tcW w:w="3686" w:type="dxa"/>
          </w:tcPr>
          <w:p w14:paraId="4E2E5CE2" w14:textId="77777777" w:rsidR="008E6EDB" w:rsidRPr="00286216" w:rsidRDefault="008E6EDB" w:rsidP="008E6EDB">
            <w:pPr>
              <w:pStyle w:val="StyleProp"/>
              <w:rPr>
                <w:color w:val="000000" w:themeColor="text1"/>
                <w:szCs w:val="18"/>
              </w:rPr>
            </w:pPr>
          </w:p>
        </w:tc>
        <w:tc>
          <w:tcPr>
            <w:tcW w:w="1987" w:type="dxa"/>
          </w:tcPr>
          <w:p w14:paraId="63AE1B06" w14:textId="77777777" w:rsidR="008E6EDB" w:rsidRPr="00286216" w:rsidRDefault="008E6EDB" w:rsidP="008E6EDB">
            <w:pPr>
              <w:pStyle w:val="StyleWisnow"/>
              <w:rPr>
                <w:color w:val="000000" w:themeColor="text1"/>
              </w:rPr>
            </w:pPr>
          </w:p>
        </w:tc>
        <w:tc>
          <w:tcPr>
            <w:tcW w:w="4818" w:type="dxa"/>
          </w:tcPr>
          <w:p w14:paraId="294F959D" w14:textId="77777777" w:rsidR="008E6EDB" w:rsidRPr="00286216" w:rsidRDefault="008E6EDB" w:rsidP="008E6EDB">
            <w:pPr>
              <w:pStyle w:val="StyleZakonu"/>
              <w:rPr>
                <w:color w:val="000000" w:themeColor="text1"/>
              </w:rPr>
            </w:pPr>
          </w:p>
        </w:tc>
      </w:tr>
      <w:tr w:rsidR="008E6EDB" w:rsidRPr="00286216" w14:paraId="6E209C49" w14:textId="77777777" w:rsidTr="00091AA5">
        <w:tc>
          <w:tcPr>
            <w:tcW w:w="576" w:type="dxa"/>
          </w:tcPr>
          <w:p w14:paraId="37D1EF2E" w14:textId="77777777" w:rsidR="008E6EDB" w:rsidRPr="00286216" w:rsidRDefault="008E6EDB" w:rsidP="008E6EDB">
            <w:pPr>
              <w:pStyle w:val="StyleWisnow"/>
              <w:rPr>
                <w:color w:val="000000" w:themeColor="text1"/>
              </w:rPr>
            </w:pPr>
            <w:bookmarkStart w:id="3486" w:name="n3616" w:colFirst="0" w:colLast="0"/>
            <w:bookmarkEnd w:id="3485"/>
            <w:r w:rsidRPr="00286216">
              <w:rPr>
                <w:color w:val="000000" w:themeColor="text1"/>
              </w:rPr>
              <w:t>3616.</w:t>
            </w:r>
          </w:p>
        </w:tc>
        <w:tc>
          <w:tcPr>
            <w:tcW w:w="4818" w:type="dxa"/>
          </w:tcPr>
          <w:p w14:paraId="0BD1809F" w14:textId="77777777" w:rsidR="008E6EDB" w:rsidRPr="00286216" w:rsidRDefault="008E6EDB" w:rsidP="008E6EDB">
            <w:pPr>
              <w:pStyle w:val="StyleZakonu"/>
              <w:rPr>
                <w:color w:val="000000" w:themeColor="text1"/>
              </w:rPr>
            </w:pPr>
            <w:r w:rsidRPr="00286216">
              <w:rPr>
                <w:color w:val="000000" w:themeColor="text1"/>
              </w:rPr>
              <w:t>"3) не менш як 70 відсотків загальної вартості активів інституту спільного інвестування становлять кошти, в тому числі на банківських депозитних рахунках, ощадні сертифікати банку, депозитні сертифікату банку, банківські метали, корпоративні облігації та облігації місцевих позик, державні цінні папери, облігації міжнародних фінансових організацій, що розміщуються на території України, а також цінні папери, що допущені до торгів на регульованому фондовому ринку.";</w:t>
            </w:r>
          </w:p>
        </w:tc>
        <w:tc>
          <w:tcPr>
            <w:tcW w:w="3686" w:type="dxa"/>
          </w:tcPr>
          <w:p w14:paraId="7F3FFD1E" w14:textId="77777777" w:rsidR="008E6EDB" w:rsidRPr="00286216" w:rsidRDefault="008E6EDB" w:rsidP="008E6EDB">
            <w:pPr>
              <w:pStyle w:val="StyleProp"/>
              <w:rPr>
                <w:color w:val="000000" w:themeColor="text1"/>
                <w:szCs w:val="18"/>
              </w:rPr>
            </w:pPr>
          </w:p>
        </w:tc>
        <w:tc>
          <w:tcPr>
            <w:tcW w:w="1987" w:type="dxa"/>
          </w:tcPr>
          <w:p w14:paraId="54DE724A" w14:textId="77777777" w:rsidR="008E6EDB" w:rsidRPr="00286216" w:rsidRDefault="008E6EDB" w:rsidP="008E6EDB">
            <w:pPr>
              <w:pStyle w:val="StyleWisnow"/>
              <w:spacing w:line="180" w:lineRule="exact"/>
              <w:rPr>
                <w:color w:val="000000" w:themeColor="text1"/>
              </w:rPr>
            </w:pPr>
          </w:p>
        </w:tc>
        <w:tc>
          <w:tcPr>
            <w:tcW w:w="4818" w:type="dxa"/>
          </w:tcPr>
          <w:p w14:paraId="74D36D9A" w14:textId="77777777" w:rsidR="008E6EDB" w:rsidRPr="00286216" w:rsidRDefault="008E6EDB" w:rsidP="008E6EDB">
            <w:pPr>
              <w:pStyle w:val="StyleZakonu"/>
              <w:rPr>
                <w:color w:val="000000" w:themeColor="text1"/>
              </w:rPr>
            </w:pPr>
          </w:p>
        </w:tc>
      </w:tr>
      <w:tr w:rsidR="008E6EDB" w:rsidRPr="00286216" w14:paraId="1236E55A" w14:textId="77777777" w:rsidTr="00091AA5">
        <w:tc>
          <w:tcPr>
            <w:tcW w:w="576" w:type="dxa"/>
          </w:tcPr>
          <w:p w14:paraId="741899B9" w14:textId="77777777" w:rsidR="008E6EDB" w:rsidRPr="00286216" w:rsidRDefault="008E6EDB" w:rsidP="008E6EDB">
            <w:pPr>
              <w:pStyle w:val="StyleWisnow"/>
              <w:rPr>
                <w:color w:val="000000" w:themeColor="text1"/>
              </w:rPr>
            </w:pPr>
            <w:bookmarkStart w:id="3487" w:name="n3617" w:colFirst="0" w:colLast="0"/>
            <w:bookmarkEnd w:id="3486"/>
            <w:r w:rsidRPr="00286216">
              <w:rPr>
                <w:color w:val="000000" w:themeColor="text1"/>
              </w:rPr>
              <w:t>3617.</w:t>
            </w:r>
          </w:p>
        </w:tc>
        <w:tc>
          <w:tcPr>
            <w:tcW w:w="4818" w:type="dxa"/>
          </w:tcPr>
          <w:p w14:paraId="6ECE3C20" w14:textId="77777777" w:rsidR="008E6EDB" w:rsidRPr="00286216" w:rsidRDefault="008E6EDB" w:rsidP="008E6EDB">
            <w:pPr>
              <w:pStyle w:val="StyleZakonu"/>
              <w:rPr>
                <w:color w:val="000000" w:themeColor="text1"/>
              </w:rPr>
            </w:pPr>
            <w:r w:rsidRPr="00286216">
              <w:rPr>
                <w:color w:val="000000" w:themeColor="text1"/>
              </w:rPr>
              <w:t>в) у пункті 5 частини шостої слова "біржових товарних активів" замінити словами "товарних активів, що допущені до торгів на багатосторонніх торгівельних майданчиках";</w:t>
            </w:r>
          </w:p>
        </w:tc>
        <w:tc>
          <w:tcPr>
            <w:tcW w:w="3686" w:type="dxa"/>
          </w:tcPr>
          <w:p w14:paraId="78E58372" w14:textId="77777777" w:rsidR="008E6EDB" w:rsidRPr="00286216" w:rsidRDefault="008E6EDB" w:rsidP="008E6EDB">
            <w:pPr>
              <w:pStyle w:val="StyleProp"/>
              <w:rPr>
                <w:color w:val="000000" w:themeColor="text1"/>
                <w:szCs w:val="18"/>
              </w:rPr>
            </w:pPr>
          </w:p>
        </w:tc>
        <w:tc>
          <w:tcPr>
            <w:tcW w:w="1987" w:type="dxa"/>
          </w:tcPr>
          <w:p w14:paraId="17F094F1" w14:textId="77777777" w:rsidR="008E6EDB" w:rsidRPr="00286216" w:rsidRDefault="008E6EDB" w:rsidP="008E6EDB">
            <w:pPr>
              <w:pStyle w:val="StyleWisnow"/>
              <w:rPr>
                <w:color w:val="000000" w:themeColor="text1"/>
              </w:rPr>
            </w:pPr>
          </w:p>
        </w:tc>
        <w:tc>
          <w:tcPr>
            <w:tcW w:w="4818" w:type="dxa"/>
          </w:tcPr>
          <w:p w14:paraId="038EA404" w14:textId="77777777" w:rsidR="008E6EDB" w:rsidRPr="00286216" w:rsidRDefault="008E6EDB" w:rsidP="008E6EDB">
            <w:pPr>
              <w:pStyle w:val="StyleZakonu"/>
              <w:rPr>
                <w:color w:val="000000" w:themeColor="text1"/>
              </w:rPr>
            </w:pPr>
          </w:p>
        </w:tc>
      </w:tr>
      <w:tr w:rsidR="008E6EDB" w:rsidRPr="00286216" w14:paraId="6B5EA8AC" w14:textId="77777777" w:rsidTr="00091AA5">
        <w:tc>
          <w:tcPr>
            <w:tcW w:w="576" w:type="dxa"/>
          </w:tcPr>
          <w:p w14:paraId="5F097480" w14:textId="77777777" w:rsidR="008E6EDB" w:rsidRPr="00286216" w:rsidRDefault="008E6EDB" w:rsidP="008E6EDB">
            <w:pPr>
              <w:pStyle w:val="StyleWisnow"/>
              <w:rPr>
                <w:color w:val="000000" w:themeColor="text1"/>
              </w:rPr>
            </w:pPr>
            <w:bookmarkStart w:id="3488" w:name="n3618" w:colFirst="0" w:colLast="0"/>
            <w:bookmarkEnd w:id="3487"/>
            <w:r w:rsidRPr="00286216">
              <w:rPr>
                <w:color w:val="000000" w:themeColor="text1"/>
              </w:rPr>
              <w:t>3618.</w:t>
            </w:r>
          </w:p>
        </w:tc>
        <w:tc>
          <w:tcPr>
            <w:tcW w:w="4818" w:type="dxa"/>
          </w:tcPr>
          <w:p w14:paraId="08C7454B" w14:textId="77777777" w:rsidR="008E6EDB" w:rsidRPr="00286216" w:rsidRDefault="008E6EDB" w:rsidP="008E6EDB">
            <w:pPr>
              <w:pStyle w:val="StyleZakonu"/>
              <w:rPr>
                <w:color w:val="000000" w:themeColor="text1"/>
              </w:rPr>
            </w:pPr>
            <w:r w:rsidRPr="00286216">
              <w:rPr>
                <w:color w:val="000000" w:themeColor="text1"/>
              </w:rPr>
              <w:t>г) у частині дев'ятій:</w:t>
            </w:r>
          </w:p>
        </w:tc>
        <w:tc>
          <w:tcPr>
            <w:tcW w:w="3686" w:type="dxa"/>
          </w:tcPr>
          <w:p w14:paraId="5FBA0C36" w14:textId="77777777" w:rsidR="008E6EDB" w:rsidRPr="00286216" w:rsidRDefault="008E6EDB" w:rsidP="008E6EDB">
            <w:pPr>
              <w:pStyle w:val="StyleProp"/>
              <w:rPr>
                <w:color w:val="000000" w:themeColor="text1"/>
                <w:szCs w:val="18"/>
              </w:rPr>
            </w:pPr>
          </w:p>
        </w:tc>
        <w:tc>
          <w:tcPr>
            <w:tcW w:w="1987" w:type="dxa"/>
          </w:tcPr>
          <w:p w14:paraId="7F7355C5" w14:textId="77777777" w:rsidR="008E6EDB" w:rsidRPr="00286216" w:rsidRDefault="008E6EDB" w:rsidP="008E6EDB">
            <w:pPr>
              <w:pStyle w:val="StyleWisnow"/>
              <w:rPr>
                <w:color w:val="000000" w:themeColor="text1"/>
              </w:rPr>
            </w:pPr>
          </w:p>
        </w:tc>
        <w:tc>
          <w:tcPr>
            <w:tcW w:w="4818" w:type="dxa"/>
          </w:tcPr>
          <w:p w14:paraId="06AE64D3" w14:textId="77777777" w:rsidR="008E6EDB" w:rsidRPr="00286216" w:rsidRDefault="008E6EDB" w:rsidP="008E6EDB">
            <w:pPr>
              <w:pStyle w:val="StyleZakonu"/>
              <w:rPr>
                <w:color w:val="000000" w:themeColor="text1"/>
              </w:rPr>
            </w:pPr>
          </w:p>
        </w:tc>
      </w:tr>
      <w:tr w:rsidR="008E6EDB" w:rsidRPr="00286216" w14:paraId="02F296B9" w14:textId="77777777" w:rsidTr="00091AA5">
        <w:tc>
          <w:tcPr>
            <w:tcW w:w="576" w:type="dxa"/>
          </w:tcPr>
          <w:p w14:paraId="2979CD44" w14:textId="77777777" w:rsidR="008E6EDB" w:rsidRPr="00286216" w:rsidRDefault="008E6EDB" w:rsidP="008E6EDB">
            <w:pPr>
              <w:pStyle w:val="StyleWisnow"/>
              <w:rPr>
                <w:color w:val="000000" w:themeColor="text1"/>
              </w:rPr>
            </w:pPr>
            <w:bookmarkStart w:id="3489" w:name="n3619" w:colFirst="0" w:colLast="0"/>
            <w:bookmarkEnd w:id="3488"/>
            <w:r w:rsidRPr="00286216">
              <w:rPr>
                <w:color w:val="000000" w:themeColor="text1"/>
              </w:rPr>
              <w:t>3619.</w:t>
            </w:r>
          </w:p>
        </w:tc>
        <w:tc>
          <w:tcPr>
            <w:tcW w:w="4818" w:type="dxa"/>
          </w:tcPr>
          <w:p w14:paraId="40C46A11" w14:textId="77777777" w:rsidR="008E6EDB" w:rsidRPr="00286216" w:rsidRDefault="008E6EDB" w:rsidP="008E6EDB">
            <w:pPr>
              <w:pStyle w:val="StyleZakonu"/>
              <w:rPr>
                <w:color w:val="000000" w:themeColor="text1"/>
              </w:rPr>
            </w:pPr>
            <w:r w:rsidRPr="00286216">
              <w:rPr>
                <w:color w:val="000000" w:themeColor="text1"/>
              </w:rPr>
              <w:t>у пункті першому слова "фондовій біржі, визначеній" замінити словами "регульованому фондовому ринку, визначеному";</w:t>
            </w:r>
          </w:p>
        </w:tc>
        <w:tc>
          <w:tcPr>
            <w:tcW w:w="3686" w:type="dxa"/>
          </w:tcPr>
          <w:p w14:paraId="4A25E923" w14:textId="77777777" w:rsidR="008E6EDB" w:rsidRPr="00286216" w:rsidRDefault="008E6EDB" w:rsidP="008E6EDB">
            <w:pPr>
              <w:pStyle w:val="StyleProp"/>
              <w:rPr>
                <w:color w:val="000000" w:themeColor="text1"/>
                <w:szCs w:val="18"/>
              </w:rPr>
            </w:pPr>
          </w:p>
        </w:tc>
        <w:tc>
          <w:tcPr>
            <w:tcW w:w="1987" w:type="dxa"/>
          </w:tcPr>
          <w:p w14:paraId="2B6DD130" w14:textId="77777777" w:rsidR="008E6EDB" w:rsidRPr="00286216" w:rsidRDefault="008E6EDB" w:rsidP="008E6EDB">
            <w:pPr>
              <w:pStyle w:val="StyleWisnow"/>
              <w:rPr>
                <w:color w:val="000000" w:themeColor="text1"/>
              </w:rPr>
            </w:pPr>
          </w:p>
        </w:tc>
        <w:tc>
          <w:tcPr>
            <w:tcW w:w="4818" w:type="dxa"/>
          </w:tcPr>
          <w:p w14:paraId="2EFEE060" w14:textId="77777777" w:rsidR="008E6EDB" w:rsidRPr="00286216" w:rsidRDefault="008E6EDB" w:rsidP="008E6EDB">
            <w:pPr>
              <w:pStyle w:val="StyleZakonu"/>
              <w:rPr>
                <w:color w:val="000000" w:themeColor="text1"/>
              </w:rPr>
            </w:pPr>
          </w:p>
        </w:tc>
      </w:tr>
      <w:tr w:rsidR="008E6EDB" w:rsidRPr="00286216" w14:paraId="51F42802" w14:textId="77777777" w:rsidTr="00091AA5">
        <w:tc>
          <w:tcPr>
            <w:tcW w:w="576" w:type="dxa"/>
          </w:tcPr>
          <w:p w14:paraId="2F8CF480" w14:textId="77777777" w:rsidR="008E6EDB" w:rsidRPr="00286216" w:rsidRDefault="008E6EDB" w:rsidP="008E6EDB">
            <w:pPr>
              <w:pStyle w:val="StyleWisnow"/>
              <w:rPr>
                <w:color w:val="000000" w:themeColor="text1"/>
              </w:rPr>
            </w:pPr>
            <w:bookmarkStart w:id="3490" w:name="n3620" w:colFirst="0" w:colLast="0"/>
            <w:bookmarkEnd w:id="3489"/>
            <w:r w:rsidRPr="00286216">
              <w:rPr>
                <w:color w:val="000000" w:themeColor="text1"/>
              </w:rPr>
              <w:t>3620.</w:t>
            </w:r>
          </w:p>
        </w:tc>
        <w:tc>
          <w:tcPr>
            <w:tcW w:w="4818" w:type="dxa"/>
          </w:tcPr>
          <w:p w14:paraId="4D8C9C4E" w14:textId="77777777" w:rsidR="008E6EDB" w:rsidRPr="00286216" w:rsidRDefault="008E6EDB" w:rsidP="008E6EDB">
            <w:pPr>
              <w:pStyle w:val="StyleZakonu"/>
              <w:rPr>
                <w:color w:val="000000" w:themeColor="text1"/>
              </w:rPr>
            </w:pPr>
            <w:r w:rsidRPr="00286216">
              <w:rPr>
                <w:color w:val="000000" w:themeColor="text1"/>
              </w:rPr>
              <w:t>пункт 3 викласти в такій редакції: "інвестиційна фірма, яка здійснила андеррайтинг цінних паперів такого інституту зобов’язана виконувати функцію маркет-мейкера щодо таких цінних паперів ІСІ у встановленому Національною комісією з цінних паперів та фондового ринку порядку; ";</w:t>
            </w:r>
          </w:p>
        </w:tc>
        <w:tc>
          <w:tcPr>
            <w:tcW w:w="3686" w:type="dxa"/>
          </w:tcPr>
          <w:p w14:paraId="265549F5" w14:textId="77777777" w:rsidR="008E6EDB" w:rsidRPr="00286216" w:rsidRDefault="008E6EDB" w:rsidP="008E6EDB">
            <w:pPr>
              <w:pStyle w:val="StyleProp"/>
              <w:rPr>
                <w:color w:val="000000" w:themeColor="text1"/>
                <w:szCs w:val="18"/>
              </w:rPr>
            </w:pPr>
          </w:p>
        </w:tc>
        <w:tc>
          <w:tcPr>
            <w:tcW w:w="1987" w:type="dxa"/>
          </w:tcPr>
          <w:p w14:paraId="31030BE1" w14:textId="77777777" w:rsidR="008E6EDB" w:rsidRPr="00286216" w:rsidRDefault="008E6EDB" w:rsidP="008E6EDB">
            <w:pPr>
              <w:pStyle w:val="StyleWisnow"/>
              <w:rPr>
                <w:color w:val="000000" w:themeColor="text1"/>
              </w:rPr>
            </w:pPr>
          </w:p>
        </w:tc>
        <w:tc>
          <w:tcPr>
            <w:tcW w:w="4818" w:type="dxa"/>
          </w:tcPr>
          <w:p w14:paraId="5CEB8257" w14:textId="77777777" w:rsidR="008E6EDB" w:rsidRPr="00286216" w:rsidRDefault="008E6EDB" w:rsidP="008E6EDB">
            <w:pPr>
              <w:pStyle w:val="StyleZakonu"/>
              <w:rPr>
                <w:color w:val="000000" w:themeColor="text1"/>
              </w:rPr>
            </w:pPr>
          </w:p>
        </w:tc>
      </w:tr>
      <w:tr w:rsidR="008E6EDB" w:rsidRPr="00286216" w14:paraId="733E5E3B" w14:textId="77777777" w:rsidTr="00091AA5">
        <w:tc>
          <w:tcPr>
            <w:tcW w:w="576" w:type="dxa"/>
          </w:tcPr>
          <w:p w14:paraId="1EAFBDDA" w14:textId="77777777" w:rsidR="008E6EDB" w:rsidRPr="00286216" w:rsidRDefault="008E6EDB" w:rsidP="008E6EDB">
            <w:pPr>
              <w:pStyle w:val="StyleWisnow"/>
              <w:rPr>
                <w:color w:val="000000" w:themeColor="text1"/>
              </w:rPr>
            </w:pPr>
            <w:bookmarkStart w:id="3491" w:name="n3621" w:colFirst="0" w:colLast="0"/>
            <w:bookmarkEnd w:id="3490"/>
            <w:r w:rsidRPr="00286216">
              <w:rPr>
                <w:color w:val="000000" w:themeColor="text1"/>
              </w:rPr>
              <w:t>3621.</w:t>
            </w:r>
          </w:p>
        </w:tc>
        <w:tc>
          <w:tcPr>
            <w:tcW w:w="4818" w:type="dxa"/>
          </w:tcPr>
          <w:p w14:paraId="571327F7" w14:textId="77777777" w:rsidR="008E6EDB" w:rsidRPr="00286216" w:rsidRDefault="008E6EDB" w:rsidP="008E6EDB">
            <w:pPr>
              <w:pStyle w:val="StyleZakonu"/>
              <w:rPr>
                <w:color w:val="000000" w:themeColor="text1"/>
              </w:rPr>
            </w:pPr>
            <w:r w:rsidRPr="00286216">
              <w:rPr>
                <w:color w:val="000000" w:themeColor="text1"/>
              </w:rPr>
              <w:t>3) в абзаці п’ятому частини першої статті 19 слова "фондовій біржі" та "такій фондовій біржі" замінити відповідно словами "організованому ринку капіталу" та "оператору такого ринку";</w:t>
            </w:r>
          </w:p>
        </w:tc>
        <w:tc>
          <w:tcPr>
            <w:tcW w:w="3686" w:type="dxa"/>
          </w:tcPr>
          <w:p w14:paraId="14F10B6B" w14:textId="77777777" w:rsidR="008E6EDB" w:rsidRPr="00286216" w:rsidRDefault="008E6EDB" w:rsidP="008E6EDB">
            <w:pPr>
              <w:pStyle w:val="StyleProp"/>
              <w:rPr>
                <w:color w:val="000000" w:themeColor="text1"/>
                <w:szCs w:val="18"/>
              </w:rPr>
            </w:pPr>
          </w:p>
        </w:tc>
        <w:tc>
          <w:tcPr>
            <w:tcW w:w="1987" w:type="dxa"/>
          </w:tcPr>
          <w:p w14:paraId="7E4FD5CB" w14:textId="77777777" w:rsidR="008E6EDB" w:rsidRPr="00286216" w:rsidRDefault="008E6EDB" w:rsidP="008E6EDB">
            <w:pPr>
              <w:pStyle w:val="StyleWisnow"/>
              <w:rPr>
                <w:color w:val="000000" w:themeColor="text1"/>
              </w:rPr>
            </w:pPr>
          </w:p>
        </w:tc>
        <w:tc>
          <w:tcPr>
            <w:tcW w:w="4818" w:type="dxa"/>
          </w:tcPr>
          <w:p w14:paraId="57C9C95A" w14:textId="77777777" w:rsidR="008E6EDB" w:rsidRPr="00286216" w:rsidRDefault="008E6EDB" w:rsidP="008E6EDB">
            <w:pPr>
              <w:pStyle w:val="StyleZakonu"/>
              <w:rPr>
                <w:color w:val="000000" w:themeColor="text1"/>
              </w:rPr>
            </w:pPr>
          </w:p>
        </w:tc>
      </w:tr>
      <w:tr w:rsidR="008E6EDB" w:rsidRPr="00286216" w14:paraId="2DA2FCED" w14:textId="77777777" w:rsidTr="00091AA5">
        <w:tc>
          <w:tcPr>
            <w:tcW w:w="576" w:type="dxa"/>
          </w:tcPr>
          <w:p w14:paraId="3AB1E3C9" w14:textId="77777777" w:rsidR="008E6EDB" w:rsidRPr="00286216" w:rsidRDefault="008E6EDB" w:rsidP="008E6EDB">
            <w:pPr>
              <w:pStyle w:val="StyleWisnow"/>
              <w:rPr>
                <w:color w:val="000000" w:themeColor="text1"/>
              </w:rPr>
            </w:pPr>
            <w:bookmarkStart w:id="3492" w:name="n3622" w:colFirst="0" w:colLast="0"/>
            <w:bookmarkEnd w:id="3491"/>
            <w:r w:rsidRPr="00286216">
              <w:rPr>
                <w:color w:val="000000" w:themeColor="text1"/>
              </w:rPr>
              <w:t>3622.</w:t>
            </w:r>
          </w:p>
        </w:tc>
        <w:tc>
          <w:tcPr>
            <w:tcW w:w="4818" w:type="dxa"/>
          </w:tcPr>
          <w:p w14:paraId="557C74A7" w14:textId="77777777" w:rsidR="008E6EDB" w:rsidRPr="00286216" w:rsidRDefault="008E6EDB" w:rsidP="008E6EDB">
            <w:pPr>
              <w:pStyle w:val="StyleZakonu"/>
              <w:rPr>
                <w:color w:val="000000" w:themeColor="text1"/>
              </w:rPr>
            </w:pPr>
            <w:r w:rsidRPr="00286216">
              <w:rPr>
                <w:color w:val="000000" w:themeColor="text1"/>
              </w:rPr>
              <w:t>4) в абзаці другому частини сьомої статті 21 слова "акції якого перебувають в лістингу на фондовій біржі, надсилає такій біржі" замінити словами "акції якого допущені до торгів на організованому ринку капіталу, надсилає оператору такого ринку";</w:t>
            </w:r>
          </w:p>
        </w:tc>
        <w:tc>
          <w:tcPr>
            <w:tcW w:w="3686" w:type="dxa"/>
          </w:tcPr>
          <w:p w14:paraId="22941452" w14:textId="77777777" w:rsidR="008E6EDB" w:rsidRPr="00286216" w:rsidRDefault="008E6EDB" w:rsidP="008E6EDB">
            <w:pPr>
              <w:pStyle w:val="StyleProp"/>
              <w:rPr>
                <w:color w:val="000000" w:themeColor="text1"/>
                <w:szCs w:val="18"/>
              </w:rPr>
            </w:pPr>
          </w:p>
        </w:tc>
        <w:tc>
          <w:tcPr>
            <w:tcW w:w="1987" w:type="dxa"/>
          </w:tcPr>
          <w:p w14:paraId="25DC459D" w14:textId="77777777" w:rsidR="008E6EDB" w:rsidRPr="00286216" w:rsidRDefault="008E6EDB" w:rsidP="008E6EDB">
            <w:pPr>
              <w:pStyle w:val="StyleWisnow"/>
              <w:rPr>
                <w:color w:val="000000" w:themeColor="text1"/>
              </w:rPr>
            </w:pPr>
          </w:p>
        </w:tc>
        <w:tc>
          <w:tcPr>
            <w:tcW w:w="4818" w:type="dxa"/>
          </w:tcPr>
          <w:p w14:paraId="0E6757E1" w14:textId="77777777" w:rsidR="008E6EDB" w:rsidRPr="00286216" w:rsidRDefault="008E6EDB" w:rsidP="008E6EDB">
            <w:pPr>
              <w:pStyle w:val="StyleZakonu"/>
              <w:rPr>
                <w:color w:val="000000" w:themeColor="text1"/>
              </w:rPr>
            </w:pPr>
          </w:p>
        </w:tc>
      </w:tr>
      <w:tr w:rsidR="008E6EDB" w:rsidRPr="00286216" w14:paraId="06514078" w14:textId="77777777" w:rsidTr="00091AA5">
        <w:tc>
          <w:tcPr>
            <w:tcW w:w="576" w:type="dxa"/>
          </w:tcPr>
          <w:p w14:paraId="60CDCDB0" w14:textId="77777777" w:rsidR="008E6EDB" w:rsidRPr="00286216" w:rsidRDefault="008E6EDB" w:rsidP="008E6EDB">
            <w:pPr>
              <w:pStyle w:val="StyleWisnow"/>
              <w:rPr>
                <w:color w:val="000000" w:themeColor="text1"/>
              </w:rPr>
            </w:pPr>
            <w:bookmarkStart w:id="3493" w:name="n3623" w:colFirst="0" w:colLast="0"/>
            <w:bookmarkEnd w:id="3492"/>
            <w:r w:rsidRPr="00286216">
              <w:rPr>
                <w:color w:val="000000" w:themeColor="text1"/>
              </w:rPr>
              <w:lastRenderedPageBreak/>
              <w:t>3623.</w:t>
            </w:r>
          </w:p>
        </w:tc>
        <w:tc>
          <w:tcPr>
            <w:tcW w:w="4818" w:type="dxa"/>
          </w:tcPr>
          <w:p w14:paraId="5258BE9D" w14:textId="77777777" w:rsidR="008E6EDB" w:rsidRPr="00286216" w:rsidRDefault="008E6EDB" w:rsidP="008E6EDB">
            <w:pPr>
              <w:pStyle w:val="StyleZakonu"/>
              <w:rPr>
                <w:color w:val="000000" w:themeColor="text1"/>
              </w:rPr>
            </w:pPr>
            <w:r w:rsidRPr="00286216">
              <w:rPr>
                <w:color w:val="000000" w:themeColor="text1"/>
              </w:rPr>
              <w:t>5) в абзаці другому частині четвертій статті 31 слова "фондовій біржі, рішення про проведення загальних зборів шляхом опитування надсилається відповідній фондовій біржі" замінити словами "організованому ринку капіталу, рішення про проведення загальних зборів шляхом опитування надсилається відповідному оператору організованого ринку капіталу";</w:t>
            </w:r>
          </w:p>
        </w:tc>
        <w:tc>
          <w:tcPr>
            <w:tcW w:w="3686" w:type="dxa"/>
          </w:tcPr>
          <w:p w14:paraId="31957988" w14:textId="77777777" w:rsidR="008E6EDB" w:rsidRPr="00286216" w:rsidRDefault="008E6EDB" w:rsidP="008E6EDB">
            <w:pPr>
              <w:pStyle w:val="StyleProp"/>
              <w:rPr>
                <w:color w:val="000000" w:themeColor="text1"/>
                <w:szCs w:val="18"/>
              </w:rPr>
            </w:pPr>
          </w:p>
        </w:tc>
        <w:tc>
          <w:tcPr>
            <w:tcW w:w="1987" w:type="dxa"/>
          </w:tcPr>
          <w:p w14:paraId="4E6430D8" w14:textId="77777777" w:rsidR="008E6EDB" w:rsidRPr="00286216" w:rsidRDefault="008E6EDB" w:rsidP="008E6EDB">
            <w:pPr>
              <w:pStyle w:val="StyleWisnow"/>
              <w:rPr>
                <w:color w:val="000000" w:themeColor="text1"/>
              </w:rPr>
            </w:pPr>
          </w:p>
        </w:tc>
        <w:tc>
          <w:tcPr>
            <w:tcW w:w="4818" w:type="dxa"/>
          </w:tcPr>
          <w:p w14:paraId="74B2B185" w14:textId="77777777" w:rsidR="008E6EDB" w:rsidRPr="00286216" w:rsidRDefault="008E6EDB" w:rsidP="008E6EDB">
            <w:pPr>
              <w:pStyle w:val="StyleZakonu"/>
              <w:rPr>
                <w:color w:val="000000" w:themeColor="text1"/>
              </w:rPr>
            </w:pPr>
          </w:p>
        </w:tc>
      </w:tr>
      <w:tr w:rsidR="008E6EDB" w:rsidRPr="00286216" w14:paraId="35FC7514" w14:textId="77777777" w:rsidTr="00091AA5">
        <w:tc>
          <w:tcPr>
            <w:tcW w:w="576" w:type="dxa"/>
          </w:tcPr>
          <w:p w14:paraId="7622E686" w14:textId="77777777" w:rsidR="008E6EDB" w:rsidRPr="00286216" w:rsidRDefault="008E6EDB" w:rsidP="008E6EDB">
            <w:pPr>
              <w:pStyle w:val="StyleWisnow"/>
              <w:rPr>
                <w:color w:val="000000" w:themeColor="text1"/>
              </w:rPr>
            </w:pPr>
            <w:bookmarkStart w:id="3494" w:name="n3624" w:colFirst="0" w:colLast="0"/>
            <w:bookmarkEnd w:id="3493"/>
            <w:r w:rsidRPr="00286216">
              <w:rPr>
                <w:color w:val="000000" w:themeColor="text1"/>
              </w:rPr>
              <w:t>3624.</w:t>
            </w:r>
          </w:p>
        </w:tc>
        <w:tc>
          <w:tcPr>
            <w:tcW w:w="4818" w:type="dxa"/>
          </w:tcPr>
          <w:p w14:paraId="33F2A5F5" w14:textId="77777777" w:rsidR="008E6EDB" w:rsidRPr="00286216" w:rsidRDefault="008E6EDB" w:rsidP="008E6EDB">
            <w:pPr>
              <w:pStyle w:val="StyleZakonu"/>
              <w:rPr>
                <w:color w:val="000000" w:themeColor="text1"/>
              </w:rPr>
            </w:pPr>
            <w:r w:rsidRPr="00286216">
              <w:rPr>
                <w:color w:val="000000" w:themeColor="text1"/>
              </w:rPr>
              <w:t>6) в пункті 2 частини четвертої статті 35 слова "торговців цінними паперами" замінити словами "інвестиційних фірм";</w:t>
            </w:r>
          </w:p>
        </w:tc>
        <w:tc>
          <w:tcPr>
            <w:tcW w:w="3686" w:type="dxa"/>
          </w:tcPr>
          <w:p w14:paraId="7ED56478" w14:textId="77777777" w:rsidR="008E6EDB" w:rsidRPr="00286216" w:rsidRDefault="008E6EDB" w:rsidP="008E6EDB">
            <w:pPr>
              <w:pStyle w:val="StyleProp"/>
              <w:rPr>
                <w:color w:val="000000" w:themeColor="text1"/>
                <w:szCs w:val="18"/>
              </w:rPr>
            </w:pPr>
          </w:p>
        </w:tc>
        <w:tc>
          <w:tcPr>
            <w:tcW w:w="1987" w:type="dxa"/>
          </w:tcPr>
          <w:p w14:paraId="5B7C3FD6" w14:textId="77777777" w:rsidR="008E6EDB" w:rsidRPr="00286216" w:rsidRDefault="008E6EDB" w:rsidP="008E6EDB">
            <w:pPr>
              <w:pStyle w:val="StyleWisnow"/>
              <w:rPr>
                <w:color w:val="000000" w:themeColor="text1"/>
              </w:rPr>
            </w:pPr>
          </w:p>
        </w:tc>
        <w:tc>
          <w:tcPr>
            <w:tcW w:w="4818" w:type="dxa"/>
          </w:tcPr>
          <w:p w14:paraId="48A9D27A" w14:textId="77777777" w:rsidR="008E6EDB" w:rsidRPr="00286216" w:rsidRDefault="008E6EDB" w:rsidP="008E6EDB">
            <w:pPr>
              <w:pStyle w:val="StyleZakonu"/>
              <w:rPr>
                <w:color w:val="000000" w:themeColor="text1"/>
              </w:rPr>
            </w:pPr>
          </w:p>
        </w:tc>
      </w:tr>
      <w:tr w:rsidR="008E6EDB" w:rsidRPr="00286216" w14:paraId="36CF159F" w14:textId="77777777" w:rsidTr="00091AA5">
        <w:tc>
          <w:tcPr>
            <w:tcW w:w="576" w:type="dxa"/>
          </w:tcPr>
          <w:p w14:paraId="3124432E" w14:textId="77777777" w:rsidR="008E6EDB" w:rsidRPr="00286216" w:rsidRDefault="008E6EDB" w:rsidP="008E6EDB">
            <w:pPr>
              <w:pStyle w:val="StyleWisnow"/>
              <w:rPr>
                <w:color w:val="000000" w:themeColor="text1"/>
              </w:rPr>
            </w:pPr>
            <w:bookmarkStart w:id="3495" w:name="n3625" w:colFirst="0" w:colLast="0"/>
            <w:bookmarkEnd w:id="3494"/>
            <w:r w:rsidRPr="00286216">
              <w:rPr>
                <w:color w:val="000000" w:themeColor="text1"/>
              </w:rPr>
              <w:t>3625.</w:t>
            </w:r>
          </w:p>
        </w:tc>
        <w:tc>
          <w:tcPr>
            <w:tcW w:w="4818" w:type="dxa"/>
          </w:tcPr>
          <w:p w14:paraId="5731F70E" w14:textId="77777777" w:rsidR="008E6EDB" w:rsidRPr="00286216" w:rsidRDefault="008E6EDB" w:rsidP="008E6EDB">
            <w:pPr>
              <w:pStyle w:val="StyleZakonu"/>
              <w:rPr>
                <w:color w:val="000000" w:themeColor="text1"/>
              </w:rPr>
            </w:pPr>
            <w:r w:rsidRPr="00286216">
              <w:rPr>
                <w:color w:val="000000" w:themeColor="text1"/>
              </w:rPr>
              <w:t>7) у частині сьомій статті 37 слова "загальнодоступній інформаційній базі даних Комісії про ринок цінних паперів" замінити словами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w:t>
            </w:r>
          </w:p>
        </w:tc>
        <w:tc>
          <w:tcPr>
            <w:tcW w:w="3686" w:type="dxa"/>
          </w:tcPr>
          <w:p w14:paraId="32DFA888" w14:textId="6D1D088D"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1468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9513815" w14:textId="77777777" w:rsidR="008E6EDB" w:rsidRPr="00286216" w:rsidRDefault="008E6EDB" w:rsidP="008E6EDB">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4BE14CD4" w14:textId="77777777" w:rsidR="008E6EDB" w:rsidRPr="00286216" w:rsidRDefault="008E6EDB" w:rsidP="008E6EDB">
            <w:pPr>
              <w:pStyle w:val="StyleWisnow"/>
              <w:rPr>
                <w:color w:val="000000" w:themeColor="text1"/>
              </w:rPr>
            </w:pPr>
            <w:r w:rsidRPr="00286216">
              <w:rPr>
                <w:color w:val="000000" w:themeColor="text1"/>
              </w:rPr>
              <w:t>Враховано</w:t>
            </w:r>
          </w:p>
        </w:tc>
        <w:tc>
          <w:tcPr>
            <w:tcW w:w="4818" w:type="dxa"/>
          </w:tcPr>
          <w:p w14:paraId="1D4D3AA2" w14:textId="1F4D8A8D" w:rsidR="008E6EDB" w:rsidRPr="00286216" w:rsidRDefault="002579A3" w:rsidP="002579A3">
            <w:pPr>
              <w:pStyle w:val="StyleZakonu"/>
              <w:rPr>
                <w:color w:val="000000" w:themeColor="text1"/>
              </w:rPr>
            </w:pPr>
            <w:r w:rsidRPr="00286216">
              <w:rPr>
                <w:color w:val="000000" w:themeColor="text1"/>
              </w:rPr>
              <w:t>11</w:t>
            </w:r>
            <w:r w:rsidR="008E6EDB" w:rsidRPr="00286216">
              <w:rPr>
                <w:color w:val="000000" w:themeColor="text1"/>
              </w:rPr>
              <w:t>) у частині сьомій статті 37 слова "загальнодоступній інформаційній базі даних Комісії про ринок цінних паперів" замінити словами "</w:t>
            </w:r>
            <w:r w:rsidR="008E6EDB" w:rsidRPr="00286216">
              <w:rPr>
                <w:color w:val="000000" w:themeColor="text1"/>
                <w:szCs w:val="18"/>
              </w:rPr>
              <w:t>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r w:rsidR="008E6EDB" w:rsidRPr="00286216">
              <w:rPr>
                <w:color w:val="000000" w:themeColor="text1"/>
              </w:rPr>
              <w:t>";</w:t>
            </w:r>
          </w:p>
        </w:tc>
      </w:tr>
      <w:tr w:rsidR="008E6EDB" w:rsidRPr="00286216" w14:paraId="35C08FC1" w14:textId="77777777" w:rsidTr="00091AA5">
        <w:tc>
          <w:tcPr>
            <w:tcW w:w="576" w:type="dxa"/>
          </w:tcPr>
          <w:p w14:paraId="417D3427" w14:textId="77777777" w:rsidR="008E6EDB" w:rsidRPr="00286216" w:rsidRDefault="008E6EDB" w:rsidP="008E6EDB">
            <w:pPr>
              <w:pStyle w:val="StyleWisnow"/>
              <w:rPr>
                <w:color w:val="000000" w:themeColor="text1"/>
              </w:rPr>
            </w:pPr>
            <w:bookmarkStart w:id="3496" w:name="n3626" w:colFirst="0" w:colLast="0"/>
            <w:bookmarkEnd w:id="3495"/>
            <w:r w:rsidRPr="00286216">
              <w:rPr>
                <w:color w:val="000000" w:themeColor="text1"/>
              </w:rPr>
              <w:t>3626.</w:t>
            </w:r>
          </w:p>
        </w:tc>
        <w:tc>
          <w:tcPr>
            <w:tcW w:w="4818" w:type="dxa"/>
          </w:tcPr>
          <w:p w14:paraId="7B468944" w14:textId="77777777" w:rsidR="008E6EDB" w:rsidRPr="00286216" w:rsidRDefault="008E6EDB" w:rsidP="008E6EDB">
            <w:pPr>
              <w:pStyle w:val="StyleZakonu"/>
              <w:rPr>
                <w:color w:val="000000" w:themeColor="text1"/>
              </w:rPr>
            </w:pPr>
            <w:r w:rsidRPr="00286216">
              <w:rPr>
                <w:color w:val="000000" w:themeColor="text1"/>
              </w:rPr>
              <w:t>8) у статті 48:</w:t>
            </w:r>
          </w:p>
        </w:tc>
        <w:tc>
          <w:tcPr>
            <w:tcW w:w="3686" w:type="dxa"/>
          </w:tcPr>
          <w:p w14:paraId="5C0CF262" w14:textId="77777777" w:rsidR="008E6EDB" w:rsidRPr="00286216" w:rsidRDefault="008E6EDB" w:rsidP="008E6EDB">
            <w:pPr>
              <w:pStyle w:val="StyleProp"/>
              <w:rPr>
                <w:color w:val="000000" w:themeColor="text1"/>
                <w:szCs w:val="18"/>
              </w:rPr>
            </w:pPr>
          </w:p>
        </w:tc>
        <w:tc>
          <w:tcPr>
            <w:tcW w:w="1987" w:type="dxa"/>
          </w:tcPr>
          <w:p w14:paraId="77BB7D07" w14:textId="77777777" w:rsidR="008E6EDB" w:rsidRPr="00286216" w:rsidRDefault="008E6EDB" w:rsidP="008E6EDB">
            <w:pPr>
              <w:pStyle w:val="StyleWisnow"/>
              <w:rPr>
                <w:color w:val="000000" w:themeColor="text1"/>
              </w:rPr>
            </w:pPr>
          </w:p>
        </w:tc>
        <w:tc>
          <w:tcPr>
            <w:tcW w:w="4818" w:type="dxa"/>
          </w:tcPr>
          <w:p w14:paraId="6EB8772B" w14:textId="7CC90708" w:rsidR="008E6EDB" w:rsidRPr="00286216" w:rsidRDefault="002579A3" w:rsidP="002579A3">
            <w:pPr>
              <w:pStyle w:val="StyleZakonu"/>
              <w:rPr>
                <w:color w:val="000000" w:themeColor="text1"/>
              </w:rPr>
            </w:pPr>
            <w:r w:rsidRPr="00286216">
              <w:rPr>
                <w:color w:val="000000" w:themeColor="text1"/>
              </w:rPr>
              <w:t>12</w:t>
            </w:r>
            <w:r w:rsidR="008E6EDB" w:rsidRPr="00286216">
              <w:rPr>
                <w:color w:val="000000" w:themeColor="text1"/>
              </w:rPr>
              <w:t>) у статті 48:</w:t>
            </w:r>
          </w:p>
        </w:tc>
      </w:tr>
      <w:tr w:rsidR="008E6EDB" w:rsidRPr="00286216" w14:paraId="22A15FD5" w14:textId="77777777" w:rsidTr="00091AA5">
        <w:tc>
          <w:tcPr>
            <w:tcW w:w="576" w:type="dxa"/>
          </w:tcPr>
          <w:p w14:paraId="37579E94" w14:textId="77777777" w:rsidR="008E6EDB" w:rsidRPr="00286216" w:rsidRDefault="008E6EDB" w:rsidP="008E6EDB">
            <w:pPr>
              <w:pStyle w:val="StyleWisnow"/>
              <w:rPr>
                <w:color w:val="000000" w:themeColor="text1"/>
              </w:rPr>
            </w:pPr>
            <w:bookmarkStart w:id="3497" w:name="n3627" w:colFirst="0" w:colLast="0"/>
            <w:bookmarkEnd w:id="3496"/>
            <w:r w:rsidRPr="00286216">
              <w:rPr>
                <w:color w:val="000000" w:themeColor="text1"/>
              </w:rPr>
              <w:t>3627.</w:t>
            </w:r>
          </w:p>
        </w:tc>
        <w:tc>
          <w:tcPr>
            <w:tcW w:w="4818" w:type="dxa"/>
          </w:tcPr>
          <w:p w14:paraId="376B67D6" w14:textId="77777777" w:rsidR="008E6EDB" w:rsidRPr="00286216" w:rsidRDefault="008E6EDB" w:rsidP="008E6EDB">
            <w:pPr>
              <w:pStyle w:val="StyleZakonu"/>
              <w:rPr>
                <w:color w:val="000000" w:themeColor="text1"/>
              </w:rPr>
            </w:pPr>
            <w:r w:rsidRPr="00286216">
              <w:rPr>
                <w:color w:val="000000" w:themeColor="text1"/>
              </w:rPr>
              <w:t>а) слова "фондовій біржі" в усіх відмінках замінити словами "регульованому фондовому ринку" у відповідному відмінку;</w:t>
            </w:r>
          </w:p>
        </w:tc>
        <w:tc>
          <w:tcPr>
            <w:tcW w:w="3686" w:type="dxa"/>
          </w:tcPr>
          <w:p w14:paraId="2E7B4EF1" w14:textId="77777777" w:rsidR="008E6EDB" w:rsidRPr="00286216" w:rsidRDefault="008E6EDB" w:rsidP="008E6EDB">
            <w:pPr>
              <w:pStyle w:val="StyleProp"/>
              <w:rPr>
                <w:color w:val="000000" w:themeColor="text1"/>
                <w:szCs w:val="18"/>
              </w:rPr>
            </w:pPr>
          </w:p>
        </w:tc>
        <w:tc>
          <w:tcPr>
            <w:tcW w:w="1987" w:type="dxa"/>
          </w:tcPr>
          <w:p w14:paraId="4B9030FE" w14:textId="77777777" w:rsidR="008E6EDB" w:rsidRPr="00286216" w:rsidRDefault="008E6EDB" w:rsidP="008E6EDB">
            <w:pPr>
              <w:pStyle w:val="StyleWisnow"/>
              <w:spacing w:line="180" w:lineRule="exact"/>
              <w:rPr>
                <w:color w:val="000000" w:themeColor="text1"/>
              </w:rPr>
            </w:pPr>
          </w:p>
        </w:tc>
        <w:tc>
          <w:tcPr>
            <w:tcW w:w="4818" w:type="dxa"/>
          </w:tcPr>
          <w:p w14:paraId="75B45803" w14:textId="77777777" w:rsidR="008E6EDB" w:rsidRPr="00286216" w:rsidRDefault="008E6EDB" w:rsidP="008E6EDB">
            <w:pPr>
              <w:pStyle w:val="StyleZakonu"/>
              <w:rPr>
                <w:color w:val="000000" w:themeColor="text1"/>
              </w:rPr>
            </w:pPr>
            <w:r w:rsidRPr="00286216">
              <w:rPr>
                <w:color w:val="000000" w:themeColor="text1"/>
              </w:rPr>
              <w:t>а) слова "фондовій біржі" в усіх відмінках замінити словами "регульованому фондовому ринку" у відповідному відмінку;</w:t>
            </w:r>
          </w:p>
        </w:tc>
      </w:tr>
      <w:tr w:rsidR="008E6EDB" w:rsidRPr="00286216" w14:paraId="382020D4" w14:textId="77777777" w:rsidTr="00091AA5">
        <w:tc>
          <w:tcPr>
            <w:tcW w:w="576" w:type="dxa"/>
          </w:tcPr>
          <w:p w14:paraId="23E621DB" w14:textId="77777777" w:rsidR="008E6EDB" w:rsidRPr="00286216" w:rsidRDefault="008E6EDB" w:rsidP="008E6EDB">
            <w:pPr>
              <w:pStyle w:val="StyleWisnow"/>
              <w:rPr>
                <w:color w:val="000000" w:themeColor="text1"/>
              </w:rPr>
            </w:pPr>
            <w:bookmarkStart w:id="3498" w:name="n3628" w:colFirst="0" w:colLast="0"/>
            <w:bookmarkEnd w:id="3497"/>
            <w:r w:rsidRPr="00286216">
              <w:rPr>
                <w:color w:val="000000" w:themeColor="text1"/>
              </w:rPr>
              <w:t>3628.</w:t>
            </w:r>
          </w:p>
        </w:tc>
        <w:tc>
          <w:tcPr>
            <w:tcW w:w="4818" w:type="dxa"/>
          </w:tcPr>
          <w:p w14:paraId="4EADA03B" w14:textId="77777777" w:rsidR="008E6EDB" w:rsidRPr="00286216" w:rsidRDefault="008E6EDB" w:rsidP="008E6EDB">
            <w:pPr>
              <w:pStyle w:val="StyleZakonu"/>
              <w:rPr>
                <w:color w:val="000000" w:themeColor="text1"/>
              </w:rPr>
            </w:pPr>
            <w:r w:rsidRPr="00286216">
              <w:rPr>
                <w:color w:val="000000" w:themeColor="text1"/>
              </w:rPr>
              <w:t>б) у частині третій:</w:t>
            </w:r>
          </w:p>
        </w:tc>
        <w:tc>
          <w:tcPr>
            <w:tcW w:w="3686" w:type="dxa"/>
          </w:tcPr>
          <w:p w14:paraId="75E8D0D2" w14:textId="77777777" w:rsidR="008E6EDB" w:rsidRPr="00286216" w:rsidRDefault="008E6EDB" w:rsidP="008E6EDB">
            <w:pPr>
              <w:pStyle w:val="StyleProp"/>
              <w:rPr>
                <w:color w:val="000000" w:themeColor="text1"/>
                <w:szCs w:val="18"/>
              </w:rPr>
            </w:pPr>
          </w:p>
        </w:tc>
        <w:tc>
          <w:tcPr>
            <w:tcW w:w="1987" w:type="dxa"/>
          </w:tcPr>
          <w:p w14:paraId="7F9FFCE0" w14:textId="77777777" w:rsidR="008E6EDB" w:rsidRPr="00286216" w:rsidRDefault="008E6EDB" w:rsidP="008E6EDB">
            <w:pPr>
              <w:pStyle w:val="StyleWisnow"/>
              <w:spacing w:line="180" w:lineRule="exact"/>
              <w:rPr>
                <w:color w:val="000000" w:themeColor="text1"/>
              </w:rPr>
            </w:pPr>
          </w:p>
        </w:tc>
        <w:tc>
          <w:tcPr>
            <w:tcW w:w="4818" w:type="dxa"/>
          </w:tcPr>
          <w:p w14:paraId="37B50F7E" w14:textId="77777777" w:rsidR="008E6EDB" w:rsidRPr="00286216" w:rsidRDefault="008E6EDB" w:rsidP="008E6EDB">
            <w:pPr>
              <w:pStyle w:val="StyleZakonu"/>
              <w:rPr>
                <w:color w:val="000000" w:themeColor="text1"/>
              </w:rPr>
            </w:pPr>
            <w:r w:rsidRPr="00286216">
              <w:rPr>
                <w:color w:val="000000" w:themeColor="text1"/>
              </w:rPr>
              <w:t>б) у частині третій:</w:t>
            </w:r>
          </w:p>
        </w:tc>
      </w:tr>
      <w:tr w:rsidR="008A5602" w:rsidRPr="00286216" w14:paraId="2980E91B" w14:textId="77777777" w:rsidTr="00091AA5">
        <w:tc>
          <w:tcPr>
            <w:tcW w:w="576" w:type="dxa"/>
          </w:tcPr>
          <w:p w14:paraId="43982681" w14:textId="77777777" w:rsidR="008A5602" w:rsidRPr="00286216" w:rsidRDefault="008A5602" w:rsidP="008A5602">
            <w:pPr>
              <w:pStyle w:val="StyleWisnow"/>
              <w:rPr>
                <w:color w:val="000000" w:themeColor="text1"/>
              </w:rPr>
            </w:pPr>
            <w:bookmarkStart w:id="3499" w:name="n3629" w:colFirst="0" w:colLast="0"/>
            <w:bookmarkEnd w:id="3498"/>
            <w:r w:rsidRPr="00286216">
              <w:rPr>
                <w:color w:val="000000" w:themeColor="text1"/>
              </w:rPr>
              <w:t>3629.</w:t>
            </w:r>
          </w:p>
        </w:tc>
        <w:tc>
          <w:tcPr>
            <w:tcW w:w="4818" w:type="dxa"/>
          </w:tcPr>
          <w:p w14:paraId="3F09F343" w14:textId="77777777" w:rsidR="008A5602" w:rsidRPr="00286216" w:rsidRDefault="008A5602" w:rsidP="008A5602">
            <w:pPr>
              <w:pStyle w:val="StyleZakonu"/>
              <w:rPr>
                <w:color w:val="000000" w:themeColor="text1"/>
              </w:rPr>
            </w:pPr>
            <w:r w:rsidRPr="00286216">
              <w:rPr>
                <w:color w:val="000000" w:themeColor="text1"/>
              </w:rPr>
              <w:t>у пункті другому слова "крім банку" замінити словами "крім банку та міжнародної фінансової організації, яка розміщує облігації на території України";</w:t>
            </w:r>
          </w:p>
        </w:tc>
        <w:tc>
          <w:tcPr>
            <w:tcW w:w="3686" w:type="dxa"/>
          </w:tcPr>
          <w:p w14:paraId="7BC6275B" w14:textId="77777777" w:rsidR="008A5602" w:rsidRPr="00286216" w:rsidRDefault="008A5602" w:rsidP="008A5602">
            <w:pPr>
              <w:pStyle w:val="StyleProp"/>
              <w:rPr>
                <w:color w:val="000000" w:themeColor="text1"/>
                <w:szCs w:val="18"/>
              </w:rPr>
            </w:pPr>
          </w:p>
        </w:tc>
        <w:tc>
          <w:tcPr>
            <w:tcW w:w="1987" w:type="dxa"/>
          </w:tcPr>
          <w:p w14:paraId="7BE0BBFA" w14:textId="77777777" w:rsidR="008A5602" w:rsidRPr="00286216" w:rsidRDefault="008A5602" w:rsidP="008A5602">
            <w:pPr>
              <w:pStyle w:val="StyleWisnow"/>
              <w:spacing w:line="180" w:lineRule="exact"/>
              <w:rPr>
                <w:color w:val="000000" w:themeColor="text1"/>
              </w:rPr>
            </w:pPr>
          </w:p>
        </w:tc>
        <w:tc>
          <w:tcPr>
            <w:tcW w:w="4818" w:type="dxa"/>
          </w:tcPr>
          <w:p w14:paraId="779851A4" w14:textId="471FA682" w:rsidR="008A5602" w:rsidRPr="00286216" w:rsidRDefault="008A5602" w:rsidP="008A5602">
            <w:pPr>
              <w:pStyle w:val="StyleZakonu"/>
              <w:rPr>
                <w:color w:val="000000" w:themeColor="text1"/>
              </w:rPr>
            </w:pPr>
            <w:r w:rsidRPr="00286216">
              <w:rPr>
                <w:color w:val="000000" w:themeColor="text1"/>
              </w:rPr>
              <w:t>у пункті 2 слова "крім банку" замінити словами "крім банку та міжнародної фінансової організації, яка розміщує облігації на території України";</w:t>
            </w:r>
          </w:p>
        </w:tc>
      </w:tr>
      <w:tr w:rsidR="008A5602" w:rsidRPr="00286216" w14:paraId="2CBFADF4" w14:textId="77777777" w:rsidTr="00091AA5">
        <w:tc>
          <w:tcPr>
            <w:tcW w:w="576" w:type="dxa"/>
          </w:tcPr>
          <w:p w14:paraId="517B7345" w14:textId="77777777" w:rsidR="008A5602" w:rsidRPr="00286216" w:rsidRDefault="008A5602" w:rsidP="008A5602">
            <w:pPr>
              <w:pStyle w:val="StyleWisnow"/>
              <w:rPr>
                <w:color w:val="000000" w:themeColor="text1"/>
              </w:rPr>
            </w:pPr>
            <w:bookmarkStart w:id="3500" w:name="n3630" w:colFirst="0" w:colLast="0"/>
            <w:bookmarkEnd w:id="3499"/>
            <w:r w:rsidRPr="00286216">
              <w:rPr>
                <w:color w:val="000000" w:themeColor="text1"/>
              </w:rPr>
              <w:t>3630.</w:t>
            </w:r>
          </w:p>
        </w:tc>
        <w:tc>
          <w:tcPr>
            <w:tcW w:w="4818" w:type="dxa"/>
          </w:tcPr>
          <w:p w14:paraId="0801FC54" w14:textId="77777777" w:rsidR="008A5602" w:rsidRPr="00286216" w:rsidRDefault="008A5602" w:rsidP="008A5602">
            <w:pPr>
              <w:pStyle w:val="StyleZakonu"/>
              <w:rPr>
                <w:color w:val="000000" w:themeColor="text1"/>
              </w:rPr>
            </w:pPr>
            <w:r w:rsidRPr="00286216">
              <w:rPr>
                <w:color w:val="000000" w:themeColor="text1"/>
              </w:rPr>
              <w:t>доповнити частину після пункту третього новим пунктом такого змісту:</w:t>
            </w:r>
          </w:p>
        </w:tc>
        <w:tc>
          <w:tcPr>
            <w:tcW w:w="3686" w:type="dxa"/>
          </w:tcPr>
          <w:p w14:paraId="4F39E952" w14:textId="77777777" w:rsidR="008A5602" w:rsidRPr="00286216" w:rsidRDefault="008A5602" w:rsidP="008A5602">
            <w:pPr>
              <w:pStyle w:val="StyleProp"/>
              <w:rPr>
                <w:color w:val="000000" w:themeColor="text1"/>
                <w:szCs w:val="18"/>
              </w:rPr>
            </w:pPr>
          </w:p>
        </w:tc>
        <w:tc>
          <w:tcPr>
            <w:tcW w:w="1987" w:type="dxa"/>
          </w:tcPr>
          <w:p w14:paraId="7BB8E193" w14:textId="77777777" w:rsidR="008A5602" w:rsidRPr="00286216" w:rsidRDefault="008A5602" w:rsidP="008A5602">
            <w:pPr>
              <w:pStyle w:val="StyleWisnow"/>
              <w:rPr>
                <w:color w:val="000000" w:themeColor="text1"/>
              </w:rPr>
            </w:pPr>
          </w:p>
        </w:tc>
        <w:tc>
          <w:tcPr>
            <w:tcW w:w="4818" w:type="dxa"/>
          </w:tcPr>
          <w:p w14:paraId="7EB2CF17" w14:textId="4F5B314C" w:rsidR="008A5602" w:rsidRPr="00286216" w:rsidRDefault="008A5602" w:rsidP="008A5602">
            <w:pPr>
              <w:pStyle w:val="StyleZakonu"/>
              <w:rPr>
                <w:color w:val="000000" w:themeColor="text1"/>
              </w:rPr>
            </w:pPr>
            <w:r w:rsidRPr="00286216">
              <w:rPr>
                <w:color w:val="000000" w:themeColor="text1"/>
              </w:rPr>
              <w:t>доповнити частину  пунктом 3</w:t>
            </w:r>
            <w:r w:rsidRPr="00286216">
              <w:rPr>
                <w:color w:val="000000" w:themeColor="text1"/>
                <w:vertAlign w:val="superscript"/>
              </w:rPr>
              <w:t xml:space="preserve">1 </w:t>
            </w:r>
            <w:r w:rsidRPr="00286216">
              <w:rPr>
                <w:color w:val="000000" w:themeColor="text1"/>
              </w:rPr>
              <w:t>такого змісту:</w:t>
            </w:r>
          </w:p>
        </w:tc>
      </w:tr>
      <w:tr w:rsidR="008A5602" w:rsidRPr="00286216" w14:paraId="59D3B76A" w14:textId="77777777" w:rsidTr="00091AA5">
        <w:tc>
          <w:tcPr>
            <w:tcW w:w="576" w:type="dxa"/>
          </w:tcPr>
          <w:p w14:paraId="50812236" w14:textId="77777777" w:rsidR="008A5602" w:rsidRPr="00286216" w:rsidRDefault="008A5602" w:rsidP="008A5602">
            <w:pPr>
              <w:pStyle w:val="StyleWisnow"/>
              <w:rPr>
                <w:color w:val="000000" w:themeColor="text1"/>
              </w:rPr>
            </w:pPr>
            <w:bookmarkStart w:id="3501" w:name="n3631" w:colFirst="0" w:colLast="0"/>
            <w:bookmarkEnd w:id="3500"/>
            <w:r w:rsidRPr="00286216">
              <w:rPr>
                <w:color w:val="000000" w:themeColor="text1"/>
              </w:rPr>
              <w:t>3631.</w:t>
            </w:r>
          </w:p>
        </w:tc>
        <w:tc>
          <w:tcPr>
            <w:tcW w:w="4818" w:type="dxa"/>
          </w:tcPr>
          <w:p w14:paraId="050A50C8" w14:textId="77777777" w:rsidR="008A5602" w:rsidRPr="00286216" w:rsidRDefault="008A5602" w:rsidP="008A5602">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xml:space="preserve">) придбавати або додатково інвестувати в облігації міжнародних фінансових організацій, що розміщуються на території України, більше ніж 50 відсотків загальної вартості активів інституту спільного інвестування. При цьому забороняється інвестувати понад 10 відсотків загальної вартості активів інституту спільного інвестування в облігації міжнародних фінансових організацій одного випуску, </w:t>
            </w:r>
            <w:r w:rsidRPr="00286216">
              <w:rPr>
                <w:color w:val="000000" w:themeColor="text1"/>
              </w:rPr>
              <w:lastRenderedPageBreak/>
              <w:t>що розміщуються на території України; ";</w:t>
            </w:r>
          </w:p>
        </w:tc>
        <w:tc>
          <w:tcPr>
            <w:tcW w:w="3686" w:type="dxa"/>
          </w:tcPr>
          <w:p w14:paraId="77C9AFFE" w14:textId="77777777" w:rsidR="008A5602" w:rsidRPr="00286216" w:rsidRDefault="008A5602" w:rsidP="008A5602">
            <w:pPr>
              <w:pStyle w:val="StyleProp"/>
              <w:rPr>
                <w:rFonts w:eastAsia="Calibri"/>
                <w:color w:val="000000" w:themeColor="text1"/>
                <w:szCs w:val="18"/>
              </w:rPr>
            </w:pPr>
          </w:p>
        </w:tc>
        <w:tc>
          <w:tcPr>
            <w:tcW w:w="1987" w:type="dxa"/>
          </w:tcPr>
          <w:p w14:paraId="0F718AFA" w14:textId="77777777" w:rsidR="008A5602" w:rsidRPr="00286216" w:rsidRDefault="008A5602" w:rsidP="008A5602">
            <w:pPr>
              <w:pStyle w:val="StyleWisnow"/>
              <w:spacing w:line="180" w:lineRule="exact"/>
              <w:rPr>
                <w:color w:val="000000" w:themeColor="text1"/>
              </w:rPr>
            </w:pPr>
          </w:p>
        </w:tc>
        <w:tc>
          <w:tcPr>
            <w:tcW w:w="4818" w:type="dxa"/>
          </w:tcPr>
          <w:p w14:paraId="11ED5B49" w14:textId="787F2246" w:rsidR="008A5602" w:rsidRPr="00286216" w:rsidRDefault="008A5602" w:rsidP="008A5602">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xml:space="preserve">) придбавати або додатково інвестувати в облігації міжнародних фінансових організацій, що розміщуються на території України, більше ніж 50 відсотків загальної вартості активів інституту спільного інвестування. При цьому забороняється інвестувати понад 10 відсотків загальної вартості активів інституту спільного інвестування в облігації міжнародних фінансових організацій одного випуску, </w:t>
            </w:r>
            <w:r w:rsidRPr="00286216">
              <w:rPr>
                <w:color w:val="000000" w:themeColor="text1"/>
              </w:rPr>
              <w:lastRenderedPageBreak/>
              <w:t>що розміщуються на території України";</w:t>
            </w:r>
          </w:p>
        </w:tc>
      </w:tr>
      <w:tr w:rsidR="008A5602" w:rsidRPr="00286216" w14:paraId="0331FC57" w14:textId="77777777" w:rsidTr="00091AA5">
        <w:tc>
          <w:tcPr>
            <w:tcW w:w="576" w:type="dxa"/>
          </w:tcPr>
          <w:p w14:paraId="2A304AAE" w14:textId="77777777" w:rsidR="008A5602" w:rsidRPr="00286216" w:rsidRDefault="008A5602" w:rsidP="008A5602">
            <w:pPr>
              <w:pStyle w:val="StyleWisnow"/>
              <w:rPr>
                <w:color w:val="000000" w:themeColor="text1"/>
              </w:rPr>
            </w:pPr>
            <w:bookmarkStart w:id="3502" w:name="n3632" w:colFirst="0" w:colLast="0"/>
            <w:bookmarkEnd w:id="3501"/>
            <w:r w:rsidRPr="00286216">
              <w:rPr>
                <w:color w:val="000000" w:themeColor="text1"/>
              </w:rPr>
              <w:lastRenderedPageBreak/>
              <w:t>3632.</w:t>
            </w:r>
          </w:p>
        </w:tc>
        <w:tc>
          <w:tcPr>
            <w:tcW w:w="4818" w:type="dxa"/>
          </w:tcPr>
          <w:p w14:paraId="19ADC1A4" w14:textId="77777777" w:rsidR="008A5602" w:rsidRPr="00286216" w:rsidRDefault="008A5602" w:rsidP="008A5602">
            <w:pPr>
              <w:pStyle w:val="StyleZakonu"/>
              <w:rPr>
                <w:color w:val="000000" w:themeColor="text1"/>
              </w:rPr>
            </w:pPr>
            <w:r w:rsidRPr="00286216">
              <w:rPr>
                <w:color w:val="000000" w:themeColor="text1"/>
              </w:rPr>
              <w:t>пункт 6 викласти в такій редакції:</w:t>
            </w:r>
          </w:p>
        </w:tc>
        <w:tc>
          <w:tcPr>
            <w:tcW w:w="3686" w:type="dxa"/>
          </w:tcPr>
          <w:p w14:paraId="39EA6E8B" w14:textId="77777777" w:rsidR="008A5602" w:rsidRPr="00286216" w:rsidRDefault="008A5602" w:rsidP="008A5602">
            <w:pPr>
              <w:pStyle w:val="StyleProp"/>
              <w:rPr>
                <w:color w:val="000000" w:themeColor="text1"/>
                <w:szCs w:val="18"/>
              </w:rPr>
            </w:pPr>
          </w:p>
        </w:tc>
        <w:tc>
          <w:tcPr>
            <w:tcW w:w="1987" w:type="dxa"/>
          </w:tcPr>
          <w:p w14:paraId="719FACA6" w14:textId="77777777" w:rsidR="008A5602" w:rsidRPr="00286216" w:rsidRDefault="008A5602" w:rsidP="008A5602">
            <w:pPr>
              <w:pStyle w:val="StyleWisnow"/>
              <w:spacing w:line="180" w:lineRule="exact"/>
              <w:rPr>
                <w:color w:val="000000" w:themeColor="text1"/>
              </w:rPr>
            </w:pPr>
          </w:p>
        </w:tc>
        <w:tc>
          <w:tcPr>
            <w:tcW w:w="4818" w:type="dxa"/>
          </w:tcPr>
          <w:p w14:paraId="15AF5A90" w14:textId="097E0FEE" w:rsidR="008A5602" w:rsidRPr="00286216" w:rsidRDefault="008A5602" w:rsidP="008A5602">
            <w:pPr>
              <w:pStyle w:val="StyleZakonu"/>
              <w:rPr>
                <w:color w:val="000000" w:themeColor="text1"/>
              </w:rPr>
            </w:pPr>
            <w:r w:rsidRPr="00286216">
              <w:rPr>
                <w:color w:val="000000" w:themeColor="text1"/>
              </w:rPr>
              <w:t>пункт 6 викласти в такій редакції:</w:t>
            </w:r>
          </w:p>
        </w:tc>
      </w:tr>
      <w:tr w:rsidR="008A5602" w:rsidRPr="00286216" w14:paraId="21E0407A" w14:textId="77777777" w:rsidTr="00091AA5">
        <w:tc>
          <w:tcPr>
            <w:tcW w:w="576" w:type="dxa"/>
          </w:tcPr>
          <w:p w14:paraId="2FAA47A9" w14:textId="77777777" w:rsidR="008A5602" w:rsidRPr="00286216" w:rsidRDefault="008A5602" w:rsidP="008A5602">
            <w:pPr>
              <w:pStyle w:val="StyleWisnow"/>
              <w:rPr>
                <w:color w:val="000000" w:themeColor="text1"/>
              </w:rPr>
            </w:pPr>
            <w:bookmarkStart w:id="3503" w:name="n3633" w:colFirst="0" w:colLast="0"/>
            <w:bookmarkEnd w:id="3502"/>
            <w:r w:rsidRPr="00286216">
              <w:rPr>
                <w:color w:val="000000" w:themeColor="text1"/>
              </w:rPr>
              <w:t>3633.</w:t>
            </w:r>
          </w:p>
        </w:tc>
        <w:tc>
          <w:tcPr>
            <w:tcW w:w="4818" w:type="dxa"/>
          </w:tcPr>
          <w:p w14:paraId="328BDEC3" w14:textId="77777777" w:rsidR="008A5602" w:rsidRPr="00286216" w:rsidRDefault="008A5602" w:rsidP="008A5602">
            <w:pPr>
              <w:pStyle w:val="StyleZakonu"/>
              <w:rPr>
                <w:color w:val="000000" w:themeColor="text1"/>
              </w:rPr>
            </w:pPr>
            <w:r w:rsidRPr="00286216">
              <w:rPr>
                <w:color w:val="000000" w:themeColor="text1"/>
              </w:rPr>
              <w:t>"6) придбавати або додатково інвестувати в акції та облігації іноземних емітентів, емісійні боргові цінні папери міжнародних фінансових організацій, які допущені до торгів на організованих фондових ринках іноземних держав, більше ніж 20 відсотків загальної вартості активів інституту спільного інвестування; ";</w:t>
            </w:r>
          </w:p>
        </w:tc>
        <w:tc>
          <w:tcPr>
            <w:tcW w:w="3686" w:type="dxa"/>
          </w:tcPr>
          <w:p w14:paraId="3AEDAA71" w14:textId="77777777" w:rsidR="008A5602" w:rsidRPr="00286216" w:rsidRDefault="008A5602" w:rsidP="008A5602">
            <w:pPr>
              <w:pStyle w:val="StyleProp"/>
              <w:rPr>
                <w:rFonts w:eastAsia="Calibri"/>
                <w:color w:val="000000" w:themeColor="text1"/>
                <w:szCs w:val="18"/>
              </w:rPr>
            </w:pPr>
          </w:p>
        </w:tc>
        <w:tc>
          <w:tcPr>
            <w:tcW w:w="1987" w:type="dxa"/>
          </w:tcPr>
          <w:p w14:paraId="4AB09574" w14:textId="77777777" w:rsidR="008A5602" w:rsidRPr="00286216" w:rsidRDefault="008A5602" w:rsidP="008A5602">
            <w:pPr>
              <w:pStyle w:val="StyleWisnow"/>
              <w:spacing w:line="180" w:lineRule="exact"/>
              <w:rPr>
                <w:color w:val="000000" w:themeColor="text1"/>
              </w:rPr>
            </w:pPr>
          </w:p>
        </w:tc>
        <w:tc>
          <w:tcPr>
            <w:tcW w:w="4818" w:type="dxa"/>
          </w:tcPr>
          <w:p w14:paraId="73626C43" w14:textId="4052C653" w:rsidR="008A5602" w:rsidRPr="00286216" w:rsidRDefault="008A5602" w:rsidP="008A5602">
            <w:pPr>
              <w:pStyle w:val="StyleZakonu"/>
              <w:rPr>
                <w:color w:val="000000" w:themeColor="text1"/>
              </w:rPr>
            </w:pPr>
            <w:r w:rsidRPr="00286216">
              <w:rPr>
                <w:color w:val="000000" w:themeColor="text1"/>
              </w:rPr>
              <w:t>"6) придбавати або додатково інвестувати в акції та облігації іноземних емітентів, емісійні боргові цінні папери міжнародних фінансових організацій, які допущені до торгів на організованих фондових ринках іноземних держав, більше ніж 20 відсотків загальної вартості активів інституту спільного інвестування";</w:t>
            </w:r>
          </w:p>
        </w:tc>
      </w:tr>
      <w:tr w:rsidR="008A5602" w:rsidRPr="00286216" w14:paraId="2BC3FF04" w14:textId="77777777" w:rsidTr="00091AA5">
        <w:tc>
          <w:tcPr>
            <w:tcW w:w="576" w:type="dxa"/>
          </w:tcPr>
          <w:p w14:paraId="33163ECB" w14:textId="77777777" w:rsidR="008A5602" w:rsidRPr="00286216" w:rsidRDefault="008A5602" w:rsidP="008A5602">
            <w:pPr>
              <w:pStyle w:val="StyleWisnow"/>
              <w:rPr>
                <w:color w:val="000000" w:themeColor="text1"/>
              </w:rPr>
            </w:pPr>
            <w:bookmarkStart w:id="3504" w:name="n3634" w:colFirst="0" w:colLast="0"/>
            <w:bookmarkEnd w:id="3503"/>
            <w:r w:rsidRPr="00286216">
              <w:rPr>
                <w:color w:val="000000" w:themeColor="text1"/>
              </w:rPr>
              <w:t>3634.</w:t>
            </w:r>
          </w:p>
        </w:tc>
        <w:tc>
          <w:tcPr>
            <w:tcW w:w="4818" w:type="dxa"/>
          </w:tcPr>
          <w:p w14:paraId="7773CD9B" w14:textId="77777777" w:rsidR="008A5602" w:rsidRPr="00286216" w:rsidRDefault="008A5602" w:rsidP="008A5602">
            <w:pPr>
              <w:pStyle w:val="StyleZakonu"/>
              <w:rPr>
                <w:color w:val="000000" w:themeColor="text1"/>
              </w:rPr>
            </w:pPr>
            <w:r w:rsidRPr="00286216">
              <w:rPr>
                <w:color w:val="000000" w:themeColor="text1"/>
              </w:rPr>
              <w:t>в) у частині п’ятій:</w:t>
            </w:r>
          </w:p>
        </w:tc>
        <w:tc>
          <w:tcPr>
            <w:tcW w:w="3686" w:type="dxa"/>
          </w:tcPr>
          <w:p w14:paraId="30A3A7AC" w14:textId="77777777" w:rsidR="008A5602" w:rsidRPr="00286216" w:rsidRDefault="008A5602" w:rsidP="008A5602">
            <w:pPr>
              <w:pStyle w:val="StyleProp"/>
              <w:rPr>
                <w:color w:val="000000" w:themeColor="text1"/>
                <w:szCs w:val="18"/>
              </w:rPr>
            </w:pPr>
          </w:p>
        </w:tc>
        <w:tc>
          <w:tcPr>
            <w:tcW w:w="1987" w:type="dxa"/>
          </w:tcPr>
          <w:p w14:paraId="11644EC6"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502EBAE0" w14:textId="2F66E7D4" w:rsidR="008A5602" w:rsidRPr="00286216" w:rsidRDefault="008A5602" w:rsidP="008A5602">
            <w:pPr>
              <w:pStyle w:val="StyleZakonu"/>
              <w:rPr>
                <w:color w:val="000000" w:themeColor="text1"/>
              </w:rPr>
            </w:pPr>
            <w:r w:rsidRPr="00286216">
              <w:rPr>
                <w:color w:val="000000" w:themeColor="text1"/>
              </w:rPr>
              <w:t>в) у частині п’ятій:</w:t>
            </w:r>
          </w:p>
        </w:tc>
      </w:tr>
      <w:tr w:rsidR="008A5602" w:rsidRPr="00286216" w14:paraId="1B387654" w14:textId="77777777" w:rsidTr="00091AA5">
        <w:tc>
          <w:tcPr>
            <w:tcW w:w="576" w:type="dxa"/>
          </w:tcPr>
          <w:p w14:paraId="191AF58D" w14:textId="77777777" w:rsidR="008A5602" w:rsidRPr="00286216" w:rsidRDefault="008A5602" w:rsidP="008A5602">
            <w:pPr>
              <w:pStyle w:val="StyleWisnow"/>
              <w:rPr>
                <w:color w:val="000000" w:themeColor="text1"/>
              </w:rPr>
            </w:pPr>
            <w:bookmarkStart w:id="3505" w:name="n3635" w:colFirst="0" w:colLast="0"/>
            <w:bookmarkEnd w:id="3504"/>
            <w:r w:rsidRPr="00286216">
              <w:rPr>
                <w:color w:val="000000" w:themeColor="text1"/>
              </w:rPr>
              <w:t>3635.</w:t>
            </w:r>
          </w:p>
        </w:tc>
        <w:tc>
          <w:tcPr>
            <w:tcW w:w="4818" w:type="dxa"/>
          </w:tcPr>
          <w:p w14:paraId="3A4AE56F" w14:textId="77777777" w:rsidR="008A5602" w:rsidRPr="00286216" w:rsidRDefault="008A5602" w:rsidP="008A5602">
            <w:pPr>
              <w:pStyle w:val="StyleZakonu"/>
              <w:rPr>
                <w:color w:val="000000" w:themeColor="text1"/>
              </w:rPr>
            </w:pPr>
            <w:r w:rsidRPr="00286216">
              <w:rPr>
                <w:color w:val="000000" w:themeColor="text1"/>
              </w:rPr>
              <w:t>у пункті другому слова "ощадні (депозитні) сертифікати" замінити словами "ощадні сертифікати банку, депозитні сертифікату банку";</w:t>
            </w:r>
          </w:p>
        </w:tc>
        <w:tc>
          <w:tcPr>
            <w:tcW w:w="3686" w:type="dxa"/>
          </w:tcPr>
          <w:p w14:paraId="6650AA8A" w14:textId="77777777" w:rsidR="008A5602" w:rsidRPr="00286216" w:rsidRDefault="008A5602" w:rsidP="008A5602">
            <w:pPr>
              <w:pStyle w:val="StyleProp"/>
              <w:rPr>
                <w:color w:val="000000" w:themeColor="text1"/>
                <w:szCs w:val="18"/>
              </w:rPr>
            </w:pPr>
          </w:p>
        </w:tc>
        <w:tc>
          <w:tcPr>
            <w:tcW w:w="1987" w:type="dxa"/>
          </w:tcPr>
          <w:p w14:paraId="3FAB5A75"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2BBA0AAE" w14:textId="428F3166" w:rsidR="008A5602" w:rsidRPr="00286216" w:rsidRDefault="008A5602" w:rsidP="008A5602">
            <w:pPr>
              <w:pStyle w:val="StyleZakonu"/>
              <w:rPr>
                <w:color w:val="000000" w:themeColor="text1"/>
              </w:rPr>
            </w:pPr>
            <w:r w:rsidRPr="00286216">
              <w:rPr>
                <w:color w:val="000000" w:themeColor="text1"/>
              </w:rPr>
              <w:t>у пункті 2 слова "ощадні (депозитні) сертифікати" замінити словами "ощадні сертифікати банку, депозитні сертифікату банку";</w:t>
            </w:r>
          </w:p>
        </w:tc>
      </w:tr>
      <w:tr w:rsidR="008A5602" w:rsidRPr="00286216" w14:paraId="4D94DD8B" w14:textId="77777777" w:rsidTr="00091AA5">
        <w:tc>
          <w:tcPr>
            <w:tcW w:w="576" w:type="dxa"/>
          </w:tcPr>
          <w:p w14:paraId="60202212" w14:textId="77777777" w:rsidR="008A5602" w:rsidRPr="00286216" w:rsidRDefault="008A5602" w:rsidP="008A5602">
            <w:pPr>
              <w:pStyle w:val="StyleWisnow"/>
              <w:rPr>
                <w:color w:val="000000" w:themeColor="text1"/>
              </w:rPr>
            </w:pPr>
            <w:bookmarkStart w:id="3506" w:name="n3636" w:colFirst="0" w:colLast="0"/>
            <w:bookmarkEnd w:id="3505"/>
            <w:r w:rsidRPr="00286216">
              <w:rPr>
                <w:color w:val="000000" w:themeColor="text1"/>
              </w:rPr>
              <w:t>3636.</w:t>
            </w:r>
          </w:p>
        </w:tc>
        <w:tc>
          <w:tcPr>
            <w:tcW w:w="4818" w:type="dxa"/>
          </w:tcPr>
          <w:p w14:paraId="4BC7F729" w14:textId="77777777" w:rsidR="008A5602" w:rsidRPr="00286216" w:rsidRDefault="008A5602" w:rsidP="008A5602">
            <w:pPr>
              <w:pStyle w:val="StyleZakonu"/>
              <w:rPr>
                <w:color w:val="000000" w:themeColor="text1"/>
              </w:rPr>
            </w:pPr>
            <w:r w:rsidRPr="00286216">
              <w:rPr>
                <w:color w:val="000000" w:themeColor="text1"/>
              </w:rPr>
              <w:t>доповнити частину після пункту третього новим пунктом такого змісту:</w:t>
            </w:r>
          </w:p>
        </w:tc>
        <w:tc>
          <w:tcPr>
            <w:tcW w:w="3686" w:type="dxa"/>
          </w:tcPr>
          <w:p w14:paraId="5161CBF1" w14:textId="77777777" w:rsidR="008A5602" w:rsidRPr="00286216" w:rsidRDefault="008A5602" w:rsidP="008A5602">
            <w:pPr>
              <w:pStyle w:val="StyleProp"/>
              <w:rPr>
                <w:color w:val="000000" w:themeColor="text1"/>
                <w:szCs w:val="18"/>
              </w:rPr>
            </w:pPr>
          </w:p>
        </w:tc>
        <w:tc>
          <w:tcPr>
            <w:tcW w:w="1987" w:type="dxa"/>
          </w:tcPr>
          <w:p w14:paraId="2FD9B38B"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4DC9B0EA" w14:textId="0A66E854" w:rsidR="008A5602" w:rsidRPr="00286216" w:rsidRDefault="008A5602" w:rsidP="008A5602">
            <w:pPr>
              <w:pStyle w:val="StyleZakonu"/>
              <w:rPr>
                <w:color w:val="000000" w:themeColor="text1"/>
              </w:rPr>
            </w:pPr>
            <w:r w:rsidRPr="00286216">
              <w:rPr>
                <w:color w:val="000000" w:themeColor="text1"/>
              </w:rPr>
              <w:t>доповнити пунктом 3</w:t>
            </w:r>
            <w:r w:rsidRPr="00286216">
              <w:rPr>
                <w:color w:val="000000" w:themeColor="text1"/>
                <w:vertAlign w:val="superscript"/>
              </w:rPr>
              <w:t>1</w:t>
            </w:r>
            <w:r w:rsidRPr="00286216">
              <w:rPr>
                <w:color w:val="000000" w:themeColor="text1"/>
              </w:rPr>
              <w:t xml:space="preserve"> такого змісту:</w:t>
            </w:r>
          </w:p>
        </w:tc>
      </w:tr>
      <w:tr w:rsidR="008A5602" w:rsidRPr="00286216" w14:paraId="1ED4BD00" w14:textId="77777777" w:rsidTr="00091AA5">
        <w:tc>
          <w:tcPr>
            <w:tcW w:w="576" w:type="dxa"/>
          </w:tcPr>
          <w:p w14:paraId="630403D9" w14:textId="77777777" w:rsidR="008A5602" w:rsidRPr="00286216" w:rsidRDefault="008A5602" w:rsidP="008A5602">
            <w:pPr>
              <w:pStyle w:val="StyleWisnow"/>
              <w:rPr>
                <w:color w:val="000000" w:themeColor="text1"/>
              </w:rPr>
            </w:pPr>
            <w:bookmarkStart w:id="3507" w:name="n3637" w:colFirst="0" w:colLast="0"/>
            <w:bookmarkEnd w:id="3506"/>
            <w:r w:rsidRPr="00286216">
              <w:rPr>
                <w:color w:val="000000" w:themeColor="text1"/>
              </w:rPr>
              <w:t>3637.</w:t>
            </w:r>
          </w:p>
        </w:tc>
        <w:tc>
          <w:tcPr>
            <w:tcW w:w="4818" w:type="dxa"/>
          </w:tcPr>
          <w:p w14:paraId="2C147A51" w14:textId="77777777" w:rsidR="008A5602" w:rsidRPr="00286216" w:rsidRDefault="008A5602" w:rsidP="008A5602">
            <w:pPr>
              <w:pStyle w:val="StyleZakonu"/>
              <w:rPr>
                <w:color w:val="000000" w:themeColor="text1"/>
              </w:rPr>
            </w:pPr>
            <w:r w:rsidRPr="00286216">
              <w:rPr>
                <w:color w:val="000000" w:themeColor="text1"/>
              </w:rPr>
              <w:t>"3-1) облігації міжнародних фінансових організацій, що розміщуються на території України, строк до погашення яких не перевищує двох календарних років; ";</w:t>
            </w:r>
          </w:p>
        </w:tc>
        <w:tc>
          <w:tcPr>
            <w:tcW w:w="3686" w:type="dxa"/>
          </w:tcPr>
          <w:p w14:paraId="28A55124" w14:textId="77777777" w:rsidR="008A5602" w:rsidRPr="00286216" w:rsidRDefault="008A5602" w:rsidP="008A5602">
            <w:pPr>
              <w:pStyle w:val="StyleProp"/>
              <w:rPr>
                <w:color w:val="000000" w:themeColor="text1"/>
                <w:szCs w:val="18"/>
              </w:rPr>
            </w:pPr>
          </w:p>
        </w:tc>
        <w:tc>
          <w:tcPr>
            <w:tcW w:w="1987" w:type="dxa"/>
          </w:tcPr>
          <w:p w14:paraId="69269224"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07C15489" w14:textId="72D631B7" w:rsidR="008A5602" w:rsidRPr="00286216" w:rsidRDefault="008A5602" w:rsidP="008A5602">
            <w:pPr>
              <w:pStyle w:val="StyleZakonu"/>
              <w:rPr>
                <w:color w:val="000000" w:themeColor="text1"/>
              </w:rPr>
            </w:pPr>
            <w:r w:rsidRPr="00286216">
              <w:rPr>
                <w:color w:val="000000" w:themeColor="text1"/>
              </w:rPr>
              <w:t>"3</w:t>
            </w:r>
            <w:r w:rsidRPr="00286216">
              <w:rPr>
                <w:color w:val="000000" w:themeColor="text1"/>
                <w:vertAlign w:val="superscript"/>
              </w:rPr>
              <w:t>1</w:t>
            </w:r>
            <w:r w:rsidRPr="00286216">
              <w:rPr>
                <w:color w:val="000000" w:themeColor="text1"/>
              </w:rPr>
              <w:t>) облігації міжнародних фінансових організацій, що розміщуються на території України, строк до погашення яких не перевищує двох календарних років";</w:t>
            </w:r>
          </w:p>
        </w:tc>
      </w:tr>
      <w:tr w:rsidR="008A5602" w:rsidRPr="00286216" w14:paraId="2D4960C4" w14:textId="77777777" w:rsidTr="00091AA5">
        <w:tc>
          <w:tcPr>
            <w:tcW w:w="576" w:type="dxa"/>
          </w:tcPr>
          <w:p w14:paraId="62636970" w14:textId="77777777" w:rsidR="008A5602" w:rsidRPr="00286216" w:rsidRDefault="008A5602" w:rsidP="008A5602">
            <w:pPr>
              <w:pStyle w:val="StyleWisnow"/>
              <w:rPr>
                <w:color w:val="000000" w:themeColor="text1"/>
              </w:rPr>
            </w:pPr>
            <w:bookmarkStart w:id="3508" w:name="n3638" w:colFirst="0" w:colLast="0"/>
            <w:bookmarkEnd w:id="3507"/>
            <w:r w:rsidRPr="00286216">
              <w:rPr>
                <w:color w:val="000000" w:themeColor="text1"/>
              </w:rPr>
              <w:t>3638.</w:t>
            </w:r>
          </w:p>
        </w:tc>
        <w:tc>
          <w:tcPr>
            <w:tcW w:w="4818" w:type="dxa"/>
          </w:tcPr>
          <w:p w14:paraId="1AD0CF9F" w14:textId="77777777" w:rsidR="008A5602" w:rsidRPr="00286216" w:rsidRDefault="008A5602" w:rsidP="008A5602">
            <w:pPr>
              <w:pStyle w:val="StyleZakonu"/>
              <w:rPr>
                <w:color w:val="000000" w:themeColor="text1"/>
              </w:rPr>
            </w:pPr>
            <w:r w:rsidRPr="00286216">
              <w:rPr>
                <w:color w:val="000000" w:themeColor="text1"/>
              </w:rPr>
              <w:t>у пунктах 3 - 6 слова "строк погашення" замінити словами "строк до погашення";</w:t>
            </w:r>
          </w:p>
        </w:tc>
        <w:tc>
          <w:tcPr>
            <w:tcW w:w="3686" w:type="dxa"/>
          </w:tcPr>
          <w:p w14:paraId="57B9C9BF" w14:textId="77777777" w:rsidR="008A5602" w:rsidRPr="00286216" w:rsidRDefault="008A5602" w:rsidP="008A5602">
            <w:pPr>
              <w:pStyle w:val="StyleProp"/>
              <w:rPr>
                <w:color w:val="000000" w:themeColor="text1"/>
                <w:szCs w:val="18"/>
              </w:rPr>
            </w:pPr>
          </w:p>
        </w:tc>
        <w:tc>
          <w:tcPr>
            <w:tcW w:w="1987" w:type="dxa"/>
          </w:tcPr>
          <w:p w14:paraId="0D7D8D11"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24996F23" w14:textId="205D66C7" w:rsidR="008A5602" w:rsidRPr="00286216" w:rsidRDefault="008A5602" w:rsidP="008A5602">
            <w:pPr>
              <w:pStyle w:val="StyleZakonu"/>
              <w:rPr>
                <w:color w:val="000000" w:themeColor="text1"/>
              </w:rPr>
            </w:pPr>
            <w:r w:rsidRPr="00286216">
              <w:rPr>
                <w:color w:val="000000" w:themeColor="text1"/>
              </w:rPr>
              <w:t>у пунктах 3 - 6 слова "строк погашення" замінити словами "строк до погашення";</w:t>
            </w:r>
          </w:p>
        </w:tc>
      </w:tr>
      <w:tr w:rsidR="008A5602" w:rsidRPr="00286216" w14:paraId="0FC82327" w14:textId="77777777" w:rsidTr="00091AA5">
        <w:tc>
          <w:tcPr>
            <w:tcW w:w="576" w:type="dxa"/>
          </w:tcPr>
          <w:p w14:paraId="73120AE1" w14:textId="77777777" w:rsidR="008A5602" w:rsidRPr="00286216" w:rsidRDefault="008A5602" w:rsidP="008A5602">
            <w:pPr>
              <w:pStyle w:val="StyleWisnow"/>
              <w:rPr>
                <w:color w:val="000000" w:themeColor="text1"/>
              </w:rPr>
            </w:pPr>
            <w:bookmarkStart w:id="3509" w:name="n3639" w:colFirst="0" w:colLast="0"/>
            <w:bookmarkEnd w:id="3508"/>
            <w:r w:rsidRPr="00286216">
              <w:rPr>
                <w:color w:val="000000" w:themeColor="text1"/>
              </w:rPr>
              <w:t>3639.</w:t>
            </w:r>
          </w:p>
        </w:tc>
        <w:tc>
          <w:tcPr>
            <w:tcW w:w="4818" w:type="dxa"/>
          </w:tcPr>
          <w:p w14:paraId="1638451D" w14:textId="77777777" w:rsidR="008A5602" w:rsidRPr="00286216" w:rsidRDefault="008A5602" w:rsidP="008A5602">
            <w:pPr>
              <w:pStyle w:val="StyleZakonu"/>
              <w:rPr>
                <w:color w:val="000000" w:themeColor="text1"/>
              </w:rPr>
            </w:pPr>
            <w:r w:rsidRPr="00286216">
              <w:rPr>
                <w:color w:val="000000" w:themeColor="text1"/>
              </w:rPr>
              <w:t>у пункті 7 слова "облігації підприємств" замінити словами "корпоративні облігації", а слова "строк погашення" замінити словами "строк до погашення";</w:t>
            </w:r>
          </w:p>
        </w:tc>
        <w:tc>
          <w:tcPr>
            <w:tcW w:w="3686" w:type="dxa"/>
          </w:tcPr>
          <w:p w14:paraId="07C02841" w14:textId="77777777" w:rsidR="008A5602" w:rsidRPr="00286216" w:rsidRDefault="008A5602" w:rsidP="008A5602">
            <w:pPr>
              <w:pStyle w:val="StyleProp"/>
              <w:rPr>
                <w:color w:val="000000" w:themeColor="text1"/>
                <w:szCs w:val="18"/>
              </w:rPr>
            </w:pPr>
          </w:p>
        </w:tc>
        <w:tc>
          <w:tcPr>
            <w:tcW w:w="1987" w:type="dxa"/>
          </w:tcPr>
          <w:p w14:paraId="71D4FA5C"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129596D5" w14:textId="45088FAE" w:rsidR="008A5602" w:rsidRPr="00286216" w:rsidRDefault="008A5602" w:rsidP="008A5602">
            <w:pPr>
              <w:pStyle w:val="StyleZakonu"/>
              <w:rPr>
                <w:color w:val="000000" w:themeColor="text1"/>
              </w:rPr>
            </w:pPr>
            <w:r w:rsidRPr="00286216">
              <w:rPr>
                <w:color w:val="000000" w:themeColor="text1"/>
              </w:rPr>
              <w:t>у пункті 7 слова "облігації підприємств" замінити словами "корпоративні облігації", а слова "строк погашення" замінити словами "строк до погашення";</w:t>
            </w:r>
          </w:p>
        </w:tc>
      </w:tr>
      <w:tr w:rsidR="008A5602" w:rsidRPr="00286216" w14:paraId="3265D69C" w14:textId="77777777" w:rsidTr="00091AA5">
        <w:tc>
          <w:tcPr>
            <w:tcW w:w="576" w:type="dxa"/>
          </w:tcPr>
          <w:p w14:paraId="0BF9445F" w14:textId="77777777" w:rsidR="008A5602" w:rsidRPr="00286216" w:rsidRDefault="008A5602" w:rsidP="008A5602">
            <w:pPr>
              <w:pStyle w:val="StyleWisnow"/>
              <w:rPr>
                <w:color w:val="000000" w:themeColor="text1"/>
              </w:rPr>
            </w:pPr>
            <w:bookmarkStart w:id="3510" w:name="n3640" w:colFirst="0" w:colLast="0"/>
            <w:bookmarkEnd w:id="3509"/>
            <w:r w:rsidRPr="00286216">
              <w:rPr>
                <w:color w:val="000000" w:themeColor="text1"/>
              </w:rPr>
              <w:t>3640.</w:t>
            </w:r>
          </w:p>
        </w:tc>
        <w:tc>
          <w:tcPr>
            <w:tcW w:w="4818" w:type="dxa"/>
          </w:tcPr>
          <w:p w14:paraId="74C0A2A3" w14:textId="77777777" w:rsidR="008A5602" w:rsidRPr="00286216" w:rsidRDefault="008A5602" w:rsidP="008A5602">
            <w:pPr>
              <w:pStyle w:val="StyleZakonu"/>
              <w:rPr>
                <w:color w:val="000000" w:themeColor="text1"/>
              </w:rPr>
            </w:pPr>
            <w:r w:rsidRPr="00286216">
              <w:rPr>
                <w:color w:val="000000" w:themeColor="text1"/>
              </w:rPr>
              <w:t>пункт 8 викласти в такій редакції:</w:t>
            </w:r>
          </w:p>
        </w:tc>
        <w:tc>
          <w:tcPr>
            <w:tcW w:w="3686" w:type="dxa"/>
          </w:tcPr>
          <w:p w14:paraId="1D2C34EA" w14:textId="77777777" w:rsidR="008A5602" w:rsidRPr="00286216" w:rsidRDefault="008A5602" w:rsidP="008A5602">
            <w:pPr>
              <w:pStyle w:val="StyleProp"/>
              <w:rPr>
                <w:color w:val="000000" w:themeColor="text1"/>
                <w:szCs w:val="18"/>
              </w:rPr>
            </w:pPr>
          </w:p>
        </w:tc>
        <w:tc>
          <w:tcPr>
            <w:tcW w:w="1987" w:type="dxa"/>
          </w:tcPr>
          <w:p w14:paraId="43F6A57D" w14:textId="77777777" w:rsidR="008A5602" w:rsidRPr="00286216" w:rsidRDefault="008A5602" w:rsidP="008A5602">
            <w:pPr>
              <w:pStyle w:val="StyleWisnow"/>
              <w:spacing w:line="180" w:lineRule="exact"/>
              <w:rPr>
                <w:rFonts w:eastAsia="Calibri"/>
                <w:color w:val="000000" w:themeColor="text1"/>
              </w:rPr>
            </w:pPr>
          </w:p>
        </w:tc>
        <w:tc>
          <w:tcPr>
            <w:tcW w:w="4818" w:type="dxa"/>
          </w:tcPr>
          <w:p w14:paraId="683773E4" w14:textId="777DCF71" w:rsidR="008A5602" w:rsidRPr="00286216" w:rsidRDefault="008A5602" w:rsidP="008A5602">
            <w:pPr>
              <w:pStyle w:val="StyleZakonu"/>
              <w:rPr>
                <w:color w:val="000000" w:themeColor="text1"/>
              </w:rPr>
            </w:pPr>
            <w:r w:rsidRPr="00286216">
              <w:rPr>
                <w:color w:val="000000" w:themeColor="text1"/>
              </w:rPr>
              <w:t>пункт 8 викласти в такій редакції:</w:t>
            </w:r>
          </w:p>
        </w:tc>
      </w:tr>
      <w:tr w:rsidR="008A5602" w:rsidRPr="00286216" w14:paraId="6D944634" w14:textId="77777777" w:rsidTr="00091AA5">
        <w:tc>
          <w:tcPr>
            <w:tcW w:w="576" w:type="dxa"/>
          </w:tcPr>
          <w:p w14:paraId="07E6DDEA" w14:textId="77777777" w:rsidR="008A5602" w:rsidRPr="00286216" w:rsidRDefault="008A5602" w:rsidP="008A5602">
            <w:pPr>
              <w:pStyle w:val="StyleWisnow"/>
              <w:rPr>
                <w:color w:val="000000" w:themeColor="text1"/>
              </w:rPr>
            </w:pPr>
            <w:bookmarkStart w:id="3511" w:name="n3641" w:colFirst="0" w:colLast="0"/>
            <w:bookmarkEnd w:id="3510"/>
            <w:r w:rsidRPr="00286216">
              <w:rPr>
                <w:color w:val="000000" w:themeColor="text1"/>
              </w:rPr>
              <w:t>3641.</w:t>
            </w:r>
          </w:p>
        </w:tc>
        <w:tc>
          <w:tcPr>
            <w:tcW w:w="4818" w:type="dxa"/>
          </w:tcPr>
          <w:p w14:paraId="3EDC192C" w14:textId="77777777" w:rsidR="008A5602" w:rsidRPr="00286216" w:rsidRDefault="008A5602" w:rsidP="008A5602">
            <w:pPr>
              <w:pStyle w:val="StyleZakonu"/>
              <w:rPr>
                <w:color w:val="000000" w:themeColor="text1"/>
              </w:rPr>
            </w:pPr>
            <w:r w:rsidRPr="00286216">
              <w:rPr>
                <w:color w:val="000000" w:themeColor="text1"/>
              </w:rPr>
              <w:t>"8) деривативні (похідні) фінансові інструменти, базовим активом яких є активи, зазначені у пунктах 1 - 7 цієї частини, та/або базовим показником яких є ціна (курс) таких активів або індекс, що розраховується виходячи з ціни (курсу) таких активів.";</w:t>
            </w:r>
          </w:p>
        </w:tc>
        <w:tc>
          <w:tcPr>
            <w:tcW w:w="3686" w:type="dxa"/>
          </w:tcPr>
          <w:p w14:paraId="1CBE8B8C" w14:textId="1708CFC8"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1469</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54FC362D" w14:textId="77777777" w:rsidR="008A5602" w:rsidRPr="00286216" w:rsidRDefault="008A5602" w:rsidP="008A5602">
            <w:pPr>
              <w:spacing w:line="200" w:lineRule="exact"/>
              <w:ind w:firstLine="227"/>
              <w:jc w:val="both"/>
              <w:rPr>
                <w:color w:val="000000" w:themeColor="text1"/>
                <w:szCs w:val="18"/>
              </w:rPr>
            </w:pPr>
            <w:r w:rsidRPr="00286216">
              <w:rPr>
                <w:color w:val="000000" w:themeColor="text1"/>
                <w:sz w:val="18"/>
              </w:rPr>
              <w:t>У абзаці 8 підпункту «в» підпункту 8 пункту 43 Розділу 3 Законопроекту, яким вносяться зміни до пункту 8 частини п’ятої статті 48 Закону України «Про інститути спільного інвестування» слово та символи «(похідні)» виключити.</w:t>
            </w:r>
          </w:p>
        </w:tc>
        <w:tc>
          <w:tcPr>
            <w:tcW w:w="1987" w:type="dxa"/>
          </w:tcPr>
          <w:p w14:paraId="6AB73EA7" w14:textId="0005CC51"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12EB7280" w14:textId="1E3E2E99" w:rsidR="008A5602" w:rsidRPr="00286216" w:rsidRDefault="008A5602" w:rsidP="008A5602">
            <w:pPr>
              <w:pStyle w:val="StyleZakonu"/>
              <w:rPr>
                <w:color w:val="000000" w:themeColor="text1"/>
              </w:rPr>
            </w:pPr>
            <w:r w:rsidRPr="00286216">
              <w:rPr>
                <w:color w:val="000000" w:themeColor="text1"/>
              </w:rPr>
              <w:t>"8) деривативні контракти, базовим активом яких є активи, зазначені у пунктах 1 - 7 цієї частини, та/або базовим показником яких є ціна (курс) таких активів або індекс, що розраховується виходячи з ціни (курсу) таких активів";</w:t>
            </w:r>
          </w:p>
        </w:tc>
      </w:tr>
      <w:tr w:rsidR="008A5602" w:rsidRPr="00286216" w14:paraId="129AEF57" w14:textId="77777777" w:rsidTr="00091AA5">
        <w:tc>
          <w:tcPr>
            <w:tcW w:w="576" w:type="dxa"/>
          </w:tcPr>
          <w:p w14:paraId="6C563173" w14:textId="77777777" w:rsidR="008A5602" w:rsidRPr="00286216" w:rsidRDefault="008A5602" w:rsidP="008A5602">
            <w:pPr>
              <w:pStyle w:val="StyleWisnow"/>
              <w:rPr>
                <w:color w:val="000000" w:themeColor="text1"/>
              </w:rPr>
            </w:pPr>
            <w:bookmarkStart w:id="3512" w:name="n3642" w:colFirst="0" w:colLast="0"/>
            <w:bookmarkEnd w:id="3511"/>
            <w:r w:rsidRPr="00286216">
              <w:rPr>
                <w:color w:val="000000" w:themeColor="text1"/>
              </w:rPr>
              <w:t>3642.</w:t>
            </w:r>
          </w:p>
        </w:tc>
        <w:tc>
          <w:tcPr>
            <w:tcW w:w="4818" w:type="dxa"/>
          </w:tcPr>
          <w:p w14:paraId="41B3ECA8" w14:textId="77777777" w:rsidR="008A5602" w:rsidRPr="00286216" w:rsidRDefault="008A5602" w:rsidP="008A5602">
            <w:pPr>
              <w:pStyle w:val="StyleZakonu"/>
              <w:rPr>
                <w:color w:val="000000" w:themeColor="text1"/>
              </w:rPr>
            </w:pPr>
            <w:r w:rsidRPr="00286216">
              <w:rPr>
                <w:color w:val="000000" w:themeColor="text1"/>
              </w:rPr>
              <w:t>у пункті 1 частини шостої слова "облігацій підприємств" замінити словами "корпоративних облігацій";</w:t>
            </w:r>
          </w:p>
        </w:tc>
        <w:tc>
          <w:tcPr>
            <w:tcW w:w="3686" w:type="dxa"/>
          </w:tcPr>
          <w:p w14:paraId="2E8AC7D1" w14:textId="77777777" w:rsidR="008A5602" w:rsidRPr="00286216" w:rsidRDefault="008A5602" w:rsidP="008A5602">
            <w:pPr>
              <w:pStyle w:val="StyleProp"/>
              <w:rPr>
                <w:color w:val="000000" w:themeColor="text1"/>
                <w:szCs w:val="18"/>
              </w:rPr>
            </w:pPr>
          </w:p>
        </w:tc>
        <w:tc>
          <w:tcPr>
            <w:tcW w:w="1987" w:type="dxa"/>
          </w:tcPr>
          <w:p w14:paraId="1D206E27" w14:textId="77777777" w:rsidR="008A5602" w:rsidRPr="00286216" w:rsidRDefault="008A5602" w:rsidP="008A5602">
            <w:pPr>
              <w:pStyle w:val="StyleWisnow"/>
              <w:rPr>
                <w:color w:val="000000" w:themeColor="text1"/>
              </w:rPr>
            </w:pPr>
          </w:p>
        </w:tc>
        <w:tc>
          <w:tcPr>
            <w:tcW w:w="4818" w:type="dxa"/>
          </w:tcPr>
          <w:p w14:paraId="002E7DC0" w14:textId="3E53ADC6" w:rsidR="008A5602" w:rsidRPr="00286216" w:rsidRDefault="008A5602" w:rsidP="008A5602">
            <w:pPr>
              <w:pStyle w:val="StyleZakonu"/>
              <w:rPr>
                <w:color w:val="000000" w:themeColor="text1"/>
              </w:rPr>
            </w:pPr>
            <w:r w:rsidRPr="00286216">
              <w:rPr>
                <w:color w:val="000000" w:themeColor="text1"/>
              </w:rPr>
              <w:t>г) у пункті 1 частини шостої слова "облігацій підприємств" замінити словами "корпоративних облігацій";</w:t>
            </w:r>
          </w:p>
        </w:tc>
      </w:tr>
      <w:tr w:rsidR="008A5602" w:rsidRPr="00286216" w14:paraId="0FE00000" w14:textId="77777777" w:rsidTr="00091AA5">
        <w:tc>
          <w:tcPr>
            <w:tcW w:w="576" w:type="dxa"/>
          </w:tcPr>
          <w:p w14:paraId="5CDCA61C" w14:textId="77777777" w:rsidR="008A5602" w:rsidRPr="00286216" w:rsidRDefault="008A5602" w:rsidP="008A5602">
            <w:pPr>
              <w:pStyle w:val="StyleWisnow"/>
              <w:rPr>
                <w:color w:val="000000" w:themeColor="text1"/>
              </w:rPr>
            </w:pPr>
            <w:bookmarkStart w:id="3513" w:name="n3643" w:colFirst="0" w:colLast="0"/>
            <w:bookmarkEnd w:id="3512"/>
            <w:r w:rsidRPr="00286216">
              <w:rPr>
                <w:color w:val="000000" w:themeColor="text1"/>
              </w:rPr>
              <w:t>3643.</w:t>
            </w:r>
          </w:p>
        </w:tc>
        <w:tc>
          <w:tcPr>
            <w:tcW w:w="4818" w:type="dxa"/>
          </w:tcPr>
          <w:p w14:paraId="17DD6FA6" w14:textId="77777777" w:rsidR="008A5602" w:rsidRPr="00286216" w:rsidRDefault="008A5602" w:rsidP="008A5602">
            <w:pPr>
              <w:pStyle w:val="StyleZakonu"/>
              <w:rPr>
                <w:color w:val="000000" w:themeColor="text1"/>
              </w:rPr>
            </w:pPr>
            <w:r w:rsidRPr="00286216">
              <w:rPr>
                <w:color w:val="000000" w:themeColor="text1"/>
              </w:rPr>
              <w:t>г) у частині сьомій:</w:t>
            </w:r>
          </w:p>
        </w:tc>
        <w:tc>
          <w:tcPr>
            <w:tcW w:w="3686" w:type="dxa"/>
          </w:tcPr>
          <w:p w14:paraId="2510F971" w14:textId="77777777" w:rsidR="008A5602" w:rsidRPr="00286216" w:rsidRDefault="008A5602" w:rsidP="008A5602">
            <w:pPr>
              <w:pStyle w:val="StyleProp"/>
              <w:rPr>
                <w:color w:val="000000" w:themeColor="text1"/>
                <w:szCs w:val="18"/>
              </w:rPr>
            </w:pPr>
          </w:p>
        </w:tc>
        <w:tc>
          <w:tcPr>
            <w:tcW w:w="1987" w:type="dxa"/>
          </w:tcPr>
          <w:p w14:paraId="173E1821" w14:textId="77777777" w:rsidR="008A5602" w:rsidRPr="00286216" w:rsidRDefault="008A5602" w:rsidP="008A5602">
            <w:pPr>
              <w:pStyle w:val="StyleWisnow"/>
              <w:rPr>
                <w:color w:val="000000" w:themeColor="text1"/>
              </w:rPr>
            </w:pPr>
          </w:p>
        </w:tc>
        <w:tc>
          <w:tcPr>
            <w:tcW w:w="4818" w:type="dxa"/>
          </w:tcPr>
          <w:p w14:paraId="443066AE" w14:textId="528E5376" w:rsidR="008A5602" w:rsidRPr="00286216" w:rsidRDefault="008A5602" w:rsidP="008A5602">
            <w:pPr>
              <w:pStyle w:val="StyleZakonu"/>
              <w:rPr>
                <w:color w:val="000000" w:themeColor="text1"/>
              </w:rPr>
            </w:pPr>
            <w:r w:rsidRPr="00286216">
              <w:rPr>
                <w:color w:val="000000" w:themeColor="text1"/>
              </w:rPr>
              <w:t xml:space="preserve"> ґ) у частині сьомій:</w:t>
            </w:r>
          </w:p>
        </w:tc>
      </w:tr>
      <w:tr w:rsidR="008A5602" w:rsidRPr="00286216" w14:paraId="39C7BDB4" w14:textId="77777777" w:rsidTr="00091AA5">
        <w:tc>
          <w:tcPr>
            <w:tcW w:w="576" w:type="dxa"/>
          </w:tcPr>
          <w:p w14:paraId="1F6CAADC" w14:textId="77777777" w:rsidR="008A5602" w:rsidRPr="00286216" w:rsidRDefault="008A5602" w:rsidP="008A5602">
            <w:pPr>
              <w:pStyle w:val="StyleWisnow"/>
              <w:rPr>
                <w:color w:val="000000" w:themeColor="text1"/>
              </w:rPr>
            </w:pPr>
            <w:bookmarkStart w:id="3514" w:name="n3644" w:colFirst="0" w:colLast="0"/>
            <w:bookmarkEnd w:id="3513"/>
            <w:r w:rsidRPr="00286216">
              <w:rPr>
                <w:color w:val="000000" w:themeColor="text1"/>
              </w:rPr>
              <w:t>3644.</w:t>
            </w:r>
          </w:p>
        </w:tc>
        <w:tc>
          <w:tcPr>
            <w:tcW w:w="4818" w:type="dxa"/>
          </w:tcPr>
          <w:p w14:paraId="26E38FDE" w14:textId="77777777" w:rsidR="008A5602" w:rsidRPr="00286216" w:rsidRDefault="008A5602" w:rsidP="008A5602">
            <w:pPr>
              <w:pStyle w:val="StyleZakonu"/>
              <w:rPr>
                <w:color w:val="000000" w:themeColor="text1"/>
              </w:rPr>
            </w:pPr>
            <w:r w:rsidRPr="00286216">
              <w:rPr>
                <w:color w:val="000000" w:themeColor="text1"/>
              </w:rPr>
              <w:t>пункт 2 після слів "державних облігацій України" доповнити словами "та облігацій міжнародних фінансових організацій, що розміщуються на території України";</w:t>
            </w:r>
          </w:p>
        </w:tc>
        <w:tc>
          <w:tcPr>
            <w:tcW w:w="3686" w:type="dxa"/>
          </w:tcPr>
          <w:p w14:paraId="0312F83E" w14:textId="77777777" w:rsidR="008A5602" w:rsidRPr="00286216" w:rsidRDefault="008A5602" w:rsidP="008A5602">
            <w:pPr>
              <w:pStyle w:val="StyleProp"/>
              <w:rPr>
                <w:color w:val="000000" w:themeColor="text1"/>
                <w:szCs w:val="18"/>
              </w:rPr>
            </w:pPr>
          </w:p>
        </w:tc>
        <w:tc>
          <w:tcPr>
            <w:tcW w:w="1987" w:type="dxa"/>
          </w:tcPr>
          <w:p w14:paraId="09CA05AB" w14:textId="77777777" w:rsidR="008A5602" w:rsidRPr="00286216" w:rsidRDefault="008A5602" w:rsidP="008A5602">
            <w:pPr>
              <w:pStyle w:val="StyleWisnow"/>
              <w:rPr>
                <w:color w:val="000000" w:themeColor="text1"/>
              </w:rPr>
            </w:pPr>
          </w:p>
        </w:tc>
        <w:tc>
          <w:tcPr>
            <w:tcW w:w="4818" w:type="dxa"/>
          </w:tcPr>
          <w:p w14:paraId="26482BDE" w14:textId="6F9A9831" w:rsidR="008A5602" w:rsidRPr="00286216" w:rsidRDefault="008A5602" w:rsidP="008A5602">
            <w:pPr>
              <w:pStyle w:val="StyleZakonu"/>
              <w:rPr>
                <w:color w:val="000000" w:themeColor="text1"/>
              </w:rPr>
            </w:pPr>
            <w:r w:rsidRPr="00286216">
              <w:rPr>
                <w:color w:val="000000" w:themeColor="text1"/>
              </w:rPr>
              <w:t>пункт 2 після слів "державних облігацій України" доповнити словами "та облігацій міжнародних фінансових організацій, що розміщуються на території України";</w:t>
            </w:r>
          </w:p>
        </w:tc>
      </w:tr>
      <w:tr w:rsidR="008A5602" w:rsidRPr="00286216" w14:paraId="6FD31E93" w14:textId="77777777" w:rsidTr="00091AA5">
        <w:tc>
          <w:tcPr>
            <w:tcW w:w="576" w:type="dxa"/>
          </w:tcPr>
          <w:p w14:paraId="3EC579B8" w14:textId="77777777" w:rsidR="008A5602" w:rsidRPr="00286216" w:rsidRDefault="008A5602" w:rsidP="008A5602">
            <w:pPr>
              <w:pStyle w:val="StyleWisnow"/>
              <w:rPr>
                <w:color w:val="000000" w:themeColor="text1"/>
              </w:rPr>
            </w:pPr>
            <w:bookmarkStart w:id="3515" w:name="n3645" w:colFirst="0" w:colLast="0"/>
            <w:bookmarkEnd w:id="3514"/>
            <w:r w:rsidRPr="00286216">
              <w:rPr>
                <w:color w:val="000000" w:themeColor="text1"/>
              </w:rPr>
              <w:t>3645.</w:t>
            </w:r>
          </w:p>
        </w:tc>
        <w:tc>
          <w:tcPr>
            <w:tcW w:w="4818" w:type="dxa"/>
          </w:tcPr>
          <w:p w14:paraId="38DB6967" w14:textId="77777777" w:rsidR="008A5602" w:rsidRPr="00286216" w:rsidRDefault="008A5602" w:rsidP="008A5602">
            <w:pPr>
              <w:pStyle w:val="StyleZakonu"/>
              <w:rPr>
                <w:color w:val="000000" w:themeColor="text1"/>
              </w:rPr>
            </w:pPr>
            <w:r w:rsidRPr="00286216">
              <w:rPr>
                <w:color w:val="000000" w:themeColor="text1"/>
              </w:rPr>
              <w:t>у пункті 4 слова "облігації підприємств" замінити словами "корпоративні облігації";</w:t>
            </w:r>
          </w:p>
        </w:tc>
        <w:tc>
          <w:tcPr>
            <w:tcW w:w="3686" w:type="dxa"/>
          </w:tcPr>
          <w:p w14:paraId="54675AED" w14:textId="77777777" w:rsidR="008A5602" w:rsidRPr="00286216" w:rsidRDefault="008A5602" w:rsidP="008A5602">
            <w:pPr>
              <w:pStyle w:val="StyleProp"/>
              <w:rPr>
                <w:color w:val="000000" w:themeColor="text1"/>
                <w:szCs w:val="18"/>
              </w:rPr>
            </w:pPr>
          </w:p>
        </w:tc>
        <w:tc>
          <w:tcPr>
            <w:tcW w:w="1987" w:type="dxa"/>
          </w:tcPr>
          <w:p w14:paraId="1C180D04" w14:textId="77777777" w:rsidR="008A5602" w:rsidRPr="00286216" w:rsidRDefault="008A5602" w:rsidP="008A5602">
            <w:pPr>
              <w:pStyle w:val="StyleWisnow"/>
              <w:rPr>
                <w:color w:val="000000" w:themeColor="text1"/>
              </w:rPr>
            </w:pPr>
          </w:p>
        </w:tc>
        <w:tc>
          <w:tcPr>
            <w:tcW w:w="4818" w:type="dxa"/>
          </w:tcPr>
          <w:p w14:paraId="61B820E7" w14:textId="1FC4376D" w:rsidR="008A5602" w:rsidRPr="00286216" w:rsidRDefault="008A5602" w:rsidP="008A5602">
            <w:pPr>
              <w:pStyle w:val="StyleZakonu"/>
              <w:rPr>
                <w:color w:val="000000" w:themeColor="text1"/>
              </w:rPr>
            </w:pPr>
            <w:r w:rsidRPr="00286216">
              <w:rPr>
                <w:color w:val="000000" w:themeColor="text1"/>
              </w:rPr>
              <w:t>у пункті 4 слова "облігації підприємств" замінити словами "корпоративні облігації";</w:t>
            </w:r>
          </w:p>
        </w:tc>
      </w:tr>
      <w:tr w:rsidR="008A5602" w:rsidRPr="00286216" w14:paraId="51891F9D" w14:textId="77777777" w:rsidTr="00091AA5">
        <w:tc>
          <w:tcPr>
            <w:tcW w:w="576" w:type="dxa"/>
          </w:tcPr>
          <w:p w14:paraId="1148D362" w14:textId="77777777" w:rsidR="008A5602" w:rsidRPr="00286216" w:rsidRDefault="008A5602" w:rsidP="008A5602">
            <w:pPr>
              <w:pStyle w:val="StyleWisnow"/>
              <w:rPr>
                <w:color w:val="000000" w:themeColor="text1"/>
              </w:rPr>
            </w:pPr>
            <w:bookmarkStart w:id="3516" w:name="n3646" w:colFirst="0" w:colLast="0"/>
            <w:bookmarkEnd w:id="3515"/>
            <w:r w:rsidRPr="00286216">
              <w:rPr>
                <w:color w:val="000000" w:themeColor="text1"/>
              </w:rPr>
              <w:lastRenderedPageBreak/>
              <w:t>3646.</w:t>
            </w:r>
          </w:p>
        </w:tc>
        <w:tc>
          <w:tcPr>
            <w:tcW w:w="4818" w:type="dxa"/>
          </w:tcPr>
          <w:p w14:paraId="31E21252" w14:textId="77777777" w:rsidR="008A5602" w:rsidRPr="00286216" w:rsidRDefault="008A5602" w:rsidP="008A5602">
            <w:pPr>
              <w:pStyle w:val="StyleZakonu"/>
              <w:rPr>
                <w:color w:val="000000" w:themeColor="text1"/>
              </w:rPr>
            </w:pPr>
            <w:r w:rsidRPr="00286216">
              <w:rPr>
                <w:color w:val="000000" w:themeColor="text1"/>
              </w:rPr>
              <w:t>ґ) у частині восьмій:</w:t>
            </w:r>
          </w:p>
        </w:tc>
        <w:tc>
          <w:tcPr>
            <w:tcW w:w="3686" w:type="dxa"/>
          </w:tcPr>
          <w:p w14:paraId="48E5A4B6" w14:textId="77777777" w:rsidR="008A5602" w:rsidRPr="00286216" w:rsidRDefault="008A5602" w:rsidP="008A5602">
            <w:pPr>
              <w:pStyle w:val="StyleProp"/>
              <w:rPr>
                <w:color w:val="000000" w:themeColor="text1"/>
                <w:szCs w:val="18"/>
              </w:rPr>
            </w:pPr>
          </w:p>
        </w:tc>
        <w:tc>
          <w:tcPr>
            <w:tcW w:w="1987" w:type="dxa"/>
          </w:tcPr>
          <w:p w14:paraId="2CECBA8D" w14:textId="77777777" w:rsidR="008A5602" w:rsidRPr="00286216" w:rsidRDefault="008A5602" w:rsidP="008A5602">
            <w:pPr>
              <w:pStyle w:val="StyleWisnow"/>
              <w:rPr>
                <w:color w:val="000000" w:themeColor="text1"/>
              </w:rPr>
            </w:pPr>
          </w:p>
        </w:tc>
        <w:tc>
          <w:tcPr>
            <w:tcW w:w="4818" w:type="dxa"/>
          </w:tcPr>
          <w:p w14:paraId="10BD844C" w14:textId="3924B254" w:rsidR="008A5602" w:rsidRPr="00286216" w:rsidRDefault="008A5602" w:rsidP="008A5602">
            <w:pPr>
              <w:pStyle w:val="StyleZakonu"/>
              <w:rPr>
                <w:color w:val="000000" w:themeColor="text1"/>
              </w:rPr>
            </w:pPr>
            <w:r w:rsidRPr="00286216">
              <w:rPr>
                <w:color w:val="000000" w:themeColor="text1"/>
              </w:rPr>
              <w:t xml:space="preserve"> д) у частині восьмій:</w:t>
            </w:r>
          </w:p>
        </w:tc>
      </w:tr>
      <w:tr w:rsidR="008A5602" w:rsidRPr="00286216" w14:paraId="01DAA7B8" w14:textId="77777777" w:rsidTr="00091AA5">
        <w:tc>
          <w:tcPr>
            <w:tcW w:w="576" w:type="dxa"/>
          </w:tcPr>
          <w:p w14:paraId="148EB93B" w14:textId="77777777" w:rsidR="008A5602" w:rsidRPr="00286216" w:rsidRDefault="008A5602" w:rsidP="008A5602">
            <w:pPr>
              <w:pStyle w:val="StyleWisnow"/>
              <w:rPr>
                <w:color w:val="000000" w:themeColor="text1"/>
              </w:rPr>
            </w:pPr>
            <w:bookmarkStart w:id="3517" w:name="n3647" w:colFirst="0" w:colLast="0"/>
            <w:bookmarkEnd w:id="3516"/>
            <w:r w:rsidRPr="00286216">
              <w:rPr>
                <w:color w:val="000000" w:themeColor="text1"/>
              </w:rPr>
              <w:t>3647.</w:t>
            </w:r>
          </w:p>
        </w:tc>
        <w:tc>
          <w:tcPr>
            <w:tcW w:w="4818" w:type="dxa"/>
          </w:tcPr>
          <w:p w14:paraId="4264D530" w14:textId="77777777" w:rsidR="008A5602" w:rsidRPr="00286216" w:rsidRDefault="008A5602" w:rsidP="008A5602">
            <w:pPr>
              <w:pStyle w:val="StyleZakonu"/>
              <w:rPr>
                <w:color w:val="000000" w:themeColor="text1"/>
              </w:rPr>
            </w:pPr>
            <w:r w:rsidRPr="00286216">
              <w:rPr>
                <w:color w:val="000000" w:themeColor="text1"/>
              </w:rPr>
              <w:t>пункт третій викласти в такій редакції:</w:t>
            </w:r>
          </w:p>
        </w:tc>
        <w:tc>
          <w:tcPr>
            <w:tcW w:w="3686" w:type="dxa"/>
          </w:tcPr>
          <w:p w14:paraId="31537A97" w14:textId="77777777" w:rsidR="008A5602" w:rsidRPr="00286216" w:rsidRDefault="008A5602" w:rsidP="008A5602">
            <w:pPr>
              <w:pStyle w:val="StyleProp"/>
              <w:rPr>
                <w:color w:val="000000" w:themeColor="text1"/>
                <w:szCs w:val="18"/>
              </w:rPr>
            </w:pPr>
          </w:p>
        </w:tc>
        <w:tc>
          <w:tcPr>
            <w:tcW w:w="1987" w:type="dxa"/>
          </w:tcPr>
          <w:p w14:paraId="6A92B8C3" w14:textId="77777777" w:rsidR="008A5602" w:rsidRPr="00286216" w:rsidRDefault="008A5602" w:rsidP="008A5602">
            <w:pPr>
              <w:pStyle w:val="StyleWisnow"/>
              <w:rPr>
                <w:color w:val="000000" w:themeColor="text1"/>
              </w:rPr>
            </w:pPr>
          </w:p>
        </w:tc>
        <w:tc>
          <w:tcPr>
            <w:tcW w:w="4818" w:type="dxa"/>
          </w:tcPr>
          <w:p w14:paraId="19C6FCBD" w14:textId="4FDA1FE6" w:rsidR="008A5602" w:rsidRPr="00286216" w:rsidRDefault="008A5602" w:rsidP="008A5602">
            <w:pPr>
              <w:pStyle w:val="StyleZakonu"/>
              <w:rPr>
                <w:color w:val="000000" w:themeColor="text1"/>
              </w:rPr>
            </w:pPr>
            <w:r w:rsidRPr="00286216">
              <w:rPr>
                <w:color w:val="000000" w:themeColor="text1"/>
              </w:rPr>
              <w:t>пункти  3 і 9 викласти в такій редакції:</w:t>
            </w:r>
          </w:p>
        </w:tc>
      </w:tr>
      <w:tr w:rsidR="008A5602" w:rsidRPr="00286216" w14:paraId="1B3C6229" w14:textId="77777777" w:rsidTr="00091AA5">
        <w:tc>
          <w:tcPr>
            <w:tcW w:w="576" w:type="dxa"/>
          </w:tcPr>
          <w:p w14:paraId="3C60F524" w14:textId="77777777" w:rsidR="008A5602" w:rsidRPr="00286216" w:rsidRDefault="008A5602" w:rsidP="008A5602">
            <w:pPr>
              <w:pStyle w:val="StyleWisnow"/>
              <w:rPr>
                <w:color w:val="000000" w:themeColor="text1"/>
              </w:rPr>
            </w:pPr>
            <w:bookmarkStart w:id="3518" w:name="n3648" w:colFirst="0" w:colLast="0"/>
            <w:bookmarkEnd w:id="3517"/>
            <w:r w:rsidRPr="00286216">
              <w:rPr>
                <w:color w:val="000000" w:themeColor="text1"/>
              </w:rPr>
              <w:t>3648.</w:t>
            </w:r>
          </w:p>
        </w:tc>
        <w:tc>
          <w:tcPr>
            <w:tcW w:w="4818" w:type="dxa"/>
          </w:tcPr>
          <w:p w14:paraId="6EA941DD" w14:textId="77777777" w:rsidR="008A5602" w:rsidRPr="00286216" w:rsidRDefault="008A5602" w:rsidP="008A5602">
            <w:pPr>
              <w:pStyle w:val="StyleZakonu"/>
              <w:rPr>
                <w:color w:val="000000" w:themeColor="text1"/>
              </w:rPr>
            </w:pPr>
            <w:r w:rsidRPr="00286216">
              <w:rPr>
                <w:color w:val="000000" w:themeColor="text1"/>
              </w:rPr>
              <w:t>"3) ощадні сертифікати державного банку України, депозитні сертифікату державного банків України; ";</w:t>
            </w:r>
          </w:p>
        </w:tc>
        <w:tc>
          <w:tcPr>
            <w:tcW w:w="3686" w:type="dxa"/>
          </w:tcPr>
          <w:p w14:paraId="6E50BFAE" w14:textId="77777777" w:rsidR="008A5602" w:rsidRPr="00286216" w:rsidRDefault="008A5602" w:rsidP="008A5602">
            <w:pPr>
              <w:pStyle w:val="StyleProp"/>
              <w:rPr>
                <w:color w:val="000000" w:themeColor="text1"/>
                <w:szCs w:val="18"/>
              </w:rPr>
            </w:pPr>
          </w:p>
        </w:tc>
        <w:tc>
          <w:tcPr>
            <w:tcW w:w="1987" w:type="dxa"/>
          </w:tcPr>
          <w:p w14:paraId="2AD674EB" w14:textId="77777777" w:rsidR="008A5602" w:rsidRPr="00286216" w:rsidRDefault="008A5602" w:rsidP="008A5602">
            <w:pPr>
              <w:pStyle w:val="StyleWisnow"/>
              <w:rPr>
                <w:color w:val="000000" w:themeColor="text1"/>
              </w:rPr>
            </w:pPr>
          </w:p>
        </w:tc>
        <w:tc>
          <w:tcPr>
            <w:tcW w:w="4818" w:type="dxa"/>
          </w:tcPr>
          <w:p w14:paraId="005014D8" w14:textId="7E069D28" w:rsidR="008A5602" w:rsidRPr="00286216" w:rsidRDefault="008A5602" w:rsidP="008A5602">
            <w:pPr>
              <w:pStyle w:val="StyleZakonu"/>
              <w:rPr>
                <w:color w:val="000000" w:themeColor="text1"/>
              </w:rPr>
            </w:pPr>
            <w:r w:rsidRPr="00286216">
              <w:rPr>
                <w:color w:val="000000" w:themeColor="text1"/>
              </w:rPr>
              <w:t>"3) ощадні сертифікати державного банку України, депозитні сертифікату державного банків України";</w:t>
            </w:r>
          </w:p>
        </w:tc>
      </w:tr>
      <w:tr w:rsidR="008A5602" w:rsidRPr="00286216" w14:paraId="301DECFA" w14:textId="77777777" w:rsidTr="00091AA5">
        <w:tc>
          <w:tcPr>
            <w:tcW w:w="576" w:type="dxa"/>
          </w:tcPr>
          <w:p w14:paraId="768E8181" w14:textId="77777777" w:rsidR="008A5602" w:rsidRPr="00286216" w:rsidRDefault="008A5602" w:rsidP="008A5602">
            <w:pPr>
              <w:pStyle w:val="StyleWisnow"/>
              <w:rPr>
                <w:color w:val="000000" w:themeColor="text1"/>
              </w:rPr>
            </w:pPr>
            <w:bookmarkStart w:id="3519" w:name="n3649" w:colFirst="0" w:colLast="0"/>
            <w:bookmarkEnd w:id="3518"/>
            <w:r w:rsidRPr="00286216">
              <w:rPr>
                <w:color w:val="000000" w:themeColor="text1"/>
              </w:rPr>
              <w:t>3649.</w:t>
            </w:r>
          </w:p>
        </w:tc>
        <w:tc>
          <w:tcPr>
            <w:tcW w:w="4818" w:type="dxa"/>
          </w:tcPr>
          <w:p w14:paraId="540B2C72" w14:textId="77777777" w:rsidR="008A5602" w:rsidRPr="00286216" w:rsidRDefault="008A5602" w:rsidP="008A5602">
            <w:pPr>
              <w:pStyle w:val="StyleZakonu"/>
              <w:rPr>
                <w:color w:val="000000" w:themeColor="text1"/>
              </w:rPr>
            </w:pPr>
            <w:r w:rsidRPr="00286216">
              <w:rPr>
                <w:color w:val="000000" w:themeColor="text1"/>
              </w:rPr>
              <w:t>пункт дев’ятий викласти в такій редакції:</w:t>
            </w:r>
          </w:p>
        </w:tc>
        <w:tc>
          <w:tcPr>
            <w:tcW w:w="3686" w:type="dxa"/>
          </w:tcPr>
          <w:p w14:paraId="4BB4F18C" w14:textId="77777777" w:rsidR="008A5602" w:rsidRPr="00286216" w:rsidRDefault="008A5602" w:rsidP="008A5602">
            <w:pPr>
              <w:pStyle w:val="StyleProp"/>
              <w:rPr>
                <w:color w:val="000000" w:themeColor="text1"/>
                <w:szCs w:val="18"/>
              </w:rPr>
            </w:pPr>
          </w:p>
        </w:tc>
        <w:tc>
          <w:tcPr>
            <w:tcW w:w="1987" w:type="dxa"/>
          </w:tcPr>
          <w:p w14:paraId="77A3636B" w14:textId="77777777" w:rsidR="008A5602" w:rsidRPr="00286216" w:rsidRDefault="008A5602" w:rsidP="008A5602">
            <w:pPr>
              <w:pStyle w:val="StyleWisnow"/>
              <w:rPr>
                <w:color w:val="000000" w:themeColor="text1"/>
              </w:rPr>
            </w:pPr>
          </w:p>
        </w:tc>
        <w:tc>
          <w:tcPr>
            <w:tcW w:w="4818" w:type="dxa"/>
          </w:tcPr>
          <w:p w14:paraId="5229FEB9" w14:textId="3B170675" w:rsidR="008A5602" w:rsidRPr="00286216" w:rsidRDefault="008A5602" w:rsidP="008A5602">
            <w:pPr>
              <w:pStyle w:val="StyleZakonu"/>
              <w:rPr>
                <w:color w:val="000000" w:themeColor="text1"/>
              </w:rPr>
            </w:pPr>
          </w:p>
        </w:tc>
      </w:tr>
      <w:tr w:rsidR="008A5602" w:rsidRPr="00286216" w14:paraId="55E5835F" w14:textId="77777777" w:rsidTr="00091AA5">
        <w:tc>
          <w:tcPr>
            <w:tcW w:w="576" w:type="dxa"/>
          </w:tcPr>
          <w:p w14:paraId="071910A2" w14:textId="77777777" w:rsidR="008A5602" w:rsidRPr="00286216" w:rsidRDefault="008A5602" w:rsidP="008A5602">
            <w:pPr>
              <w:pStyle w:val="StyleWisnow"/>
              <w:rPr>
                <w:color w:val="000000" w:themeColor="text1"/>
              </w:rPr>
            </w:pPr>
            <w:bookmarkStart w:id="3520" w:name="n3650" w:colFirst="0" w:colLast="0"/>
            <w:bookmarkEnd w:id="3519"/>
            <w:r w:rsidRPr="00286216">
              <w:rPr>
                <w:color w:val="000000" w:themeColor="text1"/>
              </w:rPr>
              <w:t>3650.</w:t>
            </w:r>
          </w:p>
        </w:tc>
        <w:tc>
          <w:tcPr>
            <w:tcW w:w="4818" w:type="dxa"/>
          </w:tcPr>
          <w:p w14:paraId="679FDA36" w14:textId="77777777" w:rsidR="008A5602" w:rsidRPr="00286216" w:rsidRDefault="008A5602" w:rsidP="008A5602">
            <w:pPr>
              <w:pStyle w:val="StyleZakonu"/>
              <w:rPr>
                <w:color w:val="000000" w:themeColor="text1"/>
              </w:rPr>
            </w:pPr>
            <w:r w:rsidRPr="00286216">
              <w:rPr>
                <w:color w:val="000000" w:themeColor="text1"/>
              </w:rPr>
              <w:t>"9) деривативні (похідні) фінансові інструменти, базовим активом яких є активи, зазначені у пунктах 1 - 8 цієї частини, та/або базовим показником яких є ціна (курс) таких активів або індекс, що розраховується виходячи з ціни (курсу) таких активів.";</w:t>
            </w:r>
          </w:p>
        </w:tc>
        <w:tc>
          <w:tcPr>
            <w:tcW w:w="3686" w:type="dxa"/>
          </w:tcPr>
          <w:p w14:paraId="5267C92C" w14:textId="5A50250F"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A832EC4" w14:textId="1FF168D4" w:rsidR="008A5602" w:rsidRPr="00286216" w:rsidRDefault="008A5602" w:rsidP="008A5602">
            <w:pPr>
              <w:pStyle w:val="StyleProp"/>
              <w:rPr>
                <w:color w:val="000000" w:themeColor="text1"/>
                <w:szCs w:val="18"/>
              </w:rPr>
            </w:pPr>
            <w:r w:rsidRPr="00286216">
              <w:rPr>
                <w:color w:val="000000" w:themeColor="text1"/>
              </w:rPr>
              <w:t>В абзаці 5 підпункту «</w:t>
            </w:r>
            <w:r w:rsidRPr="00286216">
              <w:rPr>
                <w:color w:val="000000" w:themeColor="text1"/>
                <w:u w:val="single"/>
              </w:rPr>
              <w:t>г</w:t>
            </w:r>
            <w:r w:rsidRPr="00286216">
              <w:rPr>
                <w:color w:val="000000" w:themeColor="text1"/>
              </w:rPr>
              <w:t>» підпункту 8 пункту 43 Розділу 3 слово та символи «(похідні)» виключити.</w:t>
            </w:r>
          </w:p>
        </w:tc>
        <w:tc>
          <w:tcPr>
            <w:tcW w:w="1987" w:type="dxa"/>
          </w:tcPr>
          <w:p w14:paraId="15A61DA7" w14:textId="1EBEC47F"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20CC3A4E" w14:textId="1805162D" w:rsidR="008A5602" w:rsidRPr="00286216" w:rsidRDefault="008A5602" w:rsidP="008A5602">
            <w:pPr>
              <w:pStyle w:val="StyleZakonu"/>
              <w:rPr>
                <w:color w:val="000000" w:themeColor="text1"/>
              </w:rPr>
            </w:pPr>
            <w:r w:rsidRPr="00286216">
              <w:rPr>
                <w:color w:val="000000" w:themeColor="text1"/>
              </w:rPr>
              <w:t>"9) деривативні контракти, базовим активом яких є активи, зазначені у пунктах 1 - 8 цієї частини, та/або базовим показником яких є ціна (курс) таких активів або індекс, що розраховується виходячи з ціни (курсу) таких активів.";</w:t>
            </w:r>
          </w:p>
        </w:tc>
      </w:tr>
      <w:tr w:rsidR="008A5602" w:rsidRPr="00286216" w14:paraId="79B06583" w14:textId="77777777" w:rsidTr="00091AA5">
        <w:tc>
          <w:tcPr>
            <w:tcW w:w="576" w:type="dxa"/>
          </w:tcPr>
          <w:p w14:paraId="60EDC6D3" w14:textId="77777777" w:rsidR="008A5602" w:rsidRPr="00286216" w:rsidRDefault="008A5602" w:rsidP="008A5602">
            <w:pPr>
              <w:pStyle w:val="StyleWisnow"/>
              <w:rPr>
                <w:color w:val="000000" w:themeColor="text1"/>
              </w:rPr>
            </w:pPr>
            <w:bookmarkStart w:id="3521" w:name="n3651" w:colFirst="0" w:colLast="0"/>
            <w:bookmarkEnd w:id="3520"/>
            <w:r w:rsidRPr="00286216">
              <w:rPr>
                <w:color w:val="000000" w:themeColor="text1"/>
              </w:rPr>
              <w:t>3651.</w:t>
            </w:r>
          </w:p>
        </w:tc>
        <w:tc>
          <w:tcPr>
            <w:tcW w:w="4818" w:type="dxa"/>
          </w:tcPr>
          <w:p w14:paraId="1CF17B66" w14:textId="77777777" w:rsidR="008A5602" w:rsidRPr="00286216" w:rsidRDefault="008A5602" w:rsidP="008A5602">
            <w:pPr>
              <w:pStyle w:val="StyleZakonu"/>
              <w:rPr>
                <w:color w:val="000000" w:themeColor="text1"/>
              </w:rPr>
            </w:pPr>
            <w:r w:rsidRPr="00286216">
              <w:rPr>
                <w:color w:val="000000" w:themeColor="text1"/>
              </w:rPr>
              <w:t>д) у частині дев’ятій:</w:t>
            </w:r>
          </w:p>
        </w:tc>
        <w:tc>
          <w:tcPr>
            <w:tcW w:w="3686" w:type="dxa"/>
          </w:tcPr>
          <w:p w14:paraId="7717BD5C" w14:textId="77777777" w:rsidR="008A5602" w:rsidRPr="00286216" w:rsidRDefault="008A5602" w:rsidP="008A5602">
            <w:pPr>
              <w:pStyle w:val="StyleProp"/>
              <w:rPr>
                <w:color w:val="000000" w:themeColor="text1"/>
                <w:szCs w:val="18"/>
              </w:rPr>
            </w:pPr>
          </w:p>
        </w:tc>
        <w:tc>
          <w:tcPr>
            <w:tcW w:w="1987" w:type="dxa"/>
          </w:tcPr>
          <w:p w14:paraId="64C8734C" w14:textId="77777777" w:rsidR="008A5602" w:rsidRPr="00286216" w:rsidRDefault="008A5602" w:rsidP="008A5602">
            <w:pPr>
              <w:pStyle w:val="StyleWisnow"/>
              <w:rPr>
                <w:color w:val="000000" w:themeColor="text1"/>
              </w:rPr>
            </w:pPr>
          </w:p>
        </w:tc>
        <w:tc>
          <w:tcPr>
            <w:tcW w:w="4818" w:type="dxa"/>
          </w:tcPr>
          <w:p w14:paraId="78FC14A1" w14:textId="7D5F912A" w:rsidR="008A5602" w:rsidRPr="00286216" w:rsidRDefault="008A5602" w:rsidP="008A5602">
            <w:pPr>
              <w:pStyle w:val="StyleZakonu"/>
              <w:rPr>
                <w:color w:val="000000" w:themeColor="text1"/>
              </w:rPr>
            </w:pPr>
            <w:r w:rsidRPr="00286216">
              <w:rPr>
                <w:color w:val="000000" w:themeColor="text1"/>
              </w:rPr>
              <w:t>е) у частині дев’ятій:</w:t>
            </w:r>
          </w:p>
        </w:tc>
      </w:tr>
      <w:tr w:rsidR="008A5602" w:rsidRPr="00286216" w14:paraId="0EB60682" w14:textId="77777777" w:rsidTr="00091AA5">
        <w:tc>
          <w:tcPr>
            <w:tcW w:w="576" w:type="dxa"/>
          </w:tcPr>
          <w:p w14:paraId="7F334AB2" w14:textId="77777777" w:rsidR="008A5602" w:rsidRPr="00286216" w:rsidRDefault="008A5602" w:rsidP="008A5602">
            <w:pPr>
              <w:pStyle w:val="StyleWisnow"/>
              <w:rPr>
                <w:color w:val="000000" w:themeColor="text1"/>
              </w:rPr>
            </w:pPr>
            <w:bookmarkStart w:id="3522" w:name="n3652" w:colFirst="0" w:colLast="0"/>
            <w:bookmarkEnd w:id="3521"/>
            <w:r w:rsidRPr="00286216">
              <w:rPr>
                <w:color w:val="000000" w:themeColor="text1"/>
              </w:rPr>
              <w:t>3652.</w:t>
            </w:r>
          </w:p>
        </w:tc>
        <w:tc>
          <w:tcPr>
            <w:tcW w:w="4818" w:type="dxa"/>
          </w:tcPr>
          <w:p w14:paraId="6DC59575" w14:textId="77777777" w:rsidR="008A5602" w:rsidRPr="00286216" w:rsidRDefault="008A5602" w:rsidP="008A5602">
            <w:pPr>
              <w:pStyle w:val="StyleZakonu"/>
              <w:rPr>
                <w:color w:val="000000" w:themeColor="text1"/>
              </w:rPr>
            </w:pPr>
            <w:r w:rsidRPr="00286216">
              <w:rPr>
                <w:color w:val="000000" w:themeColor="text1"/>
              </w:rPr>
              <w:t>у пункті 1 слова "облігацій підприємств" замінити словами "корпоративних облігацій";</w:t>
            </w:r>
          </w:p>
        </w:tc>
        <w:tc>
          <w:tcPr>
            <w:tcW w:w="3686" w:type="dxa"/>
          </w:tcPr>
          <w:p w14:paraId="5003A104" w14:textId="77777777" w:rsidR="008A5602" w:rsidRPr="00286216" w:rsidRDefault="008A5602" w:rsidP="008A5602">
            <w:pPr>
              <w:pStyle w:val="StyleProp"/>
              <w:rPr>
                <w:color w:val="000000" w:themeColor="text1"/>
                <w:szCs w:val="18"/>
              </w:rPr>
            </w:pPr>
          </w:p>
        </w:tc>
        <w:tc>
          <w:tcPr>
            <w:tcW w:w="1987" w:type="dxa"/>
          </w:tcPr>
          <w:p w14:paraId="3644E581" w14:textId="77777777" w:rsidR="008A5602" w:rsidRPr="00286216" w:rsidRDefault="008A5602" w:rsidP="008A5602">
            <w:pPr>
              <w:pStyle w:val="StyleWisnow"/>
              <w:rPr>
                <w:color w:val="000000" w:themeColor="text1"/>
              </w:rPr>
            </w:pPr>
          </w:p>
        </w:tc>
        <w:tc>
          <w:tcPr>
            <w:tcW w:w="4818" w:type="dxa"/>
          </w:tcPr>
          <w:p w14:paraId="0C25518B" w14:textId="04E6B772" w:rsidR="008A5602" w:rsidRPr="00286216" w:rsidRDefault="008A5602" w:rsidP="008A5602">
            <w:pPr>
              <w:pStyle w:val="StyleZakonu"/>
              <w:rPr>
                <w:color w:val="000000" w:themeColor="text1"/>
              </w:rPr>
            </w:pPr>
            <w:r w:rsidRPr="00286216">
              <w:rPr>
                <w:color w:val="000000" w:themeColor="text1"/>
              </w:rPr>
              <w:t>у пункті 1 слова "облігацій підприємств" замінити словами "корпоративних облігацій";</w:t>
            </w:r>
          </w:p>
        </w:tc>
      </w:tr>
      <w:tr w:rsidR="008A5602" w:rsidRPr="00286216" w14:paraId="284338E9" w14:textId="77777777" w:rsidTr="00091AA5">
        <w:tc>
          <w:tcPr>
            <w:tcW w:w="576" w:type="dxa"/>
          </w:tcPr>
          <w:p w14:paraId="782467DD" w14:textId="77777777" w:rsidR="008A5602" w:rsidRPr="00286216" w:rsidRDefault="008A5602" w:rsidP="008A5602">
            <w:pPr>
              <w:pStyle w:val="StyleWisnow"/>
              <w:rPr>
                <w:color w:val="000000" w:themeColor="text1"/>
              </w:rPr>
            </w:pPr>
            <w:bookmarkStart w:id="3523" w:name="n3653" w:colFirst="0" w:colLast="0"/>
            <w:bookmarkEnd w:id="3522"/>
            <w:r w:rsidRPr="00286216">
              <w:rPr>
                <w:color w:val="000000" w:themeColor="text1"/>
              </w:rPr>
              <w:t>3653.</w:t>
            </w:r>
          </w:p>
        </w:tc>
        <w:tc>
          <w:tcPr>
            <w:tcW w:w="4818" w:type="dxa"/>
          </w:tcPr>
          <w:p w14:paraId="27B183CB" w14:textId="77777777" w:rsidR="008A5602" w:rsidRPr="00286216" w:rsidRDefault="008A5602" w:rsidP="008A5602">
            <w:pPr>
              <w:pStyle w:val="StyleZakonu"/>
              <w:rPr>
                <w:color w:val="000000" w:themeColor="text1"/>
              </w:rPr>
            </w:pPr>
            <w:r w:rsidRPr="00286216">
              <w:rPr>
                <w:color w:val="000000" w:themeColor="text1"/>
              </w:rPr>
              <w:t>пункт 2 після слів "фінансових організацій" доповнити словами "(крім облігацій міжнародних фінансових організацій, що розміщуються на території України)";</w:t>
            </w:r>
          </w:p>
        </w:tc>
        <w:tc>
          <w:tcPr>
            <w:tcW w:w="3686" w:type="dxa"/>
          </w:tcPr>
          <w:p w14:paraId="6019DBFC" w14:textId="77777777" w:rsidR="008A5602" w:rsidRPr="00286216" w:rsidRDefault="008A5602" w:rsidP="008A5602">
            <w:pPr>
              <w:pStyle w:val="StyleProp"/>
              <w:rPr>
                <w:color w:val="000000" w:themeColor="text1"/>
                <w:szCs w:val="18"/>
              </w:rPr>
            </w:pPr>
          </w:p>
        </w:tc>
        <w:tc>
          <w:tcPr>
            <w:tcW w:w="1987" w:type="dxa"/>
          </w:tcPr>
          <w:p w14:paraId="5B193933" w14:textId="77777777" w:rsidR="008A5602" w:rsidRPr="00286216" w:rsidRDefault="008A5602" w:rsidP="008A5602">
            <w:pPr>
              <w:pStyle w:val="StyleWisnow"/>
              <w:rPr>
                <w:color w:val="000000" w:themeColor="text1"/>
              </w:rPr>
            </w:pPr>
          </w:p>
        </w:tc>
        <w:tc>
          <w:tcPr>
            <w:tcW w:w="4818" w:type="dxa"/>
          </w:tcPr>
          <w:p w14:paraId="71B42D85" w14:textId="16986306" w:rsidR="008A5602" w:rsidRPr="00286216" w:rsidRDefault="008A5602" w:rsidP="008A5602">
            <w:pPr>
              <w:pStyle w:val="StyleZakonu"/>
              <w:rPr>
                <w:color w:val="000000" w:themeColor="text1"/>
              </w:rPr>
            </w:pPr>
            <w:r w:rsidRPr="00286216">
              <w:rPr>
                <w:color w:val="000000" w:themeColor="text1"/>
              </w:rPr>
              <w:t>пункт 2 після слів "фінансових організацій" доповнити словами "(крім облігацій міжнародних фінансових організацій, що розміщуються на території України)";</w:t>
            </w:r>
          </w:p>
        </w:tc>
      </w:tr>
      <w:tr w:rsidR="008A5602" w:rsidRPr="00286216" w14:paraId="27CBB61E" w14:textId="77777777" w:rsidTr="00091AA5">
        <w:tc>
          <w:tcPr>
            <w:tcW w:w="576" w:type="dxa"/>
          </w:tcPr>
          <w:p w14:paraId="35EB0435" w14:textId="77777777" w:rsidR="008A5602" w:rsidRPr="00286216" w:rsidRDefault="008A5602" w:rsidP="008A5602">
            <w:pPr>
              <w:pStyle w:val="StyleWisnow"/>
              <w:rPr>
                <w:color w:val="000000" w:themeColor="text1"/>
              </w:rPr>
            </w:pPr>
            <w:bookmarkStart w:id="3524" w:name="n3654" w:colFirst="0" w:colLast="0"/>
            <w:bookmarkEnd w:id="3523"/>
            <w:r w:rsidRPr="00286216">
              <w:rPr>
                <w:color w:val="000000" w:themeColor="text1"/>
              </w:rPr>
              <w:t>3654.</w:t>
            </w:r>
          </w:p>
        </w:tc>
        <w:tc>
          <w:tcPr>
            <w:tcW w:w="4818" w:type="dxa"/>
          </w:tcPr>
          <w:p w14:paraId="140D3CA0" w14:textId="77777777" w:rsidR="008A5602" w:rsidRPr="00286216" w:rsidRDefault="008A5602" w:rsidP="008A5602">
            <w:pPr>
              <w:pStyle w:val="StyleZakonu"/>
              <w:rPr>
                <w:color w:val="000000" w:themeColor="text1"/>
              </w:rPr>
            </w:pPr>
            <w:r w:rsidRPr="00286216">
              <w:rPr>
                <w:color w:val="000000" w:themeColor="text1"/>
              </w:rPr>
              <w:t>доповнити частину пунктом 5 такого змісту:</w:t>
            </w:r>
          </w:p>
        </w:tc>
        <w:tc>
          <w:tcPr>
            <w:tcW w:w="3686" w:type="dxa"/>
          </w:tcPr>
          <w:p w14:paraId="5ADB71A8" w14:textId="77777777" w:rsidR="008A5602" w:rsidRPr="00286216" w:rsidRDefault="008A5602" w:rsidP="008A5602">
            <w:pPr>
              <w:pStyle w:val="StyleProp"/>
              <w:rPr>
                <w:color w:val="000000" w:themeColor="text1"/>
                <w:szCs w:val="18"/>
              </w:rPr>
            </w:pPr>
          </w:p>
        </w:tc>
        <w:tc>
          <w:tcPr>
            <w:tcW w:w="1987" w:type="dxa"/>
          </w:tcPr>
          <w:p w14:paraId="2FA42854" w14:textId="77777777" w:rsidR="008A5602" w:rsidRPr="00286216" w:rsidRDefault="008A5602" w:rsidP="008A5602">
            <w:pPr>
              <w:pStyle w:val="StyleWisnow"/>
              <w:rPr>
                <w:color w:val="000000" w:themeColor="text1"/>
              </w:rPr>
            </w:pPr>
          </w:p>
        </w:tc>
        <w:tc>
          <w:tcPr>
            <w:tcW w:w="4818" w:type="dxa"/>
          </w:tcPr>
          <w:p w14:paraId="47ABE061" w14:textId="5650F038" w:rsidR="008A5602" w:rsidRPr="00286216" w:rsidRDefault="008A5602" w:rsidP="008A5602">
            <w:pPr>
              <w:pStyle w:val="StyleZakonu"/>
              <w:rPr>
                <w:color w:val="000000" w:themeColor="text1"/>
              </w:rPr>
            </w:pPr>
            <w:r w:rsidRPr="00286216">
              <w:rPr>
                <w:color w:val="000000" w:themeColor="text1"/>
              </w:rPr>
              <w:t>доповнити пунктом 5 такого змісту:</w:t>
            </w:r>
          </w:p>
        </w:tc>
      </w:tr>
      <w:tr w:rsidR="008A5602" w:rsidRPr="00286216" w14:paraId="27DDE485" w14:textId="77777777" w:rsidTr="00091AA5">
        <w:tc>
          <w:tcPr>
            <w:tcW w:w="576" w:type="dxa"/>
          </w:tcPr>
          <w:p w14:paraId="4D165E4F" w14:textId="77777777" w:rsidR="008A5602" w:rsidRPr="00286216" w:rsidRDefault="008A5602" w:rsidP="008A5602">
            <w:pPr>
              <w:pStyle w:val="StyleWisnow"/>
              <w:rPr>
                <w:color w:val="000000" w:themeColor="text1"/>
              </w:rPr>
            </w:pPr>
            <w:bookmarkStart w:id="3525" w:name="n3655" w:colFirst="0" w:colLast="0"/>
            <w:bookmarkEnd w:id="3524"/>
            <w:r w:rsidRPr="00286216">
              <w:rPr>
                <w:color w:val="000000" w:themeColor="text1"/>
              </w:rPr>
              <w:t>3655.</w:t>
            </w:r>
          </w:p>
        </w:tc>
        <w:tc>
          <w:tcPr>
            <w:tcW w:w="4818" w:type="dxa"/>
          </w:tcPr>
          <w:p w14:paraId="6E2CEC7D" w14:textId="77777777" w:rsidR="008A5602" w:rsidRPr="00286216" w:rsidRDefault="008A5602" w:rsidP="008A5602">
            <w:pPr>
              <w:pStyle w:val="StyleZakonu"/>
              <w:rPr>
                <w:color w:val="000000" w:themeColor="text1"/>
              </w:rPr>
            </w:pPr>
            <w:r w:rsidRPr="00286216">
              <w:rPr>
                <w:color w:val="000000" w:themeColor="text1"/>
              </w:rPr>
              <w:t>"5) загальна вартість облігацій міжнародних фінансових організацій, що розміщуються на території України, не може перевищувати 35 відсотків загальної вартості активів фонду.";</w:t>
            </w:r>
          </w:p>
        </w:tc>
        <w:tc>
          <w:tcPr>
            <w:tcW w:w="3686" w:type="dxa"/>
          </w:tcPr>
          <w:p w14:paraId="4C7977E9" w14:textId="77777777" w:rsidR="008A5602" w:rsidRPr="00286216" w:rsidRDefault="008A5602" w:rsidP="008A5602">
            <w:pPr>
              <w:pStyle w:val="StyleProp"/>
              <w:rPr>
                <w:color w:val="000000" w:themeColor="text1"/>
                <w:szCs w:val="18"/>
              </w:rPr>
            </w:pPr>
          </w:p>
        </w:tc>
        <w:tc>
          <w:tcPr>
            <w:tcW w:w="1987" w:type="dxa"/>
          </w:tcPr>
          <w:p w14:paraId="6AFA1343" w14:textId="77777777" w:rsidR="008A5602" w:rsidRPr="00286216" w:rsidRDefault="008A5602" w:rsidP="008A5602">
            <w:pPr>
              <w:pStyle w:val="StyleWisnow"/>
              <w:rPr>
                <w:color w:val="000000" w:themeColor="text1"/>
              </w:rPr>
            </w:pPr>
          </w:p>
        </w:tc>
        <w:tc>
          <w:tcPr>
            <w:tcW w:w="4818" w:type="dxa"/>
          </w:tcPr>
          <w:p w14:paraId="16C1E794" w14:textId="7A1C66D6" w:rsidR="008A5602" w:rsidRPr="00286216" w:rsidRDefault="008A5602" w:rsidP="008A5602">
            <w:pPr>
              <w:pStyle w:val="StyleZakonu"/>
              <w:rPr>
                <w:color w:val="000000" w:themeColor="text1"/>
              </w:rPr>
            </w:pPr>
            <w:r w:rsidRPr="00286216">
              <w:rPr>
                <w:color w:val="000000" w:themeColor="text1"/>
              </w:rPr>
              <w:t>"5) загальна вартість облігацій міжнародних фінансових організацій, що розміщуються на території України, не може перевищувати 35 відсотків загальної вартості активів фонду";</w:t>
            </w:r>
          </w:p>
        </w:tc>
      </w:tr>
      <w:tr w:rsidR="008A5602" w:rsidRPr="00286216" w14:paraId="10E78C59" w14:textId="77777777" w:rsidTr="00091AA5">
        <w:tc>
          <w:tcPr>
            <w:tcW w:w="576" w:type="dxa"/>
          </w:tcPr>
          <w:p w14:paraId="06948E4C" w14:textId="77777777" w:rsidR="008A5602" w:rsidRPr="00286216" w:rsidRDefault="008A5602" w:rsidP="008A5602">
            <w:pPr>
              <w:pStyle w:val="StyleWisnow"/>
              <w:rPr>
                <w:color w:val="000000" w:themeColor="text1"/>
              </w:rPr>
            </w:pPr>
            <w:bookmarkStart w:id="3526" w:name="n3656" w:colFirst="0" w:colLast="0"/>
            <w:bookmarkEnd w:id="3525"/>
            <w:r w:rsidRPr="00286216">
              <w:rPr>
                <w:color w:val="000000" w:themeColor="text1"/>
              </w:rPr>
              <w:t>3656.</w:t>
            </w:r>
          </w:p>
        </w:tc>
        <w:tc>
          <w:tcPr>
            <w:tcW w:w="4818" w:type="dxa"/>
          </w:tcPr>
          <w:p w14:paraId="0C23B422" w14:textId="77777777" w:rsidR="008A5602" w:rsidRPr="00286216" w:rsidRDefault="008A5602" w:rsidP="008A5602">
            <w:pPr>
              <w:pStyle w:val="StyleZakonu"/>
              <w:rPr>
                <w:color w:val="000000" w:themeColor="text1"/>
              </w:rPr>
            </w:pPr>
            <w:r w:rsidRPr="00286216">
              <w:rPr>
                <w:color w:val="000000" w:themeColor="text1"/>
              </w:rPr>
              <w:t>е) пункт 1 частини десятої після слів "облігацій України" доповнити словами "та облігацій міжнародних фінансових організацій, що розміщуються на території України";</w:t>
            </w:r>
          </w:p>
        </w:tc>
        <w:tc>
          <w:tcPr>
            <w:tcW w:w="3686" w:type="dxa"/>
          </w:tcPr>
          <w:p w14:paraId="50C22A82" w14:textId="77777777" w:rsidR="008A5602" w:rsidRPr="00286216" w:rsidRDefault="008A5602" w:rsidP="008A5602">
            <w:pPr>
              <w:pStyle w:val="StyleProp"/>
              <w:rPr>
                <w:color w:val="000000" w:themeColor="text1"/>
                <w:szCs w:val="18"/>
              </w:rPr>
            </w:pPr>
          </w:p>
        </w:tc>
        <w:tc>
          <w:tcPr>
            <w:tcW w:w="1987" w:type="dxa"/>
          </w:tcPr>
          <w:p w14:paraId="43E592DF" w14:textId="77777777" w:rsidR="008A5602" w:rsidRPr="00286216" w:rsidRDefault="008A5602" w:rsidP="008A5602">
            <w:pPr>
              <w:pStyle w:val="StyleWisnow"/>
              <w:rPr>
                <w:color w:val="000000" w:themeColor="text1"/>
              </w:rPr>
            </w:pPr>
          </w:p>
        </w:tc>
        <w:tc>
          <w:tcPr>
            <w:tcW w:w="4818" w:type="dxa"/>
          </w:tcPr>
          <w:p w14:paraId="59404017" w14:textId="2EA21F6C" w:rsidR="008A5602" w:rsidRPr="00286216" w:rsidRDefault="008A5602" w:rsidP="008A5602">
            <w:pPr>
              <w:pStyle w:val="StyleZakonu"/>
              <w:rPr>
                <w:color w:val="000000" w:themeColor="text1"/>
              </w:rPr>
            </w:pPr>
            <w:r w:rsidRPr="00286216">
              <w:rPr>
                <w:color w:val="000000" w:themeColor="text1"/>
              </w:rPr>
              <w:t>є) пункт 1 частини десятої після слів "облігацій України" доповнити словами "та облігацій міжнародних фінансових організацій, що розміщуються на території України";</w:t>
            </w:r>
          </w:p>
        </w:tc>
      </w:tr>
      <w:tr w:rsidR="008A5602" w:rsidRPr="00286216" w14:paraId="750B8D29" w14:textId="77777777" w:rsidTr="00091AA5">
        <w:tc>
          <w:tcPr>
            <w:tcW w:w="576" w:type="dxa"/>
          </w:tcPr>
          <w:p w14:paraId="1DFFEB94" w14:textId="77777777" w:rsidR="008A5602" w:rsidRPr="00286216" w:rsidRDefault="008A5602" w:rsidP="008A5602">
            <w:pPr>
              <w:pStyle w:val="StyleWisnow"/>
              <w:rPr>
                <w:color w:val="000000" w:themeColor="text1"/>
              </w:rPr>
            </w:pPr>
            <w:bookmarkStart w:id="3527" w:name="n3657" w:colFirst="0" w:colLast="0"/>
            <w:bookmarkEnd w:id="3526"/>
            <w:r w:rsidRPr="00286216">
              <w:rPr>
                <w:color w:val="000000" w:themeColor="text1"/>
              </w:rPr>
              <w:t>3657.</w:t>
            </w:r>
          </w:p>
        </w:tc>
        <w:tc>
          <w:tcPr>
            <w:tcW w:w="4818" w:type="dxa"/>
          </w:tcPr>
          <w:p w14:paraId="7DFD5DE9" w14:textId="77777777" w:rsidR="008A5602" w:rsidRPr="00286216" w:rsidRDefault="008A5602" w:rsidP="008A5602">
            <w:pPr>
              <w:pStyle w:val="StyleZakonu"/>
              <w:rPr>
                <w:color w:val="000000" w:themeColor="text1"/>
              </w:rPr>
            </w:pPr>
            <w:r w:rsidRPr="00286216">
              <w:rPr>
                <w:color w:val="000000" w:themeColor="text1"/>
              </w:rPr>
              <w:t>є) у частині одинадцятій:</w:t>
            </w:r>
          </w:p>
        </w:tc>
        <w:tc>
          <w:tcPr>
            <w:tcW w:w="3686" w:type="dxa"/>
          </w:tcPr>
          <w:p w14:paraId="7C08A8FB" w14:textId="77777777" w:rsidR="008A5602" w:rsidRPr="00286216" w:rsidRDefault="008A5602" w:rsidP="008A5602">
            <w:pPr>
              <w:pStyle w:val="StyleProp"/>
              <w:rPr>
                <w:color w:val="000000" w:themeColor="text1"/>
                <w:szCs w:val="18"/>
              </w:rPr>
            </w:pPr>
          </w:p>
        </w:tc>
        <w:tc>
          <w:tcPr>
            <w:tcW w:w="1987" w:type="dxa"/>
          </w:tcPr>
          <w:p w14:paraId="73479067" w14:textId="77777777" w:rsidR="008A5602" w:rsidRPr="00286216" w:rsidRDefault="008A5602" w:rsidP="008A5602">
            <w:pPr>
              <w:pStyle w:val="StyleWisnow"/>
              <w:rPr>
                <w:color w:val="000000" w:themeColor="text1"/>
              </w:rPr>
            </w:pPr>
          </w:p>
        </w:tc>
        <w:tc>
          <w:tcPr>
            <w:tcW w:w="4818" w:type="dxa"/>
          </w:tcPr>
          <w:p w14:paraId="1B7BBCED" w14:textId="1C9C397E" w:rsidR="008A5602" w:rsidRPr="00286216" w:rsidRDefault="008A5602" w:rsidP="008A5602">
            <w:pPr>
              <w:pStyle w:val="StyleZakonu"/>
              <w:rPr>
                <w:color w:val="000000" w:themeColor="text1"/>
              </w:rPr>
            </w:pPr>
            <w:r w:rsidRPr="00286216">
              <w:rPr>
                <w:color w:val="000000" w:themeColor="text1"/>
              </w:rPr>
              <w:t>ж</w:t>
            </w:r>
            <w:r w:rsidRPr="00286216" w:rsidDel="006A12A2">
              <w:rPr>
                <w:color w:val="000000" w:themeColor="text1"/>
              </w:rPr>
              <w:t xml:space="preserve"> </w:t>
            </w:r>
            <w:r w:rsidRPr="00286216">
              <w:rPr>
                <w:color w:val="000000" w:themeColor="text1"/>
              </w:rPr>
              <w:t>) у частині одинадцятій:</w:t>
            </w:r>
          </w:p>
        </w:tc>
      </w:tr>
      <w:tr w:rsidR="008A5602" w:rsidRPr="00286216" w14:paraId="0BDB141D" w14:textId="77777777" w:rsidTr="00091AA5">
        <w:tc>
          <w:tcPr>
            <w:tcW w:w="576" w:type="dxa"/>
          </w:tcPr>
          <w:p w14:paraId="57335F85" w14:textId="77777777" w:rsidR="008A5602" w:rsidRPr="00286216" w:rsidRDefault="008A5602" w:rsidP="008A5602">
            <w:pPr>
              <w:pStyle w:val="StyleWisnow"/>
              <w:rPr>
                <w:color w:val="000000" w:themeColor="text1"/>
              </w:rPr>
            </w:pPr>
            <w:bookmarkStart w:id="3528" w:name="n3658" w:colFirst="0" w:colLast="0"/>
            <w:bookmarkEnd w:id="3527"/>
            <w:r w:rsidRPr="00286216">
              <w:rPr>
                <w:color w:val="000000" w:themeColor="text1"/>
              </w:rPr>
              <w:t>3658.</w:t>
            </w:r>
          </w:p>
        </w:tc>
        <w:tc>
          <w:tcPr>
            <w:tcW w:w="4818" w:type="dxa"/>
          </w:tcPr>
          <w:p w14:paraId="68E45472" w14:textId="77777777" w:rsidR="008A5602" w:rsidRPr="00286216" w:rsidRDefault="008A5602" w:rsidP="008A5602">
            <w:pPr>
              <w:pStyle w:val="StyleZakonu"/>
              <w:rPr>
                <w:color w:val="000000" w:themeColor="text1"/>
              </w:rPr>
            </w:pPr>
            <w:r w:rsidRPr="00286216">
              <w:rPr>
                <w:color w:val="000000" w:themeColor="text1"/>
              </w:rPr>
              <w:t>пункт третій та четвертий викласти в такій редакції:</w:t>
            </w:r>
          </w:p>
        </w:tc>
        <w:tc>
          <w:tcPr>
            <w:tcW w:w="3686" w:type="dxa"/>
          </w:tcPr>
          <w:p w14:paraId="1A887F2B" w14:textId="77777777" w:rsidR="008A5602" w:rsidRPr="00286216" w:rsidRDefault="008A5602" w:rsidP="008A5602">
            <w:pPr>
              <w:pStyle w:val="StyleProp"/>
              <w:rPr>
                <w:color w:val="000000" w:themeColor="text1"/>
                <w:szCs w:val="18"/>
              </w:rPr>
            </w:pPr>
          </w:p>
        </w:tc>
        <w:tc>
          <w:tcPr>
            <w:tcW w:w="1987" w:type="dxa"/>
          </w:tcPr>
          <w:p w14:paraId="018361BA" w14:textId="77777777" w:rsidR="008A5602" w:rsidRPr="00286216" w:rsidRDefault="008A5602" w:rsidP="008A5602">
            <w:pPr>
              <w:pStyle w:val="StyleWisnow"/>
              <w:rPr>
                <w:color w:val="000000" w:themeColor="text1"/>
              </w:rPr>
            </w:pPr>
          </w:p>
        </w:tc>
        <w:tc>
          <w:tcPr>
            <w:tcW w:w="4818" w:type="dxa"/>
          </w:tcPr>
          <w:p w14:paraId="2848CC87" w14:textId="7DACB9E7" w:rsidR="008A5602" w:rsidRPr="00286216" w:rsidRDefault="008A5602" w:rsidP="008A5602">
            <w:pPr>
              <w:pStyle w:val="StyleZakonu"/>
              <w:rPr>
                <w:color w:val="000000" w:themeColor="text1"/>
              </w:rPr>
            </w:pPr>
            <w:r w:rsidRPr="00286216">
              <w:rPr>
                <w:color w:val="000000" w:themeColor="text1"/>
              </w:rPr>
              <w:t>пункти 3, 4 і 12 викласти в такій редакції:</w:t>
            </w:r>
          </w:p>
        </w:tc>
      </w:tr>
      <w:tr w:rsidR="008A5602" w:rsidRPr="00286216" w14:paraId="66C63356" w14:textId="77777777" w:rsidTr="00091AA5">
        <w:tc>
          <w:tcPr>
            <w:tcW w:w="576" w:type="dxa"/>
          </w:tcPr>
          <w:p w14:paraId="6E9F5CEF" w14:textId="77777777" w:rsidR="008A5602" w:rsidRPr="00286216" w:rsidRDefault="008A5602" w:rsidP="008A5602">
            <w:pPr>
              <w:pStyle w:val="StyleWisnow"/>
              <w:rPr>
                <w:color w:val="000000" w:themeColor="text1"/>
              </w:rPr>
            </w:pPr>
            <w:bookmarkStart w:id="3529" w:name="n3659" w:colFirst="0" w:colLast="0"/>
            <w:bookmarkEnd w:id="3528"/>
            <w:r w:rsidRPr="00286216">
              <w:rPr>
                <w:color w:val="000000" w:themeColor="text1"/>
              </w:rPr>
              <w:t>3659.</w:t>
            </w:r>
          </w:p>
        </w:tc>
        <w:tc>
          <w:tcPr>
            <w:tcW w:w="4818" w:type="dxa"/>
          </w:tcPr>
          <w:p w14:paraId="72BD2E73" w14:textId="77777777"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сертифікату банку;</w:t>
            </w:r>
          </w:p>
        </w:tc>
        <w:tc>
          <w:tcPr>
            <w:tcW w:w="3686" w:type="dxa"/>
          </w:tcPr>
          <w:p w14:paraId="5EABF07B" w14:textId="77777777" w:rsidR="008A5602" w:rsidRPr="00286216" w:rsidRDefault="008A5602" w:rsidP="008A5602">
            <w:pPr>
              <w:pStyle w:val="StyleProp"/>
              <w:rPr>
                <w:color w:val="000000" w:themeColor="text1"/>
                <w:szCs w:val="18"/>
              </w:rPr>
            </w:pPr>
          </w:p>
        </w:tc>
        <w:tc>
          <w:tcPr>
            <w:tcW w:w="1987" w:type="dxa"/>
          </w:tcPr>
          <w:p w14:paraId="05357E85" w14:textId="77777777" w:rsidR="008A5602" w:rsidRPr="00286216" w:rsidRDefault="008A5602" w:rsidP="008A5602">
            <w:pPr>
              <w:pStyle w:val="StyleWisnow"/>
              <w:rPr>
                <w:color w:val="000000" w:themeColor="text1"/>
              </w:rPr>
            </w:pPr>
          </w:p>
        </w:tc>
        <w:tc>
          <w:tcPr>
            <w:tcW w:w="4818" w:type="dxa"/>
          </w:tcPr>
          <w:p w14:paraId="70437401" w14:textId="6664DDAF"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сертифікати банку;</w:t>
            </w:r>
          </w:p>
        </w:tc>
      </w:tr>
      <w:tr w:rsidR="008A5602" w:rsidRPr="00286216" w14:paraId="5866733F" w14:textId="77777777" w:rsidTr="00091AA5">
        <w:tc>
          <w:tcPr>
            <w:tcW w:w="576" w:type="dxa"/>
          </w:tcPr>
          <w:p w14:paraId="5CAC5683" w14:textId="77777777" w:rsidR="008A5602" w:rsidRPr="00286216" w:rsidRDefault="008A5602" w:rsidP="008A5602">
            <w:pPr>
              <w:pStyle w:val="StyleWisnow"/>
              <w:rPr>
                <w:color w:val="000000" w:themeColor="text1"/>
              </w:rPr>
            </w:pPr>
            <w:bookmarkStart w:id="3530" w:name="n3660" w:colFirst="0" w:colLast="0"/>
            <w:bookmarkEnd w:id="3529"/>
            <w:r w:rsidRPr="00286216">
              <w:rPr>
                <w:color w:val="000000" w:themeColor="text1"/>
              </w:rPr>
              <w:t>3660.</w:t>
            </w:r>
          </w:p>
        </w:tc>
        <w:tc>
          <w:tcPr>
            <w:tcW w:w="4818" w:type="dxa"/>
          </w:tcPr>
          <w:p w14:paraId="5A7FCB7C" w14:textId="77777777" w:rsidR="008A5602" w:rsidRPr="00286216" w:rsidRDefault="008A5602" w:rsidP="008A5602">
            <w:pPr>
              <w:pStyle w:val="StyleZakonu"/>
              <w:rPr>
                <w:color w:val="000000" w:themeColor="text1"/>
              </w:rPr>
            </w:pPr>
            <w:r w:rsidRPr="00286216">
              <w:rPr>
                <w:color w:val="000000" w:themeColor="text1"/>
              </w:rPr>
              <w:t>4) корпоративні облігації; ";</w:t>
            </w:r>
          </w:p>
        </w:tc>
        <w:tc>
          <w:tcPr>
            <w:tcW w:w="3686" w:type="dxa"/>
          </w:tcPr>
          <w:p w14:paraId="73AE4376" w14:textId="77777777" w:rsidR="008A5602" w:rsidRPr="00286216" w:rsidRDefault="008A5602" w:rsidP="008A5602">
            <w:pPr>
              <w:pStyle w:val="StyleProp"/>
              <w:rPr>
                <w:color w:val="000000" w:themeColor="text1"/>
                <w:szCs w:val="18"/>
              </w:rPr>
            </w:pPr>
          </w:p>
        </w:tc>
        <w:tc>
          <w:tcPr>
            <w:tcW w:w="1987" w:type="dxa"/>
          </w:tcPr>
          <w:p w14:paraId="7F5F09E3" w14:textId="77777777" w:rsidR="008A5602" w:rsidRPr="00286216" w:rsidRDefault="008A5602" w:rsidP="008A5602">
            <w:pPr>
              <w:pStyle w:val="StyleWisnow"/>
              <w:rPr>
                <w:color w:val="000000" w:themeColor="text1"/>
              </w:rPr>
            </w:pPr>
          </w:p>
        </w:tc>
        <w:tc>
          <w:tcPr>
            <w:tcW w:w="4818" w:type="dxa"/>
          </w:tcPr>
          <w:p w14:paraId="7C0B4BC3" w14:textId="241F3997" w:rsidR="008A5602" w:rsidRPr="00286216" w:rsidRDefault="008A5602" w:rsidP="008A5602">
            <w:pPr>
              <w:pStyle w:val="StyleZakonu"/>
              <w:rPr>
                <w:color w:val="000000" w:themeColor="text1"/>
              </w:rPr>
            </w:pPr>
            <w:r w:rsidRPr="00286216">
              <w:rPr>
                <w:color w:val="000000" w:themeColor="text1"/>
              </w:rPr>
              <w:t>4) корпоративні облігації";</w:t>
            </w:r>
          </w:p>
        </w:tc>
      </w:tr>
      <w:tr w:rsidR="008A5602" w:rsidRPr="00286216" w14:paraId="3AE38AD2" w14:textId="77777777" w:rsidTr="00091AA5">
        <w:tc>
          <w:tcPr>
            <w:tcW w:w="576" w:type="dxa"/>
          </w:tcPr>
          <w:p w14:paraId="6D601804" w14:textId="77777777" w:rsidR="008A5602" w:rsidRPr="00286216" w:rsidRDefault="008A5602" w:rsidP="008A5602">
            <w:pPr>
              <w:pStyle w:val="StyleWisnow"/>
              <w:rPr>
                <w:color w:val="000000" w:themeColor="text1"/>
              </w:rPr>
            </w:pPr>
            <w:bookmarkStart w:id="3531" w:name="n3661" w:colFirst="0" w:colLast="0"/>
            <w:bookmarkEnd w:id="3530"/>
            <w:r w:rsidRPr="00286216">
              <w:rPr>
                <w:color w:val="000000" w:themeColor="text1"/>
              </w:rPr>
              <w:t>3661.</w:t>
            </w:r>
          </w:p>
        </w:tc>
        <w:tc>
          <w:tcPr>
            <w:tcW w:w="4818" w:type="dxa"/>
          </w:tcPr>
          <w:p w14:paraId="1A865362" w14:textId="77777777" w:rsidR="008A5602" w:rsidRPr="00286216" w:rsidRDefault="008A5602" w:rsidP="008A5602">
            <w:pPr>
              <w:pStyle w:val="StyleZakonu"/>
              <w:rPr>
                <w:color w:val="000000" w:themeColor="text1"/>
              </w:rPr>
            </w:pPr>
            <w:r w:rsidRPr="00286216">
              <w:rPr>
                <w:color w:val="000000" w:themeColor="text1"/>
              </w:rPr>
              <w:t>пункт дванадцятий викласти в такій редакції:</w:t>
            </w:r>
          </w:p>
        </w:tc>
        <w:tc>
          <w:tcPr>
            <w:tcW w:w="3686" w:type="dxa"/>
          </w:tcPr>
          <w:p w14:paraId="2E3988E1" w14:textId="77777777" w:rsidR="008A5602" w:rsidRPr="00286216" w:rsidRDefault="008A5602" w:rsidP="008A5602">
            <w:pPr>
              <w:pStyle w:val="StyleProp"/>
              <w:rPr>
                <w:color w:val="000000" w:themeColor="text1"/>
                <w:szCs w:val="18"/>
              </w:rPr>
            </w:pPr>
          </w:p>
        </w:tc>
        <w:tc>
          <w:tcPr>
            <w:tcW w:w="1987" w:type="dxa"/>
          </w:tcPr>
          <w:p w14:paraId="7044F501" w14:textId="77777777" w:rsidR="008A5602" w:rsidRPr="00286216" w:rsidRDefault="008A5602" w:rsidP="008A5602">
            <w:pPr>
              <w:pStyle w:val="StyleWisnow"/>
              <w:rPr>
                <w:color w:val="000000" w:themeColor="text1"/>
              </w:rPr>
            </w:pPr>
          </w:p>
        </w:tc>
        <w:tc>
          <w:tcPr>
            <w:tcW w:w="4818" w:type="dxa"/>
          </w:tcPr>
          <w:p w14:paraId="20781C54" w14:textId="46996BB3" w:rsidR="008A5602" w:rsidRPr="00286216" w:rsidRDefault="008A5602" w:rsidP="008A5602">
            <w:pPr>
              <w:pStyle w:val="StyleZakonu"/>
              <w:rPr>
                <w:color w:val="000000" w:themeColor="text1"/>
              </w:rPr>
            </w:pPr>
          </w:p>
        </w:tc>
      </w:tr>
      <w:tr w:rsidR="008A5602" w:rsidRPr="00286216" w14:paraId="196978F0" w14:textId="77777777" w:rsidTr="00091AA5">
        <w:tc>
          <w:tcPr>
            <w:tcW w:w="576" w:type="dxa"/>
          </w:tcPr>
          <w:p w14:paraId="46517EFE" w14:textId="77777777" w:rsidR="008A5602" w:rsidRPr="00286216" w:rsidRDefault="008A5602" w:rsidP="008A5602">
            <w:pPr>
              <w:pStyle w:val="StyleWisnow"/>
              <w:rPr>
                <w:color w:val="000000" w:themeColor="text1"/>
              </w:rPr>
            </w:pPr>
            <w:bookmarkStart w:id="3532" w:name="n3662" w:colFirst="0" w:colLast="0"/>
            <w:bookmarkEnd w:id="3531"/>
            <w:r w:rsidRPr="00286216">
              <w:rPr>
                <w:color w:val="000000" w:themeColor="text1"/>
              </w:rPr>
              <w:t>3662.</w:t>
            </w:r>
          </w:p>
        </w:tc>
        <w:tc>
          <w:tcPr>
            <w:tcW w:w="4818" w:type="dxa"/>
          </w:tcPr>
          <w:p w14:paraId="3F81B4E9" w14:textId="77777777" w:rsidR="008A5602" w:rsidRPr="00286216" w:rsidRDefault="008A5602" w:rsidP="008A5602">
            <w:pPr>
              <w:pStyle w:val="StyleZakonu"/>
              <w:rPr>
                <w:color w:val="000000" w:themeColor="text1"/>
              </w:rPr>
            </w:pPr>
            <w:r w:rsidRPr="00286216">
              <w:rPr>
                <w:color w:val="000000" w:themeColor="text1"/>
              </w:rPr>
              <w:t>"12) деривативні (похідні) фінансові інструменти, базовим активом яких є активи, зазначені у пунктах 1 - 8 цієї частини, та/або базовим показником яких є ціна (курс) таких активів або індекс, що розраховується виходячи з ціни (курсу) таких активів.";</w:t>
            </w:r>
          </w:p>
        </w:tc>
        <w:tc>
          <w:tcPr>
            <w:tcW w:w="3686" w:type="dxa"/>
          </w:tcPr>
          <w:p w14:paraId="06475316" w14:textId="6119F5EB"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1471</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E0611ED" w14:textId="01B03C35" w:rsidR="008A5602" w:rsidRPr="00286216" w:rsidRDefault="008A5602" w:rsidP="008A5602">
            <w:pPr>
              <w:pStyle w:val="StyleProp"/>
              <w:rPr>
                <w:color w:val="000000" w:themeColor="text1"/>
                <w:szCs w:val="18"/>
              </w:rPr>
            </w:pPr>
            <w:r w:rsidRPr="00286216">
              <w:rPr>
                <w:color w:val="000000" w:themeColor="text1"/>
              </w:rPr>
              <w:t>В абзаці 6 підпункту «є» підпункту 8 пункту 43 Розділу 3 слово та символи «(похідні)» виключити.</w:t>
            </w:r>
          </w:p>
        </w:tc>
        <w:tc>
          <w:tcPr>
            <w:tcW w:w="1987" w:type="dxa"/>
          </w:tcPr>
          <w:p w14:paraId="79EAB5A5" w14:textId="51748DC2"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3C476138" w14:textId="78785399" w:rsidR="008A5602" w:rsidRPr="00286216" w:rsidRDefault="008A5602" w:rsidP="008A5602">
            <w:pPr>
              <w:pStyle w:val="StyleZakonu"/>
              <w:rPr>
                <w:color w:val="000000" w:themeColor="text1"/>
              </w:rPr>
            </w:pPr>
            <w:r w:rsidRPr="00286216">
              <w:rPr>
                <w:color w:val="000000" w:themeColor="text1"/>
              </w:rPr>
              <w:t>"12) деривативні контракти, базовим активом яких є активи, зазначені у пунктах 1 - 8 цієї частини, та/або базовим показником яких є ціна (курс) таких активів або індекс, що розраховується виходячи з ціни (курсу) таких активів.";</w:t>
            </w:r>
          </w:p>
        </w:tc>
      </w:tr>
      <w:tr w:rsidR="008A5602" w:rsidRPr="00286216" w14:paraId="657F0B7A" w14:textId="77777777" w:rsidTr="00091AA5">
        <w:tc>
          <w:tcPr>
            <w:tcW w:w="576" w:type="dxa"/>
          </w:tcPr>
          <w:p w14:paraId="7E514F9F" w14:textId="77777777" w:rsidR="008A5602" w:rsidRPr="00286216" w:rsidRDefault="008A5602" w:rsidP="008A5602">
            <w:pPr>
              <w:pStyle w:val="StyleWisnow"/>
              <w:rPr>
                <w:color w:val="000000" w:themeColor="text1"/>
              </w:rPr>
            </w:pPr>
            <w:bookmarkStart w:id="3533" w:name="n3663" w:colFirst="0" w:colLast="0"/>
            <w:bookmarkEnd w:id="3532"/>
            <w:r w:rsidRPr="00286216">
              <w:rPr>
                <w:color w:val="000000" w:themeColor="text1"/>
              </w:rPr>
              <w:t>3663.</w:t>
            </w:r>
          </w:p>
        </w:tc>
        <w:tc>
          <w:tcPr>
            <w:tcW w:w="4818" w:type="dxa"/>
          </w:tcPr>
          <w:p w14:paraId="10688F0F" w14:textId="77777777" w:rsidR="008A5602" w:rsidRPr="00286216" w:rsidRDefault="008A5602" w:rsidP="008A5602">
            <w:pPr>
              <w:pStyle w:val="StyleZakonu"/>
              <w:rPr>
                <w:color w:val="000000" w:themeColor="text1"/>
              </w:rPr>
            </w:pPr>
            <w:r w:rsidRPr="00286216">
              <w:rPr>
                <w:color w:val="000000" w:themeColor="text1"/>
              </w:rPr>
              <w:t>доповнити частину новим пунктом такого змісту:</w:t>
            </w:r>
          </w:p>
        </w:tc>
        <w:tc>
          <w:tcPr>
            <w:tcW w:w="3686" w:type="dxa"/>
          </w:tcPr>
          <w:p w14:paraId="1644F583" w14:textId="77777777" w:rsidR="008A5602" w:rsidRPr="00286216" w:rsidRDefault="008A5602" w:rsidP="008A5602">
            <w:pPr>
              <w:pStyle w:val="StyleProp"/>
              <w:rPr>
                <w:color w:val="000000" w:themeColor="text1"/>
                <w:szCs w:val="18"/>
              </w:rPr>
            </w:pPr>
          </w:p>
        </w:tc>
        <w:tc>
          <w:tcPr>
            <w:tcW w:w="1987" w:type="dxa"/>
          </w:tcPr>
          <w:p w14:paraId="6E8B6BDE" w14:textId="77777777" w:rsidR="008A5602" w:rsidRPr="00286216" w:rsidRDefault="008A5602" w:rsidP="008A5602">
            <w:pPr>
              <w:pStyle w:val="StyleWisnow"/>
              <w:rPr>
                <w:color w:val="000000" w:themeColor="text1"/>
              </w:rPr>
            </w:pPr>
          </w:p>
        </w:tc>
        <w:tc>
          <w:tcPr>
            <w:tcW w:w="4818" w:type="dxa"/>
          </w:tcPr>
          <w:p w14:paraId="75B61636" w14:textId="06C585CD" w:rsidR="008A5602" w:rsidRPr="00286216" w:rsidRDefault="008A5602" w:rsidP="008A5602">
            <w:pPr>
              <w:pStyle w:val="StyleZakonu"/>
              <w:rPr>
                <w:color w:val="000000" w:themeColor="text1"/>
              </w:rPr>
            </w:pPr>
            <w:r w:rsidRPr="00286216">
              <w:rPr>
                <w:color w:val="000000" w:themeColor="text1"/>
              </w:rPr>
              <w:t>доповнити пунктом 13 такого змісту:</w:t>
            </w:r>
          </w:p>
        </w:tc>
      </w:tr>
      <w:tr w:rsidR="008A5602" w:rsidRPr="00286216" w14:paraId="74477758" w14:textId="77777777" w:rsidTr="00091AA5">
        <w:tc>
          <w:tcPr>
            <w:tcW w:w="576" w:type="dxa"/>
          </w:tcPr>
          <w:p w14:paraId="55E83CE2" w14:textId="77777777" w:rsidR="008A5602" w:rsidRPr="00286216" w:rsidRDefault="008A5602" w:rsidP="008A5602">
            <w:pPr>
              <w:pStyle w:val="StyleWisnow"/>
              <w:rPr>
                <w:color w:val="000000" w:themeColor="text1"/>
              </w:rPr>
            </w:pPr>
            <w:bookmarkStart w:id="3534" w:name="n3664" w:colFirst="0" w:colLast="0"/>
            <w:bookmarkEnd w:id="3533"/>
            <w:r w:rsidRPr="00286216">
              <w:rPr>
                <w:color w:val="000000" w:themeColor="text1"/>
              </w:rPr>
              <w:lastRenderedPageBreak/>
              <w:t>3664.</w:t>
            </w:r>
          </w:p>
        </w:tc>
        <w:tc>
          <w:tcPr>
            <w:tcW w:w="4818" w:type="dxa"/>
          </w:tcPr>
          <w:p w14:paraId="497483B7" w14:textId="77777777" w:rsidR="008A5602" w:rsidRPr="00286216" w:rsidRDefault="008A5602" w:rsidP="008A5602">
            <w:pPr>
              <w:pStyle w:val="StyleZakonu"/>
              <w:rPr>
                <w:color w:val="000000" w:themeColor="text1"/>
              </w:rPr>
            </w:pPr>
            <w:r w:rsidRPr="00286216">
              <w:rPr>
                <w:color w:val="000000" w:themeColor="text1"/>
              </w:rPr>
              <w:t>"13) облігації міжнародних фінансових організацій, що розміщуються на території України.";</w:t>
            </w:r>
          </w:p>
        </w:tc>
        <w:tc>
          <w:tcPr>
            <w:tcW w:w="3686" w:type="dxa"/>
          </w:tcPr>
          <w:p w14:paraId="15EDE69D" w14:textId="77777777" w:rsidR="008A5602" w:rsidRPr="00286216" w:rsidRDefault="008A5602" w:rsidP="008A5602">
            <w:pPr>
              <w:pStyle w:val="StyleProp"/>
              <w:rPr>
                <w:color w:val="000000" w:themeColor="text1"/>
                <w:szCs w:val="18"/>
              </w:rPr>
            </w:pPr>
          </w:p>
        </w:tc>
        <w:tc>
          <w:tcPr>
            <w:tcW w:w="1987" w:type="dxa"/>
          </w:tcPr>
          <w:p w14:paraId="62B4D46C" w14:textId="77777777" w:rsidR="008A5602" w:rsidRPr="00286216" w:rsidRDefault="008A5602" w:rsidP="008A5602">
            <w:pPr>
              <w:pStyle w:val="StyleWisnow"/>
              <w:rPr>
                <w:color w:val="000000" w:themeColor="text1"/>
              </w:rPr>
            </w:pPr>
          </w:p>
        </w:tc>
        <w:tc>
          <w:tcPr>
            <w:tcW w:w="4818" w:type="dxa"/>
          </w:tcPr>
          <w:p w14:paraId="4E4626B3" w14:textId="62AABFCB" w:rsidR="008A5602" w:rsidRPr="00286216" w:rsidRDefault="008A5602" w:rsidP="008A5602">
            <w:pPr>
              <w:pStyle w:val="StyleZakonu"/>
              <w:rPr>
                <w:color w:val="000000" w:themeColor="text1"/>
              </w:rPr>
            </w:pPr>
            <w:r w:rsidRPr="00286216">
              <w:rPr>
                <w:color w:val="000000" w:themeColor="text1"/>
              </w:rPr>
              <w:t>"13) облігації міжнародних фінансових організацій, що розміщуються на території України";</w:t>
            </w:r>
          </w:p>
        </w:tc>
      </w:tr>
      <w:tr w:rsidR="008A5602" w:rsidRPr="00286216" w14:paraId="4916483D" w14:textId="77777777" w:rsidTr="00091AA5">
        <w:tc>
          <w:tcPr>
            <w:tcW w:w="576" w:type="dxa"/>
          </w:tcPr>
          <w:p w14:paraId="74BA4E65" w14:textId="77777777" w:rsidR="008A5602" w:rsidRPr="00286216" w:rsidRDefault="008A5602" w:rsidP="008A5602">
            <w:pPr>
              <w:pStyle w:val="StyleWisnow"/>
              <w:rPr>
                <w:color w:val="000000" w:themeColor="text1"/>
              </w:rPr>
            </w:pPr>
            <w:bookmarkStart w:id="3535" w:name="n3665" w:colFirst="0" w:colLast="0"/>
            <w:bookmarkEnd w:id="3534"/>
            <w:r w:rsidRPr="00286216">
              <w:rPr>
                <w:color w:val="000000" w:themeColor="text1"/>
              </w:rPr>
              <w:t>3665.</w:t>
            </w:r>
          </w:p>
        </w:tc>
        <w:tc>
          <w:tcPr>
            <w:tcW w:w="4818" w:type="dxa"/>
          </w:tcPr>
          <w:p w14:paraId="2A5E7A65" w14:textId="77777777" w:rsidR="008A5602" w:rsidRPr="00286216" w:rsidRDefault="008A5602" w:rsidP="008A5602">
            <w:pPr>
              <w:pStyle w:val="StyleZakonu"/>
              <w:rPr>
                <w:color w:val="000000" w:themeColor="text1"/>
              </w:rPr>
            </w:pPr>
            <w:r w:rsidRPr="00286216">
              <w:rPr>
                <w:color w:val="000000" w:themeColor="text1"/>
              </w:rPr>
              <w:t>ж) у пункті 2 частини тринадцятої слова "облігації підприємств" замінити словами "корпоративні облігації";</w:t>
            </w:r>
          </w:p>
        </w:tc>
        <w:tc>
          <w:tcPr>
            <w:tcW w:w="3686" w:type="dxa"/>
          </w:tcPr>
          <w:p w14:paraId="058A385B" w14:textId="77777777" w:rsidR="008A5602" w:rsidRPr="00286216" w:rsidRDefault="008A5602" w:rsidP="008A5602">
            <w:pPr>
              <w:pStyle w:val="StyleProp"/>
              <w:rPr>
                <w:color w:val="000000" w:themeColor="text1"/>
                <w:szCs w:val="18"/>
              </w:rPr>
            </w:pPr>
          </w:p>
        </w:tc>
        <w:tc>
          <w:tcPr>
            <w:tcW w:w="1987" w:type="dxa"/>
          </w:tcPr>
          <w:p w14:paraId="22A0AF5C" w14:textId="77777777" w:rsidR="008A5602" w:rsidRPr="00286216" w:rsidRDefault="008A5602" w:rsidP="008A5602">
            <w:pPr>
              <w:pStyle w:val="StyleWisnow"/>
              <w:rPr>
                <w:color w:val="000000" w:themeColor="text1"/>
              </w:rPr>
            </w:pPr>
          </w:p>
        </w:tc>
        <w:tc>
          <w:tcPr>
            <w:tcW w:w="4818" w:type="dxa"/>
          </w:tcPr>
          <w:p w14:paraId="09742E06" w14:textId="4B8CC309" w:rsidR="008A5602" w:rsidRPr="00286216" w:rsidRDefault="008A5602" w:rsidP="008A5602">
            <w:pPr>
              <w:pStyle w:val="StyleZakonu"/>
              <w:rPr>
                <w:color w:val="000000" w:themeColor="text1"/>
              </w:rPr>
            </w:pPr>
            <w:r w:rsidRPr="00286216">
              <w:rPr>
                <w:color w:val="000000" w:themeColor="text1"/>
              </w:rPr>
              <w:t>з</w:t>
            </w:r>
            <w:r w:rsidRPr="00286216" w:rsidDel="006A12A2">
              <w:rPr>
                <w:color w:val="000000" w:themeColor="text1"/>
              </w:rPr>
              <w:t xml:space="preserve"> </w:t>
            </w:r>
            <w:r w:rsidRPr="00286216">
              <w:rPr>
                <w:color w:val="000000" w:themeColor="text1"/>
              </w:rPr>
              <w:t>) у пункті 2 частини тринадцятої слова "облігації підприємств" замінити словами "корпоративні облігації";</w:t>
            </w:r>
          </w:p>
        </w:tc>
      </w:tr>
      <w:tr w:rsidR="008A5602" w:rsidRPr="00286216" w14:paraId="1F996082" w14:textId="77777777" w:rsidTr="00091AA5">
        <w:tc>
          <w:tcPr>
            <w:tcW w:w="576" w:type="dxa"/>
          </w:tcPr>
          <w:p w14:paraId="76DE1E81" w14:textId="77777777" w:rsidR="008A5602" w:rsidRPr="00286216" w:rsidRDefault="008A5602" w:rsidP="008A5602">
            <w:pPr>
              <w:pStyle w:val="StyleWisnow"/>
              <w:rPr>
                <w:color w:val="000000" w:themeColor="text1"/>
              </w:rPr>
            </w:pPr>
            <w:bookmarkStart w:id="3536" w:name="n3666" w:colFirst="0" w:colLast="0"/>
            <w:bookmarkEnd w:id="3535"/>
            <w:r w:rsidRPr="00286216">
              <w:rPr>
                <w:color w:val="000000" w:themeColor="text1"/>
              </w:rPr>
              <w:t>3666.</w:t>
            </w:r>
          </w:p>
        </w:tc>
        <w:tc>
          <w:tcPr>
            <w:tcW w:w="4818" w:type="dxa"/>
          </w:tcPr>
          <w:p w14:paraId="42452C9B" w14:textId="77777777" w:rsidR="008A5602" w:rsidRPr="00286216" w:rsidRDefault="008A5602" w:rsidP="008A5602">
            <w:pPr>
              <w:pStyle w:val="StyleZakonu"/>
              <w:rPr>
                <w:color w:val="000000" w:themeColor="text1"/>
              </w:rPr>
            </w:pPr>
            <w:r w:rsidRPr="00286216">
              <w:rPr>
                <w:color w:val="000000" w:themeColor="text1"/>
              </w:rPr>
              <w:t>з) у частині чотирнадцятій</w:t>
            </w:r>
          </w:p>
        </w:tc>
        <w:tc>
          <w:tcPr>
            <w:tcW w:w="3686" w:type="dxa"/>
          </w:tcPr>
          <w:p w14:paraId="72CD05F4" w14:textId="77777777" w:rsidR="008A5602" w:rsidRPr="00286216" w:rsidRDefault="008A5602" w:rsidP="008A5602">
            <w:pPr>
              <w:pStyle w:val="StyleProp"/>
              <w:rPr>
                <w:color w:val="000000" w:themeColor="text1"/>
                <w:szCs w:val="18"/>
              </w:rPr>
            </w:pPr>
          </w:p>
        </w:tc>
        <w:tc>
          <w:tcPr>
            <w:tcW w:w="1987" w:type="dxa"/>
          </w:tcPr>
          <w:p w14:paraId="3E6A6511" w14:textId="77777777" w:rsidR="008A5602" w:rsidRPr="00286216" w:rsidRDefault="008A5602" w:rsidP="008A5602">
            <w:pPr>
              <w:pStyle w:val="StyleWisnow"/>
              <w:rPr>
                <w:color w:val="000000" w:themeColor="text1"/>
              </w:rPr>
            </w:pPr>
          </w:p>
        </w:tc>
        <w:tc>
          <w:tcPr>
            <w:tcW w:w="4818" w:type="dxa"/>
          </w:tcPr>
          <w:p w14:paraId="12B407BC" w14:textId="72230682" w:rsidR="008A5602" w:rsidRPr="00286216" w:rsidRDefault="008A5602" w:rsidP="008A5602">
            <w:pPr>
              <w:pStyle w:val="StyleZakonu"/>
              <w:rPr>
                <w:color w:val="000000" w:themeColor="text1"/>
              </w:rPr>
            </w:pPr>
            <w:r w:rsidRPr="00286216">
              <w:rPr>
                <w:color w:val="000000" w:themeColor="text1"/>
              </w:rPr>
              <w:t>и) у частині чотирнадцятій</w:t>
            </w:r>
          </w:p>
        </w:tc>
      </w:tr>
      <w:tr w:rsidR="008A5602" w:rsidRPr="00286216" w14:paraId="3998EA50" w14:textId="77777777" w:rsidTr="00091AA5">
        <w:tc>
          <w:tcPr>
            <w:tcW w:w="576" w:type="dxa"/>
          </w:tcPr>
          <w:p w14:paraId="5A183151" w14:textId="77777777" w:rsidR="008A5602" w:rsidRPr="00286216" w:rsidRDefault="008A5602" w:rsidP="008A5602">
            <w:pPr>
              <w:pStyle w:val="StyleWisnow"/>
              <w:rPr>
                <w:color w:val="000000" w:themeColor="text1"/>
              </w:rPr>
            </w:pPr>
            <w:bookmarkStart w:id="3537" w:name="n3667" w:colFirst="0" w:colLast="0"/>
            <w:bookmarkEnd w:id="3536"/>
            <w:r w:rsidRPr="00286216">
              <w:rPr>
                <w:color w:val="000000" w:themeColor="text1"/>
              </w:rPr>
              <w:t>3667.</w:t>
            </w:r>
          </w:p>
        </w:tc>
        <w:tc>
          <w:tcPr>
            <w:tcW w:w="4818" w:type="dxa"/>
          </w:tcPr>
          <w:p w14:paraId="6D28E550" w14:textId="77777777" w:rsidR="008A5602" w:rsidRPr="00286216" w:rsidRDefault="008A5602" w:rsidP="008A5602">
            <w:pPr>
              <w:pStyle w:val="StyleZakonu"/>
              <w:rPr>
                <w:color w:val="000000" w:themeColor="text1"/>
              </w:rPr>
            </w:pPr>
            <w:r w:rsidRPr="00286216">
              <w:rPr>
                <w:color w:val="000000" w:themeColor="text1"/>
              </w:rPr>
              <w:t>пункт третій викласти в такій редакції:</w:t>
            </w:r>
          </w:p>
        </w:tc>
        <w:tc>
          <w:tcPr>
            <w:tcW w:w="3686" w:type="dxa"/>
          </w:tcPr>
          <w:p w14:paraId="54F215B0" w14:textId="77777777" w:rsidR="008A5602" w:rsidRPr="00286216" w:rsidRDefault="008A5602" w:rsidP="008A5602">
            <w:pPr>
              <w:pStyle w:val="StyleProp"/>
              <w:rPr>
                <w:color w:val="000000" w:themeColor="text1"/>
                <w:szCs w:val="18"/>
              </w:rPr>
            </w:pPr>
          </w:p>
        </w:tc>
        <w:tc>
          <w:tcPr>
            <w:tcW w:w="1987" w:type="dxa"/>
          </w:tcPr>
          <w:p w14:paraId="6636E2DE" w14:textId="77777777" w:rsidR="008A5602" w:rsidRPr="00286216" w:rsidRDefault="008A5602" w:rsidP="008A5602">
            <w:pPr>
              <w:pStyle w:val="StyleWisnow"/>
              <w:rPr>
                <w:color w:val="000000" w:themeColor="text1"/>
              </w:rPr>
            </w:pPr>
          </w:p>
        </w:tc>
        <w:tc>
          <w:tcPr>
            <w:tcW w:w="4818" w:type="dxa"/>
          </w:tcPr>
          <w:p w14:paraId="62AA47FF" w14:textId="44BDAC0D" w:rsidR="008A5602" w:rsidRPr="00286216" w:rsidRDefault="008A5602" w:rsidP="008A5602">
            <w:pPr>
              <w:pStyle w:val="StyleZakonu"/>
              <w:rPr>
                <w:color w:val="000000" w:themeColor="text1"/>
              </w:rPr>
            </w:pPr>
            <w:r w:rsidRPr="00286216">
              <w:rPr>
                <w:color w:val="000000" w:themeColor="text1"/>
              </w:rPr>
              <w:t>пункти  3 і 8 викласти в такій редакції:</w:t>
            </w:r>
          </w:p>
        </w:tc>
      </w:tr>
      <w:tr w:rsidR="008A5602" w:rsidRPr="00286216" w14:paraId="6E8235BD" w14:textId="77777777" w:rsidTr="00091AA5">
        <w:tc>
          <w:tcPr>
            <w:tcW w:w="576" w:type="dxa"/>
          </w:tcPr>
          <w:p w14:paraId="3A61CF63" w14:textId="77777777" w:rsidR="008A5602" w:rsidRPr="00286216" w:rsidRDefault="008A5602" w:rsidP="008A5602">
            <w:pPr>
              <w:pStyle w:val="StyleWisnow"/>
              <w:rPr>
                <w:color w:val="000000" w:themeColor="text1"/>
              </w:rPr>
            </w:pPr>
            <w:bookmarkStart w:id="3538" w:name="n3668" w:colFirst="0" w:colLast="0"/>
            <w:bookmarkEnd w:id="3537"/>
            <w:r w:rsidRPr="00286216">
              <w:rPr>
                <w:color w:val="000000" w:themeColor="text1"/>
              </w:rPr>
              <w:t>3668.</w:t>
            </w:r>
          </w:p>
        </w:tc>
        <w:tc>
          <w:tcPr>
            <w:tcW w:w="4818" w:type="dxa"/>
          </w:tcPr>
          <w:p w14:paraId="555DD803" w14:textId="77777777"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сертифікату банку; ";</w:t>
            </w:r>
          </w:p>
        </w:tc>
        <w:tc>
          <w:tcPr>
            <w:tcW w:w="3686" w:type="dxa"/>
          </w:tcPr>
          <w:p w14:paraId="0C34DD22" w14:textId="77777777" w:rsidR="008A5602" w:rsidRPr="00286216" w:rsidRDefault="008A5602" w:rsidP="008A5602">
            <w:pPr>
              <w:pStyle w:val="StyleProp"/>
              <w:rPr>
                <w:color w:val="000000" w:themeColor="text1"/>
                <w:szCs w:val="18"/>
              </w:rPr>
            </w:pPr>
          </w:p>
        </w:tc>
        <w:tc>
          <w:tcPr>
            <w:tcW w:w="1987" w:type="dxa"/>
          </w:tcPr>
          <w:p w14:paraId="6314265C" w14:textId="77777777" w:rsidR="008A5602" w:rsidRPr="00286216" w:rsidRDefault="008A5602" w:rsidP="008A5602">
            <w:pPr>
              <w:pStyle w:val="StyleWisnow"/>
              <w:rPr>
                <w:color w:val="000000" w:themeColor="text1"/>
              </w:rPr>
            </w:pPr>
          </w:p>
        </w:tc>
        <w:tc>
          <w:tcPr>
            <w:tcW w:w="4818" w:type="dxa"/>
          </w:tcPr>
          <w:p w14:paraId="17107C6E" w14:textId="1FF3A59B"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сертифікату банку; ";</w:t>
            </w:r>
          </w:p>
        </w:tc>
      </w:tr>
      <w:tr w:rsidR="008A5602" w:rsidRPr="00286216" w14:paraId="6B21590D" w14:textId="77777777" w:rsidTr="00091AA5">
        <w:tc>
          <w:tcPr>
            <w:tcW w:w="576" w:type="dxa"/>
          </w:tcPr>
          <w:p w14:paraId="14549331" w14:textId="77777777" w:rsidR="008A5602" w:rsidRPr="00286216" w:rsidRDefault="008A5602" w:rsidP="008A5602">
            <w:pPr>
              <w:pStyle w:val="StyleWisnow"/>
              <w:rPr>
                <w:color w:val="000000" w:themeColor="text1"/>
              </w:rPr>
            </w:pPr>
            <w:bookmarkStart w:id="3539" w:name="n3669" w:colFirst="0" w:colLast="0"/>
            <w:bookmarkEnd w:id="3538"/>
            <w:r w:rsidRPr="00286216">
              <w:rPr>
                <w:color w:val="000000" w:themeColor="text1"/>
              </w:rPr>
              <w:t>3669.</w:t>
            </w:r>
          </w:p>
        </w:tc>
        <w:tc>
          <w:tcPr>
            <w:tcW w:w="4818" w:type="dxa"/>
          </w:tcPr>
          <w:p w14:paraId="0B9F7846" w14:textId="77777777" w:rsidR="008A5602" w:rsidRPr="00286216" w:rsidRDefault="008A5602" w:rsidP="008A5602">
            <w:pPr>
              <w:pStyle w:val="StyleZakonu"/>
              <w:rPr>
                <w:color w:val="000000" w:themeColor="text1"/>
              </w:rPr>
            </w:pPr>
            <w:r w:rsidRPr="00286216">
              <w:rPr>
                <w:color w:val="000000" w:themeColor="text1"/>
              </w:rPr>
              <w:t>пункт восьмий викласти в такій редакції:</w:t>
            </w:r>
          </w:p>
        </w:tc>
        <w:tc>
          <w:tcPr>
            <w:tcW w:w="3686" w:type="dxa"/>
          </w:tcPr>
          <w:p w14:paraId="7FD5D51D" w14:textId="77777777" w:rsidR="008A5602" w:rsidRPr="00286216" w:rsidRDefault="008A5602" w:rsidP="008A5602">
            <w:pPr>
              <w:pStyle w:val="StyleProp"/>
              <w:rPr>
                <w:color w:val="000000" w:themeColor="text1"/>
                <w:szCs w:val="18"/>
              </w:rPr>
            </w:pPr>
          </w:p>
        </w:tc>
        <w:tc>
          <w:tcPr>
            <w:tcW w:w="1987" w:type="dxa"/>
          </w:tcPr>
          <w:p w14:paraId="495DC8DF" w14:textId="77777777" w:rsidR="008A5602" w:rsidRPr="00286216" w:rsidRDefault="008A5602" w:rsidP="008A5602">
            <w:pPr>
              <w:pStyle w:val="StyleWisnow"/>
              <w:rPr>
                <w:color w:val="000000" w:themeColor="text1"/>
              </w:rPr>
            </w:pPr>
          </w:p>
        </w:tc>
        <w:tc>
          <w:tcPr>
            <w:tcW w:w="4818" w:type="dxa"/>
          </w:tcPr>
          <w:p w14:paraId="2DEFFF49" w14:textId="3B7E4E42" w:rsidR="008A5602" w:rsidRPr="00286216" w:rsidRDefault="008A5602" w:rsidP="008A5602">
            <w:pPr>
              <w:pStyle w:val="StyleZakonu"/>
              <w:rPr>
                <w:color w:val="000000" w:themeColor="text1"/>
              </w:rPr>
            </w:pPr>
          </w:p>
        </w:tc>
      </w:tr>
      <w:tr w:rsidR="008A5602" w:rsidRPr="00286216" w14:paraId="2AB34268" w14:textId="77777777" w:rsidTr="00091AA5">
        <w:tc>
          <w:tcPr>
            <w:tcW w:w="576" w:type="dxa"/>
          </w:tcPr>
          <w:p w14:paraId="79623723" w14:textId="77777777" w:rsidR="008A5602" w:rsidRPr="00286216" w:rsidRDefault="008A5602" w:rsidP="008A5602">
            <w:pPr>
              <w:pStyle w:val="StyleWisnow"/>
              <w:rPr>
                <w:color w:val="000000" w:themeColor="text1"/>
              </w:rPr>
            </w:pPr>
            <w:bookmarkStart w:id="3540" w:name="n3670" w:colFirst="0" w:colLast="0"/>
            <w:bookmarkEnd w:id="3539"/>
            <w:r w:rsidRPr="00286216">
              <w:rPr>
                <w:color w:val="000000" w:themeColor="text1"/>
              </w:rPr>
              <w:t>3670.</w:t>
            </w:r>
          </w:p>
        </w:tc>
        <w:tc>
          <w:tcPr>
            <w:tcW w:w="4818" w:type="dxa"/>
          </w:tcPr>
          <w:p w14:paraId="47EA3DD0" w14:textId="77777777" w:rsidR="008A5602" w:rsidRPr="00286216" w:rsidRDefault="008A5602" w:rsidP="008A5602">
            <w:pPr>
              <w:pStyle w:val="StyleZakonu"/>
              <w:rPr>
                <w:color w:val="000000" w:themeColor="text1"/>
              </w:rPr>
            </w:pPr>
            <w:r w:rsidRPr="00286216">
              <w:rPr>
                <w:color w:val="000000" w:themeColor="text1"/>
              </w:rPr>
              <w:t>"8) деривативні (похідні) фінансові інструменти, базовим активом яких є активи, зазначені у пунктах 1 - 6 цієї частини, та/або базовим показником яких є ціна (курс) таких активів або індекс, що розраховується виходячи з ціни (курсу) таких активів.";</w:t>
            </w:r>
          </w:p>
        </w:tc>
        <w:tc>
          <w:tcPr>
            <w:tcW w:w="3686" w:type="dxa"/>
          </w:tcPr>
          <w:p w14:paraId="7F930FD0" w14:textId="51DD4192"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1472</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0523766" w14:textId="4F6CBACB" w:rsidR="008A5602" w:rsidRPr="00286216" w:rsidRDefault="008A5602" w:rsidP="008A5602">
            <w:pPr>
              <w:pStyle w:val="StyleProp"/>
              <w:rPr>
                <w:color w:val="000000" w:themeColor="text1"/>
                <w:szCs w:val="18"/>
              </w:rPr>
            </w:pPr>
            <w:r w:rsidRPr="00286216">
              <w:rPr>
                <w:color w:val="000000" w:themeColor="text1"/>
              </w:rPr>
              <w:t>В абзаці 5 підпункту «з» підпункту 8 пункту 43 Розділу 3 слово та символи «(похідні)» виключити.</w:t>
            </w:r>
          </w:p>
        </w:tc>
        <w:tc>
          <w:tcPr>
            <w:tcW w:w="1987" w:type="dxa"/>
          </w:tcPr>
          <w:p w14:paraId="6D23E791" w14:textId="565BD1F2"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1577A9A1" w14:textId="3E71CFC6" w:rsidR="008A5602" w:rsidRPr="00286216" w:rsidRDefault="008A5602" w:rsidP="008A5602">
            <w:pPr>
              <w:pStyle w:val="StyleZakonu"/>
              <w:rPr>
                <w:color w:val="000000" w:themeColor="text1"/>
              </w:rPr>
            </w:pPr>
            <w:r w:rsidRPr="00286216">
              <w:rPr>
                <w:color w:val="000000" w:themeColor="text1"/>
              </w:rPr>
              <w:t>"8) деривативні контракти, базовим активом яких є активи, зазначені у пунктах 1 - 6 цієї частини, та/або базовим показником яких є ціна (курс) таких активів або індекс, що розраховується виходячи з ціни (курсу) таких активів.";</w:t>
            </w:r>
          </w:p>
        </w:tc>
      </w:tr>
      <w:tr w:rsidR="008A5602" w:rsidRPr="00286216" w14:paraId="7625DBD3" w14:textId="77777777" w:rsidTr="00091AA5">
        <w:tc>
          <w:tcPr>
            <w:tcW w:w="576" w:type="dxa"/>
          </w:tcPr>
          <w:p w14:paraId="3A075D1C" w14:textId="77777777" w:rsidR="008A5602" w:rsidRPr="00286216" w:rsidRDefault="008A5602" w:rsidP="008A5602">
            <w:pPr>
              <w:pStyle w:val="StyleWisnow"/>
              <w:rPr>
                <w:color w:val="000000" w:themeColor="text1"/>
              </w:rPr>
            </w:pPr>
            <w:bookmarkStart w:id="3541" w:name="n3671" w:colFirst="0" w:colLast="0"/>
            <w:bookmarkEnd w:id="3540"/>
            <w:r w:rsidRPr="00286216">
              <w:rPr>
                <w:color w:val="000000" w:themeColor="text1"/>
              </w:rPr>
              <w:t>3671.</w:t>
            </w:r>
          </w:p>
        </w:tc>
        <w:tc>
          <w:tcPr>
            <w:tcW w:w="4818" w:type="dxa"/>
          </w:tcPr>
          <w:p w14:paraId="478BC008" w14:textId="77777777" w:rsidR="008A5602" w:rsidRPr="00286216" w:rsidRDefault="008A5602" w:rsidP="008A5602">
            <w:pPr>
              <w:pStyle w:val="StyleZakonu"/>
              <w:rPr>
                <w:color w:val="000000" w:themeColor="text1"/>
              </w:rPr>
            </w:pPr>
            <w:r w:rsidRPr="00286216">
              <w:rPr>
                <w:color w:val="000000" w:themeColor="text1"/>
              </w:rPr>
              <w:t>і) у частині дев’ятнадцятій:</w:t>
            </w:r>
          </w:p>
        </w:tc>
        <w:tc>
          <w:tcPr>
            <w:tcW w:w="3686" w:type="dxa"/>
          </w:tcPr>
          <w:p w14:paraId="5752C9F9" w14:textId="77777777" w:rsidR="008A5602" w:rsidRPr="00286216" w:rsidRDefault="008A5602" w:rsidP="008A5602">
            <w:pPr>
              <w:pStyle w:val="StyleProp"/>
              <w:rPr>
                <w:color w:val="000000" w:themeColor="text1"/>
                <w:szCs w:val="18"/>
              </w:rPr>
            </w:pPr>
          </w:p>
        </w:tc>
        <w:tc>
          <w:tcPr>
            <w:tcW w:w="1987" w:type="dxa"/>
          </w:tcPr>
          <w:p w14:paraId="1E1B31D9" w14:textId="77777777" w:rsidR="008A5602" w:rsidRPr="00286216" w:rsidRDefault="008A5602" w:rsidP="008A5602">
            <w:pPr>
              <w:pStyle w:val="StyleWisnow"/>
              <w:rPr>
                <w:color w:val="000000" w:themeColor="text1"/>
              </w:rPr>
            </w:pPr>
          </w:p>
        </w:tc>
        <w:tc>
          <w:tcPr>
            <w:tcW w:w="4818" w:type="dxa"/>
          </w:tcPr>
          <w:p w14:paraId="145403E3" w14:textId="49AB56AB" w:rsidR="008A5602" w:rsidRPr="00286216" w:rsidRDefault="008A5602" w:rsidP="008A5602">
            <w:pPr>
              <w:pStyle w:val="StyleZakonu"/>
              <w:rPr>
                <w:color w:val="000000" w:themeColor="text1"/>
              </w:rPr>
            </w:pPr>
            <w:r w:rsidRPr="00286216">
              <w:rPr>
                <w:color w:val="000000" w:themeColor="text1"/>
              </w:rPr>
              <w:t>і) у частині дев’ятнадцятій:</w:t>
            </w:r>
          </w:p>
        </w:tc>
      </w:tr>
      <w:tr w:rsidR="008A5602" w:rsidRPr="00286216" w14:paraId="3C0FD716" w14:textId="77777777" w:rsidTr="00091AA5">
        <w:tc>
          <w:tcPr>
            <w:tcW w:w="576" w:type="dxa"/>
          </w:tcPr>
          <w:p w14:paraId="256F2EFB" w14:textId="77777777" w:rsidR="008A5602" w:rsidRPr="00286216" w:rsidRDefault="008A5602" w:rsidP="008A5602">
            <w:pPr>
              <w:pStyle w:val="StyleWisnow"/>
              <w:rPr>
                <w:color w:val="000000" w:themeColor="text1"/>
              </w:rPr>
            </w:pPr>
            <w:bookmarkStart w:id="3542" w:name="n3672" w:colFirst="0" w:colLast="0"/>
            <w:bookmarkEnd w:id="3541"/>
            <w:r w:rsidRPr="00286216">
              <w:rPr>
                <w:color w:val="000000" w:themeColor="text1"/>
              </w:rPr>
              <w:t>3672.</w:t>
            </w:r>
          </w:p>
        </w:tc>
        <w:tc>
          <w:tcPr>
            <w:tcW w:w="4818" w:type="dxa"/>
          </w:tcPr>
          <w:p w14:paraId="356A1A71" w14:textId="77777777" w:rsidR="008A5602" w:rsidRPr="00286216" w:rsidRDefault="008A5602" w:rsidP="008A5602">
            <w:pPr>
              <w:pStyle w:val="StyleZakonu"/>
              <w:rPr>
                <w:color w:val="000000" w:themeColor="text1"/>
              </w:rPr>
            </w:pPr>
            <w:r w:rsidRPr="00286216">
              <w:rPr>
                <w:color w:val="000000" w:themeColor="text1"/>
              </w:rPr>
              <w:t>пункт третій викласти в такій редакції:</w:t>
            </w:r>
          </w:p>
        </w:tc>
        <w:tc>
          <w:tcPr>
            <w:tcW w:w="3686" w:type="dxa"/>
          </w:tcPr>
          <w:p w14:paraId="428530ED" w14:textId="77777777" w:rsidR="008A5602" w:rsidRPr="00286216" w:rsidRDefault="008A5602" w:rsidP="008A5602">
            <w:pPr>
              <w:pStyle w:val="StyleProp"/>
              <w:rPr>
                <w:color w:val="000000" w:themeColor="text1"/>
                <w:szCs w:val="18"/>
              </w:rPr>
            </w:pPr>
          </w:p>
        </w:tc>
        <w:tc>
          <w:tcPr>
            <w:tcW w:w="1987" w:type="dxa"/>
          </w:tcPr>
          <w:p w14:paraId="0AB2BFB4" w14:textId="77777777" w:rsidR="008A5602" w:rsidRPr="00286216" w:rsidRDefault="008A5602" w:rsidP="008A5602">
            <w:pPr>
              <w:pStyle w:val="StyleWisnow"/>
              <w:rPr>
                <w:color w:val="000000" w:themeColor="text1"/>
              </w:rPr>
            </w:pPr>
          </w:p>
        </w:tc>
        <w:tc>
          <w:tcPr>
            <w:tcW w:w="4818" w:type="dxa"/>
          </w:tcPr>
          <w:p w14:paraId="06711A6F" w14:textId="778D0427" w:rsidR="008A5602" w:rsidRPr="00286216" w:rsidRDefault="008A5602" w:rsidP="008A5602">
            <w:pPr>
              <w:pStyle w:val="StyleZakonu"/>
              <w:rPr>
                <w:color w:val="000000" w:themeColor="text1"/>
              </w:rPr>
            </w:pPr>
            <w:r w:rsidRPr="00286216">
              <w:rPr>
                <w:color w:val="000000" w:themeColor="text1"/>
              </w:rPr>
              <w:t>пункт 3 викласти в такій редакції:</w:t>
            </w:r>
          </w:p>
        </w:tc>
      </w:tr>
      <w:tr w:rsidR="008A5602" w:rsidRPr="00286216" w14:paraId="19BE3AC7" w14:textId="77777777" w:rsidTr="00091AA5">
        <w:tc>
          <w:tcPr>
            <w:tcW w:w="576" w:type="dxa"/>
          </w:tcPr>
          <w:p w14:paraId="46BB3AC3" w14:textId="77777777" w:rsidR="008A5602" w:rsidRPr="00286216" w:rsidRDefault="008A5602" w:rsidP="008A5602">
            <w:pPr>
              <w:pStyle w:val="StyleWisnow"/>
              <w:rPr>
                <w:color w:val="000000" w:themeColor="text1"/>
              </w:rPr>
            </w:pPr>
            <w:bookmarkStart w:id="3543" w:name="n3673" w:colFirst="0" w:colLast="0"/>
            <w:bookmarkEnd w:id="3542"/>
            <w:r w:rsidRPr="00286216">
              <w:rPr>
                <w:color w:val="000000" w:themeColor="text1"/>
              </w:rPr>
              <w:t>3673.</w:t>
            </w:r>
          </w:p>
        </w:tc>
        <w:tc>
          <w:tcPr>
            <w:tcW w:w="4818" w:type="dxa"/>
          </w:tcPr>
          <w:p w14:paraId="17CA2787" w14:textId="77777777"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сертифікату банку; ";</w:t>
            </w:r>
          </w:p>
        </w:tc>
        <w:tc>
          <w:tcPr>
            <w:tcW w:w="3686" w:type="dxa"/>
          </w:tcPr>
          <w:p w14:paraId="415B33F8" w14:textId="77777777" w:rsidR="008A5602" w:rsidRPr="00286216" w:rsidRDefault="008A5602" w:rsidP="008A5602">
            <w:pPr>
              <w:pStyle w:val="StyleProp"/>
              <w:rPr>
                <w:color w:val="000000" w:themeColor="text1"/>
                <w:szCs w:val="18"/>
              </w:rPr>
            </w:pPr>
          </w:p>
        </w:tc>
        <w:tc>
          <w:tcPr>
            <w:tcW w:w="1987" w:type="dxa"/>
          </w:tcPr>
          <w:p w14:paraId="62E58756" w14:textId="77777777" w:rsidR="008A5602" w:rsidRPr="00286216" w:rsidRDefault="008A5602" w:rsidP="008A5602">
            <w:pPr>
              <w:pStyle w:val="StyleWisnow"/>
              <w:rPr>
                <w:color w:val="000000" w:themeColor="text1"/>
              </w:rPr>
            </w:pPr>
          </w:p>
        </w:tc>
        <w:tc>
          <w:tcPr>
            <w:tcW w:w="4818" w:type="dxa"/>
          </w:tcPr>
          <w:p w14:paraId="1A85CAB5" w14:textId="31ACF5E6" w:rsidR="008A5602" w:rsidRPr="00286216" w:rsidRDefault="008A5602" w:rsidP="008A5602">
            <w:pPr>
              <w:pStyle w:val="StyleZakonu"/>
              <w:rPr>
                <w:color w:val="000000" w:themeColor="text1"/>
              </w:rPr>
            </w:pPr>
            <w:r w:rsidRPr="00286216">
              <w:rPr>
                <w:color w:val="000000" w:themeColor="text1"/>
              </w:rPr>
              <w:t>"3) ощадні сертифікати банку, депозитні сертифікати банку ";</w:t>
            </w:r>
          </w:p>
        </w:tc>
      </w:tr>
      <w:tr w:rsidR="008A5602" w:rsidRPr="00286216" w14:paraId="7A4CB66F" w14:textId="77777777" w:rsidTr="00091AA5">
        <w:tc>
          <w:tcPr>
            <w:tcW w:w="576" w:type="dxa"/>
          </w:tcPr>
          <w:p w14:paraId="31E1A089" w14:textId="77777777" w:rsidR="008A5602" w:rsidRPr="00286216" w:rsidRDefault="008A5602" w:rsidP="008A5602">
            <w:pPr>
              <w:pStyle w:val="StyleWisnow"/>
              <w:rPr>
                <w:color w:val="000000" w:themeColor="text1"/>
              </w:rPr>
            </w:pPr>
            <w:bookmarkStart w:id="3544" w:name="n3674" w:colFirst="0" w:colLast="0"/>
            <w:bookmarkEnd w:id="3543"/>
            <w:r w:rsidRPr="00286216">
              <w:rPr>
                <w:color w:val="000000" w:themeColor="text1"/>
              </w:rPr>
              <w:t>3674.</w:t>
            </w:r>
          </w:p>
        </w:tc>
        <w:tc>
          <w:tcPr>
            <w:tcW w:w="4818" w:type="dxa"/>
          </w:tcPr>
          <w:p w14:paraId="37D8831C" w14:textId="77777777" w:rsidR="008A5602" w:rsidRPr="00286216" w:rsidRDefault="008A5602" w:rsidP="008A5602">
            <w:pPr>
              <w:pStyle w:val="StyleZakonu"/>
              <w:rPr>
                <w:color w:val="000000" w:themeColor="text1"/>
              </w:rPr>
            </w:pPr>
            <w:r w:rsidRPr="00286216">
              <w:rPr>
                <w:color w:val="000000" w:themeColor="text1"/>
              </w:rPr>
              <w:t>після пункту четвертого доповнити частину новим пунктом такого змісту:</w:t>
            </w:r>
          </w:p>
        </w:tc>
        <w:tc>
          <w:tcPr>
            <w:tcW w:w="3686" w:type="dxa"/>
          </w:tcPr>
          <w:p w14:paraId="082A8CC3" w14:textId="77777777" w:rsidR="008A5602" w:rsidRPr="00286216" w:rsidRDefault="008A5602" w:rsidP="008A5602">
            <w:pPr>
              <w:pStyle w:val="StyleProp"/>
              <w:rPr>
                <w:color w:val="000000" w:themeColor="text1"/>
                <w:szCs w:val="18"/>
              </w:rPr>
            </w:pPr>
          </w:p>
        </w:tc>
        <w:tc>
          <w:tcPr>
            <w:tcW w:w="1987" w:type="dxa"/>
          </w:tcPr>
          <w:p w14:paraId="6366C22B" w14:textId="77777777" w:rsidR="008A5602" w:rsidRPr="00286216" w:rsidRDefault="008A5602" w:rsidP="008A5602">
            <w:pPr>
              <w:pStyle w:val="StyleWisnow"/>
              <w:rPr>
                <w:color w:val="000000" w:themeColor="text1"/>
              </w:rPr>
            </w:pPr>
          </w:p>
        </w:tc>
        <w:tc>
          <w:tcPr>
            <w:tcW w:w="4818" w:type="dxa"/>
          </w:tcPr>
          <w:p w14:paraId="7833E7B3" w14:textId="7D1408F7" w:rsidR="008A5602" w:rsidRPr="00286216" w:rsidRDefault="008A5602" w:rsidP="008A5602">
            <w:pPr>
              <w:pStyle w:val="StyleZakonu"/>
              <w:rPr>
                <w:color w:val="000000" w:themeColor="text1"/>
              </w:rPr>
            </w:pPr>
            <w:r w:rsidRPr="00286216">
              <w:rPr>
                <w:color w:val="000000" w:themeColor="text1"/>
              </w:rPr>
              <w:t>доповнити пунктом 4</w:t>
            </w:r>
            <w:r w:rsidRPr="00286216">
              <w:rPr>
                <w:color w:val="000000" w:themeColor="text1"/>
                <w:vertAlign w:val="superscript"/>
              </w:rPr>
              <w:t>1</w:t>
            </w:r>
            <w:r w:rsidRPr="00286216">
              <w:rPr>
                <w:color w:val="000000" w:themeColor="text1"/>
              </w:rPr>
              <w:t xml:space="preserve"> такого змісту:</w:t>
            </w:r>
          </w:p>
        </w:tc>
      </w:tr>
      <w:tr w:rsidR="008A5602" w:rsidRPr="00286216" w14:paraId="226DE66D" w14:textId="77777777" w:rsidTr="00091AA5">
        <w:tc>
          <w:tcPr>
            <w:tcW w:w="576" w:type="dxa"/>
          </w:tcPr>
          <w:p w14:paraId="6BFFBCA1" w14:textId="77777777" w:rsidR="008A5602" w:rsidRPr="00286216" w:rsidRDefault="008A5602" w:rsidP="008A5602">
            <w:pPr>
              <w:pStyle w:val="StyleWisnow"/>
              <w:rPr>
                <w:color w:val="000000" w:themeColor="text1"/>
              </w:rPr>
            </w:pPr>
            <w:bookmarkStart w:id="3545" w:name="n3675" w:colFirst="0" w:colLast="0"/>
            <w:bookmarkEnd w:id="3544"/>
            <w:r w:rsidRPr="00286216">
              <w:rPr>
                <w:color w:val="000000" w:themeColor="text1"/>
              </w:rPr>
              <w:t>3675.</w:t>
            </w:r>
          </w:p>
        </w:tc>
        <w:tc>
          <w:tcPr>
            <w:tcW w:w="4818" w:type="dxa"/>
          </w:tcPr>
          <w:p w14:paraId="4CF45384" w14:textId="77777777" w:rsidR="008A5602" w:rsidRPr="00286216" w:rsidRDefault="008A5602" w:rsidP="008A5602">
            <w:pPr>
              <w:pStyle w:val="StyleZakonu"/>
              <w:rPr>
                <w:color w:val="000000" w:themeColor="text1"/>
              </w:rPr>
            </w:pPr>
            <w:r w:rsidRPr="00286216">
              <w:rPr>
                <w:color w:val="000000" w:themeColor="text1"/>
              </w:rPr>
              <w:t>"4</w:t>
            </w:r>
            <w:r w:rsidRPr="00286216">
              <w:rPr>
                <w:color w:val="000000" w:themeColor="text1"/>
                <w:vertAlign w:val="superscript"/>
              </w:rPr>
              <w:t>1</w:t>
            </w:r>
            <w:r w:rsidRPr="00286216">
              <w:rPr>
                <w:color w:val="000000" w:themeColor="text1"/>
              </w:rPr>
              <w:t>) облігації міжнародних фінансових організацій, що розміщуються на території України.";</w:t>
            </w:r>
          </w:p>
        </w:tc>
        <w:tc>
          <w:tcPr>
            <w:tcW w:w="3686" w:type="dxa"/>
          </w:tcPr>
          <w:p w14:paraId="5434BF80" w14:textId="77777777" w:rsidR="008A5602" w:rsidRPr="00286216" w:rsidRDefault="008A5602" w:rsidP="008A5602">
            <w:pPr>
              <w:pStyle w:val="StyleProp"/>
              <w:rPr>
                <w:color w:val="000000" w:themeColor="text1"/>
                <w:szCs w:val="18"/>
              </w:rPr>
            </w:pPr>
          </w:p>
        </w:tc>
        <w:tc>
          <w:tcPr>
            <w:tcW w:w="1987" w:type="dxa"/>
          </w:tcPr>
          <w:p w14:paraId="06A37575" w14:textId="77777777" w:rsidR="008A5602" w:rsidRPr="00286216" w:rsidRDefault="008A5602" w:rsidP="008A5602">
            <w:pPr>
              <w:pStyle w:val="StyleWisnow"/>
              <w:rPr>
                <w:color w:val="000000" w:themeColor="text1"/>
              </w:rPr>
            </w:pPr>
          </w:p>
        </w:tc>
        <w:tc>
          <w:tcPr>
            <w:tcW w:w="4818" w:type="dxa"/>
          </w:tcPr>
          <w:p w14:paraId="47DDC8D1" w14:textId="04A8E425" w:rsidR="008A5602" w:rsidRPr="00286216" w:rsidRDefault="008A5602" w:rsidP="008A5602">
            <w:pPr>
              <w:pStyle w:val="StyleZakonu"/>
              <w:rPr>
                <w:color w:val="000000" w:themeColor="text1"/>
              </w:rPr>
            </w:pPr>
            <w:r w:rsidRPr="00286216">
              <w:rPr>
                <w:color w:val="000000" w:themeColor="text1"/>
              </w:rPr>
              <w:t>"4</w:t>
            </w:r>
            <w:r w:rsidRPr="00286216">
              <w:rPr>
                <w:color w:val="000000" w:themeColor="text1"/>
                <w:vertAlign w:val="superscript"/>
              </w:rPr>
              <w:t>1</w:t>
            </w:r>
            <w:r w:rsidRPr="00286216">
              <w:rPr>
                <w:color w:val="000000" w:themeColor="text1"/>
              </w:rPr>
              <w:t>) облігації міжнародних фінансових організацій, що розміщуються на території України";</w:t>
            </w:r>
          </w:p>
        </w:tc>
      </w:tr>
      <w:tr w:rsidR="008A5602" w:rsidRPr="00286216" w14:paraId="37377D41" w14:textId="77777777" w:rsidTr="00091AA5">
        <w:tc>
          <w:tcPr>
            <w:tcW w:w="576" w:type="dxa"/>
          </w:tcPr>
          <w:p w14:paraId="6D2D97AC" w14:textId="77777777" w:rsidR="008A5602" w:rsidRPr="00286216" w:rsidRDefault="008A5602" w:rsidP="008A5602">
            <w:pPr>
              <w:pStyle w:val="StyleWisnow"/>
              <w:rPr>
                <w:color w:val="000000" w:themeColor="text1"/>
              </w:rPr>
            </w:pPr>
            <w:bookmarkStart w:id="3546" w:name="n3676" w:colFirst="0" w:colLast="0"/>
            <w:bookmarkEnd w:id="3545"/>
            <w:r w:rsidRPr="00286216">
              <w:rPr>
                <w:color w:val="000000" w:themeColor="text1"/>
              </w:rPr>
              <w:t>3676.</w:t>
            </w:r>
          </w:p>
        </w:tc>
        <w:tc>
          <w:tcPr>
            <w:tcW w:w="4818" w:type="dxa"/>
          </w:tcPr>
          <w:p w14:paraId="0920848B" w14:textId="77777777" w:rsidR="008A5602" w:rsidRPr="00286216" w:rsidRDefault="008A5602" w:rsidP="008A5602">
            <w:pPr>
              <w:pStyle w:val="StyleZakonu"/>
              <w:rPr>
                <w:color w:val="000000" w:themeColor="text1"/>
              </w:rPr>
            </w:pPr>
            <w:r w:rsidRPr="00286216">
              <w:rPr>
                <w:color w:val="000000" w:themeColor="text1"/>
              </w:rPr>
              <w:t>пункт дев’ятий викласти в такій редакції:</w:t>
            </w:r>
          </w:p>
        </w:tc>
        <w:tc>
          <w:tcPr>
            <w:tcW w:w="3686" w:type="dxa"/>
          </w:tcPr>
          <w:p w14:paraId="3F898111" w14:textId="77777777" w:rsidR="008A5602" w:rsidRPr="00286216" w:rsidRDefault="008A5602" w:rsidP="008A5602">
            <w:pPr>
              <w:pStyle w:val="StyleProp"/>
              <w:rPr>
                <w:color w:val="000000" w:themeColor="text1"/>
                <w:szCs w:val="18"/>
              </w:rPr>
            </w:pPr>
          </w:p>
        </w:tc>
        <w:tc>
          <w:tcPr>
            <w:tcW w:w="1987" w:type="dxa"/>
          </w:tcPr>
          <w:p w14:paraId="19294856" w14:textId="77777777" w:rsidR="008A5602" w:rsidRPr="00286216" w:rsidRDefault="008A5602" w:rsidP="008A5602">
            <w:pPr>
              <w:pStyle w:val="StyleWisnow"/>
              <w:rPr>
                <w:color w:val="000000" w:themeColor="text1"/>
              </w:rPr>
            </w:pPr>
          </w:p>
        </w:tc>
        <w:tc>
          <w:tcPr>
            <w:tcW w:w="4818" w:type="dxa"/>
          </w:tcPr>
          <w:p w14:paraId="5FC8D8F1" w14:textId="5E450F05" w:rsidR="008A5602" w:rsidRPr="00286216" w:rsidRDefault="008A5602" w:rsidP="008A5602">
            <w:pPr>
              <w:pStyle w:val="StyleZakonu"/>
              <w:rPr>
                <w:color w:val="000000" w:themeColor="text1"/>
              </w:rPr>
            </w:pPr>
            <w:r w:rsidRPr="00286216">
              <w:rPr>
                <w:color w:val="000000" w:themeColor="text1"/>
              </w:rPr>
              <w:t>пункт 9 викласти в такій редакції:</w:t>
            </w:r>
          </w:p>
        </w:tc>
      </w:tr>
      <w:tr w:rsidR="008A5602" w:rsidRPr="00286216" w14:paraId="71302361" w14:textId="77777777" w:rsidTr="00091AA5">
        <w:tc>
          <w:tcPr>
            <w:tcW w:w="576" w:type="dxa"/>
          </w:tcPr>
          <w:p w14:paraId="66CCE913" w14:textId="77777777" w:rsidR="008A5602" w:rsidRPr="00286216" w:rsidRDefault="008A5602" w:rsidP="008A5602">
            <w:pPr>
              <w:pStyle w:val="StyleWisnow"/>
              <w:rPr>
                <w:color w:val="000000" w:themeColor="text1"/>
              </w:rPr>
            </w:pPr>
            <w:bookmarkStart w:id="3547" w:name="n3677" w:colFirst="0" w:colLast="0"/>
            <w:bookmarkEnd w:id="3546"/>
            <w:r w:rsidRPr="00286216">
              <w:rPr>
                <w:color w:val="000000" w:themeColor="text1"/>
              </w:rPr>
              <w:t>3677.</w:t>
            </w:r>
          </w:p>
        </w:tc>
        <w:tc>
          <w:tcPr>
            <w:tcW w:w="4818" w:type="dxa"/>
          </w:tcPr>
          <w:p w14:paraId="5E165C29" w14:textId="77777777" w:rsidR="008A5602" w:rsidRPr="00286216" w:rsidRDefault="008A5602" w:rsidP="008A5602">
            <w:pPr>
              <w:pStyle w:val="StyleZakonu"/>
              <w:rPr>
                <w:color w:val="000000" w:themeColor="text1"/>
              </w:rPr>
            </w:pPr>
            <w:r w:rsidRPr="00286216">
              <w:rPr>
                <w:color w:val="000000" w:themeColor="text1"/>
              </w:rPr>
              <w:t>"9) деривативні (похідні) фінансові інструменти, базовим активом яких є активи, зазначені у пунктах 1 - 7 цієї частини, та/або базовим показником яких є ціна (курс) таких активів або індекс, що розраховується виходячи з ціни (курсу) таких активів.";</w:t>
            </w:r>
          </w:p>
        </w:tc>
        <w:tc>
          <w:tcPr>
            <w:tcW w:w="3686" w:type="dxa"/>
          </w:tcPr>
          <w:p w14:paraId="1ADA7E11" w14:textId="3EACB26F"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B231E9A" w14:textId="77777777" w:rsidR="008A5602" w:rsidRPr="00286216" w:rsidRDefault="008A5602" w:rsidP="008A5602">
            <w:pPr>
              <w:spacing w:line="200" w:lineRule="exact"/>
              <w:ind w:firstLine="227"/>
              <w:jc w:val="both"/>
              <w:rPr>
                <w:color w:val="000000" w:themeColor="text1"/>
                <w:szCs w:val="18"/>
              </w:rPr>
            </w:pPr>
            <w:r w:rsidRPr="00286216">
              <w:rPr>
                <w:color w:val="000000" w:themeColor="text1"/>
                <w:sz w:val="18"/>
              </w:rPr>
              <w:t>В абзаці 7 підпункту «і» підпункту 8 пункту 43 Розділу 3 слово та символи «(похідні)» виключити.</w:t>
            </w:r>
          </w:p>
        </w:tc>
        <w:tc>
          <w:tcPr>
            <w:tcW w:w="1987" w:type="dxa"/>
          </w:tcPr>
          <w:p w14:paraId="1D59DE47" w14:textId="78DD7260"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1BB10597" w14:textId="1A5E19C5" w:rsidR="008A5602" w:rsidRPr="00286216" w:rsidRDefault="008A5602" w:rsidP="008A5602">
            <w:pPr>
              <w:pStyle w:val="StyleZakonu"/>
              <w:rPr>
                <w:color w:val="000000" w:themeColor="text1"/>
              </w:rPr>
            </w:pPr>
            <w:r w:rsidRPr="00286216">
              <w:rPr>
                <w:color w:val="000000" w:themeColor="text1"/>
              </w:rPr>
              <w:t>"9) деривативні контракти, базовим активом яких є активи, зазначені у пунктах 1 - 7 цієї частини, та/або базовим показником яких є ціна (курс) таких активів або індекс, що розраховується виходячи з ціни (курсу) таких активів";</w:t>
            </w:r>
          </w:p>
        </w:tc>
      </w:tr>
      <w:tr w:rsidR="008A5602" w:rsidRPr="00286216" w14:paraId="78E93987" w14:textId="77777777" w:rsidTr="00091AA5">
        <w:tc>
          <w:tcPr>
            <w:tcW w:w="576" w:type="dxa"/>
          </w:tcPr>
          <w:p w14:paraId="5ECA42E9" w14:textId="77777777" w:rsidR="008A5602" w:rsidRPr="00286216" w:rsidRDefault="008A5602" w:rsidP="008A5602">
            <w:pPr>
              <w:pStyle w:val="StyleWisnow"/>
              <w:rPr>
                <w:color w:val="000000" w:themeColor="text1"/>
              </w:rPr>
            </w:pPr>
            <w:bookmarkStart w:id="3548" w:name="n3678" w:colFirst="0" w:colLast="0"/>
            <w:bookmarkEnd w:id="3547"/>
            <w:r w:rsidRPr="00286216">
              <w:rPr>
                <w:color w:val="000000" w:themeColor="text1"/>
              </w:rPr>
              <w:t>3678.</w:t>
            </w:r>
          </w:p>
        </w:tc>
        <w:tc>
          <w:tcPr>
            <w:tcW w:w="4818" w:type="dxa"/>
          </w:tcPr>
          <w:p w14:paraId="1075DC75" w14:textId="77777777" w:rsidR="008A5602" w:rsidRPr="00286216" w:rsidRDefault="008A5602" w:rsidP="008A5602">
            <w:pPr>
              <w:pStyle w:val="StyleZakonu"/>
              <w:rPr>
                <w:color w:val="000000" w:themeColor="text1"/>
              </w:rPr>
            </w:pPr>
            <w:r w:rsidRPr="00286216">
              <w:rPr>
                <w:color w:val="000000" w:themeColor="text1"/>
              </w:rPr>
              <w:t>и) у частині двадцять четвертій</w:t>
            </w:r>
          </w:p>
        </w:tc>
        <w:tc>
          <w:tcPr>
            <w:tcW w:w="3686" w:type="dxa"/>
          </w:tcPr>
          <w:p w14:paraId="149738FE" w14:textId="77777777" w:rsidR="008A5602" w:rsidRPr="00286216" w:rsidRDefault="008A5602" w:rsidP="008A5602">
            <w:pPr>
              <w:pStyle w:val="StyleProp"/>
              <w:rPr>
                <w:color w:val="000000" w:themeColor="text1"/>
                <w:szCs w:val="18"/>
              </w:rPr>
            </w:pPr>
          </w:p>
        </w:tc>
        <w:tc>
          <w:tcPr>
            <w:tcW w:w="1987" w:type="dxa"/>
          </w:tcPr>
          <w:p w14:paraId="08721C81" w14:textId="77777777" w:rsidR="008A5602" w:rsidRPr="00286216" w:rsidRDefault="008A5602" w:rsidP="008A5602">
            <w:pPr>
              <w:pStyle w:val="StyleWisnow"/>
              <w:rPr>
                <w:color w:val="000000" w:themeColor="text1"/>
              </w:rPr>
            </w:pPr>
          </w:p>
        </w:tc>
        <w:tc>
          <w:tcPr>
            <w:tcW w:w="4818" w:type="dxa"/>
          </w:tcPr>
          <w:p w14:paraId="1CBC2522" w14:textId="77777777" w:rsidR="008A5602" w:rsidRPr="00286216" w:rsidRDefault="008A5602" w:rsidP="008A5602">
            <w:pPr>
              <w:pStyle w:val="StyleZakonu"/>
              <w:rPr>
                <w:color w:val="000000" w:themeColor="text1"/>
              </w:rPr>
            </w:pPr>
          </w:p>
        </w:tc>
      </w:tr>
      <w:tr w:rsidR="008A5602" w:rsidRPr="00286216" w14:paraId="6BDDC0C2" w14:textId="77777777" w:rsidTr="00091AA5">
        <w:tc>
          <w:tcPr>
            <w:tcW w:w="576" w:type="dxa"/>
          </w:tcPr>
          <w:p w14:paraId="2650E861" w14:textId="77777777" w:rsidR="008A5602" w:rsidRPr="00286216" w:rsidRDefault="008A5602" w:rsidP="008A5602">
            <w:pPr>
              <w:pStyle w:val="StyleWisnow"/>
              <w:rPr>
                <w:color w:val="000000" w:themeColor="text1"/>
              </w:rPr>
            </w:pPr>
            <w:bookmarkStart w:id="3549" w:name="n3679" w:colFirst="0" w:colLast="0"/>
            <w:bookmarkEnd w:id="3548"/>
            <w:r w:rsidRPr="00286216">
              <w:rPr>
                <w:color w:val="000000" w:themeColor="text1"/>
              </w:rPr>
              <w:t>3679.</w:t>
            </w:r>
          </w:p>
        </w:tc>
        <w:tc>
          <w:tcPr>
            <w:tcW w:w="4818" w:type="dxa"/>
          </w:tcPr>
          <w:p w14:paraId="08EFA04B" w14:textId="77777777" w:rsidR="008A5602" w:rsidRPr="00286216" w:rsidRDefault="008A5602" w:rsidP="008A5602">
            <w:pPr>
              <w:pStyle w:val="StyleZakonu"/>
              <w:rPr>
                <w:color w:val="000000" w:themeColor="text1"/>
              </w:rPr>
            </w:pPr>
            <w:r w:rsidRPr="00286216">
              <w:rPr>
                <w:color w:val="000000" w:themeColor="text1"/>
              </w:rPr>
              <w:t>пункт 3 після слів "іноземних юридичних осіб" доповнити словами "(за винятком облігацій міжнародних фінансових організацій, що розміщуються на території України)";</w:t>
            </w:r>
          </w:p>
        </w:tc>
        <w:tc>
          <w:tcPr>
            <w:tcW w:w="3686" w:type="dxa"/>
          </w:tcPr>
          <w:p w14:paraId="6BE5028F" w14:textId="77777777" w:rsidR="008A5602" w:rsidRPr="00286216" w:rsidRDefault="008A5602" w:rsidP="008A5602">
            <w:pPr>
              <w:pStyle w:val="StyleProp"/>
              <w:rPr>
                <w:color w:val="000000" w:themeColor="text1"/>
                <w:szCs w:val="18"/>
              </w:rPr>
            </w:pPr>
          </w:p>
        </w:tc>
        <w:tc>
          <w:tcPr>
            <w:tcW w:w="1987" w:type="dxa"/>
          </w:tcPr>
          <w:p w14:paraId="4BA01352" w14:textId="77777777" w:rsidR="008A5602" w:rsidRPr="00286216" w:rsidRDefault="008A5602" w:rsidP="008A5602">
            <w:pPr>
              <w:pStyle w:val="StyleWisnow"/>
              <w:rPr>
                <w:color w:val="000000" w:themeColor="text1"/>
              </w:rPr>
            </w:pPr>
          </w:p>
        </w:tc>
        <w:tc>
          <w:tcPr>
            <w:tcW w:w="4818" w:type="dxa"/>
          </w:tcPr>
          <w:p w14:paraId="571215DE" w14:textId="77777777" w:rsidR="008A5602" w:rsidRPr="00286216" w:rsidRDefault="008A5602" w:rsidP="008A5602">
            <w:pPr>
              <w:pStyle w:val="StyleZakonu"/>
              <w:rPr>
                <w:color w:val="000000" w:themeColor="text1"/>
              </w:rPr>
            </w:pPr>
          </w:p>
        </w:tc>
      </w:tr>
      <w:tr w:rsidR="008A5602" w:rsidRPr="00286216" w14:paraId="2B02E573" w14:textId="77777777" w:rsidTr="00091AA5">
        <w:tc>
          <w:tcPr>
            <w:tcW w:w="576" w:type="dxa"/>
          </w:tcPr>
          <w:p w14:paraId="3538CDE2" w14:textId="77777777" w:rsidR="008A5602" w:rsidRPr="00286216" w:rsidRDefault="008A5602" w:rsidP="008A5602">
            <w:pPr>
              <w:pStyle w:val="StyleWisnow"/>
              <w:rPr>
                <w:color w:val="000000" w:themeColor="text1"/>
              </w:rPr>
            </w:pPr>
            <w:bookmarkStart w:id="3550" w:name="n3680" w:colFirst="0" w:colLast="0"/>
            <w:bookmarkEnd w:id="3549"/>
            <w:r w:rsidRPr="00286216">
              <w:rPr>
                <w:color w:val="000000" w:themeColor="text1"/>
              </w:rPr>
              <w:t>3680.</w:t>
            </w:r>
          </w:p>
        </w:tc>
        <w:tc>
          <w:tcPr>
            <w:tcW w:w="4818" w:type="dxa"/>
          </w:tcPr>
          <w:p w14:paraId="5F3F373C" w14:textId="77777777" w:rsidR="008A5602" w:rsidRPr="00286216" w:rsidRDefault="008A5602" w:rsidP="008A5602">
            <w:pPr>
              <w:pStyle w:val="StyleZakonu"/>
              <w:rPr>
                <w:color w:val="000000" w:themeColor="text1"/>
              </w:rPr>
            </w:pPr>
            <w:r w:rsidRPr="00286216">
              <w:rPr>
                <w:color w:val="000000" w:themeColor="text1"/>
              </w:rPr>
              <w:t>у пункті сьомому слова "ощадні (депозитні) сертифікати" замінити словами "ощадні сертифікати банку, депозитні сертифікату банку";</w:t>
            </w:r>
          </w:p>
        </w:tc>
        <w:tc>
          <w:tcPr>
            <w:tcW w:w="3686" w:type="dxa"/>
          </w:tcPr>
          <w:p w14:paraId="1736D45D" w14:textId="77777777" w:rsidR="008A5602" w:rsidRPr="00286216" w:rsidRDefault="008A5602" w:rsidP="008A5602">
            <w:pPr>
              <w:pStyle w:val="StyleProp"/>
              <w:rPr>
                <w:color w:val="000000" w:themeColor="text1"/>
                <w:szCs w:val="18"/>
              </w:rPr>
            </w:pPr>
          </w:p>
        </w:tc>
        <w:tc>
          <w:tcPr>
            <w:tcW w:w="1987" w:type="dxa"/>
          </w:tcPr>
          <w:p w14:paraId="2D7DA5EA" w14:textId="77777777" w:rsidR="008A5602" w:rsidRPr="00286216" w:rsidRDefault="008A5602" w:rsidP="008A5602">
            <w:pPr>
              <w:pStyle w:val="StyleWisnow"/>
              <w:rPr>
                <w:color w:val="000000" w:themeColor="text1"/>
              </w:rPr>
            </w:pPr>
          </w:p>
        </w:tc>
        <w:tc>
          <w:tcPr>
            <w:tcW w:w="4818" w:type="dxa"/>
          </w:tcPr>
          <w:p w14:paraId="4852C957" w14:textId="77777777" w:rsidR="008A5602" w:rsidRPr="00286216" w:rsidRDefault="008A5602" w:rsidP="008A5602">
            <w:pPr>
              <w:pStyle w:val="StyleZakonu"/>
              <w:rPr>
                <w:color w:val="000000" w:themeColor="text1"/>
              </w:rPr>
            </w:pPr>
          </w:p>
        </w:tc>
      </w:tr>
      <w:tr w:rsidR="008A5602" w:rsidRPr="00286216" w14:paraId="077567E9" w14:textId="77777777" w:rsidTr="00091AA5">
        <w:tc>
          <w:tcPr>
            <w:tcW w:w="576" w:type="dxa"/>
          </w:tcPr>
          <w:p w14:paraId="29293443" w14:textId="77777777" w:rsidR="008A5602" w:rsidRPr="00286216" w:rsidRDefault="008A5602" w:rsidP="008A5602">
            <w:pPr>
              <w:pStyle w:val="StyleWisnow"/>
              <w:rPr>
                <w:color w:val="000000" w:themeColor="text1"/>
              </w:rPr>
            </w:pPr>
            <w:bookmarkStart w:id="3551" w:name="n3681" w:colFirst="0" w:colLast="0"/>
            <w:bookmarkEnd w:id="3550"/>
            <w:r w:rsidRPr="00286216">
              <w:rPr>
                <w:color w:val="000000" w:themeColor="text1"/>
              </w:rPr>
              <w:t>3681.</w:t>
            </w:r>
          </w:p>
        </w:tc>
        <w:tc>
          <w:tcPr>
            <w:tcW w:w="4818" w:type="dxa"/>
          </w:tcPr>
          <w:p w14:paraId="2CC6ACC2" w14:textId="77777777" w:rsidR="008A5602" w:rsidRPr="00286216" w:rsidRDefault="008A5602" w:rsidP="008A5602">
            <w:pPr>
              <w:pStyle w:val="StyleZakonu"/>
              <w:rPr>
                <w:color w:val="000000" w:themeColor="text1"/>
              </w:rPr>
            </w:pPr>
            <w:r w:rsidRPr="00286216">
              <w:rPr>
                <w:color w:val="000000" w:themeColor="text1"/>
              </w:rPr>
              <w:t xml:space="preserve">ї) у частині двадцять шостій слова "похідних (деривативів)" замінити словами "деривативних </w:t>
            </w:r>
            <w:r w:rsidRPr="00286216">
              <w:rPr>
                <w:color w:val="000000" w:themeColor="text1"/>
              </w:rPr>
              <w:lastRenderedPageBreak/>
              <w:t>(похідних) фінансових інструментів";</w:t>
            </w:r>
          </w:p>
        </w:tc>
        <w:tc>
          <w:tcPr>
            <w:tcW w:w="3686" w:type="dxa"/>
          </w:tcPr>
          <w:p w14:paraId="5CDE4DB7" w14:textId="5886472E" w:rsidR="008A5602" w:rsidRPr="00286216" w:rsidRDefault="008A5602" w:rsidP="008A5602">
            <w:pPr>
              <w:pStyle w:val="StyleAwt"/>
              <w:rPr>
                <w:color w:val="000000" w:themeColor="text1"/>
                <w:szCs w:val="18"/>
              </w:rPr>
            </w:pPr>
            <w:r w:rsidRPr="00286216">
              <w:rPr>
                <w:color w:val="000000" w:themeColor="text1"/>
                <w:szCs w:val="18"/>
              </w:rPr>
              <w:lastRenderedPageBreak/>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1474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57584B02" w14:textId="77777777" w:rsidR="008A5602" w:rsidRPr="00286216" w:rsidRDefault="008A5602" w:rsidP="008A5602">
            <w:pPr>
              <w:pStyle w:val="StyleProp"/>
              <w:rPr>
                <w:color w:val="000000" w:themeColor="text1"/>
                <w:szCs w:val="18"/>
              </w:rPr>
            </w:pPr>
            <w:r w:rsidRPr="00286216">
              <w:rPr>
                <w:color w:val="000000" w:themeColor="text1"/>
                <w:szCs w:val="18"/>
              </w:rPr>
              <w:t xml:space="preserve">У підпункті «ї» підпункту 8 пункту 43 </w:t>
            </w:r>
            <w:r w:rsidRPr="00286216">
              <w:rPr>
                <w:color w:val="000000" w:themeColor="text1"/>
                <w:szCs w:val="18"/>
              </w:rPr>
              <w:lastRenderedPageBreak/>
              <w:t>Розділу ІІІ Законопроекту, яким вносяться зміни до Закону України «Про інститути спільного інвестування», слова «деривативних (похідних)» замінити словом «деривативних».</w:t>
            </w:r>
          </w:p>
        </w:tc>
        <w:tc>
          <w:tcPr>
            <w:tcW w:w="1987" w:type="dxa"/>
          </w:tcPr>
          <w:p w14:paraId="71426A49" w14:textId="77777777" w:rsidR="008A5602" w:rsidRPr="00286216" w:rsidRDefault="008A5602" w:rsidP="008A5602">
            <w:pPr>
              <w:pStyle w:val="StyleWisnow"/>
              <w:rPr>
                <w:color w:val="000000" w:themeColor="text1"/>
              </w:rPr>
            </w:pPr>
            <w:r w:rsidRPr="00286216">
              <w:rPr>
                <w:color w:val="000000" w:themeColor="text1"/>
              </w:rPr>
              <w:lastRenderedPageBreak/>
              <w:t>Враховано</w:t>
            </w:r>
          </w:p>
        </w:tc>
        <w:tc>
          <w:tcPr>
            <w:tcW w:w="4818" w:type="dxa"/>
          </w:tcPr>
          <w:p w14:paraId="1BF45534" w14:textId="7ABAAE29" w:rsidR="008A5602" w:rsidRPr="00286216" w:rsidRDefault="008A5602" w:rsidP="008A5602">
            <w:pPr>
              <w:pStyle w:val="StyleZakonu"/>
              <w:rPr>
                <w:color w:val="000000" w:themeColor="text1"/>
              </w:rPr>
            </w:pPr>
            <w:r w:rsidRPr="00286216">
              <w:rPr>
                <w:color w:val="000000" w:themeColor="text1"/>
              </w:rPr>
              <w:t xml:space="preserve">ї) у частині двадцять шостій слова "похідних (деривативів)" замінити словами "деривативних  </w:t>
            </w:r>
            <w:r w:rsidRPr="00286216">
              <w:rPr>
                <w:color w:val="000000" w:themeColor="text1"/>
              </w:rPr>
              <w:lastRenderedPageBreak/>
              <w:t>контрактів</w:t>
            </w:r>
            <w:r w:rsidRPr="00286216" w:rsidDel="00AE71A3">
              <w:rPr>
                <w:color w:val="000000" w:themeColor="text1"/>
              </w:rPr>
              <w:t xml:space="preserve"> </w:t>
            </w:r>
            <w:r w:rsidRPr="00286216">
              <w:rPr>
                <w:color w:val="000000" w:themeColor="text1"/>
              </w:rPr>
              <w:t>";</w:t>
            </w:r>
          </w:p>
        </w:tc>
      </w:tr>
      <w:tr w:rsidR="008A5602" w:rsidRPr="00286216" w14:paraId="77B9ECE4" w14:textId="77777777" w:rsidTr="00091AA5">
        <w:tc>
          <w:tcPr>
            <w:tcW w:w="576" w:type="dxa"/>
          </w:tcPr>
          <w:p w14:paraId="3E201C14" w14:textId="77777777" w:rsidR="008A5602" w:rsidRPr="00286216" w:rsidRDefault="008A5602" w:rsidP="008A5602">
            <w:pPr>
              <w:pStyle w:val="StyleWisnow"/>
              <w:rPr>
                <w:color w:val="000000" w:themeColor="text1"/>
              </w:rPr>
            </w:pPr>
          </w:p>
        </w:tc>
        <w:tc>
          <w:tcPr>
            <w:tcW w:w="4818" w:type="dxa"/>
          </w:tcPr>
          <w:p w14:paraId="70E1FB36" w14:textId="77777777" w:rsidR="008A5602" w:rsidRPr="00286216" w:rsidRDefault="008A5602" w:rsidP="008A5602">
            <w:pPr>
              <w:pStyle w:val="StyleZakonu"/>
              <w:rPr>
                <w:color w:val="000000" w:themeColor="text1"/>
              </w:rPr>
            </w:pPr>
          </w:p>
        </w:tc>
        <w:tc>
          <w:tcPr>
            <w:tcW w:w="3686" w:type="dxa"/>
          </w:tcPr>
          <w:p w14:paraId="286F3F8E" w14:textId="7B9FF74D"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1475</w:t>
            </w:r>
            <w:r w:rsidRPr="00286216">
              <w:rPr>
                <w:color w:val="000000" w:themeColor="text1"/>
                <w:szCs w:val="18"/>
              </w:rPr>
              <w:fldChar w:fldCharType="end"/>
            </w:r>
            <w:r w:rsidRPr="00286216">
              <w:rPr>
                <w:color w:val="000000" w:themeColor="text1"/>
                <w:spacing w:val="-6"/>
                <w:szCs w:val="18"/>
              </w:rPr>
              <w:t>-Н.д. Устенко О.О.(Реєстр.картка№308)</w:t>
            </w:r>
          </w:p>
          <w:p w14:paraId="4EE5E4A8"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Доповнити пункт 43 новими підпунктами такого змісту:</w:t>
            </w:r>
          </w:p>
          <w:p w14:paraId="6481D21A"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«12) частину третю статті 50 після слів «управління активами» доповнити словами «офіційним каналом зв’язку»;</w:t>
            </w:r>
          </w:p>
          <w:p w14:paraId="63661DD0"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13) у частині п’ятій статті 55:</w:t>
            </w:r>
          </w:p>
          <w:p w14:paraId="5F92A3C1"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 абзац перший після слів «документів повідомляє» доповнити словами «офіційним каналом зв’язку»;</w:t>
            </w:r>
          </w:p>
          <w:p w14:paraId="17A1123C"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 xml:space="preserve">б) абзац другий та третій після слів «управління активами» доповнити словами «офіційним каналом зв’язку»; </w:t>
            </w:r>
          </w:p>
          <w:p w14:paraId="19454996"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14) абзац перший та другий частини другої статті 57 після слів «управління активами» доповнити словами «офіційним каналом зв’язку»;</w:t>
            </w:r>
          </w:p>
          <w:p w14:paraId="1224C567"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15) абзац перший та третій частини п’ятої статті 58 після слів «за днем отримання» доповнити словами «офіційним каналом зв’язку»;</w:t>
            </w:r>
          </w:p>
          <w:p w14:paraId="27B5C5F4"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16) у частині третій статті 59:</w:t>
            </w:r>
          </w:p>
          <w:p w14:paraId="0377EAB3"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 абзац другий доповнити новим реченням такого змісту: «Таке повідомлення Комісії здійснюється офіційним каналом зв’язку»;</w:t>
            </w:r>
          </w:p>
          <w:p w14:paraId="2A738C53"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б) перше речення абзацу третього після слів «з дня отримання» доповнити словами «офіційним каналом зв’язку»».</w:t>
            </w:r>
          </w:p>
          <w:p w14:paraId="2DDB27F1"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У зв’язку з цим підпункти 12-18 вважати підпунктами 17-23 відповідно.</w:t>
            </w:r>
          </w:p>
        </w:tc>
        <w:tc>
          <w:tcPr>
            <w:tcW w:w="1987" w:type="dxa"/>
          </w:tcPr>
          <w:p w14:paraId="4B980F95" w14:textId="77777777" w:rsidR="008A5602" w:rsidRPr="00286216" w:rsidRDefault="008A5602" w:rsidP="008A5602">
            <w:pPr>
              <w:pStyle w:val="StyleWisnow"/>
              <w:rPr>
                <w:color w:val="000000" w:themeColor="text1"/>
              </w:rPr>
            </w:pPr>
            <w:r w:rsidRPr="00286216">
              <w:rPr>
                <w:color w:val="000000" w:themeColor="text1"/>
              </w:rPr>
              <w:t>Враховано частково</w:t>
            </w:r>
          </w:p>
        </w:tc>
        <w:tc>
          <w:tcPr>
            <w:tcW w:w="4818" w:type="dxa"/>
          </w:tcPr>
          <w:p w14:paraId="49C8141E" w14:textId="77777777" w:rsidR="008A5602" w:rsidRPr="00286216" w:rsidRDefault="008A5602" w:rsidP="008A5602">
            <w:pPr>
              <w:pStyle w:val="StyleZakonu"/>
              <w:rPr>
                <w:color w:val="000000" w:themeColor="text1"/>
              </w:rPr>
            </w:pPr>
            <w:r w:rsidRPr="00286216">
              <w:rPr>
                <w:color w:val="000000" w:themeColor="text1"/>
              </w:rPr>
              <w:t>12) частину третю статті 50 після слів «управління активами» доповнити словами «офіційним каналом зв’язку»;</w:t>
            </w:r>
          </w:p>
          <w:p w14:paraId="1BB89060" w14:textId="77777777" w:rsidR="008A5602" w:rsidRPr="00286216" w:rsidRDefault="008A5602" w:rsidP="008A5602">
            <w:pPr>
              <w:pStyle w:val="StyleZakonu"/>
              <w:rPr>
                <w:color w:val="000000" w:themeColor="text1"/>
              </w:rPr>
            </w:pPr>
            <w:r w:rsidRPr="00286216">
              <w:rPr>
                <w:color w:val="000000" w:themeColor="text1"/>
              </w:rPr>
              <w:t>13) у частині п’ятій статті 55:</w:t>
            </w:r>
          </w:p>
          <w:p w14:paraId="128785AD" w14:textId="77777777" w:rsidR="008A5602" w:rsidRPr="00286216" w:rsidRDefault="008A5602" w:rsidP="008A5602">
            <w:pPr>
              <w:pStyle w:val="StyleZakonu"/>
              <w:rPr>
                <w:color w:val="000000" w:themeColor="text1"/>
              </w:rPr>
            </w:pPr>
            <w:r w:rsidRPr="00286216">
              <w:rPr>
                <w:color w:val="000000" w:themeColor="text1"/>
              </w:rPr>
              <w:t>а) абзац перший після слів «документів повідомляє» доповнити словами «офіційним каналом зв’язку»;</w:t>
            </w:r>
          </w:p>
          <w:p w14:paraId="741FE64E" w14:textId="270F6413" w:rsidR="008A5602" w:rsidRPr="00286216" w:rsidRDefault="008A5602" w:rsidP="008A5602">
            <w:pPr>
              <w:pStyle w:val="StyleZakonu"/>
              <w:rPr>
                <w:color w:val="000000" w:themeColor="text1"/>
              </w:rPr>
            </w:pPr>
            <w:r w:rsidRPr="00286216">
              <w:rPr>
                <w:color w:val="000000" w:themeColor="text1"/>
              </w:rPr>
              <w:t xml:space="preserve">б) абзаци другий  і третій після слів «управління активами» доповнити словами «офіційним каналом зв’язку»; </w:t>
            </w:r>
          </w:p>
          <w:p w14:paraId="06D341D7" w14:textId="147EE7A6" w:rsidR="008A5602" w:rsidRPr="00286216" w:rsidRDefault="008A5602" w:rsidP="008A5602">
            <w:pPr>
              <w:pStyle w:val="StyleZakonu"/>
              <w:rPr>
                <w:color w:val="000000" w:themeColor="text1"/>
              </w:rPr>
            </w:pPr>
            <w:r w:rsidRPr="00286216">
              <w:rPr>
                <w:color w:val="000000" w:themeColor="text1"/>
              </w:rPr>
              <w:t>14) абзаци перший  і другий частини другої статті 57 після слів «управління активами» доповнити словами «офіційним каналом зв’язку»;</w:t>
            </w:r>
          </w:p>
          <w:p w14:paraId="71918030" w14:textId="63898E5D" w:rsidR="008A5602" w:rsidRPr="00286216" w:rsidRDefault="008A5602" w:rsidP="008A5602">
            <w:pPr>
              <w:pStyle w:val="StyleZakonu"/>
              <w:rPr>
                <w:color w:val="000000" w:themeColor="text1"/>
              </w:rPr>
            </w:pPr>
            <w:r w:rsidRPr="00286216">
              <w:rPr>
                <w:color w:val="000000" w:themeColor="text1"/>
              </w:rPr>
              <w:t>15) абзаци перший  і третій частини п’ятої статті 58 після слів «за днем отримання» доповнити словами «офіційним каналом зв’язку»;</w:t>
            </w:r>
          </w:p>
          <w:p w14:paraId="75EF9C48" w14:textId="77777777" w:rsidR="008A5602" w:rsidRPr="00286216" w:rsidRDefault="008A5602" w:rsidP="008A5602">
            <w:pPr>
              <w:pStyle w:val="StyleZakonu"/>
              <w:rPr>
                <w:color w:val="000000" w:themeColor="text1"/>
              </w:rPr>
            </w:pPr>
            <w:r w:rsidRPr="00286216">
              <w:rPr>
                <w:color w:val="000000" w:themeColor="text1"/>
              </w:rPr>
              <w:t>16) у частині третій статті 59:</w:t>
            </w:r>
          </w:p>
          <w:p w14:paraId="044B7743" w14:textId="77777777" w:rsidR="008A5602" w:rsidRPr="00286216" w:rsidRDefault="008A5602" w:rsidP="008A5602">
            <w:pPr>
              <w:pStyle w:val="StyleZakonu"/>
              <w:rPr>
                <w:color w:val="000000" w:themeColor="text1"/>
              </w:rPr>
            </w:pPr>
            <w:r w:rsidRPr="00286216">
              <w:rPr>
                <w:color w:val="000000" w:themeColor="text1"/>
              </w:rPr>
              <w:t>а) абзац другий доповнити новим реченням такого змісту: «Таке повідомлення Комісії здійснюється офіційним каналом зв’язку»;</w:t>
            </w:r>
          </w:p>
          <w:p w14:paraId="5E2AF79D" w14:textId="2F27756E" w:rsidR="008A5602" w:rsidRPr="00286216" w:rsidRDefault="008A5602" w:rsidP="008A5602">
            <w:pPr>
              <w:pStyle w:val="StyleZakonu"/>
              <w:rPr>
                <w:color w:val="000000" w:themeColor="text1"/>
              </w:rPr>
            </w:pPr>
            <w:r w:rsidRPr="00286216">
              <w:rPr>
                <w:color w:val="000000" w:themeColor="text1"/>
              </w:rPr>
              <w:t>б) перше речення абзацу третього після слів "з дня отримання" доповнити словами "офіційним каналом зв’язку";</w:t>
            </w:r>
          </w:p>
          <w:p w14:paraId="08D1E7E5" w14:textId="3FC21FAF" w:rsidR="008A5602" w:rsidRPr="00286216" w:rsidRDefault="008A5602" w:rsidP="008A5602">
            <w:pPr>
              <w:pStyle w:val="StyleZakonu"/>
              <w:rPr>
                <w:color w:val="000000" w:themeColor="text1"/>
              </w:rPr>
            </w:pPr>
          </w:p>
        </w:tc>
      </w:tr>
      <w:tr w:rsidR="008A5602" w:rsidRPr="00286216" w14:paraId="742E71BF" w14:textId="77777777" w:rsidTr="00091AA5">
        <w:tc>
          <w:tcPr>
            <w:tcW w:w="576" w:type="dxa"/>
          </w:tcPr>
          <w:p w14:paraId="32C1E994" w14:textId="77777777" w:rsidR="008A5602" w:rsidRPr="00286216" w:rsidRDefault="008A5602" w:rsidP="008A5602">
            <w:pPr>
              <w:pStyle w:val="StyleWisnow"/>
              <w:rPr>
                <w:color w:val="000000" w:themeColor="text1"/>
              </w:rPr>
            </w:pPr>
            <w:bookmarkStart w:id="3552" w:name="n3682" w:colFirst="0" w:colLast="0"/>
            <w:bookmarkEnd w:id="3551"/>
            <w:r w:rsidRPr="00286216">
              <w:rPr>
                <w:color w:val="000000" w:themeColor="text1"/>
              </w:rPr>
              <w:t>3682.</w:t>
            </w:r>
          </w:p>
        </w:tc>
        <w:tc>
          <w:tcPr>
            <w:tcW w:w="4818" w:type="dxa"/>
          </w:tcPr>
          <w:p w14:paraId="542AAB41" w14:textId="77777777" w:rsidR="008A5602" w:rsidRPr="00286216" w:rsidRDefault="008A5602" w:rsidP="008A5602">
            <w:pPr>
              <w:pStyle w:val="StyleZakonu"/>
              <w:rPr>
                <w:color w:val="000000" w:themeColor="text1"/>
              </w:rPr>
            </w:pPr>
            <w:r w:rsidRPr="00286216">
              <w:rPr>
                <w:color w:val="000000" w:themeColor="text1"/>
              </w:rPr>
              <w:t>9) у статті 61:</w:t>
            </w:r>
          </w:p>
        </w:tc>
        <w:tc>
          <w:tcPr>
            <w:tcW w:w="3686" w:type="dxa"/>
          </w:tcPr>
          <w:p w14:paraId="03F8CA50" w14:textId="77777777" w:rsidR="008A5602" w:rsidRPr="00286216" w:rsidRDefault="008A5602" w:rsidP="008A5602">
            <w:pPr>
              <w:pStyle w:val="StyleProp"/>
              <w:rPr>
                <w:color w:val="000000" w:themeColor="text1"/>
                <w:szCs w:val="18"/>
              </w:rPr>
            </w:pPr>
          </w:p>
        </w:tc>
        <w:tc>
          <w:tcPr>
            <w:tcW w:w="1987" w:type="dxa"/>
          </w:tcPr>
          <w:p w14:paraId="7A760F8A" w14:textId="77777777" w:rsidR="008A5602" w:rsidRPr="00286216" w:rsidRDefault="008A5602" w:rsidP="008A5602">
            <w:pPr>
              <w:pStyle w:val="StyleWisnow"/>
              <w:rPr>
                <w:color w:val="000000" w:themeColor="text1"/>
              </w:rPr>
            </w:pPr>
          </w:p>
        </w:tc>
        <w:tc>
          <w:tcPr>
            <w:tcW w:w="4818" w:type="dxa"/>
          </w:tcPr>
          <w:p w14:paraId="1E3F0EFB" w14:textId="154644BC" w:rsidR="008A5602" w:rsidRPr="00286216" w:rsidRDefault="008A5602" w:rsidP="008A5602">
            <w:pPr>
              <w:pStyle w:val="StyleZakonu"/>
              <w:rPr>
                <w:color w:val="000000" w:themeColor="text1"/>
              </w:rPr>
            </w:pPr>
            <w:r w:rsidRPr="00286216">
              <w:rPr>
                <w:color w:val="000000" w:themeColor="text1"/>
              </w:rPr>
              <w:t>17) у статті 61:</w:t>
            </w:r>
          </w:p>
        </w:tc>
      </w:tr>
      <w:tr w:rsidR="008A5602" w:rsidRPr="00286216" w14:paraId="4B5EF821" w14:textId="77777777" w:rsidTr="00091AA5">
        <w:tc>
          <w:tcPr>
            <w:tcW w:w="576" w:type="dxa"/>
          </w:tcPr>
          <w:p w14:paraId="34CE9FED" w14:textId="77777777" w:rsidR="008A5602" w:rsidRPr="00286216" w:rsidRDefault="008A5602" w:rsidP="008A5602">
            <w:pPr>
              <w:pStyle w:val="StyleWisnow"/>
              <w:rPr>
                <w:color w:val="000000" w:themeColor="text1"/>
              </w:rPr>
            </w:pPr>
            <w:bookmarkStart w:id="3553" w:name="n3683" w:colFirst="0" w:colLast="0"/>
            <w:bookmarkEnd w:id="3552"/>
            <w:r w:rsidRPr="00286216">
              <w:rPr>
                <w:color w:val="000000" w:themeColor="text1"/>
              </w:rPr>
              <w:t>3683.</w:t>
            </w:r>
          </w:p>
        </w:tc>
        <w:tc>
          <w:tcPr>
            <w:tcW w:w="4818" w:type="dxa"/>
          </w:tcPr>
          <w:p w14:paraId="75DA2488" w14:textId="77777777" w:rsidR="008A5602" w:rsidRPr="00286216" w:rsidRDefault="008A5602" w:rsidP="008A5602">
            <w:pPr>
              <w:pStyle w:val="StyleZakonu"/>
              <w:rPr>
                <w:color w:val="000000" w:themeColor="text1"/>
              </w:rPr>
            </w:pPr>
            <w:r w:rsidRPr="00286216">
              <w:rPr>
                <w:color w:val="000000" w:themeColor="text1"/>
              </w:rPr>
              <w:t>а) в абзаці другому частини другої та в частині третій слова "фондових біржах" замінити словами "організованому ринку капіталу";</w:t>
            </w:r>
          </w:p>
        </w:tc>
        <w:tc>
          <w:tcPr>
            <w:tcW w:w="3686" w:type="dxa"/>
          </w:tcPr>
          <w:p w14:paraId="4CB862A7" w14:textId="77777777" w:rsidR="008A5602" w:rsidRPr="00286216" w:rsidRDefault="008A5602" w:rsidP="008A5602">
            <w:pPr>
              <w:pStyle w:val="StyleProp"/>
              <w:rPr>
                <w:color w:val="000000" w:themeColor="text1"/>
                <w:szCs w:val="18"/>
              </w:rPr>
            </w:pPr>
          </w:p>
        </w:tc>
        <w:tc>
          <w:tcPr>
            <w:tcW w:w="1987" w:type="dxa"/>
          </w:tcPr>
          <w:p w14:paraId="58AD7436" w14:textId="77777777" w:rsidR="008A5602" w:rsidRPr="00286216" w:rsidRDefault="008A5602" w:rsidP="008A5602">
            <w:pPr>
              <w:pStyle w:val="StyleWisnow"/>
              <w:rPr>
                <w:color w:val="000000" w:themeColor="text1"/>
              </w:rPr>
            </w:pPr>
          </w:p>
        </w:tc>
        <w:tc>
          <w:tcPr>
            <w:tcW w:w="4818" w:type="dxa"/>
          </w:tcPr>
          <w:p w14:paraId="115029C4" w14:textId="42879C11" w:rsidR="008A5602" w:rsidRPr="00286216" w:rsidRDefault="008A5602" w:rsidP="008A5602">
            <w:pPr>
              <w:pStyle w:val="StyleZakonu"/>
              <w:rPr>
                <w:color w:val="000000" w:themeColor="text1"/>
              </w:rPr>
            </w:pPr>
            <w:r w:rsidRPr="00286216">
              <w:rPr>
                <w:color w:val="000000" w:themeColor="text1"/>
              </w:rPr>
              <w:t>а) в абзаці другому частини другої та в частині третій слова "фондових біржах" замінити словами "організованому ринку капіталу";</w:t>
            </w:r>
          </w:p>
        </w:tc>
      </w:tr>
      <w:tr w:rsidR="008A5602" w:rsidRPr="00286216" w14:paraId="6939192A" w14:textId="77777777" w:rsidTr="00091AA5">
        <w:tc>
          <w:tcPr>
            <w:tcW w:w="576" w:type="dxa"/>
          </w:tcPr>
          <w:p w14:paraId="1561DF1C" w14:textId="77777777" w:rsidR="008A5602" w:rsidRPr="00286216" w:rsidRDefault="008A5602" w:rsidP="008A5602">
            <w:pPr>
              <w:pStyle w:val="StyleWisnow"/>
              <w:rPr>
                <w:color w:val="000000" w:themeColor="text1"/>
              </w:rPr>
            </w:pPr>
            <w:bookmarkStart w:id="3554" w:name="n3684" w:colFirst="0" w:colLast="0"/>
            <w:bookmarkEnd w:id="3553"/>
            <w:r w:rsidRPr="00286216">
              <w:rPr>
                <w:color w:val="000000" w:themeColor="text1"/>
              </w:rPr>
              <w:t>3684.</w:t>
            </w:r>
          </w:p>
        </w:tc>
        <w:tc>
          <w:tcPr>
            <w:tcW w:w="4818" w:type="dxa"/>
          </w:tcPr>
          <w:p w14:paraId="66B8F5D5" w14:textId="77777777" w:rsidR="008A5602" w:rsidRPr="00286216" w:rsidRDefault="008A5602" w:rsidP="008A5602">
            <w:pPr>
              <w:pStyle w:val="StyleZakonu"/>
              <w:rPr>
                <w:color w:val="000000" w:themeColor="text1"/>
              </w:rPr>
            </w:pPr>
            <w:r w:rsidRPr="00286216">
              <w:rPr>
                <w:color w:val="000000" w:themeColor="text1"/>
              </w:rPr>
              <w:t>б) у частині четвертій слово "лістингу" замінити словами "допуску до регулярних торгів на регульованому фондовому ринку";</w:t>
            </w:r>
          </w:p>
        </w:tc>
        <w:tc>
          <w:tcPr>
            <w:tcW w:w="3686" w:type="dxa"/>
          </w:tcPr>
          <w:p w14:paraId="60BBE337" w14:textId="77777777" w:rsidR="008A5602" w:rsidRPr="00286216" w:rsidRDefault="008A5602" w:rsidP="008A5602">
            <w:pPr>
              <w:pStyle w:val="StyleProp"/>
              <w:rPr>
                <w:color w:val="000000" w:themeColor="text1"/>
                <w:szCs w:val="18"/>
              </w:rPr>
            </w:pPr>
          </w:p>
        </w:tc>
        <w:tc>
          <w:tcPr>
            <w:tcW w:w="1987" w:type="dxa"/>
          </w:tcPr>
          <w:p w14:paraId="230891F8" w14:textId="77777777" w:rsidR="008A5602" w:rsidRPr="00286216" w:rsidRDefault="008A5602" w:rsidP="008A5602">
            <w:pPr>
              <w:pStyle w:val="StyleWisnow"/>
              <w:rPr>
                <w:color w:val="000000" w:themeColor="text1"/>
              </w:rPr>
            </w:pPr>
          </w:p>
        </w:tc>
        <w:tc>
          <w:tcPr>
            <w:tcW w:w="4818" w:type="dxa"/>
          </w:tcPr>
          <w:p w14:paraId="1AD49A88" w14:textId="750D908A" w:rsidR="008A5602" w:rsidRPr="00286216" w:rsidRDefault="008A5602" w:rsidP="008A5602">
            <w:pPr>
              <w:pStyle w:val="StyleZakonu"/>
              <w:rPr>
                <w:color w:val="000000" w:themeColor="text1"/>
              </w:rPr>
            </w:pPr>
            <w:r w:rsidRPr="00286216">
              <w:rPr>
                <w:color w:val="000000" w:themeColor="text1"/>
              </w:rPr>
              <w:t>б) у частині четвертій слово "лістингу" замінити словами "допуску до регулярних торгів на регульованому фондовому ринку";</w:t>
            </w:r>
          </w:p>
        </w:tc>
      </w:tr>
      <w:tr w:rsidR="008A5602" w:rsidRPr="00286216" w14:paraId="432D7A01" w14:textId="77777777" w:rsidTr="00091AA5">
        <w:tc>
          <w:tcPr>
            <w:tcW w:w="576" w:type="dxa"/>
          </w:tcPr>
          <w:p w14:paraId="4E873E38" w14:textId="77777777" w:rsidR="008A5602" w:rsidRPr="00286216" w:rsidRDefault="008A5602" w:rsidP="008A5602">
            <w:pPr>
              <w:pStyle w:val="StyleWisnow"/>
              <w:rPr>
                <w:color w:val="000000" w:themeColor="text1"/>
              </w:rPr>
            </w:pPr>
            <w:bookmarkStart w:id="3555" w:name="n3685" w:colFirst="0" w:colLast="0"/>
            <w:bookmarkEnd w:id="3554"/>
            <w:r w:rsidRPr="00286216">
              <w:rPr>
                <w:color w:val="000000" w:themeColor="text1"/>
              </w:rPr>
              <w:t>3685.</w:t>
            </w:r>
          </w:p>
        </w:tc>
        <w:tc>
          <w:tcPr>
            <w:tcW w:w="4818" w:type="dxa"/>
          </w:tcPr>
          <w:p w14:paraId="356ABBA4" w14:textId="77777777" w:rsidR="008A5602" w:rsidRPr="00286216" w:rsidRDefault="008A5602" w:rsidP="008A5602">
            <w:pPr>
              <w:pStyle w:val="StyleZakonu"/>
              <w:rPr>
                <w:color w:val="000000" w:themeColor="text1"/>
              </w:rPr>
            </w:pPr>
            <w:r w:rsidRPr="00286216">
              <w:rPr>
                <w:color w:val="000000" w:themeColor="text1"/>
              </w:rPr>
              <w:t>10) в частині четвертій статті 63 "фондовому ринку" замінити словами "ринках капіталу";</w:t>
            </w:r>
          </w:p>
        </w:tc>
        <w:tc>
          <w:tcPr>
            <w:tcW w:w="3686" w:type="dxa"/>
          </w:tcPr>
          <w:p w14:paraId="5AAD5F7D" w14:textId="77777777" w:rsidR="008A5602" w:rsidRPr="00286216" w:rsidRDefault="008A5602" w:rsidP="008A5602">
            <w:pPr>
              <w:pStyle w:val="StyleProp"/>
              <w:rPr>
                <w:color w:val="000000" w:themeColor="text1"/>
                <w:szCs w:val="18"/>
              </w:rPr>
            </w:pPr>
          </w:p>
        </w:tc>
        <w:tc>
          <w:tcPr>
            <w:tcW w:w="1987" w:type="dxa"/>
          </w:tcPr>
          <w:p w14:paraId="4835213E" w14:textId="77777777" w:rsidR="008A5602" w:rsidRPr="00286216" w:rsidRDefault="008A5602" w:rsidP="008A5602">
            <w:pPr>
              <w:pStyle w:val="StyleWisnow"/>
              <w:rPr>
                <w:color w:val="000000" w:themeColor="text1"/>
              </w:rPr>
            </w:pPr>
          </w:p>
        </w:tc>
        <w:tc>
          <w:tcPr>
            <w:tcW w:w="4818" w:type="dxa"/>
          </w:tcPr>
          <w:p w14:paraId="39491167" w14:textId="5A0709E7" w:rsidR="008A5602" w:rsidRPr="00286216" w:rsidRDefault="008A5602" w:rsidP="008A5602">
            <w:pPr>
              <w:pStyle w:val="StyleZakonu"/>
              <w:rPr>
                <w:color w:val="000000" w:themeColor="text1"/>
              </w:rPr>
            </w:pPr>
            <w:r w:rsidRPr="00286216">
              <w:rPr>
                <w:color w:val="000000" w:themeColor="text1"/>
              </w:rPr>
              <w:t>18) у частині четвертій статті 63 "фондовому ринку" замінити словами "ринках капіталу";</w:t>
            </w:r>
          </w:p>
        </w:tc>
      </w:tr>
      <w:tr w:rsidR="008A5602" w:rsidRPr="00286216" w14:paraId="3DB0BC6A" w14:textId="77777777" w:rsidTr="00091AA5">
        <w:tc>
          <w:tcPr>
            <w:tcW w:w="576" w:type="dxa"/>
          </w:tcPr>
          <w:p w14:paraId="42AE4D2F" w14:textId="77777777" w:rsidR="008A5602" w:rsidRPr="00286216" w:rsidRDefault="008A5602" w:rsidP="008A5602">
            <w:pPr>
              <w:pStyle w:val="StyleWisnow"/>
              <w:rPr>
                <w:color w:val="000000" w:themeColor="text1"/>
              </w:rPr>
            </w:pPr>
            <w:bookmarkStart w:id="3556" w:name="n3686" w:colFirst="0" w:colLast="0"/>
            <w:bookmarkEnd w:id="3555"/>
            <w:r w:rsidRPr="00286216">
              <w:rPr>
                <w:color w:val="000000" w:themeColor="text1"/>
              </w:rPr>
              <w:t>3686.</w:t>
            </w:r>
          </w:p>
        </w:tc>
        <w:tc>
          <w:tcPr>
            <w:tcW w:w="4818" w:type="dxa"/>
          </w:tcPr>
          <w:p w14:paraId="33D3CF3A" w14:textId="77777777" w:rsidR="008A5602" w:rsidRPr="00286216" w:rsidRDefault="008A5602" w:rsidP="008A5602">
            <w:pPr>
              <w:pStyle w:val="StyleZakonu"/>
              <w:rPr>
                <w:color w:val="000000" w:themeColor="text1"/>
              </w:rPr>
            </w:pPr>
            <w:r w:rsidRPr="00286216">
              <w:rPr>
                <w:color w:val="000000" w:themeColor="text1"/>
              </w:rPr>
              <w:t>11) частину першу та другу статті 66 викласти в такій редакції:</w:t>
            </w:r>
          </w:p>
        </w:tc>
        <w:tc>
          <w:tcPr>
            <w:tcW w:w="3686" w:type="dxa"/>
          </w:tcPr>
          <w:p w14:paraId="5FC1C507" w14:textId="77777777" w:rsidR="008A5602" w:rsidRPr="00286216" w:rsidRDefault="008A5602" w:rsidP="008A5602">
            <w:pPr>
              <w:pStyle w:val="StyleProp"/>
              <w:rPr>
                <w:color w:val="000000" w:themeColor="text1"/>
                <w:szCs w:val="18"/>
              </w:rPr>
            </w:pPr>
          </w:p>
        </w:tc>
        <w:tc>
          <w:tcPr>
            <w:tcW w:w="1987" w:type="dxa"/>
          </w:tcPr>
          <w:p w14:paraId="27B07908" w14:textId="77777777" w:rsidR="008A5602" w:rsidRPr="00286216" w:rsidRDefault="008A5602" w:rsidP="008A5602">
            <w:pPr>
              <w:pStyle w:val="StyleWisnow"/>
              <w:rPr>
                <w:color w:val="000000" w:themeColor="text1"/>
              </w:rPr>
            </w:pPr>
          </w:p>
        </w:tc>
        <w:tc>
          <w:tcPr>
            <w:tcW w:w="4818" w:type="dxa"/>
          </w:tcPr>
          <w:p w14:paraId="381FF96E" w14:textId="217EF628" w:rsidR="008A5602" w:rsidRPr="00286216" w:rsidRDefault="008A5602" w:rsidP="008A5602">
            <w:pPr>
              <w:pStyle w:val="StyleZakonu"/>
              <w:rPr>
                <w:color w:val="000000" w:themeColor="text1"/>
              </w:rPr>
            </w:pPr>
            <w:r w:rsidRPr="00286216">
              <w:rPr>
                <w:color w:val="000000" w:themeColor="text1"/>
              </w:rPr>
              <w:t>19) частини першу та другу статті 66 викласти в такій редакції:</w:t>
            </w:r>
          </w:p>
        </w:tc>
      </w:tr>
      <w:tr w:rsidR="008A5602" w:rsidRPr="00286216" w14:paraId="3FD1287B" w14:textId="77777777" w:rsidTr="00091AA5">
        <w:tc>
          <w:tcPr>
            <w:tcW w:w="576" w:type="dxa"/>
          </w:tcPr>
          <w:p w14:paraId="403904FA" w14:textId="77777777" w:rsidR="008A5602" w:rsidRPr="00286216" w:rsidRDefault="008A5602" w:rsidP="008A5602">
            <w:pPr>
              <w:pStyle w:val="StyleWisnow"/>
              <w:rPr>
                <w:color w:val="000000" w:themeColor="text1"/>
              </w:rPr>
            </w:pPr>
            <w:bookmarkStart w:id="3557" w:name="n3687" w:colFirst="0" w:colLast="0"/>
            <w:bookmarkEnd w:id="3556"/>
            <w:r w:rsidRPr="00286216">
              <w:rPr>
                <w:color w:val="000000" w:themeColor="text1"/>
              </w:rPr>
              <w:t>3687.</w:t>
            </w:r>
          </w:p>
        </w:tc>
        <w:tc>
          <w:tcPr>
            <w:tcW w:w="4818" w:type="dxa"/>
          </w:tcPr>
          <w:p w14:paraId="6680B5D2" w14:textId="77777777" w:rsidR="008A5602" w:rsidRPr="00286216" w:rsidRDefault="008A5602" w:rsidP="008A5602">
            <w:pPr>
              <w:pStyle w:val="StyleZakonu"/>
              <w:rPr>
                <w:color w:val="000000" w:themeColor="text1"/>
              </w:rPr>
            </w:pPr>
            <w:r w:rsidRPr="00286216">
              <w:rPr>
                <w:color w:val="000000" w:themeColor="text1"/>
              </w:rPr>
              <w:t xml:space="preserve">"1.Діяльність з управління активами інституту спільного інвестування провадиться компанією з </w:t>
            </w:r>
            <w:r w:rsidRPr="00286216">
              <w:rPr>
                <w:color w:val="000000" w:themeColor="text1"/>
              </w:rPr>
              <w:lastRenderedPageBreak/>
              <w:t>управління активами на підставі ліцензії, що видається Комісією в порядку, встановленому законодавством.</w:t>
            </w:r>
          </w:p>
        </w:tc>
        <w:tc>
          <w:tcPr>
            <w:tcW w:w="3686" w:type="dxa"/>
          </w:tcPr>
          <w:p w14:paraId="72CC32AC" w14:textId="77777777" w:rsidR="008A5602" w:rsidRPr="00286216" w:rsidRDefault="008A5602" w:rsidP="008A5602">
            <w:pPr>
              <w:pStyle w:val="StyleProp"/>
              <w:rPr>
                <w:color w:val="000000" w:themeColor="text1"/>
                <w:szCs w:val="18"/>
              </w:rPr>
            </w:pPr>
          </w:p>
        </w:tc>
        <w:tc>
          <w:tcPr>
            <w:tcW w:w="1987" w:type="dxa"/>
          </w:tcPr>
          <w:p w14:paraId="1EC0D437" w14:textId="77777777" w:rsidR="008A5602" w:rsidRPr="00286216" w:rsidRDefault="008A5602" w:rsidP="008A5602">
            <w:pPr>
              <w:pStyle w:val="StyleWisnow"/>
              <w:rPr>
                <w:color w:val="000000" w:themeColor="text1"/>
              </w:rPr>
            </w:pPr>
          </w:p>
        </w:tc>
        <w:tc>
          <w:tcPr>
            <w:tcW w:w="4818" w:type="dxa"/>
          </w:tcPr>
          <w:p w14:paraId="669A12D3" w14:textId="553D8767" w:rsidR="008A5602" w:rsidRPr="00286216" w:rsidRDefault="008A5602" w:rsidP="008A5602">
            <w:pPr>
              <w:pStyle w:val="StyleZakonu"/>
              <w:rPr>
                <w:color w:val="000000" w:themeColor="text1"/>
              </w:rPr>
            </w:pPr>
            <w:r w:rsidRPr="00286216">
              <w:rPr>
                <w:color w:val="000000" w:themeColor="text1"/>
              </w:rPr>
              <w:t xml:space="preserve">"1.Діяльність з управління активами інституту спільного інвестування провадиться компанією з </w:t>
            </w:r>
            <w:r w:rsidRPr="00286216">
              <w:rPr>
                <w:color w:val="000000" w:themeColor="text1"/>
              </w:rPr>
              <w:lastRenderedPageBreak/>
              <w:t>управління активами на підставі ліцензії, що видається Комісією в порядку, встановленому законодавством.</w:t>
            </w:r>
          </w:p>
        </w:tc>
      </w:tr>
      <w:tr w:rsidR="008A5602" w:rsidRPr="00286216" w14:paraId="1D179EC1" w14:textId="77777777" w:rsidTr="00091AA5">
        <w:tc>
          <w:tcPr>
            <w:tcW w:w="576" w:type="dxa"/>
          </w:tcPr>
          <w:p w14:paraId="560ACBE0" w14:textId="77777777" w:rsidR="008A5602" w:rsidRPr="00286216" w:rsidRDefault="008A5602" w:rsidP="008A5602">
            <w:pPr>
              <w:pStyle w:val="StyleWisnow"/>
              <w:rPr>
                <w:color w:val="000000" w:themeColor="text1"/>
              </w:rPr>
            </w:pPr>
            <w:bookmarkStart w:id="3558" w:name="n3688" w:colFirst="0" w:colLast="0"/>
            <w:bookmarkEnd w:id="3557"/>
            <w:r w:rsidRPr="00286216">
              <w:rPr>
                <w:color w:val="000000" w:themeColor="text1"/>
              </w:rPr>
              <w:lastRenderedPageBreak/>
              <w:t>3688.</w:t>
            </w:r>
          </w:p>
        </w:tc>
        <w:tc>
          <w:tcPr>
            <w:tcW w:w="4818" w:type="dxa"/>
          </w:tcPr>
          <w:p w14:paraId="773C3E5E" w14:textId="77777777" w:rsidR="008A5602" w:rsidRPr="00286216" w:rsidRDefault="008A5602" w:rsidP="008A5602">
            <w:pPr>
              <w:pStyle w:val="StyleZakonu"/>
              <w:rPr>
                <w:color w:val="000000" w:themeColor="text1"/>
              </w:rPr>
            </w:pPr>
            <w:r w:rsidRPr="00286216">
              <w:rPr>
                <w:color w:val="000000" w:themeColor="text1"/>
              </w:rPr>
              <w:t>2. Саморегулівна організація професійних учасників ринків капіталу - об’єднання учасників ринків капіталу, що провадять професійну діяльність на ринках капіталу - діяльність з управління активами інституційних інвесторів, має право одержувати звітність, складену в порядку, встановленому Комісією, з метою її контролю, узагальнення та аналізу.";</w:t>
            </w:r>
          </w:p>
        </w:tc>
        <w:tc>
          <w:tcPr>
            <w:tcW w:w="3686" w:type="dxa"/>
          </w:tcPr>
          <w:p w14:paraId="5D318EDD" w14:textId="77777777" w:rsidR="008A5602" w:rsidRPr="00286216" w:rsidRDefault="008A5602" w:rsidP="008A5602">
            <w:pPr>
              <w:pStyle w:val="StyleProp"/>
              <w:rPr>
                <w:color w:val="000000" w:themeColor="text1"/>
                <w:szCs w:val="18"/>
              </w:rPr>
            </w:pPr>
          </w:p>
        </w:tc>
        <w:tc>
          <w:tcPr>
            <w:tcW w:w="1987" w:type="dxa"/>
          </w:tcPr>
          <w:p w14:paraId="514291B8" w14:textId="77777777" w:rsidR="008A5602" w:rsidRPr="00286216" w:rsidRDefault="008A5602" w:rsidP="008A5602">
            <w:pPr>
              <w:pStyle w:val="StyleWisnow"/>
              <w:rPr>
                <w:color w:val="000000" w:themeColor="text1"/>
              </w:rPr>
            </w:pPr>
          </w:p>
        </w:tc>
        <w:tc>
          <w:tcPr>
            <w:tcW w:w="4818" w:type="dxa"/>
          </w:tcPr>
          <w:p w14:paraId="01DD2D18" w14:textId="1EB61F38" w:rsidR="008A5602" w:rsidRPr="00286216" w:rsidRDefault="008A5602" w:rsidP="008A5602">
            <w:pPr>
              <w:pStyle w:val="StyleZakonu"/>
              <w:rPr>
                <w:color w:val="000000" w:themeColor="text1"/>
              </w:rPr>
            </w:pPr>
            <w:r w:rsidRPr="00286216">
              <w:rPr>
                <w:color w:val="000000" w:themeColor="text1"/>
              </w:rPr>
              <w:t>2. Саморегулівна організація професійних учасників ринків капіталу - об’єднання учасників ринків капіталу, що провадять професійну діяльність на ринках капіталу - діяльність з управління активами інституційних інвесторів, має право одержувати звітність, складену в порядку, встановленому Комісією, з метою її контролю, узагальнення та аналізу";</w:t>
            </w:r>
          </w:p>
        </w:tc>
      </w:tr>
      <w:tr w:rsidR="008A5602" w:rsidRPr="00286216" w14:paraId="7E3E8320" w14:textId="77777777" w:rsidTr="00091AA5">
        <w:tc>
          <w:tcPr>
            <w:tcW w:w="576" w:type="dxa"/>
          </w:tcPr>
          <w:p w14:paraId="2E320BF6" w14:textId="77777777" w:rsidR="008A5602" w:rsidRPr="00286216" w:rsidRDefault="008A5602" w:rsidP="008A5602">
            <w:pPr>
              <w:pStyle w:val="StyleWisnow"/>
              <w:rPr>
                <w:color w:val="000000" w:themeColor="text1"/>
              </w:rPr>
            </w:pPr>
            <w:bookmarkStart w:id="3559" w:name="n3689" w:colFirst="0" w:colLast="0"/>
            <w:bookmarkEnd w:id="3558"/>
            <w:r w:rsidRPr="00286216">
              <w:rPr>
                <w:color w:val="000000" w:themeColor="text1"/>
              </w:rPr>
              <w:t>3689.</w:t>
            </w:r>
          </w:p>
        </w:tc>
        <w:tc>
          <w:tcPr>
            <w:tcW w:w="4818" w:type="dxa"/>
          </w:tcPr>
          <w:p w14:paraId="5101AF89" w14:textId="77777777" w:rsidR="008A5602" w:rsidRPr="00286216" w:rsidRDefault="008A5602" w:rsidP="008A5602">
            <w:pPr>
              <w:pStyle w:val="StyleZakonu"/>
              <w:rPr>
                <w:color w:val="000000" w:themeColor="text1"/>
              </w:rPr>
            </w:pPr>
            <w:r w:rsidRPr="00286216">
              <w:rPr>
                <w:color w:val="000000" w:themeColor="text1"/>
              </w:rPr>
              <w:t>12) у частині першій статті 75:</w:t>
            </w:r>
          </w:p>
        </w:tc>
        <w:tc>
          <w:tcPr>
            <w:tcW w:w="3686" w:type="dxa"/>
          </w:tcPr>
          <w:p w14:paraId="48B80C6F" w14:textId="77777777" w:rsidR="008A5602" w:rsidRPr="00286216" w:rsidRDefault="008A5602" w:rsidP="008A5602">
            <w:pPr>
              <w:pStyle w:val="StyleProp"/>
              <w:rPr>
                <w:color w:val="000000" w:themeColor="text1"/>
                <w:szCs w:val="18"/>
              </w:rPr>
            </w:pPr>
          </w:p>
        </w:tc>
        <w:tc>
          <w:tcPr>
            <w:tcW w:w="1987" w:type="dxa"/>
          </w:tcPr>
          <w:p w14:paraId="57C1ED38" w14:textId="77777777" w:rsidR="008A5602" w:rsidRPr="00286216" w:rsidRDefault="008A5602" w:rsidP="008A5602">
            <w:pPr>
              <w:pStyle w:val="StyleWisnow"/>
              <w:rPr>
                <w:color w:val="000000" w:themeColor="text1"/>
              </w:rPr>
            </w:pPr>
          </w:p>
        </w:tc>
        <w:tc>
          <w:tcPr>
            <w:tcW w:w="4818" w:type="dxa"/>
          </w:tcPr>
          <w:p w14:paraId="45B65097" w14:textId="4BD87425" w:rsidR="008A5602" w:rsidRPr="00286216" w:rsidRDefault="008A5602" w:rsidP="008A5602">
            <w:pPr>
              <w:pStyle w:val="StyleZakonu"/>
              <w:rPr>
                <w:color w:val="000000" w:themeColor="text1"/>
              </w:rPr>
            </w:pPr>
            <w:r w:rsidRPr="00286216">
              <w:rPr>
                <w:color w:val="000000" w:themeColor="text1"/>
              </w:rPr>
              <w:t>20) у частині першій статті 75:</w:t>
            </w:r>
          </w:p>
        </w:tc>
      </w:tr>
      <w:tr w:rsidR="008A5602" w:rsidRPr="00286216" w14:paraId="2E8A3B66" w14:textId="77777777" w:rsidTr="00091AA5">
        <w:tc>
          <w:tcPr>
            <w:tcW w:w="576" w:type="dxa"/>
          </w:tcPr>
          <w:p w14:paraId="3F394D66" w14:textId="77777777" w:rsidR="008A5602" w:rsidRPr="00286216" w:rsidRDefault="008A5602" w:rsidP="008A5602">
            <w:pPr>
              <w:pStyle w:val="StyleWisnow"/>
              <w:rPr>
                <w:color w:val="000000" w:themeColor="text1"/>
              </w:rPr>
            </w:pPr>
            <w:bookmarkStart w:id="3560" w:name="n3690" w:colFirst="0" w:colLast="0"/>
            <w:bookmarkEnd w:id="3559"/>
            <w:r w:rsidRPr="00286216">
              <w:rPr>
                <w:color w:val="000000" w:themeColor="text1"/>
              </w:rPr>
              <w:t>3690.</w:t>
            </w:r>
          </w:p>
        </w:tc>
        <w:tc>
          <w:tcPr>
            <w:tcW w:w="4818" w:type="dxa"/>
          </w:tcPr>
          <w:p w14:paraId="145B15C1" w14:textId="77777777" w:rsidR="008A5602" w:rsidRPr="00286216" w:rsidRDefault="008A5602" w:rsidP="008A5602">
            <w:pPr>
              <w:pStyle w:val="StyleZakonu"/>
              <w:rPr>
                <w:color w:val="000000" w:themeColor="text1"/>
              </w:rPr>
            </w:pPr>
            <w:r w:rsidRPr="00286216">
              <w:rPr>
                <w:color w:val="000000" w:themeColor="text1"/>
              </w:rPr>
              <w:t>а) пункт 1 викласти в такій редакції:</w:t>
            </w:r>
          </w:p>
        </w:tc>
        <w:tc>
          <w:tcPr>
            <w:tcW w:w="3686" w:type="dxa"/>
          </w:tcPr>
          <w:p w14:paraId="055E3C79" w14:textId="77777777" w:rsidR="008A5602" w:rsidRPr="00286216" w:rsidRDefault="008A5602" w:rsidP="008A5602">
            <w:pPr>
              <w:pStyle w:val="StyleProp"/>
              <w:rPr>
                <w:color w:val="000000" w:themeColor="text1"/>
                <w:szCs w:val="18"/>
              </w:rPr>
            </w:pPr>
          </w:p>
        </w:tc>
        <w:tc>
          <w:tcPr>
            <w:tcW w:w="1987" w:type="dxa"/>
          </w:tcPr>
          <w:p w14:paraId="0B4299A5" w14:textId="77777777" w:rsidR="008A5602" w:rsidRPr="00286216" w:rsidRDefault="008A5602" w:rsidP="008A5602">
            <w:pPr>
              <w:pStyle w:val="StyleWisnow"/>
              <w:rPr>
                <w:color w:val="000000" w:themeColor="text1"/>
              </w:rPr>
            </w:pPr>
          </w:p>
        </w:tc>
        <w:tc>
          <w:tcPr>
            <w:tcW w:w="4818" w:type="dxa"/>
          </w:tcPr>
          <w:p w14:paraId="150CFE73" w14:textId="11E8C716" w:rsidR="008A5602" w:rsidRPr="00286216" w:rsidRDefault="008A5602" w:rsidP="008A5602">
            <w:pPr>
              <w:pStyle w:val="StyleZakonu"/>
              <w:rPr>
                <w:color w:val="000000" w:themeColor="text1"/>
              </w:rPr>
            </w:pPr>
            <w:r w:rsidRPr="00286216">
              <w:rPr>
                <w:color w:val="000000" w:themeColor="text1"/>
              </w:rPr>
              <w:t>а) пункт 1 викласти в такій редакції:</w:t>
            </w:r>
          </w:p>
        </w:tc>
      </w:tr>
      <w:tr w:rsidR="008A5602" w:rsidRPr="00286216" w14:paraId="003FB5BB" w14:textId="77777777" w:rsidTr="00091AA5">
        <w:tc>
          <w:tcPr>
            <w:tcW w:w="576" w:type="dxa"/>
          </w:tcPr>
          <w:p w14:paraId="081585AF" w14:textId="77777777" w:rsidR="008A5602" w:rsidRPr="00286216" w:rsidRDefault="008A5602" w:rsidP="008A5602">
            <w:pPr>
              <w:pStyle w:val="StyleWisnow"/>
              <w:rPr>
                <w:color w:val="000000" w:themeColor="text1"/>
              </w:rPr>
            </w:pPr>
            <w:bookmarkStart w:id="3561" w:name="n3691" w:colFirst="0" w:colLast="0"/>
            <w:bookmarkEnd w:id="3560"/>
            <w:r w:rsidRPr="00286216">
              <w:rPr>
                <w:color w:val="000000" w:themeColor="text1"/>
              </w:rPr>
              <w:t>3691.</w:t>
            </w:r>
          </w:p>
        </w:tc>
        <w:tc>
          <w:tcPr>
            <w:tcW w:w="4818" w:type="dxa"/>
          </w:tcPr>
          <w:p w14:paraId="3CB644F2" w14:textId="77777777" w:rsidR="008A5602" w:rsidRPr="00286216" w:rsidRDefault="008A5602" w:rsidP="008A5602">
            <w:pPr>
              <w:pStyle w:val="StyleZakonu"/>
              <w:rPr>
                <w:color w:val="000000" w:themeColor="text1"/>
              </w:rPr>
            </w:pPr>
            <w:r w:rsidRPr="00286216">
              <w:rPr>
                <w:color w:val="000000" w:themeColor="text1"/>
              </w:rPr>
              <w:t>"1) розміщення у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(у разі публічного розміщення цінних паперів інституту спільного інвестування); ";</w:t>
            </w:r>
          </w:p>
        </w:tc>
        <w:tc>
          <w:tcPr>
            <w:tcW w:w="3686" w:type="dxa"/>
          </w:tcPr>
          <w:p w14:paraId="377FBE7F" w14:textId="08E6B2B0"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ABBEC06" w14:textId="77777777" w:rsidR="008A5602" w:rsidRPr="00286216" w:rsidRDefault="008A5602" w:rsidP="00CF4212">
            <w:pPr>
              <w:pStyle w:val="StyleProp"/>
              <w:spacing w:line="180" w:lineRule="exact"/>
              <w:rPr>
                <w:color w:val="000000" w:themeColor="text1"/>
                <w:szCs w:val="18"/>
              </w:rPr>
            </w:pPr>
            <w:r w:rsidRPr="00286216">
              <w:rPr>
                <w:color w:val="000000" w:themeColor="text1"/>
                <w:szCs w:val="18"/>
              </w:rPr>
              <w:t>В тексті законопроекту слова «Загальнодоступній інформаційній базі даних Національної комісії з цінних паперів та фондового ринку про ринки капіталу та організовані товарні ринки або у базі даних іншої особи, яка провадить діяльність із оприлюднення регульованої інформації від імені учасників ринків капіталу та/або професійних учасників ринків капіталу та організованих товарних ринків» замінити словами «базі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p>
        </w:tc>
        <w:tc>
          <w:tcPr>
            <w:tcW w:w="1987" w:type="dxa"/>
          </w:tcPr>
          <w:p w14:paraId="565A6C82" w14:textId="77777777" w:rsidR="008A5602" w:rsidRPr="00286216" w:rsidRDefault="008A5602" w:rsidP="008A5602">
            <w:pPr>
              <w:pStyle w:val="StyleWisnow"/>
              <w:rPr>
                <w:color w:val="000000" w:themeColor="text1"/>
              </w:rPr>
            </w:pPr>
            <w:r w:rsidRPr="00286216">
              <w:rPr>
                <w:color w:val="000000" w:themeColor="text1"/>
              </w:rPr>
              <w:t>Враховано</w:t>
            </w:r>
          </w:p>
          <w:p w14:paraId="66019842" w14:textId="77777777" w:rsidR="008A5602" w:rsidRPr="00286216" w:rsidRDefault="008A5602" w:rsidP="008A5602">
            <w:pPr>
              <w:pStyle w:val="StyleWisnow"/>
              <w:rPr>
                <w:color w:val="000000" w:themeColor="text1"/>
              </w:rPr>
            </w:pPr>
          </w:p>
        </w:tc>
        <w:tc>
          <w:tcPr>
            <w:tcW w:w="4818" w:type="dxa"/>
          </w:tcPr>
          <w:p w14:paraId="663AFE6E" w14:textId="49EC9040" w:rsidR="008A5602" w:rsidRPr="00286216" w:rsidRDefault="008A5602" w:rsidP="008A5602">
            <w:pPr>
              <w:pStyle w:val="StyleZakonu"/>
              <w:rPr>
                <w:color w:val="000000" w:themeColor="text1"/>
              </w:rPr>
            </w:pPr>
            <w:r w:rsidRPr="00286216">
              <w:rPr>
                <w:color w:val="000000" w:themeColor="text1"/>
              </w:rPr>
              <w:t xml:space="preserve">"1) розміщення у </w:t>
            </w:r>
            <w:r w:rsidRPr="00286216">
              <w:rPr>
                <w:color w:val="000000" w:themeColor="text1"/>
                <w:szCs w:val="18"/>
              </w:rPr>
              <w:t>базі даних особи, яка провадить діяльність із оприлюднення регульованої інформації від імені учасників ринків капіталу та професійних учасників організованих товарних ринків</w:t>
            </w:r>
            <w:r w:rsidRPr="00286216">
              <w:rPr>
                <w:color w:val="000000" w:themeColor="text1"/>
              </w:rPr>
              <w:t xml:space="preserve"> (у разі публічного розміщення цінних паперів інституту спільного інвестування) ";</w:t>
            </w:r>
          </w:p>
        </w:tc>
      </w:tr>
      <w:tr w:rsidR="008A5602" w:rsidRPr="00286216" w14:paraId="278D7677" w14:textId="77777777" w:rsidTr="00091AA5">
        <w:tc>
          <w:tcPr>
            <w:tcW w:w="576" w:type="dxa"/>
          </w:tcPr>
          <w:p w14:paraId="272B6C66" w14:textId="77777777" w:rsidR="008A5602" w:rsidRPr="00286216" w:rsidRDefault="008A5602" w:rsidP="008A5602">
            <w:pPr>
              <w:pStyle w:val="StyleWisnow"/>
              <w:rPr>
                <w:color w:val="000000" w:themeColor="text1"/>
              </w:rPr>
            </w:pPr>
          </w:p>
        </w:tc>
        <w:tc>
          <w:tcPr>
            <w:tcW w:w="4818" w:type="dxa"/>
          </w:tcPr>
          <w:p w14:paraId="47EA5800" w14:textId="77777777" w:rsidR="008A5602" w:rsidRPr="00286216" w:rsidRDefault="008A5602" w:rsidP="008A5602">
            <w:pPr>
              <w:pStyle w:val="StyleZakonu"/>
              <w:rPr>
                <w:color w:val="000000" w:themeColor="text1"/>
              </w:rPr>
            </w:pPr>
          </w:p>
        </w:tc>
        <w:tc>
          <w:tcPr>
            <w:tcW w:w="3686" w:type="dxa"/>
          </w:tcPr>
          <w:p w14:paraId="043EE327" w14:textId="60678BCB"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1477</w:t>
            </w:r>
            <w:r w:rsidRPr="00286216">
              <w:rPr>
                <w:color w:val="000000" w:themeColor="text1"/>
                <w:szCs w:val="18"/>
              </w:rPr>
              <w:fldChar w:fldCharType="end"/>
            </w:r>
            <w:r w:rsidRPr="00286216">
              <w:rPr>
                <w:color w:val="000000" w:themeColor="text1"/>
                <w:spacing w:val="-6"/>
                <w:szCs w:val="18"/>
              </w:rPr>
              <w:t>-Н.д. Устенко О.О.(Реєстр.картка№308)</w:t>
            </w:r>
          </w:p>
          <w:p w14:paraId="7B9CF8E6"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У абзаці третьому підпункту 20 пункту 43 слова «та/або професійних учасників ринків капіталу та організованих товарних ринків» замінити словами «та професійних учасників організованих товарних ринків».</w:t>
            </w:r>
          </w:p>
        </w:tc>
        <w:tc>
          <w:tcPr>
            <w:tcW w:w="1987" w:type="dxa"/>
          </w:tcPr>
          <w:p w14:paraId="5005966D" w14:textId="77777777"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0168ABA4" w14:textId="77777777" w:rsidR="008A5602" w:rsidRPr="00286216" w:rsidRDefault="008A5602" w:rsidP="008A5602">
            <w:pPr>
              <w:pStyle w:val="StyleZakonu"/>
              <w:rPr>
                <w:color w:val="000000" w:themeColor="text1"/>
              </w:rPr>
            </w:pPr>
          </w:p>
        </w:tc>
      </w:tr>
      <w:tr w:rsidR="008A5602" w:rsidRPr="00286216" w14:paraId="1EAB0CAF" w14:textId="77777777" w:rsidTr="00091AA5">
        <w:tc>
          <w:tcPr>
            <w:tcW w:w="576" w:type="dxa"/>
          </w:tcPr>
          <w:p w14:paraId="79067C6F" w14:textId="77777777" w:rsidR="008A5602" w:rsidRPr="00286216" w:rsidRDefault="008A5602" w:rsidP="008A5602">
            <w:pPr>
              <w:pStyle w:val="StyleWisnow"/>
              <w:rPr>
                <w:color w:val="000000" w:themeColor="text1"/>
              </w:rPr>
            </w:pPr>
            <w:bookmarkStart w:id="3562" w:name="n3692" w:colFirst="0" w:colLast="0"/>
            <w:bookmarkEnd w:id="3561"/>
            <w:r w:rsidRPr="00286216">
              <w:rPr>
                <w:color w:val="000000" w:themeColor="text1"/>
              </w:rPr>
              <w:t>3692.</w:t>
            </w:r>
          </w:p>
        </w:tc>
        <w:tc>
          <w:tcPr>
            <w:tcW w:w="4818" w:type="dxa"/>
          </w:tcPr>
          <w:p w14:paraId="08E0A56D" w14:textId="77777777" w:rsidR="008A5602" w:rsidRPr="00286216" w:rsidRDefault="008A5602" w:rsidP="008A5602">
            <w:pPr>
              <w:pStyle w:val="StyleZakonu"/>
              <w:rPr>
                <w:color w:val="000000" w:themeColor="text1"/>
              </w:rPr>
            </w:pPr>
            <w:r w:rsidRPr="00286216">
              <w:rPr>
                <w:color w:val="000000" w:themeColor="text1"/>
              </w:rPr>
              <w:t>б) пункт 5 виключити;</w:t>
            </w:r>
          </w:p>
        </w:tc>
        <w:tc>
          <w:tcPr>
            <w:tcW w:w="3686" w:type="dxa"/>
          </w:tcPr>
          <w:p w14:paraId="2D370278" w14:textId="77777777" w:rsidR="008A5602" w:rsidRPr="00286216" w:rsidRDefault="008A5602" w:rsidP="008A5602">
            <w:pPr>
              <w:pStyle w:val="StyleProp"/>
              <w:rPr>
                <w:color w:val="000000" w:themeColor="text1"/>
                <w:szCs w:val="18"/>
              </w:rPr>
            </w:pPr>
          </w:p>
        </w:tc>
        <w:tc>
          <w:tcPr>
            <w:tcW w:w="1987" w:type="dxa"/>
          </w:tcPr>
          <w:p w14:paraId="32666E17" w14:textId="77777777" w:rsidR="008A5602" w:rsidRPr="00286216" w:rsidRDefault="008A5602" w:rsidP="008A5602">
            <w:pPr>
              <w:pStyle w:val="StyleWisnow"/>
              <w:rPr>
                <w:color w:val="000000" w:themeColor="text1"/>
              </w:rPr>
            </w:pPr>
          </w:p>
        </w:tc>
        <w:tc>
          <w:tcPr>
            <w:tcW w:w="4818" w:type="dxa"/>
          </w:tcPr>
          <w:p w14:paraId="1E9A408C" w14:textId="6A1BE300" w:rsidR="008A5602" w:rsidRPr="00286216" w:rsidRDefault="008A5602" w:rsidP="008A5602">
            <w:pPr>
              <w:pStyle w:val="StyleZakonu"/>
              <w:rPr>
                <w:color w:val="000000" w:themeColor="text1"/>
              </w:rPr>
            </w:pPr>
            <w:r w:rsidRPr="00286216">
              <w:rPr>
                <w:color w:val="000000" w:themeColor="text1"/>
              </w:rPr>
              <w:t>б) пункт 5 виключити;</w:t>
            </w:r>
          </w:p>
        </w:tc>
      </w:tr>
      <w:tr w:rsidR="008A5602" w:rsidRPr="00286216" w14:paraId="1EAC2D47" w14:textId="77777777" w:rsidTr="00091AA5">
        <w:tc>
          <w:tcPr>
            <w:tcW w:w="576" w:type="dxa"/>
          </w:tcPr>
          <w:p w14:paraId="2312568A" w14:textId="77777777" w:rsidR="008A5602" w:rsidRPr="00286216" w:rsidRDefault="008A5602" w:rsidP="008A5602">
            <w:pPr>
              <w:pStyle w:val="StyleWisnow"/>
              <w:rPr>
                <w:color w:val="000000" w:themeColor="text1"/>
              </w:rPr>
            </w:pPr>
            <w:bookmarkStart w:id="3563" w:name="n3693" w:colFirst="0" w:colLast="0"/>
            <w:bookmarkEnd w:id="3562"/>
            <w:r w:rsidRPr="00286216">
              <w:rPr>
                <w:color w:val="000000" w:themeColor="text1"/>
              </w:rPr>
              <w:t>3693.</w:t>
            </w:r>
          </w:p>
        </w:tc>
        <w:tc>
          <w:tcPr>
            <w:tcW w:w="4818" w:type="dxa"/>
          </w:tcPr>
          <w:p w14:paraId="118EB21E" w14:textId="77777777" w:rsidR="008A5602" w:rsidRPr="00286216" w:rsidRDefault="008A5602" w:rsidP="008A5602">
            <w:pPr>
              <w:pStyle w:val="StyleZakonu"/>
              <w:rPr>
                <w:color w:val="000000" w:themeColor="text1"/>
              </w:rPr>
            </w:pPr>
            <w:r w:rsidRPr="00286216">
              <w:rPr>
                <w:color w:val="000000" w:themeColor="text1"/>
              </w:rPr>
              <w:t>13) в частині першій статті 77 слова "Про державне регулювання ринку цінних паперів в Україні" замінити словами "Про державне регулювання ринків капіталу та організованих товарних ринків";</w:t>
            </w:r>
          </w:p>
        </w:tc>
        <w:tc>
          <w:tcPr>
            <w:tcW w:w="3686" w:type="dxa"/>
          </w:tcPr>
          <w:p w14:paraId="2A53F567" w14:textId="77777777" w:rsidR="008A5602" w:rsidRPr="00286216" w:rsidRDefault="008A5602" w:rsidP="008A5602">
            <w:pPr>
              <w:pStyle w:val="StyleProp"/>
              <w:rPr>
                <w:color w:val="000000" w:themeColor="text1"/>
                <w:szCs w:val="18"/>
              </w:rPr>
            </w:pPr>
          </w:p>
        </w:tc>
        <w:tc>
          <w:tcPr>
            <w:tcW w:w="1987" w:type="dxa"/>
          </w:tcPr>
          <w:p w14:paraId="71FA3559" w14:textId="77777777" w:rsidR="008A5602" w:rsidRPr="00286216" w:rsidRDefault="008A5602" w:rsidP="008A5602">
            <w:pPr>
              <w:pStyle w:val="StyleWisnow"/>
              <w:rPr>
                <w:color w:val="000000" w:themeColor="text1"/>
              </w:rPr>
            </w:pPr>
          </w:p>
        </w:tc>
        <w:tc>
          <w:tcPr>
            <w:tcW w:w="4818" w:type="dxa"/>
          </w:tcPr>
          <w:p w14:paraId="26DD9BBB" w14:textId="1366B4CE" w:rsidR="008A5602" w:rsidRPr="00286216" w:rsidRDefault="008A5602" w:rsidP="008A5602">
            <w:pPr>
              <w:pStyle w:val="StyleZakonu"/>
              <w:rPr>
                <w:color w:val="000000" w:themeColor="text1"/>
              </w:rPr>
            </w:pPr>
            <w:r w:rsidRPr="00286216">
              <w:rPr>
                <w:color w:val="000000" w:themeColor="text1"/>
              </w:rPr>
              <w:t>21) в частині першій статті 77 слова "Про державне регулювання ринку цінних паперів в Україні" замінити словами "Про державне регулювання ринків капіталу та організованих товарних ринків";</w:t>
            </w:r>
          </w:p>
        </w:tc>
      </w:tr>
      <w:tr w:rsidR="008A5602" w:rsidRPr="00286216" w14:paraId="07E3767F" w14:textId="77777777" w:rsidTr="00091AA5">
        <w:tc>
          <w:tcPr>
            <w:tcW w:w="576" w:type="dxa"/>
          </w:tcPr>
          <w:p w14:paraId="4E51B630" w14:textId="77777777" w:rsidR="008A5602" w:rsidRPr="00286216" w:rsidRDefault="008A5602" w:rsidP="008A5602">
            <w:pPr>
              <w:pStyle w:val="StyleWisnow"/>
              <w:rPr>
                <w:color w:val="000000" w:themeColor="text1"/>
              </w:rPr>
            </w:pPr>
            <w:bookmarkStart w:id="3564" w:name="n3694" w:colFirst="0" w:colLast="0"/>
            <w:bookmarkEnd w:id="3563"/>
            <w:r w:rsidRPr="00286216">
              <w:rPr>
                <w:color w:val="000000" w:themeColor="text1"/>
              </w:rPr>
              <w:t>3694.</w:t>
            </w:r>
          </w:p>
        </w:tc>
        <w:tc>
          <w:tcPr>
            <w:tcW w:w="4818" w:type="dxa"/>
          </w:tcPr>
          <w:p w14:paraId="2FC72E86" w14:textId="77777777" w:rsidR="008A5602" w:rsidRPr="00286216" w:rsidRDefault="008A5602" w:rsidP="008A5602">
            <w:pPr>
              <w:pStyle w:val="StyleZakonu"/>
              <w:rPr>
                <w:color w:val="000000" w:themeColor="text1"/>
              </w:rPr>
            </w:pPr>
            <w:r w:rsidRPr="00286216">
              <w:rPr>
                <w:color w:val="000000" w:themeColor="text1"/>
              </w:rPr>
              <w:t>14) частину першу статті 78 викласти у такій редакції:</w:t>
            </w:r>
          </w:p>
        </w:tc>
        <w:tc>
          <w:tcPr>
            <w:tcW w:w="3686" w:type="dxa"/>
          </w:tcPr>
          <w:p w14:paraId="0750916A" w14:textId="77777777" w:rsidR="008A5602" w:rsidRPr="00286216" w:rsidRDefault="008A5602" w:rsidP="008A5602">
            <w:pPr>
              <w:pStyle w:val="StyleProp"/>
              <w:rPr>
                <w:color w:val="000000" w:themeColor="text1"/>
                <w:szCs w:val="18"/>
              </w:rPr>
            </w:pPr>
          </w:p>
        </w:tc>
        <w:tc>
          <w:tcPr>
            <w:tcW w:w="1987" w:type="dxa"/>
          </w:tcPr>
          <w:p w14:paraId="38E754F8" w14:textId="77777777" w:rsidR="008A5602" w:rsidRPr="00286216" w:rsidRDefault="008A5602" w:rsidP="008A5602">
            <w:pPr>
              <w:pStyle w:val="StyleWisnow"/>
              <w:rPr>
                <w:color w:val="000000" w:themeColor="text1"/>
              </w:rPr>
            </w:pPr>
          </w:p>
        </w:tc>
        <w:tc>
          <w:tcPr>
            <w:tcW w:w="4818" w:type="dxa"/>
          </w:tcPr>
          <w:p w14:paraId="1DB3702F" w14:textId="4C1D4CDD" w:rsidR="008A5602" w:rsidRPr="00286216" w:rsidRDefault="008A5602" w:rsidP="008A5602">
            <w:pPr>
              <w:pStyle w:val="StyleZakonu"/>
              <w:rPr>
                <w:color w:val="000000" w:themeColor="text1"/>
              </w:rPr>
            </w:pPr>
            <w:r w:rsidRPr="00286216">
              <w:rPr>
                <w:color w:val="000000" w:themeColor="text1"/>
              </w:rPr>
              <w:t>22) частину першу статті 78 викласти  в такій редакції:</w:t>
            </w:r>
          </w:p>
        </w:tc>
      </w:tr>
      <w:tr w:rsidR="008A5602" w:rsidRPr="00286216" w14:paraId="7CB3F462" w14:textId="77777777" w:rsidTr="00091AA5">
        <w:tc>
          <w:tcPr>
            <w:tcW w:w="576" w:type="dxa"/>
          </w:tcPr>
          <w:p w14:paraId="3C459B30" w14:textId="77777777" w:rsidR="008A5602" w:rsidRPr="00286216" w:rsidRDefault="008A5602" w:rsidP="008A5602">
            <w:pPr>
              <w:pStyle w:val="StyleWisnow"/>
              <w:rPr>
                <w:color w:val="000000" w:themeColor="text1"/>
              </w:rPr>
            </w:pPr>
            <w:bookmarkStart w:id="3565" w:name="n3695" w:colFirst="0" w:colLast="0"/>
            <w:bookmarkEnd w:id="3564"/>
            <w:r w:rsidRPr="00286216">
              <w:rPr>
                <w:color w:val="000000" w:themeColor="text1"/>
              </w:rPr>
              <w:t>3695.</w:t>
            </w:r>
          </w:p>
        </w:tc>
        <w:tc>
          <w:tcPr>
            <w:tcW w:w="4818" w:type="dxa"/>
          </w:tcPr>
          <w:p w14:paraId="555F4AFD" w14:textId="77777777" w:rsidR="008A5602" w:rsidRPr="00286216" w:rsidRDefault="008A5602" w:rsidP="008A5602">
            <w:pPr>
              <w:pStyle w:val="StyleZakonu"/>
              <w:rPr>
                <w:color w:val="000000" w:themeColor="text1"/>
              </w:rPr>
            </w:pPr>
            <w:r w:rsidRPr="00286216">
              <w:rPr>
                <w:color w:val="000000" w:themeColor="text1"/>
              </w:rPr>
              <w:t xml:space="preserve">"1. Регулювання діяльності із спільного інвестування здійснюють держава та саморегулівна організація професійних учасників ринків капіталу - об’єднання учасників ринків капіталу, що провадять </w:t>
            </w:r>
            <w:r w:rsidRPr="00286216">
              <w:rPr>
                <w:color w:val="000000" w:themeColor="text1"/>
              </w:rPr>
              <w:lastRenderedPageBreak/>
              <w:t>професійну діяльність на ринках капіталу - діяльність з управління активами інституційних інвесторів.";</w:t>
            </w:r>
          </w:p>
        </w:tc>
        <w:tc>
          <w:tcPr>
            <w:tcW w:w="3686" w:type="dxa"/>
          </w:tcPr>
          <w:p w14:paraId="43CCC1D9" w14:textId="77777777" w:rsidR="008A5602" w:rsidRPr="00286216" w:rsidRDefault="008A5602" w:rsidP="008A5602">
            <w:pPr>
              <w:pStyle w:val="StyleProp"/>
              <w:rPr>
                <w:color w:val="000000" w:themeColor="text1"/>
                <w:szCs w:val="18"/>
              </w:rPr>
            </w:pPr>
          </w:p>
        </w:tc>
        <w:tc>
          <w:tcPr>
            <w:tcW w:w="1987" w:type="dxa"/>
          </w:tcPr>
          <w:p w14:paraId="213577ED" w14:textId="77777777" w:rsidR="008A5602" w:rsidRPr="00286216" w:rsidRDefault="008A5602" w:rsidP="008A5602">
            <w:pPr>
              <w:pStyle w:val="StyleWisnow"/>
              <w:rPr>
                <w:color w:val="000000" w:themeColor="text1"/>
              </w:rPr>
            </w:pPr>
          </w:p>
        </w:tc>
        <w:tc>
          <w:tcPr>
            <w:tcW w:w="4818" w:type="dxa"/>
          </w:tcPr>
          <w:p w14:paraId="1B468DA0" w14:textId="1B1A97CC" w:rsidR="008A5602" w:rsidRPr="00286216" w:rsidRDefault="008A5602" w:rsidP="008A5602">
            <w:pPr>
              <w:pStyle w:val="StyleZakonu"/>
              <w:rPr>
                <w:color w:val="000000" w:themeColor="text1"/>
              </w:rPr>
            </w:pPr>
            <w:r w:rsidRPr="00286216">
              <w:rPr>
                <w:color w:val="000000" w:themeColor="text1"/>
              </w:rPr>
              <w:t xml:space="preserve">"1. Регулювання діяльності із спільного інвестування здійснюють держава та саморегулівна організація професійних учасників ринків капіталу - об’єднання учасників ринків капіталу, що провадять </w:t>
            </w:r>
            <w:r w:rsidRPr="00286216">
              <w:rPr>
                <w:color w:val="000000" w:themeColor="text1"/>
              </w:rPr>
              <w:lastRenderedPageBreak/>
              <w:t>професійну діяльність на ринках капіталу - діяльність з управління активами інституційних інвесторів";</w:t>
            </w:r>
          </w:p>
        </w:tc>
      </w:tr>
      <w:tr w:rsidR="008A5602" w:rsidRPr="00286216" w14:paraId="0EF25851" w14:textId="77777777" w:rsidTr="00091AA5">
        <w:tc>
          <w:tcPr>
            <w:tcW w:w="576" w:type="dxa"/>
          </w:tcPr>
          <w:p w14:paraId="1EB35BD3" w14:textId="77777777" w:rsidR="008A5602" w:rsidRPr="00286216" w:rsidRDefault="008A5602" w:rsidP="008A5602">
            <w:pPr>
              <w:pStyle w:val="StyleWisnow"/>
              <w:rPr>
                <w:color w:val="000000" w:themeColor="text1"/>
              </w:rPr>
            </w:pPr>
            <w:bookmarkStart w:id="3566" w:name="n3696" w:colFirst="0" w:colLast="0"/>
            <w:bookmarkEnd w:id="3565"/>
            <w:r w:rsidRPr="00286216">
              <w:rPr>
                <w:color w:val="000000" w:themeColor="text1"/>
              </w:rPr>
              <w:lastRenderedPageBreak/>
              <w:t>3696.</w:t>
            </w:r>
          </w:p>
        </w:tc>
        <w:tc>
          <w:tcPr>
            <w:tcW w:w="4818" w:type="dxa"/>
          </w:tcPr>
          <w:p w14:paraId="61D669D1" w14:textId="77777777" w:rsidR="008A5602" w:rsidRPr="00286216" w:rsidRDefault="008A5602" w:rsidP="008A5602">
            <w:pPr>
              <w:pStyle w:val="StyleZakonu"/>
              <w:rPr>
                <w:color w:val="000000" w:themeColor="text1"/>
              </w:rPr>
            </w:pPr>
            <w:r w:rsidRPr="00286216">
              <w:rPr>
                <w:color w:val="000000" w:themeColor="text1"/>
              </w:rPr>
              <w:t>15) у тексті Закону:</w:t>
            </w:r>
          </w:p>
        </w:tc>
        <w:tc>
          <w:tcPr>
            <w:tcW w:w="3686" w:type="dxa"/>
          </w:tcPr>
          <w:p w14:paraId="79A671A8" w14:textId="77777777" w:rsidR="008A5602" w:rsidRPr="00286216" w:rsidRDefault="008A5602" w:rsidP="008A5602">
            <w:pPr>
              <w:pStyle w:val="StyleProp"/>
              <w:rPr>
                <w:color w:val="000000" w:themeColor="text1"/>
                <w:szCs w:val="18"/>
              </w:rPr>
            </w:pPr>
          </w:p>
        </w:tc>
        <w:tc>
          <w:tcPr>
            <w:tcW w:w="1987" w:type="dxa"/>
          </w:tcPr>
          <w:p w14:paraId="0163281B" w14:textId="77777777" w:rsidR="008A5602" w:rsidRPr="00286216" w:rsidRDefault="008A5602" w:rsidP="008A5602">
            <w:pPr>
              <w:pStyle w:val="StyleWisnow"/>
              <w:rPr>
                <w:color w:val="000000" w:themeColor="text1"/>
              </w:rPr>
            </w:pPr>
          </w:p>
        </w:tc>
        <w:tc>
          <w:tcPr>
            <w:tcW w:w="4818" w:type="dxa"/>
          </w:tcPr>
          <w:p w14:paraId="540640D7" w14:textId="663E3AF5" w:rsidR="008A5602" w:rsidRPr="00286216" w:rsidRDefault="008A5602" w:rsidP="008A5602">
            <w:pPr>
              <w:pStyle w:val="StyleZakonu"/>
              <w:rPr>
                <w:color w:val="000000" w:themeColor="text1"/>
              </w:rPr>
            </w:pPr>
            <w:r w:rsidRPr="00286216">
              <w:rPr>
                <w:color w:val="000000" w:themeColor="text1"/>
              </w:rPr>
              <w:t>23) у тексті Закону:</w:t>
            </w:r>
          </w:p>
        </w:tc>
      </w:tr>
      <w:tr w:rsidR="008A5602" w:rsidRPr="00286216" w14:paraId="3E84D904" w14:textId="77777777" w:rsidTr="00091AA5">
        <w:tc>
          <w:tcPr>
            <w:tcW w:w="576" w:type="dxa"/>
          </w:tcPr>
          <w:p w14:paraId="0232E310" w14:textId="77777777" w:rsidR="008A5602" w:rsidRPr="00286216" w:rsidRDefault="008A5602" w:rsidP="008A5602">
            <w:pPr>
              <w:pStyle w:val="StyleWisnow"/>
              <w:rPr>
                <w:color w:val="000000" w:themeColor="text1"/>
              </w:rPr>
            </w:pPr>
            <w:bookmarkStart w:id="3567" w:name="n3697" w:colFirst="0" w:colLast="0"/>
            <w:bookmarkEnd w:id="3566"/>
            <w:r w:rsidRPr="00286216">
              <w:rPr>
                <w:color w:val="000000" w:themeColor="text1"/>
              </w:rPr>
              <w:t>3697.</w:t>
            </w:r>
          </w:p>
        </w:tc>
        <w:tc>
          <w:tcPr>
            <w:tcW w:w="4818" w:type="dxa"/>
          </w:tcPr>
          <w:p w14:paraId="753D82CC" w14:textId="77777777" w:rsidR="008A5602" w:rsidRPr="00286216" w:rsidRDefault="008A5602" w:rsidP="008A5602">
            <w:pPr>
              <w:pStyle w:val="StyleZakonu"/>
              <w:rPr>
                <w:color w:val="000000" w:themeColor="text1"/>
              </w:rPr>
            </w:pPr>
            <w:r w:rsidRPr="00286216">
              <w:rPr>
                <w:color w:val="000000" w:themeColor="text1"/>
              </w:rPr>
              <w:t>а) слова "облігації підприємств" в усіх відмінках замінити словами "корпоративні облігації" у відповідному відмінку;</w:t>
            </w:r>
          </w:p>
        </w:tc>
        <w:tc>
          <w:tcPr>
            <w:tcW w:w="3686" w:type="dxa"/>
          </w:tcPr>
          <w:p w14:paraId="53CFCFD6" w14:textId="77777777" w:rsidR="008A5602" w:rsidRPr="00286216" w:rsidRDefault="008A5602" w:rsidP="008A5602">
            <w:pPr>
              <w:pStyle w:val="StyleProp"/>
              <w:rPr>
                <w:color w:val="000000" w:themeColor="text1"/>
                <w:szCs w:val="18"/>
              </w:rPr>
            </w:pPr>
          </w:p>
        </w:tc>
        <w:tc>
          <w:tcPr>
            <w:tcW w:w="1987" w:type="dxa"/>
          </w:tcPr>
          <w:p w14:paraId="66651BBB" w14:textId="77777777" w:rsidR="008A5602" w:rsidRPr="00286216" w:rsidRDefault="008A5602" w:rsidP="008A5602">
            <w:pPr>
              <w:pStyle w:val="StyleWisnow"/>
              <w:rPr>
                <w:color w:val="000000" w:themeColor="text1"/>
              </w:rPr>
            </w:pPr>
          </w:p>
        </w:tc>
        <w:tc>
          <w:tcPr>
            <w:tcW w:w="4818" w:type="dxa"/>
          </w:tcPr>
          <w:p w14:paraId="4FE5D0B7" w14:textId="66730204" w:rsidR="008A5602" w:rsidRPr="00286216" w:rsidRDefault="008A5602" w:rsidP="008A5602">
            <w:pPr>
              <w:pStyle w:val="StyleZakonu"/>
              <w:rPr>
                <w:color w:val="000000" w:themeColor="text1"/>
              </w:rPr>
            </w:pPr>
            <w:r w:rsidRPr="00286216">
              <w:rPr>
                <w:color w:val="000000" w:themeColor="text1"/>
              </w:rPr>
              <w:t>а) слова "облігації підприємств" в усіх відмінках замінити словами "корпоративні облігації" у відповідному відмінку;</w:t>
            </w:r>
          </w:p>
        </w:tc>
      </w:tr>
      <w:tr w:rsidR="008A5602" w:rsidRPr="00286216" w14:paraId="362B6807" w14:textId="77777777" w:rsidTr="00091AA5">
        <w:tc>
          <w:tcPr>
            <w:tcW w:w="576" w:type="dxa"/>
          </w:tcPr>
          <w:p w14:paraId="098654CF" w14:textId="77777777" w:rsidR="008A5602" w:rsidRPr="00286216" w:rsidRDefault="008A5602" w:rsidP="008A5602">
            <w:pPr>
              <w:pStyle w:val="StyleWisnow"/>
              <w:rPr>
                <w:color w:val="000000" w:themeColor="text1"/>
              </w:rPr>
            </w:pPr>
            <w:bookmarkStart w:id="3568" w:name="n3698" w:colFirst="0" w:colLast="0"/>
            <w:bookmarkEnd w:id="3567"/>
            <w:r w:rsidRPr="00286216">
              <w:rPr>
                <w:color w:val="000000" w:themeColor="text1"/>
              </w:rPr>
              <w:t>3698.</w:t>
            </w:r>
          </w:p>
        </w:tc>
        <w:tc>
          <w:tcPr>
            <w:tcW w:w="4818" w:type="dxa"/>
          </w:tcPr>
          <w:p w14:paraId="01704153" w14:textId="77777777" w:rsidR="008A5602" w:rsidRPr="00286216" w:rsidRDefault="008A5602" w:rsidP="008A5602">
            <w:pPr>
              <w:pStyle w:val="StyleZakonu"/>
              <w:rPr>
                <w:color w:val="000000" w:themeColor="text1"/>
              </w:rPr>
            </w:pPr>
            <w:r w:rsidRPr="00286216">
              <w:rPr>
                <w:color w:val="000000" w:themeColor="text1"/>
              </w:rPr>
              <w:t>б) слова "торговець цінними паперами" в усіх відмінках і числах замінити словами "інвестиційна фірма" у відповідному відмінку і числі.</w:t>
            </w:r>
          </w:p>
        </w:tc>
        <w:tc>
          <w:tcPr>
            <w:tcW w:w="3686" w:type="dxa"/>
          </w:tcPr>
          <w:p w14:paraId="4A86C280" w14:textId="77777777" w:rsidR="008A5602" w:rsidRPr="00286216" w:rsidRDefault="008A5602" w:rsidP="008A5602">
            <w:pPr>
              <w:pStyle w:val="StyleProp"/>
              <w:rPr>
                <w:color w:val="000000" w:themeColor="text1"/>
                <w:szCs w:val="18"/>
              </w:rPr>
            </w:pPr>
          </w:p>
        </w:tc>
        <w:tc>
          <w:tcPr>
            <w:tcW w:w="1987" w:type="dxa"/>
          </w:tcPr>
          <w:p w14:paraId="2EE08EEE" w14:textId="77777777" w:rsidR="008A5602" w:rsidRPr="00286216" w:rsidRDefault="008A5602" w:rsidP="008A5602">
            <w:pPr>
              <w:pStyle w:val="StyleWisnow"/>
              <w:rPr>
                <w:color w:val="000000" w:themeColor="text1"/>
              </w:rPr>
            </w:pPr>
          </w:p>
        </w:tc>
        <w:tc>
          <w:tcPr>
            <w:tcW w:w="4818" w:type="dxa"/>
          </w:tcPr>
          <w:p w14:paraId="77D80B03" w14:textId="4734CC80" w:rsidR="008A5602" w:rsidRPr="00286216" w:rsidRDefault="008A5602" w:rsidP="008A5602">
            <w:pPr>
              <w:pStyle w:val="StyleZakonu"/>
              <w:rPr>
                <w:color w:val="000000" w:themeColor="text1"/>
              </w:rPr>
            </w:pPr>
            <w:r w:rsidRPr="00286216">
              <w:rPr>
                <w:color w:val="000000" w:themeColor="text1"/>
              </w:rPr>
              <w:t>б) слова "торговець цінними паперами" в усіх відмінках і числах замінити словами "інвестиційна фірма" у відповідному відмінку і числі.</w:t>
            </w:r>
          </w:p>
        </w:tc>
      </w:tr>
      <w:tr w:rsidR="008A5602" w:rsidRPr="00286216" w14:paraId="1A96D23A" w14:textId="77777777" w:rsidTr="00091AA5">
        <w:tc>
          <w:tcPr>
            <w:tcW w:w="576" w:type="dxa"/>
          </w:tcPr>
          <w:p w14:paraId="3A42AAC9" w14:textId="77777777" w:rsidR="008A5602" w:rsidRPr="00286216" w:rsidRDefault="008A5602" w:rsidP="008A5602">
            <w:pPr>
              <w:pStyle w:val="StyleWisnow"/>
              <w:rPr>
                <w:color w:val="000000" w:themeColor="text1"/>
              </w:rPr>
            </w:pPr>
            <w:bookmarkStart w:id="3569" w:name="n3699" w:colFirst="0" w:colLast="0"/>
            <w:bookmarkEnd w:id="3568"/>
            <w:r w:rsidRPr="00286216">
              <w:rPr>
                <w:color w:val="000000" w:themeColor="text1"/>
              </w:rPr>
              <w:t>3699.</w:t>
            </w:r>
          </w:p>
        </w:tc>
        <w:tc>
          <w:tcPr>
            <w:tcW w:w="4818" w:type="dxa"/>
          </w:tcPr>
          <w:p w14:paraId="2A9EBD7C" w14:textId="77777777" w:rsidR="008A5602" w:rsidRPr="00286216" w:rsidRDefault="008A5602" w:rsidP="008A5602">
            <w:pPr>
              <w:pStyle w:val="StyleZakonu"/>
              <w:rPr>
                <w:color w:val="000000" w:themeColor="text1"/>
              </w:rPr>
            </w:pPr>
            <w:r w:rsidRPr="00286216">
              <w:rPr>
                <w:color w:val="000000" w:themeColor="text1"/>
              </w:rPr>
              <w:t>44. У Законі України "Про депозитарну систему України" (Відомості Верховної Ради України, 2013 р., №39, ст. 517, із наступними змінами):</w:t>
            </w:r>
          </w:p>
        </w:tc>
        <w:tc>
          <w:tcPr>
            <w:tcW w:w="3686" w:type="dxa"/>
          </w:tcPr>
          <w:p w14:paraId="26D7F712" w14:textId="77777777" w:rsidR="008A5602" w:rsidRPr="00286216" w:rsidRDefault="008A5602" w:rsidP="008A5602">
            <w:pPr>
              <w:pStyle w:val="StyleProp"/>
              <w:rPr>
                <w:color w:val="000000" w:themeColor="text1"/>
                <w:szCs w:val="18"/>
              </w:rPr>
            </w:pPr>
          </w:p>
        </w:tc>
        <w:tc>
          <w:tcPr>
            <w:tcW w:w="1987" w:type="dxa"/>
          </w:tcPr>
          <w:p w14:paraId="462E29C8" w14:textId="77777777" w:rsidR="008A5602" w:rsidRPr="00286216" w:rsidRDefault="008A5602" w:rsidP="008A5602">
            <w:pPr>
              <w:pStyle w:val="StyleWisnow"/>
              <w:rPr>
                <w:color w:val="000000" w:themeColor="text1"/>
              </w:rPr>
            </w:pPr>
          </w:p>
        </w:tc>
        <w:tc>
          <w:tcPr>
            <w:tcW w:w="4818" w:type="dxa"/>
          </w:tcPr>
          <w:p w14:paraId="7405B8FE" w14:textId="7C68BEA3" w:rsidR="008A5602" w:rsidRPr="00286216" w:rsidRDefault="008A5602" w:rsidP="008A5602">
            <w:pPr>
              <w:pStyle w:val="StyleZakonu"/>
              <w:rPr>
                <w:color w:val="000000" w:themeColor="text1"/>
              </w:rPr>
            </w:pPr>
            <w:r w:rsidRPr="00286216">
              <w:rPr>
                <w:color w:val="000000" w:themeColor="text1"/>
              </w:rPr>
              <w:t>44. У Законі України "Про депозитарну систему України" (Відомості Верховної Ради України, 2013 р., №39, ст. 517 із наступними змінами):</w:t>
            </w:r>
          </w:p>
        </w:tc>
      </w:tr>
      <w:tr w:rsidR="008A5602" w:rsidRPr="00286216" w14:paraId="268E741A" w14:textId="77777777" w:rsidTr="00091AA5">
        <w:tc>
          <w:tcPr>
            <w:tcW w:w="576" w:type="dxa"/>
          </w:tcPr>
          <w:p w14:paraId="270BA88E" w14:textId="77777777" w:rsidR="008A5602" w:rsidRPr="00286216" w:rsidRDefault="008A5602" w:rsidP="008A5602">
            <w:pPr>
              <w:pStyle w:val="StyleWisnow"/>
              <w:rPr>
                <w:color w:val="000000" w:themeColor="text1"/>
              </w:rPr>
            </w:pPr>
            <w:bookmarkStart w:id="3570" w:name="n3700" w:colFirst="0" w:colLast="0"/>
            <w:bookmarkEnd w:id="3569"/>
            <w:r w:rsidRPr="00286216">
              <w:rPr>
                <w:color w:val="000000" w:themeColor="text1"/>
              </w:rPr>
              <w:t>3700.</w:t>
            </w:r>
          </w:p>
        </w:tc>
        <w:tc>
          <w:tcPr>
            <w:tcW w:w="4818" w:type="dxa"/>
          </w:tcPr>
          <w:p w14:paraId="054E0CE2" w14:textId="77777777" w:rsidR="008A5602" w:rsidRPr="00286216" w:rsidRDefault="008A5602" w:rsidP="008A5602">
            <w:pPr>
              <w:pStyle w:val="StyleZakonu"/>
              <w:rPr>
                <w:color w:val="000000" w:themeColor="text1"/>
              </w:rPr>
            </w:pPr>
            <w:r w:rsidRPr="00286216">
              <w:rPr>
                <w:color w:val="000000" w:themeColor="text1"/>
              </w:rPr>
              <w:t>1) у частині першій статті 1:</w:t>
            </w:r>
          </w:p>
        </w:tc>
        <w:tc>
          <w:tcPr>
            <w:tcW w:w="3686" w:type="dxa"/>
          </w:tcPr>
          <w:p w14:paraId="1E50DD8C" w14:textId="77777777" w:rsidR="008A5602" w:rsidRPr="00286216" w:rsidRDefault="008A5602" w:rsidP="008A5602">
            <w:pPr>
              <w:pStyle w:val="StyleProp"/>
              <w:rPr>
                <w:color w:val="000000" w:themeColor="text1"/>
                <w:szCs w:val="18"/>
              </w:rPr>
            </w:pPr>
          </w:p>
        </w:tc>
        <w:tc>
          <w:tcPr>
            <w:tcW w:w="1987" w:type="dxa"/>
          </w:tcPr>
          <w:p w14:paraId="1F4FF41E" w14:textId="77777777" w:rsidR="008A5602" w:rsidRPr="00286216" w:rsidRDefault="008A5602" w:rsidP="008A5602">
            <w:pPr>
              <w:pStyle w:val="StyleWisnow"/>
              <w:rPr>
                <w:color w:val="000000" w:themeColor="text1"/>
              </w:rPr>
            </w:pPr>
          </w:p>
        </w:tc>
        <w:tc>
          <w:tcPr>
            <w:tcW w:w="4818" w:type="dxa"/>
          </w:tcPr>
          <w:p w14:paraId="5954D579" w14:textId="22FF5F9B" w:rsidR="008A5602" w:rsidRPr="00286216" w:rsidRDefault="008A5602" w:rsidP="008A5602">
            <w:pPr>
              <w:pStyle w:val="StyleZakonu"/>
              <w:rPr>
                <w:color w:val="000000" w:themeColor="text1"/>
              </w:rPr>
            </w:pPr>
            <w:r w:rsidRPr="00286216">
              <w:rPr>
                <w:color w:val="000000" w:themeColor="text1"/>
              </w:rPr>
              <w:t>1) у частині першій статті 1:</w:t>
            </w:r>
          </w:p>
        </w:tc>
      </w:tr>
      <w:tr w:rsidR="008A5602" w:rsidRPr="00286216" w14:paraId="67514834" w14:textId="77777777" w:rsidTr="00091AA5">
        <w:tc>
          <w:tcPr>
            <w:tcW w:w="576" w:type="dxa"/>
          </w:tcPr>
          <w:p w14:paraId="4208C790" w14:textId="77777777" w:rsidR="008A5602" w:rsidRPr="00286216" w:rsidRDefault="008A5602" w:rsidP="008A5602">
            <w:pPr>
              <w:pStyle w:val="StyleWisnow"/>
              <w:rPr>
                <w:color w:val="000000" w:themeColor="text1"/>
              </w:rPr>
            </w:pPr>
            <w:bookmarkStart w:id="3571" w:name="n3701" w:colFirst="0" w:colLast="0"/>
            <w:bookmarkEnd w:id="3570"/>
            <w:r w:rsidRPr="00286216">
              <w:rPr>
                <w:color w:val="000000" w:themeColor="text1"/>
              </w:rPr>
              <w:t>3701.</w:t>
            </w:r>
          </w:p>
        </w:tc>
        <w:tc>
          <w:tcPr>
            <w:tcW w:w="4818" w:type="dxa"/>
          </w:tcPr>
          <w:p w14:paraId="65DCA90A" w14:textId="77777777" w:rsidR="008A5602" w:rsidRPr="00286216" w:rsidRDefault="008A5602" w:rsidP="008A5602">
            <w:pPr>
              <w:pStyle w:val="StyleZakonu"/>
              <w:rPr>
                <w:color w:val="000000" w:themeColor="text1"/>
              </w:rPr>
            </w:pPr>
            <w:r w:rsidRPr="00286216">
              <w:rPr>
                <w:color w:val="000000" w:themeColor="text1"/>
              </w:rPr>
              <w:t>а) у пункті 5 слова та знаки "Розрахункового центру з обслуговування договорів на фінансових ринках (далі - Розрахунковий центр), " виключити;</w:t>
            </w:r>
          </w:p>
        </w:tc>
        <w:tc>
          <w:tcPr>
            <w:tcW w:w="3686" w:type="dxa"/>
          </w:tcPr>
          <w:p w14:paraId="5D4DDAA5" w14:textId="77777777" w:rsidR="008A5602" w:rsidRPr="00286216" w:rsidRDefault="008A5602" w:rsidP="008A5602">
            <w:pPr>
              <w:pStyle w:val="StyleProp"/>
              <w:rPr>
                <w:color w:val="000000" w:themeColor="text1"/>
                <w:szCs w:val="18"/>
              </w:rPr>
            </w:pPr>
          </w:p>
        </w:tc>
        <w:tc>
          <w:tcPr>
            <w:tcW w:w="1987" w:type="dxa"/>
          </w:tcPr>
          <w:p w14:paraId="0EC9C901" w14:textId="77777777" w:rsidR="008A5602" w:rsidRPr="00286216" w:rsidRDefault="008A5602" w:rsidP="008A5602">
            <w:pPr>
              <w:pStyle w:val="StyleWisnow"/>
              <w:rPr>
                <w:color w:val="000000" w:themeColor="text1"/>
              </w:rPr>
            </w:pPr>
          </w:p>
        </w:tc>
        <w:tc>
          <w:tcPr>
            <w:tcW w:w="4818" w:type="dxa"/>
          </w:tcPr>
          <w:p w14:paraId="6E30F5C4" w14:textId="4B6955FA" w:rsidR="008A5602" w:rsidRPr="00286216" w:rsidRDefault="008A5602" w:rsidP="008A5602">
            <w:pPr>
              <w:pStyle w:val="StyleZakonu"/>
              <w:rPr>
                <w:color w:val="000000" w:themeColor="text1"/>
              </w:rPr>
            </w:pPr>
            <w:r w:rsidRPr="00286216">
              <w:rPr>
                <w:color w:val="000000" w:themeColor="text1"/>
              </w:rPr>
              <w:t>а) у пункті 5 слова "Розрахункового центру з обслуговування договорів на фінансових ринках (далі - Розрахунковий центр) " виключити;</w:t>
            </w:r>
          </w:p>
        </w:tc>
      </w:tr>
      <w:tr w:rsidR="008A5602" w:rsidRPr="00286216" w14:paraId="0BF38084" w14:textId="77777777" w:rsidTr="00091AA5">
        <w:tc>
          <w:tcPr>
            <w:tcW w:w="576" w:type="dxa"/>
          </w:tcPr>
          <w:p w14:paraId="344BD13A" w14:textId="77777777" w:rsidR="008A5602" w:rsidRPr="00286216" w:rsidRDefault="008A5602" w:rsidP="008A5602">
            <w:pPr>
              <w:pStyle w:val="StyleWisnow"/>
              <w:rPr>
                <w:color w:val="000000" w:themeColor="text1"/>
              </w:rPr>
            </w:pPr>
            <w:bookmarkStart w:id="3572" w:name="n3702" w:colFirst="0" w:colLast="0"/>
            <w:bookmarkEnd w:id="3571"/>
            <w:r w:rsidRPr="00286216">
              <w:rPr>
                <w:color w:val="000000" w:themeColor="text1"/>
              </w:rPr>
              <w:t>3702.</w:t>
            </w:r>
          </w:p>
        </w:tc>
        <w:tc>
          <w:tcPr>
            <w:tcW w:w="4818" w:type="dxa"/>
          </w:tcPr>
          <w:p w14:paraId="5BA66BD8" w14:textId="77777777" w:rsidR="008A5602" w:rsidRPr="00286216" w:rsidRDefault="008A5602" w:rsidP="008A5602">
            <w:pPr>
              <w:pStyle w:val="StyleZakonu"/>
              <w:rPr>
                <w:color w:val="000000" w:themeColor="text1"/>
              </w:rPr>
            </w:pPr>
            <w:r w:rsidRPr="00286216">
              <w:rPr>
                <w:color w:val="000000" w:themeColor="text1"/>
              </w:rPr>
              <w:t>б) пункт 7 після слів "рахунка в цінних паперах" доповнити словами "та/або договору депозитарного обліку цінних паперів на рахунку умовного зберігання в цінних паперах (рахунку ескроу в цінних паперах) (далі - договір рахунка ескроу в цінних паперах)";</w:t>
            </w:r>
          </w:p>
        </w:tc>
        <w:tc>
          <w:tcPr>
            <w:tcW w:w="3686" w:type="dxa"/>
          </w:tcPr>
          <w:p w14:paraId="1A842C24" w14:textId="77777777" w:rsidR="008A5602" w:rsidRPr="00286216" w:rsidRDefault="008A5602" w:rsidP="008A5602">
            <w:pPr>
              <w:pStyle w:val="StyleProp"/>
              <w:rPr>
                <w:color w:val="000000" w:themeColor="text1"/>
                <w:szCs w:val="18"/>
              </w:rPr>
            </w:pPr>
          </w:p>
        </w:tc>
        <w:tc>
          <w:tcPr>
            <w:tcW w:w="1987" w:type="dxa"/>
          </w:tcPr>
          <w:p w14:paraId="5B9E1F6B" w14:textId="77777777" w:rsidR="008A5602" w:rsidRPr="00286216" w:rsidRDefault="008A5602" w:rsidP="008A5602">
            <w:pPr>
              <w:pStyle w:val="StyleWisnow"/>
              <w:rPr>
                <w:color w:val="000000" w:themeColor="text1"/>
              </w:rPr>
            </w:pPr>
          </w:p>
        </w:tc>
        <w:tc>
          <w:tcPr>
            <w:tcW w:w="4818" w:type="dxa"/>
          </w:tcPr>
          <w:p w14:paraId="5C282A81" w14:textId="11B44F16" w:rsidR="008A5602" w:rsidRPr="00286216" w:rsidRDefault="008A5602" w:rsidP="008A5602">
            <w:pPr>
              <w:pStyle w:val="StyleZakonu"/>
              <w:rPr>
                <w:color w:val="000000" w:themeColor="text1"/>
              </w:rPr>
            </w:pPr>
            <w:r w:rsidRPr="00286216">
              <w:rPr>
                <w:color w:val="000000" w:themeColor="text1"/>
              </w:rPr>
              <w:t>б) пункт 7 після слів "рахунка в цінних паперах" доповнити словами "та/або договору депозитарного обліку цінних паперів на рахунку умовного зберігання в цінних паперах (рахунку ескроу в цінних паперах) (далі - договір рахунка ескроу в цінних паперах)";</w:t>
            </w:r>
          </w:p>
        </w:tc>
      </w:tr>
      <w:tr w:rsidR="008A5602" w:rsidRPr="00286216" w14:paraId="0010144F" w14:textId="77777777" w:rsidTr="00091AA5">
        <w:tc>
          <w:tcPr>
            <w:tcW w:w="576" w:type="dxa"/>
          </w:tcPr>
          <w:p w14:paraId="1795FFC7" w14:textId="77777777" w:rsidR="008A5602" w:rsidRPr="00286216" w:rsidRDefault="008A5602" w:rsidP="008A5602">
            <w:pPr>
              <w:pStyle w:val="StyleWisnow"/>
              <w:rPr>
                <w:color w:val="000000" w:themeColor="text1"/>
              </w:rPr>
            </w:pPr>
            <w:bookmarkStart w:id="3573" w:name="n3703" w:colFirst="0" w:colLast="0"/>
            <w:bookmarkEnd w:id="3572"/>
            <w:r w:rsidRPr="00286216">
              <w:rPr>
                <w:color w:val="000000" w:themeColor="text1"/>
              </w:rPr>
              <w:t>3703.</w:t>
            </w:r>
          </w:p>
        </w:tc>
        <w:tc>
          <w:tcPr>
            <w:tcW w:w="4818" w:type="dxa"/>
          </w:tcPr>
          <w:p w14:paraId="70823521" w14:textId="77777777" w:rsidR="008A5602" w:rsidRPr="00286216" w:rsidRDefault="008A5602" w:rsidP="008A5602">
            <w:pPr>
              <w:pStyle w:val="StyleZakonu"/>
              <w:rPr>
                <w:color w:val="000000" w:themeColor="text1"/>
              </w:rPr>
            </w:pPr>
            <w:r w:rsidRPr="00286216">
              <w:rPr>
                <w:color w:val="000000" w:themeColor="text1"/>
              </w:rPr>
              <w:t>в) пункти 10</w:t>
            </w:r>
            <w:r w:rsidRPr="00286216">
              <w:rPr>
                <w:color w:val="000000" w:themeColor="text1"/>
                <w:vertAlign w:val="superscript"/>
              </w:rPr>
              <w:t>1</w:t>
            </w:r>
            <w:r w:rsidRPr="00286216">
              <w:rPr>
                <w:color w:val="000000" w:themeColor="text1"/>
              </w:rPr>
              <w:t xml:space="preserve"> та 11</w:t>
            </w:r>
            <w:r w:rsidRPr="00286216">
              <w:rPr>
                <w:color w:val="000000" w:themeColor="text1"/>
                <w:vertAlign w:val="superscript"/>
              </w:rPr>
              <w:t>1</w:t>
            </w:r>
            <w:r w:rsidRPr="00286216">
              <w:rPr>
                <w:color w:val="000000" w:themeColor="text1"/>
              </w:rPr>
              <w:t xml:space="preserve"> виключити;</w:t>
            </w:r>
          </w:p>
        </w:tc>
        <w:tc>
          <w:tcPr>
            <w:tcW w:w="3686" w:type="dxa"/>
          </w:tcPr>
          <w:p w14:paraId="4E3D29E6" w14:textId="77777777" w:rsidR="008A5602" w:rsidRPr="00286216" w:rsidRDefault="008A5602" w:rsidP="008A5602">
            <w:pPr>
              <w:pStyle w:val="StyleProp"/>
              <w:rPr>
                <w:color w:val="000000" w:themeColor="text1"/>
                <w:szCs w:val="18"/>
              </w:rPr>
            </w:pPr>
          </w:p>
        </w:tc>
        <w:tc>
          <w:tcPr>
            <w:tcW w:w="1987" w:type="dxa"/>
          </w:tcPr>
          <w:p w14:paraId="1B7D4096" w14:textId="77777777" w:rsidR="008A5602" w:rsidRPr="00286216" w:rsidRDefault="008A5602" w:rsidP="008A5602">
            <w:pPr>
              <w:pStyle w:val="StyleWisnow"/>
              <w:rPr>
                <w:color w:val="000000" w:themeColor="text1"/>
              </w:rPr>
            </w:pPr>
          </w:p>
        </w:tc>
        <w:tc>
          <w:tcPr>
            <w:tcW w:w="4818" w:type="dxa"/>
          </w:tcPr>
          <w:p w14:paraId="2F2380C7" w14:textId="48709774" w:rsidR="008A5602" w:rsidRPr="00286216" w:rsidRDefault="008A5602" w:rsidP="008A5602">
            <w:pPr>
              <w:pStyle w:val="StyleZakonu"/>
              <w:rPr>
                <w:color w:val="000000" w:themeColor="text1"/>
              </w:rPr>
            </w:pPr>
            <w:r w:rsidRPr="00286216">
              <w:rPr>
                <w:color w:val="000000" w:themeColor="text1"/>
              </w:rPr>
              <w:t>в) пункти 10</w:t>
            </w:r>
            <w:r w:rsidRPr="00286216">
              <w:rPr>
                <w:color w:val="000000" w:themeColor="text1"/>
                <w:vertAlign w:val="superscript"/>
              </w:rPr>
              <w:t>1</w:t>
            </w:r>
            <w:r w:rsidRPr="00286216">
              <w:rPr>
                <w:color w:val="000000" w:themeColor="text1"/>
              </w:rPr>
              <w:t xml:space="preserve"> та 11</w:t>
            </w:r>
            <w:r w:rsidRPr="00286216">
              <w:rPr>
                <w:color w:val="000000" w:themeColor="text1"/>
                <w:vertAlign w:val="superscript"/>
              </w:rPr>
              <w:t>1</w:t>
            </w:r>
            <w:r w:rsidRPr="00286216">
              <w:rPr>
                <w:color w:val="000000" w:themeColor="text1"/>
              </w:rPr>
              <w:t xml:space="preserve"> виключити;</w:t>
            </w:r>
          </w:p>
        </w:tc>
      </w:tr>
      <w:tr w:rsidR="008A5602" w:rsidRPr="00286216" w14:paraId="7BC960E4" w14:textId="77777777" w:rsidTr="00091AA5">
        <w:tc>
          <w:tcPr>
            <w:tcW w:w="576" w:type="dxa"/>
          </w:tcPr>
          <w:p w14:paraId="03E7CF27" w14:textId="77777777" w:rsidR="008A5602" w:rsidRPr="00286216" w:rsidRDefault="008A5602" w:rsidP="008A5602">
            <w:pPr>
              <w:pStyle w:val="StyleWisnow"/>
              <w:rPr>
                <w:color w:val="000000" w:themeColor="text1"/>
              </w:rPr>
            </w:pPr>
            <w:bookmarkStart w:id="3574" w:name="n3704" w:colFirst="0" w:colLast="0"/>
            <w:bookmarkEnd w:id="3573"/>
            <w:r w:rsidRPr="00286216">
              <w:rPr>
                <w:color w:val="000000" w:themeColor="text1"/>
              </w:rPr>
              <w:t>3704.</w:t>
            </w:r>
          </w:p>
        </w:tc>
        <w:tc>
          <w:tcPr>
            <w:tcW w:w="4818" w:type="dxa"/>
          </w:tcPr>
          <w:p w14:paraId="6F02C456" w14:textId="77777777" w:rsidR="008A5602" w:rsidRPr="00286216" w:rsidRDefault="008A5602" w:rsidP="008A5602">
            <w:pPr>
              <w:pStyle w:val="StyleZakonu"/>
              <w:rPr>
                <w:color w:val="000000" w:themeColor="text1"/>
              </w:rPr>
            </w:pPr>
            <w:r w:rsidRPr="00286216">
              <w:rPr>
                <w:color w:val="000000" w:themeColor="text1"/>
              </w:rPr>
              <w:t>ґ) пункт 17 після слів "шляхом переказу коштів" доповнити словами та знаками "або відображення особою, що здійснює клірингову діяльність в системі клірингового обліку зміни обсягу прав та зобов’язань щодо коштів між сторонами правочинів щодо цінних паперів з відображенням переходу права вимоги на кошти, ";</w:t>
            </w:r>
          </w:p>
        </w:tc>
        <w:tc>
          <w:tcPr>
            <w:tcW w:w="3686" w:type="dxa"/>
          </w:tcPr>
          <w:p w14:paraId="58331570" w14:textId="3EBF57C2"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ACA5D9A"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Доповнити підпункт 1 пункту 44 новим пунктом такого змісту:</w:t>
            </w:r>
          </w:p>
          <w:p w14:paraId="6DDF4983" w14:textId="5F8E1B91" w:rsidR="008A5602" w:rsidRPr="00286216" w:rsidRDefault="008A5602" w:rsidP="008A5602">
            <w:pPr>
              <w:pStyle w:val="StyleProp"/>
              <w:spacing w:line="180" w:lineRule="exact"/>
              <w:rPr>
                <w:color w:val="000000" w:themeColor="text1"/>
                <w:szCs w:val="18"/>
              </w:rPr>
            </w:pPr>
            <w:r w:rsidRPr="00286216">
              <w:rPr>
                <w:color w:val="000000" w:themeColor="text1"/>
                <w:szCs w:val="18"/>
              </w:rPr>
              <w:t>«пункт 18 викласти у такій редакції:</w:t>
            </w:r>
          </w:p>
          <w:p w14:paraId="0075B6B7" w14:textId="28EA5CDC" w:rsidR="008A5602" w:rsidRPr="00286216" w:rsidRDefault="008A5602" w:rsidP="008A5602">
            <w:pPr>
              <w:pStyle w:val="StyleProp"/>
              <w:spacing w:line="180" w:lineRule="exact"/>
              <w:rPr>
                <w:color w:val="000000" w:themeColor="text1"/>
                <w:szCs w:val="18"/>
              </w:rPr>
            </w:pPr>
            <w:r w:rsidRPr="00286216">
              <w:rPr>
                <w:rStyle w:val="rvts0"/>
                <w:color w:val="000000" w:themeColor="text1"/>
              </w:rPr>
              <w:t xml:space="preserve">"18) розрахунки за принципом "поставка цінних паперів проти оплати" - механізм розрахунків за правочинами щодо цінних паперів, під час якого </w:t>
            </w:r>
            <w:r w:rsidRPr="00286216">
              <w:rPr>
                <w:color w:val="000000" w:themeColor="text1"/>
                <w:szCs w:val="18"/>
              </w:rPr>
              <w:t xml:space="preserve">в порядку, встановленому Національною комісією з цінних паперів та фондового ринку, </w:t>
            </w:r>
            <w:r w:rsidRPr="00286216">
              <w:rPr>
                <w:rStyle w:val="rvts0"/>
                <w:color w:val="000000" w:themeColor="text1"/>
              </w:rPr>
              <w:t xml:space="preserve">відбувається переказ цінних паперів та/або переказ прав на цінні папери та прав за цінними паперами відразу після відповідного переказу коштів </w:t>
            </w:r>
            <w:r w:rsidRPr="00286216">
              <w:rPr>
                <w:color w:val="000000" w:themeColor="text1"/>
                <w:szCs w:val="18"/>
              </w:rPr>
              <w:t>та/</w:t>
            </w:r>
            <w:r w:rsidRPr="00286216">
              <w:rPr>
                <w:rStyle w:val="rvts0"/>
                <w:color w:val="000000" w:themeColor="text1"/>
              </w:rPr>
              <w:t>або припинення зобов’язань за результатами неттінгу".</w:t>
            </w:r>
          </w:p>
        </w:tc>
        <w:tc>
          <w:tcPr>
            <w:tcW w:w="1987" w:type="dxa"/>
          </w:tcPr>
          <w:p w14:paraId="3EEF2ED2" w14:textId="77777777" w:rsidR="008A5602" w:rsidRPr="00286216" w:rsidRDefault="008A5602" w:rsidP="008A5602">
            <w:pPr>
              <w:pStyle w:val="StyleWisnow"/>
              <w:rPr>
                <w:color w:val="000000" w:themeColor="text1"/>
              </w:rPr>
            </w:pPr>
            <w:r w:rsidRPr="00286216">
              <w:rPr>
                <w:color w:val="000000" w:themeColor="text1"/>
              </w:rPr>
              <w:t>Враховано</w:t>
            </w:r>
          </w:p>
          <w:p w14:paraId="78E40BCC" w14:textId="77777777" w:rsidR="008A5602" w:rsidRPr="00286216" w:rsidRDefault="008A5602" w:rsidP="008A5602">
            <w:pPr>
              <w:pStyle w:val="StyleWisnow"/>
              <w:rPr>
                <w:color w:val="000000" w:themeColor="text1"/>
              </w:rPr>
            </w:pPr>
          </w:p>
          <w:p w14:paraId="5FA590C9" w14:textId="77777777" w:rsidR="008A5602" w:rsidRPr="00286216" w:rsidRDefault="008A5602" w:rsidP="008A5602">
            <w:pPr>
              <w:pStyle w:val="StyleWisnow"/>
              <w:rPr>
                <w:color w:val="000000" w:themeColor="text1"/>
              </w:rPr>
            </w:pPr>
          </w:p>
        </w:tc>
        <w:tc>
          <w:tcPr>
            <w:tcW w:w="4818" w:type="dxa"/>
          </w:tcPr>
          <w:p w14:paraId="184D89D4" w14:textId="231444EB" w:rsidR="008A5602" w:rsidRPr="00286216" w:rsidRDefault="008A5602" w:rsidP="008A5602">
            <w:pPr>
              <w:pStyle w:val="StyleZakonu"/>
              <w:rPr>
                <w:color w:val="000000" w:themeColor="text1"/>
              </w:rPr>
            </w:pPr>
            <w:r w:rsidRPr="00286216">
              <w:rPr>
                <w:color w:val="000000" w:themeColor="text1"/>
              </w:rPr>
              <w:t>ґ) пункт 17 після слів "шляхом переказу коштів" доповнити словами "або відображення особою, що здійснює клірингову діяльність в системі клірингового обліку зміни обсягу прав та зобов’язань щодо коштів між сторонами правочинів щодо цінних паперів з відображенням переходу права вимоги на кошти";</w:t>
            </w:r>
          </w:p>
          <w:p w14:paraId="71AD3F70" w14:textId="5BA4B0D4" w:rsidR="008A5602" w:rsidRPr="00286216" w:rsidRDefault="008A5602" w:rsidP="008A5602">
            <w:pPr>
              <w:pStyle w:val="StyleZakonu"/>
              <w:rPr>
                <w:color w:val="000000" w:themeColor="text1"/>
              </w:rPr>
            </w:pPr>
            <w:r w:rsidRPr="00286216">
              <w:rPr>
                <w:color w:val="000000" w:themeColor="text1"/>
              </w:rPr>
              <w:t>г) пункти 18 і 22 викласти в такій редакції:</w:t>
            </w:r>
          </w:p>
          <w:p w14:paraId="21DECF74" w14:textId="1E679916" w:rsidR="008A5602" w:rsidRPr="00286216" w:rsidRDefault="008A5602" w:rsidP="008A5602">
            <w:pPr>
              <w:pStyle w:val="StyleZakonu"/>
              <w:rPr>
                <w:color w:val="000000" w:themeColor="text1"/>
              </w:rPr>
            </w:pPr>
            <w:r w:rsidRPr="00286216">
              <w:rPr>
                <w:rStyle w:val="rvts0"/>
                <w:color w:val="000000" w:themeColor="text1"/>
              </w:rPr>
              <w:t xml:space="preserve">"18) розрахунки за принципом "поставка цінних паперів проти оплати" - механізм розрахунків за правочинами щодо цінних паперів, під час якого </w:t>
            </w:r>
            <w:r w:rsidRPr="00286216">
              <w:rPr>
                <w:color w:val="000000" w:themeColor="text1"/>
              </w:rPr>
              <w:t xml:space="preserve">в порядку, встановленому Національною комісією з цінних паперів та фондового ринку, </w:t>
            </w:r>
            <w:r w:rsidRPr="00286216">
              <w:rPr>
                <w:rStyle w:val="rvts0"/>
                <w:color w:val="000000" w:themeColor="text1"/>
              </w:rPr>
              <w:t xml:space="preserve">відбувається переказ цінних паперів та/або переказ прав на цінні папери та прав за цінними паперами відразу після відповідного переказу коштів </w:t>
            </w:r>
            <w:r w:rsidRPr="00286216">
              <w:rPr>
                <w:color w:val="000000" w:themeColor="text1"/>
              </w:rPr>
              <w:t>та/</w:t>
            </w:r>
            <w:r w:rsidRPr="00286216">
              <w:rPr>
                <w:rStyle w:val="rvts0"/>
                <w:color w:val="000000" w:themeColor="text1"/>
              </w:rPr>
              <w:t>або припинення зобов’язань за результатами неттінгу</w:t>
            </w:r>
            <w:r w:rsidRPr="00286216">
              <w:rPr>
                <w:color w:val="000000" w:themeColor="text1"/>
              </w:rPr>
              <w:t>";</w:t>
            </w:r>
          </w:p>
        </w:tc>
      </w:tr>
      <w:tr w:rsidR="008A5602" w:rsidRPr="00286216" w14:paraId="34ABFA6C" w14:textId="77777777" w:rsidTr="00091AA5">
        <w:tc>
          <w:tcPr>
            <w:tcW w:w="576" w:type="dxa"/>
          </w:tcPr>
          <w:p w14:paraId="7796FD2A" w14:textId="77777777" w:rsidR="008A5602" w:rsidRPr="00286216" w:rsidRDefault="008A5602" w:rsidP="008A5602">
            <w:pPr>
              <w:pStyle w:val="StyleWisnow"/>
              <w:rPr>
                <w:color w:val="000000" w:themeColor="text1"/>
              </w:rPr>
            </w:pPr>
            <w:bookmarkStart w:id="3575" w:name="n3705" w:colFirst="0" w:colLast="0"/>
            <w:bookmarkEnd w:id="3574"/>
            <w:r w:rsidRPr="00286216">
              <w:rPr>
                <w:color w:val="000000" w:themeColor="text1"/>
              </w:rPr>
              <w:t>3705.</w:t>
            </w:r>
          </w:p>
        </w:tc>
        <w:tc>
          <w:tcPr>
            <w:tcW w:w="4818" w:type="dxa"/>
          </w:tcPr>
          <w:p w14:paraId="767B3BA6" w14:textId="77777777" w:rsidR="008A5602" w:rsidRPr="00286216" w:rsidRDefault="008A5602" w:rsidP="008A5602">
            <w:pPr>
              <w:pStyle w:val="StyleZakonu"/>
              <w:rPr>
                <w:color w:val="000000" w:themeColor="text1"/>
              </w:rPr>
            </w:pPr>
            <w:r w:rsidRPr="00286216">
              <w:rPr>
                <w:color w:val="000000" w:themeColor="text1"/>
              </w:rPr>
              <w:t>г) пункт 22 викласти в такій редакції:</w:t>
            </w:r>
          </w:p>
        </w:tc>
        <w:tc>
          <w:tcPr>
            <w:tcW w:w="3686" w:type="dxa"/>
          </w:tcPr>
          <w:p w14:paraId="70AC5832" w14:textId="77777777" w:rsidR="008A5602" w:rsidRPr="00286216" w:rsidRDefault="008A5602" w:rsidP="008A5602">
            <w:pPr>
              <w:pStyle w:val="StyleProp"/>
              <w:rPr>
                <w:color w:val="000000" w:themeColor="text1"/>
                <w:szCs w:val="18"/>
              </w:rPr>
            </w:pPr>
          </w:p>
        </w:tc>
        <w:tc>
          <w:tcPr>
            <w:tcW w:w="1987" w:type="dxa"/>
          </w:tcPr>
          <w:p w14:paraId="1EC070F9" w14:textId="77777777" w:rsidR="008A5602" w:rsidRPr="00286216" w:rsidRDefault="008A5602" w:rsidP="008A5602">
            <w:pPr>
              <w:pStyle w:val="StyleWisnow"/>
              <w:rPr>
                <w:color w:val="000000" w:themeColor="text1"/>
              </w:rPr>
            </w:pPr>
          </w:p>
        </w:tc>
        <w:tc>
          <w:tcPr>
            <w:tcW w:w="4818" w:type="dxa"/>
          </w:tcPr>
          <w:p w14:paraId="57BACF35" w14:textId="58209D77" w:rsidR="008A5602" w:rsidRPr="00286216" w:rsidRDefault="008A5602" w:rsidP="008A5602">
            <w:pPr>
              <w:pStyle w:val="StyleZakonu"/>
              <w:rPr>
                <w:color w:val="000000" w:themeColor="text1"/>
              </w:rPr>
            </w:pPr>
          </w:p>
        </w:tc>
      </w:tr>
      <w:tr w:rsidR="008A5602" w:rsidRPr="00286216" w14:paraId="22919106" w14:textId="77777777" w:rsidTr="00091AA5">
        <w:tc>
          <w:tcPr>
            <w:tcW w:w="576" w:type="dxa"/>
          </w:tcPr>
          <w:p w14:paraId="44B2D6BA" w14:textId="77777777" w:rsidR="008A5602" w:rsidRPr="00286216" w:rsidRDefault="008A5602" w:rsidP="008A5602">
            <w:pPr>
              <w:pStyle w:val="StyleWisnow"/>
              <w:rPr>
                <w:color w:val="000000" w:themeColor="text1"/>
              </w:rPr>
            </w:pPr>
            <w:bookmarkStart w:id="3576" w:name="n3706" w:colFirst="0" w:colLast="0"/>
            <w:bookmarkEnd w:id="3575"/>
            <w:r w:rsidRPr="00286216">
              <w:rPr>
                <w:color w:val="000000" w:themeColor="text1"/>
              </w:rPr>
              <w:t>3706.</w:t>
            </w:r>
          </w:p>
        </w:tc>
        <w:tc>
          <w:tcPr>
            <w:tcW w:w="4818" w:type="dxa"/>
          </w:tcPr>
          <w:p w14:paraId="1BE48114" w14:textId="77777777" w:rsidR="008A5602" w:rsidRPr="00286216" w:rsidRDefault="008A5602" w:rsidP="008A5602">
            <w:pPr>
              <w:pStyle w:val="StyleZakonu"/>
              <w:rPr>
                <w:color w:val="000000" w:themeColor="text1"/>
              </w:rPr>
            </w:pPr>
            <w:r w:rsidRPr="00286216">
              <w:rPr>
                <w:color w:val="000000" w:themeColor="text1"/>
              </w:rPr>
              <w:t xml:space="preserve">"22) учасники депозитарної системи України - </w:t>
            </w:r>
            <w:r w:rsidRPr="00286216">
              <w:rPr>
                <w:color w:val="000000" w:themeColor="text1"/>
              </w:rPr>
              <w:lastRenderedPageBreak/>
              <w:t>Національний банк України, професійні учасники депозитарної системи України, клірингові установи, оператори організованих ринків, емітенти, інвестиційні фірми, компанії з управління активами, депоненти, іноземні депозитарії-кореспонденти.";</w:t>
            </w:r>
          </w:p>
        </w:tc>
        <w:tc>
          <w:tcPr>
            <w:tcW w:w="3686" w:type="dxa"/>
          </w:tcPr>
          <w:p w14:paraId="28389823" w14:textId="77777777" w:rsidR="008A5602" w:rsidRPr="00286216" w:rsidRDefault="008A5602" w:rsidP="008A5602">
            <w:pPr>
              <w:pStyle w:val="StyleProp"/>
              <w:rPr>
                <w:color w:val="000000" w:themeColor="text1"/>
                <w:szCs w:val="18"/>
              </w:rPr>
            </w:pPr>
          </w:p>
        </w:tc>
        <w:tc>
          <w:tcPr>
            <w:tcW w:w="1987" w:type="dxa"/>
          </w:tcPr>
          <w:p w14:paraId="1E312F37" w14:textId="77777777" w:rsidR="008A5602" w:rsidRPr="00286216" w:rsidRDefault="008A5602" w:rsidP="008A5602">
            <w:pPr>
              <w:pStyle w:val="StyleWisnow"/>
              <w:rPr>
                <w:color w:val="000000" w:themeColor="text1"/>
              </w:rPr>
            </w:pPr>
          </w:p>
        </w:tc>
        <w:tc>
          <w:tcPr>
            <w:tcW w:w="4818" w:type="dxa"/>
          </w:tcPr>
          <w:p w14:paraId="5FED02CE" w14:textId="7645C002" w:rsidR="008A5602" w:rsidRPr="00286216" w:rsidRDefault="008A5602" w:rsidP="008A5602">
            <w:pPr>
              <w:pStyle w:val="StyleZakonu"/>
              <w:rPr>
                <w:color w:val="000000" w:themeColor="text1"/>
              </w:rPr>
            </w:pPr>
            <w:r w:rsidRPr="00286216">
              <w:rPr>
                <w:color w:val="000000" w:themeColor="text1"/>
              </w:rPr>
              <w:t xml:space="preserve">"22) учасники депозитарної системи України - </w:t>
            </w:r>
            <w:r w:rsidRPr="00286216">
              <w:rPr>
                <w:color w:val="000000" w:themeColor="text1"/>
              </w:rPr>
              <w:lastRenderedPageBreak/>
              <w:t>Національний банк України, професійні учасники депозитарної системи України, клірингові установи, оператори організованих ринків, емітенти, інвестиційні фірми, компанії з управління активами, депоненти, іноземні депозитарії-кореспонденти";</w:t>
            </w:r>
          </w:p>
        </w:tc>
      </w:tr>
      <w:tr w:rsidR="008A5602" w:rsidRPr="00286216" w14:paraId="60E8C9B2" w14:textId="77777777" w:rsidTr="00091AA5">
        <w:tc>
          <w:tcPr>
            <w:tcW w:w="576" w:type="dxa"/>
          </w:tcPr>
          <w:p w14:paraId="45755424" w14:textId="77777777" w:rsidR="008A5602" w:rsidRPr="00286216" w:rsidRDefault="008A5602" w:rsidP="008A5602">
            <w:pPr>
              <w:pStyle w:val="StyleWisnow"/>
              <w:rPr>
                <w:color w:val="000000" w:themeColor="text1"/>
              </w:rPr>
            </w:pPr>
            <w:bookmarkStart w:id="3577" w:name="n3707" w:colFirst="0" w:colLast="0"/>
            <w:bookmarkEnd w:id="3576"/>
            <w:r w:rsidRPr="00286216">
              <w:rPr>
                <w:color w:val="000000" w:themeColor="text1"/>
              </w:rPr>
              <w:lastRenderedPageBreak/>
              <w:t>3707.</w:t>
            </w:r>
          </w:p>
        </w:tc>
        <w:tc>
          <w:tcPr>
            <w:tcW w:w="4818" w:type="dxa"/>
          </w:tcPr>
          <w:p w14:paraId="4129D56D" w14:textId="77777777" w:rsidR="008A5602" w:rsidRPr="00286216" w:rsidRDefault="008A5602" w:rsidP="008A5602">
            <w:pPr>
              <w:pStyle w:val="StyleZakonu"/>
              <w:rPr>
                <w:color w:val="000000" w:themeColor="text1"/>
              </w:rPr>
            </w:pPr>
            <w:r w:rsidRPr="00286216">
              <w:rPr>
                <w:color w:val="000000" w:themeColor="text1"/>
              </w:rPr>
              <w:t>д) останній абзац викласти у такій редакції:</w:t>
            </w:r>
          </w:p>
        </w:tc>
        <w:tc>
          <w:tcPr>
            <w:tcW w:w="3686" w:type="dxa"/>
          </w:tcPr>
          <w:p w14:paraId="7CED8319" w14:textId="77777777" w:rsidR="008A5602" w:rsidRPr="00286216" w:rsidRDefault="008A5602" w:rsidP="008A5602">
            <w:pPr>
              <w:pStyle w:val="StyleProp"/>
              <w:rPr>
                <w:color w:val="000000" w:themeColor="text1"/>
                <w:szCs w:val="18"/>
              </w:rPr>
            </w:pPr>
          </w:p>
        </w:tc>
        <w:tc>
          <w:tcPr>
            <w:tcW w:w="1987" w:type="dxa"/>
          </w:tcPr>
          <w:p w14:paraId="3ECB4161" w14:textId="77777777" w:rsidR="008A5602" w:rsidRPr="00286216" w:rsidRDefault="008A5602" w:rsidP="008A5602">
            <w:pPr>
              <w:pStyle w:val="StyleWisnow"/>
              <w:rPr>
                <w:color w:val="000000" w:themeColor="text1"/>
              </w:rPr>
            </w:pPr>
          </w:p>
        </w:tc>
        <w:tc>
          <w:tcPr>
            <w:tcW w:w="4818" w:type="dxa"/>
          </w:tcPr>
          <w:p w14:paraId="16980447" w14:textId="09C71986" w:rsidR="008A5602" w:rsidRPr="00286216" w:rsidRDefault="008A5602" w:rsidP="008A5602">
            <w:pPr>
              <w:pStyle w:val="StyleZakonu"/>
              <w:rPr>
                <w:color w:val="000000" w:themeColor="text1"/>
              </w:rPr>
            </w:pPr>
            <w:r w:rsidRPr="00286216">
              <w:rPr>
                <w:color w:val="000000" w:themeColor="text1"/>
              </w:rPr>
              <w:t>д) абзац двадцять сьомий викласти в такій редакції:</w:t>
            </w:r>
          </w:p>
        </w:tc>
      </w:tr>
      <w:tr w:rsidR="008A5602" w:rsidRPr="00286216" w14:paraId="2AF9F5AF" w14:textId="77777777" w:rsidTr="00091AA5">
        <w:tc>
          <w:tcPr>
            <w:tcW w:w="576" w:type="dxa"/>
          </w:tcPr>
          <w:p w14:paraId="5D8E8A74" w14:textId="77777777" w:rsidR="008A5602" w:rsidRPr="00286216" w:rsidRDefault="008A5602" w:rsidP="008A5602">
            <w:pPr>
              <w:pStyle w:val="StyleWisnow"/>
              <w:rPr>
                <w:color w:val="000000" w:themeColor="text1"/>
              </w:rPr>
            </w:pPr>
            <w:bookmarkStart w:id="3578" w:name="n3708" w:colFirst="0" w:colLast="0"/>
            <w:bookmarkEnd w:id="3577"/>
            <w:r w:rsidRPr="00286216">
              <w:rPr>
                <w:color w:val="000000" w:themeColor="text1"/>
              </w:rPr>
              <w:t>3708.</w:t>
            </w:r>
          </w:p>
        </w:tc>
        <w:tc>
          <w:tcPr>
            <w:tcW w:w="4818" w:type="dxa"/>
          </w:tcPr>
          <w:p w14:paraId="40626759" w14:textId="77777777" w:rsidR="008A5602" w:rsidRPr="00286216" w:rsidRDefault="008A5602" w:rsidP="008A5602">
            <w:pPr>
              <w:pStyle w:val="StyleZakonu"/>
              <w:rPr>
                <w:color w:val="000000" w:themeColor="text1"/>
              </w:rPr>
            </w:pPr>
            <w:r w:rsidRPr="00286216">
              <w:rPr>
                <w:color w:val="000000" w:themeColor="text1"/>
              </w:rPr>
              <w:t>"Терміни "внутрішня система обліку особи, що здійснює клірингову діяльність", "інвестиційна фірма", "кліринг", "клірингова установа", "міжнародний ідентифікаційний код юридичної особи (код LEI)", "неттінг", "оператор організованого ринку", "особа, яка провадить клірингову діяльність" та "система управління ризиками та гарантій особи, яка провадить клірингову діяльність" вживаються у значенні, наведеному в Законі України "Про ринки капіталу та організовані товарні ринки".";</w:t>
            </w:r>
          </w:p>
        </w:tc>
        <w:tc>
          <w:tcPr>
            <w:tcW w:w="3686" w:type="dxa"/>
          </w:tcPr>
          <w:p w14:paraId="1A2387B1" w14:textId="22DD7F95"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1479</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0195A48" w14:textId="77777777" w:rsidR="008A5602" w:rsidRPr="00286216" w:rsidRDefault="008A5602" w:rsidP="008A5602">
            <w:pPr>
              <w:pStyle w:val="StyleProp"/>
              <w:rPr>
                <w:color w:val="000000" w:themeColor="text1"/>
                <w:szCs w:val="18"/>
              </w:rPr>
            </w:pPr>
            <w:r w:rsidRPr="00286216">
              <w:rPr>
                <w:color w:val="000000" w:themeColor="text1"/>
                <w:szCs w:val="18"/>
              </w:rPr>
              <w:t>у абзаці другому підпункту «д» підпункту 1 пункту 44 розділу 3 слова "інвестиційна фірма", "клірингова установа", "особа, яка провадить клірингову діяльність" виключити</w:t>
            </w:r>
          </w:p>
        </w:tc>
        <w:tc>
          <w:tcPr>
            <w:tcW w:w="1987" w:type="dxa"/>
          </w:tcPr>
          <w:p w14:paraId="47A952D9"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45DC2EBD" w14:textId="25EEB3A5" w:rsidR="008A5602" w:rsidRPr="00286216" w:rsidRDefault="008A5602" w:rsidP="008A5602">
            <w:pPr>
              <w:pStyle w:val="StyleZakonu"/>
              <w:rPr>
                <w:color w:val="000000" w:themeColor="text1"/>
              </w:rPr>
            </w:pPr>
            <w:r w:rsidRPr="00286216">
              <w:rPr>
                <w:color w:val="000000" w:themeColor="text1"/>
              </w:rPr>
              <w:t>"Терміни "внутрішня система обліку особи, що здійснює клірингову діяльність", "кліринг", "міжнародний ідентифікаційний код юридичної особи (код LEI)", "неттінг", "оператор організованого ринку" та "система управління ризиками та гарантій особи, яка провадить клірингову діяльність" у цьому Законі вживаються у значенні, наведеному в Законі України "Про ринки капіталу та організовані товарні ринки";</w:t>
            </w:r>
          </w:p>
        </w:tc>
      </w:tr>
      <w:tr w:rsidR="008A5602" w:rsidRPr="00286216" w14:paraId="09F57F96" w14:textId="77777777" w:rsidTr="00091AA5">
        <w:tc>
          <w:tcPr>
            <w:tcW w:w="576" w:type="dxa"/>
          </w:tcPr>
          <w:p w14:paraId="5252F910" w14:textId="77777777" w:rsidR="008A5602" w:rsidRPr="00286216" w:rsidRDefault="008A5602" w:rsidP="008A5602">
            <w:pPr>
              <w:pStyle w:val="StyleWisnow"/>
              <w:rPr>
                <w:color w:val="000000" w:themeColor="text1"/>
              </w:rPr>
            </w:pPr>
            <w:bookmarkStart w:id="3579" w:name="n3709" w:colFirst="0" w:colLast="0"/>
            <w:bookmarkEnd w:id="3578"/>
            <w:r w:rsidRPr="00286216">
              <w:rPr>
                <w:color w:val="000000" w:themeColor="text1"/>
              </w:rPr>
              <w:t>3709.</w:t>
            </w:r>
          </w:p>
        </w:tc>
        <w:tc>
          <w:tcPr>
            <w:tcW w:w="4818" w:type="dxa"/>
          </w:tcPr>
          <w:p w14:paraId="5429C762" w14:textId="77777777" w:rsidR="008A5602" w:rsidRPr="00286216" w:rsidRDefault="008A5602" w:rsidP="008A5602">
            <w:pPr>
              <w:pStyle w:val="StyleZakonu"/>
              <w:rPr>
                <w:color w:val="000000" w:themeColor="text1"/>
              </w:rPr>
            </w:pPr>
            <w:r w:rsidRPr="00286216">
              <w:rPr>
                <w:color w:val="000000" w:themeColor="text1"/>
              </w:rPr>
              <w:t>2) в частині першій статті 2 слова "Про цінні папери та фондовий ринок" замінити словами "Про ринки капіталу та організовані товарні ринки";</w:t>
            </w:r>
          </w:p>
        </w:tc>
        <w:tc>
          <w:tcPr>
            <w:tcW w:w="3686" w:type="dxa"/>
          </w:tcPr>
          <w:p w14:paraId="61D2DC02" w14:textId="54C968FE"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1480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714F17A8" w14:textId="77777777" w:rsidR="008A5602" w:rsidRPr="00286216" w:rsidRDefault="008A5602" w:rsidP="008A5602">
            <w:pPr>
              <w:pStyle w:val="StyleProp"/>
              <w:rPr>
                <w:color w:val="000000" w:themeColor="text1"/>
              </w:rPr>
            </w:pPr>
            <w:r w:rsidRPr="00286216">
              <w:rPr>
                <w:color w:val="000000" w:themeColor="text1"/>
              </w:rPr>
              <w:t>доповнити пункт 44 розділу 3 новим підпунктом 3 такого змісту:</w:t>
            </w:r>
          </w:p>
          <w:p w14:paraId="024B8D8F" w14:textId="77777777" w:rsidR="008A5602" w:rsidRPr="00286216" w:rsidRDefault="008A5602" w:rsidP="008A5602">
            <w:pPr>
              <w:pStyle w:val="StyleProp"/>
              <w:rPr>
                <w:color w:val="000000" w:themeColor="text1"/>
              </w:rPr>
            </w:pPr>
            <w:r w:rsidRPr="00286216">
              <w:rPr>
                <w:color w:val="000000" w:themeColor="text1"/>
              </w:rPr>
              <w:t>«3) в абзаці четвертому частини другої статті 3 слова «діяльністю з торгівлі цінними паперами» замінити словами «діяльністю з торгівлі фінансовими інструментами».</w:t>
            </w:r>
          </w:p>
        </w:tc>
        <w:tc>
          <w:tcPr>
            <w:tcW w:w="1987" w:type="dxa"/>
          </w:tcPr>
          <w:p w14:paraId="27824E70"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5FFACA2E" w14:textId="516E8294" w:rsidR="008A5602" w:rsidRPr="00286216" w:rsidRDefault="008A5602" w:rsidP="008A5602">
            <w:pPr>
              <w:pStyle w:val="StyleZakonu"/>
              <w:rPr>
                <w:color w:val="000000" w:themeColor="text1"/>
              </w:rPr>
            </w:pPr>
            <w:r w:rsidRPr="00286216">
              <w:rPr>
                <w:color w:val="000000" w:themeColor="text1"/>
              </w:rPr>
              <w:t>2)  у частині першій статті 2 слова "Про цінні папери та фондовий ринок" замінити словами "Про ринки капіталу та організовані товарні ринки";</w:t>
            </w:r>
          </w:p>
          <w:p w14:paraId="4440EDF4" w14:textId="332B1F94" w:rsidR="008A5602" w:rsidRPr="00286216" w:rsidRDefault="008A5602" w:rsidP="008A5602">
            <w:pPr>
              <w:pStyle w:val="StyleZakonu"/>
              <w:rPr>
                <w:color w:val="000000" w:themeColor="text1"/>
              </w:rPr>
            </w:pPr>
            <w:r w:rsidRPr="00286216">
              <w:rPr>
                <w:color w:val="000000" w:themeColor="text1"/>
              </w:rPr>
              <w:t>3) в абзаці четвертому частини другої статті 3 слова «діяльністю з торгівлі цінними паперами» замінити словами «діяльністю з торгівлі фінансовими інструментами»;</w:t>
            </w:r>
          </w:p>
        </w:tc>
      </w:tr>
      <w:tr w:rsidR="008A5602" w:rsidRPr="00286216" w14:paraId="75C33F85" w14:textId="77777777" w:rsidTr="00091AA5">
        <w:tc>
          <w:tcPr>
            <w:tcW w:w="576" w:type="dxa"/>
          </w:tcPr>
          <w:p w14:paraId="2A2C5E15" w14:textId="77777777" w:rsidR="008A5602" w:rsidRPr="00286216" w:rsidRDefault="008A5602" w:rsidP="008A5602">
            <w:pPr>
              <w:pStyle w:val="StyleWisnow"/>
              <w:rPr>
                <w:color w:val="000000" w:themeColor="text1"/>
              </w:rPr>
            </w:pPr>
            <w:bookmarkStart w:id="3580" w:name="n3710" w:colFirst="0" w:colLast="0"/>
            <w:bookmarkEnd w:id="3579"/>
            <w:r w:rsidRPr="00286216">
              <w:rPr>
                <w:color w:val="000000" w:themeColor="text1"/>
              </w:rPr>
              <w:t>3710.</w:t>
            </w:r>
          </w:p>
        </w:tc>
        <w:tc>
          <w:tcPr>
            <w:tcW w:w="4818" w:type="dxa"/>
          </w:tcPr>
          <w:p w14:paraId="03221523" w14:textId="77777777" w:rsidR="008A5602" w:rsidRPr="00286216" w:rsidRDefault="008A5602" w:rsidP="008A5602">
            <w:pPr>
              <w:pStyle w:val="StyleZakonu"/>
              <w:rPr>
                <w:color w:val="000000" w:themeColor="text1"/>
              </w:rPr>
            </w:pPr>
            <w:r w:rsidRPr="00286216">
              <w:rPr>
                <w:color w:val="000000" w:themeColor="text1"/>
              </w:rPr>
              <w:t>3) у статті 5:</w:t>
            </w:r>
          </w:p>
        </w:tc>
        <w:tc>
          <w:tcPr>
            <w:tcW w:w="3686" w:type="dxa"/>
          </w:tcPr>
          <w:p w14:paraId="4D919A75" w14:textId="77777777" w:rsidR="008A5602" w:rsidRPr="00286216" w:rsidRDefault="008A5602" w:rsidP="008A5602">
            <w:pPr>
              <w:pStyle w:val="StyleProp"/>
              <w:rPr>
                <w:color w:val="000000" w:themeColor="text1"/>
                <w:szCs w:val="18"/>
              </w:rPr>
            </w:pPr>
          </w:p>
        </w:tc>
        <w:tc>
          <w:tcPr>
            <w:tcW w:w="1987" w:type="dxa"/>
          </w:tcPr>
          <w:p w14:paraId="65DF63EE" w14:textId="77777777" w:rsidR="008A5602" w:rsidRPr="00286216" w:rsidRDefault="008A5602" w:rsidP="008A5602">
            <w:pPr>
              <w:pStyle w:val="StyleWisnow"/>
              <w:rPr>
                <w:color w:val="000000" w:themeColor="text1"/>
              </w:rPr>
            </w:pPr>
          </w:p>
        </w:tc>
        <w:tc>
          <w:tcPr>
            <w:tcW w:w="4818" w:type="dxa"/>
          </w:tcPr>
          <w:p w14:paraId="460981BE" w14:textId="4C10A037" w:rsidR="008A5602" w:rsidRPr="00286216" w:rsidRDefault="008A5602" w:rsidP="008A5602">
            <w:pPr>
              <w:pStyle w:val="StyleZakonu"/>
              <w:rPr>
                <w:color w:val="000000" w:themeColor="text1"/>
              </w:rPr>
            </w:pPr>
            <w:r w:rsidRPr="00286216">
              <w:rPr>
                <w:color w:val="000000" w:themeColor="text1"/>
              </w:rPr>
              <w:t>4) у статті 5:</w:t>
            </w:r>
          </w:p>
        </w:tc>
      </w:tr>
      <w:tr w:rsidR="008A5602" w:rsidRPr="00286216" w14:paraId="1BB5D043" w14:textId="77777777" w:rsidTr="00091AA5">
        <w:tc>
          <w:tcPr>
            <w:tcW w:w="576" w:type="dxa"/>
          </w:tcPr>
          <w:p w14:paraId="5E68C7ED" w14:textId="77777777" w:rsidR="008A5602" w:rsidRPr="00286216" w:rsidRDefault="008A5602" w:rsidP="008A5602">
            <w:pPr>
              <w:pStyle w:val="StyleWisnow"/>
              <w:rPr>
                <w:color w:val="000000" w:themeColor="text1"/>
              </w:rPr>
            </w:pPr>
            <w:bookmarkStart w:id="3581" w:name="n3711" w:colFirst="0" w:colLast="0"/>
            <w:bookmarkEnd w:id="3580"/>
            <w:r w:rsidRPr="00286216">
              <w:rPr>
                <w:color w:val="000000" w:themeColor="text1"/>
              </w:rPr>
              <w:t>3711.</w:t>
            </w:r>
          </w:p>
        </w:tc>
        <w:tc>
          <w:tcPr>
            <w:tcW w:w="4818" w:type="dxa"/>
          </w:tcPr>
          <w:p w14:paraId="74CABD9D" w14:textId="77777777" w:rsidR="008A5602" w:rsidRPr="00286216" w:rsidRDefault="008A5602" w:rsidP="008A5602">
            <w:pPr>
              <w:pStyle w:val="StyleZakonu"/>
              <w:rPr>
                <w:color w:val="000000" w:themeColor="text1"/>
              </w:rPr>
            </w:pPr>
            <w:r w:rsidRPr="00286216">
              <w:rPr>
                <w:color w:val="000000" w:themeColor="text1"/>
              </w:rPr>
              <w:t>а) у частині першій:</w:t>
            </w:r>
          </w:p>
        </w:tc>
        <w:tc>
          <w:tcPr>
            <w:tcW w:w="3686" w:type="dxa"/>
          </w:tcPr>
          <w:p w14:paraId="20D92D2B" w14:textId="77777777" w:rsidR="008A5602" w:rsidRPr="00286216" w:rsidRDefault="008A5602" w:rsidP="008A5602">
            <w:pPr>
              <w:pStyle w:val="StyleProp"/>
              <w:rPr>
                <w:color w:val="000000" w:themeColor="text1"/>
                <w:szCs w:val="18"/>
              </w:rPr>
            </w:pPr>
          </w:p>
        </w:tc>
        <w:tc>
          <w:tcPr>
            <w:tcW w:w="1987" w:type="dxa"/>
          </w:tcPr>
          <w:p w14:paraId="46A68B49" w14:textId="77777777" w:rsidR="008A5602" w:rsidRPr="00286216" w:rsidRDefault="008A5602" w:rsidP="008A5602">
            <w:pPr>
              <w:pStyle w:val="StyleWisnow"/>
              <w:rPr>
                <w:color w:val="000000" w:themeColor="text1"/>
              </w:rPr>
            </w:pPr>
          </w:p>
        </w:tc>
        <w:tc>
          <w:tcPr>
            <w:tcW w:w="4818" w:type="dxa"/>
          </w:tcPr>
          <w:p w14:paraId="7E3A3FFD" w14:textId="73339C09" w:rsidR="008A5602" w:rsidRPr="00286216" w:rsidRDefault="008A5602" w:rsidP="008A5602">
            <w:pPr>
              <w:pStyle w:val="StyleZakonu"/>
              <w:rPr>
                <w:color w:val="000000" w:themeColor="text1"/>
              </w:rPr>
            </w:pPr>
            <w:r w:rsidRPr="00286216">
              <w:rPr>
                <w:color w:val="000000" w:themeColor="text1"/>
              </w:rPr>
              <w:t>а) у частині першій:</w:t>
            </w:r>
          </w:p>
        </w:tc>
      </w:tr>
      <w:tr w:rsidR="008A5602" w:rsidRPr="00286216" w14:paraId="3ED235AF" w14:textId="77777777" w:rsidTr="00091AA5">
        <w:tc>
          <w:tcPr>
            <w:tcW w:w="576" w:type="dxa"/>
          </w:tcPr>
          <w:p w14:paraId="29035DDA" w14:textId="77777777" w:rsidR="008A5602" w:rsidRPr="00286216" w:rsidRDefault="008A5602" w:rsidP="008A5602">
            <w:pPr>
              <w:pStyle w:val="StyleWisnow"/>
              <w:rPr>
                <w:color w:val="000000" w:themeColor="text1"/>
              </w:rPr>
            </w:pPr>
            <w:bookmarkStart w:id="3582" w:name="n3712" w:colFirst="0" w:colLast="0"/>
            <w:bookmarkEnd w:id="3581"/>
            <w:r w:rsidRPr="00286216">
              <w:rPr>
                <w:color w:val="000000" w:themeColor="text1"/>
              </w:rPr>
              <w:t>3712.</w:t>
            </w:r>
          </w:p>
        </w:tc>
        <w:tc>
          <w:tcPr>
            <w:tcW w:w="4818" w:type="dxa"/>
          </w:tcPr>
          <w:p w14:paraId="013440ED" w14:textId="77777777" w:rsidR="008A5602" w:rsidRPr="00286216" w:rsidRDefault="008A5602" w:rsidP="008A5602">
            <w:pPr>
              <w:pStyle w:val="StyleZakonu"/>
              <w:rPr>
                <w:color w:val="000000" w:themeColor="text1"/>
              </w:rPr>
            </w:pPr>
            <w:r w:rsidRPr="00286216">
              <w:rPr>
                <w:color w:val="000000" w:themeColor="text1"/>
              </w:rPr>
              <w:t>доповнити частину після абзацу другого новим абзацом такого змісту:</w:t>
            </w:r>
          </w:p>
        </w:tc>
        <w:tc>
          <w:tcPr>
            <w:tcW w:w="3686" w:type="dxa"/>
          </w:tcPr>
          <w:p w14:paraId="4CAB7793" w14:textId="77777777" w:rsidR="008A5602" w:rsidRPr="00286216" w:rsidRDefault="008A5602" w:rsidP="008A5602">
            <w:pPr>
              <w:pStyle w:val="StyleProp"/>
              <w:rPr>
                <w:color w:val="000000" w:themeColor="text1"/>
                <w:szCs w:val="18"/>
              </w:rPr>
            </w:pPr>
          </w:p>
        </w:tc>
        <w:tc>
          <w:tcPr>
            <w:tcW w:w="1987" w:type="dxa"/>
          </w:tcPr>
          <w:p w14:paraId="69171413" w14:textId="77777777" w:rsidR="008A5602" w:rsidRPr="00286216" w:rsidRDefault="008A5602" w:rsidP="008A5602">
            <w:pPr>
              <w:pStyle w:val="StyleWisnow"/>
              <w:rPr>
                <w:color w:val="000000" w:themeColor="text1"/>
              </w:rPr>
            </w:pPr>
          </w:p>
        </w:tc>
        <w:tc>
          <w:tcPr>
            <w:tcW w:w="4818" w:type="dxa"/>
          </w:tcPr>
          <w:p w14:paraId="356A01C2" w14:textId="1794461A" w:rsidR="008A5602" w:rsidRPr="00286216" w:rsidRDefault="008A5602" w:rsidP="008A5602">
            <w:pPr>
              <w:pStyle w:val="StyleZakonu"/>
              <w:rPr>
                <w:color w:val="000000" w:themeColor="text1"/>
              </w:rPr>
            </w:pPr>
            <w:r w:rsidRPr="00286216">
              <w:rPr>
                <w:color w:val="000000" w:themeColor="text1"/>
              </w:rPr>
              <w:t>після абзацу другого доповнити новим абзацом такого змісту:</w:t>
            </w:r>
          </w:p>
        </w:tc>
      </w:tr>
      <w:tr w:rsidR="008A5602" w:rsidRPr="00286216" w14:paraId="55C658B0" w14:textId="77777777" w:rsidTr="00091AA5">
        <w:tc>
          <w:tcPr>
            <w:tcW w:w="576" w:type="dxa"/>
          </w:tcPr>
          <w:p w14:paraId="21625BFC" w14:textId="77777777" w:rsidR="008A5602" w:rsidRPr="00286216" w:rsidRDefault="008A5602" w:rsidP="008A5602">
            <w:pPr>
              <w:pStyle w:val="StyleWisnow"/>
              <w:rPr>
                <w:color w:val="000000" w:themeColor="text1"/>
              </w:rPr>
            </w:pPr>
            <w:bookmarkStart w:id="3583" w:name="n3713" w:colFirst="0" w:colLast="0"/>
            <w:bookmarkEnd w:id="3582"/>
            <w:r w:rsidRPr="00286216">
              <w:rPr>
                <w:color w:val="000000" w:themeColor="text1"/>
              </w:rPr>
              <w:t>3713.</w:t>
            </w:r>
          </w:p>
        </w:tc>
        <w:tc>
          <w:tcPr>
            <w:tcW w:w="4818" w:type="dxa"/>
          </w:tcPr>
          <w:p w14:paraId="556F8B1E" w14:textId="77777777"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депоненту цінних паперів декілька рахунків у цінних паперах депонента".</w:t>
            </w:r>
          </w:p>
        </w:tc>
        <w:tc>
          <w:tcPr>
            <w:tcW w:w="3686" w:type="dxa"/>
          </w:tcPr>
          <w:p w14:paraId="3338DD0F" w14:textId="77777777" w:rsidR="008A5602" w:rsidRPr="00286216" w:rsidRDefault="008A5602" w:rsidP="008A5602">
            <w:pPr>
              <w:pStyle w:val="StyleProp"/>
              <w:rPr>
                <w:color w:val="000000" w:themeColor="text1"/>
                <w:szCs w:val="18"/>
              </w:rPr>
            </w:pPr>
          </w:p>
        </w:tc>
        <w:tc>
          <w:tcPr>
            <w:tcW w:w="1987" w:type="dxa"/>
          </w:tcPr>
          <w:p w14:paraId="27855627" w14:textId="77777777" w:rsidR="008A5602" w:rsidRPr="00286216" w:rsidRDefault="008A5602" w:rsidP="008A5602">
            <w:pPr>
              <w:pStyle w:val="StyleWisnow"/>
              <w:rPr>
                <w:color w:val="000000" w:themeColor="text1"/>
              </w:rPr>
            </w:pPr>
          </w:p>
        </w:tc>
        <w:tc>
          <w:tcPr>
            <w:tcW w:w="4818" w:type="dxa"/>
          </w:tcPr>
          <w:p w14:paraId="4146D781" w14:textId="5FD9B6E5"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депоненту цінних паперів декілька рахунків у цінних паперах депонента".</w:t>
            </w:r>
          </w:p>
        </w:tc>
      </w:tr>
      <w:tr w:rsidR="008A5602" w:rsidRPr="00286216" w14:paraId="0ACC99B8" w14:textId="77777777" w:rsidTr="00091AA5">
        <w:tc>
          <w:tcPr>
            <w:tcW w:w="576" w:type="dxa"/>
          </w:tcPr>
          <w:p w14:paraId="35453633" w14:textId="77777777" w:rsidR="008A5602" w:rsidRPr="00286216" w:rsidRDefault="008A5602" w:rsidP="008A5602">
            <w:pPr>
              <w:pStyle w:val="StyleWisnow"/>
              <w:rPr>
                <w:color w:val="000000" w:themeColor="text1"/>
              </w:rPr>
            </w:pPr>
            <w:bookmarkStart w:id="3584" w:name="n3714" w:colFirst="0" w:colLast="0"/>
            <w:bookmarkEnd w:id="3583"/>
            <w:r w:rsidRPr="00286216">
              <w:rPr>
                <w:color w:val="000000" w:themeColor="text1"/>
              </w:rPr>
              <w:t>3714.</w:t>
            </w:r>
          </w:p>
        </w:tc>
        <w:tc>
          <w:tcPr>
            <w:tcW w:w="4818" w:type="dxa"/>
          </w:tcPr>
          <w:p w14:paraId="3B3D0956" w14:textId="77777777" w:rsidR="008A5602" w:rsidRPr="00286216" w:rsidRDefault="008A5602" w:rsidP="008A5602">
            <w:pPr>
              <w:pStyle w:val="StyleZakonu"/>
              <w:rPr>
                <w:color w:val="000000" w:themeColor="text1"/>
              </w:rPr>
            </w:pPr>
            <w:r w:rsidRPr="00286216">
              <w:rPr>
                <w:color w:val="000000" w:themeColor="text1"/>
              </w:rPr>
              <w:t>У зв’язку з цим абзаци третій - восьмий вважати абзацами четвертим - дев’ятим, відповідно.</w:t>
            </w:r>
          </w:p>
        </w:tc>
        <w:tc>
          <w:tcPr>
            <w:tcW w:w="3686" w:type="dxa"/>
          </w:tcPr>
          <w:p w14:paraId="2F9BF4AC" w14:textId="77777777" w:rsidR="008A5602" w:rsidRPr="00286216" w:rsidRDefault="008A5602" w:rsidP="008A5602">
            <w:pPr>
              <w:spacing w:line="200" w:lineRule="exact"/>
              <w:ind w:firstLine="227"/>
              <w:jc w:val="both"/>
              <w:rPr>
                <w:color w:val="000000" w:themeColor="text1"/>
                <w:szCs w:val="18"/>
              </w:rPr>
            </w:pPr>
          </w:p>
        </w:tc>
        <w:tc>
          <w:tcPr>
            <w:tcW w:w="1987" w:type="dxa"/>
          </w:tcPr>
          <w:p w14:paraId="0D062874" w14:textId="77777777" w:rsidR="008A5602" w:rsidRPr="00286216" w:rsidRDefault="008A5602" w:rsidP="008A5602">
            <w:pPr>
              <w:pStyle w:val="StyleWisnow"/>
              <w:rPr>
                <w:color w:val="000000" w:themeColor="text1"/>
              </w:rPr>
            </w:pPr>
          </w:p>
        </w:tc>
        <w:tc>
          <w:tcPr>
            <w:tcW w:w="4818" w:type="dxa"/>
          </w:tcPr>
          <w:p w14:paraId="404AA5EF" w14:textId="2E522139" w:rsidR="008A5602" w:rsidRPr="00286216" w:rsidRDefault="008A5602" w:rsidP="008A5602">
            <w:pPr>
              <w:pStyle w:val="StyleZakonu"/>
              <w:rPr>
                <w:color w:val="000000" w:themeColor="text1"/>
              </w:rPr>
            </w:pPr>
            <w:r w:rsidRPr="00286216">
              <w:rPr>
                <w:color w:val="000000" w:themeColor="text1"/>
              </w:rPr>
              <w:t>У зв’язку з цим абзаци третій - восьмий вважати відповідно абзацами четвертим - дев’ятим;.</w:t>
            </w:r>
          </w:p>
        </w:tc>
      </w:tr>
      <w:tr w:rsidR="008A5602" w:rsidRPr="00286216" w14:paraId="4F7ED7D5" w14:textId="77777777" w:rsidTr="00091AA5">
        <w:tc>
          <w:tcPr>
            <w:tcW w:w="576" w:type="dxa"/>
          </w:tcPr>
          <w:p w14:paraId="6631DDCA" w14:textId="77777777" w:rsidR="008A5602" w:rsidRPr="00286216" w:rsidRDefault="008A5602" w:rsidP="008A5602">
            <w:pPr>
              <w:pStyle w:val="StyleWisnow"/>
              <w:rPr>
                <w:color w:val="000000" w:themeColor="text1"/>
              </w:rPr>
            </w:pPr>
            <w:bookmarkStart w:id="3585" w:name="n3715" w:colFirst="0" w:colLast="0"/>
            <w:bookmarkEnd w:id="3584"/>
            <w:r w:rsidRPr="00286216">
              <w:rPr>
                <w:color w:val="000000" w:themeColor="text1"/>
              </w:rPr>
              <w:t>3715.</w:t>
            </w:r>
          </w:p>
        </w:tc>
        <w:tc>
          <w:tcPr>
            <w:tcW w:w="4818" w:type="dxa"/>
          </w:tcPr>
          <w:p w14:paraId="22168632" w14:textId="77777777" w:rsidR="008A5602" w:rsidRPr="00286216" w:rsidRDefault="008A5602" w:rsidP="008A5602">
            <w:pPr>
              <w:pStyle w:val="StyleZakonu"/>
              <w:rPr>
                <w:color w:val="000000" w:themeColor="text1"/>
              </w:rPr>
            </w:pPr>
            <w:r w:rsidRPr="00286216">
              <w:rPr>
                <w:color w:val="000000" w:themeColor="text1"/>
              </w:rPr>
              <w:t>абзац п’ятий доповнити словами "(крім випадків, встановлених законом)";</w:t>
            </w:r>
          </w:p>
        </w:tc>
        <w:tc>
          <w:tcPr>
            <w:tcW w:w="3686" w:type="dxa"/>
          </w:tcPr>
          <w:p w14:paraId="5526F0A6" w14:textId="77777777" w:rsidR="008A5602" w:rsidRPr="00286216" w:rsidRDefault="008A5602" w:rsidP="008A5602">
            <w:pPr>
              <w:pStyle w:val="StyleProp"/>
              <w:rPr>
                <w:color w:val="000000" w:themeColor="text1"/>
                <w:szCs w:val="18"/>
              </w:rPr>
            </w:pPr>
          </w:p>
        </w:tc>
        <w:tc>
          <w:tcPr>
            <w:tcW w:w="1987" w:type="dxa"/>
          </w:tcPr>
          <w:p w14:paraId="51EAEAE4" w14:textId="77777777" w:rsidR="008A5602" w:rsidRPr="00286216" w:rsidRDefault="008A5602" w:rsidP="008A5602">
            <w:pPr>
              <w:pStyle w:val="StyleWisnow"/>
              <w:rPr>
                <w:color w:val="000000" w:themeColor="text1"/>
              </w:rPr>
            </w:pPr>
          </w:p>
        </w:tc>
        <w:tc>
          <w:tcPr>
            <w:tcW w:w="4818" w:type="dxa"/>
          </w:tcPr>
          <w:p w14:paraId="3C421DD2" w14:textId="3EBCE245" w:rsidR="008A5602" w:rsidRPr="00286216" w:rsidRDefault="008A5602" w:rsidP="008A5602">
            <w:pPr>
              <w:pStyle w:val="StyleZakonu"/>
              <w:rPr>
                <w:color w:val="000000" w:themeColor="text1"/>
              </w:rPr>
            </w:pPr>
            <w:r w:rsidRPr="00286216">
              <w:rPr>
                <w:color w:val="000000" w:themeColor="text1"/>
              </w:rPr>
              <w:t>абзац п’ятий доповнити словами "(крім випадків, встановлених законом)";</w:t>
            </w:r>
          </w:p>
        </w:tc>
      </w:tr>
      <w:tr w:rsidR="008A5602" w:rsidRPr="00286216" w14:paraId="7DD537D2" w14:textId="77777777" w:rsidTr="00091AA5">
        <w:tc>
          <w:tcPr>
            <w:tcW w:w="576" w:type="dxa"/>
          </w:tcPr>
          <w:p w14:paraId="502AD85A" w14:textId="77777777" w:rsidR="008A5602" w:rsidRPr="00286216" w:rsidRDefault="008A5602" w:rsidP="008A5602">
            <w:pPr>
              <w:pStyle w:val="StyleWisnow"/>
              <w:rPr>
                <w:color w:val="000000" w:themeColor="text1"/>
              </w:rPr>
            </w:pPr>
            <w:bookmarkStart w:id="3586" w:name="n3716" w:colFirst="0" w:colLast="0"/>
            <w:bookmarkEnd w:id="3585"/>
            <w:r w:rsidRPr="00286216">
              <w:rPr>
                <w:color w:val="000000" w:themeColor="text1"/>
              </w:rPr>
              <w:t>3716.</w:t>
            </w:r>
          </w:p>
        </w:tc>
        <w:tc>
          <w:tcPr>
            <w:tcW w:w="4818" w:type="dxa"/>
          </w:tcPr>
          <w:p w14:paraId="16BAC399" w14:textId="77777777" w:rsidR="008A5602" w:rsidRPr="00286216" w:rsidRDefault="008A5602" w:rsidP="008A5602">
            <w:pPr>
              <w:pStyle w:val="StyleZakonu"/>
              <w:rPr>
                <w:color w:val="000000" w:themeColor="text1"/>
              </w:rPr>
            </w:pPr>
            <w:r w:rsidRPr="00286216">
              <w:rPr>
                <w:color w:val="000000" w:themeColor="text1"/>
              </w:rPr>
              <w:t>доповнити частину після абзацу п’ятого шістьма абзацами такого змісту:</w:t>
            </w:r>
          </w:p>
        </w:tc>
        <w:tc>
          <w:tcPr>
            <w:tcW w:w="3686" w:type="dxa"/>
          </w:tcPr>
          <w:p w14:paraId="15EE8253" w14:textId="77777777" w:rsidR="008A5602" w:rsidRPr="00286216" w:rsidRDefault="008A5602" w:rsidP="008A5602">
            <w:pPr>
              <w:pStyle w:val="StyleProp"/>
              <w:rPr>
                <w:color w:val="000000" w:themeColor="text1"/>
                <w:szCs w:val="18"/>
              </w:rPr>
            </w:pPr>
          </w:p>
        </w:tc>
        <w:tc>
          <w:tcPr>
            <w:tcW w:w="1987" w:type="dxa"/>
          </w:tcPr>
          <w:p w14:paraId="7A0A7766" w14:textId="77777777" w:rsidR="008A5602" w:rsidRPr="00286216" w:rsidRDefault="008A5602" w:rsidP="008A5602">
            <w:pPr>
              <w:pStyle w:val="StyleWisnow"/>
              <w:rPr>
                <w:color w:val="000000" w:themeColor="text1"/>
              </w:rPr>
            </w:pPr>
          </w:p>
        </w:tc>
        <w:tc>
          <w:tcPr>
            <w:tcW w:w="4818" w:type="dxa"/>
          </w:tcPr>
          <w:p w14:paraId="7E938EAB" w14:textId="3BF767CB" w:rsidR="008A5602" w:rsidRPr="00286216" w:rsidRDefault="008A5602" w:rsidP="008A5602">
            <w:pPr>
              <w:pStyle w:val="StyleZakonu"/>
              <w:rPr>
                <w:color w:val="000000" w:themeColor="text1"/>
              </w:rPr>
            </w:pPr>
            <w:r w:rsidRPr="00286216">
              <w:rPr>
                <w:color w:val="000000" w:themeColor="text1"/>
              </w:rPr>
              <w:t>після абзацу п’ятого доповнити шістьма абзацами такого змісту:</w:t>
            </w:r>
          </w:p>
        </w:tc>
      </w:tr>
      <w:tr w:rsidR="008A5602" w:rsidRPr="00286216" w14:paraId="7EDA33EA" w14:textId="77777777" w:rsidTr="00091AA5">
        <w:tc>
          <w:tcPr>
            <w:tcW w:w="576" w:type="dxa"/>
          </w:tcPr>
          <w:p w14:paraId="77CB5D4F" w14:textId="77777777" w:rsidR="008A5602" w:rsidRPr="00286216" w:rsidRDefault="008A5602" w:rsidP="008A5602">
            <w:pPr>
              <w:pStyle w:val="StyleWisnow"/>
              <w:rPr>
                <w:color w:val="000000" w:themeColor="text1"/>
              </w:rPr>
            </w:pPr>
            <w:bookmarkStart w:id="3587" w:name="n3717" w:colFirst="0" w:colLast="0"/>
            <w:bookmarkEnd w:id="3586"/>
            <w:r w:rsidRPr="00286216">
              <w:rPr>
                <w:color w:val="000000" w:themeColor="text1"/>
              </w:rPr>
              <w:t>3717.</w:t>
            </w:r>
          </w:p>
        </w:tc>
        <w:tc>
          <w:tcPr>
            <w:tcW w:w="4818" w:type="dxa"/>
          </w:tcPr>
          <w:p w14:paraId="4FC7A0CD" w14:textId="77777777" w:rsidR="008A5602" w:rsidRPr="00286216" w:rsidRDefault="008A5602" w:rsidP="008A5602">
            <w:pPr>
              <w:pStyle w:val="StyleZakonu"/>
              <w:rPr>
                <w:color w:val="000000" w:themeColor="text1"/>
              </w:rPr>
            </w:pPr>
            <w:r w:rsidRPr="00286216">
              <w:rPr>
                <w:color w:val="000000" w:themeColor="text1"/>
              </w:rPr>
              <w:t xml:space="preserve">"Рахунок умовного зберігання в цінних паперах (далі - рахунок ескроу в цінних паперах) відкривається депозитарною установою власнику цінних паперів на підставі договору рахунка ескроу в цінних паперах, що укладається між власником </w:t>
            </w:r>
            <w:r w:rsidRPr="00286216">
              <w:rPr>
                <w:color w:val="000000" w:themeColor="text1"/>
              </w:rPr>
              <w:lastRenderedPageBreak/>
              <w:t>цінних паперів, бенефіціаром та депозитарною установою або між власником цінних паперів та депозитарною установою.</w:t>
            </w:r>
          </w:p>
        </w:tc>
        <w:tc>
          <w:tcPr>
            <w:tcW w:w="3686" w:type="dxa"/>
          </w:tcPr>
          <w:p w14:paraId="3870B11D" w14:textId="77777777" w:rsidR="008A5602" w:rsidRPr="00286216" w:rsidRDefault="008A5602" w:rsidP="008A5602">
            <w:pPr>
              <w:pStyle w:val="StyleProp"/>
              <w:rPr>
                <w:color w:val="000000" w:themeColor="text1"/>
                <w:szCs w:val="18"/>
              </w:rPr>
            </w:pPr>
          </w:p>
        </w:tc>
        <w:tc>
          <w:tcPr>
            <w:tcW w:w="1987" w:type="dxa"/>
          </w:tcPr>
          <w:p w14:paraId="56477ACD" w14:textId="77777777" w:rsidR="008A5602" w:rsidRPr="00286216" w:rsidRDefault="008A5602" w:rsidP="008A5602">
            <w:pPr>
              <w:pStyle w:val="StyleWisnow"/>
              <w:rPr>
                <w:color w:val="000000" w:themeColor="text1"/>
              </w:rPr>
            </w:pPr>
          </w:p>
        </w:tc>
        <w:tc>
          <w:tcPr>
            <w:tcW w:w="4818" w:type="dxa"/>
          </w:tcPr>
          <w:p w14:paraId="0F3EFF70" w14:textId="4CA1C544" w:rsidR="008A5602" w:rsidRPr="00286216" w:rsidRDefault="008A5602" w:rsidP="008A5602">
            <w:pPr>
              <w:pStyle w:val="StyleZakonu"/>
              <w:rPr>
                <w:color w:val="000000" w:themeColor="text1"/>
              </w:rPr>
            </w:pPr>
            <w:r w:rsidRPr="00286216">
              <w:rPr>
                <w:color w:val="000000" w:themeColor="text1"/>
              </w:rPr>
              <w:t xml:space="preserve">"Рахунок умовного зберігання в цінних паперах (далі - рахунок ескроу в цінних паперах) відкривається депозитарною установою власнику цінних паперів на підставі договору рахунка ескроу в цінних паперах, що укладається між власником </w:t>
            </w:r>
            <w:r w:rsidRPr="00286216">
              <w:rPr>
                <w:color w:val="000000" w:themeColor="text1"/>
              </w:rPr>
              <w:lastRenderedPageBreak/>
              <w:t>цінних паперів, бенефіціаром та депозитарною установою або між власником цінних паперів та депозитарною установою.</w:t>
            </w:r>
          </w:p>
        </w:tc>
      </w:tr>
      <w:tr w:rsidR="008A5602" w:rsidRPr="00286216" w14:paraId="255BD573" w14:textId="77777777" w:rsidTr="00091AA5">
        <w:tc>
          <w:tcPr>
            <w:tcW w:w="576" w:type="dxa"/>
          </w:tcPr>
          <w:p w14:paraId="14069C1C" w14:textId="77777777" w:rsidR="008A5602" w:rsidRPr="00286216" w:rsidRDefault="008A5602" w:rsidP="008A5602">
            <w:pPr>
              <w:pStyle w:val="StyleWisnow"/>
              <w:rPr>
                <w:color w:val="000000" w:themeColor="text1"/>
              </w:rPr>
            </w:pPr>
            <w:bookmarkStart w:id="3588" w:name="n3718" w:colFirst="0" w:colLast="0"/>
            <w:bookmarkEnd w:id="3587"/>
            <w:r w:rsidRPr="00286216">
              <w:rPr>
                <w:color w:val="000000" w:themeColor="text1"/>
              </w:rPr>
              <w:lastRenderedPageBreak/>
              <w:t>3718.</w:t>
            </w:r>
          </w:p>
        </w:tc>
        <w:tc>
          <w:tcPr>
            <w:tcW w:w="4818" w:type="dxa"/>
          </w:tcPr>
          <w:p w14:paraId="5C9F9AA3" w14:textId="77777777"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власнику цінних паперів декілька рахунків ескроу у цінних паперах.</w:t>
            </w:r>
          </w:p>
        </w:tc>
        <w:tc>
          <w:tcPr>
            <w:tcW w:w="3686" w:type="dxa"/>
          </w:tcPr>
          <w:p w14:paraId="71FC4F74" w14:textId="77777777" w:rsidR="008A5602" w:rsidRPr="00286216" w:rsidRDefault="008A5602" w:rsidP="008A5602">
            <w:pPr>
              <w:pStyle w:val="StyleProp"/>
              <w:rPr>
                <w:color w:val="000000" w:themeColor="text1"/>
                <w:szCs w:val="18"/>
              </w:rPr>
            </w:pPr>
          </w:p>
        </w:tc>
        <w:tc>
          <w:tcPr>
            <w:tcW w:w="1987" w:type="dxa"/>
          </w:tcPr>
          <w:p w14:paraId="77811916" w14:textId="77777777" w:rsidR="008A5602" w:rsidRPr="00286216" w:rsidRDefault="008A5602" w:rsidP="008A5602">
            <w:pPr>
              <w:pStyle w:val="StyleWisnow"/>
              <w:rPr>
                <w:color w:val="000000" w:themeColor="text1"/>
              </w:rPr>
            </w:pPr>
          </w:p>
        </w:tc>
        <w:tc>
          <w:tcPr>
            <w:tcW w:w="4818" w:type="dxa"/>
          </w:tcPr>
          <w:p w14:paraId="2EAC5C40" w14:textId="7037CEC6"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власнику цінних паперів декілька рахунків ескроу у цінних паперах.</w:t>
            </w:r>
          </w:p>
        </w:tc>
      </w:tr>
      <w:tr w:rsidR="008A5602" w:rsidRPr="00286216" w14:paraId="78A99384" w14:textId="77777777" w:rsidTr="00091AA5">
        <w:tc>
          <w:tcPr>
            <w:tcW w:w="576" w:type="dxa"/>
          </w:tcPr>
          <w:p w14:paraId="4F185A38" w14:textId="77777777" w:rsidR="008A5602" w:rsidRPr="00286216" w:rsidRDefault="008A5602" w:rsidP="008A5602">
            <w:pPr>
              <w:pStyle w:val="StyleWisnow"/>
              <w:rPr>
                <w:color w:val="000000" w:themeColor="text1"/>
              </w:rPr>
            </w:pPr>
            <w:bookmarkStart w:id="3589" w:name="n3719" w:colFirst="0" w:colLast="0"/>
            <w:bookmarkEnd w:id="3588"/>
            <w:r w:rsidRPr="00286216">
              <w:rPr>
                <w:color w:val="000000" w:themeColor="text1"/>
              </w:rPr>
              <w:t>3719.</w:t>
            </w:r>
          </w:p>
        </w:tc>
        <w:tc>
          <w:tcPr>
            <w:tcW w:w="4818" w:type="dxa"/>
          </w:tcPr>
          <w:p w14:paraId="7449EE15" w14:textId="77777777" w:rsidR="008A5602" w:rsidRPr="00286216" w:rsidRDefault="008A5602" w:rsidP="008A5602">
            <w:pPr>
              <w:pStyle w:val="StyleZakonu"/>
              <w:rPr>
                <w:color w:val="000000" w:themeColor="text1"/>
              </w:rPr>
            </w:pPr>
            <w:r w:rsidRPr="00286216">
              <w:rPr>
                <w:color w:val="000000" w:themeColor="text1"/>
              </w:rPr>
              <w:t>За договором рахунка ескроу в цінних паперах депозитарна установа в установленому Комісією порядку веде облік прав на цінні папери та обмежень прав на та прав за цінними паперами на відповідному рахунку та виконує виключно операції переказу цінних паперів бенефіціару, або вказаній ним особі, або переказу таких цінних паперів їх власнику на визначений ним рахунок за настання підстав, передбачених таким договором.</w:t>
            </w:r>
          </w:p>
        </w:tc>
        <w:tc>
          <w:tcPr>
            <w:tcW w:w="3686" w:type="dxa"/>
          </w:tcPr>
          <w:p w14:paraId="533F905E" w14:textId="77777777" w:rsidR="008A5602" w:rsidRPr="00286216" w:rsidRDefault="008A5602" w:rsidP="008A5602">
            <w:pPr>
              <w:pStyle w:val="StyleProp"/>
              <w:rPr>
                <w:color w:val="000000" w:themeColor="text1"/>
                <w:szCs w:val="18"/>
              </w:rPr>
            </w:pPr>
          </w:p>
        </w:tc>
        <w:tc>
          <w:tcPr>
            <w:tcW w:w="1987" w:type="dxa"/>
          </w:tcPr>
          <w:p w14:paraId="48923FFD" w14:textId="77777777" w:rsidR="008A5602" w:rsidRPr="00286216" w:rsidRDefault="008A5602" w:rsidP="008A5602">
            <w:pPr>
              <w:pStyle w:val="StyleWisnow"/>
              <w:rPr>
                <w:color w:val="000000" w:themeColor="text1"/>
              </w:rPr>
            </w:pPr>
          </w:p>
        </w:tc>
        <w:tc>
          <w:tcPr>
            <w:tcW w:w="4818" w:type="dxa"/>
          </w:tcPr>
          <w:p w14:paraId="2DAD9E95" w14:textId="4BBCD53E" w:rsidR="008A5602" w:rsidRPr="00286216" w:rsidRDefault="008A5602" w:rsidP="008A5602">
            <w:pPr>
              <w:pStyle w:val="StyleZakonu"/>
              <w:rPr>
                <w:color w:val="000000" w:themeColor="text1"/>
              </w:rPr>
            </w:pPr>
            <w:r w:rsidRPr="00286216">
              <w:rPr>
                <w:color w:val="000000" w:themeColor="text1"/>
              </w:rPr>
              <w:t>За договором рахунка ескроу в цінних паперах депозитарна установа в установленому Комісією порядку веде облік прав на цінні папери та обмежень прав на та прав за цінними паперами на відповідному рахунку та виконує виключно операції переказу цінних паперів бенефіціару, або вказаній ним особі, або переказу таких цінних паперів їх власнику на визначений ним рахунок за настання підстав, передбачених таким договором.</w:t>
            </w:r>
          </w:p>
        </w:tc>
      </w:tr>
      <w:tr w:rsidR="008A5602" w:rsidRPr="00286216" w14:paraId="36844E78" w14:textId="77777777" w:rsidTr="00091AA5">
        <w:tc>
          <w:tcPr>
            <w:tcW w:w="576" w:type="dxa"/>
          </w:tcPr>
          <w:p w14:paraId="1C8D238B" w14:textId="77777777" w:rsidR="008A5602" w:rsidRPr="00286216" w:rsidRDefault="008A5602" w:rsidP="008A5602">
            <w:pPr>
              <w:pStyle w:val="StyleWisnow"/>
              <w:rPr>
                <w:color w:val="000000" w:themeColor="text1"/>
              </w:rPr>
            </w:pPr>
            <w:bookmarkStart w:id="3590" w:name="n3720" w:colFirst="0" w:colLast="0"/>
            <w:bookmarkEnd w:id="3589"/>
            <w:r w:rsidRPr="00286216">
              <w:rPr>
                <w:color w:val="000000" w:themeColor="text1"/>
              </w:rPr>
              <w:t>3720.</w:t>
            </w:r>
          </w:p>
        </w:tc>
        <w:tc>
          <w:tcPr>
            <w:tcW w:w="4818" w:type="dxa"/>
          </w:tcPr>
          <w:p w14:paraId="6D99573F" w14:textId="77777777" w:rsidR="008A5602" w:rsidRPr="00286216" w:rsidRDefault="008A5602" w:rsidP="008A5602">
            <w:pPr>
              <w:pStyle w:val="StyleZakonu"/>
              <w:rPr>
                <w:color w:val="000000" w:themeColor="text1"/>
              </w:rPr>
            </w:pPr>
            <w:r w:rsidRPr="00286216">
              <w:rPr>
                <w:color w:val="000000" w:themeColor="text1"/>
              </w:rPr>
              <w:t>Договором рахунка ескроу в цінних паперах на депозитарну установу може бути покладений обов’язок щодо перевірки настання підстав для переказу цінних паперів бенефіціару або вказаній ним особі або повернення їх власнику цінних паперів шляхом переказу на його рахунок у цінних паперах, відкритий на підставі договору про обслуговування рахунка в цінних паперах. Якщо обов’язок щодо перевірки настання підстав для переказу цінних паперів покладено на іншу, ніж депозитарна установа, особу, депозитарна установа має право здійснювати такий переказ виключно за умови отримання від іншої особи документів, що підтверджують настання підстав, зазначених у договорі рахунку ескроу в цінних паперах.</w:t>
            </w:r>
          </w:p>
        </w:tc>
        <w:tc>
          <w:tcPr>
            <w:tcW w:w="3686" w:type="dxa"/>
          </w:tcPr>
          <w:p w14:paraId="2EB4FE3B" w14:textId="77777777" w:rsidR="008A5602" w:rsidRPr="00286216" w:rsidRDefault="008A5602" w:rsidP="008A5602">
            <w:pPr>
              <w:pStyle w:val="StyleProp"/>
              <w:rPr>
                <w:color w:val="000000" w:themeColor="text1"/>
                <w:szCs w:val="18"/>
              </w:rPr>
            </w:pPr>
          </w:p>
        </w:tc>
        <w:tc>
          <w:tcPr>
            <w:tcW w:w="1987" w:type="dxa"/>
          </w:tcPr>
          <w:p w14:paraId="7089D81A" w14:textId="77777777" w:rsidR="008A5602" w:rsidRPr="00286216" w:rsidRDefault="008A5602" w:rsidP="008A5602">
            <w:pPr>
              <w:pStyle w:val="StyleWisnow"/>
              <w:rPr>
                <w:color w:val="000000" w:themeColor="text1"/>
              </w:rPr>
            </w:pPr>
          </w:p>
        </w:tc>
        <w:tc>
          <w:tcPr>
            <w:tcW w:w="4818" w:type="dxa"/>
          </w:tcPr>
          <w:p w14:paraId="73343FE6" w14:textId="06F3B31C" w:rsidR="008A5602" w:rsidRPr="00286216" w:rsidRDefault="008A5602" w:rsidP="008A5602">
            <w:pPr>
              <w:pStyle w:val="StyleZakonu"/>
              <w:rPr>
                <w:color w:val="000000" w:themeColor="text1"/>
              </w:rPr>
            </w:pPr>
            <w:r w:rsidRPr="00286216">
              <w:rPr>
                <w:color w:val="000000" w:themeColor="text1"/>
              </w:rPr>
              <w:t>Договором рахунка ескроу в цінних паперах на депозитарну установу може бути покладений обов’язок щодо перевірки настання підстав для переказу цінних паперів бенефіціару або вказаній ним особі або повернення їх власнику цінних паперів шляхом переказу на його рахунок у цінних паперах, відкритий на підставі договору про обслуговування рахунка в цінних паперах. Якщо обов’язок щодо перевірки настання підстав для переказу цінних паперів покладено на іншу, ніж депозитарна установа, особу, депозитарна установа має право здійснювати такий переказ виключно за умови отримання від іншої особи документів, що підтверджують настання підстав, зазначених у договорі рахунку ескроу в цінних паперах.</w:t>
            </w:r>
          </w:p>
        </w:tc>
      </w:tr>
      <w:tr w:rsidR="008A5602" w:rsidRPr="00286216" w14:paraId="3662AEC4" w14:textId="77777777" w:rsidTr="00091AA5">
        <w:tc>
          <w:tcPr>
            <w:tcW w:w="576" w:type="dxa"/>
          </w:tcPr>
          <w:p w14:paraId="0CC32B70" w14:textId="77777777" w:rsidR="008A5602" w:rsidRPr="00286216" w:rsidRDefault="008A5602" w:rsidP="008A5602">
            <w:pPr>
              <w:pStyle w:val="StyleWisnow"/>
              <w:rPr>
                <w:color w:val="000000" w:themeColor="text1"/>
              </w:rPr>
            </w:pPr>
            <w:bookmarkStart w:id="3591" w:name="n3721" w:colFirst="0" w:colLast="0"/>
            <w:bookmarkEnd w:id="3590"/>
            <w:r w:rsidRPr="00286216">
              <w:rPr>
                <w:color w:val="000000" w:themeColor="text1"/>
              </w:rPr>
              <w:t>3721.</w:t>
            </w:r>
          </w:p>
        </w:tc>
        <w:tc>
          <w:tcPr>
            <w:tcW w:w="4818" w:type="dxa"/>
          </w:tcPr>
          <w:p w14:paraId="366612FF" w14:textId="77777777" w:rsidR="008A5602" w:rsidRPr="00286216" w:rsidRDefault="008A5602" w:rsidP="008A5602">
            <w:pPr>
              <w:pStyle w:val="StyleZakonu"/>
              <w:rPr>
                <w:color w:val="000000" w:themeColor="text1"/>
              </w:rPr>
            </w:pPr>
            <w:r w:rsidRPr="00286216">
              <w:rPr>
                <w:color w:val="000000" w:themeColor="text1"/>
              </w:rPr>
              <w:t>Якщо інше не передбачено договором рахунка ескроу в цінних паперах, ні власник цінних паперів, ні бенефіціар не мають права розпоряджатися цінними паперами, права на які обліковуються на рахунку ескроу в цінних паперах.</w:t>
            </w:r>
          </w:p>
        </w:tc>
        <w:tc>
          <w:tcPr>
            <w:tcW w:w="3686" w:type="dxa"/>
          </w:tcPr>
          <w:p w14:paraId="04F39A08" w14:textId="77777777" w:rsidR="008A5602" w:rsidRPr="00286216" w:rsidRDefault="008A5602" w:rsidP="008A5602">
            <w:pPr>
              <w:pStyle w:val="StyleProp"/>
              <w:rPr>
                <w:color w:val="000000" w:themeColor="text1"/>
                <w:szCs w:val="18"/>
              </w:rPr>
            </w:pPr>
          </w:p>
        </w:tc>
        <w:tc>
          <w:tcPr>
            <w:tcW w:w="1987" w:type="dxa"/>
          </w:tcPr>
          <w:p w14:paraId="1068CCC5" w14:textId="77777777" w:rsidR="008A5602" w:rsidRPr="00286216" w:rsidRDefault="008A5602" w:rsidP="008A5602">
            <w:pPr>
              <w:pStyle w:val="StyleWisnow"/>
              <w:rPr>
                <w:color w:val="000000" w:themeColor="text1"/>
              </w:rPr>
            </w:pPr>
          </w:p>
        </w:tc>
        <w:tc>
          <w:tcPr>
            <w:tcW w:w="4818" w:type="dxa"/>
          </w:tcPr>
          <w:p w14:paraId="1F846D52" w14:textId="5D0AED67" w:rsidR="008A5602" w:rsidRPr="00286216" w:rsidRDefault="008A5602" w:rsidP="008A5602">
            <w:pPr>
              <w:pStyle w:val="StyleZakonu"/>
              <w:rPr>
                <w:color w:val="000000" w:themeColor="text1"/>
              </w:rPr>
            </w:pPr>
            <w:r w:rsidRPr="00286216">
              <w:rPr>
                <w:color w:val="000000" w:themeColor="text1"/>
              </w:rPr>
              <w:t>Якщо інше не передбачено договором рахунка ескроу в цінних паперах, ні власник цінних паперів, ні бенефіціар не мають права розпоряджатися цінними паперами, права на які обліковуються на рахунку ескроу в цінних паперах.</w:t>
            </w:r>
          </w:p>
        </w:tc>
      </w:tr>
      <w:tr w:rsidR="008A5602" w:rsidRPr="00286216" w14:paraId="4CD163D4" w14:textId="77777777" w:rsidTr="00091AA5">
        <w:tc>
          <w:tcPr>
            <w:tcW w:w="576" w:type="dxa"/>
          </w:tcPr>
          <w:p w14:paraId="02D77617" w14:textId="77777777" w:rsidR="008A5602" w:rsidRPr="00286216" w:rsidRDefault="008A5602" w:rsidP="008A5602">
            <w:pPr>
              <w:pStyle w:val="StyleWisnow"/>
              <w:rPr>
                <w:color w:val="000000" w:themeColor="text1"/>
              </w:rPr>
            </w:pPr>
            <w:bookmarkStart w:id="3592" w:name="n3722" w:colFirst="0" w:colLast="0"/>
            <w:bookmarkEnd w:id="3591"/>
            <w:r w:rsidRPr="00286216">
              <w:rPr>
                <w:color w:val="000000" w:themeColor="text1"/>
              </w:rPr>
              <w:t>3722.</w:t>
            </w:r>
          </w:p>
        </w:tc>
        <w:tc>
          <w:tcPr>
            <w:tcW w:w="4818" w:type="dxa"/>
          </w:tcPr>
          <w:p w14:paraId="1ED9FE83" w14:textId="77777777" w:rsidR="008A5602" w:rsidRPr="00286216" w:rsidRDefault="008A5602" w:rsidP="008A5602">
            <w:pPr>
              <w:pStyle w:val="StyleZakonu"/>
              <w:rPr>
                <w:color w:val="000000" w:themeColor="text1"/>
              </w:rPr>
            </w:pPr>
            <w:r w:rsidRPr="00286216">
              <w:rPr>
                <w:color w:val="000000" w:themeColor="text1"/>
              </w:rPr>
              <w:t xml:space="preserve">Звернення стягнення та/або накладення арешту на цінні папери, права на які обліковуються на рахунку ескроу в цінних паперах, за зобов’язаннями власника цінних паперів, бенефіціара (у тому числі у разі їх ліквідації) не допускається. При цьому допускається звернення стягнення та/або накладення арешту на право вимоги власника цінних паперів або бенефіціара до депозитарної установи на підставі договору рахунка ескроу в цінних паперах (у тому </w:t>
            </w:r>
            <w:r w:rsidRPr="00286216">
              <w:rPr>
                <w:color w:val="000000" w:themeColor="text1"/>
              </w:rPr>
              <w:lastRenderedPageBreak/>
              <w:t>числі на право вимоги переказу прав на цінні папери (або їх частини), права на які обліковуються на рахунку ескроу в цінних паперах, за настання підстав, встановлених договором ескроу).";</w:t>
            </w:r>
          </w:p>
        </w:tc>
        <w:tc>
          <w:tcPr>
            <w:tcW w:w="3686" w:type="dxa"/>
          </w:tcPr>
          <w:p w14:paraId="2C05BD3D" w14:textId="77777777" w:rsidR="008A5602" w:rsidRPr="00286216" w:rsidRDefault="008A5602" w:rsidP="008A5602">
            <w:pPr>
              <w:pStyle w:val="StyleProp"/>
              <w:rPr>
                <w:color w:val="000000" w:themeColor="text1"/>
                <w:szCs w:val="18"/>
              </w:rPr>
            </w:pPr>
          </w:p>
        </w:tc>
        <w:tc>
          <w:tcPr>
            <w:tcW w:w="1987" w:type="dxa"/>
          </w:tcPr>
          <w:p w14:paraId="733988E0" w14:textId="77777777" w:rsidR="008A5602" w:rsidRPr="00286216" w:rsidRDefault="008A5602" w:rsidP="008A5602">
            <w:pPr>
              <w:pStyle w:val="StyleWisnow"/>
              <w:rPr>
                <w:color w:val="000000" w:themeColor="text1"/>
              </w:rPr>
            </w:pPr>
          </w:p>
        </w:tc>
        <w:tc>
          <w:tcPr>
            <w:tcW w:w="4818" w:type="dxa"/>
          </w:tcPr>
          <w:p w14:paraId="0144F0AA" w14:textId="7C1C33E2" w:rsidR="008A5602" w:rsidRPr="00286216" w:rsidRDefault="008A5602" w:rsidP="008A5602">
            <w:pPr>
              <w:pStyle w:val="StyleZakonu"/>
              <w:rPr>
                <w:color w:val="000000" w:themeColor="text1"/>
              </w:rPr>
            </w:pPr>
            <w:r w:rsidRPr="00286216">
              <w:rPr>
                <w:color w:val="000000" w:themeColor="text1"/>
              </w:rPr>
              <w:t xml:space="preserve">Звернення стягнення та/або накладення арешту на цінні папери, права на які обліковуються на рахунку ескроу в цінних паперах, за зобов’язаннями власника цінних паперів, бенефіціара (у тому числі у разі їх ліквідації) не допускається. При цьому допускається звернення стягнення та/або накладення арешту на право вимоги власника цінних паперів або бенефіціара до депозитарної установи на підставі договору рахунка ескроу в цінних паперах (у тому </w:t>
            </w:r>
            <w:r w:rsidRPr="00286216">
              <w:rPr>
                <w:color w:val="000000" w:themeColor="text1"/>
              </w:rPr>
              <w:lastRenderedPageBreak/>
              <w:t>числі на право вимоги переказу прав на цінні папери (або їх частини), права на які обліковуються на рахунку ескроу в цінних паперах, за настання підстав, встановлених договором ескроу)".</w:t>
            </w:r>
          </w:p>
        </w:tc>
      </w:tr>
      <w:tr w:rsidR="008A5602" w:rsidRPr="00286216" w14:paraId="4D74A827" w14:textId="77777777" w:rsidTr="00091AA5">
        <w:tc>
          <w:tcPr>
            <w:tcW w:w="576" w:type="dxa"/>
          </w:tcPr>
          <w:p w14:paraId="17EF8D18" w14:textId="77777777" w:rsidR="008A5602" w:rsidRPr="00286216" w:rsidRDefault="008A5602" w:rsidP="008A5602">
            <w:pPr>
              <w:pStyle w:val="StyleWisnow"/>
              <w:rPr>
                <w:color w:val="000000" w:themeColor="text1"/>
              </w:rPr>
            </w:pPr>
            <w:bookmarkStart w:id="3593" w:name="n3723" w:colFirst="0" w:colLast="0"/>
            <w:bookmarkEnd w:id="3592"/>
            <w:r w:rsidRPr="00286216">
              <w:rPr>
                <w:color w:val="000000" w:themeColor="text1"/>
              </w:rPr>
              <w:lastRenderedPageBreak/>
              <w:t>3723.</w:t>
            </w:r>
          </w:p>
        </w:tc>
        <w:tc>
          <w:tcPr>
            <w:tcW w:w="4818" w:type="dxa"/>
          </w:tcPr>
          <w:p w14:paraId="5C047ED3" w14:textId="77777777" w:rsidR="008A5602" w:rsidRPr="00286216" w:rsidRDefault="008A5602" w:rsidP="008A5602">
            <w:pPr>
              <w:pStyle w:val="StyleZakonu"/>
              <w:rPr>
                <w:color w:val="000000" w:themeColor="text1"/>
              </w:rPr>
            </w:pPr>
            <w:r w:rsidRPr="00286216">
              <w:rPr>
                <w:color w:val="000000" w:themeColor="text1"/>
              </w:rPr>
              <w:t>у зв’язку з цим абзаци шостий - восьмий вважати абзацами чотирнадцятим - шістнадцятим, відповідно;</w:t>
            </w:r>
          </w:p>
        </w:tc>
        <w:tc>
          <w:tcPr>
            <w:tcW w:w="3686" w:type="dxa"/>
          </w:tcPr>
          <w:p w14:paraId="33824BD4" w14:textId="77777777" w:rsidR="008A5602" w:rsidRPr="00286216" w:rsidRDefault="008A5602" w:rsidP="008A5602">
            <w:pPr>
              <w:pStyle w:val="StyleProp"/>
              <w:rPr>
                <w:color w:val="000000" w:themeColor="text1"/>
                <w:szCs w:val="18"/>
              </w:rPr>
            </w:pPr>
          </w:p>
        </w:tc>
        <w:tc>
          <w:tcPr>
            <w:tcW w:w="1987" w:type="dxa"/>
          </w:tcPr>
          <w:p w14:paraId="28A3E26D" w14:textId="77777777" w:rsidR="008A5602" w:rsidRPr="00286216" w:rsidRDefault="008A5602" w:rsidP="008A5602">
            <w:pPr>
              <w:pStyle w:val="StyleWisnow"/>
              <w:rPr>
                <w:color w:val="000000" w:themeColor="text1"/>
              </w:rPr>
            </w:pPr>
          </w:p>
        </w:tc>
        <w:tc>
          <w:tcPr>
            <w:tcW w:w="4818" w:type="dxa"/>
          </w:tcPr>
          <w:p w14:paraId="32324458" w14:textId="4184EB95" w:rsidR="008A5602" w:rsidRPr="00286216" w:rsidRDefault="008A5602" w:rsidP="008A5602">
            <w:pPr>
              <w:pStyle w:val="StyleZakonu"/>
              <w:rPr>
                <w:color w:val="000000" w:themeColor="text1"/>
              </w:rPr>
            </w:pPr>
            <w:r w:rsidRPr="00286216">
              <w:rPr>
                <w:color w:val="000000" w:themeColor="text1"/>
              </w:rPr>
              <w:t>У зв’язку з цим абзаци шостий - восьмий вважати відповідно абзацами чотирнадцятим - шістнадцятим;</w:t>
            </w:r>
          </w:p>
        </w:tc>
      </w:tr>
      <w:tr w:rsidR="008A5602" w:rsidRPr="00286216" w14:paraId="37DC3A84" w14:textId="77777777" w:rsidTr="00091AA5">
        <w:tc>
          <w:tcPr>
            <w:tcW w:w="576" w:type="dxa"/>
          </w:tcPr>
          <w:p w14:paraId="0F63C540" w14:textId="77777777" w:rsidR="008A5602" w:rsidRPr="00286216" w:rsidRDefault="008A5602" w:rsidP="008A5602">
            <w:pPr>
              <w:pStyle w:val="StyleWisnow"/>
              <w:rPr>
                <w:color w:val="000000" w:themeColor="text1"/>
              </w:rPr>
            </w:pPr>
            <w:bookmarkStart w:id="3594" w:name="n3724" w:colFirst="0" w:colLast="0"/>
            <w:bookmarkEnd w:id="3593"/>
            <w:r w:rsidRPr="00286216">
              <w:rPr>
                <w:color w:val="000000" w:themeColor="text1"/>
              </w:rPr>
              <w:t>3724.</w:t>
            </w:r>
          </w:p>
        </w:tc>
        <w:tc>
          <w:tcPr>
            <w:tcW w:w="4818" w:type="dxa"/>
          </w:tcPr>
          <w:p w14:paraId="0192DD01" w14:textId="77777777" w:rsidR="008A5602" w:rsidRPr="00286216" w:rsidRDefault="008A5602" w:rsidP="008A5602">
            <w:pPr>
              <w:pStyle w:val="StyleZakonu"/>
              <w:rPr>
                <w:color w:val="000000" w:themeColor="text1"/>
              </w:rPr>
            </w:pPr>
            <w:r w:rsidRPr="00286216">
              <w:rPr>
                <w:color w:val="000000" w:themeColor="text1"/>
              </w:rPr>
              <w:t>б) абзац п’ятий частини другої викласти в такій редакції:</w:t>
            </w:r>
          </w:p>
        </w:tc>
        <w:tc>
          <w:tcPr>
            <w:tcW w:w="3686" w:type="dxa"/>
          </w:tcPr>
          <w:p w14:paraId="7A351E0A" w14:textId="68BDC29E"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1481</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2CE6C0E" w14:textId="77777777" w:rsidR="008A5602" w:rsidRPr="00286216" w:rsidRDefault="008A5602" w:rsidP="008A5602">
            <w:pPr>
              <w:pStyle w:val="StyleProp"/>
              <w:spacing w:line="180" w:lineRule="exact"/>
              <w:rPr>
                <w:color w:val="000000" w:themeColor="text1"/>
              </w:rPr>
            </w:pPr>
            <w:r w:rsidRPr="00286216">
              <w:rPr>
                <w:color w:val="000000" w:themeColor="text1"/>
              </w:rPr>
              <w:t>підпункт “б” підпункту 3 підпункту 44 розділу 3 викласти в такій редакції:</w:t>
            </w:r>
          </w:p>
          <w:p w14:paraId="24143539" w14:textId="77777777" w:rsidR="008A5602" w:rsidRPr="00286216" w:rsidRDefault="008A5602" w:rsidP="008A5602">
            <w:pPr>
              <w:pStyle w:val="StyleProp"/>
              <w:spacing w:line="180" w:lineRule="exact"/>
              <w:rPr>
                <w:color w:val="000000" w:themeColor="text1"/>
              </w:rPr>
            </w:pPr>
            <w:r w:rsidRPr="00286216">
              <w:rPr>
                <w:color w:val="000000" w:themeColor="text1"/>
              </w:rPr>
              <w:t>“б) у частині другій:</w:t>
            </w:r>
          </w:p>
          <w:p w14:paraId="364A80E8" w14:textId="77777777" w:rsidR="008A5602" w:rsidRPr="00286216" w:rsidRDefault="008A5602" w:rsidP="008A5602">
            <w:pPr>
              <w:pStyle w:val="StyleProp"/>
              <w:spacing w:line="180" w:lineRule="exact"/>
              <w:rPr>
                <w:color w:val="000000" w:themeColor="text1"/>
                <w:szCs w:val="18"/>
              </w:rPr>
            </w:pPr>
            <w:r w:rsidRPr="00286216">
              <w:rPr>
                <w:color w:val="000000" w:themeColor="text1"/>
              </w:rPr>
              <w:t>абзац перший після слів «відкривається депозитарною установою» доповнити словами « або Національним банком України при провадженні ним діяльності депозитарної установи»;</w:t>
            </w:r>
          </w:p>
        </w:tc>
        <w:tc>
          <w:tcPr>
            <w:tcW w:w="1987" w:type="dxa"/>
          </w:tcPr>
          <w:p w14:paraId="63401CC5" w14:textId="77777777"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2B9BACB6" w14:textId="77777777" w:rsidR="008A5602" w:rsidRPr="00286216" w:rsidRDefault="008A5602" w:rsidP="008A5602">
            <w:pPr>
              <w:pStyle w:val="StyleZakonu"/>
              <w:rPr>
                <w:color w:val="000000" w:themeColor="text1"/>
              </w:rPr>
            </w:pPr>
            <w:r w:rsidRPr="00286216">
              <w:rPr>
                <w:color w:val="000000" w:themeColor="text1"/>
              </w:rPr>
              <w:t>б) у частині другій:</w:t>
            </w:r>
          </w:p>
          <w:p w14:paraId="0E3D87F4" w14:textId="77777777" w:rsidR="008A5602" w:rsidRPr="00286216" w:rsidRDefault="008A5602" w:rsidP="008A5602">
            <w:pPr>
              <w:pStyle w:val="StyleZakonu"/>
              <w:rPr>
                <w:color w:val="000000" w:themeColor="text1"/>
              </w:rPr>
            </w:pPr>
            <w:r w:rsidRPr="00286216">
              <w:rPr>
                <w:color w:val="000000" w:themeColor="text1"/>
              </w:rPr>
              <w:t>абзац перший після слів «відкривається депозитарною установою» доповнити словами « або Національним банком України при провадженні ним діяльності депозитарної установи»;</w:t>
            </w:r>
          </w:p>
          <w:p w14:paraId="6A25668E" w14:textId="69955A34" w:rsidR="008A5602" w:rsidRPr="00286216" w:rsidRDefault="008A5602" w:rsidP="008A5602">
            <w:pPr>
              <w:pStyle w:val="StyleZakonu"/>
              <w:rPr>
                <w:color w:val="000000" w:themeColor="text1"/>
              </w:rPr>
            </w:pPr>
            <w:r w:rsidRPr="00286216">
              <w:rPr>
                <w:color w:val="000000" w:themeColor="text1"/>
              </w:rPr>
              <w:t>абзац п’ятий викласти в такій редакції:</w:t>
            </w:r>
          </w:p>
        </w:tc>
      </w:tr>
      <w:tr w:rsidR="008A5602" w:rsidRPr="00286216" w14:paraId="683E4936" w14:textId="77777777" w:rsidTr="00091AA5">
        <w:tc>
          <w:tcPr>
            <w:tcW w:w="576" w:type="dxa"/>
          </w:tcPr>
          <w:p w14:paraId="16BDA722" w14:textId="77777777" w:rsidR="008A5602" w:rsidRPr="00286216" w:rsidRDefault="008A5602" w:rsidP="008A5602">
            <w:pPr>
              <w:pStyle w:val="StyleWisnow"/>
              <w:rPr>
                <w:color w:val="000000" w:themeColor="text1"/>
              </w:rPr>
            </w:pPr>
            <w:bookmarkStart w:id="3595" w:name="n3725" w:colFirst="0" w:colLast="0"/>
            <w:bookmarkEnd w:id="3594"/>
            <w:r w:rsidRPr="00286216">
              <w:rPr>
                <w:color w:val="000000" w:themeColor="text1"/>
              </w:rPr>
              <w:t>3725.</w:t>
            </w:r>
          </w:p>
        </w:tc>
        <w:tc>
          <w:tcPr>
            <w:tcW w:w="4818" w:type="dxa"/>
          </w:tcPr>
          <w:p w14:paraId="04C17A47" w14:textId="77777777"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іноземній фінансовій установі декілька рахунків у цінних паперах номінального утримувача.";</w:t>
            </w:r>
          </w:p>
        </w:tc>
        <w:tc>
          <w:tcPr>
            <w:tcW w:w="3686" w:type="dxa"/>
          </w:tcPr>
          <w:p w14:paraId="0D7CAEBE" w14:textId="78C9F9BD"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1482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348644D"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Підпункт «б» підпункту 3 пункту 44 викласти в такій редакції:</w:t>
            </w:r>
          </w:p>
          <w:p w14:paraId="0B3C9712"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«б) у частині другій:</w:t>
            </w:r>
          </w:p>
          <w:p w14:paraId="2E7C50C1"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абзац п’ятий викласти в такій редакції:</w:t>
            </w:r>
          </w:p>
          <w:p w14:paraId="7232C3F5"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«Депозитарна установа може відкрити іноземній фінансовій установі декілька рахунків у цінних паперах номінального утримувача»;</w:t>
            </w:r>
          </w:p>
          <w:p w14:paraId="20948661"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друге речення абзацу шостого після слова «повідомляти» доповнити словами «офіційним каналом зв’язку»».</w:t>
            </w:r>
          </w:p>
        </w:tc>
        <w:tc>
          <w:tcPr>
            <w:tcW w:w="1987" w:type="dxa"/>
          </w:tcPr>
          <w:p w14:paraId="7CF3F68D" w14:textId="77777777" w:rsidR="008A5602" w:rsidRPr="00286216" w:rsidRDefault="008A5602" w:rsidP="008A5602">
            <w:pPr>
              <w:pStyle w:val="StyleWisnow"/>
              <w:rPr>
                <w:color w:val="000000" w:themeColor="text1"/>
              </w:rPr>
            </w:pPr>
            <w:r w:rsidRPr="00286216">
              <w:rPr>
                <w:color w:val="000000" w:themeColor="text1"/>
              </w:rPr>
              <w:t>Враховано редакційно</w:t>
            </w:r>
          </w:p>
        </w:tc>
        <w:tc>
          <w:tcPr>
            <w:tcW w:w="4818" w:type="dxa"/>
          </w:tcPr>
          <w:p w14:paraId="5590093F" w14:textId="77777777" w:rsidR="008A5602" w:rsidRPr="00286216" w:rsidRDefault="008A5602" w:rsidP="008A5602">
            <w:pPr>
              <w:pStyle w:val="StyleZakonu"/>
              <w:rPr>
                <w:color w:val="000000" w:themeColor="text1"/>
              </w:rPr>
            </w:pPr>
            <w:r w:rsidRPr="00286216">
              <w:rPr>
                <w:color w:val="000000" w:themeColor="text1"/>
              </w:rPr>
              <w:t>«Депозитарна установа може відкрити іноземній фінансовій установі декілька рахунків у цінних паперах номінального утримувача.»;</w:t>
            </w:r>
          </w:p>
          <w:p w14:paraId="469F4C48" w14:textId="11BF9533" w:rsidR="008A5602" w:rsidRPr="00286216" w:rsidRDefault="008A5602" w:rsidP="008A5602">
            <w:pPr>
              <w:pStyle w:val="StyleZakonu"/>
              <w:rPr>
                <w:color w:val="000000" w:themeColor="text1"/>
              </w:rPr>
            </w:pPr>
            <w:r w:rsidRPr="00286216">
              <w:rPr>
                <w:color w:val="000000" w:themeColor="text1"/>
              </w:rPr>
              <w:t>друге речення абзацу шостого після слова «повідомляти» доповнити словами «офіційним каналом зв’язку»</w:t>
            </w:r>
          </w:p>
        </w:tc>
      </w:tr>
      <w:tr w:rsidR="008A5602" w:rsidRPr="00286216" w14:paraId="0459CB26" w14:textId="77777777" w:rsidTr="00091AA5">
        <w:tc>
          <w:tcPr>
            <w:tcW w:w="576" w:type="dxa"/>
          </w:tcPr>
          <w:p w14:paraId="388B7B67" w14:textId="77777777" w:rsidR="008A5602" w:rsidRPr="00286216" w:rsidRDefault="008A5602" w:rsidP="008A5602">
            <w:pPr>
              <w:pStyle w:val="StyleWisnow"/>
              <w:rPr>
                <w:color w:val="000000" w:themeColor="text1"/>
              </w:rPr>
            </w:pPr>
            <w:bookmarkStart w:id="3596" w:name="n3726" w:colFirst="0" w:colLast="0"/>
            <w:bookmarkEnd w:id="3595"/>
            <w:r w:rsidRPr="00286216">
              <w:rPr>
                <w:color w:val="000000" w:themeColor="text1"/>
              </w:rPr>
              <w:t>3726.</w:t>
            </w:r>
          </w:p>
        </w:tc>
        <w:tc>
          <w:tcPr>
            <w:tcW w:w="4818" w:type="dxa"/>
          </w:tcPr>
          <w:p w14:paraId="5A09EFA4" w14:textId="77777777" w:rsidR="008A5602" w:rsidRPr="00286216" w:rsidRDefault="008A5602" w:rsidP="008A5602">
            <w:pPr>
              <w:pStyle w:val="StyleZakonu"/>
              <w:rPr>
                <w:color w:val="000000" w:themeColor="text1"/>
              </w:rPr>
            </w:pPr>
            <w:r w:rsidRPr="00286216">
              <w:rPr>
                <w:color w:val="000000" w:themeColor="text1"/>
              </w:rPr>
              <w:t>в) в частині третій:</w:t>
            </w:r>
          </w:p>
        </w:tc>
        <w:tc>
          <w:tcPr>
            <w:tcW w:w="3686" w:type="dxa"/>
          </w:tcPr>
          <w:p w14:paraId="4A3B3C85" w14:textId="77777777" w:rsidR="008A5602" w:rsidRPr="00286216" w:rsidRDefault="008A5602" w:rsidP="008A5602">
            <w:pPr>
              <w:pStyle w:val="StyleProp"/>
              <w:rPr>
                <w:color w:val="000000" w:themeColor="text1"/>
                <w:szCs w:val="18"/>
              </w:rPr>
            </w:pPr>
          </w:p>
        </w:tc>
        <w:tc>
          <w:tcPr>
            <w:tcW w:w="1987" w:type="dxa"/>
          </w:tcPr>
          <w:p w14:paraId="5D8DA144" w14:textId="77777777" w:rsidR="008A5602" w:rsidRPr="00286216" w:rsidRDefault="008A5602" w:rsidP="008A5602">
            <w:pPr>
              <w:pStyle w:val="StyleWisnow"/>
              <w:rPr>
                <w:color w:val="000000" w:themeColor="text1"/>
              </w:rPr>
            </w:pPr>
          </w:p>
        </w:tc>
        <w:tc>
          <w:tcPr>
            <w:tcW w:w="4818" w:type="dxa"/>
          </w:tcPr>
          <w:p w14:paraId="1D709D93" w14:textId="0232E9EF" w:rsidR="008A5602" w:rsidRPr="00286216" w:rsidRDefault="008A5602" w:rsidP="008A5602">
            <w:pPr>
              <w:pStyle w:val="StyleZakonu"/>
              <w:rPr>
                <w:color w:val="000000" w:themeColor="text1"/>
              </w:rPr>
            </w:pPr>
            <w:r w:rsidRPr="00286216">
              <w:rPr>
                <w:color w:val="000000" w:themeColor="text1"/>
              </w:rPr>
              <w:t>в) в частині третій:</w:t>
            </w:r>
          </w:p>
        </w:tc>
      </w:tr>
      <w:tr w:rsidR="008A5602" w:rsidRPr="00286216" w14:paraId="3A7FC834" w14:textId="77777777" w:rsidTr="00091AA5">
        <w:tc>
          <w:tcPr>
            <w:tcW w:w="576" w:type="dxa"/>
          </w:tcPr>
          <w:p w14:paraId="03D333DF" w14:textId="77777777" w:rsidR="008A5602" w:rsidRPr="00286216" w:rsidRDefault="008A5602" w:rsidP="008A5602">
            <w:pPr>
              <w:pStyle w:val="StyleWisnow"/>
              <w:rPr>
                <w:color w:val="000000" w:themeColor="text1"/>
              </w:rPr>
            </w:pPr>
            <w:bookmarkStart w:id="3597" w:name="n3727" w:colFirst="0" w:colLast="0"/>
            <w:bookmarkEnd w:id="3596"/>
            <w:r w:rsidRPr="00286216">
              <w:rPr>
                <w:color w:val="000000" w:themeColor="text1"/>
              </w:rPr>
              <w:t>3727.</w:t>
            </w:r>
          </w:p>
        </w:tc>
        <w:tc>
          <w:tcPr>
            <w:tcW w:w="4818" w:type="dxa"/>
          </w:tcPr>
          <w:p w14:paraId="587994ED" w14:textId="77777777" w:rsidR="008A5602" w:rsidRPr="00286216" w:rsidRDefault="008A5602" w:rsidP="008A5602">
            <w:pPr>
              <w:pStyle w:val="StyleZakonu"/>
              <w:rPr>
                <w:color w:val="000000" w:themeColor="text1"/>
              </w:rPr>
            </w:pPr>
            <w:r w:rsidRPr="00286216">
              <w:rPr>
                <w:color w:val="000000" w:themeColor="text1"/>
              </w:rPr>
              <w:t>в абзаці першому чистини третьої слова та знаки "(рахунки)", "(яких)", "(відкриваються)" виключити;</w:t>
            </w:r>
          </w:p>
        </w:tc>
        <w:tc>
          <w:tcPr>
            <w:tcW w:w="3686" w:type="dxa"/>
          </w:tcPr>
          <w:p w14:paraId="4B533AAA" w14:textId="77777777" w:rsidR="008A5602" w:rsidRPr="00286216" w:rsidRDefault="008A5602" w:rsidP="008A5602">
            <w:pPr>
              <w:pStyle w:val="StyleProp"/>
              <w:rPr>
                <w:color w:val="000000" w:themeColor="text1"/>
                <w:szCs w:val="18"/>
              </w:rPr>
            </w:pPr>
          </w:p>
        </w:tc>
        <w:tc>
          <w:tcPr>
            <w:tcW w:w="1987" w:type="dxa"/>
          </w:tcPr>
          <w:p w14:paraId="52FE5B2E" w14:textId="77777777" w:rsidR="008A5602" w:rsidRPr="00286216" w:rsidRDefault="008A5602" w:rsidP="008A5602">
            <w:pPr>
              <w:pStyle w:val="StyleWisnow"/>
              <w:rPr>
                <w:color w:val="000000" w:themeColor="text1"/>
              </w:rPr>
            </w:pPr>
          </w:p>
        </w:tc>
        <w:tc>
          <w:tcPr>
            <w:tcW w:w="4818" w:type="dxa"/>
          </w:tcPr>
          <w:p w14:paraId="02FCE23C" w14:textId="1729BBC7" w:rsidR="008A5602" w:rsidRPr="00286216" w:rsidRDefault="008A5602" w:rsidP="008A5602">
            <w:pPr>
              <w:pStyle w:val="StyleZakonu"/>
              <w:rPr>
                <w:color w:val="000000" w:themeColor="text1"/>
              </w:rPr>
            </w:pPr>
            <w:r w:rsidRPr="00286216">
              <w:rPr>
                <w:color w:val="000000" w:themeColor="text1"/>
              </w:rPr>
              <w:t>в абзаці першому слова "(рахунки)", "(яких)", "(відкриваються)" виключити;</w:t>
            </w:r>
          </w:p>
        </w:tc>
      </w:tr>
      <w:tr w:rsidR="008A5602" w:rsidRPr="00286216" w14:paraId="33F115D0" w14:textId="77777777" w:rsidTr="00091AA5">
        <w:tc>
          <w:tcPr>
            <w:tcW w:w="576" w:type="dxa"/>
          </w:tcPr>
          <w:p w14:paraId="53303368" w14:textId="77777777" w:rsidR="008A5602" w:rsidRPr="00286216" w:rsidRDefault="008A5602" w:rsidP="008A5602">
            <w:pPr>
              <w:pStyle w:val="StyleWisnow"/>
              <w:rPr>
                <w:color w:val="000000" w:themeColor="text1"/>
              </w:rPr>
            </w:pPr>
            <w:bookmarkStart w:id="3598" w:name="n3728" w:colFirst="0" w:colLast="0"/>
            <w:bookmarkEnd w:id="3597"/>
            <w:r w:rsidRPr="00286216">
              <w:rPr>
                <w:color w:val="000000" w:themeColor="text1"/>
              </w:rPr>
              <w:t>3728.</w:t>
            </w:r>
          </w:p>
        </w:tc>
        <w:tc>
          <w:tcPr>
            <w:tcW w:w="4818" w:type="dxa"/>
          </w:tcPr>
          <w:p w14:paraId="7B30F651" w14:textId="77777777" w:rsidR="008A5602" w:rsidRPr="00286216" w:rsidRDefault="008A5602" w:rsidP="008A5602">
            <w:pPr>
              <w:pStyle w:val="StyleZakonu"/>
              <w:rPr>
                <w:color w:val="000000" w:themeColor="text1"/>
              </w:rPr>
            </w:pPr>
            <w:r w:rsidRPr="00286216">
              <w:rPr>
                <w:color w:val="000000" w:themeColor="text1"/>
              </w:rPr>
              <w:t>абзац другий викласти в такій редакції:</w:t>
            </w:r>
          </w:p>
        </w:tc>
        <w:tc>
          <w:tcPr>
            <w:tcW w:w="3686" w:type="dxa"/>
          </w:tcPr>
          <w:p w14:paraId="206683F4" w14:textId="77777777" w:rsidR="008A5602" w:rsidRPr="00286216" w:rsidRDefault="008A5602" w:rsidP="008A5602">
            <w:pPr>
              <w:pStyle w:val="StyleProp"/>
              <w:rPr>
                <w:color w:val="000000" w:themeColor="text1"/>
                <w:szCs w:val="18"/>
              </w:rPr>
            </w:pPr>
          </w:p>
        </w:tc>
        <w:tc>
          <w:tcPr>
            <w:tcW w:w="1987" w:type="dxa"/>
          </w:tcPr>
          <w:p w14:paraId="17E0EB4E" w14:textId="77777777" w:rsidR="008A5602" w:rsidRPr="00286216" w:rsidRDefault="008A5602" w:rsidP="008A5602">
            <w:pPr>
              <w:pStyle w:val="StyleWisnow"/>
              <w:rPr>
                <w:color w:val="000000" w:themeColor="text1"/>
              </w:rPr>
            </w:pPr>
          </w:p>
        </w:tc>
        <w:tc>
          <w:tcPr>
            <w:tcW w:w="4818" w:type="dxa"/>
          </w:tcPr>
          <w:p w14:paraId="2AAFC3A3" w14:textId="12E9F543" w:rsidR="008A5602" w:rsidRPr="00286216" w:rsidRDefault="008A5602" w:rsidP="008A5602">
            <w:pPr>
              <w:pStyle w:val="StyleZakonu"/>
              <w:rPr>
                <w:color w:val="000000" w:themeColor="text1"/>
              </w:rPr>
            </w:pPr>
            <w:r w:rsidRPr="00286216">
              <w:rPr>
                <w:color w:val="000000" w:themeColor="text1"/>
              </w:rPr>
              <w:t>абзац другий викласти в такій редакції:</w:t>
            </w:r>
          </w:p>
        </w:tc>
      </w:tr>
      <w:tr w:rsidR="008A5602" w:rsidRPr="00286216" w14:paraId="65B29A67" w14:textId="77777777" w:rsidTr="00091AA5">
        <w:tc>
          <w:tcPr>
            <w:tcW w:w="576" w:type="dxa"/>
          </w:tcPr>
          <w:p w14:paraId="42DE9EFC" w14:textId="77777777" w:rsidR="008A5602" w:rsidRPr="00286216" w:rsidRDefault="008A5602" w:rsidP="008A5602">
            <w:pPr>
              <w:pStyle w:val="StyleWisnow"/>
              <w:rPr>
                <w:color w:val="000000" w:themeColor="text1"/>
              </w:rPr>
            </w:pPr>
            <w:bookmarkStart w:id="3599" w:name="n3729" w:colFirst="0" w:colLast="0"/>
            <w:bookmarkEnd w:id="3598"/>
            <w:r w:rsidRPr="00286216">
              <w:rPr>
                <w:color w:val="000000" w:themeColor="text1"/>
              </w:rPr>
              <w:t>3729.</w:t>
            </w:r>
          </w:p>
        </w:tc>
        <w:tc>
          <w:tcPr>
            <w:tcW w:w="4818" w:type="dxa"/>
          </w:tcPr>
          <w:p w14:paraId="7185FBE4" w14:textId="77777777" w:rsidR="008A5602" w:rsidRPr="00286216" w:rsidRDefault="008A5602" w:rsidP="008A5602">
            <w:pPr>
              <w:pStyle w:val="StyleZakonu"/>
              <w:rPr>
                <w:color w:val="000000" w:themeColor="text1"/>
              </w:rPr>
            </w:pPr>
            <w:r w:rsidRPr="00286216">
              <w:rPr>
                <w:color w:val="000000" w:themeColor="text1"/>
              </w:rPr>
              <w:t>"Центральний депозитарій або Національний банк України може відкрити декілька рахунків у цінних паперах депозитарній установі.";</w:t>
            </w:r>
          </w:p>
        </w:tc>
        <w:tc>
          <w:tcPr>
            <w:tcW w:w="3686" w:type="dxa"/>
          </w:tcPr>
          <w:p w14:paraId="3C1D4B92" w14:textId="77777777" w:rsidR="008A5602" w:rsidRPr="00286216" w:rsidRDefault="008A5602" w:rsidP="008A5602">
            <w:pPr>
              <w:pStyle w:val="StyleProp"/>
              <w:rPr>
                <w:color w:val="000000" w:themeColor="text1"/>
                <w:szCs w:val="18"/>
              </w:rPr>
            </w:pPr>
          </w:p>
        </w:tc>
        <w:tc>
          <w:tcPr>
            <w:tcW w:w="1987" w:type="dxa"/>
          </w:tcPr>
          <w:p w14:paraId="4AE8EFB0" w14:textId="77777777" w:rsidR="008A5602" w:rsidRPr="00286216" w:rsidRDefault="008A5602" w:rsidP="008A5602">
            <w:pPr>
              <w:pStyle w:val="StyleWisnow"/>
              <w:rPr>
                <w:color w:val="000000" w:themeColor="text1"/>
              </w:rPr>
            </w:pPr>
          </w:p>
        </w:tc>
        <w:tc>
          <w:tcPr>
            <w:tcW w:w="4818" w:type="dxa"/>
          </w:tcPr>
          <w:p w14:paraId="65400FFF" w14:textId="318DA3E9" w:rsidR="008A5602" w:rsidRPr="00286216" w:rsidRDefault="008A5602" w:rsidP="008A5602">
            <w:pPr>
              <w:pStyle w:val="StyleZakonu"/>
              <w:rPr>
                <w:color w:val="000000" w:themeColor="text1"/>
              </w:rPr>
            </w:pPr>
            <w:r w:rsidRPr="00286216">
              <w:rPr>
                <w:color w:val="000000" w:themeColor="text1"/>
              </w:rPr>
              <w:t>"Центральний депозитарій або Національний банк України може відкрити декілька рахунків у цінних паперах депозитарній установі.";</w:t>
            </w:r>
          </w:p>
        </w:tc>
      </w:tr>
      <w:tr w:rsidR="008A5602" w:rsidRPr="00286216" w14:paraId="4A44AE6D" w14:textId="77777777" w:rsidTr="00091AA5">
        <w:tc>
          <w:tcPr>
            <w:tcW w:w="576" w:type="dxa"/>
          </w:tcPr>
          <w:p w14:paraId="0FDA496C" w14:textId="77777777" w:rsidR="008A5602" w:rsidRPr="00286216" w:rsidRDefault="008A5602" w:rsidP="008A5602">
            <w:pPr>
              <w:pStyle w:val="StyleWisnow"/>
              <w:rPr>
                <w:color w:val="000000" w:themeColor="text1"/>
              </w:rPr>
            </w:pPr>
            <w:bookmarkStart w:id="3600" w:name="n3730" w:colFirst="0" w:colLast="0"/>
            <w:bookmarkEnd w:id="3599"/>
            <w:r w:rsidRPr="00286216">
              <w:rPr>
                <w:color w:val="000000" w:themeColor="text1"/>
              </w:rPr>
              <w:t>3730.</w:t>
            </w:r>
          </w:p>
        </w:tc>
        <w:tc>
          <w:tcPr>
            <w:tcW w:w="4818" w:type="dxa"/>
          </w:tcPr>
          <w:p w14:paraId="443F6C35" w14:textId="77777777" w:rsidR="008A5602" w:rsidRPr="00286216" w:rsidRDefault="008A5602" w:rsidP="008A5602">
            <w:pPr>
              <w:pStyle w:val="StyleZakonu"/>
              <w:rPr>
                <w:color w:val="000000" w:themeColor="text1"/>
              </w:rPr>
            </w:pPr>
            <w:r w:rsidRPr="00286216">
              <w:rPr>
                <w:color w:val="000000" w:themeColor="text1"/>
              </w:rPr>
              <w:t>в абзацах третьому та п’ятому слово та знаки "(рахунках)" виключити;</w:t>
            </w:r>
          </w:p>
        </w:tc>
        <w:tc>
          <w:tcPr>
            <w:tcW w:w="3686" w:type="dxa"/>
          </w:tcPr>
          <w:p w14:paraId="5026FB07" w14:textId="77777777" w:rsidR="008A5602" w:rsidRPr="00286216" w:rsidRDefault="008A5602" w:rsidP="008A5602">
            <w:pPr>
              <w:pStyle w:val="StyleProp"/>
              <w:rPr>
                <w:color w:val="000000" w:themeColor="text1"/>
                <w:szCs w:val="18"/>
              </w:rPr>
            </w:pPr>
          </w:p>
        </w:tc>
        <w:tc>
          <w:tcPr>
            <w:tcW w:w="1987" w:type="dxa"/>
          </w:tcPr>
          <w:p w14:paraId="02792A37" w14:textId="77777777" w:rsidR="008A5602" w:rsidRPr="00286216" w:rsidRDefault="008A5602" w:rsidP="008A5602">
            <w:pPr>
              <w:pStyle w:val="StyleWisnow"/>
              <w:rPr>
                <w:color w:val="000000" w:themeColor="text1"/>
              </w:rPr>
            </w:pPr>
          </w:p>
        </w:tc>
        <w:tc>
          <w:tcPr>
            <w:tcW w:w="4818" w:type="dxa"/>
          </w:tcPr>
          <w:p w14:paraId="7D553E51" w14:textId="4F020628" w:rsidR="008A5602" w:rsidRPr="00286216" w:rsidRDefault="008A5602" w:rsidP="008A5602">
            <w:pPr>
              <w:pStyle w:val="StyleZakonu"/>
              <w:rPr>
                <w:color w:val="000000" w:themeColor="text1"/>
              </w:rPr>
            </w:pPr>
            <w:r w:rsidRPr="00286216">
              <w:rPr>
                <w:color w:val="000000" w:themeColor="text1"/>
              </w:rPr>
              <w:t>в абзацах третьому та п’ятому знаки "(рахунках)" виключити;</w:t>
            </w:r>
          </w:p>
        </w:tc>
      </w:tr>
      <w:tr w:rsidR="008A5602" w:rsidRPr="00286216" w14:paraId="3AD1AF22" w14:textId="77777777" w:rsidTr="00091AA5">
        <w:tc>
          <w:tcPr>
            <w:tcW w:w="576" w:type="dxa"/>
          </w:tcPr>
          <w:p w14:paraId="47E465E3" w14:textId="77777777" w:rsidR="008A5602" w:rsidRPr="00286216" w:rsidRDefault="008A5602" w:rsidP="008A5602">
            <w:pPr>
              <w:pStyle w:val="StyleWisnow"/>
              <w:rPr>
                <w:color w:val="000000" w:themeColor="text1"/>
              </w:rPr>
            </w:pPr>
            <w:bookmarkStart w:id="3601" w:name="n3731" w:colFirst="0" w:colLast="0"/>
            <w:bookmarkEnd w:id="3600"/>
            <w:r w:rsidRPr="00286216">
              <w:rPr>
                <w:color w:val="000000" w:themeColor="text1"/>
              </w:rPr>
              <w:t>3731.</w:t>
            </w:r>
          </w:p>
        </w:tc>
        <w:tc>
          <w:tcPr>
            <w:tcW w:w="4818" w:type="dxa"/>
          </w:tcPr>
          <w:p w14:paraId="20258A96" w14:textId="77777777" w:rsidR="008A5602" w:rsidRPr="00286216" w:rsidRDefault="008A5602" w:rsidP="008A5602">
            <w:pPr>
              <w:pStyle w:val="StyleZakonu"/>
              <w:rPr>
                <w:color w:val="000000" w:themeColor="text1"/>
              </w:rPr>
            </w:pPr>
            <w:r w:rsidRPr="00286216">
              <w:rPr>
                <w:color w:val="000000" w:themeColor="text1"/>
              </w:rPr>
              <w:t>г) доповнити частину четверту новим абзацом такого змісту:</w:t>
            </w:r>
          </w:p>
        </w:tc>
        <w:tc>
          <w:tcPr>
            <w:tcW w:w="3686" w:type="dxa"/>
          </w:tcPr>
          <w:p w14:paraId="5B425D27" w14:textId="77777777" w:rsidR="008A5602" w:rsidRPr="00286216" w:rsidRDefault="008A5602" w:rsidP="008A5602">
            <w:pPr>
              <w:pStyle w:val="StyleProp"/>
              <w:rPr>
                <w:color w:val="000000" w:themeColor="text1"/>
                <w:szCs w:val="18"/>
              </w:rPr>
            </w:pPr>
          </w:p>
        </w:tc>
        <w:tc>
          <w:tcPr>
            <w:tcW w:w="1987" w:type="dxa"/>
          </w:tcPr>
          <w:p w14:paraId="1BFC9802" w14:textId="77777777" w:rsidR="008A5602" w:rsidRPr="00286216" w:rsidRDefault="008A5602" w:rsidP="008A5602">
            <w:pPr>
              <w:pStyle w:val="StyleWisnow"/>
              <w:rPr>
                <w:color w:val="000000" w:themeColor="text1"/>
              </w:rPr>
            </w:pPr>
          </w:p>
        </w:tc>
        <w:tc>
          <w:tcPr>
            <w:tcW w:w="4818" w:type="dxa"/>
          </w:tcPr>
          <w:p w14:paraId="44603B59" w14:textId="40C87C80" w:rsidR="008A5602" w:rsidRPr="00286216" w:rsidRDefault="008A5602" w:rsidP="008A5602">
            <w:pPr>
              <w:pStyle w:val="StyleZakonu"/>
              <w:rPr>
                <w:color w:val="000000" w:themeColor="text1"/>
              </w:rPr>
            </w:pPr>
            <w:r w:rsidRPr="00286216">
              <w:rPr>
                <w:color w:val="000000" w:themeColor="text1"/>
              </w:rPr>
              <w:t>г) частину четверту доповнити новим абзацом дев’ятим такого змісту:</w:t>
            </w:r>
          </w:p>
        </w:tc>
      </w:tr>
      <w:tr w:rsidR="008A5602" w:rsidRPr="00286216" w14:paraId="65BF3471" w14:textId="77777777" w:rsidTr="00091AA5">
        <w:tc>
          <w:tcPr>
            <w:tcW w:w="576" w:type="dxa"/>
          </w:tcPr>
          <w:p w14:paraId="1938711D" w14:textId="77777777" w:rsidR="008A5602" w:rsidRPr="00286216" w:rsidRDefault="008A5602" w:rsidP="008A5602">
            <w:pPr>
              <w:pStyle w:val="StyleWisnow"/>
              <w:rPr>
                <w:color w:val="000000" w:themeColor="text1"/>
              </w:rPr>
            </w:pPr>
            <w:bookmarkStart w:id="3602" w:name="n3732" w:colFirst="0" w:colLast="0"/>
            <w:bookmarkEnd w:id="3601"/>
            <w:r w:rsidRPr="00286216">
              <w:rPr>
                <w:color w:val="000000" w:themeColor="text1"/>
              </w:rPr>
              <w:t>3732.</w:t>
            </w:r>
          </w:p>
        </w:tc>
        <w:tc>
          <w:tcPr>
            <w:tcW w:w="4818" w:type="dxa"/>
          </w:tcPr>
          <w:p w14:paraId="25581D22" w14:textId="77777777" w:rsidR="008A5602" w:rsidRPr="00286216" w:rsidRDefault="008A5602" w:rsidP="008A5602">
            <w:pPr>
              <w:pStyle w:val="StyleZakonu"/>
              <w:rPr>
                <w:color w:val="000000" w:themeColor="text1"/>
              </w:rPr>
            </w:pPr>
            <w:r w:rsidRPr="00286216">
              <w:rPr>
                <w:color w:val="000000" w:themeColor="text1"/>
              </w:rPr>
              <w:t>"Центральний депозитарій або Національний банк України може відкрити декілька рахунків у цінних паперах емітенту";</w:t>
            </w:r>
          </w:p>
        </w:tc>
        <w:tc>
          <w:tcPr>
            <w:tcW w:w="3686" w:type="dxa"/>
          </w:tcPr>
          <w:p w14:paraId="406272A6" w14:textId="77777777" w:rsidR="008A5602" w:rsidRPr="00286216" w:rsidRDefault="008A5602" w:rsidP="008A5602">
            <w:pPr>
              <w:pStyle w:val="StyleProp"/>
              <w:rPr>
                <w:color w:val="000000" w:themeColor="text1"/>
                <w:szCs w:val="18"/>
              </w:rPr>
            </w:pPr>
          </w:p>
        </w:tc>
        <w:tc>
          <w:tcPr>
            <w:tcW w:w="1987" w:type="dxa"/>
          </w:tcPr>
          <w:p w14:paraId="1BD52738" w14:textId="77777777" w:rsidR="008A5602" w:rsidRPr="00286216" w:rsidRDefault="008A5602" w:rsidP="008A5602">
            <w:pPr>
              <w:pStyle w:val="StyleWisnow"/>
              <w:rPr>
                <w:color w:val="000000" w:themeColor="text1"/>
              </w:rPr>
            </w:pPr>
          </w:p>
        </w:tc>
        <w:tc>
          <w:tcPr>
            <w:tcW w:w="4818" w:type="dxa"/>
          </w:tcPr>
          <w:p w14:paraId="5B4E4BCF" w14:textId="586E0C2A" w:rsidR="008A5602" w:rsidRPr="00286216" w:rsidRDefault="008A5602" w:rsidP="008A5602">
            <w:pPr>
              <w:pStyle w:val="StyleZakonu"/>
              <w:rPr>
                <w:color w:val="000000" w:themeColor="text1"/>
              </w:rPr>
            </w:pPr>
            <w:r w:rsidRPr="00286216">
              <w:rPr>
                <w:color w:val="000000" w:themeColor="text1"/>
              </w:rPr>
              <w:t>"Центральний депозитарій або Національний банк України може відкрити декілька рахунків у цінних паперах емітенту";</w:t>
            </w:r>
          </w:p>
        </w:tc>
      </w:tr>
      <w:tr w:rsidR="008A5602" w:rsidRPr="00286216" w14:paraId="0700E008" w14:textId="77777777" w:rsidTr="00091AA5">
        <w:tc>
          <w:tcPr>
            <w:tcW w:w="576" w:type="dxa"/>
          </w:tcPr>
          <w:p w14:paraId="734BB0A2" w14:textId="77777777" w:rsidR="008A5602" w:rsidRPr="00286216" w:rsidRDefault="008A5602" w:rsidP="008A5602">
            <w:pPr>
              <w:pStyle w:val="StyleWisnow"/>
              <w:rPr>
                <w:color w:val="000000" w:themeColor="text1"/>
              </w:rPr>
            </w:pPr>
          </w:p>
        </w:tc>
        <w:tc>
          <w:tcPr>
            <w:tcW w:w="4818" w:type="dxa"/>
          </w:tcPr>
          <w:p w14:paraId="39C43209" w14:textId="77777777" w:rsidR="008A5602" w:rsidRPr="00286216" w:rsidRDefault="008A5602" w:rsidP="008A5602">
            <w:pPr>
              <w:pStyle w:val="StyleZakonu"/>
              <w:rPr>
                <w:color w:val="000000" w:themeColor="text1"/>
              </w:rPr>
            </w:pPr>
          </w:p>
        </w:tc>
        <w:tc>
          <w:tcPr>
            <w:tcW w:w="3686" w:type="dxa"/>
          </w:tcPr>
          <w:p w14:paraId="36C04E6C" w14:textId="56A0B134"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0549D6A"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після підпункту “г” підпункту 3 підпункту 44 розділу 3 доповнити таким підпунктом:</w:t>
            </w:r>
          </w:p>
          <w:p w14:paraId="6D964149"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“ґ) у частині шостій:</w:t>
            </w:r>
          </w:p>
          <w:p w14:paraId="38538568"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 xml:space="preserve">абзац перший після слова “рахунок” доповнити словом “(рахунки)”, а після слова  “відкривається” доповнити словом </w:t>
            </w:r>
            <w:r w:rsidRPr="00286216">
              <w:rPr>
                <w:color w:val="000000" w:themeColor="text1"/>
                <w:sz w:val="18"/>
              </w:rPr>
              <w:lastRenderedPageBreak/>
              <w:t>“(відкриваються)”;</w:t>
            </w:r>
          </w:p>
          <w:p w14:paraId="488F7E44" w14:textId="19FC5523" w:rsidR="008A5602" w:rsidRPr="00286216" w:rsidRDefault="008A5602" w:rsidP="008A5602">
            <w:pPr>
              <w:spacing w:line="180" w:lineRule="exact"/>
              <w:ind w:firstLine="227"/>
              <w:jc w:val="both"/>
              <w:rPr>
                <w:color w:val="000000" w:themeColor="text1"/>
                <w:szCs w:val="18"/>
              </w:rPr>
            </w:pPr>
            <w:r w:rsidRPr="00286216">
              <w:rPr>
                <w:color w:val="000000" w:themeColor="text1"/>
                <w:sz w:val="18"/>
              </w:rPr>
              <w:t>абзац другий після слова “рахунку” доповнити словом “(рахунках)”;</w:t>
            </w:r>
          </w:p>
        </w:tc>
        <w:tc>
          <w:tcPr>
            <w:tcW w:w="1987" w:type="dxa"/>
          </w:tcPr>
          <w:p w14:paraId="43EBC1DB" w14:textId="77777777" w:rsidR="008A5602" w:rsidRPr="00286216" w:rsidRDefault="008A5602" w:rsidP="008A5602">
            <w:pPr>
              <w:pStyle w:val="StyleWisnow"/>
              <w:rPr>
                <w:color w:val="000000" w:themeColor="text1"/>
              </w:rPr>
            </w:pPr>
            <w:r w:rsidRPr="00286216">
              <w:rPr>
                <w:color w:val="000000" w:themeColor="text1"/>
              </w:rPr>
              <w:lastRenderedPageBreak/>
              <w:t>Враховано</w:t>
            </w:r>
          </w:p>
        </w:tc>
        <w:tc>
          <w:tcPr>
            <w:tcW w:w="4818" w:type="dxa"/>
          </w:tcPr>
          <w:p w14:paraId="6DF3BDA4" w14:textId="77777777" w:rsidR="008A5602" w:rsidRPr="00286216" w:rsidRDefault="008A5602" w:rsidP="008A5602">
            <w:pPr>
              <w:pStyle w:val="StyleZakonu"/>
              <w:rPr>
                <w:color w:val="000000" w:themeColor="text1"/>
              </w:rPr>
            </w:pPr>
            <w:r w:rsidRPr="00286216">
              <w:rPr>
                <w:color w:val="000000" w:themeColor="text1"/>
              </w:rPr>
              <w:t>ґ) у частині шостій:</w:t>
            </w:r>
          </w:p>
          <w:p w14:paraId="3ABF3DD5" w14:textId="005AD8AA" w:rsidR="008A5602" w:rsidRPr="00286216" w:rsidRDefault="008A5602" w:rsidP="008A5602">
            <w:pPr>
              <w:pStyle w:val="StyleZakonu"/>
              <w:rPr>
                <w:color w:val="000000" w:themeColor="text1"/>
              </w:rPr>
            </w:pPr>
            <w:r w:rsidRPr="00286216">
              <w:rPr>
                <w:color w:val="000000" w:themeColor="text1"/>
              </w:rPr>
              <w:t>абзац перший після слова “рахунок” доповнити словом “(рахунки)”, а після слова  “відкривається”  - словом “(відкриваються)”;</w:t>
            </w:r>
          </w:p>
          <w:p w14:paraId="55B3D497" w14:textId="77777777" w:rsidR="008A5602" w:rsidRPr="00286216" w:rsidRDefault="008A5602" w:rsidP="008A5602">
            <w:pPr>
              <w:pStyle w:val="StyleZakonu"/>
              <w:rPr>
                <w:color w:val="000000" w:themeColor="text1"/>
              </w:rPr>
            </w:pPr>
            <w:r w:rsidRPr="00286216">
              <w:rPr>
                <w:color w:val="000000" w:themeColor="text1"/>
              </w:rPr>
              <w:t xml:space="preserve">абзац другий після слова “рахунку” доповнити </w:t>
            </w:r>
            <w:r w:rsidRPr="00286216">
              <w:rPr>
                <w:color w:val="000000" w:themeColor="text1"/>
              </w:rPr>
              <w:lastRenderedPageBreak/>
              <w:t>словом “(рахунках)”;</w:t>
            </w:r>
          </w:p>
          <w:p w14:paraId="407C98DB" w14:textId="3836A708" w:rsidR="008A5602" w:rsidRPr="00286216" w:rsidRDefault="008A5602" w:rsidP="008A5602">
            <w:pPr>
              <w:pStyle w:val="StyleZakonu"/>
              <w:rPr>
                <w:color w:val="000000" w:themeColor="text1"/>
              </w:rPr>
            </w:pPr>
          </w:p>
        </w:tc>
      </w:tr>
      <w:tr w:rsidR="008A5602" w:rsidRPr="00286216" w14:paraId="5D045641" w14:textId="77777777" w:rsidTr="00091AA5">
        <w:tc>
          <w:tcPr>
            <w:tcW w:w="576" w:type="dxa"/>
          </w:tcPr>
          <w:p w14:paraId="479F378C" w14:textId="77777777" w:rsidR="008A5602" w:rsidRPr="00286216" w:rsidRDefault="008A5602" w:rsidP="008A5602">
            <w:pPr>
              <w:pStyle w:val="StyleWisnow"/>
              <w:rPr>
                <w:color w:val="000000" w:themeColor="text1"/>
              </w:rPr>
            </w:pPr>
            <w:bookmarkStart w:id="3603" w:name="n3733" w:colFirst="0" w:colLast="0"/>
            <w:bookmarkEnd w:id="3602"/>
            <w:r w:rsidRPr="00286216">
              <w:rPr>
                <w:color w:val="000000" w:themeColor="text1"/>
              </w:rPr>
              <w:lastRenderedPageBreak/>
              <w:t>3733.</w:t>
            </w:r>
          </w:p>
        </w:tc>
        <w:tc>
          <w:tcPr>
            <w:tcW w:w="4818" w:type="dxa"/>
          </w:tcPr>
          <w:p w14:paraId="4222C8E1" w14:textId="77777777" w:rsidR="008A5602" w:rsidRPr="00286216" w:rsidRDefault="008A5602" w:rsidP="008A5602">
            <w:pPr>
              <w:pStyle w:val="StyleZakonu"/>
              <w:rPr>
                <w:color w:val="000000" w:themeColor="text1"/>
              </w:rPr>
            </w:pPr>
            <w:r w:rsidRPr="00286216">
              <w:rPr>
                <w:color w:val="000000" w:themeColor="text1"/>
              </w:rPr>
              <w:t>ґ) викласти частину сьому в такій редакції:</w:t>
            </w:r>
          </w:p>
        </w:tc>
        <w:tc>
          <w:tcPr>
            <w:tcW w:w="3686" w:type="dxa"/>
          </w:tcPr>
          <w:p w14:paraId="4B814378" w14:textId="266A1F32" w:rsidR="008A5602" w:rsidRPr="00286216" w:rsidRDefault="008A5602" w:rsidP="008A5602">
            <w:pPr>
              <w:pStyle w:val="StyleProp"/>
              <w:rPr>
                <w:color w:val="000000" w:themeColor="text1"/>
                <w:szCs w:val="18"/>
              </w:rPr>
            </w:pPr>
            <w:r w:rsidRPr="00286216">
              <w:rPr>
                <w:color w:val="000000" w:themeColor="text1"/>
              </w:rPr>
              <w:t>у зв’язку із цим підпункт “ґ” вважати підпунктом “д”;</w:t>
            </w:r>
          </w:p>
        </w:tc>
        <w:tc>
          <w:tcPr>
            <w:tcW w:w="1987" w:type="dxa"/>
          </w:tcPr>
          <w:p w14:paraId="3906235E" w14:textId="77777777" w:rsidR="008A5602" w:rsidRPr="00286216" w:rsidRDefault="008A5602" w:rsidP="008A5602">
            <w:pPr>
              <w:pStyle w:val="StyleWisnow"/>
              <w:rPr>
                <w:color w:val="000000" w:themeColor="text1"/>
              </w:rPr>
            </w:pPr>
          </w:p>
        </w:tc>
        <w:tc>
          <w:tcPr>
            <w:tcW w:w="4818" w:type="dxa"/>
          </w:tcPr>
          <w:p w14:paraId="3B879FA5" w14:textId="23B2BD5E" w:rsidR="008A5602" w:rsidRPr="00286216" w:rsidRDefault="008A5602" w:rsidP="008A5602">
            <w:pPr>
              <w:pStyle w:val="StyleZakonu"/>
              <w:rPr>
                <w:color w:val="000000" w:themeColor="text1"/>
              </w:rPr>
            </w:pPr>
            <w:r w:rsidRPr="00286216">
              <w:rPr>
                <w:color w:val="000000" w:themeColor="text1"/>
              </w:rPr>
              <w:t>д) частину сьому викласти в такій редакції:</w:t>
            </w:r>
          </w:p>
        </w:tc>
      </w:tr>
      <w:tr w:rsidR="008A5602" w:rsidRPr="00286216" w14:paraId="6018C0B2" w14:textId="77777777" w:rsidTr="00091AA5">
        <w:tc>
          <w:tcPr>
            <w:tcW w:w="576" w:type="dxa"/>
          </w:tcPr>
          <w:p w14:paraId="0A6DE93D" w14:textId="77777777" w:rsidR="008A5602" w:rsidRPr="00286216" w:rsidRDefault="008A5602" w:rsidP="008A5602">
            <w:pPr>
              <w:pStyle w:val="StyleWisnow"/>
              <w:rPr>
                <w:color w:val="000000" w:themeColor="text1"/>
              </w:rPr>
            </w:pPr>
            <w:bookmarkStart w:id="3604" w:name="n3734" w:colFirst="0" w:colLast="0"/>
            <w:bookmarkEnd w:id="3603"/>
            <w:r w:rsidRPr="00286216">
              <w:rPr>
                <w:color w:val="000000" w:themeColor="text1"/>
              </w:rPr>
              <w:t>3734.</w:t>
            </w:r>
          </w:p>
        </w:tc>
        <w:tc>
          <w:tcPr>
            <w:tcW w:w="4818" w:type="dxa"/>
          </w:tcPr>
          <w:p w14:paraId="359972AC" w14:textId="77777777" w:rsidR="008A5602" w:rsidRPr="00286216" w:rsidRDefault="008A5602" w:rsidP="008A5602">
            <w:pPr>
              <w:pStyle w:val="StyleZakonu"/>
              <w:rPr>
                <w:color w:val="000000" w:themeColor="text1"/>
              </w:rPr>
            </w:pPr>
            <w:r w:rsidRPr="00286216">
              <w:rPr>
                <w:color w:val="000000" w:themeColor="text1"/>
              </w:rPr>
              <w:t>"7. Рахунок у цінних паперах особі, що здійснює клірингову діяльність, відкривається Центральним депозитарієм та/або Національним банком України на підставі договору про обслуговування особи, що здійснює клірингову діяльність. Такий договір може укладатися у формі депозитарного договору.</w:t>
            </w:r>
          </w:p>
        </w:tc>
        <w:tc>
          <w:tcPr>
            <w:tcW w:w="3686" w:type="dxa"/>
          </w:tcPr>
          <w:p w14:paraId="5AD0FC16" w14:textId="77777777" w:rsidR="008A5602" w:rsidRPr="00286216" w:rsidRDefault="008A5602" w:rsidP="008A5602">
            <w:pPr>
              <w:pStyle w:val="StyleProp"/>
              <w:rPr>
                <w:color w:val="000000" w:themeColor="text1"/>
                <w:szCs w:val="18"/>
              </w:rPr>
            </w:pPr>
          </w:p>
        </w:tc>
        <w:tc>
          <w:tcPr>
            <w:tcW w:w="1987" w:type="dxa"/>
          </w:tcPr>
          <w:p w14:paraId="1E63BC66" w14:textId="77777777" w:rsidR="008A5602" w:rsidRPr="00286216" w:rsidRDefault="008A5602" w:rsidP="008A5602">
            <w:pPr>
              <w:pStyle w:val="StyleWisnow"/>
              <w:rPr>
                <w:color w:val="000000" w:themeColor="text1"/>
              </w:rPr>
            </w:pPr>
          </w:p>
        </w:tc>
        <w:tc>
          <w:tcPr>
            <w:tcW w:w="4818" w:type="dxa"/>
          </w:tcPr>
          <w:p w14:paraId="733F57D0" w14:textId="2F9C869C" w:rsidR="008A5602" w:rsidRPr="00286216" w:rsidRDefault="008A5602" w:rsidP="008A5602">
            <w:pPr>
              <w:pStyle w:val="StyleZakonu"/>
              <w:rPr>
                <w:color w:val="000000" w:themeColor="text1"/>
              </w:rPr>
            </w:pPr>
            <w:r w:rsidRPr="00286216">
              <w:rPr>
                <w:color w:val="000000" w:themeColor="text1"/>
              </w:rPr>
              <w:t>"7. Рахунок у цінних паперах особі, яка провадить клірингову діяльність, відкривається Центральним депозитарієм та/або Національним банком України на підставі договору про обслуговування особи, яка провадить клірингову діяльність. Такий договір може укладатися у формі депозитарного договору.</w:t>
            </w:r>
          </w:p>
        </w:tc>
      </w:tr>
      <w:tr w:rsidR="008A5602" w:rsidRPr="00286216" w14:paraId="42CD6AB0" w14:textId="77777777" w:rsidTr="00091AA5">
        <w:tc>
          <w:tcPr>
            <w:tcW w:w="576" w:type="dxa"/>
          </w:tcPr>
          <w:p w14:paraId="30A54980" w14:textId="77777777" w:rsidR="008A5602" w:rsidRPr="00286216" w:rsidRDefault="008A5602" w:rsidP="008A5602">
            <w:pPr>
              <w:pStyle w:val="StyleWisnow"/>
              <w:rPr>
                <w:color w:val="000000" w:themeColor="text1"/>
              </w:rPr>
            </w:pPr>
            <w:bookmarkStart w:id="3605" w:name="n3735" w:colFirst="0" w:colLast="0"/>
            <w:bookmarkEnd w:id="3604"/>
            <w:r w:rsidRPr="00286216">
              <w:rPr>
                <w:color w:val="000000" w:themeColor="text1"/>
              </w:rPr>
              <w:t>3735.</w:t>
            </w:r>
          </w:p>
        </w:tc>
        <w:tc>
          <w:tcPr>
            <w:tcW w:w="4818" w:type="dxa"/>
          </w:tcPr>
          <w:p w14:paraId="50018F5D" w14:textId="77777777" w:rsidR="008A5602" w:rsidRPr="00286216" w:rsidRDefault="008A5602" w:rsidP="008A5602">
            <w:pPr>
              <w:pStyle w:val="StyleZakonu"/>
              <w:rPr>
                <w:color w:val="000000" w:themeColor="text1"/>
              </w:rPr>
            </w:pPr>
            <w:r w:rsidRPr="00286216">
              <w:rPr>
                <w:color w:val="000000" w:themeColor="text1"/>
              </w:rPr>
              <w:t>Договір про обслуговування особи, що здійснює клірингову діяльність, укладається між такою особою та Центральним депозитарієм або Національним банком України. Відповідно до такого договору Центральний депозитарій або Національний банк України веде в установленому Комісією порядку на рахунку в цінних паперах особи, що здійснює клірингову діяльність, облік цінних паперів, які використовуються особою, що здійснює клірингову діяльність, для створення передбаченої пунктом 9 частини першої статті 57 Закону України "Про ринки капіталу та організовані товарні ринки" системи управління ризиками та гарантій особи, яка провадить клірингову діяльність, відповідно до встановленої цим Законом компетенції.".</w:t>
            </w:r>
          </w:p>
        </w:tc>
        <w:tc>
          <w:tcPr>
            <w:tcW w:w="3686" w:type="dxa"/>
          </w:tcPr>
          <w:p w14:paraId="66E5B0C9" w14:textId="77777777" w:rsidR="008A5602" w:rsidRPr="00286216" w:rsidRDefault="008A5602" w:rsidP="008A5602">
            <w:pPr>
              <w:pStyle w:val="StyleProp"/>
              <w:rPr>
                <w:color w:val="000000" w:themeColor="text1"/>
                <w:szCs w:val="18"/>
              </w:rPr>
            </w:pPr>
          </w:p>
        </w:tc>
        <w:tc>
          <w:tcPr>
            <w:tcW w:w="1987" w:type="dxa"/>
          </w:tcPr>
          <w:p w14:paraId="14BBEC3C" w14:textId="77777777" w:rsidR="008A5602" w:rsidRPr="00286216" w:rsidRDefault="008A5602" w:rsidP="008A5602">
            <w:pPr>
              <w:pStyle w:val="StyleWisnow"/>
              <w:rPr>
                <w:color w:val="000000" w:themeColor="text1"/>
              </w:rPr>
            </w:pPr>
          </w:p>
        </w:tc>
        <w:tc>
          <w:tcPr>
            <w:tcW w:w="4818" w:type="dxa"/>
          </w:tcPr>
          <w:p w14:paraId="08626BC7" w14:textId="3F3223DF" w:rsidR="008A5602" w:rsidRPr="00286216" w:rsidRDefault="008A5602" w:rsidP="008A5602">
            <w:pPr>
              <w:pStyle w:val="StyleZakonu"/>
              <w:rPr>
                <w:color w:val="000000" w:themeColor="text1"/>
              </w:rPr>
            </w:pPr>
            <w:r w:rsidRPr="00286216">
              <w:rPr>
                <w:color w:val="000000" w:themeColor="text1"/>
              </w:rPr>
              <w:t>Договір про обслуговування особи, яка провадить клірингову діяльність, укладається між такою особою та Центральним депозитарієм або Національним банком України. Відповідно до такого договору Центральний депозитарій або Національний банк України веде в установленому Комісією порядку на рахунку в цінних паперах особи, яка провадить клірингову діяльність, облік цінних паперів, що використовуються особою, яка провадить клірингову діяльність, для створення передбаченої пунктом 10 частини першої статті 62 Закону України "Про ринки капіталу та організовані товарні ринки" системи управління ризиками та гарантій особи, яка провадить клірингову діяльність, відповідно до встановленої цим Законом компетенції";</w:t>
            </w:r>
          </w:p>
        </w:tc>
      </w:tr>
      <w:tr w:rsidR="008A5602" w:rsidRPr="00286216" w14:paraId="53C8A593" w14:textId="77777777" w:rsidTr="00091AA5">
        <w:tc>
          <w:tcPr>
            <w:tcW w:w="576" w:type="dxa"/>
          </w:tcPr>
          <w:p w14:paraId="5D82C105" w14:textId="77777777" w:rsidR="008A5602" w:rsidRPr="00286216" w:rsidRDefault="008A5602" w:rsidP="008A5602">
            <w:pPr>
              <w:pStyle w:val="StyleWisnow"/>
              <w:rPr>
                <w:color w:val="000000" w:themeColor="text1"/>
              </w:rPr>
            </w:pPr>
            <w:bookmarkStart w:id="3606" w:name="n3736" w:colFirst="0" w:colLast="0"/>
            <w:bookmarkEnd w:id="3605"/>
            <w:r w:rsidRPr="00286216">
              <w:rPr>
                <w:color w:val="000000" w:themeColor="text1"/>
              </w:rPr>
              <w:t>3736.</w:t>
            </w:r>
          </w:p>
        </w:tc>
        <w:tc>
          <w:tcPr>
            <w:tcW w:w="4818" w:type="dxa"/>
          </w:tcPr>
          <w:p w14:paraId="7C33C9E9" w14:textId="77777777" w:rsidR="008A5602" w:rsidRPr="00286216" w:rsidRDefault="008A5602" w:rsidP="008A5602">
            <w:pPr>
              <w:pStyle w:val="StyleZakonu"/>
              <w:rPr>
                <w:color w:val="000000" w:themeColor="text1"/>
              </w:rPr>
            </w:pPr>
            <w:r w:rsidRPr="00286216">
              <w:rPr>
                <w:color w:val="000000" w:themeColor="text1"/>
              </w:rPr>
              <w:t>4) у статті 6:</w:t>
            </w:r>
          </w:p>
        </w:tc>
        <w:tc>
          <w:tcPr>
            <w:tcW w:w="3686" w:type="dxa"/>
          </w:tcPr>
          <w:p w14:paraId="69D5DB77" w14:textId="77777777" w:rsidR="008A5602" w:rsidRPr="00286216" w:rsidRDefault="008A5602" w:rsidP="008A5602">
            <w:pPr>
              <w:pStyle w:val="StyleProp"/>
              <w:rPr>
                <w:color w:val="000000" w:themeColor="text1"/>
                <w:szCs w:val="18"/>
              </w:rPr>
            </w:pPr>
          </w:p>
        </w:tc>
        <w:tc>
          <w:tcPr>
            <w:tcW w:w="1987" w:type="dxa"/>
          </w:tcPr>
          <w:p w14:paraId="4C514CC1" w14:textId="77777777" w:rsidR="008A5602" w:rsidRPr="00286216" w:rsidRDefault="008A5602" w:rsidP="008A5602">
            <w:pPr>
              <w:pStyle w:val="StyleWisnow"/>
              <w:rPr>
                <w:color w:val="000000" w:themeColor="text1"/>
              </w:rPr>
            </w:pPr>
          </w:p>
        </w:tc>
        <w:tc>
          <w:tcPr>
            <w:tcW w:w="4818" w:type="dxa"/>
          </w:tcPr>
          <w:p w14:paraId="65FA70DC" w14:textId="16AABE7E" w:rsidR="008A5602" w:rsidRPr="00286216" w:rsidRDefault="008A5602" w:rsidP="008A5602">
            <w:pPr>
              <w:pStyle w:val="StyleZakonu"/>
              <w:rPr>
                <w:color w:val="000000" w:themeColor="text1"/>
              </w:rPr>
            </w:pPr>
            <w:r w:rsidRPr="00286216">
              <w:rPr>
                <w:color w:val="000000" w:themeColor="text1"/>
              </w:rPr>
              <w:t>5) у статті 6:</w:t>
            </w:r>
          </w:p>
        </w:tc>
      </w:tr>
      <w:tr w:rsidR="008A5602" w:rsidRPr="00286216" w14:paraId="62E3EE1E" w14:textId="77777777" w:rsidTr="00091AA5">
        <w:tc>
          <w:tcPr>
            <w:tcW w:w="576" w:type="dxa"/>
          </w:tcPr>
          <w:p w14:paraId="5384E9B1" w14:textId="77777777" w:rsidR="008A5602" w:rsidRPr="00286216" w:rsidRDefault="008A5602" w:rsidP="008A5602">
            <w:pPr>
              <w:pStyle w:val="StyleWisnow"/>
              <w:rPr>
                <w:color w:val="000000" w:themeColor="text1"/>
              </w:rPr>
            </w:pPr>
            <w:bookmarkStart w:id="3607" w:name="n3737" w:colFirst="0" w:colLast="0"/>
            <w:bookmarkEnd w:id="3606"/>
            <w:r w:rsidRPr="00286216">
              <w:rPr>
                <w:color w:val="000000" w:themeColor="text1"/>
              </w:rPr>
              <w:t>3737.</w:t>
            </w:r>
          </w:p>
        </w:tc>
        <w:tc>
          <w:tcPr>
            <w:tcW w:w="4818" w:type="dxa"/>
          </w:tcPr>
          <w:p w14:paraId="2D061DB8" w14:textId="77777777" w:rsidR="008A5602" w:rsidRPr="00286216" w:rsidRDefault="008A5602" w:rsidP="008A5602">
            <w:pPr>
              <w:pStyle w:val="StyleZakonu"/>
              <w:rPr>
                <w:color w:val="000000" w:themeColor="text1"/>
              </w:rPr>
            </w:pPr>
            <w:r w:rsidRPr="00286216">
              <w:rPr>
                <w:color w:val="000000" w:themeColor="text1"/>
              </w:rPr>
              <w:t>а) частину першу доповнити новим абзацом такого змісту:</w:t>
            </w:r>
          </w:p>
        </w:tc>
        <w:tc>
          <w:tcPr>
            <w:tcW w:w="3686" w:type="dxa"/>
          </w:tcPr>
          <w:p w14:paraId="5EAEDD54" w14:textId="77777777" w:rsidR="008A5602" w:rsidRPr="00286216" w:rsidRDefault="008A5602" w:rsidP="008A5602">
            <w:pPr>
              <w:pStyle w:val="StyleProp"/>
              <w:rPr>
                <w:color w:val="000000" w:themeColor="text1"/>
                <w:szCs w:val="18"/>
              </w:rPr>
            </w:pPr>
          </w:p>
        </w:tc>
        <w:tc>
          <w:tcPr>
            <w:tcW w:w="1987" w:type="dxa"/>
          </w:tcPr>
          <w:p w14:paraId="756DD646" w14:textId="77777777" w:rsidR="008A5602" w:rsidRPr="00286216" w:rsidRDefault="008A5602" w:rsidP="008A5602">
            <w:pPr>
              <w:pStyle w:val="StyleWisnow"/>
              <w:rPr>
                <w:color w:val="000000" w:themeColor="text1"/>
              </w:rPr>
            </w:pPr>
          </w:p>
        </w:tc>
        <w:tc>
          <w:tcPr>
            <w:tcW w:w="4818" w:type="dxa"/>
          </w:tcPr>
          <w:p w14:paraId="11C237D0" w14:textId="1B1790BF" w:rsidR="008A5602" w:rsidRPr="00286216" w:rsidRDefault="008A5602" w:rsidP="008A5602">
            <w:pPr>
              <w:pStyle w:val="StyleZakonu"/>
              <w:rPr>
                <w:color w:val="000000" w:themeColor="text1"/>
              </w:rPr>
            </w:pPr>
            <w:r w:rsidRPr="00286216">
              <w:rPr>
                <w:color w:val="000000" w:themeColor="text1"/>
              </w:rPr>
              <w:t>а) частину першу доповнити  абзацом п’ятим такого змісту:</w:t>
            </w:r>
          </w:p>
        </w:tc>
      </w:tr>
      <w:tr w:rsidR="008A5602" w:rsidRPr="00286216" w14:paraId="0E269C9F" w14:textId="77777777" w:rsidTr="00091AA5">
        <w:tc>
          <w:tcPr>
            <w:tcW w:w="576" w:type="dxa"/>
          </w:tcPr>
          <w:p w14:paraId="5D32E0A5" w14:textId="77777777" w:rsidR="008A5602" w:rsidRPr="00286216" w:rsidRDefault="008A5602" w:rsidP="008A5602">
            <w:pPr>
              <w:pStyle w:val="StyleWisnow"/>
              <w:rPr>
                <w:color w:val="000000" w:themeColor="text1"/>
              </w:rPr>
            </w:pPr>
            <w:bookmarkStart w:id="3608" w:name="n3738" w:colFirst="0" w:colLast="0"/>
            <w:bookmarkEnd w:id="3607"/>
            <w:r w:rsidRPr="00286216">
              <w:rPr>
                <w:color w:val="000000" w:themeColor="text1"/>
              </w:rPr>
              <w:t>3738.</w:t>
            </w:r>
          </w:p>
        </w:tc>
        <w:tc>
          <w:tcPr>
            <w:tcW w:w="4818" w:type="dxa"/>
          </w:tcPr>
          <w:p w14:paraId="03E0FB6D" w14:textId="77777777" w:rsidR="008A5602" w:rsidRPr="00286216" w:rsidRDefault="008A5602" w:rsidP="008A5602">
            <w:pPr>
              <w:pStyle w:val="StyleZakonu"/>
              <w:rPr>
                <w:color w:val="000000" w:themeColor="text1"/>
              </w:rPr>
            </w:pPr>
            <w:r w:rsidRPr="00286216">
              <w:rPr>
                <w:color w:val="000000" w:themeColor="text1"/>
              </w:rPr>
              <w:t>"Особливості здійснення депозитарного обліку та депозитарних операцій на рахунках в цінних паперах власників та емітентів депозитних сертифікатів банків встановлюються Комісією за погодженням з Національним банком України.";</w:t>
            </w:r>
          </w:p>
        </w:tc>
        <w:tc>
          <w:tcPr>
            <w:tcW w:w="3686" w:type="dxa"/>
          </w:tcPr>
          <w:p w14:paraId="691A4422" w14:textId="77777777" w:rsidR="008A5602" w:rsidRPr="00286216" w:rsidRDefault="008A5602" w:rsidP="008A5602">
            <w:pPr>
              <w:pStyle w:val="StyleProp"/>
              <w:rPr>
                <w:color w:val="000000" w:themeColor="text1"/>
                <w:szCs w:val="18"/>
              </w:rPr>
            </w:pPr>
          </w:p>
        </w:tc>
        <w:tc>
          <w:tcPr>
            <w:tcW w:w="1987" w:type="dxa"/>
          </w:tcPr>
          <w:p w14:paraId="2FB4CDC1" w14:textId="77777777" w:rsidR="008A5602" w:rsidRPr="00286216" w:rsidRDefault="008A5602" w:rsidP="008A5602">
            <w:pPr>
              <w:pStyle w:val="StyleWisnow"/>
              <w:rPr>
                <w:color w:val="000000" w:themeColor="text1"/>
              </w:rPr>
            </w:pPr>
          </w:p>
        </w:tc>
        <w:tc>
          <w:tcPr>
            <w:tcW w:w="4818" w:type="dxa"/>
          </w:tcPr>
          <w:p w14:paraId="46463330" w14:textId="7218C1CE" w:rsidR="008A5602" w:rsidRPr="00286216" w:rsidRDefault="008A5602" w:rsidP="008A5602">
            <w:pPr>
              <w:pStyle w:val="StyleZakonu"/>
              <w:rPr>
                <w:color w:val="000000" w:themeColor="text1"/>
              </w:rPr>
            </w:pPr>
            <w:r w:rsidRPr="00286216">
              <w:rPr>
                <w:color w:val="000000" w:themeColor="text1"/>
              </w:rPr>
              <w:t>"Особливості здійснення депозитарного обліку та депозитарних операцій на рахунках в цінних паперах власників та емітентів депозитних сертифікатів банків встановлюються Комісією за погодженням з Національним банком України";</w:t>
            </w:r>
          </w:p>
        </w:tc>
      </w:tr>
      <w:tr w:rsidR="008A5602" w:rsidRPr="00286216" w14:paraId="53D5A670" w14:textId="77777777" w:rsidTr="00091AA5">
        <w:tc>
          <w:tcPr>
            <w:tcW w:w="576" w:type="dxa"/>
          </w:tcPr>
          <w:p w14:paraId="7A532D9D" w14:textId="77777777" w:rsidR="008A5602" w:rsidRPr="00286216" w:rsidRDefault="008A5602" w:rsidP="008A5602">
            <w:pPr>
              <w:pStyle w:val="StyleWisnow"/>
              <w:rPr>
                <w:color w:val="000000" w:themeColor="text1"/>
              </w:rPr>
            </w:pPr>
            <w:bookmarkStart w:id="3609" w:name="n3739" w:colFirst="0" w:colLast="0"/>
            <w:bookmarkEnd w:id="3608"/>
            <w:r w:rsidRPr="00286216">
              <w:rPr>
                <w:color w:val="000000" w:themeColor="text1"/>
              </w:rPr>
              <w:t>3739.</w:t>
            </w:r>
          </w:p>
        </w:tc>
        <w:tc>
          <w:tcPr>
            <w:tcW w:w="4818" w:type="dxa"/>
          </w:tcPr>
          <w:p w14:paraId="6409E688" w14:textId="77777777" w:rsidR="008A5602" w:rsidRPr="00286216" w:rsidRDefault="008A5602" w:rsidP="008A5602">
            <w:pPr>
              <w:pStyle w:val="StyleZakonu"/>
              <w:rPr>
                <w:color w:val="000000" w:themeColor="text1"/>
              </w:rPr>
            </w:pPr>
            <w:r w:rsidRPr="00286216">
              <w:rPr>
                <w:color w:val="000000" w:themeColor="text1"/>
              </w:rPr>
              <w:t>б) в частині другій:</w:t>
            </w:r>
          </w:p>
        </w:tc>
        <w:tc>
          <w:tcPr>
            <w:tcW w:w="3686" w:type="dxa"/>
          </w:tcPr>
          <w:p w14:paraId="6ADDCB0B" w14:textId="77777777" w:rsidR="008A5602" w:rsidRPr="00286216" w:rsidRDefault="008A5602" w:rsidP="008A5602">
            <w:pPr>
              <w:pStyle w:val="StyleProp"/>
              <w:rPr>
                <w:color w:val="000000" w:themeColor="text1"/>
                <w:szCs w:val="18"/>
              </w:rPr>
            </w:pPr>
          </w:p>
        </w:tc>
        <w:tc>
          <w:tcPr>
            <w:tcW w:w="1987" w:type="dxa"/>
          </w:tcPr>
          <w:p w14:paraId="59C34474" w14:textId="77777777" w:rsidR="008A5602" w:rsidRPr="00286216" w:rsidRDefault="008A5602" w:rsidP="008A5602">
            <w:pPr>
              <w:pStyle w:val="StyleWisnow"/>
              <w:rPr>
                <w:color w:val="000000" w:themeColor="text1"/>
              </w:rPr>
            </w:pPr>
          </w:p>
        </w:tc>
        <w:tc>
          <w:tcPr>
            <w:tcW w:w="4818" w:type="dxa"/>
          </w:tcPr>
          <w:p w14:paraId="3325FFDE" w14:textId="3ACFF48C" w:rsidR="008A5602" w:rsidRPr="00286216" w:rsidRDefault="008A5602" w:rsidP="008A5602">
            <w:pPr>
              <w:pStyle w:val="StyleZakonu"/>
              <w:rPr>
                <w:color w:val="000000" w:themeColor="text1"/>
              </w:rPr>
            </w:pPr>
            <w:r w:rsidRPr="00286216">
              <w:rPr>
                <w:color w:val="000000" w:themeColor="text1"/>
              </w:rPr>
              <w:t>б) у частині другій:</w:t>
            </w:r>
          </w:p>
        </w:tc>
      </w:tr>
      <w:tr w:rsidR="008A5602" w:rsidRPr="00286216" w14:paraId="1A9685B2" w14:textId="77777777" w:rsidTr="00091AA5">
        <w:tc>
          <w:tcPr>
            <w:tcW w:w="576" w:type="dxa"/>
          </w:tcPr>
          <w:p w14:paraId="465EF8C5" w14:textId="77777777" w:rsidR="008A5602" w:rsidRPr="00286216" w:rsidRDefault="008A5602" w:rsidP="008A5602">
            <w:pPr>
              <w:pStyle w:val="StyleWisnow"/>
              <w:rPr>
                <w:color w:val="000000" w:themeColor="text1"/>
              </w:rPr>
            </w:pPr>
            <w:bookmarkStart w:id="3610" w:name="n3740" w:colFirst="0" w:colLast="0"/>
            <w:bookmarkEnd w:id="3609"/>
            <w:r w:rsidRPr="00286216">
              <w:rPr>
                <w:color w:val="000000" w:themeColor="text1"/>
              </w:rPr>
              <w:t>3740.</w:t>
            </w:r>
          </w:p>
        </w:tc>
        <w:tc>
          <w:tcPr>
            <w:tcW w:w="4818" w:type="dxa"/>
          </w:tcPr>
          <w:p w14:paraId="447A6E7D" w14:textId="77777777" w:rsidR="008A5602" w:rsidRPr="00286216" w:rsidRDefault="008A5602" w:rsidP="008A5602">
            <w:pPr>
              <w:pStyle w:val="StyleZakonu"/>
              <w:rPr>
                <w:color w:val="000000" w:themeColor="text1"/>
              </w:rPr>
            </w:pPr>
            <w:r w:rsidRPr="00286216">
              <w:rPr>
                <w:color w:val="000000" w:themeColor="text1"/>
              </w:rPr>
              <w:t>в абзацах другому - сьомому слова "фондова біржа" в усіх відмінках замінити словами "організовані ринки капіталу" у відповідному відмінку;</w:t>
            </w:r>
          </w:p>
        </w:tc>
        <w:tc>
          <w:tcPr>
            <w:tcW w:w="3686" w:type="dxa"/>
          </w:tcPr>
          <w:p w14:paraId="27ED91D8" w14:textId="77777777" w:rsidR="008A5602" w:rsidRPr="00286216" w:rsidRDefault="008A5602" w:rsidP="008A5602">
            <w:pPr>
              <w:pStyle w:val="StyleProp"/>
              <w:rPr>
                <w:color w:val="000000" w:themeColor="text1"/>
                <w:szCs w:val="18"/>
              </w:rPr>
            </w:pPr>
          </w:p>
        </w:tc>
        <w:tc>
          <w:tcPr>
            <w:tcW w:w="1987" w:type="dxa"/>
          </w:tcPr>
          <w:p w14:paraId="6000DC8A" w14:textId="77777777" w:rsidR="008A5602" w:rsidRPr="00286216" w:rsidRDefault="008A5602" w:rsidP="008A5602">
            <w:pPr>
              <w:pStyle w:val="StyleWisnow"/>
              <w:rPr>
                <w:color w:val="000000" w:themeColor="text1"/>
              </w:rPr>
            </w:pPr>
          </w:p>
        </w:tc>
        <w:tc>
          <w:tcPr>
            <w:tcW w:w="4818" w:type="dxa"/>
          </w:tcPr>
          <w:p w14:paraId="1C198881" w14:textId="3F6B9ECA" w:rsidR="008A5602" w:rsidRPr="00286216" w:rsidRDefault="008A5602" w:rsidP="008A5602">
            <w:pPr>
              <w:pStyle w:val="StyleZakonu"/>
              <w:rPr>
                <w:color w:val="000000" w:themeColor="text1"/>
              </w:rPr>
            </w:pPr>
            <w:r w:rsidRPr="00286216">
              <w:rPr>
                <w:color w:val="000000" w:themeColor="text1"/>
              </w:rPr>
              <w:t>в абзацах другому - сьомому слова "фондова біржа" в усіх відмінках замінити словами "організовані ринки капіталу" у відповідному відмінку;</w:t>
            </w:r>
          </w:p>
        </w:tc>
      </w:tr>
      <w:tr w:rsidR="008A5602" w:rsidRPr="00286216" w14:paraId="37179CC3" w14:textId="77777777" w:rsidTr="00091AA5">
        <w:tc>
          <w:tcPr>
            <w:tcW w:w="576" w:type="dxa"/>
          </w:tcPr>
          <w:p w14:paraId="1B93C66C" w14:textId="77777777" w:rsidR="008A5602" w:rsidRPr="00286216" w:rsidRDefault="008A5602" w:rsidP="008A5602">
            <w:pPr>
              <w:pStyle w:val="StyleWisnow"/>
              <w:rPr>
                <w:color w:val="000000" w:themeColor="text1"/>
              </w:rPr>
            </w:pPr>
            <w:bookmarkStart w:id="3611" w:name="n3741" w:colFirst="0" w:colLast="0"/>
            <w:bookmarkEnd w:id="3610"/>
            <w:r w:rsidRPr="00286216">
              <w:rPr>
                <w:color w:val="000000" w:themeColor="text1"/>
              </w:rPr>
              <w:t>3741.</w:t>
            </w:r>
          </w:p>
        </w:tc>
        <w:tc>
          <w:tcPr>
            <w:tcW w:w="4818" w:type="dxa"/>
          </w:tcPr>
          <w:p w14:paraId="0F2FDF06" w14:textId="77777777" w:rsidR="008A5602" w:rsidRPr="00286216" w:rsidRDefault="008A5602" w:rsidP="008A5602">
            <w:pPr>
              <w:pStyle w:val="StyleZakonu"/>
              <w:rPr>
                <w:color w:val="000000" w:themeColor="text1"/>
              </w:rPr>
            </w:pPr>
            <w:r w:rsidRPr="00286216">
              <w:rPr>
                <w:color w:val="000000" w:themeColor="text1"/>
              </w:rPr>
              <w:t>в абзаці четвертому слово "однієї" виключити";</w:t>
            </w:r>
          </w:p>
        </w:tc>
        <w:tc>
          <w:tcPr>
            <w:tcW w:w="3686" w:type="dxa"/>
          </w:tcPr>
          <w:p w14:paraId="3A8BAF17" w14:textId="77777777" w:rsidR="008A5602" w:rsidRPr="00286216" w:rsidRDefault="008A5602" w:rsidP="008A5602">
            <w:pPr>
              <w:pStyle w:val="StyleProp"/>
              <w:rPr>
                <w:color w:val="000000" w:themeColor="text1"/>
                <w:szCs w:val="18"/>
              </w:rPr>
            </w:pPr>
          </w:p>
        </w:tc>
        <w:tc>
          <w:tcPr>
            <w:tcW w:w="1987" w:type="dxa"/>
          </w:tcPr>
          <w:p w14:paraId="1BC8CAE4" w14:textId="77777777" w:rsidR="008A5602" w:rsidRPr="00286216" w:rsidRDefault="008A5602" w:rsidP="008A5602">
            <w:pPr>
              <w:pStyle w:val="StyleWisnow"/>
              <w:rPr>
                <w:color w:val="000000" w:themeColor="text1"/>
              </w:rPr>
            </w:pPr>
          </w:p>
        </w:tc>
        <w:tc>
          <w:tcPr>
            <w:tcW w:w="4818" w:type="dxa"/>
          </w:tcPr>
          <w:p w14:paraId="011C55E3" w14:textId="56E56A50" w:rsidR="008A5602" w:rsidRPr="00286216" w:rsidRDefault="008A5602" w:rsidP="008A5602">
            <w:pPr>
              <w:pStyle w:val="StyleZakonu"/>
              <w:rPr>
                <w:color w:val="000000" w:themeColor="text1"/>
              </w:rPr>
            </w:pPr>
            <w:r w:rsidRPr="00286216">
              <w:rPr>
                <w:color w:val="000000" w:themeColor="text1"/>
              </w:rPr>
              <w:t>в абзаці четвертому слово "однієї" виключити;</w:t>
            </w:r>
          </w:p>
        </w:tc>
      </w:tr>
      <w:tr w:rsidR="008A5602" w:rsidRPr="00286216" w14:paraId="35DCC71E" w14:textId="77777777" w:rsidTr="00091AA5">
        <w:tc>
          <w:tcPr>
            <w:tcW w:w="576" w:type="dxa"/>
          </w:tcPr>
          <w:p w14:paraId="1FE5C0A1" w14:textId="77777777" w:rsidR="008A5602" w:rsidRPr="00286216" w:rsidRDefault="008A5602" w:rsidP="008A5602">
            <w:pPr>
              <w:pStyle w:val="StyleWisnow"/>
              <w:rPr>
                <w:color w:val="000000" w:themeColor="text1"/>
              </w:rPr>
            </w:pPr>
            <w:bookmarkStart w:id="3612" w:name="n3742" w:colFirst="0" w:colLast="0"/>
            <w:bookmarkEnd w:id="3611"/>
            <w:r w:rsidRPr="00286216">
              <w:rPr>
                <w:color w:val="000000" w:themeColor="text1"/>
              </w:rPr>
              <w:t>3742.</w:t>
            </w:r>
          </w:p>
        </w:tc>
        <w:tc>
          <w:tcPr>
            <w:tcW w:w="4818" w:type="dxa"/>
          </w:tcPr>
          <w:p w14:paraId="4C1BB2FC" w14:textId="77777777" w:rsidR="008A5602" w:rsidRPr="00286216" w:rsidRDefault="008A5602" w:rsidP="008A5602">
            <w:pPr>
              <w:pStyle w:val="StyleZakonu"/>
              <w:rPr>
                <w:color w:val="000000" w:themeColor="text1"/>
              </w:rPr>
            </w:pPr>
            <w:r w:rsidRPr="00286216">
              <w:rPr>
                <w:color w:val="000000" w:themeColor="text1"/>
              </w:rPr>
              <w:t>доповнити частину після абзацу сьомого новим абзацом такого змісту:</w:t>
            </w:r>
          </w:p>
        </w:tc>
        <w:tc>
          <w:tcPr>
            <w:tcW w:w="3686" w:type="dxa"/>
          </w:tcPr>
          <w:p w14:paraId="5DAE46DC" w14:textId="77777777" w:rsidR="008A5602" w:rsidRPr="00286216" w:rsidRDefault="008A5602" w:rsidP="008A5602">
            <w:pPr>
              <w:pStyle w:val="StyleProp"/>
              <w:rPr>
                <w:color w:val="000000" w:themeColor="text1"/>
                <w:szCs w:val="18"/>
              </w:rPr>
            </w:pPr>
          </w:p>
        </w:tc>
        <w:tc>
          <w:tcPr>
            <w:tcW w:w="1987" w:type="dxa"/>
          </w:tcPr>
          <w:p w14:paraId="01E1538C" w14:textId="77777777" w:rsidR="008A5602" w:rsidRPr="00286216" w:rsidRDefault="008A5602" w:rsidP="008A5602">
            <w:pPr>
              <w:pStyle w:val="StyleWisnow"/>
              <w:rPr>
                <w:color w:val="000000" w:themeColor="text1"/>
              </w:rPr>
            </w:pPr>
          </w:p>
        </w:tc>
        <w:tc>
          <w:tcPr>
            <w:tcW w:w="4818" w:type="dxa"/>
          </w:tcPr>
          <w:p w14:paraId="3C4ECB5F" w14:textId="51DA0D69" w:rsidR="008A5602" w:rsidRPr="00286216" w:rsidRDefault="008A5602" w:rsidP="008A5602">
            <w:pPr>
              <w:pStyle w:val="StyleZakonu"/>
              <w:rPr>
                <w:color w:val="000000" w:themeColor="text1"/>
              </w:rPr>
            </w:pPr>
            <w:r w:rsidRPr="00286216">
              <w:rPr>
                <w:color w:val="000000" w:themeColor="text1"/>
              </w:rPr>
              <w:t>після абзацу сьомого доповнити новим абзацом такого змісту:</w:t>
            </w:r>
          </w:p>
        </w:tc>
      </w:tr>
      <w:tr w:rsidR="008A5602" w:rsidRPr="00286216" w14:paraId="6B533D5E" w14:textId="77777777" w:rsidTr="00091AA5">
        <w:tc>
          <w:tcPr>
            <w:tcW w:w="576" w:type="dxa"/>
          </w:tcPr>
          <w:p w14:paraId="71CF9EF0" w14:textId="77777777" w:rsidR="008A5602" w:rsidRPr="00286216" w:rsidRDefault="008A5602" w:rsidP="008A5602">
            <w:pPr>
              <w:pStyle w:val="StyleWisnow"/>
              <w:rPr>
                <w:color w:val="000000" w:themeColor="text1"/>
              </w:rPr>
            </w:pPr>
            <w:bookmarkStart w:id="3613" w:name="n3743" w:colFirst="0" w:colLast="0"/>
            <w:bookmarkEnd w:id="3612"/>
            <w:r w:rsidRPr="00286216">
              <w:rPr>
                <w:color w:val="000000" w:themeColor="text1"/>
              </w:rPr>
              <w:t>3743.</w:t>
            </w:r>
          </w:p>
        </w:tc>
        <w:tc>
          <w:tcPr>
            <w:tcW w:w="4818" w:type="dxa"/>
          </w:tcPr>
          <w:p w14:paraId="4511639C" w14:textId="77777777" w:rsidR="008A5602" w:rsidRPr="00286216" w:rsidRDefault="008A5602" w:rsidP="008A5602">
            <w:pPr>
              <w:pStyle w:val="StyleZakonu"/>
              <w:rPr>
                <w:color w:val="000000" w:themeColor="text1"/>
              </w:rPr>
            </w:pPr>
            <w:r w:rsidRPr="00286216">
              <w:rPr>
                <w:color w:val="000000" w:themeColor="text1"/>
              </w:rPr>
              <w:t xml:space="preserve">"документів, визначених Комісією, у разі якщо стороною правочину щодо цінних паперів, що </w:t>
            </w:r>
            <w:r w:rsidRPr="00286216">
              <w:rPr>
                <w:color w:val="000000" w:themeColor="text1"/>
              </w:rPr>
              <w:lastRenderedPageBreak/>
              <w:t>вчиняються поза організованим ринком капіталу без додержання при розрахунках принципу "поставка цінних паперів проти оплати" є клієнт (клієнт клієнта) номінального утримувача; ".</w:t>
            </w:r>
          </w:p>
        </w:tc>
        <w:tc>
          <w:tcPr>
            <w:tcW w:w="3686" w:type="dxa"/>
          </w:tcPr>
          <w:p w14:paraId="47272C6A" w14:textId="77777777" w:rsidR="008A5602" w:rsidRPr="00286216" w:rsidRDefault="008A5602" w:rsidP="008A5602">
            <w:pPr>
              <w:pStyle w:val="StyleProp"/>
              <w:rPr>
                <w:color w:val="000000" w:themeColor="text1"/>
                <w:szCs w:val="18"/>
              </w:rPr>
            </w:pPr>
          </w:p>
        </w:tc>
        <w:tc>
          <w:tcPr>
            <w:tcW w:w="1987" w:type="dxa"/>
          </w:tcPr>
          <w:p w14:paraId="44DFC90E" w14:textId="77777777" w:rsidR="008A5602" w:rsidRPr="00286216" w:rsidRDefault="008A5602" w:rsidP="008A5602">
            <w:pPr>
              <w:pStyle w:val="StyleWisnow"/>
              <w:rPr>
                <w:color w:val="000000" w:themeColor="text1"/>
              </w:rPr>
            </w:pPr>
          </w:p>
        </w:tc>
        <w:tc>
          <w:tcPr>
            <w:tcW w:w="4818" w:type="dxa"/>
          </w:tcPr>
          <w:p w14:paraId="5831032A" w14:textId="3541482B" w:rsidR="008A5602" w:rsidRPr="00286216" w:rsidRDefault="008A5602" w:rsidP="008A5602">
            <w:pPr>
              <w:pStyle w:val="StyleZakonu"/>
              <w:rPr>
                <w:color w:val="000000" w:themeColor="text1"/>
              </w:rPr>
            </w:pPr>
            <w:r w:rsidRPr="00286216">
              <w:rPr>
                <w:color w:val="000000" w:themeColor="text1"/>
              </w:rPr>
              <w:t xml:space="preserve">"документів, визначених Комісією, у разі якщо стороною правочину щодо цінних паперів, що </w:t>
            </w:r>
            <w:r w:rsidRPr="00286216">
              <w:rPr>
                <w:color w:val="000000" w:themeColor="text1"/>
              </w:rPr>
              <w:lastRenderedPageBreak/>
              <w:t>вчиняються поза організованим ринком капіталу без додержання при розрахунках принципу "поставка цінних паперів проти оплати" є клієнт (клієнт клієнта) номінального утримувача".</w:t>
            </w:r>
          </w:p>
        </w:tc>
      </w:tr>
      <w:tr w:rsidR="008A5602" w:rsidRPr="00286216" w14:paraId="231320E4" w14:textId="77777777" w:rsidTr="00091AA5">
        <w:tc>
          <w:tcPr>
            <w:tcW w:w="576" w:type="dxa"/>
          </w:tcPr>
          <w:p w14:paraId="73663A8D" w14:textId="77777777" w:rsidR="008A5602" w:rsidRPr="00286216" w:rsidRDefault="008A5602" w:rsidP="008A5602">
            <w:pPr>
              <w:pStyle w:val="StyleWisnow"/>
              <w:rPr>
                <w:color w:val="000000" w:themeColor="text1"/>
              </w:rPr>
            </w:pPr>
            <w:bookmarkStart w:id="3614" w:name="n3744" w:colFirst="0" w:colLast="0"/>
            <w:bookmarkEnd w:id="3613"/>
            <w:r w:rsidRPr="00286216">
              <w:rPr>
                <w:color w:val="000000" w:themeColor="text1"/>
              </w:rPr>
              <w:lastRenderedPageBreak/>
              <w:t>3744.</w:t>
            </w:r>
          </w:p>
        </w:tc>
        <w:tc>
          <w:tcPr>
            <w:tcW w:w="4818" w:type="dxa"/>
          </w:tcPr>
          <w:p w14:paraId="33E139B8" w14:textId="77777777" w:rsidR="008A5602" w:rsidRPr="00286216" w:rsidRDefault="008A5602" w:rsidP="008A5602">
            <w:pPr>
              <w:pStyle w:val="StyleZakonu"/>
              <w:rPr>
                <w:color w:val="000000" w:themeColor="text1"/>
              </w:rPr>
            </w:pPr>
            <w:r w:rsidRPr="00286216">
              <w:rPr>
                <w:color w:val="000000" w:themeColor="text1"/>
              </w:rPr>
              <w:t>У зв’язку з цим абзаци восьмий-дванадцятий вважати абзацами дев’ятим - тринадцятим, відповідно;</w:t>
            </w:r>
          </w:p>
        </w:tc>
        <w:tc>
          <w:tcPr>
            <w:tcW w:w="3686" w:type="dxa"/>
          </w:tcPr>
          <w:p w14:paraId="6270237B" w14:textId="77777777" w:rsidR="008A5602" w:rsidRPr="00286216" w:rsidRDefault="008A5602" w:rsidP="008A5602">
            <w:pPr>
              <w:pStyle w:val="StyleProp"/>
              <w:rPr>
                <w:color w:val="000000" w:themeColor="text1"/>
                <w:szCs w:val="18"/>
              </w:rPr>
            </w:pPr>
          </w:p>
        </w:tc>
        <w:tc>
          <w:tcPr>
            <w:tcW w:w="1987" w:type="dxa"/>
          </w:tcPr>
          <w:p w14:paraId="030E0525" w14:textId="77777777" w:rsidR="008A5602" w:rsidRPr="00286216" w:rsidRDefault="008A5602" w:rsidP="008A5602">
            <w:pPr>
              <w:pStyle w:val="StyleWisnow"/>
              <w:rPr>
                <w:color w:val="000000" w:themeColor="text1"/>
              </w:rPr>
            </w:pPr>
          </w:p>
        </w:tc>
        <w:tc>
          <w:tcPr>
            <w:tcW w:w="4818" w:type="dxa"/>
          </w:tcPr>
          <w:p w14:paraId="4BE81FA7" w14:textId="0467F8B0" w:rsidR="008A5602" w:rsidRPr="00286216" w:rsidRDefault="008A5602" w:rsidP="008A5602">
            <w:pPr>
              <w:pStyle w:val="StyleZakonu"/>
              <w:rPr>
                <w:color w:val="000000" w:themeColor="text1"/>
              </w:rPr>
            </w:pPr>
            <w:r w:rsidRPr="00286216">
              <w:rPr>
                <w:color w:val="000000" w:themeColor="text1"/>
              </w:rPr>
              <w:t>У зв’язку з цим абзаци восьмий-дванадцятий відповідно вважати абзацами дев’ятим - тринадцятим;</w:t>
            </w:r>
          </w:p>
        </w:tc>
      </w:tr>
      <w:tr w:rsidR="008A5602" w:rsidRPr="00286216" w14:paraId="2EE116D0" w14:textId="77777777" w:rsidTr="00091AA5">
        <w:tc>
          <w:tcPr>
            <w:tcW w:w="576" w:type="dxa"/>
          </w:tcPr>
          <w:p w14:paraId="2FE17F6E" w14:textId="77777777" w:rsidR="008A5602" w:rsidRPr="00286216" w:rsidRDefault="008A5602" w:rsidP="008A5602">
            <w:pPr>
              <w:pStyle w:val="StyleWisnow"/>
              <w:rPr>
                <w:color w:val="000000" w:themeColor="text1"/>
              </w:rPr>
            </w:pPr>
            <w:bookmarkStart w:id="3615" w:name="n3745" w:colFirst="0" w:colLast="0"/>
            <w:bookmarkEnd w:id="3614"/>
            <w:r w:rsidRPr="00286216">
              <w:rPr>
                <w:color w:val="000000" w:themeColor="text1"/>
              </w:rPr>
              <w:t>3745.</w:t>
            </w:r>
          </w:p>
        </w:tc>
        <w:tc>
          <w:tcPr>
            <w:tcW w:w="4818" w:type="dxa"/>
          </w:tcPr>
          <w:p w14:paraId="78E26611" w14:textId="77777777" w:rsidR="008A5602" w:rsidRPr="00286216" w:rsidRDefault="008A5602" w:rsidP="008A5602">
            <w:pPr>
              <w:pStyle w:val="StyleZakonu"/>
              <w:rPr>
                <w:color w:val="000000" w:themeColor="text1"/>
              </w:rPr>
            </w:pPr>
            <w:r w:rsidRPr="00286216">
              <w:rPr>
                <w:color w:val="000000" w:themeColor="text1"/>
              </w:rPr>
              <w:t>в) абзац перший частини третьої викласти в такій редакції:</w:t>
            </w:r>
          </w:p>
        </w:tc>
        <w:tc>
          <w:tcPr>
            <w:tcW w:w="3686" w:type="dxa"/>
          </w:tcPr>
          <w:p w14:paraId="2072827A" w14:textId="77777777" w:rsidR="008A5602" w:rsidRPr="00286216" w:rsidRDefault="008A5602" w:rsidP="008A5602">
            <w:pPr>
              <w:pStyle w:val="StyleProp"/>
              <w:rPr>
                <w:color w:val="000000" w:themeColor="text1"/>
                <w:szCs w:val="18"/>
              </w:rPr>
            </w:pPr>
          </w:p>
        </w:tc>
        <w:tc>
          <w:tcPr>
            <w:tcW w:w="1987" w:type="dxa"/>
          </w:tcPr>
          <w:p w14:paraId="6404562A" w14:textId="77777777" w:rsidR="008A5602" w:rsidRPr="00286216" w:rsidRDefault="008A5602" w:rsidP="008A5602">
            <w:pPr>
              <w:pStyle w:val="StyleWisnow"/>
              <w:rPr>
                <w:color w:val="000000" w:themeColor="text1"/>
              </w:rPr>
            </w:pPr>
          </w:p>
        </w:tc>
        <w:tc>
          <w:tcPr>
            <w:tcW w:w="4818" w:type="dxa"/>
          </w:tcPr>
          <w:p w14:paraId="156A6CEA" w14:textId="36075FA4" w:rsidR="008A5602" w:rsidRPr="00286216" w:rsidRDefault="008A5602" w:rsidP="008A5602">
            <w:pPr>
              <w:pStyle w:val="StyleZakonu"/>
              <w:rPr>
                <w:color w:val="000000" w:themeColor="text1"/>
              </w:rPr>
            </w:pPr>
            <w:r w:rsidRPr="00286216">
              <w:rPr>
                <w:color w:val="000000" w:themeColor="text1"/>
              </w:rPr>
              <w:t>в) абзац перший частини третьої викласти в такій редакції:</w:t>
            </w:r>
          </w:p>
        </w:tc>
      </w:tr>
      <w:tr w:rsidR="008A5602" w:rsidRPr="00286216" w14:paraId="66C48262" w14:textId="77777777" w:rsidTr="00091AA5">
        <w:tc>
          <w:tcPr>
            <w:tcW w:w="576" w:type="dxa"/>
          </w:tcPr>
          <w:p w14:paraId="0C35002F" w14:textId="77777777" w:rsidR="008A5602" w:rsidRPr="00286216" w:rsidRDefault="008A5602" w:rsidP="008A5602">
            <w:pPr>
              <w:pStyle w:val="StyleWisnow"/>
              <w:rPr>
                <w:color w:val="000000" w:themeColor="text1"/>
              </w:rPr>
            </w:pPr>
            <w:bookmarkStart w:id="3616" w:name="n3746" w:colFirst="0" w:colLast="0"/>
            <w:bookmarkEnd w:id="3615"/>
            <w:r w:rsidRPr="00286216">
              <w:rPr>
                <w:color w:val="000000" w:themeColor="text1"/>
              </w:rPr>
              <w:t>3746.</w:t>
            </w:r>
          </w:p>
        </w:tc>
        <w:tc>
          <w:tcPr>
            <w:tcW w:w="4818" w:type="dxa"/>
          </w:tcPr>
          <w:p w14:paraId="6854BDA6" w14:textId="77777777" w:rsidR="008A5602" w:rsidRPr="00286216" w:rsidRDefault="008A5602" w:rsidP="008A5602">
            <w:pPr>
              <w:pStyle w:val="StyleZakonu"/>
              <w:rPr>
                <w:color w:val="000000" w:themeColor="text1"/>
              </w:rPr>
            </w:pPr>
            <w:r w:rsidRPr="00286216">
              <w:rPr>
                <w:color w:val="000000" w:themeColor="text1"/>
              </w:rPr>
              <w:t>"3. Внесення змін до системи депозитарного обліку стосовно здійснення розрахунків за правочинами щодо цінних паперів, вчинених на організованих ринках капіталу або поза ними, якщо проводяться розрахунки за принципом "поставка цінних паперів проти оплати", здійснюється Центральним депозитарієм або Національним банком України (відповідно до компетенції, визначеної цим Законом) з наступним відображенням (за потреби) таких змін на рахунках у цінних паперах професійними учасниками депозитарної системи України та/або депозитаріями-кореспондентами в установленому Комісією порядку на підставі інформації від особи, що здійснює клірингову діяльність";</w:t>
            </w:r>
          </w:p>
        </w:tc>
        <w:tc>
          <w:tcPr>
            <w:tcW w:w="3686" w:type="dxa"/>
          </w:tcPr>
          <w:p w14:paraId="15FC7A73" w14:textId="77777777" w:rsidR="008A5602" w:rsidRPr="00286216" w:rsidRDefault="008A5602" w:rsidP="008A5602">
            <w:pPr>
              <w:pStyle w:val="StyleProp"/>
              <w:rPr>
                <w:color w:val="000000" w:themeColor="text1"/>
                <w:szCs w:val="18"/>
              </w:rPr>
            </w:pPr>
          </w:p>
        </w:tc>
        <w:tc>
          <w:tcPr>
            <w:tcW w:w="1987" w:type="dxa"/>
          </w:tcPr>
          <w:p w14:paraId="11F24BE5" w14:textId="77777777" w:rsidR="008A5602" w:rsidRPr="00286216" w:rsidRDefault="008A5602" w:rsidP="008A5602">
            <w:pPr>
              <w:pStyle w:val="StyleWisnow"/>
              <w:rPr>
                <w:color w:val="000000" w:themeColor="text1"/>
              </w:rPr>
            </w:pPr>
          </w:p>
        </w:tc>
        <w:tc>
          <w:tcPr>
            <w:tcW w:w="4818" w:type="dxa"/>
          </w:tcPr>
          <w:p w14:paraId="175659EC" w14:textId="41912469" w:rsidR="008A5602" w:rsidRPr="00286216" w:rsidRDefault="008A5602" w:rsidP="008A5602">
            <w:pPr>
              <w:pStyle w:val="StyleZakonu"/>
              <w:rPr>
                <w:color w:val="000000" w:themeColor="text1"/>
              </w:rPr>
            </w:pPr>
            <w:r w:rsidRPr="00286216">
              <w:rPr>
                <w:color w:val="000000" w:themeColor="text1"/>
              </w:rPr>
              <w:t>"3. Внесення змін до системи депозитарного обліку стосовно здійснення розрахунків за правочинами щодо цінних паперів, вчинених на організованих ринках капіталу або поза ними, якщо проводяться розрахунки за принципом "поставка цінних паперів проти оплати", здійснюється Центральним депозитарієм або Національним банком України (відповідно до компетенції, визначеної цим Законом) з наступним відображенням (за потреби) таких змін на рахунках у цінних паперах професійними учасниками депозитарної системи України та/або депозитаріями-кореспондентами в установленому Комісією порядку на підставі інформації від особи, що здійснює клірингову діяльність";</w:t>
            </w:r>
          </w:p>
        </w:tc>
      </w:tr>
      <w:tr w:rsidR="008A5602" w:rsidRPr="00286216" w14:paraId="30951D99" w14:textId="77777777" w:rsidTr="00091AA5">
        <w:tc>
          <w:tcPr>
            <w:tcW w:w="576" w:type="dxa"/>
          </w:tcPr>
          <w:p w14:paraId="1BCAC6AA" w14:textId="77777777" w:rsidR="008A5602" w:rsidRPr="00286216" w:rsidRDefault="008A5602" w:rsidP="008A5602">
            <w:pPr>
              <w:pStyle w:val="StyleWisnow"/>
              <w:rPr>
                <w:color w:val="000000" w:themeColor="text1"/>
              </w:rPr>
            </w:pPr>
            <w:bookmarkStart w:id="3617" w:name="n3747" w:colFirst="0" w:colLast="0"/>
            <w:bookmarkEnd w:id="3616"/>
            <w:r w:rsidRPr="00286216">
              <w:rPr>
                <w:color w:val="000000" w:themeColor="text1"/>
              </w:rPr>
              <w:t>3747.</w:t>
            </w:r>
          </w:p>
        </w:tc>
        <w:tc>
          <w:tcPr>
            <w:tcW w:w="4818" w:type="dxa"/>
          </w:tcPr>
          <w:p w14:paraId="4D343229" w14:textId="77777777" w:rsidR="008A5602" w:rsidRPr="00286216" w:rsidRDefault="008A5602" w:rsidP="008A5602">
            <w:pPr>
              <w:pStyle w:val="StyleZakonu"/>
              <w:rPr>
                <w:color w:val="000000" w:themeColor="text1"/>
              </w:rPr>
            </w:pPr>
            <w:r w:rsidRPr="00286216">
              <w:rPr>
                <w:color w:val="000000" w:themeColor="text1"/>
              </w:rPr>
              <w:t>г) у першому реченні абзацу другого частини четвертої та абзаці другому частини п’ятої слова "фондовій біржі" замінити словами "організованих ринках капіталу";</w:t>
            </w:r>
          </w:p>
        </w:tc>
        <w:tc>
          <w:tcPr>
            <w:tcW w:w="3686" w:type="dxa"/>
          </w:tcPr>
          <w:p w14:paraId="667536E5" w14:textId="77777777" w:rsidR="008A5602" w:rsidRPr="00286216" w:rsidRDefault="008A5602" w:rsidP="008A5602">
            <w:pPr>
              <w:pStyle w:val="StyleProp"/>
              <w:rPr>
                <w:color w:val="000000" w:themeColor="text1"/>
              </w:rPr>
            </w:pPr>
          </w:p>
        </w:tc>
        <w:tc>
          <w:tcPr>
            <w:tcW w:w="1987" w:type="dxa"/>
          </w:tcPr>
          <w:p w14:paraId="39C7CD87" w14:textId="77777777" w:rsidR="008A5602" w:rsidRPr="00286216" w:rsidRDefault="008A5602" w:rsidP="008A5602">
            <w:pPr>
              <w:pStyle w:val="StyleWisnow"/>
              <w:rPr>
                <w:color w:val="000000" w:themeColor="text1"/>
              </w:rPr>
            </w:pPr>
          </w:p>
        </w:tc>
        <w:tc>
          <w:tcPr>
            <w:tcW w:w="4818" w:type="dxa"/>
          </w:tcPr>
          <w:p w14:paraId="412481D2" w14:textId="2E33DD23" w:rsidR="008A5602" w:rsidRPr="00286216" w:rsidRDefault="008A5602" w:rsidP="008A5602">
            <w:pPr>
              <w:pStyle w:val="StyleZakonu"/>
              <w:rPr>
                <w:color w:val="000000" w:themeColor="text1"/>
              </w:rPr>
            </w:pPr>
            <w:r w:rsidRPr="00286216">
              <w:rPr>
                <w:color w:val="000000" w:themeColor="text1"/>
              </w:rPr>
              <w:t>г) у першому реченні абзацу другого частини четвертої та абзаці другому частини п’ятої слова "фондовій біржі" замінити словами "організованих ринках капіталу";</w:t>
            </w:r>
          </w:p>
        </w:tc>
      </w:tr>
      <w:tr w:rsidR="008A5602" w:rsidRPr="00286216" w14:paraId="1F0CFE13" w14:textId="77777777" w:rsidTr="00091AA5">
        <w:tc>
          <w:tcPr>
            <w:tcW w:w="576" w:type="dxa"/>
          </w:tcPr>
          <w:p w14:paraId="639D34EC" w14:textId="77777777" w:rsidR="008A5602" w:rsidRPr="00286216" w:rsidRDefault="008A5602" w:rsidP="008A5602">
            <w:pPr>
              <w:pStyle w:val="StyleWisnow"/>
              <w:rPr>
                <w:color w:val="000000" w:themeColor="text1"/>
              </w:rPr>
            </w:pPr>
            <w:bookmarkStart w:id="3618" w:name="n3748" w:colFirst="0" w:colLast="0"/>
            <w:bookmarkEnd w:id="3617"/>
            <w:r w:rsidRPr="00286216">
              <w:rPr>
                <w:color w:val="000000" w:themeColor="text1"/>
              </w:rPr>
              <w:t>3748.</w:t>
            </w:r>
          </w:p>
        </w:tc>
        <w:tc>
          <w:tcPr>
            <w:tcW w:w="4818" w:type="dxa"/>
          </w:tcPr>
          <w:p w14:paraId="6416B010" w14:textId="09C0D6C5" w:rsidR="008A5602" w:rsidRPr="00286216" w:rsidRDefault="008A5602" w:rsidP="008A5602">
            <w:pPr>
              <w:pStyle w:val="StyleZakonu"/>
              <w:rPr>
                <w:color w:val="000000" w:themeColor="text1"/>
              </w:rPr>
            </w:pPr>
            <w:r w:rsidRPr="00286216">
              <w:rPr>
                <w:color w:val="000000" w:themeColor="text1"/>
              </w:rPr>
              <w:t>д) у другому реченні абзацу другого частини четвертої слова "фондової біржі" замінити словами "оператора організованого ринку капіталу";</w:t>
            </w:r>
          </w:p>
        </w:tc>
        <w:tc>
          <w:tcPr>
            <w:tcW w:w="3686" w:type="dxa"/>
          </w:tcPr>
          <w:p w14:paraId="556D393E" w14:textId="37E3E417"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5A39DAC9" w14:textId="77777777" w:rsidR="008A5602" w:rsidRPr="00286216" w:rsidRDefault="008A5602" w:rsidP="008A5602">
            <w:pPr>
              <w:pStyle w:val="StyleProp"/>
              <w:spacing w:line="180" w:lineRule="exact"/>
              <w:rPr>
                <w:color w:val="000000" w:themeColor="text1"/>
              </w:rPr>
            </w:pPr>
            <w:r w:rsidRPr="00286216">
              <w:rPr>
                <w:color w:val="000000" w:themeColor="text1"/>
              </w:rPr>
              <w:t>Доповнити підпункт 4 пункту 44 підпунктом в такій редакції:</w:t>
            </w:r>
          </w:p>
          <w:p w14:paraId="788B33FF" w14:textId="77777777" w:rsidR="008A5602" w:rsidRPr="00286216" w:rsidRDefault="008A5602" w:rsidP="008A5602">
            <w:pPr>
              <w:pStyle w:val="StyleProp"/>
              <w:spacing w:line="180" w:lineRule="exact"/>
              <w:rPr>
                <w:color w:val="000000" w:themeColor="text1"/>
              </w:rPr>
            </w:pPr>
            <w:r w:rsidRPr="00286216">
              <w:rPr>
                <w:color w:val="000000" w:themeColor="text1"/>
              </w:rPr>
              <w:t>«е) абзац четвертий частини шостої викласти в такій редакції:</w:t>
            </w:r>
          </w:p>
          <w:p w14:paraId="0F56BBD2" w14:textId="77777777" w:rsidR="008A5602" w:rsidRPr="00286216" w:rsidRDefault="008A5602" w:rsidP="008A5602">
            <w:pPr>
              <w:pStyle w:val="StyleProp"/>
              <w:spacing w:line="180" w:lineRule="exact"/>
              <w:rPr>
                <w:color w:val="000000" w:themeColor="text1"/>
              </w:rPr>
            </w:pPr>
            <w:r w:rsidRPr="00286216">
              <w:rPr>
                <w:color w:val="000000" w:themeColor="text1"/>
              </w:rPr>
              <w:t>«Зняття обмеження прав на цінні папери стосовно цінних паперів певного власника, що були встановлені для здійснення/забезпечення розрахунків за правочинами щодо цінних паперів, вчиненими на організованих ринках капіталу або поза ними,  розрахунки за якими здійснює/забезпечує особа, яка провадить клірингову діяльність, здійснюється виключно на підставі інформації від особи, яка провадить клірингову діяльність.»</w:t>
            </w:r>
          </w:p>
        </w:tc>
        <w:tc>
          <w:tcPr>
            <w:tcW w:w="1987" w:type="dxa"/>
          </w:tcPr>
          <w:p w14:paraId="0D701646"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141AD6C7" w14:textId="77777777" w:rsidR="008A5602" w:rsidRPr="00286216" w:rsidRDefault="008A5602" w:rsidP="008A5602">
            <w:pPr>
              <w:pStyle w:val="StyleZakonu"/>
              <w:rPr>
                <w:color w:val="000000" w:themeColor="text1"/>
              </w:rPr>
            </w:pPr>
            <w:r w:rsidRPr="00286216">
              <w:rPr>
                <w:color w:val="000000" w:themeColor="text1"/>
              </w:rPr>
              <w:t>ґ) у другому реченні абзацу другого частини четвертої слова "фондової біржі" замінити словами "оператора організованого ринку капіталу";</w:t>
            </w:r>
          </w:p>
          <w:p w14:paraId="64AE53CD" w14:textId="77777777" w:rsidR="008A5602" w:rsidRPr="00286216" w:rsidRDefault="008A5602" w:rsidP="008A5602">
            <w:pPr>
              <w:pStyle w:val="StyleZakonu"/>
              <w:rPr>
                <w:color w:val="000000" w:themeColor="text1"/>
              </w:rPr>
            </w:pPr>
            <w:r w:rsidRPr="00286216">
              <w:rPr>
                <w:color w:val="000000" w:themeColor="text1"/>
              </w:rPr>
              <w:t>д) абзац четвертий частини шостої викласти в такій редакції:</w:t>
            </w:r>
          </w:p>
          <w:p w14:paraId="406C8A93" w14:textId="0ED1D291" w:rsidR="008A5602" w:rsidRPr="00286216" w:rsidRDefault="008A5602" w:rsidP="008A5602">
            <w:pPr>
              <w:pStyle w:val="StyleZakonu"/>
              <w:rPr>
                <w:color w:val="000000" w:themeColor="text1"/>
              </w:rPr>
            </w:pPr>
            <w:r w:rsidRPr="00286216">
              <w:rPr>
                <w:color w:val="000000" w:themeColor="text1"/>
              </w:rPr>
              <w:t>"Зняття обмеження прав на цінні папери стосовно цінних паперів певного власника, що були встановлені для здійснення/забезпечення розрахунків за правочинами щодо цінних паперів, вчиненими на організованих ринках капіталу або поза ними,  розрахунки за якими здійснює/забезпечує особа, яка провадить клірингову діяльність, здійснюється виключно на підставі інформації від особи, яка провадить клірингову діяльність";</w:t>
            </w:r>
          </w:p>
        </w:tc>
      </w:tr>
      <w:tr w:rsidR="008A5602" w:rsidRPr="00286216" w14:paraId="3158EEA5" w14:textId="77777777" w:rsidTr="00091AA5">
        <w:tc>
          <w:tcPr>
            <w:tcW w:w="576" w:type="dxa"/>
          </w:tcPr>
          <w:p w14:paraId="507BDC1E" w14:textId="77777777" w:rsidR="008A5602" w:rsidRPr="00286216" w:rsidRDefault="008A5602" w:rsidP="008A5602">
            <w:pPr>
              <w:pStyle w:val="StyleWisnow"/>
              <w:rPr>
                <w:color w:val="000000" w:themeColor="text1"/>
              </w:rPr>
            </w:pPr>
            <w:bookmarkStart w:id="3619" w:name="n3749" w:colFirst="0" w:colLast="0"/>
            <w:bookmarkEnd w:id="3618"/>
            <w:r w:rsidRPr="00286216">
              <w:rPr>
                <w:color w:val="000000" w:themeColor="text1"/>
              </w:rPr>
              <w:t>3749.</w:t>
            </w:r>
          </w:p>
        </w:tc>
        <w:tc>
          <w:tcPr>
            <w:tcW w:w="4818" w:type="dxa"/>
          </w:tcPr>
          <w:p w14:paraId="3AB85419" w14:textId="77777777" w:rsidR="008A5602" w:rsidRPr="00286216" w:rsidRDefault="008A5602" w:rsidP="008A5602">
            <w:pPr>
              <w:pStyle w:val="StyleZakonu"/>
              <w:rPr>
                <w:color w:val="000000" w:themeColor="text1"/>
              </w:rPr>
            </w:pPr>
            <w:r w:rsidRPr="00286216">
              <w:rPr>
                <w:color w:val="000000" w:themeColor="text1"/>
              </w:rPr>
              <w:t xml:space="preserve">ґ) в абзаці другому частини восьмої слова "на </w:t>
            </w:r>
            <w:r w:rsidRPr="00286216">
              <w:rPr>
                <w:color w:val="000000" w:themeColor="text1"/>
              </w:rPr>
              <w:lastRenderedPageBreak/>
              <w:t>фондовій біржі та поза фондовою біржею" замінити відповідно словами "на організованих ринках капіталу та поза ними";</w:t>
            </w:r>
          </w:p>
        </w:tc>
        <w:tc>
          <w:tcPr>
            <w:tcW w:w="3686" w:type="dxa"/>
          </w:tcPr>
          <w:p w14:paraId="4C7F1DD2" w14:textId="77777777" w:rsidR="008A5602" w:rsidRPr="00286216" w:rsidRDefault="008A5602" w:rsidP="008A5602">
            <w:pPr>
              <w:pStyle w:val="StyleProp"/>
              <w:rPr>
                <w:color w:val="000000" w:themeColor="text1"/>
              </w:rPr>
            </w:pPr>
          </w:p>
        </w:tc>
        <w:tc>
          <w:tcPr>
            <w:tcW w:w="1987" w:type="dxa"/>
          </w:tcPr>
          <w:p w14:paraId="43A7D9DB" w14:textId="77777777" w:rsidR="008A5602" w:rsidRPr="00286216" w:rsidRDefault="008A5602" w:rsidP="008A5602">
            <w:pPr>
              <w:pStyle w:val="StyleWisnow"/>
              <w:rPr>
                <w:color w:val="000000" w:themeColor="text1"/>
              </w:rPr>
            </w:pPr>
          </w:p>
        </w:tc>
        <w:tc>
          <w:tcPr>
            <w:tcW w:w="4818" w:type="dxa"/>
          </w:tcPr>
          <w:p w14:paraId="195D74DD" w14:textId="23BC2413" w:rsidR="008A5602" w:rsidRPr="00286216" w:rsidRDefault="008A5602" w:rsidP="008A5602">
            <w:pPr>
              <w:pStyle w:val="StyleZakonu"/>
              <w:rPr>
                <w:color w:val="000000" w:themeColor="text1"/>
              </w:rPr>
            </w:pPr>
            <w:r w:rsidRPr="00286216">
              <w:rPr>
                <w:color w:val="000000" w:themeColor="text1"/>
              </w:rPr>
              <w:t xml:space="preserve">е) в абзаці другому частини восьмої слова "на </w:t>
            </w:r>
            <w:r w:rsidRPr="00286216">
              <w:rPr>
                <w:color w:val="000000" w:themeColor="text1"/>
              </w:rPr>
              <w:lastRenderedPageBreak/>
              <w:t>фондовій біржі та поза фондовою біржею" замінити словами "на організованих ринках капіталу та поза ними";</w:t>
            </w:r>
          </w:p>
        </w:tc>
      </w:tr>
      <w:tr w:rsidR="008A5602" w:rsidRPr="00286216" w14:paraId="0247844B" w14:textId="77777777" w:rsidTr="00091AA5">
        <w:tc>
          <w:tcPr>
            <w:tcW w:w="576" w:type="dxa"/>
          </w:tcPr>
          <w:p w14:paraId="3BC7F7CC" w14:textId="77777777" w:rsidR="008A5602" w:rsidRPr="00286216" w:rsidRDefault="008A5602" w:rsidP="008A5602">
            <w:pPr>
              <w:pStyle w:val="StyleWisnow"/>
              <w:rPr>
                <w:color w:val="000000" w:themeColor="text1"/>
              </w:rPr>
            </w:pPr>
            <w:bookmarkStart w:id="3620" w:name="n3750" w:colFirst="0" w:colLast="0"/>
            <w:bookmarkEnd w:id="3619"/>
            <w:r w:rsidRPr="00286216">
              <w:rPr>
                <w:color w:val="000000" w:themeColor="text1"/>
              </w:rPr>
              <w:lastRenderedPageBreak/>
              <w:t>3750.</w:t>
            </w:r>
          </w:p>
        </w:tc>
        <w:tc>
          <w:tcPr>
            <w:tcW w:w="4818" w:type="dxa"/>
          </w:tcPr>
          <w:p w14:paraId="017A2E5F" w14:textId="77777777" w:rsidR="008A5602" w:rsidRPr="00286216" w:rsidRDefault="008A5602" w:rsidP="008A5602">
            <w:pPr>
              <w:pStyle w:val="StyleZakonu"/>
              <w:rPr>
                <w:color w:val="000000" w:themeColor="text1"/>
              </w:rPr>
            </w:pPr>
            <w:r w:rsidRPr="00286216">
              <w:rPr>
                <w:color w:val="000000" w:themeColor="text1"/>
              </w:rPr>
              <w:t>5) у статті 7:</w:t>
            </w:r>
          </w:p>
        </w:tc>
        <w:tc>
          <w:tcPr>
            <w:tcW w:w="3686" w:type="dxa"/>
          </w:tcPr>
          <w:p w14:paraId="47519D25" w14:textId="16060CCF"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1485</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21067BD9"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підпункт 5 пункту 44 викласти в такій редакції:</w:t>
            </w:r>
          </w:p>
          <w:p w14:paraId="10C9E5E3"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"5) в частині третій та шостій статті 7 слова «на фондовій біржі або поза фондовою біржою» замінити словами «на організованих ринках капіталу або поза ними»;</w:t>
            </w:r>
          </w:p>
        </w:tc>
        <w:tc>
          <w:tcPr>
            <w:tcW w:w="1987" w:type="dxa"/>
          </w:tcPr>
          <w:p w14:paraId="2C84F5D4"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03D7A0FC" w14:textId="0FC15BD2" w:rsidR="008A5602" w:rsidRPr="00286216" w:rsidRDefault="008A5602" w:rsidP="008A5602">
            <w:pPr>
              <w:pStyle w:val="StyleZakonu"/>
              <w:rPr>
                <w:color w:val="000000" w:themeColor="text1"/>
              </w:rPr>
            </w:pPr>
            <w:r w:rsidRPr="00286216">
              <w:rPr>
                <w:color w:val="000000" w:themeColor="text1"/>
              </w:rPr>
              <w:t xml:space="preserve">6) </w:t>
            </w:r>
            <w:r w:rsidRPr="00286216">
              <w:rPr>
                <w:color w:val="000000" w:themeColor="text1"/>
                <w:szCs w:val="18"/>
              </w:rPr>
              <w:t>у частинах третій та шостій статті 7 слова «на фондовій біржі або поза фондовою біржою» замінити словами «на організованих ринках капіталу або поза ними</w:t>
            </w:r>
            <w:r w:rsidRPr="00286216">
              <w:rPr>
                <w:color w:val="000000" w:themeColor="text1"/>
              </w:rPr>
              <w:t>;</w:t>
            </w:r>
          </w:p>
        </w:tc>
      </w:tr>
      <w:tr w:rsidR="008E6EDB" w:rsidRPr="00286216" w14:paraId="1815F364" w14:textId="77777777" w:rsidTr="00091AA5">
        <w:tc>
          <w:tcPr>
            <w:tcW w:w="576" w:type="dxa"/>
          </w:tcPr>
          <w:p w14:paraId="0CAAF330" w14:textId="77777777" w:rsidR="008E6EDB" w:rsidRPr="00286216" w:rsidRDefault="008E6EDB" w:rsidP="008E6EDB">
            <w:pPr>
              <w:pStyle w:val="StyleWisnow"/>
              <w:rPr>
                <w:color w:val="000000" w:themeColor="text1"/>
              </w:rPr>
            </w:pPr>
            <w:bookmarkStart w:id="3621" w:name="n3751" w:colFirst="0" w:colLast="0"/>
            <w:bookmarkEnd w:id="3620"/>
            <w:r w:rsidRPr="00286216">
              <w:rPr>
                <w:color w:val="000000" w:themeColor="text1"/>
              </w:rPr>
              <w:t>3751.</w:t>
            </w:r>
          </w:p>
        </w:tc>
        <w:tc>
          <w:tcPr>
            <w:tcW w:w="4818" w:type="dxa"/>
          </w:tcPr>
          <w:p w14:paraId="154025ED" w14:textId="77777777" w:rsidR="008E6EDB" w:rsidRPr="00286216" w:rsidRDefault="008E6EDB" w:rsidP="008E6EDB">
            <w:pPr>
              <w:pStyle w:val="StyleZakonu"/>
              <w:rPr>
                <w:color w:val="000000" w:themeColor="text1"/>
              </w:rPr>
            </w:pPr>
            <w:r w:rsidRPr="00286216">
              <w:rPr>
                <w:color w:val="000000" w:themeColor="text1"/>
              </w:rPr>
              <w:t>а) в частині третій слова "фондовій біржі" замінити словами "організованих ринках капіталу";</w:t>
            </w:r>
          </w:p>
        </w:tc>
        <w:tc>
          <w:tcPr>
            <w:tcW w:w="3686" w:type="dxa"/>
          </w:tcPr>
          <w:p w14:paraId="58FBA305" w14:textId="2D3EBF29"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8A9CEAB" w14:textId="77777777" w:rsidR="008E6EDB" w:rsidRPr="00286216" w:rsidRDefault="008E6EDB" w:rsidP="008A5602">
            <w:pPr>
              <w:pStyle w:val="StyleProp"/>
              <w:spacing w:line="180" w:lineRule="exact"/>
              <w:rPr>
                <w:color w:val="000000" w:themeColor="text1"/>
              </w:rPr>
            </w:pPr>
            <w:r w:rsidRPr="00286216">
              <w:rPr>
                <w:color w:val="000000" w:themeColor="text1"/>
              </w:rPr>
              <w:t>Текст підпункту "а" підпункту 5 пункту 44 викласти в такій редакції:</w:t>
            </w:r>
          </w:p>
          <w:p w14:paraId="356A622B" w14:textId="77777777" w:rsidR="008E6EDB" w:rsidRPr="00286216" w:rsidRDefault="008E6EDB" w:rsidP="008A5602">
            <w:pPr>
              <w:pStyle w:val="StyleProp"/>
              <w:spacing w:line="180" w:lineRule="exact"/>
              <w:rPr>
                <w:color w:val="000000" w:themeColor="text1"/>
              </w:rPr>
            </w:pPr>
            <w:r w:rsidRPr="00286216">
              <w:rPr>
                <w:color w:val="000000" w:themeColor="text1"/>
              </w:rPr>
              <w:t>"в частині третій та шостій слова «на фондовій біржі або поза фондовою біржою» замінити словами «на організованих ринках капіталу або поза ними;</w:t>
            </w:r>
          </w:p>
          <w:p w14:paraId="4D44E29D" w14:textId="77777777" w:rsidR="008E6EDB" w:rsidRPr="00286216" w:rsidRDefault="008E6EDB" w:rsidP="008A5602">
            <w:pPr>
              <w:pStyle w:val="StyleProp"/>
              <w:spacing w:line="180" w:lineRule="exact"/>
              <w:rPr>
                <w:color w:val="000000" w:themeColor="text1"/>
              </w:rPr>
            </w:pPr>
            <w:r w:rsidRPr="00286216">
              <w:rPr>
                <w:color w:val="000000" w:themeColor="text1"/>
              </w:rPr>
              <w:t>г) у частині третій:</w:t>
            </w:r>
          </w:p>
          <w:p w14:paraId="66B67674" w14:textId="77777777" w:rsidR="008E6EDB" w:rsidRPr="00286216" w:rsidRDefault="008E6EDB" w:rsidP="008A5602">
            <w:pPr>
              <w:pStyle w:val="StyleProp"/>
              <w:spacing w:line="180" w:lineRule="exact"/>
              <w:rPr>
                <w:color w:val="000000" w:themeColor="text1"/>
              </w:rPr>
            </w:pPr>
            <w:r w:rsidRPr="00286216">
              <w:rPr>
                <w:color w:val="000000" w:themeColor="text1"/>
              </w:rPr>
              <w:t>- слова «для продажу цінних паперів на фондовій біржі» замінити словами «для здійснення/забезпечення розрахунків за правочинами щодо цінних паперів, вчиненими на організованих ринках капіталу або поза ними, розрахунки за якими здійснює/забезпечує особа, яка провадить клірингову діяльність»;</w:t>
            </w:r>
          </w:p>
          <w:p w14:paraId="00EB1CAE" w14:textId="77777777" w:rsidR="008E6EDB" w:rsidRPr="00286216" w:rsidRDefault="008E6EDB" w:rsidP="008A5602">
            <w:pPr>
              <w:pStyle w:val="StyleProp"/>
              <w:spacing w:line="180" w:lineRule="exact"/>
              <w:rPr>
                <w:color w:val="000000" w:themeColor="text1"/>
              </w:rPr>
            </w:pPr>
            <w:r w:rsidRPr="00286216">
              <w:rPr>
                <w:color w:val="000000" w:themeColor="text1"/>
              </w:rPr>
              <w:t>-у другому абзаці слово «державного» виключити;</w:t>
            </w:r>
          </w:p>
          <w:p w14:paraId="56B7FF33" w14:textId="77777777" w:rsidR="008E6EDB" w:rsidRPr="00286216" w:rsidRDefault="008E6EDB" w:rsidP="008A5602">
            <w:pPr>
              <w:pStyle w:val="StyleProp"/>
              <w:spacing w:line="180" w:lineRule="exact"/>
              <w:rPr>
                <w:color w:val="000000" w:themeColor="text1"/>
              </w:rPr>
            </w:pPr>
            <w:r w:rsidRPr="00286216">
              <w:rPr>
                <w:color w:val="000000" w:themeColor="text1"/>
              </w:rPr>
              <w:t>- другий абзац після слів «про встановлення обмеження стосовно конкретного власника» доповнити словами «після відображення депозитарною установою в системі депозитарного обліку переходу прав власності на цінні папери та прав за цінними паперами за результатами завершення всіх розрахунків за правочинами щодо цінних паперів, здійснених/забезпечених особою, яка провадить клірингову діяльність».</w:t>
            </w:r>
          </w:p>
          <w:p w14:paraId="6BC62603" w14:textId="77777777" w:rsidR="008E6EDB" w:rsidRPr="00286216" w:rsidRDefault="008E6EDB" w:rsidP="008A5602">
            <w:pPr>
              <w:pStyle w:val="StyleProp"/>
              <w:spacing w:line="180" w:lineRule="exact"/>
              <w:rPr>
                <w:color w:val="000000" w:themeColor="text1"/>
              </w:rPr>
            </w:pPr>
            <w:r w:rsidRPr="00286216">
              <w:rPr>
                <w:color w:val="000000" w:themeColor="text1"/>
              </w:rPr>
              <w:t>-доповнити абзацом третій в такій редакції:</w:t>
            </w:r>
          </w:p>
          <w:p w14:paraId="2BAD2845" w14:textId="77777777" w:rsidR="008E6EDB" w:rsidRPr="00286216" w:rsidRDefault="008E6EDB" w:rsidP="008A5602">
            <w:pPr>
              <w:pStyle w:val="StyleProp"/>
              <w:spacing w:line="180" w:lineRule="exact"/>
              <w:rPr>
                <w:color w:val="000000" w:themeColor="text1"/>
              </w:rPr>
            </w:pPr>
            <w:r w:rsidRPr="00286216">
              <w:rPr>
                <w:color w:val="000000" w:themeColor="text1"/>
              </w:rPr>
              <w:t>«Інформація, яку згідно абзацу другого цієї частини депозитарна установа надає відповідно до Центрального депозитарію або до Національного банку України,  повинна в тому числі містити відомості про:</w:t>
            </w:r>
          </w:p>
          <w:p w14:paraId="2CEE9730" w14:textId="77777777" w:rsidR="008E6EDB" w:rsidRPr="00286216" w:rsidRDefault="008E6EDB" w:rsidP="008A5602">
            <w:pPr>
              <w:pStyle w:val="StyleProp"/>
              <w:spacing w:line="180" w:lineRule="exact"/>
              <w:rPr>
                <w:color w:val="000000" w:themeColor="text1"/>
              </w:rPr>
            </w:pPr>
            <w:r w:rsidRPr="00286216">
              <w:rPr>
                <w:color w:val="000000" w:themeColor="text1"/>
              </w:rPr>
              <w:t>загальну кількість цінних паперів конкретного власника, щодо якої відповідним судовим рішенням або відповідним рішенням уповноваженого законом органу влади чи його посадової особи встановлено обмеження;</w:t>
            </w:r>
          </w:p>
          <w:p w14:paraId="582AE826" w14:textId="77777777" w:rsidR="008E6EDB" w:rsidRPr="00286216" w:rsidRDefault="008E6EDB" w:rsidP="008A5602">
            <w:pPr>
              <w:pStyle w:val="StyleProp"/>
              <w:spacing w:line="180" w:lineRule="exact"/>
              <w:rPr>
                <w:color w:val="000000" w:themeColor="text1"/>
                <w:szCs w:val="18"/>
              </w:rPr>
            </w:pPr>
            <w:r w:rsidRPr="00286216">
              <w:rPr>
                <w:color w:val="000000" w:themeColor="text1"/>
              </w:rPr>
              <w:t xml:space="preserve">кількість цінних паперів цього власника, якої недостає для встановлення </w:t>
            </w:r>
            <w:r w:rsidRPr="00286216">
              <w:rPr>
                <w:color w:val="000000" w:themeColor="text1"/>
              </w:rPr>
              <w:lastRenderedPageBreak/>
              <w:t>депозитарною установою обмеження на підставі відповідного судового рішення або відповідного рішення уповноваженого законом органу влади чи його посадової особи у повному обсязі, у зв’язку з тим, що відносно прав на таку кількість цінних паперів за розпорядженням цього власника встановлені обмеження для здійснення/забезпечення розрахунків за правочинами щодо цінних паперів, вчиненими на організованих ринках капіталу або поза ними, розрахунки за якими здійснює/забезпечує особа, яка провадить клірингову діяльність".</w:t>
            </w:r>
          </w:p>
        </w:tc>
        <w:tc>
          <w:tcPr>
            <w:tcW w:w="1987" w:type="dxa"/>
          </w:tcPr>
          <w:p w14:paraId="0118E03C" w14:textId="77777777" w:rsidR="008E6EDB" w:rsidRPr="00286216" w:rsidRDefault="008E6EDB" w:rsidP="008E6EDB">
            <w:pPr>
              <w:pStyle w:val="StyleWisnow"/>
              <w:rPr>
                <w:color w:val="000000" w:themeColor="text1"/>
              </w:rPr>
            </w:pPr>
            <w:r w:rsidRPr="00286216">
              <w:rPr>
                <w:color w:val="000000" w:themeColor="text1"/>
              </w:rPr>
              <w:lastRenderedPageBreak/>
              <w:t>Враховано редакційно</w:t>
            </w:r>
          </w:p>
          <w:p w14:paraId="325F1CE3" w14:textId="77777777" w:rsidR="008E6EDB" w:rsidRPr="00286216" w:rsidRDefault="008E6EDB" w:rsidP="008E6EDB">
            <w:pPr>
              <w:pStyle w:val="StyleWisnow"/>
              <w:rPr>
                <w:color w:val="000000" w:themeColor="text1"/>
              </w:rPr>
            </w:pPr>
            <w:r w:rsidRPr="00286216">
              <w:rPr>
                <w:color w:val="000000" w:themeColor="text1"/>
              </w:rPr>
              <w:t>у Прикінцевих положеннях</w:t>
            </w:r>
          </w:p>
        </w:tc>
        <w:tc>
          <w:tcPr>
            <w:tcW w:w="4818" w:type="dxa"/>
          </w:tcPr>
          <w:p w14:paraId="05E40810" w14:textId="77777777" w:rsidR="008E6EDB" w:rsidRPr="00286216" w:rsidRDefault="008E6EDB" w:rsidP="008E6EDB">
            <w:pPr>
              <w:pStyle w:val="StyleZakonu"/>
              <w:rPr>
                <w:color w:val="000000" w:themeColor="text1"/>
              </w:rPr>
            </w:pPr>
          </w:p>
        </w:tc>
      </w:tr>
      <w:tr w:rsidR="008E6EDB" w:rsidRPr="00286216" w14:paraId="1DE5191A" w14:textId="77777777" w:rsidTr="00091AA5">
        <w:tc>
          <w:tcPr>
            <w:tcW w:w="576" w:type="dxa"/>
          </w:tcPr>
          <w:p w14:paraId="1D270D8C" w14:textId="77777777" w:rsidR="008E6EDB" w:rsidRPr="00286216" w:rsidRDefault="008E6EDB" w:rsidP="008E6EDB">
            <w:pPr>
              <w:pStyle w:val="StyleWisnow"/>
              <w:rPr>
                <w:color w:val="000000" w:themeColor="text1"/>
              </w:rPr>
            </w:pPr>
            <w:bookmarkStart w:id="3622" w:name="n3752" w:colFirst="0" w:colLast="0"/>
            <w:bookmarkEnd w:id="3621"/>
            <w:r w:rsidRPr="00286216">
              <w:rPr>
                <w:color w:val="000000" w:themeColor="text1"/>
              </w:rPr>
              <w:t>3752.</w:t>
            </w:r>
          </w:p>
        </w:tc>
        <w:tc>
          <w:tcPr>
            <w:tcW w:w="4818" w:type="dxa"/>
          </w:tcPr>
          <w:p w14:paraId="7E3F7741" w14:textId="77777777" w:rsidR="008E6EDB" w:rsidRPr="00286216" w:rsidRDefault="008E6EDB" w:rsidP="008E6EDB">
            <w:pPr>
              <w:pStyle w:val="StyleZakonu"/>
              <w:rPr>
                <w:color w:val="000000" w:themeColor="text1"/>
              </w:rPr>
            </w:pPr>
            <w:r w:rsidRPr="00286216">
              <w:rPr>
                <w:color w:val="000000" w:themeColor="text1"/>
              </w:rPr>
              <w:t>б) в частині четвертій слова "фондової біржі" замінити словами "оператора організованого ринку капіталу";</w:t>
            </w:r>
          </w:p>
        </w:tc>
        <w:tc>
          <w:tcPr>
            <w:tcW w:w="3686" w:type="dxa"/>
          </w:tcPr>
          <w:p w14:paraId="63CEF46E" w14:textId="1869FBC1"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15841347" w14:textId="77777777" w:rsidR="008E6EDB" w:rsidRPr="00286216" w:rsidRDefault="008E6EDB" w:rsidP="008A5602">
            <w:pPr>
              <w:pStyle w:val="StyleProp"/>
              <w:spacing w:line="180" w:lineRule="exact"/>
              <w:rPr>
                <w:color w:val="000000" w:themeColor="text1"/>
              </w:rPr>
            </w:pPr>
            <w:r w:rsidRPr="00286216">
              <w:rPr>
                <w:color w:val="000000" w:themeColor="text1"/>
              </w:rPr>
              <w:t>Підпункт б підпункту 5 пункту 44 викласти в такій редакції:</w:t>
            </w:r>
          </w:p>
          <w:p w14:paraId="06E4532D" w14:textId="77777777" w:rsidR="008E6EDB" w:rsidRPr="00286216" w:rsidRDefault="008E6EDB" w:rsidP="008A5602">
            <w:pPr>
              <w:pStyle w:val="StyleProp"/>
              <w:spacing w:line="180" w:lineRule="exact"/>
              <w:rPr>
                <w:color w:val="000000" w:themeColor="text1"/>
              </w:rPr>
            </w:pPr>
            <w:r w:rsidRPr="00286216">
              <w:rPr>
                <w:color w:val="000000" w:themeColor="text1"/>
              </w:rPr>
              <w:t xml:space="preserve"> «д) частину четверту викласти в такій редакції:</w:t>
            </w:r>
          </w:p>
          <w:p w14:paraId="0057AAA9" w14:textId="77777777" w:rsidR="008E6EDB" w:rsidRPr="00286216" w:rsidRDefault="008E6EDB" w:rsidP="008A5602">
            <w:pPr>
              <w:pStyle w:val="StyleProp"/>
              <w:spacing w:line="180" w:lineRule="exact"/>
              <w:rPr>
                <w:color w:val="000000" w:themeColor="text1"/>
                <w:szCs w:val="18"/>
              </w:rPr>
            </w:pPr>
            <w:r w:rsidRPr="00286216">
              <w:rPr>
                <w:color w:val="000000" w:themeColor="text1"/>
              </w:rPr>
              <w:t>«4. Центральний депозитарій або Національний банк України відповідно до компетенції щодо здійснення обліку цінних паперів, визначеної цим Законом, в день отримання від депозитарної установи інформації, передбаченої частиною третьою цієї статті, надає особі, що провадить клірингову діяльність, отриману від депозитарної установи інформацію.».</w:t>
            </w:r>
          </w:p>
        </w:tc>
        <w:tc>
          <w:tcPr>
            <w:tcW w:w="1987" w:type="dxa"/>
          </w:tcPr>
          <w:p w14:paraId="3E3AC98C" w14:textId="77777777" w:rsidR="008E6EDB" w:rsidRPr="00286216" w:rsidRDefault="008E6EDB" w:rsidP="008E6EDB">
            <w:pPr>
              <w:pStyle w:val="StyleWisnow"/>
              <w:rPr>
                <w:color w:val="000000" w:themeColor="text1"/>
              </w:rPr>
            </w:pPr>
            <w:r w:rsidRPr="00286216">
              <w:rPr>
                <w:color w:val="000000" w:themeColor="text1"/>
              </w:rPr>
              <w:t>Враховано редакційно</w:t>
            </w:r>
          </w:p>
          <w:p w14:paraId="7052C385" w14:textId="77777777" w:rsidR="008E6EDB" w:rsidRPr="00286216" w:rsidRDefault="008E6EDB" w:rsidP="008E6EDB">
            <w:pPr>
              <w:pStyle w:val="StyleWisnow"/>
              <w:rPr>
                <w:color w:val="000000" w:themeColor="text1"/>
              </w:rPr>
            </w:pPr>
            <w:r w:rsidRPr="00286216">
              <w:rPr>
                <w:color w:val="000000" w:themeColor="text1"/>
              </w:rPr>
              <w:t>у Прикінцевих положеннях</w:t>
            </w:r>
          </w:p>
        </w:tc>
        <w:tc>
          <w:tcPr>
            <w:tcW w:w="4818" w:type="dxa"/>
          </w:tcPr>
          <w:p w14:paraId="3223AE5E" w14:textId="77777777" w:rsidR="008E6EDB" w:rsidRPr="00286216" w:rsidRDefault="008E6EDB" w:rsidP="008E6EDB">
            <w:pPr>
              <w:pStyle w:val="StyleZakonu"/>
              <w:rPr>
                <w:color w:val="000000" w:themeColor="text1"/>
              </w:rPr>
            </w:pPr>
          </w:p>
        </w:tc>
      </w:tr>
      <w:tr w:rsidR="008E6EDB" w:rsidRPr="00286216" w14:paraId="381F618D" w14:textId="77777777" w:rsidTr="00091AA5">
        <w:tc>
          <w:tcPr>
            <w:tcW w:w="576" w:type="dxa"/>
          </w:tcPr>
          <w:p w14:paraId="7900C2D3" w14:textId="77777777" w:rsidR="008E6EDB" w:rsidRPr="00286216" w:rsidRDefault="008E6EDB" w:rsidP="008E6EDB">
            <w:pPr>
              <w:pStyle w:val="StyleWisnow"/>
              <w:rPr>
                <w:color w:val="000000" w:themeColor="text1"/>
              </w:rPr>
            </w:pPr>
          </w:p>
        </w:tc>
        <w:tc>
          <w:tcPr>
            <w:tcW w:w="4818" w:type="dxa"/>
          </w:tcPr>
          <w:p w14:paraId="2D3F0453" w14:textId="77777777" w:rsidR="008E6EDB" w:rsidRPr="00286216" w:rsidRDefault="008E6EDB" w:rsidP="008E6EDB">
            <w:pPr>
              <w:pStyle w:val="StyleZakonu"/>
              <w:rPr>
                <w:color w:val="000000" w:themeColor="text1"/>
              </w:rPr>
            </w:pPr>
          </w:p>
        </w:tc>
        <w:tc>
          <w:tcPr>
            <w:tcW w:w="3686" w:type="dxa"/>
          </w:tcPr>
          <w:p w14:paraId="6595BEBD" w14:textId="58FBFF03" w:rsidR="008E6EDB" w:rsidRPr="00286216" w:rsidRDefault="008E6EDB" w:rsidP="008E6EDB">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1488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CC349A7" w14:textId="77777777" w:rsidR="008E6EDB" w:rsidRPr="00286216" w:rsidRDefault="008E6EDB" w:rsidP="008A5602">
            <w:pPr>
              <w:pStyle w:val="StyleProp"/>
              <w:spacing w:line="180" w:lineRule="exact"/>
              <w:rPr>
                <w:color w:val="000000" w:themeColor="text1"/>
              </w:rPr>
            </w:pPr>
            <w:r w:rsidRPr="00286216">
              <w:rPr>
                <w:color w:val="000000" w:themeColor="text1"/>
              </w:rPr>
              <w:t>Доповнити підпункт 5 пункту 44 підпунктами е)-з) в такій редакції:</w:t>
            </w:r>
          </w:p>
          <w:p w14:paraId="2AED6236" w14:textId="77777777" w:rsidR="008E6EDB" w:rsidRPr="00286216" w:rsidRDefault="008E6EDB" w:rsidP="008A5602">
            <w:pPr>
              <w:pStyle w:val="StyleProp"/>
              <w:spacing w:line="180" w:lineRule="exact"/>
              <w:rPr>
                <w:color w:val="000000" w:themeColor="text1"/>
              </w:rPr>
            </w:pPr>
            <w:r w:rsidRPr="00286216">
              <w:rPr>
                <w:color w:val="000000" w:themeColor="text1"/>
              </w:rPr>
              <w:t>«е) частину п’яту викласти в такій редакції:</w:t>
            </w:r>
          </w:p>
          <w:p w14:paraId="6FDD8396" w14:textId="77777777" w:rsidR="008E6EDB" w:rsidRPr="00286216" w:rsidRDefault="008E6EDB" w:rsidP="008A5602">
            <w:pPr>
              <w:pStyle w:val="StyleProp"/>
              <w:spacing w:line="180" w:lineRule="exact"/>
              <w:rPr>
                <w:color w:val="000000" w:themeColor="text1"/>
              </w:rPr>
            </w:pPr>
            <w:r w:rsidRPr="00286216">
              <w:rPr>
                <w:color w:val="000000" w:themeColor="text1"/>
              </w:rPr>
              <w:t>«5. Особа, що провадить клірингову діяльність, після отримання від Центрального депозитарію або Національного банку України інформації, передбаченої частиною четвертою цієї статті, на початку наступного робочого дня, в строки, встановлені відповідно до частини 8 цієї статті,   надає Центральному депозитарію або Національному банку відповідно до компетенції, встановленої законом, щодо здійснення обліку цінних паперів,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і щодо яких від Центрального депозитарію або Національного банку України була отримана інформація, передбачена частиною четвертою цієї статті»;</w:t>
            </w:r>
          </w:p>
          <w:p w14:paraId="200E06C2" w14:textId="77777777" w:rsidR="008E6EDB" w:rsidRPr="00286216" w:rsidRDefault="008E6EDB" w:rsidP="008A5602">
            <w:pPr>
              <w:pStyle w:val="StyleProp"/>
              <w:spacing w:line="180" w:lineRule="exact"/>
              <w:rPr>
                <w:color w:val="000000" w:themeColor="text1"/>
              </w:rPr>
            </w:pPr>
            <w:r w:rsidRPr="00286216">
              <w:rPr>
                <w:color w:val="000000" w:themeColor="text1"/>
              </w:rPr>
              <w:lastRenderedPageBreak/>
              <w:t>є) доповнити новою частиною шостою в акій редакції:</w:t>
            </w:r>
          </w:p>
          <w:p w14:paraId="5525FE4B" w14:textId="77777777" w:rsidR="008E6EDB" w:rsidRPr="00286216" w:rsidRDefault="008E6EDB" w:rsidP="008A5602">
            <w:pPr>
              <w:pStyle w:val="StyleProp"/>
              <w:spacing w:line="180" w:lineRule="exact"/>
              <w:rPr>
                <w:color w:val="000000" w:themeColor="text1"/>
              </w:rPr>
            </w:pPr>
            <w:r w:rsidRPr="00286216">
              <w:rPr>
                <w:color w:val="000000" w:themeColor="text1"/>
              </w:rPr>
              <w:t>«6. На підставі отриманої від особи що провадить клірингову діяльність, інформації, передбаченої частиною п’ятою цієї статті, забезпечується відображення в системі депозитарного обліку:</w:t>
            </w:r>
          </w:p>
          <w:p w14:paraId="2D995778" w14:textId="77777777" w:rsidR="008E6EDB" w:rsidRPr="00286216" w:rsidRDefault="008E6EDB" w:rsidP="008A5602">
            <w:pPr>
              <w:pStyle w:val="StyleProp"/>
              <w:spacing w:line="180" w:lineRule="exact"/>
              <w:rPr>
                <w:color w:val="000000" w:themeColor="text1"/>
              </w:rPr>
            </w:pPr>
            <w:r w:rsidRPr="00286216">
              <w:rPr>
                <w:color w:val="000000" w:themeColor="text1"/>
              </w:rPr>
              <w:t>1) депозитарних операцій, пов’язаних із зняттям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організованих ринках капіталу або поза ними, розрахунки за якими здійснює/забезпечує особа, яка провадить клірингову діяльність;</w:t>
            </w:r>
          </w:p>
          <w:p w14:paraId="6EBD505C" w14:textId="77777777" w:rsidR="008E6EDB" w:rsidRPr="00286216" w:rsidRDefault="008E6EDB" w:rsidP="008A5602">
            <w:pPr>
              <w:pStyle w:val="StyleProp"/>
              <w:spacing w:line="180" w:lineRule="exact"/>
              <w:rPr>
                <w:color w:val="000000" w:themeColor="text1"/>
              </w:rPr>
            </w:pPr>
            <w:r w:rsidRPr="00286216">
              <w:rPr>
                <w:color w:val="000000" w:themeColor="text1"/>
              </w:rPr>
              <w:t>2) депозитарних операцій, пов’язаних із виконанням відповідного судового рішення або відповідного рішення уповноваженого законом органу чи його посадової особи про встановлення обмеження стосовно конкретного власника (крім випадку, коли залишок  таких цінних дорівнює нулю).</w:t>
            </w:r>
          </w:p>
          <w:p w14:paraId="6FC0DB58" w14:textId="77777777" w:rsidR="008E6EDB" w:rsidRPr="00286216" w:rsidRDefault="008E6EDB" w:rsidP="008A5602">
            <w:pPr>
              <w:pStyle w:val="StyleProp"/>
              <w:spacing w:line="180" w:lineRule="exact"/>
              <w:rPr>
                <w:color w:val="000000" w:themeColor="text1"/>
              </w:rPr>
            </w:pPr>
            <w:r w:rsidRPr="00286216">
              <w:rPr>
                <w:color w:val="000000" w:themeColor="text1"/>
              </w:rPr>
              <w:t>У випадку, якщо за результатами проведених розрахунків та зняття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організованих ринках капіталу або поза ними, кількість таких цінних паперів, дорівнює нулю, відповідне судове рішення або відповідне рішення уповноваженого законом органу влади чи його посадової особи про встановлення обмеження стосовно конкретного власника залишається без виконання.</w:t>
            </w:r>
          </w:p>
          <w:p w14:paraId="54ABBDF9" w14:textId="77777777" w:rsidR="008E6EDB" w:rsidRPr="00286216" w:rsidRDefault="008E6EDB" w:rsidP="008A5602">
            <w:pPr>
              <w:pStyle w:val="StyleProp"/>
              <w:spacing w:line="180" w:lineRule="exact"/>
              <w:rPr>
                <w:color w:val="000000" w:themeColor="text1"/>
              </w:rPr>
            </w:pPr>
            <w:r w:rsidRPr="00286216">
              <w:rPr>
                <w:color w:val="000000" w:themeColor="text1"/>
              </w:rPr>
              <w:t xml:space="preserve">У випадку, якщо цінні папери, щодо яких встановлене обмеження, обліковуються на рахунку в цінних паперах номінального утримувача, депозитарна установа повідомляє номінальному утримувачу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вчиненими на організованих ринках капіталу або поза ними, а також про необхідність встановлення обмеження щодо цінних паперів конкретного власника (крім випадку, коли залишок відповідних цінних </w:t>
            </w:r>
            <w:r w:rsidRPr="00286216">
              <w:rPr>
                <w:color w:val="000000" w:themeColor="text1"/>
              </w:rPr>
              <w:lastRenderedPageBreak/>
              <w:t>паперів дорівнює нулю).»;</w:t>
            </w:r>
          </w:p>
          <w:p w14:paraId="5BA3CECD" w14:textId="77777777" w:rsidR="008E6EDB" w:rsidRPr="00286216" w:rsidRDefault="008E6EDB" w:rsidP="008A5602">
            <w:pPr>
              <w:pStyle w:val="StyleProp"/>
              <w:spacing w:line="180" w:lineRule="exact"/>
              <w:rPr>
                <w:color w:val="000000" w:themeColor="text1"/>
              </w:rPr>
            </w:pPr>
            <w:r w:rsidRPr="00286216">
              <w:rPr>
                <w:color w:val="000000" w:themeColor="text1"/>
              </w:rPr>
              <w:t>ж) частину шосту вважати частиною сьомою, слово «державний» у цій частині виключити;</w:t>
            </w:r>
          </w:p>
          <w:p w14:paraId="3641640B" w14:textId="77777777" w:rsidR="008E6EDB" w:rsidRPr="00286216" w:rsidRDefault="008E6EDB" w:rsidP="008A5602">
            <w:pPr>
              <w:pStyle w:val="StyleProp"/>
              <w:spacing w:line="180" w:lineRule="exact"/>
              <w:rPr>
                <w:color w:val="000000" w:themeColor="text1"/>
              </w:rPr>
            </w:pPr>
            <w:r w:rsidRPr="00286216">
              <w:rPr>
                <w:color w:val="000000" w:themeColor="text1"/>
              </w:rPr>
              <w:t>з) доповнити частиною восьмою в такій редакції:</w:t>
            </w:r>
          </w:p>
          <w:p w14:paraId="05A7BE1C" w14:textId="77777777" w:rsidR="008E6EDB" w:rsidRPr="00286216" w:rsidRDefault="008E6EDB" w:rsidP="008A5602">
            <w:pPr>
              <w:pStyle w:val="StyleProp"/>
              <w:spacing w:line="180" w:lineRule="exact"/>
              <w:rPr>
                <w:color w:val="000000" w:themeColor="text1"/>
                <w:szCs w:val="18"/>
              </w:rPr>
            </w:pPr>
            <w:r w:rsidRPr="00286216">
              <w:rPr>
                <w:color w:val="000000" w:themeColor="text1"/>
              </w:rPr>
              <w:t>«8. Зміст, строки та порядок обміну інформацією, передбаченою цією статтею, між особою, що провадить клірингову діяльність і Центральним депозитарієм або Національним банком України, визначаються договорами, укладеними особою, що провадить клірингову діяльність з Центральним депозитарієм цінних паперів або Національним банком України, повідомлення відповідно до вимог, встановлених Національною комісією з цінних паперів та фондового ринку.»</w:t>
            </w:r>
          </w:p>
        </w:tc>
        <w:tc>
          <w:tcPr>
            <w:tcW w:w="1987" w:type="dxa"/>
          </w:tcPr>
          <w:p w14:paraId="0F34EFEC" w14:textId="77777777" w:rsidR="008E6EDB" w:rsidRPr="00286216" w:rsidRDefault="008E6EDB" w:rsidP="008E6EDB">
            <w:pPr>
              <w:pStyle w:val="StyleWisnow"/>
              <w:rPr>
                <w:color w:val="000000" w:themeColor="text1"/>
              </w:rPr>
            </w:pPr>
            <w:r w:rsidRPr="00286216">
              <w:rPr>
                <w:color w:val="000000" w:themeColor="text1"/>
              </w:rPr>
              <w:lastRenderedPageBreak/>
              <w:t>Враховано редакційно</w:t>
            </w:r>
          </w:p>
          <w:p w14:paraId="7CE4E99A" w14:textId="77777777" w:rsidR="008E6EDB" w:rsidRPr="00286216" w:rsidRDefault="008E6EDB" w:rsidP="008E6EDB">
            <w:pPr>
              <w:pStyle w:val="StyleWisnow"/>
              <w:rPr>
                <w:color w:val="000000" w:themeColor="text1"/>
              </w:rPr>
            </w:pPr>
            <w:r w:rsidRPr="00286216">
              <w:rPr>
                <w:color w:val="000000" w:themeColor="text1"/>
              </w:rPr>
              <w:t>у Прикінцевих положеннях</w:t>
            </w:r>
          </w:p>
        </w:tc>
        <w:tc>
          <w:tcPr>
            <w:tcW w:w="4818" w:type="dxa"/>
          </w:tcPr>
          <w:p w14:paraId="74E2B3FA" w14:textId="77777777" w:rsidR="008E6EDB" w:rsidRPr="00286216" w:rsidRDefault="008E6EDB" w:rsidP="008E6EDB">
            <w:pPr>
              <w:pStyle w:val="StyleZakonu"/>
              <w:rPr>
                <w:color w:val="000000" w:themeColor="text1"/>
              </w:rPr>
            </w:pPr>
          </w:p>
        </w:tc>
      </w:tr>
      <w:tr w:rsidR="008A5602" w:rsidRPr="00286216" w14:paraId="35396F46" w14:textId="77777777" w:rsidTr="00091AA5">
        <w:tc>
          <w:tcPr>
            <w:tcW w:w="576" w:type="dxa"/>
          </w:tcPr>
          <w:p w14:paraId="26EE2F12" w14:textId="77777777" w:rsidR="008A5602" w:rsidRPr="00286216" w:rsidRDefault="008A5602" w:rsidP="008A5602">
            <w:pPr>
              <w:pStyle w:val="StyleWisnow"/>
              <w:rPr>
                <w:color w:val="000000" w:themeColor="text1"/>
              </w:rPr>
            </w:pPr>
            <w:bookmarkStart w:id="3623" w:name="n3753" w:colFirst="0" w:colLast="0"/>
            <w:bookmarkEnd w:id="3622"/>
            <w:r w:rsidRPr="00286216">
              <w:rPr>
                <w:color w:val="000000" w:themeColor="text1"/>
              </w:rPr>
              <w:lastRenderedPageBreak/>
              <w:t>3753.</w:t>
            </w:r>
          </w:p>
        </w:tc>
        <w:tc>
          <w:tcPr>
            <w:tcW w:w="4818" w:type="dxa"/>
          </w:tcPr>
          <w:p w14:paraId="1A909F02" w14:textId="77777777" w:rsidR="008A5602" w:rsidRPr="00286216" w:rsidRDefault="008A5602" w:rsidP="008A5602">
            <w:pPr>
              <w:pStyle w:val="StyleZakonu"/>
              <w:rPr>
                <w:color w:val="000000" w:themeColor="text1"/>
              </w:rPr>
            </w:pPr>
            <w:r w:rsidRPr="00286216">
              <w:rPr>
                <w:color w:val="000000" w:themeColor="text1"/>
              </w:rPr>
              <w:t>6) у абзаці першому частини першої статті 8 слово "депонента в депозитарній установі, " замінити словами та знаками ", що відкривається депозитарною установою";</w:t>
            </w:r>
          </w:p>
        </w:tc>
        <w:tc>
          <w:tcPr>
            <w:tcW w:w="3686" w:type="dxa"/>
          </w:tcPr>
          <w:p w14:paraId="3930BE8F" w14:textId="1553CDA4"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1489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1E0B3B95"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Підпункт 6 пункту 44 доповнити словами «, а слово «бездокументарній» замінити словом «електронній»».</w:t>
            </w:r>
          </w:p>
        </w:tc>
        <w:tc>
          <w:tcPr>
            <w:tcW w:w="1987" w:type="dxa"/>
          </w:tcPr>
          <w:p w14:paraId="2FF98F7B"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14023F0C" w14:textId="27B5F096" w:rsidR="008A5602" w:rsidRPr="00286216" w:rsidRDefault="008A5602" w:rsidP="008A5602">
            <w:pPr>
              <w:pStyle w:val="StyleZakonu"/>
              <w:rPr>
                <w:color w:val="000000" w:themeColor="text1"/>
              </w:rPr>
            </w:pPr>
            <w:r w:rsidRPr="00286216">
              <w:rPr>
                <w:color w:val="000000" w:themeColor="text1"/>
              </w:rPr>
              <w:t>7) в абзаці першому частини першої статті 8 слова "депонента в депозитарній установі" замінити словами " що відкривається депозитарною установою",</w:t>
            </w:r>
            <w:r w:rsidRPr="00286216">
              <w:rPr>
                <w:color w:val="000000" w:themeColor="text1"/>
                <w:szCs w:val="18"/>
              </w:rPr>
              <w:t xml:space="preserve"> а слово "бездокументарній" - словом "електронній";</w:t>
            </w:r>
          </w:p>
        </w:tc>
      </w:tr>
      <w:tr w:rsidR="008A5602" w:rsidRPr="00286216" w14:paraId="20F0E2E1" w14:textId="77777777" w:rsidTr="00091AA5">
        <w:tc>
          <w:tcPr>
            <w:tcW w:w="576" w:type="dxa"/>
          </w:tcPr>
          <w:p w14:paraId="776EA7F1" w14:textId="77777777" w:rsidR="008A5602" w:rsidRPr="00286216" w:rsidRDefault="008A5602" w:rsidP="008A5602">
            <w:pPr>
              <w:pStyle w:val="StyleWisnow"/>
              <w:rPr>
                <w:color w:val="000000" w:themeColor="text1"/>
              </w:rPr>
            </w:pPr>
            <w:bookmarkStart w:id="3624" w:name="n3754" w:colFirst="0" w:colLast="0"/>
            <w:bookmarkEnd w:id="3623"/>
            <w:r w:rsidRPr="00286216">
              <w:rPr>
                <w:color w:val="000000" w:themeColor="text1"/>
              </w:rPr>
              <w:t>3754.</w:t>
            </w:r>
          </w:p>
        </w:tc>
        <w:tc>
          <w:tcPr>
            <w:tcW w:w="4818" w:type="dxa"/>
          </w:tcPr>
          <w:p w14:paraId="6B2DCEBF" w14:textId="77777777" w:rsidR="008A5602" w:rsidRPr="00286216" w:rsidRDefault="008A5602" w:rsidP="008A5602">
            <w:pPr>
              <w:pStyle w:val="StyleZakonu"/>
              <w:rPr>
                <w:color w:val="000000" w:themeColor="text1"/>
              </w:rPr>
            </w:pPr>
            <w:r w:rsidRPr="00286216">
              <w:rPr>
                <w:color w:val="000000" w:themeColor="text1"/>
              </w:rPr>
              <w:t>7) статті 9:</w:t>
            </w:r>
          </w:p>
        </w:tc>
        <w:tc>
          <w:tcPr>
            <w:tcW w:w="3686" w:type="dxa"/>
          </w:tcPr>
          <w:p w14:paraId="57615B83" w14:textId="77777777" w:rsidR="008A5602" w:rsidRPr="00286216" w:rsidRDefault="008A5602" w:rsidP="008A5602">
            <w:pPr>
              <w:pStyle w:val="StyleProp"/>
              <w:rPr>
                <w:color w:val="000000" w:themeColor="text1"/>
                <w:szCs w:val="18"/>
              </w:rPr>
            </w:pPr>
          </w:p>
        </w:tc>
        <w:tc>
          <w:tcPr>
            <w:tcW w:w="1987" w:type="dxa"/>
          </w:tcPr>
          <w:p w14:paraId="4D00A09B" w14:textId="77777777" w:rsidR="008A5602" w:rsidRPr="00286216" w:rsidRDefault="008A5602" w:rsidP="008A5602">
            <w:pPr>
              <w:pStyle w:val="StyleWisnow"/>
              <w:rPr>
                <w:color w:val="000000" w:themeColor="text1"/>
              </w:rPr>
            </w:pPr>
          </w:p>
        </w:tc>
        <w:tc>
          <w:tcPr>
            <w:tcW w:w="4818" w:type="dxa"/>
          </w:tcPr>
          <w:p w14:paraId="2C1E495B" w14:textId="748F7B9A" w:rsidR="008A5602" w:rsidRPr="00286216" w:rsidRDefault="008A5602" w:rsidP="008A5602">
            <w:pPr>
              <w:pStyle w:val="StyleZakonu"/>
              <w:rPr>
                <w:color w:val="000000" w:themeColor="text1"/>
              </w:rPr>
            </w:pPr>
            <w:r w:rsidRPr="00286216">
              <w:rPr>
                <w:color w:val="000000" w:themeColor="text1"/>
              </w:rPr>
              <w:t>8) статті 9:</w:t>
            </w:r>
          </w:p>
        </w:tc>
      </w:tr>
      <w:tr w:rsidR="008A5602" w:rsidRPr="00286216" w14:paraId="05236EED" w14:textId="77777777" w:rsidTr="00091AA5">
        <w:tc>
          <w:tcPr>
            <w:tcW w:w="576" w:type="dxa"/>
          </w:tcPr>
          <w:p w14:paraId="543C9BC4" w14:textId="77777777" w:rsidR="008A5602" w:rsidRPr="00286216" w:rsidRDefault="008A5602" w:rsidP="008A5602">
            <w:pPr>
              <w:pStyle w:val="StyleWisnow"/>
              <w:rPr>
                <w:color w:val="000000" w:themeColor="text1"/>
              </w:rPr>
            </w:pPr>
          </w:p>
        </w:tc>
        <w:tc>
          <w:tcPr>
            <w:tcW w:w="4818" w:type="dxa"/>
          </w:tcPr>
          <w:p w14:paraId="343099BA" w14:textId="77777777" w:rsidR="008A5602" w:rsidRPr="00286216" w:rsidRDefault="008A5602" w:rsidP="008A5602">
            <w:pPr>
              <w:pStyle w:val="StyleZakonu"/>
              <w:rPr>
                <w:color w:val="000000" w:themeColor="text1"/>
              </w:rPr>
            </w:pPr>
          </w:p>
        </w:tc>
        <w:tc>
          <w:tcPr>
            <w:tcW w:w="3686" w:type="dxa"/>
          </w:tcPr>
          <w:p w14:paraId="47864126" w14:textId="113CFFC5"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47E1AB6"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Доповнити пункт 44 розділу 3 змінами до частини четвертої статті 9 Закону про депозитарну систему такого змісту:</w:t>
            </w:r>
          </w:p>
          <w:p w14:paraId="74D36BAA"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"абзац другий частини четвертої доповнити словами "окрім державних банків та Національного банку України".</w:t>
            </w:r>
          </w:p>
        </w:tc>
        <w:tc>
          <w:tcPr>
            <w:tcW w:w="1987" w:type="dxa"/>
          </w:tcPr>
          <w:p w14:paraId="6DD657C2" w14:textId="77777777" w:rsidR="008A5602" w:rsidRPr="00286216" w:rsidRDefault="008A5602" w:rsidP="008A5602">
            <w:pPr>
              <w:pStyle w:val="StyleWisnow"/>
              <w:spacing w:line="180" w:lineRule="exact"/>
              <w:rPr>
                <w:color w:val="000000" w:themeColor="text1"/>
              </w:rPr>
            </w:pPr>
            <w:r w:rsidRPr="00286216">
              <w:rPr>
                <w:color w:val="000000" w:themeColor="text1"/>
              </w:rPr>
              <w:t xml:space="preserve">Відхилено </w:t>
            </w:r>
          </w:p>
          <w:p w14:paraId="52F1A92F" w14:textId="3E5D5202" w:rsidR="008A5602" w:rsidRPr="00286216" w:rsidRDefault="008A5602" w:rsidP="008A5602">
            <w:pPr>
              <w:pStyle w:val="StyleWisnow"/>
              <w:spacing w:line="180" w:lineRule="exact"/>
              <w:rPr>
                <w:color w:val="000000" w:themeColor="text1"/>
              </w:rPr>
            </w:pPr>
            <w:r w:rsidRPr="00286216">
              <w:rPr>
                <w:color w:val="000000" w:themeColor="text1"/>
              </w:rPr>
              <w:t>потребує вирішення в окремому законопроекті по інфраструктурі депозитарної системи</w:t>
            </w:r>
          </w:p>
        </w:tc>
        <w:tc>
          <w:tcPr>
            <w:tcW w:w="4818" w:type="dxa"/>
          </w:tcPr>
          <w:p w14:paraId="1BF445B8" w14:textId="77777777" w:rsidR="008A5602" w:rsidRPr="00286216" w:rsidRDefault="008A5602" w:rsidP="008A5602">
            <w:pPr>
              <w:pStyle w:val="StyleZakonu"/>
              <w:rPr>
                <w:color w:val="000000" w:themeColor="text1"/>
              </w:rPr>
            </w:pPr>
          </w:p>
        </w:tc>
      </w:tr>
      <w:tr w:rsidR="008A5602" w:rsidRPr="00286216" w14:paraId="5C414069" w14:textId="77777777" w:rsidTr="00091AA5">
        <w:tc>
          <w:tcPr>
            <w:tcW w:w="576" w:type="dxa"/>
          </w:tcPr>
          <w:p w14:paraId="3B632DB9" w14:textId="77777777" w:rsidR="008A5602" w:rsidRPr="00286216" w:rsidRDefault="008A5602" w:rsidP="008A5602">
            <w:pPr>
              <w:pStyle w:val="StyleWisnow"/>
              <w:rPr>
                <w:color w:val="000000" w:themeColor="text1"/>
              </w:rPr>
            </w:pPr>
            <w:bookmarkStart w:id="3625" w:name="n3755" w:colFirst="0" w:colLast="0"/>
            <w:bookmarkEnd w:id="3624"/>
            <w:r w:rsidRPr="00286216">
              <w:rPr>
                <w:color w:val="000000" w:themeColor="text1"/>
              </w:rPr>
              <w:t>3755.</w:t>
            </w:r>
          </w:p>
        </w:tc>
        <w:tc>
          <w:tcPr>
            <w:tcW w:w="4818" w:type="dxa"/>
          </w:tcPr>
          <w:p w14:paraId="66DDF1D0" w14:textId="77777777" w:rsidR="008A5602" w:rsidRPr="00286216" w:rsidRDefault="008A5602" w:rsidP="008A5602">
            <w:pPr>
              <w:pStyle w:val="StyleZakonu"/>
              <w:rPr>
                <w:color w:val="000000" w:themeColor="text1"/>
              </w:rPr>
            </w:pPr>
            <w:r w:rsidRPr="00286216">
              <w:rPr>
                <w:color w:val="000000" w:themeColor="text1"/>
              </w:rPr>
              <w:t>а) у частині шостій слова "фондового ринку" замінити словами "риків капіталу";</w:t>
            </w:r>
          </w:p>
        </w:tc>
        <w:tc>
          <w:tcPr>
            <w:tcW w:w="3686" w:type="dxa"/>
          </w:tcPr>
          <w:p w14:paraId="6B92B012" w14:textId="0F308D1D"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1491</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57997E0" w14:textId="22D009DC"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Підпункт 7 пункту 44 розділу 3 доповнити підпунктом такого змісту:</w:t>
            </w:r>
          </w:p>
          <w:p w14:paraId="54C45799"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«а) у частині четвертій абзац другий доповнити слова «крім державних банків та Національного банку України».»</w:t>
            </w:r>
          </w:p>
        </w:tc>
        <w:tc>
          <w:tcPr>
            <w:tcW w:w="1987" w:type="dxa"/>
          </w:tcPr>
          <w:p w14:paraId="0B615FBA" w14:textId="77777777" w:rsidR="008A5602" w:rsidRPr="00286216" w:rsidRDefault="008A5602" w:rsidP="008A5602">
            <w:pPr>
              <w:pStyle w:val="StyleWisnow"/>
              <w:spacing w:line="180" w:lineRule="exact"/>
              <w:rPr>
                <w:color w:val="000000" w:themeColor="text1"/>
              </w:rPr>
            </w:pPr>
            <w:r w:rsidRPr="00286216">
              <w:rPr>
                <w:color w:val="000000" w:themeColor="text1"/>
              </w:rPr>
              <w:t xml:space="preserve">Відхилено </w:t>
            </w:r>
          </w:p>
          <w:p w14:paraId="31A21F90" w14:textId="5B4F45EA" w:rsidR="008A5602" w:rsidRPr="00286216" w:rsidRDefault="008A5602" w:rsidP="008A5602">
            <w:pPr>
              <w:pStyle w:val="StyleWisnow"/>
              <w:spacing w:line="180" w:lineRule="exact"/>
              <w:rPr>
                <w:color w:val="000000" w:themeColor="text1"/>
              </w:rPr>
            </w:pPr>
            <w:r w:rsidRPr="00286216">
              <w:rPr>
                <w:color w:val="000000" w:themeColor="text1"/>
              </w:rPr>
              <w:t>потребує вирішення в окремому законопроекті по інфраструктурі депозитарної системи</w:t>
            </w:r>
          </w:p>
        </w:tc>
        <w:tc>
          <w:tcPr>
            <w:tcW w:w="4818" w:type="dxa"/>
          </w:tcPr>
          <w:p w14:paraId="33A1AB9C" w14:textId="0546CC7A" w:rsidR="008A5602" w:rsidRPr="00286216" w:rsidRDefault="008A5602" w:rsidP="008A5602">
            <w:pPr>
              <w:pStyle w:val="StyleZakonu"/>
              <w:rPr>
                <w:color w:val="000000" w:themeColor="text1"/>
              </w:rPr>
            </w:pPr>
            <w:r w:rsidRPr="00286216">
              <w:rPr>
                <w:color w:val="000000" w:themeColor="text1"/>
              </w:rPr>
              <w:t>а) у частині шостій слова "фондового ринку" замінити словами "ринків капіталу";</w:t>
            </w:r>
          </w:p>
        </w:tc>
      </w:tr>
      <w:tr w:rsidR="008A5602" w:rsidRPr="00286216" w14:paraId="1BD6C24C" w14:textId="77777777" w:rsidTr="00091AA5">
        <w:tc>
          <w:tcPr>
            <w:tcW w:w="576" w:type="dxa"/>
          </w:tcPr>
          <w:p w14:paraId="4E50D396" w14:textId="77777777" w:rsidR="008A5602" w:rsidRPr="00286216" w:rsidRDefault="008A5602" w:rsidP="008A5602">
            <w:pPr>
              <w:pStyle w:val="StyleWisnow"/>
              <w:rPr>
                <w:color w:val="000000" w:themeColor="text1"/>
              </w:rPr>
            </w:pPr>
            <w:bookmarkStart w:id="3626" w:name="n3756" w:colFirst="0" w:colLast="0"/>
            <w:bookmarkEnd w:id="3625"/>
            <w:r w:rsidRPr="00286216">
              <w:rPr>
                <w:color w:val="000000" w:themeColor="text1"/>
              </w:rPr>
              <w:t>3756.</w:t>
            </w:r>
          </w:p>
        </w:tc>
        <w:tc>
          <w:tcPr>
            <w:tcW w:w="4818" w:type="dxa"/>
          </w:tcPr>
          <w:p w14:paraId="0DD1FA5C" w14:textId="77777777" w:rsidR="008A5602" w:rsidRPr="00286216" w:rsidRDefault="008A5602" w:rsidP="008A5602">
            <w:pPr>
              <w:pStyle w:val="StyleZakonu"/>
              <w:rPr>
                <w:color w:val="000000" w:themeColor="text1"/>
              </w:rPr>
            </w:pPr>
            <w:r w:rsidRPr="00286216">
              <w:rPr>
                <w:color w:val="000000" w:themeColor="text1"/>
              </w:rPr>
              <w:t>б) у частині восьмій:</w:t>
            </w:r>
          </w:p>
        </w:tc>
        <w:tc>
          <w:tcPr>
            <w:tcW w:w="3686" w:type="dxa"/>
          </w:tcPr>
          <w:p w14:paraId="4B7E5F3B" w14:textId="77777777" w:rsidR="008A5602" w:rsidRPr="00286216" w:rsidRDefault="008A5602" w:rsidP="008A5602">
            <w:pPr>
              <w:pStyle w:val="StyleProp"/>
              <w:rPr>
                <w:color w:val="000000" w:themeColor="text1"/>
                <w:szCs w:val="18"/>
              </w:rPr>
            </w:pPr>
          </w:p>
        </w:tc>
        <w:tc>
          <w:tcPr>
            <w:tcW w:w="1987" w:type="dxa"/>
          </w:tcPr>
          <w:p w14:paraId="4A184308" w14:textId="77777777" w:rsidR="008A5602" w:rsidRPr="00286216" w:rsidRDefault="008A5602" w:rsidP="008A5602">
            <w:pPr>
              <w:pStyle w:val="StyleWisnow"/>
              <w:rPr>
                <w:color w:val="000000" w:themeColor="text1"/>
              </w:rPr>
            </w:pPr>
          </w:p>
        </w:tc>
        <w:tc>
          <w:tcPr>
            <w:tcW w:w="4818" w:type="dxa"/>
          </w:tcPr>
          <w:p w14:paraId="1FD079A0" w14:textId="29C736F8" w:rsidR="008A5602" w:rsidRPr="00286216" w:rsidRDefault="008A5602" w:rsidP="008A5602">
            <w:pPr>
              <w:pStyle w:val="StyleZakonu"/>
              <w:rPr>
                <w:color w:val="000000" w:themeColor="text1"/>
              </w:rPr>
            </w:pPr>
            <w:r w:rsidRPr="00286216">
              <w:rPr>
                <w:color w:val="000000" w:themeColor="text1"/>
              </w:rPr>
              <w:t>б) у частині восьмій:</w:t>
            </w:r>
          </w:p>
        </w:tc>
      </w:tr>
      <w:tr w:rsidR="008A5602" w:rsidRPr="00286216" w14:paraId="59318A9E" w14:textId="77777777" w:rsidTr="00091AA5">
        <w:tc>
          <w:tcPr>
            <w:tcW w:w="576" w:type="dxa"/>
          </w:tcPr>
          <w:p w14:paraId="18E8A8EA" w14:textId="77777777" w:rsidR="008A5602" w:rsidRPr="00286216" w:rsidRDefault="008A5602" w:rsidP="008A5602">
            <w:pPr>
              <w:pStyle w:val="StyleWisnow"/>
              <w:rPr>
                <w:color w:val="000000" w:themeColor="text1"/>
              </w:rPr>
            </w:pPr>
            <w:bookmarkStart w:id="3627" w:name="n3757" w:colFirst="0" w:colLast="0"/>
            <w:bookmarkEnd w:id="3626"/>
            <w:r w:rsidRPr="00286216">
              <w:rPr>
                <w:color w:val="000000" w:themeColor="text1"/>
              </w:rPr>
              <w:t>3757.</w:t>
            </w:r>
          </w:p>
        </w:tc>
        <w:tc>
          <w:tcPr>
            <w:tcW w:w="4818" w:type="dxa"/>
          </w:tcPr>
          <w:p w14:paraId="30A4E18A" w14:textId="77777777" w:rsidR="008A5602" w:rsidRPr="00286216" w:rsidRDefault="008A5602" w:rsidP="008A5602">
            <w:pPr>
              <w:pStyle w:val="StyleZakonu"/>
              <w:rPr>
                <w:color w:val="000000" w:themeColor="text1"/>
              </w:rPr>
            </w:pPr>
            <w:r w:rsidRPr="00286216">
              <w:rPr>
                <w:color w:val="000000" w:themeColor="text1"/>
              </w:rPr>
              <w:t>у пункті 4 слова та знаки "здійснення нумерації (кодифікації)" замінити словами "присвоєння коду", доповнити пункт після слів "міжнародних ідентифікаційних номерів цінних паперів" абревіатурою та знаками "(ISIN)";</w:t>
            </w:r>
          </w:p>
        </w:tc>
        <w:tc>
          <w:tcPr>
            <w:tcW w:w="3686" w:type="dxa"/>
          </w:tcPr>
          <w:p w14:paraId="406D3E61" w14:textId="77777777" w:rsidR="008A5602" w:rsidRPr="00286216" w:rsidRDefault="008A5602" w:rsidP="008A5602">
            <w:pPr>
              <w:pStyle w:val="StyleProp"/>
              <w:rPr>
                <w:color w:val="000000" w:themeColor="text1"/>
                <w:szCs w:val="18"/>
              </w:rPr>
            </w:pPr>
          </w:p>
        </w:tc>
        <w:tc>
          <w:tcPr>
            <w:tcW w:w="1987" w:type="dxa"/>
          </w:tcPr>
          <w:p w14:paraId="39FEE183" w14:textId="77777777" w:rsidR="008A5602" w:rsidRPr="00286216" w:rsidRDefault="008A5602" w:rsidP="008A5602">
            <w:pPr>
              <w:pStyle w:val="StyleWisnow"/>
              <w:rPr>
                <w:color w:val="000000" w:themeColor="text1"/>
              </w:rPr>
            </w:pPr>
          </w:p>
        </w:tc>
        <w:tc>
          <w:tcPr>
            <w:tcW w:w="4818" w:type="dxa"/>
          </w:tcPr>
          <w:p w14:paraId="021E2301" w14:textId="09DB787F" w:rsidR="008A5602" w:rsidRPr="00286216" w:rsidRDefault="008A5602" w:rsidP="008A5602">
            <w:pPr>
              <w:pStyle w:val="StyleZakonu"/>
              <w:rPr>
                <w:color w:val="000000" w:themeColor="text1"/>
              </w:rPr>
            </w:pPr>
            <w:r w:rsidRPr="00286216">
              <w:rPr>
                <w:color w:val="000000" w:themeColor="text1"/>
              </w:rPr>
              <w:t>у пункті 4 слова "здійснення нумерації (кодифікації)" замінити словами "присвоєння коду", доповнити пункт після слів "міжнародних ідентифікаційних номерів цінних паперів" абревіатурою та знаками "(ISIN)";</w:t>
            </w:r>
          </w:p>
        </w:tc>
      </w:tr>
      <w:tr w:rsidR="008A5602" w:rsidRPr="00286216" w14:paraId="4633D6B4" w14:textId="77777777" w:rsidTr="00091AA5">
        <w:tc>
          <w:tcPr>
            <w:tcW w:w="576" w:type="dxa"/>
          </w:tcPr>
          <w:p w14:paraId="5C9FC483" w14:textId="77777777" w:rsidR="008A5602" w:rsidRPr="00286216" w:rsidRDefault="008A5602" w:rsidP="008A5602">
            <w:pPr>
              <w:pStyle w:val="StyleWisnow"/>
              <w:rPr>
                <w:color w:val="000000" w:themeColor="text1"/>
              </w:rPr>
            </w:pPr>
            <w:bookmarkStart w:id="3628" w:name="n3758" w:colFirst="0" w:colLast="0"/>
            <w:bookmarkEnd w:id="3627"/>
            <w:r w:rsidRPr="00286216">
              <w:rPr>
                <w:color w:val="000000" w:themeColor="text1"/>
              </w:rPr>
              <w:t>3758.</w:t>
            </w:r>
          </w:p>
        </w:tc>
        <w:tc>
          <w:tcPr>
            <w:tcW w:w="4818" w:type="dxa"/>
          </w:tcPr>
          <w:p w14:paraId="7842C2C2" w14:textId="77777777" w:rsidR="008A5602" w:rsidRPr="00286216" w:rsidRDefault="008A5602" w:rsidP="008A5602">
            <w:pPr>
              <w:pStyle w:val="StyleZakonu"/>
              <w:rPr>
                <w:color w:val="000000" w:themeColor="text1"/>
              </w:rPr>
            </w:pPr>
            <w:r w:rsidRPr="00286216">
              <w:rPr>
                <w:color w:val="000000" w:themeColor="text1"/>
              </w:rPr>
              <w:t>у пункті 7 слова "Розрахунковому центрі" замінити словами "Національному банку України";</w:t>
            </w:r>
          </w:p>
        </w:tc>
        <w:tc>
          <w:tcPr>
            <w:tcW w:w="3686" w:type="dxa"/>
          </w:tcPr>
          <w:p w14:paraId="34367F45" w14:textId="77777777" w:rsidR="008A5602" w:rsidRPr="00286216" w:rsidRDefault="008A5602" w:rsidP="008A5602">
            <w:pPr>
              <w:pStyle w:val="StyleProp"/>
              <w:rPr>
                <w:color w:val="000000" w:themeColor="text1"/>
                <w:szCs w:val="18"/>
              </w:rPr>
            </w:pPr>
          </w:p>
        </w:tc>
        <w:tc>
          <w:tcPr>
            <w:tcW w:w="1987" w:type="dxa"/>
          </w:tcPr>
          <w:p w14:paraId="29BD3809" w14:textId="77777777" w:rsidR="008A5602" w:rsidRPr="00286216" w:rsidRDefault="008A5602" w:rsidP="008A5602">
            <w:pPr>
              <w:pStyle w:val="StyleWisnow"/>
              <w:rPr>
                <w:color w:val="000000" w:themeColor="text1"/>
              </w:rPr>
            </w:pPr>
          </w:p>
        </w:tc>
        <w:tc>
          <w:tcPr>
            <w:tcW w:w="4818" w:type="dxa"/>
          </w:tcPr>
          <w:p w14:paraId="5B1B6D10" w14:textId="4D93ED5C" w:rsidR="008A5602" w:rsidRPr="00286216" w:rsidRDefault="008A5602" w:rsidP="008A5602">
            <w:pPr>
              <w:pStyle w:val="StyleZakonu"/>
              <w:rPr>
                <w:color w:val="000000" w:themeColor="text1"/>
              </w:rPr>
            </w:pPr>
            <w:r w:rsidRPr="00286216">
              <w:rPr>
                <w:color w:val="000000" w:themeColor="text1"/>
              </w:rPr>
              <w:t>у пункті 7 слова "Розрахунковому центрі" замінити словами "Національному банку України";</w:t>
            </w:r>
          </w:p>
        </w:tc>
      </w:tr>
      <w:tr w:rsidR="008A5602" w:rsidRPr="00286216" w14:paraId="261F3052" w14:textId="77777777" w:rsidTr="00091AA5">
        <w:tc>
          <w:tcPr>
            <w:tcW w:w="576" w:type="dxa"/>
          </w:tcPr>
          <w:p w14:paraId="4DC093B4" w14:textId="77777777" w:rsidR="008A5602" w:rsidRPr="00286216" w:rsidRDefault="008A5602" w:rsidP="008A5602">
            <w:pPr>
              <w:pStyle w:val="StyleWisnow"/>
              <w:rPr>
                <w:color w:val="000000" w:themeColor="text1"/>
              </w:rPr>
            </w:pPr>
            <w:bookmarkStart w:id="3629" w:name="n3759" w:colFirst="0" w:colLast="0"/>
            <w:bookmarkEnd w:id="3628"/>
            <w:r w:rsidRPr="00286216">
              <w:rPr>
                <w:color w:val="000000" w:themeColor="text1"/>
              </w:rPr>
              <w:t>3759.</w:t>
            </w:r>
          </w:p>
        </w:tc>
        <w:tc>
          <w:tcPr>
            <w:tcW w:w="4818" w:type="dxa"/>
          </w:tcPr>
          <w:p w14:paraId="6FEF31D6" w14:textId="77777777" w:rsidR="008A5602" w:rsidRPr="00286216" w:rsidRDefault="008A5602" w:rsidP="008A5602">
            <w:pPr>
              <w:pStyle w:val="StyleZakonu"/>
              <w:rPr>
                <w:color w:val="000000" w:themeColor="text1"/>
              </w:rPr>
            </w:pPr>
            <w:r w:rsidRPr="00286216">
              <w:rPr>
                <w:color w:val="000000" w:themeColor="text1"/>
              </w:rPr>
              <w:t>у пункті 8 слова "клірингових установ та Розрахункового центру" замінити словами "осіб, які провадять клірингову діяльність";</w:t>
            </w:r>
          </w:p>
        </w:tc>
        <w:tc>
          <w:tcPr>
            <w:tcW w:w="3686" w:type="dxa"/>
          </w:tcPr>
          <w:p w14:paraId="4657C997" w14:textId="77777777" w:rsidR="008A5602" w:rsidRPr="00286216" w:rsidRDefault="008A5602" w:rsidP="008A5602">
            <w:pPr>
              <w:pStyle w:val="StyleProp"/>
              <w:rPr>
                <w:color w:val="000000" w:themeColor="text1"/>
                <w:szCs w:val="18"/>
              </w:rPr>
            </w:pPr>
          </w:p>
        </w:tc>
        <w:tc>
          <w:tcPr>
            <w:tcW w:w="1987" w:type="dxa"/>
          </w:tcPr>
          <w:p w14:paraId="30DD8098" w14:textId="77777777" w:rsidR="008A5602" w:rsidRPr="00286216" w:rsidRDefault="008A5602" w:rsidP="008A5602">
            <w:pPr>
              <w:pStyle w:val="StyleWisnow"/>
              <w:rPr>
                <w:color w:val="000000" w:themeColor="text1"/>
              </w:rPr>
            </w:pPr>
          </w:p>
        </w:tc>
        <w:tc>
          <w:tcPr>
            <w:tcW w:w="4818" w:type="dxa"/>
          </w:tcPr>
          <w:p w14:paraId="3C9B1FC9" w14:textId="5A64A464" w:rsidR="008A5602" w:rsidRPr="00286216" w:rsidRDefault="008A5602" w:rsidP="008A5602">
            <w:pPr>
              <w:pStyle w:val="StyleZakonu"/>
              <w:rPr>
                <w:color w:val="000000" w:themeColor="text1"/>
              </w:rPr>
            </w:pPr>
            <w:r w:rsidRPr="00286216">
              <w:rPr>
                <w:color w:val="000000" w:themeColor="text1"/>
              </w:rPr>
              <w:t>у пункті 8 слова "клірингових установ та Розрахункового центру" замінити словами "осіб, які провадять клірингову діяльність";</w:t>
            </w:r>
          </w:p>
        </w:tc>
      </w:tr>
      <w:tr w:rsidR="008A5602" w:rsidRPr="00286216" w14:paraId="56E3DD95" w14:textId="77777777" w:rsidTr="00091AA5">
        <w:tc>
          <w:tcPr>
            <w:tcW w:w="576" w:type="dxa"/>
          </w:tcPr>
          <w:p w14:paraId="158D8C83" w14:textId="77777777" w:rsidR="008A5602" w:rsidRPr="00286216" w:rsidRDefault="008A5602" w:rsidP="008A5602">
            <w:pPr>
              <w:pStyle w:val="StyleWisnow"/>
              <w:rPr>
                <w:color w:val="000000" w:themeColor="text1"/>
              </w:rPr>
            </w:pPr>
            <w:bookmarkStart w:id="3630" w:name="n3760" w:colFirst="0" w:colLast="0"/>
            <w:bookmarkEnd w:id="3629"/>
            <w:r w:rsidRPr="00286216">
              <w:rPr>
                <w:color w:val="000000" w:themeColor="text1"/>
              </w:rPr>
              <w:t>3760.</w:t>
            </w:r>
          </w:p>
        </w:tc>
        <w:tc>
          <w:tcPr>
            <w:tcW w:w="4818" w:type="dxa"/>
          </w:tcPr>
          <w:p w14:paraId="72544571" w14:textId="77777777" w:rsidR="008A5602" w:rsidRPr="00286216" w:rsidRDefault="008A5602" w:rsidP="008A5602">
            <w:pPr>
              <w:pStyle w:val="StyleZakonu"/>
              <w:rPr>
                <w:color w:val="000000" w:themeColor="text1"/>
              </w:rPr>
            </w:pPr>
            <w:r w:rsidRPr="00286216">
              <w:rPr>
                <w:color w:val="000000" w:themeColor="text1"/>
              </w:rPr>
              <w:t xml:space="preserve">у пункті 9 слова "ринку цінних паперів" замінити </w:t>
            </w:r>
            <w:r w:rsidRPr="00286216">
              <w:rPr>
                <w:color w:val="000000" w:themeColor="text1"/>
              </w:rPr>
              <w:lastRenderedPageBreak/>
              <w:t>словами "ринках капіталу".</w:t>
            </w:r>
          </w:p>
        </w:tc>
        <w:tc>
          <w:tcPr>
            <w:tcW w:w="3686" w:type="dxa"/>
          </w:tcPr>
          <w:p w14:paraId="25F907AC" w14:textId="6F4720E2" w:rsidR="008A5602" w:rsidRPr="00286216" w:rsidRDefault="008A5602" w:rsidP="008A5602">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1492</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DA822A1"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lastRenderedPageBreak/>
              <w:t>Підпункт "б" підпункту 7 пункту 44 доповнити абзацами такого змісту:</w:t>
            </w:r>
          </w:p>
          <w:p w14:paraId="16456FD4"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"доповнити пунктом 13 такого змісту:</w:t>
            </w:r>
          </w:p>
          <w:p w14:paraId="00DFDCBB"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"13) Центральний депозитарій у Регламенті Центрального депозитарію встановлює вимоги до доступу та захисту інформації із спеціальним доступом".</w:t>
            </w:r>
          </w:p>
        </w:tc>
        <w:tc>
          <w:tcPr>
            <w:tcW w:w="1987" w:type="dxa"/>
          </w:tcPr>
          <w:p w14:paraId="272394B4" w14:textId="77777777" w:rsidR="008A5602" w:rsidRPr="00286216" w:rsidRDefault="008A5602" w:rsidP="008A5602">
            <w:pPr>
              <w:pStyle w:val="StyleWisnow"/>
              <w:rPr>
                <w:color w:val="000000" w:themeColor="text1"/>
              </w:rPr>
            </w:pPr>
            <w:r w:rsidRPr="00286216">
              <w:rPr>
                <w:color w:val="000000" w:themeColor="text1"/>
              </w:rPr>
              <w:lastRenderedPageBreak/>
              <w:t xml:space="preserve">Враховано по суті </w:t>
            </w:r>
          </w:p>
          <w:p w14:paraId="1B0C7BA9" w14:textId="77777777" w:rsidR="008A5602" w:rsidRPr="00286216" w:rsidRDefault="008A5602" w:rsidP="008A5602">
            <w:pPr>
              <w:pStyle w:val="StyleWisnow"/>
              <w:spacing w:line="180" w:lineRule="exact"/>
              <w:rPr>
                <w:color w:val="000000" w:themeColor="text1"/>
              </w:rPr>
            </w:pPr>
            <w:r w:rsidRPr="00286216">
              <w:rPr>
                <w:color w:val="000000" w:themeColor="text1"/>
              </w:rPr>
              <w:lastRenderedPageBreak/>
              <w:t xml:space="preserve">у статтях, що регулюють професійну таємницю </w:t>
            </w:r>
          </w:p>
        </w:tc>
        <w:tc>
          <w:tcPr>
            <w:tcW w:w="4818" w:type="dxa"/>
          </w:tcPr>
          <w:p w14:paraId="48F0BF33" w14:textId="43AA56FC" w:rsidR="008A5602" w:rsidRPr="00286216" w:rsidRDefault="008A5602" w:rsidP="008A5602">
            <w:pPr>
              <w:pStyle w:val="StyleZakonu"/>
              <w:rPr>
                <w:color w:val="000000" w:themeColor="text1"/>
              </w:rPr>
            </w:pPr>
            <w:r w:rsidRPr="00286216">
              <w:rPr>
                <w:color w:val="000000" w:themeColor="text1"/>
              </w:rPr>
              <w:lastRenderedPageBreak/>
              <w:t xml:space="preserve">у пункті 9 слова "ринку цінних паперів" замінити </w:t>
            </w:r>
            <w:r w:rsidRPr="00286216">
              <w:rPr>
                <w:color w:val="000000" w:themeColor="text1"/>
              </w:rPr>
              <w:lastRenderedPageBreak/>
              <w:t>словами "ринках капіталу";</w:t>
            </w:r>
          </w:p>
        </w:tc>
      </w:tr>
      <w:tr w:rsidR="008A5602" w:rsidRPr="00286216" w14:paraId="2CEDF448" w14:textId="77777777" w:rsidTr="00091AA5">
        <w:tc>
          <w:tcPr>
            <w:tcW w:w="576" w:type="dxa"/>
          </w:tcPr>
          <w:p w14:paraId="7EB87B63" w14:textId="77777777" w:rsidR="008A5602" w:rsidRPr="00286216" w:rsidRDefault="008A5602" w:rsidP="008A5602">
            <w:pPr>
              <w:pStyle w:val="StyleWisnow"/>
              <w:rPr>
                <w:color w:val="000000" w:themeColor="text1"/>
              </w:rPr>
            </w:pPr>
            <w:bookmarkStart w:id="3631" w:name="n3761" w:colFirst="0" w:colLast="0"/>
            <w:bookmarkEnd w:id="3630"/>
            <w:r w:rsidRPr="00286216">
              <w:rPr>
                <w:color w:val="000000" w:themeColor="text1"/>
              </w:rPr>
              <w:lastRenderedPageBreak/>
              <w:t>3761.</w:t>
            </w:r>
          </w:p>
        </w:tc>
        <w:tc>
          <w:tcPr>
            <w:tcW w:w="4818" w:type="dxa"/>
          </w:tcPr>
          <w:p w14:paraId="06627224" w14:textId="77777777" w:rsidR="008A5602" w:rsidRPr="00286216" w:rsidRDefault="008A5602" w:rsidP="008A5602">
            <w:pPr>
              <w:pStyle w:val="StyleZakonu"/>
              <w:rPr>
                <w:color w:val="000000" w:themeColor="text1"/>
              </w:rPr>
            </w:pPr>
            <w:r w:rsidRPr="00286216">
              <w:rPr>
                <w:color w:val="000000" w:themeColor="text1"/>
              </w:rPr>
              <w:t>в) у частині дев’ятій:</w:t>
            </w:r>
          </w:p>
        </w:tc>
        <w:tc>
          <w:tcPr>
            <w:tcW w:w="3686" w:type="dxa"/>
          </w:tcPr>
          <w:p w14:paraId="09C17538" w14:textId="77777777" w:rsidR="008A5602" w:rsidRPr="00286216" w:rsidRDefault="008A5602" w:rsidP="008A5602">
            <w:pPr>
              <w:pStyle w:val="StyleProp"/>
              <w:rPr>
                <w:color w:val="000000" w:themeColor="text1"/>
                <w:szCs w:val="18"/>
              </w:rPr>
            </w:pPr>
          </w:p>
        </w:tc>
        <w:tc>
          <w:tcPr>
            <w:tcW w:w="1987" w:type="dxa"/>
          </w:tcPr>
          <w:p w14:paraId="5DBAAA47" w14:textId="77777777" w:rsidR="008A5602" w:rsidRPr="00286216" w:rsidRDefault="008A5602" w:rsidP="008A5602">
            <w:pPr>
              <w:pStyle w:val="StyleWisnow"/>
              <w:rPr>
                <w:color w:val="000000" w:themeColor="text1"/>
              </w:rPr>
            </w:pPr>
          </w:p>
        </w:tc>
        <w:tc>
          <w:tcPr>
            <w:tcW w:w="4818" w:type="dxa"/>
          </w:tcPr>
          <w:p w14:paraId="5D2343D4" w14:textId="4FA5C469" w:rsidR="008A5602" w:rsidRPr="00286216" w:rsidRDefault="008A5602" w:rsidP="008A5602">
            <w:pPr>
              <w:pStyle w:val="StyleZakonu"/>
              <w:rPr>
                <w:color w:val="000000" w:themeColor="text1"/>
              </w:rPr>
            </w:pPr>
            <w:r w:rsidRPr="00286216">
              <w:rPr>
                <w:color w:val="000000" w:themeColor="text1"/>
              </w:rPr>
              <w:t>в) у частині дев’ятій:</w:t>
            </w:r>
          </w:p>
        </w:tc>
      </w:tr>
      <w:tr w:rsidR="008A5602" w:rsidRPr="00286216" w14:paraId="7B2BA147" w14:textId="77777777" w:rsidTr="00091AA5">
        <w:tc>
          <w:tcPr>
            <w:tcW w:w="576" w:type="dxa"/>
          </w:tcPr>
          <w:p w14:paraId="3FC146F2" w14:textId="77777777" w:rsidR="008A5602" w:rsidRPr="00286216" w:rsidRDefault="008A5602" w:rsidP="008A5602">
            <w:pPr>
              <w:pStyle w:val="StyleWisnow"/>
              <w:rPr>
                <w:color w:val="000000" w:themeColor="text1"/>
              </w:rPr>
            </w:pPr>
            <w:bookmarkStart w:id="3632" w:name="n3762" w:colFirst="0" w:colLast="0"/>
            <w:bookmarkEnd w:id="3631"/>
            <w:r w:rsidRPr="00286216">
              <w:rPr>
                <w:color w:val="000000" w:themeColor="text1"/>
              </w:rPr>
              <w:t>3762.</w:t>
            </w:r>
          </w:p>
        </w:tc>
        <w:tc>
          <w:tcPr>
            <w:tcW w:w="4818" w:type="dxa"/>
          </w:tcPr>
          <w:p w14:paraId="74CB951E" w14:textId="77777777" w:rsidR="008A5602" w:rsidRPr="00286216" w:rsidRDefault="008A5602" w:rsidP="008A5602">
            <w:pPr>
              <w:pStyle w:val="StyleZakonu"/>
              <w:rPr>
                <w:color w:val="000000" w:themeColor="text1"/>
              </w:rPr>
            </w:pPr>
            <w:r w:rsidRPr="00286216">
              <w:rPr>
                <w:color w:val="000000" w:themeColor="text1"/>
              </w:rPr>
              <w:t>абзаци перший та другий викласти в такій редакції:</w:t>
            </w:r>
          </w:p>
        </w:tc>
        <w:tc>
          <w:tcPr>
            <w:tcW w:w="3686" w:type="dxa"/>
          </w:tcPr>
          <w:p w14:paraId="41248C9F" w14:textId="77777777" w:rsidR="008A5602" w:rsidRPr="00286216" w:rsidRDefault="008A5602" w:rsidP="008A5602">
            <w:pPr>
              <w:pStyle w:val="StyleProp"/>
              <w:rPr>
                <w:color w:val="000000" w:themeColor="text1"/>
                <w:szCs w:val="18"/>
              </w:rPr>
            </w:pPr>
          </w:p>
        </w:tc>
        <w:tc>
          <w:tcPr>
            <w:tcW w:w="1987" w:type="dxa"/>
          </w:tcPr>
          <w:p w14:paraId="323378D1" w14:textId="77777777" w:rsidR="008A5602" w:rsidRPr="00286216" w:rsidRDefault="008A5602" w:rsidP="008A5602">
            <w:pPr>
              <w:pStyle w:val="StyleWisnow"/>
              <w:rPr>
                <w:color w:val="000000" w:themeColor="text1"/>
              </w:rPr>
            </w:pPr>
          </w:p>
        </w:tc>
        <w:tc>
          <w:tcPr>
            <w:tcW w:w="4818" w:type="dxa"/>
          </w:tcPr>
          <w:p w14:paraId="7BAEC795" w14:textId="5CB835BF" w:rsidR="008A5602" w:rsidRPr="00286216" w:rsidRDefault="008A5602" w:rsidP="008A5602">
            <w:pPr>
              <w:pStyle w:val="StyleZakonu"/>
              <w:rPr>
                <w:color w:val="000000" w:themeColor="text1"/>
              </w:rPr>
            </w:pPr>
            <w:r w:rsidRPr="00286216">
              <w:rPr>
                <w:color w:val="000000" w:themeColor="text1"/>
              </w:rPr>
              <w:t>абзаци перший та другий викласти в такій редакції:</w:t>
            </w:r>
          </w:p>
        </w:tc>
      </w:tr>
      <w:tr w:rsidR="008A5602" w:rsidRPr="00286216" w14:paraId="76D645D6" w14:textId="77777777" w:rsidTr="00091AA5">
        <w:tc>
          <w:tcPr>
            <w:tcW w:w="576" w:type="dxa"/>
          </w:tcPr>
          <w:p w14:paraId="53D70E43" w14:textId="77777777" w:rsidR="008A5602" w:rsidRPr="00286216" w:rsidRDefault="008A5602" w:rsidP="008A5602">
            <w:pPr>
              <w:pStyle w:val="StyleWisnow"/>
              <w:rPr>
                <w:color w:val="000000" w:themeColor="text1"/>
              </w:rPr>
            </w:pPr>
            <w:bookmarkStart w:id="3633" w:name="n3763" w:colFirst="0" w:colLast="0"/>
            <w:bookmarkEnd w:id="3632"/>
            <w:r w:rsidRPr="00286216">
              <w:rPr>
                <w:color w:val="000000" w:themeColor="text1"/>
              </w:rPr>
              <w:t>3763.</w:t>
            </w:r>
          </w:p>
        </w:tc>
        <w:tc>
          <w:tcPr>
            <w:tcW w:w="4818" w:type="dxa"/>
          </w:tcPr>
          <w:p w14:paraId="7C4B08B6" w14:textId="77777777" w:rsidR="008A5602" w:rsidRPr="00286216" w:rsidRDefault="008A5602" w:rsidP="008A5602">
            <w:pPr>
              <w:pStyle w:val="StyleZakonu"/>
              <w:rPr>
                <w:color w:val="000000" w:themeColor="text1"/>
              </w:rPr>
            </w:pPr>
            <w:r w:rsidRPr="00286216">
              <w:rPr>
                <w:color w:val="000000" w:themeColor="text1"/>
              </w:rPr>
              <w:t>"9. Центральний депозитарій може надавати емітенту послуги з організації та проведення загальних зборів акціонерів, зборів власників облігацій.";</w:t>
            </w:r>
          </w:p>
        </w:tc>
        <w:tc>
          <w:tcPr>
            <w:tcW w:w="3686" w:type="dxa"/>
          </w:tcPr>
          <w:p w14:paraId="659A2F4B" w14:textId="77777777" w:rsidR="008A5602" w:rsidRPr="00286216" w:rsidRDefault="008A5602" w:rsidP="008A5602">
            <w:pPr>
              <w:pStyle w:val="StyleProp"/>
              <w:rPr>
                <w:color w:val="000000" w:themeColor="text1"/>
                <w:szCs w:val="18"/>
              </w:rPr>
            </w:pPr>
          </w:p>
        </w:tc>
        <w:tc>
          <w:tcPr>
            <w:tcW w:w="1987" w:type="dxa"/>
          </w:tcPr>
          <w:p w14:paraId="67152FC7" w14:textId="77777777" w:rsidR="008A5602" w:rsidRPr="00286216" w:rsidRDefault="008A5602" w:rsidP="008A5602">
            <w:pPr>
              <w:pStyle w:val="StyleWisnow"/>
              <w:rPr>
                <w:color w:val="000000" w:themeColor="text1"/>
              </w:rPr>
            </w:pPr>
          </w:p>
        </w:tc>
        <w:tc>
          <w:tcPr>
            <w:tcW w:w="4818" w:type="dxa"/>
          </w:tcPr>
          <w:p w14:paraId="32D6D5D6" w14:textId="7BDE66B3" w:rsidR="008A5602" w:rsidRPr="00286216" w:rsidRDefault="008A5602" w:rsidP="008A5602">
            <w:pPr>
              <w:pStyle w:val="StyleZakonu"/>
              <w:rPr>
                <w:color w:val="000000" w:themeColor="text1"/>
              </w:rPr>
            </w:pPr>
            <w:r w:rsidRPr="00286216">
              <w:rPr>
                <w:color w:val="000000" w:themeColor="text1"/>
              </w:rPr>
              <w:t>"9. Центральний депозитарій може надавати емітенту послуги з організації та проведення загальних зборів акціонерів, зборів власників облігацій";</w:t>
            </w:r>
          </w:p>
        </w:tc>
      </w:tr>
      <w:tr w:rsidR="008A5602" w:rsidRPr="00286216" w14:paraId="251704E6" w14:textId="77777777" w:rsidTr="00091AA5">
        <w:tc>
          <w:tcPr>
            <w:tcW w:w="576" w:type="dxa"/>
          </w:tcPr>
          <w:p w14:paraId="15420D71" w14:textId="77777777" w:rsidR="008A5602" w:rsidRPr="00286216" w:rsidRDefault="008A5602" w:rsidP="008A5602">
            <w:pPr>
              <w:pStyle w:val="StyleWisnow"/>
              <w:rPr>
                <w:color w:val="000000" w:themeColor="text1"/>
              </w:rPr>
            </w:pPr>
            <w:bookmarkStart w:id="3634" w:name="n3764" w:colFirst="0" w:colLast="0"/>
            <w:bookmarkEnd w:id="3633"/>
            <w:r w:rsidRPr="00286216">
              <w:rPr>
                <w:color w:val="000000" w:themeColor="text1"/>
              </w:rPr>
              <w:t>3764.</w:t>
            </w:r>
          </w:p>
        </w:tc>
        <w:tc>
          <w:tcPr>
            <w:tcW w:w="4818" w:type="dxa"/>
          </w:tcPr>
          <w:p w14:paraId="220A74B4" w14:textId="77777777" w:rsidR="008A5602" w:rsidRPr="00286216" w:rsidRDefault="008A5602" w:rsidP="008A5602">
            <w:pPr>
              <w:pStyle w:val="StyleZakonu"/>
              <w:rPr>
                <w:color w:val="000000" w:themeColor="text1"/>
              </w:rPr>
            </w:pPr>
            <w:r w:rsidRPr="00286216">
              <w:rPr>
                <w:color w:val="000000" w:themeColor="text1"/>
              </w:rPr>
              <w:t>Центральний депозитарій може провадити діяльність торгового репозиторію за умови включення його до Реєстру торгових репозиторіїв та отримання свідоцтва про включення до Реєстру торгових репозиторіїв.";</w:t>
            </w:r>
          </w:p>
        </w:tc>
        <w:tc>
          <w:tcPr>
            <w:tcW w:w="3686" w:type="dxa"/>
          </w:tcPr>
          <w:p w14:paraId="062BF044" w14:textId="77777777" w:rsidR="008A5602" w:rsidRPr="00286216" w:rsidRDefault="008A5602" w:rsidP="008A5602">
            <w:pPr>
              <w:pStyle w:val="StyleProp"/>
              <w:rPr>
                <w:color w:val="000000" w:themeColor="text1"/>
                <w:szCs w:val="18"/>
              </w:rPr>
            </w:pPr>
          </w:p>
        </w:tc>
        <w:tc>
          <w:tcPr>
            <w:tcW w:w="1987" w:type="dxa"/>
          </w:tcPr>
          <w:p w14:paraId="5EAD1022" w14:textId="77777777" w:rsidR="008A5602" w:rsidRPr="00286216" w:rsidRDefault="008A5602" w:rsidP="008A5602">
            <w:pPr>
              <w:pStyle w:val="StyleWisnow"/>
              <w:rPr>
                <w:color w:val="000000" w:themeColor="text1"/>
              </w:rPr>
            </w:pPr>
          </w:p>
        </w:tc>
        <w:tc>
          <w:tcPr>
            <w:tcW w:w="4818" w:type="dxa"/>
          </w:tcPr>
          <w:p w14:paraId="3050C15E" w14:textId="6D55B6FE" w:rsidR="008A5602" w:rsidRPr="00286216" w:rsidRDefault="008A5602" w:rsidP="008A5602">
            <w:pPr>
              <w:pStyle w:val="StyleZakonu"/>
              <w:rPr>
                <w:color w:val="000000" w:themeColor="text1"/>
              </w:rPr>
            </w:pPr>
            <w:r w:rsidRPr="00286216">
              <w:rPr>
                <w:color w:val="000000" w:themeColor="text1"/>
              </w:rPr>
              <w:t>Центральний депозитарій може провадити діяльність торгового репозиторію за умови включення його до Реєстру торгових репозиторіїв та отримання свідоцтва про включення до Реєстру торгових репозиторіїв";</w:t>
            </w:r>
          </w:p>
        </w:tc>
      </w:tr>
      <w:tr w:rsidR="008A5602" w:rsidRPr="00286216" w14:paraId="779D1C79" w14:textId="77777777" w:rsidTr="00091AA5">
        <w:tc>
          <w:tcPr>
            <w:tcW w:w="576" w:type="dxa"/>
          </w:tcPr>
          <w:p w14:paraId="7F23A58C" w14:textId="77777777" w:rsidR="008A5602" w:rsidRPr="00286216" w:rsidRDefault="008A5602" w:rsidP="008A5602">
            <w:pPr>
              <w:pStyle w:val="StyleWisnow"/>
              <w:rPr>
                <w:color w:val="000000" w:themeColor="text1"/>
              </w:rPr>
            </w:pPr>
            <w:bookmarkStart w:id="3635" w:name="n3765" w:colFirst="0" w:colLast="0"/>
            <w:bookmarkEnd w:id="3634"/>
            <w:r w:rsidRPr="00286216">
              <w:rPr>
                <w:color w:val="000000" w:themeColor="text1"/>
              </w:rPr>
              <w:t>3765.</w:t>
            </w:r>
          </w:p>
        </w:tc>
        <w:tc>
          <w:tcPr>
            <w:tcW w:w="4818" w:type="dxa"/>
          </w:tcPr>
          <w:p w14:paraId="1592DC54" w14:textId="77777777" w:rsidR="008A5602" w:rsidRPr="00286216" w:rsidRDefault="008A5602" w:rsidP="008A5602">
            <w:pPr>
              <w:pStyle w:val="StyleZakonu"/>
              <w:rPr>
                <w:color w:val="000000" w:themeColor="text1"/>
              </w:rPr>
            </w:pPr>
            <w:r w:rsidRPr="00286216">
              <w:rPr>
                <w:color w:val="000000" w:themeColor="text1"/>
              </w:rPr>
              <w:t>після абзацу другого доповнити новим абзацом такого змісту:</w:t>
            </w:r>
          </w:p>
        </w:tc>
        <w:tc>
          <w:tcPr>
            <w:tcW w:w="3686" w:type="dxa"/>
          </w:tcPr>
          <w:p w14:paraId="3E1B4EB8" w14:textId="77777777" w:rsidR="008A5602" w:rsidRPr="00286216" w:rsidRDefault="008A5602" w:rsidP="008A5602">
            <w:pPr>
              <w:pStyle w:val="StyleProp"/>
              <w:rPr>
                <w:color w:val="000000" w:themeColor="text1"/>
                <w:szCs w:val="18"/>
              </w:rPr>
            </w:pPr>
          </w:p>
        </w:tc>
        <w:tc>
          <w:tcPr>
            <w:tcW w:w="1987" w:type="dxa"/>
          </w:tcPr>
          <w:p w14:paraId="38A7B845" w14:textId="77777777" w:rsidR="008A5602" w:rsidRPr="00286216" w:rsidRDefault="008A5602" w:rsidP="008A5602">
            <w:pPr>
              <w:pStyle w:val="StyleWisnow"/>
              <w:rPr>
                <w:color w:val="000000" w:themeColor="text1"/>
              </w:rPr>
            </w:pPr>
          </w:p>
        </w:tc>
        <w:tc>
          <w:tcPr>
            <w:tcW w:w="4818" w:type="dxa"/>
          </w:tcPr>
          <w:p w14:paraId="1554F73A" w14:textId="75BC6948" w:rsidR="008A5602" w:rsidRPr="00286216" w:rsidRDefault="008A5602" w:rsidP="008A5602">
            <w:pPr>
              <w:pStyle w:val="StyleZakonu"/>
              <w:rPr>
                <w:color w:val="000000" w:themeColor="text1"/>
              </w:rPr>
            </w:pPr>
            <w:r w:rsidRPr="00286216">
              <w:rPr>
                <w:color w:val="000000" w:themeColor="text1"/>
              </w:rPr>
              <w:t>після абзацу другого доповнити новим абзацом такого змісту:</w:t>
            </w:r>
          </w:p>
        </w:tc>
      </w:tr>
      <w:tr w:rsidR="008A5602" w:rsidRPr="00286216" w14:paraId="2412A0D6" w14:textId="77777777" w:rsidTr="00091AA5">
        <w:tc>
          <w:tcPr>
            <w:tcW w:w="576" w:type="dxa"/>
          </w:tcPr>
          <w:p w14:paraId="615A34D5" w14:textId="77777777" w:rsidR="008A5602" w:rsidRPr="00286216" w:rsidRDefault="008A5602" w:rsidP="008A5602">
            <w:pPr>
              <w:pStyle w:val="StyleWisnow"/>
              <w:rPr>
                <w:color w:val="000000" w:themeColor="text1"/>
              </w:rPr>
            </w:pPr>
            <w:bookmarkStart w:id="3636" w:name="n3766" w:colFirst="0" w:colLast="0"/>
            <w:bookmarkEnd w:id="3635"/>
            <w:r w:rsidRPr="00286216">
              <w:rPr>
                <w:color w:val="000000" w:themeColor="text1"/>
              </w:rPr>
              <w:t>3766.</w:t>
            </w:r>
          </w:p>
        </w:tc>
        <w:tc>
          <w:tcPr>
            <w:tcW w:w="4818" w:type="dxa"/>
          </w:tcPr>
          <w:p w14:paraId="5CA9B85A" w14:textId="77777777" w:rsidR="008A5602" w:rsidRPr="00286216" w:rsidRDefault="008A5602" w:rsidP="008A5602">
            <w:pPr>
              <w:pStyle w:val="StyleZakonu"/>
              <w:rPr>
                <w:color w:val="000000" w:themeColor="text1"/>
              </w:rPr>
            </w:pPr>
            <w:r w:rsidRPr="00286216">
              <w:rPr>
                <w:color w:val="000000" w:themeColor="text1"/>
              </w:rPr>
              <w:t>"Центральний депозитарій може присвоювати код юридичним особам, в тому числі нерезидентам, відповідно до міжнародних норм, ведення реєстру кодів юридичних осіб (міжнародних ідентифікаційних кодів юридичних осіб (кодів LEI).".</w:t>
            </w:r>
          </w:p>
        </w:tc>
        <w:tc>
          <w:tcPr>
            <w:tcW w:w="3686" w:type="dxa"/>
          </w:tcPr>
          <w:p w14:paraId="761240E4" w14:textId="2D18FB4C"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5504FC2" w14:textId="77777777" w:rsidR="008A5602" w:rsidRPr="00286216" w:rsidRDefault="008A5602" w:rsidP="008A5602">
            <w:pPr>
              <w:pStyle w:val="StyleProp"/>
              <w:rPr>
                <w:rFonts w:eastAsia="Calibri"/>
                <w:color w:val="000000" w:themeColor="text1"/>
                <w:szCs w:val="18"/>
              </w:rPr>
            </w:pPr>
            <w:r w:rsidRPr="00286216">
              <w:rPr>
                <w:rFonts w:eastAsia="Calibri"/>
                <w:color w:val="000000" w:themeColor="text1"/>
                <w:szCs w:val="18"/>
              </w:rPr>
              <w:t>Підпункт "в" підпункту 7 пункту 44 розділу 3 доповнити абзацами такого змісту:</w:t>
            </w:r>
          </w:p>
          <w:p w14:paraId="651092BA" w14:textId="77777777" w:rsidR="008A5602" w:rsidRPr="00286216" w:rsidRDefault="008A5602" w:rsidP="008A5602">
            <w:pPr>
              <w:pStyle w:val="StyleProp"/>
              <w:spacing w:line="180" w:lineRule="exact"/>
              <w:rPr>
                <w:rFonts w:eastAsia="Calibri"/>
                <w:color w:val="000000" w:themeColor="text1"/>
                <w:szCs w:val="18"/>
              </w:rPr>
            </w:pPr>
            <w:r w:rsidRPr="00286216">
              <w:rPr>
                <w:rFonts w:eastAsia="Calibri"/>
                <w:color w:val="000000" w:themeColor="text1"/>
                <w:szCs w:val="18"/>
              </w:rPr>
              <w:t>"</w:t>
            </w:r>
            <w:r w:rsidRPr="00286216">
              <w:rPr>
                <w:rFonts w:eastAsia="Calibri"/>
                <w:color w:val="000000" w:themeColor="text1"/>
                <w:spacing w:val="-3"/>
                <w:szCs w:val="18"/>
              </w:rPr>
              <w:t>Центральний депозитарій може присвоювати коди цінних паперів відповідно до міжнародних норм, ведення реєстру кодів цінних паперів (міжнародних ідентифікаційних номерів цінних паперів (ISIN))".</w:t>
            </w:r>
          </w:p>
        </w:tc>
        <w:tc>
          <w:tcPr>
            <w:tcW w:w="1987" w:type="dxa"/>
          </w:tcPr>
          <w:p w14:paraId="47D9CDD3" w14:textId="77777777" w:rsidR="008A5602" w:rsidRPr="00286216" w:rsidRDefault="008A5602" w:rsidP="008A5602">
            <w:pPr>
              <w:pStyle w:val="StyleWisnow"/>
              <w:rPr>
                <w:color w:val="000000" w:themeColor="text1"/>
              </w:rPr>
            </w:pPr>
            <w:r w:rsidRPr="00286216">
              <w:rPr>
                <w:color w:val="000000" w:themeColor="text1"/>
              </w:rPr>
              <w:t xml:space="preserve">Відхилено </w:t>
            </w:r>
          </w:p>
          <w:p w14:paraId="09B9F2D8" w14:textId="71986ED7" w:rsidR="008A5602" w:rsidRPr="00286216" w:rsidRDefault="008A5602" w:rsidP="008A5602">
            <w:pPr>
              <w:pStyle w:val="StyleWisnow"/>
              <w:spacing w:line="180" w:lineRule="exact"/>
              <w:rPr>
                <w:color w:val="000000" w:themeColor="text1"/>
              </w:rPr>
            </w:pPr>
            <w:r w:rsidRPr="00286216">
              <w:rPr>
                <w:color w:val="000000" w:themeColor="text1"/>
              </w:rPr>
              <w:t>суперечить ISO 6166</w:t>
            </w:r>
          </w:p>
        </w:tc>
        <w:tc>
          <w:tcPr>
            <w:tcW w:w="4818" w:type="dxa"/>
          </w:tcPr>
          <w:p w14:paraId="3DA5FE1E" w14:textId="78D7D9E2" w:rsidR="008A5602" w:rsidRPr="00286216" w:rsidRDefault="008A5602" w:rsidP="008A5602">
            <w:pPr>
              <w:pStyle w:val="StyleZakonu"/>
              <w:rPr>
                <w:color w:val="000000" w:themeColor="text1"/>
              </w:rPr>
            </w:pPr>
            <w:r w:rsidRPr="00286216">
              <w:rPr>
                <w:color w:val="000000" w:themeColor="text1"/>
              </w:rPr>
              <w:t>"Центральний депозитарій може присвоювати код юридичним особам,  у тому числі нерезидентам, відповідно до міжнародних норм, ведення реєстру кодів юридичних осіб (міжнародних ідентифікаційних кодів юридичних осіб (кодів LEI)".</w:t>
            </w:r>
          </w:p>
        </w:tc>
      </w:tr>
      <w:tr w:rsidR="008A5602" w:rsidRPr="00286216" w14:paraId="44D93673" w14:textId="77777777" w:rsidTr="00091AA5">
        <w:tc>
          <w:tcPr>
            <w:tcW w:w="576" w:type="dxa"/>
          </w:tcPr>
          <w:p w14:paraId="79B106B5" w14:textId="77777777" w:rsidR="008A5602" w:rsidRPr="00286216" w:rsidRDefault="008A5602" w:rsidP="008A5602">
            <w:pPr>
              <w:pStyle w:val="StyleWisnow"/>
              <w:rPr>
                <w:color w:val="000000" w:themeColor="text1"/>
              </w:rPr>
            </w:pPr>
            <w:bookmarkStart w:id="3637" w:name="n3767" w:colFirst="0" w:colLast="0"/>
            <w:bookmarkEnd w:id="3636"/>
            <w:r w:rsidRPr="00286216">
              <w:rPr>
                <w:color w:val="000000" w:themeColor="text1"/>
              </w:rPr>
              <w:t>3767.</w:t>
            </w:r>
          </w:p>
        </w:tc>
        <w:tc>
          <w:tcPr>
            <w:tcW w:w="4818" w:type="dxa"/>
          </w:tcPr>
          <w:p w14:paraId="175B4D36" w14:textId="77777777" w:rsidR="008A5602" w:rsidRPr="00286216" w:rsidRDefault="008A5602" w:rsidP="008A5602">
            <w:pPr>
              <w:pStyle w:val="StyleZakonu"/>
              <w:rPr>
                <w:color w:val="000000" w:themeColor="text1"/>
              </w:rPr>
            </w:pPr>
            <w:r w:rsidRPr="00286216">
              <w:rPr>
                <w:color w:val="000000" w:themeColor="text1"/>
              </w:rPr>
              <w:t>У зв’язку з цим абзац третій вважати абзацом четвертим;</w:t>
            </w:r>
          </w:p>
        </w:tc>
        <w:tc>
          <w:tcPr>
            <w:tcW w:w="3686" w:type="dxa"/>
          </w:tcPr>
          <w:p w14:paraId="24ADC30C" w14:textId="2939FCB8"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1494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9206034"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Підпункт 9 пункту 40 розділу 3 (внесення змін до Закону України «Про депозитарну систему України») доповнити підпунктом г) в такій редакції:</w:t>
            </w:r>
          </w:p>
          <w:p w14:paraId="2A177140"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«г) частину десяту викласти в такій редакції:</w:t>
            </w:r>
          </w:p>
          <w:p w14:paraId="60606D3A"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«10. Розміри тарифів на оплату послуг Центрального депозитарію встановлюються Центральним депозитарієм за погодженням з Комісією та Антимонопольним комітетом України».</w:t>
            </w:r>
          </w:p>
        </w:tc>
        <w:tc>
          <w:tcPr>
            <w:tcW w:w="1987" w:type="dxa"/>
          </w:tcPr>
          <w:p w14:paraId="6E4B4720" w14:textId="77777777" w:rsidR="008A5602" w:rsidRPr="00286216" w:rsidRDefault="008A5602" w:rsidP="008A5602">
            <w:pPr>
              <w:pStyle w:val="StyleWisnow"/>
              <w:rPr>
                <w:color w:val="000000" w:themeColor="text1"/>
              </w:rPr>
            </w:pPr>
            <w:r w:rsidRPr="00286216">
              <w:rPr>
                <w:color w:val="000000" w:themeColor="text1"/>
              </w:rPr>
              <w:t>Відхилено</w:t>
            </w:r>
          </w:p>
          <w:p w14:paraId="58F47688" w14:textId="77777777" w:rsidR="008A5602" w:rsidRPr="00286216" w:rsidRDefault="008A5602" w:rsidP="008A5602">
            <w:pPr>
              <w:pStyle w:val="StyleWisnow"/>
              <w:spacing w:line="180" w:lineRule="exact"/>
              <w:rPr>
                <w:color w:val="000000" w:themeColor="text1"/>
              </w:rPr>
            </w:pPr>
            <w:r w:rsidRPr="00286216">
              <w:rPr>
                <w:color w:val="000000" w:themeColor="text1"/>
              </w:rPr>
              <w:t>Не передбачено Законом України «Про захист економічної конкуренції» та Законом України «Про державне регулювання ринку цінних паперів»</w:t>
            </w:r>
          </w:p>
        </w:tc>
        <w:tc>
          <w:tcPr>
            <w:tcW w:w="4818" w:type="dxa"/>
          </w:tcPr>
          <w:p w14:paraId="35742C6E" w14:textId="2B7DA02E" w:rsidR="008A5602" w:rsidRPr="00286216" w:rsidRDefault="008A5602" w:rsidP="008A5602">
            <w:pPr>
              <w:pStyle w:val="StyleZakonu"/>
              <w:rPr>
                <w:color w:val="000000" w:themeColor="text1"/>
              </w:rPr>
            </w:pPr>
            <w:r w:rsidRPr="00286216">
              <w:rPr>
                <w:color w:val="000000" w:themeColor="text1"/>
              </w:rPr>
              <w:t>У зв’язку з цим абзац третій вважати абзацом четвертим;</w:t>
            </w:r>
          </w:p>
        </w:tc>
      </w:tr>
      <w:bookmarkEnd w:id="3637"/>
      <w:tr w:rsidR="008A5602" w:rsidRPr="00286216" w14:paraId="1AED87AE" w14:textId="77777777" w:rsidTr="00091AA5">
        <w:tc>
          <w:tcPr>
            <w:tcW w:w="576" w:type="dxa"/>
          </w:tcPr>
          <w:p w14:paraId="5C0AC659" w14:textId="77777777" w:rsidR="008A5602" w:rsidRPr="00286216" w:rsidRDefault="008A5602" w:rsidP="008A5602">
            <w:pPr>
              <w:pStyle w:val="StyleWisnow"/>
              <w:rPr>
                <w:color w:val="000000" w:themeColor="text1"/>
              </w:rPr>
            </w:pPr>
          </w:p>
        </w:tc>
        <w:tc>
          <w:tcPr>
            <w:tcW w:w="4818" w:type="dxa"/>
          </w:tcPr>
          <w:p w14:paraId="246825BE" w14:textId="77777777" w:rsidR="008A5602" w:rsidRPr="00286216" w:rsidRDefault="008A5602" w:rsidP="008A5602">
            <w:pPr>
              <w:pStyle w:val="StyleZakonu"/>
              <w:rPr>
                <w:color w:val="000000" w:themeColor="text1"/>
              </w:rPr>
            </w:pPr>
          </w:p>
        </w:tc>
        <w:tc>
          <w:tcPr>
            <w:tcW w:w="3686" w:type="dxa"/>
          </w:tcPr>
          <w:p w14:paraId="4A7CA298" w14:textId="594B3876"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2A768061" w14:textId="77777777" w:rsidR="008A5602" w:rsidRPr="00286216" w:rsidRDefault="008A5602" w:rsidP="008A5602">
            <w:pPr>
              <w:pStyle w:val="StyleProp"/>
              <w:spacing w:line="180" w:lineRule="exact"/>
              <w:rPr>
                <w:rFonts w:eastAsia="Calibri"/>
                <w:color w:val="000000" w:themeColor="text1"/>
                <w:szCs w:val="18"/>
              </w:rPr>
            </w:pPr>
            <w:r w:rsidRPr="00286216">
              <w:rPr>
                <w:rFonts w:eastAsia="Calibri"/>
                <w:color w:val="000000" w:themeColor="text1"/>
                <w:szCs w:val="18"/>
              </w:rPr>
              <w:t>Підпункт 7 пункту 44 розділу 3 після підпункту "в" доповнити новим підпунктом такого змісту:</w:t>
            </w:r>
          </w:p>
          <w:p w14:paraId="1F27D6F1" w14:textId="77777777" w:rsidR="008A5602" w:rsidRPr="00286216" w:rsidRDefault="008A5602" w:rsidP="008A5602">
            <w:pPr>
              <w:pStyle w:val="StyleProp"/>
              <w:spacing w:line="180" w:lineRule="exact"/>
              <w:rPr>
                <w:rFonts w:eastAsia="Calibri"/>
                <w:color w:val="000000" w:themeColor="text1"/>
                <w:szCs w:val="18"/>
              </w:rPr>
            </w:pPr>
            <w:r w:rsidRPr="00286216">
              <w:rPr>
                <w:rFonts w:eastAsia="Calibri"/>
                <w:color w:val="000000" w:themeColor="text1"/>
                <w:szCs w:val="18"/>
              </w:rPr>
              <w:t>"частину десяту викласти у такій редакції:</w:t>
            </w:r>
          </w:p>
          <w:p w14:paraId="566D9CE3" w14:textId="77777777" w:rsidR="008A5602" w:rsidRPr="00286216" w:rsidRDefault="008A5602" w:rsidP="008A5602">
            <w:pPr>
              <w:pStyle w:val="StyleProp"/>
              <w:spacing w:line="180" w:lineRule="exact"/>
              <w:rPr>
                <w:rFonts w:eastAsia="Calibri"/>
                <w:color w:val="000000" w:themeColor="text1"/>
                <w:szCs w:val="18"/>
              </w:rPr>
            </w:pPr>
            <w:r w:rsidRPr="00286216">
              <w:rPr>
                <w:rFonts w:eastAsia="Calibri"/>
                <w:color w:val="000000" w:themeColor="text1"/>
                <w:szCs w:val="18"/>
              </w:rPr>
              <w:t xml:space="preserve">"10. Розміри тарифів на оплату послуг Центрального депозитарію встановлюються Центральним депозитарієм за погодженням з Комісією та Антимонопольним комітетом </w:t>
            </w:r>
            <w:r w:rsidRPr="00286216">
              <w:rPr>
                <w:rFonts w:eastAsia="Calibri"/>
                <w:color w:val="000000" w:themeColor="text1"/>
                <w:szCs w:val="18"/>
              </w:rPr>
              <w:lastRenderedPageBreak/>
              <w:t>України".</w:t>
            </w:r>
          </w:p>
        </w:tc>
        <w:tc>
          <w:tcPr>
            <w:tcW w:w="1987" w:type="dxa"/>
          </w:tcPr>
          <w:p w14:paraId="4628994A" w14:textId="77777777" w:rsidR="008A5602" w:rsidRPr="00286216" w:rsidRDefault="008A5602" w:rsidP="008A5602">
            <w:pPr>
              <w:pStyle w:val="StyleWisnow"/>
              <w:rPr>
                <w:color w:val="000000" w:themeColor="text1"/>
              </w:rPr>
            </w:pPr>
            <w:r w:rsidRPr="00286216">
              <w:rPr>
                <w:color w:val="000000" w:themeColor="text1"/>
              </w:rPr>
              <w:lastRenderedPageBreak/>
              <w:t>Відхилено</w:t>
            </w:r>
          </w:p>
          <w:p w14:paraId="1E8D8A25" w14:textId="77777777" w:rsidR="008A5602" w:rsidRPr="00286216" w:rsidRDefault="008A5602" w:rsidP="008A5602">
            <w:pPr>
              <w:pStyle w:val="StyleWisnow"/>
              <w:spacing w:line="180" w:lineRule="exact"/>
              <w:rPr>
                <w:color w:val="000000" w:themeColor="text1"/>
              </w:rPr>
            </w:pPr>
            <w:r w:rsidRPr="00286216">
              <w:rPr>
                <w:color w:val="000000" w:themeColor="text1"/>
              </w:rPr>
              <w:t>Не передбачено Законом України «Про захист економічної конкуренції» та Законом України «Про державне регулювання ринку цінних паперів»</w:t>
            </w:r>
          </w:p>
        </w:tc>
        <w:tc>
          <w:tcPr>
            <w:tcW w:w="4818" w:type="dxa"/>
          </w:tcPr>
          <w:p w14:paraId="36F97440" w14:textId="77777777" w:rsidR="008A5602" w:rsidRPr="00286216" w:rsidRDefault="008A5602" w:rsidP="008A5602">
            <w:pPr>
              <w:pStyle w:val="StyleZakonu"/>
              <w:rPr>
                <w:color w:val="000000" w:themeColor="text1"/>
              </w:rPr>
            </w:pPr>
          </w:p>
        </w:tc>
      </w:tr>
      <w:tr w:rsidR="008A5602" w:rsidRPr="00286216" w14:paraId="63501607" w14:textId="77777777" w:rsidTr="00091AA5">
        <w:tc>
          <w:tcPr>
            <w:tcW w:w="576" w:type="dxa"/>
          </w:tcPr>
          <w:p w14:paraId="257ADC2E" w14:textId="77777777" w:rsidR="008A5602" w:rsidRPr="00286216" w:rsidRDefault="008A5602" w:rsidP="008A5602">
            <w:pPr>
              <w:pStyle w:val="StyleWisnow"/>
              <w:rPr>
                <w:color w:val="000000" w:themeColor="text1"/>
              </w:rPr>
            </w:pPr>
            <w:bookmarkStart w:id="3638" w:name="n3768" w:colFirst="0" w:colLast="0"/>
            <w:r w:rsidRPr="00286216">
              <w:rPr>
                <w:color w:val="000000" w:themeColor="text1"/>
              </w:rPr>
              <w:t>3768.</w:t>
            </w:r>
          </w:p>
        </w:tc>
        <w:tc>
          <w:tcPr>
            <w:tcW w:w="4818" w:type="dxa"/>
          </w:tcPr>
          <w:p w14:paraId="755D8C80" w14:textId="77777777" w:rsidR="008A5602" w:rsidRPr="00286216" w:rsidRDefault="008A5602" w:rsidP="008A5602">
            <w:pPr>
              <w:pStyle w:val="StyleZakonu"/>
              <w:rPr>
                <w:color w:val="000000" w:themeColor="text1"/>
              </w:rPr>
            </w:pPr>
            <w:r w:rsidRPr="00286216">
              <w:rPr>
                <w:color w:val="000000" w:themeColor="text1"/>
              </w:rPr>
              <w:t>г) у частині тринадцятій слова "грошовий рахунок у Розрахунковому центрі" замінити словами "рахунок у Національному банку України", після слів "не може бути" доповнити словами та знаками "накладено арешт, ".</w:t>
            </w:r>
          </w:p>
        </w:tc>
        <w:tc>
          <w:tcPr>
            <w:tcW w:w="3686" w:type="dxa"/>
          </w:tcPr>
          <w:p w14:paraId="20E408C2" w14:textId="6B4640DF"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1496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730B07F"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Підпункт 7 пункту 44 розділу 4  доповнити підпунктом такого змісту:</w:t>
            </w:r>
          </w:p>
          <w:p w14:paraId="51EFF6EA"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«д) доповнити статтю 9 новою частиною такого змісту:</w:t>
            </w:r>
          </w:p>
          <w:p w14:paraId="7DE055BB"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«15. Забороняється накладати арешт та інші обмеження прав на цінні папери, а також здійснювати примусове звернення стягнення на цінні папери, що знаходяться на рахунках у цінних паперах клірингових установ, відкритих у Центральному депозитарії, Національному банку України в межах повноважень».</w:t>
            </w:r>
          </w:p>
        </w:tc>
        <w:tc>
          <w:tcPr>
            <w:tcW w:w="1987" w:type="dxa"/>
          </w:tcPr>
          <w:p w14:paraId="2245E843"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21CF2C39" w14:textId="77777777" w:rsidR="008A5602" w:rsidRPr="00286216" w:rsidRDefault="008A5602" w:rsidP="008A5602">
            <w:pPr>
              <w:pStyle w:val="StyleZakonu"/>
              <w:rPr>
                <w:color w:val="000000" w:themeColor="text1"/>
              </w:rPr>
            </w:pPr>
            <w:r w:rsidRPr="00286216">
              <w:rPr>
                <w:color w:val="000000" w:themeColor="text1"/>
              </w:rPr>
              <w:t>г) у частині тринадцятій слова "грошовий рахунок у Розрахунковому центрі" замінити словами "рахунок у Національному банку України", після слів "не може бути" доповнити словами "накладено арешт";</w:t>
            </w:r>
          </w:p>
          <w:p w14:paraId="23E044D3" w14:textId="5FAF3FEC" w:rsidR="008A5602" w:rsidRPr="00286216" w:rsidRDefault="008A5602" w:rsidP="008A5602">
            <w:pPr>
              <w:pStyle w:val="StyleZakonu"/>
              <w:rPr>
                <w:color w:val="000000" w:themeColor="text1"/>
              </w:rPr>
            </w:pPr>
            <w:r w:rsidRPr="00286216">
              <w:rPr>
                <w:color w:val="000000" w:themeColor="text1"/>
              </w:rPr>
              <w:t>ґ) статтю 9 доповнити частиною п’ятнадцятою такого змісту:</w:t>
            </w:r>
          </w:p>
          <w:p w14:paraId="51FC9E41" w14:textId="6DBD1C61" w:rsidR="008A5602" w:rsidRPr="00286216" w:rsidRDefault="008A5602" w:rsidP="008A5602">
            <w:pPr>
              <w:pStyle w:val="StyleZakonu"/>
              <w:rPr>
                <w:color w:val="000000" w:themeColor="text1"/>
              </w:rPr>
            </w:pPr>
            <w:r w:rsidRPr="00286216">
              <w:rPr>
                <w:color w:val="000000" w:themeColor="text1"/>
              </w:rPr>
              <w:t>"15. Забороняється накладати арешт та інші обмеження прав на цінні папери, а також здійснювати примусове звернення стягнення на цінні папери, що знаходяться на рахунках у цінних паперах клірингових установ, відкритих у Центральному депозитарії, Національному банку України в межах повноважень";</w:t>
            </w:r>
          </w:p>
        </w:tc>
      </w:tr>
      <w:tr w:rsidR="008A5602" w:rsidRPr="00286216" w14:paraId="2C6B3B3D" w14:textId="77777777" w:rsidTr="00091AA5">
        <w:tc>
          <w:tcPr>
            <w:tcW w:w="576" w:type="dxa"/>
          </w:tcPr>
          <w:p w14:paraId="1269F266" w14:textId="77777777" w:rsidR="008A5602" w:rsidRPr="00286216" w:rsidRDefault="008A5602" w:rsidP="008A5602">
            <w:pPr>
              <w:pStyle w:val="StyleWisnow"/>
              <w:rPr>
                <w:color w:val="000000" w:themeColor="text1"/>
              </w:rPr>
            </w:pPr>
            <w:bookmarkStart w:id="3639" w:name="n3769" w:colFirst="0" w:colLast="0"/>
            <w:bookmarkEnd w:id="3638"/>
            <w:r w:rsidRPr="00286216">
              <w:rPr>
                <w:color w:val="000000" w:themeColor="text1"/>
              </w:rPr>
              <w:t>3769.</w:t>
            </w:r>
          </w:p>
        </w:tc>
        <w:tc>
          <w:tcPr>
            <w:tcW w:w="4818" w:type="dxa"/>
          </w:tcPr>
          <w:p w14:paraId="0584DD18" w14:textId="77777777" w:rsidR="008A5602" w:rsidRPr="00286216" w:rsidRDefault="008A5602" w:rsidP="008A5602">
            <w:pPr>
              <w:pStyle w:val="StyleZakonu"/>
              <w:rPr>
                <w:color w:val="000000" w:themeColor="text1"/>
              </w:rPr>
            </w:pPr>
            <w:r w:rsidRPr="00286216">
              <w:rPr>
                <w:color w:val="000000" w:themeColor="text1"/>
              </w:rPr>
              <w:t>8) у статті 12:</w:t>
            </w:r>
          </w:p>
        </w:tc>
        <w:tc>
          <w:tcPr>
            <w:tcW w:w="3686" w:type="dxa"/>
          </w:tcPr>
          <w:p w14:paraId="5522915F" w14:textId="77777777" w:rsidR="008A5602" w:rsidRPr="00286216" w:rsidRDefault="008A5602" w:rsidP="008A5602">
            <w:pPr>
              <w:pStyle w:val="StyleProp"/>
              <w:rPr>
                <w:color w:val="000000" w:themeColor="text1"/>
                <w:szCs w:val="18"/>
              </w:rPr>
            </w:pPr>
          </w:p>
        </w:tc>
        <w:tc>
          <w:tcPr>
            <w:tcW w:w="1987" w:type="dxa"/>
          </w:tcPr>
          <w:p w14:paraId="2A2FD76F" w14:textId="77777777" w:rsidR="008A5602" w:rsidRPr="00286216" w:rsidRDefault="008A5602" w:rsidP="008A5602">
            <w:pPr>
              <w:pStyle w:val="StyleWisnow"/>
              <w:rPr>
                <w:color w:val="000000" w:themeColor="text1"/>
              </w:rPr>
            </w:pPr>
          </w:p>
        </w:tc>
        <w:tc>
          <w:tcPr>
            <w:tcW w:w="4818" w:type="dxa"/>
          </w:tcPr>
          <w:p w14:paraId="086882B6" w14:textId="34149363" w:rsidR="008A5602" w:rsidRPr="00286216" w:rsidRDefault="008A5602" w:rsidP="008A5602">
            <w:pPr>
              <w:pStyle w:val="StyleZakonu"/>
              <w:rPr>
                <w:color w:val="000000" w:themeColor="text1"/>
              </w:rPr>
            </w:pPr>
            <w:r w:rsidRPr="00286216">
              <w:rPr>
                <w:color w:val="000000" w:themeColor="text1"/>
              </w:rPr>
              <w:t>9) у статті 12:</w:t>
            </w:r>
          </w:p>
        </w:tc>
      </w:tr>
      <w:tr w:rsidR="008A5602" w:rsidRPr="00286216" w14:paraId="147601B8" w14:textId="77777777" w:rsidTr="00091AA5">
        <w:tc>
          <w:tcPr>
            <w:tcW w:w="576" w:type="dxa"/>
          </w:tcPr>
          <w:p w14:paraId="28CC52B3" w14:textId="77777777" w:rsidR="008A5602" w:rsidRPr="00286216" w:rsidRDefault="008A5602" w:rsidP="008A5602">
            <w:pPr>
              <w:pStyle w:val="StyleWisnow"/>
              <w:rPr>
                <w:color w:val="000000" w:themeColor="text1"/>
              </w:rPr>
            </w:pPr>
            <w:bookmarkStart w:id="3640" w:name="n3770" w:colFirst="0" w:colLast="0"/>
            <w:bookmarkEnd w:id="3639"/>
            <w:r w:rsidRPr="00286216">
              <w:rPr>
                <w:color w:val="000000" w:themeColor="text1"/>
              </w:rPr>
              <w:t>3770.</w:t>
            </w:r>
          </w:p>
        </w:tc>
        <w:tc>
          <w:tcPr>
            <w:tcW w:w="4818" w:type="dxa"/>
          </w:tcPr>
          <w:p w14:paraId="418D7811" w14:textId="77777777" w:rsidR="008A5602" w:rsidRPr="00286216" w:rsidRDefault="008A5602" w:rsidP="008A5602">
            <w:pPr>
              <w:pStyle w:val="StyleZakonu"/>
              <w:rPr>
                <w:color w:val="000000" w:themeColor="text1"/>
              </w:rPr>
            </w:pPr>
            <w:r w:rsidRPr="00286216">
              <w:rPr>
                <w:color w:val="000000" w:themeColor="text1"/>
              </w:rPr>
              <w:t>а) у частині першій:</w:t>
            </w:r>
          </w:p>
        </w:tc>
        <w:tc>
          <w:tcPr>
            <w:tcW w:w="3686" w:type="dxa"/>
          </w:tcPr>
          <w:p w14:paraId="6B43F240" w14:textId="77777777" w:rsidR="008A5602" w:rsidRPr="00286216" w:rsidRDefault="008A5602" w:rsidP="008A5602">
            <w:pPr>
              <w:pStyle w:val="StyleProp"/>
              <w:rPr>
                <w:color w:val="000000" w:themeColor="text1"/>
                <w:szCs w:val="18"/>
              </w:rPr>
            </w:pPr>
          </w:p>
        </w:tc>
        <w:tc>
          <w:tcPr>
            <w:tcW w:w="1987" w:type="dxa"/>
          </w:tcPr>
          <w:p w14:paraId="28B1656E" w14:textId="77777777" w:rsidR="008A5602" w:rsidRPr="00286216" w:rsidRDefault="008A5602" w:rsidP="008A5602">
            <w:pPr>
              <w:pStyle w:val="StyleWisnow"/>
              <w:rPr>
                <w:color w:val="000000" w:themeColor="text1"/>
              </w:rPr>
            </w:pPr>
          </w:p>
        </w:tc>
        <w:tc>
          <w:tcPr>
            <w:tcW w:w="4818" w:type="dxa"/>
          </w:tcPr>
          <w:p w14:paraId="388D0142" w14:textId="509DDD1F" w:rsidR="008A5602" w:rsidRPr="00286216" w:rsidRDefault="008A5602" w:rsidP="008A5602">
            <w:pPr>
              <w:pStyle w:val="StyleZakonu"/>
              <w:rPr>
                <w:color w:val="000000" w:themeColor="text1"/>
              </w:rPr>
            </w:pPr>
            <w:r w:rsidRPr="00286216">
              <w:rPr>
                <w:color w:val="000000" w:themeColor="text1"/>
              </w:rPr>
              <w:t>а) у частині першій:</w:t>
            </w:r>
          </w:p>
        </w:tc>
      </w:tr>
      <w:tr w:rsidR="008A5602" w:rsidRPr="00286216" w14:paraId="0B9302EB" w14:textId="77777777" w:rsidTr="00091AA5">
        <w:tc>
          <w:tcPr>
            <w:tcW w:w="576" w:type="dxa"/>
          </w:tcPr>
          <w:p w14:paraId="0E2CA0ED" w14:textId="77777777" w:rsidR="008A5602" w:rsidRPr="00286216" w:rsidRDefault="008A5602" w:rsidP="008A5602">
            <w:pPr>
              <w:pStyle w:val="StyleWisnow"/>
              <w:rPr>
                <w:color w:val="000000" w:themeColor="text1"/>
              </w:rPr>
            </w:pPr>
            <w:bookmarkStart w:id="3641" w:name="n3771" w:colFirst="0" w:colLast="0"/>
            <w:bookmarkEnd w:id="3640"/>
            <w:r w:rsidRPr="00286216">
              <w:rPr>
                <w:color w:val="000000" w:themeColor="text1"/>
              </w:rPr>
              <w:t>3771.</w:t>
            </w:r>
          </w:p>
        </w:tc>
        <w:tc>
          <w:tcPr>
            <w:tcW w:w="4818" w:type="dxa"/>
          </w:tcPr>
          <w:p w14:paraId="61265699" w14:textId="77777777" w:rsidR="008A5602" w:rsidRPr="00286216" w:rsidRDefault="008A5602" w:rsidP="008A5602">
            <w:pPr>
              <w:pStyle w:val="StyleZakonu"/>
              <w:rPr>
                <w:color w:val="000000" w:themeColor="text1"/>
              </w:rPr>
            </w:pPr>
            <w:r w:rsidRPr="00286216">
              <w:rPr>
                <w:color w:val="000000" w:themeColor="text1"/>
              </w:rPr>
              <w:t>у абзаці першому слова та знаки ", ревізійна комісія" виключити;</w:t>
            </w:r>
          </w:p>
        </w:tc>
        <w:tc>
          <w:tcPr>
            <w:tcW w:w="3686" w:type="dxa"/>
          </w:tcPr>
          <w:p w14:paraId="16D515C2" w14:textId="77777777" w:rsidR="008A5602" w:rsidRPr="00286216" w:rsidRDefault="008A5602" w:rsidP="008A5602">
            <w:pPr>
              <w:pStyle w:val="StyleProp"/>
              <w:rPr>
                <w:color w:val="000000" w:themeColor="text1"/>
                <w:szCs w:val="18"/>
              </w:rPr>
            </w:pPr>
          </w:p>
        </w:tc>
        <w:tc>
          <w:tcPr>
            <w:tcW w:w="1987" w:type="dxa"/>
          </w:tcPr>
          <w:p w14:paraId="07B075B8" w14:textId="77777777" w:rsidR="008A5602" w:rsidRPr="00286216" w:rsidRDefault="008A5602" w:rsidP="008A5602">
            <w:pPr>
              <w:pStyle w:val="StyleWisnow"/>
              <w:rPr>
                <w:color w:val="000000" w:themeColor="text1"/>
              </w:rPr>
            </w:pPr>
          </w:p>
        </w:tc>
        <w:tc>
          <w:tcPr>
            <w:tcW w:w="4818" w:type="dxa"/>
          </w:tcPr>
          <w:p w14:paraId="17A0B6D7" w14:textId="613429EF" w:rsidR="008A5602" w:rsidRPr="00286216" w:rsidRDefault="008A5602" w:rsidP="008A5602">
            <w:pPr>
              <w:pStyle w:val="StyleZakonu"/>
              <w:rPr>
                <w:color w:val="000000" w:themeColor="text1"/>
              </w:rPr>
            </w:pPr>
            <w:r w:rsidRPr="00286216">
              <w:rPr>
                <w:color w:val="000000" w:themeColor="text1"/>
              </w:rPr>
              <w:t xml:space="preserve"> в абзаці першому слова "ревізійна комісія" виключити;</w:t>
            </w:r>
          </w:p>
        </w:tc>
      </w:tr>
      <w:tr w:rsidR="008A5602" w:rsidRPr="00286216" w14:paraId="312A3A0D" w14:textId="77777777" w:rsidTr="00091AA5">
        <w:tc>
          <w:tcPr>
            <w:tcW w:w="576" w:type="dxa"/>
          </w:tcPr>
          <w:p w14:paraId="21E39650" w14:textId="77777777" w:rsidR="008A5602" w:rsidRPr="00286216" w:rsidRDefault="008A5602" w:rsidP="008A5602">
            <w:pPr>
              <w:pStyle w:val="StyleWisnow"/>
              <w:rPr>
                <w:color w:val="000000" w:themeColor="text1"/>
              </w:rPr>
            </w:pPr>
            <w:bookmarkStart w:id="3642" w:name="n3772" w:colFirst="0" w:colLast="0"/>
            <w:bookmarkEnd w:id="3641"/>
            <w:r w:rsidRPr="00286216">
              <w:rPr>
                <w:color w:val="000000" w:themeColor="text1"/>
              </w:rPr>
              <w:t>3772.</w:t>
            </w:r>
          </w:p>
        </w:tc>
        <w:tc>
          <w:tcPr>
            <w:tcW w:w="4818" w:type="dxa"/>
          </w:tcPr>
          <w:p w14:paraId="330A4398" w14:textId="77777777" w:rsidR="008A5602" w:rsidRPr="00286216" w:rsidRDefault="008A5602" w:rsidP="008A5602">
            <w:pPr>
              <w:pStyle w:val="StyleZakonu"/>
              <w:rPr>
                <w:color w:val="000000" w:themeColor="text1"/>
              </w:rPr>
            </w:pPr>
            <w:r w:rsidRPr="00286216">
              <w:rPr>
                <w:color w:val="000000" w:themeColor="text1"/>
              </w:rPr>
              <w:t>абзац четвертий виключити;</w:t>
            </w:r>
          </w:p>
        </w:tc>
        <w:tc>
          <w:tcPr>
            <w:tcW w:w="3686" w:type="dxa"/>
          </w:tcPr>
          <w:p w14:paraId="2BCFF177" w14:textId="77777777" w:rsidR="008A5602" w:rsidRPr="00286216" w:rsidRDefault="008A5602" w:rsidP="008A5602">
            <w:pPr>
              <w:pStyle w:val="StyleProp"/>
              <w:rPr>
                <w:color w:val="000000" w:themeColor="text1"/>
                <w:szCs w:val="18"/>
              </w:rPr>
            </w:pPr>
          </w:p>
        </w:tc>
        <w:tc>
          <w:tcPr>
            <w:tcW w:w="1987" w:type="dxa"/>
          </w:tcPr>
          <w:p w14:paraId="636F3480" w14:textId="77777777" w:rsidR="008A5602" w:rsidRPr="00286216" w:rsidRDefault="008A5602" w:rsidP="008A5602">
            <w:pPr>
              <w:pStyle w:val="StyleWisnow"/>
              <w:rPr>
                <w:color w:val="000000" w:themeColor="text1"/>
              </w:rPr>
            </w:pPr>
          </w:p>
        </w:tc>
        <w:tc>
          <w:tcPr>
            <w:tcW w:w="4818" w:type="dxa"/>
          </w:tcPr>
          <w:p w14:paraId="3C3DFD46" w14:textId="4E6BD14A" w:rsidR="008A5602" w:rsidRPr="00286216" w:rsidRDefault="008A5602" w:rsidP="008A5602">
            <w:pPr>
              <w:pStyle w:val="StyleZakonu"/>
              <w:rPr>
                <w:color w:val="000000" w:themeColor="text1"/>
              </w:rPr>
            </w:pPr>
            <w:r w:rsidRPr="00286216">
              <w:rPr>
                <w:color w:val="000000" w:themeColor="text1"/>
              </w:rPr>
              <w:t>абзац четвертий виключити;</w:t>
            </w:r>
          </w:p>
        </w:tc>
      </w:tr>
      <w:tr w:rsidR="008A5602" w:rsidRPr="00286216" w14:paraId="45A7AD73" w14:textId="77777777" w:rsidTr="00091AA5">
        <w:tc>
          <w:tcPr>
            <w:tcW w:w="576" w:type="dxa"/>
          </w:tcPr>
          <w:p w14:paraId="3C01D379" w14:textId="77777777" w:rsidR="008A5602" w:rsidRPr="00286216" w:rsidRDefault="008A5602" w:rsidP="008A5602">
            <w:pPr>
              <w:pStyle w:val="StyleWisnow"/>
              <w:rPr>
                <w:color w:val="000000" w:themeColor="text1"/>
              </w:rPr>
            </w:pPr>
            <w:bookmarkStart w:id="3643" w:name="n3773" w:colFirst="0" w:colLast="0"/>
            <w:bookmarkEnd w:id="3642"/>
            <w:r w:rsidRPr="00286216">
              <w:rPr>
                <w:color w:val="000000" w:themeColor="text1"/>
              </w:rPr>
              <w:t>3773.</w:t>
            </w:r>
          </w:p>
        </w:tc>
        <w:tc>
          <w:tcPr>
            <w:tcW w:w="4818" w:type="dxa"/>
          </w:tcPr>
          <w:p w14:paraId="2D1A9F20" w14:textId="77777777" w:rsidR="008A5602" w:rsidRPr="00286216" w:rsidRDefault="008A5602" w:rsidP="008A5602">
            <w:pPr>
              <w:pStyle w:val="StyleZakonu"/>
              <w:rPr>
                <w:color w:val="000000" w:themeColor="text1"/>
              </w:rPr>
            </w:pPr>
            <w:r w:rsidRPr="00286216">
              <w:rPr>
                <w:color w:val="000000" w:themeColor="text1"/>
              </w:rPr>
              <w:t>б) частині третій слова "фондового ринку" замінити словами "ринків капіталу", слова та знаки "Розрахункового центру, " виключити, а слова "фондових бірж" замінити словами "операторів організованих ринків";</w:t>
            </w:r>
          </w:p>
        </w:tc>
        <w:tc>
          <w:tcPr>
            <w:tcW w:w="3686" w:type="dxa"/>
          </w:tcPr>
          <w:p w14:paraId="7157641E" w14:textId="31DB212A"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1497</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0A8B667" w14:textId="77777777" w:rsidR="008A5602" w:rsidRPr="00286216" w:rsidRDefault="008A5602" w:rsidP="008A5602">
            <w:pPr>
              <w:pStyle w:val="StyleProp"/>
              <w:rPr>
                <w:color w:val="000000" w:themeColor="text1"/>
                <w:szCs w:val="18"/>
              </w:rPr>
            </w:pPr>
            <w:r w:rsidRPr="00286216">
              <w:rPr>
                <w:color w:val="000000" w:themeColor="text1"/>
              </w:rPr>
              <w:t>у підпункті «б» підпункту 8 пункту 44 розділу 3 слова «операторів організованих ринків» замінити словами «операторів організованих ринків капіталу».</w:t>
            </w:r>
          </w:p>
        </w:tc>
        <w:tc>
          <w:tcPr>
            <w:tcW w:w="1987" w:type="dxa"/>
          </w:tcPr>
          <w:p w14:paraId="236A6FA7"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454A122A" w14:textId="198349FF" w:rsidR="008A5602" w:rsidRPr="00286216" w:rsidRDefault="008A5602" w:rsidP="008A5602">
            <w:pPr>
              <w:pStyle w:val="StyleZakonu"/>
              <w:rPr>
                <w:color w:val="000000" w:themeColor="text1"/>
              </w:rPr>
            </w:pPr>
            <w:r w:rsidRPr="00286216">
              <w:rPr>
                <w:color w:val="000000" w:themeColor="text1"/>
              </w:rPr>
              <w:t>б)  у частині третій слова "фондового ринку" замінити словами "ринків капіталу", слова  "Розрахункового центру" виключити, а слова "фондових бірж" замінити словами "операторів організованих ринків капіталу";</w:t>
            </w:r>
          </w:p>
        </w:tc>
      </w:tr>
      <w:tr w:rsidR="008A5602" w:rsidRPr="00286216" w14:paraId="6438C211" w14:textId="77777777" w:rsidTr="00091AA5">
        <w:tc>
          <w:tcPr>
            <w:tcW w:w="576" w:type="dxa"/>
          </w:tcPr>
          <w:p w14:paraId="4CB5E699" w14:textId="77777777" w:rsidR="008A5602" w:rsidRPr="00286216" w:rsidRDefault="008A5602" w:rsidP="008A5602">
            <w:pPr>
              <w:pStyle w:val="StyleWisnow"/>
              <w:rPr>
                <w:color w:val="000000" w:themeColor="text1"/>
              </w:rPr>
            </w:pPr>
            <w:bookmarkStart w:id="3644" w:name="n3774" w:colFirst="0" w:colLast="0"/>
            <w:bookmarkEnd w:id="3643"/>
            <w:r w:rsidRPr="00286216">
              <w:rPr>
                <w:color w:val="000000" w:themeColor="text1"/>
              </w:rPr>
              <w:t>3774.</w:t>
            </w:r>
          </w:p>
        </w:tc>
        <w:tc>
          <w:tcPr>
            <w:tcW w:w="4818" w:type="dxa"/>
          </w:tcPr>
          <w:p w14:paraId="795C62E8" w14:textId="77777777" w:rsidR="008A5602" w:rsidRPr="00286216" w:rsidRDefault="008A5602" w:rsidP="008A5602">
            <w:pPr>
              <w:pStyle w:val="StyleZakonu"/>
              <w:rPr>
                <w:color w:val="000000" w:themeColor="text1"/>
              </w:rPr>
            </w:pPr>
            <w:r w:rsidRPr="00286216">
              <w:rPr>
                <w:color w:val="000000" w:themeColor="text1"/>
              </w:rPr>
              <w:t>в) доповнити новою частиною такого змісту</w:t>
            </w:r>
          </w:p>
        </w:tc>
        <w:tc>
          <w:tcPr>
            <w:tcW w:w="3686" w:type="dxa"/>
          </w:tcPr>
          <w:p w14:paraId="684B4AA0" w14:textId="77777777" w:rsidR="008A5602" w:rsidRPr="00286216" w:rsidRDefault="008A5602" w:rsidP="008A5602">
            <w:pPr>
              <w:pStyle w:val="StyleProp"/>
              <w:rPr>
                <w:color w:val="000000" w:themeColor="text1"/>
                <w:szCs w:val="18"/>
              </w:rPr>
            </w:pPr>
          </w:p>
        </w:tc>
        <w:tc>
          <w:tcPr>
            <w:tcW w:w="1987" w:type="dxa"/>
          </w:tcPr>
          <w:p w14:paraId="2B7ACF24" w14:textId="77777777" w:rsidR="008A5602" w:rsidRPr="00286216" w:rsidRDefault="008A5602" w:rsidP="008A5602">
            <w:pPr>
              <w:pStyle w:val="StyleWisnow"/>
              <w:rPr>
                <w:color w:val="000000" w:themeColor="text1"/>
              </w:rPr>
            </w:pPr>
          </w:p>
        </w:tc>
        <w:tc>
          <w:tcPr>
            <w:tcW w:w="4818" w:type="dxa"/>
          </w:tcPr>
          <w:p w14:paraId="21696AF3" w14:textId="29399090" w:rsidR="008A5602" w:rsidRPr="00286216" w:rsidRDefault="008A5602" w:rsidP="008A5602">
            <w:pPr>
              <w:pStyle w:val="StyleZakonu"/>
              <w:rPr>
                <w:color w:val="000000" w:themeColor="text1"/>
              </w:rPr>
            </w:pPr>
            <w:r w:rsidRPr="00286216">
              <w:rPr>
                <w:color w:val="000000" w:themeColor="text1"/>
              </w:rPr>
              <w:t>в) доповнити частиною четвертою такого змісту</w:t>
            </w:r>
          </w:p>
        </w:tc>
      </w:tr>
      <w:tr w:rsidR="008A5602" w:rsidRPr="00286216" w14:paraId="260E0D64" w14:textId="77777777" w:rsidTr="00091AA5">
        <w:tc>
          <w:tcPr>
            <w:tcW w:w="576" w:type="dxa"/>
          </w:tcPr>
          <w:p w14:paraId="707A058D" w14:textId="77777777" w:rsidR="008A5602" w:rsidRPr="00286216" w:rsidRDefault="008A5602" w:rsidP="008A5602">
            <w:pPr>
              <w:pStyle w:val="StyleWisnow"/>
              <w:rPr>
                <w:color w:val="000000" w:themeColor="text1"/>
              </w:rPr>
            </w:pPr>
            <w:bookmarkStart w:id="3645" w:name="n3775" w:colFirst="0" w:colLast="0"/>
            <w:bookmarkEnd w:id="3644"/>
            <w:r w:rsidRPr="00286216">
              <w:rPr>
                <w:color w:val="000000" w:themeColor="text1"/>
              </w:rPr>
              <w:t>3775.</w:t>
            </w:r>
          </w:p>
        </w:tc>
        <w:tc>
          <w:tcPr>
            <w:tcW w:w="4818" w:type="dxa"/>
          </w:tcPr>
          <w:p w14:paraId="1433EA56" w14:textId="77777777" w:rsidR="008A5602" w:rsidRPr="00286216" w:rsidRDefault="008A5602" w:rsidP="008A5602">
            <w:pPr>
              <w:pStyle w:val="StyleZakonu"/>
              <w:rPr>
                <w:color w:val="000000" w:themeColor="text1"/>
              </w:rPr>
            </w:pPr>
            <w:r w:rsidRPr="00286216">
              <w:rPr>
                <w:color w:val="000000" w:themeColor="text1"/>
              </w:rPr>
              <w:t>"4. Кандидатури керівників операторів організованих ринків капіталу та Центрального депозитарію цінних паперів погоджуються з Національною комісією з цінних паперів та фондового ринку в установленому нею порядку.</w:t>
            </w:r>
          </w:p>
        </w:tc>
        <w:tc>
          <w:tcPr>
            <w:tcW w:w="3686" w:type="dxa"/>
          </w:tcPr>
          <w:p w14:paraId="26B19F50" w14:textId="544BD1FD"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7399124" w14:textId="77777777" w:rsidR="008A5602" w:rsidRPr="00286216" w:rsidRDefault="008A5602" w:rsidP="008A5602">
            <w:pPr>
              <w:pStyle w:val="StyleProp"/>
              <w:rPr>
                <w:color w:val="000000" w:themeColor="text1"/>
                <w:szCs w:val="18"/>
              </w:rPr>
            </w:pPr>
            <w:r w:rsidRPr="00286216">
              <w:rPr>
                <w:color w:val="000000" w:themeColor="text1"/>
                <w:szCs w:val="18"/>
              </w:rPr>
              <w:t>Абзац другий підпункту "в" підпункту 8 пункту 44 виключити.</w:t>
            </w:r>
          </w:p>
        </w:tc>
        <w:tc>
          <w:tcPr>
            <w:tcW w:w="1987" w:type="dxa"/>
          </w:tcPr>
          <w:p w14:paraId="4681B3B9"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78D88909" w14:textId="77777777" w:rsidR="008A5602" w:rsidRPr="00286216" w:rsidRDefault="008A5602" w:rsidP="008A5602">
            <w:pPr>
              <w:pStyle w:val="StyleZakonu"/>
              <w:rPr>
                <w:color w:val="000000" w:themeColor="text1"/>
              </w:rPr>
            </w:pPr>
          </w:p>
        </w:tc>
      </w:tr>
      <w:bookmarkEnd w:id="3645"/>
      <w:tr w:rsidR="008A5602" w:rsidRPr="00286216" w14:paraId="46BE71C1" w14:textId="77777777" w:rsidTr="00091AA5">
        <w:tc>
          <w:tcPr>
            <w:tcW w:w="576" w:type="dxa"/>
          </w:tcPr>
          <w:p w14:paraId="04247732" w14:textId="77777777" w:rsidR="008A5602" w:rsidRPr="00286216" w:rsidRDefault="008A5602" w:rsidP="008A5602">
            <w:pPr>
              <w:pStyle w:val="StyleWisnow"/>
              <w:rPr>
                <w:color w:val="000000" w:themeColor="text1"/>
              </w:rPr>
            </w:pPr>
            <w:r w:rsidRPr="00286216">
              <w:rPr>
                <w:color w:val="000000" w:themeColor="text1"/>
              </w:rPr>
              <w:t>3776.</w:t>
            </w:r>
          </w:p>
        </w:tc>
        <w:tc>
          <w:tcPr>
            <w:tcW w:w="4818" w:type="dxa"/>
          </w:tcPr>
          <w:p w14:paraId="05FD5FAE" w14:textId="77777777" w:rsidR="008A5602" w:rsidRPr="00286216" w:rsidRDefault="008A5602" w:rsidP="008A5602">
            <w:pPr>
              <w:pStyle w:val="StyleZakonu"/>
              <w:rPr>
                <w:color w:val="000000" w:themeColor="text1"/>
              </w:rPr>
            </w:pPr>
            <w:r w:rsidRPr="00286216">
              <w:rPr>
                <w:color w:val="000000" w:themeColor="text1"/>
              </w:rPr>
              <w:t>Кандидати на посаду голови правління Центрального депозитарію цінних паперів повинен відповідати вимогам, установленим Національною комісією з цінних паперів та фондового ринку, зокрема:</w:t>
            </w:r>
          </w:p>
        </w:tc>
        <w:tc>
          <w:tcPr>
            <w:tcW w:w="3686" w:type="dxa"/>
          </w:tcPr>
          <w:p w14:paraId="644C579F" w14:textId="77777777" w:rsidR="008A5602" w:rsidRPr="00286216" w:rsidRDefault="008A5602" w:rsidP="008A5602">
            <w:pPr>
              <w:pStyle w:val="StyleProp"/>
              <w:rPr>
                <w:color w:val="000000" w:themeColor="text1"/>
                <w:szCs w:val="18"/>
              </w:rPr>
            </w:pPr>
          </w:p>
        </w:tc>
        <w:tc>
          <w:tcPr>
            <w:tcW w:w="1987" w:type="dxa"/>
          </w:tcPr>
          <w:p w14:paraId="5FCA5E8E" w14:textId="77777777" w:rsidR="008A5602" w:rsidRPr="00286216" w:rsidRDefault="008A5602" w:rsidP="008A5602">
            <w:pPr>
              <w:pStyle w:val="StyleWisnow"/>
              <w:rPr>
                <w:color w:val="000000" w:themeColor="text1"/>
              </w:rPr>
            </w:pPr>
          </w:p>
        </w:tc>
        <w:tc>
          <w:tcPr>
            <w:tcW w:w="4818" w:type="dxa"/>
          </w:tcPr>
          <w:p w14:paraId="719A47B9" w14:textId="7AEA16E9" w:rsidR="008A5602" w:rsidRPr="00286216" w:rsidRDefault="008A5602" w:rsidP="008A5602">
            <w:pPr>
              <w:pStyle w:val="StyleZakonu"/>
              <w:rPr>
                <w:color w:val="000000" w:themeColor="text1"/>
              </w:rPr>
            </w:pPr>
            <w:r w:rsidRPr="00286216">
              <w:rPr>
                <w:color w:val="000000" w:themeColor="text1"/>
              </w:rPr>
              <w:t>"4. Кандидати на посаду голови правління Центрального депозитарію цінних паперів повинні відповідати вимогам, установленим Національною комісією з цінних паперів та фондового ринку, зокрема:</w:t>
            </w:r>
          </w:p>
        </w:tc>
      </w:tr>
      <w:tr w:rsidR="008A5602" w:rsidRPr="00286216" w14:paraId="6BD7BF79" w14:textId="77777777" w:rsidTr="00091AA5">
        <w:tc>
          <w:tcPr>
            <w:tcW w:w="576" w:type="dxa"/>
          </w:tcPr>
          <w:p w14:paraId="131EC22C" w14:textId="77777777" w:rsidR="008A5602" w:rsidRPr="00286216" w:rsidRDefault="008A5602" w:rsidP="008A5602">
            <w:pPr>
              <w:pStyle w:val="StyleWisnow"/>
              <w:rPr>
                <w:color w:val="000000" w:themeColor="text1"/>
              </w:rPr>
            </w:pPr>
            <w:bookmarkStart w:id="3646" w:name="n3777" w:colFirst="0" w:colLast="0"/>
            <w:r w:rsidRPr="00286216">
              <w:rPr>
                <w:color w:val="000000" w:themeColor="text1"/>
              </w:rPr>
              <w:t>3777.</w:t>
            </w:r>
          </w:p>
        </w:tc>
        <w:tc>
          <w:tcPr>
            <w:tcW w:w="4818" w:type="dxa"/>
          </w:tcPr>
          <w:p w14:paraId="1E0BC949" w14:textId="77777777" w:rsidR="008A5602" w:rsidRPr="00286216" w:rsidRDefault="008A5602" w:rsidP="008A5602">
            <w:pPr>
              <w:pStyle w:val="StyleZakonu"/>
              <w:rPr>
                <w:color w:val="000000" w:themeColor="text1"/>
              </w:rPr>
            </w:pPr>
            <w:r w:rsidRPr="00286216">
              <w:rPr>
                <w:color w:val="000000" w:themeColor="text1"/>
              </w:rPr>
              <w:t>1) мати стаж роботи на ринках капіталу та організованих товарних ринках не менш як три роки;</w:t>
            </w:r>
          </w:p>
        </w:tc>
        <w:tc>
          <w:tcPr>
            <w:tcW w:w="3686" w:type="dxa"/>
          </w:tcPr>
          <w:p w14:paraId="4535AAF2" w14:textId="7F90657F"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1499</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6EBCCF2" w14:textId="3A196FA9" w:rsidR="008A5602" w:rsidRPr="00286216" w:rsidRDefault="008A5602" w:rsidP="008A5602">
            <w:pPr>
              <w:pStyle w:val="StyleProp"/>
              <w:rPr>
                <w:color w:val="000000" w:themeColor="text1"/>
                <w:szCs w:val="18"/>
              </w:rPr>
            </w:pPr>
            <w:r w:rsidRPr="00286216">
              <w:rPr>
                <w:color w:val="000000" w:themeColor="text1"/>
                <w:szCs w:val="18"/>
              </w:rPr>
              <w:t>В абзаці четвертому підпункту "в" підпункту 8 пункту 44 слова "три роки" замінити словами "п'ять років".</w:t>
            </w:r>
          </w:p>
        </w:tc>
        <w:tc>
          <w:tcPr>
            <w:tcW w:w="1987" w:type="dxa"/>
          </w:tcPr>
          <w:p w14:paraId="0F224140"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302DE5DB" w14:textId="435DF2BB" w:rsidR="008A5602" w:rsidRPr="00286216" w:rsidRDefault="008A5602" w:rsidP="008A5602">
            <w:pPr>
              <w:pStyle w:val="StyleZakonu"/>
              <w:rPr>
                <w:color w:val="000000" w:themeColor="text1"/>
              </w:rPr>
            </w:pPr>
            <w:r w:rsidRPr="00286216">
              <w:rPr>
                <w:color w:val="000000" w:themeColor="text1"/>
              </w:rPr>
              <w:t>1) мати стаж роботи на ринках капіталу та організованих товарних ринках не менш як пʼять років;</w:t>
            </w:r>
          </w:p>
        </w:tc>
      </w:tr>
      <w:tr w:rsidR="008A5602" w:rsidRPr="00286216" w14:paraId="4AAEB296" w14:textId="77777777" w:rsidTr="00091AA5">
        <w:tc>
          <w:tcPr>
            <w:tcW w:w="576" w:type="dxa"/>
          </w:tcPr>
          <w:p w14:paraId="4ED978A5" w14:textId="77777777" w:rsidR="008A5602" w:rsidRPr="00286216" w:rsidRDefault="008A5602" w:rsidP="008A5602">
            <w:pPr>
              <w:pStyle w:val="StyleWisnow"/>
              <w:rPr>
                <w:color w:val="000000" w:themeColor="text1"/>
              </w:rPr>
            </w:pPr>
            <w:bookmarkStart w:id="3647" w:name="n3778" w:colFirst="0" w:colLast="0"/>
            <w:bookmarkEnd w:id="3646"/>
            <w:r w:rsidRPr="00286216">
              <w:rPr>
                <w:color w:val="000000" w:themeColor="text1"/>
              </w:rPr>
              <w:t>3778.</w:t>
            </w:r>
          </w:p>
        </w:tc>
        <w:tc>
          <w:tcPr>
            <w:tcW w:w="4818" w:type="dxa"/>
          </w:tcPr>
          <w:p w14:paraId="07F63D2B" w14:textId="77777777" w:rsidR="008A5602" w:rsidRPr="00286216" w:rsidRDefault="008A5602" w:rsidP="008A5602">
            <w:pPr>
              <w:pStyle w:val="StyleZakonu"/>
              <w:rPr>
                <w:color w:val="000000" w:themeColor="text1"/>
              </w:rPr>
            </w:pPr>
            <w:r w:rsidRPr="00286216">
              <w:rPr>
                <w:color w:val="000000" w:themeColor="text1"/>
              </w:rPr>
              <w:t xml:space="preserve">2) не повинен бути керівником професійного учасника ринків капіталу та організованих товарних ринків, ліквідованого за рішенням суду або до якого застосовувалася санкція у вигляді анулювання </w:t>
            </w:r>
            <w:r w:rsidRPr="00286216">
              <w:rPr>
                <w:color w:val="000000" w:themeColor="text1"/>
              </w:rPr>
              <w:lastRenderedPageBreak/>
              <w:t>ліцензії на провадження певних видів професійної діяльності на ринках капіталу та організованих товарних ринках за останні три роки;</w:t>
            </w:r>
          </w:p>
        </w:tc>
        <w:tc>
          <w:tcPr>
            <w:tcW w:w="3686" w:type="dxa"/>
          </w:tcPr>
          <w:p w14:paraId="2A6C447C" w14:textId="51B554C4" w:rsidR="008A5602" w:rsidRPr="00286216" w:rsidRDefault="008A5602" w:rsidP="008A5602">
            <w:pPr>
              <w:pStyle w:val="StyleAwt"/>
              <w:rPr>
                <w:color w:val="000000" w:themeColor="text1"/>
                <w:spacing w:val="-8"/>
                <w:szCs w:val="18"/>
              </w:rPr>
            </w:pPr>
            <w:r w:rsidRPr="00286216">
              <w:rPr>
                <w:color w:val="000000" w:themeColor="text1"/>
                <w:spacing w:val="-8"/>
                <w:szCs w:val="18"/>
              </w:rPr>
              <w:lastRenderedPageBreak/>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1500</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C954B54" w14:textId="68885440" w:rsidR="008A5602" w:rsidRPr="00286216" w:rsidRDefault="008A5602" w:rsidP="008A5602">
            <w:pPr>
              <w:pStyle w:val="StyleProp"/>
              <w:rPr>
                <w:color w:val="000000" w:themeColor="text1"/>
                <w:szCs w:val="18"/>
              </w:rPr>
            </w:pPr>
            <w:r w:rsidRPr="00286216">
              <w:rPr>
                <w:color w:val="000000" w:themeColor="text1"/>
                <w:szCs w:val="18"/>
              </w:rPr>
              <w:t>В абзаці пʼятому підпункту "в" підпункту 8 пункту 44 слово "професійного" виключити.</w:t>
            </w:r>
          </w:p>
        </w:tc>
        <w:tc>
          <w:tcPr>
            <w:tcW w:w="1987" w:type="dxa"/>
          </w:tcPr>
          <w:p w14:paraId="56778B8A" w14:textId="14F02082"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4331058C" w14:textId="017DF045" w:rsidR="008A5602" w:rsidRPr="00286216" w:rsidRDefault="008A5602" w:rsidP="008A5602">
            <w:pPr>
              <w:pStyle w:val="StyleZakonu"/>
              <w:rPr>
                <w:color w:val="000000" w:themeColor="text1"/>
              </w:rPr>
            </w:pPr>
            <w:r w:rsidRPr="00286216">
              <w:rPr>
                <w:color w:val="000000" w:themeColor="text1"/>
              </w:rPr>
              <w:t xml:space="preserve">2) не можуть бути керівником учасника ринків капіталу та організованих товарних ринків, ліквідованого за рішенням суду або до якого застосовувалася санкція у вигляді анулювання </w:t>
            </w:r>
            <w:r w:rsidRPr="00286216">
              <w:rPr>
                <w:color w:val="000000" w:themeColor="text1"/>
              </w:rPr>
              <w:lastRenderedPageBreak/>
              <w:t>ліцензії на провадження певних видів професійної діяльності на ринках капіталу та організованих товарних ринках за останні три роки;</w:t>
            </w:r>
          </w:p>
        </w:tc>
      </w:tr>
      <w:tr w:rsidR="008A5602" w:rsidRPr="00286216" w14:paraId="4975A12A" w14:textId="77777777" w:rsidTr="00091AA5">
        <w:tc>
          <w:tcPr>
            <w:tcW w:w="576" w:type="dxa"/>
          </w:tcPr>
          <w:p w14:paraId="2B05FF75" w14:textId="77777777" w:rsidR="008A5602" w:rsidRPr="00286216" w:rsidRDefault="008A5602" w:rsidP="008A5602">
            <w:pPr>
              <w:pStyle w:val="StyleWisnow"/>
              <w:rPr>
                <w:color w:val="000000" w:themeColor="text1"/>
              </w:rPr>
            </w:pPr>
            <w:bookmarkStart w:id="3648" w:name="n3779" w:colFirst="0" w:colLast="0"/>
            <w:bookmarkEnd w:id="3647"/>
            <w:r w:rsidRPr="00286216">
              <w:rPr>
                <w:color w:val="000000" w:themeColor="text1"/>
              </w:rPr>
              <w:lastRenderedPageBreak/>
              <w:t>3779.</w:t>
            </w:r>
          </w:p>
        </w:tc>
        <w:tc>
          <w:tcPr>
            <w:tcW w:w="4818" w:type="dxa"/>
          </w:tcPr>
          <w:p w14:paraId="2025F29D" w14:textId="77777777" w:rsidR="008A5602" w:rsidRPr="00286216" w:rsidRDefault="008A5602" w:rsidP="008A5602">
            <w:pPr>
              <w:pStyle w:val="StyleZakonu"/>
              <w:rPr>
                <w:color w:val="000000" w:themeColor="text1"/>
              </w:rPr>
            </w:pPr>
            <w:r w:rsidRPr="00286216">
              <w:rPr>
                <w:color w:val="000000" w:themeColor="text1"/>
              </w:rPr>
              <w:t>3) за останній рік провадження кандидатом діяльності на ринках капіталу та організованих товарних ринках відсутні факти анулювання сертифіката на право здійснення дій, пов’язаних з безпосереднім провадженням професійної діяльності на ринках капіталу та організованих товарних ринках.";</w:t>
            </w:r>
          </w:p>
        </w:tc>
        <w:tc>
          <w:tcPr>
            <w:tcW w:w="3686" w:type="dxa"/>
          </w:tcPr>
          <w:p w14:paraId="6AD932F8" w14:textId="77777777" w:rsidR="008A5602" w:rsidRPr="00286216" w:rsidRDefault="008A5602" w:rsidP="008A5602">
            <w:pPr>
              <w:pStyle w:val="StyleProp"/>
              <w:rPr>
                <w:color w:val="000000" w:themeColor="text1"/>
                <w:szCs w:val="18"/>
              </w:rPr>
            </w:pPr>
          </w:p>
        </w:tc>
        <w:tc>
          <w:tcPr>
            <w:tcW w:w="1987" w:type="dxa"/>
          </w:tcPr>
          <w:p w14:paraId="29854E4E" w14:textId="77777777" w:rsidR="008A5602" w:rsidRPr="00286216" w:rsidRDefault="008A5602" w:rsidP="008A5602">
            <w:pPr>
              <w:pStyle w:val="StyleWisnow"/>
              <w:rPr>
                <w:color w:val="000000" w:themeColor="text1"/>
              </w:rPr>
            </w:pPr>
          </w:p>
        </w:tc>
        <w:tc>
          <w:tcPr>
            <w:tcW w:w="4818" w:type="dxa"/>
          </w:tcPr>
          <w:p w14:paraId="7A19C3B3" w14:textId="5A3DF8D6" w:rsidR="008A5602" w:rsidRPr="00286216" w:rsidRDefault="008A5602" w:rsidP="008A5602">
            <w:pPr>
              <w:pStyle w:val="StyleZakonu"/>
              <w:rPr>
                <w:color w:val="000000" w:themeColor="text1"/>
              </w:rPr>
            </w:pPr>
            <w:r w:rsidRPr="00286216">
              <w:rPr>
                <w:color w:val="000000" w:themeColor="text1"/>
              </w:rPr>
              <w:t>3) за останній рік провадження кандидатом діяльності на ринках капіталу та організованих товарних ринках відсутні факти анулювання сертифіката на право здійснення дій, пов’язаних з безпосереднім провадженням професійної діяльності на ринках капіталу та організованих товарних ринках";</w:t>
            </w:r>
          </w:p>
        </w:tc>
      </w:tr>
      <w:tr w:rsidR="008A5602" w:rsidRPr="00286216" w14:paraId="398BB506" w14:textId="77777777" w:rsidTr="00091AA5">
        <w:tc>
          <w:tcPr>
            <w:tcW w:w="576" w:type="dxa"/>
          </w:tcPr>
          <w:p w14:paraId="40B49AE7" w14:textId="77777777" w:rsidR="008A5602" w:rsidRPr="00286216" w:rsidRDefault="008A5602" w:rsidP="008A5602">
            <w:pPr>
              <w:pStyle w:val="StyleWisnow"/>
              <w:rPr>
                <w:color w:val="000000" w:themeColor="text1"/>
              </w:rPr>
            </w:pPr>
            <w:bookmarkStart w:id="3649" w:name="n3780" w:colFirst="0" w:colLast="0"/>
            <w:bookmarkEnd w:id="3648"/>
            <w:r w:rsidRPr="00286216">
              <w:rPr>
                <w:color w:val="000000" w:themeColor="text1"/>
              </w:rPr>
              <w:t>3780.</w:t>
            </w:r>
          </w:p>
        </w:tc>
        <w:tc>
          <w:tcPr>
            <w:tcW w:w="4818" w:type="dxa"/>
          </w:tcPr>
          <w:p w14:paraId="6BA7772B" w14:textId="77777777" w:rsidR="008A5602" w:rsidRPr="00286216" w:rsidRDefault="008A5602" w:rsidP="008A5602">
            <w:pPr>
              <w:pStyle w:val="StyleZakonu"/>
              <w:rPr>
                <w:color w:val="000000" w:themeColor="text1"/>
              </w:rPr>
            </w:pPr>
            <w:r w:rsidRPr="00286216">
              <w:rPr>
                <w:color w:val="000000" w:themeColor="text1"/>
              </w:rPr>
              <w:t>9) у статті 13:</w:t>
            </w:r>
          </w:p>
        </w:tc>
        <w:tc>
          <w:tcPr>
            <w:tcW w:w="3686" w:type="dxa"/>
          </w:tcPr>
          <w:p w14:paraId="12939201" w14:textId="77777777" w:rsidR="008A5602" w:rsidRPr="00286216" w:rsidRDefault="008A5602" w:rsidP="008A5602">
            <w:pPr>
              <w:pStyle w:val="StyleProp"/>
              <w:rPr>
                <w:color w:val="000000" w:themeColor="text1"/>
                <w:szCs w:val="18"/>
              </w:rPr>
            </w:pPr>
          </w:p>
        </w:tc>
        <w:tc>
          <w:tcPr>
            <w:tcW w:w="1987" w:type="dxa"/>
          </w:tcPr>
          <w:p w14:paraId="4254DAB3" w14:textId="77777777" w:rsidR="008A5602" w:rsidRPr="00286216" w:rsidRDefault="008A5602" w:rsidP="008A5602">
            <w:pPr>
              <w:pStyle w:val="StyleWisnow"/>
              <w:rPr>
                <w:color w:val="000000" w:themeColor="text1"/>
              </w:rPr>
            </w:pPr>
          </w:p>
        </w:tc>
        <w:tc>
          <w:tcPr>
            <w:tcW w:w="4818" w:type="dxa"/>
          </w:tcPr>
          <w:p w14:paraId="4C56D08E" w14:textId="48471A9A" w:rsidR="008A5602" w:rsidRPr="00286216" w:rsidRDefault="008A5602" w:rsidP="008A5602">
            <w:pPr>
              <w:pStyle w:val="StyleZakonu"/>
              <w:rPr>
                <w:color w:val="000000" w:themeColor="text1"/>
              </w:rPr>
            </w:pPr>
            <w:r w:rsidRPr="00286216">
              <w:rPr>
                <w:color w:val="000000" w:themeColor="text1"/>
              </w:rPr>
              <w:t>10) у статті 13:</w:t>
            </w:r>
          </w:p>
        </w:tc>
      </w:tr>
      <w:bookmarkEnd w:id="3649"/>
      <w:tr w:rsidR="008A5602" w:rsidRPr="00286216" w14:paraId="685205CA" w14:textId="77777777" w:rsidTr="00091AA5">
        <w:tc>
          <w:tcPr>
            <w:tcW w:w="576" w:type="dxa"/>
          </w:tcPr>
          <w:p w14:paraId="3FAC6E10" w14:textId="77777777" w:rsidR="008A5602" w:rsidRPr="00286216" w:rsidRDefault="008A5602" w:rsidP="008A5602">
            <w:pPr>
              <w:pStyle w:val="StyleWisnow"/>
              <w:rPr>
                <w:color w:val="000000" w:themeColor="text1"/>
              </w:rPr>
            </w:pPr>
          </w:p>
        </w:tc>
        <w:tc>
          <w:tcPr>
            <w:tcW w:w="4818" w:type="dxa"/>
          </w:tcPr>
          <w:p w14:paraId="55072F35" w14:textId="77777777" w:rsidR="008A5602" w:rsidRPr="00286216" w:rsidRDefault="008A5602" w:rsidP="008A5602">
            <w:pPr>
              <w:pStyle w:val="StyleZakonu"/>
              <w:rPr>
                <w:color w:val="000000" w:themeColor="text1"/>
              </w:rPr>
            </w:pPr>
          </w:p>
        </w:tc>
        <w:tc>
          <w:tcPr>
            <w:tcW w:w="3686" w:type="dxa"/>
          </w:tcPr>
          <w:p w14:paraId="0FAAE477" w14:textId="7EF66C26"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1501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2A0B6566"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Підпункт 9 пункту 44 доповнити новим пунктом «а» такого змісту:</w:t>
            </w:r>
          </w:p>
          <w:p w14:paraId="123DCE6D"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 у частині першій слова «та облігацій місцевих позик» та «та облігаціями місцевих позик» виключити».</w:t>
            </w:r>
          </w:p>
          <w:p w14:paraId="6824F34D"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У зв’язку з цим підпункти «а» - «ґ» вважати відповідно підпунктами «б» - «ґ»;</w:t>
            </w:r>
          </w:p>
        </w:tc>
        <w:tc>
          <w:tcPr>
            <w:tcW w:w="1987" w:type="dxa"/>
          </w:tcPr>
          <w:p w14:paraId="6C96CAA7"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6FE96845" w14:textId="715A08F4" w:rsidR="008A5602" w:rsidRPr="00286216" w:rsidRDefault="008A5602" w:rsidP="008A5602">
            <w:pPr>
              <w:pStyle w:val="StyleZakonu"/>
              <w:rPr>
                <w:color w:val="000000" w:themeColor="text1"/>
              </w:rPr>
            </w:pPr>
            <w:r w:rsidRPr="00286216">
              <w:rPr>
                <w:color w:val="000000" w:themeColor="text1"/>
              </w:rPr>
              <w:t>а) у частині першій слова «та облігацій місцевих позик» та «та облігаціями місцевих позик» виключити»;</w:t>
            </w:r>
          </w:p>
        </w:tc>
      </w:tr>
      <w:tr w:rsidR="008A5602" w:rsidRPr="00286216" w14:paraId="20F03461" w14:textId="77777777" w:rsidTr="00091AA5">
        <w:tc>
          <w:tcPr>
            <w:tcW w:w="576" w:type="dxa"/>
          </w:tcPr>
          <w:p w14:paraId="2DB517C9" w14:textId="77777777" w:rsidR="008A5602" w:rsidRPr="00286216" w:rsidRDefault="008A5602" w:rsidP="008A5602">
            <w:pPr>
              <w:pStyle w:val="StyleWisnow"/>
              <w:rPr>
                <w:color w:val="000000" w:themeColor="text1"/>
              </w:rPr>
            </w:pPr>
            <w:bookmarkStart w:id="3650" w:name="n3781" w:colFirst="0" w:colLast="0"/>
            <w:r w:rsidRPr="00286216">
              <w:rPr>
                <w:color w:val="000000" w:themeColor="text1"/>
              </w:rPr>
              <w:t>3781.</w:t>
            </w:r>
          </w:p>
        </w:tc>
        <w:tc>
          <w:tcPr>
            <w:tcW w:w="4818" w:type="dxa"/>
          </w:tcPr>
          <w:p w14:paraId="175E4819" w14:textId="77777777" w:rsidR="008A5602" w:rsidRPr="00286216" w:rsidRDefault="008A5602" w:rsidP="008A5602">
            <w:pPr>
              <w:pStyle w:val="StyleZakonu"/>
              <w:rPr>
                <w:color w:val="000000" w:themeColor="text1"/>
              </w:rPr>
            </w:pPr>
            <w:r w:rsidRPr="00286216">
              <w:rPr>
                <w:color w:val="000000" w:themeColor="text1"/>
              </w:rPr>
              <w:t>а) у частині другій:</w:t>
            </w:r>
          </w:p>
        </w:tc>
        <w:tc>
          <w:tcPr>
            <w:tcW w:w="3686" w:type="dxa"/>
          </w:tcPr>
          <w:p w14:paraId="1700A4E7" w14:textId="77777777" w:rsidR="008A5602" w:rsidRPr="00286216" w:rsidRDefault="008A5602" w:rsidP="008A5602">
            <w:pPr>
              <w:pStyle w:val="StyleProp"/>
              <w:rPr>
                <w:color w:val="000000" w:themeColor="text1"/>
                <w:szCs w:val="18"/>
              </w:rPr>
            </w:pPr>
          </w:p>
        </w:tc>
        <w:tc>
          <w:tcPr>
            <w:tcW w:w="1987" w:type="dxa"/>
          </w:tcPr>
          <w:p w14:paraId="0EC2DFC7" w14:textId="77777777" w:rsidR="008A5602" w:rsidRPr="00286216" w:rsidRDefault="008A5602" w:rsidP="008A5602">
            <w:pPr>
              <w:pStyle w:val="StyleWisnow"/>
              <w:rPr>
                <w:color w:val="000000" w:themeColor="text1"/>
              </w:rPr>
            </w:pPr>
          </w:p>
        </w:tc>
        <w:tc>
          <w:tcPr>
            <w:tcW w:w="4818" w:type="dxa"/>
          </w:tcPr>
          <w:p w14:paraId="650F8F10" w14:textId="4794034D" w:rsidR="008A5602" w:rsidRPr="00286216" w:rsidRDefault="008A5602" w:rsidP="008A5602">
            <w:pPr>
              <w:pStyle w:val="StyleZakonu"/>
              <w:rPr>
                <w:color w:val="000000" w:themeColor="text1"/>
              </w:rPr>
            </w:pPr>
            <w:r w:rsidRPr="00286216">
              <w:rPr>
                <w:color w:val="000000" w:themeColor="text1"/>
              </w:rPr>
              <w:t>б) у частині другій:</w:t>
            </w:r>
          </w:p>
        </w:tc>
      </w:tr>
      <w:tr w:rsidR="008A5602" w:rsidRPr="00286216" w14:paraId="6E566EFF" w14:textId="77777777" w:rsidTr="00091AA5">
        <w:tc>
          <w:tcPr>
            <w:tcW w:w="576" w:type="dxa"/>
          </w:tcPr>
          <w:p w14:paraId="3A161F5E" w14:textId="77777777" w:rsidR="008A5602" w:rsidRPr="00286216" w:rsidRDefault="008A5602" w:rsidP="008A5602">
            <w:pPr>
              <w:pStyle w:val="StyleWisnow"/>
              <w:rPr>
                <w:color w:val="000000" w:themeColor="text1"/>
              </w:rPr>
            </w:pPr>
            <w:bookmarkStart w:id="3651" w:name="n3782" w:colFirst="0" w:colLast="0"/>
            <w:bookmarkEnd w:id="3650"/>
            <w:r w:rsidRPr="00286216">
              <w:rPr>
                <w:color w:val="000000" w:themeColor="text1"/>
              </w:rPr>
              <w:t>3782.</w:t>
            </w:r>
          </w:p>
        </w:tc>
        <w:tc>
          <w:tcPr>
            <w:tcW w:w="4818" w:type="dxa"/>
          </w:tcPr>
          <w:p w14:paraId="7DBE207A" w14:textId="77777777" w:rsidR="008A5602" w:rsidRPr="00286216" w:rsidRDefault="008A5602" w:rsidP="008A5602">
            <w:pPr>
              <w:pStyle w:val="StyleZakonu"/>
              <w:rPr>
                <w:color w:val="000000" w:themeColor="text1"/>
              </w:rPr>
            </w:pPr>
            <w:r w:rsidRPr="00286216">
              <w:rPr>
                <w:color w:val="000000" w:themeColor="text1"/>
              </w:rPr>
              <w:t>доповнити після пункту 6 новим пунктом такого змісту:</w:t>
            </w:r>
          </w:p>
        </w:tc>
        <w:tc>
          <w:tcPr>
            <w:tcW w:w="3686" w:type="dxa"/>
          </w:tcPr>
          <w:p w14:paraId="01F0E588" w14:textId="06917705" w:rsidR="008A5602" w:rsidRPr="00286216" w:rsidRDefault="008A5602" w:rsidP="008A5602">
            <w:pPr>
              <w:pStyle w:val="StyleProp"/>
              <w:rPr>
                <w:color w:val="000000" w:themeColor="text1"/>
                <w:szCs w:val="18"/>
              </w:rPr>
            </w:pPr>
          </w:p>
        </w:tc>
        <w:tc>
          <w:tcPr>
            <w:tcW w:w="1987" w:type="dxa"/>
          </w:tcPr>
          <w:p w14:paraId="11A2339A" w14:textId="42A889F0" w:rsidR="008A5602" w:rsidRPr="00286216" w:rsidRDefault="008A5602" w:rsidP="008A5602">
            <w:pPr>
              <w:pStyle w:val="StyleWisnow"/>
              <w:rPr>
                <w:color w:val="000000" w:themeColor="text1"/>
              </w:rPr>
            </w:pPr>
          </w:p>
        </w:tc>
        <w:tc>
          <w:tcPr>
            <w:tcW w:w="4818" w:type="dxa"/>
          </w:tcPr>
          <w:p w14:paraId="16A26056" w14:textId="347347F3" w:rsidR="008A5602" w:rsidRPr="00286216" w:rsidRDefault="008A5602" w:rsidP="008A5602">
            <w:pPr>
              <w:pStyle w:val="StyleZakonu"/>
              <w:rPr>
                <w:color w:val="000000" w:themeColor="text1"/>
              </w:rPr>
            </w:pPr>
          </w:p>
        </w:tc>
      </w:tr>
      <w:tr w:rsidR="008A5602" w:rsidRPr="00286216" w14:paraId="0199A7AE" w14:textId="77777777" w:rsidTr="00091AA5">
        <w:tc>
          <w:tcPr>
            <w:tcW w:w="576" w:type="dxa"/>
          </w:tcPr>
          <w:p w14:paraId="04ED2FD7" w14:textId="77777777" w:rsidR="008A5602" w:rsidRPr="00286216" w:rsidRDefault="008A5602" w:rsidP="008A5602">
            <w:pPr>
              <w:pStyle w:val="StyleWisnow"/>
              <w:rPr>
                <w:color w:val="000000" w:themeColor="text1"/>
              </w:rPr>
            </w:pPr>
            <w:bookmarkStart w:id="3652" w:name="n3783" w:colFirst="0" w:colLast="0"/>
            <w:bookmarkEnd w:id="3651"/>
            <w:r w:rsidRPr="00286216">
              <w:rPr>
                <w:color w:val="000000" w:themeColor="text1"/>
              </w:rPr>
              <w:t>3783.</w:t>
            </w:r>
          </w:p>
        </w:tc>
        <w:tc>
          <w:tcPr>
            <w:tcW w:w="4818" w:type="dxa"/>
          </w:tcPr>
          <w:p w14:paraId="1A5100AF" w14:textId="77777777" w:rsidR="008A5602" w:rsidRPr="00286216" w:rsidRDefault="008A5602" w:rsidP="008A5602">
            <w:pPr>
              <w:pStyle w:val="StyleZakonu"/>
              <w:rPr>
                <w:color w:val="000000" w:themeColor="text1"/>
              </w:rPr>
            </w:pPr>
            <w:r w:rsidRPr="00286216">
              <w:rPr>
                <w:color w:val="000000" w:themeColor="text1"/>
              </w:rPr>
              <w:t>"6</w:t>
            </w:r>
            <w:r w:rsidRPr="00286216">
              <w:rPr>
                <w:color w:val="000000" w:themeColor="text1"/>
                <w:vertAlign w:val="superscript"/>
              </w:rPr>
              <w:t>1</w:t>
            </w:r>
            <w:r w:rsidRPr="00286216">
              <w:rPr>
                <w:color w:val="000000" w:themeColor="text1"/>
              </w:rPr>
              <w:t>) отримання коштів, які підлягають виплаті у процесі стягнення заборгованості з емітента облігацій внутрішніх місцевих позик, особи, яка надає забезпечення за такими облігаціями, в процедурі відновлення платоспроможності боржника або ліквідації, на рахунок Національного банку України для їх подальшого переказу отримувачам; ";</w:t>
            </w:r>
          </w:p>
        </w:tc>
        <w:tc>
          <w:tcPr>
            <w:tcW w:w="3686" w:type="dxa"/>
          </w:tcPr>
          <w:p w14:paraId="39381DFC" w14:textId="6818D8DE" w:rsidR="008A5602" w:rsidRPr="00286216" w:rsidRDefault="008A5602" w:rsidP="008A5602">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1502</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8E322A4" w14:textId="77777777" w:rsidR="008A5602" w:rsidRPr="00286216" w:rsidRDefault="008A5602" w:rsidP="008A5602">
            <w:pPr>
              <w:pStyle w:val="StyleProp"/>
              <w:spacing w:line="180" w:lineRule="exact"/>
              <w:rPr>
                <w:color w:val="000000" w:themeColor="text1"/>
                <w:szCs w:val="18"/>
              </w:rPr>
            </w:pPr>
            <w:r w:rsidRPr="00286216">
              <w:rPr>
                <w:color w:val="000000" w:themeColor="text1"/>
                <w:szCs w:val="18"/>
              </w:rPr>
              <w:t>Абзаци другий та третій підпункту «б» підпункту 9 пункту 44 замінити абзацом такого змісту:</w:t>
            </w:r>
          </w:p>
          <w:p w14:paraId="3093E82E" w14:textId="7CB4BC19" w:rsidR="008A5602" w:rsidRPr="00286216" w:rsidRDefault="008A5602" w:rsidP="008A5602">
            <w:pPr>
              <w:pStyle w:val="StyleProp"/>
              <w:spacing w:line="180" w:lineRule="exact"/>
              <w:rPr>
                <w:color w:val="000000" w:themeColor="text1"/>
                <w:szCs w:val="18"/>
              </w:rPr>
            </w:pPr>
            <w:r w:rsidRPr="00286216">
              <w:rPr>
                <w:color w:val="000000" w:themeColor="text1"/>
                <w:szCs w:val="18"/>
              </w:rPr>
              <w:t>«в абзаці першому частини другої слова «та облігацій внутрішніх місцевих позик» виключити».</w:t>
            </w:r>
          </w:p>
        </w:tc>
        <w:tc>
          <w:tcPr>
            <w:tcW w:w="1987" w:type="dxa"/>
          </w:tcPr>
          <w:p w14:paraId="353F05CD" w14:textId="077ED19D" w:rsidR="008A5602" w:rsidRPr="00286216" w:rsidRDefault="008A5602" w:rsidP="008A5602">
            <w:pPr>
              <w:pStyle w:val="StyleWisnow"/>
              <w:rPr>
                <w:color w:val="000000" w:themeColor="text1"/>
              </w:rPr>
            </w:pPr>
            <w:r w:rsidRPr="00286216">
              <w:rPr>
                <w:color w:val="000000" w:themeColor="text1"/>
              </w:rPr>
              <w:t xml:space="preserve">Враховано </w:t>
            </w:r>
          </w:p>
        </w:tc>
        <w:tc>
          <w:tcPr>
            <w:tcW w:w="4818" w:type="dxa"/>
          </w:tcPr>
          <w:p w14:paraId="48A8A96A" w14:textId="77777777" w:rsidR="008A5602" w:rsidRPr="00286216" w:rsidRDefault="008A5602" w:rsidP="008A5602">
            <w:pPr>
              <w:pStyle w:val="StyleZakonu"/>
              <w:rPr>
                <w:color w:val="000000" w:themeColor="text1"/>
                <w:szCs w:val="18"/>
              </w:rPr>
            </w:pPr>
            <w:r w:rsidRPr="00286216">
              <w:rPr>
                <w:color w:val="000000" w:themeColor="text1"/>
                <w:szCs w:val="18"/>
              </w:rPr>
              <w:t>в абзаці першому слова «та облігацій внутрішніх місцевих позик» виключити;</w:t>
            </w:r>
          </w:p>
          <w:p w14:paraId="4DCE6230" w14:textId="09782745" w:rsidR="008A5602" w:rsidRPr="00286216" w:rsidRDefault="008A5602" w:rsidP="008A5602">
            <w:pPr>
              <w:pStyle w:val="StyleZakonu"/>
              <w:rPr>
                <w:color w:val="000000" w:themeColor="text1"/>
              </w:rPr>
            </w:pPr>
            <w:r w:rsidRPr="00286216">
              <w:rPr>
                <w:color w:val="000000" w:themeColor="text1"/>
                <w:szCs w:val="18"/>
              </w:rPr>
              <w:t>.</w:t>
            </w:r>
          </w:p>
        </w:tc>
      </w:tr>
      <w:tr w:rsidR="008A5602" w:rsidRPr="00286216" w14:paraId="013FE8DA" w14:textId="77777777" w:rsidTr="00091AA5">
        <w:tc>
          <w:tcPr>
            <w:tcW w:w="576" w:type="dxa"/>
          </w:tcPr>
          <w:p w14:paraId="7EC26253" w14:textId="4697BC8A" w:rsidR="008A5602" w:rsidRPr="00286216" w:rsidRDefault="008A5602" w:rsidP="008A5602">
            <w:pPr>
              <w:pStyle w:val="StyleWisnow"/>
              <w:rPr>
                <w:color w:val="000000" w:themeColor="text1"/>
              </w:rPr>
            </w:pPr>
            <w:bookmarkStart w:id="3653" w:name="n3784" w:colFirst="0" w:colLast="0"/>
            <w:bookmarkEnd w:id="3652"/>
            <w:r w:rsidRPr="00286216">
              <w:rPr>
                <w:color w:val="000000" w:themeColor="text1"/>
              </w:rPr>
              <w:t>3784.</w:t>
            </w:r>
          </w:p>
        </w:tc>
        <w:tc>
          <w:tcPr>
            <w:tcW w:w="4818" w:type="dxa"/>
          </w:tcPr>
          <w:p w14:paraId="0242F920" w14:textId="77777777" w:rsidR="008A5602" w:rsidRPr="00286216" w:rsidRDefault="008A5602" w:rsidP="008A5602">
            <w:pPr>
              <w:pStyle w:val="StyleZakonu"/>
              <w:rPr>
                <w:color w:val="000000" w:themeColor="text1"/>
              </w:rPr>
            </w:pPr>
            <w:r w:rsidRPr="00286216">
              <w:rPr>
                <w:color w:val="000000" w:themeColor="text1"/>
              </w:rPr>
              <w:t>у пункті 7 слова "клірингових установ" замінити словами "осіб, які провадять клірингову діяльність", слова "та Розрахункового центру" виключити;</w:t>
            </w:r>
          </w:p>
        </w:tc>
        <w:tc>
          <w:tcPr>
            <w:tcW w:w="3686" w:type="dxa"/>
          </w:tcPr>
          <w:p w14:paraId="5E5C0016" w14:textId="77777777" w:rsidR="008A5602" w:rsidRPr="00286216" w:rsidRDefault="008A5602" w:rsidP="008A5602">
            <w:pPr>
              <w:pStyle w:val="StyleProp"/>
              <w:rPr>
                <w:color w:val="000000" w:themeColor="text1"/>
                <w:szCs w:val="18"/>
              </w:rPr>
            </w:pPr>
          </w:p>
        </w:tc>
        <w:tc>
          <w:tcPr>
            <w:tcW w:w="1987" w:type="dxa"/>
          </w:tcPr>
          <w:p w14:paraId="0A7C466E" w14:textId="77777777" w:rsidR="008A5602" w:rsidRPr="00286216" w:rsidRDefault="008A5602" w:rsidP="008A5602">
            <w:pPr>
              <w:pStyle w:val="StyleWisnow"/>
              <w:rPr>
                <w:color w:val="000000" w:themeColor="text1"/>
              </w:rPr>
            </w:pPr>
          </w:p>
        </w:tc>
        <w:tc>
          <w:tcPr>
            <w:tcW w:w="4818" w:type="dxa"/>
          </w:tcPr>
          <w:p w14:paraId="5CA6ACCC" w14:textId="1BE71E1E" w:rsidR="008A5602" w:rsidRPr="00286216" w:rsidRDefault="008A5602" w:rsidP="008A5602">
            <w:pPr>
              <w:pStyle w:val="StyleZakonu"/>
              <w:rPr>
                <w:color w:val="000000" w:themeColor="text1"/>
              </w:rPr>
            </w:pPr>
            <w:r w:rsidRPr="00286216">
              <w:rPr>
                <w:color w:val="000000" w:themeColor="text1"/>
              </w:rPr>
              <w:t>у пункті 7 слова "клірингових установ" замінити словами "осіб, які провадять клірингову діяльність", слова "та Розрахункового центру" виключити;</w:t>
            </w:r>
          </w:p>
        </w:tc>
      </w:tr>
      <w:tr w:rsidR="008A5602" w:rsidRPr="00286216" w14:paraId="132383FB" w14:textId="77777777" w:rsidTr="00091AA5">
        <w:tc>
          <w:tcPr>
            <w:tcW w:w="576" w:type="dxa"/>
          </w:tcPr>
          <w:p w14:paraId="0BD4A567" w14:textId="77777777" w:rsidR="008A5602" w:rsidRPr="00286216" w:rsidRDefault="008A5602" w:rsidP="008A5602">
            <w:pPr>
              <w:pStyle w:val="StyleWisnow"/>
              <w:rPr>
                <w:color w:val="000000" w:themeColor="text1"/>
              </w:rPr>
            </w:pPr>
            <w:bookmarkStart w:id="3654" w:name="n3785" w:colFirst="0" w:colLast="0"/>
            <w:bookmarkEnd w:id="3653"/>
            <w:r w:rsidRPr="00286216">
              <w:rPr>
                <w:color w:val="000000" w:themeColor="text1"/>
              </w:rPr>
              <w:t>3785.</w:t>
            </w:r>
          </w:p>
        </w:tc>
        <w:tc>
          <w:tcPr>
            <w:tcW w:w="4818" w:type="dxa"/>
          </w:tcPr>
          <w:p w14:paraId="77DA085A" w14:textId="77777777" w:rsidR="008A5602" w:rsidRPr="00286216" w:rsidRDefault="008A5602" w:rsidP="008A5602">
            <w:pPr>
              <w:pStyle w:val="StyleZakonu"/>
              <w:rPr>
                <w:color w:val="000000" w:themeColor="text1"/>
              </w:rPr>
            </w:pPr>
            <w:r w:rsidRPr="00286216">
              <w:rPr>
                <w:color w:val="000000" w:themeColor="text1"/>
              </w:rPr>
              <w:t>б) після частини другої доповнити частиною такого змісту:</w:t>
            </w:r>
          </w:p>
        </w:tc>
        <w:tc>
          <w:tcPr>
            <w:tcW w:w="3686" w:type="dxa"/>
          </w:tcPr>
          <w:p w14:paraId="027F6949" w14:textId="77777777" w:rsidR="008A5602" w:rsidRPr="00286216" w:rsidRDefault="008A5602" w:rsidP="008A5602">
            <w:pPr>
              <w:pStyle w:val="StyleProp"/>
              <w:rPr>
                <w:color w:val="000000" w:themeColor="text1"/>
                <w:szCs w:val="18"/>
              </w:rPr>
            </w:pPr>
          </w:p>
        </w:tc>
        <w:tc>
          <w:tcPr>
            <w:tcW w:w="1987" w:type="dxa"/>
          </w:tcPr>
          <w:p w14:paraId="6CF6C5B2" w14:textId="77777777" w:rsidR="008A5602" w:rsidRPr="00286216" w:rsidRDefault="008A5602" w:rsidP="008A5602">
            <w:pPr>
              <w:pStyle w:val="StyleWisnow"/>
              <w:rPr>
                <w:color w:val="000000" w:themeColor="text1"/>
              </w:rPr>
            </w:pPr>
          </w:p>
        </w:tc>
        <w:tc>
          <w:tcPr>
            <w:tcW w:w="4818" w:type="dxa"/>
          </w:tcPr>
          <w:p w14:paraId="520B3600" w14:textId="6C14CD82" w:rsidR="008A5602" w:rsidRPr="00286216" w:rsidRDefault="008A5602" w:rsidP="008A5602">
            <w:pPr>
              <w:pStyle w:val="StyleZakonu"/>
              <w:rPr>
                <w:color w:val="000000" w:themeColor="text1"/>
              </w:rPr>
            </w:pPr>
            <w:r w:rsidRPr="00286216">
              <w:rPr>
                <w:color w:val="000000" w:themeColor="text1"/>
              </w:rPr>
              <w:t>в) після частини другої доповнити новою частиною такого змісту:</w:t>
            </w:r>
          </w:p>
        </w:tc>
      </w:tr>
      <w:tr w:rsidR="008A5602" w:rsidRPr="00286216" w14:paraId="2C3ED561" w14:textId="77777777" w:rsidTr="00091AA5">
        <w:tc>
          <w:tcPr>
            <w:tcW w:w="576" w:type="dxa"/>
          </w:tcPr>
          <w:p w14:paraId="548AEFD3" w14:textId="77777777" w:rsidR="008A5602" w:rsidRPr="00286216" w:rsidRDefault="008A5602" w:rsidP="008A5602">
            <w:pPr>
              <w:pStyle w:val="StyleWisnow"/>
              <w:rPr>
                <w:color w:val="000000" w:themeColor="text1"/>
              </w:rPr>
            </w:pPr>
            <w:bookmarkStart w:id="3655" w:name="n3786" w:colFirst="0" w:colLast="0"/>
            <w:bookmarkEnd w:id="3654"/>
            <w:r w:rsidRPr="00286216">
              <w:rPr>
                <w:color w:val="000000" w:themeColor="text1"/>
              </w:rPr>
              <w:t>3786.</w:t>
            </w:r>
          </w:p>
        </w:tc>
        <w:tc>
          <w:tcPr>
            <w:tcW w:w="4818" w:type="dxa"/>
          </w:tcPr>
          <w:p w14:paraId="711F61F8" w14:textId="77777777" w:rsidR="008A5602" w:rsidRPr="00286216" w:rsidRDefault="008A5602" w:rsidP="008A5602">
            <w:pPr>
              <w:pStyle w:val="StyleZakonu"/>
              <w:rPr>
                <w:color w:val="000000" w:themeColor="text1"/>
              </w:rPr>
            </w:pPr>
            <w:r w:rsidRPr="00286216">
              <w:rPr>
                <w:color w:val="000000" w:themeColor="text1"/>
              </w:rPr>
              <w:t>"3. Національний банк України провадить депозитарну діяльність, передбачену пунктами 3 та 5 частини першої статті 3 цього Закону в порядку, установленому Комісією.".</w:t>
            </w:r>
          </w:p>
        </w:tc>
        <w:tc>
          <w:tcPr>
            <w:tcW w:w="3686" w:type="dxa"/>
          </w:tcPr>
          <w:p w14:paraId="7D11E1A1" w14:textId="1C7969B6" w:rsidR="008A5602" w:rsidRPr="00286216" w:rsidRDefault="008A5602" w:rsidP="008A5602">
            <w:pPr>
              <w:pStyle w:val="StyleProp"/>
              <w:rPr>
                <w:color w:val="000000" w:themeColor="text1"/>
                <w:szCs w:val="18"/>
              </w:rPr>
            </w:pPr>
          </w:p>
        </w:tc>
        <w:tc>
          <w:tcPr>
            <w:tcW w:w="1987" w:type="dxa"/>
          </w:tcPr>
          <w:p w14:paraId="3ED86911" w14:textId="77777777" w:rsidR="008A5602" w:rsidRPr="00286216" w:rsidRDefault="008A5602" w:rsidP="008A5602">
            <w:pPr>
              <w:pStyle w:val="StyleWisnow"/>
              <w:rPr>
                <w:color w:val="000000" w:themeColor="text1"/>
              </w:rPr>
            </w:pPr>
          </w:p>
        </w:tc>
        <w:tc>
          <w:tcPr>
            <w:tcW w:w="4818" w:type="dxa"/>
          </w:tcPr>
          <w:p w14:paraId="0F438480" w14:textId="78F26D01" w:rsidR="008A5602" w:rsidRPr="00286216" w:rsidRDefault="008A5602" w:rsidP="008A5602">
            <w:pPr>
              <w:pStyle w:val="StyleZakonu"/>
              <w:rPr>
                <w:color w:val="000000" w:themeColor="text1"/>
              </w:rPr>
            </w:pPr>
            <w:r w:rsidRPr="00286216">
              <w:rPr>
                <w:color w:val="000000" w:themeColor="text1"/>
              </w:rPr>
              <w:t>"3. Національний банк України провадить депозитарну діяльність, передбачену пунктами 3 та 5 частини першої статті 3 цього Закону, в порядку, установленому Комісією".</w:t>
            </w:r>
          </w:p>
        </w:tc>
      </w:tr>
      <w:tr w:rsidR="008A5602" w:rsidRPr="00286216" w14:paraId="3546FABA" w14:textId="77777777" w:rsidTr="00091AA5">
        <w:tc>
          <w:tcPr>
            <w:tcW w:w="576" w:type="dxa"/>
          </w:tcPr>
          <w:p w14:paraId="018CAA88" w14:textId="77777777" w:rsidR="008A5602" w:rsidRPr="00286216" w:rsidRDefault="008A5602" w:rsidP="008A5602">
            <w:pPr>
              <w:pStyle w:val="StyleWisnow"/>
              <w:rPr>
                <w:color w:val="000000" w:themeColor="text1"/>
              </w:rPr>
            </w:pPr>
            <w:bookmarkStart w:id="3656" w:name="n3787" w:colFirst="0" w:colLast="0"/>
            <w:bookmarkEnd w:id="3655"/>
            <w:r w:rsidRPr="00286216">
              <w:rPr>
                <w:color w:val="000000" w:themeColor="text1"/>
              </w:rPr>
              <w:t>3787.</w:t>
            </w:r>
          </w:p>
        </w:tc>
        <w:tc>
          <w:tcPr>
            <w:tcW w:w="4818" w:type="dxa"/>
          </w:tcPr>
          <w:p w14:paraId="0C76D10B" w14:textId="77777777" w:rsidR="008A5602" w:rsidRPr="00286216" w:rsidRDefault="008A5602" w:rsidP="008A5602">
            <w:pPr>
              <w:pStyle w:val="StyleZakonu"/>
              <w:rPr>
                <w:color w:val="000000" w:themeColor="text1"/>
              </w:rPr>
            </w:pPr>
            <w:r w:rsidRPr="00286216">
              <w:rPr>
                <w:color w:val="000000" w:themeColor="text1"/>
              </w:rPr>
              <w:t>У зв’язку з цим частину третю та четверту вважати частиною четвертою та п’ятою, відповідно;</w:t>
            </w:r>
          </w:p>
        </w:tc>
        <w:tc>
          <w:tcPr>
            <w:tcW w:w="3686" w:type="dxa"/>
          </w:tcPr>
          <w:p w14:paraId="453E37DD" w14:textId="77777777" w:rsidR="008A5602" w:rsidRPr="00286216" w:rsidRDefault="008A5602" w:rsidP="008A5602">
            <w:pPr>
              <w:pStyle w:val="StyleProp"/>
              <w:rPr>
                <w:color w:val="000000" w:themeColor="text1"/>
                <w:szCs w:val="18"/>
              </w:rPr>
            </w:pPr>
          </w:p>
        </w:tc>
        <w:tc>
          <w:tcPr>
            <w:tcW w:w="1987" w:type="dxa"/>
          </w:tcPr>
          <w:p w14:paraId="7EF1E658" w14:textId="77777777" w:rsidR="008A5602" w:rsidRPr="00286216" w:rsidRDefault="008A5602" w:rsidP="008A5602">
            <w:pPr>
              <w:pStyle w:val="StyleWisnow"/>
              <w:rPr>
                <w:color w:val="000000" w:themeColor="text1"/>
              </w:rPr>
            </w:pPr>
          </w:p>
        </w:tc>
        <w:tc>
          <w:tcPr>
            <w:tcW w:w="4818" w:type="dxa"/>
          </w:tcPr>
          <w:p w14:paraId="211ECA63" w14:textId="257DB983" w:rsidR="008A5602" w:rsidRPr="00286216" w:rsidRDefault="008A5602" w:rsidP="008A5602">
            <w:pPr>
              <w:pStyle w:val="StyleZakonu"/>
              <w:rPr>
                <w:color w:val="000000" w:themeColor="text1"/>
              </w:rPr>
            </w:pPr>
            <w:r w:rsidRPr="00286216">
              <w:rPr>
                <w:color w:val="000000" w:themeColor="text1"/>
              </w:rPr>
              <w:t>У зв’язку з цим частини третю  і четверту вважати відповідно частиною четвертою  і п’ятою;</w:t>
            </w:r>
          </w:p>
        </w:tc>
      </w:tr>
      <w:tr w:rsidR="008A5602" w:rsidRPr="00286216" w14:paraId="15E855F9" w14:textId="77777777" w:rsidTr="00091AA5">
        <w:tc>
          <w:tcPr>
            <w:tcW w:w="576" w:type="dxa"/>
          </w:tcPr>
          <w:p w14:paraId="7F0D8556" w14:textId="77777777" w:rsidR="008A5602" w:rsidRPr="00286216" w:rsidRDefault="008A5602" w:rsidP="008A5602">
            <w:pPr>
              <w:pStyle w:val="StyleWisnow"/>
              <w:rPr>
                <w:color w:val="000000" w:themeColor="text1"/>
              </w:rPr>
            </w:pPr>
            <w:bookmarkStart w:id="3657" w:name="n3788" w:colFirst="0" w:colLast="0"/>
            <w:bookmarkEnd w:id="3656"/>
            <w:r w:rsidRPr="00286216">
              <w:rPr>
                <w:color w:val="000000" w:themeColor="text1"/>
              </w:rPr>
              <w:t>3788.</w:t>
            </w:r>
          </w:p>
        </w:tc>
        <w:tc>
          <w:tcPr>
            <w:tcW w:w="4818" w:type="dxa"/>
          </w:tcPr>
          <w:p w14:paraId="44C1374B" w14:textId="77777777" w:rsidR="008A5602" w:rsidRPr="00286216" w:rsidRDefault="008A5602" w:rsidP="008A5602">
            <w:pPr>
              <w:pStyle w:val="StyleZakonu"/>
              <w:rPr>
                <w:color w:val="000000" w:themeColor="text1"/>
              </w:rPr>
            </w:pPr>
            <w:r w:rsidRPr="00286216">
              <w:rPr>
                <w:color w:val="000000" w:themeColor="text1"/>
              </w:rPr>
              <w:t>в) у частині четвертій слова "цього рахунка" замінити словами "цих рахунків", слово ним замінити словом "ними";</w:t>
            </w:r>
          </w:p>
        </w:tc>
        <w:tc>
          <w:tcPr>
            <w:tcW w:w="3686" w:type="dxa"/>
          </w:tcPr>
          <w:p w14:paraId="4373063F" w14:textId="130834A4"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1503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2EC37C19"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підпункт “в” підпункту 9 підпункту 44 розділу 3 викласти в такій редакції:</w:t>
            </w:r>
          </w:p>
          <w:p w14:paraId="1C7CA36D" w14:textId="77777777" w:rsidR="008A5602" w:rsidRPr="00286216" w:rsidRDefault="008A5602" w:rsidP="008A5602">
            <w:pPr>
              <w:pStyle w:val="StyleProp"/>
              <w:spacing w:line="180" w:lineRule="exact"/>
              <w:rPr>
                <w:color w:val="000000" w:themeColor="text1"/>
              </w:rPr>
            </w:pPr>
            <w:r w:rsidRPr="00286216">
              <w:rPr>
                <w:color w:val="000000" w:themeColor="text1"/>
              </w:rPr>
              <w:t>“в) у частині четвертій:</w:t>
            </w:r>
          </w:p>
          <w:p w14:paraId="749645FD" w14:textId="77777777" w:rsidR="008A5602" w:rsidRPr="00286216" w:rsidRDefault="008A5602" w:rsidP="008A5602">
            <w:pPr>
              <w:spacing w:line="180" w:lineRule="exact"/>
              <w:ind w:firstLine="227"/>
              <w:jc w:val="both"/>
              <w:rPr>
                <w:color w:val="000000" w:themeColor="text1"/>
                <w:sz w:val="18"/>
              </w:rPr>
            </w:pPr>
            <w:r w:rsidRPr="00286216">
              <w:rPr>
                <w:color w:val="000000" w:themeColor="text1"/>
                <w:sz w:val="18"/>
              </w:rPr>
              <w:t xml:space="preserve">у першому реченні після слова “рахунок” </w:t>
            </w:r>
            <w:r w:rsidRPr="00286216">
              <w:rPr>
                <w:color w:val="000000" w:themeColor="text1"/>
                <w:sz w:val="18"/>
              </w:rPr>
              <w:lastRenderedPageBreak/>
              <w:t>доповнити словом “(рахунки)”;</w:t>
            </w:r>
          </w:p>
          <w:p w14:paraId="4408005C" w14:textId="77777777" w:rsidR="008A5602" w:rsidRPr="00286216" w:rsidRDefault="008A5602" w:rsidP="008A5602">
            <w:pPr>
              <w:spacing w:line="180" w:lineRule="exact"/>
              <w:ind w:firstLine="227"/>
              <w:jc w:val="both"/>
              <w:rPr>
                <w:color w:val="000000" w:themeColor="text1"/>
                <w:szCs w:val="18"/>
              </w:rPr>
            </w:pPr>
            <w:r w:rsidRPr="00286216">
              <w:rPr>
                <w:color w:val="000000" w:themeColor="text1"/>
                <w:sz w:val="18"/>
              </w:rPr>
              <w:t>у другому реченні після слів “цього рахунка” доповнити словами “(цих рахунків)”, слово “ним” замінити словом “ним(и)”;</w:t>
            </w:r>
          </w:p>
        </w:tc>
        <w:tc>
          <w:tcPr>
            <w:tcW w:w="1987" w:type="dxa"/>
          </w:tcPr>
          <w:p w14:paraId="0202903C" w14:textId="77777777" w:rsidR="008A5602" w:rsidRPr="00286216" w:rsidRDefault="008A5602" w:rsidP="008A5602">
            <w:pPr>
              <w:pStyle w:val="StyleWisnow"/>
              <w:rPr>
                <w:color w:val="000000" w:themeColor="text1"/>
              </w:rPr>
            </w:pPr>
            <w:r w:rsidRPr="00286216">
              <w:rPr>
                <w:color w:val="000000" w:themeColor="text1"/>
              </w:rPr>
              <w:lastRenderedPageBreak/>
              <w:t>Враховано</w:t>
            </w:r>
          </w:p>
        </w:tc>
        <w:tc>
          <w:tcPr>
            <w:tcW w:w="4818" w:type="dxa"/>
          </w:tcPr>
          <w:p w14:paraId="43747C4A" w14:textId="77777777" w:rsidR="008A5602" w:rsidRPr="00286216" w:rsidRDefault="008A5602" w:rsidP="008A5602">
            <w:pPr>
              <w:pStyle w:val="StyleZakonu"/>
              <w:rPr>
                <w:color w:val="000000" w:themeColor="text1"/>
              </w:rPr>
            </w:pPr>
            <w:r w:rsidRPr="00286216">
              <w:rPr>
                <w:color w:val="000000" w:themeColor="text1"/>
              </w:rPr>
              <w:t>г) у частині четвертій:</w:t>
            </w:r>
          </w:p>
          <w:p w14:paraId="66D0F2C1" w14:textId="47FABC7F" w:rsidR="008A5602" w:rsidRPr="00286216" w:rsidRDefault="008A5602" w:rsidP="008A5602">
            <w:pPr>
              <w:pStyle w:val="StyleZakonu"/>
              <w:rPr>
                <w:color w:val="000000" w:themeColor="text1"/>
              </w:rPr>
            </w:pPr>
            <w:r w:rsidRPr="00286216">
              <w:rPr>
                <w:color w:val="000000" w:themeColor="text1"/>
              </w:rPr>
              <w:t>перше речення після слова “рахунок” доповнити словом “(рахунки)”;</w:t>
            </w:r>
          </w:p>
          <w:p w14:paraId="5E484768" w14:textId="4027B374" w:rsidR="008A5602" w:rsidRPr="00286216" w:rsidRDefault="008A5602" w:rsidP="008A5602">
            <w:pPr>
              <w:pStyle w:val="StyleZakonu"/>
              <w:rPr>
                <w:color w:val="000000" w:themeColor="text1"/>
              </w:rPr>
            </w:pPr>
            <w:r w:rsidRPr="00286216">
              <w:rPr>
                <w:color w:val="000000" w:themeColor="text1"/>
              </w:rPr>
              <w:lastRenderedPageBreak/>
              <w:t>друге речення після слів “цього рахунка” доповнити словами “(цих рахунків)”, слово “ним” замінити словом “ним(и)”;</w:t>
            </w:r>
          </w:p>
        </w:tc>
      </w:tr>
      <w:tr w:rsidR="008A5602" w:rsidRPr="00286216" w14:paraId="2452EA3A" w14:textId="77777777" w:rsidTr="00091AA5">
        <w:tc>
          <w:tcPr>
            <w:tcW w:w="576" w:type="dxa"/>
          </w:tcPr>
          <w:p w14:paraId="0D36E83C" w14:textId="77777777" w:rsidR="008A5602" w:rsidRPr="00286216" w:rsidRDefault="008A5602" w:rsidP="008A5602">
            <w:pPr>
              <w:pStyle w:val="StyleWisnow"/>
              <w:rPr>
                <w:color w:val="000000" w:themeColor="text1"/>
              </w:rPr>
            </w:pPr>
            <w:bookmarkStart w:id="3658" w:name="n3789" w:colFirst="0" w:colLast="0"/>
            <w:bookmarkEnd w:id="3657"/>
            <w:r w:rsidRPr="00286216">
              <w:rPr>
                <w:color w:val="000000" w:themeColor="text1"/>
              </w:rPr>
              <w:lastRenderedPageBreak/>
              <w:t>3789.</w:t>
            </w:r>
          </w:p>
        </w:tc>
        <w:tc>
          <w:tcPr>
            <w:tcW w:w="4818" w:type="dxa"/>
          </w:tcPr>
          <w:p w14:paraId="0E77F0CF" w14:textId="77777777" w:rsidR="008A5602" w:rsidRPr="00286216" w:rsidRDefault="008A5602" w:rsidP="008A5602">
            <w:pPr>
              <w:pStyle w:val="StyleZakonu"/>
              <w:rPr>
                <w:color w:val="000000" w:themeColor="text1"/>
              </w:rPr>
            </w:pPr>
            <w:r w:rsidRPr="00286216">
              <w:rPr>
                <w:color w:val="000000" w:themeColor="text1"/>
              </w:rPr>
              <w:t>ґ) після частини четвертої доповнити статтю новою частиною такого змісту:</w:t>
            </w:r>
          </w:p>
        </w:tc>
        <w:tc>
          <w:tcPr>
            <w:tcW w:w="3686" w:type="dxa"/>
          </w:tcPr>
          <w:p w14:paraId="2A5DF2B8" w14:textId="77777777" w:rsidR="008A5602" w:rsidRPr="00286216" w:rsidRDefault="008A5602" w:rsidP="008A5602">
            <w:pPr>
              <w:pStyle w:val="StyleProp"/>
              <w:rPr>
                <w:color w:val="000000" w:themeColor="text1"/>
                <w:szCs w:val="18"/>
              </w:rPr>
            </w:pPr>
          </w:p>
        </w:tc>
        <w:tc>
          <w:tcPr>
            <w:tcW w:w="1987" w:type="dxa"/>
          </w:tcPr>
          <w:p w14:paraId="71353530" w14:textId="77777777" w:rsidR="008A5602" w:rsidRPr="00286216" w:rsidRDefault="008A5602" w:rsidP="008A5602">
            <w:pPr>
              <w:pStyle w:val="StyleWisnow"/>
              <w:rPr>
                <w:color w:val="000000" w:themeColor="text1"/>
              </w:rPr>
            </w:pPr>
          </w:p>
        </w:tc>
        <w:tc>
          <w:tcPr>
            <w:tcW w:w="4818" w:type="dxa"/>
          </w:tcPr>
          <w:p w14:paraId="2146630F" w14:textId="4E1C3F4F" w:rsidR="008A5602" w:rsidRPr="00286216" w:rsidRDefault="008A5602" w:rsidP="008A5602">
            <w:pPr>
              <w:pStyle w:val="StyleZakonu"/>
              <w:rPr>
                <w:color w:val="000000" w:themeColor="text1"/>
              </w:rPr>
            </w:pPr>
            <w:r w:rsidRPr="00286216">
              <w:rPr>
                <w:color w:val="000000" w:themeColor="text1"/>
              </w:rPr>
              <w:t>ґ) після частини четвертої доповнити новою частиною такого змісту:</w:t>
            </w:r>
          </w:p>
        </w:tc>
      </w:tr>
      <w:tr w:rsidR="008A5602" w:rsidRPr="00286216" w14:paraId="66707102" w14:textId="77777777" w:rsidTr="00091AA5">
        <w:tc>
          <w:tcPr>
            <w:tcW w:w="576" w:type="dxa"/>
          </w:tcPr>
          <w:p w14:paraId="1BF07A41" w14:textId="77777777" w:rsidR="008A5602" w:rsidRPr="00286216" w:rsidRDefault="008A5602" w:rsidP="008A5602">
            <w:pPr>
              <w:pStyle w:val="StyleWisnow"/>
              <w:rPr>
                <w:color w:val="000000" w:themeColor="text1"/>
              </w:rPr>
            </w:pPr>
            <w:bookmarkStart w:id="3659" w:name="n3790" w:colFirst="0" w:colLast="0"/>
            <w:bookmarkEnd w:id="3658"/>
            <w:r w:rsidRPr="00286216">
              <w:rPr>
                <w:color w:val="000000" w:themeColor="text1"/>
              </w:rPr>
              <w:t>3790.</w:t>
            </w:r>
          </w:p>
        </w:tc>
        <w:tc>
          <w:tcPr>
            <w:tcW w:w="4818" w:type="dxa"/>
          </w:tcPr>
          <w:p w14:paraId="738ED884" w14:textId="77777777" w:rsidR="008A5602" w:rsidRPr="00286216" w:rsidRDefault="008A5602" w:rsidP="008A5602">
            <w:pPr>
              <w:pStyle w:val="StyleZakonu"/>
              <w:rPr>
                <w:color w:val="000000" w:themeColor="text1"/>
              </w:rPr>
            </w:pPr>
            <w:r w:rsidRPr="00286216">
              <w:rPr>
                <w:color w:val="000000" w:themeColor="text1"/>
              </w:rPr>
              <w:t>"5. Забороняється накладати арешт та інші обмеження прав на цінні папери, а також здійснювати примусове звернення стягнення на цінні папери, що знаходяться на рахунках у цінних паперах Національного банку України, відкритих у Центральному депозитарії.";</w:t>
            </w:r>
          </w:p>
        </w:tc>
        <w:tc>
          <w:tcPr>
            <w:tcW w:w="3686" w:type="dxa"/>
          </w:tcPr>
          <w:p w14:paraId="4A15360A" w14:textId="77777777" w:rsidR="008A5602" w:rsidRPr="00286216" w:rsidRDefault="008A5602" w:rsidP="008A5602">
            <w:pPr>
              <w:pStyle w:val="StyleProp"/>
              <w:rPr>
                <w:color w:val="000000" w:themeColor="text1"/>
                <w:szCs w:val="18"/>
              </w:rPr>
            </w:pPr>
          </w:p>
        </w:tc>
        <w:tc>
          <w:tcPr>
            <w:tcW w:w="1987" w:type="dxa"/>
          </w:tcPr>
          <w:p w14:paraId="2AC701AA" w14:textId="77777777" w:rsidR="008A5602" w:rsidRPr="00286216" w:rsidRDefault="008A5602" w:rsidP="008A5602">
            <w:pPr>
              <w:pStyle w:val="StyleWisnow"/>
              <w:rPr>
                <w:color w:val="000000" w:themeColor="text1"/>
              </w:rPr>
            </w:pPr>
          </w:p>
        </w:tc>
        <w:tc>
          <w:tcPr>
            <w:tcW w:w="4818" w:type="dxa"/>
          </w:tcPr>
          <w:p w14:paraId="2F979D0B" w14:textId="2CB58F32" w:rsidR="008A5602" w:rsidRPr="00286216" w:rsidRDefault="008A5602" w:rsidP="008A5602">
            <w:pPr>
              <w:pStyle w:val="StyleZakonu"/>
              <w:rPr>
                <w:color w:val="000000" w:themeColor="text1"/>
              </w:rPr>
            </w:pPr>
            <w:r w:rsidRPr="00286216">
              <w:rPr>
                <w:color w:val="000000" w:themeColor="text1"/>
              </w:rPr>
              <w:t>"5. Забороняється накладати арешт та інші обмеження прав на цінні папери, а також здійснювати примусове звернення стягнення на цінні папери, що знаходяться на рахунках у цінних паперах Національного банку України, відкритих у Центральному депозитарії".</w:t>
            </w:r>
          </w:p>
        </w:tc>
      </w:tr>
      <w:tr w:rsidR="008A5602" w:rsidRPr="00286216" w14:paraId="15D69077" w14:textId="77777777" w:rsidTr="00091AA5">
        <w:tc>
          <w:tcPr>
            <w:tcW w:w="576" w:type="dxa"/>
          </w:tcPr>
          <w:p w14:paraId="02AC348B" w14:textId="77777777" w:rsidR="008A5602" w:rsidRPr="00286216" w:rsidRDefault="008A5602" w:rsidP="008A5602">
            <w:pPr>
              <w:pStyle w:val="StyleWisnow"/>
              <w:rPr>
                <w:color w:val="000000" w:themeColor="text1"/>
              </w:rPr>
            </w:pPr>
            <w:bookmarkStart w:id="3660" w:name="n3791" w:colFirst="0" w:colLast="0"/>
            <w:bookmarkEnd w:id="3659"/>
            <w:r w:rsidRPr="00286216">
              <w:rPr>
                <w:color w:val="000000" w:themeColor="text1"/>
              </w:rPr>
              <w:t>3791.</w:t>
            </w:r>
          </w:p>
        </w:tc>
        <w:tc>
          <w:tcPr>
            <w:tcW w:w="4818" w:type="dxa"/>
          </w:tcPr>
          <w:p w14:paraId="236871AB" w14:textId="77777777" w:rsidR="008A5602" w:rsidRPr="00286216" w:rsidRDefault="008A5602" w:rsidP="008A5602">
            <w:pPr>
              <w:pStyle w:val="StyleZakonu"/>
              <w:rPr>
                <w:color w:val="000000" w:themeColor="text1"/>
              </w:rPr>
            </w:pPr>
            <w:r w:rsidRPr="00286216">
              <w:rPr>
                <w:color w:val="000000" w:themeColor="text1"/>
              </w:rPr>
              <w:t>У зв’язку з цим частину п’яту вважати частиною шостою.</w:t>
            </w:r>
          </w:p>
        </w:tc>
        <w:tc>
          <w:tcPr>
            <w:tcW w:w="3686" w:type="dxa"/>
          </w:tcPr>
          <w:p w14:paraId="78DD774D" w14:textId="77777777" w:rsidR="008A5602" w:rsidRPr="00286216" w:rsidRDefault="008A5602" w:rsidP="008A5602">
            <w:pPr>
              <w:spacing w:line="200" w:lineRule="exact"/>
              <w:ind w:firstLine="227"/>
              <w:jc w:val="both"/>
              <w:rPr>
                <w:color w:val="000000" w:themeColor="text1"/>
                <w:sz w:val="18"/>
              </w:rPr>
            </w:pPr>
          </w:p>
        </w:tc>
        <w:tc>
          <w:tcPr>
            <w:tcW w:w="1987" w:type="dxa"/>
          </w:tcPr>
          <w:p w14:paraId="6336AF12" w14:textId="77777777" w:rsidR="008A5602" w:rsidRPr="00286216" w:rsidRDefault="008A5602" w:rsidP="008A5602">
            <w:pPr>
              <w:pStyle w:val="StyleWisnow"/>
              <w:rPr>
                <w:color w:val="000000" w:themeColor="text1"/>
              </w:rPr>
            </w:pPr>
          </w:p>
        </w:tc>
        <w:tc>
          <w:tcPr>
            <w:tcW w:w="4818" w:type="dxa"/>
          </w:tcPr>
          <w:p w14:paraId="43E7272C" w14:textId="4C432E4E" w:rsidR="008A5602" w:rsidRPr="00286216" w:rsidRDefault="008A5602" w:rsidP="008A5602">
            <w:pPr>
              <w:pStyle w:val="StyleZakonu"/>
              <w:rPr>
                <w:color w:val="000000" w:themeColor="text1"/>
              </w:rPr>
            </w:pPr>
            <w:r w:rsidRPr="00286216">
              <w:rPr>
                <w:color w:val="000000" w:themeColor="text1"/>
              </w:rPr>
              <w:t>У зв’язку з цим частину п’яту вважати частиною шостою;</w:t>
            </w:r>
          </w:p>
        </w:tc>
      </w:tr>
      <w:tr w:rsidR="008A5602" w:rsidRPr="00286216" w14:paraId="64BC3920" w14:textId="77777777" w:rsidTr="00091AA5">
        <w:tc>
          <w:tcPr>
            <w:tcW w:w="576" w:type="dxa"/>
          </w:tcPr>
          <w:p w14:paraId="6370D1A9" w14:textId="77777777" w:rsidR="008A5602" w:rsidRPr="00286216" w:rsidRDefault="008A5602" w:rsidP="008A5602">
            <w:pPr>
              <w:pStyle w:val="StyleWisnow"/>
              <w:rPr>
                <w:color w:val="000000" w:themeColor="text1"/>
              </w:rPr>
            </w:pPr>
            <w:bookmarkStart w:id="3661" w:name="n3792" w:colFirst="0" w:colLast="0"/>
            <w:bookmarkEnd w:id="3660"/>
            <w:r w:rsidRPr="00286216">
              <w:rPr>
                <w:color w:val="000000" w:themeColor="text1"/>
              </w:rPr>
              <w:t>3792.</w:t>
            </w:r>
          </w:p>
        </w:tc>
        <w:tc>
          <w:tcPr>
            <w:tcW w:w="4818" w:type="dxa"/>
          </w:tcPr>
          <w:p w14:paraId="7A283594" w14:textId="77777777" w:rsidR="008A5602" w:rsidRPr="00286216" w:rsidRDefault="008A5602" w:rsidP="008A5602">
            <w:pPr>
              <w:pStyle w:val="StyleZakonu"/>
              <w:rPr>
                <w:color w:val="000000" w:themeColor="text1"/>
              </w:rPr>
            </w:pPr>
            <w:r w:rsidRPr="00286216">
              <w:rPr>
                <w:color w:val="000000" w:themeColor="text1"/>
              </w:rPr>
              <w:t>10) у статті 14:</w:t>
            </w:r>
          </w:p>
        </w:tc>
        <w:tc>
          <w:tcPr>
            <w:tcW w:w="3686" w:type="dxa"/>
          </w:tcPr>
          <w:p w14:paraId="739C7243" w14:textId="77777777" w:rsidR="008A5602" w:rsidRPr="00286216" w:rsidRDefault="008A5602" w:rsidP="008A5602">
            <w:pPr>
              <w:pStyle w:val="StyleProp"/>
              <w:rPr>
                <w:color w:val="000000" w:themeColor="text1"/>
                <w:szCs w:val="18"/>
              </w:rPr>
            </w:pPr>
          </w:p>
        </w:tc>
        <w:tc>
          <w:tcPr>
            <w:tcW w:w="1987" w:type="dxa"/>
          </w:tcPr>
          <w:p w14:paraId="53D86C26" w14:textId="77777777" w:rsidR="008A5602" w:rsidRPr="00286216" w:rsidRDefault="008A5602" w:rsidP="008A5602">
            <w:pPr>
              <w:pStyle w:val="StyleWisnow"/>
              <w:rPr>
                <w:color w:val="000000" w:themeColor="text1"/>
              </w:rPr>
            </w:pPr>
          </w:p>
        </w:tc>
        <w:tc>
          <w:tcPr>
            <w:tcW w:w="4818" w:type="dxa"/>
          </w:tcPr>
          <w:p w14:paraId="30B9D8BB" w14:textId="0DF345EF" w:rsidR="008A5602" w:rsidRPr="00286216" w:rsidRDefault="008A5602" w:rsidP="008A5602">
            <w:pPr>
              <w:pStyle w:val="StyleZakonu"/>
              <w:rPr>
                <w:color w:val="000000" w:themeColor="text1"/>
              </w:rPr>
            </w:pPr>
            <w:r w:rsidRPr="00286216">
              <w:rPr>
                <w:color w:val="000000" w:themeColor="text1"/>
              </w:rPr>
              <w:t>11) у статті 14:</w:t>
            </w:r>
          </w:p>
        </w:tc>
      </w:tr>
      <w:tr w:rsidR="008A5602" w:rsidRPr="00286216" w14:paraId="473F7B7C" w14:textId="77777777" w:rsidTr="00091AA5">
        <w:tc>
          <w:tcPr>
            <w:tcW w:w="576" w:type="dxa"/>
          </w:tcPr>
          <w:p w14:paraId="23E86D7F" w14:textId="77777777" w:rsidR="008A5602" w:rsidRPr="00286216" w:rsidRDefault="008A5602" w:rsidP="008A5602">
            <w:pPr>
              <w:pStyle w:val="StyleWisnow"/>
              <w:rPr>
                <w:color w:val="000000" w:themeColor="text1"/>
              </w:rPr>
            </w:pPr>
            <w:bookmarkStart w:id="3662" w:name="n3793" w:colFirst="0" w:colLast="0"/>
            <w:bookmarkEnd w:id="3661"/>
            <w:r w:rsidRPr="00286216">
              <w:rPr>
                <w:color w:val="000000" w:themeColor="text1"/>
              </w:rPr>
              <w:t>3793.</w:t>
            </w:r>
          </w:p>
        </w:tc>
        <w:tc>
          <w:tcPr>
            <w:tcW w:w="4818" w:type="dxa"/>
          </w:tcPr>
          <w:p w14:paraId="26BD780E" w14:textId="77777777" w:rsidR="008A5602" w:rsidRPr="00286216" w:rsidRDefault="008A5602" w:rsidP="008A5602">
            <w:pPr>
              <w:pStyle w:val="StyleZakonu"/>
              <w:rPr>
                <w:color w:val="000000" w:themeColor="text1"/>
              </w:rPr>
            </w:pPr>
            <w:r w:rsidRPr="00286216">
              <w:rPr>
                <w:color w:val="000000" w:themeColor="text1"/>
              </w:rPr>
              <w:t>а) абзац четвертий частини першої викласти в такій редакції:</w:t>
            </w:r>
          </w:p>
        </w:tc>
        <w:tc>
          <w:tcPr>
            <w:tcW w:w="3686" w:type="dxa"/>
          </w:tcPr>
          <w:p w14:paraId="4DB37F89" w14:textId="77777777" w:rsidR="008A5602" w:rsidRPr="00286216" w:rsidRDefault="008A5602" w:rsidP="008A5602">
            <w:pPr>
              <w:pStyle w:val="StyleProp"/>
              <w:rPr>
                <w:color w:val="000000" w:themeColor="text1"/>
                <w:szCs w:val="18"/>
              </w:rPr>
            </w:pPr>
          </w:p>
        </w:tc>
        <w:tc>
          <w:tcPr>
            <w:tcW w:w="1987" w:type="dxa"/>
          </w:tcPr>
          <w:p w14:paraId="7A308B6C" w14:textId="77777777" w:rsidR="008A5602" w:rsidRPr="00286216" w:rsidRDefault="008A5602" w:rsidP="008A5602">
            <w:pPr>
              <w:pStyle w:val="StyleWisnow"/>
              <w:rPr>
                <w:color w:val="000000" w:themeColor="text1"/>
              </w:rPr>
            </w:pPr>
          </w:p>
        </w:tc>
        <w:tc>
          <w:tcPr>
            <w:tcW w:w="4818" w:type="dxa"/>
          </w:tcPr>
          <w:p w14:paraId="3361BA93" w14:textId="39425123" w:rsidR="008A5602" w:rsidRPr="00286216" w:rsidRDefault="008A5602" w:rsidP="008A5602">
            <w:pPr>
              <w:pStyle w:val="StyleZakonu"/>
              <w:rPr>
                <w:color w:val="000000" w:themeColor="text1"/>
              </w:rPr>
            </w:pPr>
            <w:r w:rsidRPr="00286216">
              <w:rPr>
                <w:color w:val="000000" w:themeColor="text1"/>
              </w:rPr>
              <w:t>а) абзац четвертий частини першої викласти в такій редакції:</w:t>
            </w:r>
          </w:p>
        </w:tc>
      </w:tr>
      <w:tr w:rsidR="008A5602" w:rsidRPr="00286216" w14:paraId="4F12487D" w14:textId="77777777" w:rsidTr="00091AA5">
        <w:tc>
          <w:tcPr>
            <w:tcW w:w="576" w:type="dxa"/>
          </w:tcPr>
          <w:p w14:paraId="697114F8" w14:textId="77777777" w:rsidR="008A5602" w:rsidRPr="00286216" w:rsidRDefault="008A5602" w:rsidP="008A5602">
            <w:pPr>
              <w:pStyle w:val="StyleWisnow"/>
              <w:rPr>
                <w:color w:val="000000" w:themeColor="text1"/>
              </w:rPr>
            </w:pPr>
            <w:bookmarkStart w:id="3663" w:name="n3794" w:colFirst="0" w:colLast="0"/>
            <w:bookmarkEnd w:id="3662"/>
            <w:r w:rsidRPr="00286216">
              <w:rPr>
                <w:color w:val="000000" w:themeColor="text1"/>
              </w:rPr>
              <w:t>3794.</w:t>
            </w:r>
          </w:p>
        </w:tc>
        <w:tc>
          <w:tcPr>
            <w:tcW w:w="4818" w:type="dxa"/>
          </w:tcPr>
          <w:p w14:paraId="323E4E87" w14:textId="77777777" w:rsidR="008A5602" w:rsidRPr="00286216" w:rsidRDefault="008A5602" w:rsidP="008A5602">
            <w:pPr>
              <w:pStyle w:val="StyleZakonu"/>
              <w:rPr>
                <w:color w:val="000000" w:themeColor="text1"/>
              </w:rPr>
            </w:pPr>
            <w:r w:rsidRPr="00286216">
              <w:rPr>
                <w:color w:val="000000" w:themeColor="text1"/>
              </w:rPr>
              <w:t>"Депозитарна установа у випадках, передбачених законом, має право надавати емітенту та особам, які відповідно до законодавства мають право на скликання загальних зборів, послуги з проведення загальних зборів (чергових або позачергових) акціонерів, здійснювати для емітента, депонента та номінального утримувача підготовку та надання таким особам довідково-аналітичних матеріалів, що характеризують ринок цінних паперів, консультування з питань обліку та/або обігу цінних паперів, а також послуги щодо управління рахунком емітента в Центральному депозитарії чи інші послуги, не заборонені законодавством, щодо цінних паперів, випущених емітентом.";</w:t>
            </w:r>
          </w:p>
        </w:tc>
        <w:tc>
          <w:tcPr>
            <w:tcW w:w="3686" w:type="dxa"/>
          </w:tcPr>
          <w:p w14:paraId="1B57621E" w14:textId="4A9CB968" w:rsidR="008A5602" w:rsidRPr="00286216" w:rsidRDefault="008A5602" w:rsidP="008A5602">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1504</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25BE0E9" w14:textId="77777777" w:rsidR="008A5602" w:rsidRPr="00286216" w:rsidRDefault="008A5602" w:rsidP="008A5602">
            <w:pPr>
              <w:spacing w:line="200" w:lineRule="exact"/>
              <w:ind w:firstLine="227"/>
              <w:jc w:val="both"/>
              <w:rPr>
                <w:color w:val="000000" w:themeColor="text1"/>
                <w:sz w:val="18"/>
              </w:rPr>
            </w:pPr>
            <w:r w:rsidRPr="00286216">
              <w:rPr>
                <w:color w:val="000000" w:themeColor="text1"/>
                <w:sz w:val="18"/>
              </w:rPr>
              <w:t>у абзаці другому підпункту “а” підпункту 10 підпункту 44 розділу 3 слова “управління рахунком емітента в Центральному депозитарії” замінити словами “управління рахунком емітента або депозитарія кореспондента в Центральному депозитарії або у Національному банку України”.</w:t>
            </w:r>
          </w:p>
          <w:p w14:paraId="19CFED1D" w14:textId="77777777" w:rsidR="008A5602" w:rsidRPr="00286216" w:rsidRDefault="008A5602" w:rsidP="008A5602">
            <w:pPr>
              <w:spacing w:line="200" w:lineRule="exact"/>
              <w:ind w:firstLine="227"/>
              <w:jc w:val="both"/>
              <w:rPr>
                <w:color w:val="000000" w:themeColor="text1"/>
                <w:sz w:val="18"/>
              </w:rPr>
            </w:pPr>
          </w:p>
          <w:p w14:paraId="58C83A4B" w14:textId="77777777" w:rsidR="008A5602" w:rsidRPr="00286216" w:rsidRDefault="008A5602" w:rsidP="008A5602">
            <w:pPr>
              <w:spacing w:line="200" w:lineRule="exact"/>
              <w:ind w:firstLine="227"/>
              <w:jc w:val="both"/>
              <w:rPr>
                <w:color w:val="000000" w:themeColor="text1"/>
                <w:sz w:val="18"/>
              </w:rPr>
            </w:pPr>
          </w:p>
          <w:p w14:paraId="1471280A" w14:textId="77777777" w:rsidR="008A5602" w:rsidRPr="00286216" w:rsidRDefault="008A5602" w:rsidP="008A5602">
            <w:pPr>
              <w:spacing w:line="200" w:lineRule="exact"/>
              <w:ind w:firstLine="227"/>
              <w:jc w:val="both"/>
              <w:rPr>
                <w:color w:val="000000" w:themeColor="text1"/>
                <w:sz w:val="18"/>
              </w:rPr>
            </w:pPr>
          </w:p>
          <w:p w14:paraId="5419C479" w14:textId="77777777" w:rsidR="008A5602" w:rsidRPr="00286216" w:rsidRDefault="008A5602" w:rsidP="008A5602">
            <w:pPr>
              <w:spacing w:line="200" w:lineRule="exact"/>
              <w:ind w:firstLine="227"/>
              <w:jc w:val="both"/>
              <w:rPr>
                <w:color w:val="000000" w:themeColor="text1"/>
                <w:sz w:val="18"/>
              </w:rPr>
            </w:pPr>
          </w:p>
          <w:p w14:paraId="7B9342AD" w14:textId="7D811A56" w:rsidR="008A5602" w:rsidRPr="00286216" w:rsidRDefault="008A5602" w:rsidP="008A5602">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1505</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5B71D631" w14:textId="77777777" w:rsidR="008A5602" w:rsidRPr="00286216" w:rsidRDefault="008A5602" w:rsidP="008A5602">
            <w:pPr>
              <w:pStyle w:val="StyleProp"/>
              <w:rPr>
                <w:color w:val="000000" w:themeColor="text1"/>
              </w:rPr>
            </w:pPr>
            <w:r w:rsidRPr="00286216">
              <w:rPr>
                <w:color w:val="000000" w:themeColor="text1"/>
              </w:rPr>
              <w:t>підпункт 10 пункту 44 доповнити новим підпунктом «б» такого змісту:</w:t>
            </w:r>
          </w:p>
          <w:p w14:paraId="3932ECA5" w14:textId="77777777" w:rsidR="008A5602" w:rsidRPr="00286216" w:rsidRDefault="008A5602" w:rsidP="008A5602">
            <w:pPr>
              <w:pStyle w:val="StyleProp"/>
              <w:rPr>
                <w:color w:val="000000" w:themeColor="text1"/>
                <w:szCs w:val="18"/>
              </w:rPr>
            </w:pPr>
            <w:r w:rsidRPr="00286216">
              <w:rPr>
                <w:color w:val="000000" w:themeColor="text1"/>
              </w:rPr>
              <w:t>«б) у абзаці другому частини другої слова «торговця цінними паперами» замінити словами «інвестиційної фірми».</w:t>
            </w:r>
          </w:p>
        </w:tc>
        <w:tc>
          <w:tcPr>
            <w:tcW w:w="1987" w:type="dxa"/>
          </w:tcPr>
          <w:p w14:paraId="71AD3D6C" w14:textId="77777777" w:rsidR="008A5602" w:rsidRPr="00286216" w:rsidRDefault="008A5602" w:rsidP="008A5602">
            <w:pPr>
              <w:pStyle w:val="StyleWisnow"/>
              <w:rPr>
                <w:color w:val="000000" w:themeColor="text1"/>
              </w:rPr>
            </w:pPr>
            <w:r w:rsidRPr="00286216">
              <w:rPr>
                <w:color w:val="000000" w:themeColor="text1"/>
              </w:rPr>
              <w:t>Враховано</w:t>
            </w:r>
          </w:p>
          <w:p w14:paraId="1E1A3D04" w14:textId="77777777" w:rsidR="008A5602" w:rsidRPr="00286216" w:rsidRDefault="008A5602" w:rsidP="008A5602">
            <w:pPr>
              <w:pStyle w:val="StyleWisnow"/>
              <w:rPr>
                <w:color w:val="000000" w:themeColor="text1"/>
              </w:rPr>
            </w:pPr>
          </w:p>
          <w:p w14:paraId="6FA381C4" w14:textId="77777777" w:rsidR="008A5602" w:rsidRPr="00286216" w:rsidRDefault="008A5602" w:rsidP="008A5602">
            <w:pPr>
              <w:pStyle w:val="StyleWisnow"/>
              <w:rPr>
                <w:color w:val="000000" w:themeColor="text1"/>
              </w:rPr>
            </w:pPr>
          </w:p>
          <w:p w14:paraId="6EB628B2" w14:textId="77777777" w:rsidR="008A5602" w:rsidRPr="00286216" w:rsidRDefault="008A5602" w:rsidP="008A5602">
            <w:pPr>
              <w:pStyle w:val="StyleWisnow"/>
              <w:rPr>
                <w:color w:val="000000" w:themeColor="text1"/>
              </w:rPr>
            </w:pPr>
          </w:p>
          <w:p w14:paraId="5D443577" w14:textId="77777777" w:rsidR="008A5602" w:rsidRPr="00286216" w:rsidRDefault="008A5602" w:rsidP="008A5602">
            <w:pPr>
              <w:pStyle w:val="StyleWisnow"/>
              <w:rPr>
                <w:color w:val="000000" w:themeColor="text1"/>
              </w:rPr>
            </w:pPr>
          </w:p>
          <w:p w14:paraId="1CC3F95D" w14:textId="77777777" w:rsidR="008A5602" w:rsidRPr="00286216" w:rsidRDefault="008A5602" w:rsidP="008A5602">
            <w:pPr>
              <w:pStyle w:val="StyleWisnow"/>
              <w:rPr>
                <w:color w:val="000000" w:themeColor="text1"/>
              </w:rPr>
            </w:pPr>
          </w:p>
          <w:p w14:paraId="2542242D" w14:textId="77777777" w:rsidR="008A5602" w:rsidRPr="00286216" w:rsidRDefault="008A5602" w:rsidP="008A5602">
            <w:pPr>
              <w:pStyle w:val="StyleWisnow"/>
              <w:rPr>
                <w:color w:val="000000" w:themeColor="text1"/>
              </w:rPr>
            </w:pPr>
          </w:p>
          <w:p w14:paraId="75729F72" w14:textId="77777777" w:rsidR="008A5602" w:rsidRPr="00286216" w:rsidRDefault="008A5602" w:rsidP="008A5602">
            <w:pPr>
              <w:pStyle w:val="StyleWisnow"/>
              <w:rPr>
                <w:color w:val="000000" w:themeColor="text1"/>
              </w:rPr>
            </w:pPr>
          </w:p>
          <w:p w14:paraId="495BD518" w14:textId="77777777" w:rsidR="008A5602" w:rsidRPr="00286216" w:rsidRDefault="008A5602" w:rsidP="008A5602">
            <w:pPr>
              <w:pStyle w:val="StyleWisnow"/>
              <w:rPr>
                <w:color w:val="000000" w:themeColor="text1"/>
              </w:rPr>
            </w:pPr>
          </w:p>
          <w:p w14:paraId="630ADD26" w14:textId="77777777" w:rsidR="008A5602" w:rsidRPr="00286216" w:rsidRDefault="008A5602" w:rsidP="008A5602">
            <w:pPr>
              <w:pStyle w:val="StyleWisnow"/>
              <w:rPr>
                <w:color w:val="000000" w:themeColor="text1"/>
              </w:rPr>
            </w:pPr>
          </w:p>
          <w:p w14:paraId="32D2D612" w14:textId="77777777" w:rsidR="008A5602" w:rsidRPr="00286216" w:rsidRDefault="008A5602" w:rsidP="008A5602">
            <w:pPr>
              <w:pStyle w:val="StyleWisnow"/>
              <w:rPr>
                <w:color w:val="000000" w:themeColor="text1"/>
              </w:rPr>
            </w:pPr>
          </w:p>
          <w:p w14:paraId="5D6B2D28" w14:textId="77777777" w:rsidR="008A5602" w:rsidRPr="00286216" w:rsidRDefault="008A5602" w:rsidP="008A5602">
            <w:pPr>
              <w:pStyle w:val="StyleWisnow"/>
              <w:rPr>
                <w:color w:val="000000" w:themeColor="text1"/>
              </w:rPr>
            </w:pPr>
            <w:r w:rsidRPr="00286216">
              <w:rPr>
                <w:color w:val="000000" w:themeColor="text1"/>
              </w:rPr>
              <w:t>Враховано</w:t>
            </w:r>
          </w:p>
        </w:tc>
        <w:tc>
          <w:tcPr>
            <w:tcW w:w="4818" w:type="dxa"/>
          </w:tcPr>
          <w:p w14:paraId="76D93026" w14:textId="77777777" w:rsidR="008A5602" w:rsidRPr="00286216" w:rsidRDefault="008A5602" w:rsidP="008A5602">
            <w:pPr>
              <w:pStyle w:val="StyleZakonu"/>
              <w:rPr>
                <w:color w:val="000000" w:themeColor="text1"/>
              </w:rPr>
            </w:pPr>
            <w:r w:rsidRPr="00286216">
              <w:rPr>
                <w:color w:val="000000" w:themeColor="text1"/>
              </w:rPr>
              <w:t>"Депозитарна установа у випадках, передбачених законом, має право надавати емітенту та особам, які відповідно до законодавства мають право на скликання загальних зборів, послуги з проведення загальних зборів (чергових або позачергових) акціонерів, здійснювати для емітента, депонента та номінального утримувача підготовку та надання таким особам довідково-аналітичних матеріалів, що характеризують ринок цінних паперів, консультування з питань обліку та/або обігу цінних паперів, а також послуги щодо управління рахунком емітента або депозитарія кореспондента в Центральному депозитарії або у Національному банку України чи інші послуги, не заборонені законодавством, щодо цінних паперів, випущених емітентом";</w:t>
            </w:r>
          </w:p>
          <w:p w14:paraId="49153EAD" w14:textId="0D8828AD" w:rsidR="008A5602" w:rsidRPr="00286216" w:rsidRDefault="008A5602" w:rsidP="00577D54">
            <w:pPr>
              <w:pStyle w:val="StyleZakonu"/>
              <w:rPr>
                <w:color w:val="000000" w:themeColor="text1"/>
              </w:rPr>
            </w:pPr>
            <w:r w:rsidRPr="00286216">
              <w:rPr>
                <w:color w:val="000000" w:themeColor="text1"/>
              </w:rPr>
              <w:t>б) в абзаці другому частини другої слова «торговця цінними паперами» замінити словами «інвестиційної фірми»;</w:t>
            </w:r>
          </w:p>
        </w:tc>
      </w:tr>
      <w:tr w:rsidR="008A5602" w:rsidRPr="00286216" w14:paraId="6DD17CC8" w14:textId="77777777" w:rsidTr="00091AA5">
        <w:tc>
          <w:tcPr>
            <w:tcW w:w="576" w:type="dxa"/>
          </w:tcPr>
          <w:p w14:paraId="0B73D4DB" w14:textId="77777777" w:rsidR="008A5602" w:rsidRPr="00286216" w:rsidRDefault="008A5602" w:rsidP="008A5602">
            <w:pPr>
              <w:pStyle w:val="StyleWisnow"/>
              <w:rPr>
                <w:color w:val="000000" w:themeColor="text1"/>
              </w:rPr>
            </w:pPr>
            <w:bookmarkStart w:id="3664" w:name="n3795" w:colFirst="0" w:colLast="0"/>
            <w:bookmarkEnd w:id="3663"/>
            <w:r w:rsidRPr="00286216">
              <w:rPr>
                <w:color w:val="000000" w:themeColor="text1"/>
              </w:rPr>
              <w:t>3795.</w:t>
            </w:r>
          </w:p>
        </w:tc>
        <w:tc>
          <w:tcPr>
            <w:tcW w:w="4818" w:type="dxa"/>
          </w:tcPr>
          <w:p w14:paraId="75B9892E" w14:textId="77777777" w:rsidR="008A5602" w:rsidRPr="00286216" w:rsidRDefault="008A5602" w:rsidP="008A5602">
            <w:pPr>
              <w:pStyle w:val="StyleZakonu"/>
              <w:rPr>
                <w:color w:val="000000" w:themeColor="text1"/>
              </w:rPr>
            </w:pPr>
            <w:r w:rsidRPr="00286216">
              <w:rPr>
                <w:color w:val="000000" w:themeColor="text1"/>
              </w:rPr>
              <w:t>б) у частині п’ятій слова "фондовому ринку" замінити словами "ринках капіталу";</w:t>
            </w:r>
          </w:p>
        </w:tc>
        <w:tc>
          <w:tcPr>
            <w:tcW w:w="3686" w:type="dxa"/>
          </w:tcPr>
          <w:p w14:paraId="69D0AFAE" w14:textId="77777777" w:rsidR="008A5602" w:rsidRPr="00286216" w:rsidRDefault="008A5602" w:rsidP="008A5602">
            <w:pPr>
              <w:pStyle w:val="StyleProp"/>
              <w:rPr>
                <w:color w:val="000000" w:themeColor="text1"/>
                <w:szCs w:val="18"/>
              </w:rPr>
            </w:pPr>
          </w:p>
        </w:tc>
        <w:tc>
          <w:tcPr>
            <w:tcW w:w="1987" w:type="dxa"/>
          </w:tcPr>
          <w:p w14:paraId="05F09DBA" w14:textId="77777777" w:rsidR="008A5602" w:rsidRPr="00286216" w:rsidRDefault="008A5602" w:rsidP="008A5602">
            <w:pPr>
              <w:pStyle w:val="StyleWisnow"/>
              <w:rPr>
                <w:color w:val="000000" w:themeColor="text1"/>
              </w:rPr>
            </w:pPr>
          </w:p>
        </w:tc>
        <w:tc>
          <w:tcPr>
            <w:tcW w:w="4818" w:type="dxa"/>
          </w:tcPr>
          <w:p w14:paraId="7ADF912E" w14:textId="5885FA83" w:rsidR="008A5602" w:rsidRPr="00286216" w:rsidRDefault="008A5602" w:rsidP="008A5602">
            <w:pPr>
              <w:pStyle w:val="StyleZakonu"/>
              <w:rPr>
                <w:color w:val="000000" w:themeColor="text1"/>
              </w:rPr>
            </w:pPr>
            <w:r w:rsidRPr="00286216">
              <w:rPr>
                <w:color w:val="000000" w:themeColor="text1"/>
              </w:rPr>
              <w:t>в) у частині п’ятій слова "фондовому ринку" замінити словами "ринках капіталу";</w:t>
            </w:r>
          </w:p>
        </w:tc>
      </w:tr>
      <w:tr w:rsidR="008A5602" w:rsidRPr="00286216" w14:paraId="2C95D6D1" w14:textId="77777777" w:rsidTr="00091AA5">
        <w:tc>
          <w:tcPr>
            <w:tcW w:w="576" w:type="dxa"/>
          </w:tcPr>
          <w:p w14:paraId="18ACF43A" w14:textId="77777777" w:rsidR="008A5602" w:rsidRPr="00286216" w:rsidRDefault="008A5602" w:rsidP="008A5602">
            <w:pPr>
              <w:pStyle w:val="StyleWisnow"/>
              <w:rPr>
                <w:color w:val="000000" w:themeColor="text1"/>
              </w:rPr>
            </w:pPr>
            <w:bookmarkStart w:id="3665" w:name="n3796" w:colFirst="0" w:colLast="0"/>
            <w:bookmarkEnd w:id="3664"/>
            <w:r w:rsidRPr="00286216">
              <w:rPr>
                <w:color w:val="000000" w:themeColor="text1"/>
              </w:rPr>
              <w:t>3796.</w:t>
            </w:r>
          </w:p>
        </w:tc>
        <w:tc>
          <w:tcPr>
            <w:tcW w:w="4818" w:type="dxa"/>
          </w:tcPr>
          <w:p w14:paraId="3E221A61" w14:textId="77777777" w:rsidR="008A5602" w:rsidRPr="00286216" w:rsidRDefault="008A5602" w:rsidP="008A5602">
            <w:pPr>
              <w:pStyle w:val="StyleZakonu"/>
              <w:rPr>
                <w:color w:val="000000" w:themeColor="text1"/>
              </w:rPr>
            </w:pPr>
            <w:r w:rsidRPr="00286216">
              <w:rPr>
                <w:color w:val="000000" w:themeColor="text1"/>
              </w:rPr>
              <w:t>11) статтю 15 виключити;</w:t>
            </w:r>
          </w:p>
        </w:tc>
        <w:tc>
          <w:tcPr>
            <w:tcW w:w="3686" w:type="dxa"/>
          </w:tcPr>
          <w:p w14:paraId="3D5AD5C1" w14:textId="77777777" w:rsidR="008A5602" w:rsidRPr="00286216" w:rsidRDefault="008A5602" w:rsidP="008A5602">
            <w:pPr>
              <w:pStyle w:val="StyleProp"/>
              <w:rPr>
                <w:color w:val="000000" w:themeColor="text1"/>
                <w:szCs w:val="18"/>
              </w:rPr>
            </w:pPr>
          </w:p>
        </w:tc>
        <w:tc>
          <w:tcPr>
            <w:tcW w:w="1987" w:type="dxa"/>
          </w:tcPr>
          <w:p w14:paraId="60C710C6" w14:textId="77777777" w:rsidR="008A5602" w:rsidRPr="00286216" w:rsidRDefault="008A5602" w:rsidP="008A5602">
            <w:pPr>
              <w:pStyle w:val="StyleWisnow"/>
              <w:rPr>
                <w:color w:val="000000" w:themeColor="text1"/>
              </w:rPr>
            </w:pPr>
          </w:p>
        </w:tc>
        <w:tc>
          <w:tcPr>
            <w:tcW w:w="4818" w:type="dxa"/>
          </w:tcPr>
          <w:p w14:paraId="4FDB5698" w14:textId="390085DC" w:rsidR="008A5602" w:rsidRPr="00286216" w:rsidRDefault="008A5602" w:rsidP="008A5602">
            <w:pPr>
              <w:pStyle w:val="StyleZakonu"/>
              <w:rPr>
                <w:color w:val="000000" w:themeColor="text1"/>
              </w:rPr>
            </w:pPr>
            <w:r w:rsidRPr="00286216">
              <w:rPr>
                <w:color w:val="000000" w:themeColor="text1"/>
              </w:rPr>
              <w:t>12) статтю 15 виключити;</w:t>
            </w:r>
          </w:p>
        </w:tc>
      </w:tr>
      <w:tr w:rsidR="008A5602" w:rsidRPr="00286216" w14:paraId="3F954F97" w14:textId="77777777" w:rsidTr="00091AA5">
        <w:tc>
          <w:tcPr>
            <w:tcW w:w="576" w:type="dxa"/>
          </w:tcPr>
          <w:p w14:paraId="0B5EE25A" w14:textId="77777777" w:rsidR="008A5602" w:rsidRPr="00286216" w:rsidRDefault="008A5602" w:rsidP="008A5602">
            <w:pPr>
              <w:pStyle w:val="StyleWisnow"/>
              <w:rPr>
                <w:color w:val="000000" w:themeColor="text1"/>
              </w:rPr>
            </w:pPr>
            <w:bookmarkStart w:id="3666" w:name="n3797" w:colFirst="0" w:colLast="0"/>
            <w:bookmarkEnd w:id="3665"/>
            <w:r w:rsidRPr="00286216">
              <w:rPr>
                <w:color w:val="000000" w:themeColor="text1"/>
              </w:rPr>
              <w:t>3797.</w:t>
            </w:r>
          </w:p>
        </w:tc>
        <w:tc>
          <w:tcPr>
            <w:tcW w:w="4818" w:type="dxa"/>
          </w:tcPr>
          <w:p w14:paraId="521E42AD" w14:textId="77777777" w:rsidR="008A5602" w:rsidRPr="00286216" w:rsidRDefault="008A5602" w:rsidP="008A5602">
            <w:pPr>
              <w:pStyle w:val="StyleZakonu"/>
              <w:rPr>
                <w:color w:val="000000" w:themeColor="text1"/>
              </w:rPr>
            </w:pPr>
            <w:r w:rsidRPr="00286216">
              <w:rPr>
                <w:color w:val="000000" w:themeColor="text1"/>
              </w:rPr>
              <w:t>12) у частині першій статті 16:</w:t>
            </w:r>
          </w:p>
        </w:tc>
        <w:tc>
          <w:tcPr>
            <w:tcW w:w="3686" w:type="dxa"/>
          </w:tcPr>
          <w:p w14:paraId="6DF0D896" w14:textId="77777777" w:rsidR="008A5602" w:rsidRPr="00286216" w:rsidRDefault="008A5602" w:rsidP="008A5602">
            <w:pPr>
              <w:pStyle w:val="StyleProp"/>
              <w:rPr>
                <w:color w:val="000000" w:themeColor="text1"/>
                <w:szCs w:val="18"/>
              </w:rPr>
            </w:pPr>
          </w:p>
        </w:tc>
        <w:tc>
          <w:tcPr>
            <w:tcW w:w="1987" w:type="dxa"/>
          </w:tcPr>
          <w:p w14:paraId="4BB1E85B" w14:textId="77777777" w:rsidR="008A5602" w:rsidRPr="00286216" w:rsidRDefault="008A5602" w:rsidP="008A5602">
            <w:pPr>
              <w:pStyle w:val="StyleWisnow"/>
              <w:rPr>
                <w:color w:val="000000" w:themeColor="text1"/>
              </w:rPr>
            </w:pPr>
          </w:p>
        </w:tc>
        <w:tc>
          <w:tcPr>
            <w:tcW w:w="4818" w:type="dxa"/>
          </w:tcPr>
          <w:p w14:paraId="032BBA43" w14:textId="22A88FF8" w:rsidR="008A5602" w:rsidRPr="00286216" w:rsidRDefault="008A5602" w:rsidP="008A5602">
            <w:pPr>
              <w:pStyle w:val="StyleZakonu"/>
              <w:rPr>
                <w:color w:val="000000" w:themeColor="text1"/>
              </w:rPr>
            </w:pPr>
            <w:r w:rsidRPr="00286216">
              <w:rPr>
                <w:color w:val="000000" w:themeColor="text1"/>
              </w:rPr>
              <w:t>13) у частині першій статті 16:</w:t>
            </w:r>
          </w:p>
        </w:tc>
      </w:tr>
      <w:tr w:rsidR="008A5602" w:rsidRPr="00286216" w14:paraId="377AA97A" w14:textId="77777777" w:rsidTr="00091AA5">
        <w:tc>
          <w:tcPr>
            <w:tcW w:w="576" w:type="dxa"/>
          </w:tcPr>
          <w:p w14:paraId="5E1B36FD" w14:textId="77777777" w:rsidR="008A5602" w:rsidRPr="00286216" w:rsidRDefault="008A5602" w:rsidP="008A5602">
            <w:pPr>
              <w:pStyle w:val="StyleWisnow"/>
              <w:rPr>
                <w:color w:val="000000" w:themeColor="text1"/>
              </w:rPr>
            </w:pPr>
            <w:bookmarkStart w:id="3667" w:name="n3798" w:colFirst="0" w:colLast="0"/>
            <w:bookmarkEnd w:id="3666"/>
            <w:r w:rsidRPr="00286216">
              <w:rPr>
                <w:color w:val="000000" w:themeColor="text1"/>
              </w:rPr>
              <w:t>3798.</w:t>
            </w:r>
          </w:p>
        </w:tc>
        <w:tc>
          <w:tcPr>
            <w:tcW w:w="4818" w:type="dxa"/>
          </w:tcPr>
          <w:p w14:paraId="55195E4D" w14:textId="77777777" w:rsidR="008A5602" w:rsidRPr="00286216" w:rsidRDefault="008A5602" w:rsidP="008A5602">
            <w:pPr>
              <w:pStyle w:val="StyleZakonu"/>
              <w:rPr>
                <w:color w:val="000000" w:themeColor="text1"/>
              </w:rPr>
            </w:pPr>
            <w:r w:rsidRPr="00286216">
              <w:rPr>
                <w:color w:val="000000" w:themeColor="text1"/>
              </w:rPr>
              <w:t>а) у абзаці першому слово "розміщених" замінити словами "емісія яких здійснюється (здійснена)";</w:t>
            </w:r>
          </w:p>
        </w:tc>
        <w:tc>
          <w:tcPr>
            <w:tcW w:w="3686" w:type="dxa"/>
          </w:tcPr>
          <w:p w14:paraId="49439A5F" w14:textId="77777777" w:rsidR="008A5602" w:rsidRPr="00286216" w:rsidRDefault="008A5602" w:rsidP="008A5602">
            <w:pPr>
              <w:pStyle w:val="StyleProp"/>
              <w:rPr>
                <w:color w:val="000000" w:themeColor="text1"/>
                <w:szCs w:val="18"/>
              </w:rPr>
            </w:pPr>
          </w:p>
        </w:tc>
        <w:tc>
          <w:tcPr>
            <w:tcW w:w="1987" w:type="dxa"/>
          </w:tcPr>
          <w:p w14:paraId="418605A7" w14:textId="77777777" w:rsidR="008A5602" w:rsidRPr="00286216" w:rsidRDefault="008A5602" w:rsidP="008A5602">
            <w:pPr>
              <w:pStyle w:val="StyleWisnow"/>
              <w:rPr>
                <w:color w:val="000000" w:themeColor="text1"/>
              </w:rPr>
            </w:pPr>
          </w:p>
        </w:tc>
        <w:tc>
          <w:tcPr>
            <w:tcW w:w="4818" w:type="dxa"/>
          </w:tcPr>
          <w:p w14:paraId="4D93BB06" w14:textId="6470C188" w:rsidR="008A5602" w:rsidRPr="00286216" w:rsidRDefault="008A5602" w:rsidP="008A5602">
            <w:pPr>
              <w:pStyle w:val="StyleZakonu"/>
              <w:rPr>
                <w:color w:val="000000" w:themeColor="text1"/>
              </w:rPr>
            </w:pPr>
            <w:r w:rsidRPr="00286216">
              <w:rPr>
                <w:color w:val="000000" w:themeColor="text1"/>
              </w:rPr>
              <w:t>а) в абзаці першому слово "розміщених" замінити словами "емісія яких здійснюється (здійснена)";</w:t>
            </w:r>
          </w:p>
        </w:tc>
      </w:tr>
      <w:tr w:rsidR="008A5602" w:rsidRPr="00286216" w14:paraId="1DE7F482" w14:textId="77777777" w:rsidTr="00091AA5">
        <w:tc>
          <w:tcPr>
            <w:tcW w:w="576" w:type="dxa"/>
          </w:tcPr>
          <w:p w14:paraId="77C46E0E" w14:textId="77777777" w:rsidR="008A5602" w:rsidRPr="00286216" w:rsidRDefault="008A5602" w:rsidP="008A5602">
            <w:pPr>
              <w:pStyle w:val="StyleWisnow"/>
              <w:rPr>
                <w:color w:val="000000" w:themeColor="text1"/>
              </w:rPr>
            </w:pPr>
            <w:bookmarkStart w:id="3668" w:name="n3799" w:colFirst="0" w:colLast="0"/>
            <w:bookmarkEnd w:id="3667"/>
            <w:r w:rsidRPr="00286216">
              <w:rPr>
                <w:color w:val="000000" w:themeColor="text1"/>
              </w:rPr>
              <w:lastRenderedPageBreak/>
              <w:t>3799.</w:t>
            </w:r>
          </w:p>
        </w:tc>
        <w:tc>
          <w:tcPr>
            <w:tcW w:w="4818" w:type="dxa"/>
          </w:tcPr>
          <w:p w14:paraId="45BF0CE4" w14:textId="77777777" w:rsidR="008A5602" w:rsidRPr="00286216" w:rsidRDefault="008A5602" w:rsidP="008A5602">
            <w:pPr>
              <w:pStyle w:val="StyleZakonu"/>
              <w:rPr>
                <w:color w:val="000000" w:themeColor="text1"/>
              </w:rPr>
            </w:pPr>
            <w:r w:rsidRPr="00286216">
              <w:rPr>
                <w:color w:val="000000" w:themeColor="text1"/>
              </w:rPr>
              <w:t>б) у абзаці другому слова "та Розрахунковий центр" замінити словами та знаками "оператори організованих ринків капіталу та інвестиційні фірми";</w:t>
            </w:r>
          </w:p>
        </w:tc>
        <w:tc>
          <w:tcPr>
            <w:tcW w:w="3686" w:type="dxa"/>
          </w:tcPr>
          <w:p w14:paraId="4D5E5FC4" w14:textId="77777777" w:rsidR="008A5602" w:rsidRPr="00286216" w:rsidRDefault="008A5602" w:rsidP="008A5602">
            <w:pPr>
              <w:pStyle w:val="StyleProp"/>
              <w:rPr>
                <w:color w:val="000000" w:themeColor="text1"/>
                <w:szCs w:val="18"/>
              </w:rPr>
            </w:pPr>
          </w:p>
        </w:tc>
        <w:tc>
          <w:tcPr>
            <w:tcW w:w="1987" w:type="dxa"/>
          </w:tcPr>
          <w:p w14:paraId="388CD358" w14:textId="77777777" w:rsidR="008A5602" w:rsidRPr="00286216" w:rsidRDefault="008A5602" w:rsidP="008A5602">
            <w:pPr>
              <w:pStyle w:val="StyleWisnow"/>
              <w:rPr>
                <w:color w:val="000000" w:themeColor="text1"/>
              </w:rPr>
            </w:pPr>
          </w:p>
        </w:tc>
        <w:tc>
          <w:tcPr>
            <w:tcW w:w="4818" w:type="dxa"/>
          </w:tcPr>
          <w:p w14:paraId="0D94BB73" w14:textId="046FBB31" w:rsidR="008A5602" w:rsidRPr="00286216" w:rsidRDefault="008A5602" w:rsidP="008A5602">
            <w:pPr>
              <w:pStyle w:val="StyleZakonu"/>
              <w:rPr>
                <w:color w:val="000000" w:themeColor="text1"/>
              </w:rPr>
            </w:pPr>
            <w:r w:rsidRPr="00286216">
              <w:rPr>
                <w:color w:val="000000" w:themeColor="text1"/>
              </w:rPr>
              <w:t>б)  в абзаці другому слова "та Розрахунковий центр" замінити словами "оператори організованих ринків капіталу та інвестиційні фірми";</w:t>
            </w:r>
          </w:p>
        </w:tc>
      </w:tr>
      <w:tr w:rsidR="008F1775" w:rsidRPr="00286216" w14:paraId="0AE47A78" w14:textId="77777777" w:rsidTr="00091AA5">
        <w:tc>
          <w:tcPr>
            <w:tcW w:w="576" w:type="dxa"/>
          </w:tcPr>
          <w:p w14:paraId="669BEEE0" w14:textId="77777777" w:rsidR="008F1775" w:rsidRPr="00286216" w:rsidRDefault="008F1775" w:rsidP="008F1775">
            <w:pPr>
              <w:pStyle w:val="StyleWisnow"/>
              <w:rPr>
                <w:color w:val="000000" w:themeColor="text1"/>
              </w:rPr>
            </w:pPr>
            <w:bookmarkStart w:id="3669" w:name="n3800" w:colFirst="0" w:colLast="0"/>
            <w:bookmarkEnd w:id="3668"/>
            <w:r w:rsidRPr="00286216">
              <w:rPr>
                <w:color w:val="000000" w:themeColor="text1"/>
              </w:rPr>
              <w:t>3800.</w:t>
            </w:r>
          </w:p>
        </w:tc>
        <w:tc>
          <w:tcPr>
            <w:tcW w:w="4818" w:type="dxa"/>
          </w:tcPr>
          <w:p w14:paraId="0727E471" w14:textId="77777777" w:rsidR="008F1775" w:rsidRPr="00286216" w:rsidRDefault="008F1775" w:rsidP="008F1775">
            <w:pPr>
              <w:pStyle w:val="StyleZakonu"/>
              <w:rPr>
                <w:color w:val="000000" w:themeColor="text1"/>
              </w:rPr>
            </w:pPr>
            <w:r w:rsidRPr="00286216">
              <w:rPr>
                <w:color w:val="000000" w:themeColor="text1"/>
              </w:rPr>
              <w:t>в) у абзаці третьому після слів "на пред’явника" додати слова "інформація про випущені депозитні сертифікати банків, оформлена у відповідності до вимог, встановлених Комісією за погодженням з Національним банком України, ";</w:t>
            </w:r>
          </w:p>
        </w:tc>
        <w:tc>
          <w:tcPr>
            <w:tcW w:w="3686" w:type="dxa"/>
          </w:tcPr>
          <w:p w14:paraId="20736718" w14:textId="77777777" w:rsidR="008F1775" w:rsidRPr="00286216" w:rsidRDefault="008F1775" w:rsidP="008F1775">
            <w:pPr>
              <w:pStyle w:val="StyleProp"/>
              <w:rPr>
                <w:color w:val="000000" w:themeColor="text1"/>
                <w:szCs w:val="18"/>
              </w:rPr>
            </w:pPr>
          </w:p>
        </w:tc>
        <w:tc>
          <w:tcPr>
            <w:tcW w:w="1987" w:type="dxa"/>
          </w:tcPr>
          <w:p w14:paraId="0646C55C" w14:textId="77777777" w:rsidR="008F1775" w:rsidRPr="00286216" w:rsidRDefault="008F1775" w:rsidP="008F1775">
            <w:pPr>
              <w:pStyle w:val="StyleWisnow"/>
              <w:rPr>
                <w:color w:val="000000" w:themeColor="text1"/>
              </w:rPr>
            </w:pPr>
          </w:p>
        </w:tc>
        <w:tc>
          <w:tcPr>
            <w:tcW w:w="4818" w:type="dxa"/>
          </w:tcPr>
          <w:p w14:paraId="640E1264" w14:textId="3CA6EDF1" w:rsidR="008F1775" w:rsidRPr="00286216" w:rsidRDefault="008F1775" w:rsidP="008F1775">
            <w:pPr>
              <w:pStyle w:val="StyleZakonu"/>
              <w:rPr>
                <w:color w:val="000000" w:themeColor="text1"/>
              </w:rPr>
            </w:pPr>
            <w:r w:rsidRPr="00286216">
              <w:rPr>
                <w:color w:val="000000" w:themeColor="text1"/>
              </w:rPr>
              <w:t>в) абзац третій після слів "на пред’явника" доповнити словами "інформація про випущені депозитні сертифікати банків, оформлена відповідно до вимог, встановлених Комісією за погодженням з Національним банком України";</w:t>
            </w:r>
          </w:p>
        </w:tc>
      </w:tr>
      <w:tr w:rsidR="008F1775" w:rsidRPr="00286216" w14:paraId="460DD2A9" w14:textId="77777777" w:rsidTr="00091AA5">
        <w:tc>
          <w:tcPr>
            <w:tcW w:w="576" w:type="dxa"/>
          </w:tcPr>
          <w:p w14:paraId="7A3B15E5" w14:textId="77777777" w:rsidR="008F1775" w:rsidRPr="00286216" w:rsidRDefault="008F1775" w:rsidP="008F1775">
            <w:pPr>
              <w:pStyle w:val="StyleWisnow"/>
              <w:rPr>
                <w:color w:val="000000" w:themeColor="text1"/>
              </w:rPr>
            </w:pPr>
            <w:bookmarkStart w:id="3670" w:name="n3801" w:colFirst="0" w:colLast="0"/>
            <w:bookmarkEnd w:id="3669"/>
            <w:r w:rsidRPr="00286216">
              <w:rPr>
                <w:color w:val="000000" w:themeColor="text1"/>
              </w:rPr>
              <w:t>3801.</w:t>
            </w:r>
          </w:p>
        </w:tc>
        <w:tc>
          <w:tcPr>
            <w:tcW w:w="4818" w:type="dxa"/>
          </w:tcPr>
          <w:p w14:paraId="47C3FD42" w14:textId="77777777" w:rsidR="008F1775" w:rsidRPr="00286216" w:rsidRDefault="008F1775" w:rsidP="008F1775">
            <w:pPr>
              <w:pStyle w:val="StyleZakonu"/>
              <w:rPr>
                <w:color w:val="000000" w:themeColor="text1"/>
              </w:rPr>
            </w:pPr>
            <w:r w:rsidRPr="00286216">
              <w:rPr>
                <w:color w:val="000000" w:themeColor="text1"/>
              </w:rPr>
              <w:t>13) у статті 17:</w:t>
            </w:r>
          </w:p>
        </w:tc>
        <w:tc>
          <w:tcPr>
            <w:tcW w:w="3686" w:type="dxa"/>
          </w:tcPr>
          <w:p w14:paraId="44D7AB9C" w14:textId="77777777" w:rsidR="008F1775" w:rsidRPr="00286216" w:rsidRDefault="008F1775" w:rsidP="008F1775">
            <w:pPr>
              <w:pStyle w:val="StyleProp"/>
              <w:rPr>
                <w:color w:val="000000" w:themeColor="text1"/>
                <w:szCs w:val="18"/>
              </w:rPr>
            </w:pPr>
          </w:p>
        </w:tc>
        <w:tc>
          <w:tcPr>
            <w:tcW w:w="1987" w:type="dxa"/>
          </w:tcPr>
          <w:p w14:paraId="20DF6953" w14:textId="77777777" w:rsidR="008F1775" w:rsidRPr="00286216" w:rsidRDefault="008F1775" w:rsidP="008F1775">
            <w:pPr>
              <w:pStyle w:val="StyleWisnow"/>
              <w:rPr>
                <w:color w:val="000000" w:themeColor="text1"/>
              </w:rPr>
            </w:pPr>
          </w:p>
        </w:tc>
        <w:tc>
          <w:tcPr>
            <w:tcW w:w="4818" w:type="dxa"/>
          </w:tcPr>
          <w:p w14:paraId="35D84CFA" w14:textId="63D6A7B8" w:rsidR="008F1775" w:rsidRPr="00286216" w:rsidRDefault="008F1775" w:rsidP="008F1775">
            <w:pPr>
              <w:pStyle w:val="StyleZakonu"/>
              <w:rPr>
                <w:color w:val="000000" w:themeColor="text1"/>
              </w:rPr>
            </w:pPr>
            <w:r w:rsidRPr="00286216">
              <w:rPr>
                <w:color w:val="000000" w:themeColor="text1"/>
              </w:rPr>
              <w:t>14) у статті 17:</w:t>
            </w:r>
          </w:p>
        </w:tc>
      </w:tr>
      <w:tr w:rsidR="008F1775" w:rsidRPr="00286216" w14:paraId="5784123A" w14:textId="77777777" w:rsidTr="00091AA5">
        <w:tc>
          <w:tcPr>
            <w:tcW w:w="576" w:type="dxa"/>
          </w:tcPr>
          <w:p w14:paraId="1B576DF2" w14:textId="77777777" w:rsidR="008F1775" w:rsidRPr="00286216" w:rsidRDefault="008F1775" w:rsidP="008F1775">
            <w:pPr>
              <w:pStyle w:val="StyleWisnow"/>
              <w:rPr>
                <w:color w:val="000000" w:themeColor="text1"/>
              </w:rPr>
            </w:pPr>
          </w:p>
        </w:tc>
        <w:tc>
          <w:tcPr>
            <w:tcW w:w="4818" w:type="dxa"/>
          </w:tcPr>
          <w:p w14:paraId="04219A82" w14:textId="77777777" w:rsidR="008F1775" w:rsidRPr="00286216" w:rsidRDefault="008F1775" w:rsidP="008F1775">
            <w:pPr>
              <w:pStyle w:val="StyleZakonu"/>
              <w:rPr>
                <w:color w:val="000000" w:themeColor="text1"/>
              </w:rPr>
            </w:pPr>
          </w:p>
        </w:tc>
        <w:tc>
          <w:tcPr>
            <w:tcW w:w="3686" w:type="dxa"/>
          </w:tcPr>
          <w:p w14:paraId="18312C8B" w14:textId="0A4B593C"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1506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18696A1"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Підпункт 13 пункту 44 доповнити новим підпунктом «а» такого змісту:</w:t>
            </w:r>
          </w:p>
          <w:p w14:paraId="134D78EE"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«а) у абзаці першому частини першої слова «та облігацій місцевих позик, а також боргових цінних паперів, що посвідчують відносини позики органів місцевого самоврядування, які були розміщені за межами України,» виключити».</w:t>
            </w:r>
          </w:p>
          <w:p w14:paraId="1E24FF28"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У зв’язку з цим підпункти «а» та «б» вважати відповідно підпунктами «б» та «в»</w:t>
            </w:r>
          </w:p>
        </w:tc>
        <w:tc>
          <w:tcPr>
            <w:tcW w:w="1987" w:type="dxa"/>
          </w:tcPr>
          <w:p w14:paraId="0C5D59F5" w14:textId="77777777" w:rsidR="008F1775" w:rsidRPr="00286216" w:rsidRDefault="008F1775" w:rsidP="008F1775">
            <w:pPr>
              <w:pStyle w:val="StyleWisnow"/>
              <w:rPr>
                <w:color w:val="000000" w:themeColor="text1"/>
              </w:rPr>
            </w:pPr>
            <w:r w:rsidRPr="00286216">
              <w:rPr>
                <w:color w:val="000000" w:themeColor="text1"/>
              </w:rPr>
              <w:t>Враховано</w:t>
            </w:r>
          </w:p>
        </w:tc>
        <w:tc>
          <w:tcPr>
            <w:tcW w:w="4818" w:type="dxa"/>
          </w:tcPr>
          <w:p w14:paraId="7450B6DC" w14:textId="6C7981F3" w:rsidR="008F1775" w:rsidRPr="00286216" w:rsidRDefault="008F1775" w:rsidP="008F1775">
            <w:pPr>
              <w:pStyle w:val="StyleZakonu"/>
              <w:rPr>
                <w:color w:val="000000" w:themeColor="text1"/>
              </w:rPr>
            </w:pPr>
            <w:r w:rsidRPr="00286216">
              <w:rPr>
                <w:color w:val="000000" w:themeColor="text1"/>
              </w:rPr>
              <w:t>а)  в абзаці першому частини першої слова «та облігацій місцевих позик, а також боргових цінних паперів, що посвідчують відносини позики органів місцевого самоврядування, які були розміщені за межами України» виключити;</w:t>
            </w:r>
          </w:p>
        </w:tc>
      </w:tr>
      <w:tr w:rsidR="008F1775" w:rsidRPr="00286216" w14:paraId="3897B584" w14:textId="77777777" w:rsidTr="00091AA5">
        <w:tc>
          <w:tcPr>
            <w:tcW w:w="576" w:type="dxa"/>
          </w:tcPr>
          <w:p w14:paraId="00BC221A" w14:textId="77777777" w:rsidR="008F1775" w:rsidRPr="00286216" w:rsidRDefault="008F1775" w:rsidP="008F1775">
            <w:pPr>
              <w:pStyle w:val="StyleWisnow"/>
              <w:rPr>
                <w:color w:val="000000" w:themeColor="text1"/>
              </w:rPr>
            </w:pPr>
            <w:bookmarkStart w:id="3671" w:name="n3802" w:colFirst="0" w:colLast="0"/>
            <w:bookmarkEnd w:id="3670"/>
            <w:r w:rsidRPr="00286216">
              <w:rPr>
                <w:color w:val="000000" w:themeColor="text1"/>
              </w:rPr>
              <w:t>3802.</w:t>
            </w:r>
          </w:p>
        </w:tc>
        <w:tc>
          <w:tcPr>
            <w:tcW w:w="4818" w:type="dxa"/>
          </w:tcPr>
          <w:p w14:paraId="4C74E98E" w14:textId="77777777" w:rsidR="008F1775" w:rsidRPr="00286216" w:rsidRDefault="008F1775" w:rsidP="008F1775">
            <w:pPr>
              <w:pStyle w:val="StyleZakonu"/>
              <w:rPr>
                <w:color w:val="000000" w:themeColor="text1"/>
              </w:rPr>
            </w:pPr>
            <w:r w:rsidRPr="00286216">
              <w:rPr>
                <w:color w:val="000000" w:themeColor="text1"/>
              </w:rPr>
              <w:t>а) в абзаці другому частини першої слово "емітент" замінити словами "емітенти", слова "Розрахунковий центр" замінити словами "оператори організованих ринків капіталу";</w:t>
            </w:r>
          </w:p>
        </w:tc>
        <w:tc>
          <w:tcPr>
            <w:tcW w:w="3686" w:type="dxa"/>
          </w:tcPr>
          <w:p w14:paraId="3C30C993" w14:textId="77777777" w:rsidR="008F1775" w:rsidRPr="00286216" w:rsidRDefault="008F1775" w:rsidP="008F1775">
            <w:pPr>
              <w:pStyle w:val="StyleProp"/>
              <w:rPr>
                <w:color w:val="000000" w:themeColor="text1"/>
                <w:szCs w:val="18"/>
              </w:rPr>
            </w:pPr>
          </w:p>
        </w:tc>
        <w:tc>
          <w:tcPr>
            <w:tcW w:w="1987" w:type="dxa"/>
          </w:tcPr>
          <w:p w14:paraId="36B1DB4D" w14:textId="77777777" w:rsidR="008F1775" w:rsidRPr="00286216" w:rsidRDefault="008F1775" w:rsidP="008F1775">
            <w:pPr>
              <w:pStyle w:val="StyleWisnow"/>
              <w:rPr>
                <w:color w:val="000000" w:themeColor="text1"/>
              </w:rPr>
            </w:pPr>
          </w:p>
        </w:tc>
        <w:tc>
          <w:tcPr>
            <w:tcW w:w="4818" w:type="dxa"/>
          </w:tcPr>
          <w:p w14:paraId="6036FD13" w14:textId="6F979542" w:rsidR="008F1775" w:rsidRPr="00286216" w:rsidRDefault="008F1775" w:rsidP="008F1775">
            <w:pPr>
              <w:pStyle w:val="StyleZakonu"/>
              <w:rPr>
                <w:color w:val="000000" w:themeColor="text1"/>
              </w:rPr>
            </w:pPr>
            <w:r w:rsidRPr="00286216">
              <w:rPr>
                <w:color w:val="000000" w:themeColor="text1"/>
              </w:rPr>
              <w:t>б) в абзаці другому частини першої слово "емітент" замінити словом "емітенти", слова "Розрахунковий центр"  - словами "оператори організованих ринків капіталу";</w:t>
            </w:r>
          </w:p>
        </w:tc>
      </w:tr>
      <w:tr w:rsidR="008F1775" w:rsidRPr="00286216" w14:paraId="16C3D2F0" w14:textId="77777777" w:rsidTr="00091AA5">
        <w:tc>
          <w:tcPr>
            <w:tcW w:w="576" w:type="dxa"/>
          </w:tcPr>
          <w:p w14:paraId="2F1B6D35" w14:textId="77777777" w:rsidR="008F1775" w:rsidRPr="00286216" w:rsidRDefault="008F1775" w:rsidP="008F1775">
            <w:pPr>
              <w:pStyle w:val="StyleWisnow"/>
              <w:rPr>
                <w:color w:val="000000" w:themeColor="text1"/>
              </w:rPr>
            </w:pPr>
            <w:bookmarkStart w:id="3672" w:name="n3803" w:colFirst="0" w:colLast="0"/>
            <w:bookmarkEnd w:id="3671"/>
            <w:r w:rsidRPr="00286216">
              <w:rPr>
                <w:color w:val="000000" w:themeColor="text1"/>
              </w:rPr>
              <w:t>3803.</w:t>
            </w:r>
          </w:p>
        </w:tc>
        <w:tc>
          <w:tcPr>
            <w:tcW w:w="4818" w:type="dxa"/>
          </w:tcPr>
          <w:p w14:paraId="4A396571" w14:textId="77777777" w:rsidR="008F1775" w:rsidRPr="00286216" w:rsidRDefault="008F1775" w:rsidP="008F1775">
            <w:pPr>
              <w:pStyle w:val="StyleZakonu"/>
              <w:rPr>
                <w:color w:val="000000" w:themeColor="text1"/>
              </w:rPr>
            </w:pPr>
            <w:r w:rsidRPr="00286216">
              <w:rPr>
                <w:color w:val="000000" w:themeColor="text1"/>
              </w:rPr>
              <w:t>б) доповнити статтю новою частиною такого змісту:</w:t>
            </w:r>
          </w:p>
        </w:tc>
        <w:tc>
          <w:tcPr>
            <w:tcW w:w="3686" w:type="dxa"/>
          </w:tcPr>
          <w:p w14:paraId="16F57C11" w14:textId="77777777" w:rsidR="008F1775" w:rsidRPr="00286216" w:rsidRDefault="008F1775" w:rsidP="008F1775">
            <w:pPr>
              <w:pStyle w:val="StyleProp"/>
              <w:rPr>
                <w:color w:val="000000" w:themeColor="text1"/>
                <w:szCs w:val="18"/>
              </w:rPr>
            </w:pPr>
          </w:p>
        </w:tc>
        <w:tc>
          <w:tcPr>
            <w:tcW w:w="1987" w:type="dxa"/>
          </w:tcPr>
          <w:p w14:paraId="62A54DBF" w14:textId="77777777" w:rsidR="008F1775" w:rsidRPr="00286216" w:rsidRDefault="008F1775" w:rsidP="008F1775">
            <w:pPr>
              <w:pStyle w:val="StyleWisnow"/>
              <w:rPr>
                <w:color w:val="000000" w:themeColor="text1"/>
              </w:rPr>
            </w:pPr>
          </w:p>
        </w:tc>
        <w:tc>
          <w:tcPr>
            <w:tcW w:w="4818" w:type="dxa"/>
          </w:tcPr>
          <w:p w14:paraId="7AA493B7" w14:textId="2545EBA1" w:rsidR="008F1775" w:rsidRPr="00286216" w:rsidRDefault="008F1775" w:rsidP="008F1775">
            <w:pPr>
              <w:pStyle w:val="StyleZakonu"/>
              <w:rPr>
                <w:color w:val="000000" w:themeColor="text1"/>
              </w:rPr>
            </w:pPr>
            <w:r w:rsidRPr="00286216">
              <w:rPr>
                <w:color w:val="000000" w:themeColor="text1"/>
              </w:rPr>
              <w:t>в) доповнити частиною четвертою такого змісту:</w:t>
            </w:r>
          </w:p>
        </w:tc>
      </w:tr>
      <w:tr w:rsidR="008F1775" w:rsidRPr="00286216" w14:paraId="6872A5C5" w14:textId="77777777" w:rsidTr="00091AA5">
        <w:tc>
          <w:tcPr>
            <w:tcW w:w="576" w:type="dxa"/>
          </w:tcPr>
          <w:p w14:paraId="717FF39D" w14:textId="77777777" w:rsidR="008F1775" w:rsidRPr="00286216" w:rsidRDefault="008F1775" w:rsidP="008F1775">
            <w:pPr>
              <w:pStyle w:val="StyleWisnow"/>
              <w:rPr>
                <w:color w:val="000000" w:themeColor="text1"/>
              </w:rPr>
            </w:pPr>
            <w:bookmarkStart w:id="3673" w:name="n3804" w:colFirst="0" w:colLast="0"/>
            <w:bookmarkEnd w:id="3672"/>
            <w:r w:rsidRPr="00286216">
              <w:rPr>
                <w:color w:val="000000" w:themeColor="text1"/>
              </w:rPr>
              <w:t>3804.</w:t>
            </w:r>
          </w:p>
        </w:tc>
        <w:tc>
          <w:tcPr>
            <w:tcW w:w="4818" w:type="dxa"/>
          </w:tcPr>
          <w:p w14:paraId="54B1B13D" w14:textId="77777777" w:rsidR="008F1775" w:rsidRPr="00286216" w:rsidRDefault="008F1775" w:rsidP="008F1775">
            <w:pPr>
              <w:pStyle w:val="StyleZakonu"/>
              <w:rPr>
                <w:color w:val="000000" w:themeColor="text1"/>
              </w:rPr>
            </w:pPr>
            <w:r w:rsidRPr="00286216">
              <w:rPr>
                <w:color w:val="000000" w:themeColor="text1"/>
              </w:rPr>
              <w:t>"4. Національний банк України у разі провадження ним депозитарної діяльності, передбаченої пунктами 3 та 5 частини першої статті 3 цього Закону, відповідно до отриманих від Центрального депозитарію депозитарних активів провадить діяльність з депозитарного обліку та обслуговування обігу цінних паперів і корпоративних операцій емітента на рахунках у цінних паперах депонентів, а також на власному рахунку в цінних паперах, на якому обліковуються цінні папери, права на цінні папери, що належать Національному банку України."</w:t>
            </w:r>
          </w:p>
        </w:tc>
        <w:tc>
          <w:tcPr>
            <w:tcW w:w="3686" w:type="dxa"/>
          </w:tcPr>
          <w:p w14:paraId="3FE95DE2" w14:textId="77777777" w:rsidR="008F1775" w:rsidRPr="00286216" w:rsidRDefault="008F1775" w:rsidP="008F1775">
            <w:pPr>
              <w:pStyle w:val="StyleProp"/>
              <w:rPr>
                <w:color w:val="000000" w:themeColor="text1"/>
                <w:szCs w:val="18"/>
              </w:rPr>
            </w:pPr>
          </w:p>
        </w:tc>
        <w:tc>
          <w:tcPr>
            <w:tcW w:w="1987" w:type="dxa"/>
          </w:tcPr>
          <w:p w14:paraId="76C37014" w14:textId="77777777" w:rsidR="008F1775" w:rsidRPr="00286216" w:rsidRDefault="008F1775" w:rsidP="008F1775">
            <w:pPr>
              <w:pStyle w:val="StyleWisnow"/>
              <w:rPr>
                <w:color w:val="000000" w:themeColor="text1"/>
              </w:rPr>
            </w:pPr>
          </w:p>
        </w:tc>
        <w:tc>
          <w:tcPr>
            <w:tcW w:w="4818" w:type="dxa"/>
          </w:tcPr>
          <w:p w14:paraId="42AFAC52" w14:textId="3114157A" w:rsidR="008F1775" w:rsidRPr="00286216" w:rsidRDefault="008F1775" w:rsidP="008F1775">
            <w:pPr>
              <w:pStyle w:val="StyleZakonu"/>
              <w:rPr>
                <w:color w:val="000000" w:themeColor="text1"/>
              </w:rPr>
            </w:pPr>
            <w:r w:rsidRPr="00286216">
              <w:rPr>
                <w:color w:val="000000" w:themeColor="text1"/>
              </w:rPr>
              <w:t>"4. Національний банк України у разі провадження ним депозитарної діяльності, передбаченої пунктами 3 та 5 частини першої статті 3 цього Закону, відповідно до отриманих від Центрального депозитарію депозитарних активів провадить діяльність з депозитарного обліку та обслуговування обігу цінних паперів і корпоративних операцій емітента на рахунках у цінних паперах депонентів, а також на власному рахунку в цінних паперах, на якому обліковуються цінні папери, права на цінні папери, що належать Національному банку України."</w:t>
            </w:r>
          </w:p>
        </w:tc>
      </w:tr>
      <w:tr w:rsidR="008F1775" w:rsidRPr="00286216" w14:paraId="2801FBA3" w14:textId="77777777" w:rsidTr="00091AA5">
        <w:tc>
          <w:tcPr>
            <w:tcW w:w="576" w:type="dxa"/>
          </w:tcPr>
          <w:p w14:paraId="114E6A8F" w14:textId="77777777" w:rsidR="008F1775" w:rsidRPr="00286216" w:rsidRDefault="008F1775" w:rsidP="008F1775">
            <w:pPr>
              <w:pStyle w:val="StyleWisnow"/>
              <w:rPr>
                <w:color w:val="000000" w:themeColor="text1"/>
              </w:rPr>
            </w:pPr>
            <w:bookmarkStart w:id="3674" w:name="n3805" w:colFirst="0" w:colLast="0"/>
            <w:bookmarkEnd w:id="3673"/>
            <w:r w:rsidRPr="00286216">
              <w:rPr>
                <w:color w:val="000000" w:themeColor="text1"/>
              </w:rPr>
              <w:t>3805.</w:t>
            </w:r>
          </w:p>
        </w:tc>
        <w:tc>
          <w:tcPr>
            <w:tcW w:w="4818" w:type="dxa"/>
          </w:tcPr>
          <w:p w14:paraId="085AAA52" w14:textId="77777777" w:rsidR="008F1775" w:rsidRPr="00286216" w:rsidRDefault="008F1775" w:rsidP="008F1775">
            <w:pPr>
              <w:pStyle w:val="StyleZakonu"/>
              <w:rPr>
                <w:color w:val="000000" w:themeColor="text1"/>
              </w:rPr>
            </w:pPr>
            <w:r w:rsidRPr="00286216">
              <w:rPr>
                <w:color w:val="000000" w:themeColor="text1"/>
              </w:rPr>
              <w:t>14) у статті 20:</w:t>
            </w:r>
          </w:p>
        </w:tc>
        <w:tc>
          <w:tcPr>
            <w:tcW w:w="3686" w:type="dxa"/>
          </w:tcPr>
          <w:p w14:paraId="1944D260" w14:textId="77777777" w:rsidR="008F1775" w:rsidRPr="00286216" w:rsidRDefault="008F1775" w:rsidP="008F1775">
            <w:pPr>
              <w:pStyle w:val="StyleProp"/>
              <w:rPr>
                <w:color w:val="000000" w:themeColor="text1"/>
                <w:szCs w:val="18"/>
              </w:rPr>
            </w:pPr>
          </w:p>
        </w:tc>
        <w:tc>
          <w:tcPr>
            <w:tcW w:w="1987" w:type="dxa"/>
          </w:tcPr>
          <w:p w14:paraId="00476467" w14:textId="77777777" w:rsidR="008F1775" w:rsidRPr="00286216" w:rsidRDefault="008F1775" w:rsidP="008F1775">
            <w:pPr>
              <w:pStyle w:val="StyleWisnow"/>
              <w:rPr>
                <w:color w:val="000000" w:themeColor="text1"/>
              </w:rPr>
            </w:pPr>
          </w:p>
        </w:tc>
        <w:tc>
          <w:tcPr>
            <w:tcW w:w="4818" w:type="dxa"/>
          </w:tcPr>
          <w:p w14:paraId="4DE36762" w14:textId="1B1E544B" w:rsidR="008F1775" w:rsidRPr="00286216" w:rsidRDefault="008F1775" w:rsidP="008F1775">
            <w:pPr>
              <w:pStyle w:val="StyleZakonu"/>
              <w:rPr>
                <w:color w:val="000000" w:themeColor="text1"/>
              </w:rPr>
            </w:pPr>
            <w:r w:rsidRPr="00286216">
              <w:rPr>
                <w:color w:val="000000" w:themeColor="text1"/>
              </w:rPr>
              <w:t>15) у статті 20:</w:t>
            </w:r>
          </w:p>
        </w:tc>
      </w:tr>
      <w:tr w:rsidR="008F1775" w:rsidRPr="00286216" w14:paraId="1ECBF83A" w14:textId="77777777" w:rsidTr="00091AA5">
        <w:tc>
          <w:tcPr>
            <w:tcW w:w="576" w:type="dxa"/>
          </w:tcPr>
          <w:p w14:paraId="6F1F66B1" w14:textId="77777777" w:rsidR="008F1775" w:rsidRPr="00286216" w:rsidRDefault="008F1775" w:rsidP="008F1775">
            <w:pPr>
              <w:pStyle w:val="StyleWisnow"/>
              <w:rPr>
                <w:color w:val="000000" w:themeColor="text1"/>
              </w:rPr>
            </w:pPr>
            <w:bookmarkStart w:id="3675" w:name="n3806" w:colFirst="0" w:colLast="0"/>
            <w:bookmarkEnd w:id="3674"/>
            <w:r w:rsidRPr="00286216">
              <w:rPr>
                <w:color w:val="000000" w:themeColor="text1"/>
              </w:rPr>
              <w:t>3806.</w:t>
            </w:r>
          </w:p>
        </w:tc>
        <w:tc>
          <w:tcPr>
            <w:tcW w:w="4818" w:type="dxa"/>
          </w:tcPr>
          <w:p w14:paraId="22B38346" w14:textId="77777777" w:rsidR="008F1775" w:rsidRPr="00286216" w:rsidRDefault="008F1775" w:rsidP="008F1775">
            <w:pPr>
              <w:pStyle w:val="StyleZakonu"/>
              <w:rPr>
                <w:color w:val="000000" w:themeColor="text1"/>
              </w:rPr>
            </w:pPr>
            <w:r w:rsidRPr="00286216">
              <w:rPr>
                <w:color w:val="000000" w:themeColor="text1"/>
              </w:rPr>
              <w:t>а) слова "фондова біржа", "фондові біржі" у відповідних відмінках замінити словами "організовані ринки капіталу";</w:t>
            </w:r>
          </w:p>
        </w:tc>
        <w:tc>
          <w:tcPr>
            <w:tcW w:w="3686" w:type="dxa"/>
          </w:tcPr>
          <w:p w14:paraId="6776202D" w14:textId="29674423" w:rsidR="008F1775" w:rsidRPr="00286216" w:rsidRDefault="008F1775" w:rsidP="008F1775">
            <w:pPr>
              <w:pStyle w:val="StyleProp"/>
              <w:spacing w:line="180" w:lineRule="exact"/>
              <w:rPr>
                <w:color w:val="000000" w:themeColor="text1"/>
                <w:szCs w:val="18"/>
              </w:rPr>
            </w:pPr>
          </w:p>
        </w:tc>
        <w:tc>
          <w:tcPr>
            <w:tcW w:w="1987" w:type="dxa"/>
          </w:tcPr>
          <w:p w14:paraId="2D1B4459" w14:textId="79ADCAD4" w:rsidR="008F1775" w:rsidRPr="00286216" w:rsidRDefault="008F1775" w:rsidP="008F1775">
            <w:pPr>
              <w:pStyle w:val="StyleWisnow"/>
              <w:spacing w:line="180" w:lineRule="exact"/>
              <w:rPr>
                <w:color w:val="000000" w:themeColor="text1"/>
              </w:rPr>
            </w:pPr>
          </w:p>
        </w:tc>
        <w:tc>
          <w:tcPr>
            <w:tcW w:w="4818" w:type="dxa"/>
          </w:tcPr>
          <w:p w14:paraId="0A19E752" w14:textId="2AED7AF5" w:rsidR="008F1775" w:rsidRPr="00286216" w:rsidRDefault="008F1775" w:rsidP="008F1775">
            <w:pPr>
              <w:pStyle w:val="StyleZakonu"/>
              <w:rPr>
                <w:color w:val="000000" w:themeColor="text1"/>
              </w:rPr>
            </w:pPr>
          </w:p>
        </w:tc>
      </w:tr>
      <w:tr w:rsidR="008F1775" w:rsidRPr="00286216" w14:paraId="0C5241AE" w14:textId="77777777" w:rsidTr="00091AA5">
        <w:tc>
          <w:tcPr>
            <w:tcW w:w="576" w:type="dxa"/>
          </w:tcPr>
          <w:p w14:paraId="11FE8ED5" w14:textId="77777777" w:rsidR="008F1775" w:rsidRPr="00286216" w:rsidRDefault="008F1775" w:rsidP="008F1775">
            <w:pPr>
              <w:pStyle w:val="StyleWisnow"/>
              <w:rPr>
                <w:color w:val="000000" w:themeColor="text1"/>
              </w:rPr>
            </w:pPr>
            <w:bookmarkStart w:id="3676" w:name="n3807" w:colFirst="0" w:colLast="0"/>
            <w:bookmarkEnd w:id="3675"/>
            <w:r w:rsidRPr="00286216">
              <w:rPr>
                <w:color w:val="000000" w:themeColor="text1"/>
              </w:rPr>
              <w:t>3807.</w:t>
            </w:r>
          </w:p>
        </w:tc>
        <w:tc>
          <w:tcPr>
            <w:tcW w:w="4818" w:type="dxa"/>
          </w:tcPr>
          <w:p w14:paraId="6DBA38F9" w14:textId="77777777" w:rsidR="008F1775" w:rsidRPr="00286216" w:rsidRDefault="008F1775" w:rsidP="008F1775">
            <w:pPr>
              <w:pStyle w:val="StyleZakonu"/>
              <w:rPr>
                <w:color w:val="000000" w:themeColor="text1"/>
              </w:rPr>
            </w:pPr>
            <w:r w:rsidRPr="00286216">
              <w:rPr>
                <w:color w:val="000000" w:themeColor="text1"/>
              </w:rPr>
              <w:t>б) у частині першій:</w:t>
            </w:r>
          </w:p>
        </w:tc>
        <w:tc>
          <w:tcPr>
            <w:tcW w:w="3686" w:type="dxa"/>
          </w:tcPr>
          <w:p w14:paraId="1C28A01F" w14:textId="77777777" w:rsidR="008F1775" w:rsidRPr="00286216" w:rsidRDefault="008F1775" w:rsidP="008F1775">
            <w:pPr>
              <w:pStyle w:val="StyleProp"/>
              <w:rPr>
                <w:color w:val="000000" w:themeColor="text1"/>
                <w:szCs w:val="18"/>
              </w:rPr>
            </w:pPr>
          </w:p>
        </w:tc>
        <w:tc>
          <w:tcPr>
            <w:tcW w:w="1987" w:type="dxa"/>
          </w:tcPr>
          <w:p w14:paraId="5D937BE2" w14:textId="77777777" w:rsidR="008F1775" w:rsidRPr="00286216" w:rsidRDefault="008F1775" w:rsidP="008F1775">
            <w:pPr>
              <w:pStyle w:val="StyleWisnow"/>
              <w:rPr>
                <w:color w:val="000000" w:themeColor="text1"/>
              </w:rPr>
            </w:pPr>
          </w:p>
        </w:tc>
        <w:tc>
          <w:tcPr>
            <w:tcW w:w="4818" w:type="dxa"/>
          </w:tcPr>
          <w:p w14:paraId="7E0476E6" w14:textId="7392D594" w:rsidR="008F1775" w:rsidRPr="00286216" w:rsidRDefault="008F1775" w:rsidP="008F1775">
            <w:pPr>
              <w:pStyle w:val="StyleZakonu"/>
              <w:rPr>
                <w:color w:val="000000" w:themeColor="text1"/>
              </w:rPr>
            </w:pPr>
            <w:r w:rsidRPr="00286216">
              <w:rPr>
                <w:color w:val="000000" w:themeColor="text1"/>
              </w:rPr>
              <w:t>а) у частині першій:</w:t>
            </w:r>
          </w:p>
        </w:tc>
      </w:tr>
      <w:tr w:rsidR="008F1775" w:rsidRPr="00286216" w14:paraId="5A0221B4" w14:textId="77777777" w:rsidTr="00091AA5">
        <w:tc>
          <w:tcPr>
            <w:tcW w:w="576" w:type="dxa"/>
          </w:tcPr>
          <w:p w14:paraId="4AAE67E2" w14:textId="77777777" w:rsidR="008F1775" w:rsidRPr="00286216" w:rsidRDefault="008F1775" w:rsidP="008F1775">
            <w:pPr>
              <w:pStyle w:val="StyleWisnow"/>
              <w:rPr>
                <w:color w:val="000000" w:themeColor="text1"/>
              </w:rPr>
            </w:pPr>
            <w:bookmarkStart w:id="3677" w:name="n3808" w:colFirst="0" w:colLast="0"/>
            <w:bookmarkEnd w:id="3676"/>
            <w:r w:rsidRPr="00286216">
              <w:rPr>
                <w:color w:val="000000" w:themeColor="text1"/>
              </w:rPr>
              <w:t>3808.</w:t>
            </w:r>
          </w:p>
        </w:tc>
        <w:tc>
          <w:tcPr>
            <w:tcW w:w="4818" w:type="dxa"/>
          </w:tcPr>
          <w:p w14:paraId="1FD4215F" w14:textId="77777777" w:rsidR="008F1775" w:rsidRPr="00286216" w:rsidRDefault="008F1775" w:rsidP="008F1775">
            <w:pPr>
              <w:pStyle w:val="StyleZakonu"/>
              <w:rPr>
                <w:color w:val="000000" w:themeColor="text1"/>
              </w:rPr>
            </w:pPr>
            <w:r w:rsidRPr="00286216">
              <w:rPr>
                <w:color w:val="000000" w:themeColor="text1"/>
              </w:rPr>
              <w:t>абзац другий викласти в такій редакції:</w:t>
            </w:r>
          </w:p>
        </w:tc>
        <w:tc>
          <w:tcPr>
            <w:tcW w:w="3686" w:type="dxa"/>
          </w:tcPr>
          <w:p w14:paraId="2810EBF1" w14:textId="77777777" w:rsidR="008F1775" w:rsidRPr="00286216" w:rsidRDefault="008F1775" w:rsidP="008F1775">
            <w:pPr>
              <w:pStyle w:val="StyleProp"/>
              <w:rPr>
                <w:color w:val="000000" w:themeColor="text1"/>
                <w:szCs w:val="18"/>
              </w:rPr>
            </w:pPr>
          </w:p>
        </w:tc>
        <w:tc>
          <w:tcPr>
            <w:tcW w:w="1987" w:type="dxa"/>
          </w:tcPr>
          <w:p w14:paraId="2C383965" w14:textId="77777777" w:rsidR="008F1775" w:rsidRPr="00286216" w:rsidRDefault="008F1775" w:rsidP="008F1775">
            <w:pPr>
              <w:pStyle w:val="StyleWisnow"/>
              <w:rPr>
                <w:color w:val="000000" w:themeColor="text1"/>
              </w:rPr>
            </w:pPr>
          </w:p>
        </w:tc>
        <w:tc>
          <w:tcPr>
            <w:tcW w:w="4818" w:type="dxa"/>
          </w:tcPr>
          <w:p w14:paraId="03FE9E0E" w14:textId="31B2B6C5" w:rsidR="008F1775" w:rsidRPr="00286216" w:rsidRDefault="008F1775" w:rsidP="008F1775">
            <w:pPr>
              <w:pStyle w:val="StyleZakonu"/>
              <w:rPr>
                <w:color w:val="000000" w:themeColor="text1"/>
              </w:rPr>
            </w:pPr>
            <w:r w:rsidRPr="00286216">
              <w:rPr>
                <w:color w:val="000000" w:themeColor="text1"/>
              </w:rPr>
              <w:t>абзац другий викласти в такій редакції:</w:t>
            </w:r>
          </w:p>
        </w:tc>
      </w:tr>
      <w:tr w:rsidR="008F1775" w:rsidRPr="00286216" w14:paraId="16B2158F" w14:textId="77777777" w:rsidTr="00091AA5">
        <w:tc>
          <w:tcPr>
            <w:tcW w:w="576" w:type="dxa"/>
          </w:tcPr>
          <w:p w14:paraId="1ED3CD16" w14:textId="77777777" w:rsidR="008F1775" w:rsidRPr="00286216" w:rsidRDefault="008F1775" w:rsidP="008F1775">
            <w:pPr>
              <w:pStyle w:val="StyleWisnow"/>
              <w:rPr>
                <w:color w:val="000000" w:themeColor="text1"/>
              </w:rPr>
            </w:pPr>
            <w:bookmarkStart w:id="3678" w:name="n3809" w:colFirst="0" w:colLast="0"/>
            <w:bookmarkEnd w:id="3677"/>
            <w:r w:rsidRPr="00286216">
              <w:rPr>
                <w:color w:val="000000" w:themeColor="text1"/>
              </w:rPr>
              <w:t>3809.</w:t>
            </w:r>
          </w:p>
        </w:tc>
        <w:tc>
          <w:tcPr>
            <w:tcW w:w="4818" w:type="dxa"/>
          </w:tcPr>
          <w:p w14:paraId="3E6F7E8A" w14:textId="77777777" w:rsidR="008F1775" w:rsidRPr="00286216" w:rsidRDefault="008F1775" w:rsidP="008F1775">
            <w:pPr>
              <w:pStyle w:val="StyleZakonu"/>
              <w:rPr>
                <w:color w:val="000000" w:themeColor="text1"/>
              </w:rPr>
            </w:pPr>
            <w:r w:rsidRPr="00286216">
              <w:rPr>
                <w:color w:val="000000" w:themeColor="text1"/>
              </w:rPr>
              <w:t xml:space="preserve">"переказу коштів банками та Національним банком України у встановленому ним порядку та/або </w:t>
            </w:r>
            <w:r w:rsidRPr="00286216">
              <w:rPr>
                <w:color w:val="000000" w:themeColor="text1"/>
              </w:rPr>
              <w:lastRenderedPageBreak/>
              <w:t>відображення особою, що здійснює клірингову діяльність, у внутрішній системі обліку особи, що здійснює клірингову діяльність, зміни обсягу прав та зобов’язань щодо коштів між сторонами правочинів щодо цінних паперів та інших фінансових інструментів з відображенням переходу права вимоги на кошти, в тому числі припинення зобов’язань щодо коштів за результатами неттінгу у порядку, встановленому Національним банком України за погодженням з Комісією;</w:t>
            </w:r>
          </w:p>
        </w:tc>
        <w:tc>
          <w:tcPr>
            <w:tcW w:w="3686" w:type="dxa"/>
          </w:tcPr>
          <w:p w14:paraId="56563ACA" w14:textId="77777777" w:rsidR="008F1775" w:rsidRPr="00286216" w:rsidRDefault="008F1775" w:rsidP="008F1775">
            <w:pPr>
              <w:pStyle w:val="StyleProp"/>
              <w:rPr>
                <w:color w:val="000000" w:themeColor="text1"/>
                <w:szCs w:val="18"/>
              </w:rPr>
            </w:pPr>
          </w:p>
        </w:tc>
        <w:tc>
          <w:tcPr>
            <w:tcW w:w="1987" w:type="dxa"/>
          </w:tcPr>
          <w:p w14:paraId="451A3C3C" w14:textId="77777777" w:rsidR="008F1775" w:rsidRPr="00286216" w:rsidRDefault="008F1775" w:rsidP="008F1775">
            <w:pPr>
              <w:pStyle w:val="StyleWisnow"/>
              <w:rPr>
                <w:color w:val="000000" w:themeColor="text1"/>
              </w:rPr>
            </w:pPr>
          </w:p>
        </w:tc>
        <w:tc>
          <w:tcPr>
            <w:tcW w:w="4818" w:type="dxa"/>
          </w:tcPr>
          <w:p w14:paraId="1A85B65F" w14:textId="298BD5CD" w:rsidR="008F1775" w:rsidRPr="00286216" w:rsidRDefault="008F1775" w:rsidP="008F1775">
            <w:pPr>
              <w:pStyle w:val="StyleZakonu"/>
              <w:rPr>
                <w:color w:val="000000" w:themeColor="text1"/>
              </w:rPr>
            </w:pPr>
            <w:r w:rsidRPr="00286216">
              <w:rPr>
                <w:color w:val="000000" w:themeColor="text1"/>
              </w:rPr>
              <w:t xml:space="preserve">"переказу коштів банками та Національним банком України у встановленому ним порядку та/або </w:t>
            </w:r>
            <w:r w:rsidRPr="00286216">
              <w:rPr>
                <w:color w:val="000000" w:themeColor="text1"/>
              </w:rPr>
              <w:lastRenderedPageBreak/>
              <w:t>відображення особою, що провадить клірингову діяльність, у внутрішній системі обліку особи, що провадить клірингову діяльність, зміни обсягу прав та зобов’язань щодо коштів між сторонами правочинів щодо цінних паперів та інших фінансових інструментів з відображенням переходу права вимоги на кошти,  у тому числі припинення зобов’язань щодо коштів за результатами неттінгу, у порядку, встановленому Національним банком України за погодженням з Комісією";</w:t>
            </w:r>
          </w:p>
        </w:tc>
      </w:tr>
      <w:tr w:rsidR="008F1775" w:rsidRPr="00286216" w14:paraId="1A0F616F" w14:textId="77777777" w:rsidTr="00091AA5">
        <w:tc>
          <w:tcPr>
            <w:tcW w:w="576" w:type="dxa"/>
          </w:tcPr>
          <w:p w14:paraId="48F1C785" w14:textId="77777777" w:rsidR="008F1775" w:rsidRPr="00286216" w:rsidRDefault="008F1775" w:rsidP="008F1775">
            <w:pPr>
              <w:pStyle w:val="StyleWisnow"/>
              <w:rPr>
                <w:color w:val="000000" w:themeColor="text1"/>
              </w:rPr>
            </w:pPr>
            <w:bookmarkStart w:id="3679" w:name="n3810" w:colFirst="0" w:colLast="0"/>
            <w:bookmarkEnd w:id="3678"/>
            <w:r w:rsidRPr="00286216">
              <w:rPr>
                <w:color w:val="000000" w:themeColor="text1"/>
              </w:rPr>
              <w:lastRenderedPageBreak/>
              <w:t>3810.</w:t>
            </w:r>
          </w:p>
        </w:tc>
        <w:tc>
          <w:tcPr>
            <w:tcW w:w="4818" w:type="dxa"/>
          </w:tcPr>
          <w:p w14:paraId="7E801879" w14:textId="77777777" w:rsidR="008F1775" w:rsidRPr="00286216" w:rsidRDefault="008F1775" w:rsidP="008F1775">
            <w:pPr>
              <w:pStyle w:val="StyleZakonu"/>
              <w:rPr>
                <w:color w:val="000000" w:themeColor="text1"/>
              </w:rPr>
            </w:pPr>
            <w:r w:rsidRPr="00286216">
              <w:rPr>
                <w:color w:val="000000" w:themeColor="text1"/>
              </w:rPr>
              <w:t>в абзаці восьмому слова "Розрахунковому центру та/або кліринговій установі" замінити словами "особі, яка провадить клірингову діяльність";</w:t>
            </w:r>
          </w:p>
        </w:tc>
        <w:tc>
          <w:tcPr>
            <w:tcW w:w="3686" w:type="dxa"/>
          </w:tcPr>
          <w:p w14:paraId="1337CE06" w14:textId="491F05F4"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1507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5EE77D97" w14:textId="479E7DFB"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 xml:space="preserve">Абзац </w:t>
            </w:r>
            <w:r w:rsidRPr="00286216">
              <w:rPr>
                <w:color w:val="000000" w:themeColor="text1"/>
                <w:spacing w:val="-1"/>
                <w:szCs w:val="18"/>
                <w:lang w:val="ru-RU"/>
              </w:rPr>
              <w:t>4</w:t>
            </w:r>
            <w:r w:rsidRPr="00286216">
              <w:rPr>
                <w:color w:val="000000" w:themeColor="text1"/>
                <w:spacing w:val="-1"/>
                <w:szCs w:val="18"/>
              </w:rPr>
              <w:t xml:space="preserve"> підпункту «б» підпункту 14 пункту 44 розділу 3 викласти в такій редакції:</w:t>
            </w:r>
          </w:p>
          <w:p w14:paraId="71C9F9A5"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«абзаци сьомий-десятий замінити абзацами такого змісту:</w:t>
            </w:r>
          </w:p>
          <w:p w14:paraId="6C7B2F71"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Розрахунки за правочинами щодо цінних паперів з дотриманням принципу «поставка цінних паперів проти оплати», вважаються завершеними після здійснення:</w:t>
            </w:r>
          </w:p>
          <w:p w14:paraId="4CD7EFAC"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1) Центральним депозитарієм або Національним банком України відповідно до компетенції, встановленої цим Законом, депозитарних операцій за результатами розрахунків за правочинами щодо цінних паперів на рахунках депозитарних установ - у разі, якщо проведення розрахунків за правочинами потребує здійснення депозитарних операцій на рахунках депозитарних установ;</w:t>
            </w:r>
          </w:p>
          <w:p w14:paraId="13126970"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2) Центральним депозитарієм або Національним банком України направлення розпорядження та/або повідомлення (інформації) про вчинені правочини щодо цінних паперів депозитарним установам для проведення ними відповідних депозитарних операцій на рахунках власників цінних паперів - у разі, якщо проведення розрахунків за правочинами не потребує здійснення депозитарних операцій на рахунках депозитарних установ.</w:t>
            </w:r>
          </w:p>
          <w:p w14:paraId="446399E5"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Розрахунки за правочинами щодо цінних паперів без дотримання принципу «поставка цінних паперів проти оплати» вважаються завершеними після здійснення:</w:t>
            </w:r>
          </w:p>
          <w:p w14:paraId="3C13C67A"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 xml:space="preserve">1) Центральним депозитарієм або Національним банком України відповідно до компетенції, встановленої цим Законом, депозитарних операцій за результатами розрахунків за правочинами щодо цінних паперів на рахунках депозитарних установ - у разі, якщо проведення розрахунків за </w:t>
            </w:r>
            <w:r w:rsidRPr="00286216">
              <w:rPr>
                <w:color w:val="000000" w:themeColor="text1"/>
                <w:spacing w:val="-1"/>
                <w:szCs w:val="18"/>
              </w:rPr>
              <w:lastRenderedPageBreak/>
              <w:t>правочинами потребує здійснення депозитарних операцій на рахунках депозитарних установ;</w:t>
            </w:r>
          </w:p>
          <w:p w14:paraId="5DB1F974"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2) депозитарними установами депозитарних операцій, необхідних для проведення розрахунків за правочинами щодо цінних паперів, на рахунках власників цінних паперів - у разі, якщо проведення розрахунків за правочинами не потребує здійснення депозитарних операцій на рахунках депозитарних установ.</w:t>
            </w:r>
          </w:p>
          <w:p w14:paraId="0FBBCDC1"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Центральний депозитарій та Національний банк України відповідно до компетенції, встановленої цим Законом, повідомляють особу, яка провадить клірингову діяльність, про факт завершення розрахунків за правочинами щодо цінних паперів у порядку та в строки, що встановлені Комісією.</w:t>
            </w:r>
          </w:p>
          <w:p w14:paraId="32D12D32" w14:textId="77777777" w:rsidR="008F1775" w:rsidRPr="00286216" w:rsidRDefault="008F1775" w:rsidP="008F1775">
            <w:pPr>
              <w:pStyle w:val="StyleProp"/>
              <w:spacing w:line="190" w:lineRule="exact"/>
              <w:rPr>
                <w:color w:val="000000" w:themeColor="text1"/>
                <w:spacing w:val="-1"/>
                <w:szCs w:val="18"/>
              </w:rPr>
            </w:pPr>
            <w:r w:rsidRPr="00286216">
              <w:rPr>
                <w:color w:val="000000" w:themeColor="text1"/>
                <w:spacing w:val="-1"/>
                <w:szCs w:val="18"/>
              </w:rPr>
              <w:t>Депозитарні установи за результатами завершення розрахунків зобов’язані відобразити в системі депозитарного обліку перехід прав власності на цінні папери та прав за цінними паперами, а також обмеження прав на цінні папери у порядку та строки, встановлені Комісією.</w:t>
            </w:r>
          </w:p>
          <w:p w14:paraId="1DBFA6F7" w14:textId="77777777" w:rsidR="008F1775" w:rsidRPr="00286216" w:rsidRDefault="008F1775" w:rsidP="008F1775">
            <w:pPr>
              <w:pStyle w:val="StyleProp"/>
              <w:spacing w:line="190" w:lineRule="exact"/>
              <w:rPr>
                <w:color w:val="000000" w:themeColor="text1"/>
                <w:spacing w:val="-2"/>
                <w:szCs w:val="18"/>
              </w:rPr>
            </w:pPr>
            <w:r w:rsidRPr="00286216">
              <w:rPr>
                <w:color w:val="000000" w:themeColor="text1"/>
                <w:spacing w:val="-2"/>
                <w:szCs w:val="18"/>
              </w:rPr>
              <w:t>Порядок здійснення розрахунків для цінних паперів, облік яких відповідно до компетенції, встановленої цим Законом, здійснюється Центральним депозитарієм, встановлюється Національною комісією з цінних паперів та фондового ринку. Порядок здійснення розрахунків для цінних паперів, облік яких відповідно до компетенції, встановленої цим Законом, здійснюється Національним банком України, встановлюється Національним банком України за погодженням з Національною комісією з цінних паперів та фондового ринку».</w:t>
            </w:r>
          </w:p>
          <w:p w14:paraId="5C75165D" w14:textId="6A6CD4F1" w:rsidR="008F1775" w:rsidRPr="00286216" w:rsidRDefault="008F1775" w:rsidP="008F1775">
            <w:pPr>
              <w:pStyle w:val="StyleProp"/>
              <w:spacing w:line="190" w:lineRule="exact"/>
              <w:rPr>
                <w:color w:val="000000" w:themeColor="text1"/>
                <w:spacing w:val="-2"/>
                <w:szCs w:val="18"/>
              </w:rPr>
            </w:pPr>
            <w:r w:rsidRPr="00286216">
              <w:rPr>
                <w:color w:val="000000" w:themeColor="text1"/>
                <w:spacing w:val="-2"/>
                <w:szCs w:val="18"/>
              </w:rPr>
              <w:t>У зв’язку з цим доповнити пункт 1 розділу 4 підпунктом щодо набрання чинності цими змінами з дня, наступного за днем опублікування цього Закону.</w:t>
            </w:r>
          </w:p>
        </w:tc>
        <w:tc>
          <w:tcPr>
            <w:tcW w:w="1987" w:type="dxa"/>
          </w:tcPr>
          <w:p w14:paraId="12E7D650" w14:textId="77777777" w:rsidR="008F1775" w:rsidRPr="00286216" w:rsidRDefault="008F1775" w:rsidP="008F1775">
            <w:pPr>
              <w:pStyle w:val="StyleWisnow"/>
              <w:rPr>
                <w:color w:val="000000" w:themeColor="text1"/>
              </w:rPr>
            </w:pPr>
            <w:r w:rsidRPr="00286216">
              <w:rPr>
                <w:color w:val="000000" w:themeColor="text1"/>
              </w:rPr>
              <w:lastRenderedPageBreak/>
              <w:t>Враховано</w:t>
            </w:r>
          </w:p>
          <w:p w14:paraId="63157D72" w14:textId="77777777" w:rsidR="008F1775" w:rsidRPr="00286216" w:rsidRDefault="008F1775" w:rsidP="008F1775">
            <w:pPr>
              <w:pStyle w:val="StyleWisnow"/>
              <w:rPr>
                <w:color w:val="000000" w:themeColor="text1"/>
              </w:rPr>
            </w:pPr>
          </w:p>
        </w:tc>
        <w:tc>
          <w:tcPr>
            <w:tcW w:w="4818" w:type="dxa"/>
          </w:tcPr>
          <w:p w14:paraId="2B08FEC8" w14:textId="77777777" w:rsidR="008F1775" w:rsidRPr="00286216" w:rsidRDefault="008F1775" w:rsidP="008F1775">
            <w:pPr>
              <w:pStyle w:val="StyleZakonu"/>
              <w:rPr>
                <w:color w:val="000000" w:themeColor="text1"/>
              </w:rPr>
            </w:pPr>
            <w:r w:rsidRPr="00286216">
              <w:rPr>
                <w:color w:val="000000" w:themeColor="text1"/>
              </w:rPr>
              <w:t>абзаци сьомий-десятий замінити дев’ятьма абзацами такого змісту:</w:t>
            </w:r>
          </w:p>
          <w:p w14:paraId="13230907" w14:textId="77777777" w:rsidR="008F1775" w:rsidRPr="00286216" w:rsidRDefault="008F1775" w:rsidP="008F1775">
            <w:pPr>
              <w:pStyle w:val="StyleZakonu"/>
              <w:rPr>
                <w:color w:val="000000" w:themeColor="text1"/>
              </w:rPr>
            </w:pPr>
            <w:r w:rsidRPr="00286216">
              <w:rPr>
                <w:color w:val="000000" w:themeColor="text1"/>
              </w:rPr>
              <w:t>"Розрахунки за правочинами щодо цінних паперів з дотриманням принципу «поставка цінних паперів проти оплати», вважаються завершеними після здійснення:</w:t>
            </w:r>
          </w:p>
          <w:p w14:paraId="421DFC84" w14:textId="77777777" w:rsidR="008F1775" w:rsidRPr="00286216" w:rsidRDefault="008F1775" w:rsidP="008F1775">
            <w:pPr>
              <w:pStyle w:val="StyleZakonu"/>
              <w:rPr>
                <w:color w:val="000000" w:themeColor="text1"/>
              </w:rPr>
            </w:pPr>
            <w:r w:rsidRPr="00286216">
              <w:rPr>
                <w:color w:val="000000" w:themeColor="text1"/>
              </w:rPr>
              <w:t>1) Центральним депозитарієм або Національним банком України відповідно до компетенції, встановленої цим Законом, депозитарних операцій за результатами розрахунків за правочинами щодо цінних паперів на рахунках депозитарних установ - у разі, якщо проведення розрахунків за правочинами потребує здійснення депозитарних операцій на рахунках депозитарних установ;</w:t>
            </w:r>
          </w:p>
          <w:p w14:paraId="136D212B" w14:textId="77777777" w:rsidR="008F1775" w:rsidRPr="00286216" w:rsidRDefault="008F1775" w:rsidP="008F1775">
            <w:pPr>
              <w:pStyle w:val="StyleZakonu"/>
              <w:rPr>
                <w:color w:val="000000" w:themeColor="text1"/>
              </w:rPr>
            </w:pPr>
            <w:r w:rsidRPr="00286216">
              <w:rPr>
                <w:color w:val="000000" w:themeColor="text1"/>
              </w:rPr>
              <w:t xml:space="preserve">2) Центральним депозитарієм або Національним банком України направлення розпорядження та/або повідомлення (інформації) про вчинені правочини щодо цінних паперів депозитарним установам для проведення ними відповідних депозитарних операцій на рахунках власників цінних паперів </w:t>
            </w:r>
            <w:r w:rsidRPr="00286216">
              <w:rPr>
                <w:color w:val="000000" w:themeColor="text1"/>
                <w:szCs w:val="18"/>
              </w:rPr>
              <w:t>та/або номінальних утримувачів</w:t>
            </w:r>
            <w:r w:rsidRPr="00286216">
              <w:rPr>
                <w:color w:val="000000" w:themeColor="text1"/>
              </w:rPr>
              <w:t xml:space="preserve"> - у разі, якщо проведення розрахунків за правочинами не потребує здійснення депозитарних операцій на рахунках депозитарних установ.</w:t>
            </w:r>
          </w:p>
          <w:p w14:paraId="5C9E3C3F" w14:textId="77777777" w:rsidR="008F1775" w:rsidRPr="00286216" w:rsidRDefault="008F1775" w:rsidP="008F1775">
            <w:pPr>
              <w:pStyle w:val="StyleZakonu"/>
              <w:rPr>
                <w:color w:val="000000" w:themeColor="text1"/>
              </w:rPr>
            </w:pPr>
            <w:r w:rsidRPr="00286216">
              <w:rPr>
                <w:color w:val="000000" w:themeColor="text1"/>
              </w:rPr>
              <w:t>Розрахунки за правочинами щодо цінних паперів без дотримання принципу «поставка цінних паперів проти оплати» вважаються завершеними після здійснення:</w:t>
            </w:r>
          </w:p>
          <w:p w14:paraId="3D7A1D9F" w14:textId="77777777" w:rsidR="008F1775" w:rsidRPr="00286216" w:rsidRDefault="008F1775" w:rsidP="008F1775">
            <w:pPr>
              <w:pStyle w:val="StyleZakonu"/>
              <w:rPr>
                <w:color w:val="000000" w:themeColor="text1"/>
              </w:rPr>
            </w:pPr>
            <w:r w:rsidRPr="00286216">
              <w:rPr>
                <w:color w:val="000000" w:themeColor="text1"/>
              </w:rPr>
              <w:t xml:space="preserve">1) Центральним депозитарієм або Національним банком України відповідно до компетенції, встановленої цим Законом, депозитарних операцій за результатами розрахунків за правочинами щодо цінних паперів на рахунках депозитарних установ - у разі, якщо проведення розрахунків за правочинами </w:t>
            </w:r>
            <w:r w:rsidRPr="00286216">
              <w:rPr>
                <w:color w:val="000000" w:themeColor="text1"/>
              </w:rPr>
              <w:lastRenderedPageBreak/>
              <w:t>потребує здійснення депозитарних операцій на рахунках депозитарних установ;</w:t>
            </w:r>
          </w:p>
          <w:p w14:paraId="10CF2359" w14:textId="77777777" w:rsidR="008F1775" w:rsidRPr="00286216" w:rsidRDefault="008F1775" w:rsidP="008F1775">
            <w:pPr>
              <w:pStyle w:val="StyleZakonu"/>
              <w:rPr>
                <w:color w:val="000000" w:themeColor="text1"/>
              </w:rPr>
            </w:pPr>
            <w:r w:rsidRPr="00286216">
              <w:rPr>
                <w:color w:val="000000" w:themeColor="text1"/>
              </w:rPr>
              <w:t xml:space="preserve">2) депозитарними установами депозитарних операцій, необхідних для проведення розрахунків за правочинами щодо цінних паперів, на рахунках власників цінних паперів </w:t>
            </w:r>
            <w:r w:rsidRPr="00286216">
              <w:rPr>
                <w:color w:val="000000" w:themeColor="text1"/>
                <w:szCs w:val="18"/>
              </w:rPr>
              <w:t>та/або номінальних утримувачів</w:t>
            </w:r>
            <w:r w:rsidRPr="00286216">
              <w:rPr>
                <w:color w:val="000000" w:themeColor="text1"/>
              </w:rPr>
              <w:t xml:space="preserve"> - у разі, якщо проведення розрахунків за правочинами не потребує здійснення депозитарних операцій на рахунках депозитарних установ.</w:t>
            </w:r>
          </w:p>
          <w:p w14:paraId="758BC4DA" w14:textId="7495EA9E" w:rsidR="008F1775" w:rsidRPr="00286216" w:rsidRDefault="008F1775" w:rsidP="008F1775">
            <w:pPr>
              <w:pStyle w:val="StyleZakonu"/>
              <w:rPr>
                <w:color w:val="000000" w:themeColor="text1"/>
              </w:rPr>
            </w:pPr>
            <w:r w:rsidRPr="00286216">
              <w:rPr>
                <w:color w:val="000000" w:themeColor="text1"/>
              </w:rPr>
              <w:t>Центральний депозитарій та Національний банк України відповідно до компетенції, встановленої цим Законом, повідомляють особу, яка провадить клірингову діяльність, про факт завершення розрахунків за правочинами щодо цінних паперів у порядку та строки, що встановлені Комісією.</w:t>
            </w:r>
          </w:p>
          <w:p w14:paraId="0E0BCFE4" w14:textId="77777777" w:rsidR="008F1775" w:rsidRPr="00286216" w:rsidRDefault="008F1775" w:rsidP="008F1775">
            <w:pPr>
              <w:pStyle w:val="StyleZakonu"/>
              <w:rPr>
                <w:color w:val="000000" w:themeColor="text1"/>
              </w:rPr>
            </w:pPr>
            <w:r w:rsidRPr="00286216">
              <w:rPr>
                <w:color w:val="000000" w:themeColor="text1"/>
              </w:rPr>
              <w:t>Депозитарні установи за результатами завершення розрахунків зобов’язані відобразити в системі депозитарного обліку перехід прав власності на цінні папери та прав за цінними паперами, а також обмеження прав на цінні папери у порядку та строки, встановлені Комісією.</w:t>
            </w:r>
          </w:p>
          <w:p w14:paraId="7633187E" w14:textId="3656A4BD" w:rsidR="008F1775" w:rsidRPr="00286216" w:rsidRDefault="008F1775" w:rsidP="008F1775">
            <w:pPr>
              <w:pStyle w:val="StyleZakonu"/>
              <w:rPr>
                <w:color w:val="000000" w:themeColor="text1"/>
              </w:rPr>
            </w:pPr>
            <w:r w:rsidRPr="00286216">
              <w:rPr>
                <w:color w:val="000000" w:themeColor="text1"/>
              </w:rPr>
              <w:t>Порядок здійснення розрахунків для цінних паперів, облік яких відповідно до компетенції, встановленої цим Законом, здійснюється Центральним депозитарієм, встановлюється Національною комісією з цінних паперів та фондового ринку. Порядок здійснення розрахунків для цінних паперів, облік яких відповідно до компетенції, встановленої цим Законом, здійснюється Національним банком України, встановлюється Національним банком України за погодженням з Національною комісією з цінних паперів та фондового ринку".</w:t>
            </w:r>
          </w:p>
          <w:p w14:paraId="1934CFAA" w14:textId="213FA298" w:rsidR="008F1775" w:rsidRPr="00286216" w:rsidRDefault="008F1775" w:rsidP="008F1775">
            <w:pPr>
              <w:pStyle w:val="StyleZakonu"/>
              <w:rPr>
                <w:color w:val="000000" w:themeColor="text1"/>
              </w:rPr>
            </w:pPr>
            <w:r w:rsidRPr="00286216">
              <w:rPr>
                <w:color w:val="000000" w:themeColor="text1"/>
              </w:rPr>
              <w:t>У зв’язку з цим абзац одинадцятий вважати абзацом шістнадцятим;</w:t>
            </w:r>
          </w:p>
        </w:tc>
      </w:tr>
      <w:tr w:rsidR="008F1775" w:rsidRPr="00286216" w14:paraId="396EA8E0" w14:textId="77777777" w:rsidTr="00091AA5">
        <w:tc>
          <w:tcPr>
            <w:tcW w:w="576" w:type="dxa"/>
          </w:tcPr>
          <w:p w14:paraId="5B19AD66" w14:textId="77777777" w:rsidR="008F1775" w:rsidRPr="00286216" w:rsidRDefault="008F1775" w:rsidP="008F1775">
            <w:pPr>
              <w:pStyle w:val="StyleWisnow"/>
              <w:rPr>
                <w:color w:val="000000" w:themeColor="text1"/>
              </w:rPr>
            </w:pPr>
            <w:bookmarkStart w:id="3680" w:name="n3811" w:colFirst="0" w:colLast="0"/>
            <w:bookmarkEnd w:id="3679"/>
            <w:r w:rsidRPr="00286216">
              <w:rPr>
                <w:color w:val="000000" w:themeColor="text1"/>
              </w:rPr>
              <w:lastRenderedPageBreak/>
              <w:t>3811.</w:t>
            </w:r>
          </w:p>
        </w:tc>
        <w:tc>
          <w:tcPr>
            <w:tcW w:w="4818" w:type="dxa"/>
          </w:tcPr>
          <w:p w14:paraId="031E063D" w14:textId="77777777" w:rsidR="008F1775" w:rsidRPr="00286216" w:rsidRDefault="008F1775" w:rsidP="008F1775">
            <w:pPr>
              <w:pStyle w:val="StyleZakonu"/>
              <w:rPr>
                <w:color w:val="000000" w:themeColor="text1"/>
              </w:rPr>
            </w:pPr>
            <w:r w:rsidRPr="00286216">
              <w:rPr>
                <w:color w:val="000000" w:themeColor="text1"/>
              </w:rPr>
              <w:t>в) у частині другій слова "кліринговими установами та/або Розрахунковим центром" замінити словами "особами, які провадять клірингову діяльність";</w:t>
            </w:r>
          </w:p>
        </w:tc>
        <w:tc>
          <w:tcPr>
            <w:tcW w:w="3686" w:type="dxa"/>
          </w:tcPr>
          <w:p w14:paraId="31E20004" w14:textId="77777777" w:rsidR="008F1775" w:rsidRPr="00286216" w:rsidRDefault="008F1775" w:rsidP="008F1775">
            <w:pPr>
              <w:pStyle w:val="StyleProp"/>
              <w:rPr>
                <w:color w:val="000000" w:themeColor="text1"/>
                <w:szCs w:val="18"/>
              </w:rPr>
            </w:pPr>
          </w:p>
        </w:tc>
        <w:tc>
          <w:tcPr>
            <w:tcW w:w="1987" w:type="dxa"/>
          </w:tcPr>
          <w:p w14:paraId="46277997" w14:textId="77777777" w:rsidR="008F1775" w:rsidRPr="00286216" w:rsidRDefault="008F1775" w:rsidP="008F1775">
            <w:pPr>
              <w:pStyle w:val="StyleWisnow"/>
              <w:rPr>
                <w:color w:val="000000" w:themeColor="text1"/>
              </w:rPr>
            </w:pPr>
          </w:p>
        </w:tc>
        <w:tc>
          <w:tcPr>
            <w:tcW w:w="4818" w:type="dxa"/>
          </w:tcPr>
          <w:p w14:paraId="7370620E" w14:textId="34FAAB85" w:rsidR="008F1775" w:rsidRPr="00286216" w:rsidRDefault="008F1775" w:rsidP="008F1775">
            <w:pPr>
              <w:pStyle w:val="StyleZakonu"/>
              <w:rPr>
                <w:color w:val="000000" w:themeColor="text1"/>
              </w:rPr>
            </w:pPr>
            <w:r w:rsidRPr="00286216">
              <w:rPr>
                <w:color w:val="000000" w:themeColor="text1"/>
              </w:rPr>
              <w:t>б) у частині другій слова "кліринговими установами та/або Розрахунковим центром" замінити словами "особами, які провадять клірингову діяльність";</w:t>
            </w:r>
          </w:p>
        </w:tc>
      </w:tr>
      <w:tr w:rsidR="008F1775" w:rsidRPr="00286216" w14:paraId="70C2BEE4" w14:textId="77777777" w:rsidTr="00091AA5">
        <w:tc>
          <w:tcPr>
            <w:tcW w:w="576" w:type="dxa"/>
          </w:tcPr>
          <w:p w14:paraId="65516187" w14:textId="77777777" w:rsidR="008F1775" w:rsidRPr="00286216" w:rsidRDefault="008F1775" w:rsidP="008F1775">
            <w:pPr>
              <w:pStyle w:val="StyleWisnow"/>
              <w:rPr>
                <w:color w:val="000000" w:themeColor="text1"/>
              </w:rPr>
            </w:pPr>
            <w:bookmarkStart w:id="3681" w:name="n3812" w:colFirst="0" w:colLast="0"/>
            <w:bookmarkEnd w:id="3680"/>
            <w:r w:rsidRPr="00286216">
              <w:rPr>
                <w:color w:val="000000" w:themeColor="text1"/>
              </w:rPr>
              <w:t>3812.</w:t>
            </w:r>
          </w:p>
        </w:tc>
        <w:tc>
          <w:tcPr>
            <w:tcW w:w="4818" w:type="dxa"/>
          </w:tcPr>
          <w:p w14:paraId="7E17752B" w14:textId="77777777" w:rsidR="008F1775" w:rsidRPr="00286216" w:rsidRDefault="008F1775" w:rsidP="008F1775">
            <w:pPr>
              <w:pStyle w:val="StyleZakonu"/>
              <w:rPr>
                <w:color w:val="000000" w:themeColor="text1"/>
              </w:rPr>
            </w:pPr>
            <w:r w:rsidRPr="00286216">
              <w:rPr>
                <w:color w:val="000000" w:themeColor="text1"/>
              </w:rPr>
              <w:t>г) у частині третій слова "Розрахунковим центром" замінити словами "особою, яка провадить клірингову діяльність";</w:t>
            </w:r>
          </w:p>
        </w:tc>
        <w:tc>
          <w:tcPr>
            <w:tcW w:w="3686" w:type="dxa"/>
          </w:tcPr>
          <w:p w14:paraId="64F6FFDC" w14:textId="77777777" w:rsidR="008F1775" w:rsidRPr="00286216" w:rsidRDefault="008F1775" w:rsidP="008F1775">
            <w:pPr>
              <w:pStyle w:val="StyleProp"/>
              <w:rPr>
                <w:color w:val="000000" w:themeColor="text1"/>
                <w:szCs w:val="18"/>
              </w:rPr>
            </w:pPr>
          </w:p>
        </w:tc>
        <w:tc>
          <w:tcPr>
            <w:tcW w:w="1987" w:type="dxa"/>
          </w:tcPr>
          <w:p w14:paraId="72C283E5" w14:textId="77777777" w:rsidR="008F1775" w:rsidRPr="00286216" w:rsidRDefault="008F1775" w:rsidP="008F1775">
            <w:pPr>
              <w:pStyle w:val="StyleWisnow"/>
              <w:rPr>
                <w:color w:val="000000" w:themeColor="text1"/>
              </w:rPr>
            </w:pPr>
          </w:p>
        </w:tc>
        <w:tc>
          <w:tcPr>
            <w:tcW w:w="4818" w:type="dxa"/>
          </w:tcPr>
          <w:p w14:paraId="2B4AD464" w14:textId="0F92E463" w:rsidR="008F1775" w:rsidRPr="00286216" w:rsidRDefault="008F1775" w:rsidP="008F1775">
            <w:pPr>
              <w:pStyle w:val="StyleZakonu"/>
              <w:rPr>
                <w:color w:val="000000" w:themeColor="text1"/>
              </w:rPr>
            </w:pPr>
            <w:r w:rsidRPr="00286216">
              <w:rPr>
                <w:color w:val="000000" w:themeColor="text1"/>
              </w:rPr>
              <w:t>в) у частині третій слова "Розрахунковим центром" замінити словами "особою, яка провадить клірингову діяльність";</w:t>
            </w:r>
          </w:p>
        </w:tc>
      </w:tr>
      <w:tr w:rsidR="008F1775" w:rsidRPr="00286216" w14:paraId="2B810D2A" w14:textId="77777777" w:rsidTr="00091AA5">
        <w:tc>
          <w:tcPr>
            <w:tcW w:w="576" w:type="dxa"/>
          </w:tcPr>
          <w:p w14:paraId="7A22245D" w14:textId="77777777" w:rsidR="008F1775" w:rsidRPr="00286216" w:rsidRDefault="008F1775" w:rsidP="008F1775">
            <w:pPr>
              <w:pStyle w:val="StyleWisnow"/>
              <w:rPr>
                <w:color w:val="000000" w:themeColor="text1"/>
              </w:rPr>
            </w:pPr>
            <w:bookmarkStart w:id="3682" w:name="n3813" w:colFirst="0" w:colLast="0"/>
            <w:bookmarkEnd w:id="3681"/>
            <w:r w:rsidRPr="00286216">
              <w:rPr>
                <w:color w:val="000000" w:themeColor="text1"/>
              </w:rPr>
              <w:t>3813.</w:t>
            </w:r>
          </w:p>
        </w:tc>
        <w:tc>
          <w:tcPr>
            <w:tcW w:w="4818" w:type="dxa"/>
          </w:tcPr>
          <w:p w14:paraId="0ADA0796" w14:textId="77777777" w:rsidR="008F1775" w:rsidRPr="00286216" w:rsidRDefault="008F1775" w:rsidP="008F1775">
            <w:pPr>
              <w:pStyle w:val="StyleZakonu"/>
              <w:rPr>
                <w:color w:val="000000" w:themeColor="text1"/>
              </w:rPr>
            </w:pPr>
            <w:r w:rsidRPr="00286216">
              <w:rPr>
                <w:color w:val="000000" w:themeColor="text1"/>
              </w:rPr>
              <w:t>ґ) частину четверту викласти в такій редакції:</w:t>
            </w:r>
          </w:p>
        </w:tc>
        <w:tc>
          <w:tcPr>
            <w:tcW w:w="3686" w:type="dxa"/>
          </w:tcPr>
          <w:p w14:paraId="6961CC72" w14:textId="77777777" w:rsidR="008F1775" w:rsidRPr="00286216" w:rsidRDefault="008F1775" w:rsidP="008F1775">
            <w:pPr>
              <w:pStyle w:val="StyleProp"/>
              <w:rPr>
                <w:color w:val="000000" w:themeColor="text1"/>
                <w:szCs w:val="18"/>
              </w:rPr>
            </w:pPr>
          </w:p>
        </w:tc>
        <w:tc>
          <w:tcPr>
            <w:tcW w:w="1987" w:type="dxa"/>
          </w:tcPr>
          <w:p w14:paraId="67ED3224" w14:textId="77777777" w:rsidR="008F1775" w:rsidRPr="00286216" w:rsidRDefault="008F1775" w:rsidP="008F1775">
            <w:pPr>
              <w:pStyle w:val="StyleWisnow"/>
              <w:rPr>
                <w:color w:val="000000" w:themeColor="text1"/>
              </w:rPr>
            </w:pPr>
          </w:p>
        </w:tc>
        <w:tc>
          <w:tcPr>
            <w:tcW w:w="4818" w:type="dxa"/>
          </w:tcPr>
          <w:p w14:paraId="11A96B2B" w14:textId="11505FFE" w:rsidR="008F1775" w:rsidRPr="00286216" w:rsidRDefault="008F1775" w:rsidP="008F1775">
            <w:pPr>
              <w:pStyle w:val="StyleZakonu"/>
              <w:rPr>
                <w:color w:val="000000" w:themeColor="text1"/>
              </w:rPr>
            </w:pPr>
            <w:r w:rsidRPr="00286216">
              <w:rPr>
                <w:color w:val="000000" w:themeColor="text1"/>
              </w:rPr>
              <w:t>г) частину четверту викласти в такій редакції:</w:t>
            </w:r>
          </w:p>
        </w:tc>
      </w:tr>
      <w:tr w:rsidR="008F1775" w:rsidRPr="00286216" w14:paraId="788C9160" w14:textId="77777777" w:rsidTr="00091AA5">
        <w:tc>
          <w:tcPr>
            <w:tcW w:w="576" w:type="dxa"/>
          </w:tcPr>
          <w:p w14:paraId="10E2D51C" w14:textId="77777777" w:rsidR="008F1775" w:rsidRPr="00286216" w:rsidRDefault="008F1775" w:rsidP="008F1775">
            <w:pPr>
              <w:pStyle w:val="StyleWisnow"/>
              <w:rPr>
                <w:color w:val="000000" w:themeColor="text1"/>
              </w:rPr>
            </w:pPr>
            <w:bookmarkStart w:id="3683" w:name="n3814" w:colFirst="0" w:colLast="0"/>
            <w:bookmarkEnd w:id="3682"/>
            <w:r w:rsidRPr="00286216">
              <w:rPr>
                <w:color w:val="000000" w:themeColor="text1"/>
              </w:rPr>
              <w:lastRenderedPageBreak/>
              <w:t>3814.</w:t>
            </w:r>
          </w:p>
        </w:tc>
        <w:tc>
          <w:tcPr>
            <w:tcW w:w="4818" w:type="dxa"/>
          </w:tcPr>
          <w:p w14:paraId="69164645" w14:textId="77777777" w:rsidR="008F1775" w:rsidRPr="00286216" w:rsidRDefault="008F1775" w:rsidP="008F1775">
            <w:pPr>
              <w:pStyle w:val="StyleZakonu"/>
              <w:rPr>
                <w:color w:val="000000" w:themeColor="text1"/>
              </w:rPr>
            </w:pPr>
            <w:r w:rsidRPr="00286216">
              <w:rPr>
                <w:color w:val="000000" w:themeColor="text1"/>
              </w:rPr>
              <w:t>"4.Особи, які провадять клірингову діяльність та Центральний депозитарій та/або Національний банк України за договорами щодо цінних паперів, укладеними на організованих ринках капіталу та поза організованими ринками капіталу з дотриманням принципу "поставка цінних паперів проти оплати", забезпечують дотримання такого принципу.";</w:t>
            </w:r>
          </w:p>
        </w:tc>
        <w:tc>
          <w:tcPr>
            <w:tcW w:w="3686" w:type="dxa"/>
          </w:tcPr>
          <w:p w14:paraId="1692C0A0" w14:textId="77777777" w:rsidR="008F1775" w:rsidRPr="00286216" w:rsidRDefault="008F1775" w:rsidP="008F1775">
            <w:pPr>
              <w:pStyle w:val="StyleProp"/>
              <w:rPr>
                <w:color w:val="000000" w:themeColor="text1"/>
                <w:szCs w:val="18"/>
              </w:rPr>
            </w:pPr>
          </w:p>
        </w:tc>
        <w:tc>
          <w:tcPr>
            <w:tcW w:w="1987" w:type="dxa"/>
          </w:tcPr>
          <w:p w14:paraId="16F481C2" w14:textId="77777777" w:rsidR="008F1775" w:rsidRPr="00286216" w:rsidRDefault="008F1775" w:rsidP="008F1775">
            <w:pPr>
              <w:pStyle w:val="StyleWisnow"/>
              <w:rPr>
                <w:color w:val="000000" w:themeColor="text1"/>
              </w:rPr>
            </w:pPr>
          </w:p>
        </w:tc>
        <w:tc>
          <w:tcPr>
            <w:tcW w:w="4818" w:type="dxa"/>
          </w:tcPr>
          <w:p w14:paraId="3D22BBD4" w14:textId="56BA1F3F" w:rsidR="008F1775" w:rsidRPr="00286216" w:rsidRDefault="008F1775" w:rsidP="008F1775">
            <w:pPr>
              <w:pStyle w:val="StyleZakonu"/>
              <w:rPr>
                <w:color w:val="000000" w:themeColor="text1"/>
              </w:rPr>
            </w:pPr>
            <w:r w:rsidRPr="00286216">
              <w:rPr>
                <w:color w:val="000000" w:themeColor="text1"/>
              </w:rPr>
              <w:t>"4.Особи, які провадять клірингову діяльність, та Центральний депозитарій та/або Національний банк України за договорами щодо цінних паперів, укладеними на організованих ринках капіталу та поза організованими ринками капіталу з дотриманням принципу "поставка цінних паперів проти оплати", забезпечують дотримання такого принципу";</w:t>
            </w:r>
          </w:p>
        </w:tc>
      </w:tr>
      <w:tr w:rsidR="008F1775" w:rsidRPr="00286216" w14:paraId="7B05F168" w14:textId="77777777" w:rsidTr="00091AA5">
        <w:tc>
          <w:tcPr>
            <w:tcW w:w="576" w:type="dxa"/>
          </w:tcPr>
          <w:p w14:paraId="43B1F627" w14:textId="77777777" w:rsidR="008F1775" w:rsidRPr="00286216" w:rsidRDefault="008F1775" w:rsidP="008F1775">
            <w:pPr>
              <w:pStyle w:val="StyleWisnow"/>
              <w:rPr>
                <w:color w:val="000000" w:themeColor="text1"/>
              </w:rPr>
            </w:pPr>
            <w:bookmarkStart w:id="3684" w:name="n3815" w:colFirst="0" w:colLast="0"/>
            <w:bookmarkEnd w:id="3683"/>
            <w:r w:rsidRPr="00286216">
              <w:rPr>
                <w:color w:val="000000" w:themeColor="text1"/>
              </w:rPr>
              <w:t>3815.</w:t>
            </w:r>
          </w:p>
        </w:tc>
        <w:tc>
          <w:tcPr>
            <w:tcW w:w="4818" w:type="dxa"/>
          </w:tcPr>
          <w:p w14:paraId="1D3D0DC3" w14:textId="77777777" w:rsidR="008F1775" w:rsidRPr="00286216" w:rsidRDefault="008F1775" w:rsidP="008F1775">
            <w:pPr>
              <w:pStyle w:val="StyleZakonu"/>
              <w:rPr>
                <w:color w:val="000000" w:themeColor="text1"/>
              </w:rPr>
            </w:pPr>
            <w:r w:rsidRPr="00286216">
              <w:rPr>
                <w:color w:val="000000" w:themeColor="text1"/>
              </w:rPr>
              <w:t>д) частину п’яту викласти в такій редакції:</w:t>
            </w:r>
          </w:p>
        </w:tc>
        <w:tc>
          <w:tcPr>
            <w:tcW w:w="3686" w:type="dxa"/>
          </w:tcPr>
          <w:p w14:paraId="4A45B247" w14:textId="77777777" w:rsidR="008F1775" w:rsidRPr="00286216" w:rsidRDefault="008F1775" w:rsidP="008F1775">
            <w:pPr>
              <w:pStyle w:val="StyleProp"/>
              <w:rPr>
                <w:color w:val="000000" w:themeColor="text1"/>
                <w:szCs w:val="18"/>
              </w:rPr>
            </w:pPr>
          </w:p>
        </w:tc>
        <w:tc>
          <w:tcPr>
            <w:tcW w:w="1987" w:type="dxa"/>
          </w:tcPr>
          <w:p w14:paraId="6ED52FB9" w14:textId="77777777" w:rsidR="008F1775" w:rsidRPr="00286216" w:rsidRDefault="008F1775" w:rsidP="008F1775">
            <w:pPr>
              <w:pStyle w:val="StyleWisnow"/>
              <w:rPr>
                <w:color w:val="000000" w:themeColor="text1"/>
              </w:rPr>
            </w:pPr>
          </w:p>
        </w:tc>
        <w:tc>
          <w:tcPr>
            <w:tcW w:w="4818" w:type="dxa"/>
          </w:tcPr>
          <w:p w14:paraId="0394B58F" w14:textId="549367E1" w:rsidR="008F1775" w:rsidRPr="00286216" w:rsidRDefault="008F1775" w:rsidP="008F1775">
            <w:pPr>
              <w:pStyle w:val="StyleZakonu"/>
              <w:rPr>
                <w:color w:val="000000" w:themeColor="text1"/>
              </w:rPr>
            </w:pPr>
            <w:r w:rsidRPr="00286216">
              <w:rPr>
                <w:color w:val="000000" w:themeColor="text1"/>
              </w:rPr>
              <w:t>ґ) частини п’яту  і 8 викласти в такій редакції:</w:t>
            </w:r>
          </w:p>
        </w:tc>
      </w:tr>
      <w:tr w:rsidR="008F1775" w:rsidRPr="00286216" w14:paraId="0804564E" w14:textId="77777777" w:rsidTr="00091AA5">
        <w:tc>
          <w:tcPr>
            <w:tcW w:w="576" w:type="dxa"/>
          </w:tcPr>
          <w:p w14:paraId="2E0B2768" w14:textId="77777777" w:rsidR="008F1775" w:rsidRPr="00286216" w:rsidRDefault="008F1775" w:rsidP="008F1775">
            <w:pPr>
              <w:pStyle w:val="StyleWisnow"/>
              <w:rPr>
                <w:color w:val="000000" w:themeColor="text1"/>
              </w:rPr>
            </w:pPr>
            <w:bookmarkStart w:id="3685" w:name="n3816" w:colFirst="0" w:colLast="0"/>
            <w:bookmarkEnd w:id="3684"/>
            <w:r w:rsidRPr="00286216">
              <w:rPr>
                <w:color w:val="000000" w:themeColor="text1"/>
              </w:rPr>
              <w:t>3816.</w:t>
            </w:r>
          </w:p>
        </w:tc>
        <w:tc>
          <w:tcPr>
            <w:tcW w:w="4818" w:type="dxa"/>
          </w:tcPr>
          <w:p w14:paraId="7CF387BC" w14:textId="77777777" w:rsidR="008F1775" w:rsidRPr="00286216" w:rsidRDefault="008F1775" w:rsidP="008F1775">
            <w:pPr>
              <w:pStyle w:val="StyleZakonu"/>
              <w:rPr>
                <w:color w:val="000000" w:themeColor="text1"/>
              </w:rPr>
            </w:pPr>
            <w:r w:rsidRPr="00286216">
              <w:rPr>
                <w:color w:val="000000" w:themeColor="text1"/>
              </w:rPr>
              <w:t>"5. Центральний депозитарій на підставі укладеного з емітентом договору забезпечує здійснення емітентом погашення боргових цінних паперів, виплати доходів за цінними паперами відповідно до компетенції щодо обліку цінних паперів, встановленої цим Законом, та коштів, які підлягають виплаті у процесі стягнення заборгованості з емітента відсоткових чи дисконтних корпоративних облігацій, іпотечних облігацій (крім структурованих іпотечних облігацій, якщо проспектом цінних паперів (рішенням про емісію цінних паперів) та/або договором про управління іпотечним покриттям не передбачений такий порядок виплати), особи, яка надає забезпечення за такими облігаціями, або в процедурі їх банкрутства або ліквідації, шляхом зарахування коштів, переказаних емітентом, коштів, які підлягають виплаті у процесі стягнення заборгованості з емітента відсоткових чи дисконтних корпоративних облігацій, іпотечних облігацій, особи, яка надає забезпечення за такими облігаціями, або в процедурі їх банкрутства або ліквідації, на рахунок, відкритий Центральним депозитарієм у Національному банку України, для подальшого переказу коштів з цього рахунка на рахунки отримувачів. Такі кошти не є власністю або доходами Центрального депозитарію та депозитаріїв-кореспондентів.</w:t>
            </w:r>
          </w:p>
        </w:tc>
        <w:tc>
          <w:tcPr>
            <w:tcW w:w="3686" w:type="dxa"/>
          </w:tcPr>
          <w:p w14:paraId="25AB3807" w14:textId="77777777" w:rsidR="008F1775" w:rsidRPr="00286216" w:rsidRDefault="008F1775" w:rsidP="008F1775">
            <w:pPr>
              <w:pStyle w:val="StyleProp"/>
              <w:rPr>
                <w:color w:val="000000" w:themeColor="text1"/>
                <w:szCs w:val="18"/>
              </w:rPr>
            </w:pPr>
          </w:p>
        </w:tc>
        <w:tc>
          <w:tcPr>
            <w:tcW w:w="1987" w:type="dxa"/>
          </w:tcPr>
          <w:p w14:paraId="34911A6B" w14:textId="77777777" w:rsidR="008F1775" w:rsidRPr="00286216" w:rsidRDefault="008F1775" w:rsidP="008F1775">
            <w:pPr>
              <w:pStyle w:val="StyleWisnow"/>
              <w:rPr>
                <w:color w:val="000000" w:themeColor="text1"/>
              </w:rPr>
            </w:pPr>
          </w:p>
        </w:tc>
        <w:tc>
          <w:tcPr>
            <w:tcW w:w="4818" w:type="dxa"/>
          </w:tcPr>
          <w:p w14:paraId="3DAF455A" w14:textId="449BB17D" w:rsidR="008F1775" w:rsidRPr="00286216" w:rsidRDefault="008F1775" w:rsidP="008F1775">
            <w:pPr>
              <w:pStyle w:val="StyleZakonu"/>
              <w:rPr>
                <w:color w:val="000000" w:themeColor="text1"/>
              </w:rPr>
            </w:pPr>
            <w:r w:rsidRPr="00286216">
              <w:rPr>
                <w:color w:val="000000" w:themeColor="text1"/>
              </w:rPr>
              <w:t>"5. Центральний депозитарій на підставі укладеного з емітентом договору забезпечує здійснення емітентом погашення боргових цінних паперів, виплати доходів за цінними паперами відповідно до компетенції щодо обліку цінних паперів, встановленої цим Законом, та коштів, які підлягають виплаті у процесі стягнення заборгованості з емітента відсоткових чи дисконтних корпоративних облігацій, іпотечних облігацій (крім структурованих іпотечних облігацій, якщо проспектом цінних паперів (рішенням про емісію цінних паперів) та/або договором про управління іпотечним покриттям не передбачений такий порядок виплати), особи, яка надає забезпечення за такими облігаціями, або в процедурі їх банкрутства або ліквідації, шляхом зарахування коштів, переказаних емітентом, коштів, які підлягають виплаті у процесі стягнення заборгованості з емітента відсоткових чи дисконтних корпоративних облігацій, іпотечних облігацій, особи, яка надає забезпечення за такими облігаціями, або в процедурі їх банкрутства або ліквідації, на рахунок, відкритий Центральним депозитарієм у Національному банку України, для подальшого переказу коштів з цього рахунка на рахунки отримувачів. Такі кошти не є власністю або доходами Центрального депозитарію та депозитаріїв-кореспондентів.</w:t>
            </w:r>
          </w:p>
        </w:tc>
      </w:tr>
      <w:tr w:rsidR="008F1775" w:rsidRPr="00286216" w14:paraId="69E8D119" w14:textId="77777777" w:rsidTr="00091AA5">
        <w:tc>
          <w:tcPr>
            <w:tcW w:w="576" w:type="dxa"/>
          </w:tcPr>
          <w:p w14:paraId="296FA230" w14:textId="77777777" w:rsidR="008F1775" w:rsidRPr="00286216" w:rsidRDefault="008F1775" w:rsidP="008F1775">
            <w:pPr>
              <w:pStyle w:val="StyleWisnow"/>
              <w:rPr>
                <w:color w:val="000000" w:themeColor="text1"/>
              </w:rPr>
            </w:pPr>
            <w:bookmarkStart w:id="3686" w:name="n3817" w:colFirst="0" w:colLast="0"/>
            <w:bookmarkEnd w:id="3685"/>
            <w:r w:rsidRPr="00286216">
              <w:rPr>
                <w:color w:val="000000" w:themeColor="text1"/>
              </w:rPr>
              <w:t>3817.</w:t>
            </w:r>
          </w:p>
        </w:tc>
        <w:tc>
          <w:tcPr>
            <w:tcW w:w="4818" w:type="dxa"/>
          </w:tcPr>
          <w:p w14:paraId="3AADD997" w14:textId="77777777" w:rsidR="008F1775" w:rsidRPr="00286216" w:rsidRDefault="008F1775" w:rsidP="008F1775">
            <w:pPr>
              <w:pStyle w:val="StyleZakonu"/>
              <w:rPr>
                <w:color w:val="000000" w:themeColor="text1"/>
              </w:rPr>
            </w:pPr>
            <w:r w:rsidRPr="00286216">
              <w:rPr>
                <w:color w:val="000000" w:themeColor="text1"/>
              </w:rPr>
              <w:t xml:space="preserve">Центральний депозитарій забезпечує здійснення емітентом погашення боргових цінних паперів, що обертаються за межами України, а також виплати доходів за цими цінними паперами відповідно до компетенції щодо обліку цінних паперів, встановленої цим Законом, шляхом зарахування коштів, переказаних з рахунків Центрального депозитарію, відкритих в іноземних фінансових установах, на рахунок, відкритий Центральним депозитарієм у Національному банку України, для подальшого </w:t>
            </w:r>
            <w:r w:rsidRPr="00286216">
              <w:rPr>
                <w:color w:val="000000" w:themeColor="text1"/>
              </w:rPr>
              <w:lastRenderedPageBreak/>
              <w:t>переказу коштів з цього рахунка на рахунки отримувачів. Такі кошти не є власністю або доходами Центрального депозитарію та депозитаріїв-кореспондентів.</w:t>
            </w:r>
          </w:p>
        </w:tc>
        <w:tc>
          <w:tcPr>
            <w:tcW w:w="3686" w:type="dxa"/>
          </w:tcPr>
          <w:p w14:paraId="3A813AA4" w14:textId="77777777" w:rsidR="008F1775" w:rsidRPr="00286216" w:rsidRDefault="008F1775" w:rsidP="008F1775">
            <w:pPr>
              <w:pStyle w:val="StyleProp"/>
              <w:rPr>
                <w:color w:val="000000" w:themeColor="text1"/>
                <w:szCs w:val="18"/>
              </w:rPr>
            </w:pPr>
          </w:p>
        </w:tc>
        <w:tc>
          <w:tcPr>
            <w:tcW w:w="1987" w:type="dxa"/>
          </w:tcPr>
          <w:p w14:paraId="0AB375AE" w14:textId="77777777" w:rsidR="008F1775" w:rsidRPr="00286216" w:rsidRDefault="008F1775" w:rsidP="008F1775">
            <w:pPr>
              <w:pStyle w:val="StyleWisnow"/>
              <w:rPr>
                <w:color w:val="000000" w:themeColor="text1"/>
              </w:rPr>
            </w:pPr>
          </w:p>
        </w:tc>
        <w:tc>
          <w:tcPr>
            <w:tcW w:w="4818" w:type="dxa"/>
          </w:tcPr>
          <w:p w14:paraId="21B64E5C" w14:textId="022B9EDC" w:rsidR="008F1775" w:rsidRPr="00286216" w:rsidRDefault="008F1775" w:rsidP="008F1775">
            <w:pPr>
              <w:pStyle w:val="StyleZakonu"/>
              <w:rPr>
                <w:color w:val="000000" w:themeColor="text1"/>
              </w:rPr>
            </w:pPr>
            <w:r w:rsidRPr="00286216">
              <w:rPr>
                <w:color w:val="000000" w:themeColor="text1"/>
              </w:rPr>
              <w:t xml:space="preserve">Центральний депозитарій забезпечує здійснення емітентом погашення боргових цінних паперів, що обертаються за межами України, а також виплати доходів за цими цінними паперами відповідно до компетенції щодо обліку цінних паперів, встановленої цим Законом, шляхом зарахування коштів, переказаних з рахунків Центрального депозитарію, відкритих в іноземних фінансових установах, на рахунок, відкритий Центральним депозитарієм у Національному банку України, для подальшого </w:t>
            </w:r>
            <w:r w:rsidRPr="00286216">
              <w:rPr>
                <w:color w:val="000000" w:themeColor="text1"/>
              </w:rPr>
              <w:lastRenderedPageBreak/>
              <w:t>переказу коштів з цього рахунка на рахунки отримувачів. Такі кошти не є власністю або доходами Центрального депозитарію та депозитаріїв-кореспондентів.</w:t>
            </w:r>
          </w:p>
        </w:tc>
      </w:tr>
      <w:tr w:rsidR="008F1775" w:rsidRPr="00286216" w14:paraId="7E767CFF" w14:textId="77777777" w:rsidTr="00091AA5">
        <w:tc>
          <w:tcPr>
            <w:tcW w:w="576" w:type="dxa"/>
          </w:tcPr>
          <w:p w14:paraId="23AA9655" w14:textId="77777777" w:rsidR="008F1775" w:rsidRPr="00286216" w:rsidRDefault="008F1775" w:rsidP="008F1775">
            <w:pPr>
              <w:pStyle w:val="StyleWisnow"/>
              <w:rPr>
                <w:color w:val="000000" w:themeColor="text1"/>
              </w:rPr>
            </w:pPr>
            <w:bookmarkStart w:id="3687" w:name="n3818" w:colFirst="0" w:colLast="0"/>
            <w:bookmarkEnd w:id="3686"/>
            <w:r w:rsidRPr="00286216">
              <w:rPr>
                <w:color w:val="000000" w:themeColor="text1"/>
              </w:rPr>
              <w:lastRenderedPageBreak/>
              <w:t>3818.</w:t>
            </w:r>
          </w:p>
        </w:tc>
        <w:tc>
          <w:tcPr>
            <w:tcW w:w="4818" w:type="dxa"/>
          </w:tcPr>
          <w:p w14:paraId="62560415" w14:textId="77777777" w:rsidR="008F1775" w:rsidRPr="00286216" w:rsidRDefault="008F1775" w:rsidP="008F1775">
            <w:pPr>
              <w:pStyle w:val="StyleZakonu"/>
              <w:rPr>
                <w:color w:val="000000" w:themeColor="text1"/>
              </w:rPr>
            </w:pPr>
            <w:r w:rsidRPr="00286216">
              <w:rPr>
                <w:color w:val="000000" w:themeColor="text1"/>
              </w:rPr>
              <w:t>Зарахування отриманих від емітентів коштів за цінними паперами відповідно до компетенції, встановленої цим Законом, коштів, які підлягають виплаті у процесі стягнення заборгованості з емітента відсоткових чи дисконтних корпоративних облігацій, іпотечних облігацій (крім структурованих іпотечних облігацій, якщо проспектом цінних паперів (рішенням про емісію цінних паперів) та/або договором про управління іпотечним покриттям не передбачений такий порядок виплати), особи, яка надає забезпечення за такими облігаціями, або в процедурі їх банкрутства або ліквідації, здійснюється в порядку та строки, встановлені Комісією.";</w:t>
            </w:r>
          </w:p>
        </w:tc>
        <w:tc>
          <w:tcPr>
            <w:tcW w:w="3686" w:type="dxa"/>
          </w:tcPr>
          <w:p w14:paraId="18E7853B" w14:textId="77777777" w:rsidR="008F1775" w:rsidRPr="00286216" w:rsidRDefault="008F1775" w:rsidP="008F1775">
            <w:pPr>
              <w:pStyle w:val="StyleProp"/>
              <w:rPr>
                <w:color w:val="000000" w:themeColor="text1"/>
                <w:szCs w:val="18"/>
              </w:rPr>
            </w:pPr>
          </w:p>
        </w:tc>
        <w:tc>
          <w:tcPr>
            <w:tcW w:w="1987" w:type="dxa"/>
          </w:tcPr>
          <w:p w14:paraId="04EED59F" w14:textId="77777777" w:rsidR="008F1775" w:rsidRPr="00286216" w:rsidRDefault="008F1775" w:rsidP="008F1775">
            <w:pPr>
              <w:pStyle w:val="StyleWisnow"/>
              <w:rPr>
                <w:color w:val="000000" w:themeColor="text1"/>
              </w:rPr>
            </w:pPr>
          </w:p>
        </w:tc>
        <w:tc>
          <w:tcPr>
            <w:tcW w:w="4818" w:type="dxa"/>
          </w:tcPr>
          <w:p w14:paraId="5985D62E" w14:textId="0D13FB0F" w:rsidR="008F1775" w:rsidRPr="00286216" w:rsidRDefault="008F1775" w:rsidP="008F1775">
            <w:pPr>
              <w:pStyle w:val="StyleZakonu"/>
              <w:rPr>
                <w:color w:val="000000" w:themeColor="text1"/>
              </w:rPr>
            </w:pPr>
            <w:r w:rsidRPr="00286216">
              <w:rPr>
                <w:color w:val="000000" w:themeColor="text1"/>
              </w:rPr>
              <w:t>Зарахування отриманих від емітентів коштів за цінними паперами відповідно до компетенції, встановленої цим Законом, коштів, які підлягають виплаті у процесі стягнення заборгованості з емітента відсоткових чи дисконтних корпоративних облігацій, іпотечних облігацій (крім структурованих іпотечних облігацій, якщо проспектом цінних паперів (рішенням про емісію цінних паперів) та/або договором про управління іпотечним покриттям не передбачений такий порядок виплати), особи, яка надає забезпечення за такими облігаціями, або в процедурі їх банкрутства або ліквідації, здійснюється в порядку та строки, встановлені Комісією";</w:t>
            </w:r>
          </w:p>
        </w:tc>
      </w:tr>
      <w:tr w:rsidR="008F1775" w:rsidRPr="00286216" w14:paraId="3E5542F1" w14:textId="77777777" w:rsidTr="00091AA5">
        <w:tc>
          <w:tcPr>
            <w:tcW w:w="576" w:type="dxa"/>
          </w:tcPr>
          <w:p w14:paraId="22A63E1F" w14:textId="77777777" w:rsidR="008F1775" w:rsidRPr="00286216" w:rsidRDefault="008F1775" w:rsidP="008F1775">
            <w:pPr>
              <w:pStyle w:val="StyleWisnow"/>
              <w:rPr>
                <w:color w:val="000000" w:themeColor="text1"/>
              </w:rPr>
            </w:pPr>
            <w:bookmarkStart w:id="3688" w:name="n3819" w:colFirst="0" w:colLast="0"/>
            <w:bookmarkEnd w:id="3687"/>
            <w:r w:rsidRPr="00286216">
              <w:rPr>
                <w:color w:val="000000" w:themeColor="text1"/>
              </w:rPr>
              <w:t>3819.</w:t>
            </w:r>
          </w:p>
        </w:tc>
        <w:tc>
          <w:tcPr>
            <w:tcW w:w="4818" w:type="dxa"/>
          </w:tcPr>
          <w:p w14:paraId="5EA9EBEC" w14:textId="77777777" w:rsidR="008F1775" w:rsidRPr="00286216" w:rsidRDefault="008F1775" w:rsidP="008F1775">
            <w:pPr>
              <w:pStyle w:val="StyleZakonu"/>
              <w:rPr>
                <w:color w:val="000000" w:themeColor="text1"/>
              </w:rPr>
            </w:pPr>
            <w:r w:rsidRPr="00286216">
              <w:rPr>
                <w:color w:val="000000" w:themeColor="text1"/>
              </w:rPr>
              <w:t>е) частину восьму викласти в такій редакції:</w:t>
            </w:r>
          </w:p>
        </w:tc>
        <w:tc>
          <w:tcPr>
            <w:tcW w:w="3686" w:type="dxa"/>
          </w:tcPr>
          <w:p w14:paraId="37CCB392" w14:textId="77777777" w:rsidR="008F1775" w:rsidRPr="00286216" w:rsidRDefault="008F1775" w:rsidP="008F1775">
            <w:pPr>
              <w:pStyle w:val="StyleProp"/>
              <w:rPr>
                <w:color w:val="000000" w:themeColor="text1"/>
                <w:szCs w:val="18"/>
              </w:rPr>
            </w:pPr>
          </w:p>
        </w:tc>
        <w:tc>
          <w:tcPr>
            <w:tcW w:w="1987" w:type="dxa"/>
          </w:tcPr>
          <w:p w14:paraId="4311C506" w14:textId="77777777" w:rsidR="008F1775" w:rsidRPr="00286216" w:rsidRDefault="008F1775" w:rsidP="008F1775">
            <w:pPr>
              <w:pStyle w:val="StyleWisnow"/>
              <w:rPr>
                <w:color w:val="000000" w:themeColor="text1"/>
              </w:rPr>
            </w:pPr>
          </w:p>
        </w:tc>
        <w:tc>
          <w:tcPr>
            <w:tcW w:w="4818" w:type="dxa"/>
          </w:tcPr>
          <w:p w14:paraId="1BC060FB" w14:textId="3604FDB4" w:rsidR="008F1775" w:rsidRPr="00286216" w:rsidRDefault="008F1775" w:rsidP="008F1775">
            <w:pPr>
              <w:pStyle w:val="StyleZakonu"/>
              <w:rPr>
                <w:color w:val="000000" w:themeColor="text1"/>
              </w:rPr>
            </w:pPr>
          </w:p>
        </w:tc>
      </w:tr>
      <w:tr w:rsidR="008F1775" w:rsidRPr="00286216" w14:paraId="3D423E70" w14:textId="77777777" w:rsidTr="00091AA5">
        <w:tc>
          <w:tcPr>
            <w:tcW w:w="576" w:type="dxa"/>
          </w:tcPr>
          <w:p w14:paraId="67F5F582" w14:textId="77777777" w:rsidR="008F1775" w:rsidRPr="00286216" w:rsidRDefault="008F1775" w:rsidP="008F1775">
            <w:pPr>
              <w:pStyle w:val="StyleWisnow"/>
              <w:rPr>
                <w:color w:val="000000" w:themeColor="text1"/>
              </w:rPr>
            </w:pPr>
            <w:bookmarkStart w:id="3689" w:name="n3820" w:colFirst="0" w:colLast="0"/>
            <w:bookmarkEnd w:id="3688"/>
            <w:r w:rsidRPr="00286216">
              <w:rPr>
                <w:color w:val="000000" w:themeColor="text1"/>
              </w:rPr>
              <w:t>3820.</w:t>
            </w:r>
          </w:p>
        </w:tc>
        <w:tc>
          <w:tcPr>
            <w:tcW w:w="4818" w:type="dxa"/>
          </w:tcPr>
          <w:p w14:paraId="61D873E3" w14:textId="77777777" w:rsidR="008F1775" w:rsidRPr="00286216" w:rsidRDefault="008F1775" w:rsidP="008F1775">
            <w:pPr>
              <w:pStyle w:val="StyleZakonu"/>
              <w:rPr>
                <w:color w:val="000000" w:themeColor="text1"/>
              </w:rPr>
            </w:pPr>
            <w:r w:rsidRPr="00286216">
              <w:rPr>
                <w:color w:val="000000" w:themeColor="text1"/>
              </w:rPr>
              <w:t>"8. Забороняється накладати арешт та здійснювати примусове звернення стягнення на кошти, що знаходяться на рахунках особи, що здійснює клірингову діяльність, і призначені для здійснення/забезпечення розрахунків за правочинами щодо цінних паперів та інших фінансових інструментів".</w:t>
            </w:r>
          </w:p>
        </w:tc>
        <w:tc>
          <w:tcPr>
            <w:tcW w:w="3686" w:type="dxa"/>
          </w:tcPr>
          <w:p w14:paraId="01330422" w14:textId="77777777" w:rsidR="008F1775" w:rsidRPr="00286216" w:rsidRDefault="008F1775" w:rsidP="008F1775">
            <w:pPr>
              <w:pStyle w:val="StyleAwt"/>
              <w:rPr>
                <w:color w:val="000000" w:themeColor="text1"/>
                <w:spacing w:val="-8"/>
                <w:szCs w:val="18"/>
              </w:rPr>
            </w:pPr>
          </w:p>
          <w:p w14:paraId="252F32AE" w14:textId="77777777" w:rsidR="008F1775" w:rsidRPr="00286216" w:rsidRDefault="008F1775" w:rsidP="008F1775">
            <w:pPr>
              <w:pStyle w:val="StyleAwt"/>
              <w:rPr>
                <w:color w:val="000000" w:themeColor="text1"/>
                <w:spacing w:val="-8"/>
                <w:szCs w:val="18"/>
              </w:rPr>
            </w:pPr>
          </w:p>
          <w:p w14:paraId="2386E721" w14:textId="77777777" w:rsidR="008F1775" w:rsidRPr="00286216" w:rsidRDefault="008F1775" w:rsidP="008F1775">
            <w:pPr>
              <w:pStyle w:val="StyleAwt"/>
              <w:rPr>
                <w:color w:val="000000" w:themeColor="text1"/>
                <w:spacing w:val="-8"/>
                <w:szCs w:val="18"/>
              </w:rPr>
            </w:pPr>
          </w:p>
          <w:p w14:paraId="1D7DE63E" w14:textId="77777777" w:rsidR="008F1775" w:rsidRPr="00286216" w:rsidRDefault="008F1775" w:rsidP="008F1775">
            <w:pPr>
              <w:pStyle w:val="StyleAwt"/>
              <w:rPr>
                <w:color w:val="000000" w:themeColor="text1"/>
                <w:spacing w:val="-8"/>
                <w:szCs w:val="18"/>
              </w:rPr>
            </w:pPr>
          </w:p>
          <w:p w14:paraId="72D1D7FC" w14:textId="77777777" w:rsidR="008F1775" w:rsidRPr="00286216" w:rsidRDefault="008F1775" w:rsidP="008F1775">
            <w:pPr>
              <w:pStyle w:val="StyleAwt"/>
              <w:rPr>
                <w:color w:val="000000" w:themeColor="text1"/>
                <w:spacing w:val="-8"/>
                <w:szCs w:val="18"/>
              </w:rPr>
            </w:pPr>
          </w:p>
          <w:p w14:paraId="0D1AB55C" w14:textId="77777777" w:rsidR="008F1775" w:rsidRPr="00286216" w:rsidRDefault="008F1775" w:rsidP="008F1775">
            <w:pPr>
              <w:pStyle w:val="StyleAwt"/>
              <w:rPr>
                <w:color w:val="000000" w:themeColor="text1"/>
                <w:spacing w:val="-8"/>
                <w:szCs w:val="18"/>
              </w:rPr>
            </w:pPr>
          </w:p>
          <w:p w14:paraId="7C3DD4A9" w14:textId="77777777" w:rsidR="008F1775" w:rsidRPr="00286216" w:rsidRDefault="008F1775" w:rsidP="008F1775">
            <w:pPr>
              <w:pStyle w:val="StyleAwt"/>
              <w:rPr>
                <w:color w:val="000000" w:themeColor="text1"/>
                <w:spacing w:val="-8"/>
                <w:szCs w:val="18"/>
              </w:rPr>
            </w:pPr>
          </w:p>
          <w:p w14:paraId="0AAD8F0A" w14:textId="5B791F43" w:rsidR="008F1775" w:rsidRPr="00286216" w:rsidRDefault="008F1775" w:rsidP="008F1775">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1508</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47E2A860" w14:textId="3F552403" w:rsidR="008F1775" w:rsidRPr="00286216" w:rsidRDefault="008F1775" w:rsidP="00CF4212">
            <w:pPr>
              <w:pStyle w:val="StyleProp"/>
              <w:spacing w:line="180" w:lineRule="exact"/>
              <w:rPr>
                <w:color w:val="000000" w:themeColor="text1"/>
                <w:szCs w:val="18"/>
              </w:rPr>
            </w:pPr>
            <w:r w:rsidRPr="00286216">
              <w:rPr>
                <w:color w:val="000000" w:themeColor="text1"/>
              </w:rPr>
              <w:t>підпункт «а» підпункту 14 пункту 44 розділу 3 доповнити словами «у відповідних відмінках».</w:t>
            </w:r>
          </w:p>
        </w:tc>
        <w:tc>
          <w:tcPr>
            <w:tcW w:w="1987" w:type="dxa"/>
          </w:tcPr>
          <w:p w14:paraId="52BCACFF" w14:textId="77777777" w:rsidR="008F1775" w:rsidRPr="00286216" w:rsidRDefault="008F1775" w:rsidP="008F1775">
            <w:pPr>
              <w:pStyle w:val="StyleWisnow"/>
              <w:spacing w:line="180" w:lineRule="exact"/>
              <w:rPr>
                <w:color w:val="000000" w:themeColor="text1"/>
              </w:rPr>
            </w:pPr>
          </w:p>
          <w:p w14:paraId="32575384" w14:textId="77777777" w:rsidR="008F1775" w:rsidRPr="00286216" w:rsidRDefault="008F1775" w:rsidP="008F1775">
            <w:pPr>
              <w:pStyle w:val="StyleWisnow"/>
              <w:spacing w:line="180" w:lineRule="exact"/>
              <w:rPr>
                <w:color w:val="000000" w:themeColor="text1"/>
              </w:rPr>
            </w:pPr>
          </w:p>
          <w:p w14:paraId="41277ACF" w14:textId="77777777" w:rsidR="008F1775" w:rsidRPr="00286216" w:rsidRDefault="008F1775" w:rsidP="008F1775">
            <w:pPr>
              <w:pStyle w:val="StyleWisnow"/>
              <w:spacing w:line="180" w:lineRule="exact"/>
              <w:rPr>
                <w:color w:val="000000" w:themeColor="text1"/>
              </w:rPr>
            </w:pPr>
          </w:p>
          <w:p w14:paraId="73BD2B8E" w14:textId="77777777" w:rsidR="008F1775" w:rsidRPr="00286216" w:rsidRDefault="008F1775" w:rsidP="008F1775">
            <w:pPr>
              <w:pStyle w:val="StyleWisnow"/>
              <w:spacing w:line="180" w:lineRule="exact"/>
              <w:rPr>
                <w:color w:val="000000" w:themeColor="text1"/>
              </w:rPr>
            </w:pPr>
          </w:p>
          <w:p w14:paraId="2958BE30" w14:textId="77777777" w:rsidR="008F1775" w:rsidRPr="00286216" w:rsidRDefault="008F1775" w:rsidP="008F1775">
            <w:pPr>
              <w:pStyle w:val="StyleWisnow"/>
              <w:spacing w:line="180" w:lineRule="exact"/>
              <w:rPr>
                <w:color w:val="000000" w:themeColor="text1"/>
              </w:rPr>
            </w:pPr>
          </w:p>
          <w:p w14:paraId="6BBF96F4" w14:textId="77777777" w:rsidR="008F1775" w:rsidRPr="00286216" w:rsidRDefault="008F1775" w:rsidP="008F1775">
            <w:pPr>
              <w:pStyle w:val="StyleWisnow"/>
              <w:spacing w:line="180" w:lineRule="exact"/>
              <w:rPr>
                <w:color w:val="000000" w:themeColor="text1"/>
              </w:rPr>
            </w:pPr>
          </w:p>
          <w:p w14:paraId="4E197632" w14:textId="77777777" w:rsidR="008F1775" w:rsidRPr="00286216" w:rsidRDefault="008F1775" w:rsidP="008F1775">
            <w:pPr>
              <w:pStyle w:val="StyleWisnow"/>
              <w:spacing w:line="180" w:lineRule="exact"/>
              <w:rPr>
                <w:color w:val="000000" w:themeColor="text1"/>
              </w:rPr>
            </w:pPr>
          </w:p>
          <w:p w14:paraId="1661C8E9" w14:textId="1AA7D96C" w:rsidR="008F1775" w:rsidRPr="00286216" w:rsidRDefault="008F1775" w:rsidP="008F1775">
            <w:pPr>
              <w:pStyle w:val="StyleWisnow"/>
              <w:spacing w:line="180" w:lineRule="exact"/>
              <w:rPr>
                <w:color w:val="000000" w:themeColor="text1"/>
              </w:rPr>
            </w:pPr>
          </w:p>
          <w:p w14:paraId="344CCD4A" w14:textId="77777777" w:rsidR="008F1775" w:rsidRPr="00286216" w:rsidRDefault="008F1775" w:rsidP="008F1775">
            <w:pPr>
              <w:pStyle w:val="StyleWisnow"/>
              <w:spacing w:line="180" w:lineRule="exact"/>
              <w:rPr>
                <w:color w:val="000000" w:themeColor="text1"/>
              </w:rPr>
            </w:pPr>
          </w:p>
          <w:p w14:paraId="40535577" w14:textId="472CA279" w:rsidR="008F1775" w:rsidRPr="00286216" w:rsidRDefault="008F1775" w:rsidP="008F1775">
            <w:pPr>
              <w:pStyle w:val="StyleWisnow"/>
              <w:spacing w:line="180" w:lineRule="exact"/>
              <w:rPr>
                <w:color w:val="000000" w:themeColor="text1"/>
              </w:rPr>
            </w:pPr>
            <w:r w:rsidRPr="00286216">
              <w:rPr>
                <w:color w:val="000000" w:themeColor="text1"/>
              </w:rPr>
              <w:t>Враховано частково</w:t>
            </w:r>
          </w:p>
          <w:p w14:paraId="5D624DB4" w14:textId="58028FEB" w:rsidR="008F1775" w:rsidRPr="00286216" w:rsidRDefault="008F1775" w:rsidP="008F1775">
            <w:pPr>
              <w:pStyle w:val="StyleWisnow"/>
              <w:spacing w:line="180" w:lineRule="exact"/>
              <w:rPr>
                <w:color w:val="000000" w:themeColor="text1"/>
              </w:rPr>
            </w:pPr>
            <w:r w:rsidRPr="00286216">
              <w:rPr>
                <w:color w:val="000000" w:themeColor="text1"/>
              </w:rPr>
              <w:t>з техніко-юридичним коригуванням</w:t>
            </w:r>
          </w:p>
        </w:tc>
        <w:tc>
          <w:tcPr>
            <w:tcW w:w="4818" w:type="dxa"/>
          </w:tcPr>
          <w:p w14:paraId="5E22C383" w14:textId="3AC45570" w:rsidR="008F1775" w:rsidRPr="00286216" w:rsidRDefault="008F1775" w:rsidP="008F1775">
            <w:pPr>
              <w:pStyle w:val="StyleZakonu"/>
              <w:rPr>
                <w:color w:val="000000" w:themeColor="text1"/>
              </w:rPr>
            </w:pPr>
            <w:r w:rsidRPr="00286216">
              <w:rPr>
                <w:color w:val="000000" w:themeColor="text1"/>
              </w:rPr>
              <w:t>"8. Забороняється накладати арешт та здійснювати примусове звернення стягнення на кошти, що знаходяться на рахунках особи, що провадить клірингову діяльність, і призначені для здійснення/забезпечення розрахунків за правочинами щодо цінних паперів та інших фінансових інструментів";</w:t>
            </w:r>
          </w:p>
          <w:p w14:paraId="1F4BE2A3" w14:textId="76B3709F" w:rsidR="008F1775" w:rsidRPr="00286216" w:rsidRDefault="008F1775" w:rsidP="008F1775">
            <w:pPr>
              <w:pStyle w:val="StyleZakonu"/>
              <w:rPr>
                <w:color w:val="000000" w:themeColor="text1"/>
              </w:rPr>
            </w:pPr>
            <w:r w:rsidRPr="00286216">
              <w:rPr>
                <w:color w:val="000000" w:themeColor="text1"/>
              </w:rPr>
              <w:t>д)  у тексті статті слова "фондова біржа"в усіх відмінках і числах замінити словами "організовані ринки капіталу" у відповідному відмінку.</w:t>
            </w:r>
          </w:p>
        </w:tc>
      </w:tr>
      <w:tr w:rsidR="008F1775" w:rsidRPr="00286216" w14:paraId="0AFD1B42" w14:textId="77777777" w:rsidTr="00091AA5">
        <w:tc>
          <w:tcPr>
            <w:tcW w:w="576" w:type="dxa"/>
          </w:tcPr>
          <w:p w14:paraId="31622382" w14:textId="77777777" w:rsidR="008F1775" w:rsidRPr="00286216" w:rsidRDefault="008F1775" w:rsidP="008F1775">
            <w:pPr>
              <w:pStyle w:val="StyleWisnow"/>
              <w:rPr>
                <w:color w:val="000000" w:themeColor="text1"/>
              </w:rPr>
            </w:pPr>
            <w:bookmarkStart w:id="3690" w:name="n3821" w:colFirst="0" w:colLast="0"/>
            <w:bookmarkEnd w:id="3689"/>
            <w:r w:rsidRPr="00286216">
              <w:rPr>
                <w:color w:val="000000" w:themeColor="text1"/>
              </w:rPr>
              <w:t>3821.</w:t>
            </w:r>
          </w:p>
        </w:tc>
        <w:tc>
          <w:tcPr>
            <w:tcW w:w="4818" w:type="dxa"/>
          </w:tcPr>
          <w:p w14:paraId="1CF8FD62" w14:textId="77777777" w:rsidR="008F1775" w:rsidRPr="00286216" w:rsidRDefault="008F1775" w:rsidP="008F1775">
            <w:pPr>
              <w:pStyle w:val="StyleZakonu"/>
              <w:rPr>
                <w:color w:val="000000" w:themeColor="text1"/>
              </w:rPr>
            </w:pPr>
            <w:r w:rsidRPr="00286216">
              <w:rPr>
                <w:color w:val="000000" w:themeColor="text1"/>
              </w:rPr>
              <w:t>15) у статті 21:</w:t>
            </w:r>
          </w:p>
        </w:tc>
        <w:tc>
          <w:tcPr>
            <w:tcW w:w="3686" w:type="dxa"/>
          </w:tcPr>
          <w:p w14:paraId="171D5333" w14:textId="77777777" w:rsidR="008F1775" w:rsidRPr="00286216" w:rsidRDefault="008F1775" w:rsidP="008F1775">
            <w:pPr>
              <w:pStyle w:val="StyleProp"/>
              <w:rPr>
                <w:color w:val="000000" w:themeColor="text1"/>
                <w:szCs w:val="18"/>
              </w:rPr>
            </w:pPr>
          </w:p>
        </w:tc>
        <w:tc>
          <w:tcPr>
            <w:tcW w:w="1987" w:type="dxa"/>
          </w:tcPr>
          <w:p w14:paraId="5B0D80A6" w14:textId="77777777" w:rsidR="008F1775" w:rsidRPr="00286216" w:rsidRDefault="008F1775" w:rsidP="008F1775">
            <w:pPr>
              <w:pStyle w:val="StyleWisnow"/>
              <w:rPr>
                <w:color w:val="000000" w:themeColor="text1"/>
              </w:rPr>
            </w:pPr>
          </w:p>
        </w:tc>
        <w:tc>
          <w:tcPr>
            <w:tcW w:w="4818" w:type="dxa"/>
          </w:tcPr>
          <w:p w14:paraId="300D5831" w14:textId="2B662D41" w:rsidR="008F1775" w:rsidRPr="00286216" w:rsidRDefault="008F1775" w:rsidP="008F1775">
            <w:pPr>
              <w:pStyle w:val="StyleZakonu"/>
              <w:rPr>
                <w:color w:val="000000" w:themeColor="text1"/>
              </w:rPr>
            </w:pPr>
            <w:r w:rsidRPr="00286216">
              <w:rPr>
                <w:color w:val="000000" w:themeColor="text1"/>
              </w:rPr>
              <w:t>16) у статті 21:</w:t>
            </w:r>
          </w:p>
        </w:tc>
      </w:tr>
      <w:tr w:rsidR="008F1775" w:rsidRPr="00286216" w14:paraId="73053B9A" w14:textId="77777777" w:rsidTr="00091AA5">
        <w:tc>
          <w:tcPr>
            <w:tcW w:w="576" w:type="dxa"/>
          </w:tcPr>
          <w:p w14:paraId="2B0B6315" w14:textId="77777777" w:rsidR="008F1775" w:rsidRPr="00286216" w:rsidRDefault="008F1775" w:rsidP="008F1775">
            <w:pPr>
              <w:pStyle w:val="StyleWisnow"/>
              <w:rPr>
                <w:color w:val="000000" w:themeColor="text1"/>
              </w:rPr>
            </w:pPr>
            <w:bookmarkStart w:id="3691" w:name="n3822" w:colFirst="0" w:colLast="0"/>
            <w:bookmarkEnd w:id="3690"/>
            <w:r w:rsidRPr="00286216">
              <w:rPr>
                <w:color w:val="000000" w:themeColor="text1"/>
              </w:rPr>
              <w:t>3822.</w:t>
            </w:r>
          </w:p>
        </w:tc>
        <w:tc>
          <w:tcPr>
            <w:tcW w:w="4818" w:type="dxa"/>
          </w:tcPr>
          <w:p w14:paraId="6EE4E7A1" w14:textId="77777777" w:rsidR="008F1775" w:rsidRPr="00286216" w:rsidRDefault="008F1775" w:rsidP="008F1775">
            <w:pPr>
              <w:pStyle w:val="StyleZakonu"/>
              <w:rPr>
                <w:color w:val="000000" w:themeColor="text1"/>
              </w:rPr>
            </w:pPr>
            <w:r w:rsidRPr="00286216">
              <w:rPr>
                <w:color w:val="000000" w:themeColor="text1"/>
              </w:rPr>
              <w:t>а) у частині першій:</w:t>
            </w:r>
          </w:p>
        </w:tc>
        <w:tc>
          <w:tcPr>
            <w:tcW w:w="3686" w:type="dxa"/>
          </w:tcPr>
          <w:p w14:paraId="5E9704DF" w14:textId="77777777" w:rsidR="008F1775" w:rsidRPr="00286216" w:rsidRDefault="008F1775" w:rsidP="008F1775">
            <w:pPr>
              <w:pStyle w:val="StyleProp"/>
              <w:rPr>
                <w:color w:val="000000" w:themeColor="text1"/>
                <w:szCs w:val="18"/>
              </w:rPr>
            </w:pPr>
          </w:p>
        </w:tc>
        <w:tc>
          <w:tcPr>
            <w:tcW w:w="1987" w:type="dxa"/>
          </w:tcPr>
          <w:p w14:paraId="62A2C2BD" w14:textId="77777777" w:rsidR="008F1775" w:rsidRPr="00286216" w:rsidRDefault="008F1775" w:rsidP="008F1775">
            <w:pPr>
              <w:pStyle w:val="StyleWisnow"/>
              <w:rPr>
                <w:color w:val="000000" w:themeColor="text1"/>
              </w:rPr>
            </w:pPr>
          </w:p>
        </w:tc>
        <w:tc>
          <w:tcPr>
            <w:tcW w:w="4818" w:type="dxa"/>
          </w:tcPr>
          <w:p w14:paraId="1915C3CD" w14:textId="611E5019" w:rsidR="008F1775" w:rsidRPr="00286216" w:rsidRDefault="008F1775" w:rsidP="008F1775">
            <w:pPr>
              <w:pStyle w:val="StyleZakonu"/>
              <w:rPr>
                <w:color w:val="000000" w:themeColor="text1"/>
              </w:rPr>
            </w:pPr>
            <w:r w:rsidRPr="00286216">
              <w:rPr>
                <w:color w:val="000000" w:themeColor="text1"/>
              </w:rPr>
              <w:t>а) у частині першій:</w:t>
            </w:r>
          </w:p>
        </w:tc>
      </w:tr>
      <w:tr w:rsidR="008F1775" w:rsidRPr="00286216" w14:paraId="7F7BB1AA" w14:textId="77777777" w:rsidTr="00091AA5">
        <w:tc>
          <w:tcPr>
            <w:tcW w:w="576" w:type="dxa"/>
          </w:tcPr>
          <w:p w14:paraId="2ACC82A0" w14:textId="77777777" w:rsidR="008F1775" w:rsidRPr="00286216" w:rsidRDefault="008F1775" w:rsidP="008F1775">
            <w:pPr>
              <w:pStyle w:val="StyleWisnow"/>
              <w:rPr>
                <w:color w:val="000000" w:themeColor="text1"/>
              </w:rPr>
            </w:pPr>
            <w:bookmarkStart w:id="3692" w:name="n3823" w:colFirst="0" w:colLast="0"/>
            <w:bookmarkEnd w:id="3691"/>
            <w:r w:rsidRPr="00286216">
              <w:rPr>
                <w:color w:val="000000" w:themeColor="text1"/>
              </w:rPr>
              <w:t>3823.</w:t>
            </w:r>
          </w:p>
        </w:tc>
        <w:tc>
          <w:tcPr>
            <w:tcW w:w="4818" w:type="dxa"/>
          </w:tcPr>
          <w:p w14:paraId="02BBFB63" w14:textId="77777777" w:rsidR="008F1775" w:rsidRPr="00286216" w:rsidRDefault="008F1775" w:rsidP="008F1775">
            <w:pPr>
              <w:pStyle w:val="StyleZakonu"/>
              <w:rPr>
                <w:color w:val="000000" w:themeColor="text1"/>
              </w:rPr>
            </w:pPr>
            <w:r w:rsidRPr="00286216">
              <w:rPr>
                <w:color w:val="000000" w:themeColor="text1"/>
              </w:rPr>
              <w:t>у абзаці першому після слів "державної позики" доповнити словами "та депозитних сертифікатів банків";</w:t>
            </w:r>
          </w:p>
        </w:tc>
        <w:tc>
          <w:tcPr>
            <w:tcW w:w="3686" w:type="dxa"/>
          </w:tcPr>
          <w:p w14:paraId="00A7AE7B" w14:textId="77777777" w:rsidR="008F1775" w:rsidRPr="00286216" w:rsidRDefault="008F1775" w:rsidP="008F1775">
            <w:pPr>
              <w:pStyle w:val="StyleProp"/>
              <w:rPr>
                <w:color w:val="000000" w:themeColor="text1"/>
                <w:szCs w:val="18"/>
              </w:rPr>
            </w:pPr>
          </w:p>
        </w:tc>
        <w:tc>
          <w:tcPr>
            <w:tcW w:w="1987" w:type="dxa"/>
          </w:tcPr>
          <w:p w14:paraId="3BDD49ED" w14:textId="77777777" w:rsidR="008F1775" w:rsidRPr="00286216" w:rsidRDefault="008F1775" w:rsidP="008F1775">
            <w:pPr>
              <w:pStyle w:val="StyleWisnow"/>
              <w:rPr>
                <w:color w:val="000000" w:themeColor="text1"/>
              </w:rPr>
            </w:pPr>
          </w:p>
        </w:tc>
        <w:tc>
          <w:tcPr>
            <w:tcW w:w="4818" w:type="dxa"/>
          </w:tcPr>
          <w:p w14:paraId="3369DE23" w14:textId="080C659F" w:rsidR="008F1775" w:rsidRPr="00286216" w:rsidRDefault="008F1775" w:rsidP="008F1775">
            <w:pPr>
              <w:pStyle w:val="StyleZakonu"/>
              <w:rPr>
                <w:color w:val="000000" w:themeColor="text1"/>
              </w:rPr>
            </w:pPr>
            <w:r w:rsidRPr="00286216">
              <w:rPr>
                <w:color w:val="000000" w:themeColor="text1"/>
              </w:rPr>
              <w:t>абзац перший після слів "державної позики" доповнити словами "та депозитних сертифікатів банків";</w:t>
            </w:r>
          </w:p>
        </w:tc>
      </w:tr>
      <w:tr w:rsidR="008F1775" w:rsidRPr="00286216" w14:paraId="2CD2A6AC" w14:textId="77777777" w:rsidTr="00091AA5">
        <w:tc>
          <w:tcPr>
            <w:tcW w:w="576" w:type="dxa"/>
          </w:tcPr>
          <w:p w14:paraId="475BB580" w14:textId="77777777" w:rsidR="008F1775" w:rsidRPr="00286216" w:rsidRDefault="008F1775" w:rsidP="008F1775">
            <w:pPr>
              <w:pStyle w:val="StyleWisnow"/>
              <w:rPr>
                <w:color w:val="000000" w:themeColor="text1"/>
              </w:rPr>
            </w:pPr>
            <w:bookmarkStart w:id="3693" w:name="n3824" w:colFirst="0" w:colLast="0"/>
            <w:bookmarkEnd w:id="3692"/>
            <w:r w:rsidRPr="00286216">
              <w:rPr>
                <w:color w:val="000000" w:themeColor="text1"/>
              </w:rPr>
              <w:t>3824.</w:t>
            </w:r>
          </w:p>
        </w:tc>
        <w:tc>
          <w:tcPr>
            <w:tcW w:w="4818" w:type="dxa"/>
          </w:tcPr>
          <w:p w14:paraId="244EDB53" w14:textId="77777777" w:rsidR="008F1775" w:rsidRPr="00286216" w:rsidRDefault="008F1775" w:rsidP="008F1775">
            <w:pPr>
              <w:pStyle w:val="StyleZakonu"/>
              <w:rPr>
                <w:color w:val="000000" w:themeColor="text1"/>
              </w:rPr>
            </w:pPr>
            <w:r w:rsidRPr="00286216">
              <w:rPr>
                <w:color w:val="000000" w:themeColor="text1"/>
              </w:rPr>
              <w:t>доповнити частину новим абзацом такого змісту:</w:t>
            </w:r>
          </w:p>
        </w:tc>
        <w:tc>
          <w:tcPr>
            <w:tcW w:w="3686" w:type="dxa"/>
          </w:tcPr>
          <w:p w14:paraId="0040C13E" w14:textId="77777777" w:rsidR="008F1775" w:rsidRPr="00286216" w:rsidRDefault="008F1775" w:rsidP="008F1775">
            <w:pPr>
              <w:pStyle w:val="StyleProp"/>
              <w:rPr>
                <w:color w:val="000000" w:themeColor="text1"/>
                <w:szCs w:val="18"/>
              </w:rPr>
            </w:pPr>
          </w:p>
        </w:tc>
        <w:tc>
          <w:tcPr>
            <w:tcW w:w="1987" w:type="dxa"/>
          </w:tcPr>
          <w:p w14:paraId="4F4222F1" w14:textId="77777777" w:rsidR="008F1775" w:rsidRPr="00286216" w:rsidRDefault="008F1775" w:rsidP="008F1775">
            <w:pPr>
              <w:pStyle w:val="StyleWisnow"/>
              <w:rPr>
                <w:color w:val="000000" w:themeColor="text1"/>
              </w:rPr>
            </w:pPr>
          </w:p>
        </w:tc>
        <w:tc>
          <w:tcPr>
            <w:tcW w:w="4818" w:type="dxa"/>
          </w:tcPr>
          <w:p w14:paraId="374352F7" w14:textId="5EA33504" w:rsidR="008F1775" w:rsidRPr="00286216" w:rsidRDefault="008F1775" w:rsidP="008F1775">
            <w:pPr>
              <w:pStyle w:val="StyleZakonu"/>
              <w:rPr>
                <w:color w:val="000000" w:themeColor="text1"/>
              </w:rPr>
            </w:pPr>
            <w:r w:rsidRPr="00286216">
              <w:rPr>
                <w:color w:val="000000" w:themeColor="text1"/>
              </w:rPr>
              <w:t>доповнити абзацом третім такого змісту:</w:t>
            </w:r>
          </w:p>
        </w:tc>
      </w:tr>
      <w:tr w:rsidR="008F1775" w:rsidRPr="00286216" w14:paraId="566D03A6" w14:textId="77777777" w:rsidTr="00091AA5">
        <w:tc>
          <w:tcPr>
            <w:tcW w:w="576" w:type="dxa"/>
          </w:tcPr>
          <w:p w14:paraId="2850DF44" w14:textId="77777777" w:rsidR="008F1775" w:rsidRPr="00286216" w:rsidRDefault="008F1775" w:rsidP="008F1775">
            <w:pPr>
              <w:pStyle w:val="StyleWisnow"/>
              <w:rPr>
                <w:color w:val="000000" w:themeColor="text1"/>
              </w:rPr>
            </w:pPr>
            <w:bookmarkStart w:id="3694" w:name="n3825" w:colFirst="0" w:colLast="0"/>
            <w:bookmarkEnd w:id="3693"/>
            <w:r w:rsidRPr="00286216">
              <w:rPr>
                <w:color w:val="000000" w:themeColor="text1"/>
              </w:rPr>
              <w:t>3825.</w:t>
            </w:r>
          </w:p>
        </w:tc>
        <w:tc>
          <w:tcPr>
            <w:tcW w:w="4818" w:type="dxa"/>
          </w:tcPr>
          <w:p w14:paraId="4191F1D2" w14:textId="77777777" w:rsidR="008F1775" w:rsidRPr="00286216" w:rsidRDefault="008F1775" w:rsidP="008F1775">
            <w:pPr>
              <w:pStyle w:val="StyleZakonu"/>
              <w:rPr>
                <w:color w:val="000000" w:themeColor="text1"/>
              </w:rPr>
            </w:pPr>
            <w:r w:rsidRPr="00286216">
              <w:rPr>
                <w:color w:val="000000" w:themeColor="text1"/>
              </w:rPr>
              <w:t>"Емітент депозитних сертифікатів банку у порядку та строки, що встановлені Комісією за погодженням з Національним банком України, зобов’язаний подати до Центрального депозитарію інформацію про здійснення емісії депозитні сертифікати банку та інформацію про визначену особу, що обрана відповідно до статті 22 цього Закону.";</w:t>
            </w:r>
          </w:p>
        </w:tc>
        <w:tc>
          <w:tcPr>
            <w:tcW w:w="3686" w:type="dxa"/>
          </w:tcPr>
          <w:p w14:paraId="16F6CF05" w14:textId="77777777" w:rsidR="008F1775" w:rsidRPr="00286216" w:rsidRDefault="008F1775" w:rsidP="008F1775">
            <w:pPr>
              <w:pStyle w:val="StyleProp"/>
              <w:rPr>
                <w:color w:val="000000" w:themeColor="text1"/>
                <w:szCs w:val="18"/>
              </w:rPr>
            </w:pPr>
          </w:p>
        </w:tc>
        <w:tc>
          <w:tcPr>
            <w:tcW w:w="1987" w:type="dxa"/>
          </w:tcPr>
          <w:p w14:paraId="1570C278" w14:textId="77777777" w:rsidR="008F1775" w:rsidRPr="00286216" w:rsidRDefault="008F1775" w:rsidP="008F1775">
            <w:pPr>
              <w:pStyle w:val="StyleWisnow"/>
              <w:rPr>
                <w:color w:val="000000" w:themeColor="text1"/>
              </w:rPr>
            </w:pPr>
          </w:p>
        </w:tc>
        <w:tc>
          <w:tcPr>
            <w:tcW w:w="4818" w:type="dxa"/>
          </w:tcPr>
          <w:p w14:paraId="21E12C4B" w14:textId="24F0873B" w:rsidR="008F1775" w:rsidRPr="00286216" w:rsidRDefault="008F1775" w:rsidP="008F1775">
            <w:pPr>
              <w:pStyle w:val="StyleZakonu"/>
              <w:rPr>
                <w:color w:val="000000" w:themeColor="text1"/>
              </w:rPr>
            </w:pPr>
            <w:r w:rsidRPr="00286216">
              <w:rPr>
                <w:color w:val="000000" w:themeColor="text1"/>
              </w:rPr>
              <w:t>"Емітент депозитних сертифікатів банку у порядку та строки, що встановлені Комісією за погодженням з Національним банком України, зобов’язаний подати до Центрального депозитарію інформацію про здійснення емісії депозитні сертифікати банку та інформацію про визначену особу, що обрана відповідно до статті 22 цього Закону";</w:t>
            </w:r>
          </w:p>
        </w:tc>
      </w:tr>
      <w:tr w:rsidR="008F1775" w:rsidRPr="00286216" w14:paraId="23B72594" w14:textId="77777777" w:rsidTr="00091AA5">
        <w:tc>
          <w:tcPr>
            <w:tcW w:w="576" w:type="dxa"/>
          </w:tcPr>
          <w:p w14:paraId="2F31DF4E" w14:textId="77777777" w:rsidR="008F1775" w:rsidRPr="00286216" w:rsidRDefault="008F1775" w:rsidP="008F1775">
            <w:pPr>
              <w:pStyle w:val="StyleWisnow"/>
              <w:rPr>
                <w:color w:val="000000" w:themeColor="text1"/>
              </w:rPr>
            </w:pPr>
            <w:bookmarkStart w:id="3695" w:name="n3826" w:colFirst="0" w:colLast="0"/>
            <w:bookmarkEnd w:id="3694"/>
            <w:r w:rsidRPr="00286216">
              <w:rPr>
                <w:color w:val="000000" w:themeColor="text1"/>
              </w:rPr>
              <w:t>3826.</w:t>
            </w:r>
          </w:p>
        </w:tc>
        <w:tc>
          <w:tcPr>
            <w:tcW w:w="4818" w:type="dxa"/>
          </w:tcPr>
          <w:p w14:paraId="275091AC" w14:textId="77777777" w:rsidR="008F1775" w:rsidRPr="00286216" w:rsidRDefault="008F1775" w:rsidP="008F1775">
            <w:pPr>
              <w:pStyle w:val="StyleZakonu"/>
              <w:rPr>
                <w:color w:val="000000" w:themeColor="text1"/>
              </w:rPr>
            </w:pPr>
            <w:r w:rsidRPr="00286216">
              <w:rPr>
                <w:color w:val="000000" w:themeColor="text1"/>
              </w:rPr>
              <w:t xml:space="preserve">б) у частині другій після слів "цінних паперів" </w:t>
            </w:r>
            <w:r w:rsidRPr="00286216">
              <w:rPr>
                <w:color w:val="000000" w:themeColor="text1"/>
              </w:rPr>
              <w:lastRenderedPageBreak/>
              <w:t>додати слова "(крім депозитних сертифікатів банків)";</w:t>
            </w:r>
          </w:p>
        </w:tc>
        <w:tc>
          <w:tcPr>
            <w:tcW w:w="3686" w:type="dxa"/>
          </w:tcPr>
          <w:p w14:paraId="58F14142" w14:textId="77777777" w:rsidR="008F1775" w:rsidRPr="00286216" w:rsidRDefault="008F1775" w:rsidP="008F1775">
            <w:pPr>
              <w:pStyle w:val="StyleProp"/>
              <w:rPr>
                <w:color w:val="000000" w:themeColor="text1"/>
                <w:szCs w:val="18"/>
              </w:rPr>
            </w:pPr>
          </w:p>
        </w:tc>
        <w:tc>
          <w:tcPr>
            <w:tcW w:w="1987" w:type="dxa"/>
          </w:tcPr>
          <w:p w14:paraId="3A616FA5" w14:textId="77777777" w:rsidR="008F1775" w:rsidRPr="00286216" w:rsidRDefault="008F1775" w:rsidP="008F1775">
            <w:pPr>
              <w:pStyle w:val="StyleWisnow"/>
              <w:rPr>
                <w:color w:val="000000" w:themeColor="text1"/>
              </w:rPr>
            </w:pPr>
          </w:p>
        </w:tc>
        <w:tc>
          <w:tcPr>
            <w:tcW w:w="4818" w:type="dxa"/>
          </w:tcPr>
          <w:p w14:paraId="4704F1A5" w14:textId="505196A2" w:rsidR="008F1775" w:rsidRPr="00286216" w:rsidRDefault="008F1775" w:rsidP="008F1775">
            <w:pPr>
              <w:pStyle w:val="StyleZakonu"/>
              <w:rPr>
                <w:color w:val="000000" w:themeColor="text1"/>
              </w:rPr>
            </w:pPr>
            <w:r w:rsidRPr="00286216">
              <w:rPr>
                <w:color w:val="000000" w:themeColor="text1"/>
              </w:rPr>
              <w:t xml:space="preserve">б) частину другу після слів "цінних паперів" доповнити словами "(крім депозитних сертифікатів </w:t>
            </w:r>
            <w:r w:rsidRPr="00286216">
              <w:rPr>
                <w:color w:val="000000" w:themeColor="text1"/>
              </w:rPr>
              <w:lastRenderedPageBreak/>
              <w:t>банків)";</w:t>
            </w:r>
          </w:p>
        </w:tc>
      </w:tr>
      <w:tr w:rsidR="008F1775" w:rsidRPr="00286216" w14:paraId="23E23DF6" w14:textId="77777777" w:rsidTr="00091AA5">
        <w:tc>
          <w:tcPr>
            <w:tcW w:w="576" w:type="dxa"/>
          </w:tcPr>
          <w:p w14:paraId="4429620D" w14:textId="77777777" w:rsidR="008F1775" w:rsidRPr="00286216" w:rsidRDefault="008F1775" w:rsidP="008F1775">
            <w:pPr>
              <w:pStyle w:val="StyleWisnow"/>
              <w:rPr>
                <w:color w:val="000000" w:themeColor="text1"/>
              </w:rPr>
            </w:pPr>
            <w:bookmarkStart w:id="3696" w:name="n3827" w:colFirst="0" w:colLast="0"/>
            <w:bookmarkEnd w:id="3695"/>
            <w:r w:rsidRPr="00286216">
              <w:rPr>
                <w:color w:val="000000" w:themeColor="text1"/>
              </w:rPr>
              <w:lastRenderedPageBreak/>
              <w:t>3827.</w:t>
            </w:r>
          </w:p>
        </w:tc>
        <w:tc>
          <w:tcPr>
            <w:tcW w:w="4818" w:type="dxa"/>
          </w:tcPr>
          <w:p w14:paraId="02A36AE9" w14:textId="77777777" w:rsidR="008F1775" w:rsidRPr="00286216" w:rsidRDefault="008F1775" w:rsidP="008F1775">
            <w:pPr>
              <w:pStyle w:val="StyleZakonu"/>
              <w:rPr>
                <w:color w:val="000000" w:themeColor="text1"/>
              </w:rPr>
            </w:pPr>
            <w:r w:rsidRPr="00286216">
              <w:rPr>
                <w:color w:val="000000" w:themeColor="text1"/>
              </w:rPr>
              <w:t>в) у абзаці першому частини третьої після слів "емітента цінних паперів" та після слів "кількості цінних паперів" додати слова "(крім депозитних сертифікатів банків)";</w:t>
            </w:r>
          </w:p>
        </w:tc>
        <w:tc>
          <w:tcPr>
            <w:tcW w:w="3686" w:type="dxa"/>
          </w:tcPr>
          <w:p w14:paraId="52492C7C" w14:textId="77777777" w:rsidR="008F1775" w:rsidRPr="00286216" w:rsidRDefault="008F1775" w:rsidP="008F1775">
            <w:pPr>
              <w:pStyle w:val="StyleProp"/>
              <w:rPr>
                <w:color w:val="000000" w:themeColor="text1"/>
                <w:szCs w:val="18"/>
              </w:rPr>
            </w:pPr>
          </w:p>
        </w:tc>
        <w:tc>
          <w:tcPr>
            <w:tcW w:w="1987" w:type="dxa"/>
          </w:tcPr>
          <w:p w14:paraId="5C3C6199" w14:textId="77777777" w:rsidR="008F1775" w:rsidRPr="00286216" w:rsidRDefault="008F1775" w:rsidP="008F1775">
            <w:pPr>
              <w:pStyle w:val="StyleWisnow"/>
              <w:rPr>
                <w:color w:val="000000" w:themeColor="text1"/>
              </w:rPr>
            </w:pPr>
          </w:p>
        </w:tc>
        <w:tc>
          <w:tcPr>
            <w:tcW w:w="4818" w:type="dxa"/>
          </w:tcPr>
          <w:p w14:paraId="1378FF2E" w14:textId="74A8AA04" w:rsidR="008F1775" w:rsidRPr="00286216" w:rsidRDefault="008F1775" w:rsidP="008F1775">
            <w:pPr>
              <w:pStyle w:val="StyleZakonu"/>
              <w:rPr>
                <w:color w:val="000000" w:themeColor="text1"/>
              </w:rPr>
            </w:pPr>
            <w:r w:rsidRPr="00286216">
              <w:rPr>
                <w:color w:val="000000" w:themeColor="text1"/>
              </w:rPr>
              <w:t>в) абзац перший частини третьої після слів "емітента цінних паперів" та "кількості цінних паперів" доповнити словами "(крім депозитних сертифікатів банків)";</w:t>
            </w:r>
          </w:p>
        </w:tc>
      </w:tr>
      <w:tr w:rsidR="008F1775" w:rsidRPr="00286216" w14:paraId="46F195A6" w14:textId="77777777" w:rsidTr="00091AA5">
        <w:tc>
          <w:tcPr>
            <w:tcW w:w="576" w:type="dxa"/>
          </w:tcPr>
          <w:p w14:paraId="396FCD53" w14:textId="77777777" w:rsidR="008F1775" w:rsidRPr="00286216" w:rsidRDefault="008F1775" w:rsidP="008F1775">
            <w:pPr>
              <w:pStyle w:val="StyleWisnow"/>
              <w:rPr>
                <w:color w:val="000000" w:themeColor="text1"/>
              </w:rPr>
            </w:pPr>
            <w:bookmarkStart w:id="3697" w:name="n3828" w:colFirst="0" w:colLast="0"/>
            <w:bookmarkEnd w:id="3696"/>
            <w:r w:rsidRPr="00286216">
              <w:rPr>
                <w:color w:val="000000" w:themeColor="text1"/>
              </w:rPr>
              <w:t>3828.</w:t>
            </w:r>
          </w:p>
        </w:tc>
        <w:tc>
          <w:tcPr>
            <w:tcW w:w="4818" w:type="dxa"/>
          </w:tcPr>
          <w:p w14:paraId="1124C385" w14:textId="77777777" w:rsidR="008F1775" w:rsidRPr="00286216" w:rsidRDefault="008F1775" w:rsidP="008F1775">
            <w:pPr>
              <w:pStyle w:val="StyleZakonu"/>
              <w:rPr>
                <w:color w:val="000000" w:themeColor="text1"/>
              </w:rPr>
            </w:pPr>
            <w:r w:rsidRPr="00286216">
              <w:rPr>
                <w:color w:val="000000" w:themeColor="text1"/>
              </w:rPr>
              <w:t>г) у частині четвертій:</w:t>
            </w:r>
          </w:p>
        </w:tc>
        <w:tc>
          <w:tcPr>
            <w:tcW w:w="3686" w:type="dxa"/>
          </w:tcPr>
          <w:p w14:paraId="4A6D7B0A" w14:textId="77777777" w:rsidR="008F1775" w:rsidRPr="00286216" w:rsidRDefault="008F1775" w:rsidP="008F1775">
            <w:pPr>
              <w:pStyle w:val="StyleProp"/>
              <w:rPr>
                <w:color w:val="000000" w:themeColor="text1"/>
                <w:szCs w:val="18"/>
              </w:rPr>
            </w:pPr>
          </w:p>
        </w:tc>
        <w:tc>
          <w:tcPr>
            <w:tcW w:w="1987" w:type="dxa"/>
          </w:tcPr>
          <w:p w14:paraId="65161189" w14:textId="77777777" w:rsidR="008F1775" w:rsidRPr="00286216" w:rsidRDefault="008F1775" w:rsidP="008F1775">
            <w:pPr>
              <w:pStyle w:val="StyleWisnow"/>
              <w:rPr>
                <w:color w:val="000000" w:themeColor="text1"/>
              </w:rPr>
            </w:pPr>
          </w:p>
        </w:tc>
        <w:tc>
          <w:tcPr>
            <w:tcW w:w="4818" w:type="dxa"/>
          </w:tcPr>
          <w:p w14:paraId="1AABABFC" w14:textId="6A03E785" w:rsidR="008F1775" w:rsidRPr="00286216" w:rsidRDefault="008F1775" w:rsidP="008F1775">
            <w:pPr>
              <w:pStyle w:val="StyleZakonu"/>
              <w:rPr>
                <w:color w:val="000000" w:themeColor="text1"/>
              </w:rPr>
            </w:pPr>
            <w:r w:rsidRPr="00286216">
              <w:rPr>
                <w:color w:val="000000" w:themeColor="text1"/>
              </w:rPr>
              <w:t>г) у частині четвертій:</w:t>
            </w:r>
          </w:p>
        </w:tc>
      </w:tr>
      <w:tr w:rsidR="008F1775" w:rsidRPr="00286216" w14:paraId="3505CE23" w14:textId="77777777" w:rsidTr="00091AA5">
        <w:tc>
          <w:tcPr>
            <w:tcW w:w="576" w:type="dxa"/>
          </w:tcPr>
          <w:p w14:paraId="3D06D680" w14:textId="77777777" w:rsidR="008F1775" w:rsidRPr="00286216" w:rsidRDefault="008F1775" w:rsidP="008F1775">
            <w:pPr>
              <w:pStyle w:val="StyleWisnow"/>
              <w:rPr>
                <w:color w:val="000000" w:themeColor="text1"/>
              </w:rPr>
            </w:pPr>
            <w:bookmarkStart w:id="3698" w:name="n3829" w:colFirst="0" w:colLast="0"/>
            <w:bookmarkEnd w:id="3697"/>
            <w:r w:rsidRPr="00286216">
              <w:rPr>
                <w:color w:val="000000" w:themeColor="text1"/>
              </w:rPr>
              <w:t>3829.</w:t>
            </w:r>
          </w:p>
        </w:tc>
        <w:tc>
          <w:tcPr>
            <w:tcW w:w="4818" w:type="dxa"/>
          </w:tcPr>
          <w:p w14:paraId="4A5FB422" w14:textId="77777777" w:rsidR="008F1775" w:rsidRPr="00286216" w:rsidRDefault="008F1775" w:rsidP="008F1775">
            <w:pPr>
              <w:pStyle w:val="StyleZakonu"/>
              <w:rPr>
                <w:color w:val="000000" w:themeColor="text1"/>
              </w:rPr>
            </w:pPr>
            <w:r w:rsidRPr="00286216">
              <w:rPr>
                <w:color w:val="000000" w:themeColor="text1"/>
              </w:rPr>
              <w:t>у абзаці першому після слів "кількість цінних паперів" додати слова "(крім депозитних сертифікатів банків)";</w:t>
            </w:r>
          </w:p>
        </w:tc>
        <w:tc>
          <w:tcPr>
            <w:tcW w:w="3686" w:type="dxa"/>
          </w:tcPr>
          <w:p w14:paraId="548E48B4" w14:textId="77777777" w:rsidR="008F1775" w:rsidRPr="00286216" w:rsidRDefault="008F1775" w:rsidP="008F1775">
            <w:pPr>
              <w:pStyle w:val="StyleProp"/>
              <w:rPr>
                <w:color w:val="000000" w:themeColor="text1"/>
                <w:szCs w:val="18"/>
              </w:rPr>
            </w:pPr>
          </w:p>
        </w:tc>
        <w:tc>
          <w:tcPr>
            <w:tcW w:w="1987" w:type="dxa"/>
          </w:tcPr>
          <w:p w14:paraId="7187FEC0" w14:textId="77777777" w:rsidR="008F1775" w:rsidRPr="00286216" w:rsidRDefault="008F1775" w:rsidP="008F1775">
            <w:pPr>
              <w:pStyle w:val="StyleWisnow"/>
              <w:rPr>
                <w:color w:val="000000" w:themeColor="text1"/>
              </w:rPr>
            </w:pPr>
          </w:p>
        </w:tc>
        <w:tc>
          <w:tcPr>
            <w:tcW w:w="4818" w:type="dxa"/>
          </w:tcPr>
          <w:p w14:paraId="0944F208" w14:textId="76C63B8F" w:rsidR="008F1775" w:rsidRPr="00286216" w:rsidRDefault="008F1775" w:rsidP="008F1775">
            <w:pPr>
              <w:pStyle w:val="StyleZakonu"/>
              <w:rPr>
                <w:color w:val="000000" w:themeColor="text1"/>
              </w:rPr>
            </w:pPr>
            <w:r w:rsidRPr="00286216">
              <w:rPr>
                <w:color w:val="000000" w:themeColor="text1"/>
              </w:rPr>
              <w:t>абзац перший після слів "кількість цінних паперів"  доповнити словами "(крім депозитних сертифікатів банків)";</w:t>
            </w:r>
          </w:p>
        </w:tc>
      </w:tr>
      <w:tr w:rsidR="008F1775" w:rsidRPr="00286216" w14:paraId="012F7D30" w14:textId="77777777" w:rsidTr="00091AA5">
        <w:tc>
          <w:tcPr>
            <w:tcW w:w="576" w:type="dxa"/>
          </w:tcPr>
          <w:p w14:paraId="3AC1D527" w14:textId="77777777" w:rsidR="008F1775" w:rsidRPr="00286216" w:rsidRDefault="008F1775" w:rsidP="008F1775">
            <w:pPr>
              <w:pStyle w:val="StyleWisnow"/>
              <w:rPr>
                <w:color w:val="000000" w:themeColor="text1"/>
              </w:rPr>
            </w:pPr>
            <w:bookmarkStart w:id="3699" w:name="n3830" w:colFirst="0" w:colLast="0"/>
            <w:bookmarkEnd w:id="3698"/>
            <w:r w:rsidRPr="00286216">
              <w:rPr>
                <w:color w:val="000000" w:themeColor="text1"/>
              </w:rPr>
              <w:t>3830.</w:t>
            </w:r>
          </w:p>
        </w:tc>
        <w:tc>
          <w:tcPr>
            <w:tcW w:w="4818" w:type="dxa"/>
          </w:tcPr>
          <w:p w14:paraId="391B1B1A" w14:textId="77777777" w:rsidR="008F1775" w:rsidRPr="00286216" w:rsidRDefault="008F1775" w:rsidP="008F1775">
            <w:pPr>
              <w:pStyle w:val="StyleZakonu"/>
              <w:rPr>
                <w:color w:val="000000" w:themeColor="text1"/>
              </w:rPr>
            </w:pPr>
            <w:r w:rsidRPr="00286216">
              <w:rPr>
                <w:color w:val="000000" w:themeColor="text1"/>
              </w:rPr>
              <w:t>у абзаці другому після слів "інформації про зняття обмежень щодо обігу цінних паперів" додати слова "(крім депозитних сертифікатів банків)";</w:t>
            </w:r>
          </w:p>
        </w:tc>
        <w:tc>
          <w:tcPr>
            <w:tcW w:w="3686" w:type="dxa"/>
          </w:tcPr>
          <w:p w14:paraId="5FEB776E" w14:textId="77777777" w:rsidR="008F1775" w:rsidRPr="00286216" w:rsidRDefault="008F1775" w:rsidP="008F1775">
            <w:pPr>
              <w:pStyle w:val="StyleProp"/>
              <w:rPr>
                <w:color w:val="000000" w:themeColor="text1"/>
                <w:szCs w:val="18"/>
              </w:rPr>
            </w:pPr>
          </w:p>
        </w:tc>
        <w:tc>
          <w:tcPr>
            <w:tcW w:w="1987" w:type="dxa"/>
          </w:tcPr>
          <w:p w14:paraId="67519FA2" w14:textId="77777777" w:rsidR="008F1775" w:rsidRPr="00286216" w:rsidRDefault="008F1775" w:rsidP="008F1775">
            <w:pPr>
              <w:pStyle w:val="StyleWisnow"/>
              <w:rPr>
                <w:color w:val="000000" w:themeColor="text1"/>
              </w:rPr>
            </w:pPr>
          </w:p>
        </w:tc>
        <w:tc>
          <w:tcPr>
            <w:tcW w:w="4818" w:type="dxa"/>
          </w:tcPr>
          <w:p w14:paraId="4166008A" w14:textId="04A3CCED" w:rsidR="008F1775" w:rsidRPr="00286216" w:rsidRDefault="008F1775" w:rsidP="008F1775">
            <w:pPr>
              <w:pStyle w:val="StyleZakonu"/>
              <w:rPr>
                <w:color w:val="000000" w:themeColor="text1"/>
              </w:rPr>
            </w:pPr>
            <w:r w:rsidRPr="00286216">
              <w:rPr>
                <w:color w:val="000000" w:themeColor="text1"/>
              </w:rPr>
              <w:t>абзац другий після слів "інформації про зняття обмежень щодо обігу цінних паперів" доповнити словами "(крім депозитних сертифікатів банків)";</w:t>
            </w:r>
          </w:p>
        </w:tc>
      </w:tr>
      <w:tr w:rsidR="008F1775" w:rsidRPr="00286216" w14:paraId="76E61061" w14:textId="77777777" w:rsidTr="00091AA5">
        <w:tc>
          <w:tcPr>
            <w:tcW w:w="576" w:type="dxa"/>
          </w:tcPr>
          <w:p w14:paraId="15E23FC1" w14:textId="77777777" w:rsidR="008F1775" w:rsidRPr="00286216" w:rsidRDefault="008F1775" w:rsidP="008F1775">
            <w:pPr>
              <w:pStyle w:val="StyleWisnow"/>
              <w:rPr>
                <w:color w:val="000000" w:themeColor="text1"/>
              </w:rPr>
            </w:pPr>
            <w:bookmarkStart w:id="3700" w:name="n3831" w:colFirst="0" w:colLast="0"/>
            <w:bookmarkEnd w:id="3699"/>
            <w:r w:rsidRPr="00286216">
              <w:rPr>
                <w:color w:val="000000" w:themeColor="text1"/>
              </w:rPr>
              <w:t>3831.</w:t>
            </w:r>
          </w:p>
        </w:tc>
        <w:tc>
          <w:tcPr>
            <w:tcW w:w="4818" w:type="dxa"/>
          </w:tcPr>
          <w:p w14:paraId="23B49420" w14:textId="77777777" w:rsidR="008F1775" w:rsidRPr="00286216" w:rsidRDefault="008F1775" w:rsidP="008F1775">
            <w:pPr>
              <w:pStyle w:val="StyleZakonu"/>
              <w:rPr>
                <w:color w:val="000000" w:themeColor="text1"/>
              </w:rPr>
            </w:pPr>
            <w:r w:rsidRPr="00286216">
              <w:rPr>
                <w:color w:val="000000" w:themeColor="text1"/>
              </w:rPr>
              <w:t>ґ) у частині п’ятій після слів "обліку цінних паперів" додати слова "(крім депозитних сертифікатів банків)", а слова "фондовій біржі" замінити словами "організованих ринках капіталу";</w:t>
            </w:r>
          </w:p>
        </w:tc>
        <w:tc>
          <w:tcPr>
            <w:tcW w:w="3686" w:type="dxa"/>
          </w:tcPr>
          <w:p w14:paraId="61A359C4" w14:textId="77777777" w:rsidR="008F1775" w:rsidRPr="00286216" w:rsidRDefault="008F1775" w:rsidP="008F1775">
            <w:pPr>
              <w:pStyle w:val="StyleProp"/>
              <w:rPr>
                <w:color w:val="000000" w:themeColor="text1"/>
                <w:szCs w:val="18"/>
              </w:rPr>
            </w:pPr>
          </w:p>
        </w:tc>
        <w:tc>
          <w:tcPr>
            <w:tcW w:w="1987" w:type="dxa"/>
          </w:tcPr>
          <w:p w14:paraId="52B796FF" w14:textId="77777777" w:rsidR="008F1775" w:rsidRPr="00286216" w:rsidRDefault="008F1775" w:rsidP="008F1775">
            <w:pPr>
              <w:pStyle w:val="StyleWisnow"/>
              <w:rPr>
                <w:color w:val="000000" w:themeColor="text1"/>
              </w:rPr>
            </w:pPr>
          </w:p>
        </w:tc>
        <w:tc>
          <w:tcPr>
            <w:tcW w:w="4818" w:type="dxa"/>
          </w:tcPr>
          <w:p w14:paraId="68288E40" w14:textId="5EAE3CC0" w:rsidR="008F1775" w:rsidRPr="00286216" w:rsidRDefault="008F1775" w:rsidP="008F1775">
            <w:pPr>
              <w:pStyle w:val="StyleZakonu"/>
              <w:rPr>
                <w:color w:val="000000" w:themeColor="text1"/>
              </w:rPr>
            </w:pPr>
            <w:r w:rsidRPr="00286216">
              <w:rPr>
                <w:color w:val="000000" w:themeColor="text1"/>
              </w:rPr>
              <w:t>ґ) частину п’яту після слів "обліку цінних паперів"  доповнити словами "(крім депозитних сертифікатів банків)", а слова "фондовій біржі" замінити словами "організованих ринках капіталу";</w:t>
            </w:r>
          </w:p>
        </w:tc>
      </w:tr>
      <w:tr w:rsidR="008F1775" w:rsidRPr="00286216" w14:paraId="5F9A7B95" w14:textId="77777777" w:rsidTr="00091AA5">
        <w:tc>
          <w:tcPr>
            <w:tcW w:w="576" w:type="dxa"/>
          </w:tcPr>
          <w:p w14:paraId="730F3EFD" w14:textId="77777777" w:rsidR="008F1775" w:rsidRPr="00286216" w:rsidRDefault="008F1775" w:rsidP="008F1775">
            <w:pPr>
              <w:pStyle w:val="StyleWisnow"/>
              <w:rPr>
                <w:color w:val="000000" w:themeColor="text1"/>
              </w:rPr>
            </w:pPr>
            <w:bookmarkStart w:id="3701" w:name="n3832" w:colFirst="0" w:colLast="0"/>
            <w:bookmarkEnd w:id="3700"/>
            <w:r w:rsidRPr="00286216">
              <w:rPr>
                <w:color w:val="000000" w:themeColor="text1"/>
              </w:rPr>
              <w:t>3832.</w:t>
            </w:r>
          </w:p>
        </w:tc>
        <w:tc>
          <w:tcPr>
            <w:tcW w:w="4818" w:type="dxa"/>
          </w:tcPr>
          <w:p w14:paraId="2AF06387" w14:textId="77777777" w:rsidR="008F1775" w:rsidRPr="00286216" w:rsidRDefault="008F1775" w:rsidP="008F1775">
            <w:pPr>
              <w:pStyle w:val="StyleZakonu"/>
              <w:rPr>
                <w:color w:val="000000" w:themeColor="text1"/>
              </w:rPr>
            </w:pPr>
            <w:r w:rsidRPr="00286216">
              <w:rPr>
                <w:color w:val="000000" w:themeColor="text1"/>
              </w:rPr>
              <w:t>д) частину шосту викласти у такій редакції:</w:t>
            </w:r>
          </w:p>
        </w:tc>
        <w:tc>
          <w:tcPr>
            <w:tcW w:w="3686" w:type="dxa"/>
          </w:tcPr>
          <w:p w14:paraId="6326F002" w14:textId="77777777" w:rsidR="008F1775" w:rsidRPr="00286216" w:rsidRDefault="008F1775" w:rsidP="008F1775">
            <w:pPr>
              <w:pStyle w:val="StyleProp"/>
              <w:rPr>
                <w:color w:val="000000" w:themeColor="text1"/>
                <w:szCs w:val="18"/>
              </w:rPr>
            </w:pPr>
          </w:p>
        </w:tc>
        <w:tc>
          <w:tcPr>
            <w:tcW w:w="1987" w:type="dxa"/>
          </w:tcPr>
          <w:p w14:paraId="67D25EE1" w14:textId="77777777" w:rsidR="008F1775" w:rsidRPr="00286216" w:rsidRDefault="008F1775" w:rsidP="008F1775">
            <w:pPr>
              <w:pStyle w:val="StyleWisnow"/>
              <w:rPr>
                <w:color w:val="000000" w:themeColor="text1"/>
              </w:rPr>
            </w:pPr>
          </w:p>
        </w:tc>
        <w:tc>
          <w:tcPr>
            <w:tcW w:w="4818" w:type="dxa"/>
          </w:tcPr>
          <w:p w14:paraId="0C8EDBFF" w14:textId="5D5D81D7" w:rsidR="008F1775" w:rsidRPr="00286216" w:rsidRDefault="008F1775" w:rsidP="008F1775">
            <w:pPr>
              <w:pStyle w:val="StyleZakonu"/>
              <w:rPr>
                <w:color w:val="000000" w:themeColor="text1"/>
              </w:rPr>
            </w:pPr>
            <w:r w:rsidRPr="00286216">
              <w:rPr>
                <w:color w:val="000000" w:themeColor="text1"/>
              </w:rPr>
              <w:t>д) частину шосту викласти в такій редакції:</w:t>
            </w:r>
          </w:p>
        </w:tc>
      </w:tr>
      <w:tr w:rsidR="008F1775" w:rsidRPr="00286216" w14:paraId="6A0E312C" w14:textId="77777777" w:rsidTr="00091AA5">
        <w:tc>
          <w:tcPr>
            <w:tcW w:w="576" w:type="dxa"/>
          </w:tcPr>
          <w:p w14:paraId="4483FAF0" w14:textId="77777777" w:rsidR="008F1775" w:rsidRPr="00286216" w:rsidRDefault="008F1775" w:rsidP="008F1775">
            <w:pPr>
              <w:pStyle w:val="StyleWisnow"/>
              <w:rPr>
                <w:color w:val="000000" w:themeColor="text1"/>
              </w:rPr>
            </w:pPr>
            <w:bookmarkStart w:id="3702" w:name="n3833" w:colFirst="0" w:colLast="0"/>
            <w:bookmarkEnd w:id="3701"/>
            <w:r w:rsidRPr="00286216">
              <w:rPr>
                <w:color w:val="000000" w:themeColor="text1"/>
              </w:rPr>
              <w:t>3833.</w:t>
            </w:r>
          </w:p>
        </w:tc>
        <w:tc>
          <w:tcPr>
            <w:tcW w:w="4818" w:type="dxa"/>
          </w:tcPr>
          <w:p w14:paraId="163EB40A" w14:textId="77777777" w:rsidR="008F1775" w:rsidRPr="00286216" w:rsidRDefault="008F1775" w:rsidP="008F1775">
            <w:pPr>
              <w:pStyle w:val="StyleZakonu"/>
              <w:rPr>
                <w:color w:val="000000" w:themeColor="text1"/>
              </w:rPr>
            </w:pPr>
            <w:r w:rsidRPr="00286216">
              <w:rPr>
                <w:color w:val="000000" w:themeColor="text1"/>
              </w:rPr>
              <w:t>"6. У разі розміщення цінних паперів (крім депозитних сертифікатів банків) на організованих ринках капіталу інформація про депонентів - перших власників подається Центральному депозитарію або Національному банку України оператором організованого ринку капіталу в порядку, встановленому Комісією.</w:t>
            </w:r>
          </w:p>
        </w:tc>
        <w:tc>
          <w:tcPr>
            <w:tcW w:w="3686" w:type="dxa"/>
          </w:tcPr>
          <w:p w14:paraId="7E8D97DB" w14:textId="77777777" w:rsidR="008F1775" w:rsidRPr="00286216" w:rsidRDefault="008F1775" w:rsidP="008F1775">
            <w:pPr>
              <w:pStyle w:val="StyleProp"/>
              <w:rPr>
                <w:color w:val="000000" w:themeColor="text1"/>
                <w:szCs w:val="18"/>
              </w:rPr>
            </w:pPr>
          </w:p>
        </w:tc>
        <w:tc>
          <w:tcPr>
            <w:tcW w:w="1987" w:type="dxa"/>
          </w:tcPr>
          <w:p w14:paraId="19079D8E" w14:textId="77777777" w:rsidR="008F1775" w:rsidRPr="00286216" w:rsidRDefault="008F1775" w:rsidP="008F1775">
            <w:pPr>
              <w:pStyle w:val="StyleWisnow"/>
              <w:rPr>
                <w:color w:val="000000" w:themeColor="text1"/>
              </w:rPr>
            </w:pPr>
          </w:p>
        </w:tc>
        <w:tc>
          <w:tcPr>
            <w:tcW w:w="4818" w:type="dxa"/>
          </w:tcPr>
          <w:p w14:paraId="543400C4" w14:textId="54348FB0" w:rsidR="008F1775" w:rsidRPr="00286216" w:rsidRDefault="008F1775" w:rsidP="008F1775">
            <w:pPr>
              <w:pStyle w:val="StyleZakonu"/>
              <w:rPr>
                <w:color w:val="000000" w:themeColor="text1"/>
              </w:rPr>
            </w:pPr>
            <w:r w:rsidRPr="00286216">
              <w:rPr>
                <w:color w:val="000000" w:themeColor="text1"/>
              </w:rPr>
              <w:t>"6. У разі розміщення цінних паперів (крім депозитних сертифікатів банків) на організованих ринках капіталу інформація про депонентів - перших власників подається Центральному депозитарію або Національному банку України оператором організованого ринку капіталу в порядку, встановленому Комісією.</w:t>
            </w:r>
          </w:p>
        </w:tc>
      </w:tr>
      <w:tr w:rsidR="008F1775" w:rsidRPr="00286216" w14:paraId="6FC75361" w14:textId="77777777" w:rsidTr="00091AA5">
        <w:tc>
          <w:tcPr>
            <w:tcW w:w="576" w:type="dxa"/>
          </w:tcPr>
          <w:p w14:paraId="3D815A3F" w14:textId="77777777" w:rsidR="008F1775" w:rsidRPr="00286216" w:rsidRDefault="008F1775" w:rsidP="008F1775">
            <w:pPr>
              <w:pStyle w:val="StyleWisnow"/>
              <w:rPr>
                <w:color w:val="000000" w:themeColor="text1"/>
              </w:rPr>
            </w:pPr>
            <w:bookmarkStart w:id="3703" w:name="n3834" w:colFirst="0" w:colLast="0"/>
            <w:bookmarkEnd w:id="3702"/>
            <w:r w:rsidRPr="00286216">
              <w:rPr>
                <w:color w:val="000000" w:themeColor="text1"/>
              </w:rPr>
              <w:t>3834.</w:t>
            </w:r>
          </w:p>
        </w:tc>
        <w:tc>
          <w:tcPr>
            <w:tcW w:w="4818" w:type="dxa"/>
          </w:tcPr>
          <w:p w14:paraId="267006FE" w14:textId="77777777" w:rsidR="008F1775" w:rsidRPr="00286216" w:rsidRDefault="008F1775" w:rsidP="008F1775">
            <w:pPr>
              <w:pStyle w:val="StyleZakonu"/>
              <w:rPr>
                <w:color w:val="000000" w:themeColor="text1"/>
              </w:rPr>
            </w:pPr>
            <w:r w:rsidRPr="00286216">
              <w:rPr>
                <w:color w:val="000000" w:themeColor="text1"/>
              </w:rPr>
              <w:t>У разі наявності в інформації, що подається оператором організованого ринку капіталу до Центрального депозитарію або до Національного банку України, відомостей, які свідчать про вчинення на організованому ринку капіталу правочинів щодо відчуження першими власниками цінних паперів, які обмежені в обігу на період до отримання Центральним депозитарієм або Національним банком України глобального сертифіката, оформленого за наслідками реєстрації звіту про результати емісії цінних паперів, Центральний депозитарій або Національний банк України не вносить зміни до системи депозитарного обліку на підставі такої інформації та повертає оператору організованого ринку капіталу отриману інформацію для усунення порушень, про що Центральний депозитарій або Національний банк України повідомляє Комісію.</w:t>
            </w:r>
          </w:p>
        </w:tc>
        <w:tc>
          <w:tcPr>
            <w:tcW w:w="3686" w:type="dxa"/>
          </w:tcPr>
          <w:p w14:paraId="32C90B87" w14:textId="3860F410"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1509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5CBF7EF" w14:textId="77777777" w:rsidR="008F1775" w:rsidRPr="00286216" w:rsidRDefault="008F1775" w:rsidP="008F1775">
            <w:pPr>
              <w:pStyle w:val="StyleProp"/>
              <w:rPr>
                <w:color w:val="000000" w:themeColor="text1"/>
                <w:szCs w:val="18"/>
              </w:rPr>
            </w:pPr>
            <w:r w:rsidRPr="00286216">
              <w:rPr>
                <w:color w:val="000000" w:themeColor="text1"/>
                <w:szCs w:val="18"/>
              </w:rPr>
              <w:t>Абзац третій підпункту «д» підпункту 15 пункту 44 доповнити словами офіційним каналом зв’язку, передбаченим Законом України «Про ринки капіталу та організовані товарні ринки».</w:t>
            </w:r>
          </w:p>
        </w:tc>
        <w:tc>
          <w:tcPr>
            <w:tcW w:w="1987" w:type="dxa"/>
          </w:tcPr>
          <w:p w14:paraId="5CF36703" w14:textId="77777777" w:rsidR="008F1775" w:rsidRPr="00286216" w:rsidRDefault="008F1775" w:rsidP="008F1775">
            <w:pPr>
              <w:pStyle w:val="StyleWisnow"/>
              <w:rPr>
                <w:color w:val="000000" w:themeColor="text1"/>
              </w:rPr>
            </w:pPr>
            <w:r w:rsidRPr="00286216">
              <w:rPr>
                <w:color w:val="000000" w:themeColor="text1"/>
              </w:rPr>
              <w:t>Враховано</w:t>
            </w:r>
          </w:p>
        </w:tc>
        <w:tc>
          <w:tcPr>
            <w:tcW w:w="4818" w:type="dxa"/>
          </w:tcPr>
          <w:p w14:paraId="00C3BA1B" w14:textId="674B0B1E" w:rsidR="008F1775" w:rsidRPr="00286216" w:rsidRDefault="008F1775" w:rsidP="008F1775">
            <w:pPr>
              <w:pStyle w:val="StyleZakonu"/>
              <w:rPr>
                <w:color w:val="000000" w:themeColor="text1"/>
              </w:rPr>
            </w:pPr>
            <w:r w:rsidRPr="00286216">
              <w:rPr>
                <w:color w:val="000000" w:themeColor="text1"/>
              </w:rPr>
              <w:t xml:space="preserve">У разі наявності в інформації, що подається оператором організованого ринку капіталу до Центрального депозитарію або до Національного банку України, відомостей, що свідчать про вчинення на організованому ринку капіталу правочинів щодо відчуження першими власниками цінних паперів, які обмежені в обігу на період до отримання Центральним депозитарієм або Національним банком України глобального сертифіката, оформленого за наслідками реєстрації звіту про результати емісії цінних паперів, Центральний депозитарій або Національний банк України не вносить зміни до системи депозитарного обліку на підставі такої інформації та повертає оператору організованого ринку капіталу отриману інформацію для усунення порушень, про що Центральний депозитарій або Національний банк України повідомляє Комісію </w:t>
            </w:r>
            <w:r w:rsidRPr="00286216">
              <w:rPr>
                <w:color w:val="000000" w:themeColor="text1"/>
                <w:szCs w:val="18"/>
              </w:rPr>
              <w:t xml:space="preserve">офіційним каналом зв’язку, передбаченим Законом України "Про ринки капіталу та організовані товарні </w:t>
            </w:r>
            <w:r w:rsidRPr="00286216">
              <w:rPr>
                <w:color w:val="000000" w:themeColor="text1"/>
                <w:szCs w:val="18"/>
              </w:rPr>
              <w:lastRenderedPageBreak/>
              <w:t>ринки"</w:t>
            </w:r>
            <w:r w:rsidRPr="00286216">
              <w:rPr>
                <w:color w:val="000000" w:themeColor="text1"/>
              </w:rPr>
              <w:t>.</w:t>
            </w:r>
          </w:p>
        </w:tc>
      </w:tr>
      <w:tr w:rsidR="008F1775" w:rsidRPr="00286216" w14:paraId="6248DB86" w14:textId="77777777" w:rsidTr="00091AA5">
        <w:tc>
          <w:tcPr>
            <w:tcW w:w="576" w:type="dxa"/>
          </w:tcPr>
          <w:p w14:paraId="4CD6AB92" w14:textId="77777777" w:rsidR="008F1775" w:rsidRPr="00286216" w:rsidRDefault="008F1775" w:rsidP="008F1775">
            <w:pPr>
              <w:pStyle w:val="StyleWisnow"/>
              <w:rPr>
                <w:color w:val="000000" w:themeColor="text1"/>
              </w:rPr>
            </w:pPr>
            <w:bookmarkStart w:id="3704" w:name="n3835" w:colFirst="0" w:colLast="0"/>
            <w:bookmarkEnd w:id="3703"/>
            <w:r w:rsidRPr="00286216">
              <w:rPr>
                <w:color w:val="000000" w:themeColor="text1"/>
              </w:rPr>
              <w:lastRenderedPageBreak/>
              <w:t>3835.</w:t>
            </w:r>
          </w:p>
        </w:tc>
        <w:tc>
          <w:tcPr>
            <w:tcW w:w="4818" w:type="dxa"/>
          </w:tcPr>
          <w:p w14:paraId="6280E4AA" w14:textId="77777777" w:rsidR="008F1775" w:rsidRPr="00286216" w:rsidRDefault="008F1775" w:rsidP="008F1775">
            <w:pPr>
              <w:pStyle w:val="StyleZakonu"/>
              <w:rPr>
                <w:color w:val="000000" w:themeColor="text1"/>
              </w:rPr>
            </w:pPr>
            <w:r w:rsidRPr="00286216">
              <w:rPr>
                <w:color w:val="000000" w:themeColor="text1"/>
              </w:rPr>
              <w:t>Оператор організованого ринку капіталу несе в установленому законом порядку відповідальність за повноту і достовірність поданої Центральному депозитарію або Національному банку України інформації.";</w:t>
            </w:r>
          </w:p>
        </w:tc>
        <w:tc>
          <w:tcPr>
            <w:tcW w:w="3686" w:type="dxa"/>
          </w:tcPr>
          <w:p w14:paraId="05D14BCB" w14:textId="77777777" w:rsidR="008F1775" w:rsidRPr="00286216" w:rsidRDefault="008F1775" w:rsidP="008F1775">
            <w:pPr>
              <w:pStyle w:val="StyleProp"/>
              <w:rPr>
                <w:color w:val="000000" w:themeColor="text1"/>
                <w:szCs w:val="18"/>
              </w:rPr>
            </w:pPr>
          </w:p>
        </w:tc>
        <w:tc>
          <w:tcPr>
            <w:tcW w:w="1987" w:type="dxa"/>
          </w:tcPr>
          <w:p w14:paraId="49554BCA" w14:textId="77777777" w:rsidR="008F1775" w:rsidRPr="00286216" w:rsidRDefault="008F1775" w:rsidP="008F1775">
            <w:pPr>
              <w:pStyle w:val="StyleWisnow"/>
              <w:rPr>
                <w:color w:val="000000" w:themeColor="text1"/>
              </w:rPr>
            </w:pPr>
          </w:p>
        </w:tc>
        <w:tc>
          <w:tcPr>
            <w:tcW w:w="4818" w:type="dxa"/>
          </w:tcPr>
          <w:p w14:paraId="68496231" w14:textId="7342DE95" w:rsidR="008F1775" w:rsidRPr="00286216" w:rsidRDefault="008F1775" w:rsidP="008F1775">
            <w:pPr>
              <w:pStyle w:val="StyleZakonu"/>
              <w:rPr>
                <w:color w:val="000000" w:themeColor="text1"/>
              </w:rPr>
            </w:pPr>
            <w:r w:rsidRPr="00286216">
              <w:rPr>
                <w:color w:val="000000" w:themeColor="text1"/>
              </w:rPr>
              <w:t>Оператор організованого ринку капіталу несе в установленому законом порядку відповідальність за повноту і достовірність поданої Центральному депозитарію або Національному банку України інформації";</w:t>
            </w:r>
          </w:p>
        </w:tc>
      </w:tr>
      <w:tr w:rsidR="008F1775" w:rsidRPr="00286216" w14:paraId="53C74C01" w14:textId="77777777" w:rsidTr="00091AA5">
        <w:tc>
          <w:tcPr>
            <w:tcW w:w="576" w:type="dxa"/>
          </w:tcPr>
          <w:p w14:paraId="201A88D6" w14:textId="77777777" w:rsidR="008F1775" w:rsidRPr="00286216" w:rsidRDefault="008F1775" w:rsidP="008F1775">
            <w:pPr>
              <w:pStyle w:val="StyleWisnow"/>
              <w:rPr>
                <w:color w:val="000000" w:themeColor="text1"/>
              </w:rPr>
            </w:pPr>
            <w:bookmarkStart w:id="3705" w:name="n3836" w:colFirst="0" w:colLast="0"/>
            <w:bookmarkEnd w:id="3704"/>
            <w:r w:rsidRPr="00286216">
              <w:rPr>
                <w:color w:val="000000" w:themeColor="text1"/>
              </w:rPr>
              <w:t>3836.</w:t>
            </w:r>
          </w:p>
        </w:tc>
        <w:tc>
          <w:tcPr>
            <w:tcW w:w="4818" w:type="dxa"/>
          </w:tcPr>
          <w:p w14:paraId="35003576" w14:textId="77777777" w:rsidR="008F1775" w:rsidRPr="00286216" w:rsidRDefault="008F1775" w:rsidP="008F1775">
            <w:pPr>
              <w:pStyle w:val="StyleZakonu"/>
              <w:rPr>
                <w:color w:val="000000" w:themeColor="text1"/>
              </w:rPr>
            </w:pPr>
            <w:r w:rsidRPr="00286216">
              <w:rPr>
                <w:color w:val="000000" w:themeColor="text1"/>
              </w:rPr>
              <w:t>е) доповнити частину восьму новим абзацорм такого змісту:</w:t>
            </w:r>
          </w:p>
        </w:tc>
        <w:tc>
          <w:tcPr>
            <w:tcW w:w="3686" w:type="dxa"/>
          </w:tcPr>
          <w:p w14:paraId="640FC0CA" w14:textId="77777777" w:rsidR="008F1775" w:rsidRPr="00286216" w:rsidRDefault="008F1775" w:rsidP="008F1775">
            <w:pPr>
              <w:pStyle w:val="StyleProp"/>
              <w:rPr>
                <w:color w:val="000000" w:themeColor="text1"/>
                <w:szCs w:val="18"/>
              </w:rPr>
            </w:pPr>
          </w:p>
        </w:tc>
        <w:tc>
          <w:tcPr>
            <w:tcW w:w="1987" w:type="dxa"/>
          </w:tcPr>
          <w:p w14:paraId="4B63E5D1" w14:textId="77777777" w:rsidR="008F1775" w:rsidRPr="00286216" w:rsidRDefault="008F1775" w:rsidP="008F1775">
            <w:pPr>
              <w:pStyle w:val="StyleWisnow"/>
              <w:rPr>
                <w:color w:val="000000" w:themeColor="text1"/>
              </w:rPr>
            </w:pPr>
          </w:p>
        </w:tc>
        <w:tc>
          <w:tcPr>
            <w:tcW w:w="4818" w:type="dxa"/>
          </w:tcPr>
          <w:p w14:paraId="527453FF" w14:textId="06DCC292" w:rsidR="008F1775" w:rsidRPr="00286216" w:rsidRDefault="008F1775" w:rsidP="008F1775">
            <w:pPr>
              <w:pStyle w:val="StyleZakonu"/>
              <w:rPr>
                <w:color w:val="000000" w:themeColor="text1"/>
              </w:rPr>
            </w:pPr>
            <w:r w:rsidRPr="00286216">
              <w:rPr>
                <w:color w:val="000000" w:themeColor="text1"/>
              </w:rPr>
              <w:t>е) частину восьму доповнити абзацом другим такого змісту:</w:t>
            </w:r>
          </w:p>
        </w:tc>
      </w:tr>
      <w:tr w:rsidR="008F1775" w:rsidRPr="00286216" w14:paraId="5A7F1143" w14:textId="77777777" w:rsidTr="00091AA5">
        <w:tc>
          <w:tcPr>
            <w:tcW w:w="576" w:type="dxa"/>
          </w:tcPr>
          <w:p w14:paraId="1FBBB18F" w14:textId="77777777" w:rsidR="008F1775" w:rsidRPr="00286216" w:rsidRDefault="008F1775" w:rsidP="008F1775">
            <w:pPr>
              <w:pStyle w:val="StyleWisnow"/>
              <w:rPr>
                <w:color w:val="000000" w:themeColor="text1"/>
              </w:rPr>
            </w:pPr>
            <w:bookmarkStart w:id="3706" w:name="n3837" w:colFirst="0" w:colLast="0"/>
            <w:bookmarkEnd w:id="3705"/>
            <w:r w:rsidRPr="00286216">
              <w:rPr>
                <w:color w:val="000000" w:themeColor="text1"/>
              </w:rPr>
              <w:t>3837.</w:t>
            </w:r>
          </w:p>
        </w:tc>
        <w:tc>
          <w:tcPr>
            <w:tcW w:w="4818" w:type="dxa"/>
          </w:tcPr>
          <w:p w14:paraId="7E9783B3" w14:textId="77777777" w:rsidR="008F1775" w:rsidRPr="00286216" w:rsidRDefault="008F1775" w:rsidP="008F1775">
            <w:pPr>
              <w:pStyle w:val="StyleZakonu"/>
              <w:rPr>
                <w:color w:val="000000" w:themeColor="text1"/>
              </w:rPr>
            </w:pPr>
            <w:r w:rsidRPr="00286216">
              <w:rPr>
                <w:color w:val="000000" w:themeColor="text1"/>
              </w:rPr>
              <w:t>"Порядок взаємодії учасників депозитарної системи щодо емісії депозитних сертифікатів банків встановлюється Комісією за погодженням з Національним банком України.";</w:t>
            </w:r>
          </w:p>
        </w:tc>
        <w:tc>
          <w:tcPr>
            <w:tcW w:w="3686" w:type="dxa"/>
          </w:tcPr>
          <w:p w14:paraId="15A4788B" w14:textId="77777777" w:rsidR="008F1775" w:rsidRPr="00286216" w:rsidRDefault="008F1775" w:rsidP="008F1775">
            <w:pPr>
              <w:pStyle w:val="StyleProp"/>
              <w:rPr>
                <w:color w:val="000000" w:themeColor="text1"/>
                <w:szCs w:val="18"/>
              </w:rPr>
            </w:pPr>
          </w:p>
        </w:tc>
        <w:tc>
          <w:tcPr>
            <w:tcW w:w="1987" w:type="dxa"/>
          </w:tcPr>
          <w:p w14:paraId="61B1328D" w14:textId="77777777" w:rsidR="008F1775" w:rsidRPr="00286216" w:rsidRDefault="008F1775" w:rsidP="008F1775">
            <w:pPr>
              <w:pStyle w:val="StyleWisnow"/>
              <w:rPr>
                <w:color w:val="000000" w:themeColor="text1"/>
              </w:rPr>
            </w:pPr>
          </w:p>
        </w:tc>
        <w:tc>
          <w:tcPr>
            <w:tcW w:w="4818" w:type="dxa"/>
          </w:tcPr>
          <w:p w14:paraId="65ED450E" w14:textId="60B30620" w:rsidR="008F1775" w:rsidRPr="00286216" w:rsidRDefault="008F1775" w:rsidP="008F1775">
            <w:pPr>
              <w:pStyle w:val="StyleZakonu"/>
              <w:rPr>
                <w:color w:val="000000" w:themeColor="text1"/>
              </w:rPr>
            </w:pPr>
            <w:r w:rsidRPr="00286216">
              <w:rPr>
                <w:color w:val="000000" w:themeColor="text1"/>
              </w:rPr>
              <w:t>"Порядок взаємодії учасників депозитарної системи щодо емісії депозитних сертифікатів банків встановлюється Комісією за погодженням з Національним банком України";</w:t>
            </w:r>
          </w:p>
        </w:tc>
      </w:tr>
      <w:tr w:rsidR="008F1775" w:rsidRPr="00286216" w14:paraId="2FFC75C1" w14:textId="77777777" w:rsidTr="00091AA5">
        <w:tc>
          <w:tcPr>
            <w:tcW w:w="576" w:type="dxa"/>
          </w:tcPr>
          <w:p w14:paraId="57C615C0" w14:textId="77777777" w:rsidR="008F1775" w:rsidRPr="00286216" w:rsidRDefault="008F1775" w:rsidP="008F1775">
            <w:pPr>
              <w:pStyle w:val="StyleWisnow"/>
              <w:rPr>
                <w:color w:val="000000" w:themeColor="text1"/>
              </w:rPr>
            </w:pPr>
            <w:bookmarkStart w:id="3707" w:name="n3838" w:colFirst="0" w:colLast="0"/>
            <w:bookmarkEnd w:id="3706"/>
            <w:r w:rsidRPr="00286216">
              <w:rPr>
                <w:color w:val="000000" w:themeColor="text1"/>
              </w:rPr>
              <w:t>3838.</w:t>
            </w:r>
          </w:p>
        </w:tc>
        <w:tc>
          <w:tcPr>
            <w:tcW w:w="4818" w:type="dxa"/>
          </w:tcPr>
          <w:p w14:paraId="653D3B7E" w14:textId="77777777" w:rsidR="008F1775" w:rsidRPr="00286216" w:rsidRDefault="008F1775" w:rsidP="008F1775">
            <w:pPr>
              <w:pStyle w:val="StyleZakonu"/>
              <w:rPr>
                <w:color w:val="000000" w:themeColor="text1"/>
              </w:rPr>
            </w:pPr>
            <w:r w:rsidRPr="00286216">
              <w:rPr>
                <w:color w:val="000000" w:themeColor="text1"/>
              </w:rPr>
              <w:t>16) у статті 22:</w:t>
            </w:r>
          </w:p>
        </w:tc>
        <w:tc>
          <w:tcPr>
            <w:tcW w:w="3686" w:type="dxa"/>
          </w:tcPr>
          <w:p w14:paraId="79203B51" w14:textId="77777777" w:rsidR="008F1775" w:rsidRPr="00286216" w:rsidRDefault="008F1775" w:rsidP="008F1775">
            <w:pPr>
              <w:pStyle w:val="StyleProp"/>
              <w:rPr>
                <w:color w:val="000000" w:themeColor="text1"/>
                <w:szCs w:val="18"/>
              </w:rPr>
            </w:pPr>
          </w:p>
        </w:tc>
        <w:tc>
          <w:tcPr>
            <w:tcW w:w="1987" w:type="dxa"/>
          </w:tcPr>
          <w:p w14:paraId="64909DDE" w14:textId="77777777" w:rsidR="008F1775" w:rsidRPr="00286216" w:rsidRDefault="008F1775" w:rsidP="008F1775">
            <w:pPr>
              <w:pStyle w:val="StyleWisnow"/>
              <w:rPr>
                <w:color w:val="000000" w:themeColor="text1"/>
              </w:rPr>
            </w:pPr>
          </w:p>
        </w:tc>
        <w:tc>
          <w:tcPr>
            <w:tcW w:w="4818" w:type="dxa"/>
          </w:tcPr>
          <w:p w14:paraId="1B0528D7" w14:textId="248145AF" w:rsidR="008F1775" w:rsidRPr="00286216" w:rsidRDefault="008F1775" w:rsidP="008F1775">
            <w:pPr>
              <w:pStyle w:val="StyleZakonu"/>
              <w:rPr>
                <w:color w:val="000000" w:themeColor="text1"/>
              </w:rPr>
            </w:pPr>
            <w:r w:rsidRPr="00286216">
              <w:rPr>
                <w:color w:val="000000" w:themeColor="text1"/>
              </w:rPr>
              <w:t>17) у статті 22:</w:t>
            </w:r>
          </w:p>
        </w:tc>
      </w:tr>
      <w:tr w:rsidR="008F1775" w:rsidRPr="00286216" w14:paraId="63CEB17E" w14:textId="77777777" w:rsidTr="00091AA5">
        <w:tc>
          <w:tcPr>
            <w:tcW w:w="576" w:type="dxa"/>
          </w:tcPr>
          <w:p w14:paraId="033E490E" w14:textId="77777777" w:rsidR="008F1775" w:rsidRPr="00286216" w:rsidRDefault="008F1775" w:rsidP="008F1775">
            <w:pPr>
              <w:pStyle w:val="StyleWisnow"/>
              <w:rPr>
                <w:color w:val="000000" w:themeColor="text1"/>
              </w:rPr>
            </w:pPr>
            <w:bookmarkStart w:id="3708" w:name="n3839" w:colFirst="0" w:colLast="0"/>
            <w:bookmarkEnd w:id="3707"/>
            <w:r w:rsidRPr="00286216">
              <w:rPr>
                <w:color w:val="000000" w:themeColor="text1"/>
              </w:rPr>
              <w:t>3839.</w:t>
            </w:r>
          </w:p>
        </w:tc>
        <w:tc>
          <w:tcPr>
            <w:tcW w:w="4818" w:type="dxa"/>
          </w:tcPr>
          <w:p w14:paraId="07854CB2" w14:textId="77777777" w:rsidR="008F1775" w:rsidRPr="00286216" w:rsidRDefault="008F1775" w:rsidP="008F1775">
            <w:pPr>
              <w:pStyle w:val="StyleZakonu"/>
              <w:rPr>
                <w:color w:val="000000" w:themeColor="text1"/>
              </w:rPr>
            </w:pPr>
            <w:r w:rsidRPr="00286216">
              <w:rPr>
                <w:color w:val="000000" w:themeColor="text1"/>
              </w:rPr>
              <w:t>а) в абзаці першому частини п’ятої після слів "від емітента" доповнити словами "або іншої особи, яка має право на отримання реєстру власників іменних цінних паперів";</w:t>
            </w:r>
          </w:p>
        </w:tc>
        <w:tc>
          <w:tcPr>
            <w:tcW w:w="3686" w:type="dxa"/>
          </w:tcPr>
          <w:p w14:paraId="1FDBFB65" w14:textId="77777777" w:rsidR="008F1775" w:rsidRPr="00286216" w:rsidRDefault="008F1775" w:rsidP="008F1775">
            <w:pPr>
              <w:pStyle w:val="StyleProp"/>
              <w:rPr>
                <w:color w:val="000000" w:themeColor="text1"/>
                <w:szCs w:val="18"/>
              </w:rPr>
            </w:pPr>
          </w:p>
        </w:tc>
        <w:tc>
          <w:tcPr>
            <w:tcW w:w="1987" w:type="dxa"/>
          </w:tcPr>
          <w:p w14:paraId="55481B09" w14:textId="77777777" w:rsidR="008F1775" w:rsidRPr="00286216" w:rsidRDefault="008F1775" w:rsidP="008F1775">
            <w:pPr>
              <w:pStyle w:val="StyleWisnow"/>
              <w:rPr>
                <w:color w:val="000000" w:themeColor="text1"/>
              </w:rPr>
            </w:pPr>
          </w:p>
        </w:tc>
        <w:tc>
          <w:tcPr>
            <w:tcW w:w="4818" w:type="dxa"/>
          </w:tcPr>
          <w:p w14:paraId="4A42128E" w14:textId="5726C3FC" w:rsidR="008F1775" w:rsidRPr="00286216" w:rsidRDefault="008F1775" w:rsidP="008F1775">
            <w:pPr>
              <w:pStyle w:val="StyleZakonu"/>
              <w:rPr>
                <w:color w:val="000000" w:themeColor="text1"/>
              </w:rPr>
            </w:pPr>
            <w:r w:rsidRPr="00286216">
              <w:rPr>
                <w:color w:val="000000" w:themeColor="text1"/>
              </w:rPr>
              <w:t>а) абзац перший частини п’ятої після слів "від емітента" доповнити словами "або іншої особи, яка має право на отримання реєстру власників іменних цінних паперів";</w:t>
            </w:r>
          </w:p>
        </w:tc>
      </w:tr>
      <w:tr w:rsidR="008F1775" w:rsidRPr="00286216" w14:paraId="337C2267" w14:textId="77777777" w:rsidTr="00091AA5">
        <w:tc>
          <w:tcPr>
            <w:tcW w:w="576" w:type="dxa"/>
          </w:tcPr>
          <w:p w14:paraId="0B7C1BCC" w14:textId="77777777" w:rsidR="008F1775" w:rsidRPr="00286216" w:rsidRDefault="008F1775" w:rsidP="008F1775">
            <w:pPr>
              <w:pStyle w:val="StyleWisnow"/>
              <w:rPr>
                <w:color w:val="000000" w:themeColor="text1"/>
              </w:rPr>
            </w:pPr>
            <w:bookmarkStart w:id="3709" w:name="n3840" w:colFirst="0" w:colLast="0"/>
            <w:bookmarkEnd w:id="3708"/>
            <w:r w:rsidRPr="00286216">
              <w:rPr>
                <w:color w:val="000000" w:themeColor="text1"/>
              </w:rPr>
              <w:t>3840.</w:t>
            </w:r>
          </w:p>
        </w:tc>
        <w:tc>
          <w:tcPr>
            <w:tcW w:w="4818" w:type="dxa"/>
          </w:tcPr>
          <w:p w14:paraId="33431F9A" w14:textId="77777777" w:rsidR="008F1775" w:rsidRPr="00286216" w:rsidRDefault="008F1775" w:rsidP="008F1775">
            <w:pPr>
              <w:pStyle w:val="StyleZakonu"/>
              <w:rPr>
                <w:color w:val="000000" w:themeColor="text1"/>
              </w:rPr>
            </w:pPr>
            <w:r w:rsidRPr="00286216">
              <w:rPr>
                <w:color w:val="000000" w:themeColor="text1"/>
              </w:rPr>
              <w:t>б) в абзаці першому частини сьомої після слів "подає його емітенту" доповнити словами "або іншій особі, яка має право на отримання реєстру власників іменних цінних паперів";</w:t>
            </w:r>
          </w:p>
        </w:tc>
        <w:tc>
          <w:tcPr>
            <w:tcW w:w="3686" w:type="dxa"/>
          </w:tcPr>
          <w:p w14:paraId="31201D28" w14:textId="77777777" w:rsidR="008F1775" w:rsidRPr="00286216" w:rsidRDefault="008F1775" w:rsidP="008F1775">
            <w:pPr>
              <w:pStyle w:val="StyleProp"/>
              <w:rPr>
                <w:color w:val="000000" w:themeColor="text1"/>
                <w:szCs w:val="18"/>
              </w:rPr>
            </w:pPr>
          </w:p>
        </w:tc>
        <w:tc>
          <w:tcPr>
            <w:tcW w:w="1987" w:type="dxa"/>
          </w:tcPr>
          <w:p w14:paraId="380B4293" w14:textId="77777777" w:rsidR="008F1775" w:rsidRPr="00286216" w:rsidRDefault="008F1775" w:rsidP="008F1775">
            <w:pPr>
              <w:pStyle w:val="StyleWisnow"/>
              <w:rPr>
                <w:color w:val="000000" w:themeColor="text1"/>
              </w:rPr>
            </w:pPr>
          </w:p>
        </w:tc>
        <w:tc>
          <w:tcPr>
            <w:tcW w:w="4818" w:type="dxa"/>
          </w:tcPr>
          <w:p w14:paraId="2305E057" w14:textId="08AE6614" w:rsidR="008F1775" w:rsidRPr="00286216" w:rsidRDefault="008F1775" w:rsidP="008F1775">
            <w:pPr>
              <w:pStyle w:val="StyleZakonu"/>
              <w:rPr>
                <w:color w:val="000000" w:themeColor="text1"/>
              </w:rPr>
            </w:pPr>
            <w:r w:rsidRPr="00286216">
              <w:rPr>
                <w:color w:val="000000" w:themeColor="text1"/>
              </w:rPr>
              <w:t>б) абзац перший частини сьомої після слів "подає його емітенту" доповнити словами "або іншій особі, яка має право на отримання реєстру власників іменних цінних паперів";</w:t>
            </w:r>
          </w:p>
        </w:tc>
      </w:tr>
      <w:tr w:rsidR="008F1775" w:rsidRPr="00286216" w14:paraId="053D3A44" w14:textId="77777777" w:rsidTr="00091AA5">
        <w:tc>
          <w:tcPr>
            <w:tcW w:w="576" w:type="dxa"/>
          </w:tcPr>
          <w:p w14:paraId="3C40971F" w14:textId="77777777" w:rsidR="008F1775" w:rsidRPr="00286216" w:rsidRDefault="008F1775" w:rsidP="008F1775">
            <w:pPr>
              <w:pStyle w:val="StyleWisnow"/>
              <w:rPr>
                <w:color w:val="000000" w:themeColor="text1"/>
              </w:rPr>
            </w:pPr>
            <w:bookmarkStart w:id="3710" w:name="n3841" w:colFirst="0" w:colLast="0"/>
            <w:bookmarkEnd w:id="3709"/>
            <w:r w:rsidRPr="00286216">
              <w:rPr>
                <w:color w:val="000000" w:themeColor="text1"/>
              </w:rPr>
              <w:t>3841.</w:t>
            </w:r>
          </w:p>
        </w:tc>
        <w:tc>
          <w:tcPr>
            <w:tcW w:w="4818" w:type="dxa"/>
          </w:tcPr>
          <w:p w14:paraId="14F2419A" w14:textId="77777777" w:rsidR="008F1775" w:rsidRPr="00286216" w:rsidRDefault="008F1775" w:rsidP="008F1775">
            <w:pPr>
              <w:pStyle w:val="StyleZakonu"/>
              <w:rPr>
                <w:color w:val="000000" w:themeColor="text1"/>
              </w:rPr>
            </w:pPr>
            <w:r w:rsidRPr="00286216">
              <w:rPr>
                <w:color w:val="000000" w:themeColor="text1"/>
              </w:rPr>
              <w:t>в) у частині восьмій після слів "Національним банком України емітенту" доповнити словами "або іншій особі, яка має право на отримання реєстру власників іменних цінних паперів";</w:t>
            </w:r>
          </w:p>
        </w:tc>
        <w:tc>
          <w:tcPr>
            <w:tcW w:w="3686" w:type="dxa"/>
          </w:tcPr>
          <w:p w14:paraId="2CCB7369" w14:textId="77777777" w:rsidR="008F1775" w:rsidRPr="00286216" w:rsidRDefault="008F1775" w:rsidP="008F1775">
            <w:pPr>
              <w:pStyle w:val="StyleProp"/>
              <w:rPr>
                <w:color w:val="000000" w:themeColor="text1"/>
                <w:szCs w:val="18"/>
              </w:rPr>
            </w:pPr>
          </w:p>
        </w:tc>
        <w:tc>
          <w:tcPr>
            <w:tcW w:w="1987" w:type="dxa"/>
          </w:tcPr>
          <w:p w14:paraId="14173B0B" w14:textId="77777777" w:rsidR="008F1775" w:rsidRPr="00286216" w:rsidRDefault="008F1775" w:rsidP="008F1775">
            <w:pPr>
              <w:pStyle w:val="StyleWisnow"/>
              <w:rPr>
                <w:color w:val="000000" w:themeColor="text1"/>
              </w:rPr>
            </w:pPr>
          </w:p>
        </w:tc>
        <w:tc>
          <w:tcPr>
            <w:tcW w:w="4818" w:type="dxa"/>
          </w:tcPr>
          <w:p w14:paraId="5A40DBCD" w14:textId="72A45240" w:rsidR="008F1775" w:rsidRPr="00286216" w:rsidRDefault="008F1775" w:rsidP="008F1775">
            <w:pPr>
              <w:pStyle w:val="StyleZakonu"/>
              <w:rPr>
                <w:color w:val="000000" w:themeColor="text1"/>
              </w:rPr>
            </w:pPr>
            <w:r w:rsidRPr="00286216">
              <w:rPr>
                <w:color w:val="000000" w:themeColor="text1"/>
              </w:rPr>
              <w:t>в) частину восьму після слів "Національним банком України емітенту" доповнити словами "або іншій особі, яка має право на отримання реєстру власників іменних цінних паперів";</w:t>
            </w:r>
          </w:p>
        </w:tc>
      </w:tr>
      <w:tr w:rsidR="008F1775" w:rsidRPr="00286216" w14:paraId="70B0A661" w14:textId="77777777" w:rsidTr="00091AA5">
        <w:tc>
          <w:tcPr>
            <w:tcW w:w="576" w:type="dxa"/>
          </w:tcPr>
          <w:p w14:paraId="18F100AC" w14:textId="77777777" w:rsidR="008F1775" w:rsidRPr="00286216" w:rsidRDefault="008F1775" w:rsidP="008F1775">
            <w:pPr>
              <w:pStyle w:val="StyleWisnow"/>
              <w:rPr>
                <w:color w:val="000000" w:themeColor="text1"/>
              </w:rPr>
            </w:pPr>
            <w:bookmarkStart w:id="3711" w:name="n3842" w:colFirst="0" w:colLast="0"/>
            <w:bookmarkEnd w:id="3710"/>
            <w:r w:rsidRPr="00286216">
              <w:rPr>
                <w:color w:val="000000" w:themeColor="text1"/>
              </w:rPr>
              <w:t>3842.</w:t>
            </w:r>
          </w:p>
        </w:tc>
        <w:tc>
          <w:tcPr>
            <w:tcW w:w="4818" w:type="dxa"/>
          </w:tcPr>
          <w:p w14:paraId="70B38246" w14:textId="77777777" w:rsidR="008F1775" w:rsidRPr="00286216" w:rsidRDefault="008F1775" w:rsidP="008F1775">
            <w:pPr>
              <w:pStyle w:val="StyleZakonu"/>
              <w:rPr>
                <w:color w:val="000000" w:themeColor="text1"/>
              </w:rPr>
            </w:pPr>
            <w:r w:rsidRPr="00286216">
              <w:rPr>
                <w:color w:val="000000" w:themeColor="text1"/>
              </w:rPr>
              <w:t>г) у частині дев’ятій слова та знаки ", отриманої від" виключити, після слів "депонентів (клієнтів)" доповнити словами та знаками ", а також інформації про власників цінних паперів, що є клієнтами (клієнтами клієнтів) номінальних утримувачів, ", слова "клірингової установи" замінити словами "осіб, які провадять клірингову діяльність, " "та Розрахункового центру" виключити;</w:t>
            </w:r>
          </w:p>
        </w:tc>
        <w:tc>
          <w:tcPr>
            <w:tcW w:w="3686" w:type="dxa"/>
          </w:tcPr>
          <w:p w14:paraId="3199B5AF" w14:textId="77777777" w:rsidR="008F1775" w:rsidRPr="00286216" w:rsidRDefault="008F1775" w:rsidP="008F1775">
            <w:pPr>
              <w:pStyle w:val="StyleProp"/>
              <w:rPr>
                <w:color w:val="000000" w:themeColor="text1"/>
                <w:szCs w:val="18"/>
              </w:rPr>
            </w:pPr>
          </w:p>
        </w:tc>
        <w:tc>
          <w:tcPr>
            <w:tcW w:w="1987" w:type="dxa"/>
          </w:tcPr>
          <w:p w14:paraId="70DBD6F5" w14:textId="77777777" w:rsidR="008F1775" w:rsidRPr="00286216" w:rsidRDefault="008F1775" w:rsidP="008F1775">
            <w:pPr>
              <w:pStyle w:val="StyleWisnow"/>
              <w:rPr>
                <w:color w:val="000000" w:themeColor="text1"/>
              </w:rPr>
            </w:pPr>
          </w:p>
        </w:tc>
        <w:tc>
          <w:tcPr>
            <w:tcW w:w="4818" w:type="dxa"/>
          </w:tcPr>
          <w:p w14:paraId="3CD273C8" w14:textId="5E211302" w:rsidR="008F1775" w:rsidRPr="00286216" w:rsidRDefault="008F1775" w:rsidP="008F1775">
            <w:pPr>
              <w:pStyle w:val="StyleZakonu"/>
              <w:rPr>
                <w:color w:val="000000" w:themeColor="text1"/>
              </w:rPr>
            </w:pPr>
            <w:r w:rsidRPr="00286216">
              <w:rPr>
                <w:color w:val="000000" w:themeColor="text1"/>
              </w:rPr>
              <w:t>г) у частині дев’ятій слова "отриманої від" виключити, після слів "депонентів (клієнтів)" доповнити словами "також інформації про власників цінних паперів, що є клієнтами (клієнтами клієнтів) номінальних утримувачів", слова "клірингової установи" замінити словами "осіб, які провадять клірингову діяльність" а слова "та Розрахункового центру" виключити;</w:t>
            </w:r>
          </w:p>
        </w:tc>
      </w:tr>
      <w:tr w:rsidR="008F1775" w:rsidRPr="00286216" w14:paraId="260B7F75" w14:textId="77777777" w:rsidTr="00091AA5">
        <w:tc>
          <w:tcPr>
            <w:tcW w:w="576" w:type="dxa"/>
          </w:tcPr>
          <w:p w14:paraId="43EBD891" w14:textId="77777777" w:rsidR="008F1775" w:rsidRPr="00286216" w:rsidRDefault="008F1775" w:rsidP="008F1775">
            <w:pPr>
              <w:pStyle w:val="StyleWisnow"/>
              <w:rPr>
                <w:color w:val="000000" w:themeColor="text1"/>
              </w:rPr>
            </w:pPr>
            <w:bookmarkStart w:id="3712" w:name="n3843" w:colFirst="0" w:colLast="0"/>
            <w:bookmarkEnd w:id="3711"/>
            <w:r w:rsidRPr="00286216">
              <w:rPr>
                <w:color w:val="000000" w:themeColor="text1"/>
              </w:rPr>
              <w:t>3843.</w:t>
            </w:r>
          </w:p>
        </w:tc>
        <w:tc>
          <w:tcPr>
            <w:tcW w:w="4818" w:type="dxa"/>
          </w:tcPr>
          <w:p w14:paraId="49DFF9EF" w14:textId="77777777" w:rsidR="008F1775" w:rsidRPr="00286216" w:rsidRDefault="008F1775" w:rsidP="008F1775">
            <w:pPr>
              <w:pStyle w:val="StyleZakonu"/>
              <w:rPr>
                <w:color w:val="000000" w:themeColor="text1"/>
              </w:rPr>
            </w:pPr>
            <w:r w:rsidRPr="00286216">
              <w:rPr>
                <w:color w:val="000000" w:themeColor="text1"/>
              </w:rPr>
              <w:t>17) в абзаці дев’ятому частини другої статті 24 слова "клірингові установи та Розрахунковий центр" замінити словами "особи, які провадять клірингову діяльність";</w:t>
            </w:r>
          </w:p>
        </w:tc>
        <w:tc>
          <w:tcPr>
            <w:tcW w:w="3686" w:type="dxa"/>
          </w:tcPr>
          <w:p w14:paraId="308415B3" w14:textId="16DD3463" w:rsidR="008F1775" w:rsidRPr="00286216" w:rsidRDefault="008F1775" w:rsidP="008F1775">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1510</w:t>
            </w:r>
            <w:r w:rsidRPr="00286216">
              <w:rPr>
                <w:color w:val="000000" w:themeColor="text1"/>
                <w:spacing w:val="-5"/>
              </w:rPr>
              <w:fldChar w:fldCharType="end"/>
            </w:r>
            <w:r w:rsidRPr="00286216">
              <w:rPr>
                <w:color w:val="000000" w:themeColor="text1"/>
                <w:spacing w:val="-5"/>
              </w:rPr>
              <w:t>-Н.д.Бєлькова О.В. (Реєстр.картка №403)</w:t>
            </w:r>
          </w:p>
          <w:p w14:paraId="56413FA1"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підпункт 17 підпункту 44 розділу 3 </w:t>
            </w:r>
            <w:r w:rsidRPr="00286216">
              <w:rPr>
                <w:color w:val="000000" w:themeColor="text1"/>
                <w:spacing w:val="-2"/>
                <w:szCs w:val="18"/>
              </w:rPr>
              <w:t>викласти в такій редакції:</w:t>
            </w:r>
          </w:p>
          <w:p w14:paraId="2032E7E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“17) у частині другій статті 24:</w:t>
            </w:r>
          </w:p>
          <w:p w14:paraId="5BF6FEF3"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У абзаці восьмому слова “рахунку” замінити словами “рахунку (рахунках)”,  а слово “відкритому” – словами “відкритому (відкритих)”;</w:t>
            </w:r>
          </w:p>
          <w:p w14:paraId="2D9FAA69" w14:textId="7AAE3589"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в абзаці дев’ятому слова “клірингові установи та Розрахунковий центр” замінити словами “особи, які провадять клірингову діяльність”.</w:t>
            </w:r>
          </w:p>
        </w:tc>
        <w:tc>
          <w:tcPr>
            <w:tcW w:w="1987" w:type="dxa"/>
          </w:tcPr>
          <w:p w14:paraId="61595AD4" w14:textId="77777777" w:rsidR="008F1775" w:rsidRPr="00286216" w:rsidRDefault="008F1775" w:rsidP="008F1775">
            <w:pPr>
              <w:pStyle w:val="StyleWisnow"/>
              <w:rPr>
                <w:color w:val="000000" w:themeColor="text1"/>
              </w:rPr>
            </w:pPr>
            <w:r w:rsidRPr="00286216">
              <w:rPr>
                <w:color w:val="000000" w:themeColor="text1"/>
              </w:rPr>
              <w:t>Враховано</w:t>
            </w:r>
          </w:p>
        </w:tc>
        <w:tc>
          <w:tcPr>
            <w:tcW w:w="4818" w:type="dxa"/>
          </w:tcPr>
          <w:p w14:paraId="07402601" w14:textId="77777777" w:rsidR="008F1775" w:rsidRPr="00286216" w:rsidRDefault="008F1775" w:rsidP="008F1775">
            <w:pPr>
              <w:pStyle w:val="StyleZakonu"/>
              <w:rPr>
                <w:color w:val="000000" w:themeColor="text1"/>
              </w:rPr>
            </w:pPr>
            <w:r w:rsidRPr="00286216">
              <w:rPr>
                <w:color w:val="000000" w:themeColor="text1"/>
              </w:rPr>
              <w:t>18) у частині другій статті 24:</w:t>
            </w:r>
          </w:p>
          <w:p w14:paraId="42FEB866" w14:textId="77777777" w:rsidR="008F1775" w:rsidRPr="00286216" w:rsidRDefault="008F1775" w:rsidP="008F1775">
            <w:pPr>
              <w:pStyle w:val="StyleZakonu"/>
              <w:rPr>
                <w:color w:val="000000" w:themeColor="text1"/>
              </w:rPr>
            </w:pPr>
            <w:r w:rsidRPr="00286216">
              <w:rPr>
                <w:color w:val="000000" w:themeColor="text1"/>
              </w:rPr>
              <w:t>в абзаці восьмому слово "рахунку" замінити словами "рахунку (рахунках)", а слово "відкритому" – словами "відкритому (відкритих)";</w:t>
            </w:r>
          </w:p>
          <w:p w14:paraId="5BB0BB3A" w14:textId="40F4F832" w:rsidR="008F1775" w:rsidRPr="00286216" w:rsidRDefault="008F1775" w:rsidP="008F1775">
            <w:pPr>
              <w:pStyle w:val="StyleZakonu"/>
              <w:rPr>
                <w:color w:val="000000" w:themeColor="text1"/>
              </w:rPr>
            </w:pPr>
            <w:r w:rsidRPr="00286216">
              <w:rPr>
                <w:color w:val="000000" w:themeColor="text1"/>
              </w:rPr>
              <w:t>в абзаці дев’ятому слова “клірингові установи та Розрахунковий центр” замінити словами “особи, які провадять клірингову діяльність”;</w:t>
            </w:r>
          </w:p>
        </w:tc>
      </w:tr>
      <w:tr w:rsidR="008F1775" w:rsidRPr="00286216" w14:paraId="52362132" w14:textId="77777777" w:rsidTr="00091AA5">
        <w:tc>
          <w:tcPr>
            <w:tcW w:w="576" w:type="dxa"/>
          </w:tcPr>
          <w:p w14:paraId="222567C0" w14:textId="77777777" w:rsidR="008F1775" w:rsidRPr="00286216" w:rsidRDefault="008F1775" w:rsidP="008F1775">
            <w:pPr>
              <w:pStyle w:val="StyleWisnow"/>
              <w:rPr>
                <w:color w:val="000000" w:themeColor="text1"/>
              </w:rPr>
            </w:pPr>
          </w:p>
        </w:tc>
        <w:tc>
          <w:tcPr>
            <w:tcW w:w="4818" w:type="dxa"/>
          </w:tcPr>
          <w:p w14:paraId="1009E5BA" w14:textId="77777777" w:rsidR="008F1775" w:rsidRPr="00286216" w:rsidRDefault="008F1775" w:rsidP="008F1775">
            <w:pPr>
              <w:pStyle w:val="StyleProp"/>
              <w:rPr>
                <w:color w:val="000000" w:themeColor="text1"/>
              </w:rPr>
            </w:pPr>
          </w:p>
        </w:tc>
        <w:tc>
          <w:tcPr>
            <w:tcW w:w="3686" w:type="dxa"/>
          </w:tcPr>
          <w:p w14:paraId="66BED427" w14:textId="1A8ECDD4" w:rsidR="008F1775" w:rsidRPr="00286216" w:rsidRDefault="008F1775" w:rsidP="008F1775">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1511</w:t>
            </w:r>
            <w:r w:rsidRPr="00286216">
              <w:rPr>
                <w:color w:val="000000" w:themeColor="text1"/>
                <w:spacing w:val="-5"/>
              </w:rPr>
              <w:fldChar w:fldCharType="end"/>
            </w:r>
            <w:r w:rsidRPr="00286216">
              <w:rPr>
                <w:color w:val="000000" w:themeColor="text1"/>
                <w:spacing w:val="-5"/>
              </w:rPr>
              <w:t>-Н.д.Бєлькова О.В. (Реєстр.картка №403)</w:t>
            </w:r>
          </w:p>
          <w:p w14:paraId="41DDD63A" w14:textId="5147AB37" w:rsidR="008F1775" w:rsidRPr="00286216" w:rsidRDefault="008F1775" w:rsidP="008F1775">
            <w:pPr>
              <w:pStyle w:val="StyleProp"/>
              <w:spacing w:line="180" w:lineRule="exact"/>
              <w:rPr>
                <w:color w:val="000000" w:themeColor="text1"/>
                <w:szCs w:val="18"/>
              </w:rPr>
            </w:pPr>
            <w:r w:rsidRPr="00286216">
              <w:rPr>
                <w:color w:val="000000" w:themeColor="text1"/>
                <w:szCs w:val="18"/>
              </w:rPr>
              <w:t>Доповнити пункт 44 розділу 3 такими змінами до статті 25:</w:t>
            </w:r>
          </w:p>
          <w:p w14:paraId="767044C9"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«18) у статті 25:</w:t>
            </w:r>
          </w:p>
          <w:p w14:paraId="4C0BCB6E"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а) частину першу викласти в такій редакції:</w:t>
            </w:r>
          </w:p>
          <w:p w14:paraId="7B8810E6"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«1. Інформація, що міститься у системі депозитарного обліку, надається депозитарними установами в порядку встановленому статтею 128-3 Закону України «Про ринки капіталу та організовані товарні ринки»;</w:t>
            </w:r>
          </w:p>
          <w:p w14:paraId="2DFD54DF"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б) частину другу та п’яту виключити; відповідно змінити нумерацію подальших частин</w:t>
            </w:r>
          </w:p>
          <w:p w14:paraId="6AADB8AA"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в) у частині шостій слова «суб’єкта, визначеного частиною першою цієї статті,» замінити словами «особи, яка відповідно до статті 128-3 має право на отримання доступу до професійної таємниці,»</w:t>
            </w:r>
          </w:p>
        </w:tc>
        <w:tc>
          <w:tcPr>
            <w:tcW w:w="1987" w:type="dxa"/>
          </w:tcPr>
          <w:p w14:paraId="259240CE" w14:textId="77777777" w:rsidR="008F1775" w:rsidRPr="00286216" w:rsidRDefault="008F1775" w:rsidP="008F1775">
            <w:pPr>
              <w:pStyle w:val="StyleWisnow"/>
              <w:rPr>
                <w:color w:val="000000" w:themeColor="text1"/>
              </w:rPr>
            </w:pPr>
            <w:r w:rsidRPr="00286216">
              <w:rPr>
                <w:color w:val="000000" w:themeColor="text1"/>
              </w:rPr>
              <w:t>Враховано</w:t>
            </w:r>
          </w:p>
          <w:p w14:paraId="76CCD9A7" w14:textId="77777777" w:rsidR="008F1775" w:rsidRPr="00286216" w:rsidRDefault="008F1775" w:rsidP="008F1775">
            <w:pPr>
              <w:pStyle w:val="StyleProp"/>
              <w:ind w:firstLine="0"/>
              <w:rPr>
                <w:color w:val="000000" w:themeColor="text1"/>
              </w:rPr>
            </w:pPr>
          </w:p>
        </w:tc>
        <w:tc>
          <w:tcPr>
            <w:tcW w:w="4818" w:type="dxa"/>
          </w:tcPr>
          <w:p w14:paraId="5B5CB79C" w14:textId="77777777" w:rsidR="008F1775" w:rsidRPr="00286216" w:rsidRDefault="008F1775" w:rsidP="008F1775">
            <w:pPr>
              <w:pStyle w:val="StyleZakonu"/>
              <w:rPr>
                <w:color w:val="000000" w:themeColor="text1"/>
              </w:rPr>
            </w:pPr>
            <w:r w:rsidRPr="00286216">
              <w:rPr>
                <w:color w:val="000000" w:themeColor="text1"/>
              </w:rPr>
              <w:t>19) у статті 25:</w:t>
            </w:r>
          </w:p>
          <w:p w14:paraId="0EFCC2C7" w14:textId="77777777" w:rsidR="008F1775" w:rsidRPr="00286216" w:rsidRDefault="008F1775" w:rsidP="008F1775">
            <w:pPr>
              <w:pStyle w:val="StyleZakonu"/>
              <w:rPr>
                <w:color w:val="000000" w:themeColor="text1"/>
              </w:rPr>
            </w:pPr>
            <w:r w:rsidRPr="00286216">
              <w:rPr>
                <w:color w:val="000000" w:themeColor="text1"/>
              </w:rPr>
              <w:t>а) частину першу викласти в такій редакції:</w:t>
            </w:r>
          </w:p>
          <w:p w14:paraId="11C8FD60" w14:textId="77777777" w:rsidR="008F1775" w:rsidRPr="00286216" w:rsidRDefault="008F1775" w:rsidP="008F1775">
            <w:pPr>
              <w:pStyle w:val="StyleZakonu"/>
              <w:rPr>
                <w:color w:val="000000" w:themeColor="text1"/>
              </w:rPr>
            </w:pPr>
            <w:r w:rsidRPr="00286216">
              <w:rPr>
                <w:color w:val="000000" w:themeColor="text1"/>
              </w:rPr>
              <w:t>"1. Інформація, що міститься у системі депозитарного обліку, надається депозитарними установами в порядку встановленому статтею 136 Закону України "Про ринки капіталу та організовані товарні ринки";</w:t>
            </w:r>
          </w:p>
          <w:p w14:paraId="66ACFE60" w14:textId="35E327DE" w:rsidR="008F1775" w:rsidRPr="00286216" w:rsidRDefault="008F1775" w:rsidP="008F1775">
            <w:pPr>
              <w:pStyle w:val="StyleZakonu"/>
              <w:rPr>
                <w:color w:val="000000" w:themeColor="text1"/>
              </w:rPr>
            </w:pPr>
            <w:r w:rsidRPr="00286216">
              <w:rPr>
                <w:color w:val="000000" w:themeColor="text1"/>
              </w:rPr>
              <w:t>б) частини другу та п’яту виключити;</w:t>
            </w:r>
          </w:p>
          <w:p w14:paraId="3CF305E6" w14:textId="15A7930D" w:rsidR="008F1775" w:rsidRPr="00286216" w:rsidRDefault="008F1775" w:rsidP="008F1775">
            <w:pPr>
              <w:pStyle w:val="StyleZakonu"/>
              <w:rPr>
                <w:color w:val="000000" w:themeColor="text1"/>
              </w:rPr>
            </w:pPr>
            <w:r w:rsidRPr="00286216">
              <w:rPr>
                <w:color w:val="000000" w:themeColor="text1"/>
              </w:rPr>
              <w:t>в) у частині шостій слова "суб’єкта, визначеного частиною першою цієї статті" замінити словами "особи, яка відповідно до статті 136 має право на отримання доступу до професійної таємниці";</w:t>
            </w:r>
          </w:p>
        </w:tc>
      </w:tr>
      <w:tr w:rsidR="008F1775" w:rsidRPr="00286216" w14:paraId="35019B9D" w14:textId="77777777" w:rsidTr="00091AA5">
        <w:tc>
          <w:tcPr>
            <w:tcW w:w="576" w:type="dxa"/>
          </w:tcPr>
          <w:p w14:paraId="01A46771" w14:textId="77777777" w:rsidR="008F1775" w:rsidRPr="00286216" w:rsidRDefault="008F1775" w:rsidP="008F1775">
            <w:pPr>
              <w:pStyle w:val="StyleWisnow"/>
              <w:rPr>
                <w:color w:val="000000" w:themeColor="text1"/>
              </w:rPr>
            </w:pPr>
          </w:p>
        </w:tc>
        <w:tc>
          <w:tcPr>
            <w:tcW w:w="4818" w:type="dxa"/>
          </w:tcPr>
          <w:p w14:paraId="1B20F939" w14:textId="77777777" w:rsidR="008F1775" w:rsidRPr="00286216" w:rsidRDefault="008F1775" w:rsidP="008F1775">
            <w:pPr>
              <w:pStyle w:val="StyleZakonu"/>
              <w:rPr>
                <w:color w:val="000000" w:themeColor="text1"/>
              </w:rPr>
            </w:pPr>
          </w:p>
        </w:tc>
        <w:tc>
          <w:tcPr>
            <w:tcW w:w="3686" w:type="dxa"/>
          </w:tcPr>
          <w:p w14:paraId="5B05C8C3" w14:textId="4F2A7976" w:rsidR="008F1775" w:rsidRPr="00286216" w:rsidRDefault="008F1775" w:rsidP="008F1775">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1512</w:t>
            </w:r>
            <w:r w:rsidRPr="00286216">
              <w:rPr>
                <w:color w:val="000000" w:themeColor="text1"/>
                <w:spacing w:val="-5"/>
              </w:rPr>
              <w:fldChar w:fldCharType="end"/>
            </w:r>
            <w:r w:rsidRPr="00286216">
              <w:rPr>
                <w:color w:val="000000" w:themeColor="text1"/>
                <w:spacing w:val="-5"/>
              </w:rPr>
              <w:t>-Н.д.Бєлькова О.В. (Реєстр.картка №403)</w:t>
            </w:r>
          </w:p>
          <w:p w14:paraId="2E994C66" w14:textId="0442A49F" w:rsidR="008F1775" w:rsidRPr="00286216" w:rsidRDefault="008F1775" w:rsidP="008F1775">
            <w:pPr>
              <w:pStyle w:val="StyleProp"/>
              <w:spacing w:line="180" w:lineRule="exact"/>
              <w:rPr>
                <w:color w:val="000000" w:themeColor="text1"/>
              </w:rPr>
            </w:pPr>
            <w:r w:rsidRPr="00286216">
              <w:rPr>
                <w:color w:val="000000" w:themeColor="text1"/>
                <w:szCs w:val="18"/>
              </w:rPr>
              <w:t>Доповнити пункт 44 розділу 3 таким підпунктом: «19) статтю 26 виключити».</w:t>
            </w:r>
          </w:p>
        </w:tc>
        <w:tc>
          <w:tcPr>
            <w:tcW w:w="1987" w:type="dxa"/>
          </w:tcPr>
          <w:p w14:paraId="4A14BC32" w14:textId="77777777" w:rsidR="008F1775" w:rsidRPr="00286216" w:rsidRDefault="008F1775" w:rsidP="008F1775">
            <w:pPr>
              <w:pStyle w:val="StyleWisnow"/>
              <w:rPr>
                <w:color w:val="000000" w:themeColor="text1"/>
              </w:rPr>
            </w:pPr>
            <w:r w:rsidRPr="00286216">
              <w:rPr>
                <w:color w:val="000000" w:themeColor="text1"/>
              </w:rPr>
              <w:t>Враховано</w:t>
            </w:r>
          </w:p>
        </w:tc>
        <w:tc>
          <w:tcPr>
            <w:tcW w:w="4818" w:type="dxa"/>
          </w:tcPr>
          <w:p w14:paraId="1884AD86" w14:textId="035A75BA" w:rsidR="008F1775" w:rsidRPr="00286216" w:rsidRDefault="008F1775" w:rsidP="008F1775">
            <w:pPr>
              <w:pStyle w:val="StyleZakonu"/>
              <w:rPr>
                <w:color w:val="000000" w:themeColor="text1"/>
              </w:rPr>
            </w:pPr>
            <w:r w:rsidRPr="00286216">
              <w:rPr>
                <w:color w:val="000000" w:themeColor="text1"/>
              </w:rPr>
              <w:t>20) статтю 26 виключити;</w:t>
            </w:r>
          </w:p>
        </w:tc>
      </w:tr>
      <w:tr w:rsidR="008F1775" w:rsidRPr="00286216" w14:paraId="31B4B9B9" w14:textId="77777777" w:rsidTr="00091AA5">
        <w:tc>
          <w:tcPr>
            <w:tcW w:w="576" w:type="dxa"/>
          </w:tcPr>
          <w:p w14:paraId="19BB96C7" w14:textId="77777777" w:rsidR="008F1775" w:rsidRPr="00286216" w:rsidRDefault="008F1775" w:rsidP="008F1775">
            <w:pPr>
              <w:pStyle w:val="StyleWisnow"/>
              <w:rPr>
                <w:color w:val="000000" w:themeColor="text1"/>
              </w:rPr>
            </w:pPr>
            <w:bookmarkStart w:id="3713" w:name="n3844" w:colFirst="0" w:colLast="0"/>
            <w:bookmarkEnd w:id="3712"/>
            <w:r w:rsidRPr="00286216">
              <w:rPr>
                <w:color w:val="000000" w:themeColor="text1"/>
              </w:rPr>
              <w:t>3844.</w:t>
            </w:r>
          </w:p>
        </w:tc>
        <w:tc>
          <w:tcPr>
            <w:tcW w:w="4818" w:type="dxa"/>
          </w:tcPr>
          <w:p w14:paraId="4C94015F" w14:textId="77777777" w:rsidR="008F1775" w:rsidRPr="00286216" w:rsidRDefault="008F1775" w:rsidP="008F1775">
            <w:pPr>
              <w:pStyle w:val="StyleZakonu"/>
              <w:rPr>
                <w:color w:val="000000" w:themeColor="text1"/>
              </w:rPr>
            </w:pPr>
            <w:r w:rsidRPr="00286216">
              <w:rPr>
                <w:color w:val="000000" w:themeColor="text1"/>
              </w:rPr>
              <w:t>18) у частині другій статті 28 слова "Про державне регулювання ринку цінних паперів в Україні" замінити словами "Про державне регулювання ринків капіталу та організованих товарних ринків";</w:t>
            </w:r>
          </w:p>
        </w:tc>
        <w:tc>
          <w:tcPr>
            <w:tcW w:w="3686" w:type="dxa"/>
          </w:tcPr>
          <w:p w14:paraId="65057260" w14:textId="77777777" w:rsidR="008F1775" w:rsidRPr="00286216" w:rsidRDefault="008F1775" w:rsidP="008F1775">
            <w:pPr>
              <w:pStyle w:val="StyleProp"/>
              <w:rPr>
                <w:color w:val="000000" w:themeColor="text1"/>
              </w:rPr>
            </w:pPr>
          </w:p>
        </w:tc>
        <w:tc>
          <w:tcPr>
            <w:tcW w:w="1987" w:type="dxa"/>
          </w:tcPr>
          <w:p w14:paraId="1D01B70D" w14:textId="77777777" w:rsidR="008F1775" w:rsidRPr="00286216" w:rsidRDefault="008F1775" w:rsidP="008F1775">
            <w:pPr>
              <w:pStyle w:val="StyleWisnow"/>
              <w:rPr>
                <w:color w:val="000000" w:themeColor="text1"/>
              </w:rPr>
            </w:pPr>
          </w:p>
        </w:tc>
        <w:tc>
          <w:tcPr>
            <w:tcW w:w="4818" w:type="dxa"/>
          </w:tcPr>
          <w:p w14:paraId="65D82FF5" w14:textId="33050D8B" w:rsidR="008F1775" w:rsidRPr="00286216" w:rsidRDefault="008F1775" w:rsidP="008F1775">
            <w:pPr>
              <w:pStyle w:val="StyleZakonu"/>
              <w:rPr>
                <w:color w:val="000000" w:themeColor="text1"/>
              </w:rPr>
            </w:pPr>
            <w:r w:rsidRPr="00286216">
              <w:rPr>
                <w:color w:val="000000" w:themeColor="text1"/>
              </w:rPr>
              <w:t>21) у частині другій статті 28 слова "Про державне регулювання ринку цінних паперів в Україні" замінити словами "Про державне регулювання ринків капіталу та організованих товарних ринків";</w:t>
            </w:r>
          </w:p>
        </w:tc>
      </w:tr>
      <w:tr w:rsidR="008F1775" w:rsidRPr="00286216" w14:paraId="600C6F88" w14:textId="77777777" w:rsidTr="00091AA5">
        <w:tc>
          <w:tcPr>
            <w:tcW w:w="576" w:type="dxa"/>
          </w:tcPr>
          <w:p w14:paraId="7D45C160" w14:textId="77777777" w:rsidR="008F1775" w:rsidRPr="00286216" w:rsidRDefault="008F1775" w:rsidP="008F1775">
            <w:pPr>
              <w:pStyle w:val="StyleWisnow"/>
              <w:rPr>
                <w:color w:val="000000" w:themeColor="text1"/>
              </w:rPr>
            </w:pPr>
            <w:bookmarkStart w:id="3714" w:name="n3845" w:colFirst="0" w:colLast="0"/>
            <w:bookmarkEnd w:id="3713"/>
            <w:r w:rsidRPr="00286216">
              <w:rPr>
                <w:color w:val="000000" w:themeColor="text1"/>
              </w:rPr>
              <w:t>3845.</w:t>
            </w:r>
          </w:p>
        </w:tc>
        <w:tc>
          <w:tcPr>
            <w:tcW w:w="4818" w:type="dxa"/>
          </w:tcPr>
          <w:p w14:paraId="7818718A" w14:textId="77777777" w:rsidR="008F1775" w:rsidRPr="00286216" w:rsidRDefault="008F1775" w:rsidP="008F1775">
            <w:pPr>
              <w:pStyle w:val="StyleZakonu"/>
              <w:rPr>
                <w:color w:val="000000" w:themeColor="text1"/>
              </w:rPr>
            </w:pPr>
            <w:r w:rsidRPr="00286216">
              <w:rPr>
                <w:color w:val="000000" w:themeColor="text1"/>
              </w:rPr>
              <w:t>19) у частині другій статті 29 слова "Розрахунковим центром та" виключити;</w:t>
            </w:r>
          </w:p>
        </w:tc>
        <w:tc>
          <w:tcPr>
            <w:tcW w:w="3686" w:type="dxa"/>
          </w:tcPr>
          <w:p w14:paraId="5CC8AA1A" w14:textId="77777777" w:rsidR="008F1775" w:rsidRPr="00286216" w:rsidRDefault="008F1775" w:rsidP="008F1775">
            <w:pPr>
              <w:pStyle w:val="StyleProp"/>
              <w:rPr>
                <w:color w:val="000000" w:themeColor="text1"/>
                <w:szCs w:val="18"/>
              </w:rPr>
            </w:pPr>
          </w:p>
        </w:tc>
        <w:tc>
          <w:tcPr>
            <w:tcW w:w="1987" w:type="dxa"/>
          </w:tcPr>
          <w:p w14:paraId="193281BD" w14:textId="77777777" w:rsidR="008F1775" w:rsidRPr="00286216" w:rsidRDefault="008F1775" w:rsidP="008F1775">
            <w:pPr>
              <w:pStyle w:val="StyleWisnow"/>
              <w:rPr>
                <w:color w:val="000000" w:themeColor="text1"/>
              </w:rPr>
            </w:pPr>
          </w:p>
        </w:tc>
        <w:tc>
          <w:tcPr>
            <w:tcW w:w="4818" w:type="dxa"/>
          </w:tcPr>
          <w:p w14:paraId="41A7DE6A" w14:textId="70221DC9" w:rsidR="008F1775" w:rsidRPr="00286216" w:rsidRDefault="008F1775" w:rsidP="008F1775">
            <w:pPr>
              <w:pStyle w:val="StyleZakonu"/>
              <w:rPr>
                <w:color w:val="000000" w:themeColor="text1"/>
              </w:rPr>
            </w:pPr>
            <w:r w:rsidRPr="00286216">
              <w:rPr>
                <w:color w:val="000000" w:themeColor="text1"/>
              </w:rPr>
              <w:t>22) у частині другій статті 29 слова "Розрахунковим центром та" виключити;</w:t>
            </w:r>
          </w:p>
        </w:tc>
      </w:tr>
      <w:tr w:rsidR="008F1775" w:rsidRPr="00286216" w14:paraId="3F720E1F" w14:textId="77777777" w:rsidTr="00091AA5">
        <w:tc>
          <w:tcPr>
            <w:tcW w:w="576" w:type="dxa"/>
          </w:tcPr>
          <w:p w14:paraId="581FAB3E" w14:textId="77777777" w:rsidR="008F1775" w:rsidRPr="00286216" w:rsidRDefault="008F1775" w:rsidP="008F1775">
            <w:pPr>
              <w:pStyle w:val="StyleWisnow"/>
              <w:rPr>
                <w:color w:val="000000" w:themeColor="text1"/>
              </w:rPr>
            </w:pPr>
            <w:bookmarkStart w:id="3715" w:name="n3846" w:colFirst="0" w:colLast="0"/>
            <w:bookmarkEnd w:id="3714"/>
            <w:r w:rsidRPr="00286216">
              <w:rPr>
                <w:color w:val="000000" w:themeColor="text1"/>
              </w:rPr>
              <w:t>3846.</w:t>
            </w:r>
          </w:p>
        </w:tc>
        <w:tc>
          <w:tcPr>
            <w:tcW w:w="4818" w:type="dxa"/>
          </w:tcPr>
          <w:p w14:paraId="51F94682" w14:textId="77777777" w:rsidR="008F1775" w:rsidRPr="00286216" w:rsidRDefault="008F1775" w:rsidP="008F1775">
            <w:pPr>
              <w:pStyle w:val="StyleZakonu"/>
              <w:rPr>
                <w:color w:val="000000" w:themeColor="text1"/>
              </w:rPr>
            </w:pPr>
            <w:r w:rsidRPr="00286216">
              <w:rPr>
                <w:color w:val="000000" w:themeColor="text1"/>
              </w:rPr>
              <w:t>20) пункт дванадцятий Розділу VI "ПРИКІНЦЕВІ ТА ПЕРЕХІДНІ ПОЛОЖЕННЯ" виключити</w:t>
            </w:r>
          </w:p>
        </w:tc>
        <w:tc>
          <w:tcPr>
            <w:tcW w:w="3686" w:type="dxa"/>
          </w:tcPr>
          <w:p w14:paraId="6312D306" w14:textId="77777777" w:rsidR="008F1775" w:rsidRPr="00286216" w:rsidRDefault="008F1775" w:rsidP="008F1775">
            <w:pPr>
              <w:pStyle w:val="StyleProp"/>
              <w:rPr>
                <w:color w:val="000000" w:themeColor="text1"/>
                <w:szCs w:val="18"/>
              </w:rPr>
            </w:pPr>
          </w:p>
        </w:tc>
        <w:tc>
          <w:tcPr>
            <w:tcW w:w="1987" w:type="dxa"/>
          </w:tcPr>
          <w:p w14:paraId="6436794D" w14:textId="77777777" w:rsidR="008F1775" w:rsidRPr="00286216" w:rsidRDefault="008F1775" w:rsidP="008F1775">
            <w:pPr>
              <w:pStyle w:val="StyleWisnow"/>
              <w:rPr>
                <w:color w:val="000000" w:themeColor="text1"/>
              </w:rPr>
            </w:pPr>
          </w:p>
        </w:tc>
        <w:tc>
          <w:tcPr>
            <w:tcW w:w="4818" w:type="dxa"/>
          </w:tcPr>
          <w:p w14:paraId="18D85CEF" w14:textId="667D37F4" w:rsidR="008F1775" w:rsidRPr="00286216" w:rsidRDefault="008F1775" w:rsidP="008F1775">
            <w:pPr>
              <w:pStyle w:val="StyleZakonu"/>
              <w:rPr>
                <w:color w:val="000000" w:themeColor="text1"/>
                <w:lang w:val="ru-RU"/>
              </w:rPr>
            </w:pPr>
            <w:r w:rsidRPr="00286216">
              <w:rPr>
                <w:color w:val="000000" w:themeColor="text1"/>
              </w:rPr>
              <w:t>23) пункт  12 Розділу VI "ПРИКІНЦЕВІ ТА ПЕРЕХІДНІ ПОЛОЖЕННЯ" виключити;</w:t>
            </w:r>
          </w:p>
        </w:tc>
      </w:tr>
      <w:tr w:rsidR="008F1775" w:rsidRPr="00286216" w14:paraId="012D9988" w14:textId="77777777" w:rsidTr="00091AA5">
        <w:tc>
          <w:tcPr>
            <w:tcW w:w="576" w:type="dxa"/>
          </w:tcPr>
          <w:p w14:paraId="1594982D" w14:textId="77777777" w:rsidR="008F1775" w:rsidRPr="00286216" w:rsidRDefault="008F1775" w:rsidP="008F1775">
            <w:pPr>
              <w:pStyle w:val="StyleWisnow"/>
              <w:rPr>
                <w:color w:val="000000" w:themeColor="text1"/>
              </w:rPr>
            </w:pPr>
            <w:bookmarkStart w:id="3716" w:name="n3847" w:colFirst="0" w:colLast="0"/>
            <w:bookmarkEnd w:id="3715"/>
            <w:r w:rsidRPr="00286216">
              <w:rPr>
                <w:color w:val="000000" w:themeColor="text1"/>
              </w:rPr>
              <w:t>3847.</w:t>
            </w:r>
          </w:p>
        </w:tc>
        <w:tc>
          <w:tcPr>
            <w:tcW w:w="4818" w:type="dxa"/>
          </w:tcPr>
          <w:p w14:paraId="009EB2D2" w14:textId="77777777" w:rsidR="008F1775" w:rsidRPr="00286216" w:rsidRDefault="008F1775" w:rsidP="008F1775">
            <w:pPr>
              <w:pStyle w:val="StyleZakonu"/>
              <w:rPr>
                <w:color w:val="000000" w:themeColor="text1"/>
              </w:rPr>
            </w:pPr>
            <w:r w:rsidRPr="00286216">
              <w:rPr>
                <w:color w:val="000000" w:themeColor="text1"/>
              </w:rPr>
              <w:t>21) у тексті Закону слова "внутрішніх державних позик" замінити словами "внутрішньої державної позики".</w:t>
            </w:r>
          </w:p>
        </w:tc>
        <w:tc>
          <w:tcPr>
            <w:tcW w:w="3686" w:type="dxa"/>
          </w:tcPr>
          <w:p w14:paraId="633EC5CE" w14:textId="77777777" w:rsidR="008F1775" w:rsidRPr="00286216" w:rsidRDefault="008F1775" w:rsidP="008F1775">
            <w:pPr>
              <w:pStyle w:val="StyleProp"/>
              <w:rPr>
                <w:color w:val="000000" w:themeColor="text1"/>
                <w:szCs w:val="18"/>
              </w:rPr>
            </w:pPr>
          </w:p>
        </w:tc>
        <w:tc>
          <w:tcPr>
            <w:tcW w:w="1987" w:type="dxa"/>
          </w:tcPr>
          <w:p w14:paraId="7A374D6B" w14:textId="77777777" w:rsidR="008F1775" w:rsidRPr="00286216" w:rsidRDefault="008F1775" w:rsidP="008F1775">
            <w:pPr>
              <w:pStyle w:val="StyleWisnow"/>
              <w:rPr>
                <w:color w:val="000000" w:themeColor="text1"/>
              </w:rPr>
            </w:pPr>
          </w:p>
        </w:tc>
        <w:tc>
          <w:tcPr>
            <w:tcW w:w="4818" w:type="dxa"/>
          </w:tcPr>
          <w:p w14:paraId="36A20885" w14:textId="6B5A3C03" w:rsidR="008F1775" w:rsidRPr="00286216" w:rsidRDefault="008F1775" w:rsidP="008F1775">
            <w:pPr>
              <w:pStyle w:val="StyleZakonu"/>
              <w:rPr>
                <w:color w:val="000000" w:themeColor="text1"/>
              </w:rPr>
            </w:pPr>
            <w:r w:rsidRPr="00286216">
              <w:rPr>
                <w:color w:val="000000" w:themeColor="text1"/>
              </w:rPr>
              <w:t>24) у тексті Закону слова "внутрішніх державних позик" замінити словами "внутрішньої державної позики".</w:t>
            </w:r>
          </w:p>
        </w:tc>
      </w:tr>
      <w:tr w:rsidR="008F1775" w:rsidRPr="00286216" w14:paraId="1352FC89" w14:textId="77777777" w:rsidTr="00091AA5">
        <w:tc>
          <w:tcPr>
            <w:tcW w:w="576" w:type="dxa"/>
          </w:tcPr>
          <w:p w14:paraId="4D67A742" w14:textId="77777777" w:rsidR="008F1775" w:rsidRPr="00286216" w:rsidRDefault="008F1775" w:rsidP="008F1775">
            <w:pPr>
              <w:pStyle w:val="StyleWisnow"/>
              <w:rPr>
                <w:color w:val="000000" w:themeColor="text1"/>
              </w:rPr>
            </w:pPr>
            <w:bookmarkStart w:id="3717" w:name="n3848" w:colFirst="0" w:colLast="0"/>
            <w:bookmarkEnd w:id="3716"/>
            <w:r w:rsidRPr="00286216">
              <w:rPr>
                <w:color w:val="000000" w:themeColor="text1"/>
              </w:rPr>
              <w:t>3848.</w:t>
            </w:r>
          </w:p>
        </w:tc>
        <w:tc>
          <w:tcPr>
            <w:tcW w:w="4818" w:type="dxa"/>
          </w:tcPr>
          <w:p w14:paraId="1C88794E" w14:textId="77777777" w:rsidR="008F1775" w:rsidRPr="00286216" w:rsidRDefault="008F1775" w:rsidP="008F1775">
            <w:pPr>
              <w:pStyle w:val="StyleZakonu"/>
              <w:rPr>
                <w:color w:val="000000" w:themeColor="text1"/>
              </w:rPr>
            </w:pPr>
            <w:r w:rsidRPr="00286216">
              <w:rPr>
                <w:color w:val="000000" w:themeColor="text1"/>
              </w:rPr>
              <w:t>45. У Законі України "Про внесення змін до деяких законів України щодо статусу та умов функціонування Розрахункового центру з обслуговування договорів на фінансових ринках" (Відомості Верховної Ради (ВВР), 2014, № 20-21, ст.707) пункт 2 розділу ІІ "</w:t>
            </w:r>
            <w:r w:rsidRPr="00286216">
              <w:rPr>
                <w:color w:val="000000" w:themeColor="text1"/>
                <w:shd w:val="clear" w:color="auto" w:fill="FFFFFF"/>
              </w:rPr>
              <w:t>Прикінцеві положення" виключити.</w:t>
            </w:r>
          </w:p>
        </w:tc>
        <w:tc>
          <w:tcPr>
            <w:tcW w:w="3686" w:type="dxa"/>
          </w:tcPr>
          <w:p w14:paraId="3AA25A9C" w14:textId="77777777" w:rsidR="008F1775" w:rsidRPr="00286216" w:rsidRDefault="008F1775" w:rsidP="008F1775">
            <w:pPr>
              <w:pStyle w:val="StyleProp"/>
              <w:rPr>
                <w:color w:val="000000" w:themeColor="text1"/>
                <w:szCs w:val="18"/>
              </w:rPr>
            </w:pPr>
          </w:p>
        </w:tc>
        <w:tc>
          <w:tcPr>
            <w:tcW w:w="1987" w:type="dxa"/>
          </w:tcPr>
          <w:p w14:paraId="017AF222" w14:textId="77777777" w:rsidR="008F1775" w:rsidRPr="00286216" w:rsidRDefault="008F1775" w:rsidP="008F1775">
            <w:pPr>
              <w:pStyle w:val="StyleWisnow"/>
              <w:rPr>
                <w:color w:val="000000" w:themeColor="text1"/>
              </w:rPr>
            </w:pPr>
          </w:p>
        </w:tc>
        <w:tc>
          <w:tcPr>
            <w:tcW w:w="4818" w:type="dxa"/>
          </w:tcPr>
          <w:p w14:paraId="64A7C58F" w14:textId="32140B83" w:rsidR="008F1775" w:rsidRPr="00286216" w:rsidRDefault="008F1775" w:rsidP="008F1775">
            <w:pPr>
              <w:pStyle w:val="StyleZakonu"/>
              <w:rPr>
                <w:color w:val="000000" w:themeColor="text1"/>
              </w:rPr>
            </w:pPr>
            <w:r w:rsidRPr="00286216">
              <w:rPr>
                <w:color w:val="000000" w:themeColor="text1"/>
              </w:rPr>
              <w:t>43. Пункт 2 розділу ІІ "</w:t>
            </w:r>
            <w:r w:rsidRPr="00286216">
              <w:rPr>
                <w:color w:val="000000" w:themeColor="text1"/>
                <w:shd w:val="clear" w:color="auto" w:fill="FFFFFF"/>
              </w:rPr>
              <w:t>Прикінцеві положення"</w:t>
            </w:r>
            <w:r w:rsidRPr="00286216">
              <w:rPr>
                <w:color w:val="000000" w:themeColor="text1"/>
              </w:rPr>
              <w:t xml:space="preserve"> Закону України "Про внесення змін до деяких законів України щодо статусу та умов функціонування Розрахункового центру з обслуговування договорів на фінансових ринках" (Відомості Верховної Ради України, 2014 р., № 20-21, ст.707) </w:t>
            </w:r>
            <w:r w:rsidRPr="00286216">
              <w:rPr>
                <w:color w:val="000000" w:themeColor="text1"/>
                <w:shd w:val="clear" w:color="auto" w:fill="FFFFFF"/>
              </w:rPr>
              <w:t>виключити.</w:t>
            </w:r>
          </w:p>
        </w:tc>
      </w:tr>
      <w:tr w:rsidR="008F1775" w:rsidRPr="00286216" w14:paraId="1614AA9D" w14:textId="77777777" w:rsidTr="00091AA5">
        <w:tc>
          <w:tcPr>
            <w:tcW w:w="576" w:type="dxa"/>
          </w:tcPr>
          <w:p w14:paraId="71AEBCD4" w14:textId="77777777" w:rsidR="008F1775" w:rsidRPr="00286216" w:rsidRDefault="008F1775" w:rsidP="008F1775">
            <w:pPr>
              <w:pStyle w:val="StyleWisnow"/>
              <w:rPr>
                <w:color w:val="000000" w:themeColor="text1"/>
              </w:rPr>
            </w:pPr>
            <w:bookmarkStart w:id="3718" w:name="n3849" w:colFirst="0" w:colLast="0"/>
            <w:bookmarkEnd w:id="3717"/>
            <w:r w:rsidRPr="00286216">
              <w:rPr>
                <w:color w:val="000000" w:themeColor="text1"/>
              </w:rPr>
              <w:t>3849.</w:t>
            </w:r>
          </w:p>
        </w:tc>
        <w:tc>
          <w:tcPr>
            <w:tcW w:w="4818" w:type="dxa"/>
          </w:tcPr>
          <w:p w14:paraId="578EFF89" w14:textId="77777777" w:rsidR="008F1775" w:rsidRPr="00286216" w:rsidRDefault="008F1775" w:rsidP="008F1775">
            <w:pPr>
              <w:pStyle w:val="StyleZakonu"/>
              <w:rPr>
                <w:color w:val="000000" w:themeColor="text1"/>
              </w:rPr>
            </w:pPr>
            <w:r w:rsidRPr="00286216">
              <w:rPr>
                <w:color w:val="000000" w:themeColor="text1"/>
              </w:rPr>
              <w:t>46. У статті 36 Закону України "Про запобігання корупції" (Відомості Верховної Ради України, 2014 р., №49, ст. 2056, із наступними змінами):</w:t>
            </w:r>
          </w:p>
        </w:tc>
        <w:tc>
          <w:tcPr>
            <w:tcW w:w="3686" w:type="dxa"/>
          </w:tcPr>
          <w:p w14:paraId="23EE019D" w14:textId="77777777" w:rsidR="008F1775" w:rsidRPr="00286216" w:rsidRDefault="008F1775" w:rsidP="008F1775">
            <w:pPr>
              <w:pStyle w:val="StyleProp"/>
              <w:rPr>
                <w:color w:val="000000" w:themeColor="text1"/>
                <w:szCs w:val="18"/>
              </w:rPr>
            </w:pPr>
          </w:p>
        </w:tc>
        <w:tc>
          <w:tcPr>
            <w:tcW w:w="1987" w:type="dxa"/>
          </w:tcPr>
          <w:p w14:paraId="7CC0AB83" w14:textId="77777777" w:rsidR="008F1775" w:rsidRPr="00286216" w:rsidRDefault="008F1775" w:rsidP="008F1775">
            <w:pPr>
              <w:pStyle w:val="StyleWisnow"/>
              <w:rPr>
                <w:color w:val="000000" w:themeColor="text1"/>
              </w:rPr>
            </w:pPr>
          </w:p>
        </w:tc>
        <w:tc>
          <w:tcPr>
            <w:tcW w:w="4818" w:type="dxa"/>
          </w:tcPr>
          <w:p w14:paraId="0680CBBC" w14:textId="460A7183" w:rsidR="008F1775" w:rsidRPr="00286216" w:rsidRDefault="008F1775" w:rsidP="008F1775">
            <w:pPr>
              <w:pStyle w:val="StyleZakonu"/>
              <w:rPr>
                <w:color w:val="000000" w:themeColor="text1"/>
              </w:rPr>
            </w:pPr>
            <w:r w:rsidRPr="00286216">
              <w:rPr>
                <w:color w:val="000000" w:themeColor="text1"/>
              </w:rPr>
              <w:t>44. У статті 36 Закону України "Про запобігання корупції" (Відомості Верховної Ради України, 2014 р., №49, ст. 2056):</w:t>
            </w:r>
          </w:p>
        </w:tc>
      </w:tr>
      <w:tr w:rsidR="008F1775" w:rsidRPr="00286216" w14:paraId="508401FC" w14:textId="77777777" w:rsidTr="00091AA5">
        <w:tc>
          <w:tcPr>
            <w:tcW w:w="576" w:type="dxa"/>
          </w:tcPr>
          <w:p w14:paraId="31E20F2B" w14:textId="77777777" w:rsidR="008F1775" w:rsidRPr="00286216" w:rsidRDefault="008F1775" w:rsidP="008F1775">
            <w:pPr>
              <w:pStyle w:val="StyleWisnow"/>
              <w:rPr>
                <w:color w:val="000000" w:themeColor="text1"/>
              </w:rPr>
            </w:pPr>
            <w:bookmarkStart w:id="3719" w:name="n3850" w:colFirst="0" w:colLast="0"/>
            <w:bookmarkEnd w:id="3718"/>
            <w:r w:rsidRPr="00286216">
              <w:rPr>
                <w:color w:val="000000" w:themeColor="text1"/>
              </w:rPr>
              <w:t>3850.</w:t>
            </w:r>
          </w:p>
        </w:tc>
        <w:tc>
          <w:tcPr>
            <w:tcW w:w="4818" w:type="dxa"/>
          </w:tcPr>
          <w:p w14:paraId="486CBF0F" w14:textId="77777777" w:rsidR="008F1775" w:rsidRPr="00286216" w:rsidRDefault="008F1775" w:rsidP="008F1775">
            <w:pPr>
              <w:pStyle w:val="StyleZakonu"/>
              <w:rPr>
                <w:color w:val="000000" w:themeColor="text1"/>
              </w:rPr>
            </w:pPr>
            <w:r w:rsidRPr="00286216">
              <w:rPr>
                <w:color w:val="000000" w:themeColor="text1"/>
              </w:rPr>
              <w:t>1) у пункті 2 частини третьої:</w:t>
            </w:r>
          </w:p>
        </w:tc>
        <w:tc>
          <w:tcPr>
            <w:tcW w:w="3686" w:type="dxa"/>
          </w:tcPr>
          <w:p w14:paraId="0EEA8582" w14:textId="77777777" w:rsidR="008F1775" w:rsidRPr="00286216" w:rsidRDefault="008F1775" w:rsidP="008F1775">
            <w:pPr>
              <w:pStyle w:val="StyleProp"/>
              <w:rPr>
                <w:color w:val="000000" w:themeColor="text1"/>
                <w:szCs w:val="18"/>
              </w:rPr>
            </w:pPr>
          </w:p>
        </w:tc>
        <w:tc>
          <w:tcPr>
            <w:tcW w:w="1987" w:type="dxa"/>
          </w:tcPr>
          <w:p w14:paraId="561084A6" w14:textId="77777777" w:rsidR="008F1775" w:rsidRPr="00286216" w:rsidRDefault="008F1775" w:rsidP="008F1775">
            <w:pPr>
              <w:pStyle w:val="StyleWisnow"/>
              <w:rPr>
                <w:color w:val="000000" w:themeColor="text1"/>
              </w:rPr>
            </w:pPr>
          </w:p>
        </w:tc>
        <w:tc>
          <w:tcPr>
            <w:tcW w:w="4818" w:type="dxa"/>
          </w:tcPr>
          <w:p w14:paraId="52BDA587" w14:textId="25BCC04B" w:rsidR="008F1775" w:rsidRPr="00286216" w:rsidRDefault="008F1775" w:rsidP="008F1775">
            <w:pPr>
              <w:pStyle w:val="StyleZakonu"/>
              <w:rPr>
                <w:color w:val="000000" w:themeColor="text1"/>
              </w:rPr>
            </w:pPr>
            <w:r w:rsidRPr="00286216">
              <w:rPr>
                <w:color w:val="000000" w:themeColor="text1"/>
              </w:rPr>
              <w:t>1) у пункті 2 частини третьої:</w:t>
            </w:r>
          </w:p>
        </w:tc>
      </w:tr>
      <w:tr w:rsidR="008F1775" w:rsidRPr="00286216" w14:paraId="6544ED60" w14:textId="77777777" w:rsidTr="00091AA5">
        <w:tc>
          <w:tcPr>
            <w:tcW w:w="576" w:type="dxa"/>
          </w:tcPr>
          <w:p w14:paraId="734D077F" w14:textId="77777777" w:rsidR="008F1775" w:rsidRPr="00286216" w:rsidRDefault="008F1775" w:rsidP="008F1775">
            <w:pPr>
              <w:pStyle w:val="StyleWisnow"/>
              <w:rPr>
                <w:color w:val="000000" w:themeColor="text1"/>
              </w:rPr>
            </w:pPr>
            <w:bookmarkStart w:id="3720" w:name="n3851" w:colFirst="0" w:colLast="0"/>
            <w:bookmarkEnd w:id="3719"/>
            <w:r w:rsidRPr="00286216">
              <w:rPr>
                <w:color w:val="000000" w:themeColor="text1"/>
              </w:rPr>
              <w:t>3851.</w:t>
            </w:r>
          </w:p>
        </w:tc>
        <w:tc>
          <w:tcPr>
            <w:tcW w:w="4818" w:type="dxa"/>
          </w:tcPr>
          <w:p w14:paraId="6D258301" w14:textId="77777777" w:rsidR="008F1775" w:rsidRPr="00286216" w:rsidRDefault="008F1775" w:rsidP="008F1775">
            <w:pPr>
              <w:pStyle w:val="StyleZakonu"/>
              <w:rPr>
                <w:color w:val="000000" w:themeColor="text1"/>
              </w:rPr>
            </w:pPr>
            <w:r w:rsidRPr="00286216">
              <w:rPr>
                <w:color w:val="000000" w:themeColor="text1"/>
              </w:rPr>
              <w:t xml:space="preserve">а) слова "цінними паперами, іншими фінансовими інструментами", "торговцем цінними паперами" та </w:t>
            </w:r>
            <w:r w:rsidRPr="00286216">
              <w:rPr>
                <w:color w:val="000000" w:themeColor="text1"/>
              </w:rPr>
              <w:lastRenderedPageBreak/>
              <w:t>"управління цінними паперами" замінити словами "портфелем фінансових інструментів", "інвестиційною фірмою" та "управління портфелем фінансових інструментів" відповідно;</w:t>
            </w:r>
          </w:p>
        </w:tc>
        <w:tc>
          <w:tcPr>
            <w:tcW w:w="3686" w:type="dxa"/>
          </w:tcPr>
          <w:p w14:paraId="531F9E8B" w14:textId="77777777" w:rsidR="008F1775" w:rsidRPr="00286216" w:rsidRDefault="008F1775" w:rsidP="008F1775">
            <w:pPr>
              <w:pStyle w:val="StyleProp"/>
              <w:rPr>
                <w:color w:val="000000" w:themeColor="text1"/>
                <w:szCs w:val="18"/>
              </w:rPr>
            </w:pPr>
          </w:p>
        </w:tc>
        <w:tc>
          <w:tcPr>
            <w:tcW w:w="1987" w:type="dxa"/>
          </w:tcPr>
          <w:p w14:paraId="7F122AF6" w14:textId="77777777" w:rsidR="008F1775" w:rsidRPr="00286216" w:rsidRDefault="008F1775" w:rsidP="008F1775">
            <w:pPr>
              <w:pStyle w:val="StyleWisnow"/>
              <w:rPr>
                <w:color w:val="000000" w:themeColor="text1"/>
              </w:rPr>
            </w:pPr>
          </w:p>
        </w:tc>
        <w:tc>
          <w:tcPr>
            <w:tcW w:w="4818" w:type="dxa"/>
          </w:tcPr>
          <w:p w14:paraId="770711DB" w14:textId="19B18F06" w:rsidR="008F1775" w:rsidRPr="00286216" w:rsidRDefault="008F1775" w:rsidP="008F1775">
            <w:pPr>
              <w:pStyle w:val="StyleZakonu"/>
              <w:rPr>
                <w:color w:val="000000" w:themeColor="text1"/>
              </w:rPr>
            </w:pPr>
            <w:r w:rsidRPr="00286216">
              <w:rPr>
                <w:color w:val="000000" w:themeColor="text1"/>
              </w:rPr>
              <w:t xml:space="preserve">а) слова "цінними паперами, іншими фінансовими інструментами", "торговцем цінними паперами" та </w:t>
            </w:r>
            <w:r w:rsidRPr="00286216">
              <w:rPr>
                <w:color w:val="000000" w:themeColor="text1"/>
              </w:rPr>
              <w:lastRenderedPageBreak/>
              <w:t>"управління цінними паперами" замінити відповідно словами "портфелем фінансових інструментів", "інвестиційною фірмою" та "управління портфелем фінансових інструментів";</w:t>
            </w:r>
          </w:p>
        </w:tc>
      </w:tr>
      <w:tr w:rsidR="008F1775" w:rsidRPr="00286216" w14:paraId="1B75785D" w14:textId="77777777" w:rsidTr="00091AA5">
        <w:tc>
          <w:tcPr>
            <w:tcW w:w="576" w:type="dxa"/>
          </w:tcPr>
          <w:p w14:paraId="20536E98" w14:textId="77777777" w:rsidR="008F1775" w:rsidRPr="00286216" w:rsidRDefault="008F1775" w:rsidP="008F1775">
            <w:pPr>
              <w:pStyle w:val="StyleWisnow"/>
              <w:rPr>
                <w:color w:val="000000" w:themeColor="text1"/>
              </w:rPr>
            </w:pPr>
            <w:bookmarkStart w:id="3721" w:name="n3852" w:colFirst="0" w:colLast="0"/>
            <w:bookmarkEnd w:id="3720"/>
            <w:r w:rsidRPr="00286216">
              <w:rPr>
                <w:color w:val="000000" w:themeColor="text1"/>
              </w:rPr>
              <w:lastRenderedPageBreak/>
              <w:t>3852.</w:t>
            </w:r>
          </w:p>
        </w:tc>
        <w:tc>
          <w:tcPr>
            <w:tcW w:w="4818" w:type="dxa"/>
          </w:tcPr>
          <w:p w14:paraId="3BC67437" w14:textId="77777777" w:rsidR="008F1775" w:rsidRPr="00286216" w:rsidRDefault="008F1775" w:rsidP="008F1775">
            <w:pPr>
              <w:pStyle w:val="StyleZakonu"/>
              <w:rPr>
                <w:color w:val="000000" w:themeColor="text1"/>
              </w:rPr>
            </w:pPr>
            <w:r w:rsidRPr="00286216">
              <w:rPr>
                <w:color w:val="000000" w:themeColor="text1"/>
              </w:rPr>
              <w:t>б) слова "в цінні папери та інші" виключити;</w:t>
            </w:r>
          </w:p>
        </w:tc>
        <w:tc>
          <w:tcPr>
            <w:tcW w:w="3686" w:type="dxa"/>
          </w:tcPr>
          <w:p w14:paraId="47654842" w14:textId="77777777" w:rsidR="008F1775" w:rsidRPr="00286216" w:rsidRDefault="008F1775" w:rsidP="008F1775">
            <w:pPr>
              <w:pStyle w:val="StyleProp"/>
              <w:rPr>
                <w:color w:val="000000" w:themeColor="text1"/>
                <w:szCs w:val="18"/>
              </w:rPr>
            </w:pPr>
          </w:p>
        </w:tc>
        <w:tc>
          <w:tcPr>
            <w:tcW w:w="1987" w:type="dxa"/>
          </w:tcPr>
          <w:p w14:paraId="1391E37F" w14:textId="77777777" w:rsidR="008F1775" w:rsidRPr="00286216" w:rsidRDefault="008F1775" w:rsidP="008F1775">
            <w:pPr>
              <w:pStyle w:val="StyleWisnow"/>
              <w:rPr>
                <w:color w:val="000000" w:themeColor="text1"/>
              </w:rPr>
            </w:pPr>
          </w:p>
        </w:tc>
        <w:tc>
          <w:tcPr>
            <w:tcW w:w="4818" w:type="dxa"/>
          </w:tcPr>
          <w:p w14:paraId="5ED1389B" w14:textId="23274AAE" w:rsidR="008F1775" w:rsidRPr="00286216" w:rsidRDefault="008F1775" w:rsidP="008F1775">
            <w:pPr>
              <w:pStyle w:val="StyleZakonu"/>
              <w:rPr>
                <w:color w:val="000000" w:themeColor="text1"/>
              </w:rPr>
            </w:pPr>
            <w:r w:rsidRPr="00286216">
              <w:rPr>
                <w:color w:val="000000" w:themeColor="text1"/>
              </w:rPr>
              <w:t>б) слова "в цінні папери та інші" виключити;</w:t>
            </w:r>
          </w:p>
        </w:tc>
      </w:tr>
      <w:tr w:rsidR="008F1775" w:rsidRPr="00286216" w14:paraId="181DD123" w14:textId="77777777" w:rsidTr="00091AA5">
        <w:tc>
          <w:tcPr>
            <w:tcW w:w="576" w:type="dxa"/>
          </w:tcPr>
          <w:p w14:paraId="04974A66" w14:textId="77777777" w:rsidR="008F1775" w:rsidRPr="00286216" w:rsidRDefault="008F1775" w:rsidP="008F1775">
            <w:pPr>
              <w:pStyle w:val="StyleWisnow"/>
              <w:rPr>
                <w:color w:val="000000" w:themeColor="text1"/>
              </w:rPr>
            </w:pPr>
            <w:bookmarkStart w:id="3722" w:name="n3853" w:colFirst="0" w:colLast="0"/>
            <w:bookmarkEnd w:id="3721"/>
            <w:r w:rsidRPr="00286216">
              <w:rPr>
                <w:color w:val="000000" w:themeColor="text1"/>
              </w:rPr>
              <w:t>3853.</w:t>
            </w:r>
          </w:p>
        </w:tc>
        <w:tc>
          <w:tcPr>
            <w:tcW w:w="4818" w:type="dxa"/>
          </w:tcPr>
          <w:p w14:paraId="3B0DF0E3" w14:textId="77777777" w:rsidR="008F1775" w:rsidRPr="00286216" w:rsidRDefault="008F1775" w:rsidP="008F1775">
            <w:pPr>
              <w:pStyle w:val="StyleZakonu"/>
              <w:rPr>
                <w:color w:val="000000" w:themeColor="text1"/>
              </w:rPr>
            </w:pPr>
            <w:r w:rsidRPr="00286216">
              <w:rPr>
                <w:color w:val="000000" w:themeColor="text1"/>
              </w:rPr>
              <w:t>2) в частині четвертій слова "торговцями цінними паперами" замінити словами "інвестиційними фірмами".</w:t>
            </w:r>
          </w:p>
        </w:tc>
        <w:tc>
          <w:tcPr>
            <w:tcW w:w="3686" w:type="dxa"/>
          </w:tcPr>
          <w:p w14:paraId="20DF1965" w14:textId="77777777" w:rsidR="008F1775" w:rsidRPr="00286216" w:rsidRDefault="008F1775" w:rsidP="008F1775">
            <w:pPr>
              <w:pStyle w:val="StyleProp"/>
              <w:rPr>
                <w:color w:val="000000" w:themeColor="text1"/>
                <w:szCs w:val="18"/>
              </w:rPr>
            </w:pPr>
          </w:p>
        </w:tc>
        <w:tc>
          <w:tcPr>
            <w:tcW w:w="1987" w:type="dxa"/>
          </w:tcPr>
          <w:p w14:paraId="29DE04DF" w14:textId="77777777" w:rsidR="008F1775" w:rsidRPr="00286216" w:rsidRDefault="008F1775" w:rsidP="008F1775">
            <w:pPr>
              <w:pStyle w:val="StyleWisnow"/>
              <w:rPr>
                <w:color w:val="000000" w:themeColor="text1"/>
              </w:rPr>
            </w:pPr>
          </w:p>
        </w:tc>
        <w:tc>
          <w:tcPr>
            <w:tcW w:w="4818" w:type="dxa"/>
          </w:tcPr>
          <w:p w14:paraId="456D95EF" w14:textId="4BC8AA40" w:rsidR="008F1775" w:rsidRPr="00286216" w:rsidRDefault="008F1775" w:rsidP="008F1775">
            <w:pPr>
              <w:pStyle w:val="StyleZakonu"/>
              <w:rPr>
                <w:color w:val="000000" w:themeColor="text1"/>
              </w:rPr>
            </w:pPr>
            <w:r w:rsidRPr="00286216">
              <w:rPr>
                <w:color w:val="000000" w:themeColor="text1"/>
              </w:rPr>
              <w:t>2)  у частині четвертій слова "торговцями цінними паперами" замінити словами "інвестиційними фірмами".</w:t>
            </w:r>
          </w:p>
        </w:tc>
      </w:tr>
      <w:tr w:rsidR="008F1775" w:rsidRPr="00286216" w14:paraId="3BE62BD3" w14:textId="77777777" w:rsidTr="00091AA5">
        <w:tc>
          <w:tcPr>
            <w:tcW w:w="576" w:type="dxa"/>
          </w:tcPr>
          <w:p w14:paraId="4AECE0FD" w14:textId="77777777" w:rsidR="008F1775" w:rsidRPr="00286216" w:rsidRDefault="008F1775" w:rsidP="008F1775">
            <w:pPr>
              <w:pStyle w:val="StyleWisnow"/>
              <w:rPr>
                <w:color w:val="000000" w:themeColor="text1"/>
              </w:rPr>
            </w:pPr>
            <w:bookmarkStart w:id="3723" w:name="n3854" w:colFirst="0" w:colLast="0"/>
            <w:bookmarkEnd w:id="3722"/>
            <w:r w:rsidRPr="00286216">
              <w:rPr>
                <w:color w:val="000000" w:themeColor="text1"/>
              </w:rPr>
              <w:t>3854.</w:t>
            </w:r>
          </w:p>
        </w:tc>
        <w:tc>
          <w:tcPr>
            <w:tcW w:w="4818" w:type="dxa"/>
          </w:tcPr>
          <w:p w14:paraId="7C80295E" w14:textId="77777777" w:rsidR="008F1775" w:rsidRPr="00286216" w:rsidRDefault="008F1775" w:rsidP="008F1775">
            <w:pPr>
              <w:pStyle w:val="StyleZakonu"/>
              <w:rPr>
                <w:color w:val="000000" w:themeColor="text1"/>
              </w:rPr>
            </w:pPr>
            <w:r w:rsidRPr="00286216">
              <w:rPr>
                <w:color w:val="000000" w:themeColor="text1"/>
              </w:rPr>
              <w:t>47.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(Відомості Верховної Ради України, 2014 р., №50 - 51, ст. 2057, із наступними змінами):</w:t>
            </w:r>
          </w:p>
        </w:tc>
        <w:tc>
          <w:tcPr>
            <w:tcW w:w="3686" w:type="dxa"/>
          </w:tcPr>
          <w:p w14:paraId="5BBFE4B9" w14:textId="49314E03"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1513</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BB6647F"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Пункт 47 викласти в такій редакції:</w:t>
            </w:r>
          </w:p>
          <w:p w14:paraId="4F3A4D6D"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«47.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(Голос України від 28.12.2019, № 251 (7257), стор.69):</w:t>
            </w:r>
          </w:p>
          <w:p w14:paraId="0AB94104"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1) статтю 1 доповнити частиною третьою такого змісту:</w:t>
            </w:r>
          </w:p>
          <w:p w14:paraId="7FFFF7F0"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«3. Терміни «організований ринок», «професійні учасники ринків капіталу» та «професійні учасники організованих товарних ринків» вживаються в цьому Законі у значеннях, визначених у Законі України «Про ринки капіталу та організовані товарні ринки»»;</w:t>
            </w:r>
          </w:p>
          <w:p w14:paraId="19D7A8F4"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2) у частині другій статті 6:</w:t>
            </w:r>
          </w:p>
          <w:p w14:paraId="01794860"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а) в пункті 3 слова «товарні та інші біржі, що проводять фінансові операції з товарами» замінити словами «професійні учасники організованих товарних ринків»;</w:t>
            </w:r>
          </w:p>
          <w:p w14:paraId="24DA330A"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б) в пункті 4 слова «фондового ринку (ринку цінних паперів), крім осіб, які провадять діяльність з організації торгівлі на фондовому ринку» замінити словами «ринків капіталу, крім осіб, які провадять діяльність з організації торгівлі фінансовими інструментами»;</w:t>
            </w:r>
          </w:p>
          <w:p w14:paraId="61E4C7E5"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3) у частині п’ятнадцятій статті 11 слова «на фондовій біржі» замінити словами «на організованому ринку»;</w:t>
            </w:r>
          </w:p>
          <w:p w14:paraId="20D5898D"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4) у статті 18:</w:t>
            </w:r>
          </w:p>
          <w:p w14:paraId="3B0AB0DA"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а) у пункті 2 частини першої слова «товарних та інших бірж, що проводять фінансові операції з товарами» замінити словами «професійних учасників організованих товарних ринків», а слова «професійних учасників фондового ринку» замінити словами «професійних учасників ринків капіталу»;</w:t>
            </w:r>
          </w:p>
          <w:p w14:paraId="242F71BD"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 xml:space="preserve">б) у абзаці четвертому частини другої слова «професійних учасників фондового ринку» замінити словами «професійних </w:t>
            </w:r>
            <w:r w:rsidRPr="00286216">
              <w:rPr>
                <w:color w:val="000000" w:themeColor="text1"/>
                <w:szCs w:val="18"/>
              </w:rPr>
              <w:lastRenderedPageBreak/>
              <w:t>учасників ринків капіталу»».</w:t>
            </w:r>
          </w:p>
          <w:p w14:paraId="531BE2C0" w14:textId="76BC2B99" w:rsidR="008F1775" w:rsidRPr="00286216" w:rsidRDefault="008F1775" w:rsidP="008F1775">
            <w:pPr>
              <w:pStyle w:val="StyleAwt"/>
              <w:rPr>
                <w:color w:val="000000" w:themeColor="text1"/>
                <w:spacing w:val="-5"/>
              </w:rPr>
            </w:pPr>
            <w:r w:rsidRPr="00286216">
              <w:rPr>
                <w:color w:val="000000" w:themeColor="text1"/>
                <w:spacing w:val="-5"/>
              </w:rPr>
              <w:t>-</w:t>
            </w:r>
            <w:r w:rsidRPr="00286216">
              <w:rPr>
                <w:color w:val="000000" w:themeColor="text1"/>
                <w:spacing w:val="-5"/>
              </w:rPr>
              <w:fldChar w:fldCharType="begin"/>
            </w:r>
            <w:r w:rsidRPr="00286216">
              <w:rPr>
                <w:color w:val="000000" w:themeColor="text1"/>
                <w:spacing w:val="-5"/>
              </w:rPr>
              <w:instrText xml:space="preserve"> SEQ aa </w:instrText>
            </w:r>
            <w:r w:rsidRPr="00286216">
              <w:rPr>
                <w:color w:val="000000" w:themeColor="text1"/>
                <w:spacing w:val="-5"/>
              </w:rPr>
              <w:fldChar w:fldCharType="separate"/>
            </w:r>
            <w:r w:rsidR="00C46B29">
              <w:rPr>
                <w:noProof/>
                <w:color w:val="000000" w:themeColor="text1"/>
                <w:spacing w:val="-5"/>
              </w:rPr>
              <w:t>1514</w:t>
            </w:r>
            <w:r w:rsidRPr="00286216">
              <w:rPr>
                <w:color w:val="000000" w:themeColor="text1"/>
                <w:spacing w:val="-5"/>
              </w:rPr>
              <w:fldChar w:fldCharType="end"/>
            </w:r>
            <w:r w:rsidRPr="00286216">
              <w:rPr>
                <w:color w:val="000000" w:themeColor="text1"/>
                <w:spacing w:val="-5"/>
              </w:rPr>
              <w:t>-Н.д.Бєлькова О.В. (Реєстр.картка №403)</w:t>
            </w:r>
          </w:p>
          <w:p w14:paraId="6FD6C3DA"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Пункт 47 викласти в такій редакції:</w:t>
            </w:r>
          </w:p>
          <w:p w14:paraId="1D2475D0"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«47.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(361-IX від 06.12.2019):</w:t>
            </w:r>
          </w:p>
          <w:p w14:paraId="1AC86A88"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У частині першій статті 1 пункт 5 викласти в такій редакції:</w:t>
            </w:r>
          </w:p>
          <w:p w14:paraId="74073F6A" w14:textId="6FCF39D6" w:rsidR="008F1775" w:rsidRPr="00286216" w:rsidRDefault="008F1775" w:rsidP="008F1775">
            <w:pPr>
              <w:pStyle w:val="StyleProp"/>
              <w:spacing w:line="180" w:lineRule="exact"/>
              <w:rPr>
                <w:color w:val="000000" w:themeColor="text1"/>
                <w:szCs w:val="18"/>
              </w:rPr>
            </w:pPr>
            <w:r w:rsidRPr="00286216">
              <w:rPr>
                <w:color w:val="000000" w:themeColor="text1"/>
                <w:szCs w:val="18"/>
              </w:rPr>
              <w:t>«5) бездоганна ділова репутація - сукупність підтвердженої інформації про фізичну особу, що дає можливість зробити висновок про відсутність встановлених протягом останніх трьох років (якщо інший строк не встановлено спеціальним законом, що регулює діяльність суб’єкта первинного фінансового моніторингу) компетентними органами або судом порушень вимог законодавства про запобігання та протидію, законодавства про фінансові послуги та законодавства про запобігання корупції, а також про відсутність судимості за злочини проти громадської безпеки, злочини проти власності, злочини у сфері господарської діяльності, злочини у сфері використання електронно-обчислювальних машин (комп’ютерів), систем та комп’ютерних мереж і мереж електрозв’язку та злочини у сфері службової діяльності та професійної діяльності, пов’язаної з наданням публічних послуг, яка не знята або не погашена в установленому законом порядку".</w:t>
            </w:r>
          </w:p>
        </w:tc>
        <w:tc>
          <w:tcPr>
            <w:tcW w:w="1987" w:type="dxa"/>
          </w:tcPr>
          <w:p w14:paraId="5518C82F" w14:textId="77777777" w:rsidR="008F1775" w:rsidRPr="00286216" w:rsidRDefault="008F1775" w:rsidP="008F1775">
            <w:pPr>
              <w:pStyle w:val="StyleWisnow"/>
              <w:rPr>
                <w:color w:val="000000" w:themeColor="text1"/>
              </w:rPr>
            </w:pPr>
            <w:r w:rsidRPr="00286216">
              <w:rPr>
                <w:color w:val="000000" w:themeColor="text1"/>
              </w:rPr>
              <w:lastRenderedPageBreak/>
              <w:t>Враховано редакційно</w:t>
            </w:r>
          </w:p>
          <w:p w14:paraId="32C48486" w14:textId="77777777" w:rsidR="008F1775" w:rsidRPr="00286216" w:rsidRDefault="008F1775" w:rsidP="008F1775">
            <w:pPr>
              <w:pStyle w:val="StyleWisnow"/>
              <w:rPr>
                <w:color w:val="000000" w:themeColor="text1"/>
              </w:rPr>
            </w:pPr>
          </w:p>
          <w:p w14:paraId="381CCD2A" w14:textId="77777777" w:rsidR="008F1775" w:rsidRPr="00286216" w:rsidRDefault="008F1775" w:rsidP="008F1775">
            <w:pPr>
              <w:pStyle w:val="StyleWisnow"/>
              <w:rPr>
                <w:color w:val="000000" w:themeColor="text1"/>
              </w:rPr>
            </w:pPr>
          </w:p>
          <w:p w14:paraId="43F79ED9" w14:textId="77777777" w:rsidR="008F1775" w:rsidRPr="00286216" w:rsidRDefault="008F1775" w:rsidP="008F1775">
            <w:pPr>
              <w:pStyle w:val="StyleWisnow"/>
              <w:rPr>
                <w:color w:val="000000" w:themeColor="text1"/>
              </w:rPr>
            </w:pPr>
          </w:p>
          <w:p w14:paraId="0D95B577" w14:textId="77777777" w:rsidR="008F1775" w:rsidRPr="00286216" w:rsidRDefault="008F1775" w:rsidP="008F1775">
            <w:pPr>
              <w:pStyle w:val="StyleWisnow"/>
              <w:rPr>
                <w:color w:val="000000" w:themeColor="text1"/>
              </w:rPr>
            </w:pPr>
          </w:p>
          <w:p w14:paraId="435F4669" w14:textId="77777777" w:rsidR="008F1775" w:rsidRPr="00286216" w:rsidRDefault="008F1775" w:rsidP="008F1775">
            <w:pPr>
              <w:pStyle w:val="StyleWisnow"/>
              <w:rPr>
                <w:color w:val="000000" w:themeColor="text1"/>
              </w:rPr>
            </w:pPr>
          </w:p>
          <w:p w14:paraId="391CFC1E" w14:textId="77777777" w:rsidR="008F1775" w:rsidRPr="00286216" w:rsidRDefault="008F1775" w:rsidP="008F1775">
            <w:pPr>
              <w:pStyle w:val="StyleWisnow"/>
              <w:rPr>
                <w:color w:val="000000" w:themeColor="text1"/>
              </w:rPr>
            </w:pPr>
          </w:p>
          <w:p w14:paraId="2800D9CD" w14:textId="77777777" w:rsidR="008F1775" w:rsidRPr="00286216" w:rsidRDefault="008F1775" w:rsidP="008F1775">
            <w:pPr>
              <w:pStyle w:val="StyleWisnow"/>
              <w:rPr>
                <w:color w:val="000000" w:themeColor="text1"/>
              </w:rPr>
            </w:pPr>
          </w:p>
          <w:p w14:paraId="43B04B37" w14:textId="77777777" w:rsidR="008F1775" w:rsidRPr="00286216" w:rsidRDefault="008F1775" w:rsidP="008F1775">
            <w:pPr>
              <w:pStyle w:val="StyleWisnow"/>
              <w:rPr>
                <w:color w:val="000000" w:themeColor="text1"/>
              </w:rPr>
            </w:pPr>
          </w:p>
          <w:p w14:paraId="5D424A3B" w14:textId="77777777" w:rsidR="008F1775" w:rsidRPr="00286216" w:rsidRDefault="008F1775" w:rsidP="008F1775">
            <w:pPr>
              <w:pStyle w:val="StyleWisnow"/>
              <w:rPr>
                <w:color w:val="000000" w:themeColor="text1"/>
              </w:rPr>
            </w:pPr>
          </w:p>
          <w:p w14:paraId="53269DB0" w14:textId="77777777" w:rsidR="008F1775" w:rsidRPr="00286216" w:rsidRDefault="008F1775" w:rsidP="008F1775">
            <w:pPr>
              <w:pStyle w:val="StyleWisnow"/>
              <w:rPr>
                <w:color w:val="000000" w:themeColor="text1"/>
              </w:rPr>
            </w:pPr>
          </w:p>
          <w:p w14:paraId="0B7C4421" w14:textId="77777777" w:rsidR="008F1775" w:rsidRPr="00286216" w:rsidRDefault="008F1775" w:rsidP="008F1775">
            <w:pPr>
              <w:pStyle w:val="StyleWisnow"/>
              <w:rPr>
                <w:color w:val="000000" w:themeColor="text1"/>
              </w:rPr>
            </w:pPr>
          </w:p>
          <w:p w14:paraId="394E5BA3" w14:textId="77777777" w:rsidR="008F1775" w:rsidRPr="00286216" w:rsidRDefault="008F1775" w:rsidP="008F1775">
            <w:pPr>
              <w:pStyle w:val="StyleWisnow"/>
              <w:rPr>
                <w:color w:val="000000" w:themeColor="text1"/>
              </w:rPr>
            </w:pPr>
          </w:p>
          <w:p w14:paraId="0E1E5828" w14:textId="77777777" w:rsidR="008F1775" w:rsidRPr="00286216" w:rsidRDefault="008F1775" w:rsidP="008F1775">
            <w:pPr>
              <w:pStyle w:val="StyleWisnow"/>
              <w:rPr>
                <w:color w:val="000000" w:themeColor="text1"/>
              </w:rPr>
            </w:pPr>
          </w:p>
          <w:p w14:paraId="3D28A523" w14:textId="77777777" w:rsidR="008F1775" w:rsidRPr="00286216" w:rsidRDefault="008F1775" w:rsidP="008F1775">
            <w:pPr>
              <w:pStyle w:val="StyleWisnow"/>
              <w:rPr>
                <w:color w:val="000000" w:themeColor="text1"/>
              </w:rPr>
            </w:pPr>
          </w:p>
          <w:p w14:paraId="5B5408CE" w14:textId="77777777" w:rsidR="008F1775" w:rsidRPr="00286216" w:rsidRDefault="008F1775" w:rsidP="008F1775">
            <w:pPr>
              <w:pStyle w:val="StyleWisnow"/>
              <w:rPr>
                <w:color w:val="000000" w:themeColor="text1"/>
              </w:rPr>
            </w:pPr>
          </w:p>
          <w:p w14:paraId="41E29F8D" w14:textId="77777777" w:rsidR="008F1775" w:rsidRPr="00286216" w:rsidRDefault="008F1775" w:rsidP="008F1775">
            <w:pPr>
              <w:pStyle w:val="StyleWisnow"/>
              <w:rPr>
                <w:color w:val="000000" w:themeColor="text1"/>
              </w:rPr>
            </w:pPr>
          </w:p>
          <w:p w14:paraId="2E0FC076" w14:textId="77777777" w:rsidR="008F1775" w:rsidRPr="00286216" w:rsidRDefault="008F1775" w:rsidP="008F1775">
            <w:pPr>
              <w:pStyle w:val="StyleWisnow"/>
              <w:rPr>
                <w:color w:val="000000" w:themeColor="text1"/>
              </w:rPr>
            </w:pPr>
          </w:p>
          <w:p w14:paraId="2D573959" w14:textId="77777777" w:rsidR="008F1775" w:rsidRPr="00286216" w:rsidRDefault="008F1775" w:rsidP="008F1775">
            <w:pPr>
              <w:pStyle w:val="StyleWisnow"/>
              <w:rPr>
                <w:color w:val="000000" w:themeColor="text1"/>
              </w:rPr>
            </w:pPr>
          </w:p>
          <w:p w14:paraId="063FD3F1" w14:textId="77777777" w:rsidR="008F1775" w:rsidRPr="00286216" w:rsidRDefault="008F1775" w:rsidP="008F1775">
            <w:pPr>
              <w:pStyle w:val="StyleWisnow"/>
              <w:rPr>
                <w:color w:val="000000" w:themeColor="text1"/>
              </w:rPr>
            </w:pPr>
          </w:p>
          <w:p w14:paraId="59B27866" w14:textId="77777777" w:rsidR="008F1775" w:rsidRPr="00286216" w:rsidRDefault="008F1775" w:rsidP="008F1775">
            <w:pPr>
              <w:pStyle w:val="StyleWisnow"/>
              <w:rPr>
                <w:color w:val="000000" w:themeColor="text1"/>
              </w:rPr>
            </w:pPr>
          </w:p>
          <w:p w14:paraId="2EC1D592" w14:textId="77777777" w:rsidR="008F1775" w:rsidRPr="00286216" w:rsidRDefault="008F1775" w:rsidP="008F1775">
            <w:pPr>
              <w:pStyle w:val="StyleWisnow"/>
              <w:rPr>
                <w:color w:val="000000" w:themeColor="text1"/>
              </w:rPr>
            </w:pPr>
          </w:p>
          <w:p w14:paraId="5D2B06D2" w14:textId="77777777" w:rsidR="008F1775" w:rsidRPr="00286216" w:rsidRDefault="008F1775" w:rsidP="008F1775">
            <w:pPr>
              <w:pStyle w:val="StyleWisnow"/>
              <w:rPr>
                <w:color w:val="000000" w:themeColor="text1"/>
              </w:rPr>
            </w:pPr>
          </w:p>
          <w:p w14:paraId="56B19CC0" w14:textId="77777777" w:rsidR="008F1775" w:rsidRPr="00286216" w:rsidRDefault="008F1775" w:rsidP="008F1775">
            <w:pPr>
              <w:pStyle w:val="StyleWisnow"/>
              <w:rPr>
                <w:color w:val="000000" w:themeColor="text1"/>
              </w:rPr>
            </w:pPr>
          </w:p>
          <w:p w14:paraId="76D75241" w14:textId="77777777" w:rsidR="008F1775" w:rsidRPr="00286216" w:rsidRDefault="008F1775" w:rsidP="008F1775">
            <w:pPr>
              <w:pStyle w:val="StyleWisnow"/>
              <w:rPr>
                <w:color w:val="000000" w:themeColor="text1"/>
              </w:rPr>
            </w:pPr>
          </w:p>
          <w:p w14:paraId="3D7B8605" w14:textId="77777777" w:rsidR="008F1775" w:rsidRPr="00286216" w:rsidRDefault="008F1775" w:rsidP="008F1775">
            <w:pPr>
              <w:pStyle w:val="StyleWisnow"/>
              <w:rPr>
                <w:color w:val="000000" w:themeColor="text1"/>
              </w:rPr>
            </w:pPr>
          </w:p>
          <w:p w14:paraId="46D131C7" w14:textId="77777777" w:rsidR="008F1775" w:rsidRPr="00286216" w:rsidRDefault="008F1775" w:rsidP="008F1775">
            <w:pPr>
              <w:pStyle w:val="StyleWisnow"/>
              <w:rPr>
                <w:color w:val="000000" w:themeColor="text1"/>
              </w:rPr>
            </w:pPr>
          </w:p>
          <w:p w14:paraId="626F6F77" w14:textId="77777777" w:rsidR="008F1775" w:rsidRPr="00286216" w:rsidRDefault="008F1775" w:rsidP="008F1775">
            <w:pPr>
              <w:pStyle w:val="StyleWisnow"/>
              <w:rPr>
                <w:color w:val="000000" w:themeColor="text1"/>
              </w:rPr>
            </w:pPr>
          </w:p>
          <w:p w14:paraId="68140FB4" w14:textId="77777777" w:rsidR="008F1775" w:rsidRPr="00286216" w:rsidRDefault="008F1775" w:rsidP="008F1775">
            <w:pPr>
              <w:pStyle w:val="StyleWisnow"/>
              <w:rPr>
                <w:color w:val="000000" w:themeColor="text1"/>
              </w:rPr>
            </w:pPr>
          </w:p>
          <w:p w14:paraId="64AB66AC" w14:textId="77777777" w:rsidR="008F1775" w:rsidRPr="00286216" w:rsidRDefault="008F1775" w:rsidP="008F1775">
            <w:pPr>
              <w:pStyle w:val="StyleWisnow"/>
              <w:rPr>
                <w:color w:val="000000" w:themeColor="text1"/>
              </w:rPr>
            </w:pPr>
          </w:p>
          <w:p w14:paraId="1E8EBF1C" w14:textId="77777777" w:rsidR="008F1775" w:rsidRPr="00286216" w:rsidRDefault="008F1775" w:rsidP="008F1775">
            <w:pPr>
              <w:pStyle w:val="StyleWisnow"/>
              <w:rPr>
                <w:color w:val="000000" w:themeColor="text1"/>
              </w:rPr>
            </w:pPr>
          </w:p>
          <w:p w14:paraId="65465ADA" w14:textId="77777777" w:rsidR="008F1775" w:rsidRPr="00286216" w:rsidRDefault="008F1775" w:rsidP="008F1775">
            <w:pPr>
              <w:pStyle w:val="StyleWisnow"/>
              <w:rPr>
                <w:color w:val="000000" w:themeColor="text1"/>
              </w:rPr>
            </w:pPr>
          </w:p>
          <w:p w14:paraId="57185A8D" w14:textId="77777777" w:rsidR="008F1775" w:rsidRPr="00286216" w:rsidRDefault="008F1775" w:rsidP="008F1775">
            <w:pPr>
              <w:pStyle w:val="StyleWisnow"/>
              <w:rPr>
                <w:color w:val="000000" w:themeColor="text1"/>
              </w:rPr>
            </w:pPr>
          </w:p>
          <w:p w14:paraId="5C56A8A4" w14:textId="77777777" w:rsidR="008F1775" w:rsidRPr="00286216" w:rsidRDefault="008F1775" w:rsidP="008F1775">
            <w:pPr>
              <w:pStyle w:val="StyleWisnow"/>
              <w:rPr>
                <w:color w:val="000000" w:themeColor="text1"/>
              </w:rPr>
            </w:pPr>
          </w:p>
          <w:p w14:paraId="0390781E" w14:textId="77777777" w:rsidR="008F1775" w:rsidRPr="00286216" w:rsidRDefault="008F1775" w:rsidP="008F1775">
            <w:pPr>
              <w:pStyle w:val="StyleWisnow"/>
              <w:rPr>
                <w:color w:val="000000" w:themeColor="text1"/>
              </w:rPr>
            </w:pPr>
          </w:p>
          <w:p w14:paraId="585CD6E3" w14:textId="77777777" w:rsidR="008F1775" w:rsidRPr="00286216" w:rsidRDefault="008F1775" w:rsidP="008F1775">
            <w:pPr>
              <w:pStyle w:val="StyleWisnow"/>
              <w:rPr>
                <w:color w:val="000000" w:themeColor="text1"/>
              </w:rPr>
            </w:pPr>
          </w:p>
          <w:p w14:paraId="7CACA0F2" w14:textId="77777777" w:rsidR="008F1775" w:rsidRPr="00286216" w:rsidRDefault="008F1775" w:rsidP="008F1775">
            <w:pPr>
              <w:pStyle w:val="StyleWisnow"/>
              <w:rPr>
                <w:color w:val="000000" w:themeColor="text1"/>
              </w:rPr>
            </w:pPr>
          </w:p>
          <w:p w14:paraId="05A765FE" w14:textId="77777777" w:rsidR="008F1775" w:rsidRPr="00286216" w:rsidRDefault="008F1775" w:rsidP="008F1775">
            <w:pPr>
              <w:pStyle w:val="StyleWisnow"/>
              <w:rPr>
                <w:color w:val="000000" w:themeColor="text1"/>
              </w:rPr>
            </w:pPr>
          </w:p>
          <w:p w14:paraId="6994CF57"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p w14:paraId="0CE32116" w14:textId="77777777" w:rsidR="008F1775" w:rsidRPr="00286216" w:rsidRDefault="008F1775" w:rsidP="008F1775">
            <w:pPr>
              <w:pStyle w:val="StyleWisnow"/>
              <w:rPr>
                <w:color w:val="000000" w:themeColor="text1"/>
              </w:rPr>
            </w:pPr>
          </w:p>
        </w:tc>
        <w:tc>
          <w:tcPr>
            <w:tcW w:w="4818" w:type="dxa"/>
          </w:tcPr>
          <w:p w14:paraId="57459C33" w14:textId="6C38479E" w:rsidR="008F1775" w:rsidRPr="00286216" w:rsidRDefault="008F1775" w:rsidP="008F1775">
            <w:pPr>
              <w:pStyle w:val="StyleZakonu"/>
              <w:rPr>
                <w:color w:val="000000" w:themeColor="text1"/>
              </w:rPr>
            </w:pPr>
            <w:r w:rsidRPr="00286216">
              <w:rPr>
                <w:color w:val="000000" w:themeColor="text1"/>
              </w:rPr>
              <w:lastRenderedPageBreak/>
              <w:t>52.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 грудня 2019 року № 361-ІХ:</w:t>
            </w:r>
          </w:p>
          <w:p w14:paraId="1E42A43A" w14:textId="77777777" w:rsidR="00DE3AAF" w:rsidRPr="00286216" w:rsidRDefault="00DE3AAF" w:rsidP="00DE3AAF">
            <w:pPr>
              <w:pStyle w:val="StyleZakonu"/>
              <w:rPr>
                <w:color w:val="000000" w:themeColor="text1"/>
              </w:rPr>
            </w:pPr>
            <w:r w:rsidRPr="00286216">
              <w:rPr>
                <w:color w:val="000000" w:themeColor="text1"/>
              </w:rPr>
              <w:t>1) у статті 1:</w:t>
            </w:r>
          </w:p>
          <w:p w14:paraId="7DA30B0D" w14:textId="77777777" w:rsidR="00DE3AAF" w:rsidRPr="00286216" w:rsidRDefault="00DE3AAF" w:rsidP="00DE3AAF">
            <w:pPr>
              <w:pStyle w:val="StyleZakonu"/>
              <w:rPr>
                <w:color w:val="000000" w:themeColor="text1"/>
              </w:rPr>
            </w:pPr>
            <w:r w:rsidRPr="00286216">
              <w:rPr>
                <w:color w:val="000000" w:themeColor="text1"/>
              </w:rPr>
              <w:t>а) пункт 5 частини першої викласти в такій редакції:</w:t>
            </w:r>
          </w:p>
          <w:p w14:paraId="72EBE496" w14:textId="77777777" w:rsidR="00DE3AAF" w:rsidRPr="00286216" w:rsidRDefault="00DE3AAF" w:rsidP="00DE3AAF">
            <w:pPr>
              <w:pStyle w:val="StyleZakonu"/>
              <w:rPr>
                <w:color w:val="000000" w:themeColor="text1"/>
              </w:rPr>
            </w:pPr>
            <w:r w:rsidRPr="00286216">
              <w:rPr>
                <w:color w:val="000000" w:themeColor="text1"/>
              </w:rPr>
              <w:t>"5) бездоганна ділова репутація - сукупність підтвердженої інформації про фізичну особу, що дає можливість зробити висновок про відсутність встановлених протягом останніх трьох років (якщо інший строк не встановлено спеціальним законом, що регулює діяльність суб’єкта первинного фінансового моніторингу) компетентними органами або судом порушень вимог законодавства про запобігання та протидію, законодавства про фінансові послуги та законодавства про запобігання корупції, а також про відсутність судимості за злочини проти громадської безпеки, злочини проти власності, злочини у сфері господарської діяльності, злочини у сфері використання електронно-обчислювальних машин (комп’ютерів), систем та комп’ютерних мереж і мереж електрозв’язку та злочини у сфері службової діяльності та професійної діяльності, пов’язаної з наданням публічних послуг, яка не знята або не погашена в установленому законом порядку";</w:t>
            </w:r>
          </w:p>
          <w:p w14:paraId="5EAD39DD" w14:textId="77777777" w:rsidR="00DE3AAF" w:rsidRPr="00286216" w:rsidRDefault="00DE3AAF" w:rsidP="00DE3AAF">
            <w:pPr>
              <w:pStyle w:val="StyleZakonu"/>
              <w:rPr>
                <w:color w:val="000000" w:themeColor="text1"/>
              </w:rPr>
            </w:pPr>
            <w:r w:rsidRPr="00286216">
              <w:rPr>
                <w:color w:val="000000" w:themeColor="text1"/>
              </w:rPr>
              <w:t>б) доповнити частиною третьою такого змісту:</w:t>
            </w:r>
          </w:p>
          <w:p w14:paraId="3691B85D" w14:textId="77777777" w:rsidR="00DE3AAF" w:rsidRPr="00286216" w:rsidRDefault="00DE3AAF" w:rsidP="00DE3AAF">
            <w:pPr>
              <w:pStyle w:val="StyleZakonu"/>
              <w:rPr>
                <w:color w:val="000000" w:themeColor="text1"/>
              </w:rPr>
            </w:pPr>
            <w:r w:rsidRPr="00286216">
              <w:rPr>
                <w:color w:val="000000" w:themeColor="text1"/>
              </w:rPr>
              <w:t>"3. Терміни «організований ринок», «професійні учасники ринків капіталу» та «професійні учасники організованих товарних ринків» вживаються в цьому Законі у значеннях, наведених у Законі України «Про ринки капіталу та організовані товарні ринки";</w:t>
            </w:r>
          </w:p>
          <w:p w14:paraId="0F5AA2E7" w14:textId="77777777" w:rsidR="00DE3AAF" w:rsidRPr="00286216" w:rsidRDefault="00DE3AAF" w:rsidP="00DE3AAF">
            <w:pPr>
              <w:pStyle w:val="StyleZakonu"/>
              <w:rPr>
                <w:color w:val="000000" w:themeColor="text1"/>
              </w:rPr>
            </w:pPr>
            <w:r w:rsidRPr="00286216">
              <w:rPr>
                <w:color w:val="000000" w:themeColor="text1"/>
              </w:rPr>
              <w:t>2) у частині другій статті 6:</w:t>
            </w:r>
          </w:p>
          <w:p w14:paraId="2328269A" w14:textId="77777777" w:rsidR="00DE3AAF" w:rsidRPr="00286216" w:rsidRDefault="00DE3AAF" w:rsidP="00DE3AAF">
            <w:pPr>
              <w:pStyle w:val="StyleZakonu"/>
              <w:rPr>
                <w:color w:val="000000" w:themeColor="text1"/>
              </w:rPr>
            </w:pPr>
            <w:r w:rsidRPr="00286216">
              <w:rPr>
                <w:color w:val="000000" w:themeColor="text1"/>
              </w:rPr>
              <w:t xml:space="preserve">а) в пункті 3 слова "товарні та інші біржі, що </w:t>
            </w:r>
            <w:r w:rsidRPr="00286216">
              <w:rPr>
                <w:color w:val="000000" w:themeColor="text1"/>
              </w:rPr>
              <w:lastRenderedPageBreak/>
              <w:t>проводять фінансові операції з товарами" замінити словами "професійні учасники організованих товарних ринків</w:t>
            </w:r>
            <w:r w:rsidRPr="00286216">
              <w:rPr>
                <w:color w:val="000000" w:themeColor="text1"/>
                <w:lang w:val="ru-RU"/>
              </w:rPr>
              <w:t>"</w:t>
            </w:r>
            <w:r w:rsidRPr="00286216">
              <w:rPr>
                <w:color w:val="000000" w:themeColor="text1"/>
              </w:rPr>
              <w:t>;</w:t>
            </w:r>
          </w:p>
          <w:p w14:paraId="565D9BA4" w14:textId="77777777" w:rsidR="00DE3AAF" w:rsidRPr="00286216" w:rsidRDefault="00DE3AAF" w:rsidP="00DE3AAF">
            <w:pPr>
              <w:pStyle w:val="StyleZakonu"/>
              <w:rPr>
                <w:color w:val="000000" w:themeColor="text1"/>
              </w:rPr>
            </w:pPr>
            <w:r w:rsidRPr="00286216">
              <w:rPr>
                <w:color w:val="000000" w:themeColor="text1"/>
              </w:rPr>
              <w:t>б) в пункті 4 слова "фондового ринку (ринку цінних паперів), крім осіб, які провадять діяльність з організації торгівлі на фондовому ринку" замінити словами "ринків капіталу, крім осіб, які провадять діяльність з організації торгівлі фінансовими інструментами";</w:t>
            </w:r>
          </w:p>
          <w:p w14:paraId="6028B72C" w14:textId="77777777" w:rsidR="00DE3AAF" w:rsidRPr="00286216" w:rsidRDefault="00DE3AAF" w:rsidP="00DE3AAF">
            <w:pPr>
              <w:pStyle w:val="StyleZakonu"/>
              <w:rPr>
                <w:color w:val="000000" w:themeColor="text1"/>
              </w:rPr>
            </w:pPr>
            <w:r w:rsidRPr="00286216">
              <w:rPr>
                <w:color w:val="000000" w:themeColor="text1"/>
              </w:rPr>
              <w:t>3) у частині п’ятнадцятій статті 11 слова "на фондовій біржі" замінити словами "на організованому ринку";</w:t>
            </w:r>
          </w:p>
          <w:p w14:paraId="1507EF99" w14:textId="77777777" w:rsidR="00DE3AAF" w:rsidRPr="00286216" w:rsidRDefault="00DE3AAF" w:rsidP="00DE3AAF">
            <w:pPr>
              <w:pStyle w:val="StyleZakonu"/>
              <w:rPr>
                <w:color w:val="000000" w:themeColor="text1"/>
              </w:rPr>
            </w:pPr>
            <w:r w:rsidRPr="00286216">
              <w:rPr>
                <w:color w:val="000000" w:themeColor="text1"/>
              </w:rPr>
              <w:t>4) у статті 18:</w:t>
            </w:r>
          </w:p>
          <w:p w14:paraId="6C7F8789" w14:textId="77777777" w:rsidR="00DE3AAF" w:rsidRPr="00286216" w:rsidRDefault="00DE3AAF" w:rsidP="00DE3AAF">
            <w:pPr>
              <w:pStyle w:val="StyleZakonu"/>
              <w:rPr>
                <w:color w:val="000000" w:themeColor="text1"/>
              </w:rPr>
            </w:pPr>
            <w:r w:rsidRPr="00286216">
              <w:rPr>
                <w:color w:val="000000" w:themeColor="text1"/>
              </w:rPr>
              <w:t xml:space="preserve">а) у пункті 2 частини першої слова "товарних та інших бірж, що проводять фінансові операції з товарами" замінити словами </w:t>
            </w:r>
            <w:r w:rsidRPr="00286216">
              <w:rPr>
                <w:color w:val="000000" w:themeColor="text1"/>
                <w:lang w:val="ru-RU"/>
              </w:rPr>
              <w:t>"</w:t>
            </w:r>
            <w:r w:rsidRPr="00286216">
              <w:rPr>
                <w:color w:val="000000" w:themeColor="text1"/>
              </w:rPr>
              <w:t>професійних учасників організованих товарних ринків</w:t>
            </w:r>
            <w:r w:rsidRPr="00286216">
              <w:rPr>
                <w:color w:val="000000" w:themeColor="text1"/>
                <w:lang w:val="ru-RU"/>
              </w:rPr>
              <w:t>"</w:t>
            </w:r>
            <w:r w:rsidRPr="00286216">
              <w:rPr>
                <w:color w:val="000000" w:themeColor="text1"/>
              </w:rPr>
              <w:t xml:space="preserve">, а слова </w:t>
            </w:r>
            <w:r w:rsidRPr="00286216">
              <w:rPr>
                <w:color w:val="000000" w:themeColor="text1"/>
                <w:lang w:val="ru-RU"/>
              </w:rPr>
              <w:t>"</w:t>
            </w:r>
            <w:r w:rsidRPr="00286216">
              <w:rPr>
                <w:color w:val="000000" w:themeColor="text1"/>
              </w:rPr>
              <w:t>професійних учасників фондового ринку</w:t>
            </w:r>
            <w:r w:rsidRPr="00286216">
              <w:rPr>
                <w:color w:val="000000" w:themeColor="text1"/>
                <w:lang w:val="ru-RU"/>
              </w:rPr>
              <w:t>"</w:t>
            </w:r>
            <w:r w:rsidRPr="00286216">
              <w:rPr>
                <w:color w:val="000000" w:themeColor="text1"/>
              </w:rPr>
              <w:t xml:space="preserve"> словами </w:t>
            </w:r>
            <w:r w:rsidRPr="00286216">
              <w:rPr>
                <w:color w:val="000000" w:themeColor="text1"/>
                <w:lang w:val="ru-RU"/>
              </w:rPr>
              <w:t>"</w:t>
            </w:r>
            <w:r w:rsidRPr="00286216">
              <w:rPr>
                <w:color w:val="000000" w:themeColor="text1"/>
              </w:rPr>
              <w:t>професійних учасників ринків капіталу</w:t>
            </w:r>
            <w:r w:rsidRPr="00286216">
              <w:rPr>
                <w:color w:val="000000" w:themeColor="text1"/>
                <w:lang w:val="ru-RU"/>
              </w:rPr>
              <w:t>"</w:t>
            </w:r>
            <w:r w:rsidRPr="00286216">
              <w:rPr>
                <w:color w:val="000000" w:themeColor="text1"/>
              </w:rPr>
              <w:t>;</w:t>
            </w:r>
          </w:p>
          <w:p w14:paraId="23EFA6FE" w14:textId="7E213E1A" w:rsidR="008F1775" w:rsidRPr="00286216" w:rsidRDefault="00DE3AAF" w:rsidP="00DE3AAF">
            <w:pPr>
              <w:pStyle w:val="StyleZakonu"/>
              <w:rPr>
                <w:color w:val="000000" w:themeColor="text1"/>
              </w:rPr>
            </w:pPr>
            <w:r w:rsidRPr="00286216">
              <w:rPr>
                <w:color w:val="000000" w:themeColor="text1"/>
              </w:rPr>
              <w:t xml:space="preserve">б) в абзаці четвертому частини другої слова </w:t>
            </w:r>
            <w:r w:rsidRPr="00286216">
              <w:rPr>
                <w:color w:val="000000" w:themeColor="text1"/>
                <w:lang w:val="ru-RU"/>
              </w:rPr>
              <w:t>"</w:t>
            </w:r>
            <w:r w:rsidRPr="00286216">
              <w:rPr>
                <w:color w:val="000000" w:themeColor="text1"/>
              </w:rPr>
              <w:t>професійних учасників фондового ринку</w:t>
            </w:r>
            <w:r w:rsidRPr="00286216">
              <w:rPr>
                <w:color w:val="000000" w:themeColor="text1"/>
                <w:lang w:val="ru-RU"/>
              </w:rPr>
              <w:t>"</w:t>
            </w:r>
            <w:r w:rsidRPr="00286216">
              <w:rPr>
                <w:color w:val="000000" w:themeColor="text1"/>
              </w:rPr>
              <w:t xml:space="preserve"> замінити словами </w:t>
            </w:r>
            <w:r w:rsidRPr="00286216">
              <w:rPr>
                <w:color w:val="000000" w:themeColor="text1"/>
                <w:lang w:val="ru-RU"/>
              </w:rPr>
              <w:t>"</w:t>
            </w:r>
            <w:r w:rsidRPr="00286216">
              <w:rPr>
                <w:color w:val="000000" w:themeColor="text1"/>
              </w:rPr>
              <w:t>професійних учасників ринків капіталу</w:t>
            </w:r>
            <w:r w:rsidRPr="00286216">
              <w:rPr>
                <w:color w:val="000000" w:themeColor="text1"/>
                <w:lang w:val="ru-RU"/>
              </w:rPr>
              <w:t>".</w:t>
            </w:r>
          </w:p>
        </w:tc>
      </w:tr>
      <w:tr w:rsidR="008F1775" w:rsidRPr="00286216" w14:paraId="7CABF9BE" w14:textId="77777777" w:rsidTr="00091AA5">
        <w:tc>
          <w:tcPr>
            <w:tcW w:w="576" w:type="dxa"/>
          </w:tcPr>
          <w:p w14:paraId="082C176C" w14:textId="77777777" w:rsidR="008F1775" w:rsidRPr="00286216" w:rsidRDefault="008F1775" w:rsidP="008F1775">
            <w:pPr>
              <w:pStyle w:val="StyleWisnow"/>
              <w:rPr>
                <w:color w:val="000000" w:themeColor="text1"/>
              </w:rPr>
            </w:pPr>
            <w:bookmarkStart w:id="3724" w:name="n3855" w:colFirst="0" w:colLast="0"/>
            <w:bookmarkEnd w:id="3723"/>
            <w:r w:rsidRPr="00286216">
              <w:rPr>
                <w:color w:val="000000" w:themeColor="text1"/>
              </w:rPr>
              <w:lastRenderedPageBreak/>
              <w:t>3855.</w:t>
            </w:r>
          </w:p>
        </w:tc>
        <w:tc>
          <w:tcPr>
            <w:tcW w:w="4818" w:type="dxa"/>
          </w:tcPr>
          <w:p w14:paraId="1E8B2E94" w14:textId="77777777" w:rsidR="008F1775" w:rsidRPr="00286216" w:rsidRDefault="008F1775" w:rsidP="008F1775">
            <w:pPr>
              <w:pStyle w:val="StyleZakonu"/>
              <w:rPr>
                <w:color w:val="000000" w:themeColor="text1"/>
              </w:rPr>
            </w:pPr>
            <w:r w:rsidRPr="00286216">
              <w:rPr>
                <w:color w:val="000000" w:themeColor="text1"/>
              </w:rPr>
              <w:t>1) статтю 1 доповнити частиною третьою такого змісту:</w:t>
            </w:r>
          </w:p>
        </w:tc>
        <w:tc>
          <w:tcPr>
            <w:tcW w:w="3686" w:type="dxa"/>
          </w:tcPr>
          <w:p w14:paraId="5C869AE9" w14:textId="77777777" w:rsidR="008F1775" w:rsidRPr="00286216" w:rsidRDefault="008F1775" w:rsidP="008F1775">
            <w:pPr>
              <w:pStyle w:val="StyleProp"/>
              <w:rPr>
                <w:color w:val="000000" w:themeColor="text1"/>
                <w:szCs w:val="18"/>
              </w:rPr>
            </w:pPr>
          </w:p>
        </w:tc>
        <w:tc>
          <w:tcPr>
            <w:tcW w:w="1987" w:type="dxa"/>
          </w:tcPr>
          <w:p w14:paraId="32F1D0DC" w14:textId="77777777" w:rsidR="008F1775" w:rsidRPr="00286216" w:rsidRDefault="008F1775" w:rsidP="008F1775">
            <w:pPr>
              <w:pStyle w:val="StyleWisnow"/>
              <w:rPr>
                <w:color w:val="000000" w:themeColor="text1"/>
              </w:rPr>
            </w:pPr>
          </w:p>
        </w:tc>
        <w:tc>
          <w:tcPr>
            <w:tcW w:w="4818" w:type="dxa"/>
          </w:tcPr>
          <w:p w14:paraId="01E65733" w14:textId="77777777" w:rsidR="008F1775" w:rsidRPr="00286216" w:rsidRDefault="008F1775" w:rsidP="008F1775">
            <w:pPr>
              <w:pStyle w:val="StyleZakonu"/>
              <w:rPr>
                <w:color w:val="000000" w:themeColor="text1"/>
              </w:rPr>
            </w:pPr>
          </w:p>
        </w:tc>
      </w:tr>
      <w:tr w:rsidR="008F1775" w:rsidRPr="00286216" w14:paraId="5BAE8F19" w14:textId="77777777" w:rsidTr="00091AA5">
        <w:tc>
          <w:tcPr>
            <w:tcW w:w="576" w:type="dxa"/>
          </w:tcPr>
          <w:p w14:paraId="6C98F365" w14:textId="77777777" w:rsidR="008F1775" w:rsidRPr="00286216" w:rsidRDefault="008F1775" w:rsidP="008F1775">
            <w:pPr>
              <w:pStyle w:val="StyleWisnow"/>
              <w:rPr>
                <w:color w:val="000000" w:themeColor="text1"/>
              </w:rPr>
            </w:pPr>
            <w:bookmarkStart w:id="3725" w:name="n3856" w:colFirst="0" w:colLast="0"/>
            <w:bookmarkEnd w:id="3724"/>
            <w:r w:rsidRPr="00286216">
              <w:rPr>
                <w:color w:val="000000" w:themeColor="text1"/>
              </w:rPr>
              <w:t>3856.</w:t>
            </w:r>
          </w:p>
        </w:tc>
        <w:tc>
          <w:tcPr>
            <w:tcW w:w="4818" w:type="dxa"/>
          </w:tcPr>
          <w:p w14:paraId="42BE66E6" w14:textId="77777777" w:rsidR="008F1775" w:rsidRPr="00286216" w:rsidRDefault="008F1775" w:rsidP="008F1775">
            <w:pPr>
              <w:pStyle w:val="StyleZakonu"/>
              <w:rPr>
                <w:color w:val="000000" w:themeColor="text1"/>
              </w:rPr>
            </w:pPr>
            <w:r w:rsidRPr="00286216">
              <w:rPr>
                <w:color w:val="000000" w:themeColor="text1"/>
              </w:rPr>
              <w:t>"3. Терміни "фінансовий інструмент", "багатосторонній торгівельний майданчик", "оператор регульованого ринку", професійний учасник організованих товарних ринків" та "професійний учасник ринків капіталу" вживаються в цьому Законі у значеннях, визначених у Законі України "Про ринки капіталу та організовані товарні ринки".";</w:t>
            </w:r>
          </w:p>
        </w:tc>
        <w:tc>
          <w:tcPr>
            <w:tcW w:w="3686" w:type="dxa"/>
          </w:tcPr>
          <w:p w14:paraId="1D7E4D1D" w14:textId="77777777" w:rsidR="008F1775" w:rsidRPr="00286216" w:rsidRDefault="008F1775" w:rsidP="008F1775">
            <w:pPr>
              <w:pStyle w:val="StyleProp"/>
              <w:rPr>
                <w:color w:val="000000" w:themeColor="text1"/>
                <w:szCs w:val="18"/>
              </w:rPr>
            </w:pPr>
          </w:p>
        </w:tc>
        <w:tc>
          <w:tcPr>
            <w:tcW w:w="1987" w:type="dxa"/>
          </w:tcPr>
          <w:p w14:paraId="116116EC" w14:textId="77777777" w:rsidR="008F1775" w:rsidRPr="00286216" w:rsidRDefault="008F1775" w:rsidP="008F1775">
            <w:pPr>
              <w:pStyle w:val="StyleWisnow"/>
              <w:rPr>
                <w:color w:val="000000" w:themeColor="text1"/>
              </w:rPr>
            </w:pPr>
          </w:p>
        </w:tc>
        <w:tc>
          <w:tcPr>
            <w:tcW w:w="4818" w:type="dxa"/>
          </w:tcPr>
          <w:p w14:paraId="54B916DA" w14:textId="77777777" w:rsidR="008F1775" w:rsidRPr="00286216" w:rsidRDefault="008F1775" w:rsidP="008F1775">
            <w:pPr>
              <w:pStyle w:val="StyleZakonu"/>
              <w:rPr>
                <w:color w:val="000000" w:themeColor="text1"/>
              </w:rPr>
            </w:pPr>
          </w:p>
        </w:tc>
      </w:tr>
      <w:tr w:rsidR="008F1775" w:rsidRPr="00286216" w14:paraId="005846C2" w14:textId="77777777" w:rsidTr="00091AA5">
        <w:tc>
          <w:tcPr>
            <w:tcW w:w="576" w:type="dxa"/>
          </w:tcPr>
          <w:p w14:paraId="52B48D1E" w14:textId="77777777" w:rsidR="008F1775" w:rsidRPr="00286216" w:rsidRDefault="008F1775" w:rsidP="008F1775">
            <w:pPr>
              <w:pStyle w:val="StyleWisnow"/>
              <w:rPr>
                <w:color w:val="000000" w:themeColor="text1"/>
              </w:rPr>
            </w:pPr>
            <w:bookmarkStart w:id="3726" w:name="n3857" w:colFirst="0" w:colLast="0"/>
            <w:bookmarkEnd w:id="3725"/>
            <w:r w:rsidRPr="00286216">
              <w:rPr>
                <w:color w:val="000000" w:themeColor="text1"/>
              </w:rPr>
              <w:t>3857.</w:t>
            </w:r>
          </w:p>
        </w:tc>
        <w:tc>
          <w:tcPr>
            <w:tcW w:w="4818" w:type="dxa"/>
          </w:tcPr>
          <w:p w14:paraId="7396AC56" w14:textId="77777777" w:rsidR="008F1775" w:rsidRPr="00286216" w:rsidRDefault="008F1775" w:rsidP="008F1775">
            <w:pPr>
              <w:pStyle w:val="StyleZakonu"/>
              <w:rPr>
                <w:color w:val="000000" w:themeColor="text1"/>
              </w:rPr>
            </w:pPr>
            <w:r w:rsidRPr="00286216">
              <w:rPr>
                <w:color w:val="000000" w:themeColor="text1"/>
              </w:rPr>
              <w:t>2) у частині другій статті 5:</w:t>
            </w:r>
          </w:p>
        </w:tc>
        <w:tc>
          <w:tcPr>
            <w:tcW w:w="3686" w:type="dxa"/>
          </w:tcPr>
          <w:p w14:paraId="765E436B" w14:textId="77777777" w:rsidR="008F1775" w:rsidRPr="00286216" w:rsidRDefault="008F1775" w:rsidP="008F1775">
            <w:pPr>
              <w:pStyle w:val="StyleProp"/>
              <w:rPr>
                <w:color w:val="000000" w:themeColor="text1"/>
                <w:szCs w:val="18"/>
              </w:rPr>
            </w:pPr>
          </w:p>
        </w:tc>
        <w:tc>
          <w:tcPr>
            <w:tcW w:w="1987" w:type="dxa"/>
          </w:tcPr>
          <w:p w14:paraId="194D5A88" w14:textId="77777777" w:rsidR="008F1775" w:rsidRPr="00286216" w:rsidRDefault="008F1775" w:rsidP="008F1775">
            <w:pPr>
              <w:pStyle w:val="StyleWisnow"/>
              <w:rPr>
                <w:color w:val="000000" w:themeColor="text1"/>
              </w:rPr>
            </w:pPr>
          </w:p>
        </w:tc>
        <w:tc>
          <w:tcPr>
            <w:tcW w:w="4818" w:type="dxa"/>
          </w:tcPr>
          <w:p w14:paraId="4796D438" w14:textId="77777777" w:rsidR="008F1775" w:rsidRPr="00286216" w:rsidRDefault="008F1775" w:rsidP="008F1775">
            <w:pPr>
              <w:pStyle w:val="StyleZakonu"/>
              <w:rPr>
                <w:color w:val="000000" w:themeColor="text1"/>
              </w:rPr>
            </w:pPr>
          </w:p>
        </w:tc>
      </w:tr>
      <w:tr w:rsidR="008F1775" w:rsidRPr="00286216" w14:paraId="0DD09F31" w14:textId="77777777" w:rsidTr="00091AA5">
        <w:tc>
          <w:tcPr>
            <w:tcW w:w="576" w:type="dxa"/>
          </w:tcPr>
          <w:p w14:paraId="559F2EDB" w14:textId="77777777" w:rsidR="008F1775" w:rsidRPr="00286216" w:rsidRDefault="008F1775" w:rsidP="008F1775">
            <w:pPr>
              <w:pStyle w:val="StyleWisnow"/>
              <w:rPr>
                <w:color w:val="000000" w:themeColor="text1"/>
              </w:rPr>
            </w:pPr>
            <w:bookmarkStart w:id="3727" w:name="n3858" w:colFirst="0" w:colLast="0"/>
            <w:bookmarkEnd w:id="3726"/>
            <w:r w:rsidRPr="00286216">
              <w:rPr>
                <w:color w:val="000000" w:themeColor="text1"/>
              </w:rPr>
              <w:t>3858.</w:t>
            </w:r>
          </w:p>
        </w:tc>
        <w:tc>
          <w:tcPr>
            <w:tcW w:w="4818" w:type="dxa"/>
          </w:tcPr>
          <w:p w14:paraId="56D5721B" w14:textId="77777777" w:rsidR="008F1775" w:rsidRPr="00286216" w:rsidRDefault="008F1775" w:rsidP="008F1775">
            <w:pPr>
              <w:pStyle w:val="StyleZakonu"/>
              <w:rPr>
                <w:color w:val="000000" w:themeColor="text1"/>
              </w:rPr>
            </w:pPr>
            <w:r w:rsidRPr="00286216">
              <w:rPr>
                <w:color w:val="000000" w:themeColor="text1"/>
              </w:rPr>
              <w:t>у пункті третьому слова "товарні та інші біржі" замінити словами "оператори організованих ринків";</w:t>
            </w:r>
          </w:p>
        </w:tc>
        <w:tc>
          <w:tcPr>
            <w:tcW w:w="3686" w:type="dxa"/>
          </w:tcPr>
          <w:p w14:paraId="55876946" w14:textId="77777777" w:rsidR="008F1775" w:rsidRPr="00286216" w:rsidRDefault="008F1775" w:rsidP="008F1775">
            <w:pPr>
              <w:pStyle w:val="StyleProp"/>
              <w:rPr>
                <w:color w:val="000000" w:themeColor="text1"/>
                <w:szCs w:val="18"/>
              </w:rPr>
            </w:pPr>
          </w:p>
        </w:tc>
        <w:tc>
          <w:tcPr>
            <w:tcW w:w="1987" w:type="dxa"/>
          </w:tcPr>
          <w:p w14:paraId="46DE78BF" w14:textId="77777777" w:rsidR="008F1775" w:rsidRPr="00286216" w:rsidRDefault="008F1775" w:rsidP="008F1775">
            <w:pPr>
              <w:pStyle w:val="StyleWisnow"/>
              <w:rPr>
                <w:color w:val="000000" w:themeColor="text1"/>
              </w:rPr>
            </w:pPr>
          </w:p>
        </w:tc>
        <w:tc>
          <w:tcPr>
            <w:tcW w:w="4818" w:type="dxa"/>
          </w:tcPr>
          <w:p w14:paraId="5FCB1AD1" w14:textId="77777777" w:rsidR="008F1775" w:rsidRPr="00286216" w:rsidRDefault="008F1775" w:rsidP="008F1775">
            <w:pPr>
              <w:pStyle w:val="StyleZakonu"/>
              <w:rPr>
                <w:color w:val="000000" w:themeColor="text1"/>
              </w:rPr>
            </w:pPr>
          </w:p>
        </w:tc>
      </w:tr>
      <w:tr w:rsidR="008F1775" w:rsidRPr="00286216" w14:paraId="3D065D36" w14:textId="77777777" w:rsidTr="00091AA5">
        <w:tc>
          <w:tcPr>
            <w:tcW w:w="576" w:type="dxa"/>
          </w:tcPr>
          <w:p w14:paraId="1777D76C" w14:textId="77777777" w:rsidR="008F1775" w:rsidRPr="00286216" w:rsidRDefault="008F1775" w:rsidP="008F1775">
            <w:pPr>
              <w:pStyle w:val="StyleWisnow"/>
              <w:rPr>
                <w:color w:val="000000" w:themeColor="text1"/>
              </w:rPr>
            </w:pPr>
            <w:bookmarkStart w:id="3728" w:name="n3859" w:colFirst="0" w:colLast="0"/>
            <w:bookmarkEnd w:id="3727"/>
            <w:r w:rsidRPr="00286216">
              <w:rPr>
                <w:color w:val="000000" w:themeColor="text1"/>
              </w:rPr>
              <w:t>3859.</w:t>
            </w:r>
          </w:p>
        </w:tc>
        <w:tc>
          <w:tcPr>
            <w:tcW w:w="4818" w:type="dxa"/>
          </w:tcPr>
          <w:p w14:paraId="6B8FFBAF" w14:textId="77777777" w:rsidR="008F1775" w:rsidRPr="00286216" w:rsidRDefault="008F1775" w:rsidP="008F1775">
            <w:pPr>
              <w:pStyle w:val="StyleZakonu"/>
              <w:rPr>
                <w:color w:val="000000" w:themeColor="text1"/>
              </w:rPr>
            </w:pPr>
            <w:r w:rsidRPr="00286216">
              <w:rPr>
                <w:color w:val="000000" w:themeColor="text1"/>
              </w:rPr>
              <w:t>у пункті четвертому слова "фондового ринку (ринку цінних паперів)" замінити словами "ринків капіталу";</w:t>
            </w:r>
          </w:p>
        </w:tc>
        <w:tc>
          <w:tcPr>
            <w:tcW w:w="3686" w:type="dxa"/>
          </w:tcPr>
          <w:p w14:paraId="0DB76449" w14:textId="77777777" w:rsidR="008F1775" w:rsidRPr="00286216" w:rsidRDefault="008F1775" w:rsidP="008F1775">
            <w:pPr>
              <w:pStyle w:val="StyleProp"/>
              <w:rPr>
                <w:color w:val="000000" w:themeColor="text1"/>
                <w:szCs w:val="18"/>
              </w:rPr>
            </w:pPr>
          </w:p>
        </w:tc>
        <w:tc>
          <w:tcPr>
            <w:tcW w:w="1987" w:type="dxa"/>
          </w:tcPr>
          <w:p w14:paraId="4F8EF3CC" w14:textId="77777777" w:rsidR="008F1775" w:rsidRPr="00286216" w:rsidRDefault="008F1775" w:rsidP="008F1775">
            <w:pPr>
              <w:pStyle w:val="StyleWisnow"/>
              <w:rPr>
                <w:color w:val="000000" w:themeColor="text1"/>
              </w:rPr>
            </w:pPr>
          </w:p>
        </w:tc>
        <w:tc>
          <w:tcPr>
            <w:tcW w:w="4818" w:type="dxa"/>
          </w:tcPr>
          <w:p w14:paraId="3A2BCA8D" w14:textId="77777777" w:rsidR="008F1775" w:rsidRPr="00286216" w:rsidRDefault="008F1775" w:rsidP="008F1775">
            <w:pPr>
              <w:pStyle w:val="StyleZakonu"/>
              <w:rPr>
                <w:color w:val="000000" w:themeColor="text1"/>
              </w:rPr>
            </w:pPr>
          </w:p>
        </w:tc>
      </w:tr>
      <w:tr w:rsidR="008F1775" w:rsidRPr="00286216" w14:paraId="5C8B7EFC" w14:textId="77777777" w:rsidTr="00091AA5">
        <w:tc>
          <w:tcPr>
            <w:tcW w:w="576" w:type="dxa"/>
          </w:tcPr>
          <w:p w14:paraId="3832C03A" w14:textId="77777777" w:rsidR="008F1775" w:rsidRPr="00286216" w:rsidRDefault="008F1775" w:rsidP="008F1775">
            <w:pPr>
              <w:pStyle w:val="StyleWisnow"/>
              <w:rPr>
                <w:color w:val="000000" w:themeColor="text1"/>
              </w:rPr>
            </w:pPr>
            <w:bookmarkStart w:id="3729" w:name="n3860" w:colFirst="0" w:colLast="0"/>
            <w:bookmarkEnd w:id="3728"/>
            <w:r w:rsidRPr="00286216">
              <w:rPr>
                <w:color w:val="000000" w:themeColor="text1"/>
              </w:rPr>
              <w:t>3860.</w:t>
            </w:r>
          </w:p>
        </w:tc>
        <w:tc>
          <w:tcPr>
            <w:tcW w:w="4818" w:type="dxa"/>
          </w:tcPr>
          <w:p w14:paraId="0E054239" w14:textId="77777777" w:rsidR="008F1775" w:rsidRPr="00286216" w:rsidRDefault="008F1775" w:rsidP="008F1775">
            <w:pPr>
              <w:pStyle w:val="StyleZakonu"/>
              <w:rPr>
                <w:color w:val="000000" w:themeColor="text1"/>
              </w:rPr>
            </w:pPr>
            <w:r w:rsidRPr="00286216">
              <w:rPr>
                <w:color w:val="000000" w:themeColor="text1"/>
              </w:rPr>
              <w:t xml:space="preserve">3) в абзацах третьому та сьомому частини </w:t>
            </w:r>
            <w:r w:rsidRPr="00286216">
              <w:rPr>
                <w:color w:val="000000" w:themeColor="text1"/>
              </w:rPr>
              <w:lastRenderedPageBreak/>
              <w:t>шістнадцятої статті 9 слова "фондовій біржі" замінити словами "організованому ринку капіталу";</w:t>
            </w:r>
          </w:p>
        </w:tc>
        <w:tc>
          <w:tcPr>
            <w:tcW w:w="3686" w:type="dxa"/>
          </w:tcPr>
          <w:p w14:paraId="7ACA2D51" w14:textId="77777777" w:rsidR="008F1775" w:rsidRPr="00286216" w:rsidRDefault="008F1775" w:rsidP="008F1775">
            <w:pPr>
              <w:pStyle w:val="StyleProp"/>
              <w:rPr>
                <w:color w:val="000000" w:themeColor="text1"/>
                <w:szCs w:val="18"/>
              </w:rPr>
            </w:pPr>
          </w:p>
        </w:tc>
        <w:tc>
          <w:tcPr>
            <w:tcW w:w="1987" w:type="dxa"/>
          </w:tcPr>
          <w:p w14:paraId="39396780" w14:textId="77777777" w:rsidR="008F1775" w:rsidRPr="00286216" w:rsidRDefault="008F1775" w:rsidP="008F1775">
            <w:pPr>
              <w:pStyle w:val="StyleWisnow"/>
              <w:rPr>
                <w:color w:val="000000" w:themeColor="text1"/>
              </w:rPr>
            </w:pPr>
          </w:p>
        </w:tc>
        <w:tc>
          <w:tcPr>
            <w:tcW w:w="4818" w:type="dxa"/>
          </w:tcPr>
          <w:p w14:paraId="6A4462B4" w14:textId="77777777" w:rsidR="008F1775" w:rsidRPr="00286216" w:rsidRDefault="008F1775" w:rsidP="008F1775">
            <w:pPr>
              <w:pStyle w:val="StyleZakonu"/>
              <w:rPr>
                <w:color w:val="000000" w:themeColor="text1"/>
              </w:rPr>
            </w:pPr>
          </w:p>
        </w:tc>
      </w:tr>
      <w:tr w:rsidR="008F1775" w:rsidRPr="00286216" w14:paraId="3AABE7C3" w14:textId="77777777" w:rsidTr="00091AA5">
        <w:tc>
          <w:tcPr>
            <w:tcW w:w="576" w:type="dxa"/>
          </w:tcPr>
          <w:p w14:paraId="6E938374" w14:textId="77777777" w:rsidR="008F1775" w:rsidRPr="00286216" w:rsidRDefault="008F1775" w:rsidP="008F1775">
            <w:pPr>
              <w:pStyle w:val="StyleWisnow"/>
              <w:rPr>
                <w:color w:val="000000" w:themeColor="text1"/>
              </w:rPr>
            </w:pPr>
            <w:bookmarkStart w:id="3730" w:name="n3861" w:colFirst="0" w:colLast="0"/>
            <w:bookmarkEnd w:id="3729"/>
            <w:r w:rsidRPr="00286216">
              <w:rPr>
                <w:color w:val="000000" w:themeColor="text1"/>
              </w:rPr>
              <w:t>3861.</w:t>
            </w:r>
          </w:p>
        </w:tc>
        <w:tc>
          <w:tcPr>
            <w:tcW w:w="4818" w:type="dxa"/>
          </w:tcPr>
          <w:p w14:paraId="2C26E749" w14:textId="77777777" w:rsidR="008F1775" w:rsidRPr="00286216" w:rsidRDefault="008F1775" w:rsidP="008F1775">
            <w:pPr>
              <w:pStyle w:val="StyleZakonu"/>
              <w:rPr>
                <w:color w:val="000000" w:themeColor="text1"/>
              </w:rPr>
            </w:pPr>
            <w:r w:rsidRPr="00286216">
              <w:rPr>
                <w:color w:val="000000" w:themeColor="text1"/>
              </w:rPr>
              <w:t>4) у частині першій статті 14:</w:t>
            </w:r>
          </w:p>
        </w:tc>
        <w:tc>
          <w:tcPr>
            <w:tcW w:w="3686" w:type="dxa"/>
          </w:tcPr>
          <w:p w14:paraId="6B83B5F5" w14:textId="77777777" w:rsidR="008F1775" w:rsidRPr="00286216" w:rsidRDefault="008F1775" w:rsidP="008F1775">
            <w:pPr>
              <w:pStyle w:val="StyleProp"/>
              <w:rPr>
                <w:color w:val="000000" w:themeColor="text1"/>
                <w:szCs w:val="18"/>
              </w:rPr>
            </w:pPr>
          </w:p>
        </w:tc>
        <w:tc>
          <w:tcPr>
            <w:tcW w:w="1987" w:type="dxa"/>
          </w:tcPr>
          <w:p w14:paraId="36E85B0F" w14:textId="77777777" w:rsidR="008F1775" w:rsidRPr="00286216" w:rsidRDefault="008F1775" w:rsidP="008F1775">
            <w:pPr>
              <w:pStyle w:val="StyleWisnow"/>
              <w:rPr>
                <w:color w:val="000000" w:themeColor="text1"/>
              </w:rPr>
            </w:pPr>
          </w:p>
        </w:tc>
        <w:tc>
          <w:tcPr>
            <w:tcW w:w="4818" w:type="dxa"/>
          </w:tcPr>
          <w:p w14:paraId="0AFA2D63" w14:textId="77777777" w:rsidR="008F1775" w:rsidRPr="00286216" w:rsidRDefault="008F1775" w:rsidP="008F1775">
            <w:pPr>
              <w:pStyle w:val="StyleZakonu"/>
              <w:rPr>
                <w:color w:val="000000" w:themeColor="text1"/>
              </w:rPr>
            </w:pPr>
          </w:p>
        </w:tc>
      </w:tr>
      <w:tr w:rsidR="008F1775" w:rsidRPr="00286216" w14:paraId="620E403F" w14:textId="77777777" w:rsidTr="00091AA5">
        <w:tc>
          <w:tcPr>
            <w:tcW w:w="576" w:type="dxa"/>
          </w:tcPr>
          <w:p w14:paraId="6FE6F18A" w14:textId="77777777" w:rsidR="008F1775" w:rsidRPr="00286216" w:rsidRDefault="008F1775" w:rsidP="008F1775">
            <w:pPr>
              <w:pStyle w:val="StyleWisnow"/>
              <w:rPr>
                <w:color w:val="000000" w:themeColor="text1"/>
              </w:rPr>
            </w:pPr>
            <w:bookmarkStart w:id="3731" w:name="n3862" w:colFirst="0" w:colLast="0"/>
            <w:bookmarkEnd w:id="3730"/>
            <w:r w:rsidRPr="00286216">
              <w:rPr>
                <w:color w:val="000000" w:themeColor="text1"/>
              </w:rPr>
              <w:t>3862.</w:t>
            </w:r>
          </w:p>
        </w:tc>
        <w:tc>
          <w:tcPr>
            <w:tcW w:w="4818" w:type="dxa"/>
          </w:tcPr>
          <w:p w14:paraId="09CD22D6" w14:textId="77777777" w:rsidR="008F1775" w:rsidRPr="00286216" w:rsidRDefault="008F1775" w:rsidP="008F1775">
            <w:pPr>
              <w:pStyle w:val="StyleZakonu"/>
              <w:rPr>
                <w:color w:val="000000" w:themeColor="text1"/>
              </w:rPr>
            </w:pPr>
            <w:r w:rsidRPr="00286216">
              <w:rPr>
                <w:color w:val="000000" w:themeColor="text1"/>
              </w:rPr>
              <w:t>а) пункт другий викласти в такій редакції:</w:t>
            </w:r>
          </w:p>
        </w:tc>
        <w:tc>
          <w:tcPr>
            <w:tcW w:w="3686" w:type="dxa"/>
          </w:tcPr>
          <w:p w14:paraId="1DBE2E35" w14:textId="77777777" w:rsidR="008F1775" w:rsidRPr="00286216" w:rsidRDefault="008F1775" w:rsidP="008F1775">
            <w:pPr>
              <w:pStyle w:val="StyleProp"/>
              <w:rPr>
                <w:color w:val="000000" w:themeColor="text1"/>
                <w:szCs w:val="18"/>
              </w:rPr>
            </w:pPr>
          </w:p>
        </w:tc>
        <w:tc>
          <w:tcPr>
            <w:tcW w:w="1987" w:type="dxa"/>
          </w:tcPr>
          <w:p w14:paraId="23FF5F27" w14:textId="77777777" w:rsidR="008F1775" w:rsidRPr="00286216" w:rsidRDefault="008F1775" w:rsidP="008F1775">
            <w:pPr>
              <w:pStyle w:val="StyleWisnow"/>
              <w:rPr>
                <w:color w:val="000000" w:themeColor="text1"/>
              </w:rPr>
            </w:pPr>
          </w:p>
        </w:tc>
        <w:tc>
          <w:tcPr>
            <w:tcW w:w="4818" w:type="dxa"/>
          </w:tcPr>
          <w:p w14:paraId="16F221FA" w14:textId="77777777" w:rsidR="008F1775" w:rsidRPr="00286216" w:rsidRDefault="008F1775" w:rsidP="008F1775">
            <w:pPr>
              <w:pStyle w:val="StyleZakonu"/>
              <w:rPr>
                <w:color w:val="000000" w:themeColor="text1"/>
              </w:rPr>
            </w:pPr>
          </w:p>
        </w:tc>
      </w:tr>
      <w:tr w:rsidR="008F1775" w:rsidRPr="00286216" w14:paraId="30899F19" w14:textId="77777777" w:rsidTr="00091AA5">
        <w:tc>
          <w:tcPr>
            <w:tcW w:w="576" w:type="dxa"/>
          </w:tcPr>
          <w:p w14:paraId="57C39537" w14:textId="77777777" w:rsidR="008F1775" w:rsidRPr="00286216" w:rsidRDefault="008F1775" w:rsidP="008F1775">
            <w:pPr>
              <w:pStyle w:val="StyleWisnow"/>
              <w:rPr>
                <w:color w:val="000000" w:themeColor="text1"/>
              </w:rPr>
            </w:pPr>
            <w:bookmarkStart w:id="3732" w:name="n3863" w:colFirst="0" w:colLast="0"/>
            <w:bookmarkEnd w:id="3731"/>
            <w:r w:rsidRPr="00286216">
              <w:rPr>
                <w:color w:val="000000" w:themeColor="text1"/>
              </w:rPr>
              <w:t>3863.</w:t>
            </w:r>
          </w:p>
        </w:tc>
        <w:tc>
          <w:tcPr>
            <w:tcW w:w="4818" w:type="dxa"/>
          </w:tcPr>
          <w:p w14:paraId="05404124" w14:textId="77777777" w:rsidR="008F1775" w:rsidRPr="00286216" w:rsidRDefault="008F1775" w:rsidP="008F1775">
            <w:pPr>
              <w:pStyle w:val="StyleZakonu"/>
              <w:rPr>
                <w:color w:val="000000" w:themeColor="text1"/>
              </w:rPr>
            </w:pPr>
            <w:r w:rsidRPr="00286216">
              <w:rPr>
                <w:color w:val="000000" w:themeColor="text1"/>
              </w:rPr>
              <w:t>"2) професійних учасників ринків капіталу та професійних учасників організованих товарних ринків (крім банків) -Національною комісією з цінних паперів та фондового ринку; ";</w:t>
            </w:r>
          </w:p>
        </w:tc>
        <w:tc>
          <w:tcPr>
            <w:tcW w:w="3686" w:type="dxa"/>
          </w:tcPr>
          <w:p w14:paraId="0D0FB39C" w14:textId="05DA58AB"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1515</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E6A1D9F" w14:textId="5196758B" w:rsidR="008F1775" w:rsidRPr="00286216" w:rsidRDefault="008F1775" w:rsidP="008F1775">
            <w:pPr>
              <w:pStyle w:val="StyleProp"/>
              <w:spacing w:line="180" w:lineRule="exact"/>
              <w:rPr>
                <w:color w:val="000000" w:themeColor="text1"/>
                <w:szCs w:val="18"/>
              </w:rPr>
            </w:pPr>
            <w:r w:rsidRPr="00286216">
              <w:rPr>
                <w:color w:val="000000" w:themeColor="text1"/>
                <w:szCs w:val="18"/>
              </w:rPr>
              <w:t>Абзац другий підпункту «а)» підпункту 4 пункту 47 розділу 3 Законопроекту</w:t>
            </w:r>
            <w:r w:rsidRPr="00286216">
              <w:rPr>
                <w:color w:val="000000" w:themeColor="text1"/>
                <w:szCs w:val="18"/>
                <w:lang w:val="ru-RU"/>
              </w:rPr>
              <w:t xml:space="preserve"> </w:t>
            </w:r>
            <w:r w:rsidRPr="00286216">
              <w:rPr>
                <w:color w:val="000000" w:themeColor="text1"/>
                <w:szCs w:val="18"/>
              </w:rPr>
              <w:t>викласти в такій редакції:</w:t>
            </w:r>
          </w:p>
          <w:p w14:paraId="37FF2E36"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«2) професійних учасників ринків капіталу (крім банків)  та професійних учасників організованих товарних ринків – Національною комісією з цінних паперів та фондового ринку;».</w:t>
            </w:r>
          </w:p>
        </w:tc>
        <w:tc>
          <w:tcPr>
            <w:tcW w:w="1987" w:type="dxa"/>
          </w:tcPr>
          <w:p w14:paraId="539C921A" w14:textId="77777777" w:rsidR="008F1775" w:rsidRPr="00286216" w:rsidRDefault="008F1775" w:rsidP="008F1775">
            <w:pPr>
              <w:pStyle w:val="StyleWisnow"/>
              <w:rPr>
                <w:color w:val="000000" w:themeColor="text1"/>
              </w:rPr>
            </w:pPr>
            <w:r w:rsidRPr="00286216">
              <w:rPr>
                <w:color w:val="000000" w:themeColor="text1"/>
              </w:rPr>
              <w:t xml:space="preserve">Відхилено </w:t>
            </w:r>
          </w:p>
          <w:p w14:paraId="389DCA09" w14:textId="1428472A" w:rsidR="008F1775" w:rsidRPr="00286216" w:rsidRDefault="008F1775" w:rsidP="008F1775">
            <w:pPr>
              <w:pStyle w:val="StyleWisnow"/>
              <w:rPr>
                <w:color w:val="000000" w:themeColor="text1"/>
              </w:rPr>
            </w:pPr>
            <w:r w:rsidRPr="00286216">
              <w:rPr>
                <w:color w:val="000000" w:themeColor="text1"/>
              </w:rPr>
              <w:t>у зв’язку зі зміною редакції</w:t>
            </w:r>
          </w:p>
        </w:tc>
        <w:tc>
          <w:tcPr>
            <w:tcW w:w="4818" w:type="dxa"/>
          </w:tcPr>
          <w:p w14:paraId="185C85E7" w14:textId="77777777" w:rsidR="008F1775" w:rsidRPr="00286216" w:rsidRDefault="008F1775" w:rsidP="008F1775">
            <w:pPr>
              <w:pStyle w:val="StyleZakonu"/>
              <w:rPr>
                <w:color w:val="000000" w:themeColor="text1"/>
              </w:rPr>
            </w:pPr>
          </w:p>
        </w:tc>
      </w:tr>
      <w:tr w:rsidR="008F1775" w:rsidRPr="00286216" w14:paraId="701DED76" w14:textId="77777777" w:rsidTr="00091AA5">
        <w:tc>
          <w:tcPr>
            <w:tcW w:w="576" w:type="dxa"/>
          </w:tcPr>
          <w:p w14:paraId="2AA9540E" w14:textId="77777777" w:rsidR="008F1775" w:rsidRPr="00286216" w:rsidRDefault="008F1775" w:rsidP="008F1775">
            <w:pPr>
              <w:pStyle w:val="StyleWisnow"/>
              <w:rPr>
                <w:color w:val="000000" w:themeColor="text1"/>
              </w:rPr>
            </w:pPr>
            <w:bookmarkStart w:id="3733" w:name="n3864" w:colFirst="0" w:colLast="0"/>
            <w:bookmarkEnd w:id="3732"/>
            <w:r w:rsidRPr="00286216">
              <w:rPr>
                <w:color w:val="000000" w:themeColor="text1"/>
              </w:rPr>
              <w:t>3864.</w:t>
            </w:r>
          </w:p>
        </w:tc>
        <w:tc>
          <w:tcPr>
            <w:tcW w:w="4818" w:type="dxa"/>
          </w:tcPr>
          <w:p w14:paraId="3D0A6BFC" w14:textId="77777777" w:rsidR="008F1775" w:rsidRPr="00286216" w:rsidRDefault="008F1775" w:rsidP="008F1775">
            <w:pPr>
              <w:pStyle w:val="StyleZakonu"/>
              <w:rPr>
                <w:color w:val="000000" w:themeColor="text1"/>
              </w:rPr>
            </w:pPr>
            <w:r w:rsidRPr="00286216">
              <w:rPr>
                <w:color w:val="000000" w:themeColor="text1"/>
              </w:rPr>
              <w:t>б) пункт 7 виключити;</w:t>
            </w:r>
          </w:p>
        </w:tc>
        <w:tc>
          <w:tcPr>
            <w:tcW w:w="3686" w:type="dxa"/>
          </w:tcPr>
          <w:p w14:paraId="53DD86A6" w14:textId="77777777" w:rsidR="008F1775" w:rsidRPr="00286216" w:rsidRDefault="008F1775" w:rsidP="008F1775">
            <w:pPr>
              <w:pStyle w:val="StyleProp"/>
              <w:rPr>
                <w:color w:val="000000" w:themeColor="text1"/>
                <w:szCs w:val="18"/>
              </w:rPr>
            </w:pPr>
          </w:p>
        </w:tc>
        <w:tc>
          <w:tcPr>
            <w:tcW w:w="1987" w:type="dxa"/>
          </w:tcPr>
          <w:p w14:paraId="748381EB" w14:textId="77777777" w:rsidR="008F1775" w:rsidRPr="00286216" w:rsidRDefault="008F1775" w:rsidP="008F1775">
            <w:pPr>
              <w:pStyle w:val="StyleWisnow"/>
              <w:rPr>
                <w:color w:val="000000" w:themeColor="text1"/>
              </w:rPr>
            </w:pPr>
          </w:p>
        </w:tc>
        <w:tc>
          <w:tcPr>
            <w:tcW w:w="4818" w:type="dxa"/>
          </w:tcPr>
          <w:p w14:paraId="741BF89F" w14:textId="77777777" w:rsidR="008F1775" w:rsidRPr="00286216" w:rsidRDefault="008F1775" w:rsidP="008F1775">
            <w:pPr>
              <w:pStyle w:val="StyleZakonu"/>
              <w:rPr>
                <w:color w:val="000000" w:themeColor="text1"/>
              </w:rPr>
            </w:pPr>
          </w:p>
        </w:tc>
      </w:tr>
      <w:tr w:rsidR="008F1775" w:rsidRPr="00286216" w14:paraId="22FDB484" w14:textId="77777777" w:rsidTr="00091AA5">
        <w:tc>
          <w:tcPr>
            <w:tcW w:w="576" w:type="dxa"/>
          </w:tcPr>
          <w:p w14:paraId="472BB1E4" w14:textId="77777777" w:rsidR="008F1775" w:rsidRPr="00286216" w:rsidRDefault="008F1775" w:rsidP="008F1775">
            <w:pPr>
              <w:pStyle w:val="StyleWisnow"/>
              <w:rPr>
                <w:color w:val="000000" w:themeColor="text1"/>
              </w:rPr>
            </w:pPr>
            <w:bookmarkStart w:id="3734" w:name="n3865" w:colFirst="0" w:colLast="0"/>
            <w:bookmarkEnd w:id="3733"/>
            <w:r w:rsidRPr="00286216">
              <w:rPr>
                <w:color w:val="000000" w:themeColor="text1"/>
              </w:rPr>
              <w:t>3865.</w:t>
            </w:r>
          </w:p>
        </w:tc>
        <w:tc>
          <w:tcPr>
            <w:tcW w:w="4818" w:type="dxa"/>
          </w:tcPr>
          <w:p w14:paraId="72545290" w14:textId="77777777" w:rsidR="008F1775" w:rsidRPr="00286216" w:rsidRDefault="008F1775" w:rsidP="008F1775">
            <w:pPr>
              <w:pStyle w:val="StyleZakonu"/>
              <w:rPr>
                <w:color w:val="000000" w:themeColor="text1"/>
              </w:rPr>
            </w:pPr>
            <w:r w:rsidRPr="00286216">
              <w:rPr>
                <w:color w:val="000000" w:themeColor="text1"/>
              </w:rPr>
              <w:t>5) у тексті Закону слова "професійна діяльність на ринку цінних паперів (фондовому ринку)", "професійний учасник ринку цінних паперів" та "професійні учасники фондового ринку (ринку цінних паперів)" в усіх відмінках замінити відповідно словами "професійна діяльність на ринках капіталу", "професійний учасник ринків капіталу" та "професійні учасники ринків капіталу".</w:t>
            </w:r>
          </w:p>
        </w:tc>
        <w:tc>
          <w:tcPr>
            <w:tcW w:w="3686" w:type="dxa"/>
          </w:tcPr>
          <w:p w14:paraId="27F05D3E" w14:textId="77777777" w:rsidR="008F1775" w:rsidRPr="00286216" w:rsidRDefault="008F1775" w:rsidP="008F1775">
            <w:pPr>
              <w:pStyle w:val="StyleProp"/>
              <w:rPr>
                <w:color w:val="000000" w:themeColor="text1"/>
                <w:szCs w:val="18"/>
              </w:rPr>
            </w:pPr>
          </w:p>
        </w:tc>
        <w:tc>
          <w:tcPr>
            <w:tcW w:w="1987" w:type="dxa"/>
          </w:tcPr>
          <w:p w14:paraId="4B35E1F9" w14:textId="77777777" w:rsidR="008F1775" w:rsidRPr="00286216" w:rsidRDefault="008F1775" w:rsidP="008F1775">
            <w:pPr>
              <w:pStyle w:val="StyleWisnow"/>
              <w:rPr>
                <w:color w:val="000000" w:themeColor="text1"/>
              </w:rPr>
            </w:pPr>
          </w:p>
        </w:tc>
        <w:tc>
          <w:tcPr>
            <w:tcW w:w="4818" w:type="dxa"/>
          </w:tcPr>
          <w:p w14:paraId="6D2AEE1D" w14:textId="77777777" w:rsidR="008F1775" w:rsidRPr="00286216" w:rsidRDefault="008F1775" w:rsidP="008F1775">
            <w:pPr>
              <w:pStyle w:val="StyleZakonu"/>
              <w:rPr>
                <w:color w:val="000000" w:themeColor="text1"/>
              </w:rPr>
            </w:pPr>
          </w:p>
        </w:tc>
      </w:tr>
      <w:tr w:rsidR="008F1775" w:rsidRPr="00286216" w14:paraId="1AC8851B" w14:textId="77777777" w:rsidTr="00091AA5">
        <w:tc>
          <w:tcPr>
            <w:tcW w:w="576" w:type="dxa"/>
          </w:tcPr>
          <w:p w14:paraId="7A02E7AB" w14:textId="77777777" w:rsidR="008F1775" w:rsidRPr="00286216" w:rsidRDefault="008F1775" w:rsidP="008F1775">
            <w:pPr>
              <w:pStyle w:val="StyleWisnow"/>
              <w:rPr>
                <w:color w:val="000000" w:themeColor="text1"/>
              </w:rPr>
            </w:pPr>
            <w:bookmarkStart w:id="3735" w:name="n3866" w:colFirst="0" w:colLast="0"/>
            <w:bookmarkEnd w:id="3734"/>
            <w:r w:rsidRPr="00286216">
              <w:rPr>
                <w:color w:val="000000" w:themeColor="text1"/>
              </w:rPr>
              <w:t>3866.</w:t>
            </w:r>
          </w:p>
        </w:tc>
        <w:tc>
          <w:tcPr>
            <w:tcW w:w="4818" w:type="dxa"/>
          </w:tcPr>
          <w:p w14:paraId="5C7E8268" w14:textId="77777777" w:rsidR="008F1775" w:rsidRPr="00286216" w:rsidRDefault="008F1775" w:rsidP="008F1775">
            <w:pPr>
              <w:pStyle w:val="StyleZakonu"/>
              <w:rPr>
                <w:color w:val="000000" w:themeColor="text1"/>
              </w:rPr>
            </w:pPr>
            <w:r w:rsidRPr="00286216">
              <w:rPr>
                <w:color w:val="000000" w:themeColor="text1"/>
              </w:rPr>
              <w:t>48. У Законі України "Про ринок природного газу" (Відомості Верховної Ради України, 2015 р., №27, ст. 234, із наступними змінами):</w:t>
            </w:r>
          </w:p>
        </w:tc>
        <w:tc>
          <w:tcPr>
            <w:tcW w:w="3686" w:type="dxa"/>
          </w:tcPr>
          <w:p w14:paraId="7C5DB036" w14:textId="1C169AC4"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1516</w:t>
            </w:r>
            <w:r w:rsidRPr="00286216">
              <w:rPr>
                <w:color w:val="000000" w:themeColor="text1"/>
                <w:spacing w:val="-2"/>
              </w:rPr>
              <w:fldChar w:fldCharType="end"/>
            </w:r>
            <w:r w:rsidRPr="00286216">
              <w:rPr>
                <w:color w:val="000000" w:themeColor="text1"/>
                <w:spacing w:val="-2"/>
              </w:rPr>
              <w:t>-Н.д.Шахов С.В. (Реєстр.картка №114)</w:t>
            </w:r>
          </w:p>
          <w:p w14:paraId="313DFF0E" w14:textId="77777777" w:rsidR="008F1775" w:rsidRPr="00286216" w:rsidRDefault="008F1775" w:rsidP="008F1775">
            <w:pPr>
              <w:pStyle w:val="StyleProp"/>
              <w:rPr>
                <w:color w:val="000000" w:themeColor="text1"/>
                <w:spacing w:val="-4"/>
              </w:rPr>
            </w:pPr>
            <w:r w:rsidRPr="00286216">
              <w:rPr>
                <w:color w:val="000000" w:themeColor="text1"/>
                <w:spacing w:val="-5"/>
              </w:rPr>
              <w:t>пункт 48 розділу ІІІ (зміни до Закону України</w:t>
            </w:r>
            <w:r w:rsidRPr="00286216">
              <w:rPr>
                <w:color w:val="000000" w:themeColor="text1"/>
                <w:spacing w:val="-4"/>
              </w:rPr>
              <w:t xml:space="preserve"> «Про ринок природного газу») виключити</w:t>
            </w:r>
          </w:p>
        </w:tc>
        <w:tc>
          <w:tcPr>
            <w:tcW w:w="1987" w:type="dxa"/>
          </w:tcPr>
          <w:p w14:paraId="326E843E" w14:textId="77777777" w:rsidR="008F1775" w:rsidRPr="00286216" w:rsidRDefault="008F1775" w:rsidP="00DE3AAF">
            <w:pPr>
              <w:pStyle w:val="StyleWisnow"/>
              <w:spacing w:line="180" w:lineRule="exact"/>
              <w:rPr>
                <w:color w:val="000000" w:themeColor="text1"/>
              </w:rPr>
            </w:pPr>
            <w:r w:rsidRPr="00286216">
              <w:rPr>
                <w:color w:val="000000" w:themeColor="text1"/>
              </w:rPr>
              <w:t>Відхилено</w:t>
            </w:r>
          </w:p>
          <w:p w14:paraId="67419EC2" w14:textId="4F5BCAB3" w:rsidR="008F1775" w:rsidRPr="00286216" w:rsidRDefault="008F1775" w:rsidP="00DE3AAF">
            <w:pPr>
              <w:pStyle w:val="StyleWisnow"/>
              <w:spacing w:line="180" w:lineRule="exact"/>
              <w:rPr>
                <w:color w:val="000000" w:themeColor="text1"/>
              </w:rPr>
            </w:pPr>
            <w:r w:rsidRPr="00286216">
              <w:rPr>
                <w:color w:val="000000" w:themeColor="text1"/>
              </w:rPr>
              <w:t>Закон потребує змін</w:t>
            </w:r>
          </w:p>
        </w:tc>
        <w:tc>
          <w:tcPr>
            <w:tcW w:w="4818" w:type="dxa"/>
          </w:tcPr>
          <w:p w14:paraId="5B746160" w14:textId="3EBF0E4B" w:rsidR="008F1775" w:rsidRPr="00286216" w:rsidRDefault="008F1775" w:rsidP="008F1775">
            <w:pPr>
              <w:pStyle w:val="StyleZakonu"/>
              <w:rPr>
                <w:color w:val="000000" w:themeColor="text1"/>
              </w:rPr>
            </w:pPr>
            <w:r w:rsidRPr="00286216">
              <w:rPr>
                <w:color w:val="000000" w:themeColor="text1"/>
                <w:lang w:val="ru-RU"/>
              </w:rPr>
              <w:t>45.</w:t>
            </w:r>
            <w:r w:rsidRPr="00286216">
              <w:rPr>
                <w:color w:val="000000" w:themeColor="text1"/>
              </w:rPr>
              <w:t xml:space="preserve"> У частині третій статті 4 Закону України "Про ринок природного газу" (Відомості Верховної Ради України, 2015 р., №27, ст. 234, із наступними змінами):</w:t>
            </w:r>
          </w:p>
        </w:tc>
      </w:tr>
      <w:tr w:rsidR="008F1775" w:rsidRPr="00286216" w14:paraId="209E11C0" w14:textId="77777777" w:rsidTr="00091AA5">
        <w:tc>
          <w:tcPr>
            <w:tcW w:w="576" w:type="dxa"/>
          </w:tcPr>
          <w:p w14:paraId="19A71F7F" w14:textId="77777777" w:rsidR="008F1775" w:rsidRPr="00286216" w:rsidRDefault="008F1775" w:rsidP="008F1775">
            <w:pPr>
              <w:pStyle w:val="StyleWisnow"/>
              <w:rPr>
                <w:color w:val="000000" w:themeColor="text1"/>
              </w:rPr>
            </w:pPr>
            <w:bookmarkStart w:id="3736" w:name="n3867" w:colFirst="0" w:colLast="0"/>
            <w:bookmarkEnd w:id="3735"/>
            <w:r w:rsidRPr="00286216">
              <w:rPr>
                <w:color w:val="000000" w:themeColor="text1"/>
              </w:rPr>
              <w:t>3867.</w:t>
            </w:r>
          </w:p>
        </w:tc>
        <w:tc>
          <w:tcPr>
            <w:tcW w:w="4818" w:type="dxa"/>
          </w:tcPr>
          <w:p w14:paraId="3B7017F0" w14:textId="77777777" w:rsidR="008F1775" w:rsidRPr="00286216" w:rsidRDefault="008F1775" w:rsidP="008F1775">
            <w:pPr>
              <w:pStyle w:val="StyleZakonu"/>
              <w:rPr>
                <w:color w:val="000000" w:themeColor="text1"/>
              </w:rPr>
            </w:pPr>
            <w:r w:rsidRPr="00286216">
              <w:rPr>
                <w:color w:val="000000" w:themeColor="text1"/>
              </w:rPr>
              <w:t>1) у пункті 24 частини другої статті 4 слова "газових біржах" замінити словами "організованих товарних ринках, предметом торгівлі на яких є природний газ";</w:t>
            </w:r>
          </w:p>
        </w:tc>
        <w:tc>
          <w:tcPr>
            <w:tcW w:w="3686" w:type="dxa"/>
          </w:tcPr>
          <w:p w14:paraId="565332FE" w14:textId="5C0DB310" w:rsidR="008F1775" w:rsidRPr="00286216" w:rsidRDefault="008F1775" w:rsidP="008F1775">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1517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50D82E30" w14:textId="77777777" w:rsidR="008F1775" w:rsidRPr="00286216" w:rsidRDefault="008F1775" w:rsidP="008F1775">
            <w:pPr>
              <w:pStyle w:val="StyleAwt"/>
              <w:rPr>
                <w:color w:val="000000" w:themeColor="text1"/>
                <w:spacing w:val="-10"/>
              </w:rPr>
            </w:pPr>
            <w:r w:rsidRPr="00286216">
              <w:rPr>
                <w:color w:val="000000" w:themeColor="text1"/>
                <w:spacing w:val="-10"/>
              </w:rPr>
              <w:t xml:space="preserve">          Н.д.Гетманцев Д.О.(Реєстр.картка №245)</w:t>
            </w:r>
          </w:p>
          <w:p w14:paraId="1070C134" w14:textId="77777777" w:rsidR="008F1775" w:rsidRPr="00286216" w:rsidRDefault="008F1775" w:rsidP="008F1775">
            <w:pPr>
              <w:pStyle w:val="StyleProp"/>
              <w:spacing w:line="190" w:lineRule="exact"/>
              <w:rPr>
                <w:color w:val="000000" w:themeColor="text1"/>
              </w:rPr>
            </w:pPr>
            <w:r w:rsidRPr="00286216">
              <w:rPr>
                <w:color w:val="000000" w:themeColor="text1"/>
              </w:rPr>
              <w:t>Пункт 48 розділу ІІІ викласти у такій редакції:</w:t>
            </w:r>
          </w:p>
          <w:p w14:paraId="50B0B298" w14:textId="77777777" w:rsidR="008F1775" w:rsidRPr="00286216" w:rsidRDefault="008F1775" w:rsidP="008F1775">
            <w:pPr>
              <w:pStyle w:val="StyleProp"/>
              <w:spacing w:line="190" w:lineRule="exact"/>
              <w:rPr>
                <w:color w:val="000000" w:themeColor="text1"/>
              </w:rPr>
            </w:pPr>
            <w:r w:rsidRPr="00286216">
              <w:rPr>
                <w:color w:val="000000" w:themeColor="text1"/>
              </w:rPr>
              <w:t>48) у статті 4 Закону України "Про ринок природного газу" (Відомості Верховної Ради України, 2015 р., №27, ст. 234, із наступними змінами):</w:t>
            </w:r>
          </w:p>
          <w:p w14:paraId="25C04EBB" w14:textId="6C659F18" w:rsidR="008F1775" w:rsidRPr="00286216" w:rsidRDefault="008F1775" w:rsidP="008F1775">
            <w:pPr>
              <w:spacing w:line="190" w:lineRule="exact"/>
              <w:ind w:firstLine="227"/>
              <w:jc w:val="both"/>
              <w:rPr>
                <w:color w:val="000000" w:themeColor="text1"/>
                <w:sz w:val="18"/>
              </w:rPr>
            </w:pPr>
            <w:r w:rsidRPr="00286216">
              <w:rPr>
                <w:color w:val="000000" w:themeColor="text1"/>
                <w:sz w:val="18"/>
              </w:rPr>
              <w:t>у пункті 24 частини третьої слова «газових біржах» замінити словами «товарних ринках, предметом торгівлі на яких є природний газ»;</w:t>
            </w:r>
          </w:p>
          <w:p w14:paraId="5D9929C8" w14:textId="185C5048" w:rsidR="008F1775" w:rsidRPr="00286216" w:rsidRDefault="008F1775" w:rsidP="008F1775">
            <w:pPr>
              <w:spacing w:line="190" w:lineRule="exact"/>
              <w:ind w:firstLine="227"/>
              <w:jc w:val="both"/>
              <w:rPr>
                <w:color w:val="000000" w:themeColor="text1"/>
                <w:sz w:val="18"/>
              </w:rPr>
            </w:pPr>
            <w:r w:rsidRPr="00286216">
              <w:rPr>
                <w:color w:val="000000" w:themeColor="text1"/>
                <w:sz w:val="18"/>
              </w:rPr>
              <w:t>після пункту 7 частину третьої доповнити новим пунктом такого змісту:</w:t>
            </w:r>
          </w:p>
          <w:p w14:paraId="008AC4D5" w14:textId="1CEF659E" w:rsidR="008F1775" w:rsidRPr="00286216" w:rsidRDefault="008F1775" w:rsidP="008F1775">
            <w:pPr>
              <w:pStyle w:val="StyleProp"/>
              <w:spacing w:line="190" w:lineRule="exact"/>
              <w:rPr>
                <w:color w:val="000000" w:themeColor="text1"/>
                <w:szCs w:val="18"/>
              </w:rPr>
            </w:pPr>
            <w:r w:rsidRPr="00286216">
              <w:rPr>
                <w:color w:val="000000" w:themeColor="text1"/>
              </w:rPr>
              <w:t>"7-1) визначає умови здійснення розрахунків на ринку природного газу із залученням клірингової установи".</w:t>
            </w:r>
          </w:p>
        </w:tc>
        <w:tc>
          <w:tcPr>
            <w:tcW w:w="1987" w:type="dxa"/>
          </w:tcPr>
          <w:p w14:paraId="66ADD806" w14:textId="77777777" w:rsidR="008F1775" w:rsidRPr="00286216" w:rsidRDefault="008F1775" w:rsidP="00DE3AAF">
            <w:pPr>
              <w:pStyle w:val="StyleWisnow"/>
              <w:spacing w:line="180" w:lineRule="exact"/>
              <w:rPr>
                <w:color w:val="000000" w:themeColor="text1"/>
              </w:rPr>
            </w:pPr>
            <w:r w:rsidRPr="00286216">
              <w:rPr>
                <w:color w:val="000000" w:themeColor="text1"/>
              </w:rPr>
              <w:t>Враховано</w:t>
            </w:r>
          </w:p>
          <w:p w14:paraId="3645444F" w14:textId="77777777" w:rsidR="008F1775" w:rsidRPr="00286216" w:rsidRDefault="008F1775" w:rsidP="00DE3AAF">
            <w:pPr>
              <w:pStyle w:val="StyleWisnow"/>
              <w:spacing w:line="180" w:lineRule="exact"/>
              <w:rPr>
                <w:color w:val="000000" w:themeColor="text1"/>
              </w:rPr>
            </w:pPr>
          </w:p>
          <w:p w14:paraId="1A5A5FBF" w14:textId="77777777" w:rsidR="008F1775" w:rsidRPr="00286216" w:rsidRDefault="008F1775" w:rsidP="00DE3AAF">
            <w:pPr>
              <w:pStyle w:val="StyleWisnow"/>
              <w:spacing w:line="180" w:lineRule="exact"/>
              <w:rPr>
                <w:color w:val="000000" w:themeColor="text1"/>
              </w:rPr>
            </w:pPr>
          </w:p>
        </w:tc>
        <w:tc>
          <w:tcPr>
            <w:tcW w:w="4818" w:type="dxa"/>
          </w:tcPr>
          <w:p w14:paraId="62A4FC82" w14:textId="46206798" w:rsidR="008F1775" w:rsidRPr="00286216" w:rsidRDefault="008F1775" w:rsidP="008F1775">
            <w:pPr>
              <w:pStyle w:val="StyleZakonu"/>
              <w:rPr>
                <w:color w:val="000000" w:themeColor="text1"/>
              </w:rPr>
            </w:pPr>
            <w:r w:rsidRPr="00286216">
              <w:rPr>
                <w:color w:val="000000" w:themeColor="text1"/>
              </w:rPr>
              <w:t>доповнити пунктом 7</w:t>
            </w:r>
            <w:r w:rsidRPr="00286216">
              <w:rPr>
                <w:color w:val="000000" w:themeColor="text1"/>
                <w:vertAlign w:val="superscript"/>
              </w:rPr>
              <w:t xml:space="preserve"> 1</w:t>
            </w:r>
            <w:r w:rsidRPr="00286216">
              <w:rPr>
                <w:color w:val="000000" w:themeColor="text1"/>
              </w:rPr>
              <w:t xml:space="preserve"> такого змісту:</w:t>
            </w:r>
          </w:p>
          <w:p w14:paraId="1CBC786E" w14:textId="77777777" w:rsidR="008F1775" w:rsidRPr="00286216" w:rsidRDefault="008F1775" w:rsidP="008F1775">
            <w:pPr>
              <w:pStyle w:val="StyleZakonu"/>
              <w:rPr>
                <w:color w:val="000000" w:themeColor="text1"/>
              </w:rPr>
            </w:pPr>
            <w:r w:rsidRPr="00286216">
              <w:rPr>
                <w:color w:val="000000" w:themeColor="text1"/>
              </w:rPr>
              <w:t>"7</w:t>
            </w:r>
            <w:r w:rsidRPr="00286216">
              <w:rPr>
                <w:color w:val="000000" w:themeColor="text1"/>
                <w:vertAlign w:val="superscript"/>
              </w:rPr>
              <w:t xml:space="preserve"> 1</w:t>
            </w:r>
            <w:r w:rsidRPr="00286216">
              <w:rPr>
                <w:color w:val="000000" w:themeColor="text1"/>
              </w:rPr>
              <w:t>) визначає умови здійснення розрахунків на ринку природного газу із залученням клірингової установи";</w:t>
            </w:r>
          </w:p>
          <w:p w14:paraId="1817DC16" w14:textId="258F6D18" w:rsidR="008F1775" w:rsidRPr="00286216" w:rsidRDefault="008F1775" w:rsidP="008F1775">
            <w:pPr>
              <w:pStyle w:val="StyleZakonu"/>
              <w:rPr>
                <w:color w:val="000000" w:themeColor="text1"/>
              </w:rPr>
            </w:pPr>
            <w:r w:rsidRPr="00286216">
              <w:rPr>
                <w:color w:val="000000" w:themeColor="text1"/>
              </w:rPr>
              <w:t>у пункті 24 слова "газових біржах" замінити словами "товарних ринках, предметом торгівлі на яких є природний газ";</w:t>
            </w:r>
          </w:p>
          <w:p w14:paraId="7B26F551" w14:textId="12095327" w:rsidR="008F1775" w:rsidRPr="00286216" w:rsidRDefault="008F1775" w:rsidP="008F1775">
            <w:pPr>
              <w:pStyle w:val="StyleZakonu"/>
              <w:rPr>
                <w:color w:val="000000" w:themeColor="text1"/>
              </w:rPr>
            </w:pPr>
          </w:p>
        </w:tc>
      </w:tr>
      <w:bookmarkEnd w:id="3736"/>
      <w:tr w:rsidR="008F1775" w:rsidRPr="00286216" w14:paraId="45F67D5E" w14:textId="77777777" w:rsidTr="00091AA5">
        <w:tc>
          <w:tcPr>
            <w:tcW w:w="576" w:type="dxa"/>
          </w:tcPr>
          <w:p w14:paraId="6B1BA6D3" w14:textId="77777777" w:rsidR="008F1775" w:rsidRPr="00286216" w:rsidRDefault="008F1775" w:rsidP="008F1775">
            <w:pPr>
              <w:pStyle w:val="StyleWisnow"/>
              <w:rPr>
                <w:color w:val="000000" w:themeColor="text1"/>
              </w:rPr>
            </w:pPr>
          </w:p>
        </w:tc>
        <w:tc>
          <w:tcPr>
            <w:tcW w:w="4818" w:type="dxa"/>
          </w:tcPr>
          <w:p w14:paraId="1EDBCFB6" w14:textId="77777777" w:rsidR="008F1775" w:rsidRPr="00286216" w:rsidRDefault="008F1775" w:rsidP="008F1775">
            <w:pPr>
              <w:pStyle w:val="StyleZakonu"/>
              <w:rPr>
                <w:color w:val="000000" w:themeColor="text1"/>
              </w:rPr>
            </w:pPr>
          </w:p>
        </w:tc>
        <w:tc>
          <w:tcPr>
            <w:tcW w:w="3686" w:type="dxa"/>
          </w:tcPr>
          <w:p w14:paraId="71BC31AF" w14:textId="4888A430" w:rsidR="008F1775" w:rsidRPr="00286216" w:rsidRDefault="008F1775" w:rsidP="008F1775">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1518</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5BCB0C18" w14:textId="77777777" w:rsidR="008F1775" w:rsidRPr="00286216" w:rsidRDefault="008F1775" w:rsidP="008F1775">
            <w:pPr>
              <w:pStyle w:val="StyleProp"/>
              <w:spacing w:line="180" w:lineRule="exact"/>
              <w:rPr>
                <w:color w:val="000000" w:themeColor="text1"/>
              </w:rPr>
            </w:pPr>
            <w:r w:rsidRPr="00286216">
              <w:rPr>
                <w:color w:val="000000" w:themeColor="text1"/>
              </w:rPr>
              <w:t>Стаття 4. Державне регулювання, формування та реалізація державної політики на ринку природного газу</w:t>
            </w:r>
          </w:p>
          <w:p w14:paraId="5343E819" w14:textId="77777777" w:rsidR="008F1775" w:rsidRPr="00286216" w:rsidRDefault="008F1775" w:rsidP="008F1775">
            <w:pPr>
              <w:pStyle w:val="StyleProp"/>
              <w:spacing w:line="180" w:lineRule="exact"/>
              <w:rPr>
                <w:color w:val="000000" w:themeColor="text1"/>
              </w:rPr>
            </w:pPr>
            <w:r w:rsidRPr="00286216">
              <w:rPr>
                <w:color w:val="000000" w:themeColor="text1"/>
              </w:rPr>
              <w:t>2. До основних завдань Регулятора на ринку природного газу належать:</w:t>
            </w:r>
          </w:p>
          <w:p w14:paraId="026343C5" w14:textId="77777777" w:rsidR="008F1775" w:rsidRPr="00286216" w:rsidRDefault="008F1775" w:rsidP="008F1775">
            <w:pPr>
              <w:pStyle w:val="StyleProp"/>
              <w:spacing w:line="180" w:lineRule="exact"/>
              <w:rPr>
                <w:b/>
                <w:i/>
                <w:color w:val="000000" w:themeColor="text1"/>
                <w:spacing w:val="-4"/>
                <w:u w:val="single"/>
              </w:rPr>
            </w:pPr>
            <w:r w:rsidRPr="00286216">
              <w:rPr>
                <w:color w:val="000000" w:themeColor="text1"/>
              </w:rPr>
              <w:lastRenderedPageBreak/>
              <w:t>24) моніторинг рівня та ефективності відкриття ринку природного газу і конкуренції на оптовому та роздрібному ринках природного газу, у тому числі цін на організованих товарних ринках, предметом торгівлі на яких є природний газ, цін для побутових споживачів (включаючи статистику застосування умов про передоплату), статистики зміни постачальника, статистики відключень, рівня цін та якості робіт з технічного обслуговування, скарг побутових споживачів, а також будь-яких практик, що призводять до спотворення або обмеження конкуренції на ринку природного газу;</w:t>
            </w:r>
          </w:p>
        </w:tc>
        <w:tc>
          <w:tcPr>
            <w:tcW w:w="1987" w:type="dxa"/>
          </w:tcPr>
          <w:p w14:paraId="352B9C55" w14:textId="77777777" w:rsidR="008F1775" w:rsidRPr="00286216" w:rsidRDefault="008F1775" w:rsidP="00DE3AAF">
            <w:pPr>
              <w:pStyle w:val="StyleWisnow"/>
              <w:spacing w:line="180" w:lineRule="exact"/>
              <w:rPr>
                <w:color w:val="000000" w:themeColor="text1"/>
              </w:rPr>
            </w:pPr>
            <w:r w:rsidRPr="00286216">
              <w:rPr>
                <w:color w:val="000000" w:themeColor="text1"/>
              </w:rPr>
              <w:lastRenderedPageBreak/>
              <w:t>Відхилено</w:t>
            </w:r>
          </w:p>
          <w:p w14:paraId="65193275" w14:textId="77777777" w:rsidR="008F1775" w:rsidRPr="00286216" w:rsidRDefault="008F1775" w:rsidP="00DE3AAF">
            <w:pPr>
              <w:pStyle w:val="StyleWisnow"/>
              <w:spacing w:line="180" w:lineRule="exact"/>
              <w:rPr>
                <w:color w:val="000000" w:themeColor="text1"/>
              </w:rPr>
            </w:pPr>
            <w:r w:rsidRPr="00286216">
              <w:rPr>
                <w:color w:val="000000" w:themeColor="text1"/>
              </w:rPr>
              <w:t>не є предметом цього законопроекту</w:t>
            </w:r>
          </w:p>
        </w:tc>
        <w:tc>
          <w:tcPr>
            <w:tcW w:w="4818" w:type="dxa"/>
          </w:tcPr>
          <w:p w14:paraId="12B1B196" w14:textId="77777777" w:rsidR="008F1775" w:rsidRPr="00286216" w:rsidRDefault="008F1775" w:rsidP="008F1775">
            <w:pPr>
              <w:ind w:firstLine="452"/>
              <w:jc w:val="both"/>
              <w:rPr>
                <w:color w:val="000000" w:themeColor="text1"/>
              </w:rPr>
            </w:pPr>
          </w:p>
        </w:tc>
      </w:tr>
      <w:tr w:rsidR="008F1775" w:rsidRPr="00286216" w14:paraId="1EA7B9EA" w14:textId="77777777" w:rsidTr="00091AA5">
        <w:tc>
          <w:tcPr>
            <w:tcW w:w="576" w:type="dxa"/>
          </w:tcPr>
          <w:p w14:paraId="2D5FA799" w14:textId="77777777" w:rsidR="008F1775" w:rsidRPr="00286216" w:rsidRDefault="008F1775" w:rsidP="008F1775">
            <w:pPr>
              <w:pStyle w:val="StyleWisnow"/>
              <w:rPr>
                <w:color w:val="000000" w:themeColor="text1"/>
              </w:rPr>
            </w:pPr>
            <w:bookmarkStart w:id="3737" w:name="n3868" w:colFirst="0" w:colLast="0"/>
            <w:r w:rsidRPr="00286216">
              <w:rPr>
                <w:color w:val="000000" w:themeColor="text1"/>
              </w:rPr>
              <w:t>3868.</w:t>
            </w:r>
          </w:p>
        </w:tc>
        <w:tc>
          <w:tcPr>
            <w:tcW w:w="4818" w:type="dxa"/>
          </w:tcPr>
          <w:p w14:paraId="49AD537A" w14:textId="77777777" w:rsidR="008F1775" w:rsidRPr="00286216" w:rsidRDefault="008F1775" w:rsidP="008F1775">
            <w:pPr>
              <w:pStyle w:val="StyleZakonu"/>
              <w:rPr>
                <w:color w:val="000000" w:themeColor="text1"/>
              </w:rPr>
            </w:pPr>
            <w:r w:rsidRPr="00286216">
              <w:rPr>
                <w:color w:val="000000" w:themeColor="text1"/>
              </w:rPr>
              <w:t>2) у частині шостій статті 22 слово "біржових" замінити словами "на організованих товарних ринках".</w:t>
            </w:r>
          </w:p>
        </w:tc>
        <w:tc>
          <w:tcPr>
            <w:tcW w:w="3686" w:type="dxa"/>
          </w:tcPr>
          <w:p w14:paraId="19684BD2" w14:textId="1C8EEAC2" w:rsidR="008F1775" w:rsidRPr="00286216" w:rsidRDefault="008F1775" w:rsidP="008F1775">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1519</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51318703" w14:textId="77777777" w:rsidR="008F1775" w:rsidRPr="00286216" w:rsidRDefault="008F1775" w:rsidP="008F1775">
            <w:pPr>
              <w:pStyle w:val="StyleProp"/>
              <w:spacing w:line="180" w:lineRule="exact"/>
              <w:rPr>
                <w:color w:val="000000" w:themeColor="text1"/>
              </w:rPr>
            </w:pPr>
            <w:r w:rsidRPr="00286216">
              <w:rPr>
                <w:color w:val="000000" w:themeColor="text1"/>
              </w:rPr>
              <w:t>Стаття 22. Права та обов‘язки оператора газотранспортної системи</w:t>
            </w:r>
          </w:p>
          <w:p w14:paraId="7362058B" w14:textId="77777777" w:rsidR="008F1775" w:rsidRPr="00286216" w:rsidRDefault="008F1775" w:rsidP="008F1775">
            <w:pPr>
              <w:pStyle w:val="StyleProp"/>
              <w:spacing w:line="180" w:lineRule="exact"/>
              <w:rPr>
                <w:color w:val="000000" w:themeColor="text1"/>
                <w:szCs w:val="18"/>
              </w:rPr>
            </w:pPr>
            <w:r w:rsidRPr="00286216">
              <w:rPr>
                <w:color w:val="000000" w:themeColor="text1"/>
              </w:rPr>
              <w:t>6. Оператор газотранспортної системи зобов‘язаний  співпрацювати з іншими операторами газотранспортних систем України, а також з операторами газотранспортних систем інших держав - сторін Енергетичного Співтовариства з метою гармонізації правил балансування та усунення перешкод для транскордонної торгівлі природним газом, а також створення передумов для проведення на організованих товарних ринках торгів природним газом.</w:t>
            </w:r>
          </w:p>
        </w:tc>
        <w:tc>
          <w:tcPr>
            <w:tcW w:w="1987" w:type="dxa"/>
          </w:tcPr>
          <w:p w14:paraId="127B8E06" w14:textId="7459FE9F" w:rsidR="008F1775" w:rsidRPr="00286216" w:rsidRDefault="008F1775" w:rsidP="00DE3AAF">
            <w:pPr>
              <w:pStyle w:val="StyleWisnow"/>
              <w:spacing w:line="180" w:lineRule="exact"/>
              <w:rPr>
                <w:color w:val="000000" w:themeColor="text1"/>
              </w:rPr>
            </w:pPr>
            <w:r w:rsidRPr="00286216">
              <w:rPr>
                <w:color w:val="000000" w:themeColor="text1"/>
              </w:rPr>
              <w:t>Відхилено</w:t>
            </w:r>
          </w:p>
          <w:p w14:paraId="29043EA5" w14:textId="77777777" w:rsidR="008F1775" w:rsidRPr="00286216" w:rsidRDefault="008F1775" w:rsidP="00DE3AAF">
            <w:pPr>
              <w:pStyle w:val="StyleWisnow"/>
              <w:spacing w:line="180" w:lineRule="exact"/>
              <w:rPr>
                <w:color w:val="000000" w:themeColor="text1"/>
              </w:rPr>
            </w:pPr>
            <w:r w:rsidRPr="00286216">
              <w:rPr>
                <w:color w:val="000000" w:themeColor="text1"/>
              </w:rPr>
              <w:t>не є предметом цього законопроекту</w:t>
            </w:r>
          </w:p>
        </w:tc>
        <w:tc>
          <w:tcPr>
            <w:tcW w:w="4818" w:type="dxa"/>
          </w:tcPr>
          <w:p w14:paraId="22E3F7D7" w14:textId="77777777" w:rsidR="008F1775" w:rsidRPr="00286216" w:rsidRDefault="008F1775" w:rsidP="008F1775">
            <w:pPr>
              <w:pStyle w:val="StyleZakonu"/>
              <w:rPr>
                <w:color w:val="000000" w:themeColor="text1"/>
              </w:rPr>
            </w:pPr>
          </w:p>
        </w:tc>
      </w:tr>
      <w:tr w:rsidR="00DE3AAF" w:rsidRPr="00286216" w14:paraId="375020EF" w14:textId="77777777" w:rsidTr="00091AA5">
        <w:tc>
          <w:tcPr>
            <w:tcW w:w="576" w:type="dxa"/>
          </w:tcPr>
          <w:p w14:paraId="23941270" w14:textId="77777777" w:rsidR="00DE3AAF" w:rsidRPr="00286216" w:rsidRDefault="00DE3AAF" w:rsidP="00DE3AAF">
            <w:pPr>
              <w:pStyle w:val="StyleWisnow"/>
              <w:rPr>
                <w:color w:val="000000" w:themeColor="text1"/>
              </w:rPr>
            </w:pPr>
            <w:bookmarkStart w:id="3738" w:name="n3869" w:colFirst="0" w:colLast="0"/>
            <w:bookmarkEnd w:id="3737"/>
            <w:r w:rsidRPr="00286216">
              <w:rPr>
                <w:color w:val="000000" w:themeColor="text1"/>
              </w:rPr>
              <w:t>3869.</w:t>
            </w:r>
          </w:p>
        </w:tc>
        <w:tc>
          <w:tcPr>
            <w:tcW w:w="4818" w:type="dxa"/>
          </w:tcPr>
          <w:p w14:paraId="029410A8" w14:textId="77777777" w:rsidR="00DE3AAF" w:rsidRPr="00286216" w:rsidRDefault="00DE3AAF" w:rsidP="00DE3AAF">
            <w:pPr>
              <w:pStyle w:val="StyleZakonu"/>
              <w:rPr>
                <w:color w:val="000000" w:themeColor="text1"/>
              </w:rPr>
            </w:pPr>
            <w:r w:rsidRPr="00286216">
              <w:rPr>
                <w:color w:val="000000" w:themeColor="text1"/>
              </w:rPr>
              <w:t>49. Частину другу статті 48 Закону України "Про виконавче провадження" (Відомості Верховної Ради (ВВР), 2016, № 30, ст.542) доповнити абзацами такого змісту:</w:t>
            </w:r>
          </w:p>
        </w:tc>
        <w:tc>
          <w:tcPr>
            <w:tcW w:w="3686" w:type="dxa"/>
          </w:tcPr>
          <w:p w14:paraId="054FB8D4" w14:textId="77777777" w:rsidR="00DE3AAF" w:rsidRPr="00286216" w:rsidRDefault="00DE3AAF" w:rsidP="00DE3AAF">
            <w:pPr>
              <w:pStyle w:val="StyleProp"/>
              <w:rPr>
                <w:color w:val="000000" w:themeColor="text1"/>
                <w:szCs w:val="18"/>
              </w:rPr>
            </w:pPr>
          </w:p>
        </w:tc>
        <w:tc>
          <w:tcPr>
            <w:tcW w:w="1987" w:type="dxa"/>
          </w:tcPr>
          <w:p w14:paraId="5E724E8B" w14:textId="77777777" w:rsidR="00DE3AAF" w:rsidRPr="00286216" w:rsidRDefault="00DE3AAF" w:rsidP="00DE3AAF">
            <w:pPr>
              <w:pStyle w:val="StyleWisnow"/>
              <w:rPr>
                <w:color w:val="000000" w:themeColor="text1"/>
              </w:rPr>
            </w:pPr>
          </w:p>
        </w:tc>
        <w:tc>
          <w:tcPr>
            <w:tcW w:w="4818" w:type="dxa"/>
          </w:tcPr>
          <w:p w14:paraId="623C1DCD" w14:textId="4414BD02" w:rsidR="00DE3AAF" w:rsidRPr="00286216" w:rsidRDefault="00DE3AAF" w:rsidP="00DE3AAF">
            <w:pPr>
              <w:pStyle w:val="StyleZakonu"/>
              <w:rPr>
                <w:color w:val="000000" w:themeColor="text1"/>
              </w:rPr>
            </w:pPr>
            <w:r w:rsidRPr="00286216">
              <w:rPr>
                <w:color w:val="000000" w:themeColor="text1"/>
                <w:lang w:val="ru-RU"/>
              </w:rPr>
              <w:t>47</w:t>
            </w:r>
            <w:r w:rsidRPr="00286216">
              <w:rPr>
                <w:color w:val="000000" w:themeColor="text1"/>
              </w:rPr>
              <w:t>. Частину другу статті 48 Закону України "Про виконавче провадження" (Відомості Верховної Ради, 2016 р., № 30, ст.542 ) доповнити абзацами третім і четвертим такого змісту:</w:t>
            </w:r>
          </w:p>
        </w:tc>
      </w:tr>
      <w:tr w:rsidR="00DE3AAF" w:rsidRPr="00286216" w14:paraId="207EC494" w14:textId="77777777" w:rsidTr="00091AA5">
        <w:tc>
          <w:tcPr>
            <w:tcW w:w="576" w:type="dxa"/>
          </w:tcPr>
          <w:p w14:paraId="180C340A" w14:textId="77777777" w:rsidR="00DE3AAF" w:rsidRPr="00286216" w:rsidRDefault="00DE3AAF" w:rsidP="00DE3AAF">
            <w:pPr>
              <w:pStyle w:val="StyleWisnow"/>
              <w:rPr>
                <w:color w:val="000000" w:themeColor="text1"/>
              </w:rPr>
            </w:pPr>
            <w:bookmarkStart w:id="3739" w:name="n3870" w:colFirst="0" w:colLast="0"/>
            <w:bookmarkEnd w:id="3738"/>
            <w:r w:rsidRPr="00286216">
              <w:rPr>
                <w:color w:val="000000" w:themeColor="text1"/>
              </w:rPr>
              <w:t>3870.</w:t>
            </w:r>
          </w:p>
        </w:tc>
        <w:tc>
          <w:tcPr>
            <w:tcW w:w="4818" w:type="dxa"/>
          </w:tcPr>
          <w:p w14:paraId="2735147D" w14:textId="77777777" w:rsidR="00DE3AAF" w:rsidRPr="00286216" w:rsidRDefault="00DE3AAF" w:rsidP="00DE3AAF">
            <w:pPr>
              <w:pStyle w:val="StyleZakonu"/>
              <w:rPr>
                <w:color w:val="000000" w:themeColor="text1"/>
              </w:rPr>
            </w:pPr>
            <w:r w:rsidRPr="00286216">
              <w:rPr>
                <w:color w:val="000000" w:themeColor="text1"/>
              </w:rPr>
              <w:t>"Арешт на кошти та інші активи фізичних та юридичних осіб, чиї зобов’язання допущені до клірингу, зараховані на рахунки особи, що здійснює клірингову діяльність, для здійснення/забезпечення розрахунків за деривативними контрактами та правочинами щодо фінансових інструментів, а також за правочинами щодо активів, що допущені до торгів на організованому ринку, накладається в поряду, встановленому статтею 59 Закону України "Про ринки капіталу та організовані товарні ринки".</w:t>
            </w:r>
          </w:p>
        </w:tc>
        <w:tc>
          <w:tcPr>
            <w:tcW w:w="3686" w:type="dxa"/>
          </w:tcPr>
          <w:p w14:paraId="3A5FC35F" w14:textId="3509057B" w:rsidR="00DE3AAF" w:rsidRPr="00286216" w:rsidRDefault="00DE3AAF" w:rsidP="00DE3AAF">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1520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6D6E3B0" w14:textId="77777777" w:rsidR="00DE3AAF" w:rsidRPr="00286216" w:rsidRDefault="00DE3AAF" w:rsidP="00DE3AAF">
            <w:pPr>
              <w:spacing w:line="190" w:lineRule="exact"/>
              <w:ind w:firstLine="227"/>
              <w:jc w:val="both"/>
              <w:rPr>
                <w:color w:val="000000" w:themeColor="text1"/>
                <w:sz w:val="18"/>
              </w:rPr>
            </w:pPr>
            <w:r w:rsidRPr="00286216">
              <w:rPr>
                <w:color w:val="000000" w:themeColor="text1"/>
                <w:sz w:val="18"/>
              </w:rPr>
              <w:t>Абзац другий Пункту 49 розділу 4 (зміни до Закону України про виконавче провадження) викласти в такій редакції:</w:t>
            </w:r>
          </w:p>
          <w:p w14:paraId="7CE9980C" w14:textId="77777777" w:rsidR="00DE3AAF" w:rsidRPr="00286216" w:rsidRDefault="00DE3AAF" w:rsidP="00DE3AAF">
            <w:pPr>
              <w:pStyle w:val="StyleProp"/>
              <w:spacing w:line="190" w:lineRule="exact"/>
              <w:rPr>
                <w:color w:val="000000" w:themeColor="text1"/>
              </w:rPr>
            </w:pPr>
            <w:r w:rsidRPr="00286216">
              <w:rPr>
                <w:color w:val="000000" w:themeColor="text1"/>
              </w:rPr>
              <w:t>«Арешт на майнові права у вигляді майнових прав у внутрішній системі обліку особи, що здійснює клірингову діяльність, накладається в поряду, встановленому статтею 59 Закону України «Про ринки капіталу та організовані товарні ринки».</w:t>
            </w:r>
          </w:p>
        </w:tc>
        <w:tc>
          <w:tcPr>
            <w:tcW w:w="1987" w:type="dxa"/>
          </w:tcPr>
          <w:p w14:paraId="287AFEA5" w14:textId="77777777" w:rsidR="00DE3AAF" w:rsidRPr="00286216" w:rsidRDefault="00DE3AAF" w:rsidP="00DE3AAF">
            <w:pPr>
              <w:pStyle w:val="StyleWisnow"/>
              <w:rPr>
                <w:color w:val="000000" w:themeColor="text1"/>
              </w:rPr>
            </w:pPr>
            <w:r w:rsidRPr="00286216">
              <w:rPr>
                <w:color w:val="000000" w:themeColor="text1"/>
              </w:rPr>
              <w:t>Враховано</w:t>
            </w:r>
          </w:p>
        </w:tc>
        <w:tc>
          <w:tcPr>
            <w:tcW w:w="4818" w:type="dxa"/>
          </w:tcPr>
          <w:p w14:paraId="1187C434" w14:textId="26A71EA5" w:rsidR="00DE3AAF" w:rsidRPr="00286216" w:rsidRDefault="00DE3AAF" w:rsidP="00DE3AAF">
            <w:pPr>
              <w:pStyle w:val="StyleZakonu"/>
              <w:rPr>
                <w:color w:val="000000" w:themeColor="text1"/>
              </w:rPr>
            </w:pPr>
            <w:r w:rsidRPr="00286216">
              <w:rPr>
                <w:color w:val="000000" w:themeColor="text1"/>
              </w:rPr>
              <w:t xml:space="preserve">"Арешт на майнові права у вигляді майнових прав у внутрішній системі обліку особи, яка здійснює клірингову діяльність, накладається в поряду, встановленому статтею </w:t>
            </w:r>
            <w:r w:rsidRPr="00286216">
              <w:rPr>
                <w:color w:val="000000" w:themeColor="text1"/>
                <w:lang w:val="ru-RU"/>
              </w:rPr>
              <w:t xml:space="preserve">64 </w:t>
            </w:r>
            <w:r w:rsidRPr="00286216">
              <w:rPr>
                <w:color w:val="000000" w:themeColor="text1"/>
              </w:rPr>
              <w:t xml:space="preserve">Закону України </w:t>
            </w:r>
            <w:r w:rsidRPr="00286216">
              <w:rPr>
                <w:color w:val="000000" w:themeColor="text1"/>
                <w:lang w:val="ru-RU"/>
              </w:rPr>
              <w:t>"</w:t>
            </w:r>
            <w:r w:rsidRPr="00286216">
              <w:rPr>
                <w:color w:val="000000" w:themeColor="text1"/>
              </w:rPr>
              <w:t>Про ринки капіталу та організовані товарні ринки</w:t>
            </w:r>
            <w:r w:rsidRPr="00286216">
              <w:rPr>
                <w:color w:val="000000" w:themeColor="text1"/>
                <w:lang w:val="ru-RU"/>
              </w:rPr>
              <w:t>"</w:t>
            </w:r>
            <w:r w:rsidRPr="00286216">
              <w:rPr>
                <w:color w:val="000000" w:themeColor="text1"/>
              </w:rPr>
              <w:t>.</w:t>
            </w:r>
          </w:p>
        </w:tc>
      </w:tr>
      <w:tr w:rsidR="00DE3AAF" w:rsidRPr="00286216" w14:paraId="1EEDAE51" w14:textId="77777777" w:rsidTr="00091AA5">
        <w:tc>
          <w:tcPr>
            <w:tcW w:w="576" w:type="dxa"/>
          </w:tcPr>
          <w:p w14:paraId="3A481265" w14:textId="77777777" w:rsidR="00DE3AAF" w:rsidRPr="00286216" w:rsidRDefault="00DE3AAF" w:rsidP="00DE3AAF">
            <w:pPr>
              <w:pStyle w:val="StyleWisnow"/>
              <w:rPr>
                <w:color w:val="000000" w:themeColor="text1"/>
              </w:rPr>
            </w:pPr>
            <w:bookmarkStart w:id="3740" w:name="n3871" w:colFirst="0" w:colLast="0"/>
            <w:bookmarkEnd w:id="3739"/>
            <w:r w:rsidRPr="00286216">
              <w:rPr>
                <w:color w:val="000000" w:themeColor="text1"/>
              </w:rPr>
              <w:t>3871.</w:t>
            </w:r>
          </w:p>
        </w:tc>
        <w:tc>
          <w:tcPr>
            <w:tcW w:w="4818" w:type="dxa"/>
          </w:tcPr>
          <w:p w14:paraId="79F6821B" w14:textId="77777777" w:rsidR="00DE3AAF" w:rsidRPr="00286216" w:rsidRDefault="00DE3AAF" w:rsidP="00DE3AAF">
            <w:pPr>
              <w:pStyle w:val="StyleZakonu"/>
              <w:rPr>
                <w:color w:val="000000" w:themeColor="text1"/>
              </w:rPr>
            </w:pPr>
            <w:r w:rsidRPr="00286216">
              <w:rPr>
                <w:color w:val="000000" w:themeColor="text1"/>
              </w:rPr>
              <w:t>Не допускається накладення арешту на кошти, які знаходяться в Національному банку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p>
        </w:tc>
        <w:tc>
          <w:tcPr>
            <w:tcW w:w="3686" w:type="dxa"/>
          </w:tcPr>
          <w:p w14:paraId="00EA48B6" w14:textId="77777777" w:rsidR="00DE3AAF" w:rsidRPr="00286216" w:rsidRDefault="00DE3AAF" w:rsidP="00DE3AAF">
            <w:pPr>
              <w:pStyle w:val="StyleProp"/>
              <w:rPr>
                <w:color w:val="000000" w:themeColor="text1"/>
                <w:szCs w:val="18"/>
              </w:rPr>
            </w:pPr>
          </w:p>
        </w:tc>
        <w:tc>
          <w:tcPr>
            <w:tcW w:w="1987" w:type="dxa"/>
          </w:tcPr>
          <w:p w14:paraId="36F42E2F" w14:textId="77777777" w:rsidR="00DE3AAF" w:rsidRPr="00286216" w:rsidRDefault="00DE3AAF" w:rsidP="00DE3AAF">
            <w:pPr>
              <w:pStyle w:val="StyleWisnow"/>
              <w:rPr>
                <w:color w:val="000000" w:themeColor="text1"/>
              </w:rPr>
            </w:pPr>
          </w:p>
        </w:tc>
        <w:tc>
          <w:tcPr>
            <w:tcW w:w="4818" w:type="dxa"/>
          </w:tcPr>
          <w:p w14:paraId="509C802A" w14:textId="27E8C05D" w:rsidR="00DE3AAF" w:rsidRPr="00286216" w:rsidRDefault="00DE3AAF" w:rsidP="00DE3AAF">
            <w:pPr>
              <w:pStyle w:val="StyleZakonu"/>
              <w:rPr>
                <w:color w:val="000000" w:themeColor="text1"/>
              </w:rPr>
            </w:pPr>
            <w:r w:rsidRPr="00286216">
              <w:rPr>
                <w:color w:val="000000" w:themeColor="text1"/>
              </w:rPr>
              <w:t>Не допускається накладення арешту на кошти, які знаходяться в Національному банку України або іншому банку на рахунках, відкритих Центральному депозитарію цінних паперів та/або кліринговим установам, для забезпечення здійснення грошових розрахунків"</w:t>
            </w:r>
            <w:r w:rsidRPr="00286216">
              <w:rPr>
                <w:color w:val="000000" w:themeColor="text1"/>
                <w:lang w:val="ru-RU"/>
              </w:rPr>
              <w:t>.</w:t>
            </w:r>
          </w:p>
        </w:tc>
      </w:tr>
      <w:tr w:rsidR="00DE3AAF" w:rsidRPr="00286216" w14:paraId="1C278A6E" w14:textId="77777777" w:rsidTr="00091AA5">
        <w:tc>
          <w:tcPr>
            <w:tcW w:w="576" w:type="dxa"/>
          </w:tcPr>
          <w:p w14:paraId="1F4511D9" w14:textId="77777777" w:rsidR="00DE3AAF" w:rsidRPr="00286216" w:rsidRDefault="00DE3AAF" w:rsidP="00DE3AAF">
            <w:pPr>
              <w:pStyle w:val="StyleWisnow"/>
              <w:rPr>
                <w:color w:val="000000" w:themeColor="text1"/>
              </w:rPr>
            </w:pPr>
            <w:bookmarkStart w:id="3741" w:name="n3872" w:colFirst="0" w:colLast="0"/>
            <w:bookmarkEnd w:id="3740"/>
            <w:r w:rsidRPr="00286216">
              <w:rPr>
                <w:color w:val="000000" w:themeColor="text1"/>
              </w:rPr>
              <w:t>3872.</w:t>
            </w:r>
          </w:p>
        </w:tc>
        <w:tc>
          <w:tcPr>
            <w:tcW w:w="4818" w:type="dxa"/>
          </w:tcPr>
          <w:p w14:paraId="37CA830E" w14:textId="77777777" w:rsidR="00DE3AAF" w:rsidRPr="00286216" w:rsidRDefault="00DE3AAF" w:rsidP="00DE3AAF">
            <w:pPr>
              <w:pStyle w:val="StyleZakonu"/>
              <w:rPr>
                <w:color w:val="000000" w:themeColor="text1"/>
              </w:rPr>
            </w:pPr>
            <w:r w:rsidRPr="00286216">
              <w:rPr>
                <w:color w:val="000000" w:themeColor="text1"/>
              </w:rPr>
              <w:t xml:space="preserve">50. У Законі України "Про спрощення процедур </w:t>
            </w:r>
            <w:r w:rsidRPr="00286216">
              <w:rPr>
                <w:color w:val="000000" w:themeColor="text1"/>
              </w:rPr>
              <w:lastRenderedPageBreak/>
              <w:t>реорганізації та капіталізації банків" (Відомості Верховної Ради України, 2017 р., №21, ст. 241, із наступними змінами):</w:t>
            </w:r>
          </w:p>
        </w:tc>
        <w:tc>
          <w:tcPr>
            <w:tcW w:w="3686" w:type="dxa"/>
          </w:tcPr>
          <w:p w14:paraId="6F128607" w14:textId="77777777" w:rsidR="00DE3AAF" w:rsidRPr="00286216" w:rsidRDefault="00DE3AAF" w:rsidP="00DE3AAF">
            <w:pPr>
              <w:pStyle w:val="StyleProp"/>
              <w:rPr>
                <w:color w:val="000000" w:themeColor="text1"/>
                <w:szCs w:val="18"/>
              </w:rPr>
            </w:pPr>
          </w:p>
        </w:tc>
        <w:tc>
          <w:tcPr>
            <w:tcW w:w="1987" w:type="dxa"/>
          </w:tcPr>
          <w:p w14:paraId="34ACA17F" w14:textId="77777777" w:rsidR="00DE3AAF" w:rsidRPr="00286216" w:rsidRDefault="00DE3AAF" w:rsidP="00DE3AAF">
            <w:pPr>
              <w:pStyle w:val="StyleWisnow"/>
              <w:rPr>
                <w:color w:val="000000" w:themeColor="text1"/>
              </w:rPr>
            </w:pPr>
          </w:p>
        </w:tc>
        <w:tc>
          <w:tcPr>
            <w:tcW w:w="4818" w:type="dxa"/>
          </w:tcPr>
          <w:p w14:paraId="5DBC4ECA" w14:textId="585A1AA0" w:rsidR="00DE3AAF" w:rsidRPr="00286216" w:rsidRDefault="00DE3AAF" w:rsidP="00DE3AAF">
            <w:pPr>
              <w:pStyle w:val="StyleZakonu"/>
              <w:rPr>
                <w:color w:val="000000" w:themeColor="text1"/>
              </w:rPr>
            </w:pPr>
            <w:r w:rsidRPr="00286216">
              <w:rPr>
                <w:color w:val="000000" w:themeColor="text1"/>
              </w:rPr>
              <w:t xml:space="preserve">48. У Законі України "Про спрощення процедур </w:t>
            </w:r>
            <w:r w:rsidRPr="00286216">
              <w:rPr>
                <w:color w:val="000000" w:themeColor="text1"/>
              </w:rPr>
              <w:lastRenderedPageBreak/>
              <w:t>реорганізації та капіталізації банків" (Відомості Верховної Ради України, 2017 р., № 21, ст. 241 із наступними змінами):</w:t>
            </w:r>
          </w:p>
        </w:tc>
      </w:tr>
      <w:tr w:rsidR="00DE3AAF" w:rsidRPr="00286216" w14:paraId="2776C441" w14:textId="77777777" w:rsidTr="00091AA5">
        <w:tc>
          <w:tcPr>
            <w:tcW w:w="576" w:type="dxa"/>
          </w:tcPr>
          <w:p w14:paraId="33F658C8" w14:textId="77777777" w:rsidR="00DE3AAF" w:rsidRPr="00286216" w:rsidRDefault="00DE3AAF" w:rsidP="00DE3AAF">
            <w:pPr>
              <w:pStyle w:val="StyleWisnow"/>
              <w:rPr>
                <w:color w:val="000000" w:themeColor="text1"/>
              </w:rPr>
            </w:pPr>
            <w:bookmarkStart w:id="3742" w:name="n3873" w:colFirst="0" w:colLast="0"/>
            <w:bookmarkEnd w:id="3741"/>
            <w:r w:rsidRPr="00286216">
              <w:rPr>
                <w:color w:val="000000" w:themeColor="text1"/>
              </w:rPr>
              <w:lastRenderedPageBreak/>
              <w:t>3873.</w:t>
            </w:r>
          </w:p>
        </w:tc>
        <w:tc>
          <w:tcPr>
            <w:tcW w:w="4818" w:type="dxa"/>
          </w:tcPr>
          <w:p w14:paraId="0CB8BAB0" w14:textId="77777777" w:rsidR="00DE3AAF" w:rsidRPr="00286216" w:rsidRDefault="00DE3AAF" w:rsidP="00DE3AAF">
            <w:pPr>
              <w:pStyle w:val="StyleZakonu"/>
              <w:rPr>
                <w:color w:val="000000" w:themeColor="text1"/>
              </w:rPr>
            </w:pPr>
            <w:r w:rsidRPr="00286216">
              <w:rPr>
                <w:color w:val="000000" w:themeColor="text1"/>
              </w:rPr>
              <w:t>1) у частині другій статті 3:</w:t>
            </w:r>
          </w:p>
        </w:tc>
        <w:tc>
          <w:tcPr>
            <w:tcW w:w="3686" w:type="dxa"/>
          </w:tcPr>
          <w:p w14:paraId="25DEB719" w14:textId="216441D2" w:rsidR="00DE3AAF" w:rsidRPr="00286216" w:rsidRDefault="00DE3AAF" w:rsidP="00DE3AAF">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1521</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6C2306A8" w14:textId="77777777" w:rsidR="00DE3AAF" w:rsidRPr="00286216" w:rsidRDefault="00DE3AAF" w:rsidP="00DE3AAF">
            <w:pPr>
              <w:pStyle w:val="StyleProp"/>
              <w:spacing w:line="180" w:lineRule="exact"/>
              <w:rPr>
                <w:color w:val="000000" w:themeColor="text1"/>
              </w:rPr>
            </w:pPr>
            <w:r w:rsidRPr="00286216">
              <w:rPr>
                <w:color w:val="000000" w:themeColor="text1"/>
              </w:rPr>
              <w:t>доповнити підпункт 1 пункту 50 новим підпунктом «а» такого змісту:</w:t>
            </w:r>
          </w:p>
          <w:p w14:paraId="16C34D4D" w14:textId="77777777" w:rsidR="00DE3AAF" w:rsidRPr="00286216" w:rsidRDefault="00DE3AAF" w:rsidP="00DE3AAF">
            <w:pPr>
              <w:pStyle w:val="StyleProp"/>
              <w:spacing w:line="180" w:lineRule="exact"/>
              <w:rPr>
                <w:color w:val="000000" w:themeColor="text1"/>
              </w:rPr>
            </w:pPr>
            <w:r w:rsidRPr="00286216">
              <w:rPr>
                <w:color w:val="000000" w:themeColor="text1"/>
              </w:rPr>
              <w:t>«а) у підпункті "ґ" пункту 1 слова «фондовими біржами, на яких акції перебувають в обігу» замінити словами «операторами організованих ринків капіталу, на яких акції допущені до торгів».</w:t>
            </w:r>
          </w:p>
        </w:tc>
        <w:tc>
          <w:tcPr>
            <w:tcW w:w="1987" w:type="dxa"/>
          </w:tcPr>
          <w:p w14:paraId="5D793699" w14:textId="77777777" w:rsidR="00DE3AAF" w:rsidRPr="00286216" w:rsidRDefault="00DE3AAF" w:rsidP="00DE3AAF">
            <w:pPr>
              <w:pStyle w:val="StyleWisnow"/>
              <w:rPr>
                <w:color w:val="000000" w:themeColor="text1"/>
              </w:rPr>
            </w:pPr>
            <w:r w:rsidRPr="00286216">
              <w:rPr>
                <w:color w:val="000000" w:themeColor="text1"/>
              </w:rPr>
              <w:t>Враховано</w:t>
            </w:r>
          </w:p>
        </w:tc>
        <w:tc>
          <w:tcPr>
            <w:tcW w:w="4818" w:type="dxa"/>
          </w:tcPr>
          <w:p w14:paraId="39B51C51" w14:textId="77777777" w:rsidR="00DE3AAF" w:rsidRPr="00286216" w:rsidRDefault="00DE3AAF" w:rsidP="00DE3AAF">
            <w:pPr>
              <w:pStyle w:val="StyleZakonu"/>
              <w:rPr>
                <w:color w:val="000000" w:themeColor="text1"/>
              </w:rPr>
            </w:pPr>
            <w:r w:rsidRPr="00286216">
              <w:rPr>
                <w:color w:val="000000" w:themeColor="text1"/>
              </w:rPr>
              <w:t>1) у частині другій статті 3:</w:t>
            </w:r>
          </w:p>
          <w:p w14:paraId="728D07F2" w14:textId="740C1A47" w:rsidR="00DE3AAF" w:rsidRPr="00286216" w:rsidRDefault="00DE3AAF" w:rsidP="00DE3AAF">
            <w:pPr>
              <w:pStyle w:val="StyleZakonu"/>
              <w:rPr>
                <w:color w:val="000000" w:themeColor="text1"/>
              </w:rPr>
            </w:pPr>
            <w:r w:rsidRPr="00286216">
              <w:rPr>
                <w:color w:val="000000" w:themeColor="text1"/>
              </w:rPr>
              <w:t>а) у підпункті "ґ" пункту 1 слова "фондовими біржами, на яких акції перебувають в обігу" замінити словами "операторами організованих ринків капіталу, на яких акції допущені до торгів";</w:t>
            </w:r>
          </w:p>
        </w:tc>
      </w:tr>
      <w:tr w:rsidR="00DE3AAF" w:rsidRPr="00286216" w14:paraId="6B575197" w14:textId="77777777" w:rsidTr="00091AA5">
        <w:tc>
          <w:tcPr>
            <w:tcW w:w="576" w:type="dxa"/>
          </w:tcPr>
          <w:p w14:paraId="1253B67A" w14:textId="77777777" w:rsidR="00DE3AAF" w:rsidRPr="00286216" w:rsidRDefault="00DE3AAF" w:rsidP="00DE3AAF">
            <w:pPr>
              <w:pStyle w:val="StyleWisnow"/>
              <w:rPr>
                <w:color w:val="000000" w:themeColor="text1"/>
              </w:rPr>
            </w:pPr>
            <w:bookmarkStart w:id="3743" w:name="n3874" w:colFirst="0" w:colLast="0"/>
            <w:bookmarkEnd w:id="3742"/>
            <w:r w:rsidRPr="00286216">
              <w:rPr>
                <w:color w:val="000000" w:themeColor="text1"/>
              </w:rPr>
              <w:t>3874.</w:t>
            </w:r>
          </w:p>
        </w:tc>
        <w:tc>
          <w:tcPr>
            <w:tcW w:w="4818" w:type="dxa"/>
          </w:tcPr>
          <w:p w14:paraId="308C1706" w14:textId="77777777" w:rsidR="00DE3AAF" w:rsidRPr="00286216" w:rsidRDefault="00DE3AAF" w:rsidP="00DE3AAF">
            <w:pPr>
              <w:pStyle w:val="StyleZakonu"/>
              <w:rPr>
                <w:color w:val="000000" w:themeColor="text1"/>
              </w:rPr>
            </w:pPr>
            <w:r w:rsidRPr="00286216">
              <w:rPr>
                <w:color w:val="000000" w:themeColor="text1"/>
              </w:rPr>
              <w:t>а) у пункті 4 слова "емісії акцій" та у пункті 5 слова "їх емісії" замінити словами "цінних паперів";</w:t>
            </w:r>
          </w:p>
        </w:tc>
        <w:tc>
          <w:tcPr>
            <w:tcW w:w="3686" w:type="dxa"/>
          </w:tcPr>
          <w:p w14:paraId="095C1D92" w14:textId="77777777" w:rsidR="00DE3AAF" w:rsidRPr="00286216" w:rsidRDefault="00DE3AAF" w:rsidP="00DE3AAF">
            <w:pPr>
              <w:pStyle w:val="StyleProp"/>
              <w:rPr>
                <w:color w:val="000000" w:themeColor="text1"/>
                <w:szCs w:val="18"/>
              </w:rPr>
            </w:pPr>
          </w:p>
        </w:tc>
        <w:tc>
          <w:tcPr>
            <w:tcW w:w="1987" w:type="dxa"/>
          </w:tcPr>
          <w:p w14:paraId="2DE71C18" w14:textId="77777777" w:rsidR="00DE3AAF" w:rsidRPr="00286216" w:rsidRDefault="00DE3AAF" w:rsidP="00DE3AAF">
            <w:pPr>
              <w:pStyle w:val="StyleWisnow"/>
              <w:rPr>
                <w:color w:val="000000" w:themeColor="text1"/>
              </w:rPr>
            </w:pPr>
          </w:p>
        </w:tc>
        <w:tc>
          <w:tcPr>
            <w:tcW w:w="4818" w:type="dxa"/>
          </w:tcPr>
          <w:p w14:paraId="162D8516" w14:textId="64916D48" w:rsidR="00DE3AAF" w:rsidRPr="00286216" w:rsidRDefault="00DE3AAF" w:rsidP="00DE3AAF">
            <w:pPr>
              <w:pStyle w:val="StyleZakonu"/>
              <w:rPr>
                <w:color w:val="000000" w:themeColor="text1"/>
              </w:rPr>
            </w:pPr>
            <w:r w:rsidRPr="00286216">
              <w:rPr>
                <w:color w:val="000000" w:themeColor="text1"/>
              </w:rPr>
              <w:t>б) у пункті 4 слова "емісії акцій" та у пункті 5 слова "їх емісії" замінити словами "цінних паперів";</w:t>
            </w:r>
          </w:p>
        </w:tc>
      </w:tr>
      <w:tr w:rsidR="00DE3AAF" w:rsidRPr="00286216" w14:paraId="43EB7DA6" w14:textId="77777777" w:rsidTr="00091AA5">
        <w:tc>
          <w:tcPr>
            <w:tcW w:w="576" w:type="dxa"/>
          </w:tcPr>
          <w:p w14:paraId="0FE1FB54" w14:textId="77777777" w:rsidR="00DE3AAF" w:rsidRPr="00286216" w:rsidRDefault="00DE3AAF" w:rsidP="00DE3AAF">
            <w:pPr>
              <w:pStyle w:val="StyleWisnow"/>
              <w:rPr>
                <w:color w:val="000000" w:themeColor="text1"/>
              </w:rPr>
            </w:pPr>
            <w:bookmarkStart w:id="3744" w:name="n3875" w:colFirst="0" w:colLast="0"/>
            <w:bookmarkEnd w:id="3743"/>
            <w:r w:rsidRPr="00286216">
              <w:rPr>
                <w:color w:val="000000" w:themeColor="text1"/>
              </w:rPr>
              <w:t>3875.</w:t>
            </w:r>
          </w:p>
        </w:tc>
        <w:tc>
          <w:tcPr>
            <w:tcW w:w="4818" w:type="dxa"/>
          </w:tcPr>
          <w:p w14:paraId="6B738786" w14:textId="77777777" w:rsidR="00DE3AAF" w:rsidRPr="00286216" w:rsidRDefault="00DE3AAF" w:rsidP="00DE3AAF">
            <w:pPr>
              <w:pStyle w:val="StyleZakonu"/>
              <w:rPr>
                <w:color w:val="000000" w:themeColor="text1"/>
              </w:rPr>
            </w:pPr>
            <w:r w:rsidRPr="00286216">
              <w:rPr>
                <w:color w:val="000000" w:themeColor="text1"/>
              </w:rPr>
              <w:t>б) у пункті 5 слово "розміщення" замінити словом "емісії".</w:t>
            </w:r>
          </w:p>
        </w:tc>
        <w:tc>
          <w:tcPr>
            <w:tcW w:w="3686" w:type="dxa"/>
          </w:tcPr>
          <w:p w14:paraId="4A2320DB" w14:textId="77777777" w:rsidR="00DE3AAF" w:rsidRPr="00286216" w:rsidRDefault="00DE3AAF" w:rsidP="00DE3AAF">
            <w:pPr>
              <w:pStyle w:val="StyleProp"/>
              <w:rPr>
                <w:color w:val="000000" w:themeColor="text1"/>
                <w:szCs w:val="18"/>
              </w:rPr>
            </w:pPr>
          </w:p>
        </w:tc>
        <w:tc>
          <w:tcPr>
            <w:tcW w:w="1987" w:type="dxa"/>
          </w:tcPr>
          <w:p w14:paraId="40B05118" w14:textId="77777777" w:rsidR="00DE3AAF" w:rsidRPr="00286216" w:rsidRDefault="00DE3AAF" w:rsidP="00DE3AAF">
            <w:pPr>
              <w:pStyle w:val="StyleWisnow"/>
              <w:rPr>
                <w:color w:val="000000" w:themeColor="text1"/>
              </w:rPr>
            </w:pPr>
          </w:p>
        </w:tc>
        <w:tc>
          <w:tcPr>
            <w:tcW w:w="4818" w:type="dxa"/>
          </w:tcPr>
          <w:p w14:paraId="4723CFE6" w14:textId="1C40ED33" w:rsidR="00DE3AAF" w:rsidRPr="00286216" w:rsidRDefault="00DE3AAF" w:rsidP="00DE3AAF">
            <w:pPr>
              <w:pStyle w:val="StyleZakonu"/>
              <w:rPr>
                <w:color w:val="000000" w:themeColor="text1"/>
              </w:rPr>
            </w:pPr>
            <w:r w:rsidRPr="00286216">
              <w:rPr>
                <w:color w:val="000000" w:themeColor="text1"/>
              </w:rPr>
              <w:t>в) у пункті 5 слово "розміщення" замінити словом "емісії";</w:t>
            </w:r>
          </w:p>
        </w:tc>
      </w:tr>
      <w:tr w:rsidR="00DE3AAF" w:rsidRPr="00286216" w14:paraId="4DD32CB6" w14:textId="77777777" w:rsidTr="00091AA5">
        <w:tc>
          <w:tcPr>
            <w:tcW w:w="576" w:type="dxa"/>
          </w:tcPr>
          <w:p w14:paraId="3C403401" w14:textId="77777777" w:rsidR="00DE3AAF" w:rsidRPr="00286216" w:rsidRDefault="00DE3AAF" w:rsidP="00DE3AAF">
            <w:pPr>
              <w:pStyle w:val="StyleWisnow"/>
              <w:rPr>
                <w:color w:val="000000" w:themeColor="text1"/>
              </w:rPr>
            </w:pPr>
            <w:bookmarkStart w:id="3745" w:name="n3876" w:colFirst="0" w:colLast="0"/>
            <w:bookmarkEnd w:id="3744"/>
            <w:r w:rsidRPr="00286216">
              <w:rPr>
                <w:color w:val="000000" w:themeColor="text1"/>
              </w:rPr>
              <w:t>3876.</w:t>
            </w:r>
          </w:p>
        </w:tc>
        <w:tc>
          <w:tcPr>
            <w:tcW w:w="4818" w:type="dxa"/>
          </w:tcPr>
          <w:p w14:paraId="0617D705" w14:textId="77777777" w:rsidR="00DE3AAF" w:rsidRPr="00286216" w:rsidRDefault="00DE3AAF" w:rsidP="00DE3AAF">
            <w:pPr>
              <w:pStyle w:val="StyleZakonu"/>
              <w:rPr>
                <w:color w:val="000000" w:themeColor="text1"/>
              </w:rPr>
            </w:pPr>
            <w:r w:rsidRPr="00286216">
              <w:rPr>
                <w:color w:val="000000" w:themeColor="text1"/>
              </w:rPr>
              <w:t>2) у частині першій статті 5 цифри "2020" замінити цифрами "2022":</w:t>
            </w:r>
          </w:p>
        </w:tc>
        <w:tc>
          <w:tcPr>
            <w:tcW w:w="3686" w:type="dxa"/>
          </w:tcPr>
          <w:p w14:paraId="5B28A9BD" w14:textId="455CC114" w:rsidR="00DE3AAF" w:rsidRPr="00286216" w:rsidRDefault="00DE3AAF" w:rsidP="00DE3AAF">
            <w:pPr>
              <w:pStyle w:val="StyleAwt"/>
              <w:rPr>
                <w:color w:val="000000" w:themeColor="text1"/>
                <w:spacing w:val="-2"/>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1522</w:t>
            </w:r>
            <w:r w:rsidRPr="00286216">
              <w:rPr>
                <w:color w:val="000000" w:themeColor="text1"/>
                <w:szCs w:val="18"/>
              </w:rPr>
              <w:fldChar w:fldCharType="end"/>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61522CED" w14:textId="4204A37B" w:rsidR="00DE3AAF" w:rsidRPr="00286216" w:rsidRDefault="00DE3AAF" w:rsidP="00DE3AAF">
            <w:pPr>
              <w:pStyle w:val="StyleProp"/>
              <w:rPr>
                <w:color w:val="000000" w:themeColor="text1"/>
                <w:szCs w:val="18"/>
              </w:rPr>
            </w:pPr>
            <w:r w:rsidRPr="00286216">
              <w:rPr>
                <w:color w:val="000000" w:themeColor="text1"/>
              </w:rPr>
              <w:t>Підпункт 2 пункту 50 виключити.</w:t>
            </w:r>
          </w:p>
        </w:tc>
        <w:tc>
          <w:tcPr>
            <w:tcW w:w="1987" w:type="dxa"/>
          </w:tcPr>
          <w:p w14:paraId="47008E22" w14:textId="77777777" w:rsidR="00DE3AAF" w:rsidRPr="00286216" w:rsidRDefault="00DE3AAF" w:rsidP="00DE3AAF">
            <w:pPr>
              <w:pStyle w:val="StyleWisnow"/>
              <w:spacing w:line="180" w:lineRule="exact"/>
              <w:rPr>
                <w:color w:val="000000" w:themeColor="text1"/>
              </w:rPr>
            </w:pPr>
            <w:r w:rsidRPr="00286216">
              <w:rPr>
                <w:color w:val="000000" w:themeColor="text1"/>
              </w:rPr>
              <w:t>Враховано</w:t>
            </w:r>
          </w:p>
          <w:p w14:paraId="7B599021" w14:textId="77777777" w:rsidR="00DE3AAF" w:rsidRPr="00286216" w:rsidRDefault="00DE3AAF" w:rsidP="00DE3AAF">
            <w:pPr>
              <w:pStyle w:val="StyleWisnow"/>
              <w:spacing w:line="180" w:lineRule="exact"/>
              <w:rPr>
                <w:color w:val="000000" w:themeColor="text1"/>
              </w:rPr>
            </w:pPr>
            <w:r w:rsidRPr="00286216">
              <w:rPr>
                <w:color w:val="000000" w:themeColor="text1"/>
              </w:rPr>
              <w:t>згідно з прийнятим Законом № 591-ІХ</w:t>
            </w:r>
          </w:p>
          <w:p w14:paraId="161A699D" w14:textId="35FB43C4" w:rsidR="00DE3AAF" w:rsidRPr="00286216" w:rsidRDefault="00DE3AAF" w:rsidP="00DE3AAF">
            <w:pPr>
              <w:pStyle w:val="StyleWisnow"/>
              <w:spacing w:line="180" w:lineRule="exact"/>
              <w:rPr>
                <w:color w:val="000000" w:themeColor="text1"/>
              </w:rPr>
            </w:pPr>
            <w:r w:rsidRPr="00286216">
              <w:rPr>
                <w:color w:val="000000" w:themeColor="text1"/>
              </w:rPr>
              <w:t>від 13.05.2020</w:t>
            </w:r>
          </w:p>
        </w:tc>
        <w:tc>
          <w:tcPr>
            <w:tcW w:w="4818" w:type="dxa"/>
          </w:tcPr>
          <w:p w14:paraId="0C8B0F35" w14:textId="6A226AF7" w:rsidR="00DE3AAF" w:rsidRPr="00286216" w:rsidRDefault="00DE3AAF" w:rsidP="00DE3AAF">
            <w:pPr>
              <w:pStyle w:val="StyleZakonu"/>
              <w:rPr>
                <w:color w:val="000000" w:themeColor="text1"/>
              </w:rPr>
            </w:pPr>
          </w:p>
        </w:tc>
      </w:tr>
      <w:bookmarkEnd w:id="3745"/>
      <w:tr w:rsidR="00DE3AAF" w:rsidRPr="00286216" w14:paraId="79B49C74" w14:textId="77777777" w:rsidTr="00091AA5">
        <w:tc>
          <w:tcPr>
            <w:tcW w:w="576" w:type="dxa"/>
          </w:tcPr>
          <w:p w14:paraId="7420ECA1" w14:textId="77777777" w:rsidR="00DE3AAF" w:rsidRPr="00286216" w:rsidRDefault="00DE3AAF" w:rsidP="00DE3AAF">
            <w:pPr>
              <w:pStyle w:val="StyleWisnow"/>
              <w:rPr>
                <w:color w:val="000000" w:themeColor="text1"/>
              </w:rPr>
            </w:pPr>
          </w:p>
        </w:tc>
        <w:tc>
          <w:tcPr>
            <w:tcW w:w="4818" w:type="dxa"/>
          </w:tcPr>
          <w:p w14:paraId="2E22D5CC" w14:textId="77777777" w:rsidR="00DE3AAF" w:rsidRPr="00286216" w:rsidRDefault="00DE3AAF" w:rsidP="00DE3AAF">
            <w:pPr>
              <w:pStyle w:val="StyleZakonu"/>
              <w:rPr>
                <w:color w:val="000000" w:themeColor="text1"/>
              </w:rPr>
            </w:pPr>
          </w:p>
        </w:tc>
        <w:tc>
          <w:tcPr>
            <w:tcW w:w="3686" w:type="dxa"/>
          </w:tcPr>
          <w:p w14:paraId="4E0DA93F" w14:textId="47B8FFCE" w:rsidR="00DE3AAF" w:rsidRPr="00286216" w:rsidRDefault="00DE3AAF" w:rsidP="00DE3AAF">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1523</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7D22BD96" w14:textId="77777777" w:rsidR="00DE3AAF" w:rsidRPr="00286216" w:rsidRDefault="00DE3AAF" w:rsidP="00DE3AAF">
            <w:pPr>
              <w:pStyle w:val="StyleProp"/>
              <w:spacing w:line="180" w:lineRule="exact"/>
              <w:rPr>
                <w:color w:val="000000" w:themeColor="text1"/>
              </w:rPr>
            </w:pPr>
            <w:r w:rsidRPr="00286216">
              <w:rPr>
                <w:color w:val="000000" w:themeColor="text1"/>
              </w:rPr>
              <w:t>доповнити пункт 50 новим підпунктом 1 такого змісту:</w:t>
            </w:r>
          </w:p>
          <w:p w14:paraId="0970CFF3" w14:textId="38D00C51" w:rsidR="00DE3AAF" w:rsidRPr="00286216" w:rsidRDefault="00DE3AAF" w:rsidP="00DE3AAF">
            <w:pPr>
              <w:pStyle w:val="StyleProp"/>
              <w:spacing w:line="180" w:lineRule="exact"/>
              <w:rPr>
                <w:color w:val="000000" w:themeColor="text1"/>
              </w:rPr>
            </w:pPr>
            <w:r w:rsidRPr="00286216">
              <w:rPr>
                <w:color w:val="000000" w:themeColor="text1"/>
              </w:rPr>
              <w:t>«3) у тексті закону слова «професійна діяльність на фондовому ринку» та слова «професійної діяльності на ринку цінних паперів» у відповідних відмінках замінити словами «професійна діяльність на ринках капіталу» у відповідних відмінках».</w:t>
            </w:r>
          </w:p>
        </w:tc>
        <w:tc>
          <w:tcPr>
            <w:tcW w:w="1987" w:type="dxa"/>
          </w:tcPr>
          <w:p w14:paraId="20755DC3" w14:textId="77777777" w:rsidR="00DE3AAF" w:rsidRPr="00286216" w:rsidRDefault="00DE3AAF" w:rsidP="00DE3AAF">
            <w:pPr>
              <w:pStyle w:val="StyleWisnow"/>
              <w:rPr>
                <w:color w:val="000000" w:themeColor="text1"/>
              </w:rPr>
            </w:pPr>
            <w:r w:rsidRPr="00286216">
              <w:rPr>
                <w:color w:val="000000" w:themeColor="text1"/>
              </w:rPr>
              <w:t>Враховано</w:t>
            </w:r>
          </w:p>
          <w:p w14:paraId="47E652C7" w14:textId="519ACF9D" w:rsidR="00DE3AAF" w:rsidRPr="00286216" w:rsidRDefault="00DE3AAF" w:rsidP="00DE3AAF">
            <w:pPr>
              <w:pStyle w:val="StyleWisnow"/>
              <w:spacing w:line="180" w:lineRule="exact"/>
              <w:rPr>
                <w:color w:val="000000" w:themeColor="text1"/>
              </w:rPr>
            </w:pPr>
            <w:r w:rsidRPr="00286216">
              <w:rPr>
                <w:color w:val="000000" w:themeColor="text1"/>
              </w:rPr>
              <w:t>з техніко-юридичним уточненням</w:t>
            </w:r>
          </w:p>
        </w:tc>
        <w:tc>
          <w:tcPr>
            <w:tcW w:w="4818" w:type="dxa"/>
          </w:tcPr>
          <w:p w14:paraId="6A026A4B" w14:textId="67E9DFBB" w:rsidR="00DE3AAF" w:rsidRPr="00286216" w:rsidRDefault="00DE3AAF" w:rsidP="00DE3AAF">
            <w:pPr>
              <w:pStyle w:val="StyleZakonu"/>
              <w:rPr>
                <w:color w:val="000000" w:themeColor="text1"/>
              </w:rPr>
            </w:pPr>
            <w:r w:rsidRPr="00286216">
              <w:rPr>
                <w:color w:val="000000" w:themeColor="text1"/>
              </w:rPr>
              <w:t>2) у тексті Закону слова "професійна діяльність на фондовому ринку" та "професійнадіяльність на ринку цінних паперів" в усіх відмінках замінити словами "професійна діяльність на ринках капіталу" у відповідному відмінку.</w:t>
            </w:r>
          </w:p>
        </w:tc>
      </w:tr>
      <w:tr w:rsidR="00DE3AAF" w:rsidRPr="00286216" w14:paraId="30F8981A" w14:textId="77777777" w:rsidTr="00091AA5">
        <w:tc>
          <w:tcPr>
            <w:tcW w:w="576" w:type="dxa"/>
          </w:tcPr>
          <w:p w14:paraId="39670E65" w14:textId="77777777" w:rsidR="00DE3AAF" w:rsidRPr="00286216" w:rsidRDefault="00DE3AAF" w:rsidP="00DE3AAF">
            <w:pPr>
              <w:pStyle w:val="StyleWisnow"/>
              <w:rPr>
                <w:color w:val="000000" w:themeColor="text1"/>
              </w:rPr>
            </w:pPr>
            <w:bookmarkStart w:id="3746" w:name="n3877" w:colFirst="0" w:colLast="0"/>
            <w:r w:rsidRPr="00286216">
              <w:rPr>
                <w:color w:val="000000" w:themeColor="text1"/>
              </w:rPr>
              <w:t>3877.</w:t>
            </w:r>
          </w:p>
        </w:tc>
        <w:tc>
          <w:tcPr>
            <w:tcW w:w="4818" w:type="dxa"/>
          </w:tcPr>
          <w:p w14:paraId="41A00F15" w14:textId="77777777" w:rsidR="00DE3AAF" w:rsidRPr="00286216" w:rsidRDefault="00DE3AAF" w:rsidP="00DE3AAF">
            <w:pPr>
              <w:pStyle w:val="StyleZakonu"/>
              <w:rPr>
                <w:color w:val="000000" w:themeColor="text1"/>
              </w:rPr>
            </w:pPr>
            <w:bookmarkStart w:id="3747" w:name="_Ref18410052"/>
            <w:r w:rsidRPr="00286216">
              <w:rPr>
                <w:color w:val="000000" w:themeColor="text1"/>
              </w:rPr>
              <w:t>51. У Законі України "Про ринок електричної енергії" (Відомості Верховної Ради України, 2017, № 27-28, ст. 312, із наступними змінами):</w:t>
            </w:r>
            <w:bookmarkEnd w:id="3747"/>
          </w:p>
        </w:tc>
        <w:tc>
          <w:tcPr>
            <w:tcW w:w="3686" w:type="dxa"/>
          </w:tcPr>
          <w:p w14:paraId="346F8307" w14:textId="1F37725D" w:rsidR="00DE3AAF" w:rsidRPr="00286216" w:rsidRDefault="00DE3AAF" w:rsidP="00DE3AAF">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1524</w:t>
            </w:r>
            <w:r w:rsidRPr="00286216">
              <w:rPr>
                <w:color w:val="000000" w:themeColor="text1"/>
                <w:spacing w:val="-2"/>
              </w:rPr>
              <w:fldChar w:fldCharType="end"/>
            </w:r>
            <w:r w:rsidRPr="00286216">
              <w:rPr>
                <w:color w:val="000000" w:themeColor="text1"/>
                <w:spacing w:val="-2"/>
              </w:rPr>
              <w:t>-Н.д.Шахов С.В. (Реєстр.картка №114)</w:t>
            </w:r>
          </w:p>
          <w:p w14:paraId="35027AB0" w14:textId="77777777" w:rsidR="00DE3AAF" w:rsidRPr="00286216" w:rsidRDefault="00DE3AAF" w:rsidP="00DE3AAF">
            <w:pPr>
              <w:pStyle w:val="StyleProp"/>
              <w:rPr>
                <w:color w:val="000000" w:themeColor="text1"/>
                <w:spacing w:val="-4"/>
              </w:rPr>
            </w:pPr>
            <w:r w:rsidRPr="00286216">
              <w:rPr>
                <w:color w:val="000000" w:themeColor="text1"/>
                <w:spacing w:val="-5"/>
              </w:rPr>
              <w:t>пункт 51 розділу ІІІ (зміни до Закону України</w:t>
            </w:r>
            <w:r w:rsidRPr="00286216">
              <w:rPr>
                <w:color w:val="000000" w:themeColor="text1"/>
                <w:spacing w:val="-4"/>
              </w:rPr>
              <w:t xml:space="preserve"> "</w:t>
            </w:r>
            <w:r w:rsidRPr="00286216">
              <w:rPr>
                <w:color w:val="000000" w:themeColor="text1"/>
              </w:rPr>
              <w:t>Про ринок електричної енергії"</w:t>
            </w:r>
            <w:r w:rsidRPr="00286216">
              <w:rPr>
                <w:color w:val="000000" w:themeColor="text1"/>
                <w:spacing w:val="-4"/>
              </w:rPr>
              <w:t>) виключити</w:t>
            </w:r>
          </w:p>
        </w:tc>
        <w:tc>
          <w:tcPr>
            <w:tcW w:w="1987" w:type="dxa"/>
          </w:tcPr>
          <w:p w14:paraId="3B296EEE" w14:textId="77777777" w:rsidR="00DE3AAF" w:rsidRPr="00286216" w:rsidRDefault="00DE3AAF" w:rsidP="00DE3AAF">
            <w:pPr>
              <w:pStyle w:val="StyleWisnow"/>
              <w:spacing w:line="180" w:lineRule="exact"/>
              <w:rPr>
                <w:color w:val="000000" w:themeColor="text1"/>
              </w:rPr>
            </w:pPr>
            <w:r w:rsidRPr="00286216">
              <w:rPr>
                <w:color w:val="000000" w:themeColor="text1"/>
              </w:rPr>
              <w:t>Відхилено</w:t>
            </w:r>
          </w:p>
          <w:p w14:paraId="4A38F737" w14:textId="16A6A656" w:rsidR="00DE3AAF" w:rsidRPr="00286216" w:rsidRDefault="00DE3AAF" w:rsidP="00DE3AAF">
            <w:pPr>
              <w:pStyle w:val="StyleWisnow"/>
              <w:rPr>
                <w:color w:val="000000" w:themeColor="text1"/>
              </w:rPr>
            </w:pPr>
            <w:r w:rsidRPr="00286216">
              <w:rPr>
                <w:color w:val="000000" w:themeColor="text1"/>
              </w:rPr>
              <w:t>Закон потребує змін</w:t>
            </w:r>
          </w:p>
        </w:tc>
        <w:tc>
          <w:tcPr>
            <w:tcW w:w="4818" w:type="dxa"/>
          </w:tcPr>
          <w:p w14:paraId="0670D06D" w14:textId="2EBC27F0" w:rsidR="00DE3AAF" w:rsidRPr="00286216" w:rsidRDefault="00DE3AAF" w:rsidP="00DE3AAF">
            <w:pPr>
              <w:pStyle w:val="StyleZakonu"/>
              <w:rPr>
                <w:color w:val="000000" w:themeColor="text1"/>
              </w:rPr>
            </w:pPr>
            <w:r w:rsidRPr="00286216">
              <w:rPr>
                <w:color w:val="000000" w:themeColor="text1"/>
                <w:lang w:val="ru-RU"/>
              </w:rPr>
              <w:t>49</w:t>
            </w:r>
            <w:r w:rsidRPr="00286216">
              <w:rPr>
                <w:color w:val="000000" w:themeColor="text1"/>
              </w:rPr>
              <w:t>. У Законі України "Про ринок електричної енергії" (Відомості Верховної Ради України, 2017 р., № 27-28, ст. 312 із наступними змінами):</w:t>
            </w:r>
          </w:p>
        </w:tc>
      </w:tr>
      <w:tr w:rsidR="00DE3AAF" w:rsidRPr="00286216" w14:paraId="7D4BF8C5" w14:textId="77777777" w:rsidTr="00091AA5">
        <w:tc>
          <w:tcPr>
            <w:tcW w:w="576" w:type="dxa"/>
          </w:tcPr>
          <w:p w14:paraId="4BEFE141" w14:textId="77777777" w:rsidR="00DE3AAF" w:rsidRPr="00286216" w:rsidRDefault="00DE3AAF" w:rsidP="00DE3AAF">
            <w:pPr>
              <w:pStyle w:val="StyleWisnow"/>
              <w:rPr>
                <w:color w:val="000000" w:themeColor="text1"/>
              </w:rPr>
            </w:pPr>
            <w:bookmarkStart w:id="3748" w:name="n3878" w:colFirst="0" w:colLast="0"/>
            <w:bookmarkEnd w:id="3746"/>
            <w:r w:rsidRPr="00286216">
              <w:rPr>
                <w:color w:val="000000" w:themeColor="text1"/>
              </w:rPr>
              <w:t>3878.</w:t>
            </w:r>
          </w:p>
        </w:tc>
        <w:tc>
          <w:tcPr>
            <w:tcW w:w="4818" w:type="dxa"/>
          </w:tcPr>
          <w:p w14:paraId="4CA16336" w14:textId="77777777" w:rsidR="00DE3AAF" w:rsidRPr="00286216" w:rsidRDefault="00DE3AAF" w:rsidP="00DE3AAF">
            <w:pPr>
              <w:pStyle w:val="StyleZakonu"/>
              <w:rPr>
                <w:color w:val="000000" w:themeColor="text1"/>
              </w:rPr>
            </w:pPr>
            <w:r w:rsidRPr="00286216">
              <w:rPr>
                <w:color w:val="000000" w:themeColor="text1"/>
              </w:rPr>
              <w:t>1) пункт 37 частини першої статті 1 викласти у наступній редакції:</w:t>
            </w:r>
          </w:p>
        </w:tc>
        <w:tc>
          <w:tcPr>
            <w:tcW w:w="3686" w:type="dxa"/>
          </w:tcPr>
          <w:p w14:paraId="5B4AA917" w14:textId="76117FA9" w:rsidR="00DE3AAF" w:rsidRPr="00286216" w:rsidRDefault="00DE3AAF" w:rsidP="00DE3AAF">
            <w:pPr>
              <w:spacing w:line="200" w:lineRule="exact"/>
              <w:ind w:firstLine="227"/>
              <w:jc w:val="both"/>
              <w:rPr>
                <w:color w:val="000000" w:themeColor="text1"/>
                <w:sz w:val="18"/>
              </w:rPr>
            </w:pPr>
          </w:p>
        </w:tc>
        <w:tc>
          <w:tcPr>
            <w:tcW w:w="1987" w:type="dxa"/>
          </w:tcPr>
          <w:p w14:paraId="5A45D0F6" w14:textId="0ED85052" w:rsidR="00DE3AAF" w:rsidRPr="00286216" w:rsidRDefault="00DE3AAF" w:rsidP="00DE3AAF">
            <w:pPr>
              <w:pStyle w:val="StyleWisnow"/>
              <w:rPr>
                <w:color w:val="000000" w:themeColor="text1"/>
              </w:rPr>
            </w:pPr>
          </w:p>
        </w:tc>
        <w:tc>
          <w:tcPr>
            <w:tcW w:w="4818" w:type="dxa"/>
          </w:tcPr>
          <w:p w14:paraId="436E6600" w14:textId="6C390287" w:rsidR="00DE3AAF" w:rsidRPr="00286216" w:rsidRDefault="00DE3AAF" w:rsidP="00DE3AAF">
            <w:pPr>
              <w:spacing w:line="200" w:lineRule="exact"/>
              <w:ind w:firstLine="227"/>
              <w:jc w:val="both"/>
              <w:rPr>
                <w:color w:val="000000" w:themeColor="text1"/>
                <w:sz w:val="18"/>
              </w:rPr>
            </w:pPr>
            <w:r w:rsidRPr="00286216">
              <w:rPr>
                <w:color w:val="000000" w:themeColor="text1"/>
              </w:rPr>
              <w:t>1) пункт 37 частини першої статті 1 викласти в такій редакції:</w:t>
            </w:r>
          </w:p>
        </w:tc>
      </w:tr>
      <w:tr w:rsidR="00DE3AAF" w:rsidRPr="00286216" w14:paraId="22CDD27E" w14:textId="77777777" w:rsidTr="00091AA5">
        <w:tc>
          <w:tcPr>
            <w:tcW w:w="576" w:type="dxa"/>
          </w:tcPr>
          <w:p w14:paraId="6693978C" w14:textId="77777777" w:rsidR="00DE3AAF" w:rsidRPr="00286216" w:rsidRDefault="00DE3AAF" w:rsidP="00DE3AAF">
            <w:pPr>
              <w:pStyle w:val="StyleWisnow"/>
              <w:rPr>
                <w:color w:val="000000" w:themeColor="text1"/>
              </w:rPr>
            </w:pPr>
            <w:bookmarkStart w:id="3749" w:name="n3879" w:colFirst="0" w:colLast="0"/>
            <w:bookmarkEnd w:id="3748"/>
            <w:r w:rsidRPr="00286216">
              <w:rPr>
                <w:color w:val="000000" w:themeColor="text1"/>
              </w:rPr>
              <w:t>3879.</w:t>
            </w:r>
          </w:p>
        </w:tc>
        <w:tc>
          <w:tcPr>
            <w:tcW w:w="4818" w:type="dxa"/>
          </w:tcPr>
          <w:p w14:paraId="4729CAF9" w14:textId="77777777" w:rsidR="00DE3AAF" w:rsidRPr="00286216" w:rsidRDefault="00DE3AAF" w:rsidP="00DE3AAF">
            <w:pPr>
              <w:pStyle w:val="StyleZakonu"/>
              <w:rPr>
                <w:color w:val="000000" w:themeColor="text1"/>
              </w:rPr>
            </w:pPr>
            <w:r w:rsidRPr="00286216">
              <w:rPr>
                <w:color w:val="000000" w:themeColor="text1"/>
              </w:rPr>
              <w:t>"37) кліринг на ринку електричної енергії - процес визначення взаємних фінансових вимог та зобов’язань учасників ринку за договорами купівлі-продажу електричної енергії і послуг, що надаються на ринку електричної енергії, у тому числі шляхом неттінгу, та забезпечення функціонування системи управління ризиками та гарантій з виконання таких зобов’язань, та який здійснюється на підставі ліцензії на провадження клірингової діяльності, що видається відповідно до Закону України "Про ринки капіталу та організовані товарні ринки";</w:t>
            </w:r>
          </w:p>
        </w:tc>
        <w:tc>
          <w:tcPr>
            <w:tcW w:w="3686" w:type="dxa"/>
          </w:tcPr>
          <w:p w14:paraId="6E9AE064" w14:textId="6A20F88F" w:rsidR="00DE3AAF" w:rsidRPr="00286216" w:rsidRDefault="00DE3AAF" w:rsidP="00DE3AAF">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1525</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469F5BB5" w14:textId="77777777" w:rsidR="00DE3AAF" w:rsidRPr="00286216" w:rsidRDefault="00DE3AAF" w:rsidP="00DE3AAF">
            <w:pPr>
              <w:pStyle w:val="StyleAwt"/>
              <w:rPr>
                <w:color w:val="000000" w:themeColor="text1"/>
                <w:spacing w:val="-10"/>
              </w:rPr>
            </w:pPr>
            <w:r w:rsidRPr="00286216">
              <w:rPr>
                <w:color w:val="000000" w:themeColor="text1"/>
                <w:spacing w:val="-10"/>
              </w:rPr>
              <w:t xml:space="preserve">          Н.д.Гетманцев Д.О.(Реєстр.картка №245)</w:t>
            </w:r>
          </w:p>
          <w:p w14:paraId="6A8E0080" w14:textId="77777777" w:rsidR="00DE3AAF" w:rsidRPr="00286216" w:rsidRDefault="00DE3AAF" w:rsidP="00DE3AAF">
            <w:pPr>
              <w:pStyle w:val="StyleProp"/>
              <w:spacing w:line="190" w:lineRule="exact"/>
              <w:rPr>
                <w:color w:val="000000" w:themeColor="text1"/>
              </w:rPr>
            </w:pPr>
            <w:r w:rsidRPr="00286216">
              <w:rPr>
                <w:color w:val="000000" w:themeColor="text1"/>
              </w:rPr>
              <w:t>абзац третій підпункту 1 пункту 51 розділу ІІІ викласти у такій редакції:</w:t>
            </w:r>
          </w:p>
          <w:p w14:paraId="2C0C33AA" w14:textId="64B60EDB" w:rsidR="00DE3AAF" w:rsidRPr="00286216" w:rsidRDefault="00DE3AAF" w:rsidP="00DE3AAF">
            <w:pPr>
              <w:pStyle w:val="StyleProp"/>
              <w:spacing w:line="190" w:lineRule="exact"/>
              <w:rPr>
                <w:color w:val="000000" w:themeColor="text1"/>
              </w:rPr>
            </w:pPr>
            <w:r w:rsidRPr="00286216">
              <w:rPr>
                <w:color w:val="000000" w:themeColor="text1"/>
              </w:rPr>
              <w:t>«37) розрахунки на ринку електричної енергії – процес виконання взаємних фінансових вимог та зобов’язань учасників ринку за договорами купівлі-продажу електричної енергії і послуг, що надаються на ринку електричної енергії, у тому числі шляхом неттінгу та за рахунок відповідних фінансових гарантій»;</w:t>
            </w:r>
            <w:r w:rsidRPr="00286216" w:rsidDel="0049202D">
              <w:rPr>
                <w:b/>
                <w:i/>
                <w:color w:val="000000" w:themeColor="text1"/>
                <w:spacing w:val="-6"/>
                <w:u w:val="single"/>
              </w:rPr>
              <w:t xml:space="preserve"> </w:t>
            </w:r>
          </w:p>
        </w:tc>
        <w:tc>
          <w:tcPr>
            <w:tcW w:w="1987" w:type="dxa"/>
          </w:tcPr>
          <w:p w14:paraId="41D30A69" w14:textId="3764D807" w:rsidR="00DE3AAF" w:rsidRPr="00286216" w:rsidRDefault="00DE3AAF" w:rsidP="00DE3AAF">
            <w:pPr>
              <w:pStyle w:val="StyleWisnow"/>
              <w:rPr>
                <w:color w:val="000000" w:themeColor="text1"/>
              </w:rPr>
            </w:pPr>
            <w:r w:rsidRPr="00286216">
              <w:rPr>
                <w:color w:val="000000" w:themeColor="text1"/>
              </w:rPr>
              <w:t>Враховано</w:t>
            </w:r>
          </w:p>
        </w:tc>
        <w:tc>
          <w:tcPr>
            <w:tcW w:w="4818" w:type="dxa"/>
          </w:tcPr>
          <w:p w14:paraId="58432420" w14:textId="6D75D09E" w:rsidR="00DE3AAF" w:rsidRPr="00286216" w:rsidRDefault="00DE3AAF" w:rsidP="00DE3AAF">
            <w:pPr>
              <w:pStyle w:val="StyleZakonu"/>
              <w:rPr>
                <w:color w:val="000000" w:themeColor="text1"/>
              </w:rPr>
            </w:pPr>
            <w:r w:rsidRPr="00286216">
              <w:rPr>
                <w:color w:val="000000" w:themeColor="text1"/>
              </w:rPr>
              <w:t>"37) розрахунки на ринку електричної енергії – процес виконання взаємних фінансових вимог та зобов’язань учасників ринку за договорами купівлі-продажу електричної енергії і послуг, що надаються на ринку електричної енергії, у тому числі шляхом неттінгу та за рахунок відповідних фінансових гарантій";</w:t>
            </w:r>
          </w:p>
        </w:tc>
      </w:tr>
      <w:tr w:rsidR="00DE3AAF" w:rsidRPr="00286216" w14:paraId="7C836853" w14:textId="77777777" w:rsidTr="00091AA5">
        <w:tc>
          <w:tcPr>
            <w:tcW w:w="576" w:type="dxa"/>
          </w:tcPr>
          <w:p w14:paraId="4D10F0B5" w14:textId="77777777" w:rsidR="00DE3AAF" w:rsidRPr="00286216" w:rsidRDefault="00DE3AAF" w:rsidP="00DE3AAF">
            <w:pPr>
              <w:pStyle w:val="StyleWisnow"/>
              <w:rPr>
                <w:color w:val="000000" w:themeColor="text1"/>
              </w:rPr>
            </w:pPr>
            <w:bookmarkStart w:id="3750" w:name="n3880" w:colFirst="0" w:colLast="0"/>
            <w:bookmarkEnd w:id="3749"/>
            <w:r w:rsidRPr="00286216">
              <w:rPr>
                <w:color w:val="000000" w:themeColor="text1"/>
              </w:rPr>
              <w:t>3880.</w:t>
            </w:r>
          </w:p>
        </w:tc>
        <w:tc>
          <w:tcPr>
            <w:tcW w:w="4818" w:type="dxa"/>
          </w:tcPr>
          <w:p w14:paraId="1DEF2DCB" w14:textId="77777777" w:rsidR="00DE3AAF" w:rsidRPr="00286216" w:rsidRDefault="00DE3AAF" w:rsidP="00DE3AAF">
            <w:pPr>
              <w:pStyle w:val="StyleZakonu"/>
              <w:rPr>
                <w:color w:val="000000" w:themeColor="text1"/>
              </w:rPr>
            </w:pPr>
            <w:bookmarkStart w:id="3751" w:name="_Ref18410068"/>
            <w:r w:rsidRPr="00286216">
              <w:rPr>
                <w:color w:val="000000" w:themeColor="text1"/>
              </w:rPr>
              <w:t>2) у статті 51:</w:t>
            </w:r>
            <w:bookmarkEnd w:id="3751"/>
          </w:p>
        </w:tc>
        <w:tc>
          <w:tcPr>
            <w:tcW w:w="3686" w:type="dxa"/>
          </w:tcPr>
          <w:p w14:paraId="1612B04E" w14:textId="422EC284" w:rsidR="00DE3AAF" w:rsidRPr="00286216" w:rsidRDefault="00DE3AAF" w:rsidP="00DE3AAF">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1526</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66025CBA" w14:textId="77777777" w:rsidR="00DE3AAF" w:rsidRPr="00286216" w:rsidRDefault="00DE3AAF" w:rsidP="00DE3AAF">
            <w:pPr>
              <w:pStyle w:val="StyleProp"/>
              <w:rPr>
                <w:color w:val="000000" w:themeColor="text1"/>
              </w:rPr>
            </w:pPr>
            <w:r w:rsidRPr="00286216">
              <w:rPr>
                <w:color w:val="000000" w:themeColor="text1"/>
              </w:rPr>
              <w:t>"Стаття 1. Визначення термінів</w:t>
            </w:r>
          </w:p>
          <w:p w14:paraId="03AC34D9" w14:textId="77777777" w:rsidR="00DE3AAF" w:rsidRPr="00286216" w:rsidRDefault="00DE3AAF" w:rsidP="00CF4212">
            <w:pPr>
              <w:pStyle w:val="StyleProp"/>
              <w:spacing w:line="180" w:lineRule="exact"/>
              <w:rPr>
                <w:color w:val="000000" w:themeColor="text1"/>
              </w:rPr>
            </w:pPr>
            <w:r w:rsidRPr="00286216">
              <w:rPr>
                <w:color w:val="000000" w:themeColor="text1"/>
              </w:rPr>
              <w:t xml:space="preserve">1. У цьому Законі наведені нижче терміни </w:t>
            </w:r>
            <w:r w:rsidRPr="00286216">
              <w:rPr>
                <w:color w:val="000000" w:themeColor="text1"/>
              </w:rPr>
              <w:lastRenderedPageBreak/>
              <w:t>вживаються в такому значенні:</w:t>
            </w:r>
          </w:p>
          <w:p w14:paraId="7BBC76A5" w14:textId="029CA6CC" w:rsidR="00DE3AAF" w:rsidRPr="00286216" w:rsidRDefault="00DE3AAF" w:rsidP="00CF4212">
            <w:pPr>
              <w:pStyle w:val="StyleProp"/>
              <w:spacing w:line="180" w:lineRule="exact"/>
              <w:rPr>
                <w:color w:val="000000" w:themeColor="text1"/>
              </w:rPr>
            </w:pPr>
            <w:r w:rsidRPr="00286216">
              <w:rPr>
                <w:color w:val="000000" w:themeColor="text1"/>
              </w:rPr>
              <w:t>37) кліринг на ринку електричної енергії – процес визначення взаємних фінансових вимог та зобов’язань учасників ринку за договорами купівлі-продажу електричної енергії і послуг, що надаються на ринку електричної енергії, у тому числі шляхом неттінгу, та забезпечення функціонування системи управління ризиками та гарантій з виконання таких зобов’язань,  та здійснюється на підставі ліцензії на провадження клірингової діяльності, що видається відповідно до Закону України «Про ринки капіталу та організовані товарні ринки»</w:t>
            </w:r>
          </w:p>
        </w:tc>
        <w:tc>
          <w:tcPr>
            <w:tcW w:w="1987" w:type="dxa"/>
          </w:tcPr>
          <w:p w14:paraId="4EB7886C" w14:textId="77777777" w:rsidR="00DE3AAF" w:rsidRPr="00286216" w:rsidRDefault="00DE3AAF" w:rsidP="00DE3AAF">
            <w:pPr>
              <w:pStyle w:val="StyleWisnow"/>
              <w:rPr>
                <w:color w:val="000000" w:themeColor="text1"/>
              </w:rPr>
            </w:pPr>
            <w:r w:rsidRPr="00286216">
              <w:rPr>
                <w:color w:val="000000" w:themeColor="text1"/>
              </w:rPr>
              <w:lastRenderedPageBreak/>
              <w:t>Відхилено</w:t>
            </w:r>
          </w:p>
          <w:p w14:paraId="08209719" w14:textId="71F971EE" w:rsidR="00DE3AAF" w:rsidRPr="00286216" w:rsidRDefault="00DE3AAF" w:rsidP="00DE3AAF">
            <w:pPr>
              <w:pStyle w:val="StyleWisnow"/>
              <w:spacing w:line="180" w:lineRule="exact"/>
              <w:rPr>
                <w:color w:val="000000" w:themeColor="text1"/>
              </w:rPr>
            </w:pPr>
            <w:r w:rsidRPr="00286216">
              <w:rPr>
                <w:color w:val="000000" w:themeColor="text1"/>
              </w:rPr>
              <w:t xml:space="preserve">визначення "кліринг" пропонується </w:t>
            </w:r>
            <w:r w:rsidRPr="00286216">
              <w:rPr>
                <w:color w:val="000000" w:themeColor="text1"/>
              </w:rPr>
              <w:lastRenderedPageBreak/>
              <w:t>виключити з Закону України "Про ринок електричної енергії"</w:t>
            </w:r>
          </w:p>
        </w:tc>
        <w:tc>
          <w:tcPr>
            <w:tcW w:w="4818" w:type="dxa"/>
          </w:tcPr>
          <w:p w14:paraId="655156FF" w14:textId="77777777" w:rsidR="00DE3AAF" w:rsidRPr="00286216" w:rsidRDefault="00DE3AAF" w:rsidP="00DE3AAF">
            <w:pPr>
              <w:pStyle w:val="StyleZakonu"/>
              <w:rPr>
                <w:color w:val="000000" w:themeColor="text1"/>
              </w:rPr>
            </w:pPr>
          </w:p>
        </w:tc>
      </w:tr>
      <w:tr w:rsidR="00DE3AAF" w:rsidRPr="00286216" w14:paraId="6B800B1D" w14:textId="77777777" w:rsidTr="00091AA5">
        <w:tc>
          <w:tcPr>
            <w:tcW w:w="576" w:type="dxa"/>
          </w:tcPr>
          <w:p w14:paraId="58462360" w14:textId="77777777" w:rsidR="00DE3AAF" w:rsidRPr="00286216" w:rsidRDefault="00DE3AAF" w:rsidP="00DE3AAF">
            <w:pPr>
              <w:pStyle w:val="StyleWisnow"/>
              <w:rPr>
                <w:color w:val="000000" w:themeColor="text1"/>
              </w:rPr>
            </w:pPr>
            <w:bookmarkStart w:id="3752" w:name="n3881" w:colFirst="0" w:colLast="0"/>
            <w:bookmarkEnd w:id="3750"/>
            <w:r w:rsidRPr="00286216">
              <w:rPr>
                <w:color w:val="000000" w:themeColor="text1"/>
              </w:rPr>
              <w:t>3881.</w:t>
            </w:r>
          </w:p>
        </w:tc>
        <w:tc>
          <w:tcPr>
            <w:tcW w:w="4818" w:type="dxa"/>
          </w:tcPr>
          <w:p w14:paraId="15C7F105" w14:textId="77777777" w:rsidR="00DE3AAF" w:rsidRPr="00286216" w:rsidRDefault="00DE3AAF" w:rsidP="00DE3AAF">
            <w:pPr>
              <w:pStyle w:val="StyleZakonu"/>
              <w:rPr>
                <w:color w:val="000000" w:themeColor="text1"/>
              </w:rPr>
            </w:pPr>
            <w:bookmarkStart w:id="3753" w:name="_Ref18410077"/>
            <w:r w:rsidRPr="00286216">
              <w:rPr>
                <w:color w:val="000000" w:themeColor="text1"/>
              </w:rPr>
              <w:t>а) частину першу доповнити словами та знаками ", що видається Регулятором відповідно до цього Закону та ліцензії на провадження діяльності з організації торгівлі продукцією на регульованих товарних ринках, що видається відповідно до Закону України "Про ринки капіталу та організовані товарні ринки";</w:t>
            </w:r>
            <w:bookmarkEnd w:id="3753"/>
          </w:p>
        </w:tc>
        <w:tc>
          <w:tcPr>
            <w:tcW w:w="3686" w:type="dxa"/>
          </w:tcPr>
          <w:p w14:paraId="327609CF" w14:textId="0A5FEF74" w:rsidR="00DE3AAF" w:rsidRPr="00286216" w:rsidRDefault="00DE3AAF" w:rsidP="00DE3AAF">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1527</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75631E7E" w14:textId="77777777" w:rsidR="00DE3AAF" w:rsidRPr="00286216" w:rsidRDefault="00DE3AAF" w:rsidP="00DE3AAF">
            <w:pPr>
              <w:pStyle w:val="StyleAwt"/>
              <w:rPr>
                <w:color w:val="000000" w:themeColor="text1"/>
                <w:spacing w:val="-10"/>
              </w:rPr>
            </w:pPr>
            <w:r w:rsidRPr="00286216">
              <w:rPr>
                <w:color w:val="000000" w:themeColor="text1"/>
                <w:spacing w:val="-10"/>
              </w:rPr>
              <w:t xml:space="preserve">          Н.д.Гетманцев Д.О.(Реєстр.картка №245)</w:t>
            </w:r>
          </w:p>
          <w:p w14:paraId="7695AEDF"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У пункті 51 Розділу 3, яким вносяться зміни до Закону України «Про ринок електричної енергії» підпункт 2 викласти в такій редакції:</w:t>
            </w:r>
          </w:p>
          <w:p w14:paraId="67629ED0"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«2) у статті 51:</w:t>
            </w:r>
          </w:p>
          <w:p w14:paraId="4D7390DD"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у частині другій слова «або клірингову установу» виключити;</w:t>
            </w:r>
          </w:p>
          <w:p w14:paraId="65895F6D"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у пункті 5 частини третьої слова та знаки «, зокрема шляхом запровадження клірингу» виключити».</w:t>
            </w:r>
          </w:p>
        </w:tc>
        <w:tc>
          <w:tcPr>
            <w:tcW w:w="1987" w:type="dxa"/>
          </w:tcPr>
          <w:p w14:paraId="621EBD13" w14:textId="77777777" w:rsidR="00DE3AAF" w:rsidRPr="00286216" w:rsidRDefault="00DE3AAF" w:rsidP="00DE3AAF">
            <w:pPr>
              <w:pStyle w:val="StyleWisnow"/>
              <w:rPr>
                <w:color w:val="000000" w:themeColor="text1"/>
              </w:rPr>
            </w:pPr>
            <w:r w:rsidRPr="00286216">
              <w:rPr>
                <w:color w:val="000000" w:themeColor="text1"/>
              </w:rPr>
              <w:t>Враховано</w:t>
            </w:r>
          </w:p>
          <w:p w14:paraId="504871FF" w14:textId="77777777" w:rsidR="00DE3AAF" w:rsidRPr="00286216" w:rsidRDefault="00DE3AAF" w:rsidP="00DE3AAF">
            <w:pPr>
              <w:pStyle w:val="StyleWisnow"/>
              <w:rPr>
                <w:color w:val="000000" w:themeColor="text1"/>
              </w:rPr>
            </w:pPr>
          </w:p>
        </w:tc>
        <w:tc>
          <w:tcPr>
            <w:tcW w:w="4818" w:type="dxa"/>
          </w:tcPr>
          <w:p w14:paraId="033845A9" w14:textId="77777777" w:rsidR="00DE3AAF" w:rsidRPr="00286216" w:rsidRDefault="00DE3AAF" w:rsidP="00DE3AAF">
            <w:pPr>
              <w:pStyle w:val="StyleZakonu"/>
              <w:rPr>
                <w:color w:val="000000" w:themeColor="text1"/>
              </w:rPr>
            </w:pPr>
            <w:r w:rsidRPr="00286216">
              <w:rPr>
                <w:color w:val="000000" w:themeColor="text1"/>
              </w:rPr>
              <w:t>2) у статті 51:</w:t>
            </w:r>
          </w:p>
          <w:p w14:paraId="20D525E2" w14:textId="77777777" w:rsidR="00DE3AAF" w:rsidRPr="00286216" w:rsidRDefault="00DE3AAF" w:rsidP="00DE3AAF">
            <w:pPr>
              <w:pStyle w:val="StyleZakonu"/>
              <w:rPr>
                <w:color w:val="000000" w:themeColor="text1"/>
              </w:rPr>
            </w:pPr>
            <w:r w:rsidRPr="00286216">
              <w:rPr>
                <w:color w:val="000000" w:themeColor="text1"/>
              </w:rPr>
              <w:t>у частині другій слова «або клірингову установу» виключити;</w:t>
            </w:r>
          </w:p>
          <w:p w14:paraId="1FAA8369" w14:textId="2C1B1F81" w:rsidR="00DE3AAF" w:rsidRPr="00286216" w:rsidRDefault="00DE3AAF" w:rsidP="00DE3AAF">
            <w:pPr>
              <w:pStyle w:val="StyleZakonu"/>
              <w:rPr>
                <w:color w:val="000000" w:themeColor="text1"/>
              </w:rPr>
            </w:pPr>
            <w:r w:rsidRPr="00286216">
              <w:rPr>
                <w:color w:val="000000" w:themeColor="text1"/>
              </w:rPr>
              <w:t>у пункті 5 частини третьої слова  "зокрема шляхом запровадження клірингу" виключити;</w:t>
            </w:r>
          </w:p>
        </w:tc>
      </w:tr>
      <w:tr w:rsidR="00DE3AAF" w:rsidRPr="00286216" w14:paraId="75FA06BF" w14:textId="77777777" w:rsidTr="00091AA5">
        <w:tc>
          <w:tcPr>
            <w:tcW w:w="576" w:type="dxa"/>
          </w:tcPr>
          <w:p w14:paraId="2A374BAD" w14:textId="77777777" w:rsidR="00DE3AAF" w:rsidRPr="00286216" w:rsidRDefault="00DE3AAF" w:rsidP="00DE3AAF">
            <w:pPr>
              <w:pStyle w:val="StyleWisnow"/>
              <w:rPr>
                <w:color w:val="000000" w:themeColor="text1"/>
              </w:rPr>
            </w:pPr>
            <w:bookmarkStart w:id="3754" w:name="n3882" w:colFirst="0" w:colLast="0"/>
            <w:bookmarkEnd w:id="3752"/>
            <w:r w:rsidRPr="00286216">
              <w:rPr>
                <w:color w:val="000000" w:themeColor="text1"/>
              </w:rPr>
              <w:t>3882.</w:t>
            </w:r>
          </w:p>
        </w:tc>
        <w:tc>
          <w:tcPr>
            <w:tcW w:w="4818" w:type="dxa"/>
          </w:tcPr>
          <w:p w14:paraId="265EF44E" w14:textId="77777777" w:rsidR="00DE3AAF" w:rsidRPr="00286216" w:rsidRDefault="00DE3AAF" w:rsidP="00DE3AAF">
            <w:pPr>
              <w:pStyle w:val="StyleZakonu"/>
              <w:rPr>
                <w:color w:val="000000" w:themeColor="text1"/>
              </w:rPr>
            </w:pPr>
            <w:r w:rsidRPr="00286216">
              <w:rPr>
                <w:color w:val="000000" w:themeColor="text1"/>
              </w:rPr>
              <w:t>б) пункт 3 частини третьої доповнити словами "за умови наявності ліцензії на провадження клірингової діяльності";</w:t>
            </w:r>
          </w:p>
        </w:tc>
        <w:tc>
          <w:tcPr>
            <w:tcW w:w="3686" w:type="dxa"/>
          </w:tcPr>
          <w:p w14:paraId="23CF209D" w14:textId="35888BFC" w:rsidR="00DE3AAF" w:rsidRPr="00286216" w:rsidRDefault="00DE3AAF" w:rsidP="00DE3AAF">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1528</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5C22FD6D" w14:textId="77777777" w:rsidR="00DE3AAF" w:rsidRPr="00286216" w:rsidRDefault="00DE3AAF" w:rsidP="00DE3AAF">
            <w:pPr>
              <w:pStyle w:val="StyleProp"/>
              <w:spacing w:line="180" w:lineRule="exact"/>
              <w:rPr>
                <w:color w:val="000000" w:themeColor="text1"/>
                <w:spacing w:val="-4"/>
              </w:rPr>
            </w:pPr>
            <w:r w:rsidRPr="00286216">
              <w:rPr>
                <w:color w:val="000000" w:themeColor="text1"/>
              </w:rPr>
              <w:t xml:space="preserve">Стаття 51. Оператор ринку електричної </w:t>
            </w:r>
            <w:r w:rsidRPr="00286216">
              <w:rPr>
                <w:color w:val="000000" w:themeColor="text1"/>
                <w:spacing w:val="-4"/>
              </w:rPr>
              <w:t>енергії</w:t>
            </w:r>
          </w:p>
          <w:p w14:paraId="456128FF" w14:textId="77777777" w:rsidR="00DE3AAF" w:rsidRPr="00286216" w:rsidRDefault="00DE3AAF" w:rsidP="00DE3AAF">
            <w:pPr>
              <w:pStyle w:val="StyleProp"/>
              <w:spacing w:line="180" w:lineRule="exact"/>
              <w:rPr>
                <w:color w:val="000000" w:themeColor="text1"/>
                <w:spacing w:val="-4"/>
              </w:rPr>
            </w:pPr>
            <w:r w:rsidRPr="00286216">
              <w:rPr>
                <w:color w:val="000000" w:themeColor="text1"/>
                <w:spacing w:val="-4"/>
              </w:rPr>
              <w:t>1. Оператор ринку забезпечує функціонування ринку "на добу наперед" та внутрішньодобового ринку, а також здійснює організацію купівлі-продажу електричної енергії для доби постачання на підставі ліцензії.</w:t>
            </w:r>
          </w:p>
          <w:p w14:paraId="1C74D6A6" w14:textId="77777777" w:rsidR="00DE3AAF" w:rsidRPr="00286216" w:rsidRDefault="00DE3AAF" w:rsidP="00DE3AAF">
            <w:pPr>
              <w:pStyle w:val="StyleProp"/>
              <w:spacing w:line="180" w:lineRule="exact"/>
              <w:rPr>
                <w:color w:val="000000" w:themeColor="text1"/>
                <w:spacing w:val="-4"/>
              </w:rPr>
            </w:pPr>
            <w:r w:rsidRPr="00286216">
              <w:rPr>
                <w:color w:val="000000" w:themeColor="text1"/>
                <w:spacing w:val="-4"/>
              </w:rPr>
              <w:t>3. Оператор ринку:</w:t>
            </w:r>
          </w:p>
          <w:p w14:paraId="495B7299" w14:textId="77777777" w:rsidR="00DE3AAF" w:rsidRPr="00286216" w:rsidRDefault="00DE3AAF" w:rsidP="00DE3AAF">
            <w:pPr>
              <w:pStyle w:val="StyleProp"/>
              <w:spacing w:line="180" w:lineRule="exact"/>
              <w:rPr>
                <w:color w:val="000000" w:themeColor="text1"/>
              </w:rPr>
            </w:pPr>
            <w:r w:rsidRPr="00286216">
              <w:rPr>
                <w:color w:val="000000" w:themeColor="text1"/>
                <w:spacing w:val="-4"/>
              </w:rPr>
              <w:t>1) забезпечує рівні умови участі на ринку "на добу наперед" та внутрішньодобовому</w:t>
            </w:r>
            <w:r w:rsidRPr="00286216">
              <w:rPr>
                <w:color w:val="000000" w:themeColor="text1"/>
              </w:rPr>
              <w:t xml:space="preserve"> ринку;</w:t>
            </w:r>
          </w:p>
        </w:tc>
        <w:tc>
          <w:tcPr>
            <w:tcW w:w="1987" w:type="dxa"/>
          </w:tcPr>
          <w:p w14:paraId="54483EAF" w14:textId="77777777" w:rsidR="00DE3AAF" w:rsidRPr="00286216" w:rsidRDefault="00DE3AAF" w:rsidP="00DE3AAF">
            <w:pPr>
              <w:pStyle w:val="StyleWisnow"/>
              <w:rPr>
                <w:color w:val="000000" w:themeColor="text1"/>
              </w:rPr>
            </w:pPr>
            <w:r w:rsidRPr="00286216">
              <w:rPr>
                <w:color w:val="000000" w:themeColor="text1"/>
              </w:rPr>
              <w:t xml:space="preserve"> Відхилено</w:t>
            </w:r>
          </w:p>
          <w:p w14:paraId="72999703" w14:textId="77777777" w:rsidR="00DE3AAF" w:rsidRPr="00286216" w:rsidRDefault="00DE3AAF" w:rsidP="00DE3AAF">
            <w:pPr>
              <w:pStyle w:val="StyleWisnow"/>
              <w:rPr>
                <w:color w:val="000000" w:themeColor="text1"/>
              </w:rPr>
            </w:pPr>
            <w:r w:rsidRPr="00286216">
              <w:rPr>
                <w:color w:val="000000" w:themeColor="text1"/>
              </w:rPr>
              <w:t>не є предметом цього законопроекту</w:t>
            </w:r>
          </w:p>
        </w:tc>
        <w:tc>
          <w:tcPr>
            <w:tcW w:w="4818" w:type="dxa"/>
          </w:tcPr>
          <w:p w14:paraId="09434D52" w14:textId="77777777" w:rsidR="00DE3AAF" w:rsidRPr="00286216" w:rsidRDefault="00DE3AAF" w:rsidP="00DE3AAF">
            <w:pPr>
              <w:pStyle w:val="StyleZakonu"/>
              <w:rPr>
                <w:color w:val="000000" w:themeColor="text1"/>
              </w:rPr>
            </w:pPr>
          </w:p>
        </w:tc>
      </w:tr>
      <w:tr w:rsidR="00DE3AAF" w:rsidRPr="00286216" w14:paraId="0CF3DDB0" w14:textId="77777777" w:rsidTr="00091AA5">
        <w:tc>
          <w:tcPr>
            <w:tcW w:w="576" w:type="dxa"/>
          </w:tcPr>
          <w:p w14:paraId="13E1C3ED" w14:textId="77777777" w:rsidR="00DE3AAF" w:rsidRPr="00286216" w:rsidRDefault="00DE3AAF" w:rsidP="00DE3AAF">
            <w:pPr>
              <w:pStyle w:val="StyleWisnow"/>
              <w:rPr>
                <w:color w:val="000000" w:themeColor="text1"/>
              </w:rPr>
            </w:pPr>
            <w:bookmarkStart w:id="3755" w:name="n3883" w:colFirst="0" w:colLast="0"/>
            <w:bookmarkEnd w:id="3754"/>
            <w:r w:rsidRPr="00286216">
              <w:rPr>
                <w:color w:val="000000" w:themeColor="text1"/>
              </w:rPr>
              <w:t>3883.</w:t>
            </w:r>
          </w:p>
        </w:tc>
        <w:tc>
          <w:tcPr>
            <w:tcW w:w="4818" w:type="dxa"/>
          </w:tcPr>
          <w:p w14:paraId="57261C5C" w14:textId="77777777" w:rsidR="00DE3AAF" w:rsidRPr="00286216" w:rsidRDefault="00DE3AAF" w:rsidP="00DE3AAF">
            <w:pPr>
              <w:pStyle w:val="StyleZakonu"/>
              <w:rPr>
                <w:color w:val="000000" w:themeColor="text1"/>
              </w:rPr>
            </w:pPr>
            <w:r w:rsidRPr="00286216">
              <w:rPr>
                <w:color w:val="000000" w:themeColor="text1"/>
              </w:rPr>
              <w:t>в) пункт 4 частини третьої після слів та знаків "на електричну енергію, " доповнити словами "а за умови наявності ліцензії на провадження клірингової діяльності також визначає".</w:t>
            </w:r>
          </w:p>
        </w:tc>
        <w:tc>
          <w:tcPr>
            <w:tcW w:w="3686" w:type="dxa"/>
          </w:tcPr>
          <w:p w14:paraId="6C1AD747" w14:textId="0C084EFC" w:rsidR="00DE3AAF" w:rsidRPr="00286216" w:rsidRDefault="00DE3AAF" w:rsidP="00DE3AAF">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1529</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0B5101DC" w14:textId="228AE099" w:rsidR="00DE3AAF" w:rsidRPr="00286216" w:rsidRDefault="00DE3AAF" w:rsidP="00CF4212">
            <w:pPr>
              <w:pStyle w:val="StyleProp"/>
              <w:spacing w:line="180" w:lineRule="exact"/>
              <w:rPr>
                <w:color w:val="000000" w:themeColor="text1"/>
              </w:rPr>
            </w:pPr>
            <w:r w:rsidRPr="00286216">
              <w:rPr>
                <w:color w:val="000000" w:themeColor="text1"/>
                <w:shd w:val="clear" w:color="auto" w:fill="FFFFFF"/>
              </w:rPr>
              <w:t>4) визначає за результатами торгів на ринку "на добу наперед" та внутрішньодобового ринку обсяги купівлі-продажу електричної енергії учасників ринку "на добу наперед" та внутрішньодобового ринку, ціни на електричну енергію,</w:t>
            </w:r>
            <w:r w:rsidRPr="00286216">
              <w:rPr>
                <w:color w:val="000000" w:themeColor="text1"/>
              </w:rPr>
              <w:t xml:space="preserve"> </w:t>
            </w:r>
            <w:r w:rsidRPr="00286216">
              <w:rPr>
                <w:color w:val="000000" w:themeColor="text1"/>
                <w:shd w:val="clear" w:color="auto" w:fill="FFFFFF"/>
              </w:rPr>
              <w:t>фінансові зобов'язання учасників торгів на ринку "на добу наперед" та внутрішньодобового ринку;</w:t>
            </w:r>
          </w:p>
        </w:tc>
        <w:tc>
          <w:tcPr>
            <w:tcW w:w="1987" w:type="dxa"/>
          </w:tcPr>
          <w:p w14:paraId="3DC1057A" w14:textId="77777777" w:rsidR="00DE3AAF" w:rsidRPr="00286216" w:rsidRDefault="00DE3AAF" w:rsidP="00DE3AAF">
            <w:pPr>
              <w:pStyle w:val="StyleWisnow"/>
              <w:rPr>
                <w:color w:val="000000" w:themeColor="text1"/>
              </w:rPr>
            </w:pPr>
            <w:r w:rsidRPr="00286216">
              <w:rPr>
                <w:color w:val="000000" w:themeColor="text1"/>
              </w:rPr>
              <w:t xml:space="preserve"> Відхилено</w:t>
            </w:r>
          </w:p>
          <w:p w14:paraId="30FBE7C5" w14:textId="77777777" w:rsidR="00DE3AAF" w:rsidRPr="00286216" w:rsidRDefault="00DE3AAF" w:rsidP="00DE3AAF">
            <w:pPr>
              <w:pStyle w:val="StyleWisnow"/>
              <w:rPr>
                <w:color w:val="000000" w:themeColor="text1"/>
              </w:rPr>
            </w:pPr>
            <w:r w:rsidRPr="00286216">
              <w:rPr>
                <w:color w:val="000000" w:themeColor="text1"/>
              </w:rPr>
              <w:t>не є предметом цього законопроекту</w:t>
            </w:r>
          </w:p>
        </w:tc>
        <w:tc>
          <w:tcPr>
            <w:tcW w:w="4818" w:type="dxa"/>
          </w:tcPr>
          <w:p w14:paraId="4AF75139" w14:textId="77777777" w:rsidR="00DE3AAF" w:rsidRPr="00286216" w:rsidRDefault="00DE3AAF" w:rsidP="00DE3AAF">
            <w:pPr>
              <w:pStyle w:val="StyleZakonu"/>
              <w:rPr>
                <w:color w:val="000000" w:themeColor="text1"/>
              </w:rPr>
            </w:pPr>
          </w:p>
        </w:tc>
      </w:tr>
      <w:bookmarkEnd w:id="3755"/>
      <w:tr w:rsidR="00DE3AAF" w:rsidRPr="00286216" w14:paraId="7D89F53E" w14:textId="77777777" w:rsidTr="00091AA5">
        <w:tc>
          <w:tcPr>
            <w:tcW w:w="576" w:type="dxa"/>
          </w:tcPr>
          <w:p w14:paraId="028C6496" w14:textId="77777777" w:rsidR="00DE3AAF" w:rsidRPr="00286216" w:rsidRDefault="00DE3AAF" w:rsidP="00DE3AAF">
            <w:pPr>
              <w:pStyle w:val="StyleWisnow"/>
              <w:rPr>
                <w:color w:val="000000" w:themeColor="text1"/>
              </w:rPr>
            </w:pPr>
          </w:p>
        </w:tc>
        <w:tc>
          <w:tcPr>
            <w:tcW w:w="4818" w:type="dxa"/>
          </w:tcPr>
          <w:p w14:paraId="5EFB7215" w14:textId="77777777" w:rsidR="00DE3AAF" w:rsidRPr="00286216" w:rsidRDefault="00DE3AAF" w:rsidP="00DE3AAF">
            <w:pPr>
              <w:pStyle w:val="StyleZakonu"/>
              <w:rPr>
                <w:color w:val="000000" w:themeColor="text1"/>
              </w:rPr>
            </w:pPr>
          </w:p>
        </w:tc>
        <w:tc>
          <w:tcPr>
            <w:tcW w:w="3686" w:type="dxa"/>
          </w:tcPr>
          <w:p w14:paraId="6F54742F" w14:textId="72174379" w:rsidR="00DE3AAF" w:rsidRPr="00286216" w:rsidRDefault="00DE3AAF" w:rsidP="00DE3AAF">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1530</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15FA16C7" w14:textId="77777777" w:rsidR="00DE3AAF" w:rsidRPr="00286216" w:rsidRDefault="00DE3AAF" w:rsidP="00DE3AAF">
            <w:pPr>
              <w:pStyle w:val="StyleAwt"/>
              <w:rPr>
                <w:color w:val="000000" w:themeColor="text1"/>
                <w:spacing w:val="-10"/>
              </w:rPr>
            </w:pPr>
            <w:r w:rsidRPr="00286216">
              <w:rPr>
                <w:color w:val="000000" w:themeColor="text1"/>
                <w:spacing w:val="-10"/>
              </w:rPr>
              <w:t xml:space="preserve">          Н.д.Гетманцев Д.О.(Реєстр.картка №245)</w:t>
            </w:r>
          </w:p>
          <w:p w14:paraId="364892C1"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пункт 51 Розділу 3, доповнити новим підпунктом такого змісту:</w:t>
            </w:r>
          </w:p>
          <w:p w14:paraId="1932D460"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t>«3) статтю 75 після частини восьмої доповнити новою частиною  наступного змісту:</w:t>
            </w:r>
          </w:p>
          <w:p w14:paraId="4E0A2DAF" w14:textId="77777777" w:rsidR="00DE3AAF" w:rsidRPr="00286216" w:rsidRDefault="00DE3AAF" w:rsidP="00CF4212">
            <w:pPr>
              <w:spacing w:line="180" w:lineRule="exact"/>
              <w:ind w:firstLine="227"/>
              <w:jc w:val="both"/>
              <w:rPr>
                <w:color w:val="000000" w:themeColor="text1"/>
                <w:sz w:val="18"/>
              </w:rPr>
            </w:pPr>
            <w:r w:rsidRPr="00286216">
              <w:rPr>
                <w:color w:val="000000" w:themeColor="text1"/>
                <w:sz w:val="18"/>
              </w:rPr>
              <w:lastRenderedPageBreak/>
              <w:t>«9. При здійсненні розрахунків на ринку електричної енергії може застосовуватися кліринг. Умови застосування клірингу затверджується Регулятором та включає, зокрема умови залучення клірингової установи.»</w:t>
            </w:r>
          </w:p>
        </w:tc>
        <w:tc>
          <w:tcPr>
            <w:tcW w:w="1987" w:type="dxa"/>
          </w:tcPr>
          <w:p w14:paraId="77875EFF" w14:textId="77777777" w:rsidR="00DE3AAF" w:rsidRPr="00286216" w:rsidRDefault="00DE3AAF" w:rsidP="00DE3AAF">
            <w:pPr>
              <w:pStyle w:val="StyleWisnow"/>
              <w:rPr>
                <w:color w:val="000000" w:themeColor="text1"/>
              </w:rPr>
            </w:pPr>
            <w:r w:rsidRPr="00286216">
              <w:rPr>
                <w:color w:val="000000" w:themeColor="text1"/>
              </w:rPr>
              <w:lastRenderedPageBreak/>
              <w:t>Враховано</w:t>
            </w:r>
          </w:p>
        </w:tc>
        <w:tc>
          <w:tcPr>
            <w:tcW w:w="4818" w:type="dxa"/>
          </w:tcPr>
          <w:p w14:paraId="01FAF92D" w14:textId="77777777" w:rsidR="00DE3AAF" w:rsidRPr="00286216" w:rsidRDefault="00DE3AAF" w:rsidP="00DE3AAF">
            <w:pPr>
              <w:pStyle w:val="StyleZakonu"/>
              <w:rPr>
                <w:color w:val="000000" w:themeColor="text1"/>
              </w:rPr>
            </w:pPr>
            <w:r w:rsidRPr="00286216">
              <w:rPr>
                <w:color w:val="000000" w:themeColor="text1"/>
              </w:rPr>
              <w:t>3) статтю 75 доповнити частиною девятою такого змісту:</w:t>
            </w:r>
          </w:p>
          <w:p w14:paraId="040CE3C0" w14:textId="1435D332" w:rsidR="00DE3AAF" w:rsidRPr="00286216" w:rsidRDefault="00DE3AAF" w:rsidP="00DE3AAF">
            <w:pPr>
              <w:pStyle w:val="StyleZakonu"/>
              <w:rPr>
                <w:color w:val="000000" w:themeColor="text1"/>
              </w:rPr>
            </w:pPr>
            <w:r w:rsidRPr="00286216">
              <w:rPr>
                <w:color w:val="000000" w:themeColor="text1"/>
              </w:rPr>
              <w:t xml:space="preserve">"9. При здійсненні розрахунків на ринку електричної енергії може застосовуватися кліринг. Порядок застосування клірингу затверджується Регулятором та включає, зокрема умови залучення </w:t>
            </w:r>
            <w:r w:rsidRPr="00286216">
              <w:rPr>
                <w:color w:val="000000" w:themeColor="text1"/>
              </w:rPr>
              <w:lastRenderedPageBreak/>
              <w:t>клірингової установи".</w:t>
            </w:r>
          </w:p>
        </w:tc>
      </w:tr>
      <w:tr w:rsidR="00DE3AAF" w:rsidRPr="00286216" w14:paraId="44ABBFA1" w14:textId="77777777" w:rsidTr="00091AA5">
        <w:tc>
          <w:tcPr>
            <w:tcW w:w="576" w:type="dxa"/>
          </w:tcPr>
          <w:p w14:paraId="30924A14" w14:textId="77777777" w:rsidR="00DE3AAF" w:rsidRPr="00286216" w:rsidRDefault="00DE3AAF" w:rsidP="00DE3AAF">
            <w:pPr>
              <w:pStyle w:val="StyleWisnow"/>
              <w:rPr>
                <w:color w:val="000000" w:themeColor="text1"/>
              </w:rPr>
            </w:pPr>
            <w:bookmarkStart w:id="3756" w:name="n3884" w:colFirst="0" w:colLast="0"/>
            <w:r w:rsidRPr="00286216">
              <w:rPr>
                <w:color w:val="000000" w:themeColor="text1"/>
              </w:rPr>
              <w:lastRenderedPageBreak/>
              <w:t>3884.</w:t>
            </w:r>
          </w:p>
        </w:tc>
        <w:tc>
          <w:tcPr>
            <w:tcW w:w="4818" w:type="dxa"/>
          </w:tcPr>
          <w:p w14:paraId="7730B329" w14:textId="77777777" w:rsidR="00DE3AAF" w:rsidRPr="00286216" w:rsidRDefault="00DE3AAF" w:rsidP="00DE3AAF">
            <w:pPr>
              <w:pStyle w:val="StyleZakonu"/>
              <w:rPr>
                <w:color w:val="000000" w:themeColor="text1"/>
              </w:rPr>
            </w:pPr>
            <w:r w:rsidRPr="00286216">
              <w:rPr>
                <w:color w:val="000000" w:themeColor="text1"/>
              </w:rPr>
              <w:t>52. У статтях 11, 36, та 40 Закону України "Про аудит фінансової звітності та аудиторську діяльність" (Відомості Верховної Ради України, 2018, № 9, ст. 50) слова "професійні учасники фондового ринку" в усіх відмінках замінити словами "професійні учасники ринків капіталу" у відповідному відмінку, а слова "до торгів на фондовій біржі" замінити словами "до торгів на регульованому фондовому ринку".</w:t>
            </w:r>
          </w:p>
        </w:tc>
        <w:tc>
          <w:tcPr>
            <w:tcW w:w="3686" w:type="dxa"/>
          </w:tcPr>
          <w:p w14:paraId="22561A31" w14:textId="77777777" w:rsidR="00DE3AAF" w:rsidRPr="00286216" w:rsidRDefault="00DE3AAF" w:rsidP="00DE3AAF">
            <w:pPr>
              <w:spacing w:line="200" w:lineRule="exact"/>
              <w:ind w:firstLine="227"/>
              <w:jc w:val="both"/>
              <w:rPr>
                <w:color w:val="000000" w:themeColor="text1"/>
                <w:sz w:val="18"/>
              </w:rPr>
            </w:pPr>
          </w:p>
        </w:tc>
        <w:tc>
          <w:tcPr>
            <w:tcW w:w="1987" w:type="dxa"/>
          </w:tcPr>
          <w:p w14:paraId="5C378BA9" w14:textId="77777777" w:rsidR="00DE3AAF" w:rsidRPr="00286216" w:rsidRDefault="00DE3AAF" w:rsidP="00DE3AAF">
            <w:pPr>
              <w:pStyle w:val="StyleWisnow"/>
              <w:rPr>
                <w:color w:val="000000" w:themeColor="text1"/>
              </w:rPr>
            </w:pPr>
          </w:p>
        </w:tc>
        <w:tc>
          <w:tcPr>
            <w:tcW w:w="4818" w:type="dxa"/>
          </w:tcPr>
          <w:p w14:paraId="59F5C5A2" w14:textId="79ED4730" w:rsidR="00DE3AAF" w:rsidRPr="00286216" w:rsidRDefault="00DE3AAF" w:rsidP="00DE3AAF">
            <w:pPr>
              <w:pStyle w:val="StyleZakonu"/>
              <w:rPr>
                <w:color w:val="000000" w:themeColor="text1"/>
              </w:rPr>
            </w:pPr>
            <w:r w:rsidRPr="00286216">
              <w:rPr>
                <w:color w:val="000000" w:themeColor="text1"/>
              </w:rPr>
              <w:t>50. У статтях 11, 36, та 40 Закону України "Про аудит фінансової звітності та аудиторську діяльність" (Відомості Верховної Ради України, 2018 р., № 9, ст. 50 із наступними змінами) слова "професійні учасники фондового ринку" в усіх відмінках замінити словами "професійні учасники ринків капіталу" у відповідному відмінку, а слова "до торгів на фондовій біржі" – словами "до торгів на регульованому фондовому ринку".</w:t>
            </w:r>
          </w:p>
        </w:tc>
      </w:tr>
      <w:tr w:rsidR="00DE3AAF" w:rsidRPr="00286216" w14:paraId="2B02AF22" w14:textId="77777777" w:rsidTr="00091AA5">
        <w:tc>
          <w:tcPr>
            <w:tcW w:w="576" w:type="dxa"/>
          </w:tcPr>
          <w:p w14:paraId="0BE34CEC" w14:textId="77777777" w:rsidR="00DE3AAF" w:rsidRPr="00286216" w:rsidRDefault="00DE3AAF" w:rsidP="00DE3AAF">
            <w:pPr>
              <w:pStyle w:val="StyleWisnow"/>
              <w:rPr>
                <w:color w:val="000000" w:themeColor="text1"/>
              </w:rPr>
            </w:pPr>
            <w:bookmarkStart w:id="3757" w:name="n3885" w:colFirst="0" w:colLast="0"/>
            <w:bookmarkEnd w:id="3756"/>
            <w:r w:rsidRPr="00286216">
              <w:rPr>
                <w:color w:val="000000" w:themeColor="text1"/>
              </w:rPr>
              <w:t>3885.</w:t>
            </w:r>
          </w:p>
        </w:tc>
        <w:tc>
          <w:tcPr>
            <w:tcW w:w="4818" w:type="dxa"/>
          </w:tcPr>
          <w:p w14:paraId="2A0AAD83" w14:textId="77777777" w:rsidR="00DE3AAF" w:rsidRPr="00286216" w:rsidRDefault="00DE3AAF" w:rsidP="00DE3AAF">
            <w:pPr>
              <w:pStyle w:val="StyleZakonu"/>
              <w:rPr>
                <w:color w:val="000000" w:themeColor="text1"/>
              </w:rPr>
            </w:pPr>
            <w:r w:rsidRPr="00286216">
              <w:rPr>
                <w:color w:val="000000" w:themeColor="text1"/>
              </w:rPr>
              <w:t>53. У абзаці другому частини тринадцятої статті 14 Закону України "Про приватизацію державного і комунального майна" (Відомості Верховної Ради України, 2018, № 12, ст. 68) слова "фондового ринку" замінити словами "ринків капіталу".</w:t>
            </w:r>
          </w:p>
        </w:tc>
        <w:tc>
          <w:tcPr>
            <w:tcW w:w="3686" w:type="dxa"/>
          </w:tcPr>
          <w:p w14:paraId="76AF41C5" w14:textId="77777777" w:rsidR="00DE3AAF" w:rsidRPr="00286216" w:rsidRDefault="00DE3AAF" w:rsidP="00DE3AAF">
            <w:pPr>
              <w:pStyle w:val="StyleProp"/>
              <w:rPr>
                <w:color w:val="000000" w:themeColor="text1"/>
                <w:szCs w:val="18"/>
              </w:rPr>
            </w:pPr>
          </w:p>
        </w:tc>
        <w:tc>
          <w:tcPr>
            <w:tcW w:w="1987" w:type="dxa"/>
          </w:tcPr>
          <w:p w14:paraId="3C7B11D6" w14:textId="77777777" w:rsidR="00DE3AAF" w:rsidRPr="00286216" w:rsidRDefault="00DE3AAF" w:rsidP="00DE3AAF">
            <w:pPr>
              <w:pStyle w:val="StyleWisnow"/>
              <w:rPr>
                <w:color w:val="000000" w:themeColor="text1"/>
              </w:rPr>
            </w:pPr>
          </w:p>
        </w:tc>
        <w:tc>
          <w:tcPr>
            <w:tcW w:w="4818" w:type="dxa"/>
          </w:tcPr>
          <w:p w14:paraId="58680E8A" w14:textId="51EEF788" w:rsidR="00DE3AAF" w:rsidRPr="00286216" w:rsidRDefault="00DE3AAF" w:rsidP="00DE3AAF">
            <w:pPr>
              <w:pStyle w:val="StyleZakonu"/>
              <w:rPr>
                <w:color w:val="000000" w:themeColor="text1"/>
              </w:rPr>
            </w:pPr>
            <w:r w:rsidRPr="00286216">
              <w:rPr>
                <w:color w:val="000000" w:themeColor="text1"/>
              </w:rPr>
              <w:t>51. В абзаці другому частини тринадцятої статті 14 Закону України "Про приватизацію державного і комунального майна" (Відомості Верховної Ради України, 2018р., № 12, ст. 68 із наступними змінами) слова "фондового ринку" замінити словами "ринків капіталу".</w:t>
            </w:r>
          </w:p>
        </w:tc>
      </w:tr>
      <w:tr w:rsidR="00DE3AAF" w:rsidRPr="00286216" w14:paraId="175BA8EF" w14:textId="77777777" w:rsidTr="00091AA5">
        <w:tc>
          <w:tcPr>
            <w:tcW w:w="576" w:type="dxa"/>
          </w:tcPr>
          <w:p w14:paraId="21056D84" w14:textId="77777777" w:rsidR="00DE3AAF" w:rsidRPr="00286216" w:rsidRDefault="00DE3AAF" w:rsidP="00DE3AAF">
            <w:pPr>
              <w:pStyle w:val="StyleWisnow"/>
              <w:rPr>
                <w:color w:val="000000" w:themeColor="text1"/>
              </w:rPr>
            </w:pPr>
            <w:bookmarkStart w:id="3758" w:name="n3886" w:colFirst="0" w:colLast="0"/>
            <w:bookmarkEnd w:id="3757"/>
            <w:r w:rsidRPr="00286216">
              <w:rPr>
                <w:color w:val="000000" w:themeColor="text1"/>
              </w:rPr>
              <w:t>3886.</w:t>
            </w:r>
          </w:p>
        </w:tc>
        <w:tc>
          <w:tcPr>
            <w:tcW w:w="4818" w:type="dxa"/>
          </w:tcPr>
          <w:p w14:paraId="68472356" w14:textId="77777777" w:rsidR="00DE3AAF" w:rsidRPr="00286216" w:rsidRDefault="00DE3AAF" w:rsidP="00DE3AAF">
            <w:pPr>
              <w:pStyle w:val="StyleZakonu"/>
              <w:rPr>
                <w:color w:val="000000" w:themeColor="text1"/>
              </w:rPr>
            </w:pPr>
            <w:r w:rsidRPr="00286216">
              <w:rPr>
                <w:color w:val="000000" w:themeColor="text1"/>
              </w:rPr>
              <w:t>54. У підпункті "п" пункту 6 статті 3 Декрету Кабінету Міністрів України від 21 січня 1993 року №7-93 "Про державне мито" (Відомості Верховної Ради України, 1993 р., №13, ст. 13, із наступними змінами):</w:t>
            </w:r>
          </w:p>
        </w:tc>
        <w:tc>
          <w:tcPr>
            <w:tcW w:w="3686" w:type="dxa"/>
          </w:tcPr>
          <w:p w14:paraId="0C2397E7" w14:textId="77777777" w:rsidR="00DE3AAF" w:rsidRPr="00286216" w:rsidRDefault="00DE3AAF" w:rsidP="00DE3AAF">
            <w:pPr>
              <w:pStyle w:val="StyleProp"/>
              <w:rPr>
                <w:color w:val="000000" w:themeColor="text1"/>
                <w:szCs w:val="18"/>
              </w:rPr>
            </w:pPr>
          </w:p>
        </w:tc>
        <w:tc>
          <w:tcPr>
            <w:tcW w:w="1987" w:type="dxa"/>
          </w:tcPr>
          <w:p w14:paraId="4C871D7C" w14:textId="77777777" w:rsidR="00DE3AAF" w:rsidRPr="00286216" w:rsidRDefault="00DE3AAF" w:rsidP="00DE3AAF">
            <w:pPr>
              <w:pStyle w:val="StyleWisnow"/>
              <w:rPr>
                <w:color w:val="000000" w:themeColor="text1"/>
              </w:rPr>
            </w:pPr>
          </w:p>
        </w:tc>
        <w:tc>
          <w:tcPr>
            <w:tcW w:w="4818" w:type="dxa"/>
          </w:tcPr>
          <w:p w14:paraId="7682EA19" w14:textId="70C5AAF5" w:rsidR="00DE3AAF" w:rsidRPr="00286216" w:rsidRDefault="00DE3AAF" w:rsidP="00DE3AAF">
            <w:pPr>
              <w:pStyle w:val="StyleZakonu"/>
              <w:rPr>
                <w:color w:val="000000" w:themeColor="text1"/>
              </w:rPr>
            </w:pPr>
            <w:r w:rsidRPr="00286216">
              <w:rPr>
                <w:color w:val="000000" w:themeColor="text1"/>
              </w:rPr>
              <w:t>53. У підпункті "п" пункту 6 статті 3 Декрету Кабінету Міністрів України від 21 січня 1993 року №7-93 "Про державне мито" (Відомості Верховної Ради України, 1993 р., №13, ст. 13 із наступними змінами):</w:t>
            </w:r>
          </w:p>
        </w:tc>
      </w:tr>
      <w:tr w:rsidR="00DE3AAF" w:rsidRPr="00286216" w14:paraId="6735CBFD" w14:textId="77777777" w:rsidTr="00091AA5">
        <w:tc>
          <w:tcPr>
            <w:tcW w:w="576" w:type="dxa"/>
          </w:tcPr>
          <w:p w14:paraId="326CA960" w14:textId="77777777" w:rsidR="00DE3AAF" w:rsidRPr="00286216" w:rsidRDefault="00DE3AAF" w:rsidP="00DE3AAF">
            <w:pPr>
              <w:pStyle w:val="StyleWisnow"/>
              <w:rPr>
                <w:color w:val="000000" w:themeColor="text1"/>
              </w:rPr>
            </w:pPr>
            <w:bookmarkStart w:id="3759" w:name="n3887" w:colFirst="0" w:colLast="0"/>
            <w:bookmarkEnd w:id="3758"/>
            <w:r w:rsidRPr="00286216">
              <w:rPr>
                <w:color w:val="000000" w:themeColor="text1"/>
              </w:rPr>
              <w:t>3887.</w:t>
            </w:r>
          </w:p>
        </w:tc>
        <w:tc>
          <w:tcPr>
            <w:tcW w:w="4818" w:type="dxa"/>
          </w:tcPr>
          <w:p w14:paraId="0DAA8578" w14:textId="77777777" w:rsidR="00DE3AAF" w:rsidRPr="00286216" w:rsidRDefault="00DE3AAF" w:rsidP="00DE3AAF">
            <w:pPr>
              <w:pStyle w:val="StyleZakonu"/>
              <w:rPr>
                <w:color w:val="000000" w:themeColor="text1"/>
              </w:rPr>
            </w:pPr>
            <w:r w:rsidRPr="00286216">
              <w:rPr>
                <w:color w:val="000000" w:themeColor="text1"/>
              </w:rPr>
              <w:t>1) в абзаці першому слова "цінними паперами" замінити словами "фінансовими інструментами";</w:t>
            </w:r>
          </w:p>
        </w:tc>
        <w:tc>
          <w:tcPr>
            <w:tcW w:w="3686" w:type="dxa"/>
          </w:tcPr>
          <w:p w14:paraId="61CF0BE8" w14:textId="77777777" w:rsidR="00DE3AAF" w:rsidRPr="00286216" w:rsidRDefault="00DE3AAF" w:rsidP="00DE3AAF">
            <w:pPr>
              <w:pStyle w:val="StyleProp"/>
              <w:rPr>
                <w:color w:val="000000" w:themeColor="text1"/>
                <w:szCs w:val="18"/>
              </w:rPr>
            </w:pPr>
          </w:p>
        </w:tc>
        <w:tc>
          <w:tcPr>
            <w:tcW w:w="1987" w:type="dxa"/>
          </w:tcPr>
          <w:p w14:paraId="5F08AFC7" w14:textId="77777777" w:rsidR="00DE3AAF" w:rsidRPr="00286216" w:rsidRDefault="00DE3AAF" w:rsidP="00DE3AAF">
            <w:pPr>
              <w:pStyle w:val="StyleWisnow"/>
              <w:rPr>
                <w:color w:val="000000" w:themeColor="text1"/>
              </w:rPr>
            </w:pPr>
          </w:p>
        </w:tc>
        <w:tc>
          <w:tcPr>
            <w:tcW w:w="4818" w:type="dxa"/>
          </w:tcPr>
          <w:p w14:paraId="6B4C3FBB" w14:textId="2D4A94B2" w:rsidR="00DE3AAF" w:rsidRPr="00286216" w:rsidRDefault="00DE3AAF" w:rsidP="00DE3AAF">
            <w:pPr>
              <w:pStyle w:val="StyleZakonu"/>
              <w:rPr>
                <w:color w:val="000000" w:themeColor="text1"/>
              </w:rPr>
            </w:pPr>
            <w:r w:rsidRPr="00286216">
              <w:rPr>
                <w:color w:val="000000" w:themeColor="text1"/>
              </w:rPr>
              <w:t>1) в абзаці першому слова "цінними паперами" замінити словами "фінансовими інструментами";</w:t>
            </w:r>
          </w:p>
        </w:tc>
      </w:tr>
      <w:tr w:rsidR="00DE3AAF" w:rsidRPr="00286216" w14:paraId="1AF6C665" w14:textId="77777777" w:rsidTr="00091AA5">
        <w:tc>
          <w:tcPr>
            <w:tcW w:w="576" w:type="dxa"/>
          </w:tcPr>
          <w:p w14:paraId="15DF87D9" w14:textId="77777777" w:rsidR="00DE3AAF" w:rsidRPr="00286216" w:rsidRDefault="00DE3AAF" w:rsidP="00DE3AAF">
            <w:pPr>
              <w:pStyle w:val="StyleWisnow"/>
              <w:rPr>
                <w:color w:val="000000" w:themeColor="text1"/>
              </w:rPr>
            </w:pPr>
            <w:bookmarkStart w:id="3760" w:name="n3888" w:colFirst="0" w:colLast="0"/>
            <w:bookmarkEnd w:id="3759"/>
            <w:r w:rsidRPr="00286216">
              <w:rPr>
                <w:color w:val="000000" w:themeColor="text1"/>
              </w:rPr>
              <w:t>3888.</w:t>
            </w:r>
          </w:p>
        </w:tc>
        <w:tc>
          <w:tcPr>
            <w:tcW w:w="4818" w:type="dxa"/>
          </w:tcPr>
          <w:p w14:paraId="3B6B48A1" w14:textId="49046186" w:rsidR="00DE3AAF" w:rsidRPr="00286216" w:rsidRDefault="00DE3AAF" w:rsidP="00DE3AAF">
            <w:pPr>
              <w:pStyle w:val="StyleZakonu"/>
              <w:rPr>
                <w:color w:val="000000" w:themeColor="text1"/>
              </w:rPr>
            </w:pPr>
            <w:r w:rsidRPr="00286216">
              <w:rPr>
                <w:color w:val="000000" w:themeColor="text1"/>
              </w:rPr>
              <w:t>2) в абзаці третьому після слів "за реєстрацію деривативів" доповнити словом "специфікації деривативних контрактів".</w:t>
            </w:r>
          </w:p>
        </w:tc>
        <w:tc>
          <w:tcPr>
            <w:tcW w:w="3686" w:type="dxa"/>
          </w:tcPr>
          <w:p w14:paraId="1DCE1631" w14:textId="77777777" w:rsidR="00DE3AAF" w:rsidRPr="00286216" w:rsidRDefault="00DE3AAF" w:rsidP="00DE3AAF">
            <w:pPr>
              <w:pStyle w:val="StyleProp"/>
              <w:rPr>
                <w:color w:val="000000" w:themeColor="text1"/>
                <w:szCs w:val="18"/>
              </w:rPr>
            </w:pPr>
          </w:p>
        </w:tc>
        <w:tc>
          <w:tcPr>
            <w:tcW w:w="1987" w:type="dxa"/>
          </w:tcPr>
          <w:p w14:paraId="06361724" w14:textId="77777777" w:rsidR="00DE3AAF" w:rsidRPr="00286216" w:rsidRDefault="00DE3AAF" w:rsidP="00DE3AAF">
            <w:pPr>
              <w:pStyle w:val="StyleWisnow"/>
              <w:rPr>
                <w:color w:val="000000" w:themeColor="text1"/>
              </w:rPr>
            </w:pPr>
          </w:p>
        </w:tc>
        <w:tc>
          <w:tcPr>
            <w:tcW w:w="4818" w:type="dxa"/>
          </w:tcPr>
          <w:p w14:paraId="6422828A" w14:textId="5D2FD6B4" w:rsidR="00DE3AAF" w:rsidRPr="00286216" w:rsidRDefault="00DE3AAF" w:rsidP="00DE3AAF">
            <w:pPr>
              <w:pStyle w:val="StyleZakonu"/>
              <w:rPr>
                <w:color w:val="000000" w:themeColor="text1"/>
              </w:rPr>
            </w:pPr>
            <w:r w:rsidRPr="00286216">
              <w:rPr>
                <w:color w:val="000000" w:themeColor="text1"/>
              </w:rPr>
              <w:t>2) абзац третій після слів "за реєстрацію деривативів" доповнити словом "специфікації деривативних контрактів".</w:t>
            </w:r>
          </w:p>
        </w:tc>
      </w:tr>
      <w:tr w:rsidR="00DE3AAF" w:rsidRPr="00286216" w14:paraId="51777080" w14:textId="77777777" w:rsidTr="00091AA5">
        <w:tc>
          <w:tcPr>
            <w:tcW w:w="576" w:type="dxa"/>
          </w:tcPr>
          <w:p w14:paraId="0825D781" w14:textId="77777777" w:rsidR="00DE3AAF" w:rsidRPr="00286216" w:rsidRDefault="00DE3AAF" w:rsidP="00DE3AAF">
            <w:pPr>
              <w:pStyle w:val="StyleWisnow"/>
              <w:rPr>
                <w:color w:val="000000" w:themeColor="text1"/>
              </w:rPr>
            </w:pPr>
          </w:p>
        </w:tc>
        <w:tc>
          <w:tcPr>
            <w:tcW w:w="4818" w:type="dxa"/>
          </w:tcPr>
          <w:p w14:paraId="2EC915EE" w14:textId="77777777" w:rsidR="00DE3AAF" w:rsidRPr="00286216" w:rsidRDefault="00DE3AAF" w:rsidP="00DE3AAF">
            <w:pPr>
              <w:pStyle w:val="StyleZakonu"/>
              <w:rPr>
                <w:color w:val="000000" w:themeColor="text1"/>
              </w:rPr>
            </w:pPr>
          </w:p>
        </w:tc>
        <w:tc>
          <w:tcPr>
            <w:tcW w:w="3686" w:type="dxa"/>
          </w:tcPr>
          <w:p w14:paraId="735B096D" w14:textId="4E5A7768" w:rsidR="00DE3AAF" w:rsidRPr="00286216" w:rsidRDefault="00DE3AAF" w:rsidP="00DE3AAF">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1531</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06857CC2" w14:textId="77777777" w:rsidR="00DE3AAF" w:rsidRPr="00286216" w:rsidRDefault="00DE3AAF" w:rsidP="009D6B73">
            <w:pPr>
              <w:pStyle w:val="StyleProp"/>
              <w:spacing w:line="180" w:lineRule="exact"/>
              <w:rPr>
                <w:color w:val="000000" w:themeColor="text1"/>
              </w:rPr>
            </w:pPr>
            <w:r w:rsidRPr="00286216">
              <w:rPr>
                <w:color w:val="000000" w:themeColor="text1"/>
              </w:rPr>
              <w:t>Доповнити новим пунктом такого змісту:</w:t>
            </w:r>
          </w:p>
          <w:p w14:paraId="4A0FD027" w14:textId="77777777" w:rsidR="00DE3AAF" w:rsidRPr="00286216" w:rsidRDefault="00DE3AAF" w:rsidP="009D6B73">
            <w:pPr>
              <w:pStyle w:val="StyleProp"/>
              <w:spacing w:line="180" w:lineRule="exact"/>
              <w:rPr>
                <w:color w:val="000000" w:themeColor="text1"/>
              </w:rPr>
            </w:pPr>
            <w:r w:rsidRPr="00286216">
              <w:rPr>
                <w:color w:val="000000" w:themeColor="text1"/>
              </w:rPr>
              <w:t>55. У пункті 4 частини 2 статті 2 Закону України «Про ліцензування видів господарської діяльності» слова «професійну діяльність на ринку цінних паперів та діяльність у системі накопичувального пенсійного забезпечення» замінити словами «професійну діяльність на ринках капіталу та організованих товарних ринках».</w:t>
            </w:r>
          </w:p>
        </w:tc>
        <w:tc>
          <w:tcPr>
            <w:tcW w:w="1987" w:type="dxa"/>
          </w:tcPr>
          <w:p w14:paraId="5BB1526A" w14:textId="77777777" w:rsidR="00DE3AAF" w:rsidRPr="00286216" w:rsidRDefault="00DE3AAF" w:rsidP="00DE3AAF">
            <w:pPr>
              <w:pStyle w:val="StyleWisnow"/>
              <w:rPr>
                <w:color w:val="000000" w:themeColor="text1"/>
              </w:rPr>
            </w:pPr>
            <w:r w:rsidRPr="00286216">
              <w:rPr>
                <w:color w:val="000000" w:themeColor="text1"/>
              </w:rPr>
              <w:t>Враховано</w:t>
            </w:r>
          </w:p>
        </w:tc>
        <w:tc>
          <w:tcPr>
            <w:tcW w:w="4818" w:type="dxa"/>
          </w:tcPr>
          <w:p w14:paraId="3CB39C14" w14:textId="095D9FBC" w:rsidR="00DE3AAF" w:rsidRPr="00286216" w:rsidRDefault="00DE3AAF" w:rsidP="00CF4212">
            <w:pPr>
              <w:pStyle w:val="StyleZakonu"/>
              <w:spacing w:after="0"/>
              <w:rPr>
                <w:color w:val="000000" w:themeColor="text1"/>
              </w:rPr>
            </w:pPr>
            <w:r w:rsidRPr="00286216">
              <w:rPr>
                <w:color w:val="000000" w:themeColor="text1"/>
              </w:rPr>
              <w:t>46. У пункті 4 частини другої статті 2 Закону України «Про ліцензування видів господарської діяльності» (Відомості Верховної Ради України, 2015 р., № 23, ст.158 із наступними змінами) слова "професійну діяльність на ринку цінних паперів та діяльність у системі накопичувального пенсійного забезпечення" замінити словами "професійну діяльність на ринках капіталу та організованих товарних ринках".</w:t>
            </w:r>
          </w:p>
        </w:tc>
      </w:tr>
      <w:bookmarkEnd w:id="3760"/>
      <w:tr w:rsidR="00DE3AAF" w:rsidRPr="00286216" w14:paraId="6998B0FC" w14:textId="77777777" w:rsidTr="00091AA5">
        <w:tc>
          <w:tcPr>
            <w:tcW w:w="576" w:type="dxa"/>
          </w:tcPr>
          <w:p w14:paraId="6E23B20B" w14:textId="77777777" w:rsidR="00DE3AAF" w:rsidRPr="00286216" w:rsidRDefault="00DE3AAF" w:rsidP="00DE3AAF">
            <w:pPr>
              <w:pStyle w:val="StyleWisnow"/>
              <w:rPr>
                <w:color w:val="000000" w:themeColor="text1"/>
              </w:rPr>
            </w:pPr>
          </w:p>
        </w:tc>
        <w:tc>
          <w:tcPr>
            <w:tcW w:w="4818" w:type="dxa"/>
          </w:tcPr>
          <w:p w14:paraId="6A723E23" w14:textId="77777777" w:rsidR="00DE3AAF" w:rsidRPr="00286216" w:rsidRDefault="00DE3AAF" w:rsidP="00DE3AAF">
            <w:pPr>
              <w:pStyle w:val="StyleZakonu"/>
              <w:rPr>
                <w:color w:val="000000" w:themeColor="text1"/>
              </w:rPr>
            </w:pPr>
          </w:p>
        </w:tc>
        <w:tc>
          <w:tcPr>
            <w:tcW w:w="3686" w:type="dxa"/>
          </w:tcPr>
          <w:p w14:paraId="3BC6C584" w14:textId="6B2F7BD7" w:rsidR="00DE3AAF" w:rsidRPr="00286216" w:rsidRDefault="00DE3AAF" w:rsidP="00DE3AAF">
            <w:pPr>
              <w:pStyle w:val="StyleAwt"/>
              <w:rPr>
                <w:color w:val="000000" w:themeColor="text1"/>
                <w:spacing w:val="-10"/>
              </w:rPr>
            </w:pPr>
            <w:r w:rsidRPr="00286216">
              <w:rPr>
                <w:color w:val="000000" w:themeColor="text1"/>
                <w:spacing w:val="-10"/>
              </w:rPr>
              <w:t>-</w:t>
            </w:r>
            <w:r w:rsidRPr="00286216">
              <w:rPr>
                <w:color w:val="000000" w:themeColor="text1"/>
                <w:spacing w:val="-10"/>
              </w:rPr>
              <w:fldChar w:fldCharType="begin"/>
            </w:r>
            <w:r w:rsidRPr="00286216">
              <w:rPr>
                <w:color w:val="000000" w:themeColor="text1"/>
                <w:spacing w:val="-10"/>
              </w:rPr>
              <w:instrText xml:space="preserve"> SEQ aa </w:instrText>
            </w:r>
            <w:r w:rsidRPr="00286216">
              <w:rPr>
                <w:color w:val="000000" w:themeColor="text1"/>
                <w:spacing w:val="-10"/>
              </w:rPr>
              <w:fldChar w:fldCharType="separate"/>
            </w:r>
            <w:r w:rsidR="00C46B29">
              <w:rPr>
                <w:noProof/>
                <w:color w:val="000000" w:themeColor="text1"/>
                <w:spacing w:val="-10"/>
              </w:rPr>
              <w:t>1532</w:t>
            </w:r>
            <w:r w:rsidRPr="00286216">
              <w:rPr>
                <w:color w:val="000000" w:themeColor="text1"/>
                <w:spacing w:val="-10"/>
              </w:rPr>
              <w:fldChar w:fldCharType="end"/>
            </w:r>
            <w:r w:rsidRPr="00286216">
              <w:rPr>
                <w:color w:val="000000" w:themeColor="text1"/>
                <w:spacing w:val="-10"/>
              </w:rPr>
              <w:t>-Н.д.Гетманцев Д.О.(Реєстр.картка №245)</w:t>
            </w:r>
          </w:p>
          <w:p w14:paraId="53943C02" w14:textId="77777777" w:rsidR="00DE3AAF" w:rsidRPr="00286216" w:rsidRDefault="00DE3AAF" w:rsidP="009D6B73">
            <w:pPr>
              <w:pStyle w:val="StyleProp"/>
              <w:spacing w:line="190" w:lineRule="exact"/>
              <w:rPr>
                <w:color w:val="000000" w:themeColor="text1"/>
              </w:rPr>
            </w:pPr>
            <w:r w:rsidRPr="00286216">
              <w:rPr>
                <w:color w:val="000000" w:themeColor="text1"/>
              </w:rPr>
              <w:t>Доповнити новим пунктом такого змісту:</w:t>
            </w:r>
          </w:p>
          <w:p w14:paraId="78CEF782" w14:textId="77777777" w:rsidR="00DE3AAF" w:rsidRPr="00286216" w:rsidRDefault="00DE3AAF" w:rsidP="009D6B73">
            <w:pPr>
              <w:pStyle w:val="StyleProp"/>
              <w:spacing w:line="190" w:lineRule="exact"/>
              <w:rPr>
                <w:color w:val="000000" w:themeColor="text1"/>
              </w:rPr>
            </w:pPr>
            <w:r w:rsidRPr="00286216">
              <w:rPr>
                <w:color w:val="000000" w:themeColor="text1"/>
              </w:rPr>
              <w:t>«55. У частині першій статті 7 Закону України «Про ліцензування видів господарської діяльності»:</w:t>
            </w:r>
          </w:p>
          <w:p w14:paraId="36FA2DD0" w14:textId="77777777" w:rsidR="00DE3AAF" w:rsidRPr="00286216" w:rsidRDefault="00DE3AAF" w:rsidP="009D6B73">
            <w:pPr>
              <w:pStyle w:val="StyleProp"/>
              <w:spacing w:line="190" w:lineRule="exact"/>
              <w:rPr>
                <w:color w:val="000000" w:themeColor="text1"/>
              </w:rPr>
            </w:pPr>
            <w:r w:rsidRPr="00286216">
              <w:rPr>
                <w:color w:val="000000" w:themeColor="text1"/>
              </w:rPr>
              <w:t xml:space="preserve">у пункті 2 слова «ринку цінних паперів» </w:t>
            </w:r>
            <w:r w:rsidRPr="00286216">
              <w:rPr>
                <w:color w:val="000000" w:themeColor="text1"/>
              </w:rPr>
              <w:lastRenderedPageBreak/>
              <w:t>замінити словами «ринках капіталу та організованих товарних ринках»;</w:t>
            </w:r>
          </w:p>
          <w:p w14:paraId="36BC5A82" w14:textId="77777777" w:rsidR="00DE3AAF" w:rsidRPr="00286216" w:rsidRDefault="00DE3AAF" w:rsidP="009D6B73">
            <w:pPr>
              <w:pStyle w:val="StyleProp"/>
              <w:spacing w:line="190" w:lineRule="exact"/>
              <w:rPr>
                <w:color w:val="000000" w:themeColor="text1"/>
              </w:rPr>
            </w:pPr>
            <w:r w:rsidRPr="00286216">
              <w:rPr>
                <w:color w:val="000000" w:themeColor="text1"/>
              </w:rPr>
              <w:t>пункт 3 викласти у такій редакції:</w:t>
            </w:r>
          </w:p>
          <w:p w14:paraId="72E8EDD0" w14:textId="77777777" w:rsidR="00DE3AAF" w:rsidRPr="00286216" w:rsidRDefault="00DE3AAF" w:rsidP="009D6B73">
            <w:pPr>
              <w:pStyle w:val="StyleProp"/>
              <w:spacing w:line="190" w:lineRule="exact"/>
              <w:rPr>
                <w:color w:val="000000" w:themeColor="text1"/>
                <w:sz w:val="20"/>
              </w:rPr>
            </w:pPr>
            <w:r w:rsidRPr="00286216">
              <w:rPr>
                <w:color w:val="000000" w:themeColor="text1"/>
              </w:rPr>
              <w:t>«3) професійна діяльність на ринках капіталу та організованих товарних ринках, яка ліцензується з урахуванням особливостей, визначених Законом України "Про державне регулювання ринків капіталу та організованих товарних ринків"».»</w:t>
            </w:r>
          </w:p>
        </w:tc>
        <w:tc>
          <w:tcPr>
            <w:tcW w:w="1987" w:type="dxa"/>
          </w:tcPr>
          <w:p w14:paraId="6CF8346E" w14:textId="77777777" w:rsidR="00DE3AAF" w:rsidRPr="00286216" w:rsidRDefault="00DE3AAF" w:rsidP="00DE3AAF">
            <w:pPr>
              <w:pStyle w:val="StyleWisnow"/>
              <w:rPr>
                <w:color w:val="000000" w:themeColor="text1"/>
              </w:rPr>
            </w:pPr>
            <w:r w:rsidRPr="00286216">
              <w:rPr>
                <w:color w:val="000000" w:themeColor="text1"/>
              </w:rPr>
              <w:lastRenderedPageBreak/>
              <w:t>Враховано по суті</w:t>
            </w:r>
          </w:p>
          <w:p w14:paraId="09004126" w14:textId="77777777" w:rsidR="00DE3AAF" w:rsidRPr="00286216" w:rsidRDefault="00DE3AAF" w:rsidP="00DE3AAF">
            <w:pPr>
              <w:pStyle w:val="StyleWisnow"/>
              <w:rPr>
                <w:color w:val="000000" w:themeColor="text1"/>
              </w:rPr>
            </w:pPr>
          </w:p>
        </w:tc>
        <w:tc>
          <w:tcPr>
            <w:tcW w:w="4818" w:type="dxa"/>
          </w:tcPr>
          <w:p w14:paraId="69CFF28B" w14:textId="77777777" w:rsidR="00DE3AAF" w:rsidRPr="00286216" w:rsidRDefault="00DE3AAF" w:rsidP="00DE3AAF">
            <w:pPr>
              <w:pStyle w:val="StyleZakonu"/>
              <w:rPr>
                <w:color w:val="000000" w:themeColor="text1"/>
              </w:rPr>
            </w:pPr>
          </w:p>
        </w:tc>
      </w:tr>
      <w:tr w:rsidR="00DE3AAF" w:rsidRPr="00286216" w14:paraId="34620F9D" w14:textId="77777777" w:rsidTr="00091AA5">
        <w:tc>
          <w:tcPr>
            <w:tcW w:w="576" w:type="dxa"/>
          </w:tcPr>
          <w:p w14:paraId="21CAA25E" w14:textId="77777777" w:rsidR="00DE3AAF" w:rsidRPr="00286216" w:rsidRDefault="00DE3AAF" w:rsidP="00DE3AAF">
            <w:pPr>
              <w:pStyle w:val="StyleWisnow"/>
              <w:rPr>
                <w:color w:val="000000" w:themeColor="text1"/>
              </w:rPr>
            </w:pPr>
          </w:p>
        </w:tc>
        <w:tc>
          <w:tcPr>
            <w:tcW w:w="4818" w:type="dxa"/>
          </w:tcPr>
          <w:p w14:paraId="75C3BC6C" w14:textId="77777777" w:rsidR="00DE3AAF" w:rsidRPr="00286216" w:rsidRDefault="00DE3AAF" w:rsidP="00DE3AAF">
            <w:pPr>
              <w:pStyle w:val="StyleZakonu"/>
              <w:rPr>
                <w:color w:val="000000" w:themeColor="text1"/>
              </w:rPr>
            </w:pPr>
          </w:p>
        </w:tc>
        <w:tc>
          <w:tcPr>
            <w:tcW w:w="3686" w:type="dxa"/>
          </w:tcPr>
          <w:p w14:paraId="712077FD" w14:textId="2ABEC11A" w:rsidR="00DE3AAF" w:rsidRPr="00286216" w:rsidRDefault="00DE3AAF" w:rsidP="00DE3AAF">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1533</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5A80F63" w14:textId="77777777" w:rsidR="00DE3AAF" w:rsidRPr="00286216" w:rsidRDefault="00DE3AAF" w:rsidP="00DE3AAF">
            <w:pPr>
              <w:pStyle w:val="StyleProp"/>
              <w:rPr>
                <w:color w:val="000000" w:themeColor="text1"/>
                <w:szCs w:val="18"/>
              </w:rPr>
            </w:pPr>
            <w:r w:rsidRPr="00286216">
              <w:rPr>
                <w:color w:val="000000" w:themeColor="text1"/>
                <w:szCs w:val="18"/>
              </w:rPr>
              <w:t>Доповнити розділ 3 законопроекту новим пунктом такого змісту:</w:t>
            </w:r>
          </w:p>
          <w:p w14:paraId="1B6300CA" w14:textId="77777777" w:rsidR="00DE3AAF" w:rsidRPr="00286216" w:rsidRDefault="00DE3AAF" w:rsidP="00DE3AAF">
            <w:pPr>
              <w:pStyle w:val="StyleProp"/>
              <w:spacing w:line="180" w:lineRule="exact"/>
              <w:rPr>
                <w:color w:val="000000" w:themeColor="text1"/>
              </w:rPr>
            </w:pPr>
            <w:r w:rsidRPr="00286216">
              <w:rPr>
                <w:color w:val="000000" w:themeColor="text1"/>
              </w:rPr>
              <w:t>56. У Законі України «Про цінні папери та фондовий ринок» (Відомості Верховної Ради України (ВВР), 2006, № 31, ст. 268), із наступними змінами):</w:t>
            </w:r>
          </w:p>
          <w:p w14:paraId="40220539" w14:textId="77777777" w:rsidR="00DE3AAF" w:rsidRPr="00286216" w:rsidRDefault="00DE3AAF" w:rsidP="00DE3AAF">
            <w:pPr>
              <w:pStyle w:val="StyleProp"/>
              <w:spacing w:line="180" w:lineRule="exact"/>
              <w:rPr>
                <w:color w:val="000000" w:themeColor="text1"/>
              </w:rPr>
            </w:pPr>
            <w:r w:rsidRPr="00286216">
              <w:rPr>
                <w:color w:val="000000" w:themeColor="text1"/>
              </w:rPr>
              <w:t>1) доповнити закон трьома новими статтями такого змісту:</w:t>
            </w:r>
          </w:p>
          <w:p w14:paraId="742F2C41" w14:textId="77777777" w:rsidR="00DE3AAF" w:rsidRPr="00286216" w:rsidRDefault="00DE3AAF" w:rsidP="00DE3AAF">
            <w:pPr>
              <w:pStyle w:val="StyleProp"/>
              <w:spacing w:line="180" w:lineRule="exact"/>
              <w:rPr>
                <w:color w:val="000000" w:themeColor="text1"/>
              </w:rPr>
            </w:pPr>
            <w:r w:rsidRPr="00286216">
              <w:rPr>
                <w:color w:val="000000" w:themeColor="text1"/>
              </w:rPr>
              <w:t>«Стаття 5-3. Остаточність проведення розрахунків за (похідними) деривативами та правочинами щодо цінних паперів</w:t>
            </w:r>
          </w:p>
          <w:p w14:paraId="5F30888D"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1. Вважаються дійсними, законними, безвідкличними та обов’язковими для виконання такі розпорядження та/або документи, надіслані стороною похідного (деривативу) чи правочину щодо цінних паперів або будь-якою третьою особою до моменту оприлюднення рішень, передбачених статтею 5 </w:t>
            </w:r>
            <w:r w:rsidRPr="00286216">
              <w:rPr>
                <w:color w:val="000000" w:themeColor="text1"/>
                <w:vertAlign w:val="superscript"/>
              </w:rPr>
              <w:t>4</w:t>
            </w:r>
            <w:r w:rsidRPr="00286216">
              <w:rPr>
                <w:color w:val="000000" w:themeColor="text1"/>
              </w:rPr>
              <w:t xml:space="preserve"> цього Закону:</w:t>
            </w:r>
          </w:p>
          <w:p w14:paraId="63F37C3C" w14:textId="77777777" w:rsidR="00DE3AAF" w:rsidRPr="00286216" w:rsidRDefault="00DE3AAF" w:rsidP="00DE3AAF">
            <w:pPr>
              <w:pStyle w:val="StyleProp"/>
              <w:spacing w:line="180" w:lineRule="exact"/>
              <w:rPr>
                <w:color w:val="000000" w:themeColor="text1"/>
              </w:rPr>
            </w:pPr>
            <w:r w:rsidRPr="00286216">
              <w:rPr>
                <w:color w:val="000000" w:themeColor="text1"/>
              </w:rPr>
              <w:t>1) розпорядження щодо обтяження чи переказу коштів;</w:t>
            </w:r>
          </w:p>
          <w:p w14:paraId="0EF20309" w14:textId="77777777" w:rsidR="00DE3AAF" w:rsidRPr="00286216" w:rsidRDefault="00DE3AAF" w:rsidP="00DE3AAF">
            <w:pPr>
              <w:pStyle w:val="StyleProp"/>
              <w:spacing w:line="180" w:lineRule="exact"/>
              <w:rPr>
                <w:color w:val="000000" w:themeColor="text1"/>
              </w:rPr>
            </w:pPr>
            <w:r w:rsidRPr="00286216">
              <w:rPr>
                <w:color w:val="000000" w:themeColor="text1"/>
              </w:rPr>
              <w:t>2) розпорядження щодо переказу цінних паперів (прав на цінні папери та/або прав за цінними паперами), проведення операцій, пов’язаних із встановленням та зняттям обмежень прав на цінні папери та/або прав за цінними паперами;</w:t>
            </w:r>
          </w:p>
          <w:p w14:paraId="756B1FB2" w14:textId="77777777" w:rsidR="00DE3AAF" w:rsidRPr="00286216" w:rsidRDefault="00DE3AAF" w:rsidP="00DE3AAF">
            <w:pPr>
              <w:pStyle w:val="StyleProp"/>
              <w:spacing w:line="180" w:lineRule="exact"/>
              <w:rPr>
                <w:color w:val="000000" w:themeColor="text1"/>
              </w:rPr>
            </w:pPr>
            <w:r w:rsidRPr="00286216">
              <w:rPr>
                <w:color w:val="000000" w:themeColor="text1"/>
              </w:rPr>
              <w:t>3) розпорядження щодо похідного (деривативу);</w:t>
            </w:r>
          </w:p>
          <w:p w14:paraId="29ABEF0B" w14:textId="77777777" w:rsidR="00DE3AAF" w:rsidRPr="00286216" w:rsidRDefault="00DE3AAF" w:rsidP="00DE3AAF">
            <w:pPr>
              <w:pStyle w:val="StyleProp"/>
              <w:spacing w:line="180" w:lineRule="exact"/>
              <w:rPr>
                <w:color w:val="000000" w:themeColor="text1"/>
              </w:rPr>
            </w:pPr>
            <w:r w:rsidRPr="00286216">
              <w:rPr>
                <w:color w:val="000000" w:themeColor="text1"/>
              </w:rPr>
              <w:t>4) розпорядження щодо майнових прав на активи, передбачені пунктами 1-2 цієї частини;</w:t>
            </w:r>
          </w:p>
          <w:p w14:paraId="43FE4ABE" w14:textId="77777777" w:rsidR="00DE3AAF" w:rsidRPr="00286216" w:rsidRDefault="00DE3AAF" w:rsidP="00DE3AAF">
            <w:pPr>
              <w:pStyle w:val="StyleProp"/>
              <w:spacing w:line="180" w:lineRule="exact"/>
              <w:rPr>
                <w:color w:val="000000" w:themeColor="text1"/>
              </w:rPr>
            </w:pPr>
            <w:r w:rsidRPr="00286216">
              <w:rPr>
                <w:color w:val="000000" w:themeColor="text1"/>
              </w:rPr>
              <w:t>5) інші передбачені законодавством документи щодо похідних (деривативів) та цінних паперів, надіслані особам, які провадять клірингову діяльність або особам, які приймають та виконують відповідні документи та/або розпорядження.</w:t>
            </w:r>
          </w:p>
          <w:p w14:paraId="0D863B62"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Вважаються дійсними, законними, безвідкличними та обов’язковими для виконання розпорядження, що були надіслані фондовою біржею після моменту оприлюднення рішень, передбачених статтею 5 </w:t>
            </w:r>
            <w:r w:rsidRPr="00286216">
              <w:rPr>
                <w:color w:val="000000" w:themeColor="text1"/>
                <w:vertAlign w:val="superscript"/>
              </w:rPr>
              <w:t>4</w:t>
            </w:r>
            <w:r w:rsidRPr="00286216">
              <w:rPr>
                <w:color w:val="000000" w:themeColor="text1"/>
              </w:rPr>
              <w:t xml:space="preserve"> цього Закону, але до кінця цього ж робочого дня, та які стосуються виключно </w:t>
            </w:r>
            <w:r w:rsidRPr="00286216">
              <w:rPr>
                <w:color w:val="000000" w:themeColor="text1"/>
              </w:rPr>
              <w:lastRenderedPageBreak/>
              <w:t>тих активів, що були до моменту зазначеного оприлюднення заблоковані для проведення операцій на фондовій біржі.</w:t>
            </w:r>
          </w:p>
          <w:p w14:paraId="71A0E8B4"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2. Вважаються дійсними,  законними, безвідкличними та обов’язковими для виконання для будь-яких третіх осіб розпорядження та/або документи , передбачені частиною першою цієї статті, виконання яких розпочалося після моменту оприлюднення рішення, передбаченого статтею 5 </w:t>
            </w:r>
            <w:r w:rsidRPr="00286216">
              <w:rPr>
                <w:color w:val="000000" w:themeColor="text1"/>
                <w:vertAlign w:val="superscript"/>
              </w:rPr>
              <w:t>4</w:t>
            </w:r>
            <w:r w:rsidRPr="00286216">
              <w:rPr>
                <w:color w:val="000000" w:themeColor="text1"/>
              </w:rPr>
              <w:t xml:space="preserve"> цього Закону, і тривало до закінчення робочого дня, коли було оприлюднено таке рішення, у разі якщо на момент початку виконання таких розпоряджень та/або документів особі, яка провадить клірингову діяльність, або особі, яка приймає та виконує такі розпорядження та/або документи, не було відомо та не могло бути відомо про факт оприлюднення такого рішення.</w:t>
            </w:r>
          </w:p>
          <w:p w14:paraId="450C33E2" w14:textId="77777777" w:rsidR="00DE3AAF" w:rsidRPr="00286216" w:rsidRDefault="00DE3AAF" w:rsidP="00DE3AAF">
            <w:pPr>
              <w:pStyle w:val="StyleProp"/>
              <w:spacing w:line="180" w:lineRule="exact"/>
              <w:rPr>
                <w:color w:val="000000" w:themeColor="text1"/>
              </w:rPr>
            </w:pPr>
            <w:r w:rsidRPr="00286216">
              <w:rPr>
                <w:color w:val="000000" w:themeColor="text1"/>
              </w:rPr>
              <w:t>3. Положення законів щодо нікчемності або визнання недійсності правочинів не застосовуються до  розпоряджень та/або документів, передбачених частиною першою цієї статті.</w:t>
            </w:r>
          </w:p>
          <w:p w14:paraId="002F2D90"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4. Внутрішні документи особи, яка провадить клірингову діяльність, або особи, яка приймає та виконує відповідні розпорядження та/або документи, надіслані стороною похідного (деривативу), правочину щодо цінних паперів або будь-якою третьою особою, повинні встановлювати порядок виконання таких документів та/або розпоряджень та передбачати механізм фіксації початку такого виконання. </w:t>
            </w:r>
          </w:p>
          <w:p w14:paraId="2CF3933A" w14:textId="77777777" w:rsidR="00DE3AAF" w:rsidRPr="00286216" w:rsidRDefault="00DE3AAF" w:rsidP="00DE3AAF">
            <w:pPr>
              <w:pStyle w:val="StyleProp"/>
              <w:spacing w:line="180" w:lineRule="exact"/>
              <w:rPr>
                <w:color w:val="000000" w:themeColor="text1"/>
              </w:rPr>
            </w:pPr>
            <w:r w:rsidRPr="00286216">
              <w:rPr>
                <w:color w:val="000000" w:themeColor="text1"/>
              </w:rPr>
              <w:t>Зазначений в абзаці першому цієї частини порядок виконання розпоряджень та/або документів повинен з метою виконання таких розпоряджень та/або документів передбачати можливість використання належних особі, яка надіслала такі розпорядження та/або документи, коштів та/або активів, права на які перебувають в системі клірингового обліку на момент оприлюднення рішення, передбаченого статтею 5</w:t>
            </w:r>
            <w:r w:rsidRPr="00286216">
              <w:rPr>
                <w:color w:val="000000" w:themeColor="text1"/>
                <w:vertAlign w:val="superscript"/>
              </w:rPr>
              <w:t xml:space="preserve"> 4</w:t>
            </w:r>
            <w:r w:rsidRPr="00286216">
              <w:rPr>
                <w:color w:val="000000" w:themeColor="text1"/>
              </w:rPr>
              <w:t xml:space="preserve"> цього Закону. </w:t>
            </w:r>
          </w:p>
          <w:p w14:paraId="1763EE78" w14:textId="77777777" w:rsidR="00DE3AAF" w:rsidRPr="00286216" w:rsidRDefault="00DE3AAF" w:rsidP="00DE3AAF">
            <w:pPr>
              <w:pStyle w:val="StyleProp"/>
              <w:spacing w:line="180" w:lineRule="exact"/>
              <w:rPr>
                <w:color w:val="000000" w:themeColor="text1"/>
              </w:rPr>
            </w:pPr>
            <w:r w:rsidRPr="00286216">
              <w:rPr>
                <w:color w:val="000000" w:themeColor="text1"/>
              </w:rPr>
              <w:t>5. Передбачені частиною першою цієї статті розпорядження та/або документи вважаються дійсними,  законними, безвідкличними та обов’язковими для виконання для будь-яких третіх осіб з моменту, визначеного:</w:t>
            </w:r>
          </w:p>
          <w:p w14:paraId="6FC01DA6" w14:textId="77777777" w:rsidR="00DE3AAF" w:rsidRPr="00286216" w:rsidRDefault="00DE3AAF" w:rsidP="00DE3AAF">
            <w:pPr>
              <w:pStyle w:val="StyleProp"/>
              <w:spacing w:line="180" w:lineRule="exact"/>
              <w:rPr>
                <w:color w:val="000000" w:themeColor="text1"/>
              </w:rPr>
            </w:pPr>
            <w:r w:rsidRPr="00286216">
              <w:rPr>
                <w:color w:val="000000" w:themeColor="text1"/>
              </w:rPr>
              <w:t>1) внутрішніми правилами особи, яка приймає та виконує відповідні розпорядження та/або документи ;</w:t>
            </w:r>
          </w:p>
          <w:p w14:paraId="383E6204" w14:textId="77777777" w:rsidR="00DE3AAF" w:rsidRPr="00286216" w:rsidRDefault="00DE3AAF" w:rsidP="00DE3AAF">
            <w:pPr>
              <w:pStyle w:val="StyleProp"/>
              <w:spacing w:line="180" w:lineRule="exact"/>
              <w:rPr>
                <w:color w:val="000000" w:themeColor="text1"/>
              </w:rPr>
            </w:pPr>
            <w:r w:rsidRPr="00286216">
              <w:rPr>
                <w:color w:val="000000" w:themeColor="text1"/>
              </w:rPr>
              <w:t>2) правилами особи, яка провадить клірингову діяльність;</w:t>
            </w:r>
          </w:p>
          <w:p w14:paraId="44C7A6D6" w14:textId="77777777" w:rsidR="00DE3AAF" w:rsidRPr="00286216" w:rsidRDefault="00DE3AAF" w:rsidP="00DE3AAF">
            <w:pPr>
              <w:pStyle w:val="StyleProp"/>
              <w:spacing w:line="180" w:lineRule="exact"/>
              <w:rPr>
                <w:color w:val="000000" w:themeColor="text1"/>
              </w:rPr>
            </w:pPr>
            <w:r w:rsidRPr="00286216">
              <w:rPr>
                <w:color w:val="000000" w:themeColor="text1"/>
              </w:rPr>
              <w:lastRenderedPageBreak/>
              <w:t xml:space="preserve">3) угодою щодо ліквідаційного неттінгу, передбаченою статтею 5 </w:t>
            </w:r>
            <w:r w:rsidRPr="00286216">
              <w:rPr>
                <w:color w:val="000000" w:themeColor="text1"/>
                <w:vertAlign w:val="superscript"/>
              </w:rPr>
              <w:t>5</w:t>
            </w:r>
            <w:r w:rsidRPr="00286216">
              <w:rPr>
                <w:color w:val="000000" w:themeColor="text1"/>
              </w:rPr>
              <w:t xml:space="preserve"> цього Закону.</w:t>
            </w:r>
          </w:p>
          <w:p w14:paraId="13234387"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Стаття 5 </w:t>
            </w:r>
            <w:r w:rsidRPr="00286216">
              <w:rPr>
                <w:color w:val="000000" w:themeColor="text1"/>
                <w:vertAlign w:val="superscript"/>
              </w:rPr>
              <w:t>4</w:t>
            </w:r>
            <w:r w:rsidRPr="00286216">
              <w:rPr>
                <w:color w:val="000000" w:themeColor="text1"/>
              </w:rPr>
              <w:t xml:space="preserve">. Неплатоспроможність сторони правочину щодо цінних паперів або сторони похідного (деривативу) </w:t>
            </w:r>
          </w:p>
          <w:p w14:paraId="4AE25B66" w14:textId="77777777" w:rsidR="00DE3AAF" w:rsidRPr="00286216" w:rsidRDefault="00DE3AAF" w:rsidP="00DE3AAF">
            <w:pPr>
              <w:pStyle w:val="StyleProp"/>
              <w:spacing w:line="180" w:lineRule="exact"/>
              <w:rPr>
                <w:color w:val="000000" w:themeColor="text1"/>
              </w:rPr>
            </w:pPr>
            <w:r w:rsidRPr="00286216">
              <w:rPr>
                <w:color w:val="000000" w:themeColor="text1"/>
              </w:rPr>
              <w:t>1. Сторона похідного (деривативу) або правочину щодо цінних паперів є неплатоспроможною у разі набрання щодо такої сторони:</w:t>
            </w:r>
          </w:p>
          <w:p w14:paraId="68D92B39" w14:textId="77777777" w:rsidR="00DE3AAF" w:rsidRPr="00286216" w:rsidRDefault="00DE3AAF" w:rsidP="00DE3AAF">
            <w:pPr>
              <w:pStyle w:val="StyleProp"/>
              <w:spacing w:line="180" w:lineRule="exact"/>
              <w:rPr>
                <w:color w:val="000000" w:themeColor="text1"/>
              </w:rPr>
            </w:pPr>
            <w:r w:rsidRPr="00286216">
              <w:rPr>
                <w:color w:val="000000" w:themeColor="text1"/>
              </w:rPr>
              <w:t>1) законної сили рішенням господарського суду, а саме: ухвалою про відкриття провадження у справі про банкрутство або ухвалою про відкриття провадження у справі про неплатоспроможність фізичної особи або фізичної особи – підприємця;</w:t>
            </w:r>
          </w:p>
          <w:p w14:paraId="6E5C1B5F" w14:textId="77777777" w:rsidR="00DE3AAF" w:rsidRPr="00286216" w:rsidRDefault="00DE3AAF" w:rsidP="00DE3AAF">
            <w:pPr>
              <w:pStyle w:val="StyleProp"/>
              <w:spacing w:line="180" w:lineRule="exact"/>
              <w:rPr>
                <w:color w:val="000000" w:themeColor="text1"/>
              </w:rPr>
            </w:pPr>
            <w:r w:rsidRPr="00286216">
              <w:rPr>
                <w:color w:val="000000" w:themeColor="text1"/>
              </w:rPr>
              <w:t>2) чинності рішенням Національної комісії з цінних паперів та фондового ринку або Національного банку України про:</w:t>
            </w:r>
          </w:p>
          <w:p w14:paraId="5E92FA67" w14:textId="77777777" w:rsidR="00DE3AAF" w:rsidRPr="00286216" w:rsidRDefault="00DE3AAF" w:rsidP="00DE3AAF">
            <w:pPr>
              <w:pStyle w:val="StyleProp"/>
              <w:spacing w:line="180" w:lineRule="exact"/>
              <w:rPr>
                <w:color w:val="000000" w:themeColor="text1"/>
              </w:rPr>
            </w:pPr>
            <w:r w:rsidRPr="00286216">
              <w:rPr>
                <w:color w:val="000000" w:themeColor="text1"/>
              </w:rPr>
              <w:t>а) запровадження тимчасової адміністрації та/або призначення тимчасового адміністратора та/або відсторонення керівництва, за умови що будь-яке із таких рішень має наслідком обмеження або відтермінування можливості здійснення передачі активів або переказу коштів;</w:t>
            </w:r>
          </w:p>
          <w:p w14:paraId="479D3B07" w14:textId="77777777" w:rsidR="00DE3AAF" w:rsidRPr="00286216" w:rsidRDefault="00DE3AAF" w:rsidP="00DE3AAF">
            <w:pPr>
              <w:pStyle w:val="StyleProp"/>
              <w:spacing w:line="180" w:lineRule="exact"/>
              <w:rPr>
                <w:color w:val="000000" w:themeColor="text1"/>
              </w:rPr>
            </w:pPr>
            <w:r w:rsidRPr="00286216">
              <w:rPr>
                <w:color w:val="000000" w:themeColor="text1"/>
              </w:rPr>
              <w:t>б) відкликання (анулювання) ліцензії на провадження діяльності з надання фінансових послуг та/або ліквідацію, за умови, що будь-яке з таких рішень має наслідком обмеження або відтермінування можливості здійснення передачі активів або переказу коштів;</w:t>
            </w:r>
          </w:p>
          <w:p w14:paraId="75EE4DD0" w14:textId="77777777" w:rsidR="00DE3AAF" w:rsidRPr="00286216" w:rsidRDefault="00DE3AAF" w:rsidP="00DE3AAF">
            <w:pPr>
              <w:pStyle w:val="StyleProp"/>
              <w:spacing w:line="180" w:lineRule="exact"/>
              <w:rPr>
                <w:color w:val="000000" w:themeColor="text1"/>
              </w:rPr>
            </w:pPr>
            <w:r w:rsidRPr="00286216">
              <w:rPr>
                <w:color w:val="000000" w:themeColor="text1"/>
              </w:rPr>
              <w:t>в) віднесення банку до категорії неплатоспроможних.</w:t>
            </w:r>
          </w:p>
          <w:p w14:paraId="522C0F56" w14:textId="77777777" w:rsidR="00DE3AAF" w:rsidRPr="00286216" w:rsidRDefault="00DE3AAF" w:rsidP="00DE3AAF">
            <w:pPr>
              <w:pStyle w:val="StyleProp"/>
              <w:spacing w:line="180" w:lineRule="exact"/>
              <w:rPr>
                <w:color w:val="000000" w:themeColor="text1"/>
              </w:rPr>
            </w:pPr>
            <w:r w:rsidRPr="00286216">
              <w:rPr>
                <w:color w:val="000000" w:themeColor="text1"/>
              </w:rPr>
              <w:t>2. Для цілей цього Закону моментом опублікування передбачених частиною першою цієї статті рішень є:</w:t>
            </w:r>
          </w:p>
          <w:p w14:paraId="7F5529EF" w14:textId="77777777" w:rsidR="00DE3AAF" w:rsidRPr="00286216" w:rsidRDefault="00DE3AAF" w:rsidP="00DE3AAF">
            <w:pPr>
              <w:pStyle w:val="StyleProp"/>
              <w:spacing w:line="180" w:lineRule="exact"/>
              <w:rPr>
                <w:color w:val="000000" w:themeColor="text1"/>
              </w:rPr>
            </w:pPr>
            <w:r w:rsidRPr="00286216">
              <w:rPr>
                <w:color w:val="000000" w:themeColor="text1"/>
              </w:rPr>
              <w:t>1) щодо рішення, передбаченого пунктом 1 частини першої цієї статті, – момент надсилання судового рішення особі, яка провадить клірингову діяльність, на її на офіційну електронну адресу, зареєстровану в Єдиній судовій інформаційно-телекомунікаційній системі;</w:t>
            </w:r>
          </w:p>
          <w:p w14:paraId="0136B1E9" w14:textId="77777777" w:rsidR="00DE3AAF" w:rsidRPr="00286216" w:rsidRDefault="00DE3AAF" w:rsidP="00DE3AAF">
            <w:pPr>
              <w:pStyle w:val="StyleProp"/>
              <w:spacing w:line="180" w:lineRule="exact"/>
              <w:rPr>
                <w:color w:val="000000" w:themeColor="text1"/>
              </w:rPr>
            </w:pPr>
            <w:r w:rsidRPr="00286216">
              <w:rPr>
                <w:color w:val="000000" w:themeColor="text1"/>
              </w:rPr>
              <w:t>2) щодо рішень, передбачених пунктом 2 частини першої цієї статті, – момент опублікування тексту відповідного рішення на офіційному веб-сайті Національної комісії з цінних паперів та фондового ринку або Національного банку України.</w:t>
            </w:r>
          </w:p>
          <w:p w14:paraId="2A53E354"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3. Національна комісія з цінних паперів та фондового ринку та Національний банк України одночасно з опублікуванням тексту відповідного рішення, передбаченого частиною першою цієї статті, надсилає текст такого рішення особам, які провадять </w:t>
            </w:r>
            <w:r w:rsidRPr="00286216">
              <w:rPr>
                <w:color w:val="000000" w:themeColor="text1"/>
              </w:rPr>
              <w:lastRenderedPageBreak/>
              <w:t>клірингову діяльність, на їх офіційну електронну адресу.</w:t>
            </w:r>
          </w:p>
          <w:p w14:paraId="6F44E362" w14:textId="77777777" w:rsidR="00DE3AAF" w:rsidRPr="00286216" w:rsidRDefault="00DE3AAF" w:rsidP="00DE3AAF">
            <w:pPr>
              <w:pStyle w:val="StyleProp"/>
              <w:spacing w:line="180" w:lineRule="exact"/>
              <w:rPr>
                <w:color w:val="000000" w:themeColor="text1"/>
              </w:rPr>
            </w:pPr>
            <w:r w:rsidRPr="00286216">
              <w:rPr>
                <w:color w:val="000000" w:themeColor="text1"/>
              </w:rPr>
              <w:t>Національна комісія з цінних паперів та фондового ринку та Національний банк України у встановленому ними порядку здійснюють обмін інформацією про прийняті ними рішення, передбачені частиною першою цієї статті.</w:t>
            </w:r>
          </w:p>
          <w:p w14:paraId="0CD1B8DD" w14:textId="7BE18C32" w:rsidR="00DE3AAF" w:rsidRPr="00286216" w:rsidRDefault="00DE3AAF" w:rsidP="00DE3AAF">
            <w:pPr>
              <w:pStyle w:val="StyleProp"/>
              <w:spacing w:line="180" w:lineRule="exact"/>
              <w:rPr>
                <w:color w:val="000000" w:themeColor="text1"/>
              </w:rPr>
            </w:pPr>
            <w:r w:rsidRPr="00286216">
              <w:rPr>
                <w:color w:val="000000" w:themeColor="text1"/>
              </w:rPr>
              <w:t>Стаття 5</w:t>
            </w:r>
            <w:r w:rsidRPr="00286216">
              <w:rPr>
                <w:color w:val="000000" w:themeColor="text1"/>
                <w:vertAlign w:val="superscript"/>
              </w:rPr>
              <w:t xml:space="preserve"> 5</w:t>
            </w:r>
            <w:r w:rsidRPr="00286216">
              <w:rPr>
                <w:color w:val="000000" w:themeColor="text1"/>
              </w:rPr>
              <w:t>. Ліквідаційний неттінг</w:t>
            </w:r>
          </w:p>
          <w:p w14:paraId="64ADA138" w14:textId="77777777" w:rsidR="00DE3AAF" w:rsidRPr="00286216" w:rsidRDefault="00DE3AAF" w:rsidP="00DE3AAF">
            <w:pPr>
              <w:pStyle w:val="StyleProp"/>
              <w:spacing w:line="180" w:lineRule="exact"/>
              <w:rPr>
                <w:color w:val="000000" w:themeColor="text1"/>
              </w:rPr>
            </w:pPr>
            <w:r w:rsidRPr="00286216">
              <w:rPr>
                <w:color w:val="000000" w:themeColor="text1"/>
              </w:rPr>
              <w:t>1. Ліквідаційний неттінг – здійснення усіх таких дій відповідно до угоди щодо ліквідаційного неттінгу:</w:t>
            </w:r>
          </w:p>
          <w:p w14:paraId="740EBE41" w14:textId="77777777" w:rsidR="00DE3AAF" w:rsidRPr="00286216" w:rsidRDefault="00DE3AAF" w:rsidP="00DE3AAF">
            <w:pPr>
              <w:pStyle w:val="StyleProp"/>
              <w:spacing w:line="180" w:lineRule="exact"/>
              <w:rPr>
                <w:color w:val="000000" w:themeColor="text1"/>
              </w:rPr>
            </w:pPr>
            <w:r w:rsidRPr="00286216">
              <w:rPr>
                <w:color w:val="000000" w:themeColor="text1"/>
              </w:rPr>
              <w:t>1)  здійснення особою, зазначеною в угоді щодо ліквідаційного неттінгу, розрахунку вартості зобов’язань сторін угоди щодо ліквідаційного неттінгу за одним або кількома похідними (деривативами), що існували станом на дату ліквідаційного неттінгу, та були укладені цими сторонами з посиланням на обов’язковість для них угоди щодо ліквідаційного неттінгу. Порядок здійснення такого розрахунку передбачається угодою щодо ліквідаційного неттінгу;</w:t>
            </w:r>
          </w:p>
          <w:p w14:paraId="74A5A671" w14:textId="77777777" w:rsidR="00DE3AAF" w:rsidRPr="00286216" w:rsidRDefault="00DE3AAF" w:rsidP="00DE3AAF">
            <w:pPr>
              <w:pStyle w:val="StyleProp"/>
              <w:spacing w:line="18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укладеними такими сторонами угоди щодо ліквідаційного неттінгу з посиланням на обов’язковість для них угоди щодо ліквідаційного неттінгу, у такій послідовності:</w:t>
            </w:r>
          </w:p>
          <w:p w14:paraId="11EF2D5F" w14:textId="77777777" w:rsidR="00DE3AAF" w:rsidRPr="00286216" w:rsidRDefault="00DE3AAF" w:rsidP="00DE3AAF">
            <w:pPr>
              <w:pStyle w:val="StyleProp"/>
              <w:spacing w:line="18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статті. При цьому вважається, що строк виконання вимог за такими новими грошовими зобов’язаннями настав;</w:t>
            </w:r>
          </w:p>
          <w:p w14:paraId="1FAC53C8" w14:textId="77777777" w:rsidR="00DE3AAF" w:rsidRPr="00286216" w:rsidRDefault="00DE3AAF" w:rsidP="00DE3AAF">
            <w:pPr>
              <w:pStyle w:val="StyleProp"/>
              <w:spacing w:line="18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3116D0F6" w14:textId="77777777" w:rsidR="00DE3AAF" w:rsidRPr="00286216" w:rsidRDefault="00DE3AAF" w:rsidP="00DE3AAF">
            <w:pPr>
              <w:pStyle w:val="StyleProp"/>
              <w:spacing w:line="180" w:lineRule="exact"/>
              <w:rPr>
                <w:color w:val="000000" w:themeColor="text1"/>
              </w:rPr>
            </w:pPr>
            <w:r w:rsidRPr="00286216">
              <w:rPr>
                <w:color w:val="000000" w:themeColor="text1"/>
              </w:rPr>
              <w:t>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похідними (деривативами), укладеними такими сторонами угоди щодо ліквідаційного неттінгу.</w:t>
            </w:r>
          </w:p>
          <w:p w14:paraId="535B34C6" w14:textId="77777777" w:rsidR="00DE3AAF" w:rsidRPr="00286216" w:rsidRDefault="00DE3AAF" w:rsidP="00DE3AAF">
            <w:pPr>
              <w:pStyle w:val="StyleProp"/>
              <w:spacing w:line="180" w:lineRule="exact"/>
              <w:rPr>
                <w:color w:val="000000" w:themeColor="text1"/>
              </w:rPr>
            </w:pPr>
            <w:r w:rsidRPr="00286216">
              <w:rPr>
                <w:color w:val="000000" w:themeColor="text1"/>
              </w:rPr>
              <w:lastRenderedPageBreak/>
              <w:t>Для цілей цієї статті:</w:t>
            </w:r>
          </w:p>
          <w:p w14:paraId="6D046DBD" w14:textId="77777777" w:rsidR="00DE3AAF" w:rsidRPr="00286216" w:rsidRDefault="00DE3AAF" w:rsidP="00DE3AAF">
            <w:pPr>
              <w:pStyle w:val="StyleProp"/>
              <w:spacing w:line="180" w:lineRule="exact"/>
              <w:rPr>
                <w:color w:val="000000" w:themeColor="text1"/>
              </w:rPr>
            </w:pPr>
            <w:r w:rsidRPr="00286216">
              <w:rPr>
                <w:color w:val="000000" w:themeColor="text1"/>
              </w:rPr>
              <w:t>1) угода щодо ліквідаційного неттінгу –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клірингового обслуговування з особою, яка провадить клірингову діяльність;</w:t>
            </w:r>
          </w:p>
          <w:p w14:paraId="5DF2D562" w14:textId="77777777" w:rsidR="00DE3AAF" w:rsidRPr="00286216" w:rsidRDefault="00DE3AAF" w:rsidP="00DE3AAF">
            <w:pPr>
              <w:pStyle w:val="StyleProp"/>
              <w:spacing w:line="180" w:lineRule="exact"/>
              <w:rPr>
                <w:color w:val="000000" w:themeColor="text1"/>
              </w:rPr>
            </w:pPr>
            <w:r w:rsidRPr="00286216">
              <w:rPr>
                <w:color w:val="000000" w:themeColor="text1"/>
              </w:rPr>
              <w:t>2) сторони угоди щодо ліквідаційного неттінгу – сторони документу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клірингового обслуговування з особою, якій сторони похідного (деривативу) направили розпорядження на проведення клірингу;</w:t>
            </w:r>
          </w:p>
          <w:p w14:paraId="47F0F5D4" w14:textId="77777777" w:rsidR="00DE3AAF" w:rsidRPr="00286216" w:rsidRDefault="00DE3AAF" w:rsidP="00DE3AAF">
            <w:pPr>
              <w:pStyle w:val="StyleProp"/>
              <w:spacing w:line="180" w:lineRule="exact"/>
              <w:rPr>
                <w:color w:val="000000" w:themeColor="text1"/>
              </w:rPr>
            </w:pPr>
            <w:r w:rsidRPr="00286216">
              <w:rPr>
                <w:color w:val="000000" w:themeColor="text1"/>
              </w:rPr>
              <w:t>3) дата ліквідаційного неттінгу – дата, зазначена в угоді щодо ліквідаційного неттінгу, або дата, передбачена статтею 5-4 цього Закону, залежно від того, яка з них настає раніше;</w:t>
            </w:r>
          </w:p>
          <w:p w14:paraId="0213AF12" w14:textId="77777777" w:rsidR="00DE3AAF" w:rsidRPr="00286216" w:rsidRDefault="00DE3AAF" w:rsidP="00DE3AAF">
            <w:pPr>
              <w:pStyle w:val="StyleProp"/>
              <w:spacing w:line="180" w:lineRule="exact"/>
              <w:rPr>
                <w:color w:val="000000" w:themeColor="text1"/>
              </w:rPr>
            </w:pPr>
            <w:r w:rsidRPr="00286216">
              <w:rPr>
                <w:color w:val="000000" w:themeColor="text1"/>
              </w:rPr>
              <w:t>4) 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482FEBFA" w14:textId="77777777" w:rsidR="00DE3AAF" w:rsidRPr="00286216" w:rsidRDefault="00DE3AAF" w:rsidP="00DE3AAF">
            <w:pPr>
              <w:pStyle w:val="StyleProp"/>
              <w:spacing w:line="180" w:lineRule="exact"/>
              <w:rPr>
                <w:color w:val="000000" w:themeColor="text1"/>
              </w:rPr>
            </w:pPr>
            <w:r w:rsidRPr="00286216">
              <w:rPr>
                <w:color w:val="000000" w:themeColor="text1"/>
              </w:rPr>
              <w:t>5) 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меншою) та визначається як різниця між сумами зобов’язань таких сторін.</w:t>
            </w:r>
          </w:p>
          <w:p w14:paraId="717CB6A1" w14:textId="77777777" w:rsidR="00DE3AAF" w:rsidRPr="00286216" w:rsidRDefault="00DE3AAF" w:rsidP="00DE3AAF">
            <w:pPr>
              <w:pStyle w:val="StyleProp"/>
              <w:spacing w:line="180" w:lineRule="exact"/>
              <w:rPr>
                <w:color w:val="000000" w:themeColor="text1"/>
              </w:rPr>
            </w:pPr>
            <w:r w:rsidRPr="00286216">
              <w:rPr>
                <w:color w:val="000000" w:themeColor="text1"/>
              </w:rPr>
              <w:t>2.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похідними (деривативами), укладеними такою стороною з посиланням на обов’язковість угоди щодо ліквідаційного неттінгу, здійснюється в позасудовому порядку та не потребують будь-якої згоди та/або затвердження такої сторони або будь-якої іншої особи.</w:t>
            </w:r>
          </w:p>
          <w:p w14:paraId="5877230A" w14:textId="77777777" w:rsidR="00DE3AAF" w:rsidRPr="00286216" w:rsidRDefault="00DE3AAF" w:rsidP="00DE3AAF">
            <w:pPr>
              <w:pStyle w:val="StyleProp"/>
              <w:spacing w:line="180" w:lineRule="exact"/>
              <w:rPr>
                <w:color w:val="000000" w:themeColor="text1"/>
              </w:rPr>
            </w:pPr>
            <w:r w:rsidRPr="00286216">
              <w:rPr>
                <w:color w:val="000000" w:themeColor="text1"/>
              </w:rPr>
              <w:t>3. Ліквідаційний неттінг не проводиться в будь-якому з таких випадків:</w:t>
            </w:r>
          </w:p>
          <w:p w14:paraId="6D882DD7"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1) якщо відповідна угода щодо </w:t>
            </w:r>
            <w:r w:rsidRPr="00286216">
              <w:rPr>
                <w:color w:val="000000" w:themeColor="text1"/>
              </w:rPr>
              <w:lastRenderedPageBreak/>
              <w:t>ліквідаційного неттінгу укладена після прийняття рішення, передбаченого статтею 5-4 цього Закону;</w:t>
            </w:r>
          </w:p>
          <w:p w14:paraId="1C5390F0" w14:textId="77777777" w:rsidR="00DE3AAF" w:rsidRPr="00286216" w:rsidRDefault="00DE3AAF" w:rsidP="00DE3AAF">
            <w:pPr>
              <w:pStyle w:val="StyleProp"/>
              <w:spacing w:line="180" w:lineRule="exact"/>
              <w:rPr>
                <w:color w:val="000000" w:themeColor="text1"/>
                <w:spacing w:val="-2"/>
              </w:rPr>
            </w:pPr>
            <w:r w:rsidRPr="00286216">
              <w:rPr>
                <w:color w:val="000000" w:themeColor="text1"/>
              </w:rPr>
              <w:t xml:space="preserve">2) якщо похідний (дериватив), укладений стороною з посиланням на обов’язковість </w:t>
            </w:r>
            <w:r w:rsidRPr="00286216">
              <w:rPr>
                <w:color w:val="000000" w:themeColor="text1"/>
                <w:spacing w:val="-2"/>
              </w:rPr>
              <w:t>відповідної угоди щодо ліквідаційного неттінгу, був укладений після прийняття рішення, передбаченого статтею 5-4 цього Закону.</w:t>
            </w:r>
          </w:p>
          <w:p w14:paraId="4CEBF62B" w14:textId="77777777" w:rsidR="00DE3AAF" w:rsidRPr="00286216" w:rsidRDefault="00DE3AAF" w:rsidP="00DE3AAF">
            <w:pPr>
              <w:pStyle w:val="StyleProp"/>
              <w:spacing w:line="180" w:lineRule="exact"/>
              <w:rPr>
                <w:color w:val="000000" w:themeColor="text1"/>
                <w:spacing w:val="-2"/>
              </w:rPr>
            </w:pPr>
            <w:r w:rsidRPr="00286216">
              <w:rPr>
                <w:color w:val="000000" w:themeColor="text1"/>
                <w:spacing w:val="-2"/>
              </w:rPr>
              <w:t>4.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134FA531" w14:textId="77777777" w:rsidR="00DE3AAF" w:rsidRPr="00286216" w:rsidRDefault="00DE3AAF" w:rsidP="00DE3AAF">
            <w:pPr>
              <w:pStyle w:val="StyleProp"/>
              <w:spacing w:line="180" w:lineRule="exact"/>
              <w:rPr>
                <w:color w:val="000000" w:themeColor="text1"/>
                <w:spacing w:val="-2"/>
              </w:rPr>
            </w:pPr>
            <w:r w:rsidRPr="00286216">
              <w:rPr>
                <w:color w:val="000000" w:themeColor="text1"/>
                <w:spacing w:val="-2"/>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71810CE8" w14:textId="77777777" w:rsidR="00DE3AAF" w:rsidRPr="00286216" w:rsidRDefault="00DE3AAF" w:rsidP="00DE3AAF">
            <w:pPr>
              <w:pStyle w:val="StyleProp"/>
              <w:spacing w:line="180" w:lineRule="exact"/>
              <w:rPr>
                <w:color w:val="000000" w:themeColor="text1"/>
                <w:spacing w:val="-2"/>
              </w:rPr>
            </w:pPr>
            <w:r w:rsidRPr="00286216">
              <w:rPr>
                <w:color w:val="000000" w:themeColor="text1"/>
                <w:spacing w:val="-2"/>
              </w:rPr>
              <w:t xml:space="preserve">5. Положення цієї статті не застосовується до похідних (деривативів), укладених без участі або посередництва торгівця цінними паперами. </w:t>
            </w:r>
          </w:p>
          <w:p w14:paraId="7ED924C0" w14:textId="77777777" w:rsidR="00DE3AAF" w:rsidRPr="00286216" w:rsidRDefault="00DE3AAF" w:rsidP="00DE3AAF">
            <w:pPr>
              <w:pStyle w:val="StyleProp"/>
              <w:spacing w:line="180" w:lineRule="exact"/>
              <w:rPr>
                <w:color w:val="000000" w:themeColor="text1"/>
              </w:rPr>
            </w:pPr>
            <w:r w:rsidRPr="00286216">
              <w:rPr>
                <w:color w:val="000000" w:themeColor="text1"/>
                <w:spacing w:val="-2"/>
              </w:rPr>
              <w:t>6. Положення цієї статті застосовується також до правочинів щодо цінних паперів, та правочинів, вчинених з метою забезпечення виконання зобов’язань за такими правочинами з посиланням на обов’язковість відповідної угоди щодо</w:t>
            </w:r>
            <w:r w:rsidRPr="00286216">
              <w:rPr>
                <w:color w:val="000000" w:themeColor="text1"/>
              </w:rPr>
              <w:t xml:space="preserve"> ліквідаційного неттінгу».</w:t>
            </w:r>
          </w:p>
          <w:p w14:paraId="6B63DF58" w14:textId="1CAA5D36" w:rsidR="00DE3AAF" w:rsidRPr="00286216" w:rsidRDefault="00DE3AAF" w:rsidP="00DE3AAF">
            <w:pPr>
              <w:pStyle w:val="StyleProp"/>
              <w:spacing w:line="180" w:lineRule="exact"/>
              <w:rPr>
                <w:color w:val="000000" w:themeColor="text1"/>
              </w:rPr>
            </w:pPr>
            <w:r w:rsidRPr="00286216">
              <w:rPr>
                <w:color w:val="000000" w:themeColor="text1"/>
              </w:rPr>
              <w:t>У зв’язку з цим доповнити пункт 1 розділу 4 новим підпунктом щодо набрання чинності цими змінами з дня, наступного за днем опублікування цього Закону.</w:t>
            </w:r>
          </w:p>
        </w:tc>
        <w:tc>
          <w:tcPr>
            <w:tcW w:w="1987" w:type="dxa"/>
          </w:tcPr>
          <w:p w14:paraId="717C2E13" w14:textId="5FE4CD55" w:rsidR="00DE3AAF" w:rsidRPr="00286216" w:rsidRDefault="00DE3AAF" w:rsidP="00DE3AAF">
            <w:pPr>
              <w:pStyle w:val="StyleWisnow"/>
              <w:rPr>
                <w:color w:val="000000" w:themeColor="text1"/>
              </w:rPr>
            </w:pPr>
            <w:r w:rsidRPr="00286216">
              <w:rPr>
                <w:color w:val="000000" w:themeColor="text1"/>
              </w:rPr>
              <w:lastRenderedPageBreak/>
              <w:t>Враховано частково</w:t>
            </w:r>
          </w:p>
        </w:tc>
        <w:tc>
          <w:tcPr>
            <w:tcW w:w="4818" w:type="dxa"/>
          </w:tcPr>
          <w:p w14:paraId="26555CD5" w14:textId="77777777" w:rsidR="00DE3AAF" w:rsidRPr="00286216" w:rsidRDefault="00DE3AAF" w:rsidP="00DE3AAF">
            <w:pPr>
              <w:pStyle w:val="StyleZakonu"/>
              <w:rPr>
                <w:color w:val="000000" w:themeColor="text1"/>
              </w:rPr>
            </w:pPr>
            <w:r w:rsidRPr="00286216">
              <w:rPr>
                <w:color w:val="000000" w:themeColor="text1"/>
              </w:rPr>
              <w:t>37. Закон України "Про цінні папери та фондовий ринок" (Відомості Верховної Ради України, 2006 р., № 31, ст. 268), із наступними змінами) доповнити статтями 5</w:t>
            </w:r>
            <w:r w:rsidRPr="00286216">
              <w:rPr>
                <w:color w:val="000000" w:themeColor="text1"/>
                <w:vertAlign w:val="superscript"/>
              </w:rPr>
              <w:t>-3</w:t>
            </w:r>
            <w:r w:rsidRPr="00286216">
              <w:rPr>
                <w:color w:val="000000" w:themeColor="text1"/>
              </w:rPr>
              <w:t>, 5</w:t>
            </w:r>
            <w:r w:rsidRPr="00286216">
              <w:rPr>
                <w:color w:val="000000" w:themeColor="text1"/>
                <w:vertAlign w:val="superscript"/>
              </w:rPr>
              <w:t xml:space="preserve">4  </w:t>
            </w:r>
            <w:r w:rsidRPr="00286216">
              <w:rPr>
                <w:color w:val="000000" w:themeColor="text1"/>
              </w:rPr>
              <w:t xml:space="preserve">і 5 </w:t>
            </w:r>
            <w:r w:rsidRPr="00286216">
              <w:rPr>
                <w:color w:val="000000" w:themeColor="text1"/>
                <w:vertAlign w:val="superscript"/>
              </w:rPr>
              <w:t xml:space="preserve">5 </w:t>
            </w:r>
            <w:r w:rsidRPr="00286216">
              <w:rPr>
                <w:color w:val="000000" w:themeColor="text1"/>
              </w:rPr>
              <w:t>такого змісту:</w:t>
            </w:r>
          </w:p>
          <w:p w14:paraId="601AF370" w14:textId="4D2D08EB" w:rsidR="00DE3AAF" w:rsidRPr="00286216" w:rsidRDefault="00DE3AAF" w:rsidP="00DE3AAF">
            <w:pPr>
              <w:pStyle w:val="StyleZakonu"/>
              <w:rPr>
                <w:color w:val="000000" w:themeColor="text1"/>
              </w:rPr>
            </w:pPr>
            <w:r w:rsidRPr="00286216">
              <w:rPr>
                <w:color w:val="000000" w:themeColor="text1"/>
              </w:rPr>
              <w:t>"Стаття 5</w:t>
            </w:r>
            <w:r w:rsidRPr="00286216">
              <w:rPr>
                <w:color w:val="000000" w:themeColor="text1"/>
                <w:vertAlign w:val="superscript"/>
              </w:rPr>
              <w:t>-3</w:t>
            </w:r>
            <w:r w:rsidRPr="00286216">
              <w:rPr>
                <w:color w:val="000000" w:themeColor="text1"/>
              </w:rPr>
              <w:t>. Остаточність проведення розрахунків за (похідними) деривативами та правочинами щодо цінних паперів</w:t>
            </w:r>
          </w:p>
          <w:p w14:paraId="04FA01BB" w14:textId="77777777" w:rsidR="00DE3AAF" w:rsidRPr="00286216" w:rsidRDefault="00DE3AAF" w:rsidP="00DE3AAF">
            <w:pPr>
              <w:pStyle w:val="StyleZakonu"/>
              <w:rPr>
                <w:color w:val="000000" w:themeColor="text1"/>
              </w:rPr>
            </w:pPr>
            <w:r w:rsidRPr="00286216">
              <w:rPr>
                <w:color w:val="000000" w:themeColor="text1"/>
              </w:rPr>
              <w:t>1. Вважаються дійсними, законними, безвідкличними та обов’язковими для виконання такі розпорядження та/або документи, надіслані стороною похідного (деривативу) чи правочину щодо цінних паперів або будь-якою третьою особою до моменту оприлюднення рішень, передбачених статтею 5</w:t>
            </w:r>
            <w:r w:rsidRPr="00286216">
              <w:rPr>
                <w:color w:val="000000" w:themeColor="text1"/>
                <w:vertAlign w:val="superscript"/>
              </w:rPr>
              <w:t>4</w:t>
            </w:r>
            <w:r w:rsidRPr="00286216">
              <w:rPr>
                <w:color w:val="000000" w:themeColor="text1"/>
              </w:rPr>
              <w:t xml:space="preserve"> цього Закону:</w:t>
            </w:r>
          </w:p>
          <w:p w14:paraId="062127F2" w14:textId="77777777" w:rsidR="00DE3AAF" w:rsidRPr="00286216" w:rsidRDefault="00DE3AAF" w:rsidP="00DE3AAF">
            <w:pPr>
              <w:pStyle w:val="StyleZakonu"/>
              <w:rPr>
                <w:color w:val="000000" w:themeColor="text1"/>
              </w:rPr>
            </w:pPr>
            <w:r w:rsidRPr="00286216">
              <w:rPr>
                <w:color w:val="000000" w:themeColor="text1"/>
              </w:rPr>
              <w:t>1) розпорядження щодо обтяження чи переказу коштів;</w:t>
            </w:r>
          </w:p>
          <w:p w14:paraId="41062D8E" w14:textId="77777777" w:rsidR="00DE3AAF" w:rsidRPr="00286216" w:rsidRDefault="00DE3AAF" w:rsidP="00DE3AAF">
            <w:pPr>
              <w:pStyle w:val="StyleZakonu"/>
              <w:rPr>
                <w:color w:val="000000" w:themeColor="text1"/>
              </w:rPr>
            </w:pPr>
            <w:r w:rsidRPr="00286216">
              <w:rPr>
                <w:color w:val="000000" w:themeColor="text1"/>
              </w:rPr>
              <w:t>2) розпорядження щодо переказу цінних паперів (прав на цінні папери та/або прав за цінними паперами), проведення операцій, пов’язаних із встановленням та зняттям обмежень прав на цінні папери та/або прав за цінними паперами;</w:t>
            </w:r>
          </w:p>
          <w:p w14:paraId="250E74BB" w14:textId="77777777" w:rsidR="00DE3AAF" w:rsidRPr="00286216" w:rsidRDefault="00DE3AAF" w:rsidP="00DE3AAF">
            <w:pPr>
              <w:pStyle w:val="StyleZakonu"/>
              <w:rPr>
                <w:color w:val="000000" w:themeColor="text1"/>
              </w:rPr>
            </w:pPr>
            <w:r w:rsidRPr="00286216">
              <w:rPr>
                <w:color w:val="000000" w:themeColor="text1"/>
              </w:rPr>
              <w:t>3) розпорядження щодо похідного (деривативу);</w:t>
            </w:r>
          </w:p>
          <w:p w14:paraId="36A10319" w14:textId="77777777" w:rsidR="00DE3AAF" w:rsidRPr="00286216" w:rsidRDefault="00DE3AAF" w:rsidP="00DE3AAF">
            <w:pPr>
              <w:pStyle w:val="StyleZakonu"/>
              <w:rPr>
                <w:color w:val="000000" w:themeColor="text1"/>
              </w:rPr>
            </w:pPr>
            <w:r w:rsidRPr="00286216">
              <w:rPr>
                <w:color w:val="000000" w:themeColor="text1"/>
              </w:rPr>
              <w:t>4) розпорядження щодо майнових прав на активи, передбачені пунктами 1-2 цієї частини;</w:t>
            </w:r>
          </w:p>
          <w:p w14:paraId="5A00B5C4" w14:textId="77777777" w:rsidR="00DE3AAF" w:rsidRPr="00286216" w:rsidRDefault="00DE3AAF" w:rsidP="00DE3AAF">
            <w:pPr>
              <w:pStyle w:val="StyleZakonu"/>
              <w:rPr>
                <w:color w:val="000000" w:themeColor="text1"/>
              </w:rPr>
            </w:pPr>
            <w:r w:rsidRPr="00286216">
              <w:rPr>
                <w:color w:val="000000" w:themeColor="text1"/>
              </w:rPr>
              <w:t>5) інші передбачені законодавством документи щодо похідних (деривативів) та цінних паперів, надіслані особам, які провадять клірингову діяльність, або особам, які приймають та виконують відповідні документи та/або розпорядження.</w:t>
            </w:r>
          </w:p>
          <w:p w14:paraId="6849F851" w14:textId="77777777" w:rsidR="00DE3AAF" w:rsidRPr="00286216" w:rsidRDefault="00DE3AAF" w:rsidP="00DE3AAF">
            <w:pPr>
              <w:pStyle w:val="StyleZakonu"/>
              <w:rPr>
                <w:color w:val="000000" w:themeColor="text1"/>
              </w:rPr>
            </w:pPr>
            <w:r w:rsidRPr="00286216">
              <w:rPr>
                <w:color w:val="000000" w:themeColor="text1"/>
              </w:rPr>
              <w:t>Вважаються дійсними, законними, безвідкличними та обов’язковими для виконання розпорядження, що були надіслані фондовою біржею після моменту оприлюднення рішень, передбачених статтею 5</w:t>
            </w:r>
            <w:r w:rsidRPr="00286216">
              <w:rPr>
                <w:color w:val="000000" w:themeColor="text1"/>
                <w:vertAlign w:val="superscript"/>
              </w:rPr>
              <w:t>4</w:t>
            </w:r>
            <w:r w:rsidRPr="00286216">
              <w:rPr>
                <w:color w:val="000000" w:themeColor="text1"/>
              </w:rPr>
              <w:t xml:space="preserve"> цього Закону, але до кінця цього самого робочого дня, та які стосуються виключно тих активів, що були до моменту зазначеного </w:t>
            </w:r>
            <w:r w:rsidRPr="00286216">
              <w:rPr>
                <w:color w:val="000000" w:themeColor="text1"/>
              </w:rPr>
              <w:lastRenderedPageBreak/>
              <w:t>оприлюднення заблоковані для проведення операцій на фондовій біржі.</w:t>
            </w:r>
          </w:p>
          <w:p w14:paraId="78C82CA4" w14:textId="77777777" w:rsidR="00DE3AAF" w:rsidRPr="00286216" w:rsidRDefault="00DE3AAF" w:rsidP="00DE3AAF">
            <w:pPr>
              <w:pStyle w:val="StyleZakonu"/>
              <w:rPr>
                <w:color w:val="000000" w:themeColor="text1"/>
              </w:rPr>
            </w:pPr>
            <w:r w:rsidRPr="00286216">
              <w:rPr>
                <w:color w:val="000000" w:themeColor="text1"/>
              </w:rPr>
              <w:t xml:space="preserve">2. Вважаються дійсними,  законними, безвідкличними та обов’язковими для виконання для будь-яких третіх осіб розпорядження та/або документи , передбачені частиною першою цієї статті, виконання яких розпочалося після моменту оприлюднення рішення, передбаченого статтею 5 </w:t>
            </w:r>
            <w:r w:rsidRPr="00286216">
              <w:rPr>
                <w:color w:val="000000" w:themeColor="text1"/>
                <w:vertAlign w:val="superscript"/>
              </w:rPr>
              <w:t>4</w:t>
            </w:r>
            <w:r w:rsidRPr="00286216">
              <w:rPr>
                <w:color w:val="000000" w:themeColor="text1"/>
              </w:rPr>
              <w:t xml:space="preserve"> цього Закону, і тривало до закінчення робочого дня, коли було оприлюднено таке рішення, у разі якщо на момент початку виконання таких розпоряджень та/або документів особі, яка провадить клірингову діяльність, або особі, яка приймає та виконує такі розпорядження та/або документи, не було відомо та не могло бути відомо про факт оприлюднення такого рішення.</w:t>
            </w:r>
          </w:p>
          <w:p w14:paraId="32657B07" w14:textId="77777777" w:rsidR="00DE3AAF" w:rsidRPr="00286216" w:rsidRDefault="00DE3AAF" w:rsidP="00DE3AAF">
            <w:pPr>
              <w:pStyle w:val="StyleZakonu"/>
              <w:rPr>
                <w:color w:val="000000" w:themeColor="text1"/>
              </w:rPr>
            </w:pPr>
            <w:r w:rsidRPr="00286216">
              <w:rPr>
                <w:color w:val="000000" w:themeColor="text1"/>
              </w:rPr>
              <w:t>3. Положення законів щодо нікчемності або визнання недійсності правочинів не застосовуються до  розпоряджень та/або документів, передбачених частиною першою цієї статті.</w:t>
            </w:r>
          </w:p>
          <w:p w14:paraId="7A2D814C" w14:textId="77777777" w:rsidR="00DE3AAF" w:rsidRPr="00286216" w:rsidRDefault="00DE3AAF" w:rsidP="00DE3AAF">
            <w:pPr>
              <w:pStyle w:val="StyleZakonu"/>
              <w:rPr>
                <w:color w:val="000000" w:themeColor="text1"/>
              </w:rPr>
            </w:pPr>
            <w:r w:rsidRPr="00286216">
              <w:rPr>
                <w:color w:val="000000" w:themeColor="text1"/>
              </w:rPr>
              <w:t xml:space="preserve">4. Внутрішні документи особи, яка провадить клірингову діяльність, або особи, яка приймає та виконує відповідні розпорядження та/або документи, надіслані стороною похідного (деривативу), правочину щодо цінних паперів або будь-якою третьою особою, повинні встановлювати порядок виконання таких документів та/або розпоряджень та передбачати механізм фіксації початку такого виконання. </w:t>
            </w:r>
          </w:p>
          <w:p w14:paraId="3EC644EF" w14:textId="77777777" w:rsidR="00DE3AAF" w:rsidRPr="00286216" w:rsidRDefault="00DE3AAF" w:rsidP="00DE3AAF">
            <w:pPr>
              <w:pStyle w:val="StyleZakonu"/>
              <w:rPr>
                <w:color w:val="000000" w:themeColor="text1"/>
              </w:rPr>
            </w:pPr>
            <w:r w:rsidRPr="00286216">
              <w:rPr>
                <w:color w:val="000000" w:themeColor="text1"/>
              </w:rPr>
              <w:t>Зазначений в абзаці першому цієї частини порядок виконання розпоряджень та/або документів повинен з метою виконання таких розпоряджень та/або документів передбачати можливість використання належних особі, яка надіслала такі розпорядження та/або документи, коштів та/або активів, права на які перебувають в системі клірингового обліку на момент оприлюднення рішення, передбаченого статтею 5</w:t>
            </w:r>
            <w:r w:rsidRPr="00286216">
              <w:rPr>
                <w:color w:val="000000" w:themeColor="text1"/>
                <w:vertAlign w:val="superscript"/>
              </w:rPr>
              <w:t>4</w:t>
            </w:r>
            <w:r w:rsidRPr="00286216">
              <w:rPr>
                <w:color w:val="000000" w:themeColor="text1"/>
              </w:rPr>
              <w:t xml:space="preserve"> цього Закону. </w:t>
            </w:r>
          </w:p>
          <w:p w14:paraId="574F5645" w14:textId="77777777" w:rsidR="00DE3AAF" w:rsidRPr="00286216" w:rsidRDefault="00DE3AAF" w:rsidP="00DE3AAF">
            <w:pPr>
              <w:pStyle w:val="StyleZakonu"/>
              <w:rPr>
                <w:color w:val="000000" w:themeColor="text1"/>
              </w:rPr>
            </w:pPr>
            <w:r w:rsidRPr="00286216">
              <w:rPr>
                <w:color w:val="000000" w:themeColor="text1"/>
              </w:rPr>
              <w:t>5. Передбачені частиною першою цієї статті розпорядження та/або документи вважаються дійсними,  законними, безвідкличними та обов’язковими для виконання для будь-яких третіх осіб з моменту, визначеного:</w:t>
            </w:r>
          </w:p>
          <w:p w14:paraId="19AD7FEB" w14:textId="77777777" w:rsidR="00DE3AAF" w:rsidRPr="00286216" w:rsidRDefault="00DE3AAF" w:rsidP="00DE3AAF">
            <w:pPr>
              <w:pStyle w:val="StyleZakonu"/>
              <w:rPr>
                <w:color w:val="000000" w:themeColor="text1"/>
              </w:rPr>
            </w:pPr>
            <w:r w:rsidRPr="00286216">
              <w:rPr>
                <w:color w:val="000000" w:themeColor="text1"/>
              </w:rPr>
              <w:t xml:space="preserve">1) внутрішніми правилами особи, яка приймає та </w:t>
            </w:r>
            <w:r w:rsidRPr="00286216">
              <w:rPr>
                <w:color w:val="000000" w:themeColor="text1"/>
              </w:rPr>
              <w:lastRenderedPageBreak/>
              <w:t>виконує відповідні розпорядження та/або документи ;</w:t>
            </w:r>
          </w:p>
          <w:p w14:paraId="30110E99" w14:textId="77777777" w:rsidR="00DE3AAF" w:rsidRPr="00286216" w:rsidRDefault="00DE3AAF" w:rsidP="00DE3AAF">
            <w:pPr>
              <w:pStyle w:val="StyleZakonu"/>
              <w:rPr>
                <w:color w:val="000000" w:themeColor="text1"/>
              </w:rPr>
            </w:pPr>
            <w:r w:rsidRPr="00286216">
              <w:rPr>
                <w:color w:val="000000" w:themeColor="text1"/>
              </w:rPr>
              <w:t>2) правилами особи, яка провадить клірингову діяльність;</w:t>
            </w:r>
          </w:p>
          <w:p w14:paraId="1969CE37" w14:textId="77777777" w:rsidR="00DE3AAF" w:rsidRPr="00286216" w:rsidRDefault="00DE3AAF" w:rsidP="00DE3AAF">
            <w:pPr>
              <w:pStyle w:val="StyleZakonu"/>
              <w:rPr>
                <w:color w:val="000000" w:themeColor="text1"/>
              </w:rPr>
            </w:pPr>
            <w:r w:rsidRPr="00286216">
              <w:rPr>
                <w:color w:val="000000" w:themeColor="text1"/>
              </w:rPr>
              <w:t xml:space="preserve">3) угодою щодо ліквідаційного неттінгу, передбаченою статтею 5 </w:t>
            </w:r>
            <w:r w:rsidRPr="00286216">
              <w:rPr>
                <w:color w:val="000000" w:themeColor="text1"/>
                <w:vertAlign w:val="superscript"/>
              </w:rPr>
              <w:t>5</w:t>
            </w:r>
            <w:r w:rsidRPr="00286216">
              <w:rPr>
                <w:color w:val="000000" w:themeColor="text1"/>
              </w:rPr>
              <w:t xml:space="preserve"> цього Закону.</w:t>
            </w:r>
          </w:p>
          <w:p w14:paraId="0B18C42A" w14:textId="77777777" w:rsidR="00DE3AAF" w:rsidRPr="00286216" w:rsidRDefault="00DE3AAF" w:rsidP="00DE3AAF">
            <w:pPr>
              <w:pStyle w:val="StyleZakonu"/>
              <w:rPr>
                <w:color w:val="000000" w:themeColor="text1"/>
              </w:rPr>
            </w:pPr>
            <w:r w:rsidRPr="00286216">
              <w:rPr>
                <w:color w:val="000000" w:themeColor="text1"/>
              </w:rPr>
              <w:t>Стаття 5</w:t>
            </w:r>
            <w:r w:rsidRPr="00286216">
              <w:rPr>
                <w:color w:val="000000" w:themeColor="text1"/>
                <w:vertAlign w:val="superscript"/>
              </w:rPr>
              <w:t>4</w:t>
            </w:r>
            <w:r w:rsidRPr="00286216">
              <w:rPr>
                <w:color w:val="000000" w:themeColor="text1"/>
              </w:rPr>
              <w:t xml:space="preserve">. Неплатоспроможність сторони правочину щодо цінних паперів або сторони похідного (деривативу) </w:t>
            </w:r>
          </w:p>
          <w:p w14:paraId="502A2ADE" w14:textId="77777777" w:rsidR="00DE3AAF" w:rsidRPr="00286216" w:rsidRDefault="00DE3AAF" w:rsidP="00DE3AAF">
            <w:pPr>
              <w:pStyle w:val="StyleZakonu"/>
              <w:rPr>
                <w:color w:val="000000" w:themeColor="text1"/>
              </w:rPr>
            </w:pPr>
            <w:r w:rsidRPr="00286216">
              <w:rPr>
                <w:color w:val="000000" w:themeColor="text1"/>
              </w:rPr>
              <w:t>1. Сторона похідного (деривативу) або правочину щодо цінних паперів є неплатоспроможною у разі набрання щодо такої сторони:</w:t>
            </w:r>
          </w:p>
          <w:p w14:paraId="7CBB558B" w14:textId="77777777" w:rsidR="00DE3AAF" w:rsidRPr="00286216" w:rsidRDefault="00DE3AAF" w:rsidP="00DE3AAF">
            <w:pPr>
              <w:pStyle w:val="StyleZakonu"/>
              <w:rPr>
                <w:color w:val="000000" w:themeColor="text1"/>
              </w:rPr>
            </w:pPr>
            <w:r w:rsidRPr="00286216">
              <w:rPr>
                <w:color w:val="000000" w:themeColor="text1"/>
              </w:rPr>
              <w:t>1) законної сили рішенням господарського суду, а саме: ухвалою про відкриття провадження у справі про банкрутство або ухвалою про відкриття провадження у справі про неплатоспроможність фізичної особи або фізичної особи – підприємця;</w:t>
            </w:r>
          </w:p>
          <w:p w14:paraId="39CDBFF7" w14:textId="77777777" w:rsidR="00DE3AAF" w:rsidRPr="00286216" w:rsidRDefault="00DE3AAF" w:rsidP="00DE3AAF">
            <w:pPr>
              <w:pStyle w:val="StyleZakonu"/>
              <w:rPr>
                <w:color w:val="000000" w:themeColor="text1"/>
              </w:rPr>
            </w:pPr>
            <w:r w:rsidRPr="00286216">
              <w:rPr>
                <w:color w:val="000000" w:themeColor="text1"/>
              </w:rPr>
              <w:t>2) чинності рішенням Національної комісії з цінних паперів та фондового ринку або Національного банку України про:</w:t>
            </w:r>
          </w:p>
          <w:p w14:paraId="254A33FC" w14:textId="77777777" w:rsidR="00DE3AAF" w:rsidRPr="00286216" w:rsidRDefault="00DE3AAF" w:rsidP="00DE3AAF">
            <w:pPr>
              <w:pStyle w:val="StyleZakonu"/>
              <w:rPr>
                <w:color w:val="000000" w:themeColor="text1"/>
              </w:rPr>
            </w:pPr>
            <w:r w:rsidRPr="00286216">
              <w:rPr>
                <w:color w:val="000000" w:themeColor="text1"/>
              </w:rPr>
              <w:t>а) запровадження тимчасової адміністрації та/або призначення тимчасового адміністратора та/або відсторонення керівництва, за умови що будь-яке із таких рішень має наслідком обмеження або відтермінування можливості здійснення передачі активів або переказу коштів;</w:t>
            </w:r>
          </w:p>
          <w:p w14:paraId="2AB90870" w14:textId="77777777" w:rsidR="00DE3AAF" w:rsidRPr="00286216" w:rsidRDefault="00DE3AAF" w:rsidP="00DE3AAF">
            <w:pPr>
              <w:pStyle w:val="StyleZakonu"/>
              <w:rPr>
                <w:color w:val="000000" w:themeColor="text1"/>
              </w:rPr>
            </w:pPr>
            <w:r w:rsidRPr="00286216">
              <w:rPr>
                <w:color w:val="000000" w:themeColor="text1"/>
              </w:rPr>
              <w:t>б) відкликання (анулювання) ліцензії на провадження діяльності з надання фінансових послуг та/або ліквідацію, за умови що будь-яке з таких рішень має наслідком обмеження або відтермінування можливості здійснення передачі активів або переказу коштів;</w:t>
            </w:r>
          </w:p>
          <w:p w14:paraId="17858BE1" w14:textId="77777777" w:rsidR="00DE3AAF" w:rsidRPr="00286216" w:rsidRDefault="00DE3AAF" w:rsidP="00DE3AAF">
            <w:pPr>
              <w:pStyle w:val="StyleZakonu"/>
              <w:rPr>
                <w:color w:val="000000" w:themeColor="text1"/>
              </w:rPr>
            </w:pPr>
            <w:r w:rsidRPr="00286216">
              <w:rPr>
                <w:color w:val="000000" w:themeColor="text1"/>
              </w:rPr>
              <w:t>в) віднесення банку до категорії неплатоспроможних.</w:t>
            </w:r>
          </w:p>
          <w:p w14:paraId="7953EC62" w14:textId="77777777" w:rsidR="00DE3AAF" w:rsidRPr="00286216" w:rsidRDefault="00DE3AAF" w:rsidP="00DE3AAF">
            <w:pPr>
              <w:pStyle w:val="StyleZakonu"/>
              <w:rPr>
                <w:color w:val="000000" w:themeColor="text1"/>
              </w:rPr>
            </w:pPr>
            <w:r w:rsidRPr="00286216">
              <w:rPr>
                <w:color w:val="000000" w:themeColor="text1"/>
              </w:rPr>
              <w:t>2. Для цілей цього Закону моментом опублікування передбачених частиною першою цієї статті рішень є:</w:t>
            </w:r>
          </w:p>
          <w:p w14:paraId="23A06DE7" w14:textId="77777777" w:rsidR="00DE3AAF" w:rsidRPr="00286216" w:rsidRDefault="00DE3AAF" w:rsidP="00DE3AAF">
            <w:pPr>
              <w:pStyle w:val="StyleZakonu"/>
              <w:rPr>
                <w:color w:val="000000" w:themeColor="text1"/>
              </w:rPr>
            </w:pPr>
            <w:r w:rsidRPr="00286216">
              <w:rPr>
                <w:color w:val="000000" w:themeColor="text1"/>
              </w:rPr>
              <w:t>1) щодо рішення, передбаченого пунктом 1 частини першої цієї статті, – момент надсилання судового рішення особі, яка провадить клірингову діяльність, на її на офіційну електронну адресу, зареєстровану в Єдиній судовій інформаційно-телекомунікаційній системі;</w:t>
            </w:r>
          </w:p>
          <w:p w14:paraId="5CA50BF6" w14:textId="77777777" w:rsidR="00DE3AAF" w:rsidRPr="00286216" w:rsidRDefault="00DE3AAF" w:rsidP="00DE3AAF">
            <w:pPr>
              <w:pStyle w:val="StyleZakonu"/>
              <w:rPr>
                <w:color w:val="000000" w:themeColor="text1"/>
              </w:rPr>
            </w:pPr>
            <w:r w:rsidRPr="00286216">
              <w:rPr>
                <w:color w:val="000000" w:themeColor="text1"/>
              </w:rPr>
              <w:lastRenderedPageBreak/>
              <w:t>2) щодо рішень, передбачених пунктом 2 частини першої цієї статті, – момент опублікування тексту відповідного рішення на офіційному веб-сайті Національної комісії з цінних паперів та фондового ринку або Національного банку України.</w:t>
            </w:r>
          </w:p>
          <w:p w14:paraId="42C8BC6D" w14:textId="77777777" w:rsidR="00DE3AAF" w:rsidRPr="00286216" w:rsidRDefault="00DE3AAF" w:rsidP="00DE3AAF">
            <w:pPr>
              <w:pStyle w:val="StyleZakonu"/>
              <w:rPr>
                <w:color w:val="000000" w:themeColor="text1"/>
              </w:rPr>
            </w:pPr>
            <w:r w:rsidRPr="00286216">
              <w:rPr>
                <w:color w:val="000000" w:themeColor="text1"/>
              </w:rPr>
              <w:t>3. Національна комісія з цінних паперів та фондового ринку та Національний банк України одночасно з опублікуванням тексту відповідного рішення, передбаченого частиною першою цієї статті, надсилає текст такого рішення особам, які провадять клірингову діяльність, на їх офіційну електронну адресу.</w:t>
            </w:r>
          </w:p>
          <w:p w14:paraId="4B37BD32" w14:textId="29F17632" w:rsidR="00DE3AAF" w:rsidRPr="00286216" w:rsidRDefault="00DE3AAF" w:rsidP="00DE3AAF">
            <w:pPr>
              <w:pStyle w:val="StyleZakonu"/>
              <w:rPr>
                <w:color w:val="000000" w:themeColor="text1"/>
              </w:rPr>
            </w:pPr>
            <w:r w:rsidRPr="00286216">
              <w:rPr>
                <w:color w:val="000000" w:themeColor="text1"/>
              </w:rPr>
              <w:t>Національна комісія з цінних паперів та фондового ринку та Національний банк України у встановленому ними порядку здійснюють обмін інформацією про прийняті ними рішення, передбачені частиною першою цієї статті.</w:t>
            </w:r>
          </w:p>
        </w:tc>
      </w:tr>
      <w:tr w:rsidR="00DE3AAF" w:rsidRPr="00286216" w14:paraId="660FF52E" w14:textId="77777777" w:rsidTr="00091AA5">
        <w:tc>
          <w:tcPr>
            <w:tcW w:w="576" w:type="dxa"/>
          </w:tcPr>
          <w:p w14:paraId="1B468ADC" w14:textId="77777777" w:rsidR="00DE3AAF" w:rsidRPr="00286216" w:rsidRDefault="00DE3AAF" w:rsidP="00DE3AAF">
            <w:pPr>
              <w:pStyle w:val="StyleWisnow"/>
              <w:rPr>
                <w:color w:val="000000" w:themeColor="text1"/>
              </w:rPr>
            </w:pPr>
          </w:p>
        </w:tc>
        <w:tc>
          <w:tcPr>
            <w:tcW w:w="4818" w:type="dxa"/>
          </w:tcPr>
          <w:p w14:paraId="7C49CE4B" w14:textId="77777777" w:rsidR="00DE3AAF" w:rsidRPr="00286216" w:rsidRDefault="00DE3AAF" w:rsidP="00DE3AAF">
            <w:pPr>
              <w:pStyle w:val="StyleZakonu"/>
              <w:rPr>
                <w:color w:val="000000" w:themeColor="text1"/>
              </w:rPr>
            </w:pPr>
          </w:p>
        </w:tc>
        <w:tc>
          <w:tcPr>
            <w:tcW w:w="3686" w:type="dxa"/>
          </w:tcPr>
          <w:p w14:paraId="374EA847" w14:textId="4DAA66A2" w:rsidR="00DE3AAF" w:rsidRPr="00286216" w:rsidRDefault="00DE3AAF" w:rsidP="00DE3AAF">
            <w:pPr>
              <w:pStyle w:val="StyleAwt"/>
              <w:rPr>
                <w:color w:val="000000" w:themeColor="text1"/>
                <w:spacing w:val="-3"/>
              </w:rPr>
            </w:pPr>
            <w:r w:rsidRPr="00286216">
              <w:rPr>
                <w:color w:val="000000" w:themeColor="text1"/>
                <w:spacing w:val="-3"/>
              </w:rPr>
              <w:t>-</w:t>
            </w:r>
            <w:r w:rsidRPr="00286216">
              <w:rPr>
                <w:color w:val="000000" w:themeColor="text1"/>
                <w:spacing w:val="-3"/>
              </w:rPr>
              <w:fldChar w:fldCharType="begin"/>
            </w:r>
            <w:r w:rsidRPr="00286216">
              <w:rPr>
                <w:color w:val="000000" w:themeColor="text1"/>
                <w:spacing w:val="-3"/>
              </w:rPr>
              <w:instrText xml:space="preserve"> SEQ aa </w:instrText>
            </w:r>
            <w:r w:rsidRPr="00286216">
              <w:rPr>
                <w:color w:val="000000" w:themeColor="text1"/>
                <w:spacing w:val="-3"/>
              </w:rPr>
              <w:fldChar w:fldCharType="separate"/>
            </w:r>
            <w:r w:rsidR="00C46B29">
              <w:rPr>
                <w:noProof/>
                <w:color w:val="000000" w:themeColor="text1"/>
                <w:spacing w:val="-3"/>
              </w:rPr>
              <w:t>1534</w:t>
            </w:r>
            <w:r w:rsidRPr="00286216">
              <w:rPr>
                <w:color w:val="000000" w:themeColor="text1"/>
                <w:spacing w:val="-3"/>
              </w:rPr>
              <w:fldChar w:fldCharType="end"/>
            </w:r>
            <w:r w:rsidRPr="00286216">
              <w:rPr>
                <w:color w:val="000000" w:themeColor="text1"/>
                <w:spacing w:val="-3"/>
              </w:rPr>
              <w:t xml:space="preserve">-Народні депутати України– </w:t>
            </w:r>
            <w:r w:rsidRPr="00286216">
              <w:rPr>
                <w:color w:val="000000" w:themeColor="text1"/>
                <w:spacing w:val="-3"/>
                <w:szCs w:val="18"/>
              </w:rPr>
              <w:t xml:space="preserve">члени Комітету з питань фінансів, податкової та митної політики </w:t>
            </w:r>
            <w:r w:rsidRPr="00286216">
              <w:rPr>
                <w:color w:val="000000" w:themeColor="text1"/>
                <w:spacing w:val="-3"/>
              </w:rPr>
              <w:t>Гетманцев Д.О. та інші</w:t>
            </w:r>
          </w:p>
          <w:p w14:paraId="5F9A7D2A" w14:textId="433EE76C" w:rsidR="00DE3AAF" w:rsidRPr="00286216" w:rsidRDefault="00DE3AAF" w:rsidP="00DE3AAF">
            <w:pPr>
              <w:pStyle w:val="StyleProp"/>
              <w:spacing w:line="180" w:lineRule="exact"/>
              <w:rPr>
                <w:color w:val="000000" w:themeColor="text1"/>
              </w:rPr>
            </w:pPr>
            <w:r w:rsidRPr="00286216">
              <w:rPr>
                <w:color w:val="000000" w:themeColor="text1"/>
              </w:rPr>
              <w:t>Доповнити проект такими змінами до Закону України «Про цінні папери та фондовий ринок»:</w:t>
            </w:r>
          </w:p>
          <w:p w14:paraId="43C67244" w14:textId="6FB5DA4C" w:rsidR="00DE3AAF" w:rsidRPr="00286216" w:rsidRDefault="00DE3AAF" w:rsidP="00DE3AAF">
            <w:pPr>
              <w:pStyle w:val="StyleProp"/>
              <w:spacing w:line="180" w:lineRule="exact"/>
              <w:rPr>
                <w:color w:val="000000" w:themeColor="text1"/>
              </w:rPr>
            </w:pPr>
            <w:r w:rsidRPr="00286216">
              <w:rPr>
                <w:color w:val="000000" w:themeColor="text1"/>
              </w:rPr>
              <w:t xml:space="preserve">«Стаття 5 </w:t>
            </w:r>
            <w:r w:rsidRPr="00286216">
              <w:rPr>
                <w:color w:val="000000" w:themeColor="text1"/>
                <w:vertAlign w:val="superscript"/>
              </w:rPr>
              <w:t>5</w:t>
            </w:r>
            <w:r w:rsidRPr="00286216">
              <w:rPr>
                <w:color w:val="000000" w:themeColor="text1"/>
              </w:rPr>
              <w:t>. Ліквідаційний неттінг</w:t>
            </w:r>
          </w:p>
          <w:p w14:paraId="2F1A6196" w14:textId="77777777" w:rsidR="00DE3AAF" w:rsidRPr="00286216" w:rsidRDefault="00DE3AAF" w:rsidP="00DE3AAF">
            <w:pPr>
              <w:pStyle w:val="StyleProp"/>
              <w:spacing w:line="180" w:lineRule="exact"/>
              <w:rPr>
                <w:color w:val="000000" w:themeColor="text1"/>
              </w:rPr>
            </w:pPr>
            <w:r w:rsidRPr="00286216">
              <w:rPr>
                <w:color w:val="000000" w:themeColor="text1"/>
              </w:rPr>
              <w:t>1. Для цілей цієї статті розуміється:</w:t>
            </w:r>
          </w:p>
          <w:p w14:paraId="221E8AE4" w14:textId="77777777" w:rsidR="00DE3AAF" w:rsidRPr="00286216" w:rsidRDefault="00DE3AAF" w:rsidP="00DE3AAF">
            <w:pPr>
              <w:pStyle w:val="StyleProp"/>
              <w:spacing w:line="180" w:lineRule="exact"/>
              <w:rPr>
                <w:color w:val="000000" w:themeColor="text1"/>
              </w:rPr>
            </w:pPr>
            <w:r w:rsidRPr="00286216">
              <w:rPr>
                <w:color w:val="000000" w:themeColor="text1"/>
              </w:rPr>
              <w:t>1) 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про клірингове обслуговування з особою, яка провадить клірингову діяльність;</w:t>
            </w:r>
          </w:p>
          <w:p w14:paraId="08C306AD" w14:textId="77777777" w:rsidR="00DE3AAF" w:rsidRPr="00286216" w:rsidRDefault="00DE3AAF" w:rsidP="00DE3AAF">
            <w:pPr>
              <w:pStyle w:val="StyleProp"/>
              <w:spacing w:line="180" w:lineRule="exact"/>
              <w:rPr>
                <w:color w:val="000000" w:themeColor="text1"/>
              </w:rPr>
            </w:pPr>
            <w:r w:rsidRPr="00286216">
              <w:rPr>
                <w:color w:val="000000" w:themeColor="text1"/>
              </w:rPr>
              <w:lastRenderedPageBreak/>
              <w:t>2) генеральна угода – договір, що  визначає загальні умови та порядок укладання та виконання похідних (деривативів) або правочинів щодо цінних паперів, укладених на підставі такого договору;</w:t>
            </w:r>
          </w:p>
          <w:p w14:paraId="3CE3D704" w14:textId="77777777" w:rsidR="00DE3AAF" w:rsidRPr="00286216" w:rsidRDefault="00DE3AAF" w:rsidP="00DE3AAF">
            <w:pPr>
              <w:pStyle w:val="StyleProp"/>
              <w:spacing w:line="180" w:lineRule="exact"/>
              <w:rPr>
                <w:color w:val="000000" w:themeColor="text1"/>
              </w:rPr>
            </w:pPr>
            <w:r w:rsidRPr="00286216">
              <w:rPr>
                <w:color w:val="000000" w:themeColor="text1"/>
              </w:rPr>
              <w:t>3) під сторонами угоди щодо ліквідаційного неттінгу – сторони генеральної угоди, сторони іншого документа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про клірингове обслуговування з особою, якій сторони похідного (деривативу) направили розпорядження на проведення клірингу;</w:t>
            </w:r>
          </w:p>
          <w:p w14:paraId="0BBC88D3" w14:textId="77777777" w:rsidR="00DE3AAF" w:rsidRPr="00286216" w:rsidRDefault="00DE3AAF" w:rsidP="00DE3AAF">
            <w:pPr>
              <w:pStyle w:val="StyleProp"/>
              <w:spacing w:line="180" w:lineRule="exact"/>
              <w:rPr>
                <w:color w:val="000000" w:themeColor="text1"/>
              </w:rPr>
            </w:pPr>
            <w:r w:rsidRPr="00286216">
              <w:rPr>
                <w:color w:val="000000" w:themeColor="text1"/>
              </w:rPr>
              <w:t>4) під датою ліквідаційного неттінгу – дата, зазначена в угоді щодо ліквідаційного неттінгу, або дата рішення, передбаченого статтею 5-4 цього Закону, залежно від того, яка з них настає раніше;</w:t>
            </w:r>
          </w:p>
          <w:p w14:paraId="5AD9CE5B" w14:textId="77777777" w:rsidR="00DE3AAF" w:rsidRPr="00286216" w:rsidRDefault="00DE3AAF" w:rsidP="00DE3AAF">
            <w:pPr>
              <w:pStyle w:val="StyleProp"/>
              <w:spacing w:line="180" w:lineRule="exact"/>
              <w:rPr>
                <w:color w:val="000000" w:themeColor="text1"/>
              </w:rPr>
            </w:pPr>
            <w:r w:rsidRPr="00286216">
              <w:rPr>
                <w:color w:val="000000" w:themeColor="text1"/>
              </w:rPr>
              <w:t>5) під розрахунком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70CE72BD" w14:textId="77777777" w:rsidR="00DE3AAF" w:rsidRPr="00286216" w:rsidRDefault="00DE3AAF" w:rsidP="00DE3AAF">
            <w:pPr>
              <w:pStyle w:val="StyleProp"/>
              <w:spacing w:line="180" w:lineRule="exact"/>
              <w:rPr>
                <w:color w:val="000000" w:themeColor="text1"/>
              </w:rPr>
            </w:pPr>
            <w:r w:rsidRPr="00286216">
              <w:rPr>
                <w:color w:val="000000" w:themeColor="text1"/>
              </w:rPr>
              <w:t>6) під нетто-зобов’язанням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такої угоди (розмір суми зобов’язань якої є меншою) та визначається як різниця між сумами зобов’язань таких сторін.</w:t>
            </w:r>
          </w:p>
          <w:p w14:paraId="3B14BC43" w14:textId="77777777" w:rsidR="00DE3AAF" w:rsidRPr="00286216" w:rsidRDefault="00DE3AAF" w:rsidP="00DE3AAF">
            <w:pPr>
              <w:pStyle w:val="StyleProp"/>
              <w:spacing w:line="180" w:lineRule="exact"/>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25873D12"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сторін такої угоди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w:t>
            </w:r>
            <w:r w:rsidRPr="00286216">
              <w:rPr>
                <w:color w:val="000000" w:themeColor="text1"/>
              </w:rPr>
              <w:lastRenderedPageBreak/>
              <w:t>ліквідаційного неттінгу;</w:t>
            </w:r>
          </w:p>
          <w:p w14:paraId="503E9023" w14:textId="77777777" w:rsidR="00DE3AAF" w:rsidRPr="00286216" w:rsidRDefault="00DE3AAF" w:rsidP="00DE3AAF">
            <w:pPr>
              <w:pStyle w:val="StyleProp"/>
              <w:spacing w:line="18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0B2C7C30" w14:textId="77777777" w:rsidR="00DE3AAF" w:rsidRPr="00286216" w:rsidRDefault="00DE3AAF" w:rsidP="00DE3AAF">
            <w:pPr>
              <w:pStyle w:val="StyleProp"/>
              <w:spacing w:line="18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44A4FF60" w14:textId="77777777" w:rsidR="00DE3AAF" w:rsidRPr="00286216" w:rsidRDefault="00DE3AAF" w:rsidP="00DE3AAF">
            <w:pPr>
              <w:pStyle w:val="StyleProp"/>
              <w:spacing w:line="18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похідними (деривативами), укладеним (укладеними) сторонами угоди щодо ліквідаційного неттінгу. Угода щодо ліквідаційного неттінгу може передбачати, що ліквідаційний неттінг здійснюється лише за заявою або повідомленням сторони угоди щодо ліквідаційного неттінгу, крім випадку проведення ліквідаційного неттінгу у випадку прийняття рішення передбаченого статтею 5-4 цього Закону .</w:t>
            </w:r>
          </w:p>
          <w:p w14:paraId="08E5D9B9" w14:textId="77777777" w:rsidR="00DE3AAF" w:rsidRPr="00286216" w:rsidRDefault="00DE3AAF" w:rsidP="00DE3AAF">
            <w:pPr>
              <w:pStyle w:val="StyleProp"/>
              <w:spacing w:line="180" w:lineRule="exact"/>
              <w:rPr>
                <w:color w:val="000000" w:themeColor="text1"/>
              </w:rPr>
            </w:pPr>
            <w:r w:rsidRPr="00286216">
              <w:rPr>
                <w:color w:val="000000" w:themeColor="text1"/>
              </w:rPr>
              <w:t>4. Ліквідаційний неттінг не проводиться у таких випадках:</w:t>
            </w:r>
          </w:p>
          <w:p w14:paraId="74DE4B7F" w14:textId="77777777" w:rsidR="00DE3AAF" w:rsidRPr="00286216" w:rsidRDefault="00DE3AAF" w:rsidP="00DE3AAF">
            <w:pPr>
              <w:pStyle w:val="StyleProp"/>
              <w:spacing w:line="180" w:lineRule="exact"/>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0F03374F" w14:textId="77777777" w:rsidR="00DE3AAF" w:rsidRPr="00286216" w:rsidRDefault="00DE3AAF" w:rsidP="00DE3AAF">
            <w:pPr>
              <w:pStyle w:val="StyleProp"/>
              <w:spacing w:line="180" w:lineRule="exact"/>
              <w:rPr>
                <w:color w:val="000000" w:themeColor="text1"/>
              </w:rPr>
            </w:pPr>
            <w:r w:rsidRPr="00286216">
              <w:rPr>
                <w:color w:val="000000" w:themeColor="text1"/>
              </w:rPr>
              <w:t>2) відповідна угода щодо ліквідаційного неттінгу укладена після дати прийняття рішення, передбаченого частиною першою статті 5-4 цього Закону;</w:t>
            </w:r>
          </w:p>
          <w:p w14:paraId="096D8208" w14:textId="77777777" w:rsidR="00DE3AAF" w:rsidRPr="00286216" w:rsidRDefault="00DE3AAF" w:rsidP="00DE3AAF">
            <w:pPr>
              <w:pStyle w:val="StyleProp"/>
              <w:spacing w:line="180" w:lineRule="exact"/>
              <w:rPr>
                <w:color w:val="000000" w:themeColor="text1"/>
              </w:rPr>
            </w:pPr>
            <w:r w:rsidRPr="00286216">
              <w:rPr>
                <w:color w:val="000000" w:themeColor="text1"/>
              </w:rPr>
              <w:t>3)  похідний (дериватив), що містить посилання на обов’язковість для нього відповідної угоди щодо ліквідаційного неттінгу, був укладений після прийняття рішення, передбаченого частиною першою статті 5-4 цього Закону.</w:t>
            </w:r>
          </w:p>
          <w:p w14:paraId="49222673"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5. Проведення особою, зазначеною в угоді </w:t>
            </w:r>
            <w:r w:rsidRPr="00286216">
              <w:rPr>
                <w:color w:val="000000" w:themeColor="text1"/>
              </w:rPr>
              <w:lastRenderedPageBreak/>
              <w:t>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похідними (деривативами), укладеними такою стороною з посиланням на обов’язковість угоди щодо ліквідаційного неттінгу, зазначеними у пункті 1 частини другої цієї статті, здійснюються в позасудовому порядку та не потребують будь-якої згоди та/або затвердження такої сторони чи будь-якої іншої особи.</w:t>
            </w:r>
          </w:p>
          <w:p w14:paraId="3E29F6CC" w14:textId="77777777" w:rsidR="00DE3AAF" w:rsidRPr="00286216" w:rsidRDefault="00DE3AAF" w:rsidP="00DE3AAF">
            <w:pPr>
              <w:pStyle w:val="StyleProp"/>
              <w:spacing w:line="180" w:lineRule="exact"/>
              <w:rPr>
                <w:color w:val="000000" w:themeColor="text1"/>
              </w:rPr>
            </w:pPr>
            <w:r w:rsidRPr="00286216">
              <w:rPr>
                <w:color w:val="000000" w:themeColor="text1"/>
              </w:rPr>
              <w:t>6.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6AEDD4F6" w14:textId="77777777" w:rsidR="00DE3AAF" w:rsidRPr="00286216" w:rsidRDefault="00DE3AAF" w:rsidP="00DE3AAF">
            <w:pPr>
              <w:pStyle w:val="StyleProp"/>
              <w:spacing w:line="180" w:lineRule="exact"/>
              <w:rPr>
                <w:color w:val="000000" w:themeColor="text1"/>
              </w:rPr>
            </w:pPr>
            <w:r w:rsidRPr="00286216">
              <w:rPr>
                <w:color w:val="000000" w:themeColor="text1"/>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367C122D" w14:textId="1DCE5260" w:rsidR="00DE3AAF" w:rsidRPr="00286216" w:rsidRDefault="00DE3AAF" w:rsidP="00DE3AAF">
            <w:pPr>
              <w:pStyle w:val="StyleProp"/>
              <w:spacing w:line="180" w:lineRule="exact"/>
              <w:rPr>
                <w:color w:val="000000" w:themeColor="text1"/>
              </w:rPr>
            </w:pPr>
            <w:r w:rsidRPr="00286216">
              <w:rPr>
                <w:color w:val="000000" w:themeColor="text1"/>
              </w:rPr>
              <w:t>7. Положення цієї статті застосовуються також до вчинених з посиланням на обов’язковість відповідної угоди щодо ліквідаційного неттінгу правочинів щодо цінних паперів та правочинів, вчинених з метою забезпечення виконання зобов’язань за правочинами щодо цінних паперів та похідними (деривативами).</w:t>
            </w:r>
          </w:p>
        </w:tc>
        <w:tc>
          <w:tcPr>
            <w:tcW w:w="1987" w:type="dxa"/>
          </w:tcPr>
          <w:p w14:paraId="449EB2ED" w14:textId="77777777" w:rsidR="00DE3AAF" w:rsidRPr="00286216" w:rsidRDefault="00DE3AAF" w:rsidP="00DE3AAF">
            <w:pPr>
              <w:pStyle w:val="StyleWisnow"/>
              <w:rPr>
                <w:color w:val="000000" w:themeColor="text1"/>
              </w:rPr>
            </w:pPr>
            <w:r w:rsidRPr="00286216">
              <w:rPr>
                <w:color w:val="000000" w:themeColor="text1"/>
              </w:rPr>
              <w:lastRenderedPageBreak/>
              <w:t>Враховано</w:t>
            </w:r>
          </w:p>
          <w:p w14:paraId="50D216CC" w14:textId="174316C6" w:rsidR="00DE3AAF" w:rsidRPr="00286216" w:rsidRDefault="00DE3AAF" w:rsidP="00DE3AAF">
            <w:pPr>
              <w:pStyle w:val="StyleWisnow"/>
              <w:spacing w:line="180" w:lineRule="exact"/>
              <w:rPr>
                <w:color w:val="000000" w:themeColor="text1"/>
              </w:rPr>
            </w:pPr>
            <w:r w:rsidRPr="00286216">
              <w:rPr>
                <w:color w:val="000000" w:themeColor="text1"/>
              </w:rPr>
              <w:t>за наслідками обговорення на засіданні Комітету зауважень НБУ та ФГВФО</w:t>
            </w:r>
          </w:p>
        </w:tc>
        <w:tc>
          <w:tcPr>
            <w:tcW w:w="4818" w:type="dxa"/>
          </w:tcPr>
          <w:p w14:paraId="2DDF3377" w14:textId="77777777" w:rsidR="00DE3AAF" w:rsidRPr="00286216" w:rsidRDefault="00DE3AAF" w:rsidP="00DE3AAF">
            <w:pPr>
              <w:pStyle w:val="StyleZakonu"/>
              <w:spacing w:after="40"/>
              <w:rPr>
                <w:color w:val="000000" w:themeColor="text1"/>
              </w:rPr>
            </w:pPr>
            <w:r w:rsidRPr="00286216">
              <w:rPr>
                <w:color w:val="000000" w:themeColor="text1"/>
              </w:rPr>
              <w:t>Стаття 5</w:t>
            </w:r>
            <w:r w:rsidRPr="00286216">
              <w:rPr>
                <w:color w:val="000000" w:themeColor="text1"/>
                <w:vertAlign w:val="superscript"/>
              </w:rPr>
              <w:t>5</w:t>
            </w:r>
            <w:r w:rsidRPr="00286216">
              <w:rPr>
                <w:color w:val="000000" w:themeColor="text1"/>
              </w:rPr>
              <w:t>. Ліквідаційний неттінг</w:t>
            </w:r>
          </w:p>
          <w:p w14:paraId="66C63698" w14:textId="77777777" w:rsidR="00DE3AAF" w:rsidRPr="00286216" w:rsidRDefault="00DE3AAF" w:rsidP="00DE3AAF">
            <w:pPr>
              <w:pStyle w:val="StyleZakonu"/>
              <w:spacing w:after="40"/>
              <w:rPr>
                <w:color w:val="000000" w:themeColor="text1"/>
              </w:rPr>
            </w:pPr>
            <w:r w:rsidRPr="00286216">
              <w:rPr>
                <w:color w:val="000000" w:themeColor="text1"/>
              </w:rPr>
              <w:t>1. Для цілей цієї статті розуміється:</w:t>
            </w:r>
          </w:p>
          <w:p w14:paraId="5D29414E" w14:textId="77777777" w:rsidR="00DE3AAF" w:rsidRPr="00286216" w:rsidRDefault="00DE3AAF" w:rsidP="00DE3AAF">
            <w:pPr>
              <w:pStyle w:val="StyleZakonu"/>
              <w:spacing w:after="40"/>
              <w:rPr>
                <w:color w:val="000000" w:themeColor="text1"/>
              </w:rPr>
            </w:pPr>
            <w:r w:rsidRPr="00286216">
              <w:rPr>
                <w:color w:val="000000" w:themeColor="text1"/>
              </w:rPr>
              <w:t>1) 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про клірингове обслуговування з особою, яка провадить клірингову діяльність;</w:t>
            </w:r>
          </w:p>
          <w:p w14:paraId="12BB303F" w14:textId="77777777" w:rsidR="00DE3AAF" w:rsidRPr="00286216" w:rsidRDefault="00DE3AAF" w:rsidP="00DE3AAF">
            <w:pPr>
              <w:pStyle w:val="StyleZakonu"/>
              <w:spacing w:after="40"/>
              <w:rPr>
                <w:color w:val="000000" w:themeColor="text1"/>
              </w:rPr>
            </w:pPr>
            <w:r w:rsidRPr="00286216">
              <w:rPr>
                <w:color w:val="000000" w:themeColor="text1"/>
              </w:rPr>
              <w:t xml:space="preserve">2) генеральна угода – договір, що  визначає загальні умови та порядок укладення та виконання похідних (деривативів) або правочинів щодо цінних </w:t>
            </w:r>
            <w:r w:rsidRPr="00286216">
              <w:rPr>
                <w:color w:val="000000" w:themeColor="text1"/>
              </w:rPr>
              <w:lastRenderedPageBreak/>
              <w:t>паперів, укладених на підставі такого договору;</w:t>
            </w:r>
          </w:p>
          <w:p w14:paraId="32368B5F" w14:textId="77777777" w:rsidR="00DE3AAF" w:rsidRPr="00286216" w:rsidRDefault="00DE3AAF" w:rsidP="00DE3AAF">
            <w:pPr>
              <w:pStyle w:val="StyleZakonu"/>
              <w:spacing w:after="40"/>
              <w:rPr>
                <w:color w:val="000000" w:themeColor="text1"/>
              </w:rPr>
            </w:pPr>
            <w:r w:rsidRPr="00286216">
              <w:rPr>
                <w:color w:val="000000" w:themeColor="text1"/>
              </w:rPr>
              <w:t>3) під сторонами угоди щодо ліквідаційного неттінгу – сторони генеральної угоди, сторони іншого документа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про клірингове обслуговування з особою, якій сторони похідного (деривативу) направили розпорядження на проведення клірингу;</w:t>
            </w:r>
          </w:p>
          <w:p w14:paraId="718D94F9" w14:textId="77777777" w:rsidR="00DE3AAF" w:rsidRPr="00286216" w:rsidRDefault="00DE3AAF" w:rsidP="00DE3AAF">
            <w:pPr>
              <w:pStyle w:val="StyleZakonu"/>
              <w:spacing w:after="40"/>
              <w:rPr>
                <w:color w:val="000000" w:themeColor="text1"/>
              </w:rPr>
            </w:pPr>
            <w:r w:rsidRPr="00286216">
              <w:rPr>
                <w:color w:val="000000" w:themeColor="text1"/>
              </w:rPr>
              <w:t>4) під датою ліквідаційного неттінгу – дата, зазначена в угоді щодо ліквідаційного неттінгу, або дата рішення, передбаченого статтею 5</w:t>
            </w:r>
            <w:r w:rsidRPr="00286216">
              <w:rPr>
                <w:color w:val="000000" w:themeColor="text1"/>
                <w:vertAlign w:val="superscript"/>
              </w:rPr>
              <w:t>4</w:t>
            </w:r>
            <w:r w:rsidRPr="00286216">
              <w:rPr>
                <w:color w:val="000000" w:themeColor="text1"/>
              </w:rPr>
              <w:t xml:space="preserve"> цього Закону, залежно від того, яка з них настає раніше;</w:t>
            </w:r>
          </w:p>
          <w:p w14:paraId="5F991003" w14:textId="77777777" w:rsidR="00DE3AAF" w:rsidRPr="00286216" w:rsidRDefault="00DE3AAF" w:rsidP="00DE3AAF">
            <w:pPr>
              <w:pStyle w:val="StyleZakonu"/>
              <w:spacing w:after="40"/>
              <w:rPr>
                <w:color w:val="000000" w:themeColor="text1"/>
              </w:rPr>
            </w:pPr>
            <w:r w:rsidRPr="00286216">
              <w:rPr>
                <w:color w:val="000000" w:themeColor="text1"/>
              </w:rPr>
              <w:t>5) під розрахунком вартості зобов’язань – визначення у спосіб, передбачений угодою щодо ліквідаційного неттінгу, грошового еквівалента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0E08312A" w14:textId="77777777" w:rsidR="00DE3AAF" w:rsidRPr="00286216" w:rsidRDefault="00DE3AAF" w:rsidP="00DE3AAF">
            <w:pPr>
              <w:pStyle w:val="StyleZakonu"/>
              <w:spacing w:after="40"/>
              <w:rPr>
                <w:color w:val="000000" w:themeColor="text1"/>
              </w:rPr>
            </w:pPr>
            <w:r w:rsidRPr="00286216">
              <w:rPr>
                <w:color w:val="000000" w:themeColor="text1"/>
              </w:rPr>
              <w:t>6) під нетто-зобов’язанням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такої угоди (розмір суми зобов’язань якої є меншою) та визначається як різниця між сумами зобов’язань таких сторін.</w:t>
            </w:r>
          </w:p>
          <w:p w14:paraId="6B52C536" w14:textId="77777777" w:rsidR="00DE3AAF" w:rsidRPr="00286216" w:rsidRDefault="00DE3AAF" w:rsidP="00DE3AAF">
            <w:pPr>
              <w:pStyle w:val="StyleZakonu"/>
              <w:spacing w:after="40"/>
              <w:rPr>
                <w:color w:val="000000" w:themeColor="text1"/>
              </w:rPr>
            </w:pPr>
            <w:r w:rsidRPr="00286216">
              <w:rPr>
                <w:color w:val="000000" w:themeColor="text1"/>
              </w:rPr>
              <w:t>2. Ліквідаційний неттінг – це здійснення усіх таких дій відповідно до угоди щодо ліквідаційного неттінгу:</w:t>
            </w:r>
          </w:p>
          <w:p w14:paraId="6164A838" w14:textId="77777777" w:rsidR="00DE3AAF" w:rsidRPr="00286216" w:rsidRDefault="00DE3AAF" w:rsidP="00DE3AAF">
            <w:pPr>
              <w:pStyle w:val="StyleZakonu"/>
              <w:spacing w:after="40"/>
              <w:rPr>
                <w:color w:val="000000" w:themeColor="text1"/>
              </w:rPr>
            </w:pPr>
            <w:r w:rsidRPr="00286216">
              <w:rPr>
                <w:color w:val="000000" w:themeColor="text1"/>
              </w:rPr>
              <w:t>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сторін такої угоди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w:t>
            </w:r>
          </w:p>
          <w:p w14:paraId="6D965311" w14:textId="77777777" w:rsidR="00DE3AAF" w:rsidRPr="00286216" w:rsidRDefault="00DE3AAF" w:rsidP="00DE3AAF">
            <w:pPr>
              <w:pStyle w:val="StyleZakonu"/>
              <w:spacing w:after="40"/>
              <w:rPr>
                <w:color w:val="000000" w:themeColor="text1"/>
              </w:rPr>
            </w:pPr>
            <w:r w:rsidRPr="00286216">
              <w:rPr>
                <w:color w:val="000000" w:themeColor="text1"/>
              </w:rPr>
              <w:t xml:space="preserve">2) припинення всіх існуючих станом на дату </w:t>
            </w:r>
            <w:r w:rsidRPr="00286216">
              <w:rPr>
                <w:color w:val="000000" w:themeColor="text1"/>
              </w:rPr>
              <w:lastRenderedPageBreak/>
              <w:t>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3AFDB481" w14:textId="77777777" w:rsidR="00DE3AAF" w:rsidRPr="00286216" w:rsidRDefault="00DE3AAF" w:rsidP="00DE3AAF">
            <w:pPr>
              <w:pStyle w:val="StyleZakonu"/>
              <w:spacing w:after="40"/>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3202801F" w14:textId="77777777" w:rsidR="00DE3AAF" w:rsidRPr="00286216" w:rsidRDefault="00DE3AAF" w:rsidP="00DE3AAF">
            <w:pPr>
              <w:pStyle w:val="StyleZakonu"/>
              <w:spacing w:after="40"/>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24F9F523" w14:textId="77777777" w:rsidR="00DE3AAF" w:rsidRPr="00286216" w:rsidRDefault="00DE3AAF" w:rsidP="00DE3AAF">
            <w:pPr>
              <w:pStyle w:val="StyleZakonu"/>
              <w:spacing w:after="40"/>
              <w:rPr>
                <w:color w:val="000000" w:themeColor="text1"/>
              </w:rPr>
            </w:pPr>
            <w:r w:rsidRPr="00286216">
              <w:rPr>
                <w:color w:val="000000" w:themeColor="text1"/>
              </w:rPr>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похідними (деривативами), укладеним (укладеними) сторонами угоди щодо ліквідаційного неттінгу. Угода щодо ліквідаційного неттінгу може передбачати, що ліквідаційний неттінг здійснюється лише за заявою або повідомленням сторони угоди щодо ліквідаційного неттінгу, крім випадку проведення ліквідаційного неттінгу у випадку прийняття рішення, передбаченого статтею 5</w:t>
            </w:r>
            <w:r w:rsidRPr="00286216">
              <w:rPr>
                <w:color w:val="000000" w:themeColor="text1"/>
                <w:vertAlign w:val="superscript"/>
              </w:rPr>
              <w:t>4</w:t>
            </w:r>
            <w:r w:rsidRPr="00286216">
              <w:rPr>
                <w:color w:val="000000" w:themeColor="text1"/>
              </w:rPr>
              <w:t xml:space="preserve"> цього Закону .</w:t>
            </w:r>
          </w:p>
          <w:p w14:paraId="243E0B52" w14:textId="77777777" w:rsidR="00DE3AAF" w:rsidRPr="00286216" w:rsidRDefault="00DE3AAF" w:rsidP="00DE3AAF">
            <w:pPr>
              <w:pStyle w:val="StyleZakonu"/>
              <w:spacing w:after="20"/>
              <w:rPr>
                <w:color w:val="000000" w:themeColor="text1"/>
              </w:rPr>
            </w:pPr>
            <w:r w:rsidRPr="00286216">
              <w:rPr>
                <w:color w:val="000000" w:themeColor="text1"/>
              </w:rPr>
              <w:t>4. Ліквідаційний неттінг не проводиться у таких випадках:</w:t>
            </w:r>
          </w:p>
          <w:p w14:paraId="7B4506D4" w14:textId="77777777" w:rsidR="00DE3AAF" w:rsidRPr="00286216" w:rsidRDefault="00DE3AAF" w:rsidP="00DE3AAF">
            <w:pPr>
              <w:pStyle w:val="StyleZakonu"/>
              <w:spacing w:after="20"/>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2223DC24" w14:textId="77777777" w:rsidR="00DE3AAF" w:rsidRPr="00286216" w:rsidRDefault="00DE3AAF" w:rsidP="00DE3AAF">
            <w:pPr>
              <w:pStyle w:val="StyleZakonu"/>
              <w:spacing w:after="20"/>
              <w:rPr>
                <w:color w:val="000000" w:themeColor="text1"/>
              </w:rPr>
            </w:pPr>
            <w:r w:rsidRPr="00286216">
              <w:rPr>
                <w:color w:val="000000" w:themeColor="text1"/>
              </w:rPr>
              <w:t>2) відповідна угода щодо ліквідаційного неттінгу укладена після дати прийняття рішення, передбаченого частиною першою статті 5</w:t>
            </w:r>
            <w:r w:rsidRPr="00286216">
              <w:rPr>
                <w:color w:val="000000" w:themeColor="text1"/>
                <w:vertAlign w:val="superscript"/>
              </w:rPr>
              <w:t>4</w:t>
            </w:r>
            <w:r w:rsidRPr="00286216">
              <w:rPr>
                <w:color w:val="000000" w:themeColor="text1"/>
              </w:rPr>
              <w:t xml:space="preserve"> цього Закону;</w:t>
            </w:r>
          </w:p>
          <w:p w14:paraId="54C124EC" w14:textId="77777777" w:rsidR="00DE3AAF" w:rsidRPr="00286216" w:rsidRDefault="00DE3AAF" w:rsidP="00DE3AAF">
            <w:pPr>
              <w:pStyle w:val="StyleZakonu"/>
              <w:spacing w:after="20"/>
              <w:rPr>
                <w:color w:val="000000" w:themeColor="text1"/>
              </w:rPr>
            </w:pPr>
            <w:r w:rsidRPr="00286216">
              <w:rPr>
                <w:color w:val="000000" w:themeColor="text1"/>
              </w:rPr>
              <w:t xml:space="preserve">3)  похідний (дериватив), що містить посилання на обов’язковість для нього відповідної угоди щодо ліквідаційного неттінгу, був укладений після прийняття рішення, передбаченого частиною першою </w:t>
            </w:r>
            <w:r w:rsidRPr="00286216">
              <w:rPr>
                <w:color w:val="000000" w:themeColor="text1"/>
              </w:rPr>
              <w:lastRenderedPageBreak/>
              <w:t>статті 5</w:t>
            </w:r>
            <w:r w:rsidRPr="00286216">
              <w:rPr>
                <w:color w:val="000000" w:themeColor="text1"/>
                <w:vertAlign w:val="superscript"/>
              </w:rPr>
              <w:t xml:space="preserve"> 4</w:t>
            </w:r>
            <w:r w:rsidRPr="00286216">
              <w:rPr>
                <w:color w:val="000000" w:themeColor="text1"/>
              </w:rPr>
              <w:t xml:space="preserve"> цього Закону.</w:t>
            </w:r>
          </w:p>
          <w:p w14:paraId="10B25564" w14:textId="77777777" w:rsidR="00DE3AAF" w:rsidRPr="00286216" w:rsidRDefault="00DE3AAF" w:rsidP="00DE3AAF">
            <w:pPr>
              <w:pStyle w:val="StyleZakonu"/>
              <w:spacing w:after="40"/>
              <w:rPr>
                <w:color w:val="000000" w:themeColor="text1"/>
              </w:rPr>
            </w:pPr>
            <w:r w:rsidRPr="00286216">
              <w:rPr>
                <w:color w:val="000000" w:themeColor="text1"/>
              </w:rPr>
              <w:t>5.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сторони угоди щодо ліквідаційного неттінгу за одним або кількома похідними (деривативами), укладеними такою стороною з посиланням на обов’язковість угоди щодо ліквідаційного неттінгу, зазначеними у пункті 1 частини другої цієї статті, здійснюються в позасудовому порядку та не потребують будь-якої згоди та/або затвердження такої сторони чи будь-якої іншої особи.</w:t>
            </w:r>
          </w:p>
          <w:p w14:paraId="2482A722" w14:textId="77777777" w:rsidR="00DE3AAF" w:rsidRPr="00286216" w:rsidRDefault="00DE3AAF" w:rsidP="00DE3AAF">
            <w:pPr>
              <w:pStyle w:val="StyleZakonu"/>
              <w:spacing w:after="40"/>
              <w:rPr>
                <w:color w:val="000000" w:themeColor="text1"/>
              </w:rPr>
            </w:pPr>
            <w:r w:rsidRPr="00286216">
              <w:rPr>
                <w:color w:val="000000" w:themeColor="text1"/>
              </w:rPr>
              <w:t>6. Особливості проведення ліквідаційного неттінгу щодо зобов’язань юридичних осіб (крім банків), які є сторонами угоди щодо ліквідаційного неттінгу, та щодо яких відкрито провадження у справі про банкрутство, встановлюються Кодексом України з процедур банкрутства.</w:t>
            </w:r>
          </w:p>
          <w:p w14:paraId="435299F8" w14:textId="77777777" w:rsidR="00DE3AAF" w:rsidRPr="00286216" w:rsidRDefault="00DE3AAF" w:rsidP="00DE3AAF">
            <w:pPr>
              <w:pStyle w:val="StyleZakonu"/>
              <w:spacing w:after="40"/>
              <w:rPr>
                <w:color w:val="000000" w:themeColor="text1"/>
                <w:spacing w:val="-2"/>
              </w:rPr>
            </w:pPr>
            <w:r w:rsidRPr="00286216">
              <w:rPr>
                <w:color w:val="000000" w:themeColor="text1"/>
                <w:spacing w:val="-2"/>
              </w:rPr>
              <w:t xml:space="preserve">Особливості проведення ліквідаційного неттінгу щодо зобов’язань банків, які є сторонами угоди щодо ліквідаційного неттінгу, встановлюються Законом України «Про систему гарантування вкладів фізичних осіб». </w:t>
            </w:r>
          </w:p>
          <w:p w14:paraId="26C170C5" w14:textId="4FDA4D4B" w:rsidR="00DE3AAF" w:rsidRPr="00286216" w:rsidRDefault="00DE3AAF" w:rsidP="00DE3AAF">
            <w:pPr>
              <w:pStyle w:val="StyleZakonu"/>
              <w:spacing w:after="40"/>
              <w:rPr>
                <w:color w:val="000000" w:themeColor="text1"/>
              </w:rPr>
            </w:pPr>
            <w:r w:rsidRPr="00286216">
              <w:rPr>
                <w:color w:val="000000" w:themeColor="text1"/>
              </w:rPr>
              <w:t>7. Положення цієї статті застосовуються також до вчинених з посиланням на обов’язковість відповідної угоди щодо ліквідаційного неттінгу правочинів щодо цінних паперів та правочинів, вчинених з метою забезпечення виконання зобов’язань за правочинами щодо цінних паперів та похідними (деривативами)".</w:t>
            </w:r>
          </w:p>
        </w:tc>
      </w:tr>
      <w:tr w:rsidR="00DE3AAF" w:rsidRPr="00286216" w14:paraId="0C8213DF" w14:textId="77777777" w:rsidTr="00091AA5">
        <w:tc>
          <w:tcPr>
            <w:tcW w:w="576" w:type="dxa"/>
          </w:tcPr>
          <w:p w14:paraId="30FDDBD1" w14:textId="3E9407B5" w:rsidR="00DE3AAF" w:rsidRPr="00286216" w:rsidRDefault="00DE3AAF" w:rsidP="00DE3AAF">
            <w:pPr>
              <w:pStyle w:val="StyleWisnow"/>
              <w:rPr>
                <w:color w:val="000000" w:themeColor="text1"/>
              </w:rPr>
            </w:pPr>
            <w:bookmarkStart w:id="3761" w:name="n3889" w:colFirst="0" w:colLast="0"/>
            <w:r w:rsidRPr="00286216">
              <w:rPr>
                <w:color w:val="000000" w:themeColor="text1"/>
              </w:rPr>
              <w:lastRenderedPageBreak/>
              <w:t>3889.</w:t>
            </w:r>
          </w:p>
        </w:tc>
        <w:tc>
          <w:tcPr>
            <w:tcW w:w="4818" w:type="dxa"/>
          </w:tcPr>
          <w:p w14:paraId="15E6BC57" w14:textId="77777777" w:rsidR="00DE3AAF" w:rsidRPr="00286216" w:rsidRDefault="00DE3AAF" w:rsidP="00DE3AAF">
            <w:pPr>
              <w:pStyle w:val="StyleZakonu"/>
              <w:rPr>
                <w:color w:val="000000" w:themeColor="text1"/>
              </w:rPr>
            </w:pPr>
            <w:r w:rsidRPr="00286216">
              <w:rPr>
                <w:color w:val="000000" w:themeColor="text1"/>
              </w:rPr>
              <w:t>Розділ 4.</w:t>
            </w:r>
            <w:r w:rsidRPr="00286216">
              <w:rPr>
                <w:b/>
                <w:color w:val="000000" w:themeColor="text1"/>
              </w:rPr>
              <w:t xml:space="preserve"> </w:t>
            </w:r>
            <w:r w:rsidRPr="00286216">
              <w:rPr>
                <w:bCs/>
                <w:color w:val="000000" w:themeColor="text1"/>
                <w:shd w:val="clear" w:color="auto" w:fill="FFFFFF"/>
              </w:rPr>
              <w:t>Прикінцеві та перехідні положення</w:t>
            </w:r>
            <w:r w:rsidRPr="00286216">
              <w:rPr>
                <w:color w:val="000000" w:themeColor="text1"/>
              </w:rPr>
              <w:t>:</w:t>
            </w:r>
          </w:p>
        </w:tc>
        <w:tc>
          <w:tcPr>
            <w:tcW w:w="3686" w:type="dxa"/>
          </w:tcPr>
          <w:p w14:paraId="2924E9C8" w14:textId="5E2B3A92" w:rsidR="00DE3AAF" w:rsidRPr="00286216" w:rsidRDefault="00DE3AAF" w:rsidP="00DE3AAF">
            <w:pPr>
              <w:pStyle w:val="StyleAwt"/>
              <w:rPr>
                <w:color w:val="000000" w:themeColor="text1"/>
              </w:rPr>
            </w:pPr>
            <w:r w:rsidRPr="00286216">
              <w:rPr>
                <w:color w:val="000000" w:themeColor="text1"/>
              </w:rPr>
              <w:t>-</w:t>
            </w:r>
            <w:r w:rsidRPr="00286216">
              <w:rPr>
                <w:noProof/>
                <w:color w:val="000000" w:themeColor="text1"/>
              </w:rPr>
              <w:fldChar w:fldCharType="begin"/>
            </w:r>
            <w:r w:rsidRPr="00286216">
              <w:rPr>
                <w:noProof/>
                <w:color w:val="000000" w:themeColor="text1"/>
              </w:rPr>
              <w:instrText xml:space="preserve"> SEQ aa </w:instrText>
            </w:r>
            <w:r w:rsidRPr="00286216">
              <w:rPr>
                <w:noProof/>
                <w:color w:val="000000" w:themeColor="text1"/>
              </w:rPr>
              <w:fldChar w:fldCharType="separate"/>
            </w:r>
            <w:r w:rsidR="00C46B29">
              <w:rPr>
                <w:noProof/>
                <w:color w:val="000000" w:themeColor="text1"/>
              </w:rPr>
              <w:t>1535</w:t>
            </w:r>
            <w:r w:rsidRPr="00286216">
              <w:rPr>
                <w:noProof/>
                <w:color w:val="000000" w:themeColor="text1"/>
              </w:rPr>
              <w:fldChar w:fldCharType="end"/>
            </w:r>
            <w:r w:rsidRPr="00286216">
              <w:rPr>
                <w:color w:val="000000" w:themeColor="text1"/>
              </w:rPr>
              <w:t>-</w:t>
            </w:r>
            <w:r w:rsidRPr="00286216">
              <w:rPr>
                <w:color w:val="000000" w:themeColor="text1"/>
                <w:szCs w:val="18"/>
              </w:rPr>
              <w:t xml:space="preserve">Народні депутати України – члени </w:t>
            </w:r>
            <w:r w:rsidRPr="00286216">
              <w:rPr>
                <w:color w:val="000000" w:themeColor="text1"/>
                <w:spacing w:val="-2"/>
                <w:szCs w:val="18"/>
              </w:rPr>
              <w:t xml:space="preserve">Комітету з питань фінансів, податкової та митної політики </w:t>
            </w:r>
            <w:r w:rsidRPr="00286216">
              <w:rPr>
                <w:color w:val="000000" w:themeColor="text1"/>
                <w:spacing w:val="-2"/>
              </w:rPr>
              <w:t>Гетманцев Д.О. та інші</w:t>
            </w:r>
          </w:p>
          <w:p w14:paraId="4E2E86F4" w14:textId="3150660B" w:rsidR="00DE3AAF" w:rsidRPr="00286216" w:rsidRDefault="00DE3AAF" w:rsidP="00DE3AAF">
            <w:pPr>
              <w:pStyle w:val="StyleProp"/>
              <w:rPr>
                <w:color w:val="000000" w:themeColor="text1"/>
                <w:spacing w:val="-2"/>
              </w:rPr>
            </w:pPr>
            <w:r w:rsidRPr="00286216">
              <w:rPr>
                <w:color w:val="000000" w:themeColor="text1"/>
                <w:spacing w:val="-4"/>
              </w:rPr>
              <w:t xml:space="preserve">У звʼязку із пропозицією щодо викладення тексту законопроекту в редакції проектів трьох законів </w:t>
            </w:r>
            <w:r w:rsidRPr="00286216">
              <w:rPr>
                <w:color w:val="000000" w:themeColor="text1"/>
                <w:spacing w:val="-2"/>
              </w:rPr>
              <w:t>Розділ 4 законопроекту викласти у новій редакції як розділ  Прикінцеві та перехідні положення у тексті окремого проекту Закону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 такого змісту:</w:t>
            </w:r>
          </w:p>
          <w:p w14:paraId="1C1DC9A6" w14:textId="6F1AF415" w:rsidR="00DE3AAF" w:rsidRPr="00286216" w:rsidRDefault="00DE3AAF" w:rsidP="00DE3AAF">
            <w:pPr>
              <w:pStyle w:val="StyleProp"/>
              <w:spacing w:line="190" w:lineRule="exact"/>
              <w:rPr>
                <w:color w:val="000000" w:themeColor="text1"/>
                <w:spacing w:val="-2"/>
              </w:rPr>
            </w:pPr>
            <w:r w:rsidRPr="00286216">
              <w:rPr>
                <w:color w:val="000000" w:themeColor="text1"/>
                <w:spacing w:val="-2"/>
              </w:rPr>
              <w:t>«II. Прикінцеві та перехідні положення</w:t>
            </w:r>
          </w:p>
          <w:p w14:paraId="51624375" w14:textId="3DCDAA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Цей Закон набирає чинності з 1 липня 2021 року, крім:</w:t>
            </w:r>
          </w:p>
          <w:p w14:paraId="12C28CA5" w14:textId="77777777" w:rsidR="00096004" w:rsidRPr="00286216" w:rsidRDefault="00096004" w:rsidP="00096004">
            <w:pPr>
              <w:pStyle w:val="StyleProp"/>
              <w:spacing w:line="190" w:lineRule="exact"/>
              <w:rPr>
                <w:color w:val="000000" w:themeColor="text1"/>
                <w:spacing w:val="-2"/>
              </w:rPr>
            </w:pPr>
            <w:r w:rsidRPr="00286216">
              <w:rPr>
                <w:color w:val="000000" w:themeColor="text1"/>
                <w:spacing w:val="-2"/>
              </w:rPr>
              <w:lastRenderedPageBreak/>
              <w:t>1) підпунктів 2 та 10 пункту 2, пункту 37, підпунктів 3 – 7, 10 – 12, 18 та 24 пункту 38, підпункту «б» підпункту 6, підпунктів 10 -13, 15 – 17 та 19 пункту 40, підпункту «а» підпункту 9, підпункту «а» підпункту 13 та абзаців четвертого – тринадцятого  підпункту «б» підпункту 15 пункту 42, підпунктів «б» та «в» підпункту 1 пункту 48, підпункту "а" підпункту 1 пункту 52 Розділу І цього Закону, пунктів 2 – 10 цього розділу, які набирають чинності з дня, наступного за днем опублікування цього Закону;</w:t>
            </w:r>
          </w:p>
          <w:p w14:paraId="11EF1574" w14:textId="588964A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2) підпункту «а» та абзацу 2 підпункту «б» підпункту 10, підпункту «а» підпункту 17 пункту 42 </w:t>
            </w:r>
            <w:r w:rsidR="00096004" w:rsidRPr="00286216">
              <w:rPr>
                <w:color w:val="000000" w:themeColor="text1"/>
                <w:spacing w:val="-2"/>
              </w:rPr>
              <w:t>р</w:t>
            </w:r>
            <w:r w:rsidRPr="00286216">
              <w:rPr>
                <w:color w:val="000000" w:themeColor="text1"/>
                <w:spacing w:val="-2"/>
              </w:rPr>
              <w:t>озділу І цього Закону, які набирають чинності з 1 січня 2022 року;</w:t>
            </w:r>
          </w:p>
          <w:p w14:paraId="1C16C202" w14:textId="7DD12853"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3) підпунктів 2 та 3 пункту 49 </w:t>
            </w:r>
            <w:r w:rsidR="00096004" w:rsidRPr="00286216">
              <w:rPr>
                <w:color w:val="000000" w:themeColor="text1"/>
                <w:spacing w:val="-2"/>
              </w:rPr>
              <w:t>р</w:t>
            </w:r>
            <w:r w:rsidRPr="00286216">
              <w:rPr>
                <w:color w:val="000000" w:themeColor="text1"/>
                <w:spacing w:val="-2"/>
              </w:rPr>
              <w:t>озділу І цього Закону, які набирають чинності з 1 січня 2023 року.</w:t>
            </w:r>
          </w:p>
          <w:p w14:paraId="301D896A"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Особам, які провадять клірингову діяльність, протягом двох робочих днів з дня набрання чинності цим Законом повідомити Національній комісії з цінних паперів та фондового ринку та Національному банку України адреси електронної пошти, які будуть вважатися офіційними адресами електронної пошти для цілей абзацу першого частини третьої статті 5-4  Закону України «Про цінні папери та фондовий ринок».</w:t>
            </w:r>
          </w:p>
          <w:p w14:paraId="782D744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Внести зміни до таких законодавчих актів України:</w:t>
            </w:r>
          </w:p>
          <w:p w14:paraId="02D3DB83"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статтю 94 Кодексу України з процедур банкрутства" (Відомості Верховної Ради України 2019 р., № 19, ст. 74) викласти у такій редакції:</w:t>
            </w:r>
          </w:p>
          <w:p w14:paraId="1498D7C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«Стаття 94. Особливості банкрутства суб’єкта підприємницької діяльності, який є стороною одного або кількох похідних (деривативів) або правочинів щодо цінних паперів, укладених або вчинених з посиланням на обов’язковість угоди щодо ліквідаційного неттінгу</w:t>
            </w:r>
          </w:p>
          <w:p w14:paraId="469AC70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Ліквідаційний неттінг – здійснення усіх таких дій відповідно до угоди щодо ліквідаційного неттінгу:</w:t>
            </w:r>
          </w:p>
          <w:p w14:paraId="3AD36C2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суб’єкта підприємницької діяльності, який є стороною угоди щодо ліквідаційного неттінгу </w:t>
            </w:r>
            <w:r w:rsidRPr="00286216">
              <w:rPr>
                <w:color w:val="000000" w:themeColor="text1"/>
                <w:spacing w:val="-2"/>
              </w:rPr>
              <w:lastRenderedPageBreak/>
              <w:t xml:space="preserve">та щодо якого відкрито провадження у справі про банкрутство, а також зобов'язань кожного контрагента, який є іншою стороною такої угоди щодо ліквідаційного неттінгу,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5BE90EF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16F05B7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абзацу другого цієї частини. При цьому вважається, що строк виконання вимог за такими новими грошовими зобов’язаннями настав;</w:t>
            </w:r>
          </w:p>
          <w:p w14:paraId="1DF2E657"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припинення нових грошових зобов’язань, передбачених абзацом четвертим цієї частини, шляхом зарахування зустрічних однорідних вимог за такими зобов’язаннями та визначення нетто-зобов’язання.</w:t>
            </w:r>
          </w:p>
          <w:p w14:paraId="0A7B4AD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Угода щодо ліквідаційного неттінгу може передбачати відмінний від передбаченого частиною першою цієї статті спосіб припинення існуючих станом на дату ліквідаційного неттінгу зобов’язань за одним або кількома похідними (деривативами), укладеним (укладеними) такими сторонами угоди щодо ліквідаційного неттінгу.</w:t>
            </w:r>
          </w:p>
          <w:p w14:paraId="36F396B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Для цілей цього Кодексу розуміється:</w:t>
            </w:r>
          </w:p>
          <w:p w14:paraId="39E8C3B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про клірингове </w:t>
            </w:r>
            <w:r w:rsidRPr="00286216">
              <w:rPr>
                <w:color w:val="000000" w:themeColor="text1"/>
                <w:spacing w:val="-2"/>
              </w:rPr>
              <w:lastRenderedPageBreak/>
              <w:t>обслуговування з особою, яка провадить клірингову діяльність;</w:t>
            </w:r>
          </w:p>
          <w:p w14:paraId="31A82A67"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під генеральною угодою – договір, що  визначає загальні умови та порядок укладання та виконання похідних (деривативів) або договорів щодо цінних паперів, укладених на підставі такого договору;</w:t>
            </w:r>
          </w:p>
          <w:p w14:paraId="1B6F87B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під сторонами угоди щодо ліквідаційного неттінгу – сторони генеральної угоди, сторони іншого документу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про клірингове обслуговування з особою, якій сторони похідного (деривативу) направили розпорядження на проведення клірингу;</w:t>
            </w:r>
          </w:p>
          <w:p w14:paraId="20B71ABB"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під датою ліквідаційного неттінгу – дата передбачена пунктом 1 частини першої статті 5-4 Закону України «Про цінні папери та фондовий ринок»;</w:t>
            </w:r>
          </w:p>
          <w:p w14:paraId="2B892CD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під розрахунком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4889CA5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під нетто-зобов’язанням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такої  угоди щодо ліквідаційного неттінгу (розмір суми зобов’язань якої є меншою) та визначається як різниця між сумами зобов’язань таких сторін.</w:t>
            </w:r>
          </w:p>
          <w:p w14:paraId="6925033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3.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суб’єктом підприємницької діяльності-стороною угоди щодо ліквідаційного неттінгу, щодо якого відкрито провадження у справі про банкрутство, за одним або кількома похідними (деривативами), укладеними таким суб’єктом підприємницької діяльності з посиланням на обов’язковість угоди щодо ліквідаційного неттінгу, здійснюються в позасудовому порядку та не потребують будь-якої згоди та/або затвердження таким суб’єктом </w:t>
            </w:r>
            <w:r w:rsidRPr="00286216">
              <w:rPr>
                <w:color w:val="000000" w:themeColor="text1"/>
                <w:spacing w:val="-2"/>
              </w:rPr>
              <w:lastRenderedPageBreak/>
              <w:t xml:space="preserve">підприємницької діяльності, розпорядником його майна, керуючим його санацією, його ліквідатором, кредитором (кредиторами) та/або господарським судом. </w:t>
            </w:r>
          </w:p>
          <w:p w14:paraId="4BFA108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4. Ліквідаційний неттінг не проводиться у таких випадках:</w:t>
            </w:r>
          </w:p>
          <w:p w14:paraId="5357FA6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якщо відповідна генеральна угода не передбачає можливості або процедури його проведення;</w:t>
            </w:r>
          </w:p>
          <w:p w14:paraId="712F386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якщо відповідна угода щодо ліквідаційного неттінгу укладена після дати відкриття щодо суб’єкта підприємницької діяльності-сторони такої угоди щодо ліквідаційного неттінгу провадження у справі про банкрутство;</w:t>
            </w:r>
          </w:p>
          <w:p w14:paraId="3B94D86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якщо похідний (дериватив), укладений стороною з посиланням на обов’язковість відповідної угоди щодо ліквідаційного неттінгу, був укладений після дати відповідного відкриття щодо такого суб’єкта підприємницької діяльності провадження у справі про банкрутство.</w:t>
            </w:r>
          </w:p>
          <w:p w14:paraId="583FF98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5. Положення цього Кодексу, що регулюють банкрутство юридичних осіб, застосовуються до процедур банкрутства суб’єкта підприємницької діяльності, який є стороною одного або кількох похідних (деривативів), укладених з посиланням на обов’язковість відповідної угоди щодо ліквідаційного неттінгу, в частині, що не суперечить положенням цієї статті. У разі суперечності норм цього Кодексу, що регулюють банкрутство юридичних осіб, з нормами цієї статті, норми цієї статті мають перевагу. </w:t>
            </w:r>
          </w:p>
          <w:p w14:paraId="2955B79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5. Положення цієї статті не застосовується до похідних (деривативів), укладених без участі або посередництва торгівця цінними паперами  . </w:t>
            </w:r>
          </w:p>
          <w:p w14:paraId="58720BFA"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6. Положення цієї статті застосовуються також до суб’єктів підприємницької діяльності, які є сторонами одного або кількох правочинів щодо цінних паперів, вчинених з посиланням на обов’язковість відповідної угоди щодо ліквідаційного неттінгу.»</w:t>
            </w:r>
          </w:p>
          <w:p w14:paraId="2A425F0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Закон України «Про систему гарантування вкладів фізичних осіб» (Відомості Верховної Ради України, 2012 р., № 50, ст.564 з наступними змінами) доповнити розділом VIII</w:t>
            </w:r>
            <w:r w:rsidRPr="00286216">
              <w:rPr>
                <w:color w:val="000000" w:themeColor="text1"/>
                <w:spacing w:val="-2"/>
                <w:vertAlign w:val="superscript"/>
              </w:rPr>
              <w:t xml:space="preserve"> 1</w:t>
            </w:r>
            <w:r w:rsidRPr="00286216">
              <w:rPr>
                <w:color w:val="000000" w:themeColor="text1"/>
                <w:spacing w:val="-2"/>
              </w:rPr>
              <w:t xml:space="preserve"> такого змісту:</w:t>
            </w:r>
          </w:p>
          <w:p w14:paraId="4F441D8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1) «РОЗДІЛ VIII </w:t>
            </w:r>
            <w:r w:rsidRPr="00286216">
              <w:rPr>
                <w:color w:val="000000" w:themeColor="text1"/>
                <w:spacing w:val="-2"/>
                <w:vertAlign w:val="superscript"/>
              </w:rPr>
              <w:t>1</w:t>
            </w:r>
          </w:p>
          <w:p w14:paraId="032EA92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ОСОБЛИВОСТІ ЗДІЙСНЕННЯ ТИМЧАСОВОЇ АДМІНІСТРАЦІЇ ТА ЛІКВІДАЦІЇ БАНКУ, ЯКИЙ МАЄ </w:t>
            </w:r>
            <w:r w:rsidRPr="00286216">
              <w:rPr>
                <w:color w:val="000000" w:themeColor="text1"/>
                <w:spacing w:val="-2"/>
              </w:rPr>
              <w:lastRenderedPageBreak/>
              <w:t>ЗОБОВ’ЯЗАННЯ, ЩО ВИНИКЛИ З ПОСИЛАННЯМ НА ОБОВ’ЯЗКОВІСТЬ УГОДИ ЩОДО ЛІКВІДАЦІЙНОГО НЕТТІНГУ</w:t>
            </w:r>
          </w:p>
          <w:p w14:paraId="301C0B7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Стаття 54 </w:t>
            </w:r>
            <w:r w:rsidRPr="00286216">
              <w:rPr>
                <w:color w:val="000000" w:themeColor="text1"/>
                <w:spacing w:val="-2"/>
                <w:vertAlign w:val="superscript"/>
              </w:rPr>
              <w:t>1</w:t>
            </w:r>
            <w:r w:rsidRPr="00286216">
              <w:rPr>
                <w:color w:val="000000" w:themeColor="text1"/>
                <w:spacing w:val="-2"/>
              </w:rPr>
              <w:t>. Ліквідаційний неттінг</w:t>
            </w:r>
          </w:p>
          <w:p w14:paraId="3EF0CD5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Для цілей цієї статті:</w:t>
            </w:r>
          </w:p>
          <w:p w14:paraId="37017B4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1) терміни «генеральна угода», "нетто-зобовʼязання", "розрахунок вартості зобов'язань", "сторони угоди щодо ліквідаційного неттінгу", "угода щодо ліквідаційного неттінгу" – у значеннях, наведених у статті 5 </w:t>
            </w:r>
            <w:r w:rsidRPr="00286216">
              <w:rPr>
                <w:color w:val="000000" w:themeColor="text1"/>
                <w:spacing w:val="-2"/>
                <w:vertAlign w:val="superscript"/>
              </w:rPr>
              <w:t>5</w:t>
            </w:r>
            <w:r w:rsidRPr="00286216">
              <w:rPr>
                <w:color w:val="000000" w:themeColor="text1"/>
                <w:spacing w:val="-2"/>
              </w:rPr>
              <w:t xml:space="preserve"> Закону України "Про цінні папери та фондовий ринок";</w:t>
            </w:r>
          </w:p>
          <w:p w14:paraId="4EE377B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2) під датою ліквідаційного неттінгу розуміється дата рішення, передбаченого пунктом 1 частини першої статті 5 </w:t>
            </w:r>
            <w:r w:rsidRPr="00286216">
              <w:rPr>
                <w:color w:val="000000" w:themeColor="text1"/>
                <w:spacing w:val="-2"/>
                <w:vertAlign w:val="superscript"/>
              </w:rPr>
              <w:t>4</w:t>
            </w:r>
            <w:r w:rsidRPr="00286216">
              <w:rPr>
                <w:color w:val="000000" w:themeColor="text1"/>
                <w:spacing w:val="-2"/>
              </w:rPr>
              <w:t xml:space="preserve"> Закону України "Про цінні папери та фондовий ринок"; </w:t>
            </w:r>
          </w:p>
          <w:p w14:paraId="077452F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Ліквідаційний неттінг – здійснення усіх таких дій відповідно до угоди щодо ліквідаційного неттінгу:</w:t>
            </w:r>
          </w:p>
          <w:p w14:paraId="149EA884"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банку, який є стороною угоди щодо ліквідаційного неттінгу та щодо якого прийнято рішення, зазначене у пункті 2 частини першої цієї статті, а також зобов'язань кожного контрагента, який є іншою стороною такої угоди щодо ліквідаційного неттінгу,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25B395F0"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758BE4B0"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а) заміна, відповідно до статті 604 Цивільного кодексу України, зобов’язань, які існували станом на дату ліквідаційного </w:t>
            </w:r>
            <w:r w:rsidRPr="00286216">
              <w:rPr>
                <w:color w:val="000000" w:themeColor="text1"/>
                <w:spacing w:val="-2"/>
              </w:rPr>
              <w:lastRenderedPageBreak/>
              <w:t>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12D11F3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7BA81ED4"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кількома похідними (деривативами), укладеним (укладеними) сторонами угоди щодо ліквідаційного неттінгу.</w:t>
            </w:r>
          </w:p>
          <w:p w14:paraId="7BB3A9A4"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4. Ліквідаційний неттінг не здійснюється у таких випадках:</w:t>
            </w:r>
          </w:p>
          <w:p w14:paraId="367FF7E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відповідна генеральна угода не передбачає можливості проведення ліквідаційного неттінгу;</w:t>
            </w:r>
          </w:p>
          <w:p w14:paraId="665563F4"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відповідна угода щодо ліквідаційного неттінгу укладена після дати прийняття рішення, зазначеного у пункті 2 частини першої цієї статті;</w:t>
            </w:r>
          </w:p>
          <w:p w14:paraId="74E8731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похідний (дериватив), що містить посилання на обов’язковість відповідної угоди щодо ліквідаційного неттінгу, був укладений банком після дати прийняття рішення, зазначеного у пункті 2 частини першої цієї статті.</w:t>
            </w:r>
          </w:p>
          <w:p w14:paraId="1493FEF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5. Будь-які інші положення цього Закону, окрім передбачених цією статтею, не можуть бути підставою для:</w:t>
            </w:r>
          </w:p>
          <w:p w14:paraId="0CA919D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визнання незаконними, недійсними та/або нікчемними дій, що здійснюються під час ліквідаційного неттінгу відповідно до цієї статті;</w:t>
            </w:r>
          </w:p>
          <w:p w14:paraId="4E50BA8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відмови від проведення ліквідаційного неттінгу відповідно до умов угоди щодо ліквідаційного неттінгу та/або посилань на неможливість такого проведення;</w:t>
            </w:r>
          </w:p>
          <w:p w14:paraId="0A107EB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відмови від звернення стягнення на предмет обтяження, що забезпечує виконання зобов’язань сторін за угодою щодо ліквідаційного неттінгу, та/або посилань на неможливість такого звернення.</w:t>
            </w:r>
          </w:p>
          <w:p w14:paraId="35DA431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6. Проведення особою, зазначеною в угоді щодо ліквідаційного неттінгу, ліквідаційного неттінгу та звернення стягнення на предмет </w:t>
            </w:r>
            <w:r w:rsidRPr="00286216">
              <w:rPr>
                <w:color w:val="000000" w:themeColor="text1"/>
                <w:spacing w:val="-2"/>
              </w:rPr>
              <w:lastRenderedPageBreak/>
              <w:t>обтяження, який забезпечує виконання зобов’язань банку, який є стороною угоди щодо ліквідаційного неттінгу та щодо якого прийнято рішення, передбачене пунктом 2 частини першої цієї статті, за одним або кількома похідними (деривативами), зазначеними у пункті 1 частини другої цієї статті, здійснюється в позасудовому порядку та не потребують будь-якої згоди та/або затвердження такого банку або будь-якої іншої особи.</w:t>
            </w:r>
          </w:p>
          <w:p w14:paraId="114CB8E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7. Ліквідаційний неттінг щодо банку, в якому здійснюється тимчасова адміністрація або ліквідація, проводиться протягом семи робочих днів з дати ліквідаційного неттінгу. Особа, зазначена в угоді щодо ліквідаційного неттінгу, зобов’язана протягом трьох робочих днів після дати ліквідаційного неттінгу надати у письмовій формі банку та Фонду перелік похідних (деривативів), зазначених у пункті 1 частини другої цієї статті, та орієнтовну дату завершення проведення ліквідаційного неттінгу.</w:t>
            </w:r>
          </w:p>
          <w:p w14:paraId="475F215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8. Протягом дії тимчасової адміністрації та/або ліквідації Фонд зобов’язаний забезпечити проведення перевірки похідних (деривативів), укладених банком поза біржою з пов'язаними особами протягом 6 місяців до дати ліквідаційного неттінгу (з іншими особами – протягом одного місяця) з метою виявлення похідних (деривативів), що були укладені з посиланням на обов’язковість для них угоди щодо ліквідаційного неттінгу та є нікчемними з таких підстав:</w:t>
            </w:r>
          </w:p>
          <w:p w14:paraId="278E8D6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результатом укладення похідного (деривативу) було недобросовісне надання банком переваги окремому кредитору (групі кредиторів) у порівнянні з іншими кредиторами в частині задоволення (в тому числі черговості такого задоволення) вимог кредиторів в процедурі тимчасової адміністрації та/або ліквідації банку;</w:t>
            </w:r>
          </w:p>
          <w:p w14:paraId="22D4566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похідний (дериватив) було укладено  банком з метою недобросовісного виключення майна банку зі складу ліквідаційної маси;</w:t>
            </w:r>
          </w:p>
          <w:p w14:paraId="4702A187"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результатом укладення похідного (деривативу) було недобросовісне збільшення розміру грошових зобов’язань банку перед окремим кредитором (групою кредиторів).</w:t>
            </w:r>
          </w:p>
          <w:p w14:paraId="4AFB8D2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Порядок виявлення нікчемних похідних (деривативів), а також дій Фонду у разі їх виявлення визначаються нормативно-правовими актами Фонду.</w:t>
            </w:r>
          </w:p>
          <w:p w14:paraId="2F6344E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lastRenderedPageBreak/>
              <w:t>9. Фонд:</w:t>
            </w:r>
          </w:p>
          <w:p w14:paraId="0E57E23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протягом дії тимчасової адміністрації та/або ліквідації повідомляє сторони похідних (деривативів), зазначених у пунктах 1 – 3 частини восьмої цієї статті, та особу, зазначену в угоді щодо ліквідаційного неттінгу, про нікчемність таких похідних (деривативів), а також вчиняє дії щодо застосування наслідків нікчемності таких похідних (деривативів);</w:t>
            </w:r>
          </w:p>
          <w:p w14:paraId="5C8DE83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вживає заходів до витребування (повернення) майна (коштів) банку, переданого за такими похідними (деривативами);</w:t>
            </w:r>
          </w:p>
          <w:p w14:paraId="4B1355F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3) має право вимагати відшкодування збитків, спричинених укладенням таких похідних (деривативів).</w:t>
            </w:r>
          </w:p>
          <w:p w14:paraId="3FD58420"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У разі отримання повідомлення Фонду про нікчемність похідного (деривативу) з підстав, передбачених частиною восьмою цієї статті, особа, зазначена в угоді щодо ліквідаційного неттінгу, зобов'язана повторно провести процедуру визначення нетто-зобов'язання без врахування зобов'язань за таким похідним (деривативом) та повідомити сторонам такого похідного (деривативу) нову суму нетто-зобов'язання. Інша сторона похідного (деривативу), яка отримала від банку кошти за результатами попереднього ліквідаційного неттінгу, зобов'язана повернути банку різницю між сумою попереднього та нового нетто-зобов'язання.</w:t>
            </w:r>
          </w:p>
          <w:p w14:paraId="7D3A9D9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7. Положення цієї статті застосовується також до правочинів щодо цінних паперів, а також правочинів, укладених з метою забезпечення виконання зобов’язань за такими правочинами».3). Внести такі зміни до Закону України «Про депозитарну систему України» (Відомості Верховної Ради України, 2013 р. № 39, ст. 517.):</w:t>
            </w:r>
          </w:p>
          <w:p w14:paraId="4CBC54CA"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доповнити частину шосту статті 6 новим абзацом такого змісту:</w:t>
            </w:r>
          </w:p>
          <w:p w14:paraId="700DA65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«Зняття обмеження прав на цінні папери стосовно цінних паперів певного власника, що були встановлені для здійснення/забезпечення розрахунків за правочинами щодо цінних паперів, вчиненими на фондовій біржі або поза нею,  розрахунки за якими здійснює/забезпечує особа, яка провадить клірингову діяльність, здійснюється виключно на підставі інформації від особи, яка провадить клірингову діяльність»;</w:t>
            </w:r>
          </w:p>
          <w:p w14:paraId="56B44DF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2) статтю 7 викласти в такій редакції:</w:t>
            </w:r>
          </w:p>
          <w:p w14:paraId="5E1F290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lastRenderedPageBreak/>
              <w:t>"Стаття 7. Внесення змін до системи депозитарного обліку щодо накладення арешту на цінні папери або іншого обмеження прав на цінні папери конкретного власника, що накладається за судовим рішенням або рішенням уповноваженого органу</w:t>
            </w:r>
          </w:p>
          <w:p w14:paraId="6C761C3A"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Арешт на цінні папери або інше обмеження прав на цінні папери конкретного власника (далі - обмеження стосовно конкретного власника) накладається (встановлюється) та скасовується (знімається) в порядку, встановленому цією статтею, на підставі судового рішення або рішення уповноваженого законом органу чи його посадовою особою.</w:t>
            </w:r>
          </w:p>
          <w:p w14:paraId="0A25D4B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У разі встановлення або зняття обмеження стосовно конкретного власника суд або уповноважений законом орган чи його посадова особа зобов’язані подати відповідне рішення депозитарній установі, в якій відкрито рахунок у цінних паперах або цьому власнику, або номінальному утримувачу, на рахунках якого обліковуються права на належні власнику цінні папери,</w:t>
            </w:r>
          </w:p>
          <w:p w14:paraId="685EE6EB"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 2. Депозитарна установа вносить зміни до системи депозитарного обліку щодо встановлення обмеження стосовно цінних паперів конкретного власника до завершення робочого дня, коли отримано відповідне рішення, крім випадків, встановлених цим Законом.</w:t>
            </w:r>
          </w:p>
          <w:p w14:paraId="1BCDAF2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У разі якщо права на цінні папери власника, стосовно яких встановлено обмеження, обліковуються на рахунку в цінних паперах номінального утримувача, депозитарна установа зобов’язана до завершення робочого дня, протягом якого отримано відповідне рішення, повідомити номінального утримувача про встановлення обмеження стосовно цінних паперів конкретного власника та надати йому копію відповідного судового рішення або копію відповідного рішення уповноваженого законом державного органу чи його посадової особи про встановлення обмеження.</w:t>
            </w:r>
          </w:p>
          <w:p w14:paraId="3CC5F0BE"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3. У разі наявності обмеження прав на цінні папери, встановленого за розпорядженням депонента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 депозитарна установа </w:t>
            </w:r>
            <w:r w:rsidRPr="00286216">
              <w:rPr>
                <w:color w:val="000000" w:themeColor="text1"/>
                <w:spacing w:val="-2"/>
              </w:rPr>
              <w:lastRenderedPageBreak/>
              <w:t>відкладає внесення змін до системи депозитарного обліку щодо встановлення обмеження стосовно цінних паперів конкретного депонента до наступного робочого дня.</w:t>
            </w:r>
          </w:p>
          <w:p w14:paraId="10B186F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У такому разі, а також у випадку, коли права на відповідні цінні папери власника обліковуються на рахунку номінального утримувача з обмеженнями, встановленими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 депозитарна установа подає відповідно до Центрального депозитарію або до Національного банку України інформацію про отримання нею відповідного судового рішення або відповідного рішення уповноваженого законом органу чи його посадової особи про встановлення обмеження стосовно конкретного власника після відображення депозитарною установою в системі депозитарного обліку переходу прав власності на цінні папери та прав за цінними паперами за результатами завершення всіх розрахунків за правочинами щодо цінних паперів, здійснених/забезпечених особою, яка провадить клірингову діяльність, протягом того самого робочого дня, коли отримано таке рішення.</w:t>
            </w:r>
          </w:p>
          <w:p w14:paraId="059442D9"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Інформація, яку згідно абзацу другого цієї частини депозитарна установа надає відповідно до Центрального депозитарію або до Національного банку України,  повинна в тому числі містити відомості про:</w:t>
            </w:r>
          </w:p>
          <w:p w14:paraId="23D5356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загальну кількість цінних паперів конкретного власника, щодо якої відповідним судовим рішенням або відповідним рішенням уповноваженого законом органу влади чи його посадової особи встановлено обмеження;</w:t>
            </w:r>
          </w:p>
          <w:p w14:paraId="456DAD1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кількість цінних паперів цього власника, якої недостає для встановлення депозитарною установою обмеження на підставі відповідного судового рішення або відповідного рішення уповноваженого законом органу чи його посадової особи у повному обсязі, у зв’язку з тим, що відносно прав на таку кількість цінних паперів за розпорядженням цього власника встановлені обмеження для здійснення/забезпечення розрахунків за правочинами щодо цінних паперів, вчиненими на фондовій біржі або </w:t>
            </w:r>
            <w:r w:rsidRPr="00286216">
              <w:rPr>
                <w:color w:val="000000" w:themeColor="text1"/>
                <w:spacing w:val="-2"/>
              </w:rPr>
              <w:lastRenderedPageBreak/>
              <w:t>поза фондовою біржою, розрахунки за якими здійснює/забезпечує особа, яка провадить клірингову діяльність.</w:t>
            </w:r>
          </w:p>
          <w:p w14:paraId="1B95556C"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4. Центральний депозитарій або Національний банк України відповідно до компетенції щодо здійснення обліку цінних паперів, визначеної цим Законом, в день отримання від депозитарної установи інформації, передбаченої частиною третьою цієї статті, надає особі, що провадить клірингову діяльність, отриману від депозитарної установи інформацію.</w:t>
            </w:r>
          </w:p>
          <w:p w14:paraId="4AFAC77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5. Особа, що провадить клірингову діяльність, після отримання від Центрального депозитарію або Національного банку України інформації, передбаченої частиною четвертою цієї статті, на початку наступного робочого дня, в строки, встановлені відповідно до частини 8 цієї статті,   надає Центральному депозитарію або Національному банку відповідно до компетенції, встановленої законом, щодо здійснення обліку цінних паперів,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і щодо яких від Центрального депозитарію або Національного банку України була отримана інформація, передбачена частиною четвертою цієї статті.</w:t>
            </w:r>
          </w:p>
          <w:p w14:paraId="11C2A853"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6. На підставі отриманої від особи що провадить клірингову діяльність, інформації, передбаченої частиною п’ятою цієї статті, забезпечується відображення в системі депозитарного обліку:</w:t>
            </w:r>
          </w:p>
          <w:p w14:paraId="73C0434D"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1) депозитарних операцій, пов’язаних із зняттям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w:t>
            </w:r>
          </w:p>
          <w:p w14:paraId="31E2E84B"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2) депозитарних операцій, пов’язаних із виконанням відповідного судового рішення або відповідного рішення уповноваженого законом державного органу чи його посадової особи про встановлення обмеження стосовно конкретного власника (крім випадку, коли </w:t>
            </w:r>
            <w:r w:rsidRPr="00286216">
              <w:rPr>
                <w:color w:val="000000" w:themeColor="text1"/>
                <w:spacing w:val="-2"/>
              </w:rPr>
              <w:lastRenderedPageBreak/>
              <w:t>залишок  таких цінних дорівнює нулю).</w:t>
            </w:r>
          </w:p>
          <w:p w14:paraId="68F660E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У випадку, якщо за результатами проведених розрахунків та зняття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кількість таких цінних паперів, дорівнює нулю, відповідне судове рішення або відповідне рішення уповноваженого законом органу чи його посадової особи про встановлення обмеження стосовно конкретного власника залишається без виконання.</w:t>
            </w:r>
          </w:p>
          <w:p w14:paraId="4EEF9D8F"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 xml:space="preserve">У випадку, якщо цінні папери, щодо яких встановлене обмеження, обліковуються на рахунку в цінних паперах номінального утримувача, депозитарна установа повідомляє номінальному утримувачу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на фондовій біржі або поза фондовою біржою, а також про необхідність встановлення обмеження щодо цінних паперів конкретного власника (крім випадку, коли залишок відповідних цінних паперів дорівнює нулю). </w:t>
            </w:r>
          </w:p>
          <w:p w14:paraId="597C608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7. Депозитарна установа повідомляє суд або уповноважений законом державний орган чи його посадову особу про дії, вчинені за результатами отримання відповідного рішення про встановлення обмеження стосовно конкретного власника, протягом наступного робочого дня після отримання рішення.</w:t>
            </w:r>
          </w:p>
          <w:p w14:paraId="138FCBE6"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8. Зміст, строки та порядок обміну інформацією, передбаченою цією статтею, між особою, що провадить клірингову діяльність і Центральним депозитарієм або Національним банком України, визначаються договорами, укладеними особою, що провадить клірингову діяльність з Центральним депозитарієм або Національним банком України, відповідно до вимог, встановлених Національною комісією з цінних паперів та фондового ринку".</w:t>
            </w:r>
          </w:p>
          <w:p w14:paraId="0E8DFA85"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4. Національній комісії з цінних паперів та фондового ринку до 1 липня 2021 року розробити та затвердити за погодженням з Національним банком України нормативно-</w:t>
            </w:r>
            <w:r w:rsidRPr="00286216">
              <w:rPr>
                <w:color w:val="000000" w:themeColor="text1"/>
                <w:spacing w:val="-2"/>
              </w:rPr>
              <w:lastRenderedPageBreak/>
              <w:t>правовий акт, який регламентує процедуру передання облігацій місцевих позик на депозитарне обслуговування до Центрального депозитарію цінних паперів.</w:t>
            </w:r>
          </w:p>
          <w:p w14:paraId="77D06A20"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5. Національному банку України у строк до 1 січня 2022 року забезпечити безоплатне передання облігацій місцевих позик на депозитарне обслуговування до Центрального депозитарію цінних паперів у порядку, встановленому Національною комісією з цінних паперів та фондового ринку за погодженням з Національним банком України.</w:t>
            </w:r>
          </w:p>
          <w:p w14:paraId="1184351B"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З дня передачі Національним банком України глобальних сертифікатів випусків облігацій місцевих позик на зберігання до Центрального депозитарію цінних паперів, Центральний депозитарій цінних паперів вважається правонаступником прав та обов’язків Національного банку України за договорами про обслуговування емісії цінних паперів, укладеними між емітентами облігацій місцевих позик та Національним банком України.</w:t>
            </w:r>
          </w:p>
          <w:p w14:paraId="17F5FA71"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Після передання Національним банком України облігацій місцевих позик на депозитарне обслуговування до Центрального депозитарію цінних паперів, розпорядження (операції) емітентів облігацій місцевих позик виконуються Центральним депозитарієм цінних паперів тільки після укладення такими емітентами відповідного договору про обслуговування емісії цінних паперів з Центральним депозитарієм цінних паперів.</w:t>
            </w:r>
          </w:p>
          <w:p w14:paraId="52958C47"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6. Кабінету Міністрів України вжити заходів щодо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4E3367B8"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приведення своїх нормативно-правових актів у відповідність із цим Законом;</w:t>
            </w:r>
          </w:p>
          <w:p w14:paraId="4EDD6F00"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251ED536" w14:textId="1FF83CBA" w:rsidR="00DE3AAF" w:rsidRPr="00286216" w:rsidRDefault="00DE3AAF" w:rsidP="00DE3AAF">
            <w:pPr>
              <w:pStyle w:val="StyleProp"/>
              <w:spacing w:line="190" w:lineRule="exact"/>
              <w:rPr>
                <w:color w:val="000000" w:themeColor="text1"/>
                <w:spacing w:val="-2"/>
              </w:rPr>
            </w:pPr>
            <w:r w:rsidRPr="00286216">
              <w:rPr>
                <w:color w:val="000000" w:themeColor="text1"/>
                <w:spacing w:val="-2"/>
              </w:rPr>
              <w:t>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2AE64A84"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8. Національній комісії з цінних паперів та фондового ринку до дня набрання чинності цим Законом привести свої нормативно-</w:t>
            </w:r>
            <w:r w:rsidRPr="00286216">
              <w:rPr>
                <w:color w:val="000000" w:themeColor="text1"/>
                <w:spacing w:val="-2"/>
              </w:rPr>
              <w:lastRenderedPageBreak/>
              <w:t>правові акти у відповідність із цим Законом.</w:t>
            </w:r>
          </w:p>
          <w:p w14:paraId="5FC571E2" w14:textId="77777777" w:rsidR="00DE3AAF" w:rsidRPr="00286216" w:rsidRDefault="00DE3AAF" w:rsidP="00DE3AAF">
            <w:pPr>
              <w:pStyle w:val="StyleProp"/>
              <w:spacing w:line="190" w:lineRule="exact"/>
              <w:rPr>
                <w:color w:val="000000" w:themeColor="text1"/>
                <w:spacing w:val="-2"/>
              </w:rPr>
            </w:pPr>
            <w:r w:rsidRPr="00286216">
              <w:rPr>
                <w:color w:val="000000" w:themeColor="text1"/>
                <w:spacing w:val="-2"/>
              </w:rPr>
              <w:t>9. Національному банку України до дня набрання чинності цим Законом привести свої нормативно-правові акти у відповідність із цим Законом.</w:t>
            </w:r>
          </w:p>
          <w:p w14:paraId="2E72C7C1" w14:textId="15CE0836" w:rsidR="00DE3AAF" w:rsidRPr="00286216" w:rsidRDefault="00DE3AAF" w:rsidP="00DE3AAF">
            <w:pPr>
              <w:pStyle w:val="StyleProp"/>
              <w:spacing w:line="190" w:lineRule="exact"/>
              <w:rPr>
                <w:color w:val="000000" w:themeColor="text1"/>
              </w:rPr>
            </w:pPr>
            <w:r w:rsidRPr="00286216">
              <w:rPr>
                <w:color w:val="000000" w:themeColor="text1"/>
                <w:spacing w:val="-2"/>
              </w:rPr>
              <w:t>10. Національній комісії, що здійснює державне регулювання у сферах енергетики та комунальних послуг, до дня набрання чинності цим Законом привести свої нормативно-правові акти у відповідність із цим Законом</w:t>
            </w:r>
            <w:r w:rsidRPr="00286216">
              <w:rPr>
                <w:color w:val="000000" w:themeColor="text1"/>
              </w:rPr>
              <w:t>.</w:t>
            </w:r>
          </w:p>
        </w:tc>
        <w:tc>
          <w:tcPr>
            <w:tcW w:w="1987" w:type="dxa"/>
          </w:tcPr>
          <w:p w14:paraId="68D2629F" w14:textId="77777777" w:rsidR="00DE3AAF" w:rsidRPr="00286216" w:rsidRDefault="00DE3AAF" w:rsidP="00DE3AAF">
            <w:pPr>
              <w:pStyle w:val="StyleWisnow"/>
              <w:rPr>
                <w:color w:val="000000" w:themeColor="text1"/>
              </w:rPr>
            </w:pPr>
            <w:r w:rsidRPr="00286216">
              <w:rPr>
                <w:color w:val="000000" w:themeColor="text1"/>
              </w:rPr>
              <w:lastRenderedPageBreak/>
              <w:t>Враховано</w:t>
            </w:r>
          </w:p>
          <w:p w14:paraId="570D5BB2" w14:textId="143A7C62" w:rsidR="00DE3AAF" w:rsidRPr="00286216" w:rsidRDefault="00DE3AAF" w:rsidP="00DE3AAF">
            <w:pPr>
              <w:pStyle w:val="StyleWisnow"/>
              <w:spacing w:line="180" w:lineRule="exact"/>
              <w:rPr>
                <w:color w:val="000000" w:themeColor="text1"/>
              </w:rPr>
            </w:pPr>
            <w:r w:rsidRPr="00286216">
              <w:rPr>
                <w:color w:val="000000" w:themeColor="text1"/>
              </w:rPr>
              <w:t>відповідно до узгодженої позиції щодо термінів набрання чинності Законом та його окремими положеннями, з урахуванням погоджених на засіданні Комітету зауважень та пропозицій народних депутатів, НБУ, ФГВФО та НКЦПФР, а також згідно з дорученням Комітету щодо техніко-</w:t>
            </w:r>
            <w:r w:rsidRPr="00286216">
              <w:rPr>
                <w:color w:val="000000" w:themeColor="text1"/>
              </w:rPr>
              <w:lastRenderedPageBreak/>
              <w:t>юридичного доопрацювання редакції законопроекту</w:t>
            </w:r>
          </w:p>
        </w:tc>
        <w:tc>
          <w:tcPr>
            <w:tcW w:w="4818" w:type="dxa"/>
          </w:tcPr>
          <w:p w14:paraId="6AB9213C" w14:textId="77777777" w:rsidR="00DE3AAF" w:rsidRPr="00286216" w:rsidRDefault="00DE3AAF" w:rsidP="00DE3AAF">
            <w:pPr>
              <w:pStyle w:val="StyleZakonu"/>
              <w:spacing w:line="210" w:lineRule="exact"/>
              <w:rPr>
                <w:color w:val="000000" w:themeColor="text1"/>
              </w:rPr>
            </w:pPr>
            <w:r w:rsidRPr="00286216">
              <w:rPr>
                <w:color w:val="000000" w:themeColor="text1"/>
              </w:rPr>
              <w:lastRenderedPageBreak/>
              <w:t>II. Прикінцеві та перехідні положення</w:t>
            </w:r>
          </w:p>
          <w:p w14:paraId="5B3CDE4D" w14:textId="77777777" w:rsidR="00DE3AAF" w:rsidRPr="00286216" w:rsidRDefault="00DE3AAF" w:rsidP="00DE3AAF">
            <w:pPr>
              <w:pStyle w:val="StyleZakonu"/>
              <w:spacing w:line="210" w:lineRule="exact"/>
              <w:rPr>
                <w:color w:val="000000" w:themeColor="text1"/>
              </w:rPr>
            </w:pPr>
            <w:r w:rsidRPr="00286216">
              <w:rPr>
                <w:color w:val="000000" w:themeColor="text1"/>
              </w:rPr>
              <w:t>1. Цей Закон набирає чинності з 1 липня 2021 року, крім:</w:t>
            </w:r>
          </w:p>
          <w:p w14:paraId="47AC33C0" w14:textId="77777777" w:rsidR="00DE3AAF" w:rsidRPr="00286216" w:rsidRDefault="00DE3AAF" w:rsidP="00DE3AAF">
            <w:pPr>
              <w:pStyle w:val="StyleZakonu"/>
              <w:spacing w:line="210" w:lineRule="exact"/>
              <w:rPr>
                <w:color w:val="000000" w:themeColor="text1"/>
              </w:rPr>
            </w:pPr>
            <w:r w:rsidRPr="00286216">
              <w:rPr>
                <w:color w:val="000000" w:themeColor="text1"/>
              </w:rPr>
              <w:t>1) підпунктів 2 та 10 пункту 2, пункту 37, підпунктів 3 – 7, 10 – 12, 18 та 24 пункту 38, підпункту «б» підпункту 6, підпунктів 10 -13, 15 – 17 та 19 пункту 40, підпункту «а» підпункту 9, підпункту «а» підпункту 13 та абзаців четвертого – тринадцятого  підпункту «б» підпункту 15 пункту 42, підпунктів «б» та «в» підпункту 1 пункту 48, підпункту "а" підпункту 1 пункту 52 Розділу І цього Закону, пунктів 2 – 10 цього розділу, які набирають чинності з дня, наступного за днем опублікування цього Закону;</w:t>
            </w:r>
          </w:p>
          <w:p w14:paraId="344A24F1"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2) підпункту «а» та абзацу другого підпункту «б» </w:t>
            </w:r>
            <w:r w:rsidRPr="00286216">
              <w:rPr>
                <w:color w:val="000000" w:themeColor="text1"/>
              </w:rPr>
              <w:lastRenderedPageBreak/>
              <w:t>підпункту 10, підпункту «а» підпункту 17 пункту 42 розділу І цього Закону, які набирають чинності з 1 січня 2022 року;</w:t>
            </w:r>
          </w:p>
          <w:p w14:paraId="1B780360" w14:textId="77777777" w:rsidR="00DE3AAF" w:rsidRPr="00286216" w:rsidRDefault="00DE3AAF" w:rsidP="00DE3AAF">
            <w:pPr>
              <w:pStyle w:val="StyleZakonu"/>
              <w:spacing w:line="210" w:lineRule="exact"/>
              <w:rPr>
                <w:color w:val="000000" w:themeColor="text1"/>
              </w:rPr>
            </w:pPr>
            <w:r w:rsidRPr="00286216">
              <w:rPr>
                <w:color w:val="000000" w:themeColor="text1"/>
              </w:rPr>
              <w:t>3) підпунктів 2 та 3 пункту 49 розділу І цього Закону, які набирають чинності з 1 січня 2023 року.</w:t>
            </w:r>
          </w:p>
          <w:p w14:paraId="66263AD6" w14:textId="77777777" w:rsidR="00DE3AAF" w:rsidRPr="00286216" w:rsidRDefault="00DE3AAF" w:rsidP="00DE3AAF">
            <w:pPr>
              <w:pStyle w:val="StyleZakonu"/>
              <w:spacing w:line="210" w:lineRule="exact"/>
              <w:rPr>
                <w:color w:val="000000" w:themeColor="text1"/>
              </w:rPr>
            </w:pPr>
            <w:r w:rsidRPr="00286216">
              <w:rPr>
                <w:color w:val="000000" w:themeColor="text1"/>
              </w:rPr>
              <w:t>2. Особам, які провадять клірингову діяльність, протягом двох робочих днів з дня набрання чинності цим Законом повідомити Національній комісії з цінних паперів та фондового ринку та Національному банку України адреси електронної пошти, які будуть вважатися офіційними адресами електронної пошти для цілей абзацу першого частини третьої статті 5</w:t>
            </w:r>
            <w:r w:rsidRPr="00286216">
              <w:rPr>
                <w:color w:val="000000" w:themeColor="text1"/>
                <w:vertAlign w:val="superscript"/>
              </w:rPr>
              <w:t>4</w:t>
            </w:r>
            <w:r w:rsidRPr="00286216">
              <w:rPr>
                <w:color w:val="000000" w:themeColor="text1"/>
              </w:rPr>
              <w:t xml:space="preserve"> Закону України «Про цінні папери та фондовий ринок».</w:t>
            </w:r>
          </w:p>
          <w:p w14:paraId="63AC1016" w14:textId="77777777" w:rsidR="00DE3AAF" w:rsidRPr="00286216" w:rsidRDefault="00DE3AAF" w:rsidP="00DE3AAF">
            <w:pPr>
              <w:pStyle w:val="StyleZakonu"/>
              <w:spacing w:line="210" w:lineRule="exact"/>
              <w:rPr>
                <w:color w:val="000000" w:themeColor="text1"/>
              </w:rPr>
            </w:pPr>
            <w:r w:rsidRPr="00286216">
              <w:rPr>
                <w:color w:val="000000" w:themeColor="text1"/>
              </w:rPr>
              <w:t>3. Внести зміни до таких законодавчих актів України:</w:t>
            </w:r>
          </w:p>
          <w:p w14:paraId="5AF20EDB" w14:textId="77777777" w:rsidR="00DE3AAF" w:rsidRPr="00286216" w:rsidRDefault="00DE3AAF" w:rsidP="00DE3AAF">
            <w:pPr>
              <w:pStyle w:val="StyleZakonu"/>
              <w:spacing w:line="210" w:lineRule="exact"/>
              <w:rPr>
                <w:color w:val="000000" w:themeColor="text1"/>
              </w:rPr>
            </w:pPr>
            <w:r w:rsidRPr="00286216">
              <w:rPr>
                <w:color w:val="000000" w:themeColor="text1"/>
              </w:rPr>
              <w:t>1) статтю 94 Кодексу України з процедур банкрутства" (Відомості Верховної Ради України 2019 р., № 19, ст. 74) викласти в такій редакції:</w:t>
            </w:r>
          </w:p>
          <w:p w14:paraId="1330D2DC" w14:textId="77777777" w:rsidR="00DE3AAF" w:rsidRPr="00286216" w:rsidRDefault="00DE3AAF" w:rsidP="00DE3AAF">
            <w:pPr>
              <w:pStyle w:val="StyleZakonu"/>
              <w:spacing w:line="210" w:lineRule="exact"/>
              <w:rPr>
                <w:color w:val="000000" w:themeColor="text1"/>
              </w:rPr>
            </w:pPr>
            <w:r w:rsidRPr="00286216">
              <w:rPr>
                <w:color w:val="000000" w:themeColor="text1"/>
              </w:rPr>
              <w:t>«Стаття 94. Особливості банкрутства суб’єкта підприємницької діяльності, який є стороною одного або кількох похідних (деривативів) або правочинів щодо цінних паперів, укладених або вчинених з посиланням на обов’язковість угоди щодо ліквідаційного неттінгу</w:t>
            </w:r>
          </w:p>
          <w:p w14:paraId="5315F998" w14:textId="77777777" w:rsidR="00DE3AAF" w:rsidRPr="00286216" w:rsidRDefault="00DE3AAF" w:rsidP="00DE3AAF">
            <w:pPr>
              <w:pStyle w:val="StyleZakonu"/>
              <w:spacing w:line="210" w:lineRule="exact"/>
              <w:rPr>
                <w:color w:val="000000" w:themeColor="text1"/>
              </w:rPr>
            </w:pPr>
            <w:r w:rsidRPr="00286216">
              <w:rPr>
                <w:color w:val="000000" w:themeColor="text1"/>
              </w:rPr>
              <w:t>1. Ліквідаційний неттінг – здійснення усіх таких дій відповідно до угоди щодо ліквідаційного неттінгу:</w:t>
            </w:r>
          </w:p>
          <w:p w14:paraId="0D15147D"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суб’єкта підприємницької діяльності, який є стороною угоди щодо ліквідаційного неттінгу та щодо якого відкрито провадження у справі про банкрутство, а також зобов'язань кожного контрагента, який є іншою стороною такої угоди щодо ліквідаційного неттінгу,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7CBFB1D5"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припинення всіх існуючих станом на дату </w:t>
            </w:r>
            <w:r w:rsidRPr="00286216">
              <w:rPr>
                <w:color w:val="000000" w:themeColor="text1"/>
              </w:rPr>
              <w:lastRenderedPageBreak/>
              <w:t>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611641F2" w14:textId="77777777" w:rsidR="00DE3AAF" w:rsidRPr="00286216" w:rsidRDefault="00DE3AAF" w:rsidP="00DE3AAF">
            <w:pPr>
              <w:pStyle w:val="StyleZakonu"/>
              <w:spacing w:line="210" w:lineRule="exact"/>
              <w:rPr>
                <w:color w:val="000000" w:themeColor="text1"/>
              </w:rPr>
            </w:pPr>
            <w:r w:rsidRPr="00286216">
              <w:rPr>
                <w:color w:val="000000" w:themeColor="text1"/>
              </w:rPr>
              <w:t>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абзацу другого цієї частини. При цьому вважається, що строк виконання вимог за такими новими грошовими зобов’язаннями настав;</w:t>
            </w:r>
          </w:p>
          <w:p w14:paraId="2DECCDA3" w14:textId="77777777" w:rsidR="00DE3AAF" w:rsidRPr="00286216" w:rsidRDefault="00DE3AAF" w:rsidP="00DE3AAF">
            <w:pPr>
              <w:pStyle w:val="StyleZakonu"/>
              <w:spacing w:line="210" w:lineRule="exact"/>
              <w:rPr>
                <w:color w:val="000000" w:themeColor="text1"/>
              </w:rPr>
            </w:pPr>
            <w:r w:rsidRPr="00286216">
              <w:rPr>
                <w:color w:val="000000" w:themeColor="text1"/>
              </w:rPr>
              <w:t>припинення нових грошових зобов’язань, передбачених абзацом четвертим цієї частини, шляхом зарахування зустрічних однорідних вимог за такими зобов’язаннями та визначення нетто-зобов’язання.</w:t>
            </w:r>
          </w:p>
          <w:p w14:paraId="7099AF31" w14:textId="77777777" w:rsidR="00DE3AAF" w:rsidRPr="00286216" w:rsidRDefault="00DE3AAF" w:rsidP="00DE3AAF">
            <w:pPr>
              <w:pStyle w:val="StyleZakonu"/>
              <w:spacing w:line="210" w:lineRule="exact"/>
              <w:rPr>
                <w:color w:val="000000" w:themeColor="text1"/>
              </w:rPr>
            </w:pPr>
            <w:r w:rsidRPr="00286216">
              <w:rPr>
                <w:color w:val="000000" w:themeColor="text1"/>
              </w:rPr>
              <w:t>2. Угода щодо ліквідаційного неттінгу може передбачати відмінний від передбаченого частиною першою цієї статті спосіб припинення існуючих станом на дату ліквідаційного неттінгу зобов’язань за одним або кількома похідними (деривативами), укладеним (укладеними) такими сторонами угоди щодо ліквідаційного неттінгу.</w:t>
            </w:r>
          </w:p>
          <w:p w14:paraId="52E2E7DB" w14:textId="77777777" w:rsidR="00DE3AAF" w:rsidRPr="00286216" w:rsidRDefault="00DE3AAF" w:rsidP="00DE3AAF">
            <w:pPr>
              <w:pStyle w:val="StyleZakonu"/>
              <w:spacing w:line="210" w:lineRule="exact"/>
              <w:rPr>
                <w:color w:val="000000" w:themeColor="text1"/>
              </w:rPr>
            </w:pPr>
            <w:r w:rsidRPr="00286216">
              <w:rPr>
                <w:color w:val="000000" w:themeColor="text1"/>
              </w:rPr>
              <w:t>Для цілей цього Кодексу розуміється:</w:t>
            </w:r>
          </w:p>
          <w:p w14:paraId="65E59C8A" w14:textId="77777777" w:rsidR="00DE3AAF" w:rsidRPr="00286216" w:rsidRDefault="00DE3AAF" w:rsidP="00DE3AAF">
            <w:pPr>
              <w:pStyle w:val="StyleZakonu"/>
              <w:spacing w:line="210" w:lineRule="exact"/>
              <w:rPr>
                <w:color w:val="000000" w:themeColor="text1"/>
              </w:rPr>
            </w:pPr>
            <w:r w:rsidRPr="00286216">
              <w:rPr>
                <w:color w:val="000000" w:themeColor="text1"/>
              </w:rPr>
              <w:t>під угодою щодо ліквідаційного неттінгу –  генеральна угода, положення якої містять умови та порядок проведення ліквідаційного неттінгу, або інший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про клірингове обслуговування з особою, яка провадить клірингову діяльність;</w:t>
            </w:r>
          </w:p>
          <w:p w14:paraId="34B34E1F" w14:textId="77777777" w:rsidR="00DE3AAF" w:rsidRPr="00286216" w:rsidRDefault="00DE3AAF" w:rsidP="00DE3AAF">
            <w:pPr>
              <w:pStyle w:val="StyleZakonu"/>
              <w:spacing w:line="210" w:lineRule="exact"/>
              <w:rPr>
                <w:color w:val="000000" w:themeColor="text1"/>
              </w:rPr>
            </w:pPr>
            <w:r w:rsidRPr="00286216">
              <w:rPr>
                <w:color w:val="000000" w:themeColor="text1"/>
              </w:rPr>
              <w:t>під генеральною угодою – договір, що  визначає загальні умови та порядок укладення та виконання похідних (деривативів) або договорів щодо цінних паперів, укладених на підставі такого договору;</w:t>
            </w:r>
          </w:p>
          <w:p w14:paraId="5DC8DBFE"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під сторонами угоди щодо ліквідаційного неттінгу – сторони генеральної угоди, сторони іншого документа (договору), що містить умови та порядок проведення ліквідаційного неттінгу, сторони </w:t>
            </w:r>
            <w:r w:rsidRPr="00286216">
              <w:rPr>
                <w:color w:val="000000" w:themeColor="text1"/>
              </w:rPr>
              <w:lastRenderedPageBreak/>
              <w:t>похідного (деривативу), укладеного з посиланням на обов’язковість угоди щодо ліквідаційного неттінгу, які уклали договір про клірингове обслуговування з особою, якій сторони похідного (деривативу) направили розпорядження на проведення клірингу;</w:t>
            </w:r>
          </w:p>
          <w:p w14:paraId="7DAC8C37" w14:textId="77777777" w:rsidR="00DE3AAF" w:rsidRPr="00286216" w:rsidRDefault="00DE3AAF" w:rsidP="00DE3AAF">
            <w:pPr>
              <w:pStyle w:val="StyleZakonu"/>
              <w:spacing w:line="210" w:lineRule="exact"/>
              <w:rPr>
                <w:color w:val="000000" w:themeColor="text1"/>
              </w:rPr>
            </w:pPr>
            <w:r w:rsidRPr="00286216">
              <w:rPr>
                <w:color w:val="000000" w:themeColor="text1"/>
              </w:rPr>
              <w:t>під датою ліквідаційного неттінгу – дата передбачена пунктом 1 частини першої статті 5</w:t>
            </w:r>
            <w:r w:rsidRPr="00286216">
              <w:rPr>
                <w:color w:val="000000" w:themeColor="text1"/>
                <w:vertAlign w:val="superscript"/>
              </w:rPr>
              <w:t>4</w:t>
            </w:r>
            <w:r w:rsidRPr="00286216">
              <w:rPr>
                <w:color w:val="000000" w:themeColor="text1"/>
              </w:rPr>
              <w:t xml:space="preserve"> Закону України «Про цінні папери та фондовий ринок»;</w:t>
            </w:r>
          </w:p>
          <w:p w14:paraId="5F8C1E3A" w14:textId="77777777" w:rsidR="00DE3AAF" w:rsidRPr="00286216" w:rsidRDefault="00DE3AAF" w:rsidP="00DE3AAF">
            <w:pPr>
              <w:pStyle w:val="StyleZakonu"/>
              <w:spacing w:line="210" w:lineRule="exact"/>
              <w:rPr>
                <w:color w:val="000000" w:themeColor="text1"/>
              </w:rPr>
            </w:pPr>
            <w:r w:rsidRPr="00286216">
              <w:rPr>
                <w:color w:val="000000" w:themeColor="text1"/>
              </w:rPr>
              <w:t>під розрахунком вартості зобов’язань – визначення у спосіб, передбачений угодою щодо ліквідаційного неттінгу, грошового еквівалента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1D7087D7" w14:textId="77777777" w:rsidR="00DE3AAF" w:rsidRPr="00286216" w:rsidRDefault="00DE3AAF" w:rsidP="00DE3AAF">
            <w:pPr>
              <w:pStyle w:val="StyleZakonu"/>
              <w:spacing w:line="210" w:lineRule="exact"/>
              <w:rPr>
                <w:color w:val="000000" w:themeColor="text1"/>
              </w:rPr>
            </w:pPr>
            <w:r w:rsidRPr="00286216">
              <w:rPr>
                <w:color w:val="000000" w:themeColor="text1"/>
              </w:rPr>
              <w:t>під нетто-зобов’язанням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такої  угоди щодо ліквідаційного неттінгу (розмір суми зобов’язань якої є меншою) та визначається як різниця між сумами зобов’язань таких сторін.</w:t>
            </w:r>
          </w:p>
          <w:p w14:paraId="011804BF"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3.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суб’єктом підприємницької діяльності-стороною угоди щодо ліквідаційного неттінгу, щодо якого відкрито провадження у справі про банкрутство, за одним або кількома похідними (деривативами), укладеними таким суб’єктом підприємницької діяльності з посиланням на обов’язковість угоди щодо ліквідаційного неттінгу, здійснюються в позасудовому порядку та не потребують будь-якої згоди та/або затвердження таким суб’єктом підприємницької діяльності, розпорядником його майна, керуючим його санацією, його ліквідатором, кредитором (кредиторами) та/або господарським судом. </w:t>
            </w:r>
          </w:p>
          <w:p w14:paraId="117ACB5C" w14:textId="77777777" w:rsidR="00DE3AAF" w:rsidRPr="00286216" w:rsidRDefault="00DE3AAF" w:rsidP="00DE3AAF">
            <w:pPr>
              <w:pStyle w:val="StyleZakonu"/>
              <w:spacing w:line="210" w:lineRule="exact"/>
              <w:rPr>
                <w:color w:val="000000" w:themeColor="text1"/>
              </w:rPr>
            </w:pPr>
            <w:r w:rsidRPr="00286216">
              <w:rPr>
                <w:color w:val="000000" w:themeColor="text1"/>
              </w:rPr>
              <w:t>4. Ліквідаційний неттінг не проводиться у таких випадках:</w:t>
            </w:r>
          </w:p>
          <w:p w14:paraId="2ED85633" w14:textId="77777777" w:rsidR="00DE3AAF" w:rsidRPr="00286216" w:rsidRDefault="00DE3AAF" w:rsidP="00DE3AAF">
            <w:pPr>
              <w:pStyle w:val="StyleZakonu"/>
              <w:spacing w:line="210" w:lineRule="exact"/>
              <w:rPr>
                <w:color w:val="000000" w:themeColor="text1"/>
              </w:rPr>
            </w:pPr>
            <w:r w:rsidRPr="00286216">
              <w:rPr>
                <w:color w:val="000000" w:themeColor="text1"/>
              </w:rPr>
              <w:t>якщо відповідна генеральна угода не передбачає можливості або процедури його проведення;</w:t>
            </w:r>
          </w:p>
          <w:p w14:paraId="3C6FB656"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якщо відповідна угода щодо ліквідаційного неттінгу укладена після дати відкриття щодо суб’єкта підприємницької діяльності-сторони такої угоди щодо </w:t>
            </w:r>
            <w:r w:rsidRPr="00286216">
              <w:rPr>
                <w:color w:val="000000" w:themeColor="text1"/>
              </w:rPr>
              <w:lastRenderedPageBreak/>
              <w:t>ліквідаційного неттінгу провадження у справі про банкрутство;</w:t>
            </w:r>
          </w:p>
          <w:p w14:paraId="24B2CE3C" w14:textId="77777777" w:rsidR="00DE3AAF" w:rsidRPr="00286216" w:rsidRDefault="00DE3AAF" w:rsidP="00DE3AAF">
            <w:pPr>
              <w:pStyle w:val="StyleZakonu"/>
              <w:spacing w:line="210" w:lineRule="exact"/>
              <w:rPr>
                <w:color w:val="000000" w:themeColor="text1"/>
              </w:rPr>
            </w:pPr>
            <w:r w:rsidRPr="00286216">
              <w:rPr>
                <w:color w:val="000000" w:themeColor="text1"/>
              </w:rPr>
              <w:t>якщо похідний (дериватив), укладений стороною з посиланням на обов’язковість відповідної угоди щодо ліквідаційного неттінгу, був укладений після дати відповідного відкриття щодо такого суб’єкта підприємницької діяльності провадження у справі про банкрутство.</w:t>
            </w:r>
          </w:p>
          <w:p w14:paraId="7A9E8C70"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5. Положення цього Кодексу, що регулюють банкрутство юридичних осіб, застосовуються до процедур банкрутства суб’єкта підприємницької діяльності, який є стороною одного або кількох похідних (деривативів), укладених з посиланням на обов’язковість відповідної угоди щодо ліквідаційного неттінгу, в частині, що не суперечить положенням цієї статті. У разі суперечності норм цього Кодексу, що регулюють банкрутство юридичних осіб, з нормами цієї статті, норми цієї статті мають перевагу. </w:t>
            </w:r>
          </w:p>
          <w:p w14:paraId="2F7EB12E"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5. Положення цієї статті не застосовується до похідних (деривативів), укладених без участі або посередництва торгівця цінними паперами . </w:t>
            </w:r>
          </w:p>
          <w:p w14:paraId="2A5FFB5E" w14:textId="77777777" w:rsidR="00DE3AAF" w:rsidRPr="00286216" w:rsidRDefault="00DE3AAF" w:rsidP="00DE3AAF">
            <w:pPr>
              <w:pStyle w:val="StyleZakonu"/>
              <w:spacing w:line="210" w:lineRule="exact"/>
              <w:rPr>
                <w:color w:val="000000" w:themeColor="text1"/>
              </w:rPr>
            </w:pPr>
            <w:r w:rsidRPr="00286216">
              <w:rPr>
                <w:color w:val="000000" w:themeColor="text1"/>
              </w:rPr>
              <w:t>6. Положення цієї статті застосовуються також до суб’єктів підприємницької діяльності, які є сторонами одного або кількох правочинів щодо цінних паперів, вчинених з посиланням на обов’язковість відповідної угоди щодо ліквідаційного неттінгу»;</w:t>
            </w:r>
          </w:p>
          <w:p w14:paraId="3F3B0DD4"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2) Закон України «Про систему гарантування вкладів фізичних осіб» (Відомості Верховної Ради України, 2012 р., № 50, ст.564 з наступними змінами) доповнити розділом VIII </w:t>
            </w:r>
            <w:r w:rsidRPr="00286216">
              <w:rPr>
                <w:color w:val="000000" w:themeColor="text1"/>
                <w:vertAlign w:val="superscript"/>
              </w:rPr>
              <w:t>1</w:t>
            </w:r>
            <w:r w:rsidRPr="00286216">
              <w:rPr>
                <w:color w:val="000000" w:themeColor="text1"/>
              </w:rPr>
              <w:t xml:space="preserve"> такого змісту:</w:t>
            </w:r>
          </w:p>
          <w:p w14:paraId="578E5F32"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1) «РОЗДІЛ VIII </w:t>
            </w:r>
            <w:r w:rsidRPr="00286216">
              <w:rPr>
                <w:color w:val="000000" w:themeColor="text1"/>
                <w:vertAlign w:val="superscript"/>
              </w:rPr>
              <w:t>1</w:t>
            </w:r>
          </w:p>
          <w:p w14:paraId="0BE6F18F" w14:textId="77777777" w:rsidR="00DE3AAF" w:rsidRPr="00286216" w:rsidRDefault="00DE3AAF" w:rsidP="00DE3AAF">
            <w:pPr>
              <w:pStyle w:val="StyleZakonu"/>
              <w:spacing w:line="210" w:lineRule="exact"/>
              <w:rPr>
                <w:color w:val="000000" w:themeColor="text1"/>
              </w:rPr>
            </w:pPr>
            <w:r w:rsidRPr="00286216">
              <w:rPr>
                <w:color w:val="000000" w:themeColor="text1"/>
              </w:rPr>
              <w:t>ОСОБЛИВОСТІ ЗДІЙСНЕННЯ ТИМЧАСОВОЇ АДМІНІСТРАЦІЇ ТА ЛІКВІДАЦІЇ БАНКУ, ЯКИЙ МАЄ ЗОБОВ’ЯЗАННЯ, ЩО ВИНИКЛИ З ПОСИЛАННЯМ НА ОБОВ’ЯЗКОВІСТЬ УГОДИ ЩОДО ЛІКВІДАЦІЙНОГО НЕТТІНГУ</w:t>
            </w:r>
          </w:p>
          <w:p w14:paraId="35CDC01C" w14:textId="77777777" w:rsidR="00DE3AAF" w:rsidRPr="00286216" w:rsidRDefault="00DE3AAF" w:rsidP="00DE3AAF">
            <w:pPr>
              <w:pStyle w:val="StyleZakonu"/>
              <w:spacing w:line="210" w:lineRule="exact"/>
              <w:rPr>
                <w:color w:val="000000" w:themeColor="text1"/>
              </w:rPr>
            </w:pPr>
            <w:r w:rsidRPr="00286216">
              <w:rPr>
                <w:color w:val="000000" w:themeColor="text1"/>
              </w:rPr>
              <w:t>Стаття 54</w:t>
            </w:r>
            <w:r w:rsidRPr="00286216">
              <w:rPr>
                <w:color w:val="000000" w:themeColor="text1"/>
                <w:vertAlign w:val="superscript"/>
              </w:rPr>
              <w:t>1</w:t>
            </w:r>
            <w:r w:rsidRPr="00286216">
              <w:rPr>
                <w:color w:val="000000" w:themeColor="text1"/>
              </w:rPr>
              <w:t>. Ліквідаційний неттінг</w:t>
            </w:r>
          </w:p>
          <w:p w14:paraId="314FBEC0" w14:textId="77777777" w:rsidR="00DE3AAF" w:rsidRPr="00286216" w:rsidRDefault="00DE3AAF" w:rsidP="00DE3AAF">
            <w:pPr>
              <w:pStyle w:val="StyleZakonu"/>
              <w:spacing w:line="210" w:lineRule="exact"/>
              <w:rPr>
                <w:color w:val="000000" w:themeColor="text1"/>
              </w:rPr>
            </w:pPr>
            <w:r w:rsidRPr="00286216">
              <w:rPr>
                <w:color w:val="000000" w:themeColor="text1"/>
              </w:rPr>
              <w:t>1. Для цілей цієї статті:</w:t>
            </w:r>
          </w:p>
          <w:p w14:paraId="5B5597A7" w14:textId="77777777" w:rsidR="00DE3AAF" w:rsidRPr="00286216" w:rsidRDefault="00DE3AAF" w:rsidP="00DE3AAF">
            <w:pPr>
              <w:pStyle w:val="StyleZakonu"/>
              <w:spacing w:line="210" w:lineRule="exact"/>
              <w:rPr>
                <w:color w:val="000000" w:themeColor="text1"/>
              </w:rPr>
            </w:pPr>
            <w:r w:rsidRPr="00286216">
              <w:rPr>
                <w:color w:val="000000" w:themeColor="text1"/>
              </w:rPr>
              <w:t>1) терміни «генеральна угода», "нетто-зобовʼязання", "розрахунок вартості зобов'язань", "сторони угоди щодо ліквідаційного неттінгу", "угода щодо ліквідаційного неттінгу" вживаються у значеннях, наведених у статті 5</w:t>
            </w:r>
            <w:r w:rsidRPr="00286216">
              <w:rPr>
                <w:color w:val="000000" w:themeColor="text1"/>
                <w:vertAlign w:val="superscript"/>
              </w:rPr>
              <w:t xml:space="preserve">5 </w:t>
            </w:r>
            <w:r w:rsidRPr="00286216">
              <w:rPr>
                <w:color w:val="000000" w:themeColor="text1"/>
              </w:rPr>
              <w:t>Закону України "Про цінні папери та фондовий ринок";</w:t>
            </w:r>
          </w:p>
          <w:p w14:paraId="7DA7BB94"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2) під датою ліквідаційного неттінгу розуміється </w:t>
            </w:r>
            <w:r w:rsidRPr="00286216">
              <w:rPr>
                <w:color w:val="000000" w:themeColor="text1"/>
              </w:rPr>
              <w:lastRenderedPageBreak/>
              <w:t>дата рішення, передбаченого пунктом 1 частини першої статті 5</w:t>
            </w:r>
            <w:r w:rsidRPr="00286216">
              <w:rPr>
                <w:color w:val="000000" w:themeColor="text1"/>
                <w:vertAlign w:val="superscript"/>
              </w:rPr>
              <w:t xml:space="preserve">4 </w:t>
            </w:r>
            <w:r w:rsidRPr="00286216">
              <w:rPr>
                <w:color w:val="000000" w:themeColor="text1"/>
              </w:rPr>
              <w:t xml:space="preserve">Закону України "Про цінні папери та фондовий ринок". </w:t>
            </w:r>
          </w:p>
          <w:p w14:paraId="26D41BC5" w14:textId="77777777" w:rsidR="00DE3AAF" w:rsidRPr="00286216" w:rsidRDefault="00DE3AAF" w:rsidP="00DE3AAF">
            <w:pPr>
              <w:pStyle w:val="StyleZakonu"/>
              <w:spacing w:line="210" w:lineRule="exact"/>
              <w:rPr>
                <w:color w:val="000000" w:themeColor="text1"/>
              </w:rPr>
            </w:pPr>
            <w:r w:rsidRPr="00286216">
              <w:rPr>
                <w:color w:val="000000" w:themeColor="text1"/>
              </w:rPr>
              <w:t>2. Ліквідаційний неттінг – здійснення усіх таких дій відповідно до угоди щодо ліквідаційного неттінгу:</w:t>
            </w:r>
          </w:p>
          <w:p w14:paraId="323A29E9"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1) здійснення особою, щодо якої в угоді щодо ліквідаційного неттінгу зазначено про те, що вона є відповідальною за проведення ліквідаційного неттінгу (далі – особа, зазначена в угоді щодо ліквідаційного неттінгу), розрахунку вартості зобов’язань банку, який є стороною угоди щодо ліквідаційного неттінгу та щодо якого прийнято рішення, зазначене у пункті 2 частини першої цієї статті, а також зобов'язань кожного контрагента, який є іншою стороною такої угоди щодо ліквідаційного неттінгу, за одним або кількома похідними (деривативами), що існував (існували) станом на дату ліквідаційного неттінгу, та був укладений (були укладені) такими сторонами з посиланням на обов’язковість для них такої угоди щодо ліквідаційного неттінгу. Порядок здійснення такого розрахунку визначається угодою щодо ліквідаційного неттінгу; </w:t>
            </w:r>
          </w:p>
          <w:p w14:paraId="7C66A536" w14:textId="77777777" w:rsidR="00DE3AAF" w:rsidRPr="00286216" w:rsidRDefault="00DE3AAF" w:rsidP="00DE3AAF">
            <w:pPr>
              <w:pStyle w:val="StyleZakonu"/>
              <w:spacing w:line="210" w:lineRule="exact"/>
              <w:rPr>
                <w:color w:val="000000" w:themeColor="text1"/>
              </w:rPr>
            </w:pPr>
            <w:r w:rsidRPr="00286216">
              <w:rPr>
                <w:color w:val="000000" w:themeColor="text1"/>
              </w:rPr>
              <w:t>2) 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 (укладеними) такими сторонами угоди щодо ліквідаційного неттінгу з посиланням на обов’язковість угоди щодо ліквідаційного неттінгу для таких сторін, у такій послідовності:</w:t>
            </w:r>
          </w:p>
          <w:p w14:paraId="08DCF318" w14:textId="77777777" w:rsidR="00DE3AAF" w:rsidRPr="00286216" w:rsidRDefault="00DE3AAF" w:rsidP="00DE3AAF">
            <w:pPr>
              <w:pStyle w:val="StyleZakonu"/>
              <w:spacing w:line="210" w:lineRule="exact"/>
              <w:rPr>
                <w:color w:val="000000" w:themeColor="text1"/>
              </w:rPr>
            </w:pPr>
            <w:r w:rsidRPr="00286216">
              <w:rPr>
                <w:color w:val="000000" w:themeColor="text1"/>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При цьому вважається, що строк виконання вимог за такими новими грошовими зобов’язаннями настав;</w:t>
            </w:r>
          </w:p>
          <w:p w14:paraId="1F66978B" w14:textId="77777777" w:rsidR="00DE3AAF" w:rsidRPr="00286216" w:rsidRDefault="00DE3AAF" w:rsidP="00DE3AAF">
            <w:pPr>
              <w:pStyle w:val="StyleZakonu"/>
              <w:spacing w:line="210" w:lineRule="exact"/>
              <w:rPr>
                <w:color w:val="000000" w:themeColor="text1"/>
              </w:rPr>
            </w:pPr>
            <w:r w:rsidRPr="00286216">
              <w:rPr>
                <w:color w:val="000000" w:themeColor="text1"/>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3DD06F56"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3. Угода щодо ліквідаційного неттінгу може передбачати відмінний від частини другої цієї статті спосіб припинення існуючих станом на дату ліквідаційного неттінгу зобов’язань за одним або </w:t>
            </w:r>
            <w:r w:rsidRPr="00286216">
              <w:rPr>
                <w:color w:val="000000" w:themeColor="text1"/>
              </w:rPr>
              <w:lastRenderedPageBreak/>
              <w:t>кількома похідними (деривативами), укладеним (укладеними) сторонами угоди щодо ліквідаційного неттінгу.</w:t>
            </w:r>
          </w:p>
          <w:p w14:paraId="004C06CB" w14:textId="77777777" w:rsidR="00DE3AAF" w:rsidRPr="00286216" w:rsidRDefault="00DE3AAF" w:rsidP="00DE3AAF">
            <w:pPr>
              <w:pStyle w:val="StyleZakonu"/>
              <w:spacing w:line="210" w:lineRule="exact"/>
              <w:rPr>
                <w:color w:val="000000" w:themeColor="text1"/>
              </w:rPr>
            </w:pPr>
            <w:r w:rsidRPr="00286216">
              <w:rPr>
                <w:color w:val="000000" w:themeColor="text1"/>
              </w:rPr>
              <w:t>4. Ліквідаційний неттінг не здійснюється у таких випадках:</w:t>
            </w:r>
          </w:p>
          <w:p w14:paraId="7FAD5755" w14:textId="77777777" w:rsidR="00DE3AAF" w:rsidRPr="00286216" w:rsidRDefault="00DE3AAF" w:rsidP="00DE3AAF">
            <w:pPr>
              <w:pStyle w:val="StyleZakonu"/>
              <w:spacing w:line="210" w:lineRule="exact"/>
              <w:rPr>
                <w:color w:val="000000" w:themeColor="text1"/>
              </w:rPr>
            </w:pPr>
            <w:r w:rsidRPr="00286216">
              <w:rPr>
                <w:color w:val="000000" w:themeColor="text1"/>
              </w:rPr>
              <w:t>1) відповідна генеральна угода не передбачає можливості проведення ліквідаційного неттінгу;</w:t>
            </w:r>
          </w:p>
          <w:p w14:paraId="37FC63EC" w14:textId="77777777" w:rsidR="00DE3AAF" w:rsidRPr="00286216" w:rsidRDefault="00DE3AAF" w:rsidP="00DE3AAF">
            <w:pPr>
              <w:pStyle w:val="StyleZakonu"/>
              <w:spacing w:line="210" w:lineRule="exact"/>
              <w:rPr>
                <w:color w:val="000000" w:themeColor="text1"/>
              </w:rPr>
            </w:pPr>
            <w:r w:rsidRPr="00286216">
              <w:rPr>
                <w:color w:val="000000" w:themeColor="text1"/>
              </w:rPr>
              <w:t>2) відповідна угода щодо ліквідаційного неттінгу укладена після дати прийняття рішення, зазначеного у пункті 2 частини першої цієї статті;</w:t>
            </w:r>
          </w:p>
          <w:p w14:paraId="68922954" w14:textId="77777777" w:rsidR="00DE3AAF" w:rsidRPr="00286216" w:rsidRDefault="00DE3AAF" w:rsidP="00DE3AAF">
            <w:pPr>
              <w:pStyle w:val="StyleZakonu"/>
              <w:spacing w:line="210" w:lineRule="exact"/>
              <w:rPr>
                <w:color w:val="000000" w:themeColor="text1"/>
              </w:rPr>
            </w:pPr>
            <w:r w:rsidRPr="00286216">
              <w:rPr>
                <w:color w:val="000000" w:themeColor="text1"/>
              </w:rPr>
              <w:t>3) похідний (дериватив), що містить посилання на обов’язковість відповідної угоди щодо ліквідаційного неттінгу, був укладений банком після дати прийняття рішення, зазначеного у пункті 2 частини першої цієї статті.</w:t>
            </w:r>
          </w:p>
          <w:p w14:paraId="4A485820" w14:textId="77777777" w:rsidR="00DE3AAF" w:rsidRPr="00286216" w:rsidRDefault="00DE3AAF" w:rsidP="00DE3AAF">
            <w:pPr>
              <w:pStyle w:val="StyleZakonu"/>
              <w:spacing w:line="210" w:lineRule="exact"/>
              <w:rPr>
                <w:color w:val="000000" w:themeColor="text1"/>
              </w:rPr>
            </w:pPr>
            <w:r w:rsidRPr="00286216">
              <w:rPr>
                <w:color w:val="000000" w:themeColor="text1"/>
              </w:rPr>
              <w:t>5. Будь-які інші положення цього Закону, крім передбачених цією статтею, не можуть бути підставою для:</w:t>
            </w:r>
          </w:p>
          <w:p w14:paraId="5469B0F2" w14:textId="77777777" w:rsidR="00DE3AAF" w:rsidRPr="00286216" w:rsidRDefault="00DE3AAF" w:rsidP="00DE3AAF">
            <w:pPr>
              <w:pStyle w:val="StyleZakonu"/>
              <w:spacing w:line="210" w:lineRule="exact"/>
              <w:rPr>
                <w:color w:val="000000" w:themeColor="text1"/>
              </w:rPr>
            </w:pPr>
            <w:r w:rsidRPr="00286216">
              <w:rPr>
                <w:color w:val="000000" w:themeColor="text1"/>
              </w:rPr>
              <w:t>1) визнання незаконними, недійсними та/або нікчемними дій, що здійснюються під час ліквідаційного неттінгу відповідно до цієї статті;</w:t>
            </w:r>
          </w:p>
          <w:p w14:paraId="75B60E46" w14:textId="77777777" w:rsidR="00DE3AAF" w:rsidRPr="00286216" w:rsidRDefault="00DE3AAF" w:rsidP="00DE3AAF">
            <w:pPr>
              <w:pStyle w:val="StyleZakonu"/>
              <w:spacing w:line="210" w:lineRule="exact"/>
              <w:rPr>
                <w:color w:val="000000" w:themeColor="text1"/>
              </w:rPr>
            </w:pPr>
            <w:r w:rsidRPr="00286216">
              <w:rPr>
                <w:color w:val="000000" w:themeColor="text1"/>
              </w:rPr>
              <w:t>2) відмови від проведення ліквідаційного неттінгу відповідно до умов угоди щодо ліквідаційного неттінгу та/або посилань на неможливість такого проведення;</w:t>
            </w:r>
          </w:p>
          <w:p w14:paraId="644E95E1" w14:textId="77777777" w:rsidR="00DE3AAF" w:rsidRPr="00286216" w:rsidRDefault="00DE3AAF" w:rsidP="00DE3AAF">
            <w:pPr>
              <w:pStyle w:val="StyleZakonu"/>
              <w:spacing w:line="210" w:lineRule="exact"/>
              <w:rPr>
                <w:color w:val="000000" w:themeColor="text1"/>
              </w:rPr>
            </w:pPr>
            <w:r w:rsidRPr="00286216">
              <w:rPr>
                <w:color w:val="000000" w:themeColor="text1"/>
              </w:rPr>
              <w:t>3) відмови від звернення стягнення на предмет обтяження, що забезпечує виконання зобов’язань сторін за угодою щодо ліквідаційного неттінгу, та/або посилань на неможливість такого звернення.</w:t>
            </w:r>
          </w:p>
          <w:p w14:paraId="35D8BBB8" w14:textId="77777777" w:rsidR="00DE3AAF" w:rsidRPr="00286216" w:rsidRDefault="00DE3AAF" w:rsidP="00DE3AAF">
            <w:pPr>
              <w:pStyle w:val="StyleZakonu"/>
              <w:spacing w:line="210" w:lineRule="exact"/>
              <w:rPr>
                <w:color w:val="000000" w:themeColor="text1"/>
              </w:rPr>
            </w:pPr>
            <w:r w:rsidRPr="00286216">
              <w:rPr>
                <w:color w:val="000000" w:themeColor="text1"/>
              </w:rPr>
              <w:t>6.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банку, який є стороною угоди щодо ліквідаційного неттінгу та щодо якого прийнято рішення, передбачене пунктом 2 частини першої цієї статті, за одним або кількома похідними (деривативами), зазначеними у пункті 1 частини другої цієї статті, здійснюються в позасудовому порядку та не потребують будь-якої згоди та/або затвердження такого банку або будь-якої іншої особи.</w:t>
            </w:r>
          </w:p>
          <w:p w14:paraId="56A659A9"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7. Ліквідаційний неттінг щодо банку, в якому здійснюється тимчасова адміністрація або ліквідація, проводиться протягом семи робочих днів з дати ліквідаційного неттінгу. Особа, зазначена в угоді </w:t>
            </w:r>
            <w:r w:rsidRPr="00286216">
              <w:rPr>
                <w:color w:val="000000" w:themeColor="text1"/>
              </w:rPr>
              <w:lastRenderedPageBreak/>
              <w:t>щодо ліквідаційного неттінгу, зобов’язана протягом трьох робочих днів після дати ліквідаційного неттінгу надати у письмовій формі банку та Фонду перелік похідних (деривативів), зазначених у пункті 1 частини другої цієї статті, та орієнтовну дату завершення проведення ліквідаційного неттінгу.</w:t>
            </w:r>
          </w:p>
          <w:p w14:paraId="46CA7DBD" w14:textId="77777777" w:rsidR="00DE3AAF" w:rsidRPr="00286216" w:rsidRDefault="00DE3AAF" w:rsidP="00DE3AAF">
            <w:pPr>
              <w:pStyle w:val="StyleZakonu"/>
              <w:spacing w:line="210" w:lineRule="exact"/>
              <w:rPr>
                <w:color w:val="000000" w:themeColor="text1"/>
              </w:rPr>
            </w:pPr>
            <w:r w:rsidRPr="00286216">
              <w:rPr>
                <w:color w:val="000000" w:themeColor="text1"/>
              </w:rPr>
              <w:t>8. Протягом дії тимчасової адміністрації та/або ліквідації Фонд зобов’язаний забезпечити проведення перевірки похідних (деривативів), укладених банком поза біржою з пов'язаними особами протягом шести місяців до дати ліквідаційного неттінгу (з іншими особами – протягом одного місяця) з метою виявлення похідних (деривативів), що були укладені з посиланням на обов’язковість для них угоди щодо ліквідаційного неттінгу та є нікчемними з таких підстав:</w:t>
            </w:r>
          </w:p>
          <w:p w14:paraId="6146913A" w14:textId="77777777" w:rsidR="00DE3AAF" w:rsidRPr="00286216" w:rsidRDefault="00DE3AAF" w:rsidP="00DE3AAF">
            <w:pPr>
              <w:pStyle w:val="StyleZakonu"/>
              <w:spacing w:line="210" w:lineRule="exact"/>
              <w:rPr>
                <w:color w:val="000000" w:themeColor="text1"/>
              </w:rPr>
            </w:pPr>
            <w:r w:rsidRPr="00286216">
              <w:rPr>
                <w:color w:val="000000" w:themeColor="text1"/>
              </w:rPr>
              <w:t>1) результатом укладення похідного (деривативу) було недобросовісне надання банком переваги окремому кредитору (групі кредиторів) у порівнянні з іншими кредиторами в частині задоволення (у тому числі черговості такого задоволення) вимог кредиторів у процедурі тимчасової адміністрації та/або ліквідації банку;</w:t>
            </w:r>
          </w:p>
          <w:p w14:paraId="6B3E488B" w14:textId="77777777" w:rsidR="00DE3AAF" w:rsidRPr="00286216" w:rsidRDefault="00DE3AAF" w:rsidP="00DE3AAF">
            <w:pPr>
              <w:pStyle w:val="StyleZakonu"/>
              <w:spacing w:line="210" w:lineRule="exact"/>
              <w:rPr>
                <w:color w:val="000000" w:themeColor="text1"/>
              </w:rPr>
            </w:pPr>
            <w:r w:rsidRPr="00286216">
              <w:rPr>
                <w:color w:val="000000" w:themeColor="text1"/>
              </w:rPr>
              <w:t>2) похідний (дериватив) було укладено  банком з метою недобросовісного виключення майна банку зі складу ліквідаційної маси;</w:t>
            </w:r>
          </w:p>
          <w:p w14:paraId="4F71DA9B" w14:textId="77777777" w:rsidR="00DE3AAF" w:rsidRPr="00286216" w:rsidRDefault="00DE3AAF" w:rsidP="00DE3AAF">
            <w:pPr>
              <w:pStyle w:val="StyleZakonu"/>
              <w:spacing w:line="210" w:lineRule="exact"/>
              <w:rPr>
                <w:color w:val="000000" w:themeColor="text1"/>
              </w:rPr>
            </w:pPr>
            <w:r w:rsidRPr="00286216">
              <w:rPr>
                <w:color w:val="000000" w:themeColor="text1"/>
              </w:rPr>
              <w:t>3) результатом укладення похідного (деривативу) було недобросовісне збільшення розміру грошових зобов’язань банку перед окремим кредитором (групою кредиторів).</w:t>
            </w:r>
          </w:p>
          <w:p w14:paraId="5DDC4B8A" w14:textId="77777777" w:rsidR="00DE3AAF" w:rsidRPr="00286216" w:rsidRDefault="00DE3AAF" w:rsidP="00DE3AAF">
            <w:pPr>
              <w:pStyle w:val="StyleZakonu"/>
              <w:spacing w:line="210" w:lineRule="exact"/>
              <w:rPr>
                <w:color w:val="000000" w:themeColor="text1"/>
              </w:rPr>
            </w:pPr>
            <w:r w:rsidRPr="00286216">
              <w:rPr>
                <w:color w:val="000000" w:themeColor="text1"/>
              </w:rPr>
              <w:t>Порядок виявлення нікчемних похідних (деривативів), а також дій Фонду у разі їх виявлення визначаються нормативно-правовими актами Фонду.</w:t>
            </w:r>
          </w:p>
          <w:p w14:paraId="674AE82A" w14:textId="77777777" w:rsidR="00DE3AAF" w:rsidRPr="00286216" w:rsidRDefault="00DE3AAF" w:rsidP="00DE3AAF">
            <w:pPr>
              <w:pStyle w:val="StyleZakonu"/>
              <w:spacing w:line="210" w:lineRule="exact"/>
              <w:rPr>
                <w:color w:val="000000" w:themeColor="text1"/>
              </w:rPr>
            </w:pPr>
            <w:r w:rsidRPr="00286216">
              <w:rPr>
                <w:color w:val="000000" w:themeColor="text1"/>
              </w:rPr>
              <w:t>9. Фонд:</w:t>
            </w:r>
          </w:p>
          <w:p w14:paraId="3FB976D6" w14:textId="77777777" w:rsidR="00DE3AAF" w:rsidRPr="00286216" w:rsidRDefault="00DE3AAF" w:rsidP="00DE3AAF">
            <w:pPr>
              <w:pStyle w:val="StyleZakonu"/>
              <w:spacing w:line="210" w:lineRule="exact"/>
              <w:rPr>
                <w:color w:val="000000" w:themeColor="text1"/>
              </w:rPr>
            </w:pPr>
            <w:r w:rsidRPr="00286216">
              <w:rPr>
                <w:color w:val="000000" w:themeColor="text1"/>
              </w:rPr>
              <w:t>1) протягом дії тимчасової адміністрації та/або ліквідації повідомляє сторони похідних (деривативів), зазначених у пунктах 1 – 3 частини восьмої цієї статті, та особу, зазначену в угоді щодо ліквідаційного неттінгу, про нікчемність таких похідних (деривативів), а також вчиняє дії щодо застосування наслідків нікчемності таких похідних (деривативів);</w:t>
            </w:r>
          </w:p>
          <w:p w14:paraId="4910D8F1" w14:textId="77777777" w:rsidR="00DE3AAF" w:rsidRPr="00286216" w:rsidRDefault="00DE3AAF" w:rsidP="00DE3AAF">
            <w:pPr>
              <w:pStyle w:val="StyleZakonu"/>
              <w:spacing w:line="210" w:lineRule="exact"/>
              <w:rPr>
                <w:color w:val="000000" w:themeColor="text1"/>
              </w:rPr>
            </w:pPr>
            <w:r w:rsidRPr="00286216">
              <w:rPr>
                <w:color w:val="000000" w:themeColor="text1"/>
              </w:rPr>
              <w:t>2) вживає заходів до витребування (повернення) майна (коштів) банку, переданого за такими похідними (деривативами);</w:t>
            </w:r>
          </w:p>
          <w:p w14:paraId="265F704A" w14:textId="77777777" w:rsidR="00DE3AAF" w:rsidRPr="00286216" w:rsidRDefault="00DE3AAF" w:rsidP="00DE3AAF">
            <w:pPr>
              <w:pStyle w:val="StyleZakonu"/>
              <w:spacing w:line="210" w:lineRule="exact"/>
              <w:rPr>
                <w:color w:val="000000" w:themeColor="text1"/>
              </w:rPr>
            </w:pPr>
            <w:r w:rsidRPr="00286216">
              <w:rPr>
                <w:color w:val="000000" w:themeColor="text1"/>
              </w:rPr>
              <w:lastRenderedPageBreak/>
              <w:t>3) має право вимагати відшкодування збитків, спричинених укладенням таких похідних (деривативів).</w:t>
            </w:r>
          </w:p>
          <w:p w14:paraId="36639F73" w14:textId="77777777" w:rsidR="00DE3AAF" w:rsidRPr="00286216" w:rsidRDefault="00DE3AAF" w:rsidP="00DE3AAF">
            <w:pPr>
              <w:pStyle w:val="StyleZakonu"/>
              <w:spacing w:line="210" w:lineRule="exact"/>
              <w:rPr>
                <w:color w:val="000000" w:themeColor="text1"/>
              </w:rPr>
            </w:pPr>
            <w:r w:rsidRPr="00286216">
              <w:rPr>
                <w:color w:val="000000" w:themeColor="text1"/>
              </w:rPr>
              <w:t>У разі отримання повідомлення Фонду про нікчемність похідного (деривативу) з підстав, передбачених частиною восьмою цієї статті, особа, зазначена в угоді щодо ліквідаційного неттінгу, зобов'язана повторно провести процедуру визначення нетто-зобов'язання без врахування зобов'язань за таким похідним (деривативом) та повідомити сторонам такого похідного (деривативу) нову суму нетто-зобов'язання. Інша сторона похідного (деривативу), яка отримала від банку кошти за результатами попереднього ліквідаційного неттінгу, зобов'язана повернути банку різницю між сумою попереднього та нового нетто-зобов'язання.</w:t>
            </w:r>
          </w:p>
          <w:p w14:paraId="26E8CD14" w14:textId="77777777" w:rsidR="00DE3AAF" w:rsidRPr="00286216" w:rsidRDefault="00DE3AAF" w:rsidP="00DE3AAF">
            <w:pPr>
              <w:pStyle w:val="StyleZakonu"/>
              <w:spacing w:line="210" w:lineRule="exact"/>
              <w:rPr>
                <w:color w:val="000000" w:themeColor="text1"/>
              </w:rPr>
            </w:pPr>
            <w:r w:rsidRPr="00286216">
              <w:rPr>
                <w:color w:val="000000" w:themeColor="text1"/>
              </w:rPr>
              <w:t>7. Положення цієї статті застосовується також до правочинів щодо цінних паперів, а також правочинів, укладених з метою забезпечення виконання зобов’язань за такими правочинами».3). Внести такі зміни до Закону України «Про депозитарну систему України» (Відомості Верховної Ради України, 2013 р. № 39, ст. 517.):</w:t>
            </w:r>
          </w:p>
          <w:p w14:paraId="4C104AFC" w14:textId="77777777" w:rsidR="00DE3AAF" w:rsidRPr="00286216" w:rsidRDefault="00DE3AAF" w:rsidP="00DE3AAF">
            <w:pPr>
              <w:pStyle w:val="StyleZakonu"/>
              <w:spacing w:line="210" w:lineRule="exact"/>
              <w:rPr>
                <w:color w:val="000000" w:themeColor="text1"/>
              </w:rPr>
            </w:pPr>
            <w:r w:rsidRPr="00286216">
              <w:rPr>
                <w:color w:val="000000" w:themeColor="text1"/>
              </w:rPr>
              <w:t>1) доповнити частину шосту статті 6 новим абзацом такого змісту:</w:t>
            </w:r>
          </w:p>
          <w:p w14:paraId="281993C5" w14:textId="77777777" w:rsidR="00DE3AAF" w:rsidRPr="00286216" w:rsidRDefault="00DE3AAF" w:rsidP="00DE3AAF">
            <w:pPr>
              <w:pStyle w:val="StyleZakonu"/>
              <w:spacing w:line="210" w:lineRule="exact"/>
              <w:rPr>
                <w:color w:val="000000" w:themeColor="text1"/>
              </w:rPr>
            </w:pPr>
            <w:r w:rsidRPr="00286216">
              <w:rPr>
                <w:color w:val="000000" w:themeColor="text1"/>
              </w:rPr>
              <w:t>«Зняття обмеження прав на цінні папери стосовно цінних паперів певного власника, що були встановлені для здійснення/забезпечення розрахунків за правочинами щодо цінних паперів, вчиненими на фондовій біржі або поза нею,  розрахунки за якими здійснює/забезпечує особа, яка провадить клірингову діяльність, здійснюється виключно на підставі інформації від особи, яка провадить клірингову діяльність»;</w:t>
            </w:r>
          </w:p>
          <w:p w14:paraId="7846A775" w14:textId="77777777" w:rsidR="00DE3AAF" w:rsidRPr="00286216" w:rsidRDefault="00DE3AAF" w:rsidP="00DE3AAF">
            <w:pPr>
              <w:pStyle w:val="StyleZakonu"/>
              <w:spacing w:line="210" w:lineRule="exact"/>
              <w:rPr>
                <w:color w:val="000000" w:themeColor="text1"/>
              </w:rPr>
            </w:pPr>
            <w:r w:rsidRPr="00286216">
              <w:rPr>
                <w:color w:val="000000" w:themeColor="text1"/>
              </w:rPr>
              <w:t>2) статтю 7 викласти в такій редакції:</w:t>
            </w:r>
          </w:p>
          <w:p w14:paraId="49932ADD" w14:textId="77777777" w:rsidR="00DE3AAF" w:rsidRPr="00286216" w:rsidRDefault="00DE3AAF" w:rsidP="00DE3AAF">
            <w:pPr>
              <w:pStyle w:val="StyleZakonu"/>
              <w:spacing w:line="210" w:lineRule="exact"/>
              <w:rPr>
                <w:color w:val="000000" w:themeColor="text1"/>
              </w:rPr>
            </w:pPr>
            <w:r w:rsidRPr="00286216">
              <w:rPr>
                <w:color w:val="000000" w:themeColor="text1"/>
              </w:rPr>
              <w:t>"Стаття 7. Внесення змін до системи депозитарного обліку щодо накладення арешту на цінні папери або іншого обмеження прав на цінні папери конкретного власника, що накладається за судовим рішенням або рішенням уповноваженого органу</w:t>
            </w:r>
          </w:p>
          <w:p w14:paraId="2DE047C3"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1. Арешт на цінні папери або інше обмеження прав на цінні папери конкретного власника (далі - обмеження стосовно конкретного власника) накладається (встановлюється) та скасовується (знімається) в порядку, встановленому цією статтею, </w:t>
            </w:r>
            <w:r w:rsidRPr="00286216">
              <w:rPr>
                <w:color w:val="000000" w:themeColor="text1"/>
              </w:rPr>
              <w:lastRenderedPageBreak/>
              <w:t>на підставі судового рішення або рішення уповноваженого законом органу чи його посадовою особою.</w:t>
            </w:r>
          </w:p>
          <w:p w14:paraId="102DD7C3" w14:textId="77777777" w:rsidR="00DE3AAF" w:rsidRPr="00286216" w:rsidRDefault="00DE3AAF" w:rsidP="00DE3AAF">
            <w:pPr>
              <w:pStyle w:val="StyleZakonu"/>
              <w:spacing w:line="210" w:lineRule="exact"/>
              <w:rPr>
                <w:color w:val="000000" w:themeColor="text1"/>
              </w:rPr>
            </w:pPr>
            <w:r w:rsidRPr="00286216">
              <w:rPr>
                <w:color w:val="000000" w:themeColor="text1"/>
              </w:rPr>
              <w:t>У разі встановлення або зняття обмеження стосовно конкретного власника суд або уповноважений законом орган чи його посадова особа зобов’язані подати відповідне рішення депозитарній установі, в якій відкрито рахунок у цінних паперах або цьому власнику, або номінальному утримувачу, на рахунках якого обліковуються права на належні власнику цінні папери,</w:t>
            </w:r>
          </w:p>
          <w:p w14:paraId="49BB1819"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 2. Депозитарна установа вносить зміни до системи депозитарного обліку щодо встановлення обмеження стосовно цінних паперів конкретного власника до завершення робочого дня, коли отримано відповідне рішення, крім випадків, встановлених цим Законом.</w:t>
            </w:r>
          </w:p>
          <w:p w14:paraId="29986321" w14:textId="77777777" w:rsidR="00DE3AAF" w:rsidRPr="00286216" w:rsidRDefault="00DE3AAF" w:rsidP="00DE3AAF">
            <w:pPr>
              <w:pStyle w:val="StyleZakonu"/>
              <w:spacing w:line="210" w:lineRule="exact"/>
              <w:rPr>
                <w:color w:val="000000" w:themeColor="text1"/>
              </w:rPr>
            </w:pPr>
            <w:r w:rsidRPr="00286216">
              <w:rPr>
                <w:color w:val="000000" w:themeColor="text1"/>
              </w:rPr>
              <w:t>У разі якщо права на цінні папери власника, стосовно яких встановлено обмеження, обліковуються на рахунку в цінних паперах номінального утримувача, депозитарна установа зобов’язана до завершення робочого дня, протягом якого отримано відповідне рішення, повідомити номінального утримувача про встановлення обмеження стосовно цінних паперів конкретного власника та надати йому копію відповідного судового рішення або копію відповідного рішення уповноваженого законом державного органу чи його посадової особи про встановлення обмеження.</w:t>
            </w:r>
          </w:p>
          <w:p w14:paraId="561FBFFB" w14:textId="77777777" w:rsidR="00DE3AAF" w:rsidRPr="00286216" w:rsidRDefault="00DE3AAF" w:rsidP="00DE3AAF">
            <w:pPr>
              <w:pStyle w:val="StyleZakonu"/>
              <w:spacing w:line="210" w:lineRule="exact"/>
              <w:rPr>
                <w:color w:val="000000" w:themeColor="text1"/>
              </w:rPr>
            </w:pPr>
            <w:r w:rsidRPr="00286216">
              <w:rPr>
                <w:color w:val="000000" w:themeColor="text1"/>
              </w:rPr>
              <w:t>3. У разі наявності обмеження прав на цінні папери, встановленого за розпорядженням депонента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 депозитарна установа відкладає внесення змін до системи депозитарного обліку щодо встановлення обмеження стосовно цінних паперів конкретного депонента до наступного робочого дня.</w:t>
            </w:r>
          </w:p>
          <w:p w14:paraId="1B14D59B"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У такому разі, а також у випадку, коли права на відповідні цінні папери власника обліковуються на рахунку номінального утримувача з обмеженнями, встановленими для здійснення/забезпечення розрахунків за правочинами щодо цінних паперів, вчиненими на фондовій біржі або поза фондовою </w:t>
            </w:r>
            <w:r w:rsidRPr="00286216">
              <w:rPr>
                <w:color w:val="000000" w:themeColor="text1"/>
              </w:rPr>
              <w:lastRenderedPageBreak/>
              <w:t>біржою, розрахунки за якими здійснює/забезпечує особа, яка провадить клірингову діяльність, депозитарна установа подає відповідно до Центрального депозитарію або до Національного банку України інформацію про отримання нею відповідного судового рішення або відповідного рішення уповноваженого законом органу чи його посадової особи про встановлення обмеження стосовно конкретного власника після відображення депозитарною установою в системі депозитарного обліку переходу прав власності на цінні папери та прав за цінними паперами за результатами завершення всіх розрахунків за правочинами щодо цінних паперів, здійснених/забезпечених особою, яка провадить клірингову діяльність, протягом того самого робочого дня, коли отримано таке рішення.</w:t>
            </w:r>
          </w:p>
          <w:p w14:paraId="0953517C" w14:textId="77777777" w:rsidR="00DE3AAF" w:rsidRPr="00286216" w:rsidRDefault="00DE3AAF" w:rsidP="00DE3AAF">
            <w:pPr>
              <w:pStyle w:val="StyleZakonu"/>
              <w:spacing w:line="210" w:lineRule="exact"/>
              <w:rPr>
                <w:color w:val="000000" w:themeColor="text1"/>
              </w:rPr>
            </w:pPr>
            <w:r w:rsidRPr="00286216">
              <w:rPr>
                <w:color w:val="000000" w:themeColor="text1"/>
              </w:rPr>
              <w:t>Інформація, яку згідно абзацу другого цієї частини депозитарна установа надає відповідно до Центрального депозитарію або до Національного банку України,  повинна в тому числі містити відомості про:</w:t>
            </w:r>
          </w:p>
          <w:p w14:paraId="5C69C209" w14:textId="77777777" w:rsidR="00DE3AAF" w:rsidRPr="00286216" w:rsidRDefault="00DE3AAF" w:rsidP="00DE3AAF">
            <w:pPr>
              <w:pStyle w:val="StyleZakonu"/>
              <w:spacing w:line="210" w:lineRule="exact"/>
              <w:rPr>
                <w:color w:val="000000" w:themeColor="text1"/>
              </w:rPr>
            </w:pPr>
            <w:r w:rsidRPr="00286216">
              <w:rPr>
                <w:color w:val="000000" w:themeColor="text1"/>
              </w:rPr>
              <w:t>загальну кількість цінних паперів конкретного власника, щодо якої відповідним судовим рішенням або відповідним рішенням уповноваженого законом органу влади чи його посадової особи встановлено обмеження;</w:t>
            </w:r>
          </w:p>
          <w:p w14:paraId="6045B1C1" w14:textId="77777777" w:rsidR="00DE3AAF" w:rsidRPr="00286216" w:rsidRDefault="00DE3AAF" w:rsidP="00DE3AAF">
            <w:pPr>
              <w:pStyle w:val="StyleZakonu"/>
              <w:spacing w:line="210" w:lineRule="exact"/>
              <w:rPr>
                <w:color w:val="000000" w:themeColor="text1"/>
              </w:rPr>
            </w:pPr>
            <w:r w:rsidRPr="00286216">
              <w:rPr>
                <w:color w:val="000000" w:themeColor="text1"/>
              </w:rPr>
              <w:t>кількість цінних паперів цього власника, якої недостає для встановлення депозитарною установою обмеження на підставі відповідного судового рішення або відповідного рішення уповноваженого законом органу чи його посадової особи у повному обсязі, у зв’язку з тим, що відносно прав на таку кількість цінних паперів за розпорядженням цього власника встановлені обмеження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w:t>
            </w:r>
          </w:p>
          <w:p w14:paraId="6CC114D3" w14:textId="77777777" w:rsidR="00DE3AAF" w:rsidRPr="00286216" w:rsidRDefault="00DE3AAF" w:rsidP="00DE3AAF">
            <w:pPr>
              <w:pStyle w:val="StyleZakonu"/>
              <w:spacing w:line="210" w:lineRule="exact"/>
              <w:rPr>
                <w:color w:val="000000" w:themeColor="text1"/>
              </w:rPr>
            </w:pPr>
            <w:r w:rsidRPr="00286216">
              <w:rPr>
                <w:color w:val="000000" w:themeColor="text1"/>
              </w:rPr>
              <w:t>4. Центральний депозитарій або Національний банк України відповідно до компетенції щодо здійснення обліку цінних паперів, визначеної цим Законом, в день отримання від депозитарної установи інформації, передбаченої частиною третьою цієї статті, надає особі, що провадить клірингову діяльність, отриману від депозитарної установи інформацію.</w:t>
            </w:r>
          </w:p>
          <w:p w14:paraId="4648C914" w14:textId="77777777" w:rsidR="00DE3AAF" w:rsidRPr="00286216" w:rsidRDefault="00DE3AAF" w:rsidP="00DE3AAF">
            <w:pPr>
              <w:pStyle w:val="StyleZakonu"/>
              <w:spacing w:line="210" w:lineRule="exact"/>
              <w:rPr>
                <w:color w:val="000000" w:themeColor="text1"/>
              </w:rPr>
            </w:pPr>
            <w:r w:rsidRPr="00286216">
              <w:rPr>
                <w:color w:val="000000" w:themeColor="text1"/>
              </w:rPr>
              <w:lastRenderedPageBreak/>
              <w:t>5. Особа, що провадить клірингову діяльність, після отримання від Центрального депозитарію або Національного банку України інформації, передбаченої частиною четвертою цієї статті, на початку наступного робочого дня, в строки, встановлені відповідно до частини 8 цієї статті,   надає Центральному депозитарію або Національному банку відповідно до компетенції, встановленої законом, щодо здійснення обліку цінних паперів,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і щодо яких від Центрального депозитарію або Національного банку України була отримана інформація, передбачена частиною четвертою цієї статті.</w:t>
            </w:r>
          </w:p>
          <w:p w14:paraId="7156E9CA" w14:textId="77777777" w:rsidR="00DE3AAF" w:rsidRPr="00286216" w:rsidRDefault="00DE3AAF" w:rsidP="00DE3AAF">
            <w:pPr>
              <w:pStyle w:val="StyleZakonu"/>
              <w:spacing w:line="210" w:lineRule="exact"/>
              <w:rPr>
                <w:color w:val="000000" w:themeColor="text1"/>
              </w:rPr>
            </w:pPr>
            <w:r w:rsidRPr="00286216">
              <w:rPr>
                <w:color w:val="000000" w:themeColor="text1"/>
              </w:rPr>
              <w:t>6. На підставі отриманої від особи що провадить клірингову діяльність, інформації, передбаченої частиною п’ятою цієї статті, забезпечується відображення в системі депозитарного обліку:</w:t>
            </w:r>
          </w:p>
          <w:p w14:paraId="2E53EF4F" w14:textId="77777777" w:rsidR="00DE3AAF" w:rsidRPr="00286216" w:rsidRDefault="00DE3AAF" w:rsidP="00DE3AAF">
            <w:pPr>
              <w:pStyle w:val="StyleZakonu"/>
              <w:spacing w:line="210" w:lineRule="exact"/>
              <w:rPr>
                <w:color w:val="000000" w:themeColor="text1"/>
              </w:rPr>
            </w:pPr>
            <w:r w:rsidRPr="00286216">
              <w:rPr>
                <w:color w:val="000000" w:themeColor="text1"/>
              </w:rPr>
              <w:t>1) депозитарних операцій, пов’язаних із зняттям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w:t>
            </w:r>
          </w:p>
          <w:p w14:paraId="6510662A" w14:textId="77777777" w:rsidR="00DE3AAF" w:rsidRPr="00286216" w:rsidRDefault="00DE3AAF" w:rsidP="00DE3AAF">
            <w:pPr>
              <w:pStyle w:val="StyleZakonu"/>
              <w:spacing w:line="210" w:lineRule="exact"/>
              <w:rPr>
                <w:color w:val="000000" w:themeColor="text1"/>
              </w:rPr>
            </w:pPr>
            <w:r w:rsidRPr="00286216">
              <w:rPr>
                <w:color w:val="000000" w:themeColor="text1"/>
              </w:rPr>
              <w:t>2) депозитарних операцій, пов’язаних із виконанням відповідного судового рішення або відповідного рішення уповноваженого законом державного органу чи його посадової особи про встановлення обмеження стосовно конкретного власника (крім випадку, коли залишок  таких цінних дорівнює нулю).</w:t>
            </w:r>
          </w:p>
          <w:p w14:paraId="412C4980"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У випадку, якщо за результатами проведених розрахунків та зняття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кількість таких цінних паперів, дорівнює нулю, відповідне судове рішення або відповідне рішення </w:t>
            </w:r>
            <w:r w:rsidRPr="00286216">
              <w:rPr>
                <w:color w:val="000000" w:themeColor="text1"/>
              </w:rPr>
              <w:lastRenderedPageBreak/>
              <w:t>уповноваженого законом органу чи його посадової особи про встановлення обмеження стосовно конкретного власника залишається без виконання.</w:t>
            </w:r>
          </w:p>
          <w:p w14:paraId="5B0C9116" w14:textId="77777777" w:rsidR="00DE3AAF" w:rsidRPr="00286216" w:rsidRDefault="00DE3AAF" w:rsidP="00DE3AAF">
            <w:pPr>
              <w:pStyle w:val="StyleZakonu"/>
              <w:spacing w:line="210" w:lineRule="exact"/>
              <w:rPr>
                <w:color w:val="000000" w:themeColor="text1"/>
              </w:rPr>
            </w:pPr>
            <w:r w:rsidRPr="00286216">
              <w:rPr>
                <w:color w:val="000000" w:themeColor="text1"/>
              </w:rPr>
              <w:t xml:space="preserve">У випадку, якщо цінні папери, щодо яких встановлене обмеження, обліковуються на рахунку в цінних паперах номінального утримувача, депозитарна установа повідомляє номінальному утримувачу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на фондовій біржі або поза фондовою біржою, а також про необхідність встановлення обмеження щодо цінних паперів конкретного власника (крім випадку, коли залишок відповідних цінних паперів дорівнює нулю). </w:t>
            </w:r>
          </w:p>
          <w:p w14:paraId="0C26CDD1" w14:textId="77777777" w:rsidR="00DE3AAF" w:rsidRPr="00286216" w:rsidRDefault="00DE3AAF" w:rsidP="00DE3AAF">
            <w:pPr>
              <w:pStyle w:val="StyleZakonu"/>
              <w:spacing w:line="210" w:lineRule="exact"/>
              <w:rPr>
                <w:color w:val="000000" w:themeColor="text1"/>
              </w:rPr>
            </w:pPr>
            <w:r w:rsidRPr="00286216">
              <w:rPr>
                <w:color w:val="000000" w:themeColor="text1"/>
              </w:rPr>
              <w:t>7. Депозитарна установа повідомляє суд або уповноважений законом державний орган чи його посадову особу про дії, вчинені за результатами отримання відповідного рішення про встановлення обмеження стосовно конкретного власника, протягом наступного робочого дня після отримання рішення.</w:t>
            </w:r>
          </w:p>
          <w:p w14:paraId="47B26FB7" w14:textId="77777777" w:rsidR="00DE3AAF" w:rsidRPr="00286216" w:rsidRDefault="00DE3AAF" w:rsidP="00DE3AAF">
            <w:pPr>
              <w:pStyle w:val="StyleZakonu"/>
              <w:spacing w:line="210" w:lineRule="exact"/>
              <w:rPr>
                <w:color w:val="000000" w:themeColor="text1"/>
              </w:rPr>
            </w:pPr>
            <w:r w:rsidRPr="00286216">
              <w:rPr>
                <w:color w:val="000000" w:themeColor="text1"/>
              </w:rPr>
              <w:t>8. Зміст, строки та порядок обміну інформацією, передбаченою цією статтею, між особою, що провадить клірингову діяльність і Центральним депозитарієм або Національним банком України, визначаються договорами, укладеними особою, що провадить клірингову діяльність з Центральним депозитарієм або Національним банком України, відповідно до вимог, встановлених Національною комісією з цінних паперів та фондового ринку".</w:t>
            </w:r>
          </w:p>
          <w:p w14:paraId="2374A071" w14:textId="77777777" w:rsidR="00DE3AAF" w:rsidRPr="00286216" w:rsidRDefault="00DE3AAF" w:rsidP="00DE3AAF">
            <w:pPr>
              <w:pStyle w:val="StyleZakonu"/>
              <w:spacing w:line="210" w:lineRule="exact"/>
              <w:rPr>
                <w:color w:val="000000" w:themeColor="text1"/>
              </w:rPr>
            </w:pPr>
            <w:r w:rsidRPr="00286216">
              <w:rPr>
                <w:color w:val="000000" w:themeColor="text1"/>
              </w:rPr>
              <w:t>4. Національній комісії з цінних паперів та фондового ринку до 1 липня 2021 року розробити та затвердити за погодженням з Національним банком України нормативно-правовий акт, який регламентує процедуру передання облігацій місцевих позик на депозитарне обслуговування до Центрального депозитарію цінних паперів.</w:t>
            </w:r>
          </w:p>
          <w:p w14:paraId="4C3BC42D" w14:textId="77777777" w:rsidR="00DE3AAF" w:rsidRPr="00286216" w:rsidRDefault="00DE3AAF" w:rsidP="00DE3AAF">
            <w:pPr>
              <w:pStyle w:val="StyleZakonu"/>
              <w:spacing w:line="210" w:lineRule="exact"/>
              <w:rPr>
                <w:color w:val="000000" w:themeColor="text1"/>
              </w:rPr>
            </w:pPr>
            <w:r w:rsidRPr="00286216">
              <w:rPr>
                <w:color w:val="000000" w:themeColor="text1"/>
              </w:rPr>
              <w:t>5. Національному банку України у строк до 1 січня 2022 року забезпечити безоплатне передання облігацій місцевих позик на депозитарне обслуговування до Центрального депозитарію цінних паперів у порядку, встановленому Національною комісією з цінних паперів та фондового ринку за погодженням з Національним банком України.</w:t>
            </w:r>
          </w:p>
          <w:p w14:paraId="2BE1C3DF" w14:textId="77777777" w:rsidR="00DE3AAF" w:rsidRPr="00286216" w:rsidRDefault="00DE3AAF" w:rsidP="00DE3AAF">
            <w:pPr>
              <w:pStyle w:val="StyleZakonu"/>
              <w:spacing w:line="210" w:lineRule="exact"/>
              <w:rPr>
                <w:color w:val="000000" w:themeColor="text1"/>
              </w:rPr>
            </w:pPr>
            <w:r w:rsidRPr="00286216">
              <w:rPr>
                <w:color w:val="000000" w:themeColor="text1"/>
              </w:rPr>
              <w:lastRenderedPageBreak/>
              <w:t>З дня передачі Національним банком України глобальних сертифікатів випусків облігацій місцевих позик на зберігання до Центрального депозитарію цінних паперів, Центральний депозитарій цінних паперів вважається правонаступником прав та обов’язків Національного банку України за договорами про обслуговування емісії цінних паперів, укладеними між емітентами облігацій місцевих позик та Національним банком України.</w:t>
            </w:r>
          </w:p>
          <w:p w14:paraId="0F240D78" w14:textId="77777777" w:rsidR="00DE3AAF" w:rsidRPr="00286216" w:rsidRDefault="00DE3AAF" w:rsidP="00DE3AAF">
            <w:pPr>
              <w:pStyle w:val="StyleZakonu"/>
              <w:spacing w:line="210" w:lineRule="exact"/>
              <w:rPr>
                <w:color w:val="000000" w:themeColor="text1"/>
              </w:rPr>
            </w:pPr>
            <w:r w:rsidRPr="00286216">
              <w:rPr>
                <w:color w:val="000000" w:themeColor="text1"/>
              </w:rPr>
              <w:t>Після передання Національним банком України облігацій місцевих позик на депозитарне обслуговування до Центрального депозитарію цінних паперів, розпорядження (операції) емітентів облігацій місцевих позик виконуються Центральним депозитарієм цінних паперів тільки після укладення такими емітентами відповідного договору про обслуговування емісії цінних паперів з Центральним депозитарієм цінних паперів.</w:t>
            </w:r>
          </w:p>
          <w:p w14:paraId="752564B2" w14:textId="77777777" w:rsidR="00DE3AAF" w:rsidRPr="00286216" w:rsidRDefault="00DE3AAF" w:rsidP="00DE3AAF">
            <w:pPr>
              <w:pStyle w:val="StyleZakonu"/>
              <w:spacing w:line="210" w:lineRule="exact"/>
              <w:rPr>
                <w:color w:val="000000" w:themeColor="text1"/>
              </w:rPr>
            </w:pPr>
            <w:r w:rsidRPr="00286216">
              <w:rPr>
                <w:color w:val="000000" w:themeColor="text1"/>
              </w:rPr>
              <w:t>6. Кабінету Міністрів України вжити заходів щодо приведення у відповідність із цим Законом підзаконних нормативно-правових актів, забезпечивши набрання ними чинності одночасно з набранням чинності цим Законом шляхом:</w:t>
            </w:r>
          </w:p>
          <w:p w14:paraId="3694F208" w14:textId="77777777" w:rsidR="00DE3AAF" w:rsidRPr="00286216" w:rsidRDefault="00DE3AAF" w:rsidP="00DE3AAF">
            <w:pPr>
              <w:pStyle w:val="StyleZakonu"/>
              <w:spacing w:line="210" w:lineRule="exact"/>
              <w:rPr>
                <w:color w:val="000000" w:themeColor="text1"/>
              </w:rPr>
            </w:pPr>
            <w:r w:rsidRPr="00286216">
              <w:rPr>
                <w:color w:val="000000" w:themeColor="text1"/>
              </w:rPr>
              <w:t>приведення своїх нормативно-правових актів у відповідність із цим Законом;</w:t>
            </w:r>
          </w:p>
          <w:p w14:paraId="0B15F001" w14:textId="77777777" w:rsidR="00DE3AAF" w:rsidRPr="00286216" w:rsidRDefault="00DE3AAF" w:rsidP="00DE3AAF">
            <w:pPr>
              <w:pStyle w:val="StyleZakonu"/>
              <w:spacing w:line="210" w:lineRule="exact"/>
              <w:rPr>
                <w:color w:val="000000" w:themeColor="text1"/>
              </w:rPr>
            </w:pPr>
            <w:r w:rsidRPr="00286216">
              <w:rPr>
                <w:color w:val="000000" w:themeColor="text1"/>
              </w:rPr>
              <w:t>забезпечення приведення нормативно-правових актів міністерств та інших центральних органів виконавчої влади у відповідність із цим Законом.</w:t>
            </w:r>
          </w:p>
          <w:p w14:paraId="63A51AB2" w14:textId="77777777" w:rsidR="00DE3AAF" w:rsidRPr="00286216" w:rsidRDefault="00DE3AAF" w:rsidP="00DE3AAF">
            <w:pPr>
              <w:pStyle w:val="StyleZakonu"/>
              <w:spacing w:line="210" w:lineRule="exact"/>
              <w:rPr>
                <w:color w:val="000000" w:themeColor="text1"/>
              </w:rPr>
            </w:pPr>
            <w:r w:rsidRPr="00286216">
              <w:rPr>
                <w:color w:val="000000" w:themeColor="text1"/>
              </w:rPr>
              <w:t>7. Кабінету Міністрів України включити інформацію про виконання цього Закону до звіту про хід та результати виконання Програми діяльності Кабінету Міністрів України за 2021 рік.</w:t>
            </w:r>
          </w:p>
          <w:p w14:paraId="4FFE11AE" w14:textId="77777777" w:rsidR="00DE3AAF" w:rsidRPr="00286216" w:rsidRDefault="00DE3AAF" w:rsidP="00DE3AAF">
            <w:pPr>
              <w:pStyle w:val="StyleZakonu"/>
              <w:spacing w:line="210" w:lineRule="exact"/>
              <w:rPr>
                <w:color w:val="000000" w:themeColor="text1"/>
              </w:rPr>
            </w:pPr>
            <w:r w:rsidRPr="00286216">
              <w:rPr>
                <w:color w:val="000000" w:themeColor="text1"/>
              </w:rPr>
              <w:t>8. Національній комісії з цінних паперів та фондового ринку до дня набрання чинності цим Законом привести свої нормативно-правові акти у відповідність із цим Законом.</w:t>
            </w:r>
          </w:p>
          <w:p w14:paraId="60F91314" w14:textId="77777777" w:rsidR="00DE3AAF" w:rsidRPr="00286216" w:rsidRDefault="00DE3AAF" w:rsidP="00DE3AAF">
            <w:pPr>
              <w:pStyle w:val="StyleZakonu"/>
              <w:spacing w:line="210" w:lineRule="exact"/>
              <w:rPr>
                <w:color w:val="000000" w:themeColor="text1"/>
              </w:rPr>
            </w:pPr>
            <w:r w:rsidRPr="00286216">
              <w:rPr>
                <w:color w:val="000000" w:themeColor="text1"/>
              </w:rPr>
              <w:t>9. Національному банку України до дня набрання чинності цим Законом привести свої нормативно-правові акти у відповідність із цим Законом.</w:t>
            </w:r>
          </w:p>
          <w:p w14:paraId="18479093" w14:textId="4E5DE26C" w:rsidR="00DE3AAF" w:rsidRPr="00286216" w:rsidRDefault="00DE3AAF" w:rsidP="00DE3AAF">
            <w:pPr>
              <w:pStyle w:val="StyleZakonu"/>
              <w:spacing w:line="210" w:lineRule="exact"/>
              <w:rPr>
                <w:color w:val="000000" w:themeColor="text1"/>
              </w:rPr>
            </w:pPr>
            <w:r w:rsidRPr="00286216">
              <w:rPr>
                <w:color w:val="000000" w:themeColor="text1"/>
              </w:rPr>
              <w:t>10. Національній комісії, що здійснює державне регулювання у сферах енергетики та комунальних послуг, до дня набрання чинності цим Законом привести свої нормативно-правові акти у відповідність із цим Законом.</w:t>
            </w:r>
          </w:p>
        </w:tc>
      </w:tr>
      <w:tr w:rsidR="00DE3AAF" w:rsidRPr="00286216" w14:paraId="35484AF5" w14:textId="77777777" w:rsidTr="00091AA5">
        <w:tc>
          <w:tcPr>
            <w:tcW w:w="576" w:type="dxa"/>
          </w:tcPr>
          <w:p w14:paraId="75411BE3" w14:textId="77777777" w:rsidR="00DE3AAF" w:rsidRPr="00286216" w:rsidRDefault="00DE3AAF" w:rsidP="00DE3AAF">
            <w:pPr>
              <w:pStyle w:val="StyleWisnow"/>
              <w:rPr>
                <w:color w:val="000000" w:themeColor="text1"/>
              </w:rPr>
            </w:pPr>
            <w:bookmarkStart w:id="3762" w:name="n3890" w:colFirst="0" w:colLast="0"/>
            <w:bookmarkEnd w:id="3761"/>
            <w:r w:rsidRPr="00286216">
              <w:rPr>
                <w:color w:val="000000" w:themeColor="text1"/>
              </w:rPr>
              <w:lastRenderedPageBreak/>
              <w:t>3890.</w:t>
            </w:r>
          </w:p>
        </w:tc>
        <w:tc>
          <w:tcPr>
            <w:tcW w:w="4818" w:type="dxa"/>
          </w:tcPr>
          <w:p w14:paraId="5DD7D769" w14:textId="77777777" w:rsidR="00DE3AAF" w:rsidRPr="00286216" w:rsidRDefault="00DE3AAF" w:rsidP="00DE3AAF">
            <w:pPr>
              <w:pStyle w:val="StyleZakonu"/>
              <w:rPr>
                <w:color w:val="000000" w:themeColor="text1"/>
              </w:rPr>
            </w:pPr>
            <w:r w:rsidRPr="00286216">
              <w:rPr>
                <w:color w:val="000000" w:themeColor="text1"/>
              </w:rPr>
              <w:t>1. Цей Закон набирає чинності з 1 січня 2021 року, крім:</w:t>
            </w:r>
          </w:p>
        </w:tc>
        <w:tc>
          <w:tcPr>
            <w:tcW w:w="3686" w:type="dxa"/>
          </w:tcPr>
          <w:p w14:paraId="3C6FD267" w14:textId="77777777" w:rsidR="00DE3AAF" w:rsidRPr="00286216" w:rsidRDefault="00DE3AAF" w:rsidP="00DE3AAF">
            <w:pPr>
              <w:pStyle w:val="StyleProp"/>
              <w:rPr>
                <w:color w:val="000000" w:themeColor="text1"/>
                <w:szCs w:val="18"/>
              </w:rPr>
            </w:pPr>
          </w:p>
        </w:tc>
        <w:tc>
          <w:tcPr>
            <w:tcW w:w="1987" w:type="dxa"/>
          </w:tcPr>
          <w:p w14:paraId="28E78B8B" w14:textId="77777777" w:rsidR="00DE3AAF" w:rsidRPr="00286216" w:rsidRDefault="00DE3AAF" w:rsidP="00DE3AAF">
            <w:pPr>
              <w:pStyle w:val="StyleWisnow"/>
              <w:rPr>
                <w:color w:val="000000" w:themeColor="text1"/>
              </w:rPr>
            </w:pPr>
          </w:p>
        </w:tc>
        <w:tc>
          <w:tcPr>
            <w:tcW w:w="4818" w:type="dxa"/>
          </w:tcPr>
          <w:p w14:paraId="55E109F8" w14:textId="77777777" w:rsidR="00DE3AAF" w:rsidRPr="00286216" w:rsidRDefault="00DE3AAF" w:rsidP="00DE3AAF">
            <w:pPr>
              <w:pStyle w:val="StyleZakonu"/>
              <w:rPr>
                <w:color w:val="000000" w:themeColor="text1"/>
              </w:rPr>
            </w:pPr>
          </w:p>
        </w:tc>
      </w:tr>
      <w:tr w:rsidR="008F1775" w:rsidRPr="00286216" w14:paraId="6F8F5F52" w14:textId="77777777" w:rsidTr="00091AA5">
        <w:tc>
          <w:tcPr>
            <w:tcW w:w="576" w:type="dxa"/>
          </w:tcPr>
          <w:p w14:paraId="31706701" w14:textId="77777777" w:rsidR="008F1775" w:rsidRPr="00286216" w:rsidRDefault="008F1775" w:rsidP="008F1775">
            <w:pPr>
              <w:pStyle w:val="StyleWisnow"/>
              <w:rPr>
                <w:color w:val="000000" w:themeColor="text1"/>
              </w:rPr>
            </w:pPr>
            <w:bookmarkStart w:id="3763" w:name="n3891" w:colFirst="0" w:colLast="0"/>
            <w:bookmarkEnd w:id="3762"/>
            <w:r w:rsidRPr="00286216">
              <w:rPr>
                <w:color w:val="000000" w:themeColor="text1"/>
              </w:rPr>
              <w:t>3891.</w:t>
            </w:r>
          </w:p>
        </w:tc>
        <w:tc>
          <w:tcPr>
            <w:tcW w:w="4818" w:type="dxa"/>
          </w:tcPr>
          <w:p w14:paraId="402C6E93" w14:textId="77777777" w:rsidR="008F1775" w:rsidRPr="00286216" w:rsidRDefault="008F1775" w:rsidP="008F1775">
            <w:pPr>
              <w:pStyle w:val="StyleZakonu"/>
              <w:rPr>
                <w:color w:val="000000" w:themeColor="text1"/>
              </w:rPr>
            </w:pPr>
            <w:r w:rsidRPr="00286216">
              <w:rPr>
                <w:color w:val="000000" w:themeColor="text1"/>
              </w:rPr>
              <w:t>1) пункту 5 та 10 цього Розділу, які набирають чинності з дня наступного за днем опублікування цього Закону;</w:t>
            </w:r>
          </w:p>
        </w:tc>
        <w:tc>
          <w:tcPr>
            <w:tcW w:w="3686" w:type="dxa"/>
          </w:tcPr>
          <w:p w14:paraId="039AD5BF" w14:textId="43326B79"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1536</w:t>
            </w:r>
            <w:r w:rsidRPr="00286216">
              <w:rPr>
                <w:color w:val="000000" w:themeColor="text1"/>
                <w:szCs w:val="18"/>
              </w:rPr>
              <w:fldChar w:fldCharType="end"/>
            </w:r>
            <w:r w:rsidRPr="00286216">
              <w:rPr>
                <w:color w:val="000000" w:themeColor="text1"/>
                <w:spacing w:val="-6"/>
                <w:szCs w:val="18"/>
              </w:rPr>
              <w:t>-Н.д. Устенко О.О.(Реєстр.картка№308)</w:t>
            </w:r>
          </w:p>
          <w:p w14:paraId="6606B9C8" w14:textId="77777777" w:rsidR="008F1775" w:rsidRPr="00286216" w:rsidRDefault="008F1775" w:rsidP="008F1775">
            <w:pPr>
              <w:pStyle w:val="StyleProp"/>
              <w:rPr>
                <w:color w:val="000000" w:themeColor="text1"/>
                <w:szCs w:val="18"/>
              </w:rPr>
            </w:pPr>
            <w:r w:rsidRPr="00286216">
              <w:rPr>
                <w:color w:val="000000" w:themeColor="text1"/>
                <w:szCs w:val="18"/>
              </w:rPr>
              <w:t>Підпункт 1 пункту 1 цифри та слова «5 та 10» замінити цифрами та словами «5, 10 та 16».</w:t>
            </w:r>
          </w:p>
          <w:p w14:paraId="2B120CBE" w14:textId="5E7A5ED5"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1537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6E7F9BC1" w14:textId="3F4F47AB" w:rsidR="008F1775" w:rsidRPr="00286216" w:rsidRDefault="008F1775" w:rsidP="008F1775">
            <w:pPr>
              <w:spacing w:line="180" w:lineRule="exact"/>
              <w:ind w:firstLine="227"/>
              <w:jc w:val="both"/>
              <w:rPr>
                <w:color w:val="000000" w:themeColor="text1"/>
                <w:sz w:val="18"/>
              </w:rPr>
            </w:pPr>
            <w:r w:rsidRPr="00286216">
              <w:rPr>
                <w:color w:val="000000" w:themeColor="text1"/>
                <w:sz w:val="18"/>
              </w:rPr>
              <w:t>Пропонуємо передбачити можливість набрання чинності положеннями щодо остаточності розрахунків та ліквідаційного неттінгу не з 1 січня 2021, а з дня, наступного за днем опублікування цього закону:</w:t>
            </w:r>
          </w:p>
          <w:p w14:paraId="308726F0" w14:textId="77777777" w:rsidR="008F1775" w:rsidRPr="00286216" w:rsidRDefault="008F1775" w:rsidP="008F1775">
            <w:pPr>
              <w:spacing w:line="180" w:lineRule="exact"/>
              <w:ind w:firstLine="227"/>
              <w:jc w:val="both"/>
              <w:rPr>
                <w:color w:val="000000" w:themeColor="text1"/>
                <w:szCs w:val="18"/>
              </w:rPr>
            </w:pPr>
            <w:r w:rsidRPr="00286216">
              <w:rPr>
                <w:color w:val="000000" w:themeColor="text1"/>
                <w:sz w:val="18"/>
              </w:rPr>
              <w:t>Підпункт 1 пункту 1 розділу 4 законопроекту доповнити словами «…»</w:t>
            </w:r>
          </w:p>
        </w:tc>
        <w:tc>
          <w:tcPr>
            <w:tcW w:w="1987" w:type="dxa"/>
          </w:tcPr>
          <w:p w14:paraId="4BED8759" w14:textId="77777777" w:rsidR="008F1775" w:rsidRPr="00286216" w:rsidRDefault="008F1775" w:rsidP="008F1775">
            <w:pPr>
              <w:pStyle w:val="StyleWisnow"/>
              <w:rPr>
                <w:color w:val="000000" w:themeColor="text1"/>
              </w:rPr>
            </w:pPr>
            <w:r w:rsidRPr="00286216">
              <w:rPr>
                <w:color w:val="000000" w:themeColor="text1"/>
              </w:rPr>
              <w:t>Враховано</w:t>
            </w:r>
          </w:p>
          <w:p w14:paraId="726E4A14" w14:textId="77777777" w:rsidR="008F1775" w:rsidRPr="00286216" w:rsidRDefault="008F1775" w:rsidP="008F1775">
            <w:pPr>
              <w:pStyle w:val="StyleWisnow"/>
              <w:rPr>
                <w:color w:val="000000" w:themeColor="text1"/>
              </w:rPr>
            </w:pPr>
          </w:p>
          <w:p w14:paraId="0C1CDEED" w14:textId="77777777" w:rsidR="008F1775" w:rsidRPr="00286216" w:rsidRDefault="008F1775" w:rsidP="008F1775">
            <w:pPr>
              <w:pStyle w:val="StyleWisnow"/>
              <w:rPr>
                <w:color w:val="000000" w:themeColor="text1"/>
              </w:rPr>
            </w:pPr>
          </w:p>
          <w:p w14:paraId="4AA0CEBD" w14:textId="77777777" w:rsidR="008F1775" w:rsidRPr="00286216" w:rsidRDefault="008F1775" w:rsidP="008F1775">
            <w:pPr>
              <w:pStyle w:val="StyleWisnow"/>
              <w:rPr>
                <w:color w:val="000000" w:themeColor="text1"/>
              </w:rPr>
            </w:pPr>
          </w:p>
          <w:p w14:paraId="1627FBAF"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tc>
        <w:tc>
          <w:tcPr>
            <w:tcW w:w="4818" w:type="dxa"/>
          </w:tcPr>
          <w:p w14:paraId="16EF25F1" w14:textId="77777777" w:rsidR="008F1775" w:rsidRPr="00286216" w:rsidRDefault="008F1775" w:rsidP="008F1775">
            <w:pPr>
              <w:pStyle w:val="StyleZakonu"/>
              <w:rPr>
                <w:color w:val="000000" w:themeColor="text1"/>
              </w:rPr>
            </w:pPr>
          </w:p>
        </w:tc>
      </w:tr>
      <w:bookmarkEnd w:id="3763"/>
      <w:tr w:rsidR="008F1775" w:rsidRPr="00286216" w14:paraId="45E820D2" w14:textId="77777777" w:rsidTr="00091AA5">
        <w:tc>
          <w:tcPr>
            <w:tcW w:w="576" w:type="dxa"/>
          </w:tcPr>
          <w:p w14:paraId="6A48C5A5" w14:textId="77777777" w:rsidR="008F1775" w:rsidRPr="00286216" w:rsidRDefault="008F1775" w:rsidP="008F1775">
            <w:pPr>
              <w:pStyle w:val="StyleWisnow"/>
              <w:rPr>
                <w:color w:val="000000" w:themeColor="text1"/>
              </w:rPr>
            </w:pPr>
          </w:p>
        </w:tc>
        <w:tc>
          <w:tcPr>
            <w:tcW w:w="4818" w:type="dxa"/>
          </w:tcPr>
          <w:p w14:paraId="04D34AB3" w14:textId="77777777" w:rsidR="008F1775" w:rsidRPr="00286216" w:rsidRDefault="008F1775" w:rsidP="008F1775">
            <w:pPr>
              <w:pStyle w:val="StyleZakonu"/>
              <w:rPr>
                <w:color w:val="000000" w:themeColor="text1"/>
              </w:rPr>
            </w:pPr>
          </w:p>
        </w:tc>
        <w:tc>
          <w:tcPr>
            <w:tcW w:w="3686" w:type="dxa"/>
          </w:tcPr>
          <w:p w14:paraId="38E55CE4" w14:textId="4322C249"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1538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52296294" w14:textId="77777777" w:rsidR="008F1775" w:rsidRPr="00286216" w:rsidRDefault="008F1775" w:rsidP="008F1775">
            <w:pPr>
              <w:spacing w:line="200" w:lineRule="exact"/>
              <w:ind w:firstLine="227"/>
              <w:jc w:val="both"/>
              <w:rPr>
                <w:color w:val="000000" w:themeColor="text1"/>
                <w:sz w:val="18"/>
              </w:rPr>
            </w:pPr>
            <w:r w:rsidRPr="00286216">
              <w:rPr>
                <w:color w:val="000000" w:themeColor="text1"/>
                <w:sz w:val="18"/>
              </w:rPr>
              <w:t xml:space="preserve"> Підпункт 1 пункт 1 розділу 4 після слів «пункту 5 та 10» доповнити цифрою «50».</w:t>
            </w:r>
          </w:p>
        </w:tc>
        <w:tc>
          <w:tcPr>
            <w:tcW w:w="1987" w:type="dxa"/>
          </w:tcPr>
          <w:p w14:paraId="18B7BA1C"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tc>
        <w:tc>
          <w:tcPr>
            <w:tcW w:w="4818" w:type="dxa"/>
          </w:tcPr>
          <w:p w14:paraId="5B6B7EB1" w14:textId="77777777" w:rsidR="008F1775" w:rsidRPr="00286216" w:rsidRDefault="008F1775" w:rsidP="008F1775">
            <w:pPr>
              <w:pStyle w:val="StyleZakonu"/>
              <w:rPr>
                <w:color w:val="000000" w:themeColor="text1"/>
              </w:rPr>
            </w:pPr>
          </w:p>
        </w:tc>
      </w:tr>
      <w:tr w:rsidR="008F1775" w:rsidRPr="00286216" w14:paraId="03075747" w14:textId="77777777" w:rsidTr="00091AA5">
        <w:tc>
          <w:tcPr>
            <w:tcW w:w="576" w:type="dxa"/>
          </w:tcPr>
          <w:p w14:paraId="753FEDEE" w14:textId="77777777" w:rsidR="008F1775" w:rsidRPr="00286216" w:rsidRDefault="008F1775" w:rsidP="008F1775">
            <w:pPr>
              <w:pStyle w:val="StyleWisnow"/>
              <w:rPr>
                <w:color w:val="000000" w:themeColor="text1"/>
              </w:rPr>
            </w:pPr>
            <w:bookmarkStart w:id="3764" w:name="n3892" w:colFirst="0" w:colLast="0"/>
            <w:r w:rsidRPr="00286216">
              <w:rPr>
                <w:color w:val="000000" w:themeColor="text1"/>
              </w:rPr>
              <w:t>3892.</w:t>
            </w:r>
          </w:p>
        </w:tc>
        <w:tc>
          <w:tcPr>
            <w:tcW w:w="4818" w:type="dxa"/>
          </w:tcPr>
          <w:p w14:paraId="3097B4E7" w14:textId="77777777" w:rsidR="008F1775" w:rsidRPr="00286216" w:rsidRDefault="008F1775" w:rsidP="008F1775">
            <w:pPr>
              <w:pStyle w:val="StyleZakonu"/>
              <w:rPr>
                <w:color w:val="000000" w:themeColor="text1"/>
              </w:rPr>
            </w:pPr>
            <w:r w:rsidRPr="00286216">
              <w:rPr>
                <w:color w:val="000000" w:themeColor="text1"/>
              </w:rPr>
              <w:t>2) підпункту "а" підпункту 2 пункту 51 розділу І цього Закону, який набирає чинності з 1 січня 2023 року;</w:t>
            </w:r>
          </w:p>
        </w:tc>
        <w:tc>
          <w:tcPr>
            <w:tcW w:w="3686" w:type="dxa"/>
          </w:tcPr>
          <w:p w14:paraId="4703DC0E" w14:textId="77777777" w:rsidR="008F1775" w:rsidRPr="00286216" w:rsidRDefault="008F1775" w:rsidP="008F1775">
            <w:pPr>
              <w:pStyle w:val="StyleProp"/>
              <w:rPr>
                <w:color w:val="000000" w:themeColor="text1"/>
                <w:szCs w:val="18"/>
              </w:rPr>
            </w:pPr>
          </w:p>
        </w:tc>
        <w:tc>
          <w:tcPr>
            <w:tcW w:w="1987" w:type="dxa"/>
          </w:tcPr>
          <w:p w14:paraId="7A1DF2A1" w14:textId="77777777" w:rsidR="008F1775" w:rsidRPr="00286216" w:rsidRDefault="008F1775" w:rsidP="008F1775">
            <w:pPr>
              <w:pStyle w:val="StyleWisnow"/>
              <w:rPr>
                <w:color w:val="000000" w:themeColor="text1"/>
              </w:rPr>
            </w:pPr>
          </w:p>
        </w:tc>
        <w:tc>
          <w:tcPr>
            <w:tcW w:w="4818" w:type="dxa"/>
          </w:tcPr>
          <w:p w14:paraId="69F1F9C1" w14:textId="77777777" w:rsidR="008F1775" w:rsidRPr="00286216" w:rsidRDefault="008F1775" w:rsidP="008F1775">
            <w:pPr>
              <w:pStyle w:val="StyleZakonu"/>
              <w:rPr>
                <w:color w:val="000000" w:themeColor="text1"/>
              </w:rPr>
            </w:pPr>
          </w:p>
        </w:tc>
      </w:tr>
      <w:tr w:rsidR="008F1775" w:rsidRPr="00286216" w14:paraId="212B509C" w14:textId="77777777" w:rsidTr="00091AA5">
        <w:tc>
          <w:tcPr>
            <w:tcW w:w="576" w:type="dxa"/>
          </w:tcPr>
          <w:p w14:paraId="4BAC036D" w14:textId="77777777" w:rsidR="008F1775" w:rsidRPr="00286216" w:rsidRDefault="008F1775" w:rsidP="008F1775">
            <w:pPr>
              <w:pStyle w:val="StyleWisnow"/>
              <w:rPr>
                <w:color w:val="000000" w:themeColor="text1"/>
              </w:rPr>
            </w:pPr>
            <w:bookmarkStart w:id="3765" w:name="n3893" w:colFirst="0" w:colLast="0"/>
            <w:bookmarkEnd w:id="3764"/>
            <w:r w:rsidRPr="00286216">
              <w:rPr>
                <w:color w:val="000000" w:themeColor="text1"/>
              </w:rPr>
              <w:t>3893.</w:t>
            </w:r>
          </w:p>
        </w:tc>
        <w:tc>
          <w:tcPr>
            <w:tcW w:w="4818" w:type="dxa"/>
          </w:tcPr>
          <w:p w14:paraId="210C5521" w14:textId="77777777" w:rsidR="008F1775" w:rsidRPr="00286216" w:rsidRDefault="008F1775" w:rsidP="008F1775">
            <w:pPr>
              <w:pStyle w:val="StyleZakonu"/>
              <w:rPr>
                <w:color w:val="000000" w:themeColor="text1"/>
              </w:rPr>
            </w:pPr>
            <w:r w:rsidRPr="00286216">
              <w:rPr>
                <w:color w:val="000000" w:themeColor="text1"/>
              </w:rPr>
              <w:t>3) абзацу четвертого та сьомого частини другої статті 48 та частини другої статті 65 Закону України "Про ринки капіталу та організовані товарні ринки", які набирають чинності з 1 січня 2024 року.</w:t>
            </w:r>
          </w:p>
        </w:tc>
        <w:tc>
          <w:tcPr>
            <w:tcW w:w="3686" w:type="dxa"/>
          </w:tcPr>
          <w:p w14:paraId="712A8603" w14:textId="1A58D6EA"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1539</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76415AF" w14:textId="77777777" w:rsidR="008F1775" w:rsidRPr="00286216" w:rsidRDefault="008F1775" w:rsidP="008F1775">
            <w:pPr>
              <w:pStyle w:val="StyleProp"/>
              <w:rPr>
                <w:color w:val="000000" w:themeColor="text1"/>
                <w:spacing w:val="-2"/>
                <w:szCs w:val="18"/>
              </w:rPr>
            </w:pPr>
            <w:r w:rsidRPr="00286216">
              <w:rPr>
                <w:color w:val="000000" w:themeColor="text1"/>
                <w:spacing w:val="-2"/>
                <w:szCs w:val="18"/>
              </w:rPr>
              <w:t>Підпункт 3 пункту 1 після слів "статті 65" доповнити словами "частини сьомої статті 67".</w:t>
            </w:r>
          </w:p>
          <w:p w14:paraId="25A07FF7" w14:textId="01BD0752"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1540</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2AC0EAA3" w14:textId="422EE385" w:rsidR="008F1775" w:rsidRPr="00286216" w:rsidRDefault="008F1775" w:rsidP="008F1775">
            <w:pPr>
              <w:pStyle w:val="StyleProp"/>
              <w:rPr>
                <w:color w:val="000000" w:themeColor="text1"/>
                <w:szCs w:val="18"/>
              </w:rPr>
            </w:pPr>
            <w:r w:rsidRPr="00286216">
              <w:rPr>
                <w:color w:val="000000" w:themeColor="text1"/>
                <w:szCs w:val="18"/>
              </w:rPr>
              <w:t>У пункті 1 розділу 4у підпункті 3 цифри «48» та «65» замінити відповідно цифрами «49» та «66»;</w:t>
            </w:r>
          </w:p>
        </w:tc>
        <w:tc>
          <w:tcPr>
            <w:tcW w:w="1987" w:type="dxa"/>
          </w:tcPr>
          <w:p w14:paraId="45F643BC" w14:textId="77777777" w:rsidR="008F1775" w:rsidRPr="00286216" w:rsidRDefault="008F1775" w:rsidP="00CF4212">
            <w:pPr>
              <w:pStyle w:val="StyleWisnow"/>
              <w:spacing w:line="180" w:lineRule="exact"/>
              <w:rPr>
                <w:color w:val="000000" w:themeColor="text1"/>
              </w:rPr>
            </w:pPr>
            <w:r w:rsidRPr="00286216">
              <w:rPr>
                <w:color w:val="000000" w:themeColor="text1"/>
              </w:rPr>
              <w:t>Відхилено</w:t>
            </w:r>
          </w:p>
          <w:p w14:paraId="139158F1" w14:textId="1BDB4647" w:rsidR="008F1775" w:rsidRPr="00286216" w:rsidRDefault="008F1775" w:rsidP="00CF4212">
            <w:pPr>
              <w:pStyle w:val="StyleWisnow"/>
              <w:spacing w:line="180" w:lineRule="exact"/>
              <w:rPr>
                <w:color w:val="000000" w:themeColor="text1"/>
              </w:rPr>
            </w:pPr>
            <w:r w:rsidRPr="00286216">
              <w:rPr>
                <w:color w:val="000000" w:themeColor="text1"/>
              </w:rPr>
              <w:t>у зв’язку зі зміною редакції</w:t>
            </w:r>
          </w:p>
          <w:p w14:paraId="4A0DE0A1" w14:textId="77777777" w:rsidR="008F1775" w:rsidRPr="00286216" w:rsidRDefault="008F1775" w:rsidP="008F1775">
            <w:pPr>
              <w:pStyle w:val="StyleWisnow"/>
              <w:rPr>
                <w:color w:val="000000" w:themeColor="text1"/>
              </w:rPr>
            </w:pPr>
          </w:p>
          <w:p w14:paraId="116F5A7B" w14:textId="77777777" w:rsidR="008F1775" w:rsidRPr="00286216" w:rsidRDefault="008F1775" w:rsidP="008F1775">
            <w:pPr>
              <w:pStyle w:val="StyleWisnow"/>
              <w:rPr>
                <w:color w:val="000000" w:themeColor="text1"/>
              </w:rPr>
            </w:pPr>
            <w:r w:rsidRPr="00286216">
              <w:rPr>
                <w:color w:val="000000" w:themeColor="text1"/>
              </w:rPr>
              <w:t>Враховано по суті</w:t>
            </w:r>
          </w:p>
        </w:tc>
        <w:tc>
          <w:tcPr>
            <w:tcW w:w="4818" w:type="dxa"/>
          </w:tcPr>
          <w:p w14:paraId="77EED9ED" w14:textId="77777777" w:rsidR="008F1775" w:rsidRPr="00286216" w:rsidRDefault="008F1775" w:rsidP="008F1775">
            <w:pPr>
              <w:pStyle w:val="StyleZakonu"/>
              <w:rPr>
                <w:color w:val="000000" w:themeColor="text1"/>
              </w:rPr>
            </w:pPr>
          </w:p>
        </w:tc>
      </w:tr>
      <w:bookmarkEnd w:id="3765"/>
      <w:tr w:rsidR="008F1775" w:rsidRPr="00286216" w14:paraId="5D15F5E9" w14:textId="77777777" w:rsidTr="00091AA5">
        <w:tc>
          <w:tcPr>
            <w:tcW w:w="576" w:type="dxa"/>
          </w:tcPr>
          <w:p w14:paraId="15C03FB9" w14:textId="77777777" w:rsidR="008F1775" w:rsidRPr="00286216" w:rsidRDefault="008F1775" w:rsidP="008F1775">
            <w:pPr>
              <w:pStyle w:val="StyleWisnow"/>
              <w:rPr>
                <w:color w:val="000000" w:themeColor="text1"/>
              </w:rPr>
            </w:pPr>
          </w:p>
        </w:tc>
        <w:tc>
          <w:tcPr>
            <w:tcW w:w="4818" w:type="dxa"/>
          </w:tcPr>
          <w:p w14:paraId="0B5967E3" w14:textId="77777777" w:rsidR="008F1775" w:rsidRPr="00286216" w:rsidRDefault="008F1775" w:rsidP="008F1775">
            <w:pPr>
              <w:pStyle w:val="StyleZakonu"/>
              <w:rPr>
                <w:color w:val="000000" w:themeColor="text1"/>
              </w:rPr>
            </w:pPr>
          </w:p>
        </w:tc>
        <w:tc>
          <w:tcPr>
            <w:tcW w:w="3686" w:type="dxa"/>
          </w:tcPr>
          <w:p w14:paraId="7FF33478" w14:textId="54303AE9"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3030EAF6"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Доповнити пункт 1 новим підпунктом такого змісту:</w:t>
            </w:r>
          </w:p>
          <w:p w14:paraId="5FB2B383"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«4) підпункту «а» підпункту 9 пункту 44 розділу 3, абзацу другого підпункту «б» підпункту 9 пункту 44 розділу 3  та підпункту «а» підпункту 13 пункту 44 розділу 3 які набирають чинності з 01 вересня 2020 року».</w:t>
            </w:r>
          </w:p>
          <w:p w14:paraId="659D81C1" w14:textId="0ECAF301"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1542</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687A8CB"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У пункті 1 розділу 4 Законопроекту:</w:t>
            </w:r>
          </w:p>
          <w:p w14:paraId="7D637239"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доповнити новим підпунктом такого змісту:</w:t>
            </w:r>
          </w:p>
          <w:p w14:paraId="6B21E5EC"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lastRenderedPageBreak/>
              <w:t>«4) підпункту «а» підпункту 6, підпункту «а» підпункту 10, підпункту «а» підпункту 17, підпункту «б)» підпункту 18 пункту 42 Розділу 3 цього Закону, які набирають чинності з дня наступного за днем опублікування цього Закону.».</w:t>
            </w:r>
          </w:p>
        </w:tc>
        <w:tc>
          <w:tcPr>
            <w:tcW w:w="1987" w:type="dxa"/>
          </w:tcPr>
          <w:p w14:paraId="0E7E7A43" w14:textId="77777777" w:rsidR="008F1775" w:rsidRPr="00286216" w:rsidRDefault="008F1775" w:rsidP="008F1775">
            <w:pPr>
              <w:pStyle w:val="StyleWisnow"/>
              <w:rPr>
                <w:color w:val="000000" w:themeColor="text1"/>
              </w:rPr>
            </w:pPr>
            <w:r w:rsidRPr="00286216">
              <w:rPr>
                <w:color w:val="000000" w:themeColor="text1"/>
              </w:rPr>
              <w:lastRenderedPageBreak/>
              <w:t>Враховано редакційно</w:t>
            </w:r>
          </w:p>
          <w:p w14:paraId="252502A1" w14:textId="77777777" w:rsidR="008F1775" w:rsidRPr="00286216" w:rsidRDefault="008F1775" w:rsidP="008F1775">
            <w:pPr>
              <w:pStyle w:val="StyleWisnow"/>
              <w:rPr>
                <w:color w:val="000000" w:themeColor="text1"/>
              </w:rPr>
            </w:pPr>
          </w:p>
          <w:p w14:paraId="17E2AD5D" w14:textId="77777777" w:rsidR="008F1775" w:rsidRPr="00286216" w:rsidRDefault="008F1775" w:rsidP="008F1775">
            <w:pPr>
              <w:pStyle w:val="StyleWisnow"/>
              <w:rPr>
                <w:color w:val="000000" w:themeColor="text1"/>
              </w:rPr>
            </w:pPr>
          </w:p>
          <w:p w14:paraId="6E217836" w14:textId="77777777" w:rsidR="008F1775" w:rsidRPr="00286216" w:rsidRDefault="008F1775" w:rsidP="008F1775">
            <w:pPr>
              <w:pStyle w:val="StyleWisnow"/>
              <w:rPr>
                <w:color w:val="000000" w:themeColor="text1"/>
              </w:rPr>
            </w:pPr>
          </w:p>
          <w:p w14:paraId="150DAF00" w14:textId="77777777" w:rsidR="008F1775" w:rsidRPr="00286216" w:rsidRDefault="008F1775" w:rsidP="008F1775">
            <w:pPr>
              <w:pStyle w:val="StyleWisnow"/>
              <w:rPr>
                <w:color w:val="000000" w:themeColor="text1"/>
              </w:rPr>
            </w:pPr>
          </w:p>
          <w:p w14:paraId="48FF3E62" w14:textId="77777777" w:rsidR="008F1775" w:rsidRPr="00286216" w:rsidRDefault="008F1775" w:rsidP="008F1775">
            <w:pPr>
              <w:pStyle w:val="StyleWisnow"/>
              <w:rPr>
                <w:color w:val="000000" w:themeColor="text1"/>
              </w:rPr>
            </w:pPr>
          </w:p>
          <w:p w14:paraId="030915F7" w14:textId="77777777" w:rsidR="008F1775" w:rsidRPr="00286216" w:rsidRDefault="008F1775" w:rsidP="008F1775">
            <w:pPr>
              <w:pStyle w:val="StyleWisnow"/>
              <w:rPr>
                <w:color w:val="000000" w:themeColor="text1"/>
              </w:rPr>
            </w:pPr>
          </w:p>
          <w:p w14:paraId="0E9C487A" w14:textId="77777777" w:rsidR="008F1775" w:rsidRPr="00286216" w:rsidRDefault="008F1775" w:rsidP="008F1775">
            <w:pPr>
              <w:pStyle w:val="StyleWisnow"/>
              <w:rPr>
                <w:color w:val="000000" w:themeColor="text1"/>
              </w:rPr>
            </w:pPr>
          </w:p>
          <w:p w14:paraId="1C951617"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p w14:paraId="1E7D2974" w14:textId="77777777" w:rsidR="008F1775" w:rsidRPr="00286216" w:rsidRDefault="008F1775" w:rsidP="008F1775">
            <w:pPr>
              <w:pStyle w:val="StyleWisnow"/>
              <w:rPr>
                <w:color w:val="000000" w:themeColor="text1"/>
              </w:rPr>
            </w:pPr>
          </w:p>
        </w:tc>
        <w:tc>
          <w:tcPr>
            <w:tcW w:w="4818" w:type="dxa"/>
          </w:tcPr>
          <w:p w14:paraId="42AC0A5A" w14:textId="77777777" w:rsidR="008F1775" w:rsidRPr="00286216" w:rsidRDefault="008F1775" w:rsidP="008F1775">
            <w:pPr>
              <w:pStyle w:val="StyleZakonu"/>
              <w:rPr>
                <w:color w:val="000000" w:themeColor="text1"/>
              </w:rPr>
            </w:pPr>
          </w:p>
        </w:tc>
      </w:tr>
      <w:tr w:rsidR="008F1775" w:rsidRPr="00286216" w14:paraId="143E5839" w14:textId="77777777" w:rsidTr="00091AA5">
        <w:tc>
          <w:tcPr>
            <w:tcW w:w="576" w:type="dxa"/>
          </w:tcPr>
          <w:p w14:paraId="2E87D5F8" w14:textId="77777777" w:rsidR="008F1775" w:rsidRPr="00286216" w:rsidRDefault="008F1775" w:rsidP="008F1775">
            <w:pPr>
              <w:pStyle w:val="StyleWisnow"/>
              <w:rPr>
                <w:color w:val="000000" w:themeColor="text1"/>
              </w:rPr>
            </w:pPr>
            <w:bookmarkStart w:id="3766" w:name="n3894" w:colFirst="0" w:colLast="0"/>
            <w:r w:rsidRPr="00286216">
              <w:rPr>
                <w:color w:val="000000" w:themeColor="text1"/>
              </w:rPr>
              <w:t>3894.</w:t>
            </w:r>
          </w:p>
        </w:tc>
        <w:tc>
          <w:tcPr>
            <w:tcW w:w="4818" w:type="dxa"/>
          </w:tcPr>
          <w:p w14:paraId="2C285B45" w14:textId="77777777" w:rsidR="008F1775" w:rsidRPr="00286216" w:rsidRDefault="008F1775" w:rsidP="008F1775">
            <w:pPr>
              <w:pStyle w:val="StyleZakonu"/>
              <w:rPr>
                <w:color w:val="000000" w:themeColor="text1"/>
                <w:spacing w:val="-2"/>
              </w:rPr>
            </w:pPr>
            <w:r w:rsidRPr="00286216">
              <w:rPr>
                <w:color w:val="000000" w:themeColor="text1"/>
                <w:spacing w:val="-2"/>
              </w:rPr>
              <w:t>2.Критерії передбачені пунктом 6 частини 1 та частини 2 статті 5 Закону України "Про ринки капіталу та організовані товарні ринки" застосовуються:</w:t>
            </w:r>
          </w:p>
        </w:tc>
        <w:tc>
          <w:tcPr>
            <w:tcW w:w="3686" w:type="dxa"/>
          </w:tcPr>
          <w:p w14:paraId="2342272E" w14:textId="77777777" w:rsidR="008F1775" w:rsidRPr="00286216" w:rsidRDefault="008F1775" w:rsidP="008F1775">
            <w:pPr>
              <w:pStyle w:val="StyleProp"/>
              <w:rPr>
                <w:color w:val="000000" w:themeColor="text1"/>
                <w:szCs w:val="18"/>
              </w:rPr>
            </w:pPr>
          </w:p>
        </w:tc>
        <w:tc>
          <w:tcPr>
            <w:tcW w:w="1987" w:type="dxa"/>
          </w:tcPr>
          <w:p w14:paraId="3BE5E3A2" w14:textId="77777777" w:rsidR="008F1775" w:rsidRPr="00286216" w:rsidRDefault="008F1775" w:rsidP="008F1775">
            <w:pPr>
              <w:pStyle w:val="StyleWisnow"/>
              <w:rPr>
                <w:color w:val="000000" w:themeColor="text1"/>
              </w:rPr>
            </w:pPr>
          </w:p>
        </w:tc>
        <w:tc>
          <w:tcPr>
            <w:tcW w:w="4818" w:type="dxa"/>
          </w:tcPr>
          <w:p w14:paraId="7D5A821C" w14:textId="77777777" w:rsidR="008F1775" w:rsidRPr="00286216" w:rsidRDefault="008F1775" w:rsidP="008F1775">
            <w:pPr>
              <w:pStyle w:val="StyleZakonu"/>
              <w:rPr>
                <w:color w:val="000000" w:themeColor="text1"/>
              </w:rPr>
            </w:pPr>
          </w:p>
        </w:tc>
      </w:tr>
      <w:tr w:rsidR="008F1775" w:rsidRPr="00286216" w14:paraId="67D839E2" w14:textId="77777777" w:rsidTr="00091AA5">
        <w:tc>
          <w:tcPr>
            <w:tcW w:w="576" w:type="dxa"/>
          </w:tcPr>
          <w:p w14:paraId="36CB337C" w14:textId="77777777" w:rsidR="008F1775" w:rsidRPr="00286216" w:rsidRDefault="008F1775" w:rsidP="008F1775">
            <w:pPr>
              <w:pStyle w:val="StyleWisnow"/>
              <w:rPr>
                <w:color w:val="000000" w:themeColor="text1"/>
              </w:rPr>
            </w:pPr>
            <w:bookmarkStart w:id="3767" w:name="n3895" w:colFirst="0" w:colLast="0"/>
            <w:bookmarkEnd w:id="3766"/>
            <w:r w:rsidRPr="00286216">
              <w:rPr>
                <w:color w:val="000000" w:themeColor="text1"/>
              </w:rPr>
              <w:t>3895.</w:t>
            </w:r>
          </w:p>
        </w:tc>
        <w:tc>
          <w:tcPr>
            <w:tcW w:w="4818" w:type="dxa"/>
          </w:tcPr>
          <w:p w14:paraId="2C82FF67" w14:textId="77777777" w:rsidR="008F1775" w:rsidRPr="00286216" w:rsidRDefault="008F1775" w:rsidP="008F1775">
            <w:pPr>
              <w:pStyle w:val="StyleZakonu"/>
              <w:rPr>
                <w:color w:val="000000" w:themeColor="text1"/>
                <w:spacing w:val="-2"/>
              </w:rPr>
            </w:pPr>
            <w:r w:rsidRPr="00286216">
              <w:rPr>
                <w:color w:val="000000" w:themeColor="text1"/>
                <w:spacing w:val="-2"/>
              </w:rPr>
              <w:t>у період з 1 січня по 31 грудня 2021 року з коефіцієнтом 0, 2;</w:t>
            </w:r>
          </w:p>
        </w:tc>
        <w:tc>
          <w:tcPr>
            <w:tcW w:w="3686" w:type="dxa"/>
          </w:tcPr>
          <w:p w14:paraId="388CE6B7" w14:textId="77777777" w:rsidR="008F1775" w:rsidRPr="00286216" w:rsidRDefault="008F1775" w:rsidP="008F1775">
            <w:pPr>
              <w:pStyle w:val="StyleProp"/>
              <w:rPr>
                <w:color w:val="000000" w:themeColor="text1"/>
                <w:szCs w:val="18"/>
              </w:rPr>
            </w:pPr>
          </w:p>
        </w:tc>
        <w:tc>
          <w:tcPr>
            <w:tcW w:w="1987" w:type="dxa"/>
          </w:tcPr>
          <w:p w14:paraId="107BBB39" w14:textId="77777777" w:rsidR="008F1775" w:rsidRPr="00286216" w:rsidRDefault="008F1775" w:rsidP="008F1775">
            <w:pPr>
              <w:pStyle w:val="StyleWisnow"/>
              <w:rPr>
                <w:color w:val="000000" w:themeColor="text1"/>
              </w:rPr>
            </w:pPr>
          </w:p>
        </w:tc>
        <w:tc>
          <w:tcPr>
            <w:tcW w:w="4818" w:type="dxa"/>
          </w:tcPr>
          <w:p w14:paraId="75CA2AC8" w14:textId="77777777" w:rsidR="008F1775" w:rsidRPr="00286216" w:rsidRDefault="008F1775" w:rsidP="008F1775">
            <w:pPr>
              <w:pStyle w:val="StyleZakonu"/>
              <w:rPr>
                <w:color w:val="000000" w:themeColor="text1"/>
              </w:rPr>
            </w:pPr>
          </w:p>
        </w:tc>
      </w:tr>
      <w:tr w:rsidR="008F1775" w:rsidRPr="00286216" w14:paraId="3B66EBF1" w14:textId="77777777" w:rsidTr="00091AA5">
        <w:tc>
          <w:tcPr>
            <w:tcW w:w="576" w:type="dxa"/>
          </w:tcPr>
          <w:p w14:paraId="6D317D6C" w14:textId="77777777" w:rsidR="008F1775" w:rsidRPr="00286216" w:rsidRDefault="008F1775" w:rsidP="008F1775">
            <w:pPr>
              <w:pStyle w:val="StyleWisnow"/>
              <w:rPr>
                <w:color w:val="000000" w:themeColor="text1"/>
              </w:rPr>
            </w:pPr>
            <w:bookmarkStart w:id="3768" w:name="n3896" w:colFirst="0" w:colLast="0"/>
            <w:bookmarkEnd w:id="3767"/>
            <w:r w:rsidRPr="00286216">
              <w:rPr>
                <w:color w:val="000000" w:themeColor="text1"/>
              </w:rPr>
              <w:t>3896.</w:t>
            </w:r>
          </w:p>
        </w:tc>
        <w:tc>
          <w:tcPr>
            <w:tcW w:w="4818" w:type="dxa"/>
          </w:tcPr>
          <w:p w14:paraId="1EA58EC6" w14:textId="77777777" w:rsidR="008F1775" w:rsidRPr="00286216" w:rsidRDefault="008F1775" w:rsidP="008F1775">
            <w:pPr>
              <w:pStyle w:val="StyleZakonu"/>
              <w:rPr>
                <w:color w:val="000000" w:themeColor="text1"/>
                <w:spacing w:val="-2"/>
              </w:rPr>
            </w:pPr>
            <w:r w:rsidRPr="00286216">
              <w:rPr>
                <w:color w:val="000000" w:themeColor="text1"/>
                <w:spacing w:val="-2"/>
              </w:rPr>
              <w:t>у період з 1 січня по 31 грудня 2022 року з коефіцієнтом 0, 4;</w:t>
            </w:r>
          </w:p>
        </w:tc>
        <w:tc>
          <w:tcPr>
            <w:tcW w:w="3686" w:type="dxa"/>
          </w:tcPr>
          <w:p w14:paraId="50630331" w14:textId="77777777" w:rsidR="008F1775" w:rsidRPr="00286216" w:rsidRDefault="008F1775" w:rsidP="008F1775">
            <w:pPr>
              <w:pStyle w:val="StyleProp"/>
              <w:rPr>
                <w:color w:val="000000" w:themeColor="text1"/>
                <w:szCs w:val="18"/>
              </w:rPr>
            </w:pPr>
          </w:p>
        </w:tc>
        <w:tc>
          <w:tcPr>
            <w:tcW w:w="1987" w:type="dxa"/>
          </w:tcPr>
          <w:p w14:paraId="017E50A9" w14:textId="77777777" w:rsidR="008F1775" w:rsidRPr="00286216" w:rsidRDefault="008F1775" w:rsidP="008F1775">
            <w:pPr>
              <w:pStyle w:val="StyleWisnow"/>
              <w:rPr>
                <w:color w:val="000000" w:themeColor="text1"/>
              </w:rPr>
            </w:pPr>
          </w:p>
        </w:tc>
        <w:tc>
          <w:tcPr>
            <w:tcW w:w="4818" w:type="dxa"/>
          </w:tcPr>
          <w:p w14:paraId="65E91F69" w14:textId="77777777" w:rsidR="008F1775" w:rsidRPr="00286216" w:rsidRDefault="008F1775" w:rsidP="008F1775">
            <w:pPr>
              <w:pStyle w:val="StyleZakonu"/>
              <w:rPr>
                <w:color w:val="000000" w:themeColor="text1"/>
              </w:rPr>
            </w:pPr>
          </w:p>
        </w:tc>
      </w:tr>
      <w:tr w:rsidR="008F1775" w:rsidRPr="00286216" w14:paraId="00032CD3" w14:textId="77777777" w:rsidTr="00091AA5">
        <w:tc>
          <w:tcPr>
            <w:tcW w:w="576" w:type="dxa"/>
          </w:tcPr>
          <w:p w14:paraId="767657F6" w14:textId="77777777" w:rsidR="008F1775" w:rsidRPr="00286216" w:rsidRDefault="008F1775" w:rsidP="008F1775">
            <w:pPr>
              <w:pStyle w:val="StyleWisnow"/>
              <w:rPr>
                <w:color w:val="000000" w:themeColor="text1"/>
              </w:rPr>
            </w:pPr>
            <w:bookmarkStart w:id="3769" w:name="n3897" w:colFirst="0" w:colLast="0"/>
            <w:bookmarkEnd w:id="3768"/>
            <w:r w:rsidRPr="00286216">
              <w:rPr>
                <w:color w:val="000000" w:themeColor="text1"/>
              </w:rPr>
              <w:t>3897.</w:t>
            </w:r>
          </w:p>
        </w:tc>
        <w:tc>
          <w:tcPr>
            <w:tcW w:w="4818" w:type="dxa"/>
          </w:tcPr>
          <w:p w14:paraId="35196949" w14:textId="77777777" w:rsidR="008F1775" w:rsidRPr="00286216" w:rsidRDefault="008F1775" w:rsidP="008F1775">
            <w:pPr>
              <w:pStyle w:val="StyleZakonu"/>
              <w:rPr>
                <w:color w:val="000000" w:themeColor="text1"/>
                <w:spacing w:val="-2"/>
              </w:rPr>
            </w:pPr>
            <w:r w:rsidRPr="00286216">
              <w:rPr>
                <w:color w:val="000000" w:themeColor="text1"/>
                <w:spacing w:val="-2"/>
              </w:rPr>
              <w:t>у період з 1 січня по 31 грудня 2023 року з коефіцієнтом 0, 6;</w:t>
            </w:r>
          </w:p>
        </w:tc>
        <w:tc>
          <w:tcPr>
            <w:tcW w:w="3686" w:type="dxa"/>
          </w:tcPr>
          <w:p w14:paraId="2AE8E52B" w14:textId="77777777" w:rsidR="008F1775" w:rsidRPr="00286216" w:rsidRDefault="008F1775" w:rsidP="008F1775">
            <w:pPr>
              <w:pStyle w:val="StyleProp"/>
              <w:rPr>
                <w:color w:val="000000" w:themeColor="text1"/>
                <w:szCs w:val="18"/>
              </w:rPr>
            </w:pPr>
          </w:p>
        </w:tc>
        <w:tc>
          <w:tcPr>
            <w:tcW w:w="1987" w:type="dxa"/>
          </w:tcPr>
          <w:p w14:paraId="43AC7FAF" w14:textId="77777777" w:rsidR="008F1775" w:rsidRPr="00286216" w:rsidRDefault="008F1775" w:rsidP="008F1775">
            <w:pPr>
              <w:pStyle w:val="StyleWisnow"/>
              <w:rPr>
                <w:color w:val="000000" w:themeColor="text1"/>
              </w:rPr>
            </w:pPr>
          </w:p>
        </w:tc>
        <w:tc>
          <w:tcPr>
            <w:tcW w:w="4818" w:type="dxa"/>
          </w:tcPr>
          <w:p w14:paraId="4BAB26FA" w14:textId="77777777" w:rsidR="008F1775" w:rsidRPr="00286216" w:rsidRDefault="008F1775" w:rsidP="008F1775">
            <w:pPr>
              <w:pStyle w:val="StyleZakonu"/>
              <w:rPr>
                <w:color w:val="000000" w:themeColor="text1"/>
              </w:rPr>
            </w:pPr>
          </w:p>
        </w:tc>
      </w:tr>
      <w:tr w:rsidR="008F1775" w:rsidRPr="00286216" w14:paraId="1685CC69" w14:textId="77777777" w:rsidTr="00091AA5">
        <w:tc>
          <w:tcPr>
            <w:tcW w:w="576" w:type="dxa"/>
          </w:tcPr>
          <w:p w14:paraId="14DB52A0" w14:textId="77777777" w:rsidR="008F1775" w:rsidRPr="00286216" w:rsidRDefault="008F1775" w:rsidP="008F1775">
            <w:pPr>
              <w:pStyle w:val="StyleWisnow"/>
              <w:rPr>
                <w:color w:val="000000" w:themeColor="text1"/>
              </w:rPr>
            </w:pPr>
            <w:bookmarkStart w:id="3770" w:name="n3898" w:colFirst="0" w:colLast="0"/>
            <w:bookmarkEnd w:id="3769"/>
            <w:r w:rsidRPr="00286216">
              <w:rPr>
                <w:color w:val="000000" w:themeColor="text1"/>
              </w:rPr>
              <w:t>3898.</w:t>
            </w:r>
          </w:p>
        </w:tc>
        <w:tc>
          <w:tcPr>
            <w:tcW w:w="4818" w:type="dxa"/>
          </w:tcPr>
          <w:p w14:paraId="3CFD91E7" w14:textId="77777777" w:rsidR="008F1775" w:rsidRPr="00286216" w:rsidRDefault="008F1775" w:rsidP="008F1775">
            <w:pPr>
              <w:pStyle w:val="StyleZakonu"/>
              <w:rPr>
                <w:color w:val="000000" w:themeColor="text1"/>
                <w:spacing w:val="-2"/>
              </w:rPr>
            </w:pPr>
            <w:r w:rsidRPr="00286216">
              <w:rPr>
                <w:color w:val="000000" w:themeColor="text1"/>
                <w:spacing w:val="-2"/>
              </w:rPr>
              <w:t>у період з 1 січня по 31 грудня 2024 року з коефіцієнтом 0, 8.</w:t>
            </w:r>
          </w:p>
        </w:tc>
        <w:tc>
          <w:tcPr>
            <w:tcW w:w="3686" w:type="dxa"/>
          </w:tcPr>
          <w:p w14:paraId="66D3210C" w14:textId="77777777" w:rsidR="008F1775" w:rsidRPr="00286216" w:rsidRDefault="008F1775" w:rsidP="008F1775">
            <w:pPr>
              <w:pStyle w:val="StyleProp"/>
              <w:rPr>
                <w:color w:val="000000" w:themeColor="text1"/>
                <w:szCs w:val="18"/>
              </w:rPr>
            </w:pPr>
          </w:p>
        </w:tc>
        <w:tc>
          <w:tcPr>
            <w:tcW w:w="1987" w:type="dxa"/>
          </w:tcPr>
          <w:p w14:paraId="4CA7AE83" w14:textId="77777777" w:rsidR="008F1775" w:rsidRPr="00286216" w:rsidRDefault="008F1775" w:rsidP="008F1775">
            <w:pPr>
              <w:pStyle w:val="StyleWisnow"/>
              <w:rPr>
                <w:color w:val="000000" w:themeColor="text1"/>
              </w:rPr>
            </w:pPr>
          </w:p>
        </w:tc>
        <w:tc>
          <w:tcPr>
            <w:tcW w:w="4818" w:type="dxa"/>
          </w:tcPr>
          <w:p w14:paraId="57DEB9AB" w14:textId="77777777" w:rsidR="008F1775" w:rsidRPr="00286216" w:rsidRDefault="008F1775" w:rsidP="008F1775">
            <w:pPr>
              <w:pStyle w:val="StyleZakonu"/>
              <w:rPr>
                <w:color w:val="000000" w:themeColor="text1"/>
              </w:rPr>
            </w:pPr>
          </w:p>
        </w:tc>
      </w:tr>
      <w:tr w:rsidR="008F1775" w:rsidRPr="00286216" w14:paraId="0FF5E85E" w14:textId="77777777" w:rsidTr="00091AA5">
        <w:tc>
          <w:tcPr>
            <w:tcW w:w="576" w:type="dxa"/>
          </w:tcPr>
          <w:p w14:paraId="25FF9237" w14:textId="77777777" w:rsidR="008F1775" w:rsidRPr="00286216" w:rsidRDefault="008F1775" w:rsidP="008F1775">
            <w:pPr>
              <w:pStyle w:val="StyleWisnow"/>
              <w:rPr>
                <w:color w:val="000000" w:themeColor="text1"/>
              </w:rPr>
            </w:pPr>
            <w:bookmarkStart w:id="3771" w:name="n3899" w:colFirst="0" w:colLast="0"/>
            <w:bookmarkEnd w:id="3770"/>
            <w:r w:rsidRPr="00286216">
              <w:rPr>
                <w:color w:val="000000" w:themeColor="text1"/>
              </w:rPr>
              <w:t>3899.</w:t>
            </w:r>
          </w:p>
        </w:tc>
        <w:tc>
          <w:tcPr>
            <w:tcW w:w="4818" w:type="dxa"/>
          </w:tcPr>
          <w:p w14:paraId="5899190D" w14:textId="77777777" w:rsidR="008F1775" w:rsidRPr="00286216" w:rsidRDefault="008F1775" w:rsidP="008F1775">
            <w:pPr>
              <w:pStyle w:val="StyleZakonu"/>
              <w:rPr>
                <w:color w:val="000000" w:themeColor="text1"/>
              </w:rPr>
            </w:pPr>
            <w:r w:rsidRPr="00286216">
              <w:rPr>
                <w:color w:val="000000" w:themeColor="text1"/>
              </w:rPr>
              <w:t>Вимоги до початкового капіталу інвестиційної фірми, передбачені частиною 3 статті 42 Закону України "Про ринки капіталу та організовані товарні ринки", застосовуються на період до 1 січня 2023 року з коефіцієнтом 0,5.</w:t>
            </w:r>
          </w:p>
        </w:tc>
        <w:tc>
          <w:tcPr>
            <w:tcW w:w="3686" w:type="dxa"/>
          </w:tcPr>
          <w:p w14:paraId="0462F619" w14:textId="185D37CE"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1543</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6387BF8C" w14:textId="77777777" w:rsidR="008F1775" w:rsidRPr="00286216" w:rsidRDefault="008F1775" w:rsidP="008F1775">
            <w:pPr>
              <w:pStyle w:val="StyleProp"/>
              <w:rPr>
                <w:color w:val="000000" w:themeColor="text1"/>
                <w:szCs w:val="18"/>
              </w:rPr>
            </w:pPr>
            <w:r w:rsidRPr="00286216">
              <w:rPr>
                <w:color w:val="000000" w:themeColor="text1"/>
                <w:szCs w:val="18"/>
              </w:rPr>
              <w:t>У абзаці шостому пункту 2 розділу 4 Законопроекту цифру «42» замінити цифрою «43».</w:t>
            </w:r>
          </w:p>
        </w:tc>
        <w:tc>
          <w:tcPr>
            <w:tcW w:w="1987" w:type="dxa"/>
          </w:tcPr>
          <w:p w14:paraId="69CC4CFA" w14:textId="77777777" w:rsidR="008F1775" w:rsidRPr="00286216" w:rsidRDefault="008F1775" w:rsidP="008F1775">
            <w:pPr>
              <w:pStyle w:val="StyleWisnow"/>
              <w:rPr>
                <w:color w:val="000000" w:themeColor="text1"/>
              </w:rPr>
            </w:pPr>
            <w:r w:rsidRPr="00286216">
              <w:rPr>
                <w:color w:val="000000" w:themeColor="text1"/>
              </w:rPr>
              <w:t>Враховано по суті</w:t>
            </w:r>
          </w:p>
        </w:tc>
        <w:tc>
          <w:tcPr>
            <w:tcW w:w="4818" w:type="dxa"/>
          </w:tcPr>
          <w:p w14:paraId="5DB1FAF8" w14:textId="77777777" w:rsidR="008F1775" w:rsidRPr="00286216" w:rsidRDefault="008F1775" w:rsidP="008F1775">
            <w:pPr>
              <w:pStyle w:val="StyleZakonu"/>
              <w:rPr>
                <w:color w:val="000000" w:themeColor="text1"/>
              </w:rPr>
            </w:pPr>
          </w:p>
        </w:tc>
      </w:tr>
      <w:tr w:rsidR="008F1775" w:rsidRPr="00286216" w14:paraId="16B9A3F6" w14:textId="77777777" w:rsidTr="00091AA5">
        <w:tc>
          <w:tcPr>
            <w:tcW w:w="576" w:type="dxa"/>
          </w:tcPr>
          <w:p w14:paraId="67E023AE" w14:textId="77777777" w:rsidR="008F1775" w:rsidRPr="00286216" w:rsidRDefault="008F1775" w:rsidP="008F1775">
            <w:pPr>
              <w:pStyle w:val="StyleWisnow"/>
              <w:rPr>
                <w:color w:val="000000" w:themeColor="text1"/>
              </w:rPr>
            </w:pPr>
            <w:bookmarkStart w:id="3772" w:name="n3900" w:colFirst="0" w:colLast="0"/>
            <w:bookmarkEnd w:id="3771"/>
            <w:r w:rsidRPr="00286216">
              <w:rPr>
                <w:color w:val="000000" w:themeColor="text1"/>
              </w:rPr>
              <w:t>3900.</w:t>
            </w:r>
          </w:p>
        </w:tc>
        <w:tc>
          <w:tcPr>
            <w:tcW w:w="4818" w:type="dxa"/>
          </w:tcPr>
          <w:p w14:paraId="1CC5B9A2" w14:textId="77777777" w:rsidR="008F1775" w:rsidRPr="00286216" w:rsidRDefault="008F1775" w:rsidP="008F1775">
            <w:pPr>
              <w:pStyle w:val="StyleZakonu"/>
              <w:rPr>
                <w:color w:val="000000" w:themeColor="text1"/>
              </w:rPr>
            </w:pPr>
            <w:r w:rsidRPr="00286216">
              <w:rPr>
                <w:color w:val="000000" w:themeColor="text1"/>
              </w:rPr>
              <w:t>3. Положення Закону України "Про ринки капіталу та організовані товарні ринки" застосовуються до ринку електричної енергії та його учасників з 1 січня 2023 року.</w:t>
            </w:r>
          </w:p>
        </w:tc>
        <w:tc>
          <w:tcPr>
            <w:tcW w:w="3686" w:type="dxa"/>
          </w:tcPr>
          <w:p w14:paraId="686F3326" w14:textId="6DB763FB" w:rsidR="008F1775" w:rsidRPr="00286216" w:rsidRDefault="008F1775" w:rsidP="008F1775">
            <w:pPr>
              <w:spacing w:line="220" w:lineRule="exact"/>
              <w:rPr>
                <w:b/>
                <w:i/>
                <w:color w:val="000000" w:themeColor="text1"/>
                <w:spacing w:val="-5"/>
                <w:sz w:val="18"/>
                <w:u w:val="single"/>
              </w:rPr>
            </w:pPr>
            <w:r w:rsidRPr="00286216">
              <w:rPr>
                <w:b/>
                <w:i/>
                <w:color w:val="000000" w:themeColor="text1"/>
                <w:spacing w:val="-5"/>
                <w:sz w:val="18"/>
                <w:u w:val="single"/>
              </w:rPr>
              <w:t>-</w:t>
            </w:r>
            <w:r w:rsidRPr="00286216">
              <w:rPr>
                <w:b/>
                <w:i/>
                <w:color w:val="000000" w:themeColor="text1"/>
                <w:spacing w:val="-5"/>
                <w:sz w:val="18"/>
                <w:u w:val="single"/>
              </w:rPr>
              <w:fldChar w:fldCharType="begin"/>
            </w:r>
            <w:r w:rsidRPr="00286216">
              <w:rPr>
                <w:b/>
                <w:i/>
                <w:color w:val="000000" w:themeColor="text1"/>
                <w:spacing w:val="-5"/>
                <w:sz w:val="18"/>
                <w:u w:val="single"/>
              </w:rPr>
              <w:instrText xml:space="preserve"> SEQ aa </w:instrText>
            </w:r>
            <w:r w:rsidRPr="00286216">
              <w:rPr>
                <w:b/>
                <w:i/>
                <w:color w:val="000000" w:themeColor="text1"/>
                <w:spacing w:val="-5"/>
                <w:sz w:val="18"/>
                <w:u w:val="single"/>
              </w:rPr>
              <w:fldChar w:fldCharType="separate"/>
            </w:r>
            <w:r w:rsidR="00C46B29">
              <w:rPr>
                <w:b/>
                <w:i/>
                <w:noProof/>
                <w:color w:val="000000" w:themeColor="text1"/>
                <w:spacing w:val="-5"/>
                <w:sz w:val="18"/>
                <w:u w:val="single"/>
              </w:rPr>
              <w:t>1544</w:t>
            </w:r>
            <w:r w:rsidRPr="00286216">
              <w:rPr>
                <w:b/>
                <w:i/>
                <w:color w:val="000000" w:themeColor="text1"/>
                <w:spacing w:val="-5"/>
                <w:sz w:val="18"/>
                <w:u w:val="single"/>
              </w:rPr>
              <w:fldChar w:fldCharType="end"/>
            </w:r>
            <w:r w:rsidRPr="00286216">
              <w:rPr>
                <w:b/>
                <w:i/>
                <w:color w:val="000000" w:themeColor="text1"/>
                <w:spacing w:val="-5"/>
                <w:sz w:val="18"/>
                <w:u w:val="single"/>
              </w:rPr>
              <w:t>-Н.д.Бєлькова О.В. (Реєстр.картка №403)</w:t>
            </w:r>
          </w:p>
          <w:p w14:paraId="0D0A1498" w14:textId="77777777" w:rsidR="008F1775" w:rsidRPr="00286216" w:rsidRDefault="008F1775" w:rsidP="008F1775">
            <w:pPr>
              <w:pStyle w:val="StyleAwt"/>
              <w:rPr>
                <w:color w:val="000000" w:themeColor="text1"/>
                <w:spacing w:val="-10"/>
              </w:rPr>
            </w:pPr>
            <w:r w:rsidRPr="00286216">
              <w:rPr>
                <w:color w:val="000000" w:themeColor="text1"/>
                <w:spacing w:val="-10"/>
              </w:rPr>
              <w:t xml:space="preserve">          Н.д.Гетманцев Д.О.(Реєстр.картка №245)</w:t>
            </w:r>
          </w:p>
          <w:p w14:paraId="56C4D240" w14:textId="77777777" w:rsidR="008F1775" w:rsidRPr="00286216" w:rsidRDefault="008F1775" w:rsidP="008F1775">
            <w:pPr>
              <w:pStyle w:val="StyleProp"/>
              <w:spacing w:line="180" w:lineRule="exact"/>
              <w:rPr>
                <w:color w:val="000000" w:themeColor="text1"/>
              </w:rPr>
            </w:pPr>
            <w:r w:rsidRPr="00286216">
              <w:rPr>
                <w:color w:val="000000" w:themeColor="text1"/>
              </w:rPr>
              <w:t>Пункт 3 розділу Прикінцеві положення застосування Закону до ринку електричної енергії виключити.</w:t>
            </w:r>
          </w:p>
          <w:p w14:paraId="57C2C295" w14:textId="65259431"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1545</w:t>
            </w:r>
            <w:r w:rsidRPr="00286216">
              <w:rPr>
                <w:color w:val="000000" w:themeColor="text1"/>
                <w:spacing w:val="-2"/>
              </w:rPr>
              <w:fldChar w:fldCharType="end"/>
            </w:r>
            <w:r w:rsidRPr="00286216">
              <w:rPr>
                <w:color w:val="000000" w:themeColor="text1"/>
                <w:spacing w:val="-2"/>
              </w:rPr>
              <w:t>-Н.д.Шахов С.В. (Реєстр.картка №114)</w:t>
            </w:r>
          </w:p>
          <w:p w14:paraId="65AFA618" w14:textId="77777777" w:rsidR="008F1775" w:rsidRPr="00286216" w:rsidRDefault="008F1775" w:rsidP="008F1775">
            <w:pPr>
              <w:spacing w:line="180" w:lineRule="exact"/>
              <w:ind w:firstLine="227"/>
              <w:jc w:val="both"/>
              <w:rPr>
                <w:color w:val="000000" w:themeColor="text1"/>
                <w:spacing w:val="-2"/>
                <w:sz w:val="18"/>
              </w:rPr>
            </w:pPr>
            <w:r w:rsidRPr="00286216">
              <w:rPr>
                <w:color w:val="000000" w:themeColor="text1"/>
                <w:spacing w:val="-2"/>
                <w:sz w:val="18"/>
              </w:rPr>
              <w:t>Пункт 3 розділу 4 викласти у такій редакції:</w:t>
            </w:r>
          </w:p>
          <w:p w14:paraId="1E83CA00"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"3. Положення Закону України «Про ринки капіталу та організовані товарні ринки» застосовуються до ринку електричної енергії та його учасників з 1 січня 2027 року".</w:t>
            </w:r>
          </w:p>
          <w:p w14:paraId="40E92F54" w14:textId="0771F024" w:rsidR="008F1775" w:rsidRPr="00286216" w:rsidRDefault="008F1775" w:rsidP="008F1775">
            <w:pPr>
              <w:pStyle w:val="StyleAwt"/>
              <w:rPr>
                <w:color w:val="000000" w:themeColor="text1"/>
              </w:rPr>
            </w:pPr>
            <w:r w:rsidRPr="00286216">
              <w:rPr>
                <w:color w:val="000000" w:themeColor="text1"/>
                <w:spacing w:val="-6"/>
                <w:szCs w:val="28"/>
              </w:rPr>
              <w:t>-</w:t>
            </w:r>
            <w:r w:rsidRPr="00286216">
              <w:rPr>
                <w:color w:val="000000" w:themeColor="text1"/>
                <w:spacing w:val="-6"/>
                <w:szCs w:val="28"/>
              </w:rPr>
              <w:fldChar w:fldCharType="begin"/>
            </w:r>
            <w:r w:rsidRPr="00286216">
              <w:rPr>
                <w:color w:val="000000" w:themeColor="text1"/>
                <w:spacing w:val="-6"/>
                <w:szCs w:val="28"/>
              </w:rPr>
              <w:instrText xml:space="preserve"> SEQ aa </w:instrText>
            </w:r>
            <w:r w:rsidRPr="00286216">
              <w:rPr>
                <w:color w:val="000000" w:themeColor="text1"/>
                <w:spacing w:val="-6"/>
                <w:szCs w:val="28"/>
              </w:rPr>
              <w:fldChar w:fldCharType="separate"/>
            </w:r>
            <w:r w:rsidR="00C46B29">
              <w:rPr>
                <w:noProof/>
                <w:color w:val="000000" w:themeColor="text1"/>
                <w:spacing w:val="-6"/>
                <w:szCs w:val="28"/>
              </w:rPr>
              <w:t>1546</w:t>
            </w:r>
            <w:r w:rsidRPr="00286216">
              <w:rPr>
                <w:color w:val="000000" w:themeColor="text1"/>
                <w:spacing w:val="-6"/>
                <w:szCs w:val="28"/>
              </w:rPr>
              <w:fldChar w:fldCharType="end"/>
            </w:r>
            <w:r w:rsidRPr="00286216">
              <w:rPr>
                <w:color w:val="000000" w:themeColor="text1"/>
                <w:spacing w:val="-6"/>
                <w:szCs w:val="28"/>
              </w:rPr>
              <w:t>-</w:t>
            </w:r>
            <w:r w:rsidRPr="00286216">
              <w:rPr>
                <w:color w:val="000000" w:themeColor="text1"/>
              </w:rPr>
              <w:t>Н.д.Гриб В.О. (Реєстр.картка №105)</w:t>
            </w:r>
          </w:p>
          <w:p w14:paraId="4CC96E60" w14:textId="77777777" w:rsidR="008F1775" w:rsidRPr="00286216" w:rsidRDefault="008F1775" w:rsidP="008F1775">
            <w:pPr>
              <w:pStyle w:val="StyleProp"/>
              <w:rPr>
                <w:color w:val="000000" w:themeColor="text1"/>
              </w:rPr>
            </w:pPr>
            <w:r w:rsidRPr="00286216">
              <w:rPr>
                <w:color w:val="000000" w:themeColor="text1"/>
              </w:rPr>
              <w:t>Виключити</w:t>
            </w:r>
          </w:p>
        </w:tc>
        <w:tc>
          <w:tcPr>
            <w:tcW w:w="1987" w:type="dxa"/>
          </w:tcPr>
          <w:p w14:paraId="669C2FF1" w14:textId="77777777" w:rsidR="008F1775" w:rsidRPr="00286216" w:rsidRDefault="008F1775" w:rsidP="008F1775">
            <w:pPr>
              <w:pStyle w:val="StyleWisnow"/>
              <w:rPr>
                <w:color w:val="000000" w:themeColor="text1"/>
              </w:rPr>
            </w:pPr>
            <w:r w:rsidRPr="00286216">
              <w:rPr>
                <w:color w:val="000000" w:themeColor="text1"/>
              </w:rPr>
              <w:t>Враховано</w:t>
            </w:r>
          </w:p>
          <w:p w14:paraId="10E80CF1" w14:textId="77777777" w:rsidR="008F1775" w:rsidRPr="00286216" w:rsidRDefault="008F1775" w:rsidP="008F1775">
            <w:pPr>
              <w:pStyle w:val="StyleWisnow"/>
              <w:rPr>
                <w:color w:val="000000" w:themeColor="text1"/>
              </w:rPr>
            </w:pPr>
          </w:p>
          <w:p w14:paraId="31452B9B" w14:textId="6E2A1AFB" w:rsidR="008F1775" w:rsidRPr="00286216" w:rsidRDefault="008F1775" w:rsidP="008F1775">
            <w:pPr>
              <w:pStyle w:val="StyleWisnow"/>
              <w:rPr>
                <w:color w:val="000000" w:themeColor="text1"/>
              </w:rPr>
            </w:pPr>
          </w:p>
          <w:p w14:paraId="6059FA78" w14:textId="77777777" w:rsidR="008F1775" w:rsidRPr="00286216" w:rsidRDefault="008F1775" w:rsidP="008F1775">
            <w:pPr>
              <w:pStyle w:val="StyleWisnow"/>
              <w:rPr>
                <w:color w:val="000000" w:themeColor="text1"/>
              </w:rPr>
            </w:pPr>
          </w:p>
          <w:p w14:paraId="4DCF69A5" w14:textId="77777777" w:rsidR="009D6B73" w:rsidRPr="00286216" w:rsidRDefault="009D6B73" w:rsidP="008F1775">
            <w:pPr>
              <w:pStyle w:val="StyleWisnow"/>
              <w:spacing w:line="180" w:lineRule="exact"/>
              <w:rPr>
                <w:color w:val="000000" w:themeColor="text1"/>
              </w:rPr>
            </w:pPr>
          </w:p>
          <w:p w14:paraId="23623673" w14:textId="519EA291" w:rsidR="008F1775" w:rsidRPr="00286216" w:rsidRDefault="008F1775" w:rsidP="008F1775">
            <w:pPr>
              <w:pStyle w:val="StyleWisnow"/>
              <w:spacing w:line="180" w:lineRule="exact"/>
              <w:rPr>
                <w:color w:val="000000" w:themeColor="text1"/>
              </w:rPr>
            </w:pPr>
            <w:r w:rsidRPr="00286216">
              <w:rPr>
                <w:color w:val="000000" w:themeColor="text1"/>
              </w:rPr>
              <w:t>Відхилено</w:t>
            </w:r>
          </w:p>
          <w:p w14:paraId="09CFA0E3" w14:textId="7652F73D" w:rsidR="008F1775" w:rsidRPr="00286216" w:rsidRDefault="008F1775" w:rsidP="008F1775">
            <w:pPr>
              <w:pStyle w:val="StyleWisnow"/>
              <w:spacing w:line="180" w:lineRule="exact"/>
              <w:rPr>
                <w:color w:val="000000" w:themeColor="text1"/>
              </w:rPr>
            </w:pPr>
            <w:r w:rsidRPr="00286216">
              <w:rPr>
                <w:color w:val="000000" w:themeColor="text1"/>
              </w:rPr>
              <w:t>у зв’язку зі зміною редакції</w:t>
            </w:r>
          </w:p>
          <w:p w14:paraId="7D5BE666" w14:textId="7EDA6BCC" w:rsidR="008F1775" w:rsidRPr="00286216" w:rsidRDefault="008F1775" w:rsidP="008F1775">
            <w:pPr>
              <w:pStyle w:val="StyleWisnow"/>
              <w:spacing w:line="160" w:lineRule="exact"/>
              <w:rPr>
                <w:color w:val="000000" w:themeColor="text1"/>
              </w:rPr>
            </w:pPr>
          </w:p>
          <w:p w14:paraId="1C667762" w14:textId="00A7E9E6" w:rsidR="008F1775" w:rsidRPr="00286216" w:rsidRDefault="008F1775" w:rsidP="008F1775">
            <w:pPr>
              <w:pStyle w:val="StyleWisnow"/>
              <w:spacing w:line="160" w:lineRule="exact"/>
              <w:rPr>
                <w:color w:val="000000" w:themeColor="text1"/>
              </w:rPr>
            </w:pPr>
          </w:p>
          <w:p w14:paraId="44C4D713" w14:textId="12E70688" w:rsidR="008F1775" w:rsidRPr="00286216" w:rsidRDefault="008F1775" w:rsidP="008F1775">
            <w:pPr>
              <w:pStyle w:val="StyleWisnow"/>
              <w:spacing w:line="160" w:lineRule="exact"/>
              <w:rPr>
                <w:color w:val="000000" w:themeColor="text1"/>
              </w:rPr>
            </w:pPr>
          </w:p>
          <w:p w14:paraId="685A598E" w14:textId="1C40EF08" w:rsidR="008F1775" w:rsidRPr="00286216" w:rsidRDefault="008F1775" w:rsidP="008F1775">
            <w:pPr>
              <w:pStyle w:val="StyleWisnow"/>
              <w:rPr>
                <w:color w:val="000000" w:themeColor="text1"/>
              </w:rPr>
            </w:pPr>
            <w:r w:rsidRPr="00286216">
              <w:rPr>
                <w:color w:val="000000" w:themeColor="text1"/>
              </w:rPr>
              <w:t>Враховано</w:t>
            </w:r>
          </w:p>
        </w:tc>
        <w:tc>
          <w:tcPr>
            <w:tcW w:w="4818" w:type="dxa"/>
          </w:tcPr>
          <w:p w14:paraId="6D2A9C43" w14:textId="77777777" w:rsidR="008F1775" w:rsidRPr="00286216" w:rsidRDefault="008F1775" w:rsidP="008F1775">
            <w:pPr>
              <w:pStyle w:val="StyleZakonu"/>
              <w:rPr>
                <w:color w:val="000000" w:themeColor="text1"/>
              </w:rPr>
            </w:pPr>
          </w:p>
        </w:tc>
      </w:tr>
      <w:tr w:rsidR="008F1775" w:rsidRPr="00286216" w14:paraId="756288D3" w14:textId="77777777" w:rsidTr="00091AA5">
        <w:tc>
          <w:tcPr>
            <w:tcW w:w="576" w:type="dxa"/>
          </w:tcPr>
          <w:p w14:paraId="6AD3E450" w14:textId="77777777" w:rsidR="008F1775" w:rsidRPr="00286216" w:rsidRDefault="008F1775" w:rsidP="008F1775">
            <w:pPr>
              <w:pStyle w:val="StyleWisnow"/>
              <w:rPr>
                <w:color w:val="000000" w:themeColor="text1"/>
              </w:rPr>
            </w:pPr>
            <w:bookmarkStart w:id="3773" w:name="n3901" w:colFirst="0" w:colLast="0"/>
            <w:bookmarkEnd w:id="3772"/>
            <w:r w:rsidRPr="00286216">
              <w:rPr>
                <w:color w:val="000000" w:themeColor="text1"/>
              </w:rPr>
              <w:t>3901.</w:t>
            </w:r>
          </w:p>
        </w:tc>
        <w:tc>
          <w:tcPr>
            <w:tcW w:w="4818" w:type="dxa"/>
          </w:tcPr>
          <w:p w14:paraId="5DEAC9FF" w14:textId="77777777" w:rsidR="008F1775" w:rsidRPr="00286216" w:rsidRDefault="008F1775" w:rsidP="008F1775">
            <w:pPr>
              <w:pStyle w:val="StyleZakonu"/>
              <w:rPr>
                <w:color w:val="000000" w:themeColor="text1"/>
              </w:rPr>
            </w:pPr>
            <w:r w:rsidRPr="00286216">
              <w:rPr>
                <w:color w:val="000000" w:themeColor="text1"/>
              </w:rPr>
              <w:t>4. З дня набрання чинності цим Законом визнати таким, що втратив чинність Закон України "Про приватизаційні папери" (Відомості Верховної Ради України, 2004 р., № 24, ст. 352).</w:t>
            </w:r>
          </w:p>
        </w:tc>
        <w:tc>
          <w:tcPr>
            <w:tcW w:w="3686" w:type="dxa"/>
          </w:tcPr>
          <w:p w14:paraId="13541C13" w14:textId="77777777" w:rsidR="008F1775" w:rsidRPr="00286216" w:rsidRDefault="008F1775" w:rsidP="008F1775">
            <w:pPr>
              <w:spacing w:line="200" w:lineRule="exact"/>
              <w:ind w:firstLine="227"/>
              <w:jc w:val="both"/>
              <w:rPr>
                <w:color w:val="000000" w:themeColor="text1"/>
                <w:sz w:val="18"/>
              </w:rPr>
            </w:pPr>
          </w:p>
        </w:tc>
        <w:tc>
          <w:tcPr>
            <w:tcW w:w="1987" w:type="dxa"/>
          </w:tcPr>
          <w:p w14:paraId="1CC5AF9D" w14:textId="77777777" w:rsidR="008F1775" w:rsidRPr="00286216" w:rsidRDefault="008F1775" w:rsidP="008F1775">
            <w:pPr>
              <w:pStyle w:val="StyleWisnow"/>
              <w:rPr>
                <w:color w:val="000000" w:themeColor="text1"/>
              </w:rPr>
            </w:pPr>
          </w:p>
        </w:tc>
        <w:tc>
          <w:tcPr>
            <w:tcW w:w="4818" w:type="dxa"/>
          </w:tcPr>
          <w:p w14:paraId="66EEE20A" w14:textId="77777777" w:rsidR="008F1775" w:rsidRPr="00286216" w:rsidRDefault="008F1775" w:rsidP="008F1775">
            <w:pPr>
              <w:pStyle w:val="StyleZakonu"/>
              <w:rPr>
                <w:color w:val="000000" w:themeColor="text1"/>
              </w:rPr>
            </w:pPr>
          </w:p>
        </w:tc>
      </w:tr>
      <w:tr w:rsidR="008F1775" w:rsidRPr="00286216" w14:paraId="7367363B" w14:textId="77777777" w:rsidTr="00091AA5">
        <w:tc>
          <w:tcPr>
            <w:tcW w:w="576" w:type="dxa"/>
          </w:tcPr>
          <w:p w14:paraId="6027F5C5" w14:textId="77777777" w:rsidR="008F1775" w:rsidRPr="00286216" w:rsidRDefault="008F1775" w:rsidP="008F1775">
            <w:pPr>
              <w:pStyle w:val="StyleWisnow"/>
              <w:rPr>
                <w:color w:val="000000" w:themeColor="text1"/>
              </w:rPr>
            </w:pPr>
            <w:bookmarkStart w:id="3774" w:name="n3902" w:colFirst="0" w:colLast="0"/>
            <w:bookmarkEnd w:id="3773"/>
            <w:r w:rsidRPr="00286216">
              <w:rPr>
                <w:color w:val="000000" w:themeColor="text1"/>
              </w:rPr>
              <w:t>3902.</w:t>
            </w:r>
          </w:p>
        </w:tc>
        <w:tc>
          <w:tcPr>
            <w:tcW w:w="4818" w:type="dxa"/>
          </w:tcPr>
          <w:p w14:paraId="780C6ECA" w14:textId="77777777" w:rsidR="008F1775" w:rsidRPr="00286216" w:rsidRDefault="008F1775" w:rsidP="008F1775">
            <w:pPr>
              <w:pStyle w:val="StyleZakonu"/>
              <w:rPr>
                <w:color w:val="000000" w:themeColor="text1"/>
              </w:rPr>
            </w:pPr>
            <w:bookmarkStart w:id="3775" w:name="_Ref18401331"/>
            <w:r w:rsidRPr="00286216">
              <w:rPr>
                <w:color w:val="000000" w:themeColor="text1"/>
              </w:rPr>
              <w:t>5. Національній комісії з цінних паперів та фондового ринку до дня набрання чинності цим Законом розробити та затвердити нормативно-правові акти, передбачені цим Законом.</w:t>
            </w:r>
            <w:bookmarkEnd w:id="3775"/>
          </w:p>
        </w:tc>
        <w:tc>
          <w:tcPr>
            <w:tcW w:w="3686" w:type="dxa"/>
          </w:tcPr>
          <w:p w14:paraId="10032EA0" w14:textId="77777777" w:rsidR="008F1775" w:rsidRPr="00286216" w:rsidRDefault="008F1775" w:rsidP="008F1775">
            <w:pPr>
              <w:pStyle w:val="StyleProp"/>
              <w:rPr>
                <w:color w:val="000000" w:themeColor="text1"/>
              </w:rPr>
            </w:pPr>
          </w:p>
        </w:tc>
        <w:tc>
          <w:tcPr>
            <w:tcW w:w="1987" w:type="dxa"/>
          </w:tcPr>
          <w:p w14:paraId="652071AF" w14:textId="77777777" w:rsidR="008F1775" w:rsidRPr="00286216" w:rsidRDefault="008F1775" w:rsidP="008F1775">
            <w:pPr>
              <w:pStyle w:val="StyleWisnow"/>
              <w:rPr>
                <w:color w:val="000000" w:themeColor="text1"/>
              </w:rPr>
            </w:pPr>
          </w:p>
        </w:tc>
        <w:tc>
          <w:tcPr>
            <w:tcW w:w="4818" w:type="dxa"/>
          </w:tcPr>
          <w:p w14:paraId="28B6444E" w14:textId="77777777" w:rsidR="008F1775" w:rsidRPr="00286216" w:rsidRDefault="008F1775" w:rsidP="008F1775">
            <w:pPr>
              <w:pStyle w:val="StyleZakonu"/>
              <w:rPr>
                <w:color w:val="000000" w:themeColor="text1"/>
              </w:rPr>
            </w:pPr>
          </w:p>
        </w:tc>
      </w:tr>
      <w:tr w:rsidR="008F1775" w:rsidRPr="00286216" w14:paraId="189CB028" w14:textId="77777777" w:rsidTr="00091AA5">
        <w:tc>
          <w:tcPr>
            <w:tcW w:w="576" w:type="dxa"/>
          </w:tcPr>
          <w:p w14:paraId="599863BA" w14:textId="77777777" w:rsidR="008F1775" w:rsidRPr="00286216" w:rsidRDefault="008F1775" w:rsidP="008F1775">
            <w:pPr>
              <w:pStyle w:val="StyleWisnow"/>
              <w:rPr>
                <w:color w:val="000000" w:themeColor="text1"/>
              </w:rPr>
            </w:pPr>
            <w:bookmarkStart w:id="3776" w:name="n3903" w:colFirst="0" w:colLast="0"/>
            <w:bookmarkEnd w:id="3774"/>
            <w:r w:rsidRPr="00286216">
              <w:rPr>
                <w:color w:val="000000" w:themeColor="text1"/>
              </w:rPr>
              <w:t>3903.</w:t>
            </w:r>
          </w:p>
        </w:tc>
        <w:tc>
          <w:tcPr>
            <w:tcW w:w="4818" w:type="dxa"/>
          </w:tcPr>
          <w:p w14:paraId="4636BECC" w14:textId="77777777" w:rsidR="008F1775" w:rsidRPr="00286216" w:rsidRDefault="008F1775" w:rsidP="008F1775">
            <w:pPr>
              <w:pStyle w:val="StyleZakonu"/>
              <w:rPr>
                <w:color w:val="000000" w:themeColor="text1"/>
              </w:rPr>
            </w:pPr>
            <w:r w:rsidRPr="00286216">
              <w:rPr>
                <w:color w:val="000000" w:themeColor="text1"/>
              </w:rPr>
              <w:t xml:space="preserve">Національній комісії з цінних паперів та фондового ринку до 1 липня 2020 розробити та затвердити нормативно-правові акти, необхідні для </w:t>
            </w:r>
            <w:r w:rsidRPr="00286216">
              <w:rPr>
                <w:color w:val="000000" w:themeColor="text1"/>
              </w:rPr>
              <w:lastRenderedPageBreak/>
              <w:t>видачі ліцензій на провадження діяльності з організації торгівлі продукцією.</w:t>
            </w:r>
          </w:p>
        </w:tc>
        <w:tc>
          <w:tcPr>
            <w:tcW w:w="3686" w:type="dxa"/>
          </w:tcPr>
          <w:p w14:paraId="3D4264FC" w14:textId="24BC9A59" w:rsidR="008F1775" w:rsidRPr="00286216" w:rsidRDefault="008F1775" w:rsidP="008F1775">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1547</w:t>
            </w:r>
            <w:r w:rsidRPr="00286216">
              <w:rPr>
                <w:color w:val="000000" w:themeColor="text1"/>
                <w:spacing w:val="-2"/>
              </w:rPr>
              <w:fldChar w:fldCharType="end"/>
            </w:r>
            <w:r w:rsidRPr="00286216">
              <w:rPr>
                <w:color w:val="000000" w:themeColor="text1"/>
                <w:spacing w:val="-2"/>
              </w:rPr>
              <w:t>-Н.д.Шахов С.В. (Реєстр.картка №114)</w:t>
            </w:r>
          </w:p>
          <w:p w14:paraId="3728FF53" w14:textId="77777777" w:rsidR="008F1775" w:rsidRPr="00286216" w:rsidRDefault="008F1775" w:rsidP="008F1775">
            <w:pPr>
              <w:pStyle w:val="StyleProp"/>
              <w:rPr>
                <w:color w:val="000000" w:themeColor="text1"/>
              </w:rPr>
            </w:pPr>
            <w:r w:rsidRPr="00286216">
              <w:rPr>
                <w:color w:val="000000" w:themeColor="text1"/>
              </w:rPr>
              <w:t>Абзац другий пункту 5 виключити.</w:t>
            </w:r>
          </w:p>
        </w:tc>
        <w:tc>
          <w:tcPr>
            <w:tcW w:w="1987" w:type="dxa"/>
          </w:tcPr>
          <w:p w14:paraId="3AD7DC95" w14:textId="77777777" w:rsidR="008F1775" w:rsidRPr="00286216" w:rsidRDefault="008F1775" w:rsidP="008F1775">
            <w:pPr>
              <w:pStyle w:val="StyleWisnow"/>
              <w:spacing w:line="180" w:lineRule="exact"/>
              <w:rPr>
                <w:color w:val="000000" w:themeColor="text1"/>
              </w:rPr>
            </w:pPr>
            <w:r w:rsidRPr="00286216">
              <w:rPr>
                <w:color w:val="000000" w:themeColor="text1"/>
              </w:rPr>
              <w:t>Відхилено</w:t>
            </w:r>
          </w:p>
          <w:p w14:paraId="06361A46" w14:textId="52167AA5" w:rsidR="008F1775" w:rsidRPr="00286216" w:rsidRDefault="008F1775" w:rsidP="008F1775">
            <w:pPr>
              <w:pStyle w:val="StyleWisnow"/>
              <w:spacing w:line="180" w:lineRule="exact"/>
              <w:rPr>
                <w:color w:val="000000" w:themeColor="text1"/>
              </w:rPr>
            </w:pPr>
            <w:r w:rsidRPr="00286216">
              <w:rPr>
                <w:color w:val="000000" w:themeColor="text1"/>
              </w:rPr>
              <w:t>у зв’язку зі зміною редакції</w:t>
            </w:r>
          </w:p>
        </w:tc>
        <w:tc>
          <w:tcPr>
            <w:tcW w:w="4818" w:type="dxa"/>
          </w:tcPr>
          <w:p w14:paraId="649A903F" w14:textId="77777777" w:rsidR="008F1775" w:rsidRPr="00286216" w:rsidRDefault="008F1775" w:rsidP="008F1775">
            <w:pPr>
              <w:pStyle w:val="StyleZakonu"/>
              <w:rPr>
                <w:color w:val="000000" w:themeColor="text1"/>
              </w:rPr>
            </w:pPr>
          </w:p>
        </w:tc>
      </w:tr>
      <w:tr w:rsidR="008F1775" w:rsidRPr="00286216" w14:paraId="425E79DE" w14:textId="77777777" w:rsidTr="00091AA5">
        <w:tc>
          <w:tcPr>
            <w:tcW w:w="576" w:type="dxa"/>
          </w:tcPr>
          <w:p w14:paraId="4E1EBE41" w14:textId="77777777" w:rsidR="008F1775" w:rsidRPr="00286216" w:rsidRDefault="008F1775" w:rsidP="008F1775">
            <w:pPr>
              <w:pStyle w:val="StyleWisnow"/>
              <w:rPr>
                <w:color w:val="000000" w:themeColor="text1"/>
              </w:rPr>
            </w:pPr>
            <w:bookmarkStart w:id="3777" w:name="n3904" w:colFirst="0" w:colLast="0"/>
            <w:bookmarkEnd w:id="3776"/>
            <w:r w:rsidRPr="00286216">
              <w:rPr>
                <w:color w:val="000000" w:themeColor="text1"/>
              </w:rPr>
              <w:t>3904.</w:t>
            </w:r>
          </w:p>
        </w:tc>
        <w:tc>
          <w:tcPr>
            <w:tcW w:w="4818" w:type="dxa"/>
          </w:tcPr>
          <w:p w14:paraId="0C75A7A5" w14:textId="77777777" w:rsidR="008F1775" w:rsidRPr="00286216" w:rsidRDefault="008F1775" w:rsidP="008F1775">
            <w:pPr>
              <w:pStyle w:val="StyleZakonu"/>
              <w:rPr>
                <w:color w:val="000000" w:themeColor="text1"/>
              </w:rPr>
            </w:pPr>
            <w:bookmarkStart w:id="3778" w:name="_Ref18400979"/>
            <w:r w:rsidRPr="00286216">
              <w:rPr>
                <w:color w:val="000000" w:themeColor="text1"/>
              </w:rPr>
              <w:t>6. Ліцензії на провадження професійної діяльності на ринку цінних паперів з дня набрання чинності цим Законом вважаються переоформленими таким чином:</w:t>
            </w:r>
            <w:bookmarkEnd w:id="3778"/>
          </w:p>
        </w:tc>
        <w:tc>
          <w:tcPr>
            <w:tcW w:w="3686" w:type="dxa"/>
          </w:tcPr>
          <w:p w14:paraId="18AD2B3A" w14:textId="5180CF09"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1548</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660121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Пункт 6 розділу 4 Законопроекту викласти в </w:t>
            </w:r>
            <w:r w:rsidRPr="00286216">
              <w:rPr>
                <w:color w:val="000000" w:themeColor="text1"/>
                <w:spacing w:val="-2"/>
                <w:szCs w:val="18"/>
              </w:rPr>
              <w:t>такій редакції:</w:t>
            </w:r>
          </w:p>
          <w:p w14:paraId="644589DA" w14:textId="41AC4C82"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«6.Ліцензії на провадження професійної діяльності на ринку цінних паперів з дня набрання чинності цим Законом вважаються переоформленими таким чином:</w:t>
            </w:r>
          </w:p>
        </w:tc>
        <w:tc>
          <w:tcPr>
            <w:tcW w:w="1987" w:type="dxa"/>
          </w:tcPr>
          <w:p w14:paraId="5AC6575F" w14:textId="77777777" w:rsidR="008F1775" w:rsidRPr="00286216" w:rsidRDefault="008F1775" w:rsidP="008F1775">
            <w:pPr>
              <w:pStyle w:val="StyleWisnow"/>
              <w:spacing w:line="180" w:lineRule="exact"/>
              <w:rPr>
                <w:color w:val="000000" w:themeColor="text1"/>
              </w:rPr>
            </w:pPr>
            <w:r w:rsidRPr="00286216">
              <w:rPr>
                <w:color w:val="000000" w:themeColor="text1"/>
              </w:rPr>
              <w:t>Відхилено</w:t>
            </w:r>
          </w:p>
          <w:p w14:paraId="0612B5ED" w14:textId="436BE269" w:rsidR="008F1775" w:rsidRPr="00286216" w:rsidRDefault="008F1775" w:rsidP="008F1775">
            <w:pPr>
              <w:pStyle w:val="StyleWisnow"/>
              <w:spacing w:line="180" w:lineRule="exact"/>
              <w:rPr>
                <w:color w:val="000000" w:themeColor="text1"/>
              </w:rPr>
            </w:pPr>
            <w:r w:rsidRPr="00286216">
              <w:rPr>
                <w:color w:val="000000" w:themeColor="text1"/>
              </w:rPr>
              <w:t>у зв’язку з тим, що обіг є правовим явищем, а не видом діяльності</w:t>
            </w:r>
          </w:p>
        </w:tc>
        <w:tc>
          <w:tcPr>
            <w:tcW w:w="4818" w:type="dxa"/>
          </w:tcPr>
          <w:p w14:paraId="16D9F37B" w14:textId="77777777" w:rsidR="008F1775" w:rsidRPr="00286216" w:rsidRDefault="008F1775" w:rsidP="008F1775">
            <w:pPr>
              <w:pStyle w:val="StyleZakonu"/>
              <w:rPr>
                <w:color w:val="000000" w:themeColor="text1"/>
              </w:rPr>
            </w:pPr>
          </w:p>
        </w:tc>
      </w:tr>
      <w:tr w:rsidR="008F1775" w:rsidRPr="00286216" w14:paraId="50236995" w14:textId="77777777" w:rsidTr="00091AA5">
        <w:tc>
          <w:tcPr>
            <w:tcW w:w="576" w:type="dxa"/>
          </w:tcPr>
          <w:p w14:paraId="3D761EBA" w14:textId="77777777" w:rsidR="008F1775" w:rsidRPr="00286216" w:rsidRDefault="008F1775" w:rsidP="008F1775">
            <w:pPr>
              <w:pStyle w:val="StyleWisnow"/>
              <w:rPr>
                <w:color w:val="000000" w:themeColor="text1"/>
              </w:rPr>
            </w:pPr>
            <w:bookmarkStart w:id="3779" w:name="n3905" w:colFirst="0" w:colLast="0"/>
            <w:bookmarkEnd w:id="3777"/>
            <w:r w:rsidRPr="00286216">
              <w:rPr>
                <w:color w:val="000000" w:themeColor="text1"/>
              </w:rPr>
              <w:t>3905.</w:t>
            </w:r>
          </w:p>
        </w:tc>
        <w:tc>
          <w:tcPr>
            <w:tcW w:w="4818" w:type="dxa"/>
          </w:tcPr>
          <w:p w14:paraId="7785A0AE" w14:textId="77777777" w:rsidR="008F1775" w:rsidRPr="00286216" w:rsidRDefault="008F1775" w:rsidP="008F1775">
            <w:pPr>
              <w:pStyle w:val="StyleZakonu"/>
              <w:rPr>
                <w:color w:val="000000" w:themeColor="text1"/>
              </w:rPr>
            </w:pPr>
            <w:r w:rsidRPr="00286216">
              <w:rPr>
                <w:color w:val="000000" w:themeColor="text1"/>
              </w:rPr>
              <w:t>1) професійна діяльність на ринку цінних паперів - брокерська діяльність на професійну діяльність на ринках капіталу з торгівлі фінансовими інструментами, яка передбачає:</w:t>
            </w:r>
          </w:p>
        </w:tc>
        <w:tc>
          <w:tcPr>
            <w:tcW w:w="3686" w:type="dxa"/>
          </w:tcPr>
          <w:p w14:paraId="50F4625D"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1) професійна діяльність на ринку цінних паперів – брокерська діяльність на професійну діяльність на ринках капіталу з обігу фінансових інструментів, яка передбачає: </w:t>
            </w:r>
          </w:p>
          <w:p w14:paraId="4A6E5876"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а) субброкерську діяльність;</w:t>
            </w:r>
          </w:p>
          <w:p w14:paraId="5C722E9E" w14:textId="7F08BEB6"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б) брокерську діяльність;</w:t>
            </w:r>
          </w:p>
        </w:tc>
        <w:tc>
          <w:tcPr>
            <w:tcW w:w="1987" w:type="dxa"/>
          </w:tcPr>
          <w:p w14:paraId="23734389" w14:textId="77777777" w:rsidR="008F1775" w:rsidRPr="00286216" w:rsidRDefault="008F1775" w:rsidP="008F1775">
            <w:pPr>
              <w:pStyle w:val="StyleWisnow"/>
              <w:rPr>
                <w:color w:val="000000" w:themeColor="text1"/>
              </w:rPr>
            </w:pPr>
          </w:p>
        </w:tc>
        <w:tc>
          <w:tcPr>
            <w:tcW w:w="4818" w:type="dxa"/>
          </w:tcPr>
          <w:p w14:paraId="17F293F9" w14:textId="77777777" w:rsidR="008F1775" w:rsidRPr="00286216" w:rsidRDefault="008F1775" w:rsidP="008F1775">
            <w:pPr>
              <w:pStyle w:val="StyleZakonu"/>
              <w:rPr>
                <w:color w:val="000000" w:themeColor="text1"/>
              </w:rPr>
            </w:pPr>
          </w:p>
        </w:tc>
      </w:tr>
      <w:tr w:rsidR="008F1775" w:rsidRPr="00286216" w14:paraId="242C7703" w14:textId="77777777" w:rsidTr="00091AA5">
        <w:tc>
          <w:tcPr>
            <w:tcW w:w="576" w:type="dxa"/>
          </w:tcPr>
          <w:p w14:paraId="799666D2" w14:textId="77777777" w:rsidR="008F1775" w:rsidRPr="00286216" w:rsidRDefault="008F1775" w:rsidP="008F1775">
            <w:pPr>
              <w:pStyle w:val="StyleWisnow"/>
              <w:rPr>
                <w:color w:val="000000" w:themeColor="text1"/>
              </w:rPr>
            </w:pPr>
            <w:bookmarkStart w:id="3780" w:name="n3906" w:colFirst="0" w:colLast="0"/>
            <w:bookmarkEnd w:id="3779"/>
            <w:r w:rsidRPr="00286216">
              <w:rPr>
                <w:color w:val="000000" w:themeColor="text1"/>
              </w:rPr>
              <w:t>3906.</w:t>
            </w:r>
          </w:p>
        </w:tc>
        <w:tc>
          <w:tcPr>
            <w:tcW w:w="4818" w:type="dxa"/>
          </w:tcPr>
          <w:p w14:paraId="19F3837F" w14:textId="77777777" w:rsidR="008F1775" w:rsidRPr="00286216" w:rsidRDefault="008F1775" w:rsidP="008F1775">
            <w:pPr>
              <w:pStyle w:val="StyleZakonu"/>
              <w:rPr>
                <w:color w:val="000000" w:themeColor="text1"/>
              </w:rPr>
            </w:pPr>
            <w:r w:rsidRPr="00286216">
              <w:rPr>
                <w:color w:val="000000" w:themeColor="text1"/>
              </w:rPr>
              <w:t>а) субброкерську діяльність;</w:t>
            </w:r>
          </w:p>
        </w:tc>
        <w:tc>
          <w:tcPr>
            <w:tcW w:w="3686" w:type="dxa"/>
          </w:tcPr>
          <w:p w14:paraId="2E0866B2" w14:textId="03461D79"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2) професійна діяльність на ринку цінних паперів – дилерська діяльність на професійну діяльність на ринках капіталу з  обігу фінансових інструментів, яка передбачає дилерську діяльність;</w:t>
            </w:r>
          </w:p>
        </w:tc>
        <w:tc>
          <w:tcPr>
            <w:tcW w:w="1987" w:type="dxa"/>
          </w:tcPr>
          <w:p w14:paraId="1358800D" w14:textId="77777777" w:rsidR="008F1775" w:rsidRPr="00286216" w:rsidRDefault="008F1775" w:rsidP="008F1775">
            <w:pPr>
              <w:pStyle w:val="StyleWisnow"/>
              <w:rPr>
                <w:color w:val="000000" w:themeColor="text1"/>
              </w:rPr>
            </w:pPr>
          </w:p>
        </w:tc>
        <w:tc>
          <w:tcPr>
            <w:tcW w:w="4818" w:type="dxa"/>
          </w:tcPr>
          <w:p w14:paraId="45352DD7" w14:textId="77777777" w:rsidR="008F1775" w:rsidRPr="00286216" w:rsidRDefault="008F1775" w:rsidP="008F1775">
            <w:pPr>
              <w:pStyle w:val="StyleZakonu"/>
              <w:rPr>
                <w:color w:val="000000" w:themeColor="text1"/>
              </w:rPr>
            </w:pPr>
          </w:p>
        </w:tc>
      </w:tr>
      <w:tr w:rsidR="008F1775" w:rsidRPr="00286216" w14:paraId="1AD4F2C0" w14:textId="77777777" w:rsidTr="00091AA5">
        <w:tc>
          <w:tcPr>
            <w:tcW w:w="576" w:type="dxa"/>
          </w:tcPr>
          <w:p w14:paraId="58DE62C3" w14:textId="77777777" w:rsidR="008F1775" w:rsidRPr="00286216" w:rsidRDefault="008F1775" w:rsidP="008F1775">
            <w:pPr>
              <w:pStyle w:val="StyleWisnow"/>
              <w:rPr>
                <w:color w:val="000000" w:themeColor="text1"/>
              </w:rPr>
            </w:pPr>
            <w:bookmarkStart w:id="3781" w:name="n3907" w:colFirst="0" w:colLast="0"/>
            <w:bookmarkEnd w:id="3780"/>
            <w:r w:rsidRPr="00286216">
              <w:rPr>
                <w:color w:val="000000" w:themeColor="text1"/>
              </w:rPr>
              <w:t>3907.</w:t>
            </w:r>
          </w:p>
        </w:tc>
        <w:tc>
          <w:tcPr>
            <w:tcW w:w="4818" w:type="dxa"/>
          </w:tcPr>
          <w:p w14:paraId="667FC747" w14:textId="77777777" w:rsidR="008F1775" w:rsidRPr="00286216" w:rsidRDefault="008F1775" w:rsidP="008F1775">
            <w:pPr>
              <w:pStyle w:val="StyleZakonu"/>
              <w:rPr>
                <w:color w:val="000000" w:themeColor="text1"/>
              </w:rPr>
            </w:pPr>
            <w:r w:rsidRPr="00286216">
              <w:rPr>
                <w:color w:val="000000" w:themeColor="text1"/>
              </w:rPr>
              <w:t>б) брокерську діяльність;</w:t>
            </w:r>
          </w:p>
        </w:tc>
        <w:tc>
          <w:tcPr>
            <w:tcW w:w="3686" w:type="dxa"/>
          </w:tcPr>
          <w:p w14:paraId="4F0CD2F9" w14:textId="4F36DE85"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3) професійна діяльність на ринку цінних паперів – андеррайтинг на професійну діяльність на ринках капіталу з  обігу фінансових інструментів, яка передбачає діяльність розміщення без надання гарантії;</w:t>
            </w:r>
          </w:p>
        </w:tc>
        <w:tc>
          <w:tcPr>
            <w:tcW w:w="1987" w:type="dxa"/>
          </w:tcPr>
          <w:p w14:paraId="3A066EAD" w14:textId="77777777" w:rsidR="008F1775" w:rsidRPr="00286216" w:rsidRDefault="008F1775" w:rsidP="008F1775">
            <w:pPr>
              <w:pStyle w:val="StyleWisnow"/>
              <w:rPr>
                <w:color w:val="000000" w:themeColor="text1"/>
              </w:rPr>
            </w:pPr>
          </w:p>
        </w:tc>
        <w:tc>
          <w:tcPr>
            <w:tcW w:w="4818" w:type="dxa"/>
          </w:tcPr>
          <w:p w14:paraId="23D0C2FC" w14:textId="77777777" w:rsidR="008F1775" w:rsidRPr="00286216" w:rsidRDefault="008F1775" w:rsidP="008F1775">
            <w:pPr>
              <w:pStyle w:val="StyleZakonu"/>
              <w:rPr>
                <w:color w:val="000000" w:themeColor="text1"/>
              </w:rPr>
            </w:pPr>
          </w:p>
        </w:tc>
      </w:tr>
      <w:tr w:rsidR="008F1775" w:rsidRPr="00286216" w14:paraId="4BB7FF25" w14:textId="77777777" w:rsidTr="00091AA5">
        <w:tc>
          <w:tcPr>
            <w:tcW w:w="576" w:type="dxa"/>
          </w:tcPr>
          <w:p w14:paraId="767161E0" w14:textId="77777777" w:rsidR="008F1775" w:rsidRPr="00286216" w:rsidRDefault="008F1775" w:rsidP="008F1775">
            <w:pPr>
              <w:pStyle w:val="StyleWisnow"/>
              <w:rPr>
                <w:color w:val="000000" w:themeColor="text1"/>
              </w:rPr>
            </w:pPr>
            <w:bookmarkStart w:id="3782" w:name="n3908" w:colFirst="0" w:colLast="0"/>
            <w:bookmarkEnd w:id="3781"/>
            <w:r w:rsidRPr="00286216">
              <w:rPr>
                <w:color w:val="000000" w:themeColor="text1"/>
              </w:rPr>
              <w:t>3908.</w:t>
            </w:r>
          </w:p>
        </w:tc>
        <w:tc>
          <w:tcPr>
            <w:tcW w:w="4818" w:type="dxa"/>
          </w:tcPr>
          <w:p w14:paraId="76C4BC11" w14:textId="77777777" w:rsidR="008F1775" w:rsidRPr="00286216" w:rsidRDefault="008F1775" w:rsidP="008F1775">
            <w:pPr>
              <w:pStyle w:val="StyleZakonu"/>
              <w:rPr>
                <w:color w:val="000000" w:themeColor="text1"/>
              </w:rPr>
            </w:pPr>
            <w:r w:rsidRPr="00286216">
              <w:rPr>
                <w:color w:val="000000" w:themeColor="text1"/>
              </w:rPr>
              <w:t>2) професійна діяльність на ринку цінних паперів - дилерська діяльність на професійну діяльність на ринках капіталу з торгівлі фінансовими інструментами, яка передбачає дилерську діяльність;</w:t>
            </w:r>
          </w:p>
        </w:tc>
        <w:tc>
          <w:tcPr>
            <w:tcW w:w="3686" w:type="dxa"/>
          </w:tcPr>
          <w:p w14:paraId="746FD561" w14:textId="189CEF7A"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4) професійна діяльність на ринку цінних паперів – діяльність з управління цінними паперами на професійну діяльність на ринках капіталу з  обігу фінансових інструментів, яка передбачає діяльність з управління портфелем фінансових інструментів;</w:t>
            </w:r>
          </w:p>
        </w:tc>
        <w:tc>
          <w:tcPr>
            <w:tcW w:w="1987" w:type="dxa"/>
          </w:tcPr>
          <w:p w14:paraId="0159D82A" w14:textId="77777777" w:rsidR="008F1775" w:rsidRPr="00286216" w:rsidRDefault="008F1775" w:rsidP="008F1775">
            <w:pPr>
              <w:pStyle w:val="StyleWisnow"/>
              <w:rPr>
                <w:color w:val="000000" w:themeColor="text1"/>
              </w:rPr>
            </w:pPr>
          </w:p>
        </w:tc>
        <w:tc>
          <w:tcPr>
            <w:tcW w:w="4818" w:type="dxa"/>
          </w:tcPr>
          <w:p w14:paraId="6EC6625A" w14:textId="77777777" w:rsidR="008F1775" w:rsidRPr="00286216" w:rsidRDefault="008F1775" w:rsidP="008F1775">
            <w:pPr>
              <w:pStyle w:val="StyleZakonu"/>
              <w:rPr>
                <w:color w:val="000000" w:themeColor="text1"/>
              </w:rPr>
            </w:pPr>
          </w:p>
        </w:tc>
      </w:tr>
      <w:tr w:rsidR="008F1775" w:rsidRPr="00286216" w14:paraId="7C5113BD" w14:textId="77777777" w:rsidTr="00091AA5">
        <w:tc>
          <w:tcPr>
            <w:tcW w:w="576" w:type="dxa"/>
          </w:tcPr>
          <w:p w14:paraId="6CC41BC2" w14:textId="77777777" w:rsidR="008F1775" w:rsidRPr="00286216" w:rsidRDefault="008F1775" w:rsidP="008F1775">
            <w:pPr>
              <w:pStyle w:val="StyleWisnow"/>
              <w:rPr>
                <w:color w:val="000000" w:themeColor="text1"/>
              </w:rPr>
            </w:pPr>
            <w:bookmarkStart w:id="3783" w:name="n3909" w:colFirst="0" w:colLast="0"/>
            <w:bookmarkEnd w:id="3782"/>
            <w:r w:rsidRPr="00286216">
              <w:rPr>
                <w:color w:val="000000" w:themeColor="text1"/>
              </w:rPr>
              <w:t>3909.</w:t>
            </w:r>
          </w:p>
        </w:tc>
        <w:tc>
          <w:tcPr>
            <w:tcW w:w="4818" w:type="dxa"/>
          </w:tcPr>
          <w:p w14:paraId="3A69E234" w14:textId="77777777" w:rsidR="008F1775" w:rsidRPr="00286216" w:rsidRDefault="008F1775" w:rsidP="008F1775">
            <w:pPr>
              <w:pStyle w:val="StyleZakonu"/>
              <w:rPr>
                <w:color w:val="000000" w:themeColor="text1"/>
              </w:rPr>
            </w:pPr>
            <w:r w:rsidRPr="00286216">
              <w:rPr>
                <w:color w:val="000000" w:themeColor="text1"/>
              </w:rPr>
              <w:t>3) професійна діяльність на ринку цінних паперів - андеррайтинг на професійну діяльність на ринках капіталу з торгівлі фінансовими інструментами, яка передбачає діяльність розміщення без надання гарантії;</w:t>
            </w:r>
          </w:p>
        </w:tc>
        <w:tc>
          <w:tcPr>
            <w:tcW w:w="3686" w:type="dxa"/>
          </w:tcPr>
          <w:p w14:paraId="0B17C122" w14:textId="6DEC0FEF"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5) професійна діяльність на ринку цінних паперів – діяльність з організації торгівлі на фондовому ринку на професійну діяльність на ринках капіталу – клірингову діяльність з визначення зобов’язань та професійну діяльність на ринках капіталу з організації  обігу, яка передбачає:</w:t>
            </w:r>
          </w:p>
        </w:tc>
        <w:tc>
          <w:tcPr>
            <w:tcW w:w="1987" w:type="dxa"/>
          </w:tcPr>
          <w:p w14:paraId="2958D978" w14:textId="77777777" w:rsidR="008F1775" w:rsidRPr="00286216" w:rsidRDefault="008F1775" w:rsidP="008F1775">
            <w:pPr>
              <w:pStyle w:val="StyleWisnow"/>
              <w:rPr>
                <w:color w:val="000000" w:themeColor="text1"/>
              </w:rPr>
            </w:pPr>
          </w:p>
        </w:tc>
        <w:tc>
          <w:tcPr>
            <w:tcW w:w="4818" w:type="dxa"/>
          </w:tcPr>
          <w:p w14:paraId="509B9933" w14:textId="77777777" w:rsidR="008F1775" w:rsidRPr="00286216" w:rsidRDefault="008F1775" w:rsidP="008F1775">
            <w:pPr>
              <w:pStyle w:val="StyleZakonu"/>
              <w:rPr>
                <w:color w:val="000000" w:themeColor="text1"/>
              </w:rPr>
            </w:pPr>
          </w:p>
        </w:tc>
      </w:tr>
      <w:tr w:rsidR="008F1775" w:rsidRPr="00286216" w14:paraId="1558E492" w14:textId="77777777" w:rsidTr="00091AA5">
        <w:tc>
          <w:tcPr>
            <w:tcW w:w="576" w:type="dxa"/>
          </w:tcPr>
          <w:p w14:paraId="4D6F2E2C" w14:textId="77777777" w:rsidR="008F1775" w:rsidRPr="00286216" w:rsidRDefault="008F1775" w:rsidP="008F1775">
            <w:pPr>
              <w:pStyle w:val="StyleWisnow"/>
              <w:rPr>
                <w:color w:val="000000" w:themeColor="text1"/>
              </w:rPr>
            </w:pPr>
            <w:bookmarkStart w:id="3784" w:name="n3910" w:colFirst="0" w:colLast="0"/>
            <w:bookmarkEnd w:id="3783"/>
            <w:r w:rsidRPr="00286216">
              <w:rPr>
                <w:color w:val="000000" w:themeColor="text1"/>
              </w:rPr>
              <w:t>3910.</w:t>
            </w:r>
          </w:p>
        </w:tc>
        <w:tc>
          <w:tcPr>
            <w:tcW w:w="4818" w:type="dxa"/>
          </w:tcPr>
          <w:p w14:paraId="3D4B3935" w14:textId="77777777" w:rsidR="008F1775" w:rsidRPr="00286216" w:rsidRDefault="008F1775" w:rsidP="008F1775">
            <w:pPr>
              <w:pStyle w:val="StyleZakonu"/>
              <w:rPr>
                <w:color w:val="000000" w:themeColor="text1"/>
              </w:rPr>
            </w:pPr>
            <w:r w:rsidRPr="00286216">
              <w:rPr>
                <w:color w:val="000000" w:themeColor="text1"/>
              </w:rPr>
              <w:t>4) професійна діяльність на ринку цінних паперів - діяльність з управління цінними паперами на професійну діяльність на ринках капіталу з торгівлі фінансовими інструментами, яка передбачає діяльність з управління портфелем фінансових інструментів;</w:t>
            </w:r>
          </w:p>
        </w:tc>
        <w:tc>
          <w:tcPr>
            <w:tcW w:w="3686" w:type="dxa"/>
          </w:tcPr>
          <w:p w14:paraId="6F2BB5BD"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а) діяльність з організації  обігу цінних паперів на регульованому ринку;</w:t>
            </w:r>
          </w:p>
          <w:p w14:paraId="7AE7F776" w14:textId="77777777" w:rsidR="008F1775" w:rsidRPr="00286216" w:rsidRDefault="008F1775" w:rsidP="008F1775">
            <w:pPr>
              <w:pStyle w:val="StyleProp"/>
              <w:spacing w:line="180" w:lineRule="exact"/>
              <w:rPr>
                <w:color w:val="000000" w:themeColor="text1"/>
                <w:spacing w:val="-5"/>
                <w:szCs w:val="18"/>
              </w:rPr>
            </w:pPr>
            <w:r w:rsidRPr="00286216">
              <w:rPr>
                <w:color w:val="000000" w:themeColor="text1"/>
                <w:spacing w:val="-5"/>
                <w:szCs w:val="18"/>
              </w:rPr>
              <w:t>б) діяльність з організації обігу деривативних контрактів на регульованому ринку;</w:t>
            </w:r>
          </w:p>
          <w:p w14:paraId="300D67F9" w14:textId="77777777" w:rsidR="008F1775" w:rsidRPr="00286216" w:rsidRDefault="008F1775" w:rsidP="008F1775">
            <w:pPr>
              <w:pStyle w:val="StyleProp"/>
              <w:spacing w:line="180" w:lineRule="exact"/>
              <w:rPr>
                <w:color w:val="000000" w:themeColor="text1"/>
                <w:spacing w:val="-4"/>
                <w:szCs w:val="18"/>
              </w:rPr>
            </w:pPr>
            <w:r w:rsidRPr="00286216">
              <w:rPr>
                <w:color w:val="000000" w:themeColor="text1"/>
                <w:spacing w:val="-4"/>
                <w:szCs w:val="18"/>
              </w:rPr>
              <w:t>в) діяльність з організації обігу цінних паперів на багатосторонньому торгівельному майданчику;</w:t>
            </w:r>
          </w:p>
          <w:p w14:paraId="09DE7D53" w14:textId="3B32705A" w:rsidR="008F1775" w:rsidRPr="00286216" w:rsidRDefault="008F1775" w:rsidP="008F1775">
            <w:pPr>
              <w:pStyle w:val="StyleProp"/>
              <w:spacing w:line="180" w:lineRule="exact"/>
              <w:rPr>
                <w:color w:val="000000" w:themeColor="text1"/>
                <w:szCs w:val="18"/>
              </w:rPr>
            </w:pPr>
            <w:r w:rsidRPr="00286216">
              <w:rPr>
                <w:color w:val="000000" w:themeColor="text1"/>
                <w:spacing w:val="-4"/>
                <w:szCs w:val="18"/>
              </w:rPr>
              <w:t>г) діяльність з організації  обігу деривативних контрактів на багатосторонньому торгівельному майданчику;</w:t>
            </w:r>
          </w:p>
        </w:tc>
        <w:tc>
          <w:tcPr>
            <w:tcW w:w="1987" w:type="dxa"/>
          </w:tcPr>
          <w:p w14:paraId="377A8F2D" w14:textId="77777777" w:rsidR="008F1775" w:rsidRPr="00286216" w:rsidRDefault="008F1775" w:rsidP="008F1775">
            <w:pPr>
              <w:pStyle w:val="StyleWisnow"/>
              <w:rPr>
                <w:color w:val="000000" w:themeColor="text1"/>
              </w:rPr>
            </w:pPr>
          </w:p>
        </w:tc>
        <w:tc>
          <w:tcPr>
            <w:tcW w:w="4818" w:type="dxa"/>
          </w:tcPr>
          <w:p w14:paraId="73D389C3" w14:textId="77777777" w:rsidR="008F1775" w:rsidRPr="00286216" w:rsidRDefault="008F1775" w:rsidP="008F1775">
            <w:pPr>
              <w:pStyle w:val="StyleZakonu"/>
              <w:rPr>
                <w:color w:val="000000" w:themeColor="text1"/>
              </w:rPr>
            </w:pPr>
          </w:p>
        </w:tc>
      </w:tr>
      <w:tr w:rsidR="008F1775" w:rsidRPr="00286216" w14:paraId="207AD5B7" w14:textId="77777777" w:rsidTr="00091AA5">
        <w:tc>
          <w:tcPr>
            <w:tcW w:w="576" w:type="dxa"/>
          </w:tcPr>
          <w:p w14:paraId="0E4569B8" w14:textId="77777777" w:rsidR="008F1775" w:rsidRPr="00286216" w:rsidRDefault="008F1775" w:rsidP="008F1775">
            <w:pPr>
              <w:pStyle w:val="StyleWisnow"/>
              <w:rPr>
                <w:color w:val="000000" w:themeColor="text1"/>
              </w:rPr>
            </w:pPr>
            <w:bookmarkStart w:id="3785" w:name="n3911" w:colFirst="0" w:colLast="0"/>
            <w:bookmarkEnd w:id="3784"/>
            <w:r w:rsidRPr="00286216">
              <w:rPr>
                <w:color w:val="000000" w:themeColor="text1"/>
              </w:rPr>
              <w:t>3911.</w:t>
            </w:r>
          </w:p>
        </w:tc>
        <w:tc>
          <w:tcPr>
            <w:tcW w:w="4818" w:type="dxa"/>
          </w:tcPr>
          <w:p w14:paraId="17F55F8F" w14:textId="77777777" w:rsidR="008F1775" w:rsidRPr="00286216" w:rsidRDefault="008F1775" w:rsidP="008F1775">
            <w:pPr>
              <w:pStyle w:val="StyleZakonu"/>
              <w:rPr>
                <w:color w:val="000000" w:themeColor="text1"/>
              </w:rPr>
            </w:pPr>
            <w:r w:rsidRPr="00286216">
              <w:rPr>
                <w:color w:val="000000" w:themeColor="text1"/>
              </w:rPr>
              <w:t xml:space="preserve">5) професійна діяльність на ринку цінних паперів - діяльність з організації торгівлі на фондовому ринку на професійну діяльність на ринках капіталу - клірингову діяльність з визначення зобов’язань та професійну діяльність на ринках капіталу з організації </w:t>
            </w:r>
            <w:r w:rsidRPr="00286216">
              <w:rPr>
                <w:color w:val="000000" w:themeColor="text1"/>
              </w:rPr>
              <w:lastRenderedPageBreak/>
              <w:t>торгівлі, яка передбачає:</w:t>
            </w:r>
          </w:p>
        </w:tc>
        <w:tc>
          <w:tcPr>
            <w:tcW w:w="3686" w:type="dxa"/>
          </w:tcPr>
          <w:p w14:paraId="527B09D0"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lastRenderedPageBreak/>
              <w:t>6) професійна діяльність на ринку цінних паперів – клірингова діяльність на професійну діяльність на ринках капіталу – клірингову діяльність з визначення зобов’язань.</w:t>
            </w:r>
          </w:p>
          <w:p w14:paraId="3B5FAEC4" w14:textId="143159D5"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 xml:space="preserve">Для професійних учасників ринку капіталу, які на дату набрання чинності цим Законом, мали декілька ліцензій, які відповідно до цього </w:t>
            </w:r>
            <w:r w:rsidRPr="00286216">
              <w:rPr>
                <w:color w:val="000000" w:themeColor="text1"/>
                <w:spacing w:val="-2"/>
                <w:szCs w:val="18"/>
              </w:rPr>
              <w:lastRenderedPageBreak/>
              <w:t>Закону можуть надаватися одночасно</w:t>
            </w:r>
            <w:r w:rsidRPr="00286216">
              <w:rPr>
                <w:color w:val="000000" w:themeColor="text1"/>
                <w:szCs w:val="18"/>
              </w:rPr>
              <w:t xml:space="preserve"> на підставі ліцензій на провадження видів професійної діяльності, визначених частиною 2 статті 42 цього Закону, переоформлення здійснюється відповідним чином.».</w:t>
            </w:r>
          </w:p>
        </w:tc>
        <w:tc>
          <w:tcPr>
            <w:tcW w:w="1987" w:type="dxa"/>
          </w:tcPr>
          <w:p w14:paraId="60C0696C" w14:textId="77777777" w:rsidR="008F1775" w:rsidRPr="00286216" w:rsidRDefault="008F1775" w:rsidP="008F1775">
            <w:pPr>
              <w:pStyle w:val="StyleWisnow"/>
              <w:rPr>
                <w:color w:val="000000" w:themeColor="text1"/>
              </w:rPr>
            </w:pPr>
          </w:p>
        </w:tc>
        <w:tc>
          <w:tcPr>
            <w:tcW w:w="4818" w:type="dxa"/>
          </w:tcPr>
          <w:p w14:paraId="5099345E" w14:textId="77777777" w:rsidR="008F1775" w:rsidRPr="00286216" w:rsidRDefault="008F1775" w:rsidP="008F1775">
            <w:pPr>
              <w:pStyle w:val="StyleZakonu"/>
              <w:rPr>
                <w:color w:val="000000" w:themeColor="text1"/>
              </w:rPr>
            </w:pPr>
          </w:p>
        </w:tc>
      </w:tr>
      <w:tr w:rsidR="008F1775" w:rsidRPr="00286216" w14:paraId="715D8F81" w14:textId="77777777" w:rsidTr="00091AA5">
        <w:tc>
          <w:tcPr>
            <w:tcW w:w="576" w:type="dxa"/>
          </w:tcPr>
          <w:p w14:paraId="23657F9C" w14:textId="77777777" w:rsidR="008F1775" w:rsidRPr="00286216" w:rsidRDefault="008F1775" w:rsidP="008F1775">
            <w:pPr>
              <w:pStyle w:val="StyleWisnow"/>
              <w:rPr>
                <w:color w:val="000000" w:themeColor="text1"/>
              </w:rPr>
            </w:pPr>
            <w:bookmarkStart w:id="3786" w:name="n3912" w:colFirst="0" w:colLast="0"/>
            <w:bookmarkEnd w:id="3785"/>
            <w:r w:rsidRPr="00286216">
              <w:rPr>
                <w:color w:val="000000" w:themeColor="text1"/>
              </w:rPr>
              <w:t>3912.</w:t>
            </w:r>
          </w:p>
        </w:tc>
        <w:tc>
          <w:tcPr>
            <w:tcW w:w="4818" w:type="dxa"/>
          </w:tcPr>
          <w:p w14:paraId="07DD4B02" w14:textId="77777777" w:rsidR="008F1775" w:rsidRPr="00286216" w:rsidRDefault="008F1775" w:rsidP="00286216">
            <w:pPr>
              <w:pStyle w:val="StyleZakonu"/>
              <w:spacing w:after="40" w:line="214" w:lineRule="exact"/>
              <w:rPr>
                <w:color w:val="000000" w:themeColor="text1"/>
              </w:rPr>
            </w:pPr>
            <w:r w:rsidRPr="00286216">
              <w:rPr>
                <w:color w:val="000000" w:themeColor="text1"/>
              </w:rPr>
              <w:t>а) діяльність з організації торгівлі цінними паперами на регульованому ринку;</w:t>
            </w:r>
          </w:p>
        </w:tc>
        <w:tc>
          <w:tcPr>
            <w:tcW w:w="3686" w:type="dxa"/>
          </w:tcPr>
          <w:p w14:paraId="4F933C34" w14:textId="684F038C" w:rsidR="008F1775" w:rsidRPr="00286216" w:rsidRDefault="008F1775" w:rsidP="008F1775">
            <w:pPr>
              <w:pStyle w:val="StyleProp"/>
              <w:spacing w:line="180" w:lineRule="exact"/>
              <w:rPr>
                <w:color w:val="000000" w:themeColor="text1"/>
                <w:szCs w:val="18"/>
              </w:rPr>
            </w:pPr>
          </w:p>
        </w:tc>
        <w:tc>
          <w:tcPr>
            <w:tcW w:w="1987" w:type="dxa"/>
          </w:tcPr>
          <w:p w14:paraId="5E7984BC" w14:textId="77777777" w:rsidR="008F1775" w:rsidRPr="00286216" w:rsidRDefault="008F1775" w:rsidP="008F1775">
            <w:pPr>
              <w:pStyle w:val="StyleWisnow"/>
              <w:rPr>
                <w:color w:val="000000" w:themeColor="text1"/>
              </w:rPr>
            </w:pPr>
          </w:p>
        </w:tc>
        <w:tc>
          <w:tcPr>
            <w:tcW w:w="4818" w:type="dxa"/>
          </w:tcPr>
          <w:p w14:paraId="76E60513" w14:textId="77777777" w:rsidR="008F1775" w:rsidRPr="00286216" w:rsidRDefault="008F1775" w:rsidP="008F1775">
            <w:pPr>
              <w:pStyle w:val="StyleZakonu"/>
              <w:rPr>
                <w:color w:val="000000" w:themeColor="text1"/>
              </w:rPr>
            </w:pPr>
          </w:p>
        </w:tc>
      </w:tr>
      <w:tr w:rsidR="008F1775" w:rsidRPr="00286216" w14:paraId="150FF56C" w14:textId="77777777" w:rsidTr="00091AA5">
        <w:tc>
          <w:tcPr>
            <w:tcW w:w="576" w:type="dxa"/>
          </w:tcPr>
          <w:p w14:paraId="2D572D65" w14:textId="77777777" w:rsidR="008F1775" w:rsidRPr="00286216" w:rsidRDefault="008F1775" w:rsidP="008F1775">
            <w:pPr>
              <w:pStyle w:val="StyleWisnow"/>
              <w:rPr>
                <w:color w:val="000000" w:themeColor="text1"/>
              </w:rPr>
            </w:pPr>
            <w:bookmarkStart w:id="3787" w:name="n3913" w:colFirst="0" w:colLast="0"/>
            <w:bookmarkEnd w:id="3786"/>
            <w:r w:rsidRPr="00286216">
              <w:rPr>
                <w:color w:val="000000" w:themeColor="text1"/>
              </w:rPr>
              <w:t>3913.</w:t>
            </w:r>
          </w:p>
        </w:tc>
        <w:tc>
          <w:tcPr>
            <w:tcW w:w="4818" w:type="dxa"/>
          </w:tcPr>
          <w:p w14:paraId="047533F7" w14:textId="77777777" w:rsidR="008F1775" w:rsidRPr="00286216" w:rsidRDefault="008F1775" w:rsidP="00286216">
            <w:pPr>
              <w:pStyle w:val="StyleZakonu"/>
              <w:spacing w:after="40" w:line="214" w:lineRule="exact"/>
              <w:rPr>
                <w:color w:val="000000" w:themeColor="text1"/>
              </w:rPr>
            </w:pPr>
            <w:r w:rsidRPr="00286216">
              <w:rPr>
                <w:color w:val="000000" w:themeColor="text1"/>
              </w:rPr>
              <w:t>б) діяльність з організації укладання деривативних контрактів на регульованому ринку;</w:t>
            </w:r>
          </w:p>
        </w:tc>
        <w:tc>
          <w:tcPr>
            <w:tcW w:w="3686" w:type="dxa"/>
          </w:tcPr>
          <w:p w14:paraId="1F574E05" w14:textId="77777777" w:rsidR="008F1775" w:rsidRPr="00286216" w:rsidRDefault="008F1775" w:rsidP="008F1775">
            <w:pPr>
              <w:pStyle w:val="StyleProp"/>
              <w:rPr>
                <w:color w:val="000000" w:themeColor="text1"/>
                <w:szCs w:val="18"/>
              </w:rPr>
            </w:pPr>
          </w:p>
        </w:tc>
        <w:tc>
          <w:tcPr>
            <w:tcW w:w="1987" w:type="dxa"/>
          </w:tcPr>
          <w:p w14:paraId="7358CDA3" w14:textId="77777777" w:rsidR="008F1775" w:rsidRPr="00286216" w:rsidRDefault="008F1775" w:rsidP="008F1775">
            <w:pPr>
              <w:pStyle w:val="StyleWisnow"/>
              <w:rPr>
                <w:color w:val="000000" w:themeColor="text1"/>
              </w:rPr>
            </w:pPr>
          </w:p>
        </w:tc>
        <w:tc>
          <w:tcPr>
            <w:tcW w:w="4818" w:type="dxa"/>
          </w:tcPr>
          <w:p w14:paraId="30D5CC6B" w14:textId="77777777" w:rsidR="008F1775" w:rsidRPr="00286216" w:rsidRDefault="008F1775" w:rsidP="008F1775">
            <w:pPr>
              <w:pStyle w:val="StyleZakonu"/>
              <w:rPr>
                <w:color w:val="000000" w:themeColor="text1"/>
              </w:rPr>
            </w:pPr>
          </w:p>
        </w:tc>
      </w:tr>
      <w:tr w:rsidR="008F1775" w:rsidRPr="00286216" w14:paraId="77D7B4DD" w14:textId="77777777" w:rsidTr="00091AA5">
        <w:tc>
          <w:tcPr>
            <w:tcW w:w="576" w:type="dxa"/>
          </w:tcPr>
          <w:p w14:paraId="2046EDD4" w14:textId="77777777" w:rsidR="008F1775" w:rsidRPr="00286216" w:rsidRDefault="008F1775" w:rsidP="008F1775">
            <w:pPr>
              <w:pStyle w:val="StyleWisnow"/>
              <w:rPr>
                <w:color w:val="000000" w:themeColor="text1"/>
              </w:rPr>
            </w:pPr>
            <w:bookmarkStart w:id="3788" w:name="n3914" w:colFirst="0" w:colLast="0"/>
            <w:bookmarkEnd w:id="3787"/>
            <w:r w:rsidRPr="00286216">
              <w:rPr>
                <w:color w:val="000000" w:themeColor="text1"/>
              </w:rPr>
              <w:t>3914.</w:t>
            </w:r>
          </w:p>
        </w:tc>
        <w:tc>
          <w:tcPr>
            <w:tcW w:w="4818" w:type="dxa"/>
          </w:tcPr>
          <w:p w14:paraId="5C1E9D54" w14:textId="77777777" w:rsidR="008F1775" w:rsidRPr="00286216" w:rsidRDefault="008F1775" w:rsidP="00286216">
            <w:pPr>
              <w:pStyle w:val="StyleZakonu"/>
              <w:spacing w:after="40" w:line="214" w:lineRule="exact"/>
              <w:rPr>
                <w:color w:val="000000" w:themeColor="text1"/>
              </w:rPr>
            </w:pPr>
            <w:r w:rsidRPr="00286216">
              <w:rPr>
                <w:color w:val="000000" w:themeColor="text1"/>
              </w:rPr>
              <w:t>в) діяльність з організації торгівлі цінними паперами на багатосторонньому торгівельному майданчику;</w:t>
            </w:r>
          </w:p>
        </w:tc>
        <w:tc>
          <w:tcPr>
            <w:tcW w:w="3686" w:type="dxa"/>
          </w:tcPr>
          <w:p w14:paraId="1D868C04" w14:textId="77777777" w:rsidR="008F1775" w:rsidRPr="00286216" w:rsidRDefault="008F1775" w:rsidP="008F1775">
            <w:pPr>
              <w:pStyle w:val="StyleProp"/>
              <w:rPr>
                <w:color w:val="000000" w:themeColor="text1"/>
                <w:szCs w:val="18"/>
              </w:rPr>
            </w:pPr>
          </w:p>
        </w:tc>
        <w:tc>
          <w:tcPr>
            <w:tcW w:w="1987" w:type="dxa"/>
          </w:tcPr>
          <w:p w14:paraId="4DB62987" w14:textId="77777777" w:rsidR="008F1775" w:rsidRPr="00286216" w:rsidRDefault="008F1775" w:rsidP="008F1775">
            <w:pPr>
              <w:pStyle w:val="StyleWisnow"/>
              <w:rPr>
                <w:color w:val="000000" w:themeColor="text1"/>
              </w:rPr>
            </w:pPr>
          </w:p>
        </w:tc>
        <w:tc>
          <w:tcPr>
            <w:tcW w:w="4818" w:type="dxa"/>
          </w:tcPr>
          <w:p w14:paraId="60640319" w14:textId="77777777" w:rsidR="008F1775" w:rsidRPr="00286216" w:rsidRDefault="008F1775" w:rsidP="008F1775">
            <w:pPr>
              <w:pStyle w:val="StyleZakonu"/>
              <w:rPr>
                <w:color w:val="000000" w:themeColor="text1"/>
              </w:rPr>
            </w:pPr>
          </w:p>
        </w:tc>
      </w:tr>
      <w:tr w:rsidR="008F1775" w:rsidRPr="00286216" w14:paraId="2C555445" w14:textId="77777777" w:rsidTr="00091AA5">
        <w:tc>
          <w:tcPr>
            <w:tcW w:w="576" w:type="dxa"/>
          </w:tcPr>
          <w:p w14:paraId="294279DF" w14:textId="77777777" w:rsidR="008F1775" w:rsidRPr="00286216" w:rsidRDefault="008F1775" w:rsidP="008F1775">
            <w:pPr>
              <w:pStyle w:val="StyleWisnow"/>
              <w:rPr>
                <w:color w:val="000000" w:themeColor="text1"/>
              </w:rPr>
            </w:pPr>
            <w:bookmarkStart w:id="3789" w:name="n3915" w:colFirst="0" w:colLast="0"/>
            <w:bookmarkEnd w:id="3788"/>
            <w:r w:rsidRPr="00286216">
              <w:rPr>
                <w:color w:val="000000" w:themeColor="text1"/>
              </w:rPr>
              <w:t>3915.</w:t>
            </w:r>
          </w:p>
        </w:tc>
        <w:tc>
          <w:tcPr>
            <w:tcW w:w="4818" w:type="dxa"/>
          </w:tcPr>
          <w:p w14:paraId="764A35F4" w14:textId="77777777" w:rsidR="008F1775" w:rsidRPr="00286216" w:rsidRDefault="008F1775" w:rsidP="00286216">
            <w:pPr>
              <w:pStyle w:val="StyleZakonu"/>
              <w:spacing w:after="40" w:line="214" w:lineRule="exact"/>
              <w:rPr>
                <w:color w:val="000000" w:themeColor="text1"/>
              </w:rPr>
            </w:pPr>
            <w:r w:rsidRPr="00286216">
              <w:rPr>
                <w:color w:val="000000" w:themeColor="text1"/>
              </w:rPr>
              <w:t>г) діяльність з організації укладання деривативних контрактів на багатосторонньому торгівельному майданчику.</w:t>
            </w:r>
          </w:p>
        </w:tc>
        <w:tc>
          <w:tcPr>
            <w:tcW w:w="3686" w:type="dxa"/>
          </w:tcPr>
          <w:p w14:paraId="1804B898" w14:textId="77777777" w:rsidR="008F1775" w:rsidRPr="00286216" w:rsidRDefault="008F1775" w:rsidP="008F1775">
            <w:pPr>
              <w:pStyle w:val="StyleProp"/>
              <w:rPr>
                <w:color w:val="000000" w:themeColor="text1"/>
                <w:szCs w:val="18"/>
              </w:rPr>
            </w:pPr>
          </w:p>
        </w:tc>
        <w:tc>
          <w:tcPr>
            <w:tcW w:w="1987" w:type="dxa"/>
          </w:tcPr>
          <w:p w14:paraId="082A68E1" w14:textId="77777777" w:rsidR="008F1775" w:rsidRPr="00286216" w:rsidRDefault="008F1775" w:rsidP="008F1775">
            <w:pPr>
              <w:pStyle w:val="StyleWisnow"/>
              <w:rPr>
                <w:color w:val="000000" w:themeColor="text1"/>
              </w:rPr>
            </w:pPr>
          </w:p>
        </w:tc>
        <w:tc>
          <w:tcPr>
            <w:tcW w:w="4818" w:type="dxa"/>
          </w:tcPr>
          <w:p w14:paraId="5E06220E" w14:textId="77777777" w:rsidR="008F1775" w:rsidRPr="00286216" w:rsidRDefault="008F1775" w:rsidP="008F1775">
            <w:pPr>
              <w:pStyle w:val="StyleZakonu"/>
              <w:rPr>
                <w:color w:val="000000" w:themeColor="text1"/>
              </w:rPr>
            </w:pPr>
          </w:p>
        </w:tc>
      </w:tr>
      <w:tr w:rsidR="008F1775" w:rsidRPr="00286216" w14:paraId="3FBAAA87" w14:textId="77777777" w:rsidTr="00091AA5">
        <w:tc>
          <w:tcPr>
            <w:tcW w:w="576" w:type="dxa"/>
          </w:tcPr>
          <w:p w14:paraId="608EA518" w14:textId="77777777" w:rsidR="008F1775" w:rsidRPr="00286216" w:rsidRDefault="008F1775" w:rsidP="008F1775">
            <w:pPr>
              <w:pStyle w:val="StyleWisnow"/>
              <w:rPr>
                <w:color w:val="000000" w:themeColor="text1"/>
              </w:rPr>
            </w:pPr>
            <w:bookmarkStart w:id="3790" w:name="n3916" w:colFirst="0" w:colLast="0"/>
            <w:bookmarkEnd w:id="3789"/>
            <w:r w:rsidRPr="00286216">
              <w:rPr>
                <w:color w:val="000000" w:themeColor="text1"/>
              </w:rPr>
              <w:t>3916.</w:t>
            </w:r>
          </w:p>
        </w:tc>
        <w:tc>
          <w:tcPr>
            <w:tcW w:w="4818" w:type="dxa"/>
          </w:tcPr>
          <w:p w14:paraId="5B60753D" w14:textId="77777777" w:rsidR="008F1775" w:rsidRPr="00286216" w:rsidRDefault="008F1775" w:rsidP="00286216">
            <w:pPr>
              <w:pStyle w:val="StyleZakonu"/>
              <w:spacing w:after="40" w:line="214" w:lineRule="exact"/>
              <w:rPr>
                <w:color w:val="000000" w:themeColor="text1"/>
              </w:rPr>
            </w:pPr>
            <w:r w:rsidRPr="00286216">
              <w:rPr>
                <w:color w:val="000000" w:themeColor="text1"/>
              </w:rPr>
              <w:t>6) професійна діяльність на ринку цінних паперів - клірингова діяльність на професійну діяльність на ринках капіталу - клірингову діяльність з визначення зобов’язань.</w:t>
            </w:r>
          </w:p>
        </w:tc>
        <w:tc>
          <w:tcPr>
            <w:tcW w:w="3686" w:type="dxa"/>
          </w:tcPr>
          <w:p w14:paraId="1E7E981A" w14:textId="77777777" w:rsidR="008F1775" w:rsidRPr="00286216" w:rsidRDefault="008F1775" w:rsidP="008F1775">
            <w:pPr>
              <w:pStyle w:val="StyleProp"/>
              <w:rPr>
                <w:color w:val="000000" w:themeColor="text1"/>
                <w:szCs w:val="18"/>
              </w:rPr>
            </w:pPr>
          </w:p>
        </w:tc>
        <w:tc>
          <w:tcPr>
            <w:tcW w:w="1987" w:type="dxa"/>
          </w:tcPr>
          <w:p w14:paraId="799DE958" w14:textId="77777777" w:rsidR="008F1775" w:rsidRPr="00286216" w:rsidRDefault="008F1775" w:rsidP="008F1775">
            <w:pPr>
              <w:pStyle w:val="StyleWisnow"/>
              <w:rPr>
                <w:color w:val="000000" w:themeColor="text1"/>
              </w:rPr>
            </w:pPr>
          </w:p>
        </w:tc>
        <w:tc>
          <w:tcPr>
            <w:tcW w:w="4818" w:type="dxa"/>
          </w:tcPr>
          <w:p w14:paraId="3A0DD53F" w14:textId="77777777" w:rsidR="008F1775" w:rsidRPr="00286216" w:rsidRDefault="008F1775" w:rsidP="008F1775">
            <w:pPr>
              <w:pStyle w:val="StyleZakonu"/>
              <w:rPr>
                <w:color w:val="000000" w:themeColor="text1"/>
              </w:rPr>
            </w:pPr>
          </w:p>
        </w:tc>
      </w:tr>
      <w:tr w:rsidR="008F1775" w:rsidRPr="00286216" w14:paraId="52373B24" w14:textId="77777777" w:rsidTr="00091AA5">
        <w:tc>
          <w:tcPr>
            <w:tcW w:w="576" w:type="dxa"/>
          </w:tcPr>
          <w:p w14:paraId="772CD24F" w14:textId="77777777" w:rsidR="008F1775" w:rsidRPr="00286216" w:rsidRDefault="008F1775" w:rsidP="008F1775">
            <w:pPr>
              <w:pStyle w:val="StyleWisnow"/>
              <w:rPr>
                <w:color w:val="000000" w:themeColor="text1"/>
              </w:rPr>
            </w:pPr>
            <w:bookmarkStart w:id="3791" w:name="n3917" w:colFirst="0" w:colLast="0"/>
            <w:bookmarkEnd w:id="3790"/>
            <w:r w:rsidRPr="00286216">
              <w:rPr>
                <w:color w:val="000000" w:themeColor="text1"/>
              </w:rPr>
              <w:t>3917.</w:t>
            </w:r>
          </w:p>
        </w:tc>
        <w:tc>
          <w:tcPr>
            <w:tcW w:w="4818" w:type="dxa"/>
          </w:tcPr>
          <w:p w14:paraId="0D8D15AA" w14:textId="77777777" w:rsidR="008F1775" w:rsidRPr="00286216" w:rsidRDefault="008F1775" w:rsidP="00286216">
            <w:pPr>
              <w:pStyle w:val="StyleZakonu"/>
              <w:spacing w:after="40" w:line="214" w:lineRule="exact"/>
              <w:rPr>
                <w:color w:val="000000" w:themeColor="text1"/>
              </w:rPr>
            </w:pPr>
            <w:r w:rsidRPr="00286216">
              <w:rPr>
                <w:color w:val="000000" w:themeColor="text1"/>
              </w:rPr>
              <w:t>Для професійних учасників ринку капіталу, які на дату набрання чинності цим Законом, мали декілька ліцензій, які відповідно до цього Закону можуть надаватися одночасно на підставі ліцензій на провадження видів професійної діяльності, визначених частиною 2 статті цього Закону, переоформлення здійснюється відповідним чином.</w:t>
            </w:r>
          </w:p>
        </w:tc>
        <w:tc>
          <w:tcPr>
            <w:tcW w:w="3686" w:type="dxa"/>
          </w:tcPr>
          <w:p w14:paraId="7884E30F" w14:textId="77777777" w:rsidR="008F1775" w:rsidRPr="00286216" w:rsidRDefault="008F1775" w:rsidP="008F1775">
            <w:pPr>
              <w:pStyle w:val="StyleProp"/>
              <w:rPr>
                <w:color w:val="000000" w:themeColor="text1"/>
                <w:szCs w:val="18"/>
              </w:rPr>
            </w:pPr>
          </w:p>
        </w:tc>
        <w:tc>
          <w:tcPr>
            <w:tcW w:w="1987" w:type="dxa"/>
          </w:tcPr>
          <w:p w14:paraId="1D07C185" w14:textId="77777777" w:rsidR="008F1775" w:rsidRPr="00286216" w:rsidRDefault="008F1775" w:rsidP="008F1775">
            <w:pPr>
              <w:pStyle w:val="StyleWisnow"/>
              <w:rPr>
                <w:color w:val="000000" w:themeColor="text1"/>
              </w:rPr>
            </w:pPr>
          </w:p>
        </w:tc>
        <w:tc>
          <w:tcPr>
            <w:tcW w:w="4818" w:type="dxa"/>
          </w:tcPr>
          <w:p w14:paraId="4D97C396" w14:textId="77777777" w:rsidR="008F1775" w:rsidRPr="00286216" w:rsidRDefault="008F1775" w:rsidP="008F1775">
            <w:pPr>
              <w:pStyle w:val="StyleZakonu"/>
              <w:rPr>
                <w:color w:val="000000" w:themeColor="text1"/>
              </w:rPr>
            </w:pPr>
          </w:p>
        </w:tc>
      </w:tr>
      <w:tr w:rsidR="008F1775" w:rsidRPr="00286216" w14:paraId="25F7FDFA" w14:textId="77777777" w:rsidTr="00091AA5">
        <w:tc>
          <w:tcPr>
            <w:tcW w:w="576" w:type="dxa"/>
          </w:tcPr>
          <w:p w14:paraId="2BE4B244" w14:textId="77777777" w:rsidR="008F1775" w:rsidRPr="00286216" w:rsidRDefault="008F1775" w:rsidP="008F1775">
            <w:pPr>
              <w:pStyle w:val="StyleWisnow"/>
              <w:rPr>
                <w:color w:val="000000" w:themeColor="text1"/>
              </w:rPr>
            </w:pPr>
            <w:bookmarkStart w:id="3792" w:name="n3918" w:colFirst="0" w:colLast="0"/>
            <w:bookmarkEnd w:id="3791"/>
            <w:r w:rsidRPr="00286216">
              <w:rPr>
                <w:color w:val="000000" w:themeColor="text1"/>
              </w:rPr>
              <w:t>3918.</w:t>
            </w:r>
          </w:p>
        </w:tc>
        <w:tc>
          <w:tcPr>
            <w:tcW w:w="4818" w:type="dxa"/>
          </w:tcPr>
          <w:p w14:paraId="7F979A8A" w14:textId="77777777" w:rsidR="008F1775" w:rsidRPr="00286216" w:rsidRDefault="008F1775" w:rsidP="00286216">
            <w:pPr>
              <w:pStyle w:val="StyleZakonu"/>
              <w:spacing w:after="40" w:line="214" w:lineRule="exact"/>
              <w:rPr>
                <w:color w:val="000000" w:themeColor="text1"/>
              </w:rPr>
            </w:pPr>
            <w:r w:rsidRPr="00286216">
              <w:rPr>
                <w:color w:val="000000" w:themeColor="text1"/>
              </w:rPr>
              <w:t>7. Юридичні особи, ліцензії яких вважаються переоформленими відповідно до пункту 6 цього розділу, зобов’язані подати до Національної комісії з цінних паперів та фондового ринку внутрішні документи, що підтверджують приведення їхньої діяльності у відповідність із вимогами цього Закону, в порядку та строки, встановлені Національною комісією з цінних паперів та фондового ринку, але не пізніше ніж через рік з дня набрання чинності цим Законом.</w:t>
            </w:r>
          </w:p>
        </w:tc>
        <w:tc>
          <w:tcPr>
            <w:tcW w:w="3686" w:type="dxa"/>
          </w:tcPr>
          <w:p w14:paraId="7610970B" w14:textId="77777777" w:rsidR="008F1775" w:rsidRPr="00286216" w:rsidRDefault="008F1775" w:rsidP="008F1775">
            <w:pPr>
              <w:pStyle w:val="StyleProp"/>
              <w:rPr>
                <w:color w:val="000000" w:themeColor="text1"/>
                <w:szCs w:val="18"/>
              </w:rPr>
            </w:pPr>
          </w:p>
        </w:tc>
        <w:tc>
          <w:tcPr>
            <w:tcW w:w="1987" w:type="dxa"/>
          </w:tcPr>
          <w:p w14:paraId="757F6506" w14:textId="77777777" w:rsidR="008F1775" w:rsidRPr="00286216" w:rsidRDefault="008F1775" w:rsidP="008F1775">
            <w:pPr>
              <w:pStyle w:val="StyleWisnow"/>
              <w:rPr>
                <w:color w:val="000000" w:themeColor="text1"/>
              </w:rPr>
            </w:pPr>
          </w:p>
        </w:tc>
        <w:tc>
          <w:tcPr>
            <w:tcW w:w="4818" w:type="dxa"/>
          </w:tcPr>
          <w:p w14:paraId="335383E7" w14:textId="77777777" w:rsidR="008F1775" w:rsidRPr="00286216" w:rsidRDefault="008F1775" w:rsidP="008F1775">
            <w:pPr>
              <w:pStyle w:val="StyleZakonu"/>
              <w:rPr>
                <w:color w:val="000000" w:themeColor="text1"/>
              </w:rPr>
            </w:pPr>
          </w:p>
        </w:tc>
      </w:tr>
      <w:tr w:rsidR="008F1775" w:rsidRPr="00286216" w14:paraId="491FF28B" w14:textId="77777777" w:rsidTr="00091AA5">
        <w:tc>
          <w:tcPr>
            <w:tcW w:w="576" w:type="dxa"/>
          </w:tcPr>
          <w:p w14:paraId="35D7171E" w14:textId="77777777" w:rsidR="008F1775" w:rsidRPr="00286216" w:rsidRDefault="008F1775" w:rsidP="008F1775">
            <w:pPr>
              <w:pStyle w:val="StyleWisnow"/>
              <w:rPr>
                <w:color w:val="000000" w:themeColor="text1"/>
              </w:rPr>
            </w:pPr>
            <w:bookmarkStart w:id="3793" w:name="n3919" w:colFirst="0" w:colLast="0"/>
            <w:bookmarkEnd w:id="3792"/>
            <w:r w:rsidRPr="00286216">
              <w:rPr>
                <w:color w:val="000000" w:themeColor="text1"/>
              </w:rPr>
              <w:t>3919.</w:t>
            </w:r>
          </w:p>
        </w:tc>
        <w:tc>
          <w:tcPr>
            <w:tcW w:w="4818" w:type="dxa"/>
          </w:tcPr>
          <w:p w14:paraId="179EB5B0" w14:textId="77777777" w:rsidR="008F1775" w:rsidRPr="00286216" w:rsidRDefault="008F1775" w:rsidP="008F1775">
            <w:pPr>
              <w:pStyle w:val="StyleZakonu"/>
              <w:rPr>
                <w:color w:val="000000" w:themeColor="text1"/>
              </w:rPr>
            </w:pPr>
            <w:r w:rsidRPr="00286216">
              <w:rPr>
                <w:color w:val="000000" w:themeColor="text1"/>
              </w:rPr>
              <w:t>Інвестиційні фірми, ліцензії яких вважаються переоформленими відповідно до пункту 6 цього розділу, також одночасно зобов’язані подати до Національної комісії з цінних паперів та фондового ринку інформацію про перелік додаткових послуг, які вони мають намір надавати згідно з переліком, визначеним частиною другою статті 41 цього Закону.</w:t>
            </w:r>
          </w:p>
        </w:tc>
        <w:tc>
          <w:tcPr>
            <w:tcW w:w="3686" w:type="dxa"/>
          </w:tcPr>
          <w:p w14:paraId="3EACE7F8" w14:textId="1550745C"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1549</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0A4BF66E" w14:textId="77777777" w:rsidR="008F1775" w:rsidRPr="00286216" w:rsidRDefault="008F1775" w:rsidP="009D6B73">
            <w:pPr>
              <w:pStyle w:val="StyleProp"/>
              <w:spacing w:line="190" w:lineRule="exact"/>
              <w:rPr>
                <w:color w:val="000000" w:themeColor="text1"/>
                <w:szCs w:val="18"/>
              </w:rPr>
            </w:pPr>
            <w:r w:rsidRPr="00286216">
              <w:rPr>
                <w:color w:val="000000" w:themeColor="text1"/>
                <w:szCs w:val="18"/>
              </w:rPr>
              <w:t>У абзаці другому пункту 7 розділу 4 Законопроекту цифру «41» замінити цифрою «42».</w:t>
            </w:r>
          </w:p>
        </w:tc>
        <w:tc>
          <w:tcPr>
            <w:tcW w:w="1987" w:type="dxa"/>
          </w:tcPr>
          <w:p w14:paraId="7C859703" w14:textId="77777777" w:rsidR="008F1775" w:rsidRPr="00286216" w:rsidRDefault="008F1775" w:rsidP="008F1775">
            <w:pPr>
              <w:pStyle w:val="StyleWisnow"/>
              <w:spacing w:line="180" w:lineRule="exact"/>
              <w:rPr>
                <w:color w:val="000000" w:themeColor="text1"/>
              </w:rPr>
            </w:pPr>
            <w:r w:rsidRPr="00286216">
              <w:rPr>
                <w:color w:val="000000" w:themeColor="text1"/>
              </w:rPr>
              <w:t>Враховано по суті</w:t>
            </w:r>
          </w:p>
          <w:p w14:paraId="1F398B91" w14:textId="5DF59E0C" w:rsidR="008F1775" w:rsidRPr="00286216" w:rsidRDefault="008F1775" w:rsidP="008F1775">
            <w:pPr>
              <w:pStyle w:val="StyleWisnow"/>
              <w:spacing w:line="180" w:lineRule="exact"/>
              <w:rPr>
                <w:color w:val="000000" w:themeColor="text1"/>
              </w:rPr>
            </w:pPr>
            <w:r w:rsidRPr="00286216">
              <w:rPr>
                <w:color w:val="000000" w:themeColor="text1"/>
              </w:rPr>
              <w:t>у пунктах 10 і 11 Розділу Прикінцеві положення Закону "Про ринки капіталу та організовані товарні ринки"</w:t>
            </w:r>
          </w:p>
        </w:tc>
        <w:tc>
          <w:tcPr>
            <w:tcW w:w="4818" w:type="dxa"/>
          </w:tcPr>
          <w:p w14:paraId="7DABF697" w14:textId="77777777" w:rsidR="008F1775" w:rsidRPr="00286216" w:rsidRDefault="008F1775" w:rsidP="008F1775">
            <w:pPr>
              <w:pStyle w:val="StyleZakonu"/>
              <w:rPr>
                <w:color w:val="000000" w:themeColor="text1"/>
              </w:rPr>
            </w:pPr>
          </w:p>
        </w:tc>
      </w:tr>
      <w:tr w:rsidR="008F1775" w:rsidRPr="00286216" w14:paraId="7B70C6EA" w14:textId="77777777" w:rsidTr="00091AA5">
        <w:tc>
          <w:tcPr>
            <w:tcW w:w="576" w:type="dxa"/>
          </w:tcPr>
          <w:p w14:paraId="69A8A9B7" w14:textId="77777777" w:rsidR="008F1775" w:rsidRPr="00286216" w:rsidRDefault="008F1775" w:rsidP="008F1775">
            <w:pPr>
              <w:pStyle w:val="StyleWisnow"/>
              <w:rPr>
                <w:color w:val="000000" w:themeColor="text1"/>
              </w:rPr>
            </w:pPr>
            <w:bookmarkStart w:id="3794" w:name="n3920" w:colFirst="0" w:colLast="0"/>
            <w:bookmarkEnd w:id="3793"/>
            <w:r w:rsidRPr="00286216">
              <w:rPr>
                <w:color w:val="000000" w:themeColor="text1"/>
              </w:rPr>
              <w:t>3920.</w:t>
            </w:r>
          </w:p>
        </w:tc>
        <w:tc>
          <w:tcPr>
            <w:tcW w:w="4818" w:type="dxa"/>
          </w:tcPr>
          <w:p w14:paraId="0683CEEA" w14:textId="77777777" w:rsidR="008F1775" w:rsidRPr="00286216" w:rsidRDefault="008F1775" w:rsidP="008F1775">
            <w:pPr>
              <w:pStyle w:val="StyleZakonu"/>
              <w:rPr>
                <w:color w:val="000000" w:themeColor="text1"/>
              </w:rPr>
            </w:pPr>
            <w:r w:rsidRPr="00286216">
              <w:rPr>
                <w:color w:val="000000" w:themeColor="text1"/>
              </w:rPr>
              <w:t>Невиконання вимог цього пункту є підставою для анулювання відповідної ліцензії.</w:t>
            </w:r>
          </w:p>
        </w:tc>
        <w:tc>
          <w:tcPr>
            <w:tcW w:w="3686" w:type="dxa"/>
          </w:tcPr>
          <w:p w14:paraId="09A59D09" w14:textId="77777777" w:rsidR="008F1775" w:rsidRPr="00286216" w:rsidRDefault="008F1775" w:rsidP="008F1775">
            <w:pPr>
              <w:pStyle w:val="StyleProp"/>
              <w:rPr>
                <w:color w:val="000000" w:themeColor="text1"/>
                <w:szCs w:val="18"/>
              </w:rPr>
            </w:pPr>
          </w:p>
        </w:tc>
        <w:tc>
          <w:tcPr>
            <w:tcW w:w="1987" w:type="dxa"/>
          </w:tcPr>
          <w:p w14:paraId="31861453" w14:textId="77777777" w:rsidR="008F1775" w:rsidRPr="00286216" w:rsidRDefault="008F1775" w:rsidP="008F1775">
            <w:pPr>
              <w:pStyle w:val="StyleWisnow"/>
              <w:rPr>
                <w:color w:val="000000" w:themeColor="text1"/>
              </w:rPr>
            </w:pPr>
          </w:p>
        </w:tc>
        <w:tc>
          <w:tcPr>
            <w:tcW w:w="4818" w:type="dxa"/>
          </w:tcPr>
          <w:p w14:paraId="7FC67483" w14:textId="77777777" w:rsidR="008F1775" w:rsidRPr="00286216" w:rsidRDefault="008F1775" w:rsidP="008F1775">
            <w:pPr>
              <w:pStyle w:val="StyleZakonu"/>
              <w:rPr>
                <w:color w:val="000000" w:themeColor="text1"/>
              </w:rPr>
            </w:pPr>
          </w:p>
        </w:tc>
      </w:tr>
      <w:tr w:rsidR="008F1775" w:rsidRPr="00286216" w14:paraId="321960DE" w14:textId="77777777" w:rsidTr="00091AA5">
        <w:tc>
          <w:tcPr>
            <w:tcW w:w="576" w:type="dxa"/>
          </w:tcPr>
          <w:p w14:paraId="308BECA1" w14:textId="77777777" w:rsidR="008F1775" w:rsidRPr="00286216" w:rsidRDefault="008F1775" w:rsidP="008F1775">
            <w:pPr>
              <w:pStyle w:val="StyleWisnow"/>
              <w:rPr>
                <w:color w:val="000000" w:themeColor="text1"/>
              </w:rPr>
            </w:pPr>
            <w:bookmarkStart w:id="3795" w:name="n3921" w:colFirst="0" w:colLast="0"/>
            <w:bookmarkEnd w:id="3794"/>
            <w:r w:rsidRPr="00286216">
              <w:rPr>
                <w:color w:val="000000" w:themeColor="text1"/>
              </w:rPr>
              <w:lastRenderedPageBreak/>
              <w:t>3921.</w:t>
            </w:r>
          </w:p>
        </w:tc>
        <w:tc>
          <w:tcPr>
            <w:tcW w:w="4818" w:type="dxa"/>
          </w:tcPr>
          <w:p w14:paraId="0301AC71" w14:textId="77777777" w:rsidR="008F1775" w:rsidRPr="00286216" w:rsidRDefault="008F1775" w:rsidP="008F1775">
            <w:pPr>
              <w:pStyle w:val="StyleZakonu"/>
              <w:rPr>
                <w:color w:val="000000" w:themeColor="text1"/>
              </w:rPr>
            </w:pPr>
            <w:r w:rsidRPr="00286216">
              <w:rPr>
                <w:color w:val="000000" w:themeColor="text1"/>
              </w:rPr>
              <w:t>8. Інші ліцензії (крім наведених у пункті 6 цього розділу), дозволи, сертифікати, свідоцтва та інші документи дозвільного характеру на ринку цінних паперів (фондовому ринку), видані Національною комісією з цінних паперів та фондового ринку, вважаються переоформленими на відповідні документи на ринках капіталу у зв’язку з набранням чинності цим Законом.</w:t>
            </w:r>
          </w:p>
        </w:tc>
        <w:tc>
          <w:tcPr>
            <w:tcW w:w="3686" w:type="dxa"/>
          </w:tcPr>
          <w:p w14:paraId="71D82CE1" w14:textId="12DF8861"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1550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D3EB8D0"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Розділ 4 доповнити пунктом такого змісту:</w:t>
            </w:r>
          </w:p>
          <w:p w14:paraId="72411741" w14:textId="3A44CDD1" w:rsidR="008F1775" w:rsidRPr="00286216" w:rsidRDefault="008F1775" w:rsidP="008F1775">
            <w:pPr>
              <w:pStyle w:val="StyleProp"/>
              <w:spacing w:line="180" w:lineRule="exact"/>
              <w:rPr>
                <w:color w:val="000000" w:themeColor="text1"/>
                <w:szCs w:val="18"/>
              </w:rPr>
            </w:pPr>
            <w:r w:rsidRPr="00286216">
              <w:rPr>
                <w:color w:val="000000" w:themeColor="text1"/>
                <w:spacing w:val="-2"/>
              </w:rPr>
              <w:t xml:space="preserve">«З дня набрання чинності цим Законом професійні учасники ринків капіталу та організованих товарних ринків, що функціонують у формі товариства з обмеженою відповідальністю або товариства з додатковою відповідальністю, та в яких не створена наглядова рада або інший орган, відповідальний за здійснення нагляду, можуть </w:t>
            </w:r>
            <w:r w:rsidRPr="00286216">
              <w:rPr>
                <w:color w:val="000000" w:themeColor="text1"/>
                <w:spacing w:val="-3"/>
              </w:rPr>
              <w:t>прийняти рішення про тимчасове, до 31 грудня 2022 року включно, покладення виконання функцій органу, відповідального за здійснення нагляду, на загальні збори учасників. П</w:t>
            </w:r>
            <w:r w:rsidRPr="00286216">
              <w:rPr>
                <w:color w:val="000000" w:themeColor="text1"/>
              </w:rPr>
              <w:t>ри цьому вимоги абзаців першого-третього частини сьомої статті 72 не поширюються на загальні збори учасників, що виконують функції органу, відповідального за здійснення нагляду</w:t>
            </w:r>
            <w:r w:rsidRPr="00286216">
              <w:rPr>
                <w:color w:val="000000" w:themeColor="text1"/>
                <w:spacing w:val="-3"/>
              </w:rPr>
              <w:t>».</w:t>
            </w:r>
          </w:p>
        </w:tc>
        <w:tc>
          <w:tcPr>
            <w:tcW w:w="1987" w:type="dxa"/>
          </w:tcPr>
          <w:p w14:paraId="7C98A4FC" w14:textId="77777777" w:rsidR="008F1775" w:rsidRPr="00286216" w:rsidRDefault="008F1775" w:rsidP="008F1775">
            <w:pPr>
              <w:pStyle w:val="StyleWisnow"/>
              <w:spacing w:line="180" w:lineRule="exact"/>
              <w:rPr>
                <w:color w:val="000000" w:themeColor="text1"/>
              </w:rPr>
            </w:pPr>
            <w:r w:rsidRPr="00286216">
              <w:rPr>
                <w:color w:val="000000" w:themeColor="text1"/>
              </w:rPr>
              <w:t>Враховано редакційно</w:t>
            </w:r>
          </w:p>
          <w:p w14:paraId="46261F43" w14:textId="06FE647E" w:rsidR="008F1775" w:rsidRPr="00286216" w:rsidRDefault="008F1775" w:rsidP="008F1775">
            <w:pPr>
              <w:pStyle w:val="StyleWisnow"/>
              <w:spacing w:line="180" w:lineRule="exact"/>
              <w:rPr>
                <w:color w:val="000000" w:themeColor="text1"/>
              </w:rPr>
            </w:pPr>
            <w:r w:rsidRPr="00286216">
              <w:rPr>
                <w:color w:val="000000" w:themeColor="text1"/>
              </w:rPr>
              <w:t>у пункті 9 Розділу Прикінцеві положення Закону "Про ринки капіталу та організовані товарні ринки".</w:t>
            </w:r>
          </w:p>
        </w:tc>
        <w:tc>
          <w:tcPr>
            <w:tcW w:w="4818" w:type="dxa"/>
          </w:tcPr>
          <w:p w14:paraId="3F8A277B" w14:textId="77777777" w:rsidR="008F1775" w:rsidRPr="00286216" w:rsidRDefault="008F1775" w:rsidP="008F1775">
            <w:pPr>
              <w:pStyle w:val="StyleZakonu"/>
              <w:rPr>
                <w:color w:val="000000" w:themeColor="text1"/>
              </w:rPr>
            </w:pPr>
          </w:p>
        </w:tc>
      </w:tr>
      <w:tr w:rsidR="008F1775" w:rsidRPr="00286216" w14:paraId="099BDBC5" w14:textId="77777777" w:rsidTr="00091AA5">
        <w:tc>
          <w:tcPr>
            <w:tcW w:w="576" w:type="dxa"/>
          </w:tcPr>
          <w:p w14:paraId="4B1E8861" w14:textId="77777777" w:rsidR="008F1775" w:rsidRPr="00286216" w:rsidRDefault="008F1775" w:rsidP="008F1775">
            <w:pPr>
              <w:pStyle w:val="StyleWisnow"/>
              <w:rPr>
                <w:color w:val="000000" w:themeColor="text1"/>
              </w:rPr>
            </w:pPr>
            <w:bookmarkStart w:id="3796" w:name="n3922" w:colFirst="0" w:colLast="0"/>
            <w:bookmarkEnd w:id="3795"/>
            <w:r w:rsidRPr="00286216">
              <w:rPr>
                <w:color w:val="000000" w:themeColor="text1"/>
              </w:rPr>
              <w:t>3922.</w:t>
            </w:r>
          </w:p>
        </w:tc>
        <w:tc>
          <w:tcPr>
            <w:tcW w:w="4818" w:type="dxa"/>
          </w:tcPr>
          <w:p w14:paraId="6D62CB73" w14:textId="77777777" w:rsidR="008F1775" w:rsidRPr="00286216" w:rsidRDefault="008F1775" w:rsidP="008F1775">
            <w:pPr>
              <w:pStyle w:val="StyleZakonu"/>
              <w:rPr>
                <w:color w:val="000000" w:themeColor="text1"/>
              </w:rPr>
            </w:pPr>
            <w:r w:rsidRPr="00286216">
              <w:rPr>
                <w:color w:val="000000" w:themeColor="text1"/>
              </w:rPr>
              <w:t>9. З дня опублікування цього Закону товарні біржі мають право змінювати організаційно-правову форму та перетворюватись на товариства з обмеженою відповідальністю, товариства з додатковою відповідальністю або акціонерні товариства.</w:t>
            </w:r>
          </w:p>
        </w:tc>
        <w:tc>
          <w:tcPr>
            <w:tcW w:w="3686" w:type="dxa"/>
          </w:tcPr>
          <w:p w14:paraId="0223EF4C" w14:textId="77777777" w:rsidR="008F1775" w:rsidRPr="00286216" w:rsidRDefault="008F1775" w:rsidP="008F1775">
            <w:pPr>
              <w:pStyle w:val="StyleProp"/>
              <w:rPr>
                <w:color w:val="000000" w:themeColor="text1"/>
                <w:szCs w:val="18"/>
              </w:rPr>
            </w:pPr>
          </w:p>
        </w:tc>
        <w:tc>
          <w:tcPr>
            <w:tcW w:w="1987" w:type="dxa"/>
          </w:tcPr>
          <w:p w14:paraId="379FD51B" w14:textId="77777777" w:rsidR="008F1775" w:rsidRPr="00286216" w:rsidRDefault="008F1775" w:rsidP="008F1775">
            <w:pPr>
              <w:pStyle w:val="StyleWisnow"/>
              <w:rPr>
                <w:color w:val="000000" w:themeColor="text1"/>
              </w:rPr>
            </w:pPr>
          </w:p>
        </w:tc>
        <w:tc>
          <w:tcPr>
            <w:tcW w:w="4818" w:type="dxa"/>
          </w:tcPr>
          <w:p w14:paraId="09BF43E2" w14:textId="77777777" w:rsidR="008F1775" w:rsidRPr="00286216" w:rsidRDefault="008F1775" w:rsidP="008F1775">
            <w:pPr>
              <w:pStyle w:val="StyleZakonu"/>
              <w:rPr>
                <w:color w:val="000000" w:themeColor="text1"/>
              </w:rPr>
            </w:pPr>
          </w:p>
        </w:tc>
      </w:tr>
      <w:tr w:rsidR="008F1775" w:rsidRPr="00286216" w14:paraId="1D522C15" w14:textId="77777777" w:rsidTr="00091AA5">
        <w:tc>
          <w:tcPr>
            <w:tcW w:w="576" w:type="dxa"/>
          </w:tcPr>
          <w:p w14:paraId="3B4ABD8E" w14:textId="77777777" w:rsidR="008F1775" w:rsidRPr="00286216" w:rsidRDefault="008F1775" w:rsidP="008F1775">
            <w:pPr>
              <w:pStyle w:val="StyleWisnow"/>
              <w:rPr>
                <w:color w:val="000000" w:themeColor="text1"/>
              </w:rPr>
            </w:pPr>
            <w:bookmarkStart w:id="3797" w:name="n3923" w:colFirst="0" w:colLast="0"/>
            <w:bookmarkEnd w:id="3796"/>
            <w:r w:rsidRPr="00286216">
              <w:rPr>
                <w:color w:val="000000" w:themeColor="text1"/>
              </w:rPr>
              <w:t>3923.</w:t>
            </w:r>
          </w:p>
        </w:tc>
        <w:tc>
          <w:tcPr>
            <w:tcW w:w="4818" w:type="dxa"/>
          </w:tcPr>
          <w:p w14:paraId="3D56B1C6" w14:textId="77777777" w:rsidR="008F1775" w:rsidRPr="00286216" w:rsidRDefault="008F1775" w:rsidP="008F1775">
            <w:pPr>
              <w:pStyle w:val="StyleZakonu"/>
              <w:rPr>
                <w:color w:val="000000" w:themeColor="text1"/>
              </w:rPr>
            </w:pPr>
            <w:r w:rsidRPr="00286216">
              <w:rPr>
                <w:color w:val="000000" w:themeColor="text1"/>
              </w:rPr>
              <w:t>З 1 січня 2021 року товарні біржі мають право провадити свою діяльність виключно за умови отримання ліцензії на провадження професійної діяльності на організованих товарних ринках - діяльності з організації торгівлі продукцією на товарних біржах.</w:t>
            </w:r>
          </w:p>
        </w:tc>
        <w:tc>
          <w:tcPr>
            <w:tcW w:w="3686" w:type="dxa"/>
          </w:tcPr>
          <w:p w14:paraId="41EED3D1" w14:textId="53E9A398"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1551</w:t>
            </w:r>
            <w:r w:rsidRPr="00286216">
              <w:rPr>
                <w:color w:val="000000" w:themeColor="text1"/>
                <w:spacing w:val="-2"/>
              </w:rPr>
              <w:fldChar w:fldCharType="end"/>
            </w:r>
            <w:r w:rsidRPr="00286216">
              <w:rPr>
                <w:color w:val="000000" w:themeColor="text1"/>
                <w:spacing w:val="-2"/>
              </w:rPr>
              <w:t>-Н.д.Шахов С.В. (Реєстр.картка №114)</w:t>
            </w:r>
          </w:p>
          <w:p w14:paraId="0240DF6F" w14:textId="77777777" w:rsidR="008F1775" w:rsidRPr="00286216" w:rsidRDefault="008F1775" w:rsidP="008F1775">
            <w:pPr>
              <w:pStyle w:val="StyleProp"/>
              <w:rPr>
                <w:color w:val="000000" w:themeColor="text1"/>
                <w:spacing w:val="-4"/>
              </w:rPr>
            </w:pPr>
            <w:r w:rsidRPr="00286216">
              <w:rPr>
                <w:color w:val="000000" w:themeColor="text1"/>
                <w:spacing w:val="-4"/>
              </w:rPr>
              <w:t>Абз.2 п.9 розділу 4 викласти у такій редакції:</w:t>
            </w:r>
          </w:p>
          <w:p w14:paraId="0DC84506"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"З 1 січня 2021 року товарні біржі мають право провадити професійну діяльність на організованих товарних ринках виключно за умови державної реєстрації товарної біржі як юридичної особи та дотримання вимог Закону України «Про товарну біржу», у тому числі, якщо вимагається законодавством про товарні ринки або Законом України «Про ринки капіталу та організовані товарні ринки», отримання ліцензії(ій) (або іншого дозвільного документу, визначеного законодавством про товарні ринки) на провадження професійної діяльності на організованих товарних ринках – діяльності з організації торгівлі продукцією на товарних біржах та на ринках капіталу".</w:t>
            </w:r>
          </w:p>
        </w:tc>
        <w:tc>
          <w:tcPr>
            <w:tcW w:w="1987" w:type="dxa"/>
          </w:tcPr>
          <w:p w14:paraId="570CA44A" w14:textId="77777777" w:rsidR="008F1775" w:rsidRPr="00286216" w:rsidRDefault="008F1775" w:rsidP="008F1775">
            <w:pPr>
              <w:pStyle w:val="StyleWisnow"/>
              <w:rPr>
                <w:color w:val="000000" w:themeColor="text1"/>
              </w:rPr>
            </w:pPr>
            <w:r w:rsidRPr="00286216">
              <w:rPr>
                <w:color w:val="000000" w:themeColor="text1"/>
              </w:rPr>
              <w:t>Відхилено</w:t>
            </w:r>
          </w:p>
          <w:p w14:paraId="1B0782B4" w14:textId="0B7D4341" w:rsidR="008F1775" w:rsidRPr="00286216" w:rsidRDefault="008F1775" w:rsidP="008F1775">
            <w:pPr>
              <w:pStyle w:val="StyleWisnow"/>
              <w:spacing w:line="180" w:lineRule="exact"/>
              <w:rPr>
                <w:color w:val="000000" w:themeColor="text1"/>
              </w:rPr>
            </w:pPr>
            <w:r w:rsidRPr="00286216">
              <w:rPr>
                <w:color w:val="000000" w:themeColor="text1"/>
              </w:rPr>
              <w:t>законодавством не передбачено існування інших дозвільних документів</w:t>
            </w:r>
          </w:p>
        </w:tc>
        <w:tc>
          <w:tcPr>
            <w:tcW w:w="4818" w:type="dxa"/>
          </w:tcPr>
          <w:p w14:paraId="0A2DE260" w14:textId="77777777" w:rsidR="008F1775" w:rsidRPr="00286216" w:rsidRDefault="008F1775" w:rsidP="008F1775">
            <w:pPr>
              <w:pStyle w:val="StyleZakonu"/>
              <w:rPr>
                <w:color w:val="000000" w:themeColor="text1"/>
              </w:rPr>
            </w:pPr>
          </w:p>
        </w:tc>
      </w:tr>
      <w:tr w:rsidR="008F1775" w:rsidRPr="00286216" w14:paraId="3F4BD7F9" w14:textId="77777777" w:rsidTr="00091AA5">
        <w:tc>
          <w:tcPr>
            <w:tcW w:w="576" w:type="dxa"/>
          </w:tcPr>
          <w:p w14:paraId="7471E5BC" w14:textId="77777777" w:rsidR="008F1775" w:rsidRPr="00286216" w:rsidRDefault="008F1775" w:rsidP="008F1775">
            <w:pPr>
              <w:pStyle w:val="StyleWisnow"/>
              <w:rPr>
                <w:color w:val="000000" w:themeColor="text1"/>
              </w:rPr>
            </w:pPr>
            <w:bookmarkStart w:id="3798" w:name="n3924" w:colFirst="0" w:colLast="0"/>
            <w:bookmarkEnd w:id="3797"/>
            <w:r w:rsidRPr="00286216">
              <w:rPr>
                <w:color w:val="000000" w:themeColor="text1"/>
              </w:rPr>
              <w:t>3924.</w:t>
            </w:r>
          </w:p>
        </w:tc>
        <w:tc>
          <w:tcPr>
            <w:tcW w:w="4818" w:type="dxa"/>
          </w:tcPr>
          <w:p w14:paraId="508761C5" w14:textId="77777777" w:rsidR="008F1775" w:rsidRPr="00286216" w:rsidRDefault="008F1775" w:rsidP="008F1775">
            <w:pPr>
              <w:pStyle w:val="StyleZakonu"/>
              <w:rPr>
                <w:color w:val="000000" w:themeColor="text1"/>
              </w:rPr>
            </w:pPr>
            <w:r w:rsidRPr="00286216">
              <w:rPr>
                <w:color w:val="000000" w:themeColor="text1"/>
              </w:rPr>
              <w:t>З 1 січня 2021 року слова "товарна біржа" та похідні від них дозволяється використовувати у назві лише юридичним особам, які провадять професійну діяльність на організованих товарних ринках.</w:t>
            </w:r>
          </w:p>
        </w:tc>
        <w:tc>
          <w:tcPr>
            <w:tcW w:w="3686" w:type="dxa"/>
          </w:tcPr>
          <w:p w14:paraId="74BEA1CC" w14:textId="77777777" w:rsidR="008F1775" w:rsidRPr="00286216" w:rsidRDefault="008F1775" w:rsidP="008F1775">
            <w:pPr>
              <w:pStyle w:val="StyleProp"/>
              <w:rPr>
                <w:color w:val="000000" w:themeColor="text1"/>
                <w:szCs w:val="18"/>
              </w:rPr>
            </w:pPr>
          </w:p>
        </w:tc>
        <w:tc>
          <w:tcPr>
            <w:tcW w:w="1987" w:type="dxa"/>
          </w:tcPr>
          <w:p w14:paraId="50520A24" w14:textId="77777777" w:rsidR="008F1775" w:rsidRPr="00286216" w:rsidRDefault="008F1775" w:rsidP="008F1775">
            <w:pPr>
              <w:pStyle w:val="StyleWisnow"/>
              <w:rPr>
                <w:color w:val="000000" w:themeColor="text1"/>
              </w:rPr>
            </w:pPr>
          </w:p>
        </w:tc>
        <w:tc>
          <w:tcPr>
            <w:tcW w:w="4818" w:type="dxa"/>
          </w:tcPr>
          <w:p w14:paraId="765BEACE" w14:textId="77777777" w:rsidR="008F1775" w:rsidRPr="00286216" w:rsidRDefault="008F1775" w:rsidP="008F1775">
            <w:pPr>
              <w:pStyle w:val="StyleZakonu"/>
              <w:rPr>
                <w:color w:val="000000" w:themeColor="text1"/>
              </w:rPr>
            </w:pPr>
          </w:p>
        </w:tc>
      </w:tr>
      <w:tr w:rsidR="008F1775" w:rsidRPr="00286216" w14:paraId="0E8D4CA2" w14:textId="77777777" w:rsidTr="00091AA5">
        <w:tc>
          <w:tcPr>
            <w:tcW w:w="576" w:type="dxa"/>
          </w:tcPr>
          <w:p w14:paraId="5BA93E1A" w14:textId="77777777" w:rsidR="008F1775" w:rsidRPr="00286216" w:rsidRDefault="008F1775" w:rsidP="008F1775">
            <w:pPr>
              <w:pStyle w:val="StyleWisnow"/>
              <w:rPr>
                <w:color w:val="000000" w:themeColor="text1"/>
              </w:rPr>
            </w:pPr>
            <w:bookmarkStart w:id="3799" w:name="n3925" w:colFirst="0" w:colLast="0"/>
            <w:bookmarkEnd w:id="3798"/>
            <w:r w:rsidRPr="00286216">
              <w:rPr>
                <w:color w:val="000000" w:themeColor="text1"/>
              </w:rPr>
              <w:t>3925.</w:t>
            </w:r>
          </w:p>
        </w:tc>
        <w:tc>
          <w:tcPr>
            <w:tcW w:w="4818" w:type="dxa"/>
          </w:tcPr>
          <w:p w14:paraId="06C052B3" w14:textId="77777777" w:rsidR="008F1775" w:rsidRPr="00286216" w:rsidRDefault="008F1775" w:rsidP="008F1775">
            <w:pPr>
              <w:pStyle w:val="StyleZakonu"/>
              <w:rPr>
                <w:color w:val="000000" w:themeColor="text1"/>
              </w:rPr>
            </w:pPr>
            <w:bookmarkStart w:id="3800" w:name="_Ref18401192"/>
            <w:r w:rsidRPr="00286216">
              <w:rPr>
                <w:color w:val="000000" w:themeColor="text1"/>
              </w:rPr>
              <w:t xml:space="preserve">10. З 1 липня 2020 року Національна комісія з цінних паперів та фондового ринку має право видавати ліцензії на провадження професійної діяльності на організованих товарних ринках та здійснювати реєстрацію правил таких організованих товарних ринків, які набирають чинності з дня </w:t>
            </w:r>
            <w:r w:rsidRPr="00286216">
              <w:rPr>
                <w:color w:val="000000" w:themeColor="text1"/>
              </w:rPr>
              <w:lastRenderedPageBreak/>
              <w:t>набрання чинності цим Законом.</w:t>
            </w:r>
            <w:bookmarkEnd w:id="3800"/>
          </w:p>
        </w:tc>
        <w:tc>
          <w:tcPr>
            <w:tcW w:w="3686" w:type="dxa"/>
          </w:tcPr>
          <w:p w14:paraId="1B315C0B" w14:textId="3F80342C" w:rsidR="008F1775" w:rsidRPr="00286216" w:rsidRDefault="008F1775" w:rsidP="008F1775">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1552</w:t>
            </w:r>
            <w:r w:rsidRPr="00286216">
              <w:rPr>
                <w:color w:val="000000" w:themeColor="text1"/>
                <w:spacing w:val="-2"/>
              </w:rPr>
              <w:fldChar w:fldCharType="end"/>
            </w:r>
            <w:r w:rsidRPr="00286216">
              <w:rPr>
                <w:color w:val="000000" w:themeColor="text1"/>
                <w:spacing w:val="-2"/>
              </w:rPr>
              <w:t>-Н.д.Шахов С.В. (Реєстр.картка №114)</w:t>
            </w:r>
          </w:p>
          <w:p w14:paraId="4FA4E29E" w14:textId="77777777" w:rsidR="008F1775" w:rsidRPr="00286216" w:rsidRDefault="008F1775" w:rsidP="008F1775">
            <w:pPr>
              <w:pStyle w:val="StyleProp"/>
              <w:rPr>
                <w:color w:val="000000" w:themeColor="text1"/>
                <w:spacing w:val="-4"/>
              </w:rPr>
            </w:pPr>
            <w:r w:rsidRPr="00286216">
              <w:rPr>
                <w:color w:val="000000" w:themeColor="text1"/>
                <w:spacing w:val="-4"/>
              </w:rPr>
              <w:t>П. 10 розділу 4 викласти у такій редакції:</w:t>
            </w:r>
          </w:p>
          <w:p w14:paraId="0396B253" w14:textId="77777777" w:rsidR="008F1775" w:rsidRPr="00286216" w:rsidRDefault="008F1775" w:rsidP="008F1775">
            <w:pPr>
              <w:pStyle w:val="StyleProp"/>
              <w:spacing w:line="180" w:lineRule="exact"/>
              <w:rPr>
                <w:color w:val="000000" w:themeColor="text1"/>
                <w:spacing w:val="-3"/>
              </w:rPr>
            </w:pPr>
            <w:r w:rsidRPr="00286216">
              <w:rPr>
                <w:color w:val="000000" w:themeColor="text1"/>
                <w:spacing w:val="-3"/>
              </w:rPr>
              <w:t xml:space="preserve">"10. З 1 липня 2020 року Національна комісія з цінних паперів та фондового ринку в частині ринків, на яких вона є регулятором відповідно до Закону України «Про ринки капіталу та організовані товарні ринки», має </w:t>
            </w:r>
            <w:r w:rsidRPr="00286216">
              <w:rPr>
                <w:color w:val="000000" w:themeColor="text1"/>
                <w:spacing w:val="-3"/>
              </w:rPr>
              <w:lastRenderedPageBreak/>
              <w:t>право видавати ліцензії на провадження професійної діяльності на організованих товарних ринках та здійснювати реєстрацію правил таких організованих товарних ринків, які набирають чинності з дня набрання чинності цим Законом.</w:t>
            </w:r>
          </w:p>
        </w:tc>
        <w:tc>
          <w:tcPr>
            <w:tcW w:w="1987" w:type="dxa"/>
          </w:tcPr>
          <w:p w14:paraId="4743D558" w14:textId="02F55566" w:rsidR="008F1775" w:rsidRPr="00286216" w:rsidRDefault="008F1775" w:rsidP="008F1775">
            <w:pPr>
              <w:pStyle w:val="StyleWisnow"/>
              <w:spacing w:line="180" w:lineRule="exact"/>
              <w:rPr>
                <w:color w:val="000000" w:themeColor="text1"/>
              </w:rPr>
            </w:pPr>
            <w:r w:rsidRPr="00286216">
              <w:rPr>
                <w:color w:val="000000" w:themeColor="text1"/>
              </w:rPr>
              <w:lastRenderedPageBreak/>
              <w:t>Відхилено</w:t>
            </w:r>
          </w:p>
          <w:p w14:paraId="18D9DD4F" w14:textId="22A98C03" w:rsidR="008F1775" w:rsidRPr="00286216" w:rsidRDefault="008F1775" w:rsidP="008F1775">
            <w:pPr>
              <w:pStyle w:val="StyleWisnow"/>
              <w:spacing w:line="180" w:lineRule="exact"/>
              <w:rPr>
                <w:color w:val="000000" w:themeColor="text1"/>
              </w:rPr>
            </w:pPr>
            <w:r w:rsidRPr="00286216">
              <w:rPr>
                <w:color w:val="000000" w:themeColor="text1"/>
              </w:rPr>
              <w:t xml:space="preserve">Закон "Про ринки капіталу та організовані товарні ринки" передбачає виключну компетенцію НКЦПФР щодо </w:t>
            </w:r>
            <w:r w:rsidRPr="00286216">
              <w:rPr>
                <w:color w:val="000000" w:themeColor="text1"/>
              </w:rPr>
              <w:lastRenderedPageBreak/>
              <w:t>регулювання діяльності товарних бірж</w:t>
            </w:r>
          </w:p>
          <w:p w14:paraId="105C7DD8" w14:textId="77777777" w:rsidR="008F1775" w:rsidRPr="00286216" w:rsidRDefault="008F1775" w:rsidP="008F1775">
            <w:pPr>
              <w:pStyle w:val="StyleWisnow"/>
              <w:rPr>
                <w:color w:val="000000" w:themeColor="text1"/>
              </w:rPr>
            </w:pPr>
          </w:p>
        </w:tc>
        <w:tc>
          <w:tcPr>
            <w:tcW w:w="4818" w:type="dxa"/>
          </w:tcPr>
          <w:p w14:paraId="47547806" w14:textId="77777777" w:rsidR="008F1775" w:rsidRPr="00286216" w:rsidRDefault="008F1775" w:rsidP="008F1775">
            <w:pPr>
              <w:pStyle w:val="StyleZakonu"/>
              <w:rPr>
                <w:color w:val="000000" w:themeColor="text1"/>
              </w:rPr>
            </w:pPr>
          </w:p>
        </w:tc>
      </w:tr>
      <w:tr w:rsidR="008F1775" w:rsidRPr="00286216" w14:paraId="116B9969" w14:textId="77777777" w:rsidTr="00091AA5">
        <w:tc>
          <w:tcPr>
            <w:tcW w:w="576" w:type="dxa"/>
          </w:tcPr>
          <w:p w14:paraId="5DC19D25" w14:textId="77777777" w:rsidR="008F1775" w:rsidRPr="00286216" w:rsidRDefault="008F1775" w:rsidP="008F1775">
            <w:pPr>
              <w:pStyle w:val="StyleWisnow"/>
              <w:rPr>
                <w:color w:val="000000" w:themeColor="text1"/>
              </w:rPr>
            </w:pPr>
            <w:bookmarkStart w:id="3801" w:name="n3926" w:colFirst="0" w:colLast="0"/>
            <w:bookmarkEnd w:id="3799"/>
            <w:r w:rsidRPr="00286216">
              <w:rPr>
                <w:color w:val="000000" w:themeColor="text1"/>
              </w:rPr>
              <w:t>3926.</w:t>
            </w:r>
          </w:p>
        </w:tc>
        <w:tc>
          <w:tcPr>
            <w:tcW w:w="4818" w:type="dxa"/>
          </w:tcPr>
          <w:p w14:paraId="67B67A6B" w14:textId="77777777" w:rsidR="008F1775" w:rsidRPr="00286216" w:rsidRDefault="008F1775" w:rsidP="008F1775">
            <w:pPr>
              <w:pStyle w:val="StyleZakonu"/>
              <w:rPr>
                <w:color w:val="000000" w:themeColor="text1"/>
              </w:rPr>
            </w:pPr>
            <w:r w:rsidRPr="00286216">
              <w:rPr>
                <w:color w:val="000000" w:themeColor="text1"/>
              </w:rPr>
              <w:t>З 1 липня 2020 року Національний банк України має право відкривати рахунки кліринговим установам та Центральному депозитарію цінних паперів рахунки для забезпечення здійснення грошових розрахунків відповідно до Закону України "Про ринки капіталу та організовані товарні ринки".</w:t>
            </w:r>
          </w:p>
        </w:tc>
        <w:tc>
          <w:tcPr>
            <w:tcW w:w="3686" w:type="dxa"/>
          </w:tcPr>
          <w:p w14:paraId="5E833CE0"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З 1 липня 2020 року Національний банк України та банки України мають право відкривати рахунки операторам організованих ринків (у тому числі товарним біржам), що провадять (мають намір провадити) клірингову діяльність у випадках і в межах, встановлених законом, кліринговим установам та Центральному депозитарію цінних паперів рахунки для забезпечення здійснення грошових розрахунків відповідно до Закону України «Про ринки капіталу та організовані товарні ринки» та Закону України «Про товарну біржу».</w:t>
            </w:r>
          </w:p>
        </w:tc>
        <w:tc>
          <w:tcPr>
            <w:tcW w:w="1987" w:type="dxa"/>
          </w:tcPr>
          <w:p w14:paraId="6BC34DB1" w14:textId="77777777" w:rsidR="008F1775" w:rsidRPr="00286216" w:rsidRDefault="008F1775" w:rsidP="008F1775">
            <w:pPr>
              <w:pStyle w:val="StyleWisnow"/>
              <w:rPr>
                <w:color w:val="000000" w:themeColor="text1"/>
              </w:rPr>
            </w:pPr>
          </w:p>
        </w:tc>
        <w:tc>
          <w:tcPr>
            <w:tcW w:w="4818" w:type="dxa"/>
          </w:tcPr>
          <w:p w14:paraId="3E8863DB" w14:textId="77777777" w:rsidR="008F1775" w:rsidRPr="00286216" w:rsidRDefault="008F1775" w:rsidP="008F1775">
            <w:pPr>
              <w:pStyle w:val="StyleZakonu"/>
              <w:rPr>
                <w:color w:val="000000" w:themeColor="text1"/>
              </w:rPr>
            </w:pPr>
          </w:p>
        </w:tc>
      </w:tr>
      <w:tr w:rsidR="008F1775" w:rsidRPr="00286216" w14:paraId="17AC3ED6" w14:textId="77777777" w:rsidTr="00091AA5">
        <w:tc>
          <w:tcPr>
            <w:tcW w:w="576" w:type="dxa"/>
          </w:tcPr>
          <w:p w14:paraId="67E9043E" w14:textId="77777777" w:rsidR="008F1775" w:rsidRPr="00286216" w:rsidRDefault="008F1775" w:rsidP="008F1775">
            <w:pPr>
              <w:pStyle w:val="StyleWisnow"/>
              <w:rPr>
                <w:color w:val="000000" w:themeColor="text1"/>
              </w:rPr>
            </w:pPr>
            <w:bookmarkStart w:id="3802" w:name="n3927" w:colFirst="0" w:colLast="0"/>
            <w:bookmarkEnd w:id="3801"/>
            <w:r w:rsidRPr="00286216">
              <w:rPr>
                <w:color w:val="000000" w:themeColor="text1"/>
              </w:rPr>
              <w:t>3927.</w:t>
            </w:r>
          </w:p>
        </w:tc>
        <w:tc>
          <w:tcPr>
            <w:tcW w:w="4818" w:type="dxa"/>
          </w:tcPr>
          <w:p w14:paraId="7154BA14" w14:textId="77777777" w:rsidR="008F1775" w:rsidRPr="00286216" w:rsidRDefault="008F1775" w:rsidP="00286216">
            <w:pPr>
              <w:pStyle w:val="StyleZakonu"/>
              <w:spacing w:after="20"/>
              <w:rPr>
                <w:color w:val="000000" w:themeColor="text1"/>
              </w:rPr>
            </w:pPr>
            <w:bookmarkStart w:id="3803" w:name="_Ref18400736"/>
            <w:r w:rsidRPr="00286216">
              <w:rPr>
                <w:color w:val="000000" w:themeColor="text1"/>
              </w:rPr>
              <w:t>11. На період до 1 січня 2023 року клірингова діяльність Центрального контрагента щодо деривативних контрактів, а також щодо активів, допущених до торгів на регульованому товарному ринку, а саме продукції та іншого майна, визначеного родовими ознаками, може здійснюватися операторами відповідного організованого ринку, за умови отримання ліцензії на провадження клірингової діяльності з визначення зобов’язань та реєстрації у Національній комісії з цінних паперів та фондового ринку правил здійснення клірингової діяльності Центрального контрагента.</w:t>
            </w:r>
            <w:bookmarkEnd w:id="3803"/>
          </w:p>
        </w:tc>
        <w:tc>
          <w:tcPr>
            <w:tcW w:w="3686" w:type="dxa"/>
          </w:tcPr>
          <w:p w14:paraId="5A737F42" w14:textId="1FADECBE"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1553</w:t>
            </w:r>
            <w:r w:rsidRPr="00286216">
              <w:rPr>
                <w:color w:val="000000" w:themeColor="text1"/>
                <w:spacing w:val="-2"/>
              </w:rPr>
              <w:fldChar w:fldCharType="end"/>
            </w:r>
            <w:r w:rsidRPr="00286216">
              <w:rPr>
                <w:color w:val="000000" w:themeColor="text1"/>
                <w:spacing w:val="-2"/>
              </w:rPr>
              <w:t>-Н.д.Шахов С.В. (Реєстр.картка №114)</w:t>
            </w:r>
          </w:p>
          <w:p w14:paraId="1BE5F9B2"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В абзаці першому пункту 11 розділу 4 слова «отримання ліцензії на провадження клірингової діяльності з визначення зобов’язань та реєстрації у Національній комісії з цінних паперів та фондового ринку правил здійснення клірингової діяльності Центрального контрагента» замінити словами «дотримання вимог, встановлених Законом України «Про ринки капіталу та організовані товарні ринки».</w:t>
            </w:r>
          </w:p>
        </w:tc>
        <w:tc>
          <w:tcPr>
            <w:tcW w:w="1987" w:type="dxa"/>
          </w:tcPr>
          <w:p w14:paraId="3E7DF943" w14:textId="2D7BC68F" w:rsidR="008F1775" w:rsidRPr="00286216" w:rsidRDefault="008F1775" w:rsidP="008F1775">
            <w:pPr>
              <w:pStyle w:val="StyleWisnow"/>
              <w:spacing w:line="180" w:lineRule="atLeast"/>
              <w:rPr>
                <w:color w:val="000000" w:themeColor="text1"/>
              </w:rPr>
            </w:pPr>
            <w:r w:rsidRPr="00286216">
              <w:rPr>
                <w:color w:val="000000" w:themeColor="text1"/>
              </w:rPr>
              <w:t>Враховано по суті</w:t>
            </w:r>
          </w:p>
          <w:p w14:paraId="488CB1AC" w14:textId="640801D3" w:rsidR="008F1775" w:rsidRPr="00286216" w:rsidRDefault="008F1775" w:rsidP="008F1775">
            <w:pPr>
              <w:pStyle w:val="StyleWisnow"/>
              <w:spacing w:line="180" w:lineRule="atLeast"/>
              <w:rPr>
                <w:color w:val="000000" w:themeColor="text1"/>
              </w:rPr>
            </w:pPr>
            <w:r w:rsidRPr="00286216">
              <w:rPr>
                <w:color w:val="000000" w:themeColor="text1"/>
              </w:rPr>
              <w:t>у пункті 5 Розділу Прикінцеві положення Закону "Про ринки капіталу та організовані товарні ринки" та у пункті 5 розділу Прикінцеві положення Закону "Товарні біржі"</w:t>
            </w:r>
          </w:p>
        </w:tc>
        <w:tc>
          <w:tcPr>
            <w:tcW w:w="4818" w:type="dxa"/>
          </w:tcPr>
          <w:p w14:paraId="5888EB00" w14:textId="77777777" w:rsidR="008F1775" w:rsidRPr="00286216" w:rsidRDefault="008F1775" w:rsidP="008F1775">
            <w:pPr>
              <w:pStyle w:val="StyleZakonu"/>
              <w:rPr>
                <w:color w:val="000000" w:themeColor="text1"/>
              </w:rPr>
            </w:pPr>
          </w:p>
        </w:tc>
      </w:tr>
      <w:tr w:rsidR="008F1775" w:rsidRPr="00286216" w14:paraId="3C0251C0" w14:textId="77777777" w:rsidTr="00091AA5">
        <w:tc>
          <w:tcPr>
            <w:tcW w:w="576" w:type="dxa"/>
          </w:tcPr>
          <w:p w14:paraId="45F3576E" w14:textId="77777777" w:rsidR="008F1775" w:rsidRPr="00286216" w:rsidRDefault="008F1775" w:rsidP="008F1775">
            <w:pPr>
              <w:pStyle w:val="StyleWisnow"/>
              <w:rPr>
                <w:color w:val="000000" w:themeColor="text1"/>
              </w:rPr>
            </w:pPr>
            <w:bookmarkStart w:id="3804" w:name="n3928" w:colFirst="0" w:colLast="0"/>
            <w:bookmarkEnd w:id="3802"/>
            <w:r w:rsidRPr="00286216">
              <w:rPr>
                <w:color w:val="000000" w:themeColor="text1"/>
              </w:rPr>
              <w:t>3928.</w:t>
            </w:r>
          </w:p>
        </w:tc>
        <w:tc>
          <w:tcPr>
            <w:tcW w:w="4818" w:type="dxa"/>
          </w:tcPr>
          <w:p w14:paraId="236DFFF0" w14:textId="77777777" w:rsidR="008F1775" w:rsidRPr="00286216" w:rsidRDefault="008F1775" w:rsidP="00286216">
            <w:pPr>
              <w:pStyle w:val="StyleZakonu"/>
              <w:spacing w:after="20"/>
              <w:rPr>
                <w:color w:val="000000" w:themeColor="text1"/>
              </w:rPr>
            </w:pPr>
            <w:r w:rsidRPr="00286216">
              <w:rPr>
                <w:color w:val="000000" w:themeColor="text1"/>
              </w:rPr>
              <w:t>Після 1 січня 2023 року такі оператори організованого ринку можуть здійснювати клірингову діяльність Центрального контрагента, у разі якщо жодна юридична особа (у тому числі іноземна) не матиме чинної ліцензії на провадження професійної діяльності на ринках капіталу - клірингової діяльності Центрального контрагента та зареєстрованих відповідно до закону правил здійснення клірингової діяльності Центрального контрагента, які передбачатимуть здійснення клірингової діяльності Центрального контрагента щодо деривативних контрактів, а також щодо активів, допущених до торгів на регульованому товарному ринку, а саме продукції та іншого майна, визначеного родовими ознаками, відповідно.</w:t>
            </w:r>
          </w:p>
        </w:tc>
        <w:tc>
          <w:tcPr>
            <w:tcW w:w="3686" w:type="dxa"/>
          </w:tcPr>
          <w:p w14:paraId="4E006005" w14:textId="77777777" w:rsidR="008F1775" w:rsidRPr="00286216" w:rsidRDefault="008F1775" w:rsidP="008F1775">
            <w:pPr>
              <w:pStyle w:val="StyleProp"/>
              <w:rPr>
                <w:color w:val="000000" w:themeColor="text1"/>
                <w:szCs w:val="18"/>
              </w:rPr>
            </w:pPr>
          </w:p>
        </w:tc>
        <w:tc>
          <w:tcPr>
            <w:tcW w:w="1987" w:type="dxa"/>
          </w:tcPr>
          <w:p w14:paraId="7F7084BE" w14:textId="77777777" w:rsidR="008F1775" w:rsidRPr="00286216" w:rsidRDefault="008F1775" w:rsidP="008F1775">
            <w:pPr>
              <w:pStyle w:val="StyleWisnow"/>
              <w:rPr>
                <w:color w:val="000000" w:themeColor="text1"/>
              </w:rPr>
            </w:pPr>
          </w:p>
        </w:tc>
        <w:tc>
          <w:tcPr>
            <w:tcW w:w="4818" w:type="dxa"/>
          </w:tcPr>
          <w:p w14:paraId="1AA16091" w14:textId="77777777" w:rsidR="008F1775" w:rsidRPr="00286216" w:rsidRDefault="008F1775" w:rsidP="008F1775">
            <w:pPr>
              <w:pStyle w:val="StyleZakonu"/>
              <w:rPr>
                <w:color w:val="000000" w:themeColor="text1"/>
              </w:rPr>
            </w:pPr>
          </w:p>
        </w:tc>
      </w:tr>
      <w:tr w:rsidR="008F1775" w:rsidRPr="00286216" w14:paraId="29B36178" w14:textId="77777777" w:rsidTr="00091AA5">
        <w:tc>
          <w:tcPr>
            <w:tcW w:w="576" w:type="dxa"/>
          </w:tcPr>
          <w:p w14:paraId="4006F9A2" w14:textId="77777777" w:rsidR="008F1775" w:rsidRPr="00286216" w:rsidRDefault="008F1775" w:rsidP="008F1775">
            <w:pPr>
              <w:pStyle w:val="StyleWisnow"/>
              <w:rPr>
                <w:color w:val="000000" w:themeColor="text1"/>
              </w:rPr>
            </w:pPr>
            <w:bookmarkStart w:id="3805" w:name="n3929" w:colFirst="0" w:colLast="0"/>
            <w:bookmarkEnd w:id="3804"/>
            <w:r w:rsidRPr="00286216">
              <w:rPr>
                <w:color w:val="000000" w:themeColor="text1"/>
              </w:rPr>
              <w:t>3929.</w:t>
            </w:r>
          </w:p>
        </w:tc>
        <w:tc>
          <w:tcPr>
            <w:tcW w:w="4818" w:type="dxa"/>
          </w:tcPr>
          <w:p w14:paraId="66A38F3F" w14:textId="77777777" w:rsidR="008F1775" w:rsidRPr="00286216" w:rsidRDefault="008F1775" w:rsidP="00286216">
            <w:pPr>
              <w:pStyle w:val="StyleZakonu"/>
              <w:spacing w:after="20"/>
              <w:rPr>
                <w:color w:val="000000" w:themeColor="text1"/>
              </w:rPr>
            </w:pPr>
            <w:r w:rsidRPr="00286216">
              <w:rPr>
                <w:color w:val="000000" w:themeColor="text1"/>
              </w:rPr>
              <w:t xml:space="preserve">Зазначені оператори організованого ринку припиняють здійснення клірингової діяльності Центрального контрагента через шість місяців з дня </w:t>
            </w:r>
            <w:r w:rsidRPr="00286216">
              <w:rPr>
                <w:color w:val="000000" w:themeColor="text1"/>
              </w:rPr>
              <w:lastRenderedPageBreak/>
              <w:t>реєстрації відповідно до закону правил здійснення клірингової діяльності Центрального контрагента особи зазначеної в абзаці другому цього пункту, які передбачатимуть здійснення клірингової діяльності Центрального контрагента щодо деривативних контрактів, а також щодо активів, допущених до торгів на регульованому товарному ринку, а саме продукції та іншого майна, визначеного родовими ознаками, відповідно, але не раніше 1 січня 2023 року.</w:t>
            </w:r>
          </w:p>
        </w:tc>
        <w:tc>
          <w:tcPr>
            <w:tcW w:w="3686" w:type="dxa"/>
          </w:tcPr>
          <w:p w14:paraId="2BBB4419" w14:textId="77777777" w:rsidR="008F1775" w:rsidRPr="00286216" w:rsidRDefault="008F1775" w:rsidP="008F1775">
            <w:pPr>
              <w:pStyle w:val="StyleProp"/>
              <w:rPr>
                <w:color w:val="000000" w:themeColor="text1"/>
                <w:szCs w:val="18"/>
              </w:rPr>
            </w:pPr>
          </w:p>
        </w:tc>
        <w:tc>
          <w:tcPr>
            <w:tcW w:w="1987" w:type="dxa"/>
          </w:tcPr>
          <w:p w14:paraId="4A302F40" w14:textId="77777777" w:rsidR="008F1775" w:rsidRPr="00286216" w:rsidRDefault="008F1775" w:rsidP="008F1775">
            <w:pPr>
              <w:pStyle w:val="StyleWisnow"/>
              <w:rPr>
                <w:color w:val="000000" w:themeColor="text1"/>
              </w:rPr>
            </w:pPr>
          </w:p>
        </w:tc>
        <w:tc>
          <w:tcPr>
            <w:tcW w:w="4818" w:type="dxa"/>
          </w:tcPr>
          <w:p w14:paraId="35917E9F" w14:textId="77777777" w:rsidR="008F1775" w:rsidRPr="00286216" w:rsidRDefault="008F1775" w:rsidP="008F1775">
            <w:pPr>
              <w:pStyle w:val="StyleZakonu"/>
              <w:rPr>
                <w:color w:val="000000" w:themeColor="text1"/>
              </w:rPr>
            </w:pPr>
          </w:p>
        </w:tc>
      </w:tr>
      <w:tr w:rsidR="008F1775" w:rsidRPr="00286216" w14:paraId="2883B7B9" w14:textId="77777777" w:rsidTr="00091AA5">
        <w:tc>
          <w:tcPr>
            <w:tcW w:w="576" w:type="dxa"/>
          </w:tcPr>
          <w:p w14:paraId="61AF0BEA" w14:textId="77777777" w:rsidR="008F1775" w:rsidRPr="00286216" w:rsidRDefault="008F1775" w:rsidP="008F1775">
            <w:pPr>
              <w:pStyle w:val="StyleWisnow"/>
              <w:rPr>
                <w:color w:val="000000" w:themeColor="text1"/>
              </w:rPr>
            </w:pPr>
            <w:bookmarkStart w:id="3806" w:name="n3930" w:colFirst="0" w:colLast="0"/>
            <w:bookmarkEnd w:id="3805"/>
            <w:r w:rsidRPr="00286216">
              <w:rPr>
                <w:color w:val="000000" w:themeColor="text1"/>
              </w:rPr>
              <w:t>3930.</w:t>
            </w:r>
          </w:p>
        </w:tc>
        <w:tc>
          <w:tcPr>
            <w:tcW w:w="4818" w:type="dxa"/>
          </w:tcPr>
          <w:p w14:paraId="1368E940" w14:textId="77777777" w:rsidR="008F1775" w:rsidRPr="00286216" w:rsidRDefault="008F1775" w:rsidP="00286216">
            <w:pPr>
              <w:pStyle w:val="StyleZakonu"/>
              <w:spacing w:after="20"/>
              <w:rPr>
                <w:color w:val="000000" w:themeColor="text1"/>
              </w:rPr>
            </w:pPr>
            <w:r w:rsidRPr="00286216">
              <w:rPr>
                <w:color w:val="000000" w:themeColor="text1"/>
              </w:rPr>
              <w:t>У випадку провадження оператором організованого ринку клірингової діяльності Центрального контрагента вимоги частини 6 статті 48, частини 8 статті 49 та пункту 9 частини 1 статті 50 Закону України "Про ринки капіталу та організовані товарні ринки" не застосовуються.</w:t>
            </w:r>
          </w:p>
        </w:tc>
        <w:tc>
          <w:tcPr>
            <w:tcW w:w="3686" w:type="dxa"/>
          </w:tcPr>
          <w:p w14:paraId="3AC8FC8A" w14:textId="74C855BB"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1554</w:t>
            </w:r>
            <w:r w:rsidRPr="00286216">
              <w:rPr>
                <w:color w:val="000000" w:themeColor="text1"/>
                <w:szCs w:val="18"/>
              </w:rPr>
              <w:fldChar w:fldCharType="end"/>
            </w:r>
            <w:r w:rsidRPr="00286216">
              <w:rPr>
                <w:color w:val="000000" w:themeColor="text1"/>
                <w:szCs w:val="18"/>
              </w:rPr>
              <w:t>-</w:t>
            </w:r>
            <w:r w:rsidRPr="00286216">
              <w:rPr>
                <w:color w:val="000000" w:themeColor="text1"/>
                <w:spacing w:val="-6"/>
                <w:szCs w:val="18"/>
              </w:rPr>
              <w:t>Н.д.Цабаль В.В.(Реєстр.картка №444)</w:t>
            </w:r>
          </w:p>
          <w:p w14:paraId="4B8D0E21" w14:textId="77777777" w:rsidR="008F1775" w:rsidRPr="00286216" w:rsidRDefault="008F1775" w:rsidP="008F1775">
            <w:pPr>
              <w:pStyle w:val="StyleProp"/>
              <w:rPr>
                <w:color w:val="000000" w:themeColor="text1"/>
                <w:szCs w:val="18"/>
              </w:rPr>
            </w:pPr>
            <w:r w:rsidRPr="00286216">
              <w:rPr>
                <w:color w:val="000000" w:themeColor="text1"/>
                <w:szCs w:val="18"/>
              </w:rPr>
              <w:t>У абзаці четвертому пункту 11 розділу 4 Законопроекту цифри «48», «49» та «50» замінити відповідно цифрами «49», «50» та «51».</w:t>
            </w:r>
          </w:p>
        </w:tc>
        <w:tc>
          <w:tcPr>
            <w:tcW w:w="1987" w:type="dxa"/>
          </w:tcPr>
          <w:p w14:paraId="26C626C7" w14:textId="77777777" w:rsidR="008F1775" w:rsidRPr="00286216" w:rsidRDefault="008F1775" w:rsidP="008F1775">
            <w:pPr>
              <w:pStyle w:val="StyleWisnow"/>
              <w:rPr>
                <w:color w:val="000000" w:themeColor="text1"/>
              </w:rPr>
            </w:pPr>
            <w:r w:rsidRPr="00286216">
              <w:rPr>
                <w:color w:val="000000" w:themeColor="text1"/>
              </w:rPr>
              <w:t>Враховано по суті</w:t>
            </w:r>
          </w:p>
          <w:p w14:paraId="7D63D336" w14:textId="41DE40D6" w:rsidR="008F1775" w:rsidRPr="00286216" w:rsidRDefault="008F1775" w:rsidP="008F1775">
            <w:pPr>
              <w:pStyle w:val="StyleWisnow"/>
              <w:spacing w:line="180" w:lineRule="exact"/>
              <w:rPr>
                <w:color w:val="000000" w:themeColor="text1"/>
                <w:spacing w:val="-2"/>
              </w:rPr>
            </w:pPr>
            <w:r w:rsidRPr="00286216">
              <w:rPr>
                <w:color w:val="000000" w:themeColor="text1"/>
                <w:spacing w:val="-2"/>
              </w:rPr>
              <w:t xml:space="preserve">у пункті 5 розділу Прикінцеві положення Закону "Про ринки капіталу та організовані товарні ринки" </w:t>
            </w:r>
          </w:p>
        </w:tc>
        <w:tc>
          <w:tcPr>
            <w:tcW w:w="4818" w:type="dxa"/>
          </w:tcPr>
          <w:p w14:paraId="79AACCE7" w14:textId="77777777" w:rsidR="008F1775" w:rsidRPr="00286216" w:rsidRDefault="008F1775" w:rsidP="008F1775">
            <w:pPr>
              <w:pStyle w:val="StyleZakonu"/>
              <w:rPr>
                <w:color w:val="000000" w:themeColor="text1"/>
              </w:rPr>
            </w:pPr>
          </w:p>
        </w:tc>
      </w:tr>
      <w:tr w:rsidR="008F1775" w:rsidRPr="00286216" w14:paraId="432CAD21" w14:textId="77777777" w:rsidTr="00091AA5">
        <w:tc>
          <w:tcPr>
            <w:tcW w:w="576" w:type="dxa"/>
          </w:tcPr>
          <w:p w14:paraId="602C0D25" w14:textId="77777777" w:rsidR="008F1775" w:rsidRPr="00286216" w:rsidRDefault="008F1775" w:rsidP="008F1775">
            <w:pPr>
              <w:pStyle w:val="StyleWisnow"/>
              <w:rPr>
                <w:color w:val="000000" w:themeColor="text1"/>
              </w:rPr>
            </w:pPr>
            <w:bookmarkStart w:id="3807" w:name="n3931" w:colFirst="0" w:colLast="0"/>
            <w:bookmarkEnd w:id="3806"/>
            <w:r w:rsidRPr="00286216">
              <w:rPr>
                <w:color w:val="000000" w:themeColor="text1"/>
              </w:rPr>
              <w:t>3931.</w:t>
            </w:r>
          </w:p>
        </w:tc>
        <w:tc>
          <w:tcPr>
            <w:tcW w:w="4818" w:type="dxa"/>
          </w:tcPr>
          <w:p w14:paraId="15013596" w14:textId="77777777" w:rsidR="008F1775" w:rsidRPr="00286216" w:rsidRDefault="008F1775" w:rsidP="00286216">
            <w:pPr>
              <w:pStyle w:val="StyleZakonu"/>
              <w:spacing w:after="20"/>
              <w:rPr>
                <w:color w:val="000000" w:themeColor="text1"/>
              </w:rPr>
            </w:pPr>
            <w:r w:rsidRPr="00286216">
              <w:rPr>
                <w:color w:val="000000" w:themeColor="text1"/>
              </w:rPr>
              <w:t>12. На період до 1 січня 2023 року клірингова діяльність Центрального контрагента щодо біржових товарів може здійснюватися товарними біржами за умови отримання ліцензії на провадження клірингової діяльності з визначення зобов’язань та реєстрації у Національній комісії з цінних паперів та фондового ринку правил здійснення клірингової діяльності Центрального контрагента.</w:t>
            </w:r>
          </w:p>
        </w:tc>
        <w:tc>
          <w:tcPr>
            <w:tcW w:w="3686" w:type="dxa"/>
          </w:tcPr>
          <w:p w14:paraId="6A71799B" w14:textId="1372F542"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1555</w:t>
            </w:r>
            <w:r w:rsidRPr="00286216">
              <w:rPr>
                <w:color w:val="000000" w:themeColor="text1"/>
                <w:spacing w:val="-2"/>
              </w:rPr>
              <w:fldChar w:fldCharType="end"/>
            </w:r>
            <w:r w:rsidRPr="00286216">
              <w:rPr>
                <w:color w:val="000000" w:themeColor="text1"/>
                <w:spacing w:val="-2"/>
              </w:rPr>
              <w:t>-Н.д.Шахов С.В. (Реєстр.картка №114)</w:t>
            </w:r>
          </w:p>
          <w:p w14:paraId="1E531F67"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В абзаці першому пункту 12 розділу 4 слова «отримання ліцензії на провадження клірингової діяльності з визначення зобов’язань та реєстрації у Національній комісії з цінних паперів та фондового ринку правил здійснення клірингової діяльності Центрального контрагента» замінити словами «дотримання вимог, встановлених Законом України «Про ринки капіталу та організовані товарні ринки».</w:t>
            </w:r>
          </w:p>
        </w:tc>
        <w:tc>
          <w:tcPr>
            <w:tcW w:w="1987" w:type="dxa"/>
          </w:tcPr>
          <w:p w14:paraId="2F42B2A0" w14:textId="77777777" w:rsidR="008F1775" w:rsidRPr="00286216" w:rsidRDefault="008F1775" w:rsidP="008F1775">
            <w:pPr>
              <w:pStyle w:val="StyleWisnow"/>
              <w:spacing w:line="180" w:lineRule="exact"/>
              <w:rPr>
                <w:color w:val="000000" w:themeColor="text1"/>
              </w:rPr>
            </w:pPr>
            <w:r w:rsidRPr="00286216">
              <w:rPr>
                <w:color w:val="000000" w:themeColor="text1"/>
              </w:rPr>
              <w:t>Враховано по суті</w:t>
            </w:r>
          </w:p>
          <w:p w14:paraId="73D2A33C" w14:textId="0A5131D4" w:rsidR="008F1775" w:rsidRPr="00286216" w:rsidRDefault="008F1775" w:rsidP="008F1775">
            <w:pPr>
              <w:pStyle w:val="StyleWisnow"/>
              <w:spacing w:line="180" w:lineRule="exact"/>
              <w:rPr>
                <w:color w:val="000000" w:themeColor="text1"/>
              </w:rPr>
            </w:pPr>
            <w:r w:rsidRPr="00286216">
              <w:rPr>
                <w:color w:val="000000" w:themeColor="text1"/>
              </w:rPr>
              <w:t>у пункті 5 розділу Прикінцеві положення Закону "Товарні біржі"</w:t>
            </w:r>
          </w:p>
        </w:tc>
        <w:tc>
          <w:tcPr>
            <w:tcW w:w="4818" w:type="dxa"/>
          </w:tcPr>
          <w:p w14:paraId="72CD25B6" w14:textId="77777777" w:rsidR="008F1775" w:rsidRPr="00286216" w:rsidRDefault="008F1775" w:rsidP="008F1775">
            <w:pPr>
              <w:pStyle w:val="StyleZakonu"/>
              <w:rPr>
                <w:color w:val="000000" w:themeColor="text1"/>
              </w:rPr>
            </w:pPr>
          </w:p>
        </w:tc>
      </w:tr>
      <w:tr w:rsidR="008F1775" w:rsidRPr="00286216" w14:paraId="0B1DBD28" w14:textId="77777777" w:rsidTr="00091AA5">
        <w:tc>
          <w:tcPr>
            <w:tcW w:w="576" w:type="dxa"/>
          </w:tcPr>
          <w:p w14:paraId="23FAA820" w14:textId="77777777" w:rsidR="008F1775" w:rsidRPr="00286216" w:rsidRDefault="008F1775" w:rsidP="008F1775">
            <w:pPr>
              <w:pStyle w:val="StyleWisnow"/>
              <w:rPr>
                <w:color w:val="000000" w:themeColor="text1"/>
              </w:rPr>
            </w:pPr>
            <w:bookmarkStart w:id="3808" w:name="n3932" w:colFirst="0" w:colLast="0"/>
            <w:bookmarkEnd w:id="3807"/>
            <w:r w:rsidRPr="00286216">
              <w:rPr>
                <w:color w:val="000000" w:themeColor="text1"/>
              </w:rPr>
              <w:t>3932.</w:t>
            </w:r>
          </w:p>
        </w:tc>
        <w:tc>
          <w:tcPr>
            <w:tcW w:w="4818" w:type="dxa"/>
          </w:tcPr>
          <w:p w14:paraId="6210A4FF" w14:textId="77777777" w:rsidR="008F1775" w:rsidRPr="00286216" w:rsidRDefault="008F1775" w:rsidP="00286216">
            <w:pPr>
              <w:pStyle w:val="StyleZakonu"/>
              <w:spacing w:after="20"/>
              <w:rPr>
                <w:color w:val="000000" w:themeColor="text1"/>
              </w:rPr>
            </w:pPr>
            <w:r w:rsidRPr="00286216">
              <w:rPr>
                <w:color w:val="000000" w:themeColor="text1"/>
              </w:rPr>
              <w:t>Після 1 січня 2023 року такі товарні біржі можуть здійснювати клірингову діяльність Центрального контрагента, у разі якщо жодна юридична особа (у тому числі іноземна) не матиме чинної ліцензії на провадження професійної діяльності на ринках капіталу - клірингової діяльності Центрального контрагента та зареєстрованих відповідно до закону правил здійснення клірингової діяльності Центрального контрагента, які передбачатимуть здійснення клірингової діяльності Центрального контрагента щодо біржових товарів.</w:t>
            </w:r>
          </w:p>
        </w:tc>
        <w:tc>
          <w:tcPr>
            <w:tcW w:w="3686" w:type="dxa"/>
          </w:tcPr>
          <w:p w14:paraId="3396AE84" w14:textId="77777777" w:rsidR="008F1775" w:rsidRPr="00286216" w:rsidRDefault="008F1775" w:rsidP="008F1775">
            <w:pPr>
              <w:pStyle w:val="StyleProp"/>
              <w:rPr>
                <w:color w:val="000000" w:themeColor="text1"/>
                <w:szCs w:val="18"/>
              </w:rPr>
            </w:pPr>
          </w:p>
        </w:tc>
        <w:tc>
          <w:tcPr>
            <w:tcW w:w="1987" w:type="dxa"/>
          </w:tcPr>
          <w:p w14:paraId="36B1DCAA" w14:textId="77777777" w:rsidR="008F1775" w:rsidRPr="00286216" w:rsidRDefault="008F1775" w:rsidP="008F1775">
            <w:pPr>
              <w:pStyle w:val="StyleWisnow"/>
              <w:rPr>
                <w:color w:val="000000" w:themeColor="text1"/>
              </w:rPr>
            </w:pPr>
          </w:p>
        </w:tc>
        <w:tc>
          <w:tcPr>
            <w:tcW w:w="4818" w:type="dxa"/>
          </w:tcPr>
          <w:p w14:paraId="606B3003" w14:textId="77777777" w:rsidR="008F1775" w:rsidRPr="00286216" w:rsidRDefault="008F1775" w:rsidP="008F1775">
            <w:pPr>
              <w:pStyle w:val="StyleZakonu"/>
              <w:rPr>
                <w:color w:val="000000" w:themeColor="text1"/>
              </w:rPr>
            </w:pPr>
          </w:p>
        </w:tc>
      </w:tr>
      <w:tr w:rsidR="008F1775" w:rsidRPr="00286216" w14:paraId="1A6685D8" w14:textId="77777777" w:rsidTr="00091AA5">
        <w:tc>
          <w:tcPr>
            <w:tcW w:w="576" w:type="dxa"/>
          </w:tcPr>
          <w:p w14:paraId="0EEE67C0" w14:textId="77777777" w:rsidR="008F1775" w:rsidRPr="00286216" w:rsidRDefault="008F1775" w:rsidP="008F1775">
            <w:pPr>
              <w:pStyle w:val="StyleWisnow"/>
              <w:rPr>
                <w:color w:val="000000" w:themeColor="text1"/>
              </w:rPr>
            </w:pPr>
            <w:bookmarkStart w:id="3809" w:name="n3933" w:colFirst="0" w:colLast="0"/>
            <w:bookmarkEnd w:id="3808"/>
            <w:r w:rsidRPr="00286216">
              <w:rPr>
                <w:color w:val="000000" w:themeColor="text1"/>
              </w:rPr>
              <w:t>3933.</w:t>
            </w:r>
          </w:p>
        </w:tc>
        <w:tc>
          <w:tcPr>
            <w:tcW w:w="4818" w:type="dxa"/>
          </w:tcPr>
          <w:p w14:paraId="6B0ED769" w14:textId="77777777" w:rsidR="008F1775" w:rsidRPr="00286216" w:rsidRDefault="008F1775" w:rsidP="00286216">
            <w:pPr>
              <w:pStyle w:val="StyleZakonu"/>
              <w:spacing w:after="20"/>
              <w:rPr>
                <w:color w:val="000000" w:themeColor="text1"/>
              </w:rPr>
            </w:pPr>
            <w:r w:rsidRPr="00286216">
              <w:rPr>
                <w:color w:val="000000" w:themeColor="text1"/>
              </w:rPr>
              <w:t>Зазначені товарні біржі припиняють здійснення клірингової діяльності Центрального контрагента через шість місяців з дня реєстрації відповідно до закону правил здійснення клірингової діяльності Центрального контрагента особи зазначеної в абзаці другому цього пункту, які передбачатимуть здійснення клірингової діяльності Центрального контрагента щодо біржових товарів, але не раніше 1 січня 2023 року.</w:t>
            </w:r>
          </w:p>
        </w:tc>
        <w:tc>
          <w:tcPr>
            <w:tcW w:w="3686" w:type="dxa"/>
          </w:tcPr>
          <w:p w14:paraId="336ACCDC" w14:textId="77777777" w:rsidR="008F1775" w:rsidRPr="00286216" w:rsidRDefault="008F1775" w:rsidP="008F1775">
            <w:pPr>
              <w:pStyle w:val="StyleProp"/>
              <w:rPr>
                <w:color w:val="000000" w:themeColor="text1"/>
                <w:szCs w:val="18"/>
              </w:rPr>
            </w:pPr>
          </w:p>
        </w:tc>
        <w:tc>
          <w:tcPr>
            <w:tcW w:w="1987" w:type="dxa"/>
          </w:tcPr>
          <w:p w14:paraId="2341D530" w14:textId="77777777" w:rsidR="008F1775" w:rsidRPr="00286216" w:rsidRDefault="008F1775" w:rsidP="008F1775">
            <w:pPr>
              <w:pStyle w:val="StyleWisnow"/>
              <w:rPr>
                <w:color w:val="000000" w:themeColor="text1"/>
              </w:rPr>
            </w:pPr>
          </w:p>
        </w:tc>
        <w:tc>
          <w:tcPr>
            <w:tcW w:w="4818" w:type="dxa"/>
          </w:tcPr>
          <w:p w14:paraId="2F9C4DEF" w14:textId="77777777" w:rsidR="008F1775" w:rsidRPr="00286216" w:rsidRDefault="008F1775" w:rsidP="008F1775">
            <w:pPr>
              <w:pStyle w:val="StyleZakonu"/>
              <w:rPr>
                <w:color w:val="000000" w:themeColor="text1"/>
              </w:rPr>
            </w:pPr>
          </w:p>
        </w:tc>
      </w:tr>
      <w:tr w:rsidR="008F1775" w:rsidRPr="00286216" w14:paraId="3E5BDECE" w14:textId="77777777" w:rsidTr="00091AA5">
        <w:tc>
          <w:tcPr>
            <w:tcW w:w="576" w:type="dxa"/>
          </w:tcPr>
          <w:p w14:paraId="6A2975E6" w14:textId="77777777" w:rsidR="008F1775" w:rsidRPr="00286216" w:rsidRDefault="008F1775" w:rsidP="008F1775">
            <w:pPr>
              <w:pStyle w:val="StyleWisnow"/>
              <w:rPr>
                <w:color w:val="000000" w:themeColor="text1"/>
              </w:rPr>
            </w:pPr>
            <w:bookmarkStart w:id="3810" w:name="n3934" w:colFirst="0" w:colLast="0"/>
            <w:bookmarkEnd w:id="3809"/>
            <w:r w:rsidRPr="00286216">
              <w:rPr>
                <w:color w:val="000000" w:themeColor="text1"/>
              </w:rPr>
              <w:t>3934.</w:t>
            </w:r>
          </w:p>
        </w:tc>
        <w:tc>
          <w:tcPr>
            <w:tcW w:w="4818" w:type="dxa"/>
          </w:tcPr>
          <w:p w14:paraId="539CEEDE" w14:textId="77777777" w:rsidR="008F1775" w:rsidRPr="00286216" w:rsidRDefault="008F1775" w:rsidP="00286216">
            <w:pPr>
              <w:pStyle w:val="StyleZakonu"/>
              <w:spacing w:after="20"/>
              <w:rPr>
                <w:color w:val="000000" w:themeColor="text1"/>
              </w:rPr>
            </w:pPr>
            <w:r w:rsidRPr="00286216">
              <w:rPr>
                <w:color w:val="000000" w:themeColor="text1"/>
              </w:rPr>
              <w:t xml:space="preserve">У випадку провадження товарною біржою </w:t>
            </w:r>
            <w:r w:rsidRPr="00286216">
              <w:rPr>
                <w:color w:val="000000" w:themeColor="text1"/>
              </w:rPr>
              <w:lastRenderedPageBreak/>
              <w:t>клірингової діяльності Центрального контрагента вимоги частини 2 статті 11 Закону України "Про товарні біржу" не застосовуються. Під час провадження такої діяльності до товарної біржі не застосовуються вимоги частини 4 статті 3 Закону України "Про товарні біржу".</w:t>
            </w:r>
          </w:p>
        </w:tc>
        <w:tc>
          <w:tcPr>
            <w:tcW w:w="3686" w:type="dxa"/>
          </w:tcPr>
          <w:p w14:paraId="46848D38" w14:textId="3BF48AE8" w:rsidR="008F1775" w:rsidRPr="00286216" w:rsidRDefault="008F1775" w:rsidP="008F1775">
            <w:pPr>
              <w:pStyle w:val="StyleAwt"/>
              <w:rPr>
                <w:color w:val="000000" w:themeColor="text1"/>
                <w:spacing w:val="-2"/>
              </w:rPr>
            </w:pPr>
            <w:r w:rsidRPr="00286216">
              <w:rPr>
                <w:color w:val="000000" w:themeColor="text1"/>
                <w:spacing w:val="-2"/>
              </w:rPr>
              <w:lastRenderedPageBreak/>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1556</w:t>
            </w:r>
            <w:r w:rsidRPr="00286216">
              <w:rPr>
                <w:color w:val="000000" w:themeColor="text1"/>
                <w:spacing w:val="-2"/>
              </w:rPr>
              <w:fldChar w:fldCharType="end"/>
            </w:r>
            <w:r w:rsidRPr="00286216">
              <w:rPr>
                <w:color w:val="000000" w:themeColor="text1"/>
                <w:spacing w:val="-2"/>
              </w:rPr>
              <w:t>-Н.д.Шахов С.В. (Реєстр.картка №114)</w:t>
            </w:r>
          </w:p>
          <w:p w14:paraId="662A7DA0"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lastRenderedPageBreak/>
              <w:t>В абзаці четвертому пункту 12 розділу 4 слова "вимоги частини 2 статті 11 Закону України "Про товарні біржу" не застосовуються. Під час провадження такої діяльності" виключити.</w:t>
            </w:r>
          </w:p>
        </w:tc>
        <w:tc>
          <w:tcPr>
            <w:tcW w:w="1987" w:type="dxa"/>
          </w:tcPr>
          <w:p w14:paraId="07224CA1" w14:textId="77777777" w:rsidR="008F1775" w:rsidRPr="00286216" w:rsidRDefault="008F1775" w:rsidP="008F1775">
            <w:pPr>
              <w:pStyle w:val="StyleWisnow"/>
              <w:rPr>
                <w:color w:val="000000" w:themeColor="text1"/>
              </w:rPr>
            </w:pPr>
            <w:r w:rsidRPr="00286216">
              <w:rPr>
                <w:color w:val="000000" w:themeColor="text1"/>
              </w:rPr>
              <w:lastRenderedPageBreak/>
              <w:t>Відхилено</w:t>
            </w:r>
          </w:p>
          <w:p w14:paraId="49E2665F" w14:textId="494977FD" w:rsidR="008F1775" w:rsidRPr="00286216" w:rsidRDefault="008F1775" w:rsidP="008F1775">
            <w:pPr>
              <w:pStyle w:val="StyleWisnow"/>
              <w:spacing w:line="180" w:lineRule="exact"/>
              <w:rPr>
                <w:color w:val="000000" w:themeColor="text1"/>
              </w:rPr>
            </w:pPr>
            <w:r w:rsidRPr="00286216">
              <w:rPr>
                <w:color w:val="000000" w:themeColor="text1"/>
              </w:rPr>
              <w:lastRenderedPageBreak/>
              <w:t>прийняття правки призведе до погіршення умов провадження діяльності в перехідний період для організаторів торгів</w:t>
            </w:r>
          </w:p>
        </w:tc>
        <w:tc>
          <w:tcPr>
            <w:tcW w:w="4818" w:type="dxa"/>
          </w:tcPr>
          <w:p w14:paraId="0D7E38F6" w14:textId="77777777" w:rsidR="008F1775" w:rsidRPr="00286216" w:rsidRDefault="008F1775" w:rsidP="008F1775">
            <w:pPr>
              <w:spacing w:line="200" w:lineRule="exact"/>
              <w:ind w:firstLine="227"/>
              <w:jc w:val="both"/>
              <w:rPr>
                <w:color w:val="000000" w:themeColor="text1"/>
              </w:rPr>
            </w:pPr>
          </w:p>
        </w:tc>
      </w:tr>
      <w:tr w:rsidR="008F1775" w:rsidRPr="00286216" w14:paraId="1B57B0A5" w14:textId="77777777" w:rsidTr="00091AA5">
        <w:tc>
          <w:tcPr>
            <w:tcW w:w="576" w:type="dxa"/>
          </w:tcPr>
          <w:p w14:paraId="657F4978" w14:textId="77777777" w:rsidR="008F1775" w:rsidRPr="00286216" w:rsidRDefault="008F1775" w:rsidP="008F1775">
            <w:pPr>
              <w:pStyle w:val="StyleWisnow"/>
              <w:rPr>
                <w:color w:val="000000" w:themeColor="text1"/>
              </w:rPr>
            </w:pPr>
            <w:bookmarkStart w:id="3811" w:name="n3935" w:colFirst="0" w:colLast="0"/>
            <w:bookmarkEnd w:id="3810"/>
            <w:r w:rsidRPr="00286216">
              <w:rPr>
                <w:color w:val="000000" w:themeColor="text1"/>
              </w:rPr>
              <w:t>3935.</w:t>
            </w:r>
          </w:p>
        </w:tc>
        <w:tc>
          <w:tcPr>
            <w:tcW w:w="4818" w:type="dxa"/>
          </w:tcPr>
          <w:p w14:paraId="5F32691E" w14:textId="77777777" w:rsidR="008F1775" w:rsidRPr="00286216" w:rsidRDefault="008F1775" w:rsidP="00286216">
            <w:pPr>
              <w:pStyle w:val="StyleZakonu"/>
              <w:spacing w:after="20"/>
              <w:rPr>
                <w:color w:val="000000" w:themeColor="text1"/>
              </w:rPr>
            </w:pPr>
            <w:r w:rsidRPr="00286216">
              <w:rPr>
                <w:color w:val="000000" w:themeColor="text1"/>
              </w:rPr>
              <w:t>13. На період до 1 січня 2023 року ПАТ "Розрахунковий центр з обслуговування договорів на фінансових ринках" може здійснювати клірингову діяльність Центрального контрагента за правочинами щодо цінних паперів, за умови реєстрації у Національній комісії з цінних паперів та фондового ринку правил здійснення клірингової діяльності Центрального контрагента за правочинами щодо цінних паперів.</w:t>
            </w:r>
          </w:p>
        </w:tc>
        <w:tc>
          <w:tcPr>
            <w:tcW w:w="3686" w:type="dxa"/>
          </w:tcPr>
          <w:p w14:paraId="2BF78CA6" w14:textId="77777777" w:rsidR="008F1775" w:rsidRPr="00286216" w:rsidRDefault="008F1775" w:rsidP="008F1775">
            <w:pPr>
              <w:spacing w:line="200" w:lineRule="exact"/>
              <w:ind w:firstLine="227"/>
              <w:jc w:val="both"/>
              <w:rPr>
                <w:color w:val="000000" w:themeColor="text1"/>
                <w:szCs w:val="18"/>
              </w:rPr>
            </w:pPr>
          </w:p>
        </w:tc>
        <w:tc>
          <w:tcPr>
            <w:tcW w:w="1987" w:type="dxa"/>
          </w:tcPr>
          <w:p w14:paraId="52DB9398" w14:textId="77777777" w:rsidR="008F1775" w:rsidRPr="00286216" w:rsidRDefault="008F1775" w:rsidP="008F1775">
            <w:pPr>
              <w:pStyle w:val="StyleWisnow"/>
              <w:rPr>
                <w:color w:val="000000" w:themeColor="text1"/>
              </w:rPr>
            </w:pPr>
          </w:p>
        </w:tc>
        <w:tc>
          <w:tcPr>
            <w:tcW w:w="4818" w:type="dxa"/>
          </w:tcPr>
          <w:p w14:paraId="4CBA1F83" w14:textId="77777777" w:rsidR="008F1775" w:rsidRPr="00286216" w:rsidRDefault="008F1775" w:rsidP="008F1775">
            <w:pPr>
              <w:pStyle w:val="StyleZakonu"/>
              <w:rPr>
                <w:color w:val="000000" w:themeColor="text1"/>
              </w:rPr>
            </w:pPr>
          </w:p>
        </w:tc>
      </w:tr>
      <w:tr w:rsidR="008F1775" w:rsidRPr="00286216" w14:paraId="4259E491" w14:textId="77777777" w:rsidTr="00091AA5">
        <w:tc>
          <w:tcPr>
            <w:tcW w:w="576" w:type="dxa"/>
          </w:tcPr>
          <w:p w14:paraId="0E206B6F" w14:textId="77777777" w:rsidR="008F1775" w:rsidRPr="00286216" w:rsidRDefault="008F1775" w:rsidP="008F1775">
            <w:pPr>
              <w:pStyle w:val="StyleWisnow"/>
              <w:rPr>
                <w:color w:val="000000" w:themeColor="text1"/>
              </w:rPr>
            </w:pPr>
            <w:bookmarkStart w:id="3812" w:name="n3936" w:colFirst="0" w:colLast="0"/>
            <w:bookmarkEnd w:id="3811"/>
            <w:r w:rsidRPr="00286216">
              <w:rPr>
                <w:color w:val="000000" w:themeColor="text1"/>
              </w:rPr>
              <w:t>3936.</w:t>
            </w:r>
          </w:p>
        </w:tc>
        <w:tc>
          <w:tcPr>
            <w:tcW w:w="4818" w:type="dxa"/>
          </w:tcPr>
          <w:p w14:paraId="0CC62B5D" w14:textId="77777777" w:rsidR="008F1775" w:rsidRPr="00286216" w:rsidRDefault="008F1775" w:rsidP="00286216">
            <w:pPr>
              <w:pStyle w:val="StyleZakonu"/>
              <w:spacing w:after="20"/>
              <w:rPr>
                <w:color w:val="000000" w:themeColor="text1"/>
              </w:rPr>
            </w:pPr>
            <w:r w:rsidRPr="00286216">
              <w:rPr>
                <w:color w:val="000000" w:themeColor="text1"/>
              </w:rPr>
              <w:t>Після 1 січня 2023 року ПАТ "Розрахунковий центр з обслуговування договорів на фінансових ринках" може здійснювати клірингову діяльність Центрального контрагента за правочинами щодо цінних паперів за умови відсутності юридичної особи (в тому числі іноземної), яка отримала від Національної комісії з цінних паперів та фондового ринку ліцензію на провадження професійної діяльності на ринках капіталу - клірингової діяльності Центрального контрагента та зареєструвала правила здійснення клірингової діяльності Центрального контрагента, які передбачатимуть здійснення клірингової діяльності Центрального контрагента за правочинами щодо цінних паперів або за умови отримання такої ліцензії самостійно.</w:t>
            </w:r>
          </w:p>
        </w:tc>
        <w:tc>
          <w:tcPr>
            <w:tcW w:w="3686" w:type="dxa"/>
          </w:tcPr>
          <w:p w14:paraId="297A3E71" w14:textId="77777777" w:rsidR="008F1775" w:rsidRPr="00286216" w:rsidRDefault="008F1775" w:rsidP="008F1775">
            <w:pPr>
              <w:pStyle w:val="StyleProp"/>
              <w:rPr>
                <w:color w:val="000000" w:themeColor="text1"/>
                <w:szCs w:val="18"/>
              </w:rPr>
            </w:pPr>
          </w:p>
        </w:tc>
        <w:tc>
          <w:tcPr>
            <w:tcW w:w="1987" w:type="dxa"/>
          </w:tcPr>
          <w:p w14:paraId="51BA3C9B" w14:textId="77777777" w:rsidR="008F1775" w:rsidRPr="00286216" w:rsidRDefault="008F1775" w:rsidP="008F1775">
            <w:pPr>
              <w:pStyle w:val="StyleWisnow"/>
              <w:rPr>
                <w:color w:val="000000" w:themeColor="text1"/>
              </w:rPr>
            </w:pPr>
          </w:p>
        </w:tc>
        <w:tc>
          <w:tcPr>
            <w:tcW w:w="4818" w:type="dxa"/>
          </w:tcPr>
          <w:p w14:paraId="70B3F20E" w14:textId="77777777" w:rsidR="008F1775" w:rsidRPr="00286216" w:rsidRDefault="008F1775" w:rsidP="008F1775">
            <w:pPr>
              <w:pStyle w:val="StyleZakonu"/>
              <w:rPr>
                <w:color w:val="000000" w:themeColor="text1"/>
              </w:rPr>
            </w:pPr>
          </w:p>
        </w:tc>
      </w:tr>
      <w:tr w:rsidR="008F1775" w:rsidRPr="00286216" w14:paraId="1FE5FE0E" w14:textId="77777777" w:rsidTr="00091AA5">
        <w:tc>
          <w:tcPr>
            <w:tcW w:w="576" w:type="dxa"/>
          </w:tcPr>
          <w:p w14:paraId="0DA274A8" w14:textId="77777777" w:rsidR="008F1775" w:rsidRPr="00286216" w:rsidRDefault="008F1775" w:rsidP="008F1775">
            <w:pPr>
              <w:pStyle w:val="StyleWisnow"/>
              <w:rPr>
                <w:color w:val="000000" w:themeColor="text1"/>
              </w:rPr>
            </w:pPr>
            <w:bookmarkStart w:id="3813" w:name="n3937" w:colFirst="0" w:colLast="0"/>
            <w:bookmarkEnd w:id="3812"/>
            <w:r w:rsidRPr="00286216">
              <w:rPr>
                <w:color w:val="000000" w:themeColor="text1"/>
              </w:rPr>
              <w:t>3937.</w:t>
            </w:r>
          </w:p>
        </w:tc>
        <w:tc>
          <w:tcPr>
            <w:tcW w:w="4818" w:type="dxa"/>
          </w:tcPr>
          <w:p w14:paraId="2C620CAD" w14:textId="77777777" w:rsidR="008F1775" w:rsidRPr="00286216" w:rsidRDefault="008F1775" w:rsidP="00286216">
            <w:pPr>
              <w:pStyle w:val="StyleZakonu"/>
              <w:spacing w:after="20"/>
              <w:rPr>
                <w:color w:val="000000" w:themeColor="text1"/>
              </w:rPr>
            </w:pPr>
            <w:r w:rsidRPr="00286216">
              <w:rPr>
                <w:color w:val="000000" w:themeColor="text1"/>
              </w:rPr>
              <w:t xml:space="preserve">ПАТ "Розрахунковий центр з обслуговування договорів на фінансових ринках", за умови відсутності у нього ліцензії на провадження професійної діяльності на ринках капіталу - клірингової діяльності Центрального контрагента, припиняє здійснення клірингової діяльності Центрального контрагента за правочинами щодо цінних паперів через шість місяців з дати видачі Національною комісією з цінних паперів та фондового ринку ліцензії на провадження професійної діяльності на ринках капіталу - клірингової діяльності Центрального контрагента та/або дати реєстрації правил здійснення клірингової діяльності Центрального контрагента, які передбачатимуть здійснення клірингової діяльності </w:t>
            </w:r>
            <w:r w:rsidRPr="00286216">
              <w:rPr>
                <w:color w:val="000000" w:themeColor="text1"/>
              </w:rPr>
              <w:lastRenderedPageBreak/>
              <w:t>Центрального контрагента за правочинами щодо цінних паперів, але не раніше 1 січня 2023 року.</w:t>
            </w:r>
          </w:p>
        </w:tc>
        <w:tc>
          <w:tcPr>
            <w:tcW w:w="3686" w:type="dxa"/>
          </w:tcPr>
          <w:p w14:paraId="488D12CD" w14:textId="77777777" w:rsidR="008F1775" w:rsidRPr="00286216" w:rsidRDefault="008F1775" w:rsidP="008F1775">
            <w:pPr>
              <w:spacing w:line="200" w:lineRule="exact"/>
              <w:ind w:firstLine="227"/>
              <w:jc w:val="both"/>
              <w:rPr>
                <w:color w:val="000000" w:themeColor="text1"/>
                <w:szCs w:val="18"/>
              </w:rPr>
            </w:pPr>
          </w:p>
        </w:tc>
        <w:tc>
          <w:tcPr>
            <w:tcW w:w="1987" w:type="dxa"/>
          </w:tcPr>
          <w:p w14:paraId="67172706" w14:textId="77777777" w:rsidR="008F1775" w:rsidRPr="00286216" w:rsidRDefault="008F1775" w:rsidP="008F1775">
            <w:pPr>
              <w:pStyle w:val="StyleWisnow"/>
              <w:rPr>
                <w:color w:val="000000" w:themeColor="text1"/>
              </w:rPr>
            </w:pPr>
          </w:p>
        </w:tc>
        <w:tc>
          <w:tcPr>
            <w:tcW w:w="4818" w:type="dxa"/>
          </w:tcPr>
          <w:p w14:paraId="7E41083D" w14:textId="77777777" w:rsidR="008F1775" w:rsidRPr="00286216" w:rsidRDefault="008F1775" w:rsidP="008F1775">
            <w:pPr>
              <w:pStyle w:val="StyleZakonu"/>
              <w:rPr>
                <w:color w:val="000000" w:themeColor="text1"/>
              </w:rPr>
            </w:pPr>
          </w:p>
        </w:tc>
      </w:tr>
      <w:bookmarkEnd w:id="3813"/>
      <w:tr w:rsidR="008F1775" w:rsidRPr="00286216" w14:paraId="5DB7FBF6" w14:textId="77777777" w:rsidTr="00091AA5">
        <w:tc>
          <w:tcPr>
            <w:tcW w:w="576" w:type="dxa"/>
          </w:tcPr>
          <w:p w14:paraId="55501628" w14:textId="77777777" w:rsidR="008F1775" w:rsidRPr="00286216" w:rsidRDefault="008F1775" w:rsidP="008F1775">
            <w:pPr>
              <w:pStyle w:val="StyleWisnow"/>
              <w:rPr>
                <w:color w:val="000000" w:themeColor="text1"/>
              </w:rPr>
            </w:pPr>
          </w:p>
        </w:tc>
        <w:tc>
          <w:tcPr>
            <w:tcW w:w="4818" w:type="dxa"/>
          </w:tcPr>
          <w:p w14:paraId="7C6EE9C6" w14:textId="77777777" w:rsidR="008F1775" w:rsidRPr="00286216" w:rsidRDefault="008F1775" w:rsidP="008F1775">
            <w:pPr>
              <w:pStyle w:val="StyleZakonu"/>
              <w:rPr>
                <w:color w:val="000000" w:themeColor="text1"/>
              </w:rPr>
            </w:pPr>
          </w:p>
        </w:tc>
        <w:tc>
          <w:tcPr>
            <w:tcW w:w="3686" w:type="dxa"/>
          </w:tcPr>
          <w:p w14:paraId="460B4AB0" w14:textId="3AF46CBB" w:rsidR="008F1775" w:rsidRPr="00286216" w:rsidRDefault="008F1775" w:rsidP="008F1775">
            <w:pPr>
              <w:pStyle w:val="StyleAwt"/>
              <w:rPr>
                <w:color w:val="000000" w:themeColor="text1"/>
                <w:spacing w:val="-8"/>
                <w:szCs w:val="18"/>
              </w:rPr>
            </w:pPr>
            <w:r w:rsidRPr="00286216">
              <w:rPr>
                <w:color w:val="000000" w:themeColor="text1"/>
                <w:spacing w:val="-8"/>
                <w:szCs w:val="18"/>
              </w:rPr>
              <w:t>-</w:t>
            </w:r>
            <w:r w:rsidRPr="00286216">
              <w:rPr>
                <w:color w:val="000000" w:themeColor="text1"/>
                <w:spacing w:val="-8"/>
                <w:szCs w:val="18"/>
              </w:rPr>
              <w:fldChar w:fldCharType="begin"/>
            </w:r>
            <w:r w:rsidRPr="00286216">
              <w:rPr>
                <w:color w:val="000000" w:themeColor="text1"/>
                <w:spacing w:val="-8"/>
                <w:szCs w:val="18"/>
              </w:rPr>
              <w:instrText xml:space="preserve"> SEQ aa </w:instrText>
            </w:r>
            <w:r w:rsidRPr="00286216">
              <w:rPr>
                <w:color w:val="000000" w:themeColor="text1"/>
                <w:spacing w:val="-8"/>
                <w:szCs w:val="18"/>
              </w:rPr>
              <w:fldChar w:fldCharType="separate"/>
            </w:r>
            <w:r w:rsidR="00C46B29">
              <w:rPr>
                <w:noProof/>
                <w:color w:val="000000" w:themeColor="text1"/>
                <w:spacing w:val="-8"/>
                <w:szCs w:val="18"/>
              </w:rPr>
              <w:t>1557</w:t>
            </w:r>
            <w:r w:rsidRPr="00286216">
              <w:rPr>
                <w:color w:val="000000" w:themeColor="text1"/>
                <w:spacing w:val="-8"/>
                <w:szCs w:val="18"/>
              </w:rPr>
              <w:fldChar w:fldCharType="end"/>
            </w:r>
            <w:r w:rsidRPr="00286216">
              <w:rPr>
                <w:color w:val="000000" w:themeColor="text1"/>
                <w:spacing w:val="-8"/>
                <w:szCs w:val="18"/>
              </w:rPr>
              <w:t>-Н.д.Ніколаєнко А.І. (Реєстр.картка №405)</w:t>
            </w:r>
          </w:p>
          <w:p w14:paraId="3A3D2239" w14:textId="77777777" w:rsidR="008F1775" w:rsidRPr="00286216" w:rsidRDefault="008F1775" w:rsidP="008F1775">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28. Після пункту 13 розділу 4 проекту доповнити новим пунктом такого змісту:</w:t>
            </w:r>
          </w:p>
          <w:p w14:paraId="5656A7D7" w14:textId="77777777" w:rsidR="008F1775" w:rsidRPr="00286216" w:rsidRDefault="008F1775" w:rsidP="008F1775">
            <w:pPr>
              <w:pStyle w:val="StyleProp"/>
              <w:spacing w:line="180" w:lineRule="exact"/>
              <w:rPr>
                <w:rFonts w:eastAsia="Calibri"/>
                <w:color w:val="000000" w:themeColor="text1"/>
                <w:szCs w:val="18"/>
                <w:lang w:eastAsia="en-US"/>
              </w:rPr>
            </w:pPr>
            <w:r w:rsidRPr="00286216">
              <w:rPr>
                <w:rFonts w:eastAsia="Calibri"/>
                <w:color w:val="000000" w:themeColor="text1"/>
                <w:szCs w:val="18"/>
                <w:lang w:eastAsia="en-US"/>
              </w:rPr>
              <w:t>«14. Рекомендувати Національному банку України у місячний строк з дня набрання чинності цим Законом, привести свої нормативно – правові акти у відповідність із цим Законом.»;</w:t>
            </w:r>
          </w:p>
          <w:p w14:paraId="0BBA2FEE" w14:textId="6E75BD39" w:rsidR="008F1775" w:rsidRPr="00286216" w:rsidRDefault="008F1775" w:rsidP="008F1775">
            <w:pPr>
              <w:pStyle w:val="StyleProp"/>
              <w:spacing w:line="180" w:lineRule="exact"/>
              <w:rPr>
                <w:color w:val="000000" w:themeColor="text1"/>
                <w:szCs w:val="18"/>
              </w:rPr>
            </w:pPr>
            <w:r w:rsidRPr="00286216">
              <w:rPr>
                <w:rFonts w:eastAsia="Calibri"/>
                <w:color w:val="000000" w:themeColor="text1"/>
                <w:szCs w:val="18"/>
                <w:lang w:eastAsia="en-US"/>
              </w:rPr>
              <w:t>пункти 14-16 вважати пунктами 15-17 відповідно.</w:t>
            </w:r>
          </w:p>
        </w:tc>
        <w:tc>
          <w:tcPr>
            <w:tcW w:w="1987" w:type="dxa"/>
          </w:tcPr>
          <w:p w14:paraId="4698E41B" w14:textId="77777777" w:rsidR="008F1775" w:rsidRPr="00286216" w:rsidRDefault="008F1775" w:rsidP="008F1775">
            <w:pPr>
              <w:pStyle w:val="StyleWisnow"/>
              <w:rPr>
                <w:color w:val="000000" w:themeColor="text1"/>
              </w:rPr>
            </w:pPr>
            <w:r w:rsidRPr="00286216">
              <w:rPr>
                <w:color w:val="000000" w:themeColor="text1"/>
              </w:rPr>
              <w:t>Враховано по суті</w:t>
            </w:r>
          </w:p>
          <w:p w14:paraId="00CD66E7" w14:textId="5BF9A39A" w:rsidR="008F1775" w:rsidRPr="00286216" w:rsidRDefault="008F1775" w:rsidP="008F1775">
            <w:pPr>
              <w:pStyle w:val="StyleWisnow"/>
              <w:spacing w:line="180" w:lineRule="exact"/>
              <w:rPr>
                <w:color w:val="000000" w:themeColor="text1"/>
              </w:rPr>
            </w:pPr>
            <w:r w:rsidRPr="00286216">
              <w:rPr>
                <w:color w:val="000000" w:themeColor="text1"/>
              </w:rPr>
              <w:t xml:space="preserve">у пункті 19 Розділу Прикінцеві положення Закону "Про ринки капіталу та організовані товарні ринки" </w:t>
            </w:r>
          </w:p>
        </w:tc>
        <w:tc>
          <w:tcPr>
            <w:tcW w:w="4818" w:type="dxa"/>
          </w:tcPr>
          <w:p w14:paraId="62F14A30" w14:textId="77777777" w:rsidR="008F1775" w:rsidRPr="00286216" w:rsidRDefault="008F1775" w:rsidP="008F1775">
            <w:pPr>
              <w:pStyle w:val="StyleZakonu"/>
              <w:rPr>
                <w:color w:val="000000" w:themeColor="text1"/>
              </w:rPr>
            </w:pPr>
          </w:p>
        </w:tc>
      </w:tr>
      <w:tr w:rsidR="008F1775" w:rsidRPr="00286216" w14:paraId="0E42B5C0" w14:textId="77777777" w:rsidTr="00091AA5">
        <w:tc>
          <w:tcPr>
            <w:tcW w:w="576" w:type="dxa"/>
          </w:tcPr>
          <w:p w14:paraId="764A0094" w14:textId="77777777" w:rsidR="008F1775" w:rsidRPr="00286216" w:rsidRDefault="008F1775" w:rsidP="008F1775">
            <w:pPr>
              <w:pStyle w:val="StyleWisnow"/>
              <w:rPr>
                <w:color w:val="000000" w:themeColor="text1"/>
              </w:rPr>
            </w:pPr>
          </w:p>
        </w:tc>
        <w:tc>
          <w:tcPr>
            <w:tcW w:w="4818" w:type="dxa"/>
          </w:tcPr>
          <w:p w14:paraId="10052368" w14:textId="77777777" w:rsidR="008F1775" w:rsidRPr="00286216" w:rsidRDefault="008F1775" w:rsidP="008F1775">
            <w:pPr>
              <w:pStyle w:val="StyleZakonu"/>
              <w:rPr>
                <w:color w:val="000000" w:themeColor="text1"/>
              </w:rPr>
            </w:pPr>
          </w:p>
        </w:tc>
        <w:tc>
          <w:tcPr>
            <w:tcW w:w="3686" w:type="dxa"/>
          </w:tcPr>
          <w:p w14:paraId="302C0727" w14:textId="5ACB17B9"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1558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241B29C1" w14:textId="4B2EE0BE" w:rsidR="008F1775" w:rsidRPr="00286216" w:rsidRDefault="008F1775" w:rsidP="008F1775">
            <w:pPr>
              <w:spacing w:line="180" w:lineRule="exact"/>
              <w:ind w:firstLine="227"/>
              <w:jc w:val="both"/>
              <w:rPr>
                <w:color w:val="000000" w:themeColor="text1"/>
                <w:sz w:val="18"/>
              </w:rPr>
            </w:pPr>
            <w:r w:rsidRPr="00286216">
              <w:rPr>
                <w:color w:val="000000" w:themeColor="text1"/>
                <w:sz w:val="18"/>
              </w:rPr>
              <w:t>Розділ 4 доповнити пунктом такого змісту:</w:t>
            </w:r>
          </w:p>
          <w:p w14:paraId="411D88A3"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«14. До 1 липня 2021 року  Публічне акціонерне товариство «Розрахунковий центр з обслуговування договорів на фінансових ринках» має право поєднувати клірингову діяльність з банківською діяльністю.</w:t>
            </w:r>
          </w:p>
          <w:p w14:paraId="63687887" w14:textId="71BABC9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Національному банку України до 31 грудня 2020 року відкрити рахунок Публічному акціонерному товариству «Розрахунковий центр з обслуговування договорів на фінансових ринках» для забезпечення здійснення цим товариством грошових розрахунків як кліринговою установою.»</w:t>
            </w:r>
          </w:p>
        </w:tc>
        <w:tc>
          <w:tcPr>
            <w:tcW w:w="1987" w:type="dxa"/>
          </w:tcPr>
          <w:p w14:paraId="266F7992" w14:textId="77777777" w:rsidR="008F1775" w:rsidRPr="00286216" w:rsidRDefault="008F1775" w:rsidP="008F1775">
            <w:pPr>
              <w:pStyle w:val="StyleWisnow"/>
              <w:rPr>
                <w:color w:val="000000" w:themeColor="text1"/>
              </w:rPr>
            </w:pPr>
            <w:r w:rsidRPr="00286216">
              <w:rPr>
                <w:color w:val="000000" w:themeColor="text1"/>
              </w:rPr>
              <w:t>Враховано частково</w:t>
            </w:r>
          </w:p>
          <w:p w14:paraId="39E4B580" w14:textId="491F5F00" w:rsidR="008F1775" w:rsidRPr="00286216" w:rsidRDefault="008F1775" w:rsidP="008F1775">
            <w:pPr>
              <w:pStyle w:val="StyleWisnow"/>
              <w:spacing w:line="180" w:lineRule="exact"/>
              <w:rPr>
                <w:color w:val="000000" w:themeColor="text1"/>
              </w:rPr>
            </w:pPr>
            <w:r w:rsidRPr="00286216">
              <w:rPr>
                <w:color w:val="000000" w:themeColor="text1"/>
              </w:rPr>
              <w:t>у пунктах 6 та 7 Розділу Прикінцеві положення проекту Закону "Про ринки капіталу та організовані товарні ринки"</w:t>
            </w:r>
          </w:p>
        </w:tc>
        <w:tc>
          <w:tcPr>
            <w:tcW w:w="4818" w:type="dxa"/>
          </w:tcPr>
          <w:p w14:paraId="1613BCE7" w14:textId="77777777" w:rsidR="008F1775" w:rsidRPr="00286216" w:rsidRDefault="008F1775" w:rsidP="008F1775">
            <w:pPr>
              <w:pStyle w:val="StyleZakonu"/>
              <w:rPr>
                <w:color w:val="000000" w:themeColor="text1"/>
              </w:rPr>
            </w:pPr>
          </w:p>
        </w:tc>
      </w:tr>
      <w:tr w:rsidR="008F1775" w:rsidRPr="00286216" w14:paraId="3307694F" w14:textId="77777777" w:rsidTr="00091AA5">
        <w:tc>
          <w:tcPr>
            <w:tcW w:w="576" w:type="dxa"/>
          </w:tcPr>
          <w:p w14:paraId="30433355" w14:textId="77777777" w:rsidR="008F1775" w:rsidRPr="00286216" w:rsidRDefault="008F1775" w:rsidP="008F1775">
            <w:pPr>
              <w:pStyle w:val="StyleWisnow"/>
              <w:rPr>
                <w:color w:val="000000" w:themeColor="text1"/>
              </w:rPr>
            </w:pPr>
            <w:bookmarkStart w:id="3814" w:name="n3938" w:colFirst="0" w:colLast="0"/>
            <w:r w:rsidRPr="00286216">
              <w:rPr>
                <w:color w:val="000000" w:themeColor="text1"/>
              </w:rPr>
              <w:t>3938.</w:t>
            </w:r>
          </w:p>
        </w:tc>
        <w:tc>
          <w:tcPr>
            <w:tcW w:w="4818" w:type="dxa"/>
          </w:tcPr>
          <w:p w14:paraId="1D1520A5" w14:textId="77777777" w:rsidR="008F1775" w:rsidRPr="00286216" w:rsidRDefault="008F1775" w:rsidP="00286216">
            <w:pPr>
              <w:pStyle w:val="StyleZakonu"/>
              <w:spacing w:after="20"/>
              <w:rPr>
                <w:color w:val="000000" w:themeColor="text1"/>
              </w:rPr>
            </w:pPr>
            <w:r w:rsidRPr="00286216">
              <w:rPr>
                <w:color w:val="000000" w:themeColor="text1"/>
              </w:rPr>
              <w:t>14. Рекомендувати Президенту України привести свої нормативно-правові акти у відповідність із цим Законом.</w:t>
            </w:r>
          </w:p>
        </w:tc>
        <w:tc>
          <w:tcPr>
            <w:tcW w:w="3686" w:type="dxa"/>
          </w:tcPr>
          <w:p w14:paraId="4E920879" w14:textId="77777777" w:rsidR="008F1775" w:rsidRPr="00286216" w:rsidRDefault="008F1775" w:rsidP="008F1775">
            <w:pPr>
              <w:pStyle w:val="StyleProp"/>
              <w:rPr>
                <w:color w:val="000000" w:themeColor="text1"/>
                <w:szCs w:val="18"/>
              </w:rPr>
            </w:pPr>
          </w:p>
        </w:tc>
        <w:tc>
          <w:tcPr>
            <w:tcW w:w="1987" w:type="dxa"/>
          </w:tcPr>
          <w:p w14:paraId="535BDC14" w14:textId="77777777" w:rsidR="008F1775" w:rsidRPr="00286216" w:rsidRDefault="008F1775" w:rsidP="008F1775">
            <w:pPr>
              <w:pStyle w:val="StyleWisnow"/>
              <w:rPr>
                <w:color w:val="000000" w:themeColor="text1"/>
              </w:rPr>
            </w:pPr>
          </w:p>
        </w:tc>
        <w:tc>
          <w:tcPr>
            <w:tcW w:w="4818" w:type="dxa"/>
          </w:tcPr>
          <w:p w14:paraId="0616C81B" w14:textId="77777777" w:rsidR="008F1775" w:rsidRPr="00286216" w:rsidRDefault="008F1775" w:rsidP="008F1775">
            <w:pPr>
              <w:pStyle w:val="StyleZakonu"/>
              <w:rPr>
                <w:color w:val="000000" w:themeColor="text1"/>
              </w:rPr>
            </w:pPr>
          </w:p>
        </w:tc>
      </w:tr>
      <w:tr w:rsidR="008F1775" w:rsidRPr="00286216" w14:paraId="15DEBA86" w14:textId="77777777" w:rsidTr="00091AA5">
        <w:tc>
          <w:tcPr>
            <w:tcW w:w="576" w:type="dxa"/>
          </w:tcPr>
          <w:p w14:paraId="3E5FC9B3" w14:textId="77777777" w:rsidR="008F1775" w:rsidRPr="00286216" w:rsidRDefault="008F1775" w:rsidP="008F1775">
            <w:pPr>
              <w:pStyle w:val="StyleWisnow"/>
              <w:rPr>
                <w:color w:val="000000" w:themeColor="text1"/>
              </w:rPr>
            </w:pPr>
            <w:bookmarkStart w:id="3815" w:name="n3939" w:colFirst="0" w:colLast="0"/>
            <w:bookmarkEnd w:id="3814"/>
            <w:r w:rsidRPr="00286216">
              <w:rPr>
                <w:color w:val="000000" w:themeColor="text1"/>
              </w:rPr>
              <w:t>3939.</w:t>
            </w:r>
          </w:p>
        </w:tc>
        <w:tc>
          <w:tcPr>
            <w:tcW w:w="4818" w:type="dxa"/>
          </w:tcPr>
          <w:p w14:paraId="7BC9B53C" w14:textId="77777777" w:rsidR="008F1775" w:rsidRPr="00286216" w:rsidRDefault="008F1775" w:rsidP="00286216">
            <w:pPr>
              <w:pStyle w:val="StyleZakonu"/>
              <w:spacing w:after="20"/>
              <w:rPr>
                <w:color w:val="000000" w:themeColor="text1"/>
              </w:rPr>
            </w:pPr>
            <w:r w:rsidRPr="00286216">
              <w:rPr>
                <w:color w:val="000000" w:themeColor="text1"/>
              </w:rPr>
              <w:t>15. Кабінету Міністрів України протягом шести місяців з дня набрання чинності цим Законом:</w:t>
            </w:r>
          </w:p>
        </w:tc>
        <w:tc>
          <w:tcPr>
            <w:tcW w:w="3686" w:type="dxa"/>
          </w:tcPr>
          <w:p w14:paraId="043ABD81" w14:textId="625B8507"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1559</w:t>
            </w:r>
            <w:r w:rsidRPr="00286216">
              <w:rPr>
                <w:color w:val="000000" w:themeColor="text1"/>
                <w:spacing w:val="-2"/>
              </w:rPr>
              <w:fldChar w:fldCharType="end"/>
            </w:r>
            <w:r w:rsidRPr="00286216">
              <w:rPr>
                <w:color w:val="000000" w:themeColor="text1"/>
                <w:spacing w:val="-2"/>
              </w:rPr>
              <w:t>-Н.д.Шахов С.В. (Реєстр.картка №114)</w:t>
            </w:r>
          </w:p>
          <w:p w14:paraId="5C84B755" w14:textId="77777777" w:rsidR="008F1775" w:rsidRPr="00286216" w:rsidRDefault="008F1775" w:rsidP="008F1775">
            <w:pPr>
              <w:spacing w:line="180" w:lineRule="exact"/>
              <w:ind w:firstLine="227"/>
              <w:jc w:val="both"/>
              <w:rPr>
                <w:color w:val="000000" w:themeColor="text1"/>
                <w:spacing w:val="-1"/>
                <w:szCs w:val="18"/>
              </w:rPr>
            </w:pPr>
            <w:r w:rsidRPr="00286216">
              <w:rPr>
                <w:color w:val="000000" w:themeColor="text1"/>
                <w:spacing w:val="-2"/>
                <w:sz w:val="18"/>
              </w:rPr>
              <w:t>У пункті 15 розділу 4 слова "шести місяців"</w:t>
            </w:r>
            <w:r w:rsidRPr="00286216">
              <w:rPr>
                <w:color w:val="000000" w:themeColor="text1"/>
                <w:spacing w:val="-1"/>
                <w:sz w:val="18"/>
              </w:rPr>
              <w:t xml:space="preserve"> замінити словами "дванадцяти місяців".</w:t>
            </w:r>
          </w:p>
        </w:tc>
        <w:tc>
          <w:tcPr>
            <w:tcW w:w="1987" w:type="dxa"/>
          </w:tcPr>
          <w:p w14:paraId="572060BF" w14:textId="6E4C0913" w:rsidR="008F1775" w:rsidRPr="00286216" w:rsidRDefault="008F1775" w:rsidP="008F1775">
            <w:pPr>
              <w:pStyle w:val="StyleWisnow"/>
              <w:spacing w:line="200" w:lineRule="exact"/>
              <w:rPr>
                <w:color w:val="000000" w:themeColor="text1"/>
              </w:rPr>
            </w:pPr>
            <w:r w:rsidRPr="00286216">
              <w:rPr>
                <w:color w:val="000000" w:themeColor="text1"/>
              </w:rPr>
              <w:t>Враховано редакційно</w:t>
            </w:r>
          </w:p>
          <w:p w14:paraId="6A7A1DEE" w14:textId="296728CE" w:rsidR="008F1775" w:rsidRPr="00286216" w:rsidRDefault="008F1775" w:rsidP="008F1775">
            <w:pPr>
              <w:pStyle w:val="StyleWisnow"/>
              <w:spacing w:line="190" w:lineRule="exact"/>
              <w:rPr>
                <w:color w:val="000000" w:themeColor="text1"/>
              </w:rPr>
            </w:pPr>
            <w:r w:rsidRPr="00286216">
              <w:rPr>
                <w:color w:val="000000" w:themeColor="text1"/>
              </w:rPr>
              <w:t>у Прикінцевих положеннях законів</w:t>
            </w:r>
          </w:p>
        </w:tc>
        <w:tc>
          <w:tcPr>
            <w:tcW w:w="4818" w:type="dxa"/>
          </w:tcPr>
          <w:p w14:paraId="69DB1C6F" w14:textId="77777777" w:rsidR="008F1775" w:rsidRPr="00286216" w:rsidRDefault="008F1775" w:rsidP="008F1775">
            <w:pPr>
              <w:pStyle w:val="StyleZakonu"/>
              <w:rPr>
                <w:color w:val="000000" w:themeColor="text1"/>
              </w:rPr>
            </w:pPr>
          </w:p>
        </w:tc>
      </w:tr>
      <w:tr w:rsidR="008F1775" w:rsidRPr="00286216" w14:paraId="57E17A43" w14:textId="77777777" w:rsidTr="00091AA5">
        <w:tc>
          <w:tcPr>
            <w:tcW w:w="576" w:type="dxa"/>
          </w:tcPr>
          <w:p w14:paraId="1CA6653F" w14:textId="77777777" w:rsidR="008F1775" w:rsidRPr="00286216" w:rsidRDefault="008F1775" w:rsidP="008F1775">
            <w:pPr>
              <w:pStyle w:val="StyleWisnow"/>
              <w:rPr>
                <w:color w:val="000000" w:themeColor="text1"/>
              </w:rPr>
            </w:pPr>
            <w:bookmarkStart w:id="3816" w:name="n3940" w:colFirst="0" w:colLast="0"/>
            <w:bookmarkEnd w:id="3815"/>
            <w:r w:rsidRPr="00286216">
              <w:rPr>
                <w:color w:val="000000" w:themeColor="text1"/>
              </w:rPr>
              <w:t>3940.</w:t>
            </w:r>
          </w:p>
        </w:tc>
        <w:tc>
          <w:tcPr>
            <w:tcW w:w="4818" w:type="dxa"/>
          </w:tcPr>
          <w:p w14:paraId="3686EF10" w14:textId="77777777" w:rsidR="008F1775" w:rsidRPr="00286216" w:rsidRDefault="008F1775" w:rsidP="00286216">
            <w:pPr>
              <w:pStyle w:val="StyleZakonu"/>
              <w:spacing w:after="20"/>
              <w:rPr>
                <w:color w:val="000000" w:themeColor="text1"/>
              </w:rPr>
            </w:pPr>
            <w:r w:rsidRPr="00286216">
              <w:rPr>
                <w:color w:val="000000" w:themeColor="text1"/>
              </w:rPr>
              <w:t>1) привести свої нормативно-правові акти у відповідність із цим Законом;</w:t>
            </w:r>
          </w:p>
        </w:tc>
        <w:tc>
          <w:tcPr>
            <w:tcW w:w="3686" w:type="dxa"/>
          </w:tcPr>
          <w:p w14:paraId="718E1618" w14:textId="77777777" w:rsidR="008F1775" w:rsidRPr="00286216" w:rsidRDefault="008F1775" w:rsidP="008F1775">
            <w:pPr>
              <w:pStyle w:val="StyleProp"/>
              <w:rPr>
                <w:color w:val="000000" w:themeColor="text1"/>
                <w:szCs w:val="18"/>
              </w:rPr>
            </w:pPr>
          </w:p>
        </w:tc>
        <w:tc>
          <w:tcPr>
            <w:tcW w:w="1987" w:type="dxa"/>
          </w:tcPr>
          <w:p w14:paraId="72F29C63" w14:textId="2FE6CEC3" w:rsidR="008F1775" w:rsidRPr="00286216" w:rsidRDefault="008F1775" w:rsidP="008F1775">
            <w:pPr>
              <w:pStyle w:val="StyleWisnow"/>
              <w:spacing w:line="180" w:lineRule="exact"/>
              <w:rPr>
                <w:color w:val="000000" w:themeColor="text1"/>
              </w:rPr>
            </w:pPr>
            <w:r w:rsidRPr="00286216">
              <w:rPr>
                <w:color w:val="000000" w:themeColor="text1"/>
              </w:rPr>
              <w:t xml:space="preserve">з </w:t>
            </w:r>
            <w:r w:rsidRPr="00286216">
              <w:rPr>
                <w:color w:val="000000" w:themeColor="text1"/>
                <w:spacing w:val="-2"/>
              </w:rPr>
              <w:t xml:space="preserve">урахуванням  </w:t>
            </w:r>
            <w:r w:rsidRPr="00286216">
              <w:rPr>
                <w:color w:val="000000" w:themeColor="text1"/>
                <w:spacing w:val="-2"/>
                <w:lang w:val="ru-RU"/>
              </w:rPr>
              <w:t>термінів</w:t>
            </w:r>
            <w:r w:rsidRPr="00286216">
              <w:rPr>
                <w:color w:val="000000" w:themeColor="text1"/>
              </w:rPr>
              <w:t xml:space="preserve"> </w:t>
            </w:r>
            <w:r w:rsidRPr="00286216">
              <w:rPr>
                <w:color w:val="000000" w:themeColor="text1"/>
                <w:spacing w:val="-4"/>
              </w:rPr>
              <w:t>набрання чинності</w:t>
            </w:r>
          </w:p>
        </w:tc>
        <w:tc>
          <w:tcPr>
            <w:tcW w:w="4818" w:type="dxa"/>
          </w:tcPr>
          <w:p w14:paraId="606683F7" w14:textId="77777777" w:rsidR="008F1775" w:rsidRPr="00286216" w:rsidRDefault="008F1775" w:rsidP="008F1775">
            <w:pPr>
              <w:pStyle w:val="StyleZakonu"/>
              <w:rPr>
                <w:color w:val="000000" w:themeColor="text1"/>
              </w:rPr>
            </w:pPr>
          </w:p>
        </w:tc>
      </w:tr>
      <w:tr w:rsidR="008F1775" w:rsidRPr="00286216" w14:paraId="16608141" w14:textId="77777777" w:rsidTr="00091AA5">
        <w:tc>
          <w:tcPr>
            <w:tcW w:w="576" w:type="dxa"/>
          </w:tcPr>
          <w:p w14:paraId="001C4CE3" w14:textId="77777777" w:rsidR="008F1775" w:rsidRPr="00286216" w:rsidRDefault="008F1775" w:rsidP="008F1775">
            <w:pPr>
              <w:pStyle w:val="StyleWisnow"/>
              <w:rPr>
                <w:color w:val="000000" w:themeColor="text1"/>
              </w:rPr>
            </w:pPr>
            <w:bookmarkStart w:id="3817" w:name="n3941" w:colFirst="0" w:colLast="0"/>
            <w:bookmarkEnd w:id="3816"/>
            <w:r w:rsidRPr="00286216">
              <w:rPr>
                <w:color w:val="000000" w:themeColor="text1"/>
              </w:rPr>
              <w:t>3941.</w:t>
            </w:r>
          </w:p>
        </w:tc>
        <w:tc>
          <w:tcPr>
            <w:tcW w:w="4818" w:type="dxa"/>
          </w:tcPr>
          <w:p w14:paraId="58BE4D32" w14:textId="77777777" w:rsidR="008F1775" w:rsidRPr="00286216" w:rsidRDefault="008F1775" w:rsidP="00286216">
            <w:pPr>
              <w:pStyle w:val="StyleZakonu"/>
              <w:spacing w:after="20"/>
              <w:rPr>
                <w:color w:val="000000" w:themeColor="text1"/>
              </w:rPr>
            </w:pPr>
            <w:r w:rsidRPr="00286216">
              <w:rPr>
                <w:color w:val="000000" w:themeColor="text1"/>
              </w:rPr>
              <w:t>2) забезпечити приведення міністерствами, іншими центральними органами виконавчої влади їх нормативно-правових актів у відповідність із цим Законом.</w:t>
            </w:r>
          </w:p>
        </w:tc>
        <w:tc>
          <w:tcPr>
            <w:tcW w:w="3686" w:type="dxa"/>
          </w:tcPr>
          <w:p w14:paraId="63F609BF" w14:textId="0860995C"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1560</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0E0D706"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 xml:space="preserve">Розділ 4 “Прикінцеві та перехідні положення” законопроекту доповнити пунктом 16 такого змісту: </w:t>
            </w:r>
          </w:p>
          <w:p w14:paraId="7CA5FDEF"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 xml:space="preserve">“16. Національному банку України протягом шести місяців з дня опублікування цього Закону: </w:t>
            </w:r>
          </w:p>
          <w:p w14:paraId="070BA44D"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 xml:space="preserve">1) забезпечити прийняття нормативно-правових актів, необхідних для реалізації цього Закону; </w:t>
            </w:r>
          </w:p>
          <w:p w14:paraId="17A461DE" w14:textId="64AAD5CB" w:rsidR="008F1775" w:rsidRPr="00286216" w:rsidRDefault="008F1775" w:rsidP="008F1775">
            <w:pPr>
              <w:pStyle w:val="StyleProp"/>
              <w:spacing w:line="180" w:lineRule="exact"/>
              <w:rPr>
                <w:color w:val="000000" w:themeColor="text1"/>
                <w:szCs w:val="18"/>
              </w:rPr>
            </w:pPr>
            <w:r w:rsidRPr="00286216">
              <w:rPr>
                <w:color w:val="000000" w:themeColor="text1"/>
              </w:rPr>
              <w:t>2) привести свої нормативно-правові акти у відповідність із цим Законом”.</w:t>
            </w:r>
          </w:p>
        </w:tc>
        <w:tc>
          <w:tcPr>
            <w:tcW w:w="1987" w:type="dxa"/>
          </w:tcPr>
          <w:p w14:paraId="08D8B2F4" w14:textId="77777777" w:rsidR="008F1775" w:rsidRPr="00286216" w:rsidRDefault="008F1775" w:rsidP="008F1775">
            <w:pPr>
              <w:pStyle w:val="StyleWisnow"/>
              <w:spacing w:line="180" w:lineRule="exact"/>
              <w:rPr>
                <w:color w:val="000000" w:themeColor="text1"/>
              </w:rPr>
            </w:pPr>
            <w:r w:rsidRPr="00286216">
              <w:rPr>
                <w:color w:val="000000" w:themeColor="text1"/>
              </w:rPr>
              <w:t>Враховано по суті</w:t>
            </w:r>
          </w:p>
          <w:p w14:paraId="184B3653" w14:textId="7C55E4D2" w:rsidR="008F1775" w:rsidRPr="00286216" w:rsidRDefault="008F1775" w:rsidP="008F1775">
            <w:pPr>
              <w:pStyle w:val="StyleWisnow"/>
              <w:spacing w:line="180" w:lineRule="exact"/>
              <w:rPr>
                <w:color w:val="000000" w:themeColor="text1"/>
              </w:rPr>
            </w:pPr>
            <w:r w:rsidRPr="00286216">
              <w:rPr>
                <w:color w:val="000000" w:themeColor="text1"/>
              </w:rPr>
              <w:t>у пункті 19 Розділу Прикінцеві положення Закону "Про ринки капіталу та організовані товарні ринки"</w:t>
            </w:r>
          </w:p>
        </w:tc>
        <w:tc>
          <w:tcPr>
            <w:tcW w:w="4818" w:type="dxa"/>
          </w:tcPr>
          <w:p w14:paraId="186FDC3B" w14:textId="77777777" w:rsidR="008F1775" w:rsidRPr="00286216" w:rsidRDefault="008F1775" w:rsidP="008F1775">
            <w:pPr>
              <w:pStyle w:val="StyleZakonu"/>
              <w:rPr>
                <w:color w:val="000000" w:themeColor="text1"/>
              </w:rPr>
            </w:pPr>
          </w:p>
        </w:tc>
      </w:tr>
      <w:bookmarkEnd w:id="3817"/>
      <w:tr w:rsidR="008F1775" w:rsidRPr="00286216" w14:paraId="16705315" w14:textId="77777777" w:rsidTr="00091AA5">
        <w:tc>
          <w:tcPr>
            <w:tcW w:w="576" w:type="dxa"/>
          </w:tcPr>
          <w:p w14:paraId="76E3EB2D" w14:textId="77777777" w:rsidR="008F1775" w:rsidRPr="00286216" w:rsidRDefault="008F1775" w:rsidP="008F1775">
            <w:pPr>
              <w:pStyle w:val="StyleWisnow"/>
              <w:rPr>
                <w:color w:val="000000" w:themeColor="text1"/>
              </w:rPr>
            </w:pPr>
          </w:p>
        </w:tc>
        <w:tc>
          <w:tcPr>
            <w:tcW w:w="4818" w:type="dxa"/>
          </w:tcPr>
          <w:p w14:paraId="20C211CA" w14:textId="77777777" w:rsidR="008F1775" w:rsidRPr="00286216" w:rsidRDefault="008F1775" w:rsidP="008F1775">
            <w:pPr>
              <w:pStyle w:val="StyleZakonu"/>
              <w:rPr>
                <w:color w:val="000000" w:themeColor="text1"/>
              </w:rPr>
            </w:pPr>
          </w:p>
        </w:tc>
        <w:tc>
          <w:tcPr>
            <w:tcW w:w="3686" w:type="dxa"/>
          </w:tcPr>
          <w:p w14:paraId="50313059" w14:textId="60476E2B" w:rsidR="008F1775" w:rsidRPr="00286216" w:rsidRDefault="008F1775" w:rsidP="008F1775">
            <w:pPr>
              <w:pStyle w:val="StyleAwt"/>
              <w:rPr>
                <w:color w:val="000000" w:themeColor="text1"/>
                <w:szCs w:val="18"/>
              </w:rPr>
            </w:pPr>
            <w:r w:rsidRPr="00286216">
              <w:rPr>
                <w:color w:val="000000" w:themeColor="text1"/>
                <w:szCs w:val="18"/>
              </w:rPr>
              <w:t>-</w:t>
            </w:r>
            <w:r w:rsidRPr="00286216">
              <w:rPr>
                <w:color w:val="000000" w:themeColor="text1"/>
                <w:szCs w:val="18"/>
              </w:rPr>
              <w:fldChar w:fldCharType="begin"/>
            </w:r>
            <w:r w:rsidRPr="00286216">
              <w:rPr>
                <w:color w:val="000000" w:themeColor="text1"/>
                <w:szCs w:val="18"/>
              </w:rPr>
              <w:instrText xml:space="preserve"> SEQ aa </w:instrText>
            </w:r>
            <w:r w:rsidRPr="00286216">
              <w:rPr>
                <w:color w:val="000000" w:themeColor="text1"/>
                <w:szCs w:val="18"/>
              </w:rPr>
              <w:fldChar w:fldCharType="separate"/>
            </w:r>
            <w:r w:rsidR="00C46B29">
              <w:rPr>
                <w:noProof/>
                <w:color w:val="000000" w:themeColor="text1"/>
                <w:szCs w:val="18"/>
              </w:rPr>
              <w:t>1561</w:t>
            </w:r>
            <w:r w:rsidRPr="00286216">
              <w:rPr>
                <w:color w:val="000000" w:themeColor="text1"/>
                <w:szCs w:val="18"/>
              </w:rPr>
              <w:fldChar w:fldCharType="end"/>
            </w:r>
            <w:r w:rsidRPr="00286216">
              <w:rPr>
                <w:color w:val="000000" w:themeColor="text1"/>
                <w:spacing w:val="-6"/>
                <w:szCs w:val="18"/>
              </w:rPr>
              <w:t>-Н.д. Устенко О.О.(Реєстр.картка№308)</w:t>
            </w:r>
          </w:p>
          <w:p w14:paraId="0A18A87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Доповнити розділ новим пунктом 16 </w:t>
            </w:r>
            <w:r w:rsidRPr="00286216">
              <w:rPr>
                <w:color w:val="000000" w:themeColor="text1"/>
                <w:spacing w:val="-2"/>
                <w:szCs w:val="18"/>
              </w:rPr>
              <w:t>такого змісту:</w:t>
            </w:r>
          </w:p>
          <w:p w14:paraId="6F049B4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«16. Національній комісії з цінних паперів та фондового ринку до 01 червня 2020 року розробити та затвердити за погодженням з </w:t>
            </w:r>
            <w:r w:rsidRPr="00286216">
              <w:rPr>
                <w:color w:val="000000" w:themeColor="text1"/>
                <w:spacing w:val="-2"/>
                <w:szCs w:val="18"/>
              </w:rPr>
              <w:lastRenderedPageBreak/>
              <w:t>Національним банком України нормативно-правовий акт, який регламентує процедуру передання облігацій місцевих позик на депозитарне обслуговування до Центрального депозитарію цінних паперів.</w:t>
            </w:r>
          </w:p>
          <w:p w14:paraId="1EC6B549"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Національному банку України у строк до 01 вересня 2020 року забезпечити безоплатне передання облігацій місцевих позик на депозитарне обслуговування до Центрального депозитарію цінних паперів у порядку, встановленому Національною комісією з цінних паперів та фондового ринку за погодженням з Національним банком України.</w:t>
            </w:r>
          </w:p>
          <w:p w14:paraId="482582F7"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З дня передачі Національним банком України глобальних сертифікатів випусків облігацій місцевих позик на зберігання до Центрального депозитарію цінних паперів, Центральний депозитарій цінних паперів вважається правонаступником прав та обов’язків Національного банку України за договорами про обслуговування емісії цінних паперів, укладеними між емітентами облігацій місцевих позик та Національним банком України.</w:t>
            </w:r>
          </w:p>
          <w:p w14:paraId="621E2894"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Після передання Національним банком України облігацій місцевих позик на депозитарне обслуговування до Центрального депозитарію цінних паперів, розпорядження (операції) емітентів облігацій місцевих позик виконуються Центральним депозитарієм цінних паперів тільки після укладення такими емітентами відповідного договору про обслуговування емісії цінних паперів з Центральним депозитарієм цінних паперів.»</w:t>
            </w:r>
          </w:p>
          <w:p w14:paraId="3A07905B" w14:textId="77777777" w:rsidR="008F1775" w:rsidRPr="00286216" w:rsidRDefault="008F1775" w:rsidP="008F1775">
            <w:pPr>
              <w:pStyle w:val="StyleProp"/>
              <w:spacing w:line="180" w:lineRule="exact"/>
              <w:rPr>
                <w:color w:val="000000" w:themeColor="text1"/>
                <w:spacing w:val="-6"/>
                <w:szCs w:val="18"/>
              </w:rPr>
            </w:pPr>
            <w:r w:rsidRPr="00286216">
              <w:rPr>
                <w:color w:val="000000" w:themeColor="text1"/>
                <w:spacing w:val="-6"/>
                <w:szCs w:val="18"/>
              </w:rPr>
              <w:t>У зв’язку з цим пункт 16 вважати пунктом 17.</w:t>
            </w:r>
          </w:p>
        </w:tc>
        <w:tc>
          <w:tcPr>
            <w:tcW w:w="1987" w:type="dxa"/>
          </w:tcPr>
          <w:p w14:paraId="170216DA" w14:textId="77777777" w:rsidR="008F1775" w:rsidRPr="00286216" w:rsidRDefault="008F1775" w:rsidP="008F1775">
            <w:pPr>
              <w:pStyle w:val="StyleWisnow"/>
              <w:spacing w:line="180" w:lineRule="exact"/>
              <w:rPr>
                <w:color w:val="000000" w:themeColor="text1"/>
              </w:rPr>
            </w:pPr>
            <w:r w:rsidRPr="00286216">
              <w:rPr>
                <w:color w:val="000000" w:themeColor="text1"/>
              </w:rPr>
              <w:lastRenderedPageBreak/>
              <w:t>Враховано редакційно</w:t>
            </w:r>
          </w:p>
          <w:p w14:paraId="752EDF7A" w14:textId="1612000C" w:rsidR="008F1775" w:rsidRPr="00286216" w:rsidRDefault="008F1775" w:rsidP="008F1775">
            <w:pPr>
              <w:pStyle w:val="StyleWisnow"/>
              <w:spacing w:line="180" w:lineRule="exact"/>
              <w:rPr>
                <w:color w:val="000000" w:themeColor="text1"/>
              </w:rPr>
            </w:pPr>
            <w:r w:rsidRPr="00286216">
              <w:rPr>
                <w:color w:val="000000" w:themeColor="text1"/>
              </w:rPr>
              <w:t xml:space="preserve">у пункті 15 Розділу Прикінцеві положення проекту Закону "Про ринки капіталу та організовані товарні </w:t>
            </w:r>
            <w:r w:rsidRPr="00286216">
              <w:rPr>
                <w:color w:val="000000" w:themeColor="text1"/>
              </w:rPr>
              <w:lastRenderedPageBreak/>
              <w:t>ринки"</w:t>
            </w:r>
          </w:p>
        </w:tc>
        <w:tc>
          <w:tcPr>
            <w:tcW w:w="4818" w:type="dxa"/>
          </w:tcPr>
          <w:p w14:paraId="224043A8" w14:textId="77777777" w:rsidR="008F1775" w:rsidRPr="00286216" w:rsidRDefault="008F1775" w:rsidP="008F1775">
            <w:pPr>
              <w:pStyle w:val="StyleZakonu"/>
              <w:rPr>
                <w:color w:val="000000" w:themeColor="text1"/>
              </w:rPr>
            </w:pPr>
          </w:p>
        </w:tc>
      </w:tr>
      <w:tr w:rsidR="008F1775" w:rsidRPr="00286216" w14:paraId="134DC1E8" w14:textId="77777777" w:rsidTr="00091AA5">
        <w:tc>
          <w:tcPr>
            <w:tcW w:w="576" w:type="dxa"/>
          </w:tcPr>
          <w:p w14:paraId="6E30184E" w14:textId="77777777" w:rsidR="008F1775" w:rsidRPr="00286216" w:rsidRDefault="008F1775" w:rsidP="008F1775">
            <w:pPr>
              <w:pStyle w:val="StyleWisnow"/>
              <w:rPr>
                <w:color w:val="000000" w:themeColor="text1"/>
              </w:rPr>
            </w:pPr>
          </w:p>
        </w:tc>
        <w:tc>
          <w:tcPr>
            <w:tcW w:w="4818" w:type="dxa"/>
          </w:tcPr>
          <w:p w14:paraId="462153B5" w14:textId="77777777" w:rsidR="008F1775" w:rsidRPr="00286216" w:rsidRDefault="008F1775" w:rsidP="008F1775">
            <w:pPr>
              <w:pStyle w:val="StyleZakonu"/>
              <w:rPr>
                <w:color w:val="000000" w:themeColor="text1"/>
              </w:rPr>
            </w:pPr>
          </w:p>
        </w:tc>
        <w:tc>
          <w:tcPr>
            <w:tcW w:w="3686" w:type="dxa"/>
          </w:tcPr>
          <w:p w14:paraId="07952BD6" w14:textId="396DBC6A"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1562</w:t>
            </w:r>
            <w:r w:rsidRPr="00286216">
              <w:rPr>
                <w:color w:val="000000" w:themeColor="text1"/>
                <w:spacing w:val="-2"/>
              </w:rPr>
              <w:fldChar w:fldCharType="end"/>
            </w:r>
            <w:r w:rsidRPr="00286216">
              <w:rPr>
                <w:color w:val="000000" w:themeColor="text1"/>
                <w:spacing w:val="-2"/>
              </w:rPr>
              <w:t>-Н.д.Шахов С.В. (Реєстр.картка №114)</w:t>
            </w:r>
          </w:p>
          <w:p w14:paraId="00BF657F" w14:textId="77777777" w:rsidR="008F1775" w:rsidRPr="00286216" w:rsidRDefault="008F1775" w:rsidP="008F1775">
            <w:pPr>
              <w:spacing w:line="200" w:lineRule="exact"/>
              <w:ind w:firstLine="227"/>
              <w:jc w:val="both"/>
              <w:rPr>
                <w:color w:val="000000" w:themeColor="text1"/>
                <w:sz w:val="18"/>
              </w:rPr>
            </w:pPr>
            <w:r w:rsidRPr="00286216">
              <w:rPr>
                <w:color w:val="000000" w:themeColor="text1"/>
                <w:sz w:val="18"/>
              </w:rPr>
              <w:t>Розділ 4 доповнити пунктом такого змісту:</w:t>
            </w:r>
          </w:p>
          <w:p w14:paraId="49A567D1" w14:textId="77777777" w:rsidR="008F1775" w:rsidRPr="00286216" w:rsidRDefault="008F1775" w:rsidP="008F1775">
            <w:pPr>
              <w:pStyle w:val="StyleProp"/>
              <w:spacing w:line="180" w:lineRule="exact"/>
              <w:rPr>
                <w:color w:val="000000" w:themeColor="text1"/>
                <w:szCs w:val="18"/>
              </w:rPr>
            </w:pPr>
            <w:r w:rsidRPr="00286216">
              <w:rPr>
                <w:color w:val="000000" w:themeColor="text1"/>
              </w:rPr>
              <w:t xml:space="preserve">"15-1. </w:t>
            </w:r>
            <w:r w:rsidRPr="00286216">
              <w:rPr>
                <w:rStyle w:val="afa"/>
                <w:b w:val="0"/>
                <w:bCs w:val="0"/>
                <w:color w:val="000000" w:themeColor="text1"/>
              </w:rPr>
              <w:t xml:space="preserve">Національній комісії, що здійснює державне регулювання у сферах енергетики та комунальних послуг, </w:t>
            </w:r>
            <w:r w:rsidRPr="00286216">
              <w:rPr>
                <w:color w:val="000000" w:themeColor="text1"/>
              </w:rPr>
              <w:t>протягом двадцяти чотирьох місяців з дня набрання чинності цим Законом привести свої нормативно-правові акти у відповідність із цим Законом".</w:t>
            </w:r>
          </w:p>
        </w:tc>
        <w:tc>
          <w:tcPr>
            <w:tcW w:w="1987" w:type="dxa"/>
          </w:tcPr>
          <w:p w14:paraId="097628A3" w14:textId="77777777" w:rsidR="008F1775" w:rsidRPr="00286216" w:rsidRDefault="008F1775" w:rsidP="008F1775">
            <w:pPr>
              <w:pStyle w:val="StyleWisnow"/>
              <w:rPr>
                <w:color w:val="000000" w:themeColor="text1"/>
              </w:rPr>
            </w:pPr>
            <w:r w:rsidRPr="00286216">
              <w:rPr>
                <w:color w:val="000000" w:themeColor="text1"/>
              </w:rPr>
              <w:t>Враховано</w:t>
            </w:r>
          </w:p>
          <w:p w14:paraId="698C9CFC" w14:textId="5318E479" w:rsidR="008F1775" w:rsidRPr="00286216" w:rsidRDefault="008F1775" w:rsidP="008F1775">
            <w:pPr>
              <w:pStyle w:val="StyleWisnow"/>
              <w:spacing w:line="180" w:lineRule="exact"/>
              <w:rPr>
                <w:color w:val="000000" w:themeColor="text1"/>
                <w:spacing w:val="-4"/>
              </w:rPr>
            </w:pPr>
            <w:r w:rsidRPr="00286216">
              <w:rPr>
                <w:color w:val="000000" w:themeColor="text1"/>
                <w:spacing w:val="-4"/>
              </w:rPr>
              <w:t>у пункті 10 Розділу Прикінцеві положення Закону "Про внесення змін до деяких законодавчих актів України у зв'язку із прийняттям законів …"</w:t>
            </w:r>
          </w:p>
        </w:tc>
        <w:tc>
          <w:tcPr>
            <w:tcW w:w="4818" w:type="dxa"/>
          </w:tcPr>
          <w:p w14:paraId="526F4F9B" w14:textId="77777777" w:rsidR="008F1775" w:rsidRPr="00286216" w:rsidRDefault="008F1775" w:rsidP="008F1775">
            <w:pPr>
              <w:pStyle w:val="StyleZakonu"/>
              <w:rPr>
                <w:color w:val="000000" w:themeColor="text1"/>
              </w:rPr>
            </w:pPr>
          </w:p>
        </w:tc>
      </w:tr>
      <w:tr w:rsidR="008F1775" w:rsidRPr="00286216" w14:paraId="67B0DE00" w14:textId="77777777" w:rsidTr="00091AA5">
        <w:tc>
          <w:tcPr>
            <w:tcW w:w="576" w:type="dxa"/>
          </w:tcPr>
          <w:p w14:paraId="29149788" w14:textId="77777777" w:rsidR="008F1775" w:rsidRPr="00286216" w:rsidRDefault="008F1775" w:rsidP="008F1775">
            <w:pPr>
              <w:pStyle w:val="StyleWisnow"/>
              <w:rPr>
                <w:color w:val="000000" w:themeColor="text1"/>
              </w:rPr>
            </w:pPr>
            <w:bookmarkStart w:id="3818" w:name="n3942" w:colFirst="0" w:colLast="0"/>
            <w:r w:rsidRPr="00286216">
              <w:rPr>
                <w:color w:val="000000" w:themeColor="text1"/>
              </w:rPr>
              <w:t>3942.</w:t>
            </w:r>
          </w:p>
        </w:tc>
        <w:tc>
          <w:tcPr>
            <w:tcW w:w="4818" w:type="dxa"/>
          </w:tcPr>
          <w:p w14:paraId="1606035E" w14:textId="77777777" w:rsidR="008F1775" w:rsidRPr="00286216" w:rsidRDefault="008F1775" w:rsidP="008F1775">
            <w:pPr>
              <w:pStyle w:val="StyleZakonu"/>
              <w:rPr>
                <w:color w:val="000000" w:themeColor="text1"/>
              </w:rPr>
            </w:pPr>
            <w:r w:rsidRPr="00286216">
              <w:rPr>
                <w:color w:val="000000" w:themeColor="text1"/>
              </w:rPr>
              <w:t>16. Рекомендувати Національній комісії з цінних паперів та фондового ринку з метою забезпечення реалізації положень цього Закону щодо регулювання та нагляду за організованими товарними ринками та вчиненням товарних деривативів укласти меморандуми про взаємодію та обмін інформацією з регуляторами відповідних товарних ринків та/або центральними органами виконавчої влади, що забезпечують формування та реалізують державну політику у відповідних сферах.</w:t>
            </w:r>
          </w:p>
        </w:tc>
        <w:tc>
          <w:tcPr>
            <w:tcW w:w="3686" w:type="dxa"/>
          </w:tcPr>
          <w:p w14:paraId="7FBBE125" w14:textId="1827A757" w:rsidR="008F1775" w:rsidRPr="00286216" w:rsidRDefault="008F1775" w:rsidP="008F1775">
            <w:pPr>
              <w:pStyle w:val="StyleAwt"/>
              <w:rPr>
                <w:color w:val="000000" w:themeColor="text1"/>
                <w:spacing w:val="-2"/>
              </w:rPr>
            </w:pPr>
            <w:r w:rsidRPr="00286216">
              <w:rPr>
                <w:color w:val="000000" w:themeColor="text1"/>
                <w:spacing w:val="-2"/>
              </w:rPr>
              <w:t>-</w:t>
            </w:r>
            <w:r w:rsidRPr="00286216">
              <w:rPr>
                <w:color w:val="000000" w:themeColor="text1"/>
                <w:spacing w:val="-2"/>
              </w:rPr>
              <w:fldChar w:fldCharType="begin"/>
            </w:r>
            <w:r w:rsidRPr="00286216">
              <w:rPr>
                <w:color w:val="000000" w:themeColor="text1"/>
                <w:spacing w:val="-2"/>
              </w:rPr>
              <w:instrText xml:space="preserve"> SEQ aa </w:instrText>
            </w:r>
            <w:r w:rsidRPr="00286216">
              <w:rPr>
                <w:color w:val="000000" w:themeColor="text1"/>
                <w:spacing w:val="-2"/>
              </w:rPr>
              <w:fldChar w:fldCharType="separate"/>
            </w:r>
            <w:r w:rsidR="00C46B29">
              <w:rPr>
                <w:noProof/>
                <w:color w:val="000000" w:themeColor="text1"/>
                <w:spacing w:val="-2"/>
              </w:rPr>
              <w:t>1563</w:t>
            </w:r>
            <w:r w:rsidRPr="00286216">
              <w:rPr>
                <w:color w:val="000000" w:themeColor="text1"/>
                <w:spacing w:val="-2"/>
              </w:rPr>
              <w:fldChar w:fldCharType="end"/>
            </w:r>
            <w:r w:rsidRPr="00286216">
              <w:rPr>
                <w:color w:val="000000" w:themeColor="text1"/>
                <w:spacing w:val="-2"/>
              </w:rPr>
              <w:t>-Н.д.Шахов С.В. (Реєстр.картка №114)</w:t>
            </w:r>
          </w:p>
          <w:p w14:paraId="65B94AE4" w14:textId="77777777" w:rsidR="008F1775" w:rsidRPr="00286216" w:rsidRDefault="008F1775" w:rsidP="008F1775">
            <w:pPr>
              <w:spacing w:line="200" w:lineRule="exact"/>
              <w:ind w:firstLine="227"/>
              <w:jc w:val="both"/>
              <w:rPr>
                <w:color w:val="000000" w:themeColor="text1"/>
                <w:spacing w:val="-2"/>
                <w:sz w:val="18"/>
              </w:rPr>
            </w:pPr>
            <w:r w:rsidRPr="00286216">
              <w:rPr>
                <w:color w:val="000000" w:themeColor="text1"/>
                <w:spacing w:val="-2"/>
                <w:sz w:val="18"/>
              </w:rPr>
              <w:t>Пункт 16 викласти у такій редакції:</w:t>
            </w:r>
          </w:p>
          <w:p w14:paraId="107AEFD0" w14:textId="77777777" w:rsidR="008F1775" w:rsidRPr="00286216" w:rsidRDefault="008F1775" w:rsidP="008F1775">
            <w:pPr>
              <w:pStyle w:val="StyleProp"/>
              <w:spacing w:line="180" w:lineRule="exact"/>
              <w:rPr>
                <w:color w:val="000000" w:themeColor="text1"/>
                <w:spacing w:val="-4"/>
              </w:rPr>
            </w:pPr>
            <w:r w:rsidRPr="00286216">
              <w:rPr>
                <w:color w:val="000000" w:themeColor="text1"/>
                <w:spacing w:val="-4"/>
              </w:rPr>
              <w:t xml:space="preserve">"16. Національній комісії з цінних паперів та </w:t>
            </w:r>
            <w:r w:rsidRPr="00286216">
              <w:rPr>
                <w:color w:val="000000" w:themeColor="text1"/>
                <w:spacing w:val="-7"/>
              </w:rPr>
              <w:t>фондового ринку з метою забезпечення реалізації</w:t>
            </w:r>
            <w:r w:rsidRPr="00286216">
              <w:rPr>
                <w:color w:val="000000" w:themeColor="text1"/>
                <w:spacing w:val="-6"/>
              </w:rPr>
              <w:t xml:space="preserve"> п</w:t>
            </w:r>
            <w:r w:rsidRPr="00286216">
              <w:rPr>
                <w:color w:val="000000" w:themeColor="text1"/>
                <w:spacing w:val="-4"/>
              </w:rPr>
              <w:t>оложень цього Закону щодо регулювання та нагляду за організованими товарними ринками та вчиненням товарних деривативів:</w:t>
            </w:r>
          </w:p>
          <w:p w14:paraId="574EB004"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1) укласти меморандуми про взаємодію та обмін інформацією з регуляторами відповідних товарних ринків та/або центральними органами виконавчої влади, що забезпечують формування та реалізують </w:t>
            </w:r>
            <w:r w:rsidRPr="00286216">
              <w:rPr>
                <w:color w:val="000000" w:themeColor="text1"/>
                <w:spacing w:val="-2"/>
              </w:rPr>
              <w:lastRenderedPageBreak/>
              <w:t>державну політику у відповідних сферах;</w:t>
            </w:r>
          </w:p>
          <w:p w14:paraId="00C35ECD" w14:textId="77777777" w:rsidR="008F1775" w:rsidRPr="00286216" w:rsidRDefault="008F1775" w:rsidP="008F1775">
            <w:pPr>
              <w:pStyle w:val="StyleProp"/>
              <w:spacing w:line="180" w:lineRule="exact"/>
              <w:rPr>
                <w:color w:val="000000" w:themeColor="text1"/>
                <w:szCs w:val="18"/>
              </w:rPr>
            </w:pPr>
            <w:r w:rsidRPr="00286216">
              <w:rPr>
                <w:color w:val="000000" w:themeColor="text1"/>
                <w:spacing w:val="-2"/>
              </w:rPr>
              <w:t>2) розробити та прийняти нормативно-правові акти на виконання цього Закону, а в частині, що стосується організованих товарних ринків та ринків поставних товарних деривативних контрактів, погодити з регуляторами відповідних товарних ринків та центральними органами виконавчої влади, що забезпечують формування та реалізують державну політику у відповідних сферах».</w:t>
            </w:r>
          </w:p>
        </w:tc>
        <w:tc>
          <w:tcPr>
            <w:tcW w:w="1987" w:type="dxa"/>
          </w:tcPr>
          <w:p w14:paraId="62188DAD" w14:textId="77777777" w:rsidR="008F1775" w:rsidRPr="00286216" w:rsidRDefault="008F1775" w:rsidP="008F1775">
            <w:pPr>
              <w:pStyle w:val="StyleWisnow"/>
              <w:spacing w:line="180" w:lineRule="exact"/>
              <w:rPr>
                <w:color w:val="000000" w:themeColor="text1"/>
              </w:rPr>
            </w:pPr>
            <w:r w:rsidRPr="00286216">
              <w:rPr>
                <w:color w:val="000000" w:themeColor="text1"/>
              </w:rPr>
              <w:lastRenderedPageBreak/>
              <w:t>Враховано по суті</w:t>
            </w:r>
          </w:p>
          <w:p w14:paraId="63001052" w14:textId="41B6A790" w:rsidR="008F1775" w:rsidRPr="00286216" w:rsidRDefault="008F1775" w:rsidP="008F1775">
            <w:pPr>
              <w:pStyle w:val="StyleWisnow"/>
              <w:spacing w:line="180" w:lineRule="exact"/>
              <w:rPr>
                <w:color w:val="000000" w:themeColor="text1"/>
              </w:rPr>
            </w:pPr>
            <w:r w:rsidRPr="00286216">
              <w:rPr>
                <w:color w:val="000000" w:themeColor="text1"/>
              </w:rPr>
              <w:t>у редакції статті 146 Закону "Про ринки капіталу та організовані товарні ринки"</w:t>
            </w:r>
          </w:p>
        </w:tc>
        <w:tc>
          <w:tcPr>
            <w:tcW w:w="4818" w:type="dxa"/>
          </w:tcPr>
          <w:p w14:paraId="147F035E" w14:textId="77777777" w:rsidR="008F1775" w:rsidRPr="00286216" w:rsidRDefault="008F1775" w:rsidP="008F1775">
            <w:pPr>
              <w:pStyle w:val="StyleZakonu"/>
              <w:rPr>
                <w:color w:val="000000" w:themeColor="text1"/>
              </w:rPr>
            </w:pPr>
          </w:p>
        </w:tc>
      </w:tr>
      <w:tr w:rsidR="008F1775" w:rsidRPr="00286216" w14:paraId="0B5C757F" w14:textId="77777777" w:rsidTr="00091AA5">
        <w:tc>
          <w:tcPr>
            <w:tcW w:w="576" w:type="dxa"/>
          </w:tcPr>
          <w:p w14:paraId="07419054" w14:textId="77777777" w:rsidR="008F1775" w:rsidRPr="00286216" w:rsidRDefault="008F1775" w:rsidP="008F1775">
            <w:pPr>
              <w:pStyle w:val="StyleWisnow"/>
              <w:rPr>
                <w:color w:val="000000" w:themeColor="text1"/>
              </w:rPr>
            </w:pPr>
          </w:p>
        </w:tc>
        <w:tc>
          <w:tcPr>
            <w:tcW w:w="4818" w:type="dxa"/>
          </w:tcPr>
          <w:p w14:paraId="794A9053" w14:textId="77777777" w:rsidR="008F1775" w:rsidRPr="00286216" w:rsidRDefault="008F1775" w:rsidP="008F1775">
            <w:pPr>
              <w:pStyle w:val="StyleZakonu"/>
              <w:rPr>
                <w:color w:val="000000" w:themeColor="text1"/>
              </w:rPr>
            </w:pPr>
          </w:p>
        </w:tc>
        <w:tc>
          <w:tcPr>
            <w:tcW w:w="3686" w:type="dxa"/>
          </w:tcPr>
          <w:p w14:paraId="3C8FA7A1" w14:textId="2070EAED" w:rsidR="008F1775" w:rsidRPr="00286216" w:rsidRDefault="008F1775" w:rsidP="008F1775">
            <w:pPr>
              <w:pStyle w:val="StyleAwt"/>
              <w:rPr>
                <w:color w:val="000000" w:themeColor="text1"/>
                <w:spacing w:val="-10"/>
                <w:szCs w:val="18"/>
              </w:rPr>
            </w:pPr>
            <w:r w:rsidRPr="00286216">
              <w:rPr>
                <w:color w:val="000000" w:themeColor="text1"/>
                <w:spacing w:val="-10"/>
                <w:szCs w:val="18"/>
              </w:rPr>
              <w:t>-</w:t>
            </w:r>
            <w:r w:rsidRPr="00286216">
              <w:rPr>
                <w:color w:val="000000" w:themeColor="text1"/>
                <w:spacing w:val="-10"/>
                <w:szCs w:val="18"/>
              </w:rPr>
              <w:fldChar w:fldCharType="begin"/>
            </w:r>
            <w:r w:rsidRPr="00286216">
              <w:rPr>
                <w:color w:val="000000" w:themeColor="text1"/>
                <w:spacing w:val="-10"/>
                <w:szCs w:val="18"/>
              </w:rPr>
              <w:instrText xml:space="preserve"> SEQ aa </w:instrText>
            </w:r>
            <w:r w:rsidRPr="00286216">
              <w:rPr>
                <w:color w:val="000000" w:themeColor="text1"/>
                <w:spacing w:val="-10"/>
                <w:szCs w:val="18"/>
              </w:rPr>
              <w:fldChar w:fldCharType="separate"/>
            </w:r>
            <w:r w:rsidR="00C46B29">
              <w:rPr>
                <w:noProof/>
                <w:color w:val="000000" w:themeColor="text1"/>
                <w:spacing w:val="-10"/>
                <w:szCs w:val="18"/>
              </w:rPr>
              <w:t>1564</w:t>
            </w:r>
            <w:r w:rsidRPr="00286216">
              <w:rPr>
                <w:color w:val="000000" w:themeColor="text1"/>
                <w:spacing w:val="-10"/>
                <w:szCs w:val="18"/>
              </w:rPr>
              <w:fldChar w:fldCharType="end"/>
            </w:r>
            <w:r w:rsidRPr="00286216">
              <w:rPr>
                <w:color w:val="000000" w:themeColor="text1"/>
                <w:spacing w:val="-10"/>
                <w:szCs w:val="18"/>
              </w:rPr>
              <w:t>-</w:t>
            </w:r>
            <w:r w:rsidRPr="00286216">
              <w:rPr>
                <w:color w:val="000000" w:themeColor="text1"/>
                <w:spacing w:val="-10"/>
              </w:rPr>
              <w:t>Н.д.Стефанчук Р.О.(Реєстр.картка №227)</w:t>
            </w:r>
          </w:p>
          <w:p w14:paraId="6E1E9F7B" w14:textId="77777777" w:rsidR="008F1775" w:rsidRPr="00286216" w:rsidRDefault="008F1775" w:rsidP="008F1775">
            <w:pPr>
              <w:pStyle w:val="StyleProp"/>
              <w:spacing w:line="190" w:lineRule="exact"/>
              <w:rPr>
                <w:color w:val="000000" w:themeColor="text1"/>
                <w:spacing w:val="-4"/>
              </w:rPr>
            </w:pPr>
            <w:r w:rsidRPr="00286216">
              <w:rPr>
                <w:color w:val="000000" w:themeColor="text1"/>
                <w:spacing w:val="-4"/>
              </w:rPr>
              <w:t>Розділ 4 доповнити пунктом такого змісту:</w:t>
            </w:r>
          </w:p>
          <w:p w14:paraId="27D92347" w14:textId="77777777" w:rsidR="008F1775" w:rsidRPr="00286216" w:rsidRDefault="008F1775" w:rsidP="008F1775">
            <w:pPr>
              <w:pStyle w:val="StyleProp"/>
              <w:spacing w:line="190" w:lineRule="exact"/>
              <w:rPr>
                <w:color w:val="000000" w:themeColor="text1"/>
                <w:szCs w:val="18"/>
              </w:rPr>
            </w:pPr>
            <w:r w:rsidRPr="00286216">
              <w:rPr>
                <w:color w:val="000000" w:themeColor="text1"/>
                <w:spacing w:val="-2"/>
              </w:rPr>
              <w:t>"Кабінетом Міністрів України включити інформацію про виконання цього Закону до звіту про хід та результати виконання Програми діяльності</w:t>
            </w:r>
            <w:r w:rsidRPr="00286216">
              <w:rPr>
                <w:color w:val="000000" w:themeColor="text1"/>
              </w:rPr>
              <w:t xml:space="preserve"> Кабінету Міністрів України за 2021 рік".</w:t>
            </w:r>
          </w:p>
        </w:tc>
        <w:tc>
          <w:tcPr>
            <w:tcW w:w="1987" w:type="dxa"/>
          </w:tcPr>
          <w:p w14:paraId="4EF54201" w14:textId="77777777" w:rsidR="008F1775" w:rsidRPr="00286216" w:rsidRDefault="008F1775" w:rsidP="008F1775">
            <w:pPr>
              <w:pStyle w:val="StyleWisnow"/>
              <w:spacing w:line="180" w:lineRule="exact"/>
              <w:rPr>
                <w:color w:val="000000" w:themeColor="text1"/>
              </w:rPr>
            </w:pPr>
            <w:r w:rsidRPr="00286216">
              <w:rPr>
                <w:color w:val="000000" w:themeColor="text1"/>
              </w:rPr>
              <w:t>Враховано редакційно</w:t>
            </w:r>
          </w:p>
          <w:p w14:paraId="502B1C5B" w14:textId="2E366B5F" w:rsidR="008F1775" w:rsidRPr="00286216" w:rsidRDefault="008F1775" w:rsidP="008F1775">
            <w:pPr>
              <w:pStyle w:val="StyleWisnow"/>
              <w:spacing w:line="180" w:lineRule="exact"/>
              <w:rPr>
                <w:color w:val="000000" w:themeColor="text1"/>
              </w:rPr>
            </w:pPr>
            <w:r w:rsidRPr="00286216">
              <w:rPr>
                <w:color w:val="000000" w:themeColor="text1"/>
              </w:rPr>
              <w:t xml:space="preserve">у п. 17 розд. Прикінцеві положення Закону "Про ринки капіталу та організовані товарні ринки", у п. 7 розд. Прикінцеві положення Закону "Про товарні біржі", у п. 7 розд. Прикінцеві положення Закону </w:t>
            </w:r>
            <w:r w:rsidRPr="00286216">
              <w:rPr>
                <w:color w:val="000000" w:themeColor="text1"/>
                <w:spacing w:val="-2"/>
              </w:rPr>
              <w:t>"Про внесення змін до деяких законодавчих актів України у зв'язку із прийняттям законів …"</w:t>
            </w:r>
          </w:p>
        </w:tc>
        <w:tc>
          <w:tcPr>
            <w:tcW w:w="4818" w:type="dxa"/>
          </w:tcPr>
          <w:p w14:paraId="20EBA66D" w14:textId="77777777" w:rsidR="008F1775" w:rsidRPr="00286216" w:rsidRDefault="008F1775" w:rsidP="008F1775">
            <w:pPr>
              <w:pStyle w:val="StyleZakonu"/>
              <w:rPr>
                <w:color w:val="000000" w:themeColor="text1"/>
              </w:rPr>
            </w:pPr>
          </w:p>
        </w:tc>
      </w:tr>
      <w:tr w:rsidR="008F1775" w:rsidRPr="00286216" w14:paraId="7AEB4432" w14:textId="77777777" w:rsidTr="00091AA5">
        <w:tc>
          <w:tcPr>
            <w:tcW w:w="576" w:type="dxa"/>
          </w:tcPr>
          <w:p w14:paraId="75145111" w14:textId="77777777" w:rsidR="008F1775" w:rsidRPr="00286216" w:rsidRDefault="008F1775" w:rsidP="008F1775">
            <w:pPr>
              <w:pStyle w:val="StyleWisnow"/>
              <w:rPr>
                <w:color w:val="000000" w:themeColor="text1"/>
              </w:rPr>
            </w:pPr>
          </w:p>
        </w:tc>
        <w:tc>
          <w:tcPr>
            <w:tcW w:w="4818" w:type="dxa"/>
          </w:tcPr>
          <w:p w14:paraId="2776E167" w14:textId="77777777" w:rsidR="008F1775" w:rsidRPr="00286216" w:rsidRDefault="008F1775" w:rsidP="008F1775">
            <w:pPr>
              <w:pStyle w:val="StyleZakonu"/>
              <w:rPr>
                <w:color w:val="000000" w:themeColor="text1"/>
              </w:rPr>
            </w:pPr>
          </w:p>
        </w:tc>
        <w:tc>
          <w:tcPr>
            <w:tcW w:w="3686" w:type="dxa"/>
          </w:tcPr>
          <w:p w14:paraId="16B1F95F" w14:textId="12008E22"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1565</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4B879E4"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 xml:space="preserve">Розділ 4 “Прикінцеві та перехідні положення” законопроекту доповнити пунктом 17 такого змісту: </w:t>
            </w:r>
          </w:p>
          <w:p w14:paraId="74290B7F" w14:textId="77777777" w:rsidR="008F1775" w:rsidRPr="00286216" w:rsidRDefault="008F1775" w:rsidP="008F1775">
            <w:pPr>
              <w:spacing w:line="180" w:lineRule="exact"/>
              <w:ind w:firstLine="227"/>
              <w:jc w:val="both"/>
              <w:rPr>
                <w:color w:val="000000" w:themeColor="text1"/>
                <w:sz w:val="18"/>
              </w:rPr>
            </w:pPr>
            <w:r w:rsidRPr="00286216">
              <w:rPr>
                <w:color w:val="000000" w:themeColor="text1"/>
                <w:sz w:val="18"/>
              </w:rPr>
              <w:t>«17. Встановити, що на період до 1 січня 2022 року банки мають право видавати ощадні сертифікати на бланках ощадних (депозитних) сертифікатів, виготовлених до дати набрання чинності цим Законом».</w:t>
            </w:r>
          </w:p>
        </w:tc>
        <w:tc>
          <w:tcPr>
            <w:tcW w:w="1987" w:type="dxa"/>
          </w:tcPr>
          <w:p w14:paraId="76E265EC"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p w14:paraId="65AB0803" w14:textId="40C0D3F7" w:rsidR="008F1775" w:rsidRPr="00286216" w:rsidRDefault="008F1775" w:rsidP="008F1775">
            <w:pPr>
              <w:pStyle w:val="StyleWisnow"/>
              <w:spacing w:line="180" w:lineRule="exact"/>
              <w:rPr>
                <w:color w:val="000000" w:themeColor="text1"/>
              </w:rPr>
            </w:pPr>
            <w:r w:rsidRPr="00286216">
              <w:rPr>
                <w:color w:val="000000" w:themeColor="text1"/>
              </w:rPr>
              <w:t>у п. 13 розділу Прикінцеві положення проекту Закону "Про ринки капіталу та організовані товарні ринки"</w:t>
            </w:r>
          </w:p>
        </w:tc>
        <w:tc>
          <w:tcPr>
            <w:tcW w:w="4818" w:type="dxa"/>
          </w:tcPr>
          <w:p w14:paraId="6D5F451C" w14:textId="77777777" w:rsidR="008F1775" w:rsidRPr="00286216" w:rsidRDefault="008F1775" w:rsidP="008F1775">
            <w:pPr>
              <w:pStyle w:val="StyleZakonu"/>
              <w:rPr>
                <w:color w:val="000000" w:themeColor="text1"/>
              </w:rPr>
            </w:pPr>
          </w:p>
        </w:tc>
      </w:tr>
      <w:tr w:rsidR="008F1775" w:rsidRPr="00286216" w14:paraId="4DBFA284" w14:textId="77777777" w:rsidTr="00091AA5">
        <w:tc>
          <w:tcPr>
            <w:tcW w:w="576" w:type="dxa"/>
          </w:tcPr>
          <w:p w14:paraId="2EA42A47" w14:textId="77777777" w:rsidR="008F1775" w:rsidRPr="00286216" w:rsidRDefault="008F1775" w:rsidP="008F1775">
            <w:pPr>
              <w:pStyle w:val="StyleWisnow"/>
              <w:rPr>
                <w:color w:val="000000" w:themeColor="text1"/>
              </w:rPr>
            </w:pPr>
          </w:p>
        </w:tc>
        <w:tc>
          <w:tcPr>
            <w:tcW w:w="4818" w:type="dxa"/>
          </w:tcPr>
          <w:p w14:paraId="6AF69FDC" w14:textId="77777777" w:rsidR="008F1775" w:rsidRPr="00286216" w:rsidRDefault="008F1775" w:rsidP="008F1775">
            <w:pPr>
              <w:pStyle w:val="StyleZakonu"/>
              <w:rPr>
                <w:color w:val="000000" w:themeColor="text1"/>
              </w:rPr>
            </w:pPr>
          </w:p>
        </w:tc>
        <w:tc>
          <w:tcPr>
            <w:tcW w:w="3686" w:type="dxa"/>
          </w:tcPr>
          <w:p w14:paraId="125FB25C" w14:textId="14A8958F"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1566</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7C4A3B93"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 xml:space="preserve">Розділ 4 “Прикінцеві та перехідні положення” законопроекту доповнити пунктом 18 такого змісту: </w:t>
            </w:r>
          </w:p>
          <w:p w14:paraId="46DC7388"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«18. Особам, які провадять клірингову діяльність, протягом двох робочих днів з дня набрання чинності цим Законом повідомити Національній комісії з цінних паперів та фондового ринку та Національному банку України адреси електронної пошти, які будуть вважатися офіційними адресами електронної пошти для цілей абзацу першого частини третьої статті 5-4  Закону України «Про цінні папери та фондовий ринок».</w:t>
            </w:r>
          </w:p>
          <w:p w14:paraId="12490F70" w14:textId="77777777" w:rsidR="008F1775" w:rsidRPr="00286216" w:rsidRDefault="008F1775" w:rsidP="008F1775">
            <w:pPr>
              <w:pStyle w:val="StyleProp"/>
              <w:spacing w:line="180" w:lineRule="exact"/>
              <w:rPr>
                <w:color w:val="000000" w:themeColor="text1"/>
                <w:szCs w:val="18"/>
              </w:rPr>
            </w:pPr>
            <w:r w:rsidRPr="00286216">
              <w:rPr>
                <w:color w:val="000000" w:themeColor="text1"/>
                <w:szCs w:val="18"/>
              </w:rPr>
              <w:t>У зв’язку з цим доповнити пункт 1 розділу 4 новим підпунктом щодо набрання чинності цими змінами з дня, наступного за днем опублікування цього Закону.</w:t>
            </w:r>
          </w:p>
        </w:tc>
        <w:tc>
          <w:tcPr>
            <w:tcW w:w="1987" w:type="dxa"/>
          </w:tcPr>
          <w:p w14:paraId="1B6F1FEE" w14:textId="77777777" w:rsidR="008F1775" w:rsidRPr="00286216" w:rsidRDefault="008F1775" w:rsidP="008F1775">
            <w:pPr>
              <w:pStyle w:val="StyleWisnow"/>
              <w:rPr>
                <w:color w:val="000000" w:themeColor="text1"/>
              </w:rPr>
            </w:pPr>
            <w:r w:rsidRPr="00286216">
              <w:rPr>
                <w:color w:val="000000" w:themeColor="text1"/>
              </w:rPr>
              <w:t>Враховано редакційно</w:t>
            </w:r>
          </w:p>
          <w:p w14:paraId="17E1E5CD" w14:textId="4090938E" w:rsidR="008F1775" w:rsidRPr="00286216" w:rsidRDefault="008F1775" w:rsidP="008F1775">
            <w:pPr>
              <w:pStyle w:val="StyleWisnow"/>
              <w:spacing w:line="180" w:lineRule="exact"/>
              <w:rPr>
                <w:color w:val="000000" w:themeColor="text1"/>
                <w:spacing w:val="-2"/>
              </w:rPr>
            </w:pPr>
            <w:r w:rsidRPr="00286216">
              <w:rPr>
                <w:color w:val="000000" w:themeColor="text1"/>
                <w:spacing w:val="-2"/>
              </w:rPr>
              <w:t>у п. 2 Прикінцевих положень проекту Закону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4818" w:type="dxa"/>
          </w:tcPr>
          <w:p w14:paraId="5039A018" w14:textId="77777777" w:rsidR="008F1775" w:rsidRPr="00286216" w:rsidRDefault="008F1775" w:rsidP="008F1775">
            <w:pPr>
              <w:pStyle w:val="StyleZakonu"/>
              <w:rPr>
                <w:color w:val="000000" w:themeColor="text1"/>
                <w:szCs w:val="18"/>
              </w:rPr>
            </w:pPr>
          </w:p>
        </w:tc>
      </w:tr>
      <w:tr w:rsidR="008F1775" w:rsidRPr="00286216" w14:paraId="5A6734D1" w14:textId="77777777" w:rsidTr="00091AA5">
        <w:tc>
          <w:tcPr>
            <w:tcW w:w="576" w:type="dxa"/>
          </w:tcPr>
          <w:p w14:paraId="4BCA8E13" w14:textId="77777777" w:rsidR="008F1775" w:rsidRPr="00286216" w:rsidRDefault="008F1775" w:rsidP="008F1775">
            <w:pPr>
              <w:pStyle w:val="StyleWisnow"/>
              <w:rPr>
                <w:color w:val="000000" w:themeColor="text1"/>
              </w:rPr>
            </w:pPr>
          </w:p>
        </w:tc>
        <w:tc>
          <w:tcPr>
            <w:tcW w:w="4818" w:type="dxa"/>
          </w:tcPr>
          <w:p w14:paraId="34B94CDD" w14:textId="77777777" w:rsidR="008F1775" w:rsidRPr="00286216" w:rsidRDefault="008F1775" w:rsidP="008F1775">
            <w:pPr>
              <w:pStyle w:val="StyleZakonu"/>
              <w:rPr>
                <w:color w:val="000000" w:themeColor="text1"/>
              </w:rPr>
            </w:pPr>
          </w:p>
        </w:tc>
        <w:tc>
          <w:tcPr>
            <w:tcW w:w="3686" w:type="dxa"/>
          </w:tcPr>
          <w:p w14:paraId="43C68B95" w14:textId="608AC3FC"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1567</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32E5B00B"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Розділ 4 “Прикінцеві та перехідні </w:t>
            </w:r>
            <w:r w:rsidRPr="00286216">
              <w:rPr>
                <w:color w:val="000000" w:themeColor="text1"/>
                <w:spacing w:val="-2"/>
                <w:szCs w:val="18"/>
              </w:rPr>
              <w:t xml:space="preserve">положення” законопроекту доповнити </w:t>
            </w:r>
            <w:r w:rsidRPr="00286216">
              <w:rPr>
                <w:color w:val="000000" w:themeColor="text1"/>
                <w:spacing w:val="-2"/>
                <w:szCs w:val="18"/>
              </w:rPr>
              <w:lastRenderedPageBreak/>
              <w:t xml:space="preserve">пунктом 19 такого змісту: </w:t>
            </w:r>
          </w:p>
          <w:p w14:paraId="309F5277"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«19. Статтю 94 Кодексу України з процедур банкрутства викласти у такій редакції:</w:t>
            </w:r>
          </w:p>
          <w:p w14:paraId="6B2B691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«Стаття 94. Особливості банкрутства суб’єкта підприємницької діяльності, який є стороною одного або кількох похідних (деривативів) або правочинів щодо цінних паперів, укладених або вчинених з посиланням на обов’язковість угоди щодо ліквідаційного неттінгу</w:t>
            </w:r>
          </w:p>
          <w:p w14:paraId="7B6C34C1"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 Ліквідаційний неттінг – здійснення усіх таких дій відповідно до угоди щодо ліквідаційного неттінгу:</w:t>
            </w:r>
          </w:p>
          <w:p w14:paraId="0130CB60"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здійснення особою, зазначеною в угоді щодо ліквідаційного неттінгу, розрахунку вартості зобов’язань суб’єкта підприємницької діяльності-сторони угоди щодо ліквідаційного неттінгу, щодо якого відкрито провадження у справі про банкротство, та кожного його контрагента-сторони такої угоди щодо ліквідаційного неттінгу за одним або кількома похідними (деривативами), що існували станом на дату ліквідаційного неттінгу, та були укладені цими сторонами з посиланням на обов’язковість для них такої угоди щодо ліквідаційного неттінгу. Порядок здійснення такого розрахунку передбачається угодою щодо ліквідаційного неттінгу;  </w:t>
            </w:r>
          </w:p>
          <w:p w14:paraId="47F6CDB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припинення всіх існуючих станом на дату ліквідаційного неттінгу зобов’язань за одним або кількома похідними (деривативами), укладеними такими сторонами угоди щодо ліквідаційного неттінгу (незалежно від їх змісту та/або строку (терміну) виконання), у такій послідовності:</w:t>
            </w:r>
          </w:p>
          <w:p w14:paraId="623E7C8F"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абзацу другого цієї частини статті. При цьому вважається що строк виконання вимог за такими новими грошовими зобов’язаннями настав;</w:t>
            </w:r>
          </w:p>
          <w:p w14:paraId="123D5D28"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припинення нових грошових зобов’язань, передбачених абзацом четвертим цієї частини, шляхом зарахування зустрічних однорідних вимог за такими зобов’язаннями та визначення нетто-зобов’язання.</w:t>
            </w:r>
          </w:p>
          <w:p w14:paraId="572B8DE3"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похідними (деривативами), укладеними такими сторонами угоди щодо ліквідаційного </w:t>
            </w:r>
            <w:r w:rsidRPr="00286216">
              <w:rPr>
                <w:color w:val="000000" w:themeColor="text1"/>
                <w:spacing w:val="-2"/>
                <w:szCs w:val="18"/>
              </w:rPr>
              <w:lastRenderedPageBreak/>
              <w:t>неттінгу.</w:t>
            </w:r>
          </w:p>
          <w:p w14:paraId="3CEF2CCF"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Для цілей цього Кодексу:</w:t>
            </w:r>
          </w:p>
          <w:p w14:paraId="3E96D7E4"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угода щодо ліквідаційного неттінгу –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клірингового обслуговування з особою, яка провадить клірингову діяльність;</w:t>
            </w:r>
          </w:p>
          <w:p w14:paraId="3BE525BD"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сторони угоди щодо ліквідаційного неттінгу – сторони документу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клірингового обслуговування з особою, якій сторони похідного (деривативу) направили розпорядження на проведення клірингу;</w:t>
            </w:r>
          </w:p>
          <w:p w14:paraId="60E58A51"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дата ліквідаційного неттінгу – дата, передбачена статтею 5-4 Закону України «Про цінні папери та фондовий ринок»;</w:t>
            </w:r>
          </w:p>
          <w:p w14:paraId="60F82A47"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2B7AD25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меншою) та визначається як різниця між сумами зобов’язань таких сторін.</w:t>
            </w:r>
          </w:p>
          <w:p w14:paraId="21E51B32"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2.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суб’єктом підприємницької діяльності-стороною угоди щодо ліквідаційного неттінгу, щодо якого відкрито провадження у справі про банкрутство, за одним або кількома похідними (деривативами), укладеними таким суб’єктом підприємницької діяльності з посиланням на обов’язковість угоди щодо ліквідаційного неттінгу, не потребують будь-якої згоди та/або затвердження таким суб’єктом підприємницької діяльності, розпорядником його майна, керуючим його санацією, його ліквідатором, кредитором (кредиторами) </w:t>
            </w:r>
            <w:r w:rsidRPr="00286216">
              <w:rPr>
                <w:color w:val="000000" w:themeColor="text1"/>
                <w:spacing w:val="-2"/>
                <w:szCs w:val="18"/>
              </w:rPr>
              <w:lastRenderedPageBreak/>
              <w:t xml:space="preserve">та/або господарським судом. </w:t>
            </w:r>
          </w:p>
          <w:p w14:paraId="6D5105B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3. Ліквідаційний неттінг не проводиться в будь-якому з таких випадків:</w:t>
            </w:r>
          </w:p>
          <w:p w14:paraId="5855DC74"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якщо відповідна угода щодо ліквідаційного неттінгу укладена після відкриття щодо суб’єкта підприємницької діяльності-сторони такої угоди щодо ліквідаційного неттінгу провадження у справі про банкрутство;</w:t>
            </w:r>
          </w:p>
          <w:p w14:paraId="70F7425A"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якщо похідний (дериватив), укладений стороною з посиланням на обов’язковість відповідної угоди щодо ліквідаційного неттінгу, був укладений після відкриття щодо такого суб’єкта підприємницької діяльності провадження у справі про банкрутство.</w:t>
            </w:r>
          </w:p>
          <w:p w14:paraId="58B96C5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4. Положення цього Кодексу, що регулюють банкротство юридичних осіб, застосовуються до процедур банкротства суб’єкта підприємницької діяльності, який є стороною одного або кількох похідних (деривативів), укладених з посиланням на обов’язковість відповідної угоди щодо ліквідаційного неттінгу, в частині, що не суперечить положенням цієї статті. У разі суперечності норм цього Кодексу, що регулюють банкротство юридичних осіб, з нормами цієї статті, норми цієї статті мають перевагу. </w:t>
            </w:r>
          </w:p>
          <w:p w14:paraId="5C7DD99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5. Положення цієї статті не застосовується до похідних (деривативів), укладених без участі або посередництва торгівця цінними паперами  . </w:t>
            </w:r>
          </w:p>
          <w:p w14:paraId="6312229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6. Положення цієї статті застосовується також до суб’єктів підприємницької діяльності, які є сторонами одного або кількох правочинів щодо цінних паперів, вчинених з посиланням на обов’язковість відповідної угоди щодо ліквідаційного неттінгу.»</w:t>
            </w:r>
          </w:p>
          <w:p w14:paraId="49C6E549" w14:textId="77777777"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У зв’язку з цим доповнити пункт 1 розділу 4 новим підпунктом щодо набрання чинності цими змінами з дня, наступного</w:t>
            </w:r>
            <w:r w:rsidRPr="00286216">
              <w:rPr>
                <w:color w:val="000000" w:themeColor="text1"/>
                <w:szCs w:val="18"/>
              </w:rPr>
              <w:t xml:space="preserve"> за днем опублікування цього Закону.</w:t>
            </w:r>
          </w:p>
        </w:tc>
        <w:tc>
          <w:tcPr>
            <w:tcW w:w="1987" w:type="dxa"/>
          </w:tcPr>
          <w:p w14:paraId="27C8999D" w14:textId="77777777" w:rsidR="008F1775" w:rsidRPr="00286216" w:rsidRDefault="008F1775" w:rsidP="008F1775">
            <w:pPr>
              <w:pStyle w:val="StyleWisnow"/>
              <w:rPr>
                <w:color w:val="000000" w:themeColor="text1"/>
              </w:rPr>
            </w:pPr>
            <w:r w:rsidRPr="00286216">
              <w:rPr>
                <w:color w:val="000000" w:themeColor="text1"/>
              </w:rPr>
              <w:lastRenderedPageBreak/>
              <w:t>Враховано редакційно</w:t>
            </w:r>
          </w:p>
          <w:p w14:paraId="6E56EBD9" w14:textId="05798CDA" w:rsidR="008F1775" w:rsidRPr="00286216" w:rsidRDefault="008F1775" w:rsidP="008F1775">
            <w:pPr>
              <w:pStyle w:val="StyleWisnow"/>
              <w:spacing w:line="180" w:lineRule="exact"/>
              <w:rPr>
                <w:color w:val="000000" w:themeColor="text1"/>
              </w:rPr>
            </w:pPr>
            <w:r w:rsidRPr="00286216">
              <w:rPr>
                <w:color w:val="000000" w:themeColor="text1"/>
                <w:spacing w:val="-2"/>
              </w:rPr>
              <w:t xml:space="preserve">у п. 3 Прикінцевих положень проекту </w:t>
            </w:r>
            <w:r w:rsidRPr="00286216">
              <w:rPr>
                <w:color w:val="000000" w:themeColor="text1"/>
                <w:spacing w:val="-2"/>
              </w:rPr>
              <w:lastRenderedPageBreak/>
              <w:t>Закону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4818" w:type="dxa"/>
          </w:tcPr>
          <w:p w14:paraId="17A2C4DE" w14:textId="77777777" w:rsidR="008F1775" w:rsidRPr="00286216" w:rsidRDefault="008F1775" w:rsidP="008F1775">
            <w:pPr>
              <w:pStyle w:val="StyleZakonu"/>
              <w:rPr>
                <w:color w:val="000000" w:themeColor="text1"/>
                <w:szCs w:val="18"/>
              </w:rPr>
            </w:pPr>
          </w:p>
        </w:tc>
      </w:tr>
      <w:tr w:rsidR="008F1775" w:rsidRPr="00286216" w14:paraId="5727753B" w14:textId="77777777" w:rsidTr="00091AA5">
        <w:tc>
          <w:tcPr>
            <w:tcW w:w="576" w:type="dxa"/>
          </w:tcPr>
          <w:p w14:paraId="44620A4C" w14:textId="77777777" w:rsidR="008F1775" w:rsidRPr="00286216" w:rsidRDefault="008F1775" w:rsidP="008F1775">
            <w:pPr>
              <w:pStyle w:val="StyleWisnow"/>
              <w:rPr>
                <w:color w:val="000000" w:themeColor="text1"/>
              </w:rPr>
            </w:pPr>
          </w:p>
        </w:tc>
        <w:tc>
          <w:tcPr>
            <w:tcW w:w="4818" w:type="dxa"/>
          </w:tcPr>
          <w:p w14:paraId="0031CD52" w14:textId="77777777" w:rsidR="008F1775" w:rsidRPr="00286216" w:rsidRDefault="008F1775" w:rsidP="008F1775">
            <w:pPr>
              <w:pStyle w:val="StyleZakonu"/>
              <w:rPr>
                <w:color w:val="000000" w:themeColor="text1"/>
              </w:rPr>
            </w:pPr>
          </w:p>
        </w:tc>
        <w:tc>
          <w:tcPr>
            <w:tcW w:w="3686" w:type="dxa"/>
          </w:tcPr>
          <w:p w14:paraId="119E6FC0" w14:textId="3D1E1B79"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1568</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0631CBA2"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Розділ 4 “Прикінцеві та перехідні </w:t>
            </w:r>
            <w:r w:rsidRPr="00286216">
              <w:rPr>
                <w:color w:val="000000" w:themeColor="text1"/>
                <w:spacing w:val="-2"/>
                <w:szCs w:val="18"/>
              </w:rPr>
              <w:t xml:space="preserve">положення” законопроекту доповнити пунктом 20 такого змісту: </w:t>
            </w:r>
          </w:p>
          <w:p w14:paraId="3F5DAE2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«20. У Законі України «Про систему гарантування вкладів фізичних осіб»:</w:t>
            </w:r>
          </w:p>
          <w:p w14:paraId="07EE987E"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1) у статті 38:</w:t>
            </w:r>
          </w:p>
          <w:p w14:paraId="675CD7AA"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а) частину третю доповнити новим абзацом такого змісту:</w:t>
            </w:r>
          </w:p>
          <w:p w14:paraId="6FCA6FF1"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«Положення цієї частини не поширюються на правочини, зобов’язання за якими припиняються в процедурі проведення ліквідаційного неттінгу в порядку, встановленому статтею 54-1 цього Закону, </w:t>
            </w:r>
            <w:r w:rsidRPr="00286216">
              <w:rPr>
                <w:color w:val="000000" w:themeColor="text1"/>
                <w:spacing w:val="-2"/>
              </w:rPr>
              <w:lastRenderedPageBreak/>
              <w:t>крім правочинів, вчинених поза фондовою біржою протягом місяця, що передував даті ліквідаційного неттінгу, без очевидної економічної чи законної мети, або правочинів, вчинених поза фондовою біржою з пов’язаними особами банку.»;</w:t>
            </w:r>
          </w:p>
          <w:p w14:paraId="443572ED"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б) частину восьму доповнити новим абзацом такого змісту: </w:t>
            </w:r>
          </w:p>
          <w:p w14:paraId="5186CA09"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«Положення цієї частини не поширюються на правочини, зобов’язання за якими припиняються в процедурі проведення ліквідаційного неттінгу в порядку, встановленому статтею 54-1 цього Закону, крім правочинів, вчинених поза фондовою біржою протягом місяця, що передував даті ліквідаційного неттінгу, без очевидної економічної чи законної мети, або правочинів, вчинених з пов’язаними особами банку.» </w:t>
            </w:r>
          </w:p>
          <w:p w14:paraId="3B01903D"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2) доповнити частину першу статті 48 таким абзацом:</w:t>
            </w:r>
          </w:p>
          <w:p w14:paraId="46074D40" w14:textId="77777777" w:rsidR="008F1775" w:rsidRPr="00286216" w:rsidRDefault="008F1775" w:rsidP="008F1775">
            <w:pPr>
              <w:pStyle w:val="StyleProp"/>
              <w:spacing w:line="180" w:lineRule="exact"/>
              <w:rPr>
                <w:color w:val="000000" w:themeColor="text1"/>
                <w:spacing w:val="-4"/>
              </w:rPr>
            </w:pPr>
            <w:r w:rsidRPr="00286216">
              <w:rPr>
                <w:color w:val="000000" w:themeColor="text1"/>
                <w:spacing w:val="-2"/>
              </w:rPr>
              <w:t xml:space="preserve">"Пункт 6 цієї частини статті не застосовується до операцій, що проводяться у ході ліквідаційного неттінгу в порядку, передбаченому статтю 54-1 цього Закону крім правочинів, вчинених поза фондовою біржою </w:t>
            </w:r>
            <w:r w:rsidRPr="00286216">
              <w:rPr>
                <w:color w:val="000000" w:themeColor="text1"/>
                <w:spacing w:val="-4"/>
              </w:rPr>
              <w:t>протягом місяця, що передував даті ліквідаційного неттінгу, без очевидної економічної чи законної мети, або правочинів, вчинених поза фондовою біржою з пов’язаними особами банку";</w:t>
            </w:r>
          </w:p>
          <w:p w14:paraId="212B68F8" w14:textId="77777777" w:rsidR="008F1775" w:rsidRPr="00286216" w:rsidRDefault="008F1775" w:rsidP="008F1775">
            <w:pPr>
              <w:pStyle w:val="StyleProp"/>
              <w:spacing w:line="180" w:lineRule="exact"/>
              <w:rPr>
                <w:color w:val="000000" w:themeColor="text1"/>
                <w:spacing w:val="-4"/>
                <w:szCs w:val="18"/>
              </w:rPr>
            </w:pPr>
            <w:r w:rsidRPr="00286216">
              <w:rPr>
                <w:color w:val="000000" w:themeColor="text1"/>
                <w:spacing w:val="-4"/>
                <w:szCs w:val="18"/>
              </w:rPr>
              <w:t>3)  доповнити розділом VIII-1 такого змісту:</w:t>
            </w:r>
          </w:p>
          <w:p w14:paraId="1966A7F8" w14:textId="77777777" w:rsidR="008F1775" w:rsidRPr="00286216" w:rsidRDefault="008F1775" w:rsidP="008F1775">
            <w:pPr>
              <w:pStyle w:val="StyleProp"/>
              <w:spacing w:line="180" w:lineRule="exact"/>
              <w:rPr>
                <w:color w:val="000000" w:themeColor="text1"/>
                <w:spacing w:val="-4"/>
                <w:szCs w:val="18"/>
              </w:rPr>
            </w:pPr>
            <w:r w:rsidRPr="00286216">
              <w:rPr>
                <w:color w:val="000000" w:themeColor="text1"/>
                <w:spacing w:val="-4"/>
                <w:szCs w:val="18"/>
              </w:rPr>
              <w:t>«РОЗДІЛ VIII-1</w:t>
            </w:r>
          </w:p>
          <w:p w14:paraId="12469F93" w14:textId="77777777" w:rsidR="008F1775" w:rsidRPr="00286216" w:rsidRDefault="008F1775" w:rsidP="008F1775">
            <w:pPr>
              <w:pStyle w:val="StyleProp"/>
              <w:spacing w:line="180" w:lineRule="exact"/>
              <w:rPr>
                <w:color w:val="000000" w:themeColor="text1"/>
                <w:spacing w:val="-4"/>
                <w:szCs w:val="18"/>
              </w:rPr>
            </w:pPr>
            <w:r w:rsidRPr="00286216">
              <w:rPr>
                <w:color w:val="000000" w:themeColor="text1"/>
                <w:spacing w:val="-4"/>
                <w:szCs w:val="18"/>
              </w:rPr>
              <w:t>ОСОБЛИВОСТІ ЗДІЙСНЕННЯ ТИМЧАСОВОЇ АДМІНІСТРАЦІЇ ТА ЛІКВІДАЦІЇ БАНКУ, ЯКИЙ МАЄ ЗОБОВ’ЯЗАННЯ, ЩО ВИНИКЛИ З ПОСИЛАННЯМ НА ОБОВ’ЯЗКОВІСТЬ УГОДИ ЩОДО ЛІКВІДАЦІЙНОГО НЕТТІНГУ</w:t>
            </w:r>
          </w:p>
          <w:p w14:paraId="3A649302"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4"/>
                <w:szCs w:val="18"/>
              </w:rPr>
              <w:t>Стаття 54-1. Ліквідаційний</w:t>
            </w:r>
            <w:r w:rsidRPr="00286216">
              <w:rPr>
                <w:color w:val="000000" w:themeColor="text1"/>
                <w:spacing w:val="-2"/>
                <w:szCs w:val="18"/>
              </w:rPr>
              <w:t xml:space="preserve"> неттінг</w:t>
            </w:r>
          </w:p>
          <w:p w14:paraId="3F688DF1"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 Ліквідаційний неттінг – здійснення усіх таких дій відповідно до угоди щодо ліквідаційного неттінгу:</w:t>
            </w:r>
          </w:p>
          <w:p w14:paraId="291A24B4"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1)  здійснення особою, зазначеною в угоді щодо ліквідаційного неттінгу, розрахунку вартості зобов’язань банку-сторони угоди щодо ліквідаційного неттінгу, щодо якого прийнято рішення, передбачене статтею 5-4 Закону України «Про цінні папери та фондовий ринок», та кожного його контрагента-сторони такої угоди щодо ліквідаційного неттінгу за одним або кількома похідними (деривативами), що існували станом на дату ліквідаційного неттінгу, та були укладені цими сторонами з посиланням на обов’язковість для них такої угоди щодо </w:t>
            </w:r>
            <w:r w:rsidRPr="00286216">
              <w:rPr>
                <w:color w:val="000000" w:themeColor="text1"/>
                <w:spacing w:val="-2"/>
                <w:szCs w:val="18"/>
              </w:rPr>
              <w:lastRenderedPageBreak/>
              <w:t xml:space="preserve">ліквідаційного неттінгу. Порядок здійснення такого розрахунку передбачається угодою щодо ліквідаційного неттінгу; </w:t>
            </w:r>
          </w:p>
          <w:p w14:paraId="6AFED22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2)  припинення всіх існуючих станом на дату ліквідаційного неттінгу зобов’язань за одним або кількома похідними (деривативами) (незалежно від їх змісту та/або строку (терміну) виконання), укладеними такими сторонами угоди щодо ліквідаційного неттінгу з посиланням на обов’язковість для них угоди щодо ліквідаційного неттінгу, у такій послідовності:</w:t>
            </w:r>
          </w:p>
          <w:p w14:paraId="4CD1D872"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а)  заміна, відповідно до статті 604 Цивільного кодексу України, зобов’язань, які існували станом на дату ліквідаційного неттінгу, новими грошовими зобов’язаннями, сума яких дорівнює вартості зобов’язання, розрахованій відповідно до пункту 1 цієї частини статті. При цьому вважається що строк виконання вимог за такими новими грошовими зобов’язаннями настав;</w:t>
            </w:r>
          </w:p>
          <w:p w14:paraId="29696E00"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б) припинення нових грошових зобов’язань, передбачених підпунктом «а» цього пункту, шляхом зарахування зустрічних однорідних вимог за такими зобов’язаннями та визначення нетто-зобов’язання.</w:t>
            </w:r>
          </w:p>
          <w:p w14:paraId="4CADAEA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Угода щодо ліквідаційного неттінгу може передбачати відмінний від пункту 2 цієї частини статті спосіб припинення існуючих станом на дату ліквідаційного неттінгу зобов’язань за одним або кількома похідними (деривативами), укладеними такими сторонами угоди щодо ліквідаційного неттінгу.</w:t>
            </w:r>
          </w:p>
          <w:p w14:paraId="3E11D612"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Для цілей цього Закону:</w:t>
            </w:r>
          </w:p>
          <w:p w14:paraId="4D4E3A1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 угода щодо ліквідаційного неттінгу –  документ, що містить умови та порядок проведення ліквідаційного неттінгу, зокрема правила провадження клірингової діяльності, згоду на обов’язковість яких сторони похідного (деривативу) надали при укладенні договору клірингового обслуговування з особою, яка провадить клірингову діяльність;</w:t>
            </w:r>
          </w:p>
          <w:p w14:paraId="4D1878F9"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2) сторони угоди щодо ліквідаційного неттінгу – сторони документу (договору), що містить умови та порядок проведення ліквідаційного неттінгу, сторони похідного (деривативу), укладеного з посиланням на обов’язковість угоди щодо ліквідаційного неттінгу, які уклали договір клірингового обслуговування з особою, якій сторони похідного (деривативу) направили розпорядження на проведення клірингу;</w:t>
            </w:r>
          </w:p>
          <w:p w14:paraId="3EE5CDC3"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3) дата ліквідаційного неттінгу – дата, передбачена статтею 5-4 Закону України «Про цінні папери та фондовий ринок»;</w:t>
            </w:r>
          </w:p>
          <w:p w14:paraId="11137B7F"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lastRenderedPageBreak/>
              <w:t>4) розрахунок вартості зобов’язань – визначення у спосіб, передбачений угодою щодо ліквідаційного неттінгу, грошового еквіваленту (встановлення грошової вартості) всіх зобов’язань, що передбачені похідними (деривативами), укладеними з посиланням на обов’язковість угоди щодо ліквідаційного неттінгу;</w:t>
            </w:r>
          </w:p>
          <w:p w14:paraId="33757FD1"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5) нетто-зобов’язання – сума грошового зобов’язання, що підлягає сплаті однією із сторін угоди щодо ліквідаційного неттінгу (розмір суми зобов’язань якої є більшою) іншій стороні  угоди щодо ліквідаційного неттінгу (розмір суми зобов’язань якої є меншою) та визначається як різниця між сумами зобов’язань таких сторін.</w:t>
            </w:r>
          </w:p>
          <w:p w14:paraId="3DB5561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2. Будь-які положення цього Закону не впливають на законність та дійсність дій, що вчиняються у процесі ліквідаційного неттінгу, а також на неможливість відмови від проведення ліквідаційного неттінгу стосовно зобов’язань банку, щодо якого введено тимчасову адміністрацію або прийнято рішення про відкликання банківської ліцензії та ліквідацію, за одним або кількома похідними (деривативами) відповідно до умов угоди щодо ліквідаційного неттінгу, а також звернення стягнення на предмет обтяжень, які забезпечують виконання зобов’язань сторін за угодою щодо ліквідаційного неттінгу. </w:t>
            </w:r>
          </w:p>
          <w:p w14:paraId="70B53A33"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3. Проведення особою, зазначеною в угоді щодо ліквідаційного неттінгу, ліквідаційного неттінгу та звернення стягнення на предмет обтяження, який забезпечує виконання зобов’язань банку-сторони угоди щодо ліквідаційного неттінгу, щодо якого прийнято рішення, передбачене статтею 5-4 Закону України «Про цінні папери та фондовий ринок», за одним або кількома похідними (деривативами), укладеними таким банком з посиланням на обов’язковість угоди щодо ліквідаційного неттінгу, здійснюється в позасудовому порядку та не потребують будь-якої згоди та/або затвердження такого банку або будь-якої іншої особи.</w:t>
            </w:r>
          </w:p>
          <w:p w14:paraId="7386A20C"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4. Ліквідаційний неттінг не проводиться в будь-якому з таких випадків:</w:t>
            </w:r>
          </w:p>
          <w:p w14:paraId="0F039961" w14:textId="7FE437DF"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1) якщо відповідна угода щодо ліквідаційного неттінгу укладена після прийняття рішення, передбаченого статтею 5-4 Закону України «Про цінні папери та фондовий ринок»;</w:t>
            </w:r>
          </w:p>
          <w:p w14:paraId="181FCAD3" w14:textId="3CA6D747" w:rsidR="008F1775" w:rsidRPr="00286216" w:rsidRDefault="008F1775" w:rsidP="008F1775">
            <w:pPr>
              <w:pStyle w:val="StyleProp"/>
              <w:spacing w:line="180" w:lineRule="exact"/>
              <w:rPr>
                <w:color w:val="000000" w:themeColor="text1"/>
                <w:spacing w:val="-4"/>
                <w:szCs w:val="18"/>
              </w:rPr>
            </w:pPr>
            <w:r w:rsidRPr="00286216">
              <w:rPr>
                <w:color w:val="000000" w:themeColor="text1"/>
                <w:spacing w:val="-4"/>
                <w:szCs w:val="18"/>
              </w:rPr>
              <w:t xml:space="preserve">2) якщо похідний (дериватив), укладений банком з посиланням на обов’язковість відповідної угоди щодо ліквідаційного неттінгу, був укладений після прийняття рішення, </w:t>
            </w:r>
            <w:r w:rsidRPr="00286216">
              <w:rPr>
                <w:color w:val="000000" w:themeColor="text1"/>
                <w:spacing w:val="-4"/>
                <w:szCs w:val="18"/>
              </w:rPr>
              <w:lastRenderedPageBreak/>
              <w:t>передбаченого статтею 5-4 Закону України «Про цінні папери та фондовий ринок».</w:t>
            </w:r>
          </w:p>
          <w:p w14:paraId="16B4B70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5. Ліквідаційний неттінг щодо банку, в якому здійснюється тимчасова адміністрація або ліквідація, проводиться протягом семи робочих днів з дати ліквідаційного неттінгу (а у разі виведення неплатоспроможного банку з ринку за участю держави – протягом семи робочих днів з дня прийняття Кабінетом Міністрів України рішення про участь держави у виведенні неплатоспроможного банку з ринку). Особа, зазначена в угоді щодо ліквідаційного неттінгу, зобов’язана не пізніше третього робочого дня з дати, , зазначеної в першому реченні цієї частини письмово повідомити банк та Фонд про вартість зобов’язань банку, розраховану відповідно до пункту 1 частини першої цієї статті, та орієнтовну дату завершення проведення ліквідаційного неттінгу.</w:t>
            </w:r>
          </w:p>
          <w:p w14:paraId="2DDF429E"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 xml:space="preserve">6. Положення цієї статті не застосовується до похідних (деривативів), укладених без участі або посередництва торгівця цінними паперами </w:t>
            </w:r>
          </w:p>
          <w:p w14:paraId="690B7985" w14:textId="77777777" w:rsidR="008F1775" w:rsidRPr="00286216" w:rsidRDefault="008F1775" w:rsidP="008F1775">
            <w:pPr>
              <w:pStyle w:val="StyleProp"/>
              <w:spacing w:line="180" w:lineRule="exact"/>
              <w:rPr>
                <w:color w:val="000000" w:themeColor="text1"/>
                <w:spacing w:val="-2"/>
                <w:szCs w:val="18"/>
              </w:rPr>
            </w:pPr>
            <w:r w:rsidRPr="00286216">
              <w:rPr>
                <w:color w:val="000000" w:themeColor="text1"/>
                <w:spacing w:val="-2"/>
                <w:szCs w:val="18"/>
              </w:rPr>
              <w:t>7. Положення цієї статті застосовується також до правочинів щодо цінних паперів, а також правочинів, укладених з метою забезпечення виконання зобов’язань за такими правочинами.»</w:t>
            </w:r>
          </w:p>
          <w:p w14:paraId="7841C026" w14:textId="77777777" w:rsidR="008F1775" w:rsidRPr="00286216" w:rsidRDefault="008F1775" w:rsidP="008F1775">
            <w:pPr>
              <w:pStyle w:val="StyleProp"/>
              <w:spacing w:line="180" w:lineRule="exact"/>
              <w:rPr>
                <w:color w:val="000000" w:themeColor="text1"/>
                <w:szCs w:val="18"/>
              </w:rPr>
            </w:pPr>
            <w:r w:rsidRPr="00286216">
              <w:rPr>
                <w:color w:val="000000" w:themeColor="text1"/>
                <w:spacing w:val="-2"/>
                <w:szCs w:val="18"/>
              </w:rPr>
              <w:t>У зв’язку з цим доповнити пункт 1 розділу 4 новим підпунктом щодо набрання</w:t>
            </w:r>
            <w:r w:rsidRPr="00286216">
              <w:rPr>
                <w:color w:val="000000" w:themeColor="text1"/>
                <w:szCs w:val="18"/>
              </w:rPr>
              <w:t xml:space="preserve"> чинності цими змінами з дня, наступного за днем опублікування цього Закону.</w:t>
            </w:r>
          </w:p>
        </w:tc>
        <w:tc>
          <w:tcPr>
            <w:tcW w:w="1987" w:type="dxa"/>
          </w:tcPr>
          <w:p w14:paraId="439D218B" w14:textId="77777777" w:rsidR="008F1775" w:rsidRPr="00286216" w:rsidRDefault="008F1775" w:rsidP="008F1775">
            <w:pPr>
              <w:pStyle w:val="StyleWisnow"/>
              <w:rPr>
                <w:color w:val="000000" w:themeColor="text1"/>
              </w:rPr>
            </w:pPr>
            <w:r w:rsidRPr="00286216">
              <w:rPr>
                <w:color w:val="000000" w:themeColor="text1"/>
              </w:rPr>
              <w:lastRenderedPageBreak/>
              <w:t>Враховано редакційно</w:t>
            </w:r>
          </w:p>
          <w:p w14:paraId="0D757409" w14:textId="231D27A4" w:rsidR="008F1775" w:rsidRPr="00286216" w:rsidRDefault="008F1775" w:rsidP="008F1775">
            <w:pPr>
              <w:pStyle w:val="StyleWisnow"/>
              <w:spacing w:line="180" w:lineRule="exact"/>
              <w:rPr>
                <w:color w:val="000000" w:themeColor="text1"/>
              </w:rPr>
            </w:pPr>
            <w:r w:rsidRPr="00286216">
              <w:rPr>
                <w:color w:val="000000" w:themeColor="text1"/>
                <w:spacing w:val="-2"/>
              </w:rPr>
              <w:t>у п. 4 Прикінцевих положень проекту Закону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4818" w:type="dxa"/>
          </w:tcPr>
          <w:p w14:paraId="6DF1250E" w14:textId="77777777" w:rsidR="008F1775" w:rsidRPr="00286216" w:rsidRDefault="008F1775" w:rsidP="008F1775">
            <w:pPr>
              <w:pStyle w:val="StyleZakonu"/>
              <w:rPr>
                <w:color w:val="000000" w:themeColor="text1"/>
                <w:szCs w:val="18"/>
              </w:rPr>
            </w:pPr>
          </w:p>
        </w:tc>
      </w:tr>
      <w:tr w:rsidR="008F1775" w:rsidRPr="00286216" w14:paraId="34B578B0" w14:textId="77777777" w:rsidTr="00091AA5">
        <w:tc>
          <w:tcPr>
            <w:tcW w:w="576" w:type="dxa"/>
          </w:tcPr>
          <w:p w14:paraId="1FC94F0C" w14:textId="77777777" w:rsidR="008F1775" w:rsidRPr="00286216" w:rsidRDefault="008F1775" w:rsidP="008F1775">
            <w:pPr>
              <w:pStyle w:val="StyleWisnow"/>
              <w:rPr>
                <w:color w:val="000000" w:themeColor="text1"/>
              </w:rPr>
            </w:pPr>
          </w:p>
        </w:tc>
        <w:tc>
          <w:tcPr>
            <w:tcW w:w="4818" w:type="dxa"/>
          </w:tcPr>
          <w:p w14:paraId="08EA4772" w14:textId="77777777" w:rsidR="008F1775" w:rsidRPr="00286216" w:rsidRDefault="008F1775" w:rsidP="008F1775">
            <w:pPr>
              <w:pStyle w:val="StyleZakonu"/>
              <w:rPr>
                <w:color w:val="000000" w:themeColor="text1"/>
              </w:rPr>
            </w:pPr>
          </w:p>
        </w:tc>
        <w:tc>
          <w:tcPr>
            <w:tcW w:w="3686" w:type="dxa"/>
          </w:tcPr>
          <w:p w14:paraId="1EC389DA" w14:textId="67BA02E1" w:rsidR="008F1775" w:rsidRPr="00286216" w:rsidRDefault="008F1775" w:rsidP="008F1775">
            <w:pPr>
              <w:spacing w:line="220" w:lineRule="exact"/>
              <w:rPr>
                <w:b/>
                <w:i/>
                <w:color w:val="000000" w:themeColor="text1"/>
                <w:spacing w:val="-6"/>
                <w:sz w:val="18"/>
                <w:u w:val="single"/>
              </w:rPr>
            </w:pPr>
            <w:r w:rsidRPr="00286216">
              <w:rPr>
                <w:b/>
                <w:i/>
                <w:color w:val="000000" w:themeColor="text1"/>
                <w:spacing w:val="-6"/>
                <w:sz w:val="18"/>
                <w:u w:val="single"/>
              </w:rPr>
              <w:t>-</w:t>
            </w:r>
            <w:r w:rsidRPr="00286216">
              <w:rPr>
                <w:b/>
                <w:i/>
                <w:color w:val="000000" w:themeColor="text1"/>
                <w:spacing w:val="-6"/>
                <w:sz w:val="18"/>
                <w:u w:val="single"/>
              </w:rPr>
              <w:fldChar w:fldCharType="begin"/>
            </w:r>
            <w:r w:rsidRPr="00286216">
              <w:rPr>
                <w:b/>
                <w:i/>
                <w:color w:val="000000" w:themeColor="text1"/>
                <w:spacing w:val="-6"/>
                <w:sz w:val="18"/>
                <w:u w:val="single"/>
              </w:rPr>
              <w:instrText xml:space="preserve"> SEQ aa </w:instrText>
            </w:r>
            <w:r w:rsidRPr="00286216">
              <w:rPr>
                <w:b/>
                <w:i/>
                <w:color w:val="000000" w:themeColor="text1"/>
                <w:spacing w:val="-6"/>
                <w:sz w:val="18"/>
                <w:u w:val="single"/>
              </w:rPr>
              <w:fldChar w:fldCharType="separate"/>
            </w:r>
            <w:r w:rsidR="00C46B29">
              <w:rPr>
                <w:b/>
                <w:i/>
                <w:noProof/>
                <w:color w:val="000000" w:themeColor="text1"/>
                <w:spacing w:val="-6"/>
                <w:sz w:val="18"/>
                <w:u w:val="single"/>
              </w:rPr>
              <w:t>1569</w:t>
            </w:r>
            <w:r w:rsidRPr="00286216">
              <w:rPr>
                <w:b/>
                <w:i/>
                <w:color w:val="000000" w:themeColor="text1"/>
                <w:spacing w:val="-6"/>
                <w:sz w:val="18"/>
                <w:u w:val="single"/>
              </w:rPr>
              <w:fldChar w:fldCharType="end"/>
            </w:r>
            <w:r w:rsidRPr="00286216">
              <w:rPr>
                <w:b/>
                <w:i/>
                <w:color w:val="000000" w:themeColor="text1"/>
                <w:spacing w:val="-6"/>
                <w:sz w:val="18"/>
                <w:u w:val="single"/>
              </w:rPr>
              <w:t>-Н.д.Бєлькова О.В. (Реєстр.картка №403)</w:t>
            </w:r>
          </w:p>
          <w:p w14:paraId="4E8C34D4" w14:textId="36E5AF23" w:rsidR="008F1775" w:rsidRPr="00286216" w:rsidRDefault="008F1775" w:rsidP="008F1775">
            <w:pPr>
              <w:pStyle w:val="StyleProp"/>
              <w:spacing w:line="180" w:lineRule="exact"/>
              <w:rPr>
                <w:color w:val="000000" w:themeColor="text1"/>
                <w:spacing w:val="-2"/>
                <w:szCs w:val="18"/>
              </w:rPr>
            </w:pPr>
            <w:r w:rsidRPr="00286216">
              <w:rPr>
                <w:color w:val="000000" w:themeColor="text1"/>
                <w:szCs w:val="18"/>
              </w:rPr>
              <w:t xml:space="preserve">Розділ 4 “Прикінцеві та перехідні </w:t>
            </w:r>
            <w:r w:rsidRPr="00286216">
              <w:rPr>
                <w:color w:val="000000" w:themeColor="text1"/>
                <w:spacing w:val="-2"/>
                <w:szCs w:val="18"/>
              </w:rPr>
              <w:t xml:space="preserve">положення” доповнити таким пунктом:: </w:t>
            </w:r>
          </w:p>
          <w:p w14:paraId="73D3918A" w14:textId="247CA45D" w:rsidR="008F1775" w:rsidRPr="00286216" w:rsidRDefault="008F1775" w:rsidP="008F1775">
            <w:pPr>
              <w:pStyle w:val="StyleProp"/>
              <w:spacing w:line="180" w:lineRule="exact"/>
              <w:rPr>
                <w:color w:val="000000" w:themeColor="text1"/>
                <w:spacing w:val="-2"/>
              </w:rPr>
            </w:pPr>
            <w:r w:rsidRPr="00286216">
              <w:rPr>
                <w:color w:val="000000" w:themeColor="text1"/>
                <w:spacing w:val="-2"/>
              </w:rPr>
              <w:t>"5. Внести такі зміни до Закону України «Про депозитарну систему України» :</w:t>
            </w:r>
          </w:p>
          <w:p w14:paraId="168343E3"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1) доповнити частину шосту новим абзацом такого змісту:</w:t>
            </w:r>
          </w:p>
          <w:p w14:paraId="44D00C8B"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«Зняття обмеження прав на цінні папери стосовно цінних паперів певного власника, що були встановлені для здійснення/забезпечення розрахунків за правочинами щодо цінних паперів, вчиненими на фондовій біржі або поза нею,  розрахунки за якими здійснює/забезпечує особа, яка провадить клірингову діяльність, здійснюється виключно на підставі інформації від особи, яка провадить клірингову діяльність»;</w:t>
            </w:r>
          </w:p>
          <w:p w14:paraId="7C7E095C"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2) статтю 7 викласти в такій редакції:</w:t>
            </w:r>
          </w:p>
          <w:p w14:paraId="0A39F899"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"Стаття 7. Внесення змін до системи депозитарного обліку щодо накладення арешту на цінні папери або іншого обмеження прав на цінні папери конкретного власника, </w:t>
            </w:r>
            <w:r w:rsidRPr="00286216">
              <w:rPr>
                <w:color w:val="000000" w:themeColor="text1"/>
                <w:spacing w:val="-2"/>
              </w:rPr>
              <w:lastRenderedPageBreak/>
              <w:t>що накладається за судовим рішенням або рішенням уповноваженого органу</w:t>
            </w:r>
          </w:p>
          <w:p w14:paraId="6D02C7E4"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1. Арешт на цінні папери або інше обмеження прав на цінні папери конкретного власника (далі - обмеження стосовно конкретного власника) накладається (встановлюється) та скасовується (знімається) в порядку, встановленому цією статтею, на підставі судового рішення або рішення уповноваженого законом органу чи його посадовою особою.</w:t>
            </w:r>
          </w:p>
          <w:p w14:paraId="1EBB6C84"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У разі встановлення або зняття обмеження стосовно конкретного власника суд або уповноважений законом орган чи його посадова особа зобов’язані подати відповідне рішення депозитарній установі, в якій відкрито рахунок у цінних паперах або цьому власнику, або номінальному утримувачу, на рахунках якого обліковуються права на належні власнику цінні папери,</w:t>
            </w:r>
          </w:p>
          <w:p w14:paraId="173ED301" w14:textId="5ED61068" w:rsidR="008F1775" w:rsidRPr="00286216" w:rsidRDefault="008F1775" w:rsidP="008F1775">
            <w:pPr>
              <w:pStyle w:val="StyleProp"/>
              <w:spacing w:line="180" w:lineRule="exact"/>
              <w:rPr>
                <w:color w:val="000000" w:themeColor="text1"/>
                <w:spacing w:val="-2"/>
              </w:rPr>
            </w:pPr>
            <w:r w:rsidRPr="00286216">
              <w:rPr>
                <w:color w:val="000000" w:themeColor="text1"/>
                <w:spacing w:val="-2"/>
              </w:rPr>
              <w:t>2. Депозитарна установа вносить зміни до системи депозитарного обліку для встановлення обмеження щодо цінних паперів конкретного власника до завершення робочого дня, коли отримано відповідне рішення, крім випадків, встановлених цим Законом.</w:t>
            </w:r>
          </w:p>
          <w:p w14:paraId="6031990A"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У разі якщо права на цінні папери власника, стосовно яких встановлено обмеження, обліковуються на рахунку в цінних паперах номінального утримувача, депозитарна установа зобов’язана до завершення робочого дня, протягом якого отримано відповідне рішення, повідомити номінального утримувача про встановлення обмеження стосовно цінних паперів конкретного власника та надати йому копію відповідного судового рішення або копію відповідного рішення уповноваженого законом державного органу чи його посадової особи про встановлення обмеження.</w:t>
            </w:r>
          </w:p>
          <w:p w14:paraId="69C90001"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3. У разі наявності обмеження прав на цінні папери, встановленого за розпорядженням депонента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 депозитарна установа відкладає внесення змін до системи депозитарного обліку щодо встановлення обмеження стосовно цінних паперів конкретного депонента до наступного робочого дня.</w:t>
            </w:r>
          </w:p>
          <w:p w14:paraId="5F120B5D" w14:textId="05461214" w:rsidR="008F1775" w:rsidRPr="00286216" w:rsidRDefault="008F1775" w:rsidP="008F1775">
            <w:pPr>
              <w:pStyle w:val="StyleProp"/>
              <w:spacing w:line="180" w:lineRule="exact"/>
              <w:rPr>
                <w:color w:val="000000" w:themeColor="text1"/>
                <w:spacing w:val="-3"/>
              </w:rPr>
            </w:pPr>
            <w:r w:rsidRPr="00286216">
              <w:rPr>
                <w:color w:val="000000" w:themeColor="text1"/>
                <w:spacing w:val="-3"/>
              </w:rPr>
              <w:t xml:space="preserve">У такому разі, а також у разі якщо права на відповідні цінні папери власника обліковуються на рахунку номінального </w:t>
            </w:r>
            <w:r w:rsidRPr="00286216">
              <w:rPr>
                <w:color w:val="000000" w:themeColor="text1"/>
                <w:spacing w:val="-3"/>
              </w:rPr>
              <w:lastRenderedPageBreak/>
              <w:t>утримувача з обмеженнями, встановленими для розрахунків за правочинами щодо цінних паперів, вчиненими на фондовій біржі або поза нею, розрахунки за якими здійснює/забезпечує особа, яка провадить клірингову діяльність, депозитарна установа подає відповідно до Центрального депозитарію або до Національного банку України інформацію про отримання судового рішення або рішення уповноваженого органу чи його посадової особи про встановлення обмеження щодо конкретного власника після відображення депозитарною установою в системі депозитарного обліку переходу прав на цінні папери та прав за цінними паперами за результатами завершення всіх розрахунків за правочинами, здійсненими/забезпеченими особою, яка провадить клірингову діяльність, протягом того ж робочого дня, коли отримано таке рішення.</w:t>
            </w:r>
          </w:p>
          <w:p w14:paraId="524AE94B"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Інформація, яку згідно абзацу другого цієї частини депозитарна установа надає відповідно до Центрального депозитарію або до Національного банку України,  повинна в тому числі містити відомості про:</w:t>
            </w:r>
          </w:p>
          <w:p w14:paraId="1EE4BB6A"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загальну кількість цінних паперів конкретного власника, щодо якої відповідним судовим рішенням або відповідним рішенням уповноваженого законом органу влади чи його посадової особи встановлено обмеження;</w:t>
            </w:r>
          </w:p>
          <w:p w14:paraId="47F68AD4"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кількість цінних паперів цього власника, якої недостає для встановлення депозитарною установою обмеження на підставі відповідного судового рішення або відповідного рішення уповноваженого законом органу чи його посадової особи у повному обсязі, у зв’язку з тим, що відносно прав на таку кількість цінних паперів за розпорядженням цього власника встановлені обмеження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w:t>
            </w:r>
          </w:p>
          <w:p w14:paraId="5838BF21"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4. Центральний депозитарій або Національний банк України відповідно до компетенції щодо здійснення обліку цінних паперів, визначеної цим Законом, в день отримання від депозитарної установи інформації, передбаченої частиною третьою цієї статті, надає особі, що провадить клірингову діяльність, отриману від депозитарної установи інформацію.</w:t>
            </w:r>
          </w:p>
          <w:p w14:paraId="14094635"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5. Особа, що провадить клірингову діяльність, після отримання від Центрального </w:t>
            </w:r>
            <w:r w:rsidRPr="00286216">
              <w:rPr>
                <w:color w:val="000000" w:themeColor="text1"/>
                <w:spacing w:val="-2"/>
              </w:rPr>
              <w:lastRenderedPageBreak/>
              <w:t>депозитарію або Національного банку України інформації, передбаченої частиною четвертою цієї статті, на початку наступного робочого дня, в строки, встановлені відповідно до частини 8 цієї статті,   надає Центральному депозитарію або Національному банку відповідно до компетенції, встановленої законом, щодо здійснення обліку цінних паперів,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і щодо яких від Центрального депозитарію або Національного банку України була отримана інформація, передбачена частиною четвертою цієї статті.</w:t>
            </w:r>
          </w:p>
          <w:p w14:paraId="42D72457"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6. На підставі отриманої від особи що провадить клірингову діяльність, інформації, передбаченої частиною п’ятою цієї статті, забезпечується відображення в системі депозитарного обліку:</w:t>
            </w:r>
          </w:p>
          <w:p w14:paraId="5299E337"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1) депозитарних операцій, пов’язаних із зняттям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розрахунки за якими здійснює/забезпечує особа, яка провадить клірингову діяльність;</w:t>
            </w:r>
          </w:p>
          <w:p w14:paraId="74AE8500"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2)депозитарних операцій, пов’язаних із виконанням відповідного судового рішення або відповідного рішення уповноваженого законом державного органу чи його посадової особи про встановлення обмеження стосовно конкретного власника (крім випадку, коли залишок  таких цінних дорівнює нулю).</w:t>
            </w:r>
          </w:p>
          <w:p w14:paraId="663150E7"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У випадку, якщо за результатами проведених розрахунків та зняття обмеження прав на цінні папери стосовно цінних паперів певного власника, щодо яких в системі клірингового обліку відсутні обмеження, встановлені для здійснення/забезпечення розрахунків за правочинами щодо цінних паперів, вчиненими на фондовій біржі або поза фондовою біржою, кількість таких цінних паперів, дорівнює нулю, відповідне судове рішення або відповідне рішення уповноваженого законом органу чи його посадової особи про встановлення обмеження стосовно конкретного власника залишається без виконання.</w:t>
            </w:r>
          </w:p>
          <w:p w14:paraId="0CF98A28"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 xml:space="preserve">У випадку, якщо цінні папери, щодо яких </w:t>
            </w:r>
            <w:r w:rsidRPr="00286216">
              <w:rPr>
                <w:color w:val="000000" w:themeColor="text1"/>
                <w:spacing w:val="-2"/>
              </w:rPr>
              <w:lastRenderedPageBreak/>
              <w:t xml:space="preserve">встановлене обмеження, обліковуються на рахунку в цінних паперах номінального утримувача, депозитарна установа повідомляє номінальному утримувачу  інформацію про кількість цінних паперів (в тому числі, якщо кількість таких цінних паперів дорівнює нулю),  щодо яких в системі клірингового обліку не встановлено обмежень для здійснення/забезпечення розрахунків за правочинами щодо цінних паперів, на фондовій біржі або поза фондовою біржою, а також про необхідність встановлення обмеження щодо цінних паперів конкретного власника (крім випадку, коли залишок відповідних цінних паперів дорівнює нулю). </w:t>
            </w:r>
          </w:p>
          <w:p w14:paraId="5C35EB02" w14:textId="77777777" w:rsidR="008F1775" w:rsidRPr="00286216" w:rsidRDefault="008F1775" w:rsidP="008F1775">
            <w:pPr>
              <w:pStyle w:val="StyleProp"/>
              <w:spacing w:line="180" w:lineRule="exact"/>
              <w:rPr>
                <w:color w:val="000000" w:themeColor="text1"/>
                <w:spacing w:val="-2"/>
              </w:rPr>
            </w:pPr>
            <w:r w:rsidRPr="00286216">
              <w:rPr>
                <w:color w:val="000000" w:themeColor="text1"/>
                <w:spacing w:val="-2"/>
              </w:rPr>
              <w:t>7. Депозитарна установа повідомляє суд або уповноважений законом державний орган чи його посадову особу про дії, вчинені за результатами отримання відповідного рішення про встановлення обмеження стосовно конкретного власника, протягом наступного робочого дня після отримання рішення.</w:t>
            </w:r>
          </w:p>
          <w:p w14:paraId="1B859AB3" w14:textId="77777777" w:rsidR="008F1775" w:rsidRPr="00286216" w:rsidRDefault="008F1775" w:rsidP="008F1775">
            <w:pPr>
              <w:pStyle w:val="StyleProp"/>
              <w:spacing w:line="180" w:lineRule="exact"/>
              <w:rPr>
                <w:color w:val="000000" w:themeColor="text1"/>
              </w:rPr>
            </w:pPr>
            <w:r w:rsidRPr="00286216">
              <w:rPr>
                <w:color w:val="000000" w:themeColor="text1"/>
                <w:spacing w:val="-2"/>
              </w:rPr>
              <w:t>8. Зміст, строки та порядок обміну інформацією, передбаченою цією статтею, між особою, що провадить клірингову діяльність і Центральним депозитарієм або Національним банком України, визначаються договорами, укладеними особою, що провадить клірингову діяльність з Центральним депозитарієм або Національним банком України</w:t>
            </w:r>
            <w:r w:rsidRPr="00286216">
              <w:rPr>
                <w:color w:val="000000" w:themeColor="text1"/>
              </w:rPr>
              <w:t>, відповідно до вимог, встановлених Національною комісією з цінних паперів та фондового ринку".</w:t>
            </w:r>
          </w:p>
        </w:tc>
        <w:tc>
          <w:tcPr>
            <w:tcW w:w="1987" w:type="dxa"/>
          </w:tcPr>
          <w:p w14:paraId="05DDFCFC" w14:textId="77777777" w:rsidR="008F1775" w:rsidRPr="00286216" w:rsidRDefault="008F1775" w:rsidP="008F1775">
            <w:pPr>
              <w:pStyle w:val="StyleWisnow"/>
              <w:rPr>
                <w:color w:val="000000" w:themeColor="text1"/>
              </w:rPr>
            </w:pPr>
            <w:r w:rsidRPr="00286216">
              <w:rPr>
                <w:color w:val="000000" w:themeColor="text1"/>
              </w:rPr>
              <w:lastRenderedPageBreak/>
              <w:t>Враховано редакційно</w:t>
            </w:r>
          </w:p>
          <w:p w14:paraId="6F8C78E0" w14:textId="30868B02" w:rsidR="008F1775" w:rsidRPr="00286216" w:rsidRDefault="008F1775" w:rsidP="008F1775">
            <w:pPr>
              <w:pStyle w:val="StyleWisnow"/>
              <w:spacing w:line="180" w:lineRule="exact"/>
              <w:rPr>
                <w:color w:val="000000" w:themeColor="text1"/>
              </w:rPr>
            </w:pPr>
            <w:r w:rsidRPr="00286216">
              <w:rPr>
                <w:color w:val="000000" w:themeColor="text1"/>
                <w:spacing w:val="-2"/>
              </w:rPr>
              <w:t>у п. 5 Прикінцевих положень проекту Закону "Про внесення змін до деяких законодавчих актів України у зв'язку із прийняттям законів України "Про ринки капіталу та організовані товарні ринки" та "Про товарні біржі"</w:t>
            </w:r>
          </w:p>
        </w:tc>
        <w:tc>
          <w:tcPr>
            <w:tcW w:w="4818" w:type="dxa"/>
          </w:tcPr>
          <w:p w14:paraId="7B061DE3" w14:textId="77777777" w:rsidR="008F1775" w:rsidRPr="00286216" w:rsidRDefault="008F1775" w:rsidP="008F1775">
            <w:pPr>
              <w:pStyle w:val="StyleZakonu"/>
              <w:rPr>
                <w:color w:val="000000" w:themeColor="text1"/>
                <w:szCs w:val="18"/>
              </w:rPr>
            </w:pPr>
          </w:p>
        </w:tc>
      </w:tr>
      <w:tr w:rsidR="008F1775" w:rsidRPr="00286216" w14:paraId="5C33E59A" w14:textId="77777777" w:rsidTr="00091AA5">
        <w:tc>
          <w:tcPr>
            <w:tcW w:w="576" w:type="dxa"/>
          </w:tcPr>
          <w:p w14:paraId="30E3CF15" w14:textId="77777777" w:rsidR="008F1775" w:rsidRPr="00286216" w:rsidRDefault="008F1775" w:rsidP="008F1775">
            <w:pPr>
              <w:pStyle w:val="StyleWisnow"/>
              <w:rPr>
                <w:color w:val="000000" w:themeColor="text1"/>
              </w:rPr>
            </w:pPr>
          </w:p>
        </w:tc>
        <w:tc>
          <w:tcPr>
            <w:tcW w:w="4818" w:type="dxa"/>
          </w:tcPr>
          <w:p w14:paraId="2E8C159F" w14:textId="77777777" w:rsidR="008F1775" w:rsidRPr="00286216" w:rsidRDefault="008F1775" w:rsidP="008F1775">
            <w:pPr>
              <w:pStyle w:val="StyleZakonu"/>
              <w:rPr>
                <w:color w:val="000000" w:themeColor="text1"/>
              </w:rPr>
            </w:pPr>
          </w:p>
        </w:tc>
        <w:tc>
          <w:tcPr>
            <w:tcW w:w="3686" w:type="dxa"/>
          </w:tcPr>
          <w:p w14:paraId="4F26490E" w14:textId="77777777" w:rsidR="008F1775" w:rsidRPr="00286216" w:rsidRDefault="008F1775" w:rsidP="008F1775">
            <w:pPr>
              <w:pStyle w:val="StyleProp"/>
              <w:rPr>
                <w:color w:val="000000" w:themeColor="text1"/>
              </w:rPr>
            </w:pPr>
          </w:p>
        </w:tc>
        <w:tc>
          <w:tcPr>
            <w:tcW w:w="1987" w:type="dxa"/>
          </w:tcPr>
          <w:p w14:paraId="0ACD8531" w14:textId="77777777" w:rsidR="008F1775" w:rsidRPr="00286216" w:rsidRDefault="008F1775" w:rsidP="008F1775">
            <w:pPr>
              <w:pStyle w:val="StyleWisnow"/>
              <w:rPr>
                <w:color w:val="000000" w:themeColor="text1"/>
              </w:rPr>
            </w:pPr>
          </w:p>
        </w:tc>
        <w:tc>
          <w:tcPr>
            <w:tcW w:w="4818" w:type="dxa"/>
          </w:tcPr>
          <w:p w14:paraId="097B59E2" w14:textId="77777777" w:rsidR="008F1775" w:rsidRPr="00286216" w:rsidRDefault="008F1775" w:rsidP="008F1775">
            <w:pPr>
              <w:pStyle w:val="StyleZakonu"/>
              <w:rPr>
                <w:color w:val="000000" w:themeColor="text1"/>
              </w:rPr>
            </w:pPr>
          </w:p>
        </w:tc>
      </w:tr>
      <w:tr w:rsidR="008F1775" w:rsidRPr="00286216" w14:paraId="5313164E" w14:textId="77777777" w:rsidTr="00091AA5">
        <w:tc>
          <w:tcPr>
            <w:tcW w:w="576" w:type="dxa"/>
          </w:tcPr>
          <w:p w14:paraId="4DFC2F1E" w14:textId="77777777" w:rsidR="008F1775" w:rsidRPr="00286216" w:rsidRDefault="008F1775" w:rsidP="008F1775">
            <w:pPr>
              <w:pStyle w:val="StyleWisnow"/>
              <w:rPr>
                <w:color w:val="000000" w:themeColor="text1"/>
              </w:rPr>
            </w:pPr>
          </w:p>
        </w:tc>
        <w:tc>
          <w:tcPr>
            <w:tcW w:w="4818" w:type="dxa"/>
          </w:tcPr>
          <w:p w14:paraId="5EA87A7F" w14:textId="77777777" w:rsidR="008F1775" w:rsidRPr="00286216" w:rsidRDefault="008F1775" w:rsidP="008F1775">
            <w:pPr>
              <w:pStyle w:val="StyleZakonu"/>
              <w:rPr>
                <w:color w:val="000000" w:themeColor="text1"/>
              </w:rPr>
            </w:pPr>
          </w:p>
        </w:tc>
        <w:tc>
          <w:tcPr>
            <w:tcW w:w="3686" w:type="dxa"/>
          </w:tcPr>
          <w:p w14:paraId="007049DC" w14:textId="77777777" w:rsidR="008F1775" w:rsidRPr="00286216" w:rsidRDefault="008F1775" w:rsidP="008F1775">
            <w:pPr>
              <w:pStyle w:val="StyleProp"/>
              <w:rPr>
                <w:color w:val="000000" w:themeColor="text1"/>
              </w:rPr>
            </w:pPr>
          </w:p>
        </w:tc>
        <w:tc>
          <w:tcPr>
            <w:tcW w:w="1987" w:type="dxa"/>
          </w:tcPr>
          <w:p w14:paraId="6ECE29BA" w14:textId="77777777" w:rsidR="008F1775" w:rsidRPr="00286216" w:rsidRDefault="008F1775" w:rsidP="008F1775">
            <w:pPr>
              <w:pStyle w:val="StyleWisnow"/>
              <w:rPr>
                <w:color w:val="000000" w:themeColor="text1"/>
              </w:rPr>
            </w:pPr>
          </w:p>
        </w:tc>
        <w:tc>
          <w:tcPr>
            <w:tcW w:w="4818" w:type="dxa"/>
          </w:tcPr>
          <w:p w14:paraId="7623B63C" w14:textId="77777777" w:rsidR="008F1775" w:rsidRPr="00286216" w:rsidRDefault="008F1775" w:rsidP="008F1775">
            <w:pPr>
              <w:pStyle w:val="StyleZakonu"/>
              <w:rPr>
                <w:color w:val="000000" w:themeColor="text1"/>
              </w:rPr>
            </w:pPr>
          </w:p>
        </w:tc>
      </w:tr>
      <w:tr w:rsidR="008F1775" w:rsidRPr="00286216" w14:paraId="19ADFB6A" w14:textId="77777777" w:rsidTr="00091AA5">
        <w:tc>
          <w:tcPr>
            <w:tcW w:w="576" w:type="dxa"/>
          </w:tcPr>
          <w:p w14:paraId="1E4B8794" w14:textId="77777777" w:rsidR="008F1775" w:rsidRPr="00286216" w:rsidRDefault="008F1775" w:rsidP="008F1775">
            <w:pPr>
              <w:pStyle w:val="StyleWisnow"/>
              <w:rPr>
                <w:color w:val="000000" w:themeColor="text1"/>
              </w:rPr>
            </w:pPr>
          </w:p>
        </w:tc>
        <w:tc>
          <w:tcPr>
            <w:tcW w:w="4818" w:type="dxa"/>
          </w:tcPr>
          <w:p w14:paraId="529CF90E" w14:textId="77777777" w:rsidR="008F1775" w:rsidRPr="00286216" w:rsidRDefault="008F1775" w:rsidP="008F1775">
            <w:pPr>
              <w:pStyle w:val="StyleZakonu"/>
              <w:rPr>
                <w:color w:val="000000" w:themeColor="text1"/>
              </w:rPr>
            </w:pPr>
          </w:p>
        </w:tc>
        <w:tc>
          <w:tcPr>
            <w:tcW w:w="3686" w:type="dxa"/>
          </w:tcPr>
          <w:p w14:paraId="6B0B6214" w14:textId="77777777" w:rsidR="008F1775" w:rsidRPr="00286216" w:rsidRDefault="008F1775" w:rsidP="008F1775">
            <w:pPr>
              <w:pStyle w:val="StyleProp"/>
              <w:rPr>
                <w:color w:val="000000" w:themeColor="text1"/>
              </w:rPr>
            </w:pPr>
          </w:p>
        </w:tc>
        <w:tc>
          <w:tcPr>
            <w:tcW w:w="1987" w:type="dxa"/>
          </w:tcPr>
          <w:p w14:paraId="2EBE8ADC" w14:textId="77777777" w:rsidR="008F1775" w:rsidRPr="00286216" w:rsidRDefault="008F1775" w:rsidP="008F1775">
            <w:pPr>
              <w:pStyle w:val="StyleWisnow"/>
              <w:rPr>
                <w:color w:val="000000" w:themeColor="text1"/>
              </w:rPr>
            </w:pPr>
          </w:p>
        </w:tc>
        <w:tc>
          <w:tcPr>
            <w:tcW w:w="4818" w:type="dxa"/>
          </w:tcPr>
          <w:p w14:paraId="5EE1DB7C" w14:textId="77777777" w:rsidR="008F1775" w:rsidRPr="00286216" w:rsidRDefault="008F1775" w:rsidP="008F1775">
            <w:pPr>
              <w:pStyle w:val="StyleZakonu"/>
              <w:rPr>
                <w:color w:val="000000" w:themeColor="text1"/>
              </w:rPr>
            </w:pPr>
          </w:p>
        </w:tc>
      </w:tr>
    </w:tbl>
    <w:p w14:paraId="4292E368" w14:textId="51F834D0" w:rsidR="00B76AEA" w:rsidRDefault="00B76AEA" w:rsidP="004E5696">
      <w:pPr>
        <w:rPr>
          <w:color w:val="000000" w:themeColor="text1"/>
        </w:rPr>
      </w:pPr>
      <w:bookmarkStart w:id="3819" w:name="_GoBack"/>
      <w:bookmarkEnd w:id="3818"/>
      <w:bookmarkEnd w:id="3819"/>
    </w:p>
    <w:sectPr w:rsidR="00B76AEA" w:rsidSect="00091AA5">
      <w:headerReference w:type="even" r:id="rId16"/>
      <w:headerReference w:type="default" r:id="rId17"/>
      <w:footerReference w:type="even" r:id="rId18"/>
      <w:footerReference w:type="default" r:id="rId19"/>
      <w:footerReference w:type="first" r:id="rId20"/>
      <w:pgSz w:w="16838" w:h="11906" w:orient="landscape" w:code="9"/>
      <w:pgMar w:top="567" w:right="567" w:bottom="567" w:left="567"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0601B" w14:textId="77777777" w:rsidR="00BB35BA" w:rsidRDefault="00BB35BA">
      <w:r>
        <w:separator/>
      </w:r>
    </w:p>
  </w:endnote>
  <w:endnote w:type="continuationSeparator" w:id="0">
    <w:p w14:paraId="2C67D2F5" w14:textId="77777777" w:rsidR="00BB35BA" w:rsidRDefault="00BB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dy CS)">
    <w:charset w:val="00"/>
    <w:family w:val="roman"/>
    <w:pitch w:val="variable"/>
    <w:sig w:usb0="E0002AEF" w:usb1="C0007841"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13A9" w14:textId="14A3A69B" w:rsidR="00BB35BA" w:rsidRDefault="00BB35BA" w:rsidP="001479B6">
    <w:pPr>
      <w:pStyle w:val="a9"/>
      <w:framePr w:wrap="none" w:vAnchor="text" w:hAnchor="margin" w:xAlign="center" w:y="1"/>
      <w:rPr>
        <w:rStyle w:val="af7"/>
      </w:rPr>
    </w:pPr>
    <w:r>
      <w:rPr>
        <w:rStyle w:val="af7"/>
      </w:rPr>
      <w:fldChar w:fldCharType="begin"/>
    </w:r>
    <w:r>
      <w:rPr>
        <w:rStyle w:val="af7"/>
      </w:rPr>
      <w:instrText xml:space="preserve"> PAGE </w:instrText>
    </w:r>
    <w:r>
      <w:rPr>
        <w:rStyle w:val="af7"/>
      </w:rPr>
      <w:fldChar w:fldCharType="separate"/>
    </w:r>
    <w:r>
      <w:rPr>
        <w:rStyle w:val="af7"/>
        <w:noProof/>
      </w:rPr>
      <w:t>747</w:t>
    </w:r>
    <w:r>
      <w:rPr>
        <w:rStyle w:val="af7"/>
      </w:rPr>
      <w:fldChar w:fldCharType="end"/>
    </w:r>
  </w:p>
  <w:p w14:paraId="196CFEF5" w14:textId="77777777" w:rsidR="00BB35BA" w:rsidRDefault="00BB35B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04309" w14:textId="3CC3E267" w:rsidR="00BB35BA" w:rsidRPr="001479B6" w:rsidRDefault="00BB35BA" w:rsidP="00091AA5">
    <w:pPr>
      <w:pStyle w:val="StyleFooter"/>
    </w:pPr>
    <w:r>
      <w:rPr>
        <w:noProof/>
      </w:rPr>
      <w:t>AAA  21.12.2019</w:t>
    </w:r>
    <w:r>
      <w:fldChar w:fldCharType="begin"/>
    </w:r>
    <w:r>
      <w:instrText xml:space="preserve"> Set naz"Про внесення змін до деяких законодавчих актів України щодо спрощення залучення інвестицій та запровадження нових фінансових інструментів" </w:instrText>
    </w:r>
    <w:r>
      <w:fldChar w:fldCharType="separate"/>
    </w:r>
    <w:bookmarkStart w:id="3820" w:name="naz"/>
    <w:r>
      <w:rPr>
        <w:noProof/>
      </w:rPr>
      <w:t>Про внесення змін до деяких законодавчих актів України щодо спрощення залучення інвестицій та запровадження нових фінансових інструментів</w:t>
    </w:r>
    <w:bookmarkEnd w:id="3820"/>
    <w:r>
      <w:fldChar w:fldCharType="end"/>
    </w:r>
    <w:r>
      <w:fldChar w:fldCharType="begin"/>
    </w:r>
    <w:r>
      <w:instrText xml:space="preserve"> Set awt"Народні депутати України Гетманцев Д.О., Кінзбурська В.О., Заблоцький М.Б., Устенко О.О., Дубінський О.А." </w:instrText>
    </w:r>
    <w:r>
      <w:fldChar w:fldCharType="separate"/>
    </w:r>
    <w:bookmarkStart w:id="3821" w:name="awt"/>
    <w:r>
      <w:rPr>
        <w:noProof/>
      </w:rPr>
      <w:t>Народні депутати України Гетманцев Д.О., Кінзбурська В.О., Заблоцький М.Б., Устенко О.О., Дубінський О.А.</w:t>
    </w:r>
    <w:bookmarkEnd w:id="3821"/>
    <w:r>
      <w:fldChar w:fldCharType="end"/>
    </w:r>
    <w:r>
      <w:fldChar w:fldCharType="begin"/>
    </w:r>
    <w:r>
      <w:instrText xml:space="preserve"> Set kom"Народні депутати України - члени Комітету з питань фінансів, податкової та митної політики" </w:instrText>
    </w:r>
    <w:r>
      <w:fldChar w:fldCharType="separate"/>
    </w:r>
    <w:bookmarkStart w:id="3822" w:name="kom"/>
    <w:r>
      <w:rPr>
        <w:noProof/>
      </w:rPr>
      <w:t>Народні депутати України - члени Комітету з питань фінансів, податкової та митної політики</w:t>
    </w:r>
    <w:bookmarkEnd w:id="3822"/>
    <w:r>
      <w:fldChar w:fldCharType="end"/>
    </w:r>
    <w:r>
      <w:fldChar w:fldCharType="begin"/>
    </w:r>
    <w:r>
      <w:instrText xml:space="preserve"> Set sta"Друге читання" </w:instrText>
    </w:r>
    <w:r>
      <w:fldChar w:fldCharType="separate"/>
    </w:r>
    <w:bookmarkStart w:id="3823" w:name="sta"/>
    <w:r>
      <w:rPr>
        <w:noProof/>
      </w:rPr>
      <w:t>Друге читання</w:t>
    </w:r>
    <w:bookmarkEnd w:id="3823"/>
    <w:r>
      <w:fldChar w:fldCharType="end"/>
    </w:r>
    <w:r>
      <w:fldChar w:fldCharType="begin"/>
    </w:r>
    <w:r>
      <w:instrText xml:space="preserve"> Set reg"2284" </w:instrText>
    </w:r>
    <w:r>
      <w:fldChar w:fldCharType="separate"/>
    </w:r>
    <w:bookmarkStart w:id="3824" w:name="reg"/>
    <w:r>
      <w:rPr>
        <w:noProof/>
      </w:rPr>
      <w:t>2284</w:t>
    </w:r>
    <w:bookmarkEnd w:id="3824"/>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70AE4" w14:textId="70C8437C" w:rsidR="00BB35BA" w:rsidRPr="00D44886" w:rsidRDefault="00BB35BA">
    <w:pPr>
      <w:pStyle w:val="a9"/>
      <w:rPr>
        <w:sz w:val="16"/>
        <w:lang w:val="en-US"/>
      </w:rPr>
    </w:pPr>
    <w:r w:rsidRPr="00091AA5">
      <w:rPr>
        <w:sz w:val="16"/>
      </w:rPr>
      <w:t>Вик</w:t>
    </w:r>
    <w:r w:rsidRPr="00D44886">
      <w:rPr>
        <w:sz w:val="16"/>
        <w:lang w:val="en-US"/>
      </w:rPr>
      <w:t xml:space="preserve">. </w:t>
    </w:r>
    <w:r w:rsidRPr="00091AA5">
      <w:rPr>
        <w:sz w:val="16"/>
      </w:rPr>
      <w:t>А</w:t>
    </w:r>
    <w:r w:rsidRPr="00D44886">
      <w:rPr>
        <w:sz w:val="16"/>
        <w:lang w:val="en-US"/>
      </w:rPr>
      <w:t>.</w:t>
    </w:r>
    <w:r w:rsidRPr="00091AA5">
      <w:rPr>
        <w:sz w:val="16"/>
      </w:rPr>
      <w:t>Мороз</w:t>
    </w:r>
    <w:r w:rsidRPr="00D44886">
      <w:rPr>
        <w:sz w:val="16"/>
        <w:lang w:val="en-US"/>
      </w:rPr>
      <w:t xml:space="preserve"> (</w:t>
    </w:r>
    <w:r w:rsidRPr="00091AA5">
      <w:rPr>
        <w:sz w:val="16"/>
      </w:rPr>
      <w:t>Тел</w:t>
    </w:r>
    <w:r w:rsidRPr="00D44886">
      <w:rPr>
        <w:sz w:val="16"/>
        <w:lang w:val="en-US"/>
      </w:rPr>
      <w:t xml:space="preserve">.255-27-36) </w:t>
    </w:r>
    <w:r w:rsidRPr="00091AA5">
      <w:rPr>
        <w:sz w:val="16"/>
      </w:rPr>
      <w:fldChar w:fldCharType="begin"/>
    </w:r>
    <w:r w:rsidRPr="00D44886">
      <w:rPr>
        <w:sz w:val="16"/>
        <w:lang w:val="en-US"/>
      </w:rPr>
      <w:instrText xml:space="preserve"> FILENAME \p  \* MERGEFORMAT </w:instrText>
    </w:r>
    <w:r w:rsidRPr="00091AA5">
      <w:rPr>
        <w:sz w:val="16"/>
      </w:rPr>
      <w:fldChar w:fldCharType="separate"/>
    </w:r>
    <w:r>
      <w:rPr>
        <w:noProof/>
        <w:sz w:val="16"/>
        <w:lang w:val="en-US"/>
      </w:rPr>
      <w:t>D:\moroz-an\Desktop\~fcknJOB\2284\2~nd_reading\!FIN\Tabl2284(RADA).docx</w:t>
    </w:r>
    <w:r w:rsidRPr="00091AA5">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B0868" w14:textId="77777777" w:rsidR="00BB35BA" w:rsidRDefault="00BB35BA">
      <w:r>
        <w:separator/>
      </w:r>
    </w:p>
  </w:footnote>
  <w:footnote w:type="continuationSeparator" w:id="0">
    <w:p w14:paraId="5F8FDF1F" w14:textId="77777777" w:rsidR="00BB35BA" w:rsidRDefault="00BB3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79CC2" w14:textId="25C9EFF9" w:rsidR="00BB35BA" w:rsidRDefault="00BB35BA" w:rsidP="001479B6">
    <w:pPr>
      <w:pStyle w:val="ab"/>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747</w:t>
    </w:r>
    <w:r>
      <w:rPr>
        <w:rStyle w:val="af7"/>
      </w:rPr>
      <w:fldChar w:fldCharType="end"/>
    </w:r>
  </w:p>
  <w:p w14:paraId="5AE58249" w14:textId="77777777" w:rsidR="00BB35BA" w:rsidRDefault="00BB35BA" w:rsidP="001479B6">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4572"/>
      <w:gridCol w:w="1348"/>
    </w:tblGrid>
    <w:tr w:rsidR="00BB35BA" w:rsidRPr="00091AA5" w14:paraId="63F6E957" w14:textId="77777777" w:rsidTr="00091AA5">
      <w:tc>
        <w:tcPr>
          <w:tcW w:w="14572" w:type="dxa"/>
        </w:tcPr>
        <w:p w14:paraId="4A1E559E" w14:textId="1968802F" w:rsidR="00BB35BA" w:rsidRPr="00091AA5" w:rsidRDefault="00BB35BA" w:rsidP="00091AA5">
          <w:pPr>
            <w:pStyle w:val="ab"/>
            <w:rPr>
              <w:sz w:val="12"/>
            </w:rPr>
          </w:pPr>
          <w:r>
            <w:rPr>
              <w:sz w:val="12"/>
            </w:rPr>
            <w:fldChar w:fldCharType="begin"/>
          </w:r>
          <w:r>
            <w:rPr>
              <w:sz w:val="12"/>
            </w:rPr>
            <w:instrText xml:space="preserve"> USERINITIALS  \* MERGEFORMAT </w:instrText>
          </w:r>
          <w:r>
            <w:rPr>
              <w:sz w:val="12"/>
            </w:rPr>
            <w:fldChar w:fldCharType="separate"/>
          </w:r>
          <w:r>
            <w:rPr>
              <w:noProof/>
              <w:sz w:val="12"/>
            </w:rPr>
            <w:t>МАА</w:t>
          </w:r>
          <w:r>
            <w:rPr>
              <w:sz w:val="12"/>
            </w:rPr>
            <w:fldChar w:fldCharType="end"/>
          </w:r>
          <w:r>
            <w:rPr>
              <w:sz w:val="12"/>
            </w:rPr>
            <w:t xml:space="preserve">  </w:t>
          </w:r>
          <w:r>
            <w:rPr>
              <w:sz w:val="12"/>
            </w:rPr>
            <w:fldChar w:fldCharType="begin"/>
          </w:r>
          <w:r>
            <w:rPr>
              <w:sz w:val="12"/>
            </w:rPr>
            <w:instrText xml:space="preserve"> FILENAME  \* lower </w:instrText>
          </w:r>
          <w:r>
            <w:rPr>
              <w:sz w:val="12"/>
            </w:rPr>
            <w:fldChar w:fldCharType="separate"/>
          </w:r>
          <w:r>
            <w:rPr>
              <w:noProof/>
              <w:sz w:val="12"/>
            </w:rPr>
            <w:t>tabl2284(rada).docx</w:t>
          </w:r>
          <w:r>
            <w:rPr>
              <w:sz w:val="12"/>
            </w:rPr>
            <w:fldChar w:fldCharType="end"/>
          </w:r>
          <w:r>
            <w:rPr>
              <w:sz w:val="12"/>
            </w:rPr>
            <w:t xml:space="preserve">  </w:t>
          </w:r>
          <w:r>
            <w:rPr>
              <w:sz w:val="12"/>
            </w:rPr>
            <w:fldChar w:fldCharType="begin"/>
          </w:r>
          <w:r>
            <w:rPr>
              <w:sz w:val="12"/>
            </w:rPr>
            <w:instrText xml:space="preserve"> DATE \@ "dd.MM.yyyy" \* MERGEFORMAT </w:instrText>
          </w:r>
          <w:r>
            <w:rPr>
              <w:sz w:val="12"/>
            </w:rPr>
            <w:fldChar w:fldCharType="separate"/>
          </w:r>
          <w:r w:rsidR="00F562FA">
            <w:rPr>
              <w:noProof/>
              <w:sz w:val="12"/>
            </w:rPr>
            <w:t>13.06.2020</w:t>
          </w:r>
          <w:r>
            <w:rPr>
              <w:sz w:val="12"/>
            </w:rPr>
            <w:fldChar w:fldCharType="end"/>
          </w:r>
          <w:r>
            <w:rPr>
              <w:sz w:val="12"/>
            </w:rPr>
            <w:t xml:space="preserve">  До проекту Закону України "</w:t>
          </w:r>
          <w:r w:rsidRPr="00091AA5">
            <w:rPr>
              <w:sz w:val="12"/>
            </w:rPr>
            <w:t>Про внесення змін до деяких законодавчих актів України щодо спрощення залучення інвестицій та запровадження нових фінансових інструментів</w:t>
          </w:r>
          <w:r>
            <w:rPr>
              <w:sz w:val="12"/>
            </w:rPr>
            <w:t>"</w:t>
          </w:r>
        </w:p>
      </w:tc>
      <w:tc>
        <w:tcPr>
          <w:tcW w:w="1348" w:type="dxa"/>
        </w:tcPr>
        <w:p w14:paraId="08C76193" w14:textId="43654A72" w:rsidR="00BB35BA" w:rsidRPr="00091AA5" w:rsidRDefault="00BB35BA" w:rsidP="00091AA5">
          <w:pPr>
            <w:pStyle w:val="StyleStorinka"/>
          </w:pPr>
          <w:r>
            <w:t xml:space="preserve">стор.   </w:t>
          </w:r>
          <w:r>
            <w:rPr>
              <w:rStyle w:val="af7"/>
              <w:sz w:val="20"/>
            </w:rPr>
            <w:fldChar w:fldCharType="begin"/>
          </w:r>
          <w:r>
            <w:rPr>
              <w:rStyle w:val="af7"/>
              <w:sz w:val="20"/>
            </w:rPr>
            <w:instrText xml:space="preserve"> PAGE </w:instrText>
          </w:r>
          <w:r>
            <w:rPr>
              <w:rStyle w:val="af7"/>
              <w:sz w:val="20"/>
            </w:rPr>
            <w:fldChar w:fldCharType="separate"/>
          </w:r>
          <w:r w:rsidR="005E7CA7">
            <w:rPr>
              <w:rStyle w:val="af7"/>
              <w:noProof/>
              <w:sz w:val="20"/>
            </w:rPr>
            <w:t>740</w:t>
          </w:r>
          <w:r>
            <w:rPr>
              <w:rStyle w:val="af7"/>
              <w:sz w:val="20"/>
            </w:rPr>
            <w:fldChar w:fldCharType="end"/>
          </w:r>
        </w:p>
      </w:tc>
    </w:tr>
  </w:tbl>
  <w:p w14:paraId="12629D81" w14:textId="77777777" w:rsidR="00BB35BA" w:rsidRPr="00091AA5" w:rsidRDefault="00BB35BA" w:rsidP="00091AA5">
    <w:pPr>
      <w:pStyle w:val="ab"/>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7984542"/>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00564F0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AA57A5"/>
    <w:multiLevelType w:val="hybridMultilevel"/>
    <w:tmpl w:val="4FEC7F8C"/>
    <w:lvl w:ilvl="0" w:tplc="752A333C">
      <w:start w:val="6"/>
      <w:numFmt w:val="decimal"/>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66254D"/>
    <w:multiLevelType w:val="multilevel"/>
    <w:tmpl w:val="1E4A575A"/>
    <w:lvl w:ilvl="0">
      <w:start w:val="1"/>
      <w:numFmt w:val="upperRoman"/>
      <w:lvlText w:val="Розділ %1"/>
      <w:lvlJc w:val="left"/>
      <w:pPr>
        <w:tabs>
          <w:tab w:val="num" w:pos="1440"/>
        </w:tabs>
      </w:pPr>
      <w:rPr>
        <w:rFonts w:ascii="Times New Roman" w:hAnsi="Times New Roman" w:cs="Times New Roman" w:hint="default"/>
        <w:b/>
        <w:bCs/>
        <w:i w:val="0"/>
        <w:iCs w:val="0"/>
        <w:sz w:val="28"/>
        <w:szCs w:val="28"/>
      </w:rPr>
    </w:lvl>
    <w:lvl w:ilvl="1">
      <w:start w:val="1"/>
      <w:numFmt w:val="none"/>
      <w:isLgl/>
      <w:lvlText w:val="Стаття 1."/>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760276C"/>
    <w:multiLevelType w:val="hybridMultilevel"/>
    <w:tmpl w:val="07104468"/>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15:restartNumberingAfterBreak="0">
    <w:nsid w:val="08CC3A8D"/>
    <w:multiLevelType w:val="hybridMultilevel"/>
    <w:tmpl w:val="3DE4C29E"/>
    <w:lvl w:ilvl="0" w:tplc="734CB460">
      <w:start w:val="1"/>
      <w:numFmt w:val="decimal"/>
      <w:lvlText w:val="%1."/>
      <w:lvlJc w:val="left"/>
      <w:pPr>
        <w:ind w:left="947" w:hanging="360"/>
      </w:pPr>
      <w:rPr>
        <w:rFonts w:ascii="Times New Roman" w:hAnsi="Times New Roman" w:cs="Times New Roman" w:hint="default"/>
      </w:rPr>
    </w:lvl>
    <w:lvl w:ilvl="1" w:tplc="3DC05E5E">
      <w:start w:val="1"/>
      <w:numFmt w:val="decimal"/>
      <w:lvlText w:val="%2)"/>
      <w:lvlJc w:val="left"/>
      <w:pPr>
        <w:ind w:left="1667" w:hanging="360"/>
      </w:pPr>
    </w:lvl>
    <w:lvl w:ilvl="2" w:tplc="0422001B">
      <w:start w:val="1"/>
      <w:numFmt w:val="lowerRoman"/>
      <w:lvlText w:val="%3."/>
      <w:lvlJc w:val="right"/>
      <w:pPr>
        <w:ind w:left="2387" w:hanging="180"/>
      </w:pPr>
    </w:lvl>
    <w:lvl w:ilvl="3" w:tplc="0422000F">
      <w:start w:val="1"/>
      <w:numFmt w:val="decimal"/>
      <w:lvlText w:val="%4."/>
      <w:lvlJc w:val="left"/>
      <w:pPr>
        <w:ind w:left="3107" w:hanging="360"/>
      </w:pPr>
    </w:lvl>
    <w:lvl w:ilvl="4" w:tplc="04220019">
      <w:start w:val="1"/>
      <w:numFmt w:val="lowerLetter"/>
      <w:lvlText w:val="%5."/>
      <w:lvlJc w:val="left"/>
      <w:pPr>
        <w:ind w:left="3827" w:hanging="360"/>
      </w:pPr>
    </w:lvl>
    <w:lvl w:ilvl="5" w:tplc="0422001B">
      <w:start w:val="1"/>
      <w:numFmt w:val="lowerRoman"/>
      <w:lvlText w:val="%6."/>
      <w:lvlJc w:val="right"/>
      <w:pPr>
        <w:ind w:left="4547" w:hanging="180"/>
      </w:pPr>
    </w:lvl>
    <w:lvl w:ilvl="6" w:tplc="0422000F">
      <w:start w:val="1"/>
      <w:numFmt w:val="decimal"/>
      <w:lvlText w:val="%7."/>
      <w:lvlJc w:val="left"/>
      <w:pPr>
        <w:ind w:left="5267" w:hanging="360"/>
      </w:pPr>
    </w:lvl>
    <w:lvl w:ilvl="7" w:tplc="04220019">
      <w:start w:val="1"/>
      <w:numFmt w:val="lowerLetter"/>
      <w:lvlText w:val="%8."/>
      <w:lvlJc w:val="left"/>
      <w:pPr>
        <w:ind w:left="5987" w:hanging="360"/>
      </w:pPr>
    </w:lvl>
    <w:lvl w:ilvl="8" w:tplc="0422001B">
      <w:start w:val="1"/>
      <w:numFmt w:val="lowerRoman"/>
      <w:lvlText w:val="%9."/>
      <w:lvlJc w:val="right"/>
      <w:pPr>
        <w:ind w:left="6707" w:hanging="180"/>
      </w:pPr>
    </w:lvl>
  </w:abstractNum>
  <w:abstractNum w:abstractNumId="6" w15:restartNumberingAfterBreak="0">
    <w:nsid w:val="094C513B"/>
    <w:multiLevelType w:val="hybridMultilevel"/>
    <w:tmpl w:val="A81CE72C"/>
    <w:lvl w:ilvl="0" w:tplc="700C10F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FA2796B"/>
    <w:multiLevelType w:val="hybridMultilevel"/>
    <w:tmpl w:val="A75866A2"/>
    <w:lvl w:ilvl="0" w:tplc="04220011">
      <w:start w:val="1"/>
      <w:numFmt w:val="decimal"/>
      <w:lvlText w:val="%1)"/>
      <w:lvlJc w:val="left"/>
      <w:pPr>
        <w:ind w:left="947" w:hanging="360"/>
      </w:pPr>
    </w:lvl>
    <w:lvl w:ilvl="1" w:tplc="04220019">
      <w:start w:val="1"/>
      <w:numFmt w:val="lowerLetter"/>
      <w:lvlText w:val="%2."/>
      <w:lvlJc w:val="left"/>
      <w:pPr>
        <w:ind w:left="1667" w:hanging="360"/>
      </w:pPr>
    </w:lvl>
    <w:lvl w:ilvl="2" w:tplc="0422001B">
      <w:start w:val="1"/>
      <w:numFmt w:val="lowerRoman"/>
      <w:lvlText w:val="%3."/>
      <w:lvlJc w:val="right"/>
      <w:pPr>
        <w:ind w:left="2387" w:hanging="180"/>
      </w:pPr>
    </w:lvl>
    <w:lvl w:ilvl="3" w:tplc="0422000F">
      <w:start w:val="1"/>
      <w:numFmt w:val="decimal"/>
      <w:lvlText w:val="%4."/>
      <w:lvlJc w:val="left"/>
      <w:pPr>
        <w:ind w:left="3107" w:hanging="360"/>
      </w:pPr>
    </w:lvl>
    <w:lvl w:ilvl="4" w:tplc="04220019">
      <w:start w:val="1"/>
      <w:numFmt w:val="lowerLetter"/>
      <w:lvlText w:val="%5."/>
      <w:lvlJc w:val="left"/>
      <w:pPr>
        <w:ind w:left="3827" w:hanging="360"/>
      </w:pPr>
    </w:lvl>
    <w:lvl w:ilvl="5" w:tplc="0422001B">
      <w:start w:val="1"/>
      <w:numFmt w:val="lowerRoman"/>
      <w:lvlText w:val="%6."/>
      <w:lvlJc w:val="right"/>
      <w:pPr>
        <w:ind w:left="4547" w:hanging="180"/>
      </w:pPr>
    </w:lvl>
    <w:lvl w:ilvl="6" w:tplc="0422000F">
      <w:start w:val="1"/>
      <w:numFmt w:val="decimal"/>
      <w:lvlText w:val="%7."/>
      <w:lvlJc w:val="left"/>
      <w:pPr>
        <w:ind w:left="5267" w:hanging="360"/>
      </w:pPr>
    </w:lvl>
    <w:lvl w:ilvl="7" w:tplc="04220019">
      <w:start w:val="1"/>
      <w:numFmt w:val="lowerLetter"/>
      <w:lvlText w:val="%8."/>
      <w:lvlJc w:val="left"/>
      <w:pPr>
        <w:ind w:left="5987" w:hanging="360"/>
      </w:pPr>
    </w:lvl>
    <w:lvl w:ilvl="8" w:tplc="0422001B">
      <w:start w:val="1"/>
      <w:numFmt w:val="lowerRoman"/>
      <w:lvlText w:val="%9."/>
      <w:lvlJc w:val="right"/>
      <w:pPr>
        <w:ind w:left="6707" w:hanging="180"/>
      </w:pPr>
    </w:lvl>
  </w:abstractNum>
  <w:abstractNum w:abstractNumId="8" w15:restartNumberingAfterBreak="0">
    <w:nsid w:val="17A36D49"/>
    <w:multiLevelType w:val="multilevel"/>
    <w:tmpl w:val="8E6E94D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8EF2EEE"/>
    <w:multiLevelType w:val="hybridMultilevel"/>
    <w:tmpl w:val="36BE8F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0" w15:restartNumberingAfterBreak="0">
    <w:nsid w:val="19F2081F"/>
    <w:multiLevelType w:val="hybridMultilevel"/>
    <w:tmpl w:val="8960893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BD6864"/>
    <w:multiLevelType w:val="multilevel"/>
    <w:tmpl w:val="7CF89504"/>
    <w:styleLink w:val="2"/>
    <w:lvl w:ilvl="0">
      <w:start w:val="1"/>
      <w:numFmt w:val="decimal"/>
      <w:lvlText w:val="%1."/>
      <w:lvlJc w:val="left"/>
      <w:pPr>
        <w:tabs>
          <w:tab w:val="num" w:pos="851"/>
        </w:tabs>
        <w:ind w:left="567" w:hanging="567"/>
      </w:pPr>
      <w:rPr>
        <w:rFonts w:cs="Times New Roman" w:hint="default"/>
      </w:rPr>
    </w:lvl>
    <w:lvl w:ilvl="1">
      <w:start w:val="1"/>
      <w:numFmt w:val="decimal"/>
      <w:lvlText w:val="%2)"/>
      <w:lvlJc w:val="left"/>
      <w:pPr>
        <w:tabs>
          <w:tab w:val="num" w:pos="851"/>
        </w:tabs>
        <w:ind w:left="567" w:hanging="567"/>
      </w:pPr>
      <w:rPr>
        <w:rFonts w:cs="Times New Roman" w:hint="default"/>
      </w:rPr>
    </w:lvl>
    <w:lvl w:ilvl="2">
      <w:start w:val="1"/>
      <w:numFmt w:val="russianLower"/>
      <w:lvlText w:val="%3)"/>
      <w:lvlJc w:val="right"/>
      <w:pPr>
        <w:tabs>
          <w:tab w:val="num" w:pos="851"/>
        </w:tabs>
        <w:ind w:left="567" w:hanging="567"/>
      </w:pPr>
      <w:rPr>
        <w:rFonts w:cs="Times New Roman" w:hint="default"/>
      </w:rPr>
    </w:lvl>
    <w:lvl w:ilvl="3">
      <w:start w:val="1"/>
      <w:numFmt w:val="none"/>
      <w:lvlRestart w:val="0"/>
      <w:lvlText w:val="%4."/>
      <w:lvlJc w:val="left"/>
      <w:rPr>
        <w:rFonts w:cs="Times New Roman" w:hint="default"/>
      </w:rPr>
    </w:lvl>
    <w:lvl w:ilvl="4">
      <w:start w:val="1"/>
      <w:numFmt w:val="none"/>
      <w:lvlRestart w:val="0"/>
      <w:lvlText w:val="%5."/>
      <w:lvlJc w:val="left"/>
      <w:rPr>
        <w:rFonts w:cs="Times New Roman" w:hint="default"/>
      </w:rPr>
    </w:lvl>
    <w:lvl w:ilvl="5">
      <w:start w:val="1"/>
      <w:numFmt w:val="none"/>
      <w:lvlRestart w:val="0"/>
      <w:lvlText w:val="%6."/>
      <w:lvlJc w:val="right"/>
      <w:rPr>
        <w:rFonts w:cs="Times New Roman" w:hint="default"/>
      </w:rPr>
    </w:lvl>
    <w:lvl w:ilvl="6">
      <w:start w:val="1"/>
      <w:numFmt w:val="none"/>
      <w:lvlRestart w:val="0"/>
      <w:lvlText w:val="%7."/>
      <w:lvlJc w:val="left"/>
      <w:rPr>
        <w:rFonts w:cs="Times New Roman" w:hint="default"/>
      </w:rPr>
    </w:lvl>
    <w:lvl w:ilvl="7">
      <w:start w:val="1"/>
      <w:numFmt w:val="none"/>
      <w:lvlRestart w:val="0"/>
      <w:lvlText w:val="%8."/>
      <w:lvlJc w:val="left"/>
      <w:rPr>
        <w:rFonts w:cs="Times New Roman" w:hint="default"/>
      </w:rPr>
    </w:lvl>
    <w:lvl w:ilvl="8">
      <w:start w:val="1"/>
      <w:numFmt w:val="none"/>
      <w:lvlRestart w:val="0"/>
      <w:lvlText w:val="%9."/>
      <w:lvlJc w:val="right"/>
      <w:rPr>
        <w:rFonts w:cs="Times New Roman" w:hint="default"/>
      </w:rPr>
    </w:lvl>
  </w:abstractNum>
  <w:abstractNum w:abstractNumId="12" w15:restartNumberingAfterBreak="0">
    <w:nsid w:val="1EC1102C"/>
    <w:multiLevelType w:val="multilevel"/>
    <w:tmpl w:val="28802806"/>
    <w:styleLink w:val="a1"/>
    <w:lvl w:ilvl="0">
      <w:start w:val="1"/>
      <w:numFmt w:val="russianLower"/>
      <w:lvlText w:val="%1)"/>
      <w:lvlJc w:val="left"/>
      <w:pPr>
        <w:tabs>
          <w:tab w:val="num" w:pos="851"/>
        </w:tabs>
        <w:ind w:firstLine="567"/>
      </w:pPr>
      <w:rPr>
        <w:rFonts w:ascii="Times New Roman" w:hAnsi="Times New Roman" w:cs="Times New Roman" w:hint="default"/>
        <w:b w:val="0"/>
        <w:i w:val="0"/>
        <w:sz w:val="28"/>
      </w:rPr>
    </w:lvl>
    <w:lvl w:ilvl="1">
      <w:start w:val="1"/>
      <w:numFmt w:val="none"/>
      <w:lvlText w:val=""/>
      <w:lvlJc w:val="left"/>
      <w:pPr>
        <w:tabs>
          <w:tab w:val="num" w:pos="567"/>
        </w:tabs>
        <w:ind w:firstLine="567"/>
      </w:pPr>
      <w:rPr>
        <w:rFonts w:ascii="Times New Roman" w:hAnsi="Times New Roman" w:cs="Times New Roman" w:hint="default"/>
        <w:sz w:val="28"/>
      </w:rPr>
    </w:lvl>
    <w:lvl w:ilvl="2">
      <w:start w:val="1"/>
      <w:numFmt w:val="russianLower"/>
      <w:lvlText w:val="%3)"/>
      <w:lvlJc w:val="left"/>
      <w:pPr>
        <w:tabs>
          <w:tab w:val="num" w:pos="851"/>
        </w:tabs>
        <w:ind w:firstLine="567"/>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23BD48B7"/>
    <w:multiLevelType w:val="hybridMultilevel"/>
    <w:tmpl w:val="A5C26B56"/>
    <w:lvl w:ilvl="0" w:tplc="0422000F">
      <w:start w:val="1"/>
      <w:numFmt w:val="decimal"/>
      <w:lvlText w:val="%1."/>
      <w:lvlJc w:val="left"/>
      <w:pPr>
        <w:ind w:left="947" w:hanging="360"/>
      </w:pPr>
    </w:lvl>
    <w:lvl w:ilvl="1" w:tplc="04220019" w:tentative="1">
      <w:start w:val="1"/>
      <w:numFmt w:val="lowerLetter"/>
      <w:lvlText w:val="%2."/>
      <w:lvlJc w:val="left"/>
      <w:pPr>
        <w:ind w:left="1667" w:hanging="360"/>
      </w:pPr>
    </w:lvl>
    <w:lvl w:ilvl="2" w:tplc="0422001B" w:tentative="1">
      <w:start w:val="1"/>
      <w:numFmt w:val="lowerRoman"/>
      <w:lvlText w:val="%3."/>
      <w:lvlJc w:val="right"/>
      <w:pPr>
        <w:ind w:left="2387" w:hanging="180"/>
      </w:pPr>
    </w:lvl>
    <w:lvl w:ilvl="3" w:tplc="0422000F" w:tentative="1">
      <w:start w:val="1"/>
      <w:numFmt w:val="decimal"/>
      <w:lvlText w:val="%4."/>
      <w:lvlJc w:val="left"/>
      <w:pPr>
        <w:ind w:left="3107" w:hanging="360"/>
      </w:pPr>
    </w:lvl>
    <w:lvl w:ilvl="4" w:tplc="04220019" w:tentative="1">
      <w:start w:val="1"/>
      <w:numFmt w:val="lowerLetter"/>
      <w:lvlText w:val="%5."/>
      <w:lvlJc w:val="left"/>
      <w:pPr>
        <w:ind w:left="3827" w:hanging="360"/>
      </w:pPr>
    </w:lvl>
    <w:lvl w:ilvl="5" w:tplc="0422001B" w:tentative="1">
      <w:start w:val="1"/>
      <w:numFmt w:val="lowerRoman"/>
      <w:lvlText w:val="%6."/>
      <w:lvlJc w:val="right"/>
      <w:pPr>
        <w:ind w:left="4547" w:hanging="180"/>
      </w:pPr>
    </w:lvl>
    <w:lvl w:ilvl="6" w:tplc="0422000F" w:tentative="1">
      <w:start w:val="1"/>
      <w:numFmt w:val="decimal"/>
      <w:lvlText w:val="%7."/>
      <w:lvlJc w:val="left"/>
      <w:pPr>
        <w:ind w:left="5267" w:hanging="360"/>
      </w:pPr>
    </w:lvl>
    <w:lvl w:ilvl="7" w:tplc="04220019" w:tentative="1">
      <w:start w:val="1"/>
      <w:numFmt w:val="lowerLetter"/>
      <w:lvlText w:val="%8."/>
      <w:lvlJc w:val="left"/>
      <w:pPr>
        <w:ind w:left="5987" w:hanging="360"/>
      </w:pPr>
    </w:lvl>
    <w:lvl w:ilvl="8" w:tplc="0422001B" w:tentative="1">
      <w:start w:val="1"/>
      <w:numFmt w:val="lowerRoman"/>
      <w:lvlText w:val="%9."/>
      <w:lvlJc w:val="right"/>
      <w:pPr>
        <w:ind w:left="6707" w:hanging="180"/>
      </w:pPr>
    </w:lvl>
  </w:abstractNum>
  <w:abstractNum w:abstractNumId="14" w15:restartNumberingAfterBreak="0">
    <w:nsid w:val="255D2383"/>
    <w:multiLevelType w:val="hybridMultilevel"/>
    <w:tmpl w:val="D54C65FC"/>
    <w:lvl w:ilvl="0" w:tplc="04220011">
      <w:start w:val="1"/>
      <w:numFmt w:val="decimal"/>
      <w:lvlText w:val="%1)"/>
      <w:lvlJc w:val="left"/>
      <w:pPr>
        <w:ind w:left="128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5" w15:restartNumberingAfterBreak="0">
    <w:nsid w:val="2AA81E80"/>
    <w:multiLevelType w:val="hybridMultilevel"/>
    <w:tmpl w:val="CDB05F4E"/>
    <w:lvl w:ilvl="0" w:tplc="D4EE69DE">
      <w:start w:val="1"/>
      <w:numFmt w:val="decimal"/>
      <w:lvlText w:val="%1."/>
      <w:lvlJc w:val="left"/>
      <w:pPr>
        <w:ind w:left="719" w:hanging="492"/>
      </w:pPr>
      <w:rPr>
        <w:rFonts w:hint="default"/>
      </w:rPr>
    </w:lvl>
    <w:lvl w:ilvl="1" w:tplc="04220019" w:tentative="1">
      <w:start w:val="1"/>
      <w:numFmt w:val="lowerLetter"/>
      <w:lvlText w:val="%2."/>
      <w:lvlJc w:val="left"/>
      <w:pPr>
        <w:ind w:left="1307" w:hanging="360"/>
      </w:pPr>
    </w:lvl>
    <w:lvl w:ilvl="2" w:tplc="0422001B" w:tentative="1">
      <w:start w:val="1"/>
      <w:numFmt w:val="lowerRoman"/>
      <w:lvlText w:val="%3."/>
      <w:lvlJc w:val="right"/>
      <w:pPr>
        <w:ind w:left="2027" w:hanging="180"/>
      </w:pPr>
    </w:lvl>
    <w:lvl w:ilvl="3" w:tplc="0422000F" w:tentative="1">
      <w:start w:val="1"/>
      <w:numFmt w:val="decimal"/>
      <w:lvlText w:val="%4."/>
      <w:lvlJc w:val="left"/>
      <w:pPr>
        <w:ind w:left="2747" w:hanging="360"/>
      </w:pPr>
    </w:lvl>
    <w:lvl w:ilvl="4" w:tplc="04220019" w:tentative="1">
      <w:start w:val="1"/>
      <w:numFmt w:val="lowerLetter"/>
      <w:lvlText w:val="%5."/>
      <w:lvlJc w:val="left"/>
      <w:pPr>
        <w:ind w:left="3467" w:hanging="360"/>
      </w:pPr>
    </w:lvl>
    <w:lvl w:ilvl="5" w:tplc="0422001B" w:tentative="1">
      <w:start w:val="1"/>
      <w:numFmt w:val="lowerRoman"/>
      <w:lvlText w:val="%6."/>
      <w:lvlJc w:val="right"/>
      <w:pPr>
        <w:ind w:left="4187" w:hanging="180"/>
      </w:pPr>
    </w:lvl>
    <w:lvl w:ilvl="6" w:tplc="0422000F" w:tentative="1">
      <w:start w:val="1"/>
      <w:numFmt w:val="decimal"/>
      <w:lvlText w:val="%7."/>
      <w:lvlJc w:val="left"/>
      <w:pPr>
        <w:ind w:left="4907" w:hanging="360"/>
      </w:pPr>
    </w:lvl>
    <w:lvl w:ilvl="7" w:tplc="04220019" w:tentative="1">
      <w:start w:val="1"/>
      <w:numFmt w:val="lowerLetter"/>
      <w:lvlText w:val="%8."/>
      <w:lvlJc w:val="left"/>
      <w:pPr>
        <w:ind w:left="5627" w:hanging="360"/>
      </w:pPr>
    </w:lvl>
    <w:lvl w:ilvl="8" w:tplc="0422001B" w:tentative="1">
      <w:start w:val="1"/>
      <w:numFmt w:val="lowerRoman"/>
      <w:lvlText w:val="%9."/>
      <w:lvlJc w:val="right"/>
      <w:pPr>
        <w:ind w:left="6347" w:hanging="180"/>
      </w:pPr>
    </w:lvl>
  </w:abstractNum>
  <w:abstractNum w:abstractNumId="16" w15:restartNumberingAfterBreak="0">
    <w:nsid w:val="2B93617E"/>
    <w:multiLevelType w:val="multilevel"/>
    <w:tmpl w:val="2A4629A2"/>
    <w:styleLink w:val="4"/>
    <w:lvl w:ilvl="0">
      <w:start w:val="1"/>
      <w:numFmt w:val="decimal"/>
      <w:lvlText w:val="%1)"/>
      <w:lvlJc w:val="left"/>
      <w:pPr>
        <w:ind w:left="851" w:hanging="284"/>
      </w:pPr>
      <w:rPr>
        <w:rFonts w:cs="Times New Roman" w:hint="default"/>
      </w:rPr>
    </w:lvl>
    <w:lvl w:ilvl="1">
      <w:start w:val="1"/>
      <w:numFmt w:val="lowerLetter"/>
      <w:lvlText w:val="%2)"/>
      <w:lvlJc w:val="left"/>
      <w:pPr>
        <w:ind w:left="851" w:hanging="284"/>
      </w:pPr>
      <w:rPr>
        <w:rFonts w:cs="Times New Roman" w:hint="default"/>
      </w:rPr>
    </w:lvl>
    <w:lvl w:ilvl="2">
      <w:start w:val="1"/>
      <w:numFmt w:val="lowerRoman"/>
      <w:lvlText w:val="%3)"/>
      <w:lvlJc w:val="left"/>
      <w:pPr>
        <w:ind w:left="851" w:hanging="284"/>
      </w:pPr>
      <w:rPr>
        <w:rFonts w:cs="Times New Roman" w:hint="default"/>
      </w:rPr>
    </w:lvl>
    <w:lvl w:ilvl="3">
      <w:start w:val="1"/>
      <w:numFmt w:val="decimal"/>
      <w:lvlText w:val="(%4)"/>
      <w:lvlJc w:val="left"/>
      <w:pPr>
        <w:ind w:left="851" w:hanging="284"/>
      </w:pPr>
      <w:rPr>
        <w:rFonts w:cs="Times New Roman" w:hint="default"/>
      </w:rPr>
    </w:lvl>
    <w:lvl w:ilvl="4">
      <w:start w:val="1"/>
      <w:numFmt w:val="lowerLetter"/>
      <w:lvlText w:val="(%5)"/>
      <w:lvlJc w:val="left"/>
      <w:pPr>
        <w:ind w:left="851" w:hanging="284"/>
      </w:pPr>
      <w:rPr>
        <w:rFonts w:cs="Times New Roman" w:hint="default"/>
      </w:rPr>
    </w:lvl>
    <w:lvl w:ilvl="5">
      <w:start w:val="1"/>
      <w:numFmt w:val="lowerRoman"/>
      <w:lvlText w:val="(%6)"/>
      <w:lvlJc w:val="left"/>
      <w:pPr>
        <w:ind w:left="851" w:hanging="284"/>
      </w:pPr>
      <w:rPr>
        <w:rFonts w:cs="Times New Roman" w:hint="default"/>
      </w:rPr>
    </w:lvl>
    <w:lvl w:ilvl="6">
      <w:start w:val="1"/>
      <w:numFmt w:val="decimal"/>
      <w:lvlText w:val="%7."/>
      <w:lvlJc w:val="left"/>
      <w:pPr>
        <w:ind w:left="851" w:hanging="284"/>
      </w:pPr>
      <w:rPr>
        <w:rFonts w:cs="Times New Roman" w:hint="default"/>
      </w:rPr>
    </w:lvl>
    <w:lvl w:ilvl="7">
      <w:start w:val="1"/>
      <w:numFmt w:val="lowerLetter"/>
      <w:lvlText w:val="%8."/>
      <w:lvlJc w:val="left"/>
      <w:pPr>
        <w:ind w:left="851" w:hanging="284"/>
      </w:pPr>
      <w:rPr>
        <w:rFonts w:cs="Times New Roman" w:hint="default"/>
      </w:rPr>
    </w:lvl>
    <w:lvl w:ilvl="8">
      <w:start w:val="1"/>
      <w:numFmt w:val="lowerRoman"/>
      <w:lvlText w:val="%9."/>
      <w:lvlJc w:val="left"/>
      <w:pPr>
        <w:ind w:left="851" w:hanging="284"/>
      </w:pPr>
      <w:rPr>
        <w:rFonts w:cs="Times New Roman" w:hint="default"/>
      </w:rPr>
    </w:lvl>
  </w:abstractNum>
  <w:abstractNum w:abstractNumId="17" w15:restartNumberingAfterBreak="0">
    <w:nsid w:val="2CD1112B"/>
    <w:multiLevelType w:val="hybridMultilevel"/>
    <w:tmpl w:val="FD0C3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664AA"/>
    <w:multiLevelType w:val="hybridMultilevel"/>
    <w:tmpl w:val="37A0823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0F">
      <w:start w:val="1"/>
      <w:numFmt w:val="decimal"/>
      <w:lvlText w:val="%3."/>
      <w:lvlJc w:val="lef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15:restartNumberingAfterBreak="0">
    <w:nsid w:val="3B376BAC"/>
    <w:multiLevelType w:val="multilevel"/>
    <w:tmpl w:val="8B025EF2"/>
    <w:styleLink w:val="a2"/>
    <w:lvl w:ilvl="0">
      <w:start w:val="1"/>
      <w:numFmt w:val="decimal"/>
      <w:lvlText w:val="%1."/>
      <w:lvlJc w:val="left"/>
      <w:pPr>
        <w:tabs>
          <w:tab w:val="num" w:pos="851"/>
        </w:tabs>
        <w:ind w:firstLine="567"/>
      </w:pPr>
      <w:rPr>
        <w:rFonts w:ascii="Times New Roman" w:hAnsi="Times New Roman" w:cs="Times New Roman" w:hint="default"/>
        <w:b w:val="0"/>
        <w:i w:val="0"/>
        <w:sz w:val="28"/>
      </w:rPr>
    </w:lvl>
    <w:lvl w:ilvl="1">
      <w:start w:val="1"/>
      <w:numFmt w:val="decimal"/>
      <w:lvlText w:val="%2)"/>
      <w:lvlJc w:val="left"/>
      <w:pPr>
        <w:tabs>
          <w:tab w:val="num" w:pos="851"/>
        </w:tabs>
        <w:ind w:firstLine="567"/>
      </w:pPr>
      <w:rPr>
        <w:rFonts w:ascii="Times New Roman" w:hAnsi="Times New Roman" w:cs="Times New Roman" w:hint="default"/>
        <w:b w:val="0"/>
        <w:i w:val="0"/>
        <w:sz w:val="28"/>
      </w:rPr>
    </w:lvl>
    <w:lvl w:ilvl="2">
      <w:start w:val="1"/>
      <w:numFmt w:val="russianLower"/>
      <w:lvlText w:val="%3)"/>
      <w:lvlJc w:val="left"/>
      <w:pPr>
        <w:tabs>
          <w:tab w:val="num" w:pos="851"/>
        </w:tabs>
        <w:ind w:firstLine="567"/>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3C4E49CB"/>
    <w:multiLevelType w:val="hybridMultilevel"/>
    <w:tmpl w:val="FFFFFFFF"/>
    <w:styleLink w:val="40"/>
    <w:lvl w:ilvl="0" w:tplc="450EBDE6">
      <w:start w:val="1"/>
      <w:numFmt w:val="decimal"/>
      <w:lvlText w:val="%1)"/>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9E9C60EA">
      <w:start w:val="1"/>
      <w:numFmt w:val="lowerLetter"/>
      <w:lvlText w:val="%2."/>
      <w:lvlJc w:val="left"/>
      <w:pPr>
        <w:ind w:left="180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5C4A0470">
      <w:start w:val="1"/>
      <w:numFmt w:val="lowerRoman"/>
      <w:lvlText w:val="%3."/>
      <w:lvlJc w:val="left"/>
      <w:pPr>
        <w:ind w:left="2520" w:hanging="320"/>
      </w:pPr>
      <w:rPr>
        <w:rFonts w:hAnsi="Arial Unicode MS" w:cs="Times New Roman"/>
        <w:caps w:val="0"/>
        <w:smallCaps w:val="0"/>
        <w:strike w:val="0"/>
        <w:dstrike w:val="0"/>
        <w:outline w:val="0"/>
        <w:emboss w:val="0"/>
        <w:imprint w:val="0"/>
        <w:spacing w:val="0"/>
        <w:w w:val="100"/>
        <w:kern w:val="0"/>
        <w:position w:val="0"/>
        <w:vertAlign w:val="baseline"/>
      </w:rPr>
    </w:lvl>
    <w:lvl w:ilvl="3" w:tplc="9E28EEFA">
      <w:start w:val="1"/>
      <w:numFmt w:val="decimal"/>
      <w:lvlText w:val="%4."/>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6CFC8770">
      <w:start w:val="1"/>
      <w:numFmt w:val="lowerLetter"/>
      <w:lvlText w:val="%5."/>
      <w:lvlJc w:val="left"/>
      <w:pPr>
        <w:ind w:left="396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53A8D750">
      <w:start w:val="1"/>
      <w:numFmt w:val="lowerRoman"/>
      <w:lvlText w:val="%6."/>
      <w:lvlJc w:val="left"/>
      <w:pPr>
        <w:ind w:left="4680" w:hanging="320"/>
      </w:pPr>
      <w:rPr>
        <w:rFonts w:hAnsi="Arial Unicode MS" w:cs="Times New Roman"/>
        <w:caps w:val="0"/>
        <w:smallCaps w:val="0"/>
        <w:strike w:val="0"/>
        <w:dstrike w:val="0"/>
        <w:outline w:val="0"/>
        <w:emboss w:val="0"/>
        <w:imprint w:val="0"/>
        <w:spacing w:val="0"/>
        <w:w w:val="100"/>
        <w:kern w:val="0"/>
        <w:position w:val="0"/>
        <w:vertAlign w:val="baseline"/>
      </w:rPr>
    </w:lvl>
    <w:lvl w:ilvl="6" w:tplc="D1CAF21C">
      <w:start w:val="1"/>
      <w:numFmt w:val="decimal"/>
      <w:lvlText w:val="%7."/>
      <w:lvlJc w:val="left"/>
      <w:pPr>
        <w:ind w:left="540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DE1A27DE">
      <w:start w:val="1"/>
      <w:numFmt w:val="lowerLetter"/>
      <w:lvlText w:val="%8."/>
      <w:lvlJc w:val="left"/>
      <w:pPr>
        <w:ind w:left="612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F8047974">
      <w:start w:val="1"/>
      <w:numFmt w:val="lowerRoman"/>
      <w:lvlText w:val="%9."/>
      <w:lvlJc w:val="left"/>
      <w:pPr>
        <w:ind w:left="6840" w:hanging="32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21" w15:restartNumberingAfterBreak="0">
    <w:nsid w:val="3D2A3C3D"/>
    <w:multiLevelType w:val="hybridMultilevel"/>
    <w:tmpl w:val="5352D9AA"/>
    <w:lvl w:ilvl="0" w:tplc="9BE2A794">
      <w:start w:val="1"/>
      <w:numFmt w:val="decimal"/>
      <w:lvlText w:val="%1)"/>
      <w:lvlJc w:val="left"/>
      <w:pPr>
        <w:ind w:left="376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D8F4659"/>
    <w:multiLevelType w:val="multilevel"/>
    <w:tmpl w:val="F03CED3E"/>
    <w:lvl w:ilvl="0">
      <w:start w:val="5"/>
      <w:numFmt w:val="decimal"/>
      <w:lvlText w:val="%1)"/>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3DD5610D"/>
    <w:multiLevelType w:val="hybridMultilevel"/>
    <w:tmpl w:val="9404F5A6"/>
    <w:lvl w:ilvl="0" w:tplc="876E0970">
      <w:start w:val="1"/>
      <w:numFmt w:val="decimal"/>
      <w:lvlText w:val="%1)"/>
      <w:lvlJc w:val="left"/>
      <w:pPr>
        <w:ind w:left="643" w:hanging="360"/>
      </w:pPr>
      <w:rPr>
        <w:b w:val="0"/>
        <w:strike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15:restartNumberingAfterBreak="0">
    <w:nsid w:val="416800D9"/>
    <w:multiLevelType w:val="multilevel"/>
    <w:tmpl w:val="85AC80B6"/>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B17905"/>
    <w:multiLevelType w:val="multilevel"/>
    <w:tmpl w:val="0A9687FA"/>
    <w:styleLink w:val="1"/>
    <w:lvl w:ilvl="0">
      <w:start w:val="1"/>
      <w:numFmt w:val="decimal"/>
      <w:lvlText w:val="%1."/>
      <w:lvlJc w:val="left"/>
      <w:pPr>
        <w:tabs>
          <w:tab w:val="num" w:pos="851"/>
        </w:tabs>
        <w:ind w:firstLine="567"/>
      </w:pPr>
      <w:rPr>
        <w:rFonts w:cs="Times New Roman" w:hint="default"/>
        <w:sz w:val="28"/>
      </w:rPr>
    </w:lvl>
    <w:lvl w:ilvl="1">
      <w:start w:val="1"/>
      <w:numFmt w:val="decimal"/>
      <w:lvlText w:val="%2)"/>
      <w:lvlJc w:val="left"/>
      <w:pPr>
        <w:tabs>
          <w:tab w:val="num" w:pos="851"/>
        </w:tabs>
        <w:ind w:firstLine="851"/>
      </w:pPr>
      <w:rPr>
        <w:rFonts w:ascii="Times New Roman" w:hAnsi="Times New Roman" w:cs="Times New Roman" w:hint="default"/>
        <w:sz w:val="28"/>
      </w:rPr>
    </w:lvl>
    <w:lvl w:ilvl="2">
      <w:start w:val="1"/>
      <w:numFmt w:val="russianLower"/>
      <w:lvlText w:val="%3)"/>
      <w:lvlJc w:val="left"/>
      <w:pPr>
        <w:tabs>
          <w:tab w:val="num" w:pos="851"/>
        </w:tabs>
        <w:ind w:firstLine="567"/>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502569F6"/>
    <w:multiLevelType w:val="hybridMultilevel"/>
    <w:tmpl w:val="52D4DE1E"/>
    <w:lvl w:ilvl="0" w:tplc="04220011">
      <w:start w:val="1"/>
      <w:numFmt w:val="decimal"/>
      <w:lvlText w:val="%1)"/>
      <w:lvlJc w:val="left"/>
      <w:pPr>
        <w:ind w:left="1060" w:hanging="360"/>
      </w:pPr>
    </w:lvl>
    <w:lvl w:ilvl="1" w:tplc="04220011">
      <w:start w:val="1"/>
      <w:numFmt w:val="decimal"/>
      <w:lvlText w:val="%2)"/>
      <w:lvlJc w:val="left"/>
      <w:pPr>
        <w:ind w:left="1780" w:hanging="360"/>
      </w:pPr>
    </w:lvl>
    <w:lvl w:ilvl="2" w:tplc="E75665D6">
      <w:start w:val="1"/>
      <w:numFmt w:val="decimal"/>
      <w:lvlText w:val="%3."/>
      <w:lvlJc w:val="left"/>
      <w:pPr>
        <w:ind w:left="2177" w:firstLine="143"/>
      </w:pPr>
    </w:lvl>
    <w:lvl w:ilvl="3" w:tplc="0422000F">
      <w:start w:val="1"/>
      <w:numFmt w:val="decimal"/>
      <w:lvlText w:val="%4."/>
      <w:lvlJc w:val="left"/>
      <w:pPr>
        <w:ind w:left="3220" w:hanging="360"/>
      </w:pPr>
    </w:lvl>
    <w:lvl w:ilvl="4" w:tplc="04220019">
      <w:start w:val="1"/>
      <w:numFmt w:val="lowerLetter"/>
      <w:lvlText w:val="%5."/>
      <w:lvlJc w:val="left"/>
      <w:pPr>
        <w:ind w:left="3940" w:hanging="360"/>
      </w:pPr>
    </w:lvl>
    <w:lvl w:ilvl="5" w:tplc="0422001B">
      <w:start w:val="1"/>
      <w:numFmt w:val="lowerRoman"/>
      <w:lvlText w:val="%6."/>
      <w:lvlJc w:val="right"/>
      <w:pPr>
        <w:ind w:left="4660" w:hanging="180"/>
      </w:pPr>
    </w:lvl>
    <w:lvl w:ilvl="6" w:tplc="0422000F">
      <w:start w:val="1"/>
      <w:numFmt w:val="decimal"/>
      <w:lvlText w:val="%7."/>
      <w:lvlJc w:val="left"/>
      <w:pPr>
        <w:ind w:left="5380" w:hanging="360"/>
      </w:pPr>
    </w:lvl>
    <w:lvl w:ilvl="7" w:tplc="04220019">
      <w:start w:val="1"/>
      <w:numFmt w:val="lowerLetter"/>
      <w:lvlText w:val="%8."/>
      <w:lvlJc w:val="left"/>
      <w:pPr>
        <w:ind w:left="6100" w:hanging="360"/>
      </w:pPr>
    </w:lvl>
    <w:lvl w:ilvl="8" w:tplc="0422001B">
      <w:start w:val="1"/>
      <w:numFmt w:val="lowerRoman"/>
      <w:lvlText w:val="%9."/>
      <w:lvlJc w:val="right"/>
      <w:pPr>
        <w:ind w:left="6820" w:hanging="180"/>
      </w:pPr>
    </w:lvl>
  </w:abstractNum>
  <w:abstractNum w:abstractNumId="27" w15:restartNumberingAfterBreak="0">
    <w:nsid w:val="503F39D1"/>
    <w:multiLevelType w:val="hybridMultilevel"/>
    <w:tmpl w:val="FF502C3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D4CD4"/>
    <w:multiLevelType w:val="hybridMultilevel"/>
    <w:tmpl w:val="88AE0686"/>
    <w:lvl w:ilvl="0" w:tplc="0422000F">
      <w:start w:val="1"/>
      <w:numFmt w:val="decimal"/>
      <w:lvlText w:val="%1."/>
      <w:lvlJc w:val="left"/>
      <w:pPr>
        <w:ind w:left="947" w:hanging="360"/>
      </w:pPr>
    </w:lvl>
    <w:lvl w:ilvl="1" w:tplc="04220019">
      <w:start w:val="1"/>
      <w:numFmt w:val="lowerLetter"/>
      <w:lvlText w:val="%2."/>
      <w:lvlJc w:val="left"/>
      <w:pPr>
        <w:ind w:left="1667" w:hanging="360"/>
      </w:pPr>
    </w:lvl>
    <w:lvl w:ilvl="2" w:tplc="9E964CCA">
      <w:start w:val="1"/>
      <w:numFmt w:val="decimal"/>
      <w:lvlText w:val="%3."/>
      <w:lvlJc w:val="left"/>
      <w:pPr>
        <w:ind w:left="2387" w:hanging="180"/>
      </w:pPr>
      <w:rPr>
        <w:rFonts w:ascii="Times New Roman" w:hAnsi="Times New Roman" w:cs="Times New Roman" w:hint="default"/>
        <w:sz w:val="18"/>
        <w:szCs w:val="18"/>
      </w:rPr>
    </w:lvl>
    <w:lvl w:ilvl="3" w:tplc="0422000F">
      <w:start w:val="1"/>
      <w:numFmt w:val="decimal"/>
      <w:lvlText w:val="%4."/>
      <w:lvlJc w:val="left"/>
      <w:pPr>
        <w:ind w:left="3107" w:hanging="360"/>
      </w:pPr>
    </w:lvl>
    <w:lvl w:ilvl="4" w:tplc="04220019">
      <w:start w:val="1"/>
      <w:numFmt w:val="lowerLetter"/>
      <w:lvlText w:val="%5."/>
      <w:lvlJc w:val="left"/>
      <w:pPr>
        <w:ind w:left="3827" w:hanging="360"/>
      </w:pPr>
    </w:lvl>
    <w:lvl w:ilvl="5" w:tplc="0422001B">
      <w:start w:val="1"/>
      <w:numFmt w:val="lowerRoman"/>
      <w:lvlText w:val="%6."/>
      <w:lvlJc w:val="right"/>
      <w:pPr>
        <w:ind w:left="4547" w:hanging="180"/>
      </w:pPr>
    </w:lvl>
    <w:lvl w:ilvl="6" w:tplc="0422000F">
      <w:start w:val="1"/>
      <w:numFmt w:val="decimal"/>
      <w:lvlText w:val="%7."/>
      <w:lvlJc w:val="left"/>
      <w:pPr>
        <w:ind w:left="5267" w:hanging="360"/>
      </w:pPr>
    </w:lvl>
    <w:lvl w:ilvl="7" w:tplc="04220019">
      <w:start w:val="1"/>
      <w:numFmt w:val="lowerLetter"/>
      <w:lvlText w:val="%8."/>
      <w:lvlJc w:val="left"/>
      <w:pPr>
        <w:ind w:left="5987" w:hanging="360"/>
      </w:pPr>
    </w:lvl>
    <w:lvl w:ilvl="8" w:tplc="0422001B">
      <w:start w:val="1"/>
      <w:numFmt w:val="lowerRoman"/>
      <w:lvlText w:val="%9."/>
      <w:lvlJc w:val="right"/>
      <w:pPr>
        <w:ind w:left="6707" w:hanging="180"/>
      </w:pPr>
    </w:lvl>
  </w:abstractNum>
  <w:abstractNum w:abstractNumId="29" w15:restartNumberingAfterBreak="0">
    <w:nsid w:val="5C852438"/>
    <w:multiLevelType w:val="hybridMultilevel"/>
    <w:tmpl w:val="8618AD3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0" w15:restartNumberingAfterBreak="0">
    <w:nsid w:val="657E52FA"/>
    <w:multiLevelType w:val="multilevel"/>
    <w:tmpl w:val="1F14BDF4"/>
    <w:styleLink w:val="3"/>
    <w:lvl w:ilvl="0">
      <w:start w:val="1"/>
      <w:numFmt w:val="decimal"/>
      <w:lvlText w:val="%1)"/>
      <w:lvlJc w:val="left"/>
      <w:pPr>
        <w:tabs>
          <w:tab w:val="num" w:pos="851"/>
        </w:tabs>
      </w:pPr>
      <w:rPr>
        <w:rFonts w:ascii="Times New Roman" w:hAnsi="Times New Roman" w:cs="Times New Roman" w:hint="default"/>
        <w:b w:val="0"/>
        <w:i w:val="0"/>
        <w:sz w:val="28"/>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6BC000F7"/>
    <w:multiLevelType w:val="hybridMultilevel"/>
    <w:tmpl w:val="362812CA"/>
    <w:lvl w:ilvl="0" w:tplc="2390B62A">
      <w:start w:val="5"/>
      <w:numFmt w:val="decimal"/>
      <w:lvlText w:val="%1."/>
      <w:lvlJc w:val="left"/>
      <w:pPr>
        <w:ind w:left="720" w:hanging="360"/>
      </w:pPr>
      <w:rPr>
        <w:rFonts w:ascii="Times New Roman" w:hAnsi="Times New Roman" w:cs="Times New Roman" w:hint="default"/>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23D6CF4"/>
    <w:multiLevelType w:val="hybridMultilevel"/>
    <w:tmpl w:val="C4A20ACC"/>
    <w:lvl w:ilvl="0" w:tplc="54B07C0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73D218DF"/>
    <w:multiLevelType w:val="multilevel"/>
    <w:tmpl w:val="DA5ED270"/>
    <w:lvl w:ilvl="0">
      <w:start w:val="1"/>
      <w:numFmt w:val="decimal"/>
      <w:lvlText w:val="%1."/>
      <w:lvlJc w:val="left"/>
      <w:pPr>
        <w:tabs>
          <w:tab w:val="num" w:pos="1680"/>
        </w:tabs>
        <w:ind w:left="1680"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5917C8A"/>
    <w:multiLevelType w:val="hybridMultilevel"/>
    <w:tmpl w:val="37B2F522"/>
    <w:lvl w:ilvl="0" w:tplc="EF66CFC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5" w15:restartNumberingAfterBreak="0">
    <w:nsid w:val="7CEC3E24"/>
    <w:multiLevelType w:val="hybridMultilevel"/>
    <w:tmpl w:val="740EA710"/>
    <w:lvl w:ilvl="0" w:tplc="02BC5004">
      <w:start w:val="2"/>
      <w:numFmt w:val="decimal"/>
      <w:lvlText w:val="%1."/>
      <w:lvlJc w:val="left"/>
      <w:pPr>
        <w:ind w:left="1287"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D8C3D17"/>
    <w:multiLevelType w:val="multilevel"/>
    <w:tmpl w:val="BA54985A"/>
    <w:lvl w:ilvl="0">
      <w:start w:val="1"/>
      <w:numFmt w:val="decimal"/>
      <w:lvlText w:val="Стаття %1."/>
      <w:lvlJc w:val="left"/>
      <w:pPr>
        <w:tabs>
          <w:tab w:val="num" w:pos="2211"/>
        </w:tabs>
        <w:ind w:left="2211" w:hanging="1491"/>
      </w:pPr>
      <w:rPr>
        <w:b/>
        <w:bCs/>
        <w:i w:val="0"/>
        <w:iCs w:val="0"/>
        <w:kern w:val="0"/>
        <w:sz w:val="28"/>
        <w:szCs w:val="28"/>
      </w:rPr>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5"/>
  </w:num>
  <w:num w:numId="8">
    <w:abstractNumId w:val="19"/>
  </w:num>
  <w:num w:numId="9">
    <w:abstractNumId w:val="12"/>
  </w:num>
  <w:num w:numId="10">
    <w:abstractNumId w:val="11"/>
  </w:num>
  <w:num w:numId="11">
    <w:abstractNumId w:val="30"/>
  </w:num>
  <w:num w:numId="12">
    <w:abstractNumId w:val="16"/>
  </w:num>
  <w:num w:numId="13">
    <w:abstractNumId w:val="20"/>
  </w:num>
  <w:num w:numId="14">
    <w:abstractNumId w:val="6"/>
  </w:num>
  <w:num w:numId="15">
    <w:abstractNumId w:val="10"/>
  </w:num>
  <w:num w:numId="16">
    <w:abstractNumId w:val="21"/>
  </w:num>
  <w:num w:numId="17">
    <w:abstractNumId w:val="27"/>
  </w:num>
  <w:num w:numId="18">
    <w:abstractNumId w:val="34"/>
  </w:num>
  <w:num w:numId="19">
    <w:abstractNumId w:val="17"/>
  </w:num>
  <w:num w:numId="20">
    <w:abstractNumId w:val="14"/>
  </w:num>
  <w:num w:numId="21">
    <w:abstractNumId w:val="13"/>
  </w:num>
  <w:num w:numId="22">
    <w:abstractNumId w:val="15"/>
  </w:num>
  <w:num w:numId="23">
    <w:abstractNumId w:val="29"/>
  </w:num>
  <w:num w:numId="24">
    <w:abstractNumId w:val="9"/>
  </w:num>
  <w:num w:numId="25">
    <w:abstractNumId w:val="31"/>
  </w:num>
  <w:num w:numId="26">
    <w:abstractNumId w:val="23"/>
  </w:num>
  <w:num w:numId="27">
    <w:abstractNumId w:val="2"/>
  </w:num>
  <w:num w:numId="28">
    <w:abstractNumId w:val="4"/>
  </w:num>
  <w:num w:numId="29">
    <w:abstractNumId w:val="35"/>
  </w:num>
  <w:num w:numId="30">
    <w:abstractNumId w:val="32"/>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9B6"/>
    <w:rsid w:val="00000E8B"/>
    <w:rsid w:val="00000F2A"/>
    <w:rsid w:val="00001ED5"/>
    <w:rsid w:val="0000291B"/>
    <w:rsid w:val="000038B8"/>
    <w:rsid w:val="000044E5"/>
    <w:rsid w:val="000046C0"/>
    <w:rsid w:val="00004B73"/>
    <w:rsid w:val="00004F06"/>
    <w:rsid w:val="000057AC"/>
    <w:rsid w:val="00006C89"/>
    <w:rsid w:val="00006F30"/>
    <w:rsid w:val="00007337"/>
    <w:rsid w:val="0000795D"/>
    <w:rsid w:val="0001102E"/>
    <w:rsid w:val="0001165F"/>
    <w:rsid w:val="00011958"/>
    <w:rsid w:val="00012A99"/>
    <w:rsid w:val="00013450"/>
    <w:rsid w:val="000136CD"/>
    <w:rsid w:val="00014307"/>
    <w:rsid w:val="0001538E"/>
    <w:rsid w:val="00015405"/>
    <w:rsid w:val="0001544E"/>
    <w:rsid w:val="00015902"/>
    <w:rsid w:val="00015A89"/>
    <w:rsid w:val="00017313"/>
    <w:rsid w:val="000179C6"/>
    <w:rsid w:val="00017D0E"/>
    <w:rsid w:val="00021BC5"/>
    <w:rsid w:val="00022D7E"/>
    <w:rsid w:val="00023028"/>
    <w:rsid w:val="0002354B"/>
    <w:rsid w:val="0002435D"/>
    <w:rsid w:val="000249B9"/>
    <w:rsid w:val="00024B20"/>
    <w:rsid w:val="00025610"/>
    <w:rsid w:val="0002602E"/>
    <w:rsid w:val="00026118"/>
    <w:rsid w:val="000268D9"/>
    <w:rsid w:val="00026B2A"/>
    <w:rsid w:val="00027274"/>
    <w:rsid w:val="000272BD"/>
    <w:rsid w:val="00027C8F"/>
    <w:rsid w:val="000302C2"/>
    <w:rsid w:val="00031068"/>
    <w:rsid w:val="00031D0A"/>
    <w:rsid w:val="00031D7D"/>
    <w:rsid w:val="00031DF2"/>
    <w:rsid w:val="00033172"/>
    <w:rsid w:val="000336AA"/>
    <w:rsid w:val="00033A0C"/>
    <w:rsid w:val="000345C2"/>
    <w:rsid w:val="00034757"/>
    <w:rsid w:val="00035C8D"/>
    <w:rsid w:val="00036E9D"/>
    <w:rsid w:val="000376E2"/>
    <w:rsid w:val="000379EB"/>
    <w:rsid w:val="0004077E"/>
    <w:rsid w:val="0004086A"/>
    <w:rsid w:val="00040DF8"/>
    <w:rsid w:val="000415A3"/>
    <w:rsid w:val="00041EE3"/>
    <w:rsid w:val="00041F4F"/>
    <w:rsid w:val="00042D0C"/>
    <w:rsid w:val="00042E0A"/>
    <w:rsid w:val="00042FAE"/>
    <w:rsid w:val="00043793"/>
    <w:rsid w:val="00043857"/>
    <w:rsid w:val="00044A9C"/>
    <w:rsid w:val="00045249"/>
    <w:rsid w:val="000467F1"/>
    <w:rsid w:val="00047702"/>
    <w:rsid w:val="00047877"/>
    <w:rsid w:val="00050253"/>
    <w:rsid w:val="00050781"/>
    <w:rsid w:val="00050C5B"/>
    <w:rsid w:val="00051829"/>
    <w:rsid w:val="00052C4D"/>
    <w:rsid w:val="00052E92"/>
    <w:rsid w:val="000559F7"/>
    <w:rsid w:val="00055A45"/>
    <w:rsid w:val="000562A5"/>
    <w:rsid w:val="0006338D"/>
    <w:rsid w:val="00063F69"/>
    <w:rsid w:val="0006732B"/>
    <w:rsid w:val="000674BD"/>
    <w:rsid w:val="000700C7"/>
    <w:rsid w:val="000704DB"/>
    <w:rsid w:val="00070DBA"/>
    <w:rsid w:val="0007119B"/>
    <w:rsid w:val="00071977"/>
    <w:rsid w:val="0007208C"/>
    <w:rsid w:val="000735E8"/>
    <w:rsid w:val="000738BF"/>
    <w:rsid w:val="00074E44"/>
    <w:rsid w:val="00076203"/>
    <w:rsid w:val="00076319"/>
    <w:rsid w:val="0007763E"/>
    <w:rsid w:val="0008011B"/>
    <w:rsid w:val="00080A5C"/>
    <w:rsid w:val="000810F4"/>
    <w:rsid w:val="00081B91"/>
    <w:rsid w:val="000821BA"/>
    <w:rsid w:val="00082498"/>
    <w:rsid w:val="0008351C"/>
    <w:rsid w:val="00083C26"/>
    <w:rsid w:val="00083C93"/>
    <w:rsid w:val="00084D0C"/>
    <w:rsid w:val="00085A49"/>
    <w:rsid w:val="00085C0A"/>
    <w:rsid w:val="0008630E"/>
    <w:rsid w:val="00087407"/>
    <w:rsid w:val="000876BF"/>
    <w:rsid w:val="00087CA4"/>
    <w:rsid w:val="0009004B"/>
    <w:rsid w:val="00090C02"/>
    <w:rsid w:val="000910B0"/>
    <w:rsid w:val="000912B2"/>
    <w:rsid w:val="00091986"/>
    <w:rsid w:val="00091AA5"/>
    <w:rsid w:val="0009311B"/>
    <w:rsid w:val="0009323D"/>
    <w:rsid w:val="00093DD8"/>
    <w:rsid w:val="00093EFF"/>
    <w:rsid w:val="00094B0D"/>
    <w:rsid w:val="0009508A"/>
    <w:rsid w:val="0009531C"/>
    <w:rsid w:val="000953DE"/>
    <w:rsid w:val="00096004"/>
    <w:rsid w:val="000A0DDC"/>
    <w:rsid w:val="000A0EC4"/>
    <w:rsid w:val="000A0FC6"/>
    <w:rsid w:val="000A181F"/>
    <w:rsid w:val="000A1C23"/>
    <w:rsid w:val="000A2265"/>
    <w:rsid w:val="000A265F"/>
    <w:rsid w:val="000A3480"/>
    <w:rsid w:val="000A3F68"/>
    <w:rsid w:val="000A440F"/>
    <w:rsid w:val="000A51B2"/>
    <w:rsid w:val="000A5A00"/>
    <w:rsid w:val="000A7F8D"/>
    <w:rsid w:val="000B0825"/>
    <w:rsid w:val="000B16A8"/>
    <w:rsid w:val="000B1932"/>
    <w:rsid w:val="000B1E08"/>
    <w:rsid w:val="000B35BE"/>
    <w:rsid w:val="000B3A08"/>
    <w:rsid w:val="000B4365"/>
    <w:rsid w:val="000B6638"/>
    <w:rsid w:val="000B6B7E"/>
    <w:rsid w:val="000B7F5A"/>
    <w:rsid w:val="000C0AC2"/>
    <w:rsid w:val="000C0CE0"/>
    <w:rsid w:val="000C1616"/>
    <w:rsid w:val="000C17B5"/>
    <w:rsid w:val="000C1B55"/>
    <w:rsid w:val="000C3463"/>
    <w:rsid w:val="000C3A0C"/>
    <w:rsid w:val="000C5F92"/>
    <w:rsid w:val="000C6333"/>
    <w:rsid w:val="000C6E23"/>
    <w:rsid w:val="000D0075"/>
    <w:rsid w:val="000D060D"/>
    <w:rsid w:val="000D0748"/>
    <w:rsid w:val="000D091B"/>
    <w:rsid w:val="000D0DD2"/>
    <w:rsid w:val="000D18FB"/>
    <w:rsid w:val="000D52AA"/>
    <w:rsid w:val="000D67B8"/>
    <w:rsid w:val="000D6BB1"/>
    <w:rsid w:val="000D7E99"/>
    <w:rsid w:val="000E0655"/>
    <w:rsid w:val="000E0835"/>
    <w:rsid w:val="000E0ED1"/>
    <w:rsid w:val="000E2951"/>
    <w:rsid w:val="000E32B9"/>
    <w:rsid w:val="000E35FA"/>
    <w:rsid w:val="000E437E"/>
    <w:rsid w:val="000E44DB"/>
    <w:rsid w:val="000E52CE"/>
    <w:rsid w:val="000E537E"/>
    <w:rsid w:val="000E598C"/>
    <w:rsid w:val="000E5E4C"/>
    <w:rsid w:val="000E63E5"/>
    <w:rsid w:val="000E66E3"/>
    <w:rsid w:val="000E6F18"/>
    <w:rsid w:val="000F0470"/>
    <w:rsid w:val="000F0497"/>
    <w:rsid w:val="000F0D3C"/>
    <w:rsid w:val="000F1891"/>
    <w:rsid w:val="000F2B13"/>
    <w:rsid w:val="000F3D9A"/>
    <w:rsid w:val="000F438D"/>
    <w:rsid w:val="000F539C"/>
    <w:rsid w:val="000F57FF"/>
    <w:rsid w:val="000F64A6"/>
    <w:rsid w:val="000F6710"/>
    <w:rsid w:val="000F6FA5"/>
    <w:rsid w:val="000F73AD"/>
    <w:rsid w:val="000F7517"/>
    <w:rsid w:val="0010099B"/>
    <w:rsid w:val="00100ED9"/>
    <w:rsid w:val="0010124D"/>
    <w:rsid w:val="00103224"/>
    <w:rsid w:val="0010327F"/>
    <w:rsid w:val="00103E6D"/>
    <w:rsid w:val="0010456D"/>
    <w:rsid w:val="0010467F"/>
    <w:rsid w:val="00105259"/>
    <w:rsid w:val="001059CA"/>
    <w:rsid w:val="00105B15"/>
    <w:rsid w:val="00106249"/>
    <w:rsid w:val="00107146"/>
    <w:rsid w:val="00107AA6"/>
    <w:rsid w:val="00107BC6"/>
    <w:rsid w:val="00110225"/>
    <w:rsid w:val="00110EA2"/>
    <w:rsid w:val="0011213D"/>
    <w:rsid w:val="001121ED"/>
    <w:rsid w:val="001126D5"/>
    <w:rsid w:val="00112BE8"/>
    <w:rsid w:val="00112D04"/>
    <w:rsid w:val="0011322D"/>
    <w:rsid w:val="0011330D"/>
    <w:rsid w:val="001141BB"/>
    <w:rsid w:val="001141F4"/>
    <w:rsid w:val="00114AD5"/>
    <w:rsid w:val="00115093"/>
    <w:rsid w:val="00116021"/>
    <w:rsid w:val="001168C7"/>
    <w:rsid w:val="001179CA"/>
    <w:rsid w:val="00120E3D"/>
    <w:rsid w:val="001212E4"/>
    <w:rsid w:val="0012150E"/>
    <w:rsid w:val="00121A8B"/>
    <w:rsid w:val="00122036"/>
    <w:rsid w:val="00123BEF"/>
    <w:rsid w:val="00124981"/>
    <w:rsid w:val="001251F7"/>
    <w:rsid w:val="001256AB"/>
    <w:rsid w:val="001258D0"/>
    <w:rsid w:val="00125E62"/>
    <w:rsid w:val="001269B7"/>
    <w:rsid w:val="00127FA9"/>
    <w:rsid w:val="0013052A"/>
    <w:rsid w:val="00130D3B"/>
    <w:rsid w:val="0013130C"/>
    <w:rsid w:val="00131493"/>
    <w:rsid w:val="00131724"/>
    <w:rsid w:val="00131913"/>
    <w:rsid w:val="00131EE1"/>
    <w:rsid w:val="0013270B"/>
    <w:rsid w:val="0013319A"/>
    <w:rsid w:val="001333C8"/>
    <w:rsid w:val="00134570"/>
    <w:rsid w:val="001366BD"/>
    <w:rsid w:val="001370FF"/>
    <w:rsid w:val="0014073A"/>
    <w:rsid w:val="00140F6E"/>
    <w:rsid w:val="00142E3E"/>
    <w:rsid w:val="00143293"/>
    <w:rsid w:val="00144D56"/>
    <w:rsid w:val="0014516A"/>
    <w:rsid w:val="001474EF"/>
    <w:rsid w:val="0014770E"/>
    <w:rsid w:val="001479B6"/>
    <w:rsid w:val="00150B05"/>
    <w:rsid w:val="00150CB1"/>
    <w:rsid w:val="001518A5"/>
    <w:rsid w:val="00151BF9"/>
    <w:rsid w:val="00152098"/>
    <w:rsid w:val="0015240D"/>
    <w:rsid w:val="001535C1"/>
    <w:rsid w:val="00154FA2"/>
    <w:rsid w:val="00155A35"/>
    <w:rsid w:val="00156532"/>
    <w:rsid w:val="00156F98"/>
    <w:rsid w:val="001578E7"/>
    <w:rsid w:val="00160054"/>
    <w:rsid w:val="0016028E"/>
    <w:rsid w:val="001604EC"/>
    <w:rsid w:val="0016108C"/>
    <w:rsid w:val="001618FA"/>
    <w:rsid w:val="00161F63"/>
    <w:rsid w:val="001622A0"/>
    <w:rsid w:val="00164B94"/>
    <w:rsid w:val="00165398"/>
    <w:rsid w:val="001654AD"/>
    <w:rsid w:val="001664E2"/>
    <w:rsid w:val="00167173"/>
    <w:rsid w:val="00167E62"/>
    <w:rsid w:val="001708DE"/>
    <w:rsid w:val="0017131B"/>
    <w:rsid w:val="00171C63"/>
    <w:rsid w:val="00172EE6"/>
    <w:rsid w:val="00173130"/>
    <w:rsid w:val="0017392F"/>
    <w:rsid w:val="00173EC1"/>
    <w:rsid w:val="00174345"/>
    <w:rsid w:val="001749F0"/>
    <w:rsid w:val="00174A76"/>
    <w:rsid w:val="00174AA1"/>
    <w:rsid w:val="00174AB4"/>
    <w:rsid w:val="001760BD"/>
    <w:rsid w:val="00176751"/>
    <w:rsid w:val="00176D69"/>
    <w:rsid w:val="00176E75"/>
    <w:rsid w:val="00177370"/>
    <w:rsid w:val="00180292"/>
    <w:rsid w:val="00180985"/>
    <w:rsid w:val="00180AA0"/>
    <w:rsid w:val="0018142E"/>
    <w:rsid w:val="001823AF"/>
    <w:rsid w:val="00182869"/>
    <w:rsid w:val="00182CE1"/>
    <w:rsid w:val="0018419B"/>
    <w:rsid w:val="0018573D"/>
    <w:rsid w:val="00185851"/>
    <w:rsid w:val="00186197"/>
    <w:rsid w:val="001864AA"/>
    <w:rsid w:val="0018672F"/>
    <w:rsid w:val="00186882"/>
    <w:rsid w:val="00186F8B"/>
    <w:rsid w:val="001872CA"/>
    <w:rsid w:val="0018772F"/>
    <w:rsid w:val="00187B57"/>
    <w:rsid w:val="00190D9D"/>
    <w:rsid w:val="001912AF"/>
    <w:rsid w:val="00192821"/>
    <w:rsid w:val="00192EA4"/>
    <w:rsid w:val="001934CD"/>
    <w:rsid w:val="00193F9E"/>
    <w:rsid w:val="00194190"/>
    <w:rsid w:val="00194807"/>
    <w:rsid w:val="00194D63"/>
    <w:rsid w:val="001956D5"/>
    <w:rsid w:val="00196399"/>
    <w:rsid w:val="00197535"/>
    <w:rsid w:val="00197DD0"/>
    <w:rsid w:val="001A002C"/>
    <w:rsid w:val="001A1F09"/>
    <w:rsid w:val="001A2BD7"/>
    <w:rsid w:val="001A368B"/>
    <w:rsid w:val="001A416C"/>
    <w:rsid w:val="001A43DF"/>
    <w:rsid w:val="001A4AEC"/>
    <w:rsid w:val="001A4EC8"/>
    <w:rsid w:val="001A4FA5"/>
    <w:rsid w:val="001A5371"/>
    <w:rsid w:val="001A7170"/>
    <w:rsid w:val="001A7537"/>
    <w:rsid w:val="001A75A4"/>
    <w:rsid w:val="001B140B"/>
    <w:rsid w:val="001B1505"/>
    <w:rsid w:val="001B2731"/>
    <w:rsid w:val="001B286A"/>
    <w:rsid w:val="001B3E2A"/>
    <w:rsid w:val="001B5778"/>
    <w:rsid w:val="001B5E5A"/>
    <w:rsid w:val="001B625C"/>
    <w:rsid w:val="001B6ACE"/>
    <w:rsid w:val="001B6C62"/>
    <w:rsid w:val="001B6FD1"/>
    <w:rsid w:val="001B7308"/>
    <w:rsid w:val="001B7407"/>
    <w:rsid w:val="001B7DB7"/>
    <w:rsid w:val="001C00E2"/>
    <w:rsid w:val="001C0DC8"/>
    <w:rsid w:val="001C1530"/>
    <w:rsid w:val="001C2069"/>
    <w:rsid w:val="001C21AF"/>
    <w:rsid w:val="001C22D7"/>
    <w:rsid w:val="001C29C7"/>
    <w:rsid w:val="001C333D"/>
    <w:rsid w:val="001C3DEF"/>
    <w:rsid w:val="001C43D7"/>
    <w:rsid w:val="001C5340"/>
    <w:rsid w:val="001C540E"/>
    <w:rsid w:val="001C5569"/>
    <w:rsid w:val="001C558C"/>
    <w:rsid w:val="001C59AC"/>
    <w:rsid w:val="001D02B1"/>
    <w:rsid w:val="001D09C7"/>
    <w:rsid w:val="001D0B3F"/>
    <w:rsid w:val="001D0FD1"/>
    <w:rsid w:val="001D1245"/>
    <w:rsid w:val="001D19D6"/>
    <w:rsid w:val="001D20F7"/>
    <w:rsid w:val="001D2C74"/>
    <w:rsid w:val="001D2DC9"/>
    <w:rsid w:val="001D3C85"/>
    <w:rsid w:val="001D40CA"/>
    <w:rsid w:val="001D4251"/>
    <w:rsid w:val="001D596B"/>
    <w:rsid w:val="001D5FA7"/>
    <w:rsid w:val="001D684D"/>
    <w:rsid w:val="001D6D99"/>
    <w:rsid w:val="001D7D6D"/>
    <w:rsid w:val="001E044D"/>
    <w:rsid w:val="001E0598"/>
    <w:rsid w:val="001E0D36"/>
    <w:rsid w:val="001E0EB4"/>
    <w:rsid w:val="001E1081"/>
    <w:rsid w:val="001E16C7"/>
    <w:rsid w:val="001E1C99"/>
    <w:rsid w:val="001E2CE4"/>
    <w:rsid w:val="001E2EEF"/>
    <w:rsid w:val="001E3226"/>
    <w:rsid w:val="001E47BA"/>
    <w:rsid w:val="001E59DF"/>
    <w:rsid w:val="001E6827"/>
    <w:rsid w:val="001E6E6C"/>
    <w:rsid w:val="001E706E"/>
    <w:rsid w:val="001E797D"/>
    <w:rsid w:val="001E79B0"/>
    <w:rsid w:val="001F01AF"/>
    <w:rsid w:val="001F0FC5"/>
    <w:rsid w:val="001F147C"/>
    <w:rsid w:val="001F1E23"/>
    <w:rsid w:val="001F2463"/>
    <w:rsid w:val="001F5560"/>
    <w:rsid w:val="0020160D"/>
    <w:rsid w:val="002016A3"/>
    <w:rsid w:val="00201BC5"/>
    <w:rsid w:val="002034A9"/>
    <w:rsid w:val="00205380"/>
    <w:rsid w:val="00205D84"/>
    <w:rsid w:val="002074E3"/>
    <w:rsid w:val="002075F1"/>
    <w:rsid w:val="0021130F"/>
    <w:rsid w:val="002113D4"/>
    <w:rsid w:val="002114CC"/>
    <w:rsid w:val="00211888"/>
    <w:rsid w:val="00212699"/>
    <w:rsid w:val="002130B1"/>
    <w:rsid w:val="00213134"/>
    <w:rsid w:val="00213F3E"/>
    <w:rsid w:val="00214D6E"/>
    <w:rsid w:val="0021572B"/>
    <w:rsid w:val="002157A3"/>
    <w:rsid w:val="00215AD6"/>
    <w:rsid w:val="00216A1F"/>
    <w:rsid w:val="0022077C"/>
    <w:rsid w:val="00221A8F"/>
    <w:rsid w:val="0022234A"/>
    <w:rsid w:val="00222BC4"/>
    <w:rsid w:val="00223C91"/>
    <w:rsid w:val="002252DF"/>
    <w:rsid w:val="002253C2"/>
    <w:rsid w:val="0023005F"/>
    <w:rsid w:val="002301EE"/>
    <w:rsid w:val="0023119B"/>
    <w:rsid w:val="002321BA"/>
    <w:rsid w:val="00232BED"/>
    <w:rsid w:val="00233794"/>
    <w:rsid w:val="00233E81"/>
    <w:rsid w:val="00236A0D"/>
    <w:rsid w:val="00236C20"/>
    <w:rsid w:val="0023704C"/>
    <w:rsid w:val="00237434"/>
    <w:rsid w:val="00237AE6"/>
    <w:rsid w:val="00237C02"/>
    <w:rsid w:val="00237E7A"/>
    <w:rsid w:val="00244313"/>
    <w:rsid w:val="00245906"/>
    <w:rsid w:val="00246309"/>
    <w:rsid w:val="00246C03"/>
    <w:rsid w:val="00246D73"/>
    <w:rsid w:val="00247A0D"/>
    <w:rsid w:val="00247AFF"/>
    <w:rsid w:val="00251D0F"/>
    <w:rsid w:val="0025403E"/>
    <w:rsid w:val="0025498D"/>
    <w:rsid w:val="00254F0B"/>
    <w:rsid w:val="0025630B"/>
    <w:rsid w:val="0025719F"/>
    <w:rsid w:val="002579A3"/>
    <w:rsid w:val="00257A67"/>
    <w:rsid w:val="00257DCA"/>
    <w:rsid w:val="00260421"/>
    <w:rsid w:val="0026049E"/>
    <w:rsid w:val="0026095E"/>
    <w:rsid w:val="002619D4"/>
    <w:rsid w:val="00261CF8"/>
    <w:rsid w:val="00262592"/>
    <w:rsid w:val="002638CE"/>
    <w:rsid w:val="002641E0"/>
    <w:rsid w:val="00264FA8"/>
    <w:rsid w:val="00265AAA"/>
    <w:rsid w:val="00265AC1"/>
    <w:rsid w:val="00266C7C"/>
    <w:rsid w:val="00267053"/>
    <w:rsid w:val="002700A1"/>
    <w:rsid w:val="00270EB3"/>
    <w:rsid w:val="002715B9"/>
    <w:rsid w:val="00271F20"/>
    <w:rsid w:val="00272DC9"/>
    <w:rsid w:val="00273EA3"/>
    <w:rsid w:val="00275276"/>
    <w:rsid w:val="002757ED"/>
    <w:rsid w:val="00275AAE"/>
    <w:rsid w:val="002774A2"/>
    <w:rsid w:val="00277545"/>
    <w:rsid w:val="002801E8"/>
    <w:rsid w:val="002806D4"/>
    <w:rsid w:val="0028155C"/>
    <w:rsid w:val="00281F3C"/>
    <w:rsid w:val="00282D65"/>
    <w:rsid w:val="0028317E"/>
    <w:rsid w:val="00286216"/>
    <w:rsid w:val="0028662E"/>
    <w:rsid w:val="00287B6E"/>
    <w:rsid w:val="00291EAB"/>
    <w:rsid w:val="00292658"/>
    <w:rsid w:val="002958A8"/>
    <w:rsid w:val="00295D54"/>
    <w:rsid w:val="00295F95"/>
    <w:rsid w:val="00296E73"/>
    <w:rsid w:val="002A1CEB"/>
    <w:rsid w:val="002A2F4F"/>
    <w:rsid w:val="002A4711"/>
    <w:rsid w:val="002A4B66"/>
    <w:rsid w:val="002A7752"/>
    <w:rsid w:val="002A7BC1"/>
    <w:rsid w:val="002B013D"/>
    <w:rsid w:val="002B0F50"/>
    <w:rsid w:val="002B1F56"/>
    <w:rsid w:val="002B4013"/>
    <w:rsid w:val="002B4C4F"/>
    <w:rsid w:val="002B546B"/>
    <w:rsid w:val="002B6E82"/>
    <w:rsid w:val="002B7542"/>
    <w:rsid w:val="002B796F"/>
    <w:rsid w:val="002C031A"/>
    <w:rsid w:val="002C09CF"/>
    <w:rsid w:val="002C2396"/>
    <w:rsid w:val="002C2FDD"/>
    <w:rsid w:val="002C32ED"/>
    <w:rsid w:val="002C3FB8"/>
    <w:rsid w:val="002C4128"/>
    <w:rsid w:val="002C448D"/>
    <w:rsid w:val="002C49AA"/>
    <w:rsid w:val="002C5554"/>
    <w:rsid w:val="002C67F5"/>
    <w:rsid w:val="002C738B"/>
    <w:rsid w:val="002D0611"/>
    <w:rsid w:val="002D0E37"/>
    <w:rsid w:val="002D216B"/>
    <w:rsid w:val="002D2506"/>
    <w:rsid w:val="002D278F"/>
    <w:rsid w:val="002D299C"/>
    <w:rsid w:val="002D30F4"/>
    <w:rsid w:val="002D3486"/>
    <w:rsid w:val="002D369A"/>
    <w:rsid w:val="002D39AC"/>
    <w:rsid w:val="002D418B"/>
    <w:rsid w:val="002D55B0"/>
    <w:rsid w:val="002D7341"/>
    <w:rsid w:val="002D759C"/>
    <w:rsid w:val="002D7B93"/>
    <w:rsid w:val="002E0039"/>
    <w:rsid w:val="002E0FD4"/>
    <w:rsid w:val="002E2A0A"/>
    <w:rsid w:val="002E2F8F"/>
    <w:rsid w:val="002E570A"/>
    <w:rsid w:val="002E66E0"/>
    <w:rsid w:val="002E6762"/>
    <w:rsid w:val="002E688C"/>
    <w:rsid w:val="002E6C52"/>
    <w:rsid w:val="002E6FBC"/>
    <w:rsid w:val="002E7700"/>
    <w:rsid w:val="002E791F"/>
    <w:rsid w:val="002E79D6"/>
    <w:rsid w:val="002F009F"/>
    <w:rsid w:val="002F00F3"/>
    <w:rsid w:val="002F0704"/>
    <w:rsid w:val="002F0AC3"/>
    <w:rsid w:val="002F0BDF"/>
    <w:rsid w:val="002F0FBF"/>
    <w:rsid w:val="002F1758"/>
    <w:rsid w:val="002F2959"/>
    <w:rsid w:val="002F2DBF"/>
    <w:rsid w:val="002F387D"/>
    <w:rsid w:val="002F3A34"/>
    <w:rsid w:val="002F3E25"/>
    <w:rsid w:val="002F3EE2"/>
    <w:rsid w:val="002F4E06"/>
    <w:rsid w:val="002F500C"/>
    <w:rsid w:val="002F70DA"/>
    <w:rsid w:val="002F770C"/>
    <w:rsid w:val="002F7CDF"/>
    <w:rsid w:val="00300127"/>
    <w:rsid w:val="00301631"/>
    <w:rsid w:val="00301933"/>
    <w:rsid w:val="0030279E"/>
    <w:rsid w:val="00302EC9"/>
    <w:rsid w:val="003054A2"/>
    <w:rsid w:val="00305DB1"/>
    <w:rsid w:val="00306038"/>
    <w:rsid w:val="003063CD"/>
    <w:rsid w:val="003063F8"/>
    <w:rsid w:val="0030714D"/>
    <w:rsid w:val="00307E76"/>
    <w:rsid w:val="00307EA7"/>
    <w:rsid w:val="00310042"/>
    <w:rsid w:val="00310EE7"/>
    <w:rsid w:val="003111A9"/>
    <w:rsid w:val="00311938"/>
    <w:rsid w:val="0031218C"/>
    <w:rsid w:val="003128B5"/>
    <w:rsid w:val="00313C47"/>
    <w:rsid w:val="00314F2D"/>
    <w:rsid w:val="00315028"/>
    <w:rsid w:val="0031576A"/>
    <w:rsid w:val="00315D1B"/>
    <w:rsid w:val="003162D0"/>
    <w:rsid w:val="003203FA"/>
    <w:rsid w:val="003207C1"/>
    <w:rsid w:val="00320968"/>
    <w:rsid w:val="003209B5"/>
    <w:rsid w:val="00321E07"/>
    <w:rsid w:val="003220E5"/>
    <w:rsid w:val="00322394"/>
    <w:rsid w:val="00323651"/>
    <w:rsid w:val="003239F6"/>
    <w:rsid w:val="00324050"/>
    <w:rsid w:val="00326DED"/>
    <w:rsid w:val="0032733F"/>
    <w:rsid w:val="0032788A"/>
    <w:rsid w:val="00327F70"/>
    <w:rsid w:val="0033129D"/>
    <w:rsid w:val="00331878"/>
    <w:rsid w:val="003318D3"/>
    <w:rsid w:val="00331AB6"/>
    <w:rsid w:val="003320AE"/>
    <w:rsid w:val="00332359"/>
    <w:rsid w:val="0033253E"/>
    <w:rsid w:val="00332A61"/>
    <w:rsid w:val="00332D56"/>
    <w:rsid w:val="00332D7E"/>
    <w:rsid w:val="00332F34"/>
    <w:rsid w:val="003337D1"/>
    <w:rsid w:val="003339AD"/>
    <w:rsid w:val="00334018"/>
    <w:rsid w:val="00334091"/>
    <w:rsid w:val="00336233"/>
    <w:rsid w:val="00336D72"/>
    <w:rsid w:val="00337751"/>
    <w:rsid w:val="00337E6C"/>
    <w:rsid w:val="00340658"/>
    <w:rsid w:val="00341D93"/>
    <w:rsid w:val="00342C80"/>
    <w:rsid w:val="0034379B"/>
    <w:rsid w:val="00343A81"/>
    <w:rsid w:val="00343B7D"/>
    <w:rsid w:val="00343D62"/>
    <w:rsid w:val="00344C82"/>
    <w:rsid w:val="003452D4"/>
    <w:rsid w:val="0034649C"/>
    <w:rsid w:val="0034726C"/>
    <w:rsid w:val="0034740D"/>
    <w:rsid w:val="00347A5D"/>
    <w:rsid w:val="00347DF6"/>
    <w:rsid w:val="00347E72"/>
    <w:rsid w:val="00347FAF"/>
    <w:rsid w:val="00350673"/>
    <w:rsid w:val="003508C2"/>
    <w:rsid w:val="00350A4B"/>
    <w:rsid w:val="00350EFC"/>
    <w:rsid w:val="00350FB3"/>
    <w:rsid w:val="00352899"/>
    <w:rsid w:val="00352F6B"/>
    <w:rsid w:val="003544E0"/>
    <w:rsid w:val="00354E49"/>
    <w:rsid w:val="003554AC"/>
    <w:rsid w:val="003556A5"/>
    <w:rsid w:val="00357C83"/>
    <w:rsid w:val="00357D2B"/>
    <w:rsid w:val="003600A6"/>
    <w:rsid w:val="003609BC"/>
    <w:rsid w:val="00362670"/>
    <w:rsid w:val="00365619"/>
    <w:rsid w:val="0036622E"/>
    <w:rsid w:val="0036727A"/>
    <w:rsid w:val="00367A6D"/>
    <w:rsid w:val="00370DD8"/>
    <w:rsid w:val="003718D4"/>
    <w:rsid w:val="00371D3A"/>
    <w:rsid w:val="00372897"/>
    <w:rsid w:val="00373879"/>
    <w:rsid w:val="003739FD"/>
    <w:rsid w:val="00373C42"/>
    <w:rsid w:val="00374943"/>
    <w:rsid w:val="00375AD9"/>
    <w:rsid w:val="00377DB8"/>
    <w:rsid w:val="00380EA6"/>
    <w:rsid w:val="00381245"/>
    <w:rsid w:val="00381684"/>
    <w:rsid w:val="003820A3"/>
    <w:rsid w:val="0038236A"/>
    <w:rsid w:val="003824BC"/>
    <w:rsid w:val="00383DB8"/>
    <w:rsid w:val="00385232"/>
    <w:rsid w:val="00385A89"/>
    <w:rsid w:val="0038637A"/>
    <w:rsid w:val="00386501"/>
    <w:rsid w:val="00387D5F"/>
    <w:rsid w:val="0039038B"/>
    <w:rsid w:val="003905C6"/>
    <w:rsid w:val="00390ECE"/>
    <w:rsid w:val="003912F0"/>
    <w:rsid w:val="00391D23"/>
    <w:rsid w:val="0039384F"/>
    <w:rsid w:val="00394647"/>
    <w:rsid w:val="00395347"/>
    <w:rsid w:val="003954EF"/>
    <w:rsid w:val="00396012"/>
    <w:rsid w:val="00397130"/>
    <w:rsid w:val="003A054E"/>
    <w:rsid w:val="003A0AF4"/>
    <w:rsid w:val="003A0B5B"/>
    <w:rsid w:val="003A0EA6"/>
    <w:rsid w:val="003A1C7C"/>
    <w:rsid w:val="003A27DC"/>
    <w:rsid w:val="003A3414"/>
    <w:rsid w:val="003A4D46"/>
    <w:rsid w:val="003A598D"/>
    <w:rsid w:val="003A5FCA"/>
    <w:rsid w:val="003A70B4"/>
    <w:rsid w:val="003A7CED"/>
    <w:rsid w:val="003B00D3"/>
    <w:rsid w:val="003B01A0"/>
    <w:rsid w:val="003B0365"/>
    <w:rsid w:val="003B0C4E"/>
    <w:rsid w:val="003B1402"/>
    <w:rsid w:val="003B1844"/>
    <w:rsid w:val="003B3A07"/>
    <w:rsid w:val="003B3B40"/>
    <w:rsid w:val="003B3DD3"/>
    <w:rsid w:val="003B5C00"/>
    <w:rsid w:val="003B680E"/>
    <w:rsid w:val="003B7ABC"/>
    <w:rsid w:val="003C0659"/>
    <w:rsid w:val="003C067C"/>
    <w:rsid w:val="003C1496"/>
    <w:rsid w:val="003C1684"/>
    <w:rsid w:val="003C2667"/>
    <w:rsid w:val="003C333C"/>
    <w:rsid w:val="003C3697"/>
    <w:rsid w:val="003C43C2"/>
    <w:rsid w:val="003C6EAF"/>
    <w:rsid w:val="003C7669"/>
    <w:rsid w:val="003C7DD0"/>
    <w:rsid w:val="003D0266"/>
    <w:rsid w:val="003D0A1F"/>
    <w:rsid w:val="003D0BC2"/>
    <w:rsid w:val="003D10F0"/>
    <w:rsid w:val="003D1FCA"/>
    <w:rsid w:val="003D2CCD"/>
    <w:rsid w:val="003D3BC3"/>
    <w:rsid w:val="003D3F33"/>
    <w:rsid w:val="003D4450"/>
    <w:rsid w:val="003D4B6D"/>
    <w:rsid w:val="003D52A9"/>
    <w:rsid w:val="003D5BFC"/>
    <w:rsid w:val="003D6277"/>
    <w:rsid w:val="003D69C6"/>
    <w:rsid w:val="003D718A"/>
    <w:rsid w:val="003E08A4"/>
    <w:rsid w:val="003E0FD3"/>
    <w:rsid w:val="003E1CED"/>
    <w:rsid w:val="003E2561"/>
    <w:rsid w:val="003E38EC"/>
    <w:rsid w:val="003E40A8"/>
    <w:rsid w:val="003E4219"/>
    <w:rsid w:val="003E4F7C"/>
    <w:rsid w:val="003E5885"/>
    <w:rsid w:val="003E5CB2"/>
    <w:rsid w:val="003E6A7C"/>
    <w:rsid w:val="003F03E7"/>
    <w:rsid w:val="003F1173"/>
    <w:rsid w:val="003F2AF3"/>
    <w:rsid w:val="003F2BDC"/>
    <w:rsid w:val="003F4144"/>
    <w:rsid w:val="003F459A"/>
    <w:rsid w:val="003F4617"/>
    <w:rsid w:val="003F49CA"/>
    <w:rsid w:val="003F5690"/>
    <w:rsid w:val="003F7DB3"/>
    <w:rsid w:val="0040016E"/>
    <w:rsid w:val="00402177"/>
    <w:rsid w:val="00403AAD"/>
    <w:rsid w:val="00403DC9"/>
    <w:rsid w:val="0040697F"/>
    <w:rsid w:val="00406A9E"/>
    <w:rsid w:val="00407550"/>
    <w:rsid w:val="00407C31"/>
    <w:rsid w:val="00410363"/>
    <w:rsid w:val="00410B46"/>
    <w:rsid w:val="0041162C"/>
    <w:rsid w:val="004128DE"/>
    <w:rsid w:val="00413624"/>
    <w:rsid w:val="0041408B"/>
    <w:rsid w:val="00415F40"/>
    <w:rsid w:val="00416715"/>
    <w:rsid w:val="0041706B"/>
    <w:rsid w:val="00417575"/>
    <w:rsid w:val="004208B9"/>
    <w:rsid w:val="00420B37"/>
    <w:rsid w:val="00421BDB"/>
    <w:rsid w:val="00422FE5"/>
    <w:rsid w:val="0042382A"/>
    <w:rsid w:val="004244B6"/>
    <w:rsid w:val="00425135"/>
    <w:rsid w:val="0042593D"/>
    <w:rsid w:val="004259E0"/>
    <w:rsid w:val="00426467"/>
    <w:rsid w:val="004268A9"/>
    <w:rsid w:val="00426F58"/>
    <w:rsid w:val="004310BA"/>
    <w:rsid w:val="00432018"/>
    <w:rsid w:val="00432223"/>
    <w:rsid w:val="00433057"/>
    <w:rsid w:val="00433AAD"/>
    <w:rsid w:val="00433E6E"/>
    <w:rsid w:val="004342F5"/>
    <w:rsid w:val="004343F6"/>
    <w:rsid w:val="00436001"/>
    <w:rsid w:val="00437511"/>
    <w:rsid w:val="00440111"/>
    <w:rsid w:val="0044017C"/>
    <w:rsid w:val="00441A3C"/>
    <w:rsid w:val="00441D1A"/>
    <w:rsid w:val="00441F30"/>
    <w:rsid w:val="004420F4"/>
    <w:rsid w:val="00442D39"/>
    <w:rsid w:val="00442E5A"/>
    <w:rsid w:val="00444943"/>
    <w:rsid w:val="0044535B"/>
    <w:rsid w:val="0044543B"/>
    <w:rsid w:val="004458C3"/>
    <w:rsid w:val="004462A3"/>
    <w:rsid w:val="0044672A"/>
    <w:rsid w:val="004477FD"/>
    <w:rsid w:val="00447F8A"/>
    <w:rsid w:val="004505EC"/>
    <w:rsid w:val="00451251"/>
    <w:rsid w:val="00451ED3"/>
    <w:rsid w:val="0045201A"/>
    <w:rsid w:val="00452895"/>
    <w:rsid w:val="00453527"/>
    <w:rsid w:val="00453749"/>
    <w:rsid w:val="004537FA"/>
    <w:rsid w:val="00453D4F"/>
    <w:rsid w:val="00455151"/>
    <w:rsid w:val="00455D4D"/>
    <w:rsid w:val="00455EBB"/>
    <w:rsid w:val="00456727"/>
    <w:rsid w:val="004567D6"/>
    <w:rsid w:val="00456B3F"/>
    <w:rsid w:val="00457288"/>
    <w:rsid w:val="00457D24"/>
    <w:rsid w:val="00457ECE"/>
    <w:rsid w:val="00457F1D"/>
    <w:rsid w:val="00460309"/>
    <w:rsid w:val="00460FFA"/>
    <w:rsid w:val="00461F8C"/>
    <w:rsid w:val="00462097"/>
    <w:rsid w:val="00462365"/>
    <w:rsid w:val="00462648"/>
    <w:rsid w:val="004649AA"/>
    <w:rsid w:val="004671D2"/>
    <w:rsid w:val="00467AA7"/>
    <w:rsid w:val="00467AB9"/>
    <w:rsid w:val="0047029A"/>
    <w:rsid w:val="00470532"/>
    <w:rsid w:val="0047087F"/>
    <w:rsid w:val="00470D3F"/>
    <w:rsid w:val="00471AC4"/>
    <w:rsid w:val="00473C71"/>
    <w:rsid w:val="00473D0E"/>
    <w:rsid w:val="004758F1"/>
    <w:rsid w:val="00475B7D"/>
    <w:rsid w:val="004776E0"/>
    <w:rsid w:val="00480B30"/>
    <w:rsid w:val="004814B5"/>
    <w:rsid w:val="004821E2"/>
    <w:rsid w:val="00482526"/>
    <w:rsid w:val="00482BC8"/>
    <w:rsid w:val="00482FF3"/>
    <w:rsid w:val="004836FF"/>
    <w:rsid w:val="00484FC2"/>
    <w:rsid w:val="004853FD"/>
    <w:rsid w:val="00485503"/>
    <w:rsid w:val="00486EDC"/>
    <w:rsid w:val="00487815"/>
    <w:rsid w:val="00487C8D"/>
    <w:rsid w:val="00491ACA"/>
    <w:rsid w:val="0049202D"/>
    <w:rsid w:val="0049294F"/>
    <w:rsid w:val="00493152"/>
    <w:rsid w:val="004939EA"/>
    <w:rsid w:val="004944CA"/>
    <w:rsid w:val="00494873"/>
    <w:rsid w:val="00494C67"/>
    <w:rsid w:val="00495021"/>
    <w:rsid w:val="0049526C"/>
    <w:rsid w:val="00495A5D"/>
    <w:rsid w:val="004A0490"/>
    <w:rsid w:val="004A0C3B"/>
    <w:rsid w:val="004A1644"/>
    <w:rsid w:val="004A1CC4"/>
    <w:rsid w:val="004A28D5"/>
    <w:rsid w:val="004A2BB3"/>
    <w:rsid w:val="004A4B6A"/>
    <w:rsid w:val="004B3B7D"/>
    <w:rsid w:val="004B4360"/>
    <w:rsid w:val="004B465A"/>
    <w:rsid w:val="004B53A5"/>
    <w:rsid w:val="004B55AD"/>
    <w:rsid w:val="004B58BA"/>
    <w:rsid w:val="004B59B6"/>
    <w:rsid w:val="004B5F63"/>
    <w:rsid w:val="004B6491"/>
    <w:rsid w:val="004B666F"/>
    <w:rsid w:val="004B66D5"/>
    <w:rsid w:val="004B75D5"/>
    <w:rsid w:val="004B785D"/>
    <w:rsid w:val="004C0322"/>
    <w:rsid w:val="004C0B9A"/>
    <w:rsid w:val="004C5530"/>
    <w:rsid w:val="004C672F"/>
    <w:rsid w:val="004C67AC"/>
    <w:rsid w:val="004C7376"/>
    <w:rsid w:val="004D0204"/>
    <w:rsid w:val="004D22D5"/>
    <w:rsid w:val="004D26A3"/>
    <w:rsid w:val="004D2FC4"/>
    <w:rsid w:val="004D47FD"/>
    <w:rsid w:val="004D503C"/>
    <w:rsid w:val="004D551F"/>
    <w:rsid w:val="004D55DD"/>
    <w:rsid w:val="004D649E"/>
    <w:rsid w:val="004D7058"/>
    <w:rsid w:val="004E0458"/>
    <w:rsid w:val="004E1024"/>
    <w:rsid w:val="004E11A4"/>
    <w:rsid w:val="004E2761"/>
    <w:rsid w:val="004E2A0F"/>
    <w:rsid w:val="004E34A2"/>
    <w:rsid w:val="004E5166"/>
    <w:rsid w:val="004E5696"/>
    <w:rsid w:val="004E5D95"/>
    <w:rsid w:val="004F049D"/>
    <w:rsid w:val="004F07AE"/>
    <w:rsid w:val="004F0A51"/>
    <w:rsid w:val="004F1927"/>
    <w:rsid w:val="004F1A3D"/>
    <w:rsid w:val="004F1E44"/>
    <w:rsid w:val="004F24F0"/>
    <w:rsid w:val="004F2682"/>
    <w:rsid w:val="004F29B0"/>
    <w:rsid w:val="004F2C85"/>
    <w:rsid w:val="004F445E"/>
    <w:rsid w:val="004F45D4"/>
    <w:rsid w:val="004F5847"/>
    <w:rsid w:val="004F5DE6"/>
    <w:rsid w:val="004F61E6"/>
    <w:rsid w:val="004F695D"/>
    <w:rsid w:val="004F774D"/>
    <w:rsid w:val="004F79C2"/>
    <w:rsid w:val="004F7B8E"/>
    <w:rsid w:val="004F7B9A"/>
    <w:rsid w:val="004F7C59"/>
    <w:rsid w:val="0050028B"/>
    <w:rsid w:val="00500CD0"/>
    <w:rsid w:val="00500E25"/>
    <w:rsid w:val="0050134E"/>
    <w:rsid w:val="00501FAF"/>
    <w:rsid w:val="00504578"/>
    <w:rsid w:val="00505DD8"/>
    <w:rsid w:val="00506104"/>
    <w:rsid w:val="005061B3"/>
    <w:rsid w:val="00506969"/>
    <w:rsid w:val="00506E2A"/>
    <w:rsid w:val="005078CF"/>
    <w:rsid w:val="00507FA3"/>
    <w:rsid w:val="0051035F"/>
    <w:rsid w:val="005110FB"/>
    <w:rsid w:val="005114DA"/>
    <w:rsid w:val="00512822"/>
    <w:rsid w:val="00513595"/>
    <w:rsid w:val="00514241"/>
    <w:rsid w:val="00515D01"/>
    <w:rsid w:val="00515E9C"/>
    <w:rsid w:val="00517707"/>
    <w:rsid w:val="00517774"/>
    <w:rsid w:val="005226D2"/>
    <w:rsid w:val="005243B5"/>
    <w:rsid w:val="00524C04"/>
    <w:rsid w:val="00524F1E"/>
    <w:rsid w:val="005257A8"/>
    <w:rsid w:val="00525F0E"/>
    <w:rsid w:val="005264E0"/>
    <w:rsid w:val="0052658C"/>
    <w:rsid w:val="00527E92"/>
    <w:rsid w:val="005310A9"/>
    <w:rsid w:val="00532D15"/>
    <w:rsid w:val="005355D6"/>
    <w:rsid w:val="005360D6"/>
    <w:rsid w:val="00537043"/>
    <w:rsid w:val="0053791C"/>
    <w:rsid w:val="00540674"/>
    <w:rsid w:val="00540C51"/>
    <w:rsid w:val="00541AA7"/>
    <w:rsid w:val="0054208C"/>
    <w:rsid w:val="005421AC"/>
    <w:rsid w:val="005428D6"/>
    <w:rsid w:val="00544362"/>
    <w:rsid w:val="005444FD"/>
    <w:rsid w:val="0054451F"/>
    <w:rsid w:val="0054522F"/>
    <w:rsid w:val="00545445"/>
    <w:rsid w:val="0054589B"/>
    <w:rsid w:val="005461DB"/>
    <w:rsid w:val="0054722F"/>
    <w:rsid w:val="0054741D"/>
    <w:rsid w:val="00552339"/>
    <w:rsid w:val="005554D9"/>
    <w:rsid w:val="00555F63"/>
    <w:rsid w:val="0055614D"/>
    <w:rsid w:val="00557361"/>
    <w:rsid w:val="005579A7"/>
    <w:rsid w:val="00557ECB"/>
    <w:rsid w:val="00560760"/>
    <w:rsid w:val="00562FD0"/>
    <w:rsid w:val="005633FE"/>
    <w:rsid w:val="005634B0"/>
    <w:rsid w:val="005640F5"/>
    <w:rsid w:val="00564170"/>
    <w:rsid w:val="005642B5"/>
    <w:rsid w:val="00564EDB"/>
    <w:rsid w:val="0056565A"/>
    <w:rsid w:val="00565D3D"/>
    <w:rsid w:val="00566B34"/>
    <w:rsid w:val="00567197"/>
    <w:rsid w:val="005721F5"/>
    <w:rsid w:val="00572342"/>
    <w:rsid w:val="00572B1C"/>
    <w:rsid w:val="00572D0C"/>
    <w:rsid w:val="005735E2"/>
    <w:rsid w:val="00573AF1"/>
    <w:rsid w:val="00574E6D"/>
    <w:rsid w:val="0057562B"/>
    <w:rsid w:val="00575765"/>
    <w:rsid w:val="005759EE"/>
    <w:rsid w:val="00576B4C"/>
    <w:rsid w:val="005772E7"/>
    <w:rsid w:val="00577A1D"/>
    <w:rsid w:val="00577D54"/>
    <w:rsid w:val="00577EF7"/>
    <w:rsid w:val="00580CB1"/>
    <w:rsid w:val="005810CB"/>
    <w:rsid w:val="005819DB"/>
    <w:rsid w:val="00581ADF"/>
    <w:rsid w:val="0058276B"/>
    <w:rsid w:val="00582939"/>
    <w:rsid w:val="00582A7F"/>
    <w:rsid w:val="0058395E"/>
    <w:rsid w:val="0058547C"/>
    <w:rsid w:val="00585A35"/>
    <w:rsid w:val="005861E4"/>
    <w:rsid w:val="005866F1"/>
    <w:rsid w:val="00586FFD"/>
    <w:rsid w:val="00590239"/>
    <w:rsid w:val="005904B3"/>
    <w:rsid w:val="00590850"/>
    <w:rsid w:val="00591478"/>
    <w:rsid w:val="005914D1"/>
    <w:rsid w:val="00591C4E"/>
    <w:rsid w:val="00591DB7"/>
    <w:rsid w:val="00591DDC"/>
    <w:rsid w:val="00591F8A"/>
    <w:rsid w:val="0059279E"/>
    <w:rsid w:val="00592F4F"/>
    <w:rsid w:val="005935C9"/>
    <w:rsid w:val="00593611"/>
    <w:rsid w:val="00595064"/>
    <w:rsid w:val="0059560F"/>
    <w:rsid w:val="00595646"/>
    <w:rsid w:val="0059658B"/>
    <w:rsid w:val="005970A2"/>
    <w:rsid w:val="00597E78"/>
    <w:rsid w:val="005A1271"/>
    <w:rsid w:val="005A2660"/>
    <w:rsid w:val="005A339E"/>
    <w:rsid w:val="005A350B"/>
    <w:rsid w:val="005A3EF9"/>
    <w:rsid w:val="005A47C5"/>
    <w:rsid w:val="005A5FC5"/>
    <w:rsid w:val="005A7847"/>
    <w:rsid w:val="005B1537"/>
    <w:rsid w:val="005B1B19"/>
    <w:rsid w:val="005B1F98"/>
    <w:rsid w:val="005B1FAA"/>
    <w:rsid w:val="005B2C5C"/>
    <w:rsid w:val="005B2F8A"/>
    <w:rsid w:val="005B3C56"/>
    <w:rsid w:val="005B43CA"/>
    <w:rsid w:val="005B43E7"/>
    <w:rsid w:val="005B5E49"/>
    <w:rsid w:val="005B5EBF"/>
    <w:rsid w:val="005B5FDD"/>
    <w:rsid w:val="005B6C99"/>
    <w:rsid w:val="005C10EB"/>
    <w:rsid w:val="005C21CA"/>
    <w:rsid w:val="005C23A5"/>
    <w:rsid w:val="005C249F"/>
    <w:rsid w:val="005C2842"/>
    <w:rsid w:val="005C2B78"/>
    <w:rsid w:val="005C3499"/>
    <w:rsid w:val="005C36B7"/>
    <w:rsid w:val="005C446E"/>
    <w:rsid w:val="005C49BE"/>
    <w:rsid w:val="005C4E67"/>
    <w:rsid w:val="005C5F1D"/>
    <w:rsid w:val="005C647D"/>
    <w:rsid w:val="005C6A7E"/>
    <w:rsid w:val="005C6B7E"/>
    <w:rsid w:val="005C78BF"/>
    <w:rsid w:val="005C7B60"/>
    <w:rsid w:val="005D103F"/>
    <w:rsid w:val="005D1182"/>
    <w:rsid w:val="005D165C"/>
    <w:rsid w:val="005D19E2"/>
    <w:rsid w:val="005D2007"/>
    <w:rsid w:val="005D3A29"/>
    <w:rsid w:val="005D3FC7"/>
    <w:rsid w:val="005D4F3E"/>
    <w:rsid w:val="005D5713"/>
    <w:rsid w:val="005D582D"/>
    <w:rsid w:val="005D612A"/>
    <w:rsid w:val="005D6D54"/>
    <w:rsid w:val="005D737E"/>
    <w:rsid w:val="005D774A"/>
    <w:rsid w:val="005D7BAC"/>
    <w:rsid w:val="005D7D37"/>
    <w:rsid w:val="005E13E0"/>
    <w:rsid w:val="005E1684"/>
    <w:rsid w:val="005E1DC4"/>
    <w:rsid w:val="005E2686"/>
    <w:rsid w:val="005E27B0"/>
    <w:rsid w:val="005E32A3"/>
    <w:rsid w:val="005E36C8"/>
    <w:rsid w:val="005E439C"/>
    <w:rsid w:val="005E4C1A"/>
    <w:rsid w:val="005E4D0C"/>
    <w:rsid w:val="005E54EF"/>
    <w:rsid w:val="005E5E6D"/>
    <w:rsid w:val="005E646A"/>
    <w:rsid w:val="005E717C"/>
    <w:rsid w:val="005E765D"/>
    <w:rsid w:val="005E7CA7"/>
    <w:rsid w:val="005F0062"/>
    <w:rsid w:val="005F072A"/>
    <w:rsid w:val="005F0844"/>
    <w:rsid w:val="005F0A24"/>
    <w:rsid w:val="005F0D38"/>
    <w:rsid w:val="005F0EF0"/>
    <w:rsid w:val="005F11E0"/>
    <w:rsid w:val="005F1334"/>
    <w:rsid w:val="005F133F"/>
    <w:rsid w:val="005F1AE2"/>
    <w:rsid w:val="005F3B94"/>
    <w:rsid w:val="005F4172"/>
    <w:rsid w:val="005F41FF"/>
    <w:rsid w:val="005F47FB"/>
    <w:rsid w:val="005F4B08"/>
    <w:rsid w:val="005F555D"/>
    <w:rsid w:val="005F6024"/>
    <w:rsid w:val="005F7427"/>
    <w:rsid w:val="005F7951"/>
    <w:rsid w:val="00600252"/>
    <w:rsid w:val="0060056C"/>
    <w:rsid w:val="006005F9"/>
    <w:rsid w:val="00601729"/>
    <w:rsid w:val="00601A72"/>
    <w:rsid w:val="00601B20"/>
    <w:rsid w:val="00601F38"/>
    <w:rsid w:val="006026E1"/>
    <w:rsid w:val="00603F0E"/>
    <w:rsid w:val="0060540C"/>
    <w:rsid w:val="0060643F"/>
    <w:rsid w:val="00606D3B"/>
    <w:rsid w:val="00607006"/>
    <w:rsid w:val="0060716B"/>
    <w:rsid w:val="00610307"/>
    <w:rsid w:val="00610771"/>
    <w:rsid w:val="006108DF"/>
    <w:rsid w:val="00612624"/>
    <w:rsid w:val="006126F0"/>
    <w:rsid w:val="00613569"/>
    <w:rsid w:val="00614F4F"/>
    <w:rsid w:val="0061508D"/>
    <w:rsid w:val="006157DD"/>
    <w:rsid w:val="00615A7C"/>
    <w:rsid w:val="00615DDD"/>
    <w:rsid w:val="0061634D"/>
    <w:rsid w:val="00617527"/>
    <w:rsid w:val="0061758C"/>
    <w:rsid w:val="006176AB"/>
    <w:rsid w:val="00620F8F"/>
    <w:rsid w:val="006216C3"/>
    <w:rsid w:val="0062332D"/>
    <w:rsid w:val="00623BA9"/>
    <w:rsid w:val="00624392"/>
    <w:rsid w:val="0062478C"/>
    <w:rsid w:val="00624CA4"/>
    <w:rsid w:val="0062538B"/>
    <w:rsid w:val="006254A9"/>
    <w:rsid w:val="00627342"/>
    <w:rsid w:val="006276D5"/>
    <w:rsid w:val="00627EA5"/>
    <w:rsid w:val="0063012E"/>
    <w:rsid w:val="00630147"/>
    <w:rsid w:val="00630872"/>
    <w:rsid w:val="00630D9D"/>
    <w:rsid w:val="00631757"/>
    <w:rsid w:val="00632AE7"/>
    <w:rsid w:val="00632E84"/>
    <w:rsid w:val="00633DDC"/>
    <w:rsid w:val="00634AFE"/>
    <w:rsid w:val="006354DE"/>
    <w:rsid w:val="00635699"/>
    <w:rsid w:val="0063615C"/>
    <w:rsid w:val="00636725"/>
    <w:rsid w:val="0063691F"/>
    <w:rsid w:val="00637538"/>
    <w:rsid w:val="00637C44"/>
    <w:rsid w:val="006403F9"/>
    <w:rsid w:val="00640647"/>
    <w:rsid w:val="006406D3"/>
    <w:rsid w:val="00640A51"/>
    <w:rsid w:val="00640B73"/>
    <w:rsid w:val="006413C5"/>
    <w:rsid w:val="006415BF"/>
    <w:rsid w:val="006415E0"/>
    <w:rsid w:val="0064172C"/>
    <w:rsid w:val="00641924"/>
    <w:rsid w:val="006422CC"/>
    <w:rsid w:val="0064249C"/>
    <w:rsid w:val="00644176"/>
    <w:rsid w:val="00645E25"/>
    <w:rsid w:val="0064671B"/>
    <w:rsid w:val="00646B17"/>
    <w:rsid w:val="006478D7"/>
    <w:rsid w:val="006502F8"/>
    <w:rsid w:val="006507E8"/>
    <w:rsid w:val="006511C3"/>
    <w:rsid w:val="00652F5E"/>
    <w:rsid w:val="00652F6F"/>
    <w:rsid w:val="00654BEC"/>
    <w:rsid w:val="006557FD"/>
    <w:rsid w:val="006579AD"/>
    <w:rsid w:val="006601FA"/>
    <w:rsid w:val="006602AB"/>
    <w:rsid w:val="006616EA"/>
    <w:rsid w:val="00661CA5"/>
    <w:rsid w:val="00661D19"/>
    <w:rsid w:val="00662908"/>
    <w:rsid w:val="00662BAE"/>
    <w:rsid w:val="0066320F"/>
    <w:rsid w:val="006633A8"/>
    <w:rsid w:val="00664F87"/>
    <w:rsid w:val="00665AD6"/>
    <w:rsid w:val="00665E0E"/>
    <w:rsid w:val="00666070"/>
    <w:rsid w:val="006663AB"/>
    <w:rsid w:val="00666564"/>
    <w:rsid w:val="00666783"/>
    <w:rsid w:val="00667D4A"/>
    <w:rsid w:val="00672332"/>
    <w:rsid w:val="006729EE"/>
    <w:rsid w:val="00672E47"/>
    <w:rsid w:val="00673A60"/>
    <w:rsid w:val="00674B9E"/>
    <w:rsid w:val="00675081"/>
    <w:rsid w:val="006752D4"/>
    <w:rsid w:val="00675D3B"/>
    <w:rsid w:val="0067754E"/>
    <w:rsid w:val="006802A9"/>
    <w:rsid w:val="006807C3"/>
    <w:rsid w:val="00680CB4"/>
    <w:rsid w:val="00681424"/>
    <w:rsid w:val="006815FC"/>
    <w:rsid w:val="00682040"/>
    <w:rsid w:val="006823A0"/>
    <w:rsid w:val="00682D07"/>
    <w:rsid w:val="00683238"/>
    <w:rsid w:val="00684CD2"/>
    <w:rsid w:val="00686F9A"/>
    <w:rsid w:val="0068780E"/>
    <w:rsid w:val="00687966"/>
    <w:rsid w:val="00687CB4"/>
    <w:rsid w:val="006905EC"/>
    <w:rsid w:val="00690CC4"/>
    <w:rsid w:val="00691230"/>
    <w:rsid w:val="00692057"/>
    <w:rsid w:val="006925FD"/>
    <w:rsid w:val="00693B4C"/>
    <w:rsid w:val="006946FC"/>
    <w:rsid w:val="00694937"/>
    <w:rsid w:val="00694DB9"/>
    <w:rsid w:val="00695363"/>
    <w:rsid w:val="00695955"/>
    <w:rsid w:val="00695B2D"/>
    <w:rsid w:val="00696874"/>
    <w:rsid w:val="00697D2A"/>
    <w:rsid w:val="006A16B5"/>
    <w:rsid w:val="006A1C58"/>
    <w:rsid w:val="006A2D12"/>
    <w:rsid w:val="006A2FA5"/>
    <w:rsid w:val="006A3012"/>
    <w:rsid w:val="006A358E"/>
    <w:rsid w:val="006A4803"/>
    <w:rsid w:val="006A54E3"/>
    <w:rsid w:val="006A56DB"/>
    <w:rsid w:val="006A5F86"/>
    <w:rsid w:val="006A6054"/>
    <w:rsid w:val="006A6101"/>
    <w:rsid w:val="006A6A20"/>
    <w:rsid w:val="006A743C"/>
    <w:rsid w:val="006A7B13"/>
    <w:rsid w:val="006B0BB0"/>
    <w:rsid w:val="006B10BF"/>
    <w:rsid w:val="006B1233"/>
    <w:rsid w:val="006B1CB8"/>
    <w:rsid w:val="006B3608"/>
    <w:rsid w:val="006B3D1F"/>
    <w:rsid w:val="006B400D"/>
    <w:rsid w:val="006B4757"/>
    <w:rsid w:val="006B6085"/>
    <w:rsid w:val="006B690A"/>
    <w:rsid w:val="006B6DBC"/>
    <w:rsid w:val="006B6E17"/>
    <w:rsid w:val="006B73CB"/>
    <w:rsid w:val="006B789F"/>
    <w:rsid w:val="006B7ACE"/>
    <w:rsid w:val="006C0027"/>
    <w:rsid w:val="006C0116"/>
    <w:rsid w:val="006C05EE"/>
    <w:rsid w:val="006C0D93"/>
    <w:rsid w:val="006C0EF2"/>
    <w:rsid w:val="006C149B"/>
    <w:rsid w:val="006C22DB"/>
    <w:rsid w:val="006C26A7"/>
    <w:rsid w:val="006C32AE"/>
    <w:rsid w:val="006C3504"/>
    <w:rsid w:val="006C3615"/>
    <w:rsid w:val="006C3BA6"/>
    <w:rsid w:val="006C471D"/>
    <w:rsid w:val="006C4866"/>
    <w:rsid w:val="006C5688"/>
    <w:rsid w:val="006C6A35"/>
    <w:rsid w:val="006C7026"/>
    <w:rsid w:val="006C7FE7"/>
    <w:rsid w:val="006D0299"/>
    <w:rsid w:val="006D075E"/>
    <w:rsid w:val="006D0C6A"/>
    <w:rsid w:val="006D1D96"/>
    <w:rsid w:val="006D2248"/>
    <w:rsid w:val="006D38EF"/>
    <w:rsid w:val="006D4F16"/>
    <w:rsid w:val="006D578E"/>
    <w:rsid w:val="006D63DA"/>
    <w:rsid w:val="006D68B6"/>
    <w:rsid w:val="006D7B3F"/>
    <w:rsid w:val="006D7ED9"/>
    <w:rsid w:val="006E3BFB"/>
    <w:rsid w:val="006E46A1"/>
    <w:rsid w:val="006E52EE"/>
    <w:rsid w:val="006E5A90"/>
    <w:rsid w:val="006F138C"/>
    <w:rsid w:val="006F1664"/>
    <w:rsid w:val="006F1D76"/>
    <w:rsid w:val="006F1EBA"/>
    <w:rsid w:val="006F1FDD"/>
    <w:rsid w:val="006F221B"/>
    <w:rsid w:val="006F2354"/>
    <w:rsid w:val="006F27CF"/>
    <w:rsid w:val="006F2E03"/>
    <w:rsid w:val="006F2E52"/>
    <w:rsid w:val="006F39A9"/>
    <w:rsid w:val="006F4A49"/>
    <w:rsid w:val="006F4F32"/>
    <w:rsid w:val="006F5283"/>
    <w:rsid w:val="006F6746"/>
    <w:rsid w:val="006F676F"/>
    <w:rsid w:val="00702781"/>
    <w:rsid w:val="00702851"/>
    <w:rsid w:val="007029C8"/>
    <w:rsid w:val="007029D8"/>
    <w:rsid w:val="007030F0"/>
    <w:rsid w:val="00704B79"/>
    <w:rsid w:val="007053DD"/>
    <w:rsid w:val="0070543D"/>
    <w:rsid w:val="00705474"/>
    <w:rsid w:val="007059F5"/>
    <w:rsid w:val="007079BA"/>
    <w:rsid w:val="0071042D"/>
    <w:rsid w:val="00710F21"/>
    <w:rsid w:val="00711EDB"/>
    <w:rsid w:val="0071201E"/>
    <w:rsid w:val="00713351"/>
    <w:rsid w:val="00714569"/>
    <w:rsid w:val="00714658"/>
    <w:rsid w:val="00715100"/>
    <w:rsid w:val="00716E7D"/>
    <w:rsid w:val="007175AD"/>
    <w:rsid w:val="007205DC"/>
    <w:rsid w:val="00721EFA"/>
    <w:rsid w:val="0072241A"/>
    <w:rsid w:val="00722895"/>
    <w:rsid w:val="007236E4"/>
    <w:rsid w:val="0072483A"/>
    <w:rsid w:val="00724A18"/>
    <w:rsid w:val="00724AE7"/>
    <w:rsid w:val="00724B54"/>
    <w:rsid w:val="0072503D"/>
    <w:rsid w:val="007256B3"/>
    <w:rsid w:val="0072593A"/>
    <w:rsid w:val="00725B05"/>
    <w:rsid w:val="00726773"/>
    <w:rsid w:val="00726B0B"/>
    <w:rsid w:val="00726C7D"/>
    <w:rsid w:val="00726DB2"/>
    <w:rsid w:val="00727363"/>
    <w:rsid w:val="007273D8"/>
    <w:rsid w:val="00731578"/>
    <w:rsid w:val="00731B45"/>
    <w:rsid w:val="00731CAC"/>
    <w:rsid w:val="00732121"/>
    <w:rsid w:val="00732521"/>
    <w:rsid w:val="00732CEE"/>
    <w:rsid w:val="00732E67"/>
    <w:rsid w:val="00733D55"/>
    <w:rsid w:val="00734F69"/>
    <w:rsid w:val="0073616A"/>
    <w:rsid w:val="00736E9B"/>
    <w:rsid w:val="0073789C"/>
    <w:rsid w:val="00740523"/>
    <w:rsid w:val="007409BE"/>
    <w:rsid w:val="00743048"/>
    <w:rsid w:val="00743080"/>
    <w:rsid w:val="007447F4"/>
    <w:rsid w:val="00745A80"/>
    <w:rsid w:val="007461F0"/>
    <w:rsid w:val="00747585"/>
    <w:rsid w:val="00750013"/>
    <w:rsid w:val="007501BB"/>
    <w:rsid w:val="00751439"/>
    <w:rsid w:val="00751FDB"/>
    <w:rsid w:val="00752569"/>
    <w:rsid w:val="0075271F"/>
    <w:rsid w:val="00752CDB"/>
    <w:rsid w:val="00754427"/>
    <w:rsid w:val="007545B5"/>
    <w:rsid w:val="00754670"/>
    <w:rsid w:val="00754F29"/>
    <w:rsid w:val="0075527C"/>
    <w:rsid w:val="00755C37"/>
    <w:rsid w:val="00756EB7"/>
    <w:rsid w:val="007579BA"/>
    <w:rsid w:val="007606A5"/>
    <w:rsid w:val="00761290"/>
    <w:rsid w:val="007614C0"/>
    <w:rsid w:val="0076190C"/>
    <w:rsid w:val="007628CA"/>
    <w:rsid w:val="00762B64"/>
    <w:rsid w:val="007641B8"/>
    <w:rsid w:val="00764D4A"/>
    <w:rsid w:val="00765405"/>
    <w:rsid w:val="00766D05"/>
    <w:rsid w:val="0077025E"/>
    <w:rsid w:val="00770402"/>
    <w:rsid w:val="007709BE"/>
    <w:rsid w:val="00771410"/>
    <w:rsid w:val="0077142E"/>
    <w:rsid w:val="007717EA"/>
    <w:rsid w:val="007727AF"/>
    <w:rsid w:val="00772FA5"/>
    <w:rsid w:val="007731FB"/>
    <w:rsid w:val="007748A4"/>
    <w:rsid w:val="0077668F"/>
    <w:rsid w:val="0077674E"/>
    <w:rsid w:val="00776991"/>
    <w:rsid w:val="00776A81"/>
    <w:rsid w:val="00777218"/>
    <w:rsid w:val="0077735A"/>
    <w:rsid w:val="00777A1A"/>
    <w:rsid w:val="00777CAE"/>
    <w:rsid w:val="00777D8E"/>
    <w:rsid w:val="00780033"/>
    <w:rsid w:val="007802C2"/>
    <w:rsid w:val="00780DFA"/>
    <w:rsid w:val="0078136F"/>
    <w:rsid w:val="00782456"/>
    <w:rsid w:val="00783984"/>
    <w:rsid w:val="00783FF3"/>
    <w:rsid w:val="007844F4"/>
    <w:rsid w:val="00786D34"/>
    <w:rsid w:val="0078767E"/>
    <w:rsid w:val="00790226"/>
    <w:rsid w:val="007902FB"/>
    <w:rsid w:val="00790665"/>
    <w:rsid w:val="007908F7"/>
    <w:rsid w:val="007925EF"/>
    <w:rsid w:val="007928DB"/>
    <w:rsid w:val="00793872"/>
    <w:rsid w:val="00793A46"/>
    <w:rsid w:val="00793A7D"/>
    <w:rsid w:val="00793CC7"/>
    <w:rsid w:val="00796283"/>
    <w:rsid w:val="00797A51"/>
    <w:rsid w:val="00797ABE"/>
    <w:rsid w:val="00797E81"/>
    <w:rsid w:val="007A072E"/>
    <w:rsid w:val="007A0AC5"/>
    <w:rsid w:val="007A1AD3"/>
    <w:rsid w:val="007A2937"/>
    <w:rsid w:val="007A305F"/>
    <w:rsid w:val="007A4B3F"/>
    <w:rsid w:val="007A4C24"/>
    <w:rsid w:val="007A4E33"/>
    <w:rsid w:val="007A653B"/>
    <w:rsid w:val="007A72D8"/>
    <w:rsid w:val="007B00F5"/>
    <w:rsid w:val="007B0163"/>
    <w:rsid w:val="007B1762"/>
    <w:rsid w:val="007B23B8"/>
    <w:rsid w:val="007B24D8"/>
    <w:rsid w:val="007B2606"/>
    <w:rsid w:val="007B2B81"/>
    <w:rsid w:val="007B59A1"/>
    <w:rsid w:val="007B5A30"/>
    <w:rsid w:val="007B5A40"/>
    <w:rsid w:val="007B6552"/>
    <w:rsid w:val="007B6BA7"/>
    <w:rsid w:val="007B7446"/>
    <w:rsid w:val="007B7837"/>
    <w:rsid w:val="007C00BC"/>
    <w:rsid w:val="007C08B8"/>
    <w:rsid w:val="007C0D74"/>
    <w:rsid w:val="007C0DD9"/>
    <w:rsid w:val="007C0EDB"/>
    <w:rsid w:val="007C1877"/>
    <w:rsid w:val="007C18A4"/>
    <w:rsid w:val="007C2243"/>
    <w:rsid w:val="007C2396"/>
    <w:rsid w:val="007C2A5C"/>
    <w:rsid w:val="007C2D61"/>
    <w:rsid w:val="007C3189"/>
    <w:rsid w:val="007C328D"/>
    <w:rsid w:val="007C40E2"/>
    <w:rsid w:val="007C4420"/>
    <w:rsid w:val="007C50E7"/>
    <w:rsid w:val="007C5562"/>
    <w:rsid w:val="007C5C46"/>
    <w:rsid w:val="007C5CD0"/>
    <w:rsid w:val="007C7BD0"/>
    <w:rsid w:val="007D0110"/>
    <w:rsid w:val="007D27E2"/>
    <w:rsid w:val="007D288D"/>
    <w:rsid w:val="007D29A5"/>
    <w:rsid w:val="007D2C7D"/>
    <w:rsid w:val="007D31BC"/>
    <w:rsid w:val="007D3650"/>
    <w:rsid w:val="007D3B1C"/>
    <w:rsid w:val="007D3BCE"/>
    <w:rsid w:val="007D643D"/>
    <w:rsid w:val="007D7289"/>
    <w:rsid w:val="007D75EF"/>
    <w:rsid w:val="007D7F15"/>
    <w:rsid w:val="007E095C"/>
    <w:rsid w:val="007E236C"/>
    <w:rsid w:val="007E4428"/>
    <w:rsid w:val="007E4EEB"/>
    <w:rsid w:val="007E5E87"/>
    <w:rsid w:val="007E609F"/>
    <w:rsid w:val="007F0F5A"/>
    <w:rsid w:val="007F1C07"/>
    <w:rsid w:val="007F279F"/>
    <w:rsid w:val="007F2F54"/>
    <w:rsid w:val="007F61F5"/>
    <w:rsid w:val="007F7880"/>
    <w:rsid w:val="008001F1"/>
    <w:rsid w:val="00800CAC"/>
    <w:rsid w:val="00801116"/>
    <w:rsid w:val="00801676"/>
    <w:rsid w:val="00801F3D"/>
    <w:rsid w:val="008050BF"/>
    <w:rsid w:val="00805F84"/>
    <w:rsid w:val="008068F2"/>
    <w:rsid w:val="00806997"/>
    <w:rsid w:val="0080750F"/>
    <w:rsid w:val="00810735"/>
    <w:rsid w:val="00810911"/>
    <w:rsid w:val="008124A9"/>
    <w:rsid w:val="0081350A"/>
    <w:rsid w:val="00813811"/>
    <w:rsid w:val="00815719"/>
    <w:rsid w:val="00817333"/>
    <w:rsid w:val="00817365"/>
    <w:rsid w:val="008176EB"/>
    <w:rsid w:val="00817847"/>
    <w:rsid w:val="00820140"/>
    <w:rsid w:val="00820932"/>
    <w:rsid w:val="008241E2"/>
    <w:rsid w:val="00824DE6"/>
    <w:rsid w:val="00824DFF"/>
    <w:rsid w:val="00825811"/>
    <w:rsid w:val="00826723"/>
    <w:rsid w:val="00826C07"/>
    <w:rsid w:val="00827364"/>
    <w:rsid w:val="00827C07"/>
    <w:rsid w:val="008301DB"/>
    <w:rsid w:val="00830C02"/>
    <w:rsid w:val="00831B3B"/>
    <w:rsid w:val="00831BE1"/>
    <w:rsid w:val="008321DE"/>
    <w:rsid w:val="00832781"/>
    <w:rsid w:val="008329CB"/>
    <w:rsid w:val="008346BC"/>
    <w:rsid w:val="00834DEB"/>
    <w:rsid w:val="00835B71"/>
    <w:rsid w:val="008364A9"/>
    <w:rsid w:val="00836A1F"/>
    <w:rsid w:val="008375C2"/>
    <w:rsid w:val="008379FB"/>
    <w:rsid w:val="00837D95"/>
    <w:rsid w:val="00840C40"/>
    <w:rsid w:val="00841214"/>
    <w:rsid w:val="0084158D"/>
    <w:rsid w:val="008430A6"/>
    <w:rsid w:val="00843827"/>
    <w:rsid w:val="00844584"/>
    <w:rsid w:val="00844E3D"/>
    <w:rsid w:val="00845892"/>
    <w:rsid w:val="00846966"/>
    <w:rsid w:val="008474DC"/>
    <w:rsid w:val="008509AB"/>
    <w:rsid w:val="008511AE"/>
    <w:rsid w:val="00851B3B"/>
    <w:rsid w:val="00851C03"/>
    <w:rsid w:val="00851DFB"/>
    <w:rsid w:val="00852390"/>
    <w:rsid w:val="008536A1"/>
    <w:rsid w:val="008538C6"/>
    <w:rsid w:val="00853ABA"/>
    <w:rsid w:val="00854160"/>
    <w:rsid w:val="008550A4"/>
    <w:rsid w:val="008551CA"/>
    <w:rsid w:val="00856267"/>
    <w:rsid w:val="00857A33"/>
    <w:rsid w:val="00860293"/>
    <w:rsid w:val="008608F4"/>
    <w:rsid w:val="00860D05"/>
    <w:rsid w:val="00862AD4"/>
    <w:rsid w:val="0086391C"/>
    <w:rsid w:val="00865ABB"/>
    <w:rsid w:val="00866178"/>
    <w:rsid w:val="008665FD"/>
    <w:rsid w:val="008668CE"/>
    <w:rsid w:val="008672F3"/>
    <w:rsid w:val="0087075B"/>
    <w:rsid w:val="00871811"/>
    <w:rsid w:val="008729FE"/>
    <w:rsid w:val="00873413"/>
    <w:rsid w:val="008743C6"/>
    <w:rsid w:val="00874FD0"/>
    <w:rsid w:val="008751C2"/>
    <w:rsid w:val="0087529C"/>
    <w:rsid w:val="00875DC9"/>
    <w:rsid w:val="00876975"/>
    <w:rsid w:val="00877605"/>
    <w:rsid w:val="00877DB5"/>
    <w:rsid w:val="00880739"/>
    <w:rsid w:val="00880C98"/>
    <w:rsid w:val="00881E40"/>
    <w:rsid w:val="008828AC"/>
    <w:rsid w:val="00882DEA"/>
    <w:rsid w:val="008830F9"/>
    <w:rsid w:val="008837D4"/>
    <w:rsid w:val="00884FDC"/>
    <w:rsid w:val="008850F4"/>
    <w:rsid w:val="0088567E"/>
    <w:rsid w:val="00885BFC"/>
    <w:rsid w:val="00886A55"/>
    <w:rsid w:val="008872CE"/>
    <w:rsid w:val="008876FC"/>
    <w:rsid w:val="00890414"/>
    <w:rsid w:val="008913C8"/>
    <w:rsid w:val="0089155D"/>
    <w:rsid w:val="00891869"/>
    <w:rsid w:val="008926E6"/>
    <w:rsid w:val="00892BE1"/>
    <w:rsid w:val="00893CCE"/>
    <w:rsid w:val="00893D76"/>
    <w:rsid w:val="00894DD6"/>
    <w:rsid w:val="00895E0C"/>
    <w:rsid w:val="00895EB9"/>
    <w:rsid w:val="008960B3"/>
    <w:rsid w:val="0089631B"/>
    <w:rsid w:val="00896732"/>
    <w:rsid w:val="00896D18"/>
    <w:rsid w:val="00896EBD"/>
    <w:rsid w:val="0089727D"/>
    <w:rsid w:val="00897762"/>
    <w:rsid w:val="008A0C00"/>
    <w:rsid w:val="008A18D9"/>
    <w:rsid w:val="008A28BB"/>
    <w:rsid w:val="008A38C8"/>
    <w:rsid w:val="008A3FCA"/>
    <w:rsid w:val="008A4B9F"/>
    <w:rsid w:val="008A5602"/>
    <w:rsid w:val="008A61EE"/>
    <w:rsid w:val="008B08CA"/>
    <w:rsid w:val="008B0C40"/>
    <w:rsid w:val="008B0EDA"/>
    <w:rsid w:val="008B1438"/>
    <w:rsid w:val="008B1542"/>
    <w:rsid w:val="008B1C17"/>
    <w:rsid w:val="008B2C0A"/>
    <w:rsid w:val="008B3375"/>
    <w:rsid w:val="008B339A"/>
    <w:rsid w:val="008B37F0"/>
    <w:rsid w:val="008B4661"/>
    <w:rsid w:val="008B4A2F"/>
    <w:rsid w:val="008B4C53"/>
    <w:rsid w:val="008B519F"/>
    <w:rsid w:val="008B59B2"/>
    <w:rsid w:val="008B59E5"/>
    <w:rsid w:val="008B6019"/>
    <w:rsid w:val="008B6A2A"/>
    <w:rsid w:val="008B6E76"/>
    <w:rsid w:val="008B7BFB"/>
    <w:rsid w:val="008C03B5"/>
    <w:rsid w:val="008C1074"/>
    <w:rsid w:val="008C215C"/>
    <w:rsid w:val="008C265E"/>
    <w:rsid w:val="008C392C"/>
    <w:rsid w:val="008C4264"/>
    <w:rsid w:val="008C4B3E"/>
    <w:rsid w:val="008C4B45"/>
    <w:rsid w:val="008C515B"/>
    <w:rsid w:val="008C604A"/>
    <w:rsid w:val="008C75ED"/>
    <w:rsid w:val="008D1433"/>
    <w:rsid w:val="008D1650"/>
    <w:rsid w:val="008D2BAA"/>
    <w:rsid w:val="008D2D1D"/>
    <w:rsid w:val="008D337B"/>
    <w:rsid w:val="008D3C6E"/>
    <w:rsid w:val="008D64C2"/>
    <w:rsid w:val="008D6B24"/>
    <w:rsid w:val="008D7C3B"/>
    <w:rsid w:val="008E03CA"/>
    <w:rsid w:val="008E16E4"/>
    <w:rsid w:val="008E1C33"/>
    <w:rsid w:val="008E1FAD"/>
    <w:rsid w:val="008E2A7E"/>
    <w:rsid w:val="008E4741"/>
    <w:rsid w:val="008E497D"/>
    <w:rsid w:val="008E4B0D"/>
    <w:rsid w:val="008E5545"/>
    <w:rsid w:val="008E5F51"/>
    <w:rsid w:val="008E60AE"/>
    <w:rsid w:val="008E6AEB"/>
    <w:rsid w:val="008E6BA3"/>
    <w:rsid w:val="008E6EDB"/>
    <w:rsid w:val="008E7C27"/>
    <w:rsid w:val="008F0F94"/>
    <w:rsid w:val="008F1695"/>
    <w:rsid w:val="008F1775"/>
    <w:rsid w:val="008F27B6"/>
    <w:rsid w:val="008F2F31"/>
    <w:rsid w:val="008F3D72"/>
    <w:rsid w:val="008F4605"/>
    <w:rsid w:val="008F48D3"/>
    <w:rsid w:val="008F560F"/>
    <w:rsid w:val="008F5EDC"/>
    <w:rsid w:val="008F6407"/>
    <w:rsid w:val="008F671E"/>
    <w:rsid w:val="008F747F"/>
    <w:rsid w:val="008F791F"/>
    <w:rsid w:val="008F7984"/>
    <w:rsid w:val="00900D3D"/>
    <w:rsid w:val="009021E9"/>
    <w:rsid w:val="00902B40"/>
    <w:rsid w:val="009034A7"/>
    <w:rsid w:val="00903710"/>
    <w:rsid w:val="00903F63"/>
    <w:rsid w:val="009043E0"/>
    <w:rsid w:val="0090580E"/>
    <w:rsid w:val="00905D4C"/>
    <w:rsid w:val="00905E4F"/>
    <w:rsid w:val="009069A1"/>
    <w:rsid w:val="00906AE3"/>
    <w:rsid w:val="009077E2"/>
    <w:rsid w:val="00910635"/>
    <w:rsid w:val="00910C92"/>
    <w:rsid w:val="0091182E"/>
    <w:rsid w:val="00912E14"/>
    <w:rsid w:val="0091316E"/>
    <w:rsid w:val="00914956"/>
    <w:rsid w:val="00915D7E"/>
    <w:rsid w:val="00916038"/>
    <w:rsid w:val="0092121E"/>
    <w:rsid w:val="00922948"/>
    <w:rsid w:val="00923498"/>
    <w:rsid w:val="0092491B"/>
    <w:rsid w:val="00925DA1"/>
    <w:rsid w:val="0092622E"/>
    <w:rsid w:val="009268BE"/>
    <w:rsid w:val="009269AB"/>
    <w:rsid w:val="00930F47"/>
    <w:rsid w:val="00931424"/>
    <w:rsid w:val="0093198C"/>
    <w:rsid w:val="009323B1"/>
    <w:rsid w:val="009328F0"/>
    <w:rsid w:val="0093342C"/>
    <w:rsid w:val="00934821"/>
    <w:rsid w:val="00934E1E"/>
    <w:rsid w:val="00935963"/>
    <w:rsid w:val="00937257"/>
    <w:rsid w:val="0093798A"/>
    <w:rsid w:val="00940B6C"/>
    <w:rsid w:val="009416E0"/>
    <w:rsid w:val="00941A7F"/>
    <w:rsid w:val="00941DC0"/>
    <w:rsid w:val="009424C4"/>
    <w:rsid w:val="009424D5"/>
    <w:rsid w:val="00942E2F"/>
    <w:rsid w:val="00943D56"/>
    <w:rsid w:val="00944FA2"/>
    <w:rsid w:val="0094706E"/>
    <w:rsid w:val="0095087B"/>
    <w:rsid w:val="00950A83"/>
    <w:rsid w:val="009512C1"/>
    <w:rsid w:val="009516D7"/>
    <w:rsid w:val="00952944"/>
    <w:rsid w:val="00952F77"/>
    <w:rsid w:val="009532B4"/>
    <w:rsid w:val="00953420"/>
    <w:rsid w:val="00953A61"/>
    <w:rsid w:val="00953E6C"/>
    <w:rsid w:val="009561CA"/>
    <w:rsid w:val="00956560"/>
    <w:rsid w:val="00956568"/>
    <w:rsid w:val="00957FE3"/>
    <w:rsid w:val="00962733"/>
    <w:rsid w:val="00963296"/>
    <w:rsid w:val="0096411E"/>
    <w:rsid w:val="009673AE"/>
    <w:rsid w:val="00967E16"/>
    <w:rsid w:val="009702D4"/>
    <w:rsid w:val="00970411"/>
    <w:rsid w:val="009704E5"/>
    <w:rsid w:val="00970A64"/>
    <w:rsid w:val="00970EE9"/>
    <w:rsid w:val="00971A5C"/>
    <w:rsid w:val="00971DDE"/>
    <w:rsid w:val="00972DB0"/>
    <w:rsid w:val="00972DC7"/>
    <w:rsid w:val="009736FC"/>
    <w:rsid w:val="009737CB"/>
    <w:rsid w:val="009739BF"/>
    <w:rsid w:val="00973C26"/>
    <w:rsid w:val="00974A1E"/>
    <w:rsid w:val="00974E7F"/>
    <w:rsid w:val="009751B4"/>
    <w:rsid w:val="0097654C"/>
    <w:rsid w:val="009775C3"/>
    <w:rsid w:val="00977680"/>
    <w:rsid w:val="009777F2"/>
    <w:rsid w:val="009801A2"/>
    <w:rsid w:val="0098287C"/>
    <w:rsid w:val="00982C7D"/>
    <w:rsid w:val="009830CD"/>
    <w:rsid w:val="009847BD"/>
    <w:rsid w:val="00984804"/>
    <w:rsid w:val="0099035C"/>
    <w:rsid w:val="009908EC"/>
    <w:rsid w:val="00990DF2"/>
    <w:rsid w:val="00991683"/>
    <w:rsid w:val="0099192A"/>
    <w:rsid w:val="00993A91"/>
    <w:rsid w:val="009945BB"/>
    <w:rsid w:val="00994926"/>
    <w:rsid w:val="00994C1D"/>
    <w:rsid w:val="00995F27"/>
    <w:rsid w:val="009965AF"/>
    <w:rsid w:val="00996BC2"/>
    <w:rsid w:val="00997378"/>
    <w:rsid w:val="009A0358"/>
    <w:rsid w:val="009A0754"/>
    <w:rsid w:val="009A10D3"/>
    <w:rsid w:val="009A19AF"/>
    <w:rsid w:val="009A1CCA"/>
    <w:rsid w:val="009A26B3"/>
    <w:rsid w:val="009A350C"/>
    <w:rsid w:val="009A38FC"/>
    <w:rsid w:val="009A3985"/>
    <w:rsid w:val="009A4344"/>
    <w:rsid w:val="009A4DC3"/>
    <w:rsid w:val="009A4DF9"/>
    <w:rsid w:val="009A5609"/>
    <w:rsid w:val="009A7AEF"/>
    <w:rsid w:val="009B026C"/>
    <w:rsid w:val="009B047A"/>
    <w:rsid w:val="009B1640"/>
    <w:rsid w:val="009B28C3"/>
    <w:rsid w:val="009B2C8C"/>
    <w:rsid w:val="009B3D2C"/>
    <w:rsid w:val="009B3FE3"/>
    <w:rsid w:val="009B451C"/>
    <w:rsid w:val="009B56D9"/>
    <w:rsid w:val="009B58EB"/>
    <w:rsid w:val="009B5976"/>
    <w:rsid w:val="009B61A3"/>
    <w:rsid w:val="009B77FA"/>
    <w:rsid w:val="009B7EE8"/>
    <w:rsid w:val="009B7F98"/>
    <w:rsid w:val="009C03EA"/>
    <w:rsid w:val="009C3B57"/>
    <w:rsid w:val="009C3DE7"/>
    <w:rsid w:val="009C447D"/>
    <w:rsid w:val="009C4E64"/>
    <w:rsid w:val="009C5BAC"/>
    <w:rsid w:val="009C5CA5"/>
    <w:rsid w:val="009C6697"/>
    <w:rsid w:val="009C6CE7"/>
    <w:rsid w:val="009D001C"/>
    <w:rsid w:val="009D0705"/>
    <w:rsid w:val="009D076E"/>
    <w:rsid w:val="009D1529"/>
    <w:rsid w:val="009D21F4"/>
    <w:rsid w:val="009D22EF"/>
    <w:rsid w:val="009D2735"/>
    <w:rsid w:val="009D3772"/>
    <w:rsid w:val="009D3849"/>
    <w:rsid w:val="009D43F3"/>
    <w:rsid w:val="009D44D9"/>
    <w:rsid w:val="009D4A3D"/>
    <w:rsid w:val="009D4A6C"/>
    <w:rsid w:val="009D4D24"/>
    <w:rsid w:val="009D68B8"/>
    <w:rsid w:val="009D6B73"/>
    <w:rsid w:val="009D7928"/>
    <w:rsid w:val="009D7F7E"/>
    <w:rsid w:val="009E0833"/>
    <w:rsid w:val="009E22BD"/>
    <w:rsid w:val="009E383E"/>
    <w:rsid w:val="009E566B"/>
    <w:rsid w:val="009E6302"/>
    <w:rsid w:val="009E650E"/>
    <w:rsid w:val="009E7219"/>
    <w:rsid w:val="009E7778"/>
    <w:rsid w:val="009E7E7A"/>
    <w:rsid w:val="009F02B2"/>
    <w:rsid w:val="009F418C"/>
    <w:rsid w:val="009F56D7"/>
    <w:rsid w:val="009F5C02"/>
    <w:rsid w:val="009F5D5E"/>
    <w:rsid w:val="009F5F9D"/>
    <w:rsid w:val="009F606C"/>
    <w:rsid w:val="009F7778"/>
    <w:rsid w:val="00A02AAB"/>
    <w:rsid w:val="00A04D58"/>
    <w:rsid w:val="00A05380"/>
    <w:rsid w:val="00A053FA"/>
    <w:rsid w:val="00A056F6"/>
    <w:rsid w:val="00A06DFF"/>
    <w:rsid w:val="00A07EAB"/>
    <w:rsid w:val="00A10A4F"/>
    <w:rsid w:val="00A10BE7"/>
    <w:rsid w:val="00A10D1A"/>
    <w:rsid w:val="00A129FC"/>
    <w:rsid w:val="00A12A69"/>
    <w:rsid w:val="00A14549"/>
    <w:rsid w:val="00A14BB2"/>
    <w:rsid w:val="00A16AF8"/>
    <w:rsid w:val="00A16B61"/>
    <w:rsid w:val="00A16C4B"/>
    <w:rsid w:val="00A16D5B"/>
    <w:rsid w:val="00A17138"/>
    <w:rsid w:val="00A171A1"/>
    <w:rsid w:val="00A17BC3"/>
    <w:rsid w:val="00A2073F"/>
    <w:rsid w:val="00A214DB"/>
    <w:rsid w:val="00A21519"/>
    <w:rsid w:val="00A227F6"/>
    <w:rsid w:val="00A23B05"/>
    <w:rsid w:val="00A23B96"/>
    <w:rsid w:val="00A23D10"/>
    <w:rsid w:val="00A23FEF"/>
    <w:rsid w:val="00A2400C"/>
    <w:rsid w:val="00A2426D"/>
    <w:rsid w:val="00A24949"/>
    <w:rsid w:val="00A262DF"/>
    <w:rsid w:val="00A27949"/>
    <w:rsid w:val="00A302CE"/>
    <w:rsid w:val="00A30A2D"/>
    <w:rsid w:val="00A314A8"/>
    <w:rsid w:val="00A31A9E"/>
    <w:rsid w:val="00A32078"/>
    <w:rsid w:val="00A32F17"/>
    <w:rsid w:val="00A33BFB"/>
    <w:rsid w:val="00A34480"/>
    <w:rsid w:val="00A35129"/>
    <w:rsid w:val="00A354B5"/>
    <w:rsid w:val="00A36BBB"/>
    <w:rsid w:val="00A36C4C"/>
    <w:rsid w:val="00A400C0"/>
    <w:rsid w:val="00A40468"/>
    <w:rsid w:val="00A40801"/>
    <w:rsid w:val="00A40AF7"/>
    <w:rsid w:val="00A41095"/>
    <w:rsid w:val="00A4148E"/>
    <w:rsid w:val="00A41D40"/>
    <w:rsid w:val="00A41E38"/>
    <w:rsid w:val="00A424D6"/>
    <w:rsid w:val="00A43509"/>
    <w:rsid w:val="00A43F76"/>
    <w:rsid w:val="00A45F59"/>
    <w:rsid w:val="00A47240"/>
    <w:rsid w:val="00A50D15"/>
    <w:rsid w:val="00A51674"/>
    <w:rsid w:val="00A5190E"/>
    <w:rsid w:val="00A52C7F"/>
    <w:rsid w:val="00A55025"/>
    <w:rsid w:val="00A554BA"/>
    <w:rsid w:val="00A5575D"/>
    <w:rsid w:val="00A5690B"/>
    <w:rsid w:val="00A61308"/>
    <w:rsid w:val="00A61EAE"/>
    <w:rsid w:val="00A628A1"/>
    <w:rsid w:val="00A63614"/>
    <w:rsid w:val="00A63CE2"/>
    <w:rsid w:val="00A63E71"/>
    <w:rsid w:val="00A64CC1"/>
    <w:rsid w:val="00A65747"/>
    <w:rsid w:val="00A659BF"/>
    <w:rsid w:val="00A67660"/>
    <w:rsid w:val="00A67B02"/>
    <w:rsid w:val="00A70C6B"/>
    <w:rsid w:val="00A71050"/>
    <w:rsid w:val="00A710A6"/>
    <w:rsid w:val="00A71C06"/>
    <w:rsid w:val="00A743B7"/>
    <w:rsid w:val="00A76685"/>
    <w:rsid w:val="00A77EDC"/>
    <w:rsid w:val="00A80F5F"/>
    <w:rsid w:val="00A8148C"/>
    <w:rsid w:val="00A815E8"/>
    <w:rsid w:val="00A822CA"/>
    <w:rsid w:val="00A82C47"/>
    <w:rsid w:val="00A82F59"/>
    <w:rsid w:val="00A83220"/>
    <w:rsid w:val="00A83E5C"/>
    <w:rsid w:val="00A8418C"/>
    <w:rsid w:val="00A85443"/>
    <w:rsid w:val="00A859F5"/>
    <w:rsid w:val="00A85A24"/>
    <w:rsid w:val="00A85BA2"/>
    <w:rsid w:val="00A8682F"/>
    <w:rsid w:val="00A86D61"/>
    <w:rsid w:val="00A87186"/>
    <w:rsid w:val="00A92685"/>
    <w:rsid w:val="00A92C75"/>
    <w:rsid w:val="00A96161"/>
    <w:rsid w:val="00A964E8"/>
    <w:rsid w:val="00A969C4"/>
    <w:rsid w:val="00A97ED2"/>
    <w:rsid w:val="00AA0861"/>
    <w:rsid w:val="00AA1AC9"/>
    <w:rsid w:val="00AA2893"/>
    <w:rsid w:val="00AA2B21"/>
    <w:rsid w:val="00AA2F7A"/>
    <w:rsid w:val="00AA2FBC"/>
    <w:rsid w:val="00AA4368"/>
    <w:rsid w:val="00AA6BC4"/>
    <w:rsid w:val="00AA6C0F"/>
    <w:rsid w:val="00AA6C94"/>
    <w:rsid w:val="00AA77F0"/>
    <w:rsid w:val="00AB011A"/>
    <w:rsid w:val="00AB186B"/>
    <w:rsid w:val="00AB1888"/>
    <w:rsid w:val="00AB290A"/>
    <w:rsid w:val="00AB2933"/>
    <w:rsid w:val="00AB30B3"/>
    <w:rsid w:val="00AB35DD"/>
    <w:rsid w:val="00AB3E28"/>
    <w:rsid w:val="00AB5623"/>
    <w:rsid w:val="00AB6036"/>
    <w:rsid w:val="00AB62B3"/>
    <w:rsid w:val="00AB62CA"/>
    <w:rsid w:val="00AB6854"/>
    <w:rsid w:val="00AB7F57"/>
    <w:rsid w:val="00AC0814"/>
    <w:rsid w:val="00AC0BAC"/>
    <w:rsid w:val="00AC1F80"/>
    <w:rsid w:val="00AC54B9"/>
    <w:rsid w:val="00AC5BC7"/>
    <w:rsid w:val="00AC5C81"/>
    <w:rsid w:val="00AC6FD3"/>
    <w:rsid w:val="00AC711D"/>
    <w:rsid w:val="00AC7357"/>
    <w:rsid w:val="00AC77EA"/>
    <w:rsid w:val="00AC7BF9"/>
    <w:rsid w:val="00AD01EB"/>
    <w:rsid w:val="00AD0430"/>
    <w:rsid w:val="00AD057D"/>
    <w:rsid w:val="00AD08D1"/>
    <w:rsid w:val="00AD375E"/>
    <w:rsid w:val="00AD4FF3"/>
    <w:rsid w:val="00AD5156"/>
    <w:rsid w:val="00AD5FE6"/>
    <w:rsid w:val="00AD65E3"/>
    <w:rsid w:val="00AD6B3A"/>
    <w:rsid w:val="00AD6D84"/>
    <w:rsid w:val="00AD7D80"/>
    <w:rsid w:val="00AE1DC2"/>
    <w:rsid w:val="00AE2622"/>
    <w:rsid w:val="00AE2F39"/>
    <w:rsid w:val="00AE30F3"/>
    <w:rsid w:val="00AE361D"/>
    <w:rsid w:val="00AE3CE4"/>
    <w:rsid w:val="00AE3F26"/>
    <w:rsid w:val="00AE4081"/>
    <w:rsid w:val="00AE4F91"/>
    <w:rsid w:val="00AE6534"/>
    <w:rsid w:val="00AE69D8"/>
    <w:rsid w:val="00AE71A3"/>
    <w:rsid w:val="00AE74EF"/>
    <w:rsid w:val="00AE79D9"/>
    <w:rsid w:val="00AE7A0C"/>
    <w:rsid w:val="00AF01B1"/>
    <w:rsid w:val="00AF0C03"/>
    <w:rsid w:val="00AF14C1"/>
    <w:rsid w:val="00AF25A4"/>
    <w:rsid w:val="00AF2BB8"/>
    <w:rsid w:val="00AF309C"/>
    <w:rsid w:val="00AF3C2A"/>
    <w:rsid w:val="00AF3F73"/>
    <w:rsid w:val="00AF4B5E"/>
    <w:rsid w:val="00AF50C2"/>
    <w:rsid w:val="00AF7A9D"/>
    <w:rsid w:val="00B00BF0"/>
    <w:rsid w:val="00B017A6"/>
    <w:rsid w:val="00B027CD"/>
    <w:rsid w:val="00B0289A"/>
    <w:rsid w:val="00B02963"/>
    <w:rsid w:val="00B0529B"/>
    <w:rsid w:val="00B052FB"/>
    <w:rsid w:val="00B05A14"/>
    <w:rsid w:val="00B05B86"/>
    <w:rsid w:val="00B05C41"/>
    <w:rsid w:val="00B05E6F"/>
    <w:rsid w:val="00B05EC7"/>
    <w:rsid w:val="00B06792"/>
    <w:rsid w:val="00B074CE"/>
    <w:rsid w:val="00B10D36"/>
    <w:rsid w:val="00B113B2"/>
    <w:rsid w:val="00B11742"/>
    <w:rsid w:val="00B11820"/>
    <w:rsid w:val="00B11BEA"/>
    <w:rsid w:val="00B127C4"/>
    <w:rsid w:val="00B1292D"/>
    <w:rsid w:val="00B12B28"/>
    <w:rsid w:val="00B13105"/>
    <w:rsid w:val="00B141E6"/>
    <w:rsid w:val="00B1455D"/>
    <w:rsid w:val="00B14FF5"/>
    <w:rsid w:val="00B155F5"/>
    <w:rsid w:val="00B15BAB"/>
    <w:rsid w:val="00B17596"/>
    <w:rsid w:val="00B1774F"/>
    <w:rsid w:val="00B17B46"/>
    <w:rsid w:val="00B201DA"/>
    <w:rsid w:val="00B20DE0"/>
    <w:rsid w:val="00B21243"/>
    <w:rsid w:val="00B21670"/>
    <w:rsid w:val="00B228E4"/>
    <w:rsid w:val="00B22C4F"/>
    <w:rsid w:val="00B22D85"/>
    <w:rsid w:val="00B2437D"/>
    <w:rsid w:val="00B253CF"/>
    <w:rsid w:val="00B25D0F"/>
    <w:rsid w:val="00B26588"/>
    <w:rsid w:val="00B301F4"/>
    <w:rsid w:val="00B305F6"/>
    <w:rsid w:val="00B328AB"/>
    <w:rsid w:val="00B32A4C"/>
    <w:rsid w:val="00B32EF3"/>
    <w:rsid w:val="00B334F6"/>
    <w:rsid w:val="00B3417B"/>
    <w:rsid w:val="00B342E3"/>
    <w:rsid w:val="00B34C4F"/>
    <w:rsid w:val="00B352CE"/>
    <w:rsid w:val="00B363B2"/>
    <w:rsid w:val="00B369DA"/>
    <w:rsid w:val="00B36B16"/>
    <w:rsid w:val="00B40388"/>
    <w:rsid w:val="00B41374"/>
    <w:rsid w:val="00B428B2"/>
    <w:rsid w:val="00B42B06"/>
    <w:rsid w:val="00B433F9"/>
    <w:rsid w:val="00B43656"/>
    <w:rsid w:val="00B43FC5"/>
    <w:rsid w:val="00B4569E"/>
    <w:rsid w:val="00B45852"/>
    <w:rsid w:val="00B45C78"/>
    <w:rsid w:val="00B464A0"/>
    <w:rsid w:val="00B47074"/>
    <w:rsid w:val="00B50B2F"/>
    <w:rsid w:val="00B50BC9"/>
    <w:rsid w:val="00B51654"/>
    <w:rsid w:val="00B517B7"/>
    <w:rsid w:val="00B51924"/>
    <w:rsid w:val="00B51B2B"/>
    <w:rsid w:val="00B52183"/>
    <w:rsid w:val="00B52BFF"/>
    <w:rsid w:val="00B53401"/>
    <w:rsid w:val="00B53981"/>
    <w:rsid w:val="00B541C2"/>
    <w:rsid w:val="00B543A7"/>
    <w:rsid w:val="00B54F9E"/>
    <w:rsid w:val="00B54FAE"/>
    <w:rsid w:val="00B551BF"/>
    <w:rsid w:val="00B56AFC"/>
    <w:rsid w:val="00B56ECB"/>
    <w:rsid w:val="00B56EFB"/>
    <w:rsid w:val="00B56F17"/>
    <w:rsid w:val="00B573A4"/>
    <w:rsid w:val="00B57671"/>
    <w:rsid w:val="00B5774E"/>
    <w:rsid w:val="00B60912"/>
    <w:rsid w:val="00B60A7B"/>
    <w:rsid w:val="00B63009"/>
    <w:rsid w:val="00B6338F"/>
    <w:rsid w:val="00B63528"/>
    <w:rsid w:val="00B6568A"/>
    <w:rsid w:val="00B65F4A"/>
    <w:rsid w:val="00B667B5"/>
    <w:rsid w:val="00B70182"/>
    <w:rsid w:val="00B71AA1"/>
    <w:rsid w:val="00B71CB7"/>
    <w:rsid w:val="00B722C8"/>
    <w:rsid w:val="00B7270F"/>
    <w:rsid w:val="00B7271C"/>
    <w:rsid w:val="00B72792"/>
    <w:rsid w:val="00B72EA2"/>
    <w:rsid w:val="00B7433D"/>
    <w:rsid w:val="00B7494C"/>
    <w:rsid w:val="00B753C0"/>
    <w:rsid w:val="00B76AEA"/>
    <w:rsid w:val="00B76B31"/>
    <w:rsid w:val="00B76E76"/>
    <w:rsid w:val="00B80E72"/>
    <w:rsid w:val="00B810AA"/>
    <w:rsid w:val="00B81529"/>
    <w:rsid w:val="00B818C6"/>
    <w:rsid w:val="00B82CC4"/>
    <w:rsid w:val="00B8328D"/>
    <w:rsid w:val="00B83CB6"/>
    <w:rsid w:val="00B845D8"/>
    <w:rsid w:val="00B84A01"/>
    <w:rsid w:val="00B8619C"/>
    <w:rsid w:val="00B8772F"/>
    <w:rsid w:val="00B87F8E"/>
    <w:rsid w:val="00B91A8B"/>
    <w:rsid w:val="00B960D1"/>
    <w:rsid w:val="00B96FC1"/>
    <w:rsid w:val="00B97761"/>
    <w:rsid w:val="00BA0377"/>
    <w:rsid w:val="00BA1485"/>
    <w:rsid w:val="00BA157E"/>
    <w:rsid w:val="00BA1E3F"/>
    <w:rsid w:val="00BA2807"/>
    <w:rsid w:val="00BA388C"/>
    <w:rsid w:val="00BA3922"/>
    <w:rsid w:val="00BA4CB7"/>
    <w:rsid w:val="00BA5132"/>
    <w:rsid w:val="00BA533A"/>
    <w:rsid w:val="00BA5788"/>
    <w:rsid w:val="00BA7613"/>
    <w:rsid w:val="00BB0551"/>
    <w:rsid w:val="00BB0957"/>
    <w:rsid w:val="00BB0E60"/>
    <w:rsid w:val="00BB1958"/>
    <w:rsid w:val="00BB1B42"/>
    <w:rsid w:val="00BB25BD"/>
    <w:rsid w:val="00BB3284"/>
    <w:rsid w:val="00BB35BA"/>
    <w:rsid w:val="00BB3B45"/>
    <w:rsid w:val="00BB3C0F"/>
    <w:rsid w:val="00BB3EC2"/>
    <w:rsid w:val="00BB4F61"/>
    <w:rsid w:val="00BB5B88"/>
    <w:rsid w:val="00BB7840"/>
    <w:rsid w:val="00BB7FB2"/>
    <w:rsid w:val="00BC032A"/>
    <w:rsid w:val="00BC0FBF"/>
    <w:rsid w:val="00BC1228"/>
    <w:rsid w:val="00BC19E7"/>
    <w:rsid w:val="00BC27D2"/>
    <w:rsid w:val="00BC2914"/>
    <w:rsid w:val="00BC2BB8"/>
    <w:rsid w:val="00BC2BEA"/>
    <w:rsid w:val="00BC41EC"/>
    <w:rsid w:val="00BC4921"/>
    <w:rsid w:val="00BC5989"/>
    <w:rsid w:val="00BC6097"/>
    <w:rsid w:val="00BC7117"/>
    <w:rsid w:val="00BC7139"/>
    <w:rsid w:val="00BC7933"/>
    <w:rsid w:val="00BC79EE"/>
    <w:rsid w:val="00BD050D"/>
    <w:rsid w:val="00BD1260"/>
    <w:rsid w:val="00BD1E20"/>
    <w:rsid w:val="00BD29BC"/>
    <w:rsid w:val="00BD2CDA"/>
    <w:rsid w:val="00BD33E4"/>
    <w:rsid w:val="00BD3916"/>
    <w:rsid w:val="00BD3AC9"/>
    <w:rsid w:val="00BD40ED"/>
    <w:rsid w:val="00BD665D"/>
    <w:rsid w:val="00BD66A1"/>
    <w:rsid w:val="00BE029B"/>
    <w:rsid w:val="00BE16C4"/>
    <w:rsid w:val="00BE17AC"/>
    <w:rsid w:val="00BE1850"/>
    <w:rsid w:val="00BE3472"/>
    <w:rsid w:val="00BE3739"/>
    <w:rsid w:val="00BE3F52"/>
    <w:rsid w:val="00BE444A"/>
    <w:rsid w:val="00BE584C"/>
    <w:rsid w:val="00BE6088"/>
    <w:rsid w:val="00BE6163"/>
    <w:rsid w:val="00BE6797"/>
    <w:rsid w:val="00BE68DB"/>
    <w:rsid w:val="00BE6CC8"/>
    <w:rsid w:val="00BE6FEF"/>
    <w:rsid w:val="00BE7B0D"/>
    <w:rsid w:val="00BF0B91"/>
    <w:rsid w:val="00BF16DF"/>
    <w:rsid w:val="00BF2777"/>
    <w:rsid w:val="00BF2E7B"/>
    <w:rsid w:val="00BF3731"/>
    <w:rsid w:val="00BF471B"/>
    <w:rsid w:val="00BF6680"/>
    <w:rsid w:val="00C00090"/>
    <w:rsid w:val="00C007CA"/>
    <w:rsid w:val="00C02436"/>
    <w:rsid w:val="00C02FC2"/>
    <w:rsid w:val="00C030C0"/>
    <w:rsid w:val="00C0337D"/>
    <w:rsid w:val="00C04C73"/>
    <w:rsid w:val="00C04F4D"/>
    <w:rsid w:val="00C072A8"/>
    <w:rsid w:val="00C07CD7"/>
    <w:rsid w:val="00C07DD9"/>
    <w:rsid w:val="00C07FE2"/>
    <w:rsid w:val="00C11496"/>
    <w:rsid w:val="00C124B1"/>
    <w:rsid w:val="00C132A8"/>
    <w:rsid w:val="00C14B8E"/>
    <w:rsid w:val="00C15BE4"/>
    <w:rsid w:val="00C179CE"/>
    <w:rsid w:val="00C2119B"/>
    <w:rsid w:val="00C21450"/>
    <w:rsid w:val="00C24484"/>
    <w:rsid w:val="00C246F4"/>
    <w:rsid w:val="00C25A95"/>
    <w:rsid w:val="00C25AAE"/>
    <w:rsid w:val="00C2648C"/>
    <w:rsid w:val="00C26927"/>
    <w:rsid w:val="00C306E4"/>
    <w:rsid w:val="00C306F1"/>
    <w:rsid w:val="00C318B4"/>
    <w:rsid w:val="00C31BC0"/>
    <w:rsid w:val="00C323A0"/>
    <w:rsid w:val="00C32681"/>
    <w:rsid w:val="00C34A6C"/>
    <w:rsid w:val="00C36339"/>
    <w:rsid w:val="00C36365"/>
    <w:rsid w:val="00C3707D"/>
    <w:rsid w:val="00C37BF9"/>
    <w:rsid w:val="00C40D31"/>
    <w:rsid w:val="00C41857"/>
    <w:rsid w:val="00C42032"/>
    <w:rsid w:val="00C436C7"/>
    <w:rsid w:val="00C4395D"/>
    <w:rsid w:val="00C45AB0"/>
    <w:rsid w:val="00C46B29"/>
    <w:rsid w:val="00C46DFB"/>
    <w:rsid w:val="00C50524"/>
    <w:rsid w:val="00C511C7"/>
    <w:rsid w:val="00C513E1"/>
    <w:rsid w:val="00C52036"/>
    <w:rsid w:val="00C53FED"/>
    <w:rsid w:val="00C54872"/>
    <w:rsid w:val="00C550A5"/>
    <w:rsid w:val="00C5527B"/>
    <w:rsid w:val="00C5558D"/>
    <w:rsid w:val="00C56303"/>
    <w:rsid w:val="00C56F38"/>
    <w:rsid w:val="00C57B6A"/>
    <w:rsid w:val="00C57C47"/>
    <w:rsid w:val="00C60722"/>
    <w:rsid w:val="00C60A30"/>
    <w:rsid w:val="00C60B81"/>
    <w:rsid w:val="00C61F8E"/>
    <w:rsid w:val="00C633FC"/>
    <w:rsid w:val="00C63ABB"/>
    <w:rsid w:val="00C6445F"/>
    <w:rsid w:val="00C64A01"/>
    <w:rsid w:val="00C64FE3"/>
    <w:rsid w:val="00C6504C"/>
    <w:rsid w:val="00C651DC"/>
    <w:rsid w:val="00C656D8"/>
    <w:rsid w:val="00C65731"/>
    <w:rsid w:val="00C70550"/>
    <w:rsid w:val="00C71869"/>
    <w:rsid w:val="00C72D8D"/>
    <w:rsid w:val="00C73763"/>
    <w:rsid w:val="00C73F5E"/>
    <w:rsid w:val="00C74D28"/>
    <w:rsid w:val="00C752C9"/>
    <w:rsid w:val="00C75324"/>
    <w:rsid w:val="00C755FC"/>
    <w:rsid w:val="00C7567F"/>
    <w:rsid w:val="00C769C4"/>
    <w:rsid w:val="00C77547"/>
    <w:rsid w:val="00C77A0E"/>
    <w:rsid w:val="00C77D50"/>
    <w:rsid w:val="00C77DAE"/>
    <w:rsid w:val="00C80828"/>
    <w:rsid w:val="00C80A89"/>
    <w:rsid w:val="00C8139E"/>
    <w:rsid w:val="00C81A96"/>
    <w:rsid w:val="00C821FA"/>
    <w:rsid w:val="00C82B91"/>
    <w:rsid w:val="00C82E3F"/>
    <w:rsid w:val="00C838A9"/>
    <w:rsid w:val="00C83B86"/>
    <w:rsid w:val="00C85581"/>
    <w:rsid w:val="00C86134"/>
    <w:rsid w:val="00C86F0A"/>
    <w:rsid w:val="00C872FD"/>
    <w:rsid w:val="00C874EF"/>
    <w:rsid w:val="00C875DC"/>
    <w:rsid w:val="00C877A4"/>
    <w:rsid w:val="00C906E9"/>
    <w:rsid w:val="00C936DD"/>
    <w:rsid w:val="00C937DD"/>
    <w:rsid w:val="00C943DA"/>
    <w:rsid w:val="00C94EAC"/>
    <w:rsid w:val="00C952D4"/>
    <w:rsid w:val="00C95CDF"/>
    <w:rsid w:val="00C96212"/>
    <w:rsid w:val="00C96CE9"/>
    <w:rsid w:val="00C96D07"/>
    <w:rsid w:val="00C96D40"/>
    <w:rsid w:val="00C96DCA"/>
    <w:rsid w:val="00C9783F"/>
    <w:rsid w:val="00C97B25"/>
    <w:rsid w:val="00CA03E5"/>
    <w:rsid w:val="00CA0A2F"/>
    <w:rsid w:val="00CA0EAF"/>
    <w:rsid w:val="00CA14FE"/>
    <w:rsid w:val="00CA3233"/>
    <w:rsid w:val="00CA36A7"/>
    <w:rsid w:val="00CA3E6F"/>
    <w:rsid w:val="00CA41AC"/>
    <w:rsid w:val="00CA523F"/>
    <w:rsid w:val="00CA53E8"/>
    <w:rsid w:val="00CA5965"/>
    <w:rsid w:val="00CA5FD2"/>
    <w:rsid w:val="00CA7021"/>
    <w:rsid w:val="00CA7C28"/>
    <w:rsid w:val="00CB02BA"/>
    <w:rsid w:val="00CB0F40"/>
    <w:rsid w:val="00CB1207"/>
    <w:rsid w:val="00CB2747"/>
    <w:rsid w:val="00CB2776"/>
    <w:rsid w:val="00CB3D96"/>
    <w:rsid w:val="00CB4C3A"/>
    <w:rsid w:val="00CB5333"/>
    <w:rsid w:val="00CB68E1"/>
    <w:rsid w:val="00CB68E7"/>
    <w:rsid w:val="00CB6E8F"/>
    <w:rsid w:val="00CB7748"/>
    <w:rsid w:val="00CC0136"/>
    <w:rsid w:val="00CC035C"/>
    <w:rsid w:val="00CC17BE"/>
    <w:rsid w:val="00CC2AB2"/>
    <w:rsid w:val="00CC2BD1"/>
    <w:rsid w:val="00CC3CDD"/>
    <w:rsid w:val="00CC5567"/>
    <w:rsid w:val="00CC5601"/>
    <w:rsid w:val="00CC584E"/>
    <w:rsid w:val="00CC5FF4"/>
    <w:rsid w:val="00CC6C66"/>
    <w:rsid w:val="00CC7035"/>
    <w:rsid w:val="00CC7FEC"/>
    <w:rsid w:val="00CD0024"/>
    <w:rsid w:val="00CD1870"/>
    <w:rsid w:val="00CD210F"/>
    <w:rsid w:val="00CD2BA9"/>
    <w:rsid w:val="00CD2BC3"/>
    <w:rsid w:val="00CD3BB4"/>
    <w:rsid w:val="00CD3F58"/>
    <w:rsid w:val="00CD4021"/>
    <w:rsid w:val="00CD4CF8"/>
    <w:rsid w:val="00CD4ED0"/>
    <w:rsid w:val="00CD5FA2"/>
    <w:rsid w:val="00CD6847"/>
    <w:rsid w:val="00CD6984"/>
    <w:rsid w:val="00CD6ABC"/>
    <w:rsid w:val="00CD7318"/>
    <w:rsid w:val="00CD7448"/>
    <w:rsid w:val="00CD7EE6"/>
    <w:rsid w:val="00CE0261"/>
    <w:rsid w:val="00CE2C6F"/>
    <w:rsid w:val="00CE337C"/>
    <w:rsid w:val="00CE3A5B"/>
    <w:rsid w:val="00CE6382"/>
    <w:rsid w:val="00CE70B7"/>
    <w:rsid w:val="00CE71F1"/>
    <w:rsid w:val="00CF043E"/>
    <w:rsid w:val="00CF062A"/>
    <w:rsid w:val="00CF1544"/>
    <w:rsid w:val="00CF171E"/>
    <w:rsid w:val="00CF1EE9"/>
    <w:rsid w:val="00CF24D5"/>
    <w:rsid w:val="00CF2AE5"/>
    <w:rsid w:val="00CF2E3E"/>
    <w:rsid w:val="00CF4212"/>
    <w:rsid w:val="00CF6F42"/>
    <w:rsid w:val="00CF7C94"/>
    <w:rsid w:val="00D00310"/>
    <w:rsid w:val="00D02883"/>
    <w:rsid w:val="00D040AD"/>
    <w:rsid w:val="00D04775"/>
    <w:rsid w:val="00D05963"/>
    <w:rsid w:val="00D05B75"/>
    <w:rsid w:val="00D067F7"/>
    <w:rsid w:val="00D06F0B"/>
    <w:rsid w:val="00D11400"/>
    <w:rsid w:val="00D11B29"/>
    <w:rsid w:val="00D121CB"/>
    <w:rsid w:val="00D1276E"/>
    <w:rsid w:val="00D128A4"/>
    <w:rsid w:val="00D12C55"/>
    <w:rsid w:val="00D12CA6"/>
    <w:rsid w:val="00D13899"/>
    <w:rsid w:val="00D1513A"/>
    <w:rsid w:val="00D153CA"/>
    <w:rsid w:val="00D15D9D"/>
    <w:rsid w:val="00D16027"/>
    <w:rsid w:val="00D16090"/>
    <w:rsid w:val="00D175D4"/>
    <w:rsid w:val="00D20729"/>
    <w:rsid w:val="00D210A2"/>
    <w:rsid w:val="00D212F6"/>
    <w:rsid w:val="00D21805"/>
    <w:rsid w:val="00D21D82"/>
    <w:rsid w:val="00D2303B"/>
    <w:rsid w:val="00D234C6"/>
    <w:rsid w:val="00D23B9E"/>
    <w:rsid w:val="00D24238"/>
    <w:rsid w:val="00D24F43"/>
    <w:rsid w:val="00D2550A"/>
    <w:rsid w:val="00D26401"/>
    <w:rsid w:val="00D26957"/>
    <w:rsid w:val="00D30AF9"/>
    <w:rsid w:val="00D31554"/>
    <w:rsid w:val="00D333B7"/>
    <w:rsid w:val="00D33702"/>
    <w:rsid w:val="00D337CE"/>
    <w:rsid w:val="00D34154"/>
    <w:rsid w:val="00D35ABF"/>
    <w:rsid w:val="00D35F28"/>
    <w:rsid w:val="00D36606"/>
    <w:rsid w:val="00D371E9"/>
    <w:rsid w:val="00D376E8"/>
    <w:rsid w:val="00D377FC"/>
    <w:rsid w:val="00D379D9"/>
    <w:rsid w:val="00D401F0"/>
    <w:rsid w:val="00D40763"/>
    <w:rsid w:val="00D407C7"/>
    <w:rsid w:val="00D40892"/>
    <w:rsid w:val="00D412FF"/>
    <w:rsid w:val="00D41A8A"/>
    <w:rsid w:val="00D41FAE"/>
    <w:rsid w:val="00D42353"/>
    <w:rsid w:val="00D429B4"/>
    <w:rsid w:val="00D42AA0"/>
    <w:rsid w:val="00D42C6B"/>
    <w:rsid w:val="00D434BF"/>
    <w:rsid w:val="00D44886"/>
    <w:rsid w:val="00D46118"/>
    <w:rsid w:val="00D475FD"/>
    <w:rsid w:val="00D4772F"/>
    <w:rsid w:val="00D47C0D"/>
    <w:rsid w:val="00D50358"/>
    <w:rsid w:val="00D509D5"/>
    <w:rsid w:val="00D50BA9"/>
    <w:rsid w:val="00D50F4A"/>
    <w:rsid w:val="00D53277"/>
    <w:rsid w:val="00D53EFE"/>
    <w:rsid w:val="00D540C1"/>
    <w:rsid w:val="00D54C89"/>
    <w:rsid w:val="00D5575B"/>
    <w:rsid w:val="00D5589E"/>
    <w:rsid w:val="00D56585"/>
    <w:rsid w:val="00D568F8"/>
    <w:rsid w:val="00D57110"/>
    <w:rsid w:val="00D57F2B"/>
    <w:rsid w:val="00D611EF"/>
    <w:rsid w:val="00D6195A"/>
    <w:rsid w:val="00D62840"/>
    <w:rsid w:val="00D62F08"/>
    <w:rsid w:val="00D6336A"/>
    <w:rsid w:val="00D63423"/>
    <w:rsid w:val="00D63582"/>
    <w:rsid w:val="00D65FB2"/>
    <w:rsid w:val="00D67D2F"/>
    <w:rsid w:val="00D700AB"/>
    <w:rsid w:val="00D71407"/>
    <w:rsid w:val="00D727D9"/>
    <w:rsid w:val="00D72811"/>
    <w:rsid w:val="00D736C7"/>
    <w:rsid w:val="00D73BB0"/>
    <w:rsid w:val="00D7413C"/>
    <w:rsid w:val="00D76987"/>
    <w:rsid w:val="00D76C74"/>
    <w:rsid w:val="00D76DA3"/>
    <w:rsid w:val="00D777D6"/>
    <w:rsid w:val="00D80CC0"/>
    <w:rsid w:val="00D815B4"/>
    <w:rsid w:val="00D81D8E"/>
    <w:rsid w:val="00D81FDD"/>
    <w:rsid w:val="00D822BB"/>
    <w:rsid w:val="00D823EA"/>
    <w:rsid w:val="00D836EB"/>
    <w:rsid w:val="00D83A5C"/>
    <w:rsid w:val="00D862C7"/>
    <w:rsid w:val="00D87567"/>
    <w:rsid w:val="00D879F0"/>
    <w:rsid w:val="00D87A06"/>
    <w:rsid w:val="00D87AC2"/>
    <w:rsid w:val="00D90D63"/>
    <w:rsid w:val="00D9163F"/>
    <w:rsid w:val="00D927B4"/>
    <w:rsid w:val="00D92AF5"/>
    <w:rsid w:val="00D92C7A"/>
    <w:rsid w:val="00D9391E"/>
    <w:rsid w:val="00D94770"/>
    <w:rsid w:val="00D949DD"/>
    <w:rsid w:val="00D95286"/>
    <w:rsid w:val="00D96919"/>
    <w:rsid w:val="00D97962"/>
    <w:rsid w:val="00DA0450"/>
    <w:rsid w:val="00DA0481"/>
    <w:rsid w:val="00DA1835"/>
    <w:rsid w:val="00DA2302"/>
    <w:rsid w:val="00DA259E"/>
    <w:rsid w:val="00DA25C7"/>
    <w:rsid w:val="00DA2EDF"/>
    <w:rsid w:val="00DA4070"/>
    <w:rsid w:val="00DA4C6A"/>
    <w:rsid w:val="00DA5F77"/>
    <w:rsid w:val="00DA64FA"/>
    <w:rsid w:val="00DA6574"/>
    <w:rsid w:val="00DA71E1"/>
    <w:rsid w:val="00DA7A7F"/>
    <w:rsid w:val="00DA7ABE"/>
    <w:rsid w:val="00DB08B8"/>
    <w:rsid w:val="00DB0B5C"/>
    <w:rsid w:val="00DB1FF5"/>
    <w:rsid w:val="00DB20E4"/>
    <w:rsid w:val="00DB2484"/>
    <w:rsid w:val="00DB25CC"/>
    <w:rsid w:val="00DB2BB4"/>
    <w:rsid w:val="00DB389C"/>
    <w:rsid w:val="00DB4DA8"/>
    <w:rsid w:val="00DB5C87"/>
    <w:rsid w:val="00DB61CB"/>
    <w:rsid w:val="00DB6411"/>
    <w:rsid w:val="00DB66FF"/>
    <w:rsid w:val="00DC046C"/>
    <w:rsid w:val="00DC0CE1"/>
    <w:rsid w:val="00DC12EF"/>
    <w:rsid w:val="00DC2986"/>
    <w:rsid w:val="00DC3FB3"/>
    <w:rsid w:val="00DC4F69"/>
    <w:rsid w:val="00DC60F6"/>
    <w:rsid w:val="00DC635A"/>
    <w:rsid w:val="00DC6965"/>
    <w:rsid w:val="00DC70A0"/>
    <w:rsid w:val="00DC7717"/>
    <w:rsid w:val="00DD1510"/>
    <w:rsid w:val="00DD2CDE"/>
    <w:rsid w:val="00DD2F5D"/>
    <w:rsid w:val="00DD3169"/>
    <w:rsid w:val="00DD3E5A"/>
    <w:rsid w:val="00DD3EDF"/>
    <w:rsid w:val="00DD4FA2"/>
    <w:rsid w:val="00DD5B9A"/>
    <w:rsid w:val="00DD6523"/>
    <w:rsid w:val="00DD66C3"/>
    <w:rsid w:val="00DD695F"/>
    <w:rsid w:val="00DD7069"/>
    <w:rsid w:val="00DD789A"/>
    <w:rsid w:val="00DE1A0C"/>
    <w:rsid w:val="00DE1BA3"/>
    <w:rsid w:val="00DE1C86"/>
    <w:rsid w:val="00DE1E63"/>
    <w:rsid w:val="00DE23AF"/>
    <w:rsid w:val="00DE3AAF"/>
    <w:rsid w:val="00DE3EDD"/>
    <w:rsid w:val="00DE460D"/>
    <w:rsid w:val="00DE5F6A"/>
    <w:rsid w:val="00DE658E"/>
    <w:rsid w:val="00DE7B10"/>
    <w:rsid w:val="00DF00F4"/>
    <w:rsid w:val="00DF128D"/>
    <w:rsid w:val="00DF1E03"/>
    <w:rsid w:val="00DF2676"/>
    <w:rsid w:val="00DF2AD1"/>
    <w:rsid w:val="00DF39F7"/>
    <w:rsid w:val="00DF4DF2"/>
    <w:rsid w:val="00DF5900"/>
    <w:rsid w:val="00DF5974"/>
    <w:rsid w:val="00DF5F9B"/>
    <w:rsid w:val="00DF6C5E"/>
    <w:rsid w:val="00DF742D"/>
    <w:rsid w:val="00E00B60"/>
    <w:rsid w:val="00E0139F"/>
    <w:rsid w:val="00E01E10"/>
    <w:rsid w:val="00E02158"/>
    <w:rsid w:val="00E03D5C"/>
    <w:rsid w:val="00E05B7D"/>
    <w:rsid w:val="00E067E9"/>
    <w:rsid w:val="00E06D23"/>
    <w:rsid w:val="00E074F9"/>
    <w:rsid w:val="00E077C7"/>
    <w:rsid w:val="00E108BA"/>
    <w:rsid w:val="00E1107B"/>
    <w:rsid w:val="00E118F9"/>
    <w:rsid w:val="00E11C0E"/>
    <w:rsid w:val="00E12F07"/>
    <w:rsid w:val="00E13275"/>
    <w:rsid w:val="00E13CEA"/>
    <w:rsid w:val="00E15F18"/>
    <w:rsid w:val="00E17BC5"/>
    <w:rsid w:val="00E215E1"/>
    <w:rsid w:val="00E21702"/>
    <w:rsid w:val="00E22F76"/>
    <w:rsid w:val="00E242C8"/>
    <w:rsid w:val="00E25C3C"/>
    <w:rsid w:val="00E26382"/>
    <w:rsid w:val="00E26EA1"/>
    <w:rsid w:val="00E2729D"/>
    <w:rsid w:val="00E27BA6"/>
    <w:rsid w:val="00E3036F"/>
    <w:rsid w:val="00E304AE"/>
    <w:rsid w:val="00E3112B"/>
    <w:rsid w:val="00E31541"/>
    <w:rsid w:val="00E31CBB"/>
    <w:rsid w:val="00E31DDF"/>
    <w:rsid w:val="00E32B8C"/>
    <w:rsid w:val="00E33870"/>
    <w:rsid w:val="00E33D71"/>
    <w:rsid w:val="00E34333"/>
    <w:rsid w:val="00E356E2"/>
    <w:rsid w:val="00E36609"/>
    <w:rsid w:val="00E37437"/>
    <w:rsid w:val="00E37527"/>
    <w:rsid w:val="00E37C7D"/>
    <w:rsid w:val="00E40CC5"/>
    <w:rsid w:val="00E417B0"/>
    <w:rsid w:val="00E42722"/>
    <w:rsid w:val="00E42CEF"/>
    <w:rsid w:val="00E43D33"/>
    <w:rsid w:val="00E44128"/>
    <w:rsid w:val="00E4467C"/>
    <w:rsid w:val="00E44913"/>
    <w:rsid w:val="00E44BAB"/>
    <w:rsid w:val="00E46578"/>
    <w:rsid w:val="00E47301"/>
    <w:rsid w:val="00E5069F"/>
    <w:rsid w:val="00E506D2"/>
    <w:rsid w:val="00E50A73"/>
    <w:rsid w:val="00E50DCD"/>
    <w:rsid w:val="00E537B9"/>
    <w:rsid w:val="00E542A3"/>
    <w:rsid w:val="00E56777"/>
    <w:rsid w:val="00E57564"/>
    <w:rsid w:val="00E57C04"/>
    <w:rsid w:val="00E627BE"/>
    <w:rsid w:val="00E6468B"/>
    <w:rsid w:val="00E64972"/>
    <w:rsid w:val="00E64CEC"/>
    <w:rsid w:val="00E66E65"/>
    <w:rsid w:val="00E70218"/>
    <w:rsid w:val="00E70CFA"/>
    <w:rsid w:val="00E71C29"/>
    <w:rsid w:val="00E7294D"/>
    <w:rsid w:val="00E72A3C"/>
    <w:rsid w:val="00E72D44"/>
    <w:rsid w:val="00E7376E"/>
    <w:rsid w:val="00E7390A"/>
    <w:rsid w:val="00E7434F"/>
    <w:rsid w:val="00E7441A"/>
    <w:rsid w:val="00E7470E"/>
    <w:rsid w:val="00E754D1"/>
    <w:rsid w:val="00E754FD"/>
    <w:rsid w:val="00E76598"/>
    <w:rsid w:val="00E7687C"/>
    <w:rsid w:val="00E76E18"/>
    <w:rsid w:val="00E77A24"/>
    <w:rsid w:val="00E8099B"/>
    <w:rsid w:val="00E80CDA"/>
    <w:rsid w:val="00E80D9D"/>
    <w:rsid w:val="00E81109"/>
    <w:rsid w:val="00E83328"/>
    <w:rsid w:val="00E83DAF"/>
    <w:rsid w:val="00E849C5"/>
    <w:rsid w:val="00E8565B"/>
    <w:rsid w:val="00E85AAC"/>
    <w:rsid w:val="00E876AA"/>
    <w:rsid w:val="00E91118"/>
    <w:rsid w:val="00E919C0"/>
    <w:rsid w:val="00E921A7"/>
    <w:rsid w:val="00E925CC"/>
    <w:rsid w:val="00E931C0"/>
    <w:rsid w:val="00E960E8"/>
    <w:rsid w:val="00EA0ED8"/>
    <w:rsid w:val="00EA11DD"/>
    <w:rsid w:val="00EA2207"/>
    <w:rsid w:val="00EA2364"/>
    <w:rsid w:val="00EA2AF2"/>
    <w:rsid w:val="00EA355A"/>
    <w:rsid w:val="00EA4E26"/>
    <w:rsid w:val="00EA547B"/>
    <w:rsid w:val="00EA6019"/>
    <w:rsid w:val="00EA64AD"/>
    <w:rsid w:val="00EA729A"/>
    <w:rsid w:val="00EA77C6"/>
    <w:rsid w:val="00EA7E3B"/>
    <w:rsid w:val="00EB07EB"/>
    <w:rsid w:val="00EB0E03"/>
    <w:rsid w:val="00EB15C0"/>
    <w:rsid w:val="00EB1605"/>
    <w:rsid w:val="00EB270B"/>
    <w:rsid w:val="00EB29D6"/>
    <w:rsid w:val="00EB3700"/>
    <w:rsid w:val="00EB4F15"/>
    <w:rsid w:val="00EB5C5B"/>
    <w:rsid w:val="00EB79FE"/>
    <w:rsid w:val="00EB7CA8"/>
    <w:rsid w:val="00EB7FBE"/>
    <w:rsid w:val="00EC0C62"/>
    <w:rsid w:val="00EC13AB"/>
    <w:rsid w:val="00EC1EF3"/>
    <w:rsid w:val="00EC2226"/>
    <w:rsid w:val="00EC3043"/>
    <w:rsid w:val="00EC3ABD"/>
    <w:rsid w:val="00EC4361"/>
    <w:rsid w:val="00EC48EB"/>
    <w:rsid w:val="00EC59F6"/>
    <w:rsid w:val="00EC5D88"/>
    <w:rsid w:val="00EC63B2"/>
    <w:rsid w:val="00EC6A55"/>
    <w:rsid w:val="00ED0633"/>
    <w:rsid w:val="00ED0D36"/>
    <w:rsid w:val="00ED1097"/>
    <w:rsid w:val="00ED1314"/>
    <w:rsid w:val="00ED1BD4"/>
    <w:rsid w:val="00ED36D3"/>
    <w:rsid w:val="00ED4BA9"/>
    <w:rsid w:val="00ED4E61"/>
    <w:rsid w:val="00ED53BD"/>
    <w:rsid w:val="00ED5DAF"/>
    <w:rsid w:val="00ED7090"/>
    <w:rsid w:val="00ED727E"/>
    <w:rsid w:val="00EE035E"/>
    <w:rsid w:val="00EE1308"/>
    <w:rsid w:val="00EE1318"/>
    <w:rsid w:val="00EE2A88"/>
    <w:rsid w:val="00EE317A"/>
    <w:rsid w:val="00EE478D"/>
    <w:rsid w:val="00EE548D"/>
    <w:rsid w:val="00EE5B76"/>
    <w:rsid w:val="00EE60F4"/>
    <w:rsid w:val="00EE6462"/>
    <w:rsid w:val="00EE6598"/>
    <w:rsid w:val="00EE65F8"/>
    <w:rsid w:val="00EE6CF4"/>
    <w:rsid w:val="00EE6D33"/>
    <w:rsid w:val="00EE7151"/>
    <w:rsid w:val="00EE735D"/>
    <w:rsid w:val="00EE75AA"/>
    <w:rsid w:val="00EE7956"/>
    <w:rsid w:val="00EE7EC8"/>
    <w:rsid w:val="00EF02E8"/>
    <w:rsid w:val="00EF0F1A"/>
    <w:rsid w:val="00EF12A0"/>
    <w:rsid w:val="00EF1DBC"/>
    <w:rsid w:val="00EF1E3C"/>
    <w:rsid w:val="00EF2920"/>
    <w:rsid w:val="00EF29EE"/>
    <w:rsid w:val="00EF4DCC"/>
    <w:rsid w:val="00EF5FC5"/>
    <w:rsid w:val="00EF6242"/>
    <w:rsid w:val="00EF6683"/>
    <w:rsid w:val="00EF75CE"/>
    <w:rsid w:val="00F046DF"/>
    <w:rsid w:val="00F0477C"/>
    <w:rsid w:val="00F04A8B"/>
    <w:rsid w:val="00F04C07"/>
    <w:rsid w:val="00F05AE1"/>
    <w:rsid w:val="00F05F1B"/>
    <w:rsid w:val="00F05FA1"/>
    <w:rsid w:val="00F06835"/>
    <w:rsid w:val="00F068C5"/>
    <w:rsid w:val="00F06D7A"/>
    <w:rsid w:val="00F0719C"/>
    <w:rsid w:val="00F075C2"/>
    <w:rsid w:val="00F100D6"/>
    <w:rsid w:val="00F1191D"/>
    <w:rsid w:val="00F11D8B"/>
    <w:rsid w:val="00F13190"/>
    <w:rsid w:val="00F13F22"/>
    <w:rsid w:val="00F144E4"/>
    <w:rsid w:val="00F17927"/>
    <w:rsid w:val="00F17DA8"/>
    <w:rsid w:val="00F200B8"/>
    <w:rsid w:val="00F21412"/>
    <w:rsid w:val="00F21ACD"/>
    <w:rsid w:val="00F21ED9"/>
    <w:rsid w:val="00F22423"/>
    <w:rsid w:val="00F22E6D"/>
    <w:rsid w:val="00F235F2"/>
    <w:rsid w:val="00F237FA"/>
    <w:rsid w:val="00F2459A"/>
    <w:rsid w:val="00F26ACD"/>
    <w:rsid w:val="00F30658"/>
    <w:rsid w:val="00F30B0B"/>
    <w:rsid w:val="00F30FF8"/>
    <w:rsid w:val="00F31A93"/>
    <w:rsid w:val="00F32267"/>
    <w:rsid w:val="00F32BA6"/>
    <w:rsid w:val="00F32C48"/>
    <w:rsid w:val="00F32C7D"/>
    <w:rsid w:val="00F32F98"/>
    <w:rsid w:val="00F33181"/>
    <w:rsid w:val="00F3391C"/>
    <w:rsid w:val="00F33943"/>
    <w:rsid w:val="00F33CC6"/>
    <w:rsid w:val="00F34549"/>
    <w:rsid w:val="00F362A8"/>
    <w:rsid w:val="00F36638"/>
    <w:rsid w:val="00F36A0E"/>
    <w:rsid w:val="00F37608"/>
    <w:rsid w:val="00F403B3"/>
    <w:rsid w:val="00F40E52"/>
    <w:rsid w:val="00F43160"/>
    <w:rsid w:val="00F436D4"/>
    <w:rsid w:val="00F45BF1"/>
    <w:rsid w:val="00F45F5D"/>
    <w:rsid w:val="00F4629D"/>
    <w:rsid w:val="00F46B7F"/>
    <w:rsid w:val="00F475F4"/>
    <w:rsid w:val="00F4770E"/>
    <w:rsid w:val="00F47E11"/>
    <w:rsid w:val="00F50DA4"/>
    <w:rsid w:val="00F515E2"/>
    <w:rsid w:val="00F53913"/>
    <w:rsid w:val="00F53C01"/>
    <w:rsid w:val="00F548BA"/>
    <w:rsid w:val="00F54E4F"/>
    <w:rsid w:val="00F55304"/>
    <w:rsid w:val="00F562FA"/>
    <w:rsid w:val="00F61438"/>
    <w:rsid w:val="00F615C9"/>
    <w:rsid w:val="00F61741"/>
    <w:rsid w:val="00F61F6E"/>
    <w:rsid w:val="00F61F79"/>
    <w:rsid w:val="00F62DEC"/>
    <w:rsid w:val="00F63E57"/>
    <w:rsid w:val="00F64191"/>
    <w:rsid w:val="00F6466E"/>
    <w:rsid w:val="00F6479F"/>
    <w:rsid w:val="00F654F5"/>
    <w:rsid w:val="00F66B0D"/>
    <w:rsid w:val="00F66B90"/>
    <w:rsid w:val="00F6759E"/>
    <w:rsid w:val="00F67AC5"/>
    <w:rsid w:val="00F67C6F"/>
    <w:rsid w:val="00F701DC"/>
    <w:rsid w:val="00F70BD4"/>
    <w:rsid w:val="00F72EAB"/>
    <w:rsid w:val="00F7485D"/>
    <w:rsid w:val="00F75E6C"/>
    <w:rsid w:val="00F762CC"/>
    <w:rsid w:val="00F7664E"/>
    <w:rsid w:val="00F7751A"/>
    <w:rsid w:val="00F77DA6"/>
    <w:rsid w:val="00F77E8D"/>
    <w:rsid w:val="00F80AF9"/>
    <w:rsid w:val="00F81A8D"/>
    <w:rsid w:val="00F81A8E"/>
    <w:rsid w:val="00F81C70"/>
    <w:rsid w:val="00F83AE1"/>
    <w:rsid w:val="00F849FA"/>
    <w:rsid w:val="00F84CCF"/>
    <w:rsid w:val="00F851BA"/>
    <w:rsid w:val="00F8576A"/>
    <w:rsid w:val="00F85D0C"/>
    <w:rsid w:val="00F85EEE"/>
    <w:rsid w:val="00F85F3C"/>
    <w:rsid w:val="00F86CD9"/>
    <w:rsid w:val="00F875CB"/>
    <w:rsid w:val="00F87873"/>
    <w:rsid w:val="00F900B6"/>
    <w:rsid w:val="00F904F9"/>
    <w:rsid w:val="00F9153C"/>
    <w:rsid w:val="00F926FA"/>
    <w:rsid w:val="00F92DDD"/>
    <w:rsid w:val="00F93F2B"/>
    <w:rsid w:val="00F950C6"/>
    <w:rsid w:val="00F95B70"/>
    <w:rsid w:val="00F9615F"/>
    <w:rsid w:val="00F961F6"/>
    <w:rsid w:val="00F97573"/>
    <w:rsid w:val="00FA392D"/>
    <w:rsid w:val="00FA5119"/>
    <w:rsid w:val="00FA5308"/>
    <w:rsid w:val="00FA5492"/>
    <w:rsid w:val="00FA7CB1"/>
    <w:rsid w:val="00FB05D9"/>
    <w:rsid w:val="00FB1505"/>
    <w:rsid w:val="00FB2781"/>
    <w:rsid w:val="00FB2947"/>
    <w:rsid w:val="00FB31BF"/>
    <w:rsid w:val="00FB36C2"/>
    <w:rsid w:val="00FB5272"/>
    <w:rsid w:val="00FB5366"/>
    <w:rsid w:val="00FB55BD"/>
    <w:rsid w:val="00FB5CD1"/>
    <w:rsid w:val="00FB7668"/>
    <w:rsid w:val="00FB7AF8"/>
    <w:rsid w:val="00FC09CA"/>
    <w:rsid w:val="00FC1C26"/>
    <w:rsid w:val="00FC219B"/>
    <w:rsid w:val="00FC2603"/>
    <w:rsid w:val="00FC3CEE"/>
    <w:rsid w:val="00FC4D77"/>
    <w:rsid w:val="00FC5870"/>
    <w:rsid w:val="00FC58E3"/>
    <w:rsid w:val="00FC60EE"/>
    <w:rsid w:val="00FC688F"/>
    <w:rsid w:val="00FC6DF5"/>
    <w:rsid w:val="00FC75E9"/>
    <w:rsid w:val="00FD0ED7"/>
    <w:rsid w:val="00FD19D7"/>
    <w:rsid w:val="00FD3776"/>
    <w:rsid w:val="00FD4CB1"/>
    <w:rsid w:val="00FD61E1"/>
    <w:rsid w:val="00FD682A"/>
    <w:rsid w:val="00FD6C04"/>
    <w:rsid w:val="00FD7445"/>
    <w:rsid w:val="00FD772C"/>
    <w:rsid w:val="00FD7C40"/>
    <w:rsid w:val="00FD7EAD"/>
    <w:rsid w:val="00FE2C83"/>
    <w:rsid w:val="00FE2CB9"/>
    <w:rsid w:val="00FE2D93"/>
    <w:rsid w:val="00FE3307"/>
    <w:rsid w:val="00FE46FF"/>
    <w:rsid w:val="00FE660C"/>
    <w:rsid w:val="00FE79C9"/>
    <w:rsid w:val="00FF0660"/>
    <w:rsid w:val="00FF18F5"/>
    <w:rsid w:val="00FF1DDA"/>
    <w:rsid w:val="00FF2F6F"/>
    <w:rsid w:val="00FF421A"/>
    <w:rsid w:val="00FF4363"/>
    <w:rsid w:val="00FF4631"/>
    <w:rsid w:val="00FF4D3D"/>
    <w:rsid w:val="00FF4E6C"/>
    <w:rsid w:val="00FF724E"/>
    <w:rsid w:val="00FF77D2"/>
    <w:rsid w:val="00FF7B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A842F93"/>
  <w15:chartTrackingRefBased/>
  <w15:docId w15:val="{CEED6FFF-5D01-4337-A7D5-0009B002C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C3DE7"/>
    <w:rPr>
      <w:lang w:eastAsia="ru-RU"/>
    </w:rPr>
  </w:style>
  <w:style w:type="paragraph" w:styleId="10">
    <w:name w:val="heading 1"/>
    <w:basedOn w:val="a3"/>
    <w:next w:val="a3"/>
    <w:link w:val="11"/>
    <w:qFormat/>
    <w:rsid w:val="00BC79EE"/>
    <w:pPr>
      <w:keepNext/>
      <w:autoSpaceDE w:val="0"/>
      <w:autoSpaceDN w:val="0"/>
      <w:jc w:val="center"/>
      <w:outlineLvl w:val="0"/>
    </w:pPr>
    <w:rPr>
      <w:b/>
      <w:bCs/>
      <w:sz w:val="24"/>
      <w:szCs w:val="24"/>
    </w:rPr>
  </w:style>
  <w:style w:type="paragraph" w:styleId="20">
    <w:name w:val="heading 2"/>
    <w:basedOn w:val="a3"/>
    <w:next w:val="a3"/>
    <w:link w:val="21"/>
    <w:qFormat/>
    <w:rsid w:val="00BC79EE"/>
    <w:pPr>
      <w:keepNext/>
      <w:autoSpaceDE w:val="0"/>
      <w:autoSpaceDN w:val="0"/>
      <w:jc w:val="center"/>
      <w:outlineLvl w:val="1"/>
    </w:pPr>
    <w:rPr>
      <w:b/>
      <w:bCs/>
      <w:color w:val="FF0000"/>
      <w:sz w:val="24"/>
      <w:szCs w:val="24"/>
    </w:rPr>
  </w:style>
  <w:style w:type="paragraph" w:styleId="30">
    <w:name w:val="heading 3"/>
    <w:basedOn w:val="a3"/>
    <w:next w:val="a3"/>
    <w:link w:val="31"/>
    <w:qFormat/>
    <w:rsid w:val="00BC79EE"/>
    <w:pPr>
      <w:keepNext/>
      <w:autoSpaceDE w:val="0"/>
      <w:autoSpaceDN w:val="0"/>
      <w:ind w:left="-108"/>
      <w:jc w:val="right"/>
      <w:outlineLvl w:val="2"/>
    </w:pPr>
    <w:rPr>
      <w:b/>
      <w:bCs/>
      <w:sz w:val="24"/>
      <w:szCs w:val="24"/>
    </w:rPr>
  </w:style>
  <w:style w:type="paragraph" w:styleId="41">
    <w:name w:val="heading 4"/>
    <w:basedOn w:val="a3"/>
    <w:next w:val="a3"/>
    <w:link w:val="42"/>
    <w:qFormat/>
    <w:rsid w:val="001479B6"/>
    <w:pPr>
      <w:keepNext/>
      <w:keepLines/>
      <w:spacing w:before="40" w:line="259" w:lineRule="auto"/>
      <w:ind w:firstLine="567"/>
      <w:jc w:val="both"/>
      <w:outlineLvl w:val="3"/>
    </w:pPr>
    <w:rPr>
      <w:rFonts w:ascii="Calibri Light" w:hAnsi="Calibri Light"/>
      <w:i/>
      <w:iCs/>
      <w:color w:val="2E74B5"/>
      <w:sz w:val="22"/>
      <w:szCs w:val="22"/>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StyleAwt">
    <w:name w:val="StyleAwt"/>
    <w:basedOn w:val="StyleNormal"/>
    <w:rsid w:val="00BC79EE"/>
    <w:rPr>
      <w:b/>
      <w:i/>
      <w:sz w:val="18"/>
      <w:u w:val="single"/>
    </w:rPr>
  </w:style>
  <w:style w:type="paragraph" w:customStyle="1" w:styleId="StyleFooter">
    <w:name w:val="StyleFooter"/>
    <w:basedOn w:val="StyleNormal"/>
    <w:rsid w:val="00BC79EE"/>
    <w:rPr>
      <w:sz w:val="10"/>
    </w:rPr>
  </w:style>
  <w:style w:type="paragraph" w:customStyle="1" w:styleId="StyleHeader">
    <w:name w:val="StyleHeader"/>
    <w:basedOn w:val="StyleNormal"/>
    <w:rsid w:val="00BC79EE"/>
    <w:rPr>
      <w:sz w:val="12"/>
    </w:rPr>
  </w:style>
  <w:style w:type="paragraph" w:customStyle="1" w:styleId="StyleNormal">
    <w:name w:val="StyleNormal"/>
    <w:uiPriority w:val="99"/>
    <w:rsid w:val="00BC79EE"/>
    <w:pPr>
      <w:spacing w:line="220" w:lineRule="exact"/>
    </w:pPr>
    <w:rPr>
      <w:lang w:eastAsia="ru-RU"/>
    </w:rPr>
  </w:style>
  <w:style w:type="paragraph" w:customStyle="1" w:styleId="StyleOstRed">
    <w:name w:val="StyleOstRed"/>
    <w:basedOn w:val="StyleNormal"/>
    <w:rsid w:val="00BC79EE"/>
    <w:pPr>
      <w:spacing w:after="120" w:line="240" w:lineRule="auto"/>
      <w:ind w:firstLine="720"/>
      <w:jc w:val="both"/>
    </w:pPr>
    <w:rPr>
      <w:sz w:val="28"/>
    </w:rPr>
  </w:style>
  <w:style w:type="paragraph" w:customStyle="1" w:styleId="StyleProp">
    <w:name w:val="StyleProp"/>
    <w:basedOn w:val="StyleNormal"/>
    <w:uiPriority w:val="99"/>
    <w:qFormat/>
    <w:rsid w:val="00BC79EE"/>
    <w:pPr>
      <w:spacing w:line="200" w:lineRule="exact"/>
      <w:ind w:firstLine="227"/>
      <w:jc w:val="both"/>
    </w:pPr>
    <w:rPr>
      <w:sz w:val="18"/>
    </w:rPr>
  </w:style>
  <w:style w:type="paragraph" w:customStyle="1" w:styleId="StyleShap">
    <w:name w:val="StyleShap"/>
    <w:basedOn w:val="StyleNormal"/>
    <w:rsid w:val="00BC79EE"/>
    <w:pPr>
      <w:spacing w:line="180" w:lineRule="exact"/>
      <w:jc w:val="center"/>
    </w:pPr>
    <w:rPr>
      <w:sz w:val="16"/>
    </w:rPr>
  </w:style>
  <w:style w:type="paragraph" w:customStyle="1" w:styleId="StyleZakonu">
    <w:name w:val="StyleZakonu"/>
    <w:basedOn w:val="StyleNormal"/>
    <w:link w:val="StyleZakonu0"/>
    <w:uiPriority w:val="99"/>
    <w:qFormat/>
    <w:rsid w:val="00BC79EE"/>
    <w:pPr>
      <w:spacing w:after="60"/>
      <w:ind w:firstLine="284"/>
      <w:jc w:val="both"/>
    </w:pPr>
  </w:style>
  <w:style w:type="paragraph" w:styleId="32">
    <w:name w:val="Body Text 3"/>
    <w:basedOn w:val="a3"/>
    <w:rsid w:val="00BC79EE"/>
    <w:pPr>
      <w:autoSpaceDE w:val="0"/>
      <w:autoSpaceDN w:val="0"/>
      <w:jc w:val="both"/>
    </w:pPr>
    <w:rPr>
      <w:color w:val="FF0000"/>
      <w:sz w:val="24"/>
      <w:szCs w:val="24"/>
    </w:rPr>
  </w:style>
  <w:style w:type="paragraph" w:customStyle="1" w:styleId="StyleProp2">
    <w:name w:val="StyleProp2"/>
    <w:basedOn w:val="StyleNormal"/>
    <w:rsid w:val="00BC79EE"/>
    <w:pPr>
      <w:spacing w:after="120" w:line="200" w:lineRule="exact"/>
      <w:ind w:firstLine="227"/>
      <w:jc w:val="both"/>
    </w:pPr>
    <w:rPr>
      <w:sz w:val="18"/>
    </w:rPr>
  </w:style>
  <w:style w:type="paragraph" w:customStyle="1" w:styleId="StyleWisnow">
    <w:name w:val="StyleWisnow"/>
    <w:basedOn w:val="StyleNormal"/>
    <w:rsid w:val="00BC79EE"/>
    <w:rPr>
      <w:sz w:val="18"/>
    </w:rPr>
  </w:style>
  <w:style w:type="paragraph" w:customStyle="1" w:styleId="StyleStorinka">
    <w:name w:val="StyleStorinka"/>
    <w:basedOn w:val="StyleNormal"/>
    <w:rsid w:val="00BC79EE"/>
    <w:pPr>
      <w:jc w:val="right"/>
    </w:pPr>
    <w:rPr>
      <w:sz w:val="18"/>
    </w:rPr>
  </w:style>
  <w:style w:type="paragraph" w:styleId="a">
    <w:name w:val="List Number"/>
    <w:basedOn w:val="a3"/>
    <w:rsid w:val="00BC79EE"/>
    <w:pPr>
      <w:numPr>
        <w:numId w:val="1"/>
      </w:numPr>
      <w:tabs>
        <w:tab w:val="clear" w:pos="360"/>
        <w:tab w:val="num" w:pos="1440"/>
      </w:tabs>
      <w:autoSpaceDE w:val="0"/>
      <w:autoSpaceDN w:val="0"/>
      <w:ind w:left="0" w:firstLine="0"/>
    </w:pPr>
    <w:rPr>
      <w:sz w:val="24"/>
      <w:szCs w:val="24"/>
    </w:rPr>
  </w:style>
  <w:style w:type="character" w:customStyle="1" w:styleId="a7">
    <w:name w:val="Печатная машинка"/>
    <w:rsid w:val="00BC79EE"/>
    <w:rPr>
      <w:rFonts w:ascii="Times New Roman" w:hAnsi="Times New Roman" w:cs="Times New Roman"/>
      <w:color w:val="000000"/>
      <w:sz w:val="28"/>
      <w:szCs w:val="28"/>
    </w:rPr>
  </w:style>
  <w:style w:type="paragraph" w:styleId="33">
    <w:name w:val="Body Text Indent 3"/>
    <w:basedOn w:val="a3"/>
    <w:rsid w:val="00BC79EE"/>
    <w:pPr>
      <w:autoSpaceDE w:val="0"/>
      <w:autoSpaceDN w:val="0"/>
      <w:ind w:firstLine="708"/>
      <w:jc w:val="both"/>
    </w:pPr>
    <w:rPr>
      <w:sz w:val="28"/>
      <w:szCs w:val="28"/>
    </w:rPr>
  </w:style>
  <w:style w:type="paragraph" w:styleId="22">
    <w:name w:val="Body Text 2"/>
    <w:basedOn w:val="a3"/>
    <w:rsid w:val="00BC79EE"/>
    <w:pPr>
      <w:autoSpaceDE w:val="0"/>
      <w:autoSpaceDN w:val="0"/>
      <w:jc w:val="center"/>
    </w:pPr>
    <w:rPr>
      <w:sz w:val="24"/>
      <w:szCs w:val="24"/>
    </w:rPr>
  </w:style>
  <w:style w:type="paragraph" w:styleId="a8">
    <w:name w:val="Body Text"/>
    <w:basedOn w:val="a3"/>
    <w:rsid w:val="00BC79EE"/>
    <w:pPr>
      <w:autoSpaceDE w:val="0"/>
      <w:autoSpaceDN w:val="0"/>
      <w:jc w:val="center"/>
    </w:pPr>
    <w:rPr>
      <w:b/>
      <w:bCs/>
      <w:color w:val="FF0000"/>
      <w:sz w:val="28"/>
      <w:szCs w:val="28"/>
    </w:rPr>
  </w:style>
  <w:style w:type="paragraph" w:styleId="HTML">
    <w:name w:val="HTML Preformatted"/>
    <w:aliases w:val="Знак,Стандартный HTML Знак Знак"/>
    <w:basedOn w:val="a3"/>
    <w:link w:val="HTML0"/>
    <w:rsid w:val="00BC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color w:val="000000"/>
      <w:sz w:val="21"/>
      <w:szCs w:val="21"/>
      <w:lang w:val="ru-RU"/>
    </w:rPr>
  </w:style>
  <w:style w:type="paragraph" w:styleId="a9">
    <w:name w:val="footer"/>
    <w:basedOn w:val="a3"/>
    <w:link w:val="aa"/>
    <w:rsid w:val="00BC79EE"/>
    <w:pPr>
      <w:tabs>
        <w:tab w:val="center" w:pos="4153"/>
        <w:tab w:val="right" w:pos="8306"/>
      </w:tabs>
      <w:autoSpaceDE w:val="0"/>
      <w:autoSpaceDN w:val="0"/>
    </w:pPr>
    <w:rPr>
      <w:sz w:val="24"/>
      <w:szCs w:val="24"/>
      <w:lang w:val="ru-RU"/>
    </w:rPr>
  </w:style>
  <w:style w:type="paragraph" w:styleId="23">
    <w:name w:val="Body Text Indent 2"/>
    <w:basedOn w:val="a3"/>
    <w:rsid w:val="00BC79EE"/>
    <w:pPr>
      <w:autoSpaceDE w:val="0"/>
      <w:autoSpaceDN w:val="0"/>
      <w:ind w:firstLine="720"/>
      <w:jc w:val="both"/>
    </w:pPr>
    <w:rPr>
      <w:b/>
      <w:bCs/>
      <w:sz w:val="28"/>
      <w:szCs w:val="28"/>
    </w:rPr>
  </w:style>
  <w:style w:type="paragraph" w:styleId="ab">
    <w:name w:val="header"/>
    <w:basedOn w:val="a3"/>
    <w:link w:val="ac"/>
    <w:rsid w:val="00BC79EE"/>
    <w:pPr>
      <w:tabs>
        <w:tab w:val="center" w:pos="4819"/>
        <w:tab w:val="right" w:pos="9639"/>
      </w:tabs>
    </w:pPr>
  </w:style>
  <w:style w:type="paragraph" w:customStyle="1" w:styleId="12">
    <w:name w:val="Абзац списку1"/>
    <w:basedOn w:val="a3"/>
    <w:rsid w:val="001479B6"/>
    <w:pPr>
      <w:spacing w:after="120" w:line="259" w:lineRule="auto"/>
      <w:ind w:left="720" w:firstLine="567"/>
      <w:contextualSpacing/>
      <w:jc w:val="both"/>
    </w:pPr>
    <w:rPr>
      <w:rFonts w:ascii="Calibri" w:eastAsia="Calibri" w:hAnsi="Calibri"/>
      <w:sz w:val="22"/>
      <w:szCs w:val="22"/>
      <w:lang w:eastAsia="en-US"/>
    </w:rPr>
  </w:style>
  <w:style w:type="paragraph" w:customStyle="1" w:styleId="13">
    <w:name w:val="1"/>
    <w:basedOn w:val="10"/>
    <w:link w:val="14"/>
    <w:qFormat/>
    <w:rsid w:val="001479B6"/>
    <w:pPr>
      <w:keepLines/>
      <w:autoSpaceDE/>
      <w:autoSpaceDN/>
      <w:spacing w:before="240"/>
      <w:ind w:firstLine="567"/>
      <w:jc w:val="both"/>
    </w:pPr>
    <w:rPr>
      <w:b w:val="0"/>
      <w:bCs w:val="0"/>
      <w:sz w:val="28"/>
      <w:szCs w:val="28"/>
      <w:lang w:eastAsia="en-US"/>
    </w:rPr>
  </w:style>
  <w:style w:type="paragraph" w:styleId="ad">
    <w:name w:val="Balloon Text"/>
    <w:basedOn w:val="a3"/>
    <w:link w:val="ae"/>
    <w:uiPriority w:val="99"/>
    <w:semiHidden/>
    <w:rsid w:val="001479B6"/>
    <w:pPr>
      <w:ind w:firstLine="567"/>
      <w:jc w:val="both"/>
    </w:pPr>
    <w:rPr>
      <w:rFonts w:ascii="Segoe UI" w:eastAsia="Calibri" w:hAnsi="Segoe UI" w:cs="Segoe UI"/>
      <w:sz w:val="18"/>
      <w:szCs w:val="18"/>
      <w:lang w:eastAsia="en-US"/>
    </w:rPr>
  </w:style>
  <w:style w:type="character" w:customStyle="1" w:styleId="14">
    <w:name w:val="1 Знак"/>
    <w:link w:val="13"/>
    <w:locked/>
    <w:rsid w:val="001479B6"/>
    <w:rPr>
      <w:sz w:val="28"/>
      <w:szCs w:val="28"/>
      <w:lang w:val="uk-UA" w:eastAsia="en-US" w:bidi="ar-SA"/>
    </w:rPr>
  </w:style>
  <w:style w:type="character" w:customStyle="1" w:styleId="11">
    <w:name w:val="Заголовок 1 Знак"/>
    <w:link w:val="10"/>
    <w:locked/>
    <w:rsid w:val="001479B6"/>
    <w:rPr>
      <w:b/>
      <w:bCs/>
      <w:sz w:val="24"/>
      <w:szCs w:val="24"/>
      <w:lang w:val="uk-UA" w:eastAsia="ru-RU" w:bidi="ar-SA"/>
    </w:rPr>
  </w:style>
  <w:style w:type="character" w:customStyle="1" w:styleId="ae">
    <w:name w:val="Текст у виносці Знак"/>
    <w:link w:val="ad"/>
    <w:uiPriority w:val="99"/>
    <w:semiHidden/>
    <w:locked/>
    <w:rsid w:val="001479B6"/>
    <w:rPr>
      <w:rFonts w:ascii="Segoe UI" w:eastAsia="Calibri" w:hAnsi="Segoe UI" w:cs="Segoe UI"/>
      <w:sz w:val="18"/>
      <w:szCs w:val="18"/>
      <w:lang w:val="uk-UA" w:eastAsia="en-US" w:bidi="ar-SA"/>
    </w:rPr>
  </w:style>
  <w:style w:type="paragraph" w:styleId="a0">
    <w:name w:val="List Bullet"/>
    <w:basedOn w:val="a3"/>
    <w:rsid w:val="001479B6"/>
    <w:pPr>
      <w:numPr>
        <w:numId w:val="6"/>
      </w:numPr>
      <w:spacing w:after="120" w:line="259" w:lineRule="auto"/>
      <w:contextualSpacing/>
      <w:jc w:val="both"/>
    </w:pPr>
    <w:rPr>
      <w:rFonts w:ascii="Calibri" w:eastAsia="Calibri" w:hAnsi="Calibri"/>
      <w:sz w:val="22"/>
      <w:szCs w:val="22"/>
      <w:lang w:eastAsia="en-US"/>
    </w:rPr>
  </w:style>
  <w:style w:type="character" w:styleId="af">
    <w:name w:val="annotation reference"/>
    <w:semiHidden/>
    <w:rsid w:val="001479B6"/>
    <w:rPr>
      <w:rFonts w:cs="Times New Roman"/>
      <w:sz w:val="16"/>
      <w:szCs w:val="16"/>
    </w:rPr>
  </w:style>
  <w:style w:type="paragraph" w:styleId="af0">
    <w:name w:val="annotation text"/>
    <w:basedOn w:val="a3"/>
    <w:link w:val="af1"/>
    <w:uiPriority w:val="99"/>
    <w:rsid w:val="001479B6"/>
    <w:pPr>
      <w:spacing w:after="120"/>
      <w:ind w:firstLine="567"/>
      <w:jc w:val="both"/>
    </w:pPr>
    <w:rPr>
      <w:rFonts w:ascii="Calibri" w:eastAsia="Calibri" w:hAnsi="Calibri"/>
      <w:lang w:eastAsia="en-US"/>
    </w:rPr>
  </w:style>
  <w:style w:type="character" w:customStyle="1" w:styleId="af1">
    <w:name w:val="Текст примітки Знак"/>
    <w:link w:val="af0"/>
    <w:uiPriority w:val="99"/>
    <w:locked/>
    <w:rsid w:val="001479B6"/>
    <w:rPr>
      <w:rFonts w:ascii="Calibri" w:eastAsia="Calibri" w:hAnsi="Calibri"/>
      <w:lang w:val="uk-UA" w:eastAsia="en-US" w:bidi="ar-SA"/>
    </w:rPr>
  </w:style>
  <w:style w:type="paragraph" w:styleId="af2">
    <w:name w:val="annotation subject"/>
    <w:basedOn w:val="af0"/>
    <w:next w:val="af0"/>
    <w:link w:val="af3"/>
    <w:uiPriority w:val="99"/>
    <w:semiHidden/>
    <w:rsid w:val="001479B6"/>
    <w:rPr>
      <w:b/>
      <w:bCs/>
    </w:rPr>
  </w:style>
  <w:style w:type="character" w:customStyle="1" w:styleId="af3">
    <w:name w:val="Тема примітки Знак"/>
    <w:link w:val="af2"/>
    <w:uiPriority w:val="99"/>
    <w:semiHidden/>
    <w:locked/>
    <w:rsid w:val="001479B6"/>
    <w:rPr>
      <w:rFonts w:ascii="Calibri" w:eastAsia="Calibri" w:hAnsi="Calibri"/>
      <w:b/>
      <w:bCs/>
      <w:lang w:val="uk-UA" w:eastAsia="en-US" w:bidi="ar-SA"/>
    </w:rPr>
  </w:style>
  <w:style w:type="character" w:customStyle="1" w:styleId="StyleZakonu0">
    <w:name w:val="StyleZakonu Знак"/>
    <w:link w:val="StyleZakonu"/>
    <w:uiPriority w:val="99"/>
    <w:locked/>
    <w:rsid w:val="001479B6"/>
    <w:rPr>
      <w:lang w:val="uk-UA" w:eastAsia="ru-RU" w:bidi="ar-SA"/>
    </w:rPr>
  </w:style>
  <w:style w:type="paragraph" w:customStyle="1" w:styleId="15">
    <w:name w:val="Редакція1"/>
    <w:hidden/>
    <w:semiHidden/>
    <w:rsid w:val="001479B6"/>
    <w:rPr>
      <w:rFonts w:ascii="Calibri" w:eastAsia="Calibri" w:hAnsi="Calibri"/>
      <w:sz w:val="22"/>
      <w:szCs w:val="22"/>
      <w:lang w:eastAsia="en-US"/>
    </w:rPr>
  </w:style>
  <w:style w:type="paragraph" w:styleId="af4">
    <w:name w:val="Normal (Web)"/>
    <w:basedOn w:val="a3"/>
    <w:rsid w:val="001479B6"/>
    <w:pPr>
      <w:spacing w:before="100" w:beforeAutospacing="1" w:after="100" w:afterAutospacing="1"/>
    </w:pPr>
    <w:rPr>
      <w:rFonts w:eastAsia="Calibri"/>
      <w:sz w:val="24"/>
      <w:szCs w:val="24"/>
      <w:lang w:eastAsia="uk-UA"/>
    </w:rPr>
  </w:style>
  <w:style w:type="character" w:customStyle="1" w:styleId="31">
    <w:name w:val="Заголовок 3 Знак"/>
    <w:link w:val="30"/>
    <w:semiHidden/>
    <w:locked/>
    <w:rsid w:val="001479B6"/>
    <w:rPr>
      <w:b/>
      <w:bCs/>
      <w:sz w:val="24"/>
      <w:szCs w:val="24"/>
      <w:lang w:val="uk-UA" w:eastAsia="ru-RU" w:bidi="ar-SA"/>
    </w:rPr>
  </w:style>
  <w:style w:type="character" w:customStyle="1" w:styleId="HTML0">
    <w:name w:val="Стандартний HTML Знак"/>
    <w:aliases w:val="Знак Знак,Стандартный HTML Знак Знак Знак"/>
    <w:link w:val="HTML"/>
    <w:locked/>
    <w:rsid w:val="001479B6"/>
    <w:rPr>
      <w:color w:val="000000"/>
      <w:sz w:val="21"/>
      <w:szCs w:val="21"/>
      <w:lang w:val="ru-RU" w:eastAsia="ru-RU" w:bidi="ar-SA"/>
    </w:rPr>
  </w:style>
  <w:style w:type="character" w:customStyle="1" w:styleId="21">
    <w:name w:val="Заголовок 2 Знак"/>
    <w:link w:val="20"/>
    <w:semiHidden/>
    <w:locked/>
    <w:rsid w:val="001479B6"/>
    <w:rPr>
      <w:b/>
      <w:bCs/>
      <w:color w:val="FF0000"/>
      <w:sz w:val="24"/>
      <w:szCs w:val="24"/>
      <w:lang w:val="uk-UA" w:eastAsia="ru-RU" w:bidi="ar-SA"/>
    </w:rPr>
  </w:style>
  <w:style w:type="paragraph" w:customStyle="1" w:styleId="rvps2">
    <w:name w:val="rvps2"/>
    <w:basedOn w:val="a3"/>
    <w:rsid w:val="001479B6"/>
    <w:pPr>
      <w:spacing w:before="100" w:beforeAutospacing="1" w:after="100" w:afterAutospacing="1"/>
    </w:pPr>
    <w:rPr>
      <w:rFonts w:eastAsia="Calibri"/>
      <w:sz w:val="24"/>
      <w:szCs w:val="24"/>
      <w:lang w:eastAsia="uk-UA"/>
    </w:rPr>
  </w:style>
  <w:style w:type="character" w:customStyle="1" w:styleId="ac">
    <w:name w:val="Верхній колонтитул Знак"/>
    <w:link w:val="ab"/>
    <w:locked/>
    <w:rsid w:val="001479B6"/>
    <w:rPr>
      <w:lang w:val="uk-UA" w:eastAsia="ru-RU" w:bidi="ar-SA"/>
    </w:rPr>
  </w:style>
  <w:style w:type="paragraph" w:customStyle="1" w:styleId="16">
    <w:name w:val="Заголовок змісту1"/>
    <w:basedOn w:val="10"/>
    <w:next w:val="a3"/>
    <w:rsid w:val="001479B6"/>
    <w:pPr>
      <w:keepLines/>
      <w:autoSpaceDE/>
      <w:autoSpaceDN/>
      <w:spacing w:before="240" w:line="259" w:lineRule="auto"/>
      <w:jc w:val="left"/>
      <w:outlineLvl w:val="9"/>
    </w:pPr>
    <w:rPr>
      <w:rFonts w:ascii="Calibri Light" w:hAnsi="Calibri Light"/>
      <w:b w:val="0"/>
      <w:bCs w:val="0"/>
      <w:color w:val="2E74B5"/>
      <w:sz w:val="32"/>
      <w:szCs w:val="32"/>
      <w:lang w:eastAsia="uk-UA"/>
    </w:rPr>
  </w:style>
  <w:style w:type="paragraph" w:styleId="17">
    <w:name w:val="toc 1"/>
    <w:basedOn w:val="a3"/>
    <w:next w:val="a3"/>
    <w:autoRedefine/>
    <w:rsid w:val="001479B6"/>
    <w:pPr>
      <w:spacing w:after="100" w:line="259" w:lineRule="auto"/>
      <w:ind w:firstLine="567"/>
      <w:jc w:val="both"/>
    </w:pPr>
    <w:rPr>
      <w:rFonts w:ascii="Calibri" w:eastAsia="Calibri" w:hAnsi="Calibri"/>
      <w:sz w:val="22"/>
      <w:szCs w:val="22"/>
      <w:lang w:eastAsia="en-US"/>
    </w:rPr>
  </w:style>
  <w:style w:type="paragraph" w:styleId="24">
    <w:name w:val="toc 2"/>
    <w:basedOn w:val="a3"/>
    <w:next w:val="a3"/>
    <w:autoRedefine/>
    <w:rsid w:val="001479B6"/>
    <w:pPr>
      <w:spacing w:after="100" w:line="259" w:lineRule="auto"/>
      <w:ind w:left="220"/>
    </w:pPr>
    <w:rPr>
      <w:rFonts w:ascii="Calibri" w:hAnsi="Calibri"/>
      <w:sz w:val="22"/>
      <w:szCs w:val="22"/>
      <w:lang w:eastAsia="uk-UA"/>
    </w:rPr>
  </w:style>
  <w:style w:type="paragraph" w:styleId="34">
    <w:name w:val="toc 3"/>
    <w:basedOn w:val="a3"/>
    <w:next w:val="a3"/>
    <w:autoRedefine/>
    <w:rsid w:val="001479B6"/>
    <w:pPr>
      <w:spacing w:after="100" w:line="259" w:lineRule="auto"/>
      <w:ind w:left="440"/>
    </w:pPr>
    <w:rPr>
      <w:rFonts w:ascii="Calibri" w:hAnsi="Calibri"/>
      <w:sz w:val="22"/>
      <w:szCs w:val="22"/>
      <w:lang w:eastAsia="uk-UA"/>
    </w:rPr>
  </w:style>
  <w:style w:type="paragraph" w:styleId="43">
    <w:name w:val="toc 4"/>
    <w:basedOn w:val="a3"/>
    <w:next w:val="a3"/>
    <w:autoRedefine/>
    <w:rsid w:val="001479B6"/>
    <w:pPr>
      <w:spacing w:after="100" w:line="259" w:lineRule="auto"/>
      <w:ind w:left="660"/>
    </w:pPr>
    <w:rPr>
      <w:rFonts w:ascii="Calibri" w:hAnsi="Calibri"/>
      <w:sz w:val="22"/>
      <w:szCs w:val="22"/>
      <w:lang w:eastAsia="uk-UA"/>
    </w:rPr>
  </w:style>
  <w:style w:type="paragraph" w:styleId="5">
    <w:name w:val="toc 5"/>
    <w:basedOn w:val="a3"/>
    <w:next w:val="a3"/>
    <w:autoRedefine/>
    <w:rsid w:val="001479B6"/>
    <w:pPr>
      <w:spacing w:after="100" w:line="259" w:lineRule="auto"/>
      <w:ind w:left="880"/>
    </w:pPr>
    <w:rPr>
      <w:rFonts w:ascii="Calibri" w:hAnsi="Calibri"/>
      <w:sz w:val="22"/>
      <w:szCs w:val="22"/>
      <w:lang w:eastAsia="uk-UA"/>
    </w:rPr>
  </w:style>
  <w:style w:type="paragraph" w:styleId="6">
    <w:name w:val="toc 6"/>
    <w:basedOn w:val="a3"/>
    <w:next w:val="a3"/>
    <w:autoRedefine/>
    <w:rsid w:val="001479B6"/>
    <w:pPr>
      <w:spacing w:after="100" w:line="259" w:lineRule="auto"/>
      <w:ind w:left="1100"/>
    </w:pPr>
    <w:rPr>
      <w:rFonts w:ascii="Calibri" w:hAnsi="Calibri"/>
      <w:sz w:val="22"/>
      <w:szCs w:val="22"/>
      <w:lang w:eastAsia="uk-UA"/>
    </w:rPr>
  </w:style>
  <w:style w:type="paragraph" w:styleId="7">
    <w:name w:val="toc 7"/>
    <w:basedOn w:val="a3"/>
    <w:next w:val="a3"/>
    <w:autoRedefine/>
    <w:rsid w:val="001479B6"/>
    <w:pPr>
      <w:spacing w:after="100" w:line="259" w:lineRule="auto"/>
      <w:ind w:left="1320"/>
    </w:pPr>
    <w:rPr>
      <w:rFonts w:ascii="Calibri" w:hAnsi="Calibri"/>
      <w:sz w:val="22"/>
      <w:szCs w:val="22"/>
      <w:lang w:eastAsia="uk-UA"/>
    </w:rPr>
  </w:style>
  <w:style w:type="paragraph" w:styleId="8">
    <w:name w:val="toc 8"/>
    <w:basedOn w:val="a3"/>
    <w:next w:val="a3"/>
    <w:autoRedefine/>
    <w:rsid w:val="001479B6"/>
    <w:pPr>
      <w:spacing w:after="100" w:line="259" w:lineRule="auto"/>
      <w:ind w:left="1540"/>
    </w:pPr>
    <w:rPr>
      <w:rFonts w:ascii="Calibri" w:hAnsi="Calibri"/>
      <w:sz w:val="22"/>
      <w:szCs w:val="22"/>
      <w:lang w:eastAsia="uk-UA"/>
    </w:rPr>
  </w:style>
  <w:style w:type="paragraph" w:styleId="9">
    <w:name w:val="toc 9"/>
    <w:basedOn w:val="a3"/>
    <w:next w:val="a3"/>
    <w:autoRedefine/>
    <w:rsid w:val="001479B6"/>
    <w:pPr>
      <w:spacing w:after="100" w:line="259" w:lineRule="auto"/>
      <w:ind w:left="1760"/>
    </w:pPr>
    <w:rPr>
      <w:rFonts w:ascii="Calibri" w:hAnsi="Calibri"/>
      <w:sz w:val="22"/>
      <w:szCs w:val="22"/>
      <w:lang w:eastAsia="uk-UA"/>
    </w:rPr>
  </w:style>
  <w:style w:type="character" w:styleId="af5">
    <w:name w:val="Hyperlink"/>
    <w:rsid w:val="001479B6"/>
    <w:rPr>
      <w:rFonts w:cs="Times New Roman"/>
      <w:color w:val="0563C1"/>
      <w:u w:val="single"/>
    </w:rPr>
  </w:style>
  <w:style w:type="character" w:customStyle="1" w:styleId="rvts9">
    <w:name w:val="rvts9"/>
    <w:rsid w:val="001479B6"/>
  </w:style>
  <w:style w:type="paragraph" w:customStyle="1" w:styleId="2-21">
    <w:name w:val="Средний список 2 - Акцент 21"/>
    <w:hidden/>
    <w:semiHidden/>
    <w:rsid w:val="001479B6"/>
    <w:rPr>
      <w:rFonts w:ascii="Calibri" w:eastAsia="Calibri" w:hAnsi="Calibri"/>
      <w:sz w:val="22"/>
      <w:szCs w:val="22"/>
      <w:lang w:val="ru-RU" w:eastAsia="en-US"/>
    </w:rPr>
  </w:style>
  <w:style w:type="paragraph" w:customStyle="1" w:styleId="18">
    <w:name w:val="Звичайний1"/>
    <w:rsid w:val="001479B6"/>
    <w:pPr>
      <w:spacing w:after="120" w:line="259" w:lineRule="auto"/>
      <w:ind w:firstLine="567"/>
      <w:jc w:val="both"/>
    </w:pPr>
    <w:rPr>
      <w:rFonts w:ascii="Calibri" w:hAnsi="Calibri" w:cs="Calibri"/>
      <w:sz w:val="22"/>
      <w:szCs w:val="22"/>
      <w:lang w:eastAsia="ru-RU"/>
    </w:rPr>
  </w:style>
  <w:style w:type="character" w:customStyle="1" w:styleId="19">
    <w:name w:val="Стиль1 Знак"/>
    <w:rsid w:val="001479B6"/>
    <w:rPr>
      <w:rFonts w:ascii="Times New Roman" w:hAnsi="Times New Roman"/>
      <w:b/>
      <w:bCs/>
      <w:sz w:val="24"/>
      <w:szCs w:val="24"/>
      <w:lang w:val="uk-UA" w:eastAsia="ru-RU" w:bidi="ar-SA"/>
    </w:rPr>
  </w:style>
  <w:style w:type="paragraph" w:customStyle="1" w:styleId="rvps17">
    <w:name w:val="rvps17"/>
    <w:basedOn w:val="a3"/>
    <w:rsid w:val="001479B6"/>
    <w:pPr>
      <w:spacing w:before="100" w:beforeAutospacing="1" w:after="100" w:afterAutospacing="1"/>
    </w:pPr>
    <w:rPr>
      <w:rFonts w:eastAsia="Calibri"/>
      <w:sz w:val="24"/>
      <w:szCs w:val="24"/>
      <w:lang w:val="en-US" w:eastAsia="en-US"/>
    </w:rPr>
  </w:style>
  <w:style w:type="character" w:customStyle="1" w:styleId="rvts64">
    <w:name w:val="rvts64"/>
    <w:rsid w:val="001479B6"/>
    <w:rPr>
      <w:rFonts w:cs="Times New Roman"/>
    </w:rPr>
  </w:style>
  <w:style w:type="paragraph" w:customStyle="1" w:styleId="rvps7">
    <w:name w:val="rvps7"/>
    <w:basedOn w:val="a3"/>
    <w:rsid w:val="001479B6"/>
    <w:pPr>
      <w:spacing w:before="100" w:beforeAutospacing="1" w:after="100" w:afterAutospacing="1"/>
    </w:pPr>
    <w:rPr>
      <w:rFonts w:eastAsia="Calibri"/>
      <w:sz w:val="24"/>
      <w:szCs w:val="24"/>
      <w:lang w:val="en-US" w:eastAsia="en-US"/>
    </w:rPr>
  </w:style>
  <w:style w:type="paragraph" w:customStyle="1" w:styleId="mcntmsonormal">
    <w:name w:val="mcntmsonormal"/>
    <w:basedOn w:val="a3"/>
    <w:rsid w:val="001479B6"/>
    <w:pPr>
      <w:spacing w:before="100" w:beforeAutospacing="1" w:after="100" w:afterAutospacing="1"/>
    </w:pPr>
    <w:rPr>
      <w:rFonts w:eastAsia="Calibri"/>
      <w:sz w:val="24"/>
      <w:szCs w:val="24"/>
      <w:lang w:eastAsia="uk-UA"/>
    </w:rPr>
  </w:style>
  <w:style w:type="character" w:customStyle="1" w:styleId="rvts44">
    <w:name w:val="rvts44"/>
    <w:rsid w:val="001479B6"/>
    <w:rPr>
      <w:rFonts w:cs="Times New Roman"/>
    </w:rPr>
  </w:style>
  <w:style w:type="character" w:customStyle="1" w:styleId="apple-converted-space">
    <w:name w:val="apple-converted-space"/>
    <w:rsid w:val="001479B6"/>
    <w:rPr>
      <w:rFonts w:cs="Times New Roman"/>
    </w:rPr>
  </w:style>
  <w:style w:type="paragraph" w:customStyle="1" w:styleId="af6">
    <w:name w:val="Нормальний текст"/>
    <w:basedOn w:val="a3"/>
    <w:rsid w:val="001479B6"/>
    <w:pPr>
      <w:spacing w:before="120"/>
      <w:ind w:firstLine="567"/>
    </w:pPr>
    <w:rPr>
      <w:rFonts w:ascii="Antiqua" w:eastAsia="Calibri" w:hAnsi="Antiqua"/>
      <w:sz w:val="26"/>
    </w:rPr>
  </w:style>
  <w:style w:type="paragraph" w:customStyle="1" w:styleId="s19">
    <w:name w:val="s19"/>
    <w:basedOn w:val="a3"/>
    <w:rsid w:val="001479B6"/>
    <w:pPr>
      <w:spacing w:before="100" w:beforeAutospacing="1" w:after="100" w:afterAutospacing="1"/>
    </w:pPr>
    <w:rPr>
      <w:rFonts w:eastAsia="Calibri"/>
      <w:sz w:val="24"/>
      <w:szCs w:val="24"/>
      <w:lang w:val="en-US" w:eastAsia="en-US"/>
    </w:rPr>
  </w:style>
  <w:style w:type="character" w:customStyle="1" w:styleId="bumpedfont15">
    <w:name w:val="bumpedfont15"/>
    <w:rsid w:val="001479B6"/>
    <w:rPr>
      <w:rFonts w:cs="Times New Roman"/>
    </w:rPr>
  </w:style>
  <w:style w:type="paragraph" w:customStyle="1" w:styleId="s8">
    <w:name w:val="s8"/>
    <w:basedOn w:val="a3"/>
    <w:rsid w:val="001479B6"/>
    <w:pPr>
      <w:spacing w:before="100" w:beforeAutospacing="1" w:after="100" w:afterAutospacing="1"/>
    </w:pPr>
    <w:rPr>
      <w:rFonts w:eastAsia="Calibri"/>
      <w:sz w:val="24"/>
      <w:szCs w:val="24"/>
      <w:lang w:val="en-US" w:eastAsia="en-US"/>
    </w:rPr>
  </w:style>
  <w:style w:type="paragraph" w:customStyle="1" w:styleId="s18">
    <w:name w:val="s18"/>
    <w:basedOn w:val="a3"/>
    <w:rsid w:val="001479B6"/>
    <w:pPr>
      <w:spacing w:before="100" w:beforeAutospacing="1" w:after="100" w:afterAutospacing="1"/>
    </w:pPr>
    <w:rPr>
      <w:rFonts w:eastAsia="Calibri"/>
      <w:sz w:val="24"/>
      <w:szCs w:val="24"/>
      <w:lang w:val="en-US" w:eastAsia="en-US"/>
    </w:rPr>
  </w:style>
  <w:style w:type="character" w:customStyle="1" w:styleId="42">
    <w:name w:val="Заголовок 4 Знак"/>
    <w:link w:val="41"/>
    <w:semiHidden/>
    <w:locked/>
    <w:rsid w:val="001479B6"/>
    <w:rPr>
      <w:rFonts w:ascii="Calibri Light" w:hAnsi="Calibri Light"/>
      <w:i/>
      <w:iCs/>
      <w:color w:val="2E74B5"/>
      <w:sz w:val="22"/>
      <w:szCs w:val="22"/>
      <w:lang w:val="uk-UA" w:eastAsia="en-US" w:bidi="ar-SA"/>
    </w:rPr>
  </w:style>
  <w:style w:type="paragraph" w:customStyle="1" w:styleId="mcntmsolistparagraph">
    <w:name w:val="mcntmsolistparagraph"/>
    <w:basedOn w:val="a3"/>
    <w:rsid w:val="001479B6"/>
    <w:pPr>
      <w:spacing w:before="100" w:beforeAutospacing="1" w:after="100" w:afterAutospacing="1"/>
    </w:pPr>
    <w:rPr>
      <w:rFonts w:eastAsia="Calibri"/>
      <w:sz w:val="24"/>
      <w:szCs w:val="24"/>
      <w:lang w:eastAsia="uk-UA"/>
    </w:rPr>
  </w:style>
  <w:style w:type="character" w:customStyle="1" w:styleId="aa">
    <w:name w:val="Нижній колонтитул Знак"/>
    <w:link w:val="a9"/>
    <w:locked/>
    <w:rsid w:val="001479B6"/>
    <w:rPr>
      <w:sz w:val="24"/>
      <w:szCs w:val="24"/>
      <w:lang w:val="ru-RU" w:eastAsia="ru-RU" w:bidi="ar-SA"/>
    </w:rPr>
  </w:style>
  <w:style w:type="character" w:styleId="af7">
    <w:name w:val="page number"/>
    <w:semiHidden/>
    <w:rsid w:val="001479B6"/>
    <w:rPr>
      <w:rFonts w:cs="Times New Roman"/>
    </w:rPr>
  </w:style>
  <w:style w:type="numbering" w:customStyle="1" w:styleId="2">
    <w:name w:val="Стиль2"/>
    <w:rsid w:val="001479B6"/>
    <w:pPr>
      <w:numPr>
        <w:numId w:val="10"/>
      </w:numPr>
    </w:pPr>
  </w:style>
  <w:style w:type="numbering" w:customStyle="1" w:styleId="a1">
    <w:name w:val="Пункт"/>
    <w:aliases w:val="підпункт"/>
    <w:rsid w:val="001479B6"/>
    <w:pPr>
      <w:numPr>
        <w:numId w:val="9"/>
      </w:numPr>
    </w:pPr>
  </w:style>
  <w:style w:type="numbering" w:customStyle="1" w:styleId="4">
    <w:name w:val="Стиль4"/>
    <w:rsid w:val="001479B6"/>
    <w:pPr>
      <w:numPr>
        <w:numId w:val="12"/>
      </w:numPr>
    </w:pPr>
  </w:style>
  <w:style w:type="numbering" w:customStyle="1" w:styleId="a2">
    <w:name w:val="Частини"/>
    <w:aliases w:val="пункти,підпункти"/>
    <w:rsid w:val="001479B6"/>
    <w:pPr>
      <w:numPr>
        <w:numId w:val="8"/>
      </w:numPr>
    </w:pPr>
  </w:style>
  <w:style w:type="numbering" w:customStyle="1" w:styleId="40">
    <w:name w:val="Импортированный стиль 4"/>
    <w:rsid w:val="001479B6"/>
    <w:pPr>
      <w:numPr>
        <w:numId w:val="13"/>
      </w:numPr>
    </w:pPr>
  </w:style>
  <w:style w:type="numbering" w:customStyle="1" w:styleId="1">
    <w:name w:val="Стиль1"/>
    <w:rsid w:val="001479B6"/>
    <w:pPr>
      <w:numPr>
        <w:numId w:val="7"/>
      </w:numPr>
    </w:pPr>
  </w:style>
  <w:style w:type="numbering" w:customStyle="1" w:styleId="3">
    <w:name w:val="Стиль3"/>
    <w:rsid w:val="001479B6"/>
    <w:pPr>
      <w:numPr>
        <w:numId w:val="11"/>
      </w:numPr>
    </w:pPr>
  </w:style>
  <w:style w:type="character" w:customStyle="1" w:styleId="rvts37">
    <w:name w:val="rvts37"/>
    <w:rsid w:val="00B127C4"/>
  </w:style>
  <w:style w:type="paragraph" w:styleId="af8">
    <w:name w:val="List Paragraph"/>
    <w:basedOn w:val="a3"/>
    <w:uiPriority w:val="34"/>
    <w:qFormat/>
    <w:rsid w:val="00EE6462"/>
    <w:pPr>
      <w:spacing w:after="120" w:line="256" w:lineRule="auto"/>
      <w:ind w:left="720" w:firstLine="567"/>
      <w:contextualSpacing/>
      <w:jc w:val="both"/>
    </w:pPr>
    <w:rPr>
      <w:rFonts w:ascii="Calibri" w:eastAsia="Calibri" w:hAnsi="Calibri"/>
      <w:sz w:val="22"/>
      <w:szCs w:val="22"/>
      <w:lang w:eastAsia="en-US"/>
    </w:rPr>
  </w:style>
  <w:style w:type="table" w:styleId="af9">
    <w:name w:val="Table Grid"/>
    <w:basedOn w:val="a5"/>
    <w:uiPriority w:val="39"/>
    <w:rsid w:val="0037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32A4C"/>
    <w:rPr>
      <w:b/>
      <w:bCs/>
    </w:rPr>
  </w:style>
  <w:style w:type="character" w:customStyle="1" w:styleId="rvts23">
    <w:name w:val="rvts23"/>
    <w:rsid w:val="00540674"/>
  </w:style>
  <w:style w:type="paragraph" w:styleId="afb">
    <w:name w:val="Revision"/>
    <w:hidden/>
    <w:uiPriority w:val="99"/>
    <w:semiHidden/>
    <w:rsid w:val="00462648"/>
    <w:rPr>
      <w:lang w:eastAsia="ru-RU"/>
    </w:rPr>
  </w:style>
  <w:style w:type="character" w:customStyle="1" w:styleId="3fxb1">
    <w:name w:val="_3fxb1"/>
    <w:rsid w:val="005C4E67"/>
  </w:style>
  <w:style w:type="character" w:customStyle="1" w:styleId="rvts0">
    <w:name w:val="rvts0"/>
    <w:rsid w:val="00956568"/>
  </w:style>
  <w:style w:type="character" w:customStyle="1" w:styleId="rvts46">
    <w:name w:val="rvts46"/>
    <w:rsid w:val="0018419B"/>
  </w:style>
  <w:style w:type="character" w:styleId="afc">
    <w:name w:val="FollowedHyperlink"/>
    <w:basedOn w:val="a4"/>
    <w:rsid w:val="001841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063">
      <w:bodyDiv w:val="1"/>
      <w:marLeft w:val="0"/>
      <w:marRight w:val="0"/>
      <w:marTop w:val="0"/>
      <w:marBottom w:val="0"/>
      <w:divBdr>
        <w:top w:val="none" w:sz="0" w:space="0" w:color="auto"/>
        <w:left w:val="none" w:sz="0" w:space="0" w:color="auto"/>
        <w:bottom w:val="none" w:sz="0" w:space="0" w:color="auto"/>
        <w:right w:val="none" w:sz="0" w:space="0" w:color="auto"/>
      </w:divBdr>
    </w:div>
    <w:div w:id="82845060">
      <w:bodyDiv w:val="1"/>
      <w:marLeft w:val="0"/>
      <w:marRight w:val="0"/>
      <w:marTop w:val="0"/>
      <w:marBottom w:val="0"/>
      <w:divBdr>
        <w:top w:val="none" w:sz="0" w:space="0" w:color="auto"/>
        <w:left w:val="none" w:sz="0" w:space="0" w:color="auto"/>
        <w:bottom w:val="none" w:sz="0" w:space="0" w:color="auto"/>
        <w:right w:val="none" w:sz="0" w:space="0" w:color="auto"/>
      </w:divBdr>
    </w:div>
    <w:div w:id="88045441">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225267707">
      <w:bodyDiv w:val="1"/>
      <w:marLeft w:val="0"/>
      <w:marRight w:val="0"/>
      <w:marTop w:val="0"/>
      <w:marBottom w:val="0"/>
      <w:divBdr>
        <w:top w:val="none" w:sz="0" w:space="0" w:color="auto"/>
        <w:left w:val="none" w:sz="0" w:space="0" w:color="auto"/>
        <w:bottom w:val="none" w:sz="0" w:space="0" w:color="auto"/>
        <w:right w:val="none" w:sz="0" w:space="0" w:color="auto"/>
      </w:divBdr>
    </w:div>
    <w:div w:id="251739975">
      <w:bodyDiv w:val="1"/>
      <w:marLeft w:val="0"/>
      <w:marRight w:val="0"/>
      <w:marTop w:val="0"/>
      <w:marBottom w:val="0"/>
      <w:divBdr>
        <w:top w:val="none" w:sz="0" w:space="0" w:color="auto"/>
        <w:left w:val="none" w:sz="0" w:space="0" w:color="auto"/>
        <w:bottom w:val="none" w:sz="0" w:space="0" w:color="auto"/>
        <w:right w:val="none" w:sz="0" w:space="0" w:color="auto"/>
      </w:divBdr>
    </w:div>
    <w:div w:id="360908984">
      <w:bodyDiv w:val="1"/>
      <w:marLeft w:val="0"/>
      <w:marRight w:val="0"/>
      <w:marTop w:val="0"/>
      <w:marBottom w:val="0"/>
      <w:divBdr>
        <w:top w:val="none" w:sz="0" w:space="0" w:color="auto"/>
        <w:left w:val="none" w:sz="0" w:space="0" w:color="auto"/>
        <w:bottom w:val="none" w:sz="0" w:space="0" w:color="auto"/>
        <w:right w:val="none" w:sz="0" w:space="0" w:color="auto"/>
      </w:divBdr>
    </w:div>
    <w:div w:id="525680258">
      <w:bodyDiv w:val="1"/>
      <w:marLeft w:val="0"/>
      <w:marRight w:val="0"/>
      <w:marTop w:val="0"/>
      <w:marBottom w:val="0"/>
      <w:divBdr>
        <w:top w:val="none" w:sz="0" w:space="0" w:color="auto"/>
        <w:left w:val="none" w:sz="0" w:space="0" w:color="auto"/>
        <w:bottom w:val="none" w:sz="0" w:space="0" w:color="auto"/>
        <w:right w:val="none" w:sz="0" w:space="0" w:color="auto"/>
      </w:divBdr>
    </w:div>
    <w:div w:id="625817379">
      <w:bodyDiv w:val="1"/>
      <w:marLeft w:val="0"/>
      <w:marRight w:val="0"/>
      <w:marTop w:val="0"/>
      <w:marBottom w:val="0"/>
      <w:divBdr>
        <w:top w:val="none" w:sz="0" w:space="0" w:color="auto"/>
        <w:left w:val="none" w:sz="0" w:space="0" w:color="auto"/>
        <w:bottom w:val="none" w:sz="0" w:space="0" w:color="auto"/>
        <w:right w:val="none" w:sz="0" w:space="0" w:color="auto"/>
      </w:divBdr>
    </w:div>
    <w:div w:id="639848936">
      <w:bodyDiv w:val="1"/>
      <w:marLeft w:val="0"/>
      <w:marRight w:val="0"/>
      <w:marTop w:val="0"/>
      <w:marBottom w:val="0"/>
      <w:divBdr>
        <w:top w:val="none" w:sz="0" w:space="0" w:color="auto"/>
        <w:left w:val="none" w:sz="0" w:space="0" w:color="auto"/>
        <w:bottom w:val="none" w:sz="0" w:space="0" w:color="auto"/>
        <w:right w:val="none" w:sz="0" w:space="0" w:color="auto"/>
      </w:divBdr>
    </w:div>
    <w:div w:id="679042606">
      <w:bodyDiv w:val="1"/>
      <w:marLeft w:val="0"/>
      <w:marRight w:val="0"/>
      <w:marTop w:val="0"/>
      <w:marBottom w:val="0"/>
      <w:divBdr>
        <w:top w:val="none" w:sz="0" w:space="0" w:color="auto"/>
        <w:left w:val="none" w:sz="0" w:space="0" w:color="auto"/>
        <w:bottom w:val="none" w:sz="0" w:space="0" w:color="auto"/>
        <w:right w:val="none" w:sz="0" w:space="0" w:color="auto"/>
      </w:divBdr>
    </w:div>
    <w:div w:id="1092235559">
      <w:bodyDiv w:val="1"/>
      <w:marLeft w:val="0"/>
      <w:marRight w:val="0"/>
      <w:marTop w:val="0"/>
      <w:marBottom w:val="0"/>
      <w:divBdr>
        <w:top w:val="none" w:sz="0" w:space="0" w:color="auto"/>
        <w:left w:val="none" w:sz="0" w:space="0" w:color="auto"/>
        <w:bottom w:val="none" w:sz="0" w:space="0" w:color="auto"/>
        <w:right w:val="none" w:sz="0" w:space="0" w:color="auto"/>
      </w:divBdr>
    </w:div>
    <w:div w:id="1123233329">
      <w:bodyDiv w:val="1"/>
      <w:marLeft w:val="0"/>
      <w:marRight w:val="0"/>
      <w:marTop w:val="0"/>
      <w:marBottom w:val="0"/>
      <w:divBdr>
        <w:top w:val="none" w:sz="0" w:space="0" w:color="auto"/>
        <w:left w:val="none" w:sz="0" w:space="0" w:color="auto"/>
        <w:bottom w:val="none" w:sz="0" w:space="0" w:color="auto"/>
        <w:right w:val="none" w:sz="0" w:space="0" w:color="auto"/>
      </w:divBdr>
    </w:div>
    <w:div w:id="1277324992">
      <w:bodyDiv w:val="1"/>
      <w:marLeft w:val="0"/>
      <w:marRight w:val="0"/>
      <w:marTop w:val="0"/>
      <w:marBottom w:val="0"/>
      <w:divBdr>
        <w:top w:val="none" w:sz="0" w:space="0" w:color="auto"/>
        <w:left w:val="none" w:sz="0" w:space="0" w:color="auto"/>
        <w:bottom w:val="none" w:sz="0" w:space="0" w:color="auto"/>
        <w:right w:val="none" w:sz="0" w:space="0" w:color="auto"/>
      </w:divBdr>
    </w:div>
    <w:div w:id="1383290207">
      <w:bodyDiv w:val="1"/>
      <w:marLeft w:val="0"/>
      <w:marRight w:val="0"/>
      <w:marTop w:val="0"/>
      <w:marBottom w:val="0"/>
      <w:divBdr>
        <w:top w:val="none" w:sz="0" w:space="0" w:color="auto"/>
        <w:left w:val="none" w:sz="0" w:space="0" w:color="auto"/>
        <w:bottom w:val="none" w:sz="0" w:space="0" w:color="auto"/>
        <w:right w:val="none" w:sz="0" w:space="0" w:color="auto"/>
      </w:divBdr>
    </w:div>
    <w:div w:id="1497649238">
      <w:bodyDiv w:val="1"/>
      <w:marLeft w:val="0"/>
      <w:marRight w:val="0"/>
      <w:marTop w:val="0"/>
      <w:marBottom w:val="0"/>
      <w:divBdr>
        <w:top w:val="none" w:sz="0" w:space="0" w:color="auto"/>
        <w:left w:val="none" w:sz="0" w:space="0" w:color="auto"/>
        <w:bottom w:val="none" w:sz="0" w:space="0" w:color="auto"/>
        <w:right w:val="none" w:sz="0" w:space="0" w:color="auto"/>
      </w:divBdr>
    </w:div>
    <w:div w:id="1526482830">
      <w:bodyDiv w:val="1"/>
      <w:marLeft w:val="0"/>
      <w:marRight w:val="0"/>
      <w:marTop w:val="0"/>
      <w:marBottom w:val="0"/>
      <w:divBdr>
        <w:top w:val="none" w:sz="0" w:space="0" w:color="auto"/>
        <w:left w:val="none" w:sz="0" w:space="0" w:color="auto"/>
        <w:bottom w:val="none" w:sz="0" w:space="0" w:color="auto"/>
        <w:right w:val="none" w:sz="0" w:space="0" w:color="auto"/>
      </w:divBdr>
    </w:div>
    <w:div w:id="1533953341">
      <w:bodyDiv w:val="1"/>
      <w:marLeft w:val="0"/>
      <w:marRight w:val="0"/>
      <w:marTop w:val="0"/>
      <w:marBottom w:val="0"/>
      <w:divBdr>
        <w:top w:val="none" w:sz="0" w:space="0" w:color="auto"/>
        <w:left w:val="none" w:sz="0" w:space="0" w:color="auto"/>
        <w:bottom w:val="none" w:sz="0" w:space="0" w:color="auto"/>
        <w:right w:val="none" w:sz="0" w:space="0" w:color="auto"/>
      </w:divBdr>
    </w:div>
    <w:div w:id="1657303364">
      <w:bodyDiv w:val="1"/>
      <w:marLeft w:val="0"/>
      <w:marRight w:val="0"/>
      <w:marTop w:val="0"/>
      <w:marBottom w:val="0"/>
      <w:divBdr>
        <w:top w:val="none" w:sz="0" w:space="0" w:color="auto"/>
        <w:left w:val="none" w:sz="0" w:space="0" w:color="auto"/>
        <w:bottom w:val="none" w:sz="0" w:space="0" w:color="auto"/>
        <w:right w:val="none" w:sz="0" w:space="0" w:color="auto"/>
      </w:divBdr>
    </w:div>
    <w:div w:id="1683968526">
      <w:bodyDiv w:val="1"/>
      <w:marLeft w:val="0"/>
      <w:marRight w:val="0"/>
      <w:marTop w:val="0"/>
      <w:marBottom w:val="0"/>
      <w:divBdr>
        <w:top w:val="none" w:sz="0" w:space="0" w:color="auto"/>
        <w:left w:val="none" w:sz="0" w:space="0" w:color="auto"/>
        <w:bottom w:val="none" w:sz="0" w:space="0" w:color="auto"/>
        <w:right w:val="none" w:sz="0" w:space="0" w:color="auto"/>
      </w:divBdr>
    </w:div>
    <w:div w:id="1697536000">
      <w:bodyDiv w:val="1"/>
      <w:marLeft w:val="0"/>
      <w:marRight w:val="0"/>
      <w:marTop w:val="0"/>
      <w:marBottom w:val="0"/>
      <w:divBdr>
        <w:top w:val="none" w:sz="0" w:space="0" w:color="auto"/>
        <w:left w:val="none" w:sz="0" w:space="0" w:color="auto"/>
        <w:bottom w:val="none" w:sz="0" w:space="0" w:color="auto"/>
        <w:right w:val="none" w:sz="0" w:space="0" w:color="auto"/>
      </w:divBdr>
    </w:div>
    <w:div w:id="1704557293">
      <w:bodyDiv w:val="1"/>
      <w:marLeft w:val="0"/>
      <w:marRight w:val="0"/>
      <w:marTop w:val="0"/>
      <w:marBottom w:val="0"/>
      <w:divBdr>
        <w:top w:val="none" w:sz="0" w:space="0" w:color="auto"/>
        <w:left w:val="none" w:sz="0" w:space="0" w:color="auto"/>
        <w:bottom w:val="none" w:sz="0" w:space="0" w:color="auto"/>
        <w:right w:val="none" w:sz="0" w:space="0" w:color="auto"/>
      </w:divBdr>
    </w:div>
    <w:div w:id="1748377861">
      <w:bodyDiv w:val="1"/>
      <w:marLeft w:val="0"/>
      <w:marRight w:val="0"/>
      <w:marTop w:val="0"/>
      <w:marBottom w:val="0"/>
      <w:divBdr>
        <w:top w:val="none" w:sz="0" w:space="0" w:color="auto"/>
        <w:left w:val="none" w:sz="0" w:space="0" w:color="auto"/>
        <w:bottom w:val="none" w:sz="0" w:space="0" w:color="auto"/>
        <w:right w:val="none" w:sz="0" w:space="0" w:color="auto"/>
      </w:divBdr>
    </w:div>
    <w:div w:id="1856578766">
      <w:bodyDiv w:val="1"/>
      <w:marLeft w:val="0"/>
      <w:marRight w:val="0"/>
      <w:marTop w:val="0"/>
      <w:marBottom w:val="0"/>
      <w:divBdr>
        <w:top w:val="none" w:sz="0" w:space="0" w:color="auto"/>
        <w:left w:val="none" w:sz="0" w:space="0" w:color="auto"/>
        <w:bottom w:val="none" w:sz="0" w:space="0" w:color="auto"/>
        <w:right w:val="none" w:sz="0" w:space="0" w:color="auto"/>
      </w:divBdr>
    </w:div>
    <w:div w:id="2033189329">
      <w:bodyDiv w:val="1"/>
      <w:marLeft w:val="0"/>
      <w:marRight w:val="0"/>
      <w:marTop w:val="0"/>
      <w:marBottom w:val="0"/>
      <w:divBdr>
        <w:top w:val="none" w:sz="0" w:space="0" w:color="auto"/>
        <w:left w:val="none" w:sz="0" w:space="0" w:color="auto"/>
        <w:bottom w:val="none" w:sz="0" w:space="0" w:color="auto"/>
        <w:right w:val="none" w:sz="0" w:space="0" w:color="auto"/>
      </w:divBdr>
    </w:div>
    <w:div w:id="2064868912">
      <w:bodyDiv w:val="1"/>
      <w:marLeft w:val="0"/>
      <w:marRight w:val="0"/>
      <w:marTop w:val="0"/>
      <w:marBottom w:val="0"/>
      <w:divBdr>
        <w:top w:val="none" w:sz="0" w:space="0" w:color="auto"/>
        <w:left w:val="none" w:sz="0" w:space="0" w:color="auto"/>
        <w:bottom w:val="none" w:sz="0" w:space="0" w:color="auto"/>
        <w:right w:val="none" w:sz="0" w:space="0" w:color="auto"/>
      </w:divBdr>
    </w:div>
    <w:div w:id="207565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zakon.rada.gov.ua/laws/show/1644-1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1702-18" TargetMode="External"/><Relationship Id="rId17" Type="http://schemas.openxmlformats.org/officeDocument/2006/relationships/header" Target="head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96-14"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zakon.rada.gov.ua/go/590-IX" TargetMode="External"/><Relationship Id="rId23" Type="http://schemas.openxmlformats.org/officeDocument/2006/relationships/customXml" Target="../customXml/item2.xml"/><Relationship Id="rId10" Type="http://schemas.openxmlformats.org/officeDocument/2006/relationships/hyperlink" Target="https://zakon.rada.gov.ua/laws/show/976-2007-%D1%80/ed20080404/find?text=%D0%E8%ED%EA%E8+%EA%E0%EF%B3%F2%E0%EB%F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zakon.rada.gov.ua/go/590-IX"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_UKS\Application%20Data\Microsoft\Word\STARTUP\Z97_V41.DO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rdDocument" ma:contentTypeID="0x0101005082CF9611B70740801F57C691914AA100112606590970F34A82426E1C2D62EACA" ma:contentTypeVersion="5" ma:contentTypeDescription="Create a new document." ma:contentTypeScope="" ma:versionID="e88d032e5c05709882a2872344745ac7">
  <xsd:schema xmlns:xsd="http://www.w3.org/2001/XMLSchema" xmlns:xs="http://www.w3.org/2001/XMLSchema" xmlns:p="http://schemas.microsoft.com/office/2006/metadata/properties" xmlns:ns2="34080153-28b6-45f6-b1c8-49842029d766" targetNamespace="http://schemas.microsoft.com/office/2006/metadata/properties" ma:root="true" ma:fieldsID="a882dbd854289878c5a6b1c409cdc962" ns2:_="">
    <xsd:import namespace="34080153-28b6-45f6-b1c8-49842029d76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80153-28b6-45f6-b1c8-49842029d766" elementFormDefault="qualified">
    <xsd:import namespace="http://schemas.microsoft.com/office/2006/documentManagement/types"/>
    <xsd:import namespace="http://schemas.microsoft.com/office/infopath/2007/PartnerControls"/>
    <xsd:element name="SharedWithUsers" ma:index="8" nillable="true" ma:displayName="Спільний доступ"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C09E83-9BED-482D-AD90-038AF5058CCD}">
  <ds:schemaRefs>
    <ds:schemaRef ds:uri="http://schemas.openxmlformats.org/officeDocument/2006/bibliography"/>
  </ds:schemaRefs>
</ds:datastoreItem>
</file>

<file path=customXml/itemProps2.xml><?xml version="1.0" encoding="utf-8"?>
<ds:datastoreItem xmlns:ds="http://schemas.openxmlformats.org/officeDocument/2006/customXml" ds:itemID="{A2D11E5A-AF93-4B6D-8CF1-C95C2E7B0BDD}"/>
</file>

<file path=customXml/itemProps3.xml><?xml version="1.0" encoding="utf-8"?>
<ds:datastoreItem xmlns:ds="http://schemas.openxmlformats.org/officeDocument/2006/customXml" ds:itemID="{04970500-79F4-4D23-9A70-816F424E2C6B}"/>
</file>

<file path=customXml/itemProps4.xml><?xml version="1.0" encoding="utf-8"?>
<ds:datastoreItem xmlns:ds="http://schemas.openxmlformats.org/officeDocument/2006/customXml" ds:itemID="{2A165CE2-5EF2-4E38-999F-EE1C50165374}"/>
</file>

<file path=docProps/app.xml><?xml version="1.0" encoding="utf-8"?>
<Properties xmlns="http://schemas.openxmlformats.org/officeDocument/2006/extended-properties" xmlns:vt="http://schemas.openxmlformats.org/officeDocument/2006/docPropsVTypes">
  <Template>Z97_V41.DOT</Template>
  <TotalTime>0</TotalTime>
  <Pages>740</Pages>
  <Words>1734651</Words>
  <Characters>988752</Characters>
  <Application>Microsoft Office Word</Application>
  <DocSecurity>0</DocSecurity>
  <Lines>8239</Lines>
  <Paragraphs>5435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Про внесення змін до деяких законодавчих актів України щодо спрощення залучення інвестицій та запровадження нових фінансових інструментів</vt:lpstr>
      <vt:lpstr>Про внесення змін до деяких законодавчих актів України щодо спрощення залучення інвестицій та запровадження нових фінансових інструментів</vt:lpstr>
    </vt:vector>
  </TitlesOfParts>
  <LinksUpToDate>false</LinksUpToDate>
  <CharactersWithSpaces>2717968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Друге читання</cp:keywords>
  <dc:description/>
  <cp:lastModifiedBy/>
  <cp:revision>1</cp:revision>
  <dcterms:created xsi:type="dcterms:W3CDTF">2020-06-15T01:14:30Z</dcterms:created>
  <dcterms:modified xsi:type="dcterms:W3CDTF">2020-06-15T01:14:30Z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vt:i4>2554988</vt:i4>
  </property>
  <property fmtid="{D5CDD505-2E9C-101B-9397-08002B2CF9AE}" pid="3" name="ContentTypeId">
    <vt:lpwstr>0x0101005082CF9611B70740801F57C691914AA100112606590970F34A82426E1C2D62EACA</vt:lpwstr>
  </property>
</Properties>
</file>